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5.xml" ContentType="application/vnd.openxmlformats-officedocument.wordprocessingml.footer+xml"/>
  <Override PartName="/word/header52.xml" ContentType="application/vnd.openxmlformats-officedocument.wordprocessingml.header+xml"/>
  <Override PartName="/word/footer6.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B652F" w14:textId="1231086C" w:rsidR="008D0F76" w:rsidRDefault="008D0F76">
      <w:pPr>
        <w:pStyle w:val="Ttuloprincipal"/>
        <w:tabs>
          <w:tab w:val="left" w:pos="1701"/>
          <w:tab w:val="left" w:pos="3119"/>
        </w:tabs>
        <w:ind w:left="2127" w:hanging="142"/>
        <w:rPr>
          <w:rFonts w:ascii="Arial" w:hAnsi="Arial" w:cs="Arial"/>
          <w:szCs w:val="24"/>
        </w:rPr>
      </w:pPr>
      <w:bookmarkStart w:id="0" w:name="_GoBack"/>
      <w:bookmarkEnd w:id="0"/>
    </w:p>
    <w:p w14:paraId="11930BF0"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513DBD98"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489F4E07"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22814C45" w14:textId="77777777" w:rsidR="00C7146E" w:rsidRPr="00A76E3D" w:rsidRDefault="00C7146E" w:rsidP="00A97183">
      <w:pPr>
        <w:pStyle w:val="Ttuloprincipal"/>
        <w:tabs>
          <w:tab w:val="left" w:pos="1701"/>
          <w:tab w:val="left" w:pos="3119"/>
        </w:tabs>
        <w:jc w:val="left"/>
        <w:rPr>
          <w:rFonts w:ascii="Arial" w:hAnsi="Arial" w:cs="Arial"/>
          <w:szCs w:val="24"/>
          <w:lang w:val="es-ES"/>
        </w:rPr>
      </w:pPr>
    </w:p>
    <w:p w14:paraId="5557B1DB"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204F00A4"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11D86481"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359462EF" w14:textId="77777777" w:rsidR="00C7146E" w:rsidRPr="00A76E3D" w:rsidRDefault="00C7146E">
      <w:pPr>
        <w:pStyle w:val="Ttuloprincipal"/>
        <w:tabs>
          <w:tab w:val="left" w:pos="1701"/>
          <w:tab w:val="left" w:pos="3119"/>
        </w:tabs>
        <w:ind w:left="2127" w:hanging="142"/>
        <w:rPr>
          <w:rFonts w:ascii="Arial" w:hAnsi="Arial" w:cs="Arial"/>
          <w:szCs w:val="24"/>
          <w:lang w:val="es-ES"/>
        </w:rPr>
      </w:pPr>
    </w:p>
    <w:p w14:paraId="18A43BE6" w14:textId="56D7D1FF" w:rsidR="00C7146E" w:rsidRPr="00701F32" w:rsidRDefault="003575F1" w:rsidP="003D284C">
      <w:pPr>
        <w:pStyle w:val="Ttuloprincipal"/>
        <w:ind w:left="-120"/>
        <w:jc w:val="left"/>
        <w:rPr>
          <w:rFonts w:ascii="Arial" w:hAnsi="Arial" w:cs="Arial"/>
          <w:szCs w:val="24"/>
        </w:rPr>
      </w:pPr>
      <w:r w:rsidRPr="00701F32">
        <w:rPr>
          <w:rFonts w:ascii="Arial" w:hAnsi="Arial" w:cs="Arial"/>
          <w:szCs w:val="24"/>
        </w:rPr>
        <w:t>BANCO</w:t>
      </w:r>
      <w:r w:rsidR="00ED382B" w:rsidRPr="00701F32">
        <w:rPr>
          <w:rFonts w:ascii="Arial" w:hAnsi="Arial" w:cs="Arial"/>
          <w:szCs w:val="24"/>
        </w:rPr>
        <w:t xml:space="preserve"> SUPERVIELLE</w:t>
      </w:r>
      <w:r w:rsidR="002439EB" w:rsidRPr="00701F32">
        <w:rPr>
          <w:rFonts w:ascii="Arial" w:hAnsi="Arial" w:cs="Arial"/>
          <w:szCs w:val="24"/>
        </w:rPr>
        <w:t xml:space="preserve"> S.A.</w:t>
      </w:r>
    </w:p>
    <w:p w14:paraId="6F9AAE8F" w14:textId="77777777" w:rsidR="00C7146E" w:rsidRPr="00701F32" w:rsidRDefault="00C7146E">
      <w:pPr>
        <w:pStyle w:val="Ttuloprincipal"/>
        <w:ind w:left="-120"/>
        <w:rPr>
          <w:rFonts w:ascii="Arial" w:hAnsi="Arial" w:cs="Arial"/>
          <w:szCs w:val="24"/>
        </w:rPr>
      </w:pPr>
    </w:p>
    <w:p w14:paraId="1C279325" w14:textId="77777777" w:rsidR="003D284C" w:rsidRPr="00701F32" w:rsidRDefault="003D284C" w:rsidP="003D284C">
      <w:pPr>
        <w:pStyle w:val="Ttuloprincipal"/>
        <w:ind w:left="-120"/>
        <w:jc w:val="left"/>
        <w:rPr>
          <w:rFonts w:ascii="Arial" w:hAnsi="Arial" w:cs="Arial"/>
          <w:szCs w:val="24"/>
        </w:rPr>
      </w:pPr>
    </w:p>
    <w:p w14:paraId="3544BB33" w14:textId="6A00722D" w:rsidR="003D284C" w:rsidRPr="00701F32" w:rsidRDefault="00C7146E" w:rsidP="003D284C">
      <w:pPr>
        <w:pStyle w:val="Ttuloprincipal"/>
        <w:ind w:left="-120"/>
        <w:jc w:val="left"/>
        <w:rPr>
          <w:rFonts w:ascii="Arial" w:hAnsi="Arial" w:cs="Arial"/>
          <w:szCs w:val="24"/>
        </w:rPr>
      </w:pPr>
      <w:r w:rsidRPr="00701F32">
        <w:rPr>
          <w:rFonts w:ascii="Arial" w:hAnsi="Arial" w:cs="Arial"/>
          <w:szCs w:val="24"/>
        </w:rPr>
        <w:t xml:space="preserve">Estados </w:t>
      </w:r>
      <w:r w:rsidR="000014C9" w:rsidRPr="00701F32">
        <w:rPr>
          <w:rFonts w:ascii="Arial" w:hAnsi="Arial" w:cs="Arial"/>
          <w:szCs w:val="24"/>
        </w:rPr>
        <w:t>financieros</w:t>
      </w:r>
      <w:r w:rsidR="00B17828" w:rsidRPr="00701F32">
        <w:rPr>
          <w:rFonts w:ascii="Arial" w:hAnsi="Arial" w:cs="Arial"/>
          <w:szCs w:val="24"/>
        </w:rPr>
        <w:t xml:space="preserve"> </w:t>
      </w:r>
      <w:r w:rsidR="00885947">
        <w:rPr>
          <w:rFonts w:ascii="Arial" w:hAnsi="Arial" w:cs="Arial"/>
          <w:szCs w:val="24"/>
        </w:rPr>
        <w:t>consolidados</w:t>
      </w:r>
      <w:r w:rsidR="007F10A7">
        <w:rPr>
          <w:rFonts w:ascii="Arial" w:hAnsi="Arial" w:cs="Arial"/>
          <w:szCs w:val="24"/>
        </w:rPr>
        <w:t xml:space="preserve"> </w:t>
      </w:r>
    </w:p>
    <w:p w14:paraId="28CE5551" w14:textId="77777777" w:rsidR="003D284C" w:rsidRPr="00701F32" w:rsidRDefault="003D284C" w:rsidP="003D284C">
      <w:pPr>
        <w:pStyle w:val="Ttuloprincipal"/>
        <w:ind w:left="-120"/>
        <w:jc w:val="left"/>
        <w:rPr>
          <w:rFonts w:ascii="Arial" w:hAnsi="Arial" w:cs="Arial"/>
          <w:szCs w:val="24"/>
        </w:rPr>
      </w:pPr>
    </w:p>
    <w:p w14:paraId="63A3272F" w14:textId="728D368E" w:rsidR="007F10A7" w:rsidRPr="00701F32" w:rsidRDefault="007F10A7" w:rsidP="007F10A7">
      <w:pPr>
        <w:pStyle w:val="Ttuloprincipal"/>
        <w:ind w:left="-120"/>
        <w:jc w:val="left"/>
        <w:rPr>
          <w:rFonts w:ascii="Arial" w:hAnsi="Arial" w:cs="Arial"/>
          <w:b w:val="0"/>
          <w:szCs w:val="24"/>
        </w:rPr>
      </w:pPr>
      <w:r w:rsidRPr="00701F32">
        <w:rPr>
          <w:rFonts w:ascii="Arial" w:hAnsi="Arial" w:cs="Arial"/>
          <w:b w:val="0"/>
          <w:szCs w:val="24"/>
        </w:rPr>
        <w:t xml:space="preserve">Correspondientes al </w:t>
      </w:r>
      <w:r w:rsidR="00EF1D79">
        <w:rPr>
          <w:rFonts w:ascii="Arial" w:hAnsi="Arial" w:cs="Arial"/>
          <w:b w:val="0"/>
          <w:szCs w:val="24"/>
        </w:rPr>
        <w:t>ejercicio económico</w:t>
      </w:r>
      <w:r w:rsidRPr="00701F32">
        <w:rPr>
          <w:rFonts w:ascii="Arial" w:hAnsi="Arial" w:cs="Arial"/>
          <w:b w:val="0"/>
          <w:szCs w:val="24"/>
        </w:rPr>
        <w:t xml:space="preserve"> finalizado el </w:t>
      </w:r>
    </w:p>
    <w:p w14:paraId="6F7E0AC6" w14:textId="002B4742" w:rsidR="00473475" w:rsidRPr="00701F32" w:rsidRDefault="007F10A7" w:rsidP="007F10A7">
      <w:pPr>
        <w:pStyle w:val="Ttuloprincipal"/>
        <w:ind w:left="-120"/>
        <w:jc w:val="left"/>
        <w:rPr>
          <w:rFonts w:ascii="Arial" w:hAnsi="Arial" w:cs="Arial"/>
          <w:b w:val="0"/>
          <w:szCs w:val="24"/>
        </w:rPr>
      </w:pPr>
      <w:r w:rsidRPr="00701F32">
        <w:rPr>
          <w:rFonts w:ascii="Arial" w:hAnsi="Arial" w:cs="Arial"/>
          <w:b w:val="0"/>
          <w:szCs w:val="24"/>
        </w:rPr>
        <w:t>3</w:t>
      </w:r>
      <w:r w:rsidR="00EF1D79">
        <w:rPr>
          <w:rFonts w:ascii="Arial" w:hAnsi="Arial" w:cs="Arial"/>
          <w:b w:val="0"/>
          <w:szCs w:val="24"/>
        </w:rPr>
        <w:t>1</w:t>
      </w:r>
      <w:r w:rsidRPr="00701F32">
        <w:rPr>
          <w:rFonts w:ascii="Arial" w:hAnsi="Arial" w:cs="Arial"/>
          <w:b w:val="0"/>
          <w:szCs w:val="24"/>
        </w:rPr>
        <w:t xml:space="preserve"> de </w:t>
      </w:r>
      <w:r w:rsidR="00EF1D79">
        <w:rPr>
          <w:rFonts w:ascii="Arial" w:hAnsi="Arial" w:cs="Arial"/>
          <w:b w:val="0"/>
          <w:szCs w:val="24"/>
        </w:rPr>
        <w:t>diciembre</w:t>
      </w:r>
      <w:r w:rsidRPr="00701F32">
        <w:rPr>
          <w:rFonts w:ascii="Arial" w:hAnsi="Arial" w:cs="Arial"/>
          <w:b w:val="0"/>
          <w:szCs w:val="24"/>
        </w:rPr>
        <w:t xml:space="preserve"> de 201</w:t>
      </w:r>
      <w:r>
        <w:rPr>
          <w:rFonts w:ascii="Arial" w:hAnsi="Arial" w:cs="Arial"/>
          <w:b w:val="0"/>
          <w:szCs w:val="24"/>
        </w:rPr>
        <w:t>9</w:t>
      </w:r>
      <w:r w:rsidRPr="00701F32">
        <w:rPr>
          <w:rFonts w:ascii="Arial" w:hAnsi="Arial" w:cs="Arial"/>
          <w:b w:val="0"/>
          <w:szCs w:val="24"/>
        </w:rPr>
        <w:t>, presentados en forma comparativ</w:t>
      </w:r>
      <w:r w:rsidR="008329D2">
        <w:rPr>
          <w:rFonts w:ascii="Arial" w:hAnsi="Arial" w:cs="Arial"/>
          <w:b w:val="0"/>
          <w:szCs w:val="24"/>
        </w:rPr>
        <w:t>a</w:t>
      </w:r>
    </w:p>
    <w:p w14:paraId="51703D59" w14:textId="77777777" w:rsidR="00C7146E" w:rsidRPr="00701F32" w:rsidRDefault="00C7146E">
      <w:pPr>
        <w:pStyle w:val="Ttuloprincipal"/>
        <w:ind w:left="3119"/>
        <w:rPr>
          <w:rFonts w:ascii="Arial" w:hAnsi="Arial" w:cs="Arial"/>
          <w:szCs w:val="24"/>
        </w:rPr>
      </w:pPr>
    </w:p>
    <w:p w14:paraId="59EE5D11" w14:textId="77777777" w:rsidR="00C7146E" w:rsidRPr="00701F32" w:rsidRDefault="00C7146E">
      <w:pPr>
        <w:pStyle w:val="Ttuloprincipal"/>
        <w:tabs>
          <w:tab w:val="left" w:pos="1701"/>
          <w:tab w:val="left" w:pos="3119"/>
        </w:tabs>
        <w:ind w:left="2127" w:hanging="142"/>
        <w:rPr>
          <w:rFonts w:ascii="Arial" w:hAnsi="Arial" w:cs="Arial"/>
          <w:szCs w:val="24"/>
        </w:rPr>
      </w:pPr>
    </w:p>
    <w:p w14:paraId="287537EF"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33EF8EBC" w14:textId="77777777" w:rsidR="00C7146E" w:rsidRPr="00701F32" w:rsidRDefault="00C7146E">
      <w:pPr>
        <w:pStyle w:val="Ttuloprincipal"/>
        <w:tabs>
          <w:tab w:val="left" w:pos="1080"/>
          <w:tab w:val="left" w:pos="1701"/>
        </w:tabs>
        <w:ind w:left="240" w:hanging="142"/>
        <w:rPr>
          <w:rFonts w:ascii="Arial" w:hAnsi="Arial" w:cs="Arial"/>
          <w:szCs w:val="24"/>
          <w:lang w:val="es-ES"/>
        </w:rPr>
      </w:pPr>
    </w:p>
    <w:p w14:paraId="0843A402"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25F78ECF"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252E69E0"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00A08594"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29313205" w14:textId="77777777" w:rsidR="00C7146E" w:rsidRPr="00701F32" w:rsidRDefault="00C7146E">
      <w:pPr>
        <w:pStyle w:val="Ttuloprincipal"/>
        <w:tabs>
          <w:tab w:val="left" w:pos="1701"/>
          <w:tab w:val="left" w:pos="3119"/>
        </w:tabs>
        <w:ind w:left="2127" w:hanging="142"/>
        <w:rPr>
          <w:rFonts w:ascii="Arial" w:hAnsi="Arial" w:cs="Arial"/>
          <w:szCs w:val="24"/>
          <w:lang w:val="es-ES"/>
        </w:rPr>
      </w:pPr>
    </w:p>
    <w:p w14:paraId="5F58A695" w14:textId="77777777" w:rsidR="00C07CB3" w:rsidRPr="00701F32" w:rsidRDefault="00C07CB3" w:rsidP="00C07CB3">
      <w:pPr>
        <w:pStyle w:val="Ttulo7"/>
        <w:ind w:left="0"/>
        <w:rPr>
          <w:rFonts w:ascii="Arial" w:hAnsi="Arial" w:cs="Arial"/>
          <w:sz w:val="24"/>
          <w:szCs w:val="24"/>
        </w:rPr>
      </w:pPr>
      <w:r w:rsidRPr="00701F32">
        <w:rPr>
          <w:rFonts w:ascii="Arial" w:hAnsi="Arial" w:cs="Arial"/>
          <w:sz w:val="24"/>
          <w:szCs w:val="24"/>
        </w:rPr>
        <w:t>Contenido</w:t>
      </w:r>
    </w:p>
    <w:p w14:paraId="66FB9362" w14:textId="77777777" w:rsidR="00C7146E" w:rsidRPr="00701F32" w:rsidRDefault="00C7146E">
      <w:pPr>
        <w:pStyle w:val="Ttuloprincipal"/>
        <w:jc w:val="left"/>
        <w:rPr>
          <w:rFonts w:ascii="Arial" w:hAnsi="Arial" w:cs="Arial"/>
          <w:bCs/>
          <w:szCs w:val="24"/>
          <w:lang w:val="es-AR" w:eastAsia="es-ES"/>
        </w:rPr>
      </w:pPr>
    </w:p>
    <w:p w14:paraId="1DFDAD5B" w14:textId="2E2905DC"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 xml:space="preserve">Estado de situación financiera </w:t>
      </w:r>
      <w:r w:rsidR="00812AED" w:rsidRPr="00701F32">
        <w:rPr>
          <w:rFonts w:ascii="Arial" w:hAnsi="Arial" w:cs="Arial"/>
          <w:b w:val="0"/>
          <w:szCs w:val="24"/>
          <w:lang w:val="es-AR"/>
        </w:rPr>
        <w:t>consolidado</w:t>
      </w:r>
    </w:p>
    <w:p w14:paraId="27F02D6E" w14:textId="76D296C5"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resultados</w:t>
      </w:r>
      <w:r w:rsidR="00812AED" w:rsidRPr="00812AED">
        <w:rPr>
          <w:rFonts w:ascii="Arial" w:hAnsi="Arial" w:cs="Arial"/>
          <w:b w:val="0"/>
          <w:szCs w:val="24"/>
          <w:lang w:val="es-AR"/>
        </w:rPr>
        <w:t xml:space="preserve"> </w:t>
      </w:r>
      <w:r w:rsidR="00812AED" w:rsidRPr="00701F32">
        <w:rPr>
          <w:rFonts w:ascii="Arial" w:hAnsi="Arial" w:cs="Arial"/>
          <w:b w:val="0"/>
          <w:szCs w:val="24"/>
          <w:lang w:val="es-AR"/>
        </w:rPr>
        <w:t>consolidado</w:t>
      </w:r>
    </w:p>
    <w:p w14:paraId="440B9417" w14:textId="07EEF935"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otros resultados integrales</w:t>
      </w:r>
      <w:r w:rsidR="00812AED" w:rsidRPr="00812AED">
        <w:rPr>
          <w:rFonts w:ascii="Arial" w:hAnsi="Arial" w:cs="Arial"/>
          <w:b w:val="0"/>
          <w:szCs w:val="24"/>
          <w:lang w:val="es-AR"/>
        </w:rPr>
        <w:t xml:space="preserve"> </w:t>
      </w:r>
      <w:r w:rsidR="00812AED" w:rsidRPr="00701F32">
        <w:rPr>
          <w:rFonts w:ascii="Arial" w:hAnsi="Arial" w:cs="Arial"/>
          <w:b w:val="0"/>
          <w:szCs w:val="24"/>
          <w:lang w:val="es-AR"/>
        </w:rPr>
        <w:t>consolidado</w:t>
      </w:r>
    </w:p>
    <w:p w14:paraId="0B3CFE41" w14:textId="75DB209F"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cambios en el patrimonio</w:t>
      </w:r>
      <w:r w:rsidR="00812AED">
        <w:rPr>
          <w:rFonts w:ascii="Arial" w:hAnsi="Arial" w:cs="Arial"/>
          <w:b w:val="0"/>
          <w:szCs w:val="24"/>
          <w:lang w:val="es-AR"/>
        </w:rPr>
        <w:t xml:space="preserve"> </w:t>
      </w:r>
      <w:r w:rsidR="00812AED" w:rsidRPr="00701F32">
        <w:rPr>
          <w:rFonts w:ascii="Arial" w:hAnsi="Arial" w:cs="Arial"/>
          <w:b w:val="0"/>
          <w:szCs w:val="24"/>
          <w:lang w:val="es-AR"/>
        </w:rPr>
        <w:t>consolidado</w:t>
      </w:r>
    </w:p>
    <w:p w14:paraId="3DF2AEC6" w14:textId="727F60B4"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flujos de efectivo consolidado</w:t>
      </w:r>
    </w:p>
    <w:p w14:paraId="2227AD62" w14:textId="1BADDDCB"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 xml:space="preserve">Notas a los estados financieros </w:t>
      </w:r>
      <w:r w:rsidR="00812AED" w:rsidRPr="00701F32">
        <w:rPr>
          <w:rFonts w:ascii="Arial" w:hAnsi="Arial" w:cs="Arial"/>
          <w:b w:val="0"/>
          <w:szCs w:val="24"/>
          <w:lang w:val="es-AR"/>
        </w:rPr>
        <w:t>consolidados</w:t>
      </w:r>
    </w:p>
    <w:p w14:paraId="67335F11" w14:textId="782266B8"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 xml:space="preserve">Anexos a los estados financieros </w:t>
      </w:r>
      <w:r w:rsidR="00812AED" w:rsidRPr="00701F32">
        <w:rPr>
          <w:rFonts w:ascii="Arial" w:hAnsi="Arial" w:cs="Arial"/>
          <w:b w:val="0"/>
          <w:szCs w:val="24"/>
          <w:lang w:val="es-AR"/>
        </w:rPr>
        <w:t>consolidados</w:t>
      </w:r>
    </w:p>
    <w:p w14:paraId="38D3008B" w14:textId="5ACBA6F7"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situación financiera</w:t>
      </w:r>
      <w:r w:rsidR="00812AED">
        <w:rPr>
          <w:rFonts w:ascii="Arial" w:hAnsi="Arial" w:cs="Arial"/>
          <w:b w:val="0"/>
          <w:szCs w:val="24"/>
          <w:lang w:val="es-AR"/>
        </w:rPr>
        <w:t xml:space="preserve"> </w:t>
      </w:r>
      <w:r w:rsidR="00812AED" w:rsidRPr="00701F32">
        <w:rPr>
          <w:rFonts w:ascii="Arial" w:hAnsi="Arial" w:cs="Arial"/>
          <w:b w:val="0"/>
          <w:szCs w:val="24"/>
          <w:lang w:val="es-AR"/>
        </w:rPr>
        <w:t>separado</w:t>
      </w:r>
    </w:p>
    <w:p w14:paraId="11C8A785" w14:textId="51D130F7"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resultados</w:t>
      </w:r>
      <w:r w:rsidR="00812AED">
        <w:rPr>
          <w:rFonts w:ascii="Arial" w:hAnsi="Arial" w:cs="Arial"/>
          <w:b w:val="0"/>
          <w:szCs w:val="24"/>
          <w:lang w:val="es-AR"/>
        </w:rPr>
        <w:t xml:space="preserve"> </w:t>
      </w:r>
      <w:r w:rsidR="00812AED" w:rsidRPr="00701F32">
        <w:rPr>
          <w:rFonts w:ascii="Arial" w:hAnsi="Arial" w:cs="Arial"/>
          <w:b w:val="0"/>
          <w:szCs w:val="24"/>
          <w:lang w:val="es-AR"/>
        </w:rPr>
        <w:t>separado</w:t>
      </w:r>
    </w:p>
    <w:p w14:paraId="59CF56AE" w14:textId="61504866"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otros resultados integrales</w:t>
      </w:r>
      <w:r w:rsidR="00812AED">
        <w:rPr>
          <w:rFonts w:ascii="Arial" w:hAnsi="Arial" w:cs="Arial"/>
          <w:b w:val="0"/>
          <w:szCs w:val="24"/>
          <w:lang w:val="es-AR"/>
        </w:rPr>
        <w:t xml:space="preserve"> </w:t>
      </w:r>
      <w:r w:rsidR="00812AED" w:rsidRPr="00701F32">
        <w:rPr>
          <w:rFonts w:ascii="Arial" w:hAnsi="Arial" w:cs="Arial"/>
          <w:b w:val="0"/>
          <w:szCs w:val="24"/>
          <w:lang w:val="es-AR"/>
        </w:rPr>
        <w:t>separado</w:t>
      </w:r>
      <w:r w:rsidRPr="00701F32">
        <w:rPr>
          <w:rFonts w:ascii="Arial" w:hAnsi="Arial" w:cs="Arial"/>
          <w:b w:val="0"/>
          <w:szCs w:val="24"/>
          <w:lang w:val="es-AR"/>
        </w:rPr>
        <w:t xml:space="preserve"> </w:t>
      </w:r>
    </w:p>
    <w:p w14:paraId="023D485A" w14:textId="5FF654A2"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cambios en el patrimonio</w:t>
      </w:r>
      <w:r w:rsidR="00812AED">
        <w:rPr>
          <w:rFonts w:ascii="Arial" w:hAnsi="Arial" w:cs="Arial"/>
          <w:b w:val="0"/>
          <w:szCs w:val="24"/>
          <w:lang w:val="es-AR"/>
        </w:rPr>
        <w:t xml:space="preserve"> </w:t>
      </w:r>
      <w:r w:rsidR="00812AED" w:rsidRPr="00701F32">
        <w:rPr>
          <w:rFonts w:ascii="Arial" w:hAnsi="Arial" w:cs="Arial"/>
          <w:b w:val="0"/>
          <w:szCs w:val="24"/>
          <w:lang w:val="es-AR"/>
        </w:rPr>
        <w:t>separado</w:t>
      </w:r>
    </w:p>
    <w:p w14:paraId="040D50D5" w14:textId="0819B40E"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Estado de flujos de efectivo</w:t>
      </w:r>
      <w:r w:rsidR="00812AED">
        <w:rPr>
          <w:rFonts w:ascii="Arial" w:hAnsi="Arial" w:cs="Arial"/>
          <w:b w:val="0"/>
          <w:szCs w:val="24"/>
          <w:lang w:val="es-AR"/>
        </w:rPr>
        <w:t xml:space="preserve"> </w:t>
      </w:r>
      <w:r w:rsidR="00812AED" w:rsidRPr="00701F32">
        <w:rPr>
          <w:rFonts w:ascii="Arial" w:hAnsi="Arial" w:cs="Arial"/>
          <w:b w:val="0"/>
          <w:szCs w:val="24"/>
          <w:lang w:val="es-AR"/>
        </w:rPr>
        <w:t>separado</w:t>
      </w:r>
    </w:p>
    <w:p w14:paraId="0DE2AE56" w14:textId="5D1D3176"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 xml:space="preserve">Notas a los estados financieros </w:t>
      </w:r>
      <w:r w:rsidR="00812AED" w:rsidRPr="00701F32">
        <w:rPr>
          <w:rFonts w:ascii="Arial" w:hAnsi="Arial" w:cs="Arial"/>
          <w:b w:val="0"/>
          <w:szCs w:val="24"/>
          <w:lang w:val="es-AR"/>
        </w:rPr>
        <w:t>separados</w:t>
      </w:r>
    </w:p>
    <w:p w14:paraId="4C46D121" w14:textId="43FF546F" w:rsidR="007F10A7" w:rsidRPr="00701F32" w:rsidRDefault="007F10A7" w:rsidP="007F10A7">
      <w:pPr>
        <w:pStyle w:val="Ttuloprincipal"/>
        <w:jc w:val="left"/>
        <w:rPr>
          <w:rFonts w:ascii="Arial" w:hAnsi="Arial" w:cs="Arial"/>
          <w:b w:val="0"/>
          <w:szCs w:val="24"/>
          <w:lang w:val="es-AR"/>
        </w:rPr>
      </w:pPr>
      <w:r w:rsidRPr="00701F32">
        <w:rPr>
          <w:rFonts w:ascii="Arial" w:hAnsi="Arial" w:cs="Arial"/>
          <w:b w:val="0"/>
          <w:szCs w:val="24"/>
          <w:lang w:val="es-AR"/>
        </w:rPr>
        <w:t xml:space="preserve">Anexos a los estados financieros </w:t>
      </w:r>
      <w:r w:rsidR="00812AED" w:rsidRPr="00701F32">
        <w:rPr>
          <w:rFonts w:ascii="Arial" w:hAnsi="Arial" w:cs="Arial"/>
          <w:b w:val="0"/>
          <w:szCs w:val="24"/>
          <w:lang w:val="es-AR"/>
        </w:rPr>
        <w:t>separados</w:t>
      </w:r>
    </w:p>
    <w:p w14:paraId="5F17F741" w14:textId="51870211" w:rsidR="00030E28" w:rsidRDefault="00030E28" w:rsidP="00AD0421">
      <w:pPr>
        <w:pStyle w:val="Ttuloprincipal"/>
        <w:jc w:val="left"/>
        <w:rPr>
          <w:rFonts w:ascii="Arial" w:hAnsi="Arial" w:cs="Arial"/>
          <w:b w:val="0"/>
          <w:szCs w:val="24"/>
          <w:lang w:val="es-AR"/>
        </w:rPr>
      </w:pPr>
      <w:r w:rsidRPr="00701F32">
        <w:rPr>
          <w:rFonts w:ascii="Arial" w:hAnsi="Arial" w:cs="Arial"/>
          <w:b w:val="0"/>
          <w:szCs w:val="24"/>
          <w:lang w:val="es-AR"/>
        </w:rPr>
        <w:t>Reseña informativa</w:t>
      </w:r>
    </w:p>
    <w:p w14:paraId="436723E9" w14:textId="1D7B2EE1" w:rsidR="00AC4856" w:rsidRPr="00701F32" w:rsidRDefault="00AC4856" w:rsidP="00AD0421">
      <w:pPr>
        <w:pStyle w:val="Ttuloprincipal"/>
        <w:jc w:val="left"/>
        <w:rPr>
          <w:rFonts w:ascii="Arial" w:hAnsi="Arial" w:cs="Arial"/>
          <w:b w:val="0"/>
          <w:szCs w:val="24"/>
          <w:lang w:val="es-AR"/>
        </w:rPr>
      </w:pPr>
      <w:r>
        <w:rPr>
          <w:rFonts w:ascii="Arial" w:hAnsi="Arial" w:cs="Arial"/>
          <w:b w:val="0"/>
          <w:szCs w:val="24"/>
          <w:lang w:val="es-AR"/>
        </w:rPr>
        <w:t>Información adicional</w:t>
      </w:r>
    </w:p>
    <w:p w14:paraId="357561AA" w14:textId="3556F4A0" w:rsidR="00FD34B9" w:rsidRPr="00701F32" w:rsidRDefault="00B52466" w:rsidP="00FD34B9">
      <w:pPr>
        <w:pStyle w:val="Ttuloprincipal"/>
        <w:jc w:val="left"/>
        <w:rPr>
          <w:rFonts w:ascii="Arial" w:hAnsi="Arial" w:cs="Arial"/>
          <w:b w:val="0"/>
          <w:szCs w:val="24"/>
          <w:lang w:val="es-AR"/>
        </w:rPr>
      </w:pPr>
      <w:r w:rsidRPr="00B52466">
        <w:rPr>
          <w:rFonts w:ascii="Arial" w:hAnsi="Arial" w:cs="Arial"/>
          <w:b w:val="0"/>
          <w:szCs w:val="24"/>
          <w:lang w:val="es-AR"/>
        </w:rPr>
        <w:t xml:space="preserve">Informe </w:t>
      </w:r>
      <w:r w:rsidR="007F10A7">
        <w:rPr>
          <w:rFonts w:ascii="Arial" w:hAnsi="Arial" w:cs="Arial"/>
          <w:b w:val="0"/>
          <w:szCs w:val="24"/>
          <w:lang w:val="es-AR"/>
        </w:rPr>
        <w:t xml:space="preserve">del </w:t>
      </w:r>
      <w:r w:rsidR="00FD34B9" w:rsidRPr="00B52466">
        <w:rPr>
          <w:rFonts w:ascii="Arial" w:hAnsi="Arial" w:cs="Arial"/>
          <w:b w:val="0"/>
          <w:szCs w:val="24"/>
          <w:lang w:val="es-AR"/>
        </w:rPr>
        <w:t>auditor independiente</w:t>
      </w:r>
    </w:p>
    <w:p w14:paraId="7330838E" w14:textId="31F6DD7B" w:rsidR="008E2F1B" w:rsidRPr="00701F32" w:rsidRDefault="00C07CB3">
      <w:pPr>
        <w:pStyle w:val="Ttuloprincipal"/>
        <w:jc w:val="left"/>
        <w:rPr>
          <w:rFonts w:ascii="Arial" w:hAnsi="Arial" w:cs="Arial"/>
          <w:b w:val="0"/>
          <w:noProof/>
          <w:szCs w:val="24"/>
          <w:lang w:val="es-AR" w:eastAsia="es-AR"/>
        </w:rPr>
      </w:pPr>
      <w:r w:rsidRPr="00701F32">
        <w:rPr>
          <w:rFonts w:ascii="Arial" w:hAnsi="Arial" w:cs="Arial"/>
          <w:b w:val="0"/>
          <w:noProof/>
          <w:szCs w:val="24"/>
          <w:lang w:val="es-AR" w:eastAsia="es-AR"/>
        </w:rPr>
        <w:t>Informe de la comisión fiscalizador</w:t>
      </w:r>
      <w:r w:rsidR="00CB0A40">
        <w:rPr>
          <w:rFonts w:ascii="Arial" w:hAnsi="Arial" w:cs="Arial"/>
          <w:b w:val="0"/>
          <w:noProof/>
          <w:szCs w:val="24"/>
          <w:lang w:val="es-AR" w:eastAsia="es-AR"/>
        </w:rPr>
        <w:t>a</w:t>
      </w:r>
    </w:p>
    <w:p w14:paraId="2733E5C2" w14:textId="77777777" w:rsidR="00C7146E" w:rsidRPr="00701F32" w:rsidRDefault="00286343">
      <w:pPr>
        <w:pStyle w:val="Ttuloprincipal"/>
        <w:tabs>
          <w:tab w:val="left" w:pos="1701"/>
          <w:tab w:val="left" w:pos="3119"/>
        </w:tabs>
        <w:ind w:left="2127" w:hanging="142"/>
        <w:rPr>
          <w:rFonts w:ascii="Arial" w:hAnsi="Arial" w:cs="Arial"/>
          <w:szCs w:val="24"/>
          <w:lang w:val="es-AR"/>
        </w:rPr>
      </w:pPr>
      <w:r w:rsidRPr="00701F32">
        <w:rPr>
          <w:rFonts w:ascii="Arial" w:hAnsi="Arial" w:cs="Arial"/>
          <w:szCs w:val="24"/>
          <w:lang w:val="es-AR"/>
        </w:rPr>
        <w:tab/>
      </w:r>
    </w:p>
    <w:p w14:paraId="0D021108" w14:textId="77777777" w:rsidR="00C7146E" w:rsidRPr="00701F32" w:rsidRDefault="00C7146E" w:rsidP="00A770AD">
      <w:pPr>
        <w:pStyle w:val="Ttuloprincipal"/>
        <w:tabs>
          <w:tab w:val="left" w:pos="1701"/>
          <w:tab w:val="left" w:pos="3119"/>
        </w:tabs>
        <w:ind w:left="1701" w:hanging="1701"/>
        <w:jc w:val="left"/>
        <w:rPr>
          <w:rFonts w:ascii="Arial" w:hAnsi="Arial" w:cs="Arial"/>
          <w:szCs w:val="24"/>
          <w:lang w:val="es-AR"/>
        </w:rPr>
      </w:pPr>
    </w:p>
    <w:p w14:paraId="2354134F" w14:textId="77777777" w:rsidR="009C772C" w:rsidRPr="00701F32" w:rsidRDefault="009C772C" w:rsidP="00333643">
      <w:pPr>
        <w:pStyle w:val="Ttuloprincipal"/>
        <w:tabs>
          <w:tab w:val="left" w:pos="1701"/>
          <w:tab w:val="left" w:pos="3119"/>
        </w:tabs>
        <w:ind w:left="2127" w:hanging="142"/>
        <w:rPr>
          <w:rFonts w:ascii="Arial" w:hAnsi="Arial" w:cs="Arial"/>
          <w:b w:val="0"/>
          <w:szCs w:val="24"/>
        </w:rPr>
      </w:pPr>
    </w:p>
    <w:p w14:paraId="6B758867" w14:textId="77777777" w:rsidR="009C772C" w:rsidRPr="00701F32" w:rsidRDefault="009C772C" w:rsidP="00F71E65">
      <w:pPr>
        <w:pStyle w:val="Texto"/>
        <w:tabs>
          <w:tab w:val="left" w:pos="6120"/>
        </w:tabs>
        <w:rPr>
          <w:rFonts w:ascii="Arial" w:hAnsi="Arial" w:cs="Arial"/>
          <w:b/>
          <w:sz w:val="24"/>
          <w:szCs w:val="24"/>
        </w:rPr>
      </w:pPr>
    </w:p>
    <w:p w14:paraId="16FEB4EE" w14:textId="77777777" w:rsidR="009C772C" w:rsidRPr="00701F32" w:rsidRDefault="009C772C" w:rsidP="009C772C">
      <w:pPr>
        <w:pStyle w:val="Ttuloprincipal"/>
        <w:ind w:left="-120"/>
        <w:jc w:val="left"/>
        <w:rPr>
          <w:rFonts w:ascii="Arial" w:hAnsi="Arial" w:cs="Arial"/>
          <w:szCs w:val="24"/>
        </w:rPr>
      </w:pPr>
    </w:p>
    <w:p w14:paraId="446FDC50" w14:textId="77777777" w:rsidR="00F23240" w:rsidRPr="00701F32" w:rsidRDefault="00F23240" w:rsidP="0065628D">
      <w:pPr>
        <w:pStyle w:val="Ttuloprincipal"/>
        <w:jc w:val="left"/>
        <w:rPr>
          <w:rFonts w:ascii="Arial" w:hAnsi="Arial" w:cs="Arial"/>
          <w:b w:val="0"/>
          <w:szCs w:val="24"/>
        </w:rPr>
      </w:pPr>
    </w:p>
    <w:p w14:paraId="1263B857" w14:textId="77777777" w:rsidR="008E2F1B" w:rsidRPr="00701F32" w:rsidRDefault="008E2F1B" w:rsidP="0065628D">
      <w:pPr>
        <w:pStyle w:val="Ttuloprincipal"/>
        <w:jc w:val="left"/>
        <w:rPr>
          <w:rFonts w:ascii="Arial" w:hAnsi="Arial" w:cs="Arial"/>
          <w:b w:val="0"/>
          <w:szCs w:val="24"/>
        </w:rPr>
      </w:pPr>
    </w:p>
    <w:p w14:paraId="16A39BD4" w14:textId="77777777" w:rsidR="008E2F1B" w:rsidRPr="00701F32" w:rsidRDefault="008E2F1B" w:rsidP="0065628D">
      <w:pPr>
        <w:pStyle w:val="Ttuloprincipal"/>
        <w:jc w:val="left"/>
        <w:rPr>
          <w:rFonts w:ascii="Arial" w:hAnsi="Arial" w:cs="Arial"/>
          <w:b w:val="0"/>
          <w:szCs w:val="24"/>
        </w:rPr>
      </w:pPr>
    </w:p>
    <w:p w14:paraId="1D9DCCAA" w14:textId="77777777" w:rsidR="008E2F1B" w:rsidRPr="00701F32" w:rsidRDefault="008E2F1B" w:rsidP="008E2F1B">
      <w:pPr>
        <w:pStyle w:val="Ttuloprincipal"/>
        <w:jc w:val="left"/>
        <w:rPr>
          <w:rFonts w:ascii="Arial" w:hAnsi="Arial" w:cs="Arial"/>
          <w:b w:val="0"/>
          <w:szCs w:val="24"/>
        </w:rPr>
      </w:pPr>
    </w:p>
    <w:p w14:paraId="49C15586" w14:textId="77777777" w:rsidR="008E2F1B" w:rsidRPr="00701F32" w:rsidRDefault="008E2F1B" w:rsidP="008E2F1B">
      <w:pPr>
        <w:pStyle w:val="Ttuloprincipal"/>
        <w:jc w:val="left"/>
        <w:rPr>
          <w:rFonts w:ascii="Arial" w:hAnsi="Arial" w:cs="Arial"/>
          <w:b w:val="0"/>
          <w:szCs w:val="24"/>
        </w:rPr>
      </w:pPr>
    </w:p>
    <w:p w14:paraId="18FABF43" w14:textId="77777777" w:rsidR="00333643" w:rsidRPr="00701F32" w:rsidRDefault="00333643" w:rsidP="00333643">
      <w:pPr>
        <w:pStyle w:val="Ttuloprincipal"/>
        <w:ind w:left="-120"/>
        <w:jc w:val="left"/>
        <w:rPr>
          <w:rFonts w:ascii="Arial" w:hAnsi="Arial" w:cs="Arial"/>
          <w:szCs w:val="24"/>
        </w:rPr>
      </w:pPr>
      <w:r w:rsidRPr="00701F32">
        <w:rPr>
          <w:rFonts w:ascii="Arial" w:hAnsi="Arial" w:cs="Arial"/>
          <w:szCs w:val="24"/>
        </w:rPr>
        <w:t>BANCO SUPERVIELLE S.A.</w:t>
      </w:r>
    </w:p>
    <w:p w14:paraId="66882F0D" w14:textId="77777777" w:rsidR="00333643" w:rsidRPr="00701F32" w:rsidRDefault="00333643" w:rsidP="00333643">
      <w:pPr>
        <w:pStyle w:val="Ttuloprincipal"/>
        <w:ind w:left="-120"/>
        <w:rPr>
          <w:rFonts w:ascii="Arial" w:hAnsi="Arial" w:cs="Arial"/>
          <w:szCs w:val="24"/>
        </w:rPr>
      </w:pPr>
    </w:p>
    <w:p w14:paraId="1181EB07" w14:textId="77777777" w:rsidR="00333643" w:rsidRPr="00701F32" w:rsidRDefault="00333643" w:rsidP="00333643">
      <w:pPr>
        <w:pStyle w:val="Ttuloprincipal"/>
        <w:ind w:left="-120"/>
        <w:jc w:val="left"/>
        <w:rPr>
          <w:rFonts w:ascii="Arial" w:hAnsi="Arial" w:cs="Arial"/>
          <w:szCs w:val="24"/>
        </w:rPr>
      </w:pPr>
    </w:p>
    <w:p w14:paraId="40223533" w14:textId="63F370D8" w:rsidR="00333643" w:rsidRPr="00701F32" w:rsidRDefault="00333643" w:rsidP="00333643">
      <w:pPr>
        <w:pStyle w:val="Ttuloprincipal"/>
        <w:ind w:left="-120"/>
        <w:jc w:val="left"/>
        <w:rPr>
          <w:rFonts w:ascii="Arial" w:hAnsi="Arial" w:cs="Arial"/>
          <w:szCs w:val="24"/>
        </w:rPr>
      </w:pPr>
      <w:r w:rsidRPr="00701F32">
        <w:rPr>
          <w:rFonts w:ascii="Arial" w:hAnsi="Arial" w:cs="Arial"/>
          <w:szCs w:val="24"/>
        </w:rPr>
        <w:t xml:space="preserve">Estados </w:t>
      </w:r>
      <w:r w:rsidR="00B0586C" w:rsidRPr="00701F32">
        <w:rPr>
          <w:rFonts w:ascii="Arial" w:hAnsi="Arial" w:cs="Arial"/>
          <w:szCs w:val="24"/>
        </w:rPr>
        <w:t>financieros</w:t>
      </w:r>
      <w:r w:rsidR="00DC12EA" w:rsidRPr="00701F32">
        <w:rPr>
          <w:rFonts w:ascii="Arial" w:hAnsi="Arial" w:cs="Arial"/>
          <w:szCs w:val="24"/>
        </w:rPr>
        <w:t xml:space="preserve"> </w:t>
      </w:r>
      <w:r w:rsidR="0085791D" w:rsidRPr="00701F32">
        <w:rPr>
          <w:rFonts w:ascii="Arial" w:hAnsi="Arial" w:cs="Arial"/>
          <w:szCs w:val="24"/>
        </w:rPr>
        <w:t>consolidados</w:t>
      </w:r>
    </w:p>
    <w:p w14:paraId="7B5FAE34" w14:textId="77777777" w:rsidR="00333643" w:rsidRPr="00701F32" w:rsidRDefault="00333643" w:rsidP="00333643">
      <w:pPr>
        <w:pStyle w:val="Ttuloprincipal"/>
        <w:ind w:left="-120"/>
        <w:jc w:val="left"/>
        <w:rPr>
          <w:rFonts w:ascii="Arial" w:hAnsi="Arial" w:cs="Arial"/>
          <w:szCs w:val="24"/>
        </w:rPr>
      </w:pPr>
    </w:p>
    <w:p w14:paraId="20AB0870" w14:textId="4F030139" w:rsidR="00184D53" w:rsidRPr="00701F32" w:rsidRDefault="00184D53" w:rsidP="00184D53">
      <w:pPr>
        <w:pStyle w:val="Ttuloprincipal"/>
        <w:ind w:left="-120"/>
        <w:jc w:val="left"/>
        <w:rPr>
          <w:rFonts w:ascii="Arial" w:hAnsi="Arial" w:cs="Arial"/>
          <w:b w:val="0"/>
          <w:szCs w:val="24"/>
        </w:rPr>
      </w:pPr>
      <w:r w:rsidRPr="00701F32">
        <w:rPr>
          <w:rFonts w:ascii="Arial" w:hAnsi="Arial" w:cs="Arial"/>
          <w:b w:val="0"/>
          <w:szCs w:val="24"/>
        </w:rPr>
        <w:t xml:space="preserve">Correspondientes al </w:t>
      </w:r>
      <w:r w:rsidR="00EF1D79">
        <w:rPr>
          <w:rFonts w:ascii="Arial" w:hAnsi="Arial" w:cs="Arial"/>
          <w:b w:val="0"/>
          <w:szCs w:val="24"/>
        </w:rPr>
        <w:t>ejercicio económico</w:t>
      </w:r>
      <w:r w:rsidRPr="00701F32">
        <w:rPr>
          <w:rFonts w:ascii="Arial" w:hAnsi="Arial" w:cs="Arial"/>
          <w:b w:val="0"/>
          <w:szCs w:val="24"/>
        </w:rPr>
        <w:t xml:space="preserve"> finalizado el </w:t>
      </w:r>
    </w:p>
    <w:p w14:paraId="5C6F7ACA" w14:textId="4ED040B6" w:rsidR="00333643" w:rsidRPr="00701F32" w:rsidRDefault="00184D53" w:rsidP="00184D53">
      <w:pPr>
        <w:pStyle w:val="Ttuloprincipal"/>
        <w:ind w:left="-120"/>
        <w:jc w:val="left"/>
        <w:rPr>
          <w:rFonts w:ascii="Arial" w:hAnsi="Arial" w:cs="Arial"/>
          <w:b w:val="0"/>
          <w:szCs w:val="24"/>
        </w:rPr>
      </w:pPr>
      <w:r w:rsidRPr="00701F32">
        <w:rPr>
          <w:rFonts w:ascii="Arial" w:hAnsi="Arial" w:cs="Arial"/>
          <w:b w:val="0"/>
          <w:szCs w:val="24"/>
        </w:rPr>
        <w:t>3</w:t>
      </w:r>
      <w:r w:rsidR="00EF1D79">
        <w:rPr>
          <w:rFonts w:ascii="Arial" w:hAnsi="Arial" w:cs="Arial"/>
          <w:b w:val="0"/>
          <w:szCs w:val="24"/>
        </w:rPr>
        <w:t>1</w:t>
      </w:r>
      <w:r w:rsidRPr="00701F32">
        <w:rPr>
          <w:rFonts w:ascii="Arial" w:hAnsi="Arial" w:cs="Arial"/>
          <w:b w:val="0"/>
          <w:szCs w:val="24"/>
        </w:rPr>
        <w:t xml:space="preserve"> de </w:t>
      </w:r>
      <w:r w:rsidR="00EF1D79">
        <w:rPr>
          <w:rFonts w:ascii="Arial" w:hAnsi="Arial" w:cs="Arial"/>
          <w:b w:val="0"/>
          <w:szCs w:val="24"/>
        </w:rPr>
        <w:t>diciembre</w:t>
      </w:r>
      <w:r w:rsidR="00707D83" w:rsidRPr="00701F32">
        <w:rPr>
          <w:rFonts w:ascii="Arial" w:hAnsi="Arial" w:cs="Arial"/>
          <w:b w:val="0"/>
          <w:szCs w:val="24"/>
        </w:rPr>
        <w:t xml:space="preserve"> </w:t>
      </w:r>
      <w:r w:rsidRPr="00701F32">
        <w:rPr>
          <w:rFonts w:ascii="Arial" w:hAnsi="Arial" w:cs="Arial"/>
          <w:b w:val="0"/>
          <w:szCs w:val="24"/>
        </w:rPr>
        <w:t>de 201</w:t>
      </w:r>
      <w:r w:rsidR="007F10A7">
        <w:rPr>
          <w:rFonts w:ascii="Arial" w:hAnsi="Arial" w:cs="Arial"/>
          <w:b w:val="0"/>
          <w:szCs w:val="24"/>
        </w:rPr>
        <w:t>9</w:t>
      </w:r>
      <w:r w:rsidRPr="00701F32">
        <w:rPr>
          <w:rFonts w:ascii="Arial" w:hAnsi="Arial" w:cs="Arial"/>
          <w:b w:val="0"/>
          <w:szCs w:val="24"/>
        </w:rPr>
        <w:t>, presentados en forma comparativa</w:t>
      </w:r>
    </w:p>
    <w:p w14:paraId="3BC689E0" w14:textId="77777777" w:rsidR="00333643" w:rsidRPr="00701F32" w:rsidRDefault="00333643" w:rsidP="00333643">
      <w:pPr>
        <w:pStyle w:val="Ttuloprincipal"/>
        <w:jc w:val="left"/>
        <w:rPr>
          <w:rFonts w:ascii="Arial" w:hAnsi="Arial" w:cs="Arial"/>
          <w:b w:val="0"/>
          <w:szCs w:val="24"/>
        </w:rPr>
      </w:pPr>
    </w:p>
    <w:p w14:paraId="4AA41ED5" w14:textId="77777777" w:rsidR="00333643" w:rsidRPr="00701F32" w:rsidRDefault="00333643" w:rsidP="00333643">
      <w:pPr>
        <w:pStyle w:val="Ttuloprincipal"/>
        <w:jc w:val="left"/>
        <w:rPr>
          <w:rFonts w:ascii="Arial" w:hAnsi="Arial" w:cs="Arial"/>
          <w:b w:val="0"/>
          <w:szCs w:val="24"/>
        </w:rPr>
      </w:pPr>
    </w:p>
    <w:p w14:paraId="153F9DA9" w14:textId="77777777" w:rsidR="008E2F1B" w:rsidRPr="00701F32" w:rsidRDefault="008E2F1B" w:rsidP="008E2F1B">
      <w:pPr>
        <w:pStyle w:val="Ttuloprincipal"/>
        <w:jc w:val="left"/>
        <w:rPr>
          <w:rFonts w:ascii="Arial" w:hAnsi="Arial" w:cs="Arial"/>
          <w:b w:val="0"/>
          <w:szCs w:val="24"/>
        </w:rPr>
      </w:pPr>
    </w:p>
    <w:p w14:paraId="44900C6C" w14:textId="77777777" w:rsidR="008E2F1B" w:rsidRPr="00701F32" w:rsidRDefault="008E2F1B" w:rsidP="008E2F1B">
      <w:pPr>
        <w:pStyle w:val="Ttuloprincipal"/>
        <w:jc w:val="left"/>
        <w:rPr>
          <w:rFonts w:ascii="Arial" w:hAnsi="Arial" w:cs="Arial"/>
          <w:b w:val="0"/>
          <w:szCs w:val="24"/>
        </w:rPr>
      </w:pPr>
    </w:p>
    <w:p w14:paraId="653975A1" w14:textId="77777777" w:rsidR="008E2F1B" w:rsidRPr="00701F32" w:rsidRDefault="008E2F1B" w:rsidP="008E2F1B">
      <w:pPr>
        <w:pStyle w:val="Ttuloprincipal"/>
        <w:jc w:val="left"/>
        <w:rPr>
          <w:rFonts w:ascii="Arial" w:hAnsi="Arial" w:cs="Arial"/>
          <w:b w:val="0"/>
          <w:szCs w:val="24"/>
        </w:rPr>
      </w:pPr>
    </w:p>
    <w:p w14:paraId="68629EFE" w14:textId="77777777" w:rsidR="008E2F1B" w:rsidRPr="00701F32" w:rsidRDefault="008E2F1B" w:rsidP="008E2F1B">
      <w:pPr>
        <w:pStyle w:val="Ttuloprincipal"/>
        <w:jc w:val="left"/>
        <w:rPr>
          <w:rFonts w:ascii="Arial" w:hAnsi="Arial" w:cs="Arial"/>
          <w:b w:val="0"/>
          <w:szCs w:val="24"/>
        </w:rPr>
      </w:pPr>
    </w:p>
    <w:p w14:paraId="2A7A59A1" w14:textId="77777777" w:rsidR="008E2F1B" w:rsidRPr="00701F32" w:rsidRDefault="008E2F1B" w:rsidP="008E2F1B">
      <w:pPr>
        <w:pStyle w:val="Ttuloprincipal"/>
        <w:jc w:val="left"/>
        <w:rPr>
          <w:rFonts w:ascii="Arial" w:hAnsi="Arial" w:cs="Arial"/>
          <w:b w:val="0"/>
          <w:szCs w:val="24"/>
        </w:rPr>
      </w:pPr>
    </w:p>
    <w:p w14:paraId="32CD49C9" w14:textId="77777777" w:rsidR="008E2F1B" w:rsidRPr="00701F32" w:rsidRDefault="008E2F1B" w:rsidP="008E2F1B">
      <w:pPr>
        <w:pStyle w:val="Ttuloprincipal"/>
        <w:jc w:val="left"/>
        <w:rPr>
          <w:rFonts w:ascii="Arial" w:hAnsi="Arial" w:cs="Arial"/>
          <w:b w:val="0"/>
          <w:szCs w:val="24"/>
        </w:rPr>
      </w:pPr>
    </w:p>
    <w:p w14:paraId="089464C3" w14:textId="77777777" w:rsidR="008E2F1B" w:rsidRPr="00701F32" w:rsidRDefault="008E2F1B" w:rsidP="008E2F1B">
      <w:pPr>
        <w:pStyle w:val="Ttuloprincipal"/>
        <w:jc w:val="left"/>
        <w:rPr>
          <w:rFonts w:ascii="Arial" w:hAnsi="Arial" w:cs="Arial"/>
          <w:b w:val="0"/>
          <w:szCs w:val="24"/>
        </w:rPr>
      </w:pPr>
    </w:p>
    <w:p w14:paraId="3FEA3DEB" w14:textId="77777777" w:rsidR="008E2F1B" w:rsidRPr="00701F32" w:rsidRDefault="008E2F1B" w:rsidP="008E2F1B">
      <w:pPr>
        <w:pStyle w:val="Ttuloprincipal"/>
        <w:jc w:val="left"/>
        <w:rPr>
          <w:rFonts w:ascii="Arial" w:hAnsi="Arial" w:cs="Arial"/>
          <w:b w:val="0"/>
          <w:szCs w:val="24"/>
        </w:rPr>
      </w:pPr>
    </w:p>
    <w:p w14:paraId="1856393D" w14:textId="77777777" w:rsidR="008E2F1B" w:rsidRPr="00701F32" w:rsidRDefault="008E2F1B" w:rsidP="008E2F1B">
      <w:pPr>
        <w:pStyle w:val="Ttuloprincipal"/>
        <w:jc w:val="left"/>
        <w:rPr>
          <w:rFonts w:ascii="Arial" w:hAnsi="Arial" w:cs="Arial"/>
          <w:b w:val="0"/>
          <w:szCs w:val="24"/>
        </w:rPr>
      </w:pPr>
    </w:p>
    <w:p w14:paraId="3EDE9CF8" w14:textId="77777777" w:rsidR="008E2F1B" w:rsidRPr="00701F32" w:rsidRDefault="008E2F1B" w:rsidP="008E2F1B">
      <w:pPr>
        <w:pStyle w:val="Ttuloprincipal"/>
        <w:jc w:val="left"/>
        <w:rPr>
          <w:rFonts w:ascii="Arial" w:hAnsi="Arial" w:cs="Arial"/>
          <w:b w:val="0"/>
          <w:szCs w:val="24"/>
        </w:rPr>
      </w:pPr>
    </w:p>
    <w:p w14:paraId="7D38BEB1" w14:textId="77777777" w:rsidR="008E2F1B" w:rsidRPr="00701F32" w:rsidRDefault="008E2F1B" w:rsidP="008E2F1B">
      <w:pPr>
        <w:pStyle w:val="Ttuloprincipal"/>
        <w:jc w:val="left"/>
        <w:rPr>
          <w:rFonts w:ascii="Arial" w:hAnsi="Arial" w:cs="Arial"/>
          <w:b w:val="0"/>
          <w:szCs w:val="24"/>
        </w:rPr>
      </w:pPr>
    </w:p>
    <w:p w14:paraId="04F87C06" w14:textId="77777777" w:rsidR="008E2F1B" w:rsidRPr="00701F32" w:rsidRDefault="008E2F1B" w:rsidP="008E2F1B">
      <w:pPr>
        <w:pStyle w:val="Ttuloprincipal"/>
        <w:jc w:val="left"/>
        <w:rPr>
          <w:rFonts w:ascii="Arial" w:hAnsi="Arial" w:cs="Arial"/>
          <w:b w:val="0"/>
          <w:szCs w:val="24"/>
        </w:rPr>
      </w:pPr>
    </w:p>
    <w:p w14:paraId="4BBA9F10" w14:textId="77777777" w:rsidR="00765726" w:rsidRPr="00701F32" w:rsidRDefault="00765726" w:rsidP="008E2F1B">
      <w:pPr>
        <w:pStyle w:val="Ttuloprincipal"/>
        <w:jc w:val="left"/>
        <w:rPr>
          <w:rFonts w:ascii="Arial" w:hAnsi="Arial" w:cs="Arial"/>
          <w:b w:val="0"/>
          <w:szCs w:val="24"/>
        </w:rPr>
      </w:pPr>
    </w:p>
    <w:p w14:paraId="5174FB15" w14:textId="77777777" w:rsidR="008E2F1B" w:rsidRPr="00701F32" w:rsidRDefault="008E2F1B" w:rsidP="008E2F1B">
      <w:pPr>
        <w:pStyle w:val="Ttuloprincipal"/>
        <w:jc w:val="left"/>
        <w:rPr>
          <w:rFonts w:ascii="Arial" w:hAnsi="Arial" w:cs="Arial"/>
          <w:b w:val="0"/>
          <w:szCs w:val="24"/>
        </w:rPr>
      </w:pPr>
    </w:p>
    <w:p w14:paraId="0FD13F68" w14:textId="77777777" w:rsidR="008E2F1B" w:rsidRPr="00701F32" w:rsidRDefault="008E2F1B" w:rsidP="008E2F1B">
      <w:pPr>
        <w:pStyle w:val="Ttuloprincipal"/>
        <w:jc w:val="left"/>
        <w:rPr>
          <w:rFonts w:ascii="Arial" w:hAnsi="Arial" w:cs="Arial"/>
          <w:b w:val="0"/>
          <w:szCs w:val="24"/>
        </w:rPr>
      </w:pPr>
    </w:p>
    <w:p w14:paraId="697A2609" w14:textId="77777777" w:rsidR="008E2F1B" w:rsidRPr="00701F32" w:rsidRDefault="008E2F1B" w:rsidP="008E2F1B">
      <w:pPr>
        <w:pStyle w:val="Ttuloprincipal"/>
        <w:jc w:val="left"/>
        <w:rPr>
          <w:rFonts w:ascii="Arial" w:hAnsi="Arial" w:cs="Arial"/>
          <w:b w:val="0"/>
          <w:szCs w:val="24"/>
        </w:rPr>
      </w:pPr>
    </w:p>
    <w:p w14:paraId="0E121C63" w14:textId="77777777" w:rsidR="008E2F1B" w:rsidRPr="00701F32" w:rsidRDefault="008E2F1B" w:rsidP="008E2F1B">
      <w:pPr>
        <w:pStyle w:val="Ttuloprincipal"/>
        <w:jc w:val="left"/>
        <w:rPr>
          <w:rFonts w:ascii="Arial" w:hAnsi="Arial" w:cs="Arial"/>
          <w:b w:val="0"/>
          <w:szCs w:val="24"/>
        </w:rPr>
      </w:pPr>
    </w:p>
    <w:p w14:paraId="67D7B1C4" w14:textId="77777777" w:rsidR="008E2F1B" w:rsidRPr="00701F32" w:rsidRDefault="008E2F1B" w:rsidP="008E2F1B">
      <w:pPr>
        <w:pStyle w:val="Ttuloprincipal"/>
        <w:jc w:val="left"/>
        <w:rPr>
          <w:rFonts w:ascii="Arial" w:hAnsi="Arial" w:cs="Arial"/>
          <w:b w:val="0"/>
          <w:szCs w:val="24"/>
        </w:rPr>
      </w:pPr>
    </w:p>
    <w:p w14:paraId="58CBA80F" w14:textId="77777777" w:rsidR="00DC12EA" w:rsidRPr="00701F32" w:rsidRDefault="00DC12EA" w:rsidP="008E2F1B">
      <w:pPr>
        <w:pStyle w:val="Ttuloprincipal"/>
        <w:jc w:val="left"/>
        <w:rPr>
          <w:rFonts w:ascii="Arial" w:hAnsi="Arial" w:cs="Arial"/>
          <w:b w:val="0"/>
          <w:szCs w:val="24"/>
        </w:rPr>
      </w:pPr>
    </w:p>
    <w:p w14:paraId="17FB2AF5" w14:textId="77777777" w:rsidR="00B73FC6" w:rsidRPr="00701F32" w:rsidRDefault="00B73FC6" w:rsidP="008E2F1B">
      <w:pPr>
        <w:pStyle w:val="Ttuloprincipal"/>
        <w:jc w:val="left"/>
        <w:rPr>
          <w:rFonts w:ascii="Arial" w:hAnsi="Arial" w:cs="Arial"/>
          <w:b w:val="0"/>
          <w:szCs w:val="24"/>
        </w:rPr>
      </w:pPr>
    </w:p>
    <w:p w14:paraId="19ABB4E0" w14:textId="77777777" w:rsidR="008E2F1B" w:rsidRPr="00701F32" w:rsidRDefault="008E2F1B" w:rsidP="008E2F1B">
      <w:pPr>
        <w:pStyle w:val="Ttuloprincipal"/>
        <w:jc w:val="left"/>
        <w:rPr>
          <w:rFonts w:ascii="Arial" w:hAnsi="Arial" w:cs="Arial"/>
          <w:b w:val="0"/>
          <w:szCs w:val="24"/>
        </w:rPr>
      </w:pPr>
    </w:p>
    <w:p w14:paraId="6B46ADDE" w14:textId="77777777" w:rsidR="008E2F1B" w:rsidRPr="00701F32" w:rsidRDefault="008E2F1B" w:rsidP="008E2F1B">
      <w:pPr>
        <w:pStyle w:val="Ttuloprincipal"/>
        <w:jc w:val="left"/>
        <w:rPr>
          <w:rFonts w:ascii="Arial" w:hAnsi="Arial" w:cs="Arial"/>
          <w:b w:val="0"/>
          <w:szCs w:val="24"/>
        </w:rPr>
      </w:pPr>
    </w:p>
    <w:p w14:paraId="11891C35" w14:textId="77777777" w:rsidR="008E2F1B" w:rsidRPr="00701F32" w:rsidRDefault="008E2F1B" w:rsidP="008E2F1B">
      <w:pPr>
        <w:pStyle w:val="Ttuloprincipal"/>
        <w:jc w:val="left"/>
        <w:rPr>
          <w:rFonts w:ascii="Arial" w:hAnsi="Arial" w:cs="Arial"/>
          <w:b w:val="0"/>
          <w:szCs w:val="24"/>
        </w:rPr>
      </w:pPr>
    </w:p>
    <w:p w14:paraId="540BC8C9" w14:textId="77777777" w:rsidR="00EF4C18" w:rsidRPr="00701F32" w:rsidRDefault="00EF4C18" w:rsidP="008E2F1B">
      <w:pPr>
        <w:pStyle w:val="Ttuloprincipal"/>
        <w:jc w:val="left"/>
        <w:rPr>
          <w:rFonts w:ascii="Arial" w:hAnsi="Arial" w:cs="Arial"/>
          <w:b w:val="0"/>
          <w:szCs w:val="24"/>
        </w:rPr>
      </w:pPr>
    </w:p>
    <w:p w14:paraId="6322B550" w14:textId="77777777" w:rsidR="00EF4C18" w:rsidRPr="00701F32" w:rsidRDefault="00EF4C18" w:rsidP="008E2F1B">
      <w:pPr>
        <w:pStyle w:val="Ttuloprincipal"/>
        <w:jc w:val="left"/>
        <w:rPr>
          <w:rFonts w:ascii="Arial" w:hAnsi="Arial" w:cs="Arial"/>
          <w:b w:val="0"/>
          <w:szCs w:val="24"/>
        </w:rPr>
      </w:pPr>
    </w:p>
    <w:p w14:paraId="4592A64A" w14:textId="77777777" w:rsidR="008E2F1B" w:rsidRPr="00701F32" w:rsidRDefault="008E2F1B" w:rsidP="008E2F1B">
      <w:pPr>
        <w:pStyle w:val="Ttuloprincipal"/>
        <w:jc w:val="left"/>
        <w:rPr>
          <w:rFonts w:ascii="Arial" w:hAnsi="Arial" w:cs="Arial"/>
          <w:b w:val="0"/>
          <w:szCs w:val="24"/>
        </w:rPr>
      </w:pPr>
    </w:p>
    <w:p w14:paraId="260231C3" w14:textId="77777777" w:rsidR="008E2F1B" w:rsidRDefault="008E2F1B" w:rsidP="008E2F1B">
      <w:pPr>
        <w:pStyle w:val="Ttuloprincipal"/>
        <w:jc w:val="left"/>
        <w:rPr>
          <w:rFonts w:ascii="Arial" w:hAnsi="Arial" w:cs="Arial"/>
          <w:b w:val="0"/>
          <w:szCs w:val="24"/>
        </w:rPr>
      </w:pPr>
    </w:p>
    <w:p w14:paraId="3D3BC741" w14:textId="77777777" w:rsidR="008E2F1B" w:rsidRPr="00701F32" w:rsidRDefault="008E2F1B" w:rsidP="008E2F1B">
      <w:pPr>
        <w:pStyle w:val="Ttuloprincipal"/>
        <w:jc w:val="right"/>
        <w:rPr>
          <w:rFonts w:ascii="Arial" w:hAnsi="Arial" w:cs="Arial"/>
          <w:b w:val="0"/>
          <w:szCs w:val="24"/>
        </w:rPr>
      </w:pPr>
    </w:p>
    <w:p w14:paraId="3957D20B" w14:textId="77777777" w:rsidR="00AE2D3E" w:rsidRPr="00701F32" w:rsidRDefault="00C73F2F" w:rsidP="00540B98">
      <w:pPr>
        <w:pStyle w:val="Ttuloprincipal"/>
        <w:rPr>
          <w:rFonts w:ascii="Arial" w:hAnsi="Arial" w:cs="Arial"/>
          <w:szCs w:val="24"/>
        </w:rPr>
      </w:pPr>
      <w:r w:rsidRPr="00701F32">
        <w:rPr>
          <w:rFonts w:ascii="Arial" w:hAnsi="Arial" w:cs="Arial"/>
          <w:szCs w:val="24"/>
        </w:rPr>
        <w:lastRenderedPageBreak/>
        <w:t>BANCO SUPERVIELLE S.A.</w:t>
      </w:r>
    </w:p>
    <w:p w14:paraId="7921CA22" w14:textId="77777777" w:rsidR="00AE2D3E" w:rsidRPr="00701F32" w:rsidRDefault="00AE2D3E" w:rsidP="0065628D">
      <w:pPr>
        <w:pStyle w:val="Ttuloprincipal"/>
        <w:jc w:val="left"/>
        <w:rPr>
          <w:rFonts w:ascii="Arial" w:hAnsi="Arial" w:cs="Arial"/>
          <w:b w:val="0"/>
          <w:szCs w:val="24"/>
        </w:rPr>
      </w:pPr>
    </w:p>
    <w:tbl>
      <w:tblPr>
        <w:tblStyle w:val="Tablaconcuadrcula"/>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709"/>
        <w:gridCol w:w="3544"/>
      </w:tblGrid>
      <w:tr w:rsidR="00F44A24" w:rsidRPr="00701F32" w14:paraId="49EF61AA" w14:textId="77777777" w:rsidTr="00F44A24">
        <w:trPr>
          <w:trHeight w:val="624"/>
        </w:trPr>
        <w:tc>
          <w:tcPr>
            <w:tcW w:w="4077" w:type="dxa"/>
            <w:vAlign w:val="center"/>
          </w:tcPr>
          <w:p w14:paraId="205467E6" w14:textId="77777777" w:rsidR="00F44A24" w:rsidRPr="00701F32" w:rsidRDefault="00F44A24" w:rsidP="005B01F3">
            <w:pPr>
              <w:rPr>
                <w:rFonts w:ascii="Arial" w:hAnsi="Arial" w:cs="Arial"/>
                <w:sz w:val="22"/>
                <w:szCs w:val="22"/>
              </w:rPr>
            </w:pPr>
            <w:r w:rsidRPr="00701F32">
              <w:rPr>
                <w:rFonts w:ascii="Arial" w:hAnsi="Arial" w:cs="Arial"/>
                <w:sz w:val="22"/>
                <w:szCs w:val="22"/>
              </w:rPr>
              <w:t>Domicilio legal:</w:t>
            </w:r>
          </w:p>
        </w:tc>
        <w:tc>
          <w:tcPr>
            <w:tcW w:w="709" w:type="dxa"/>
          </w:tcPr>
          <w:p w14:paraId="6122AB9C" w14:textId="77777777" w:rsidR="00F44A24" w:rsidRPr="00701F32" w:rsidRDefault="00F44A24" w:rsidP="005B01F3">
            <w:pPr>
              <w:ind w:left="34" w:hanging="34"/>
              <w:rPr>
                <w:rFonts w:ascii="Arial" w:hAnsi="Arial" w:cs="Arial"/>
                <w:sz w:val="22"/>
                <w:szCs w:val="22"/>
              </w:rPr>
            </w:pPr>
          </w:p>
        </w:tc>
        <w:tc>
          <w:tcPr>
            <w:tcW w:w="3544" w:type="dxa"/>
            <w:vAlign w:val="center"/>
          </w:tcPr>
          <w:p w14:paraId="0A1E5D56" w14:textId="77777777" w:rsidR="00F44A24" w:rsidRPr="00701F32" w:rsidRDefault="00F44A24" w:rsidP="005B01F3">
            <w:pPr>
              <w:rPr>
                <w:rFonts w:ascii="Arial" w:hAnsi="Arial" w:cs="Arial"/>
                <w:sz w:val="22"/>
                <w:szCs w:val="22"/>
              </w:rPr>
            </w:pPr>
            <w:r w:rsidRPr="00701F32">
              <w:rPr>
                <w:rFonts w:ascii="Arial" w:hAnsi="Arial" w:cs="Arial"/>
                <w:sz w:val="22"/>
                <w:szCs w:val="22"/>
              </w:rPr>
              <w:t>Bartolomé Mitre 434  –  Ciudad Autónoma de Buenos Aires</w:t>
            </w:r>
          </w:p>
        </w:tc>
      </w:tr>
      <w:tr w:rsidR="00F44A24" w:rsidRPr="00701F32" w14:paraId="0B9D3B62" w14:textId="77777777" w:rsidTr="00F44A24">
        <w:trPr>
          <w:trHeight w:val="567"/>
        </w:trPr>
        <w:tc>
          <w:tcPr>
            <w:tcW w:w="4077" w:type="dxa"/>
            <w:vAlign w:val="center"/>
          </w:tcPr>
          <w:p w14:paraId="7F82A426" w14:textId="77777777" w:rsidR="00F44A24" w:rsidRPr="00701F32" w:rsidRDefault="00F44A24" w:rsidP="005B01F3">
            <w:pPr>
              <w:rPr>
                <w:rFonts w:ascii="Arial" w:hAnsi="Arial" w:cs="Arial"/>
                <w:sz w:val="22"/>
                <w:szCs w:val="22"/>
              </w:rPr>
            </w:pPr>
            <w:r w:rsidRPr="00701F32">
              <w:rPr>
                <w:rFonts w:ascii="Arial" w:hAnsi="Arial" w:cs="Arial"/>
                <w:sz w:val="22"/>
                <w:szCs w:val="22"/>
              </w:rPr>
              <w:t>Actividad principal:</w:t>
            </w:r>
          </w:p>
        </w:tc>
        <w:tc>
          <w:tcPr>
            <w:tcW w:w="709" w:type="dxa"/>
          </w:tcPr>
          <w:p w14:paraId="51E04D80" w14:textId="77777777" w:rsidR="00F44A24" w:rsidRPr="00701F32" w:rsidRDefault="00F44A24" w:rsidP="005B01F3">
            <w:pPr>
              <w:ind w:left="34" w:hanging="34"/>
              <w:rPr>
                <w:rFonts w:ascii="Arial" w:hAnsi="Arial" w:cs="Arial"/>
                <w:sz w:val="22"/>
                <w:szCs w:val="22"/>
              </w:rPr>
            </w:pPr>
          </w:p>
        </w:tc>
        <w:tc>
          <w:tcPr>
            <w:tcW w:w="3544" w:type="dxa"/>
            <w:vAlign w:val="center"/>
          </w:tcPr>
          <w:p w14:paraId="2509FF8B" w14:textId="77777777" w:rsidR="00F44A24" w:rsidRPr="00701F32" w:rsidRDefault="00F44A24" w:rsidP="005B01F3">
            <w:pPr>
              <w:rPr>
                <w:rFonts w:ascii="Arial" w:hAnsi="Arial" w:cs="Arial"/>
                <w:sz w:val="22"/>
                <w:szCs w:val="22"/>
              </w:rPr>
            </w:pPr>
            <w:r w:rsidRPr="00701F32">
              <w:rPr>
                <w:rFonts w:ascii="Arial" w:hAnsi="Arial" w:cs="Arial"/>
                <w:sz w:val="22"/>
                <w:szCs w:val="22"/>
              </w:rPr>
              <w:t>Bancaria</w:t>
            </w:r>
          </w:p>
        </w:tc>
      </w:tr>
      <w:tr w:rsidR="00F44A24" w:rsidRPr="00701F32" w14:paraId="0B33EC64" w14:textId="77777777" w:rsidTr="00F44A24">
        <w:trPr>
          <w:trHeight w:val="567"/>
        </w:trPr>
        <w:tc>
          <w:tcPr>
            <w:tcW w:w="4077" w:type="dxa"/>
            <w:vAlign w:val="center"/>
          </w:tcPr>
          <w:p w14:paraId="29FBE7CF" w14:textId="77777777" w:rsidR="00F44A24" w:rsidRPr="00701F32" w:rsidRDefault="00F44A24" w:rsidP="005B01F3">
            <w:pPr>
              <w:rPr>
                <w:rFonts w:ascii="Arial" w:hAnsi="Arial" w:cs="Arial"/>
                <w:sz w:val="22"/>
                <w:szCs w:val="22"/>
              </w:rPr>
            </w:pPr>
            <w:r w:rsidRPr="00701F32">
              <w:rPr>
                <w:rFonts w:ascii="Arial" w:hAnsi="Arial" w:cs="Arial"/>
                <w:sz w:val="22"/>
                <w:szCs w:val="22"/>
              </w:rPr>
              <w:t>Clave Única de Identificación Tributaria:</w:t>
            </w:r>
          </w:p>
        </w:tc>
        <w:tc>
          <w:tcPr>
            <w:tcW w:w="709" w:type="dxa"/>
          </w:tcPr>
          <w:p w14:paraId="3FF8B56F" w14:textId="77777777" w:rsidR="00F44A24" w:rsidRPr="00701F32" w:rsidRDefault="00F44A24" w:rsidP="005B01F3">
            <w:pPr>
              <w:pStyle w:val="Ttuloprincipal"/>
              <w:ind w:left="34" w:hanging="34"/>
              <w:jc w:val="left"/>
              <w:rPr>
                <w:rFonts w:ascii="Arial" w:hAnsi="Arial" w:cs="Arial"/>
                <w:b w:val="0"/>
                <w:sz w:val="22"/>
                <w:szCs w:val="22"/>
              </w:rPr>
            </w:pPr>
          </w:p>
        </w:tc>
        <w:tc>
          <w:tcPr>
            <w:tcW w:w="3544" w:type="dxa"/>
            <w:vAlign w:val="center"/>
          </w:tcPr>
          <w:p w14:paraId="435536DF" w14:textId="77777777" w:rsidR="00F44A24" w:rsidRPr="00701F32" w:rsidRDefault="00F44A24" w:rsidP="005B01F3">
            <w:pPr>
              <w:pStyle w:val="Ttuloprincipal"/>
              <w:jc w:val="left"/>
              <w:rPr>
                <w:rFonts w:ascii="Arial" w:hAnsi="Arial" w:cs="Arial"/>
                <w:b w:val="0"/>
                <w:sz w:val="22"/>
                <w:szCs w:val="22"/>
              </w:rPr>
            </w:pPr>
          </w:p>
          <w:p w14:paraId="3726D0CB" w14:textId="77777777" w:rsidR="00F44A24" w:rsidRPr="00701F32" w:rsidRDefault="00F44A24" w:rsidP="005B01F3">
            <w:pPr>
              <w:pStyle w:val="Ttuloprincipal"/>
              <w:jc w:val="left"/>
              <w:rPr>
                <w:rFonts w:ascii="Arial" w:hAnsi="Arial" w:cs="Arial"/>
                <w:b w:val="0"/>
                <w:sz w:val="22"/>
                <w:szCs w:val="22"/>
              </w:rPr>
            </w:pPr>
            <w:r w:rsidRPr="00701F32">
              <w:rPr>
                <w:rFonts w:ascii="Arial" w:hAnsi="Arial" w:cs="Arial"/>
                <w:b w:val="0"/>
                <w:sz w:val="22"/>
                <w:szCs w:val="22"/>
              </w:rPr>
              <w:t xml:space="preserve">33-50000517-9 </w:t>
            </w:r>
          </w:p>
          <w:p w14:paraId="6724D608" w14:textId="77777777" w:rsidR="00F44A24" w:rsidRPr="00701F32" w:rsidRDefault="00F44A24" w:rsidP="005B01F3">
            <w:pPr>
              <w:rPr>
                <w:rFonts w:ascii="Arial" w:hAnsi="Arial" w:cs="Arial"/>
                <w:sz w:val="22"/>
                <w:szCs w:val="22"/>
              </w:rPr>
            </w:pPr>
          </w:p>
        </w:tc>
      </w:tr>
      <w:tr w:rsidR="00F44A24" w:rsidRPr="00701F32" w14:paraId="413D0A40" w14:textId="77777777" w:rsidTr="00F44A24">
        <w:trPr>
          <w:trHeight w:val="1077"/>
        </w:trPr>
        <w:tc>
          <w:tcPr>
            <w:tcW w:w="4077" w:type="dxa"/>
            <w:vAlign w:val="center"/>
          </w:tcPr>
          <w:p w14:paraId="620078FD" w14:textId="7D2A625B" w:rsidR="00F44A24" w:rsidRPr="00701F32" w:rsidRDefault="00F44A24" w:rsidP="005B01F3">
            <w:pPr>
              <w:rPr>
                <w:rFonts w:ascii="Arial" w:hAnsi="Arial" w:cs="Arial"/>
                <w:sz w:val="22"/>
                <w:szCs w:val="22"/>
              </w:rPr>
            </w:pPr>
            <w:r w:rsidRPr="00701F32">
              <w:rPr>
                <w:rFonts w:ascii="Arial" w:hAnsi="Arial" w:cs="Arial"/>
                <w:sz w:val="22"/>
                <w:szCs w:val="22"/>
              </w:rPr>
              <w:t>Fecha de Inscripción en el Registro Público de Comercio del estatuto social:</w:t>
            </w:r>
          </w:p>
        </w:tc>
        <w:tc>
          <w:tcPr>
            <w:tcW w:w="709" w:type="dxa"/>
          </w:tcPr>
          <w:p w14:paraId="472E78BF" w14:textId="77777777" w:rsidR="00F44A24" w:rsidRPr="00701F32" w:rsidRDefault="00F44A24" w:rsidP="005B01F3">
            <w:pPr>
              <w:pStyle w:val="Ttuloprincipal"/>
              <w:ind w:left="34" w:hanging="34"/>
              <w:jc w:val="left"/>
              <w:rPr>
                <w:rFonts w:ascii="Arial" w:hAnsi="Arial" w:cs="Arial"/>
                <w:b w:val="0"/>
                <w:sz w:val="22"/>
                <w:szCs w:val="22"/>
              </w:rPr>
            </w:pPr>
          </w:p>
        </w:tc>
        <w:tc>
          <w:tcPr>
            <w:tcW w:w="3544" w:type="dxa"/>
            <w:vAlign w:val="center"/>
          </w:tcPr>
          <w:p w14:paraId="5CDB145F" w14:textId="77777777" w:rsidR="00F44A24" w:rsidRPr="00701F32" w:rsidRDefault="00F44A24" w:rsidP="005B01F3">
            <w:pPr>
              <w:pStyle w:val="Ttuloprincipal"/>
              <w:jc w:val="left"/>
              <w:rPr>
                <w:rFonts w:ascii="Arial" w:hAnsi="Arial" w:cs="Arial"/>
                <w:b w:val="0"/>
                <w:sz w:val="22"/>
                <w:szCs w:val="22"/>
              </w:rPr>
            </w:pPr>
          </w:p>
          <w:p w14:paraId="5BA96A4F" w14:textId="77777777" w:rsidR="00F44A24" w:rsidRPr="00701F32" w:rsidRDefault="00F44A24" w:rsidP="005B01F3">
            <w:pPr>
              <w:pStyle w:val="Ttuloprincipal"/>
              <w:jc w:val="left"/>
              <w:rPr>
                <w:rFonts w:ascii="Arial" w:hAnsi="Arial" w:cs="Arial"/>
                <w:b w:val="0"/>
                <w:sz w:val="22"/>
                <w:szCs w:val="22"/>
              </w:rPr>
            </w:pPr>
            <w:r w:rsidRPr="00701F32">
              <w:rPr>
                <w:rFonts w:ascii="Arial" w:hAnsi="Arial" w:cs="Arial"/>
                <w:b w:val="0"/>
                <w:sz w:val="22"/>
                <w:szCs w:val="22"/>
              </w:rPr>
              <w:t>11 de febrero de 1941</w:t>
            </w:r>
          </w:p>
          <w:p w14:paraId="0D6044D3" w14:textId="77777777" w:rsidR="00F44A24" w:rsidRPr="00701F32" w:rsidRDefault="00F44A24" w:rsidP="005B01F3">
            <w:pPr>
              <w:pStyle w:val="Ttuloprincipal"/>
              <w:jc w:val="left"/>
              <w:rPr>
                <w:rFonts w:ascii="Arial" w:hAnsi="Arial" w:cs="Arial"/>
                <w:b w:val="0"/>
                <w:sz w:val="22"/>
                <w:szCs w:val="22"/>
              </w:rPr>
            </w:pPr>
          </w:p>
        </w:tc>
      </w:tr>
      <w:tr w:rsidR="00F44A24" w:rsidRPr="00701F32" w14:paraId="2CC13D69" w14:textId="77777777" w:rsidTr="00F44A24">
        <w:trPr>
          <w:trHeight w:val="340"/>
        </w:trPr>
        <w:tc>
          <w:tcPr>
            <w:tcW w:w="4077" w:type="dxa"/>
            <w:vAlign w:val="center"/>
          </w:tcPr>
          <w:p w14:paraId="5DBF0A8C" w14:textId="77777777" w:rsidR="00F44A24" w:rsidRPr="00701F32" w:rsidRDefault="00F44A24" w:rsidP="005B01F3">
            <w:pPr>
              <w:pStyle w:val="Ttuloprincipal"/>
              <w:jc w:val="left"/>
              <w:rPr>
                <w:rFonts w:ascii="Arial" w:hAnsi="Arial" w:cs="Arial"/>
                <w:b w:val="0"/>
                <w:sz w:val="22"/>
                <w:szCs w:val="22"/>
              </w:rPr>
            </w:pPr>
            <w:r w:rsidRPr="00701F32">
              <w:rPr>
                <w:rFonts w:ascii="Arial" w:hAnsi="Arial" w:cs="Arial"/>
                <w:b w:val="0"/>
                <w:sz w:val="22"/>
                <w:szCs w:val="22"/>
              </w:rPr>
              <w:t>Fecha de inscripción de la última modificación del estatuto social:</w:t>
            </w:r>
          </w:p>
          <w:p w14:paraId="050479C6" w14:textId="77777777" w:rsidR="00F44A24" w:rsidRPr="00701F32" w:rsidRDefault="00F44A24" w:rsidP="005B01F3">
            <w:pPr>
              <w:rPr>
                <w:rFonts w:ascii="Arial" w:hAnsi="Arial" w:cs="Arial"/>
                <w:sz w:val="22"/>
                <w:szCs w:val="22"/>
              </w:rPr>
            </w:pPr>
          </w:p>
        </w:tc>
        <w:tc>
          <w:tcPr>
            <w:tcW w:w="709" w:type="dxa"/>
          </w:tcPr>
          <w:p w14:paraId="17C05D66" w14:textId="77777777" w:rsidR="00F44A24" w:rsidRPr="00701F32" w:rsidRDefault="00F44A24" w:rsidP="005B01F3">
            <w:pPr>
              <w:pStyle w:val="Ttuloprincipal"/>
              <w:ind w:left="34" w:hanging="34"/>
              <w:jc w:val="left"/>
              <w:rPr>
                <w:rFonts w:ascii="Arial" w:hAnsi="Arial" w:cs="Arial"/>
                <w:b w:val="0"/>
                <w:sz w:val="22"/>
                <w:szCs w:val="22"/>
              </w:rPr>
            </w:pPr>
          </w:p>
        </w:tc>
        <w:tc>
          <w:tcPr>
            <w:tcW w:w="3544" w:type="dxa"/>
            <w:vAlign w:val="center"/>
          </w:tcPr>
          <w:p w14:paraId="49CBDBEF" w14:textId="77777777" w:rsidR="00F44A24" w:rsidRPr="00701F32" w:rsidRDefault="003C1AAB" w:rsidP="00D6035A">
            <w:pPr>
              <w:pStyle w:val="Ttuloprincipal"/>
              <w:jc w:val="left"/>
              <w:rPr>
                <w:rFonts w:ascii="Arial" w:hAnsi="Arial" w:cs="Arial"/>
                <w:b w:val="0"/>
                <w:sz w:val="22"/>
                <w:szCs w:val="22"/>
              </w:rPr>
            </w:pPr>
            <w:r w:rsidRPr="00701F32">
              <w:rPr>
                <w:rFonts w:ascii="Arial" w:hAnsi="Arial" w:cs="Arial"/>
                <w:b w:val="0"/>
                <w:sz w:val="22"/>
                <w:szCs w:val="22"/>
              </w:rPr>
              <w:t>1</w:t>
            </w:r>
            <w:r w:rsidR="00D6035A" w:rsidRPr="00701F32">
              <w:rPr>
                <w:rFonts w:ascii="Arial" w:hAnsi="Arial" w:cs="Arial"/>
                <w:b w:val="0"/>
                <w:sz w:val="22"/>
                <w:szCs w:val="22"/>
              </w:rPr>
              <w:t>7</w:t>
            </w:r>
            <w:r w:rsidRPr="00701F32">
              <w:rPr>
                <w:rFonts w:ascii="Arial" w:hAnsi="Arial" w:cs="Arial"/>
                <w:b w:val="0"/>
                <w:sz w:val="22"/>
                <w:szCs w:val="22"/>
              </w:rPr>
              <w:t xml:space="preserve"> de </w:t>
            </w:r>
            <w:r w:rsidR="00D6035A" w:rsidRPr="00701F32">
              <w:rPr>
                <w:rFonts w:ascii="Arial" w:hAnsi="Arial" w:cs="Arial"/>
                <w:b w:val="0"/>
                <w:sz w:val="22"/>
                <w:szCs w:val="22"/>
              </w:rPr>
              <w:t xml:space="preserve">enero </w:t>
            </w:r>
            <w:r w:rsidRPr="00701F32">
              <w:rPr>
                <w:rFonts w:ascii="Arial" w:hAnsi="Arial" w:cs="Arial"/>
                <w:b w:val="0"/>
                <w:sz w:val="22"/>
                <w:szCs w:val="22"/>
              </w:rPr>
              <w:t>de 201</w:t>
            </w:r>
            <w:r w:rsidR="00D6035A" w:rsidRPr="00701F32">
              <w:rPr>
                <w:rFonts w:ascii="Arial" w:hAnsi="Arial" w:cs="Arial"/>
                <w:b w:val="0"/>
                <w:sz w:val="22"/>
                <w:szCs w:val="22"/>
              </w:rPr>
              <w:t>7</w:t>
            </w:r>
          </w:p>
        </w:tc>
      </w:tr>
      <w:tr w:rsidR="00F44A24" w:rsidRPr="00701F32" w14:paraId="045DC9DF" w14:textId="77777777" w:rsidTr="00F44A24">
        <w:trPr>
          <w:trHeight w:val="397"/>
        </w:trPr>
        <w:tc>
          <w:tcPr>
            <w:tcW w:w="4077" w:type="dxa"/>
            <w:vAlign w:val="center"/>
          </w:tcPr>
          <w:p w14:paraId="0C5DB9F8" w14:textId="77777777" w:rsidR="00F44A24" w:rsidRPr="00701F32" w:rsidRDefault="00F44A24" w:rsidP="005B01F3">
            <w:pPr>
              <w:rPr>
                <w:rFonts w:ascii="Arial" w:hAnsi="Arial" w:cs="Arial"/>
                <w:sz w:val="22"/>
                <w:szCs w:val="22"/>
              </w:rPr>
            </w:pPr>
            <w:r w:rsidRPr="00701F32">
              <w:rPr>
                <w:rFonts w:ascii="Arial" w:hAnsi="Arial" w:cs="Arial"/>
                <w:sz w:val="22"/>
                <w:szCs w:val="22"/>
              </w:rPr>
              <w:t>Número de inscripción en la Inspección General de Justicia:</w:t>
            </w:r>
          </w:p>
        </w:tc>
        <w:tc>
          <w:tcPr>
            <w:tcW w:w="709" w:type="dxa"/>
          </w:tcPr>
          <w:p w14:paraId="02B403E3" w14:textId="77777777" w:rsidR="00F44A24" w:rsidRPr="00701F32" w:rsidRDefault="00F44A24" w:rsidP="005B01F3">
            <w:pPr>
              <w:pStyle w:val="Ttuloprincipal"/>
              <w:ind w:left="34" w:hanging="34"/>
              <w:jc w:val="left"/>
              <w:rPr>
                <w:rFonts w:ascii="Arial" w:hAnsi="Arial" w:cs="Arial"/>
                <w:b w:val="0"/>
                <w:sz w:val="22"/>
                <w:szCs w:val="22"/>
              </w:rPr>
            </w:pPr>
          </w:p>
        </w:tc>
        <w:tc>
          <w:tcPr>
            <w:tcW w:w="3544" w:type="dxa"/>
            <w:vAlign w:val="center"/>
          </w:tcPr>
          <w:p w14:paraId="4F05D60F" w14:textId="77777777" w:rsidR="00F44A24" w:rsidRPr="00701F32" w:rsidRDefault="00F44A24" w:rsidP="005B01F3">
            <w:pPr>
              <w:pStyle w:val="Ttuloprincipal"/>
              <w:jc w:val="left"/>
              <w:rPr>
                <w:rFonts w:ascii="Arial" w:hAnsi="Arial" w:cs="Arial"/>
                <w:b w:val="0"/>
                <w:sz w:val="22"/>
                <w:szCs w:val="22"/>
              </w:rPr>
            </w:pPr>
          </w:p>
          <w:p w14:paraId="2DF1D8F1" w14:textId="77777777" w:rsidR="00F44A24" w:rsidRPr="00701F32" w:rsidRDefault="00F44A24" w:rsidP="005B01F3">
            <w:pPr>
              <w:pStyle w:val="Ttuloprincipal"/>
              <w:jc w:val="left"/>
              <w:rPr>
                <w:rFonts w:ascii="Arial" w:hAnsi="Arial" w:cs="Arial"/>
                <w:b w:val="0"/>
                <w:sz w:val="22"/>
                <w:szCs w:val="22"/>
              </w:rPr>
            </w:pPr>
            <w:r w:rsidRPr="00701F32">
              <w:rPr>
                <w:rFonts w:ascii="Arial" w:hAnsi="Arial" w:cs="Arial"/>
                <w:b w:val="0"/>
                <w:sz w:val="22"/>
                <w:szCs w:val="22"/>
              </w:rPr>
              <w:t>167.565</w:t>
            </w:r>
          </w:p>
          <w:p w14:paraId="321C57B7" w14:textId="77777777" w:rsidR="00F44A24" w:rsidRPr="00701F32" w:rsidRDefault="00F44A24" w:rsidP="005B01F3">
            <w:pPr>
              <w:rPr>
                <w:rFonts w:ascii="Arial" w:hAnsi="Arial" w:cs="Arial"/>
                <w:sz w:val="22"/>
                <w:szCs w:val="22"/>
              </w:rPr>
            </w:pPr>
          </w:p>
        </w:tc>
      </w:tr>
      <w:tr w:rsidR="00F44A24" w:rsidRPr="00701F32" w14:paraId="399222CD" w14:textId="77777777" w:rsidTr="00F44A24">
        <w:trPr>
          <w:trHeight w:val="737"/>
        </w:trPr>
        <w:tc>
          <w:tcPr>
            <w:tcW w:w="4077" w:type="dxa"/>
            <w:vAlign w:val="center"/>
          </w:tcPr>
          <w:p w14:paraId="1D1620F1" w14:textId="77777777" w:rsidR="00F44A24" w:rsidRPr="00701F32" w:rsidRDefault="00F44A24" w:rsidP="005B01F3">
            <w:pPr>
              <w:rPr>
                <w:rFonts w:ascii="Arial" w:hAnsi="Arial" w:cs="Arial"/>
                <w:sz w:val="22"/>
                <w:szCs w:val="22"/>
              </w:rPr>
            </w:pPr>
            <w:r w:rsidRPr="00701F32">
              <w:rPr>
                <w:rFonts w:ascii="Arial" w:hAnsi="Arial" w:cs="Arial"/>
                <w:sz w:val="22"/>
                <w:szCs w:val="22"/>
              </w:rPr>
              <w:t>Fecha en la que se cumple el contrato social:</w:t>
            </w:r>
          </w:p>
        </w:tc>
        <w:tc>
          <w:tcPr>
            <w:tcW w:w="709" w:type="dxa"/>
          </w:tcPr>
          <w:p w14:paraId="74FA887A" w14:textId="77777777" w:rsidR="00F44A24" w:rsidRPr="00701F32" w:rsidRDefault="00F44A24" w:rsidP="005B01F3">
            <w:pPr>
              <w:pStyle w:val="Ttuloprincipal"/>
              <w:ind w:left="34" w:hanging="34"/>
              <w:jc w:val="left"/>
              <w:rPr>
                <w:rFonts w:ascii="Arial" w:hAnsi="Arial" w:cs="Arial"/>
                <w:b w:val="0"/>
                <w:sz w:val="22"/>
                <w:szCs w:val="22"/>
              </w:rPr>
            </w:pPr>
          </w:p>
        </w:tc>
        <w:tc>
          <w:tcPr>
            <w:tcW w:w="3544" w:type="dxa"/>
            <w:vAlign w:val="center"/>
          </w:tcPr>
          <w:p w14:paraId="4A52A2BC" w14:textId="77777777" w:rsidR="00F44A24" w:rsidRPr="00701F32" w:rsidRDefault="00F44A24" w:rsidP="005B01F3">
            <w:pPr>
              <w:pStyle w:val="Ttuloprincipal"/>
              <w:jc w:val="left"/>
              <w:rPr>
                <w:rFonts w:ascii="Arial" w:hAnsi="Arial" w:cs="Arial"/>
                <w:b w:val="0"/>
                <w:sz w:val="22"/>
                <w:szCs w:val="22"/>
              </w:rPr>
            </w:pPr>
          </w:p>
          <w:p w14:paraId="5F39EE39" w14:textId="77777777" w:rsidR="00F44A24" w:rsidRPr="00701F32" w:rsidRDefault="00F44A24" w:rsidP="005B01F3">
            <w:pPr>
              <w:pStyle w:val="Ttuloprincipal"/>
              <w:jc w:val="left"/>
              <w:rPr>
                <w:rFonts w:ascii="Arial" w:hAnsi="Arial" w:cs="Arial"/>
                <w:b w:val="0"/>
                <w:sz w:val="22"/>
                <w:szCs w:val="22"/>
              </w:rPr>
            </w:pPr>
            <w:r w:rsidRPr="00701F32">
              <w:rPr>
                <w:rFonts w:ascii="Arial" w:hAnsi="Arial" w:cs="Arial"/>
                <w:b w:val="0"/>
                <w:sz w:val="22"/>
                <w:szCs w:val="22"/>
              </w:rPr>
              <w:t>14 de enero de 2041</w:t>
            </w:r>
          </w:p>
          <w:p w14:paraId="4C74D813" w14:textId="77777777" w:rsidR="00F44A24" w:rsidRPr="00701F32" w:rsidRDefault="00F44A24" w:rsidP="005B01F3">
            <w:pPr>
              <w:rPr>
                <w:rFonts w:ascii="Arial" w:hAnsi="Arial" w:cs="Arial"/>
                <w:sz w:val="22"/>
                <w:szCs w:val="22"/>
              </w:rPr>
            </w:pPr>
          </w:p>
        </w:tc>
      </w:tr>
    </w:tbl>
    <w:p w14:paraId="364DDA68" w14:textId="77777777" w:rsidR="00876050" w:rsidRPr="00701F32" w:rsidRDefault="00876050" w:rsidP="0065628D">
      <w:pPr>
        <w:pStyle w:val="Ttuloprincipal"/>
        <w:jc w:val="left"/>
        <w:rPr>
          <w:rFonts w:ascii="Arial" w:hAnsi="Arial" w:cs="Arial"/>
          <w:b w:val="0"/>
          <w:szCs w:val="24"/>
        </w:rPr>
      </w:pPr>
    </w:p>
    <w:p w14:paraId="63C089A4" w14:textId="77777777" w:rsidR="00C73F2F" w:rsidRPr="00701F32" w:rsidRDefault="00061FA8" w:rsidP="0065628D">
      <w:pPr>
        <w:pStyle w:val="Ttuloprincipal"/>
        <w:jc w:val="left"/>
        <w:rPr>
          <w:rFonts w:ascii="Arial" w:hAnsi="Arial" w:cs="Arial"/>
          <w:sz w:val="22"/>
          <w:szCs w:val="22"/>
        </w:rPr>
      </w:pPr>
      <w:r w:rsidRPr="00701F32">
        <w:rPr>
          <w:rFonts w:ascii="Arial" w:hAnsi="Arial" w:cs="Arial"/>
          <w:sz w:val="22"/>
          <w:szCs w:val="22"/>
        </w:rPr>
        <w:t xml:space="preserve">Información </w:t>
      </w:r>
      <w:r w:rsidR="009979F3" w:rsidRPr="00701F32">
        <w:rPr>
          <w:rFonts w:ascii="Arial" w:hAnsi="Arial" w:cs="Arial"/>
          <w:sz w:val="22"/>
          <w:szCs w:val="22"/>
        </w:rPr>
        <w:t>sobre la</w:t>
      </w:r>
      <w:r w:rsidRPr="00701F32">
        <w:rPr>
          <w:rFonts w:ascii="Arial" w:hAnsi="Arial" w:cs="Arial"/>
          <w:sz w:val="22"/>
          <w:szCs w:val="22"/>
        </w:rPr>
        <w:t xml:space="preserve"> sociedad controlante</w:t>
      </w:r>
    </w:p>
    <w:p w14:paraId="6C6D4BD1" w14:textId="77777777" w:rsidR="00061FA8" w:rsidRPr="00701F32" w:rsidRDefault="00061FA8" w:rsidP="0065628D">
      <w:pPr>
        <w:pStyle w:val="Ttuloprincipal"/>
        <w:jc w:val="left"/>
        <w:rPr>
          <w:rFonts w:ascii="Arial" w:hAnsi="Arial" w:cs="Arial"/>
          <w:sz w:val="22"/>
          <w:szCs w:val="22"/>
        </w:rPr>
      </w:pPr>
    </w:p>
    <w:p w14:paraId="380278B4" w14:textId="77777777" w:rsidR="00C73F2F" w:rsidRPr="00701F32" w:rsidRDefault="009979F3" w:rsidP="0065628D">
      <w:pPr>
        <w:pStyle w:val="Ttuloprincipal"/>
        <w:jc w:val="left"/>
        <w:rPr>
          <w:rFonts w:ascii="Arial" w:hAnsi="Arial" w:cs="Arial"/>
          <w:b w:val="0"/>
          <w:sz w:val="22"/>
          <w:szCs w:val="22"/>
        </w:rPr>
      </w:pPr>
      <w:r w:rsidRPr="00701F32">
        <w:rPr>
          <w:rFonts w:ascii="Arial" w:hAnsi="Arial" w:cs="Arial"/>
          <w:b w:val="0"/>
          <w:sz w:val="22"/>
          <w:szCs w:val="22"/>
        </w:rPr>
        <w:t>Denominación: Grupo</w:t>
      </w:r>
      <w:r w:rsidR="00061FA8" w:rsidRPr="00701F32">
        <w:rPr>
          <w:rFonts w:ascii="Arial" w:hAnsi="Arial" w:cs="Arial"/>
          <w:b w:val="0"/>
          <w:sz w:val="22"/>
          <w:szCs w:val="22"/>
        </w:rPr>
        <w:t xml:space="preserve"> </w:t>
      </w:r>
      <w:r w:rsidRPr="00701F32">
        <w:rPr>
          <w:rFonts w:ascii="Arial" w:hAnsi="Arial" w:cs="Arial"/>
          <w:b w:val="0"/>
          <w:sz w:val="22"/>
          <w:szCs w:val="22"/>
        </w:rPr>
        <w:t>Supervielle S.A</w:t>
      </w:r>
      <w:r w:rsidR="00C73F2F" w:rsidRPr="00701F32">
        <w:rPr>
          <w:rFonts w:ascii="Arial" w:hAnsi="Arial" w:cs="Arial"/>
          <w:b w:val="0"/>
          <w:sz w:val="22"/>
          <w:szCs w:val="22"/>
        </w:rPr>
        <w:t>.</w:t>
      </w:r>
    </w:p>
    <w:p w14:paraId="51DD5AE5" w14:textId="77777777" w:rsidR="00C73F2F" w:rsidRPr="00701F32" w:rsidRDefault="00C73F2F" w:rsidP="0065628D">
      <w:pPr>
        <w:pStyle w:val="Ttuloprincipal"/>
        <w:jc w:val="left"/>
        <w:rPr>
          <w:rFonts w:ascii="Arial" w:hAnsi="Arial" w:cs="Arial"/>
          <w:b w:val="0"/>
          <w:sz w:val="22"/>
          <w:szCs w:val="22"/>
        </w:rPr>
      </w:pPr>
    </w:p>
    <w:p w14:paraId="33F4E44D" w14:textId="77777777" w:rsidR="00C73F2F" w:rsidRPr="00701F32" w:rsidRDefault="00F44A24" w:rsidP="0065628D">
      <w:pPr>
        <w:pStyle w:val="Ttuloprincipal"/>
        <w:jc w:val="left"/>
        <w:rPr>
          <w:rFonts w:ascii="Arial" w:hAnsi="Arial" w:cs="Arial"/>
          <w:b w:val="0"/>
          <w:sz w:val="22"/>
          <w:szCs w:val="22"/>
        </w:rPr>
      </w:pPr>
      <w:r w:rsidRPr="00701F32">
        <w:rPr>
          <w:rFonts w:ascii="Arial" w:hAnsi="Arial" w:cs="Arial"/>
          <w:b w:val="0"/>
          <w:sz w:val="22"/>
          <w:szCs w:val="22"/>
        </w:rPr>
        <w:t xml:space="preserve">Domicilio legal: Bartolomé </w:t>
      </w:r>
      <w:r w:rsidR="00440DCC" w:rsidRPr="00701F32">
        <w:rPr>
          <w:rFonts w:ascii="Arial" w:hAnsi="Arial" w:cs="Arial"/>
          <w:b w:val="0"/>
          <w:sz w:val="22"/>
          <w:szCs w:val="22"/>
        </w:rPr>
        <w:t>Mitre 434 – Ciudad Autónoma de Buenos Aires</w:t>
      </w:r>
    </w:p>
    <w:p w14:paraId="54E72108" w14:textId="77777777" w:rsidR="00440DCC" w:rsidRPr="00701F32" w:rsidRDefault="00440DCC" w:rsidP="0065628D">
      <w:pPr>
        <w:pStyle w:val="Ttuloprincipal"/>
        <w:jc w:val="left"/>
        <w:rPr>
          <w:rFonts w:ascii="Arial" w:hAnsi="Arial" w:cs="Arial"/>
          <w:b w:val="0"/>
          <w:sz w:val="22"/>
          <w:szCs w:val="22"/>
        </w:rPr>
      </w:pPr>
    </w:p>
    <w:p w14:paraId="41EB1F8D" w14:textId="77777777" w:rsidR="00440DCC" w:rsidRPr="00701F32" w:rsidRDefault="00440DCC" w:rsidP="0065628D">
      <w:pPr>
        <w:pStyle w:val="Ttuloprincipal"/>
        <w:jc w:val="left"/>
        <w:rPr>
          <w:rFonts w:ascii="Arial" w:hAnsi="Arial" w:cs="Arial"/>
          <w:b w:val="0"/>
          <w:color w:val="000000" w:themeColor="text1"/>
          <w:sz w:val="22"/>
          <w:szCs w:val="22"/>
        </w:rPr>
      </w:pPr>
      <w:r w:rsidRPr="00701F32">
        <w:rPr>
          <w:rFonts w:ascii="Arial" w:hAnsi="Arial" w:cs="Arial"/>
          <w:b w:val="0"/>
          <w:sz w:val="22"/>
          <w:szCs w:val="22"/>
        </w:rPr>
        <w:t xml:space="preserve">Actividad principal: Financiera y de </w:t>
      </w:r>
      <w:r w:rsidRPr="00701F32">
        <w:rPr>
          <w:rFonts w:ascii="Arial" w:hAnsi="Arial" w:cs="Arial"/>
          <w:b w:val="0"/>
          <w:color w:val="000000" w:themeColor="text1"/>
          <w:sz w:val="22"/>
          <w:szCs w:val="22"/>
        </w:rPr>
        <w:t xml:space="preserve">inversión </w:t>
      </w:r>
    </w:p>
    <w:p w14:paraId="7426306C" w14:textId="77777777" w:rsidR="00440DCC" w:rsidRPr="00701F32" w:rsidRDefault="00440DCC" w:rsidP="0065628D">
      <w:pPr>
        <w:pStyle w:val="Ttuloprincipal"/>
        <w:jc w:val="left"/>
        <w:rPr>
          <w:rFonts w:ascii="Arial" w:hAnsi="Arial" w:cs="Arial"/>
          <w:b w:val="0"/>
          <w:color w:val="000000" w:themeColor="text1"/>
          <w:sz w:val="22"/>
          <w:szCs w:val="22"/>
        </w:rPr>
      </w:pPr>
    </w:p>
    <w:p w14:paraId="781C9505" w14:textId="5C14563D" w:rsidR="00440DCC" w:rsidRPr="00701F32" w:rsidRDefault="009979F3" w:rsidP="0065628D">
      <w:pPr>
        <w:pStyle w:val="Ttuloprincipal"/>
        <w:jc w:val="left"/>
        <w:rPr>
          <w:rFonts w:ascii="Arial" w:hAnsi="Arial" w:cs="Arial"/>
          <w:b w:val="0"/>
          <w:color w:val="000000" w:themeColor="text1"/>
          <w:sz w:val="22"/>
          <w:szCs w:val="22"/>
        </w:rPr>
      </w:pPr>
      <w:r w:rsidRPr="00701F32">
        <w:rPr>
          <w:rFonts w:ascii="Arial" w:hAnsi="Arial" w:cs="Arial"/>
          <w:b w:val="0"/>
          <w:color w:val="000000" w:themeColor="text1"/>
          <w:sz w:val="22"/>
          <w:szCs w:val="22"/>
        </w:rPr>
        <w:t>Participación de la sociedad controlante sobre el patrimonio: 9</w:t>
      </w:r>
      <w:r w:rsidR="00EC349E">
        <w:rPr>
          <w:rFonts w:ascii="Arial" w:hAnsi="Arial" w:cs="Arial"/>
          <w:b w:val="0"/>
          <w:color w:val="000000" w:themeColor="text1"/>
          <w:sz w:val="22"/>
          <w:szCs w:val="22"/>
        </w:rPr>
        <w:t>7</w:t>
      </w:r>
      <w:r w:rsidRPr="00701F32">
        <w:rPr>
          <w:rFonts w:ascii="Arial" w:hAnsi="Arial" w:cs="Arial"/>
          <w:b w:val="0"/>
          <w:color w:val="000000" w:themeColor="text1"/>
          <w:sz w:val="22"/>
          <w:szCs w:val="22"/>
        </w:rPr>
        <w:t>,</w:t>
      </w:r>
      <w:r w:rsidR="00E57BEF">
        <w:rPr>
          <w:rFonts w:ascii="Arial" w:hAnsi="Arial" w:cs="Arial"/>
          <w:b w:val="0"/>
          <w:color w:val="000000" w:themeColor="text1"/>
          <w:sz w:val="22"/>
          <w:szCs w:val="22"/>
        </w:rPr>
        <w:t>1</w:t>
      </w:r>
      <w:r w:rsidR="00EC349E">
        <w:rPr>
          <w:rFonts w:ascii="Arial" w:hAnsi="Arial" w:cs="Arial"/>
          <w:b w:val="0"/>
          <w:color w:val="000000" w:themeColor="text1"/>
          <w:sz w:val="22"/>
          <w:szCs w:val="22"/>
        </w:rPr>
        <w:t>0</w:t>
      </w:r>
      <w:r w:rsidRPr="00701F32">
        <w:rPr>
          <w:rFonts w:ascii="Arial" w:hAnsi="Arial" w:cs="Arial"/>
          <w:b w:val="0"/>
          <w:color w:val="000000" w:themeColor="text1"/>
          <w:sz w:val="22"/>
          <w:szCs w:val="22"/>
        </w:rPr>
        <w:t>%</w:t>
      </w:r>
    </w:p>
    <w:p w14:paraId="7B8DCF55" w14:textId="77777777" w:rsidR="00440DCC" w:rsidRPr="00701F32" w:rsidRDefault="00440DCC" w:rsidP="0065628D">
      <w:pPr>
        <w:pStyle w:val="Ttuloprincipal"/>
        <w:jc w:val="left"/>
        <w:rPr>
          <w:rFonts w:ascii="Arial" w:hAnsi="Arial" w:cs="Arial"/>
          <w:b w:val="0"/>
          <w:color w:val="000000" w:themeColor="text1"/>
          <w:sz w:val="22"/>
          <w:szCs w:val="22"/>
        </w:rPr>
      </w:pPr>
    </w:p>
    <w:p w14:paraId="0A57ED16" w14:textId="0D560289" w:rsidR="00440DCC" w:rsidRPr="00701F32" w:rsidRDefault="001F0B38" w:rsidP="0065628D">
      <w:pPr>
        <w:pStyle w:val="Ttuloprincipal"/>
        <w:jc w:val="left"/>
        <w:rPr>
          <w:rFonts w:ascii="Arial" w:hAnsi="Arial" w:cs="Arial"/>
          <w:b w:val="0"/>
          <w:color w:val="000000" w:themeColor="text1"/>
          <w:sz w:val="22"/>
          <w:szCs w:val="22"/>
        </w:rPr>
      </w:pPr>
      <w:r w:rsidRPr="00701F32">
        <w:rPr>
          <w:rFonts w:ascii="Arial" w:hAnsi="Arial" w:cs="Arial"/>
          <w:b w:val="0"/>
          <w:color w:val="000000" w:themeColor="text1"/>
          <w:sz w:val="22"/>
          <w:szCs w:val="22"/>
        </w:rPr>
        <w:t>Porcentaje de votos de la sociedad controlante: 9</w:t>
      </w:r>
      <w:r w:rsidR="00E57BEF">
        <w:rPr>
          <w:rFonts w:ascii="Arial" w:hAnsi="Arial" w:cs="Arial"/>
          <w:b w:val="0"/>
          <w:color w:val="000000" w:themeColor="text1"/>
          <w:sz w:val="22"/>
          <w:szCs w:val="22"/>
        </w:rPr>
        <w:t>7</w:t>
      </w:r>
      <w:r w:rsidRPr="00701F32">
        <w:rPr>
          <w:rFonts w:ascii="Arial" w:hAnsi="Arial" w:cs="Arial"/>
          <w:b w:val="0"/>
          <w:color w:val="000000" w:themeColor="text1"/>
          <w:sz w:val="22"/>
          <w:szCs w:val="22"/>
        </w:rPr>
        <w:t>,</w:t>
      </w:r>
      <w:r w:rsidR="00E57BEF">
        <w:rPr>
          <w:rFonts w:ascii="Arial" w:hAnsi="Arial" w:cs="Arial"/>
          <w:b w:val="0"/>
          <w:color w:val="000000" w:themeColor="text1"/>
          <w:sz w:val="22"/>
          <w:szCs w:val="22"/>
        </w:rPr>
        <w:t>07</w:t>
      </w:r>
      <w:r w:rsidRPr="00701F32">
        <w:rPr>
          <w:rFonts w:ascii="Arial" w:hAnsi="Arial" w:cs="Arial"/>
          <w:b w:val="0"/>
          <w:color w:val="000000" w:themeColor="text1"/>
          <w:sz w:val="22"/>
          <w:szCs w:val="22"/>
        </w:rPr>
        <w:t>%</w:t>
      </w:r>
    </w:p>
    <w:p w14:paraId="6A2F2C8C" w14:textId="77777777" w:rsidR="00440DCC" w:rsidRPr="00701F32" w:rsidRDefault="00440DCC" w:rsidP="0065628D">
      <w:pPr>
        <w:pStyle w:val="Ttuloprincipal"/>
        <w:jc w:val="left"/>
        <w:rPr>
          <w:rFonts w:ascii="Arial" w:hAnsi="Arial" w:cs="Arial"/>
          <w:color w:val="000000" w:themeColor="text1"/>
          <w:sz w:val="22"/>
          <w:szCs w:val="22"/>
        </w:rPr>
      </w:pPr>
    </w:p>
    <w:p w14:paraId="2ECCE29C" w14:textId="77777777" w:rsidR="001F0B38" w:rsidRPr="00701F32" w:rsidRDefault="001F0B38" w:rsidP="0065628D">
      <w:pPr>
        <w:pStyle w:val="Ttuloprincipal"/>
        <w:jc w:val="left"/>
        <w:rPr>
          <w:rFonts w:ascii="Arial" w:hAnsi="Arial" w:cs="Arial"/>
          <w:color w:val="000000" w:themeColor="text1"/>
          <w:sz w:val="20"/>
        </w:rPr>
      </w:pPr>
      <w:r w:rsidRPr="00701F32">
        <w:rPr>
          <w:rFonts w:ascii="Arial" w:hAnsi="Arial" w:cs="Arial"/>
          <w:b w:val="0"/>
          <w:color w:val="000000" w:themeColor="text1"/>
          <w:sz w:val="22"/>
          <w:szCs w:val="22"/>
        </w:rPr>
        <w:t xml:space="preserve">Composición del </w:t>
      </w:r>
      <w:r w:rsidR="009979F3" w:rsidRPr="00701F32">
        <w:rPr>
          <w:rFonts w:ascii="Arial" w:hAnsi="Arial" w:cs="Arial"/>
          <w:b w:val="0"/>
          <w:color w:val="000000" w:themeColor="text1"/>
          <w:sz w:val="22"/>
          <w:szCs w:val="22"/>
        </w:rPr>
        <w:t>capital</w:t>
      </w:r>
      <w:r w:rsidR="009979F3" w:rsidRPr="00701F32">
        <w:rPr>
          <w:rFonts w:ascii="Arial" w:hAnsi="Arial" w:cs="Arial"/>
          <w:b w:val="0"/>
          <w:color w:val="000000" w:themeColor="text1"/>
          <w:sz w:val="20"/>
        </w:rPr>
        <w:t xml:space="preserve"> </w:t>
      </w:r>
    </w:p>
    <w:p w14:paraId="051E35CB" w14:textId="77777777" w:rsidR="001F0B38" w:rsidRPr="00701F32" w:rsidRDefault="001F0B38" w:rsidP="0065628D">
      <w:pPr>
        <w:pStyle w:val="Ttuloprincipal"/>
        <w:jc w:val="left"/>
        <w:rPr>
          <w:rFonts w:ascii="Arial" w:hAnsi="Arial" w:cs="Arial"/>
          <w:color w:val="000000" w:themeColor="text1"/>
          <w:sz w:val="22"/>
          <w:szCs w:val="22"/>
        </w:rPr>
      </w:pPr>
    </w:p>
    <w:tbl>
      <w:tblPr>
        <w:tblStyle w:val="Tablaconcuadrcula"/>
        <w:tblW w:w="8222" w:type="dxa"/>
        <w:tblInd w:w="25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3543"/>
        <w:gridCol w:w="1560"/>
        <w:gridCol w:w="3119"/>
      </w:tblGrid>
      <w:tr w:rsidR="007C4F07" w:rsidRPr="00701F32" w14:paraId="0F09A889" w14:textId="77777777" w:rsidTr="00394B9A">
        <w:trPr>
          <w:trHeight w:val="680"/>
        </w:trPr>
        <w:tc>
          <w:tcPr>
            <w:tcW w:w="3543" w:type="dxa"/>
            <w:tcBorders>
              <w:top w:val="single" w:sz="12" w:space="0" w:color="000000" w:themeColor="text1"/>
              <w:bottom w:val="single" w:sz="12" w:space="0" w:color="000000" w:themeColor="text1"/>
            </w:tcBorders>
            <w:vAlign w:val="center"/>
          </w:tcPr>
          <w:p w14:paraId="73026C48" w14:textId="77777777" w:rsidR="003436D1" w:rsidRPr="00701F32" w:rsidRDefault="003436D1" w:rsidP="003953EA">
            <w:pPr>
              <w:jc w:val="center"/>
              <w:rPr>
                <w:rFonts w:ascii="Arial" w:hAnsi="Arial" w:cs="Arial"/>
                <w:b/>
                <w:color w:val="000000" w:themeColor="text1"/>
                <w:sz w:val="18"/>
                <w:szCs w:val="18"/>
              </w:rPr>
            </w:pPr>
            <w:r w:rsidRPr="00701F32">
              <w:rPr>
                <w:rFonts w:ascii="Arial" w:hAnsi="Arial" w:cs="Arial"/>
                <w:b/>
                <w:color w:val="000000" w:themeColor="text1"/>
                <w:sz w:val="18"/>
                <w:szCs w:val="18"/>
              </w:rPr>
              <w:t>Tipo, valor nominal y N° de votos que otorga cada una</w:t>
            </w:r>
          </w:p>
        </w:tc>
        <w:tc>
          <w:tcPr>
            <w:tcW w:w="1560" w:type="dxa"/>
            <w:tcBorders>
              <w:top w:val="single" w:sz="12" w:space="0" w:color="000000" w:themeColor="text1"/>
              <w:bottom w:val="single" w:sz="12" w:space="0" w:color="000000" w:themeColor="text1"/>
            </w:tcBorders>
            <w:vAlign w:val="center"/>
          </w:tcPr>
          <w:p w14:paraId="3F01078F" w14:textId="77777777" w:rsidR="003436D1" w:rsidRPr="00701F32" w:rsidRDefault="003436D1" w:rsidP="008A557A">
            <w:pPr>
              <w:jc w:val="center"/>
              <w:rPr>
                <w:rFonts w:ascii="Arial" w:hAnsi="Arial" w:cs="Arial"/>
                <w:b/>
                <w:color w:val="000000" w:themeColor="text1"/>
                <w:sz w:val="18"/>
                <w:szCs w:val="18"/>
              </w:rPr>
            </w:pPr>
            <w:r w:rsidRPr="00701F32">
              <w:rPr>
                <w:rFonts w:ascii="Arial" w:hAnsi="Arial" w:cs="Arial"/>
                <w:b/>
                <w:color w:val="000000" w:themeColor="text1"/>
                <w:sz w:val="18"/>
                <w:szCs w:val="18"/>
              </w:rPr>
              <w:t>Cantidad</w:t>
            </w:r>
          </w:p>
        </w:tc>
        <w:tc>
          <w:tcPr>
            <w:tcW w:w="3119" w:type="dxa"/>
            <w:tcBorders>
              <w:top w:val="single" w:sz="12" w:space="0" w:color="000000" w:themeColor="text1"/>
              <w:bottom w:val="single" w:sz="12" w:space="0" w:color="000000" w:themeColor="text1"/>
            </w:tcBorders>
            <w:vAlign w:val="center"/>
          </w:tcPr>
          <w:p w14:paraId="258BC71A" w14:textId="77777777" w:rsidR="003436D1" w:rsidRPr="00701F32" w:rsidRDefault="003436D1" w:rsidP="003953EA">
            <w:pPr>
              <w:jc w:val="center"/>
              <w:rPr>
                <w:rFonts w:ascii="Arial" w:hAnsi="Arial" w:cs="Arial"/>
                <w:b/>
                <w:color w:val="000000" w:themeColor="text1"/>
                <w:sz w:val="18"/>
                <w:szCs w:val="18"/>
              </w:rPr>
            </w:pPr>
            <w:r w:rsidRPr="00701F32">
              <w:rPr>
                <w:rFonts w:ascii="Arial" w:hAnsi="Arial" w:cs="Arial"/>
                <w:b/>
                <w:color w:val="000000" w:themeColor="text1"/>
                <w:sz w:val="18"/>
                <w:szCs w:val="18"/>
              </w:rPr>
              <w:t>Suscripto</w:t>
            </w:r>
            <w:r w:rsidR="007E24C8" w:rsidRPr="00701F32">
              <w:rPr>
                <w:rFonts w:ascii="Arial" w:hAnsi="Arial" w:cs="Arial"/>
                <w:b/>
                <w:color w:val="000000" w:themeColor="text1"/>
                <w:sz w:val="18"/>
                <w:szCs w:val="18"/>
              </w:rPr>
              <w:t xml:space="preserve"> e</w:t>
            </w:r>
            <w:r w:rsidRPr="00701F32">
              <w:rPr>
                <w:rFonts w:ascii="Arial" w:hAnsi="Arial" w:cs="Arial"/>
                <w:b/>
                <w:color w:val="000000" w:themeColor="text1"/>
                <w:sz w:val="18"/>
                <w:szCs w:val="18"/>
              </w:rPr>
              <w:t xml:space="preserve"> integrado </w:t>
            </w:r>
          </w:p>
          <w:p w14:paraId="7E61F53A" w14:textId="77777777" w:rsidR="003436D1" w:rsidRPr="00701F32" w:rsidRDefault="003436D1" w:rsidP="003953EA">
            <w:pPr>
              <w:jc w:val="center"/>
              <w:rPr>
                <w:rFonts w:ascii="Arial" w:hAnsi="Arial" w:cs="Arial"/>
                <w:color w:val="000000" w:themeColor="text1"/>
                <w:sz w:val="18"/>
                <w:szCs w:val="18"/>
              </w:rPr>
            </w:pPr>
            <w:r w:rsidRPr="00701F32">
              <w:rPr>
                <w:rFonts w:ascii="Arial" w:hAnsi="Arial" w:cs="Arial"/>
                <w:color w:val="000000" w:themeColor="text1"/>
                <w:sz w:val="18"/>
                <w:szCs w:val="18"/>
              </w:rPr>
              <w:t>(en miles de $)</w:t>
            </w:r>
          </w:p>
        </w:tc>
      </w:tr>
      <w:tr w:rsidR="007C4F07" w:rsidRPr="00701F32" w14:paraId="6F580194" w14:textId="77777777" w:rsidTr="00394B9A">
        <w:trPr>
          <w:trHeight w:val="680"/>
        </w:trPr>
        <w:tc>
          <w:tcPr>
            <w:tcW w:w="3543" w:type="dxa"/>
            <w:tcBorders>
              <w:top w:val="single" w:sz="12" w:space="0" w:color="000000" w:themeColor="text1"/>
            </w:tcBorders>
            <w:vAlign w:val="center"/>
          </w:tcPr>
          <w:p w14:paraId="009349FE" w14:textId="416E3084" w:rsidR="003436D1" w:rsidRPr="00701F32" w:rsidRDefault="003436D1" w:rsidP="003953EA">
            <w:pPr>
              <w:jc w:val="center"/>
              <w:rPr>
                <w:rFonts w:ascii="Arial" w:hAnsi="Arial" w:cs="Arial"/>
                <w:color w:val="000000" w:themeColor="text1"/>
                <w:sz w:val="18"/>
                <w:szCs w:val="18"/>
              </w:rPr>
            </w:pPr>
            <w:r w:rsidRPr="00701F32">
              <w:rPr>
                <w:rFonts w:ascii="Arial" w:hAnsi="Arial" w:cs="Arial"/>
                <w:color w:val="000000" w:themeColor="text1"/>
                <w:sz w:val="18"/>
                <w:szCs w:val="18"/>
              </w:rPr>
              <w:t xml:space="preserve">Ordinarias nominativas no endosables de VN $ 1 de </w:t>
            </w:r>
            <w:r w:rsidR="009A5748">
              <w:rPr>
                <w:rFonts w:ascii="Arial" w:hAnsi="Arial" w:cs="Arial"/>
                <w:color w:val="000000" w:themeColor="text1"/>
                <w:sz w:val="18"/>
                <w:szCs w:val="18"/>
              </w:rPr>
              <w:t xml:space="preserve">1 </w:t>
            </w:r>
            <w:r w:rsidRPr="00701F32">
              <w:rPr>
                <w:rFonts w:ascii="Arial" w:hAnsi="Arial" w:cs="Arial"/>
                <w:color w:val="000000" w:themeColor="text1"/>
                <w:sz w:val="18"/>
                <w:szCs w:val="18"/>
              </w:rPr>
              <w:t>voto cada una</w:t>
            </w:r>
          </w:p>
        </w:tc>
        <w:tc>
          <w:tcPr>
            <w:tcW w:w="1560" w:type="dxa"/>
            <w:tcBorders>
              <w:top w:val="single" w:sz="12" w:space="0" w:color="000000" w:themeColor="text1"/>
            </w:tcBorders>
            <w:vAlign w:val="center"/>
          </w:tcPr>
          <w:p w14:paraId="2D8A4DEC" w14:textId="02B37D06" w:rsidR="003436D1" w:rsidRPr="00701F32" w:rsidRDefault="00B26CE5" w:rsidP="002C2FC7">
            <w:pPr>
              <w:jc w:val="right"/>
              <w:rPr>
                <w:rFonts w:ascii="Arial" w:hAnsi="Arial" w:cs="Arial"/>
                <w:color w:val="000000" w:themeColor="text1"/>
                <w:sz w:val="18"/>
                <w:szCs w:val="18"/>
              </w:rPr>
            </w:pPr>
            <w:r>
              <w:rPr>
                <w:rFonts w:ascii="Arial" w:hAnsi="Arial" w:cs="Arial"/>
                <w:color w:val="000000" w:themeColor="text1"/>
                <w:sz w:val="18"/>
                <w:szCs w:val="18"/>
              </w:rPr>
              <w:t>828.633.500</w:t>
            </w:r>
          </w:p>
        </w:tc>
        <w:tc>
          <w:tcPr>
            <w:tcW w:w="3119" w:type="dxa"/>
            <w:tcBorders>
              <w:top w:val="single" w:sz="12" w:space="0" w:color="000000" w:themeColor="text1"/>
            </w:tcBorders>
            <w:vAlign w:val="center"/>
          </w:tcPr>
          <w:p w14:paraId="2DDC1680" w14:textId="4B492D53" w:rsidR="003436D1" w:rsidRPr="00701F32" w:rsidRDefault="00E57BEF">
            <w:pPr>
              <w:jc w:val="right"/>
              <w:rPr>
                <w:rFonts w:ascii="Arial" w:hAnsi="Arial" w:cs="Arial"/>
                <w:color w:val="000000" w:themeColor="text1"/>
                <w:sz w:val="18"/>
                <w:szCs w:val="18"/>
                <w:lang w:val="es-ES_tradnl"/>
              </w:rPr>
            </w:pPr>
            <w:r>
              <w:rPr>
                <w:rFonts w:ascii="Arial" w:hAnsi="Arial" w:cs="Arial"/>
                <w:color w:val="000000" w:themeColor="text1"/>
                <w:sz w:val="18"/>
                <w:szCs w:val="18"/>
              </w:rPr>
              <w:t>828.634</w:t>
            </w:r>
          </w:p>
        </w:tc>
      </w:tr>
      <w:tr w:rsidR="007C4F07" w:rsidRPr="00701F32" w14:paraId="10A2AFA2" w14:textId="77777777" w:rsidTr="00394B9A">
        <w:trPr>
          <w:trHeight w:val="680"/>
        </w:trPr>
        <w:tc>
          <w:tcPr>
            <w:tcW w:w="3543" w:type="dxa"/>
            <w:tcBorders>
              <w:bottom w:val="single" w:sz="12" w:space="0" w:color="000000" w:themeColor="text1"/>
            </w:tcBorders>
            <w:vAlign w:val="center"/>
          </w:tcPr>
          <w:p w14:paraId="1E41817E" w14:textId="77777777" w:rsidR="003436D1" w:rsidRPr="00701F32" w:rsidRDefault="003436D1" w:rsidP="003953EA">
            <w:pPr>
              <w:jc w:val="center"/>
              <w:rPr>
                <w:rFonts w:ascii="Arial" w:hAnsi="Arial" w:cs="Arial"/>
                <w:color w:val="000000" w:themeColor="text1"/>
                <w:sz w:val="18"/>
                <w:szCs w:val="18"/>
              </w:rPr>
            </w:pPr>
            <w:r w:rsidRPr="00701F32">
              <w:rPr>
                <w:rFonts w:ascii="Arial" w:hAnsi="Arial" w:cs="Arial"/>
                <w:color w:val="000000" w:themeColor="text1"/>
                <w:sz w:val="18"/>
                <w:szCs w:val="18"/>
              </w:rPr>
              <w:t>Ordinarias nominativas no endosables de VN $ 1 de 5 votos cada una</w:t>
            </w:r>
          </w:p>
        </w:tc>
        <w:tc>
          <w:tcPr>
            <w:tcW w:w="1560" w:type="dxa"/>
            <w:tcBorders>
              <w:bottom w:val="single" w:sz="12" w:space="0" w:color="000000" w:themeColor="text1"/>
            </w:tcBorders>
            <w:vAlign w:val="center"/>
          </w:tcPr>
          <w:p w14:paraId="52117E3D" w14:textId="77777777" w:rsidR="003436D1" w:rsidRPr="00701F32" w:rsidRDefault="00391E59" w:rsidP="008A557A">
            <w:pPr>
              <w:jc w:val="right"/>
              <w:rPr>
                <w:rFonts w:ascii="Arial" w:hAnsi="Arial" w:cs="Arial"/>
                <w:color w:val="000000" w:themeColor="text1"/>
                <w:sz w:val="18"/>
                <w:szCs w:val="18"/>
              </w:rPr>
            </w:pPr>
            <w:r w:rsidRPr="00701F32">
              <w:rPr>
                <w:rFonts w:ascii="Arial" w:hAnsi="Arial" w:cs="Arial"/>
                <w:color w:val="000000" w:themeColor="text1"/>
                <w:sz w:val="18"/>
                <w:szCs w:val="18"/>
              </w:rPr>
              <w:t>930.371</w:t>
            </w:r>
          </w:p>
        </w:tc>
        <w:tc>
          <w:tcPr>
            <w:tcW w:w="3119" w:type="dxa"/>
            <w:tcBorders>
              <w:bottom w:val="single" w:sz="12" w:space="0" w:color="000000" w:themeColor="text1"/>
            </w:tcBorders>
            <w:vAlign w:val="center"/>
          </w:tcPr>
          <w:p w14:paraId="0424BE3C" w14:textId="77777777" w:rsidR="003436D1" w:rsidRPr="00701F32" w:rsidRDefault="002C2FC7" w:rsidP="00332A30">
            <w:pPr>
              <w:jc w:val="right"/>
              <w:rPr>
                <w:rFonts w:ascii="Arial" w:hAnsi="Arial" w:cs="Arial"/>
                <w:color w:val="000000" w:themeColor="text1"/>
                <w:sz w:val="18"/>
                <w:szCs w:val="18"/>
              </w:rPr>
            </w:pPr>
            <w:r w:rsidRPr="00701F32">
              <w:rPr>
                <w:rFonts w:ascii="Arial" w:hAnsi="Arial" w:cs="Arial"/>
                <w:color w:val="000000" w:themeColor="text1"/>
                <w:sz w:val="18"/>
                <w:szCs w:val="18"/>
              </w:rPr>
              <w:t>930</w:t>
            </w:r>
          </w:p>
        </w:tc>
      </w:tr>
      <w:tr w:rsidR="007C4F07" w:rsidRPr="00701F32" w14:paraId="24934936" w14:textId="77777777" w:rsidTr="00394B9A">
        <w:trPr>
          <w:trHeight w:val="680"/>
        </w:trPr>
        <w:tc>
          <w:tcPr>
            <w:tcW w:w="3543" w:type="dxa"/>
            <w:tcBorders>
              <w:top w:val="single" w:sz="12" w:space="0" w:color="000000" w:themeColor="text1"/>
              <w:bottom w:val="single" w:sz="12" w:space="0" w:color="000000" w:themeColor="text1"/>
            </w:tcBorders>
            <w:vAlign w:val="center"/>
          </w:tcPr>
          <w:p w14:paraId="4C38974B" w14:textId="77777777" w:rsidR="003436D1" w:rsidRPr="00701F32" w:rsidRDefault="003436D1" w:rsidP="00332A30">
            <w:pPr>
              <w:jc w:val="center"/>
              <w:rPr>
                <w:rFonts w:ascii="Arial" w:hAnsi="Arial" w:cs="Arial"/>
                <w:b/>
                <w:color w:val="000000" w:themeColor="text1"/>
                <w:sz w:val="18"/>
                <w:szCs w:val="18"/>
              </w:rPr>
            </w:pPr>
            <w:r w:rsidRPr="00701F32">
              <w:rPr>
                <w:rFonts w:ascii="Arial" w:hAnsi="Arial" w:cs="Arial"/>
                <w:b/>
                <w:color w:val="000000" w:themeColor="text1"/>
                <w:sz w:val="18"/>
                <w:szCs w:val="18"/>
              </w:rPr>
              <w:t>TOTAL</w:t>
            </w:r>
          </w:p>
        </w:tc>
        <w:tc>
          <w:tcPr>
            <w:tcW w:w="1560" w:type="dxa"/>
            <w:tcBorders>
              <w:top w:val="single" w:sz="12" w:space="0" w:color="000000" w:themeColor="text1"/>
              <w:bottom w:val="single" w:sz="12" w:space="0" w:color="000000" w:themeColor="text1"/>
            </w:tcBorders>
            <w:vAlign w:val="center"/>
          </w:tcPr>
          <w:p w14:paraId="3210EFFD" w14:textId="61AC5685" w:rsidR="003436D1" w:rsidRPr="00701F32" w:rsidRDefault="00E57BEF" w:rsidP="008A557A">
            <w:pPr>
              <w:jc w:val="right"/>
              <w:rPr>
                <w:rFonts w:ascii="Arial" w:hAnsi="Arial" w:cs="Arial"/>
                <w:b/>
                <w:color w:val="000000" w:themeColor="text1"/>
                <w:sz w:val="18"/>
                <w:szCs w:val="18"/>
              </w:rPr>
            </w:pPr>
            <w:r>
              <w:rPr>
                <w:rFonts w:ascii="Arial" w:hAnsi="Arial" w:cs="Arial"/>
                <w:b/>
                <w:color w:val="000000" w:themeColor="text1"/>
                <w:sz w:val="18"/>
                <w:szCs w:val="18"/>
              </w:rPr>
              <w:t>829.563.871</w:t>
            </w:r>
          </w:p>
        </w:tc>
        <w:tc>
          <w:tcPr>
            <w:tcW w:w="3119" w:type="dxa"/>
            <w:tcBorders>
              <w:top w:val="single" w:sz="12" w:space="0" w:color="000000" w:themeColor="text1"/>
              <w:bottom w:val="single" w:sz="12" w:space="0" w:color="000000" w:themeColor="text1"/>
            </w:tcBorders>
            <w:vAlign w:val="center"/>
          </w:tcPr>
          <w:p w14:paraId="4ED38B49" w14:textId="4C258F58" w:rsidR="003436D1" w:rsidRPr="00701F32" w:rsidRDefault="006A37CA">
            <w:pPr>
              <w:jc w:val="right"/>
              <w:rPr>
                <w:rFonts w:ascii="Arial" w:hAnsi="Arial" w:cs="Arial"/>
                <w:b/>
                <w:color w:val="000000" w:themeColor="text1"/>
                <w:sz w:val="18"/>
                <w:szCs w:val="18"/>
                <w:lang w:val="es-ES_tradnl"/>
              </w:rPr>
            </w:pPr>
            <w:r>
              <w:rPr>
                <w:rFonts w:ascii="Arial" w:hAnsi="Arial" w:cs="Arial"/>
                <w:b/>
                <w:color w:val="000000" w:themeColor="text1"/>
                <w:sz w:val="18"/>
                <w:szCs w:val="18"/>
              </w:rPr>
              <w:t>8</w:t>
            </w:r>
            <w:r w:rsidR="00E57BEF">
              <w:rPr>
                <w:rFonts w:ascii="Arial" w:hAnsi="Arial" w:cs="Arial"/>
                <w:b/>
                <w:color w:val="000000" w:themeColor="text1"/>
                <w:sz w:val="18"/>
                <w:szCs w:val="18"/>
              </w:rPr>
              <w:t>29</w:t>
            </w:r>
            <w:r w:rsidR="001C50DA" w:rsidRPr="00701F32">
              <w:rPr>
                <w:rFonts w:ascii="Arial" w:hAnsi="Arial" w:cs="Arial"/>
                <w:b/>
                <w:color w:val="000000" w:themeColor="text1"/>
                <w:sz w:val="18"/>
                <w:szCs w:val="18"/>
              </w:rPr>
              <w:t>.</w:t>
            </w:r>
            <w:r>
              <w:rPr>
                <w:rFonts w:ascii="Arial" w:hAnsi="Arial" w:cs="Arial"/>
                <w:b/>
                <w:color w:val="000000" w:themeColor="text1"/>
                <w:sz w:val="18"/>
                <w:szCs w:val="18"/>
              </w:rPr>
              <w:t>5</w:t>
            </w:r>
            <w:r w:rsidR="00E57BEF">
              <w:rPr>
                <w:rFonts w:ascii="Arial" w:hAnsi="Arial" w:cs="Arial"/>
                <w:b/>
                <w:color w:val="000000" w:themeColor="text1"/>
                <w:sz w:val="18"/>
                <w:szCs w:val="18"/>
              </w:rPr>
              <w:t>64</w:t>
            </w:r>
          </w:p>
        </w:tc>
      </w:tr>
    </w:tbl>
    <w:p w14:paraId="416C605A" w14:textId="77777777" w:rsidR="00540B98" w:rsidRPr="00701F32" w:rsidRDefault="00540B98" w:rsidP="0065628D">
      <w:pPr>
        <w:pStyle w:val="Ttuloprincipal"/>
        <w:jc w:val="left"/>
        <w:rPr>
          <w:rFonts w:ascii="Arial" w:hAnsi="Arial" w:cs="Arial"/>
          <w:color w:val="000000" w:themeColor="text1"/>
          <w:sz w:val="22"/>
          <w:szCs w:val="22"/>
        </w:rPr>
        <w:sectPr w:rsidR="00540B98" w:rsidRPr="00701F32" w:rsidSect="004E4C82">
          <w:headerReference w:type="default" r:id="rId8"/>
          <w:pgSz w:w="11907" w:h="16839" w:code="9"/>
          <w:pgMar w:top="1418" w:right="1701" w:bottom="1418" w:left="1701" w:header="567" w:footer="0" w:gutter="0"/>
          <w:paperSrc w:first="15" w:other="15"/>
          <w:pgNumType w:start="2"/>
          <w:cols w:space="720"/>
          <w:docGrid w:linePitch="326"/>
        </w:sectPr>
      </w:pPr>
    </w:p>
    <w:p w14:paraId="53ACF0D2" w14:textId="77777777" w:rsidR="00615B48" w:rsidRPr="00FF6DEF" w:rsidRDefault="00CE49BA" w:rsidP="000428A1">
      <w:pPr>
        <w:tabs>
          <w:tab w:val="left" w:pos="1320"/>
        </w:tabs>
        <w:rPr>
          <w:sz w:val="10"/>
          <w:szCs w:val="10"/>
          <w:lang w:eastAsia="es-AR"/>
        </w:rPr>
      </w:pPr>
      <w:r w:rsidRPr="00FF6DEF">
        <w:rPr>
          <w:sz w:val="10"/>
          <w:szCs w:val="10"/>
          <w:lang w:eastAsia="es-AR"/>
        </w:rPr>
        <w:t xml:space="preserve"> </w:t>
      </w:r>
    </w:p>
    <w:tbl>
      <w:tblPr>
        <w:tblW w:w="7655" w:type="dxa"/>
        <w:jc w:val="center"/>
        <w:tblCellMar>
          <w:left w:w="70" w:type="dxa"/>
          <w:right w:w="70" w:type="dxa"/>
        </w:tblCellMar>
        <w:tblLook w:val="04A0" w:firstRow="1" w:lastRow="0" w:firstColumn="1" w:lastColumn="0" w:noHBand="0" w:noVBand="1"/>
      </w:tblPr>
      <w:tblGrid>
        <w:gridCol w:w="4395"/>
        <w:gridCol w:w="850"/>
        <w:gridCol w:w="1276"/>
        <w:gridCol w:w="1134"/>
      </w:tblGrid>
      <w:tr w:rsidR="00323E0E" w:rsidRPr="00615B48" w14:paraId="0727D98E" w14:textId="77777777" w:rsidTr="00AA40A5">
        <w:trPr>
          <w:trHeight w:val="300"/>
          <w:jc w:val="center"/>
        </w:trPr>
        <w:tc>
          <w:tcPr>
            <w:tcW w:w="4395"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C9F7A0A" w14:textId="77777777" w:rsidR="00323E0E" w:rsidRPr="00615B48" w:rsidRDefault="00323E0E" w:rsidP="00A04D8C">
            <w:pPr>
              <w:jc w:val="center"/>
              <w:rPr>
                <w:rFonts w:ascii="Arial" w:hAnsi="Arial" w:cs="Arial"/>
                <w:b/>
                <w:bCs/>
                <w:sz w:val="16"/>
                <w:szCs w:val="16"/>
                <w:lang w:eastAsia="es-AR"/>
              </w:rPr>
            </w:pPr>
            <w:r w:rsidRPr="00615B48">
              <w:rPr>
                <w:rFonts w:ascii="Arial" w:hAnsi="Arial" w:cs="Arial"/>
                <w:b/>
                <w:bCs/>
                <w:sz w:val="16"/>
                <w:szCs w:val="16"/>
                <w:lang w:eastAsia="es-AR"/>
              </w:rPr>
              <w:t>Conceptos</w:t>
            </w:r>
          </w:p>
        </w:tc>
        <w:tc>
          <w:tcPr>
            <w:tcW w:w="85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D198BA0" w14:textId="77777777" w:rsidR="00323E0E" w:rsidRPr="00615B48" w:rsidRDefault="00323E0E" w:rsidP="00A04D8C">
            <w:pPr>
              <w:jc w:val="center"/>
              <w:rPr>
                <w:rFonts w:ascii="Arial" w:hAnsi="Arial" w:cs="Arial"/>
                <w:b/>
                <w:bCs/>
                <w:sz w:val="16"/>
                <w:szCs w:val="16"/>
                <w:lang w:eastAsia="es-AR"/>
              </w:rPr>
            </w:pPr>
            <w:r w:rsidRPr="00615B48">
              <w:rPr>
                <w:rFonts w:ascii="Arial" w:hAnsi="Arial" w:cs="Arial"/>
                <w:b/>
                <w:bCs/>
                <w:sz w:val="16"/>
                <w:szCs w:val="16"/>
                <w:lang w:eastAsia="es-AR"/>
              </w:rPr>
              <w:t>Notas</w:t>
            </w:r>
          </w:p>
        </w:tc>
        <w:tc>
          <w:tcPr>
            <w:tcW w:w="1276"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580E6997" w14:textId="7EB69611" w:rsidR="00323E0E" w:rsidRPr="00615B48" w:rsidRDefault="00634606" w:rsidP="00634606">
            <w:pPr>
              <w:jc w:val="center"/>
              <w:rPr>
                <w:rFonts w:ascii="Arial" w:hAnsi="Arial" w:cs="Arial"/>
                <w:b/>
                <w:bCs/>
                <w:sz w:val="16"/>
                <w:szCs w:val="16"/>
                <w:lang w:eastAsia="es-AR"/>
              </w:rPr>
            </w:pPr>
            <w:r>
              <w:rPr>
                <w:rFonts w:ascii="Arial" w:hAnsi="Arial" w:cs="Arial"/>
                <w:b/>
                <w:bCs/>
                <w:sz w:val="16"/>
                <w:szCs w:val="16"/>
                <w:lang w:eastAsia="es-AR"/>
              </w:rPr>
              <w:t>3</w:t>
            </w:r>
            <w:r w:rsidR="00670E34">
              <w:rPr>
                <w:rFonts w:ascii="Arial" w:hAnsi="Arial" w:cs="Arial"/>
                <w:b/>
                <w:bCs/>
                <w:sz w:val="16"/>
                <w:szCs w:val="16"/>
                <w:lang w:eastAsia="es-AR"/>
              </w:rPr>
              <w:t>1</w:t>
            </w:r>
            <w:r w:rsidR="00323E0E">
              <w:rPr>
                <w:rFonts w:ascii="Arial" w:hAnsi="Arial" w:cs="Arial"/>
                <w:b/>
                <w:bCs/>
                <w:sz w:val="16"/>
                <w:szCs w:val="16"/>
                <w:lang w:eastAsia="es-AR"/>
              </w:rPr>
              <w:t>/</w:t>
            </w:r>
            <w:r w:rsidR="00670E34">
              <w:rPr>
                <w:rFonts w:ascii="Arial" w:hAnsi="Arial" w:cs="Arial"/>
                <w:b/>
                <w:bCs/>
                <w:sz w:val="16"/>
                <w:szCs w:val="16"/>
                <w:lang w:eastAsia="es-AR"/>
              </w:rPr>
              <w:t>1</w:t>
            </w:r>
            <w:r w:rsidR="00670E34" w:rsidRPr="00670E34">
              <w:rPr>
                <w:rFonts w:ascii="Arial" w:hAnsi="Arial" w:cs="Arial"/>
                <w:b/>
                <w:bCs/>
                <w:sz w:val="16"/>
                <w:szCs w:val="16"/>
                <w:lang w:eastAsia="es-AR"/>
              </w:rPr>
              <w:t>2</w:t>
            </w:r>
            <w:r w:rsidR="00323E0E">
              <w:rPr>
                <w:rFonts w:ascii="Arial" w:hAnsi="Arial" w:cs="Arial"/>
                <w:b/>
                <w:bCs/>
                <w:sz w:val="16"/>
                <w:szCs w:val="16"/>
                <w:lang w:eastAsia="es-AR"/>
              </w:rPr>
              <w:t>/2019</w:t>
            </w:r>
          </w:p>
        </w:tc>
        <w:tc>
          <w:tcPr>
            <w:tcW w:w="1134"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3BF5B86C" w14:textId="6ADD27D3" w:rsidR="00323E0E" w:rsidRPr="00615B48" w:rsidRDefault="00323E0E" w:rsidP="00A04D8C">
            <w:pPr>
              <w:jc w:val="center"/>
              <w:rPr>
                <w:rFonts w:ascii="Arial" w:hAnsi="Arial" w:cs="Arial"/>
                <w:b/>
                <w:bCs/>
                <w:sz w:val="16"/>
                <w:szCs w:val="16"/>
                <w:lang w:eastAsia="es-AR"/>
              </w:rPr>
            </w:pPr>
            <w:r>
              <w:rPr>
                <w:rFonts w:ascii="Arial" w:hAnsi="Arial" w:cs="Arial"/>
                <w:b/>
                <w:bCs/>
                <w:sz w:val="16"/>
                <w:szCs w:val="16"/>
                <w:lang w:eastAsia="es-AR"/>
              </w:rPr>
              <w:t>31</w:t>
            </w:r>
            <w:r w:rsidRPr="00615B48">
              <w:rPr>
                <w:rFonts w:ascii="Arial" w:hAnsi="Arial" w:cs="Arial"/>
                <w:b/>
                <w:bCs/>
                <w:sz w:val="16"/>
                <w:szCs w:val="16"/>
                <w:lang w:eastAsia="es-AR"/>
              </w:rPr>
              <w:t>/</w:t>
            </w:r>
            <w:r>
              <w:rPr>
                <w:rFonts w:ascii="Arial" w:hAnsi="Arial" w:cs="Arial"/>
                <w:b/>
                <w:bCs/>
                <w:sz w:val="16"/>
                <w:szCs w:val="16"/>
                <w:lang w:eastAsia="es-AR"/>
              </w:rPr>
              <w:t>12</w:t>
            </w:r>
            <w:r w:rsidRPr="00615B48">
              <w:rPr>
                <w:rFonts w:ascii="Arial" w:hAnsi="Arial" w:cs="Arial"/>
                <w:b/>
                <w:bCs/>
                <w:sz w:val="16"/>
                <w:szCs w:val="16"/>
                <w:lang w:eastAsia="es-AR"/>
              </w:rPr>
              <w:t>/2018</w:t>
            </w:r>
          </w:p>
        </w:tc>
      </w:tr>
      <w:tr w:rsidR="00323E0E" w:rsidRPr="00615B48" w14:paraId="5CE49CA7" w14:textId="77777777" w:rsidTr="00AA40A5">
        <w:trPr>
          <w:trHeight w:val="300"/>
          <w:jc w:val="center"/>
        </w:trPr>
        <w:tc>
          <w:tcPr>
            <w:tcW w:w="4395"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1ED1CCFE" w14:textId="77777777" w:rsidR="00323E0E" w:rsidRPr="00615B48" w:rsidRDefault="00323E0E" w:rsidP="00615B48">
            <w:pPr>
              <w:rPr>
                <w:rFonts w:ascii="Arial" w:hAnsi="Arial" w:cs="Arial"/>
                <w:b/>
                <w:bCs/>
                <w:sz w:val="16"/>
                <w:szCs w:val="16"/>
                <w:lang w:eastAsia="es-AR"/>
              </w:rPr>
            </w:pPr>
          </w:p>
        </w:tc>
        <w:tc>
          <w:tcPr>
            <w:tcW w:w="85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1B1ECC9" w14:textId="77777777" w:rsidR="00323E0E" w:rsidRPr="00615B48" w:rsidRDefault="00323E0E" w:rsidP="00615B48">
            <w:pPr>
              <w:jc w:val="center"/>
              <w:rPr>
                <w:rFonts w:ascii="Arial" w:hAnsi="Arial" w:cs="Arial"/>
                <w:b/>
                <w:bCs/>
                <w:sz w:val="16"/>
                <w:szCs w:val="16"/>
                <w:lang w:eastAsia="es-AR"/>
              </w:rPr>
            </w:pPr>
          </w:p>
        </w:tc>
        <w:tc>
          <w:tcPr>
            <w:tcW w:w="1276"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51D5C3EB" w14:textId="77777777" w:rsidR="00323E0E" w:rsidRPr="00615B48" w:rsidRDefault="00323E0E" w:rsidP="00615B48">
            <w:pPr>
              <w:rPr>
                <w:rFonts w:ascii="Arial" w:hAnsi="Arial" w:cs="Arial"/>
                <w:b/>
                <w:bCs/>
                <w:sz w:val="16"/>
                <w:szCs w:val="16"/>
                <w:lang w:eastAsia="es-AR"/>
              </w:rPr>
            </w:pPr>
          </w:p>
        </w:tc>
        <w:tc>
          <w:tcPr>
            <w:tcW w:w="1134"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10C9F39A" w14:textId="77777777" w:rsidR="00323E0E" w:rsidRPr="00615B48" w:rsidRDefault="00323E0E" w:rsidP="00615B48">
            <w:pPr>
              <w:rPr>
                <w:rFonts w:ascii="Arial" w:hAnsi="Arial" w:cs="Arial"/>
                <w:b/>
                <w:bCs/>
                <w:sz w:val="16"/>
                <w:szCs w:val="16"/>
                <w:lang w:eastAsia="es-AR"/>
              </w:rPr>
            </w:pPr>
          </w:p>
        </w:tc>
      </w:tr>
      <w:tr w:rsidR="00323E0E" w:rsidRPr="00E43FE4" w14:paraId="14E1CFA8" w14:textId="77777777" w:rsidTr="00534414">
        <w:trPr>
          <w:trHeight w:val="159"/>
          <w:jc w:val="center"/>
        </w:trPr>
        <w:tc>
          <w:tcPr>
            <w:tcW w:w="4395" w:type="dxa"/>
            <w:tcBorders>
              <w:top w:val="nil"/>
              <w:left w:val="nil"/>
              <w:bottom w:val="nil"/>
              <w:right w:val="nil"/>
            </w:tcBorders>
            <w:shd w:val="clear" w:color="auto" w:fill="auto"/>
            <w:vAlign w:val="center"/>
            <w:hideMark/>
          </w:tcPr>
          <w:p w14:paraId="495A937A" w14:textId="77777777" w:rsidR="00323E0E" w:rsidRPr="00E43FE4" w:rsidRDefault="00323E0E" w:rsidP="00615B48">
            <w:pPr>
              <w:jc w:val="center"/>
              <w:rPr>
                <w:rFonts w:ascii="Arial" w:hAnsi="Arial" w:cs="Arial"/>
                <w:b/>
                <w:bCs/>
                <w:sz w:val="10"/>
                <w:szCs w:val="10"/>
                <w:lang w:eastAsia="es-AR"/>
              </w:rPr>
            </w:pPr>
            <w:r w:rsidRPr="00E43FE4">
              <w:rPr>
                <w:rFonts w:ascii="Arial" w:hAnsi="Arial" w:cs="Arial"/>
                <w:b/>
                <w:bCs/>
                <w:sz w:val="10"/>
                <w:szCs w:val="10"/>
                <w:lang w:eastAsia="es-AR"/>
              </w:rPr>
              <w:t> </w:t>
            </w:r>
          </w:p>
        </w:tc>
        <w:tc>
          <w:tcPr>
            <w:tcW w:w="850" w:type="dxa"/>
            <w:tcBorders>
              <w:top w:val="nil"/>
              <w:left w:val="nil"/>
              <w:bottom w:val="nil"/>
              <w:right w:val="nil"/>
            </w:tcBorders>
            <w:shd w:val="clear" w:color="auto" w:fill="auto"/>
            <w:vAlign w:val="center"/>
            <w:hideMark/>
          </w:tcPr>
          <w:p w14:paraId="32D87CDF" w14:textId="48DE5D51" w:rsidR="00323E0E" w:rsidRPr="00E43FE4" w:rsidRDefault="00323E0E" w:rsidP="00615B48">
            <w:pPr>
              <w:jc w:val="center"/>
              <w:rPr>
                <w:rFonts w:ascii="Arial" w:hAnsi="Arial" w:cs="Arial"/>
                <w:b/>
                <w:bCs/>
                <w:sz w:val="10"/>
                <w:szCs w:val="10"/>
                <w:lang w:eastAsia="es-AR"/>
              </w:rPr>
            </w:pPr>
          </w:p>
        </w:tc>
        <w:tc>
          <w:tcPr>
            <w:tcW w:w="1276" w:type="dxa"/>
            <w:tcBorders>
              <w:top w:val="nil"/>
              <w:left w:val="nil"/>
              <w:bottom w:val="nil"/>
              <w:right w:val="nil"/>
            </w:tcBorders>
            <w:shd w:val="clear" w:color="auto" w:fill="auto"/>
            <w:noWrap/>
            <w:vAlign w:val="center"/>
            <w:hideMark/>
          </w:tcPr>
          <w:p w14:paraId="363B50C7" w14:textId="77777777" w:rsidR="00323E0E" w:rsidRPr="00E43FE4" w:rsidRDefault="00323E0E" w:rsidP="00615B48">
            <w:pPr>
              <w:jc w:val="center"/>
              <w:rPr>
                <w:rFonts w:ascii="Arial" w:hAnsi="Arial" w:cs="Arial"/>
                <w:sz w:val="10"/>
                <w:szCs w:val="10"/>
                <w:lang w:eastAsia="es-AR"/>
              </w:rPr>
            </w:pPr>
            <w:r w:rsidRPr="00E43FE4">
              <w:rPr>
                <w:rFonts w:ascii="Arial" w:hAnsi="Arial" w:cs="Arial"/>
                <w:sz w:val="10"/>
                <w:szCs w:val="10"/>
                <w:lang w:eastAsia="es-AR"/>
              </w:rPr>
              <w:t> </w:t>
            </w:r>
          </w:p>
        </w:tc>
        <w:tc>
          <w:tcPr>
            <w:tcW w:w="1134" w:type="dxa"/>
            <w:tcBorders>
              <w:top w:val="nil"/>
              <w:left w:val="nil"/>
              <w:bottom w:val="nil"/>
              <w:right w:val="nil"/>
            </w:tcBorders>
            <w:shd w:val="clear" w:color="auto" w:fill="auto"/>
            <w:noWrap/>
            <w:vAlign w:val="center"/>
            <w:hideMark/>
          </w:tcPr>
          <w:p w14:paraId="1C96AD00" w14:textId="77777777" w:rsidR="00323E0E" w:rsidRPr="00E43FE4" w:rsidRDefault="00323E0E" w:rsidP="00615B48">
            <w:pPr>
              <w:jc w:val="center"/>
              <w:rPr>
                <w:rFonts w:ascii="Arial" w:hAnsi="Arial" w:cs="Arial"/>
                <w:sz w:val="10"/>
                <w:szCs w:val="10"/>
                <w:lang w:eastAsia="es-AR"/>
              </w:rPr>
            </w:pPr>
            <w:r w:rsidRPr="00E43FE4">
              <w:rPr>
                <w:rFonts w:ascii="Arial" w:hAnsi="Arial" w:cs="Arial"/>
                <w:sz w:val="10"/>
                <w:szCs w:val="10"/>
                <w:lang w:eastAsia="es-AR"/>
              </w:rPr>
              <w:t> </w:t>
            </w:r>
          </w:p>
        </w:tc>
      </w:tr>
      <w:tr w:rsidR="00323E0E" w:rsidRPr="00615B48" w14:paraId="641872A5" w14:textId="77777777" w:rsidTr="00534414">
        <w:trPr>
          <w:trHeight w:val="300"/>
          <w:jc w:val="center"/>
        </w:trPr>
        <w:tc>
          <w:tcPr>
            <w:tcW w:w="4395" w:type="dxa"/>
            <w:tcBorders>
              <w:top w:val="nil"/>
              <w:left w:val="nil"/>
              <w:bottom w:val="nil"/>
              <w:right w:val="nil"/>
            </w:tcBorders>
            <w:shd w:val="clear" w:color="auto" w:fill="auto"/>
            <w:hideMark/>
          </w:tcPr>
          <w:p w14:paraId="35E82F4E" w14:textId="77777777" w:rsidR="00323E0E" w:rsidRPr="00615B48" w:rsidRDefault="00323E0E" w:rsidP="00615B48">
            <w:pPr>
              <w:rPr>
                <w:rFonts w:ascii="Arial" w:hAnsi="Arial" w:cs="Arial"/>
                <w:b/>
                <w:bCs/>
                <w:sz w:val="16"/>
                <w:szCs w:val="16"/>
                <w:lang w:eastAsia="es-AR"/>
              </w:rPr>
            </w:pPr>
            <w:r w:rsidRPr="00615B48">
              <w:rPr>
                <w:rFonts w:ascii="Arial" w:hAnsi="Arial" w:cs="Arial"/>
                <w:b/>
                <w:bCs/>
                <w:sz w:val="16"/>
                <w:szCs w:val="16"/>
                <w:lang w:eastAsia="es-AR"/>
              </w:rPr>
              <w:t>ACTIVO</w:t>
            </w:r>
          </w:p>
        </w:tc>
        <w:tc>
          <w:tcPr>
            <w:tcW w:w="850" w:type="dxa"/>
            <w:tcBorders>
              <w:top w:val="nil"/>
              <w:left w:val="nil"/>
              <w:bottom w:val="nil"/>
              <w:right w:val="nil"/>
            </w:tcBorders>
            <w:shd w:val="clear" w:color="auto" w:fill="auto"/>
            <w:noWrap/>
            <w:hideMark/>
          </w:tcPr>
          <w:p w14:paraId="276BA3EC" w14:textId="77777777" w:rsidR="00323E0E" w:rsidRPr="00615B48" w:rsidRDefault="00323E0E" w:rsidP="00615B48">
            <w:pPr>
              <w:jc w:val="center"/>
              <w:rPr>
                <w:rFonts w:ascii="Arial" w:hAnsi="Arial" w:cs="Arial"/>
                <w:b/>
                <w:bCs/>
                <w:sz w:val="16"/>
                <w:szCs w:val="16"/>
                <w:lang w:eastAsia="es-AR"/>
              </w:rPr>
            </w:pPr>
          </w:p>
        </w:tc>
        <w:tc>
          <w:tcPr>
            <w:tcW w:w="1276" w:type="dxa"/>
            <w:tcBorders>
              <w:top w:val="nil"/>
              <w:left w:val="nil"/>
              <w:bottom w:val="nil"/>
              <w:right w:val="nil"/>
            </w:tcBorders>
            <w:shd w:val="clear" w:color="auto" w:fill="auto"/>
            <w:noWrap/>
            <w:hideMark/>
          </w:tcPr>
          <w:p w14:paraId="677C4D61" w14:textId="77777777" w:rsidR="00323E0E" w:rsidRPr="00615B48" w:rsidRDefault="00323E0E" w:rsidP="00615B48">
            <w:pPr>
              <w:rPr>
                <w:rFonts w:ascii="Arial" w:hAnsi="Arial" w:cs="Arial"/>
                <w:sz w:val="16"/>
                <w:szCs w:val="16"/>
                <w:lang w:eastAsia="es-AR"/>
              </w:rPr>
            </w:pPr>
          </w:p>
        </w:tc>
        <w:tc>
          <w:tcPr>
            <w:tcW w:w="1134" w:type="dxa"/>
            <w:tcBorders>
              <w:top w:val="nil"/>
              <w:left w:val="nil"/>
              <w:bottom w:val="nil"/>
              <w:right w:val="nil"/>
            </w:tcBorders>
            <w:shd w:val="clear" w:color="auto" w:fill="auto"/>
            <w:noWrap/>
            <w:hideMark/>
          </w:tcPr>
          <w:p w14:paraId="26B1685E" w14:textId="77777777" w:rsidR="00323E0E" w:rsidRPr="00615B48" w:rsidRDefault="00323E0E" w:rsidP="00615B48">
            <w:pPr>
              <w:rPr>
                <w:rFonts w:ascii="Arial" w:hAnsi="Arial" w:cs="Arial"/>
                <w:sz w:val="16"/>
                <w:szCs w:val="16"/>
                <w:lang w:eastAsia="es-AR"/>
              </w:rPr>
            </w:pPr>
          </w:p>
        </w:tc>
      </w:tr>
      <w:tr w:rsidR="001C3DEB" w:rsidRPr="00615B48" w14:paraId="3C2406C1" w14:textId="77777777" w:rsidTr="006E1AF7">
        <w:trPr>
          <w:trHeight w:val="300"/>
          <w:jc w:val="center"/>
        </w:trPr>
        <w:tc>
          <w:tcPr>
            <w:tcW w:w="4395" w:type="dxa"/>
            <w:tcBorders>
              <w:top w:val="nil"/>
              <w:left w:val="nil"/>
              <w:bottom w:val="nil"/>
              <w:right w:val="nil"/>
            </w:tcBorders>
            <w:shd w:val="clear" w:color="auto" w:fill="auto"/>
            <w:vAlign w:val="bottom"/>
            <w:hideMark/>
          </w:tcPr>
          <w:p w14:paraId="18F30952" w14:textId="502E862D"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Efectivo y Depósitos en Bancos </w:t>
            </w:r>
            <w:r w:rsidRPr="007D7797">
              <w:rPr>
                <w:rFonts w:ascii="Arial" w:hAnsi="Arial" w:cs="Arial"/>
                <w:b/>
                <w:sz w:val="16"/>
                <w:szCs w:val="16"/>
                <w:lang w:eastAsia="es-AR"/>
              </w:rPr>
              <w:t>(Anexo P)</w:t>
            </w:r>
          </w:p>
        </w:tc>
        <w:tc>
          <w:tcPr>
            <w:tcW w:w="850" w:type="dxa"/>
            <w:tcBorders>
              <w:top w:val="nil"/>
              <w:left w:val="nil"/>
              <w:bottom w:val="nil"/>
              <w:right w:val="nil"/>
            </w:tcBorders>
            <w:shd w:val="clear" w:color="auto" w:fill="auto"/>
            <w:vAlign w:val="bottom"/>
            <w:hideMark/>
          </w:tcPr>
          <w:p w14:paraId="3EB95F6A" w14:textId="1175F3EE" w:rsidR="001C3DEB" w:rsidRPr="00917B3D" w:rsidRDefault="001C3DEB" w:rsidP="001C3DEB">
            <w:pPr>
              <w:jc w:val="center"/>
              <w:rPr>
                <w:rFonts w:ascii="Arial" w:hAnsi="Arial" w:cs="Arial"/>
                <w:sz w:val="16"/>
                <w:szCs w:val="16"/>
                <w:lang w:eastAsia="es-AR"/>
              </w:rPr>
            </w:pPr>
            <w:r w:rsidRPr="00917B3D">
              <w:rPr>
                <w:rFonts w:ascii="Arial" w:hAnsi="Arial" w:cs="Arial"/>
                <w:sz w:val="16"/>
                <w:szCs w:val="16"/>
                <w:lang w:eastAsia="es-AR"/>
              </w:rPr>
              <w:t>1.</w:t>
            </w:r>
            <w:r>
              <w:rPr>
                <w:rFonts w:ascii="Arial" w:hAnsi="Arial" w:cs="Arial"/>
                <w:sz w:val="16"/>
                <w:szCs w:val="16"/>
                <w:lang w:eastAsia="es-AR"/>
              </w:rPr>
              <w:t>8</w:t>
            </w:r>
          </w:p>
        </w:tc>
        <w:tc>
          <w:tcPr>
            <w:tcW w:w="1276" w:type="dxa"/>
            <w:tcBorders>
              <w:top w:val="nil"/>
              <w:left w:val="nil"/>
              <w:bottom w:val="nil"/>
              <w:right w:val="nil"/>
            </w:tcBorders>
            <w:shd w:val="clear" w:color="auto" w:fill="auto"/>
            <w:noWrap/>
            <w:vAlign w:val="bottom"/>
          </w:tcPr>
          <w:p w14:paraId="688E2A11" w14:textId="43465232" w:rsidR="001C3DEB" w:rsidRPr="001C3DEB" w:rsidRDefault="001C3DEB">
            <w:pPr>
              <w:jc w:val="right"/>
              <w:rPr>
                <w:rFonts w:ascii="Arial" w:hAnsi="Arial" w:cs="Arial"/>
                <w:sz w:val="16"/>
                <w:szCs w:val="16"/>
              </w:rPr>
            </w:pPr>
            <w:r w:rsidRPr="006E1AF7">
              <w:rPr>
                <w:rFonts w:ascii="Arial" w:hAnsi="Arial" w:cs="Arial"/>
                <w:sz w:val="16"/>
                <w:szCs w:val="16"/>
              </w:rPr>
              <w:t xml:space="preserve">25.833.030 </w:t>
            </w:r>
          </w:p>
        </w:tc>
        <w:tc>
          <w:tcPr>
            <w:tcW w:w="1134" w:type="dxa"/>
            <w:tcBorders>
              <w:top w:val="nil"/>
              <w:left w:val="nil"/>
              <w:bottom w:val="nil"/>
              <w:right w:val="nil"/>
            </w:tcBorders>
            <w:shd w:val="clear" w:color="auto" w:fill="auto"/>
            <w:noWrap/>
            <w:vAlign w:val="bottom"/>
          </w:tcPr>
          <w:p w14:paraId="30F0AFBC" w14:textId="5E5D0D5E"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33.546.761</w:t>
            </w:r>
          </w:p>
        </w:tc>
      </w:tr>
      <w:tr w:rsidR="001C3DEB" w:rsidRPr="00615B48" w14:paraId="6432AE01" w14:textId="77777777" w:rsidTr="006E1AF7">
        <w:trPr>
          <w:trHeight w:val="300"/>
          <w:jc w:val="center"/>
        </w:trPr>
        <w:tc>
          <w:tcPr>
            <w:tcW w:w="4395" w:type="dxa"/>
            <w:tcBorders>
              <w:top w:val="nil"/>
              <w:left w:val="nil"/>
              <w:bottom w:val="nil"/>
              <w:right w:val="nil"/>
            </w:tcBorders>
            <w:shd w:val="clear" w:color="auto" w:fill="auto"/>
            <w:vAlign w:val="bottom"/>
            <w:hideMark/>
          </w:tcPr>
          <w:p w14:paraId="4D23E890"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Efectivo</w:t>
            </w:r>
          </w:p>
        </w:tc>
        <w:tc>
          <w:tcPr>
            <w:tcW w:w="850" w:type="dxa"/>
            <w:tcBorders>
              <w:top w:val="nil"/>
              <w:left w:val="nil"/>
              <w:bottom w:val="nil"/>
              <w:right w:val="nil"/>
            </w:tcBorders>
            <w:shd w:val="clear" w:color="auto" w:fill="auto"/>
            <w:vAlign w:val="bottom"/>
            <w:hideMark/>
          </w:tcPr>
          <w:p w14:paraId="759DBCF8" w14:textId="77777777" w:rsidR="001C3DEB" w:rsidRPr="00917B3D" w:rsidRDefault="001C3DEB" w:rsidP="001C3DEB">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3F675C12" w14:textId="7BCC1C01" w:rsidR="001C3DEB" w:rsidRPr="001C3DEB" w:rsidRDefault="001C3DEB">
            <w:pPr>
              <w:jc w:val="right"/>
              <w:rPr>
                <w:rFonts w:ascii="Arial" w:hAnsi="Arial" w:cs="Arial"/>
                <w:sz w:val="16"/>
                <w:szCs w:val="16"/>
              </w:rPr>
            </w:pPr>
            <w:r w:rsidRPr="006E1AF7">
              <w:rPr>
                <w:rFonts w:ascii="Arial" w:hAnsi="Arial" w:cs="Arial"/>
                <w:sz w:val="16"/>
                <w:szCs w:val="16"/>
              </w:rPr>
              <w:t xml:space="preserve">8.695.496 </w:t>
            </w:r>
          </w:p>
        </w:tc>
        <w:tc>
          <w:tcPr>
            <w:tcW w:w="1134" w:type="dxa"/>
            <w:tcBorders>
              <w:top w:val="nil"/>
              <w:left w:val="nil"/>
              <w:bottom w:val="nil"/>
              <w:right w:val="nil"/>
            </w:tcBorders>
            <w:shd w:val="clear" w:color="auto" w:fill="auto"/>
            <w:noWrap/>
            <w:vAlign w:val="bottom"/>
          </w:tcPr>
          <w:p w14:paraId="7B44009E" w14:textId="12F67B21"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4.739.372</w:t>
            </w:r>
          </w:p>
        </w:tc>
      </w:tr>
      <w:tr w:rsidR="001C3DEB" w:rsidRPr="00615B48" w14:paraId="2665D219" w14:textId="77777777" w:rsidTr="006E1AF7">
        <w:trPr>
          <w:trHeight w:val="300"/>
          <w:jc w:val="center"/>
        </w:trPr>
        <w:tc>
          <w:tcPr>
            <w:tcW w:w="4395" w:type="dxa"/>
            <w:tcBorders>
              <w:top w:val="nil"/>
              <w:left w:val="nil"/>
              <w:bottom w:val="nil"/>
              <w:right w:val="nil"/>
            </w:tcBorders>
            <w:shd w:val="clear" w:color="auto" w:fill="auto"/>
            <w:vAlign w:val="bottom"/>
            <w:hideMark/>
          </w:tcPr>
          <w:p w14:paraId="074A53E1"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Entidades Financieras y corresponsales</w:t>
            </w:r>
          </w:p>
        </w:tc>
        <w:tc>
          <w:tcPr>
            <w:tcW w:w="850" w:type="dxa"/>
            <w:tcBorders>
              <w:top w:val="nil"/>
              <w:left w:val="nil"/>
              <w:bottom w:val="nil"/>
              <w:right w:val="nil"/>
            </w:tcBorders>
            <w:shd w:val="clear" w:color="auto" w:fill="auto"/>
            <w:vAlign w:val="bottom"/>
            <w:hideMark/>
          </w:tcPr>
          <w:p w14:paraId="49808759" w14:textId="77777777" w:rsidR="001C3DEB" w:rsidRPr="00917B3D" w:rsidRDefault="001C3DEB" w:rsidP="001C3DEB">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62D54C67" w14:textId="77777777" w:rsidR="001C3DEB" w:rsidRPr="001C3DEB" w:rsidRDefault="001C3DEB">
            <w:pPr>
              <w:jc w:val="right"/>
              <w:rPr>
                <w:rFonts w:ascii="Arial" w:hAnsi="Arial" w:cs="Arial"/>
                <w:sz w:val="16"/>
                <w:szCs w:val="16"/>
              </w:rPr>
            </w:pPr>
          </w:p>
        </w:tc>
        <w:tc>
          <w:tcPr>
            <w:tcW w:w="1134" w:type="dxa"/>
            <w:tcBorders>
              <w:top w:val="nil"/>
              <w:left w:val="nil"/>
              <w:bottom w:val="nil"/>
              <w:right w:val="nil"/>
            </w:tcBorders>
            <w:shd w:val="clear" w:color="auto" w:fill="auto"/>
            <w:noWrap/>
            <w:vAlign w:val="bottom"/>
          </w:tcPr>
          <w:p w14:paraId="2BE0FAEA" w14:textId="77777777" w:rsidR="001C3DEB" w:rsidRPr="00615B48" w:rsidRDefault="001C3DEB" w:rsidP="001C3DEB">
            <w:pPr>
              <w:jc w:val="right"/>
              <w:rPr>
                <w:rFonts w:ascii="Arial" w:hAnsi="Arial" w:cs="Arial"/>
                <w:sz w:val="16"/>
                <w:szCs w:val="16"/>
                <w:lang w:eastAsia="es-AR"/>
              </w:rPr>
            </w:pPr>
          </w:p>
        </w:tc>
      </w:tr>
      <w:tr w:rsidR="001C3DEB" w:rsidRPr="00615B48" w14:paraId="0B889452" w14:textId="77777777" w:rsidTr="006E1AF7">
        <w:trPr>
          <w:trHeight w:val="300"/>
          <w:jc w:val="center"/>
        </w:trPr>
        <w:tc>
          <w:tcPr>
            <w:tcW w:w="4395" w:type="dxa"/>
            <w:tcBorders>
              <w:top w:val="nil"/>
              <w:left w:val="nil"/>
              <w:bottom w:val="nil"/>
              <w:right w:val="nil"/>
            </w:tcBorders>
            <w:shd w:val="clear" w:color="auto" w:fill="auto"/>
            <w:vAlign w:val="bottom"/>
            <w:hideMark/>
          </w:tcPr>
          <w:p w14:paraId="2B39D0A4" w14:textId="77777777" w:rsidR="001C3DEB" w:rsidRPr="00615B48" w:rsidRDefault="001C3DEB" w:rsidP="001C3DEB">
            <w:pPr>
              <w:ind w:firstLineChars="500" w:firstLine="800"/>
              <w:rPr>
                <w:rFonts w:ascii="Arial" w:hAnsi="Arial" w:cs="Arial"/>
                <w:sz w:val="16"/>
                <w:szCs w:val="16"/>
                <w:lang w:eastAsia="es-AR"/>
              </w:rPr>
            </w:pPr>
            <w:r w:rsidRPr="00615B48">
              <w:rPr>
                <w:rFonts w:ascii="Arial" w:hAnsi="Arial" w:cs="Arial"/>
                <w:sz w:val="16"/>
                <w:szCs w:val="16"/>
                <w:lang w:eastAsia="es-AR"/>
              </w:rPr>
              <w:t>BCRA</w:t>
            </w:r>
          </w:p>
        </w:tc>
        <w:tc>
          <w:tcPr>
            <w:tcW w:w="850" w:type="dxa"/>
            <w:tcBorders>
              <w:top w:val="nil"/>
              <w:left w:val="nil"/>
              <w:bottom w:val="nil"/>
              <w:right w:val="nil"/>
            </w:tcBorders>
            <w:shd w:val="clear" w:color="auto" w:fill="auto"/>
            <w:vAlign w:val="bottom"/>
            <w:hideMark/>
          </w:tcPr>
          <w:p w14:paraId="6405E8F6" w14:textId="77777777" w:rsidR="001C3DEB" w:rsidRPr="00917B3D" w:rsidRDefault="001C3DEB" w:rsidP="001C3DEB">
            <w:pPr>
              <w:ind w:firstLineChars="500" w:firstLine="80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51C706D9" w14:textId="605B5C61" w:rsidR="001C3DEB" w:rsidRPr="001C3DEB" w:rsidRDefault="001C3DEB">
            <w:pPr>
              <w:jc w:val="right"/>
              <w:rPr>
                <w:rFonts w:ascii="Arial" w:hAnsi="Arial" w:cs="Arial"/>
                <w:sz w:val="16"/>
                <w:szCs w:val="16"/>
              </w:rPr>
            </w:pPr>
            <w:r w:rsidRPr="006E1AF7">
              <w:rPr>
                <w:rFonts w:ascii="Arial" w:hAnsi="Arial" w:cs="Arial"/>
                <w:sz w:val="16"/>
                <w:szCs w:val="16"/>
              </w:rPr>
              <w:t xml:space="preserve">15.927.336 </w:t>
            </w:r>
          </w:p>
        </w:tc>
        <w:tc>
          <w:tcPr>
            <w:tcW w:w="1134" w:type="dxa"/>
            <w:tcBorders>
              <w:top w:val="nil"/>
              <w:left w:val="nil"/>
              <w:bottom w:val="nil"/>
              <w:right w:val="nil"/>
            </w:tcBorders>
            <w:shd w:val="clear" w:color="auto" w:fill="auto"/>
            <w:noWrap/>
            <w:vAlign w:val="bottom"/>
          </w:tcPr>
          <w:p w14:paraId="5B5E98BC" w14:textId="5209FF1F"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27.388.784</w:t>
            </w:r>
          </w:p>
        </w:tc>
      </w:tr>
      <w:tr w:rsidR="001C3DEB" w:rsidRPr="00615B48" w14:paraId="27B14C17" w14:textId="77777777" w:rsidTr="006E1AF7">
        <w:trPr>
          <w:trHeight w:val="300"/>
          <w:jc w:val="center"/>
        </w:trPr>
        <w:tc>
          <w:tcPr>
            <w:tcW w:w="4395" w:type="dxa"/>
            <w:tcBorders>
              <w:top w:val="nil"/>
              <w:left w:val="nil"/>
              <w:bottom w:val="nil"/>
              <w:right w:val="nil"/>
            </w:tcBorders>
            <w:shd w:val="clear" w:color="auto" w:fill="auto"/>
            <w:vAlign w:val="bottom"/>
            <w:hideMark/>
          </w:tcPr>
          <w:p w14:paraId="11AECB9C" w14:textId="77777777" w:rsidR="001C3DEB" w:rsidRPr="00615B48" w:rsidRDefault="001C3DEB" w:rsidP="001C3DEB">
            <w:pPr>
              <w:ind w:firstLineChars="500" w:firstLine="800"/>
              <w:rPr>
                <w:rFonts w:ascii="Arial" w:hAnsi="Arial" w:cs="Arial"/>
                <w:sz w:val="16"/>
                <w:szCs w:val="16"/>
                <w:lang w:eastAsia="es-AR"/>
              </w:rPr>
            </w:pPr>
            <w:r w:rsidRPr="00615B48">
              <w:rPr>
                <w:rFonts w:ascii="Arial" w:hAnsi="Arial" w:cs="Arial"/>
                <w:sz w:val="16"/>
                <w:szCs w:val="16"/>
                <w:lang w:eastAsia="es-AR"/>
              </w:rPr>
              <w:t>Otras del país y del exterior</w:t>
            </w:r>
          </w:p>
        </w:tc>
        <w:tc>
          <w:tcPr>
            <w:tcW w:w="850" w:type="dxa"/>
            <w:tcBorders>
              <w:top w:val="nil"/>
              <w:left w:val="nil"/>
              <w:bottom w:val="nil"/>
              <w:right w:val="nil"/>
            </w:tcBorders>
            <w:shd w:val="clear" w:color="auto" w:fill="auto"/>
            <w:vAlign w:val="bottom"/>
            <w:hideMark/>
          </w:tcPr>
          <w:p w14:paraId="79C5CD86" w14:textId="77777777" w:rsidR="001C3DEB" w:rsidRPr="00917B3D" w:rsidRDefault="001C3DEB" w:rsidP="001C3DEB">
            <w:pPr>
              <w:ind w:firstLineChars="500" w:firstLine="80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346A942D" w14:textId="2BF3E58F" w:rsidR="001C3DEB" w:rsidRPr="001C3DEB" w:rsidRDefault="001C3DEB">
            <w:pPr>
              <w:jc w:val="right"/>
              <w:rPr>
                <w:rFonts w:ascii="Arial" w:hAnsi="Arial" w:cs="Arial"/>
                <w:sz w:val="16"/>
                <w:szCs w:val="16"/>
              </w:rPr>
            </w:pPr>
            <w:r w:rsidRPr="006E1AF7">
              <w:rPr>
                <w:rFonts w:ascii="Arial" w:hAnsi="Arial" w:cs="Arial"/>
                <w:sz w:val="16"/>
                <w:szCs w:val="16"/>
              </w:rPr>
              <w:t xml:space="preserve">1.180.288 </w:t>
            </w:r>
          </w:p>
        </w:tc>
        <w:tc>
          <w:tcPr>
            <w:tcW w:w="1134" w:type="dxa"/>
            <w:tcBorders>
              <w:top w:val="nil"/>
              <w:left w:val="nil"/>
              <w:bottom w:val="nil"/>
              <w:right w:val="nil"/>
            </w:tcBorders>
            <w:shd w:val="clear" w:color="auto" w:fill="auto"/>
            <w:noWrap/>
            <w:vAlign w:val="bottom"/>
          </w:tcPr>
          <w:p w14:paraId="77C35DFB" w14:textId="3D16C54D"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1.408.206</w:t>
            </w:r>
          </w:p>
        </w:tc>
      </w:tr>
      <w:tr w:rsidR="001C3DEB" w:rsidRPr="00615B48" w14:paraId="313F4A12" w14:textId="77777777" w:rsidTr="006E1AF7">
        <w:trPr>
          <w:trHeight w:val="300"/>
          <w:jc w:val="center"/>
        </w:trPr>
        <w:tc>
          <w:tcPr>
            <w:tcW w:w="4395" w:type="dxa"/>
            <w:tcBorders>
              <w:top w:val="nil"/>
              <w:left w:val="nil"/>
              <w:bottom w:val="nil"/>
              <w:right w:val="nil"/>
            </w:tcBorders>
            <w:shd w:val="clear" w:color="auto" w:fill="auto"/>
            <w:vAlign w:val="bottom"/>
            <w:hideMark/>
          </w:tcPr>
          <w:p w14:paraId="57C0CD25"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Otros</w:t>
            </w:r>
          </w:p>
        </w:tc>
        <w:tc>
          <w:tcPr>
            <w:tcW w:w="850" w:type="dxa"/>
            <w:tcBorders>
              <w:top w:val="nil"/>
              <w:left w:val="nil"/>
              <w:bottom w:val="nil"/>
              <w:right w:val="nil"/>
            </w:tcBorders>
            <w:shd w:val="clear" w:color="auto" w:fill="auto"/>
            <w:vAlign w:val="bottom"/>
            <w:hideMark/>
          </w:tcPr>
          <w:p w14:paraId="1A8AE686" w14:textId="77777777" w:rsidR="001C3DEB" w:rsidRPr="00917B3D" w:rsidRDefault="001C3DEB" w:rsidP="001C3DEB">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5DBA739A" w14:textId="46BA5D24" w:rsidR="001C3DEB" w:rsidRPr="001C3DEB" w:rsidRDefault="001C3DEB">
            <w:pPr>
              <w:jc w:val="right"/>
              <w:rPr>
                <w:rFonts w:ascii="Arial" w:hAnsi="Arial" w:cs="Arial"/>
                <w:sz w:val="16"/>
                <w:szCs w:val="16"/>
              </w:rPr>
            </w:pPr>
            <w:r w:rsidRPr="006E1AF7">
              <w:rPr>
                <w:rFonts w:ascii="Arial" w:hAnsi="Arial" w:cs="Arial"/>
                <w:sz w:val="16"/>
                <w:szCs w:val="16"/>
              </w:rPr>
              <w:t xml:space="preserve">29.910 </w:t>
            </w:r>
          </w:p>
        </w:tc>
        <w:tc>
          <w:tcPr>
            <w:tcW w:w="1134" w:type="dxa"/>
            <w:tcBorders>
              <w:top w:val="nil"/>
              <w:left w:val="nil"/>
              <w:bottom w:val="nil"/>
              <w:right w:val="nil"/>
            </w:tcBorders>
            <w:shd w:val="clear" w:color="auto" w:fill="auto"/>
            <w:noWrap/>
            <w:vAlign w:val="bottom"/>
          </w:tcPr>
          <w:p w14:paraId="54F1BB61" w14:textId="52C33F38"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10.399</w:t>
            </w:r>
          </w:p>
        </w:tc>
      </w:tr>
      <w:tr w:rsidR="001C3DEB" w:rsidRPr="00615B48" w14:paraId="5B670D0B" w14:textId="77777777" w:rsidTr="006E1AF7">
        <w:trPr>
          <w:trHeight w:val="510"/>
          <w:jc w:val="center"/>
        </w:trPr>
        <w:tc>
          <w:tcPr>
            <w:tcW w:w="4395" w:type="dxa"/>
            <w:tcBorders>
              <w:top w:val="nil"/>
              <w:left w:val="nil"/>
              <w:bottom w:val="nil"/>
              <w:right w:val="nil"/>
            </w:tcBorders>
            <w:shd w:val="clear" w:color="auto" w:fill="auto"/>
            <w:vAlign w:val="bottom"/>
            <w:hideMark/>
          </w:tcPr>
          <w:p w14:paraId="64095D5E" w14:textId="0DEC3EFC"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Títulos de deuda a valor razonable con cambios en resultados </w:t>
            </w:r>
            <w:r w:rsidRPr="007D7797">
              <w:rPr>
                <w:rFonts w:ascii="Arial" w:hAnsi="Arial" w:cs="Arial"/>
                <w:b/>
                <w:sz w:val="16"/>
                <w:szCs w:val="16"/>
                <w:lang w:eastAsia="es-AR"/>
              </w:rPr>
              <w:t>(Anexo P)</w:t>
            </w:r>
          </w:p>
        </w:tc>
        <w:tc>
          <w:tcPr>
            <w:tcW w:w="850" w:type="dxa"/>
            <w:tcBorders>
              <w:top w:val="nil"/>
              <w:left w:val="nil"/>
              <w:bottom w:val="nil"/>
              <w:right w:val="nil"/>
            </w:tcBorders>
            <w:shd w:val="clear" w:color="auto" w:fill="auto"/>
            <w:vAlign w:val="bottom"/>
            <w:hideMark/>
          </w:tcPr>
          <w:p w14:paraId="564FCE44" w14:textId="443992D4" w:rsidR="001C3DEB" w:rsidRPr="00917B3D" w:rsidRDefault="001C3DEB" w:rsidP="001C3DEB">
            <w:pPr>
              <w:jc w:val="center"/>
              <w:rPr>
                <w:rFonts w:ascii="Arial" w:hAnsi="Arial" w:cs="Arial"/>
                <w:sz w:val="16"/>
                <w:szCs w:val="16"/>
                <w:lang w:eastAsia="es-AR"/>
              </w:rPr>
            </w:pPr>
            <w:r w:rsidRPr="00917B3D">
              <w:rPr>
                <w:rFonts w:ascii="Arial" w:hAnsi="Arial" w:cs="Arial"/>
                <w:sz w:val="16"/>
                <w:szCs w:val="16"/>
                <w:lang w:eastAsia="es-AR"/>
              </w:rPr>
              <w:t>1.</w:t>
            </w:r>
            <w:r>
              <w:rPr>
                <w:rFonts w:ascii="Arial" w:hAnsi="Arial" w:cs="Arial"/>
                <w:sz w:val="16"/>
                <w:szCs w:val="16"/>
                <w:lang w:eastAsia="es-AR"/>
              </w:rPr>
              <w:t>8</w:t>
            </w:r>
            <w:r w:rsidRPr="00917B3D">
              <w:rPr>
                <w:rFonts w:ascii="Arial" w:hAnsi="Arial" w:cs="Arial"/>
                <w:sz w:val="16"/>
                <w:szCs w:val="16"/>
                <w:lang w:eastAsia="es-AR"/>
              </w:rPr>
              <w:t>, 6.1</w:t>
            </w:r>
          </w:p>
        </w:tc>
        <w:tc>
          <w:tcPr>
            <w:tcW w:w="1276" w:type="dxa"/>
            <w:tcBorders>
              <w:top w:val="nil"/>
              <w:left w:val="nil"/>
              <w:bottom w:val="nil"/>
              <w:right w:val="nil"/>
            </w:tcBorders>
            <w:shd w:val="clear" w:color="auto" w:fill="auto"/>
            <w:noWrap/>
            <w:vAlign w:val="bottom"/>
          </w:tcPr>
          <w:p w14:paraId="4EA8EEDA" w14:textId="7693FEC6" w:rsidR="001C3DEB" w:rsidRPr="001C3DEB" w:rsidRDefault="001C3DEB">
            <w:pPr>
              <w:jc w:val="right"/>
              <w:rPr>
                <w:rFonts w:ascii="Arial" w:hAnsi="Arial" w:cs="Arial"/>
                <w:sz w:val="16"/>
                <w:szCs w:val="16"/>
              </w:rPr>
            </w:pPr>
            <w:r w:rsidRPr="006E1AF7">
              <w:rPr>
                <w:rFonts w:ascii="Arial" w:hAnsi="Arial" w:cs="Arial"/>
                <w:sz w:val="16"/>
                <w:szCs w:val="16"/>
              </w:rPr>
              <w:t xml:space="preserve">405.068 </w:t>
            </w:r>
          </w:p>
        </w:tc>
        <w:tc>
          <w:tcPr>
            <w:tcW w:w="1134" w:type="dxa"/>
            <w:tcBorders>
              <w:top w:val="nil"/>
              <w:left w:val="nil"/>
              <w:bottom w:val="nil"/>
              <w:right w:val="nil"/>
            </w:tcBorders>
            <w:shd w:val="clear" w:color="auto" w:fill="auto"/>
            <w:noWrap/>
            <w:vAlign w:val="bottom"/>
          </w:tcPr>
          <w:p w14:paraId="41E00D78" w14:textId="04A7C7E6"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14.941.290</w:t>
            </w:r>
          </w:p>
        </w:tc>
      </w:tr>
      <w:tr w:rsidR="001C3DEB" w:rsidRPr="00615B48" w14:paraId="1E1D0F81" w14:textId="77777777" w:rsidTr="006E1AF7">
        <w:trPr>
          <w:trHeight w:val="300"/>
          <w:jc w:val="center"/>
        </w:trPr>
        <w:tc>
          <w:tcPr>
            <w:tcW w:w="4395" w:type="dxa"/>
            <w:tcBorders>
              <w:top w:val="nil"/>
              <w:left w:val="nil"/>
              <w:bottom w:val="nil"/>
              <w:right w:val="nil"/>
            </w:tcBorders>
            <w:shd w:val="clear" w:color="auto" w:fill="auto"/>
            <w:vAlign w:val="bottom"/>
            <w:hideMark/>
          </w:tcPr>
          <w:p w14:paraId="1B6C3CA9" w14:textId="3B38F7DA"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Instrumentos derivados </w:t>
            </w:r>
            <w:r w:rsidRPr="007D7797">
              <w:rPr>
                <w:rFonts w:ascii="Arial" w:hAnsi="Arial" w:cs="Arial"/>
                <w:b/>
                <w:sz w:val="16"/>
                <w:szCs w:val="16"/>
                <w:lang w:eastAsia="es-AR"/>
              </w:rPr>
              <w:t>(Anexo P)</w:t>
            </w:r>
          </w:p>
        </w:tc>
        <w:tc>
          <w:tcPr>
            <w:tcW w:w="850" w:type="dxa"/>
            <w:tcBorders>
              <w:top w:val="nil"/>
              <w:left w:val="nil"/>
              <w:bottom w:val="nil"/>
              <w:right w:val="nil"/>
            </w:tcBorders>
            <w:shd w:val="clear" w:color="auto" w:fill="auto"/>
            <w:vAlign w:val="bottom"/>
          </w:tcPr>
          <w:p w14:paraId="225FD4D2" w14:textId="23AC3767" w:rsidR="001C3DEB" w:rsidRPr="00917B3D" w:rsidRDefault="001C3DEB" w:rsidP="001C3DEB">
            <w:pPr>
              <w:jc w:val="center"/>
              <w:rPr>
                <w:rFonts w:ascii="Arial" w:hAnsi="Arial" w:cs="Arial"/>
                <w:sz w:val="16"/>
                <w:szCs w:val="16"/>
                <w:lang w:eastAsia="es-AR"/>
              </w:rPr>
            </w:pPr>
            <w:r w:rsidRPr="00917B3D">
              <w:rPr>
                <w:rFonts w:ascii="Arial" w:hAnsi="Arial" w:cs="Arial"/>
                <w:sz w:val="16"/>
                <w:szCs w:val="16"/>
                <w:lang w:eastAsia="es-AR"/>
              </w:rPr>
              <w:t>6.2</w:t>
            </w:r>
          </w:p>
        </w:tc>
        <w:tc>
          <w:tcPr>
            <w:tcW w:w="1276" w:type="dxa"/>
            <w:tcBorders>
              <w:top w:val="nil"/>
              <w:left w:val="nil"/>
              <w:bottom w:val="nil"/>
              <w:right w:val="nil"/>
            </w:tcBorders>
            <w:shd w:val="clear" w:color="auto" w:fill="auto"/>
            <w:noWrap/>
            <w:vAlign w:val="bottom"/>
          </w:tcPr>
          <w:p w14:paraId="51744352" w14:textId="26A1E3D3" w:rsidR="001C3DEB" w:rsidRPr="001C3DEB" w:rsidRDefault="001C3DEB">
            <w:pPr>
              <w:jc w:val="right"/>
              <w:rPr>
                <w:rFonts w:ascii="Arial" w:hAnsi="Arial" w:cs="Arial"/>
                <w:sz w:val="16"/>
                <w:szCs w:val="16"/>
              </w:rPr>
            </w:pPr>
            <w:r w:rsidRPr="006E1AF7">
              <w:rPr>
                <w:rFonts w:ascii="Arial" w:hAnsi="Arial" w:cs="Arial"/>
                <w:sz w:val="16"/>
                <w:szCs w:val="16"/>
              </w:rPr>
              <w:t xml:space="preserve">257.587 </w:t>
            </w:r>
          </w:p>
        </w:tc>
        <w:tc>
          <w:tcPr>
            <w:tcW w:w="1134" w:type="dxa"/>
            <w:tcBorders>
              <w:top w:val="nil"/>
              <w:left w:val="nil"/>
              <w:bottom w:val="nil"/>
              <w:right w:val="nil"/>
            </w:tcBorders>
            <w:shd w:val="clear" w:color="auto" w:fill="auto"/>
            <w:noWrap/>
            <w:vAlign w:val="bottom"/>
          </w:tcPr>
          <w:p w14:paraId="7447821E" w14:textId="4DC0D6A9"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15.924</w:t>
            </w:r>
          </w:p>
        </w:tc>
      </w:tr>
      <w:tr w:rsidR="001C3DEB" w:rsidRPr="00615B48" w14:paraId="56C20C6D" w14:textId="77777777" w:rsidTr="006E1AF7">
        <w:trPr>
          <w:trHeight w:val="300"/>
          <w:jc w:val="center"/>
        </w:trPr>
        <w:tc>
          <w:tcPr>
            <w:tcW w:w="4395" w:type="dxa"/>
            <w:tcBorders>
              <w:top w:val="nil"/>
              <w:left w:val="nil"/>
              <w:bottom w:val="nil"/>
              <w:right w:val="nil"/>
            </w:tcBorders>
            <w:shd w:val="clear" w:color="auto" w:fill="auto"/>
            <w:vAlign w:val="bottom"/>
            <w:hideMark/>
          </w:tcPr>
          <w:p w14:paraId="65EB79FE" w14:textId="14E01A22"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Otros activos financieros</w:t>
            </w:r>
            <w:r>
              <w:rPr>
                <w:rFonts w:ascii="Arial" w:hAnsi="Arial" w:cs="Arial"/>
                <w:sz w:val="16"/>
                <w:szCs w:val="16"/>
                <w:lang w:eastAsia="es-AR"/>
              </w:rPr>
              <w:t xml:space="preserve"> </w:t>
            </w:r>
            <w:r w:rsidRPr="007D7797">
              <w:rPr>
                <w:rFonts w:ascii="Arial" w:hAnsi="Arial" w:cs="Arial"/>
                <w:b/>
                <w:sz w:val="16"/>
                <w:szCs w:val="16"/>
                <w:lang w:eastAsia="es-AR"/>
              </w:rPr>
              <w:t>(Anexo P)</w:t>
            </w:r>
            <w:r w:rsidRPr="00615B48">
              <w:rPr>
                <w:rFonts w:ascii="Arial" w:hAnsi="Arial" w:cs="Arial"/>
                <w:sz w:val="16"/>
                <w:szCs w:val="16"/>
                <w:lang w:eastAsia="es-AR"/>
              </w:rPr>
              <w:t xml:space="preserve"> </w:t>
            </w:r>
          </w:p>
        </w:tc>
        <w:tc>
          <w:tcPr>
            <w:tcW w:w="850" w:type="dxa"/>
            <w:tcBorders>
              <w:top w:val="nil"/>
              <w:left w:val="nil"/>
              <w:bottom w:val="nil"/>
              <w:right w:val="nil"/>
            </w:tcBorders>
            <w:shd w:val="clear" w:color="auto" w:fill="auto"/>
            <w:vAlign w:val="bottom"/>
          </w:tcPr>
          <w:p w14:paraId="15B3E63C" w14:textId="49BA5B99"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6.3</w:t>
            </w:r>
          </w:p>
        </w:tc>
        <w:tc>
          <w:tcPr>
            <w:tcW w:w="1276" w:type="dxa"/>
            <w:tcBorders>
              <w:top w:val="nil"/>
              <w:left w:val="nil"/>
              <w:bottom w:val="nil"/>
              <w:right w:val="nil"/>
            </w:tcBorders>
            <w:shd w:val="clear" w:color="auto" w:fill="auto"/>
            <w:noWrap/>
            <w:vAlign w:val="bottom"/>
          </w:tcPr>
          <w:p w14:paraId="319440EC" w14:textId="2BADCCBA" w:rsidR="001C3DEB" w:rsidRPr="001C3DEB" w:rsidRDefault="001C3DEB">
            <w:pPr>
              <w:jc w:val="right"/>
              <w:rPr>
                <w:rFonts w:ascii="Arial" w:hAnsi="Arial" w:cs="Arial"/>
                <w:sz w:val="16"/>
                <w:szCs w:val="16"/>
              </w:rPr>
            </w:pPr>
            <w:r w:rsidRPr="006E1AF7">
              <w:rPr>
                <w:rFonts w:ascii="Arial" w:hAnsi="Arial" w:cs="Arial"/>
                <w:sz w:val="16"/>
                <w:szCs w:val="16"/>
              </w:rPr>
              <w:t xml:space="preserve">939.852 </w:t>
            </w:r>
          </w:p>
        </w:tc>
        <w:tc>
          <w:tcPr>
            <w:tcW w:w="1134" w:type="dxa"/>
            <w:tcBorders>
              <w:top w:val="nil"/>
              <w:left w:val="nil"/>
              <w:bottom w:val="nil"/>
              <w:right w:val="nil"/>
            </w:tcBorders>
            <w:shd w:val="clear" w:color="auto" w:fill="auto"/>
            <w:noWrap/>
            <w:vAlign w:val="bottom"/>
          </w:tcPr>
          <w:p w14:paraId="1F8B6F42" w14:textId="5D1C2EF4"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998.637</w:t>
            </w:r>
          </w:p>
        </w:tc>
      </w:tr>
      <w:tr w:rsidR="001C3DEB" w:rsidRPr="00615B48" w14:paraId="40785C64" w14:textId="77777777" w:rsidTr="006E1AF7">
        <w:trPr>
          <w:trHeight w:val="300"/>
          <w:jc w:val="center"/>
        </w:trPr>
        <w:tc>
          <w:tcPr>
            <w:tcW w:w="4395" w:type="dxa"/>
            <w:tcBorders>
              <w:top w:val="nil"/>
              <w:left w:val="nil"/>
              <w:bottom w:val="nil"/>
              <w:right w:val="nil"/>
            </w:tcBorders>
            <w:shd w:val="clear" w:color="auto" w:fill="auto"/>
            <w:vAlign w:val="bottom"/>
            <w:hideMark/>
          </w:tcPr>
          <w:p w14:paraId="6D63A2F6" w14:textId="2026DDF9"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Préstamos y otras financiaciones </w:t>
            </w:r>
            <w:r w:rsidRPr="00615B48">
              <w:rPr>
                <w:rFonts w:ascii="Arial" w:hAnsi="Arial" w:cs="Arial"/>
                <w:b/>
                <w:bCs/>
                <w:sz w:val="16"/>
                <w:szCs w:val="16"/>
                <w:lang w:eastAsia="es-AR"/>
              </w:rPr>
              <w:t>(Anexo</w:t>
            </w:r>
            <w:r>
              <w:rPr>
                <w:rFonts w:ascii="Arial" w:hAnsi="Arial" w:cs="Arial"/>
                <w:b/>
                <w:bCs/>
                <w:sz w:val="16"/>
                <w:szCs w:val="16"/>
                <w:lang w:eastAsia="es-AR"/>
              </w:rPr>
              <w:t>s</w:t>
            </w:r>
            <w:r w:rsidRPr="00615B48">
              <w:rPr>
                <w:rFonts w:ascii="Arial" w:hAnsi="Arial" w:cs="Arial"/>
                <w:b/>
                <w:bCs/>
                <w:sz w:val="16"/>
                <w:szCs w:val="16"/>
                <w:lang w:eastAsia="es-AR"/>
              </w:rPr>
              <w:t xml:space="preserve"> </w:t>
            </w:r>
            <w:r>
              <w:rPr>
                <w:rFonts w:ascii="Arial" w:hAnsi="Arial" w:cs="Arial"/>
                <w:b/>
                <w:bCs/>
                <w:sz w:val="16"/>
                <w:szCs w:val="16"/>
                <w:lang w:eastAsia="es-AR"/>
              </w:rPr>
              <w:t xml:space="preserve">B, C, </w:t>
            </w:r>
            <w:r w:rsidRPr="00615B48">
              <w:rPr>
                <w:rFonts w:ascii="Arial" w:hAnsi="Arial" w:cs="Arial"/>
                <w:b/>
                <w:bCs/>
                <w:sz w:val="16"/>
                <w:szCs w:val="16"/>
                <w:lang w:eastAsia="es-AR"/>
              </w:rPr>
              <w:t>D</w:t>
            </w:r>
            <w:r>
              <w:rPr>
                <w:rFonts w:ascii="Arial" w:hAnsi="Arial" w:cs="Arial"/>
                <w:b/>
                <w:bCs/>
                <w:sz w:val="16"/>
                <w:szCs w:val="16"/>
                <w:lang w:eastAsia="es-AR"/>
              </w:rPr>
              <w:t xml:space="preserve"> y P</w:t>
            </w:r>
            <w:r w:rsidRPr="00615B48">
              <w:rPr>
                <w:rFonts w:ascii="Arial" w:hAnsi="Arial" w:cs="Arial"/>
                <w:b/>
                <w:bCs/>
                <w:sz w:val="16"/>
                <w:szCs w:val="16"/>
                <w:lang w:eastAsia="es-AR"/>
              </w:rPr>
              <w:t>)</w:t>
            </w:r>
          </w:p>
        </w:tc>
        <w:tc>
          <w:tcPr>
            <w:tcW w:w="850" w:type="dxa"/>
            <w:tcBorders>
              <w:top w:val="nil"/>
              <w:left w:val="nil"/>
              <w:bottom w:val="nil"/>
              <w:right w:val="nil"/>
            </w:tcBorders>
            <w:shd w:val="clear" w:color="auto" w:fill="auto"/>
            <w:vAlign w:val="bottom"/>
          </w:tcPr>
          <w:p w14:paraId="226FB0C1" w14:textId="73C3063F"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6.4</w:t>
            </w:r>
          </w:p>
        </w:tc>
        <w:tc>
          <w:tcPr>
            <w:tcW w:w="1276" w:type="dxa"/>
            <w:tcBorders>
              <w:top w:val="nil"/>
              <w:left w:val="nil"/>
              <w:bottom w:val="nil"/>
              <w:right w:val="nil"/>
            </w:tcBorders>
            <w:shd w:val="clear" w:color="auto" w:fill="auto"/>
            <w:noWrap/>
            <w:vAlign w:val="bottom"/>
          </w:tcPr>
          <w:p w14:paraId="31DC997B" w14:textId="4593C274" w:rsidR="001C3DEB" w:rsidRPr="001C3DEB" w:rsidRDefault="001C3DEB">
            <w:pPr>
              <w:jc w:val="right"/>
              <w:rPr>
                <w:rFonts w:ascii="Arial" w:hAnsi="Arial" w:cs="Arial"/>
                <w:sz w:val="16"/>
                <w:szCs w:val="16"/>
              </w:rPr>
            </w:pPr>
            <w:r w:rsidRPr="006E1AF7">
              <w:rPr>
                <w:rFonts w:ascii="Arial" w:hAnsi="Arial" w:cs="Arial"/>
                <w:sz w:val="16"/>
                <w:szCs w:val="16"/>
              </w:rPr>
              <w:t xml:space="preserve">88.381.949 </w:t>
            </w:r>
          </w:p>
        </w:tc>
        <w:tc>
          <w:tcPr>
            <w:tcW w:w="1134" w:type="dxa"/>
            <w:tcBorders>
              <w:top w:val="nil"/>
              <w:left w:val="nil"/>
              <w:bottom w:val="nil"/>
              <w:right w:val="nil"/>
            </w:tcBorders>
            <w:shd w:val="clear" w:color="auto" w:fill="auto"/>
            <w:noWrap/>
            <w:vAlign w:val="bottom"/>
          </w:tcPr>
          <w:p w14:paraId="76F8D474" w14:textId="29CD5EC4"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77.531.869</w:t>
            </w:r>
          </w:p>
        </w:tc>
      </w:tr>
      <w:tr w:rsidR="001C3DEB" w:rsidRPr="00615B48" w14:paraId="70394850" w14:textId="77777777" w:rsidTr="006E1AF7">
        <w:trPr>
          <w:trHeight w:val="300"/>
          <w:jc w:val="center"/>
        </w:trPr>
        <w:tc>
          <w:tcPr>
            <w:tcW w:w="4395" w:type="dxa"/>
            <w:tcBorders>
              <w:top w:val="nil"/>
              <w:left w:val="nil"/>
              <w:bottom w:val="nil"/>
              <w:right w:val="nil"/>
            </w:tcBorders>
            <w:shd w:val="clear" w:color="auto" w:fill="auto"/>
            <w:vAlign w:val="bottom"/>
            <w:hideMark/>
          </w:tcPr>
          <w:p w14:paraId="647D368D"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Sector Público no Financiero</w:t>
            </w:r>
          </w:p>
        </w:tc>
        <w:tc>
          <w:tcPr>
            <w:tcW w:w="850" w:type="dxa"/>
            <w:tcBorders>
              <w:top w:val="nil"/>
              <w:left w:val="nil"/>
              <w:bottom w:val="nil"/>
              <w:right w:val="nil"/>
            </w:tcBorders>
            <w:shd w:val="clear" w:color="auto" w:fill="auto"/>
            <w:vAlign w:val="bottom"/>
          </w:tcPr>
          <w:p w14:paraId="32A2B157" w14:textId="77777777" w:rsidR="001C3DEB" w:rsidRPr="00917B3D" w:rsidRDefault="001C3DEB" w:rsidP="001C3DEB">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267A2296" w14:textId="5097AF89" w:rsidR="001C3DEB" w:rsidRPr="001C3DEB" w:rsidRDefault="001C3DEB">
            <w:pPr>
              <w:jc w:val="right"/>
              <w:rPr>
                <w:rFonts w:ascii="Arial" w:hAnsi="Arial" w:cs="Arial"/>
                <w:sz w:val="16"/>
                <w:szCs w:val="16"/>
              </w:rPr>
            </w:pPr>
            <w:r w:rsidRPr="006E1AF7">
              <w:rPr>
                <w:rFonts w:ascii="Arial" w:hAnsi="Arial" w:cs="Arial"/>
                <w:sz w:val="16"/>
                <w:szCs w:val="16"/>
              </w:rPr>
              <w:t xml:space="preserve">28.872 </w:t>
            </w:r>
          </w:p>
        </w:tc>
        <w:tc>
          <w:tcPr>
            <w:tcW w:w="1134" w:type="dxa"/>
            <w:tcBorders>
              <w:top w:val="nil"/>
              <w:left w:val="nil"/>
              <w:bottom w:val="nil"/>
              <w:right w:val="nil"/>
            </w:tcBorders>
            <w:shd w:val="clear" w:color="auto" w:fill="auto"/>
            <w:noWrap/>
            <w:vAlign w:val="bottom"/>
          </w:tcPr>
          <w:p w14:paraId="368D8F03" w14:textId="06CDF204"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32.802</w:t>
            </w:r>
          </w:p>
        </w:tc>
      </w:tr>
      <w:tr w:rsidR="001C3DEB" w:rsidRPr="00615B48" w14:paraId="362202AA" w14:textId="77777777" w:rsidTr="006E1AF7">
        <w:trPr>
          <w:trHeight w:val="300"/>
          <w:jc w:val="center"/>
        </w:trPr>
        <w:tc>
          <w:tcPr>
            <w:tcW w:w="4395" w:type="dxa"/>
            <w:tcBorders>
              <w:top w:val="nil"/>
              <w:left w:val="nil"/>
              <w:bottom w:val="nil"/>
              <w:right w:val="nil"/>
            </w:tcBorders>
            <w:shd w:val="clear" w:color="auto" w:fill="auto"/>
            <w:vAlign w:val="bottom"/>
            <w:hideMark/>
          </w:tcPr>
          <w:p w14:paraId="60981694"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Otras Entidades financieras</w:t>
            </w:r>
          </w:p>
        </w:tc>
        <w:tc>
          <w:tcPr>
            <w:tcW w:w="850" w:type="dxa"/>
            <w:tcBorders>
              <w:top w:val="nil"/>
              <w:left w:val="nil"/>
              <w:bottom w:val="nil"/>
              <w:right w:val="nil"/>
            </w:tcBorders>
            <w:shd w:val="clear" w:color="auto" w:fill="auto"/>
            <w:vAlign w:val="bottom"/>
          </w:tcPr>
          <w:p w14:paraId="45A70CCC" w14:textId="77777777" w:rsidR="001C3DEB" w:rsidRPr="00917B3D" w:rsidRDefault="001C3DEB" w:rsidP="001C3DEB">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34A2D091" w14:textId="6635FAFA" w:rsidR="001C3DEB" w:rsidRPr="001C3DEB" w:rsidRDefault="001C3DEB">
            <w:pPr>
              <w:jc w:val="right"/>
              <w:rPr>
                <w:rFonts w:ascii="Arial" w:hAnsi="Arial" w:cs="Arial"/>
                <w:sz w:val="16"/>
                <w:szCs w:val="16"/>
              </w:rPr>
            </w:pPr>
            <w:r w:rsidRPr="006E1AF7">
              <w:rPr>
                <w:rFonts w:ascii="Arial" w:hAnsi="Arial" w:cs="Arial"/>
                <w:sz w:val="16"/>
                <w:szCs w:val="16"/>
              </w:rPr>
              <w:t xml:space="preserve">64.522 </w:t>
            </w:r>
          </w:p>
        </w:tc>
        <w:tc>
          <w:tcPr>
            <w:tcW w:w="1134" w:type="dxa"/>
            <w:tcBorders>
              <w:top w:val="nil"/>
              <w:left w:val="nil"/>
              <w:bottom w:val="nil"/>
              <w:right w:val="nil"/>
            </w:tcBorders>
            <w:shd w:val="clear" w:color="auto" w:fill="auto"/>
            <w:noWrap/>
            <w:vAlign w:val="bottom"/>
          </w:tcPr>
          <w:p w14:paraId="65281813" w14:textId="42AAA744"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398.551</w:t>
            </w:r>
          </w:p>
        </w:tc>
      </w:tr>
      <w:tr w:rsidR="001C3DEB" w:rsidRPr="00615B48" w14:paraId="4CC01900" w14:textId="77777777" w:rsidTr="006E1AF7">
        <w:trPr>
          <w:trHeight w:val="510"/>
          <w:jc w:val="center"/>
        </w:trPr>
        <w:tc>
          <w:tcPr>
            <w:tcW w:w="4395" w:type="dxa"/>
            <w:tcBorders>
              <w:top w:val="nil"/>
              <w:left w:val="nil"/>
              <w:bottom w:val="nil"/>
              <w:right w:val="nil"/>
            </w:tcBorders>
            <w:shd w:val="clear" w:color="auto" w:fill="auto"/>
            <w:vAlign w:val="bottom"/>
            <w:hideMark/>
          </w:tcPr>
          <w:p w14:paraId="51CD1085"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 xml:space="preserve">Sector Privado no Financiero y Residentes en el exterior </w:t>
            </w:r>
          </w:p>
        </w:tc>
        <w:tc>
          <w:tcPr>
            <w:tcW w:w="850" w:type="dxa"/>
            <w:tcBorders>
              <w:top w:val="nil"/>
              <w:left w:val="nil"/>
              <w:bottom w:val="nil"/>
              <w:right w:val="nil"/>
            </w:tcBorders>
            <w:shd w:val="clear" w:color="auto" w:fill="auto"/>
            <w:vAlign w:val="bottom"/>
          </w:tcPr>
          <w:p w14:paraId="42FF9336" w14:textId="77777777" w:rsidR="001C3DEB" w:rsidRPr="00917B3D" w:rsidRDefault="001C3DEB" w:rsidP="001C3DEB">
            <w:pPr>
              <w:ind w:firstLineChars="300" w:firstLine="480"/>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61BF50BD" w14:textId="3FEA2B5A" w:rsidR="001C3DEB" w:rsidRPr="001C3DEB" w:rsidRDefault="001C3DEB">
            <w:pPr>
              <w:jc w:val="right"/>
              <w:rPr>
                <w:rFonts w:ascii="Arial" w:hAnsi="Arial" w:cs="Arial"/>
                <w:sz w:val="16"/>
                <w:szCs w:val="16"/>
              </w:rPr>
            </w:pPr>
            <w:r w:rsidRPr="006E1AF7">
              <w:rPr>
                <w:rFonts w:ascii="Arial" w:hAnsi="Arial" w:cs="Arial"/>
                <w:sz w:val="16"/>
                <w:szCs w:val="16"/>
              </w:rPr>
              <w:t xml:space="preserve">88.288.555 </w:t>
            </w:r>
          </w:p>
        </w:tc>
        <w:tc>
          <w:tcPr>
            <w:tcW w:w="1134" w:type="dxa"/>
            <w:tcBorders>
              <w:top w:val="nil"/>
              <w:left w:val="nil"/>
              <w:bottom w:val="nil"/>
              <w:right w:val="nil"/>
            </w:tcBorders>
            <w:shd w:val="clear" w:color="auto" w:fill="auto"/>
            <w:noWrap/>
            <w:vAlign w:val="bottom"/>
          </w:tcPr>
          <w:p w14:paraId="03893F80" w14:textId="74F27AA0"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77.100.516</w:t>
            </w:r>
          </w:p>
        </w:tc>
      </w:tr>
      <w:tr w:rsidR="001C3DEB" w:rsidRPr="00615B48" w14:paraId="68A3A6FD" w14:textId="77777777" w:rsidTr="006E1AF7">
        <w:trPr>
          <w:trHeight w:val="300"/>
          <w:jc w:val="center"/>
        </w:trPr>
        <w:tc>
          <w:tcPr>
            <w:tcW w:w="4395" w:type="dxa"/>
            <w:tcBorders>
              <w:top w:val="nil"/>
              <w:left w:val="nil"/>
              <w:bottom w:val="nil"/>
              <w:right w:val="nil"/>
            </w:tcBorders>
            <w:shd w:val="clear" w:color="auto" w:fill="auto"/>
            <w:vAlign w:val="bottom"/>
            <w:hideMark/>
          </w:tcPr>
          <w:p w14:paraId="008BF237" w14:textId="6D52A7BF"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Otros Títulos de Deuda </w:t>
            </w:r>
            <w:r w:rsidRPr="007D7797">
              <w:rPr>
                <w:rFonts w:ascii="Arial" w:hAnsi="Arial" w:cs="Arial"/>
                <w:b/>
                <w:sz w:val="16"/>
                <w:szCs w:val="16"/>
                <w:lang w:eastAsia="es-AR"/>
              </w:rPr>
              <w:t>(Anexo P)</w:t>
            </w:r>
          </w:p>
        </w:tc>
        <w:tc>
          <w:tcPr>
            <w:tcW w:w="850" w:type="dxa"/>
            <w:tcBorders>
              <w:top w:val="nil"/>
              <w:left w:val="nil"/>
              <w:bottom w:val="nil"/>
              <w:right w:val="nil"/>
            </w:tcBorders>
            <w:shd w:val="clear" w:color="auto" w:fill="auto"/>
            <w:vAlign w:val="bottom"/>
          </w:tcPr>
          <w:p w14:paraId="13D7D9F6" w14:textId="69D7D0E2"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6.5</w:t>
            </w:r>
          </w:p>
        </w:tc>
        <w:tc>
          <w:tcPr>
            <w:tcW w:w="1276" w:type="dxa"/>
            <w:tcBorders>
              <w:top w:val="nil"/>
              <w:left w:val="nil"/>
              <w:bottom w:val="nil"/>
              <w:right w:val="nil"/>
            </w:tcBorders>
            <w:shd w:val="clear" w:color="auto" w:fill="auto"/>
            <w:noWrap/>
            <w:vAlign w:val="bottom"/>
          </w:tcPr>
          <w:p w14:paraId="5AD16BC3" w14:textId="158DF011" w:rsidR="001C3DEB" w:rsidRPr="001C3DEB" w:rsidRDefault="001C3DEB">
            <w:pPr>
              <w:jc w:val="right"/>
              <w:rPr>
                <w:rFonts w:ascii="Arial" w:hAnsi="Arial" w:cs="Arial"/>
                <w:sz w:val="16"/>
                <w:szCs w:val="16"/>
              </w:rPr>
            </w:pPr>
            <w:r w:rsidRPr="006E1AF7">
              <w:rPr>
                <w:rFonts w:ascii="Arial" w:hAnsi="Arial" w:cs="Arial"/>
                <w:sz w:val="16"/>
                <w:szCs w:val="16"/>
              </w:rPr>
              <w:t xml:space="preserve">10.257.784 </w:t>
            </w:r>
          </w:p>
        </w:tc>
        <w:tc>
          <w:tcPr>
            <w:tcW w:w="1134" w:type="dxa"/>
            <w:tcBorders>
              <w:top w:val="nil"/>
              <w:left w:val="nil"/>
              <w:bottom w:val="nil"/>
              <w:right w:val="nil"/>
            </w:tcBorders>
            <w:shd w:val="clear" w:color="auto" w:fill="auto"/>
            <w:noWrap/>
            <w:vAlign w:val="bottom"/>
          </w:tcPr>
          <w:p w14:paraId="2F20026D" w14:textId="37C988AF"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4.134.493</w:t>
            </w:r>
          </w:p>
        </w:tc>
      </w:tr>
      <w:tr w:rsidR="001C3DEB" w:rsidRPr="00615B48" w14:paraId="0F934C0A" w14:textId="77777777" w:rsidTr="006E1AF7">
        <w:trPr>
          <w:trHeight w:val="300"/>
          <w:jc w:val="center"/>
        </w:trPr>
        <w:tc>
          <w:tcPr>
            <w:tcW w:w="4395" w:type="dxa"/>
            <w:tcBorders>
              <w:top w:val="nil"/>
              <w:left w:val="nil"/>
              <w:bottom w:val="nil"/>
              <w:right w:val="nil"/>
            </w:tcBorders>
            <w:shd w:val="clear" w:color="auto" w:fill="auto"/>
            <w:vAlign w:val="bottom"/>
            <w:hideMark/>
          </w:tcPr>
          <w:p w14:paraId="694A1E56" w14:textId="16FA4426"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Activos financieros entregados en garantía </w:t>
            </w:r>
            <w:r w:rsidRPr="007D7797">
              <w:rPr>
                <w:rFonts w:ascii="Arial" w:hAnsi="Arial" w:cs="Arial"/>
                <w:b/>
                <w:sz w:val="16"/>
                <w:szCs w:val="16"/>
                <w:lang w:eastAsia="es-AR"/>
              </w:rPr>
              <w:t>(Anexo P)</w:t>
            </w:r>
          </w:p>
        </w:tc>
        <w:tc>
          <w:tcPr>
            <w:tcW w:w="850" w:type="dxa"/>
            <w:tcBorders>
              <w:top w:val="nil"/>
              <w:left w:val="nil"/>
              <w:bottom w:val="nil"/>
              <w:right w:val="nil"/>
            </w:tcBorders>
            <w:shd w:val="clear" w:color="auto" w:fill="auto"/>
            <w:vAlign w:val="bottom"/>
          </w:tcPr>
          <w:p w14:paraId="5B7AAEB2" w14:textId="348BB98B"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6.6</w:t>
            </w:r>
          </w:p>
        </w:tc>
        <w:tc>
          <w:tcPr>
            <w:tcW w:w="1276" w:type="dxa"/>
            <w:tcBorders>
              <w:top w:val="nil"/>
              <w:left w:val="nil"/>
              <w:bottom w:val="nil"/>
              <w:right w:val="nil"/>
            </w:tcBorders>
            <w:shd w:val="clear" w:color="auto" w:fill="auto"/>
            <w:noWrap/>
            <w:vAlign w:val="bottom"/>
          </w:tcPr>
          <w:p w14:paraId="0C8CBA42" w14:textId="013F83E3" w:rsidR="001C3DEB" w:rsidRPr="001C3DEB" w:rsidRDefault="001C3DEB">
            <w:pPr>
              <w:jc w:val="right"/>
              <w:rPr>
                <w:rFonts w:ascii="Arial" w:hAnsi="Arial" w:cs="Arial"/>
                <w:sz w:val="16"/>
                <w:szCs w:val="16"/>
              </w:rPr>
            </w:pPr>
            <w:r w:rsidRPr="006E1AF7">
              <w:rPr>
                <w:rFonts w:ascii="Arial" w:hAnsi="Arial" w:cs="Arial"/>
                <w:sz w:val="16"/>
                <w:szCs w:val="16"/>
              </w:rPr>
              <w:t xml:space="preserve">5.326.949 </w:t>
            </w:r>
          </w:p>
        </w:tc>
        <w:tc>
          <w:tcPr>
            <w:tcW w:w="1134" w:type="dxa"/>
            <w:tcBorders>
              <w:top w:val="nil"/>
              <w:left w:val="nil"/>
              <w:bottom w:val="nil"/>
              <w:right w:val="nil"/>
            </w:tcBorders>
            <w:shd w:val="clear" w:color="auto" w:fill="auto"/>
            <w:noWrap/>
            <w:vAlign w:val="bottom"/>
          </w:tcPr>
          <w:p w14:paraId="0DD2366B" w14:textId="5D8FCA11"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2.001.765</w:t>
            </w:r>
          </w:p>
        </w:tc>
      </w:tr>
      <w:tr w:rsidR="001C3DEB" w:rsidRPr="00615B48" w14:paraId="5E4C017A" w14:textId="77777777" w:rsidTr="006E1AF7">
        <w:trPr>
          <w:trHeight w:val="300"/>
          <w:jc w:val="center"/>
        </w:trPr>
        <w:tc>
          <w:tcPr>
            <w:tcW w:w="4395" w:type="dxa"/>
            <w:tcBorders>
              <w:top w:val="nil"/>
              <w:left w:val="nil"/>
              <w:bottom w:val="nil"/>
              <w:right w:val="nil"/>
            </w:tcBorders>
            <w:shd w:val="clear" w:color="auto" w:fill="auto"/>
            <w:vAlign w:val="bottom"/>
            <w:hideMark/>
          </w:tcPr>
          <w:p w14:paraId="20D8DDF2" w14:textId="77777777"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Activos por impuestos a las ganancias corriente</w:t>
            </w:r>
          </w:p>
        </w:tc>
        <w:tc>
          <w:tcPr>
            <w:tcW w:w="850" w:type="dxa"/>
            <w:tcBorders>
              <w:top w:val="nil"/>
              <w:left w:val="nil"/>
              <w:bottom w:val="nil"/>
              <w:right w:val="nil"/>
            </w:tcBorders>
            <w:shd w:val="clear" w:color="auto" w:fill="auto"/>
            <w:vAlign w:val="bottom"/>
          </w:tcPr>
          <w:p w14:paraId="3AC75D3D" w14:textId="77777777" w:rsidR="001C3DEB" w:rsidRPr="00917B3D" w:rsidRDefault="001C3DEB" w:rsidP="001C3DEB">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0D50BC37" w14:textId="7CB3486B" w:rsidR="001C3DEB" w:rsidRPr="001C3DEB" w:rsidRDefault="001C3DEB">
            <w:pPr>
              <w:jc w:val="right"/>
              <w:rPr>
                <w:rFonts w:ascii="Arial" w:hAnsi="Arial" w:cs="Arial"/>
                <w:sz w:val="16"/>
                <w:szCs w:val="16"/>
              </w:rPr>
            </w:pPr>
            <w:r w:rsidRPr="006E1AF7">
              <w:rPr>
                <w:rFonts w:ascii="Arial" w:hAnsi="Arial" w:cs="Arial"/>
                <w:sz w:val="16"/>
                <w:szCs w:val="16"/>
              </w:rPr>
              <w:t xml:space="preserve">317.215 </w:t>
            </w:r>
          </w:p>
        </w:tc>
        <w:tc>
          <w:tcPr>
            <w:tcW w:w="1134" w:type="dxa"/>
            <w:tcBorders>
              <w:top w:val="nil"/>
              <w:left w:val="nil"/>
              <w:bottom w:val="nil"/>
              <w:right w:val="nil"/>
            </w:tcBorders>
            <w:shd w:val="clear" w:color="auto" w:fill="auto"/>
            <w:noWrap/>
            <w:vAlign w:val="bottom"/>
          </w:tcPr>
          <w:p w14:paraId="6D512F4B" w14:textId="77439FE2"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426.881</w:t>
            </w:r>
          </w:p>
        </w:tc>
      </w:tr>
      <w:tr w:rsidR="001C3DEB" w:rsidRPr="00615B48" w14:paraId="1DB60F28" w14:textId="77777777" w:rsidTr="006E1AF7">
        <w:trPr>
          <w:trHeight w:val="300"/>
          <w:jc w:val="center"/>
        </w:trPr>
        <w:tc>
          <w:tcPr>
            <w:tcW w:w="4395" w:type="dxa"/>
            <w:tcBorders>
              <w:top w:val="nil"/>
              <w:left w:val="nil"/>
              <w:bottom w:val="nil"/>
              <w:right w:val="nil"/>
            </w:tcBorders>
            <w:shd w:val="clear" w:color="auto" w:fill="auto"/>
            <w:vAlign w:val="bottom"/>
            <w:hideMark/>
          </w:tcPr>
          <w:p w14:paraId="24E1806F" w14:textId="1A151FBA"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Inversiones en Instrumentos de Patrimonio </w:t>
            </w:r>
            <w:r w:rsidRPr="007D7797">
              <w:rPr>
                <w:rFonts w:ascii="Arial" w:hAnsi="Arial" w:cs="Arial"/>
                <w:b/>
                <w:sz w:val="16"/>
                <w:szCs w:val="16"/>
                <w:lang w:eastAsia="es-AR"/>
              </w:rPr>
              <w:t>(Anexo P)</w:t>
            </w:r>
          </w:p>
        </w:tc>
        <w:tc>
          <w:tcPr>
            <w:tcW w:w="850" w:type="dxa"/>
            <w:tcBorders>
              <w:top w:val="nil"/>
              <w:left w:val="nil"/>
              <w:bottom w:val="nil"/>
              <w:right w:val="nil"/>
            </w:tcBorders>
            <w:shd w:val="clear" w:color="auto" w:fill="auto"/>
            <w:vAlign w:val="bottom"/>
            <w:hideMark/>
          </w:tcPr>
          <w:p w14:paraId="7A08F75D" w14:textId="799228B7" w:rsidR="001C3DEB" w:rsidRPr="00917B3D" w:rsidRDefault="00964C47" w:rsidP="001C3DEB">
            <w:pPr>
              <w:jc w:val="center"/>
              <w:rPr>
                <w:rFonts w:ascii="Arial" w:hAnsi="Arial" w:cs="Arial"/>
                <w:sz w:val="16"/>
                <w:szCs w:val="16"/>
                <w:lang w:eastAsia="es-AR"/>
              </w:rPr>
            </w:pPr>
            <w:r>
              <w:rPr>
                <w:rFonts w:ascii="Arial" w:hAnsi="Arial" w:cs="Arial"/>
                <w:sz w:val="16"/>
                <w:szCs w:val="16"/>
                <w:lang w:eastAsia="es-AR"/>
              </w:rPr>
              <w:t>20</w:t>
            </w:r>
          </w:p>
        </w:tc>
        <w:tc>
          <w:tcPr>
            <w:tcW w:w="1276" w:type="dxa"/>
            <w:tcBorders>
              <w:top w:val="nil"/>
              <w:left w:val="nil"/>
              <w:bottom w:val="nil"/>
              <w:right w:val="nil"/>
            </w:tcBorders>
            <w:shd w:val="clear" w:color="auto" w:fill="auto"/>
            <w:noWrap/>
            <w:vAlign w:val="bottom"/>
          </w:tcPr>
          <w:p w14:paraId="4506B135" w14:textId="04EE307B" w:rsidR="001C3DEB" w:rsidRPr="001C3DEB" w:rsidRDefault="001C3DEB">
            <w:pPr>
              <w:jc w:val="right"/>
              <w:rPr>
                <w:rFonts w:ascii="Arial" w:hAnsi="Arial" w:cs="Arial"/>
                <w:sz w:val="16"/>
                <w:szCs w:val="16"/>
              </w:rPr>
            </w:pPr>
            <w:r w:rsidRPr="006E1AF7">
              <w:rPr>
                <w:rFonts w:ascii="Arial" w:hAnsi="Arial" w:cs="Arial"/>
                <w:sz w:val="16"/>
                <w:szCs w:val="16"/>
              </w:rPr>
              <w:t xml:space="preserve">14.579 </w:t>
            </w:r>
          </w:p>
        </w:tc>
        <w:tc>
          <w:tcPr>
            <w:tcW w:w="1134" w:type="dxa"/>
            <w:tcBorders>
              <w:top w:val="nil"/>
              <w:left w:val="nil"/>
              <w:bottom w:val="nil"/>
              <w:right w:val="nil"/>
            </w:tcBorders>
            <w:shd w:val="clear" w:color="auto" w:fill="auto"/>
            <w:noWrap/>
            <w:vAlign w:val="bottom"/>
          </w:tcPr>
          <w:p w14:paraId="2CC91300" w14:textId="038B86F3"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10.404</w:t>
            </w:r>
          </w:p>
        </w:tc>
      </w:tr>
      <w:tr w:rsidR="001C3DEB" w:rsidRPr="00615B48" w14:paraId="17CE7179" w14:textId="77777777" w:rsidTr="006E1AF7">
        <w:trPr>
          <w:trHeight w:val="300"/>
          <w:jc w:val="center"/>
        </w:trPr>
        <w:tc>
          <w:tcPr>
            <w:tcW w:w="4395" w:type="dxa"/>
            <w:tcBorders>
              <w:top w:val="nil"/>
              <w:left w:val="nil"/>
              <w:bottom w:val="nil"/>
              <w:right w:val="nil"/>
            </w:tcBorders>
            <w:shd w:val="clear" w:color="auto" w:fill="auto"/>
            <w:vAlign w:val="bottom"/>
            <w:hideMark/>
          </w:tcPr>
          <w:p w14:paraId="6C702647" w14:textId="77777777"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Inversión en subsidiarias, asociadas y negocios conjuntos</w:t>
            </w:r>
          </w:p>
        </w:tc>
        <w:tc>
          <w:tcPr>
            <w:tcW w:w="850" w:type="dxa"/>
            <w:tcBorders>
              <w:top w:val="nil"/>
              <w:left w:val="nil"/>
              <w:bottom w:val="nil"/>
              <w:right w:val="nil"/>
            </w:tcBorders>
            <w:shd w:val="clear" w:color="auto" w:fill="auto"/>
            <w:vAlign w:val="bottom"/>
          </w:tcPr>
          <w:p w14:paraId="25796D34" w14:textId="77ABAD9A"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6.7</w:t>
            </w:r>
          </w:p>
        </w:tc>
        <w:tc>
          <w:tcPr>
            <w:tcW w:w="1276" w:type="dxa"/>
            <w:tcBorders>
              <w:top w:val="nil"/>
              <w:left w:val="nil"/>
              <w:bottom w:val="nil"/>
              <w:right w:val="nil"/>
            </w:tcBorders>
            <w:shd w:val="clear" w:color="auto" w:fill="auto"/>
            <w:noWrap/>
            <w:vAlign w:val="bottom"/>
          </w:tcPr>
          <w:p w14:paraId="3E5F1DA9" w14:textId="40C68439" w:rsidR="001C3DEB" w:rsidRPr="001C3DEB" w:rsidRDefault="001C3DEB">
            <w:pPr>
              <w:jc w:val="right"/>
              <w:rPr>
                <w:rFonts w:ascii="Arial" w:hAnsi="Arial" w:cs="Arial"/>
                <w:sz w:val="16"/>
                <w:szCs w:val="16"/>
              </w:rPr>
            </w:pPr>
            <w:r w:rsidRPr="006E1AF7">
              <w:rPr>
                <w:rFonts w:ascii="Arial" w:hAnsi="Arial" w:cs="Arial"/>
                <w:sz w:val="16"/>
                <w:szCs w:val="16"/>
              </w:rPr>
              <w:t xml:space="preserve">42.783 </w:t>
            </w:r>
          </w:p>
        </w:tc>
        <w:tc>
          <w:tcPr>
            <w:tcW w:w="1134" w:type="dxa"/>
            <w:tcBorders>
              <w:top w:val="nil"/>
              <w:left w:val="nil"/>
              <w:bottom w:val="nil"/>
              <w:right w:val="nil"/>
            </w:tcBorders>
            <w:shd w:val="clear" w:color="auto" w:fill="auto"/>
            <w:noWrap/>
            <w:vAlign w:val="bottom"/>
          </w:tcPr>
          <w:p w14:paraId="6201B7F5" w14:textId="147C6C04" w:rsidR="001C3DEB" w:rsidRPr="00615B48" w:rsidRDefault="001C3DEB" w:rsidP="001C3DEB">
            <w:pPr>
              <w:jc w:val="right"/>
              <w:rPr>
                <w:rFonts w:ascii="Arial" w:hAnsi="Arial" w:cs="Arial"/>
                <w:sz w:val="16"/>
                <w:szCs w:val="16"/>
                <w:lang w:val="es-ES_tradnl" w:eastAsia="es-AR"/>
              </w:rPr>
            </w:pPr>
            <w:r w:rsidRPr="00E43FE4">
              <w:rPr>
                <w:rFonts w:ascii="Arial" w:hAnsi="Arial" w:cs="Arial"/>
                <w:sz w:val="16"/>
                <w:szCs w:val="16"/>
              </w:rPr>
              <w:t>48.878</w:t>
            </w:r>
          </w:p>
        </w:tc>
      </w:tr>
      <w:tr w:rsidR="001C3DEB" w:rsidRPr="00615B48" w14:paraId="405EEF45" w14:textId="77777777" w:rsidTr="006E1AF7">
        <w:trPr>
          <w:trHeight w:val="300"/>
          <w:jc w:val="center"/>
        </w:trPr>
        <w:tc>
          <w:tcPr>
            <w:tcW w:w="4395" w:type="dxa"/>
            <w:tcBorders>
              <w:top w:val="nil"/>
              <w:left w:val="nil"/>
              <w:bottom w:val="nil"/>
              <w:right w:val="nil"/>
            </w:tcBorders>
            <w:shd w:val="clear" w:color="auto" w:fill="auto"/>
            <w:vAlign w:val="bottom"/>
            <w:hideMark/>
          </w:tcPr>
          <w:p w14:paraId="65E3DF6F" w14:textId="115D1DB8"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Propiedad, planta y equipo </w:t>
            </w:r>
            <w:r w:rsidRPr="007D7797">
              <w:rPr>
                <w:rFonts w:ascii="Arial" w:hAnsi="Arial" w:cs="Arial"/>
                <w:b/>
                <w:sz w:val="16"/>
                <w:szCs w:val="16"/>
                <w:lang w:eastAsia="es-AR"/>
              </w:rPr>
              <w:t>(Anexo F)</w:t>
            </w:r>
          </w:p>
        </w:tc>
        <w:tc>
          <w:tcPr>
            <w:tcW w:w="850" w:type="dxa"/>
            <w:tcBorders>
              <w:top w:val="nil"/>
              <w:left w:val="nil"/>
              <w:bottom w:val="nil"/>
              <w:right w:val="nil"/>
            </w:tcBorders>
            <w:shd w:val="clear" w:color="auto" w:fill="auto"/>
            <w:vAlign w:val="bottom"/>
          </w:tcPr>
          <w:p w14:paraId="71FF932B" w14:textId="170BDAC3"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8</w:t>
            </w:r>
          </w:p>
        </w:tc>
        <w:tc>
          <w:tcPr>
            <w:tcW w:w="1276" w:type="dxa"/>
            <w:tcBorders>
              <w:top w:val="nil"/>
              <w:left w:val="nil"/>
              <w:bottom w:val="nil"/>
              <w:right w:val="nil"/>
            </w:tcBorders>
            <w:shd w:val="clear" w:color="auto" w:fill="auto"/>
            <w:noWrap/>
            <w:vAlign w:val="bottom"/>
          </w:tcPr>
          <w:p w14:paraId="74BDBD66" w14:textId="1ACB58A0" w:rsidR="001C3DEB" w:rsidRPr="001C3DEB" w:rsidRDefault="001C3DEB">
            <w:pPr>
              <w:jc w:val="right"/>
              <w:rPr>
                <w:rFonts w:ascii="Arial" w:hAnsi="Arial" w:cs="Arial"/>
                <w:sz w:val="16"/>
                <w:szCs w:val="16"/>
              </w:rPr>
            </w:pPr>
            <w:r w:rsidRPr="006E1AF7">
              <w:rPr>
                <w:rFonts w:ascii="Arial" w:hAnsi="Arial" w:cs="Arial"/>
                <w:sz w:val="16"/>
                <w:szCs w:val="16"/>
              </w:rPr>
              <w:t xml:space="preserve">2.866.220 </w:t>
            </w:r>
          </w:p>
        </w:tc>
        <w:tc>
          <w:tcPr>
            <w:tcW w:w="1134" w:type="dxa"/>
            <w:tcBorders>
              <w:top w:val="nil"/>
              <w:left w:val="nil"/>
              <w:bottom w:val="nil"/>
              <w:right w:val="nil"/>
            </w:tcBorders>
            <w:shd w:val="clear" w:color="auto" w:fill="auto"/>
            <w:noWrap/>
            <w:vAlign w:val="bottom"/>
          </w:tcPr>
          <w:p w14:paraId="2E17D7BC" w14:textId="210C3EBF"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1.729.178</w:t>
            </w:r>
          </w:p>
        </w:tc>
      </w:tr>
      <w:tr w:rsidR="001C3DEB" w:rsidRPr="00615B48" w14:paraId="710DB86C" w14:textId="77777777" w:rsidTr="006E1AF7">
        <w:trPr>
          <w:trHeight w:val="300"/>
          <w:jc w:val="center"/>
        </w:trPr>
        <w:tc>
          <w:tcPr>
            <w:tcW w:w="4395" w:type="dxa"/>
            <w:tcBorders>
              <w:top w:val="nil"/>
              <w:left w:val="nil"/>
              <w:bottom w:val="nil"/>
              <w:right w:val="nil"/>
            </w:tcBorders>
            <w:shd w:val="clear" w:color="auto" w:fill="auto"/>
            <w:vAlign w:val="bottom"/>
            <w:hideMark/>
          </w:tcPr>
          <w:p w14:paraId="150E0901" w14:textId="20520797"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Activos intangibles </w:t>
            </w:r>
            <w:r w:rsidRPr="007D7797">
              <w:rPr>
                <w:rFonts w:ascii="Arial" w:hAnsi="Arial" w:cs="Arial"/>
                <w:b/>
                <w:sz w:val="16"/>
                <w:szCs w:val="16"/>
                <w:lang w:eastAsia="es-AR"/>
              </w:rPr>
              <w:t>(Anexo G)</w:t>
            </w:r>
          </w:p>
        </w:tc>
        <w:tc>
          <w:tcPr>
            <w:tcW w:w="850" w:type="dxa"/>
            <w:tcBorders>
              <w:top w:val="nil"/>
              <w:left w:val="nil"/>
              <w:bottom w:val="nil"/>
              <w:right w:val="nil"/>
            </w:tcBorders>
            <w:shd w:val="clear" w:color="auto" w:fill="auto"/>
            <w:vAlign w:val="bottom"/>
          </w:tcPr>
          <w:p w14:paraId="567C2428" w14:textId="32CC61E1"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9</w:t>
            </w:r>
          </w:p>
        </w:tc>
        <w:tc>
          <w:tcPr>
            <w:tcW w:w="1276" w:type="dxa"/>
            <w:tcBorders>
              <w:top w:val="nil"/>
              <w:left w:val="nil"/>
              <w:bottom w:val="nil"/>
              <w:right w:val="nil"/>
            </w:tcBorders>
            <w:shd w:val="clear" w:color="auto" w:fill="auto"/>
            <w:noWrap/>
            <w:vAlign w:val="bottom"/>
          </w:tcPr>
          <w:p w14:paraId="73840698" w14:textId="0613A468" w:rsidR="001C3DEB" w:rsidRPr="001C3DEB" w:rsidRDefault="001C3DEB">
            <w:pPr>
              <w:jc w:val="right"/>
              <w:rPr>
                <w:rFonts w:ascii="Arial" w:hAnsi="Arial" w:cs="Arial"/>
                <w:sz w:val="16"/>
                <w:szCs w:val="16"/>
              </w:rPr>
            </w:pPr>
            <w:r w:rsidRPr="006E1AF7">
              <w:rPr>
                <w:rFonts w:ascii="Arial" w:hAnsi="Arial" w:cs="Arial"/>
                <w:sz w:val="16"/>
                <w:szCs w:val="16"/>
              </w:rPr>
              <w:t xml:space="preserve">754.238 </w:t>
            </w:r>
          </w:p>
        </w:tc>
        <w:tc>
          <w:tcPr>
            <w:tcW w:w="1134" w:type="dxa"/>
            <w:tcBorders>
              <w:top w:val="nil"/>
              <w:left w:val="nil"/>
              <w:bottom w:val="nil"/>
              <w:right w:val="nil"/>
            </w:tcBorders>
            <w:shd w:val="clear" w:color="auto" w:fill="auto"/>
            <w:noWrap/>
            <w:vAlign w:val="bottom"/>
          </w:tcPr>
          <w:p w14:paraId="2AFDDCEC" w14:textId="20ACA53F"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406.460</w:t>
            </w:r>
          </w:p>
        </w:tc>
      </w:tr>
      <w:tr w:rsidR="001C3DEB" w:rsidRPr="00615B48" w14:paraId="0D5B6CC6" w14:textId="77777777" w:rsidTr="006E1AF7">
        <w:trPr>
          <w:trHeight w:val="300"/>
          <w:jc w:val="center"/>
        </w:trPr>
        <w:tc>
          <w:tcPr>
            <w:tcW w:w="4395" w:type="dxa"/>
            <w:tcBorders>
              <w:top w:val="nil"/>
              <w:left w:val="nil"/>
              <w:bottom w:val="nil"/>
              <w:right w:val="nil"/>
            </w:tcBorders>
            <w:shd w:val="clear" w:color="auto" w:fill="auto"/>
            <w:vAlign w:val="bottom"/>
            <w:hideMark/>
          </w:tcPr>
          <w:p w14:paraId="3668F468" w14:textId="77777777"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Activos por impuesto a las ganancias diferido</w:t>
            </w:r>
          </w:p>
        </w:tc>
        <w:tc>
          <w:tcPr>
            <w:tcW w:w="850" w:type="dxa"/>
            <w:tcBorders>
              <w:top w:val="nil"/>
              <w:left w:val="nil"/>
              <w:bottom w:val="nil"/>
              <w:right w:val="nil"/>
            </w:tcBorders>
            <w:shd w:val="clear" w:color="auto" w:fill="auto"/>
            <w:vAlign w:val="bottom"/>
          </w:tcPr>
          <w:p w14:paraId="73750648" w14:textId="71AC7A52" w:rsidR="001C3DEB" w:rsidRPr="00917B3D" w:rsidRDefault="00930D11" w:rsidP="001C3DEB">
            <w:pPr>
              <w:jc w:val="center"/>
              <w:rPr>
                <w:rFonts w:ascii="Arial" w:hAnsi="Arial" w:cs="Arial"/>
                <w:sz w:val="16"/>
                <w:szCs w:val="16"/>
                <w:lang w:eastAsia="es-AR"/>
              </w:rPr>
            </w:pPr>
            <w:r>
              <w:rPr>
                <w:rFonts w:ascii="Arial" w:hAnsi="Arial" w:cs="Arial"/>
                <w:sz w:val="16"/>
                <w:szCs w:val="16"/>
                <w:lang w:eastAsia="es-AR"/>
              </w:rPr>
              <w:t>4</w:t>
            </w:r>
          </w:p>
        </w:tc>
        <w:tc>
          <w:tcPr>
            <w:tcW w:w="1276" w:type="dxa"/>
            <w:tcBorders>
              <w:top w:val="nil"/>
              <w:left w:val="nil"/>
              <w:bottom w:val="nil"/>
              <w:right w:val="nil"/>
            </w:tcBorders>
            <w:shd w:val="clear" w:color="auto" w:fill="auto"/>
            <w:noWrap/>
            <w:vAlign w:val="bottom"/>
          </w:tcPr>
          <w:p w14:paraId="6B7EE374" w14:textId="3A96D8B0" w:rsidR="001C3DEB" w:rsidRPr="001C3DEB" w:rsidRDefault="001C3DEB">
            <w:pPr>
              <w:jc w:val="right"/>
              <w:rPr>
                <w:rFonts w:ascii="Arial" w:hAnsi="Arial" w:cs="Arial"/>
                <w:sz w:val="16"/>
                <w:szCs w:val="16"/>
              </w:rPr>
            </w:pPr>
            <w:r w:rsidRPr="006E1AF7">
              <w:rPr>
                <w:rFonts w:ascii="Arial" w:hAnsi="Arial" w:cs="Arial"/>
                <w:sz w:val="16"/>
                <w:szCs w:val="16"/>
              </w:rPr>
              <w:t xml:space="preserve">1.502.267 </w:t>
            </w:r>
          </w:p>
        </w:tc>
        <w:tc>
          <w:tcPr>
            <w:tcW w:w="1134" w:type="dxa"/>
            <w:tcBorders>
              <w:top w:val="nil"/>
              <w:left w:val="nil"/>
              <w:bottom w:val="nil"/>
              <w:right w:val="nil"/>
            </w:tcBorders>
            <w:shd w:val="clear" w:color="auto" w:fill="auto"/>
            <w:noWrap/>
            <w:vAlign w:val="bottom"/>
          </w:tcPr>
          <w:p w14:paraId="7DE8B72C" w14:textId="1F8F6813"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388.585</w:t>
            </w:r>
          </w:p>
        </w:tc>
      </w:tr>
      <w:tr w:rsidR="001C3DEB" w:rsidRPr="00615B48" w14:paraId="2D20CE0A" w14:textId="77777777" w:rsidTr="006E1AF7">
        <w:trPr>
          <w:trHeight w:val="300"/>
          <w:jc w:val="center"/>
        </w:trPr>
        <w:tc>
          <w:tcPr>
            <w:tcW w:w="4395" w:type="dxa"/>
            <w:tcBorders>
              <w:top w:val="nil"/>
              <w:left w:val="nil"/>
              <w:bottom w:val="nil"/>
              <w:right w:val="nil"/>
            </w:tcBorders>
            <w:shd w:val="clear" w:color="auto" w:fill="auto"/>
            <w:vAlign w:val="bottom"/>
            <w:hideMark/>
          </w:tcPr>
          <w:p w14:paraId="0768A79F" w14:textId="77777777"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Otros activos no financieros</w:t>
            </w:r>
          </w:p>
        </w:tc>
        <w:tc>
          <w:tcPr>
            <w:tcW w:w="850" w:type="dxa"/>
            <w:tcBorders>
              <w:top w:val="nil"/>
              <w:left w:val="nil"/>
              <w:bottom w:val="nil"/>
              <w:right w:val="nil"/>
            </w:tcBorders>
            <w:shd w:val="clear" w:color="auto" w:fill="auto"/>
            <w:vAlign w:val="bottom"/>
          </w:tcPr>
          <w:p w14:paraId="54F3415F" w14:textId="38D7B2C8" w:rsidR="001C3DEB" w:rsidRPr="00615B48" w:rsidRDefault="001C3DEB" w:rsidP="001C3DEB">
            <w:pPr>
              <w:jc w:val="center"/>
              <w:rPr>
                <w:rFonts w:ascii="Arial" w:hAnsi="Arial" w:cs="Arial"/>
                <w:sz w:val="16"/>
                <w:szCs w:val="16"/>
                <w:lang w:eastAsia="es-AR"/>
              </w:rPr>
            </w:pPr>
            <w:r>
              <w:rPr>
                <w:rFonts w:ascii="Arial" w:hAnsi="Arial" w:cs="Arial"/>
                <w:sz w:val="16"/>
                <w:szCs w:val="16"/>
                <w:lang w:eastAsia="es-AR"/>
              </w:rPr>
              <w:t>6.8</w:t>
            </w:r>
          </w:p>
        </w:tc>
        <w:tc>
          <w:tcPr>
            <w:tcW w:w="1276" w:type="dxa"/>
            <w:tcBorders>
              <w:top w:val="nil"/>
              <w:left w:val="nil"/>
              <w:bottom w:val="nil"/>
              <w:right w:val="nil"/>
            </w:tcBorders>
            <w:shd w:val="clear" w:color="auto" w:fill="auto"/>
            <w:noWrap/>
            <w:vAlign w:val="bottom"/>
          </w:tcPr>
          <w:p w14:paraId="131FC5B6" w14:textId="4803A68A" w:rsidR="001C3DEB" w:rsidRPr="001C3DEB" w:rsidRDefault="001C3DEB">
            <w:pPr>
              <w:jc w:val="right"/>
              <w:rPr>
                <w:rFonts w:ascii="Arial" w:hAnsi="Arial" w:cs="Arial"/>
                <w:sz w:val="16"/>
                <w:szCs w:val="16"/>
              </w:rPr>
            </w:pPr>
            <w:r w:rsidRPr="006E1AF7">
              <w:rPr>
                <w:rFonts w:ascii="Arial" w:hAnsi="Arial" w:cs="Arial"/>
                <w:sz w:val="16"/>
                <w:szCs w:val="16"/>
              </w:rPr>
              <w:t xml:space="preserve">4.699.460 </w:t>
            </w:r>
          </w:p>
        </w:tc>
        <w:tc>
          <w:tcPr>
            <w:tcW w:w="1134" w:type="dxa"/>
            <w:tcBorders>
              <w:top w:val="nil"/>
              <w:left w:val="nil"/>
              <w:bottom w:val="nil"/>
              <w:right w:val="nil"/>
            </w:tcBorders>
            <w:shd w:val="clear" w:color="auto" w:fill="auto"/>
            <w:noWrap/>
            <w:vAlign w:val="bottom"/>
          </w:tcPr>
          <w:p w14:paraId="44F095AF" w14:textId="50CEA1DA"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1.002.305</w:t>
            </w:r>
          </w:p>
        </w:tc>
      </w:tr>
      <w:tr w:rsidR="001C3DEB" w:rsidRPr="00615B48" w14:paraId="5E55C7F6" w14:textId="77777777" w:rsidTr="006E1AF7">
        <w:trPr>
          <w:trHeight w:val="300"/>
          <w:jc w:val="center"/>
        </w:trPr>
        <w:tc>
          <w:tcPr>
            <w:tcW w:w="4395" w:type="dxa"/>
            <w:tcBorders>
              <w:top w:val="nil"/>
              <w:left w:val="nil"/>
              <w:bottom w:val="nil"/>
              <w:right w:val="nil"/>
            </w:tcBorders>
            <w:shd w:val="clear" w:color="auto" w:fill="auto"/>
            <w:vAlign w:val="bottom"/>
          </w:tcPr>
          <w:p w14:paraId="5B7D77B4" w14:textId="22067F4A" w:rsidR="001C3DEB" w:rsidRPr="00615B48" w:rsidRDefault="001C3DEB" w:rsidP="001C3DEB">
            <w:pPr>
              <w:rPr>
                <w:rFonts w:ascii="Arial" w:hAnsi="Arial" w:cs="Arial"/>
                <w:sz w:val="16"/>
                <w:szCs w:val="16"/>
                <w:lang w:eastAsia="es-AR"/>
              </w:rPr>
            </w:pPr>
            <w:r w:rsidRPr="00E43FE4">
              <w:rPr>
                <w:rFonts w:ascii="Arial" w:hAnsi="Arial" w:cs="Arial"/>
                <w:sz w:val="16"/>
                <w:szCs w:val="16"/>
                <w:lang w:eastAsia="es-AR"/>
              </w:rPr>
              <w:t>Activos no corrientes mantenidos para la venta</w:t>
            </w:r>
          </w:p>
        </w:tc>
        <w:tc>
          <w:tcPr>
            <w:tcW w:w="850" w:type="dxa"/>
            <w:tcBorders>
              <w:top w:val="nil"/>
              <w:left w:val="nil"/>
              <w:bottom w:val="nil"/>
              <w:right w:val="nil"/>
            </w:tcBorders>
            <w:shd w:val="clear" w:color="auto" w:fill="auto"/>
            <w:vAlign w:val="bottom"/>
          </w:tcPr>
          <w:p w14:paraId="77662947" w14:textId="12AB8DD2" w:rsidR="001C3DEB" w:rsidRPr="00615B48" w:rsidRDefault="001C3DEB" w:rsidP="001C3DEB">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254A706C" w14:textId="4F18C45D" w:rsidR="001C3DEB" w:rsidRPr="001C3DEB" w:rsidRDefault="001C3DEB">
            <w:pPr>
              <w:jc w:val="right"/>
              <w:rPr>
                <w:rFonts w:ascii="Arial" w:hAnsi="Arial" w:cs="Arial"/>
                <w:sz w:val="16"/>
                <w:szCs w:val="16"/>
              </w:rPr>
            </w:pPr>
            <w:r w:rsidRPr="006E1AF7">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tcPr>
          <w:p w14:paraId="33C79ACE" w14:textId="4BAC66D9"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2.800</w:t>
            </w:r>
          </w:p>
        </w:tc>
      </w:tr>
      <w:tr w:rsidR="001C3DEB" w:rsidRPr="00615B48" w14:paraId="6AD1E7F7" w14:textId="77777777" w:rsidTr="006E1AF7">
        <w:trPr>
          <w:trHeight w:val="300"/>
          <w:jc w:val="center"/>
        </w:trPr>
        <w:tc>
          <w:tcPr>
            <w:tcW w:w="4395" w:type="dxa"/>
            <w:tcBorders>
              <w:top w:val="nil"/>
              <w:left w:val="nil"/>
              <w:bottom w:val="nil"/>
              <w:right w:val="nil"/>
            </w:tcBorders>
            <w:shd w:val="clear" w:color="auto" w:fill="auto"/>
            <w:vAlign w:val="bottom"/>
            <w:hideMark/>
          </w:tcPr>
          <w:p w14:paraId="5E8D0E94" w14:textId="77777777" w:rsidR="001C3DEB" w:rsidRPr="00615B48" w:rsidRDefault="001C3DEB" w:rsidP="001C3DEB">
            <w:pPr>
              <w:rPr>
                <w:rFonts w:ascii="Arial" w:hAnsi="Arial" w:cs="Arial"/>
                <w:sz w:val="16"/>
                <w:szCs w:val="16"/>
                <w:lang w:eastAsia="es-AR"/>
              </w:rPr>
            </w:pPr>
          </w:p>
        </w:tc>
        <w:tc>
          <w:tcPr>
            <w:tcW w:w="850" w:type="dxa"/>
            <w:tcBorders>
              <w:top w:val="nil"/>
              <w:left w:val="nil"/>
              <w:bottom w:val="nil"/>
              <w:right w:val="nil"/>
            </w:tcBorders>
            <w:shd w:val="clear" w:color="auto" w:fill="auto"/>
            <w:vAlign w:val="bottom"/>
            <w:hideMark/>
          </w:tcPr>
          <w:p w14:paraId="64751F67" w14:textId="77777777" w:rsidR="001C3DEB" w:rsidRPr="00615B48" w:rsidRDefault="001C3DEB" w:rsidP="001C3DEB">
            <w:pPr>
              <w:jc w:val="center"/>
              <w:rPr>
                <w:rFonts w:ascii="Arial" w:hAnsi="Arial" w:cs="Arial"/>
                <w:sz w:val="16"/>
                <w:szCs w:val="16"/>
                <w:lang w:eastAsia="es-AR"/>
              </w:rPr>
            </w:pPr>
          </w:p>
        </w:tc>
        <w:tc>
          <w:tcPr>
            <w:tcW w:w="1276" w:type="dxa"/>
            <w:tcBorders>
              <w:top w:val="nil"/>
              <w:left w:val="nil"/>
              <w:bottom w:val="nil"/>
              <w:right w:val="nil"/>
            </w:tcBorders>
            <w:shd w:val="clear" w:color="auto" w:fill="auto"/>
            <w:noWrap/>
            <w:vAlign w:val="bottom"/>
          </w:tcPr>
          <w:p w14:paraId="7C4291E0" w14:textId="77777777" w:rsidR="001C3DEB" w:rsidRPr="001C3DEB" w:rsidRDefault="001C3DEB">
            <w:pPr>
              <w:jc w:val="right"/>
              <w:rPr>
                <w:rFonts w:ascii="Arial" w:hAnsi="Arial" w:cs="Arial"/>
                <w:sz w:val="16"/>
                <w:szCs w:val="16"/>
              </w:rPr>
            </w:pPr>
          </w:p>
        </w:tc>
        <w:tc>
          <w:tcPr>
            <w:tcW w:w="1134" w:type="dxa"/>
            <w:tcBorders>
              <w:top w:val="nil"/>
              <w:left w:val="nil"/>
              <w:bottom w:val="nil"/>
              <w:right w:val="nil"/>
            </w:tcBorders>
            <w:shd w:val="clear" w:color="auto" w:fill="auto"/>
            <w:noWrap/>
            <w:vAlign w:val="bottom"/>
          </w:tcPr>
          <w:p w14:paraId="20E327F4" w14:textId="77777777" w:rsidR="001C3DEB" w:rsidRPr="00615B48" w:rsidRDefault="001C3DEB" w:rsidP="001C3DEB">
            <w:pPr>
              <w:jc w:val="right"/>
              <w:rPr>
                <w:rFonts w:ascii="Arial" w:hAnsi="Arial" w:cs="Arial"/>
                <w:sz w:val="16"/>
                <w:szCs w:val="16"/>
                <w:lang w:eastAsia="es-AR"/>
              </w:rPr>
            </w:pPr>
          </w:p>
        </w:tc>
      </w:tr>
      <w:tr w:rsidR="001C3DEB" w:rsidRPr="00615B48" w14:paraId="1B524CCC" w14:textId="77777777" w:rsidTr="006E1AF7">
        <w:trPr>
          <w:trHeight w:val="300"/>
          <w:jc w:val="center"/>
        </w:trPr>
        <w:tc>
          <w:tcPr>
            <w:tcW w:w="4395" w:type="dxa"/>
            <w:tcBorders>
              <w:top w:val="nil"/>
              <w:left w:val="nil"/>
              <w:bottom w:val="nil"/>
              <w:right w:val="nil"/>
            </w:tcBorders>
            <w:shd w:val="clear" w:color="auto" w:fill="auto"/>
            <w:vAlign w:val="center"/>
            <w:hideMark/>
          </w:tcPr>
          <w:p w14:paraId="11BCE126" w14:textId="5A6C6729" w:rsidR="001C3DEB" w:rsidRPr="00615B48" w:rsidRDefault="001C3DEB" w:rsidP="001C3DEB">
            <w:pPr>
              <w:rPr>
                <w:rFonts w:ascii="Arial" w:hAnsi="Arial" w:cs="Arial"/>
                <w:b/>
                <w:bCs/>
                <w:sz w:val="16"/>
                <w:szCs w:val="16"/>
                <w:lang w:eastAsia="es-AR"/>
              </w:rPr>
            </w:pPr>
            <w:r>
              <w:rPr>
                <w:rFonts w:ascii="Arial" w:hAnsi="Arial" w:cs="Arial"/>
                <w:b/>
                <w:bCs/>
                <w:sz w:val="16"/>
                <w:szCs w:val="16"/>
                <w:lang w:eastAsia="es-AR"/>
              </w:rPr>
              <w:t>TOTAL DEL ACTIVO</w:t>
            </w:r>
          </w:p>
        </w:tc>
        <w:tc>
          <w:tcPr>
            <w:tcW w:w="850" w:type="dxa"/>
            <w:tcBorders>
              <w:top w:val="nil"/>
              <w:left w:val="nil"/>
              <w:bottom w:val="nil"/>
              <w:right w:val="nil"/>
            </w:tcBorders>
            <w:shd w:val="clear" w:color="auto" w:fill="auto"/>
            <w:hideMark/>
          </w:tcPr>
          <w:p w14:paraId="1616305F" w14:textId="77777777" w:rsidR="001C3DEB" w:rsidRPr="00615B48" w:rsidRDefault="001C3DEB" w:rsidP="001C3DEB">
            <w:pPr>
              <w:jc w:val="center"/>
              <w:rPr>
                <w:rFonts w:ascii="Arial" w:hAnsi="Arial" w:cs="Arial"/>
                <w:b/>
                <w:bCs/>
                <w:sz w:val="16"/>
                <w:szCs w:val="16"/>
                <w:lang w:eastAsia="es-AR"/>
              </w:rPr>
            </w:pPr>
          </w:p>
        </w:tc>
        <w:tc>
          <w:tcPr>
            <w:tcW w:w="1276" w:type="dxa"/>
            <w:tcBorders>
              <w:top w:val="single" w:sz="4" w:space="0" w:color="auto"/>
              <w:left w:val="nil"/>
              <w:bottom w:val="single" w:sz="4" w:space="0" w:color="auto"/>
              <w:right w:val="nil"/>
            </w:tcBorders>
            <w:shd w:val="clear" w:color="auto" w:fill="auto"/>
            <w:noWrap/>
            <w:vAlign w:val="bottom"/>
          </w:tcPr>
          <w:p w14:paraId="6C4A5D83" w14:textId="04320186" w:rsidR="001C3DEB" w:rsidRPr="001C3DEB" w:rsidRDefault="001C3DEB">
            <w:pPr>
              <w:jc w:val="right"/>
              <w:rPr>
                <w:rFonts w:ascii="Arial" w:hAnsi="Arial" w:cs="Arial"/>
                <w:b/>
                <w:bCs/>
                <w:sz w:val="16"/>
                <w:szCs w:val="16"/>
              </w:rPr>
            </w:pPr>
            <w:r w:rsidRPr="006E1AF7">
              <w:rPr>
                <w:rFonts w:ascii="Arial" w:hAnsi="Arial" w:cs="Arial"/>
                <w:b/>
                <w:sz w:val="16"/>
                <w:szCs w:val="16"/>
              </w:rPr>
              <w:t xml:space="preserve">141.598.981 </w:t>
            </w:r>
          </w:p>
        </w:tc>
        <w:tc>
          <w:tcPr>
            <w:tcW w:w="1134" w:type="dxa"/>
            <w:tcBorders>
              <w:top w:val="single" w:sz="4" w:space="0" w:color="auto"/>
              <w:left w:val="nil"/>
              <w:bottom w:val="single" w:sz="4" w:space="0" w:color="auto"/>
              <w:right w:val="nil"/>
            </w:tcBorders>
            <w:shd w:val="clear" w:color="auto" w:fill="auto"/>
            <w:noWrap/>
            <w:vAlign w:val="bottom"/>
          </w:tcPr>
          <w:p w14:paraId="7BF262D9" w14:textId="02DDCA6B" w:rsidR="001C3DEB" w:rsidRPr="00615B48" w:rsidRDefault="001C3DEB" w:rsidP="001C3DEB">
            <w:pPr>
              <w:jc w:val="right"/>
              <w:rPr>
                <w:rFonts w:ascii="Arial" w:hAnsi="Arial" w:cs="Arial"/>
                <w:b/>
                <w:bCs/>
                <w:sz w:val="16"/>
                <w:szCs w:val="16"/>
                <w:lang w:val="es-ES_tradnl" w:eastAsia="es-AR"/>
              </w:rPr>
            </w:pPr>
            <w:r w:rsidRPr="00E43FE4">
              <w:rPr>
                <w:rFonts w:ascii="Arial" w:hAnsi="Arial" w:cs="Arial"/>
                <w:b/>
                <w:bCs/>
                <w:sz w:val="16"/>
                <w:szCs w:val="16"/>
              </w:rPr>
              <w:t>137.186.230</w:t>
            </w:r>
          </w:p>
        </w:tc>
      </w:tr>
    </w:tbl>
    <w:p w14:paraId="5D43326E" w14:textId="688B67D8" w:rsidR="00615B48" w:rsidRDefault="00615B48" w:rsidP="000428A1">
      <w:pPr>
        <w:tabs>
          <w:tab w:val="left" w:pos="1320"/>
        </w:tabs>
        <w:rPr>
          <w:sz w:val="16"/>
          <w:szCs w:val="16"/>
          <w:lang w:eastAsia="es-AR"/>
        </w:rPr>
      </w:pPr>
    </w:p>
    <w:p w14:paraId="471BC121" w14:textId="0ECCEBE7" w:rsidR="008630A5" w:rsidRDefault="008630A5" w:rsidP="000428A1">
      <w:pPr>
        <w:tabs>
          <w:tab w:val="left" w:pos="1320"/>
        </w:tabs>
        <w:rPr>
          <w:sz w:val="16"/>
          <w:szCs w:val="16"/>
          <w:lang w:eastAsia="es-AR"/>
        </w:rPr>
      </w:pPr>
    </w:p>
    <w:p w14:paraId="6682B962" w14:textId="77777777" w:rsidR="008630A5" w:rsidRPr="00826C1B" w:rsidRDefault="008630A5" w:rsidP="000428A1">
      <w:pPr>
        <w:tabs>
          <w:tab w:val="left" w:pos="1320"/>
        </w:tabs>
        <w:rPr>
          <w:sz w:val="16"/>
          <w:szCs w:val="16"/>
          <w:lang w:eastAsia="es-AR"/>
        </w:rPr>
      </w:pPr>
    </w:p>
    <w:tbl>
      <w:tblPr>
        <w:tblW w:w="8337" w:type="dxa"/>
        <w:jc w:val="center"/>
        <w:tblCellMar>
          <w:left w:w="70" w:type="dxa"/>
          <w:right w:w="70" w:type="dxa"/>
        </w:tblCellMar>
        <w:tblLook w:val="04A0" w:firstRow="1" w:lastRow="0" w:firstColumn="1" w:lastColumn="0" w:noHBand="0" w:noVBand="1"/>
      </w:tblPr>
      <w:tblGrid>
        <w:gridCol w:w="4907"/>
        <w:gridCol w:w="737"/>
        <w:gridCol w:w="1417"/>
        <w:gridCol w:w="1276"/>
      </w:tblGrid>
      <w:tr w:rsidR="00323E0E" w:rsidRPr="00615B48" w14:paraId="1574447D" w14:textId="77777777" w:rsidTr="00AA40A5">
        <w:trPr>
          <w:trHeight w:val="300"/>
          <w:jc w:val="center"/>
        </w:trPr>
        <w:tc>
          <w:tcPr>
            <w:tcW w:w="4907"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5F28917" w14:textId="77777777" w:rsidR="00323E0E" w:rsidRPr="00615B48" w:rsidRDefault="00323E0E" w:rsidP="00A04D8C">
            <w:pPr>
              <w:jc w:val="center"/>
              <w:rPr>
                <w:rFonts w:ascii="Arial" w:hAnsi="Arial" w:cs="Arial"/>
                <w:b/>
                <w:bCs/>
                <w:sz w:val="16"/>
                <w:szCs w:val="16"/>
                <w:lang w:eastAsia="es-AR"/>
              </w:rPr>
            </w:pPr>
            <w:r w:rsidRPr="00615B48">
              <w:rPr>
                <w:rFonts w:ascii="Arial" w:hAnsi="Arial" w:cs="Arial"/>
                <w:b/>
                <w:bCs/>
                <w:sz w:val="16"/>
                <w:szCs w:val="16"/>
                <w:lang w:eastAsia="es-AR"/>
              </w:rPr>
              <w:t>Conceptos</w:t>
            </w:r>
          </w:p>
        </w:tc>
        <w:tc>
          <w:tcPr>
            <w:tcW w:w="737"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4821D1B" w14:textId="77777777" w:rsidR="00323E0E" w:rsidRPr="00615B48" w:rsidRDefault="00323E0E" w:rsidP="00A04D8C">
            <w:pPr>
              <w:jc w:val="center"/>
              <w:rPr>
                <w:rFonts w:ascii="Arial" w:hAnsi="Arial" w:cs="Arial"/>
                <w:b/>
                <w:bCs/>
                <w:sz w:val="16"/>
                <w:szCs w:val="16"/>
                <w:lang w:eastAsia="es-AR"/>
              </w:rPr>
            </w:pPr>
            <w:r w:rsidRPr="00615B48">
              <w:rPr>
                <w:rFonts w:ascii="Arial" w:hAnsi="Arial" w:cs="Arial"/>
                <w:b/>
                <w:bCs/>
                <w:sz w:val="16"/>
                <w:szCs w:val="16"/>
                <w:lang w:eastAsia="es-AR"/>
              </w:rPr>
              <w:t>Notas</w:t>
            </w:r>
          </w:p>
        </w:tc>
        <w:tc>
          <w:tcPr>
            <w:tcW w:w="1417"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3EA3886C" w14:textId="128A3383" w:rsidR="00323E0E" w:rsidRPr="00615B48" w:rsidRDefault="00634606" w:rsidP="00634606">
            <w:pPr>
              <w:jc w:val="center"/>
              <w:rPr>
                <w:rFonts w:ascii="Arial" w:hAnsi="Arial" w:cs="Arial"/>
                <w:b/>
                <w:bCs/>
                <w:sz w:val="16"/>
                <w:szCs w:val="16"/>
                <w:lang w:eastAsia="es-AR"/>
              </w:rPr>
            </w:pPr>
            <w:r>
              <w:rPr>
                <w:rFonts w:ascii="Arial" w:hAnsi="Arial" w:cs="Arial"/>
                <w:b/>
                <w:bCs/>
                <w:sz w:val="16"/>
                <w:szCs w:val="16"/>
                <w:lang w:eastAsia="es-AR"/>
              </w:rPr>
              <w:t>3</w:t>
            </w:r>
            <w:r w:rsidR="00A00E52">
              <w:rPr>
                <w:rFonts w:ascii="Arial" w:hAnsi="Arial" w:cs="Arial"/>
                <w:b/>
                <w:bCs/>
                <w:sz w:val="16"/>
                <w:szCs w:val="16"/>
                <w:lang w:eastAsia="es-AR"/>
              </w:rPr>
              <w:t>1</w:t>
            </w:r>
            <w:r w:rsidR="00323E0E">
              <w:rPr>
                <w:rFonts w:ascii="Arial" w:hAnsi="Arial" w:cs="Arial"/>
                <w:b/>
                <w:bCs/>
                <w:sz w:val="16"/>
                <w:szCs w:val="16"/>
                <w:lang w:eastAsia="es-AR"/>
              </w:rPr>
              <w:t>/</w:t>
            </w:r>
            <w:r w:rsidR="00A00E52">
              <w:rPr>
                <w:rFonts w:ascii="Arial" w:hAnsi="Arial" w:cs="Arial"/>
                <w:b/>
                <w:bCs/>
                <w:sz w:val="16"/>
                <w:szCs w:val="16"/>
                <w:lang w:eastAsia="es-AR"/>
              </w:rPr>
              <w:t>12</w:t>
            </w:r>
            <w:r w:rsidR="00323E0E">
              <w:rPr>
                <w:rFonts w:ascii="Arial" w:hAnsi="Arial" w:cs="Arial"/>
                <w:b/>
                <w:bCs/>
                <w:sz w:val="16"/>
                <w:szCs w:val="16"/>
                <w:lang w:eastAsia="es-AR"/>
              </w:rPr>
              <w:t>/2019</w:t>
            </w:r>
          </w:p>
        </w:tc>
        <w:tc>
          <w:tcPr>
            <w:tcW w:w="1276"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22B57B91" w14:textId="18A340B5" w:rsidR="00323E0E" w:rsidRPr="00615B48" w:rsidRDefault="00323E0E" w:rsidP="00A04D8C">
            <w:pPr>
              <w:jc w:val="center"/>
              <w:rPr>
                <w:rFonts w:ascii="Arial" w:hAnsi="Arial" w:cs="Arial"/>
                <w:b/>
                <w:bCs/>
                <w:sz w:val="16"/>
                <w:szCs w:val="16"/>
                <w:lang w:eastAsia="es-AR"/>
              </w:rPr>
            </w:pPr>
            <w:r>
              <w:rPr>
                <w:rFonts w:ascii="Arial" w:hAnsi="Arial" w:cs="Arial"/>
                <w:b/>
                <w:bCs/>
                <w:sz w:val="16"/>
                <w:szCs w:val="16"/>
                <w:lang w:eastAsia="es-AR"/>
              </w:rPr>
              <w:t>31</w:t>
            </w:r>
            <w:r w:rsidRPr="00615B48">
              <w:rPr>
                <w:rFonts w:ascii="Arial" w:hAnsi="Arial" w:cs="Arial"/>
                <w:b/>
                <w:bCs/>
                <w:sz w:val="16"/>
                <w:szCs w:val="16"/>
                <w:lang w:eastAsia="es-AR"/>
              </w:rPr>
              <w:t>/</w:t>
            </w:r>
            <w:r>
              <w:rPr>
                <w:rFonts w:ascii="Arial" w:hAnsi="Arial" w:cs="Arial"/>
                <w:b/>
                <w:bCs/>
                <w:sz w:val="16"/>
                <w:szCs w:val="16"/>
                <w:lang w:eastAsia="es-AR"/>
              </w:rPr>
              <w:t>12</w:t>
            </w:r>
            <w:r w:rsidRPr="00615B48">
              <w:rPr>
                <w:rFonts w:ascii="Arial" w:hAnsi="Arial" w:cs="Arial"/>
                <w:b/>
                <w:bCs/>
                <w:sz w:val="16"/>
                <w:szCs w:val="16"/>
                <w:lang w:eastAsia="es-AR"/>
              </w:rPr>
              <w:t>/2018</w:t>
            </w:r>
          </w:p>
        </w:tc>
      </w:tr>
      <w:tr w:rsidR="00323E0E" w:rsidRPr="00615B48" w14:paraId="48F79512" w14:textId="77777777" w:rsidTr="00AA40A5">
        <w:trPr>
          <w:trHeight w:val="285"/>
          <w:jc w:val="center"/>
        </w:trPr>
        <w:tc>
          <w:tcPr>
            <w:tcW w:w="4907"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874255C" w14:textId="77777777" w:rsidR="00323E0E" w:rsidRPr="00615B48" w:rsidRDefault="00323E0E" w:rsidP="00615B48">
            <w:pPr>
              <w:rPr>
                <w:rFonts w:ascii="Arial" w:hAnsi="Arial" w:cs="Arial"/>
                <w:b/>
                <w:bCs/>
                <w:sz w:val="16"/>
                <w:szCs w:val="16"/>
                <w:lang w:eastAsia="es-AR"/>
              </w:rPr>
            </w:pPr>
          </w:p>
        </w:tc>
        <w:tc>
          <w:tcPr>
            <w:tcW w:w="737"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ACA0BDF" w14:textId="77777777" w:rsidR="00323E0E" w:rsidRPr="00615B48" w:rsidRDefault="00323E0E" w:rsidP="00826C1B">
            <w:pPr>
              <w:jc w:val="center"/>
              <w:rPr>
                <w:rFonts w:ascii="Arial" w:hAnsi="Arial" w:cs="Arial"/>
                <w:b/>
                <w:bCs/>
                <w:sz w:val="16"/>
                <w:szCs w:val="16"/>
                <w:lang w:eastAsia="es-AR"/>
              </w:rPr>
            </w:pPr>
          </w:p>
        </w:tc>
        <w:tc>
          <w:tcPr>
            <w:tcW w:w="1417"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04362E80" w14:textId="77777777" w:rsidR="00323E0E" w:rsidRPr="00615B48" w:rsidRDefault="00323E0E" w:rsidP="00615B48">
            <w:pPr>
              <w:jc w:val="right"/>
              <w:rPr>
                <w:rFonts w:ascii="Arial" w:hAnsi="Arial" w:cs="Arial"/>
                <w:b/>
                <w:bCs/>
                <w:sz w:val="16"/>
                <w:szCs w:val="16"/>
                <w:lang w:eastAsia="es-AR"/>
              </w:rPr>
            </w:pPr>
          </w:p>
        </w:tc>
        <w:tc>
          <w:tcPr>
            <w:tcW w:w="1276"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2DA298BA" w14:textId="77777777" w:rsidR="00323E0E" w:rsidRPr="00615B48" w:rsidRDefault="00323E0E" w:rsidP="00615B48">
            <w:pPr>
              <w:jc w:val="right"/>
              <w:rPr>
                <w:rFonts w:ascii="Arial" w:hAnsi="Arial" w:cs="Arial"/>
                <w:b/>
                <w:bCs/>
                <w:sz w:val="16"/>
                <w:szCs w:val="16"/>
                <w:lang w:eastAsia="es-AR"/>
              </w:rPr>
            </w:pPr>
          </w:p>
        </w:tc>
      </w:tr>
      <w:tr w:rsidR="00323E0E" w:rsidRPr="00E43FE4" w14:paraId="611242A1" w14:textId="77777777" w:rsidTr="00534414">
        <w:trPr>
          <w:trHeight w:val="70"/>
          <w:jc w:val="center"/>
        </w:trPr>
        <w:tc>
          <w:tcPr>
            <w:tcW w:w="4907" w:type="dxa"/>
            <w:tcBorders>
              <w:top w:val="nil"/>
              <w:left w:val="nil"/>
              <w:bottom w:val="nil"/>
              <w:right w:val="nil"/>
            </w:tcBorders>
            <w:shd w:val="clear" w:color="auto" w:fill="auto"/>
            <w:vAlign w:val="center"/>
            <w:hideMark/>
          </w:tcPr>
          <w:p w14:paraId="5D1EA582" w14:textId="77777777" w:rsidR="00323E0E" w:rsidRPr="00E43FE4" w:rsidRDefault="00323E0E" w:rsidP="00615B48">
            <w:pPr>
              <w:jc w:val="center"/>
              <w:rPr>
                <w:rFonts w:ascii="Arial" w:hAnsi="Arial" w:cs="Arial"/>
                <w:b/>
                <w:bCs/>
                <w:sz w:val="10"/>
                <w:szCs w:val="10"/>
                <w:lang w:eastAsia="es-AR"/>
              </w:rPr>
            </w:pPr>
            <w:r w:rsidRPr="00E43FE4">
              <w:rPr>
                <w:rFonts w:ascii="Arial" w:hAnsi="Arial" w:cs="Arial"/>
                <w:b/>
                <w:bCs/>
                <w:sz w:val="10"/>
                <w:szCs w:val="10"/>
                <w:lang w:eastAsia="es-AR"/>
              </w:rPr>
              <w:t> </w:t>
            </w:r>
          </w:p>
        </w:tc>
        <w:tc>
          <w:tcPr>
            <w:tcW w:w="737" w:type="dxa"/>
            <w:tcBorders>
              <w:top w:val="nil"/>
              <w:left w:val="nil"/>
              <w:bottom w:val="nil"/>
              <w:right w:val="nil"/>
            </w:tcBorders>
            <w:shd w:val="clear" w:color="auto" w:fill="auto"/>
            <w:vAlign w:val="center"/>
            <w:hideMark/>
          </w:tcPr>
          <w:p w14:paraId="7BC0617C" w14:textId="648FEB03" w:rsidR="00323E0E" w:rsidRPr="00E43FE4" w:rsidRDefault="00323E0E" w:rsidP="00826C1B">
            <w:pPr>
              <w:jc w:val="center"/>
              <w:rPr>
                <w:rFonts w:ascii="Arial" w:hAnsi="Arial" w:cs="Arial"/>
                <w:b/>
                <w:bCs/>
                <w:sz w:val="10"/>
                <w:szCs w:val="10"/>
                <w:lang w:eastAsia="es-AR"/>
              </w:rPr>
            </w:pPr>
          </w:p>
        </w:tc>
        <w:tc>
          <w:tcPr>
            <w:tcW w:w="1417" w:type="dxa"/>
            <w:tcBorders>
              <w:top w:val="nil"/>
              <w:left w:val="nil"/>
              <w:bottom w:val="nil"/>
              <w:right w:val="nil"/>
            </w:tcBorders>
            <w:shd w:val="clear" w:color="auto" w:fill="auto"/>
            <w:noWrap/>
            <w:vAlign w:val="center"/>
            <w:hideMark/>
          </w:tcPr>
          <w:p w14:paraId="1E68DC84" w14:textId="62B313A0" w:rsidR="00323E0E" w:rsidRPr="00E43FE4" w:rsidRDefault="00323E0E" w:rsidP="00615B48">
            <w:pPr>
              <w:jc w:val="right"/>
              <w:rPr>
                <w:rFonts w:ascii="Arial" w:hAnsi="Arial" w:cs="Arial"/>
                <w:color w:val="000000"/>
                <w:sz w:val="10"/>
                <w:szCs w:val="10"/>
                <w:lang w:eastAsia="es-AR"/>
              </w:rPr>
            </w:pPr>
          </w:p>
        </w:tc>
        <w:tc>
          <w:tcPr>
            <w:tcW w:w="1276" w:type="dxa"/>
            <w:tcBorders>
              <w:top w:val="nil"/>
              <w:left w:val="nil"/>
              <w:bottom w:val="nil"/>
              <w:right w:val="nil"/>
            </w:tcBorders>
            <w:shd w:val="clear" w:color="auto" w:fill="auto"/>
            <w:noWrap/>
            <w:vAlign w:val="center"/>
            <w:hideMark/>
          </w:tcPr>
          <w:p w14:paraId="37E08134" w14:textId="0B04BB91" w:rsidR="00323E0E" w:rsidRPr="00E43FE4" w:rsidRDefault="00323E0E" w:rsidP="00615B48">
            <w:pPr>
              <w:jc w:val="right"/>
              <w:rPr>
                <w:rFonts w:ascii="Arial" w:hAnsi="Arial" w:cs="Arial"/>
                <w:color w:val="000000"/>
                <w:sz w:val="10"/>
                <w:szCs w:val="10"/>
                <w:lang w:eastAsia="es-AR"/>
              </w:rPr>
            </w:pPr>
          </w:p>
        </w:tc>
      </w:tr>
      <w:tr w:rsidR="00323E0E" w:rsidRPr="00615B48" w14:paraId="6D836B0E" w14:textId="77777777" w:rsidTr="00534414">
        <w:trPr>
          <w:trHeight w:val="285"/>
          <w:jc w:val="center"/>
        </w:trPr>
        <w:tc>
          <w:tcPr>
            <w:tcW w:w="4907" w:type="dxa"/>
            <w:tcBorders>
              <w:top w:val="nil"/>
              <w:left w:val="nil"/>
              <w:bottom w:val="nil"/>
              <w:right w:val="nil"/>
            </w:tcBorders>
            <w:shd w:val="clear" w:color="auto" w:fill="auto"/>
            <w:hideMark/>
          </w:tcPr>
          <w:p w14:paraId="1492F681" w14:textId="77777777" w:rsidR="00323E0E" w:rsidRPr="00615B48" w:rsidRDefault="00323E0E" w:rsidP="00615B48">
            <w:pPr>
              <w:rPr>
                <w:rFonts w:ascii="Arial" w:hAnsi="Arial" w:cs="Arial"/>
                <w:b/>
                <w:bCs/>
                <w:sz w:val="16"/>
                <w:szCs w:val="16"/>
                <w:lang w:eastAsia="es-AR"/>
              </w:rPr>
            </w:pPr>
            <w:r w:rsidRPr="00615B48">
              <w:rPr>
                <w:rFonts w:ascii="Arial" w:hAnsi="Arial" w:cs="Arial"/>
                <w:b/>
                <w:bCs/>
                <w:sz w:val="16"/>
                <w:szCs w:val="16"/>
                <w:lang w:eastAsia="es-AR"/>
              </w:rPr>
              <w:t>PASIVO</w:t>
            </w:r>
          </w:p>
        </w:tc>
        <w:tc>
          <w:tcPr>
            <w:tcW w:w="737" w:type="dxa"/>
            <w:tcBorders>
              <w:top w:val="nil"/>
              <w:left w:val="nil"/>
              <w:bottom w:val="nil"/>
              <w:right w:val="nil"/>
            </w:tcBorders>
            <w:shd w:val="clear" w:color="auto" w:fill="auto"/>
            <w:vAlign w:val="center"/>
            <w:hideMark/>
          </w:tcPr>
          <w:p w14:paraId="6507686F" w14:textId="77777777" w:rsidR="00323E0E" w:rsidRPr="00615B48" w:rsidRDefault="00323E0E" w:rsidP="00826C1B">
            <w:pPr>
              <w:jc w:val="center"/>
              <w:rPr>
                <w:rFonts w:ascii="Arial" w:hAnsi="Arial" w:cs="Arial"/>
                <w:b/>
                <w:bCs/>
                <w:sz w:val="16"/>
                <w:szCs w:val="16"/>
                <w:lang w:eastAsia="es-AR"/>
              </w:rPr>
            </w:pPr>
          </w:p>
        </w:tc>
        <w:tc>
          <w:tcPr>
            <w:tcW w:w="1417" w:type="dxa"/>
            <w:tcBorders>
              <w:top w:val="nil"/>
              <w:left w:val="nil"/>
              <w:bottom w:val="nil"/>
              <w:right w:val="nil"/>
            </w:tcBorders>
            <w:shd w:val="clear" w:color="auto" w:fill="auto"/>
            <w:hideMark/>
          </w:tcPr>
          <w:p w14:paraId="683E65A7" w14:textId="77777777" w:rsidR="00323E0E" w:rsidRPr="00615B48" w:rsidRDefault="00323E0E" w:rsidP="00615B48">
            <w:pPr>
              <w:jc w:val="right"/>
              <w:rPr>
                <w:rFonts w:ascii="Arial" w:hAnsi="Arial" w:cs="Arial"/>
                <w:sz w:val="16"/>
                <w:szCs w:val="16"/>
                <w:lang w:eastAsia="es-AR"/>
              </w:rPr>
            </w:pPr>
          </w:p>
        </w:tc>
        <w:tc>
          <w:tcPr>
            <w:tcW w:w="1276" w:type="dxa"/>
            <w:tcBorders>
              <w:top w:val="nil"/>
              <w:left w:val="nil"/>
              <w:bottom w:val="nil"/>
              <w:right w:val="nil"/>
            </w:tcBorders>
            <w:shd w:val="clear" w:color="auto" w:fill="auto"/>
            <w:hideMark/>
          </w:tcPr>
          <w:p w14:paraId="3CCEB71F" w14:textId="77777777" w:rsidR="00323E0E" w:rsidRPr="00615B48" w:rsidRDefault="00323E0E" w:rsidP="00615B48">
            <w:pPr>
              <w:jc w:val="right"/>
              <w:rPr>
                <w:rFonts w:ascii="Arial" w:hAnsi="Arial" w:cs="Arial"/>
                <w:sz w:val="16"/>
                <w:szCs w:val="16"/>
                <w:lang w:eastAsia="es-AR"/>
              </w:rPr>
            </w:pPr>
          </w:p>
        </w:tc>
      </w:tr>
      <w:tr w:rsidR="001C3DEB" w:rsidRPr="00615B48" w14:paraId="21CABCBB" w14:textId="77777777" w:rsidTr="006E1AF7">
        <w:trPr>
          <w:trHeight w:val="285"/>
          <w:jc w:val="center"/>
        </w:trPr>
        <w:tc>
          <w:tcPr>
            <w:tcW w:w="4907" w:type="dxa"/>
            <w:tcBorders>
              <w:top w:val="nil"/>
              <w:left w:val="nil"/>
              <w:bottom w:val="nil"/>
              <w:right w:val="nil"/>
            </w:tcBorders>
            <w:shd w:val="clear" w:color="auto" w:fill="auto"/>
            <w:vAlign w:val="bottom"/>
            <w:hideMark/>
          </w:tcPr>
          <w:p w14:paraId="65AEE8ED" w14:textId="3CA52264"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Depósitos </w:t>
            </w:r>
            <w:r w:rsidRPr="00615B48">
              <w:rPr>
                <w:rFonts w:ascii="Arial" w:hAnsi="Arial" w:cs="Arial"/>
                <w:b/>
                <w:bCs/>
                <w:sz w:val="16"/>
                <w:szCs w:val="16"/>
                <w:lang w:eastAsia="es-AR"/>
              </w:rPr>
              <w:t>(Anexos H</w:t>
            </w:r>
            <w:r>
              <w:rPr>
                <w:rFonts w:ascii="Arial" w:hAnsi="Arial" w:cs="Arial"/>
                <w:b/>
                <w:bCs/>
                <w:sz w:val="16"/>
                <w:szCs w:val="16"/>
                <w:lang w:eastAsia="es-AR"/>
              </w:rPr>
              <w:t>,</w:t>
            </w:r>
            <w:r w:rsidRPr="00615B48">
              <w:rPr>
                <w:rFonts w:ascii="Arial" w:hAnsi="Arial" w:cs="Arial"/>
                <w:b/>
                <w:bCs/>
                <w:sz w:val="16"/>
                <w:szCs w:val="16"/>
                <w:lang w:eastAsia="es-AR"/>
              </w:rPr>
              <w:t xml:space="preserve"> I</w:t>
            </w:r>
            <w:r>
              <w:rPr>
                <w:rFonts w:ascii="Arial" w:hAnsi="Arial" w:cs="Arial"/>
                <w:b/>
                <w:bCs/>
                <w:sz w:val="16"/>
                <w:szCs w:val="16"/>
                <w:lang w:eastAsia="es-AR"/>
              </w:rPr>
              <w:t xml:space="preserve"> y P</w:t>
            </w:r>
            <w:r w:rsidRPr="00615B48">
              <w:rPr>
                <w:rFonts w:ascii="Arial" w:hAnsi="Arial" w:cs="Arial"/>
                <w:b/>
                <w:bCs/>
                <w:sz w:val="16"/>
                <w:szCs w:val="16"/>
                <w:lang w:eastAsia="es-AR"/>
              </w:rPr>
              <w:t>)</w:t>
            </w:r>
          </w:p>
        </w:tc>
        <w:tc>
          <w:tcPr>
            <w:tcW w:w="737" w:type="dxa"/>
            <w:tcBorders>
              <w:top w:val="nil"/>
              <w:left w:val="nil"/>
              <w:bottom w:val="nil"/>
              <w:right w:val="nil"/>
            </w:tcBorders>
            <w:shd w:val="clear" w:color="auto" w:fill="auto"/>
            <w:vAlign w:val="bottom"/>
            <w:hideMark/>
          </w:tcPr>
          <w:p w14:paraId="022ABB38" w14:textId="1B22610F"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6.9</w:t>
            </w:r>
          </w:p>
        </w:tc>
        <w:tc>
          <w:tcPr>
            <w:tcW w:w="1417" w:type="dxa"/>
            <w:tcBorders>
              <w:top w:val="nil"/>
              <w:left w:val="nil"/>
              <w:bottom w:val="nil"/>
              <w:right w:val="nil"/>
            </w:tcBorders>
            <w:shd w:val="clear" w:color="auto" w:fill="auto"/>
            <w:noWrap/>
            <w:vAlign w:val="bottom"/>
          </w:tcPr>
          <w:p w14:paraId="3C5D1522" w14:textId="0D712E13" w:rsidR="001C3DEB" w:rsidRPr="00E43FE4" w:rsidRDefault="001C3DEB">
            <w:pPr>
              <w:jc w:val="right"/>
              <w:rPr>
                <w:rFonts w:ascii="Arial" w:hAnsi="Arial" w:cs="Arial"/>
                <w:sz w:val="16"/>
                <w:szCs w:val="16"/>
              </w:rPr>
            </w:pPr>
            <w:r>
              <w:rPr>
                <w:rFonts w:ascii="Arial" w:hAnsi="Arial" w:cs="Arial"/>
                <w:sz w:val="16"/>
                <w:szCs w:val="16"/>
              </w:rPr>
              <w:t xml:space="preserve">91.477.466 </w:t>
            </w:r>
          </w:p>
        </w:tc>
        <w:tc>
          <w:tcPr>
            <w:tcW w:w="1276" w:type="dxa"/>
            <w:tcBorders>
              <w:top w:val="nil"/>
              <w:left w:val="nil"/>
              <w:bottom w:val="nil"/>
              <w:right w:val="nil"/>
            </w:tcBorders>
            <w:shd w:val="clear" w:color="auto" w:fill="auto"/>
            <w:noWrap/>
            <w:vAlign w:val="bottom"/>
          </w:tcPr>
          <w:p w14:paraId="5A007F43" w14:textId="422AFDFC"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95.666.471</w:t>
            </w:r>
          </w:p>
        </w:tc>
      </w:tr>
      <w:tr w:rsidR="001C3DEB" w:rsidRPr="00615B48" w14:paraId="412DB14D" w14:textId="77777777" w:rsidTr="006E1AF7">
        <w:trPr>
          <w:trHeight w:val="285"/>
          <w:jc w:val="center"/>
        </w:trPr>
        <w:tc>
          <w:tcPr>
            <w:tcW w:w="4907" w:type="dxa"/>
            <w:tcBorders>
              <w:top w:val="nil"/>
              <w:left w:val="nil"/>
              <w:bottom w:val="nil"/>
              <w:right w:val="nil"/>
            </w:tcBorders>
            <w:shd w:val="clear" w:color="auto" w:fill="auto"/>
            <w:vAlign w:val="bottom"/>
            <w:hideMark/>
          </w:tcPr>
          <w:p w14:paraId="79B70A0D"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Sector Público no Financiero</w:t>
            </w:r>
          </w:p>
        </w:tc>
        <w:tc>
          <w:tcPr>
            <w:tcW w:w="737" w:type="dxa"/>
            <w:tcBorders>
              <w:top w:val="nil"/>
              <w:left w:val="nil"/>
              <w:bottom w:val="nil"/>
              <w:right w:val="nil"/>
            </w:tcBorders>
            <w:shd w:val="clear" w:color="auto" w:fill="auto"/>
            <w:vAlign w:val="bottom"/>
            <w:hideMark/>
          </w:tcPr>
          <w:p w14:paraId="7E0996CB" w14:textId="77777777" w:rsidR="001C3DEB" w:rsidRPr="00917B3D" w:rsidRDefault="001C3DEB" w:rsidP="001C3DEB">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50EAF689" w14:textId="4A0151D0" w:rsidR="001C3DEB" w:rsidRPr="00E43FE4" w:rsidRDefault="001C3DEB">
            <w:pPr>
              <w:jc w:val="right"/>
              <w:rPr>
                <w:rFonts w:ascii="Arial" w:hAnsi="Arial" w:cs="Arial"/>
                <w:sz w:val="16"/>
                <w:szCs w:val="16"/>
              </w:rPr>
            </w:pPr>
            <w:r>
              <w:rPr>
                <w:rFonts w:ascii="Arial" w:hAnsi="Arial" w:cs="Arial"/>
                <w:sz w:val="16"/>
                <w:szCs w:val="16"/>
              </w:rPr>
              <w:t xml:space="preserve">5.470.177 </w:t>
            </w:r>
          </w:p>
        </w:tc>
        <w:tc>
          <w:tcPr>
            <w:tcW w:w="1276" w:type="dxa"/>
            <w:tcBorders>
              <w:top w:val="nil"/>
              <w:left w:val="nil"/>
              <w:bottom w:val="nil"/>
              <w:right w:val="nil"/>
            </w:tcBorders>
            <w:shd w:val="clear" w:color="auto" w:fill="auto"/>
            <w:noWrap/>
            <w:vAlign w:val="bottom"/>
          </w:tcPr>
          <w:p w14:paraId="6100CB4C" w14:textId="732FFB54"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11.105.477</w:t>
            </w:r>
          </w:p>
        </w:tc>
      </w:tr>
      <w:tr w:rsidR="001C3DEB" w:rsidRPr="00615B48" w14:paraId="336D30E7" w14:textId="77777777" w:rsidTr="006E1AF7">
        <w:trPr>
          <w:trHeight w:val="285"/>
          <w:jc w:val="center"/>
        </w:trPr>
        <w:tc>
          <w:tcPr>
            <w:tcW w:w="4907" w:type="dxa"/>
            <w:tcBorders>
              <w:top w:val="nil"/>
              <w:left w:val="nil"/>
              <w:bottom w:val="nil"/>
              <w:right w:val="nil"/>
            </w:tcBorders>
            <w:shd w:val="clear" w:color="auto" w:fill="auto"/>
            <w:vAlign w:val="bottom"/>
            <w:hideMark/>
          </w:tcPr>
          <w:p w14:paraId="10F7B95B"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Sector Financiero</w:t>
            </w:r>
          </w:p>
        </w:tc>
        <w:tc>
          <w:tcPr>
            <w:tcW w:w="737" w:type="dxa"/>
            <w:tcBorders>
              <w:top w:val="nil"/>
              <w:left w:val="nil"/>
              <w:bottom w:val="nil"/>
              <w:right w:val="nil"/>
            </w:tcBorders>
            <w:shd w:val="clear" w:color="auto" w:fill="auto"/>
            <w:vAlign w:val="bottom"/>
            <w:hideMark/>
          </w:tcPr>
          <w:p w14:paraId="0A8E9E7F" w14:textId="77777777" w:rsidR="001C3DEB" w:rsidRPr="00917B3D" w:rsidRDefault="001C3DEB" w:rsidP="001C3DEB">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1C6317B9" w14:textId="2FAC7A45" w:rsidR="001C3DEB" w:rsidRPr="00E43FE4" w:rsidRDefault="001C3DEB">
            <w:pPr>
              <w:jc w:val="right"/>
              <w:rPr>
                <w:rFonts w:ascii="Arial" w:hAnsi="Arial" w:cs="Arial"/>
                <w:sz w:val="16"/>
                <w:szCs w:val="16"/>
              </w:rPr>
            </w:pPr>
            <w:r>
              <w:rPr>
                <w:rFonts w:ascii="Arial" w:hAnsi="Arial" w:cs="Arial"/>
                <w:sz w:val="16"/>
                <w:szCs w:val="16"/>
              </w:rPr>
              <w:t xml:space="preserve">28.098 </w:t>
            </w:r>
          </w:p>
        </w:tc>
        <w:tc>
          <w:tcPr>
            <w:tcW w:w="1276" w:type="dxa"/>
            <w:tcBorders>
              <w:top w:val="nil"/>
              <w:left w:val="nil"/>
              <w:bottom w:val="nil"/>
              <w:right w:val="nil"/>
            </w:tcBorders>
            <w:shd w:val="clear" w:color="auto" w:fill="auto"/>
            <w:noWrap/>
            <w:vAlign w:val="bottom"/>
          </w:tcPr>
          <w:p w14:paraId="2091E6C8" w14:textId="5ED061A6"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25.236</w:t>
            </w:r>
          </w:p>
        </w:tc>
      </w:tr>
      <w:tr w:rsidR="001C3DEB" w:rsidRPr="00615B48" w14:paraId="0C3D27FE" w14:textId="77777777" w:rsidTr="006E1AF7">
        <w:trPr>
          <w:trHeight w:val="285"/>
          <w:jc w:val="center"/>
        </w:trPr>
        <w:tc>
          <w:tcPr>
            <w:tcW w:w="4907" w:type="dxa"/>
            <w:tcBorders>
              <w:top w:val="nil"/>
              <w:left w:val="nil"/>
              <w:bottom w:val="nil"/>
              <w:right w:val="nil"/>
            </w:tcBorders>
            <w:shd w:val="clear" w:color="auto" w:fill="auto"/>
            <w:vAlign w:val="bottom"/>
            <w:hideMark/>
          </w:tcPr>
          <w:p w14:paraId="7EF9DE2A"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Sector Privado no Financiero y Residentes en el exterior</w:t>
            </w:r>
          </w:p>
        </w:tc>
        <w:tc>
          <w:tcPr>
            <w:tcW w:w="737" w:type="dxa"/>
            <w:tcBorders>
              <w:top w:val="nil"/>
              <w:left w:val="nil"/>
              <w:bottom w:val="nil"/>
              <w:right w:val="nil"/>
            </w:tcBorders>
            <w:shd w:val="clear" w:color="auto" w:fill="auto"/>
            <w:vAlign w:val="bottom"/>
            <w:hideMark/>
          </w:tcPr>
          <w:p w14:paraId="52CCDFB4" w14:textId="77777777" w:rsidR="001C3DEB" w:rsidRPr="00917B3D" w:rsidRDefault="001C3DEB" w:rsidP="001C3DEB">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18AECC58" w14:textId="06DB7D84" w:rsidR="001C3DEB" w:rsidRPr="00E43FE4" w:rsidRDefault="001C3DEB">
            <w:pPr>
              <w:jc w:val="right"/>
              <w:rPr>
                <w:rFonts w:ascii="Arial" w:hAnsi="Arial" w:cs="Arial"/>
                <w:sz w:val="16"/>
                <w:szCs w:val="16"/>
              </w:rPr>
            </w:pPr>
            <w:r>
              <w:rPr>
                <w:rFonts w:ascii="Arial" w:hAnsi="Arial" w:cs="Arial"/>
                <w:sz w:val="16"/>
                <w:szCs w:val="16"/>
              </w:rPr>
              <w:t xml:space="preserve">85.979.191 </w:t>
            </w:r>
          </w:p>
        </w:tc>
        <w:tc>
          <w:tcPr>
            <w:tcW w:w="1276" w:type="dxa"/>
            <w:tcBorders>
              <w:top w:val="nil"/>
              <w:left w:val="nil"/>
              <w:bottom w:val="nil"/>
              <w:right w:val="nil"/>
            </w:tcBorders>
            <w:shd w:val="clear" w:color="auto" w:fill="auto"/>
            <w:noWrap/>
            <w:vAlign w:val="bottom"/>
          </w:tcPr>
          <w:p w14:paraId="04E1F82E" w14:textId="55E23214"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84.535.758</w:t>
            </w:r>
          </w:p>
        </w:tc>
      </w:tr>
      <w:tr w:rsidR="001C3DEB" w:rsidRPr="00615B48" w14:paraId="112388BC" w14:textId="77777777" w:rsidTr="006E1AF7">
        <w:trPr>
          <w:trHeight w:val="287"/>
          <w:jc w:val="center"/>
        </w:trPr>
        <w:tc>
          <w:tcPr>
            <w:tcW w:w="4907" w:type="dxa"/>
            <w:tcBorders>
              <w:top w:val="nil"/>
              <w:left w:val="nil"/>
              <w:bottom w:val="nil"/>
              <w:right w:val="nil"/>
            </w:tcBorders>
            <w:shd w:val="clear" w:color="auto" w:fill="auto"/>
            <w:vAlign w:val="bottom"/>
            <w:hideMark/>
          </w:tcPr>
          <w:p w14:paraId="2133E529" w14:textId="262528E7" w:rsidR="001C3DEB" w:rsidRPr="00615B48" w:rsidRDefault="001C3DEB" w:rsidP="001C3DEB">
            <w:pPr>
              <w:rPr>
                <w:rFonts w:ascii="Arial" w:hAnsi="Arial" w:cs="Arial"/>
                <w:sz w:val="16"/>
                <w:szCs w:val="16"/>
                <w:lang w:eastAsia="es-AR"/>
              </w:rPr>
            </w:pPr>
            <w:bookmarkStart w:id="1" w:name="OLE_LINK4"/>
            <w:r w:rsidRPr="00615B48">
              <w:rPr>
                <w:rFonts w:ascii="Arial" w:hAnsi="Arial" w:cs="Arial"/>
                <w:sz w:val="16"/>
                <w:szCs w:val="16"/>
                <w:lang w:eastAsia="es-AR"/>
              </w:rPr>
              <w:t xml:space="preserve">Pasivos a valor razonable con cambios en resultados </w:t>
            </w:r>
            <w:bookmarkEnd w:id="1"/>
            <w:r w:rsidRPr="007D7797">
              <w:rPr>
                <w:rFonts w:ascii="Arial" w:hAnsi="Arial" w:cs="Arial"/>
                <w:b/>
                <w:sz w:val="16"/>
                <w:szCs w:val="16"/>
                <w:lang w:eastAsia="es-AR"/>
              </w:rPr>
              <w:t>(Anexo P)</w:t>
            </w:r>
          </w:p>
        </w:tc>
        <w:tc>
          <w:tcPr>
            <w:tcW w:w="737" w:type="dxa"/>
            <w:tcBorders>
              <w:top w:val="nil"/>
              <w:left w:val="nil"/>
              <w:bottom w:val="nil"/>
              <w:right w:val="nil"/>
            </w:tcBorders>
            <w:shd w:val="clear" w:color="auto" w:fill="auto"/>
            <w:vAlign w:val="bottom"/>
          </w:tcPr>
          <w:p w14:paraId="5EEB1DF9" w14:textId="66209571"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5, 6.10</w:t>
            </w:r>
          </w:p>
        </w:tc>
        <w:tc>
          <w:tcPr>
            <w:tcW w:w="1417" w:type="dxa"/>
            <w:tcBorders>
              <w:top w:val="nil"/>
              <w:left w:val="nil"/>
              <w:bottom w:val="nil"/>
              <w:right w:val="nil"/>
            </w:tcBorders>
            <w:shd w:val="clear" w:color="auto" w:fill="auto"/>
            <w:noWrap/>
            <w:vAlign w:val="bottom"/>
          </w:tcPr>
          <w:p w14:paraId="7CE9CF9E" w14:textId="6FA3B485" w:rsidR="001C3DEB" w:rsidRPr="00E43FE4" w:rsidRDefault="001C3DEB">
            <w:pPr>
              <w:jc w:val="right"/>
              <w:rPr>
                <w:rFonts w:ascii="Arial" w:hAnsi="Arial" w:cs="Arial"/>
                <w:sz w:val="16"/>
                <w:szCs w:val="16"/>
              </w:rPr>
            </w:pPr>
            <w:r>
              <w:rPr>
                <w:rFonts w:ascii="Arial" w:hAnsi="Arial" w:cs="Arial"/>
                <w:sz w:val="16"/>
                <w:szCs w:val="16"/>
              </w:rPr>
              <w:t xml:space="preserve">189.554 </w:t>
            </w:r>
          </w:p>
        </w:tc>
        <w:tc>
          <w:tcPr>
            <w:tcW w:w="1276" w:type="dxa"/>
            <w:tcBorders>
              <w:top w:val="nil"/>
              <w:left w:val="nil"/>
              <w:bottom w:val="nil"/>
              <w:right w:val="nil"/>
            </w:tcBorders>
            <w:shd w:val="clear" w:color="auto" w:fill="auto"/>
            <w:noWrap/>
            <w:vAlign w:val="bottom"/>
          </w:tcPr>
          <w:p w14:paraId="30CECB66" w14:textId="551DFFD0"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1.097.033</w:t>
            </w:r>
          </w:p>
        </w:tc>
      </w:tr>
      <w:tr w:rsidR="001C3DEB" w:rsidRPr="00615B48" w14:paraId="7A7FEC7D" w14:textId="77777777" w:rsidTr="006E1AF7">
        <w:trPr>
          <w:trHeight w:val="285"/>
          <w:jc w:val="center"/>
        </w:trPr>
        <w:tc>
          <w:tcPr>
            <w:tcW w:w="4907" w:type="dxa"/>
            <w:tcBorders>
              <w:top w:val="nil"/>
              <w:left w:val="nil"/>
              <w:bottom w:val="nil"/>
              <w:right w:val="nil"/>
            </w:tcBorders>
            <w:shd w:val="clear" w:color="auto" w:fill="auto"/>
            <w:vAlign w:val="bottom"/>
            <w:hideMark/>
          </w:tcPr>
          <w:p w14:paraId="1B41453A" w14:textId="77777777"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Instrumentos derivados</w:t>
            </w:r>
          </w:p>
        </w:tc>
        <w:tc>
          <w:tcPr>
            <w:tcW w:w="737" w:type="dxa"/>
            <w:tcBorders>
              <w:top w:val="nil"/>
              <w:left w:val="nil"/>
              <w:bottom w:val="nil"/>
              <w:right w:val="nil"/>
            </w:tcBorders>
            <w:shd w:val="clear" w:color="auto" w:fill="auto"/>
            <w:vAlign w:val="bottom"/>
          </w:tcPr>
          <w:p w14:paraId="32098D00" w14:textId="6C64D3F5"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6.2</w:t>
            </w:r>
          </w:p>
        </w:tc>
        <w:tc>
          <w:tcPr>
            <w:tcW w:w="1417" w:type="dxa"/>
            <w:tcBorders>
              <w:top w:val="nil"/>
              <w:left w:val="nil"/>
              <w:bottom w:val="nil"/>
              <w:right w:val="nil"/>
            </w:tcBorders>
            <w:shd w:val="clear" w:color="auto" w:fill="auto"/>
            <w:noWrap/>
            <w:vAlign w:val="bottom"/>
          </w:tcPr>
          <w:p w14:paraId="3373050E" w14:textId="765145C7" w:rsidR="001C3DEB" w:rsidRPr="00E43FE4" w:rsidRDefault="001C3DEB">
            <w:pPr>
              <w:jc w:val="right"/>
              <w:rPr>
                <w:rFonts w:ascii="Arial" w:hAnsi="Arial" w:cs="Arial"/>
                <w:sz w:val="16"/>
                <w:szCs w:val="16"/>
              </w:rPr>
            </w:pPr>
            <w:r>
              <w:rPr>
                <w:rFonts w:ascii="Arial" w:hAnsi="Arial" w:cs="Arial"/>
                <w:sz w:val="16"/>
                <w:szCs w:val="16"/>
              </w:rPr>
              <w:t xml:space="preserve">- </w:t>
            </w:r>
          </w:p>
        </w:tc>
        <w:tc>
          <w:tcPr>
            <w:tcW w:w="1276" w:type="dxa"/>
            <w:tcBorders>
              <w:top w:val="nil"/>
              <w:left w:val="nil"/>
              <w:bottom w:val="nil"/>
              <w:right w:val="nil"/>
            </w:tcBorders>
            <w:shd w:val="clear" w:color="auto" w:fill="auto"/>
            <w:noWrap/>
            <w:vAlign w:val="bottom"/>
          </w:tcPr>
          <w:p w14:paraId="5E95AB92" w14:textId="5A3E4E86"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94.222</w:t>
            </w:r>
          </w:p>
        </w:tc>
      </w:tr>
      <w:tr w:rsidR="001C3DEB" w:rsidRPr="00615B48" w14:paraId="30A10F8D" w14:textId="77777777" w:rsidTr="006E1AF7">
        <w:trPr>
          <w:trHeight w:val="285"/>
          <w:jc w:val="center"/>
        </w:trPr>
        <w:tc>
          <w:tcPr>
            <w:tcW w:w="4907" w:type="dxa"/>
            <w:tcBorders>
              <w:top w:val="nil"/>
              <w:left w:val="nil"/>
              <w:bottom w:val="nil"/>
              <w:right w:val="nil"/>
            </w:tcBorders>
            <w:shd w:val="clear" w:color="auto" w:fill="auto"/>
            <w:vAlign w:val="bottom"/>
            <w:hideMark/>
          </w:tcPr>
          <w:p w14:paraId="18A06555" w14:textId="7A9EDFD6"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Operaciones de pase </w:t>
            </w:r>
            <w:r w:rsidRPr="007D7797">
              <w:rPr>
                <w:rFonts w:ascii="Arial" w:hAnsi="Arial" w:cs="Arial"/>
                <w:b/>
                <w:sz w:val="16"/>
                <w:szCs w:val="16"/>
                <w:lang w:eastAsia="es-AR"/>
              </w:rPr>
              <w:t>(Anexo P)</w:t>
            </w:r>
          </w:p>
        </w:tc>
        <w:tc>
          <w:tcPr>
            <w:tcW w:w="737" w:type="dxa"/>
            <w:tcBorders>
              <w:top w:val="nil"/>
              <w:left w:val="nil"/>
              <w:bottom w:val="nil"/>
              <w:right w:val="nil"/>
            </w:tcBorders>
            <w:shd w:val="clear" w:color="auto" w:fill="auto"/>
            <w:vAlign w:val="bottom"/>
          </w:tcPr>
          <w:p w14:paraId="5C5C3356" w14:textId="208E229A"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6.11</w:t>
            </w:r>
          </w:p>
        </w:tc>
        <w:tc>
          <w:tcPr>
            <w:tcW w:w="1417" w:type="dxa"/>
            <w:tcBorders>
              <w:top w:val="nil"/>
              <w:left w:val="nil"/>
              <w:bottom w:val="nil"/>
              <w:right w:val="nil"/>
            </w:tcBorders>
            <w:shd w:val="clear" w:color="auto" w:fill="auto"/>
            <w:noWrap/>
            <w:vAlign w:val="bottom"/>
          </w:tcPr>
          <w:p w14:paraId="582A52B1" w14:textId="26EEE00D" w:rsidR="001C3DEB" w:rsidRPr="00E43FE4" w:rsidRDefault="001C3DEB">
            <w:pPr>
              <w:jc w:val="right"/>
              <w:rPr>
                <w:rFonts w:ascii="Arial" w:hAnsi="Arial" w:cs="Arial"/>
                <w:sz w:val="16"/>
                <w:szCs w:val="16"/>
              </w:rPr>
            </w:pPr>
            <w:r>
              <w:rPr>
                <w:rFonts w:ascii="Arial" w:hAnsi="Arial" w:cs="Arial"/>
                <w:sz w:val="16"/>
                <w:szCs w:val="16"/>
              </w:rPr>
              <w:t xml:space="preserve">319.817 </w:t>
            </w:r>
          </w:p>
        </w:tc>
        <w:tc>
          <w:tcPr>
            <w:tcW w:w="1276" w:type="dxa"/>
            <w:tcBorders>
              <w:top w:val="nil"/>
              <w:left w:val="nil"/>
              <w:bottom w:val="nil"/>
              <w:right w:val="nil"/>
            </w:tcBorders>
            <w:shd w:val="clear" w:color="auto" w:fill="auto"/>
            <w:noWrap/>
            <w:vAlign w:val="bottom"/>
          </w:tcPr>
          <w:p w14:paraId="6AB33214" w14:textId="5FE9090C"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w:t>
            </w:r>
          </w:p>
        </w:tc>
      </w:tr>
      <w:tr w:rsidR="001C3DEB" w:rsidRPr="00615B48" w14:paraId="15A80E8B" w14:textId="77777777" w:rsidTr="006E1AF7">
        <w:trPr>
          <w:trHeight w:val="285"/>
          <w:jc w:val="center"/>
        </w:trPr>
        <w:tc>
          <w:tcPr>
            <w:tcW w:w="4907" w:type="dxa"/>
            <w:tcBorders>
              <w:top w:val="nil"/>
              <w:left w:val="nil"/>
              <w:bottom w:val="nil"/>
              <w:right w:val="nil"/>
            </w:tcBorders>
            <w:shd w:val="clear" w:color="auto" w:fill="auto"/>
            <w:vAlign w:val="bottom"/>
            <w:hideMark/>
          </w:tcPr>
          <w:p w14:paraId="2DDE63DF" w14:textId="3BFDFE3E"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Otros pasivos financieros </w:t>
            </w:r>
            <w:r w:rsidRPr="007D7797">
              <w:rPr>
                <w:rFonts w:ascii="Arial" w:hAnsi="Arial" w:cs="Arial"/>
                <w:b/>
                <w:sz w:val="16"/>
                <w:szCs w:val="16"/>
                <w:lang w:eastAsia="es-AR"/>
              </w:rPr>
              <w:t>(Anexo P)</w:t>
            </w:r>
          </w:p>
        </w:tc>
        <w:tc>
          <w:tcPr>
            <w:tcW w:w="737" w:type="dxa"/>
            <w:tcBorders>
              <w:top w:val="nil"/>
              <w:left w:val="nil"/>
              <w:bottom w:val="nil"/>
              <w:right w:val="nil"/>
            </w:tcBorders>
            <w:shd w:val="clear" w:color="auto" w:fill="auto"/>
            <w:vAlign w:val="bottom"/>
          </w:tcPr>
          <w:p w14:paraId="47AA3F13" w14:textId="4CACF013"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6.12</w:t>
            </w:r>
          </w:p>
        </w:tc>
        <w:tc>
          <w:tcPr>
            <w:tcW w:w="1417" w:type="dxa"/>
            <w:tcBorders>
              <w:top w:val="nil"/>
              <w:left w:val="nil"/>
              <w:bottom w:val="nil"/>
              <w:right w:val="nil"/>
            </w:tcBorders>
            <w:shd w:val="clear" w:color="auto" w:fill="auto"/>
            <w:noWrap/>
            <w:vAlign w:val="bottom"/>
          </w:tcPr>
          <w:p w14:paraId="6942864E" w14:textId="351616D5" w:rsidR="001C3DEB" w:rsidRPr="00E43FE4" w:rsidRDefault="001C3DEB">
            <w:pPr>
              <w:jc w:val="right"/>
              <w:rPr>
                <w:rFonts w:ascii="Arial" w:hAnsi="Arial" w:cs="Arial"/>
                <w:sz w:val="16"/>
                <w:szCs w:val="16"/>
              </w:rPr>
            </w:pPr>
            <w:r>
              <w:rPr>
                <w:rFonts w:ascii="Arial" w:hAnsi="Arial" w:cs="Arial"/>
                <w:sz w:val="16"/>
                <w:szCs w:val="16"/>
              </w:rPr>
              <w:t xml:space="preserve">6.918.551 </w:t>
            </w:r>
          </w:p>
        </w:tc>
        <w:tc>
          <w:tcPr>
            <w:tcW w:w="1276" w:type="dxa"/>
            <w:tcBorders>
              <w:top w:val="nil"/>
              <w:left w:val="nil"/>
              <w:bottom w:val="nil"/>
              <w:right w:val="nil"/>
            </w:tcBorders>
            <w:shd w:val="clear" w:color="auto" w:fill="auto"/>
            <w:noWrap/>
            <w:vAlign w:val="bottom"/>
          </w:tcPr>
          <w:p w14:paraId="38274656" w14:textId="0A45E38D"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3.369.523</w:t>
            </w:r>
          </w:p>
        </w:tc>
      </w:tr>
      <w:tr w:rsidR="001C3DEB" w:rsidRPr="00615B48" w14:paraId="3B9C228E" w14:textId="77777777" w:rsidTr="006E1AF7">
        <w:trPr>
          <w:trHeight w:val="351"/>
          <w:jc w:val="center"/>
        </w:trPr>
        <w:tc>
          <w:tcPr>
            <w:tcW w:w="4907" w:type="dxa"/>
            <w:tcBorders>
              <w:top w:val="nil"/>
              <w:left w:val="nil"/>
              <w:bottom w:val="nil"/>
              <w:right w:val="nil"/>
            </w:tcBorders>
            <w:shd w:val="clear" w:color="auto" w:fill="auto"/>
            <w:vAlign w:val="bottom"/>
            <w:hideMark/>
          </w:tcPr>
          <w:p w14:paraId="6B42B2CD" w14:textId="36A3C6E4"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Financiaciones recibidas del BCRA y otras instituciones financieras </w:t>
            </w:r>
            <w:r w:rsidRPr="007D7797">
              <w:rPr>
                <w:rFonts w:ascii="Arial" w:hAnsi="Arial" w:cs="Arial"/>
                <w:b/>
                <w:sz w:val="16"/>
                <w:szCs w:val="16"/>
                <w:lang w:eastAsia="es-AR"/>
              </w:rPr>
              <w:t>(Anexo P)</w:t>
            </w:r>
          </w:p>
        </w:tc>
        <w:tc>
          <w:tcPr>
            <w:tcW w:w="737" w:type="dxa"/>
            <w:tcBorders>
              <w:top w:val="nil"/>
              <w:left w:val="nil"/>
              <w:bottom w:val="nil"/>
              <w:right w:val="nil"/>
            </w:tcBorders>
            <w:shd w:val="clear" w:color="auto" w:fill="auto"/>
            <w:vAlign w:val="bottom"/>
          </w:tcPr>
          <w:p w14:paraId="78D2472C" w14:textId="247CD2D8"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6.13</w:t>
            </w:r>
          </w:p>
        </w:tc>
        <w:tc>
          <w:tcPr>
            <w:tcW w:w="1417" w:type="dxa"/>
            <w:tcBorders>
              <w:top w:val="nil"/>
              <w:left w:val="nil"/>
              <w:bottom w:val="nil"/>
              <w:right w:val="nil"/>
            </w:tcBorders>
            <w:shd w:val="clear" w:color="auto" w:fill="auto"/>
            <w:noWrap/>
            <w:vAlign w:val="bottom"/>
          </w:tcPr>
          <w:p w14:paraId="360167FC" w14:textId="2B76C77E" w:rsidR="001C3DEB" w:rsidRPr="00E43FE4" w:rsidRDefault="001C3DEB">
            <w:pPr>
              <w:jc w:val="right"/>
              <w:rPr>
                <w:rFonts w:ascii="Arial" w:hAnsi="Arial" w:cs="Arial"/>
                <w:sz w:val="16"/>
                <w:szCs w:val="16"/>
              </w:rPr>
            </w:pPr>
            <w:r>
              <w:rPr>
                <w:rFonts w:ascii="Arial" w:hAnsi="Arial" w:cs="Arial"/>
                <w:sz w:val="16"/>
                <w:szCs w:val="16"/>
              </w:rPr>
              <w:t xml:space="preserve">9.014.608 </w:t>
            </w:r>
          </w:p>
        </w:tc>
        <w:tc>
          <w:tcPr>
            <w:tcW w:w="1276" w:type="dxa"/>
            <w:tcBorders>
              <w:top w:val="nil"/>
              <w:left w:val="nil"/>
              <w:bottom w:val="nil"/>
              <w:right w:val="nil"/>
            </w:tcBorders>
            <w:shd w:val="clear" w:color="auto" w:fill="auto"/>
            <w:noWrap/>
            <w:vAlign w:val="bottom"/>
          </w:tcPr>
          <w:p w14:paraId="6EFEF1E8" w14:textId="6140557D"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8.016.105</w:t>
            </w:r>
          </w:p>
        </w:tc>
      </w:tr>
      <w:tr w:rsidR="001C3DEB" w:rsidRPr="00615B48" w14:paraId="2DCF619D" w14:textId="77777777" w:rsidTr="006E1AF7">
        <w:trPr>
          <w:trHeight w:val="285"/>
          <w:jc w:val="center"/>
        </w:trPr>
        <w:tc>
          <w:tcPr>
            <w:tcW w:w="4907" w:type="dxa"/>
            <w:tcBorders>
              <w:top w:val="nil"/>
              <w:left w:val="nil"/>
              <w:bottom w:val="nil"/>
              <w:right w:val="nil"/>
            </w:tcBorders>
            <w:shd w:val="clear" w:color="auto" w:fill="auto"/>
            <w:vAlign w:val="bottom"/>
            <w:hideMark/>
          </w:tcPr>
          <w:p w14:paraId="6FE68071" w14:textId="4411DD76"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Obligaciones negociables emitidas </w:t>
            </w:r>
            <w:r w:rsidRPr="007D7797">
              <w:rPr>
                <w:rFonts w:ascii="Arial" w:hAnsi="Arial" w:cs="Arial"/>
                <w:b/>
                <w:sz w:val="16"/>
                <w:szCs w:val="16"/>
                <w:lang w:eastAsia="es-AR"/>
              </w:rPr>
              <w:t>(Anexo P)</w:t>
            </w:r>
          </w:p>
        </w:tc>
        <w:tc>
          <w:tcPr>
            <w:tcW w:w="737" w:type="dxa"/>
            <w:tcBorders>
              <w:top w:val="nil"/>
              <w:left w:val="nil"/>
              <w:bottom w:val="nil"/>
              <w:right w:val="nil"/>
            </w:tcBorders>
            <w:shd w:val="clear" w:color="auto" w:fill="auto"/>
            <w:noWrap/>
            <w:vAlign w:val="bottom"/>
          </w:tcPr>
          <w:p w14:paraId="78DA6D9A" w14:textId="175AD410"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14</w:t>
            </w:r>
            <w:r w:rsidRPr="00917B3D">
              <w:rPr>
                <w:rFonts w:ascii="Arial" w:hAnsi="Arial" w:cs="Arial"/>
                <w:sz w:val="16"/>
                <w:szCs w:val="16"/>
                <w:lang w:eastAsia="es-AR"/>
              </w:rPr>
              <w:t>.8</w:t>
            </w:r>
          </w:p>
        </w:tc>
        <w:tc>
          <w:tcPr>
            <w:tcW w:w="1417" w:type="dxa"/>
            <w:tcBorders>
              <w:top w:val="nil"/>
              <w:left w:val="nil"/>
              <w:bottom w:val="nil"/>
              <w:right w:val="nil"/>
            </w:tcBorders>
            <w:shd w:val="clear" w:color="auto" w:fill="auto"/>
            <w:noWrap/>
            <w:vAlign w:val="bottom"/>
          </w:tcPr>
          <w:p w14:paraId="6EABA534" w14:textId="06CFE5A6" w:rsidR="001C3DEB" w:rsidRPr="00E43FE4" w:rsidRDefault="001C3DEB">
            <w:pPr>
              <w:jc w:val="right"/>
              <w:rPr>
                <w:rFonts w:ascii="Arial" w:hAnsi="Arial" w:cs="Arial"/>
                <w:sz w:val="16"/>
                <w:szCs w:val="16"/>
              </w:rPr>
            </w:pPr>
            <w:r>
              <w:rPr>
                <w:rFonts w:ascii="Arial" w:hAnsi="Arial" w:cs="Arial"/>
                <w:sz w:val="16"/>
                <w:szCs w:val="16"/>
              </w:rPr>
              <w:t xml:space="preserve">6.070.917 </w:t>
            </w:r>
          </w:p>
        </w:tc>
        <w:tc>
          <w:tcPr>
            <w:tcW w:w="1276" w:type="dxa"/>
            <w:tcBorders>
              <w:top w:val="nil"/>
              <w:left w:val="nil"/>
              <w:bottom w:val="nil"/>
              <w:right w:val="nil"/>
            </w:tcBorders>
            <w:shd w:val="clear" w:color="auto" w:fill="auto"/>
            <w:noWrap/>
            <w:vAlign w:val="bottom"/>
          </w:tcPr>
          <w:p w14:paraId="49EDAA42" w14:textId="7FCDDEC2"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9.228.033</w:t>
            </w:r>
          </w:p>
        </w:tc>
      </w:tr>
      <w:tr w:rsidR="001C3DEB" w:rsidRPr="00615B48" w14:paraId="744C588E" w14:textId="77777777" w:rsidTr="006E1AF7">
        <w:trPr>
          <w:trHeight w:val="285"/>
          <w:jc w:val="center"/>
        </w:trPr>
        <w:tc>
          <w:tcPr>
            <w:tcW w:w="4907" w:type="dxa"/>
            <w:tcBorders>
              <w:top w:val="nil"/>
              <w:left w:val="nil"/>
              <w:bottom w:val="nil"/>
              <w:right w:val="nil"/>
            </w:tcBorders>
            <w:shd w:val="clear" w:color="auto" w:fill="auto"/>
            <w:vAlign w:val="bottom"/>
            <w:hideMark/>
          </w:tcPr>
          <w:p w14:paraId="07E081B4" w14:textId="77777777"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Pasivo por impuestos a las ganancias corriente</w:t>
            </w:r>
          </w:p>
        </w:tc>
        <w:tc>
          <w:tcPr>
            <w:tcW w:w="737" w:type="dxa"/>
            <w:tcBorders>
              <w:top w:val="nil"/>
              <w:left w:val="nil"/>
              <w:bottom w:val="nil"/>
              <w:right w:val="nil"/>
            </w:tcBorders>
            <w:shd w:val="clear" w:color="auto" w:fill="auto"/>
            <w:vAlign w:val="bottom"/>
          </w:tcPr>
          <w:p w14:paraId="4ADC9CAC" w14:textId="00DD9E3E" w:rsidR="001C3DEB" w:rsidRPr="00917B3D" w:rsidRDefault="00930D11" w:rsidP="001C3DEB">
            <w:pPr>
              <w:jc w:val="center"/>
              <w:rPr>
                <w:rFonts w:ascii="Arial" w:hAnsi="Arial" w:cs="Arial"/>
                <w:sz w:val="16"/>
                <w:szCs w:val="16"/>
                <w:lang w:eastAsia="es-AR"/>
              </w:rPr>
            </w:pPr>
            <w:r>
              <w:rPr>
                <w:rFonts w:ascii="Arial" w:hAnsi="Arial" w:cs="Arial"/>
                <w:sz w:val="16"/>
                <w:szCs w:val="16"/>
                <w:lang w:eastAsia="es-AR"/>
              </w:rPr>
              <w:t>4</w:t>
            </w:r>
          </w:p>
        </w:tc>
        <w:tc>
          <w:tcPr>
            <w:tcW w:w="1417" w:type="dxa"/>
            <w:tcBorders>
              <w:top w:val="nil"/>
              <w:left w:val="nil"/>
              <w:bottom w:val="nil"/>
              <w:right w:val="nil"/>
            </w:tcBorders>
            <w:shd w:val="clear" w:color="auto" w:fill="auto"/>
            <w:noWrap/>
            <w:vAlign w:val="bottom"/>
          </w:tcPr>
          <w:p w14:paraId="0C735ADD" w14:textId="70A9BF9C" w:rsidR="001C3DEB" w:rsidRPr="00E43FE4" w:rsidRDefault="001C3DEB">
            <w:pPr>
              <w:jc w:val="right"/>
              <w:rPr>
                <w:rFonts w:ascii="Arial" w:hAnsi="Arial" w:cs="Arial"/>
                <w:sz w:val="16"/>
                <w:szCs w:val="16"/>
              </w:rPr>
            </w:pPr>
            <w:r>
              <w:rPr>
                <w:rFonts w:ascii="Arial" w:hAnsi="Arial" w:cs="Arial"/>
                <w:sz w:val="16"/>
                <w:szCs w:val="16"/>
              </w:rPr>
              <w:t xml:space="preserve">209.471 </w:t>
            </w:r>
          </w:p>
        </w:tc>
        <w:tc>
          <w:tcPr>
            <w:tcW w:w="1276" w:type="dxa"/>
            <w:tcBorders>
              <w:top w:val="nil"/>
              <w:left w:val="nil"/>
              <w:bottom w:val="nil"/>
              <w:right w:val="nil"/>
            </w:tcBorders>
            <w:shd w:val="clear" w:color="auto" w:fill="auto"/>
            <w:noWrap/>
            <w:vAlign w:val="bottom"/>
          </w:tcPr>
          <w:p w14:paraId="407184BC" w14:textId="1749C524"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361.368</w:t>
            </w:r>
          </w:p>
        </w:tc>
      </w:tr>
      <w:tr w:rsidR="001C3DEB" w:rsidRPr="00615B48" w14:paraId="6BBEACCD" w14:textId="77777777" w:rsidTr="006E1AF7">
        <w:trPr>
          <w:trHeight w:val="285"/>
          <w:jc w:val="center"/>
        </w:trPr>
        <w:tc>
          <w:tcPr>
            <w:tcW w:w="4907" w:type="dxa"/>
            <w:tcBorders>
              <w:top w:val="nil"/>
              <w:left w:val="nil"/>
              <w:bottom w:val="nil"/>
              <w:right w:val="nil"/>
            </w:tcBorders>
            <w:shd w:val="clear" w:color="auto" w:fill="auto"/>
            <w:vAlign w:val="bottom"/>
            <w:hideMark/>
          </w:tcPr>
          <w:p w14:paraId="2FEE390C" w14:textId="7C69E064"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 xml:space="preserve">Obligaciones negociables subordinadas </w:t>
            </w:r>
            <w:r w:rsidRPr="007D7797">
              <w:rPr>
                <w:rFonts w:ascii="Arial" w:hAnsi="Arial" w:cs="Arial"/>
                <w:b/>
                <w:sz w:val="16"/>
                <w:szCs w:val="16"/>
                <w:lang w:eastAsia="es-AR"/>
              </w:rPr>
              <w:t>(Anexo P)</w:t>
            </w:r>
          </w:p>
        </w:tc>
        <w:tc>
          <w:tcPr>
            <w:tcW w:w="737" w:type="dxa"/>
            <w:tcBorders>
              <w:top w:val="nil"/>
              <w:left w:val="nil"/>
              <w:bottom w:val="nil"/>
              <w:right w:val="nil"/>
            </w:tcBorders>
            <w:shd w:val="clear" w:color="auto" w:fill="auto"/>
            <w:vAlign w:val="bottom"/>
          </w:tcPr>
          <w:p w14:paraId="610F45C4" w14:textId="71AC65CA"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14</w:t>
            </w:r>
            <w:r w:rsidRPr="00917B3D">
              <w:rPr>
                <w:rFonts w:ascii="Arial" w:hAnsi="Arial" w:cs="Arial"/>
                <w:sz w:val="16"/>
                <w:szCs w:val="16"/>
                <w:lang w:eastAsia="es-AR"/>
              </w:rPr>
              <w:t>.8</w:t>
            </w:r>
          </w:p>
        </w:tc>
        <w:tc>
          <w:tcPr>
            <w:tcW w:w="1417" w:type="dxa"/>
            <w:tcBorders>
              <w:top w:val="nil"/>
              <w:left w:val="nil"/>
              <w:bottom w:val="nil"/>
              <w:right w:val="nil"/>
            </w:tcBorders>
            <w:shd w:val="clear" w:color="auto" w:fill="auto"/>
            <w:noWrap/>
            <w:vAlign w:val="bottom"/>
          </w:tcPr>
          <w:p w14:paraId="21F46A30" w14:textId="3B28A741" w:rsidR="001C3DEB" w:rsidRPr="00E43FE4" w:rsidRDefault="001C3DEB">
            <w:pPr>
              <w:jc w:val="right"/>
              <w:rPr>
                <w:rFonts w:ascii="Arial" w:hAnsi="Arial" w:cs="Arial"/>
                <w:sz w:val="16"/>
                <w:szCs w:val="16"/>
              </w:rPr>
            </w:pPr>
            <w:r>
              <w:rPr>
                <w:rFonts w:ascii="Arial" w:hAnsi="Arial" w:cs="Arial"/>
                <w:sz w:val="16"/>
                <w:szCs w:val="16"/>
              </w:rPr>
              <w:t xml:space="preserve">2.119.888 </w:t>
            </w:r>
          </w:p>
        </w:tc>
        <w:tc>
          <w:tcPr>
            <w:tcW w:w="1276" w:type="dxa"/>
            <w:tcBorders>
              <w:top w:val="nil"/>
              <w:left w:val="nil"/>
              <w:bottom w:val="nil"/>
              <w:right w:val="nil"/>
            </w:tcBorders>
            <w:shd w:val="clear" w:color="auto" w:fill="auto"/>
            <w:noWrap/>
            <w:vAlign w:val="bottom"/>
          </w:tcPr>
          <w:p w14:paraId="389A8230" w14:textId="43119F40"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1.383.817</w:t>
            </w:r>
          </w:p>
        </w:tc>
      </w:tr>
      <w:tr w:rsidR="001C3DEB" w:rsidRPr="00615B48" w14:paraId="0F6E8BDF" w14:textId="77777777" w:rsidTr="006E1AF7">
        <w:trPr>
          <w:trHeight w:val="285"/>
          <w:jc w:val="center"/>
        </w:trPr>
        <w:tc>
          <w:tcPr>
            <w:tcW w:w="4907" w:type="dxa"/>
            <w:tcBorders>
              <w:top w:val="nil"/>
              <w:left w:val="nil"/>
              <w:bottom w:val="nil"/>
              <w:right w:val="nil"/>
            </w:tcBorders>
            <w:shd w:val="clear" w:color="auto" w:fill="auto"/>
            <w:vAlign w:val="bottom"/>
            <w:hideMark/>
          </w:tcPr>
          <w:p w14:paraId="0CF817FB" w14:textId="77777777"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Provisiones</w:t>
            </w:r>
          </w:p>
        </w:tc>
        <w:tc>
          <w:tcPr>
            <w:tcW w:w="737" w:type="dxa"/>
            <w:tcBorders>
              <w:top w:val="nil"/>
              <w:left w:val="nil"/>
              <w:bottom w:val="nil"/>
              <w:right w:val="nil"/>
            </w:tcBorders>
            <w:shd w:val="clear" w:color="auto" w:fill="auto"/>
            <w:vAlign w:val="bottom"/>
            <w:hideMark/>
          </w:tcPr>
          <w:p w14:paraId="24BCB40E" w14:textId="3BD2C047"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6.14</w:t>
            </w:r>
            <w:r w:rsidR="000966C6">
              <w:rPr>
                <w:rFonts w:ascii="Arial" w:hAnsi="Arial" w:cs="Arial"/>
                <w:sz w:val="16"/>
                <w:szCs w:val="16"/>
                <w:lang w:eastAsia="es-AR"/>
              </w:rPr>
              <w:t>, 11</w:t>
            </w:r>
          </w:p>
        </w:tc>
        <w:tc>
          <w:tcPr>
            <w:tcW w:w="1417" w:type="dxa"/>
            <w:tcBorders>
              <w:top w:val="nil"/>
              <w:left w:val="nil"/>
              <w:bottom w:val="nil"/>
              <w:right w:val="nil"/>
            </w:tcBorders>
            <w:shd w:val="clear" w:color="auto" w:fill="auto"/>
            <w:noWrap/>
            <w:vAlign w:val="bottom"/>
          </w:tcPr>
          <w:p w14:paraId="76543594" w14:textId="21A52B87" w:rsidR="001C3DEB" w:rsidRPr="00E43FE4" w:rsidRDefault="001C3DEB">
            <w:pPr>
              <w:jc w:val="right"/>
              <w:rPr>
                <w:rFonts w:ascii="Arial" w:hAnsi="Arial" w:cs="Arial"/>
                <w:sz w:val="16"/>
                <w:szCs w:val="16"/>
              </w:rPr>
            </w:pPr>
            <w:r>
              <w:rPr>
                <w:rFonts w:ascii="Arial" w:hAnsi="Arial" w:cs="Arial"/>
                <w:sz w:val="16"/>
                <w:szCs w:val="16"/>
              </w:rPr>
              <w:t xml:space="preserve">655.298 </w:t>
            </w:r>
          </w:p>
        </w:tc>
        <w:tc>
          <w:tcPr>
            <w:tcW w:w="1276" w:type="dxa"/>
            <w:tcBorders>
              <w:top w:val="nil"/>
              <w:left w:val="nil"/>
              <w:bottom w:val="nil"/>
              <w:right w:val="nil"/>
            </w:tcBorders>
            <w:shd w:val="clear" w:color="auto" w:fill="auto"/>
            <w:noWrap/>
            <w:vAlign w:val="bottom"/>
          </w:tcPr>
          <w:p w14:paraId="17986D53" w14:textId="0E6D4C41"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72.563</w:t>
            </w:r>
          </w:p>
        </w:tc>
      </w:tr>
      <w:tr w:rsidR="001C3DEB" w:rsidRPr="00615B48" w14:paraId="31D5BBC4" w14:textId="77777777" w:rsidTr="006E1AF7">
        <w:trPr>
          <w:trHeight w:val="285"/>
          <w:jc w:val="center"/>
        </w:trPr>
        <w:tc>
          <w:tcPr>
            <w:tcW w:w="4907" w:type="dxa"/>
            <w:tcBorders>
              <w:top w:val="nil"/>
              <w:left w:val="nil"/>
              <w:bottom w:val="nil"/>
              <w:right w:val="nil"/>
            </w:tcBorders>
            <w:shd w:val="clear" w:color="auto" w:fill="auto"/>
            <w:vAlign w:val="bottom"/>
            <w:hideMark/>
          </w:tcPr>
          <w:p w14:paraId="1EF8ABE0" w14:textId="77777777"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Otros pasivos no financieros</w:t>
            </w:r>
          </w:p>
        </w:tc>
        <w:tc>
          <w:tcPr>
            <w:tcW w:w="737" w:type="dxa"/>
            <w:tcBorders>
              <w:top w:val="nil"/>
              <w:left w:val="nil"/>
              <w:bottom w:val="nil"/>
              <w:right w:val="nil"/>
            </w:tcBorders>
            <w:shd w:val="clear" w:color="auto" w:fill="auto"/>
            <w:vAlign w:val="bottom"/>
            <w:hideMark/>
          </w:tcPr>
          <w:p w14:paraId="44E67D40" w14:textId="7F784413" w:rsidR="001C3DEB" w:rsidRPr="00917B3D" w:rsidRDefault="001C3DEB" w:rsidP="001C3DEB">
            <w:pPr>
              <w:jc w:val="center"/>
              <w:rPr>
                <w:rFonts w:ascii="Arial" w:hAnsi="Arial" w:cs="Arial"/>
                <w:sz w:val="16"/>
                <w:szCs w:val="16"/>
                <w:lang w:eastAsia="es-AR"/>
              </w:rPr>
            </w:pPr>
            <w:r>
              <w:rPr>
                <w:rFonts w:ascii="Arial" w:hAnsi="Arial" w:cs="Arial"/>
                <w:sz w:val="16"/>
                <w:szCs w:val="16"/>
                <w:lang w:eastAsia="es-AR"/>
              </w:rPr>
              <w:t>6.15</w:t>
            </w:r>
          </w:p>
        </w:tc>
        <w:tc>
          <w:tcPr>
            <w:tcW w:w="1417" w:type="dxa"/>
            <w:tcBorders>
              <w:top w:val="nil"/>
              <w:left w:val="nil"/>
              <w:bottom w:val="nil"/>
              <w:right w:val="nil"/>
            </w:tcBorders>
            <w:shd w:val="clear" w:color="auto" w:fill="auto"/>
            <w:noWrap/>
            <w:vAlign w:val="bottom"/>
          </w:tcPr>
          <w:p w14:paraId="595FE806" w14:textId="58839563" w:rsidR="001C3DEB" w:rsidRPr="00E43FE4" w:rsidRDefault="001C3DEB">
            <w:pPr>
              <w:jc w:val="right"/>
              <w:rPr>
                <w:rFonts w:ascii="Arial" w:hAnsi="Arial" w:cs="Arial"/>
                <w:sz w:val="16"/>
                <w:szCs w:val="16"/>
              </w:rPr>
            </w:pPr>
            <w:r>
              <w:rPr>
                <w:rFonts w:ascii="Arial" w:hAnsi="Arial" w:cs="Arial"/>
                <w:sz w:val="16"/>
                <w:szCs w:val="16"/>
              </w:rPr>
              <w:t xml:space="preserve">7.060.329 </w:t>
            </w:r>
          </w:p>
        </w:tc>
        <w:tc>
          <w:tcPr>
            <w:tcW w:w="1276" w:type="dxa"/>
            <w:tcBorders>
              <w:top w:val="nil"/>
              <w:left w:val="nil"/>
              <w:bottom w:val="nil"/>
              <w:right w:val="nil"/>
            </w:tcBorders>
            <w:shd w:val="clear" w:color="auto" w:fill="auto"/>
            <w:noWrap/>
            <w:vAlign w:val="bottom"/>
          </w:tcPr>
          <w:p w14:paraId="4F551DF9" w14:textId="03038115" w:rsidR="001C3DEB" w:rsidRPr="00615B48" w:rsidRDefault="001C3DEB" w:rsidP="001C3DEB">
            <w:pPr>
              <w:jc w:val="right"/>
              <w:rPr>
                <w:rFonts w:ascii="Arial" w:hAnsi="Arial" w:cs="Arial"/>
                <w:sz w:val="16"/>
                <w:szCs w:val="16"/>
                <w:lang w:val="es-ES_tradnl" w:eastAsia="es-AR"/>
              </w:rPr>
            </w:pPr>
            <w:r w:rsidRPr="00E43FE4">
              <w:rPr>
                <w:rFonts w:ascii="Arial" w:hAnsi="Arial" w:cs="Arial"/>
                <w:sz w:val="16"/>
                <w:szCs w:val="16"/>
              </w:rPr>
              <w:t>4.648.57</w:t>
            </w:r>
            <w:r w:rsidR="00C92B14">
              <w:rPr>
                <w:rFonts w:ascii="Arial" w:hAnsi="Arial" w:cs="Arial"/>
                <w:sz w:val="16"/>
                <w:szCs w:val="16"/>
              </w:rPr>
              <w:t>2</w:t>
            </w:r>
          </w:p>
        </w:tc>
      </w:tr>
      <w:tr w:rsidR="001C3DEB" w:rsidRPr="00E43FE4" w14:paraId="58590A55" w14:textId="77777777" w:rsidTr="006E1AF7">
        <w:trPr>
          <w:trHeight w:val="80"/>
          <w:jc w:val="center"/>
        </w:trPr>
        <w:tc>
          <w:tcPr>
            <w:tcW w:w="4907" w:type="dxa"/>
            <w:tcBorders>
              <w:top w:val="nil"/>
              <w:left w:val="nil"/>
              <w:bottom w:val="nil"/>
              <w:right w:val="nil"/>
            </w:tcBorders>
            <w:shd w:val="clear" w:color="auto" w:fill="auto"/>
            <w:vAlign w:val="bottom"/>
            <w:hideMark/>
          </w:tcPr>
          <w:p w14:paraId="6F91171B" w14:textId="77777777" w:rsidR="001C3DEB" w:rsidRPr="00E43FE4" w:rsidRDefault="001C3DEB" w:rsidP="001C3DEB">
            <w:pPr>
              <w:rPr>
                <w:rFonts w:ascii="Arial" w:hAnsi="Arial" w:cs="Arial"/>
                <w:sz w:val="10"/>
                <w:szCs w:val="10"/>
                <w:lang w:eastAsia="es-AR"/>
              </w:rPr>
            </w:pPr>
          </w:p>
        </w:tc>
        <w:tc>
          <w:tcPr>
            <w:tcW w:w="737" w:type="dxa"/>
            <w:tcBorders>
              <w:top w:val="nil"/>
              <w:left w:val="nil"/>
              <w:bottom w:val="nil"/>
              <w:right w:val="nil"/>
            </w:tcBorders>
            <w:shd w:val="clear" w:color="auto" w:fill="auto"/>
            <w:vAlign w:val="bottom"/>
            <w:hideMark/>
          </w:tcPr>
          <w:p w14:paraId="2C305CE6" w14:textId="77777777" w:rsidR="001C3DEB" w:rsidRPr="00917B3D" w:rsidRDefault="001C3DEB" w:rsidP="001C3DEB">
            <w:pPr>
              <w:jc w:val="center"/>
              <w:rPr>
                <w:rFonts w:ascii="Arial" w:hAnsi="Arial" w:cs="Arial"/>
                <w:sz w:val="10"/>
                <w:szCs w:val="10"/>
                <w:lang w:eastAsia="es-AR"/>
              </w:rPr>
            </w:pPr>
          </w:p>
        </w:tc>
        <w:tc>
          <w:tcPr>
            <w:tcW w:w="1417" w:type="dxa"/>
            <w:tcBorders>
              <w:top w:val="nil"/>
              <w:left w:val="nil"/>
              <w:bottom w:val="nil"/>
              <w:right w:val="nil"/>
            </w:tcBorders>
            <w:shd w:val="clear" w:color="auto" w:fill="auto"/>
            <w:noWrap/>
            <w:vAlign w:val="bottom"/>
          </w:tcPr>
          <w:p w14:paraId="5668A138" w14:textId="77777777" w:rsidR="001C3DEB" w:rsidRPr="00534414" w:rsidRDefault="001C3DEB">
            <w:pPr>
              <w:jc w:val="right"/>
              <w:rPr>
                <w:rFonts w:ascii="Arial" w:hAnsi="Arial" w:cs="Arial"/>
                <w:sz w:val="16"/>
                <w:szCs w:val="16"/>
              </w:rPr>
            </w:pPr>
          </w:p>
        </w:tc>
        <w:tc>
          <w:tcPr>
            <w:tcW w:w="1276" w:type="dxa"/>
            <w:tcBorders>
              <w:top w:val="nil"/>
              <w:left w:val="nil"/>
              <w:bottom w:val="nil"/>
              <w:right w:val="nil"/>
            </w:tcBorders>
            <w:shd w:val="clear" w:color="auto" w:fill="auto"/>
            <w:noWrap/>
            <w:vAlign w:val="bottom"/>
          </w:tcPr>
          <w:p w14:paraId="06FDCDFE" w14:textId="77777777" w:rsidR="001C3DEB" w:rsidRPr="00E43FE4" w:rsidRDefault="001C3DEB" w:rsidP="001C3DEB">
            <w:pPr>
              <w:jc w:val="right"/>
              <w:rPr>
                <w:rFonts w:ascii="Arial" w:hAnsi="Arial" w:cs="Arial"/>
                <w:sz w:val="10"/>
                <w:szCs w:val="10"/>
                <w:lang w:eastAsia="es-AR"/>
              </w:rPr>
            </w:pPr>
          </w:p>
        </w:tc>
      </w:tr>
      <w:tr w:rsidR="001C3DEB" w:rsidRPr="00615B48" w14:paraId="179214A5" w14:textId="77777777" w:rsidTr="006E1AF7">
        <w:trPr>
          <w:trHeight w:val="285"/>
          <w:jc w:val="center"/>
        </w:trPr>
        <w:tc>
          <w:tcPr>
            <w:tcW w:w="4907" w:type="dxa"/>
            <w:tcBorders>
              <w:top w:val="nil"/>
              <w:left w:val="nil"/>
              <w:bottom w:val="nil"/>
              <w:right w:val="nil"/>
            </w:tcBorders>
            <w:shd w:val="clear" w:color="auto" w:fill="auto"/>
            <w:vAlign w:val="bottom"/>
            <w:hideMark/>
          </w:tcPr>
          <w:p w14:paraId="6AEE3E69" w14:textId="77777777" w:rsidR="001C3DEB" w:rsidRPr="00615B48" w:rsidRDefault="001C3DEB" w:rsidP="001C3DEB">
            <w:pPr>
              <w:rPr>
                <w:rFonts w:ascii="Arial" w:hAnsi="Arial" w:cs="Arial"/>
                <w:b/>
                <w:bCs/>
                <w:sz w:val="16"/>
                <w:szCs w:val="16"/>
                <w:lang w:eastAsia="es-AR"/>
              </w:rPr>
            </w:pPr>
            <w:r w:rsidRPr="00615B48">
              <w:rPr>
                <w:rFonts w:ascii="Arial" w:hAnsi="Arial" w:cs="Arial"/>
                <w:b/>
                <w:bCs/>
                <w:sz w:val="16"/>
                <w:szCs w:val="16"/>
                <w:lang w:eastAsia="es-AR"/>
              </w:rPr>
              <w:t>TOTAL DEL PASIVO</w:t>
            </w:r>
          </w:p>
        </w:tc>
        <w:tc>
          <w:tcPr>
            <w:tcW w:w="737" w:type="dxa"/>
            <w:tcBorders>
              <w:top w:val="nil"/>
              <w:left w:val="nil"/>
              <w:bottom w:val="nil"/>
              <w:right w:val="nil"/>
            </w:tcBorders>
            <w:shd w:val="clear" w:color="auto" w:fill="auto"/>
            <w:vAlign w:val="bottom"/>
            <w:hideMark/>
          </w:tcPr>
          <w:p w14:paraId="50DD32B0" w14:textId="77777777" w:rsidR="001C3DEB" w:rsidRPr="00917B3D" w:rsidRDefault="001C3DEB" w:rsidP="001C3DEB">
            <w:pPr>
              <w:jc w:val="center"/>
              <w:rPr>
                <w:rFonts w:ascii="Arial" w:hAnsi="Arial" w:cs="Arial"/>
                <w:b/>
                <w:bCs/>
                <w:sz w:val="16"/>
                <w:szCs w:val="16"/>
                <w:lang w:eastAsia="es-AR"/>
              </w:rPr>
            </w:pPr>
          </w:p>
        </w:tc>
        <w:tc>
          <w:tcPr>
            <w:tcW w:w="1417" w:type="dxa"/>
            <w:tcBorders>
              <w:top w:val="single" w:sz="4" w:space="0" w:color="auto"/>
              <w:left w:val="nil"/>
              <w:bottom w:val="nil"/>
              <w:right w:val="nil"/>
            </w:tcBorders>
            <w:shd w:val="clear" w:color="auto" w:fill="auto"/>
            <w:noWrap/>
            <w:vAlign w:val="bottom"/>
          </w:tcPr>
          <w:p w14:paraId="50EE5D2F" w14:textId="4B06CB69" w:rsidR="001C3DEB" w:rsidRPr="00687942" w:rsidRDefault="001C3DEB">
            <w:pPr>
              <w:jc w:val="right"/>
              <w:rPr>
                <w:rFonts w:ascii="Arial" w:hAnsi="Arial" w:cs="Arial"/>
                <w:b/>
                <w:sz w:val="16"/>
                <w:szCs w:val="16"/>
              </w:rPr>
            </w:pPr>
            <w:r>
              <w:rPr>
                <w:rFonts w:ascii="Arial" w:hAnsi="Arial" w:cs="Arial"/>
                <w:b/>
                <w:bCs/>
                <w:sz w:val="16"/>
                <w:szCs w:val="16"/>
              </w:rPr>
              <w:t xml:space="preserve">124.035.899 </w:t>
            </w:r>
          </w:p>
        </w:tc>
        <w:tc>
          <w:tcPr>
            <w:tcW w:w="1276" w:type="dxa"/>
            <w:tcBorders>
              <w:top w:val="single" w:sz="4" w:space="0" w:color="auto"/>
              <w:left w:val="nil"/>
              <w:bottom w:val="nil"/>
              <w:right w:val="nil"/>
            </w:tcBorders>
            <w:shd w:val="clear" w:color="auto" w:fill="auto"/>
            <w:noWrap/>
            <w:vAlign w:val="bottom"/>
          </w:tcPr>
          <w:p w14:paraId="6379A658" w14:textId="7B09325F" w:rsidR="001C3DEB" w:rsidRPr="00615B48" w:rsidRDefault="001C3DEB" w:rsidP="001C3DEB">
            <w:pPr>
              <w:jc w:val="right"/>
              <w:rPr>
                <w:rFonts w:ascii="Arial" w:hAnsi="Arial" w:cs="Arial"/>
                <w:b/>
                <w:bCs/>
                <w:sz w:val="16"/>
                <w:szCs w:val="16"/>
                <w:lang w:val="es-ES_tradnl" w:eastAsia="es-AR"/>
              </w:rPr>
            </w:pPr>
            <w:r w:rsidRPr="00E43FE4">
              <w:rPr>
                <w:rFonts w:ascii="Arial" w:hAnsi="Arial" w:cs="Arial"/>
                <w:b/>
                <w:bCs/>
                <w:sz w:val="16"/>
                <w:szCs w:val="16"/>
              </w:rPr>
              <w:t>123.937.</w:t>
            </w:r>
            <w:r w:rsidR="00C92B14" w:rsidRPr="00E43FE4">
              <w:rPr>
                <w:rFonts w:ascii="Arial" w:hAnsi="Arial" w:cs="Arial"/>
                <w:b/>
                <w:bCs/>
                <w:sz w:val="16"/>
                <w:szCs w:val="16"/>
              </w:rPr>
              <w:t>70</w:t>
            </w:r>
            <w:r w:rsidR="00C92B14">
              <w:rPr>
                <w:rFonts w:ascii="Arial" w:hAnsi="Arial" w:cs="Arial"/>
                <w:b/>
                <w:bCs/>
                <w:sz w:val="16"/>
                <w:szCs w:val="16"/>
              </w:rPr>
              <w:t>7</w:t>
            </w:r>
          </w:p>
        </w:tc>
      </w:tr>
      <w:tr w:rsidR="00687942" w:rsidRPr="00E43FE4" w14:paraId="5801EB02" w14:textId="77777777" w:rsidTr="005A1F48">
        <w:trPr>
          <w:trHeight w:val="159"/>
          <w:jc w:val="center"/>
        </w:trPr>
        <w:tc>
          <w:tcPr>
            <w:tcW w:w="4907" w:type="dxa"/>
            <w:tcBorders>
              <w:top w:val="nil"/>
              <w:left w:val="nil"/>
              <w:bottom w:val="nil"/>
              <w:right w:val="nil"/>
            </w:tcBorders>
            <w:shd w:val="clear" w:color="auto" w:fill="auto"/>
            <w:hideMark/>
          </w:tcPr>
          <w:p w14:paraId="5A2ECCB1" w14:textId="77777777" w:rsidR="00687942" w:rsidRPr="00E43FE4" w:rsidRDefault="00687942" w:rsidP="00687942">
            <w:pPr>
              <w:rPr>
                <w:rFonts w:ascii="Arial" w:hAnsi="Arial" w:cs="Arial"/>
                <w:b/>
                <w:bCs/>
                <w:sz w:val="10"/>
                <w:szCs w:val="10"/>
                <w:lang w:eastAsia="es-AR"/>
              </w:rPr>
            </w:pPr>
          </w:p>
        </w:tc>
        <w:tc>
          <w:tcPr>
            <w:tcW w:w="737" w:type="dxa"/>
            <w:tcBorders>
              <w:top w:val="nil"/>
              <w:left w:val="nil"/>
              <w:bottom w:val="nil"/>
              <w:right w:val="nil"/>
            </w:tcBorders>
            <w:shd w:val="clear" w:color="auto" w:fill="auto"/>
            <w:vAlign w:val="bottom"/>
            <w:hideMark/>
          </w:tcPr>
          <w:p w14:paraId="506F7878" w14:textId="77777777" w:rsidR="00687942" w:rsidRPr="00E43FE4" w:rsidRDefault="00687942">
            <w:pPr>
              <w:jc w:val="center"/>
              <w:rPr>
                <w:rFonts w:ascii="Arial" w:hAnsi="Arial" w:cs="Arial"/>
                <w:sz w:val="10"/>
                <w:szCs w:val="10"/>
                <w:lang w:eastAsia="es-AR"/>
              </w:rPr>
            </w:pPr>
          </w:p>
        </w:tc>
        <w:tc>
          <w:tcPr>
            <w:tcW w:w="1417" w:type="dxa"/>
            <w:tcBorders>
              <w:top w:val="nil"/>
              <w:left w:val="nil"/>
              <w:bottom w:val="nil"/>
              <w:right w:val="nil"/>
            </w:tcBorders>
            <w:shd w:val="clear" w:color="auto" w:fill="auto"/>
            <w:noWrap/>
            <w:vAlign w:val="bottom"/>
          </w:tcPr>
          <w:p w14:paraId="5F6D6916" w14:textId="77777777" w:rsidR="00687942" w:rsidRPr="00687942" w:rsidRDefault="00687942" w:rsidP="00687942">
            <w:pPr>
              <w:jc w:val="right"/>
              <w:rPr>
                <w:rFonts w:ascii="Arial" w:hAnsi="Arial" w:cs="Arial"/>
                <w:sz w:val="16"/>
                <w:szCs w:val="16"/>
              </w:rPr>
            </w:pPr>
          </w:p>
        </w:tc>
        <w:tc>
          <w:tcPr>
            <w:tcW w:w="1276" w:type="dxa"/>
            <w:tcBorders>
              <w:top w:val="nil"/>
              <w:left w:val="nil"/>
              <w:bottom w:val="nil"/>
              <w:right w:val="nil"/>
            </w:tcBorders>
            <w:shd w:val="clear" w:color="auto" w:fill="auto"/>
            <w:noWrap/>
            <w:vAlign w:val="bottom"/>
          </w:tcPr>
          <w:p w14:paraId="03655480" w14:textId="77777777" w:rsidR="00687942" w:rsidRPr="00E43FE4" w:rsidRDefault="00687942" w:rsidP="00687942">
            <w:pPr>
              <w:jc w:val="right"/>
              <w:rPr>
                <w:rFonts w:ascii="Arial" w:hAnsi="Arial" w:cs="Arial"/>
                <w:sz w:val="10"/>
                <w:szCs w:val="10"/>
                <w:lang w:eastAsia="es-AR"/>
              </w:rPr>
            </w:pPr>
          </w:p>
        </w:tc>
      </w:tr>
      <w:tr w:rsidR="00687942" w:rsidRPr="00615B48" w14:paraId="1DBF5861" w14:textId="77777777" w:rsidTr="005A1F48">
        <w:trPr>
          <w:trHeight w:val="285"/>
          <w:jc w:val="center"/>
        </w:trPr>
        <w:tc>
          <w:tcPr>
            <w:tcW w:w="4907" w:type="dxa"/>
            <w:tcBorders>
              <w:top w:val="nil"/>
              <w:left w:val="nil"/>
              <w:bottom w:val="nil"/>
              <w:right w:val="nil"/>
            </w:tcBorders>
            <w:shd w:val="clear" w:color="auto" w:fill="auto"/>
            <w:hideMark/>
          </w:tcPr>
          <w:p w14:paraId="5CA183EA" w14:textId="29285904" w:rsidR="00687942" w:rsidRPr="00615B48" w:rsidRDefault="00687942" w:rsidP="00687942">
            <w:pPr>
              <w:rPr>
                <w:rFonts w:ascii="Arial" w:hAnsi="Arial" w:cs="Arial"/>
                <w:b/>
                <w:bCs/>
                <w:sz w:val="16"/>
                <w:szCs w:val="16"/>
                <w:lang w:eastAsia="es-AR"/>
              </w:rPr>
            </w:pPr>
            <w:r w:rsidRPr="00615B48">
              <w:rPr>
                <w:rFonts w:ascii="Arial" w:hAnsi="Arial" w:cs="Arial"/>
                <w:b/>
                <w:bCs/>
                <w:sz w:val="16"/>
                <w:szCs w:val="16"/>
                <w:lang w:eastAsia="es-AR"/>
              </w:rPr>
              <w:t xml:space="preserve">PATRIMONIO NETO (Según estado </w:t>
            </w:r>
            <w:r w:rsidR="005C5B45">
              <w:rPr>
                <w:rFonts w:ascii="Arial" w:hAnsi="Arial" w:cs="Arial"/>
                <w:b/>
                <w:bCs/>
                <w:sz w:val="16"/>
                <w:szCs w:val="16"/>
                <w:lang w:eastAsia="es-AR"/>
              </w:rPr>
              <w:t>respectivo</w:t>
            </w:r>
            <w:r w:rsidRPr="00615B48">
              <w:rPr>
                <w:rFonts w:ascii="Arial" w:hAnsi="Arial" w:cs="Arial"/>
                <w:b/>
                <w:bCs/>
                <w:sz w:val="16"/>
                <w:szCs w:val="16"/>
                <w:lang w:eastAsia="es-AR"/>
              </w:rPr>
              <w:t>)</w:t>
            </w:r>
          </w:p>
        </w:tc>
        <w:tc>
          <w:tcPr>
            <w:tcW w:w="737" w:type="dxa"/>
            <w:tcBorders>
              <w:top w:val="nil"/>
              <w:left w:val="nil"/>
              <w:bottom w:val="nil"/>
              <w:right w:val="nil"/>
            </w:tcBorders>
            <w:shd w:val="clear" w:color="auto" w:fill="auto"/>
            <w:vAlign w:val="bottom"/>
            <w:hideMark/>
          </w:tcPr>
          <w:p w14:paraId="3B4EA032" w14:textId="77777777" w:rsidR="00687942" w:rsidRPr="00615B48" w:rsidRDefault="00687942">
            <w:pPr>
              <w:jc w:val="center"/>
              <w:rPr>
                <w:rFonts w:ascii="Arial" w:hAnsi="Arial" w:cs="Arial"/>
                <w:b/>
                <w:bCs/>
                <w:sz w:val="16"/>
                <w:szCs w:val="16"/>
                <w:lang w:eastAsia="es-AR"/>
              </w:rPr>
            </w:pPr>
          </w:p>
        </w:tc>
        <w:tc>
          <w:tcPr>
            <w:tcW w:w="1417" w:type="dxa"/>
            <w:tcBorders>
              <w:top w:val="nil"/>
              <w:left w:val="nil"/>
              <w:bottom w:val="nil"/>
              <w:right w:val="nil"/>
            </w:tcBorders>
            <w:shd w:val="clear" w:color="auto" w:fill="auto"/>
            <w:noWrap/>
            <w:vAlign w:val="bottom"/>
          </w:tcPr>
          <w:p w14:paraId="52645F20" w14:textId="77777777" w:rsidR="00687942" w:rsidRPr="00E43FE4" w:rsidRDefault="00687942" w:rsidP="00687942">
            <w:pPr>
              <w:jc w:val="right"/>
              <w:rPr>
                <w:rFonts w:ascii="Arial" w:hAnsi="Arial" w:cs="Arial"/>
                <w:sz w:val="16"/>
                <w:szCs w:val="16"/>
              </w:rPr>
            </w:pPr>
          </w:p>
        </w:tc>
        <w:tc>
          <w:tcPr>
            <w:tcW w:w="1276" w:type="dxa"/>
            <w:tcBorders>
              <w:top w:val="nil"/>
              <w:left w:val="nil"/>
              <w:bottom w:val="nil"/>
              <w:right w:val="nil"/>
            </w:tcBorders>
            <w:shd w:val="clear" w:color="auto" w:fill="auto"/>
            <w:noWrap/>
            <w:vAlign w:val="bottom"/>
          </w:tcPr>
          <w:p w14:paraId="6FA23AF8" w14:textId="77777777" w:rsidR="00687942" w:rsidRPr="00615B48" w:rsidRDefault="00687942" w:rsidP="00687942">
            <w:pPr>
              <w:jc w:val="right"/>
              <w:rPr>
                <w:rFonts w:ascii="Arial" w:hAnsi="Arial" w:cs="Arial"/>
                <w:sz w:val="16"/>
                <w:szCs w:val="16"/>
                <w:lang w:eastAsia="es-AR"/>
              </w:rPr>
            </w:pPr>
          </w:p>
        </w:tc>
      </w:tr>
      <w:tr w:rsidR="001C3DEB" w:rsidRPr="00615B48" w14:paraId="6C40177B" w14:textId="77777777" w:rsidTr="006E1AF7">
        <w:trPr>
          <w:trHeight w:val="285"/>
          <w:jc w:val="center"/>
        </w:trPr>
        <w:tc>
          <w:tcPr>
            <w:tcW w:w="4907" w:type="dxa"/>
            <w:tcBorders>
              <w:top w:val="nil"/>
              <w:left w:val="nil"/>
              <w:bottom w:val="nil"/>
              <w:right w:val="nil"/>
            </w:tcBorders>
            <w:shd w:val="clear" w:color="auto" w:fill="auto"/>
            <w:vAlign w:val="bottom"/>
            <w:hideMark/>
          </w:tcPr>
          <w:p w14:paraId="50AE3FE1"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Capital social</w:t>
            </w:r>
          </w:p>
        </w:tc>
        <w:tc>
          <w:tcPr>
            <w:tcW w:w="737" w:type="dxa"/>
            <w:tcBorders>
              <w:top w:val="nil"/>
              <w:left w:val="nil"/>
              <w:bottom w:val="nil"/>
              <w:right w:val="nil"/>
            </w:tcBorders>
            <w:shd w:val="clear" w:color="auto" w:fill="auto"/>
            <w:vAlign w:val="bottom"/>
            <w:hideMark/>
          </w:tcPr>
          <w:p w14:paraId="47D56EE2" w14:textId="77777777" w:rsidR="001C3DEB" w:rsidRPr="00615B48" w:rsidRDefault="001C3DEB" w:rsidP="001C3DEB">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620BAD44" w14:textId="5EB649D1" w:rsidR="001C3DEB" w:rsidRPr="00E43FE4" w:rsidRDefault="001C3DEB">
            <w:pPr>
              <w:jc w:val="right"/>
              <w:rPr>
                <w:rFonts w:ascii="Arial" w:hAnsi="Arial" w:cs="Arial"/>
                <w:sz w:val="16"/>
                <w:szCs w:val="16"/>
              </w:rPr>
            </w:pPr>
            <w:r>
              <w:rPr>
                <w:rFonts w:ascii="Arial" w:hAnsi="Arial" w:cs="Arial"/>
                <w:sz w:val="16"/>
                <w:szCs w:val="16"/>
              </w:rPr>
              <w:t xml:space="preserve">829.564 </w:t>
            </w:r>
          </w:p>
        </w:tc>
        <w:tc>
          <w:tcPr>
            <w:tcW w:w="1276" w:type="dxa"/>
            <w:tcBorders>
              <w:top w:val="nil"/>
              <w:left w:val="nil"/>
              <w:bottom w:val="nil"/>
              <w:right w:val="nil"/>
            </w:tcBorders>
            <w:shd w:val="clear" w:color="auto" w:fill="auto"/>
            <w:noWrap/>
            <w:vAlign w:val="bottom"/>
          </w:tcPr>
          <w:p w14:paraId="7502E962" w14:textId="5A6651F5"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808.852</w:t>
            </w:r>
          </w:p>
        </w:tc>
      </w:tr>
      <w:tr w:rsidR="001C3DEB" w:rsidRPr="00615B48" w14:paraId="62082A03" w14:textId="77777777" w:rsidTr="006E1AF7">
        <w:trPr>
          <w:trHeight w:val="269"/>
          <w:jc w:val="center"/>
        </w:trPr>
        <w:tc>
          <w:tcPr>
            <w:tcW w:w="4907" w:type="dxa"/>
            <w:tcBorders>
              <w:top w:val="nil"/>
              <w:left w:val="nil"/>
              <w:bottom w:val="nil"/>
              <w:right w:val="nil"/>
            </w:tcBorders>
            <w:shd w:val="clear" w:color="auto" w:fill="auto"/>
            <w:vAlign w:val="bottom"/>
            <w:hideMark/>
          </w:tcPr>
          <w:p w14:paraId="71D1B521"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Aportes no capitalizados</w:t>
            </w:r>
          </w:p>
        </w:tc>
        <w:tc>
          <w:tcPr>
            <w:tcW w:w="737" w:type="dxa"/>
            <w:tcBorders>
              <w:top w:val="nil"/>
              <w:left w:val="nil"/>
              <w:bottom w:val="nil"/>
              <w:right w:val="nil"/>
            </w:tcBorders>
            <w:shd w:val="clear" w:color="auto" w:fill="auto"/>
            <w:vAlign w:val="bottom"/>
            <w:hideMark/>
          </w:tcPr>
          <w:p w14:paraId="151E9F1D" w14:textId="77777777" w:rsidR="001C3DEB" w:rsidRPr="00615B48" w:rsidRDefault="001C3DEB" w:rsidP="001C3DEB">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52CAD335" w14:textId="123ACC7E" w:rsidR="001C3DEB" w:rsidRPr="00E43FE4" w:rsidRDefault="001C3DEB">
            <w:pPr>
              <w:jc w:val="right"/>
              <w:rPr>
                <w:rFonts w:ascii="Arial" w:hAnsi="Arial" w:cs="Arial"/>
                <w:sz w:val="16"/>
                <w:szCs w:val="16"/>
              </w:rPr>
            </w:pPr>
            <w:r>
              <w:rPr>
                <w:rFonts w:ascii="Arial" w:hAnsi="Arial" w:cs="Arial"/>
                <w:sz w:val="16"/>
                <w:szCs w:val="16"/>
              </w:rPr>
              <w:t xml:space="preserve">6.898.635 </w:t>
            </w:r>
          </w:p>
        </w:tc>
        <w:tc>
          <w:tcPr>
            <w:tcW w:w="1276" w:type="dxa"/>
            <w:tcBorders>
              <w:top w:val="nil"/>
              <w:left w:val="nil"/>
              <w:bottom w:val="nil"/>
              <w:right w:val="nil"/>
            </w:tcBorders>
            <w:shd w:val="clear" w:color="auto" w:fill="auto"/>
            <w:noWrap/>
            <w:vAlign w:val="bottom"/>
          </w:tcPr>
          <w:p w14:paraId="4A157085" w14:textId="282E2732"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6.444.347</w:t>
            </w:r>
          </w:p>
        </w:tc>
      </w:tr>
      <w:tr w:rsidR="001C3DEB" w:rsidRPr="00615B48" w14:paraId="17CAEAA8" w14:textId="77777777" w:rsidTr="006E1AF7">
        <w:trPr>
          <w:trHeight w:val="285"/>
          <w:jc w:val="center"/>
        </w:trPr>
        <w:tc>
          <w:tcPr>
            <w:tcW w:w="4907" w:type="dxa"/>
            <w:tcBorders>
              <w:top w:val="nil"/>
              <w:left w:val="nil"/>
              <w:bottom w:val="nil"/>
              <w:right w:val="nil"/>
            </w:tcBorders>
            <w:shd w:val="clear" w:color="auto" w:fill="auto"/>
            <w:vAlign w:val="bottom"/>
            <w:hideMark/>
          </w:tcPr>
          <w:p w14:paraId="03973327"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Ganancias reservadas</w:t>
            </w:r>
          </w:p>
        </w:tc>
        <w:tc>
          <w:tcPr>
            <w:tcW w:w="737" w:type="dxa"/>
            <w:tcBorders>
              <w:top w:val="nil"/>
              <w:left w:val="nil"/>
              <w:bottom w:val="nil"/>
              <w:right w:val="nil"/>
            </w:tcBorders>
            <w:shd w:val="clear" w:color="auto" w:fill="auto"/>
            <w:vAlign w:val="bottom"/>
            <w:hideMark/>
          </w:tcPr>
          <w:p w14:paraId="5A92175D" w14:textId="77777777" w:rsidR="001C3DEB" w:rsidRPr="00615B48" w:rsidRDefault="001C3DEB" w:rsidP="001C3DEB">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31972D78" w14:textId="74C3B106" w:rsidR="001C3DEB" w:rsidRPr="00E43FE4" w:rsidRDefault="001C3DEB">
            <w:pPr>
              <w:jc w:val="right"/>
              <w:rPr>
                <w:rFonts w:ascii="Arial" w:hAnsi="Arial" w:cs="Arial"/>
                <w:sz w:val="16"/>
                <w:szCs w:val="16"/>
              </w:rPr>
            </w:pPr>
            <w:r>
              <w:rPr>
                <w:rFonts w:ascii="Arial" w:hAnsi="Arial" w:cs="Arial"/>
                <w:sz w:val="16"/>
                <w:szCs w:val="16"/>
              </w:rPr>
              <w:t xml:space="preserve">5.342.776 </w:t>
            </w:r>
          </w:p>
        </w:tc>
        <w:tc>
          <w:tcPr>
            <w:tcW w:w="1276" w:type="dxa"/>
            <w:tcBorders>
              <w:top w:val="nil"/>
              <w:left w:val="nil"/>
              <w:bottom w:val="nil"/>
              <w:right w:val="nil"/>
            </w:tcBorders>
            <w:shd w:val="clear" w:color="auto" w:fill="auto"/>
            <w:noWrap/>
            <w:vAlign w:val="bottom"/>
          </w:tcPr>
          <w:p w14:paraId="0FB8108A" w14:textId="0EE99B35"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4.602.483</w:t>
            </w:r>
          </w:p>
        </w:tc>
      </w:tr>
      <w:tr w:rsidR="001C3DEB" w:rsidRPr="00615B48" w14:paraId="54DA76E6" w14:textId="77777777" w:rsidTr="006E1AF7">
        <w:trPr>
          <w:trHeight w:val="285"/>
          <w:jc w:val="center"/>
        </w:trPr>
        <w:tc>
          <w:tcPr>
            <w:tcW w:w="4907" w:type="dxa"/>
            <w:tcBorders>
              <w:top w:val="nil"/>
              <w:left w:val="nil"/>
              <w:bottom w:val="nil"/>
              <w:right w:val="nil"/>
            </w:tcBorders>
            <w:shd w:val="clear" w:color="auto" w:fill="auto"/>
            <w:vAlign w:val="bottom"/>
            <w:hideMark/>
          </w:tcPr>
          <w:p w14:paraId="5E98DADD"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Resultados no asignados</w:t>
            </w:r>
          </w:p>
        </w:tc>
        <w:tc>
          <w:tcPr>
            <w:tcW w:w="737" w:type="dxa"/>
            <w:tcBorders>
              <w:top w:val="nil"/>
              <w:left w:val="nil"/>
              <w:bottom w:val="nil"/>
              <w:right w:val="nil"/>
            </w:tcBorders>
            <w:shd w:val="clear" w:color="auto" w:fill="auto"/>
            <w:vAlign w:val="bottom"/>
            <w:hideMark/>
          </w:tcPr>
          <w:p w14:paraId="29113417" w14:textId="77777777" w:rsidR="001C3DEB" w:rsidRPr="00615B48" w:rsidRDefault="001C3DEB" w:rsidP="001C3DEB">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14082E19" w14:textId="126B1650" w:rsidR="001C3DEB" w:rsidRPr="00E43FE4" w:rsidRDefault="001C3DEB">
            <w:pPr>
              <w:jc w:val="right"/>
              <w:rPr>
                <w:rFonts w:ascii="Arial" w:hAnsi="Arial" w:cs="Arial"/>
                <w:sz w:val="16"/>
                <w:szCs w:val="16"/>
              </w:rPr>
            </w:pPr>
            <w:r>
              <w:rPr>
                <w:rFonts w:ascii="Arial" w:hAnsi="Arial" w:cs="Arial"/>
                <w:sz w:val="16"/>
                <w:szCs w:val="16"/>
              </w:rPr>
              <w:t xml:space="preserve">8.623 </w:t>
            </w:r>
          </w:p>
        </w:tc>
        <w:tc>
          <w:tcPr>
            <w:tcW w:w="1276" w:type="dxa"/>
            <w:tcBorders>
              <w:top w:val="nil"/>
              <w:left w:val="nil"/>
              <w:bottom w:val="nil"/>
              <w:right w:val="nil"/>
            </w:tcBorders>
            <w:shd w:val="clear" w:color="auto" w:fill="auto"/>
            <w:noWrap/>
            <w:vAlign w:val="bottom"/>
          </w:tcPr>
          <w:p w14:paraId="18DD4376" w14:textId="2ECCE69C"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-930.</w:t>
            </w:r>
            <w:r w:rsidR="00C92B14" w:rsidRPr="00E43FE4">
              <w:rPr>
                <w:rFonts w:ascii="Arial" w:hAnsi="Arial" w:cs="Arial"/>
                <w:sz w:val="16"/>
                <w:szCs w:val="16"/>
              </w:rPr>
              <w:t>22</w:t>
            </w:r>
            <w:r w:rsidR="00C92B14">
              <w:rPr>
                <w:rFonts w:ascii="Arial" w:hAnsi="Arial" w:cs="Arial"/>
                <w:sz w:val="16"/>
                <w:szCs w:val="16"/>
              </w:rPr>
              <w:t>2</w:t>
            </w:r>
          </w:p>
        </w:tc>
      </w:tr>
      <w:tr w:rsidR="001C3DEB" w:rsidRPr="00615B48" w14:paraId="2E9D99AC" w14:textId="77777777" w:rsidTr="006E1AF7">
        <w:trPr>
          <w:trHeight w:val="285"/>
          <w:jc w:val="center"/>
        </w:trPr>
        <w:tc>
          <w:tcPr>
            <w:tcW w:w="4907" w:type="dxa"/>
            <w:tcBorders>
              <w:top w:val="nil"/>
              <w:left w:val="nil"/>
              <w:bottom w:val="nil"/>
              <w:right w:val="nil"/>
            </w:tcBorders>
            <w:shd w:val="clear" w:color="auto" w:fill="auto"/>
            <w:vAlign w:val="bottom"/>
            <w:hideMark/>
          </w:tcPr>
          <w:p w14:paraId="5C10372F" w14:textId="77777777"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Otros Resultados Integrales acumulados</w:t>
            </w:r>
          </w:p>
        </w:tc>
        <w:tc>
          <w:tcPr>
            <w:tcW w:w="737" w:type="dxa"/>
            <w:tcBorders>
              <w:top w:val="nil"/>
              <w:left w:val="nil"/>
              <w:bottom w:val="nil"/>
              <w:right w:val="nil"/>
            </w:tcBorders>
            <w:shd w:val="clear" w:color="auto" w:fill="auto"/>
            <w:vAlign w:val="bottom"/>
            <w:hideMark/>
          </w:tcPr>
          <w:p w14:paraId="7521F9E9" w14:textId="77777777" w:rsidR="001C3DEB" w:rsidRPr="00615B48" w:rsidRDefault="001C3DEB" w:rsidP="001C3DEB">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337D58CE" w14:textId="3143BA87" w:rsidR="001C3DEB" w:rsidRPr="00E43FE4" w:rsidRDefault="001C3DEB">
            <w:pPr>
              <w:jc w:val="right"/>
              <w:rPr>
                <w:rFonts w:ascii="Arial" w:hAnsi="Arial" w:cs="Arial"/>
                <w:sz w:val="16"/>
                <w:szCs w:val="16"/>
              </w:rPr>
            </w:pPr>
            <w:r>
              <w:rPr>
                <w:rFonts w:ascii="Arial" w:hAnsi="Arial" w:cs="Arial"/>
                <w:sz w:val="16"/>
                <w:szCs w:val="16"/>
              </w:rPr>
              <w:t xml:space="preserve">1.037.113 </w:t>
            </w:r>
          </w:p>
        </w:tc>
        <w:tc>
          <w:tcPr>
            <w:tcW w:w="1276" w:type="dxa"/>
            <w:tcBorders>
              <w:top w:val="nil"/>
              <w:left w:val="nil"/>
              <w:bottom w:val="nil"/>
              <w:right w:val="nil"/>
            </w:tcBorders>
            <w:shd w:val="clear" w:color="auto" w:fill="auto"/>
            <w:noWrap/>
            <w:vAlign w:val="bottom"/>
          </w:tcPr>
          <w:p w14:paraId="6AC4A5BC" w14:textId="39171001"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589.504</w:t>
            </w:r>
          </w:p>
        </w:tc>
      </w:tr>
      <w:tr w:rsidR="001C3DEB" w:rsidRPr="00615B48" w14:paraId="06461AF3" w14:textId="77777777" w:rsidTr="006E1AF7">
        <w:trPr>
          <w:trHeight w:val="285"/>
          <w:jc w:val="center"/>
        </w:trPr>
        <w:tc>
          <w:tcPr>
            <w:tcW w:w="4907" w:type="dxa"/>
            <w:tcBorders>
              <w:top w:val="nil"/>
              <w:left w:val="nil"/>
              <w:bottom w:val="nil"/>
              <w:right w:val="nil"/>
            </w:tcBorders>
            <w:shd w:val="clear" w:color="auto" w:fill="auto"/>
            <w:vAlign w:val="bottom"/>
            <w:hideMark/>
          </w:tcPr>
          <w:p w14:paraId="6F1D195F" w14:textId="206B3673" w:rsidR="001C3DEB" w:rsidRPr="00615B48" w:rsidRDefault="001C3DEB" w:rsidP="001C3DEB">
            <w:pPr>
              <w:ind w:firstLineChars="300" w:firstLine="480"/>
              <w:rPr>
                <w:rFonts w:ascii="Arial" w:hAnsi="Arial" w:cs="Arial"/>
                <w:sz w:val="16"/>
                <w:szCs w:val="16"/>
                <w:lang w:eastAsia="es-AR"/>
              </w:rPr>
            </w:pPr>
            <w:r w:rsidRPr="00615B48">
              <w:rPr>
                <w:rFonts w:ascii="Arial" w:hAnsi="Arial" w:cs="Arial"/>
                <w:sz w:val="16"/>
                <w:szCs w:val="16"/>
                <w:lang w:eastAsia="es-AR"/>
              </w:rPr>
              <w:t xml:space="preserve">Resultado del </w:t>
            </w:r>
            <w:r>
              <w:rPr>
                <w:rFonts w:ascii="Arial" w:hAnsi="Arial" w:cs="Arial"/>
                <w:sz w:val="16"/>
                <w:szCs w:val="16"/>
                <w:lang w:eastAsia="es-AR"/>
              </w:rPr>
              <w:t>ejercicio</w:t>
            </w:r>
          </w:p>
        </w:tc>
        <w:tc>
          <w:tcPr>
            <w:tcW w:w="737" w:type="dxa"/>
            <w:tcBorders>
              <w:top w:val="nil"/>
              <w:left w:val="nil"/>
              <w:bottom w:val="nil"/>
              <w:right w:val="nil"/>
            </w:tcBorders>
            <w:shd w:val="clear" w:color="auto" w:fill="auto"/>
            <w:vAlign w:val="bottom"/>
            <w:hideMark/>
          </w:tcPr>
          <w:p w14:paraId="4A635310" w14:textId="77777777" w:rsidR="001C3DEB" w:rsidRPr="00615B48" w:rsidRDefault="001C3DEB" w:rsidP="001C3DEB">
            <w:pPr>
              <w:ind w:firstLineChars="300" w:firstLine="480"/>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5F7668E6" w14:textId="0E57A11E" w:rsidR="001C3DEB" w:rsidRPr="00E43FE4" w:rsidRDefault="001C3DEB">
            <w:pPr>
              <w:jc w:val="right"/>
              <w:rPr>
                <w:rFonts w:ascii="Arial" w:hAnsi="Arial" w:cs="Arial"/>
                <w:sz w:val="16"/>
                <w:szCs w:val="16"/>
              </w:rPr>
            </w:pPr>
            <w:r>
              <w:rPr>
                <w:rFonts w:ascii="Arial" w:hAnsi="Arial" w:cs="Arial"/>
                <w:sz w:val="16"/>
                <w:szCs w:val="16"/>
              </w:rPr>
              <w:t xml:space="preserve">3.320.416 </w:t>
            </w:r>
          </w:p>
        </w:tc>
        <w:tc>
          <w:tcPr>
            <w:tcW w:w="1276" w:type="dxa"/>
            <w:tcBorders>
              <w:top w:val="nil"/>
              <w:left w:val="nil"/>
              <w:bottom w:val="nil"/>
              <w:right w:val="nil"/>
            </w:tcBorders>
            <w:shd w:val="clear" w:color="auto" w:fill="auto"/>
            <w:noWrap/>
            <w:vAlign w:val="bottom"/>
          </w:tcPr>
          <w:p w14:paraId="5CA32275" w14:textId="547A9A9A" w:rsidR="001C3DEB" w:rsidRPr="00615B48" w:rsidRDefault="001C3DEB" w:rsidP="001C3DEB">
            <w:pPr>
              <w:jc w:val="right"/>
              <w:rPr>
                <w:rFonts w:ascii="Arial" w:hAnsi="Arial" w:cs="Arial"/>
                <w:sz w:val="16"/>
                <w:szCs w:val="16"/>
                <w:lang w:val="es-ES_tradnl" w:eastAsia="es-AR"/>
              </w:rPr>
            </w:pPr>
            <w:r w:rsidRPr="00E43FE4">
              <w:rPr>
                <w:rFonts w:ascii="Arial" w:hAnsi="Arial" w:cs="Arial"/>
                <w:sz w:val="16"/>
                <w:szCs w:val="16"/>
              </w:rPr>
              <w:t>1.670.515</w:t>
            </w:r>
          </w:p>
        </w:tc>
      </w:tr>
      <w:tr w:rsidR="001C3DEB" w:rsidRPr="00615B48" w14:paraId="71DD184B" w14:textId="77777777" w:rsidTr="006E1AF7">
        <w:trPr>
          <w:trHeight w:val="285"/>
          <w:jc w:val="center"/>
        </w:trPr>
        <w:tc>
          <w:tcPr>
            <w:tcW w:w="4907" w:type="dxa"/>
            <w:tcBorders>
              <w:top w:val="nil"/>
              <w:left w:val="nil"/>
              <w:bottom w:val="nil"/>
              <w:right w:val="nil"/>
            </w:tcBorders>
            <w:shd w:val="clear" w:color="auto" w:fill="auto"/>
            <w:vAlign w:val="bottom"/>
            <w:hideMark/>
          </w:tcPr>
          <w:p w14:paraId="4A848B42" w14:textId="77777777"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Patrimonio Neto atribuible a los propietarios de la controladora</w:t>
            </w:r>
          </w:p>
        </w:tc>
        <w:tc>
          <w:tcPr>
            <w:tcW w:w="737" w:type="dxa"/>
            <w:tcBorders>
              <w:top w:val="nil"/>
              <w:left w:val="nil"/>
              <w:bottom w:val="nil"/>
              <w:right w:val="nil"/>
            </w:tcBorders>
            <w:shd w:val="clear" w:color="auto" w:fill="auto"/>
            <w:vAlign w:val="bottom"/>
            <w:hideMark/>
          </w:tcPr>
          <w:p w14:paraId="59DF388B" w14:textId="77777777" w:rsidR="001C3DEB" w:rsidRPr="00615B48" w:rsidRDefault="001C3DEB" w:rsidP="001C3DEB">
            <w:pPr>
              <w:jc w:val="center"/>
              <w:rPr>
                <w:rFonts w:ascii="Arial" w:hAnsi="Arial" w:cs="Arial"/>
                <w:sz w:val="16"/>
                <w:szCs w:val="16"/>
                <w:lang w:eastAsia="es-AR"/>
              </w:rPr>
            </w:pPr>
          </w:p>
        </w:tc>
        <w:tc>
          <w:tcPr>
            <w:tcW w:w="1417" w:type="dxa"/>
            <w:tcBorders>
              <w:top w:val="nil"/>
              <w:left w:val="nil"/>
              <w:bottom w:val="nil"/>
              <w:right w:val="nil"/>
            </w:tcBorders>
            <w:shd w:val="clear" w:color="auto" w:fill="auto"/>
            <w:noWrap/>
            <w:vAlign w:val="bottom"/>
          </w:tcPr>
          <w:p w14:paraId="638916F8" w14:textId="52CCA7BB" w:rsidR="001C3DEB" w:rsidRPr="00687942" w:rsidRDefault="001C3DEB">
            <w:pPr>
              <w:jc w:val="right"/>
              <w:rPr>
                <w:rFonts w:ascii="Arial" w:hAnsi="Arial" w:cs="Arial"/>
                <w:sz w:val="16"/>
                <w:szCs w:val="16"/>
              </w:rPr>
            </w:pPr>
            <w:r>
              <w:rPr>
                <w:rFonts w:ascii="Arial" w:hAnsi="Arial" w:cs="Arial"/>
                <w:b/>
                <w:bCs/>
                <w:sz w:val="16"/>
                <w:szCs w:val="16"/>
              </w:rPr>
              <w:t xml:space="preserve">17.437.127 </w:t>
            </w:r>
          </w:p>
        </w:tc>
        <w:tc>
          <w:tcPr>
            <w:tcW w:w="1276" w:type="dxa"/>
            <w:tcBorders>
              <w:top w:val="nil"/>
              <w:left w:val="nil"/>
              <w:bottom w:val="nil"/>
              <w:right w:val="nil"/>
            </w:tcBorders>
            <w:shd w:val="clear" w:color="auto" w:fill="auto"/>
            <w:noWrap/>
            <w:vAlign w:val="bottom"/>
          </w:tcPr>
          <w:p w14:paraId="1D430635" w14:textId="770FB5B3" w:rsidR="001C3DEB" w:rsidRPr="00615B48" w:rsidRDefault="001C3DEB" w:rsidP="001C3DEB">
            <w:pPr>
              <w:jc w:val="right"/>
              <w:rPr>
                <w:rFonts w:ascii="Arial" w:hAnsi="Arial" w:cs="Arial"/>
                <w:b/>
                <w:bCs/>
                <w:sz w:val="16"/>
                <w:szCs w:val="16"/>
                <w:lang w:val="es-ES_tradnl" w:eastAsia="es-AR"/>
              </w:rPr>
            </w:pPr>
            <w:r w:rsidRPr="00E43FE4">
              <w:rPr>
                <w:rFonts w:ascii="Arial" w:hAnsi="Arial" w:cs="Arial"/>
                <w:b/>
                <w:bCs/>
                <w:sz w:val="16"/>
                <w:szCs w:val="16"/>
              </w:rPr>
              <w:t>13.185.</w:t>
            </w:r>
            <w:r w:rsidR="00C92B14" w:rsidRPr="00E43FE4">
              <w:rPr>
                <w:rFonts w:ascii="Arial" w:hAnsi="Arial" w:cs="Arial"/>
                <w:b/>
                <w:bCs/>
                <w:sz w:val="16"/>
                <w:szCs w:val="16"/>
              </w:rPr>
              <w:t>4</w:t>
            </w:r>
            <w:r w:rsidR="00C92B14">
              <w:rPr>
                <w:rFonts w:ascii="Arial" w:hAnsi="Arial" w:cs="Arial"/>
                <w:b/>
                <w:bCs/>
                <w:sz w:val="16"/>
                <w:szCs w:val="16"/>
              </w:rPr>
              <w:t>79</w:t>
            </w:r>
          </w:p>
        </w:tc>
      </w:tr>
      <w:tr w:rsidR="001C3DEB" w:rsidRPr="00615B48" w14:paraId="6F37A593" w14:textId="77777777" w:rsidTr="006E1AF7">
        <w:trPr>
          <w:trHeight w:val="285"/>
          <w:jc w:val="center"/>
        </w:trPr>
        <w:tc>
          <w:tcPr>
            <w:tcW w:w="4907" w:type="dxa"/>
            <w:tcBorders>
              <w:top w:val="nil"/>
              <w:left w:val="nil"/>
              <w:bottom w:val="nil"/>
              <w:right w:val="nil"/>
            </w:tcBorders>
            <w:shd w:val="clear" w:color="auto" w:fill="auto"/>
            <w:vAlign w:val="bottom"/>
            <w:hideMark/>
          </w:tcPr>
          <w:p w14:paraId="49F9D8D3" w14:textId="77777777" w:rsidR="001C3DEB" w:rsidRPr="00615B48" w:rsidRDefault="001C3DEB" w:rsidP="001C3DEB">
            <w:pPr>
              <w:rPr>
                <w:rFonts w:ascii="Arial" w:hAnsi="Arial" w:cs="Arial"/>
                <w:sz w:val="16"/>
                <w:szCs w:val="16"/>
                <w:lang w:eastAsia="es-AR"/>
              </w:rPr>
            </w:pPr>
            <w:r w:rsidRPr="00615B48">
              <w:rPr>
                <w:rFonts w:ascii="Arial" w:hAnsi="Arial" w:cs="Arial"/>
                <w:sz w:val="16"/>
                <w:szCs w:val="16"/>
                <w:lang w:eastAsia="es-AR"/>
              </w:rPr>
              <w:t>Patrimonio Neto atribuible a participaciones no controladoras</w:t>
            </w:r>
          </w:p>
        </w:tc>
        <w:tc>
          <w:tcPr>
            <w:tcW w:w="737" w:type="dxa"/>
            <w:tcBorders>
              <w:top w:val="nil"/>
              <w:left w:val="nil"/>
              <w:bottom w:val="nil"/>
              <w:right w:val="nil"/>
            </w:tcBorders>
            <w:shd w:val="clear" w:color="auto" w:fill="auto"/>
            <w:vAlign w:val="bottom"/>
            <w:hideMark/>
          </w:tcPr>
          <w:p w14:paraId="10FFFFEE" w14:textId="29315A24" w:rsidR="001C3DEB" w:rsidRPr="00615B48" w:rsidRDefault="001C3DEB" w:rsidP="001C3DEB">
            <w:pPr>
              <w:jc w:val="center"/>
              <w:rPr>
                <w:rFonts w:ascii="Arial" w:hAnsi="Arial" w:cs="Arial"/>
                <w:sz w:val="16"/>
                <w:szCs w:val="16"/>
                <w:lang w:eastAsia="es-AR"/>
              </w:rPr>
            </w:pPr>
            <w:r>
              <w:rPr>
                <w:rFonts w:ascii="Arial" w:hAnsi="Arial" w:cs="Arial"/>
                <w:sz w:val="16"/>
                <w:szCs w:val="16"/>
                <w:lang w:eastAsia="es-AR"/>
              </w:rPr>
              <w:t>21</w:t>
            </w:r>
          </w:p>
        </w:tc>
        <w:tc>
          <w:tcPr>
            <w:tcW w:w="1417" w:type="dxa"/>
            <w:tcBorders>
              <w:top w:val="nil"/>
              <w:left w:val="nil"/>
              <w:bottom w:val="nil"/>
              <w:right w:val="nil"/>
            </w:tcBorders>
            <w:shd w:val="clear" w:color="auto" w:fill="auto"/>
            <w:noWrap/>
            <w:vAlign w:val="bottom"/>
          </w:tcPr>
          <w:p w14:paraId="480A08CE" w14:textId="104B94BE" w:rsidR="001C3DEB" w:rsidRPr="00E43FE4" w:rsidRDefault="001C3DEB">
            <w:pPr>
              <w:jc w:val="right"/>
              <w:rPr>
                <w:rFonts w:ascii="Arial" w:hAnsi="Arial" w:cs="Arial"/>
                <w:sz w:val="16"/>
                <w:szCs w:val="16"/>
              </w:rPr>
            </w:pPr>
            <w:r>
              <w:rPr>
                <w:rFonts w:ascii="Arial" w:hAnsi="Arial" w:cs="Arial"/>
                <w:sz w:val="16"/>
                <w:szCs w:val="16"/>
              </w:rPr>
              <w:t xml:space="preserve">125.955 </w:t>
            </w:r>
          </w:p>
        </w:tc>
        <w:tc>
          <w:tcPr>
            <w:tcW w:w="1276" w:type="dxa"/>
            <w:tcBorders>
              <w:top w:val="nil"/>
              <w:left w:val="nil"/>
              <w:bottom w:val="nil"/>
              <w:right w:val="nil"/>
            </w:tcBorders>
            <w:shd w:val="clear" w:color="auto" w:fill="auto"/>
            <w:noWrap/>
            <w:vAlign w:val="bottom"/>
          </w:tcPr>
          <w:p w14:paraId="44009B48" w14:textId="51B4F943" w:rsidR="001C3DEB" w:rsidRPr="00615B48" w:rsidRDefault="001C3DEB" w:rsidP="001C3DEB">
            <w:pPr>
              <w:jc w:val="right"/>
              <w:rPr>
                <w:rFonts w:ascii="Arial" w:hAnsi="Arial" w:cs="Arial"/>
                <w:sz w:val="16"/>
                <w:szCs w:val="16"/>
                <w:lang w:eastAsia="es-AR"/>
              </w:rPr>
            </w:pPr>
            <w:r w:rsidRPr="00E43FE4">
              <w:rPr>
                <w:rFonts w:ascii="Arial" w:hAnsi="Arial" w:cs="Arial"/>
                <w:sz w:val="16"/>
                <w:szCs w:val="16"/>
              </w:rPr>
              <w:t>63.044</w:t>
            </w:r>
          </w:p>
        </w:tc>
      </w:tr>
      <w:tr w:rsidR="006D7E28" w:rsidRPr="00E43FE4" w14:paraId="2F0627C8" w14:textId="77777777" w:rsidTr="006D7E28">
        <w:trPr>
          <w:trHeight w:val="80"/>
          <w:jc w:val="center"/>
        </w:trPr>
        <w:tc>
          <w:tcPr>
            <w:tcW w:w="4907" w:type="dxa"/>
            <w:tcBorders>
              <w:top w:val="nil"/>
              <w:left w:val="nil"/>
              <w:bottom w:val="nil"/>
              <w:right w:val="nil"/>
            </w:tcBorders>
            <w:shd w:val="clear" w:color="auto" w:fill="auto"/>
            <w:hideMark/>
          </w:tcPr>
          <w:p w14:paraId="44D7F861" w14:textId="77777777" w:rsidR="006D7E28" w:rsidRPr="00E43FE4" w:rsidRDefault="006D7E28" w:rsidP="006D7E28">
            <w:pPr>
              <w:rPr>
                <w:rFonts w:ascii="Arial" w:hAnsi="Arial" w:cs="Arial"/>
                <w:sz w:val="10"/>
                <w:szCs w:val="10"/>
                <w:lang w:eastAsia="es-AR"/>
              </w:rPr>
            </w:pPr>
          </w:p>
        </w:tc>
        <w:tc>
          <w:tcPr>
            <w:tcW w:w="737" w:type="dxa"/>
            <w:tcBorders>
              <w:top w:val="nil"/>
              <w:left w:val="nil"/>
              <w:bottom w:val="nil"/>
              <w:right w:val="nil"/>
            </w:tcBorders>
            <w:shd w:val="clear" w:color="auto" w:fill="auto"/>
            <w:vAlign w:val="bottom"/>
            <w:hideMark/>
          </w:tcPr>
          <w:p w14:paraId="2C60845F" w14:textId="77777777" w:rsidR="006D7E28" w:rsidRPr="00E43FE4" w:rsidRDefault="006D7E28" w:rsidP="006D7E28">
            <w:pPr>
              <w:jc w:val="center"/>
              <w:rPr>
                <w:rFonts w:ascii="Arial" w:hAnsi="Arial" w:cs="Arial"/>
                <w:sz w:val="10"/>
                <w:szCs w:val="10"/>
                <w:lang w:eastAsia="es-AR"/>
              </w:rPr>
            </w:pPr>
          </w:p>
        </w:tc>
        <w:tc>
          <w:tcPr>
            <w:tcW w:w="1417" w:type="dxa"/>
            <w:tcBorders>
              <w:top w:val="nil"/>
              <w:left w:val="nil"/>
              <w:bottom w:val="nil"/>
              <w:right w:val="nil"/>
            </w:tcBorders>
            <w:shd w:val="clear" w:color="auto" w:fill="auto"/>
            <w:noWrap/>
            <w:vAlign w:val="bottom"/>
          </w:tcPr>
          <w:p w14:paraId="0DC2EFE8" w14:textId="75C4B216" w:rsidR="006D7E28" w:rsidRPr="00534414" w:rsidRDefault="006D7E28" w:rsidP="006D7E28">
            <w:pPr>
              <w:jc w:val="right"/>
              <w:rPr>
                <w:rFonts w:ascii="Arial" w:hAnsi="Arial" w:cs="Arial"/>
                <w:sz w:val="16"/>
                <w:szCs w:val="16"/>
              </w:rPr>
            </w:pPr>
          </w:p>
        </w:tc>
        <w:tc>
          <w:tcPr>
            <w:tcW w:w="1276" w:type="dxa"/>
            <w:tcBorders>
              <w:top w:val="nil"/>
              <w:left w:val="nil"/>
              <w:bottom w:val="nil"/>
              <w:right w:val="nil"/>
            </w:tcBorders>
            <w:shd w:val="clear" w:color="auto" w:fill="auto"/>
            <w:noWrap/>
            <w:vAlign w:val="bottom"/>
          </w:tcPr>
          <w:p w14:paraId="0A7A3E06" w14:textId="77777777" w:rsidR="006D7E28" w:rsidRPr="00E43FE4" w:rsidRDefault="006D7E28" w:rsidP="006D7E28">
            <w:pPr>
              <w:jc w:val="right"/>
              <w:rPr>
                <w:rFonts w:ascii="Arial" w:hAnsi="Arial" w:cs="Arial"/>
                <w:sz w:val="10"/>
                <w:szCs w:val="10"/>
                <w:lang w:eastAsia="es-AR"/>
              </w:rPr>
            </w:pPr>
          </w:p>
        </w:tc>
      </w:tr>
      <w:tr w:rsidR="001C3DEB" w:rsidRPr="00615B48" w14:paraId="01C8DECE" w14:textId="77777777" w:rsidTr="006E1AF7">
        <w:trPr>
          <w:trHeight w:val="285"/>
          <w:jc w:val="center"/>
        </w:trPr>
        <w:tc>
          <w:tcPr>
            <w:tcW w:w="4907" w:type="dxa"/>
            <w:tcBorders>
              <w:top w:val="nil"/>
              <w:left w:val="nil"/>
              <w:bottom w:val="nil"/>
              <w:right w:val="nil"/>
            </w:tcBorders>
            <w:shd w:val="clear" w:color="auto" w:fill="auto"/>
            <w:hideMark/>
          </w:tcPr>
          <w:p w14:paraId="1A30FEEC" w14:textId="77777777" w:rsidR="001C3DEB" w:rsidRPr="00615B48" w:rsidRDefault="001C3DEB" w:rsidP="001C3DEB">
            <w:pPr>
              <w:rPr>
                <w:rFonts w:ascii="Arial" w:hAnsi="Arial" w:cs="Arial"/>
                <w:b/>
                <w:bCs/>
                <w:sz w:val="16"/>
                <w:szCs w:val="16"/>
                <w:lang w:eastAsia="es-AR"/>
              </w:rPr>
            </w:pPr>
            <w:r w:rsidRPr="00615B48">
              <w:rPr>
                <w:rFonts w:ascii="Arial" w:hAnsi="Arial" w:cs="Arial"/>
                <w:b/>
                <w:bCs/>
                <w:sz w:val="16"/>
                <w:szCs w:val="16"/>
                <w:lang w:eastAsia="es-AR"/>
              </w:rPr>
              <w:t>TOTAL DEL PATRIMONIO NETO</w:t>
            </w:r>
          </w:p>
        </w:tc>
        <w:tc>
          <w:tcPr>
            <w:tcW w:w="737" w:type="dxa"/>
            <w:tcBorders>
              <w:top w:val="nil"/>
              <w:left w:val="nil"/>
              <w:bottom w:val="nil"/>
              <w:right w:val="nil"/>
            </w:tcBorders>
            <w:shd w:val="clear" w:color="auto" w:fill="auto"/>
            <w:vAlign w:val="bottom"/>
            <w:hideMark/>
          </w:tcPr>
          <w:p w14:paraId="64B06059" w14:textId="77777777" w:rsidR="001C3DEB" w:rsidRPr="00615B48" w:rsidRDefault="001C3DEB" w:rsidP="001C3DEB">
            <w:pPr>
              <w:jc w:val="center"/>
              <w:rPr>
                <w:rFonts w:ascii="Arial" w:hAnsi="Arial" w:cs="Arial"/>
                <w:b/>
                <w:bCs/>
                <w:sz w:val="16"/>
                <w:szCs w:val="16"/>
                <w:lang w:eastAsia="es-AR"/>
              </w:rPr>
            </w:pPr>
          </w:p>
        </w:tc>
        <w:tc>
          <w:tcPr>
            <w:tcW w:w="1417" w:type="dxa"/>
            <w:tcBorders>
              <w:top w:val="single" w:sz="4" w:space="0" w:color="auto"/>
              <w:left w:val="nil"/>
              <w:bottom w:val="nil"/>
              <w:right w:val="nil"/>
            </w:tcBorders>
            <w:shd w:val="clear" w:color="auto" w:fill="auto"/>
            <w:noWrap/>
            <w:vAlign w:val="bottom"/>
          </w:tcPr>
          <w:p w14:paraId="5D6D3483" w14:textId="3E95EE67" w:rsidR="001C3DEB" w:rsidRPr="006C22C0" w:rsidRDefault="001C3DEB">
            <w:pPr>
              <w:jc w:val="right"/>
              <w:rPr>
                <w:rFonts w:ascii="Arial" w:hAnsi="Arial" w:cs="Arial"/>
                <w:b/>
                <w:bCs/>
                <w:sz w:val="16"/>
                <w:szCs w:val="16"/>
                <w:lang w:eastAsia="es-AR"/>
              </w:rPr>
            </w:pPr>
            <w:r>
              <w:rPr>
                <w:rFonts w:ascii="Arial" w:hAnsi="Arial" w:cs="Arial"/>
                <w:b/>
                <w:bCs/>
                <w:sz w:val="16"/>
                <w:szCs w:val="16"/>
              </w:rPr>
              <w:t xml:space="preserve">17.563.082 </w:t>
            </w:r>
          </w:p>
        </w:tc>
        <w:tc>
          <w:tcPr>
            <w:tcW w:w="1276" w:type="dxa"/>
            <w:tcBorders>
              <w:top w:val="single" w:sz="4" w:space="0" w:color="auto"/>
              <w:left w:val="nil"/>
              <w:bottom w:val="nil"/>
              <w:right w:val="nil"/>
            </w:tcBorders>
            <w:shd w:val="clear" w:color="auto" w:fill="auto"/>
            <w:noWrap/>
            <w:vAlign w:val="bottom"/>
          </w:tcPr>
          <w:p w14:paraId="41845AEF" w14:textId="30BA7C07" w:rsidR="001C3DEB" w:rsidRPr="006C22C0" w:rsidRDefault="001C3DEB" w:rsidP="001C3DEB">
            <w:pPr>
              <w:ind w:left="709" w:hanging="709"/>
              <w:jc w:val="right"/>
              <w:rPr>
                <w:rFonts w:ascii="Arial" w:hAnsi="Arial" w:cs="Arial"/>
                <w:b/>
                <w:bCs/>
                <w:sz w:val="16"/>
                <w:szCs w:val="16"/>
              </w:rPr>
            </w:pPr>
            <w:r w:rsidRPr="00E43FE4">
              <w:rPr>
                <w:rFonts w:ascii="Arial" w:hAnsi="Arial" w:cs="Arial"/>
                <w:b/>
                <w:bCs/>
                <w:sz w:val="16"/>
                <w:szCs w:val="16"/>
              </w:rPr>
              <w:t>13.248.52</w:t>
            </w:r>
            <w:r w:rsidR="00C92B14">
              <w:rPr>
                <w:rFonts w:ascii="Arial" w:hAnsi="Arial" w:cs="Arial"/>
                <w:b/>
                <w:bCs/>
                <w:sz w:val="16"/>
                <w:szCs w:val="16"/>
              </w:rPr>
              <w:t>3</w:t>
            </w:r>
          </w:p>
        </w:tc>
      </w:tr>
      <w:tr w:rsidR="001C3DEB" w:rsidRPr="00E43FE4" w14:paraId="10CBEAFD" w14:textId="77777777" w:rsidTr="006E1AF7">
        <w:trPr>
          <w:trHeight w:val="80"/>
          <w:jc w:val="center"/>
        </w:trPr>
        <w:tc>
          <w:tcPr>
            <w:tcW w:w="4907" w:type="dxa"/>
            <w:tcBorders>
              <w:top w:val="nil"/>
              <w:left w:val="nil"/>
              <w:bottom w:val="nil"/>
              <w:right w:val="nil"/>
            </w:tcBorders>
            <w:shd w:val="clear" w:color="auto" w:fill="auto"/>
            <w:hideMark/>
          </w:tcPr>
          <w:p w14:paraId="12183C96" w14:textId="77777777" w:rsidR="001C3DEB" w:rsidRPr="00E43FE4" w:rsidRDefault="001C3DEB" w:rsidP="001C3DEB">
            <w:pPr>
              <w:rPr>
                <w:rFonts w:ascii="Arial" w:hAnsi="Arial" w:cs="Arial"/>
                <w:b/>
                <w:bCs/>
                <w:sz w:val="10"/>
                <w:szCs w:val="10"/>
                <w:lang w:eastAsia="es-AR"/>
              </w:rPr>
            </w:pPr>
          </w:p>
        </w:tc>
        <w:tc>
          <w:tcPr>
            <w:tcW w:w="737" w:type="dxa"/>
            <w:tcBorders>
              <w:top w:val="nil"/>
              <w:left w:val="nil"/>
              <w:bottom w:val="nil"/>
              <w:right w:val="nil"/>
            </w:tcBorders>
            <w:shd w:val="clear" w:color="auto" w:fill="auto"/>
            <w:vAlign w:val="bottom"/>
            <w:hideMark/>
          </w:tcPr>
          <w:p w14:paraId="46D8FF5D" w14:textId="77777777" w:rsidR="001C3DEB" w:rsidRPr="00E43FE4" w:rsidRDefault="001C3DEB" w:rsidP="001C3DEB">
            <w:pPr>
              <w:jc w:val="center"/>
              <w:rPr>
                <w:rFonts w:ascii="Arial" w:hAnsi="Arial" w:cs="Arial"/>
                <w:sz w:val="10"/>
                <w:szCs w:val="10"/>
                <w:lang w:eastAsia="es-AR"/>
              </w:rPr>
            </w:pPr>
          </w:p>
        </w:tc>
        <w:tc>
          <w:tcPr>
            <w:tcW w:w="1417" w:type="dxa"/>
            <w:tcBorders>
              <w:top w:val="nil"/>
              <w:left w:val="nil"/>
              <w:bottom w:val="nil"/>
              <w:right w:val="nil"/>
            </w:tcBorders>
            <w:shd w:val="clear" w:color="auto" w:fill="auto"/>
            <w:noWrap/>
            <w:vAlign w:val="bottom"/>
          </w:tcPr>
          <w:p w14:paraId="0DC97E76" w14:textId="0D5D93BF" w:rsidR="001C3DEB" w:rsidRPr="00687942" w:rsidRDefault="001C3DEB">
            <w:pPr>
              <w:jc w:val="right"/>
              <w:rPr>
                <w:rFonts w:ascii="Arial" w:hAnsi="Arial" w:cs="Arial"/>
                <w:sz w:val="16"/>
                <w:szCs w:val="16"/>
              </w:rPr>
            </w:pPr>
          </w:p>
        </w:tc>
        <w:tc>
          <w:tcPr>
            <w:tcW w:w="1276" w:type="dxa"/>
            <w:tcBorders>
              <w:top w:val="nil"/>
              <w:left w:val="nil"/>
              <w:bottom w:val="nil"/>
              <w:right w:val="nil"/>
            </w:tcBorders>
            <w:shd w:val="clear" w:color="auto" w:fill="auto"/>
            <w:noWrap/>
            <w:vAlign w:val="bottom"/>
          </w:tcPr>
          <w:p w14:paraId="06052905" w14:textId="77777777" w:rsidR="001C3DEB" w:rsidRPr="00E43FE4" w:rsidRDefault="001C3DEB" w:rsidP="001C3DEB">
            <w:pPr>
              <w:jc w:val="right"/>
              <w:rPr>
                <w:rFonts w:ascii="Arial" w:hAnsi="Arial" w:cs="Arial"/>
                <w:sz w:val="10"/>
                <w:szCs w:val="10"/>
                <w:lang w:eastAsia="es-AR"/>
              </w:rPr>
            </w:pPr>
          </w:p>
        </w:tc>
      </w:tr>
      <w:tr w:rsidR="001C3DEB" w:rsidRPr="00615B48" w14:paraId="1B2F77F3" w14:textId="77777777" w:rsidTr="006E1AF7">
        <w:trPr>
          <w:trHeight w:val="285"/>
          <w:jc w:val="center"/>
        </w:trPr>
        <w:tc>
          <w:tcPr>
            <w:tcW w:w="4907" w:type="dxa"/>
            <w:tcBorders>
              <w:top w:val="nil"/>
              <w:left w:val="nil"/>
              <w:bottom w:val="nil"/>
              <w:right w:val="nil"/>
            </w:tcBorders>
            <w:shd w:val="clear" w:color="auto" w:fill="auto"/>
            <w:hideMark/>
          </w:tcPr>
          <w:p w14:paraId="7A029724" w14:textId="77777777" w:rsidR="001C3DEB" w:rsidRPr="00615B48" w:rsidRDefault="001C3DEB" w:rsidP="001C3DEB">
            <w:pPr>
              <w:rPr>
                <w:rFonts w:ascii="Arial" w:hAnsi="Arial" w:cs="Arial"/>
                <w:b/>
                <w:bCs/>
                <w:sz w:val="16"/>
                <w:szCs w:val="16"/>
                <w:lang w:eastAsia="es-AR"/>
              </w:rPr>
            </w:pPr>
            <w:r w:rsidRPr="00615B48">
              <w:rPr>
                <w:rFonts w:ascii="Arial" w:hAnsi="Arial" w:cs="Arial"/>
                <w:b/>
                <w:bCs/>
                <w:sz w:val="16"/>
                <w:szCs w:val="16"/>
                <w:lang w:eastAsia="es-AR"/>
              </w:rPr>
              <w:t>TOTAL PASIVO MAS PATRIMONIO NETO</w:t>
            </w:r>
          </w:p>
        </w:tc>
        <w:tc>
          <w:tcPr>
            <w:tcW w:w="737" w:type="dxa"/>
            <w:tcBorders>
              <w:top w:val="nil"/>
              <w:left w:val="nil"/>
              <w:bottom w:val="nil"/>
              <w:right w:val="nil"/>
            </w:tcBorders>
            <w:shd w:val="clear" w:color="auto" w:fill="auto"/>
            <w:vAlign w:val="bottom"/>
            <w:hideMark/>
          </w:tcPr>
          <w:p w14:paraId="506D38DD" w14:textId="77777777" w:rsidR="001C3DEB" w:rsidRPr="00615B48" w:rsidRDefault="001C3DEB" w:rsidP="001C3DEB">
            <w:pPr>
              <w:jc w:val="center"/>
              <w:rPr>
                <w:rFonts w:ascii="Arial" w:hAnsi="Arial" w:cs="Arial"/>
                <w:b/>
                <w:bCs/>
                <w:sz w:val="16"/>
                <w:szCs w:val="16"/>
                <w:lang w:eastAsia="es-AR"/>
              </w:rPr>
            </w:pPr>
          </w:p>
        </w:tc>
        <w:tc>
          <w:tcPr>
            <w:tcW w:w="1417" w:type="dxa"/>
            <w:tcBorders>
              <w:top w:val="single" w:sz="4" w:space="0" w:color="auto"/>
              <w:left w:val="nil"/>
              <w:bottom w:val="single" w:sz="4" w:space="0" w:color="auto"/>
              <w:right w:val="nil"/>
            </w:tcBorders>
            <w:shd w:val="clear" w:color="auto" w:fill="auto"/>
            <w:noWrap/>
            <w:vAlign w:val="bottom"/>
          </w:tcPr>
          <w:p w14:paraId="092B48A3" w14:textId="18E7B3CC" w:rsidR="001C3DEB" w:rsidRPr="008630A5" w:rsidRDefault="001C3DEB">
            <w:pPr>
              <w:jc w:val="right"/>
              <w:rPr>
                <w:rFonts w:ascii="Arial" w:hAnsi="Arial" w:cs="Arial"/>
                <w:b/>
                <w:bCs/>
                <w:sz w:val="16"/>
                <w:szCs w:val="16"/>
                <w:lang w:eastAsia="es-AR"/>
              </w:rPr>
            </w:pPr>
            <w:r>
              <w:rPr>
                <w:rFonts w:ascii="Arial" w:hAnsi="Arial" w:cs="Arial"/>
                <w:b/>
                <w:bCs/>
                <w:sz w:val="16"/>
                <w:szCs w:val="16"/>
              </w:rPr>
              <w:t xml:space="preserve">141.598.981 </w:t>
            </w:r>
          </w:p>
        </w:tc>
        <w:tc>
          <w:tcPr>
            <w:tcW w:w="1276" w:type="dxa"/>
            <w:tcBorders>
              <w:top w:val="single" w:sz="4" w:space="0" w:color="auto"/>
              <w:left w:val="nil"/>
              <w:bottom w:val="single" w:sz="4" w:space="0" w:color="auto"/>
              <w:right w:val="nil"/>
            </w:tcBorders>
            <w:shd w:val="clear" w:color="auto" w:fill="auto"/>
            <w:noWrap/>
            <w:vAlign w:val="center"/>
          </w:tcPr>
          <w:p w14:paraId="5C8E3A3A" w14:textId="6B3372B2" w:rsidR="001C3DEB" w:rsidRPr="00EC349E" w:rsidRDefault="001C3DEB" w:rsidP="001C3DEB">
            <w:pPr>
              <w:jc w:val="right"/>
              <w:rPr>
                <w:rFonts w:ascii="Arial" w:hAnsi="Arial" w:cs="Arial"/>
                <w:b/>
                <w:bCs/>
                <w:sz w:val="16"/>
                <w:szCs w:val="16"/>
                <w:lang w:eastAsia="es-AR"/>
              </w:rPr>
            </w:pPr>
            <w:r w:rsidRPr="00E43FE4">
              <w:rPr>
                <w:rFonts w:ascii="Arial" w:hAnsi="Arial" w:cs="Arial"/>
                <w:b/>
                <w:bCs/>
                <w:sz w:val="16"/>
                <w:szCs w:val="16"/>
                <w:lang w:eastAsia="es-AR"/>
              </w:rPr>
              <w:t>137.186.230</w:t>
            </w:r>
          </w:p>
        </w:tc>
      </w:tr>
    </w:tbl>
    <w:p w14:paraId="0B57A91C" w14:textId="78367C15" w:rsidR="009A3256" w:rsidRPr="00701F32" w:rsidRDefault="009A3256" w:rsidP="000428A1">
      <w:pPr>
        <w:tabs>
          <w:tab w:val="left" w:pos="1320"/>
        </w:tabs>
        <w:rPr>
          <w:lang w:eastAsia="es-AR"/>
        </w:rPr>
      </w:pPr>
    </w:p>
    <w:p w14:paraId="3CFF45B4" w14:textId="77777777" w:rsidR="00286343" w:rsidRPr="00701F32" w:rsidRDefault="00286343" w:rsidP="000428A1">
      <w:pPr>
        <w:tabs>
          <w:tab w:val="left" w:pos="1320"/>
        </w:tabs>
        <w:rPr>
          <w:lang w:eastAsia="es-AR"/>
        </w:rPr>
        <w:sectPr w:rsidR="00286343" w:rsidRPr="00701F32" w:rsidSect="00826C1B">
          <w:headerReference w:type="default" r:id="rId9"/>
          <w:footerReference w:type="default" r:id="rId10"/>
          <w:pgSz w:w="11907" w:h="16839" w:code="9"/>
          <w:pgMar w:top="1418" w:right="1701" w:bottom="1418" w:left="1701" w:header="567" w:footer="0" w:gutter="0"/>
          <w:paperSrc w:first="15" w:other="15"/>
          <w:pgNumType w:start="4" w:chapStyle="1"/>
          <w:cols w:space="720"/>
          <w:docGrid w:linePitch="326"/>
        </w:sectPr>
      </w:pPr>
    </w:p>
    <w:tbl>
      <w:tblPr>
        <w:tblW w:w="8077" w:type="dxa"/>
        <w:jc w:val="center"/>
        <w:tblCellMar>
          <w:left w:w="70" w:type="dxa"/>
          <w:right w:w="70" w:type="dxa"/>
        </w:tblCellMar>
        <w:tblLook w:val="04A0" w:firstRow="1" w:lastRow="0" w:firstColumn="1" w:lastColumn="0" w:noHBand="0" w:noVBand="1"/>
      </w:tblPr>
      <w:tblGrid>
        <w:gridCol w:w="5209"/>
        <w:gridCol w:w="630"/>
        <w:gridCol w:w="1066"/>
        <w:gridCol w:w="1172"/>
      </w:tblGrid>
      <w:tr w:rsidR="00A00E52" w:rsidRPr="00826C1B" w14:paraId="1E06C239" w14:textId="77777777" w:rsidTr="00A00E52">
        <w:trPr>
          <w:trHeight w:val="665"/>
          <w:jc w:val="center"/>
        </w:trPr>
        <w:tc>
          <w:tcPr>
            <w:tcW w:w="5209" w:type="dxa"/>
            <w:tcBorders>
              <w:top w:val="single" w:sz="4" w:space="0" w:color="auto"/>
              <w:left w:val="single" w:sz="4" w:space="0" w:color="auto"/>
              <w:bottom w:val="single" w:sz="4" w:space="0" w:color="auto"/>
              <w:right w:val="single" w:sz="4" w:space="0" w:color="363639"/>
            </w:tcBorders>
            <w:shd w:val="clear" w:color="auto" w:fill="BFBFBF" w:themeFill="background1" w:themeFillShade="BF"/>
            <w:vAlign w:val="center"/>
            <w:hideMark/>
          </w:tcPr>
          <w:p w14:paraId="6DAC2410" w14:textId="77777777" w:rsidR="00A00E52" w:rsidRPr="00826C1B" w:rsidRDefault="00A00E52" w:rsidP="00634606">
            <w:pPr>
              <w:jc w:val="center"/>
              <w:rPr>
                <w:rFonts w:ascii="Arial" w:hAnsi="Arial" w:cs="Arial"/>
                <w:b/>
                <w:bCs/>
                <w:sz w:val="16"/>
                <w:szCs w:val="16"/>
                <w:lang w:eastAsia="es-AR"/>
              </w:rPr>
            </w:pPr>
            <w:r w:rsidRPr="00826C1B">
              <w:rPr>
                <w:rFonts w:ascii="Arial" w:hAnsi="Arial" w:cs="Arial"/>
                <w:b/>
                <w:bCs/>
                <w:sz w:val="16"/>
                <w:szCs w:val="16"/>
                <w:lang w:eastAsia="es-AR"/>
              </w:rPr>
              <w:t>Conceptos</w:t>
            </w:r>
          </w:p>
        </w:tc>
        <w:tc>
          <w:tcPr>
            <w:tcW w:w="630" w:type="dxa"/>
            <w:tcBorders>
              <w:top w:val="single" w:sz="4" w:space="0" w:color="auto"/>
              <w:left w:val="single" w:sz="4" w:space="0" w:color="363639"/>
              <w:bottom w:val="single" w:sz="4" w:space="0" w:color="auto"/>
              <w:right w:val="single" w:sz="4" w:space="0" w:color="auto"/>
            </w:tcBorders>
            <w:shd w:val="clear" w:color="auto" w:fill="BFBFBF" w:themeFill="background1" w:themeFillShade="BF"/>
            <w:vAlign w:val="center"/>
            <w:hideMark/>
          </w:tcPr>
          <w:p w14:paraId="7FF07BA9" w14:textId="77777777" w:rsidR="00A00E52" w:rsidRPr="00826C1B" w:rsidRDefault="00A00E52" w:rsidP="00634606">
            <w:pPr>
              <w:jc w:val="center"/>
              <w:rPr>
                <w:rFonts w:ascii="Arial" w:hAnsi="Arial" w:cs="Arial"/>
                <w:b/>
                <w:bCs/>
                <w:sz w:val="16"/>
                <w:szCs w:val="16"/>
                <w:lang w:eastAsia="es-AR"/>
              </w:rPr>
            </w:pPr>
            <w:r w:rsidRPr="00826C1B">
              <w:rPr>
                <w:rFonts w:ascii="Arial" w:hAnsi="Arial" w:cs="Arial"/>
                <w:b/>
                <w:bCs/>
                <w:sz w:val="16"/>
                <w:szCs w:val="16"/>
                <w:lang w:eastAsia="es-AR"/>
              </w:rPr>
              <w:t>Notas</w:t>
            </w:r>
          </w:p>
        </w:tc>
        <w:tc>
          <w:tcPr>
            <w:tcW w:w="106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2F1B7D" w14:textId="06601431" w:rsidR="00A00E52" w:rsidRDefault="00A00E52" w:rsidP="00634606">
            <w:pPr>
              <w:jc w:val="center"/>
              <w:rPr>
                <w:rFonts w:ascii="Arial" w:hAnsi="Arial" w:cs="Arial"/>
                <w:b/>
                <w:bCs/>
                <w:sz w:val="16"/>
                <w:szCs w:val="16"/>
                <w:lang w:eastAsia="es-AR"/>
              </w:rPr>
            </w:pPr>
            <w:r w:rsidRPr="00826C1B">
              <w:rPr>
                <w:rFonts w:ascii="Arial" w:hAnsi="Arial" w:cs="Arial"/>
                <w:b/>
                <w:bCs/>
                <w:sz w:val="16"/>
                <w:szCs w:val="16"/>
                <w:lang w:eastAsia="es-AR"/>
              </w:rPr>
              <w:t>A</w:t>
            </w:r>
            <w:r>
              <w:rPr>
                <w:rFonts w:ascii="Arial" w:hAnsi="Arial" w:cs="Arial"/>
                <w:b/>
                <w:bCs/>
                <w:sz w:val="16"/>
                <w:szCs w:val="16"/>
                <w:lang w:eastAsia="es-AR"/>
              </w:rPr>
              <w:t>l</w:t>
            </w:r>
          </w:p>
          <w:p w14:paraId="6AC5478D" w14:textId="5587A122" w:rsidR="00A00E52" w:rsidRPr="00826C1B" w:rsidRDefault="00A00E52" w:rsidP="00634606">
            <w:pPr>
              <w:jc w:val="center"/>
              <w:rPr>
                <w:rFonts w:ascii="Arial" w:hAnsi="Arial" w:cs="Arial"/>
                <w:b/>
                <w:bCs/>
                <w:sz w:val="16"/>
                <w:szCs w:val="16"/>
                <w:lang w:eastAsia="es-AR"/>
              </w:rPr>
            </w:pPr>
            <w:r w:rsidRPr="00826C1B">
              <w:rPr>
                <w:rFonts w:ascii="Arial" w:hAnsi="Arial" w:cs="Arial"/>
                <w:b/>
                <w:bCs/>
                <w:sz w:val="16"/>
                <w:szCs w:val="16"/>
                <w:lang w:eastAsia="es-AR"/>
              </w:rPr>
              <w:t>3</w:t>
            </w:r>
            <w:r>
              <w:rPr>
                <w:rFonts w:ascii="Arial" w:hAnsi="Arial" w:cs="Arial"/>
                <w:b/>
                <w:bCs/>
                <w:sz w:val="16"/>
                <w:szCs w:val="16"/>
                <w:lang w:eastAsia="es-AR"/>
              </w:rPr>
              <w:t>1</w:t>
            </w:r>
            <w:r w:rsidRPr="00826C1B">
              <w:rPr>
                <w:rFonts w:ascii="Arial" w:hAnsi="Arial" w:cs="Arial"/>
                <w:b/>
                <w:bCs/>
                <w:sz w:val="16"/>
                <w:szCs w:val="16"/>
                <w:lang w:eastAsia="es-AR"/>
              </w:rPr>
              <w:t>/</w:t>
            </w:r>
            <w:r>
              <w:rPr>
                <w:rFonts w:ascii="Arial" w:hAnsi="Arial" w:cs="Arial"/>
                <w:b/>
                <w:bCs/>
                <w:sz w:val="16"/>
                <w:szCs w:val="16"/>
                <w:lang w:eastAsia="es-AR"/>
              </w:rPr>
              <w:t>12</w:t>
            </w:r>
            <w:r w:rsidRPr="00826C1B">
              <w:rPr>
                <w:rFonts w:ascii="Arial" w:hAnsi="Arial" w:cs="Arial"/>
                <w:b/>
                <w:bCs/>
                <w:sz w:val="16"/>
                <w:szCs w:val="16"/>
                <w:lang w:eastAsia="es-AR"/>
              </w:rPr>
              <w:t>/201</w:t>
            </w:r>
            <w:r>
              <w:rPr>
                <w:rFonts w:ascii="Arial" w:hAnsi="Arial" w:cs="Arial"/>
                <w:b/>
                <w:bCs/>
                <w:sz w:val="16"/>
                <w:szCs w:val="16"/>
                <w:lang w:eastAsia="es-AR"/>
              </w:rPr>
              <w:t>9</w:t>
            </w:r>
          </w:p>
        </w:tc>
        <w:tc>
          <w:tcPr>
            <w:tcW w:w="117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671AF9" w14:textId="4F3D7D80" w:rsidR="00A00E52" w:rsidRDefault="00A00E52" w:rsidP="00634606">
            <w:pPr>
              <w:jc w:val="center"/>
              <w:rPr>
                <w:rFonts w:ascii="Arial" w:hAnsi="Arial" w:cs="Arial"/>
                <w:b/>
                <w:bCs/>
                <w:sz w:val="16"/>
                <w:szCs w:val="16"/>
                <w:lang w:eastAsia="es-AR"/>
              </w:rPr>
            </w:pPr>
            <w:r>
              <w:rPr>
                <w:rFonts w:ascii="Arial" w:hAnsi="Arial" w:cs="Arial"/>
                <w:b/>
                <w:bCs/>
                <w:sz w:val="16"/>
                <w:szCs w:val="16"/>
                <w:lang w:eastAsia="es-AR"/>
              </w:rPr>
              <w:t>Al</w:t>
            </w:r>
          </w:p>
          <w:p w14:paraId="7AA4C42C" w14:textId="5F7DCC7F" w:rsidR="00A00E52" w:rsidRPr="00826C1B" w:rsidRDefault="00A00E52" w:rsidP="00634606">
            <w:pPr>
              <w:jc w:val="center"/>
              <w:rPr>
                <w:rFonts w:ascii="Arial" w:hAnsi="Arial" w:cs="Arial"/>
                <w:b/>
                <w:bCs/>
                <w:sz w:val="16"/>
                <w:szCs w:val="16"/>
                <w:lang w:eastAsia="es-AR"/>
              </w:rPr>
            </w:pPr>
            <w:r w:rsidRPr="00826C1B">
              <w:rPr>
                <w:rFonts w:ascii="Arial" w:hAnsi="Arial" w:cs="Arial"/>
                <w:b/>
                <w:bCs/>
                <w:sz w:val="16"/>
                <w:szCs w:val="16"/>
                <w:lang w:eastAsia="es-AR"/>
              </w:rPr>
              <w:t>3</w:t>
            </w:r>
            <w:r>
              <w:rPr>
                <w:rFonts w:ascii="Arial" w:hAnsi="Arial" w:cs="Arial"/>
                <w:b/>
                <w:bCs/>
                <w:sz w:val="16"/>
                <w:szCs w:val="16"/>
                <w:lang w:eastAsia="es-AR"/>
              </w:rPr>
              <w:t>1</w:t>
            </w:r>
            <w:r w:rsidRPr="00826C1B">
              <w:rPr>
                <w:rFonts w:ascii="Arial" w:hAnsi="Arial" w:cs="Arial"/>
                <w:b/>
                <w:bCs/>
                <w:sz w:val="16"/>
                <w:szCs w:val="16"/>
                <w:lang w:eastAsia="es-AR"/>
              </w:rPr>
              <w:t>/</w:t>
            </w:r>
            <w:r>
              <w:rPr>
                <w:rFonts w:ascii="Arial" w:hAnsi="Arial" w:cs="Arial"/>
                <w:b/>
                <w:bCs/>
                <w:sz w:val="16"/>
                <w:szCs w:val="16"/>
                <w:lang w:eastAsia="es-AR"/>
              </w:rPr>
              <w:t>12</w:t>
            </w:r>
            <w:r w:rsidRPr="00826C1B">
              <w:rPr>
                <w:rFonts w:ascii="Arial" w:hAnsi="Arial" w:cs="Arial"/>
                <w:b/>
                <w:bCs/>
                <w:sz w:val="16"/>
                <w:szCs w:val="16"/>
                <w:lang w:eastAsia="es-AR"/>
              </w:rPr>
              <w:t>/201</w:t>
            </w:r>
            <w:r>
              <w:rPr>
                <w:rFonts w:ascii="Arial" w:hAnsi="Arial" w:cs="Arial"/>
                <w:b/>
                <w:bCs/>
                <w:sz w:val="16"/>
                <w:szCs w:val="16"/>
                <w:lang w:eastAsia="es-AR"/>
              </w:rPr>
              <w:t>8</w:t>
            </w:r>
          </w:p>
        </w:tc>
      </w:tr>
      <w:tr w:rsidR="00A00E52" w:rsidRPr="00826C1B" w14:paraId="2AFB0B5A" w14:textId="77777777" w:rsidTr="00A00E52">
        <w:trPr>
          <w:trHeight w:val="64"/>
          <w:jc w:val="center"/>
        </w:trPr>
        <w:tc>
          <w:tcPr>
            <w:tcW w:w="5209" w:type="dxa"/>
            <w:tcBorders>
              <w:top w:val="single" w:sz="4" w:space="0" w:color="auto"/>
              <w:left w:val="nil"/>
              <w:bottom w:val="nil"/>
              <w:right w:val="nil"/>
            </w:tcBorders>
            <w:shd w:val="clear" w:color="auto" w:fill="auto"/>
            <w:vAlign w:val="center"/>
            <w:hideMark/>
          </w:tcPr>
          <w:p w14:paraId="5112CCEC" w14:textId="77777777" w:rsidR="00A00E52" w:rsidRPr="00826C1B" w:rsidRDefault="00A00E52" w:rsidP="00634606">
            <w:pPr>
              <w:jc w:val="center"/>
              <w:rPr>
                <w:rFonts w:ascii="Arial" w:hAnsi="Arial" w:cs="Arial"/>
                <w:b/>
                <w:bCs/>
                <w:sz w:val="10"/>
                <w:szCs w:val="10"/>
                <w:lang w:eastAsia="es-AR"/>
              </w:rPr>
            </w:pPr>
          </w:p>
        </w:tc>
        <w:tc>
          <w:tcPr>
            <w:tcW w:w="630" w:type="dxa"/>
            <w:tcBorders>
              <w:top w:val="single" w:sz="4" w:space="0" w:color="auto"/>
              <w:left w:val="nil"/>
              <w:bottom w:val="nil"/>
              <w:right w:val="nil"/>
            </w:tcBorders>
            <w:shd w:val="clear" w:color="auto" w:fill="auto"/>
            <w:vAlign w:val="center"/>
            <w:hideMark/>
          </w:tcPr>
          <w:p w14:paraId="594C49C2" w14:textId="77777777" w:rsidR="00A00E52" w:rsidRPr="00826C1B" w:rsidRDefault="00A00E52" w:rsidP="00634606">
            <w:pPr>
              <w:jc w:val="center"/>
              <w:rPr>
                <w:rFonts w:ascii="Arial" w:hAnsi="Arial" w:cs="Arial"/>
                <w:sz w:val="10"/>
                <w:szCs w:val="10"/>
                <w:lang w:eastAsia="es-AR"/>
              </w:rPr>
            </w:pPr>
          </w:p>
        </w:tc>
        <w:tc>
          <w:tcPr>
            <w:tcW w:w="1066" w:type="dxa"/>
            <w:tcBorders>
              <w:top w:val="single" w:sz="4" w:space="0" w:color="auto"/>
              <w:left w:val="nil"/>
              <w:bottom w:val="nil"/>
              <w:right w:val="nil"/>
            </w:tcBorders>
            <w:shd w:val="clear" w:color="auto" w:fill="auto"/>
            <w:vAlign w:val="center"/>
            <w:hideMark/>
          </w:tcPr>
          <w:p w14:paraId="181A829E" w14:textId="26F57528" w:rsidR="00A00E52" w:rsidRPr="00826C1B" w:rsidRDefault="00A00E52" w:rsidP="00634606">
            <w:pPr>
              <w:jc w:val="right"/>
              <w:rPr>
                <w:rFonts w:ascii="Arial" w:hAnsi="Arial" w:cs="Arial"/>
                <w:sz w:val="10"/>
                <w:szCs w:val="10"/>
                <w:lang w:eastAsia="es-AR"/>
              </w:rPr>
            </w:pPr>
          </w:p>
        </w:tc>
        <w:tc>
          <w:tcPr>
            <w:tcW w:w="1172" w:type="dxa"/>
            <w:tcBorders>
              <w:top w:val="single" w:sz="4" w:space="0" w:color="auto"/>
              <w:left w:val="nil"/>
              <w:bottom w:val="nil"/>
              <w:right w:val="nil"/>
            </w:tcBorders>
            <w:shd w:val="clear" w:color="auto" w:fill="auto"/>
            <w:vAlign w:val="center"/>
            <w:hideMark/>
          </w:tcPr>
          <w:p w14:paraId="5CD6795F" w14:textId="646C417F" w:rsidR="00A00E52" w:rsidRPr="00826C1B" w:rsidRDefault="00A00E52" w:rsidP="00634606">
            <w:pPr>
              <w:jc w:val="right"/>
              <w:rPr>
                <w:rFonts w:ascii="Arial" w:hAnsi="Arial" w:cs="Arial"/>
                <w:sz w:val="10"/>
                <w:szCs w:val="10"/>
                <w:lang w:eastAsia="es-AR"/>
              </w:rPr>
            </w:pPr>
          </w:p>
        </w:tc>
      </w:tr>
      <w:tr w:rsidR="00535B74" w:rsidRPr="00826C1B" w14:paraId="76A9B928" w14:textId="77777777" w:rsidTr="006E1AF7">
        <w:trPr>
          <w:trHeight w:val="285"/>
          <w:jc w:val="center"/>
        </w:trPr>
        <w:tc>
          <w:tcPr>
            <w:tcW w:w="5209" w:type="dxa"/>
            <w:tcBorders>
              <w:top w:val="nil"/>
              <w:left w:val="nil"/>
              <w:bottom w:val="nil"/>
              <w:right w:val="nil"/>
            </w:tcBorders>
            <w:shd w:val="clear" w:color="auto" w:fill="auto"/>
            <w:vAlign w:val="center"/>
            <w:hideMark/>
          </w:tcPr>
          <w:p w14:paraId="7BEF4D5D" w14:textId="113A99B9"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 xml:space="preserve">Ingresos por intereses </w:t>
            </w:r>
            <w:r w:rsidRPr="00A00E52">
              <w:rPr>
                <w:rFonts w:ascii="Arial" w:hAnsi="Arial" w:cs="Arial"/>
                <w:b/>
                <w:sz w:val="16"/>
                <w:szCs w:val="16"/>
                <w:lang w:eastAsia="es-AR"/>
              </w:rPr>
              <w:t>(Anexo Q)</w:t>
            </w:r>
          </w:p>
        </w:tc>
        <w:tc>
          <w:tcPr>
            <w:tcW w:w="630" w:type="dxa"/>
            <w:tcBorders>
              <w:top w:val="nil"/>
              <w:left w:val="nil"/>
              <w:bottom w:val="nil"/>
              <w:right w:val="nil"/>
            </w:tcBorders>
            <w:shd w:val="clear" w:color="auto" w:fill="auto"/>
            <w:vAlign w:val="center"/>
            <w:hideMark/>
          </w:tcPr>
          <w:p w14:paraId="2677E88A" w14:textId="695CE8AB" w:rsidR="00535B74" w:rsidRPr="0021178E" w:rsidRDefault="00535B74" w:rsidP="00535B74">
            <w:pPr>
              <w:jc w:val="center"/>
              <w:rPr>
                <w:rFonts w:ascii="Arial" w:hAnsi="Arial" w:cs="Arial"/>
                <w:sz w:val="16"/>
                <w:szCs w:val="16"/>
                <w:lang w:eastAsia="es-AR"/>
              </w:rPr>
            </w:pPr>
            <w:r>
              <w:rPr>
                <w:rFonts w:ascii="Arial" w:hAnsi="Arial" w:cs="Arial"/>
                <w:sz w:val="16"/>
                <w:szCs w:val="16"/>
                <w:lang w:eastAsia="es-AR"/>
              </w:rPr>
              <w:t>6.16</w:t>
            </w:r>
          </w:p>
        </w:tc>
        <w:tc>
          <w:tcPr>
            <w:tcW w:w="1066" w:type="dxa"/>
            <w:tcBorders>
              <w:top w:val="nil"/>
              <w:left w:val="nil"/>
              <w:bottom w:val="nil"/>
              <w:right w:val="nil"/>
            </w:tcBorders>
            <w:shd w:val="clear" w:color="auto" w:fill="auto"/>
            <w:noWrap/>
            <w:vAlign w:val="center"/>
          </w:tcPr>
          <w:p w14:paraId="411CA90C" w14:textId="1026286D" w:rsidR="00535B74" w:rsidRPr="007222D0" w:rsidRDefault="00535B74">
            <w:pPr>
              <w:jc w:val="right"/>
              <w:rPr>
                <w:rFonts w:ascii="Arial" w:hAnsi="Arial" w:cs="Arial"/>
                <w:sz w:val="16"/>
                <w:szCs w:val="16"/>
              </w:rPr>
            </w:pPr>
            <w:r>
              <w:rPr>
                <w:rFonts w:ascii="Arial" w:hAnsi="Arial" w:cs="Arial"/>
                <w:sz w:val="16"/>
                <w:szCs w:val="16"/>
              </w:rPr>
              <w:t xml:space="preserve">36.535.746 </w:t>
            </w:r>
          </w:p>
        </w:tc>
        <w:tc>
          <w:tcPr>
            <w:tcW w:w="1172" w:type="dxa"/>
            <w:tcBorders>
              <w:top w:val="nil"/>
              <w:left w:val="nil"/>
              <w:bottom w:val="nil"/>
              <w:right w:val="nil"/>
            </w:tcBorders>
            <w:shd w:val="clear" w:color="auto" w:fill="auto"/>
            <w:noWrap/>
            <w:vAlign w:val="center"/>
          </w:tcPr>
          <w:p w14:paraId="789E943C" w14:textId="2A0CEC6A" w:rsidR="00535B74" w:rsidRPr="007222D0" w:rsidRDefault="00535B74" w:rsidP="00535B74">
            <w:pPr>
              <w:jc w:val="right"/>
              <w:rPr>
                <w:rFonts w:ascii="Arial" w:hAnsi="Arial" w:cs="Arial"/>
                <w:sz w:val="16"/>
                <w:szCs w:val="16"/>
              </w:rPr>
            </w:pPr>
            <w:r>
              <w:rPr>
                <w:rFonts w:ascii="Arial" w:hAnsi="Arial" w:cs="Arial"/>
                <w:sz w:val="16"/>
                <w:szCs w:val="16"/>
              </w:rPr>
              <w:t>24.784.983</w:t>
            </w:r>
          </w:p>
        </w:tc>
      </w:tr>
      <w:tr w:rsidR="00535B74" w:rsidRPr="00826C1B" w14:paraId="23022549" w14:textId="77777777" w:rsidTr="006E1AF7">
        <w:trPr>
          <w:trHeight w:val="285"/>
          <w:jc w:val="center"/>
        </w:trPr>
        <w:tc>
          <w:tcPr>
            <w:tcW w:w="5209" w:type="dxa"/>
            <w:tcBorders>
              <w:top w:val="nil"/>
              <w:left w:val="nil"/>
              <w:bottom w:val="nil"/>
              <w:right w:val="nil"/>
            </w:tcBorders>
            <w:shd w:val="clear" w:color="auto" w:fill="auto"/>
            <w:vAlign w:val="center"/>
            <w:hideMark/>
          </w:tcPr>
          <w:p w14:paraId="68311B01" w14:textId="63F6B079"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 xml:space="preserve">Egresos por intereses </w:t>
            </w:r>
            <w:r w:rsidRPr="00A00E52">
              <w:rPr>
                <w:rFonts w:ascii="Arial" w:hAnsi="Arial" w:cs="Arial"/>
                <w:b/>
                <w:sz w:val="16"/>
                <w:szCs w:val="16"/>
                <w:lang w:eastAsia="es-AR"/>
              </w:rPr>
              <w:t>(Anexo Q)</w:t>
            </w:r>
          </w:p>
        </w:tc>
        <w:tc>
          <w:tcPr>
            <w:tcW w:w="630" w:type="dxa"/>
            <w:tcBorders>
              <w:top w:val="nil"/>
              <w:left w:val="nil"/>
              <w:bottom w:val="nil"/>
              <w:right w:val="nil"/>
            </w:tcBorders>
            <w:shd w:val="clear" w:color="auto" w:fill="auto"/>
            <w:vAlign w:val="center"/>
            <w:hideMark/>
          </w:tcPr>
          <w:p w14:paraId="3EE5EFB9" w14:textId="436BFE21" w:rsidR="00535B74" w:rsidRPr="0021178E" w:rsidRDefault="00535B74" w:rsidP="00535B74">
            <w:pPr>
              <w:jc w:val="center"/>
              <w:rPr>
                <w:rFonts w:ascii="Arial" w:hAnsi="Arial" w:cs="Arial"/>
                <w:sz w:val="16"/>
                <w:szCs w:val="16"/>
                <w:lang w:eastAsia="es-AR"/>
              </w:rPr>
            </w:pPr>
            <w:r>
              <w:rPr>
                <w:rFonts w:ascii="Arial" w:hAnsi="Arial" w:cs="Arial"/>
                <w:sz w:val="16"/>
                <w:szCs w:val="16"/>
                <w:lang w:eastAsia="es-AR"/>
              </w:rPr>
              <w:t>6.18</w:t>
            </w:r>
          </w:p>
        </w:tc>
        <w:tc>
          <w:tcPr>
            <w:tcW w:w="1066" w:type="dxa"/>
            <w:tcBorders>
              <w:top w:val="nil"/>
              <w:left w:val="nil"/>
              <w:bottom w:val="nil"/>
              <w:right w:val="nil"/>
            </w:tcBorders>
            <w:shd w:val="clear" w:color="auto" w:fill="auto"/>
            <w:noWrap/>
            <w:vAlign w:val="center"/>
          </w:tcPr>
          <w:p w14:paraId="7169253F" w14:textId="22E998DE" w:rsidR="00535B74" w:rsidRPr="007222D0" w:rsidRDefault="00535B74">
            <w:pPr>
              <w:jc w:val="right"/>
              <w:rPr>
                <w:rFonts w:ascii="Arial" w:hAnsi="Arial" w:cs="Arial"/>
                <w:sz w:val="16"/>
                <w:szCs w:val="16"/>
              </w:rPr>
            </w:pPr>
            <w:r>
              <w:rPr>
                <w:rFonts w:ascii="Arial" w:hAnsi="Arial" w:cs="Arial"/>
                <w:sz w:val="16"/>
                <w:szCs w:val="16"/>
              </w:rPr>
              <w:t xml:space="preserve">-28.494.697 </w:t>
            </w:r>
          </w:p>
        </w:tc>
        <w:tc>
          <w:tcPr>
            <w:tcW w:w="1172" w:type="dxa"/>
            <w:tcBorders>
              <w:top w:val="nil"/>
              <w:left w:val="nil"/>
              <w:bottom w:val="nil"/>
              <w:right w:val="nil"/>
            </w:tcBorders>
            <w:shd w:val="clear" w:color="auto" w:fill="auto"/>
            <w:noWrap/>
            <w:vAlign w:val="center"/>
          </w:tcPr>
          <w:p w14:paraId="0D7D8273" w14:textId="5921B388" w:rsidR="00535B74" w:rsidRPr="007222D0" w:rsidRDefault="00535B74" w:rsidP="00535B74">
            <w:pPr>
              <w:jc w:val="right"/>
              <w:rPr>
                <w:rFonts w:ascii="Arial" w:hAnsi="Arial" w:cs="Arial"/>
                <w:sz w:val="16"/>
                <w:szCs w:val="16"/>
              </w:rPr>
            </w:pPr>
            <w:r>
              <w:rPr>
                <w:rFonts w:ascii="Arial" w:hAnsi="Arial" w:cs="Arial"/>
                <w:sz w:val="16"/>
                <w:szCs w:val="16"/>
              </w:rPr>
              <w:t>-14.867.706</w:t>
            </w:r>
          </w:p>
        </w:tc>
      </w:tr>
      <w:tr w:rsidR="00535B74" w:rsidRPr="00826C1B" w14:paraId="6319D1D0" w14:textId="77777777" w:rsidTr="006E1AF7">
        <w:trPr>
          <w:trHeight w:val="285"/>
          <w:jc w:val="center"/>
        </w:trPr>
        <w:tc>
          <w:tcPr>
            <w:tcW w:w="5209" w:type="dxa"/>
            <w:tcBorders>
              <w:top w:val="nil"/>
              <w:left w:val="nil"/>
              <w:bottom w:val="nil"/>
              <w:right w:val="nil"/>
            </w:tcBorders>
            <w:shd w:val="clear" w:color="auto" w:fill="auto"/>
            <w:vAlign w:val="center"/>
            <w:hideMark/>
          </w:tcPr>
          <w:p w14:paraId="245D1B24" w14:textId="77777777" w:rsidR="00535B74" w:rsidRPr="00826C1B" w:rsidRDefault="00535B74" w:rsidP="00535B74">
            <w:pPr>
              <w:rPr>
                <w:rFonts w:ascii="Arial" w:hAnsi="Arial" w:cs="Arial"/>
                <w:b/>
                <w:bCs/>
                <w:sz w:val="16"/>
                <w:szCs w:val="16"/>
                <w:lang w:eastAsia="es-AR"/>
              </w:rPr>
            </w:pPr>
            <w:r w:rsidRPr="00826C1B">
              <w:rPr>
                <w:rFonts w:ascii="Arial" w:hAnsi="Arial" w:cs="Arial"/>
                <w:b/>
                <w:bCs/>
                <w:sz w:val="16"/>
                <w:szCs w:val="16"/>
                <w:lang w:eastAsia="es-AR"/>
              </w:rPr>
              <w:t>Resultado neto por intereses</w:t>
            </w:r>
          </w:p>
        </w:tc>
        <w:tc>
          <w:tcPr>
            <w:tcW w:w="630" w:type="dxa"/>
            <w:tcBorders>
              <w:top w:val="nil"/>
              <w:left w:val="nil"/>
              <w:bottom w:val="nil"/>
              <w:right w:val="nil"/>
            </w:tcBorders>
            <w:shd w:val="clear" w:color="auto" w:fill="auto"/>
            <w:vAlign w:val="center"/>
            <w:hideMark/>
          </w:tcPr>
          <w:p w14:paraId="22E701B5" w14:textId="77777777" w:rsidR="00535B74" w:rsidRPr="0021178E" w:rsidRDefault="00535B74" w:rsidP="00535B74">
            <w:pPr>
              <w:jc w:val="center"/>
              <w:rPr>
                <w:rFonts w:ascii="Arial" w:hAnsi="Arial" w:cs="Arial"/>
                <w:b/>
                <w:bCs/>
                <w:sz w:val="16"/>
                <w:szCs w:val="16"/>
                <w:lang w:eastAsia="es-AR"/>
              </w:rPr>
            </w:pPr>
          </w:p>
        </w:tc>
        <w:tc>
          <w:tcPr>
            <w:tcW w:w="1066" w:type="dxa"/>
            <w:tcBorders>
              <w:top w:val="nil"/>
              <w:left w:val="nil"/>
              <w:bottom w:val="nil"/>
              <w:right w:val="nil"/>
            </w:tcBorders>
            <w:shd w:val="clear" w:color="auto" w:fill="auto"/>
            <w:noWrap/>
            <w:vAlign w:val="center"/>
          </w:tcPr>
          <w:p w14:paraId="15048D36" w14:textId="769A4A1F" w:rsidR="00535B74" w:rsidRPr="007222D0" w:rsidRDefault="00535B74">
            <w:pPr>
              <w:jc w:val="right"/>
              <w:rPr>
                <w:rFonts w:ascii="Arial" w:hAnsi="Arial" w:cs="Arial"/>
                <w:b/>
                <w:sz w:val="16"/>
                <w:szCs w:val="16"/>
              </w:rPr>
            </w:pPr>
            <w:r>
              <w:rPr>
                <w:rFonts w:ascii="Arial" w:hAnsi="Arial" w:cs="Arial"/>
                <w:b/>
                <w:bCs/>
                <w:sz w:val="16"/>
                <w:szCs w:val="16"/>
              </w:rPr>
              <w:t xml:space="preserve">8.041.049 </w:t>
            </w:r>
          </w:p>
        </w:tc>
        <w:tc>
          <w:tcPr>
            <w:tcW w:w="1172" w:type="dxa"/>
            <w:tcBorders>
              <w:top w:val="nil"/>
              <w:left w:val="nil"/>
              <w:bottom w:val="nil"/>
              <w:right w:val="nil"/>
            </w:tcBorders>
            <w:shd w:val="clear" w:color="auto" w:fill="auto"/>
            <w:noWrap/>
            <w:vAlign w:val="center"/>
          </w:tcPr>
          <w:p w14:paraId="18071769" w14:textId="4FBACEB8" w:rsidR="00535B74" w:rsidRPr="007222D0" w:rsidRDefault="00535B74" w:rsidP="00535B74">
            <w:pPr>
              <w:jc w:val="right"/>
              <w:rPr>
                <w:rFonts w:ascii="Arial" w:hAnsi="Arial" w:cs="Arial"/>
                <w:b/>
                <w:sz w:val="16"/>
                <w:szCs w:val="16"/>
              </w:rPr>
            </w:pPr>
            <w:r>
              <w:rPr>
                <w:rFonts w:ascii="Arial" w:hAnsi="Arial" w:cs="Arial"/>
                <w:b/>
                <w:bCs/>
                <w:sz w:val="16"/>
                <w:szCs w:val="16"/>
              </w:rPr>
              <w:t>9.917.277</w:t>
            </w:r>
          </w:p>
        </w:tc>
      </w:tr>
      <w:tr w:rsidR="00535B74" w:rsidRPr="00E43FE4" w14:paraId="63996D4E" w14:textId="77777777" w:rsidTr="006E1AF7">
        <w:trPr>
          <w:trHeight w:val="80"/>
          <w:jc w:val="center"/>
        </w:trPr>
        <w:tc>
          <w:tcPr>
            <w:tcW w:w="5209" w:type="dxa"/>
            <w:tcBorders>
              <w:top w:val="nil"/>
              <w:left w:val="nil"/>
              <w:bottom w:val="nil"/>
              <w:right w:val="nil"/>
            </w:tcBorders>
            <w:shd w:val="clear" w:color="auto" w:fill="auto"/>
            <w:vAlign w:val="center"/>
            <w:hideMark/>
          </w:tcPr>
          <w:p w14:paraId="7092FB04" w14:textId="77777777" w:rsidR="00535B74" w:rsidRPr="00E43FE4" w:rsidRDefault="00535B74" w:rsidP="00535B74">
            <w:pPr>
              <w:rPr>
                <w:rFonts w:ascii="Arial" w:hAnsi="Arial" w:cs="Arial"/>
                <w:b/>
                <w:bCs/>
                <w:sz w:val="10"/>
                <w:szCs w:val="10"/>
                <w:lang w:eastAsia="es-AR"/>
              </w:rPr>
            </w:pPr>
          </w:p>
        </w:tc>
        <w:tc>
          <w:tcPr>
            <w:tcW w:w="630" w:type="dxa"/>
            <w:tcBorders>
              <w:top w:val="nil"/>
              <w:left w:val="nil"/>
              <w:bottom w:val="nil"/>
              <w:right w:val="nil"/>
            </w:tcBorders>
            <w:shd w:val="clear" w:color="auto" w:fill="auto"/>
            <w:vAlign w:val="center"/>
            <w:hideMark/>
          </w:tcPr>
          <w:p w14:paraId="51B4BC37" w14:textId="77777777" w:rsidR="00535B74" w:rsidRPr="0021178E" w:rsidRDefault="00535B74" w:rsidP="00535B74">
            <w:pPr>
              <w:jc w:val="center"/>
              <w:rPr>
                <w:rFonts w:ascii="Arial" w:hAnsi="Arial" w:cs="Arial"/>
                <w:sz w:val="10"/>
                <w:szCs w:val="10"/>
                <w:lang w:eastAsia="es-AR"/>
              </w:rPr>
            </w:pPr>
          </w:p>
        </w:tc>
        <w:tc>
          <w:tcPr>
            <w:tcW w:w="1066" w:type="dxa"/>
            <w:tcBorders>
              <w:top w:val="nil"/>
              <w:left w:val="nil"/>
              <w:bottom w:val="nil"/>
              <w:right w:val="nil"/>
            </w:tcBorders>
            <w:shd w:val="clear" w:color="auto" w:fill="auto"/>
            <w:noWrap/>
            <w:vAlign w:val="center"/>
          </w:tcPr>
          <w:p w14:paraId="709C56CC" w14:textId="59E234C9" w:rsidR="00535B74" w:rsidRPr="007222D0" w:rsidRDefault="00535B74">
            <w:pPr>
              <w:jc w:val="right"/>
              <w:rPr>
                <w:rFonts w:ascii="Arial" w:hAnsi="Arial" w:cs="Arial"/>
                <w:sz w:val="16"/>
                <w:szCs w:val="16"/>
              </w:rPr>
            </w:pPr>
          </w:p>
        </w:tc>
        <w:tc>
          <w:tcPr>
            <w:tcW w:w="1172" w:type="dxa"/>
            <w:tcBorders>
              <w:top w:val="nil"/>
              <w:left w:val="nil"/>
              <w:bottom w:val="nil"/>
              <w:right w:val="nil"/>
            </w:tcBorders>
            <w:shd w:val="clear" w:color="auto" w:fill="auto"/>
            <w:noWrap/>
            <w:vAlign w:val="center"/>
          </w:tcPr>
          <w:p w14:paraId="71A860E0" w14:textId="3B843F7B" w:rsidR="00535B74" w:rsidRPr="007222D0" w:rsidRDefault="00535B74" w:rsidP="00535B74">
            <w:pPr>
              <w:jc w:val="right"/>
              <w:rPr>
                <w:rFonts w:ascii="Arial" w:hAnsi="Arial" w:cs="Arial"/>
                <w:sz w:val="16"/>
                <w:szCs w:val="16"/>
              </w:rPr>
            </w:pPr>
          </w:p>
        </w:tc>
      </w:tr>
      <w:tr w:rsidR="00535B74" w:rsidRPr="00826C1B" w14:paraId="1D3F2A64" w14:textId="77777777" w:rsidTr="006E1AF7">
        <w:trPr>
          <w:trHeight w:val="285"/>
          <w:jc w:val="center"/>
        </w:trPr>
        <w:tc>
          <w:tcPr>
            <w:tcW w:w="5209" w:type="dxa"/>
            <w:tcBorders>
              <w:top w:val="nil"/>
              <w:left w:val="nil"/>
              <w:bottom w:val="nil"/>
              <w:right w:val="nil"/>
            </w:tcBorders>
            <w:shd w:val="clear" w:color="auto" w:fill="auto"/>
            <w:vAlign w:val="center"/>
            <w:hideMark/>
          </w:tcPr>
          <w:p w14:paraId="100333F6" w14:textId="09DCEBF3"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 xml:space="preserve">Ingresos por comisiones </w:t>
            </w:r>
            <w:r w:rsidRPr="00A00E52">
              <w:rPr>
                <w:rFonts w:ascii="Arial" w:hAnsi="Arial" w:cs="Arial"/>
                <w:b/>
                <w:sz w:val="16"/>
                <w:szCs w:val="16"/>
                <w:lang w:eastAsia="es-AR"/>
              </w:rPr>
              <w:t>(Anexo Q)</w:t>
            </w:r>
          </w:p>
        </w:tc>
        <w:tc>
          <w:tcPr>
            <w:tcW w:w="630" w:type="dxa"/>
            <w:tcBorders>
              <w:top w:val="nil"/>
              <w:left w:val="nil"/>
              <w:bottom w:val="nil"/>
              <w:right w:val="nil"/>
            </w:tcBorders>
            <w:shd w:val="clear" w:color="auto" w:fill="auto"/>
            <w:vAlign w:val="center"/>
            <w:hideMark/>
          </w:tcPr>
          <w:p w14:paraId="65ED2A0C" w14:textId="6FD0EBF3" w:rsidR="00535B74" w:rsidRPr="0021178E" w:rsidRDefault="00535B74" w:rsidP="00535B74">
            <w:pPr>
              <w:jc w:val="center"/>
              <w:rPr>
                <w:rFonts w:ascii="Arial" w:hAnsi="Arial" w:cs="Arial"/>
                <w:sz w:val="16"/>
                <w:szCs w:val="16"/>
                <w:lang w:eastAsia="es-AR"/>
              </w:rPr>
            </w:pPr>
            <w:r>
              <w:rPr>
                <w:rFonts w:ascii="Arial" w:hAnsi="Arial" w:cs="Arial"/>
                <w:sz w:val="16"/>
                <w:szCs w:val="16"/>
                <w:lang w:eastAsia="es-AR"/>
              </w:rPr>
              <w:t>6.17</w:t>
            </w:r>
          </w:p>
        </w:tc>
        <w:tc>
          <w:tcPr>
            <w:tcW w:w="1066" w:type="dxa"/>
            <w:tcBorders>
              <w:top w:val="nil"/>
              <w:left w:val="nil"/>
              <w:bottom w:val="nil"/>
              <w:right w:val="nil"/>
            </w:tcBorders>
            <w:shd w:val="clear" w:color="auto" w:fill="auto"/>
            <w:noWrap/>
            <w:vAlign w:val="center"/>
          </w:tcPr>
          <w:p w14:paraId="169540E7" w14:textId="181A806C" w:rsidR="00535B74" w:rsidRPr="007222D0" w:rsidRDefault="00535B74">
            <w:pPr>
              <w:jc w:val="right"/>
              <w:rPr>
                <w:rFonts w:ascii="Arial" w:hAnsi="Arial" w:cs="Arial"/>
                <w:sz w:val="16"/>
                <w:szCs w:val="16"/>
              </w:rPr>
            </w:pPr>
            <w:r>
              <w:rPr>
                <w:rFonts w:ascii="Arial" w:hAnsi="Arial" w:cs="Arial"/>
                <w:sz w:val="16"/>
                <w:szCs w:val="16"/>
              </w:rPr>
              <w:t xml:space="preserve">6.264.169 </w:t>
            </w:r>
          </w:p>
        </w:tc>
        <w:tc>
          <w:tcPr>
            <w:tcW w:w="1172" w:type="dxa"/>
            <w:tcBorders>
              <w:top w:val="nil"/>
              <w:left w:val="nil"/>
              <w:bottom w:val="nil"/>
              <w:right w:val="nil"/>
            </w:tcBorders>
            <w:shd w:val="clear" w:color="auto" w:fill="auto"/>
            <w:noWrap/>
            <w:vAlign w:val="center"/>
          </w:tcPr>
          <w:p w14:paraId="2D291CB6" w14:textId="317A2466" w:rsidR="00535B74" w:rsidRPr="007222D0" w:rsidRDefault="00535B74" w:rsidP="00535B74">
            <w:pPr>
              <w:jc w:val="right"/>
              <w:rPr>
                <w:rFonts w:ascii="Arial" w:hAnsi="Arial" w:cs="Arial"/>
                <w:sz w:val="16"/>
                <w:szCs w:val="16"/>
              </w:rPr>
            </w:pPr>
            <w:r>
              <w:rPr>
                <w:rFonts w:ascii="Arial" w:hAnsi="Arial" w:cs="Arial"/>
                <w:sz w:val="16"/>
                <w:szCs w:val="16"/>
              </w:rPr>
              <w:t>4.322.001</w:t>
            </w:r>
          </w:p>
        </w:tc>
      </w:tr>
      <w:tr w:rsidR="00535B74" w:rsidRPr="00826C1B" w14:paraId="43DA743C" w14:textId="77777777" w:rsidTr="006E1AF7">
        <w:trPr>
          <w:trHeight w:val="285"/>
          <w:jc w:val="center"/>
        </w:trPr>
        <w:tc>
          <w:tcPr>
            <w:tcW w:w="5209" w:type="dxa"/>
            <w:tcBorders>
              <w:top w:val="nil"/>
              <w:left w:val="nil"/>
              <w:bottom w:val="nil"/>
              <w:right w:val="nil"/>
            </w:tcBorders>
            <w:shd w:val="clear" w:color="auto" w:fill="auto"/>
            <w:vAlign w:val="center"/>
            <w:hideMark/>
          </w:tcPr>
          <w:p w14:paraId="1B4A019E" w14:textId="7B548285"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 xml:space="preserve">Egresos por comisiones </w:t>
            </w:r>
            <w:r w:rsidRPr="00A00E52">
              <w:rPr>
                <w:rFonts w:ascii="Arial" w:hAnsi="Arial" w:cs="Arial"/>
                <w:b/>
                <w:sz w:val="16"/>
                <w:szCs w:val="16"/>
                <w:lang w:eastAsia="es-AR"/>
              </w:rPr>
              <w:t>(Anexo Q)</w:t>
            </w:r>
          </w:p>
        </w:tc>
        <w:tc>
          <w:tcPr>
            <w:tcW w:w="630" w:type="dxa"/>
            <w:tcBorders>
              <w:top w:val="nil"/>
              <w:left w:val="nil"/>
              <w:bottom w:val="nil"/>
              <w:right w:val="nil"/>
            </w:tcBorders>
            <w:shd w:val="clear" w:color="auto" w:fill="auto"/>
            <w:vAlign w:val="center"/>
            <w:hideMark/>
          </w:tcPr>
          <w:p w14:paraId="012CC239" w14:textId="020A176D" w:rsidR="00535B74" w:rsidRPr="0021178E" w:rsidRDefault="00535B74" w:rsidP="00535B74">
            <w:pPr>
              <w:jc w:val="center"/>
              <w:rPr>
                <w:rFonts w:ascii="Arial" w:hAnsi="Arial" w:cs="Arial"/>
                <w:sz w:val="16"/>
                <w:szCs w:val="16"/>
                <w:lang w:eastAsia="es-AR"/>
              </w:rPr>
            </w:pPr>
            <w:r>
              <w:rPr>
                <w:rFonts w:ascii="Arial" w:hAnsi="Arial" w:cs="Arial"/>
                <w:sz w:val="16"/>
                <w:szCs w:val="16"/>
                <w:lang w:eastAsia="es-AR"/>
              </w:rPr>
              <w:t>6.19</w:t>
            </w:r>
          </w:p>
        </w:tc>
        <w:tc>
          <w:tcPr>
            <w:tcW w:w="1066" w:type="dxa"/>
            <w:tcBorders>
              <w:top w:val="nil"/>
              <w:left w:val="nil"/>
              <w:bottom w:val="nil"/>
              <w:right w:val="nil"/>
            </w:tcBorders>
            <w:shd w:val="clear" w:color="auto" w:fill="auto"/>
            <w:noWrap/>
            <w:vAlign w:val="center"/>
          </w:tcPr>
          <w:p w14:paraId="5037FF68" w14:textId="4BBD7E22" w:rsidR="00535B74" w:rsidRPr="007222D0" w:rsidRDefault="00535B74">
            <w:pPr>
              <w:jc w:val="right"/>
              <w:rPr>
                <w:rFonts w:ascii="Arial" w:hAnsi="Arial" w:cs="Arial"/>
                <w:sz w:val="16"/>
                <w:szCs w:val="16"/>
              </w:rPr>
            </w:pPr>
            <w:r>
              <w:rPr>
                <w:rFonts w:ascii="Arial" w:hAnsi="Arial" w:cs="Arial"/>
                <w:sz w:val="16"/>
                <w:szCs w:val="16"/>
              </w:rPr>
              <w:t xml:space="preserve">-2.064.799 </w:t>
            </w:r>
          </w:p>
        </w:tc>
        <w:tc>
          <w:tcPr>
            <w:tcW w:w="1172" w:type="dxa"/>
            <w:tcBorders>
              <w:top w:val="nil"/>
              <w:left w:val="nil"/>
              <w:bottom w:val="nil"/>
              <w:right w:val="nil"/>
            </w:tcBorders>
            <w:shd w:val="clear" w:color="auto" w:fill="auto"/>
            <w:noWrap/>
            <w:vAlign w:val="center"/>
          </w:tcPr>
          <w:p w14:paraId="446A7A16" w14:textId="0138D486" w:rsidR="00535B74" w:rsidRPr="007222D0" w:rsidRDefault="00535B74" w:rsidP="00535B74">
            <w:pPr>
              <w:jc w:val="right"/>
              <w:rPr>
                <w:rFonts w:ascii="Arial" w:hAnsi="Arial" w:cs="Arial"/>
                <w:sz w:val="16"/>
                <w:szCs w:val="16"/>
              </w:rPr>
            </w:pPr>
            <w:r>
              <w:rPr>
                <w:rFonts w:ascii="Arial" w:hAnsi="Arial" w:cs="Arial"/>
                <w:sz w:val="16"/>
                <w:szCs w:val="16"/>
              </w:rPr>
              <w:t>-1.375.576</w:t>
            </w:r>
          </w:p>
        </w:tc>
      </w:tr>
      <w:tr w:rsidR="00535B74" w:rsidRPr="00826C1B" w14:paraId="38ACBA76" w14:textId="77777777" w:rsidTr="006E1AF7">
        <w:trPr>
          <w:trHeight w:val="285"/>
          <w:jc w:val="center"/>
        </w:trPr>
        <w:tc>
          <w:tcPr>
            <w:tcW w:w="5209" w:type="dxa"/>
            <w:tcBorders>
              <w:top w:val="nil"/>
              <w:left w:val="nil"/>
              <w:bottom w:val="nil"/>
              <w:right w:val="nil"/>
            </w:tcBorders>
            <w:shd w:val="clear" w:color="auto" w:fill="auto"/>
            <w:vAlign w:val="center"/>
            <w:hideMark/>
          </w:tcPr>
          <w:p w14:paraId="2EA9FE43" w14:textId="77777777" w:rsidR="00535B74" w:rsidRPr="00826C1B" w:rsidRDefault="00535B74" w:rsidP="00535B74">
            <w:pPr>
              <w:rPr>
                <w:rFonts w:ascii="Arial" w:hAnsi="Arial" w:cs="Arial"/>
                <w:b/>
                <w:bCs/>
                <w:sz w:val="16"/>
                <w:szCs w:val="16"/>
                <w:lang w:eastAsia="es-AR"/>
              </w:rPr>
            </w:pPr>
            <w:r w:rsidRPr="00826C1B">
              <w:rPr>
                <w:rFonts w:ascii="Arial" w:hAnsi="Arial" w:cs="Arial"/>
                <w:b/>
                <w:bCs/>
                <w:sz w:val="16"/>
                <w:szCs w:val="16"/>
                <w:lang w:eastAsia="es-AR"/>
              </w:rPr>
              <w:t>Resultado neto por comisiones</w:t>
            </w:r>
          </w:p>
        </w:tc>
        <w:tc>
          <w:tcPr>
            <w:tcW w:w="630" w:type="dxa"/>
            <w:tcBorders>
              <w:top w:val="nil"/>
              <w:left w:val="nil"/>
              <w:bottom w:val="nil"/>
              <w:right w:val="nil"/>
            </w:tcBorders>
            <w:shd w:val="clear" w:color="auto" w:fill="auto"/>
            <w:vAlign w:val="center"/>
            <w:hideMark/>
          </w:tcPr>
          <w:p w14:paraId="4A8C095C" w14:textId="77777777" w:rsidR="00535B74" w:rsidRPr="0021178E" w:rsidRDefault="00535B74" w:rsidP="00535B74">
            <w:pPr>
              <w:jc w:val="center"/>
              <w:rPr>
                <w:rFonts w:ascii="Arial" w:hAnsi="Arial" w:cs="Arial"/>
                <w:b/>
                <w:bCs/>
                <w:sz w:val="16"/>
                <w:szCs w:val="16"/>
                <w:lang w:eastAsia="es-AR"/>
              </w:rPr>
            </w:pPr>
          </w:p>
        </w:tc>
        <w:tc>
          <w:tcPr>
            <w:tcW w:w="1066" w:type="dxa"/>
            <w:tcBorders>
              <w:top w:val="nil"/>
              <w:left w:val="nil"/>
              <w:bottom w:val="nil"/>
              <w:right w:val="nil"/>
            </w:tcBorders>
            <w:shd w:val="clear" w:color="auto" w:fill="auto"/>
            <w:noWrap/>
            <w:vAlign w:val="center"/>
          </w:tcPr>
          <w:p w14:paraId="0ADE74E2" w14:textId="3F9CC275" w:rsidR="00535B74" w:rsidRPr="007222D0" w:rsidRDefault="00535B74">
            <w:pPr>
              <w:jc w:val="right"/>
              <w:rPr>
                <w:rFonts w:ascii="Arial" w:hAnsi="Arial" w:cs="Arial"/>
                <w:b/>
                <w:sz w:val="16"/>
                <w:szCs w:val="16"/>
              </w:rPr>
            </w:pPr>
            <w:r>
              <w:rPr>
                <w:rFonts w:ascii="Arial" w:hAnsi="Arial" w:cs="Arial"/>
                <w:b/>
                <w:bCs/>
                <w:sz w:val="16"/>
                <w:szCs w:val="16"/>
              </w:rPr>
              <w:t xml:space="preserve">4.199.370 </w:t>
            </w:r>
          </w:p>
        </w:tc>
        <w:tc>
          <w:tcPr>
            <w:tcW w:w="1172" w:type="dxa"/>
            <w:tcBorders>
              <w:top w:val="nil"/>
              <w:left w:val="nil"/>
              <w:bottom w:val="nil"/>
              <w:right w:val="nil"/>
            </w:tcBorders>
            <w:shd w:val="clear" w:color="auto" w:fill="auto"/>
            <w:noWrap/>
            <w:vAlign w:val="center"/>
          </w:tcPr>
          <w:p w14:paraId="374DA481" w14:textId="6B9F9740" w:rsidR="00535B74" w:rsidRPr="007222D0" w:rsidRDefault="00535B74" w:rsidP="00535B74">
            <w:pPr>
              <w:jc w:val="right"/>
              <w:rPr>
                <w:rFonts w:ascii="Arial" w:hAnsi="Arial" w:cs="Arial"/>
                <w:b/>
                <w:sz w:val="16"/>
                <w:szCs w:val="16"/>
              </w:rPr>
            </w:pPr>
            <w:r>
              <w:rPr>
                <w:rFonts w:ascii="Arial" w:hAnsi="Arial" w:cs="Arial"/>
                <w:b/>
                <w:bCs/>
                <w:sz w:val="16"/>
                <w:szCs w:val="16"/>
              </w:rPr>
              <w:t>2.946.425</w:t>
            </w:r>
          </w:p>
        </w:tc>
      </w:tr>
      <w:tr w:rsidR="00535B74" w:rsidRPr="00E43FE4" w14:paraId="3D7564A1" w14:textId="77777777" w:rsidTr="006E1AF7">
        <w:trPr>
          <w:trHeight w:val="80"/>
          <w:jc w:val="center"/>
        </w:trPr>
        <w:tc>
          <w:tcPr>
            <w:tcW w:w="5209" w:type="dxa"/>
            <w:tcBorders>
              <w:top w:val="nil"/>
              <w:left w:val="nil"/>
              <w:bottom w:val="nil"/>
              <w:right w:val="nil"/>
            </w:tcBorders>
            <w:shd w:val="clear" w:color="auto" w:fill="auto"/>
            <w:vAlign w:val="center"/>
            <w:hideMark/>
          </w:tcPr>
          <w:p w14:paraId="557A134A" w14:textId="77777777" w:rsidR="00535B74" w:rsidRPr="00E43FE4" w:rsidRDefault="00535B74" w:rsidP="00535B74">
            <w:pPr>
              <w:rPr>
                <w:rFonts w:ascii="Arial" w:hAnsi="Arial" w:cs="Arial"/>
                <w:b/>
                <w:bCs/>
                <w:sz w:val="10"/>
                <w:szCs w:val="10"/>
                <w:lang w:eastAsia="es-AR"/>
              </w:rPr>
            </w:pPr>
          </w:p>
        </w:tc>
        <w:tc>
          <w:tcPr>
            <w:tcW w:w="630" w:type="dxa"/>
            <w:tcBorders>
              <w:top w:val="nil"/>
              <w:left w:val="nil"/>
              <w:bottom w:val="nil"/>
              <w:right w:val="nil"/>
            </w:tcBorders>
            <w:shd w:val="clear" w:color="auto" w:fill="auto"/>
            <w:vAlign w:val="center"/>
            <w:hideMark/>
          </w:tcPr>
          <w:p w14:paraId="4742D03B" w14:textId="77777777" w:rsidR="00535B74" w:rsidRPr="0021178E" w:rsidRDefault="00535B74" w:rsidP="00535B74">
            <w:pPr>
              <w:jc w:val="center"/>
              <w:rPr>
                <w:rFonts w:ascii="Arial" w:hAnsi="Arial" w:cs="Arial"/>
                <w:sz w:val="10"/>
                <w:szCs w:val="10"/>
                <w:lang w:eastAsia="es-AR"/>
              </w:rPr>
            </w:pPr>
          </w:p>
        </w:tc>
        <w:tc>
          <w:tcPr>
            <w:tcW w:w="1066" w:type="dxa"/>
            <w:tcBorders>
              <w:top w:val="nil"/>
              <w:left w:val="nil"/>
              <w:bottom w:val="nil"/>
              <w:right w:val="nil"/>
            </w:tcBorders>
            <w:shd w:val="clear" w:color="auto" w:fill="auto"/>
            <w:noWrap/>
            <w:vAlign w:val="center"/>
          </w:tcPr>
          <w:p w14:paraId="1F192510" w14:textId="43B27417" w:rsidR="00535B74" w:rsidRPr="007222D0" w:rsidRDefault="00535B74">
            <w:pPr>
              <w:jc w:val="right"/>
              <w:rPr>
                <w:rFonts w:ascii="Arial" w:hAnsi="Arial" w:cs="Arial"/>
                <w:sz w:val="16"/>
                <w:szCs w:val="16"/>
              </w:rPr>
            </w:pPr>
          </w:p>
        </w:tc>
        <w:tc>
          <w:tcPr>
            <w:tcW w:w="1172" w:type="dxa"/>
            <w:tcBorders>
              <w:top w:val="nil"/>
              <w:left w:val="nil"/>
              <w:bottom w:val="nil"/>
              <w:right w:val="nil"/>
            </w:tcBorders>
            <w:shd w:val="clear" w:color="auto" w:fill="auto"/>
            <w:noWrap/>
            <w:vAlign w:val="center"/>
          </w:tcPr>
          <w:p w14:paraId="477DBAD5" w14:textId="4C3CE686" w:rsidR="00535B74" w:rsidRPr="007222D0" w:rsidRDefault="00535B74" w:rsidP="00535B74">
            <w:pPr>
              <w:jc w:val="right"/>
              <w:rPr>
                <w:rFonts w:ascii="Arial" w:hAnsi="Arial" w:cs="Arial"/>
                <w:sz w:val="16"/>
                <w:szCs w:val="16"/>
              </w:rPr>
            </w:pPr>
          </w:p>
        </w:tc>
      </w:tr>
      <w:tr w:rsidR="00535B74" w:rsidRPr="00826C1B" w14:paraId="2DBCD670" w14:textId="77777777" w:rsidTr="006E1AF7">
        <w:trPr>
          <w:trHeight w:val="510"/>
          <w:jc w:val="center"/>
        </w:trPr>
        <w:tc>
          <w:tcPr>
            <w:tcW w:w="5209" w:type="dxa"/>
            <w:tcBorders>
              <w:top w:val="nil"/>
              <w:left w:val="nil"/>
              <w:bottom w:val="nil"/>
              <w:right w:val="nil"/>
            </w:tcBorders>
            <w:shd w:val="clear" w:color="auto" w:fill="auto"/>
            <w:vAlign w:val="center"/>
            <w:hideMark/>
          </w:tcPr>
          <w:p w14:paraId="5BA259DD" w14:textId="74201FD3"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 xml:space="preserve">Resultado neto por medición de instrumentos financieros a valor razonable con cambios en resultados </w:t>
            </w:r>
            <w:r w:rsidRPr="00A00E52">
              <w:rPr>
                <w:rFonts w:ascii="Arial" w:hAnsi="Arial" w:cs="Arial"/>
                <w:b/>
                <w:sz w:val="16"/>
                <w:szCs w:val="16"/>
                <w:lang w:eastAsia="es-AR"/>
              </w:rPr>
              <w:t>(Anexo Q)</w:t>
            </w:r>
          </w:p>
        </w:tc>
        <w:tc>
          <w:tcPr>
            <w:tcW w:w="630" w:type="dxa"/>
            <w:tcBorders>
              <w:top w:val="nil"/>
              <w:left w:val="nil"/>
              <w:bottom w:val="nil"/>
              <w:right w:val="nil"/>
            </w:tcBorders>
            <w:shd w:val="clear" w:color="auto" w:fill="auto"/>
            <w:vAlign w:val="center"/>
          </w:tcPr>
          <w:p w14:paraId="7E5E6A45" w14:textId="53CC2926" w:rsidR="00535B74" w:rsidRPr="0021178E" w:rsidRDefault="00535B74" w:rsidP="00535B74">
            <w:pPr>
              <w:jc w:val="center"/>
              <w:rPr>
                <w:rFonts w:ascii="Arial" w:hAnsi="Arial" w:cs="Arial"/>
                <w:sz w:val="16"/>
                <w:szCs w:val="16"/>
                <w:lang w:eastAsia="es-AR"/>
              </w:rPr>
            </w:pPr>
            <w:r>
              <w:rPr>
                <w:rFonts w:ascii="Arial" w:hAnsi="Arial" w:cs="Arial"/>
                <w:sz w:val="16"/>
                <w:szCs w:val="16"/>
                <w:lang w:eastAsia="es-AR"/>
              </w:rPr>
              <w:t>6.20</w:t>
            </w:r>
          </w:p>
        </w:tc>
        <w:tc>
          <w:tcPr>
            <w:tcW w:w="1066" w:type="dxa"/>
            <w:tcBorders>
              <w:top w:val="nil"/>
              <w:left w:val="nil"/>
              <w:bottom w:val="nil"/>
              <w:right w:val="nil"/>
            </w:tcBorders>
            <w:shd w:val="clear" w:color="auto" w:fill="auto"/>
            <w:noWrap/>
            <w:vAlign w:val="center"/>
          </w:tcPr>
          <w:p w14:paraId="68AEA28A" w14:textId="7BDCCFC0" w:rsidR="00535B74" w:rsidRPr="007222D0" w:rsidRDefault="00535B74">
            <w:pPr>
              <w:jc w:val="right"/>
              <w:rPr>
                <w:rFonts w:ascii="Arial" w:hAnsi="Arial" w:cs="Arial"/>
                <w:sz w:val="16"/>
                <w:szCs w:val="16"/>
              </w:rPr>
            </w:pPr>
            <w:r>
              <w:rPr>
                <w:rFonts w:ascii="Arial" w:hAnsi="Arial" w:cs="Arial"/>
                <w:sz w:val="16"/>
                <w:szCs w:val="16"/>
              </w:rPr>
              <w:t xml:space="preserve">16.125.854 </w:t>
            </w:r>
          </w:p>
        </w:tc>
        <w:tc>
          <w:tcPr>
            <w:tcW w:w="1172" w:type="dxa"/>
            <w:tcBorders>
              <w:top w:val="nil"/>
              <w:left w:val="nil"/>
              <w:bottom w:val="nil"/>
              <w:right w:val="nil"/>
            </w:tcBorders>
            <w:shd w:val="clear" w:color="auto" w:fill="auto"/>
            <w:noWrap/>
            <w:vAlign w:val="center"/>
          </w:tcPr>
          <w:p w14:paraId="7106D240" w14:textId="47DEE563" w:rsidR="00535B74" w:rsidRPr="007222D0" w:rsidRDefault="00535B74" w:rsidP="00535B74">
            <w:pPr>
              <w:jc w:val="right"/>
              <w:rPr>
                <w:rFonts w:ascii="Arial" w:hAnsi="Arial" w:cs="Arial"/>
                <w:sz w:val="16"/>
                <w:szCs w:val="16"/>
              </w:rPr>
            </w:pPr>
            <w:r>
              <w:rPr>
                <w:rFonts w:ascii="Arial" w:hAnsi="Arial" w:cs="Arial"/>
                <w:sz w:val="16"/>
                <w:szCs w:val="16"/>
              </w:rPr>
              <w:t>4.664.108</w:t>
            </w:r>
          </w:p>
        </w:tc>
      </w:tr>
      <w:tr w:rsidR="00535B74" w:rsidRPr="00826C1B" w14:paraId="18040C19" w14:textId="77777777" w:rsidTr="006E1AF7">
        <w:trPr>
          <w:trHeight w:val="285"/>
          <w:jc w:val="center"/>
        </w:trPr>
        <w:tc>
          <w:tcPr>
            <w:tcW w:w="5209" w:type="dxa"/>
            <w:tcBorders>
              <w:top w:val="nil"/>
              <w:left w:val="nil"/>
              <w:bottom w:val="nil"/>
              <w:right w:val="nil"/>
            </w:tcBorders>
            <w:shd w:val="clear" w:color="auto" w:fill="auto"/>
            <w:vAlign w:val="center"/>
            <w:hideMark/>
          </w:tcPr>
          <w:p w14:paraId="407B63D3" w14:textId="10723BB8"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Diferencia de cotización de oro y moneda extranjera</w:t>
            </w:r>
          </w:p>
        </w:tc>
        <w:tc>
          <w:tcPr>
            <w:tcW w:w="630" w:type="dxa"/>
            <w:tcBorders>
              <w:top w:val="nil"/>
              <w:left w:val="nil"/>
              <w:bottom w:val="nil"/>
              <w:right w:val="nil"/>
            </w:tcBorders>
            <w:shd w:val="clear" w:color="auto" w:fill="auto"/>
            <w:vAlign w:val="center"/>
          </w:tcPr>
          <w:p w14:paraId="58B16706" w14:textId="77777777" w:rsidR="00535B74" w:rsidRPr="0021178E" w:rsidRDefault="00535B74" w:rsidP="00535B74">
            <w:pPr>
              <w:jc w:val="center"/>
              <w:rPr>
                <w:rFonts w:ascii="Arial" w:hAnsi="Arial" w:cs="Arial"/>
                <w:sz w:val="16"/>
                <w:szCs w:val="16"/>
                <w:lang w:eastAsia="es-AR"/>
              </w:rPr>
            </w:pPr>
          </w:p>
        </w:tc>
        <w:tc>
          <w:tcPr>
            <w:tcW w:w="1066" w:type="dxa"/>
            <w:tcBorders>
              <w:top w:val="nil"/>
              <w:left w:val="nil"/>
              <w:bottom w:val="nil"/>
              <w:right w:val="nil"/>
            </w:tcBorders>
            <w:shd w:val="clear" w:color="auto" w:fill="auto"/>
            <w:noWrap/>
            <w:vAlign w:val="center"/>
          </w:tcPr>
          <w:p w14:paraId="70625F28" w14:textId="611B035E" w:rsidR="00535B74" w:rsidRPr="007222D0" w:rsidRDefault="00535B74">
            <w:pPr>
              <w:jc w:val="right"/>
              <w:rPr>
                <w:rFonts w:ascii="Arial" w:hAnsi="Arial" w:cs="Arial"/>
                <w:sz w:val="16"/>
                <w:szCs w:val="16"/>
              </w:rPr>
            </w:pPr>
            <w:r>
              <w:rPr>
                <w:rFonts w:ascii="Arial" w:hAnsi="Arial" w:cs="Arial"/>
                <w:sz w:val="16"/>
                <w:szCs w:val="16"/>
              </w:rPr>
              <w:t xml:space="preserve">-213.306 </w:t>
            </w:r>
          </w:p>
        </w:tc>
        <w:tc>
          <w:tcPr>
            <w:tcW w:w="1172" w:type="dxa"/>
            <w:tcBorders>
              <w:top w:val="nil"/>
              <w:left w:val="nil"/>
              <w:bottom w:val="nil"/>
              <w:right w:val="nil"/>
            </w:tcBorders>
            <w:shd w:val="clear" w:color="auto" w:fill="auto"/>
            <w:noWrap/>
            <w:vAlign w:val="center"/>
          </w:tcPr>
          <w:p w14:paraId="7ECCF5F1" w14:textId="6A9455FE" w:rsidR="00535B74" w:rsidRPr="007222D0" w:rsidRDefault="00535B74" w:rsidP="00535B74">
            <w:pPr>
              <w:jc w:val="right"/>
              <w:rPr>
                <w:rFonts w:ascii="Arial" w:hAnsi="Arial" w:cs="Arial"/>
                <w:sz w:val="16"/>
                <w:szCs w:val="16"/>
              </w:rPr>
            </w:pPr>
            <w:r>
              <w:rPr>
                <w:rFonts w:ascii="Arial" w:hAnsi="Arial" w:cs="Arial"/>
                <w:sz w:val="16"/>
                <w:szCs w:val="16"/>
              </w:rPr>
              <w:t>840.506</w:t>
            </w:r>
          </w:p>
        </w:tc>
      </w:tr>
      <w:tr w:rsidR="00535B74" w:rsidRPr="00826C1B" w14:paraId="62703F6E" w14:textId="77777777" w:rsidTr="006E1AF7">
        <w:trPr>
          <w:trHeight w:val="285"/>
          <w:jc w:val="center"/>
        </w:trPr>
        <w:tc>
          <w:tcPr>
            <w:tcW w:w="5209" w:type="dxa"/>
            <w:tcBorders>
              <w:top w:val="nil"/>
              <w:left w:val="nil"/>
              <w:bottom w:val="nil"/>
              <w:right w:val="nil"/>
            </w:tcBorders>
            <w:shd w:val="clear" w:color="auto" w:fill="auto"/>
            <w:vAlign w:val="center"/>
            <w:hideMark/>
          </w:tcPr>
          <w:p w14:paraId="6E50E422" w14:textId="77777777"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Otros ingresos operativos</w:t>
            </w:r>
          </w:p>
        </w:tc>
        <w:tc>
          <w:tcPr>
            <w:tcW w:w="630" w:type="dxa"/>
            <w:tcBorders>
              <w:top w:val="nil"/>
              <w:left w:val="nil"/>
              <w:bottom w:val="nil"/>
              <w:right w:val="nil"/>
            </w:tcBorders>
            <w:shd w:val="clear" w:color="auto" w:fill="auto"/>
            <w:vAlign w:val="center"/>
          </w:tcPr>
          <w:p w14:paraId="304CF060" w14:textId="69934430" w:rsidR="00535B74" w:rsidRPr="0021178E" w:rsidRDefault="00535B74" w:rsidP="00535B74">
            <w:pPr>
              <w:jc w:val="center"/>
              <w:rPr>
                <w:rFonts w:ascii="Arial" w:hAnsi="Arial" w:cs="Arial"/>
                <w:sz w:val="16"/>
                <w:szCs w:val="16"/>
                <w:lang w:eastAsia="es-AR"/>
              </w:rPr>
            </w:pPr>
            <w:r>
              <w:rPr>
                <w:rFonts w:ascii="Arial" w:hAnsi="Arial" w:cs="Arial"/>
                <w:sz w:val="16"/>
                <w:szCs w:val="16"/>
                <w:lang w:eastAsia="es-AR"/>
              </w:rPr>
              <w:t>6.21</w:t>
            </w:r>
          </w:p>
        </w:tc>
        <w:tc>
          <w:tcPr>
            <w:tcW w:w="1066" w:type="dxa"/>
            <w:tcBorders>
              <w:top w:val="nil"/>
              <w:left w:val="nil"/>
              <w:bottom w:val="nil"/>
              <w:right w:val="nil"/>
            </w:tcBorders>
            <w:shd w:val="clear" w:color="auto" w:fill="auto"/>
            <w:noWrap/>
            <w:vAlign w:val="center"/>
          </w:tcPr>
          <w:p w14:paraId="48DDF688" w14:textId="645D087C" w:rsidR="00535B74" w:rsidRPr="007222D0" w:rsidRDefault="00535B74">
            <w:pPr>
              <w:jc w:val="right"/>
              <w:rPr>
                <w:rFonts w:ascii="Arial" w:hAnsi="Arial" w:cs="Arial"/>
                <w:sz w:val="16"/>
                <w:szCs w:val="16"/>
              </w:rPr>
            </w:pPr>
            <w:r>
              <w:rPr>
                <w:rFonts w:ascii="Arial" w:hAnsi="Arial" w:cs="Arial"/>
                <w:sz w:val="16"/>
                <w:szCs w:val="16"/>
              </w:rPr>
              <w:t xml:space="preserve">2.371.448 </w:t>
            </w:r>
          </w:p>
        </w:tc>
        <w:tc>
          <w:tcPr>
            <w:tcW w:w="1172" w:type="dxa"/>
            <w:tcBorders>
              <w:top w:val="nil"/>
              <w:left w:val="nil"/>
              <w:bottom w:val="nil"/>
              <w:right w:val="nil"/>
            </w:tcBorders>
            <w:shd w:val="clear" w:color="auto" w:fill="auto"/>
            <w:noWrap/>
            <w:vAlign w:val="center"/>
          </w:tcPr>
          <w:p w14:paraId="03B218DB" w14:textId="2D12C931" w:rsidR="00535B74" w:rsidRPr="007222D0" w:rsidRDefault="00535B74" w:rsidP="00535B74">
            <w:pPr>
              <w:jc w:val="right"/>
              <w:rPr>
                <w:rFonts w:ascii="Arial" w:hAnsi="Arial" w:cs="Arial"/>
                <w:sz w:val="16"/>
                <w:szCs w:val="16"/>
              </w:rPr>
            </w:pPr>
            <w:r>
              <w:rPr>
                <w:rFonts w:ascii="Arial" w:hAnsi="Arial" w:cs="Arial"/>
                <w:sz w:val="16"/>
                <w:szCs w:val="16"/>
              </w:rPr>
              <w:t>1.837.650</w:t>
            </w:r>
          </w:p>
        </w:tc>
      </w:tr>
      <w:tr w:rsidR="00535B74" w:rsidRPr="00826C1B" w14:paraId="6776536C" w14:textId="77777777" w:rsidTr="006E1AF7">
        <w:trPr>
          <w:trHeight w:val="371"/>
          <w:jc w:val="center"/>
        </w:trPr>
        <w:tc>
          <w:tcPr>
            <w:tcW w:w="5209" w:type="dxa"/>
            <w:tcBorders>
              <w:top w:val="nil"/>
              <w:left w:val="nil"/>
              <w:bottom w:val="nil"/>
              <w:right w:val="nil"/>
            </w:tcBorders>
            <w:shd w:val="clear" w:color="auto" w:fill="auto"/>
            <w:vAlign w:val="center"/>
            <w:hideMark/>
          </w:tcPr>
          <w:p w14:paraId="073E4FCF" w14:textId="77777777"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 xml:space="preserve">Cargo por incobrabilidad </w:t>
            </w:r>
            <w:r w:rsidRPr="00826C1B">
              <w:rPr>
                <w:rFonts w:ascii="Arial" w:hAnsi="Arial" w:cs="Arial"/>
                <w:b/>
                <w:bCs/>
                <w:sz w:val="16"/>
                <w:szCs w:val="16"/>
                <w:lang w:eastAsia="es-AR"/>
              </w:rPr>
              <w:t>(Anexo R)</w:t>
            </w:r>
          </w:p>
        </w:tc>
        <w:tc>
          <w:tcPr>
            <w:tcW w:w="630" w:type="dxa"/>
            <w:tcBorders>
              <w:top w:val="nil"/>
              <w:left w:val="nil"/>
              <w:bottom w:val="nil"/>
              <w:right w:val="nil"/>
            </w:tcBorders>
            <w:shd w:val="clear" w:color="auto" w:fill="auto"/>
            <w:vAlign w:val="center"/>
          </w:tcPr>
          <w:p w14:paraId="7C885A70" w14:textId="77777777" w:rsidR="00535B74" w:rsidRPr="0021178E" w:rsidRDefault="00535B74" w:rsidP="00535B74">
            <w:pPr>
              <w:jc w:val="center"/>
              <w:rPr>
                <w:rFonts w:ascii="Arial" w:hAnsi="Arial" w:cs="Arial"/>
                <w:sz w:val="16"/>
                <w:szCs w:val="16"/>
                <w:lang w:eastAsia="es-AR"/>
              </w:rPr>
            </w:pPr>
          </w:p>
        </w:tc>
        <w:tc>
          <w:tcPr>
            <w:tcW w:w="1066" w:type="dxa"/>
            <w:tcBorders>
              <w:top w:val="nil"/>
              <w:left w:val="nil"/>
              <w:bottom w:val="nil"/>
              <w:right w:val="nil"/>
            </w:tcBorders>
            <w:shd w:val="clear" w:color="auto" w:fill="auto"/>
            <w:noWrap/>
            <w:vAlign w:val="center"/>
          </w:tcPr>
          <w:p w14:paraId="783FADDA" w14:textId="601B66FE" w:rsidR="00535B74" w:rsidRPr="007222D0" w:rsidRDefault="00535B74">
            <w:pPr>
              <w:jc w:val="right"/>
              <w:rPr>
                <w:rFonts w:ascii="Arial" w:hAnsi="Arial" w:cs="Arial"/>
                <w:sz w:val="16"/>
                <w:szCs w:val="16"/>
              </w:rPr>
            </w:pPr>
            <w:r>
              <w:rPr>
                <w:rFonts w:ascii="Arial" w:hAnsi="Arial" w:cs="Arial"/>
                <w:sz w:val="16"/>
                <w:szCs w:val="16"/>
              </w:rPr>
              <w:t xml:space="preserve">-6.395.420 </w:t>
            </w:r>
          </w:p>
        </w:tc>
        <w:tc>
          <w:tcPr>
            <w:tcW w:w="1172" w:type="dxa"/>
            <w:tcBorders>
              <w:top w:val="nil"/>
              <w:left w:val="nil"/>
              <w:bottom w:val="nil"/>
              <w:right w:val="nil"/>
            </w:tcBorders>
            <w:shd w:val="clear" w:color="auto" w:fill="auto"/>
            <w:noWrap/>
            <w:vAlign w:val="center"/>
          </w:tcPr>
          <w:p w14:paraId="3EA55338" w14:textId="28D4EF8A" w:rsidR="00535B74" w:rsidRPr="007222D0" w:rsidRDefault="00535B74" w:rsidP="00535B74">
            <w:pPr>
              <w:jc w:val="right"/>
              <w:rPr>
                <w:rFonts w:ascii="Arial" w:hAnsi="Arial" w:cs="Arial"/>
                <w:sz w:val="16"/>
                <w:szCs w:val="16"/>
              </w:rPr>
            </w:pPr>
            <w:r>
              <w:rPr>
                <w:rFonts w:ascii="Arial" w:hAnsi="Arial" w:cs="Arial"/>
                <w:sz w:val="16"/>
                <w:szCs w:val="16"/>
              </w:rPr>
              <w:t>-3.954.802</w:t>
            </w:r>
          </w:p>
        </w:tc>
      </w:tr>
      <w:tr w:rsidR="00535B74" w:rsidRPr="00E43FE4" w14:paraId="00DCE47D" w14:textId="77777777" w:rsidTr="006E1AF7">
        <w:trPr>
          <w:trHeight w:val="80"/>
          <w:jc w:val="center"/>
        </w:trPr>
        <w:tc>
          <w:tcPr>
            <w:tcW w:w="5209" w:type="dxa"/>
            <w:tcBorders>
              <w:top w:val="nil"/>
              <w:left w:val="nil"/>
              <w:bottom w:val="nil"/>
              <w:right w:val="nil"/>
            </w:tcBorders>
            <w:shd w:val="clear" w:color="auto" w:fill="auto"/>
            <w:vAlign w:val="center"/>
            <w:hideMark/>
          </w:tcPr>
          <w:p w14:paraId="416B4C66" w14:textId="77777777" w:rsidR="00535B74" w:rsidRPr="00E43FE4" w:rsidRDefault="00535B74" w:rsidP="00535B74">
            <w:pPr>
              <w:rPr>
                <w:rFonts w:ascii="Arial" w:hAnsi="Arial" w:cs="Arial"/>
                <w:sz w:val="10"/>
                <w:szCs w:val="10"/>
                <w:lang w:eastAsia="es-AR"/>
              </w:rPr>
            </w:pPr>
          </w:p>
        </w:tc>
        <w:tc>
          <w:tcPr>
            <w:tcW w:w="630" w:type="dxa"/>
            <w:tcBorders>
              <w:top w:val="nil"/>
              <w:left w:val="nil"/>
              <w:bottom w:val="nil"/>
              <w:right w:val="nil"/>
            </w:tcBorders>
            <w:shd w:val="clear" w:color="auto" w:fill="auto"/>
            <w:vAlign w:val="center"/>
          </w:tcPr>
          <w:p w14:paraId="4C5EA9B0" w14:textId="77777777" w:rsidR="00535B74" w:rsidRPr="0021178E" w:rsidRDefault="00535B74" w:rsidP="00535B74">
            <w:pPr>
              <w:jc w:val="center"/>
              <w:rPr>
                <w:rFonts w:ascii="Arial" w:hAnsi="Arial" w:cs="Arial"/>
                <w:sz w:val="10"/>
                <w:szCs w:val="10"/>
                <w:lang w:eastAsia="es-AR"/>
              </w:rPr>
            </w:pPr>
          </w:p>
        </w:tc>
        <w:tc>
          <w:tcPr>
            <w:tcW w:w="1066" w:type="dxa"/>
            <w:tcBorders>
              <w:top w:val="nil"/>
              <w:left w:val="nil"/>
              <w:bottom w:val="nil"/>
              <w:right w:val="nil"/>
            </w:tcBorders>
            <w:shd w:val="clear" w:color="auto" w:fill="auto"/>
            <w:noWrap/>
            <w:vAlign w:val="center"/>
          </w:tcPr>
          <w:p w14:paraId="3D2B709E" w14:textId="18A18E54" w:rsidR="00535B74" w:rsidRPr="006C22C0" w:rsidRDefault="00535B74">
            <w:pPr>
              <w:jc w:val="right"/>
              <w:rPr>
                <w:rFonts w:ascii="Arial" w:hAnsi="Arial" w:cs="Arial"/>
                <w:sz w:val="16"/>
                <w:szCs w:val="16"/>
              </w:rPr>
            </w:pPr>
          </w:p>
        </w:tc>
        <w:tc>
          <w:tcPr>
            <w:tcW w:w="1172" w:type="dxa"/>
            <w:tcBorders>
              <w:top w:val="nil"/>
              <w:left w:val="nil"/>
              <w:bottom w:val="nil"/>
              <w:right w:val="nil"/>
            </w:tcBorders>
            <w:shd w:val="clear" w:color="auto" w:fill="auto"/>
            <w:noWrap/>
            <w:vAlign w:val="center"/>
          </w:tcPr>
          <w:p w14:paraId="0BCE353C" w14:textId="7EF83A00" w:rsidR="00535B74" w:rsidRPr="006C22C0" w:rsidRDefault="00535B74" w:rsidP="00535B74">
            <w:pPr>
              <w:jc w:val="right"/>
              <w:rPr>
                <w:rFonts w:ascii="Arial" w:hAnsi="Arial" w:cs="Arial"/>
                <w:sz w:val="16"/>
                <w:szCs w:val="16"/>
              </w:rPr>
            </w:pPr>
          </w:p>
        </w:tc>
      </w:tr>
      <w:tr w:rsidR="00535B74" w:rsidRPr="00826C1B" w14:paraId="3BAC685B" w14:textId="77777777" w:rsidTr="006E1AF7">
        <w:trPr>
          <w:trHeight w:val="285"/>
          <w:jc w:val="center"/>
        </w:trPr>
        <w:tc>
          <w:tcPr>
            <w:tcW w:w="5209" w:type="dxa"/>
            <w:tcBorders>
              <w:top w:val="nil"/>
              <w:left w:val="nil"/>
              <w:bottom w:val="nil"/>
              <w:right w:val="nil"/>
            </w:tcBorders>
            <w:shd w:val="clear" w:color="auto" w:fill="auto"/>
            <w:vAlign w:val="center"/>
            <w:hideMark/>
          </w:tcPr>
          <w:p w14:paraId="353650E6" w14:textId="77777777" w:rsidR="00535B74" w:rsidRPr="00826C1B" w:rsidRDefault="00535B74" w:rsidP="00535B74">
            <w:pPr>
              <w:rPr>
                <w:rFonts w:ascii="Arial" w:hAnsi="Arial" w:cs="Arial"/>
                <w:b/>
                <w:bCs/>
                <w:sz w:val="16"/>
                <w:szCs w:val="16"/>
                <w:lang w:eastAsia="es-AR"/>
              </w:rPr>
            </w:pPr>
            <w:r w:rsidRPr="00826C1B">
              <w:rPr>
                <w:rFonts w:ascii="Arial" w:hAnsi="Arial" w:cs="Arial"/>
                <w:b/>
                <w:bCs/>
                <w:sz w:val="16"/>
                <w:szCs w:val="16"/>
                <w:lang w:eastAsia="es-AR"/>
              </w:rPr>
              <w:t>Ingreso operativo neto</w:t>
            </w:r>
          </w:p>
        </w:tc>
        <w:tc>
          <w:tcPr>
            <w:tcW w:w="630" w:type="dxa"/>
            <w:tcBorders>
              <w:top w:val="nil"/>
              <w:left w:val="nil"/>
              <w:bottom w:val="nil"/>
              <w:right w:val="nil"/>
            </w:tcBorders>
            <w:shd w:val="clear" w:color="auto" w:fill="auto"/>
            <w:vAlign w:val="center"/>
          </w:tcPr>
          <w:p w14:paraId="7FCA57F3" w14:textId="77777777" w:rsidR="00535B74" w:rsidRPr="0021178E" w:rsidRDefault="00535B74" w:rsidP="00535B74">
            <w:pPr>
              <w:jc w:val="center"/>
              <w:rPr>
                <w:rFonts w:ascii="Arial" w:hAnsi="Arial" w:cs="Arial"/>
                <w:b/>
                <w:bCs/>
                <w:sz w:val="16"/>
                <w:szCs w:val="16"/>
                <w:lang w:eastAsia="es-AR"/>
              </w:rPr>
            </w:pPr>
          </w:p>
        </w:tc>
        <w:tc>
          <w:tcPr>
            <w:tcW w:w="1066" w:type="dxa"/>
            <w:tcBorders>
              <w:top w:val="nil"/>
              <w:left w:val="nil"/>
              <w:bottom w:val="nil"/>
              <w:right w:val="nil"/>
            </w:tcBorders>
            <w:shd w:val="clear" w:color="auto" w:fill="auto"/>
            <w:noWrap/>
            <w:vAlign w:val="center"/>
          </w:tcPr>
          <w:p w14:paraId="740EB422" w14:textId="164B1856" w:rsidR="00535B74" w:rsidRPr="00FF6DEF" w:rsidRDefault="00535B74">
            <w:pPr>
              <w:jc w:val="right"/>
              <w:rPr>
                <w:rFonts w:ascii="Arial" w:hAnsi="Arial" w:cs="Arial"/>
                <w:b/>
                <w:sz w:val="16"/>
                <w:szCs w:val="16"/>
              </w:rPr>
            </w:pPr>
            <w:r>
              <w:rPr>
                <w:rFonts w:ascii="Arial" w:hAnsi="Arial" w:cs="Arial"/>
                <w:b/>
                <w:bCs/>
                <w:sz w:val="16"/>
                <w:szCs w:val="16"/>
              </w:rPr>
              <w:t xml:space="preserve">24.128.995 </w:t>
            </w:r>
          </w:p>
        </w:tc>
        <w:tc>
          <w:tcPr>
            <w:tcW w:w="1172" w:type="dxa"/>
            <w:tcBorders>
              <w:top w:val="nil"/>
              <w:left w:val="nil"/>
              <w:bottom w:val="nil"/>
              <w:right w:val="nil"/>
            </w:tcBorders>
            <w:shd w:val="clear" w:color="auto" w:fill="auto"/>
            <w:noWrap/>
            <w:vAlign w:val="center"/>
          </w:tcPr>
          <w:p w14:paraId="6718C0E1" w14:textId="0069A98B" w:rsidR="00535B74" w:rsidRPr="00FF6DEF" w:rsidRDefault="00535B74" w:rsidP="00535B74">
            <w:pPr>
              <w:jc w:val="right"/>
              <w:rPr>
                <w:rFonts w:ascii="Arial" w:hAnsi="Arial" w:cs="Arial"/>
                <w:b/>
                <w:sz w:val="16"/>
                <w:szCs w:val="16"/>
              </w:rPr>
            </w:pPr>
            <w:r>
              <w:rPr>
                <w:rFonts w:ascii="Arial" w:hAnsi="Arial" w:cs="Arial"/>
                <w:b/>
                <w:bCs/>
                <w:sz w:val="16"/>
                <w:szCs w:val="16"/>
              </w:rPr>
              <w:t>16.251.164</w:t>
            </w:r>
          </w:p>
        </w:tc>
      </w:tr>
      <w:tr w:rsidR="00535B74" w:rsidRPr="00826C1B" w14:paraId="0CDCE32C" w14:textId="77777777" w:rsidTr="006E1AF7">
        <w:trPr>
          <w:trHeight w:val="285"/>
          <w:jc w:val="center"/>
        </w:trPr>
        <w:tc>
          <w:tcPr>
            <w:tcW w:w="5209" w:type="dxa"/>
            <w:tcBorders>
              <w:top w:val="nil"/>
              <w:left w:val="nil"/>
              <w:bottom w:val="nil"/>
              <w:right w:val="nil"/>
            </w:tcBorders>
            <w:shd w:val="clear" w:color="auto" w:fill="auto"/>
            <w:vAlign w:val="center"/>
            <w:hideMark/>
          </w:tcPr>
          <w:p w14:paraId="602C451F" w14:textId="77777777"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Beneficios al personal</w:t>
            </w:r>
          </w:p>
        </w:tc>
        <w:tc>
          <w:tcPr>
            <w:tcW w:w="630" w:type="dxa"/>
            <w:tcBorders>
              <w:top w:val="nil"/>
              <w:left w:val="nil"/>
              <w:bottom w:val="nil"/>
              <w:right w:val="nil"/>
            </w:tcBorders>
            <w:shd w:val="clear" w:color="auto" w:fill="auto"/>
            <w:vAlign w:val="center"/>
          </w:tcPr>
          <w:p w14:paraId="1D649CD7" w14:textId="7F0E81E5" w:rsidR="00535B74" w:rsidRPr="0021178E" w:rsidRDefault="00535B74" w:rsidP="00535B74">
            <w:pPr>
              <w:jc w:val="center"/>
              <w:rPr>
                <w:rFonts w:ascii="Arial" w:hAnsi="Arial" w:cs="Arial"/>
                <w:sz w:val="16"/>
                <w:szCs w:val="16"/>
                <w:lang w:eastAsia="es-AR"/>
              </w:rPr>
            </w:pPr>
            <w:r>
              <w:rPr>
                <w:rFonts w:ascii="Arial" w:hAnsi="Arial" w:cs="Arial"/>
                <w:sz w:val="16"/>
                <w:szCs w:val="16"/>
                <w:lang w:eastAsia="es-AR"/>
              </w:rPr>
              <w:t>6.22</w:t>
            </w:r>
          </w:p>
        </w:tc>
        <w:tc>
          <w:tcPr>
            <w:tcW w:w="1066" w:type="dxa"/>
            <w:tcBorders>
              <w:top w:val="nil"/>
              <w:left w:val="nil"/>
              <w:bottom w:val="nil"/>
              <w:right w:val="nil"/>
            </w:tcBorders>
            <w:shd w:val="clear" w:color="auto" w:fill="auto"/>
            <w:noWrap/>
            <w:vAlign w:val="center"/>
          </w:tcPr>
          <w:p w14:paraId="685534B3" w14:textId="59F14A98" w:rsidR="00535B74" w:rsidRPr="006C22C0" w:rsidRDefault="00535B74">
            <w:pPr>
              <w:jc w:val="right"/>
              <w:rPr>
                <w:rFonts w:ascii="Arial" w:hAnsi="Arial" w:cs="Arial"/>
                <w:sz w:val="16"/>
                <w:szCs w:val="16"/>
              </w:rPr>
            </w:pPr>
            <w:r>
              <w:rPr>
                <w:rFonts w:ascii="Arial" w:hAnsi="Arial" w:cs="Arial"/>
                <w:sz w:val="16"/>
                <w:szCs w:val="16"/>
              </w:rPr>
              <w:t xml:space="preserve">-10.650.801 </w:t>
            </w:r>
          </w:p>
        </w:tc>
        <w:tc>
          <w:tcPr>
            <w:tcW w:w="1172" w:type="dxa"/>
            <w:tcBorders>
              <w:top w:val="nil"/>
              <w:left w:val="nil"/>
              <w:bottom w:val="nil"/>
              <w:right w:val="nil"/>
            </w:tcBorders>
            <w:shd w:val="clear" w:color="auto" w:fill="auto"/>
            <w:noWrap/>
            <w:vAlign w:val="center"/>
          </w:tcPr>
          <w:p w14:paraId="7C776EA6" w14:textId="5E2D26B9" w:rsidR="00535B74" w:rsidRPr="006C22C0" w:rsidRDefault="00535B74" w:rsidP="00535B74">
            <w:pPr>
              <w:jc w:val="right"/>
              <w:rPr>
                <w:rFonts w:ascii="Arial" w:hAnsi="Arial" w:cs="Arial"/>
                <w:sz w:val="16"/>
                <w:szCs w:val="16"/>
              </w:rPr>
            </w:pPr>
            <w:r>
              <w:rPr>
                <w:rFonts w:ascii="Arial" w:hAnsi="Arial" w:cs="Arial"/>
                <w:sz w:val="16"/>
                <w:szCs w:val="16"/>
              </w:rPr>
              <w:t>-6.330.697</w:t>
            </w:r>
          </w:p>
        </w:tc>
      </w:tr>
      <w:tr w:rsidR="00535B74" w:rsidRPr="00826C1B" w14:paraId="2E990C13" w14:textId="77777777" w:rsidTr="006E1AF7">
        <w:trPr>
          <w:trHeight w:val="285"/>
          <w:jc w:val="center"/>
        </w:trPr>
        <w:tc>
          <w:tcPr>
            <w:tcW w:w="5209" w:type="dxa"/>
            <w:tcBorders>
              <w:top w:val="nil"/>
              <w:left w:val="nil"/>
              <w:bottom w:val="nil"/>
              <w:right w:val="nil"/>
            </w:tcBorders>
            <w:shd w:val="clear" w:color="auto" w:fill="auto"/>
            <w:vAlign w:val="center"/>
            <w:hideMark/>
          </w:tcPr>
          <w:p w14:paraId="1103D50C" w14:textId="77777777"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Gastos de administración</w:t>
            </w:r>
          </w:p>
        </w:tc>
        <w:tc>
          <w:tcPr>
            <w:tcW w:w="630" w:type="dxa"/>
            <w:tcBorders>
              <w:top w:val="nil"/>
              <w:left w:val="nil"/>
              <w:bottom w:val="nil"/>
              <w:right w:val="nil"/>
            </w:tcBorders>
            <w:shd w:val="clear" w:color="auto" w:fill="auto"/>
            <w:vAlign w:val="center"/>
          </w:tcPr>
          <w:p w14:paraId="5B10DA77" w14:textId="28CCA92C" w:rsidR="00535B74" w:rsidRPr="0021178E" w:rsidRDefault="00535B74" w:rsidP="00535B74">
            <w:pPr>
              <w:jc w:val="center"/>
              <w:rPr>
                <w:rFonts w:ascii="Arial" w:hAnsi="Arial" w:cs="Arial"/>
                <w:sz w:val="16"/>
                <w:szCs w:val="16"/>
                <w:lang w:eastAsia="es-AR"/>
              </w:rPr>
            </w:pPr>
            <w:r>
              <w:rPr>
                <w:rFonts w:ascii="Arial" w:hAnsi="Arial" w:cs="Arial"/>
                <w:sz w:val="16"/>
                <w:szCs w:val="16"/>
                <w:lang w:eastAsia="es-AR"/>
              </w:rPr>
              <w:t>6.23</w:t>
            </w:r>
          </w:p>
        </w:tc>
        <w:tc>
          <w:tcPr>
            <w:tcW w:w="1066" w:type="dxa"/>
            <w:tcBorders>
              <w:top w:val="nil"/>
              <w:left w:val="nil"/>
              <w:bottom w:val="nil"/>
              <w:right w:val="nil"/>
            </w:tcBorders>
            <w:shd w:val="clear" w:color="auto" w:fill="auto"/>
            <w:noWrap/>
            <w:vAlign w:val="center"/>
          </w:tcPr>
          <w:p w14:paraId="1C5BEA32" w14:textId="18C7A1A2" w:rsidR="00535B74" w:rsidRPr="006C22C0" w:rsidRDefault="00535B74">
            <w:pPr>
              <w:jc w:val="right"/>
              <w:rPr>
                <w:rFonts w:ascii="Arial" w:hAnsi="Arial" w:cs="Arial"/>
                <w:sz w:val="16"/>
                <w:szCs w:val="16"/>
              </w:rPr>
            </w:pPr>
            <w:r>
              <w:rPr>
                <w:rFonts w:ascii="Arial" w:hAnsi="Arial" w:cs="Arial"/>
                <w:sz w:val="16"/>
                <w:szCs w:val="16"/>
              </w:rPr>
              <w:t xml:space="preserve">-5.398.010 </w:t>
            </w:r>
          </w:p>
        </w:tc>
        <w:tc>
          <w:tcPr>
            <w:tcW w:w="1172" w:type="dxa"/>
            <w:tcBorders>
              <w:top w:val="nil"/>
              <w:left w:val="nil"/>
              <w:bottom w:val="nil"/>
              <w:right w:val="nil"/>
            </w:tcBorders>
            <w:shd w:val="clear" w:color="auto" w:fill="auto"/>
            <w:noWrap/>
            <w:vAlign w:val="center"/>
          </w:tcPr>
          <w:p w14:paraId="25EA750C" w14:textId="1EABE035" w:rsidR="00535B74" w:rsidRPr="006C22C0" w:rsidRDefault="00535B74" w:rsidP="00535B74">
            <w:pPr>
              <w:jc w:val="right"/>
              <w:rPr>
                <w:rFonts w:ascii="Arial" w:hAnsi="Arial" w:cs="Arial"/>
                <w:sz w:val="16"/>
                <w:szCs w:val="16"/>
              </w:rPr>
            </w:pPr>
            <w:r>
              <w:rPr>
                <w:rFonts w:ascii="Arial" w:hAnsi="Arial" w:cs="Arial"/>
                <w:sz w:val="16"/>
                <w:szCs w:val="16"/>
              </w:rPr>
              <w:t>-4.102.940</w:t>
            </w:r>
          </w:p>
        </w:tc>
      </w:tr>
      <w:tr w:rsidR="00535B74" w:rsidRPr="00826C1B" w14:paraId="7E350550" w14:textId="77777777" w:rsidTr="006E1AF7">
        <w:trPr>
          <w:trHeight w:val="285"/>
          <w:jc w:val="center"/>
        </w:trPr>
        <w:tc>
          <w:tcPr>
            <w:tcW w:w="5209" w:type="dxa"/>
            <w:tcBorders>
              <w:top w:val="nil"/>
              <w:left w:val="nil"/>
              <w:bottom w:val="nil"/>
              <w:right w:val="nil"/>
            </w:tcBorders>
            <w:shd w:val="clear" w:color="auto" w:fill="auto"/>
            <w:vAlign w:val="center"/>
            <w:hideMark/>
          </w:tcPr>
          <w:p w14:paraId="40711004" w14:textId="77777777"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Depreciaciones y desvalorizaciones de bienes</w:t>
            </w:r>
          </w:p>
        </w:tc>
        <w:tc>
          <w:tcPr>
            <w:tcW w:w="630" w:type="dxa"/>
            <w:tcBorders>
              <w:top w:val="nil"/>
              <w:left w:val="nil"/>
              <w:bottom w:val="nil"/>
              <w:right w:val="nil"/>
            </w:tcBorders>
            <w:shd w:val="clear" w:color="auto" w:fill="auto"/>
            <w:vAlign w:val="center"/>
          </w:tcPr>
          <w:p w14:paraId="4C803E7F" w14:textId="4FA7F5ED" w:rsidR="00535B74" w:rsidRPr="0021178E" w:rsidRDefault="00535B74" w:rsidP="00535B74">
            <w:pPr>
              <w:jc w:val="center"/>
              <w:rPr>
                <w:rFonts w:ascii="Arial" w:hAnsi="Arial" w:cs="Arial"/>
                <w:sz w:val="16"/>
                <w:szCs w:val="16"/>
                <w:lang w:eastAsia="es-AR"/>
              </w:rPr>
            </w:pPr>
            <w:r>
              <w:rPr>
                <w:rFonts w:ascii="Arial" w:hAnsi="Arial" w:cs="Arial"/>
                <w:sz w:val="16"/>
                <w:szCs w:val="16"/>
                <w:lang w:eastAsia="es-AR"/>
              </w:rPr>
              <w:t>6.25</w:t>
            </w:r>
          </w:p>
        </w:tc>
        <w:tc>
          <w:tcPr>
            <w:tcW w:w="1066" w:type="dxa"/>
            <w:tcBorders>
              <w:top w:val="nil"/>
              <w:left w:val="nil"/>
              <w:bottom w:val="nil"/>
              <w:right w:val="nil"/>
            </w:tcBorders>
            <w:shd w:val="clear" w:color="auto" w:fill="auto"/>
            <w:noWrap/>
            <w:vAlign w:val="center"/>
          </w:tcPr>
          <w:p w14:paraId="329248C2" w14:textId="3D90735B" w:rsidR="00535B74" w:rsidRPr="006C22C0" w:rsidRDefault="00535B74">
            <w:pPr>
              <w:jc w:val="right"/>
              <w:rPr>
                <w:rFonts w:ascii="Arial" w:hAnsi="Arial" w:cs="Arial"/>
                <w:sz w:val="16"/>
                <w:szCs w:val="16"/>
              </w:rPr>
            </w:pPr>
            <w:r>
              <w:rPr>
                <w:rFonts w:ascii="Arial" w:hAnsi="Arial" w:cs="Arial"/>
                <w:sz w:val="16"/>
                <w:szCs w:val="16"/>
              </w:rPr>
              <w:t xml:space="preserve">-849.891 </w:t>
            </w:r>
          </w:p>
        </w:tc>
        <w:tc>
          <w:tcPr>
            <w:tcW w:w="1172" w:type="dxa"/>
            <w:tcBorders>
              <w:top w:val="nil"/>
              <w:left w:val="nil"/>
              <w:bottom w:val="nil"/>
              <w:right w:val="nil"/>
            </w:tcBorders>
            <w:shd w:val="clear" w:color="auto" w:fill="auto"/>
            <w:noWrap/>
            <w:vAlign w:val="center"/>
          </w:tcPr>
          <w:p w14:paraId="1ECB7430" w14:textId="1CF6F8BA" w:rsidR="00535B74" w:rsidRPr="006C22C0" w:rsidRDefault="00535B74" w:rsidP="00535B74">
            <w:pPr>
              <w:jc w:val="right"/>
              <w:rPr>
                <w:rFonts w:ascii="Arial" w:hAnsi="Arial" w:cs="Arial"/>
                <w:sz w:val="16"/>
                <w:szCs w:val="16"/>
              </w:rPr>
            </w:pPr>
            <w:r>
              <w:rPr>
                <w:rFonts w:ascii="Arial" w:hAnsi="Arial" w:cs="Arial"/>
                <w:sz w:val="16"/>
                <w:szCs w:val="16"/>
              </w:rPr>
              <w:t>-325.042</w:t>
            </w:r>
          </w:p>
        </w:tc>
      </w:tr>
      <w:tr w:rsidR="00535B74" w:rsidRPr="00826C1B" w14:paraId="6D2CA1FE" w14:textId="77777777" w:rsidTr="006E1AF7">
        <w:trPr>
          <w:trHeight w:val="285"/>
          <w:jc w:val="center"/>
        </w:trPr>
        <w:tc>
          <w:tcPr>
            <w:tcW w:w="5209" w:type="dxa"/>
            <w:tcBorders>
              <w:top w:val="nil"/>
              <w:left w:val="nil"/>
              <w:bottom w:val="nil"/>
              <w:right w:val="nil"/>
            </w:tcBorders>
            <w:shd w:val="clear" w:color="auto" w:fill="auto"/>
            <w:vAlign w:val="center"/>
            <w:hideMark/>
          </w:tcPr>
          <w:p w14:paraId="5319D0E3" w14:textId="77777777"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Otros gastos operativos</w:t>
            </w:r>
          </w:p>
        </w:tc>
        <w:tc>
          <w:tcPr>
            <w:tcW w:w="630" w:type="dxa"/>
            <w:tcBorders>
              <w:top w:val="nil"/>
              <w:left w:val="nil"/>
              <w:bottom w:val="nil"/>
              <w:right w:val="nil"/>
            </w:tcBorders>
            <w:shd w:val="clear" w:color="auto" w:fill="auto"/>
            <w:vAlign w:val="center"/>
          </w:tcPr>
          <w:p w14:paraId="206F7400" w14:textId="1818C802" w:rsidR="00535B74" w:rsidRPr="0021178E" w:rsidRDefault="00535B74" w:rsidP="00535B74">
            <w:pPr>
              <w:jc w:val="center"/>
              <w:rPr>
                <w:rFonts w:ascii="Arial" w:hAnsi="Arial" w:cs="Arial"/>
                <w:sz w:val="16"/>
                <w:szCs w:val="16"/>
                <w:lang w:eastAsia="es-AR"/>
              </w:rPr>
            </w:pPr>
            <w:r>
              <w:rPr>
                <w:rFonts w:ascii="Arial" w:hAnsi="Arial" w:cs="Arial"/>
                <w:sz w:val="16"/>
                <w:szCs w:val="16"/>
                <w:lang w:eastAsia="es-AR"/>
              </w:rPr>
              <w:t>6.24</w:t>
            </w:r>
          </w:p>
        </w:tc>
        <w:tc>
          <w:tcPr>
            <w:tcW w:w="1066" w:type="dxa"/>
            <w:tcBorders>
              <w:top w:val="nil"/>
              <w:left w:val="nil"/>
              <w:bottom w:val="nil"/>
              <w:right w:val="nil"/>
            </w:tcBorders>
            <w:shd w:val="clear" w:color="auto" w:fill="auto"/>
            <w:noWrap/>
            <w:vAlign w:val="center"/>
          </w:tcPr>
          <w:p w14:paraId="20DB2DCF" w14:textId="69A64A0A" w:rsidR="00535B74" w:rsidRPr="006C22C0" w:rsidRDefault="00535B74">
            <w:pPr>
              <w:jc w:val="right"/>
              <w:rPr>
                <w:rFonts w:ascii="Arial" w:hAnsi="Arial" w:cs="Arial"/>
                <w:sz w:val="16"/>
                <w:szCs w:val="16"/>
              </w:rPr>
            </w:pPr>
            <w:r>
              <w:rPr>
                <w:rFonts w:ascii="Arial" w:hAnsi="Arial" w:cs="Arial"/>
                <w:sz w:val="16"/>
                <w:szCs w:val="16"/>
              </w:rPr>
              <w:t xml:space="preserve">-5.036.101 </w:t>
            </w:r>
          </w:p>
        </w:tc>
        <w:tc>
          <w:tcPr>
            <w:tcW w:w="1172" w:type="dxa"/>
            <w:tcBorders>
              <w:top w:val="nil"/>
              <w:left w:val="nil"/>
              <w:bottom w:val="nil"/>
              <w:right w:val="nil"/>
            </w:tcBorders>
            <w:shd w:val="clear" w:color="auto" w:fill="auto"/>
            <w:noWrap/>
            <w:vAlign w:val="center"/>
          </w:tcPr>
          <w:p w14:paraId="29318E4B" w14:textId="1B5F28DC" w:rsidR="00535B74" w:rsidRPr="006C22C0" w:rsidRDefault="00535B74" w:rsidP="00535B74">
            <w:pPr>
              <w:jc w:val="right"/>
              <w:rPr>
                <w:rFonts w:ascii="Arial" w:hAnsi="Arial" w:cs="Arial"/>
                <w:sz w:val="16"/>
                <w:szCs w:val="16"/>
              </w:rPr>
            </w:pPr>
            <w:r>
              <w:rPr>
                <w:rFonts w:ascii="Arial" w:hAnsi="Arial" w:cs="Arial"/>
                <w:sz w:val="16"/>
                <w:szCs w:val="16"/>
              </w:rPr>
              <w:t>-3.431.618</w:t>
            </w:r>
          </w:p>
        </w:tc>
      </w:tr>
      <w:tr w:rsidR="00535B74" w:rsidRPr="00826C1B" w14:paraId="54C0C2E8" w14:textId="77777777" w:rsidTr="006E1AF7">
        <w:trPr>
          <w:trHeight w:val="198"/>
          <w:jc w:val="center"/>
        </w:trPr>
        <w:tc>
          <w:tcPr>
            <w:tcW w:w="5209" w:type="dxa"/>
            <w:tcBorders>
              <w:top w:val="nil"/>
              <w:left w:val="nil"/>
              <w:bottom w:val="nil"/>
              <w:right w:val="nil"/>
            </w:tcBorders>
            <w:shd w:val="clear" w:color="auto" w:fill="auto"/>
            <w:vAlign w:val="center"/>
            <w:hideMark/>
          </w:tcPr>
          <w:p w14:paraId="644F89CD" w14:textId="77777777" w:rsidR="00535B74" w:rsidRPr="00826C1B" w:rsidRDefault="00535B74" w:rsidP="00535B74">
            <w:pPr>
              <w:rPr>
                <w:rFonts w:ascii="Arial" w:hAnsi="Arial" w:cs="Arial"/>
                <w:sz w:val="10"/>
                <w:szCs w:val="10"/>
                <w:lang w:eastAsia="es-AR"/>
              </w:rPr>
            </w:pPr>
          </w:p>
        </w:tc>
        <w:tc>
          <w:tcPr>
            <w:tcW w:w="630" w:type="dxa"/>
            <w:tcBorders>
              <w:top w:val="nil"/>
              <w:left w:val="nil"/>
              <w:bottom w:val="nil"/>
              <w:right w:val="nil"/>
            </w:tcBorders>
            <w:shd w:val="clear" w:color="auto" w:fill="auto"/>
            <w:vAlign w:val="center"/>
          </w:tcPr>
          <w:p w14:paraId="5A66797A" w14:textId="77777777" w:rsidR="00535B74" w:rsidRPr="0021178E" w:rsidRDefault="00535B74" w:rsidP="00535B74">
            <w:pPr>
              <w:jc w:val="center"/>
              <w:rPr>
                <w:rFonts w:ascii="Arial" w:hAnsi="Arial" w:cs="Arial"/>
                <w:sz w:val="10"/>
                <w:szCs w:val="10"/>
                <w:lang w:eastAsia="es-AR"/>
              </w:rPr>
            </w:pPr>
          </w:p>
        </w:tc>
        <w:tc>
          <w:tcPr>
            <w:tcW w:w="1066" w:type="dxa"/>
            <w:tcBorders>
              <w:top w:val="nil"/>
              <w:left w:val="nil"/>
              <w:bottom w:val="nil"/>
              <w:right w:val="nil"/>
            </w:tcBorders>
            <w:shd w:val="clear" w:color="auto" w:fill="auto"/>
            <w:noWrap/>
            <w:vAlign w:val="center"/>
          </w:tcPr>
          <w:p w14:paraId="00C1C8D5" w14:textId="50EF5A5E" w:rsidR="00535B74" w:rsidRPr="006C22C0" w:rsidRDefault="00535B74">
            <w:pPr>
              <w:jc w:val="right"/>
              <w:rPr>
                <w:rFonts w:ascii="Arial" w:hAnsi="Arial" w:cs="Arial"/>
                <w:sz w:val="16"/>
                <w:szCs w:val="16"/>
              </w:rPr>
            </w:pPr>
          </w:p>
        </w:tc>
        <w:tc>
          <w:tcPr>
            <w:tcW w:w="1172" w:type="dxa"/>
            <w:tcBorders>
              <w:top w:val="nil"/>
              <w:left w:val="nil"/>
              <w:bottom w:val="nil"/>
              <w:right w:val="nil"/>
            </w:tcBorders>
            <w:shd w:val="clear" w:color="auto" w:fill="auto"/>
            <w:noWrap/>
            <w:vAlign w:val="center"/>
          </w:tcPr>
          <w:p w14:paraId="7B826745" w14:textId="1191DC6A" w:rsidR="00535B74" w:rsidRPr="006C22C0" w:rsidRDefault="00535B74" w:rsidP="00535B74">
            <w:pPr>
              <w:jc w:val="right"/>
              <w:rPr>
                <w:rFonts w:ascii="Arial" w:hAnsi="Arial" w:cs="Arial"/>
                <w:sz w:val="16"/>
                <w:szCs w:val="16"/>
              </w:rPr>
            </w:pPr>
          </w:p>
        </w:tc>
      </w:tr>
      <w:tr w:rsidR="00535B74" w:rsidRPr="00826C1B" w14:paraId="6947343D" w14:textId="77777777" w:rsidTr="006E1AF7">
        <w:trPr>
          <w:trHeight w:val="285"/>
          <w:jc w:val="center"/>
        </w:trPr>
        <w:tc>
          <w:tcPr>
            <w:tcW w:w="5209" w:type="dxa"/>
            <w:tcBorders>
              <w:top w:val="nil"/>
              <w:left w:val="nil"/>
              <w:bottom w:val="nil"/>
              <w:right w:val="nil"/>
            </w:tcBorders>
            <w:shd w:val="clear" w:color="auto" w:fill="auto"/>
            <w:vAlign w:val="center"/>
            <w:hideMark/>
          </w:tcPr>
          <w:p w14:paraId="020211AE" w14:textId="77777777" w:rsidR="00535B74" w:rsidRPr="00826C1B" w:rsidRDefault="00535B74" w:rsidP="00535B74">
            <w:pPr>
              <w:rPr>
                <w:rFonts w:ascii="Arial" w:hAnsi="Arial" w:cs="Arial"/>
                <w:b/>
                <w:bCs/>
                <w:sz w:val="16"/>
                <w:szCs w:val="16"/>
                <w:lang w:eastAsia="es-AR"/>
              </w:rPr>
            </w:pPr>
            <w:r w:rsidRPr="00826C1B">
              <w:rPr>
                <w:rFonts w:ascii="Arial" w:hAnsi="Arial" w:cs="Arial"/>
                <w:b/>
                <w:bCs/>
                <w:sz w:val="16"/>
                <w:szCs w:val="16"/>
                <w:lang w:eastAsia="es-AR"/>
              </w:rPr>
              <w:t>Resultado operativo</w:t>
            </w:r>
          </w:p>
        </w:tc>
        <w:tc>
          <w:tcPr>
            <w:tcW w:w="630" w:type="dxa"/>
            <w:tcBorders>
              <w:top w:val="nil"/>
              <w:left w:val="nil"/>
              <w:bottom w:val="nil"/>
              <w:right w:val="nil"/>
            </w:tcBorders>
            <w:shd w:val="clear" w:color="auto" w:fill="auto"/>
            <w:vAlign w:val="center"/>
          </w:tcPr>
          <w:p w14:paraId="246CFA0F" w14:textId="77777777" w:rsidR="00535B74" w:rsidRPr="00826C1B" w:rsidRDefault="00535B74" w:rsidP="00535B74">
            <w:pPr>
              <w:jc w:val="center"/>
              <w:rPr>
                <w:rFonts w:ascii="Arial" w:hAnsi="Arial" w:cs="Arial"/>
                <w:b/>
                <w:bCs/>
                <w:sz w:val="16"/>
                <w:szCs w:val="16"/>
                <w:lang w:eastAsia="es-AR"/>
              </w:rPr>
            </w:pPr>
          </w:p>
        </w:tc>
        <w:tc>
          <w:tcPr>
            <w:tcW w:w="1066" w:type="dxa"/>
            <w:tcBorders>
              <w:top w:val="nil"/>
              <w:left w:val="nil"/>
              <w:bottom w:val="nil"/>
              <w:right w:val="nil"/>
            </w:tcBorders>
            <w:shd w:val="clear" w:color="auto" w:fill="auto"/>
            <w:noWrap/>
            <w:vAlign w:val="center"/>
          </w:tcPr>
          <w:p w14:paraId="3CFA11C5" w14:textId="2B7355A0" w:rsidR="00535B74" w:rsidRPr="00FF6DEF" w:rsidRDefault="00535B74">
            <w:pPr>
              <w:jc w:val="right"/>
              <w:rPr>
                <w:rFonts w:ascii="Arial" w:hAnsi="Arial" w:cs="Arial"/>
                <w:b/>
                <w:sz w:val="16"/>
                <w:szCs w:val="16"/>
              </w:rPr>
            </w:pPr>
            <w:r>
              <w:rPr>
                <w:rFonts w:ascii="Arial" w:hAnsi="Arial" w:cs="Arial"/>
                <w:b/>
                <w:bCs/>
                <w:sz w:val="16"/>
                <w:szCs w:val="16"/>
              </w:rPr>
              <w:t xml:space="preserve">2.194.192 </w:t>
            </w:r>
          </w:p>
        </w:tc>
        <w:tc>
          <w:tcPr>
            <w:tcW w:w="1172" w:type="dxa"/>
            <w:tcBorders>
              <w:top w:val="nil"/>
              <w:left w:val="nil"/>
              <w:bottom w:val="nil"/>
              <w:right w:val="nil"/>
            </w:tcBorders>
            <w:shd w:val="clear" w:color="auto" w:fill="auto"/>
            <w:noWrap/>
            <w:vAlign w:val="center"/>
          </w:tcPr>
          <w:p w14:paraId="732B902E" w14:textId="59A6D277" w:rsidR="00535B74" w:rsidRPr="00FF6DEF" w:rsidRDefault="00535B74" w:rsidP="00535B74">
            <w:pPr>
              <w:jc w:val="right"/>
              <w:rPr>
                <w:rFonts w:ascii="Arial" w:hAnsi="Arial" w:cs="Arial"/>
                <w:b/>
                <w:sz w:val="16"/>
                <w:szCs w:val="16"/>
              </w:rPr>
            </w:pPr>
            <w:r>
              <w:rPr>
                <w:rFonts w:ascii="Arial" w:hAnsi="Arial" w:cs="Arial"/>
                <w:b/>
                <w:bCs/>
                <w:sz w:val="16"/>
                <w:szCs w:val="16"/>
              </w:rPr>
              <w:t>2.060.867</w:t>
            </w:r>
          </w:p>
        </w:tc>
      </w:tr>
      <w:tr w:rsidR="00535B74" w:rsidRPr="00826C1B" w14:paraId="44F9D557" w14:textId="77777777" w:rsidTr="006E1AF7">
        <w:trPr>
          <w:trHeight w:val="259"/>
          <w:jc w:val="center"/>
        </w:trPr>
        <w:tc>
          <w:tcPr>
            <w:tcW w:w="5209" w:type="dxa"/>
            <w:tcBorders>
              <w:top w:val="nil"/>
              <w:left w:val="nil"/>
              <w:bottom w:val="nil"/>
              <w:right w:val="nil"/>
            </w:tcBorders>
            <w:shd w:val="clear" w:color="auto" w:fill="auto"/>
            <w:vAlign w:val="center"/>
            <w:hideMark/>
          </w:tcPr>
          <w:p w14:paraId="6BABE7FE" w14:textId="77777777"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Resultado por subsidiarias asociadas y negocios conjuntos</w:t>
            </w:r>
          </w:p>
        </w:tc>
        <w:tc>
          <w:tcPr>
            <w:tcW w:w="630" w:type="dxa"/>
            <w:tcBorders>
              <w:top w:val="nil"/>
              <w:left w:val="nil"/>
              <w:bottom w:val="nil"/>
              <w:right w:val="nil"/>
            </w:tcBorders>
            <w:shd w:val="clear" w:color="auto" w:fill="auto"/>
            <w:vAlign w:val="center"/>
          </w:tcPr>
          <w:p w14:paraId="3CEFE154" w14:textId="77777777" w:rsidR="00535B74" w:rsidRPr="00826C1B" w:rsidRDefault="00535B74" w:rsidP="00535B74">
            <w:pPr>
              <w:jc w:val="center"/>
              <w:rPr>
                <w:rFonts w:ascii="Arial" w:hAnsi="Arial" w:cs="Arial"/>
                <w:sz w:val="16"/>
                <w:szCs w:val="16"/>
                <w:lang w:eastAsia="es-AR"/>
              </w:rPr>
            </w:pPr>
          </w:p>
        </w:tc>
        <w:tc>
          <w:tcPr>
            <w:tcW w:w="1066" w:type="dxa"/>
            <w:tcBorders>
              <w:top w:val="nil"/>
              <w:left w:val="nil"/>
              <w:bottom w:val="nil"/>
              <w:right w:val="nil"/>
            </w:tcBorders>
            <w:shd w:val="clear" w:color="auto" w:fill="auto"/>
            <w:noWrap/>
            <w:vAlign w:val="center"/>
          </w:tcPr>
          <w:p w14:paraId="06F77591" w14:textId="02A89580" w:rsidR="00535B74" w:rsidRPr="006C22C0" w:rsidRDefault="00535B74">
            <w:pPr>
              <w:jc w:val="right"/>
              <w:rPr>
                <w:rFonts w:ascii="Arial" w:hAnsi="Arial" w:cs="Arial"/>
                <w:sz w:val="16"/>
                <w:szCs w:val="16"/>
              </w:rPr>
            </w:pPr>
            <w:r>
              <w:rPr>
                <w:rFonts w:ascii="Arial" w:hAnsi="Arial" w:cs="Arial"/>
                <w:sz w:val="16"/>
                <w:szCs w:val="16"/>
              </w:rPr>
              <w:t xml:space="preserve">-6.096 </w:t>
            </w:r>
          </w:p>
        </w:tc>
        <w:tc>
          <w:tcPr>
            <w:tcW w:w="1172" w:type="dxa"/>
            <w:tcBorders>
              <w:top w:val="nil"/>
              <w:left w:val="nil"/>
              <w:bottom w:val="nil"/>
              <w:right w:val="nil"/>
            </w:tcBorders>
            <w:shd w:val="clear" w:color="auto" w:fill="auto"/>
            <w:noWrap/>
            <w:vAlign w:val="center"/>
          </w:tcPr>
          <w:p w14:paraId="0801B7EE" w14:textId="3FFFE485" w:rsidR="00535B74" w:rsidRPr="006C22C0" w:rsidRDefault="00535B74" w:rsidP="00535B74">
            <w:pPr>
              <w:jc w:val="right"/>
              <w:rPr>
                <w:rFonts w:ascii="Arial" w:hAnsi="Arial" w:cs="Arial"/>
                <w:sz w:val="16"/>
                <w:szCs w:val="16"/>
              </w:rPr>
            </w:pPr>
            <w:r>
              <w:rPr>
                <w:rFonts w:ascii="Arial" w:hAnsi="Arial" w:cs="Arial"/>
                <w:sz w:val="16"/>
                <w:szCs w:val="16"/>
              </w:rPr>
              <w:t>-10.360</w:t>
            </w:r>
          </w:p>
        </w:tc>
      </w:tr>
      <w:tr w:rsidR="00535B74" w:rsidRPr="00826C1B" w14:paraId="71709CC8" w14:textId="77777777" w:rsidTr="006E1AF7">
        <w:trPr>
          <w:trHeight w:val="80"/>
          <w:jc w:val="center"/>
        </w:trPr>
        <w:tc>
          <w:tcPr>
            <w:tcW w:w="5209" w:type="dxa"/>
            <w:tcBorders>
              <w:top w:val="nil"/>
              <w:left w:val="nil"/>
              <w:bottom w:val="nil"/>
              <w:right w:val="nil"/>
            </w:tcBorders>
            <w:shd w:val="clear" w:color="auto" w:fill="auto"/>
            <w:vAlign w:val="center"/>
            <w:hideMark/>
          </w:tcPr>
          <w:p w14:paraId="3F7A4711" w14:textId="77777777" w:rsidR="00535B74" w:rsidRPr="00826C1B" w:rsidRDefault="00535B74" w:rsidP="00535B74">
            <w:pPr>
              <w:rPr>
                <w:rFonts w:ascii="Arial" w:hAnsi="Arial" w:cs="Arial"/>
                <w:sz w:val="10"/>
                <w:szCs w:val="10"/>
                <w:lang w:eastAsia="es-AR"/>
              </w:rPr>
            </w:pPr>
          </w:p>
        </w:tc>
        <w:tc>
          <w:tcPr>
            <w:tcW w:w="630" w:type="dxa"/>
            <w:tcBorders>
              <w:top w:val="nil"/>
              <w:left w:val="nil"/>
              <w:bottom w:val="nil"/>
              <w:right w:val="nil"/>
            </w:tcBorders>
            <w:shd w:val="clear" w:color="auto" w:fill="auto"/>
            <w:vAlign w:val="center"/>
          </w:tcPr>
          <w:p w14:paraId="5105368F" w14:textId="77777777" w:rsidR="00535B74" w:rsidRPr="00826C1B" w:rsidRDefault="00535B74" w:rsidP="00535B74">
            <w:pPr>
              <w:jc w:val="center"/>
              <w:rPr>
                <w:rFonts w:ascii="Arial" w:hAnsi="Arial" w:cs="Arial"/>
                <w:sz w:val="10"/>
                <w:szCs w:val="10"/>
                <w:lang w:eastAsia="es-AR"/>
              </w:rPr>
            </w:pPr>
          </w:p>
        </w:tc>
        <w:tc>
          <w:tcPr>
            <w:tcW w:w="1066" w:type="dxa"/>
            <w:tcBorders>
              <w:top w:val="nil"/>
              <w:left w:val="nil"/>
              <w:bottom w:val="nil"/>
              <w:right w:val="nil"/>
            </w:tcBorders>
            <w:shd w:val="clear" w:color="auto" w:fill="auto"/>
            <w:noWrap/>
            <w:vAlign w:val="center"/>
          </w:tcPr>
          <w:p w14:paraId="4E6E98EC" w14:textId="51CF97F5" w:rsidR="00535B74" w:rsidRPr="006C22C0" w:rsidRDefault="00535B74">
            <w:pPr>
              <w:jc w:val="right"/>
              <w:rPr>
                <w:rFonts w:ascii="Arial" w:hAnsi="Arial" w:cs="Arial"/>
                <w:b/>
                <w:sz w:val="16"/>
                <w:szCs w:val="16"/>
              </w:rPr>
            </w:pPr>
          </w:p>
        </w:tc>
        <w:tc>
          <w:tcPr>
            <w:tcW w:w="1172" w:type="dxa"/>
            <w:tcBorders>
              <w:top w:val="nil"/>
              <w:left w:val="nil"/>
              <w:bottom w:val="nil"/>
              <w:right w:val="nil"/>
            </w:tcBorders>
            <w:shd w:val="clear" w:color="auto" w:fill="auto"/>
            <w:noWrap/>
            <w:vAlign w:val="center"/>
          </w:tcPr>
          <w:p w14:paraId="49483045" w14:textId="75DE4F3C" w:rsidR="00535B74" w:rsidRPr="006C22C0" w:rsidRDefault="00535B74" w:rsidP="00535B74">
            <w:pPr>
              <w:jc w:val="right"/>
              <w:rPr>
                <w:rFonts w:ascii="Arial" w:hAnsi="Arial" w:cs="Arial"/>
                <w:b/>
                <w:sz w:val="16"/>
                <w:szCs w:val="16"/>
              </w:rPr>
            </w:pPr>
          </w:p>
        </w:tc>
      </w:tr>
      <w:tr w:rsidR="00535B74" w:rsidRPr="00826C1B" w14:paraId="3475B4FB" w14:textId="77777777" w:rsidTr="006E1AF7">
        <w:trPr>
          <w:trHeight w:val="275"/>
          <w:jc w:val="center"/>
        </w:trPr>
        <w:tc>
          <w:tcPr>
            <w:tcW w:w="5209" w:type="dxa"/>
            <w:tcBorders>
              <w:top w:val="nil"/>
              <w:left w:val="nil"/>
              <w:bottom w:val="nil"/>
              <w:right w:val="nil"/>
            </w:tcBorders>
            <w:shd w:val="clear" w:color="auto" w:fill="auto"/>
            <w:vAlign w:val="center"/>
            <w:hideMark/>
          </w:tcPr>
          <w:p w14:paraId="083B9D12" w14:textId="77777777" w:rsidR="00535B74" w:rsidRPr="00826C1B" w:rsidRDefault="00535B74" w:rsidP="00535B74">
            <w:pPr>
              <w:rPr>
                <w:rFonts w:ascii="Arial" w:hAnsi="Arial" w:cs="Arial"/>
                <w:b/>
                <w:bCs/>
                <w:sz w:val="16"/>
                <w:szCs w:val="16"/>
                <w:lang w:eastAsia="es-AR"/>
              </w:rPr>
            </w:pPr>
            <w:r w:rsidRPr="00826C1B">
              <w:rPr>
                <w:rFonts w:ascii="Arial" w:hAnsi="Arial" w:cs="Arial"/>
                <w:b/>
                <w:bCs/>
                <w:sz w:val="16"/>
                <w:szCs w:val="16"/>
                <w:lang w:eastAsia="es-AR"/>
              </w:rPr>
              <w:t>Resultado antes de impuesto de las actividades que continúan</w:t>
            </w:r>
          </w:p>
        </w:tc>
        <w:tc>
          <w:tcPr>
            <w:tcW w:w="630" w:type="dxa"/>
            <w:tcBorders>
              <w:top w:val="nil"/>
              <w:left w:val="nil"/>
              <w:bottom w:val="nil"/>
              <w:right w:val="nil"/>
            </w:tcBorders>
            <w:shd w:val="clear" w:color="auto" w:fill="auto"/>
            <w:vAlign w:val="center"/>
            <w:hideMark/>
          </w:tcPr>
          <w:p w14:paraId="72056B1E" w14:textId="77777777" w:rsidR="00535B74" w:rsidRPr="00826C1B" w:rsidRDefault="00535B74" w:rsidP="00535B74">
            <w:pPr>
              <w:jc w:val="center"/>
              <w:rPr>
                <w:rFonts w:ascii="Arial" w:hAnsi="Arial" w:cs="Arial"/>
                <w:b/>
                <w:bCs/>
                <w:sz w:val="16"/>
                <w:szCs w:val="16"/>
                <w:lang w:eastAsia="es-AR"/>
              </w:rPr>
            </w:pPr>
          </w:p>
        </w:tc>
        <w:tc>
          <w:tcPr>
            <w:tcW w:w="1066" w:type="dxa"/>
            <w:tcBorders>
              <w:top w:val="nil"/>
              <w:left w:val="nil"/>
              <w:bottom w:val="nil"/>
              <w:right w:val="nil"/>
            </w:tcBorders>
            <w:shd w:val="clear" w:color="auto" w:fill="auto"/>
            <w:noWrap/>
            <w:vAlign w:val="center"/>
          </w:tcPr>
          <w:p w14:paraId="60BD28D9" w14:textId="187BEFB9" w:rsidR="00535B74" w:rsidRPr="00FF6DEF" w:rsidRDefault="00535B74">
            <w:pPr>
              <w:jc w:val="right"/>
              <w:rPr>
                <w:rFonts w:ascii="Arial" w:hAnsi="Arial" w:cs="Arial"/>
                <w:b/>
                <w:sz w:val="16"/>
                <w:szCs w:val="16"/>
              </w:rPr>
            </w:pPr>
            <w:r>
              <w:rPr>
                <w:rFonts w:ascii="Arial" w:hAnsi="Arial" w:cs="Arial"/>
                <w:b/>
                <w:bCs/>
                <w:sz w:val="16"/>
                <w:szCs w:val="16"/>
              </w:rPr>
              <w:t xml:space="preserve">2.188.096 </w:t>
            </w:r>
          </w:p>
        </w:tc>
        <w:tc>
          <w:tcPr>
            <w:tcW w:w="1172" w:type="dxa"/>
            <w:tcBorders>
              <w:top w:val="nil"/>
              <w:left w:val="nil"/>
              <w:bottom w:val="nil"/>
              <w:right w:val="nil"/>
            </w:tcBorders>
            <w:shd w:val="clear" w:color="auto" w:fill="auto"/>
            <w:noWrap/>
            <w:vAlign w:val="center"/>
          </w:tcPr>
          <w:p w14:paraId="2CCFA18F" w14:textId="19CA0923" w:rsidR="00535B74" w:rsidRPr="00FF6DEF" w:rsidRDefault="00535B74" w:rsidP="00535B74">
            <w:pPr>
              <w:jc w:val="right"/>
              <w:rPr>
                <w:rFonts w:ascii="Arial" w:hAnsi="Arial" w:cs="Arial"/>
                <w:b/>
                <w:sz w:val="16"/>
                <w:szCs w:val="16"/>
              </w:rPr>
            </w:pPr>
            <w:r>
              <w:rPr>
                <w:rFonts w:ascii="Arial" w:hAnsi="Arial" w:cs="Arial"/>
                <w:b/>
                <w:bCs/>
                <w:sz w:val="16"/>
                <w:szCs w:val="16"/>
              </w:rPr>
              <w:t>2.050.507</w:t>
            </w:r>
          </w:p>
        </w:tc>
      </w:tr>
      <w:tr w:rsidR="00535B74" w:rsidRPr="00826C1B" w14:paraId="60682133" w14:textId="77777777" w:rsidTr="006E1AF7">
        <w:trPr>
          <w:trHeight w:val="285"/>
          <w:jc w:val="center"/>
        </w:trPr>
        <w:tc>
          <w:tcPr>
            <w:tcW w:w="5209" w:type="dxa"/>
            <w:tcBorders>
              <w:top w:val="nil"/>
              <w:left w:val="nil"/>
              <w:bottom w:val="nil"/>
              <w:right w:val="nil"/>
            </w:tcBorders>
            <w:shd w:val="clear" w:color="auto" w:fill="auto"/>
            <w:vAlign w:val="center"/>
            <w:hideMark/>
          </w:tcPr>
          <w:p w14:paraId="22ACC658" w14:textId="77777777"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Impuesto a las ganancias de las actividades que continúan</w:t>
            </w:r>
          </w:p>
        </w:tc>
        <w:tc>
          <w:tcPr>
            <w:tcW w:w="630" w:type="dxa"/>
            <w:tcBorders>
              <w:top w:val="nil"/>
              <w:left w:val="nil"/>
              <w:bottom w:val="nil"/>
              <w:right w:val="nil"/>
            </w:tcBorders>
            <w:shd w:val="clear" w:color="auto" w:fill="auto"/>
            <w:vAlign w:val="center"/>
            <w:hideMark/>
          </w:tcPr>
          <w:p w14:paraId="5941EA8B" w14:textId="510C6D24" w:rsidR="00535B74" w:rsidRPr="00826C1B" w:rsidRDefault="00930D11" w:rsidP="00535B74">
            <w:pPr>
              <w:jc w:val="center"/>
              <w:rPr>
                <w:rFonts w:ascii="Arial" w:hAnsi="Arial" w:cs="Arial"/>
                <w:sz w:val="16"/>
                <w:szCs w:val="16"/>
                <w:lang w:eastAsia="es-AR"/>
              </w:rPr>
            </w:pPr>
            <w:r>
              <w:rPr>
                <w:rFonts w:ascii="Arial" w:hAnsi="Arial" w:cs="Arial"/>
                <w:sz w:val="16"/>
                <w:szCs w:val="16"/>
                <w:lang w:eastAsia="es-AR"/>
              </w:rPr>
              <w:t>4</w:t>
            </w:r>
          </w:p>
        </w:tc>
        <w:tc>
          <w:tcPr>
            <w:tcW w:w="1066" w:type="dxa"/>
            <w:tcBorders>
              <w:top w:val="nil"/>
              <w:left w:val="nil"/>
              <w:bottom w:val="nil"/>
              <w:right w:val="nil"/>
            </w:tcBorders>
            <w:shd w:val="clear" w:color="auto" w:fill="auto"/>
            <w:noWrap/>
            <w:vAlign w:val="center"/>
          </w:tcPr>
          <w:p w14:paraId="4E55BAC1" w14:textId="65A843BB" w:rsidR="00535B74" w:rsidRPr="006C22C0" w:rsidRDefault="00535B74">
            <w:pPr>
              <w:jc w:val="right"/>
              <w:rPr>
                <w:rFonts w:ascii="Arial" w:hAnsi="Arial" w:cs="Arial"/>
                <w:sz w:val="16"/>
                <w:szCs w:val="16"/>
              </w:rPr>
            </w:pPr>
            <w:r>
              <w:rPr>
                <w:rFonts w:ascii="Arial" w:hAnsi="Arial" w:cs="Arial"/>
                <w:sz w:val="16"/>
                <w:szCs w:val="16"/>
              </w:rPr>
              <w:t xml:space="preserve">1.120.231 </w:t>
            </w:r>
          </w:p>
        </w:tc>
        <w:tc>
          <w:tcPr>
            <w:tcW w:w="1172" w:type="dxa"/>
            <w:tcBorders>
              <w:top w:val="nil"/>
              <w:left w:val="nil"/>
              <w:bottom w:val="nil"/>
              <w:right w:val="nil"/>
            </w:tcBorders>
            <w:shd w:val="clear" w:color="auto" w:fill="auto"/>
            <w:noWrap/>
            <w:vAlign w:val="center"/>
          </w:tcPr>
          <w:p w14:paraId="3E0EFF62" w14:textId="3DFE341B" w:rsidR="00535B74" w:rsidRPr="006C22C0" w:rsidRDefault="00535B74" w:rsidP="00535B74">
            <w:pPr>
              <w:jc w:val="right"/>
              <w:rPr>
                <w:rFonts w:ascii="Arial" w:hAnsi="Arial" w:cs="Arial"/>
                <w:sz w:val="16"/>
                <w:szCs w:val="16"/>
              </w:rPr>
            </w:pPr>
            <w:r>
              <w:rPr>
                <w:rFonts w:ascii="Arial" w:hAnsi="Arial" w:cs="Arial"/>
                <w:sz w:val="16"/>
                <w:szCs w:val="16"/>
              </w:rPr>
              <w:t>-387.270</w:t>
            </w:r>
          </w:p>
        </w:tc>
      </w:tr>
      <w:tr w:rsidR="00535B74" w:rsidRPr="00826C1B" w14:paraId="3E835F36" w14:textId="77777777" w:rsidTr="006E1AF7">
        <w:trPr>
          <w:trHeight w:val="105"/>
          <w:jc w:val="center"/>
        </w:trPr>
        <w:tc>
          <w:tcPr>
            <w:tcW w:w="5209" w:type="dxa"/>
            <w:tcBorders>
              <w:top w:val="nil"/>
              <w:left w:val="nil"/>
              <w:bottom w:val="nil"/>
              <w:right w:val="nil"/>
            </w:tcBorders>
            <w:shd w:val="clear" w:color="auto" w:fill="auto"/>
            <w:vAlign w:val="center"/>
            <w:hideMark/>
          </w:tcPr>
          <w:p w14:paraId="15CE9020" w14:textId="77777777" w:rsidR="00535B74" w:rsidRPr="00826C1B" w:rsidRDefault="00535B74" w:rsidP="00535B74">
            <w:pPr>
              <w:rPr>
                <w:rFonts w:ascii="Arial" w:hAnsi="Arial" w:cs="Arial"/>
                <w:sz w:val="16"/>
                <w:szCs w:val="16"/>
                <w:lang w:eastAsia="es-AR"/>
              </w:rPr>
            </w:pPr>
          </w:p>
        </w:tc>
        <w:tc>
          <w:tcPr>
            <w:tcW w:w="630" w:type="dxa"/>
            <w:tcBorders>
              <w:top w:val="nil"/>
              <w:left w:val="nil"/>
              <w:bottom w:val="nil"/>
              <w:right w:val="nil"/>
            </w:tcBorders>
            <w:shd w:val="clear" w:color="auto" w:fill="auto"/>
            <w:vAlign w:val="center"/>
            <w:hideMark/>
          </w:tcPr>
          <w:p w14:paraId="307BD300" w14:textId="77777777" w:rsidR="00535B74" w:rsidRPr="00826C1B" w:rsidRDefault="00535B74" w:rsidP="00535B74">
            <w:pPr>
              <w:jc w:val="center"/>
              <w:rPr>
                <w:rFonts w:ascii="Arial" w:hAnsi="Arial" w:cs="Arial"/>
                <w:sz w:val="16"/>
                <w:szCs w:val="16"/>
                <w:lang w:eastAsia="es-AR"/>
              </w:rPr>
            </w:pPr>
          </w:p>
        </w:tc>
        <w:tc>
          <w:tcPr>
            <w:tcW w:w="1066" w:type="dxa"/>
            <w:tcBorders>
              <w:top w:val="nil"/>
              <w:left w:val="nil"/>
              <w:bottom w:val="nil"/>
              <w:right w:val="nil"/>
            </w:tcBorders>
            <w:shd w:val="clear" w:color="auto" w:fill="auto"/>
            <w:noWrap/>
            <w:vAlign w:val="center"/>
          </w:tcPr>
          <w:p w14:paraId="3BA3DC9A" w14:textId="3FD21CE0" w:rsidR="00535B74" w:rsidRPr="006C22C0" w:rsidRDefault="00535B74">
            <w:pPr>
              <w:jc w:val="right"/>
              <w:rPr>
                <w:rFonts w:ascii="Arial" w:hAnsi="Arial" w:cs="Arial"/>
                <w:sz w:val="16"/>
                <w:szCs w:val="16"/>
              </w:rPr>
            </w:pPr>
          </w:p>
        </w:tc>
        <w:tc>
          <w:tcPr>
            <w:tcW w:w="1172" w:type="dxa"/>
            <w:tcBorders>
              <w:top w:val="nil"/>
              <w:left w:val="nil"/>
              <w:bottom w:val="nil"/>
              <w:right w:val="nil"/>
            </w:tcBorders>
            <w:shd w:val="clear" w:color="auto" w:fill="auto"/>
            <w:noWrap/>
            <w:vAlign w:val="center"/>
          </w:tcPr>
          <w:p w14:paraId="3EA7981D" w14:textId="43EDF347" w:rsidR="00535B74" w:rsidRPr="006C22C0" w:rsidRDefault="00535B74" w:rsidP="00535B74">
            <w:pPr>
              <w:jc w:val="right"/>
              <w:rPr>
                <w:rFonts w:ascii="Arial" w:hAnsi="Arial" w:cs="Arial"/>
                <w:sz w:val="16"/>
                <w:szCs w:val="16"/>
              </w:rPr>
            </w:pPr>
          </w:p>
        </w:tc>
      </w:tr>
      <w:tr w:rsidR="00535B74" w:rsidRPr="00826C1B" w14:paraId="59FE9BD5" w14:textId="77777777" w:rsidTr="006E1AF7">
        <w:trPr>
          <w:trHeight w:val="285"/>
          <w:jc w:val="center"/>
        </w:trPr>
        <w:tc>
          <w:tcPr>
            <w:tcW w:w="5209" w:type="dxa"/>
            <w:tcBorders>
              <w:top w:val="nil"/>
              <w:left w:val="nil"/>
              <w:bottom w:val="nil"/>
              <w:right w:val="nil"/>
            </w:tcBorders>
            <w:shd w:val="clear" w:color="auto" w:fill="auto"/>
            <w:vAlign w:val="center"/>
            <w:hideMark/>
          </w:tcPr>
          <w:p w14:paraId="50E869D1" w14:textId="77777777" w:rsidR="00535B74" w:rsidRPr="00826C1B" w:rsidRDefault="00535B74" w:rsidP="00535B74">
            <w:pPr>
              <w:rPr>
                <w:rFonts w:ascii="Arial" w:hAnsi="Arial" w:cs="Arial"/>
                <w:b/>
                <w:bCs/>
                <w:sz w:val="16"/>
                <w:szCs w:val="16"/>
                <w:lang w:eastAsia="es-AR"/>
              </w:rPr>
            </w:pPr>
            <w:r w:rsidRPr="00826C1B">
              <w:rPr>
                <w:rFonts w:ascii="Arial" w:hAnsi="Arial" w:cs="Arial"/>
                <w:b/>
                <w:bCs/>
                <w:sz w:val="16"/>
                <w:szCs w:val="16"/>
                <w:lang w:eastAsia="es-AR"/>
              </w:rPr>
              <w:t>Resultado neto de las actividades que continúan</w:t>
            </w:r>
          </w:p>
        </w:tc>
        <w:tc>
          <w:tcPr>
            <w:tcW w:w="630" w:type="dxa"/>
            <w:tcBorders>
              <w:top w:val="nil"/>
              <w:left w:val="nil"/>
              <w:bottom w:val="nil"/>
              <w:right w:val="nil"/>
            </w:tcBorders>
            <w:shd w:val="clear" w:color="auto" w:fill="auto"/>
            <w:vAlign w:val="center"/>
            <w:hideMark/>
          </w:tcPr>
          <w:p w14:paraId="7F305089" w14:textId="77777777" w:rsidR="00535B74" w:rsidRPr="00826C1B" w:rsidRDefault="00535B74" w:rsidP="00535B74">
            <w:pPr>
              <w:jc w:val="center"/>
              <w:rPr>
                <w:rFonts w:ascii="Arial" w:hAnsi="Arial" w:cs="Arial"/>
                <w:b/>
                <w:bCs/>
                <w:sz w:val="16"/>
                <w:szCs w:val="16"/>
                <w:lang w:eastAsia="es-AR"/>
              </w:rPr>
            </w:pPr>
          </w:p>
        </w:tc>
        <w:tc>
          <w:tcPr>
            <w:tcW w:w="1066" w:type="dxa"/>
            <w:tcBorders>
              <w:top w:val="nil"/>
              <w:left w:val="nil"/>
              <w:bottom w:val="nil"/>
              <w:right w:val="nil"/>
            </w:tcBorders>
            <w:shd w:val="clear" w:color="auto" w:fill="auto"/>
            <w:noWrap/>
            <w:vAlign w:val="center"/>
          </w:tcPr>
          <w:p w14:paraId="29CD6D2B" w14:textId="033B3E45" w:rsidR="00535B74" w:rsidRPr="00FF6DEF" w:rsidRDefault="00535B74">
            <w:pPr>
              <w:jc w:val="right"/>
              <w:rPr>
                <w:rFonts w:ascii="Arial" w:hAnsi="Arial" w:cs="Arial"/>
                <w:b/>
                <w:sz w:val="16"/>
                <w:szCs w:val="16"/>
              </w:rPr>
            </w:pPr>
            <w:r>
              <w:rPr>
                <w:rFonts w:ascii="Arial" w:hAnsi="Arial" w:cs="Arial"/>
                <w:b/>
                <w:bCs/>
                <w:sz w:val="16"/>
                <w:szCs w:val="16"/>
              </w:rPr>
              <w:t xml:space="preserve">3.308.327 </w:t>
            </w:r>
          </w:p>
        </w:tc>
        <w:tc>
          <w:tcPr>
            <w:tcW w:w="1172" w:type="dxa"/>
            <w:tcBorders>
              <w:top w:val="nil"/>
              <w:left w:val="nil"/>
              <w:bottom w:val="nil"/>
              <w:right w:val="nil"/>
            </w:tcBorders>
            <w:shd w:val="clear" w:color="auto" w:fill="auto"/>
            <w:noWrap/>
            <w:vAlign w:val="center"/>
          </w:tcPr>
          <w:p w14:paraId="1C2BDE5F" w14:textId="162DC365" w:rsidR="00535B74" w:rsidRPr="00FF6DEF" w:rsidRDefault="00535B74" w:rsidP="00535B74">
            <w:pPr>
              <w:jc w:val="right"/>
              <w:rPr>
                <w:rFonts w:ascii="Arial" w:hAnsi="Arial" w:cs="Arial"/>
                <w:b/>
                <w:sz w:val="16"/>
                <w:szCs w:val="16"/>
              </w:rPr>
            </w:pPr>
            <w:r>
              <w:rPr>
                <w:rFonts w:ascii="Arial" w:hAnsi="Arial" w:cs="Arial"/>
                <w:b/>
                <w:bCs/>
                <w:sz w:val="16"/>
                <w:szCs w:val="16"/>
              </w:rPr>
              <w:t>1.663.237</w:t>
            </w:r>
          </w:p>
        </w:tc>
      </w:tr>
      <w:tr w:rsidR="00535B74" w:rsidRPr="00826C1B" w14:paraId="11848B88" w14:textId="77777777" w:rsidTr="006E1AF7">
        <w:trPr>
          <w:trHeight w:val="285"/>
          <w:jc w:val="center"/>
        </w:trPr>
        <w:tc>
          <w:tcPr>
            <w:tcW w:w="5209" w:type="dxa"/>
            <w:tcBorders>
              <w:top w:val="nil"/>
              <w:left w:val="nil"/>
              <w:bottom w:val="nil"/>
              <w:right w:val="nil"/>
            </w:tcBorders>
            <w:shd w:val="clear" w:color="auto" w:fill="auto"/>
            <w:vAlign w:val="center"/>
            <w:hideMark/>
          </w:tcPr>
          <w:p w14:paraId="10B65D45" w14:textId="782E0909" w:rsidR="00535B74" w:rsidRPr="00826C1B" w:rsidRDefault="00535B74" w:rsidP="00535B74">
            <w:pPr>
              <w:rPr>
                <w:rFonts w:ascii="Arial" w:hAnsi="Arial" w:cs="Arial"/>
                <w:b/>
                <w:bCs/>
                <w:sz w:val="16"/>
                <w:szCs w:val="16"/>
                <w:lang w:eastAsia="es-AR"/>
              </w:rPr>
            </w:pPr>
            <w:r w:rsidRPr="00826C1B">
              <w:rPr>
                <w:rFonts w:ascii="Arial" w:hAnsi="Arial" w:cs="Arial"/>
                <w:b/>
                <w:bCs/>
                <w:sz w:val="16"/>
                <w:szCs w:val="16"/>
                <w:lang w:eastAsia="es-AR"/>
              </w:rPr>
              <w:t xml:space="preserve">Resultado neto del </w:t>
            </w:r>
            <w:r>
              <w:rPr>
                <w:rFonts w:ascii="Arial" w:hAnsi="Arial" w:cs="Arial"/>
                <w:b/>
                <w:bCs/>
                <w:sz w:val="16"/>
                <w:szCs w:val="16"/>
                <w:lang w:eastAsia="es-AR"/>
              </w:rPr>
              <w:t>ejercicio</w:t>
            </w:r>
          </w:p>
        </w:tc>
        <w:tc>
          <w:tcPr>
            <w:tcW w:w="630" w:type="dxa"/>
            <w:tcBorders>
              <w:top w:val="nil"/>
              <w:left w:val="nil"/>
              <w:bottom w:val="nil"/>
              <w:right w:val="nil"/>
            </w:tcBorders>
            <w:shd w:val="clear" w:color="auto" w:fill="auto"/>
            <w:vAlign w:val="center"/>
            <w:hideMark/>
          </w:tcPr>
          <w:p w14:paraId="3F24EA19" w14:textId="77777777" w:rsidR="00535B74" w:rsidRPr="00826C1B" w:rsidRDefault="00535B74" w:rsidP="00535B74">
            <w:pPr>
              <w:jc w:val="center"/>
              <w:rPr>
                <w:rFonts w:ascii="Arial" w:hAnsi="Arial" w:cs="Arial"/>
                <w:b/>
                <w:bCs/>
                <w:sz w:val="16"/>
                <w:szCs w:val="16"/>
                <w:lang w:eastAsia="es-AR"/>
              </w:rPr>
            </w:pPr>
          </w:p>
        </w:tc>
        <w:tc>
          <w:tcPr>
            <w:tcW w:w="1066" w:type="dxa"/>
            <w:tcBorders>
              <w:top w:val="single" w:sz="4" w:space="0" w:color="auto"/>
              <w:left w:val="nil"/>
              <w:bottom w:val="nil"/>
              <w:right w:val="nil"/>
            </w:tcBorders>
            <w:shd w:val="clear" w:color="auto" w:fill="auto"/>
            <w:noWrap/>
            <w:vAlign w:val="center"/>
          </w:tcPr>
          <w:p w14:paraId="4E6BC519" w14:textId="12D08EAC" w:rsidR="00535B74" w:rsidRPr="00FF6DEF" w:rsidRDefault="00535B74">
            <w:pPr>
              <w:jc w:val="right"/>
              <w:rPr>
                <w:rFonts w:ascii="Arial" w:hAnsi="Arial" w:cs="Arial"/>
                <w:b/>
                <w:sz w:val="16"/>
                <w:szCs w:val="16"/>
              </w:rPr>
            </w:pPr>
            <w:r>
              <w:rPr>
                <w:rFonts w:ascii="Arial" w:hAnsi="Arial" w:cs="Arial"/>
                <w:b/>
                <w:bCs/>
                <w:sz w:val="16"/>
                <w:szCs w:val="16"/>
              </w:rPr>
              <w:t xml:space="preserve">3.308.327 </w:t>
            </w:r>
          </w:p>
        </w:tc>
        <w:tc>
          <w:tcPr>
            <w:tcW w:w="1172" w:type="dxa"/>
            <w:tcBorders>
              <w:top w:val="single" w:sz="4" w:space="0" w:color="auto"/>
              <w:left w:val="nil"/>
              <w:bottom w:val="nil"/>
              <w:right w:val="nil"/>
            </w:tcBorders>
            <w:shd w:val="clear" w:color="auto" w:fill="auto"/>
            <w:noWrap/>
            <w:vAlign w:val="center"/>
          </w:tcPr>
          <w:p w14:paraId="087F2A40" w14:textId="615F9533" w:rsidR="00535B74" w:rsidRPr="00FF6DEF" w:rsidRDefault="00535B74" w:rsidP="00535B74">
            <w:pPr>
              <w:jc w:val="right"/>
              <w:rPr>
                <w:rFonts w:ascii="Arial" w:hAnsi="Arial" w:cs="Arial"/>
                <w:b/>
                <w:sz w:val="16"/>
                <w:szCs w:val="16"/>
              </w:rPr>
            </w:pPr>
            <w:r>
              <w:rPr>
                <w:rFonts w:ascii="Arial" w:hAnsi="Arial" w:cs="Arial"/>
                <w:b/>
                <w:bCs/>
                <w:sz w:val="16"/>
                <w:szCs w:val="16"/>
              </w:rPr>
              <w:t>1.663.237</w:t>
            </w:r>
          </w:p>
        </w:tc>
      </w:tr>
      <w:tr w:rsidR="00535B74" w:rsidRPr="00826C1B" w14:paraId="27424FE5" w14:textId="77777777" w:rsidTr="006E1AF7">
        <w:trPr>
          <w:trHeight w:val="118"/>
          <w:jc w:val="center"/>
        </w:trPr>
        <w:tc>
          <w:tcPr>
            <w:tcW w:w="5209" w:type="dxa"/>
            <w:tcBorders>
              <w:top w:val="nil"/>
              <w:left w:val="nil"/>
              <w:bottom w:val="nil"/>
              <w:right w:val="nil"/>
            </w:tcBorders>
            <w:shd w:val="clear" w:color="auto" w:fill="auto"/>
            <w:noWrap/>
            <w:vAlign w:val="center"/>
            <w:hideMark/>
          </w:tcPr>
          <w:p w14:paraId="24E98F50" w14:textId="77777777" w:rsidR="00535B74" w:rsidRPr="00826C1B" w:rsidRDefault="00535B74" w:rsidP="00535B74">
            <w:pPr>
              <w:rPr>
                <w:rFonts w:ascii="Arial" w:hAnsi="Arial" w:cs="Arial"/>
                <w:b/>
                <w:bCs/>
                <w:sz w:val="10"/>
                <w:szCs w:val="10"/>
                <w:lang w:eastAsia="es-AR"/>
              </w:rPr>
            </w:pPr>
          </w:p>
        </w:tc>
        <w:tc>
          <w:tcPr>
            <w:tcW w:w="630" w:type="dxa"/>
            <w:tcBorders>
              <w:top w:val="nil"/>
              <w:left w:val="nil"/>
              <w:bottom w:val="nil"/>
              <w:right w:val="nil"/>
            </w:tcBorders>
            <w:shd w:val="clear" w:color="auto" w:fill="auto"/>
            <w:noWrap/>
            <w:vAlign w:val="center"/>
            <w:hideMark/>
          </w:tcPr>
          <w:p w14:paraId="2F2BBEAA" w14:textId="77777777" w:rsidR="00535B74" w:rsidRPr="00826C1B" w:rsidRDefault="00535B74" w:rsidP="00535B74">
            <w:pPr>
              <w:jc w:val="center"/>
              <w:rPr>
                <w:rFonts w:ascii="Arial" w:hAnsi="Arial" w:cs="Arial"/>
                <w:sz w:val="10"/>
                <w:szCs w:val="10"/>
                <w:lang w:eastAsia="es-AR"/>
              </w:rPr>
            </w:pPr>
          </w:p>
        </w:tc>
        <w:tc>
          <w:tcPr>
            <w:tcW w:w="1066" w:type="dxa"/>
            <w:tcBorders>
              <w:top w:val="nil"/>
              <w:left w:val="nil"/>
              <w:bottom w:val="nil"/>
              <w:right w:val="nil"/>
            </w:tcBorders>
            <w:shd w:val="clear" w:color="auto" w:fill="auto"/>
            <w:noWrap/>
            <w:vAlign w:val="center"/>
          </w:tcPr>
          <w:p w14:paraId="3C5C92A5" w14:textId="2C877754" w:rsidR="00535B74" w:rsidRPr="006C22C0" w:rsidRDefault="00535B74">
            <w:pPr>
              <w:jc w:val="right"/>
              <w:rPr>
                <w:rFonts w:ascii="Arial" w:hAnsi="Arial" w:cs="Arial"/>
                <w:sz w:val="16"/>
                <w:szCs w:val="16"/>
              </w:rPr>
            </w:pPr>
          </w:p>
        </w:tc>
        <w:tc>
          <w:tcPr>
            <w:tcW w:w="1172" w:type="dxa"/>
            <w:tcBorders>
              <w:top w:val="nil"/>
              <w:left w:val="nil"/>
              <w:bottom w:val="nil"/>
              <w:right w:val="nil"/>
            </w:tcBorders>
            <w:shd w:val="clear" w:color="auto" w:fill="auto"/>
            <w:noWrap/>
            <w:vAlign w:val="center"/>
          </w:tcPr>
          <w:p w14:paraId="3771E3F0" w14:textId="5F6D6040" w:rsidR="00535B74" w:rsidRPr="006C22C0" w:rsidRDefault="00535B74" w:rsidP="00535B74">
            <w:pPr>
              <w:jc w:val="right"/>
              <w:rPr>
                <w:rFonts w:ascii="Arial" w:hAnsi="Arial" w:cs="Arial"/>
                <w:sz w:val="16"/>
                <w:szCs w:val="16"/>
              </w:rPr>
            </w:pPr>
          </w:p>
        </w:tc>
      </w:tr>
      <w:tr w:rsidR="00535B74" w:rsidRPr="00826C1B" w14:paraId="72882BE7" w14:textId="77777777" w:rsidTr="006E1AF7">
        <w:trPr>
          <w:trHeight w:val="285"/>
          <w:jc w:val="center"/>
        </w:trPr>
        <w:tc>
          <w:tcPr>
            <w:tcW w:w="5209" w:type="dxa"/>
            <w:tcBorders>
              <w:top w:val="nil"/>
              <w:left w:val="nil"/>
              <w:bottom w:val="nil"/>
              <w:right w:val="nil"/>
            </w:tcBorders>
            <w:shd w:val="clear" w:color="auto" w:fill="auto"/>
            <w:vAlign w:val="center"/>
            <w:hideMark/>
          </w:tcPr>
          <w:p w14:paraId="35FFD8A3" w14:textId="77777777"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Resultado Neto atribuible a los propietarios de la controladora</w:t>
            </w:r>
          </w:p>
        </w:tc>
        <w:tc>
          <w:tcPr>
            <w:tcW w:w="630" w:type="dxa"/>
            <w:tcBorders>
              <w:top w:val="nil"/>
              <w:left w:val="nil"/>
              <w:bottom w:val="nil"/>
              <w:right w:val="nil"/>
            </w:tcBorders>
            <w:shd w:val="clear" w:color="auto" w:fill="auto"/>
            <w:vAlign w:val="center"/>
            <w:hideMark/>
          </w:tcPr>
          <w:p w14:paraId="3326B3E4" w14:textId="77777777" w:rsidR="00535B74" w:rsidRPr="00826C1B" w:rsidRDefault="00535B74" w:rsidP="00535B74">
            <w:pPr>
              <w:jc w:val="center"/>
              <w:rPr>
                <w:rFonts w:ascii="Arial" w:hAnsi="Arial" w:cs="Arial"/>
                <w:sz w:val="16"/>
                <w:szCs w:val="16"/>
                <w:lang w:eastAsia="es-AR"/>
              </w:rPr>
            </w:pPr>
          </w:p>
        </w:tc>
        <w:tc>
          <w:tcPr>
            <w:tcW w:w="1066" w:type="dxa"/>
            <w:tcBorders>
              <w:top w:val="nil"/>
              <w:left w:val="nil"/>
              <w:bottom w:val="nil"/>
              <w:right w:val="nil"/>
            </w:tcBorders>
            <w:shd w:val="clear" w:color="auto" w:fill="auto"/>
            <w:noWrap/>
            <w:vAlign w:val="center"/>
          </w:tcPr>
          <w:p w14:paraId="3CC44328" w14:textId="65FE1967" w:rsidR="00535B74" w:rsidRPr="006C22C0" w:rsidRDefault="00535B74">
            <w:pPr>
              <w:jc w:val="right"/>
              <w:rPr>
                <w:rFonts w:ascii="Arial" w:hAnsi="Arial" w:cs="Arial"/>
                <w:sz w:val="16"/>
                <w:szCs w:val="16"/>
              </w:rPr>
            </w:pPr>
            <w:r>
              <w:rPr>
                <w:rFonts w:ascii="Arial" w:hAnsi="Arial" w:cs="Arial"/>
                <w:b/>
                <w:bCs/>
                <w:sz w:val="16"/>
                <w:szCs w:val="16"/>
              </w:rPr>
              <w:t xml:space="preserve">3.320.416 </w:t>
            </w:r>
          </w:p>
        </w:tc>
        <w:tc>
          <w:tcPr>
            <w:tcW w:w="1172" w:type="dxa"/>
            <w:tcBorders>
              <w:top w:val="nil"/>
              <w:left w:val="nil"/>
              <w:bottom w:val="nil"/>
              <w:right w:val="nil"/>
            </w:tcBorders>
            <w:shd w:val="clear" w:color="auto" w:fill="auto"/>
            <w:noWrap/>
            <w:vAlign w:val="center"/>
          </w:tcPr>
          <w:p w14:paraId="56F79125" w14:textId="2F2D89B7" w:rsidR="00535B74" w:rsidRPr="006C22C0" w:rsidRDefault="00535B74" w:rsidP="00535B74">
            <w:pPr>
              <w:jc w:val="right"/>
              <w:rPr>
                <w:rFonts w:ascii="Arial" w:hAnsi="Arial" w:cs="Arial"/>
                <w:sz w:val="16"/>
                <w:szCs w:val="16"/>
              </w:rPr>
            </w:pPr>
            <w:r>
              <w:rPr>
                <w:rFonts w:ascii="Arial" w:hAnsi="Arial" w:cs="Arial"/>
                <w:b/>
                <w:bCs/>
                <w:sz w:val="16"/>
                <w:szCs w:val="16"/>
              </w:rPr>
              <w:t>1.670.515</w:t>
            </w:r>
          </w:p>
        </w:tc>
      </w:tr>
      <w:tr w:rsidR="00535B74" w:rsidRPr="00826C1B" w14:paraId="364FC062" w14:textId="77777777" w:rsidTr="006E1AF7">
        <w:trPr>
          <w:trHeight w:val="285"/>
          <w:jc w:val="center"/>
        </w:trPr>
        <w:tc>
          <w:tcPr>
            <w:tcW w:w="5209" w:type="dxa"/>
            <w:tcBorders>
              <w:top w:val="nil"/>
              <w:left w:val="nil"/>
              <w:bottom w:val="nil"/>
              <w:right w:val="nil"/>
            </w:tcBorders>
            <w:shd w:val="clear" w:color="auto" w:fill="auto"/>
            <w:vAlign w:val="center"/>
            <w:hideMark/>
          </w:tcPr>
          <w:p w14:paraId="6D093999" w14:textId="77777777" w:rsidR="00535B74" w:rsidRPr="00826C1B" w:rsidRDefault="00535B74" w:rsidP="00535B74">
            <w:pPr>
              <w:rPr>
                <w:rFonts w:ascii="Arial" w:hAnsi="Arial" w:cs="Arial"/>
                <w:sz w:val="16"/>
                <w:szCs w:val="16"/>
                <w:lang w:eastAsia="es-AR"/>
              </w:rPr>
            </w:pPr>
            <w:r w:rsidRPr="00826C1B">
              <w:rPr>
                <w:rFonts w:ascii="Arial" w:hAnsi="Arial" w:cs="Arial"/>
                <w:sz w:val="16"/>
                <w:szCs w:val="16"/>
                <w:lang w:eastAsia="es-AR"/>
              </w:rPr>
              <w:t>Resultado Neto atribuible a participaciones no controladoras</w:t>
            </w:r>
          </w:p>
        </w:tc>
        <w:tc>
          <w:tcPr>
            <w:tcW w:w="630" w:type="dxa"/>
            <w:tcBorders>
              <w:top w:val="nil"/>
              <w:left w:val="nil"/>
              <w:bottom w:val="nil"/>
              <w:right w:val="nil"/>
            </w:tcBorders>
            <w:shd w:val="clear" w:color="auto" w:fill="auto"/>
            <w:vAlign w:val="bottom"/>
            <w:hideMark/>
          </w:tcPr>
          <w:p w14:paraId="15F38604" w14:textId="77777777" w:rsidR="00535B74" w:rsidRPr="00826C1B" w:rsidRDefault="00535B74" w:rsidP="00535B74">
            <w:pPr>
              <w:jc w:val="center"/>
              <w:rPr>
                <w:rFonts w:ascii="Arial" w:hAnsi="Arial" w:cs="Arial"/>
                <w:sz w:val="16"/>
                <w:szCs w:val="16"/>
                <w:lang w:eastAsia="es-AR"/>
              </w:rPr>
            </w:pPr>
          </w:p>
        </w:tc>
        <w:tc>
          <w:tcPr>
            <w:tcW w:w="1066" w:type="dxa"/>
            <w:tcBorders>
              <w:top w:val="nil"/>
              <w:left w:val="nil"/>
              <w:bottom w:val="nil"/>
              <w:right w:val="nil"/>
            </w:tcBorders>
            <w:shd w:val="clear" w:color="auto" w:fill="auto"/>
            <w:noWrap/>
            <w:vAlign w:val="center"/>
          </w:tcPr>
          <w:p w14:paraId="68A8CB8B" w14:textId="602168BF" w:rsidR="00535B74" w:rsidRPr="006C22C0" w:rsidRDefault="00535B74">
            <w:pPr>
              <w:jc w:val="right"/>
              <w:rPr>
                <w:rFonts w:ascii="Arial" w:hAnsi="Arial" w:cs="Arial"/>
                <w:sz w:val="16"/>
                <w:szCs w:val="16"/>
                <w:lang w:eastAsia="es-AR"/>
              </w:rPr>
            </w:pPr>
            <w:r>
              <w:rPr>
                <w:rFonts w:ascii="Arial" w:hAnsi="Arial" w:cs="Arial"/>
                <w:sz w:val="16"/>
                <w:szCs w:val="16"/>
              </w:rPr>
              <w:t xml:space="preserve">-12.089 </w:t>
            </w:r>
          </w:p>
        </w:tc>
        <w:tc>
          <w:tcPr>
            <w:tcW w:w="1172" w:type="dxa"/>
            <w:tcBorders>
              <w:top w:val="nil"/>
              <w:left w:val="nil"/>
              <w:bottom w:val="nil"/>
              <w:right w:val="nil"/>
            </w:tcBorders>
            <w:shd w:val="clear" w:color="auto" w:fill="auto"/>
            <w:noWrap/>
            <w:vAlign w:val="center"/>
          </w:tcPr>
          <w:p w14:paraId="3A64564E" w14:textId="5012FC58" w:rsidR="00535B74" w:rsidRPr="006C22C0" w:rsidRDefault="00535B74" w:rsidP="00535B74">
            <w:pPr>
              <w:jc w:val="right"/>
              <w:rPr>
                <w:rFonts w:ascii="Arial" w:hAnsi="Arial" w:cs="Arial"/>
                <w:sz w:val="16"/>
                <w:szCs w:val="16"/>
              </w:rPr>
            </w:pPr>
            <w:r>
              <w:rPr>
                <w:rFonts w:ascii="Arial" w:hAnsi="Arial" w:cs="Arial"/>
                <w:sz w:val="16"/>
                <w:szCs w:val="16"/>
              </w:rPr>
              <w:t>-7.278</w:t>
            </w:r>
          </w:p>
        </w:tc>
      </w:tr>
    </w:tbl>
    <w:p w14:paraId="36156A6D" w14:textId="77777777" w:rsidR="007A4B5A" w:rsidRPr="00701F32" w:rsidRDefault="007A4B5A" w:rsidP="00287667">
      <w:pPr>
        <w:rPr>
          <w:sz w:val="20"/>
          <w:lang w:eastAsia="es-AR"/>
        </w:rPr>
      </w:pPr>
    </w:p>
    <w:p w14:paraId="6EA0B375" w14:textId="77777777" w:rsidR="00BA1EB9" w:rsidRPr="00701F32" w:rsidRDefault="00BA1EB9" w:rsidP="004109EB">
      <w:pPr>
        <w:jc w:val="center"/>
        <w:rPr>
          <w:sz w:val="20"/>
          <w:lang w:eastAsia="es-AR"/>
        </w:rPr>
        <w:sectPr w:rsidR="00BA1EB9" w:rsidRPr="00701F32" w:rsidSect="00050353">
          <w:headerReference w:type="default" r:id="rId11"/>
          <w:pgSz w:w="11907" w:h="16839" w:code="9"/>
          <w:pgMar w:top="1418" w:right="1701" w:bottom="1418" w:left="1701" w:header="567" w:footer="0" w:gutter="0"/>
          <w:paperSrc w:first="15" w:other="15"/>
          <w:pgNumType w:chapStyle="1"/>
          <w:cols w:space="720"/>
          <w:docGrid w:linePitch="326"/>
        </w:sectPr>
      </w:pPr>
    </w:p>
    <w:p w14:paraId="261183DF" w14:textId="77777777" w:rsidR="00CE49BA" w:rsidRPr="00701F32" w:rsidRDefault="00CE49BA" w:rsidP="00E311C9">
      <w:pPr>
        <w:ind w:left="709" w:hanging="709"/>
        <w:jc w:val="center"/>
        <w:rPr>
          <w:sz w:val="20"/>
          <w:lang w:eastAsia="es-AR"/>
        </w:rPr>
      </w:pPr>
    </w:p>
    <w:p w14:paraId="08FCB8F0" w14:textId="77777777" w:rsidR="00287667" w:rsidRPr="00701F32" w:rsidRDefault="00287667" w:rsidP="004005DD">
      <w:pPr>
        <w:rPr>
          <w:sz w:val="20"/>
          <w:lang w:eastAsia="es-AR"/>
        </w:rPr>
      </w:pPr>
    </w:p>
    <w:p w14:paraId="671953B5" w14:textId="6FD67DA9" w:rsidR="0049136B" w:rsidRPr="00701F32" w:rsidRDefault="0049136B" w:rsidP="005470F1">
      <w:pPr>
        <w:rPr>
          <w:sz w:val="20"/>
          <w:lang w:eastAsia="es-AR"/>
        </w:rPr>
      </w:pPr>
    </w:p>
    <w:tbl>
      <w:tblPr>
        <w:tblW w:w="8127" w:type="dxa"/>
        <w:tblInd w:w="75" w:type="dxa"/>
        <w:tblCellMar>
          <w:left w:w="70" w:type="dxa"/>
          <w:right w:w="70" w:type="dxa"/>
        </w:tblCellMar>
        <w:tblLook w:val="04A0" w:firstRow="1" w:lastRow="0" w:firstColumn="1" w:lastColumn="0" w:noHBand="0" w:noVBand="1"/>
      </w:tblPr>
      <w:tblGrid>
        <w:gridCol w:w="5807"/>
        <w:gridCol w:w="1160"/>
        <w:gridCol w:w="1160"/>
      </w:tblGrid>
      <w:tr w:rsidR="00A00E52" w:rsidRPr="002200EC" w14:paraId="391336FA" w14:textId="77777777" w:rsidTr="00A00E52">
        <w:trPr>
          <w:trHeight w:val="510"/>
        </w:trPr>
        <w:tc>
          <w:tcPr>
            <w:tcW w:w="5807"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51AD2995" w14:textId="77777777" w:rsidR="00A00E52" w:rsidRPr="00066653" w:rsidRDefault="00A00E52" w:rsidP="002200EC">
            <w:pPr>
              <w:jc w:val="center"/>
              <w:rPr>
                <w:rFonts w:ascii="Arial" w:hAnsi="Arial" w:cs="Arial"/>
                <w:b/>
                <w:bCs/>
                <w:sz w:val="16"/>
                <w:szCs w:val="16"/>
                <w:lang w:eastAsia="es-AR"/>
              </w:rPr>
            </w:pPr>
            <w:r w:rsidRPr="00066653">
              <w:rPr>
                <w:rFonts w:ascii="Arial" w:hAnsi="Arial" w:cs="Arial"/>
                <w:b/>
                <w:bCs/>
                <w:sz w:val="16"/>
                <w:szCs w:val="16"/>
                <w:lang w:eastAsia="es-AR"/>
              </w:rPr>
              <w:t>Concepto</w:t>
            </w:r>
          </w:p>
        </w:tc>
        <w:tc>
          <w:tcPr>
            <w:tcW w:w="1160"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66E19CFA" w14:textId="17AB8FC1" w:rsidR="00A00E52" w:rsidRDefault="00A00E52" w:rsidP="002200EC">
            <w:pPr>
              <w:jc w:val="center"/>
              <w:rPr>
                <w:rFonts w:ascii="Arial" w:hAnsi="Arial" w:cs="Arial"/>
                <w:b/>
                <w:bCs/>
                <w:sz w:val="16"/>
                <w:szCs w:val="16"/>
                <w:lang w:eastAsia="es-AR"/>
              </w:rPr>
            </w:pPr>
            <w:r w:rsidRPr="00826C1B">
              <w:rPr>
                <w:rFonts w:ascii="Arial" w:hAnsi="Arial" w:cs="Arial"/>
                <w:b/>
                <w:bCs/>
                <w:sz w:val="16"/>
                <w:szCs w:val="16"/>
                <w:lang w:eastAsia="es-AR"/>
              </w:rPr>
              <w:t>A</w:t>
            </w:r>
            <w:r>
              <w:rPr>
                <w:rFonts w:ascii="Arial" w:hAnsi="Arial" w:cs="Arial"/>
                <w:b/>
                <w:bCs/>
                <w:sz w:val="16"/>
                <w:szCs w:val="16"/>
                <w:lang w:eastAsia="es-AR"/>
              </w:rPr>
              <w:t>l</w:t>
            </w:r>
          </w:p>
          <w:p w14:paraId="7B21295E" w14:textId="62DB3E0C" w:rsidR="00A00E52" w:rsidRPr="00066653" w:rsidRDefault="00A00E52" w:rsidP="002200EC">
            <w:pPr>
              <w:jc w:val="center"/>
              <w:rPr>
                <w:rFonts w:ascii="Arial" w:hAnsi="Arial" w:cs="Arial"/>
                <w:b/>
                <w:bCs/>
                <w:sz w:val="16"/>
                <w:szCs w:val="16"/>
                <w:lang w:eastAsia="es-AR"/>
              </w:rPr>
            </w:pPr>
            <w:r w:rsidRPr="00826C1B">
              <w:rPr>
                <w:rFonts w:ascii="Arial" w:hAnsi="Arial" w:cs="Arial"/>
                <w:b/>
                <w:bCs/>
                <w:sz w:val="16"/>
                <w:szCs w:val="16"/>
                <w:lang w:eastAsia="es-AR"/>
              </w:rPr>
              <w:t>3</w:t>
            </w:r>
            <w:r>
              <w:rPr>
                <w:rFonts w:ascii="Arial" w:hAnsi="Arial" w:cs="Arial"/>
                <w:b/>
                <w:bCs/>
                <w:sz w:val="16"/>
                <w:szCs w:val="16"/>
                <w:lang w:eastAsia="es-AR"/>
              </w:rPr>
              <w:t>1</w:t>
            </w:r>
            <w:r w:rsidRPr="00826C1B">
              <w:rPr>
                <w:rFonts w:ascii="Arial" w:hAnsi="Arial" w:cs="Arial"/>
                <w:b/>
                <w:bCs/>
                <w:sz w:val="16"/>
                <w:szCs w:val="16"/>
                <w:lang w:eastAsia="es-AR"/>
              </w:rPr>
              <w:t>/</w:t>
            </w:r>
            <w:r>
              <w:rPr>
                <w:rFonts w:ascii="Arial" w:hAnsi="Arial" w:cs="Arial"/>
                <w:b/>
                <w:bCs/>
                <w:sz w:val="16"/>
                <w:szCs w:val="16"/>
                <w:lang w:eastAsia="es-AR"/>
              </w:rPr>
              <w:t>12</w:t>
            </w:r>
            <w:r w:rsidRPr="00826C1B">
              <w:rPr>
                <w:rFonts w:ascii="Arial" w:hAnsi="Arial" w:cs="Arial"/>
                <w:b/>
                <w:bCs/>
                <w:sz w:val="16"/>
                <w:szCs w:val="16"/>
                <w:lang w:eastAsia="es-AR"/>
              </w:rPr>
              <w:t>/201</w:t>
            </w:r>
            <w:r>
              <w:rPr>
                <w:rFonts w:ascii="Arial" w:hAnsi="Arial" w:cs="Arial"/>
                <w:b/>
                <w:bCs/>
                <w:sz w:val="16"/>
                <w:szCs w:val="16"/>
                <w:lang w:eastAsia="es-AR"/>
              </w:rPr>
              <w:t>9</w:t>
            </w:r>
          </w:p>
        </w:tc>
        <w:tc>
          <w:tcPr>
            <w:tcW w:w="1160"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EBF62DB" w14:textId="0FE836D7" w:rsidR="00A00E52" w:rsidRDefault="00A00E52" w:rsidP="002200EC">
            <w:pPr>
              <w:jc w:val="center"/>
              <w:rPr>
                <w:rFonts w:ascii="Arial" w:hAnsi="Arial" w:cs="Arial"/>
                <w:b/>
                <w:bCs/>
                <w:sz w:val="16"/>
                <w:szCs w:val="16"/>
                <w:lang w:eastAsia="es-AR"/>
              </w:rPr>
            </w:pPr>
            <w:r>
              <w:rPr>
                <w:rFonts w:ascii="Arial" w:hAnsi="Arial" w:cs="Arial"/>
                <w:b/>
                <w:bCs/>
                <w:sz w:val="16"/>
                <w:szCs w:val="16"/>
                <w:lang w:eastAsia="es-AR"/>
              </w:rPr>
              <w:t>Al</w:t>
            </w:r>
          </w:p>
          <w:p w14:paraId="423CFF19" w14:textId="3E2570EF" w:rsidR="00A00E52" w:rsidRPr="00066653" w:rsidRDefault="00A00E52" w:rsidP="002200EC">
            <w:pPr>
              <w:jc w:val="center"/>
              <w:rPr>
                <w:rFonts w:ascii="Arial" w:hAnsi="Arial" w:cs="Arial"/>
                <w:b/>
                <w:bCs/>
                <w:sz w:val="16"/>
                <w:szCs w:val="16"/>
                <w:lang w:eastAsia="es-AR"/>
              </w:rPr>
            </w:pPr>
            <w:r w:rsidRPr="00826C1B">
              <w:rPr>
                <w:rFonts w:ascii="Arial" w:hAnsi="Arial" w:cs="Arial"/>
                <w:b/>
                <w:bCs/>
                <w:sz w:val="16"/>
                <w:szCs w:val="16"/>
                <w:lang w:eastAsia="es-AR"/>
              </w:rPr>
              <w:t>3</w:t>
            </w:r>
            <w:r>
              <w:rPr>
                <w:rFonts w:ascii="Arial" w:hAnsi="Arial" w:cs="Arial"/>
                <w:b/>
                <w:bCs/>
                <w:sz w:val="16"/>
                <w:szCs w:val="16"/>
                <w:lang w:eastAsia="es-AR"/>
              </w:rPr>
              <w:t>1</w:t>
            </w:r>
            <w:r w:rsidRPr="00826C1B">
              <w:rPr>
                <w:rFonts w:ascii="Arial" w:hAnsi="Arial" w:cs="Arial"/>
                <w:b/>
                <w:bCs/>
                <w:sz w:val="16"/>
                <w:szCs w:val="16"/>
                <w:lang w:eastAsia="es-AR"/>
              </w:rPr>
              <w:t>/</w:t>
            </w:r>
            <w:r>
              <w:rPr>
                <w:rFonts w:ascii="Arial" w:hAnsi="Arial" w:cs="Arial"/>
                <w:b/>
                <w:bCs/>
                <w:sz w:val="16"/>
                <w:szCs w:val="16"/>
                <w:lang w:eastAsia="es-AR"/>
              </w:rPr>
              <w:t>12</w:t>
            </w:r>
            <w:r w:rsidRPr="00826C1B">
              <w:rPr>
                <w:rFonts w:ascii="Arial" w:hAnsi="Arial" w:cs="Arial"/>
                <w:b/>
                <w:bCs/>
                <w:sz w:val="16"/>
                <w:szCs w:val="16"/>
                <w:lang w:eastAsia="es-AR"/>
              </w:rPr>
              <w:t>/201</w:t>
            </w:r>
            <w:r>
              <w:rPr>
                <w:rFonts w:ascii="Arial" w:hAnsi="Arial" w:cs="Arial"/>
                <w:b/>
                <w:bCs/>
                <w:sz w:val="16"/>
                <w:szCs w:val="16"/>
                <w:lang w:eastAsia="es-AR"/>
              </w:rPr>
              <w:t>8</w:t>
            </w:r>
          </w:p>
        </w:tc>
      </w:tr>
      <w:tr w:rsidR="00A00E52" w:rsidRPr="002200EC" w14:paraId="542CA804" w14:textId="77777777" w:rsidTr="00A00E52">
        <w:trPr>
          <w:trHeight w:val="285"/>
        </w:trPr>
        <w:tc>
          <w:tcPr>
            <w:tcW w:w="5807" w:type="dxa"/>
            <w:tcBorders>
              <w:top w:val="nil"/>
              <w:left w:val="nil"/>
              <w:bottom w:val="nil"/>
              <w:right w:val="nil"/>
            </w:tcBorders>
            <w:shd w:val="clear" w:color="auto" w:fill="auto"/>
            <w:hideMark/>
          </w:tcPr>
          <w:p w14:paraId="3130E6F1" w14:textId="77777777" w:rsidR="00A00E52" w:rsidRPr="00066653" w:rsidRDefault="00A00E52" w:rsidP="0049136B">
            <w:pPr>
              <w:jc w:val="center"/>
              <w:rPr>
                <w:rFonts w:ascii="Arial" w:hAnsi="Arial" w:cs="Arial"/>
                <w:b/>
                <w:bCs/>
                <w:sz w:val="16"/>
                <w:szCs w:val="16"/>
                <w:lang w:eastAsia="es-AR"/>
              </w:rPr>
            </w:pPr>
            <w:r w:rsidRPr="00066653">
              <w:rPr>
                <w:rFonts w:ascii="Arial" w:hAnsi="Arial" w:cs="Arial"/>
                <w:b/>
                <w:bCs/>
                <w:sz w:val="16"/>
                <w:szCs w:val="16"/>
                <w:lang w:eastAsia="es-AR"/>
              </w:rPr>
              <w:t> </w:t>
            </w:r>
          </w:p>
        </w:tc>
        <w:tc>
          <w:tcPr>
            <w:tcW w:w="1160" w:type="dxa"/>
            <w:tcBorders>
              <w:top w:val="nil"/>
              <w:left w:val="nil"/>
              <w:bottom w:val="nil"/>
              <w:right w:val="nil"/>
            </w:tcBorders>
            <w:shd w:val="clear" w:color="auto" w:fill="auto"/>
            <w:hideMark/>
          </w:tcPr>
          <w:p w14:paraId="3C188863" w14:textId="47E0BE5B" w:rsidR="00A00E52" w:rsidRPr="00066653" w:rsidRDefault="00A00E52" w:rsidP="0049136B">
            <w:pPr>
              <w:jc w:val="center"/>
              <w:rPr>
                <w:rFonts w:ascii="Arial" w:hAnsi="Arial" w:cs="Arial"/>
                <w:b/>
                <w:bCs/>
                <w:sz w:val="16"/>
                <w:szCs w:val="16"/>
                <w:lang w:eastAsia="es-AR"/>
              </w:rPr>
            </w:pPr>
            <w:r w:rsidRPr="00066653">
              <w:rPr>
                <w:rFonts w:ascii="Arial" w:hAnsi="Arial" w:cs="Arial"/>
                <w:b/>
                <w:bCs/>
                <w:sz w:val="16"/>
                <w:szCs w:val="16"/>
                <w:lang w:eastAsia="es-AR"/>
              </w:rPr>
              <w:t> </w:t>
            </w:r>
          </w:p>
        </w:tc>
        <w:tc>
          <w:tcPr>
            <w:tcW w:w="1160" w:type="dxa"/>
            <w:tcBorders>
              <w:top w:val="nil"/>
              <w:left w:val="nil"/>
              <w:bottom w:val="nil"/>
              <w:right w:val="nil"/>
            </w:tcBorders>
            <w:shd w:val="clear" w:color="auto" w:fill="auto"/>
            <w:hideMark/>
          </w:tcPr>
          <w:p w14:paraId="143519D4" w14:textId="5D7A5184" w:rsidR="00A00E52" w:rsidRPr="00066653" w:rsidRDefault="00A00E52" w:rsidP="0049136B">
            <w:pPr>
              <w:jc w:val="center"/>
              <w:rPr>
                <w:rFonts w:ascii="Arial" w:hAnsi="Arial" w:cs="Arial"/>
                <w:b/>
                <w:bCs/>
                <w:sz w:val="16"/>
                <w:szCs w:val="16"/>
                <w:lang w:eastAsia="es-AR"/>
              </w:rPr>
            </w:pPr>
            <w:r w:rsidRPr="00066653">
              <w:rPr>
                <w:rFonts w:ascii="Arial" w:hAnsi="Arial" w:cs="Arial"/>
                <w:b/>
                <w:bCs/>
                <w:sz w:val="16"/>
                <w:szCs w:val="16"/>
                <w:lang w:eastAsia="es-AR"/>
              </w:rPr>
              <w:t> </w:t>
            </w:r>
          </w:p>
        </w:tc>
      </w:tr>
      <w:tr w:rsidR="00A00E52" w:rsidRPr="002200EC" w14:paraId="2ECB5531" w14:textId="77777777" w:rsidTr="00A00E52">
        <w:trPr>
          <w:trHeight w:val="285"/>
        </w:trPr>
        <w:tc>
          <w:tcPr>
            <w:tcW w:w="5807" w:type="dxa"/>
            <w:tcBorders>
              <w:top w:val="nil"/>
              <w:left w:val="nil"/>
              <w:bottom w:val="nil"/>
              <w:right w:val="nil"/>
            </w:tcBorders>
            <w:shd w:val="clear" w:color="auto" w:fill="auto"/>
            <w:hideMark/>
          </w:tcPr>
          <w:p w14:paraId="50367EAA" w14:textId="77777777" w:rsidR="00A00E52" w:rsidRPr="00066653" w:rsidRDefault="00A00E52" w:rsidP="0049136B">
            <w:pPr>
              <w:rPr>
                <w:rFonts w:ascii="Arial" w:hAnsi="Arial" w:cs="Arial"/>
                <w:b/>
                <w:bCs/>
                <w:sz w:val="16"/>
                <w:szCs w:val="16"/>
                <w:lang w:eastAsia="es-AR"/>
              </w:rPr>
            </w:pPr>
            <w:r w:rsidRPr="00066653">
              <w:rPr>
                <w:rFonts w:ascii="Arial" w:hAnsi="Arial" w:cs="Arial"/>
                <w:b/>
                <w:bCs/>
                <w:sz w:val="16"/>
                <w:szCs w:val="16"/>
                <w:lang w:eastAsia="es-AR"/>
              </w:rPr>
              <w:t>NUMERADOR</w:t>
            </w:r>
          </w:p>
        </w:tc>
        <w:tc>
          <w:tcPr>
            <w:tcW w:w="1160" w:type="dxa"/>
            <w:tcBorders>
              <w:top w:val="nil"/>
              <w:left w:val="nil"/>
              <w:bottom w:val="nil"/>
              <w:right w:val="nil"/>
            </w:tcBorders>
            <w:shd w:val="clear" w:color="auto" w:fill="auto"/>
            <w:hideMark/>
          </w:tcPr>
          <w:p w14:paraId="55A61819" w14:textId="026CC6A6" w:rsidR="00A00E52" w:rsidRPr="00066653" w:rsidRDefault="00A00E52" w:rsidP="0049136B">
            <w:pPr>
              <w:rPr>
                <w:rFonts w:ascii="Arial" w:hAnsi="Arial" w:cs="Arial"/>
                <w:b/>
                <w:bCs/>
                <w:sz w:val="16"/>
                <w:szCs w:val="16"/>
                <w:lang w:eastAsia="es-AR"/>
              </w:rPr>
            </w:pPr>
          </w:p>
        </w:tc>
        <w:tc>
          <w:tcPr>
            <w:tcW w:w="1160" w:type="dxa"/>
            <w:tcBorders>
              <w:top w:val="nil"/>
              <w:left w:val="nil"/>
              <w:bottom w:val="nil"/>
              <w:right w:val="nil"/>
            </w:tcBorders>
            <w:shd w:val="clear" w:color="auto" w:fill="auto"/>
            <w:hideMark/>
          </w:tcPr>
          <w:p w14:paraId="5FF756D7" w14:textId="71A25DD1" w:rsidR="00A00E52" w:rsidRPr="00066653" w:rsidRDefault="00A00E52" w:rsidP="0049136B">
            <w:pPr>
              <w:rPr>
                <w:sz w:val="16"/>
                <w:szCs w:val="16"/>
                <w:lang w:eastAsia="es-AR"/>
              </w:rPr>
            </w:pPr>
          </w:p>
        </w:tc>
      </w:tr>
      <w:tr w:rsidR="00A00E52" w:rsidRPr="002200EC" w14:paraId="18B5D51A" w14:textId="77777777" w:rsidTr="00A00E52">
        <w:trPr>
          <w:trHeight w:val="285"/>
        </w:trPr>
        <w:tc>
          <w:tcPr>
            <w:tcW w:w="5807" w:type="dxa"/>
            <w:tcBorders>
              <w:top w:val="nil"/>
              <w:left w:val="nil"/>
              <w:bottom w:val="nil"/>
              <w:right w:val="nil"/>
            </w:tcBorders>
            <w:shd w:val="clear" w:color="auto" w:fill="auto"/>
            <w:hideMark/>
          </w:tcPr>
          <w:p w14:paraId="498FFF88" w14:textId="77777777" w:rsidR="00A00E52" w:rsidRPr="00066653" w:rsidRDefault="00A00E52" w:rsidP="0049136B">
            <w:pPr>
              <w:rPr>
                <w:sz w:val="16"/>
                <w:szCs w:val="16"/>
                <w:lang w:eastAsia="es-AR"/>
              </w:rPr>
            </w:pPr>
          </w:p>
        </w:tc>
        <w:tc>
          <w:tcPr>
            <w:tcW w:w="1160" w:type="dxa"/>
            <w:tcBorders>
              <w:top w:val="nil"/>
              <w:left w:val="nil"/>
              <w:bottom w:val="nil"/>
              <w:right w:val="nil"/>
            </w:tcBorders>
            <w:shd w:val="clear" w:color="auto" w:fill="auto"/>
            <w:hideMark/>
          </w:tcPr>
          <w:p w14:paraId="344AF03B" w14:textId="7CA5B6E7" w:rsidR="00A00E52" w:rsidRPr="00066653" w:rsidRDefault="00A00E52" w:rsidP="0049136B">
            <w:pPr>
              <w:rPr>
                <w:sz w:val="16"/>
                <w:szCs w:val="16"/>
                <w:lang w:eastAsia="es-AR"/>
              </w:rPr>
            </w:pPr>
          </w:p>
        </w:tc>
        <w:tc>
          <w:tcPr>
            <w:tcW w:w="1160" w:type="dxa"/>
            <w:tcBorders>
              <w:top w:val="nil"/>
              <w:left w:val="nil"/>
              <w:bottom w:val="nil"/>
              <w:right w:val="nil"/>
            </w:tcBorders>
            <w:shd w:val="clear" w:color="auto" w:fill="auto"/>
            <w:hideMark/>
          </w:tcPr>
          <w:p w14:paraId="39EEC985" w14:textId="08C36F6E" w:rsidR="00A00E52" w:rsidRPr="00066653" w:rsidRDefault="00A00E52" w:rsidP="0049136B">
            <w:pPr>
              <w:rPr>
                <w:sz w:val="16"/>
                <w:szCs w:val="16"/>
                <w:lang w:eastAsia="es-AR"/>
              </w:rPr>
            </w:pPr>
          </w:p>
        </w:tc>
      </w:tr>
      <w:tr w:rsidR="00535B74" w:rsidRPr="002200EC" w14:paraId="29E5119E" w14:textId="77777777" w:rsidTr="006E1AF7">
        <w:trPr>
          <w:trHeight w:val="285"/>
        </w:trPr>
        <w:tc>
          <w:tcPr>
            <w:tcW w:w="5807" w:type="dxa"/>
            <w:tcBorders>
              <w:top w:val="nil"/>
              <w:left w:val="nil"/>
              <w:bottom w:val="nil"/>
              <w:right w:val="nil"/>
            </w:tcBorders>
            <w:shd w:val="clear" w:color="auto" w:fill="auto"/>
            <w:hideMark/>
          </w:tcPr>
          <w:p w14:paraId="12BCFB7F" w14:textId="7B02E1B8" w:rsidR="00535B74" w:rsidRPr="00066653" w:rsidRDefault="00535B74" w:rsidP="00535B74">
            <w:pPr>
              <w:rPr>
                <w:rFonts w:ascii="Arial" w:hAnsi="Arial" w:cs="Arial"/>
                <w:sz w:val="16"/>
                <w:szCs w:val="16"/>
                <w:lang w:eastAsia="es-AR"/>
              </w:rPr>
            </w:pPr>
            <w:r w:rsidRPr="00066653">
              <w:rPr>
                <w:rFonts w:ascii="Arial" w:hAnsi="Arial" w:cs="Arial"/>
                <w:sz w:val="16"/>
                <w:szCs w:val="16"/>
                <w:lang w:eastAsia="es-AR"/>
              </w:rPr>
              <w:t>Ganancia neta atribuible a Accionistas de la Entidad Controladora</w:t>
            </w:r>
          </w:p>
        </w:tc>
        <w:tc>
          <w:tcPr>
            <w:tcW w:w="1160" w:type="dxa"/>
            <w:tcBorders>
              <w:top w:val="nil"/>
              <w:left w:val="nil"/>
              <w:bottom w:val="nil"/>
              <w:right w:val="nil"/>
            </w:tcBorders>
            <w:shd w:val="clear" w:color="auto" w:fill="auto"/>
            <w:noWrap/>
            <w:vAlign w:val="center"/>
          </w:tcPr>
          <w:p w14:paraId="770901B0" w14:textId="7CBC498A" w:rsidR="00535B74" w:rsidRPr="00066653" w:rsidRDefault="00535B74">
            <w:pPr>
              <w:jc w:val="right"/>
              <w:rPr>
                <w:rFonts w:ascii="Arial" w:hAnsi="Arial" w:cs="Arial"/>
                <w:sz w:val="16"/>
                <w:szCs w:val="16"/>
                <w:lang w:eastAsia="es-AR"/>
              </w:rPr>
            </w:pPr>
            <w:r>
              <w:rPr>
                <w:rFonts w:ascii="Arial" w:hAnsi="Arial" w:cs="Arial"/>
                <w:sz w:val="16"/>
                <w:szCs w:val="16"/>
              </w:rPr>
              <w:t xml:space="preserve">3.320.416 </w:t>
            </w:r>
          </w:p>
        </w:tc>
        <w:tc>
          <w:tcPr>
            <w:tcW w:w="1160" w:type="dxa"/>
            <w:tcBorders>
              <w:top w:val="nil"/>
              <w:left w:val="nil"/>
              <w:bottom w:val="nil"/>
              <w:right w:val="nil"/>
            </w:tcBorders>
            <w:shd w:val="clear" w:color="auto" w:fill="auto"/>
            <w:noWrap/>
            <w:vAlign w:val="center"/>
          </w:tcPr>
          <w:p w14:paraId="2F92B2E0" w14:textId="3097378F" w:rsidR="00535B74" w:rsidRPr="00066653" w:rsidRDefault="00535B74" w:rsidP="00535B74">
            <w:pPr>
              <w:jc w:val="right"/>
              <w:rPr>
                <w:rFonts w:ascii="Arial" w:hAnsi="Arial" w:cs="Arial"/>
                <w:sz w:val="16"/>
                <w:szCs w:val="16"/>
                <w:lang w:eastAsia="es-AR"/>
              </w:rPr>
            </w:pPr>
            <w:r>
              <w:rPr>
                <w:rFonts w:ascii="Arial" w:hAnsi="Arial" w:cs="Arial"/>
                <w:sz w:val="16"/>
                <w:szCs w:val="16"/>
              </w:rPr>
              <w:t>1.670.515</w:t>
            </w:r>
          </w:p>
        </w:tc>
      </w:tr>
      <w:tr w:rsidR="00535B74" w:rsidRPr="002200EC" w14:paraId="2C1B5FE4" w14:textId="77777777" w:rsidTr="006E1AF7">
        <w:trPr>
          <w:trHeight w:val="510"/>
        </w:trPr>
        <w:tc>
          <w:tcPr>
            <w:tcW w:w="5807" w:type="dxa"/>
            <w:tcBorders>
              <w:top w:val="nil"/>
              <w:left w:val="nil"/>
              <w:bottom w:val="nil"/>
              <w:right w:val="nil"/>
            </w:tcBorders>
            <w:shd w:val="clear" w:color="auto" w:fill="auto"/>
            <w:vAlign w:val="center"/>
            <w:hideMark/>
          </w:tcPr>
          <w:p w14:paraId="53E1B6DC" w14:textId="77777777" w:rsidR="00535B74" w:rsidRPr="00066653" w:rsidRDefault="00535B74" w:rsidP="00535B74">
            <w:pPr>
              <w:rPr>
                <w:rFonts w:ascii="Arial" w:hAnsi="Arial" w:cs="Arial"/>
                <w:sz w:val="16"/>
                <w:szCs w:val="16"/>
                <w:lang w:eastAsia="es-AR"/>
              </w:rPr>
            </w:pPr>
            <w:r w:rsidRPr="00066653">
              <w:rPr>
                <w:rFonts w:ascii="Arial" w:hAnsi="Arial" w:cs="Arial"/>
                <w:sz w:val="16"/>
                <w:szCs w:val="16"/>
                <w:lang w:eastAsia="es-AR"/>
              </w:rPr>
              <w:t>MAS: Efectos dilusivos inherentes a las acciones ordinarias potenciales</w:t>
            </w:r>
          </w:p>
        </w:tc>
        <w:tc>
          <w:tcPr>
            <w:tcW w:w="1160" w:type="dxa"/>
            <w:tcBorders>
              <w:top w:val="nil"/>
              <w:left w:val="nil"/>
              <w:bottom w:val="nil"/>
              <w:right w:val="nil"/>
            </w:tcBorders>
            <w:shd w:val="clear" w:color="auto" w:fill="auto"/>
            <w:noWrap/>
            <w:vAlign w:val="center"/>
          </w:tcPr>
          <w:p w14:paraId="1530F54F" w14:textId="5E5E3163" w:rsidR="00535B74" w:rsidRPr="00066653" w:rsidRDefault="00535B74">
            <w:pPr>
              <w:jc w:val="right"/>
              <w:rPr>
                <w:rFonts w:ascii="Arial" w:hAnsi="Arial" w:cs="Arial"/>
                <w:sz w:val="16"/>
                <w:szCs w:val="16"/>
                <w:lang w:eastAsia="es-AR"/>
              </w:rPr>
            </w:pPr>
            <w:r>
              <w:rPr>
                <w:rFonts w:ascii="Arial" w:hAnsi="Arial" w:cs="Arial"/>
                <w:sz w:val="16"/>
                <w:szCs w:val="16"/>
              </w:rPr>
              <w:t xml:space="preserve">- </w:t>
            </w:r>
          </w:p>
        </w:tc>
        <w:tc>
          <w:tcPr>
            <w:tcW w:w="1160" w:type="dxa"/>
            <w:tcBorders>
              <w:top w:val="nil"/>
              <w:left w:val="nil"/>
              <w:bottom w:val="nil"/>
              <w:right w:val="nil"/>
            </w:tcBorders>
            <w:shd w:val="clear" w:color="auto" w:fill="auto"/>
            <w:noWrap/>
            <w:vAlign w:val="center"/>
          </w:tcPr>
          <w:p w14:paraId="123F93F2" w14:textId="5E19CC99" w:rsidR="00535B74" w:rsidRPr="00066653" w:rsidRDefault="00535B74" w:rsidP="00535B74">
            <w:pPr>
              <w:jc w:val="right"/>
              <w:rPr>
                <w:rFonts w:ascii="Arial" w:hAnsi="Arial" w:cs="Arial"/>
                <w:sz w:val="16"/>
                <w:szCs w:val="16"/>
                <w:lang w:eastAsia="es-AR"/>
              </w:rPr>
            </w:pPr>
            <w:r>
              <w:rPr>
                <w:rFonts w:ascii="Arial" w:hAnsi="Arial" w:cs="Arial"/>
                <w:sz w:val="16"/>
                <w:szCs w:val="16"/>
              </w:rPr>
              <w:t>-</w:t>
            </w:r>
          </w:p>
        </w:tc>
      </w:tr>
      <w:tr w:rsidR="00535B74" w:rsidRPr="002200EC" w14:paraId="08B76DB9" w14:textId="77777777" w:rsidTr="006E1AF7">
        <w:trPr>
          <w:trHeight w:val="510"/>
        </w:trPr>
        <w:tc>
          <w:tcPr>
            <w:tcW w:w="5807" w:type="dxa"/>
            <w:tcBorders>
              <w:top w:val="nil"/>
              <w:left w:val="nil"/>
              <w:bottom w:val="nil"/>
              <w:right w:val="nil"/>
            </w:tcBorders>
            <w:shd w:val="clear" w:color="auto" w:fill="auto"/>
            <w:hideMark/>
          </w:tcPr>
          <w:p w14:paraId="313A716A" w14:textId="77777777" w:rsidR="00535B74" w:rsidRPr="00066653" w:rsidRDefault="00535B74" w:rsidP="00535B74">
            <w:pPr>
              <w:rPr>
                <w:rFonts w:ascii="Arial" w:hAnsi="Arial" w:cs="Arial"/>
                <w:sz w:val="16"/>
                <w:szCs w:val="16"/>
                <w:lang w:eastAsia="es-AR"/>
              </w:rPr>
            </w:pPr>
            <w:r w:rsidRPr="00066653">
              <w:rPr>
                <w:rFonts w:ascii="Arial" w:hAnsi="Arial" w:cs="Arial"/>
                <w:sz w:val="16"/>
                <w:szCs w:val="16"/>
                <w:lang w:eastAsia="es-AR"/>
              </w:rPr>
              <w:t>Ganancia neta atribuible a Accionistas de la Entidad Controladora ajustada por el efecto de la dilución</w:t>
            </w:r>
          </w:p>
        </w:tc>
        <w:tc>
          <w:tcPr>
            <w:tcW w:w="1160" w:type="dxa"/>
            <w:tcBorders>
              <w:top w:val="nil"/>
              <w:left w:val="nil"/>
              <w:bottom w:val="nil"/>
              <w:right w:val="nil"/>
            </w:tcBorders>
            <w:shd w:val="clear" w:color="auto" w:fill="auto"/>
            <w:noWrap/>
            <w:vAlign w:val="center"/>
          </w:tcPr>
          <w:p w14:paraId="2A1DC334" w14:textId="5E997F5A" w:rsidR="00535B74" w:rsidRPr="00066653" w:rsidRDefault="00535B74">
            <w:pPr>
              <w:jc w:val="right"/>
              <w:rPr>
                <w:rFonts w:ascii="Arial" w:hAnsi="Arial" w:cs="Arial"/>
                <w:sz w:val="16"/>
                <w:szCs w:val="16"/>
                <w:lang w:eastAsia="es-AR"/>
              </w:rPr>
            </w:pPr>
            <w:r>
              <w:rPr>
                <w:rFonts w:ascii="Arial" w:hAnsi="Arial" w:cs="Arial"/>
                <w:sz w:val="16"/>
                <w:szCs w:val="16"/>
              </w:rPr>
              <w:t xml:space="preserve">3.320.416 </w:t>
            </w:r>
          </w:p>
        </w:tc>
        <w:tc>
          <w:tcPr>
            <w:tcW w:w="1160" w:type="dxa"/>
            <w:tcBorders>
              <w:top w:val="nil"/>
              <w:left w:val="nil"/>
              <w:bottom w:val="nil"/>
              <w:right w:val="nil"/>
            </w:tcBorders>
            <w:shd w:val="clear" w:color="auto" w:fill="auto"/>
            <w:noWrap/>
            <w:vAlign w:val="center"/>
          </w:tcPr>
          <w:p w14:paraId="52D6779C" w14:textId="6D829E5B" w:rsidR="00535B74" w:rsidRPr="00066653" w:rsidRDefault="00535B74" w:rsidP="00535B74">
            <w:pPr>
              <w:jc w:val="right"/>
              <w:rPr>
                <w:rFonts w:ascii="Arial" w:hAnsi="Arial" w:cs="Arial"/>
                <w:sz w:val="16"/>
                <w:szCs w:val="16"/>
                <w:lang w:eastAsia="es-AR"/>
              </w:rPr>
            </w:pPr>
            <w:r>
              <w:rPr>
                <w:rFonts w:ascii="Arial" w:hAnsi="Arial" w:cs="Arial"/>
                <w:sz w:val="16"/>
                <w:szCs w:val="16"/>
              </w:rPr>
              <w:t>1.670.515</w:t>
            </w:r>
          </w:p>
        </w:tc>
      </w:tr>
      <w:tr w:rsidR="00535B74" w:rsidRPr="002200EC" w14:paraId="16EE5525" w14:textId="77777777" w:rsidTr="006E1AF7">
        <w:trPr>
          <w:trHeight w:val="285"/>
        </w:trPr>
        <w:tc>
          <w:tcPr>
            <w:tcW w:w="5807" w:type="dxa"/>
            <w:tcBorders>
              <w:top w:val="nil"/>
              <w:left w:val="nil"/>
              <w:bottom w:val="nil"/>
              <w:right w:val="nil"/>
            </w:tcBorders>
            <w:shd w:val="clear" w:color="auto" w:fill="auto"/>
            <w:hideMark/>
          </w:tcPr>
          <w:p w14:paraId="7FF901B5" w14:textId="77777777" w:rsidR="00535B74" w:rsidRPr="00066653" w:rsidRDefault="00535B74" w:rsidP="00535B74">
            <w:pPr>
              <w:rPr>
                <w:rFonts w:ascii="Arial" w:hAnsi="Arial" w:cs="Arial"/>
                <w:sz w:val="16"/>
                <w:szCs w:val="16"/>
                <w:lang w:eastAsia="es-AR"/>
              </w:rPr>
            </w:pPr>
          </w:p>
        </w:tc>
        <w:tc>
          <w:tcPr>
            <w:tcW w:w="1160" w:type="dxa"/>
            <w:tcBorders>
              <w:top w:val="nil"/>
              <w:left w:val="nil"/>
              <w:bottom w:val="nil"/>
              <w:right w:val="nil"/>
            </w:tcBorders>
            <w:shd w:val="clear" w:color="auto" w:fill="auto"/>
            <w:noWrap/>
            <w:vAlign w:val="center"/>
          </w:tcPr>
          <w:p w14:paraId="0EC3831B" w14:textId="56AF4629" w:rsidR="00535B74" w:rsidRPr="00066653" w:rsidRDefault="00535B74">
            <w:pPr>
              <w:jc w:val="right"/>
              <w:rPr>
                <w:sz w:val="16"/>
                <w:szCs w:val="16"/>
                <w:lang w:eastAsia="es-AR"/>
              </w:rPr>
            </w:pPr>
          </w:p>
        </w:tc>
        <w:tc>
          <w:tcPr>
            <w:tcW w:w="1160" w:type="dxa"/>
            <w:tcBorders>
              <w:top w:val="nil"/>
              <w:left w:val="nil"/>
              <w:bottom w:val="nil"/>
              <w:right w:val="nil"/>
            </w:tcBorders>
            <w:shd w:val="clear" w:color="auto" w:fill="auto"/>
            <w:noWrap/>
            <w:vAlign w:val="center"/>
          </w:tcPr>
          <w:p w14:paraId="7D894A24" w14:textId="7A16D099" w:rsidR="00535B74" w:rsidRPr="00066653" w:rsidRDefault="00535B74" w:rsidP="00535B74">
            <w:pPr>
              <w:jc w:val="right"/>
              <w:rPr>
                <w:sz w:val="16"/>
                <w:szCs w:val="16"/>
                <w:lang w:eastAsia="es-AR"/>
              </w:rPr>
            </w:pPr>
          </w:p>
        </w:tc>
      </w:tr>
      <w:tr w:rsidR="00535B74" w:rsidRPr="002200EC" w14:paraId="4EC61BBE" w14:textId="77777777" w:rsidTr="006E1AF7">
        <w:trPr>
          <w:trHeight w:val="285"/>
        </w:trPr>
        <w:tc>
          <w:tcPr>
            <w:tcW w:w="5807" w:type="dxa"/>
            <w:tcBorders>
              <w:top w:val="nil"/>
              <w:left w:val="nil"/>
              <w:bottom w:val="nil"/>
              <w:right w:val="nil"/>
            </w:tcBorders>
            <w:shd w:val="clear" w:color="auto" w:fill="auto"/>
            <w:hideMark/>
          </w:tcPr>
          <w:p w14:paraId="50452EE7" w14:textId="77777777" w:rsidR="00535B74" w:rsidRPr="00066653" w:rsidRDefault="00535B74" w:rsidP="00535B74">
            <w:pPr>
              <w:rPr>
                <w:rFonts w:ascii="Arial" w:hAnsi="Arial" w:cs="Arial"/>
                <w:b/>
                <w:bCs/>
                <w:sz w:val="16"/>
                <w:szCs w:val="16"/>
                <w:lang w:eastAsia="es-AR"/>
              </w:rPr>
            </w:pPr>
            <w:r w:rsidRPr="00066653">
              <w:rPr>
                <w:rFonts w:ascii="Arial" w:hAnsi="Arial" w:cs="Arial"/>
                <w:b/>
                <w:bCs/>
                <w:sz w:val="16"/>
                <w:szCs w:val="16"/>
                <w:lang w:eastAsia="es-AR"/>
              </w:rPr>
              <w:t>DENOMINADOR</w:t>
            </w:r>
          </w:p>
        </w:tc>
        <w:tc>
          <w:tcPr>
            <w:tcW w:w="1160" w:type="dxa"/>
            <w:tcBorders>
              <w:top w:val="nil"/>
              <w:left w:val="nil"/>
              <w:bottom w:val="nil"/>
              <w:right w:val="nil"/>
            </w:tcBorders>
            <w:shd w:val="clear" w:color="auto" w:fill="auto"/>
            <w:noWrap/>
            <w:vAlign w:val="center"/>
          </w:tcPr>
          <w:p w14:paraId="0925322E" w14:textId="76F1CD38" w:rsidR="00535B74" w:rsidRPr="00066653" w:rsidRDefault="00535B74">
            <w:pPr>
              <w:jc w:val="right"/>
              <w:rPr>
                <w:rFonts w:ascii="Arial" w:hAnsi="Arial" w:cs="Arial"/>
                <w:b/>
                <w:bCs/>
                <w:sz w:val="16"/>
                <w:szCs w:val="16"/>
                <w:lang w:eastAsia="es-AR"/>
              </w:rPr>
            </w:pPr>
          </w:p>
        </w:tc>
        <w:tc>
          <w:tcPr>
            <w:tcW w:w="1160" w:type="dxa"/>
            <w:tcBorders>
              <w:top w:val="nil"/>
              <w:left w:val="nil"/>
              <w:bottom w:val="nil"/>
              <w:right w:val="nil"/>
            </w:tcBorders>
            <w:shd w:val="clear" w:color="auto" w:fill="auto"/>
            <w:noWrap/>
            <w:vAlign w:val="center"/>
          </w:tcPr>
          <w:p w14:paraId="7302D584" w14:textId="2D4477C5" w:rsidR="00535B74" w:rsidRPr="00066653" w:rsidRDefault="00535B74" w:rsidP="00535B74">
            <w:pPr>
              <w:jc w:val="right"/>
              <w:rPr>
                <w:sz w:val="16"/>
                <w:szCs w:val="16"/>
                <w:lang w:eastAsia="es-AR"/>
              </w:rPr>
            </w:pPr>
          </w:p>
        </w:tc>
      </w:tr>
      <w:tr w:rsidR="00535B74" w:rsidRPr="002200EC" w14:paraId="0134694F" w14:textId="77777777" w:rsidTr="006E1AF7">
        <w:trPr>
          <w:trHeight w:val="285"/>
        </w:trPr>
        <w:tc>
          <w:tcPr>
            <w:tcW w:w="5807" w:type="dxa"/>
            <w:tcBorders>
              <w:top w:val="nil"/>
              <w:left w:val="nil"/>
              <w:bottom w:val="nil"/>
              <w:right w:val="nil"/>
            </w:tcBorders>
            <w:shd w:val="clear" w:color="auto" w:fill="auto"/>
            <w:hideMark/>
          </w:tcPr>
          <w:p w14:paraId="21232C5B" w14:textId="77777777" w:rsidR="00535B74" w:rsidRPr="00066653" w:rsidRDefault="00535B74" w:rsidP="00535B74">
            <w:pPr>
              <w:rPr>
                <w:sz w:val="16"/>
                <w:szCs w:val="16"/>
                <w:lang w:eastAsia="es-AR"/>
              </w:rPr>
            </w:pPr>
          </w:p>
        </w:tc>
        <w:tc>
          <w:tcPr>
            <w:tcW w:w="1160" w:type="dxa"/>
            <w:tcBorders>
              <w:top w:val="nil"/>
              <w:left w:val="nil"/>
              <w:bottom w:val="nil"/>
              <w:right w:val="nil"/>
            </w:tcBorders>
            <w:shd w:val="clear" w:color="auto" w:fill="auto"/>
            <w:noWrap/>
            <w:vAlign w:val="center"/>
          </w:tcPr>
          <w:p w14:paraId="5D695ADA" w14:textId="78E9A180" w:rsidR="00535B74" w:rsidRPr="00066653" w:rsidRDefault="00535B74">
            <w:pPr>
              <w:jc w:val="right"/>
              <w:rPr>
                <w:sz w:val="16"/>
                <w:szCs w:val="16"/>
                <w:lang w:eastAsia="es-AR"/>
              </w:rPr>
            </w:pPr>
          </w:p>
        </w:tc>
        <w:tc>
          <w:tcPr>
            <w:tcW w:w="1160" w:type="dxa"/>
            <w:tcBorders>
              <w:top w:val="nil"/>
              <w:left w:val="nil"/>
              <w:bottom w:val="nil"/>
              <w:right w:val="nil"/>
            </w:tcBorders>
            <w:shd w:val="clear" w:color="auto" w:fill="auto"/>
            <w:noWrap/>
            <w:vAlign w:val="center"/>
          </w:tcPr>
          <w:p w14:paraId="2DCF3516" w14:textId="23BE7360" w:rsidR="00535B74" w:rsidRPr="00066653" w:rsidRDefault="00535B74" w:rsidP="00535B74">
            <w:pPr>
              <w:jc w:val="right"/>
              <w:rPr>
                <w:sz w:val="16"/>
                <w:szCs w:val="16"/>
                <w:lang w:eastAsia="es-AR"/>
              </w:rPr>
            </w:pPr>
          </w:p>
        </w:tc>
      </w:tr>
      <w:tr w:rsidR="00535B74" w:rsidRPr="002200EC" w14:paraId="4B0F84FB" w14:textId="77777777" w:rsidTr="006E1AF7">
        <w:trPr>
          <w:trHeight w:val="510"/>
        </w:trPr>
        <w:tc>
          <w:tcPr>
            <w:tcW w:w="5807" w:type="dxa"/>
            <w:tcBorders>
              <w:top w:val="nil"/>
              <w:left w:val="nil"/>
              <w:bottom w:val="nil"/>
              <w:right w:val="nil"/>
            </w:tcBorders>
            <w:shd w:val="clear" w:color="auto" w:fill="auto"/>
            <w:hideMark/>
          </w:tcPr>
          <w:p w14:paraId="52B8A6C8" w14:textId="274D9704" w:rsidR="00535B74" w:rsidRPr="00066653" w:rsidRDefault="00535B74" w:rsidP="00535B74">
            <w:pPr>
              <w:rPr>
                <w:rFonts w:ascii="Arial" w:hAnsi="Arial" w:cs="Arial"/>
                <w:sz w:val="16"/>
                <w:szCs w:val="16"/>
                <w:lang w:eastAsia="es-AR"/>
              </w:rPr>
            </w:pPr>
            <w:r w:rsidRPr="00066653">
              <w:rPr>
                <w:rFonts w:ascii="Arial" w:hAnsi="Arial" w:cs="Arial"/>
                <w:sz w:val="16"/>
                <w:szCs w:val="16"/>
                <w:lang w:eastAsia="es-AR"/>
              </w:rPr>
              <w:t xml:space="preserve">Promedio ponderado de acciones ordinarias en circulación del </w:t>
            </w:r>
            <w:r>
              <w:rPr>
                <w:rFonts w:ascii="Arial" w:hAnsi="Arial" w:cs="Arial"/>
                <w:sz w:val="16"/>
                <w:szCs w:val="16"/>
                <w:lang w:eastAsia="es-AR"/>
              </w:rPr>
              <w:t>ejercicio</w:t>
            </w:r>
          </w:p>
        </w:tc>
        <w:tc>
          <w:tcPr>
            <w:tcW w:w="1160" w:type="dxa"/>
            <w:tcBorders>
              <w:top w:val="nil"/>
              <w:left w:val="nil"/>
              <w:bottom w:val="nil"/>
              <w:right w:val="nil"/>
            </w:tcBorders>
            <w:shd w:val="clear" w:color="auto" w:fill="auto"/>
            <w:noWrap/>
            <w:vAlign w:val="center"/>
          </w:tcPr>
          <w:p w14:paraId="10E33182" w14:textId="41B7781C" w:rsidR="00535B74" w:rsidRPr="00066653" w:rsidRDefault="00535B74">
            <w:pPr>
              <w:jc w:val="right"/>
              <w:rPr>
                <w:rFonts w:ascii="Arial" w:hAnsi="Arial" w:cs="Arial"/>
                <w:sz w:val="16"/>
                <w:szCs w:val="16"/>
                <w:lang w:eastAsia="es-AR"/>
              </w:rPr>
            </w:pPr>
            <w:r>
              <w:rPr>
                <w:rFonts w:ascii="Arial" w:hAnsi="Arial" w:cs="Arial"/>
                <w:sz w:val="16"/>
                <w:szCs w:val="16"/>
              </w:rPr>
              <w:t xml:space="preserve">818.782 </w:t>
            </w:r>
          </w:p>
        </w:tc>
        <w:tc>
          <w:tcPr>
            <w:tcW w:w="1160" w:type="dxa"/>
            <w:tcBorders>
              <w:top w:val="nil"/>
              <w:left w:val="nil"/>
              <w:bottom w:val="nil"/>
              <w:right w:val="nil"/>
            </w:tcBorders>
            <w:shd w:val="clear" w:color="auto" w:fill="auto"/>
            <w:noWrap/>
            <w:vAlign w:val="center"/>
          </w:tcPr>
          <w:p w14:paraId="76EF07EA" w14:textId="0FA5943E" w:rsidR="00535B74" w:rsidRPr="00066653" w:rsidRDefault="00535B74" w:rsidP="00535B74">
            <w:pPr>
              <w:jc w:val="right"/>
              <w:rPr>
                <w:rFonts w:ascii="Arial" w:hAnsi="Arial" w:cs="Arial"/>
                <w:sz w:val="16"/>
                <w:szCs w:val="16"/>
                <w:lang w:eastAsia="es-AR"/>
              </w:rPr>
            </w:pPr>
            <w:r>
              <w:rPr>
                <w:rFonts w:ascii="Arial" w:hAnsi="Arial" w:cs="Arial"/>
                <w:sz w:val="16"/>
                <w:szCs w:val="16"/>
              </w:rPr>
              <w:t>767.948</w:t>
            </w:r>
          </w:p>
        </w:tc>
      </w:tr>
      <w:tr w:rsidR="00535B74" w:rsidRPr="002200EC" w14:paraId="5E341499" w14:textId="77777777" w:rsidTr="006E1AF7">
        <w:trPr>
          <w:trHeight w:val="510"/>
        </w:trPr>
        <w:tc>
          <w:tcPr>
            <w:tcW w:w="5807" w:type="dxa"/>
            <w:tcBorders>
              <w:top w:val="nil"/>
              <w:left w:val="nil"/>
              <w:bottom w:val="nil"/>
              <w:right w:val="nil"/>
            </w:tcBorders>
            <w:shd w:val="clear" w:color="auto" w:fill="auto"/>
            <w:hideMark/>
          </w:tcPr>
          <w:p w14:paraId="2D6D7D75" w14:textId="77777777" w:rsidR="00535B74" w:rsidRPr="00066653" w:rsidRDefault="00535B74" w:rsidP="00535B74">
            <w:pPr>
              <w:rPr>
                <w:rFonts w:ascii="Arial" w:hAnsi="Arial" w:cs="Arial"/>
                <w:sz w:val="16"/>
                <w:szCs w:val="16"/>
                <w:lang w:eastAsia="es-AR"/>
              </w:rPr>
            </w:pPr>
            <w:r w:rsidRPr="00066653">
              <w:rPr>
                <w:rFonts w:ascii="Arial" w:hAnsi="Arial" w:cs="Arial"/>
                <w:sz w:val="16"/>
                <w:szCs w:val="16"/>
                <w:lang w:eastAsia="es-AR"/>
              </w:rPr>
              <w:t>MAS: Promedio ponderado del número de acciones ordinarias adicionales con efectos dilusivos.</w:t>
            </w:r>
          </w:p>
        </w:tc>
        <w:tc>
          <w:tcPr>
            <w:tcW w:w="1160" w:type="dxa"/>
            <w:tcBorders>
              <w:top w:val="nil"/>
              <w:left w:val="nil"/>
              <w:bottom w:val="nil"/>
              <w:right w:val="nil"/>
            </w:tcBorders>
            <w:shd w:val="clear" w:color="auto" w:fill="auto"/>
            <w:noWrap/>
            <w:vAlign w:val="center"/>
          </w:tcPr>
          <w:p w14:paraId="5C72B709" w14:textId="3687B0E6" w:rsidR="00535B74" w:rsidRPr="00066653" w:rsidRDefault="00535B74">
            <w:pPr>
              <w:jc w:val="right"/>
              <w:rPr>
                <w:rFonts w:ascii="Arial" w:hAnsi="Arial" w:cs="Arial"/>
                <w:sz w:val="16"/>
                <w:szCs w:val="16"/>
                <w:lang w:eastAsia="es-AR"/>
              </w:rPr>
            </w:pPr>
            <w:r>
              <w:rPr>
                <w:rFonts w:ascii="Arial" w:hAnsi="Arial" w:cs="Arial"/>
                <w:sz w:val="16"/>
                <w:szCs w:val="16"/>
              </w:rPr>
              <w:t xml:space="preserve">- </w:t>
            </w:r>
          </w:p>
        </w:tc>
        <w:tc>
          <w:tcPr>
            <w:tcW w:w="1160" w:type="dxa"/>
            <w:tcBorders>
              <w:top w:val="nil"/>
              <w:left w:val="nil"/>
              <w:bottom w:val="nil"/>
              <w:right w:val="nil"/>
            </w:tcBorders>
            <w:shd w:val="clear" w:color="auto" w:fill="auto"/>
            <w:noWrap/>
            <w:vAlign w:val="center"/>
          </w:tcPr>
          <w:p w14:paraId="37E4C3B0" w14:textId="27DB38FF" w:rsidR="00535B74" w:rsidRPr="00066653" w:rsidRDefault="00535B74" w:rsidP="00535B74">
            <w:pPr>
              <w:jc w:val="right"/>
              <w:rPr>
                <w:rFonts w:ascii="Arial" w:hAnsi="Arial" w:cs="Arial"/>
                <w:sz w:val="16"/>
                <w:szCs w:val="16"/>
                <w:lang w:eastAsia="es-AR"/>
              </w:rPr>
            </w:pPr>
            <w:r>
              <w:rPr>
                <w:rFonts w:ascii="Arial" w:hAnsi="Arial" w:cs="Arial"/>
                <w:sz w:val="16"/>
                <w:szCs w:val="16"/>
              </w:rPr>
              <w:t>-</w:t>
            </w:r>
          </w:p>
        </w:tc>
      </w:tr>
      <w:tr w:rsidR="00535B74" w:rsidRPr="002200EC" w14:paraId="7200F9FB" w14:textId="77777777" w:rsidTr="006E1AF7">
        <w:trPr>
          <w:trHeight w:val="510"/>
        </w:trPr>
        <w:tc>
          <w:tcPr>
            <w:tcW w:w="5807" w:type="dxa"/>
            <w:tcBorders>
              <w:top w:val="nil"/>
              <w:left w:val="nil"/>
              <w:bottom w:val="nil"/>
              <w:right w:val="nil"/>
            </w:tcBorders>
            <w:shd w:val="clear" w:color="auto" w:fill="auto"/>
            <w:hideMark/>
          </w:tcPr>
          <w:p w14:paraId="0F070D5F" w14:textId="4CFAC409" w:rsidR="00535B74" w:rsidRPr="00066653" w:rsidRDefault="00535B74" w:rsidP="00535B74">
            <w:pPr>
              <w:rPr>
                <w:rFonts w:ascii="Arial" w:hAnsi="Arial" w:cs="Arial"/>
                <w:sz w:val="16"/>
                <w:szCs w:val="16"/>
                <w:lang w:eastAsia="es-AR"/>
              </w:rPr>
            </w:pPr>
            <w:r w:rsidRPr="00066653">
              <w:rPr>
                <w:rFonts w:ascii="Arial" w:hAnsi="Arial" w:cs="Arial"/>
                <w:sz w:val="16"/>
                <w:szCs w:val="16"/>
                <w:lang w:eastAsia="es-AR"/>
              </w:rPr>
              <w:t xml:space="preserve">Promedio ponderado de acciones ordinarias en circulación del </w:t>
            </w:r>
            <w:r>
              <w:rPr>
                <w:rFonts w:ascii="Arial" w:hAnsi="Arial" w:cs="Arial"/>
                <w:sz w:val="16"/>
                <w:szCs w:val="16"/>
                <w:lang w:eastAsia="es-AR"/>
              </w:rPr>
              <w:t>ejercicio</w:t>
            </w:r>
            <w:r w:rsidRPr="00066653">
              <w:rPr>
                <w:rFonts w:ascii="Arial" w:hAnsi="Arial" w:cs="Arial"/>
                <w:sz w:val="16"/>
                <w:szCs w:val="16"/>
                <w:lang w:eastAsia="es-AR"/>
              </w:rPr>
              <w:t xml:space="preserve"> ajustado por el efecto de la dilución</w:t>
            </w:r>
          </w:p>
        </w:tc>
        <w:tc>
          <w:tcPr>
            <w:tcW w:w="1160" w:type="dxa"/>
            <w:tcBorders>
              <w:top w:val="nil"/>
              <w:left w:val="nil"/>
              <w:bottom w:val="nil"/>
              <w:right w:val="nil"/>
            </w:tcBorders>
            <w:shd w:val="clear" w:color="auto" w:fill="auto"/>
            <w:noWrap/>
            <w:vAlign w:val="center"/>
          </w:tcPr>
          <w:p w14:paraId="1C98BC8C" w14:textId="0E9A4285" w:rsidR="00535B74" w:rsidRPr="00066653" w:rsidRDefault="00535B74">
            <w:pPr>
              <w:jc w:val="right"/>
              <w:rPr>
                <w:rFonts w:ascii="Arial" w:hAnsi="Arial" w:cs="Arial"/>
                <w:sz w:val="16"/>
                <w:szCs w:val="16"/>
                <w:lang w:eastAsia="es-AR"/>
              </w:rPr>
            </w:pPr>
            <w:r>
              <w:rPr>
                <w:rFonts w:ascii="Arial" w:hAnsi="Arial" w:cs="Arial"/>
                <w:sz w:val="16"/>
                <w:szCs w:val="16"/>
              </w:rPr>
              <w:t xml:space="preserve">818.782 </w:t>
            </w:r>
          </w:p>
        </w:tc>
        <w:tc>
          <w:tcPr>
            <w:tcW w:w="1160" w:type="dxa"/>
            <w:tcBorders>
              <w:top w:val="nil"/>
              <w:left w:val="nil"/>
              <w:bottom w:val="nil"/>
              <w:right w:val="nil"/>
            </w:tcBorders>
            <w:shd w:val="clear" w:color="auto" w:fill="auto"/>
            <w:noWrap/>
            <w:vAlign w:val="center"/>
          </w:tcPr>
          <w:p w14:paraId="2A8601D4" w14:textId="7710C0B6" w:rsidR="00535B74" w:rsidRPr="00066653" w:rsidRDefault="00535B74" w:rsidP="00535B74">
            <w:pPr>
              <w:jc w:val="right"/>
              <w:rPr>
                <w:rFonts w:ascii="Arial" w:hAnsi="Arial" w:cs="Arial"/>
                <w:sz w:val="16"/>
                <w:szCs w:val="16"/>
                <w:lang w:eastAsia="es-AR"/>
              </w:rPr>
            </w:pPr>
            <w:r>
              <w:rPr>
                <w:rFonts w:ascii="Arial" w:hAnsi="Arial" w:cs="Arial"/>
                <w:sz w:val="16"/>
                <w:szCs w:val="16"/>
              </w:rPr>
              <w:t>767.948</w:t>
            </w:r>
          </w:p>
        </w:tc>
      </w:tr>
      <w:tr w:rsidR="00535B74" w:rsidRPr="002200EC" w14:paraId="51E86B28" w14:textId="77777777" w:rsidTr="006E1AF7">
        <w:trPr>
          <w:trHeight w:val="285"/>
        </w:trPr>
        <w:tc>
          <w:tcPr>
            <w:tcW w:w="5807" w:type="dxa"/>
            <w:tcBorders>
              <w:top w:val="nil"/>
              <w:left w:val="nil"/>
              <w:bottom w:val="nil"/>
              <w:right w:val="nil"/>
            </w:tcBorders>
            <w:shd w:val="clear" w:color="auto" w:fill="auto"/>
            <w:hideMark/>
          </w:tcPr>
          <w:p w14:paraId="2A82F577" w14:textId="77777777" w:rsidR="00535B74" w:rsidRPr="00066653" w:rsidRDefault="00535B74" w:rsidP="00535B74">
            <w:pPr>
              <w:rPr>
                <w:rFonts w:ascii="Arial" w:hAnsi="Arial" w:cs="Arial"/>
                <w:sz w:val="16"/>
                <w:szCs w:val="16"/>
                <w:lang w:eastAsia="es-AR"/>
              </w:rPr>
            </w:pPr>
          </w:p>
        </w:tc>
        <w:tc>
          <w:tcPr>
            <w:tcW w:w="1160" w:type="dxa"/>
            <w:tcBorders>
              <w:top w:val="nil"/>
              <w:left w:val="nil"/>
              <w:bottom w:val="nil"/>
              <w:right w:val="nil"/>
            </w:tcBorders>
            <w:shd w:val="clear" w:color="auto" w:fill="auto"/>
            <w:noWrap/>
            <w:vAlign w:val="center"/>
          </w:tcPr>
          <w:p w14:paraId="7D0FA3A1" w14:textId="262A265F" w:rsidR="00535B74" w:rsidRPr="00066653" w:rsidRDefault="00535B74">
            <w:pPr>
              <w:jc w:val="right"/>
              <w:rPr>
                <w:sz w:val="16"/>
                <w:szCs w:val="16"/>
                <w:lang w:eastAsia="es-AR"/>
              </w:rPr>
            </w:pPr>
          </w:p>
        </w:tc>
        <w:tc>
          <w:tcPr>
            <w:tcW w:w="1160" w:type="dxa"/>
            <w:tcBorders>
              <w:top w:val="nil"/>
              <w:left w:val="nil"/>
              <w:bottom w:val="nil"/>
              <w:right w:val="nil"/>
            </w:tcBorders>
            <w:shd w:val="clear" w:color="auto" w:fill="auto"/>
            <w:noWrap/>
          </w:tcPr>
          <w:p w14:paraId="5C0549AD" w14:textId="4292B28A" w:rsidR="00535B74" w:rsidRPr="00066653" w:rsidRDefault="00535B74" w:rsidP="00535B74">
            <w:pPr>
              <w:jc w:val="right"/>
              <w:rPr>
                <w:sz w:val="16"/>
                <w:szCs w:val="16"/>
                <w:lang w:eastAsia="es-AR"/>
              </w:rPr>
            </w:pPr>
          </w:p>
        </w:tc>
      </w:tr>
      <w:tr w:rsidR="00535B74" w:rsidRPr="002200EC" w14:paraId="234F405E" w14:textId="77777777" w:rsidTr="006E1AF7">
        <w:trPr>
          <w:trHeight w:val="285"/>
        </w:trPr>
        <w:tc>
          <w:tcPr>
            <w:tcW w:w="5807" w:type="dxa"/>
            <w:tcBorders>
              <w:top w:val="nil"/>
              <w:left w:val="nil"/>
              <w:bottom w:val="nil"/>
              <w:right w:val="nil"/>
            </w:tcBorders>
            <w:shd w:val="clear" w:color="auto" w:fill="auto"/>
            <w:hideMark/>
          </w:tcPr>
          <w:p w14:paraId="5C63BA4B" w14:textId="77777777" w:rsidR="00535B74" w:rsidRPr="00066653" w:rsidRDefault="00535B74" w:rsidP="00535B74">
            <w:pPr>
              <w:rPr>
                <w:rFonts w:ascii="Arial" w:hAnsi="Arial" w:cs="Arial"/>
                <w:b/>
                <w:bCs/>
                <w:sz w:val="16"/>
                <w:szCs w:val="16"/>
                <w:lang w:eastAsia="es-AR"/>
              </w:rPr>
            </w:pPr>
            <w:r w:rsidRPr="00066653">
              <w:rPr>
                <w:rFonts w:ascii="Arial" w:hAnsi="Arial" w:cs="Arial"/>
                <w:b/>
                <w:bCs/>
                <w:sz w:val="16"/>
                <w:szCs w:val="16"/>
                <w:lang w:eastAsia="es-AR"/>
              </w:rPr>
              <w:t>Ganancia por acción Básica</w:t>
            </w:r>
          </w:p>
        </w:tc>
        <w:tc>
          <w:tcPr>
            <w:tcW w:w="1160" w:type="dxa"/>
            <w:tcBorders>
              <w:top w:val="nil"/>
              <w:left w:val="nil"/>
              <w:bottom w:val="nil"/>
              <w:right w:val="nil"/>
            </w:tcBorders>
            <w:shd w:val="clear" w:color="auto" w:fill="auto"/>
            <w:noWrap/>
            <w:vAlign w:val="center"/>
          </w:tcPr>
          <w:p w14:paraId="78EEA423" w14:textId="4EF6AF6C" w:rsidR="00535B74" w:rsidRPr="00066653" w:rsidRDefault="00535B74">
            <w:pPr>
              <w:jc w:val="right"/>
              <w:rPr>
                <w:rFonts w:ascii="Arial" w:hAnsi="Arial" w:cs="Arial"/>
                <w:sz w:val="16"/>
                <w:szCs w:val="16"/>
                <w:lang w:eastAsia="es-AR"/>
              </w:rPr>
            </w:pPr>
            <w:r>
              <w:rPr>
                <w:rFonts w:ascii="Arial" w:hAnsi="Arial" w:cs="Arial"/>
                <w:sz w:val="16"/>
                <w:szCs w:val="16"/>
              </w:rPr>
              <w:t>4,06</w:t>
            </w:r>
          </w:p>
        </w:tc>
        <w:tc>
          <w:tcPr>
            <w:tcW w:w="1160" w:type="dxa"/>
            <w:tcBorders>
              <w:top w:val="nil"/>
              <w:left w:val="nil"/>
              <w:bottom w:val="nil"/>
              <w:right w:val="nil"/>
            </w:tcBorders>
            <w:shd w:val="clear" w:color="auto" w:fill="auto"/>
            <w:noWrap/>
            <w:vAlign w:val="center"/>
          </w:tcPr>
          <w:p w14:paraId="761BCB32" w14:textId="4AC96F88" w:rsidR="00535B74" w:rsidRPr="00066653" w:rsidRDefault="00535B74" w:rsidP="00535B74">
            <w:pPr>
              <w:jc w:val="right"/>
              <w:rPr>
                <w:rFonts w:ascii="Arial" w:hAnsi="Arial" w:cs="Arial"/>
                <w:sz w:val="16"/>
                <w:szCs w:val="16"/>
                <w:lang w:eastAsia="es-AR"/>
              </w:rPr>
            </w:pPr>
            <w:r>
              <w:rPr>
                <w:rFonts w:ascii="Arial" w:hAnsi="Arial" w:cs="Arial"/>
                <w:sz w:val="16"/>
                <w:szCs w:val="16"/>
              </w:rPr>
              <w:t>2,18</w:t>
            </w:r>
          </w:p>
        </w:tc>
      </w:tr>
      <w:tr w:rsidR="00535B74" w:rsidRPr="002200EC" w14:paraId="0CE43168" w14:textId="77777777" w:rsidTr="006E1AF7">
        <w:trPr>
          <w:trHeight w:val="285"/>
        </w:trPr>
        <w:tc>
          <w:tcPr>
            <w:tcW w:w="5807" w:type="dxa"/>
            <w:tcBorders>
              <w:top w:val="nil"/>
              <w:left w:val="nil"/>
              <w:bottom w:val="nil"/>
              <w:right w:val="nil"/>
            </w:tcBorders>
            <w:shd w:val="clear" w:color="auto" w:fill="auto"/>
            <w:hideMark/>
          </w:tcPr>
          <w:p w14:paraId="32650BB9" w14:textId="77777777" w:rsidR="00535B74" w:rsidRPr="00066653" w:rsidRDefault="00535B74" w:rsidP="00535B74">
            <w:pPr>
              <w:rPr>
                <w:rFonts w:ascii="Arial" w:hAnsi="Arial" w:cs="Arial"/>
                <w:b/>
                <w:bCs/>
                <w:sz w:val="16"/>
                <w:szCs w:val="16"/>
                <w:lang w:eastAsia="es-AR"/>
              </w:rPr>
            </w:pPr>
            <w:r w:rsidRPr="00066653">
              <w:rPr>
                <w:rFonts w:ascii="Arial" w:hAnsi="Arial" w:cs="Arial"/>
                <w:b/>
                <w:bCs/>
                <w:sz w:val="16"/>
                <w:szCs w:val="16"/>
                <w:lang w:eastAsia="es-AR"/>
              </w:rPr>
              <w:t>Ganancia por acción Diluida</w:t>
            </w:r>
          </w:p>
        </w:tc>
        <w:tc>
          <w:tcPr>
            <w:tcW w:w="1160" w:type="dxa"/>
            <w:tcBorders>
              <w:top w:val="nil"/>
              <w:left w:val="nil"/>
              <w:bottom w:val="nil"/>
              <w:right w:val="nil"/>
            </w:tcBorders>
            <w:shd w:val="clear" w:color="auto" w:fill="auto"/>
            <w:noWrap/>
            <w:vAlign w:val="center"/>
          </w:tcPr>
          <w:p w14:paraId="697F8D2C" w14:textId="68B4AA88" w:rsidR="00535B74" w:rsidRPr="00066653" w:rsidRDefault="00535B74">
            <w:pPr>
              <w:jc w:val="right"/>
              <w:rPr>
                <w:rFonts w:ascii="Arial" w:hAnsi="Arial" w:cs="Arial"/>
                <w:sz w:val="16"/>
                <w:szCs w:val="16"/>
                <w:lang w:eastAsia="es-AR"/>
              </w:rPr>
            </w:pPr>
            <w:r>
              <w:rPr>
                <w:rFonts w:ascii="Arial" w:hAnsi="Arial" w:cs="Arial"/>
                <w:sz w:val="16"/>
                <w:szCs w:val="16"/>
              </w:rPr>
              <w:t>4,06</w:t>
            </w:r>
          </w:p>
        </w:tc>
        <w:tc>
          <w:tcPr>
            <w:tcW w:w="1160" w:type="dxa"/>
            <w:tcBorders>
              <w:top w:val="nil"/>
              <w:left w:val="nil"/>
              <w:bottom w:val="nil"/>
              <w:right w:val="nil"/>
            </w:tcBorders>
            <w:shd w:val="clear" w:color="auto" w:fill="auto"/>
            <w:noWrap/>
            <w:vAlign w:val="center"/>
          </w:tcPr>
          <w:p w14:paraId="5D57D070" w14:textId="2CC896CA" w:rsidR="00535B74" w:rsidRPr="00066653" w:rsidRDefault="00535B74" w:rsidP="00535B74">
            <w:pPr>
              <w:jc w:val="right"/>
              <w:rPr>
                <w:rFonts w:ascii="Arial" w:hAnsi="Arial" w:cs="Arial"/>
                <w:sz w:val="16"/>
                <w:szCs w:val="16"/>
                <w:lang w:eastAsia="es-AR"/>
              </w:rPr>
            </w:pPr>
            <w:r>
              <w:rPr>
                <w:rFonts w:ascii="Arial" w:hAnsi="Arial" w:cs="Arial"/>
                <w:sz w:val="16"/>
                <w:szCs w:val="16"/>
              </w:rPr>
              <w:t>2,18</w:t>
            </w:r>
          </w:p>
        </w:tc>
      </w:tr>
    </w:tbl>
    <w:p w14:paraId="20265BFE" w14:textId="17C7CD3D" w:rsidR="00CB559B" w:rsidRPr="00701F32" w:rsidRDefault="00CB559B" w:rsidP="005470F1">
      <w:pPr>
        <w:rPr>
          <w:sz w:val="20"/>
          <w:lang w:eastAsia="es-AR"/>
        </w:rPr>
      </w:pPr>
    </w:p>
    <w:p w14:paraId="7AA3D85E" w14:textId="77777777" w:rsidR="00CB559B" w:rsidRPr="00701F32" w:rsidRDefault="00CB559B" w:rsidP="00DD6441">
      <w:pPr>
        <w:jc w:val="center"/>
        <w:rPr>
          <w:sz w:val="20"/>
          <w:lang w:eastAsia="es-AR"/>
        </w:rPr>
      </w:pPr>
    </w:p>
    <w:p w14:paraId="7AB077B8" w14:textId="77777777" w:rsidR="006527BF" w:rsidRPr="00701F32" w:rsidRDefault="006527BF" w:rsidP="00DD6441">
      <w:pPr>
        <w:jc w:val="center"/>
        <w:rPr>
          <w:rFonts w:ascii="Arial" w:hAnsi="Arial" w:cs="Arial"/>
          <w:sz w:val="20"/>
        </w:rPr>
      </w:pPr>
    </w:p>
    <w:p w14:paraId="5EEDCB7F" w14:textId="77777777" w:rsidR="009F3C08" w:rsidRPr="00701F32" w:rsidRDefault="009F3C08" w:rsidP="00DD6441">
      <w:pPr>
        <w:jc w:val="center"/>
        <w:rPr>
          <w:sz w:val="20"/>
          <w:lang w:eastAsia="es-AR"/>
        </w:rPr>
      </w:pPr>
    </w:p>
    <w:p w14:paraId="63A4B880" w14:textId="77777777" w:rsidR="000342AE" w:rsidRPr="00701F32" w:rsidRDefault="000342AE" w:rsidP="00DD6441">
      <w:pPr>
        <w:jc w:val="center"/>
        <w:rPr>
          <w:sz w:val="20"/>
          <w:lang w:eastAsia="es-AR"/>
        </w:rPr>
      </w:pPr>
    </w:p>
    <w:p w14:paraId="4146FFE2" w14:textId="77777777" w:rsidR="000342AE" w:rsidRPr="00701F32" w:rsidRDefault="000342AE" w:rsidP="000342AE">
      <w:pPr>
        <w:rPr>
          <w:sz w:val="20"/>
          <w:lang w:eastAsia="es-AR"/>
        </w:rPr>
      </w:pPr>
    </w:p>
    <w:p w14:paraId="5BD364D4" w14:textId="77777777" w:rsidR="00632653" w:rsidRPr="00701F32" w:rsidRDefault="00632653" w:rsidP="00DD6441">
      <w:pPr>
        <w:jc w:val="center"/>
        <w:rPr>
          <w:rFonts w:ascii="Arial" w:hAnsi="Arial" w:cs="Arial"/>
          <w:szCs w:val="24"/>
        </w:rPr>
        <w:sectPr w:rsidR="00632653" w:rsidRPr="00701F32" w:rsidSect="00050353">
          <w:headerReference w:type="default" r:id="rId12"/>
          <w:pgSz w:w="11907" w:h="16839" w:code="9"/>
          <w:pgMar w:top="1418" w:right="1701" w:bottom="1418" w:left="1701" w:header="567" w:footer="0" w:gutter="0"/>
          <w:paperSrc w:first="15" w:other="15"/>
          <w:pgNumType w:chapStyle="1"/>
          <w:cols w:space="720"/>
          <w:docGrid w:linePitch="326"/>
        </w:sectPr>
      </w:pPr>
    </w:p>
    <w:tbl>
      <w:tblPr>
        <w:tblW w:w="8075" w:type="dxa"/>
        <w:tblInd w:w="75" w:type="dxa"/>
        <w:tblLayout w:type="fixed"/>
        <w:tblCellMar>
          <w:left w:w="70" w:type="dxa"/>
          <w:right w:w="70" w:type="dxa"/>
        </w:tblCellMar>
        <w:tblLook w:val="04A0" w:firstRow="1" w:lastRow="0" w:firstColumn="1" w:lastColumn="0" w:noHBand="0" w:noVBand="1"/>
      </w:tblPr>
      <w:tblGrid>
        <w:gridCol w:w="6091"/>
        <w:gridCol w:w="992"/>
        <w:gridCol w:w="992"/>
      </w:tblGrid>
      <w:tr w:rsidR="00A00E52" w:rsidRPr="001D595F" w14:paraId="2F22E7A8" w14:textId="77777777" w:rsidTr="00A00E52">
        <w:trPr>
          <w:trHeight w:val="618"/>
        </w:trPr>
        <w:tc>
          <w:tcPr>
            <w:tcW w:w="6091" w:type="dxa"/>
            <w:tcBorders>
              <w:top w:val="single" w:sz="4" w:space="0" w:color="363639"/>
              <w:left w:val="single" w:sz="4" w:space="0" w:color="363639"/>
              <w:bottom w:val="single" w:sz="4" w:space="0" w:color="363639"/>
              <w:right w:val="nil"/>
            </w:tcBorders>
            <w:shd w:val="clear" w:color="auto" w:fill="BFBFBF" w:themeFill="background1" w:themeFillShade="BF"/>
            <w:noWrap/>
            <w:vAlign w:val="center"/>
            <w:hideMark/>
          </w:tcPr>
          <w:p w14:paraId="264D0E04" w14:textId="77777777" w:rsidR="00A00E52" w:rsidRPr="001D595F" w:rsidRDefault="00A00E52" w:rsidP="00B83E92">
            <w:pPr>
              <w:jc w:val="center"/>
              <w:rPr>
                <w:rFonts w:ascii="Arial" w:hAnsi="Arial" w:cs="Arial"/>
                <w:b/>
                <w:bCs/>
                <w:sz w:val="16"/>
                <w:szCs w:val="16"/>
                <w:lang w:eastAsia="es-AR"/>
              </w:rPr>
            </w:pPr>
            <w:bookmarkStart w:id="2" w:name="_Hlk14868037"/>
            <w:r w:rsidRPr="001D595F">
              <w:rPr>
                <w:rFonts w:ascii="Arial" w:hAnsi="Arial" w:cs="Arial"/>
                <w:b/>
                <w:bCs/>
                <w:sz w:val="16"/>
                <w:szCs w:val="16"/>
                <w:lang w:eastAsia="es-AR"/>
              </w:rPr>
              <w:t>Conceptos</w:t>
            </w:r>
          </w:p>
        </w:tc>
        <w:tc>
          <w:tcPr>
            <w:tcW w:w="992"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630F743F" w14:textId="7BD9AEBE" w:rsidR="00A00E52" w:rsidRDefault="00A00E52" w:rsidP="00B83E92">
            <w:pPr>
              <w:jc w:val="center"/>
              <w:rPr>
                <w:rFonts w:ascii="Arial" w:hAnsi="Arial" w:cs="Arial"/>
                <w:b/>
                <w:bCs/>
                <w:sz w:val="16"/>
                <w:szCs w:val="16"/>
                <w:lang w:eastAsia="es-AR"/>
              </w:rPr>
            </w:pPr>
            <w:r w:rsidRPr="00826C1B">
              <w:rPr>
                <w:rFonts w:ascii="Arial" w:hAnsi="Arial" w:cs="Arial"/>
                <w:b/>
                <w:bCs/>
                <w:sz w:val="16"/>
                <w:szCs w:val="16"/>
                <w:lang w:eastAsia="es-AR"/>
              </w:rPr>
              <w:t>A</w:t>
            </w:r>
            <w:r>
              <w:rPr>
                <w:rFonts w:ascii="Arial" w:hAnsi="Arial" w:cs="Arial"/>
                <w:b/>
                <w:bCs/>
                <w:sz w:val="16"/>
                <w:szCs w:val="16"/>
                <w:lang w:eastAsia="es-AR"/>
              </w:rPr>
              <w:t>l</w:t>
            </w:r>
          </w:p>
          <w:p w14:paraId="04641517" w14:textId="74363DE2" w:rsidR="00A00E52" w:rsidRPr="001D595F" w:rsidRDefault="00A00E52" w:rsidP="00B83E92">
            <w:pPr>
              <w:jc w:val="center"/>
              <w:rPr>
                <w:rFonts w:ascii="Arial" w:hAnsi="Arial" w:cs="Arial"/>
                <w:b/>
                <w:bCs/>
                <w:sz w:val="16"/>
                <w:szCs w:val="16"/>
                <w:lang w:eastAsia="es-AR"/>
              </w:rPr>
            </w:pPr>
            <w:r w:rsidRPr="00826C1B">
              <w:rPr>
                <w:rFonts w:ascii="Arial" w:hAnsi="Arial" w:cs="Arial"/>
                <w:b/>
                <w:bCs/>
                <w:sz w:val="16"/>
                <w:szCs w:val="16"/>
                <w:lang w:eastAsia="es-AR"/>
              </w:rPr>
              <w:t>3</w:t>
            </w:r>
            <w:r>
              <w:rPr>
                <w:rFonts w:ascii="Arial" w:hAnsi="Arial" w:cs="Arial"/>
                <w:b/>
                <w:bCs/>
                <w:sz w:val="16"/>
                <w:szCs w:val="16"/>
                <w:lang w:eastAsia="es-AR"/>
              </w:rPr>
              <w:t>1</w:t>
            </w:r>
            <w:r w:rsidRPr="00826C1B">
              <w:rPr>
                <w:rFonts w:ascii="Arial" w:hAnsi="Arial" w:cs="Arial"/>
                <w:b/>
                <w:bCs/>
                <w:sz w:val="16"/>
                <w:szCs w:val="16"/>
                <w:lang w:eastAsia="es-AR"/>
              </w:rPr>
              <w:t>/</w:t>
            </w:r>
            <w:r>
              <w:rPr>
                <w:rFonts w:ascii="Arial" w:hAnsi="Arial" w:cs="Arial"/>
                <w:b/>
                <w:bCs/>
                <w:sz w:val="16"/>
                <w:szCs w:val="16"/>
                <w:lang w:eastAsia="es-AR"/>
              </w:rPr>
              <w:t>12</w:t>
            </w:r>
            <w:r w:rsidRPr="00826C1B">
              <w:rPr>
                <w:rFonts w:ascii="Arial" w:hAnsi="Arial" w:cs="Arial"/>
                <w:b/>
                <w:bCs/>
                <w:sz w:val="16"/>
                <w:szCs w:val="16"/>
                <w:lang w:eastAsia="es-AR"/>
              </w:rPr>
              <w:t>/201</w:t>
            </w:r>
            <w:r>
              <w:rPr>
                <w:rFonts w:ascii="Arial" w:hAnsi="Arial" w:cs="Arial"/>
                <w:b/>
                <w:bCs/>
                <w:sz w:val="16"/>
                <w:szCs w:val="16"/>
                <w:lang w:eastAsia="es-AR"/>
              </w:rPr>
              <w:t>9</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BDECA4" w14:textId="5FF0FC83" w:rsidR="00A00E52" w:rsidRDefault="00A00E52" w:rsidP="00B83E92">
            <w:pPr>
              <w:jc w:val="center"/>
              <w:rPr>
                <w:rFonts w:ascii="Arial" w:hAnsi="Arial" w:cs="Arial"/>
                <w:b/>
                <w:bCs/>
                <w:sz w:val="16"/>
                <w:szCs w:val="16"/>
                <w:lang w:eastAsia="es-AR"/>
              </w:rPr>
            </w:pPr>
            <w:r>
              <w:rPr>
                <w:rFonts w:ascii="Arial" w:hAnsi="Arial" w:cs="Arial"/>
                <w:b/>
                <w:bCs/>
                <w:sz w:val="16"/>
                <w:szCs w:val="16"/>
                <w:lang w:eastAsia="es-AR"/>
              </w:rPr>
              <w:t>Al</w:t>
            </w:r>
          </w:p>
          <w:p w14:paraId="551F5C40" w14:textId="42FC350F" w:rsidR="00A00E52" w:rsidRPr="001D595F" w:rsidRDefault="00A00E52" w:rsidP="00B83E92">
            <w:pPr>
              <w:jc w:val="center"/>
              <w:rPr>
                <w:rFonts w:ascii="Arial" w:hAnsi="Arial" w:cs="Arial"/>
                <w:b/>
                <w:bCs/>
                <w:sz w:val="16"/>
                <w:szCs w:val="16"/>
                <w:lang w:eastAsia="es-AR"/>
              </w:rPr>
            </w:pPr>
            <w:r w:rsidRPr="00826C1B">
              <w:rPr>
                <w:rFonts w:ascii="Arial" w:hAnsi="Arial" w:cs="Arial"/>
                <w:b/>
                <w:bCs/>
                <w:sz w:val="16"/>
                <w:szCs w:val="16"/>
                <w:lang w:eastAsia="es-AR"/>
              </w:rPr>
              <w:t>3</w:t>
            </w:r>
            <w:r>
              <w:rPr>
                <w:rFonts w:ascii="Arial" w:hAnsi="Arial" w:cs="Arial"/>
                <w:b/>
                <w:bCs/>
                <w:sz w:val="16"/>
                <w:szCs w:val="16"/>
                <w:lang w:eastAsia="es-AR"/>
              </w:rPr>
              <w:t>1</w:t>
            </w:r>
            <w:r w:rsidRPr="00826C1B">
              <w:rPr>
                <w:rFonts w:ascii="Arial" w:hAnsi="Arial" w:cs="Arial"/>
                <w:b/>
                <w:bCs/>
                <w:sz w:val="16"/>
                <w:szCs w:val="16"/>
                <w:lang w:eastAsia="es-AR"/>
              </w:rPr>
              <w:t>/</w:t>
            </w:r>
            <w:r>
              <w:rPr>
                <w:rFonts w:ascii="Arial" w:hAnsi="Arial" w:cs="Arial"/>
                <w:b/>
                <w:bCs/>
                <w:sz w:val="16"/>
                <w:szCs w:val="16"/>
                <w:lang w:eastAsia="es-AR"/>
              </w:rPr>
              <w:t>12</w:t>
            </w:r>
            <w:r w:rsidRPr="00826C1B">
              <w:rPr>
                <w:rFonts w:ascii="Arial" w:hAnsi="Arial" w:cs="Arial"/>
                <w:b/>
                <w:bCs/>
                <w:sz w:val="16"/>
                <w:szCs w:val="16"/>
                <w:lang w:eastAsia="es-AR"/>
              </w:rPr>
              <w:t>/201</w:t>
            </w:r>
            <w:r>
              <w:rPr>
                <w:rFonts w:ascii="Arial" w:hAnsi="Arial" w:cs="Arial"/>
                <w:b/>
                <w:bCs/>
                <w:sz w:val="16"/>
                <w:szCs w:val="16"/>
                <w:lang w:eastAsia="es-AR"/>
              </w:rPr>
              <w:t>8</w:t>
            </w:r>
          </w:p>
        </w:tc>
      </w:tr>
      <w:tr w:rsidR="006A455B" w:rsidRPr="001D595F" w14:paraId="31C409BF" w14:textId="77777777" w:rsidTr="006A455B">
        <w:trPr>
          <w:trHeight w:val="235"/>
        </w:trPr>
        <w:tc>
          <w:tcPr>
            <w:tcW w:w="6091" w:type="dxa"/>
            <w:tcBorders>
              <w:top w:val="nil"/>
              <w:left w:val="nil"/>
              <w:bottom w:val="nil"/>
              <w:right w:val="nil"/>
            </w:tcBorders>
            <w:shd w:val="clear" w:color="auto" w:fill="auto"/>
            <w:hideMark/>
          </w:tcPr>
          <w:p w14:paraId="0EACC963" w14:textId="67E9FDD6" w:rsidR="006A455B" w:rsidRPr="001D595F" w:rsidRDefault="006A455B" w:rsidP="006A455B">
            <w:pPr>
              <w:rPr>
                <w:rFonts w:ascii="Arial" w:hAnsi="Arial" w:cs="Arial"/>
                <w:b/>
                <w:bCs/>
                <w:sz w:val="16"/>
                <w:szCs w:val="16"/>
                <w:lang w:eastAsia="es-AR"/>
              </w:rPr>
            </w:pPr>
            <w:r w:rsidRPr="001D595F">
              <w:rPr>
                <w:rFonts w:ascii="Arial" w:hAnsi="Arial" w:cs="Arial"/>
                <w:b/>
                <w:bCs/>
                <w:sz w:val="16"/>
                <w:szCs w:val="16"/>
                <w:lang w:eastAsia="es-AR"/>
              </w:rPr>
              <w:t xml:space="preserve">Resultado neto del </w:t>
            </w:r>
            <w:r>
              <w:rPr>
                <w:rFonts w:ascii="Arial" w:hAnsi="Arial" w:cs="Arial"/>
                <w:b/>
                <w:bCs/>
                <w:sz w:val="16"/>
                <w:szCs w:val="16"/>
                <w:lang w:eastAsia="es-AR"/>
              </w:rPr>
              <w:t>ejercicio</w:t>
            </w:r>
          </w:p>
        </w:tc>
        <w:tc>
          <w:tcPr>
            <w:tcW w:w="992" w:type="dxa"/>
            <w:tcBorders>
              <w:top w:val="single" w:sz="4" w:space="0" w:color="auto"/>
              <w:left w:val="nil"/>
              <w:bottom w:val="nil"/>
              <w:right w:val="nil"/>
            </w:tcBorders>
            <w:shd w:val="clear" w:color="auto" w:fill="auto"/>
            <w:noWrap/>
            <w:vAlign w:val="center"/>
          </w:tcPr>
          <w:p w14:paraId="42231669" w14:textId="571FF3B0" w:rsidR="006A455B" w:rsidRPr="00911787" w:rsidRDefault="006A455B" w:rsidP="006A455B">
            <w:pPr>
              <w:jc w:val="right"/>
              <w:rPr>
                <w:rFonts w:ascii="Arial" w:hAnsi="Arial" w:cs="Arial"/>
                <w:sz w:val="16"/>
                <w:szCs w:val="16"/>
                <w:lang w:eastAsia="es-AR"/>
              </w:rPr>
            </w:pPr>
            <w:r>
              <w:rPr>
                <w:rFonts w:ascii="Arial" w:hAnsi="Arial" w:cs="Arial"/>
                <w:sz w:val="16"/>
                <w:szCs w:val="16"/>
              </w:rPr>
              <w:t>3.3</w:t>
            </w:r>
            <w:r w:rsidR="00CC2DDE">
              <w:rPr>
                <w:rFonts w:ascii="Arial" w:hAnsi="Arial" w:cs="Arial"/>
                <w:sz w:val="16"/>
                <w:szCs w:val="16"/>
              </w:rPr>
              <w:t>08</w:t>
            </w:r>
            <w:r>
              <w:rPr>
                <w:rFonts w:ascii="Arial" w:hAnsi="Arial" w:cs="Arial"/>
                <w:sz w:val="16"/>
                <w:szCs w:val="16"/>
              </w:rPr>
              <w:t>.</w:t>
            </w:r>
            <w:r w:rsidR="00CC2DDE">
              <w:rPr>
                <w:rFonts w:ascii="Arial" w:hAnsi="Arial" w:cs="Arial"/>
                <w:sz w:val="16"/>
                <w:szCs w:val="16"/>
              </w:rPr>
              <w:t>327</w:t>
            </w:r>
          </w:p>
        </w:tc>
        <w:tc>
          <w:tcPr>
            <w:tcW w:w="992" w:type="dxa"/>
            <w:tcBorders>
              <w:top w:val="single" w:sz="4" w:space="0" w:color="auto"/>
              <w:left w:val="nil"/>
              <w:bottom w:val="nil"/>
              <w:right w:val="nil"/>
            </w:tcBorders>
            <w:shd w:val="clear" w:color="auto" w:fill="auto"/>
            <w:noWrap/>
            <w:vAlign w:val="center"/>
          </w:tcPr>
          <w:p w14:paraId="70DEE354" w14:textId="3411FD78" w:rsidR="006A455B" w:rsidRPr="00911787" w:rsidRDefault="006A455B" w:rsidP="006A455B">
            <w:pPr>
              <w:jc w:val="right"/>
              <w:rPr>
                <w:rFonts w:ascii="Arial" w:hAnsi="Arial" w:cs="Arial"/>
                <w:sz w:val="16"/>
                <w:szCs w:val="16"/>
                <w:lang w:eastAsia="es-AR"/>
              </w:rPr>
            </w:pPr>
            <w:r>
              <w:rPr>
                <w:rFonts w:ascii="Arial" w:hAnsi="Arial" w:cs="Arial"/>
                <w:sz w:val="16"/>
                <w:szCs w:val="16"/>
              </w:rPr>
              <w:t>1.663.237</w:t>
            </w:r>
          </w:p>
        </w:tc>
      </w:tr>
      <w:tr w:rsidR="006A455B" w:rsidRPr="001D595F" w14:paraId="2F2BC8E3" w14:textId="77777777" w:rsidTr="006A455B">
        <w:trPr>
          <w:trHeight w:val="121"/>
        </w:trPr>
        <w:tc>
          <w:tcPr>
            <w:tcW w:w="6091" w:type="dxa"/>
            <w:tcBorders>
              <w:top w:val="nil"/>
              <w:left w:val="nil"/>
              <w:bottom w:val="nil"/>
              <w:right w:val="nil"/>
            </w:tcBorders>
            <w:shd w:val="clear" w:color="auto" w:fill="auto"/>
            <w:hideMark/>
          </w:tcPr>
          <w:p w14:paraId="48B6C485" w14:textId="77777777" w:rsidR="006A455B" w:rsidRPr="001D595F" w:rsidRDefault="006A455B" w:rsidP="006A455B">
            <w:pPr>
              <w:rPr>
                <w:rFonts w:ascii="Arial" w:hAnsi="Arial" w:cs="Arial"/>
                <w:sz w:val="16"/>
                <w:szCs w:val="16"/>
                <w:lang w:eastAsia="es-AR"/>
              </w:rPr>
            </w:pPr>
          </w:p>
        </w:tc>
        <w:tc>
          <w:tcPr>
            <w:tcW w:w="992" w:type="dxa"/>
            <w:tcBorders>
              <w:top w:val="nil"/>
              <w:left w:val="nil"/>
              <w:bottom w:val="nil"/>
              <w:right w:val="nil"/>
            </w:tcBorders>
            <w:shd w:val="clear" w:color="auto" w:fill="auto"/>
            <w:noWrap/>
            <w:vAlign w:val="center"/>
          </w:tcPr>
          <w:p w14:paraId="1D3493C5" w14:textId="4C87358E" w:rsidR="006A455B" w:rsidRPr="0049136B" w:rsidRDefault="006A455B" w:rsidP="006A455B">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center"/>
          </w:tcPr>
          <w:p w14:paraId="29369CD8" w14:textId="6B5625E4" w:rsidR="006A455B" w:rsidRPr="0049136B" w:rsidRDefault="006A455B" w:rsidP="006A455B">
            <w:pPr>
              <w:jc w:val="right"/>
              <w:rPr>
                <w:rFonts w:ascii="Arial" w:hAnsi="Arial" w:cs="Arial"/>
                <w:sz w:val="16"/>
                <w:szCs w:val="16"/>
                <w:lang w:eastAsia="es-AR"/>
              </w:rPr>
            </w:pPr>
          </w:p>
        </w:tc>
      </w:tr>
      <w:tr w:rsidR="006A455B" w:rsidRPr="001D595F" w14:paraId="76E47A1C" w14:textId="77777777" w:rsidTr="006A455B">
        <w:trPr>
          <w:trHeight w:val="80"/>
        </w:trPr>
        <w:tc>
          <w:tcPr>
            <w:tcW w:w="6091" w:type="dxa"/>
            <w:tcBorders>
              <w:top w:val="nil"/>
              <w:left w:val="nil"/>
              <w:bottom w:val="nil"/>
              <w:right w:val="nil"/>
            </w:tcBorders>
            <w:shd w:val="clear" w:color="auto" w:fill="auto"/>
            <w:hideMark/>
          </w:tcPr>
          <w:p w14:paraId="3DC66BB4" w14:textId="025FE621" w:rsidR="006A455B" w:rsidRPr="001D595F" w:rsidRDefault="006A455B" w:rsidP="006A455B">
            <w:pPr>
              <w:rPr>
                <w:rFonts w:ascii="Arial" w:hAnsi="Arial" w:cs="Arial"/>
                <w:b/>
                <w:bCs/>
                <w:sz w:val="16"/>
                <w:szCs w:val="16"/>
                <w:lang w:eastAsia="es-AR"/>
              </w:rPr>
            </w:pPr>
            <w:r w:rsidRPr="001D595F">
              <w:rPr>
                <w:rFonts w:ascii="Arial" w:hAnsi="Arial" w:cs="Arial"/>
                <w:b/>
                <w:bCs/>
                <w:sz w:val="16"/>
                <w:szCs w:val="16"/>
                <w:lang w:eastAsia="es-AR"/>
              </w:rPr>
              <w:t xml:space="preserve">Componentes de Otro Resultado Integral que no se reclasificarán al resultado del </w:t>
            </w:r>
            <w:r>
              <w:rPr>
                <w:rFonts w:ascii="Arial" w:hAnsi="Arial" w:cs="Arial"/>
                <w:b/>
                <w:bCs/>
                <w:sz w:val="16"/>
                <w:szCs w:val="16"/>
                <w:lang w:eastAsia="es-AR"/>
              </w:rPr>
              <w:t>ejercicio</w:t>
            </w:r>
          </w:p>
        </w:tc>
        <w:tc>
          <w:tcPr>
            <w:tcW w:w="992" w:type="dxa"/>
            <w:tcBorders>
              <w:top w:val="nil"/>
              <w:left w:val="nil"/>
              <w:bottom w:val="nil"/>
              <w:right w:val="nil"/>
            </w:tcBorders>
            <w:shd w:val="clear" w:color="auto" w:fill="auto"/>
            <w:noWrap/>
            <w:vAlign w:val="center"/>
          </w:tcPr>
          <w:p w14:paraId="6B719324" w14:textId="218B8949" w:rsidR="006A455B" w:rsidRPr="0049136B" w:rsidRDefault="006A455B" w:rsidP="006A455B">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center"/>
          </w:tcPr>
          <w:p w14:paraId="0C24B29A" w14:textId="3E351DED" w:rsidR="006A455B" w:rsidRPr="0049136B" w:rsidRDefault="006A455B" w:rsidP="006A455B">
            <w:pPr>
              <w:jc w:val="right"/>
              <w:rPr>
                <w:rFonts w:ascii="Arial" w:hAnsi="Arial" w:cs="Arial"/>
                <w:sz w:val="16"/>
                <w:szCs w:val="16"/>
                <w:lang w:eastAsia="es-AR"/>
              </w:rPr>
            </w:pPr>
          </w:p>
        </w:tc>
      </w:tr>
      <w:tr w:rsidR="006A455B" w:rsidRPr="001D595F" w14:paraId="2F94B029" w14:textId="77777777" w:rsidTr="006A455B">
        <w:trPr>
          <w:trHeight w:val="187"/>
        </w:trPr>
        <w:tc>
          <w:tcPr>
            <w:tcW w:w="6091" w:type="dxa"/>
            <w:tcBorders>
              <w:top w:val="nil"/>
              <w:left w:val="nil"/>
              <w:bottom w:val="nil"/>
              <w:right w:val="nil"/>
            </w:tcBorders>
            <w:shd w:val="clear" w:color="auto" w:fill="auto"/>
            <w:hideMark/>
          </w:tcPr>
          <w:p w14:paraId="362D7EE8" w14:textId="77777777" w:rsidR="006A455B" w:rsidRPr="001D595F" w:rsidRDefault="006A455B" w:rsidP="006A455B">
            <w:pPr>
              <w:rPr>
                <w:rFonts w:ascii="Arial" w:hAnsi="Arial" w:cs="Arial"/>
                <w:sz w:val="16"/>
                <w:szCs w:val="16"/>
                <w:lang w:eastAsia="es-AR"/>
              </w:rPr>
            </w:pPr>
          </w:p>
        </w:tc>
        <w:tc>
          <w:tcPr>
            <w:tcW w:w="992" w:type="dxa"/>
            <w:tcBorders>
              <w:top w:val="nil"/>
              <w:left w:val="nil"/>
              <w:bottom w:val="nil"/>
              <w:right w:val="nil"/>
            </w:tcBorders>
            <w:shd w:val="clear" w:color="auto" w:fill="auto"/>
            <w:noWrap/>
            <w:vAlign w:val="center"/>
          </w:tcPr>
          <w:p w14:paraId="7B65C674" w14:textId="3C7E5770" w:rsidR="006A455B" w:rsidRPr="0049136B" w:rsidRDefault="006A455B" w:rsidP="006A455B">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center"/>
          </w:tcPr>
          <w:p w14:paraId="340E9C73" w14:textId="1A6BF176" w:rsidR="006A455B" w:rsidRPr="0049136B" w:rsidRDefault="006A455B" w:rsidP="006A455B">
            <w:pPr>
              <w:jc w:val="right"/>
              <w:rPr>
                <w:rFonts w:ascii="Arial" w:hAnsi="Arial" w:cs="Arial"/>
                <w:sz w:val="16"/>
                <w:szCs w:val="16"/>
                <w:lang w:eastAsia="es-AR"/>
              </w:rPr>
            </w:pPr>
          </w:p>
        </w:tc>
      </w:tr>
      <w:tr w:rsidR="006A455B" w:rsidRPr="001D595F" w14:paraId="512C4237" w14:textId="77777777" w:rsidTr="006A455B">
        <w:trPr>
          <w:trHeight w:val="378"/>
        </w:trPr>
        <w:tc>
          <w:tcPr>
            <w:tcW w:w="6091" w:type="dxa"/>
            <w:tcBorders>
              <w:top w:val="nil"/>
              <w:left w:val="nil"/>
              <w:bottom w:val="single" w:sz="4" w:space="0" w:color="auto"/>
              <w:right w:val="nil"/>
            </w:tcBorders>
            <w:shd w:val="clear" w:color="auto" w:fill="auto"/>
            <w:vAlign w:val="bottom"/>
            <w:hideMark/>
          </w:tcPr>
          <w:p w14:paraId="7636DA33" w14:textId="77777777" w:rsidR="006A455B" w:rsidRPr="001D595F" w:rsidRDefault="006A455B" w:rsidP="006A455B">
            <w:pPr>
              <w:rPr>
                <w:rFonts w:ascii="Arial" w:hAnsi="Arial" w:cs="Arial"/>
                <w:b/>
                <w:bCs/>
                <w:sz w:val="16"/>
                <w:szCs w:val="16"/>
                <w:lang w:eastAsia="es-AR"/>
              </w:rPr>
            </w:pPr>
            <w:r w:rsidRPr="001D595F">
              <w:rPr>
                <w:rFonts w:ascii="Arial" w:hAnsi="Arial" w:cs="Arial"/>
                <w:b/>
                <w:bCs/>
                <w:sz w:val="16"/>
                <w:szCs w:val="16"/>
                <w:lang w:eastAsia="es-AR"/>
              </w:rPr>
              <w:t>Revaluación de propiedad, planta y equipo e intangibles</w:t>
            </w:r>
          </w:p>
        </w:tc>
        <w:tc>
          <w:tcPr>
            <w:tcW w:w="992" w:type="dxa"/>
            <w:tcBorders>
              <w:top w:val="nil"/>
              <w:left w:val="nil"/>
              <w:bottom w:val="single" w:sz="4" w:space="0" w:color="auto"/>
              <w:right w:val="nil"/>
            </w:tcBorders>
            <w:shd w:val="clear" w:color="auto" w:fill="auto"/>
            <w:noWrap/>
            <w:vAlign w:val="center"/>
          </w:tcPr>
          <w:p w14:paraId="1D08EDB7" w14:textId="7FD49740" w:rsidR="006A455B" w:rsidRPr="00911787" w:rsidRDefault="006A455B" w:rsidP="006A455B">
            <w:pPr>
              <w:jc w:val="right"/>
              <w:rPr>
                <w:rFonts w:ascii="Arial" w:hAnsi="Arial" w:cs="Arial"/>
                <w:b/>
                <w:bCs/>
                <w:sz w:val="16"/>
                <w:szCs w:val="16"/>
                <w:lang w:eastAsia="es-AR"/>
              </w:rPr>
            </w:pPr>
            <w:r>
              <w:rPr>
                <w:rFonts w:ascii="Arial" w:hAnsi="Arial" w:cs="Arial"/>
                <w:b/>
                <w:bCs/>
                <w:sz w:val="16"/>
                <w:szCs w:val="16"/>
              </w:rPr>
              <w:t>449.00</w:t>
            </w:r>
            <w:r w:rsidR="00CC2DDE">
              <w:rPr>
                <w:rFonts w:ascii="Arial" w:hAnsi="Arial" w:cs="Arial"/>
                <w:b/>
                <w:bCs/>
                <w:sz w:val="16"/>
                <w:szCs w:val="16"/>
              </w:rPr>
              <w:t>5</w:t>
            </w:r>
          </w:p>
        </w:tc>
        <w:tc>
          <w:tcPr>
            <w:tcW w:w="992" w:type="dxa"/>
            <w:tcBorders>
              <w:top w:val="nil"/>
              <w:left w:val="nil"/>
              <w:bottom w:val="single" w:sz="4" w:space="0" w:color="auto"/>
              <w:right w:val="nil"/>
            </w:tcBorders>
            <w:shd w:val="clear" w:color="auto" w:fill="auto"/>
            <w:noWrap/>
            <w:vAlign w:val="center"/>
          </w:tcPr>
          <w:p w14:paraId="27E32C6E" w14:textId="75C91AA4" w:rsidR="006A455B" w:rsidRPr="00911787" w:rsidRDefault="006A455B" w:rsidP="006A455B">
            <w:pPr>
              <w:jc w:val="right"/>
              <w:rPr>
                <w:rFonts w:ascii="Arial" w:hAnsi="Arial" w:cs="Arial"/>
                <w:b/>
                <w:bCs/>
                <w:sz w:val="16"/>
                <w:szCs w:val="16"/>
                <w:lang w:eastAsia="es-AR"/>
              </w:rPr>
            </w:pPr>
            <w:r>
              <w:rPr>
                <w:rFonts w:ascii="Arial" w:hAnsi="Arial" w:cs="Arial"/>
                <w:b/>
                <w:bCs/>
                <w:sz w:val="16"/>
                <w:szCs w:val="16"/>
              </w:rPr>
              <w:t>441.528</w:t>
            </w:r>
          </w:p>
        </w:tc>
      </w:tr>
      <w:tr w:rsidR="006A455B" w:rsidRPr="001D595F" w14:paraId="6E94A637" w14:textId="77777777" w:rsidTr="006A455B">
        <w:trPr>
          <w:trHeight w:val="510"/>
        </w:trPr>
        <w:tc>
          <w:tcPr>
            <w:tcW w:w="6091" w:type="dxa"/>
            <w:tcBorders>
              <w:top w:val="nil"/>
              <w:left w:val="nil"/>
              <w:bottom w:val="nil"/>
              <w:right w:val="nil"/>
            </w:tcBorders>
            <w:shd w:val="clear" w:color="auto" w:fill="auto"/>
            <w:vAlign w:val="center"/>
            <w:hideMark/>
          </w:tcPr>
          <w:p w14:paraId="29F5120C" w14:textId="26F8793E" w:rsidR="006A455B" w:rsidRPr="001D595F" w:rsidRDefault="006A455B" w:rsidP="006A455B">
            <w:pPr>
              <w:rPr>
                <w:rFonts w:ascii="Arial" w:hAnsi="Arial" w:cs="Arial"/>
                <w:sz w:val="16"/>
                <w:szCs w:val="16"/>
                <w:lang w:eastAsia="es-AR"/>
              </w:rPr>
            </w:pPr>
            <w:r w:rsidRPr="001D595F">
              <w:rPr>
                <w:rFonts w:ascii="Arial" w:hAnsi="Arial" w:cs="Arial"/>
                <w:sz w:val="16"/>
                <w:szCs w:val="16"/>
                <w:lang w:eastAsia="es-AR"/>
              </w:rPr>
              <w:t xml:space="preserve">Revaluaciones del </w:t>
            </w:r>
            <w:r>
              <w:rPr>
                <w:rFonts w:ascii="Arial" w:hAnsi="Arial" w:cs="Arial"/>
                <w:sz w:val="16"/>
                <w:szCs w:val="16"/>
                <w:lang w:eastAsia="es-AR"/>
              </w:rPr>
              <w:t>ejercicio</w:t>
            </w:r>
            <w:r w:rsidRPr="001D595F">
              <w:rPr>
                <w:rFonts w:ascii="Arial" w:hAnsi="Arial" w:cs="Arial"/>
                <w:sz w:val="16"/>
                <w:szCs w:val="16"/>
                <w:lang w:eastAsia="es-AR"/>
              </w:rPr>
              <w:t xml:space="preserve"> de propiedad, planta y equipo e intangibles</w:t>
            </w:r>
          </w:p>
        </w:tc>
        <w:tc>
          <w:tcPr>
            <w:tcW w:w="992" w:type="dxa"/>
            <w:tcBorders>
              <w:top w:val="nil"/>
              <w:left w:val="nil"/>
              <w:bottom w:val="nil"/>
              <w:right w:val="nil"/>
            </w:tcBorders>
            <w:shd w:val="clear" w:color="auto" w:fill="auto"/>
            <w:noWrap/>
            <w:vAlign w:val="center"/>
          </w:tcPr>
          <w:p w14:paraId="2FDD9550" w14:textId="19BB7D2B" w:rsidR="006A455B" w:rsidRPr="00911787" w:rsidRDefault="006A455B" w:rsidP="006A455B">
            <w:pPr>
              <w:jc w:val="right"/>
              <w:rPr>
                <w:rFonts w:ascii="Arial" w:hAnsi="Arial" w:cs="Arial"/>
                <w:sz w:val="16"/>
                <w:szCs w:val="16"/>
                <w:lang w:eastAsia="es-AR"/>
              </w:rPr>
            </w:pPr>
            <w:r>
              <w:rPr>
                <w:rFonts w:ascii="Arial" w:hAnsi="Arial" w:cs="Arial"/>
                <w:sz w:val="16"/>
                <w:szCs w:val="16"/>
              </w:rPr>
              <w:t>598.67</w:t>
            </w:r>
            <w:r w:rsidR="00CC2DDE">
              <w:rPr>
                <w:rFonts w:ascii="Arial" w:hAnsi="Arial" w:cs="Arial"/>
                <w:sz w:val="16"/>
                <w:szCs w:val="16"/>
              </w:rPr>
              <w:t>3</w:t>
            </w:r>
          </w:p>
        </w:tc>
        <w:tc>
          <w:tcPr>
            <w:tcW w:w="992" w:type="dxa"/>
            <w:tcBorders>
              <w:top w:val="nil"/>
              <w:left w:val="nil"/>
              <w:bottom w:val="nil"/>
              <w:right w:val="nil"/>
            </w:tcBorders>
            <w:shd w:val="clear" w:color="auto" w:fill="auto"/>
            <w:noWrap/>
            <w:vAlign w:val="center"/>
          </w:tcPr>
          <w:p w14:paraId="76427523" w14:textId="62001AC1" w:rsidR="006A455B" w:rsidRPr="00911787" w:rsidRDefault="006A455B" w:rsidP="006A455B">
            <w:pPr>
              <w:jc w:val="right"/>
              <w:rPr>
                <w:rFonts w:ascii="Arial" w:hAnsi="Arial" w:cs="Arial"/>
                <w:sz w:val="16"/>
                <w:szCs w:val="16"/>
                <w:lang w:eastAsia="es-AR"/>
              </w:rPr>
            </w:pPr>
            <w:r>
              <w:rPr>
                <w:rFonts w:ascii="Arial" w:hAnsi="Arial" w:cs="Arial"/>
                <w:sz w:val="16"/>
                <w:szCs w:val="16"/>
              </w:rPr>
              <w:t>588.705</w:t>
            </w:r>
          </w:p>
        </w:tc>
      </w:tr>
      <w:tr w:rsidR="006A455B" w:rsidRPr="001D595F" w14:paraId="2C4089D6" w14:textId="77777777" w:rsidTr="006A455B">
        <w:trPr>
          <w:trHeight w:val="285"/>
        </w:trPr>
        <w:tc>
          <w:tcPr>
            <w:tcW w:w="6091" w:type="dxa"/>
            <w:tcBorders>
              <w:top w:val="nil"/>
              <w:left w:val="nil"/>
              <w:bottom w:val="nil"/>
              <w:right w:val="nil"/>
            </w:tcBorders>
            <w:shd w:val="clear" w:color="auto" w:fill="auto"/>
            <w:vAlign w:val="center"/>
            <w:hideMark/>
          </w:tcPr>
          <w:p w14:paraId="7F0A2A37" w14:textId="77777777" w:rsidR="006A455B" w:rsidRPr="001D595F" w:rsidRDefault="006A455B" w:rsidP="006A455B">
            <w:pPr>
              <w:rPr>
                <w:rFonts w:ascii="Arial" w:hAnsi="Arial" w:cs="Arial"/>
                <w:sz w:val="16"/>
                <w:szCs w:val="16"/>
                <w:lang w:eastAsia="es-AR"/>
              </w:rPr>
            </w:pPr>
            <w:r w:rsidRPr="001D595F">
              <w:rPr>
                <w:rFonts w:ascii="Arial" w:hAnsi="Arial" w:cs="Arial"/>
                <w:sz w:val="16"/>
                <w:szCs w:val="16"/>
                <w:lang w:eastAsia="es-AR"/>
              </w:rPr>
              <w:t>Impuesto a las ganancias</w:t>
            </w:r>
          </w:p>
        </w:tc>
        <w:tc>
          <w:tcPr>
            <w:tcW w:w="992" w:type="dxa"/>
            <w:tcBorders>
              <w:top w:val="nil"/>
              <w:left w:val="nil"/>
              <w:bottom w:val="nil"/>
              <w:right w:val="nil"/>
            </w:tcBorders>
            <w:shd w:val="clear" w:color="auto" w:fill="auto"/>
            <w:noWrap/>
            <w:vAlign w:val="center"/>
          </w:tcPr>
          <w:p w14:paraId="0C7B121D" w14:textId="0DFEE1B5" w:rsidR="006A455B" w:rsidRPr="00911787" w:rsidRDefault="006A455B" w:rsidP="006A455B">
            <w:pPr>
              <w:jc w:val="right"/>
              <w:rPr>
                <w:rFonts w:ascii="Arial" w:hAnsi="Arial" w:cs="Arial"/>
                <w:sz w:val="16"/>
                <w:szCs w:val="16"/>
                <w:lang w:eastAsia="es-AR"/>
              </w:rPr>
            </w:pPr>
            <w:r>
              <w:rPr>
                <w:rFonts w:ascii="Arial" w:hAnsi="Arial" w:cs="Arial"/>
                <w:sz w:val="16"/>
                <w:szCs w:val="16"/>
              </w:rPr>
              <w:t>-149.668</w:t>
            </w:r>
          </w:p>
        </w:tc>
        <w:tc>
          <w:tcPr>
            <w:tcW w:w="992" w:type="dxa"/>
            <w:tcBorders>
              <w:top w:val="nil"/>
              <w:left w:val="nil"/>
              <w:bottom w:val="nil"/>
              <w:right w:val="nil"/>
            </w:tcBorders>
            <w:shd w:val="clear" w:color="auto" w:fill="auto"/>
            <w:noWrap/>
            <w:vAlign w:val="center"/>
          </w:tcPr>
          <w:p w14:paraId="1210DED0" w14:textId="1869773D" w:rsidR="006A455B" w:rsidRPr="00911787" w:rsidRDefault="006A455B" w:rsidP="006A455B">
            <w:pPr>
              <w:jc w:val="right"/>
              <w:rPr>
                <w:rFonts w:ascii="Arial" w:hAnsi="Arial" w:cs="Arial"/>
                <w:sz w:val="16"/>
                <w:szCs w:val="16"/>
                <w:lang w:eastAsia="es-AR"/>
              </w:rPr>
            </w:pPr>
            <w:r>
              <w:rPr>
                <w:rFonts w:ascii="Arial" w:hAnsi="Arial" w:cs="Arial"/>
                <w:sz w:val="16"/>
                <w:szCs w:val="16"/>
              </w:rPr>
              <w:t>-147.177</w:t>
            </w:r>
          </w:p>
        </w:tc>
      </w:tr>
      <w:tr w:rsidR="006A455B" w:rsidRPr="001D595F" w14:paraId="473A280C" w14:textId="77777777" w:rsidTr="006A455B">
        <w:trPr>
          <w:trHeight w:val="527"/>
        </w:trPr>
        <w:tc>
          <w:tcPr>
            <w:tcW w:w="6091" w:type="dxa"/>
            <w:tcBorders>
              <w:top w:val="nil"/>
              <w:left w:val="nil"/>
              <w:bottom w:val="single" w:sz="4" w:space="0" w:color="auto"/>
              <w:right w:val="nil"/>
            </w:tcBorders>
            <w:shd w:val="clear" w:color="auto" w:fill="auto"/>
            <w:vAlign w:val="bottom"/>
            <w:hideMark/>
          </w:tcPr>
          <w:p w14:paraId="42F49A07" w14:textId="6FD50043" w:rsidR="006A455B" w:rsidRPr="001D595F" w:rsidRDefault="006A455B" w:rsidP="006A455B">
            <w:pPr>
              <w:rPr>
                <w:rFonts w:ascii="Arial" w:hAnsi="Arial" w:cs="Arial"/>
                <w:b/>
                <w:bCs/>
                <w:sz w:val="16"/>
                <w:szCs w:val="16"/>
                <w:lang w:eastAsia="es-AR"/>
              </w:rPr>
            </w:pPr>
            <w:r w:rsidRPr="001D595F">
              <w:rPr>
                <w:rFonts w:ascii="Arial" w:hAnsi="Arial" w:cs="Arial"/>
                <w:b/>
                <w:bCs/>
                <w:sz w:val="16"/>
                <w:szCs w:val="16"/>
                <w:lang w:eastAsia="es-AR"/>
              </w:rPr>
              <w:t>Ganancias o pérdidas por instrumentos de patrimonio a valor razonable con cambios en el ORI (Puntos 5.7.5</w:t>
            </w:r>
            <w:r w:rsidR="00AB7340">
              <w:rPr>
                <w:rFonts w:ascii="Arial" w:hAnsi="Arial" w:cs="Arial"/>
                <w:b/>
                <w:bCs/>
                <w:sz w:val="16"/>
                <w:szCs w:val="16"/>
                <w:lang w:eastAsia="es-AR"/>
              </w:rPr>
              <w:t xml:space="preserve"> </w:t>
            </w:r>
            <w:r w:rsidRPr="001D595F">
              <w:rPr>
                <w:rFonts w:ascii="Arial" w:hAnsi="Arial" w:cs="Arial"/>
                <w:b/>
                <w:bCs/>
                <w:sz w:val="16"/>
                <w:szCs w:val="16"/>
                <w:lang w:eastAsia="es-AR"/>
              </w:rPr>
              <w:t>de la NIIF 9)</w:t>
            </w:r>
          </w:p>
        </w:tc>
        <w:tc>
          <w:tcPr>
            <w:tcW w:w="992" w:type="dxa"/>
            <w:tcBorders>
              <w:top w:val="nil"/>
              <w:left w:val="nil"/>
              <w:bottom w:val="single" w:sz="4" w:space="0" w:color="auto"/>
              <w:right w:val="nil"/>
            </w:tcBorders>
            <w:shd w:val="clear" w:color="auto" w:fill="auto"/>
            <w:noWrap/>
            <w:vAlign w:val="center"/>
          </w:tcPr>
          <w:p w14:paraId="74FDC97A" w14:textId="6CCCDA11" w:rsidR="006A455B" w:rsidRPr="00911787" w:rsidRDefault="006A455B" w:rsidP="006A455B">
            <w:pPr>
              <w:jc w:val="right"/>
              <w:rPr>
                <w:rFonts w:ascii="Arial" w:hAnsi="Arial" w:cs="Arial"/>
                <w:b/>
                <w:bCs/>
                <w:sz w:val="16"/>
                <w:szCs w:val="16"/>
                <w:lang w:eastAsia="es-AR"/>
              </w:rPr>
            </w:pPr>
            <w:r>
              <w:rPr>
                <w:rFonts w:ascii="Arial" w:hAnsi="Arial" w:cs="Arial"/>
                <w:b/>
                <w:bCs/>
                <w:sz w:val="16"/>
                <w:szCs w:val="16"/>
              </w:rPr>
              <w:t>-13</w:t>
            </w:r>
          </w:p>
        </w:tc>
        <w:tc>
          <w:tcPr>
            <w:tcW w:w="992" w:type="dxa"/>
            <w:tcBorders>
              <w:top w:val="nil"/>
              <w:left w:val="nil"/>
              <w:bottom w:val="single" w:sz="4" w:space="0" w:color="auto"/>
              <w:right w:val="nil"/>
            </w:tcBorders>
            <w:shd w:val="clear" w:color="auto" w:fill="auto"/>
            <w:noWrap/>
            <w:vAlign w:val="center"/>
          </w:tcPr>
          <w:p w14:paraId="459A3042" w14:textId="004EACE6" w:rsidR="006A455B" w:rsidRPr="00911787" w:rsidRDefault="006A455B" w:rsidP="006A455B">
            <w:pPr>
              <w:jc w:val="right"/>
              <w:rPr>
                <w:rFonts w:ascii="Arial" w:hAnsi="Arial" w:cs="Arial"/>
                <w:b/>
                <w:bCs/>
                <w:sz w:val="16"/>
                <w:szCs w:val="16"/>
                <w:lang w:eastAsia="es-AR"/>
              </w:rPr>
            </w:pPr>
            <w:r>
              <w:rPr>
                <w:rFonts w:ascii="Arial" w:hAnsi="Arial" w:cs="Arial"/>
                <w:b/>
                <w:bCs/>
                <w:sz w:val="16"/>
                <w:szCs w:val="16"/>
              </w:rPr>
              <w:t>618</w:t>
            </w:r>
          </w:p>
        </w:tc>
      </w:tr>
      <w:tr w:rsidR="006A455B" w:rsidRPr="001D595F" w14:paraId="73A54B6A" w14:textId="77777777" w:rsidTr="006A455B">
        <w:trPr>
          <w:trHeight w:val="510"/>
        </w:trPr>
        <w:tc>
          <w:tcPr>
            <w:tcW w:w="6091" w:type="dxa"/>
            <w:tcBorders>
              <w:top w:val="nil"/>
              <w:left w:val="nil"/>
              <w:bottom w:val="nil"/>
              <w:right w:val="nil"/>
            </w:tcBorders>
            <w:shd w:val="clear" w:color="auto" w:fill="auto"/>
            <w:hideMark/>
          </w:tcPr>
          <w:p w14:paraId="1D1F268F" w14:textId="6085655D" w:rsidR="006A455B" w:rsidRPr="001D595F" w:rsidRDefault="006A455B" w:rsidP="006A455B">
            <w:pPr>
              <w:rPr>
                <w:rFonts w:ascii="Arial" w:hAnsi="Arial" w:cs="Arial"/>
                <w:sz w:val="16"/>
                <w:szCs w:val="16"/>
                <w:lang w:eastAsia="es-AR"/>
              </w:rPr>
            </w:pPr>
            <w:r w:rsidRPr="001D595F">
              <w:rPr>
                <w:rFonts w:ascii="Arial" w:hAnsi="Arial" w:cs="Arial"/>
                <w:sz w:val="16"/>
                <w:szCs w:val="16"/>
                <w:lang w:eastAsia="es-AR"/>
              </w:rPr>
              <w:t xml:space="preserve">Resultado del </w:t>
            </w:r>
            <w:r>
              <w:rPr>
                <w:rFonts w:ascii="Arial" w:hAnsi="Arial" w:cs="Arial"/>
                <w:sz w:val="16"/>
                <w:szCs w:val="16"/>
                <w:lang w:eastAsia="es-AR"/>
              </w:rPr>
              <w:t>ejercicio</w:t>
            </w:r>
            <w:r w:rsidRPr="001D595F">
              <w:rPr>
                <w:rFonts w:ascii="Arial" w:hAnsi="Arial" w:cs="Arial"/>
                <w:sz w:val="16"/>
                <w:szCs w:val="16"/>
                <w:lang w:eastAsia="es-AR"/>
              </w:rPr>
              <w:t xml:space="preserve"> por instrumentos de patrimonio a valor razonable con cambios en el ORI</w:t>
            </w:r>
          </w:p>
        </w:tc>
        <w:tc>
          <w:tcPr>
            <w:tcW w:w="992" w:type="dxa"/>
            <w:tcBorders>
              <w:top w:val="nil"/>
              <w:left w:val="nil"/>
              <w:bottom w:val="nil"/>
              <w:right w:val="nil"/>
            </w:tcBorders>
            <w:shd w:val="clear" w:color="auto" w:fill="auto"/>
            <w:noWrap/>
            <w:vAlign w:val="center"/>
          </w:tcPr>
          <w:p w14:paraId="6B8205E9" w14:textId="09C3557F" w:rsidR="006A455B" w:rsidRPr="00911787" w:rsidRDefault="006A455B" w:rsidP="006A455B">
            <w:pPr>
              <w:jc w:val="right"/>
              <w:rPr>
                <w:rFonts w:ascii="Arial" w:hAnsi="Arial" w:cs="Arial"/>
                <w:sz w:val="16"/>
                <w:szCs w:val="16"/>
                <w:lang w:eastAsia="es-AR"/>
              </w:rPr>
            </w:pPr>
            <w:r>
              <w:rPr>
                <w:rFonts w:ascii="Arial" w:hAnsi="Arial" w:cs="Arial"/>
                <w:sz w:val="16"/>
                <w:szCs w:val="16"/>
              </w:rPr>
              <w:t>-18</w:t>
            </w:r>
          </w:p>
        </w:tc>
        <w:tc>
          <w:tcPr>
            <w:tcW w:w="992" w:type="dxa"/>
            <w:tcBorders>
              <w:top w:val="nil"/>
              <w:left w:val="nil"/>
              <w:bottom w:val="nil"/>
              <w:right w:val="nil"/>
            </w:tcBorders>
            <w:shd w:val="clear" w:color="auto" w:fill="auto"/>
            <w:noWrap/>
            <w:vAlign w:val="center"/>
          </w:tcPr>
          <w:p w14:paraId="3A1285D7" w14:textId="24283A80" w:rsidR="006A455B" w:rsidRPr="00911787" w:rsidRDefault="006A455B" w:rsidP="006A455B">
            <w:pPr>
              <w:jc w:val="right"/>
              <w:rPr>
                <w:rFonts w:ascii="Arial" w:hAnsi="Arial" w:cs="Arial"/>
                <w:sz w:val="16"/>
                <w:szCs w:val="16"/>
                <w:lang w:eastAsia="es-AR"/>
              </w:rPr>
            </w:pPr>
            <w:r>
              <w:rPr>
                <w:rFonts w:ascii="Arial" w:hAnsi="Arial" w:cs="Arial"/>
                <w:sz w:val="16"/>
                <w:szCs w:val="16"/>
              </w:rPr>
              <w:t>883</w:t>
            </w:r>
          </w:p>
        </w:tc>
      </w:tr>
      <w:tr w:rsidR="006A455B" w:rsidRPr="001D595F" w14:paraId="45265A77" w14:textId="77777777" w:rsidTr="006A455B">
        <w:trPr>
          <w:trHeight w:val="285"/>
        </w:trPr>
        <w:tc>
          <w:tcPr>
            <w:tcW w:w="6091" w:type="dxa"/>
            <w:tcBorders>
              <w:top w:val="nil"/>
              <w:left w:val="nil"/>
              <w:bottom w:val="nil"/>
              <w:right w:val="nil"/>
            </w:tcBorders>
            <w:shd w:val="clear" w:color="auto" w:fill="auto"/>
            <w:hideMark/>
          </w:tcPr>
          <w:p w14:paraId="06BA521B" w14:textId="77777777" w:rsidR="006A455B" w:rsidRPr="001D595F" w:rsidRDefault="006A455B" w:rsidP="006A455B">
            <w:pPr>
              <w:rPr>
                <w:rFonts w:ascii="Arial" w:hAnsi="Arial" w:cs="Arial"/>
                <w:sz w:val="16"/>
                <w:szCs w:val="16"/>
                <w:lang w:eastAsia="es-AR"/>
              </w:rPr>
            </w:pPr>
            <w:r w:rsidRPr="001D595F">
              <w:rPr>
                <w:rFonts w:ascii="Arial" w:hAnsi="Arial" w:cs="Arial"/>
                <w:sz w:val="16"/>
                <w:szCs w:val="16"/>
                <w:lang w:eastAsia="es-AR"/>
              </w:rPr>
              <w:t>Impuesto a las ganancias</w:t>
            </w:r>
          </w:p>
        </w:tc>
        <w:tc>
          <w:tcPr>
            <w:tcW w:w="992" w:type="dxa"/>
            <w:tcBorders>
              <w:top w:val="nil"/>
              <w:left w:val="nil"/>
              <w:bottom w:val="nil"/>
              <w:right w:val="nil"/>
            </w:tcBorders>
            <w:shd w:val="clear" w:color="auto" w:fill="auto"/>
            <w:noWrap/>
            <w:vAlign w:val="center"/>
          </w:tcPr>
          <w:p w14:paraId="770AB8B4" w14:textId="754CF30F" w:rsidR="006A455B" w:rsidRPr="00911787" w:rsidRDefault="006A455B" w:rsidP="006A455B">
            <w:pPr>
              <w:jc w:val="right"/>
              <w:rPr>
                <w:rFonts w:ascii="Arial" w:hAnsi="Arial" w:cs="Arial"/>
                <w:sz w:val="16"/>
                <w:szCs w:val="16"/>
                <w:lang w:eastAsia="es-AR"/>
              </w:rPr>
            </w:pPr>
            <w:r>
              <w:rPr>
                <w:rFonts w:ascii="Arial" w:hAnsi="Arial" w:cs="Arial"/>
                <w:sz w:val="16"/>
                <w:szCs w:val="16"/>
              </w:rPr>
              <w:t>5</w:t>
            </w:r>
          </w:p>
        </w:tc>
        <w:tc>
          <w:tcPr>
            <w:tcW w:w="992" w:type="dxa"/>
            <w:tcBorders>
              <w:top w:val="nil"/>
              <w:left w:val="nil"/>
              <w:bottom w:val="nil"/>
              <w:right w:val="nil"/>
            </w:tcBorders>
            <w:shd w:val="clear" w:color="auto" w:fill="auto"/>
            <w:noWrap/>
            <w:vAlign w:val="center"/>
          </w:tcPr>
          <w:p w14:paraId="0DDF28A1" w14:textId="127CB6FB" w:rsidR="006A455B" w:rsidRPr="00911787" w:rsidRDefault="006A455B" w:rsidP="006A455B">
            <w:pPr>
              <w:jc w:val="right"/>
              <w:rPr>
                <w:rFonts w:ascii="Arial" w:hAnsi="Arial" w:cs="Arial"/>
                <w:sz w:val="16"/>
                <w:szCs w:val="16"/>
                <w:lang w:eastAsia="es-AR"/>
              </w:rPr>
            </w:pPr>
            <w:r>
              <w:rPr>
                <w:rFonts w:ascii="Arial" w:hAnsi="Arial" w:cs="Arial"/>
                <w:sz w:val="16"/>
                <w:szCs w:val="16"/>
              </w:rPr>
              <w:t>-265</w:t>
            </w:r>
          </w:p>
        </w:tc>
      </w:tr>
      <w:tr w:rsidR="006A455B" w:rsidRPr="001D595F" w14:paraId="105E4694" w14:textId="77777777" w:rsidTr="006A455B">
        <w:trPr>
          <w:trHeight w:val="403"/>
        </w:trPr>
        <w:tc>
          <w:tcPr>
            <w:tcW w:w="6091" w:type="dxa"/>
            <w:tcBorders>
              <w:top w:val="single" w:sz="4" w:space="0" w:color="auto"/>
              <w:left w:val="nil"/>
              <w:bottom w:val="nil"/>
              <w:right w:val="nil"/>
            </w:tcBorders>
            <w:shd w:val="clear" w:color="auto" w:fill="auto"/>
            <w:hideMark/>
          </w:tcPr>
          <w:p w14:paraId="6B6966FD" w14:textId="51140571" w:rsidR="006A455B" w:rsidRPr="001D595F" w:rsidRDefault="006A455B" w:rsidP="006A455B">
            <w:pPr>
              <w:rPr>
                <w:rFonts w:ascii="Arial" w:hAnsi="Arial" w:cs="Arial"/>
                <w:b/>
                <w:bCs/>
                <w:sz w:val="16"/>
                <w:szCs w:val="16"/>
                <w:lang w:eastAsia="es-AR"/>
              </w:rPr>
            </w:pPr>
            <w:r w:rsidRPr="001D595F">
              <w:rPr>
                <w:rFonts w:ascii="Arial" w:hAnsi="Arial" w:cs="Arial"/>
                <w:b/>
                <w:bCs/>
                <w:sz w:val="16"/>
                <w:szCs w:val="16"/>
                <w:lang w:eastAsia="es-AR"/>
              </w:rPr>
              <w:t xml:space="preserve">Total Otro Resultado Integral que no se reclasificará al resultado del </w:t>
            </w:r>
            <w:r>
              <w:rPr>
                <w:rFonts w:ascii="Arial" w:hAnsi="Arial" w:cs="Arial"/>
                <w:b/>
                <w:bCs/>
                <w:sz w:val="16"/>
                <w:szCs w:val="16"/>
                <w:lang w:eastAsia="es-AR"/>
              </w:rPr>
              <w:t>ejercicio</w:t>
            </w:r>
          </w:p>
        </w:tc>
        <w:tc>
          <w:tcPr>
            <w:tcW w:w="992" w:type="dxa"/>
            <w:tcBorders>
              <w:top w:val="single" w:sz="4" w:space="0" w:color="auto"/>
              <w:left w:val="nil"/>
              <w:bottom w:val="nil"/>
              <w:right w:val="nil"/>
            </w:tcBorders>
            <w:shd w:val="clear" w:color="auto" w:fill="auto"/>
            <w:noWrap/>
            <w:vAlign w:val="center"/>
          </w:tcPr>
          <w:p w14:paraId="2177D0D8" w14:textId="48BDAB78" w:rsidR="006A455B" w:rsidRPr="00911787" w:rsidRDefault="006A455B" w:rsidP="006A455B">
            <w:pPr>
              <w:jc w:val="right"/>
              <w:rPr>
                <w:rFonts w:ascii="Arial" w:hAnsi="Arial" w:cs="Arial"/>
                <w:b/>
                <w:bCs/>
                <w:sz w:val="16"/>
                <w:szCs w:val="16"/>
                <w:lang w:eastAsia="es-AR"/>
              </w:rPr>
            </w:pPr>
            <w:r>
              <w:rPr>
                <w:rFonts w:ascii="Arial" w:hAnsi="Arial" w:cs="Arial"/>
                <w:b/>
                <w:bCs/>
                <w:sz w:val="16"/>
                <w:szCs w:val="16"/>
              </w:rPr>
              <w:t>448.99</w:t>
            </w:r>
            <w:r w:rsidR="00CC2DDE">
              <w:rPr>
                <w:rFonts w:ascii="Arial" w:hAnsi="Arial" w:cs="Arial"/>
                <w:b/>
                <w:bCs/>
                <w:sz w:val="16"/>
                <w:szCs w:val="16"/>
              </w:rPr>
              <w:t>2</w:t>
            </w:r>
          </w:p>
        </w:tc>
        <w:tc>
          <w:tcPr>
            <w:tcW w:w="992" w:type="dxa"/>
            <w:tcBorders>
              <w:top w:val="single" w:sz="4" w:space="0" w:color="auto"/>
              <w:left w:val="nil"/>
              <w:bottom w:val="nil"/>
              <w:right w:val="nil"/>
            </w:tcBorders>
            <w:shd w:val="clear" w:color="auto" w:fill="auto"/>
            <w:noWrap/>
            <w:vAlign w:val="center"/>
          </w:tcPr>
          <w:p w14:paraId="184B007C" w14:textId="54D83817" w:rsidR="006A455B" w:rsidRPr="00911787" w:rsidRDefault="006A455B" w:rsidP="006A455B">
            <w:pPr>
              <w:jc w:val="right"/>
              <w:rPr>
                <w:rFonts w:ascii="Arial" w:hAnsi="Arial" w:cs="Arial"/>
                <w:b/>
                <w:bCs/>
                <w:sz w:val="16"/>
                <w:szCs w:val="16"/>
                <w:lang w:eastAsia="es-AR"/>
              </w:rPr>
            </w:pPr>
            <w:r>
              <w:rPr>
                <w:rFonts w:ascii="Arial" w:hAnsi="Arial" w:cs="Arial"/>
                <w:b/>
                <w:bCs/>
                <w:sz w:val="16"/>
                <w:szCs w:val="16"/>
              </w:rPr>
              <w:t>442.146</w:t>
            </w:r>
          </w:p>
        </w:tc>
      </w:tr>
      <w:tr w:rsidR="006A455B" w:rsidRPr="001D595F" w14:paraId="6375EA65" w14:textId="77777777" w:rsidTr="006A455B">
        <w:trPr>
          <w:trHeight w:val="135"/>
        </w:trPr>
        <w:tc>
          <w:tcPr>
            <w:tcW w:w="6091" w:type="dxa"/>
            <w:tcBorders>
              <w:top w:val="nil"/>
              <w:left w:val="nil"/>
              <w:bottom w:val="nil"/>
              <w:right w:val="nil"/>
            </w:tcBorders>
            <w:shd w:val="clear" w:color="auto" w:fill="auto"/>
            <w:hideMark/>
          </w:tcPr>
          <w:p w14:paraId="0BC651B8" w14:textId="77777777" w:rsidR="006A455B" w:rsidRPr="001D595F" w:rsidRDefault="006A455B" w:rsidP="006A455B">
            <w:pPr>
              <w:rPr>
                <w:rFonts w:ascii="Arial" w:hAnsi="Arial" w:cs="Arial"/>
                <w:b/>
                <w:bCs/>
                <w:sz w:val="16"/>
                <w:szCs w:val="16"/>
                <w:lang w:eastAsia="es-AR"/>
              </w:rPr>
            </w:pPr>
          </w:p>
        </w:tc>
        <w:tc>
          <w:tcPr>
            <w:tcW w:w="992" w:type="dxa"/>
            <w:tcBorders>
              <w:top w:val="nil"/>
              <w:left w:val="nil"/>
              <w:bottom w:val="nil"/>
              <w:right w:val="nil"/>
            </w:tcBorders>
            <w:shd w:val="clear" w:color="auto" w:fill="auto"/>
            <w:noWrap/>
            <w:vAlign w:val="center"/>
          </w:tcPr>
          <w:p w14:paraId="23E58E81" w14:textId="2B42FC96" w:rsidR="006A455B" w:rsidRPr="0049136B" w:rsidRDefault="006A455B" w:rsidP="006A455B">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center"/>
          </w:tcPr>
          <w:p w14:paraId="55777951" w14:textId="2A5D3B15" w:rsidR="006A455B" w:rsidRPr="0049136B" w:rsidRDefault="006A455B" w:rsidP="006A455B">
            <w:pPr>
              <w:jc w:val="right"/>
              <w:rPr>
                <w:rFonts w:ascii="Arial" w:hAnsi="Arial" w:cs="Arial"/>
                <w:sz w:val="16"/>
                <w:szCs w:val="16"/>
                <w:lang w:eastAsia="es-AR"/>
              </w:rPr>
            </w:pPr>
          </w:p>
        </w:tc>
      </w:tr>
      <w:tr w:rsidR="006A455B" w:rsidRPr="001D595F" w14:paraId="017EEFD8" w14:textId="77777777" w:rsidTr="006A455B">
        <w:trPr>
          <w:trHeight w:val="325"/>
        </w:trPr>
        <w:tc>
          <w:tcPr>
            <w:tcW w:w="6091" w:type="dxa"/>
            <w:tcBorders>
              <w:top w:val="nil"/>
              <w:left w:val="nil"/>
              <w:bottom w:val="nil"/>
              <w:right w:val="nil"/>
            </w:tcBorders>
            <w:shd w:val="clear" w:color="auto" w:fill="auto"/>
            <w:hideMark/>
          </w:tcPr>
          <w:p w14:paraId="3DAE19F4" w14:textId="0CE5A852" w:rsidR="006A455B" w:rsidRPr="001D595F" w:rsidRDefault="006A455B" w:rsidP="006A455B">
            <w:pPr>
              <w:rPr>
                <w:rFonts w:ascii="Arial" w:hAnsi="Arial" w:cs="Arial"/>
                <w:b/>
                <w:bCs/>
                <w:sz w:val="16"/>
                <w:szCs w:val="16"/>
                <w:lang w:eastAsia="es-AR"/>
              </w:rPr>
            </w:pPr>
            <w:r w:rsidRPr="001D595F">
              <w:rPr>
                <w:rFonts w:ascii="Arial" w:hAnsi="Arial" w:cs="Arial"/>
                <w:b/>
                <w:bCs/>
                <w:sz w:val="16"/>
                <w:szCs w:val="16"/>
                <w:lang w:eastAsia="es-AR"/>
              </w:rPr>
              <w:t xml:space="preserve">Componentes de Otro Resultado Integral que se reclasificarán al resultado del </w:t>
            </w:r>
            <w:r>
              <w:rPr>
                <w:rFonts w:ascii="Arial" w:hAnsi="Arial" w:cs="Arial"/>
                <w:b/>
                <w:bCs/>
                <w:sz w:val="16"/>
                <w:szCs w:val="16"/>
                <w:lang w:eastAsia="es-AR"/>
              </w:rPr>
              <w:t>ejercicio</w:t>
            </w:r>
          </w:p>
        </w:tc>
        <w:tc>
          <w:tcPr>
            <w:tcW w:w="992" w:type="dxa"/>
            <w:tcBorders>
              <w:top w:val="nil"/>
              <w:left w:val="nil"/>
              <w:bottom w:val="nil"/>
              <w:right w:val="nil"/>
            </w:tcBorders>
            <w:shd w:val="clear" w:color="auto" w:fill="auto"/>
            <w:noWrap/>
            <w:vAlign w:val="center"/>
          </w:tcPr>
          <w:p w14:paraId="5AA01E78" w14:textId="207EC2EE" w:rsidR="006A455B" w:rsidRPr="0049136B" w:rsidRDefault="006A455B" w:rsidP="006A455B">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center"/>
          </w:tcPr>
          <w:p w14:paraId="4905E069" w14:textId="6B9C2DFF" w:rsidR="006A455B" w:rsidRPr="0049136B" w:rsidRDefault="006A455B" w:rsidP="006A455B">
            <w:pPr>
              <w:jc w:val="right"/>
              <w:rPr>
                <w:rFonts w:ascii="Arial" w:hAnsi="Arial" w:cs="Arial"/>
                <w:sz w:val="16"/>
                <w:szCs w:val="16"/>
                <w:lang w:eastAsia="es-AR"/>
              </w:rPr>
            </w:pPr>
          </w:p>
        </w:tc>
      </w:tr>
      <w:tr w:rsidR="006A455B" w:rsidRPr="001D595F" w14:paraId="79A02193" w14:textId="77777777" w:rsidTr="006A455B">
        <w:trPr>
          <w:trHeight w:val="80"/>
        </w:trPr>
        <w:tc>
          <w:tcPr>
            <w:tcW w:w="6091" w:type="dxa"/>
            <w:tcBorders>
              <w:top w:val="nil"/>
              <w:left w:val="nil"/>
              <w:bottom w:val="nil"/>
              <w:right w:val="nil"/>
            </w:tcBorders>
            <w:shd w:val="clear" w:color="auto" w:fill="auto"/>
            <w:hideMark/>
          </w:tcPr>
          <w:p w14:paraId="7DC3E0D2" w14:textId="77777777" w:rsidR="006A455B" w:rsidRPr="001D595F" w:rsidRDefault="006A455B" w:rsidP="006A455B">
            <w:pPr>
              <w:rPr>
                <w:rFonts w:ascii="Arial" w:hAnsi="Arial" w:cs="Arial"/>
                <w:sz w:val="16"/>
                <w:szCs w:val="16"/>
                <w:lang w:eastAsia="es-AR"/>
              </w:rPr>
            </w:pPr>
          </w:p>
        </w:tc>
        <w:tc>
          <w:tcPr>
            <w:tcW w:w="992" w:type="dxa"/>
            <w:tcBorders>
              <w:top w:val="nil"/>
              <w:left w:val="nil"/>
              <w:bottom w:val="nil"/>
              <w:right w:val="nil"/>
            </w:tcBorders>
            <w:shd w:val="clear" w:color="auto" w:fill="auto"/>
            <w:noWrap/>
            <w:vAlign w:val="center"/>
          </w:tcPr>
          <w:p w14:paraId="2DAC1521" w14:textId="03282325" w:rsidR="006A455B" w:rsidRPr="0049136B" w:rsidRDefault="006A455B" w:rsidP="006A455B">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center"/>
          </w:tcPr>
          <w:p w14:paraId="2790D09F" w14:textId="74172343" w:rsidR="006A455B" w:rsidRPr="0049136B" w:rsidRDefault="006A455B" w:rsidP="006A455B">
            <w:pPr>
              <w:jc w:val="right"/>
              <w:rPr>
                <w:rFonts w:ascii="Arial" w:hAnsi="Arial" w:cs="Arial"/>
                <w:sz w:val="16"/>
                <w:szCs w:val="16"/>
                <w:lang w:eastAsia="es-AR"/>
              </w:rPr>
            </w:pPr>
          </w:p>
        </w:tc>
      </w:tr>
      <w:tr w:rsidR="006A455B" w:rsidRPr="001D595F" w14:paraId="1BC9C035" w14:textId="77777777" w:rsidTr="006A455B">
        <w:trPr>
          <w:trHeight w:val="491"/>
        </w:trPr>
        <w:tc>
          <w:tcPr>
            <w:tcW w:w="6091" w:type="dxa"/>
            <w:tcBorders>
              <w:top w:val="nil"/>
              <w:left w:val="nil"/>
              <w:bottom w:val="single" w:sz="4" w:space="0" w:color="auto"/>
              <w:right w:val="nil"/>
            </w:tcBorders>
            <w:shd w:val="clear" w:color="auto" w:fill="auto"/>
            <w:vAlign w:val="bottom"/>
            <w:hideMark/>
          </w:tcPr>
          <w:p w14:paraId="0F34FEFD" w14:textId="77777777" w:rsidR="006A455B" w:rsidRPr="001D595F" w:rsidRDefault="006A455B" w:rsidP="006A455B">
            <w:pPr>
              <w:rPr>
                <w:rFonts w:ascii="Arial" w:hAnsi="Arial" w:cs="Arial"/>
                <w:b/>
                <w:bCs/>
                <w:sz w:val="16"/>
                <w:szCs w:val="16"/>
                <w:lang w:eastAsia="es-AR"/>
              </w:rPr>
            </w:pPr>
            <w:r w:rsidRPr="001D595F">
              <w:rPr>
                <w:rFonts w:ascii="Arial" w:hAnsi="Arial" w:cs="Arial"/>
                <w:b/>
                <w:bCs/>
                <w:sz w:val="16"/>
                <w:szCs w:val="16"/>
                <w:lang w:eastAsia="es-AR"/>
              </w:rPr>
              <w:t>Ganancias o pérdidas por instrumentos financieros a valor razonable con cambios en el ORI (Punto 4.1.2a de la NIIF 9)</w:t>
            </w:r>
          </w:p>
        </w:tc>
        <w:tc>
          <w:tcPr>
            <w:tcW w:w="992" w:type="dxa"/>
            <w:tcBorders>
              <w:top w:val="nil"/>
              <w:left w:val="nil"/>
              <w:bottom w:val="single" w:sz="4" w:space="0" w:color="auto"/>
              <w:right w:val="nil"/>
            </w:tcBorders>
            <w:shd w:val="clear" w:color="auto" w:fill="auto"/>
            <w:noWrap/>
            <w:vAlign w:val="center"/>
          </w:tcPr>
          <w:p w14:paraId="2634EB92" w14:textId="2F67F40F" w:rsidR="006A455B" w:rsidRPr="0049136B" w:rsidRDefault="006A455B" w:rsidP="006A455B">
            <w:pPr>
              <w:jc w:val="right"/>
              <w:rPr>
                <w:rFonts w:ascii="Arial" w:hAnsi="Arial" w:cs="Arial"/>
                <w:b/>
                <w:bCs/>
                <w:sz w:val="16"/>
                <w:szCs w:val="16"/>
                <w:lang w:eastAsia="es-AR"/>
              </w:rPr>
            </w:pPr>
            <w:r>
              <w:rPr>
                <w:rFonts w:ascii="Arial" w:hAnsi="Arial" w:cs="Arial"/>
                <w:b/>
                <w:bCs/>
                <w:sz w:val="16"/>
                <w:szCs w:val="16"/>
              </w:rPr>
              <w:t>7.2</w:t>
            </w:r>
            <w:r w:rsidR="00CC2DDE">
              <w:rPr>
                <w:rFonts w:ascii="Arial" w:hAnsi="Arial" w:cs="Arial"/>
                <w:b/>
                <w:bCs/>
                <w:sz w:val="16"/>
                <w:szCs w:val="16"/>
              </w:rPr>
              <w:t>40</w:t>
            </w:r>
          </w:p>
        </w:tc>
        <w:tc>
          <w:tcPr>
            <w:tcW w:w="992" w:type="dxa"/>
            <w:tcBorders>
              <w:top w:val="nil"/>
              <w:left w:val="nil"/>
              <w:bottom w:val="single" w:sz="4" w:space="0" w:color="auto"/>
              <w:right w:val="nil"/>
            </w:tcBorders>
            <w:shd w:val="clear" w:color="auto" w:fill="auto"/>
            <w:noWrap/>
            <w:vAlign w:val="center"/>
          </w:tcPr>
          <w:p w14:paraId="03C4464E" w14:textId="655DA190" w:rsidR="006A455B" w:rsidRPr="0049136B" w:rsidRDefault="006A455B" w:rsidP="006A455B">
            <w:pPr>
              <w:jc w:val="right"/>
              <w:rPr>
                <w:rFonts w:ascii="Arial" w:hAnsi="Arial" w:cs="Arial"/>
                <w:b/>
                <w:bCs/>
                <w:sz w:val="16"/>
                <w:szCs w:val="16"/>
                <w:lang w:eastAsia="es-AR"/>
              </w:rPr>
            </w:pPr>
            <w:r>
              <w:rPr>
                <w:rFonts w:ascii="Arial" w:hAnsi="Arial" w:cs="Arial"/>
                <w:b/>
                <w:bCs/>
                <w:sz w:val="16"/>
                <w:szCs w:val="16"/>
              </w:rPr>
              <w:t>-</w:t>
            </w:r>
          </w:p>
        </w:tc>
      </w:tr>
      <w:tr w:rsidR="006A455B" w:rsidRPr="001D595F" w14:paraId="39D9D68A" w14:textId="77777777" w:rsidTr="006A455B">
        <w:trPr>
          <w:trHeight w:val="510"/>
        </w:trPr>
        <w:tc>
          <w:tcPr>
            <w:tcW w:w="6091" w:type="dxa"/>
            <w:tcBorders>
              <w:top w:val="nil"/>
              <w:left w:val="nil"/>
              <w:bottom w:val="nil"/>
              <w:right w:val="nil"/>
            </w:tcBorders>
            <w:shd w:val="clear" w:color="auto" w:fill="auto"/>
            <w:vAlign w:val="bottom"/>
            <w:hideMark/>
          </w:tcPr>
          <w:p w14:paraId="25DF68A1" w14:textId="513D609D" w:rsidR="006A455B" w:rsidRPr="001D595F" w:rsidRDefault="006A455B" w:rsidP="006A455B">
            <w:pPr>
              <w:rPr>
                <w:rFonts w:ascii="Arial" w:hAnsi="Arial" w:cs="Arial"/>
                <w:sz w:val="16"/>
                <w:szCs w:val="16"/>
                <w:lang w:eastAsia="es-AR"/>
              </w:rPr>
            </w:pPr>
            <w:r w:rsidRPr="001D595F">
              <w:rPr>
                <w:rFonts w:ascii="Arial" w:hAnsi="Arial" w:cs="Arial"/>
                <w:sz w:val="16"/>
                <w:szCs w:val="16"/>
                <w:lang w:eastAsia="es-AR"/>
              </w:rPr>
              <w:t xml:space="preserve">Resultado del </w:t>
            </w:r>
            <w:r>
              <w:rPr>
                <w:rFonts w:ascii="Arial" w:hAnsi="Arial" w:cs="Arial"/>
                <w:sz w:val="16"/>
                <w:szCs w:val="16"/>
                <w:lang w:eastAsia="es-AR"/>
              </w:rPr>
              <w:t>ejercicio</w:t>
            </w:r>
            <w:r w:rsidRPr="001D595F">
              <w:rPr>
                <w:rFonts w:ascii="Arial" w:hAnsi="Arial" w:cs="Arial"/>
                <w:sz w:val="16"/>
                <w:szCs w:val="16"/>
                <w:lang w:eastAsia="es-AR"/>
              </w:rPr>
              <w:t xml:space="preserve"> por instrumentos financieros a valor razonable con cambios en el ORI</w:t>
            </w:r>
          </w:p>
        </w:tc>
        <w:tc>
          <w:tcPr>
            <w:tcW w:w="992" w:type="dxa"/>
            <w:tcBorders>
              <w:top w:val="nil"/>
              <w:left w:val="nil"/>
              <w:bottom w:val="nil"/>
              <w:right w:val="nil"/>
            </w:tcBorders>
            <w:shd w:val="clear" w:color="auto" w:fill="auto"/>
            <w:noWrap/>
            <w:vAlign w:val="center"/>
          </w:tcPr>
          <w:p w14:paraId="0FDD95CD" w14:textId="53F62D8F" w:rsidR="006A455B" w:rsidRPr="0049136B" w:rsidRDefault="006A455B" w:rsidP="006A455B">
            <w:pPr>
              <w:jc w:val="right"/>
              <w:rPr>
                <w:rFonts w:ascii="Arial" w:hAnsi="Arial" w:cs="Arial"/>
                <w:sz w:val="16"/>
                <w:szCs w:val="16"/>
                <w:lang w:eastAsia="es-AR"/>
              </w:rPr>
            </w:pPr>
            <w:r>
              <w:rPr>
                <w:rFonts w:ascii="Arial" w:hAnsi="Arial" w:cs="Arial"/>
                <w:sz w:val="16"/>
                <w:szCs w:val="16"/>
              </w:rPr>
              <w:t>10.340</w:t>
            </w:r>
          </w:p>
        </w:tc>
        <w:tc>
          <w:tcPr>
            <w:tcW w:w="992" w:type="dxa"/>
            <w:tcBorders>
              <w:top w:val="nil"/>
              <w:left w:val="nil"/>
              <w:bottom w:val="nil"/>
              <w:right w:val="nil"/>
            </w:tcBorders>
            <w:shd w:val="clear" w:color="auto" w:fill="auto"/>
            <w:noWrap/>
            <w:vAlign w:val="center"/>
          </w:tcPr>
          <w:p w14:paraId="22052143" w14:textId="6B48864F" w:rsidR="006A455B" w:rsidRPr="0049136B" w:rsidRDefault="006A455B" w:rsidP="006A455B">
            <w:pPr>
              <w:jc w:val="right"/>
              <w:rPr>
                <w:rFonts w:ascii="Arial" w:hAnsi="Arial" w:cs="Arial"/>
                <w:sz w:val="16"/>
                <w:szCs w:val="16"/>
                <w:lang w:eastAsia="es-AR"/>
              </w:rPr>
            </w:pPr>
            <w:r>
              <w:rPr>
                <w:rFonts w:ascii="Arial" w:hAnsi="Arial" w:cs="Arial"/>
                <w:sz w:val="16"/>
                <w:szCs w:val="16"/>
              </w:rPr>
              <w:t>-</w:t>
            </w:r>
          </w:p>
        </w:tc>
      </w:tr>
      <w:tr w:rsidR="006A455B" w:rsidRPr="001D595F" w14:paraId="62E74C87" w14:textId="77777777" w:rsidTr="006A455B">
        <w:trPr>
          <w:trHeight w:val="285"/>
        </w:trPr>
        <w:tc>
          <w:tcPr>
            <w:tcW w:w="6091" w:type="dxa"/>
            <w:tcBorders>
              <w:top w:val="nil"/>
              <w:left w:val="nil"/>
              <w:bottom w:val="nil"/>
              <w:right w:val="nil"/>
            </w:tcBorders>
            <w:shd w:val="clear" w:color="auto" w:fill="auto"/>
            <w:hideMark/>
          </w:tcPr>
          <w:p w14:paraId="45ECFDF8" w14:textId="77777777" w:rsidR="006A455B" w:rsidRPr="001D595F" w:rsidRDefault="006A455B" w:rsidP="006A455B">
            <w:pPr>
              <w:rPr>
                <w:rFonts w:ascii="Arial" w:hAnsi="Arial" w:cs="Arial"/>
                <w:sz w:val="16"/>
                <w:szCs w:val="16"/>
                <w:lang w:eastAsia="es-AR"/>
              </w:rPr>
            </w:pPr>
            <w:r w:rsidRPr="001D595F">
              <w:rPr>
                <w:rFonts w:ascii="Arial" w:hAnsi="Arial" w:cs="Arial"/>
                <w:sz w:val="16"/>
                <w:szCs w:val="16"/>
                <w:lang w:eastAsia="es-AR"/>
              </w:rPr>
              <w:t>Impuesto a las ganancias</w:t>
            </w:r>
          </w:p>
        </w:tc>
        <w:tc>
          <w:tcPr>
            <w:tcW w:w="992" w:type="dxa"/>
            <w:tcBorders>
              <w:top w:val="nil"/>
              <w:left w:val="nil"/>
              <w:bottom w:val="nil"/>
              <w:right w:val="nil"/>
            </w:tcBorders>
            <w:shd w:val="clear" w:color="auto" w:fill="auto"/>
            <w:noWrap/>
            <w:vAlign w:val="center"/>
          </w:tcPr>
          <w:p w14:paraId="650E33BE" w14:textId="420AB8A5" w:rsidR="006A455B" w:rsidRPr="0049136B" w:rsidRDefault="006A455B" w:rsidP="006A455B">
            <w:pPr>
              <w:jc w:val="right"/>
              <w:rPr>
                <w:rFonts w:ascii="Arial" w:hAnsi="Arial" w:cs="Arial"/>
                <w:sz w:val="16"/>
                <w:szCs w:val="16"/>
                <w:lang w:eastAsia="es-AR"/>
              </w:rPr>
            </w:pPr>
            <w:r>
              <w:rPr>
                <w:rFonts w:ascii="Arial" w:hAnsi="Arial" w:cs="Arial"/>
                <w:sz w:val="16"/>
                <w:szCs w:val="16"/>
              </w:rPr>
              <w:t>-3.10</w:t>
            </w:r>
            <w:r w:rsidR="00CC2DDE">
              <w:rPr>
                <w:rFonts w:ascii="Arial" w:hAnsi="Arial" w:cs="Arial"/>
                <w:sz w:val="16"/>
                <w:szCs w:val="16"/>
              </w:rPr>
              <w:t>0</w:t>
            </w:r>
          </w:p>
        </w:tc>
        <w:tc>
          <w:tcPr>
            <w:tcW w:w="992" w:type="dxa"/>
            <w:tcBorders>
              <w:top w:val="nil"/>
              <w:left w:val="nil"/>
              <w:bottom w:val="nil"/>
              <w:right w:val="nil"/>
            </w:tcBorders>
            <w:shd w:val="clear" w:color="auto" w:fill="auto"/>
            <w:noWrap/>
            <w:vAlign w:val="center"/>
          </w:tcPr>
          <w:p w14:paraId="000F3816" w14:textId="5FDBF180" w:rsidR="006A455B" w:rsidRPr="0049136B" w:rsidRDefault="006A455B" w:rsidP="006A455B">
            <w:pPr>
              <w:jc w:val="right"/>
              <w:rPr>
                <w:rFonts w:ascii="Arial" w:hAnsi="Arial" w:cs="Arial"/>
                <w:sz w:val="16"/>
                <w:szCs w:val="16"/>
                <w:lang w:eastAsia="es-AR"/>
              </w:rPr>
            </w:pPr>
            <w:r>
              <w:rPr>
                <w:rFonts w:ascii="Arial" w:hAnsi="Arial" w:cs="Arial"/>
                <w:sz w:val="16"/>
                <w:szCs w:val="16"/>
              </w:rPr>
              <w:t>-</w:t>
            </w:r>
          </w:p>
        </w:tc>
      </w:tr>
      <w:tr w:rsidR="006A455B" w:rsidRPr="001D595F" w14:paraId="78B11430" w14:textId="77777777" w:rsidTr="006A455B">
        <w:trPr>
          <w:trHeight w:val="347"/>
        </w:trPr>
        <w:tc>
          <w:tcPr>
            <w:tcW w:w="6091" w:type="dxa"/>
            <w:tcBorders>
              <w:top w:val="single" w:sz="4" w:space="0" w:color="auto"/>
              <w:left w:val="nil"/>
              <w:bottom w:val="nil"/>
              <w:right w:val="nil"/>
            </w:tcBorders>
            <w:shd w:val="clear" w:color="auto" w:fill="auto"/>
            <w:hideMark/>
          </w:tcPr>
          <w:p w14:paraId="5E6FBB26" w14:textId="30259B73" w:rsidR="006A455B" w:rsidRPr="001D595F" w:rsidRDefault="006A455B" w:rsidP="006A455B">
            <w:pPr>
              <w:rPr>
                <w:rFonts w:ascii="Arial" w:hAnsi="Arial" w:cs="Arial"/>
                <w:b/>
                <w:bCs/>
                <w:sz w:val="16"/>
                <w:szCs w:val="16"/>
                <w:lang w:eastAsia="es-AR"/>
              </w:rPr>
            </w:pPr>
            <w:r w:rsidRPr="001D595F">
              <w:rPr>
                <w:rFonts w:ascii="Arial" w:hAnsi="Arial" w:cs="Arial"/>
                <w:b/>
                <w:bCs/>
                <w:sz w:val="16"/>
                <w:szCs w:val="16"/>
                <w:lang w:eastAsia="es-AR"/>
              </w:rPr>
              <w:t xml:space="preserve">Total Otro Resultado Integral que se reclasificará al resultado del </w:t>
            </w:r>
            <w:r>
              <w:rPr>
                <w:rFonts w:ascii="Arial" w:hAnsi="Arial" w:cs="Arial"/>
                <w:b/>
                <w:bCs/>
                <w:sz w:val="16"/>
                <w:szCs w:val="16"/>
                <w:lang w:eastAsia="es-AR"/>
              </w:rPr>
              <w:t>ejercicio</w:t>
            </w:r>
          </w:p>
        </w:tc>
        <w:tc>
          <w:tcPr>
            <w:tcW w:w="992" w:type="dxa"/>
            <w:tcBorders>
              <w:top w:val="single" w:sz="4" w:space="0" w:color="auto"/>
              <w:left w:val="nil"/>
              <w:bottom w:val="nil"/>
              <w:right w:val="nil"/>
            </w:tcBorders>
            <w:shd w:val="clear" w:color="auto" w:fill="auto"/>
            <w:noWrap/>
            <w:vAlign w:val="center"/>
          </w:tcPr>
          <w:p w14:paraId="7CB873E4" w14:textId="305A5993" w:rsidR="006A455B" w:rsidRPr="0049136B" w:rsidRDefault="006A455B" w:rsidP="006A455B">
            <w:pPr>
              <w:jc w:val="right"/>
              <w:rPr>
                <w:rFonts w:ascii="Arial" w:hAnsi="Arial" w:cs="Arial"/>
                <w:b/>
                <w:bCs/>
                <w:sz w:val="16"/>
                <w:szCs w:val="16"/>
                <w:lang w:eastAsia="es-AR"/>
              </w:rPr>
            </w:pPr>
            <w:r>
              <w:rPr>
                <w:rFonts w:ascii="Arial" w:hAnsi="Arial" w:cs="Arial"/>
                <w:b/>
                <w:bCs/>
                <w:sz w:val="16"/>
                <w:szCs w:val="16"/>
              </w:rPr>
              <w:t>7.2</w:t>
            </w:r>
            <w:r w:rsidR="00CC2DDE">
              <w:rPr>
                <w:rFonts w:ascii="Arial" w:hAnsi="Arial" w:cs="Arial"/>
                <w:b/>
                <w:bCs/>
                <w:sz w:val="16"/>
                <w:szCs w:val="16"/>
              </w:rPr>
              <w:t>40</w:t>
            </w:r>
          </w:p>
        </w:tc>
        <w:tc>
          <w:tcPr>
            <w:tcW w:w="992" w:type="dxa"/>
            <w:tcBorders>
              <w:top w:val="single" w:sz="4" w:space="0" w:color="auto"/>
              <w:left w:val="nil"/>
              <w:bottom w:val="nil"/>
              <w:right w:val="nil"/>
            </w:tcBorders>
            <w:shd w:val="clear" w:color="auto" w:fill="auto"/>
            <w:noWrap/>
            <w:vAlign w:val="center"/>
          </w:tcPr>
          <w:p w14:paraId="615799B8" w14:textId="2B3F1422" w:rsidR="006A455B" w:rsidRPr="0049136B" w:rsidRDefault="006A455B" w:rsidP="006A455B">
            <w:pPr>
              <w:jc w:val="right"/>
              <w:rPr>
                <w:rFonts w:ascii="Arial" w:hAnsi="Arial" w:cs="Arial"/>
                <w:b/>
                <w:bCs/>
                <w:sz w:val="16"/>
                <w:szCs w:val="16"/>
                <w:lang w:eastAsia="es-AR"/>
              </w:rPr>
            </w:pPr>
            <w:r>
              <w:rPr>
                <w:rFonts w:ascii="Arial" w:hAnsi="Arial" w:cs="Arial"/>
                <w:b/>
                <w:bCs/>
                <w:sz w:val="16"/>
                <w:szCs w:val="16"/>
              </w:rPr>
              <w:t>-</w:t>
            </w:r>
          </w:p>
        </w:tc>
      </w:tr>
      <w:tr w:rsidR="006A455B" w:rsidRPr="00D90557" w14:paraId="73006CAC" w14:textId="77777777" w:rsidTr="006A455B">
        <w:trPr>
          <w:trHeight w:val="80"/>
        </w:trPr>
        <w:tc>
          <w:tcPr>
            <w:tcW w:w="6091" w:type="dxa"/>
            <w:tcBorders>
              <w:top w:val="nil"/>
              <w:left w:val="nil"/>
              <w:bottom w:val="nil"/>
              <w:right w:val="nil"/>
            </w:tcBorders>
            <w:shd w:val="clear" w:color="auto" w:fill="auto"/>
            <w:hideMark/>
          </w:tcPr>
          <w:p w14:paraId="3C60684E" w14:textId="77777777" w:rsidR="006A455B" w:rsidRPr="00D90557" w:rsidRDefault="006A455B" w:rsidP="006A455B">
            <w:pPr>
              <w:rPr>
                <w:rFonts w:ascii="Arial" w:hAnsi="Arial" w:cs="Arial"/>
                <w:b/>
                <w:bCs/>
                <w:sz w:val="10"/>
                <w:szCs w:val="10"/>
                <w:lang w:eastAsia="es-AR"/>
              </w:rPr>
            </w:pPr>
          </w:p>
        </w:tc>
        <w:tc>
          <w:tcPr>
            <w:tcW w:w="992" w:type="dxa"/>
            <w:tcBorders>
              <w:top w:val="nil"/>
              <w:left w:val="nil"/>
              <w:bottom w:val="nil"/>
              <w:right w:val="nil"/>
            </w:tcBorders>
            <w:shd w:val="clear" w:color="auto" w:fill="auto"/>
            <w:noWrap/>
            <w:vAlign w:val="center"/>
          </w:tcPr>
          <w:p w14:paraId="295A4D9A" w14:textId="42C0457E" w:rsidR="006A455B" w:rsidRPr="00534414" w:rsidRDefault="006A455B" w:rsidP="006A455B">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center"/>
          </w:tcPr>
          <w:p w14:paraId="620B9FDB" w14:textId="531BDA8F" w:rsidR="006A455B" w:rsidRPr="00534414" w:rsidRDefault="006A455B" w:rsidP="006A455B">
            <w:pPr>
              <w:jc w:val="right"/>
              <w:rPr>
                <w:rFonts w:ascii="Arial" w:hAnsi="Arial" w:cs="Arial"/>
                <w:sz w:val="16"/>
                <w:szCs w:val="16"/>
                <w:lang w:eastAsia="es-AR"/>
              </w:rPr>
            </w:pPr>
          </w:p>
        </w:tc>
      </w:tr>
      <w:tr w:rsidR="006A455B" w:rsidRPr="001D595F" w14:paraId="04A946D2" w14:textId="77777777" w:rsidTr="006A455B">
        <w:trPr>
          <w:trHeight w:val="83"/>
        </w:trPr>
        <w:tc>
          <w:tcPr>
            <w:tcW w:w="6091" w:type="dxa"/>
            <w:tcBorders>
              <w:top w:val="single" w:sz="4" w:space="0" w:color="auto"/>
              <w:left w:val="nil"/>
              <w:bottom w:val="single" w:sz="4" w:space="0" w:color="auto"/>
              <w:right w:val="nil"/>
            </w:tcBorders>
            <w:shd w:val="clear" w:color="auto" w:fill="auto"/>
            <w:hideMark/>
          </w:tcPr>
          <w:p w14:paraId="7255F3B3" w14:textId="77777777" w:rsidR="006A455B" w:rsidRPr="001D595F" w:rsidRDefault="006A455B" w:rsidP="006A455B">
            <w:pPr>
              <w:rPr>
                <w:rFonts w:ascii="Arial" w:hAnsi="Arial" w:cs="Arial"/>
                <w:b/>
                <w:bCs/>
                <w:sz w:val="16"/>
                <w:szCs w:val="16"/>
                <w:lang w:eastAsia="es-AR"/>
              </w:rPr>
            </w:pPr>
            <w:r w:rsidRPr="001D595F">
              <w:rPr>
                <w:rFonts w:ascii="Arial" w:hAnsi="Arial" w:cs="Arial"/>
                <w:b/>
                <w:bCs/>
                <w:sz w:val="16"/>
                <w:szCs w:val="16"/>
                <w:lang w:eastAsia="es-AR"/>
              </w:rPr>
              <w:t>Total Otro Resultado Integral</w:t>
            </w:r>
          </w:p>
        </w:tc>
        <w:tc>
          <w:tcPr>
            <w:tcW w:w="992" w:type="dxa"/>
            <w:tcBorders>
              <w:top w:val="single" w:sz="4" w:space="0" w:color="auto"/>
              <w:left w:val="nil"/>
              <w:bottom w:val="single" w:sz="4" w:space="0" w:color="auto"/>
              <w:right w:val="nil"/>
            </w:tcBorders>
            <w:shd w:val="clear" w:color="auto" w:fill="auto"/>
            <w:noWrap/>
            <w:vAlign w:val="center"/>
          </w:tcPr>
          <w:p w14:paraId="15AF6A40" w14:textId="6523A834" w:rsidR="006A455B" w:rsidRPr="00911787" w:rsidRDefault="006A455B" w:rsidP="006A455B">
            <w:pPr>
              <w:jc w:val="right"/>
              <w:rPr>
                <w:rFonts w:ascii="Arial" w:hAnsi="Arial" w:cs="Arial"/>
                <w:b/>
                <w:bCs/>
                <w:sz w:val="16"/>
                <w:szCs w:val="16"/>
                <w:lang w:val="es-ES_tradnl" w:eastAsia="es-AR"/>
              </w:rPr>
            </w:pPr>
            <w:r>
              <w:rPr>
                <w:rFonts w:ascii="Arial" w:hAnsi="Arial" w:cs="Arial"/>
                <w:b/>
                <w:bCs/>
                <w:sz w:val="16"/>
                <w:szCs w:val="16"/>
              </w:rPr>
              <w:t>456.232</w:t>
            </w:r>
          </w:p>
        </w:tc>
        <w:tc>
          <w:tcPr>
            <w:tcW w:w="992" w:type="dxa"/>
            <w:tcBorders>
              <w:top w:val="single" w:sz="4" w:space="0" w:color="auto"/>
              <w:left w:val="nil"/>
              <w:bottom w:val="single" w:sz="4" w:space="0" w:color="auto"/>
              <w:right w:val="nil"/>
            </w:tcBorders>
            <w:shd w:val="clear" w:color="auto" w:fill="auto"/>
            <w:noWrap/>
            <w:vAlign w:val="center"/>
          </w:tcPr>
          <w:p w14:paraId="5E9E9439" w14:textId="0854DB14" w:rsidR="006A455B" w:rsidRPr="00911787" w:rsidRDefault="006A455B" w:rsidP="006A455B">
            <w:pPr>
              <w:jc w:val="right"/>
              <w:rPr>
                <w:rFonts w:ascii="Arial" w:hAnsi="Arial" w:cs="Arial"/>
                <w:b/>
                <w:bCs/>
                <w:sz w:val="16"/>
                <w:szCs w:val="16"/>
                <w:lang w:eastAsia="es-AR"/>
              </w:rPr>
            </w:pPr>
            <w:r>
              <w:rPr>
                <w:rFonts w:ascii="Arial" w:hAnsi="Arial" w:cs="Arial"/>
                <w:b/>
                <w:bCs/>
                <w:sz w:val="16"/>
                <w:szCs w:val="16"/>
              </w:rPr>
              <w:t>442.146</w:t>
            </w:r>
          </w:p>
        </w:tc>
      </w:tr>
      <w:tr w:rsidR="006A455B" w:rsidRPr="001D595F" w14:paraId="1CB45111" w14:textId="77777777" w:rsidTr="006A455B">
        <w:trPr>
          <w:trHeight w:val="164"/>
        </w:trPr>
        <w:tc>
          <w:tcPr>
            <w:tcW w:w="6091" w:type="dxa"/>
            <w:tcBorders>
              <w:top w:val="nil"/>
              <w:left w:val="nil"/>
              <w:bottom w:val="nil"/>
              <w:right w:val="nil"/>
            </w:tcBorders>
            <w:shd w:val="clear" w:color="auto" w:fill="auto"/>
            <w:hideMark/>
          </w:tcPr>
          <w:p w14:paraId="6D0EA048" w14:textId="77777777" w:rsidR="006A455B" w:rsidRPr="001D595F" w:rsidRDefault="006A455B" w:rsidP="006A455B">
            <w:pPr>
              <w:rPr>
                <w:rFonts w:ascii="Arial" w:hAnsi="Arial" w:cs="Arial"/>
                <w:b/>
                <w:bCs/>
                <w:sz w:val="16"/>
                <w:szCs w:val="16"/>
                <w:lang w:eastAsia="es-AR"/>
              </w:rPr>
            </w:pPr>
          </w:p>
        </w:tc>
        <w:tc>
          <w:tcPr>
            <w:tcW w:w="992" w:type="dxa"/>
            <w:tcBorders>
              <w:top w:val="nil"/>
              <w:left w:val="nil"/>
              <w:bottom w:val="nil"/>
              <w:right w:val="nil"/>
            </w:tcBorders>
            <w:shd w:val="clear" w:color="auto" w:fill="auto"/>
            <w:noWrap/>
            <w:vAlign w:val="center"/>
          </w:tcPr>
          <w:p w14:paraId="6B157DF0" w14:textId="78ACB06A" w:rsidR="006A455B" w:rsidRPr="0049136B" w:rsidRDefault="006A455B" w:rsidP="006A455B">
            <w:pPr>
              <w:jc w:val="right"/>
              <w:rPr>
                <w:rFonts w:ascii="Arial" w:hAnsi="Arial" w:cs="Arial"/>
                <w:sz w:val="16"/>
                <w:szCs w:val="16"/>
                <w:lang w:eastAsia="es-AR"/>
              </w:rPr>
            </w:pPr>
          </w:p>
        </w:tc>
        <w:tc>
          <w:tcPr>
            <w:tcW w:w="992" w:type="dxa"/>
            <w:tcBorders>
              <w:top w:val="nil"/>
              <w:left w:val="nil"/>
              <w:bottom w:val="nil"/>
              <w:right w:val="nil"/>
            </w:tcBorders>
            <w:shd w:val="clear" w:color="auto" w:fill="auto"/>
            <w:noWrap/>
            <w:vAlign w:val="center"/>
          </w:tcPr>
          <w:p w14:paraId="72114C98" w14:textId="4B3E870D" w:rsidR="006A455B" w:rsidRPr="0049136B" w:rsidRDefault="006A455B" w:rsidP="006A455B">
            <w:pPr>
              <w:jc w:val="right"/>
              <w:rPr>
                <w:rFonts w:ascii="Arial" w:hAnsi="Arial" w:cs="Arial"/>
                <w:sz w:val="16"/>
                <w:szCs w:val="16"/>
                <w:lang w:eastAsia="es-AR"/>
              </w:rPr>
            </w:pPr>
          </w:p>
        </w:tc>
      </w:tr>
      <w:tr w:rsidR="006A455B" w:rsidRPr="001D595F" w14:paraId="0193AB6B" w14:textId="77777777" w:rsidTr="006A455B">
        <w:trPr>
          <w:trHeight w:val="129"/>
        </w:trPr>
        <w:tc>
          <w:tcPr>
            <w:tcW w:w="6091" w:type="dxa"/>
            <w:tcBorders>
              <w:top w:val="single" w:sz="4" w:space="0" w:color="auto"/>
              <w:left w:val="nil"/>
              <w:bottom w:val="single" w:sz="4" w:space="0" w:color="auto"/>
              <w:right w:val="nil"/>
            </w:tcBorders>
            <w:shd w:val="clear" w:color="auto" w:fill="auto"/>
            <w:hideMark/>
          </w:tcPr>
          <w:p w14:paraId="4C96B7BE" w14:textId="77777777" w:rsidR="006A455B" w:rsidRPr="001D595F" w:rsidRDefault="006A455B" w:rsidP="006A455B">
            <w:pPr>
              <w:rPr>
                <w:rFonts w:ascii="Arial" w:hAnsi="Arial" w:cs="Arial"/>
                <w:b/>
                <w:bCs/>
                <w:sz w:val="16"/>
                <w:szCs w:val="16"/>
                <w:lang w:eastAsia="es-AR"/>
              </w:rPr>
            </w:pPr>
            <w:r w:rsidRPr="001D595F">
              <w:rPr>
                <w:rFonts w:ascii="Arial" w:hAnsi="Arial" w:cs="Arial"/>
                <w:b/>
                <w:bCs/>
                <w:sz w:val="16"/>
                <w:szCs w:val="16"/>
                <w:lang w:eastAsia="es-AR"/>
              </w:rPr>
              <w:t>RESULTADO INTEGRAL TOTAL</w:t>
            </w:r>
          </w:p>
        </w:tc>
        <w:tc>
          <w:tcPr>
            <w:tcW w:w="992" w:type="dxa"/>
            <w:tcBorders>
              <w:top w:val="single" w:sz="4" w:space="0" w:color="auto"/>
              <w:left w:val="nil"/>
              <w:bottom w:val="single" w:sz="4" w:space="0" w:color="auto"/>
              <w:right w:val="nil"/>
            </w:tcBorders>
            <w:shd w:val="clear" w:color="auto" w:fill="auto"/>
            <w:noWrap/>
            <w:vAlign w:val="center"/>
          </w:tcPr>
          <w:p w14:paraId="15C470E0" w14:textId="33C7517A" w:rsidR="006A455B" w:rsidRPr="00911787" w:rsidRDefault="006A455B" w:rsidP="006A455B">
            <w:pPr>
              <w:jc w:val="right"/>
              <w:rPr>
                <w:rFonts w:ascii="Arial" w:hAnsi="Arial" w:cs="Arial"/>
                <w:b/>
                <w:bCs/>
                <w:sz w:val="16"/>
                <w:szCs w:val="16"/>
                <w:lang w:val="es-ES_tradnl" w:eastAsia="es-AR"/>
              </w:rPr>
            </w:pPr>
            <w:r>
              <w:rPr>
                <w:rFonts w:ascii="Arial" w:hAnsi="Arial" w:cs="Arial"/>
                <w:b/>
                <w:bCs/>
                <w:sz w:val="16"/>
                <w:szCs w:val="16"/>
              </w:rPr>
              <w:t>3.76</w:t>
            </w:r>
            <w:r w:rsidR="00CC2DDE">
              <w:rPr>
                <w:rFonts w:ascii="Arial" w:hAnsi="Arial" w:cs="Arial"/>
                <w:b/>
                <w:bCs/>
                <w:sz w:val="16"/>
                <w:szCs w:val="16"/>
              </w:rPr>
              <w:t>4</w:t>
            </w:r>
            <w:r>
              <w:rPr>
                <w:rFonts w:ascii="Arial" w:hAnsi="Arial" w:cs="Arial"/>
                <w:b/>
                <w:bCs/>
                <w:sz w:val="16"/>
                <w:szCs w:val="16"/>
              </w:rPr>
              <w:t>.</w:t>
            </w:r>
            <w:r w:rsidR="00CC2DDE">
              <w:rPr>
                <w:rFonts w:ascii="Arial" w:hAnsi="Arial" w:cs="Arial"/>
                <w:b/>
                <w:bCs/>
                <w:sz w:val="16"/>
                <w:szCs w:val="16"/>
              </w:rPr>
              <w:t>559</w:t>
            </w:r>
          </w:p>
        </w:tc>
        <w:tc>
          <w:tcPr>
            <w:tcW w:w="992" w:type="dxa"/>
            <w:tcBorders>
              <w:top w:val="single" w:sz="4" w:space="0" w:color="auto"/>
              <w:left w:val="nil"/>
              <w:bottom w:val="single" w:sz="4" w:space="0" w:color="auto"/>
              <w:right w:val="nil"/>
            </w:tcBorders>
            <w:shd w:val="clear" w:color="auto" w:fill="auto"/>
            <w:noWrap/>
            <w:vAlign w:val="center"/>
          </w:tcPr>
          <w:p w14:paraId="07451DC4" w14:textId="58BA91A7" w:rsidR="006A455B" w:rsidRPr="00911787" w:rsidRDefault="006A455B" w:rsidP="006A455B">
            <w:pPr>
              <w:jc w:val="right"/>
              <w:rPr>
                <w:rFonts w:ascii="Arial" w:hAnsi="Arial" w:cs="Arial"/>
                <w:b/>
                <w:bCs/>
                <w:sz w:val="16"/>
                <w:szCs w:val="16"/>
                <w:lang w:eastAsia="es-AR"/>
              </w:rPr>
            </w:pPr>
            <w:r>
              <w:rPr>
                <w:rFonts w:ascii="Arial" w:hAnsi="Arial" w:cs="Arial"/>
                <w:b/>
                <w:bCs/>
                <w:sz w:val="16"/>
                <w:szCs w:val="16"/>
              </w:rPr>
              <w:t>2.105.383</w:t>
            </w:r>
          </w:p>
        </w:tc>
      </w:tr>
      <w:tr w:rsidR="006A455B" w:rsidRPr="001D595F" w14:paraId="0086D69F" w14:textId="77777777" w:rsidTr="006A455B">
        <w:trPr>
          <w:trHeight w:val="288"/>
        </w:trPr>
        <w:tc>
          <w:tcPr>
            <w:tcW w:w="6091" w:type="dxa"/>
            <w:tcBorders>
              <w:top w:val="nil"/>
              <w:left w:val="nil"/>
              <w:bottom w:val="nil"/>
              <w:right w:val="nil"/>
            </w:tcBorders>
            <w:shd w:val="clear" w:color="auto" w:fill="auto"/>
            <w:vAlign w:val="center"/>
            <w:hideMark/>
          </w:tcPr>
          <w:p w14:paraId="1923D8BA" w14:textId="77777777" w:rsidR="006A455B" w:rsidRPr="001D595F" w:rsidRDefault="006A455B" w:rsidP="006A455B">
            <w:pPr>
              <w:rPr>
                <w:rFonts w:ascii="Arial" w:hAnsi="Arial" w:cs="Arial"/>
                <w:sz w:val="16"/>
                <w:szCs w:val="16"/>
                <w:lang w:eastAsia="es-AR"/>
              </w:rPr>
            </w:pPr>
            <w:r w:rsidRPr="001D595F">
              <w:rPr>
                <w:rFonts w:ascii="Arial" w:hAnsi="Arial" w:cs="Arial"/>
                <w:sz w:val="16"/>
                <w:szCs w:val="16"/>
                <w:lang w:eastAsia="es-AR"/>
              </w:rPr>
              <w:t>Resultado integral total atribuible a los propietarios de la controladora</w:t>
            </w:r>
          </w:p>
        </w:tc>
        <w:tc>
          <w:tcPr>
            <w:tcW w:w="992" w:type="dxa"/>
            <w:tcBorders>
              <w:top w:val="nil"/>
              <w:left w:val="nil"/>
              <w:bottom w:val="nil"/>
              <w:right w:val="nil"/>
            </w:tcBorders>
            <w:shd w:val="clear" w:color="auto" w:fill="auto"/>
            <w:noWrap/>
            <w:vAlign w:val="center"/>
          </w:tcPr>
          <w:p w14:paraId="5BE35164" w14:textId="4DD75650" w:rsidR="006A455B" w:rsidRPr="00911787" w:rsidRDefault="006A455B" w:rsidP="006A455B">
            <w:pPr>
              <w:jc w:val="right"/>
              <w:rPr>
                <w:rFonts w:ascii="Arial" w:hAnsi="Arial" w:cs="Arial"/>
                <w:sz w:val="16"/>
                <w:szCs w:val="16"/>
                <w:lang w:eastAsia="es-AR"/>
              </w:rPr>
            </w:pPr>
            <w:r>
              <w:rPr>
                <w:rFonts w:ascii="Arial" w:hAnsi="Arial" w:cs="Arial"/>
                <w:sz w:val="16"/>
                <w:szCs w:val="16"/>
              </w:rPr>
              <w:t>3.7</w:t>
            </w:r>
            <w:r w:rsidR="00CC2DDE">
              <w:rPr>
                <w:rFonts w:ascii="Arial" w:hAnsi="Arial" w:cs="Arial"/>
                <w:sz w:val="16"/>
                <w:szCs w:val="16"/>
              </w:rPr>
              <w:t>76</w:t>
            </w:r>
            <w:r>
              <w:rPr>
                <w:rFonts w:ascii="Arial" w:hAnsi="Arial" w:cs="Arial"/>
                <w:sz w:val="16"/>
                <w:szCs w:val="16"/>
              </w:rPr>
              <w:t>.</w:t>
            </w:r>
            <w:r w:rsidR="00CC2DDE">
              <w:rPr>
                <w:rFonts w:ascii="Arial" w:hAnsi="Arial" w:cs="Arial"/>
                <w:sz w:val="16"/>
                <w:szCs w:val="16"/>
              </w:rPr>
              <w:t>648</w:t>
            </w:r>
          </w:p>
        </w:tc>
        <w:tc>
          <w:tcPr>
            <w:tcW w:w="992" w:type="dxa"/>
            <w:tcBorders>
              <w:top w:val="nil"/>
              <w:left w:val="nil"/>
              <w:bottom w:val="nil"/>
              <w:right w:val="nil"/>
            </w:tcBorders>
            <w:shd w:val="clear" w:color="auto" w:fill="auto"/>
            <w:noWrap/>
            <w:vAlign w:val="center"/>
          </w:tcPr>
          <w:p w14:paraId="7C69C3BB" w14:textId="2F29D4B3" w:rsidR="006A455B" w:rsidRPr="00911787" w:rsidRDefault="006A455B" w:rsidP="006A455B">
            <w:pPr>
              <w:jc w:val="right"/>
              <w:rPr>
                <w:rFonts w:ascii="Arial" w:hAnsi="Arial" w:cs="Arial"/>
                <w:sz w:val="16"/>
                <w:szCs w:val="16"/>
                <w:lang w:eastAsia="es-AR"/>
              </w:rPr>
            </w:pPr>
            <w:r>
              <w:rPr>
                <w:rFonts w:ascii="Arial" w:hAnsi="Arial" w:cs="Arial"/>
                <w:sz w:val="16"/>
                <w:szCs w:val="16"/>
              </w:rPr>
              <w:t>2.112.661</w:t>
            </w:r>
          </w:p>
        </w:tc>
      </w:tr>
      <w:tr w:rsidR="006A455B" w:rsidRPr="001D595F" w14:paraId="61FC0DDB" w14:textId="77777777" w:rsidTr="006A455B">
        <w:trPr>
          <w:trHeight w:val="275"/>
        </w:trPr>
        <w:tc>
          <w:tcPr>
            <w:tcW w:w="6091" w:type="dxa"/>
            <w:tcBorders>
              <w:top w:val="nil"/>
              <w:left w:val="nil"/>
              <w:bottom w:val="nil"/>
              <w:right w:val="nil"/>
            </w:tcBorders>
            <w:shd w:val="clear" w:color="auto" w:fill="auto"/>
            <w:vAlign w:val="center"/>
            <w:hideMark/>
          </w:tcPr>
          <w:p w14:paraId="4FE444A3" w14:textId="77777777" w:rsidR="006A455B" w:rsidRPr="001D595F" w:rsidRDefault="006A455B" w:rsidP="006A455B">
            <w:pPr>
              <w:rPr>
                <w:rFonts w:ascii="Arial" w:hAnsi="Arial" w:cs="Arial"/>
                <w:sz w:val="16"/>
                <w:szCs w:val="16"/>
                <w:lang w:eastAsia="es-AR"/>
              </w:rPr>
            </w:pPr>
            <w:r w:rsidRPr="001D595F">
              <w:rPr>
                <w:rFonts w:ascii="Arial" w:hAnsi="Arial" w:cs="Arial"/>
                <w:sz w:val="16"/>
                <w:szCs w:val="16"/>
                <w:lang w:eastAsia="es-AR"/>
              </w:rPr>
              <w:t>Resultado integral total atribuible a participaciones no controladoras</w:t>
            </w:r>
          </w:p>
        </w:tc>
        <w:tc>
          <w:tcPr>
            <w:tcW w:w="992" w:type="dxa"/>
            <w:tcBorders>
              <w:top w:val="nil"/>
              <w:left w:val="nil"/>
              <w:bottom w:val="nil"/>
              <w:right w:val="nil"/>
            </w:tcBorders>
            <w:shd w:val="clear" w:color="auto" w:fill="auto"/>
            <w:noWrap/>
            <w:vAlign w:val="center"/>
          </w:tcPr>
          <w:p w14:paraId="10568863" w14:textId="0FDE4BBF" w:rsidR="006A455B" w:rsidRPr="00911787" w:rsidRDefault="006A455B" w:rsidP="006A455B">
            <w:pPr>
              <w:jc w:val="right"/>
              <w:rPr>
                <w:rFonts w:ascii="Arial" w:hAnsi="Arial" w:cs="Arial"/>
                <w:sz w:val="16"/>
                <w:szCs w:val="16"/>
                <w:lang w:eastAsia="es-AR"/>
              </w:rPr>
            </w:pPr>
            <w:r>
              <w:rPr>
                <w:rFonts w:ascii="Arial" w:hAnsi="Arial" w:cs="Arial"/>
                <w:sz w:val="16"/>
                <w:szCs w:val="16"/>
              </w:rPr>
              <w:t>-12.089</w:t>
            </w:r>
          </w:p>
        </w:tc>
        <w:tc>
          <w:tcPr>
            <w:tcW w:w="992" w:type="dxa"/>
            <w:tcBorders>
              <w:top w:val="nil"/>
              <w:left w:val="nil"/>
              <w:bottom w:val="nil"/>
              <w:right w:val="nil"/>
            </w:tcBorders>
            <w:shd w:val="clear" w:color="auto" w:fill="auto"/>
            <w:noWrap/>
            <w:vAlign w:val="center"/>
          </w:tcPr>
          <w:p w14:paraId="3BDB2A8C" w14:textId="6FC33A1B" w:rsidR="006A455B" w:rsidRPr="00911787" w:rsidRDefault="006A455B" w:rsidP="006A455B">
            <w:pPr>
              <w:jc w:val="right"/>
              <w:rPr>
                <w:rFonts w:ascii="Arial" w:hAnsi="Arial" w:cs="Arial"/>
                <w:sz w:val="16"/>
                <w:szCs w:val="16"/>
                <w:lang w:eastAsia="es-AR"/>
              </w:rPr>
            </w:pPr>
            <w:r>
              <w:rPr>
                <w:rFonts w:ascii="Arial" w:hAnsi="Arial" w:cs="Arial"/>
                <w:sz w:val="16"/>
                <w:szCs w:val="16"/>
              </w:rPr>
              <w:t>-7.278</w:t>
            </w:r>
          </w:p>
        </w:tc>
      </w:tr>
      <w:bookmarkEnd w:id="2"/>
    </w:tbl>
    <w:p w14:paraId="7D419EE1" w14:textId="68089F39" w:rsidR="00197CA1" w:rsidRPr="00701F32" w:rsidRDefault="00197CA1" w:rsidP="00DD6441">
      <w:pPr>
        <w:jc w:val="center"/>
        <w:rPr>
          <w:rFonts w:ascii="Arial" w:hAnsi="Arial" w:cs="Arial"/>
          <w:szCs w:val="24"/>
        </w:rPr>
      </w:pPr>
    </w:p>
    <w:p w14:paraId="64087AAA" w14:textId="77777777" w:rsidR="00276790" w:rsidRPr="00701F32" w:rsidRDefault="00276790" w:rsidP="000C455E">
      <w:pPr>
        <w:rPr>
          <w:rFonts w:ascii="Arial" w:hAnsi="Arial" w:cs="Arial"/>
          <w:szCs w:val="24"/>
        </w:rPr>
        <w:sectPr w:rsidR="00276790" w:rsidRPr="00701F32" w:rsidSect="00050353">
          <w:headerReference w:type="default" r:id="rId13"/>
          <w:pgSz w:w="11907" w:h="16839" w:code="9"/>
          <w:pgMar w:top="1418" w:right="1701" w:bottom="1418" w:left="1701" w:header="567" w:footer="0" w:gutter="0"/>
          <w:paperSrc w:first="15" w:other="15"/>
          <w:pgNumType w:chapStyle="1"/>
          <w:cols w:space="720"/>
          <w:docGrid w:linePitch="326"/>
        </w:sectPr>
      </w:pPr>
    </w:p>
    <w:tbl>
      <w:tblPr>
        <w:tblW w:w="14245" w:type="dxa"/>
        <w:tblInd w:w="-65" w:type="dxa"/>
        <w:tblCellMar>
          <w:left w:w="0" w:type="dxa"/>
          <w:right w:w="0" w:type="dxa"/>
        </w:tblCellMar>
        <w:tblLook w:val="04A0" w:firstRow="1" w:lastRow="0" w:firstColumn="1" w:lastColumn="0" w:noHBand="0" w:noVBand="1"/>
      </w:tblPr>
      <w:tblGrid>
        <w:gridCol w:w="3514"/>
        <w:gridCol w:w="322"/>
        <w:gridCol w:w="929"/>
        <w:gridCol w:w="1214"/>
        <w:gridCol w:w="767"/>
        <w:gridCol w:w="1023"/>
        <w:gridCol w:w="760"/>
        <w:gridCol w:w="915"/>
        <w:gridCol w:w="1025"/>
        <w:gridCol w:w="1302"/>
        <w:gridCol w:w="1339"/>
        <w:gridCol w:w="1135"/>
      </w:tblGrid>
      <w:tr w:rsidR="00133704" w:rsidRPr="00133704" w14:paraId="79EE489B" w14:textId="77777777" w:rsidTr="00133704">
        <w:tc>
          <w:tcPr>
            <w:tcW w:w="3514"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188FD218" w14:textId="77777777" w:rsidR="00686F14" w:rsidRPr="00133704" w:rsidRDefault="00686F14">
            <w:pPr>
              <w:jc w:val="center"/>
              <w:rPr>
                <w:rFonts w:ascii="Arial" w:hAnsi="Arial" w:cs="Arial"/>
                <w:b/>
                <w:bCs/>
                <w:sz w:val="14"/>
                <w:szCs w:val="14"/>
                <w:lang w:eastAsia="es-AR"/>
              </w:rPr>
            </w:pPr>
            <w:bookmarkStart w:id="3" w:name="OLE_LINK3"/>
            <w:bookmarkStart w:id="4" w:name="OLE_LINK6"/>
            <w:r w:rsidRPr="00133704">
              <w:rPr>
                <w:rFonts w:ascii="Arial" w:hAnsi="Arial" w:cs="Arial"/>
                <w:b/>
                <w:bCs/>
                <w:sz w:val="14"/>
                <w:szCs w:val="14"/>
              </w:rPr>
              <w:t>Movimientos</w:t>
            </w:r>
          </w:p>
        </w:tc>
        <w:tc>
          <w:tcPr>
            <w:tcW w:w="0" w:type="auto"/>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607B984A" w14:textId="77777777" w:rsidR="00686F14" w:rsidRPr="00133704" w:rsidRDefault="00686F14">
            <w:pPr>
              <w:jc w:val="center"/>
              <w:rPr>
                <w:rFonts w:ascii="Arial" w:hAnsi="Arial" w:cs="Arial"/>
                <w:b/>
                <w:bCs/>
                <w:sz w:val="14"/>
                <w:szCs w:val="14"/>
              </w:rPr>
            </w:pPr>
            <w:r w:rsidRPr="00133704">
              <w:rPr>
                <w:rFonts w:ascii="Arial" w:hAnsi="Arial" w:cs="Arial"/>
                <w:b/>
                <w:bCs/>
                <w:sz w:val="14"/>
                <w:szCs w:val="14"/>
              </w:rPr>
              <w:t>Nota</w:t>
            </w:r>
          </w:p>
        </w:tc>
        <w:tc>
          <w:tcPr>
            <w:tcW w:w="0" w:type="auto"/>
            <w:tcBorders>
              <w:top w:val="single" w:sz="4" w:space="0" w:color="363639"/>
              <w:left w:val="nil"/>
              <w:bottom w:val="single" w:sz="4" w:space="0" w:color="363639"/>
              <w:right w:val="single" w:sz="4" w:space="0" w:color="363639"/>
            </w:tcBorders>
            <w:shd w:val="clear" w:color="auto" w:fill="BFBFBF" w:themeFill="background1" w:themeFillShade="BF"/>
            <w:noWrap/>
            <w:vAlign w:val="center"/>
            <w:hideMark/>
          </w:tcPr>
          <w:p w14:paraId="6A755168" w14:textId="77777777" w:rsidR="00686F14" w:rsidRPr="00133704" w:rsidRDefault="00686F14">
            <w:pPr>
              <w:jc w:val="center"/>
              <w:rPr>
                <w:rFonts w:ascii="Arial" w:hAnsi="Arial" w:cs="Arial"/>
                <w:b/>
                <w:bCs/>
                <w:sz w:val="14"/>
                <w:szCs w:val="14"/>
              </w:rPr>
            </w:pPr>
            <w:r w:rsidRPr="00133704">
              <w:rPr>
                <w:rFonts w:ascii="Arial" w:hAnsi="Arial" w:cs="Arial"/>
                <w:b/>
                <w:bCs/>
                <w:sz w:val="14"/>
                <w:szCs w:val="14"/>
              </w:rPr>
              <w:t>Capital Social</w:t>
            </w:r>
          </w:p>
        </w:tc>
        <w:tc>
          <w:tcPr>
            <w:tcW w:w="0" w:type="auto"/>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6DC1F911" w14:textId="77777777" w:rsidR="00686F14" w:rsidRPr="00133704" w:rsidRDefault="00686F14" w:rsidP="00534414">
            <w:pPr>
              <w:jc w:val="center"/>
              <w:rPr>
                <w:rFonts w:ascii="Arial" w:hAnsi="Arial" w:cs="Arial"/>
                <w:b/>
                <w:bCs/>
                <w:sz w:val="14"/>
                <w:szCs w:val="14"/>
              </w:rPr>
            </w:pPr>
            <w:r w:rsidRPr="00133704">
              <w:rPr>
                <w:rFonts w:ascii="Arial" w:hAnsi="Arial" w:cs="Arial"/>
                <w:b/>
                <w:bCs/>
                <w:sz w:val="14"/>
                <w:szCs w:val="14"/>
              </w:rPr>
              <w:t>Aportes no capitalizados</w:t>
            </w:r>
          </w:p>
        </w:tc>
        <w:tc>
          <w:tcPr>
            <w:tcW w:w="0" w:type="auto"/>
            <w:gridSpan w:val="2"/>
            <w:tcBorders>
              <w:top w:val="single" w:sz="4" w:space="0" w:color="363639"/>
              <w:left w:val="single" w:sz="4" w:space="0" w:color="363639"/>
              <w:bottom w:val="single" w:sz="4" w:space="0" w:color="363639"/>
              <w:right w:val="nil"/>
            </w:tcBorders>
            <w:shd w:val="clear" w:color="auto" w:fill="BFBFBF" w:themeFill="background1" w:themeFillShade="BF"/>
            <w:vAlign w:val="center"/>
            <w:hideMark/>
          </w:tcPr>
          <w:p w14:paraId="4ECB1B09" w14:textId="006D1479" w:rsidR="00686F14" w:rsidRPr="00133704" w:rsidRDefault="00686F14" w:rsidP="00534414">
            <w:pPr>
              <w:jc w:val="center"/>
              <w:rPr>
                <w:rFonts w:ascii="Arial" w:hAnsi="Arial" w:cs="Arial"/>
                <w:b/>
                <w:bCs/>
                <w:sz w:val="14"/>
                <w:szCs w:val="14"/>
              </w:rPr>
            </w:pPr>
            <w:r w:rsidRPr="00133704">
              <w:rPr>
                <w:rFonts w:ascii="Arial" w:hAnsi="Arial" w:cs="Arial"/>
                <w:b/>
                <w:bCs/>
                <w:sz w:val="14"/>
                <w:szCs w:val="14"/>
              </w:rPr>
              <w:t>Otros Resultados Integrales</w:t>
            </w:r>
          </w:p>
        </w:tc>
        <w:tc>
          <w:tcPr>
            <w:tcW w:w="1643"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7EAEAF4D" w14:textId="77777777" w:rsidR="00686F14" w:rsidRPr="00133704" w:rsidRDefault="00686F14" w:rsidP="00534414">
            <w:pPr>
              <w:jc w:val="center"/>
              <w:rPr>
                <w:rFonts w:ascii="Arial" w:hAnsi="Arial" w:cs="Arial"/>
                <w:b/>
                <w:bCs/>
                <w:sz w:val="14"/>
                <w:szCs w:val="14"/>
              </w:rPr>
            </w:pPr>
            <w:r w:rsidRPr="00133704">
              <w:rPr>
                <w:rFonts w:ascii="Arial" w:hAnsi="Arial" w:cs="Arial"/>
                <w:b/>
                <w:bCs/>
                <w:sz w:val="14"/>
                <w:szCs w:val="14"/>
              </w:rPr>
              <w:t>Reserva de utilidades</w:t>
            </w:r>
          </w:p>
        </w:tc>
        <w:tc>
          <w:tcPr>
            <w:tcW w:w="0" w:type="auto"/>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E88099F" w14:textId="77777777" w:rsidR="00686F14" w:rsidRPr="00133704" w:rsidRDefault="00686F14">
            <w:pPr>
              <w:jc w:val="center"/>
              <w:rPr>
                <w:rFonts w:ascii="Arial" w:hAnsi="Arial" w:cs="Arial"/>
                <w:b/>
                <w:bCs/>
                <w:sz w:val="14"/>
                <w:szCs w:val="14"/>
              </w:rPr>
            </w:pPr>
            <w:r w:rsidRPr="00133704">
              <w:rPr>
                <w:rFonts w:ascii="Arial" w:hAnsi="Arial" w:cs="Arial"/>
                <w:b/>
                <w:bCs/>
                <w:sz w:val="14"/>
                <w:szCs w:val="14"/>
              </w:rPr>
              <w:t>Resultados No asignados</w:t>
            </w:r>
          </w:p>
        </w:tc>
        <w:tc>
          <w:tcPr>
            <w:tcW w:w="1286"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13E5DAED" w14:textId="12E5147B" w:rsidR="00686F14" w:rsidRPr="00133704" w:rsidRDefault="00686F14" w:rsidP="009C5DAE">
            <w:pPr>
              <w:jc w:val="center"/>
              <w:rPr>
                <w:rFonts w:ascii="Arial" w:hAnsi="Arial" w:cs="Arial"/>
                <w:b/>
                <w:bCs/>
                <w:sz w:val="14"/>
                <w:szCs w:val="14"/>
              </w:rPr>
            </w:pPr>
            <w:r w:rsidRPr="00133704">
              <w:rPr>
                <w:rFonts w:ascii="Arial" w:hAnsi="Arial" w:cs="Arial"/>
                <w:b/>
                <w:bCs/>
                <w:sz w:val="14"/>
                <w:szCs w:val="14"/>
              </w:rPr>
              <w:t>Total PN de participación controladoras al 3</w:t>
            </w:r>
            <w:r w:rsidR="00F87BE3" w:rsidRPr="00133704">
              <w:rPr>
                <w:rFonts w:ascii="Arial" w:hAnsi="Arial" w:cs="Arial"/>
                <w:b/>
                <w:bCs/>
                <w:sz w:val="14"/>
                <w:szCs w:val="14"/>
              </w:rPr>
              <w:t>1</w:t>
            </w:r>
            <w:r w:rsidRPr="00133704">
              <w:rPr>
                <w:rFonts w:ascii="Arial" w:hAnsi="Arial" w:cs="Arial"/>
                <w:b/>
                <w:bCs/>
                <w:sz w:val="14"/>
                <w:szCs w:val="14"/>
              </w:rPr>
              <w:t>/</w:t>
            </w:r>
            <w:r w:rsidR="00F87BE3" w:rsidRPr="00133704">
              <w:rPr>
                <w:rFonts w:ascii="Arial" w:hAnsi="Arial" w:cs="Arial"/>
                <w:b/>
                <w:bCs/>
                <w:sz w:val="14"/>
                <w:szCs w:val="14"/>
              </w:rPr>
              <w:t>12</w:t>
            </w:r>
            <w:r w:rsidRPr="00133704">
              <w:rPr>
                <w:rFonts w:ascii="Arial" w:hAnsi="Arial" w:cs="Arial"/>
                <w:b/>
                <w:bCs/>
                <w:sz w:val="14"/>
                <w:szCs w:val="14"/>
              </w:rPr>
              <w:t>/2019</w:t>
            </w:r>
          </w:p>
        </w:tc>
        <w:tc>
          <w:tcPr>
            <w:tcW w:w="1323"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40C787B" w14:textId="218E3573" w:rsidR="00686F14" w:rsidRPr="00133704" w:rsidRDefault="00686F14" w:rsidP="009C5DAE">
            <w:pPr>
              <w:jc w:val="center"/>
              <w:rPr>
                <w:rFonts w:ascii="Arial" w:hAnsi="Arial" w:cs="Arial"/>
                <w:b/>
                <w:bCs/>
                <w:sz w:val="14"/>
                <w:szCs w:val="14"/>
              </w:rPr>
            </w:pPr>
            <w:r w:rsidRPr="00133704">
              <w:rPr>
                <w:rFonts w:ascii="Arial" w:hAnsi="Arial" w:cs="Arial"/>
                <w:b/>
                <w:bCs/>
                <w:sz w:val="14"/>
                <w:szCs w:val="14"/>
              </w:rPr>
              <w:t>Total PN de participación no controladora al 3</w:t>
            </w:r>
            <w:r w:rsidR="00F87BE3" w:rsidRPr="00133704">
              <w:rPr>
                <w:rFonts w:ascii="Arial" w:hAnsi="Arial" w:cs="Arial"/>
                <w:b/>
                <w:bCs/>
                <w:sz w:val="14"/>
                <w:szCs w:val="14"/>
              </w:rPr>
              <w:t>1</w:t>
            </w:r>
            <w:r w:rsidRPr="00133704">
              <w:rPr>
                <w:rFonts w:ascii="Arial" w:hAnsi="Arial" w:cs="Arial"/>
                <w:b/>
                <w:bCs/>
                <w:sz w:val="14"/>
                <w:szCs w:val="14"/>
              </w:rPr>
              <w:t>/</w:t>
            </w:r>
            <w:r w:rsidR="00F87BE3" w:rsidRPr="00133704">
              <w:rPr>
                <w:rFonts w:ascii="Arial" w:hAnsi="Arial" w:cs="Arial"/>
                <w:b/>
                <w:bCs/>
                <w:sz w:val="14"/>
                <w:szCs w:val="14"/>
              </w:rPr>
              <w:t>12</w:t>
            </w:r>
            <w:r w:rsidRPr="00133704">
              <w:rPr>
                <w:rFonts w:ascii="Arial" w:hAnsi="Arial" w:cs="Arial"/>
                <w:b/>
                <w:bCs/>
                <w:sz w:val="14"/>
                <w:szCs w:val="14"/>
              </w:rPr>
              <w:t>/2019</w:t>
            </w:r>
          </w:p>
        </w:tc>
        <w:tc>
          <w:tcPr>
            <w:tcW w:w="1119"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1D770457" w14:textId="77777777" w:rsidR="00686F14" w:rsidRPr="00133704" w:rsidRDefault="00686F14">
            <w:pPr>
              <w:jc w:val="center"/>
              <w:rPr>
                <w:rFonts w:ascii="Arial" w:hAnsi="Arial" w:cs="Arial"/>
                <w:b/>
                <w:bCs/>
                <w:sz w:val="14"/>
                <w:szCs w:val="14"/>
              </w:rPr>
            </w:pPr>
            <w:r w:rsidRPr="00133704">
              <w:rPr>
                <w:rFonts w:ascii="Arial" w:hAnsi="Arial" w:cs="Arial"/>
                <w:b/>
                <w:bCs/>
                <w:sz w:val="14"/>
                <w:szCs w:val="14"/>
              </w:rPr>
              <w:t>Total PN</w:t>
            </w:r>
          </w:p>
        </w:tc>
      </w:tr>
      <w:tr w:rsidR="00133704" w:rsidRPr="00133704" w14:paraId="16392962" w14:textId="77777777" w:rsidTr="00133704">
        <w:tc>
          <w:tcPr>
            <w:tcW w:w="3514" w:type="dxa"/>
            <w:vMerge/>
            <w:tcBorders>
              <w:top w:val="single" w:sz="4" w:space="0" w:color="363639"/>
              <w:left w:val="single" w:sz="4" w:space="0" w:color="363639"/>
              <w:bottom w:val="single" w:sz="4" w:space="0" w:color="363639"/>
              <w:right w:val="single" w:sz="4" w:space="0" w:color="363639"/>
            </w:tcBorders>
            <w:vAlign w:val="center"/>
            <w:hideMark/>
          </w:tcPr>
          <w:p w14:paraId="45645BB1" w14:textId="77777777" w:rsidR="00686F14" w:rsidRPr="00133704" w:rsidRDefault="00686F14">
            <w:pPr>
              <w:rPr>
                <w:rFonts w:ascii="Arial" w:hAnsi="Arial" w:cs="Arial"/>
                <w:b/>
                <w:bCs/>
                <w:sz w:val="14"/>
                <w:szCs w:val="14"/>
              </w:rPr>
            </w:pPr>
          </w:p>
        </w:tc>
        <w:tc>
          <w:tcPr>
            <w:tcW w:w="0" w:type="auto"/>
            <w:vMerge/>
            <w:tcBorders>
              <w:top w:val="single" w:sz="4" w:space="0" w:color="363639"/>
              <w:left w:val="single" w:sz="4" w:space="0" w:color="363639"/>
              <w:bottom w:val="single" w:sz="4" w:space="0" w:color="363639"/>
              <w:right w:val="single" w:sz="4" w:space="0" w:color="363639"/>
            </w:tcBorders>
            <w:vAlign w:val="center"/>
            <w:hideMark/>
          </w:tcPr>
          <w:p w14:paraId="361E7908" w14:textId="77777777" w:rsidR="00686F14" w:rsidRPr="00133704" w:rsidRDefault="00686F14">
            <w:pPr>
              <w:rPr>
                <w:rFonts w:ascii="Arial" w:hAnsi="Arial" w:cs="Arial"/>
                <w:b/>
                <w:bCs/>
                <w:sz w:val="14"/>
                <w:szCs w:val="14"/>
              </w:rPr>
            </w:pPr>
          </w:p>
        </w:tc>
        <w:tc>
          <w:tcPr>
            <w:tcW w:w="0" w:type="auto"/>
            <w:tcBorders>
              <w:top w:val="nil"/>
              <w:left w:val="nil"/>
              <w:bottom w:val="single" w:sz="4" w:space="0" w:color="363639"/>
              <w:right w:val="single" w:sz="4" w:space="0" w:color="363639"/>
            </w:tcBorders>
            <w:shd w:val="clear" w:color="auto" w:fill="BFBFBF" w:themeFill="background1" w:themeFillShade="BF"/>
            <w:vAlign w:val="center"/>
            <w:hideMark/>
          </w:tcPr>
          <w:p w14:paraId="4A15F8AE" w14:textId="77777777" w:rsidR="00686F14" w:rsidRPr="00133704" w:rsidRDefault="00686F14">
            <w:pPr>
              <w:jc w:val="center"/>
              <w:rPr>
                <w:rFonts w:ascii="Arial" w:hAnsi="Arial" w:cs="Arial"/>
                <w:b/>
                <w:bCs/>
                <w:sz w:val="14"/>
                <w:szCs w:val="14"/>
              </w:rPr>
            </w:pPr>
            <w:r w:rsidRPr="00133704">
              <w:rPr>
                <w:rFonts w:ascii="Arial" w:hAnsi="Arial" w:cs="Arial"/>
                <w:b/>
                <w:bCs/>
                <w:sz w:val="14"/>
                <w:szCs w:val="14"/>
              </w:rPr>
              <w:t>En</w:t>
            </w:r>
            <w:r w:rsidRPr="00133704">
              <w:rPr>
                <w:rFonts w:ascii="Arial" w:hAnsi="Arial" w:cs="Arial"/>
                <w:b/>
                <w:bCs/>
                <w:sz w:val="14"/>
                <w:szCs w:val="14"/>
              </w:rPr>
              <w:br/>
              <w:t xml:space="preserve"> circulación</w:t>
            </w:r>
          </w:p>
        </w:tc>
        <w:tc>
          <w:tcPr>
            <w:tcW w:w="0" w:type="auto"/>
            <w:tcBorders>
              <w:top w:val="nil"/>
              <w:left w:val="nil"/>
              <w:bottom w:val="single" w:sz="4" w:space="0" w:color="363639"/>
              <w:right w:val="single" w:sz="4" w:space="0" w:color="363639"/>
            </w:tcBorders>
            <w:shd w:val="clear" w:color="auto" w:fill="BFBFBF" w:themeFill="background1" w:themeFillShade="BF"/>
            <w:vAlign w:val="center"/>
            <w:hideMark/>
          </w:tcPr>
          <w:p w14:paraId="299EE212" w14:textId="77777777" w:rsidR="00686F14" w:rsidRPr="00133704" w:rsidRDefault="00686F14">
            <w:pPr>
              <w:jc w:val="center"/>
              <w:rPr>
                <w:rFonts w:ascii="Arial" w:hAnsi="Arial" w:cs="Arial"/>
                <w:b/>
                <w:bCs/>
                <w:sz w:val="14"/>
                <w:szCs w:val="14"/>
              </w:rPr>
            </w:pPr>
            <w:r w:rsidRPr="00133704">
              <w:rPr>
                <w:rFonts w:ascii="Arial" w:hAnsi="Arial" w:cs="Arial"/>
                <w:b/>
                <w:bCs/>
                <w:sz w:val="14"/>
                <w:szCs w:val="14"/>
              </w:rPr>
              <w:t>Primas de emisión de acciones</w:t>
            </w:r>
          </w:p>
        </w:tc>
        <w:tc>
          <w:tcPr>
            <w:tcW w:w="0" w:type="auto"/>
            <w:tcBorders>
              <w:top w:val="nil"/>
              <w:left w:val="nil"/>
              <w:bottom w:val="single" w:sz="4" w:space="0" w:color="363639"/>
              <w:right w:val="single" w:sz="4" w:space="0" w:color="363639"/>
            </w:tcBorders>
            <w:shd w:val="clear" w:color="auto" w:fill="BFBFBF" w:themeFill="background1" w:themeFillShade="BF"/>
            <w:vAlign w:val="center"/>
            <w:hideMark/>
          </w:tcPr>
          <w:p w14:paraId="38D09136" w14:textId="7CE1C19B" w:rsidR="00686F14" w:rsidRPr="00133704" w:rsidRDefault="00686F14">
            <w:pPr>
              <w:jc w:val="center"/>
              <w:rPr>
                <w:rFonts w:ascii="Arial" w:hAnsi="Arial" w:cs="Arial"/>
                <w:b/>
                <w:bCs/>
                <w:sz w:val="14"/>
                <w:szCs w:val="14"/>
              </w:rPr>
            </w:pPr>
            <w:r w:rsidRPr="00133704">
              <w:rPr>
                <w:rFonts w:ascii="Arial" w:hAnsi="Arial" w:cs="Arial"/>
                <w:b/>
                <w:bCs/>
                <w:sz w:val="14"/>
                <w:szCs w:val="14"/>
              </w:rPr>
              <w:t xml:space="preserve">Revaluac de PPE </w:t>
            </w:r>
          </w:p>
        </w:tc>
        <w:tc>
          <w:tcPr>
            <w:tcW w:w="0" w:type="auto"/>
            <w:tcBorders>
              <w:top w:val="nil"/>
              <w:left w:val="nil"/>
              <w:bottom w:val="single" w:sz="4" w:space="0" w:color="363639"/>
              <w:right w:val="single" w:sz="4" w:space="0" w:color="363639"/>
            </w:tcBorders>
            <w:shd w:val="clear" w:color="auto" w:fill="BFBFBF" w:themeFill="background1" w:themeFillShade="BF"/>
            <w:vAlign w:val="center"/>
            <w:hideMark/>
          </w:tcPr>
          <w:p w14:paraId="4FD96802" w14:textId="77777777" w:rsidR="00686F14" w:rsidRPr="00133704" w:rsidRDefault="00686F14">
            <w:pPr>
              <w:jc w:val="center"/>
              <w:rPr>
                <w:rFonts w:ascii="Arial" w:hAnsi="Arial" w:cs="Arial"/>
                <w:b/>
                <w:bCs/>
                <w:sz w:val="14"/>
                <w:szCs w:val="14"/>
              </w:rPr>
            </w:pPr>
            <w:r w:rsidRPr="00133704">
              <w:rPr>
                <w:rFonts w:ascii="Arial" w:hAnsi="Arial" w:cs="Arial"/>
                <w:b/>
                <w:bCs/>
                <w:sz w:val="14"/>
                <w:szCs w:val="14"/>
              </w:rPr>
              <w:t>Gcias. o pérdidas acum por Inst.</w:t>
            </w:r>
            <w:r w:rsidRPr="00133704">
              <w:rPr>
                <w:rFonts w:ascii="Arial" w:hAnsi="Arial" w:cs="Arial"/>
                <w:b/>
                <w:bCs/>
                <w:sz w:val="14"/>
                <w:szCs w:val="14"/>
              </w:rPr>
              <w:br/>
              <w:t>Fcieros. a VRCORI</w:t>
            </w:r>
          </w:p>
        </w:tc>
        <w:tc>
          <w:tcPr>
            <w:tcW w:w="744" w:type="dxa"/>
            <w:tcBorders>
              <w:top w:val="nil"/>
              <w:left w:val="nil"/>
              <w:bottom w:val="single" w:sz="4" w:space="0" w:color="363639"/>
              <w:right w:val="single" w:sz="4" w:space="0" w:color="363639"/>
            </w:tcBorders>
            <w:shd w:val="clear" w:color="auto" w:fill="BFBFBF" w:themeFill="background1" w:themeFillShade="BF"/>
            <w:vAlign w:val="center"/>
            <w:hideMark/>
          </w:tcPr>
          <w:p w14:paraId="2E753D6F" w14:textId="77777777" w:rsidR="00686F14" w:rsidRPr="00133704" w:rsidRDefault="00686F14">
            <w:pPr>
              <w:jc w:val="center"/>
              <w:rPr>
                <w:rFonts w:ascii="Arial" w:hAnsi="Arial" w:cs="Arial"/>
                <w:b/>
                <w:bCs/>
                <w:sz w:val="14"/>
                <w:szCs w:val="14"/>
              </w:rPr>
            </w:pPr>
            <w:r w:rsidRPr="00133704">
              <w:rPr>
                <w:rFonts w:ascii="Arial" w:hAnsi="Arial" w:cs="Arial"/>
                <w:b/>
                <w:bCs/>
                <w:sz w:val="14"/>
                <w:szCs w:val="14"/>
              </w:rPr>
              <w:t>Legal</w:t>
            </w:r>
          </w:p>
        </w:tc>
        <w:tc>
          <w:tcPr>
            <w:tcW w:w="899" w:type="dxa"/>
            <w:tcBorders>
              <w:top w:val="nil"/>
              <w:left w:val="nil"/>
              <w:bottom w:val="single" w:sz="4" w:space="0" w:color="363639"/>
              <w:right w:val="single" w:sz="4" w:space="0" w:color="363639"/>
            </w:tcBorders>
            <w:shd w:val="clear" w:color="auto" w:fill="BFBFBF" w:themeFill="background1" w:themeFillShade="BF"/>
            <w:vAlign w:val="center"/>
            <w:hideMark/>
          </w:tcPr>
          <w:p w14:paraId="62C2A191" w14:textId="77777777" w:rsidR="00686F14" w:rsidRPr="00133704" w:rsidRDefault="00686F14">
            <w:pPr>
              <w:jc w:val="center"/>
              <w:rPr>
                <w:rFonts w:ascii="Arial" w:hAnsi="Arial" w:cs="Arial"/>
                <w:b/>
                <w:bCs/>
                <w:sz w:val="14"/>
                <w:szCs w:val="14"/>
              </w:rPr>
            </w:pPr>
            <w:r w:rsidRPr="00133704">
              <w:rPr>
                <w:rFonts w:ascii="Arial" w:hAnsi="Arial" w:cs="Arial"/>
                <w:b/>
                <w:bCs/>
                <w:sz w:val="14"/>
                <w:szCs w:val="14"/>
              </w:rPr>
              <w:t>Otras</w:t>
            </w:r>
          </w:p>
        </w:tc>
        <w:tc>
          <w:tcPr>
            <w:tcW w:w="0" w:type="auto"/>
            <w:vMerge/>
            <w:tcBorders>
              <w:top w:val="single" w:sz="4" w:space="0" w:color="363639"/>
              <w:left w:val="single" w:sz="4" w:space="0" w:color="363639"/>
              <w:bottom w:val="single" w:sz="4" w:space="0" w:color="363639"/>
              <w:right w:val="single" w:sz="4" w:space="0" w:color="363639"/>
            </w:tcBorders>
            <w:vAlign w:val="center"/>
            <w:hideMark/>
          </w:tcPr>
          <w:p w14:paraId="5FBD1423" w14:textId="77777777" w:rsidR="00686F14" w:rsidRPr="00133704" w:rsidRDefault="00686F14">
            <w:pPr>
              <w:rPr>
                <w:rFonts w:ascii="Arial" w:hAnsi="Arial" w:cs="Arial"/>
                <w:b/>
                <w:bCs/>
                <w:sz w:val="14"/>
                <w:szCs w:val="14"/>
              </w:rPr>
            </w:pPr>
          </w:p>
        </w:tc>
        <w:tc>
          <w:tcPr>
            <w:tcW w:w="1286" w:type="dxa"/>
            <w:vMerge/>
            <w:tcBorders>
              <w:top w:val="single" w:sz="4" w:space="0" w:color="363639"/>
              <w:left w:val="single" w:sz="4" w:space="0" w:color="363639"/>
              <w:bottom w:val="single" w:sz="4" w:space="0" w:color="363639"/>
              <w:right w:val="single" w:sz="4" w:space="0" w:color="363639"/>
            </w:tcBorders>
            <w:vAlign w:val="center"/>
            <w:hideMark/>
          </w:tcPr>
          <w:p w14:paraId="73BA6219" w14:textId="77777777" w:rsidR="00686F14" w:rsidRPr="00133704" w:rsidRDefault="00686F14">
            <w:pPr>
              <w:rPr>
                <w:rFonts w:ascii="Arial" w:hAnsi="Arial" w:cs="Arial"/>
                <w:b/>
                <w:bCs/>
                <w:sz w:val="14"/>
                <w:szCs w:val="14"/>
              </w:rPr>
            </w:pPr>
          </w:p>
        </w:tc>
        <w:tc>
          <w:tcPr>
            <w:tcW w:w="1323" w:type="dxa"/>
            <w:vMerge/>
            <w:tcBorders>
              <w:top w:val="single" w:sz="4" w:space="0" w:color="363639"/>
              <w:left w:val="single" w:sz="4" w:space="0" w:color="363639"/>
              <w:bottom w:val="single" w:sz="4" w:space="0" w:color="363639"/>
              <w:right w:val="single" w:sz="4" w:space="0" w:color="363639"/>
            </w:tcBorders>
            <w:vAlign w:val="center"/>
            <w:hideMark/>
          </w:tcPr>
          <w:p w14:paraId="50523BB0" w14:textId="77777777" w:rsidR="00686F14" w:rsidRPr="00133704" w:rsidRDefault="00686F14">
            <w:pPr>
              <w:rPr>
                <w:rFonts w:ascii="Arial" w:hAnsi="Arial" w:cs="Arial"/>
                <w:b/>
                <w:bCs/>
                <w:sz w:val="14"/>
                <w:szCs w:val="14"/>
              </w:rPr>
            </w:pPr>
          </w:p>
        </w:tc>
        <w:tc>
          <w:tcPr>
            <w:tcW w:w="1119" w:type="dxa"/>
            <w:vMerge/>
            <w:tcBorders>
              <w:top w:val="single" w:sz="4" w:space="0" w:color="363639"/>
              <w:left w:val="single" w:sz="4" w:space="0" w:color="363639"/>
              <w:bottom w:val="single" w:sz="4" w:space="0" w:color="363639"/>
              <w:right w:val="single" w:sz="4" w:space="0" w:color="363639"/>
            </w:tcBorders>
            <w:vAlign w:val="center"/>
            <w:hideMark/>
          </w:tcPr>
          <w:p w14:paraId="7DC8AA46" w14:textId="77777777" w:rsidR="00686F14" w:rsidRPr="00133704" w:rsidRDefault="00686F14">
            <w:pPr>
              <w:rPr>
                <w:rFonts w:ascii="Arial" w:hAnsi="Arial" w:cs="Arial"/>
                <w:b/>
                <w:bCs/>
                <w:sz w:val="14"/>
                <w:szCs w:val="14"/>
              </w:rPr>
            </w:pPr>
          </w:p>
        </w:tc>
      </w:tr>
      <w:tr w:rsidR="00133704" w:rsidRPr="00133704" w14:paraId="1D020A97" w14:textId="77777777" w:rsidTr="00133704">
        <w:tc>
          <w:tcPr>
            <w:tcW w:w="3514" w:type="dxa"/>
            <w:tcBorders>
              <w:top w:val="nil"/>
              <w:left w:val="nil"/>
              <w:bottom w:val="nil"/>
              <w:right w:val="nil"/>
            </w:tcBorders>
            <w:shd w:val="clear" w:color="auto" w:fill="auto"/>
            <w:noWrap/>
            <w:vAlign w:val="center"/>
            <w:hideMark/>
          </w:tcPr>
          <w:p w14:paraId="29F54216" w14:textId="77777777" w:rsidR="00686F14" w:rsidRPr="00133704" w:rsidRDefault="00686F14">
            <w:pPr>
              <w:jc w:val="center"/>
              <w:rPr>
                <w:rFonts w:ascii="Arial" w:hAnsi="Arial" w:cs="Arial"/>
                <w:b/>
                <w:bCs/>
                <w:sz w:val="14"/>
                <w:szCs w:val="14"/>
              </w:rPr>
            </w:pPr>
          </w:p>
        </w:tc>
        <w:tc>
          <w:tcPr>
            <w:tcW w:w="0" w:type="auto"/>
            <w:tcBorders>
              <w:top w:val="nil"/>
              <w:left w:val="nil"/>
              <w:bottom w:val="nil"/>
              <w:right w:val="nil"/>
            </w:tcBorders>
            <w:shd w:val="clear" w:color="auto" w:fill="auto"/>
            <w:noWrap/>
            <w:vAlign w:val="center"/>
            <w:hideMark/>
          </w:tcPr>
          <w:p w14:paraId="40F50349" w14:textId="77777777" w:rsidR="00686F14" w:rsidRPr="00133704" w:rsidRDefault="00686F14">
            <w:pPr>
              <w:jc w:val="center"/>
              <w:rPr>
                <w:sz w:val="14"/>
                <w:szCs w:val="14"/>
              </w:rPr>
            </w:pPr>
          </w:p>
        </w:tc>
        <w:tc>
          <w:tcPr>
            <w:tcW w:w="0" w:type="auto"/>
            <w:tcBorders>
              <w:top w:val="nil"/>
              <w:left w:val="nil"/>
              <w:bottom w:val="nil"/>
              <w:right w:val="nil"/>
            </w:tcBorders>
            <w:shd w:val="clear" w:color="auto" w:fill="auto"/>
            <w:vAlign w:val="center"/>
            <w:hideMark/>
          </w:tcPr>
          <w:p w14:paraId="128BD154" w14:textId="77777777" w:rsidR="00686F14" w:rsidRPr="00133704" w:rsidRDefault="00686F14">
            <w:pPr>
              <w:rPr>
                <w:sz w:val="14"/>
                <w:szCs w:val="14"/>
              </w:rPr>
            </w:pPr>
          </w:p>
        </w:tc>
        <w:tc>
          <w:tcPr>
            <w:tcW w:w="0" w:type="auto"/>
            <w:tcBorders>
              <w:top w:val="nil"/>
              <w:left w:val="nil"/>
              <w:bottom w:val="nil"/>
              <w:right w:val="nil"/>
            </w:tcBorders>
            <w:shd w:val="clear" w:color="auto" w:fill="auto"/>
            <w:vAlign w:val="center"/>
            <w:hideMark/>
          </w:tcPr>
          <w:p w14:paraId="6BD0E581" w14:textId="77777777" w:rsidR="00686F14" w:rsidRPr="00133704" w:rsidRDefault="00686F14">
            <w:pPr>
              <w:jc w:val="center"/>
              <w:rPr>
                <w:sz w:val="14"/>
                <w:szCs w:val="14"/>
              </w:rPr>
            </w:pPr>
          </w:p>
        </w:tc>
        <w:tc>
          <w:tcPr>
            <w:tcW w:w="0" w:type="auto"/>
            <w:tcBorders>
              <w:top w:val="nil"/>
              <w:left w:val="nil"/>
              <w:bottom w:val="nil"/>
              <w:right w:val="nil"/>
            </w:tcBorders>
            <w:shd w:val="clear" w:color="auto" w:fill="auto"/>
            <w:vAlign w:val="center"/>
            <w:hideMark/>
          </w:tcPr>
          <w:p w14:paraId="0096FD1D" w14:textId="77777777" w:rsidR="00686F14" w:rsidRPr="00133704" w:rsidRDefault="00686F14">
            <w:pPr>
              <w:jc w:val="center"/>
              <w:rPr>
                <w:sz w:val="14"/>
                <w:szCs w:val="14"/>
              </w:rPr>
            </w:pPr>
          </w:p>
        </w:tc>
        <w:tc>
          <w:tcPr>
            <w:tcW w:w="0" w:type="auto"/>
            <w:tcBorders>
              <w:top w:val="nil"/>
              <w:left w:val="nil"/>
              <w:bottom w:val="nil"/>
              <w:right w:val="nil"/>
            </w:tcBorders>
            <w:shd w:val="clear" w:color="auto" w:fill="auto"/>
            <w:vAlign w:val="center"/>
            <w:hideMark/>
          </w:tcPr>
          <w:p w14:paraId="274B8912" w14:textId="77777777" w:rsidR="00686F14" w:rsidRPr="00133704" w:rsidRDefault="00686F14">
            <w:pPr>
              <w:jc w:val="center"/>
              <w:rPr>
                <w:sz w:val="14"/>
                <w:szCs w:val="14"/>
              </w:rPr>
            </w:pPr>
          </w:p>
        </w:tc>
        <w:tc>
          <w:tcPr>
            <w:tcW w:w="744" w:type="dxa"/>
            <w:tcBorders>
              <w:top w:val="nil"/>
              <w:left w:val="nil"/>
              <w:bottom w:val="nil"/>
              <w:right w:val="nil"/>
            </w:tcBorders>
            <w:shd w:val="clear" w:color="auto" w:fill="auto"/>
            <w:vAlign w:val="center"/>
            <w:hideMark/>
          </w:tcPr>
          <w:p w14:paraId="11C3A185" w14:textId="77777777" w:rsidR="00686F14" w:rsidRPr="00133704" w:rsidRDefault="00686F14">
            <w:pPr>
              <w:jc w:val="center"/>
              <w:rPr>
                <w:sz w:val="14"/>
                <w:szCs w:val="14"/>
              </w:rPr>
            </w:pPr>
          </w:p>
        </w:tc>
        <w:tc>
          <w:tcPr>
            <w:tcW w:w="899" w:type="dxa"/>
            <w:tcBorders>
              <w:top w:val="nil"/>
              <w:left w:val="nil"/>
              <w:bottom w:val="nil"/>
              <w:right w:val="nil"/>
            </w:tcBorders>
            <w:shd w:val="clear" w:color="auto" w:fill="auto"/>
            <w:vAlign w:val="center"/>
            <w:hideMark/>
          </w:tcPr>
          <w:p w14:paraId="191828AF" w14:textId="77777777" w:rsidR="00686F14" w:rsidRPr="00133704" w:rsidRDefault="00686F14">
            <w:pPr>
              <w:jc w:val="center"/>
              <w:rPr>
                <w:sz w:val="14"/>
                <w:szCs w:val="14"/>
              </w:rPr>
            </w:pPr>
          </w:p>
        </w:tc>
        <w:tc>
          <w:tcPr>
            <w:tcW w:w="0" w:type="auto"/>
            <w:tcBorders>
              <w:top w:val="nil"/>
              <w:left w:val="nil"/>
              <w:bottom w:val="nil"/>
              <w:right w:val="nil"/>
            </w:tcBorders>
            <w:shd w:val="clear" w:color="auto" w:fill="auto"/>
            <w:noWrap/>
            <w:vAlign w:val="bottom"/>
            <w:hideMark/>
          </w:tcPr>
          <w:p w14:paraId="4EDD9259" w14:textId="77777777" w:rsidR="00686F14" w:rsidRPr="00133704" w:rsidRDefault="00686F14">
            <w:pPr>
              <w:jc w:val="center"/>
              <w:rPr>
                <w:sz w:val="14"/>
                <w:szCs w:val="14"/>
              </w:rPr>
            </w:pPr>
          </w:p>
        </w:tc>
        <w:tc>
          <w:tcPr>
            <w:tcW w:w="1286" w:type="dxa"/>
            <w:tcBorders>
              <w:top w:val="nil"/>
              <w:left w:val="nil"/>
              <w:bottom w:val="nil"/>
              <w:right w:val="nil"/>
            </w:tcBorders>
            <w:shd w:val="clear" w:color="auto" w:fill="auto"/>
            <w:noWrap/>
            <w:vAlign w:val="center"/>
            <w:hideMark/>
          </w:tcPr>
          <w:p w14:paraId="254432D4" w14:textId="77777777" w:rsidR="00686F14" w:rsidRPr="00133704" w:rsidRDefault="00686F14">
            <w:pPr>
              <w:jc w:val="center"/>
              <w:rPr>
                <w:sz w:val="14"/>
                <w:szCs w:val="14"/>
              </w:rPr>
            </w:pPr>
          </w:p>
        </w:tc>
        <w:tc>
          <w:tcPr>
            <w:tcW w:w="1323" w:type="dxa"/>
            <w:tcBorders>
              <w:top w:val="nil"/>
              <w:left w:val="nil"/>
              <w:bottom w:val="nil"/>
              <w:right w:val="nil"/>
            </w:tcBorders>
            <w:shd w:val="clear" w:color="auto" w:fill="auto"/>
            <w:noWrap/>
            <w:vAlign w:val="center"/>
            <w:hideMark/>
          </w:tcPr>
          <w:p w14:paraId="445EC855" w14:textId="77777777" w:rsidR="00686F14" w:rsidRPr="00133704" w:rsidRDefault="00686F14">
            <w:pPr>
              <w:jc w:val="center"/>
              <w:rPr>
                <w:sz w:val="14"/>
                <w:szCs w:val="14"/>
              </w:rPr>
            </w:pPr>
          </w:p>
        </w:tc>
        <w:tc>
          <w:tcPr>
            <w:tcW w:w="1119" w:type="dxa"/>
            <w:tcBorders>
              <w:top w:val="nil"/>
              <w:left w:val="nil"/>
              <w:bottom w:val="nil"/>
              <w:right w:val="nil"/>
            </w:tcBorders>
            <w:shd w:val="clear" w:color="auto" w:fill="auto"/>
            <w:noWrap/>
            <w:vAlign w:val="center"/>
            <w:hideMark/>
          </w:tcPr>
          <w:p w14:paraId="03382C24" w14:textId="77777777" w:rsidR="00686F14" w:rsidRPr="00133704" w:rsidRDefault="00686F14">
            <w:pPr>
              <w:jc w:val="center"/>
              <w:rPr>
                <w:sz w:val="14"/>
                <w:szCs w:val="14"/>
              </w:rPr>
            </w:pPr>
          </w:p>
        </w:tc>
      </w:tr>
      <w:tr w:rsidR="00133704" w:rsidRPr="00133704" w14:paraId="577B30D0" w14:textId="77777777" w:rsidTr="00133704">
        <w:tc>
          <w:tcPr>
            <w:tcW w:w="3514" w:type="dxa"/>
            <w:tcBorders>
              <w:top w:val="nil"/>
              <w:left w:val="nil"/>
              <w:bottom w:val="nil"/>
              <w:right w:val="nil"/>
            </w:tcBorders>
            <w:shd w:val="clear" w:color="auto" w:fill="auto"/>
            <w:hideMark/>
          </w:tcPr>
          <w:p w14:paraId="725D0E75" w14:textId="77777777" w:rsidR="00686F14" w:rsidRPr="00133704" w:rsidRDefault="00686F14">
            <w:pPr>
              <w:rPr>
                <w:rFonts w:ascii="Arial" w:hAnsi="Arial" w:cs="Arial"/>
                <w:b/>
                <w:bCs/>
                <w:sz w:val="14"/>
                <w:szCs w:val="14"/>
              </w:rPr>
            </w:pPr>
            <w:r w:rsidRPr="00133704">
              <w:rPr>
                <w:rFonts w:ascii="Arial" w:hAnsi="Arial" w:cs="Arial"/>
                <w:b/>
                <w:bCs/>
                <w:sz w:val="14"/>
                <w:szCs w:val="14"/>
              </w:rPr>
              <w:t>Saldos al comienzo del ejercicio</w:t>
            </w:r>
          </w:p>
        </w:tc>
        <w:tc>
          <w:tcPr>
            <w:tcW w:w="0" w:type="auto"/>
            <w:tcBorders>
              <w:top w:val="nil"/>
              <w:left w:val="nil"/>
              <w:bottom w:val="nil"/>
              <w:right w:val="nil"/>
            </w:tcBorders>
            <w:shd w:val="clear" w:color="auto" w:fill="auto"/>
            <w:noWrap/>
            <w:hideMark/>
          </w:tcPr>
          <w:p w14:paraId="770099E8" w14:textId="77777777" w:rsidR="00686F14" w:rsidRPr="00133704" w:rsidRDefault="00686F14">
            <w:pPr>
              <w:rPr>
                <w:rFonts w:ascii="Arial" w:hAnsi="Arial" w:cs="Arial"/>
                <w:b/>
                <w:bCs/>
                <w:sz w:val="14"/>
                <w:szCs w:val="14"/>
              </w:rPr>
            </w:pPr>
          </w:p>
        </w:tc>
        <w:tc>
          <w:tcPr>
            <w:tcW w:w="0" w:type="auto"/>
            <w:tcBorders>
              <w:top w:val="nil"/>
              <w:left w:val="nil"/>
              <w:bottom w:val="nil"/>
              <w:right w:val="nil"/>
            </w:tcBorders>
            <w:shd w:val="clear" w:color="auto" w:fill="auto"/>
            <w:noWrap/>
            <w:vAlign w:val="center"/>
            <w:hideMark/>
          </w:tcPr>
          <w:p w14:paraId="6D1D5FC6" w14:textId="6A9F6E2C" w:rsidR="00686F14" w:rsidRPr="00133704" w:rsidRDefault="00686F14" w:rsidP="00133704">
            <w:pPr>
              <w:jc w:val="right"/>
              <w:rPr>
                <w:rFonts w:ascii="Arial" w:hAnsi="Arial" w:cs="Arial"/>
                <w:sz w:val="14"/>
                <w:szCs w:val="14"/>
              </w:rPr>
            </w:pPr>
            <w:r w:rsidRPr="00133704">
              <w:rPr>
                <w:rFonts w:ascii="Arial" w:hAnsi="Arial" w:cs="Arial"/>
                <w:sz w:val="14"/>
                <w:szCs w:val="14"/>
              </w:rPr>
              <w:t>808.852</w:t>
            </w:r>
          </w:p>
        </w:tc>
        <w:tc>
          <w:tcPr>
            <w:tcW w:w="0" w:type="auto"/>
            <w:tcBorders>
              <w:top w:val="nil"/>
              <w:left w:val="nil"/>
              <w:bottom w:val="nil"/>
              <w:right w:val="nil"/>
            </w:tcBorders>
            <w:shd w:val="clear" w:color="auto" w:fill="auto"/>
            <w:noWrap/>
            <w:vAlign w:val="center"/>
            <w:hideMark/>
          </w:tcPr>
          <w:p w14:paraId="0B91F9FF" w14:textId="52E709FE" w:rsidR="00686F14" w:rsidRPr="00133704" w:rsidRDefault="00686F14" w:rsidP="00133704">
            <w:pPr>
              <w:jc w:val="right"/>
              <w:rPr>
                <w:rFonts w:ascii="Arial" w:hAnsi="Arial" w:cs="Arial"/>
                <w:sz w:val="14"/>
                <w:szCs w:val="14"/>
              </w:rPr>
            </w:pPr>
            <w:r w:rsidRPr="00133704">
              <w:rPr>
                <w:rFonts w:ascii="Arial" w:hAnsi="Arial" w:cs="Arial"/>
                <w:sz w:val="14"/>
                <w:szCs w:val="14"/>
              </w:rPr>
              <w:t>6.444.347</w:t>
            </w:r>
          </w:p>
        </w:tc>
        <w:tc>
          <w:tcPr>
            <w:tcW w:w="0" w:type="auto"/>
            <w:tcBorders>
              <w:top w:val="nil"/>
              <w:left w:val="nil"/>
              <w:bottom w:val="nil"/>
              <w:right w:val="nil"/>
            </w:tcBorders>
            <w:shd w:val="clear" w:color="auto" w:fill="auto"/>
            <w:noWrap/>
            <w:vAlign w:val="center"/>
            <w:hideMark/>
          </w:tcPr>
          <w:p w14:paraId="2BAA8C7A" w14:textId="3A8FB2DA" w:rsidR="00686F14" w:rsidRPr="00133704" w:rsidRDefault="00686F14" w:rsidP="00133704">
            <w:pPr>
              <w:jc w:val="right"/>
              <w:rPr>
                <w:rFonts w:ascii="Arial" w:hAnsi="Arial" w:cs="Arial"/>
                <w:sz w:val="14"/>
                <w:szCs w:val="14"/>
              </w:rPr>
            </w:pPr>
            <w:r w:rsidRPr="00133704">
              <w:rPr>
                <w:rFonts w:ascii="Arial" w:hAnsi="Arial" w:cs="Arial"/>
                <w:sz w:val="14"/>
                <w:szCs w:val="14"/>
              </w:rPr>
              <w:t>583.54</w:t>
            </w:r>
            <w:r w:rsidR="001D0C21" w:rsidRPr="00133704">
              <w:rPr>
                <w:rFonts w:ascii="Arial" w:hAnsi="Arial" w:cs="Arial"/>
                <w:sz w:val="14"/>
                <w:szCs w:val="14"/>
              </w:rPr>
              <w:t>3</w:t>
            </w:r>
          </w:p>
        </w:tc>
        <w:tc>
          <w:tcPr>
            <w:tcW w:w="0" w:type="auto"/>
            <w:tcBorders>
              <w:top w:val="nil"/>
              <w:left w:val="nil"/>
              <w:bottom w:val="nil"/>
              <w:right w:val="nil"/>
            </w:tcBorders>
            <w:shd w:val="clear" w:color="auto" w:fill="auto"/>
            <w:noWrap/>
            <w:vAlign w:val="center"/>
            <w:hideMark/>
          </w:tcPr>
          <w:p w14:paraId="3908CFB5" w14:textId="35CD2931" w:rsidR="00686F14" w:rsidRPr="00133704" w:rsidRDefault="00686F14" w:rsidP="00133704">
            <w:pPr>
              <w:jc w:val="right"/>
              <w:rPr>
                <w:rFonts w:ascii="Arial" w:hAnsi="Arial" w:cs="Arial"/>
                <w:sz w:val="14"/>
                <w:szCs w:val="14"/>
              </w:rPr>
            </w:pPr>
            <w:r w:rsidRPr="00133704">
              <w:rPr>
                <w:rFonts w:ascii="Arial" w:hAnsi="Arial" w:cs="Arial"/>
                <w:sz w:val="14"/>
                <w:szCs w:val="14"/>
              </w:rPr>
              <w:t>5.96</w:t>
            </w:r>
            <w:r w:rsidR="001D0C21" w:rsidRPr="00133704">
              <w:rPr>
                <w:rFonts w:ascii="Arial" w:hAnsi="Arial" w:cs="Arial"/>
                <w:sz w:val="14"/>
                <w:szCs w:val="14"/>
              </w:rPr>
              <w:t>1</w:t>
            </w:r>
          </w:p>
        </w:tc>
        <w:tc>
          <w:tcPr>
            <w:tcW w:w="744" w:type="dxa"/>
            <w:tcBorders>
              <w:top w:val="nil"/>
              <w:left w:val="nil"/>
              <w:bottom w:val="nil"/>
              <w:right w:val="nil"/>
            </w:tcBorders>
            <w:shd w:val="clear" w:color="auto" w:fill="auto"/>
            <w:noWrap/>
            <w:vAlign w:val="center"/>
            <w:hideMark/>
          </w:tcPr>
          <w:p w14:paraId="20B5DC65" w14:textId="351EF4A4" w:rsidR="00686F14" w:rsidRPr="00133704" w:rsidRDefault="00686F14" w:rsidP="00133704">
            <w:pPr>
              <w:jc w:val="right"/>
              <w:rPr>
                <w:rFonts w:ascii="Arial" w:hAnsi="Arial" w:cs="Arial"/>
                <w:sz w:val="14"/>
                <w:szCs w:val="14"/>
              </w:rPr>
            </w:pPr>
            <w:r w:rsidRPr="00133704">
              <w:rPr>
                <w:rFonts w:ascii="Arial" w:hAnsi="Arial" w:cs="Arial"/>
                <w:sz w:val="14"/>
                <w:szCs w:val="14"/>
              </w:rPr>
              <w:t>962.193</w:t>
            </w:r>
          </w:p>
        </w:tc>
        <w:tc>
          <w:tcPr>
            <w:tcW w:w="899" w:type="dxa"/>
            <w:tcBorders>
              <w:top w:val="nil"/>
              <w:left w:val="nil"/>
              <w:bottom w:val="nil"/>
              <w:right w:val="nil"/>
            </w:tcBorders>
            <w:shd w:val="clear" w:color="auto" w:fill="auto"/>
            <w:noWrap/>
            <w:vAlign w:val="center"/>
            <w:hideMark/>
          </w:tcPr>
          <w:p w14:paraId="7BD4CA8E" w14:textId="22ADF807" w:rsidR="00686F14" w:rsidRPr="00133704" w:rsidRDefault="00686F14" w:rsidP="00133704">
            <w:pPr>
              <w:jc w:val="right"/>
              <w:rPr>
                <w:rFonts w:ascii="Arial" w:hAnsi="Arial" w:cs="Arial"/>
                <w:sz w:val="14"/>
                <w:szCs w:val="14"/>
              </w:rPr>
            </w:pPr>
            <w:r w:rsidRPr="00133704">
              <w:rPr>
                <w:rFonts w:ascii="Arial" w:hAnsi="Arial" w:cs="Arial"/>
                <w:sz w:val="14"/>
                <w:szCs w:val="14"/>
              </w:rPr>
              <w:t>3.640.290</w:t>
            </w:r>
          </w:p>
        </w:tc>
        <w:tc>
          <w:tcPr>
            <w:tcW w:w="0" w:type="auto"/>
            <w:tcBorders>
              <w:top w:val="nil"/>
              <w:left w:val="nil"/>
              <w:bottom w:val="nil"/>
              <w:right w:val="nil"/>
            </w:tcBorders>
            <w:shd w:val="clear" w:color="auto" w:fill="auto"/>
            <w:noWrap/>
            <w:vAlign w:val="center"/>
            <w:hideMark/>
          </w:tcPr>
          <w:p w14:paraId="2D6BAECF" w14:textId="66DFB44F" w:rsidR="00686F14" w:rsidRPr="00133704" w:rsidRDefault="00686F14" w:rsidP="00133704">
            <w:pPr>
              <w:jc w:val="right"/>
              <w:rPr>
                <w:rFonts w:ascii="Arial" w:hAnsi="Arial" w:cs="Arial"/>
                <w:sz w:val="14"/>
                <w:szCs w:val="14"/>
              </w:rPr>
            </w:pPr>
            <w:r w:rsidRPr="00133704">
              <w:rPr>
                <w:rFonts w:ascii="Arial" w:hAnsi="Arial" w:cs="Arial"/>
                <w:sz w:val="14"/>
                <w:szCs w:val="14"/>
              </w:rPr>
              <w:t>740.29</w:t>
            </w:r>
            <w:r w:rsidR="009B4BDD" w:rsidRPr="00133704">
              <w:rPr>
                <w:rFonts w:ascii="Arial" w:hAnsi="Arial" w:cs="Arial"/>
                <w:sz w:val="14"/>
                <w:szCs w:val="14"/>
              </w:rPr>
              <w:t>3</w:t>
            </w:r>
          </w:p>
        </w:tc>
        <w:tc>
          <w:tcPr>
            <w:tcW w:w="1286" w:type="dxa"/>
            <w:tcBorders>
              <w:top w:val="nil"/>
              <w:left w:val="nil"/>
              <w:bottom w:val="nil"/>
              <w:right w:val="nil"/>
            </w:tcBorders>
            <w:shd w:val="clear" w:color="auto" w:fill="auto"/>
            <w:noWrap/>
            <w:vAlign w:val="center"/>
            <w:hideMark/>
          </w:tcPr>
          <w:p w14:paraId="171E138B" w14:textId="3233AA47" w:rsidR="00686F14" w:rsidRPr="00133704" w:rsidRDefault="00686F14" w:rsidP="00133704">
            <w:pPr>
              <w:jc w:val="right"/>
              <w:rPr>
                <w:rFonts w:ascii="Arial" w:hAnsi="Arial" w:cs="Arial"/>
                <w:sz w:val="14"/>
                <w:szCs w:val="14"/>
              </w:rPr>
            </w:pPr>
            <w:r w:rsidRPr="00133704">
              <w:rPr>
                <w:rFonts w:ascii="Arial" w:hAnsi="Arial" w:cs="Arial"/>
                <w:sz w:val="14"/>
                <w:szCs w:val="14"/>
              </w:rPr>
              <w:t>13.185.4</w:t>
            </w:r>
            <w:r w:rsidR="009B4BDD" w:rsidRPr="00133704">
              <w:rPr>
                <w:rFonts w:ascii="Arial" w:hAnsi="Arial" w:cs="Arial"/>
                <w:sz w:val="14"/>
                <w:szCs w:val="14"/>
              </w:rPr>
              <w:t>79</w:t>
            </w:r>
          </w:p>
        </w:tc>
        <w:tc>
          <w:tcPr>
            <w:tcW w:w="1323" w:type="dxa"/>
            <w:tcBorders>
              <w:top w:val="nil"/>
              <w:left w:val="nil"/>
              <w:bottom w:val="nil"/>
              <w:right w:val="nil"/>
            </w:tcBorders>
            <w:shd w:val="clear" w:color="auto" w:fill="auto"/>
            <w:noWrap/>
            <w:vAlign w:val="center"/>
            <w:hideMark/>
          </w:tcPr>
          <w:p w14:paraId="77E074E3" w14:textId="13C334C6" w:rsidR="00686F14" w:rsidRPr="00133704" w:rsidRDefault="00686F14" w:rsidP="00133704">
            <w:pPr>
              <w:jc w:val="right"/>
              <w:rPr>
                <w:rFonts w:ascii="Arial" w:hAnsi="Arial" w:cs="Arial"/>
                <w:sz w:val="14"/>
                <w:szCs w:val="14"/>
              </w:rPr>
            </w:pPr>
            <w:r w:rsidRPr="00133704">
              <w:rPr>
                <w:rFonts w:ascii="Arial" w:hAnsi="Arial" w:cs="Arial"/>
                <w:sz w:val="14"/>
                <w:szCs w:val="14"/>
              </w:rPr>
              <w:t>63.044</w:t>
            </w:r>
          </w:p>
        </w:tc>
        <w:tc>
          <w:tcPr>
            <w:tcW w:w="1119" w:type="dxa"/>
            <w:tcBorders>
              <w:top w:val="nil"/>
              <w:left w:val="nil"/>
              <w:bottom w:val="nil"/>
              <w:right w:val="nil"/>
            </w:tcBorders>
            <w:shd w:val="clear" w:color="auto" w:fill="auto"/>
            <w:noWrap/>
            <w:vAlign w:val="center"/>
            <w:hideMark/>
          </w:tcPr>
          <w:p w14:paraId="78F12DE9" w14:textId="5490188C" w:rsidR="00686F14" w:rsidRPr="00133704" w:rsidRDefault="00686F14" w:rsidP="00133704">
            <w:pPr>
              <w:jc w:val="right"/>
              <w:rPr>
                <w:rFonts w:ascii="Arial" w:hAnsi="Arial" w:cs="Arial"/>
                <w:sz w:val="14"/>
                <w:szCs w:val="14"/>
              </w:rPr>
            </w:pPr>
            <w:r w:rsidRPr="00133704">
              <w:rPr>
                <w:rFonts w:ascii="Arial" w:hAnsi="Arial" w:cs="Arial"/>
                <w:sz w:val="14"/>
                <w:szCs w:val="14"/>
              </w:rPr>
              <w:t>13.248.52</w:t>
            </w:r>
            <w:r w:rsidR="009B4BDD" w:rsidRPr="00133704">
              <w:rPr>
                <w:rFonts w:ascii="Arial" w:hAnsi="Arial" w:cs="Arial"/>
                <w:sz w:val="14"/>
                <w:szCs w:val="14"/>
              </w:rPr>
              <w:t>3</w:t>
            </w:r>
          </w:p>
        </w:tc>
      </w:tr>
      <w:tr w:rsidR="00133704" w:rsidRPr="00133704" w14:paraId="09C5823E" w14:textId="77777777" w:rsidTr="00133704">
        <w:tc>
          <w:tcPr>
            <w:tcW w:w="3514" w:type="dxa"/>
            <w:tcBorders>
              <w:top w:val="nil"/>
              <w:left w:val="nil"/>
              <w:bottom w:val="nil"/>
              <w:right w:val="nil"/>
            </w:tcBorders>
            <w:shd w:val="clear" w:color="auto" w:fill="auto"/>
            <w:hideMark/>
          </w:tcPr>
          <w:p w14:paraId="2C0C8E6E" w14:textId="77777777" w:rsidR="00686F14" w:rsidRPr="00133704" w:rsidRDefault="00686F14">
            <w:pPr>
              <w:rPr>
                <w:rFonts w:ascii="Arial" w:hAnsi="Arial" w:cs="Arial"/>
                <w:sz w:val="14"/>
                <w:szCs w:val="14"/>
              </w:rPr>
            </w:pPr>
          </w:p>
        </w:tc>
        <w:tc>
          <w:tcPr>
            <w:tcW w:w="0" w:type="auto"/>
            <w:tcBorders>
              <w:top w:val="nil"/>
              <w:left w:val="nil"/>
              <w:bottom w:val="nil"/>
              <w:right w:val="nil"/>
            </w:tcBorders>
            <w:shd w:val="clear" w:color="auto" w:fill="auto"/>
            <w:noWrap/>
            <w:hideMark/>
          </w:tcPr>
          <w:p w14:paraId="78C0D6E4" w14:textId="77777777" w:rsidR="00686F14" w:rsidRPr="00133704" w:rsidRDefault="00686F14">
            <w:pPr>
              <w:rPr>
                <w:sz w:val="14"/>
                <w:szCs w:val="14"/>
              </w:rPr>
            </w:pPr>
          </w:p>
        </w:tc>
        <w:tc>
          <w:tcPr>
            <w:tcW w:w="0" w:type="auto"/>
            <w:tcBorders>
              <w:top w:val="nil"/>
              <w:left w:val="nil"/>
              <w:bottom w:val="nil"/>
              <w:right w:val="nil"/>
            </w:tcBorders>
            <w:shd w:val="clear" w:color="auto" w:fill="auto"/>
            <w:noWrap/>
            <w:vAlign w:val="center"/>
            <w:hideMark/>
          </w:tcPr>
          <w:p w14:paraId="1900ED3B" w14:textId="77777777" w:rsidR="00686F14" w:rsidRPr="00133704" w:rsidRDefault="00686F14" w:rsidP="00133704">
            <w:pPr>
              <w:jc w:val="right"/>
              <w:rPr>
                <w:sz w:val="14"/>
                <w:szCs w:val="14"/>
              </w:rPr>
            </w:pPr>
          </w:p>
        </w:tc>
        <w:tc>
          <w:tcPr>
            <w:tcW w:w="0" w:type="auto"/>
            <w:tcBorders>
              <w:top w:val="nil"/>
              <w:left w:val="nil"/>
              <w:bottom w:val="nil"/>
              <w:right w:val="nil"/>
            </w:tcBorders>
            <w:shd w:val="clear" w:color="auto" w:fill="auto"/>
            <w:noWrap/>
            <w:vAlign w:val="center"/>
            <w:hideMark/>
          </w:tcPr>
          <w:p w14:paraId="47F875E7" w14:textId="77777777" w:rsidR="00686F14" w:rsidRPr="00133704" w:rsidRDefault="00686F14" w:rsidP="00133704">
            <w:pPr>
              <w:jc w:val="right"/>
              <w:rPr>
                <w:sz w:val="14"/>
                <w:szCs w:val="14"/>
              </w:rPr>
            </w:pPr>
          </w:p>
        </w:tc>
        <w:tc>
          <w:tcPr>
            <w:tcW w:w="0" w:type="auto"/>
            <w:tcBorders>
              <w:top w:val="nil"/>
              <w:left w:val="nil"/>
              <w:bottom w:val="nil"/>
              <w:right w:val="nil"/>
            </w:tcBorders>
            <w:shd w:val="clear" w:color="auto" w:fill="auto"/>
            <w:noWrap/>
            <w:vAlign w:val="center"/>
            <w:hideMark/>
          </w:tcPr>
          <w:p w14:paraId="00589596" w14:textId="77777777" w:rsidR="00686F14" w:rsidRPr="00133704" w:rsidRDefault="00686F14" w:rsidP="00133704">
            <w:pPr>
              <w:jc w:val="right"/>
              <w:rPr>
                <w:sz w:val="14"/>
                <w:szCs w:val="14"/>
              </w:rPr>
            </w:pPr>
          </w:p>
        </w:tc>
        <w:tc>
          <w:tcPr>
            <w:tcW w:w="0" w:type="auto"/>
            <w:tcBorders>
              <w:top w:val="nil"/>
              <w:left w:val="nil"/>
              <w:bottom w:val="nil"/>
              <w:right w:val="nil"/>
            </w:tcBorders>
            <w:shd w:val="clear" w:color="auto" w:fill="auto"/>
            <w:noWrap/>
            <w:vAlign w:val="center"/>
            <w:hideMark/>
          </w:tcPr>
          <w:p w14:paraId="076BC3CE" w14:textId="77777777" w:rsidR="00686F14" w:rsidRPr="00133704" w:rsidRDefault="00686F14" w:rsidP="00133704">
            <w:pPr>
              <w:jc w:val="right"/>
              <w:rPr>
                <w:sz w:val="14"/>
                <w:szCs w:val="14"/>
              </w:rPr>
            </w:pPr>
          </w:p>
        </w:tc>
        <w:tc>
          <w:tcPr>
            <w:tcW w:w="744" w:type="dxa"/>
            <w:tcBorders>
              <w:top w:val="nil"/>
              <w:left w:val="nil"/>
              <w:bottom w:val="nil"/>
              <w:right w:val="nil"/>
            </w:tcBorders>
            <w:shd w:val="clear" w:color="auto" w:fill="auto"/>
            <w:noWrap/>
            <w:vAlign w:val="center"/>
            <w:hideMark/>
          </w:tcPr>
          <w:p w14:paraId="4FCD4383" w14:textId="77777777" w:rsidR="00686F14" w:rsidRPr="00133704" w:rsidRDefault="00686F14" w:rsidP="00133704">
            <w:pPr>
              <w:jc w:val="right"/>
              <w:rPr>
                <w:sz w:val="14"/>
                <w:szCs w:val="14"/>
              </w:rPr>
            </w:pPr>
          </w:p>
        </w:tc>
        <w:tc>
          <w:tcPr>
            <w:tcW w:w="899" w:type="dxa"/>
            <w:tcBorders>
              <w:top w:val="nil"/>
              <w:left w:val="nil"/>
              <w:bottom w:val="nil"/>
              <w:right w:val="nil"/>
            </w:tcBorders>
            <w:shd w:val="clear" w:color="auto" w:fill="auto"/>
            <w:noWrap/>
            <w:vAlign w:val="center"/>
            <w:hideMark/>
          </w:tcPr>
          <w:p w14:paraId="10A3D607" w14:textId="77777777" w:rsidR="00686F14" w:rsidRPr="00133704" w:rsidRDefault="00686F14" w:rsidP="00133704">
            <w:pPr>
              <w:jc w:val="right"/>
              <w:rPr>
                <w:sz w:val="14"/>
                <w:szCs w:val="14"/>
              </w:rPr>
            </w:pPr>
          </w:p>
        </w:tc>
        <w:tc>
          <w:tcPr>
            <w:tcW w:w="0" w:type="auto"/>
            <w:tcBorders>
              <w:top w:val="nil"/>
              <w:left w:val="nil"/>
              <w:bottom w:val="nil"/>
              <w:right w:val="nil"/>
            </w:tcBorders>
            <w:shd w:val="clear" w:color="auto" w:fill="auto"/>
            <w:noWrap/>
            <w:vAlign w:val="center"/>
            <w:hideMark/>
          </w:tcPr>
          <w:p w14:paraId="7856916C" w14:textId="77777777" w:rsidR="00686F14" w:rsidRPr="00133704" w:rsidRDefault="00686F14" w:rsidP="00133704">
            <w:pPr>
              <w:jc w:val="right"/>
              <w:rPr>
                <w:sz w:val="14"/>
                <w:szCs w:val="14"/>
              </w:rPr>
            </w:pPr>
          </w:p>
        </w:tc>
        <w:tc>
          <w:tcPr>
            <w:tcW w:w="1286" w:type="dxa"/>
            <w:tcBorders>
              <w:top w:val="nil"/>
              <w:left w:val="nil"/>
              <w:bottom w:val="nil"/>
              <w:right w:val="nil"/>
            </w:tcBorders>
            <w:shd w:val="clear" w:color="auto" w:fill="auto"/>
            <w:noWrap/>
            <w:vAlign w:val="center"/>
            <w:hideMark/>
          </w:tcPr>
          <w:p w14:paraId="2C15D5FF" w14:textId="77777777" w:rsidR="00686F14" w:rsidRPr="00133704" w:rsidRDefault="00686F14" w:rsidP="00133704">
            <w:pPr>
              <w:jc w:val="right"/>
              <w:rPr>
                <w:sz w:val="14"/>
                <w:szCs w:val="14"/>
              </w:rPr>
            </w:pPr>
          </w:p>
        </w:tc>
        <w:tc>
          <w:tcPr>
            <w:tcW w:w="1323" w:type="dxa"/>
            <w:tcBorders>
              <w:top w:val="nil"/>
              <w:left w:val="nil"/>
              <w:bottom w:val="nil"/>
              <w:right w:val="nil"/>
            </w:tcBorders>
            <w:shd w:val="clear" w:color="auto" w:fill="auto"/>
            <w:noWrap/>
            <w:vAlign w:val="center"/>
            <w:hideMark/>
          </w:tcPr>
          <w:p w14:paraId="5CBF518E" w14:textId="77777777" w:rsidR="00686F14" w:rsidRPr="00133704" w:rsidRDefault="00686F14" w:rsidP="00133704">
            <w:pPr>
              <w:jc w:val="right"/>
              <w:rPr>
                <w:sz w:val="14"/>
                <w:szCs w:val="14"/>
              </w:rPr>
            </w:pPr>
          </w:p>
        </w:tc>
        <w:tc>
          <w:tcPr>
            <w:tcW w:w="1119" w:type="dxa"/>
            <w:tcBorders>
              <w:top w:val="nil"/>
              <w:left w:val="nil"/>
              <w:bottom w:val="nil"/>
              <w:right w:val="nil"/>
            </w:tcBorders>
            <w:shd w:val="clear" w:color="auto" w:fill="auto"/>
            <w:noWrap/>
            <w:vAlign w:val="center"/>
            <w:hideMark/>
          </w:tcPr>
          <w:p w14:paraId="32A89E16" w14:textId="77777777" w:rsidR="00686F14" w:rsidRPr="00133704" w:rsidRDefault="00686F14" w:rsidP="00133704">
            <w:pPr>
              <w:jc w:val="right"/>
              <w:rPr>
                <w:sz w:val="14"/>
                <w:szCs w:val="14"/>
              </w:rPr>
            </w:pPr>
          </w:p>
        </w:tc>
      </w:tr>
      <w:tr w:rsidR="00133704" w:rsidRPr="00133704" w14:paraId="502E75DD" w14:textId="77777777" w:rsidTr="00133704">
        <w:tc>
          <w:tcPr>
            <w:tcW w:w="3514" w:type="dxa"/>
            <w:tcBorders>
              <w:top w:val="nil"/>
              <w:left w:val="nil"/>
              <w:bottom w:val="nil"/>
              <w:right w:val="nil"/>
            </w:tcBorders>
            <w:shd w:val="clear" w:color="auto" w:fill="auto"/>
            <w:hideMark/>
          </w:tcPr>
          <w:p w14:paraId="79224C9A" w14:textId="5690E90E" w:rsidR="00686F14" w:rsidRPr="00133704" w:rsidRDefault="00686F14">
            <w:pPr>
              <w:rPr>
                <w:rFonts w:ascii="Arial" w:hAnsi="Arial" w:cs="Arial"/>
                <w:b/>
                <w:bCs/>
                <w:sz w:val="14"/>
                <w:szCs w:val="14"/>
              </w:rPr>
            </w:pPr>
            <w:r w:rsidRPr="00133704">
              <w:rPr>
                <w:rFonts w:ascii="Arial" w:hAnsi="Arial" w:cs="Arial"/>
                <w:b/>
                <w:bCs/>
                <w:sz w:val="14"/>
                <w:szCs w:val="14"/>
              </w:rPr>
              <w:t xml:space="preserve">Resultado total integral del </w:t>
            </w:r>
            <w:r w:rsidR="00F87BE3" w:rsidRPr="00133704">
              <w:rPr>
                <w:rFonts w:ascii="Arial" w:hAnsi="Arial" w:cs="Arial"/>
                <w:b/>
                <w:bCs/>
                <w:sz w:val="14"/>
                <w:szCs w:val="14"/>
              </w:rPr>
              <w:t>ejercicio</w:t>
            </w:r>
          </w:p>
        </w:tc>
        <w:tc>
          <w:tcPr>
            <w:tcW w:w="0" w:type="auto"/>
            <w:tcBorders>
              <w:top w:val="nil"/>
              <w:left w:val="nil"/>
              <w:bottom w:val="nil"/>
              <w:right w:val="nil"/>
            </w:tcBorders>
            <w:shd w:val="clear" w:color="auto" w:fill="auto"/>
            <w:noWrap/>
            <w:hideMark/>
          </w:tcPr>
          <w:p w14:paraId="33E1A61C" w14:textId="77777777" w:rsidR="00686F14" w:rsidRPr="00133704" w:rsidRDefault="00686F14">
            <w:pPr>
              <w:rPr>
                <w:rFonts w:ascii="Arial" w:hAnsi="Arial" w:cs="Arial"/>
                <w:b/>
                <w:bCs/>
                <w:sz w:val="14"/>
                <w:szCs w:val="14"/>
              </w:rPr>
            </w:pPr>
          </w:p>
        </w:tc>
        <w:tc>
          <w:tcPr>
            <w:tcW w:w="0" w:type="auto"/>
            <w:tcBorders>
              <w:top w:val="nil"/>
              <w:left w:val="nil"/>
              <w:bottom w:val="nil"/>
              <w:right w:val="nil"/>
            </w:tcBorders>
            <w:shd w:val="clear" w:color="auto" w:fill="auto"/>
            <w:noWrap/>
            <w:vAlign w:val="center"/>
            <w:hideMark/>
          </w:tcPr>
          <w:p w14:paraId="72AE44E1" w14:textId="48FC7B8C" w:rsidR="00686F14" w:rsidRPr="00133704" w:rsidRDefault="00686F14" w:rsidP="00133704">
            <w:pPr>
              <w:jc w:val="right"/>
              <w:rPr>
                <w:sz w:val="14"/>
                <w:szCs w:val="14"/>
              </w:rPr>
            </w:pPr>
          </w:p>
        </w:tc>
        <w:tc>
          <w:tcPr>
            <w:tcW w:w="0" w:type="auto"/>
            <w:tcBorders>
              <w:top w:val="nil"/>
              <w:left w:val="nil"/>
              <w:bottom w:val="nil"/>
              <w:right w:val="nil"/>
            </w:tcBorders>
            <w:shd w:val="clear" w:color="auto" w:fill="auto"/>
            <w:noWrap/>
            <w:vAlign w:val="center"/>
            <w:hideMark/>
          </w:tcPr>
          <w:p w14:paraId="56D9CB10" w14:textId="77777777" w:rsidR="00686F14" w:rsidRPr="00133704" w:rsidRDefault="00686F14" w:rsidP="00133704">
            <w:pPr>
              <w:jc w:val="right"/>
              <w:rPr>
                <w:sz w:val="14"/>
                <w:szCs w:val="14"/>
              </w:rPr>
            </w:pPr>
          </w:p>
        </w:tc>
        <w:tc>
          <w:tcPr>
            <w:tcW w:w="0" w:type="auto"/>
            <w:tcBorders>
              <w:top w:val="nil"/>
              <w:left w:val="nil"/>
              <w:bottom w:val="nil"/>
              <w:right w:val="nil"/>
            </w:tcBorders>
            <w:shd w:val="clear" w:color="auto" w:fill="auto"/>
            <w:noWrap/>
            <w:vAlign w:val="center"/>
            <w:hideMark/>
          </w:tcPr>
          <w:p w14:paraId="1AB276DB" w14:textId="77777777" w:rsidR="00686F14" w:rsidRPr="00133704" w:rsidRDefault="00686F14" w:rsidP="00133704">
            <w:pPr>
              <w:jc w:val="right"/>
              <w:rPr>
                <w:sz w:val="14"/>
                <w:szCs w:val="14"/>
              </w:rPr>
            </w:pPr>
          </w:p>
        </w:tc>
        <w:tc>
          <w:tcPr>
            <w:tcW w:w="0" w:type="auto"/>
            <w:tcBorders>
              <w:top w:val="nil"/>
              <w:left w:val="nil"/>
              <w:bottom w:val="nil"/>
              <w:right w:val="nil"/>
            </w:tcBorders>
            <w:shd w:val="clear" w:color="auto" w:fill="auto"/>
            <w:noWrap/>
            <w:vAlign w:val="center"/>
            <w:hideMark/>
          </w:tcPr>
          <w:p w14:paraId="7EA61586" w14:textId="77777777" w:rsidR="00686F14" w:rsidRPr="00133704" w:rsidRDefault="00686F14" w:rsidP="00133704">
            <w:pPr>
              <w:jc w:val="right"/>
              <w:rPr>
                <w:sz w:val="14"/>
                <w:szCs w:val="14"/>
              </w:rPr>
            </w:pPr>
          </w:p>
        </w:tc>
        <w:tc>
          <w:tcPr>
            <w:tcW w:w="744" w:type="dxa"/>
            <w:tcBorders>
              <w:top w:val="nil"/>
              <w:left w:val="nil"/>
              <w:bottom w:val="nil"/>
              <w:right w:val="nil"/>
            </w:tcBorders>
            <w:shd w:val="clear" w:color="auto" w:fill="auto"/>
            <w:noWrap/>
            <w:vAlign w:val="center"/>
            <w:hideMark/>
          </w:tcPr>
          <w:p w14:paraId="16354652" w14:textId="77777777" w:rsidR="00686F14" w:rsidRPr="00133704" w:rsidRDefault="00686F14" w:rsidP="00133704">
            <w:pPr>
              <w:jc w:val="right"/>
              <w:rPr>
                <w:sz w:val="14"/>
                <w:szCs w:val="14"/>
              </w:rPr>
            </w:pPr>
          </w:p>
        </w:tc>
        <w:tc>
          <w:tcPr>
            <w:tcW w:w="899" w:type="dxa"/>
            <w:tcBorders>
              <w:top w:val="nil"/>
              <w:left w:val="nil"/>
              <w:bottom w:val="nil"/>
              <w:right w:val="nil"/>
            </w:tcBorders>
            <w:shd w:val="clear" w:color="auto" w:fill="auto"/>
            <w:noWrap/>
            <w:vAlign w:val="center"/>
            <w:hideMark/>
          </w:tcPr>
          <w:p w14:paraId="14D76B58" w14:textId="77777777" w:rsidR="00686F14" w:rsidRPr="00133704" w:rsidRDefault="00686F14" w:rsidP="00133704">
            <w:pPr>
              <w:jc w:val="right"/>
              <w:rPr>
                <w:sz w:val="14"/>
                <w:szCs w:val="14"/>
              </w:rPr>
            </w:pPr>
          </w:p>
        </w:tc>
        <w:tc>
          <w:tcPr>
            <w:tcW w:w="0" w:type="auto"/>
            <w:tcBorders>
              <w:top w:val="nil"/>
              <w:left w:val="nil"/>
              <w:bottom w:val="nil"/>
              <w:right w:val="nil"/>
            </w:tcBorders>
            <w:shd w:val="clear" w:color="auto" w:fill="auto"/>
            <w:noWrap/>
            <w:vAlign w:val="center"/>
            <w:hideMark/>
          </w:tcPr>
          <w:p w14:paraId="273DC13F" w14:textId="77777777" w:rsidR="00686F14" w:rsidRPr="00133704" w:rsidRDefault="00686F14" w:rsidP="00133704">
            <w:pPr>
              <w:jc w:val="right"/>
              <w:rPr>
                <w:sz w:val="14"/>
                <w:szCs w:val="14"/>
              </w:rPr>
            </w:pPr>
          </w:p>
        </w:tc>
        <w:tc>
          <w:tcPr>
            <w:tcW w:w="1286" w:type="dxa"/>
            <w:tcBorders>
              <w:top w:val="nil"/>
              <w:left w:val="nil"/>
              <w:bottom w:val="nil"/>
              <w:right w:val="nil"/>
            </w:tcBorders>
            <w:shd w:val="clear" w:color="auto" w:fill="auto"/>
            <w:noWrap/>
            <w:vAlign w:val="center"/>
            <w:hideMark/>
          </w:tcPr>
          <w:p w14:paraId="072B6329" w14:textId="77777777" w:rsidR="00686F14" w:rsidRPr="00133704" w:rsidRDefault="00686F14" w:rsidP="00133704">
            <w:pPr>
              <w:jc w:val="right"/>
              <w:rPr>
                <w:sz w:val="14"/>
                <w:szCs w:val="14"/>
              </w:rPr>
            </w:pPr>
          </w:p>
        </w:tc>
        <w:tc>
          <w:tcPr>
            <w:tcW w:w="1323" w:type="dxa"/>
            <w:tcBorders>
              <w:top w:val="nil"/>
              <w:left w:val="nil"/>
              <w:bottom w:val="nil"/>
              <w:right w:val="nil"/>
            </w:tcBorders>
            <w:shd w:val="clear" w:color="auto" w:fill="auto"/>
            <w:noWrap/>
            <w:vAlign w:val="center"/>
            <w:hideMark/>
          </w:tcPr>
          <w:p w14:paraId="2687C422" w14:textId="77777777" w:rsidR="00686F14" w:rsidRPr="00133704" w:rsidRDefault="00686F14" w:rsidP="00133704">
            <w:pPr>
              <w:jc w:val="right"/>
              <w:rPr>
                <w:sz w:val="14"/>
                <w:szCs w:val="14"/>
              </w:rPr>
            </w:pPr>
          </w:p>
        </w:tc>
        <w:tc>
          <w:tcPr>
            <w:tcW w:w="1119" w:type="dxa"/>
            <w:tcBorders>
              <w:top w:val="nil"/>
              <w:left w:val="nil"/>
              <w:bottom w:val="nil"/>
              <w:right w:val="nil"/>
            </w:tcBorders>
            <w:shd w:val="clear" w:color="auto" w:fill="auto"/>
            <w:noWrap/>
            <w:vAlign w:val="center"/>
            <w:hideMark/>
          </w:tcPr>
          <w:p w14:paraId="417C1495" w14:textId="77777777" w:rsidR="00686F14" w:rsidRPr="00133704" w:rsidRDefault="00686F14" w:rsidP="00133704">
            <w:pPr>
              <w:jc w:val="right"/>
              <w:rPr>
                <w:sz w:val="14"/>
                <w:szCs w:val="14"/>
              </w:rPr>
            </w:pPr>
          </w:p>
        </w:tc>
      </w:tr>
      <w:tr w:rsidR="00133704" w:rsidRPr="00133704" w14:paraId="774D5C40" w14:textId="77777777" w:rsidTr="00133704">
        <w:tc>
          <w:tcPr>
            <w:tcW w:w="3514" w:type="dxa"/>
            <w:tcBorders>
              <w:top w:val="nil"/>
              <w:left w:val="nil"/>
              <w:bottom w:val="nil"/>
              <w:right w:val="nil"/>
            </w:tcBorders>
            <w:shd w:val="clear" w:color="auto" w:fill="auto"/>
            <w:hideMark/>
          </w:tcPr>
          <w:p w14:paraId="216C820B" w14:textId="74E92624" w:rsidR="00133704" w:rsidRPr="00133704" w:rsidRDefault="00133704" w:rsidP="00133704">
            <w:pPr>
              <w:rPr>
                <w:rFonts w:ascii="Arial" w:hAnsi="Arial" w:cs="Arial"/>
                <w:sz w:val="14"/>
                <w:szCs w:val="14"/>
              </w:rPr>
            </w:pPr>
            <w:r w:rsidRPr="00133704">
              <w:rPr>
                <w:rFonts w:ascii="Arial" w:hAnsi="Arial" w:cs="Arial"/>
                <w:sz w:val="14"/>
                <w:szCs w:val="14"/>
              </w:rPr>
              <w:t>- Resultado neto del ejercicio</w:t>
            </w:r>
          </w:p>
        </w:tc>
        <w:tc>
          <w:tcPr>
            <w:tcW w:w="0" w:type="auto"/>
            <w:tcBorders>
              <w:top w:val="nil"/>
              <w:left w:val="nil"/>
              <w:bottom w:val="nil"/>
              <w:right w:val="nil"/>
            </w:tcBorders>
            <w:shd w:val="clear" w:color="auto" w:fill="auto"/>
            <w:noWrap/>
            <w:hideMark/>
          </w:tcPr>
          <w:p w14:paraId="5AC5A2E8" w14:textId="77777777" w:rsidR="00133704" w:rsidRPr="00133704" w:rsidRDefault="00133704" w:rsidP="00133704">
            <w:pPr>
              <w:rPr>
                <w:rFonts w:ascii="Arial" w:hAnsi="Arial" w:cs="Arial"/>
                <w:sz w:val="14"/>
                <w:szCs w:val="14"/>
              </w:rPr>
            </w:pPr>
          </w:p>
        </w:tc>
        <w:tc>
          <w:tcPr>
            <w:tcW w:w="0" w:type="auto"/>
            <w:tcBorders>
              <w:top w:val="nil"/>
              <w:left w:val="nil"/>
              <w:bottom w:val="nil"/>
              <w:right w:val="nil"/>
            </w:tcBorders>
            <w:shd w:val="clear" w:color="auto" w:fill="auto"/>
            <w:noWrap/>
            <w:vAlign w:val="center"/>
            <w:hideMark/>
          </w:tcPr>
          <w:p w14:paraId="6B077FFC" w14:textId="59CFF03E"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57632ECF" w14:textId="56BA2562"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4F659ADC" w14:textId="2CEC3BB4"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080D78DA" w14:textId="13252BE7"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744" w:type="dxa"/>
            <w:tcBorders>
              <w:top w:val="nil"/>
              <w:left w:val="nil"/>
              <w:bottom w:val="nil"/>
              <w:right w:val="nil"/>
            </w:tcBorders>
            <w:shd w:val="clear" w:color="auto" w:fill="auto"/>
            <w:noWrap/>
            <w:vAlign w:val="center"/>
            <w:hideMark/>
          </w:tcPr>
          <w:p w14:paraId="018D6400" w14:textId="10F510B5"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899" w:type="dxa"/>
            <w:tcBorders>
              <w:top w:val="nil"/>
              <w:left w:val="nil"/>
              <w:bottom w:val="nil"/>
              <w:right w:val="nil"/>
            </w:tcBorders>
            <w:shd w:val="clear" w:color="auto" w:fill="auto"/>
            <w:noWrap/>
            <w:vAlign w:val="center"/>
            <w:hideMark/>
          </w:tcPr>
          <w:p w14:paraId="2841F39F" w14:textId="12E47465"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052BE745" w14:textId="68D48CD4" w:rsidR="00133704" w:rsidRPr="00133704" w:rsidRDefault="00133704" w:rsidP="00133704">
            <w:pPr>
              <w:jc w:val="right"/>
              <w:rPr>
                <w:rFonts w:ascii="Arial" w:hAnsi="Arial" w:cs="Arial"/>
                <w:sz w:val="14"/>
                <w:szCs w:val="14"/>
              </w:rPr>
            </w:pPr>
            <w:r w:rsidRPr="00133704">
              <w:rPr>
                <w:rFonts w:ascii="Arial" w:hAnsi="Arial" w:cs="Arial"/>
                <w:sz w:val="14"/>
                <w:szCs w:val="14"/>
              </w:rPr>
              <w:t>3.3</w:t>
            </w:r>
            <w:r w:rsidR="00CC2DDE">
              <w:rPr>
                <w:rFonts w:ascii="Arial" w:hAnsi="Arial" w:cs="Arial"/>
                <w:sz w:val="14"/>
                <w:szCs w:val="14"/>
              </w:rPr>
              <w:t>20</w:t>
            </w:r>
            <w:r w:rsidRPr="00133704">
              <w:rPr>
                <w:rFonts w:ascii="Arial" w:hAnsi="Arial" w:cs="Arial"/>
                <w:sz w:val="14"/>
                <w:szCs w:val="14"/>
              </w:rPr>
              <w:t>.</w:t>
            </w:r>
            <w:r w:rsidR="00CC2DDE">
              <w:rPr>
                <w:rFonts w:ascii="Arial" w:hAnsi="Arial" w:cs="Arial"/>
                <w:sz w:val="14"/>
                <w:szCs w:val="14"/>
              </w:rPr>
              <w:t>416</w:t>
            </w:r>
          </w:p>
        </w:tc>
        <w:tc>
          <w:tcPr>
            <w:tcW w:w="1286" w:type="dxa"/>
            <w:tcBorders>
              <w:top w:val="nil"/>
              <w:left w:val="nil"/>
              <w:bottom w:val="nil"/>
              <w:right w:val="nil"/>
            </w:tcBorders>
            <w:shd w:val="clear" w:color="auto" w:fill="auto"/>
            <w:noWrap/>
            <w:vAlign w:val="center"/>
          </w:tcPr>
          <w:p w14:paraId="0053EC25" w14:textId="4BACCBD9" w:rsidR="00133704" w:rsidRPr="00133704" w:rsidRDefault="00133704" w:rsidP="00133704">
            <w:pPr>
              <w:jc w:val="right"/>
              <w:rPr>
                <w:rFonts w:ascii="Arial" w:hAnsi="Arial" w:cs="Arial"/>
                <w:sz w:val="14"/>
                <w:szCs w:val="14"/>
              </w:rPr>
            </w:pPr>
            <w:r w:rsidRPr="00133704">
              <w:rPr>
                <w:rFonts w:ascii="Arial" w:hAnsi="Arial" w:cs="Arial"/>
                <w:sz w:val="14"/>
                <w:szCs w:val="14"/>
              </w:rPr>
              <w:t>3.3</w:t>
            </w:r>
            <w:r w:rsidR="0055254F">
              <w:rPr>
                <w:rFonts w:ascii="Arial" w:hAnsi="Arial" w:cs="Arial"/>
                <w:sz w:val="14"/>
                <w:szCs w:val="14"/>
              </w:rPr>
              <w:t>20</w:t>
            </w:r>
            <w:r w:rsidRPr="00133704">
              <w:rPr>
                <w:rFonts w:ascii="Arial" w:hAnsi="Arial" w:cs="Arial"/>
                <w:sz w:val="14"/>
                <w:szCs w:val="14"/>
              </w:rPr>
              <w:t>.</w:t>
            </w:r>
            <w:r w:rsidR="0055254F">
              <w:rPr>
                <w:rFonts w:ascii="Arial" w:hAnsi="Arial" w:cs="Arial"/>
                <w:sz w:val="14"/>
                <w:szCs w:val="14"/>
              </w:rPr>
              <w:t>416</w:t>
            </w:r>
          </w:p>
        </w:tc>
        <w:tc>
          <w:tcPr>
            <w:tcW w:w="1323" w:type="dxa"/>
            <w:tcBorders>
              <w:top w:val="nil"/>
              <w:left w:val="nil"/>
              <w:bottom w:val="nil"/>
              <w:right w:val="nil"/>
            </w:tcBorders>
            <w:shd w:val="clear" w:color="auto" w:fill="auto"/>
            <w:noWrap/>
            <w:vAlign w:val="center"/>
          </w:tcPr>
          <w:p w14:paraId="2E96E766" w14:textId="12409B27" w:rsidR="00133704" w:rsidRPr="00133704" w:rsidRDefault="00133704" w:rsidP="00133704">
            <w:pPr>
              <w:jc w:val="right"/>
              <w:rPr>
                <w:rFonts w:ascii="Arial" w:hAnsi="Arial" w:cs="Arial"/>
                <w:sz w:val="14"/>
                <w:szCs w:val="14"/>
              </w:rPr>
            </w:pPr>
            <w:r w:rsidRPr="00133704">
              <w:rPr>
                <w:rFonts w:ascii="Arial" w:hAnsi="Arial" w:cs="Arial"/>
                <w:sz w:val="14"/>
                <w:szCs w:val="14"/>
              </w:rPr>
              <w:t>-12.089</w:t>
            </w:r>
          </w:p>
        </w:tc>
        <w:tc>
          <w:tcPr>
            <w:tcW w:w="1119" w:type="dxa"/>
            <w:tcBorders>
              <w:top w:val="nil"/>
              <w:left w:val="nil"/>
              <w:bottom w:val="nil"/>
              <w:right w:val="nil"/>
            </w:tcBorders>
            <w:shd w:val="clear" w:color="auto" w:fill="auto"/>
            <w:noWrap/>
            <w:vAlign w:val="center"/>
          </w:tcPr>
          <w:p w14:paraId="6E380CBB" w14:textId="25E6FAC4" w:rsidR="00133704" w:rsidRPr="00133704" w:rsidRDefault="00133704" w:rsidP="00133704">
            <w:pPr>
              <w:jc w:val="right"/>
              <w:rPr>
                <w:rFonts w:ascii="Arial" w:hAnsi="Arial" w:cs="Arial"/>
                <w:sz w:val="14"/>
                <w:szCs w:val="14"/>
              </w:rPr>
            </w:pPr>
            <w:r w:rsidRPr="00133704">
              <w:rPr>
                <w:rFonts w:ascii="Arial" w:hAnsi="Arial" w:cs="Arial"/>
                <w:sz w:val="14"/>
                <w:szCs w:val="14"/>
              </w:rPr>
              <w:t>3.3</w:t>
            </w:r>
            <w:r w:rsidR="0055254F">
              <w:rPr>
                <w:rFonts w:ascii="Arial" w:hAnsi="Arial" w:cs="Arial"/>
                <w:sz w:val="14"/>
                <w:szCs w:val="14"/>
              </w:rPr>
              <w:t>08</w:t>
            </w:r>
            <w:r w:rsidRPr="00133704">
              <w:rPr>
                <w:rFonts w:ascii="Arial" w:hAnsi="Arial" w:cs="Arial"/>
                <w:sz w:val="14"/>
                <w:szCs w:val="14"/>
              </w:rPr>
              <w:t>.</w:t>
            </w:r>
            <w:r w:rsidR="0055254F">
              <w:rPr>
                <w:rFonts w:ascii="Arial" w:hAnsi="Arial" w:cs="Arial"/>
                <w:sz w:val="14"/>
                <w:szCs w:val="14"/>
              </w:rPr>
              <w:t>327</w:t>
            </w:r>
          </w:p>
        </w:tc>
      </w:tr>
      <w:tr w:rsidR="00133704" w:rsidRPr="00133704" w14:paraId="5F8698C6" w14:textId="77777777" w:rsidTr="00133704">
        <w:tc>
          <w:tcPr>
            <w:tcW w:w="3514" w:type="dxa"/>
            <w:tcBorders>
              <w:top w:val="nil"/>
              <w:left w:val="nil"/>
              <w:bottom w:val="nil"/>
              <w:right w:val="nil"/>
            </w:tcBorders>
            <w:shd w:val="clear" w:color="auto" w:fill="auto"/>
            <w:vAlign w:val="center"/>
            <w:hideMark/>
          </w:tcPr>
          <w:p w14:paraId="6DD904A6" w14:textId="2B81FC56" w:rsidR="00133704" w:rsidRPr="00133704" w:rsidRDefault="00133704" w:rsidP="00133704">
            <w:pPr>
              <w:rPr>
                <w:rFonts w:ascii="Arial" w:hAnsi="Arial" w:cs="Arial"/>
                <w:sz w:val="14"/>
                <w:szCs w:val="14"/>
              </w:rPr>
            </w:pPr>
            <w:r w:rsidRPr="00133704">
              <w:rPr>
                <w:rFonts w:ascii="Arial" w:hAnsi="Arial" w:cs="Arial"/>
                <w:sz w:val="14"/>
                <w:szCs w:val="14"/>
              </w:rPr>
              <w:t>- Otro Resultado Integral del ejercicio</w:t>
            </w:r>
          </w:p>
        </w:tc>
        <w:tc>
          <w:tcPr>
            <w:tcW w:w="0" w:type="auto"/>
            <w:tcBorders>
              <w:top w:val="nil"/>
              <w:left w:val="nil"/>
              <w:bottom w:val="nil"/>
              <w:right w:val="nil"/>
            </w:tcBorders>
            <w:shd w:val="clear" w:color="auto" w:fill="auto"/>
            <w:noWrap/>
            <w:hideMark/>
          </w:tcPr>
          <w:p w14:paraId="399448D2" w14:textId="77777777" w:rsidR="00133704" w:rsidRPr="00133704" w:rsidRDefault="00133704" w:rsidP="00133704">
            <w:pPr>
              <w:rPr>
                <w:rFonts w:ascii="Arial" w:hAnsi="Arial" w:cs="Arial"/>
                <w:sz w:val="14"/>
                <w:szCs w:val="14"/>
              </w:rPr>
            </w:pPr>
          </w:p>
        </w:tc>
        <w:tc>
          <w:tcPr>
            <w:tcW w:w="0" w:type="auto"/>
            <w:tcBorders>
              <w:top w:val="nil"/>
              <w:left w:val="nil"/>
              <w:bottom w:val="nil"/>
              <w:right w:val="nil"/>
            </w:tcBorders>
            <w:shd w:val="clear" w:color="auto" w:fill="auto"/>
            <w:noWrap/>
            <w:vAlign w:val="center"/>
            <w:hideMark/>
          </w:tcPr>
          <w:p w14:paraId="08BA6527" w14:textId="1B7F20B0"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0303FC67" w14:textId="1AD50A0A"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307562DF" w14:textId="0DB2F59F" w:rsidR="00133704" w:rsidRPr="00133704" w:rsidRDefault="00133704" w:rsidP="00133704">
            <w:pPr>
              <w:jc w:val="right"/>
              <w:rPr>
                <w:rFonts w:ascii="Arial" w:hAnsi="Arial" w:cs="Arial"/>
                <w:sz w:val="14"/>
                <w:szCs w:val="14"/>
              </w:rPr>
            </w:pPr>
            <w:r w:rsidRPr="00133704">
              <w:rPr>
                <w:rFonts w:ascii="Arial" w:hAnsi="Arial" w:cs="Arial"/>
                <w:sz w:val="14"/>
                <w:szCs w:val="14"/>
              </w:rPr>
              <w:t>449.006</w:t>
            </w:r>
          </w:p>
        </w:tc>
        <w:tc>
          <w:tcPr>
            <w:tcW w:w="0" w:type="auto"/>
            <w:tcBorders>
              <w:top w:val="nil"/>
              <w:left w:val="nil"/>
              <w:bottom w:val="nil"/>
              <w:right w:val="nil"/>
            </w:tcBorders>
            <w:shd w:val="clear" w:color="auto" w:fill="auto"/>
            <w:noWrap/>
            <w:vAlign w:val="center"/>
          </w:tcPr>
          <w:p w14:paraId="2AB258BA" w14:textId="104C6C60" w:rsidR="00133704" w:rsidRPr="00133704" w:rsidRDefault="00133704" w:rsidP="00133704">
            <w:pPr>
              <w:jc w:val="right"/>
              <w:rPr>
                <w:rFonts w:ascii="Arial" w:hAnsi="Arial" w:cs="Arial"/>
                <w:sz w:val="14"/>
                <w:szCs w:val="14"/>
              </w:rPr>
            </w:pPr>
            <w:r w:rsidRPr="00133704">
              <w:rPr>
                <w:rFonts w:ascii="Arial" w:hAnsi="Arial" w:cs="Arial"/>
                <w:sz w:val="14"/>
                <w:szCs w:val="14"/>
              </w:rPr>
              <w:t>7.226</w:t>
            </w:r>
          </w:p>
        </w:tc>
        <w:tc>
          <w:tcPr>
            <w:tcW w:w="744" w:type="dxa"/>
            <w:tcBorders>
              <w:top w:val="nil"/>
              <w:left w:val="nil"/>
              <w:bottom w:val="nil"/>
              <w:right w:val="nil"/>
            </w:tcBorders>
            <w:shd w:val="clear" w:color="auto" w:fill="auto"/>
            <w:noWrap/>
            <w:vAlign w:val="center"/>
          </w:tcPr>
          <w:p w14:paraId="586EF397" w14:textId="5753DF10"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899" w:type="dxa"/>
            <w:tcBorders>
              <w:top w:val="nil"/>
              <w:left w:val="nil"/>
              <w:bottom w:val="nil"/>
              <w:right w:val="nil"/>
            </w:tcBorders>
            <w:shd w:val="clear" w:color="auto" w:fill="auto"/>
            <w:noWrap/>
            <w:vAlign w:val="center"/>
          </w:tcPr>
          <w:p w14:paraId="3383C751" w14:textId="47A14C9E"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618231A2" w14:textId="056151FC"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1286" w:type="dxa"/>
            <w:tcBorders>
              <w:top w:val="nil"/>
              <w:left w:val="nil"/>
              <w:bottom w:val="nil"/>
              <w:right w:val="nil"/>
            </w:tcBorders>
            <w:shd w:val="clear" w:color="auto" w:fill="auto"/>
            <w:noWrap/>
            <w:vAlign w:val="center"/>
          </w:tcPr>
          <w:p w14:paraId="5AB7116E" w14:textId="47BDD82A" w:rsidR="00133704" w:rsidRPr="00133704" w:rsidRDefault="00133704" w:rsidP="00133704">
            <w:pPr>
              <w:jc w:val="right"/>
              <w:rPr>
                <w:rFonts w:ascii="Arial" w:hAnsi="Arial" w:cs="Arial"/>
                <w:sz w:val="14"/>
                <w:szCs w:val="14"/>
              </w:rPr>
            </w:pPr>
            <w:r w:rsidRPr="00133704">
              <w:rPr>
                <w:rFonts w:ascii="Arial" w:hAnsi="Arial" w:cs="Arial"/>
                <w:sz w:val="14"/>
                <w:szCs w:val="14"/>
              </w:rPr>
              <w:t>456.232</w:t>
            </w:r>
          </w:p>
        </w:tc>
        <w:tc>
          <w:tcPr>
            <w:tcW w:w="1323" w:type="dxa"/>
            <w:tcBorders>
              <w:top w:val="nil"/>
              <w:left w:val="nil"/>
              <w:bottom w:val="nil"/>
              <w:right w:val="nil"/>
            </w:tcBorders>
            <w:shd w:val="clear" w:color="auto" w:fill="auto"/>
            <w:noWrap/>
            <w:vAlign w:val="center"/>
          </w:tcPr>
          <w:p w14:paraId="3C249349" w14:textId="6E6B29D8" w:rsidR="00133704" w:rsidRPr="00133704" w:rsidRDefault="00133704" w:rsidP="00133704">
            <w:pPr>
              <w:jc w:val="right"/>
              <w:rPr>
                <w:rFonts w:ascii="Arial" w:hAnsi="Arial" w:cs="Arial"/>
                <w:sz w:val="14"/>
                <w:szCs w:val="14"/>
              </w:rPr>
            </w:pPr>
            <w:r w:rsidRPr="00133704">
              <w:rPr>
                <w:rFonts w:ascii="Arial" w:hAnsi="Arial" w:cs="Arial"/>
                <w:sz w:val="14"/>
                <w:szCs w:val="14"/>
              </w:rPr>
              <w:t>-</w:t>
            </w:r>
          </w:p>
        </w:tc>
        <w:tc>
          <w:tcPr>
            <w:tcW w:w="1119" w:type="dxa"/>
            <w:tcBorders>
              <w:top w:val="nil"/>
              <w:left w:val="nil"/>
              <w:bottom w:val="nil"/>
              <w:right w:val="nil"/>
            </w:tcBorders>
            <w:shd w:val="clear" w:color="auto" w:fill="auto"/>
            <w:noWrap/>
            <w:vAlign w:val="center"/>
          </w:tcPr>
          <w:p w14:paraId="623327B1" w14:textId="1BB35E08" w:rsidR="00133704" w:rsidRPr="00133704" w:rsidRDefault="00133704" w:rsidP="00133704">
            <w:pPr>
              <w:jc w:val="right"/>
              <w:rPr>
                <w:rFonts w:ascii="Arial" w:hAnsi="Arial" w:cs="Arial"/>
                <w:sz w:val="14"/>
                <w:szCs w:val="14"/>
              </w:rPr>
            </w:pPr>
            <w:r w:rsidRPr="00133704">
              <w:rPr>
                <w:rFonts w:ascii="Arial" w:hAnsi="Arial" w:cs="Arial"/>
                <w:sz w:val="14"/>
                <w:szCs w:val="14"/>
              </w:rPr>
              <w:t>456.232</w:t>
            </w:r>
          </w:p>
        </w:tc>
      </w:tr>
      <w:tr w:rsidR="00133704" w:rsidRPr="00133704" w14:paraId="048B9B8E" w14:textId="77777777" w:rsidTr="00133704">
        <w:tc>
          <w:tcPr>
            <w:tcW w:w="3514" w:type="dxa"/>
            <w:tcBorders>
              <w:top w:val="nil"/>
              <w:left w:val="nil"/>
              <w:bottom w:val="nil"/>
              <w:right w:val="nil"/>
            </w:tcBorders>
            <w:shd w:val="clear" w:color="auto" w:fill="auto"/>
            <w:vAlign w:val="center"/>
          </w:tcPr>
          <w:p w14:paraId="20D22740" w14:textId="603CA72C" w:rsidR="004C606B" w:rsidRPr="00133704" w:rsidRDefault="004C606B" w:rsidP="00AF348A">
            <w:pPr>
              <w:rPr>
                <w:rFonts w:ascii="Arial" w:hAnsi="Arial" w:cs="Arial"/>
                <w:sz w:val="14"/>
                <w:szCs w:val="14"/>
              </w:rPr>
            </w:pPr>
            <w:r w:rsidRPr="00133704">
              <w:rPr>
                <w:rFonts w:ascii="Arial" w:hAnsi="Arial" w:cs="Arial"/>
                <w:sz w:val="14"/>
                <w:szCs w:val="14"/>
              </w:rPr>
              <w:t>- Distribución de resultados no asignados, aprobados por la Asamblea Ordinaria de Accionistas del 12/04/2019.</w:t>
            </w:r>
          </w:p>
        </w:tc>
        <w:tc>
          <w:tcPr>
            <w:tcW w:w="0" w:type="auto"/>
            <w:tcBorders>
              <w:top w:val="nil"/>
              <w:left w:val="nil"/>
              <w:bottom w:val="nil"/>
              <w:right w:val="nil"/>
            </w:tcBorders>
            <w:shd w:val="clear" w:color="auto" w:fill="auto"/>
            <w:noWrap/>
            <w:vAlign w:val="center"/>
          </w:tcPr>
          <w:p w14:paraId="39389100" w14:textId="77777777" w:rsidR="004C606B" w:rsidRPr="00133704" w:rsidRDefault="004C606B" w:rsidP="004C606B">
            <w:pPr>
              <w:rPr>
                <w:rFonts w:ascii="Arial" w:hAnsi="Arial" w:cs="Arial"/>
                <w:sz w:val="14"/>
                <w:szCs w:val="14"/>
              </w:rPr>
            </w:pPr>
          </w:p>
        </w:tc>
        <w:tc>
          <w:tcPr>
            <w:tcW w:w="0" w:type="auto"/>
            <w:tcBorders>
              <w:top w:val="nil"/>
              <w:left w:val="nil"/>
              <w:bottom w:val="nil"/>
              <w:right w:val="nil"/>
            </w:tcBorders>
            <w:shd w:val="clear" w:color="auto" w:fill="auto"/>
            <w:noWrap/>
            <w:vAlign w:val="center"/>
          </w:tcPr>
          <w:p w14:paraId="4A1F832B" w14:textId="1AC95D7F" w:rsidR="004C606B" w:rsidRPr="00133704" w:rsidRDefault="004C606B" w:rsidP="00133704">
            <w:pPr>
              <w:jc w:val="right"/>
              <w:rPr>
                <w:rFonts w:ascii="Arial" w:hAnsi="Arial" w:cs="Arial"/>
                <w:sz w:val="14"/>
                <w:szCs w:val="14"/>
              </w:rPr>
            </w:pPr>
          </w:p>
        </w:tc>
        <w:tc>
          <w:tcPr>
            <w:tcW w:w="0" w:type="auto"/>
            <w:tcBorders>
              <w:top w:val="nil"/>
              <w:left w:val="nil"/>
              <w:bottom w:val="nil"/>
              <w:right w:val="nil"/>
            </w:tcBorders>
            <w:shd w:val="clear" w:color="auto" w:fill="auto"/>
            <w:noWrap/>
            <w:vAlign w:val="center"/>
          </w:tcPr>
          <w:p w14:paraId="35F7DE1D" w14:textId="3A149673" w:rsidR="004C606B" w:rsidRPr="00133704" w:rsidRDefault="004C606B" w:rsidP="00133704">
            <w:pPr>
              <w:jc w:val="right"/>
              <w:rPr>
                <w:rFonts w:ascii="Arial" w:hAnsi="Arial" w:cs="Arial"/>
                <w:sz w:val="14"/>
                <w:szCs w:val="14"/>
              </w:rPr>
            </w:pPr>
          </w:p>
        </w:tc>
        <w:tc>
          <w:tcPr>
            <w:tcW w:w="0" w:type="auto"/>
            <w:tcBorders>
              <w:top w:val="nil"/>
              <w:left w:val="nil"/>
              <w:bottom w:val="nil"/>
              <w:right w:val="nil"/>
            </w:tcBorders>
            <w:shd w:val="clear" w:color="auto" w:fill="auto"/>
            <w:noWrap/>
            <w:vAlign w:val="center"/>
          </w:tcPr>
          <w:p w14:paraId="0110E20B" w14:textId="42DC84EE" w:rsidR="004C606B" w:rsidRPr="00133704" w:rsidRDefault="004C606B" w:rsidP="00133704">
            <w:pPr>
              <w:jc w:val="right"/>
              <w:rPr>
                <w:rFonts w:ascii="Arial" w:hAnsi="Arial" w:cs="Arial"/>
                <w:sz w:val="14"/>
                <w:szCs w:val="14"/>
              </w:rPr>
            </w:pPr>
          </w:p>
        </w:tc>
        <w:tc>
          <w:tcPr>
            <w:tcW w:w="0" w:type="auto"/>
            <w:tcBorders>
              <w:top w:val="nil"/>
              <w:left w:val="nil"/>
              <w:bottom w:val="nil"/>
              <w:right w:val="nil"/>
            </w:tcBorders>
            <w:shd w:val="clear" w:color="auto" w:fill="auto"/>
            <w:noWrap/>
            <w:vAlign w:val="center"/>
          </w:tcPr>
          <w:p w14:paraId="7FBC7BDC" w14:textId="20E47F6C" w:rsidR="004C606B" w:rsidRPr="00133704" w:rsidRDefault="004C606B" w:rsidP="00133704">
            <w:pPr>
              <w:jc w:val="right"/>
              <w:rPr>
                <w:rFonts w:ascii="Arial" w:hAnsi="Arial" w:cs="Arial"/>
                <w:sz w:val="14"/>
                <w:szCs w:val="14"/>
              </w:rPr>
            </w:pPr>
          </w:p>
        </w:tc>
        <w:tc>
          <w:tcPr>
            <w:tcW w:w="744" w:type="dxa"/>
            <w:tcBorders>
              <w:top w:val="nil"/>
              <w:left w:val="nil"/>
              <w:bottom w:val="nil"/>
              <w:right w:val="nil"/>
            </w:tcBorders>
            <w:shd w:val="clear" w:color="auto" w:fill="auto"/>
            <w:noWrap/>
            <w:vAlign w:val="center"/>
          </w:tcPr>
          <w:p w14:paraId="7CE8AC24" w14:textId="78F9075B" w:rsidR="004C606B" w:rsidRPr="00133704" w:rsidRDefault="004C606B" w:rsidP="00133704">
            <w:pPr>
              <w:jc w:val="right"/>
              <w:rPr>
                <w:rFonts w:ascii="Arial" w:hAnsi="Arial" w:cs="Arial"/>
                <w:sz w:val="14"/>
                <w:szCs w:val="14"/>
              </w:rPr>
            </w:pPr>
          </w:p>
        </w:tc>
        <w:tc>
          <w:tcPr>
            <w:tcW w:w="899" w:type="dxa"/>
            <w:tcBorders>
              <w:top w:val="nil"/>
              <w:left w:val="nil"/>
              <w:bottom w:val="nil"/>
              <w:right w:val="nil"/>
            </w:tcBorders>
            <w:shd w:val="clear" w:color="auto" w:fill="auto"/>
            <w:noWrap/>
            <w:vAlign w:val="center"/>
          </w:tcPr>
          <w:p w14:paraId="0520EB2D" w14:textId="049C25F3" w:rsidR="004C606B" w:rsidRPr="00133704" w:rsidRDefault="004C606B" w:rsidP="00133704">
            <w:pPr>
              <w:jc w:val="right"/>
              <w:rPr>
                <w:rFonts w:ascii="Arial" w:hAnsi="Arial" w:cs="Arial"/>
                <w:sz w:val="14"/>
                <w:szCs w:val="14"/>
              </w:rPr>
            </w:pPr>
          </w:p>
        </w:tc>
        <w:tc>
          <w:tcPr>
            <w:tcW w:w="0" w:type="auto"/>
            <w:tcBorders>
              <w:top w:val="nil"/>
              <w:left w:val="nil"/>
              <w:bottom w:val="nil"/>
              <w:right w:val="nil"/>
            </w:tcBorders>
            <w:shd w:val="clear" w:color="auto" w:fill="auto"/>
            <w:noWrap/>
            <w:vAlign w:val="center"/>
          </w:tcPr>
          <w:p w14:paraId="5AEAC7D5" w14:textId="7568805D" w:rsidR="004C606B" w:rsidRPr="00133704" w:rsidRDefault="004C606B" w:rsidP="00133704">
            <w:pPr>
              <w:jc w:val="right"/>
              <w:rPr>
                <w:rFonts w:ascii="Arial" w:hAnsi="Arial" w:cs="Arial"/>
                <w:sz w:val="14"/>
                <w:szCs w:val="14"/>
              </w:rPr>
            </w:pPr>
          </w:p>
        </w:tc>
        <w:tc>
          <w:tcPr>
            <w:tcW w:w="1286" w:type="dxa"/>
            <w:tcBorders>
              <w:top w:val="nil"/>
              <w:left w:val="nil"/>
              <w:bottom w:val="nil"/>
              <w:right w:val="nil"/>
            </w:tcBorders>
            <w:shd w:val="clear" w:color="auto" w:fill="auto"/>
            <w:noWrap/>
            <w:vAlign w:val="center"/>
          </w:tcPr>
          <w:p w14:paraId="7C010FD7" w14:textId="45116C9E" w:rsidR="004C606B" w:rsidRPr="00133704" w:rsidRDefault="004C606B" w:rsidP="00133704">
            <w:pPr>
              <w:jc w:val="right"/>
              <w:rPr>
                <w:rFonts w:ascii="Arial" w:hAnsi="Arial" w:cs="Arial"/>
                <w:sz w:val="14"/>
                <w:szCs w:val="14"/>
              </w:rPr>
            </w:pPr>
          </w:p>
        </w:tc>
        <w:tc>
          <w:tcPr>
            <w:tcW w:w="1323" w:type="dxa"/>
            <w:tcBorders>
              <w:top w:val="nil"/>
              <w:left w:val="nil"/>
              <w:bottom w:val="nil"/>
              <w:right w:val="nil"/>
            </w:tcBorders>
            <w:shd w:val="clear" w:color="auto" w:fill="auto"/>
            <w:noWrap/>
            <w:vAlign w:val="center"/>
          </w:tcPr>
          <w:p w14:paraId="4FC9A6A9" w14:textId="4880B48D" w:rsidR="004C606B" w:rsidRPr="00133704" w:rsidRDefault="004C606B" w:rsidP="00133704">
            <w:pPr>
              <w:jc w:val="right"/>
              <w:rPr>
                <w:rFonts w:ascii="Arial" w:hAnsi="Arial" w:cs="Arial"/>
                <w:sz w:val="14"/>
                <w:szCs w:val="14"/>
              </w:rPr>
            </w:pPr>
          </w:p>
        </w:tc>
        <w:tc>
          <w:tcPr>
            <w:tcW w:w="1119" w:type="dxa"/>
            <w:tcBorders>
              <w:top w:val="nil"/>
              <w:left w:val="nil"/>
              <w:bottom w:val="nil"/>
              <w:right w:val="nil"/>
            </w:tcBorders>
            <w:shd w:val="clear" w:color="auto" w:fill="auto"/>
            <w:noWrap/>
            <w:vAlign w:val="center"/>
          </w:tcPr>
          <w:p w14:paraId="060B8F78" w14:textId="0C9B662F" w:rsidR="004C606B" w:rsidRPr="00133704" w:rsidRDefault="004C606B" w:rsidP="00133704">
            <w:pPr>
              <w:jc w:val="right"/>
              <w:rPr>
                <w:rFonts w:ascii="Arial" w:hAnsi="Arial" w:cs="Arial"/>
                <w:sz w:val="14"/>
                <w:szCs w:val="14"/>
              </w:rPr>
            </w:pPr>
          </w:p>
        </w:tc>
      </w:tr>
      <w:tr w:rsidR="00133704" w:rsidRPr="00133704" w14:paraId="41B18521" w14:textId="77777777" w:rsidTr="00133704">
        <w:tc>
          <w:tcPr>
            <w:tcW w:w="3514" w:type="dxa"/>
            <w:tcBorders>
              <w:top w:val="nil"/>
              <w:left w:val="nil"/>
              <w:bottom w:val="nil"/>
              <w:right w:val="nil"/>
            </w:tcBorders>
            <w:shd w:val="clear" w:color="auto" w:fill="auto"/>
          </w:tcPr>
          <w:p w14:paraId="1F9E885E" w14:textId="3C9F1E5D" w:rsidR="004C606B" w:rsidRPr="00133704" w:rsidRDefault="004C606B" w:rsidP="004C606B">
            <w:pPr>
              <w:rPr>
                <w:rFonts w:ascii="Arial" w:hAnsi="Arial" w:cs="Arial"/>
                <w:sz w:val="14"/>
                <w:szCs w:val="14"/>
              </w:rPr>
            </w:pPr>
            <w:r w:rsidRPr="00133704">
              <w:rPr>
                <w:rFonts w:ascii="Arial" w:hAnsi="Arial" w:cs="Arial"/>
                <w:sz w:val="14"/>
                <w:szCs w:val="14"/>
              </w:rPr>
              <w:t xml:space="preserve">        Reserva legal</w:t>
            </w:r>
          </w:p>
        </w:tc>
        <w:tc>
          <w:tcPr>
            <w:tcW w:w="0" w:type="auto"/>
            <w:tcBorders>
              <w:top w:val="nil"/>
              <w:left w:val="nil"/>
              <w:bottom w:val="nil"/>
              <w:right w:val="nil"/>
            </w:tcBorders>
            <w:shd w:val="clear" w:color="auto" w:fill="auto"/>
            <w:noWrap/>
            <w:vAlign w:val="center"/>
          </w:tcPr>
          <w:p w14:paraId="1FE23021" w14:textId="77777777" w:rsidR="004C606B" w:rsidRPr="00133704" w:rsidRDefault="004C606B" w:rsidP="004C606B">
            <w:pPr>
              <w:rPr>
                <w:rFonts w:ascii="Arial" w:hAnsi="Arial" w:cs="Arial"/>
                <w:sz w:val="14"/>
                <w:szCs w:val="14"/>
              </w:rPr>
            </w:pPr>
          </w:p>
        </w:tc>
        <w:tc>
          <w:tcPr>
            <w:tcW w:w="0" w:type="auto"/>
            <w:tcBorders>
              <w:top w:val="nil"/>
              <w:left w:val="nil"/>
              <w:bottom w:val="nil"/>
              <w:right w:val="nil"/>
            </w:tcBorders>
            <w:shd w:val="clear" w:color="auto" w:fill="auto"/>
            <w:noWrap/>
            <w:vAlign w:val="center"/>
          </w:tcPr>
          <w:p w14:paraId="435D1B62" w14:textId="3F5CB971"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65F05DAF" w14:textId="6342EDDA"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5146EFAB" w14:textId="19ABC12E"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29655EF2" w14:textId="6D1EB449"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744" w:type="dxa"/>
            <w:tcBorders>
              <w:top w:val="nil"/>
              <w:left w:val="nil"/>
              <w:bottom w:val="nil"/>
              <w:right w:val="nil"/>
            </w:tcBorders>
            <w:shd w:val="clear" w:color="auto" w:fill="auto"/>
            <w:noWrap/>
            <w:vAlign w:val="center"/>
          </w:tcPr>
          <w:p w14:paraId="30F82C01" w14:textId="5F6DEA05" w:rsidR="004C606B" w:rsidRPr="00133704" w:rsidRDefault="004C606B" w:rsidP="00133704">
            <w:pPr>
              <w:jc w:val="right"/>
              <w:rPr>
                <w:rFonts w:ascii="Arial" w:hAnsi="Arial" w:cs="Arial"/>
                <w:sz w:val="14"/>
                <w:szCs w:val="14"/>
              </w:rPr>
            </w:pPr>
            <w:r w:rsidRPr="00133704">
              <w:rPr>
                <w:rFonts w:ascii="Arial" w:hAnsi="Arial" w:cs="Arial"/>
                <w:sz w:val="14"/>
                <w:szCs w:val="14"/>
              </w:rPr>
              <w:t>148.059</w:t>
            </w:r>
          </w:p>
        </w:tc>
        <w:tc>
          <w:tcPr>
            <w:tcW w:w="899" w:type="dxa"/>
            <w:tcBorders>
              <w:top w:val="nil"/>
              <w:left w:val="nil"/>
              <w:bottom w:val="nil"/>
              <w:right w:val="nil"/>
            </w:tcBorders>
            <w:shd w:val="clear" w:color="auto" w:fill="auto"/>
            <w:noWrap/>
            <w:vAlign w:val="center"/>
          </w:tcPr>
          <w:p w14:paraId="3BBCDDC8" w14:textId="21F732DD"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57951D11" w14:textId="659CFBC8" w:rsidR="004C606B" w:rsidRPr="00133704" w:rsidRDefault="004C606B" w:rsidP="00133704">
            <w:pPr>
              <w:jc w:val="right"/>
              <w:rPr>
                <w:rFonts w:ascii="Arial" w:hAnsi="Arial" w:cs="Arial"/>
                <w:sz w:val="14"/>
                <w:szCs w:val="14"/>
              </w:rPr>
            </w:pPr>
            <w:r w:rsidRPr="00133704">
              <w:rPr>
                <w:rFonts w:ascii="Arial" w:hAnsi="Arial" w:cs="Arial"/>
                <w:sz w:val="14"/>
                <w:szCs w:val="14"/>
              </w:rPr>
              <w:t>-148.059</w:t>
            </w:r>
          </w:p>
        </w:tc>
        <w:tc>
          <w:tcPr>
            <w:tcW w:w="1286" w:type="dxa"/>
            <w:tcBorders>
              <w:top w:val="nil"/>
              <w:left w:val="nil"/>
              <w:bottom w:val="nil"/>
              <w:right w:val="nil"/>
            </w:tcBorders>
            <w:shd w:val="clear" w:color="auto" w:fill="auto"/>
            <w:noWrap/>
            <w:vAlign w:val="center"/>
          </w:tcPr>
          <w:p w14:paraId="0E890619" w14:textId="4C6F1D00"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1323" w:type="dxa"/>
            <w:tcBorders>
              <w:top w:val="nil"/>
              <w:left w:val="nil"/>
              <w:bottom w:val="nil"/>
              <w:right w:val="nil"/>
            </w:tcBorders>
            <w:shd w:val="clear" w:color="auto" w:fill="auto"/>
            <w:noWrap/>
            <w:vAlign w:val="center"/>
          </w:tcPr>
          <w:p w14:paraId="39BB964B" w14:textId="058985B9"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1119" w:type="dxa"/>
            <w:tcBorders>
              <w:top w:val="nil"/>
              <w:left w:val="nil"/>
              <w:bottom w:val="nil"/>
              <w:right w:val="nil"/>
            </w:tcBorders>
            <w:shd w:val="clear" w:color="auto" w:fill="auto"/>
            <w:noWrap/>
            <w:vAlign w:val="center"/>
          </w:tcPr>
          <w:p w14:paraId="6C819156" w14:textId="11BB6EC3"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r>
      <w:tr w:rsidR="00133704" w:rsidRPr="00133704" w14:paraId="796C8C66" w14:textId="77777777" w:rsidTr="00133704">
        <w:tc>
          <w:tcPr>
            <w:tcW w:w="3514" w:type="dxa"/>
            <w:tcBorders>
              <w:top w:val="nil"/>
              <w:left w:val="nil"/>
              <w:bottom w:val="nil"/>
              <w:right w:val="nil"/>
            </w:tcBorders>
            <w:shd w:val="clear" w:color="auto" w:fill="auto"/>
          </w:tcPr>
          <w:p w14:paraId="6AF2D81D" w14:textId="2C0DC527" w:rsidR="004C606B" w:rsidRPr="00133704" w:rsidRDefault="004C606B" w:rsidP="004C606B">
            <w:pPr>
              <w:rPr>
                <w:rFonts w:ascii="Arial" w:hAnsi="Arial" w:cs="Arial"/>
                <w:sz w:val="14"/>
                <w:szCs w:val="14"/>
              </w:rPr>
            </w:pPr>
            <w:r w:rsidRPr="00133704">
              <w:rPr>
                <w:rFonts w:ascii="Arial" w:hAnsi="Arial" w:cs="Arial"/>
                <w:sz w:val="14"/>
                <w:szCs w:val="14"/>
              </w:rPr>
              <w:t xml:space="preserve">        Otras</w:t>
            </w:r>
          </w:p>
        </w:tc>
        <w:tc>
          <w:tcPr>
            <w:tcW w:w="0" w:type="auto"/>
            <w:tcBorders>
              <w:top w:val="nil"/>
              <w:left w:val="nil"/>
              <w:bottom w:val="nil"/>
              <w:right w:val="nil"/>
            </w:tcBorders>
            <w:shd w:val="clear" w:color="auto" w:fill="auto"/>
            <w:noWrap/>
            <w:vAlign w:val="center"/>
          </w:tcPr>
          <w:p w14:paraId="0159BC96" w14:textId="77777777" w:rsidR="004C606B" w:rsidRPr="00133704" w:rsidRDefault="004C606B" w:rsidP="004C606B">
            <w:pPr>
              <w:rPr>
                <w:rFonts w:ascii="Arial" w:hAnsi="Arial" w:cs="Arial"/>
                <w:sz w:val="14"/>
                <w:szCs w:val="14"/>
              </w:rPr>
            </w:pPr>
          </w:p>
        </w:tc>
        <w:tc>
          <w:tcPr>
            <w:tcW w:w="0" w:type="auto"/>
            <w:tcBorders>
              <w:top w:val="nil"/>
              <w:left w:val="nil"/>
              <w:bottom w:val="nil"/>
              <w:right w:val="nil"/>
            </w:tcBorders>
            <w:shd w:val="clear" w:color="auto" w:fill="auto"/>
            <w:noWrap/>
            <w:vAlign w:val="center"/>
          </w:tcPr>
          <w:p w14:paraId="6AA47745" w14:textId="3ABDFBAC"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4280756C" w14:textId="256CBA58"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55258FFE" w14:textId="57359909"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1D11E25C" w14:textId="3E3CCAA8"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744" w:type="dxa"/>
            <w:tcBorders>
              <w:top w:val="nil"/>
              <w:left w:val="nil"/>
              <w:bottom w:val="nil"/>
              <w:right w:val="nil"/>
            </w:tcBorders>
            <w:shd w:val="clear" w:color="auto" w:fill="auto"/>
            <w:noWrap/>
            <w:vAlign w:val="center"/>
          </w:tcPr>
          <w:p w14:paraId="5225AA27" w14:textId="3D376772"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899" w:type="dxa"/>
            <w:tcBorders>
              <w:top w:val="nil"/>
              <w:left w:val="nil"/>
              <w:bottom w:val="nil"/>
              <w:right w:val="nil"/>
            </w:tcBorders>
            <w:shd w:val="clear" w:color="auto" w:fill="auto"/>
            <w:noWrap/>
            <w:vAlign w:val="center"/>
          </w:tcPr>
          <w:p w14:paraId="09FD85FE" w14:textId="0D2EC32A" w:rsidR="004C606B" w:rsidRPr="00133704" w:rsidRDefault="004C606B" w:rsidP="00133704">
            <w:pPr>
              <w:jc w:val="right"/>
              <w:rPr>
                <w:rFonts w:ascii="Arial" w:hAnsi="Arial" w:cs="Arial"/>
                <w:sz w:val="14"/>
                <w:szCs w:val="14"/>
              </w:rPr>
            </w:pPr>
            <w:r w:rsidRPr="00133704">
              <w:rPr>
                <w:rFonts w:ascii="Arial" w:hAnsi="Arial" w:cs="Arial"/>
                <w:sz w:val="14"/>
                <w:szCs w:val="14"/>
              </w:rPr>
              <w:t>592.234</w:t>
            </w:r>
          </w:p>
        </w:tc>
        <w:tc>
          <w:tcPr>
            <w:tcW w:w="0" w:type="auto"/>
            <w:tcBorders>
              <w:top w:val="nil"/>
              <w:left w:val="nil"/>
              <w:bottom w:val="nil"/>
              <w:right w:val="nil"/>
            </w:tcBorders>
            <w:shd w:val="clear" w:color="auto" w:fill="auto"/>
            <w:noWrap/>
            <w:vAlign w:val="center"/>
          </w:tcPr>
          <w:p w14:paraId="5E0A235C" w14:textId="10C96E74" w:rsidR="004C606B" w:rsidRPr="00133704" w:rsidRDefault="004C606B" w:rsidP="00133704">
            <w:pPr>
              <w:jc w:val="right"/>
              <w:rPr>
                <w:rFonts w:ascii="Arial" w:hAnsi="Arial" w:cs="Arial"/>
                <w:sz w:val="14"/>
                <w:szCs w:val="14"/>
              </w:rPr>
            </w:pPr>
            <w:r w:rsidRPr="00133704">
              <w:rPr>
                <w:rFonts w:ascii="Arial" w:hAnsi="Arial" w:cs="Arial"/>
                <w:sz w:val="14"/>
                <w:szCs w:val="14"/>
              </w:rPr>
              <w:t>-592.234</w:t>
            </w:r>
          </w:p>
        </w:tc>
        <w:tc>
          <w:tcPr>
            <w:tcW w:w="1286" w:type="dxa"/>
            <w:tcBorders>
              <w:top w:val="nil"/>
              <w:left w:val="nil"/>
              <w:bottom w:val="nil"/>
              <w:right w:val="nil"/>
            </w:tcBorders>
            <w:shd w:val="clear" w:color="auto" w:fill="auto"/>
            <w:noWrap/>
            <w:vAlign w:val="center"/>
          </w:tcPr>
          <w:p w14:paraId="45FB6234" w14:textId="65258032"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1323" w:type="dxa"/>
            <w:tcBorders>
              <w:top w:val="nil"/>
              <w:left w:val="nil"/>
              <w:bottom w:val="nil"/>
              <w:right w:val="nil"/>
            </w:tcBorders>
            <w:shd w:val="clear" w:color="auto" w:fill="auto"/>
            <w:noWrap/>
            <w:vAlign w:val="center"/>
          </w:tcPr>
          <w:p w14:paraId="57F3404D" w14:textId="11724487"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c>
          <w:tcPr>
            <w:tcW w:w="1119" w:type="dxa"/>
            <w:tcBorders>
              <w:top w:val="nil"/>
              <w:left w:val="nil"/>
              <w:bottom w:val="nil"/>
              <w:right w:val="nil"/>
            </w:tcBorders>
            <w:shd w:val="clear" w:color="auto" w:fill="auto"/>
            <w:noWrap/>
            <w:vAlign w:val="center"/>
          </w:tcPr>
          <w:p w14:paraId="29F6BAE4" w14:textId="26CC1DAB" w:rsidR="004C606B" w:rsidRPr="00133704" w:rsidRDefault="004C606B" w:rsidP="00133704">
            <w:pPr>
              <w:jc w:val="right"/>
              <w:rPr>
                <w:rFonts w:ascii="Arial" w:hAnsi="Arial" w:cs="Arial"/>
                <w:sz w:val="14"/>
                <w:szCs w:val="14"/>
              </w:rPr>
            </w:pPr>
            <w:r w:rsidRPr="00133704">
              <w:rPr>
                <w:rFonts w:ascii="Arial" w:hAnsi="Arial" w:cs="Arial"/>
                <w:sz w:val="14"/>
                <w:szCs w:val="14"/>
              </w:rPr>
              <w:t>-</w:t>
            </w:r>
          </w:p>
        </w:tc>
      </w:tr>
      <w:bookmarkEnd w:id="3"/>
      <w:tr w:rsidR="00133704" w:rsidRPr="00133704" w14:paraId="549BA90C" w14:textId="77777777" w:rsidTr="00133704">
        <w:tc>
          <w:tcPr>
            <w:tcW w:w="3514" w:type="dxa"/>
            <w:tcBorders>
              <w:top w:val="nil"/>
              <w:left w:val="nil"/>
              <w:bottom w:val="nil"/>
              <w:right w:val="nil"/>
            </w:tcBorders>
            <w:shd w:val="clear" w:color="auto" w:fill="auto"/>
            <w:vAlign w:val="center"/>
          </w:tcPr>
          <w:p w14:paraId="0A0BC8E7" w14:textId="6B2610D5" w:rsidR="008436AF" w:rsidRPr="00133704" w:rsidRDefault="008436AF" w:rsidP="008436AF">
            <w:pPr>
              <w:rPr>
                <w:rFonts w:ascii="Arial" w:hAnsi="Arial" w:cs="Arial"/>
                <w:sz w:val="14"/>
                <w:szCs w:val="14"/>
              </w:rPr>
            </w:pPr>
            <w:r w:rsidRPr="00133704">
              <w:rPr>
                <w:rFonts w:ascii="Arial" w:hAnsi="Arial" w:cs="Arial"/>
                <w:sz w:val="14"/>
                <w:szCs w:val="14"/>
              </w:rPr>
              <w:t>- Capitalización de aportes irrevocables</w:t>
            </w:r>
          </w:p>
        </w:tc>
        <w:tc>
          <w:tcPr>
            <w:tcW w:w="0" w:type="auto"/>
            <w:tcBorders>
              <w:top w:val="nil"/>
              <w:left w:val="nil"/>
              <w:bottom w:val="nil"/>
              <w:right w:val="nil"/>
            </w:tcBorders>
            <w:shd w:val="clear" w:color="auto" w:fill="auto"/>
            <w:noWrap/>
            <w:vAlign w:val="center"/>
          </w:tcPr>
          <w:p w14:paraId="0126FD25" w14:textId="77777777" w:rsidR="008436AF" w:rsidRPr="00133704" w:rsidRDefault="008436AF" w:rsidP="008436AF">
            <w:pPr>
              <w:jc w:val="center"/>
              <w:rPr>
                <w:rFonts w:ascii="Arial" w:hAnsi="Arial" w:cs="Arial"/>
                <w:sz w:val="14"/>
                <w:szCs w:val="14"/>
              </w:rPr>
            </w:pPr>
          </w:p>
        </w:tc>
        <w:tc>
          <w:tcPr>
            <w:tcW w:w="0" w:type="auto"/>
            <w:tcBorders>
              <w:top w:val="nil"/>
              <w:left w:val="nil"/>
              <w:bottom w:val="nil"/>
              <w:right w:val="nil"/>
            </w:tcBorders>
            <w:shd w:val="clear" w:color="auto" w:fill="auto"/>
            <w:noWrap/>
            <w:vAlign w:val="center"/>
          </w:tcPr>
          <w:p w14:paraId="4FCA22E5" w14:textId="289B5270" w:rsidR="008436AF" w:rsidRPr="00133704" w:rsidRDefault="008436AF" w:rsidP="00133704">
            <w:pPr>
              <w:jc w:val="right"/>
              <w:rPr>
                <w:rFonts w:ascii="Arial" w:hAnsi="Arial" w:cs="Arial"/>
                <w:sz w:val="14"/>
                <w:szCs w:val="14"/>
              </w:rPr>
            </w:pPr>
            <w:r w:rsidRPr="00133704">
              <w:rPr>
                <w:rFonts w:ascii="Arial" w:hAnsi="Arial" w:cs="Arial"/>
                <w:sz w:val="14"/>
                <w:szCs w:val="14"/>
              </w:rPr>
              <w:t>20.712</w:t>
            </w:r>
          </w:p>
        </w:tc>
        <w:tc>
          <w:tcPr>
            <w:tcW w:w="0" w:type="auto"/>
            <w:tcBorders>
              <w:top w:val="nil"/>
              <w:left w:val="nil"/>
              <w:bottom w:val="nil"/>
              <w:right w:val="nil"/>
            </w:tcBorders>
            <w:shd w:val="clear" w:color="auto" w:fill="auto"/>
            <w:noWrap/>
            <w:vAlign w:val="center"/>
          </w:tcPr>
          <w:p w14:paraId="18A99CB6" w14:textId="36784513" w:rsidR="008436AF" w:rsidRPr="00133704" w:rsidRDefault="008436AF" w:rsidP="00133704">
            <w:pPr>
              <w:jc w:val="right"/>
              <w:rPr>
                <w:rFonts w:ascii="Arial" w:hAnsi="Arial" w:cs="Arial"/>
                <w:sz w:val="14"/>
                <w:szCs w:val="14"/>
              </w:rPr>
            </w:pPr>
            <w:r w:rsidRPr="00133704">
              <w:rPr>
                <w:rFonts w:ascii="Arial" w:hAnsi="Arial" w:cs="Arial"/>
                <w:sz w:val="14"/>
                <w:szCs w:val="14"/>
              </w:rPr>
              <w:t>-20.712</w:t>
            </w:r>
          </w:p>
        </w:tc>
        <w:tc>
          <w:tcPr>
            <w:tcW w:w="0" w:type="auto"/>
            <w:tcBorders>
              <w:top w:val="nil"/>
              <w:left w:val="nil"/>
              <w:bottom w:val="nil"/>
              <w:right w:val="nil"/>
            </w:tcBorders>
            <w:shd w:val="clear" w:color="auto" w:fill="auto"/>
            <w:noWrap/>
            <w:vAlign w:val="center"/>
          </w:tcPr>
          <w:p w14:paraId="3DEDB82D" w14:textId="3EFEB3A2"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63BF69D1" w14:textId="4C3E1D80"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744" w:type="dxa"/>
            <w:tcBorders>
              <w:top w:val="nil"/>
              <w:left w:val="nil"/>
              <w:bottom w:val="nil"/>
              <w:right w:val="nil"/>
            </w:tcBorders>
            <w:shd w:val="clear" w:color="auto" w:fill="auto"/>
            <w:noWrap/>
            <w:vAlign w:val="center"/>
          </w:tcPr>
          <w:p w14:paraId="414B5E1A" w14:textId="05FE9491"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899" w:type="dxa"/>
            <w:tcBorders>
              <w:top w:val="nil"/>
              <w:left w:val="nil"/>
              <w:bottom w:val="nil"/>
              <w:right w:val="nil"/>
            </w:tcBorders>
            <w:shd w:val="clear" w:color="auto" w:fill="auto"/>
            <w:noWrap/>
            <w:vAlign w:val="center"/>
          </w:tcPr>
          <w:p w14:paraId="0365E9DC" w14:textId="129622B8"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77C94B4D" w14:textId="24BEAE7C"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1286" w:type="dxa"/>
            <w:tcBorders>
              <w:top w:val="nil"/>
              <w:left w:val="nil"/>
              <w:bottom w:val="nil"/>
              <w:right w:val="nil"/>
            </w:tcBorders>
            <w:shd w:val="clear" w:color="auto" w:fill="auto"/>
            <w:noWrap/>
            <w:vAlign w:val="center"/>
          </w:tcPr>
          <w:p w14:paraId="005AB386" w14:textId="42388305"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1323" w:type="dxa"/>
            <w:tcBorders>
              <w:top w:val="nil"/>
              <w:left w:val="nil"/>
              <w:bottom w:val="nil"/>
              <w:right w:val="nil"/>
            </w:tcBorders>
            <w:shd w:val="clear" w:color="auto" w:fill="auto"/>
            <w:noWrap/>
            <w:vAlign w:val="center"/>
          </w:tcPr>
          <w:p w14:paraId="32A5DA8C" w14:textId="0D072498"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1119" w:type="dxa"/>
            <w:tcBorders>
              <w:top w:val="nil"/>
              <w:left w:val="nil"/>
              <w:bottom w:val="nil"/>
              <w:right w:val="nil"/>
            </w:tcBorders>
            <w:shd w:val="clear" w:color="auto" w:fill="auto"/>
            <w:noWrap/>
            <w:vAlign w:val="center"/>
          </w:tcPr>
          <w:p w14:paraId="1FBDEF8D" w14:textId="6613A386"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r>
      <w:tr w:rsidR="00133704" w:rsidRPr="00133704" w14:paraId="571741A0" w14:textId="77777777" w:rsidTr="00133704">
        <w:tc>
          <w:tcPr>
            <w:tcW w:w="3514" w:type="dxa"/>
            <w:tcBorders>
              <w:top w:val="nil"/>
              <w:left w:val="nil"/>
              <w:bottom w:val="nil"/>
              <w:right w:val="nil"/>
            </w:tcBorders>
            <w:shd w:val="clear" w:color="auto" w:fill="auto"/>
            <w:vAlign w:val="center"/>
          </w:tcPr>
          <w:p w14:paraId="763EC6CC" w14:textId="2291C8E7" w:rsidR="008436AF" w:rsidRPr="00133704" w:rsidRDefault="008436AF" w:rsidP="008436AF">
            <w:pPr>
              <w:rPr>
                <w:rFonts w:ascii="Arial" w:hAnsi="Arial" w:cs="Arial"/>
                <w:sz w:val="14"/>
                <w:szCs w:val="14"/>
              </w:rPr>
            </w:pPr>
            <w:r w:rsidRPr="00133704">
              <w:rPr>
                <w:rFonts w:ascii="Arial" w:hAnsi="Arial" w:cs="Arial"/>
                <w:sz w:val="14"/>
                <w:szCs w:val="14"/>
              </w:rPr>
              <w:t xml:space="preserve">- Aportes irrevocables para futuros aumentos de cap. Recibidos durante el </w:t>
            </w:r>
            <w:r w:rsidR="0021178E">
              <w:rPr>
                <w:rFonts w:ascii="Arial" w:hAnsi="Arial" w:cs="Arial"/>
                <w:sz w:val="14"/>
                <w:szCs w:val="14"/>
              </w:rPr>
              <w:t>ejercicio</w:t>
            </w:r>
          </w:p>
        </w:tc>
        <w:tc>
          <w:tcPr>
            <w:tcW w:w="0" w:type="auto"/>
            <w:tcBorders>
              <w:top w:val="nil"/>
              <w:left w:val="nil"/>
              <w:bottom w:val="nil"/>
              <w:right w:val="nil"/>
            </w:tcBorders>
            <w:shd w:val="clear" w:color="auto" w:fill="auto"/>
            <w:noWrap/>
            <w:vAlign w:val="center"/>
          </w:tcPr>
          <w:p w14:paraId="615D736C" w14:textId="540130CF" w:rsidR="008436AF" w:rsidRPr="00133704" w:rsidRDefault="0011609F" w:rsidP="008436AF">
            <w:pPr>
              <w:jc w:val="center"/>
              <w:rPr>
                <w:rFonts w:ascii="Arial" w:hAnsi="Arial" w:cs="Arial"/>
                <w:sz w:val="14"/>
                <w:szCs w:val="14"/>
              </w:rPr>
            </w:pPr>
            <w:r w:rsidRPr="0011609F">
              <w:rPr>
                <w:rFonts w:ascii="Arial" w:hAnsi="Arial" w:cs="Arial"/>
                <w:sz w:val="14"/>
                <w:szCs w:val="14"/>
              </w:rPr>
              <w:t>14</w:t>
            </w:r>
            <w:r w:rsidR="008436AF" w:rsidRPr="0011609F">
              <w:rPr>
                <w:rFonts w:ascii="Arial" w:hAnsi="Arial" w:cs="Arial"/>
                <w:sz w:val="14"/>
                <w:szCs w:val="14"/>
              </w:rPr>
              <w:t>.3</w:t>
            </w:r>
          </w:p>
        </w:tc>
        <w:tc>
          <w:tcPr>
            <w:tcW w:w="0" w:type="auto"/>
            <w:tcBorders>
              <w:top w:val="nil"/>
              <w:left w:val="nil"/>
              <w:bottom w:val="nil"/>
              <w:right w:val="nil"/>
            </w:tcBorders>
            <w:shd w:val="clear" w:color="auto" w:fill="auto"/>
            <w:noWrap/>
            <w:vAlign w:val="center"/>
          </w:tcPr>
          <w:p w14:paraId="5921E50D" w14:textId="42F49398"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045D165E" w14:textId="19AD3582" w:rsidR="008436AF" w:rsidRPr="00133704" w:rsidRDefault="008436AF" w:rsidP="00133704">
            <w:pPr>
              <w:jc w:val="right"/>
              <w:rPr>
                <w:rFonts w:ascii="Arial" w:hAnsi="Arial" w:cs="Arial"/>
                <w:sz w:val="14"/>
                <w:szCs w:val="14"/>
              </w:rPr>
            </w:pPr>
            <w:r w:rsidRPr="00133704">
              <w:rPr>
                <w:rFonts w:ascii="Arial" w:hAnsi="Arial" w:cs="Arial"/>
                <w:sz w:val="14"/>
                <w:szCs w:val="14"/>
              </w:rPr>
              <w:t>475.000</w:t>
            </w:r>
          </w:p>
        </w:tc>
        <w:tc>
          <w:tcPr>
            <w:tcW w:w="0" w:type="auto"/>
            <w:tcBorders>
              <w:top w:val="nil"/>
              <w:left w:val="nil"/>
              <w:bottom w:val="nil"/>
              <w:right w:val="nil"/>
            </w:tcBorders>
            <w:shd w:val="clear" w:color="auto" w:fill="auto"/>
            <w:noWrap/>
            <w:vAlign w:val="center"/>
          </w:tcPr>
          <w:p w14:paraId="022FC42E" w14:textId="0FBFE146"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7D85DCBE" w14:textId="2C1B94AB"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744" w:type="dxa"/>
            <w:tcBorders>
              <w:top w:val="nil"/>
              <w:left w:val="nil"/>
              <w:bottom w:val="nil"/>
              <w:right w:val="nil"/>
            </w:tcBorders>
            <w:shd w:val="clear" w:color="auto" w:fill="auto"/>
            <w:noWrap/>
            <w:vAlign w:val="center"/>
          </w:tcPr>
          <w:p w14:paraId="13726289" w14:textId="3923242F"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899" w:type="dxa"/>
            <w:tcBorders>
              <w:top w:val="nil"/>
              <w:left w:val="nil"/>
              <w:bottom w:val="nil"/>
              <w:right w:val="nil"/>
            </w:tcBorders>
            <w:shd w:val="clear" w:color="auto" w:fill="auto"/>
            <w:noWrap/>
            <w:vAlign w:val="center"/>
          </w:tcPr>
          <w:p w14:paraId="263ACF67" w14:textId="1062EBB3"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39336DA6" w14:textId="75B6EC9A"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1286" w:type="dxa"/>
            <w:tcBorders>
              <w:top w:val="nil"/>
              <w:left w:val="nil"/>
              <w:bottom w:val="nil"/>
              <w:right w:val="nil"/>
            </w:tcBorders>
            <w:shd w:val="clear" w:color="auto" w:fill="auto"/>
            <w:noWrap/>
            <w:vAlign w:val="center"/>
          </w:tcPr>
          <w:p w14:paraId="05023ADF" w14:textId="5C4F3297" w:rsidR="008436AF" w:rsidRPr="00133704" w:rsidRDefault="008436AF" w:rsidP="00133704">
            <w:pPr>
              <w:jc w:val="right"/>
              <w:rPr>
                <w:rFonts w:ascii="Arial" w:hAnsi="Arial" w:cs="Arial"/>
                <w:sz w:val="14"/>
                <w:szCs w:val="14"/>
              </w:rPr>
            </w:pPr>
            <w:r w:rsidRPr="00133704">
              <w:rPr>
                <w:rFonts w:ascii="Arial" w:hAnsi="Arial" w:cs="Arial"/>
                <w:sz w:val="14"/>
                <w:szCs w:val="14"/>
              </w:rPr>
              <w:t>475.000</w:t>
            </w:r>
          </w:p>
        </w:tc>
        <w:tc>
          <w:tcPr>
            <w:tcW w:w="1323" w:type="dxa"/>
            <w:tcBorders>
              <w:top w:val="nil"/>
              <w:left w:val="nil"/>
              <w:bottom w:val="nil"/>
              <w:right w:val="nil"/>
            </w:tcBorders>
            <w:shd w:val="clear" w:color="auto" w:fill="auto"/>
            <w:noWrap/>
            <w:vAlign w:val="center"/>
          </w:tcPr>
          <w:p w14:paraId="41992E04" w14:textId="7AF73591"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1119" w:type="dxa"/>
            <w:tcBorders>
              <w:top w:val="nil"/>
              <w:left w:val="nil"/>
              <w:bottom w:val="nil"/>
              <w:right w:val="nil"/>
            </w:tcBorders>
            <w:shd w:val="clear" w:color="auto" w:fill="auto"/>
            <w:noWrap/>
            <w:vAlign w:val="center"/>
          </w:tcPr>
          <w:p w14:paraId="2C87215A" w14:textId="35C1AE02" w:rsidR="008436AF" w:rsidRPr="00133704" w:rsidRDefault="008436AF" w:rsidP="00133704">
            <w:pPr>
              <w:jc w:val="right"/>
              <w:rPr>
                <w:rFonts w:ascii="Arial" w:hAnsi="Arial" w:cs="Arial"/>
                <w:sz w:val="14"/>
                <w:szCs w:val="14"/>
              </w:rPr>
            </w:pPr>
            <w:r w:rsidRPr="00133704">
              <w:rPr>
                <w:rFonts w:ascii="Arial" w:hAnsi="Arial" w:cs="Arial"/>
                <w:sz w:val="14"/>
                <w:szCs w:val="14"/>
              </w:rPr>
              <w:t>475.000</w:t>
            </w:r>
          </w:p>
        </w:tc>
      </w:tr>
      <w:tr w:rsidR="00133704" w:rsidRPr="00133704" w14:paraId="1270164D" w14:textId="77777777" w:rsidTr="00133704">
        <w:tc>
          <w:tcPr>
            <w:tcW w:w="3514" w:type="dxa"/>
            <w:tcBorders>
              <w:top w:val="nil"/>
              <w:left w:val="nil"/>
              <w:bottom w:val="nil"/>
              <w:right w:val="nil"/>
            </w:tcBorders>
            <w:shd w:val="clear" w:color="auto" w:fill="auto"/>
            <w:vAlign w:val="center"/>
            <w:hideMark/>
          </w:tcPr>
          <w:p w14:paraId="499FDE36" w14:textId="77777777" w:rsidR="008436AF" w:rsidRPr="00133704" w:rsidRDefault="008436AF" w:rsidP="008436AF">
            <w:pPr>
              <w:rPr>
                <w:rFonts w:ascii="Arial" w:hAnsi="Arial" w:cs="Arial"/>
                <w:sz w:val="14"/>
                <w:szCs w:val="14"/>
              </w:rPr>
            </w:pPr>
            <w:r w:rsidRPr="00133704">
              <w:rPr>
                <w:rFonts w:ascii="Arial" w:hAnsi="Arial" w:cs="Arial"/>
                <w:sz w:val="14"/>
                <w:szCs w:val="14"/>
              </w:rPr>
              <w:t>- Aporte de terceros en sociedad controlada</w:t>
            </w:r>
          </w:p>
        </w:tc>
        <w:tc>
          <w:tcPr>
            <w:tcW w:w="0" w:type="auto"/>
            <w:tcBorders>
              <w:top w:val="nil"/>
              <w:left w:val="nil"/>
              <w:bottom w:val="nil"/>
              <w:right w:val="nil"/>
            </w:tcBorders>
            <w:shd w:val="clear" w:color="auto" w:fill="auto"/>
            <w:noWrap/>
            <w:vAlign w:val="center"/>
            <w:hideMark/>
          </w:tcPr>
          <w:p w14:paraId="151CA83E" w14:textId="77777777" w:rsidR="008436AF" w:rsidRPr="00133704" w:rsidRDefault="008436AF" w:rsidP="008436AF">
            <w:pPr>
              <w:rPr>
                <w:rFonts w:ascii="Arial" w:hAnsi="Arial" w:cs="Arial"/>
                <w:sz w:val="14"/>
                <w:szCs w:val="14"/>
              </w:rPr>
            </w:pPr>
          </w:p>
        </w:tc>
        <w:tc>
          <w:tcPr>
            <w:tcW w:w="0" w:type="auto"/>
            <w:tcBorders>
              <w:top w:val="nil"/>
              <w:left w:val="nil"/>
              <w:bottom w:val="nil"/>
              <w:right w:val="nil"/>
            </w:tcBorders>
            <w:shd w:val="clear" w:color="auto" w:fill="auto"/>
            <w:noWrap/>
            <w:vAlign w:val="center"/>
            <w:hideMark/>
          </w:tcPr>
          <w:p w14:paraId="076F1836" w14:textId="7473C86B"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4A44C64E" w14:textId="643A4664"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0D3D03C8" w14:textId="09C73BC0"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7E1BAB4B" w14:textId="6AB6E3A0"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744" w:type="dxa"/>
            <w:tcBorders>
              <w:top w:val="nil"/>
              <w:left w:val="nil"/>
              <w:bottom w:val="nil"/>
              <w:right w:val="nil"/>
            </w:tcBorders>
            <w:shd w:val="clear" w:color="auto" w:fill="auto"/>
            <w:noWrap/>
            <w:vAlign w:val="center"/>
            <w:hideMark/>
          </w:tcPr>
          <w:p w14:paraId="11A1FD26" w14:textId="21494FE3"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899" w:type="dxa"/>
            <w:tcBorders>
              <w:top w:val="nil"/>
              <w:left w:val="nil"/>
              <w:bottom w:val="nil"/>
              <w:right w:val="nil"/>
            </w:tcBorders>
            <w:shd w:val="clear" w:color="auto" w:fill="auto"/>
            <w:noWrap/>
            <w:vAlign w:val="center"/>
            <w:hideMark/>
          </w:tcPr>
          <w:p w14:paraId="0E79551A" w14:textId="2090EA8E"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5FC2860F" w14:textId="66AD7D00"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1286" w:type="dxa"/>
            <w:tcBorders>
              <w:top w:val="nil"/>
              <w:left w:val="nil"/>
              <w:bottom w:val="nil"/>
              <w:right w:val="nil"/>
            </w:tcBorders>
            <w:shd w:val="clear" w:color="auto" w:fill="auto"/>
            <w:noWrap/>
            <w:vAlign w:val="center"/>
            <w:hideMark/>
          </w:tcPr>
          <w:p w14:paraId="449DCF75" w14:textId="52790B22" w:rsidR="008436AF" w:rsidRPr="00133704" w:rsidRDefault="008436AF" w:rsidP="00133704">
            <w:pPr>
              <w:jc w:val="right"/>
              <w:rPr>
                <w:rFonts w:ascii="Arial" w:hAnsi="Arial" w:cs="Arial"/>
                <w:sz w:val="14"/>
                <w:szCs w:val="14"/>
              </w:rPr>
            </w:pPr>
            <w:r w:rsidRPr="00133704">
              <w:rPr>
                <w:rFonts w:ascii="Arial" w:hAnsi="Arial" w:cs="Arial"/>
                <w:sz w:val="14"/>
                <w:szCs w:val="14"/>
              </w:rPr>
              <w:t>-</w:t>
            </w:r>
          </w:p>
        </w:tc>
        <w:tc>
          <w:tcPr>
            <w:tcW w:w="1323" w:type="dxa"/>
            <w:tcBorders>
              <w:top w:val="nil"/>
              <w:left w:val="nil"/>
              <w:bottom w:val="nil"/>
              <w:right w:val="nil"/>
            </w:tcBorders>
            <w:shd w:val="clear" w:color="auto" w:fill="auto"/>
            <w:noWrap/>
            <w:vAlign w:val="center"/>
            <w:hideMark/>
          </w:tcPr>
          <w:p w14:paraId="752C8575" w14:textId="6D51BA9C" w:rsidR="008436AF" w:rsidRPr="00133704" w:rsidRDefault="008436AF" w:rsidP="00133704">
            <w:pPr>
              <w:jc w:val="right"/>
              <w:rPr>
                <w:rFonts w:ascii="Arial" w:hAnsi="Arial" w:cs="Arial"/>
                <w:sz w:val="14"/>
                <w:szCs w:val="14"/>
              </w:rPr>
            </w:pPr>
            <w:r w:rsidRPr="00133704">
              <w:rPr>
                <w:rFonts w:ascii="Arial" w:hAnsi="Arial" w:cs="Arial"/>
                <w:sz w:val="14"/>
                <w:szCs w:val="14"/>
              </w:rPr>
              <w:t>75.000</w:t>
            </w:r>
          </w:p>
        </w:tc>
        <w:tc>
          <w:tcPr>
            <w:tcW w:w="1119" w:type="dxa"/>
            <w:tcBorders>
              <w:top w:val="nil"/>
              <w:left w:val="nil"/>
              <w:bottom w:val="nil"/>
              <w:right w:val="nil"/>
            </w:tcBorders>
            <w:shd w:val="clear" w:color="auto" w:fill="auto"/>
            <w:noWrap/>
            <w:vAlign w:val="center"/>
            <w:hideMark/>
          </w:tcPr>
          <w:p w14:paraId="4808BE0F" w14:textId="4BD53325" w:rsidR="008436AF" w:rsidRPr="00133704" w:rsidRDefault="008436AF" w:rsidP="00133704">
            <w:pPr>
              <w:jc w:val="right"/>
              <w:rPr>
                <w:rFonts w:ascii="Arial" w:hAnsi="Arial" w:cs="Arial"/>
                <w:sz w:val="14"/>
                <w:szCs w:val="14"/>
              </w:rPr>
            </w:pPr>
            <w:r w:rsidRPr="00133704">
              <w:rPr>
                <w:rFonts w:ascii="Arial" w:hAnsi="Arial" w:cs="Arial"/>
                <w:sz w:val="14"/>
                <w:szCs w:val="14"/>
              </w:rPr>
              <w:t>75.000</w:t>
            </w:r>
          </w:p>
        </w:tc>
      </w:tr>
      <w:tr w:rsidR="00133704" w:rsidRPr="00133704" w14:paraId="1B947D51" w14:textId="77777777" w:rsidTr="00133704">
        <w:tc>
          <w:tcPr>
            <w:tcW w:w="3514" w:type="dxa"/>
            <w:tcBorders>
              <w:top w:val="nil"/>
              <w:left w:val="nil"/>
              <w:bottom w:val="nil"/>
              <w:right w:val="nil"/>
            </w:tcBorders>
            <w:shd w:val="clear" w:color="auto" w:fill="auto"/>
            <w:vAlign w:val="center"/>
            <w:hideMark/>
          </w:tcPr>
          <w:p w14:paraId="71143B12" w14:textId="50F2D8BA" w:rsidR="008436AF" w:rsidRPr="00133704" w:rsidRDefault="00196B77">
            <w:pPr>
              <w:rPr>
                <w:rFonts w:ascii="Arial" w:hAnsi="Arial" w:cs="Arial"/>
                <w:sz w:val="14"/>
                <w:szCs w:val="14"/>
              </w:rPr>
            </w:pPr>
            <w:r w:rsidRPr="00133704">
              <w:rPr>
                <w:rFonts w:ascii="Arial" w:hAnsi="Arial" w:cs="Arial"/>
                <w:sz w:val="14"/>
                <w:szCs w:val="14"/>
              </w:rPr>
              <w:t>- Otros movimientos</w:t>
            </w:r>
          </w:p>
        </w:tc>
        <w:tc>
          <w:tcPr>
            <w:tcW w:w="0" w:type="auto"/>
            <w:tcBorders>
              <w:top w:val="nil"/>
              <w:left w:val="nil"/>
              <w:bottom w:val="nil"/>
              <w:right w:val="nil"/>
            </w:tcBorders>
            <w:shd w:val="clear" w:color="auto" w:fill="auto"/>
            <w:noWrap/>
            <w:vAlign w:val="center"/>
            <w:hideMark/>
          </w:tcPr>
          <w:p w14:paraId="302B1D19" w14:textId="77777777" w:rsidR="008436AF" w:rsidRPr="00133704" w:rsidRDefault="008436AF" w:rsidP="005A1F48">
            <w:pPr>
              <w:jc w:val="right"/>
              <w:rPr>
                <w:rFonts w:ascii="Arial" w:hAnsi="Arial" w:cs="Arial"/>
                <w:sz w:val="14"/>
                <w:szCs w:val="14"/>
              </w:rPr>
            </w:pPr>
          </w:p>
        </w:tc>
        <w:tc>
          <w:tcPr>
            <w:tcW w:w="0" w:type="auto"/>
            <w:tcBorders>
              <w:top w:val="nil"/>
              <w:left w:val="nil"/>
              <w:bottom w:val="nil"/>
              <w:right w:val="nil"/>
            </w:tcBorders>
            <w:shd w:val="clear" w:color="auto" w:fill="auto"/>
            <w:noWrap/>
            <w:vAlign w:val="center"/>
            <w:hideMark/>
          </w:tcPr>
          <w:p w14:paraId="01080FCB" w14:textId="0F71256D" w:rsidR="008436AF" w:rsidRPr="00133704" w:rsidRDefault="00196B77"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52C651A1" w14:textId="02B56F83" w:rsidR="008436AF" w:rsidRPr="00133704" w:rsidRDefault="00196B77"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3A4B5518" w14:textId="5C60679D" w:rsidR="008436AF" w:rsidRPr="00133704" w:rsidRDefault="00196B77" w:rsidP="00133704">
            <w:pPr>
              <w:jc w:val="right"/>
              <w:rPr>
                <w:rFonts w:ascii="Arial" w:hAnsi="Arial" w:cs="Arial"/>
                <w:sz w:val="14"/>
                <w:szCs w:val="14"/>
              </w:rPr>
            </w:pPr>
            <w:r w:rsidRPr="00133704">
              <w:rPr>
                <w:rFonts w:ascii="Arial" w:hAnsi="Arial" w:cs="Arial"/>
                <w:sz w:val="14"/>
                <w:szCs w:val="14"/>
              </w:rPr>
              <w:t>-8.623</w:t>
            </w:r>
          </w:p>
        </w:tc>
        <w:tc>
          <w:tcPr>
            <w:tcW w:w="0" w:type="auto"/>
            <w:tcBorders>
              <w:top w:val="nil"/>
              <w:left w:val="nil"/>
              <w:bottom w:val="nil"/>
              <w:right w:val="nil"/>
            </w:tcBorders>
            <w:shd w:val="clear" w:color="auto" w:fill="auto"/>
            <w:noWrap/>
            <w:vAlign w:val="center"/>
            <w:hideMark/>
          </w:tcPr>
          <w:p w14:paraId="2E0870F8" w14:textId="7973CD12" w:rsidR="008436AF" w:rsidRPr="00133704" w:rsidRDefault="00196B77" w:rsidP="00133704">
            <w:pPr>
              <w:jc w:val="right"/>
              <w:rPr>
                <w:rFonts w:ascii="Arial" w:hAnsi="Arial" w:cs="Arial"/>
                <w:sz w:val="14"/>
                <w:szCs w:val="14"/>
              </w:rPr>
            </w:pPr>
            <w:r w:rsidRPr="00133704">
              <w:rPr>
                <w:rFonts w:ascii="Arial" w:hAnsi="Arial" w:cs="Arial"/>
                <w:sz w:val="14"/>
                <w:szCs w:val="14"/>
              </w:rPr>
              <w:t>-</w:t>
            </w:r>
          </w:p>
        </w:tc>
        <w:tc>
          <w:tcPr>
            <w:tcW w:w="744" w:type="dxa"/>
            <w:tcBorders>
              <w:top w:val="nil"/>
              <w:left w:val="nil"/>
              <w:bottom w:val="nil"/>
              <w:right w:val="nil"/>
            </w:tcBorders>
            <w:shd w:val="clear" w:color="auto" w:fill="auto"/>
            <w:noWrap/>
            <w:vAlign w:val="center"/>
            <w:hideMark/>
          </w:tcPr>
          <w:p w14:paraId="55BC44EA" w14:textId="6A8F1FFA" w:rsidR="008436AF" w:rsidRPr="00133704" w:rsidRDefault="00196B77" w:rsidP="00133704">
            <w:pPr>
              <w:jc w:val="right"/>
              <w:rPr>
                <w:rFonts w:ascii="Arial" w:hAnsi="Arial" w:cs="Arial"/>
                <w:sz w:val="14"/>
                <w:szCs w:val="14"/>
              </w:rPr>
            </w:pPr>
            <w:r w:rsidRPr="00133704">
              <w:rPr>
                <w:rFonts w:ascii="Arial" w:hAnsi="Arial" w:cs="Arial"/>
                <w:sz w:val="14"/>
                <w:szCs w:val="14"/>
              </w:rPr>
              <w:t>-</w:t>
            </w:r>
          </w:p>
        </w:tc>
        <w:tc>
          <w:tcPr>
            <w:tcW w:w="899" w:type="dxa"/>
            <w:tcBorders>
              <w:top w:val="nil"/>
              <w:left w:val="nil"/>
              <w:bottom w:val="nil"/>
              <w:right w:val="nil"/>
            </w:tcBorders>
            <w:shd w:val="clear" w:color="auto" w:fill="auto"/>
            <w:noWrap/>
            <w:vAlign w:val="center"/>
            <w:hideMark/>
          </w:tcPr>
          <w:p w14:paraId="32AC95B5" w14:textId="0FCA9E27" w:rsidR="008436AF" w:rsidRPr="00133704" w:rsidRDefault="00196B77" w:rsidP="00133704">
            <w:pPr>
              <w:jc w:val="right"/>
              <w:rPr>
                <w:rFonts w:ascii="Arial" w:hAnsi="Arial" w:cs="Arial"/>
                <w:sz w:val="14"/>
                <w:szCs w:val="14"/>
              </w:rPr>
            </w:pPr>
            <w:r w:rsidRPr="00133704">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21F80C49" w14:textId="21D2D9E0" w:rsidR="008436AF" w:rsidRPr="00133704" w:rsidRDefault="00196B77" w:rsidP="00133704">
            <w:pPr>
              <w:jc w:val="right"/>
              <w:rPr>
                <w:rFonts w:ascii="Arial" w:hAnsi="Arial" w:cs="Arial"/>
                <w:sz w:val="14"/>
                <w:szCs w:val="14"/>
              </w:rPr>
            </w:pPr>
            <w:r w:rsidRPr="00133704">
              <w:rPr>
                <w:rFonts w:ascii="Arial" w:hAnsi="Arial" w:cs="Arial"/>
                <w:sz w:val="14"/>
                <w:szCs w:val="14"/>
              </w:rPr>
              <w:t>8.623</w:t>
            </w:r>
          </w:p>
        </w:tc>
        <w:tc>
          <w:tcPr>
            <w:tcW w:w="1286" w:type="dxa"/>
            <w:tcBorders>
              <w:top w:val="nil"/>
              <w:left w:val="nil"/>
              <w:bottom w:val="nil"/>
              <w:right w:val="nil"/>
            </w:tcBorders>
            <w:shd w:val="clear" w:color="auto" w:fill="auto"/>
            <w:noWrap/>
            <w:vAlign w:val="center"/>
            <w:hideMark/>
          </w:tcPr>
          <w:p w14:paraId="43FC0398" w14:textId="30FD2850" w:rsidR="008436AF" w:rsidRPr="00133704" w:rsidRDefault="00196B77" w:rsidP="00133704">
            <w:pPr>
              <w:jc w:val="right"/>
              <w:rPr>
                <w:rFonts w:ascii="Arial" w:hAnsi="Arial" w:cs="Arial"/>
                <w:sz w:val="14"/>
                <w:szCs w:val="14"/>
              </w:rPr>
            </w:pPr>
            <w:r w:rsidRPr="00133704">
              <w:rPr>
                <w:rFonts w:ascii="Arial" w:hAnsi="Arial" w:cs="Arial"/>
                <w:sz w:val="14"/>
                <w:szCs w:val="14"/>
              </w:rPr>
              <w:t>-</w:t>
            </w:r>
          </w:p>
        </w:tc>
        <w:tc>
          <w:tcPr>
            <w:tcW w:w="1323" w:type="dxa"/>
            <w:tcBorders>
              <w:top w:val="nil"/>
              <w:left w:val="nil"/>
              <w:bottom w:val="nil"/>
              <w:right w:val="nil"/>
            </w:tcBorders>
            <w:shd w:val="clear" w:color="auto" w:fill="auto"/>
            <w:noWrap/>
            <w:vAlign w:val="center"/>
            <w:hideMark/>
          </w:tcPr>
          <w:p w14:paraId="3622A51A" w14:textId="7B0058E7" w:rsidR="008436AF" w:rsidRPr="00133704" w:rsidRDefault="00196B77" w:rsidP="00133704">
            <w:pPr>
              <w:jc w:val="right"/>
              <w:rPr>
                <w:rFonts w:ascii="Arial" w:hAnsi="Arial" w:cs="Arial"/>
                <w:sz w:val="14"/>
                <w:szCs w:val="14"/>
              </w:rPr>
            </w:pPr>
            <w:r w:rsidRPr="00133704">
              <w:rPr>
                <w:rFonts w:ascii="Arial" w:hAnsi="Arial" w:cs="Arial"/>
                <w:sz w:val="14"/>
                <w:szCs w:val="14"/>
              </w:rPr>
              <w:t>-</w:t>
            </w:r>
          </w:p>
        </w:tc>
        <w:tc>
          <w:tcPr>
            <w:tcW w:w="1119" w:type="dxa"/>
            <w:tcBorders>
              <w:top w:val="nil"/>
              <w:left w:val="nil"/>
              <w:bottom w:val="nil"/>
              <w:right w:val="nil"/>
            </w:tcBorders>
            <w:shd w:val="clear" w:color="auto" w:fill="auto"/>
            <w:noWrap/>
            <w:vAlign w:val="center"/>
            <w:hideMark/>
          </w:tcPr>
          <w:p w14:paraId="6A24A9D7" w14:textId="575F9FEF" w:rsidR="008436AF" w:rsidRPr="00133704" w:rsidRDefault="00196B77" w:rsidP="00133704">
            <w:pPr>
              <w:jc w:val="right"/>
              <w:rPr>
                <w:rFonts w:ascii="Arial" w:hAnsi="Arial" w:cs="Arial"/>
                <w:sz w:val="14"/>
                <w:szCs w:val="14"/>
              </w:rPr>
            </w:pPr>
            <w:r w:rsidRPr="00133704">
              <w:rPr>
                <w:rFonts w:ascii="Arial" w:hAnsi="Arial" w:cs="Arial"/>
                <w:sz w:val="14"/>
                <w:szCs w:val="14"/>
              </w:rPr>
              <w:t>-</w:t>
            </w:r>
          </w:p>
        </w:tc>
      </w:tr>
      <w:tr w:rsidR="00133704" w:rsidRPr="00133704" w14:paraId="6E5D77A2" w14:textId="77777777" w:rsidTr="00133704">
        <w:tc>
          <w:tcPr>
            <w:tcW w:w="3514" w:type="dxa"/>
            <w:tcBorders>
              <w:top w:val="nil"/>
              <w:left w:val="nil"/>
              <w:bottom w:val="nil"/>
              <w:right w:val="nil"/>
            </w:tcBorders>
            <w:shd w:val="clear" w:color="auto" w:fill="auto"/>
          </w:tcPr>
          <w:p w14:paraId="1C384ECE" w14:textId="77777777" w:rsidR="00196B77" w:rsidRPr="00133704" w:rsidRDefault="00196B77" w:rsidP="008436AF">
            <w:pPr>
              <w:rPr>
                <w:rFonts w:ascii="Arial" w:hAnsi="Arial" w:cs="Arial"/>
                <w:sz w:val="14"/>
                <w:szCs w:val="14"/>
              </w:rPr>
            </w:pPr>
          </w:p>
        </w:tc>
        <w:tc>
          <w:tcPr>
            <w:tcW w:w="0" w:type="auto"/>
            <w:tcBorders>
              <w:top w:val="nil"/>
              <w:left w:val="nil"/>
              <w:bottom w:val="nil"/>
              <w:right w:val="nil"/>
            </w:tcBorders>
            <w:shd w:val="clear" w:color="auto" w:fill="auto"/>
            <w:noWrap/>
          </w:tcPr>
          <w:p w14:paraId="37340888" w14:textId="77777777" w:rsidR="00196B77" w:rsidRPr="00133704" w:rsidRDefault="00196B77" w:rsidP="008436AF">
            <w:pPr>
              <w:rPr>
                <w:sz w:val="14"/>
                <w:szCs w:val="14"/>
              </w:rPr>
            </w:pPr>
          </w:p>
        </w:tc>
        <w:tc>
          <w:tcPr>
            <w:tcW w:w="0" w:type="auto"/>
            <w:tcBorders>
              <w:top w:val="nil"/>
              <w:left w:val="nil"/>
              <w:bottom w:val="nil"/>
              <w:right w:val="nil"/>
            </w:tcBorders>
            <w:shd w:val="clear" w:color="auto" w:fill="auto"/>
            <w:noWrap/>
          </w:tcPr>
          <w:p w14:paraId="62381F1F" w14:textId="77777777" w:rsidR="00196B77" w:rsidRPr="00133704" w:rsidRDefault="00196B77" w:rsidP="00133704">
            <w:pPr>
              <w:jc w:val="right"/>
              <w:rPr>
                <w:sz w:val="14"/>
                <w:szCs w:val="14"/>
              </w:rPr>
            </w:pPr>
          </w:p>
        </w:tc>
        <w:tc>
          <w:tcPr>
            <w:tcW w:w="0" w:type="auto"/>
            <w:tcBorders>
              <w:top w:val="nil"/>
              <w:left w:val="nil"/>
              <w:bottom w:val="nil"/>
              <w:right w:val="nil"/>
            </w:tcBorders>
            <w:shd w:val="clear" w:color="auto" w:fill="auto"/>
            <w:noWrap/>
          </w:tcPr>
          <w:p w14:paraId="1E0EE0AD" w14:textId="77777777" w:rsidR="00196B77" w:rsidRPr="00133704" w:rsidRDefault="00196B77" w:rsidP="00133704">
            <w:pPr>
              <w:jc w:val="right"/>
              <w:rPr>
                <w:sz w:val="14"/>
                <w:szCs w:val="14"/>
              </w:rPr>
            </w:pPr>
          </w:p>
        </w:tc>
        <w:tc>
          <w:tcPr>
            <w:tcW w:w="0" w:type="auto"/>
            <w:tcBorders>
              <w:top w:val="nil"/>
              <w:left w:val="nil"/>
              <w:bottom w:val="nil"/>
              <w:right w:val="nil"/>
            </w:tcBorders>
            <w:shd w:val="clear" w:color="auto" w:fill="auto"/>
            <w:noWrap/>
          </w:tcPr>
          <w:p w14:paraId="3BCDFC5A" w14:textId="77777777" w:rsidR="00196B77" w:rsidRPr="00133704" w:rsidRDefault="00196B77" w:rsidP="00133704">
            <w:pPr>
              <w:jc w:val="right"/>
              <w:rPr>
                <w:rFonts w:ascii="Arial" w:hAnsi="Arial" w:cs="Arial"/>
                <w:sz w:val="14"/>
                <w:szCs w:val="14"/>
              </w:rPr>
            </w:pPr>
          </w:p>
        </w:tc>
        <w:tc>
          <w:tcPr>
            <w:tcW w:w="0" w:type="auto"/>
            <w:tcBorders>
              <w:top w:val="nil"/>
              <w:left w:val="nil"/>
              <w:bottom w:val="nil"/>
              <w:right w:val="nil"/>
            </w:tcBorders>
            <w:shd w:val="clear" w:color="auto" w:fill="auto"/>
            <w:noWrap/>
          </w:tcPr>
          <w:p w14:paraId="6856E8AD" w14:textId="77777777" w:rsidR="00196B77" w:rsidRPr="00133704" w:rsidRDefault="00196B77" w:rsidP="00133704">
            <w:pPr>
              <w:jc w:val="right"/>
              <w:rPr>
                <w:rFonts w:ascii="Arial" w:hAnsi="Arial" w:cs="Arial"/>
                <w:sz w:val="14"/>
                <w:szCs w:val="14"/>
              </w:rPr>
            </w:pPr>
          </w:p>
        </w:tc>
        <w:tc>
          <w:tcPr>
            <w:tcW w:w="744" w:type="dxa"/>
            <w:tcBorders>
              <w:top w:val="nil"/>
              <w:left w:val="nil"/>
              <w:bottom w:val="nil"/>
              <w:right w:val="nil"/>
            </w:tcBorders>
            <w:shd w:val="clear" w:color="auto" w:fill="auto"/>
            <w:noWrap/>
          </w:tcPr>
          <w:p w14:paraId="692928D6" w14:textId="77777777" w:rsidR="00196B77" w:rsidRPr="00133704" w:rsidRDefault="00196B77" w:rsidP="00133704">
            <w:pPr>
              <w:jc w:val="right"/>
              <w:rPr>
                <w:rFonts w:ascii="Arial" w:hAnsi="Arial" w:cs="Arial"/>
                <w:sz w:val="14"/>
                <w:szCs w:val="14"/>
              </w:rPr>
            </w:pPr>
          </w:p>
        </w:tc>
        <w:tc>
          <w:tcPr>
            <w:tcW w:w="899" w:type="dxa"/>
            <w:tcBorders>
              <w:top w:val="nil"/>
              <w:left w:val="nil"/>
              <w:bottom w:val="nil"/>
              <w:right w:val="nil"/>
            </w:tcBorders>
            <w:shd w:val="clear" w:color="auto" w:fill="auto"/>
            <w:noWrap/>
          </w:tcPr>
          <w:p w14:paraId="6B107A79" w14:textId="77777777" w:rsidR="00196B77" w:rsidRPr="00133704" w:rsidRDefault="00196B77" w:rsidP="00133704">
            <w:pPr>
              <w:jc w:val="right"/>
              <w:rPr>
                <w:rFonts w:ascii="Arial" w:hAnsi="Arial" w:cs="Arial"/>
                <w:sz w:val="14"/>
                <w:szCs w:val="14"/>
              </w:rPr>
            </w:pPr>
          </w:p>
        </w:tc>
        <w:tc>
          <w:tcPr>
            <w:tcW w:w="0" w:type="auto"/>
            <w:tcBorders>
              <w:top w:val="nil"/>
              <w:left w:val="nil"/>
              <w:bottom w:val="nil"/>
              <w:right w:val="nil"/>
            </w:tcBorders>
            <w:shd w:val="clear" w:color="auto" w:fill="auto"/>
            <w:noWrap/>
          </w:tcPr>
          <w:p w14:paraId="723760E6" w14:textId="77777777" w:rsidR="00196B77" w:rsidRPr="00133704" w:rsidRDefault="00196B77" w:rsidP="00133704">
            <w:pPr>
              <w:jc w:val="right"/>
              <w:rPr>
                <w:rFonts w:ascii="Arial" w:hAnsi="Arial" w:cs="Arial"/>
                <w:sz w:val="14"/>
                <w:szCs w:val="14"/>
              </w:rPr>
            </w:pPr>
          </w:p>
        </w:tc>
        <w:tc>
          <w:tcPr>
            <w:tcW w:w="1286" w:type="dxa"/>
            <w:tcBorders>
              <w:top w:val="nil"/>
              <w:left w:val="nil"/>
              <w:bottom w:val="nil"/>
              <w:right w:val="nil"/>
            </w:tcBorders>
            <w:shd w:val="clear" w:color="auto" w:fill="auto"/>
            <w:noWrap/>
          </w:tcPr>
          <w:p w14:paraId="518D5BF4" w14:textId="77777777" w:rsidR="00196B77" w:rsidRPr="00133704" w:rsidRDefault="00196B77" w:rsidP="00133704">
            <w:pPr>
              <w:jc w:val="right"/>
              <w:rPr>
                <w:rFonts w:ascii="Arial" w:hAnsi="Arial" w:cs="Arial"/>
                <w:sz w:val="14"/>
                <w:szCs w:val="14"/>
              </w:rPr>
            </w:pPr>
          </w:p>
        </w:tc>
        <w:tc>
          <w:tcPr>
            <w:tcW w:w="1323" w:type="dxa"/>
            <w:tcBorders>
              <w:top w:val="nil"/>
              <w:left w:val="nil"/>
              <w:bottom w:val="nil"/>
              <w:right w:val="nil"/>
            </w:tcBorders>
            <w:shd w:val="clear" w:color="auto" w:fill="auto"/>
            <w:noWrap/>
          </w:tcPr>
          <w:p w14:paraId="370D77FB" w14:textId="77777777" w:rsidR="00196B77" w:rsidRPr="00133704" w:rsidRDefault="00196B77" w:rsidP="00133704">
            <w:pPr>
              <w:jc w:val="right"/>
              <w:rPr>
                <w:rFonts w:ascii="Arial" w:hAnsi="Arial" w:cs="Arial"/>
                <w:sz w:val="14"/>
                <w:szCs w:val="14"/>
              </w:rPr>
            </w:pPr>
          </w:p>
        </w:tc>
        <w:tc>
          <w:tcPr>
            <w:tcW w:w="1119" w:type="dxa"/>
            <w:tcBorders>
              <w:top w:val="nil"/>
              <w:left w:val="nil"/>
              <w:bottom w:val="nil"/>
              <w:right w:val="nil"/>
            </w:tcBorders>
            <w:shd w:val="clear" w:color="auto" w:fill="auto"/>
            <w:noWrap/>
          </w:tcPr>
          <w:p w14:paraId="1AC0B7F2" w14:textId="77777777" w:rsidR="00196B77" w:rsidRPr="00133704" w:rsidRDefault="00196B77" w:rsidP="00133704">
            <w:pPr>
              <w:jc w:val="right"/>
              <w:rPr>
                <w:rFonts w:ascii="Arial" w:hAnsi="Arial" w:cs="Arial"/>
                <w:sz w:val="14"/>
                <w:szCs w:val="14"/>
              </w:rPr>
            </w:pPr>
          </w:p>
        </w:tc>
      </w:tr>
      <w:tr w:rsidR="00133704" w:rsidRPr="00133704" w14:paraId="35092F89" w14:textId="77777777" w:rsidTr="00133704">
        <w:tc>
          <w:tcPr>
            <w:tcW w:w="3514" w:type="dxa"/>
            <w:tcBorders>
              <w:top w:val="nil"/>
              <w:left w:val="nil"/>
              <w:bottom w:val="nil"/>
              <w:right w:val="nil"/>
            </w:tcBorders>
            <w:shd w:val="clear" w:color="auto" w:fill="auto"/>
            <w:hideMark/>
          </w:tcPr>
          <w:p w14:paraId="2A984898" w14:textId="4A123B07" w:rsidR="00133704" w:rsidRPr="00133704" w:rsidRDefault="00133704" w:rsidP="00133704">
            <w:pPr>
              <w:rPr>
                <w:rFonts w:ascii="Arial" w:hAnsi="Arial" w:cs="Arial"/>
                <w:b/>
                <w:bCs/>
                <w:sz w:val="14"/>
                <w:szCs w:val="14"/>
              </w:rPr>
            </w:pPr>
            <w:r w:rsidRPr="00133704">
              <w:rPr>
                <w:rFonts w:ascii="Arial" w:hAnsi="Arial" w:cs="Arial"/>
                <w:b/>
                <w:bCs/>
                <w:sz w:val="14"/>
                <w:szCs w:val="14"/>
              </w:rPr>
              <w:t>Saldos al cierre del ejercicio</w:t>
            </w:r>
          </w:p>
        </w:tc>
        <w:tc>
          <w:tcPr>
            <w:tcW w:w="0" w:type="auto"/>
            <w:tcBorders>
              <w:top w:val="nil"/>
              <w:left w:val="nil"/>
              <w:bottom w:val="nil"/>
              <w:right w:val="nil"/>
            </w:tcBorders>
            <w:shd w:val="clear" w:color="auto" w:fill="auto"/>
            <w:noWrap/>
            <w:hideMark/>
          </w:tcPr>
          <w:p w14:paraId="2F25C397" w14:textId="77777777" w:rsidR="00133704" w:rsidRPr="00133704" w:rsidRDefault="00133704" w:rsidP="00133704">
            <w:pPr>
              <w:rPr>
                <w:rFonts w:ascii="Arial" w:hAnsi="Arial" w:cs="Arial"/>
                <w:b/>
                <w:bCs/>
                <w:sz w:val="14"/>
                <w:szCs w:val="14"/>
              </w:rPr>
            </w:pPr>
          </w:p>
        </w:tc>
        <w:tc>
          <w:tcPr>
            <w:tcW w:w="0" w:type="auto"/>
            <w:tcBorders>
              <w:top w:val="single" w:sz="4" w:space="0" w:color="auto"/>
              <w:left w:val="nil"/>
              <w:bottom w:val="single" w:sz="4" w:space="0" w:color="auto"/>
              <w:right w:val="nil"/>
            </w:tcBorders>
            <w:shd w:val="clear" w:color="auto" w:fill="auto"/>
            <w:noWrap/>
            <w:vAlign w:val="center"/>
            <w:hideMark/>
          </w:tcPr>
          <w:p w14:paraId="56CD3F90" w14:textId="4568C7A2" w:rsidR="00133704" w:rsidRPr="00133704" w:rsidRDefault="00133704" w:rsidP="00133704">
            <w:pPr>
              <w:jc w:val="right"/>
              <w:rPr>
                <w:rFonts w:ascii="Arial" w:hAnsi="Arial" w:cs="Arial"/>
                <w:b/>
                <w:bCs/>
                <w:sz w:val="14"/>
                <w:szCs w:val="14"/>
              </w:rPr>
            </w:pPr>
            <w:r w:rsidRPr="00133704">
              <w:rPr>
                <w:rFonts w:ascii="Arial" w:hAnsi="Arial" w:cs="Arial"/>
                <w:b/>
                <w:bCs/>
                <w:sz w:val="14"/>
                <w:szCs w:val="14"/>
              </w:rPr>
              <w:t>829.564</w:t>
            </w:r>
          </w:p>
        </w:tc>
        <w:tc>
          <w:tcPr>
            <w:tcW w:w="0" w:type="auto"/>
            <w:tcBorders>
              <w:top w:val="single" w:sz="4" w:space="0" w:color="auto"/>
              <w:left w:val="nil"/>
              <w:bottom w:val="single" w:sz="4" w:space="0" w:color="auto"/>
              <w:right w:val="nil"/>
            </w:tcBorders>
            <w:shd w:val="clear" w:color="auto" w:fill="auto"/>
            <w:noWrap/>
            <w:vAlign w:val="center"/>
            <w:hideMark/>
          </w:tcPr>
          <w:p w14:paraId="41980217" w14:textId="3B3F5ED6" w:rsidR="00133704" w:rsidRPr="00133704" w:rsidRDefault="00133704" w:rsidP="00133704">
            <w:pPr>
              <w:jc w:val="right"/>
              <w:rPr>
                <w:rFonts w:ascii="Arial" w:hAnsi="Arial" w:cs="Arial"/>
                <w:b/>
                <w:bCs/>
                <w:sz w:val="14"/>
                <w:szCs w:val="14"/>
              </w:rPr>
            </w:pPr>
            <w:r w:rsidRPr="00133704">
              <w:rPr>
                <w:rFonts w:ascii="Arial" w:hAnsi="Arial" w:cs="Arial"/>
                <w:b/>
                <w:bCs/>
                <w:sz w:val="14"/>
                <w:szCs w:val="14"/>
              </w:rPr>
              <w:t>6.898.635</w:t>
            </w:r>
          </w:p>
        </w:tc>
        <w:tc>
          <w:tcPr>
            <w:tcW w:w="0" w:type="auto"/>
            <w:tcBorders>
              <w:top w:val="single" w:sz="4" w:space="0" w:color="auto"/>
              <w:left w:val="nil"/>
              <w:bottom w:val="single" w:sz="4" w:space="0" w:color="auto"/>
              <w:right w:val="nil"/>
            </w:tcBorders>
            <w:shd w:val="clear" w:color="auto" w:fill="auto"/>
            <w:noWrap/>
          </w:tcPr>
          <w:p w14:paraId="681FDD1E" w14:textId="5BD22082" w:rsidR="00133704" w:rsidRPr="00133704" w:rsidRDefault="00133704" w:rsidP="00133704">
            <w:pPr>
              <w:jc w:val="right"/>
              <w:rPr>
                <w:rFonts w:ascii="Arial" w:hAnsi="Arial" w:cs="Arial"/>
                <w:b/>
                <w:bCs/>
                <w:sz w:val="14"/>
                <w:szCs w:val="14"/>
              </w:rPr>
            </w:pPr>
            <w:r w:rsidRPr="00133704">
              <w:rPr>
                <w:rFonts w:ascii="Arial" w:hAnsi="Arial" w:cs="Arial"/>
                <w:b/>
                <w:bCs/>
                <w:sz w:val="14"/>
                <w:szCs w:val="14"/>
              </w:rPr>
              <w:t>1.023.926</w:t>
            </w:r>
          </w:p>
        </w:tc>
        <w:tc>
          <w:tcPr>
            <w:tcW w:w="0" w:type="auto"/>
            <w:tcBorders>
              <w:top w:val="single" w:sz="4" w:space="0" w:color="auto"/>
              <w:left w:val="nil"/>
              <w:bottom w:val="single" w:sz="4" w:space="0" w:color="auto"/>
              <w:right w:val="nil"/>
            </w:tcBorders>
            <w:shd w:val="clear" w:color="auto" w:fill="auto"/>
            <w:noWrap/>
          </w:tcPr>
          <w:p w14:paraId="32766A80" w14:textId="5C8E78C5" w:rsidR="00133704" w:rsidRPr="00133704" w:rsidRDefault="00133704" w:rsidP="00133704">
            <w:pPr>
              <w:jc w:val="right"/>
              <w:rPr>
                <w:rFonts w:ascii="Arial" w:hAnsi="Arial" w:cs="Arial"/>
                <w:b/>
                <w:bCs/>
                <w:sz w:val="14"/>
                <w:szCs w:val="14"/>
              </w:rPr>
            </w:pPr>
            <w:r w:rsidRPr="00133704">
              <w:rPr>
                <w:rFonts w:ascii="Arial" w:hAnsi="Arial" w:cs="Arial"/>
                <w:b/>
                <w:bCs/>
                <w:sz w:val="14"/>
                <w:szCs w:val="14"/>
              </w:rPr>
              <w:t>13.187</w:t>
            </w:r>
          </w:p>
        </w:tc>
        <w:tc>
          <w:tcPr>
            <w:tcW w:w="744" w:type="dxa"/>
            <w:tcBorders>
              <w:top w:val="single" w:sz="4" w:space="0" w:color="auto"/>
              <w:left w:val="nil"/>
              <w:bottom w:val="single" w:sz="4" w:space="0" w:color="auto"/>
              <w:right w:val="nil"/>
            </w:tcBorders>
            <w:shd w:val="clear" w:color="auto" w:fill="auto"/>
            <w:noWrap/>
          </w:tcPr>
          <w:p w14:paraId="54F1E243" w14:textId="52AD9EDE" w:rsidR="00133704" w:rsidRPr="00133704" w:rsidRDefault="00133704" w:rsidP="00133704">
            <w:pPr>
              <w:jc w:val="right"/>
              <w:rPr>
                <w:rFonts w:ascii="Arial" w:hAnsi="Arial" w:cs="Arial"/>
                <w:b/>
                <w:bCs/>
                <w:sz w:val="14"/>
                <w:szCs w:val="14"/>
              </w:rPr>
            </w:pPr>
            <w:r w:rsidRPr="00133704">
              <w:rPr>
                <w:rFonts w:ascii="Arial" w:hAnsi="Arial" w:cs="Arial"/>
                <w:b/>
                <w:bCs/>
                <w:sz w:val="14"/>
                <w:szCs w:val="14"/>
              </w:rPr>
              <w:t>1.110.252</w:t>
            </w:r>
          </w:p>
        </w:tc>
        <w:tc>
          <w:tcPr>
            <w:tcW w:w="899" w:type="dxa"/>
            <w:tcBorders>
              <w:top w:val="single" w:sz="4" w:space="0" w:color="auto"/>
              <w:left w:val="nil"/>
              <w:bottom w:val="single" w:sz="4" w:space="0" w:color="auto"/>
              <w:right w:val="nil"/>
            </w:tcBorders>
            <w:shd w:val="clear" w:color="auto" w:fill="auto"/>
            <w:noWrap/>
          </w:tcPr>
          <w:p w14:paraId="5E821974" w14:textId="4E98F214" w:rsidR="00133704" w:rsidRPr="00133704" w:rsidRDefault="00133704" w:rsidP="00133704">
            <w:pPr>
              <w:jc w:val="right"/>
              <w:rPr>
                <w:rFonts w:ascii="Arial" w:hAnsi="Arial" w:cs="Arial"/>
                <w:b/>
                <w:bCs/>
                <w:sz w:val="14"/>
                <w:szCs w:val="14"/>
              </w:rPr>
            </w:pPr>
            <w:r w:rsidRPr="00133704">
              <w:rPr>
                <w:rFonts w:ascii="Arial" w:hAnsi="Arial" w:cs="Arial"/>
                <w:b/>
                <w:bCs/>
                <w:sz w:val="14"/>
                <w:szCs w:val="14"/>
              </w:rPr>
              <w:t>4.232.524</w:t>
            </w:r>
          </w:p>
        </w:tc>
        <w:tc>
          <w:tcPr>
            <w:tcW w:w="0" w:type="auto"/>
            <w:tcBorders>
              <w:top w:val="single" w:sz="4" w:space="0" w:color="auto"/>
              <w:left w:val="nil"/>
              <w:bottom w:val="single" w:sz="4" w:space="0" w:color="auto"/>
              <w:right w:val="nil"/>
            </w:tcBorders>
            <w:shd w:val="clear" w:color="auto" w:fill="auto"/>
            <w:noWrap/>
          </w:tcPr>
          <w:p w14:paraId="40174D4F" w14:textId="1D82FDC4" w:rsidR="00133704" w:rsidRPr="00133704" w:rsidRDefault="00133704" w:rsidP="00133704">
            <w:pPr>
              <w:jc w:val="right"/>
              <w:rPr>
                <w:rFonts w:ascii="Arial" w:hAnsi="Arial" w:cs="Arial"/>
                <w:b/>
                <w:bCs/>
                <w:sz w:val="14"/>
                <w:szCs w:val="14"/>
              </w:rPr>
            </w:pPr>
            <w:r w:rsidRPr="00133704">
              <w:rPr>
                <w:rFonts w:ascii="Arial" w:hAnsi="Arial" w:cs="Arial"/>
                <w:b/>
                <w:bCs/>
                <w:sz w:val="14"/>
                <w:szCs w:val="14"/>
              </w:rPr>
              <w:t>3.3</w:t>
            </w:r>
            <w:r w:rsidR="0055254F">
              <w:rPr>
                <w:rFonts w:ascii="Arial" w:hAnsi="Arial" w:cs="Arial"/>
                <w:b/>
                <w:bCs/>
                <w:sz w:val="14"/>
                <w:szCs w:val="14"/>
              </w:rPr>
              <w:t>29</w:t>
            </w:r>
            <w:r w:rsidRPr="00133704">
              <w:rPr>
                <w:rFonts w:ascii="Arial" w:hAnsi="Arial" w:cs="Arial"/>
                <w:b/>
                <w:bCs/>
                <w:sz w:val="14"/>
                <w:szCs w:val="14"/>
              </w:rPr>
              <w:t>.</w:t>
            </w:r>
            <w:r w:rsidR="0055254F">
              <w:rPr>
                <w:rFonts w:ascii="Arial" w:hAnsi="Arial" w:cs="Arial"/>
                <w:b/>
                <w:bCs/>
                <w:sz w:val="14"/>
                <w:szCs w:val="14"/>
              </w:rPr>
              <w:t>039</w:t>
            </w:r>
          </w:p>
        </w:tc>
        <w:tc>
          <w:tcPr>
            <w:tcW w:w="1286" w:type="dxa"/>
            <w:tcBorders>
              <w:top w:val="single" w:sz="4" w:space="0" w:color="auto"/>
              <w:left w:val="nil"/>
              <w:bottom w:val="single" w:sz="4" w:space="0" w:color="auto"/>
              <w:right w:val="nil"/>
            </w:tcBorders>
            <w:shd w:val="clear" w:color="auto" w:fill="auto"/>
            <w:noWrap/>
          </w:tcPr>
          <w:p w14:paraId="58FDA531" w14:textId="5EB3F1BD" w:rsidR="00133704" w:rsidRPr="00133704" w:rsidRDefault="00133704" w:rsidP="00133704">
            <w:pPr>
              <w:jc w:val="right"/>
              <w:rPr>
                <w:rFonts w:ascii="Arial" w:hAnsi="Arial" w:cs="Arial"/>
                <w:b/>
                <w:bCs/>
                <w:sz w:val="14"/>
                <w:szCs w:val="14"/>
              </w:rPr>
            </w:pPr>
            <w:r w:rsidRPr="00133704">
              <w:rPr>
                <w:rFonts w:ascii="Arial" w:hAnsi="Arial" w:cs="Arial"/>
                <w:b/>
                <w:bCs/>
                <w:sz w:val="14"/>
                <w:szCs w:val="14"/>
              </w:rPr>
              <w:t>17.4</w:t>
            </w:r>
            <w:r w:rsidR="0055254F">
              <w:rPr>
                <w:rFonts w:ascii="Arial" w:hAnsi="Arial" w:cs="Arial"/>
                <w:b/>
                <w:bCs/>
                <w:sz w:val="14"/>
                <w:szCs w:val="14"/>
              </w:rPr>
              <w:t>37</w:t>
            </w:r>
            <w:r w:rsidRPr="00133704">
              <w:rPr>
                <w:rFonts w:ascii="Arial" w:hAnsi="Arial" w:cs="Arial"/>
                <w:b/>
                <w:bCs/>
                <w:sz w:val="14"/>
                <w:szCs w:val="14"/>
              </w:rPr>
              <w:t>.</w:t>
            </w:r>
            <w:r w:rsidR="0055254F">
              <w:rPr>
                <w:rFonts w:ascii="Arial" w:hAnsi="Arial" w:cs="Arial"/>
                <w:b/>
                <w:bCs/>
                <w:sz w:val="14"/>
                <w:szCs w:val="14"/>
              </w:rPr>
              <w:t>127</w:t>
            </w:r>
          </w:p>
        </w:tc>
        <w:tc>
          <w:tcPr>
            <w:tcW w:w="1323" w:type="dxa"/>
            <w:tcBorders>
              <w:top w:val="single" w:sz="4" w:space="0" w:color="auto"/>
              <w:left w:val="nil"/>
              <w:bottom w:val="single" w:sz="4" w:space="0" w:color="auto"/>
              <w:right w:val="nil"/>
            </w:tcBorders>
            <w:shd w:val="clear" w:color="auto" w:fill="auto"/>
            <w:noWrap/>
          </w:tcPr>
          <w:p w14:paraId="15B72C4F" w14:textId="779C9A58" w:rsidR="00133704" w:rsidRPr="00133704" w:rsidRDefault="00133704" w:rsidP="00133704">
            <w:pPr>
              <w:jc w:val="right"/>
              <w:rPr>
                <w:rFonts w:ascii="Arial" w:hAnsi="Arial" w:cs="Arial"/>
                <w:b/>
                <w:bCs/>
                <w:sz w:val="14"/>
                <w:szCs w:val="14"/>
              </w:rPr>
            </w:pPr>
            <w:r w:rsidRPr="00133704">
              <w:rPr>
                <w:rFonts w:ascii="Arial" w:hAnsi="Arial" w:cs="Arial"/>
                <w:b/>
                <w:bCs/>
                <w:sz w:val="14"/>
                <w:szCs w:val="14"/>
              </w:rPr>
              <w:t>125.955</w:t>
            </w:r>
          </w:p>
        </w:tc>
        <w:tc>
          <w:tcPr>
            <w:tcW w:w="1119" w:type="dxa"/>
            <w:tcBorders>
              <w:top w:val="single" w:sz="4" w:space="0" w:color="auto"/>
              <w:left w:val="nil"/>
              <w:bottom w:val="single" w:sz="4" w:space="0" w:color="auto"/>
              <w:right w:val="nil"/>
            </w:tcBorders>
            <w:shd w:val="clear" w:color="auto" w:fill="auto"/>
            <w:noWrap/>
          </w:tcPr>
          <w:p w14:paraId="2F2B8E91" w14:textId="1C6FCB88" w:rsidR="00133704" w:rsidRPr="00133704" w:rsidRDefault="00133704" w:rsidP="00133704">
            <w:pPr>
              <w:jc w:val="right"/>
              <w:rPr>
                <w:rFonts w:ascii="Arial" w:hAnsi="Arial" w:cs="Arial"/>
                <w:b/>
                <w:bCs/>
                <w:sz w:val="14"/>
                <w:szCs w:val="14"/>
              </w:rPr>
            </w:pPr>
            <w:r w:rsidRPr="00133704">
              <w:rPr>
                <w:rFonts w:ascii="Arial" w:hAnsi="Arial" w:cs="Arial"/>
                <w:b/>
                <w:bCs/>
                <w:sz w:val="14"/>
                <w:szCs w:val="14"/>
              </w:rPr>
              <w:t>17.</w:t>
            </w:r>
            <w:r w:rsidR="0055254F">
              <w:rPr>
                <w:rFonts w:ascii="Arial" w:hAnsi="Arial" w:cs="Arial"/>
                <w:b/>
                <w:bCs/>
                <w:sz w:val="14"/>
                <w:szCs w:val="14"/>
              </w:rPr>
              <w:t>563</w:t>
            </w:r>
            <w:r w:rsidRPr="00133704">
              <w:rPr>
                <w:rFonts w:ascii="Arial" w:hAnsi="Arial" w:cs="Arial"/>
                <w:b/>
                <w:bCs/>
                <w:sz w:val="14"/>
                <w:szCs w:val="14"/>
              </w:rPr>
              <w:t>.</w:t>
            </w:r>
            <w:r w:rsidR="0055254F">
              <w:rPr>
                <w:rFonts w:ascii="Arial" w:hAnsi="Arial" w:cs="Arial"/>
                <w:b/>
                <w:bCs/>
                <w:sz w:val="14"/>
                <w:szCs w:val="14"/>
              </w:rPr>
              <w:t>082</w:t>
            </w:r>
          </w:p>
        </w:tc>
      </w:tr>
      <w:bookmarkEnd w:id="4"/>
    </w:tbl>
    <w:p w14:paraId="47AA3FE5" w14:textId="77777777" w:rsidR="004A22E9" w:rsidRDefault="004A22E9">
      <w:r>
        <w:br w:type="page"/>
      </w:r>
    </w:p>
    <w:tbl>
      <w:tblPr>
        <w:tblW w:w="14650" w:type="dxa"/>
        <w:tblCellMar>
          <w:left w:w="70" w:type="dxa"/>
          <w:right w:w="70" w:type="dxa"/>
        </w:tblCellMar>
        <w:tblLook w:val="04A0" w:firstRow="1" w:lastRow="0" w:firstColumn="1" w:lastColumn="0" w:noHBand="0" w:noVBand="1"/>
      </w:tblPr>
      <w:tblGrid>
        <w:gridCol w:w="3833"/>
        <w:gridCol w:w="452"/>
        <w:gridCol w:w="1059"/>
        <w:gridCol w:w="1164"/>
        <w:gridCol w:w="818"/>
        <w:gridCol w:w="915"/>
        <w:gridCol w:w="672"/>
        <w:gridCol w:w="1229"/>
        <w:gridCol w:w="1011"/>
        <w:gridCol w:w="1493"/>
        <w:gridCol w:w="1163"/>
        <w:gridCol w:w="841"/>
      </w:tblGrid>
      <w:tr w:rsidR="004A22E9" w:rsidRPr="004A22E9" w14:paraId="51FDA3F1" w14:textId="77777777" w:rsidTr="004A22E9">
        <w:tc>
          <w:tcPr>
            <w:tcW w:w="3833"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7A2576C9" w14:textId="3A9D82A8" w:rsidR="008436AF" w:rsidRPr="004A22E9" w:rsidRDefault="008436AF" w:rsidP="008436AF">
            <w:pPr>
              <w:jc w:val="center"/>
              <w:rPr>
                <w:rFonts w:ascii="Arial" w:hAnsi="Arial" w:cs="Arial"/>
                <w:b/>
                <w:bCs/>
                <w:sz w:val="14"/>
                <w:szCs w:val="14"/>
                <w:lang w:eastAsia="es-AR"/>
              </w:rPr>
            </w:pPr>
            <w:r w:rsidRPr="004A22E9" w:rsidDel="001D29A5">
              <w:rPr>
                <w:noProof/>
                <w:sz w:val="14"/>
                <w:szCs w:val="14"/>
                <w:lang w:eastAsia="es-AR"/>
              </w:rPr>
              <w:t xml:space="preserve"> </w:t>
            </w:r>
            <w:r w:rsidRPr="004A22E9">
              <w:rPr>
                <w:rFonts w:ascii="Arial" w:hAnsi="Arial" w:cs="Arial"/>
                <w:b/>
                <w:bCs/>
                <w:sz w:val="14"/>
                <w:szCs w:val="14"/>
                <w:lang w:eastAsia="es-AR"/>
              </w:rPr>
              <w:t>Movimientos</w:t>
            </w:r>
          </w:p>
        </w:tc>
        <w:tc>
          <w:tcPr>
            <w:tcW w:w="0" w:type="auto"/>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0A4AF416" w14:textId="77777777"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Nota</w:t>
            </w:r>
          </w:p>
        </w:tc>
        <w:tc>
          <w:tcPr>
            <w:tcW w:w="0" w:type="auto"/>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204C80B9" w14:textId="77777777"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Capital Social</w:t>
            </w:r>
          </w:p>
        </w:tc>
        <w:tc>
          <w:tcPr>
            <w:tcW w:w="0" w:type="auto"/>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9DA652F" w14:textId="77777777"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Aportes no capitalizados</w:t>
            </w:r>
          </w:p>
        </w:tc>
        <w:tc>
          <w:tcPr>
            <w:tcW w:w="0" w:type="auto"/>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594D3772" w14:textId="1ED1AFA5"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Otros Resultados Integrales</w:t>
            </w:r>
          </w:p>
        </w:tc>
        <w:tc>
          <w:tcPr>
            <w:tcW w:w="1901"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hideMark/>
          </w:tcPr>
          <w:p w14:paraId="1261338F" w14:textId="77777777"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Reserva de utilidades</w:t>
            </w:r>
          </w:p>
        </w:tc>
        <w:tc>
          <w:tcPr>
            <w:tcW w:w="0" w:type="auto"/>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3603C2E0" w14:textId="77777777"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Resultados No asignados</w:t>
            </w:r>
          </w:p>
        </w:tc>
        <w:tc>
          <w:tcPr>
            <w:tcW w:w="1493"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4957E19E" w14:textId="08D08A7E"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Total PN de participación controladoras al 3</w:t>
            </w:r>
            <w:r w:rsidR="00F87BE3" w:rsidRPr="004A22E9">
              <w:rPr>
                <w:rFonts w:ascii="Arial" w:hAnsi="Arial" w:cs="Arial"/>
                <w:b/>
                <w:bCs/>
                <w:sz w:val="14"/>
                <w:szCs w:val="14"/>
                <w:lang w:eastAsia="es-AR"/>
              </w:rPr>
              <w:t>1</w:t>
            </w:r>
            <w:r w:rsidRPr="004A22E9">
              <w:rPr>
                <w:rFonts w:ascii="Arial" w:hAnsi="Arial" w:cs="Arial"/>
                <w:b/>
                <w:bCs/>
                <w:sz w:val="14"/>
                <w:szCs w:val="14"/>
                <w:lang w:eastAsia="es-AR"/>
              </w:rPr>
              <w:t>/</w:t>
            </w:r>
            <w:r w:rsidR="00F87BE3" w:rsidRPr="004A22E9">
              <w:rPr>
                <w:rFonts w:ascii="Arial" w:hAnsi="Arial" w:cs="Arial"/>
                <w:b/>
                <w:bCs/>
                <w:sz w:val="14"/>
                <w:szCs w:val="14"/>
                <w:lang w:eastAsia="es-AR"/>
              </w:rPr>
              <w:t>12</w:t>
            </w:r>
            <w:r w:rsidRPr="004A22E9">
              <w:rPr>
                <w:rFonts w:ascii="Arial" w:hAnsi="Arial" w:cs="Arial"/>
                <w:b/>
                <w:bCs/>
                <w:sz w:val="14"/>
                <w:szCs w:val="14"/>
                <w:lang w:eastAsia="es-AR"/>
              </w:rPr>
              <w:t>/2018</w:t>
            </w:r>
          </w:p>
        </w:tc>
        <w:tc>
          <w:tcPr>
            <w:tcW w:w="1163"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4B7746DC" w14:textId="207868FB"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Total PN de participación no controladora al 3</w:t>
            </w:r>
            <w:r w:rsidR="00F87BE3" w:rsidRPr="004A22E9">
              <w:rPr>
                <w:rFonts w:ascii="Arial" w:hAnsi="Arial" w:cs="Arial"/>
                <w:b/>
                <w:bCs/>
                <w:sz w:val="14"/>
                <w:szCs w:val="14"/>
                <w:lang w:eastAsia="es-AR"/>
              </w:rPr>
              <w:t>1</w:t>
            </w:r>
            <w:r w:rsidRPr="004A22E9">
              <w:rPr>
                <w:rFonts w:ascii="Arial" w:hAnsi="Arial" w:cs="Arial"/>
                <w:b/>
                <w:bCs/>
                <w:sz w:val="14"/>
                <w:szCs w:val="14"/>
                <w:lang w:eastAsia="es-AR"/>
              </w:rPr>
              <w:t>/</w:t>
            </w:r>
            <w:r w:rsidR="00F87BE3" w:rsidRPr="004A22E9">
              <w:rPr>
                <w:rFonts w:ascii="Arial" w:hAnsi="Arial" w:cs="Arial"/>
                <w:b/>
                <w:bCs/>
                <w:sz w:val="14"/>
                <w:szCs w:val="14"/>
                <w:lang w:eastAsia="es-AR"/>
              </w:rPr>
              <w:t>12</w:t>
            </w:r>
            <w:r w:rsidRPr="004A22E9">
              <w:rPr>
                <w:rFonts w:ascii="Arial" w:hAnsi="Arial" w:cs="Arial"/>
                <w:b/>
                <w:bCs/>
                <w:sz w:val="14"/>
                <w:szCs w:val="14"/>
                <w:lang w:eastAsia="es-AR"/>
              </w:rPr>
              <w:t>/2018</w:t>
            </w:r>
          </w:p>
        </w:tc>
        <w:tc>
          <w:tcPr>
            <w:tcW w:w="0" w:type="auto"/>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39E6454E" w14:textId="77777777"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Total PN</w:t>
            </w:r>
          </w:p>
        </w:tc>
      </w:tr>
      <w:tr w:rsidR="004A22E9" w:rsidRPr="004A22E9" w14:paraId="41505465" w14:textId="77777777" w:rsidTr="004A22E9">
        <w:tc>
          <w:tcPr>
            <w:tcW w:w="3833" w:type="dxa"/>
            <w:vMerge/>
            <w:tcBorders>
              <w:top w:val="single" w:sz="4" w:space="0" w:color="363639"/>
              <w:left w:val="single" w:sz="4" w:space="0" w:color="363639"/>
              <w:bottom w:val="single" w:sz="4" w:space="0" w:color="363639"/>
              <w:right w:val="single" w:sz="4" w:space="0" w:color="363639"/>
            </w:tcBorders>
            <w:vAlign w:val="center"/>
            <w:hideMark/>
          </w:tcPr>
          <w:p w14:paraId="0A872FE4" w14:textId="77777777" w:rsidR="008436AF" w:rsidRPr="004A22E9" w:rsidRDefault="008436AF" w:rsidP="008436AF">
            <w:pPr>
              <w:rPr>
                <w:rFonts w:ascii="Arial" w:hAnsi="Arial" w:cs="Arial"/>
                <w:b/>
                <w:bCs/>
                <w:sz w:val="14"/>
                <w:szCs w:val="14"/>
                <w:lang w:eastAsia="es-AR"/>
              </w:rPr>
            </w:pPr>
          </w:p>
        </w:tc>
        <w:tc>
          <w:tcPr>
            <w:tcW w:w="0" w:type="auto"/>
            <w:vMerge/>
            <w:tcBorders>
              <w:top w:val="single" w:sz="4" w:space="0" w:color="363639"/>
              <w:left w:val="single" w:sz="4" w:space="0" w:color="363639"/>
              <w:bottom w:val="single" w:sz="4" w:space="0" w:color="363639"/>
              <w:right w:val="single" w:sz="4" w:space="0" w:color="363639"/>
            </w:tcBorders>
            <w:vAlign w:val="center"/>
            <w:hideMark/>
          </w:tcPr>
          <w:p w14:paraId="7F450169" w14:textId="77777777" w:rsidR="008436AF" w:rsidRPr="004A22E9" w:rsidRDefault="008436AF" w:rsidP="008436AF">
            <w:pPr>
              <w:rPr>
                <w:rFonts w:ascii="Arial" w:hAnsi="Arial" w:cs="Arial"/>
                <w:b/>
                <w:bCs/>
                <w:sz w:val="14"/>
                <w:szCs w:val="14"/>
                <w:lang w:eastAsia="es-AR"/>
              </w:rPr>
            </w:pPr>
          </w:p>
        </w:tc>
        <w:tc>
          <w:tcPr>
            <w:tcW w:w="0" w:type="auto"/>
            <w:tcBorders>
              <w:top w:val="nil"/>
              <w:left w:val="nil"/>
              <w:bottom w:val="single" w:sz="4" w:space="0" w:color="363639"/>
              <w:right w:val="single" w:sz="4" w:space="0" w:color="363639"/>
            </w:tcBorders>
            <w:shd w:val="clear" w:color="auto" w:fill="BFBFBF" w:themeFill="background1" w:themeFillShade="BF"/>
            <w:vAlign w:val="center"/>
            <w:hideMark/>
          </w:tcPr>
          <w:p w14:paraId="15541335" w14:textId="77777777"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En</w:t>
            </w:r>
            <w:r w:rsidRPr="004A22E9">
              <w:rPr>
                <w:rFonts w:ascii="Arial" w:hAnsi="Arial" w:cs="Arial"/>
                <w:b/>
                <w:bCs/>
                <w:sz w:val="14"/>
                <w:szCs w:val="14"/>
                <w:lang w:eastAsia="es-AR"/>
              </w:rPr>
              <w:br/>
              <w:t xml:space="preserve"> circulación</w:t>
            </w:r>
          </w:p>
        </w:tc>
        <w:tc>
          <w:tcPr>
            <w:tcW w:w="0" w:type="auto"/>
            <w:tcBorders>
              <w:top w:val="nil"/>
              <w:left w:val="nil"/>
              <w:bottom w:val="single" w:sz="4" w:space="0" w:color="363639"/>
              <w:right w:val="single" w:sz="4" w:space="0" w:color="363639"/>
            </w:tcBorders>
            <w:shd w:val="clear" w:color="auto" w:fill="BFBFBF" w:themeFill="background1" w:themeFillShade="BF"/>
            <w:vAlign w:val="center"/>
            <w:hideMark/>
          </w:tcPr>
          <w:p w14:paraId="7F6F1D96" w14:textId="77777777"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Primas de emisión de acciones</w:t>
            </w:r>
          </w:p>
        </w:tc>
        <w:tc>
          <w:tcPr>
            <w:tcW w:w="0" w:type="auto"/>
            <w:tcBorders>
              <w:top w:val="nil"/>
              <w:left w:val="nil"/>
              <w:bottom w:val="single" w:sz="4" w:space="0" w:color="363639"/>
              <w:right w:val="single" w:sz="4" w:space="0" w:color="363639"/>
            </w:tcBorders>
            <w:shd w:val="clear" w:color="auto" w:fill="BFBFBF" w:themeFill="background1" w:themeFillShade="BF"/>
            <w:vAlign w:val="center"/>
            <w:hideMark/>
          </w:tcPr>
          <w:p w14:paraId="76E5F237" w14:textId="2AE4C39E"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 xml:space="preserve">Revaluac de PPE </w:t>
            </w:r>
          </w:p>
        </w:tc>
        <w:tc>
          <w:tcPr>
            <w:tcW w:w="0" w:type="auto"/>
            <w:tcBorders>
              <w:top w:val="nil"/>
              <w:left w:val="nil"/>
              <w:bottom w:val="single" w:sz="4" w:space="0" w:color="363639"/>
              <w:right w:val="single" w:sz="4" w:space="0" w:color="363639"/>
            </w:tcBorders>
            <w:shd w:val="clear" w:color="auto" w:fill="BFBFBF" w:themeFill="background1" w:themeFillShade="BF"/>
            <w:vAlign w:val="center"/>
            <w:hideMark/>
          </w:tcPr>
          <w:p w14:paraId="44BE8A33" w14:textId="77777777"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Gcias. o pérdidas acum por Inst.</w:t>
            </w:r>
            <w:r w:rsidRPr="004A22E9">
              <w:rPr>
                <w:rFonts w:ascii="Arial" w:hAnsi="Arial" w:cs="Arial"/>
                <w:b/>
                <w:bCs/>
                <w:sz w:val="14"/>
                <w:szCs w:val="14"/>
                <w:lang w:eastAsia="es-AR"/>
              </w:rPr>
              <w:br/>
              <w:t>Fcieros. a VRCORI</w:t>
            </w:r>
          </w:p>
        </w:tc>
        <w:tc>
          <w:tcPr>
            <w:tcW w:w="0" w:type="auto"/>
            <w:tcBorders>
              <w:top w:val="nil"/>
              <w:left w:val="nil"/>
              <w:bottom w:val="single" w:sz="4" w:space="0" w:color="363639"/>
              <w:right w:val="single" w:sz="4" w:space="0" w:color="363639"/>
            </w:tcBorders>
            <w:shd w:val="clear" w:color="auto" w:fill="BFBFBF" w:themeFill="background1" w:themeFillShade="BF"/>
            <w:vAlign w:val="center"/>
            <w:hideMark/>
          </w:tcPr>
          <w:p w14:paraId="165897DC" w14:textId="77777777"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Legal</w:t>
            </w:r>
          </w:p>
        </w:tc>
        <w:tc>
          <w:tcPr>
            <w:tcW w:w="1182" w:type="dxa"/>
            <w:tcBorders>
              <w:top w:val="nil"/>
              <w:left w:val="nil"/>
              <w:bottom w:val="single" w:sz="4" w:space="0" w:color="363639"/>
              <w:right w:val="single" w:sz="4" w:space="0" w:color="363639"/>
            </w:tcBorders>
            <w:shd w:val="clear" w:color="auto" w:fill="BFBFBF" w:themeFill="background1" w:themeFillShade="BF"/>
            <w:vAlign w:val="center"/>
            <w:hideMark/>
          </w:tcPr>
          <w:p w14:paraId="5FC6923C" w14:textId="77777777" w:rsidR="008436AF" w:rsidRPr="004A22E9" w:rsidRDefault="008436AF" w:rsidP="008436AF">
            <w:pPr>
              <w:jc w:val="center"/>
              <w:rPr>
                <w:rFonts w:ascii="Arial" w:hAnsi="Arial" w:cs="Arial"/>
                <w:b/>
                <w:bCs/>
                <w:sz w:val="14"/>
                <w:szCs w:val="14"/>
                <w:lang w:eastAsia="es-AR"/>
              </w:rPr>
            </w:pPr>
            <w:r w:rsidRPr="004A22E9">
              <w:rPr>
                <w:rFonts w:ascii="Arial" w:hAnsi="Arial" w:cs="Arial"/>
                <w:b/>
                <w:bCs/>
                <w:sz w:val="14"/>
                <w:szCs w:val="14"/>
                <w:lang w:eastAsia="es-AR"/>
              </w:rPr>
              <w:t>Otras</w:t>
            </w:r>
          </w:p>
        </w:tc>
        <w:tc>
          <w:tcPr>
            <w:tcW w:w="0" w:type="auto"/>
            <w:vMerge/>
            <w:tcBorders>
              <w:top w:val="single" w:sz="4" w:space="0" w:color="363639"/>
              <w:left w:val="single" w:sz="4" w:space="0" w:color="363639"/>
              <w:bottom w:val="single" w:sz="4" w:space="0" w:color="363639"/>
              <w:right w:val="single" w:sz="4" w:space="0" w:color="363639"/>
            </w:tcBorders>
            <w:vAlign w:val="center"/>
            <w:hideMark/>
          </w:tcPr>
          <w:p w14:paraId="5FE4F44B" w14:textId="77777777" w:rsidR="008436AF" w:rsidRPr="004A22E9" w:rsidRDefault="008436AF" w:rsidP="008436AF">
            <w:pPr>
              <w:rPr>
                <w:rFonts w:ascii="Arial" w:hAnsi="Arial" w:cs="Arial"/>
                <w:b/>
                <w:bCs/>
                <w:sz w:val="14"/>
                <w:szCs w:val="14"/>
                <w:lang w:eastAsia="es-AR"/>
              </w:rPr>
            </w:pPr>
          </w:p>
        </w:tc>
        <w:tc>
          <w:tcPr>
            <w:tcW w:w="1493" w:type="dxa"/>
            <w:vMerge/>
            <w:tcBorders>
              <w:top w:val="single" w:sz="4" w:space="0" w:color="363639"/>
              <w:left w:val="single" w:sz="4" w:space="0" w:color="363639"/>
              <w:bottom w:val="single" w:sz="4" w:space="0" w:color="363639"/>
              <w:right w:val="single" w:sz="4" w:space="0" w:color="363639"/>
            </w:tcBorders>
            <w:vAlign w:val="center"/>
            <w:hideMark/>
          </w:tcPr>
          <w:p w14:paraId="6D7CBBAF" w14:textId="77777777" w:rsidR="008436AF" w:rsidRPr="004A22E9" w:rsidRDefault="008436AF" w:rsidP="008436AF">
            <w:pPr>
              <w:rPr>
                <w:rFonts w:ascii="Arial" w:hAnsi="Arial" w:cs="Arial"/>
                <w:b/>
                <w:bCs/>
                <w:sz w:val="14"/>
                <w:szCs w:val="14"/>
                <w:lang w:eastAsia="es-AR"/>
              </w:rPr>
            </w:pPr>
          </w:p>
        </w:tc>
        <w:tc>
          <w:tcPr>
            <w:tcW w:w="1163" w:type="dxa"/>
            <w:vMerge/>
            <w:tcBorders>
              <w:top w:val="single" w:sz="4" w:space="0" w:color="363639"/>
              <w:left w:val="single" w:sz="4" w:space="0" w:color="363639"/>
              <w:bottom w:val="single" w:sz="4" w:space="0" w:color="363639"/>
              <w:right w:val="single" w:sz="4" w:space="0" w:color="363639"/>
            </w:tcBorders>
            <w:vAlign w:val="center"/>
            <w:hideMark/>
          </w:tcPr>
          <w:p w14:paraId="65390BA1" w14:textId="77777777" w:rsidR="008436AF" w:rsidRPr="004A22E9" w:rsidRDefault="008436AF" w:rsidP="008436AF">
            <w:pPr>
              <w:rPr>
                <w:rFonts w:ascii="Arial" w:hAnsi="Arial" w:cs="Arial"/>
                <w:b/>
                <w:bCs/>
                <w:sz w:val="14"/>
                <w:szCs w:val="14"/>
                <w:lang w:eastAsia="es-AR"/>
              </w:rPr>
            </w:pPr>
          </w:p>
        </w:tc>
        <w:tc>
          <w:tcPr>
            <w:tcW w:w="0" w:type="auto"/>
            <w:vMerge/>
            <w:tcBorders>
              <w:top w:val="single" w:sz="4" w:space="0" w:color="363639"/>
              <w:left w:val="single" w:sz="4" w:space="0" w:color="363639"/>
              <w:bottom w:val="single" w:sz="4" w:space="0" w:color="363639"/>
              <w:right w:val="single" w:sz="4" w:space="0" w:color="363639"/>
            </w:tcBorders>
            <w:vAlign w:val="center"/>
            <w:hideMark/>
          </w:tcPr>
          <w:p w14:paraId="587FFE6C" w14:textId="77777777" w:rsidR="008436AF" w:rsidRPr="004A22E9" w:rsidRDefault="008436AF" w:rsidP="008436AF">
            <w:pPr>
              <w:rPr>
                <w:rFonts w:ascii="Arial" w:hAnsi="Arial" w:cs="Arial"/>
                <w:b/>
                <w:bCs/>
                <w:sz w:val="14"/>
                <w:szCs w:val="14"/>
                <w:lang w:eastAsia="es-AR"/>
              </w:rPr>
            </w:pPr>
          </w:p>
        </w:tc>
      </w:tr>
      <w:tr w:rsidR="004A22E9" w:rsidRPr="004A22E9" w14:paraId="6148BDC9" w14:textId="77777777" w:rsidTr="004A22E9">
        <w:tc>
          <w:tcPr>
            <w:tcW w:w="3833" w:type="dxa"/>
            <w:tcBorders>
              <w:top w:val="nil"/>
              <w:left w:val="nil"/>
              <w:bottom w:val="nil"/>
              <w:right w:val="nil"/>
            </w:tcBorders>
            <w:shd w:val="clear" w:color="auto" w:fill="auto"/>
            <w:noWrap/>
            <w:vAlign w:val="center"/>
            <w:hideMark/>
          </w:tcPr>
          <w:p w14:paraId="41C27464" w14:textId="77777777" w:rsidR="008436AF" w:rsidRPr="004A22E9" w:rsidRDefault="008436AF" w:rsidP="008436AF">
            <w:pPr>
              <w:jc w:val="center"/>
              <w:rPr>
                <w:rFonts w:ascii="Arial" w:hAnsi="Arial" w:cs="Arial"/>
                <w:b/>
                <w:bCs/>
                <w:sz w:val="14"/>
                <w:szCs w:val="14"/>
                <w:lang w:eastAsia="es-AR"/>
              </w:rPr>
            </w:pPr>
          </w:p>
        </w:tc>
        <w:tc>
          <w:tcPr>
            <w:tcW w:w="0" w:type="auto"/>
            <w:tcBorders>
              <w:top w:val="nil"/>
              <w:left w:val="nil"/>
              <w:bottom w:val="nil"/>
              <w:right w:val="nil"/>
            </w:tcBorders>
            <w:shd w:val="clear" w:color="auto" w:fill="auto"/>
            <w:noWrap/>
            <w:vAlign w:val="center"/>
            <w:hideMark/>
          </w:tcPr>
          <w:p w14:paraId="5BF80807" w14:textId="77777777" w:rsidR="008436AF" w:rsidRPr="004A22E9" w:rsidRDefault="008436AF" w:rsidP="008436AF">
            <w:pPr>
              <w:jc w:val="center"/>
              <w:rPr>
                <w:sz w:val="14"/>
                <w:szCs w:val="14"/>
                <w:lang w:eastAsia="es-AR"/>
              </w:rPr>
            </w:pPr>
          </w:p>
        </w:tc>
        <w:tc>
          <w:tcPr>
            <w:tcW w:w="0" w:type="auto"/>
            <w:tcBorders>
              <w:top w:val="nil"/>
              <w:left w:val="nil"/>
              <w:bottom w:val="nil"/>
              <w:right w:val="nil"/>
            </w:tcBorders>
            <w:shd w:val="clear" w:color="auto" w:fill="auto"/>
            <w:vAlign w:val="center"/>
            <w:hideMark/>
          </w:tcPr>
          <w:p w14:paraId="5558DD5E" w14:textId="77777777" w:rsidR="008436AF" w:rsidRPr="004A22E9" w:rsidRDefault="008436AF" w:rsidP="008436AF">
            <w:pPr>
              <w:rPr>
                <w:sz w:val="14"/>
                <w:szCs w:val="14"/>
                <w:lang w:eastAsia="es-AR"/>
              </w:rPr>
            </w:pPr>
          </w:p>
        </w:tc>
        <w:tc>
          <w:tcPr>
            <w:tcW w:w="0" w:type="auto"/>
            <w:tcBorders>
              <w:top w:val="nil"/>
              <w:left w:val="nil"/>
              <w:bottom w:val="nil"/>
              <w:right w:val="nil"/>
            </w:tcBorders>
            <w:shd w:val="clear" w:color="auto" w:fill="auto"/>
            <w:vAlign w:val="center"/>
            <w:hideMark/>
          </w:tcPr>
          <w:p w14:paraId="750DABF3" w14:textId="77777777" w:rsidR="008436AF" w:rsidRPr="004A22E9" w:rsidRDefault="008436AF" w:rsidP="008436AF">
            <w:pPr>
              <w:jc w:val="center"/>
              <w:rPr>
                <w:sz w:val="14"/>
                <w:szCs w:val="14"/>
                <w:lang w:eastAsia="es-AR"/>
              </w:rPr>
            </w:pPr>
          </w:p>
        </w:tc>
        <w:tc>
          <w:tcPr>
            <w:tcW w:w="0" w:type="auto"/>
            <w:tcBorders>
              <w:top w:val="nil"/>
              <w:left w:val="nil"/>
              <w:bottom w:val="nil"/>
              <w:right w:val="nil"/>
            </w:tcBorders>
            <w:shd w:val="clear" w:color="auto" w:fill="auto"/>
            <w:vAlign w:val="center"/>
            <w:hideMark/>
          </w:tcPr>
          <w:p w14:paraId="224EEEB6" w14:textId="77777777" w:rsidR="008436AF" w:rsidRPr="004A22E9" w:rsidRDefault="008436AF" w:rsidP="008436AF">
            <w:pPr>
              <w:jc w:val="center"/>
              <w:rPr>
                <w:sz w:val="14"/>
                <w:szCs w:val="14"/>
                <w:lang w:eastAsia="es-AR"/>
              </w:rPr>
            </w:pPr>
          </w:p>
        </w:tc>
        <w:tc>
          <w:tcPr>
            <w:tcW w:w="0" w:type="auto"/>
            <w:tcBorders>
              <w:top w:val="nil"/>
              <w:left w:val="nil"/>
              <w:bottom w:val="nil"/>
              <w:right w:val="nil"/>
            </w:tcBorders>
            <w:shd w:val="clear" w:color="auto" w:fill="auto"/>
            <w:vAlign w:val="center"/>
            <w:hideMark/>
          </w:tcPr>
          <w:p w14:paraId="2FACC7A0" w14:textId="77777777" w:rsidR="008436AF" w:rsidRPr="004A22E9" w:rsidRDefault="008436AF" w:rsidP="008436AF">
            <w:pPr>
              <w:jc w:val="center"/>
              <w:rPr>
                <w:sz w:val="14"/>
                <w:szCs w:val="14"/>
                <w:lang w:eastAsia="es-AR"/>
              </w:rPr>
            </w:pPr>
          </w:p>
        </w:tc>
        <w:tc>
          <w:tcPr>
            <w:tcW w:w="0" w:type="auto"/>
            <w:tcBorders>
              <w:top w:val="nil"/>
              <w:left w:val="nil"/>
              <w:bottom w:val="nil"/>
              <w:right w:val="nil"/>
            </w:tcBorders>
            <w:shd w:val="clear" w:color="auto" w:fill="auto"/>
            <w:vAlign w:val="center"/>
            <w:hideMark/>
          </w:tcPr>
          <w:p w14:paraId="62448042" w14:textId="77777777" w:rsidR="008436AF" w:rsidRPr="004A22E9" w:rsidRDefault="008436AF" w:rsidP="008436AF">
            <w:pPr>
              <w:jc w:val="center"/>
              <w:rPr>
                <w:sz w:val="14"/>
                <w:szCs w:val="14"/>
                <w:lang w:eastAsia="es-AR"/>
              </w:rPr>
            </w:pPr>
          </w:p>
        </w:tc>
        <w:tc>
          <w:tcPr>
            <w:tcW w:w="1182" w:type="dxa"/>
            <w:tcBorders>
              <w:top w:val="nil"/>
              <w:left w:val="nil"/>
              <w:bottom w:val="nil"/>
              <w:right w:val="nil"/>
            </w:tcBorders>
            <w:shd w:val="clear" w:color="auto" w:fill="auto"/>
            <w:vAlign w:val="center"/>
            <w:hideMark/>
          </w:tcPr>
          <w:p w14:paraId="78F954F7" w14:textId="77777777" w:rsidR="008436AF" w:rsidRPr="004A22E9" w:rsidRDefault="008436AF" w:rsidP="008436AF">
            <w:pPr>
              <w:jc w:val="center"/>
              <w:rPr>
                <w:sz w:val="14"/>
                <w:szCs w:val="14"/>
                <w:lang w:eastAsia="es-AR"/>
              </w:rPr>
            </w:pPr>
          </w:p>
        </w:tc>
        <w:tc>
          <w:tcPr>
            <w:tcW w:w="0" w:type="auto"/>
            <w:tcBorders>
              <w:top w:val="nil"/>
              <w:left w:val="nil"/>
              <w:bottom w:val="nil"/>
              <w:right w:val="nil"/>
            </w:tcBorders>
            <w:shd w:val="clear" w:color="auto" w:fill="auto"/>
            <w:noWrap/>
            <w:vAlign w:val="bottom"/>
            <w:hideMark/>
          </w:tcPr>
          <w:p w14:paraId="103D84A4" w14:textId="77777777" w:rsidR="008436AF" w:rsidRPr="004A22E9" w:rsidRDefault="008436AF" w:rsidP="008436AF">
            <w:pPr>
              <w:jc w:val="center"/>
              <w:rPr>
                <w:sz w:val="14"/>
                <w:szCs w:val="14"/>
                <w:lang w:eastAsia="es-AR"/>
              </w:rPr>
            </w:pPr>
          </w:p>
        </w:tc>
        <w:tc>
          <w:tcPr>
            <w:tcW w:w="1493" w:type="dxa"/>
            <w:tcBorders>
              <w:top w:val="nil"/>
              <w:left w:val="nil"/>
              <w:bottom w:val="nil"/>
              <w:right w:val="nil"/>
            </w:tcBorders>
            <w:shd w:val="clear" w:color="auto" w:fill="auto"/>
            <w:noWrap/>
            <w:vAlign w:val="center"/>
            <w:hideMark/>
          </w:tcPr>
          <w:p w14:paraId="23163343" w14:textId="77777777" w:rsidR="008436AF" w:rsidRPr="004A22E9" w:rsidRDefault="008436AF" w:rsidP="008436AF">
            <w:pPr>
              <w:jc w:val="center"/>
              <w:rPr>
                <w:sz w:val="14"/>
                <w:szCs w:val="14"/>
                <w:lang w:eastAsia="es-AR"/>
              </w:rPr>
            </w:pPr>
          </w:p>
        </w:tc>
        <w:tc>
          <w:tcPr>
            <w:tcW w:w="1163" w:type="dxa"/>
            <w:tcBorders>
              <w:top w:val="nil"/>
              <w:left w:val="nil"/>
              <w:bottom w:val="nil"/>
              <w:right w:val="nil"/>
            </w:tcBorders>
            <w:shd w:val="clear" w:color="auto" w:fill="auto"/>
            <w:noWrap/>
            <w:vAlign w:val="center"/>
            <w:hideMark/>
          </w:tcPr>
          <w:p w14:paraId="25B96736" w14:textId="77777777" w:rsidR="008436AF" w:rsidRPr="004A22E9" w:rsidRDefault="008436AF" w:rsidP="008436AF">
            <w:pPr>
              <w:jc w:val="center"/>
              <w:rPr>
                <w:sz w:val="14"/>
                <w:szCs w:val="14"/>
                <w:lang w:eastAsia="es-AR"/>
              </w:rPr>
            </w:pPr>
          </w:p>
        </w:tc>
        <w:tc>
          <w:tcPr>
            <w:tcW w:w="0" w:type="auto"/>
            <w:tcBorders>
              <w:top w:val="nil"/>
              <w:left w:val="nil"/>
              <w:bottom w:val="nil"/>
              <w:right w:val="nil"/>
            </w:tcBorders>
            <w:shd w:val="clear" w:color="auto" w:fill="auto"/>
            <w:noWrap/>
            <w:vAlign w:val="center"/>
            <w:hideMark/>
          </w:tcPr>
          <w:p w14:paraId="54B93C3C" w14:textId="77777777" w:rsidR="008436AF" w:rsidRPr="004A22E9" w:rsidRDefault="008436AF" w:rsidP="008436AF">
            <w:pPr>
              <w:jc w:val="center"/>
              <w:rPr>
                <w:sz w:val="14"/>
                <w:szCs w:val="14"/>
                <w:lang w:eastAsia="es-AR"/>
              </w:rPr>
            </w:pPr>
          </w:p>
        </w:tc>
      </w:tr>
      <w:tr w:rsidR="004A22E9" w:rsidRPr="004A22E9" w14:paraId="4EF187AA" w14:textId="77777777" w:rsidTr="004A22E9">
        <w:tc>
          <w:tcPr>
            <w:tcW w:w="3833" w:type="dxa"/>
            <w:tcBorders>
              <w:top w:val="nil"/>
              <w:left w:val="nil"/>
              <w:bottom w:val="nil"/>
              <w:right w:val="nil"/>
            </w:tcBorders>
            <w:shd w:val="clear" w:color="auto" w:fill="auto"/>
            <w:hideMark/>
          </w:tcPr>
          <w:p w14:paraId="3EA5A8C1" w14:textId="77777777" w:rsidR="004A22E9" w:rsidRPr="004A22E9" w:rsidRDefault="004A22E9" w:rsidP="004A22E9">
            <w:pPr>
              <w:rPr>
                <w:rFonts w:ascii="Arial" w:hAnsi="Arial" w:cs="Arial"/>
                <w:b/>
                <w:bCs/>
                <w:sz w:val="14"/>
                <w:szCs w:val="14"/>
                <w:lang w:eastAsia="es-AR"/>
              </w:rPr>
            </w:pPr>
            <w:r w:rsidRPr="004A22E9">
              <w:rPr>
                <w:rFonts w:ascii="Arial" w:hAnsi="Arial" w:cs="Arial"/>
                <w:b/>
                <w:bCs/>
                <w:sz w:val="14"/>
                <w:szCs w:val="14"/>
                <w:lang w:eastAsia="es-AR"/>
              </w:rPr>
              <w:t>Saldos al comienzo del ejercicio</w:t>
            </w:r>
          </w:p>
        </w:tc>
        <w:tc>
          <w:tcPr>
            <w:tcW w:w="0" w:type="auto"/>
            <w:tcBorders>
              <w:top w:val="nil"/>
              <w:left w:val="nil"/>
              <w:bottom w:val="nil"/>
              <w:right w:val="nil"/>
            </w:tcBorders>
            <w:shd w:val="clear" w:color="auto" w:fill="auto"/>
            <w:noWrap/>
            <w:hideMark/>
          </w:tcPr>
          <w:p w14:paraId="7447BAB1" w14:textId="77777777" w:rsidR="004A22E9" w:rsidRPr="004A22E9" w:rsidRDefault="004A22E9" w:rsidP="004A22E9">
            <w:pPr>
              <w:rPr>
                <w:rFonts w:ascii="Arial" w:hAnsi="Arial" w:cs="Arial"/>
                <w:b/>
                <w:bCs/>
                <w:sz w:val="14"/>
                <w:szCs w:val="14"/>
                <w:lang w:eastAsia="es-AR"/>
              </w:rPr>
            </w:pPr>
          </w:p>
        </w:tc>
        <w:tc>
          <w:tcPr>
            <w:tcW w:w="0" w:type="auto"/>
            <w:tcBorders>
              <w:top w:val="nil"/>
              <w:left w:val="nil"/>
              <w:bottom w:val="nil"/>
              <w:right w:val="nil"/>
            </w:tcBorders>
            <w:shd w:val="clear" w:color="auto" w:fill="auto"/>
            <w:noWrap/>
            <w:vAlign w:val="bottom"/>
            <w:hideMark/>
          </w:tcPr>
          <w:p w14:paraId="7ED21C8C" w14:textId="2CF00138"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lang w:eastAsia="es-AR"/>
              </w:rPr>
              <w:t>744.386</w:t>
            </w:r>
          </w:p>
        </w:tc>
        <w:tc>
          <w:tcPr>
            <w:tcW w:w="0" w:type="auto"/>
            <w:tcBorders>
              <w:top w:val="nil"/>
              <w:left w:val="nil"/>
              <w:bottom w:val="nil"/>
              <w:right w:val="nil"/>
            </w:tcBorders>
            <w:shd w:val="clear" w:color="auto" w:fill="auto"/>
            <w:noWrap/>
            <w:vAlign w:val="bottom"/>
            <w:hideMark/>
          </w:tcPr>
          <w:p w14:paraId="14FD3D34" w14:textId="4E057016"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lang w:eastAsia="es-AR"/>
              </w:rPr>
              <w:t>4.647.818</w:t>
            </w:r>
          </w:p>
        </w:tc>
        <w:tc>
          <w:tcPr>
            <w:tcW w:w="0" w:type="auto"/>
            <w:tcBorders>
              <w:top w:val="nil"/>
              <w:left w:val="nil"/>
              <w:bottom w:val="nil"/>
              <w:right w:val="nil"/>
            </w:tcBorders>
            <w:shd w:val="clear" w:color="auto" w:fill="auto"/>
            <w:noWrap/>
            <w:vAlign w:val="center"/>
            <w:hideMark/>
          </w:tcPr>
          <w:p w14:paraId="0EACDF9D" w14:textId="4C3D17EF"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142.015</w:t>
            </w:r>
          </w:p>
        </w:tc>
        <w:tc>
          <w:tcPr>
            <w:tcW w:w="0" w:type="auto"/>
            <w:tcBorders>
              <w:top w:val="nil"/>
              <w:left w:val="nil"/>
              <w:bottom w:val="nil"/>
              <w:right w:val="nil"/>
            </w:tcBorders>
            <w:shd w:val="clear" w:color="auto" w:fill="auto"/>
            <w:noWrap/>
            <w:vAlign w:val="center"/>
            <w:hideMark/>
          </w:tcPr>
          <w:p w14:paraId="5EFBBF7E" w14:textId="53EDFD56"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5.343</w:t>
            </w:r>
          </w:p>
        </w:tc>
        <w:tc>
          <w:tcPr>
            <w:tcW w:w="0" w:type="auto"/>
            <w:tcBorders>
              <w:top w:val="nil"/>
              <w:left w:val="nil"/>
              <w:bottom w:val="nil"/>
              <w:right w:val="nil"/>
            </w:tcBorders>
            <w:shd w:val="clear" w:color="auto" w:fill="auto"/>
            <w:noWrap/>
            <w:vAlign w:val="center"/>
            <w:hideMark/>
          </w:tcPr>
          <w:p w14:paraId="1FF8F218" w14:textId="209DF681"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676.447</w:t>
            </w:r>
          </w:p>
        </w:tc>
        <w:tc>
          <w:tcPr>
            <w:tcW w:w="1182" w:type="dxa"/>
            <w:tcBorders>
              <w:top w:val="nil"/>
              <w:left w:val="nil"/>
              <w:bottom w:val="nil"/>
              <w:right w:val="nil"/>
            </w:tcBorders>
            <w:shd w:val="clear" w:color="auto" w:fill="auto"/>
            <w:noWrap/>
            <w:vAlign w:val="center"/>
            <w:hideMark/>
          </w:tcPr>
          <w:p w14:paraId="2C6C3380" w14:textId="7D2916E9"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2.497.308</w:t>
            </w:r>
          </w:p>
        </w:tc>
        <w:tc>
          <w:tcPr>
            <w:tcW w:w="0" w:type="auto"/>
            <w:tcBorders>
              <w:top w:val="nil"/>
              <w:left w:val="nil"/>
              <w:bottom w:val="nil"/>
              <w:right w:val="nil"/>
            </w:tcBorders>
            <w:shd w:val="clear" w:color="auto" w:fill="auto"/>
            <w:noWrap/>
            <w:vAlign w:val="center"/>
            <w:hideMark/>
          </w:tcPr>
          <w:p w14:paraId="4E00727E" w14:textId="73EFE383"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498.50</w:t>
            </w:r>
            <w:r w:rsidR="007C311B">
              <w:rPr>
                <w:rFonts w:ascii="Arial" w:hAnsi="Arial" w:cs="Arial"/>
                <w:sz w:val="14"/>
                <w:szCs w:val="14"/>
              </w:rPr>
              <w:t>1</w:t>
            </w:r>
          </w:p>
        </w:tc>
        <w:tc>
          <w:tcPr>
            <w:tcW w:w="1493" w:type="dxa"/>
            <w:tcBorders>
              <w:top w:val="nil"/>
              <w:left w:val="nil"/>
              <w:bottom w:val="nil"/>
              <w:right w:val="nil"/>
            </w:tcBorders>
            <w:shd w:val="clear" w:color="auto" w:fill="auto"/>
            <w:noWrap/>
            <w:vAlign w:val="center"/>
            <w:hideMark/>
          </w:tcPr>
          <w:p w14:paraId="02352012" w14:textId="54F80768"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9.211.8</w:t>
            </w:r>
            <w:r w:rsidR="007C311B">
              <w:rPr>
                <w:rFonts w:ascii="Arial" w:hAnsi="Arial" w:cs="Arial"/>
                <w:sz w:val="14"/>
                <w:szCs w:val="14"/>
              </w:rPr>
              <w:t>18</w:t>
            </w:r>
          </w:p>
        </w:tc>
        <w:tc>
          <w:tcPr>
            <w:tcW w:w="1163" w:type="dxa"/>
            <w:tcBorders>
              <w:top w:val="nil"/>
              <w:left w:val="nil"/>
              <w:bottom w:val="nil"/>
              <w:right w:val="nil"/>
            </w:tcBorders>
            <w:shd w:val="clear" w:color="auto" w:fill="auto"/>
            <w:noWrap/>
            <w:vAlign w:val="center"/>
            <w:hideMark/>
          </w:tcPr>
          <w:p w14:paraId="4B1C1347" w14:textId="0ADE2DFF"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214.437</w:t>
            </w:r>
          </w:p>
        </w:tc>
        <w:tc>
          <w:tcPr>
            <w:tcW w:w="0" w:type="auto"/>
            <w:tcBorders>
              <w:top w:val="nil"/>
              <w:left w:val="nil"/>
              <w:bottom w:val="nil"/>
              <w:right w:val="nil"/>
            </w:tcBorders>
            <w:shd w:val="clear" w:color="auto" w:fill="auto"/>
            <w:noWrap/>
            <w:vAlign w:val="center"/>
            <w:hideMark/>
          </w:tcPr>
          <w:p w14:paraId="0F1C623D" w14:textId="4A41137F"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9.426.25</w:t>
            </w:r>
            <w:r w:rsidR="007C311B">
              <w:rPr>
                <w:rFonts w:ascii="Arial" w:hAnsi="Arial" w:cs="Arial"/>
                <w:sz w:val="14"/>
                <w:szCs w:val="14"/>
              </w:rPr>
              <w:t>5</w:t>
            </w:r>
          </w:p>
        </w:tc>
      </w:tr>
      <w:tr w:rsidR="004A22E9" w:rsidRPr="004A22E9" w14:paraId="487FE97D" w14:textId="77777777" w:rsidTr="004A22E9">
        <w:tc>
          <w:tcPr>
            <w:tcW w:w="3833" w:type="dxa"/>
            <w:tcBorders>
              <w:top w:val="nil"/>
              <w:left w:val="nil"/>
              <w:bottom w:val="nil"/>
              <w:right w:val="nil"/>
            </w:tcBorders>
            <w:shd w:val="clear" w:color="auto" w:fill="auto"/>
            <w:hideMark/>
          </w:tcPr>
          <w:p w14:paraId="24A1E5BC" w14:textId="77777777" w:rsidR="008436AF" w:rsidRPr="004A22E9" w:rsidRDefault="008436AF" w:rsidP="008436AF">
            <w:pPr>
              <w:rPr>
                <w:rFonts w:ascii="Arial" w:hAnsi="Arial" w:cs="Arial"/>
                <w:sz w:val="14"/>
                <w:szCs w:val="14"/>
                <w:lang w:eastAsia="es-AR"/>
              </w:rPr>
            </w:pPr>
          </w:p>
        </w:tc>
        <w:tc>
          <w:tcPr>
            <w:tcW w:w="0" w:type="auto"/>
            <w:tcBorders>
              <w:top w:val="nil"/>
              <w:left w:val="nil"/>
              <w:bottom w:val="nil"/>
              <w:right w:val="nil"/>
            </w:tcBorders>
            <w:shd w:val="clear" w:color="auto" w:fill="auto"/>
            <w:noWrap/>
            <w:hideMark/>
          </w:tcPr>
          <w:p w14:paraId="71F71783" w14:textId="77777777" w:rsidR="008436AF" w:rsidRPr="004A22E9" w:rsidRDefault="008436AF" w:rsidP="008436AF">
            <w:pPr>
              <w:rPr>
                <w:sz w:val="14"/>
                <w:szCs w:val="14"/>
                <w:lang w:eastAsia="es-AR"/>
              </w:rPr>
            </w:pPr>
          </w:p>
        </w:tc>
        <w:tc>
          <w:tcPr>
            <w:tcW w:w="0" w:type="auto"/>
            <w:tcBorders>
              <w:top w:val="nil"/>
              <w:left w:val="nil"/>
              <w:bottom w:val="nil"/>
              <w:right w:val="nil"/>
            </w:tcBorders>
            <w:shd w:val="clear" w:color="auto" w:fill="auto"/>
            <w:noWrap/>
            <w:vAlign w:val="bottom"/>
            <w:hideMark/>
          </w:tcPr>
          <w:p w14:paraId="2F4E01F7"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592171B7"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6DE472CD"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7245622E"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7424339D" w14:textId="77777777" w:rsidR="008436AF" w:rsidRPr="004A22E9" w:rsidRDefault="008436AF" w:rsidP="008436AF">
            <w:pPr>
              <w:jc w:val="right"/>
              <w:rPr>
                <w:sz w:val="14"/>
                <w:szCs w:val="14"/>
                <w:lang w:eastAsia="es-AR"/>
              </w:rPr>
            </w:pPr>
          </w:p>
        </w:tc>
        <w:tc>
          <w:tcPr>
            <w:tcW w:w="1182" w:type="dxa"/>
            <w:tcBorders>
              <w:top w:val="nil"/>
              <w:left w:val="nil"/>
              <w:bottom w:val="nil"/>
              <w:right w:val="nil"/>
            </w:tcBorders>
            <w:shd w:val="clear" w:color="auto" w:fill="auto"/>
            <w:noWrap/>
            <w:vAlign w:val="bottom"/>
            <w:hideMark/>
          </w:tcPr>
          <w:p w14:paraId="2BDD15BB"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5B977EF9" w14:textId="77777777" w:rsidR="008436AF" w:rsidRPr="004A22E9" w:rsidRDefault="008436AF" w:rsidP="008436AF">
            <w:pPr>
              <w:jc w:val="right"/>
              <w:rPr>
                <w:sz w:val="14"/>
                <w:szCs w:val="14"/>
                <w:lang w:eastAsia="es-AR"/>
              </w:rPr>
            </w:pPr>
          </w:p>
        </w:tc>
        <w:tc>
          <w:tcPr>
            <w:tcW w:w="1493" w:type="dxa"/>
            <w:tcBorders>
              <w:top w:val="nil"/>
              <w:left w:val="nil"/>
              <w:bottom w:val="nil"/>
              <w:right w:val="nil"/>
            </w:tcBorders>
            <w:shd w:val="clear" w:color="auto" w:fill="auto"/>
            <w:noWrap/>
            <w:vAlign w:val="bottom"/>
            <w:hideMark/>
          </w:tcPr>
          <w:p w14:paraId="5DEF00B4" w14:textId="77777777" w:rsidR="008436AF" w:rsidRPr="004A22E9" w:rsidRDefault="008436AF" w:rsidP="008436AF">
            <w:pPr>
              <w:jc w:val="right"/>
              <w:rPr>
                <w:sz w:val="14"/>
                <w:szCs w:val="14"/>
                <w:lang w:eastAsia="es-AR"/>
              </w:rPr>
            </w:pPr>
          </w:p>
        </w:tc>
        <w:tc>
          <w:tcPr>
            <w:tcW w:w="1163" w:type="dxa"/>
            <w:tcBorders>
              <w:top w:val="nil"/>
              <w:left w:val="nil"/>
              <w:bottom w:val="nil"/>
              <w:right w:val="nil"/>
            </w:tcBorders>
            <w:shd w:val="clear" w:color="auto" w:fill="auto"/>
            <w:noWrap/>
            <w:vAlign w:val="bottom"/>
            <w:hideMark/>
          </w:tcPr>
          <w:p w14:paraId="34FAE8F6"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18C7EA9B" w14:textId="77777777" w:rsidR="008436AF" w:rsidRPr="004A22E9" w:rsidRDefault="008436AF" w:rsidP="008436AF">
            <w:pPr>
              <w:jc w:val="right"/>
              <w:rPr>
                <w:sz w:val="14"/>
                <w:szCs w:val="14"/>
                <w:lang w:eastAsia="es-AR"/>
              </w:rPr>
            </w:pPr>
          </w:p>
        </w:tc>
      </w:tr>
      <w:tr w:rsidR="004A22E9" w:rsidRPr="004A22E9" w14:paraId="26F6FFE1" w14:textId="77777777" w:rsidTr="004A22E9">
        <w:tc>
          <w:tcPr>
            <w:tcW w:w="3833" w:type="dxa"/>
            <w:tcBorders>
              <w:top w:val="nil"/>
              <w:left w:val="nil"/>
              <w:bottom w:val="nil"/>
              <w:right w:val="nil"/>
            </w:tcBorders>
            <w:shd w:val="clear" w:color="auto" w:fill="auto"/>
            <w:hideMark/>
          </w:tcPr>
          <w:p w14:paraId="6E2D4E8D" w14:textId="327A9C3A" w:rsidR="008436AF" w:rsidRPr="004A22E9" w:rsidRDefault="008436AF" w:rsidP="008436AF">
            <w:pPr>
              <w:rPr>
                <w:rFonts w:ascii="Arial" w:hAnsi="Arial" w:cs="Arial"/>
                <w:b/>
                <w:bCs/>
                <w:sz w:val="14"/>
                <w:szCs w:val="14"/>
                <w:lang w:eastAsia="es-AR"/>
              </w:rPr>
            </w:pPr>
            <w:r w:rsidRPr="004A22E9">
              <w:rPr>
                <w:rFonts w:ascii="Arial" w:hAnsi="Arial" w:cs="Arial"/>
                <w:b/>
                <w:bCs/>
                <w:sz w:val="14"/>
                <w:szCs w:val="14"/>
                <w:lang w:eastAsia="es-AR"/>
              </w:rPr>
              <w:t xml:space="preserve">Resultado total integral del </w:t>
            </w:r>
            <w:r w:rsidR="00F87BE3" w:rsidRPr="004A22E9">
              <w:rPr>
                <w:rFonts w:ascii="Arial" w:hAnsi="Arial" w:cs="Arial"/>
                <w:b/>
                <w:bCs/>
                <w:sz w:val="14"/>
                <w:szCs w:val="14"/>
                <w:lang w:eastAsia="es-AR"/>
              </w:rPr>
              <w:t>ejercicio</w:t>
            </w:r>
          </w:p>
        </w:tc>
        <w:tc>
          <w:tcPr>
            <w:tcW w:w="0" w:type="auto"/>
            <w:tcBorders>
              <w:top w:val="nil"/>
              <w:left w:val="nil"/>
              <w:bottom w:val="nil"/>
              <w:right w:val="nil"/>
            </w:tcBorders>
            <w:shd w:val="clear" w:color="auto" w:fill="auto"/>
            <w:noWrap/>
            <w:hideMark/>
          </w:tcPr>
          <w:p w14:paraId="5B2B77E0" w14:textId="77777777" w:rsidR="008436AF" w:rsidRPr="004A22E9" w:rsidRDefault="008436AF" w:rsidP="008436AF">
            <w:pPr>
              <w:rPr>
                <w:rFonts w:ascii="Arial" w:hAnsi="Arial" w:cs="Arial"/>
                <w:b/>
                <w:bCs/>
                <w:sz w:val="14"/>
                <w:szCs w:val="14"/>
                <w:lang w:eastAsia="es-AR"/>
              </w:rPr>
            </w:pPr>
          </w:p>
        </w:tc>
        <w:tc>
          <w:tcPr>
            <w:tcW w:w="0" w:type="auto"/>
            <w:tcBorders>
              <w:top w:val="nil"/>
              <w:left w:val="nil"/>
              <w:bottom w:val="nil"/>
              <w:right w:val="nil"/>
            </w:tcBorders>
            <w:shd w:val="clear" w:color="auto" w:fill="auto"/>
            <w:noWrap/>
            <w:vAlign w:val="bottom"/>
            <w:hideMark/>
          </w:tcPr>
          <w:p w14:paraId="2DA2A192"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203B03D7"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274E6A0B"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6935ED6B"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7EA46E37" w14:textId="77777777" w:rsidR="008436AF" w:rsidRPr="004A22E9" w:rsidRDefault="008436AF" w:rsidP="008436AF">
            <w:pPr>
              <w:jc w:val="right"/>
              <w:rPr>
                <w:sz w:val="14"/>
                <w:szCs w:val="14"/>
                <w:lang w:eastAsia="es-AR"/>
              </w:rPr>
            </w:pPr>
          </w:p>
        </w:tc>
        <w:tc>
          <w:tcPr>
            <w:tcW w:w="1182" w:type="dxa"/>
            <w:tcBorders>
              <w:top w:val="nil"/>
              <w:left w:val="nil"/>
              <w:bottom w:val="nil"/>
              <w:right w:val="nil"/>
            </w:tcBorders>
            <w:shd w:val="clear" w:color="auto" w:fill="auto"/>
            <w:noWrap/>
            <w:vAlign w:val="bottom"/>
            <w:hideMark/>
          </w:tcPr>
          <w:p w14:paraId="05252401"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7CE2DCC1" w14:textId="77777777" w:rsidR="008436AF" w:rsidRPr="004A22E9" w:rsidRDefault="008436AF" w:rsidP="008436AF">
            <w:pPr>
              <w:jc w:val="right"/>
              <w:rPr>
                <w:sz w:val="14"/>
                <w:szCs w:val="14"/>
                <w:lang w:eastAsia="es-AR"/>
              </w:rPr>
            </w:pPr>
          </w:p>
        </w:tc>
        <w:tc>
          <w:tcPr>
            <w:tcW w:w="1493" w:type="dxa"/>
            <w:tcBorders>
              <w:top w:val="nil"/>
              <w:left w:val="nil"/>
              <w:bottom w:val="nil"/>
              <w:right w:val="nil"/>
            </w:tcBorders>
            <w:shd w:val="clear" w:color="auto" w:fill="auto"/>
            <w:noWrap/>
            <w:vAlign w:val="bottom"/>
            <w:hideMark/>
          </w:tcPr>
          <w:p w14:paraId="263BC044" w14:textId="77777777" w:rsidR="008436AF" w:rsidRPr="004A22E9" w:rsidRDefault="008436AF" w:rsidP="008436AF">
            <w:pPr>
              <w:jc w:val="right"/>
              <w:rPr>
                <w:sz w:val="14"/>
                <w:szCs w:val="14"/>
                <w:lang w:eastAsia="es-AR"/>
              </w:rPr>
            </w:pPr>
          </w:p>
        </w:tc>
        <w:tc>
          <w:tcPr>
            <w:tcW w:w="1163" w:type="dxa"/>
            <w:tcBorders>
              <w:top w:val="nil"/>
              <w:left w:val="nil"/>
              <w:bottom w:val="nil"/>
              <w:right w:val="nil"/>
            </w:tcBorders>
            <w:shd w:val="clear" w:color="auto" w:fill="auto"/>
            <w:noWrap/>
            <w:vAlign w:val="bottom"/>
            <w:hideMark/>
          </w:tcPr>
          <w:p w14:paraId="5D4BB6C2" w14:textId="77777777" w:rsidR="008436AF" w:rsidRPr="004A22E9" w:rsidRDefault="008436AF" w:rsidP="008436AF">
            <w:pPr>
              <w:jc w:val="right"/>
              <w:rPr>
                <w:sz w:val="14"/>
                <w:szCs w:val="14"/>
                <w:lang w:eastAsia="es-AR"/>
              </w:rPr>
            </w:pPr>
          </w:p>
        </w:tc>
        <w:tc>
          <w:tcPr>
            <w:tcW w:w="0" w:type="auto"/>
            <w:tcBorders>
              <w:top w:val="nil"/>
              <w:left w:val="nil"/>
              <w:bottom w:val="nil"/>
              <w:right w:val="nil"/>
            </w:tcBorders>
            <w:shd w:val="clear" w:color="auto" w:fill="auto"/>
            <w:noWrap/>
            <w:vAlign w:val="bottom"/>
            <w:hideMark/>
          </w:tcPr>
          <w:p w14:paraId="3CAF2A4F" w14:textId="77777777" w:rsidR="008436AF" w:rsidRPr="004A22E9" w:rsidRDefault="008436AF" w:rsidP="008436AF">
            <w:pPr>
              <w:jc w:val="right"/>
              <w:rPr>
                <w:sz w:val="14"/>
                <w:szCs w:val="14"/>
                <w:lang w:eastAsia="es-AR"/>
              </w:rPr>
            </w:pPr>
          </w:p>
        </w:tc>
      </w:tr>
      <w:tr w:rsidR="004A22E9" w:rsidRPr="004A22E9" w14:paraId="7D485082" w14:textId="77777777" w:rsidTr="004A22E9">
        <w:tc>
          <w:tcPr>
            <w:tcW w:w="3833" w:type="dxa"/>
            <w:tcBorders>
              <w:top w:val="nil"/>
              <w:left w:val="nil"/>
              <w:bottom w:val="nil"/>
              <w:right w:val="nil"/>
            </w:tcBorders>
            <w:shd w:val="clear" w:color="auto" w:fill="auto"/>
            <w:hideMark/>
          </w:tcPr>
          <w:p w14:paraId="6CC312C8" w14:textId="456A29B1" w:rsidR="004A22E9" w:rsidRPr="004A22E9" w:rsidRDefault="004A22E9" w:rsidP="004A22E9">
            <w:pPr>
              <w:rPr>
                <w:rFonts w:ascii="Arial" w:hAnsi="Arial" w:cs="Arial"/>
                <w:sz w:val="14"/>
                <w:szCs w:val="14"/>
                <w:lang w:eastAsia="es-AR"/>
              </w:rPr>
            </w:pPr>
            <w:r w:rsidRPr="004A22E9">
              <w:rPr>
                <w:rFonts w:ascii="Arial" w:hAnsi="Arial" w:cs="Arial"/>
                <w:sz w:val="14"/>
                <w:szCs w:val="14"/>
                <w:lang w:eastAsia="es-AR"/>
              </w:rPr>
              <w:t>- Resultado neto del ejercicio</w:t>
            </w:r>
          </w:p>
        </w:tc>
        <w:tc>
          <w:tcPr>
            <w:tcW w:w="0" w:type="auto"/>
            <w:tcBorders>
              <w:top w:val="nil"/>
              <w:left w:val="nil"/>
              <w:bottom w:val="nil"/>
              <w:right w:val="nil"/>
            </w:tcBorders>
            <w:shd w:val="clear" w:color="auto" w:fill="auto"/>
            <w:noWrap/>
            <w:hideMark/>
          </w:tcPr>
          <w:p w14:paraId="12B47DC4" w14:textId="77777777" w:rsidR="004A22E9" w:rsidRPr="004A22E9" w:rsidRDefault="004A22E9" w:rsidP="004A22E9">
            <w:pPr>
              <w:rPr>
                <w:rFonts w:ascii="Arial" w:hAnsi="Arial" w:cs="Arial"/>
                <w:sz w:val="14"/>
                <w:szCs w:val="14"/>
                <w:lang w:eastAsia="es-AR"/>
              </w:rPr>
            </w:pPr>
          </w:p>
        </w:tc>
        <w:tc>
          <w:tcPr>
            <w:tcW w:w="0" w:type="auto"/>
            <w:tcBorders>
              <w:top w:val="nil"/>
              <w:left w:val="nil"/>
              <w:bottom w:val="nil"/>
              <w:right w:val="nil"/>
            </w:tcBorders>
            <w:shd w:val="clear" w:color="auto" w:fill="auto"/>
            <w:noWrap/>
            <w:vAlign w:val="center"/>
            <w:hideMark/>
          </w:tcPr>
          <w:p w14:paraId="31498C77" w14:textId="3329E8E0"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center"/>
            <w:hideMark/>
          </w:tcPr>
          <w:p w14:paraId="7344C5FF" w14:textId="0F1DA388"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center"/>
          </w:tcPr>
          <w:p w14:paraId="3D9E58EE" w14:textId="4132D870"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1F6D69B7" w14:textId="3CFE4298"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3BE18D9A" w14:textId="1A78D228"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1182" w:type="dxa"/>
            <w:tcBorders>
              <w:top w:val="nil"/>
              <w:left w:val="nil"/>
              <w:bottom w:val="nil"/>
              <w:right w:val="nil"/>
            </w:tcBorders>
            <w:shd w:val="clear" w:color="auto" w:fill="auto"/>
            <w:noWrap/>
            <w:vAlign w:val="center"/>
          </w:tcPr>
          <w:p w14:paraId="57022270" w14:textId="6363DC4B"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07F00632" w14:textId="6DA23E0A"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1.670.515</w:t>
            </w:r>
          </w:p>
        </w:tc>
        <w:tc>
          <w:tcPr>
            <w:tcW w:w="1493" w:type="dxa"/>
            <w:tcBorders>
              <w:top w:val="nil"/>
              <w:left w:val="nil"/>
              <w:bottom w:val="nil"/>
              <w:right w:val="nil"/>
            </w:tcBorders>
            <w:shd w:val="clear" w:color="auto" w:fill="auto"/>
            <w:noWrap/>
            <w:vAlign w:val="center"/>
          </w:tcPr>
          <w:p w14:paraId="1E2A6809" w14:textId="31D8D27E"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1.670.515</w:t>
            </w:r>
          </w:p>
        </w:tc>
        <w:tc>
          <w:tcPr>
            <w:tcW w:w="1163" w:type="dxa"/>
            <w:tcBorders>
              <w:top w:val="nil"/>
              <w:left w:val="nil"/>
              <w:bottom w:val="nil"/>
              <w:right w:val="nil"/>
            </w:tcBorders>
            <w:shd w:val="clear" w:color="auto" w:fill="auto"/>
            <w:noWrap/>
            <w:vAlign w:val="center"/>
          </w:tcPr>
          <w:p w14:paraId="5BE5D9C4" w14:textId="103B43A2"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-7.278</w:t>
            </w:r>
          </w:p>
        </w:tc>
        <w:tc>
          <w:tcPr>
            <w:tcW w:w="0" w:type="auto"/>
            <w:tcBorders>
              <w:top w:val="nil"/>
              <w:left w:val="nil"/>
              <w:bottom w:val="nil"/>
              <w:right w:val="nil"/>
            </w:tcBorders>
            <w:shd w:val="clear" w:color="auto" w:fill="auto"/>
            <w:noWrap/>
            <w:vAlign w:val="center"/>
          </w:tcPr>
          <w:p w14:paraId="1BE00C65" w14:textId="7049B932"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1.663.237</w:t>
            </w:r>
          </w:p>
        </w:tc>
      </w:tr>
      <w:tr w:rsidR="004A22E9" w:rsidRPr="004A22E9" w14:paraId="5C4D5624" w14:textId="77777777" w:rsidTr="004A22E9">
        <w:tc>
          <w:tcPr>
            <w:tcW w:w="3833" w:type="dxa"/>
            <w:tcBorders>
              <w:top w:val="nil"/>
              <w:left w:val="nil"/>
              <w:bottom w:val="nil"/>
              <w:right w:val="nil"/>
            </w:tcBorders>
            <w:shd w:val="clear" w:color="auto" w:fill="auto"/>
            <w:hideMark/>
          </w:tcPr>
          <w:p w14:paraId="5A4598EA" w14:textId="2EE18D9D" w:rsidR="004A22E9" w:rsidRPr="004A22E9" w:rsidRDefault="004A22E9" w:rsidP="004A22E9">
            <w:pPr>
              <w:rPr>
                <w:rFonts w:ascii="Arial" w:hAnsi="Arial" w:cs="Arial"/>
                <w:sz w:val="14"/>
                <w:szCs w:val="14"/>
                <w:lang w:eastAsia="es-AR"/>
              </w:rPr>
            </w:pPr>
            <w:r w:rsidRPr="004A22E9">
              <w:rPr>
                <w:rFonts w:ascii="Arial" w:hAnsi="Arial" w:cs="Arial"/>
                <w:sz w:val="14"/>
                <w:szCs w:val="14"/>
                <w:lang w:eastAsia="es-AR"/>
              </w:rPr>
              <w:t>- Otro Resultado Integral del ejercicio</w:t>
            </w:r>
          </w:p>
        </w:tc>
        <w:tc>
          <w:tcPr>
            <w:tcW w:w="0" w:type="auto"/>
            <w:tcBorders>
              <w:top w:val="nil"/>
              <w:left w:val="nil"/>
              <w:bottom w:val="nil"/>
              <w:right w:val="nil"/>
            </w:tcBorders>
            <w:shd w:val="clear" w:color="auto" w:fill="auto"/>
            <w:noWrap/>
            <w:hideMark/>
          </w:tcPr>
          <w:p w14:paraId="3B08356E" w14:textId="77777777" w:rsidR="004A22E9" w:rsidRPr="004A22E9" w:rsidRDefault="004A22E9" w:rsidP="004A22E9">
            <w:pPr>
              <w:rPr>
                <w:rFonts w:ascii="Arial" w:hAnsi="Arial" w:cs="Arial"/>
                <w:sz w:val="14"/>
                <w:szCs w:val="14"/>
                <w:lang w:eastAsia="es-AR"/>
              </w:rPr>
            </w:pPr>
          </w:p>
        </w:tc>
        <w:tc>
          <w:tcPr>
            <w:tcW w:w="0" w:type="auto"/>
            <w:tcBorders>
              <w:top w:val="nil"/>
              <w:left w:val="nil"/>
              <w:bottom w:val="nil"/>
              <w:right w:val="nil"/>
            </w:tcBorders>
            <w:shd w:val="clear" w:color="auto" w:fill="auto"/>
            <w:noWrap/>
            <w:vAlign w:val="center"/>
            <w:hideMark/>
          </w:tcPr>
          <w:p w14:paraId="44F6906E" w14:textId="08218000"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center"/>
            <w:hideMark/>
          </w:tcPr>
          <w:p w14:paraId="6F58241F" w14:textId="6D1BF802"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center"/>
          </w:tcPr>
          <w:p w14:paraId="0751EF08" w14:textId="16CCBC1C"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441.528</w:t>
            </w:r>
          </w:p>
        </w:tc>
        <w:tc>
          <w:tcPr>
            <w:tcW w:w="0" w:type="auto"/>
            <w:tcBorders>
              <w:top w:val="nil"/>
              <w:left w:val="nil"/>
              <w:bottom w:val="nil"/>
              <w:right w:val="nil"/>
            </w:tcBorders>
            <w:shd w:val="clear" w:color="auto" w:fill="auto"/>
            <w:noWrap/>
            <w:vAlign w:val="center"/>
          </w:tcPr>
          <w:p w14:paraId="0C6A1DE8" w14:textId="42E9A974"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618</w:t>
            </w:r>
          </w:p>
        </w:tc>
        <w:tc>
          <w:tcPr>
            <w:tcW w:w="0" w:type="auto"/>
            <w:tcBorders>
              <w:top w:val="nil"/>
              <w:left w:val="nil"/>
              <w:bottom w:val="nil"/>
              <w:right w:val="nil"/>
            </w:tcBorders>
            <w:shd w:val="clear" w:color="auto" w:fill="auto"/>
            <w:noWrap/>
            <w:vAlign w:val="center"/>
          </w:tcPr>
          <w:p w14:paraId="42AECE6C" w14:textId="1261836C"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1182" w:type="dxa"/>
            <w:tcBorders>
              <w:top w:val="nil"/>
              <w:left w:val="nil"/>
              <w:bottom w:val="nil"/>
              <w:right w:val="nil"/>
            </w:tcBorders>
            <w:shd w:val="clear" w:color="auto" w:fill="auto"/>
            <w:noWrap/>
            <w:vAlign w:val="center"/>
          </w:tcPr>
          <w:p w14:paraId="4731DCD3" w14:textId="67DDA843"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5EF17174" w14:textId="639DC340"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1493" w:type="dxa"/>
            <w:tcBorders>
              <w:top w:val="nil"/>
              <w:left w:val="nil"/>
              <w:bottom w:val="nil"/>
              <w:right w:val="nil"/>
            </w:tcBorders>
            <w:shd w:val="clear" w:color="auto" w:fill="auto"/>
            <w:noWrap/>
            <w:vAlign w:val="center"/>
          </w:tcPr>
          <w:p w14:paraId="6F9A5112" w14:textId="763C7038"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442.146</w:t>
            </w:r>
          </w:p>
        </w:tc>
        <w:tc>
          <w:tcPr>
            <w:tcW w:w="1163" w:type="dxa"/>
            <w:tcBorders>
              <w:top w:val="nil"/>
              <w:left w:val="nil"/>
              <w:bottom w:val="nil"/>
              <w:right w:val="nil"/>
            </w:tcBorders>
            <w:shd w:val="clear" w:color="auto" w:fill="auto"/>
            <w:noWrap/>
            <w:vAlign w:val="center"/>
          </w:tcPr>
          <w:p w14:paraId="0E2508E4" w14:textId="2DA3B4E8" w:rsidR="004A22E9" w:rsidRPr="004A22E9" w:rsidRDefault="004A22E9" w:rsidP="004A22E9">
            <w:pPr>
              <w:jc w:val="right"/>
              <w:rPr>
                <w:rFonts w:ascii="Arial" w:hAnsi="Arial" w:cs="Arial"/>
                <w:sz w:val="14"/>
                <w:szCs w:val="14"/>
                <w:lang w:eastAsia="es-AR"/>
              </w:rPr>
            </w:pPr>
          </w:p>
        </w:tc>
        <w:tc>
          <w:tcPr>
            <w:tcW w:w="0" w:type="auto"/>
            <w:tcBorders>
              <w:top w:val="nil"/>
              <w:left w:val="nil"/>
              <w:bottom w:val="nil"/>
              <w:right w:val="nil"/>
            </w:tcBorders>
            <w:shd w:val="clear" w:color="auto" w:fill="auto"/>
            <w:noWrap/>
            <w:vAlign w:val="center"/>
          </w:tcPr>
          <w:p w14:paraId="3DD2D54A" w14:textId="2244F7A5"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442.146</w:t>
            </w:r>
          </w:p>
        </w:tc>
      </w:tr>
      <w:tr w:rsidR="004A22E9" w:rsidRPr="004A22E9" w14:paraId="0723B21C" w14:textId="77777777" w:rsidTr="004A22E9">
        <w:tc>
          <w:tcPr>
            <w:tcW w:w="3833" w:type="dxa"/>
            <w:tcBorders>
              <w:top w:val="nil"/>
              <w:left w:val="nil"/>
              <w:bottom w:val="nil"/>
              <w:right w:val="nil"/>
            </w:tcBorders>
            <w:shd w:val="clear" w:color="auto" w:fill="auto"/>
          </w:tcPr>
          <w:p w14:paraId="6903C4F4" w14:textId="2531400B" w:rsidR="008436AF" w:rsidRPr="004A22E9" w:rsidRDefault="008436AF" w:rsidP="008436AF">
            <w:pPr>
              <w:rPr>
                <w:rFonts w:ascii="Arial" w:hAnsi="Arial" w:cs="Arial"/>
                <w:sz w:val="14"/>
                <w:szCs w:val="14"/>
                <w:lang w:eastAsia="es-AR"/>
              </w:rPr>
            </w:pPr>
            <w:r w:rsidRPr="004A22E9">
              <w:rPr>
                <w:rFonts w:ascii="Arial" w:hAnsi="Arial" w:cs="Arial"/>
                <w:sz w:val="14"/>
                <w:szCs w:val="14"/>
                <w:lang w:eastAsia="es-AR"/>
              </w:rPr>
              <w:t>- Distribución de resultados no asignados, aprobados por la Asamblea de Accionistas del 19/04/2018.</w:t>
            </w:r>
          </w:p>
        </w:tc>
        <w:tc>
          <w:tcPr>
            <w:tcW w:w="0" w:type="auto"/>
            <w:tcBorders>
              <w:top w:val="nil"/>
              <w:left w:val="nil"/>
              <w:bottom w:val="nil"/>
              <w:right w:val="nil"/>
            </w:tcBorders>
            <w:shd w:val="clear" w:color="auto" w:fill="auto"/>
            <w:noWrap/>
            <w:vAlign w:val="center"/>
          </w:tcPr>
          <w:p w14:paraId="50A7A7EB" w14:textId="77777777" w:rsidR="008436AF" w:rsidRPr="004A22E9" w:rsidRDefault="008436AF" w:rsidP="008436AF">
            <w:pPr>
              <w:rPr>
                <w:rFonts w:ascii="Arial" w:hAnsi="Arial" w:cs="Arial"/>
                <w:sz w:val="14"/>
                <w:szCs w:val="14"/>
                <w:lang w:eastAsia="es-AR"/>
              </w:rPr>
            </w:pPr>
          </w:p>
        </w:tc>
        <w:tc>
          <w:tcPr>
            <w:tcW w:w="0" w:type="auto"/>
            <w:tcBorders>
              <w:top w:val="nil"/>
              <w:left w:val="nil"/>
              <w:bottom w:val="nil"/>
              <w:right w:val="nil"/>
            </w:tcBorders>
            <w:shd w:val="clear" w:color="auto" w:fill="auto"/>
            <w:noWrap/>
            <w:vAlign w:val="bottom"/>
          </w:tcPr>
          <w:p w14:paraId="4AE1D60F" w14:textId="77777777" w:rsidR="008436AF" w:rsidRPr="004A22E9" w:rsidRDefault="008436AF" w:rsidP="008436AF">
            <w:pPr>
              <w:jc w:val="right"/>
              <w:rPr>
                <w:rFonts w:ascii="Arial" w:hAnsi="Arial" w:cs="Arial"/>
                <w:sz w:val="14"/>
                <w:szCs w:val="14"/>
                <w:lang w:eastAsia="es-AR"/>
              </w:rPr>
            </w:pPr>
          </w:p>
        </w:tc>
        <w:tc>
          <w:tcPr>
            <w:tcW w:w="0" w:type="auto"/>
            <w:tcBorders>
              <w:top w:val="nil"/>
              <w:left w:val="nil"/>
              <w:bottom w:val="nil"/>
              <w:right w:val="nil"/>
            </w:tcBorders>
            <w:shd w:val="clear" w:color="auto" w:fill="auto"/>
            <w:noWrap/>
            <w:vAlign w:val="bottom"/>
          </w:tcPr>
          <w:p w14:paraId="54DDE8AC" w14:textId="77777777" w:rsidR="008436AF" w:rsidRPr="004A22E9" w:rsidRDefault="008436AF" w:rsidP="008436AF">
            <w:pPr>
              <w:jc w:val="right"/>
              <w:rPr>
                <w:rFonts w:ascii="Arial" w:hAnsi="Arial" w:cs="Arial"/>
                <w:sz w:val="14"/>
                <w:szCs w:val="14"/>
                <w:lang w:eastAsia="es-AR"/>
              </w:rPr>
            </w:pPr>
          </w:p>
        </w:tc>
        <w:tc>
          <w:tcPr>
            <w:tcW w:w="0" w:type="auto"/>
            <w:tcBorders>
              <w:top w:val="nil"/>
              <w:left w:val="nil"/>
              <w:bottom w:val="nil"/>
              <w:right w:val="nil"/>
            </w:tcBorders>
            <w:shd w:val="clear" w:color="auto" w:fill="auto"/>
            <w:noWrap/>
            <w:vAlign w:val="bottom"/>
          </w:tcPr>
          <w:p w14:paraId="6033E58D" w14:textId="77777777" w:rsidR="008436AF" w:rsidRPr="004A22E9" w:rsidRDefault="008436AF" w:rsidP="008436AF">
            <w:pPr>
              <w:jc w:val="right"/>
              <w:rPr>
                <w:rFonts w:ascii="Arial" w:hAnsi="Arial" w:cs="Arial"/>
                <w:sz w:val="14"/>
                <w:szCs w:val="14"/>
                <w:lang w:eastAsia="es-AR"/>
              </w:rPr>
            </w:pPr>
          </w:p>
        </w:tc>
        <w:tc>
          <w:tcPr>
            <w:tcW w:w="0" w:type="auto"/>
            <w:tcBorders>
              <w:top w:val="nil"/>
              <w:left w:val="nil"/>
              <w:bottom w:val="nil"/>
              <w:right w:val="nil"/>
            </w:tcBorders>
            <w:shd w:val="clear" w:color="auto" w:fill="auto"/>
            <w:noWrap/>
            <w:vAlign w:val="bottom"/>
          </w:tcPr>
          <w:p w14:paraId="41FA2E9C" w14:textId="77777777" w:rsidR="008436AF" w:rsidRPr="004A22E9" w:rsidRDefault="008436AF" w:rsidP="008436AF">
            <w:pPr>
              <w:jc w:val="right"/>
              <w:rPr>
                <w:rFonts w:ascii="Arial" w:hAnsi="Arial" w:cs="Arial"/>
                <w:sz w:val="14"/>
                <w:szCs w:val="14"/>
                <w:lang w:eastAsia="es-AR"/>
              </w:rPr>
            </w:pPr>
          </w:p>
        </w:tc>
        <w:tc>
          <w:tcPr>
            <w:tcW w:w="0" w:type="auto"/>
            <w:tcBorders>
              <w:top w:val="nil"/>
              <w:left w:val="nil"/>
              <w:bottom w:val="nil"/>
              <w:right w:val="nil"/>
            </w:tcBorders>
            <w:shd w:val="clear" w:color="auto" w:fill="auto"/>
            <w:noWrap/>
            <w:vAlign w:val="bottom"/>
          </w:tcPr>
          <w:p w14:paraId="35DAEF17" w14:textId="77777777" w:rsidR="008436AF" w:rsidRPr="004A22E9" w:rsidRDefault="008436AF" w:rsidP="008436AF">
            <w:pPr>
              <w:jc w:val="right"/>
              <w:rPr>
                <w:rFonts w:ascii="Arial" w:hAnsi="Arial" w:cs="Arial"/>
                <w:sz w:val="14"/>
                <w:szCs w:val="14"/>
                <w:lang w:eastAsia="es-AR"/>
              </w:rPr>
            </w:pPr>
          </w:p>
        </w:tc>
        <w:tc>
          <w:tcPr>
            <w:tcW w:w="1182" w:type="dxa"/>
            <w:tcBorders>
              <w:top w:val="nil"/>
              <w:left w:val="nil"/>
              <w:bottom w:val="nil"/>
              <w:right w:val="nil"/>
            </w:tcBorders>
            <w:shd w:val="clear" w:color="auto" w:fill="auto"/>
            <w:noWrap/>
            <w:vAlign w:val="bottom"/>
          </w:tcPr>
          <w:p w14:paraId="2B1305B8" w14:textId="77777777" w:rsidR="008436AF" w:rsidRPr="004A22E9" w:rsidRDefault="008436AF" w:rsidP="008436AF">
            <w:pPr>
              <w:jc w:val="right"/>
              <w:rPr>
                <w:rFonts w:ascii="Arial" w:hAnsi="Arial" w:cs="Arial"/>
                <w:sz w:val="14"/>
                <w:szCs w:val="14"/>
                <w:lang w:eastAsia="es-AR"/>
              </w:rPr>
            </w:pPr>
          </w:p>
        </w:tc>
        <w:tc>
          <w:tcPr>
            <w:tcW w:w="0" w:type="auto"/>
            <w:tcBorders>
              <w:top w:val="nil"/>
              <w:left w:val="nil"/>
              <w:bottom w:val="nil"/>
              <w:right w:val="nil"/>
            </w:tcBorders>
            <w:shd w:val="clear" w:color="auto" w:fill="auto"/>
            <w:noWrap/>
            <w:vAlign w:val="bottom"/>
          </w:tcPr>
          <w:p w14:paraId="13CF3ECF" w14:textId="77777777" w:rsidR="008436AF" w:rsidRPr="004A22E9" w:rsidRDefault="008436AF" w:rsidP="008436AF">
            <w:pPr>
              <w:jc w:val="right"/>
              <w:rPr>
                <w:rFonts w:ascii="Arial" w:hAnsi="Arial" w:cs="Arial"/>
                <w:sz w:val="14"/>
                <w:szCs w:val="14"/>
                <w:lang w:eastAsia="es-AR"/>
              </w:rPr>
            </w:pPr>
          </w:p>
        </w:tc>
        <w:tc>
          <w:tcPr>
            <w:tcW w:w="1493" w:type="dxa"/>
            <w:tcBorders>
              <w:top w:val="nil"/>
              <w:left w:val="nil"/>
              <w:bottom w:val="nil"/>
              <w:right w:val="nil"/>
            </w:tcBorders>
            <w:shd w:val="clear" w:color="auto" w:fill="auto"/>
            <w:noWrap/>
            <w:vAlign w:val="bottom"/>
          </w:tcPr>
          <w:p w14:paraId="10A9524F" w14:textId="77777777" w:rsidR="008436AF" w:rsidRPr="004A22E9" w:rsidRDefault="008436AF" w:rsidP="008436AF">
            <w:pPr>
              <w:jc w:val="right"/>
              <w:rPr>
                <w:rFonts w:ascii="Arial" w:hAnsi="Arial" w:cs="Arial"/>
                <w:sz w:val="14"/>
                <w:szCs w:val="14"/>
                <w:lang w:eastAsia="es-AR"/>
              </w:rPr>
            </w:pPr>
          </w:p>
        </w:tc>
        <w:tc>
          <w:tcPr>
            <w:tcW w:w="1163" w:type="dxa"/>
            <w:tcBorders>
              <w:top w:val="nil"/>
              <w:left w:val="nil"/>
              <w:bottom w:val="nil"/>
              <w:right w:val="nil"/>
            </w:tcBorders>
            <w:shd w:val="clear" w:color="auto" w:fill="auto"/>
            <w:noWrap/>
            <w:vAlign w:val="bottom"/>
          </w:tcPr>
          <w:p w14:paraId="4AC762A3" w14:textId="77777777" w:rsidR="008436AF" w:rsidRPr="004A22E9" w:rsidRDefault="008436AF" w:rsidP="008436AF">
            <w:pPr>
              <w:jc w:val="right"/>
              <w:rPr>
                <w:rFonts w:ascii="Arial" w:hAnsi="Arial" w:cs="Arial"/>
                <w:sz w:val="14"/>
                <w:szCs w:val="14"/>
                <w:lang w:eastAsia="es-AR"/>
              </w:rPr>
            </w:pPr>
          </w:p>
        </w:tc>
        <w:tc>
          <w:tcPr>
            <w:tcW w:w="0" w:type="auto"/>
            <w:tcBorders>
              <w:top w:val="nil"/>
              <w:left w:val="nil"/>
              <w:bottom w:val="nil"/>
              <w:right w:val="nil"/>
            </w:tcBorders>
            <w:shd w:val="clear" w:color="auto" w:fill="auto"/>
            <w:noWrap/>
            <w:vAlign w:val="bottom"/>
          </w:tcPr>
          <w:p w14:paraId="5E1FDB0F" w14:textId="77777777" w:rsidR="008436AF" w:rsidRPr="004A22E9" w:rsidRDefault="008436AF" w:rsidP="008436AF">
            <w:pPr>
              <w:jc w:val="right"/>
              <w:rPr>
                <w:rFonts w:ascii="Arial" w:hAnsi="Arial" w:cs="Arial"/>
                <w:sz w:val="14"/>
                <w:szCs w:val="14"/>
                <w:lang w:eastAsia="es-AR"/>
              </w:rPr>
            </w:pPr>
          </w:p>
        </w:tc>
      </w:tr>
      <w:tr w:rsidR="004A22E9" w:rsidRPr="004A22E9" w14:paraId="5E09D302" w14:textId="77777777" w:rsidTr="004A22E9">
        <w:tc>
          <w:tcPr>
            <w:tcW w:w="3833" w:type="dxa"/>
            <w:tcBorders>
              <w:top w:val="nil"/>
              <w:left w:val="nil"/>
              <w:bottom w:val="nil"/>
              <w:right w:val="nil"/>
            </w:tcBorders>
            <w:shd w:val="clear" w:color="auto" w:fill="auto"/>
          </w:tcPr>
          <w:p w14:paraId="5E5ED6FA" w14:textId="7FFF26E5" w:rsidR="008436AF" w:rsidRPr="004A22E9" w:rsidRDefault="008436AF" w:rsidP="008436AF">
            <w:pPr>
              <w:rPr>
                <w:rFonts w:ascii="Arial" w:hAnsi="Arial" w:cs="Arial"/>
                <w:sz w:val="14"/>
                <w:szCs w:val="14"/>
                <w:lang w:eastAsia="es-AR"/>
              </w:rPr>
            </w:pPr>
            <w:r w:rsidRPr="004A22E9">
              <w:rPr>
                <w:rFonts w:ascii="Arial" w:hAnsi="Arial" w:cs="Arial"/>
                <w:sz w:val="14"/>
                <w:szCs w:val="14"/>
                <w:lang w:eastAsia="es-AR"/>
              </w:rPr>
              <w:t xml:space="preserve">     Reserva legal</w:t>
            </w:r>
          </w:p>
        </w:tc>
        <w:tc>
          <w:tcPr>
            <w:tcW w:w="0" w:type="auto"/>
            <w:tcBorders>
              <w:top w:val="nil"/>
              <w:left w:val="nil"/>
              <w:bottom w:val="nil"/>
              <w:right w:val="nil"/>
            </w:tcBorders>
            <w:shd w:val="clear" w:color="auto" w:fill="auto"/>
            <w:noWrap/>
            <w:vAlign w:val="center"/>
          </w:tcPr>
          <w:p w14:paraId="776A2FC6" w14:textId="77777777" w:rsidR="008436AF" w:rsidRPr="004A22E9" w:rsidRDefault="008436AF" w:rsidP="008436AF">
            <w:pPr>
              <w:rPr>
                <w:rFonts w:ascii="Arial" w:hAnsi="Arial" w:cs="Arial"/>
                <w:sz w:val="14"/>
                <w:szCs w:val="14"/>
                <w:lang w:eastAsia="es-AR"/>
              </w:rPr>
            </w:pPr>
          </w:p>
        </w:tc>
        <w:tc>
          <w:tcPr>
            <w:tcW w:w="0" w:type="auto"/>
            <w:tcBorders>
              <w:top w:val="nil"/>
              <w:left w:val="nil"/>
              <w:bottom w:val="nil"/>
              <w:right w:val="nil"/>
            </w:tcBorders>
            <w:shd w:val="clear" w:color="auto" w:fill="auto"/>
            <w:noWrap/>
            <w:vAlign w:val="bottom"/>
          </w:tcPr>
          <w:p w14:paraId="3FB7C1E8" w14:textId="7A84253C"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0796A83E" w14:textId="3A956D5A"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39C10686" w14:textId="1190E798"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3D241EC4" w14:textId="7F117A25"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2DBD281C" w14:textId="53DD1DEC"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285.746</w:t>
            </w:r>
          </w:p>
        </w:tc>
        <w:tc>
          <w:tcPr>
            <w:tcW w:w="1182" w:type="dxa"/>
            <w:tcBorders>
              <w:top w:val="nil"/>
              <w:left w:val="nil"/>
              <w:bottom w:val="nil"/>
              <w:right w:val="nil"/>
            </w:tcBorders>
            <w:shd w:val="clear" w:color="auto" w:fill="auto"/>
            <w:noWrap/>
            <w:vAlign w:val="bottom"/>
          </w:tcPr>
          <w:p w14:paraId="4CB88B05" w14:textId="64D1B854"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5EBA1847" w14:textId="18A12B1D"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-285.746</w:t>
            </w:r>
          </w:p>
        </w:tc>
        <w:tc>
          <w:tcPr>
            <w:tcW w:w="1493" w:type="dxa"/>
            <w:tcBorders>
              <w:top w:val="nil"/>
              <w:left w:val="nil"/>
              <w:bottom w:val="nil"/>
              <w:right w:val="nil"/>
            </w:tcBorders>
            <w:shd w:val="clear" w:color="auto" w:fill="auto"/>
            <w:noWrap/>
            <w:vAlign w:val="bottom"/>
          </w:tcPr>
          <w:p w14:paraId="2442575A" w14:textId="79FFC83B"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1163" w:type="dxa"/>
            <w:tcBorders>
              <w:top w:val="nil"/>
              <w:left w:val="nil"/>
              <w:bottom w:val="nil"/>
              <w:right w:val="nil"/>
            </w:tcBorders>
            <w:shd w:val="clear" w:color="auto" w:fill="auto"/>
            <w:noWrap/>
            <w:vAlign w:val="bottom"/>
          </w:tcPr>
          <w:p w14:paraId="201DDF54" w14:textId="64B17153"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350D65DE" w14:textId="06555A97"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r>
      <w:tr w:rsidR="004A22E9" w:rsidRPr="004A22E9" w14:paraId="74F3F9AC" w14:textId="77777777" w:rsidTr="004A22E9">
        <w:tc>
          <w:tcPr>
            <w:tcW w:w="3833" w:type="dxa"/>
            <w:tcBorders>
              <w:top w:val="nil"/>
              <w:left w:val="nil"/>
              <w:bottom w:val="nil"/>
              <w:right w:val="nil"/>
            </w:tcBorders>
            <w:shd w:val="clear" w:color="auto" w:fill="auto"/>
          </w:tcPr>
          <w:p w14:paraId="535F60E9" w14:textId="5E5560D9" w:rsidR="008436AF" w:rsidRPr="004A22E9" w:rsidRDefault="008436AF" w:rsidP="008436AF">
            <w:pPr>
              <w:rPr>
                <w:rFonts w:ascii="Arial" w:hAnsi="Arial" w:cs="Arial"/>
                <w:sz w:val="14"/>
                <w:szCs w:val="14"/>
                <w:lang w:eastAsia="es-AR"/>
              </w:rPr>
            </w:pPr>
            <w:r w:rsidRPr="004A22E9">
              <w:rPr>
                <w:rFonts w:ascii="Arial" w:hAnsi="Arial" w:cs="Arial"/>
                <w:sz w:val="14"/>
                <w:szCs w:val="14"/>
                <w:lang w:eastAsia="es-AR"/>
              </w:rPr>
              <w:t xml:space="preserve">     Otras</w:t>
            </w:r>
          </w:p>
        </w:tc>
        <w:tc>
          <w:tcPr>
            <w:tcW w:w="0" w:type="auto"/>
            <w:tcBorders>
              <w:top w:val="nil"/>
              <w:left w:val="nil"/>
              <w:bottom w:val="nil"/>
              <w:right w:val="nil"/>
            </w:tcBorders>
            <w:shd w:val="clear" w:color="auto" w:fill="auto"/>
            <w:noWrap/>
            <w:vAlign w:val="center"/>
          </w:tcPr>
          <w:p w14:paraId="0D15A8D5" w14:textId="77777777" w:rsidR="008436AF" w:rsidRPr="004A22E9" w:rsidRDefault="008436AF" w:rsidP="008436AF">
            <w:pPr>
              <w:rPr>
                <w:rFonts w:ascii="Arial" w:hAnsi="Arial" w:cs="Arial"/>
                <w:sz w:val="14"/>
                <w:szCs w:val="14"/>
                <w:lang w:eastAsia="es-AR"/>
              </w:rPr>
            </w:pPr>
          </w:p>
        </w:tc>
        <w:tc>
          <w:tcPr>
            <w:tcW w:w="0" w:type="auto"/>
            <w:tcBorders>
              <w:top w:val="nil"/>
              <w:left w:val="nil"/>
              <w:bottom w:val="nil"/>
              <w:right w:val="nil"/>
            </w:tcBorders>
            <w:shd w:val="clear" w:color="auto" w:fill="auto"/>
            <w:noWrap/>
            <w:vAlign w:val="bottom"/>
          </w:tcPr>
          <w:p w14:paraId="12FAB339" w14:textId="36C5DA83"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36BA3BE4" w14:textId="5F5C9CA5"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21987DC9" w14:textId="7EF24399"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721E4755" w14:textId="2F1846BC"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0EA37461" w14:textId="515E6167"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1182" w:type="dxa"/>
            <w:tcBorders>
              <w:top w:val="nil"/>
              <w:left w:val="nil"/>
              <w:bottom w:val="nil"/>
              <w:right w:val="nil"/>
            </w:tcBorders>
            <w:shd w:val="clear" w:color="auto" w:fill="auto"/>
            <w:noWrap/>
            <w:vAlign w:val="bottom"/>
          </w:tcPr>
          <w:p w14:paraId="2FB46151" w14:textId="5C4D22E9"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1.142.982</w:t>
            </w:r>
          </w:p>
        </w:tc>
        <w:tc>
          <w:tcPr>
            <w:tcW w:w="0" w:type="auto"/>
            <w:tcBorders>
              <w:top w:val="nil"/>
              <w:left w:val="nil"/>
              <w:bottom w:val="nil"/>
              <w:right w:val="nil"/>
            </w:tcBorders>
            <w:shd w:val="clear" w:color="auto" w:fill="auto"/>
            <w:noWrap/>
            <w:vAlign w:val="bottom"/>
          </w:tcPr>
          <w:p w14:paraId="36061D1E" w14:textId="2FCD0159"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-1.142.982</w:t>
            </w:r>
          </w:p>
        </w:tc>
        <w:tc>
          <w:tcPr>
            <w:tcW w:w="1493" w:type="dxa"/>
            <w:tcBorders>
              <w:top w:val="nil"/>
              <w:left w:val="nil"/>
              <w:bottom w:val="nil"/>
              <w:right w:val="nil"/>
            </w:tcBorders>
            <w:shd w:val="clear" w:color="auto" w:fill="auto"/>
            <w:noWrap/>
            <w:vAlign w:val="bottom"/>
          </w:tcPr>
          <w:p w14:paraId="2397E6AF" w14:textId="66B97CE9"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1163" w:type="dxa"/>
            <w:tcBorders>
              <w:top w:val="nil"/>
              <w:left w:val="nil"/>
              <w:bottom w:val="nil"/>
              <w:right w:val="nil"/>
            </w:tcBorders>
            <w:shd w:val="clear" w:color="auto" w:fill="auto"/>
            <w:noWrap/>
            <w:vAlign w:val="bottom"/>
          </w:tcPr>
          <w:p w14:paraId="157998CD" w14:textId="74F9DEB8"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74E7A00D" w14:textId="30E21E26"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r>
      <w:tr w:rsidR="004A22E9" w:rsidRPr="004A22E9" w14:paraId="2A4EE094" w14:textId="77777777" w:rsidTr="004A22E9">
        <w:tc>
          <w:tcPr>
            <w:tcW w:w="3833" w:type="dxa"/>
            <w:tcBorders>
              <w:top w:val="nil"/>
              <w:left w:val="nil"/>
              <w:bottom w:val="nil"/>
              <w:right w:val="nil"/>
            </w:tcBorders>
            <w:shd w:val="clear" w:color="auto" w:fill="auto"/>
          </w:tcPr>
          <w:p w14:paraId="45B2006C" w14:textId="1C383134" w:rsidR="008436AF" w:rsidRPr="004A22E9" w:rsidRDefault="008436AF" w:rsidP="008436AF">
            <w:pPr>
              <w:rPr>
                <w:rFonts w:ascii="Arial" w:hAnsi="Arial" w:cs="Arial"/>
                <w:sz w:val="14"/>
                <w:szCs w:val="14"/>
                <w:lang w:eastAsia="es-AR"/>
              </w:rPr>
            </w:pPr>
            <w:r w:rsidRPr="004A22E9">
              <w:rPr>
                <w:rFonts w:ascii="Arial" w:hAnsi="Arial" w:cs="Arial"/>
                <w:sz w:val="14"/>
                <w:szCs w:val="14"/>
                <w:lang w:eastAsia="es-AR"/>
              </w:rPr>
              <w:t>- Capitalización de aportes irrevocables</w:t>
            </w:r>
          </w:p>
        </w:tc>
        <w:tc>
          <w:tcPr>
            <w:tcW w:w="0" w:type="auto"/>
            <w:tcBorders>
              <w:top w:val="nil"/>
              <w:left w:val="nil"/>
              <w:bottom w:val="nil"/>
              <w:right w:val="nil"/>
            </w:tcBorders>
            <w:shd w:val="clear" w:color="auto" w:fill="auto"/>
            <w:noWrap/>
            <w:vAlign w:val="center"/>
          </w:tcPr>
          <w:p w14:paraId="58C6FB83" w14:textId="77777777" w:rsidR="008436AF" w:rsidRPr="004A22E9" w:rsidRDefault="008436AF" w:rsidP="008436AF">
            <w:pPr>
              <w:rPr>
                <w:rFonts w:ascii="Arial" w:hAnsi="Arial" w:cs="Arial"/>
                <w:sz w:val="14"/>
                <w:szCs w:val="14"/>
                <w:lang w:eastAsia="es-AR"/>
              </w:rPr>
            </w:pPr>
          </w:p>
        </w:tc>
        <w:tc>
          <w:tcPr>
            <w:tcW w:w="0" w:type="auto"/>
            <w:tcBorders>
              <w:top w:val="nil"/>
              <w:left w:val="nil"/>
              <w:bottom w:val="nil"/>
              <w:right w:val="nil"/>
            </w:tcBorders>
            <w:shd w:val="clear" w:color="auto" w:fill="auto"/>
            <w:noWrap/>
            <w:vAlign w:val="bottom"/>
          </w:tcPr>
          <w:p w14:paraId="64ABA6FB" w14:textId="258B177E"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27.579</w:t>
            </w:r>
          </w:p>
        </w:tc>
        <w:tc>
          <w:tcPr>
            <w:tcW w:w="0" w:type="auto"/>
            <w:tcBorders>
              <w:top w:val="nil"/>
              <w:left w:val="nil"/>
              <w:bottom w:val="nil"/>
              <w:right w:val="nil"/>
            </w:tcBorders>
            <w:shd w:val="clear" w:color="auto" w:fill="auto"/>
            <w:noWrap/>
            <w:vAlign w:val="bottom"/>
          </w:tcPr>
          <w:p w14:paraId="2831D595" w14:textId="2681E8CA"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833.416</w:t>
            </w:r>
          </w:p>
        </w:tc>
        <w:tc>
          <w:tcPr>
            <w:tcW w:w="0" w:type="auto"/>
            <w:tcBorders>
              <w:top w:val="nil"/>
              <w:left w:val="nil"/>
              <w:bottom w:val="nil"/>
              <w:right w:val="nil"/>
            </w:tcBorders>
            <w:shd w:val="clear" w:color="auto" w:fill="auto"/>
            <w:noWrap/>
            <w:vAlign w:val="bottom"/>
          </w:tcPr>
          <w:p w14:paraId="1ADB8C46" w14:textId="60CC47C0"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73A1166B" w14:textId="17E97DB3"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05E60188" w14:textId="7387F38C"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1182" w:type="dxa"/>
            <w:tcBorders>
              <w:top w:val="nil"/>
              <w:left w:val="nil"/>
              <w:bottom w:val="nil"/>
              <w:right w:val="nil"/>
            </w:tcBorders>
            <w:shd w:val="clear" w:color="auto" w:fill="auto"/>
            <w:noWrap/>
            <w:vAlign w:val="bottom"/>
          </w:tcPr>
          <w:p w14:paraId="63D57F38" w14:textId="4197328D"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107E65C2" w14:textId="3C16F9B9"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5</w:t>
            </w:r>
          </w:p>
        </w:tc>
        <w:tc>
          <w:tcPr>
            <w:tcW w:w="1493" w:type="dxa"/>
            <w:tcBorders>
              <w:top w:val="nil"/>
              <w:left w:val="nil"/>
              <w:bottom w:val="nil"/>
              <w:right w:val="nil"/>
            </w:tcBorders>
            <w:shd w:val="clear" w:color="auto" w:fill="auto"/>
            <w:noWrap/>
            <w:vAlign w:val="bottom"/>
          </w:tcPr>
          <w:p w14:paraId="5C1271DB" w14:textId="20CFFAF4"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861.000</w:t>
            </w:r>
          </w:p>
        </w:tc>
        <w:tc>
          <w:tcPr>
            <w:tcW w:w="1163" w:type="dxa"/>
            <w:tcBorders>
              <w:top w:val="nil"/>
              <w:left w:val="nil"/>
              <w:bottom w:val="nil"/>
              <w:right w:val="nil"/>
            </w:tcBorders>
            <w:shd w:val="clear" w:color="auto" w:fill="auto"/>
            <w:noWrap/>
            <w:vAlign w:val="bottom"/>
          </w:tcPr>
          <w:p w14:paraId="4AA6C91B" w14:textId="65DB2926"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w:t>
            </w:r>
          </w:p>
        </w:tc>
        <w:tc>
          <w:tcPr>
            <w:tcW w:w="0" w:type="auto"/>
            <w:tcBorders>
              <w:top w:val="nil"/>
              <w:left w:val="nil"/>
              <w:bottom w:val="nil"/>
              <w:right w:val="nil"/>
            </w:tcBorders>
            <w:shd w:val="clear" w:color="auto" w:fill="auto"/>
            <w:noWrap/>
            <w:vAlign w:val="bottom"/>
          </w:tcPr>
          <w:p w14:paraId="7B7DF5E2" w14:textId="5007E897" w:rsidR="008436AF" w:rsidRPr="004A22E9" w:rsidRDefault="008436AF" w:rsidP="008436AF">
            <w:pPr>
              <w:jc w:val="right"/>
              <w:rPr>
                <w:rFonts w:ascii="Arial" w:hAnsi="Arial" w:cs="Arial"/>
                <w:sz w:val="14"/>
                <w:szCs w:val="14"/>
                <w:lang w:eastAsia="es-AR"/>
              </w:rPr>
            </w:pPr>
            <w:r w:rsidRPr="004A22E9">
              <w:rPr>
                <w:rFonts w:ascii="Arial" w:hAnsi="Arial" w:cs="Arial"/>
                <w:sz w:val="14"/>
                <w:szCs w:val="14"/>
                <w:lang w:eastAsia="es-AR"/>
              </w:rPr>
              <w:t>861.000</w:t>
            </w:r>
          </w:p>
        </w:tc>
      </w:tr>
      <w:tr w:rsidR="004A22E9" w:rsidRPr="004A22E9" w14:paraId="7976CBEF" w14:textId="77777777" w:rsidTr="00DF2E5B">
        <w:tc>
          <w:tcPr>
            <w:tcW w:w="3833" w:type="dxa"/>
            <w:tcBorders>
              <w:top w:val="nil"/>
              <w:left w:val="nil"/>
              <w:bottom w:val="nil"/>
              <w:right w:val="nil"/>
            </w:tcBorders>
            <w:shd w:val="clear" w:color="auto" w:fill="auto"/>
          </w:tcPr>
          <w:p w14:paraId="28DD63D0" w14:textId="3BA660B4" w:rsidR="004A22E9" w:rsidRPr="004A22E9" w:rsidRDefault="004A22E9" w:rsidP="004A22E9">
            <w:pPr>
              <w:rPr>
                <w:rFonts w:ascii="Arial" w:hAnsi="Arial" w:cs="Arial"/>
                <w:sz w:val="14"/>
                <w:szCs w:val="14"/>
                <w:lang w:eastAsia="es-AR"/>
              </w:rPr>
            </w:pPr>
            <w:r w:rsidRPr="004A22E9">
              <w:rPr>
                <w:rFonts w:ascii="Arial" w:hAnsi="Arial" w:cs="Arial"/>
                <w:sz w:val="14"/>
                <w:szCs w:val="14"/>
              </w:rPr>
              <w:t>- Aportes irrevocables para futuros aumentos de cap. recibidos durante el ejercicio</w:t>
            </w:r>
          </w:p>
        </w:tc>
        <w:tc>
          <w:tcPr>
            <w:tcW w:w="0" w:type="auto"/>
            <w:tcBorders>
              <w:top w:val="nil"/>
              <w:left w:val="nil"/>
              <w:bottom w:val="nil"/>
              <w:right w:val="nil"/>
            </w:tcBorders>
            <w:shd w:val="clear" w:color="auto" w:fill="auto"/>
            <w:noWrap/>
            <w:vAlign w:val="center"/>
          </w:tcPr>
          <w:p w14:paraId="504AF775" w14:textId="77777777" w:rsidR="004A22E9" w:rsidRPr="004A22E9" w:rsidRDefault="004A22E9" w:rsidP="004A22E9">
            <w:pPr>
              <w:rPr>
                <w:rFonts w:ascii="Arial" w:hAnsi="Arial" w:cs="Arial"/>
                <w:sz w:val="14"/>
                <w:szCs w:val="14"/>
                <w:lang w:eastAsia="es-AR"/>
              </w:rPr>
            </w:pPr>
          </w:p>
        </w:tc>
        <w:tc>
          <w:tcPr>
            <w:tcW w:w="0" w:type="auto"/>
            <w:tcBorders>
              <w:top w:val="nil"/>
              <w:left w:val="nil"/>
              <w:bottom w:val="nil"/>
              <w:right w:val="nil"/>
            </w:tcBorders>
            <w:shd w:val="clear" w:color="auto" w:fill="auto"/>
            <w:noWrap/>
            <w:vAlign w:val="center"/>
          </w:tcPr>
          <w:p w14:paraId="670415A0" w14:textId="28900683"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36.887</w:t>
            </w:r>
          </w:p>
        </w:tc>
        <w:tc>
          <w:tcPr>
            <w:tcW w:w="0" w:type="auto"/>
            <w:tcBorders>
              <w:top w:val="nil"/>
              <w:left w:val="nil"/>
              <w:bottom w:val="nil"/>
              <w:right w:val="nil"/>
            </w:tcBorders>
            <w:shd w:val="clear" w:color="auto" w:fill="auto"/>
            <w:noWrap/>
            <w:vAlign w:val="center"/>
          </w:tcPr>
          <w:p w14:paraId="22BE77F7" w14:textId="6D6FCC7F"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963.113</w:t>
            </w:r>
          </w:p>
        </w:tc>
        <w:tc>
          <w:tcPr>
            <w:tcW w:w="0" w:type="auto"/>
            <w:tcBorders>
              <w:top w:val="nil"/>
              <w:left w:val="nil"/>
              <w:bottom w:val="nil"/>
              <w:right w:val="nil"/>
            </w:tcBorders>
            <w:shd w:val="clear" w:color="auto" w:fill="auto"/>
            <w:noWrap/>
            <w:vAlign w:val="center"/>
          </w:tcPr>
          <w:p w14:paraId="000CF43C" w14:textId="5E47D245"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0C024970" w14:textId="1F2C9C51"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4EC80489" w14:textId="72031461"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1182" w:type="dxa"/>
            <w:tcBorders>
              <w:top w:val="nil"/>
              <w:left w:val="nil"/>
              <w:bottom w:val="nil"/>
              <w:right w:val="nil"/>
            </w:tcBorders>
            <w:shd w:val="clear" w:color="auto" w:fill="auto"/>
            <w:noWrap/>
            <w:vAlign w:val="center"/>
          </w:tcPr>
          <w:p w14:paraId="6A62E1C3" w14:textId="3D05A371"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6E7BF657" w14:textId="0F15EF48"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1493" w:type="dxa"/>
            <w:tcBorders>
              <w:top w:val="nil"/>
              <w:left w:val="nil"/>
              <w:bottom w:val="nil"/>
              <w:right w:val="nil"/>
            </w:tcBorders>
            <w:shd w:val="clear" w:color="auto" w:fill="auto"/>
            <w:noWrap/>
            <w:vAlign w:val="center"/>
          </w:tcPr>
          <w:p w14:paraId="24A65527" w14:textId="4A712251"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1.000.000</w:t>
            </w:r>
          </w:p>
        </w:tc>
        <w:tc>
          <w:tcPr>
            <w:tcW w:w="1163" w:type="dxa"/>
            <w:tcBorders>
              <w:top w:val="nil"/>
              <w:left w:val="nil"/>
              <w:bottom w:val="nil"/>
              <w:right w:val="nil"/>
            </w:tcBorders>
            <w:shd w:val="clear" w:color="auto" w:fill="auto"/>
            <w:noWrap/>
            <w:vAlign w:val="center"/>
          </w:tcPr>
          <w:p w14:paraId="1C1D823A" w14:textId="7EAF687E"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tcPr>
          <w:p w14:paraId="3319A25E" w14:textId="41FB1E91"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1.000.000</w:t>
            </w:r>
          </w:p>
        </w:tc>
      </w:tr>
      <w:tr w:rsidR="004A22E9" w:rsidRPr="004A22E9" w14:paraId="0E15CD4E" w14:textId="77777777" w:rsidTr="00DF2E5B">
        <w:tc>
          <w:tcPr>
            <w:tcW w:w="3833" w:type="dxa"/>
            <w:tcBorders>
              <w:top w:val="nil"/>
              <w:left w:val="nil"/>
              <w:bottom w:val="nil"/>
              <w:right w:val="nil"/>
            </w:tcBorders>
            <w:shd w:val="clear" w:color="auto" w:fill="auto"/>
            <w:hideMark/>
          </w:tcPr>
          <w:p w14:paraId="1DEE9040" w14:textId="77777777" w:rsidR="004A22E9" w:rsidRPr="004A22E9" w:rsidRDefault="004A22E9" w:rsidP="004A22E9">
            <w:pPr>
              <w:rPr>
                <w:rFonts w:ascii="Arial" w:hAnsi="Arial" w:cs="Arial"/>
                <w:sz w:val="14"/>
                <w:szCs w:val="14"/>
                <w:lang w:eastAsia="es-AR"/>
              </w:rPr>
            </w:pPr>
            <w:r w:rsidRPr="004A22E9">
              <w:rPr>
                <w:rFonts w:ascii="Arial" w:hAnsi="Arial" w:cs="Arial"/>
                <w:sz w:val="14"/>
                <w:szCs w:val="14"/>
                <w:lang w:eastAsia="es-AR"/>
              </w:rPr>
              <w:t>- Aporte de terceros en sociedad controlada</w:t>
            </w:r>
          </w:p>
        </w:tc>
        <w:tc>
          <w:tcPr>
            <w:tcW w:w="0" w:type="auto"/>
            <w:tcBorders>
              <w:top w:val="nil"/>
              <w:left w:val="nil"/>
              <w:bottom w:val="nil"/>
              <w:right w:val="nil"/>
            </w:tcBorders>
            <w:shd w:val="clear" w:color="auto" w:fill="auto"/>
            <w:noWrap/>
            <w:vAlign w:val="center"/>
            <w:hideMark/>
          </w:tcPr>
          <w:p w14:paraId="6420B3AD" w14:textId="77777777" w:rsidR="004A22E9" w:rsidRPr="004A22E9" w:rsidRDefault="004A22E9" w:rsidP="004A22E9">
            <w:pPr>
              <w:rPr>
                <w:rFonts w:ascii="Arial" w:hAnsi="Arial" w:cs="Arial"/>
                <w:sz w:val="14"/>
                <w:szCs w:val="14"/>
                <w:lang w:eastAsia="es-AR"/>
              </w:rPr>
            </w:pPr>
          </w:p>
        </w:tc>
        <w:tc>
          <w:tcPr>
            <w:tcW w:w="0" w:type="auto"/>
            <w:tcBorders>
              <w:top w:val="nil"/>
              <w:left w:val="nil"/>
              <w:bottom w:val="nil"/>
              <w:right w:val="nil"/>
            </w:tcBorders>
            <w:shd w:val="clear" w:color="auto" w:fill="auto"/>
            <w:noWrap/>
            <w:vAlign w:val="center"/>
            <w:hideMark/>
          </w:tcPr>
          <w:p w14:paraId="5599D82D" w14:textId="2C4C9EE5"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4D43E4C1" w14:textId="365811F8"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6AC0340E" w14:textId="43896026"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2E4F4BCF" w14:textId="43BC3090"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578B64E2" w14:textId="00B2D480"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1182" w:type="dxa"/>
            <w:tcBorders>
              <w:top w:val="nil"/>
              <w:left w:val="nil"/>
              <w:bottom w:val="nil"/>
              <w:right w:val="nil"/>
            </w:tcBorders>
            <w:shd w:val="clear" w:color="auto" w:fill="auto"/>
            <w:noWrap/>
            <w:vAlign w:val="center"/>
            <w:hideMark/>
          </w:tcPr>
          <w:p w14:paraId="19AA1635" w14:textId="6F44C310"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2D22BC82" w14:textId="5259A6B1"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1493" w:type="dxa"/>
            <w:tcBorders>
              <w:top w:val="nil"/>
              <w:left w:val="nil"/>
              <w:bottom w:val="nil"/>
              <w:right w:val="nil"/>
            </w:tcBorders>
            <w:shd w:val="clear" w:color="auto" w:fill="auto"/>
            <w:noWrap/>
            <w:vAlign w:val="center"/>
            <w:hideMark/>
          </w:tcPr>
          <w:p w14:paraId="28A6851E" w14:textId="02830D67"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1163" w:type="dxa"/>
            <w:tcBorders>
              <w:top w:val="nil"/>
              <w:left w:val="nil"/>
              <w:bottom w:val="nil"/>
              <w:right w:val="nil"/>
            </w:tcBorders>
            <w:shd w:val="clear" w:color="auto" w:fill="auto"/>
            <w:noWrap/>
            <w:vAlign w:val="center"/>
          </w:tcPr>
          <w:p w14:paraId="174DAB17" w14:textId="0B37314C"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19.000</w:t>
            </w:r>
          </w:p>
        </w:tc>
        <w:tc>
          <w:tcPr>
            <w:tcW w:w="0" w:type="auto"/>
            <w:tcBorders>
              <w:top w:val="nil"/>
              <w:left w:val="nil"/>
              <w:bottom w:val="nil"/>
              <w:right w:val="nil"/>
            </w:tcBorders>
            <w:shd w:val="clear" w:color="auto" w:fill="auto"/>
            <w:noWrap/>
            <w:vAlign w:val="center"/>
          </w:tcPr>
          <w:p w14:paraId="19A94702" w14:textId="20F6C61A"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19.000</w:t>
            </w:r>
          </w:p>
        </w:tc>
      </w:tr>
      <w:tr w:rsidR="004A22E9" w:rsidRPr="004A22E9" w14:paraId="0D3F654F" w14:textId="77777777" w:rsidTr="00DF2E5B">
        <w:tc>
          <w:tcPr>
            <w:tcW w:w="3833" w:type="dxa"/>
            <w:tcBorders>
              <w:top w:val="nil"/>
              <w:left w:val="nil"/>
              <w:bottom w:val="nil"/>
              <w:right w:val="nil"/>
            </w:tcBorders>
            <w:shd w:val="clear" w:color="auto" w:fill="auto"/>
            <w:hideMark/>
          </w:tcPr>
          <w:p w14:paraId="7571D7F0" w14:textId="77777777" w:rsidR="004A22E9" w:rsidRPr="004A22E9" w:rsidRDefault="004A22E9" w:rsidP="004A22E9">
            <w:pPr>
              <w:rPr>
                <w:rFonts w:ascii="Arial" w:hAnsi="Arial" w:cs="Arial"/>
                <w:sz w:val="14"/>
                <w:szCs w:val="14"/>
                <w:lang w:eastAsia="es-AR"/>
              </w:rPr>
            </w:pPr>
            <w:r w:rsidRPr="004A22E9">
              <w:rPr>
                <w:rFonts w:ascii="Arial" w:hAnsi="Arial" w:cs="Arial"/>
                <w:sz w:val="14"/>
                <w:szCs w:val="14"/>
                <w:lang w:eastAsia="es-AR"/>
              </w:rPr>
              <w:t xml:space="preserve"> - Otros movimientos</w:t>
            </w:r>
          </w:p>
        </w:tc>
        <w:tc>
          <w:tcPr>
            <w:tcW w:w="0" w:type="auto"/>
            <w:tcBorders>
              <w:top w:val="nil"/>
              <w:left w:val="nil"/>
              <w:bottom w:val="nil"/>
              <w:right w:val="nil"/>
            </w:tcBorders>
            <w:shd w:val="clear" w:color="auto" w:fill="auto"/>
            <w:noWrap/>
            <w:hideMark/>
          </w:tcPr>
          <w:p w14:paraId="2B7611A4" w14:textId="77777777" w:rsidR="004A22E9" w:rsidRPr="004A22E9" w:rsidRDefault="004A22E9" w:rsidP="004A22E9">
            <w:pPr>
              <w:rPr>
                <w:rFonts w:ascii="Arial" w:hAnsi="Arial" w:cs="Arial"/>
                <w:sz w:val="14"/>
                <w:szCs w:val="14"/>
                <w:lang w:eastAsia="es-AR"/>
              </w:rPr>
            </w:pPr>
          </w:p>
        </w:tc>
        <w:tc>
          <w:tcPr>
            <w:tcW w:w="0" w:type="auto"/>
            <w:tcBorders>
              <w:top w:val="nil"/>
              <w:left w:val="nil"/>
              <w:bottom w:val="nil"/>
              <w:right w:val="nil"/>
            </w:tcBorders>
            <w:shd w:val="clear" w:color="auto" w:fill="auto"/>
            <w:noWrap/>
            <w:vAlign w:val="center"/>
            <w:hideMark/>
          </w:tcPr>
          <w:p w14:paraId="6B8F995E" w14:textId="327D5FFE"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1390FF6B" w14:textId="20A7FA28"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2010DABD" w14:textId="676AF35C"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5529DB74" w14:textId="5E86904D"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1CE60090" w14:textId="15265C68"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1182" w:type="dxa"/>
            <w:tcBorders>
              <w:top w:val="nil"/>
              <w:left w:val="nil"/>
              <w:bottom w:val="nil"/>
              <w:right w:val="nil"/>
            </w:tcBorders>
            <w:shd w:val="clear" w:color="auto" w:fill="auto"/>
            <w:noWrap/>
            <w:vAlign w:val="center"/>
            <w:hideMark/>
          </w:tcPr>
          <w:p w14:paraId="3EB0592C" w14:textId="37B37CDB"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0" w:type="auto"/>
            <w:tcBorders>
              <w:top w:val="nil"/>
              <w:left w:val="nil"/>
              <w:bottom w:val="nil"/>
              <w:right w:val="nil"/>
            </w:tcBorders>
            <w:shd w:val="clear" w:color="auto" w:fill="auto"/>
            <w:noWrap/>
            <w:vAlign w:val="center"/>
            <w:hideMark/>
          </w:tcPr>
          <w:p w14:paraId="0E59C40E" w14:textId="05680BE7"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1493" w:type="dxa"/>
            <w:tcBorders>
              <w:top w:val="nil"/>
              <w:left w:val="nil"/>
              <w:bottom w:val="nil"/>
              <w:right w:val="nil"/>
            </w:tcBorders>
            <w:shd w:val="clear" w:color="auto" w:fill="auto"/>
            <w:noWrap/>
            <w:vAlign w:val="center"/>
            <w:hideMark/>
          </w:tcPr>
          <w:p w14:paraId="24C3031C" w14:textId="44250FBE"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w:t>
            </w:r>
          </w:p>
        </w:tc>
        <w:tc>
          <w:tcPr>
            <w:tcW w:w="1163" w:type="dxa"/>
            <w:tcBorders>
              <w:top w:val="nil"/>
              <w:left w:val="nil"/>
              <w:bottom w:val="nil"/>
              <w:right w:val="nil"/>
            </w:tcBorders>
            <w:shd w:val="clear" w:color="auto" w:fill="auto"/>
            <w:noWrap/>
            <w:vAlign w:val="center"/>
          </w:tcPr>
          <w:p w14:paraId="685B2196" w14:textId="2C1223BB"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-163.115</w:t>
            </w:r>
          </w:p>
        </w:tc>
        <w:tc>
          <w:tcPr>
            <w:tcW w:w="0" w:type="auto"/>
            <w:tcBorders>
              <w:top w:val="nil"/>
              <w:left w:val="nil"/>
              <w:bottom w:val="nil"/>
              <w:right w:val="nil"/>
            </w:tcBorders>
            <w:shd w:val="clear" w:color="auto" w:fill="auto"/>
            <w:noWrap/>
            <w:vAlign w:val="center"/>
          </w:tcPr>
          <w:p w14:paraId="0B245E39" w14:textId="23888EBE" w:rsidR="004A22E9" w:rsidRPr="004A22E9" w:rsidRDefault="004A22E9" w:rsidP="004A22E9">
            <w:pPr>
              <w:jc w:val="right"/>
              <w:rPr>
                <w:rFonts w:ascii="Arial" w:hAnsi="Arial" w:cs="Arial"/>
                <w:sz w:val="14"/>
                <w:szCs w:val="14"/>
                <w:lang w:eastAsia="es-AR"/>
              </w:rPr>
            </w:pPr>
            <w:r w:rsidRPr="004A22E9">
              <w:rPr>
                <w:rFonts w:ascii="Arial" w:hAnsi="Arial" w:cs="Arial"/>
                <w:sz w:val="14"/>
                <w:szCs w:val="14"/>
              </w:rPr>
              <w:t>-163.115</w:t>
            </w:r>
          </w:p>
        </w:tc>
      </w:tr>
      <w:tr w:rsidR="004A22E9" w:rsidRPr="004A22E9" w14:paraId="3EA90AFE" w14:textId="77777777" w:rsidTr="00DF2E5B">
        <w:tc>
          <w:tcPr>
            <w:tcW w:w="3833" w:type="dxa"/>
            <w:tcBorders>
              <w:top w:val="nil"/>
              <w:left w:val="nil"/>
              <w:bottom w:val="nil"/>
              <w:right w:val="nil"/>
            </w:tcBorders>
            <w:shd w:val="clear" w:color="auto" w:fill="auto"/>
            <w:hideMark/>
          </w:tcPr>
          <w:p w14:paraId="541E4ECE" w14:textId="77777777" w:rsidR="004A22E9" w:rsidRPr="004A22E9" w:rsidRDefault="004A22E9" w:rsidP="004A22E9">
            <w:pPr>
              <w:rPr>
                <w:rFonts w:ascii="Arial" w:hAnsi="Arial" w:cs="Arial"/>
                <w:sz w:val="14"/>
                <w:szCs w:val="14"/>
                <w:lang w:eastAsia="es-AR"/>
              </w:rPr>
            </w:pPr>
          </w:p>
        </w:tc>
        <w:tc>
          <w:tcPr>
            <w:tcW w:w="0" w:type="auto"/>
            <w:tcBorders>
              <w:top w:val="nil"/>
              <w:left w:val="nil"/>
              <w:bottom w:val="nil"/>
              <w:right w:val="nil"/>
            </w:tcBorders>
            <w:shd w:val="clear" w:color="auto" w:fill="auto"/>
            <w:noWrap/>
            <w:hideMark/>
          </w:tcPr>
          <w:p w14:paraId="29C21D23" w14:textId="77777777" w:rsidR="004A22E9" w:rsidRPr="004A22E9" w:rsidRDefault="004A22E9" w:rsidP="004A22E9">
            <w:pPr>
              <w:rPr>
                <w:sz w:val="14"/>
                <w:szCs w:val="14"/>
                <w:lang w:eastAsia="es-AR"/>
              </w:rPr>
            </w:pPr>
          </w:p>
        </w:tc>
        <w:tc>
          <w:tcPr>
            <w:tcW w:w="0" w:type="auto"/>
            <w:tcBorders>
              <w:top w:val="nil"/>
              <w:left w:val="nil"/>
              <w:bottom w:val="nil"/>
              <w:right w:val="nil"/>
            </w:tcBorders>
            <w:shd w:val="clear" w:color="auto" w:fill="auto"/>
            <w:noWrap/>
            <w:hideMark/>
          </w:tcPr>
          <w:p w14:paraId="16E49B90" w14:textId="77777777" w:rsidR="004A22E9" w:rsidRPr="004A22E9" w:rsidRDefault="004A22E9" w:rsidP="004A22E9">
            <w:pPr>
              <w:jc w:val="right"/>
              <w:rPr>
                <w:sz w:val="14"/>
                <w:szCs w:val="14"/>
                <w:lang w:eastAsia="es-AR"/>
              </w:rPr>
            </w:pPr>
          </w:p>
        </w:tc>
        <w:tc>
          <w:tcPr>
            <w:tcW w:w="0" w:type="auto"/>
            <w:tcBorders>
              <w:top w:val="nil"/>
              <w:left w:val="nil"/>
              <w:bottom w:val="nil"/>
              <w:right w:val="nil"/>
            </w:tcBorders>
            <w:shd w:val="clear" w:color="auto" w:fill="auto"/>
            <w:noWrap/>
            <w:hideMark/>
          </w:tcPr>
          <w:p w14:paraId="738E241C" w14:textId="77777777" w:rsidR="004A22E9" w:rsidRPr="004A22E9" w:rsidRDefault="004A22E9" w:rsidP="004A22E9">
            <w:pPr>
              <w:jc w:val="right"/>
              <w:rPr>
                <w:sz w:val="14"/>
                <w:szCs w:val="14"/>
                <w:lang w:eastAsia="es-AR"/>
              </w:rPr>
            </w:pPr>
          </w:p>
        </w:tc>
        <w:tc>
          <w:tcPr>
            <w:tcW w:w="0" w:type="auto"/>
            <w:tcBorders>
              <w:top w:val="nil"/>
              <w:left w:val="nil"/>
              <w:bottom w:val="nil"/>
              <w:right w:val="nil"/>
            </w:tcBorders>
            <w:shd w:val="clear" w:color="auto" w:fill="auto"/>
            <w:noWrap/>
            <w:hideMark/>
          </w:tcPr>
          <w:p w14:paraId="4BB422C1" w14:textId="77777777" w:rsidR="004A22E9" w:rsidRPr="004A22E9" w:rsidRDefault="004A22E9" w:rsidP="004A22E9">
            <w:pPr>
              <w:jc w:val="right"/>
              <w:rPr>
                <w:sz w:val="14"/>
                <w:szCs w:val="14"/>
                <w:lang w:eastAsia="es-AR"/>
              </w:rPr>
            </w:pPr>
          </w:p>
        </w:tc>
        <w:tc>
          <w:tcPr>
            <w:tcW w:w="0" w:type="auto"/>
            <w:tcBorders>
              <w:top w:val="nil"/>
              <w:left w:val="nil"/>
              <w:bottom w:val="nil"/>
              <w:right w:val="nil"/>
            </w:tcBorders>
            <w:shd w:val="clear" w:color="auto" w:fill="auto"/>
            <w:noWrap/>
            <w:hideMark/>
          </w:tcPr>
          <w:p w14:paraId="7B7A5EE6" w14:textId="77777777" w:rsidR="004A22E9" w:rsidRPr="004A22E9" w:rsidRDefault="004A22E9" w:rsidP="004A22E9">
            <w:pPr>
              <w:jc w:val="right"/>
              <w:rPr>
                <w:sz w:val="14"/>
                <w:szCs w:val="14"/>
                <w:lang w:eastAsia="es-AR"/>
              </w:rPr>
            </w:pPr>
          </w:p>
        </w:tc>
        <w:tc>
          <w:tcPr>
            <w:tcW w:w="0" w:type="auto"/>
            <w:tcBorders>
              <w:top w:val="nil"/>
              <w:left w:val="nil"/>
              <w:bottom w:val="nil"/>
              <w:right w:val="nil"/>
            </w:tcBorders>
            <w:shd w:val="clear" w:color="auto" w:fill="auto"/>
            <w:noWrap/>
            <w:hideMark/>
          </w:tcPr>
          <w:p w14:paraId="740787BC" w14:textId="77777777" w:rsidR="004A22E9" w:rsidRPr="004A22E9" w:rsidRDefault="004A22E9" w:rsidP="004A22E9">
            <w:pPr>
              <w:jc w:val="right"/>
              <w:rPr>
                <w:sz w:val="14"/>
                <w:szCs w:val="14"/>
                <w:lang w:eastAsia="es-AR"/>
              </w:rPr>
            </w:pPr>
          </w:p>
        </w:tc>
        <w:tc>
          <w:tcPr>
            <w:tcW w:w="1182" w:type="dxa"/>
            <w:tcBorders>
              <w:top w:val="nil"/>
              <w:left w:val="nil"/>
              <w:bottom w:val="nil"/>
              <w:right w:val="nil"/>
            </w:tcBorders>
            <w:shd w:val="clear" w:color="auto" w:fill="auto"/>
            <w:noWrap/>
            <w:hideMark/>
          </w:tcPr>
          <w:p w14:paraId="5FEF2D3B" w14:textId="77777777" w:rsidR="004A22E9" w:rsidRPr="004A22E9" w:rsidRDefault="004A22E9" w:rsidP="004A22E9">
            <w:pPr>
              <w:jc w:val="right"/>
              <w:rPr>
                <w:sz w:val="14"/>
                <w:szCs w:val="14"/>
                <w:lang w:eastAsia="es-AR"/>
              </w:rPr>
            </w:pPr>
          </w:p>
        </w:tc>
        <w:tc>
          <w:tcPr>
            <w:tcW w:w="0" w:type="auto"/>
            <w:tcBorders>
              <w:top w:val="nil"/>
              <w:left w:val="nil"/>
              <w:bottom w:val="nil"/>
              <w:right w:val="nil"/>
            </w:tcBorders>
            <w:shd w:val="clear" w:color="auto" w:fill="auto"/>
            <w:noWrap/>
            <w:hideMark/>
          </w:tcPr>
          <w:p w14:paraId="75A72D09" w14:textId="77777777" w:rsidR="004A22E9" w:rsidRPr="004A22E9" w:rsidRDefault="004A22E9" w:rsidP="004A22E9">
            <w:pPr>
              <w:jc w:val="right"/>
              <w:rPr>
                <w:sz w:val="14"/>
                <w:szCs w:val="14"/>
                <w:lang w:eastAsia="es-AR"/>
              </w:rPr>
            </w:pPr>
          </w:p>
        </w:tc>
        <w:tc>
          <w:tcPr>
            <w:tcW w:w="1493" w:type="dxa"/>
            <w:tcBorders>
              <w:top w:val="nil"/>
              <w:left w:val="nil"/>
              <w:bottom w:val="nil"/>
              <w:right w:val="nil"/>
            </w:tcBorders>
            <w:shd w:val="clear" w:color="auto" w:fill="auto"/>
            <w:noWrap/>
            <w:hideMark/>
          </w:tcPr>
          <w:p w14:paraId="2977B519" w14:textId="77777777" w:rsidR="004A22E9" w:rsidRPr="004A22E9" w:rsidRDefault="004A22E9" w:rsidP="004A22E9">
            <w:pPr>
              <w:jc w:val="right"/>
              <w:rPr>
                <w:sz w:val="14"/>
                <w:szCs w:val="14"/>
                <w:lang w:eastAsia="es-AR"/>
              </w:rPr>
            </w:pPr>
          </w:p>
        </w:tc>
        <w:tc>
          <w:tcPr>
            <w:tcW w:w="1163" w:type="dxa"/>
            <w:tcBorders>
              <w:top w:val="nil"/>
              <w:left w:val="nil"/>
              <w:bottom w:val="nil"/>
              <w:right w:val="nil"/>
            </w:tcBorders>
            <w:shd w:val="clear" w:color="auto" w:fill="auto"/>
            <w:noWrap/>
          </w:tcPr>
          <w:p w14:paraId="706B3940" w14:textId="77777777" w:rsidR="004A22E9" w:rsidRPr="004A22E9" w:rsidRDefault="004A22E9" w:rsidP="004A22E9">
            <w:pPr>
              <w:jc w:val="right"/>
              <w:rPr>
                <w:sz w:val="14"/>
                <w:szCs w:val="14"/>
                <w:lang w:eastAsia="es-AR"/>
              </w:rPr>
            </w:pPr>
          </w:p>
        </w:tc>
        <w:tc>
          <w:tcPr>
            <w:tcW w:w="0" w:type="auto"/>
            <w:tcBorders>
              <w:top w:val="nil"/>
              <w:left w:val="nil"/>
              <w:bottom w:val="nil"/>
              <w:right w:val="nil"/>
            </w:tcBorders>
            <w:shd w:val="clear" w:color="auto" w:fill="auto"/>
            <w:noWrap/>
          </w:tcPr>
          <w:p w14:paraId="5C803CCA" w14:textId="77777777" w:rsidR="004A22E9" w:rsidRPr="004A22E9" w:rsidRDefault="004A22E9" w:rsidP="004A22E9">
            <w:pPr>
              <w:jc w:val="right"/>
              <w:rPr>
                <w:sz w:val="14"/>
                <w:szCs w:val="14"/>
                <w:lang w:eastAsia="es-AR"/>
              </w:rPr>
            </w:pPr>
          </w:p>
        </w:tc>
      </w:tr>
      <w:tr w:rsidR="004A22E9" w:rsidRPr="004A22E9" w14:paraId="6F52FA47" w14:textId="77777777" w:rsidTr="00DF2E5B">
        <w:tc>
          <w:tcPr>
            <w:tcW w:w="3833" w:type="dxa"/>
            <w:tcBorders>
              <w:top w:val="nil"/>
              <w:left w:val="nil"/>
              <w:bottom w:val="nil"/>
              <w:right w:val="nil"/>
            </w:tcBorders>
            <w:shd w:val="clear" w:color="auto" w:fill="auto"/>
            <w:hideMark/>
          </w:tcPr>
          <w:p w14:paraId="7617848B" w14:textId="1625454A" w:rsidR="004A22E9" w:rsidRPr="004A22E9" w:rsidRDefault="004A22E9" w:rsidP="004A22E9">
            <w:pPr>
              <w:rPr>
                <w:rFonts w:ascii="Arial" w:hAnsi="Arial" w:cs="Arial"/>
                <w:b/>
                <w:bCs/>
                <w:sz w:val="14"/>
                <w:szCs w:val="14"/>
                <w:lang w:eastAsia="es-AR"/>
              </w:rPr>
            </w:pPr>
            <w:r w:rsidRPr="004A22E9">
              <w:rPr>
                <w:rFonts w:ascii="Arial" w:hAnsi="Arial" w:cs="Arial"/>
                <w:b/>
                <w:bCs/>
                <w:sz w:val="14"/>
                <w:szCs w:val="14"/>
                <w:lang w:eastAsia="es-AR"/>
              </w:rPr>
              <w:t>Saldos al cierre del ejercicio</w:t>
            </w:r>
          </w:p>
        </w:tc>
        <w:tc>
          <w:tcPr>
            <w:tcW w:w="0" w:type="auto"/>
            <w:tcBorders>
              <w:top w:val="nil"/>
              <w:left w:val="nil"/>
              <w:bottom w:val="nil"/>
              <w:right w:val="nil"/>
            </w:tcBorders>
            <w:shd w:val="clear" w:color="auto" w:fill="auto"/>
            <w:noWrap/>
            <w:hideMark/>
          </w:tcPr>
          <w:p w14:paraId="7F44B344" w14:textId="77777777" w:rsidR="004A22E9" w:rsidRPr="004A22E9" w:rsidRDefault="004A22E9" w:rsidP="004A22E9">
            <w:pPr>
              <w:rPr>
                <w:rFonts w:ascii="Arial" w:hAnsi="Arial" w:cs="Arial"/>
                <w:b/>
                <w:bCs/>
                <w:sz w:val="14"/>
                <w:szCs w:val="14"/>
                <w:lang w:eastAsia="es-AR"/>
              </w:rPr>
            </w:pPr>
          </w:p>
        </w:tc>
        <w:tc>
          <w:tcPr>
            <w:tcW w:w="0" w:type="auto"/>
            <w:tcBorders>
              <w:top w:val="single" w:sz="4" w:space="0" w:color="auto"/>
              <w:left w:val="nil"/>
              <w:bottom w:val="single" w:sz="4" w:space="0" w:color="auto"/>
              <w:right w:val="nil"/>
            </w:tcBorders>
            <w:shd w:val="clear" w:color="auto" w:fill="auto"/>
            <w:noWrap/>
            <w:hideMark/>
          </w:tcPr>
          <w:p w14:paraId="099E31C4" w14:textId="43C37F75" w:rsidR="004A22E9" w:rsidRPr="004A22E9" w:rsidRDefault="004A22E9" w:rsidP="004A22E9">
            <w:pPr>
              <w:jc w:val="right"/>
              <w:rPr>
                <w:rFonts w:ascii="Arial" w:hAnsi="Arial" w:cs="Arial"/>
                <w:b/>
                <w:bCs/>
                <w:sz w:val="14"/>
                <w:szCs w:val="14"/>
                <w:lang w:eastAsia="es-AR"/>
              </w:rPr>
            </w:pPr>
            <w:r w:rsidRPr="004A22E9">
              <w:rPr>
                <w:rFonts w:ascii="Arial" w:hAnsi="Arial" w:cs="Arial"/>
                <w:b/>
                <w:bCs/>
                <w:sz w:val="14"/>
                <w:szCs w:val="14"/>
              </w:rPr>
              <w:t>808.852</w:t>
            </w:r>
          </w:p>
        </w:tc>
        <w:tc>
          <w:tcPr>
            <w:tcW w:w="0" w:type="auto"/>
            <w:tcBorders>
              <w:top w:val="single" w:sz="4" w:space="0" w:color="auto"/>
              <w:left w:val="nil"/>
              <w:bottom w:val="single" w:sz="4" w:space="0" w:color="auto"/>
              <w:right w:val="nil"/>
            </w:tcBorders>
            <w:shd w:val="clear" w:color="auto" w:fill="auto"/>
            <w:noWrap/>
            <w:hideMark/>
          </w:tcPr>
          <w:p w14:paraId="1DE1AEDE" w14:textId="43334428" w:rsidR="004A22E9" w:rsidRPr="004A22E9" w:rsidRDefault="004A22E9" w:rsidP="004A22E9">
            <w:pPr>
              <w:jc w:val="right"/>
              <w:rPr>
                <w:rFonts w:ascii="Arial" w:hAnsi="Arial" w:cs="Arial"/>
                <w:b/>
                <w:bCs/>
                <w:sz w:val="14"/>
                <w:szCs w:val="14"/>
                <w:lang w:eastAsia="es-AR"/>
              </w:rPr>
            </w:pPr>
            <w:r w:rsidRPr="004A22E9">
              <w:rPr>
                <w:rFonts w:ascii="Arial" w:hAnsi="Arial" w:cs="Arial"/>
                <w:b/>
                <w:bCs/>
                <w:sz w:val="14"/>
                <w:szCs w:val="14"/>
              </w:rPr>
              <w:t>6.444.347</w:t>
            </w:r>
          </w:p>
        </w:tc>
        <w:tc>
          <w:tcPr>
            <w:tcW w:w="0" w:type="auto"/>
            <w:tcBorders>
              <w:top w:val="single" w:sz="4" w:space="0" w:color="auto"/>
              <w:left w:val="nil"/>
              <w:bottom w:val="single" w:sz="4" w:space="0" w:color="auto"/>
              <w:right w:val="nil"/>
            </w:tcBorders>
            <w:shd w:val="clear" w:color="auto" w:fill="auto"/>
            <w:noWrap/>
          </w:tcPr>
          <w:p w14:paraId="710173E2" w14:textId="1538AD08" w:rsidR="004A22E9" w:rsidRPr="004A22E9" w:rsidRDefault="004A22E9" w:rsidP="004A22E9">
            <w:pPr>
              <w:jc w:val="right"/>
              <w:rPr>
                <w:rFonts w:ascii="Arial" w:hAnsi="Arial" w:cs="Arial"/>
                <w:b/>
                <w:bCs/>
                <w:sz w:val="14"/>
                <w:szCs w:val="14"/>
                <w:lang w:eastAsia="es-AR"/>
              </w:rPr>
            </w:pPr>
            <w:r w:rsidRPr="004A22E9">
              <w:rPr>
                <w:rFonts w:ascii="Arial" w:hAnsi="Arial" w:cs="Arial"/>
                <w:b/>
                <w:bCs/>
                <w:sz w:val="14"/>
                <w:szCs w:val="14"/>
              </w:rPr>
              <w:t>583.543</w:t>
            </w:r>
          </w:p>
        </w:tc>
        <w:tc>
          <w:tcPr>
            <w:tcW w:w="0" w:type="auto"/>
            <w:tcBorders>
              <w:top w:val="single" w:sz="4" w:space="0" w:color="auto"/>
              <w:left w:val="nil"/>
              <w:bottom w:val="single" w:sz="4" w:space="0" w:color="auto"/>
              <w:right w:val="nil"/>
            </w:tcBorders>
            <w:shd w:val="clear" w:color="auto" w:fill="auto"/>
            <w:noWrap/>
          </w:tcPr>
          <w:p w14:paraId="05465F51" w14:textId="158A4CFF" w:rsidR="004A22E9" w:rsidRPr="004A22E9" w:rsidRDefault="004A22E9" w:rsidP="004A22E9">
            <w:pPr>
              <w:jc w:val="right"/>
              <w:rPr>
                <w:rFonts w:ascii="Arial" w:hAnsi="Arial" w:cs="Arial"/>
                <w:b/>
                <w:bCs/>
                <w:sz w:val="14"/>
                <w:szCs w:val="14"/>
                <w:lang w:eastAsia="es-AR"/>
              </w:rPr>
            </w:pPr>
            <w:r w:rsidRPr="004A22E9">
              <w:rPr>
                <w:rFonts w:ascii="Arial" w:hAnsi="Arial" w:cs="Arial"/>
                <w:b/>
                <w:bCs/>
                <w:sz w:val="14"/>
                <w:szCs w:val="14"/>
              </w:rPr>
              <w:t>5.961</w:t>
            </w:r>
          </w:p>
        </w:tc>
        <w:tc>
          <w:tcPr>
            <w:tcW w:w="0" w:type="auto"/>
            <w:tcBorders>
              <w:top w:val="single" w:sz="4" w:space="0" w:color="auto"/>
              <w:left w:val="nil"/>
              <w:bottom w:val="single" w:sz="4" w:space="0" w:color="auto"/>
              <w:right w:val="nil"/>
            </w:tcBorders>
            <w:shd w:val="clear" w:color="auto" w:fill="auto"/>
            <w:noWrap/>
          </w:tcPr>
          <w:p w14:paraId="1BD5AAAC" w14:textId="46BDED03" w:rsidR="004A22E9" w:rsidRPr="004A22E9" w:rsidRDefault="004A22E9" w:rsidP="004A22E9">
            <w:pPr>
              <w:jc w:val="right"/>
              <w:rPr>
                <w:rFonts w:ascii="Arial" w:hAnsi="Arial" w:cs="Arial"/>
                <w:b/>
                <w:bCs/>
                <w:sz w:val="14"/>
                <w:szCs w:val="14"/>
                <w:lang w:eastAsia="es-AR"/>
              </w:rPr>
            </w:pPr>
            <w:r w:rsidRPr="004A22E9">
              <w:rPr>
                <w:rFonts w:ascii="Arial" w:hAnsi="Arial" w:cs="Arial"/>
                <w:b/>
                <w:bCs/>
                <w:sz w:val="14"/>
                <w:szCs w:val="14"/>
              </w:rPr>
              <w:t>962.193</w:t>
            </w:r>
          </w:p>
        </w:tc>
        <w:tc>
          <w:tcPr>
            <w:tcW w:w="1182" w:type="dxa"/>
            <w:tcBorders>
              <w:top w:val="single" w:sz="4" w:space="0" w:color="auto"/>
              <w:left w:val="nil"/>
              <w:bottom w:val="single" w:sz="4" w:space="0" w:color="auto"/>
              <w:right w:val="nil"/>
            </w:tcBorders>
            <w:shd w:val="clear" w:color="auto" w:fill="auto"/>
            <w:noWrap/>
          </w:tcPr>
          <w:p w14:paraId="6F013D75" w14:textId="7F0625E3" w:rsidR="004A22E9" w:rsidRPr="004A22E9" w:rsidRDefault="004A22E9" w:rsidP="004A22E9">
            <w:pPr>
              <w:jc w:val="right"/>
              <w:rPr>
                <w:rFonts w:ascii="Arial" w:hAnsi="Arial" w:cs="Arial"/>
                <w:b/>
                <w:bCs/>
                <w:sz w:val="14"/>
                <w:szCs w:val="14"/>
                <w:lang w:eastAsia="es-AR"/>
              </w:rPr>
            </w:pPr>
            <w:r w:rsidRPr="004A22E9">
              <w:rPr>
                <w:rFonts w:ascii="Arial" w:hAnsi="Arial" w:cs="Arial"/>
                <w:b/>
                <w:bCs/>
                <w:sz w:val="14"/>
                <w:szCs w:val="14"/>
              </w:rPr>
              <w:t>3.640.290</w:t>
            </w:r>
          </w:p>
        </w:tc>
        <w:tc>
          <w:tcPr>
            <w:tcW w:w="0" w:type="auto"/>
            <w:tcBorders>
              <w:top w:val="single" w:sz="4" w:space="0" w:color="auto"/>
              <w:left w:val="nil"/>
              <w:bottom w:val="single" w:sz="4" w:space="0" w:color="auto"/>
              <w:right w:val="nil"/>
            </w:tcBorders>
            <w:shd w:val="clear" w:color="auto" w:fill="auto"/>
            <w:noWrap/>
          </w:tcPr>
          <w:p w14:paraId="1D9F9B74" w14:textId="3D95CC7F" w:rsidR="004A22E9" w:rsidRPr="004A22E9" w:rsidRDefault="004A22E9" w:rsidP="004A22E9">
            <w:pPr>
              <w:jc w:val="right"/>
              <w:rPr>
                <w:rFonts w:ascii="Arial" w:hAnsi="Arial" w:cs="Arial"/>
                <w:b/>
                <w:bCs/>
                <w:sz w:val="14"/>
                <w:szCs w:val="14"/>
                <w:lang w:eastAsia="es-AR"/>
              </w:rPr>
            </w:pPr>
            <w:r w:rsidRPr="004A22E9">
              <w:rPr>
                <w:rFonts w:ascii="Arial" w:hAnsi="Arial" w:cs="Arial"/>
                <w:b/>
                <w:bCs/>
                <w:sz w:val="14"/>
                <w:szCs w:val="14"/>
              </w:rPr>
              <w:t>740.29</w:t>
            </w:r>
            <w:r w:rsidR="007C311B">
              <w:rPr>
                <w:rFonts w:ascii="Arial" w:hAnsi="Arial" w:cs="Arial"/>
                <w:b/>
                <w:bCs/>
                <w:sz w:val="14"/>
                <w:szCs w:val="14"/>
              </w:rPr>
              <w:t>3</w:t>
            </w:r>
          </w:p>
        </w:tc>
        <w:tc>
          <w:tcPr>
            <w:tcW w:w="1493" w:type="dxa"/>
            <w:tcBorders>
              <w:top w:val="single" w:sz="4" w:space="0" w:color="auto"/>
              <w:left w:val="nil"/>
              <w:bottom w:val="single" w:sz="4" w:space="0" w:color="auto"/>
              <w:right w:val="nil"/>
            </w:tcBorders>
            <w:shd w:val="clear" w:color="auto" w:fill="auto"/>
            <w:noWrap/>
          </w:tcPr>
          <w:p w14:paraId="0F1B84FD" w14:textId="36D30A6A" w:rsidR="004A22E9" w:rsidRPr="004A22E9" w:rsidRDefault="004A22E9" w:rsidP="004A22E9">
            <w:pPr>
              <w:jc w:val="right"/>
              <w:rPr>
                <w:rFonts w:ascii="Arial" w:hAnsi="Arial" w:cs="Arial"/>
                <w:b/>
                <w:bCs/>
                <w:sz w:val="14"/>
                <w:szCs w:val="14"/>
                <w:lang w:eastAsia="es-AR"/>
              </w:rPr>
            </w:pPr>
            <w:r w:rsidRPr="004A22E9">
              <w:rPr>
                <w:rFonts w:ascii="Arial" w:hAnsi="Arial" w:cs="Arial"/>
                <w:b/>
                <w:bCs/>
                <w:sz w:val="14"/>
                <w:szCs w:val="14"/>
              </w:rPr>
              <w:t>13.185.4</w:t>
            </w:r>
            <w:r w:rsidR="007C311B">
              <w:rPr>
                <w:rFonts w:ascii="Arial" w:hAnsi="Arial" w:cs="Arial"/>
                <w:b/>
                <w:bCs/>
                <w:sz w:val="14"/>
                <w:szCs w:val="14"/>
              </w:rPr>
              <w:t>79</w:t>
            </w:r>
          </w:p>
        </w:tc>
        <w:tc>
          <w:tcPr>
            <w:tcW w:w="1163" w:type="dxa"/>
            <w:tcBorders>
              <w:top w:val="single" w:sz="4" w:space="0" w:color="auto"/>
              <w:left w:val="nil"/>
              <w:bottom w:val="single" w:sz="4" w:space="0" w:color="auto"/>
              <w:right w:val="nil"/>
            </w:tcBorders>
            <w:shd w:val="clear" w:color="auto" w:fill="auto"/>
            <w:noWrap/>
          </w:tcPr>
          <w:p w14:paraId="2DC99B34" w14:textId="670A2CCE" w:rsidR="004A22E9" w:rsidRPr="004A22E9" w:rsidRDefault="004A22E9" w:rsidP="004A22E9">
            <w:pPr>
              <w:jc w:val="right"/>
              <w:rPr>
                <w:rFonts w:ascii="Arial" w:hAnsi="Arial" w:cs="Arial"/>
                <w:b/>
                <w:bCs/>
                <w:sz w:val="14"/>
                <w:szCs w:val="14"/>
                <w:lang w:eastAsia="es-AR"/>
              </w:rPr>
            </w:pPr>
            <w:r w:rsidRPr="004A22E9">
              <w:rPr>
                <w:rFonts w:ascii="Arial" w:hAnsi="Arial" w:cs="Arial"/>
                <w:b/>
                <w:bCs/>
                <w:sz w:val="14"/>
                <w:szCs w:val="14"/>
              </w:rPr>
              <w:t>63.044</w:t>
            </w:r>
          </w:p>
        </w:tc>
        <w:tc>
          <w:tcPr>
            <w:tcW w:w="0" w:type="auto"/>
            <w:tcBorders>
              <w:top w:val="single" w:sz="4" w:space="0" w:color="auto"/>
              <w:left w:val="nil"/>
              <w:bottom w:val="single" w:sz="4" w:space="0" w:color="auto"/>
              <w:right w:val="nil"/>
            </w:tcBorders>
            <w:shd w:val="clear" w:color="auto" w:fill="auto"/>
            <w:noWrap/>
          </w:tcPr>
          <w:p w14:paraId="2A53E3B2" w14:textId="59435C06" w:rsidR="004A22E9" w:rsidRPr="004A22E9" w:rsidRDefault="004A22E9" w:rsidP="004A22E9">
            <w:pPr>
              <w:jc w:val="right"/>
              <w:rPr>
                <w:rFonts w:ascii="Arial" w:hAnsi="Arial" w:cs="Arial"/>
                <w:b/>
                <w:bCs/>
                <w:sz w:val="14"/>
                <w:szCs w:val="14"/>
                <w:lang w:eastAsia="es-AR"/>
              </w:rPr>
            </w:pPr>
            <w:r w:rsidRPr="004A22E9">
              <w:rPr>
                <w:rFonts w:ascii="Arial" w:hAnsi="Arial" w:cs="Arial"/>
                <w:b/>
                <w:bCs/>
                <w:sz w:val="14"/>
                <w:szCs w:val="14"/>
              </w:rPr>
              <w:t>13.248.</w:t>
            </w:r>
            <w:r w:rsidR="007C311B" w:rsidRPr="004A22E9">
              <w:rPr>
                <w:rFonts w:ascii="Arial" w:hAnsi="Arial" w:cs="Arial"/>
                <w:b/>
                <w:bCs/>
                <w:sz w:val="14"/>
                <w:szCs w:val="14"/>
              </w:rPr>
              <w:t>52</w:t>
            </w:r>
            <w:r w:rsidR="007C311B">
              <w:rPr>
                <w:rFonts w:ascii="Arial" w:hAnsi="Arial" w:cs="Arial"/>
                <w:b/>
                <w:bCs/>
                <w:sz w:val="14"/>
                <w:szCs w:val="14"/>
              </w:rPr>
              <w:t>3</w:t>
            </w:r>
          </w:p>
        </w:tc>
      </w:tr>
    </w:tbl>
    <w:p w14:paraId="03E83CA2" w14:textId="0E7B83D8" w:rsidR="00EA51F0" w:rsidRDefault="00EA51F0" w:rsidP="00831174">
      <w:pPr>
        <w:rPr>
          <w:sz w:val="20"/>
          <w:lang w:eastAsia="es-AR"/>
        </w:rPr>
      </w:pPr>
    </w:p>
    <w:p w14:paraId="7F6AD29D" w14:textId="1570B93F" w:rsidR="00EA51F0" w:rsidRPr="00701F32" w:rsidRDefault="00EA51F0" w:rsidP="00831174">
      <w:pPr>
        <w:rPr>
          <w:sz w:val="20"/>
          <w:lang w:eastAsia="es-AR"/>
        </w:rPr>
        <w:sectPr w:rsidR="00EA51F0" w:rsidRPr="00701F32" w:rsidSect="00B45138">
          <w:headerReference w:type="even" r:id="rId14"/>
          <w:headerReference w:type="default" r:id="rId15"/>
          <w:headerReference w:type="first" r:id="rId16"/>
          <w:pgSz w:w="16840" w:h="11907" w:orient="landscape" w:code="9"/>
          <w:pgMar w:top="1418" w:right="1701" w:bottom="1418" w:left="1701" w:header="567" w:footer="0" w:gutter="0"/>
          <w:paperSrc w:first="15" w:other="15"/>
          <w:pgNumType w:chapStyle="1"/>
          <w:cols w:space="720"/>
          <w:docGrid w:linePitch="326"/>
        </w:sectPr>
      </w:pPr>
    </w:p>
    <w:p w14:paraId="7A898DB3" w14:textId="77777777" w:rsidR="00593C40" w:rsidRPr="00593C40" w:rsidRDefault="008D71A1" w:rsidP="00A85819">
      <w:pPr>
        <w:rPr>
          <w:sz w:val="16"/>
          <w:szCs w:val="16"/>
          <w:lang w:eastAsia="es-AR"/>
        </w:rPr>
      </w:pPr>
      <w:r w:rsidRPr="00701F32">
        <w:rPr>
          <w:sz w:val="20"/>
          <w:lang w:eastAsia="es-AR"/>
        </w:rPr>
        <w:t xml:space="preserve"> </w:t>
      </w:r>
    </w:p>
    <w:tbl>
      <w:tblPr>
        <w:tblW w:w="4944" w:type="pct"/>
        <w:tblLayout w:type="fixed"/>
        <w:tblCellMar>
          <w:left w:w="70" w:type="dxa"/>
          <w:right w:w="70" w:type="dxa"/>
        </w:tblCellMar>
        <w:tblLook w:val="04A0" w:firstRow="1" w:lastRow="0" w:firstColumn="1" w:lastColumn="0" w:noHBand="0" w:noVBand="1"/>
      </w:tblPr>
      <w:tblGrid>
        <w:gridCol w:w="5568"/>
        <w:gridCol w:w="703"/>
        <w:gridCol w:w="1031"/>
        <w:gridCol w:w="1246"/>
      </w:tblGrid>
      <w:tr w:rsidR="00593C40" w:rsidRPr="002D55D1" w14:paraId="3F27A597" w14:textId="77777777" w:rsidTr="008647A4">
        <w:trPr>
          <w:trHeight w:val="390"/>
        </w:trPr>
        <w:tc>
          <w:tcPr>
            <w:tcW w:w="3257"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A0E123A" w14:textId="77777777" w:rsidR="00593C40" w:rsidRPr="002D55D1" w:rsidRDefault="00593C40" w:rsidP="00593C40">
            <w:pPr>
              <w:jc w:val="center"/>
              <w:rPr>
                <w:rFonts w:ascii="Arial" w:hAnsi="Arial" w:cs="Arial"/>
                <w:b/>
                <w:bCs/>
                <w:sz w:val="16"/>
                <w:szCs w:val="16"/>
                <w:lang w:eastAsia="es-AR"/>
              </w:rPr>
            </w:pPr>
            <w:bookmarkStart w:id="5" w:name="_Hlk23177184"/>
            <w:r w:rsidRPr="002D55D1">
              <w:rPr>
                <w:rFonts w:ascii="Arial" w:hAnsi="Arial" w:cs="Arial"/>
                <w:b/>
                <w:bCs/>
                <w:sz w:val="16"/>
                <w:szCs w:val="16"/>
                <w:lang w:eastAsia="es-AR"/>
              </w:rPr>
              <w:t>Conceptos</w:t>
            </w:r>
          </w:p>
        </w:tc>
        <w:tc>
          <w:tcPr>
            <w:tcW w:w="411" w:type="pct"/>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58DDFAD5" w14:textId="77777777" w:rsidR="00593C40" w:rsidRPr="002D55D1" w:rsidRDefault="00593C40" w:rsidP="00593C40">
            <w:pPr>
              <w:jc w:val="center"/>
              <w:rPr>
                <w:rFonts w:ascii="Arial" w:hAnsi="Arial" w:cs="Arial"/>
                <w:b/>
                <w:bCs/>
                <w:sz w:val="16"/>
                <w:szCs w:val="16"/>
                <w:lang w:eastAsia="es-AR"/>
              </w:rPr>
            </w:pPr>
            <w:r w:rsidRPr="002D55D1">
              <w:rPr>
                <w:rFonts w:ascii="Arial" w:hAnsi="Arial" w:cs="Arial"/>
                <w:b/>
                <w:bCs/>
                <w:sz w:val="16"/>
                <w:szCs w:val="16"/>
                <w:lang w:eastAsia="es-AR"/>
              </w:rPr>
              <w:t>Notas</w:t>
            </w:r>
          </w:p>
        </w:tc>
        <w:tc>
          <w:tcPr>
            <w:tcW w:w="603" w:type="pct"/>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56ECAD52" w14:textId="59AD1B75" w:rsidR="00593C40" w:rsidRPr="002D55D1" w:rsidRDefault="009C5DAE" w:rsidP="009C5DAE">
            <w:pPr>
              <w:jc w:val="center"/>
              <w:rPr>
                <w:rFonts w:ascii="Arial" w:hAnsi="Arial" w:cs="Arial"/>
                <w:b/>
                <w:bCs/>
                <w:sz w:val="16"/>
                <w:szCs w:val="16"/>
                <w:lang w:eastAsia="es-AR"/>
              </w:rPr>
            </w:pPr>
            <w:r>
              <w:rPr>
                <w:rFonts w:ascii="Arial" w:hAnsi="Arial" w:cs="Arial"/>
                <w:b/>
                <w:bCs/>
                <w:sz w:val="16"/>
                <w:szCs w:val="16"/>
                <w:lang w:eastAsia="es-AR"/>
              </w:rPr>
              <w:t>3</w:t>
            </w:r>
            <w:r w:rsidR="00F87BE3">
              <w:rPr>
                <w:rFonts w:ascii="Arial" w:hAnsi="Arial" w:cs="Arial"/>
                <w:b/>
                <w:bCs/>
                <w:sz w:val="16"/>
                <w:szCs w:val="16"/>
                <w:lang w:eastAsia="es-AR"/>
              </w:rPr>
              <w:t>1</w:t>
            </w:r>
            <w:r w:rsidR="00593C40" w:rsidRPr="002D55D1">
              <w:rPr>
                <w:rFonts w:ascii="Arial" w:hAnsi="Arial" w:cs="Arial"/>
                <w:b/>
                <w:bCs/>
                <w:sz w:val="16"/>
                <w:szCs w:val="16"/>
                <w:lang w:eastAsia="es-AR"/>
              </w:rPr>
              <w:t>/</w:t>
            </w:r>
            <w:r w:rsidR="00F87BE3">
              <w:rPr>
                <w:rFonts w:ascii="Arial" w:hAnsi="Arial" w:cs="Arial"/>
                <w:b/>
                <w:bCs/>
                <w:sz w:val="16"/>
                <w:szCs w:val="16"/>
                <w:lang w:eastAsia="es-AR"/>
              </w:rPr>
              <w:t>12</w:t>
            </w:r>
            <w:r w:rsidR="00593C40" w:rsidRPr="002D55D1">
              <w:rPr>
                <w:rFonts w:ascii="Arial" w:hAnsi="Arial" w:cs="Arial"/>
                <w:b/>
                <w:bCs/>
                <w:sz w:val="16"/>
                <w:szCs w:val="16"/>
                <w:lang w:eastAsia="es-AR"/>
              </w:rPr>
              <w:t>/201</w:t>
            </w:r>
            <w:r w:rsidR="001604C8">
              <w:rPr>
                <w:rFonts w:ascii="Arial" w:hAnsi="Arial" w:cs="Arial"/>
                <w:b/>
                <w:bCs/>
                <w:sz w:val="16"/>
                <w:szCs w:val="16"/>
                <w:lang w:eastAsia="es-AR"/>
              </w:rPr>
              <w:t>9</w:t>
            </w:r>
          </w:p>
        </w:tc>
        <w:tc>
          <w:tcPr>
            <w:tcW w:w="729" w:type="pct"/>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50C20ADD" w14:textId="6A231CB2" w:rsidR="00593C40" w:rsidRPr="002D55D1" w:rsidRDefault="00593C40" w:rsidP="009C5DAE">
            <w:pPr>
              <w:jc w:val="center"/>
              <w:rPr>
                <w:rFonts w:ascii="Arial" w:hAnsi="Arial" w:cs="Arial"/>
                <w:b/>
                <w:bCs/>
                <w:sz w:val="16"/>
                <w:szCs w:val="16"/>
                <w:lang w:eastAsia="es-AR"/>
              </w:rPr>
            </w:pPr>
            <w:r w:rsidRPr="002D55D1">
              <w:rPr>
                <w:rFonts w:ascii="Arial" w:hAnsi="Arial" w:cs="Arial"/>
                <w:b/>
                <w:bCs/>
                <w:sz w:val="16"/>
                <w:szCs w:val="16"/>
                <w:lang w:eastAsia="es-AR"/>
              </w:rPr>
              <w:t>3</w:t>
            </w:r>
            <w:r w:rsidR="00F87BE3">
              <w:rPr>
                <w:rFonts w:ascii="Arial" w:hAnsi="Arial" w:cs="Arial"/>
                <w:b/>
                <w:bCs/>
                <w:sz w:val="16"/>
                <w:szCs w:val="16"/>
                <w:lang w:eastAsia="es-AR"/>
              </w:rPr>
              <w:t>1</w:t>
            </w:r>
            <w:r w:rsidRPr="002D55D1">
              <w:rPr>
                <w:rFonts w:ascii="Arial" w:hAnsi="Arial" w:cs="Arial"/>
                <w:b/>
                <w:bCs/>
                <w:sz w:val="16"/>
                <w:szCs w:val="16"/>
                <w:lang w:eastAsia="es-AR"/>
              </w:rPr>
              <w:t>/</w:t>
            </w:r>
            <w:r w:rsidR="00F87BE3">
              <w:rPr>
                <w:rFonts w:ascii="Arial" w:hAnsi="Arial" w:cs="Arial"/>
                <w:b/>
                <w:bCs/>
                <w:sz w:val="16"/>
                <w:szCs w:val="16"/>
                <w:lang w:eastAsia="es-AR"/>
              </w:rPr>
              <w:t>12</w:t>
            </w:r>
            <w:r w:rsidRPr="002D55D1">
              <w:rPr>
                <w:rFonts w:ascii="Arial" w:hAnsi="Arial" w:cs="Arial"/>
                <w:b/>
                <w:bCs/>
                <w:sz w:val="16"/>
                <w:szCs w:val="16"/>
                <w:lang w:eastAsia="es-AR"/>
              </w:rPr>
              <w:t>/</w:t>
            </w:r>
            <w:r w:rsidR="001604C8" w:rsidRPr="002D55D1">
              <w:rPr>
                <w:rFonts w:ascii="Arial" w:hAnsi="Arial" w:cs="Arial"/>
                <w:b/>
                <w:bCs/>
                <w:sz w:val="16"/>
                <w:szCs w:val="16"/>
                <w:lang w:eastAsia="es-AR"/>
              </w:rPr>
              <w:t>201</w:t>
            </w:r>
            <w:r w:rsidR="001604C8">
              <w:rPr>
                <w:rFonts w:ascii="Arial" w:hAnsi="Arial" w:cs="Arial"/>
                <w:b/>
                <w:bCs/>
                <w:sz w:val="16"/>
                <w:szCs w:val="16"/>
                <w:lang w:eastAsia="es-AR"/>
              </w:rPr>
              <w:t>8</w:t>
            </w:r>
          </w:p>
        </w:tc>
      </w:tr>
      <w:tr w:rsidR="00593C40" w:rsidRPr="002D55D1" w14:paraId="6D9FF518" w14:textId="77777777" w:rsidTr="008647A4">
        <w:trPr>
          <w:trHeight w:val="285"/>
        </w:trPr>
        <w:tc>
          <w:tcPr>
            <w:tcW w:w="3257" w:type="pct"/>
            <w:tcBorders>
              <w:top w:val="nil"/>
              <w:left w:val="nil"/>
              <w:bottom w:val="nil"/>
              <w:right w:val="nil"/>
            </w:tcBorders>
            <w:shd w:val="clear" w:color="auto" w:fill="auto"/>
            <w:hideMark/>
          </w:tcPr>
          <w:p w14:paraId="6F085B82" w14:textId="77777777" w:rsidR="00593C40" w:rsidRPr="002D55D1" w:rsidRDefault="00593C40" w:rsidP="00593C40">
            <w:pPr>
              <w:rPr>
                <w:rFonts w:ascii="Arial" w:hAnsi="Arial" w:cs="Arial"/>
                <w:b/>
                <w:bCs/>
                <w:sz w:val="16"/>
                <w:szCs w:val="16"/>
                <w:lang w:eastAsia="es-AR"/>
              </w:rPr>
            </w:pPr>
            <w:r w:rsidRPr="002D55D1">
              <w:rPr>
                <w:rFonts w:ascii="Arial" w:hAnsi="Arial" w:cs="Arial"/>
                <w:b/>
                <w:bCs/>
                <w:sz w:val="16"/>
                <w:szCs w:val="16"/>
                <w:lang w:eastAsia="es-AR"/>
              </w:rPr>
              <w:t>FLUJOS DE EFECTIVO DE LAS ACTIVIDADES OPERATIVAS</w:t>
            </w:r>
          </w:p>
        </w:tc>
        <w:tc>
          <w:tcPr>
            <w:tcW w:w="411" w:type="pct"/>
            <w:tcBorders>
              <w:top w:val="nil"/>
              <w:left w:val="nil"/>
              <w:bottom w:val="nil"/>
              <w:right w:val="nil"/>
            </w:tcBorders>
            <w:shd w:val="clear" w:color="auto" w:fill="auto"/>
            <w:noWrap/>
            <w:hideMark/>
          </w:tcPr>
          <w:p w14:paraId="2EAB7946" w14:textId="77777777" w:rsidR="00593C40" w:rsidRPr="002D55D1" w:rsidRDefault="00593C40" w:rsidP="00593C40">
            <w:pPr>
              <w:jc w:val="center"/>
              <w:rPr>
                <w:rFonts w:ascii="Arial" w:hAnsi="Arial" w:cs="Arial"/>
                <w:sz w:val="16"/>
                <w:szCs w:val="16"/>
                <w:lang w:eastAsia="es-AR"/>
              </w:rPr>
            </w:pPr>
            <w:r w:rsidRPr="002D55D1">
              <w:rPr>
                <w:rFonts w:ascii="Arial" w:hAnsi="Arial" w:cs="Arial"/>
                <w:sz w:val="16"/>
                <w:szCs w:val="16"/>
                <w:lang w:eastAsia="es-AR"/>
              </w:rPr>
              <w:t> </w:t>
            </w:r>
          </w:p>
        </w:tc>
        <w:tc>
          <w:tcPr>
            <w:tcW w:w="603" w:type="pct"/>
            <w:tcBorders>
              <w:top w:val="nil"/>
              <w:left w:val="nil"/>
              <w:bottom w:val="nil"/>
              <w:right w:val="nil"/>
            </w:tcBorders>
            <w:shd w:val="clear" w:color="auto" w:fill="auto"/>
            <w:noWrap/>
          </w:tcPr>
          <w:p w14:paraId="03582D67" w14:textId="42B76A71" w:rsidR="00593C40" w:rsidRPr="002D55D1" w:rsidRDefault="00593C40" w:rsidP="00534414">
            <w:pPr>
              <w:jc w:val="right"/>
              <w:rPr>
                <w:rFonts w:ascii="Arial" w:hAnsi="Arial" w:cs="Arial"/>
                <w:sz w:val="16"/>
                <w:szCs w:val="16"/>
                <w:lang w:eastAsia="es-AR"/>
              </w:rPr>
            </w:pPr>
          </w:p>
        </w:tc>
        <w:tc>
          <w:tcPr>
            <w:tcW w:w="729" w:type="pct"/>
            <w:tcBorders>
              <w:top w:val="nil"/>
              <w:left w:val="nil"/>
              <w:bottom w:val="nil"/>
              <w:right w:val="nil"/>
            </w:tcBorders>
            <w:shd w:val="clear" w:color="auto" w:fill="auto"/>
            <w:noWrap/>
          </w:tcPr>
          <w:p w14:paraId="68D27A05" w14:textId="42CC8044" w:rsidR="00593C40" w:rsidRPr="002D55D1" w:rsidRDefault="00593C40" w:rsidP="00534414">
            <w:pPr>
              <w:jc w:val="right"/>
              <w:rPr>
                <w:rFonts w:ascii="Arial" w:hAnsi="Arial" w:cs="Arial"/>
                <w:sz w:val="16"/>
                <w:szCs w:val="16"/>
                <w:lang w:eastAsia="es-AR"/>
              </w:rPr>
            </w:pPr>
          </w:p>
        </w:tc>
      </w:tr>
      <w:tr w:rsidR="00593C40" w:rsidRPr="002D55D1" w14:paraId="41FD6DBF" w14:textId="77777777" w:rsidTr="005A1F48">
        <w:trPr>
          <w:trHeight w:val="113"/>
        </w:trPr>
        <w:tc>
          <w:tcPr>
            <w:tcW w:w="3257" w:type="pct"/>
            <w:tcBorders>
              <w:top w:val="nil"/>
              <w:left w:val="nil"/>
              <w:bottom w:val="nil"/>
              <w:right w:val="nil"/>
            </w:tcBorders>
            <w:shd w:val="clear" w:color="auto" w:fill="auto"/>
            <w:hideMark/>
          </w:tcPr>
          <w:p w14:paraId="2C8A8D69" w14:textId="77777777" w:rsidR="00593C40" w:rsidRPr="002D55D1" w:rsidRDefault="00593C40" w:rsidP="00593C40">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5A5FBA01" w14:textId="77777777" w:rsidR="00593C40" w:rsidRPr="002D55D1" w:rsidRDefault="00593C40" w:rsidP="00593C40">
            <w:pPr>
              <w:rPr>
                <w:rFonts w:ascii="Arial" w:hAnsi="Arial" w:cs="Arial"/>
                <w:sz w:val="10"/>
                <w:szCs w:val="10"/>
                <w:lang w:eastAsia="es-AR"/>
              </w:rPr>
            </w:pPr>
          </w:p>
        </w:tc>
        <w:tc>
          <w:tcPr>
            <w:tcW w:w="603" w:type="pct"/>
            <w:tcBorders>
              <w:top w:val="nil"/>
              <w:left w:val="nil"/>
              <w:bottom w:val="nil"/>
              <w:right w:val="nil"/>
            </w:tcBorders>
            <w:shd w:val="clear" w:color="auto" w:fill="auto"/>
            <w:hideMark/>
          </w:tcPr>
          <w:p w14:paraId="256F8F6F" w14:textId="77777777" w:rsidR="00593C40" w:rsidRPr="002D55D1" w:rsidRDefault="00593C40" w:rsidP="00593C40">
            <w:pPr>
              <w:jc w:val="center"/>
              <w:rPr>
                <w:rFonts w:ascii="Arial" w:hAnsi="Arial" w:cs="Arial"/>
                <w:sz w:val="10"/>
                <w:szCs w:val="10"/>
                <w:lang w:eastAsia="es-AR"/>
              </w:rPr>
            </w:pPr>
          </w:p>
        </w:tc>
        <w:tc>
          <w:tcPr>
            <w:tcW w:w="729" w:type="pct"/>
            <w:tcBorders>
              <w:top w:val="nil"/>
              <w:left w:val="nil"/>
              <w:bottom w:val="nil"/>
              <w:right w:val="nil"/>
            </w:tcBorders>
            <w:shd w:val="clear" w:color="auto" w:fill="auto"/>
            <w:hideMark/>
          </w:tcPr>
          <w:p w14:paraId="43DE4B59" w14:textId="77777777" w:rsidR="00593C40" w:rsidRPr="002D55D1" w:rsidRDefault="00593C40" w:rsidP="00593C40">
            <w:pPr>
              <w:jc w:val="right"/>
              <w:rPr>
                <w:rFonts w:ascii="Arial" w:hAnsi="Arial" w:cs="Arial"/>
                <w:sz w:val="10"/>
                <w:szCs w:val="10"/>
                <w:lang w:eastAsia="es-AR"/>
              </w:rPr>
            </w:pPr>
          </w:p>
        </w:tc>
      </w:tr>
      <w:tr w:rsidR="00415AF0" w:rsidRPr="002D55D1" w14:paraId="6EF13984" w14:textId="77777777" w:rsidTr="00AA5BDF">
        <w:trPr>
          <w:trHeight w:val="285"/>
        </w:trPr>
        <w:tc>
          <w:tcPr>
            <w:tcW w:w="3257" w:type="pct"/>
            <w:tcBorders>
              <w:top w:val="nil"/>
              <w:left w:val="nil"/>
              <w:bottom w:val="nil"/>
              <w:right w:val="nil"/>
            </w:tcBorders>
            <w:shd w:val="clear" w:color="auto" w:fill="auto"/>
            <w:vAlign w:val="center"/>
            <w:hideMark/>
          </w:tcPr>
          <w:p w14:paraId="32681F1D" w14:textId="7CBDC025" w:rsidR="00415AF0" w:rsidRPr="002D55D1" w:rsidRDefault="00415AF0" w:rsidP="00CD2AEF">
            <w:pPr>
              <w:rPr>
                <w:rFonts w:ascii="Arial" w:hAnsi="Arial" w:cs="Arial"/>
                <w:b/>
                <w:bCs/>
                <w:sz w:val="16"/>
                <w:szCs w:val="16"/>
                <w:lang w:eastAsia="es-AR"/>
              </w:rPr>
            </w:pPr>
            <w:r w:rsidRPr="002D55D1">
              <w:rPr>
                <w:rFonts w:ascii="Arial" w:hAnsi="Arial" w:cs="Arial"/>
                <w:b/>
                <w:bCs/>
                <w:sz w:val="16"/>
                <w:szCs w:val="16"/>
                <w:lang w:eastAsia="es-AR"/>
              </w:rPr>
              <w:t xml:space="preserve">Resultado del </w:t>
            </w:r>
            <w:r w:rsidR="00F87BE3">
              <w:rPr>
                <w:rFonts w:ascii="Arial" w:hAnsi="Arial" w:cs="Arial"/>
                <w:b/>
                <w:bCs/>
                <w:sz w:val="16"/>
                <w:szCs w:val="16"/>
                <w:lang w:eastAsia="es-AR"/>
              </w:rPr>
              <w:t>ejercicio</w:t>
            </w:r>
            <w:r w:rsidRPr="002D55D1">
              <w:rPr>
                <w:rFonts w:ascii="Arial" w:hAnsi="Arial" w:cs="Arial"/>
                <w:b/>
                <w:bCs/>
                <w:sz w:val="16"/>
                <w:szCs w:val="16"/>
                <w:lang w:eastAsia="es-AR"/>
              </w:rPr>
              <w:t xml:space="preserve"> antes del Impuesto a las Ganancias</w:t>
            </w:r>
          </w:p>
        </w:tc>
        <w:tc>
          <w:tcPr>
            <w:tcW w:w="411" w:type="pct"/>
            <w:tcBorders>
              <w:top w:val="nil"/>
              <w:left w:val="nil"/>
              <w:bottom w:val="nil"/>
              <w:right w:val="nil"/>
            </w:tcBorders>
            <w:shd w:val="clear" w:color="auto" w:fill="auto"/>
            <w:hideMark/>
          </w:tcPr>
          <w:p w14:paraId="5F7E767F" w14:textId="77777777" w:rsidR="00415AF0" w:rsidRPr="002D55D1" w:rsidRDefault="00415AF0" w:rsidP="00415AF0">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1194D39C" w14:textId="372AD861" w:rsidR="00415AF0" w:rsidRPr="00593C40" w:rsidRDefault="00262EFB" w:rsidP="00AA5BDF">
            <w:pPr>
              <w:jc w:val="right"/>
              <w:rPr>
                <w:rFonts w:ascii="Arial" w:hAnsi="Arial" w:cs="Arial"/>
                <w:sz w:val="16"/>
                <w:szCs w:val="16"/>
                <w:lang w:eastAsia="es-AR"/>
              </w:rPr>
            </w:pPr>
            <w:r w:rsidRPr="00262EFB">
              <w:rPr>
                <w:rFonts w:ascii="Arial" w:hAnsi="Arial" w:cs="Arial"/>
                <w:sz w:val="16"/>
                <w:szCs w:val="16"/>
                <w:lang w:eastAsia="es-AR"/>
              </w:rPr>
              <w:t>2.188.096</w:t>
            </w:r>
          </w:p>
        </w:tc>
        <w:tc>
          <w:tcPr>
            <w:tcW w:w="729" w:type="pct"/>
            <w:tcBorders>
              <w:top w:val="nil"/>
              <w:left w:val="nil"/>
              <w:bottom w:val="nil"/>
              <w:right w:val="nil"/>
            </w:tcBorders>
            <w:shd w:val="clear" w:color="auto" w:fill="auto"/>
            <w:vAlign w:val="bottom"/>
          </w:tcPr>
          <w:p w14:paraId="1586C99D" w14:textId="5C448893" w:rsidR="00415AF0" w:rsidRPr="00593C40" w:rsidRDefault="00A81B86" w:rsidP="00AA5BDF">
            <w:pPr>
              <w:jc w:val="right"/>
              <w:rPr>
                <w:rFonts w:ascii="Arial" w:hAnsi="Arial" w:cs="Arial"/>
                <w:sz w:val="16"/>
                <w:szCs w:val="16"/>
                <w:lang w:eastAsia="es-AR"/>
              </w:rPr>
            </w:pPr>
            <w:r>
              <w:rPr>
                <w:rFonts w:ascii="Arial" w:hAnsi="Arial" w:cs="Arial"/>
                <w:sz w:val="16"/>
                <w:szCs w:val="16"/>
                <w:lang w:eastAsia="es-AR"/>
              </w:rPr>
              <w:t>2.050.507</w:t>
            </w:r>
          </w:p>
        </w:tc>
      </w:tr>
      <w:tr w:rsidR="00415AF0" w:rsidRPr="00593C40" w14:paraId="1205AD40" w14:textId="77777777" w:rsidTr="00AA5BDF">
        <w:trPr>
          <w:trHeight w:val="121"/>
        </w:trPr>
        <w:tc>
          <w:tcPr>
            <w:tcW w:w="3257" w:type="pct"/>
            <w:tcBorders>
              <w:top w:val="nil"/>
              <w:left w:val="nil"/>
              <w:bottom w:val="nil"/>
              <w:right w:val="nil"/>
            </w:tcBorders>
            <w:shd w:val="clear" w:color="auto" w:fill="auto"/>
            <w:vAlign w:val="center"/>
            <w:hideMark/>
          </w:tcPr>
          <w:p w14:paraId="3738609C" w14:textId="77777777" w:rsidR="00415AF0" w:rsidRPr="00593C40" w:rsidRDefault="00415AF0" w:rsidP="00CD2AEF">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08DF0AA1" w14:textId="77777777" w:rsidR="00415AF0" w:rsidRPr="00593C40" w:rsidRDefault="00415AF0" w:rsidP="00415AF0">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6FA780AD" w14:textId="77777777" w:rsidR="00415AF0" w:rsidRPr="00593C40" w:rsidRDefault="00415AF0" w:rsidP="00AA5BDF">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080063EA" w14:textId="77777777" w:rsidR="00415AF0" w:rsidRPr="00593C40" w:rsidRDefault="00415AF0" w:rsidP="00AA5BDF">
            <w:pPr>
              <w:jc w:val="right"/>
              <w:rPr>
                <w:rFonts w:ascii="Arial" w:hAnsi="Arial" w:cs="Arial"/>
                <w:sz w:val="10"/>
                <w:szCs w:val="10"/>
                <w:lang w:eastAsia="es-AR"/>
              </w:rPr>
            </w:pPr>
          </w:p>
        </w:tc>
      </w:tr>
      <w:tr w:rsidR="00415AF0" w:rsidRPr="002D55D1" w14:paraId="5F025878" w14:textId="77777777" w:rsidTr="00AA5BDF">
        <w:trPr>
          <w:trHeight w:val="293"/>
        </w:trPr>
        <w:tc>
          <w:tcPr>
            <w:tcW w:w="3257" w:type="pct"/>
            <w:tcBorders>
              <w:top w:val="nil"/>
              <w:left w:val="nil"/>
              <w:bottom w:val="nil"/>
              <w:right w:val="nil"/>
            </w:tcBorders>
            <w:shd w:val="clear" w:color="auto" w:fill="auto"/>
            <w:vAlign w:val="center"/>
            <w:hideMark/>
          </w:tcPr>
          <w:p w14:paraId="7ED42E4A" w14:textId="77777777" w:rsidR="00415AF0" w:rsidRPr="002D55D1" w:rsidRDefault="00415AF0" w:rsidP="00CD2AEF">
            <w:pPr>
              <w:rPr>
                <w:rFonts w:ascii="Arial" w:hAnsi="Arial" w:cs="Arial"/>
                <w:b/>
                <w:bCs/>
                <w:sz w:val="16"/>
                <w:szCs w:val="16"/>
                <w:lang w:eastAsia="es-AR"/>
              </w:rPr>
            </w:pPr>
            <w:r w:rsidRPr="002D55D1">
              <w:rPr>
                <w:rFonts w:ascii="Arial" w:hAnsi="Arial" w:cs="Arial"/>
                <w:b/>
                <w:bCs/>
                <w:sz w:val="16"/>
                <w:szCs w:val="16"/>
                <w:lang w:eastAsia="es-AR"/>
              </w:rPr>
              <w:t>Ajustes para obtener los flujos provenientes de actividades operativas:</w:t>
            </w:r>
          </w:p>
        </w:tc>
        <w:tc>
          <w:tcPr>
            <w:tcW w:w="411" w:type="pct"/>
            <w:tcBorders>
              <w:top w:val="nil"/>
              <w:left w:val="nil"/>
              <w:bottom w:val="nil"/>
              <w:right w:val="nil"/>
            </w:tcBorders>
            <w:shd w:val="clear" w:color="auto" w:fill="auto"/>
            <w:hideMark/>
          </w:tcPr>
          <w:p w14:paraId="2D00B602" w14:textId="77777777" w:rsidR="00415AF0" w:rsidRPr="002D55D1" w:rsidRDefault="00415AF0" w:rsidP="00415AF0">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0F533E93" w14:textId="77777777" w:rsidR="00415AF0" w:rsidRPr="00593C40" w:rsidRDefault="00415AF0" w:rsidP="00AA5BDF">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07944AB3" w14:textId="77777777" w:rsidR="00415AF0" w:rsidRPr="00593C40" w:rsidRDefault="00415AF0" w:rsidP="00AA5BDF">
            <w:pPr>
              <w:jc w:val="right"/>
              <w:rPr>
                <w:rFonts w:ascii="Arial" w:hAnsi="Arial" w:cs="Arial"/>
                <w:sz w:val="16"/>
                <w:szCs w:val="16"/>
                <w:lang w:eastAsia="es-AR"/>
              </w:rPr>
            </w:pPr>
          </w:p>
        </w:tc>
      </w:tr>
      <w:tr w:rsidR="006559E7" w:rsidRPr="002D55D1" w14:paraId="48CDEC7E" w14:textId="77777777" w:rsidTr="00AA5BDF">
        <w:trPr>
          <w:trHeight w:val="285"/>
        </w:trPr>
        <w:tc>
          <w:tcPr>
            <w:tcW w:w="3257" w:type="pct"/>
            <w:tcBorders>
              <w:top w:val="nil"/>
              <w:left w:val="nil"/>
              <w:bottom w:val="nil"/>
              <w:right w:val="nil"/>
            </w:tcBorders>
            <w:shd w:val="clear" w:color="auto" w:fill="auto"/>
            <w:vAlign w:val="center"/>
            <w:hideMark/>
          </w:tcPr>
          <w:p w14:paraId="7808CA35" w14:textId="77777777" w:rsidR="006559E7" w:rsidRPr="002D55D1" w:rsidRDefault="006559E7" w:rsidP="006559E7">
            <w:pPr>
              <w:ind w:firstLineChars="100" w:firstLine="160"/>
              <w:rPr>
                <w:rFonts w:ascii="Arial" w:hAnsi="Arial" w:cs="Arial"/>
                <w:sz w:val="16"/>
                <w:szCs w:val="16"/>
                <w:lang w:eastAsia="es-AR"/>
              </w:rPr>
            </w:pPr>
            <w:r w:rsidRPr="002D55D1">
              <w:rPr>
                <w:rFonts w:ascii="Arial" w:hAnsi="Arial" w:cs="Arial"/>
                <w:sz w:val="16"/>
                <w:szCs w:val="16"/>
                <w:lang w:eastAsia="es-AR"/>
              </w:rPr>
              <w:t>Amortizaciones y desvalorizaciones</w:t>
            </w:r>
          </w:p>
        </w:tc>
        <w:tc>
          <w:tcPr>
            <w:tcW w:w="411" w:type="pct"/>
            <w:tcBorders>
              <w:top w:val="nil"/>
              <w:left w:val="nil"/>
              <w:bottom w:val="nil"/>
              <w:right w:val="nil"/>
            </w:tcBorders>
            <w:shd w:val="clear" w:color="auto" w:fill="auto"/>
            <w:hideMark/>
          </w:tcPr>
          <w:p w14:paraId="04425290" w14:textId="4B0FE11D" w:rsidR="006559E7" w:rsidRPr="002D55D1" w:rsidRDefault="006559E7" w:rsidP="006559E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F6602CD" w14:textId="1E466626" w:rsidR="006559E7" w:rsidRPr="00593C40" w:rsidRDefault="00676628" w:rsidP="00AA5BDF">
            <w:pPr>
              <w:jc w:val="right"/>
              <w:rPr>
                <w:rFonts w:ascii="Arial" w:hAnsi="Arial" w:cs="Arial"/>
                <w:sz w:val="16"/>
                <w:szCs w:val="16"/>
                <w:lang w:eastAsia="es-AR"/>
              </w:rPr>
            </w:pPr>
            <w:r w:rsidRPr="00676628">
              <w:rPr>
                <w:rFonts w:ascii="Arial" w:hAnsi="Arial" w:cs="Arial"/>
                <w:sz w:val="16"/>
                <w:szCs w:val="16"/>
                <w:lang w:eastAsia="es-AR"/>
              </w:rPr>
              <w:t xml:space="preserve">849.891 </w:t>
            </w:r>
          </w:p>
        </w:tc>
        <w:tc>
          <w:tcPr>
            <w:tcW w:w="729" w:type="pct"/>
            <w:tcBorders>
              <w:top w:val="nil"/>
              <w:left w:val="nil"/>
              <w:bottom w:val="nil"/>
              <w:right w:val="nil"/>
            </w:tcBorders>
            <w:shd w:val="clear" w:color="auto" w:fill="auto"/>
            <w:vAlign w:val="bottom"/>
          </w:tcPr>
          <w:p w14:paraId="07865DEC" w14:textId="2889446E" w:rsidR="006559E7" w:rsidRPr="00593C40" w:rsidRDefault="00A45C21" w:rsidP="00AA5BDF">
            <w:pPr>
              <w:jc w:val="right"/>
              <w:rPr>
                <w:rFonts w:ascii="Arial" w:hAnsi="Arial" w:cs="Arial"/>
                <w:sz w:val="16"/>
                <w:szCs w:val="16"/>
                <w:lang w:eastAsia="es-AR"/>
              </w:rPr>
            </w:pPr>
            <w:r>
              <w:rPr>
                <w:rFonts w:ascii="Arial" w:hAnsi="Arial" w:cs="Arial"/>
                <w:sz w:val="16"/>
                <w:szCs w:val="16"/>
                <w:lang w:eastAsia="es-AR"/>
              </w:rPr>
              <w:t>325.042</w:t>
            </w:r>
          </w:p>
        </w:tc>
      </w:tr>
      <w:tr w:rsidR="006559E7" w:rsidRPr="002D55D1" w14:paraId="785A662A" w14:textId="77777777" w:rsidTr="00AA5BDF">
        <w:trPr>
          <w:trHeight w:val="285"/>
        </w:trPr>
        <w:tc>
          <w:tcPr>
            <w:tcW w:w="3257" w:type="pct"/>
            <w:tcBorders>
              <w:top w:val="nil"/>
              <w:left w:val="nil"/>
              <w:bottom w:val="nil"/>
              <w:right w:val="nil"/>
            </w:tcBorders>
            <w:shd w:val="clear" w:color="auto" w:fill="auto"/>
            <w:vAlign w:val="center"/>
            <w:hideMark/>
          </w:tcPr>
          <w:p w14:paraId="1EF67BBC" w14:textId="77777777" w:rsidR="006559E7" w:rsidRPr="002D55D1" w:rsidRDefault="006559E7" w:rsidP="006559E7">
            <w:pPr>
              <w:ind w:firstLineChars="100" w:firstLine="160"/>
              <w:rPr>
                <w:rFonts w:ascii="Arial" w:hAnsi="Arial" w:cs="Arial"/>
                <w:sz w:val="16"/>
                <w:szCs w:val="16"/>
                <w:lang w:eastAsia="es-AR"/>
              </w:rPr>
            </w:pPr>
            <w:r w:rsidRPr="002D55D1">
              <w:rPr>
                <w:rFonts w:ascii="Arial" w:hAnsi="Arial" w:cs="Arial"/>
                <w:sz w:val="16"/>
                <w:szCs w:val="16"/>
                <w:lang w:eastAsia="es-AR"/>
              </w:rPr>
              <w:t>Cargo por incobrabilidad</w:t>
            </w:r>
          </w:p>
        </w:tc>
        <w:tc>
          <w:tcPr>
            <w:tcW w:w="411" w:type="pct"/>
            <w:tcBorders>
              <w:top w:val="nil"/>
              <w:left w:val="nil"/>
              <w:bottom w:val="nil"/>
              <w:right w:val="nil"/>
            </w:tcBorders>
            <w:shd w:val="clear" w:color="auto" w:fill="auto"/>
            <w:hideMark/>
          </w:tcPr>
          <w:p w14:paraId="70F5AC97" w14:textId="77777777" w:rsidR="006559E7" w:rsidRPr="002D55D1" w:rsidRDefault="006559E7" w:rsidP="006559E7">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BEB2022" w14:textId="4E062542" w:rsidR="006559E7"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6.395.420</w:t>
            </w:r>
          </w:p>
        </w:tc>
        <w:tc>
          <w:tcPr>
            <w:tcW w:w="729" w:type="pct"/>
            <w:tcBorders>
              <w:top w:val="nil"/>
              <w:left w:val="nil"/>
              <w:bottom w:val="nil"/>
              <w:right w:val="nil"/>
            </w:tcBorders>
            <w:shd w:val="clear" w:color="auto" w:fill="auto"/>
            <w:vAlign w:val="bottom"/>
          </w:tcPr>
          <w:p w14:paraId="263C74D2" w14:textId="70AD94C0" w:rsidR="006559E7" w:rsidRPr="00593C40" w:rsidRDefault="00A81B86" w:rsidP="00AA5BDF">
            <w:pPr>
              <w:jc w:val="right"/>
              <w:rPr>
                <w:rFonts w:ascii="Arial" w:hAnsi="Arial" w:cs="Arial"/>
                <w:sz w:val="16"/>
                <w:szCs w:val="16"/>
                <w:lang w:eastAsia="es-AR"/>
              </w:rPr>
            </w:pPr>
            <w:r>
              <w:rPr>
                <w:rFonts w:ascii="Arial" w:hAnsi="Arial" w:cs="Arial"/>
                <w:sz w:val="16"/>
                <w:szCs w:val="16"/>
                <w:lang w:eastAsia="es-AR"/>
              </w:rPr>
              <w:t>3.954.802</w:t>
            </w:r>
          </w:p>
        </w:tc>
      </w:tr>
      <w:tr w:rsidR="006F757F" w:rsidRPr="002D55D1" w14:paraId="766A4135" w14:textId="77777777" w:rsidTr="00AA5BDF">
        <w:trPr>
          <w:trHeight w:val="285"/>
        </w:trPr>
        <w:tc>
          <w:tcPr>
            <w:tcW w:w="3257" w:type="pct"/>
            <w:tcBorders>
              <w:top w:val="nil"/>
              <w:left w:val="nil"/>
              <w:bottom w:val="nil"/>
              <w:right w:val="nil"/>
            </w:tcBorders>
            <w:shd w:val="clear" w:color="auto" w:fill="auto"/>
            <w:vAlign w:val="center"/>
          </w:tcPr>
          <w:p w14:paraId="0856943B" w14:textId="78A131D4" w:rsidR="006F757F" w:rsidRPr="002D55D1" w:rsidRDefault="006F757F" w:rsidP="00CD2AEF">
            <w:pPr>
              <w:ind w:firstLineChars="100" w:firstLine="160"/>
              <w:rPr>
                <w:rFonts w:ascii="Arial" w:hAnsi="Arial" w:cs="Arial"/>
                <w:sz w:val="16"/>
                <w:szCs w:val="16"/>
                <w:lang w:eastAsia="es-AR"/>
              </w:rPr>
            </w:pPr>
            <w:r w:rsidRPr="006F757F">
              <w:rPr>
                <w:rFonts w:ascii="Arial" w:hAnsi="Arial" w:cs="Arial"/>
                <w:sz w:val="16"/>
                <w:szCs w:val="16"/>
                <w:lang w:eastAsia="es-AR"/>
              </w:rPr>
              <w:t>Intereses de préstamos y otras financiaciones</w:t>
            </w:r>
          </w:p>
        </w:tc>
        <w:tc>
          <w:tcPr>
            <w:tcW w:w="411" w:type="pct"/>
            <w:tcBorders>
              <w:top w:val="nil"/>
              <w:left w:val="nil"/>
              <w:bottom w:val="nil"/>
              <w:right w:val="nil"/>
            </w:tcBorders>
            <w:shd w:val="clear" w:color="auto" w:fill="auto"/>
          </w:tcPr>
          <w:p w14:paraId="7C8155F3" w14:textId="77777777" w:rsidR="006F757F" w:rsidRPr="002D55D1" w:rsidRDefault="006F757F" w:rsidP="00415AF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8CB462A" w14:textId="0DC978D5" w:rsidR="006F757F" w:rsidRPr="006F757F" w:rsidRDefault="00262EFB" w:rsidP="00AA5BDF">
            <w:pPr>
              <w:jc w:val="right"/>
              <w:rPr>
                <w:rFonts w:ascii="Arial" w:hAnsi="Arial" w:cs="Arial"/>
                <w:sz w:val="16"/>
                <w:szCs w:val="16"/>
                <w:lang w:eastAsia="es-AR"/>
              </w:rPr>
            </w:pPr>
            <w:r w:rsidRPr="00262EFB">
              <w:rPr>
                <w:rFonts w:ascii="Arial" w:hAnsi="Arial" w:cs="Arial"/>
                <w:sz w:val="16"/>
                <w:szCs w:val="16"/>
                <w:lang w:eastAsia="es-AR"/>
              </w:rPr>
              <w:t xml:space="preserve">-10.665.006 </w:t>
            </w:r>
          </w:p>
        </w:tc>
        <w:tc>
          <w:tcPr>
            <w:tcW w:w="729" w:type="pct"/>
            <w:tcBorders>
              <w:top w:val="nil"/>
              <w:left w:val="nil"/>
              <w:bottom w:val="nil"/>
              <w:right w:val="nil"/>
            </w:tcBorders>
            <w:shd w:val="clear" w:color="auto" w:fill="auto"/>
            <w:vAlign w:val="bottom"/>
          </w:tcPr>
          <w:p w14:paraId="794F6889" w14:textId="64961553" w:rsidR="006F757F" w:rsidRPr="00593C40" w:rsidRDefault="00637271" w:rsidP="00AA5BDF">
            <w:pPr>
              <w:jc w:val="right"/>
              <w:rPr>
                <w:rFonts w:ascii="Arial" w:hAnsi="Arial" w:cs="Arial"/>
                <w:sz w:val="16"/>
                <w:szCs w:val="16"/>
                <w:lang w:eastAsia="es-AR"/>
              </w:rPr>
            </w:pPr>
            <w:r w:rsidRPr="00637271">
              <w:rPr>
                <w:rFonts w:ascii="Arial" w:hAnsi="Arial" w:cs="Arial"/>
                <w:sz w:val="16"/>
                <w:szCs w:val="16"/>
                <w:lang w:eastAsia="es-AR"/>
              </w:rPr>
              <w:t>-5.635.607</w:t>
            </w:r>
          </w:p>
        </w:tc>
      </w:tr>
      <w:tr w:rsidR="006F757F" w:rsidRPr="002D55D1" w14:paraId="441D6DFD" w14:textId="77777777" w:rsidTr="00AA5BDF">
        <w:trPr>
          <w:trHeight w:val="285"/>
        </w:trPr>
        <w:tc>
          <w:tcPr>
            <w:tcW w:w="3257" w:type="pct"/>
            <w:tcBorders>
              <w:top w:val="nil"/>
              <w:left w:val="nil"/>
              <w:bottom w:val="nil"/>
              <w:right w:val="nil"/>
            </w:tcBorders>
            <w:shd w:val="clear" w:color="auto" w:fill="auto"/>
            <w:vAlign w:val="center"/>
          </w:tcPr>
          <w:p w14:paraId="7DC45500" w14:textId="53C7E5FE" w:rsidR="006F757F" w:rsidRPr="002D55D1" w:rsidRDefault="006F757F" w:rsidP="00CD2AEF">
            <w:pPr>
              <w:ind w:firstLineChars="100" w:firstLine="160"/>
              <w:rPr>
                <w:rFonts w:ascii="Arial" w:hAnsi="Arial" w:cs="Arial"/>
                <w:sz w:val="16"/>
                <w:szCs w:val="16"/>
                <w:lang w:eastAsia="es-AR"/>
              </w:rPr>
            </w:pPr>
            <w:r w:rsidRPr="006F757F">
              <w:rPr>
                <w:rFonts w:ascii="Arial" w:hAnsi="Arial" w:cs="Arial"/>
                <w:sz w:val="16"/>
                <w:szCs w:val="16"/>
                <w:lang w:eastAsia="es-AR"/>
              </w:rPr>
              <w:t>Intereses de depósitos y financiaciones recibidas de otras instituciones financieras</w:t>
            </w:r>
          </w:p>
        </w:tc>
        <w:tc>
          <w:tcPr>
            <w:tcW w:w="411" w:type="pct"/>
            <w:tcBorders>
              <w:top w:val="nil"/>
              <w:left w:val="nil"/>
              <w:bottom w:val="nil"/>
              <w:right w:val="nil"/>
            </w:tcBorders>
            <w:shd w:val="clear" w:color="auto" w:fill="auto"/>
          </w:tcPr>
          <w:p w14:paraId="6FFDCCBF" w14:textId="77777777" w:rsidR="006F757F" w:rsidRPr="002D55D1" w:rsidRDefault="006F757F" w:rsidP="00415AF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6A49D04" w14:textId="052D3044" w:rsidR="006F757F" w:rsidRPr="006F757F" w:rsidRDefault="00262EFB" w:rsidP="00AA5BDF">
            <w:pPr>
              <w:jc w:val="right"/>
              <w:rPr>
                <w:rFonts w:ascii="Arial" w:hAnsi="Arial" w:cs="Arial"/>
                <w:sz w:val="16"/>
                <w:szCs w:val="16"/>
                <w:lang w:eastAsia="es-AR"/>
              </w:rPr>
            </w:pPr>
            <w:r w:rsidRPr="00262EFB">
              <w:rPr>
                <w:rFonts w:ascii="Arial" w:hAnsi="Arial" w:cs="Arial"/>
                <w:sz w:val="16"/>
                <w:szCs w:val="16"/>
                <w:lang w:eastAsia="es-AR"/>
              </w:rPr>
              <w:t>1.780.823</w:t>
            </w:r>
          </w:p>
        </w:tc>
        <w:tc>
          <w:tcPr>
            <w:tcW w:w="729" w:type="pct"/>
            <w:tcBorders>
              <w:top w:val="nil"/>
              <w:left w:val="nil"/>
              <w:bottom w:val="nil"/>
              <w:right w:val="nil"/>
            </w:tcBorders>
            <w:shd w:val="clear" w:color="auto" w:fill="auto"/>
            <w:vAlign w:val="bottom"/>
          </w:tcPr>
          <w:p w14:paraId="2428965F" w14:textId="7A97E179" w:rsidR="006F757F" w:rsidRPr="00593C40" w:rsidRDefault="00637271" w:rsidP="00AA5BDF">
            <w:pPr>
              <w:jc w:val="right"/>
              <w:rPr>
                <w:rFonts w:ascii="Arial" w:hAnsi="Arial" w:cs="Arial"/>
                <w:sz w:val="16"/>
                <w:szCs w:val="16"/>
                <w:lang w:eastAsia="es-AR"/>
              </w:rPr>
            </w:pPr>
            <w:r w:rsidRPr="00637271">
              <w:rPr>
                <w:rFonts w:ascii="Arial" w:hAnsi="Arial" w:cs="Arial"/>
                <w:sz w:val="16"/>
                <w:szCs w:val="16"/>
                <w:lang w:eastAsia="es-AR"/>
              </w:rPr>
              <w:t>900.872</w:t>
            </w:r>
          </w:p>
        </w:tc>
      </w:tr>
      <w:tr w:rsidR="006F757F" w:rsidRPr="002D55D1" w14:paraId="2F4AF1DC" w14:textId="77777777" w:rsidTr="00AA5BDF">
        <w:trPr>
          <w:trHeight w:val="285"/>
        </w:trPr>
        <w:tc>
          <w:tcPr>
            <w:tcW w:w="3257" w:type="pct"/>
            <w:tcBorders>
              <w:top w:val="nil"/>
              <w:left w:val="nil"/>
              <w:bottom w:val="nil"/>
              <w:right w:val="nil"/>
            </w:tcBorders>
            <w:shd w:val="clear" w:color="auto" w:fill="auto"/>
            <w:vAlign w:val="center"/>
          </w:tcPr>
          <w:p w14:paraId="65D0B581" w14:textId="623A7876" w:rsidR="006F757F" w:rsidRPr="002D55D1" w:rsidRDefault="005F0795" w:rsidP="00CD2AEF">
            <w:pPr>
              <w:ind w:firstLineChars="100" w:firstLine="160"/>
              <w:rPr>
                <w:rFonts w:ascii="Arial" w:hAnsi="Arial" w:cs="Arial"/>
                <w:sz w:val="16"/>
                <w:szCs w:val="16"/>
                <w:lang w:eastAsia="es-AR"/>
              </w:rPr>
            </w:pPr>
            <w:r>
              <w:rPr>
                <w:rFonts w:ascii="Arial" w:hAnsi="Arial" w:cs="Arial"/>
                <w:sz w:val="16"/>
                <w:szCs w:val="16"/>
                <w:lang w:eastAsia="es-AR"/>
              </w:rPr>
              <w:t>Intereses obligaciones negociables</w:t>
            </w:r>
          </w:p>
        </w:tc>
        <w:tc>
          <w:tcPr>
            <w:tcW w:w="411" w:type="pct"/>
            <w:tcBorders>
              <w:top w:val="nil"/>
              <w:left w:val="nil"/>
              <w:bottom w:val="nil"/>
              <w:right w:val="nil"/>
            </w:tcBorders>
            <w:shd w:val="clear" w:color="auto" w:fill="auto"/>
          </w:tcPr>
          <w:p w14:paraId="12CFFE64" w14:textId="77777777" w:rsidR="006F757F" w:rsidRPr="002D55D1" w:rsidRDefault="006F757F" w:rsidP="00415AF0">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505F04B7" w14:textId="7049CC9A" w:rsidR="006F757F" w:rsidRPr="006F757F" w:rsidRDefault="00637271" w:rsidP="00AA5BDF">
            <w:pPr>
              <w:jc w:val="right"/>
              <w:rPr>
                <w:rFonts w:ascii="Arial" w:hAnsi="Arial" w:cs="Arial"/>
                <w:sz w:val="16"/>
                <w:szCs w:val="16"/>
                <w:lang w:eastAsia="es-AR"/>
              </w:rPr>
            </w:pPr>
            <w:r w:rsidRPr="00637271">
              <w:rPr>
                <w:rFonts w:ascii="Arial" w:hAnsi="Arial" w:cs="Arial"/>
                <w:sz w:val="16"/>
                <w:szCs w:val="16"/>
                <w:lang w:eastAsia="es-AR"/>
              </w:rPr>
              <w:t>417.901</w:t>
            </w:r>
          </w:p>
        </w:tc>
        <w:tc>
          <w:tcPr>
            <w:tcW w:w="729" w:type="pct"/>
            <w:tcBorders>
              <w:top w:val="nil"/>
              <w:left w:val="nil"/>
              <w:bottom w:val="nil"/>
              <w:right w:val="nil"/>
            </w:tcBorders>
            <w:shd w:val="clear" w:color="auto" w:fill="auto"/>
            <w:vAlign w:val="bottom"/>
          </w:tcPr>
          <w:p w14:paraId="6844B7C5" w14:textId="18A4CFD9" w:rsidR="006F757F" w:rsidRPr="00593C40" w:rsidRDefault="00637271" w:rsidP="00AA5BDF">
            <w:pPr>
              <w:jc w:val="right"/>
              <w:rPr>
                <w:rFonts w:ascii="Arial" w:hAnsi="Arial" w:cs="Arial"/>
                <w:sz w:val="16"/>
                <w:szCs w:val="16"/>
                <w:lang w:eastAsia="es-AR"/>
              </w:rPr>
            </w:pPr>
            <w:r w:rsidRPr="00637271">
              <w:rPr>
                <w:rFonts w:ascii="Arial" w:hAnsi="Arial" w:cs="Arial"/>
                <w:sz w:val="16"/>
                <w:szCs w:val="16"/>
                <w:lang w:eastAsia="es-AR"/>
              </w:rPr>
              <w:t>611.498</w:t>
            </w:r>
          </w:p>
        </w:tc>
      </w:tr>
      <w:tr w:rsidR="005F0795" w:rsidRPr="002D55D1" w14:paraId="3CFED3AB" w14:textId="77777777" w:rsidTr="00AA5BDF">
        <w:trPr>
          <w:trHeight w:val="285"/>
        </w:trPr>
        <w:tc>
          <w:tcPr>
            <w:tcW w:w="3257" w:type="pct"/>
            <w:tcBorders>
              <w:top w:val="nil"/>
              <w:left w:val="nil"/>
              <w:bottom w:val="nil"/>
              <w:right w:val="nil"/>
            </w:tcBorders>
            <w:shd w:val="clear" w:color="auto" w:fill="auto"/>
            <w:vAlign w:val="center"/>
          </w:tcPr>
          <w:p w14:paraId="371A2718" w14:textId="14B266FC" w:rsidR="005F0795" w:rsidRPr="006F757F" w:rsidRDefault="00220DFF" w:rsidP="00CD2AEF">
            <w:pPr>
              <w:ind w:firstLineChars="100" w:firstLine="160"/>
              <w:rPr>
                <w:rFonts w:ascii="Arial" w:hAnsi="Arial" w:cs="Arial"/>
                <w:sz w:val="16"/>
                <w:szCs w:val="16"/>
                <w:lang w:eastAsia="es-AR"/>
              </w:rPr>
            </w:pPr>
            <w:r>
              <w:rPr>
                <w:rFonts w:ascii="Arial" w:hAnsi="Arial" w:cs="Arial"/>
                <w:sz w:val="16"/>
                <w:szCs w:val="16"/>
                <w:lang w:eastAsia="es-AR"/>
              </w:rPr>
              <w:t>Gastos de Administración</w:t>
            </w:r>
          </w:p>
        </w:tc>
        <w:tc>
          <w:tcPr>
            <w:tcW w:w="411" w:type="pct"/>
            <w:tcBorders>
              <w:top w:val="nil"/>
              <w:left w:val="nil"/>
              <w:bottom w:val="nil"/>
              <w:right w:val="nil"/>
            </w:tcBorders>
            <w:shd w:val="clear" w:color="auto" w:fill="auto"/>
          </w:tcPr>
          <w:p w14:paraId="015A9206"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AA09C8A" w14:textId="082E3204" w:rsidR="005F0795" w:rsidRPr="006F757F" w:rsidRDefault="00D62912" w:rsidP="00AA5BDF">
            <w:pPr>
              <w:jc w:val="right"/>
              <w:rPr>
                <w:rFonts w:ascii="Arial" w:hAnsi="Arial" w:cs="Arial"/>
                <w:sz w:val="16"/>
                <w:szCs w:val="16"/>
                <w:lang w:eastAsia="es-AR"/>
              </w:rPr>
            </w:pPr>
            <w:r w:rsidRPr="00D62912">
              <w:rPr>
                <w:rFonts w:ascii="Arial" w:hAnsi="Arial" w:cs="Arial"/>
                <w:sz w:val="16"/>
                <w:szCs w:val="16"/>
                <w:lang w:eastAsia="es-AR"/>
              </w:rPr>
              <w:t>2.9</w:t>
            </w:r>
            <w:r w:rsidR="00E71442">
              <w:rPr>
                <w:rFonts w:ascii="Arial" w:hAnsi="Arial" w:cs="Arial"/>
                <w:sz w:val="16"/>
                <w:szCs w:val="16"/>
                <w:lang w:eastAsia="es-AR"/>
              </w:rPr>
              <w:t>69.120</w:t>
            </w:r>
          </w:p>
        </w:tc>
        <w:tc>
          <w:tcPr>
            <w:tcW w:w="729" w:type="pct"/>
            <w:tcBorders>
              <w:top w:val="nil"/>
              <w:left w:val="nil"/>
              <w:bottom w:val="nil"/>
              <w:right w:val="nil"/>
            </w:tcBorders>
            <w:shd w:val="clear" w:color="auto" w:fill="auto"/>
            <w:vAlign w:val="bottom"/>
          </w:tcPr>
          <w:p w14:paraId="4EA221FD" w14:textId="32168B11" w:rsidR="005F0795" w:rsidRPr="00593C40" w:rsidRDefault="00637271" w:rsidP="00AA5BDF">
            <w:pPr>
              <w:jc w:val="right"/>
              <w:rPr>
                <w:rFonts w:ascii="Arial" w:hAnsi="Arial" w:cs="Arial"/>
                <w:sz w:val="16"/>
                <w:szCs w:val="16"/>
                <w:lang w:eastAsia="es-AR"/>
              </w:rPr>
            </w:pPr>
            <w:r w:rsidRPr="00637271">
              <w:rPr>
                <w:rFonts w:ascii="Arial" w:hAnsi="Arial" w:cs="Arial"/>
                <w:sz w:val="16"/>
                <w:szCs w:val="16"/>
                <w:lang w:eastAsia="es-AR"/>
              </w:rPr>
              <w:t>1.198.559</w:t>
            </w:r>
          </w:p>
        </w:tc>
      </w:tr>
      <w:tr w:rsidR="005F0795" w:rsidRPr="002D55D1" w14:paraId="566277A3" w14:textId="77777777" w:rsidTr="00AA5BDF">
        <w:trPr>
          <w:trHeight w:val="281"/>
        </w:trPr>
        <w:tc>
          <w:tcPr>
            <w:tcW w:w="3257" w:type="pct"/>
            <w:tcBorders>
              <w:top w:val="nil"/>
              <w:left w:val="nil"/>
              <w:bottom w:val="nil"/>
              <w:right w:val="nil"/>
            </w:tcBorders>
            <w:shd w:val="clear" w:color="auto" w:fill="auto"/>
            <w:vAlign w:val="center"/>
          </w:tcPr>
          <w:p w14:paraId="5AC3DBB5" w14:textId="025B79FE" w:rsidR="005F0795" w:rsidRPr="006F757F" w:rsidRDefault="005F0795" w:rsidP="00CD2AEF">
            <w:pPr>
              <w:ind w:firstLineChars="100" w:firstLine="160"/>
              <w:rPr>
                <w:rFonts w:ascii="Arial" w:hAnsi="Arial" w:cs="Arial"/>
                <w:sz w:val="16"/>
                <w:szCs w:val="16"/>
                <w:lang w:eastAsia="es-AR"/>
              </w:rPr>
            </w:pPr>
            <w:r>
              <w:rPr>
                <w:rFonts w:ascii="Arial" w:hAnsi="Arial" w:cs="Arial"/>
                <w:sz w:val="16"/>
                <w:szCs w:val="16"/>
                <w:lang w:eastAsia="es-AR"/>
              </w:rPr>
              <w:t>Efecto variación tipo de cambio</w:t>
            </w:r>
          </w:p>
        </w:tc>
        <w:tc>
          <w:tcPr>
            <w:tcW w:w="411" w:type="pct"/>
            <w:tcBorders>
              <w:top w:val="nil"/>
              <w:left w:val="nil"/>
              <w:bottom w:val="nil"/>
              <w:right w:val="nil"/>
            </w:tcBorders>
            <w:shd w:val="clear" w:color="auto" w:fill="auto"/>
          </w:tcPr>
          <w:p w14:paraId="26D09ABA"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BCCA198" w14:textId="49C2557F" w:rsidR="005F0795" w:rsidRPr="006F757F" w:rsidRDefault="00D62912" w:rsidP="00AA5BDF">
            <w:pPr>
              <w:jc w:val="right"/>
              <w:rPr>
                <w:rFonts w:ascii="Arial" w:hAnsi="Arial" w:cs="Arial"/>
                <w:sz w:val="16"/>
                <w:szCs w:val="16"/>
                <w:lang w:eastAsia="es-AR"/>
              </w:rPr>
            </w:pPr>
            <w:r w:rsidRPr="00D62912">
              <w:rPr>
                <w:rFonts w:ascii="Arial" w:hAnsi="Arial" w:cs="Arial"/>
                <w:sz w:val="16"/>
                <w:szCs w:val="16"/>
                <w:lang w:eastAsia="es-AR"/>
              </w:rPr>
              <w:t>-4.913.725</w:t>
            </w:r>
          </w:p>
        </w:tc>
        <w:tc>
          <w:tcPr>
            <w:tcW w:w="729" w:type="pct"/>
            <w:tcBorders>
              <w:top w:val="nil"/>
              <w:left w:val="nil"/>
              <w:bottom w:val="nil"/>
              <w:right w:val="nil"/>
            </w:tcBorders>
            <w:shd w:val="clear" w:color="auto" w:fill="auto"/>
            <w:vAlign w:val="bottom"/>
          </w:tcPr>
          <w:p w14:paraId="64601DC2" w14:textId="670134C4" w:rsidR="005F0795" w:rsidRPr="00593C40" w:rsidRDefault="00637271" w:rsidP="00AA5BDF">
            <w:pPr>
              <w:jc w:val="right"/>
              <w:rPr>
                <w:rFonts w:ascii="Arial" w:hAnsi="Arial" w:cs="Arial"/>
                <w:sz w:val="16"/>
                <w:szCs w:val="16"/>
                <w:lang w:eastAsia="es-AR"/>
              </w:rPr>
            </w:pPr>
            <w:r w:rsidRPr="00637271">
              <w:rPr>
                <w:rFonts w:ascii="Arial" w:hAnsi="Arial" w:cs="Arial"/>
                <w:sz w:val="16"/>
                <w:szCs w:val="16"/>
                <w:lang w:eastAsia="es-AR"/>
              </w:rPr>
              <w:t>-2.024.248</w:t>
            </w:r>
          </w:p>
        </w:tc>
      </w:tr>
      <w:tr w:rsidR="00220DFF" w:rsidRPr="002D55D1" w14:paraId="534EE22A" w14:textId="77777777" w:rsidTr="00AA5BDF">
        <w:trPr>
          <w:trHeight w:val="281"/>
        </w:trPr>
        <w:tc>
          <w:tcPr>
            <w:tcW w:w="3257" w:type="pct"/>
            <w:tcBorders>
              <w:top w:val="nil"/>
              <w:left w:val="nil"/>
              <w:bottom w:val="nil"/>
              <w:right w:val="nil"/>
            </w:tcBorders>
            <w:shd w:val="clear" w:color="auto" w:fill="auto"/>
            <w:vAlign w:val="center"/>
          </w:tcPr>
          <w:p w14:paraId="1373F464" w14:textId="7F7B1727" w:rsidR="00220DFF" w:rsidRDefault="00220DFF" w:rsidP="00CD2AEF">
            <w:pPr>
              <w:ind w:firstLineChars="100" w:firstLine="160"/>
              <w:rPr>
                <w:rFonts w:ascii="Arial" w:hAnsi="Arial" w:cs="Arial"/>
                <w:sz w:val="16"/>
                <w:szCs w:val="16"/>
                <w:lang w:eastAsia="es-AR"/>
              </w:rPr>
            </w:pPr>
            <w:r>
              <w:rPr>
                <w:rFonts w:ascii="Arial" w:hAnsi="Arial" w:cs="Arial"/>
                <w:sz w:val="16"/>
                <w:szCs w:val="16"/>
                <w:lang w:eastAsia="es-AR"/>
              </w:rPr>
              <w:t>Efecto del tipo de cambio de la ON Subordinadas</w:t>
            </w:r>
          </w:p>
        </w:tc>
        <w:tc>
          <w:tcPr>
            <w:tcW w:w="411" w:type="pct"/>
            <w:tcBorders>
              <w:top w:val="nil"/>
              <w:left w:val="nil"/>
              <w:bottom w:val="nil"/>
              <w:right w:val="nil"/>
            </w:tcBorders>
            <w:shd w:val="clear" w:color="auto" w:fill="auto"/>
          </w:tcPr>
          <w:p w14:paraId="62735AFF" w14:textId="77777777" w:rsidR="00220DFF" w:rsidRPr="002D55D1" w:rsidRDefault="00220DFF"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E76CB17" w14:textId="741882DD" w:rsidR="00220DFF" w:rsidRPr="00220DFF" w:rsidRDefault="00D62912" w:rsidP="00AA5BDF">
            <w:pPr>
              <w:jc w:val="right"/>
              <w:rPr>
                <w:rFonts w:ascii="Arial" w:hAnsi="Arial" w:cs="Arial"/>
                <w:sz w:val="16"/>
                <w:szCs w:val="16"/>
                <w:lang w:eastAsia="es-AR"/>
              </w:rPr>
            </w:pPr>
            <w:r w:rsidRPr="00D62912">
              <w:rPr>
                <w:rFonts w:ascii="Arial" w:hAnsi="Arial" w:cs="Arial"/>
                <w:sz w:val="16"/>
                <w:szCs w:val="16"/>
                <w:lang w:eastAsia="es-AR"/>
              </w:rPr>
              <w:t>794.515</w:t>
            </w:r>
          </w:p>
        </w:tc>
        <w:tc>
          <w:tcPr>
            <w:tcW w:w="729" w:type="pct"/>
            <w:tcBorders>
              <w:top w:val="nil"/>
              <w:left w:val="nil"/>
              <w:bottom w:val="nil"/>
              <w:right w:val="nil"/>
            </w:tcBorders>
            <w:shd w:val="clear" w:color="auto" w:fill="auto"/>
            <w:vAlign w:val="bottom"/>
          </w:tcPr>
          <w:p w14:paraId="2E5A251F" w14:textId="747E8639" w:rsidR="00220DFF" w:rsidRPr="00AA5BDF" w:rsidRDefault="00637271" w:rsidP="00AA5BDF">
            <w:pPr>
              <w:jc w:val="right"/>
              <w:rPr>
                <w:rFonts w:ascii="Arial" w:hAnsi="Arial" w:cs="Arial"/>
                <w:sz w:val="16"/>
                <w:szCs w:val="16"/>
                <w:lang w:eastAsia="es-AR"/>
              </w:rPr>
            </w:pPr>
            <w:r w:rsidRPr="00637271">
              <w:rPr>
                <w:rFonts w:ascii="Arial" w:hAnsi="Arial" w:cs="Arial"/>
                <w:sz w:val="16"/>
                <w:szCs w:val="16"/>
                <w:lang w:eastAsia="es-AR"/>
              </w:rPr>
              <w:t>684.779</w:t>
            </w:r>
          </w:p>
        </w:tc>
      </w:tr>
      <w:tr w:rsidR="005F0795" w:rsidRPr="002D55D1" w14:paraId="5A84B947" w14:textId="77777777" w:rsidTr="00AA5BDF">
        <w:trPr>
          <w:trHeight w:val="285"/>
        </w:trPr>
        <w:tc>
          <w:tcPr>
            <w:tcW w:w="3257" w:type="pct"/>
            <w:tcBorders>
              <w:top w:val="nil"/>
              <w:left w:val="nil"/>
              <w:bottom w:val="nil"/>
              <w:right w:val="nil"/>
            </w:tcBorders>
            <w:shd w:val="clear" w:color="auto" w:fill="auto"/>
            <w:vAlign w:val="center"/>
          </w:tcPr>
          <w:p w14:paraId="47EB241C" w14:textId="23AD37C5" w:rsidR="005F0795" w:rsidRDefault="005F0795" w:rsidP="00CD2AEF">
            <w:pPr>
              <w:ind w:firstLineChars="100" w:firstLine="160"/>
              <w:rPr>
                <w:rFonts w:ascii="Arial" w:hAnsi="Arial" w:cs="Arial"/>
                <w:sz w:val="16"/>
                <w:szCs w:val="16"/>
                <w:lang w:eastAsia="es-AR"/>
              </w:rPr>
            </w:pPr>
            <w:r>
              <w:rPr>
                <w:rFonts w:ascii="Arial" w:hAnsi="Arial" w:cs="Arial"/>
                <w:sz w:val="16"/>
                <w:szCs w:val="16"/>
                <w:lang w:eastAsia="es-AR"/>
              </w:rPr>
              <w:t xml:space="preserve">Intereses pasivos por arrendamientos </w:t>
            </w:r>
          </w:p>
        </w:tc>
        <w:tc>
          <w:tcPr>
            <w:tcW w:w="411" w:type="pct"/>
            <w:tcBorders>
              <w:top w:val="nil"/>
              <w:left w:val="nil"/>
              <w:bottom w:val="nil"/>
              <w:right w:val="nil"/>
            </w:tcBorders>
            <w:shd w:val="clear" w:color="auto" w:fill="auto"/>
          </w:tcPr>
          <w:p w14:paraId="22D5105A"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62E11FCA" w14:textId="6F418324" w:rsidR="005F0795" w:rsidRPr="005F0795" w:rsidRDefault="00D62912" w:rsidP="00AA5BDF">
            <w:pPr>
              <w:jc w:val="right"/>
              <w:rPr>
                <w:rFonts w:ascii="Arial" w:hAnsi="Arial" w:cs="Arial"/>
                <w:sz w:val="16"/>
                <w:szCs w:val="16"/>
                <w:lang w:eastAsia="es-AR"/>
              </w:rPr>
            </w:pPr>
            <w:r w:rsidRPr="00D62912">
              <w:rPr>
                <w:rFonts w:ascii="Arial" w:hAnsi="Arial" w:cs="Arial"/>
                <w:sz w:val="16"/>
                <w:szCs w:val="16"/>
                <w:lang w:eastAsia="es-AR"/>
              </w:rPr>
              <w:t>1</w:t>
            </w:r>
            <w:r w:rsidR="003B27EF">
              <w:rPr>
                <w:rFonts w:ascii="Arial" w:hAnsi="Arial" w:cs="Arial"/>
                <w:sz w:val="16"/>
                <w:szCs w:val="16"/>
                <w:lang w:eastAsia="es-AR"/>
              </w:rPr>
              <w:t>73.964</w:t>
            </w:r>
          </w:p>
        </w:tc>
        <w:tc>
          <w:tcPr>
            <w:tcW w:w="729" w:type="pct"/>
            <w:tcBorders>
              <w:top w:val="nil"/>
              <w:left w:val="nil"/>
              <w:bottom w:val="nil"/>
              <w:right w:val="nil"/>
            </w:tcBorders>
            <w:shd w:val="clear" w:color="auto" w:fill="auto"/>
            <w:vAlign w:val="bottom"/>
          </w:tcPr>
          <w:p w14:paraId="718D7314" w14:textId="34712EB3" w:rsidR="005F0795" w:rsidRPr="00593C40" w:rsidRDefault="00637271" w:rsidP="00AA5BDF">
            <w:pPr>
              <w:jc w:val="right"/>
              <w:rPr>
                <w:rFonts w:ascii="Arial" w:hAnsi="Arial" w:cs="Arial"/>
                <w:sz w:val="16"/>
                <w:szCs w:val="16"/>
                <w:lang w:eastAsia="es-AR"/>
              </w:rPr>
            </w:pPr>
            <w:r>
              <w:rPr>
                <w:rFonts w:ascii="Arial" w:hAnsi="Arial" w:cs="Arial"/>
                <w:sz w:val="16"/>
                <w:szCs w:val="16"/>
                <w:lang w:eastAsia="es-AR"/>
              </w:rPr>
              <w:t>-</w:t>
            </w:r>
          </w:p>
        </w:tc>
      </w:tr>
      <w:tr w:rsidR="005F0795" w:rsidRPr="002D55D1" w14:paraId="298032B0" w14:textId="77777777" w:rsidTr="005A1F48">
        <w:trPr>
          <w:trHeight w:val="201"/>
        </w:trPr>
        <w:tc>
          <w:tcPr>
            <w:tcW w:w="3257" w:type="pct"/>
            <w:tcBorders>
              <w:top w:val="nil"/>
              <w:left w:val="nil"/>
              <w:bottom w:val="nil"/>
              <w:right w:val="nil"/>
            </w:tcBorders>
            <w:shd w:val="clear" w:color="auto" w:fill="auto"/>
            <w:vAlign w:val="center"/>
            <w:hideMark/>
          </w:tcPr>
          <w:p w14:paraId="3F0E5D35"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Otros ajustes</w:t>
            </w:r>
          </w:p>
        </w:tc>
        <w:tc>
          <w:tcPr>
            <w:tcW w:w="411" w:type="pct"/>
            <w:tcBorders>
              <w:top w:val="nil"/>
              <w:left w:val="nil"/>
              <w:bottom w:val="nil"/>
              <w:right w:val="nil"/>
            </w:tcBorders>
            <w:shd w:val="clear" w:color="auto" w:fill="auto"/>
            <w:hideMark/>
          </w:tcPr>
          <w:p w14:paraId="251A8F26"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6F276EE" w14:textId="3F50E50E" w:rsidR="005F0795" w:rsidRPr="00593C40" w:rsidRDefault="003B27EF" w:rsidP="00AA5BDF">
            <w:pPr>
              <w:jc w:val="right"/>
              <w:rPr>
                <w:rFonts w:ascii="Arial" w:hAnsi="Arial" w:cs="Arial"/>
                <w:sz w:val="16"/>
                <w:szCs w:val="16"/>
                <w:lang w:eastAsia="es-AR"/>
              </w:rPr>
            </w:pPr>
            <w:r>
              <w:rPr>
                <w:rFonts w:ascii="Arial" w:hAnsi="Arial" w:cs="Arial"/>
                <w:sz w:val="16"/>
                <w:szCs w:val="16"/>
                <w:lang w:eastAsia="es-AR"/>
              </w:rPr>
              <w:t>136.101</w:t>
            </w:r>
          </w:p>
        </w:tc>
        <w:tc>
          <w:tcPr>
            <w:tcW w:w="729" w:type="pct"/>
            <w:tcBorders>
              <w:top w:val="nil"/>
              <w:left w:val="nil"/>
              <w:bottom w:val="nil"/>
              <w:right w:val="nil"/>
            </w:tcBorders>
            <w:shd w:val="clear" w:color="auto" w:fill="auto"/>
            <w:vAlign w:val="bottom"/>
          </w:tcPr>
          <w:p w14:paraId="1EC93EF0" w14:textId="13224A8B" w:rsidR="005F0795" w:rsidRPr="00593C40" w:rsidRDefault="00A45C21" w:rsidP="00AA5BDF">
            <w:pPr>
              <w:jc w:val="right"/>
              <w:rPr>
                <w:rFonts w:ascii="Arial" w:hAnsi="Arial" w:cs="Arial"/>
                <w:sz w:val="16"/>
                <w:szCs w:val="16"/>
                <w:lang w:eastAsia="es-AR"/>
              </w:rPr>
            </w:pPr>
            <w:r>
              <w:rPr>
                <w:rFonts w:ascii="Arial" w:hAnsi="Arial" w:cs="Arial"/>
                <w:sz w:val="16"/>
                <w:szCs w:val="16"/>
                <w:lang w:eastAsia="es-AR"/>
              </w:rPr>
              <w:t>79.712</w:t>
            </w:r>
          </w:p>
        </w:tc>
      </w:tr>
      <w:tr w:rsidR="005F0795" w:rsidRPr="00593C40" w14:paraId="4D1AE8DC" w14:textId="77777777" w:rsidTr="00AA5BDF">
        <w:trPr>
          <w:trHeight w:val="101"/>
        </w:trPr>
        <w:tc>
          <w:tcPr>
            <w:tcW w:w="3257" w:type="pct"/>
            <w:tcBorders>
              <w:top w:val="nil"/>
              <w:left w:val="nil"/>
              <w:bottom w:val="nil"/>
              <w:right w:val="nil"/>
            </w:tcBorders>
            <w:shd w:val="clear" w:color="auto" w:fill="auto"/>
            <w:vAlign w:val="center"/>
            <w:hideMark/>
          </w:tcPr>
          <w:p w14:paraId="362557F0" w14:textId="77777777" w:rsidR="005F0795" w:rsidRPr="00593C40" w:rsidRDefault="005F0795" w:rsidP="00CD2AEF">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51AB6F66" w14:textId="77777777" w:rsidR="005F0795" w:rsidRPr="00593C40" w:rsidRDefault="005F0795" w:rsidP="005F0795">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38DD7465" w14:textId="77777777" w:rsidR="005F0795" w:rsidRPr="00593C40" w:rsidRDefault="005F0795" w:rsidP="00AA5BDF">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22C72674" w14:textId="77777777" w:rsidR="005F0795" w:rsidRPr="00593C40" w:rsidRDefault="005F0795" w:rsidP="00AA5BDF">
            <w:pPr>
              <w:jc w:val="right"/>
              <w:rPr>
                <w:rFonts w:ascii="Arial" w:hAnsi="Arial" w:cs="Arial"/>
                <w:sz w:val="10"/>
                <w:szCs w:val="10"/>
                <w:lang w:eastAsia="es-AR"/>
              </w:rPr>
            </w:pPr>
          </w:p>
        </w:tc>
      </w:tr>
      <w:tr w:rsidR="005F0795" w:rsidRPr="002D55D1" w14:paraId="1DC301BB" w14:textId="77777777" w:rsidTr="00AA5BDF">
        <w:trPr>
          <w:trHeight w:val="269"/>
        </w:trPr>
        <w:tc>
          <w:tcPr>
            <w:tcW w:w="3257" w:type="pct"/>
            <w:tcBorders>
              <w:top w:val="nil"/>
              <w:left w:val="nil"/>
              <w:bottom w:val="nil"/>
              <w:right w:val="nil"/>
            </w:tcBorders>
            <w:shd w:val="clear" w:color="auto" w:fill="auto"/>
            <w:vAlign w:val="center"/>
            <w:hideMark/>
          </w:tcPr>
          <w:p w14:paraId="1C642D05" w14:textId="3CF47596" w:rsidR="005F0795" w:rsidRPr="002D55D1" w:rsidRDefault="005F0795" w:rsidP="00CD2AEF">
            <w:pPr>
              <w:rPr>
                <w:rFonts w:ascii="Arial" w:hAnsi="Arial" w:cs="Arial"/>
                <w:b/>
                <w:bCs/>
                <w:sz w:val="16"/>
                <w:szCs w:val="16"/>
                <w:lang w:eastAsia="es-AR"/>
              </w:rPr>
            </w:pPr>
            <w:r w:rsidRPr="002D55D1">
              <w:rPr>
                <w:rFonts w:ascii="Arial" w:hAnsi="Arial" w:cs="Arial"/>
                <w:b/>
                <w:bCs/>
                <w:sz w:val="16"/>
                <w:szCs w:val="16"/>
                <w:lang w:eastAsia="es-AR"/>
              </w:rPr>
              <w:t xml:space="preserve">Aumentos / disminuciones </w:t>
            </w:r>
            <w:r w:rsidR="00BE29BE" w:rsidRPr="002D55D1">
              <w:rPr>
                <w:rFonts w:ascii="Arial" w:hAnsi="Arial" w:cs="Arial"/>
                <w:b/>
                <w:bCs/>
                <w:sz w:val="16"/>
                <w:szCs w:val="16"/>
                <w:lang w:eastAsia="es-AR"/>
              </w:rPr>
              <w:t>net</w:t>
            </w:r>
            <w:r w:rsidR="00BE29BE">
              <w:rPr>
                <w:rFonts w:ascii="Arial" w:hAnsi="Arial" w:cs="Arial"/>
                <w:b/>
                <w:bCs/>
                <w:sz w:val="16"/>
                <w:szCs w:val="16"/>
                <w:lang w:eastAsia="es-AR"/>
              </w:rPr>
              <w:t>as</w:t>
            </w:r>
            <w:r w:rsidRPr="002D55D1">
              <w:rPr>
                <w:rFonts w:ascii="Arial" w:hAnsi="Arial" w:cs="Arial"/>
                <w:b/>
                <w:bCs/>
                <w:sz w:val="16"/>
                <w:szCs w:val="16"/>
                <w:lang w:eastAsia="es-AR"/>
              </w:rPr>
              <w:t xml:space="preserve"> proveniente</w:t>
            </w:r>
            <w:r w:rsidR="00220DFF">
              <w:rPr>
                <w:rFonts w:ascii="Arial" w:hAnsi="Arial" w:cs="Arial"/>
                <w:b/>
                <w:bCs/>
                <w:sz w:val="16"/>
                <w:szCs w:val="16"/>
                <w:lang w:eastAsia="es-AR"/>
              </w:rPr>
              <w:t>s</w:t>
            </w:r>
            <w:r w:rsidRPr="002D55D1">
              <w:rPr>
                <w:rFonts w:ascii="Arial" w:hAnsi="Arial" w:cs="Arial"/>
                <w:b/>
                <w:bCs/>
                <w:sz w:val="16"/>
                <w:szCs w:val="16"/>
                <w:lang w:eastAsia="es-AR"/>
              </w:rPr>
              <w:t xml:space="preserve"> de activos operativos:</w:t>
            </w:r>
          </w:p>
        </w:tc>
        <w:tc>
          <w:tcPr>
            <w:tcW w:w="411" w:type="pct"/>
            <w:tcBorders>
              <w:top w:val="nil"/>
              <w:left w:val="nil"/>
              <w:bottom w:val="nil"/>
              <w:right w:val="nil"/>
            </w:tcBorders>
            <w:shd w:val="clear" w:color="auto" w:fill="auto"/>
            <w:hideMark/>
          </w:tcPr>
          <w:p w14:paraId="4A1FDE46" w14:textId="77777777" w:rsidR="005F0795" w:rsidRPr="002D55D1" w:rsidRDefault="005F0795" w:rsidP="005F079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439F0BE1" w14:textId="77777777" w:rsidR="005F0795" w:rsidRPr="00593C40" w:rsidRDefault="005F0795" w:rsidP="00AA5BDF">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47979885" w14:textId="77777777" w:rsidR="005F0795" w:rsidRPr="00593C40" w:rsidRDefault="005F0795" w:rsidP="00AA5BDF">
            <w:pPr>
              <w:jc w:val="right"/>
              <w:rPr>
                <w:rFonts w:ascii="Arial" w:hAnsi="Arial" w:cs="Arial"/>
                <w:sz w:val="16"/>
                <w:szCs w:val="16"/>
                <w:lang w:eastAsia="es-AR"/>
              </w:rPr>
            </w:pPr>
          </w:p>
        </w:tc>
      </w:tr>
      <w:tr w:rsidR="005F0795" w:rsidRPr="002D55D1" w14:paraId="5293F712" w14:textId="77777777" w:rsidTr="00AA5BDF">
        <w:trPr>
          <w:trHeight w:val="285"/>
        </w:trPr>
        <w:tc>
          <w:tcPr>
            <w:tcW w:w="3257" w:type="pct"/>
            <w:tcBorders>
              <w:top w:val="nil"/>
              <w:left w:val="nil"/>
              <w:bottom w:val="nil"/>
              <w:right w:val="nil"/>
            </w:tcBorders>
            <w:shd w:val="clear" w:color="auto" w:fill="auto"/>
            <w:vAlign w:val="center"/>
            <w:hideMark/>
          </w:tcPr>
          <w:p w14:paraId="5D262D7C"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Títulos de deuda a valor razonable con cambios en resultados</w:t>
            </w:r>
          </w:p>
        </w:tc>
        <w:tc>
          <w:tcPr>
            <w:tcW w:w="411" w:type="pct"/>
            <w:tcBorders>
              <w:top w:val="nil"/>
              <w:left w:val="nil"/>
              <w:bottom w:val="nil"/>
              <w:right w:val="nil"/>
            </w:tcBorders>
            <w:shd w:val="clear" w:color="auto" w:fill="auto"/>
            <w:hideMark/>
          </w:tcPr>
          <w:p w14:paraId="1CABE3FD"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95610A5" w14:textId="2B187A32" w:rsidR="005F0795" w:rsidRPr="00593C40" w:rsidRDefault="006765D7" w:rsidP="00AA5BDF">
            <w:pPr>
              <w:jc w:val="right"/>
              <w:rPr>
                <w:rFonts w:ascii="Arial" w:hAnsi="Arial" w:cs="Arial"/>
                <w:sz w:val="16"/>
                <w:szCs w:val="16"/>
                <w:lang w:eastAsia="es-AR"/>
              </w:rPr>
            </w:pPr>
            <w:r w:rsidRPr="006765D7">
              <w:rPr>
                <w:rFonts w:ascii="Arial" w:hAnsi="Arial" w:cs="Arial"/>
                <w:sz w:val="16"/>
                <w:szCs w:val="16"/>
                <w:lang w:eastAsia="es-AR"/>
              </w:rPr>
              <w:t>3.109.754</w:t>
            </w:r>
          </w:p>
        </w:tc>
        <w:tc>
          <w:tcPr>
            <w:tcW w:w="729" w:type="pct"/>
            <w:tcBorders>
              <w:top w:val="nil"/>
              <w:left w:val="nil"/>
              <w:bottom w:val="nil"/>
              <w:right w:val="nil"/>
            </w:tcBorders>
            <w:shd w:val="clear" w:color="auto" w:fill="auto"/>
            <w:vAlign w:val="bottom"/>
          </w:tcPr>
          <w:p w14:paraId="45C9321A" w14:textId="2870A3DF" w:rsidR="005F0795" w:rsidRPr="00593C40" w:rsidRDefault="00A81B86" w:rsidP="00AA5BDF">
            <w:pPr>
              <w:jc w:val="right"/>
              <w:rPr>
                <w:rFonts w:ascii="Arial" w:hAnsi="Arial" w:cs="Arial"/>
                <w:sz w:val="16"/>
                <w:szCs w:val="16"/>
                <w:lang w:eastAsia="es-AR"/>
              </w:rPr>
            </w:pPr>
            <w:r>
              <w:rPr>
                <w:rFonts w:ascii="Arial" w:hAnsi="Arial" w:cs="Arial"/>
                <w:sz w:val="16"/>
                <w:szCs w:val="16"/>
                <w:lang w:eastAsia="es-AR"/>
              </w:rPr>
              <w:t>-2.204.718</w:t>
            </w:r>
          </w:p>
        </w:tc>
      </w:tr>
      <w:tr w:rsidR="005F0795" w:rsidRPr="002D55D1" w14:paraId="11BAA060" w14:textId="77777777" w:rsidTr="00AA5BDF">
        <w:trPr>
          <w:trHeight w:val="285"/>
        </w:trPr>
        <w:tc>
          <w:tcPr>
            <w:tcW w:w="3257" w:type="pct"/>
            <w:tcBorders>
              <w:top w:val="nil"/>
              <w:left w:val="nil"/>
              <w:bottom w:val="nil"/>
              <w:right w:val="nil"/>
            </w:tcBorders>
            <w:shd w:val="clear" w:color="auto" w:fill="auto"/>
            <w:vAlign w:val="center"/>
            <w:hideMark/>
          </w:tcPr>
          <w:p w14:paraId="117A4F66"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Instrumentos derivados</w:t>
            </w:r>
          </w:p>
        </w:tc>
        <w:tc>
          <w:tcPr>
            <w:tcW w:w="411" w:type="pct"/>
            <w:tcBorders>
              <w:top w:val="nil"/>
              <w:left w:val="nil"/>
              <w:bottom w:val="nil"/>
              <w:right w:val="nil"/>
            </w:tcBorders>
            <w:shd w:val="clear" w:color="auto" w:fill="auto"/>
            <w:hideMark/>
          </w:tcPr>
          <w:p w14:paraId="1C44B813"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3567757" w14:textId="6E2A3B2F" w:rsidR="005F0795"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-241.663</w:t>
            </w:r>
          </w:p>
        </w:tc>
        <w:tc>
          <w:tcPr>
            <w:tcW w:w="729" w:type="pct"/>
            <w:tcBorders>
              <w:top w:val="nil"/>
              <w:left w:val="nil"/>
              <w:bottom w:val="nil"/>
              <w:right w:val="nil"/>
            </w:tcBorders>
            <w:shd w:val="clear" w:color="auto" w:fill="auto"/>
            <w:vAlign w:val="bottom"/>
          </w:tcPr>
          <w:p w14:paraId="772CEE30" w14:textId="0542586E"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10.992</w:t>
            </w:r>
          </w:p>
        </w:tc>
      </w:tr>
      <w:tr w:rsidR="005F0795" w:rsidRPr="002D55D1" w14:paraId="0E3FECA6" w14:textId="77777777" w:rsidTr="00AA5BDF">
        <w:trPr>
          <w:trHeight w:val="285"/>
        </w:trPr>
        <w:tc>
          <w:tcPr>
            <w:tcW w:w="3257" w:type="pct"/>
            <w:tcBorders>
              <w:top w:val="nil"/>
              <w:left w:val="nil"/>
              <w:bottom w:val="nil"/>
              <w:right w:val="nil"/>
            </w:tcBorders>
            <w:shd w:val="clear" w:color="auto" w:fill="auto"/>
            <w:vAlign w:val="center"/>
            <w:hideMark/>
          </w:tcPr>
          <w:p w14:paraId="3FA73CF2"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Operaciones de pase</w:t>
            </w:r>
          </w:p>
        </w:tc>
        <w:tc>
          <w:tcPr>
            <w:tcW w:w="411" w:type="pct"/>
            <w:tcBorders>
              <w:top w:val="nil"/>
              <w:left w:val="nil"/>
              <w:bottom w:val="nil"/>
              <w:right w:val="nil"/>
            </w:tcBorders>
            <w:shd w:val="clear" w:color="auto" w:fill="auto"/>
            <w:hideMark/>
          </w:tcPr>
          <w:p w14:paraId="0DD9E0FD"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A9911EA" w14:textId="65149612" w:rsidR="005F0795" w:rsidRPr="00593C40" w:rsidRDefault="006765D7" w:rsidP="00AA5BDF">
            <w:pPr>
              <w:jc w:val="right"/>
              <w:rPr>
                <w:rFonts w:ascii="Arial" w:hAnsi="Arial" w:cs="Arial"/>
                <w:sz w:val="16"/>
                <w:szCs w:val="16"/>
                <w:lang w:eastAsia="es-AR"/>
              </w:rPr>
            </w:pPr>
            <w:r>
              <w:rPr>
                <w:rFonts w:ascii="Arial" w:hAnsi="Arial" w:cs="Arial"/>
                <w:sz w:val="16"/>
                <w:szCs w:val="16"/>
                <w:lang w:eastAsia="es-AR"/>
              </w:rPr>
              <w:t>-</w:t>
            </w:r>
          </w:p>
        </w:tc>
        <w:tc>
          <w:tcPr>
            <w:tcW w:w="729" w:type="pct"/>
            <w:tcBorders>
              <w:top w:val="nil"/>
              <w:left w:val="nil"/>
              <w:bottom w:val="nil"/>
              <w:right w:val="nil"/>
            </w:tcBorders>
            <w:shd w:val="clear" w:color="auto" w:fill="auto"/>
            <w:vAlign w:val="bottom"/>
          </w:tcPr>
          <w:p w14:paraId="5D512D33" w14:textId="736017E1"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3.349.822</w:t>
            </w:r>
          </w:p>
        </w:tc>
      </w:tr>
      <w:tr w:rsidR="005F0795" w:rsidRPr="002D55D1" w14:paraId="01F5AF77" w14:textId="77777777" w:rsidTr="00AA5BDF">
        <w:trPr>
          <w:trHeight w:val="285"/>
        </w:trPr>
        <w:tc>
          <w:tcPr>
            <w:tcW w:w="3257" w:type="pct"/>
            <w:tcBorders>
              <w:top w:val="nil"/>
              <w:left w:val="nil"/>
              <w:bottom w:val="nil"/>
              <w:right w:val="nil"/>
            </w:tcBorders>
            <w:shd w:val="clear" w:color="auto" w:fill="auto"/>
            <w:vAlign w:val="center"/>
            <w:hideMark/>
          </w:tcPr>
          <w:p w14:paraId="45665E17"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Préstamos y otras financiaciones</w:t>
            </w:r>
          </w:p>
        </w:tc>
        <w:tc>
          <w:tcPr>
            <w:tcW w:w="411" w:type="pct"/>
            <w:tcBorders>
              <w:top w:val="nil"/>
              <w:left w:val="nil"/>
              <w:bottom w:val="nil"/>
              <w:right w:val="nil"/>
            </w:tcBorders>
            <w:shd w:val="clear" w:color="auto" w:fill="auto"/>
            <w:hideMark/>
          </w:tcPr>
          <w:p w14:paraId="033484A2"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0D0DA06" w14:textId="31A14C9D" w:rsidR="005F0795" w:rsidRPr="00593C40" w:rsidRDefault="005F0795" w:rsidP="00AA5BDF">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3748E13D" w14:textId="1404E773" w:rsidR="005F0795" w:rsidRPr="00593C40" w:rsidRDefault="005F0795" w:rsidP="00AA5BDF">
            <w:pPr>
              <w:jc w:val="right"/>
              <w:rPr>
                <w:rFonts w:ascii="Arial" w:hAnsi="Arial" w:cs="Arial"/>
                <w:sz w:val="16"/>
                <w:szCs w:val="16"/>
                <w:lang w:eastAsia="es-AR"/>
              </w:rPr>
            </w:pPr>
          </w:p>
        </w:tc>
      </w:tr>
      <w:tr w:rsidR="005F0795" w:rsidRPr="002D55D1" w14:paraId="6E1DB0CA" w14:textId="77777777" w:rsidTr="00AA5BDF">
        <w:trPr>
          <w:trHeight w:val="285"/>
        </w:trPr>
        <w:tc>
          <w:tcPr>
            <w:tcW w:w="3257" w:type="pct"/>
            <w:tcBorders>
              <w:top w:val="nil"/>
              <w:left w:val="nil"/>
              <w:bottom w:val="nil"/>
              <w:right w:val="nil"/>
            </w:tcBorders>
            <w:shd w:val="clear" w:color="auto" w:fill="auto"/>
            <w:vAlign w:val="center"/>
            <w:hideMark/>
          </w:tcPr>
          <w:p w14:paraId="49591496" w14:textId="77777777" w:rsidR="005F0795" w:rsidRPr="002D55D1" w:rsidRDefault="005F0795" w:rsidP="00CD2AEF">
            <w:pPr>
              <w:ind w:firstLineChars="200" w:firstLine="320"/>
              <w:rPr>
                <w:rFonts w:ascii="Arial" w:hAnsi="Arial" w:cs="Arial"/>
                <w:sz w:val="16"/>
                <w:szCs w:val="16"/>
                <w:lang w:eastAsia="es-AR"/>
              </w:rPr>
            </w:pPr>
            <w:r w:rsidRPr="002D55D1">
              <w:rPr>
                <w:rFonts w:ascii="Arial" w:hAnsi="Arial" w:cs="Arial"/>
                <w:sz w:val="16"/>
                <w:szCs w:val="16"/>
                <w:lang w:eastAsia="es-AR"/>
              </w:rPr>
              <w:t>Sector Público no Financiero</w:t>
            </w:r>
          </w:p>
        </w:tc>
        <w:tc>
          <w:tcPr>
            <w:tcW w:w="411" w:type="pct"/>
            <w:tcBorders>
              <w:top w:val="nil"/>
              <w:left w:val="nil"/>
              <w:bottom w:val="nil"/>
              <w:right w:val="nil"/>
            </w:tcBorders>
            <w:shd w:val="clear" w:color="auto" w:fill="auto"/>
            <w:hideMark/>
          </w:tcPr>
          <w:p w14:paraId="7977ACB6" w14:textId="77777777" w:rsidR="005F0795" w:rsidRPr="002D55D1" w:rsidRDefault="005F0795" w:rsidP="005F0795">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F29BA60" w14:textId="19FC5C27" w:rsidR="005F0795"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6.059</w:t>
            </w:r>
          </w:p>
        </w:tc>
        <w:tc>
          <w:tcPr>
            <w:tcW w:w="729" w:type="pct"/>
            <w:tcBorders>
              <w:top w:val="nil"/>
              <w:left w:val="nil"/>
              <w:bottom w:val="nil"/>
              <w:right w:val="nil"/>
            </w:tcBorders>
            <w:shd w:val="clear" w:color="auto" w:fill="auto"/>
            <w:vAlign w:val="bottom"/>
          </w:tcPr>
          <w:p w14:paraId="7EDFE33E" w14:textId="7CDE9C4A"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2.783</w:t>
            </w:r>
          </w:p>
        </w:tc>
      </w:tr>
      <w:tr w:rsidR="005F0795" w:rsidRPr="002D55D1" w14:paraId="2F3EFCEB" w14:textId="77777777" w:rsidTr="00AA5BDF">
        <w:trPr>
          <w:trHeight w:val="285"/>
        </w:trPr>
        <w:tc>
          <w:tcPr>
            <w:tcW w:w="3257" w:type="pct"/>
            <w:tcBorders>
              <w:top w:val="nil"/>
              <w:left w:val="nil"/>
              <w:bottom w:val="nil"/>
              <w:right w:val="nil"/>
            </w:tcBorders>
            <w:shd w:val="clear" w:color="auto" w:fill="auto"/>
            <w:vAlign w:val="center"/>
            <w:hideMark/>
          </w:tcPr>
          <w:p w14:paraId="04142B8C" w14:textId="77777777" w:rsidR="005F0795" w:rsidRPr="002D55D1" w:rsidRDefault="005F0795" w:rsidP="00CD2AEF">
            <w:pPr>
              <w:ind w:firstLineChars="200" w:firstLine="320"/>
              <w:rPr>
                <w:rFonts w:ascii="Arial" w:hAnsi="Arial" w:cs="Arial"/>
                <w:sz w:val="16"/>
                <w:szCs w:val="16"/>
                <w:lang w:eastAsia="es-AR"/>
              </w:rPr>
            </w:pPr>
            <w:r w:rsidRPr="002D55D1">
              <w:rPr>
                <w:rFonts w:ascii="Arial" w:hAnsi="Arial" w:cs="Arial"/>
                <w:sz w:val="16"/>
                <w:szCs w:val="16"/>
                <w:lang w:eastAsia="es-AR"/>
              </w:rPr>
              <w:t>Otras Entidades financieras</w:t>
            </w:r>
          </w:p>
        </w:tc>
        <w:tc>
          <w:tcPr>
            <w:tcW w:w="411" w:type="pct"/>
            <w:tcBorders>
              <w:top w:val="nil"/>
              <w:left w:val="nil"/>
              <w:bottom w:val="nil"/>
              <w:right w:val="nil"/>
            </w:tcBorders>
            <w:shd w:val="clear" w:color="auto" w:fill="auto"/>
            <w:hideMark/>
          </w:tcPr>
          <w:p w14:paraId="14D75E92" w14:textId="77777777" w:rsidR="005F0795" w:rsidRPr="002D55D1" w:rsidRDefault="005F0795" w:rsidP="005F0795">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553D02C" w14:textId="7E30A2B3" w:rsidR="005F0795"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356.720</w:t>
            </w:r>
          </w:p>
        </w:tc>
        <w:tc>
          <w:tcPr>
            <w:tcW w:w="729" w:type="pct"/>
            <w:tcBorders>
              <w:top w:val="nil"/>
              <w:left w:val="nil"/>
              <w:bottom w:val="nil"/>
              <w:right w:val="nil"/>
            </w:tcBorders>
            <w:shd w:val="clear" w:color="auto" w:fill="auto"/>
            <w:vAlign w:val="bottom"/>
          </w:tcPr>
          <w:p w14:paraId="1B65E641" w14:textId="0A929809"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20.454</w:t>
            </w:r>
          </w:p>
        </w:tc>
      </w:tr>
      <w:tr w:rsidR="005F0795" w:rsidRPr="002D55D1" w14:paraId="630F6D29" w14:textId="77777777" w:rsidTr="00BF746E">
        <w:trPr>
          <w:trHeight w:val="285"/>
        </w:trPr>
        <w:tc>
          <w:tcPr>
            <w:tcW w:w="3257" w:type="pct"/>
            <w:tcBorders>
              <w:top w:val="nil"/>
              <w:left w:val="nil"/>
              <w:bottom w:val="nil"/>
              <w:right w:val="nil"/>
            </w:tcBorders>
            <w:shd w:val="clear" w:color="auto" w:fill="auto"/>
            <w:vAlign w:val="center"/>
            <w:hideMark/>
          </w:tcPr>
          <w:p w14:paraId="1E798AC8" w14:textId="77777777" w:rsidR="005F0795" w:rsidRPr="002D55D1" w:rsidRDefault="005F0795" w:rsidP="00CD2AEF">
            <w:pPr>
              <w:ind w:firstLineChars="200" w:firstLine="320"/>
              <w:rPr>
                <w:rFonts w:ascii="Arial" w:hAnsi="Arial" w:cs="Arial"/>
                <w:sz w:val="16"/>
                <w:szCs w:val="16"/>
                <w:lang w:eastAsia="es-AR"/>
              </w:rPr>
            </w:pPr>
            <w:r w:rsidRPr="002D55D1">
              <w:rPr>
                <w:rFonts w:ascii="Arial" w:hAnsi="Arial" w:cs="Arial"/>
                <w:sz w:val="16"/>
                <w:szCs w:val="16"/>
                <w:lang w:eastAsia="es-AR"/>
              </w:rPr>
              <w:t>Sector Privado no Financiero y Residentes en el exterior</w:t>
            </w:r>
          </w:p>
        </w:tc>
        <w:tc>
          <w:tcPr>
            <w:tcW w:w="411" w:type="pct"/>
            <w:tcBorders>
              <w:top w:val="nil"/>
              <w:left w:val="nil"/>
              <w:bottom w:val="nil"/>
              <w:right w:val="nil"/>
            </w:tcBorders>
            <w:shd w:val="clear" w:color="auto" w:fill="auto"/>
            <w:hideMark/>
          </w:tcPr>
          <w:p w14:paraId="37CDD21B" w14:textId="77777777" w:rsidR="005F0795" w:rsidRPr="002D55D1" w:rsidRDefault="005F0795" w:rsidP="005F0795">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6E02192B" w14:textId="42A791A5" w:rsidR="005F0795" w:rsidRPr="00593C40" w:rsidRDefault="00E464B2">
            <w:pPr>
              <w:jc w:val="right"/>
              <w:rPr>
                <w:rFonts w:ascii="Arial" w:hAnsi="Arial" w:cs="Arial"/>
                <w:sz w:val="16"/>
                <w:szCs w:val="16"/>
                <w:lang w:eastAsia="es-AR"/>
              </w:rPr>
            </w:pPr>
            <w:r w:rsidRPr="00E464B2">
              <w:rPr>
                <w:rFonts w:ascii="Arial" w:hAnsi="Arial" w:cs="Arial"/>
                <w:sz w:val="16"/>
                <w:szCs w:val="16"/>
                <w:lang w:eastAsia="es-AR"/>
              </w:rPr>
              <w:t>-9.872.934</w:t>
            </w:r>
          </w:p>
        </w:tc>
        <w:tc>
          <w:tcPr>
            <w:tcW w:w="729" w:type="pct"/>
            <w:tcBorders>
              <w:top w:val="nil"/>
              <w:left w:val="nil"/>
              <w:bottom w:val="nil"/>
              <w:right w:val="nil"/>
            </w:tcBorders>
            <w:shd w:val="clear" w:color="auto" w:fill="auto"/>
            <w:vAlign w:val="bottom"/>
          </w:tcPr>
          <w:p w14:paraId="618C6BC6" w14:textId="752D21DD"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-15.757.126</w:t>
            </w:r>
          </w:p>
        </w:tc>
      </w:tr>
      <w:tr w:rsidR="005F0795" w:rsidRPr="002D55D1" w14:paraId="104030E8" w14:textId="77777777" w:rsidTr="00AA5BDF">
        <w:trPr>
          <w:trHeight w:val="285"/>
        </w:trPr>
        <w:tc>
          <w:tcPr>
            <w:tcW w:w="3257" w:type="pct"/>
            <w:tcBorders>
              <w:top w:val="nil"/>
              <w:left w:val="nil"/>
              <w:bottom w:val="nil"/>
              <w:right w:val="nil"/>
            </w:tcBorders>
            <w:shd w:val="clear" w:color="auto" w:fill="auto"/>
            <w:vAlign w:val="center"/>
            <w:hideMark/>
          </w:tcPr>
          <w:p w14:paraId="61DB9CC1"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Otros Títulos de Deuda</w:t>
            </w:r>
          </w:p>
        </w:tc>
        <w:tc>
          <w:tcPr>
            <w:tcW w:w="411" w:type="pct"/>
            <w:tcBorders>
              <w:top w:val="nil"/>
              <w:left w:val="nil"/>
              <w:bottom w:val="nil"/>
              <w:right w:val="nil"/>
            </w:tcBorders>
            <w:shd w:val="clear" w:color="auto" w:fill="auto"/>
            <w:hideMark/>
          </w:tcPr>
          <w:p w14:paraId="4119704E"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7F63229" w14:textId="4B6666EC" w:rsidR="005F0795"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-6.126.846</w:t>
            </w:r>
          </w:p>
        </w:tc>
        <w:tc>
          <w:tcPr>
            <w:tcW w:w="729" w:type="pct"/>
            <w:tcBorders>
              <w:top w:val="nil"/>
              <w:left w:val="nil"/>
              <w:bottom w:val="nil"/>
              <w:right w:val="nil"/>
            </w:tcBorders>
            <w:shd w:val="clear" w:color="auto" w:fill="auto"/>
            <w:vAlign w:val="bottom"/>
          </w:tcPr>
          <w:p w14:paraId="0AEF0FDC" w14:textId="4B4CC83A" w:rsidR="005F0795" w:rsidRPr="00593C40" w:rsidRDefault="001F5CC1" w:rsidP="001F5CC1">
            <w:pPr>
              <w:ind w:left="432" w:hanging="432"/>
              <w:jc w:val="right"/>
              <w:rPr>
                <w:rFonts w:ascii="Arial" w:hAnsi="Arial" w:cs="Arial"/>
                <w:sz w:val="16"/>
                <w:szCs w:val="16"/>
                <w:lang w:eastAsia="es-AR"/>
              </w:rPr>
            </w:pPr>
            <w:r>
              <w:rPr>
                <w:rFonts w:ascii="Arial" w:hAnsi="Arial" w:cs="Arial"/>
                <w:sz w:val="16"/>
                <w:szCs w:val="16"/>
                <w:lang w:eastAsia="es-AR"/>
              </w:rPr>
              <w:t>-3.877.490</w:t>
            </w:r>
          </w:p>
        </w:tc>
      </w:tr>
      <w:tr w:rsidR="005F0795" w:rsidRPr="002D55D1" w14:paraId="69099AC9" w14:textId="77777777" w:rsidTr="00AA5BDF">
        <w:trPr>
          <w:trHeight w:val="285"/>
        </w:trPr>
        <w:tc>
          <w:tcPr>
            <w:tcW w:w="3257" w:type="pct"/>
            <w:tcBorders>
              <w:top w:val="nil"/>
              <w:left w:val="nil"/>
              <w:bottom w:val="nil"/>
              <w:right w:val="nil"/>
            </w:tcBorders>
            <w:shd w:val="clear" w:color="auto" w:fill="auto"/>
            <w:vAlign w:val="center"/>
            <w:hideMark/>
          </w:tcPr>
          <w:p w14:paraId="09A100C9"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Activos financieros entregados en garantía</w:t>
            </w:r>
          </w:p>
        </w:tc>
        <w:tc>
          <w:tcPr>
            <w:tcW w:w="411" w:type="pct"/>
            <w:tcBorders>
              <w:top w:val="nil"/>
              <w:left w:val="nil"/>
              <w:bottom w:val="nil"/>
              <w:right w:val="nil"/>
            </w:tcBorders>
            <w:shd w:val="clear" w:color="auto" w:fill="auto"/>
            <w:hideMark/>
          </w:tcPr>
          <w:p w14:paraId="00A7E3F5"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43E0E5AD" w14:textId="439E96A9" w:rsidR="005F0795" w:rsidRPr="00593C40" w:rsidRDefault="00A81B86">
            <w:pPr>
              <w:jc w:val="right"/>
              <w:rPr>
                <w:rFonts w:ascii="Arial" w:hAnsi="Arial" w:cs="Arial"/>
                <w:sz w:val="16"/>
                <w:szCs w:val="16"/>
                <w:lang w:eastAsia="es-AR"/>
              </w:rPr>
            </w:pPr>
            <w:r w:rsidRPr="00A81B86">
              <w:rPr>
                <w:rFonts w:ascii="Arial" w:hAnsi="Arial" w:cs="Arial"/>
                <w:sz w:val="16"/>
                <w:szCs w:val="16"/>
                <w:lang w:eastAsia="es-AR"/>
              </w:rPr>
              <w:t>-3.325.184</w:t>
            </w:r>
          </w:p>
        </w:tc>
        <w:tc>
          <w:tcPr>
            <w:tcW w:w="729" w:type="pct"/>
            <w:tcBorders>
              <w:top w:val="nil"/>
              <w:left w:val="nil"/>
              <w:bottom w:val="nil"/>
              <w:right w:val="nil"/>
            </w:tcBorders>
            <w:shd w:val="clear" w:color="auto" w:fill="auto"/>
            <w:vAlign w:val="bottom"/>
          </w:tcPr>
          <w:p w14:paraId="25D7F61E" w14:textId="6BC84ABE"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-702.661</w:t>
            </w:r>
          </w:p>
        </w:tc>
      </w:tr>
      <w:tr w:rsidR="005F0795" w:rsidRPr="002D55D1" w14:paraId="720371DF" w14:textId="77777777" w:rsidTr="00AA5BDF">
        <w:trPr>
          <w:trHeight w:val="285"/>
        </w:trPr>
        <w:tc>
          <w:tcPr>
            <w:tcW w:w="3257" w:type="pct"/>
            <w:tcBorders>
              <w:top w:val="nil"/>
              <w:left w:val="nil"/>
              <w:bottom w:val="nil"/>
              <w:right w:val="nil"/>
            </w:tcBorders>
            <w:shd w:val="clear" w:color="auto" w:fill="auto"/>
            <w:vAlign w:val="center"/>
            <w:hideMark/>
          </w:tcPr>
          <w:p w14:paraId="30841292" w14:textId="784CD963" w:rsidR="005F0795" w:rsidRPr="002D55D1" w:rsidRDefault="002B72BA" w:rsidP="00CD2AEF">
            <w:pPr>
              <w:rPr>
                <w:rFonts w:ascii="Arial" w:hAnsi="Arial" w:cs="Arial"/>
                <w:sz w:val="16"/>
                <w:szCs w:val="16"/>
                <w:lang w:eastAsia="es-AR"/>
              </w:rPr>
            </w:pPr>
            <w:r>
              <w:rPr>
                <w:rFonts w:ascii="Arial" w:hAnsi="Arial" w:cs="Arial"/>
                <w:sz w:val="16"/>
                <w:szCs w:val="16"/>
                <w:lang w:eastAsia="es-AR"/>
              </w:rPr>
              <w:t xml:space="preserve">   </w:t>
            </w:r>
            <w:r w:rsidR="005F0795" w:rsidRPr="002D55D1">
              <w:rPr>
                <w:rFonts w:ascii="Arial" w:hAnsi="Arial" w:cs="Arial"/>
                <w:sz w:val="16"/>
                <w:szCs w:val="16"/>
                <w:lang w:eastAsia="es-AR"/>
              </w:rPr>
              <w:t>Inversiones en Instrumentos de Patrimonio</w:t>
            </w:r>
          </w:p>
        </w:tc>
        <w:tc>
          <w:tcPr>
            <w:tcW w:w="411" w:type="pct"/>
            <w:tcBorders>
              <w:top w:val="nil"/>
              <w:left w:val="nil"/>
              <w:bottom w:val="nil"/>
              <w:right w:val="nil"/>
            </w:tcBorders>
            <w:shd w:val="clear" w:color="auto" w:fill="auto"/>
            <w:hideMark/>
          </w:tcPr>
          <w:p w14:paraId="55C9470D"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5B799A9" w14:textId="1B68FE18" w:rsidR="005F0795"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-4.193</w:t>
            </w:r>
          </w:p>
        </w:tc>
        <w:tc>
          <w:tcPr>
            <w:tcW w:w="729" w:type="pct"/>
            <w:tcBorders>
              <w:top w:val="nil"/>
              <w:left w:val="nil"/>
              <w:bottom w:val="nil"/>
              <w:right w:val="nil"/>
            </w:tcBorders>
            <w:shd w:val="clear" w:color="auto" w:fill="auto"/>
            <w:vAlign w:val="bottom"/>
          </w:tcPr>
          <w:p w14:paraId="0F8EBD5E" w14:textId="0A6E00F0"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36.398</w:t>
            </w:r>
          </w:p>
        </w:tc>
      </w:tr>
      <w:tr w:rsidR="005F0795" w:rsidRPr="002D55D1" w14:paraId="277BF611" w14:textId="77777777" w:rsidTr="00AA5BDF">
        <w:trPr>
          <w:trHeight w:val="285"/>
        </w:trPr>
        <w:tc>
          <w:tcPr>
            <w:tcW w:w="3257" w:type="pct"/>
            <w:tcBorders>
              <w:top w:val="nil"/>
              <w:left w:val="nil"/>
              <w:bottom w:val="nil"/>
              <w:right w:val="nil"/>
            </w:tcBorders>
            <w:shd w:val="clear" w:color="auto" w:fill="auto"/>
            <w:vAlign w:val="center"/>
            <w:hideMark/>
          </w:tcPr>
          <w:p w14:paraId="09347718"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Otros activos</w:t>
            </w:r>
          </w:p>
        </w:tc>
        <w:tc>
          <w:tcPr>
            <w:tcW w:w="411" w:type="pct"/>
            <w:tcBorders>
              <w:top w:val="nil"/>
              <w:left w:val="nil"/>
              <w:bottom w:val="nil"/>
              <w:right w:val="nil"/>
            </w:tcBorders>
            <w:shd w:val="clear" w:color="auto" w:fill="auto"/>
            <w:hideMark/>
          </w:tcPr>
          <w:p w14:paraId="3CC98998"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AB056B3" w14:textId="14E62C06" w:rsidR="005F0795" w:rsidRPr="00593C40" w:rsidRDefault="00676628" w:rsidP="00AA5BDF">
            <w:pPr>
              <w:jc w:val="right"/>
              <w:rPr>
                <w:rFonts w:ascii="Arial" w:hAnsi="Arial" w:cs="Arial"/>
                <w:sz w:val="16"/>
                <w:szCs w:val="16"/>
                <w:lang w:eastAsia="es-AR"/>
              </w:rPr>
            </w:pPr>
            <w:r w:rsidRPr="00676628">
              <w:rPr>
                <w:rFonts w:ascii="Arial" w:hAnsi="Arial" w:cs="Arial"/>
                <w:sz w:val="16"/>
                <w:szCs w:val="16"/>
                <w:lang w:eastAsia="es-AR"/>
              </w:rPr>
              <w:t xml:space="preserve">-898.237 </w:t>
            </w:r>
          </w:p>
        </w:tc>
        <w:tc>
          <w:tcPr>
            <w:tcW w:w="729" w:type="pct"/>
            <w:tcBorders>
              <w:top w:val="nil"/>
              <w:left w:val="nil"/>
              <w:bottom w:val="nil"/>
              <w:right w:val="nil"/>
            </w:tcBorders>
            <w:shd w:val="clear" w:color="auto" w:fill="auto"/>
            <w:vAlign w:val="bottom"/>
          </w:tcPr>
          <w:p w14:paraId="79FAD9A1" w14:textId="1899A4A3"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-1.100.974</w:t>
            </w:r>
          </w:p>
        </w:tc>
      </w:tr>
      <w:tr w:rsidR="005F0795" w:rsidRPr="00593C40" w14:paraId="4CD9B466" w14:textId="77777777" w:rsidTr="00AA5BDF">
        <w:trPr>
          <w:trHeight w:val="134"/>
        </w:trPr>
        <w:tc>
          <w:tcPr>
            <w:tcW w:w="3257" w:type="pct"/>
            <w:tcBorders>
              <w:top w:val="nil"/>
              <w:left w:val="nil"/>
              <w:bottom w:val="nil"/>
              <w:right w:val="nil"/>
            </w:tcBorders>
            <w:shd w:val="clear" w:color="auto" w:fill="auto"/>
            <w:vAlign w:val="center"/>
            <w:hideMark/>
          </w:tcPr>
          <w:p w14:paraId="599BB853" w14:textId="77777777" w:rsidR="005F0795" w:rsidRPr="00593C40" w:rsidRDefault="005F0795" w:rsidP="00CD2AEF">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45FB334D" w14:textId="77777777" w:rsidR="005F0795" w:rsidRPr="00593C40" w:rsidRDefault="005F0795" w:rsidP="005F0795">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50EBE112" w14:textId="77777777" w:rsidR="005F0795" w:rsidRPr="00593C40" w:rsidRDefault="005F0795" w:rsidP="00AA5BDF">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0426500D" w14:textId="77777777" w:rsidR="005F0795" w:rsidRPr="00593C40" w:rsidRDefault="005F0795" w:rsidP="00AA5BDF">
            <w:pPr>
              <w:jc w:val="right"/>
              <w:rPr>
                <w:rFonts w:ascii="Arial" w:hAnsi="Arial" w:cs="Arial"/>
                <w:sz w:val="10"/>
                <w:szCs w:val="10"/>
                <w:lang w:eastAsia="es-AR"/>
              </w:rPr>
            </w:pPr>
          </w:p>
        </w:tc>
      </w:tr>
      <w:tr w:rsidR="005F0795" w:rsidRPr="002D55D1" w14:paraId="64CADBF7" w14:textId="77777777" w:rsidTr="00AA5BDF">
        <w:trPr>
          <w:trHeight w:val="277"/>
        </w:trPr>
        <w:tc>
          <w:tcPr>
            <w:tcW w:w="3257" w:type="pct"/>
            <w:tcBorders>
              <w:top w:val="nil"/>
              <w:left w:val="nil"/>
              <w:bottom w:val="nil"/>
              <w:right w:val="nil"/>
            </w:tcBorders>
            <w:shd w:val="clear" w:color="auto" w:fill="auto"/>
            <w:vAlign w:val="center"/>
            <w:hideMark/>
          </w:tcPr>
          <w:p w14:paraId="56EA974D" w14:textId="72FABD50" w:rsidR="005F0795" w:rsidRPr="002D55D1" w:rsidRDefault="005F0795" w:rsidP="00CD2AEF">
            <w:pPr>
              <w:rPr>
                <w:rFonts w:ascii="Arial" w:hAnsi="Arial" w:cs="Arial"/>
                <w:b/>
                <w:bCs/>
                <w:sz w:val="16"/>
                <w:szCs w:val="16"/>
                <w:lang w:eastAsia="es-AR"/>
              </w:rPr>
            </w:pPr>
            <w:r w:rsidRPr="002D55D1">
              <w:rPr>
                <w:rFonts w:ascii="Arial" w:hAnsi="Arial" w:cs="Arial"/>
                <w:b/>
                <w:bCs/>
                <w:sz w:val="16"/>
                <w:szCs w:val="16"/>
                <w:lang w:eastAsia="es-AR"/>
              </w:rPr>
              <w:t>Aumentos / disminuciones netas proveniente</w:t>
            </w:r>
            <w:r w:rsidR="00220DFF">
              <w:rPr>
                <w:rFonts w:ascii="Arial" w:hAnsi="Arial" w:cs="Arial"/>
                <w:b/>
                <w:bCs/>
                <w:sz w:val="16"/>
                <w:szCs w:val="16"/>
                <w:lang w:eastAsia="es-AR"/>
              </w:rPr>
              <w:t>s</w:t>
            </w:r>
            <w:r w:rsidRPr="002D55D1">
              <w:rPr>
                <w:rFonts w:ascii="Arial" w:hAnsi="Arial" w:cs="Arial"/>
                <w:b/>
                <w:bCs/>
                <w:sz w:val="16"/>
                <w:szCs w:val="16"/>
                <w:lang w:eastAsia="es-AR"/>
              </w:rPr>
              <w:t xml:space="preserve"> de pasivos operativos:</w:t>
            </w:r>
          </w:p>
        </w:tc>
        <w:tc>
          <w:tcPr>
            <w:tcW w:w="411" w:type="pct"/>
            <w:tcBorders>
              <w:top w:val="nil"/>
              <w:left w:val="nil"/>
              <w:bottom w:val="nil"/>
              <w:right w:val="nil"/>
            </w:tcBorders>
            <w:shd w:val="clear" w:color="auto" w:fill="auto"/>
            <w:hideMark/>
          </w:tcPr>
          <w:p w14:paraId="00BB548C" w14:textId="77777777" w:rsidR="005F0795" w:rsidRPr="002D55D1" w:rsidRDefault="005F0795" w:rsidP="005F079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2DA71DBB" w14:textId="77777777" w:rsidR="005F0795" w:rsidRPr="00593C40" w:rsidRDefault="005F0795" w:rsidP="00AA5BDF">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7F2C627A" w14:textId="77777777" w:rsidR="005F0795" w:rsidRPr="00593C40" w:rsidRDefault="005F0795" w:rsidP="00AA5BDF">
            <w:pPr>
              <w:jc w:val="right"/>
              <w:rPr>
                <w:rFonts w:ascii="Arial" w:hAnsi="Arial" w:cs="Arial"/>
                <w:sz w:val="16"/>
                <w:szCs w:val="16"/>
                <w:lang w:eastAsia="es-AR"/>
              </w:rPr>
            </w:pPr>
          </w:p>
        </w:tc>
      </w:tr>
      <w:tr w:rsidR="005F0795" w:rsidRPr="002D55D1" w14:paraId="6CFAA06E" w14:textId="77777777" w:rsidTr="00AA5BDF">
        <w:trPr>
          <w:trHeight w:val="285"/>
        </w:trPr>
        <w:tc>
          <w:tcPr>
            <w:tcW w:w="3257" w:type="pct"/>
            <w:tcBorders>
              <w:top w:val="nil"/>
              <w:left w:val="nil"/>
              <w:bottom w:val="nil"/>
              <w:right w:val="nil"/>
            </w:tcBorders>
            <w:shd w:val="clear" w:color="auto" w:fill="auto"/>
            <w:vAlign w:val="center"/>
            <w:hideMark/>
          </w:tcPr>
          <w:p w14:paraId="55657BB4"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Depósitos</w:t>
            </w:r>
          </w:p>
        </w:tc>
        <w:tc>
          <w:tcPr>
            <w:tcW w:w="411" w:type="pct"/>
            <w:tcBorders>
              <w:top w:val="nil"/>
              <w:left w:val="nil"/>
              <w:bottom w:val="nil"/>
              <w:right w:val="nil"/>
            </w:tcBorders>
            <w:shd w:val="clear" w:color="auto" w:fill="auto"/>
            <w:hideMark/>
          </w:tcPr>
          <w:p w14:paraId="31479497"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21C236C" w14:textId="77777777" w:rsidR="005F0795" w:rsidRPr="00593C40" w:rsidRDefault="005F0795" w:rsidP="00AA5BDF">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2C87B369" w14:textId="77777777" w:rsidR="005F0795" w:rsidRPr="00593C40" w:rsidRDefault="005F0795" w:rsidP="00AA5BDF">
            <w:pPr>
              <w:jc w:val="right"/>
              <w:rPr>
                <w:rFonts w:ascii="Arial" w:hAnsi="Arial" w:cs="Arial"/>
                <w:sz w:val="16"/>
                <w:szCs w:val="16"/>
                <w:lang w:eastAsia="es-AR"/>
              </w:rPr>
            </w:pPr>
          </w:p>
        </w:tc>
      </w:tr>
      <w:tr w:rsidR="005F0795" w:rsidRPr="002D55D1" w14:paraId="7E505FFF" w14:textId="77777777" w:rsidTr="00AA5BDF">
        <w:trPr>
          <w:trHeight w:val="285"/>
        </w:trPr>
        <w:tc>
          <w:tcPr>
            <w:tcW w:w="3257" w:type="pct"/>
            <w:tcBorders>
              <w:top w:val="nil"/>
              <w:left w:val="nil"/>
              <w:bottom w:val="nil"/>
              <w:right w:val="nil"/>
            </w:tcBorders>
            <w:shd w:val="clear" w:color="auto" w:fill="auto"/>
            <w:vAlign w:val="center"/>
            <w:hideMark/>
          </w:tcPr>
          <w:p w14:paraId="65E97B45" w14:textId="77777777" w:rsidR="005F0795" w:rsidRPr="002D55D1" w:rsidRDefault="005F0795" w:rsidP="00CD2AEF">
            <w:pPr>
              <w:ind w:firstLineChars="200" w:firstLine="320"/>
              <w:rPr>
                <w:rFonts w:ascii="Arial" w:hAnsi="Arial" w:cs="Arial"/>
                <w:sz w:val="16"/>
                <w:szCs w:val="16"/>
                <w:lang w:eastAsia="es-AR"/>
              </w:rPr>
            </w:pPr>
            <w:r w:rsidRPr="002D55D1">
              <w:rPr>
                <w:rFonts w:ascii="Arial" w:hAnsi="Arial" w:cs="Arial"/>
                <w:sz w:val="16"/>
                <w:szCs w:val="16"/>
                <w:lang w:eastAsia="es-AR"/>
              </w:rPr>
              <w:t>Sector Público no Financiero</w:t>
            </w:r>
          </w:p>
        </w:tc>
        <w:tc>
          <w:tcPr>
            <w:tcW w:w="411" w:type="pct"/>
            <w:tcBorders>
              <w:top w:val="nil"/>
              <w:left w:val="nil"/>
              <w:bottom w:val="nil"/>
              <w:right w:val="nil"/>
            </w:tcBorders>
            <w:shd w:val="clear" w:color="auto" w:fill="auto"/>
            <w:hideMark/>
          </w:tcPr>
          <w:p w14:paraId="492AE1B4" w14:textId="77777777" w:rsidR="005F0795" w:rsidRPr="002D55D1" w:rsidRDefault="005F0795" w:rsidP="005F0795">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D2195DA" w14:textId="7C68563A" w:rsidR="005F0795"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-5.666.104</w:t>
            </w:r>
          </w:p>
        </w:tc>
        <w:tc>
          <w:tcPr>
            <w:tcW w:w="729" w:type="pct"/>
            <w:tcBorders>
              <w:top w:val="nil"/>
              <w:left w:val="nil"/>
              <w:bottom w:val="nil"/>
              <w:right w:val="nil"/>
            </w:tcBorders>
            <w:shd w:val="clear" w:color="auto" w:fill="auto"/>
            <w:vAlign w:val="bottom"/>
          </w:tcPr>
          <w:p w14:paraId="5C7E8F68" w14:textId="097706DD"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4.887.925</w:t>
            </w:r>
          </w:p>
        </w:tc>
      </w:tr>
      <w:tr w:rsidR="005F0795" w:rsidRPr="002D55D1" w14:paraId="48E07A71" w14:textId="77777777" w:rsidTr="00AA5BDF">
        <w:trPr>
          <w:trHeight w:val="285"/>
        </w:trPr>
        <w:tc>
          <w:tcPr>
            <w:tcW w:w="3257" w:type="pct"/>
            <w:tcBorders>
              <w:top w:val="nil"/>
              <w:left w:val="nil"/>
              <w:bottom w:val="nil"/>
              <w:right w:val="nil"/>
            </w:tcBorders>
            <w:shd w:val="clear" w:color="auto" w:fill="auto"/>
            <w:vAlign w:val="center"/>
            <w:hideMark/>
          </w:tcPr>
          <w:p w14:paraId="6C7FA3F5" w14:textId="77777777" w:rsidR="005F0795" w:rsidRPr="002D55D1" w:rsidRDefault="005F0795" w:rsidP="00CD2AEF">
            <w:pPr>
              <w:ind w:firstLineChars="200" w:firstLine="320"/>
              <w:rPr>
                <w:rFonts w:ascii="Arial" w:hAnsi="Arial" w:cs="Arial"/>
                <w:sz w:val="16"/>
                <w:szCs w:val="16"/>
                <w:lang w:eastAsia="es-AR"/>
              </w:rPr>
            </w:pPr>
            <w:r w:rsidRPr="002D55D1">
              <w:rPr>
                <w:rFonts w:ascii="Arial" w:hAnsi="Arial" w:cs="Arial"/>
                <w:sz w:val="16"/>
                <w:szCs w:val="16"/>
                <w:lang w:eastAsia="es-AR"/>
              </w:rPr>
              <w:t>Sector Financiero</w:t>
            </w:r>
          </w:p>
        </w:tc>
        <w:tc>
          <w:tcPr>
            <w:tcW w:w="411" w:type="pct"/>
            <w:tcBorders>
              <w:top w:val="nil"/>
              <w:left w:val="nil"/>
              <w:bottom w:val="nil"/>
              <w:right w:val="nil"/>
            </w:tcBorders>
            <w:shd w:val="clear" w:color="auto" w:fill="auto"/>
            <w:hideMark/>
          </w:tcPr>
          <w:p w14:paraId="77C1E49D" w14:textId="77777777" w:rsidR="005F0795" w:rsidRPr="002D55D1" w:rsidRDefault="005F0795" w:rsidP="005F0795">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646C498D" w14:textId="6751FE94" w:rsidR="005F0795"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2.862</w:t>
            </w:r>
          </w:p>
        </w:tc>
        <w:tc>
          <w:tcPr>
            <w:tcW w:w="729" w:type="pct"/>
            <w:tcBorders>
              <w:top w:val="nil"/>
              <w:left w:val="nil"/>
              <w:bottom w:val="nil"/>
              <w:right w:val="nil"/>
            </w:tcBorders>
            <w:shd w:val="clear" w:color="auto" w:fill="auto"/>
            <w:vAlign w:val="bottom"/>
          </w:tcPr>
          <w:p w14:paraId="294EA36E" w14:textId="728B7D5C"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9.534</w:t>
            </w:r>
          </w:p>
        </w:tc>
      </w:tr>
      <w:tr w:rsidR="005F0795" w:rsidRPr="002D55D1" w14:paraId="331CD2B7" w14:textId="77777777" w:rsidTr="00AA5BDF">
        <w:trPr>
          <w:trHeight w:val="285"/>
        </w:trPr>
        <w:tc>
          <w:tcPr>
            <w:tcW w:w="3257" w:type="pct"/>
            <w:tcBorders>
              <w:top w:val="nil"/>
              <w:left w:val="nil"/>
              <w:right w:val="nil"/>
            </w:tcBorders>
            <w:shd w:val="clear" w:color="auto" w:fill="auto"/>
            <w:vAlign w:val="center"/>
            <w:hideMark/>
          </w:tcPr>
          <w:p w14:paraId="66C625D4" w14:textId="77777777" w:rsidR="005F0795" w:rsidRPr="002D55D1" w:rsidRDefault="005F0795" w:rsidP="00CD2AEF">
            <w:pPr>
              <w:ind w:firstLineChars="200" w:firstLine="320"/>
              <w:rPr>
                <w:rFonts w:ascii="Arial" w:hAnsi="Arial" w:cs="Arial"/>
                <w:sz w:val="16"/>
                <w:szCs w:val="16"/>
                <w:lang w:eastAsia="es-AR"/>
              </w:rPr>
            </w:pPr>
            <w:r w:rsidRPr="002D55D1">
              <w:rPr>
                <w:rFonts w:ascii="Arial" w:hAnsi="Arial" w:cs="Arial"/>
                <w:sz w:val="16"/>
                <w:szCs w:val="16"/>
                <w:lang w:eastAsia="es-AR"/>
              </w:rPr>
              <w:t>Sector Privado no Financiero y Residentes en el exterior</w:t>
            </w:r>
          </w:p>
        </w:tc>
        <w:tc>
          <w:tcPr>
            <w:tcW w:w="411" w:type="pct"/>
            <w:tcBorders>
              <w:top w:val="nil"/>
              <w:left w:val="nil"/>
              <w:right w:val="nil"/>
            </w:tcBorders>
            <w:shd w:val="clear" w:color="auto" w:fill="auto"/>
            <w:hideMark/>
          </w:tcPr>
          <w:p w14:paraId="5AA61B9E" w14:textId="77777777" w:rsidR="005F0795" w:rsidRPr="002D55D1" w:rsidRDefault="005F0795" w:rsidP="005F0795">
            <w:pPr>
              <w:ind w:firstLineChars="200" w:firstLine="320"/>
              <w:rPr>
                <w:rFonts w:ascii="Arial" w:hAnsi="Arial" w:cs="Arial"/>
                <w:sz w:val="16"/>
                <w:szCs w:val="16"/>
                <w:lang w:eastAsia="es-AR"/>
              </w:rPr>
            </w:pPr>
          </w:p>
        </w:tc>
        <w:tc>
          <w:tcPr>
            <w:tcW w:w="603" w:type="pct"/>
            <w:tcBorders>
              <w:top w:val="nil"/>
              <w:left w:val="nil"/>
              <w:right w:val="nil"/>
            </w:tcBorders>
            <w:shd w:val="clear" w:color="auto" w:fill="auto"/>
            <w:vAlign w:val="bottom"/>
          </w:tcPr>
          <w:p w14:paraId="317E61ED" w14:textId="69C7A4BC" w:rsidR="005F0795"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-306.586</w:t>
            </w:r>
          </w:p>
        </w:tc>
        <w:tc>
          <w:tcPr>
            <w:tcW w:w="729" w:type="pct"/>
            <w:tcBorders>
              <w:top w:val="nil"/>
              <w:left w:val="nil"/>
              <w:right w:val="nil"/>
            </w:tcBorders>
            <w:shd w:val="clear" w:color="auto" w:fill="auto"/>
            <w:vAlign w:val="bottom"/>
          </w:tcPr>
          <w:p w14:paraId="587F9FA8" w14:textId="5ECB8588"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33.291.962</w:t>
            </w:r>
          </w:p>
        </w:tc>
      </w:tr>
      <w:tr w:rsidR="005F0795" w:rsidRPr="002D55D1" w14:paraId="753DDD4D" w14:textId="77777777" w:rsidTr="00AA5BDF">
        <w:trPr>
          <w:trHeight w:val="285"/>
        </w:trPr>
        <w:tc>
          <w:tcPr>
            <w:tcW w:w="3257" w:type="pct"/>
            <w:tcBorders>
              <w:top w:val="nil"/>
              <w:left w:val="nil"/>
              <w:right w:val="nil"/>
            </w:tcBorders>
            <w:shd w:val="clear" w:color="auto" w:fill="auto"/>
            <w:vAlign w:val="center"/>
            <w:hideMark/>
          </w:tcPr>
          <w:p w14:paraId="73CC726C"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Pasivos a valor razonable con cambios en resultados</w:t>
            </w:r>
          </w:p>
        </w:tc>
        <w:tc>
          <w:tcPr>
            <w:tcW w:w="411" w:type="pct"/>
            <w:tcBorders>
              <w:top w:val="nil"/>
              <w:left w:val="nil"/>
              <w:right w:val="nil"/>
            </w:tcBorders>
            <w:shd w:val="clear" w:color="auto" w:fill="auto"/>
            <w:hideMark/>
          </w:tcPr>
          <w:p w14:paraId="054E7F11"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right w:val="nil"/>
            </w:tcBorders>
            <w:shd w:val="clear" w:color="auto" w:fill="auto"/>
            <w:vAlign w:val="bottom"/>
          </w:tcPr>
          <w:p w14:paraId="2F6D5CF5" w14:textId="47142049" w:rsidR="005F0795"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-907.479</w:t>
            </w:r>
          </w:p>
        </w:tc>
        <w:tc>
          <w:tcPr>
            <w:tcW w:w="729" w:type="pct"/>
            <w:tcBorders>
              <w:top w:val="nil"/>
              <w:left w:val="nil"/>
              <w:right w:val="nil"/>
            </w:tcBorders>
            <w:shd w:val="clear" w:color="auto" w:fill="auto"/>
            <w:vAlign w:val="bottom"/>
          </w:tcPr>
          <w:p w14:paraId="1193FC2C" w14:textId="18134157" w:rsidR="005F0795" w:rsidRPr="00593C40" w:rsidRDefault="001F5CC1" w:rsidP="006765D7">
            <w:pPr>
              <w:jc w:val="right"/>
              <w:rPr>
                <w:rFonts w:ascii="Arial" w:hAnsi="Arial" w:cs="Arial"/>
                <w:sz w:val="16"/>
                <w:szCs w:val="16"/>
                <w:lang w:eastAsia="es-AR"/>
              </w:rPr>
            </w:pPr>
            <w:r>
              <w:rPr>
                <w:rFonts w:ascii="Arial" w:hAnsi="Arial" w:cs="Arial"/>
                <w:sz w:val="16"/>
                <w:szCs w:val="16"/>
                <w:lang w:eastAsia="es-AR"/>
              </w:rPr>
              <w:t>-3.079.007</w:t>
            </w:r>
          </w:p>
        </w:tc>
      </w:tr>
      <w:tr w:rsidR="005F0795" w:rsidRPr="002D55D1" w14:paraId="37C80428" w14:textId="77777777" w:rsidTr="00CD2AEF">
        <w:trPr>
          <w:trHeight w:val="285"/>
        </w:trPr>
        <w:tc>
          <w:tcPr>
            <w:tcW w:w="3257" w:type="pct"/>
            <w:tcBorders>
              <w:top w:val="nil"/>
              <w:left w:val="nil"/>
              <w:right w:val="nil"/>
            </w:tcBorders>
            <w:shd w:val="clear" w:color="auto" w:fill="auto"/>
          </w:tcPr>
          <w:p w14:paraId="499F0946" w14:textId="77777777" w:rsidR="005F0795" w:rsidRPr="002D55D1" w:rsidRDefault="005F0795" w:rsidP="005F0795">
            <w:pPr>
              <w:ind w:firstLineChars="100" w:firstLine="160"/>
              <w:rPr>
                <w:rFonts w:ascii="Arial" w:hAnsi="Arial" w:cs="Arial"/>
                <w:sz w:val="16"/>
                <w:szCs w:val="16"/>
                <w:lang w:eastAsia="es-AR"/>
              </w:rPr>
            </w:pPr>
          </w:p>
        </w:tc>
        <w:tc>
          <w:tcPr>
            <w:tcW w:w="411" w:type="pct"/>
            <w:tcBorders>
              <w:top w:val="nil"/>
              <w:left w:val="nil"/>
              <w:right w:val="nil"/>
            </w:tcBorders>
            <w:shd w:val="clear" w:color="auto" w:fill="auto"/>
          </w:tcPr>
          <w:p w14:paraId="7533A375" w14:textId="77777777" w:rsidR="005F0795" w:rsidRPr="002D55D1" w:rsidRDefault="005F0795" w:rsidP="005F0795">
            <w:pPr>
              <w:ind w:firstLineChars="100" w:firstLine="160"/>
              <w:rPr>
                <w:rFonts w:ascii="Arial" w:hAnsi="Arial" w:cs="Arial"/>
                <w:sz w:val="16"/>
                <w:szCs w:val="16"/>
                <w:lang w:eastAsia="es-AR"/>
              </w:rPr>
            </w:pPr>
          </w:p>
        </w:tc>
        <w:tc>
          <w:tcPr>
            <w:tcW w:w="603" w:type="pct"/>
            <w:tcBorders>
              <w:top w:val="nil"/>
              <w:left w:val="nil"/>
              <w:right w:val="nil"/>
            </w:tcBorders>
            <w:shd w:val="clear" w:color="auto" w:fill="auto"/>
            <w:vAlign w:val="bottom"/>
          </w:tcPr>
          <w:p w14:paraId="5912C852" w14:textId="77777777" w:rsidR="005F0795" w:rsidRPr="006F757F" w:rsidRDefault="005F0795" w:rsidP="005F0795">
            <w:pPr>
              <w:jc w:val="right"/>
              <w:rPr>
                <w:rFonts w:ascii="Arial" w:hAnsi="Arial" w:cs="Arial"/>
                <w:sz w:val="16"/>
                <w:szCs w:val="16"/>
                <w:lang w:eastAsia="es-AR"/>
              </w:rPr>
            </w:pPr>
          </w:p>
        </w:tc>
        <w:tc>
          <w:tcPr>
            <w:tcW w:w="729" w:type="pct"/>
            <w:tcBorders>
              <w:top w:val="nil"/>
              <w:left w:val="nil"/>
              <w:right w:val="nil"/>
            </w:tcBorders>
            <w:shd w:val="clear" w:color="auto" w:fill="auto"/>
            <w:vAlign w:val="center"/>
          </w:tcPr>
          <w:p w14:paraId="409BE5B4" w14:textId="77777777" w:rsidR="005F0795" w:rsidRPr="00593C40" w:rsidRDefault="005F0795" w:rsidP="00CD2AEF">
            <w:pPr>
              <w:jc w:val="right"/>
              <w:rPr>
                <w:rFonts w:ascii="Arial" w:hAnsi="Arial" w:cs="Arial"/>
                <w:sz w:val="16"/>
                <w:szCs w:val="16"/>
                <w:lang w:eastAsia="es-AR"/>
              </w:rPr>
            </w:pPr>
          </w:p>
        </w:tc>
      </w:tr>
      <w:tr w:rsidR="006559E7" w:rsidRPr="0076627B" w14:paraId="6766096E" w14:textId="77777777" w:rsidTr="005A1F48">
        <w:trPr>
          <w:trHeight w:val="129"/>
        </w:trPr>
        <w:tc>
          <w:tcPr>
            <w:tcW w:w="3257" w:type="pct"/>
            <w:tcBorders>
              <w:top w:val="nil"/>
              <w:left w:val="nil"/>
              <w:bottom w:val="single" w:sz="4" w:space="0" w:color="auto"/>
              <w:right w:val="nil"/>
            </w:tcBorders>
            <w:shd w:val="clear" w:color="auto" w:fill="auto"/>
          </w:tcPr>
          <w:p w14:paraId="564E2279" w14:textId="77777777" w:rsidR="006559E7" w:rsidRPr="0076627B" w:rsidRDefault="006559E7" w:rsidP="005F0795">
            <w:pPr>
              <w:ind w:firstLineChars="100" w:firstLine="100"/>
              <w:rPr>
                <w:rFonts w:ascii="Arial" w:hAnsi="Arial" w:cs="Arial"/>
                <w:sz w:val="10"/>
                <w:szCs w:val="10"/>
                <w:lang w:eastAsia="es-AR"/>
              </w:rPr>
            </w:pPr>
          </w:p>
        </w:tc>
        <w:tc>
          <w:tcPr>
            <w:tcW w:w="411" w:type="pct"/>
            <w:tcBorders>
              <w:top w:val="nil"/>
              <w:left w:val="nil"/>
              <w:bottom w:val="single" w:sz="4" w:space="0" w:color="auto"/>
              <w:right w:val="nil"/>
            </w:tcBorders>
            <w:shd w:val="clear" w:color="auto" w:fill="auto"/>
          </w:tcPr>
          <w:p w14:paraId="0E8D61F0" w14:textId="77777777" w:rsidR="006559E7" w:rsidRPr="0076627B" w:rsidRDefault="006559E7" w:rsidP="005F0795">
            <w:pPr>
              <w:ind w:firstLineChars="100" w:firstLine="100"/>
              <w:rPr>
                <w:rFonts w:ascii="Arial" w:hAnsi="Arial" w:cs="Arial"/>
                <w:sz w:val="10"/>
                <w:szCs w:val="10"/>
                <w:lang w:eastAsia="es-AR"/>
              </w:rPr>
            </w:pPr>
          </w:p>
        </w:tc>
        <w:tc>
          <w:tcPr>
            <w:tcW w:w="603" w:type="pct"/>
            <w:tcBorders>
              <w:top w:val="nil"/>
              <w:left w:val="nil"/>
              <w:bottom w:val="single" w:sz="4" w:space="0" w:color="auto"/>
              <w:right w:val="nil"/>
            </w:tcBorders>
            <w:shd w:val="clear" w:color="auto" w:fill="auto"/>
            <w:vAlign w:val="bottom"/>
          </w:tcPr>
          <w:p w14:paraId="60F2EFD4" w14:textId="77777777" w:rsidR="006559E7" w:rsidRPr="0076627B" w:rsidRDefault="006559E7" w:rsidP="005F0795">
            <w:pPr>
              <w:jc w:val="right"/>
              <w:rPr>
                <w:rFonts w:ascii="Arial" w:hAnsi="Arial" w:cs="Arial"/>
                <w:sz w:val="10"/>
                <w:szCs w:val="10"/>
                <w:lang w:eastAsia="es-AR"/>
              </w:rPr>
            </w:pPr>
          </w:p>
        </w:tc>
        <w:tc>
          <w:tcPr>
            <w:tcW w:w="729" w:type="pct"/>
            <w:tcBorders>
              <w:top w:val="nil"/>
              <w:left w:val="nil"/>
              <w:bottom w:val="single" w:sz="4" w:space="0" w:color="auto"/>
              <w:right w:val="nil"/>
            </w:tcBorders>
            <w:shd w:val="clear" w:color="auto" w:fill="auto"/>
            <w:vAlign w:val="center"/>
          </w:tcPr>
          <w:p w14:paraId="62E78855" w14:textId="77777777" w:rsidR="006559E7" w:rsidRPr="0076627B" w:rsidRDefault="006559E7" w:rsidP="00CD2AEF">
            <w:pPr>
              <w:jc w:val="right"/>
              <w:rPr>
                <w:rFonts w:ascii="Arial" w:hAnsi="Arial" w:cs="Arial"/>
                <w:sz w:val="10"/>
                <w:szCs w:val="10"/>
                <w:lang w:eastAsia="es-AR"/>
              </w:rPr>
            </w:pPr>
          </w:p>
        </w:tc>
      </w:tr>
      <w:tr w:rsidR="005F0795" w:rsidRPr="002D55D1" w14:paraId="776C72E3" w14:textId="77777777" w:rsidTr="005A1F48">
        <w:trPr>
          <w:trHeight w:val="285"/>
        </w:trPr>
        <w:tc>
          <w:tcPr>
            <w:tcW w:w="3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29FD4E" w14:textId="4E22E393" w:rsidR="005F0795" w:rsidRPr="005F0795" w:rsidRDefault="005F0795" w:rsidP="005F0795">
            <w:pPr>
              <w:jc w:val="center"/>
              <w:rPr>
                <w:rFonts w:ascii="Arial" w:hAnsi="Arial" w:cs="Arial"/>
                <w:b/>
                <w:bCs/>
                <w:sz w:val="16"/>
                <w:szCs w:val="16"/>
                <w:lang w:eastAsia="es-AR"/>
              </w:rPr>
            </w:pPr>
            <w:r w:rsidRPr="00593C40">
              <w:rPr>
                <w:rFonts w:ascii="Arial" w:hAnsi="Arial" w:cs="Arial"/>
                <w:b/>
                <w:bCs/>
                <w:sz w:val="16"/>
                <w:szCs w:val="16"/>
                <w:lang w:eastAsia="es-AR"/>
              </w:rPr>
              <w:t>Conceptos</w:t>
            </w: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E778DF" w14:textId="2B816056" w:rsidR="005F0795" w:rsidRPr="005F0795" w:rsidRDefault="005F0795" w:rsidP="005F0795">
            <w:pPr>
              <w:jc w:val="center"/>
              <w:rPr>
                <w:rFonts w:ascii="Arial" w:hAnsi="Arial" w:cs="Arial"/>
                <w:b/>
                <w:bCs/>
                <w:sz w:val="16"/>
                <w:szCs w:val="16"/>
                <w:lang w:eastAsia="es-AR"/>
              </w:rPr>
            </w:pPr>
            <w:r w:rsidRPr="00593C40">
              <w:rPr>
                <w:rFonts w:ascii="Arial" w:hAnsi="Arial" w:cs="Arial"/>
                <w:b/>
                <w:bCs/>
                <w:sz w:val="16"/>
                <w:szCs w:val="16"/>
                <w:lang w:eastAsia="es-AR"/>
              </w:rPr>
              <w:t>Notas</w:t>
            </w:r>
          </w:p>
        </w:tc>
        <w:tc>
          <w:tcPr>
            <w:tcW w:w="6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14CD30" w14:textId="65C2A558" w:rsidR="005F0795" w:rsidRPr="005F0795" w:rsidRDefault="005F0795" w:rsidP="005F0795">
            <w:pPr>
              <w:jc w:val="center"/>
              <w:rPr>
                <w:rFonts w:ascii="Arial" w:hAnsi="Arial" w:cs="Arial"/>
                <w:b/>
                <w:bCs/>
                <w:sz w:val="16"/>
                <w:szCs w:val="16"/>
                <w:lang w:eastAsia="es-AR"/>
              </w:rPr>
            </w:pPr>
            <w:r>
              <w:rPr>
                <w:rFonts w:ascii="Arial" w:hAnsi="Arial" w:cs="Arial"/>
                <w:b/>
                <w:bCs/>
                <w:sz w:val="16"/>
                <w:szCs w:val="16"/>
                <w:lang w:eastAsia="es-AR"/>
              </w:rPr>
              <w:t>3</w:t>
            </w:r>
            <w:r w:rsidR="00F87BE3">
              <w:rPr>
                <w:rFonts w:ascii="Arial" w:hAnsi="Arial" w:cs="Arial"/>
                <w:b/>
                <w:bCs/>
                <w:sz w:val="16"/>
                <w:szCs w:val="16"/>
                <w:lang w:eastAsia="es-AR"/>
              </w:rPr>
              <w:t>1</w:t>
            </w:r>
            <w:r>
              <w:rPr>
                <w:rFonts w:ascii="Arial" w:hAnsi="Arial" w:cs="Arial"/>
                <w:b/>
                <w:bCs/>
                <w:sz w:val="16"/>
                <w:szCs w:val="16"/>
                <w:lang w:eastAsia="es-AR"/>
              </w:rPr>
              <w:t>/</w:t>
            </w:r>
            <w:r w:rsidR="00F87BE3">
              <w:rPr>
                <w:rFonts w:ascii="Arial" w:hAnsi="Arial" w:cs="Arial"/>
                <w:b/>
                <w:bCs/>
                <w:sz w:val="16"/>
                <w:szCs w:val="16"/>
                <w:lang w:eastAsia="es-AR"/>
              </w:rPr>
              <w:t>12</w:t>
            </w:r>
            <w:r>
              <w:rPr>
                <w:rFonts w:ascii="Arial" w:hAnsi="Arial" w:cs="Arial"/>
                <w:b/>
                <w:bCs/>
                <w:sz w:val="16"/>
                <w:szCs w:val="16"/>
                <w:lang w:eastAsia="es-AR"/>
              </w:rPr>
              <w:t>/2019</w:t>
            </w:r>
          </w:p>
        </w:tc>
        <w:tc>
          <w:tcPr>
            <w:tcW w:w="7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10A3E5" w14:textId="1771E97A" w:rsidR="005F0795" w:rsidRPr="005F0795" w:rsidRDefault="005F0795" w:rsidP="005F0795">
            <w:pPr>
              <w:jc w:val="center"/>
              <w:rPr>
                <w:rFonts w:ascii="Arial" w:hAnsi="Arial" w:cs="Arial"/>
                <w:b/>
                <w:bCs/>
                <w:sz w:val="16"/>
                <w:szCs w:val="16"/>
                <w:lang w:eastAsia="es-AR"/>
              </w:rPr>
            </w:pPr>
            <w:r>
              <w:rPr>
                <w:rFonts w:ascii="Arial" w:hAnsi="Arial" w:cs="Arial"/>
                <w:b/>
                <w:bCs/>
                <w:sz w:val="16"/>
                <w:szCs w:val="16"/>
                <w:lang w:eastAsia="es-AR"/>
              </w:rPr>
              <w:t>3</w:t>
            </w:r>
            <w:r w:rsidR="00F87BE3">
              <w:rPr>
                <w:rFonts w:ascii="Arial" w:hAnsi="Arial" w:cs="Arial"/>
                <w:b/>
                <w:bCs/>
                <w:sz w:val="16"/>
                <w:szCs w:val="16"/>
                <w:lang w:eastAsia="es-AR"/>
              </w:rPr>
              <w:t>1</w:t>
            </w:r>
            <w:r>
              <w:rPr>
                <w:rFonts w:ascii="Arial" w:hAnsi="Arial" w:cs="Arial"/>
                <w:b/>
                <w:bCs/>
                <w:sz w:val="16"/>
                <w:szCs w:val="16"/>
                <w:lang w:eastAsia="es-AR"/>
              </w:rPr>
              <w:t>/</w:t>
            </w:r>
            <w:r w:rsidR="00F87BE3">
              <w:rPr>
                <w:rFonts w:ascii="Arial" w:hAnsi="Arial" w:cs="Arial"/>
                <w:b/>
                <w:bCs/>
                <w:sz w:val="16"/>
                <w:szCs w:val="16"/>
                <w:lang w:eastAsia="es-AR"/>
              </w:rPr>
              <w:t>12</w:t>
            </w:r>
            <w:r>
              <w:rPr>
                <w:rFonts w:ascii="Arial" w:hAnsi="Arial" w:cs="Arial"/>
                <w:b/>
                <w:bCs/>
                <w:sz w:val="16"/>
                <w:szCs w:val="16"/>
                <w:lang w:eastAsia="es-AR"/>
              </w:rPr>
              <w:t>/2018</w:t>
            </w:r>
          </w:p>
        </w:tc>
      </w:tr>
      <w:tr w:rsidR="005F0795" w:rsidRPr="002D55D1" w14:paraId="493377F3" w14:textId="77777777" w:rsidTr="00AA5BDF">
        <w:trPr>
          <w:trHeight w:val="285"/>
        </w:trPr>
        <w:tc>
          <w:tcPr>
            <w:tcW w:w="3257" w:type="pct"/>
            <w:tcBorders>
              <w:top w:val="single" w:sz="4" w:space="0" w:color="auto"/>
              <w:left w:val="nil"/>
              <w:bottom w:val="nil"/>
              <w:right w:val="nil"/>
            </w:tcBorders>
            <w:shd w:val="clear" w:color="auto" w:fill="auto"/>
            <w:vAlign w:val="center"/>
            <w:hideMark/>
          </w:tcPr>
          <w:p w14:paraId="615FD173"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Instrumentos derivados</w:t>
            </w:r>
          </w:p>
        </w:tc>
        <w:tc>
          <w:tcPr>
            <w:tcW w:w="411" w:type="pct"/>
            <w:tcBorders>
              <w:top w:val="single" w:sz="4" w:space="0" w:color="auto"/>
              <w:left w:val="nil"/>
              <w:bottom w:val="nil"/>
              <w:right w:val="nil"/>
            </w:tcBorders>
            <w:shd w:val="clear" w:color="auto" w:fill="auto"/>
            <w:vAlign w:val="center"/>
            <w:hideMark/>
          </w:tcPr>
          <w:p w14:paraId="33F319FF" w14:textId="77777777" w:rsidR="005F0795" w:rsidRPr="002D55D1" w:rsidRDefault="005F0795" w:rsidP="00CD2AEF">
            <w:pPr>
              <w:ind w:firstLineChars="100" w:firstLine="160"/>
              <w:rPr>
                <w:rFonts w:ascii="Arial" w:hAnsi="Arial" w:cs="Arial"/>
                <w:sz w:val="16"/>
                <w:szCs w:val="16"/>
                <w:lang w:eastAsia="es-AR"/>
              </w:rPr>
            </w:pPr>
          </w:p>
        </w:tc>
        <w:tc>
          <w:tcPr>
            <w:tcW w:w="603" w:type="pct"/>
            <w:tcBorders>
              <w:top w:val="single" w:sz="4" w:space="0" w:color="auto"/>
              <w:left w:val="nil"/>
              <w:bottom w:val="nil"/>
              <w:right w:val="nil"/>
            </w:tcBorders>
            <w:shd w:val="clear" w:color="auto" w:fill="auto"/>
            <w:vAlign w:val="bottom"/>
          </w:tcPr>
          <w:p w14:paraId="103910B9" w14:textId="5F54765D" w:rsidR="005F0795"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-94.222</w:t>
            </w:r>
          </w:p>
        </w:tc>
        <w:tc>
          <w:tcPr>
            <w:tcW w:w="729" w:type="pct"/>
            <w:tcBorders>
              <w:top w:val="single" w:sz="4" w:space="0" w:color="auto"/>
              <w:left w:val="nil"/>
              <w:bottom w:val="nil"/>
              <w:right w:val="nil"/>
            </w:tcBorders>
            <w:shd w:val="clear" w:color="auto" w:fill="auto"/>
            <w:vAlign w:val="bottom"/>
          </w:tcPr>
          <w:p w14:paraId="78434ED0" w14:textId="01D232CD"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94.222</w:t>
            </w:r>
          </w:p>
        </w:tc>
      </w:tr>
      <w:tr w:rsidR="005F0795" w:rsidRPr="002D55D1" w14:paraId="603ACAB6" w14:textId="77777777" w:rsidTr="00AA5BDF">
        <w:trPr>
          <w:trHeight w:val="285"/>
        </w:trPr>
        <w:tc>
          <w:tcPr>
            <w:tcW w:w="3257" w:type="pct"/>
            <w:tcBorders>
              <w:top w:val="nil"/>
              <w:left w:val="nil"/>
              <w:bottom w:val="nil"/>
              <w:right w:val="nil"/>
            </w:tcBorders>
            <w:shd w:val="clear" w:color="auto" w:fill="auto"/>
            <w:vAlign w:val="center"/>
            <w:hideMark/>
          </w:tcPr>
          <w:p w14:paraId="568D7ED1"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Operaciones de pase</w:t>
            </w:r>
          </w:p>
        </w:tc>
        <w:tc>
          <w:tcPr>
            <w:tcW w:w="411" w:type="pct"/>
            <w:tcBorders>
              <w:top w:val="nil"/>
              <w:left w:val="nil"/>
              <w:bottom w:val="nil"/>
              <w:right w:val="nil"/>
            </w:tcBorders>
            <w:shd w:val="clear" w:color="auto" w:fill="auto"/>
            <w:vAlign w:val="center"/>
            <w:hideMark/>
          </w:tcPr>
          <w:p w14:paraId="0D46F417" w14:textId="77777777" w:rsidR="005F0795" w:rsidRPr="002D55D1" w:rsidRDefault="005F0795" w:rsidP="00CD2AEF">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60ED9DD" w14:textId="55E6E18C" w:rsidR="005F0795" w:rsidRPr="00593C40" w:rsidRDefault="00A81B86" w:rsidP="00AA5BDF">
            <w:pPr>
              <w:jc w:val="right"/>
              <w:rPr>
                <w:rFonts w:ascii="Arial" w:hAnsi="Arial" w:cs="Arial"/>
                <w:sz w:val="16"/>
                <w:szCs w:val="16"/>
                <w:lang w:eastAsia="es-AR"/>
              </w:rPr>
            </w:pPr>
            <w:r w:rsidRPr="00A81B86">
              <w:rPr>
                <w:rFonts w:ascii="Arial" w:hAnsi="Arial" w:cs="Arial"/>
                <w:sz w:val="16"/>
                <w:szCs w:val="16"/>
                <w:lang w:eastAsia="es-AR"/>
              </w:rPr>
              <w:t>319.817</w:t>
            </w:r>
          </w:p>
        </w:tc>
        <w:tc>
          <w:tcPr>
            <w:tcW w:w="729" w:type="pct"/>
            <w:tcBorders>
              <w:top w:val="nil"/>
              <w:left w:val="nil"/>
              <w:bottom w:val="nil"/>
              <w:right w:val="nil"/>
            </w:tcBorders>
            <w:shd w:val="clear" w:color="auto" w:fill="auto"/>
            <w:vAlign w:val="bottom"/>
          </w:tcPr>
          <w:p w14:paraId="32C8E660" w14:textId="35BE640C"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w:t>
            </w:r>
          </w:p>
        </w:tc>
      </w:tr>
      <w:tr w:rsidR="005F0795" w:rsidRPr="002D55D1" w14:paraId="600A046C" w14:textId="77777777" w:rsidTr="00AA5BDF">
        <w:trPr>
          <w:trHeight w:val="285"/>
        </w:trPr>
        <w:tc>
          <w:tcPr>
            <w:tcW w:w="3257" w:type="pct"/>
            <w:tcBorders>
              <w:top w:val="nil"/>
              <w:left w:val="nil"/>
              <w:bottom w:val="nil"/>
              <w:right w:val="nil"/>
            </w:tcBorders>
            <w:shd w:val="clear" w:color="auto" w:fill="auto"/>
            <w:vAlign w:val="center"/>
            <w:hideMark/>
          </w:tcPr>
          <w:p w14:paraId="4A7FA027" w14:textId="77777777" w:rsidR="005F0795" w:rsidRPr="002D55D1" w:rsidRDefault="005F0795" w:rsidP="00CD2AEF">
            <w:pPr>
              <w:ind w:firstLineChars="100" w:firstLine="160"/>
              <w:rPr>
                <w:rFonts w:ascii="Arial" w:hAnsi="Arial" w:cs="Arial"/>
                <w:sz w:val="16"/>
                <w:szCs w:val="16"/>
                <w:lang w:eastAsia="es-AR"/>
              </w:rPr>
            </w:pPr>
            <w:r w:rsidRPr="002D55D1">
              <w:rPr>
                <w:rFonts w:ascii="Arial" w:hAnsi="Arial" w:cs="Arial"/>
                <w:sz w:val="16"/>
                <w:szCs w:val="16"/>
                <w:lang w:eastAsia="es-AR"/>
              </w:rPr>
              <w:t>Otros pasivos</w:t>
            </w:r>
          </w:p>
        </w:tc>
        <w:tc>
          <w:tcPr>
            <w:tcW w:w="411" w:type="pct"/>
            <w:tcBorders>
              <w:top w:val="nil"/>
              <w:left w:val="nil"/>
              <w:bottom w:val="nil"/>
              <w:right w:val="nil"/>
            </w:tcBorders>
            <w:shd w:val="clear" w:color="auto" w:fill="auto"/>
            <w:vAlign w:val="center"/>
            <w:hideMark/>
          </w:tcPr>
          <w:p w14:paraId="1D2FD18F" w14:textId="77777777" w:rsidR="005F0795" w:rsidRPr="002D55D1" w:rsidRDefault="005F0795" w:rsidP="00CD2AEF">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4E87292C" w14:textId="1D700FFF" w:rsidR="005F0795" w:rsidRPr="00593C40" w:rsidRDefault="003B27EF" w:rsidP="00AA5BDF">
            <w:pPr>
              <w:jc w:val="right"/>
              <w:rPr>
                <w:rFonts w:ascii="Arial" w:hAnsi="Arial" w:cs="Arial"/>
                <w:sz w:val="16"/>
                <w:szCs w:val="16"/>
                <w:lang w:eastAsia="es-AR"/>
              </w:rPr>
            </w:pPr>
            <w:r w:rsidRPr="003B27EF">
              <w:rPr>
                <w:rFonts w:ascii="Arial" w:hAnsi="Arial" w:cs="Arial"/>
                <w:sz w:val="16"/>
                <w:szCs w:val="16"/>
                <w:lang w:eastAsia="es-AR"/>
              </w:rPr>
              <w:t>4.638.564</w:t>
            </w:r>
          </w:p>
        </w:tc>
        <w:tc>
          <w:tcPr>
            <w:tcW w:w="729" w:type="pct"/>
            <w:tcBorders>
              <w:top w:val="nil"/>
              <w:left w:val="nil"/>
              <w:bottom w:val="nil"/>
              <w:right w:val="nil"/>
            </w:tcBorders>
            <w:shd w:val="clear" w:color="auto" w:fill="auto"/>
            <w:vAlign w:val="bottom"/>
          </w:tcPr>
          <w:p w14:paraId="32436F1A" w14:textId="4BFEFE34" w:rsidR="005F0795" w:rsidRPr="00593C40" w:rsidRDefault="001F5CC1" w:rsidP="00AA5BDF">
            <w:pPr>
              <w:jc w:val="right"/>
              <w:rPr>
                <w:rFonts w:ascii="Arial" w:hAnsi="Arial" w:cs="Arial"/>
                <w:sz w:val="16"/>
                <w:szCs w:val="16"/>
                <w:lang w:eastAsia="es-AR"/>
              </w:rPr>
            </w:pPr>
            <w:r>
              <w:rPr>
                <w:rFonts w:ascii="Arial" w:hAnsi="Arial" w:cs="Arial"/>
                <w:sz w:val="16"/>
                <w:szCs w:val="16"/>
                <w:lang w:eastAsia="es-AR"/>
              </w:rPr>
              <w:t>-933.751</w:t>
            </w:r>
          </w:p>
        </w:tc>
      </w:tr>
      <w:tr w:rsidR="009B10A4" w:rsidRPr="0038752C" w14:paraId="4E34D78C" w14:textId="77777777" w:rsidTr="0076627B">
        <w:trPr>
          <w:trHeight w:val="80"/>
        </w:trPr>
        <w:tc>
          <w:tcPr>
            <w:tcW w:w="3257" w:type="pct"/>
            <w:tcBorders>
              <w:top w:val="nil"/>
              <w:left w:val="nil"/>
              <w:bottom w:val="nil"/>
              <w:right w:val="nil"/>
            </w:tcBorders>
            <w:shd w:val="clear" w:color="auto" w:fill="auto"/>
            <w:vAlign w:val="center"/>
          </w:tcPr>
          <w:p w14:paraId="7EFBFCEC" w14:textId="77777777" w:rsidR="009B10A4" w:rsidRPr="005A1F48" w:rsidRDefault="009B10A4" w:rsidP="00CD2AEF">
            <w:pPr>
              <w:rPr>
                <w:rFonts w:ascii="Arial" w:hAnsi="Arial" w:cs="Arial"/>
                <w:sz w:val="10"/>
                <w:szCs w:val="10"/>
                <w:lang w:eastAsia="es-AR"/>
              </w:rPr>
            </w:pPr>
          </w:p>
        </w:tc>
        <w:tc>
          <w:tcPr>
            <w:tcW w:w="411" w:type="pct"/>
            <w:tcBorders>
              <w:top w:val="nil"/>
              <w:left w:val="nil"/>
              <w:bottom w:val="nil"/>
              <w:right w:val="nil"/>
            </w:tcBorders>
            <w:shd w:val="clear" w:color="auto" w:fill="auto"/>
            <w:vAlign w:val="center"/>
          </w:tcPr>
          <w:p w14:paraId="2422DE40" w14:textId="77777777" w:rsidR="009B10A4" w:rsidRPr="005A1F48" w:rsidRDefault="009B10A4" w:rsidP="00CD2AEF">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68B5021B" w14:textId="77777777" w:rsidR="009B10A4" w:rsidRPr="005A1F48" w:rsidRDefault="009B10A4" w:rsidP="00AA5BDF">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031EC33E" w14:textId="77777777" w:rsidR="009B10A4" w:rsidRPr="005A1F48" w:rsidRDefault="009B10A4" w:rsidP="00AA5BDF">
            <w:pPr>
              <w:jc w:val="right"/>
              <w:rPr>
                <w:rFonts w:ascii="Arial" w:hAnsi="Arial" w:cs="Arial"/>
                <w:sz w:val="10"/>
                <w:szCs w:val="10"/>
                <w:lang w:eastAsia="es-AR"/>
              </w:rPr>
            </w:pPr>
          </w:p>
        </w:tc>
      </w:tr>
      <w:tr w:rsidR="009B10A4" w:rsidRPr="0038752C" w14:paraId="2E9594AC" w14:textId="77777777" w:rsidTr="009B10A4">
        <w:trPr>
          <w:trHeight w:val="80"/>
        </w:trPr>
        <w:tc>
          <w:tcPr>
            <w:tcW w:w="3257" w:type="pct"/>
            <w:tcBorders>
              <w:top w:val="nil"/>
              <w:left w:val="nil"/>
              <w:bottom w:val="nil"/>
              <w:right w:val="nil"/>
            </w:tcBorders>
            <w:shd w:val="clear" w:color="auto" w:fill="auto"/>
            <w:vAlign w:val="bottom"/>
          </w:tcPr>
          <w:p w14:paraId="06910D55" w14:textId="24067900" w:rsidR="009B10A4" w:rsidRPr="005A1F48" w:rsidRDefault="009B10A4" w:rsidP="009B10A4">
            <w:pPr>
              <w:rPr>
                <w:rFonts w:ascii="Arial" w:hAnsi="Arial" w:cs="Arial"/>
                <w:sz w:val="10"/>
                <w:szCs w:val="10"/>
                <w:lang w:eastAsia="es-AR"/>
              </w:rPr>
            </w:pPr>
            <w:r>
              <w:rPr>
                <w:rFonts w:ascii="Arial" w:hAnsi="Arial" w:cs="Arial"/>
                <w:b/>
                <w:bCs/>
                <w:sz w:val="16"/>
                <w:szCs w:val="16"/>
                <w:lang w:eastAsia="es-AR"/>
              </w:rPr>
              <w:t>P</w:t>
            </w:r>
            <w:r w:rsidRPr="002D55D1">
              <w:rPr>
                <w:rFonts w:ascii="Arial" w:hAnsi="Arial" w:cs="Arial"/>
                <w:b/>
                <w:bCs/>
                <w:sz w:val="16"/>
                <w:szCs w:val="16"/>
                <w:lang w:eastAsia="es-AR"/>
              </w:rPr>
              <w:t>agos por Impuesto a las Ganancias</w:t>
            </w:r>
          </w:p>
        </w:tc>
        <w:tc>
          <w:tcPr>
            <w:tcW w:w="411" w:type="pct"/>
            <w:tcBorders>
              <w:top w:val="nil"/>
              <w:left w:val="nil"/>
              <w:bottom w:val="nil"/>
              <w:right w:val="nil"/>
            </w:tcBorders>
            <w:shd w:val="clear" w:color="auto" w:fill="auto"/>
          </w:tcPr>
          <w:p w14:paraId="05B91B93" w14:textId="77777777" w:rsidR="009B10A4" w:rsidRPr="005A1F48" w:rsidRDefault="009B10A4" w:rsidP="009B10A4">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29637D06" w14:textId="275CBD89" w:rsidR="009B10A4" w:rsidRPr="005A1F48" w:rsidRDefault="009B10A4" w:rsidP="009B10A4">
            <w:pPr>
              <w:jc w:val="right"/>
              <w:rPr>
                <w:rFonts w:ascii="Arial" w:hAnsi="Arial" w:cs="Arial"/>
                <w:sz w:val="10"/>
                <w:szCs w:val="10"/>
                <w:lang w:eastAsia="es-AR"/>
              </w:rPr>
            </w:pPr>
            <w:r>
              <w:rPr>
                <w:rFonts w:ascii="Arial" w:hAnsi="Arial" w:cs="Arial"/>
                <w:sz w:val="16"/>
                <w:szCs w:val="16"/>
                <w:lang w:eastAsia="es-AR"/>
              </w:rPr>
              <w:t>-</w:t>
            </w:r>
          </w:p>
        </w:tc>
        <w:tc>
          <w:tcPr>
            <w:tcW w:w="729" w:type="pct"/>
            <w:tcBorders>
              <w:top w:val="nil"/>
              <w:left w:val="nil"/>
              <w:bottom w:val="nil"/>
              <w:right w:val="nil"/>
            </w:tcBorders>
            <w:shd w:val="clear" w:color="auto" w:fill="auto"/>
            <w:vAlign w:val="bottom"/>
          </w:tcPr>
          <w:p w14:paraId="68C02698" w14:textId="12F7DD97" w:rsidR="009B10A4" w:rsidRPr="005A1F48" w:rsidRDefault="00D0487A" w:rsidP="009B10A4">
            <w:pPr>
              <w:jc w:val="right"/>
              <w:rPr>
                <w:rFonts w:ascii="Arial" w:hAnsi="Arial" w:cs="Arial"/>
                <w:sz w:val="10"/>
                <w:szCs w:val="10"/>
                <w:lang w:eastAsia="es-AR"/>
              </w:rPr>
            </w:pPr>
            <w:r>
              <w:rPr>
                <w:rFonts w:ascii="Arial" w:hAnsi="Arial" w:cs="Arial"/>
                <w:sz w:val="16"/>
                <w:szCs w:val="16"/>
                <w:lang w:eastAsia="es-AR"/>
              </w:rPr>
              <w:t>-396.989</w:t>
            </w:r>
          </w:p>
        </w:tc>
      </w:tr>
      <w:tr w:rsidR="009B10A4" w:rsidRPr="0038752C" w14:paraId="50D424E5" w14:textId="77777777" w:rsidTr="0076627B">
        <w:trPr>
          <w:trHeight w:val="80"/>
        </w:trPr>
        <w:tc>
          <w:tcPr>
            <w:tcW w:w="3257" w:type="pct"/>
            <w:tcBorders>
              <w:top w:val="nil"/>
              <w:left w:val="nil"/>
              <w:bottom w:val="nil"/>
              <w:right w:val="nil"/>
            </w:tcBorders>
            <w:shd w:val="clear" w:color="auto" w:fill="auto"/>
            <w:vAlign w:val="center"/>
            <w:hideMark/>
          </w:tcPr>
          <w:p w14:paraId="7B58841D" w14:textId="77777777" w:rsidR="009B10A4" w:rsidRPr="005A1F48" w:rsidRDefault="009B10A4" w:rsidP="009B10A4">
            <w:pPr>
              <w:rPr>
                <w:rFonts w:ascii="Arial" w:hAnsi="Arial" w:cs="Arial"/>
                <w:sz w:val="10"/>
                <w:szCs w:val="10"/>
                <w:lang w:eastAsia="es-AR"/>
              </w:rPr>
            </w:pPr>
          </w:p>
        </w:tc>
        <w:tc>
          <w:tcPr>
            <w:tcW w:w="411" w:type="pct"/>
            <w:tcBorders>
              <w:top w:val="nil"/>
              <w:left w:val="nil"/>
              <w:bottom w:val="nil"/>
              <w:right w:val="nil"/>
            </w:tcBorders>
            <w:shd w:val="clear" w:color="auto" w:fill="auto"/>
            <w:vAlign w:val="center"/>
            <w:hideMark/>
          </w:tcPr>
          <w:p w14:paraId="0DD1476C" w14:textId="77777777" w:rsidR="009B10A4" w:rsidRPr="005A1F48" w:rsidRDefault="009B10A4" w:rsidP="009B10A4">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30ADA984" w14:textId="77777777" w:rsidR="009B10A4" w:rsidRPr="005A1F48" w:rsidRDefault="009B10A4" w:rsidP="009B10A4">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114CF809" w14:textId="77777777" w:rsidR="009B10A4" w:rsidRPr="005A1F48" w:rsidRDefault="009B10A4" w:rsidP="009B10A4">
            <w:pPr>
              <w:jc w:val="right"/>
              <w:rPr>
                <w:rFonts w:ascii="Arial" w:hAnsi="Arial" w:cs="Arial"/>
                <w:sz w:val="10"/>
                <w:szCs w:val="10"/>
                <w:lang w:eastAsia="es-AR"/>
              </w:rPr>
            </w:pPr>
          </w:p>
        </w:tc>
      </w:tr>
      <w:tr w:rsidR="009B10A4" w:rsidRPr="002D55D1" w14:paraId="27015881" w14:textId="77777777" w:rsidTr="00AA5BDF">
        <w:trPr>
          <w:trHeight w:val="70"/>
        </w:trPr>
        <w:tc>
          <w:tcPr>
            <w:tcW w:w="3257" w:type="pct"/>
            <w:tcBorders>
              <w:top w:val="nil"/>
              <w:left w:val="nil"/>
              <w:right w:val="nil"/>
            </w:tcBorders>
            <w:shd w:val="clear" w:color="auto" w:fill="auto"/>
            <w:vAlign w:val="center"/>
            <w:hideMark/>
          </w:tcPr>
          <w:p w14:paraId="536B57FC" w14:textId="77777777" w:rsidR="009B10A4" w:rsidRPr="002D55D1" w:rsidRDefault="009B10A4" w:rsidP="009B10A4">
            <w:pPr>
              <w:rPr>
                <w:rFonts w:ascii="Arial" w:hAnsi="Arial" w:cs="Arial"/>
                <w:b/>
                <w:bCs/>
                <w:sz w:val="16"/>
                <w:szCs w:val="16"/>
                <w:lang w:eastAsia="es-AR"/>
              </w:rPr>
            </w:pPr>
            <w:r w:rsidRPr="002D55D1">
              <w:rPr>
                <w:rFonts w:ascii="Arial" w:hAnsi="Arial" w:cs="Arial"/>
                <w:b/>
                <w:bCs/>
                <w:sz w:val="16"/>
                <w:szCs w:val="16"/>
                <w:lang w:eastAsia="es-AR"/>
              </w:rPr>
              <w:t>TOTAL DE LAS ACTIVIDADES OPERATIVAS (A)</w:t>
            </w:r>
          </w:p>
        </w:tc>
        <w:tc>
          <w:tcPr>
            <w:tcW w:w="411" w:type="pct"/>
            <w:tcBorders>
              <w:top w:val="nil"/>
              <w:left w:val="nil"/>
              <w:right w:val="nil"/>
            </w:tcBorders>
            <w:shd w:val="clear" w:color="auto" w:fill="auto"/>
            <w:vAlign w:val="center"/>
            <w:hideMark/>
          </w:tcPr>
          <w:p w14:paraId="581B425A" w14:textId="77777777" w:rsidR="009B10A4" w:rsidRPr="002D55D1" w:rsidRDefault="009B10A4" w:rsidP="009B10A4">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28CD4E70" w14:textId="6DAFD123" w:rsidR="009B10A4" w:rsidRPr="00593C40" w:rsidRDefault="00456D9E" w:rsidP="009B10A4">
            <w:pPr>
              <w:jc w:val="right"/>
              <w:rPr>
                <w:rFonts w:ascii="Arial" w:hAnsi="Arial" w:cs="Arial"/>
                <w:b/>
                <w:bCs/>
                <w:sz w:val="16"/>
                <w:szCs w:val="16"/>
                <w:lang w:val="es-ES_tradnl" w:eastAsia="es-AR"/>
              </w:rPr>
            </w:pPr>
            <w:r w:rsidRPr="00456D9E">
              <w:rPr>
                <w:rFonts w:ascii="Arial" w:hAnsi="Arial" w:cs="Arial"/>
                <w:b/>
                <w:bCs/>
                <w:sz w:val="16"/>
                <w:szCs w:val="16"/>
                <w:lang w:val="es-ES_tradnl" w:eastAsia="es-AR"/>
              </w:rPr>
              <w:t>-18.882.572</w:t>
            </w:r>
          </w:p>
        </w:tc>
        <w:tc>
          <w:tcPr>
            <w:tcW w:w="729" w:type="pct"/>
            <w:tcBorders>
              <w:top w:val="single" w:sz="4" w:space="0" w:color="auto"/>
              <w:left w:val="nil"/>
              <w:bottom w:val="single" w:sz="4" w:space="0" w:color="auto"/>
              <w:right w:val="nil"/>
            </w:tcBorders>
            <w:shd w:val="clear" w:color="auto" w:fill="auto"/>
            <w:vAlign w:val="bottom"/>
          </w:tcPr>
          <w:p w14:paraId="6746ED0F" w14:textId="5616278E" w:rsidR="009B10A4" w:rsidRPr="00593C40" w:rsidRDefault="009B10A4" w:rsidP="009B10A4">
            <w:pPr>
              <w:jc w:val="right"/>
              <w:rPr>
                <w:rFonts w:ascii="Arial" w:hAnsi="Arial" w:cs="Arial"/>
                <w:b/>
                <w:bCs/>
                <w:sz w:val="16"/>
                <w:szCs w:val="16"/>
                <w:lang w:val="es-ES_tradnl" w:eastAsia="es-AR"/>
              </w:rPr>
            </w:pPr>
            <w:r>
              <w:rPr>
                <w:rFonts w:ascii="Arial" w:hAnsi="Arial" w:cs="Arial"/>
                <w:b/>
                <w:bCs/>
                <w:sz w:val="16"/>
                <w:szCs w:val="16"/>
                <w:lang w:val="es-ES_tradnl" w:eastAsia="es-AR"/>
              </w:rPr>
              <w:t>15.797.292</w:t>
            </w:r>
          </w:p>
        </w:tc>
      </w:tr>
      <w:tr w:rsidR="009B10A4" w:rsidRPr="0038752C" w14:paraId="4345AC42" w14:textId="77777777" w:rsidTr="0076627B">
        <w:trPr>
          <w:trHeight w:val="70"/>
        </w:trPr>
        <w:tc>
          <w:tcPr>
            <w:tcW w:w="3257" w:type="pct"/>
            <w:tcBorders>
              <w:left w:val="nil"/>
              <w:right w:val="nil"/>
            </w:tcBorders>
            <w:shd w:val="clear" w:color="auto" w:fill="auto"/>
            <w:vAlign w:val="center"/>
          </w:tcPr>
          <w:p w14:paraId="3441B4DA" w14:textId="77777777" w:rsidR="009B10A4" w:rsidRPr="005A1F48" w:rsidRDefault="009B10A4" w:rsidP="009B10A4">
            <w:pPr>
              <w:rPr>
                <w:rFonts w:ascii="Arial" w:hAnsi="Arial" w:cs="Arial"/>
                <w:b/>
                <w:bCs/>
                <w:sz w:val="10"/>
                <w:szCs w:val="10"/>
                <w:lang w:eastAsia="es-AR"/>
              </w:rPr>
            </w:pPr>
          </w:p>
        </w:tc>
        <w:tc>
          <w:tcPr>
            <w:tcW w:w="411" w:type="pct"/>
            <w:tcBorders>
              <w:left w:val="nil"/>
              <w:right w:val="nil"/>
            </w:tcBorders>
            <w:shd w:val="clear" w:color="auto" w:fill="auto"/>
            <w:vAlign w:val="center"/>
          </w:tcPr>
          <w:p w14:paraId="57C3D5A0" w14:textId="77777777" w:rsidR="009B10A4" w:rsidRPr="005A1F48" w:rsidRDefault="009B10A4" w:rsidP="009B10A4">
            <w:pPr>
              <w:rPr>
                <w:rFonts w:ascii="Arial" w:hAnsi="Arial" w:cs="Arial"/>
                <w:b/>
                <w:bCs/>
                <w:sz w:val="10"/>
                <w:szCs w:val="10"/>
                <w:lang w:eastAsia="es-AR"/>
              </w:rPr>
            </w:pPr>
          </w:p>
        </w:tc>
        <w:tc>
          <w:tcPr>
            <w:tcW w:w="603" w:type="pct"/>
            <w:tcBorders>
              <w:top w:val="single" w:sz="4" w:space="0" w:color="auto"/>
              <w:left w:val="nil"/>
              <w:right w:val="nil"/>
            </w:tcBorders>
            <w:shd w:val="clear" w:color="auto" w:fill="auto"/>
            <w:vAlign w:val="bottom"/>
          </w:tcPr>
          <w:p w14:paraId="0EE75171" w14:textId="77777777" w:rsidR="009B10A4" w:rsidRPr="005A1F48" w:rsidRDefault="009B10A4" w:rsidP="009B10A4">
            <w:pPr>
              <w:jc w:val="right"/>
              <w:rPr>
                <w:rFonts w:ascii="Arial" w:hAnsi="Arial" w:cs="Arial"/>
                <w:b/>
                <w:bCs/>
                <w:sz w:val="10"/>
                <w:szCs w:val="10"/>
                <w:lang w:val="es-ES_tradnl" w:eastAsia="es-AR"/>
              </w:rPr>
            </w:pPr>
          </w:p>
        </w:tc>
        <w:tc>
          <w:tcPr>
            <w:tcW w:w="729" w:type="pct"/>
            <w:tcBorders>
              <w:top w:val="single" w:sz="4" w:space="0" w:color="auto"/>
              <w:left w:val="nil"/>
              <w:right w:val="nil"/>
            </w:tcBorders>
            <w:shd w:val="clear" w:color="auto" w:fill="auto"/>
            <w:vAlign w:val="bottom"/>
          </w:tcPr>
          <w:p w14:paraId="5B2C0842" w14:textId="77777777" w:rsidR="009B10A4" w:rsidRPr="005A1F48" w:rsidRDefault="009B10A4" w:rsidP="009B10A4">
            <w:pPr>
              <w:jc w:val="right"/>
              <w:rPr>
                <w:rFonts w:ascii="Arial" w:hAnsi="Arial" w:cs="Arial"/>
                <w:b/>
                <w:bCs/>
                <w:sz w:val="10"/>
                <w:szCs w:val="10"/>
                <w:lang w:val="es-ES_tradnl" w:eastAsia="es-AR"/>
              </w:rPr>
            </w:pPr>
          </w:p>
        </w:tc>
      </w:tr>
      <w:tr w:rsidR="009B10A4" w:rsidRPr="00593C40" w14:paraId="1A074E97" w14:textId="77777777" w:rsidTr="00AA5BDF">
        <w:trPr>
          <w:trHeight w:val="235"/>
        </w:trPr>
        <w:tc>
          <w:tcPr>
            <w:tcW w:w="3257" w:type="pct"/>
            <w:tcBorders>
              <w:left w:val="nil"/>
              <w:bottom w:val="nil"/>
              <w:right w:val="nil"/>
            </w:tcBorders>
            <w:shd w:val="clear" w:color="auto" w:fill="auto"/>
            <w:vAlign w:val="center"/>
            <w:hideMark/>
          </w:tcPr>
          <w:p w14:paraId="1548192B"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FLUJOS DE EFECTIVO DE LAS ACTIVIDADES DE INVERSIÓN</w:t>
            </w:r>
          </w:p>
        </w:tc>
        <w:tc>
          <w:tcPr>
            <w:tcW w:w="411" w:type="pct"/>
            <w:tcBorders>
              <w:left w:val="nil"/>
              <w:bottom w:val="nil"/>
              <w:right w:val="nil"/>
            </w:tcBorders>
            <w:shd w:val="clear" w:color="auto" w:fill="auto"/>
            <w:vAlign w:val="center"/>
            <w:hideMark/>
          </w:tcPr>
          <w:p w14:paraId="09FA3754"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left w:val="nil"/>
              <w:right w:val="nil"/>
            </w:tcBorders>
            <w:shd w:val="clear" w:color="auto" w:fill="auto"/>
            <w:vAlign w:val="bottom"/>
          </w:tcPr>
          <w:p w14:paraId="5F29478A" w14:textId="3D1B2B1C" w:rsidR="009B10A4" w:rsidRPr="00593C40" w:rsidRDefault="009B10A4" w:rsidP="009B10A4">
            <w:pPr>
              <w:jc w:val="right"/>
              <w:rPr>
                <w:rFonts w:ascii="Arial" w:hAnsi="Arial" w:cs="Arial"/>
                <w:b/>
                <w:bCs/>
                <w:sz w:val="16"/>
                <w:szCs w:val="16"/>
              </w:rPr>
            </w:pPr>
          </w:p>
        </w:tc>
        <w:tc>
          <w:tcPr>
            <w:tcW w:w="729" w:type="pct"/>
            <w:tcBorders>
              <w:left w:val="nil"/>
              <w:right w:val="nil"/>
            </w:tcBorders>
            <w:shd w:val="clear" w:color="auto" w:fill="auto"/>
            <w:vAlign w:val="bottom"/>
          </w:tcPr>
          <w:p w14:paraId="4DAA518C" w14:textId="17CF52CC" w:rsidR="009B10A4" w:rsidRPr="00593C40" w:rsidRDefault="009B10A4" w:rsidP="009B10A4">
            <w:pPr>
              <w:jc w:val="right"/>
              <w:rPr>
                <w:rFonts w:ascii="Arial" w:hAnsi="Arial" w:cs="Arial"/>
                <w:b/>
                <w:bCs/>
                <w:sz w:val="16"/>
                <w:szCs w:val="16"/>
              </w:rPr>
            </w:pPr>
          </w:p>
        </w:tc>
      </w:tr>
      <w:tr w:rsidR="009B10A4" w:rsidRPr="00593C40" w14:paraId="09B22FA2" w14:textId="77777777" w:rsidTr="00AA5BDF">
        <w:trPr>
          <w:trHeight w:val="80"/>
        </w:trPr>
        <w:tc>
          <w:tcPr>
            <w:tcW w:w="3257" w:type="pct"/>
            <w:tcBorders>
              <w:top w:val="nil"/>
              <w:left w:val="nil"/>
              <w:bottom w:val="nil"/>
              <w:right w:val="nil"/>
            </w:tcBorders>
            <w:shd w:val="clear" w:color="auto" w:fill="auto"/>
            <w:vAlign w:val="center"/>
            <w:hideMark/>
          </w:tcPr>
          <w:p w14:paraId="255EAB75" w14:textId="77777777" w:rsidR="009B10A4" w:rsidRPr="00593C40" w:rsidRDefault="009B10A4" w:rsidP="009B10A4">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3BE46E9D" w14:textId="77777777" w:rsidR="009B10A4" w:rsidRPr="00593C40" w:rsidRDefault="009B10A4" w:rsidP="009B10A4">
            <w:pPr>
              <w:rPr>
                <w:rFonts w:ascii="Arial" w:hAnsi="Arial" w:cs="Arial"/>
                <w:b/>
                <w:bCs/>
                <w:sz w:val="10"/>
                <w:szCs w:val="10"/>
                <w:lang w:eastAsia="es-AR"/>
              </w:rPr>
            </w:pPr>
          </w:p>
        </w:tc>
        <w:tc>
          <w:tcPr>
            <w:tcW w:w="603" w:type="pct"/>
            <w:tcBorders>
              <w:left w:val="nil"/>
              <w:right w:val="nil"/>
            </w:tcBorders>
            <w:shd w:val="clear" w:color="auto" w:fill="auto"/>
            <w:vAlign w:val="bottom"/>
          </w:tcPr>
          <w:p w14:paraId="45743EF9" w14:textId="77777777" w:rsidR="009B10A4" w:rsidRPr="00593C40" w:rsidRDefault="009B10A4" w:rsidP="009B10A4">
            <w:pPr>
              <w:jc w:val="right"/>
              <w:rPr>
                <w:rFonts w:ascii="Arial" w:hAnsi="Arial" w:cs="Arial"/>
                <w:b/>
                <w:bCs/>
                <w:sz w:val="10"/>
                <w:szCs w:val="10"/>
              </w:rPr>
            </w:pPr>
          </w:p>
        </w:tc>
        <w:tc>
          <w:tcPr>
            <w:tcW w:w="729" w:type="pct"/>
            <w:tcBorders>
              <w:left w:val="nil"/>
              <w:right w:val="nil"/>
            </w:tcBorders>
            <w:shd w:val="clear" w:color="auto" w:fill="auto"/>
            <w:vAlign w:val="bottom"/>
          </w:tcPr>
          <w:p w14:paraId="17A0AA4E" w14:textId="77777777" w:rsidR="009B10A4" w:rsidRPr="00593C40" w:rsidRDefault="009B10A4" w:rsidP="009B10A4">
            <w:pPr>
              <w:jc w:val="right"/>
              <w:rPr>
                <w:rFonts w:ascii="Arial" w:hAnsi="Arial" w:cs="Arial"/>
                <w:b/>
                <w:bCs/>
                <w:sz w:val="10"/>
                <w:szCs w:val="10"/>
              </w:rPr>
            </w:pPr>
          </w:p>
        </w:tc>
      </w:tr>
      <w:tr w:rsidR="009B10A4" w:rsidRPr="00593C40" w14:paraId="3AC1F350" w14:textId="77777777" w:rsidTr="00AA5BDF">
        <w:trPr>
          <w:trHeight w:val="113"/>
        </w:trPr>
        <w:tc>
          <w:tcPr>
            <w:tcW w:w="3257" w:type="pct"/>
            <w:tcBorders>
              <w:top w:val="nil"/>
              <w:left w:val="nil"/>
              <w:bottom w:val="nil"/>
              <w:right w:val="nil"/>
            </w:tcBorders>
            <w:shd w:val="clear" w:color="auto" w:fill="auto"/>
            <w:vAlign w:val="center"/>
            <w:hideMark/>
          </w:tcPr>
          <w:p w14:paraId="13D9FD4C"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Pagos:</w:t>
            </w:r>
          </w:p>
        </w:tc>
        <w:tc>
          <w:tcPr>
            <w:tcW w:w="411" w:type="pct"/>
            <w:tcBorders>
              <w:top w:val="nil"/>
              <w:left w:val="nil"/>
              <w:bottom w:val="nil"/>
              <w:right w:val="nil"/>
            </w:tcBorders>
            <w:shd w:val="clear" w:color="auto" w:fill="auto"/>
            <w:vAlign w:val="center"/>
            <w:hideMark/>
          </w:tcPr>
          <w:p w14:paraId="2CD6FCDD"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4EAF8339" w14:textId="77777777" w:rsidR="009B10A4" w:rsidRPr="00593C40" w:rsidRDefault="009B10A4" w:rsidP="009B10A4">
            <w:pPr>
              <w:jc w:val="right"/>
              <w:rPr>
                <w:rFonts w:ascii="Arial" w:hAnsi="Arial" w:cs="Arial"/>
                <w:b/>
                <w:bCs/>
                <w:sz w:val="16"/>
                <w:szCs w:val="16"/>
              </w:rPr>
            </w:pPr>
          </w:p>
        </w:tc>
        <w:tc>
          <w:tcPr>
            <w:tcW w:w="729" w:type="pct"/>
            <w:tcBorders>
              <w:left w:val="nil"/>
              <w:right w:val="nil"/>
            </w:tcBorders>
            <w:shd w:val="clear" w:color="auto" w:fill="auto"/>
            <w:vAlign w:val="bottom"/>
          </w:tcPr>
          <w:p w14:paraId="3E4A12D9" w14:textId="77777777" w:rsidR="009B10A4" w:rsidRPr="00593C40" w:rsidRDefault="009B10A4" w:rsidP="009B10A4">
            <w:pPr>
              <w:jc w:val="right"/>
              <w:rPr>
                <w:rFonts w:ascii="Arial" w:hAnsi="Arial" w:cs="Arial"/>
                <w:b/>
                <w:bCs/>
                <w:sz w:val="16"/>
                <w:szCs w:val="16"/>
              </w:rPr>
            </w:pPr>
          </w:p>
        </w:tc>
      </w:tr>
      <w:tr w:rsidR="009B10A4" w:rsidRPr="00593C40" w14:paraId="235FC8F5" w14:textId="77777777" w:rsidTr="00AA5BDF">
        <w:trPr>
          <w:trHeight w:val="285"/>
        </w:trPr>
        <w:tc>
          <w:tcPr>
            <w:tcW w:w="3257" w:type="pct"/>
            <w:tcBorders>
              <w:top w:val="nil"/>
              <w:left w:val="nil"/>
              <w:bottom w:val="nil"/>
              <w:right w:val="nil"/>
            </w:tcBorders>
            <w:shd w:val="clear" w:color="auto" w:fill="auto"/>
            <w:vAlign w:val="center"/>
            <w:hideMark/>
          </w:tcPr>
          <w:p w14:paraId="3DA00DCB" w14:textId="77777777" w:rsidR="009B10A4" w:rsidRPr="00AC4F4B" w:rsidRDefault="009B10A4" w:rsidP="009B10A4">
            <w:pPr>
              <w:ind w:firstLine="284"/>
              <w:rPr>
                <w:rFonts w:ascii="Arial" w:hAnsi="Arial" w:cs="Arial"/>
                <w:bCs/>
                <w:sz w:val="16"/>
                <w:szCs w:val="16"/>
                <w:lang w:eastAsia="es-AR"/>
              </w:rPr>
            </w:pPr>
            <w:r w:rsidRPr="00AC4F4B">
              <w:rPr>
                <w:rFonts w:ascii="Arial" w:hAnsi="Arial" w:cs="Arial"/>
                <w:bCs/>
                <w:sz w:val="16"/>
                <w:szCs w:val="16"/>
                <w:lang w:eastAsia="es-AR"/>
              </w:rPr>
              <w:t>Compra de PPE, activos intangibles y otros activos</w:t>
            </w:r>
          </w:p>
        </w:tc>
        <w:tc>
          <w:tcPr>
            <w:tcW w:w="411" w:type="pct"/>
            <w:tcBorders>
              <w:top w:val="nil"/>
              <w:left w:val="nil"/>
              <w:bottom w:val="nil"/>
              <w:right w:val="nil"/>
            </w:tcBorders>
            <w:shd w:val="clear" w:color="auto" w:fill="auto"/>
            <w:vAlign w:val="center"/>
            <w:hideMark/>
          </w:tcPr>
          <w:p w14:paraId="403DF465"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23D5A3C1" w14:textId="0CF70DF3" w:rsidR="009B10A4" w:rsidRPr="00593C40" w:rsidRDefault="00456D9E" w:rsidP="009B10A4">
            <w:pPr>
              <w:jc w:val="right"/>
              <w:rPr>
                <w:rFonts w:ascii="Arial" w:hAnsi="Arial" w:cs="Arial"/>
                <w:bCs/>
                <w:sz w:val="16"/>
                <w:szCs w:val="16"/>
              </w:rPr>
            </w:pPr>
            <w:r w:rsidRPr="00456D9E">
              <w:rPr>
                <w:rFonts w:ascii="Arial" w:hAnsi="Arial" w:cs="Arial"/>
                <w:bCs/>
                <w:sz w:val="16"/>
                <w:szCs w:val="16"/>
              </w:rPr>
              <w:t xml:space="preserve">-1.799.934 </w:t>
            </w:r>
          </w:p>
        </w:tc>
        <w:tc>
          <w:tcPr>
            <w:tcW w:w="729" w:type="pct"/>
            <w:tcBorders>
              <w:left w:val="nil"/>
              <w:right w:val="nil"/>
            </w:tcBorders>
            <w:shd w:val="clear" w:color="auto" w:fill="auto"/>
            <w:vAlign w:val="bottom"/>
          </w:tcPr>
          <w:p w14:paraId="55F7ED84" w14:textId="1544BB81" w:rsidR="009B10A4" w:rsidRPr="00593C40" w:rsidRDefault="009B10A4" w:rsidP="009B10A4">
            <w:pPr>
              <w:jc w:val="right"/>
              <w:rPr>
                <w:rFonts w:ascii="Arial" w:hAnsi="Arial" w:cs="Arial"/>
                <w:bCs/>
                <w:sz w:val="16"/>
                <w:szCs w:val="16"/>
              </w:rPr>
            </w:pPr>
            <w:r>
              <w:rPr>
                <w:rFonts w:ascii="Arial" w:hAnsi="Arial" w:cs="Arial"/>
                <w:bCs/>
                <w:sz w:val="16"/>
                <w:szCs w:val="16"/>
              </w:rPr>
              <w:t>-657.994</w:t>
            </w:r>
          </w:p>
        </w:tc>
      </w:tr>
      <w:tr w:rsidR="009B10A4" w:rsidRPr="00593C40" w14:paraId="5EA25C41" w14:textId="77777777" w:rsidTr="00AA5BDF">
        <w:trPr>
          <w:trHeight w:val="285"/>
        </w:trPr>
        <w:tc>
          <w:tcPr>
            <w:tcW w:w="3257" w:type="pct"/>
            <w:tcBorders>
              <w:top w:val="nil"/>
              <w:left w:val="nil"/>
              <w:bottom w:val="nil"/>
              <w:right w:val="nil"/>
            </w:tcBorders>
            <w:shd w:val="clear" w:color="auto" w:fill="auto"/>
            <w:vAlign w:val="center"/>
            <w:hideMark/>
          </w:tcPr>
          <w:p w14:paraId="2CAD16FA" w14:textId="77777777" w:rsidR="009B10A4" w:rsidRPr="00AC4F4B" w:rsidRDefault="009B10A4" w:rsidP="009B10A4">
            <w:pPr>
              <w:ind w:firstLine="284"/>
              <w:rPr>
                <w:rFonts w:ascii="Arial" w:hAnsi="Arial" w:cs="Arial"/>
                <w:bCs/>
                <w:sz w:val="16"/>
                <w:szCs w:val="16"/>
                <w:lang w:eastAsia="es-AR"/>
              </w:rPr>
            </w:pPr>
            <w:r w:rsidRPr="00AC4F4B">
              <w:rPr>
                <w:rFonts w:ascii="Arial" w:hAnsi="Arial" w:cs="Arial"/>
                <w:bCs/>
                <w:sz w:val="16"/>
                <w:szCs w:val="16"/>
                <w:lang w:eastAsia="es-AR"/>
              </w:rPr>
              <w:t>Obtención de control de subsidiarias u otros negocios</w:t>
            </w:r>
          </w:p>
        </w:tc>
        <w:tc>
          <w:tcPr>
            <w:tcW w:w="411" w:type="pct"/>
            <w:tcBorders>
              <w:top w:val="nil"/>
              <w:left w:val="nil"/>
              <w:bottom w:val="nil"/>
              <w:right w:val="nil"/>
            </w:tcBorders>
            <w:shd w:val="clear" w:color="auto" w:fill="auto"/>
            <w:vAlign w:val="center"/>
            <w:hideMark/>
          </w:tcPr>
          <w:p w14:paraId="0757429A"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39A2AFE3" w14:textId="0CA4F2FF" w:rsidR="009B10A4" w:rsidRPr="00593C40" w:rsidRDefault="00B001D4" w:rsidP="009B10A4">
            <w:pPr>
              <w:jc w:val="right"/>
              <w:rPr>
                <w:rFonts w:ascii="Arial" w:hAnsi="Arial" w:cs="Arial"/>
                <w:bCs/>
                <w:sz w:val="16"/>
                <w:szCs w:val="16"/>
              </w:rPr>
            </w:pPr>
            <w:r>
              <w:rPr>
                <w:rFonts w:ascii="Arial" w:hAnsi="Arial" w:cs="Arial"/>
                <w:bCs/>
                <w:sz w:val="16"/>
                <w:szCs w:val="16"/>
              </w:rPr>
              <w:t>-</w:t>
            </w:r>
          </w:p>
        </w:tc>
        <w:tc>
          <w:tcPr>
            <w:tcW w:w="729" w:type="pct"/>
            <w:tcBorders>
              <w:left w:val="nil"/>
              <w:right w:val="nil"/>
            </w:tcBorders>
            <w:shd w:val="clear" w:color="auto" w:fill="auto"/>
            <w:vAlign w:val="bottom"/>
          </w:tcPr>
          <w:p w14:paraId="31427C2B" w14:textId="6325544F" w:rsidR="009B10A4" w:rsidRPr="00593C40" w:rsidRDefault="009B10A4" w:rsidP="009B10A4">
            <w:pPr>
              <w:jc w:val="right"/>
              <w:rPr>
                <w:rFonts w:ascii="Arial" w:hAnsi="Arial" w:cs="Arial"/>
                <w:bCs/>
                <w:sz w:val="16"/>
                <w:szCs w:val="16"/>
              </w:rPr>
            </w:pPr>
            <w:r>
              <w:rPr>
                <w:rFonts w:ascii="Arial" w:hAnsi="Arial" w:cs="Arial"/>
                <w:bCs/>
                <w:sz w:val="16"/>
                <w:szCs w:val="16"/>
              </w:rPr>
              <w:t>-27.139</w:t>
            </w:r>
          </w:p>
        </w:tc>
      </w:tr>
      <w:tr w:rsidR="009B10A4" w:rsidRPr="00593C40" w14:paraId="238AAF89" w14:textId="77777777" w:rsidTr="00AA5BDF">
        <w:trPr>
          <w:trHeight w:val="80"/>
        </w:trPr>
        <w:tc>
          <w:tcPr>
            <w:tcW w:w="3257" w:type="pct"/>
            <w:tcBorders>
              <w:top w:val="nil"/>
              <w:left w:val="nil"/>
              <w:bottom w:val="nil"/>
              <w:right w:val="nil"/>
            </w:tcBorders>
            <w:shd w:val="clear" w:color="auto" w:fill="auto"/>
            <w:vAlign w:val="center"/>
            <w:hideMark/>
          </w:tcPr>
          <w:p w14:paraId="0E3E5C87" w14:textId="77777777" w:rsidR="009B10A4" w:rsidRPr="00593C40" w:rsidRDefault="009B10A4" w:rsidP="009B10A4">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0970690F" w14:textId="77777777" w:rsidR="009B10A4" w:rsidRPr="00593C40" w:rsidRDefault="009B10A4" w:rsidP="009B10A4">
            <w:pPr>
              <w:rPr>
                <w:rFonts w:ascii="Arial" w:hAnsi="Arial" w:cs="Arial"/>
                <w:b/>
                <w:bCs/>
                <w:sz w:val="10"/>
                <w:szCs w:val="10"/>
                <w:lang w:eastAsia="es-AR"/>
              </w:rPr>
            </w:pPr>
          </w:p>
        </w:tc>
        <w:tc>
          <w:tcPr>
            <w:tcW w:w="603" w:type="pct"/>
            <w:tcBorders>
              <w:left w:val="nil"/>
              <w:right w:val="nil"/>
            </w:tcBorders>
            <w:shd w:val="clear" w:color="auto" w:fill="auto"/>
            <w:vAlign w:val="bottom"/>
          </w:tcPr>
          <w:p w14:paraId="387B18E6" w14:textId="77777777" w:rsidR="009B10A4" w:rsidRPr="00593C40" w:rsidRDefault="009B10A4" w:rsidP="009B10A4">
            <w:pPr>
              <w:jc w:val="right"/>
              <w:rPr>
                <w:rFonts w:ascii="Arial" w:hAnsi="Arial" w:cs="Arial"/>
                <w:bCs/>
                <w:sz w:val="10"/>
                <w:szCs w:val="10"/>
              </w:rPr>
            </w:pPr>
          </w:p>
        </w:tc>
        <w:tc>
          <w:tcPr>
            <w:tcW w:w="729" w:type="pct"/>
            <w:tcBorders>
              <w:left w:val="nil"/>
              <w:right w:val="nil"/>
            </w:tcBorders>
            <w:shd w:val="clear" w:color="auto" w:fill="auto"/>
            <w:vAlign w:val="bottom"/>
          </w:tcPr>
          <w:p w14:paraId="65770F16" w14:textId="77777777" w:rsidR="009B10A4" w:rsidRPr="00593C40" w:rsidRDefault="009B10A4" w:rsidP="009B10A4">
            <w:pPr>
              <w:jc w:val="right"/>
              <w:rPr>
                <w:rFonts w:ascii="Arial" w:hAnsi="Arial" w:cs="Arial"/>
                <w:bCs/>
                <w:sz w:val="10"/>
                <w:szCs w:val="10"/>
              </w:rPr>
            </w:pPr>
          </w:p>
        </w:tc>
      </w:tr>
      <w:tr w:rsidR="009B10A4" w:rsidRPr="00593C40" w14:paraId="33B70ED9" w14:textId="77777777" w:rsidTr="00AA5BDF">
        <w:trPr>
          <w:trHeight w:val="111"/>
        </w:trPr>
        <w:tc>
          <w:tcPr>
            <w:tcW w:w="3257" w:type="pct"/>
            <w:tcBorders>
              <w:top w:val="nil"/>
              <w:left w:val="nil"/>
              <w:bottom w:val="nil"/>
              <w:right w:val="nil"/>
            </w:tcBorders>
            <w:shd w:val="clear" w:color="auto" w:fill="auto"/>
            <w:vAlign w:val="center"/>
            <w:hideMark/>
          </w:tcPr>
          <w:p w14:paraId="1A7CEDDE"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Cobros:</w:t>
            </w:r>
          </w:p>
        </w:tc>
        <w:tc>
          <w:tcPr>
            <w:tcW w:w="411" w:type="pct"/>
            <w:tcBorders>
              <w:top w:val="nil"/>
              <w:left w:val="nil"/>
              <w:bottom w:val="nil"/>
              <w:right w:val="nil"/>
            </w:tcBorders>
            <w:shd w:val="clear" w:color="auto" w:fill="auto"/>
            <w:vAlign w:val="center"/>
            <w:hideMark/>
          </w:tcPr>
          <w:p w14:paraId="45BE21FC"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2A2A8D33" w14:textId="77777777" w:rsidR="009B10A4" w:rsidRPr="00593C40" w:rsidRDefault="009B10A4" w:rsidP="009B10A4">
            <w:pPr>
              <w:jc w:val="right"/>
              <w:rPr>
                <w:rFonts w:ascii="Arial" w:hAnsi="Arial" w:cs="Arial"/>
                <w:bCs/>
                <w:sz w:val="16"/>
                <w:szCs w:val="16"/>
              </w:rPr>
            </w:pPr>
          </w:p>
        </w:tc>
        <w:tc>
          <w:tcPr>
            <w:tcW w:w="729" w:type="pct"/>
            <w:tcBorders>
              <w:left w:val="nil"/>
              <w:right w:val="nil"/>
            </w:tcBorders>
            <w:shd w:val="clear" w:color="auto" w:fill="auto"/>
            <w:vAlign w:val="bottom"/>
          </w:tcPr>
          <w:p w14:paraId="3D77B066" w14:textId="77777777" w:rsidR="009B10A4" w:rsidRPr="00593C40" w:rsidRDefault="009B10A4" w:rsidP="009B10A4">
            <w:pPr>
              <w:jc w:val="right"/>
              <w:rPr>
                <w:rFonts w:ascii="Arial" w:hAnsi="Arial" w:cs="Arial"/>
                <w:bCs/>
                <w:sz w:val="16"/>
                <w:szCs w:val="16"/>
              </w:rPr>
            </w:pPr>
          </w:p>
        </w:tc>
      </w:tr>
      <w:tr w:rsidR="009B10A4" w:rsidRPr="00593C40" w14:paraId="66CC8222" w14:textId="77777777" w:rsidTr="005A1F48">
        <w:trPr>
          <w:trHeight w:val="285"/>
        </w:trPr>
        <w:tc>
          <w:tcPr>
            <w:tcW w:w="3257" w:type="pct"/>
            <w:tcBorders>
              <w:top w:val="nil"/>
              <w:left w:val="nil"/>
              <w:bottom w:val="nil"/>
              <w:right w:val="nil"/>
            </w:tcBorders>
            <w:shd w:val="clear" w:color="auto" w:fill="auto"/>
            <w:vAlign w:val="bottom"/>
            <w:hideMark/>
          </w:tcPr>
          <w:p w14:paraId="10C173DA" w14:textId="77777777" w:rsidR="009B10A4" w:rsidRPr="00AC4F4B" w:rsidRDefault="009B10A4" w:rsidP="009B10A4">
            <w:pPr>
              <w:ind w:firstLine="284"/>
              <w:rPr>
                <w:rFonts w:ascii="Arial" w:hAnsi="Arial" w:cs="Arial"/>
                <w:bCs/>
                <w:sz w:val="16"/>
                <w:szCs w:val="16"/>
                <w:lang w:eastAsia="es-AR"/>
              </w:rPr>
            </w:pPr>
            <w:r w:rsidRPr="00AC4F4B">
              <w:rPr>
                <w:rFonts w:ascii="Arial" w:hAnsi="Arial" w:cs="Arial"/>
                <w:bCs/>
                <w:sz w:val="16"/>
                <w:szCs w:val="16"/>
                <w:lang w:eastAsia="es-AR"/>
              </w:rPr>
              <w:t>Venta de PPE, activos intangibles y otros activos</w:t>
            </w:r>
          </w:p>
        </w:tc>
        <w:tc>
          <w:tcPr>
            <w:tcW w:w="411" w:type="pct"/>
            <w:tcBorders>
              <w:top w:val="nil"/>
              <w:left w:val="nil"/>
              <w:bottom w:val="nil"/>
              <w:right w:val="nil"/>
            </w:tcBorders>
            <w:shd w:val="clear" w:color="auto" w:fill="auto"/>
            <w:vAlign w:val="bottom"/>
            <w:hideMark/>
          </w:tcPr>
          <w:p w14:paraId="68861D94"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7C29971F" w14:textId="2F0AC820" w:rsidR="009B10A4" w:rsidRPr="00593C40" w:rsidRDefault="00B001D4" w:rsidP="009B10A4">
            <w:pPr>
              <w:jc w:val="right"/>
              <w:rPr>
                <w:rFonts w:ascii="Arial" w:hAnsi="Arial" w:cs="Arial"/>
                <w:bCs/>
                <w:sz w:val="16"/>
                <w:szCs w:val="16"/>
              </w:rPr>
            </w:pPr>
            <w:r w:rsidRPr="00456D9E">
              <w:rPr>
                <w:rFonts w:ascii="Arial" w:hAnsi="Arial" w:cs="Arial"/>
                <w:bCs/>
                <w:sz w:val="16"/>
                <w:szCs w:val="16"/>
              </w:rPr>
              <w:t>125.691</w:t>
            </w:r>
          </w:p>
        </w:tc>
        <w:tc>
          <w:tcPr>
            <w:tcW w:w="729" w:type="pct"/>
            <w:tcBorders>
              <w:left w:val="nil"/>
              <w:right w:val="nil"/>
            </w:tcBorders>
            <w:shd w:val="clear" w:color="auto" w:fill="auto"/>
            <w:vAlign w:val="bottom"/>
          </w:tcPr>
          <w:p w14:paraId="629770BA" w14:textId="41BA5D7E" w:rsidR="009B10A4" w:rsidRPr="00593C40" w:rsidRDefault="009B10A4" w:rsidP="009B10A4">
            <w:pPr>
              <w:jc w:val="right"/>
              <w:rPr>
                <w:rFonts w:ascii="Arial" w:hAnsi="Arial" w:cs="Arial"/>
                <w:bCs/>
                <w:sz w:val="16"/>
                <w:szCs w:val="16"/>
              </w:rPr>
            </w:pPr>
            <w:r>
              <w:rPr>
                <w:rFonts w:ascii="Arial" w:hAnsi="Arial" w:cs="Arial"/>
                <w:bCs/>
                <w:sz w:val="16"/>
                <w:szCs w:val="16"/>
              </w:rPr>
              <w:t>148.822</w:t>
            </w:r>
          </w:p>
        </w:tc>
      </w:tr>
      <w:tr w:rsidR="009B10A4" w:rsidRPr="00593C40" w14:paraId="30BCDB46" w14:textId="77777777" w:rsidTr="00AA5BDF">
        <w:trPr>
          <w:trHeight w:val="80"/>
        </w:trPr>
        <w:tc>
          <w:tcPr>
            <w:tcW w:w="3257" w:type="pct"/>
            <w:tcBorders>
              <w:top w:val="nil"/>
              <w:left w:val="nil"/>
              <w:bottom w:val="nil"/>
              <w:right w:val="nil"/>
            </w:tcBorders>
            <w:shd w:val="clear" w:color="auto" w:fill="auto"/>
            <w:vAlign w:val="center"/>
            <w:hideMark/>
          </w:tcPr>
          <w:p w14:paraId="3315214A" w14:textId="77777777" w:rsidR="009B10A4" w:rsidRPr="00593C40" w:rsidRDefault="009B10A4" w:rsidP="009B10A4">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4CAAF4C4" w14:textId="77777777" w:rsidR="009B10A4" w:rsidRPr="00593C40" w:rsidRDefault="009B10A4" w:rsidP="009B10A4">
            <w:pPr>
              <w:rPr>
                <w:rFonts w:ascii="Arial" w:hAnsi="Arial" w:cs="Arial"/>
                <w:b/>
                <w:bCs/>
                <w:sz w:val="10"/>
                <w:szCs w:val="10"/>
                <w:lang w:eastAsia="es-AR"/>
              </w:rPr>
            </w:pPr>
          </w:p>
        </w:tc>
        <w:tc>
          <w:tcPr>
            <w:tcW w:w="603" w:type="pct"/>
            <w:tcBorders>
              <w:left w:val="nil"/>
              <w:bottom w:val="single" w:sz="4" w:space="0" w:color="auto"/>
              <w:right w:val="nil"/>
            </w:tcBorders>
            <w:shd w:val="clear" w:color="auto" w:fill="auto"/>
            <w:vAlign w:val="bottom"/>
          </w:tcPr>
          <w:p w14:paraId="557CD7B9" w14:textId="77777777" w:rsidR="009B10A4" w:rsidRPr="00593C40" w:rsidRDefault="009B10A4" w:rsidP="009B10A4">
            <w:pPr>
              <w:jc w:val="right"/>
              <w:rPr>
                <w:rFonts w:ascii="Arial" w:hAnsi="Arial" w:cs="Arial"/>
                <w:bCs/>
                <w:sz w:val="10"/>
                <w:szCs w:val="10"/>
              </w:rPr>
            </w:pPr>
          </w:p>
        </w:tc>
        <w:tc>
          <w:tcPr>
            <w:tcW w:w="729" w:type="pct"/>
            <w:tcBorders>
              <w:left w:val="nil"/>
              <w:bottom w:val="single" w:sz="4" w:space="0" w:color="auto"/>
              <w:right w:val="nil"/>
            </w:tcBorders>
            <w:shd w:val="clear" w:color="auto" w:fill="auto"/>
            <w:vAlign w:val="bottom"/>
          </w:tcPr>
          <w:p w14:paraId="316CA9DA" w14:textId="77777777" w:rsidR="009B10A4" w:rsidRPr="00593C40" w:rsidRDefault="009B10A4" w:rsidP="009B10A4">
            <w:pPr>
              <w:jc w:val="right"/>
              <w:rPr>
                <w:rFonts w:ascii="Arial" w:hAnsi="Arial" w:cs="Arial"/>
                <w:bCs/>
                <w:sz w:val="10"/>
                <w:szCs w:val="10"/>
              </w:rPr>
            </w:pPr>
          </w:p>
        </w:tc>
      </w:tr>
      <w:tr w:rsidR="009B10A4" w:rsidRPr="00593C40" w14:paraId="5C8BCA45" w14:textId="77777777" w:rsidTr="00AA5BDF">
        <w:trPr>
          <w:trHeight w:val="179"/>
        </w:trPr>
        <w:tc>
          <w:tcPr>
            <w:tcW w:w="3257" w:type="pct"/>
            <w:tcBorders>
              <w:top w:val="nil"/>
              <w:left w:val="nil"/>
              <w:bottom w:val="nil"/>
              <w:right w:val="nil"/>
            </w:tcBorders>
            <w:shd w:val="clear" w:color="auto" w:fill="auto"/>
            <w:vAlign w:val="center"/>
            <w:hideMark/>
          </w:tcPr>
          <w:p w14:paraId="5834E66B"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TOTAL DE LAS ACTIVIDADES DE INVERSIÓN (B)</w:t>
            </w:r>
          </w:p>
        </w:tc>
        <w:tc>
          <w:tcPr>
            <w:tcW w:w="411" w:type="pct"/>
            <w:tcBorders>
              <w:top w:val="nil"/>
              <w:left w:val="nil"/>
              <w:bottom w:val="nil"/>
              <w:right w:val="nil"/>
            </w:tcBorders>
            <w:shd w:val="clear" w:color="auto" w:fill="auto"/>
            <w:vAlign w:val="center"/>
            <w:hideMark/>
          </w:tcPr>
          <w:p w14:paraId="0078767C" w14:textId="77777777" w:rsidR="009B10A4" w:rsidRPr="00593C40" w:rsidRDefault="009B10A4" w:rsidP="009B10A4">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28661DD5" w14:textId="4BAC42E6" w:rsidR="009B10A4" w:rsidRPr="00593C40" w:rsidRDefault="00456D9E" w:rsidP="009B10A4">
            <w:pPr>
              <w:jc w:val="right"/>
              <w:rPr>
                <w:rFonts w:ascii="Arial" w:hAnsi="Arial" w:cs="Arial"/>
                <w:b/>
                <w:bCs/>
                <w:sz w:val="16"/>
                <w:szCs w:val="16"/>
              </w:rPr>
            </w:pPr>
            <w:r w:rsidRPr="00456D9E">
              <w:rPr>
                <w:rFonts w:ascii="Arial" w:hAnsi="Arial" w:cs="Arial"/>
                <w:b/>
                <w:bCs/>
                <w:sz w:val="16"/>
                <w:szCs w:val="16"/>
              </w:rPr>
              <w:t xml:space="preserve">-1.674.243 </w:t>
            </w:r>
          </w:p>
        </w:tc>
        <w:tc>
          <w:tcPr>
            <w:tcW w:w="729" w:type="pct"/>
            <w:tcBorders>
              <w:top w:val="single" w:sz="4" w:space="0" w:color="auto"/>
              <w:left w:val="nil"/>
              <w:bottom w:val="single" w:sz="4" w:space="0" w:color="auto"/>
              <w:right w:val="nil"/>
            </w:tcBorders>
            <w:shd w:val="clear" w:color="auto" w:fill="auto"/>
            <w:vAlign w:val="bottom"/>
          </w:tcPr>
          <w:p w14:paraId="7093435A" w14:textId="3D29AED3" w:rsidR="009B10A4" w:rsidRPr="00593C40" w:rsidRDefault="009B10A4" w:rsidP="009B10A4">
            <w:pPr>
              <w:jc w:val="right"/>
              <w:rPr>
                <w:rFonts w:ascii="Arial" w:hAnsi="Arial" w:cs="Arial"/>
                <w:b/>
                <w:bCs/>
                <w:sz w:val="16"/>
                <w:szCs w:val="16"/>
              </w:rPr>
            </w:pPr>
            <w:r>
              <w:rPr>
                <w:rFonts w:ascii="Arial" w:hAnsi="Arial" w:cs="Arial"/>
                <w:b/>
                <w:bCs/>
                <w:sz w:val="16"/>
                <w:szCs w:val="16"/>
              </w:rPr>
              <w:t>-536.311</w:t>
            </w:r>
          </w:p>
        </w:tc>
      </w:tr>
      <w:tr w:rsidR="009B10A4" w:rsidRPr="00593C40" w14:paraId="595F9661" w14:textId="77777777" w:rsidTr="00AA5BDF">
        <w:trPr>
          <w:trHeight w:val="70"/>
        </w:trPr>
        <w:tc>
          <w:tcPr>
            <w:tcW w:w="3257" w:type="pct"/>
            <w:tcBorders>
              <w:top w:val="nil"/>
              <w:left w:val="nil"/>
              <w:bottom w:val="nil"/>
              <w:right w:val="nil"/>
            </w:tcBorders>
            <w:shd w:val="clear" w:color="auto" w:fill="auto"/>
            <w:vAlign w:val="center"/>
            <w:hideMark/>
          </w:tcPr>
          <w:p w14:paraId="79DB90F4" w14:textId="77777777" w:rsidR="009B10A4" w:rsidRPr="00593C40" w:rsidRDefault="009B10A4" w:rsidP="009B10A4">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7754E350" w14:textId="77777777" w:rsidR="009B10A4" w:rsidRPr="00593C40" w:rsidRDefault="009B10A4" w:rsidP="009B10A4">
            <w:pPr>
              <w:rPr>
                <w:rFonts w:ascii="Arial" w:hAnsi="Arial" w:cs="Arial"/>
                <w:b/>
                <w:bCs/>
                <w:sz w:val="10"/>
                <w:szCs w:val="10"/>
                <w:lang w:eastAsia="es-AR"/>
              </w:rPr>
            </w:pPr>
          </w:p>
        </w:tc>
        <w:tc>
          <w:tcPr>
            <w:tcW w:w="603" w:type="pct"/>
            <w:tcBorders>
              <w:top w:val="single" w:sz="4" w:space="0" w:color="auto"/>
              <w:left w:val="nil"/>
              <w:right w:val="nil"/>
            </w:tcBorders>
            <w:shd w:val="clear" w:color="auto" w:fill="auto"/>
            <w:vAlign w:val="bottom"/>
          </w:tcPr>
          <w:p w14:paraId="0EA16BE0" w14:textId="77777777" w:rsidR="009B10A4" w:rsidRPr="00593C40" w:rsidRDefault="009B10A4" w:rsidP="009B10A4">
            <w:pPr>
              <w:jc w:val="right"/>
              <w:rPr>
                <w:rFonts w:ascii="Arial" w:hAnsi="Arial" w:cs="Arial"/>
                <w:b/>
                <w:bCs/>
                <w:sz w:val="10"/>
                <w:szCs w:val="10"/>
              </w:rPr>
            </w:pPr>
          </w:p>
        </w:tc>
        <w:tc>
          <w:tcPr>
            <w:tcW w:w="729" w:type="pct"/>
            <w:tcBorders>
              <w:top w:val="single" w:sz="4" w:space="0" w:color="auto"/>
              <w:left w:val="nil"/>
              <w:right w:val="nil"/>
            </w:tcBorders>
            <w:shd w:val="clear" w:color="auto" w:fill="auto"/>
            <w:vAlign w:val="bottom"/>
          </w:tcPr>
          <w:p w14:paraId="61B434EF" w14:textId="77777777" w:rsidR="009B10A4" w:rsidRPr="00593C40" w:rsidRDefault="009B10A4" w:rsidP="009B10A4">
            <w:pPr>
              <w:jc w:val="right"/>
              <w:rPr>
                <w:rFonts w:ascii="Arial" w:hAnsi="Arial" w:cs="Arial"/>
                <w:b/>
                <w:bCs/>
                <w:sz w:val="10"/>
                <w:szCs w:val="10"/>
              </w:rPr>
            </w:pPr>
          </w:p>
        </w:tc>
      </w:tr>
      <w:tr w:rsidR="009B10A4" w:rsidRPr="00593C40" w14:paraId="0A48CBC1" w14:textId="77777777" w:rsidTr="00AA5BDF">
        <w:trPr>
          <w:trHeight w:val="285"/>
        </w:trPr>
        <w:tc>
          <w:tcPr>
            <w:tcW w:w="3257" w:type="pct"/>
            <w:tcBorders>
              <w:top w:val="nil"/>
              <w:left w:val="nil"/>
              <w:bottom w:val="nil"/>
              <w:right w:val="nil"/>
            </w:tcBorders>
            <w:shd w:val="clear" w:color="auto" w:fill="auto"/>
            <w:vAlign w:val="center"/>
            <w:hideMark/>
          </w:tcPr>
          <w:p w14:paraId="4318F41C"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FLUJOS DE EFECTIVO DE LAS ACTIVIDADES DE FINANCIACIÓN</w:t>
            </w:r>
          </w:p>
        </w:tc>
        <w:tc>
          <w:tcPr>
            <w:tcW w:w="411" w:type="pct"/>
            <w:tcBorders>
              <w:top w:val="nil"/>
              <w:left w:val="nil"/>
              <w:bottom w:val="nil"/>
              <w:right w:val="nil"/>
            </w:tcBorders>
            <w:shd w:val="clear" w:color="auto" w:fill="auto"/>
            <w:vAlign w:val="center"/>
            <w:hideMark/>
          </w:tcPr>
          <w:p w14:paraId="2F59AD17"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1E5219CF" w14:textId="77777777" w:rsidR="009B10A4" w:rsidRPr="00593C40" w:rsidRDefault="009B10A4" w:rsidP="009B10A4">
            <w:pPr>
              <w:jc w:val="right"/>
              <w:rPr>
                <w:rFonts w:ascii="Arial" w:hAnsi="Arial" w:cs="Arial"/>
                <w:b/>
                <w:bCs/>
                <w:sz w:val="16"/>
                <w:szCs w:val="16"/>
              </w:rPr>
            </w:pPr>
          </w:p>
        </w:tc>
        <w:tc>
          <w:tcPr>
            <w:tcW w:w="729" w:type="pct"/>
            <w:tcBorders>
              <w:left w:val="nil"/>
              <w:right w:val="nil"/>
            </w:tcBorders>
            <w:shd w:val="clear" w:color="auto" w:fill="auto"/>
            <w:vAlign w:val="bottom"/>
          </w:tcPr>
          <w:p w14:paraId="4EB4D47E" w14:textId="77777777" w:rsidR="009B10A4" w:rsidRPr="00593C40" w:rsidRDefault="009B10A4" w:rsidP="009B10A4">
            <w:pPr>
              <w:jc w:val="right"/>
              <w:rPr>
                <w:rFonts w:ascii="Arial" w:hAnsi="Arial" w:cs="Arial"/>
                <w:b/>
                <w:bCs/>
                <w:sz w:val="16"/>
                <w:szCs w:val="16"/>
              </w:rPr>
            </w:pPr>
          </w:p>
        </w:tc>
      </w:tr>
      <w:tr w:rsidR="009B10A4" w:rsidRPr="00593C40" w14:paraId="39DEBBF0" w14:textId="77777777" w:rsidTr="00AA5BDF">
        <w:trPr>
          <w:trHeight w:val="116"/>
        </w:trPr>
        <w:tc>
          <w:tcPr>
            <w:tcW w:w="3257" w:type="pct"/>
            <w:tcBorders>
              <w:top w:val="nil"/>
              <w:left w:val="nil"/>
              <w:bottom w:val="nil"/>
              <w:right w:val="nil"/>
            </w:tcBorders>
            <w:shd w:val="clear" w:color="auto" w:fill="auto"/>
            <w:vAlign w:val="center"/>
            <w:hideMark/>
          </w:tcPr>
          <w:p w14:paraId="25BD66C2" w14:textId="77777777" w:rsidR="009B10A4" w:rsidRPr="00593C40" w:rsidRDefault="009B10A4" w:rsidP="009B10A4">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6E1BEA6E" w14:textId="77777777" w:rsidR="009B10A4" w:rsidRPr="00593C40" w:rsidRDefault="009B10A4" w:rsidP="009B10A4">
            <w:pPr>
              <w:rPr>
                <w:rFonts w:ascii="Arial" w:hAnsi="Arial" w:cs="Arial"/>
                <w:b/>
                <w:bCs/>
                <w:sz w:val="10"/>
                <w:szCs w:val="10"/>
                <w:lang w:eastAsia="es-AR"/>
              </w:rPr>
            </w:pPr>
          </w:p>
        </w:tc>
        <w:tc>
          <w:tcPr>
            <w:tcW w:w="603" w:type="pct"/>
            <w:tcBorders>
              <w:left w:val="nil"/>
              <w:right w:val="nil"/>
            </w:tcBorders>
            <w:shd w:val="clear" w:color="auto" w:fill="auto"/>
            <w:vAlign w:val="bottom"/>
          </w:tcPr>
          <w:p w14:paraId="3FFD6284" w14:textId="77777777" w:rsidR="009B10A4" w:rsidRPr="00593C40" w:rsidRDefault="009B10A4" w:rsidP="009B10A4">
            <w:pPr>
              <w:jc w:val="right"/>
              <w:rPr>
                <w:rFonts w:ascii="Arial" w:hAnsi="Arial" w:cs="Arial"/>
                <w:b/>
                <w:bCs/>
                <w:sz w:val="10"/>
                <w:szCs w:val="10"/>
              </w:rPr>
            </w:pPr>
          </w:p>
        </w:tc>
        <w:tc>
          <w:tcPr>
            <w:tcW w:w="729" w:type="pct"/>
            <w:tcBorders>
              <w:left w:val="nil"/>
              <w:right w:val="nil"/>
            </w:tcBorders>
            <w:shd w:val="clear" w:color="auto" w:fill="auto"/>
            <w:vAlign w:val="bottom"/>
          </w:tcPr>
          <w:p w14:paraId="76B932CC" w14:textId="77777777" w:rsidR="009B10A4" w:rsidRPr="00593C40" w:rsidRDefault="009B10A4" w:rsidP="009B10A4">
            <w:pPr>
              <w:jc w:val="right"/>
              <w:rPr>
                <w:rFonts w:ascii="Arial" w:hAnsi="Arial" w:cs="Arial"/>
                <w:b/>
                <w:bCs/>
                <w:sz w:val="10"/>
                <w:szCs w:val="10"/>
              </w:rPr>
            </w:pPr>
          </w:p>
        </w:tc>
      </w:tr>
      <w:tr w:rsidR="009B10A4" w:rsidRPr="00593C40" w14:paraId="747D6B45" w14:textId="77777777" w:rsidTr="00AA5BDF">
        <w:trPr>
          <w:trHeight w:val="161"/>
        </w:trPr>
        <w:tc>
          <w:tcPr>
            <w:tcW w:w="3257" w:type="pct"/>
            <w:tcBorders>
              <w:top w:val="nil"/>
              <w:left w:val="nil"/>
              <w:bottom w:val="nil"/>
              <w:right w:val="nil"/>
            </w:tcBorders>
            <w:shd w:val="clear" w:color="auto" w:fill="auto"/>
            <w:vAlign w:val="center"/>
            <w:hideMark/>
          </w:tcPr>
          <w:p w14:paraId="30DCBB88"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Pagos:</w:t>
            </w:r>
          </w:p>
        </w:tc>
        <w:tc>
          <w:tcPr>
            <w:tcW w:w="411" w:type="pct"/>
            <w:tcBorders>
              <w:top w:val="nil"/>
              <w:left w:val="nil"/>
              <w:bottom w:val="nil"/>
              <w:right w:val="nil"/>
            </w:tcBorders>
            <w:shd w:val="clear" w:color="auto" w:fill="auto"/>
            <w:vAlign w:val="center"/>
            <w:hideMark/>
          </w:tcPr>
          <w:p w14:paraId="1F1325FA"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3CA4ABEE" w14:textId="77777777" w:rsidR="009B10A4" w:rsidRPr="00593C40" w:rsidRDefault="009B10A4" w:rsidP="009B10A4">
            <w:pPr>
              <w:jc w:val="right"/>
              <w:rPr>
                <w:rFonts w:ascii="Arial" w:hAnsi="Arial" w:cs="Arial"/>
                <w:b/>
                <w:bCs/>
                <w:sz w:val="16"/>
                <w:szCs w:val="16"/>
              </w:rPr>
            </w:pPr>
          </w:p>
        </w:tc>
        <w:tc>
          <w:tcPr>
            <w:tcW w:w="729" w:type="pct"/>
            <w:tcBorders>
              <w:left w:val="nil"/>
              <w:right w:val="nil"/>
            </w:tcBorders>
            <w:shd w:val="clear" w:color="auto" w:fill="auto"/>
            <w:vAlign w:val="bottom"/>
          </w:tcPr>
          <w:p w14:paraId="1464A793" w14:textId="77777777" w:rsidR="009B10A4" w:rsidRPr="00593C40" w:rsidRDefault="009B10A4" w:rsidP="009B10A4">
            <w:pPr>
              <w:jc w:val="right"/>
              <w:rPr>
                <w:rFonts w:ascii="Arial" w:hAnsi="Arial" w:cs="Arial"/>
                <w:b/>
                <w:bCs/>
                <w:sz w:val="16"/>
                <w:szCs w:val="16"/>
              </w:rPr>
            </w:pPr>
          </w:p>
        </w:tc>
      </w:tr>
      <w:tr w:rsidR="009B10A4" w:rsidRPr="00593C40" w14:paraId="168AA44C" w14:textId="77777777" w:rsidTr="005A1F48">
        <w:trPr>
          <w:trHeight w:val="285"/>
        </w:trPr>
        <w:tc>
          <w:tcPr>
            <w:tcW w:w="3257" w:type="pct"/>
            <w:tcBorders>
              <w:top w:val="nil"/>
              <w:left w:val="nil"/>
              <w:bottom w:val="nil"/>
              <w:right w:val="nil"/>
            </w:tcBorders>
            <w:shd w:val="clear" w:color="auto" w:fill="auto"/>
            <w:vAlign w:val="bottom"/>
            <w:hideMark/>
          </w:tcPr>
          <w:p w14:paraId="3046A7AA" w14:textId="77777777" w:rsidR="009B10A4" w:rsidRPr="00AC4F4B" w:rsidRDefault="009B10A4" w:rsidP="009B10A4">
            <w:pPr>
              <w:ind w:firstLine="284"/>
              <w:rPr>
                <w:rFonts w:ascii="Arial" w:hAnsi="Arial" w:cs="Arial"/>
                <w:bCs/>
                <w:sz w:val="16"/>
                <w:szCs w:val="16"/>
                <w:lang w:eastAsia="es-AR"/>
              </w:rPr>
            </w:pPr>
            <w:r w:rsidRPr="00AC4F4B">
              <w:rPr>
                <w:rFonts w:ascii="Arial" w:hAnsi="Arial" w:cs="Arial"/>
                <w:bCs/>
                <w:sz w:val="16"/>
                <w:szCs w:val="16"/>
                <w:lang w:eastAsia="es-AR"/>
              </w:rPr>
              <w:t>Obligaciones negociables no subordinadas</w:t>
            </w:r>
          </w:p>
        </w:tc>
        <w:tc>
          <w:tcPr>
            <w:tcW w:w="411" w:type="pct"/>
            <w:tcBorders>
              <w:top w:val="nil"/>
              <w:left w:val="nil"/>
              <w:bottom w:val="nil"/>
              <w:right w:val="nil"/>
            </w:tcBorders>
            <w:shd w:val="clear" w:color="auto" w:fill="auto"/>
            <w:vAlign w:val="bottom"/>
            <w:hideMark/>
          </w:tcPr>
          <w:p w14:paraId="219B0172"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52934057" w14:textId="025CE1FF" w:rsidR="009B10A4" w:rsidRPr="00593C40" w:rsidRDefault="009B10A4" w:rsidP="009B10A4">
            <w:pPr>
              <w:jc w:val="right"/>
              <w:rPr>
                <w:rFonts w:ascii="Arial" w:hAnsi="Arial" w:cs="Arial"/>
                <w:bCs/>
                <w:sz w:val="16"/>
                <w:szCs w:val="16"/>
              </w:rPr>
            </w:pPr>
            <w:r w:rsidRPr="00A81B86">
              <w:rPr>
                <w:rFonts w:ascii="Arial" w:hAnsi="Arial" w:cs="Arial"/>
                <w:bCs/>
                <w:sz w:val="16"/>
                <w:szCs w:val="16"/>
              </w:rPr>
              <w:t>-10.573.129</w:t>
            </w:r>
          </w:p>
        </w:tc>
        <w:tc>
          <w:tcPr>
            <w:tcW w:w="729" w:type="pct"/>
            <w:tcBorders>
              <w:left w:val="nil"/>
              <w:right w:val="nil"/>
            </w:tcBorders>
            <w:shd w:val="clear" w:color="auto" w:fill="auto"/>
            <w:vAlign w:val="bottom"/>
          </w:tcPr>
          <w:p w14:paraId="76181FD8" w14:textId="0AD3F7D2" w:rsidR="009B10A4" w:rsidRPr="00593C40" w:rsidRDefault="009B10A4" w:rsidP="009B10A4">
            <w:pPr>
              <w:jc w:val="right"/>
              <w:rPr>
                <w:rFonts w:ascii="Arial" w:hAnsi="Arial" w:cs="Arial"/>
                <w:bCs/>
                <w:sz w:val="16"/>
                <w:szCs w:val="16"/>
              </w:rPr>
            </w:pPr>
            <w:r>
              <w:rPr>
                <w:rFonts w:ascii="Arial" w:hAnsi="Arial" w:cs="Arial"/>
                <w:bCs/>
                <w:sz w:val="16"/>
                <w:szCs w:val="16"/>
              </w:rPr>
              <w:t>-3.461.110</w:t>
            </w:r>
          </w:p>
        </w:tc>
      </w:tr>
      <w:tr w:rsidR="009B10A4" w:rsidRPr="00593C40" w14:paraId="43E762B4" w14:textId="77777777" w:rsidTr="005A1F48">
        <w:trPr>
          <w:trHeight w:val="285"/>
        </w:trPr>
        <w:tc>
          <w:tcPr>
            <w:tcW w:w="3257" w:type="pct"/>
            <w:tcBorders>
              <w:top w:val="nil"/>
              <w:left w:val="nil"/>
              <w:bottom w:val="nil"/>
              <w:right w:val="nil"/>
            </w:tcBorders>
            <w:shd w:val="clear" w:color="auto" w:fill="auto"/>
            <w:vAlign w:val="bottom"/>
            <w:hideMark/>
          </w:tcPr>
          <w:p w14:paraId="63FDC726" w14:textId="77777777" w:rsidR="009B10A4" w:rsidRPr="00AC4F4B" w:rsidRDefault="009B10A4" w:rsidP="009B10A4">
            <w:pPr>
              <w:ind w:firstLine="284"/>
              <w:rPr>
                <w:rFonts w:ascii="Arial" w:hAnsi="Arial" w:cs="Arial"/>
                <w:bCs/>
                <w:sz w:val="16"/>
                <w:szCs w:val="16"/>
                <w:lang w:eastAsia="es-AR"/>
              </w:rPr>
            </w:pPr>
            <w:r w:rsidRPr="00AC4F4B">
              <w:rPr>
                <w:rFonts w:ascii="Arial" w:hAnsi="Arial" w:cs="Arial"/>
                <w:bCs/>
                <w:sz w:val="16"/>
                <w:szCs w:val="16"/>
                <w:lang w:eastAsia="es-AR"/>
              </w:rPr>
              <w:t>Financiaciones de entidades financieras locales</w:t>
            </w:r>
          </w:p>
        </w:tc>
        <w:tc>
          <w:tcPr>
            <w:tcW w:w="411" w:type="pct"/>
            <w:tcBorders>
              <w:top w:val="nil"/>
              <w:left w:val="nil"/>
              <w:bottom w:val="nil"/>
              <w:right w:val="nil"/>
            </w:tcBorders>
            <w:shd w:val="clear" w:color="auto" w:fill="auto"/>
            <w:vAlign w:val="bottom"/>
            <w:hideMark/>
          </w:tcPr>
          <w:p w14:paraId="19CDF957"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0DE32DBD" w14:textId="4BF60D57" w:rsidR="009B10A4" w:rsidRPr="00593C40" w:rsidRDefault="009B10A4" w:rsidP="009B10A4">
            <w:pPr>
              <w:jc w:val="right"/>
              <w:rPr>
                <w:rFonts w:ascii="Arial" w:hAnsi="Arial" w:cs="Arial"/>
                <w:bCs/>
                <w:sz w:val="16"/>
                <w:szCs w:val="16"/>
              </w:rPr>
            </w:pPr>
            <w:r w:rsidRPr="00A81B86">
              <w:rPr>
                <w:rFonts w:ascii="Arial" w:hAnsi="Arial" w:cs="Arial"/>
                <w:bCs/>
                <w:sz w:val="16"/>
                <w:szCs w:val="16"/>
              </w:rPr>
              <w:t>-86.978.757</w:t>
            </w:r>
          </w:p>
        </w:tc>
        <w:tc>
          <w:tcPr>
            <w:tcW w:w="729" w:type="pct"/>
            <w:tcBorders>
              <w:left w:val="nil"/>
              <w:right w:val="nil"/>
            </w:tcBorders>
            <w:shd w:val="clear" w:color="auto" w:fill="auto"/>
            <w:vAlign w:val="bottom"/>
          </w:tcPr>
          <w:p w14:paraId="5F5E68CD" w14:textId="44FEAF8E" w:rsidR="009B10A4" w:rsidRPr="00593C40" w:rsidRDefault="009B10A4" w:rsidP="009B10A4">
            <w:pPr>
              <w:jc w:val="right"/>
              <w:rPr>
                <w:rFonts w:ascii="Arial" w:hAnsi="Arial" w:cs="Arial"/>
                <w:bCs/>
                <w:sz w:val="16"/>
                <w:szCs w:val="16"/>
              </w:rPr>
            </w:pPr>
            <w:r>
              <w:rPr>
                <w:rFonts w:ascii="Arial" w:hAnsi="Arial" w:cs="Arial"/>
                <w:bCs/>
                <w:sz w:val="16"/>
                <w:szCs w:val="16"/>
              </w:rPr>
              <w:t>-68.350.692</w:t>
            </w:r>
          </w:p>
        </w:tc>
      </w:tr>
      <w:tr w:rsidR="009B10A4" w:rsidRPr="00593C40" w14:paraId="7FFA9696" w14:textId="77777777" w:rsidTr="005A1F48">
        <w:trPr>
          <w:trHeight w:val="285"/>
        </w:trPr>
        <w:tc>
          <w:tcPr>
            <w:tcW w:w="3257" w:type="pct"/>
            <w:tcBorders>
              <w:top w:val="nil"/>
              <w:left w:val="nil"/>
              <w:bottom w:val="nil"/>
              <w:right w:val="nil"/>
            </w:tcBorders>
            <w:shd w:val="clear" w:color="auto" w:fill="auto"/>
            <w:vAlign w:val="bottom"/>
            <w:hideMark/>
          </w:tcPr>
          <w:p w14:paraId="1EC27241" w14:textId="77777777" w:rsidR="009B10A4" w:rsidRPr="00AC4F4B" w:rsidRDefault="009B10A4" w:rsidP="009B10A4">
            <w:pPr>
              <w:ind w:firstLine="284"/>
              <w:rPr>
                <w:rFonts w:ascii="Arial" w:hAnsi="Arial" w:cs="Arial"/>
                <w:bCs/>
                <w:sz w:val="16"/>
                <w:szCs w:val="16"/>
                <w:lang w:eastAsia="es-AR"/>
              </w:rPr>
            </w:pPr>
            <w:r w:rsidRPr="00AC4F4B">
              <w:rPr>
                <w:rFonts w:ascii="Arial" w:hAnsi="Arial" w:cs="Arial"/>
                <w:bCs/>
                <w:sz w:val="16"/>
                <w:szCs w:val="16"/>
                <w:lang w:eastAsia="es-AR"/>
              </w:rPr>
              <w:t>Obligaciones subordinadas</w:t>
            </w:r>
          </w:p>
        </w:tc>
        <w:tc>
          <w:tcPr>
            <w:tcW w:w="411" w:type="pct"/>
            <w:tcBorders>
              <w:top w:val="nil"/>
              <w:left w:val="nil"/>
              <w:bottom w:val="nil"/>
              <w:right w:val="nil"/>
            </w:tcBorders>
            <w:shd w:val="clear" w:color="auto" w:fill="auto"/>
            <w:vAlign w:val="bottom"/>
            <w:hideMark/>
          </w:tcPr>
          <w:p w14:paraId="24A5D971"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099395E0" w14:textId="2BF0B99C" w:rsidR="009B10A4" w:rsidRPr="00593C40" w:rsidRDefault="009B10A4" w:rsidP="009B10A4">
            <w:pPr>
              <w:jc w:val="right"/>
              <w:rPr>
                <w:rFonts w:ascii="Arial" w:hAnsi="Arial" w:cs="Arial"/>
                <w:bCs/>
                <w:sz w:val="16"/>
                <w:szCs w:val="16"/>
              </w:rPr>
            </w:pPr>
            <w:r w:rsidRPr="00A81B86">
              <w:rPr>
                <w:rFonts w:ascii="Arial" w:hAnsi="Arial" w:cs="Arial"/>
                <w:bCs/>
                <w:sz w:val="16"/>
                <w:szCs w:val="16"/>
              </w:rPr>
              <w:t>-98.024</w:t>
            </w:r>
          </w:p>
        </w:tc>
        <w:tc>
          <w:tcPr>
            <w:tcW w:w="729" w:type="pct"/>
            <w:tcBorders>
              <w:left w:val="nil"/>
              <w:right w:val="nil"/>
            </w:tcBorders>
            <w:shd w:val="clear" w:color="auto" w:fill="auto"/>
            <w:vAlign w:val="bottom"/>
          </w:tcPr>
          <w:p w14:paraId="7DE97356" w14:textId="0AB8D1DC" w:rsidR="009B10A4" w:rsidRPr="00593C40" w:rsidRDefault="009B10A4" w:rsidP="009B10A4">
            <w:pPr>
              <w:jc w:val="right"/>
              <w:rPr>
                <w:rFonts w:ascii="Arial" w:hAnsi="Arial" w:cs="Arial"/>
                <w:bCs/>
                <w:sz w:val="16"/>
                <w:szCs w:val="16"/>
              </w:rPr>
            </w:pPr>
            <w:r>
              <w:rPr>
                <w:rFonts w:ascii="Arial" w:hAnsi="Arial" w:cs="Arial"/>
                <w:bCs/>
                <w:sz w:val="16"/>
                <w:szCs w:val="16"/>
              </w:rPr>
              <w:t>-12.985</w:t>
            </w:r>
          </w:p>
        </w:tc>
      </w:tr>
      <w:tr w:rsidR="009B10A4" w:rsidRPr="00593C40" w14:paraId="1A5AE332" w14:textId="77777777" w:rsidTr="005A1F48">
        <w:trPr>
          <w:trHeight w:val="285"/>
        </w:trPr>
        <w:tc>
          <w:tcPr>
            <w:tcW w:w="3257" w:type="pct"/>
            <w:tcBorders>
              <w:top w:val="nil"/>
              <w:left w:val="nil"/>
              <w:bottom w:val="nil"/>
              <w:right w:val="nil"/>
            </w:tcBorders>
            <w:shd w:val="clear" w:color="auto" w:fill="auto"/>
            <w:vAlign w:val="bottom"/>
          </w:tcPr>
          <w:p w14:paraId="6D95B7A4" w14:textId="50AD20F5" w:rsidR="009B10A4" w:rsidRPr="00AC4F4B" w:rsidRDefault="009B10A4" w:rsidP="009B10A4">
            <w:pPr>
              <w:ind w:firstLine="284"/>
              <w:rPr>
                <w:rFonts w:ascii="Arial" w:hAnsi="Arial" w:cs="Arial"/>
                <w:bCs/>
                <w:sz w:val="16"/>
                <w:szCs w:val="16"/>
                <w:lang w:eastAsia="es-AR"/>
              </w:rPr>
            </w:pPr>
            <w:r w:rsidRPr="006F757F">
              <w:rPr>
                <w:rFonts w:ascii="Arial" w:hAnsi="Arial" w:cs="Arial"/>
                <w:bCs/>
                <w:sz w:val="16"/>
                <w:szCs w:val="16"/>
                <w:lang w:eastAsia="es-AR"/>
              </w:rPr>
              <w:t>Pagos por arrendamientos financieros</w:t>
            </w:r>
          </w:p>
        </w:tc>
        <w:tc>
          <w:tcPr>
            <w:tcW w:w="411" w:type="pct"/>
            <w:tcBorders>
              <w:top w:val="nil"/>
              <w:left w:val="nil"/>
              <w:bottom w:val="nil"/>
              <w:right w:val="nil"/>
            </w:tcBorders>
            <w:shd w:val="clear" w:color="auto" w:fill="auto"/>
            <w:vAlign w:val="bottom"/>
          </w:tcPr>
          <w:p w14:paraId="23B2FE73"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24D83C99" w14:textId="2A8F5224" w:rsidR="009B10A4" w:rsidRPr="006F757F" w:rsidRDefault="00E55B13" w:rsidP="009B10A4">
            <w:pPr>
              <w:jc w:val="right"/>
              <w:rPr>
                <w:rFonts w:ascii="Arial" w:hAnsi="Arial" w:cs="Arial"/>
                <w:bCs/>
                <w:sz w:val="16"/>
                <w:szCs w:val="16"/>
              </w:rPr>
            </w:pPr>
            <w:r w:rsidRPr="00E55B13">
              <w:rPr>
                <w:rFonts w:ascii="Arial" w:hAnsi="Arial" w:cs="Arial"/>
                <w:bCs/>
                <w:sz w:val="16"/>
                <w:szCs w:val="16"/>
              </w:rPr>
              <w:t>-995.901</w:t>
            </w:r>
          </w:p>
        </w:tc>
        <w:tc>
          <w:tcPr>
            <w:tcW w:w="729" w:type="pct"/>
            <w:tcBorders>
              <w:left w:val="nil"/>
              <w:right w:val="nil"/>
            </w:tcBorders>
            <w:shd w:val="clear" w:color="auto" w:fill="auto"/>
            <w:vAlign w:val="bottom"/>
          </w:tcPr>
          <w:p w14:paraId="1699839D" w14:textId="6F57AD00" w:rsidR="009B10A4" w:rsidRPr="00593C40" w:rsidRDefault="009B10A4" w:rsidP="009B10A4">
            <w:pPr>
              <w:jc w:val="right"/>
              <w:rPr>
                <w:rFonts w:ascii="Arial" w:hAnsi="Arial" w:cs="Arial"/>
                <w:bCs/>
                <w:sz w:val="16"/>
                <w:szCs w:val="16"/>
              </w:rPr>
            </w:pPr>
            <w:r>
              <w:rPr>
                <w:rFonts w:ascii="Arial" w:hAnsi="Arial" w:cs="Arial"/>
                <w:bCs/>
                <w:sz w:val="16"/>
                <w:szCs w:val="16"/>
              </w:rPr>
              <w:t>-</w:t>
            </w:r>
          </w:p>
        </w:tc>
      </w:tr>
      <w:tr w:rsidR="009B10A4" w:rsidRPr="00593C40" w14:paraId="57C6355A" w14:textId="77777777" w:rsidTr="00AA5BDF">
        <w:trPr>
          <w:trHeight w:val="82"/>
        </w:trPr>
        <w:tc>
          <w:tcPr>
            <w:tcW w:w="3257" w:type="pct"/>
            <w:tcBorders>
              <w:top w:val="nil"/>
              <w:left w:val="nil"/>
              <w:bottom w:val="nil"/>
              <w:right w:val="nil"/>
            </w:tcBorders>
            <w:shd w:val="clear" w:color="auto" w:fill="auto"/>
            <w:vAlign w:val="center"/>
            <w:hideMark/>
          </w:tcPr>
          <w:p w14:paraId="4B6FEB82" w14:textId="77777777" w:rsidR="009B10A4" w:rsidRPr="00593C40" w:rsidRDefault="009B10A4" w:rsidP="009B10A4">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1FAAAD2D" w14:textId="77777777" w:rsidR="009B10A4" w:rsidRPr="00593C40" w:rsidRDefault="009B10A4" w:rsidP="009B10A4">
            <w:pPr>
              <w:rPr>
                <w:rFonts w:ascii="Arial" w:hAnsi="Arial" w:cs="Arial"/>
                <w:b/>
                <w:bCs/>
                <w:sz w:val="10"/>
                <w:szCs w:val="10"/>
                <w:lang w:eastAsia="es-AR"/>
              </w:rPr>
            </w:pPr>
          </w:p>
        </w:tc>
        <w:tc>
          <w:tcPr>
            <w:tcW w:w="603" w:type="pct"/>
            <w:tcBorders>
              <w:left w:val="nil"/>
              <w:right w:val="nil"/>
            </w:tcBorders>
            <w:shd w:val="clear" w:color="auto" w:fill="auto"/>
            <w:vAlign w:val="bottom"/>
          </w:tcPr>
          <w:p w14:paraId="71C24DBE" w14:textId="77777777" w:rsidR="009B10A4" w:rsidRPr="00593C40" w:rsidRDefault="009B10A4" w:rsidP="009B10A4">
            <w:pPr>
              <w:jc w:val="right"/>
              <w:rPr>
                <w:rFonts w:ascii="Arial" w:hAnsi="Arial" w:cs="Arial"/>
                <w:bCs/>
                <w:sz w:val="10"/>
                <w:szCs w:val="10"/>
              </w:rPr>
            </w:pPr>
          </w:p>
        </w:tc>
        <w:tc>
          <w:tcPr>
            <w:tcW w:w="729" w:type="pct"/>
            <w:tcBorders>
              <w:left w:val="nil"/>
              <w:right w:val="nil"/>
            </w:tcBorders>
            <w:shd w:val="clear" w:color="auto" w:fill="auto"/>
            <w:vAlign w:val="bottom"/>
          </w:tcPr>
          <w:p w14:paraId="462D6D48" w14:textId="77777777" w:rsidR="009B10A4" w:rsidRPr="00593C40" w:rsidRDefault="009B10A4" w:rsidP="009B10A4">
            <w:pPr>
              <w:jc w:val="right"/>
              <w:rPr>
                <w:rFonts w:ascii="Arial" w:hAnsi="Arial" w:cs="Arial"/>
                <w:bCs/>
                <w:sz w:val="10"/>
                <w:szCs w:val="10"/>
              </w:rPr>
            </w:pPr>
          </w:p>
        </w:tc>
      </w:tr>
      <w:tr w:rsidR="009B10A4" w:rsidRPr="00593C40" w14:paraId="104108A0" w14:textId="77777777" w:rsidTr="00AA5BDF">
        <w:trPr>
          <w:trHeight w:val="140"/>
        </w:trPr>
        <w:tc>
          <w:tcPr>
            <w:tcW w:w="3257" w:type="pct"/>
            <w:tcBorders>
              <w:top w:val="nil"/>
              <w:left w:val="nil"/>
              <w:bottom w:val="nil"/>
              <w:right w:val="nil"/>
            </w:tcBorders>
            <w:shd w:val="clear" w:color="auto" w:fill="auto"/>
            <w:vAlign w:val="center"/>
            <w:hideMark/>
          </w:tcPr>
          <w:p w14:paraId="69F9A17F"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Cobros:</w:t>
            </w:r>
          </w:p>
        </w:tc>
        <w:tc>
          <w:tcPr>
            <w:tcW w:w="411" w:type="pct"/>
            <w:tcBorders>
              <w:top w:val="nil"/>
              <w:left w:val="nil"/>
              <w:bottom w:val="nil"/>
              <w:right w:val="nil"/>
            </w:tcBorders>
            <w:shd w:val="clear" w:color="auto" w:fill="auto"/>
            <w:vAlign w:val="center"/>
            <w:hideMark/>
          </w:tcPr>
          <w:p w14:paraId="28B5833E"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5678AFE6" w14:textId="77777777" w:rsidR="009B10A4" w:rsidRPr="00593C40" w:rsidRDefault="009B10A4" w:rsidP="009B10A4">
            <w:pPr>
              <w:jc w:val="right"/>
              <w:rPr>
                <w:rFonts w:ascii="Arial" w:hAnsi="Arial" w:cs="Arial"/>
                <w:bCs/>
                <w:sz w:val="16"/>
                <w:szCs w:val="16"/>
              </w:rPr>
            </w:pPr>
          </w:p>
        </w:tc>
        <w:tc>
          <w:tcPr>
            <w:tcW w:w="729" w:type="pct"/>
            <w:tcBorders>
              <w:left w:val="nil"/>
              <w:right w:val="nil"/>
            </w:tcBorders>
            <w:shd w:val="clear" w:color="auto" w:fill="auto"/>
            <w:vAlign w:val="bottom"/>
          </w:tcPr>
          <w:p w14:paraId="6F00E43E" w14:textId="77777777" w:rsidR="009B10A4" w:rsidRPr="00593C40" w:rsidRDefault="009B10A4" w:rsidP="009B10A4">
            <w:pPr>
              <w:jc w:val="right"/>
              <w:rPr>
                <w:rFonts w:ascii="Arial" w:hAnsi="Arial" w:cs="Arial"/>
                <w:bCs/>
                <w:sz w:val="16"/>
                <w:szCs w:val="16"/>
              </w:rPr>
            </w:pPr>
          </w:p>
        </w:tc>
      </w:tr>
      <w:tr w:rsidR="009B10A4" w:rsidRPr="00593C40" w14:paraId="6ACAE5CC" w14:textId="77777777" w:rsidTr="005A1F48">
        <w:trPr>
          <w:trHeight w:val="285"/>
        </w:trPr>
        <w:tc>
          <w:tcPr>
            <w:tcW w:w="3257" w:type="pct"/>
            <w:tcBorders>
              <w:top w:val="nil"/>
              <w:left w:val="nil"/>
              <w:bottom w:val="nil"/>
              <w:right w:val="nil"/>
            </w:tcBorders>
            <w:shd w:val="clear" w:color="auto" w:fill="auto"/>
            <w:vAlign w:val="bottom"/>
            <w:hideMark/>
          </w:tcPr>
          <w:p w14:paraId="29F49D65" w14:textId="77777777" w:rsidR="009B10A4" w:rsidRPr="00AC4F4B" w:rsidRDefault="009B10A4" w:rsidP="009B10A4">
            <w:pPr>
              <w:ind w:firstLine="284"/>
              <w:rPr>
                <w:rFonts w:ascii="Arial" w:hAnsi="Arial" w:cs="Arial"/>
                <w:bCs/>
                <w:sz w:val="16"/>
                <w:szCs w:val="16"/>
                <w:lang w:eastAsia="es-AR"/>
              </w:rPr>
            </w:pPr>
            <w:r w:rsidRPr="00AC4F4B">
              <w:rPr>
                <w:rFonts w:ascii="Arial" w:hAnsi="Arial" w:cs="Arial"/>
                <w:bCs/>
                <w:sz w:val="16"/>
                <w:szCs w:val="16"/>
                <w:lang w:eastAsia="es-AR"/>
              </w:rPr>
              <w:t>Emisión de instrumentos de patrimonio propio</w:t>
            </w:r>
          </w:p>
        </w:tc>
        <w:tc>
          <w:tcPr>
            <w:tcW w:w="411" w:type="pct"/>
            <w:tcBorders>
              <w:top w:val="nil"/>
              <w:left w:val="nil"/>
              <w:bottom w:val="nil"/>
              <w:right w:val="nil"/>
            </w:tcBorders>
            <w:shd w:val="clear" w:color="auto" w:fill="auto"/>
            <w:vAlign w:val="center"/>
            <w:hideMark/>
          </w:tcPr>
          <w:p w14:paraId="2846F92B"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45D1B96B" w14:textId="6322E7EA" w:rsidR="009B10A4" w:rsidRPr="00593C40" w:rsidRDefault="009B10A4" w:rsidP="009B10A4">
            <w:pPr>
              <w:jc w:val="right"/>
              <w:rPr>
                <w:rFonts w:ascii="Arial" w:hAnsi="Arial" w:cs="Arial"/>
                <w:bCs/>
                <w:sz w:val="16"/>
                <w:szCs w:val="16"/>
              </w:rPr>
            </w:pPr>
            <w:r w:rsidRPr="00A81B86">
              <w:rPr>
                <w:rFonts w:ascii="Arial" w:hAnsi="Arial" w:cs="Arial"/>
                <w:bCs/>
                <w:sz w:val="16"/>
                <w:szCs w:val="16"/>
              </w:rPr>
              <w:t>475.000</w:t>
            </w:r>
          </w:p>
        </w:tc>
        <w:tc>
          <w:tcPr>
            <w:tcW w:w="729" w:type="pct"/>
            <w:tcBorders>
              <w:left w:val="nil"/>
              <w:right w:val="nil"/>
            </w:tcBorders>
            <w:shd w:val="clear" w:color="auto" w:fill="auto"/>
            <w:vAlign w:val="bottom"/>
          </w:tcPr>
          <w:p w14:paraId="19C30CB3" w14:textId="6D6EA237" w:rsidR="009B10A4" w:rsidRPr="00593C40" w:rsidRDefault="009B10A4" w:rsidP="009B10A4">
            <w:pPr>
              <w:jc w:val="right"/>
              <w:rPr>
                <w:rFonts w:ascii="Arial" w:hAnsi="Arial" w:cs="Arial"/>
                <w:bCs/>
                <w:sz w:val="16"/>
                <w:szCs w:val="16"/>
              </w:rPr>
            </w:pPr>
            <w:r>
              <w:rPr>
                <w:rFonts w:ascii="Arial" w:hAnsi="Arial" w:cs="Arial"/>
                <w:bCs/>
                <w:sz w:val="16"/>
                <w:szCs w:val="16"/>
              </w:rPr>
              <w:t>1.861.000</w:t>
            </w:r>
          </w:p>
        </w:tc>
      </w:tr>
      <w:tr w:rsidR="009B10A4" w:rsidRPr="00593C40" w14:paraId="66664275" w14:textId="77777777" w:rsidTr="005A1F48">
        <w:trPr>
          <w:trHeight w:val="285"/>
        </w:trPr>
        <w:tc>
          <w:tcPr>
            <w:tcW w:w="3257" w:type="pct"/>
            <w:tcBorders>
              <w:top w:val="nil"/>
              <w:left w:val="nil"/>
              <w:bottom w:val="nil"/>
              <w:right w:val="nil"/>
            </w:tcBorders>
            <w:shd w:val="clear" w:color="auto" w:fill="auto"/>
            <w:vAlign w:val="bottom"/>
            <w:hideMark/>
          </w:tcPr>
          <w:p w14:paraId="04DEBAD9" w14:textId="77777777" w:rsidR="009B10A4" w:rsidRPr="00AC4F4B" w:rsidRDefault="009B10A4" w:rsidP="009B10A4">
            <w:pPr>
              <w:ind w:firstLine="284"/>
              <w:rPr>
                <w:rFonts w:ascii="Arial" w:hAnsi="Arial" w:cs="Arial"/>
                <w:bCs/>
                <w:sz w:val="16"/>
                <w:szCs w:val="16"/>
                <w:lang w:eastAsia="es-AR"/>
              </w:rPr>
            </w:pPr>
            <w:r w:rsidRPr="00AC4F4B">
              <w:rPr>
                <w:rFonts w:ascii="Arial" w:hAnsi="Arial" w:cs="Arial"/>
                <w:bCs/>
                <w:sz w:val="16"/>
                <w:szCs w:val="16"/>
                <w:lang w:eastAsia="es-AR"/>
              </w:rPr>
              <w:t>Obligaciones negociables no subordinadas</w:t>
            </w:r>
          </w:p>
        </w:tc>
        <w:tc>
          <w:tcPr>
            <w:tcW w:w="411" w:type="pct"/>
            <w:tcBorders>
              <w:top w:val="nil"/>
              <w:left w:val="nil"/>
              <w:bottom w:val="nil"/>
              <w:right w:val="nil"/>
            </w:tcBorders>
            <w:shd w:val="clear" w:color="auto" w:fill="auto"/>
            <w:vAlign w:val="center"/>
            <w:hideMark/>
          </w:tcPr>
          <w:p w14:paraId="6FB2D47F"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3A8EF8C9" w14:textId="08DA0B9A" w:rsidR="009B10A4" w:rsidRPr="00593C40" w:rsidRDefault="009B10A4" w:rsidP="009B10A4">
            <w:pPr>
              <w:jc w:val="right"/>
              <w:rPr>
                <w:rFonts w:ascii="Arial" w:hAnsi="Arial" w:cs="Arial"/>
                <w:bCs/>
                <w:sz w:val="16"/>
                <w:szCs w:val="16"/>
              </w:rPr>
            </w:pPr>
            <w:r w:rsidRPr="00A81B86">
              <w:rPr>
                <w:rFonts w:ascii="Arial" w:hAnsi="Arial" w:cs="Arial"/>
                <w:bCs/>
                <w:sz w:val="16"/>
                <w:szCs w:val="16"/>
              </w:rPr>
              <w:t>6.693.667</w:t>
            </w:r>
          </w:p>
        </w:tc>
        <w:tc>
          <w:tcPr>
            <w:tcW w:w="729" w:type="pct"/>
            <w:tcBorders>
              <w:left w:val="nil"/>
              <w:right w:val="nil"/>
            </w:tcBorders>
            <w:shd w:val="clear" w:color="auto" w:fill="auto"/>
            <w:vAlign w:val="bottom"/>
          </w:tcPr>
          <w:p w14:paraId="19EAF92F" w14:textId="75689C5F" w:rsidR="009B10A4" w:rsidRPr="00593C40" w:rsidRDefault="009B10A4" w:rsidP="009B10A4">
            <w:pPr>
              <w:jc w:val="right"/>
              <w:rPr>
                <w:rFonts w:ascii="Arial" w:hAnsi="Arial" w:cs="Arial"/>
                <w:bCs/>
                <w:sz w:val="16"/>
                <w:szCs w:val="16"/>
              </w:rPr>
            </w:pPr>
            <w:r>
              <w:rPr>
                <w:rFonts w:ascii="Arial" w:hAnsi="Arial" w:cs="Arial"/>
                <w:bCs/>
                <w:sz w:val="16"/>
                <w:szCs w:val="16"/>
              </w:rPr>
              <w:t>3.402.557</w:t>
            </w:r>
          </w:p>
        </w:tc>
      </w:tr>
      <w:tr w:rsidR="009B10A4" w:rsidRPr="00593C40" w14:paraId="45C32E35" w14:textId="77777777" w:rsidTr="005A1F48">
        <w:trPr>
          <w:trHeight w:val="285"/>
        </w:trPr>
        <w:tc>
          <w:tcPr>
            <w:tcW w:w="3257" w:type="pct"/>
            <w:tcBorders>
              <w:top w:val="nil"/>
              <w:left w:val="nil"/>
              <w:bottom w:val="nil"/>
              <w:right w:val="nil"/>
            </w:tcBorders>
            <w:shd w:val="clear" w:color="auto" w:fill="auto"/>
            <w:vAlign w:val="bottom"/>
            <w:hideMark/>
          </w:tcPr>
          <w:p w14:paraId="0712FFD5" w14:textId="77777777" w:rsidR="009B10A4" w:rsidRPr="00AC4F4B" w:rsidRDefault="009B10A4" w:rsidP="009B10A4">
            <w:pPr>
              <w:ind w:firstLine="284"/>
              <w:rPr>
                <w:rFonts w:ascii="Arial" w:hAnsi="Arial" w:cs="Arial"/>
                <w:bCs/>
                <w:sz w:val="16"/>
                <w:szCs w:val="16"/>
                <w:lang w:eastAsia="es-AR"/>
              </w:rPr>
            </w:pPr>
            <w:r w:rsidRPr="00AC4F4B">
              <w:rPr>
                <w:rFonts w:ascii="Arial" w:hAnsi="Arial" w:cs="Arial"/>
                <w:bCs/>
                <w:sz w:val="16"/>
                <w:szCs w:val="16"/>
                <w:lang w:eastAsia="es-AR"/>
              </w:rPr>
              <w:t>Financiaciones de entidades financieras locales</w:t>
            </w:r>
          </w:p>
        </w:tc>
        <w:tc>
          <w:tcPr>
            <w:tcW w:w="411" w:type="pct"/>
            <w:tcBorders>
              <w:top w:val="nil"/>
              <w:left w:val="nil"/>
              <w:bottom w:val="nil"/>
              <w:right w:val="nil"/>
            </w:tcBorders>
            <w:shd w:val="clear" w:color="auto" w:fill="auto"/>
            <w:vAlign w:val="center"/>
            <w:hideMark/>
          </w:tcPr>
          <w:p w14:paraId="7EED3689"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6D5233C2" w14:textId="460769AB" w:rsidR="009B10A4" w:rsidRPr="00593C40" w:rsidRDefault="009B10A4" w:rsidP="009B10A4">
            <w:pPr>
              <w:jc w:val="right"/>
              <w:rPr>
                <w:rFonts w:ascii="Arial" w:hAnsi="Arial" w:cs="Arial"/>
                <w:bCs/>
                <w:sz w:val="16"/>
                <w:szCs w:val="16"/>
              </w:rPr>
            </w:pPr>
            <w:r w:rsidRPr="00A81B86">
              <w:rPr>
                <w:rFonts w:ascii="Arial" w:hAnsi="Arial" w:cs="Arial"/>
                <w:bCs/>
                <w:sz w:val="16"/>
                <w:szCs w:val="16"/>
              </w:rPr>
              <w:t>87.980.035</w:t>
            </w:r>
          </w:p>
        </w:tc>
        <w:tc>
          <w:tcPr>
            <w:tcW w:w="729" w:type="pct"/>
            <w:tcBorders>
              <w:left w:val="nil"/>
              <w:right w:val="nil"/>
            </w:tcBorders>
            <w:shd w:val="clear" w:color="auto" w:fill="auto"/>
            <w:vAlign w:val="bottom"/>
          </w:tcPr>
          <w:p w14:paraId="05987B69" w14:textId="2B278D5F" w:rsidR="009B10A4" w:rsidRPr="00593C40" w:rsidRDefault="009B10A4" w:rsidP="009B10A4">
            <w:pPr>
              <w:jc w:val="right"/>
              <w:rPr>
                <w:rFonts w:ascii="Arial" w:hAnsi="Arial" w:cs="Arial"/>
                <w:bCs/>
                <w:sz w:val="16"/>
                <w:szCs w:val="16"/>
              </w:rPr>
            </w:pPr>
            <w:r>
              <w:rPr>
                <w:rFonts w:ascii="Arial" w:hAnsi="Arial" w:cs="Arial"/>
                <w:bCs/>
                <w:sz w:val="16"/>
                <w:szCs w:val="16"/>
              </w:rPr>
              <w:t>73.108.406</w:t>
            </w:r>
          </w:p>
        </w:tc>
      </w:tr>
      <w:tr w:rsidR="009B10A4" w:rsidRPr="00593C40" w14:paraId="0E637AA4" w14:textId="77777777" w:rsidTr="00AA5BDF">
        <w:trPr>
          <w:trHeight w:val="80"/>
        </w:trPr>
        <w:tc>
          <w:tcPr>
            <w:tcW w:w="3257" w:type="pct"/>
            <w:tcBorders>
              <w:top w:val="nil"/>
              <w:left w:val="nil"/>
              <w:bottom w:val="nil"/>
              <w:right w:val="nil"/>
            </w:tcBorders>
            <w:shd w:val="clear" w:color="auto" w:fill="auto"/>
            <w:vAlign w:val="center"/>
            <w:hideMark/>
          </w:tcPr>
          <w:p w14:paraId="2585BD19" w14:textId="77777777" w:rsidR="009B10A4" w:rsidRPr="00593C40" w:rsidRDefault="009B10A4" w:rsidP="009B10A4">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16B43526" w14:textId="77777777" w:rsidR="009B10A4" w:rsidRPr="00593C40" w:rsidRDefault="009B10A4" w:rsidP="009B10A4">
            <w:pPr>
              <w:rPr>
                <w:rFonts w:ascii="Arial" w:hAnsi="Arial" w:cs="Arial"/>
                <w:b/>
                <w:bCs/>
                <w:sz w:val="10"/>
                <w:szCs w:val="10"/>
                <w:lang w:eastAsia="es-AR"/>
              </w:rPr>
            </w:pPr>
          </w:p>
        </w:tc>
        <w:tc>
          <w:tcPr>
            <w:tcW w:w="603" w:type="pct"/>
            <w:tcBorders>
              <w:left w:val="nil"/>
              <w:bottom w:val="single" w:sz="4" w:space="0" w:color="auto"/>
              <w:right w:val="nil"/>
            </w:tcBorders>
            <w:shd w:val="clear" w:color="auto" w:fill="auto"/>
            <w:vAlign w:val="bottom"/>
          </w:tcPr>
          <w:p w14:paraId="1A67B275" w14:textId="77777777" w:rsidR="009B10A4" w:rsidRPr="00593C40" w:rsidRDefault="009B10A4" w:rsidP="009B10A4">
            <w:pPr>
              <w:jc w:val="right"/>
              <w:rPr>
                <w:rFonts w:ascii="Arial" w:hAnsi="Arial" w:cs="Arial"/>
                <w:bCs/>
                <w:sz w:val="10"/>
                <w:szCs w:val="10"/>
              </w:rPr>
            </w:pPr>
          </w:p>
        </w:tc>
        <w:tc>
          <w:tcPr>
            <w:tcW w:w="729" w:type="pct"/>
            <w:tcBorders>
              <w:left w:val="nil"/>
              <w:bottom w:val="single" w:sz="4" w:space="0" w:color="auto"/>
              <w:right w:val="nil"/>
            </w:tcBorders>
            <w:shd w:val="clear" w:color="auto" w:fill="auto"/>
            <w:vAlign w:val="bottom"/>
          </w:tcPr>
          <w:p w14:paraId="173604D1" w14:textId="77777777" w:rsidR="009B10A4" w:rsidRPr="00593C40" w:rsidRDefault="009B10A4" w:rsidP="009B10A4">
            <w:pPr>
              <w:jc w:val="right"/>
              <w:rPr>
                <w:rFonts w:ascii="Arial" w:hAnsi="Arial" w:cs="Arial"/>
                <w:bCs/>
                <w:sz w:val="10"/>
                <w:szCs w:val="10"/>
              </w:rPr>
            </w:pPr>
          </w:p>
        </w:tc>
      </w:tr>
      <w:tr w:rsidR="009B10A4" w:rsidRPr="00593C40" w14:paraId="1235BD41" w14:textId="77777777" w:rsidTr="00AA5BDF">
        <w:trPr>
          <w:trHeight w:val="110"/>
        </w:trPr>
        <w:tc>
          <w:tcPr>
            <w:tcW w:w="3257" w:type="pct"/>
            <w:tcBorders>
              <w:top w:val="nil"/>
              <w:left w:val="nil"/>
              <w:bottom w:val="nil"/>
              <w:right w:val="nil"/>
            </w:tcBorders>
            <w:shd w:val="clear" w:color="auto" w:fill="auto"/>
            <w:vAlign w:val="center"/>
            <w:hideMark/>
          </w:tcPr>
          <w:p w14:paraId="1964A3F5"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TOTAL DE LAS ACTIVIDADES DE FINANCIACIÓN (C)</w:t>
            </w:r>
          </w:p>
        </w:tc>
        <w:tc>
          <w:tcPr>
            <w:tcW w:w="411" w:type="pct"/>
            <w:tcBorders>
              <w:top w:val="nil"/>
              <w:left w:val="nil"/>
              <w:bottom w:val="nil"/>
              <w:right w:val="nil"/>
            </w:tcBorders>
            <w:shd w:val="clear" w:color="auto" w:fill="auto"/>
            <w:vAlign w:val="center"/>
            <w:hideMark/>
          </w:tcPr>
          <w:p w14:paraId="44F2BCF1" w14:textId="77777777" w:rsidR="009B10A4" w:rsidRPr="00593C40" w:rsidRDefault="009B10A4" w:rsidP="009B10A4">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2F473DF5" w14:textId="091C8A57" w:rsidR="009B10A4" w:rsidRPr="00593C40" w:rsidRDefault="00456D9E" w:rsidP="009B10A4">
            <w:pPr>
              <w:jc w:val="right"/>
              <w:rPr>
                <w:rFonts w:ascii="Arial" w:hAnsi="Arial" w:cs="Arial"/>
                <w:b/>
                <w:bCs/>
                <w:sz w:val="16"/>
                <w:szCs w:val="16"/>
              </w:rPr>
            </w:pPr>
            <w:r w:rsidRPr="00456D9E">
              <w:rPr>
                <w:rFonts w:ascii="Arial" w:hAnsi="Arial" w:cs="Arial"/>
                <w:b/>
                <w:bCs/>
                <w:sz w:val="16"/>
                <w:szCs w:val="16"/>
              </w:rPr>
              <w:t>-3.497.10</w:t>
            </w:r>
            <w:r w:rsidR="00E12896">
              <w:rPr>
                <w:rFonts w:ascii="Arial" w:hAnsi="Arial" w:cs="Arial"/>
                <w:b/>
                <w:bCs/>
                <w:sz w:val="16"/>
                <w:szCs w:val="16"/>
              </w:rPr>
              <w:t>9</w:t>
            </w:r>
          </w:p>
        </w:tc>
        <w:tc>
          <w:tcPr>
            <w:tcW w:w="729" w:type="pct"/>
            <w:tcBorders>
              <w:top w:val="single" w:sz="4" w:space="0" w:color="auto"/>
              <w:left w:val="nil"/>
              <w:bottom w:val="single" w:sz="4" w:space="0" w:color="auto"/>
              <w:right w:val="nil"/>
            </w:tcBorders>
            <w:shd w:val="clear" w:color="auto" w:fill="auto"/>
            <w:vAlign w:val="bottom"/>
          </w:tcPr>
          <w:p w14:paraId="5B20BE6A" w14:textId="44838FFC" w:rsidR="009B10A4" w:rsidRPr="00593C40" w:rsidRDefault="009B10A4" w:rsidP="009B10A4">
            <w:pPr>
              <w:jc w:val="right"/>
              <w:rPr>
                <w:rFonts w:ascii="Arial" w:hAnsi="Arial" w:cs="Arial"/>
                <w:b/>
                <w:bCs/>
                <w:sz w:val="16"/>
                <w:szCs w:val="16"/>
              </w:rPr>
            </w:pPr>
            <w:r>
              <w:rPr>
                <w:rFonts w:ascii="Arial" w:hAnsi="Arial" w:cs="Arial"/>
                <w:b/>
                <w:bCs/>
                <w:sz w:val="16"/>
                <w:szCs w:val="16"/>
              </w:rPr>
              <w:t>6.547.176</w:t>
            </w:r>
          </w:p>
        </w:tc>
      </w:tr>
      <w:tr w:rsidR="009B10A4" w:rsidRPr="00AC4F4B" w14:paraId="2A2E77C3" w14:textId="77777777" w:rsidTr="00AA5BDF">
        <w:trPr>
          <w:trHeight w:val="129"/>
        </w:trPr>
        <w:tc>
          <w:tcPr>
            <w:tcW w:w="3257" w:type="pct"/>
            <w:tcBorders>
              <w:top w:val="nil"/>
              <w:left w:val="nil"/>
              <w:bottom w:val="nil"/>
              <w:right w:val="nil"/>
            </w:tcBorders>
            <w:shd w:val="clear" w:color="auto" w:fill="auto"/>
            <w:vAlign w:val="center"/>
            <w:hideMark/>
          </w:tcPr>
          <w:p w14:paraId="32AA2ACD" w14:textId="77777777" w:rsidR="009B10A4" w:rsidRPr="00AC4F4B" w:rsidRDefault="009B10A4" w:rsidP="009B10A4">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4538B930" w14:textId="77777777" w:rsidR="009B10A4" w:rsidRPr="00AC4F4B" w:rsidRDefault="009B10A4" w:rsidP="009B10A4">
            <w:pPr>
              <w:rPr>
                <w:rFonts w:ascii="Arial" w:hAnsi="Arial" w:cs="Arial"/>
                <w:b/>
                <w:bCs/>
                <w:sz w:val="10"/>
                <w:szCs w:val="10"/>
                <w:lang w:eastAsia="es-AR"/>
              </w:rPr>
            </w:pPr>
          </w:p>
        </w:tc>
        <w:tc>
          <w:tcPr>
            <w:tcW w:w="603" w:type="pct"/>
            <w:tcBorders>
              <w:top w:val="single" w:sz="4" w:space="0" w:color="auto"/>
              <w:left w:val="nil"/>
              <w:bottom w:val="single" w:sz="4" w:space="0" w:color="auto"/>
              <w:right w:val="nil"/>
            </w:tcBorders>
            <w:shd w:val="clear" w:color="auto" w:fill="auto"/>
            <w:vAlign w:val="bottom"/>
          </w:tcPr>
          <w:p w14:paraId="2C25418D" w14:textId="77777777" w:rsidR="009B10A4" w:rsidRPr="00AC4F4B" w:rsidRDefault="009B10A4" w:rsidP="009B10A4">
            <w:pPr>
              <w:jc w:val="right"/>
              <w:rPr>
                <w:rFonts w:ascii="Arial" w:hAnsi="Arial" w:cs="Arial"/>
                <w:b/>
                <w:bCs/>
                <w:sz w:val="10"/>
                <w:szCs w:val="10"/>
              </w:rPr>
            </w:pPr>
          </w:p>
        </w:tc>
        <w:tc>
          <w:tcPr>
            <w:tcW w:w="729" w:type="pct"/>
            <w:tcBorders>
              <w:top w:val="single" w:sz="4" w:space="0" w:color="auto"/>
              <w:left w:val="nil"/>
              <w:bottom w:val="single" w:sz="4" w:space="0" w:color="auto"/>
              <w:right w:val="nil"/>
            </w:tcBorders>
            <w:shd w:val="clear" w:color="auto" w:fill="auto"/>
            <w:vAlign w:val="bottom"/>
          </w:tcPr>
          <w:p w14:paraId="2C509345" w14:textId="77777777" w:rsidR="009B10A4" w:rsidRPr="00AC4F4B" w:rsidRDefault="009B10A4" w:rsidP="009B10A4">
            <w:pPr>
              <w:jc w:val="right"/>
              <w:rPr>
                <w:rFonts w:ascii="Arial" w:hAnsi="Arial" w:cs="Arial"/>
                <w:b/>
                <w:bCs/>
                <w:sz w:val="10"/>
                <w:szCs w:val="10"/>
              </w:rPr>
            </w:pPr>
          </w:p>
        </w:tc>
      </w:tr>
      <w:tr w:rsidR="009B10A4" w:rsidRPr="00593C40" w14:paraId="7661B7CA" w14:textId="77777777" w:rsidTr="00AA5BDF">
        <w:trPr>
          <w:trHeight w:val="285"/>
        </w:trPr>
        <w:tc>
          <w:tcPr>
            <w:tcW w:w="3257" w:type="pct"/>
            <w:tcBorders>
              <w:top w:val="nil"/>
              <w:left w:val="nil"/>
              <w:bottom w:val="nil"/>
              <w:right w:val="nil"/>
            </w:tcBorders>
            <w:shd w:val="clear" w:color="auto" w:fill="auto"/>
            <w:vAlign w:val="center"/>
            <w:hideMark/>
          </w:tcPr>
          <w:p w14:paraId="53B5486F"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EFECTO DE LAS VARIACIONES DEL TIPO DE CAMBIO (D)</w:t>
            </w:r>
          </w:p>
        </w:tc>
        <w:tc>
          <w:tcPr>
            <w:tcW w:w="411" w:type="pct"/>
            <w:tcBorders>
              <w:top w:val="nil"/>
              <w:left w:val="nil"/>
              <w:bottom w:val="nil"/>
              <w:right w:val="nil"/>
            </w:tcBorders>
            <w:shd w:val="clear" w:color="auto" w:fill="auto"/>
            <w:vAlign w:val="center"/>
            <w:hideMark/>
          </w:tcPr>
          <w:p w14:paraId="6CA8A6EF" w14:textId="77777777" w:rsidR="009B10A4" w:rsidRPr="00593C40" w:rsidRDefault="009B10A4" w:rsidP="009B10A4">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1D190C26" w14:textId="26F3CED3" w:rsidR="009B10A4" w:rsidRPr="00593C40" w:rsidRDefault="00456D9E" w:rsidP="009B10A4">
            <w:pPr>
              <w:jc w:val="right"/>
              <w:rPr>
                <w:rFonts w:ascii="Arial" w:hAnsi="Arial" w:cs="Arial"/>
                <w:b/>
                <w:bCs/>
                <w:sz w:val="16"/>
                <w:szCs w:val="16"/>
              </w:rPr>
            </w:pPr>
            <w:r w:rsidRPr="00456D9E">
              <w:rPr>
                <w:rFonts w:ascii="Arial" w:hAnsi="Arial" w:cs="Arial"/>
                <w:b/>
                <w:bCs/>
                <w:sz w:val="16"/>
                <w:szCs w:val="16"/>
              </w:rPr>
              <w:t>4.913.725</w:t>
            </w:r>
          </w:p>
        </w:tc>
        <w:tc>
          <w:tcPr>
            <w:tcW w:w="729" w:type="pct"/>
            <w:tcBorders>
              <w:top w:val="single" w:sz="4" w:space="0" w:color="auto"/>
              <w:left w:val="nil"/>
              <w:bottom w:val="single" w:sz="4" w:space="0" w:color="auto"/>
              <w:right w:val="nil"/>
            </w:tcBorders>
            <w:shd w:val="clear" w:color="auto" w:fill="auto"/>
            <w:vAlign w:val="bottom"/>
          </w:tcPr>
          <w:p w14:paraId="64F3C1E1" w14:textId="012F097C" w:rsidR="009B10A4" w:rsidRPr="00593C40" w:rsidRDefault="009B10A4" w:rsidP="009B10A4">
            <w:pPr>
              <w:jc w:val="right"/>
              <w:rPr>
                <w:rFonts w:ascii="Arial" w:hAnsi="Arial" w:cs="Arial"/>
                <w:b/>
                <w:bCs/>
                <w:sz w:val="16"/>
                <w:szCs w:val="16"/>
              </w:rPr>
            </w:pPr>
            <w:r>
              <w:rPr>
                <w:rFonts w:ascii="Arial" w:hAnsi="Arial" w:cs="Arial"/>
                <w:b/>
                <w:bCs/>
                <w:sz w:val="16"/>
                <w:szCs w:val="16"/>
              </w:rPr>
              <w:t>2.024.248</w:t>
            </w:r>
          </w:p>
        </w:tc>
      </w:tr>
      <w:tr w:rsidR="009B10A4" w:rsidRPr="00AC4F4B" w14:paraId="3B05B9B7" w14:textId="77777777" w:rsidTr="00AA5BDF">
        <w:trPr>
          <w:trHeight w:val="106"/>
        </w:trPr>
        <w:tc>
          <w:tcPr>
            <w:tcW w:w="3257" w:type="pct"/>
            <w:tcBorders>
              <w:top w:val="nil"/>
              <w:left w:val="nil"/>
              <w:right w:val="nil"/>
            </w:tcBorders>
            <w:shd w:val="clear" w:color="auto" w:fill="auto"/>
            <w:vAlign w:val="center"/>
            <w:hideMark/>
          </w:tcPr>
          <w:p w14:paraId="1DD4C588" w14:textId="77777777" w:rsidR="009B10A4" w:rsidRPr="00AC4F4B" w:rsidRDefault="009B10A4" w:rsidP="009B10A4">
            <w:pPr>
              <w:rPr>
                <w:rFonts w:ascii="Arial" w:hAnsi="Arial" w:cs="Arial"/>
                <w:b/>
                <w:bCs/>
                <w:sz w:val="10"/>
                <w:szCs w:val="10"/>
                <w:lang w:eastAsia="es-AR"/>
              </w:rPr>
            </w:pPr>
          </w:p>
        </w:tc>
        <w:tc>
          <w:tcPr>
            <w:tcW w:w="411" w:type="pct"/>
            <w:tcBorders>
              <w:top w:val="nil"/>
              <w:left w:val="nil"/>
              <w:right w:val="nil"/>
            </w:tcBorders>
            <w:shd w:val="clear" w:color="auto" w:fill="auto"/>
            <w:vAlign w:val="center"/>
            <w:hideMark/>
          </w:tcPr>
          <w:p w14:paraId="06AAC3B5" w14:textId="77777777" w:rsidR="009B10A4" w:rsidRPr="00AC4F4B" w:rsidRDefault="009B10A4" w:rsidP="009B10A4">
            <w:pPr>
              <w:rPr>
                <w:rFonts w:ascii="Arial" w:hAnsi="Arial" w:cs="Arial"/>
                <w:b/>
                <w:bCs/>
                <w:sz w:val="10"/>
                <w:szCs w:val="10"/>
                <w:lang w:eastAsia="es-AR"/>
              </w:rPr>
            </w:pPr>
          </w:p>
        </w:tc>
        <w:tc>
          <w:tcPr>
            <w:tcW w:w="603" w:type="pct"/>
            <w:tcBorders>
              <w:top w:val="single" w:sz="4" w:space="0" w:color="auto"/>
              <w:left w:val="nil"/>
              <w:right w:val="nil"/>
            </w:tcBorders>
            <w:shd w:val="clear" w:color="auto" w:fill="auto"/>
            <w:vAlign w:val="bottom"/>
          </w:tcPr>
          <w:p w14:paraId="6022AD4D" w14:textId="77777777" w:rsidR="009B10A4" w:rsidRPr="00AC4F4B" w:rsidRDefault="009B10A4" w:rsidP="009B10A4">
            <w:pPr>
              <w:jc w:val="right"/>
              <w:rPr>
                <w:rFonts w:ascii="Arial" w:hAnsi="Arial" w:cs="Arial"/>
                <w:b/>
                <w:bCs/>
                <w:sz w:val="10"/>
                <w:szCs w:val="10"/>
              </w:rPr>
            </w:pPr>
          </w:p>
        </w:tc>
        <w:tc>
          <w:tcPr>
            <w:tcW w:w="729" w:type="pct"/>
            <w:tcBorders>
              <w:top w:val="single" w:sz="4" w:space="0" w:color="auto"/>
              <w:left w:val="nil"/>
              <w:right w:val="nil"/>
            </w:tcBorders>
            <w:shd w:val="clear" w:color="auto" w:fill="auto"/>
            <w:vAlign w:val="bottom"/>
          </w:tcPr>
          <w:p w14:paraId="2D5F45CE" w14:textId="77777777" w:rsidR="009B10A4" w:rsidRPr="00AC4F4B" w:rsidRDefault="009B10A4" w:rsidP="009B10A4">
            <w:pPr>
              <w:jc w:val="right"/>
              <w:rPr>
                <w:rFonts w:ascii="Arial" w:hAnsi="Arial" w:cs="Arial"/>
                <w:b/>
                <w:bCs/>
                <w:sz w:val="10"/>
                <w:szCs w:val="10"/>
              </w:rPr>
            </w:pPr>
          </w:p>
        </w:tc>
      </w:tr>
      <w:tr w:rsidR="009B10A4" w:rsidRPr="00593C40" w14:paraId="05530B19" w14:textId="77777777" w:rsidTr="00AA5BDF">
        <w:trPr>
          <w:trHeight w:val="285"/>
        </w:trPr>
        <w:tc>
          <w:tcPr>
            <w:tcW w:w="3257" w:type="pct"/>
            <w:tcBorders>
              <w:left w:val="nil"/>
              <w:bottom w:val="single" w:sz="4" w:space="0" w:color="auto"/>
              <w:right w:val="nil"/>
            </w:tcBorders>
            <w:shd w:val="clear" w:color="auto" w:fill="auto"/>
            <w:vAlign w:val="center"/>
            <w:hideMark/>
          </w:tcPr>
          <w:p w14:paraId="65B27F10"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TOTAL DE LA VARIACIÓN DE LOS FLUJOS DE EFECTIVO</w:t>
            </w:r>
          </w:p>
        </w:tc>
        <w:tc>
          <w:tcPr>
            <w:tcW w:w="411" w:type="pct"/>
            <w:tcBorders>
              <w:left w:val="nil"/>
              <w:bottom w:val="single" w:sz="4" w:space="0" w:color="auto"/>
              <w:right w:val="nil"/>
            </w:tcBorders>
            <w:shd w:val="clear" w:color="auto" w:fill="auto"/>
            <w:vAlign w:val="center"/>
            <w:hideMark/>
          </w:tcPr>
          <w:p w14:paraId="0BC18400"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left w:val="nil"/>
              <w:bottom w:val="single" w:sz="4" w:space="0" w:color="auto"/>
              <w:right w:val="nil"/>
            </w:tcBorders>
            <w:shd w:val="clear" w:color="auto" w:fill="auto"/>
            <w:vAlign w:val="bottom"/>
          </w:tcPr>
          <w:p w14:paraId="19F198CB" w14:textId="4C80301B" w:rsidR="009B10A4" w:rsidRPr="00593C40" w:rsidRDefault="009B10A4" w:rsidP="009B10A4">
            <w:pPr>
              <w:jc w:val="right"/>
              <w:rPr>
                <w:rFonts w:ascii="Arial" w:hAnsi="Arial" w:cs="Arial"/>
                <w:b/>
                <w:bCs/>
                <w:sz w:val="16"/>
                <w:szCs w:val="16"/>
              </w:rPr>
            </w:pPr>
          </w:p>
        </w:tc>
        <w:tc>
          <w:tcPr>
            <w:tcW w:w="729" w:type="pct"/>
            <w:tcBorders>
              <w:left w:val="nil"/>
              <w:bottom w:val="single" w:sz="4" w:space="0" w:color="auto"/>
              <w:right w:val="nil"/>
            </w:tcBorders>
            <w:shd w:val="clear" w:color="auto" w:fill="auto"/>
            <w:vAlign w:val="bottom"/>
          </w:tcPr>
          <w:p w14:paraId="647F5E57" w14:textId="6CC26767" w:rsidR="009B10A4" w:rsidRPr="00593C40" w:rsidRDefault="009B10A4" w:rsidP="009B10A4">
            <w:pPr>
              <w:jc w:val="right"/>
              <w:rPr>
                <w:rFonts w:ascii="Arial" w:hAnsi="Arial" w:cs="Arial"/>
                <w:b/>
                <w:bCs/>
                <w:sz w:val="16"/>
                <w:szCs w:val="16"/>
              </w:rPr>
            </w:pPr>
          </w:p>
        </w:tc>
      </w:tr>
      <w:tr w:rsidR="009B10A4" w:rsidRPr="00593C40" w14:paraId="5C712B7C" w14:textId="77777777" w:rsidTr="00A059FB">
        <w:trPr>
          <w:trHeight w:val="285"/>
        </w:trPr>
        <w:tc>
          <w:tcPr>
            <w:tcW w:w="3257" w:type="pct"/>
            <w:tcBorders>
              <w:top w:val="single" w:sz="4" w:space="0" w:color="auto"/>
              <w:left w:val="nil"/>
              <w:bottom w:val="nil"/>
              <w:right w:val="nil"/>
            </w:tcBorders>
            <w:shd w:val="clear" w:color="auto" w:fill="auto"/>
            <w:vAlign w:val="bottom"/>
            <w:hideMark/>
          </w:tcPr>
          <w:p w14:paraId="5DDD693D" w14:textId="77777777" w:rsidR="009B10A4" w:rsidRPr="00593C40" w:rsidRDefault="009B10A4">
            <w:pPr>
              <w:rPr>
                <w:rFonts w:ascii="Arial" w:hAnsi="Arial" w:cs="Arial"/>
                <w:b/>
                <w:bCs/>
                <w:sz w:val="16"/>
                <w:szCs w:val="16"/>
                <w:lang w:eastAsia="es-AR"/>
              </w:rPr>
            </w:pPr>
            <w:r w:rsidRPr="00593C40">
              <w:rPr>
                <w:rFonts w:ascii="Arial" w:hAnsi="Arial" w:cs="Arial"/>
                <w:b/>
                <w:bCs/>
                <w:sz w:val="16"/>
                <w:szCs w:val="16"/>
                <w:lang w:eastAsia="es-AR"/>
              </w:rPr>
              <w:t>AUMENTO/(DISMINUCIÓN) NETO DEL EFECTIVO Y EQUIVALENTES (A+B+C+D)</w:t>
            </w:r>
          </w:p>
        </w:tc>
        <w:tc>
          <w:tcPr>
            <w:tcW w:w="411" w:type="pct"/>
            <w:tcBorders>
              <w:top w:val="single" w:sz="4" w:space="0" w:color="auto"/>
              <w:left w:val="nil"/>
              <w:bottom w:val="nil"/>
              <w:right w:val="nil"/>
            </w:tcBorders>
            <w:shd w:val="clear" w:color="auto" w:fill="auto"/>
            <w:vAlign w:val="center"/>
            <w:hideMark/>
          </w:tcPr>
          <w:p w14:paraId="121B3AFB" w14:textId="77777777" w:rsidR="009B10A4" w:rsidRPr="00593C40" w:rsidRDefault="009B10A4" w:rsidP="009B10A4">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top w:val="single" w:sz="4" w:space="0" w:color="auto"/>
              <w:left w:val="nil"/>
              <w:right w:val="nil"/>
            </w:tcBorders>
            <w:shd w:val="clear" w:color="auto" w:fill="auto"/>
            <w:vAlign w:val="bottom"/>
          </w:tcPr>
          <w:p w14:paraId="39B25F4A" w14:textId="61B1F5B2" w:rsidR="009B10A4" w:rsidRPr="00593C40" w:rsidRDefault="009B10A4" w:rsidP="009B10A4">
            <w:pPr>
              <w:jc w:val="right"/>
              <w:rPr>
                <w:rFonts w:ascii="Arial" w:hAnsi="Arial" w:cs="Arial"/>
                <w:b/>
                <w:bCs/>
                <w:sz w:val="16"/>
                <w:szCs w:val="16"/>
              </w:rPr>
            </w:pPr>
            <w:r w:rsidRPr="006765D7">
              <w:rPr>
                <w:rFonts w:ascii="Arial" w:hAnsi="Arial" w:cs="Arial"/>
                <w:b/>
                <w:bCs/>
                <w:sz w:val="16"/>
                <w:szCs w:val="16"/>
              </w:rPr>
              <w:t>-19.140.</w:t>
            </w:r>
            <w:r>
              <w:rPr>
                <w:rFonts w:ascii="Arial" w:hAnsi="Arial" w:cs="Arial"/>
                <w:b/>
                <w:bCs/>
                <w:sz w:val="16"/>
                <w:szCs w:val="16"/>
              </w:rPr>
              <w:t>199</w:t>
            </w:r>
          </w:p>
        </w:tc>
        <w:tc>
          <w:tcPr>
            <w:tcW w:w="729" w:type="pct"/>
            <w:tcBorders>
              <w:top w:val="single" w:sz="4" w:space="0" w:color="auto"/>
              <w:left w:val="nil"/>
              <w:right w:val="nil"/>
            </w:tcBorders>
            <w:shd w:val="clear" w:color="auto" w:fill="auto"/>
            <w:vAlign w:val="bottom"/>
          </w:tcPr>
          <w:p w14:paraId="0AFE64E4" w14:textId="472971CB" w:rsidR="009B10A4" w:rsidRPr="00EC349E" w:rsidRDefault="009B10A4" w:rsidP="009B10A4">
            <w:pPr>
              <w:jc w:val="right"/>
              <w:rPr>
                <w:rFonts w:ascii="Arial" w:hAnsi="Arial" w:cs="Arial"/>
                <w:b/>
                <w:bCs/>
                <w:sz w:val="16"/>
                <w:szCs w:val="16"/>
              </w:rPr>
            </w:pPr>
            <w:r>
              <w:rPr>
                <w:rFonts w:ascii="Arial" w:hAnsi="Arial" w:cs="Arial"/>
                <w:b/>
                <w:bCs/>
                <w:sz w:val="16"/>
                <w:szCs w:val="16"/>
              </w:rPr>
              <w:t>23.832.405</w:t>
            </w:r>
          </w:p>
        </w:tc>
      </w:tr>
      <w:tr w:rsidR="009B10A4" w:rsidRPr="00593C40" w14:paraId="324FDA83" w14:textId="77777777" w:rsidTr="00A059FB">
        <w:trPr>
          <w:trHeight w:val="285"/>
        </w:trPr>
        <w:tc>
          <w:tcPr>
            <w:tcW w:w="3257" w:type="pct"/>
            <w:tcBorders>
              <w:top w:val="nil"/>
              <w:left w:val="nil"/>
              <w:bottom w:val="nil"/>
              <w:right w:val="nil"/>
            </w:tcBorders>
            <w:shd w:val="clear" w:color="auto" w:fill="auto"/>
            <w:vAlign w:val="bottom"/>
            <w:hideMark/>
          </w:tcPr>
          <w:p w14:paraId="7C9E17C6" w14:textId="4462B182" w:rsidR="009B10A4" w:rsidRPr="00593C40" w:rsidRDefault="009B10A4">
            <w:pPr>
              <w:rPr>
                <w:rFonts w:ascii="Arial" w:hAnsi="Arial" w:cs="Arial"/>
                <w:b/>
                <w:bCs/>
                <w:sz w:val="16"/>
                <w:szCs w:val="16"/>
                <w:lang w:eastAsia="es-AR"/>
              </w:rPr>
            </w:pPr>
            <w:r w:rsidRPr="00593C40">
              <w:rPr>
                <w:rFonts w:ascii="Arial" w:hAnsi="Arial" w:cs="Arial"/>
                <w:b/>
                <w:bCs/>
                <w:sz w:val="16"/>
                <w:szCs w:val="16"/>
                <w:lang w:eastAsia="es-AR"/>
              </w:rPr>
              <w:t>EFECTIVO Y EQUIVALENTES AL INICIO DEL</w:t>
            </w:r>
            <w:r>
              <w:rPr>
                <w:rFonts w:ascii="Arial" w:hAnsi="Arial" w:cs="Arial"/>
                <w:b/>
                <w:bCs/>
                <w:sz w:val="16"/>
                <w:szCs w:val="16"/>
                <w:lang w:eastAsia="es-AR"/>
              </w:rPr>
              <w:t xml:space="preserve"> EJERCICIO</w:t>
            </w:r>
          </w:p>
        </w:tc>
        <w:tc>
          <w:tcPr>
            <w:tcW w:w="411" w:type="pct"/>
            <w:tcBorders>
              <w:top w:val="nil"/>
              <w:left w:val="nil"/>
              <w:bottom w:val="nil"/>
              <w:right w:val="nil"/>
            </w:tcBorders>
            <w:shd w:val="clear" w:color="auto" w:fill="auto"/>
            <w:vAlign w:val="center"/>
            <w:hideMark/>
          </w:tcPr>
          <w:p w14:paraId="5802FE11" w14:textId="77777777" w:rsidR="009B10A4" w:rsidRPr="00593C40" w:rsidRDefault="009B10A4" w:rsidP="009B10A4">
            <w:pPr>
              <w:rPr>
                <w:rFonts w:ascii="Arial" w:hAnsi="Arial" w:cs="Arial"/>
                <w:b/>
                <w:bCs/>
                <w:sz w:val="16"/>
                <w:szCs w:val="16"/>
                <w:lang w:eastAsia="es-AR"/>
              </w:rPr>
            </w:pPr>
          </w:p>
        </w:tc>
        <w:tc>
          <w:tcPr>
            <w:tcW w:w="603" w:type="pct"/>
            <w:tcBorders>
              <w:left w:val="nil"/>
              <w:right w:val="nil"/>
            </w:tcBorders>
            <w:shd w:val="clear" w:color="auto" w:fill="auto"/>
            <w:vAlign w:val="bottom"/>
          </w:tcPr>
          <w:p w14:paraId="05D9A4D3" w14:textId="76C80D95" w:rsidR="009B10A4" w:rsidRPr="00593C40" w:rsidRDefault="009B10A4" w:rsidP="009B10A4">
            <w:pPr>
              <w:jc w:val="right"/>
              <w:rPr>
                <w:rFonts w:ascii="Arial" w:hAnsi="Arial" w:cs="Arial"/>
                <w:b/>
                <w:bCs/>
                <w:sz w:val="16"/>
                <w:szCs w:val="16"/>
              </w:rPr>
            </w:pPr>
            <w:r w:rsidRPr="00A81B86">
              <w:rPr>
                <w:rFonts w:ascii="Arial" w:hAnsi="Arial" w:cs="Arial"/>
                <w:b/>
                <w:bCs/>
                <w:sz w:val="16"/>
                <w:szCs w:val="16"/>
              </w:rPr>
              <w:t>45.378.297</w:t>
            </w:r>
          </w:p>
        </w:tc>
        <w:tc>
          <w:tcPr>
            <w:tcW w:w="729" w:type="pct"/>
            <w:tcBorders>
              <w:left w:val="nil"/>
              <w:right w:val="nil"/>
            </w:tcBorders>
            <w:shd w:val="clear" w:color="auto" w:fill="auto"/>
            <w:vAlign w:val="bottom"/>
          </w:tcPr>
          <w:p w14:paraId="0994F38B" w14:textId="741558FC" w:rsidR="009B10A4" w:rsidRPr="00EC349E" w:rsidRDefault="009B10A4" w:rsidP="009B10A4">
            <w:pPr>
              <w:jc w:val="right"/>
              <w:rPr>
                <w:rFonts w:ascii="Arial" w:hAnsi="Arial" w:cs="Arial"/>
                <w:b/>
                <w:bCs/>
                <w:sz w:val="16"/>
                <w:szCs w:val="16"/>
              </w:rPr>
            </w:pPr>
            <w:r>
              <w:rPr>
                <w:rFonts w:ascii="Arial" w:hAnsi="Arial" w:cs="Arial"/>
                <w:b/>
                <w:bCs/>
                <w:sz w:val="16"/>
                <w:szCs w:val="16"/>
              </w:rPr>
              <w:t>21.545.892</w:t>
            </w:r>
          </w:p>
        </w:tc>
      </w:tr>
      <w:tr w:rsidR="009B10A4" w:rsidRPr="00593C40" w14:paraId="00FFAD1F" w14:textId="77777777" w:rsidTr="00A059FB">
        <w:trPr>
          <w:trHeight w:val="285"/>
        </w:trPr>
        <w:tc>
          <w:tcPr>
            <w:tcW w:w="3257" w:type="pct"/>
            <w:tcBorders>
              <w:top w:val="nil"/>
              <w:left w:val="nil"/>
              <w:bottom w:val="nil"/>
              <w:right w:val="nil"/>
            </w:tcBorders>
            <w:shd w:val="clear" w:color="auto" w:fill="auto"/>
            <w:vAlign w:val="bottom"/>
            <w:hideMark/>
          </w:tcPr>
          <w:p w14:paraId="3C7EA437" w14:textId="4AC81C20" w:rsidR="009B10A4" w:rsidRPr="00593C40" w:rsidRDefault="009B10A4">
            <w:pPr>
              <w:rPr>
                <w:rFonts w:ascii="Arial" w:hAnsi="Arial" w:cs="Arial"/>
                <w:b/>
                <w:bCs/>
                <w:sz w:val="16"/>
                <w:szCs w:val="16"/>
                <w:lang w:eastAsia="es-AR"/>
              </w:rPr>
            </w:pPr>
            <w:r w:rsidRPr="00593C40">
              <w:rPr>
                <w:rFonts w:ascii="Arial" w:hAnsi="Arial" w:cs="Arial"/>
                <w:b/>
                <w:bCs/>
                <w:sz w:val="16"/>
                <w:szCs w:val="16"/>
                <w:lang w:eastAsia="es-AR"/>
              </w:rPr>
              <w:t xml:space="preserve">EFECTIVO Y EQUIVALENTES AL CIERRE DEL </w:t>
            </w:r>
            <w:r>
              <w:rPr>
                <w:rFonts w:ascii="Arial" w:hAnsi="Arial" w:cs="Arial"/>
                <w:b/>
                <w:bCs/>
                <w:sz w:val="16"/>
                <w:szCs w:val="16"/>
                <w:lang w:eastAsia="es-AR"/>
              </w:rPr>
              <w:t>EJERCICIO</w:t>
            </w:r>
          </w:p>
        </w:tc>
        <w:tc>
          <w:tcPr>
            <w:tcW w:w="411" w:type="pct"/>
            <w:tcBorders>
              <w:top w:val="nil"/>
              <w:left w:val="nil"/>
              <w:bottom w:val="nil"/>
              <w:right w:val="nil"/>
            </w:tcBorders>
            <w:shd w:val="clear" w:color="auto" w:fill="auto"/>
            <w:vAlign w:val="bottom"/>
            <w:hideMark/>
          </w:tcPr>
          <w:p w14:paraId="616E968A" w14:textId="0394EE23" w:rsidR="009B10A4" w:rsidRPr="001A3619" w:rsidRDefault="009B10A4" w:rsidP="00A059FB">
            <w:pPr>
              <w:jc w:val="center"/>
              <w:rPr>
                <w:rFonts w:ascii="Arial" w:hAnsi="Arial" w:cs="Arial"/>
                <w:b/>
                <w:bCs/>
                <w:sz w:val="16"/>
                <w:szCs w:val="16"/>
                <w:highlight w:val="yellow"/>
                <w:lang w:eastAsia="es-AR"/>
              </w:rPr>
            </w:pPr>
            <w:r w:rsidRPr="0021178E">
              <w:rPr>
                <w:rFonts w:ascii="Arial" w:hAnsi="Arial" w:cs="Arial"/>
                <w:b/>
                <w:bCs/>
                <w:sz w:val="16"/>
                <w:szCs w:val="16"/>
                <w:lang w:eastAsia="es-AR"/>
              </w:rPr>
              <w:t>1.8</w:t>
            </w:r>
          </w:p>
        </w:tc>
        <w:tc>
          <w:tcPr>
            <w:tcW w:w="603" w:type="pct"/>
            <w:tcBorders>
              <w:left w:val="nil"/>
              <w:right w:val="nil"/>
            </w:tcBorders>
            <w:shd w:val="clear" w:color="auto" w:fill="auto"/>
            <w:vAlign w:val="bottom"/>
          </w:tcPr>
          <w:p w14:paraId="6A920DB0" w14:textId="01CCFB77" w:rsidR="009B10A4" w:rsidRPr="00593C40" w:rsidRDefault="009B10A4" w:rsidP="009B10A4">
            <w:pPr>
              <w:jc w:val="right"/>
              <w:rPr>
                <w:rFonts w:ascii="Arial" w:hAnsi="Arial" w:cs="Arial"/>
                <w:b/>
                <w:bCs/>
                <w:sz w:val="16"/>
                <w:szCs w:val="16"/>
              </w:rPr>
            </w:pPr>
            <w:r w:rsidRPr="006765D7">
              <w:rPr>
                <w:rFonts w:ascii="Arial" w:hAnsi="Arial" w:cs="Arial"/>
                <w:b/>
                <w:bCs/>
                <w:sz w:val="16"/>
                <w:szCs w:val="16"/>
              </w:rPr>
              <w:t>26.238.098</w:t>
            </w:r>
          </w:p>
        </w:tc>
        <w:tc>
          <w:tcPr>
            <w:tcW w:w="729" w:type="pct"/>
            <w:tcBorders>
              <w:left w:val="nil"/>
              <w:right w:val="nil"/>
            </w:tcBorders>
            <w:shd w:val="clear" w:color="auto" w:fill="auto"/>
            <w:vAlign w:val="bottom"/>
          </w:tcPr>
          <w:p w14:paraId="002405D0" w14:textId="46DCEEB2" w:rsidR="009B10A4" w:rsidRPr="00EC349E" w:rsidRDefault="009B10A4" w:rsidP="009B10A4">
            <w:pPr>
              <w:jc w:val="right"/>
              <w:rPr>
                <w:rFonts w:ascii="Arial" w:hAnsi="Arial" w:cs="Arial"/>
                <w:b/>
                <w:bCs/>
                <w:sz w:val="16"/>
                <w:szCs w:val="16"/>
              </w:rPr>
            </w:pPr>
            <w:r>
              <w:rPr>
                <w:rFonts w:ascii="Arial" w:hAnsi="Arial" w:cs="Arial"/>
                <w:b/>
                <w:bCs/>
                <w:sz w:val="16"/>
                <w:szCs w:val="16"/>
              </w:rPr>
              <w:t>45.378.297</w:t>
            </w:r>
          </w:p>
        </w:tc>
      </w:tr>
    </w:tbl>
    <w:p w14:paraId="7C81E6F1" w14:textId="77777777" w:rsidR="00CD2AEF" w:rsidRPr="0076627B" w:rsidRDefault="00CD2AEF" w:rsidP="00CD2AEF">
      <w:pPr>
        <w:tabs>
          <w:tab w:val="left" w:pos="1365"/>
        </w:tabs>
        <w:rPr>
          <w:rFonts w:ascii="Arial" w:hAnsi="Arial" w:cs="Arial"/>
          <w:sz w:val="10"/>
          <w:szCs w:val="10"/>
          <w:lang w:eastAsia="es-AR"/>
        </w:rPr>
      </w:pPr>
    </w:p>
    <w:p w14:paraId="3BF17EF5" w14:textId="0E74E492" w:rsidR="00CA30F3" w:rsidRPr="00701F32" w:rsidRDefault="00CD2AEF" w:rsidP="005A1F48">
      <w:pPr>
        <w:tabs>
          <w:tab w:val="left" w:pos="1365"/>
        </w:tabs>
        <w:rPr>
          <w:sz w:val="20"/>
          <w:lang w:eastAsia="es-AR"/>
        </w:rPr>
      </w:pPr>
      <w:r w:rsidRPr="00CD2AEF">
        <w:rPr>
          <w:rFonts w:ascii="Arial" w:hAnsi="Arial" w:cs="Arial"/>
          <w:sz w:val="16"/>
          <w:szCs w:val="16"/>
          <w:lang w:eastAsia="es-AR"/>
        </w:rPr>
        <w:t>(*) En las partidas “</w:t>
      </w:r>
      <w:r w:rsidRPr="00A45C21">
        <w:rPr>
          <w:rFonts w:ascii="Arial" w:hAnsi="Arial" w:cs="Arial"/>
          <w:sz w:val="16"/>
          <w:szCs w:val="16"/>
          <w:lang w:eastAsia="es-AR"/>
        </w:rPr>
        <w:t xml:space="preserve">Préstamos y otras financiaciones – Sector Privado no Financiero y Residentes en el exterior”, “Otros Activos” y “Otros pasivos” se eliminaron </w:t>
      </w:r>
      <w:r w:rsidR="00E464B2" w:rsidRPr="00E464B2">
        <w:rPr>
          <w:rFonts w:ascii="Arial" w:hAnsi="Arial" w:cs="Arial"/>
          <w:sz w:val="16"/>
          <w:szCs w:val="16"/>
          <w:lang w:eastAsia="es-AR"/>
        </w:rPr>
        <w:t>3.032.240</w:t>
      </w:r>
      <w:r w:rsidRPr="00A45C21">
        <w:rPr>
          <w:rFonts w:ascii="Arial" w:hAnsi="Arial" w:cs="Arial"/>
          <w:sz w:val="16"/>
          <w:szCs w:val="16"/>
          <w:lang w:eastAsia="es-AR"/>
        </w:rPr>
        <w:t xml:space="preserve"> y </w:t>
      </w:r>
      <w:r w:rsidR="00A45C21" w:rsidRPr="00A45C21">
        <w:rPr>
          <w:rFonts w:ascii="Arial" w:hAnsi="Arial" w:cs="Arial"/>
          <w:sz w:val="16"/>
          <w:szCs w:val="16"/>
          <w:lang w:eastAsia="es-AR"/>
        </w:rPr>
        <w:t>991.547</w:t>
      </w:r>
      <w:r>
        <w:rPr>
          <w:rFonts w:ascii="Arial" w:hAnsi="Arial" w:cs="Arial"/>
          <w:sz w:val="16"/>
          <w:szCs w:val="16"/>
          <w:lang w:eastAsia="es-AR"/>
        </w:rPr>
        <w:t xml:space="preserve"> correspondientes a transacciones no monetarias. </w:t>
      </w:r>
      <w:bookmarkEnd w:id="5"/>
      <w:r w:rsidR="00986CD8" w:rsidRPr="00701F32">
        <w:rPr>
          <w:sz w:val="20"/>
          <w:lang w:eastAsia="es-AR"/>
        </w:rPr>
        <w:t xml:space="preserve"> </w:t>
      </w:r>
    </w:p>
    <w:p w14:paraId="3AA04D67" w14:textId="5583FC57" w:rsidR="00CA30F3" w:rsidRPr="00701F32" w:rsidRDefault="00CA30F3" w:rsidP="005F0795">
      <w:pPr>
        <w:rPr>
          <w:sz w:val="20"/>
          <w:lang w:eastAsia="es-AR"/>
        </w:rPr>
        <w:sectPr w:rsidR="00CA30F3" w:rsidRPr="00701F32" w:rsidSect="00E05C63">
          <w:headerReference w:type="default" r:id="rId17"/>
          <w:pgSz w:w="11907" w:h="16839" w:code="9"/>
          <w:pgMar w:top="1418" w:right="1701" w:bottom="1418" w:left="1701" w:header="567" w:footer="0" w:gutter="0"/>
          <w:paperSrc w:first="15" w:other="15"/>
          <w:pgNumType w:chapStyle="1"/>
          <w:cols w:space="720"/>
          <w:docGrid w:linePitch="326"/>
        </w:sectPr>
      </w:pPr>
    </w:p>
    <w:p w14:paraId="32C63E70" w14:textId="77777777" w:rsidR="002F4872" w:rsidRPr="00701F32" w:rsidRDefault="00C245AD" w:rsidP="005F0795">
      <w:pPr>
        <w:tabs>
          <w:tab w:val="left" w:pos="142"/>
          <w:tab w:val="left" w:pos="851"/>
          <w:tab w:val="left" w:pos="993"/>
          <w:tab w:val="left" w:pos="9923"/>
        </w:tabs>
        <w:spacing w:after="200" w:line="276" w:lineRule="auto"/>
        <w:contextualSpacing/>
        <w:jc w:val="both"/>
        <w:rPr>
          <w:rFonts w:ascii="Arial" w:hAnsi="Arial" w:cs="Arial"/>
          <w:b/>
          <w:sz w:val="20"/>
          <w:lang w:eastAsia="es-AR"/>
        </w:rPr>
      </w:pPr>
      <w:r w:rsidRPr="00701F32">
        <w:rPr>
          <w:noProof/>
          <w:lang w:eastAsia="es-AR"/>
        </w:rPr>
        <w:drawing>
          <wp:anchor distT="0" distB="0" distL="114300" distR="114300" simplePos="0" relativeHeight="251647488" behindDoc="0" locked="0" layoutInCell="1" allowOverlap="1" wp14:anchorId="65CD3B7D" wp14:editId="0D700767">
            <wp:simplePos x="0" y="0"/>
            <wp:positionH relativeFrom="column">
              <wp:posOffset>-2424430</wp:posOffset>
            </wp:positionH>
            <wp:positionV relativeFrom="paragraph">
              <wp:posOffset>-21884944</wp:posOffset>
            </wp:positionV>
            <wp:extent cx="9712325" cy="2754630"/>
            <wp:effectExtent l="0" t="0" r="3175" b="762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712325" cy="2754630"/>
                    </a:xfrm>
                    <a:prstGeom prst="rect">
                      <a:avLst/>
                    </a:prstGeom>
                    <a:noFill/>
                    <a:ln>
                      <a:noFill/>
                    </a:ln>
                  </pic:spPr>
                </pic:pic>
              </a:graphicData>
            </a:graphic>
          </wp:anchor>
        </w:drawing>
      </w:r>
    </w:p>
    <w:p w14:paraId="7A56163E" w14:textId="28007904" w:rsidR="00A06BE9" w:rsidRPr="00701F32" w:rsidRDefault="00A06BE9" w:rsidP="00A06BE9">
      <w:pPr>
        <w:spacing w:after="160" w:line="259" w:lineRule="auto"/>
        <w:jc w:val="both"/>
        <w:rPr>
          <w:rFonts w:ascii="Arial" w:eastAsia="Calibri" w:hAnsi="Arial" w:cs="Arial"/>
          <w:b/>
          <w:color w:val="C45911"/>
          <w:sz w:val="20"/>
        </w:rPr>
      </w:pPr>
      <w:r w:rsidRPr="00701F32">
        <w:rPr>
          <w:rFonts w:ascii="Arial" w:eastAsia="Calibri" w:hAnsi="Arial" w:cs="Arial"/>
          <w:b/>
          <w:sz w:val="20"/>
        </w:rPr>
        <w:t xml:space="preserve">1. </w:t>
      </w:r>
      <w:r w:rsidR="00582EAB" w:rsidRPr="00E446C3">
        <w:rPr>
          <w:rFonts w:ascii="Arial" w:eastAsia="Calibri" w:hAnsi="Arial" w:cs="Arial"/>
          <w:b/>
          <w:caps/>
          <w:sz w:val="20"/>
        </w:rPr>
        <w:t>BASES DE PREPARACION</w:t>
      </w:r>
      <w:r w:rsidR="00656DBB" w:rsidRPr="00E446C3">
        <w:rPr>
          <w:rFonts w:ascii="Arial" w:eastAsia="Calibri" w:hAnsi="Arial" w:cs="Arial"/>
          <w:b/>
          <w:caps/>
          <w:sz w:val="20"/>
        </w:rPr>
        <w:t xml:space="preserve"> y políticas contables significativas</w:t>
      </w:r>
    </w:p>
    <w:p w14:paraId="799FA7F3" w14:textId="0CAD4B95" w:rsidR="00656DBB" w:rsidRDefault="00656DBB" w:rsidP="00656DBB">
      <w:pPr>
        <w:spacing w:after="160" w:line="259" w:lineRule="auto"/>
        <w:jc w:val="both"/>
        <w:rPr>
          <w:rFonts w:ascii="Arial" w:eastAsia="Arial" w:hAnsi="Arial" w:cs="Arial"/>
          <w:sz w:val="20"/>
        </w:rPr>
      </w:pPr>
      <w:r w:rsidRPr="00E446C3">
        <w:rPr>
          <w:rFonts w:ascii="Arial" w:eastAsia="Arial" w:hAnsi="Arial" w:cs="Arial"/>
          <w:sz w:val="20"/>
        </w:rPr>
        <w:t>Los presentes estados financieros</w:t>
      </w:r>
      <w:r w:rsidR="002650D7">
        <w:rPr>
          <w:rFonts w:ascii="Arial" w:eastAsia="Arial" w:hAnsi="Arial" w:cs="Arial"/>
          <w:sz w:val="20"/>
        </w:rPr>
        <w:t xml:space="preserve"> </w:t>
      </w:r>
      <w:r w:rsidRPr="00E446C3">
        <w:rPr>
          <w:rFonts w:ascii="Arial" w:eastAsia="Arial" w:hAnsi="Arial" w:cs="Arial"/>
          <w:sz w:val="20"/>
        </w:rPr>
        <w:t xml:space="preserve">consolidados por el </w:t>
      </w:r>
      <w:r w:rsidR="007808AF">
        <w:rPr>
          <w:rFonts w:ascii="Arial" w:eastAsia="Arial" w:hAnsi="Arial" w:cs="Arial"/>
          <w:sz w:val="20"/>
        </w:rPr>
        <w:t>ejercicio económico</w:t>
      </w:r>
      <w:r w:rsidR="002650D7" w:rsidRPr="00E446C3">
        <w:rPr>
          <w:rFonts w:ascii="Arial" w:eastAsia="Arial" w:hAnsi="Arial" w:cs="Arial"/>
          <w:sz w:val="20"/>
        </w:rPr>
        <w:t xml:space="preserve"> </w:t>
      </w:r>
      <w:r w:rsidRPr="00E446C3">
        <w:rPr>
          <w:rFonts w:ascii="Arial" w:eastAsia="Arial" w:hAnsi="Arial" w:cs="Arial"/>
          <w:sz w:val="20"/>
        </w:rPr>
        <w:t>finalizado el 3</w:t>
      </w:r>
      <w:r w:rsidR="007808AF">
        <w:rPr>
          <w:rFonts w:ascii="Arial" w:eastAsia="Arial" w:hAnsi="Arial" w:cs="Arial"/>
          <w:sz w:val="20"/>
        </w:rPr>
        <w:t>1</w:t>
      </w:r>
      <w:r w:rsidRPr="00E446C3">
        <w:rPr>
          <w:rFonts w:ascii="Arial" w:eastAsia="Arial" w:hAnsi="Arial" w:cs="Arial"/>
          <w:sz w:val="20"/>
        </w:rPr>
        <w:t xml:space="preserve"> de </w:t>
      </w:r>
      <w:r w:rsidR="007808AF">
        <w:rPr>
          <w:rFonts w:ascii="Arial" w:eastAsia="Arial" w:hAnsi="Arial" w:cs="Arial"/>
          <w:sz w:val="20"/>
        </w:rPr>
        <w:t>diciembre</w:t>
      </w:r>
      <w:r w:rsidR="002650D7" w:rsidRPr="00E446C3">
        <w:rPr>
          <w:rFonts w:ascii="Arial" w:eastAsia="Arial" w:hAnsi="Arial" w:cs="Arial"/>
          <w:sz w:val="20"/>
        </w:rPr>
        <w:t xml:space="preserve"> </w:t>
      </w:r>
      <w:r w:rsidRPr="00E446C3">
        <w:rPr>
          <w:rFonts w:ascii="Arial" w:eastAsia="Arial" w:hAnsi="Arial" w:cs="Arial"/>
          <w:sz w:val="20"/>
        </w:rPr>
        <w:t xml:space="preserve">de </w:t>
      </w:r>
      <w:r w:rsidR="002650D7" w:rsidRPr="00E446C3">
        <w:rPr>
          <w:rFonts w:ascii="Arial" w:eastAsia="Arial" w:hAnsi="Arial" w:cs="Arial"/>
          <w:sz w:val="20"/>
        </w:rPr>
        <w:t>201</w:t>
      </w:r>
      <w:r w:rsidR="002650D7">
        <w:rPr>
          <w:rFonts w:ascii="Arial" w:eastAsia="Arial" w:hAnsi="Arial" w:cs="Arial"/>
          <w:sz w:val="20"/>
        </w:rPr>
        <w:t>9</w:t>
      </w:r>
      <w:r w:rsidRPr="00E446C3">
        <w:rPr>
          <w:rFonts w:ascii="Arial" w:eastAsia="Arial" w:hAnsi="Arial" w:cs="Arial"/>
          <w:sz w:val="20"/>
        </w:rPr>
        <w:t xml:space="preserve">, los cuales han sido preparados de acuerdo con el marco contable establecido por el Banco Central de la República Argentina (B.C.R.A.), corresponden a </w:t>
      </w:r>
      <w:r w:rsidRPr="00701F32">
        <w:rPr>
          <w:rFonts w:ascii="Arial" w:eastAsia="Arial" w:hAnsi="Arial" w:cs="Arial"/>
          <w:sz w:val="20"/>
        </w:rPr>
        <w:t>Banco Supervielle S.A</w:t>
      </w:r>
      <w:r w:rsidR="00113899">
        <w:rPr>
          <w:rFonts w:ascii="Arial" w:eastAsia="Arial" w:hAnsi="Arial" w:cs="Arial"/>
          <w:sz w:val="20"/>
        </w:rPr>
        <w:t>.</w:t>
      </w:r>
      <w:r w:rsidRPr="00701F32">
        <w:rPr>
          <w:rFonts w:ascii="Arial" w:eastAsia="Arial" w:hAnsi="Arial" w:cs="Arial"/>
          <w:sz w:val="20"/>
        </w:rPr>
        <w:t xml:space="preserve"> (en adelante, “el Banco”</w:t>
      </w:r>
      <w:r>
        <w:rPr>
          <w:rFonts w:ascii="Arial" w:eastAsia="Arial" w:hAnsi="Arial" w:cs="Arial"/>
          <w:sz w:val="20"/>
        </w:rPr>
        <w:t xml:space="preserve"> o “la Entidad”</w:t>
      </w:r>
      <w:r w:rsidRPr="00701F32">
        <w:rPr>
          <w:rFonts w:ascii="Arial" w:eastAsia="Arial" w:hAnsi="Arial" w:cs="Arial"/>
          <w:sz w:val="20"/>
        </w:rPr>
        <w:t>)</w:t>
      </w:r>
      <w:r>
        <w:rPr>
          <w:rFonts w:ascii="Arial" w:eastAsia="Arial" w:hAnsi="Arial" w:cs="Arial"/>
          <w:sz w:val="20"/>
        </w:rPr>
        <w:t xml:space="preserve"> y sus sociedades controladas o subsidiarias.</w:t>
      </w:r>
    </w:p>
    <w:p w14:paraId="53A03445" w14:textId="352F60E0" w:rsidR="00A06BE9" w:rsidRPr="00701F32" w:rsidRDefault="00656DBB" w:rsidP="00A06BE9">
      <w:pPr>
        <w:spacing w:after="160" w:line="259" w:lineRule="auto"/>
        <w:jc w:val="both"/>
        <w:rPr>
          <w:rFonts w:ascii="Arial" w:eastAsia="Arial" w:hAnsi="Arial" w:cs="Arial"/>
          <w:sz w:val="20"/>
        </w:rPr>
      </w:pPr>
      <w:r>
        <w:rPr>
          <w:rFonts w:ascii="Arial" w:eastAsia="Arial" w:hAnsi="Arial" w:cs="Arial"/>
          <w:sz w:val="20"/>
        </w:rPr>
        <w:t xml:space="preserve">El Banco </w:t>
      </w:r>
      <w:r w:rsidR="00A06BE9" w:rsidRPr="00701F32">
        <w:rPr>
          <w:rFonts w:ascii="Arial" w:eastAsia="Arial" w:hAnsi="Arial" w:cs="Arial"/>
          <w:sz w:val="20"/>
        </w:rPr>
        <w:t xml:space="preserve">es una entidad financiera comprendida dentro de la Ley N° 21.526 de Entidades Financieras sujeta a las disposiciones del Banco Central de la República Argentina (B.C.R.A.) como órgano regulador de entidades financieras. </w:t>
      </w:r>
    </w:p>
    <w:p w14:paraId="44021CB3" w14:textId="77777777" w:rsidR="00A06BE9" w:rsidRPr="00701F32" w:rsidRDefault="00A06BE9" w:rsidP="00A06BE9">
      <w:pPr>
        <w:jc w:val="both"/>
        <w:rPr>
          <w:rFonts w:ascii="Arial" w:eastAsia="Arial" w:hAnsi="Arial" w:cs="Arial"/>
          <w:sz w:val="20"/>
        </w:rPr>
      </w:pPr>
      <w:r w:rsidRPr="00701F32">
        <w:rPr>
          <w:rFonts w:ascii="Arial" w:eastAsia="Arial" w:hAnsi="Arial" w:cs="Arial"/>
          <w:sz w:val="20"/>
        </w:rPr>
        <w:t>Adicionalmente el Banco se desempeña como Agente de Liquidación y Compensación en el marco de la Comisión Nacional de Valores (C.N.V.) por lo que se encuentra regulado por las disposiciones emanadas de la Ley 26.831 de Mercado de Capitales.</w:t>
      </w:r>
    </w:p>
    <w:p w14:paraId="2013CC81" w14:textId="77777777" w:rsidR="00A06BE9" w:rsidRPr="00701F32" w:rsidRDefault="00A06BE9" w:rsidP="00A06BE9">
      <w:pPr>
        <w:jc w:val="both"/>
        <w:rPr>
          <w:rFonts w:ascii="Arial" w:eastAsia="Calibri" w:hAnsi="Arial" w:cs="Arial"/>
          <w:sz w:val="20"/>
        </w:rPr>
      </w:pPr>
    </w:p>
    <w:p w14:paraId="329943A9" w14:textId="77777777" w:rsidR="00A06BE9" w:rsidRPr="00701F32" w:rsidRDefault="00A06BE9" w:rsidP="00A06BE9">
      <w:pPr>
        <w:spacing w:after="160" w:line="259" w:lineRule="auto"/>
        <w:jc w:val="both"/>
        <w:rPr>
          <w:rFonts w:ascii="Arial" w:eastAsia="Calibri" w:hAnsi="Arial" w:cs="Arial"/>
          <w:sz w:val="20"/>
        </w:rPr>
      </w:pPr>
      <w:r w:rsidRPr="00701F32">
        <w:rPr>
          <w:rFonts w:ascii="Arial" w:eastAsia="Calibri" w:hAnsi="Arial" w:cs="Arial"/>
          <w:sz w:val="20"/>
        </w:rPr>
        <w:t xml:space="preserve">La Entidad opera como un banco universal y es una subsidiaria del Grupo Supervielle S.A. </w:t>
      </w:r>
    </w:p>
    <w:p w14:paraId="3CC57938" w14:textId="6E8D100A" w:rsidR="00A06BE9" w:rsidRPr="00701F32" w:rsidRDefault="00A06BE9" w:rsidP="00A06BE9">
      <w:pPr>
        <w:spacing w:after="160" w:line="259" w:lineRule="auto"/>
        <w:jc w:val="both"/>
        <w:rPr>
          <w:rFonts w:ascii="Arial" w:eastAsia="Calibri" w:hAnsi="Arial" w:cs="Arial"/>
          <w:sz w:val="20"/>
        </w:rPr>
      </w:pPr>
      <w:r w:rsidRPr="00701F32">
        <w:rPr>
          <w:rFonts w:ascii="Arial" w:eastAsia="Calibri" w:hAnsi="Arial" w:cs="Arial"/>
          <w:sz w:val="20"/>
        </w:rPr>
        <w:t xml:space="preserve">Estos estados financieros </w:t>
      </w:r>
      <w:r w:rsidR="006423FF" w:rsidRPr="00701F32">
        <w:rPr>
          <w:rFonts w:ascii="Arial" w:eastAsia="Calibri" w:hAnsi="Arial" w:cs="Arial"/>
          <w:sz w:val="20"/>
        </w:rPr>
        <w:t>consolidados</w:t>
      </w:r>
      <w:r w:rsidR="00415AF0">
        <w:rPr>
          <w:rFonts w:ascii="Arial" w:eastAsia="Calibri" w:hAnsi="Arial" w:cs="Arial"/>
          <w:sz w:val="20"/>
        </w:rPr>
        <w:t xml:space="preserve"> </w:t>
      </w:r>
      <w:r w:rsidRPr="00701F32">
        <w:rPr>
          <w:rFonts w:ascii="Arial" w:eastAsia="Calibri" w:hAnsi="Arial" w:cs="Arial"/>
          <w:sz w:val="20"/>
        </w:rPr>
        <w:t xml:space="preserve">han sido aprobados por </w:t>
      </w:r>
      <w:r w:rsidR="00251677" w:rsidRPr="00701F32">
        <w:rPr>
          <w:rFonts w:ascii="Arial" w:eastAsia="Calibri" w:hAnsi="Arial" w:cs="Arial"/>
          <w:sz w:val="20"/>
        </w:rPr>
        <w:t xml:space="preserve">el Directorio de la Entidad en su reunión </w:t>
      </w:r>
      <w:r w:rsidRPr="00701F32">
        <w:rPr>
          <w:rFonts w:ascii="Arial" w:eastAsia="Calibri" w:hAnsi="Arial" w:cs="Arial"/>
          <w:sz w:val="20"/>
        </w:rPr>
        <w:t xml:space="preserve">de </w:t>
      </w:r>
      <w:r w:rsidRPr="00F831FB">
        <w:rPr>
          <w:rFonts w:ascii="Arial" w:eastAsia="Calibri" w:hAnsi="Arial" w:cs="Arial"/>
          <w:sz w:val="20"/>
        </w:rPr>
        <w:t>fecha</w:t>
      </w:r>
      <w:r w:rsidR="0016276D" w:rsidRPr="00F831FB">
        <w:rPr>
          <w:rFonts w:ascii="Arial" w:eastAsia="Calibri" w:hAnsi="Arial" w:cs="Arial"/>
          <w:sz w:val="20"/>
        </w:rPr>
        <w:t xml:space="preserve"> </w:t>
      </w:r>
      <w:r w:rsidR="001A3619" w:rsidRPr="00963E93">
        <w:rPr>
          <w:rFonts w:ascii="Arial" w:eastAsia="Calibri" w:hAnsi="Arial" w:cs="Arial"/>
          <w:sz w:val="20"/>
        </w:rPr>
        <w:t>19</w:t>
      </w:r>
      <w:r w:rsidR="00C63AFA" w:rsidRPr="00963E93">
        <w:rPr>
          <w:rFonts w:ascii="Arial" w:eastAsia="Calibri" w:hAnsi="Arial" w:cs="Arial"/>
          <w:sz w:val="20"/>
        </w:rPr>
        <w:t xml:space="preserve"> de febrero de 2020</w:t>
      </w:r>
      <w:r w:rsidRPr="00963E93">
        <w:rPr>
          <w:rFonts w:ascii="Arial" w:eastAsia="Calibri" w:hAnsi="Arial" w:cs="Arial"/>
          <w:sz w:val="20"/>
        </w:rPr>
        <w:t>.</w:t>
      </w:r>
      <w:r w:rsidRPr="00701F32">
        <w:rPr>
          <w:rFonts w:ascii="Arial" w:eastAsia="Calibri" w:hAnsi="Arial" w:cs="Arial"/>
          <w:sz w:val="20"/>
        </w:rPr>
        <w:t xml:space="preserve"> </w:t>
      </w:r>
    </w:p>
    <w:p w14:paraId="7EC8367A" w14:textId="6C36FFC7" w:rsidR="00A06BE9" w:rsidRPr="00701F32" w:rsidRDefault="00A06BE9" w:rsidP="00A06BE9">
      <w:pPr>
        <w:spacing w:after="160" w:line="259" w:lineRule="auto"/>
        <w:jc w:val="both"/>
        <w:rPr>
          <w:rFonts w:ascii="Arial" w:eastAsia="Calibri" w:hAnsi="Arial" w:cs="Arial"/>
          <w:b/>
          <w:color w:val="C45911"/>
          <w:sz w:val="20"/>
        </w:rPr>
      </w:pPr>
      <w:r w:rsidRPr="00701F32">
        <w:rPr>
          <w:rFonts w:ascii="Arial" w:eastAsia="Calibri" w:hAnsi="Arial" w:cs="Arial"/>
          <w:b/>
          <w:sz w:val="20"/>
        </w:rPr>
        <w:t>1.1</w:t>
      </w:r>
      <w:r w:rsidR="00883169">
        <w:rPr>
          <w:rFonts w:ascii="Arial" w:eastAsia="Calibri" w:hAnsi="Arial" w:cs="Arial"/>
          <w:b/>
          <w:sz w:val="20"/>
        </w:rPr>
        <w:t>.a)</w:t>
      </w:r>
      <w:r w:rsidRPr="00701F32">
        <w:rPr>
          <w:rFonts w:ascii="Arial" w:eastAsia="Calibri" w:hAnsi="Arial" w:cs="Arial"/>
          <w:b/>
          <w:sz w:val="20"/>
        </w:rPr>
        <w:t xml:space="preserve"> </w:t>
      </w:r>
      <w:r w:rsidR="00845893">
        <w:rPr>
          <w:rFonts w:ascii="Arial" w:eastAsia="Calibri" w:hAnsi="Arial" w:cs="Arial"/>
          <w:b/>
          <w:sz w:val="20"/>
        </w:rPr>
        <w:t>Diferencias entre el marco contable establecido por el BCRA y las NIIF</w:t>
      </w:r>
      <w:r w:rsidRPr="00701F32">
        <w:rPr>
          <w:rFonts w:ascii="Arial" w:eastAsia="Calibri" w:hAnsi="Arial" w:cs="Arial"/>
          <w:b/>
          <w:sz w:val="20"/>
        </w:rPr>
        <w:t xml:space="preserve"> </w:t>
      </w:r>
    </w:p>
    <w:p w14:paraId="56C23F48" w14:textId="486258C7" w:rsidR="00656DBB" w:rsidRDefault="00A06BE9" w:rsidP="00A06BE9">
      <w:pPr>
        <w:spacing w:after="160"/>
        <w:jc w:val="both"/>
        <w:rPr>
          <w:rFonts w:ascii="Arial" w:eastAsia="Arial" w:hAnsi="Arial" w:cs="Arial"/>
          <w:sz w:val="20"/>
        </w:rPr>
      </w:pPr>
      <w:r w:rsidRPr="00701F32">
        <w:rPr>
          <w:rFonts w:ascii="Arial" w:eastAsia="Arial" w:hAnsi="Arial" w:cs="Arial"/>
          <w:sz w:val="20"/>
        </w:rPr>
        <w:t xml:space="preserve">El B.C.R.A., a través de las Comunicaciones “A” 5541 y modificatorias, estableció el plan de convergencia hacia las Normas Internacionales de Información Financiera (NIIF) emitidas por el Consejo de Normas Internacionales de Información Financiera (IASB, por sus siglas en </w:t>
      </w:r>
      <w:r w:rsidR="002731C9" w:rsidRPr="00701F32">
        <w:rPr>
          <w:rFonts w:ascii="Arial" w:eastAsia="Arial" w:hAnsi="Arial" w:cs="Arial"/>
          <w:sz w:val="20"/>
        </w:rPr>
        <w:t>inglés</w:t>
      </w:r>
      <w:r w:rsidRPr="00701F32">
        <w:rPr>
          <w:rFonts w:ascii="Arial" w:eastAsia="Arial" w:hAnsi="Arial" w:cs="Arial"/>
          <w:sz w:val="20"/>
        </w:rPr>
        <w:t xml:space="preserve">) y las interpretaciones emitidas por el Comité de Interpretaciones de Normas Internacionales de Información Financiera (CINIIF), para las entidades bajo su supervisión, </w:t>
      </w:r>
      <w:r w:rsidR="009D3943" w:rsidRPr="00701F32">
        <w:rPr>
          <w:rFonts w:ascii="Arial" w:eastAsia="Arial" w:hAnsi="Arial" w:cs="Arial"/>
          <w:sz w:val="20"/>
        </w:rPr>
        <w:t xml:space="preserve">para los ejercicios iniciados a partir del 1 de enero de 2018, </w:t>
      </w:r>
      <w:r w:rsidRPr="00701F32">
        <w:rPr>
          <w:rFonts w:ascii="Arial" w:eastAsia="Arial" w:hAnsi="Arial" w:cs="Arial"/>
          <w:sz w:val="20"/>
        </w:rPr>
        <w:t xml:space="preserve">con excepción de la aplicación del punto 5.5 </w:t>
      </w:r>
      <w:r w:rsidR="00396894" w:rsidRPr="00701F32">
        <w:rPr>
          <w:rFonts w:ascii="Arial" w:eastAsia="Arial" w:hAnsi="Arial" w:cs="Arial"/>
          <w:sz w:val="20"/>
        </w:rPr>
        <w:t>“D</w:t>
      </w:r>
      <w:r w:rsidRPr="00701F32">
        <w:rPr>
          <w:rFonts w:ascii="Arial" w:eastAsia="Arial" w:hAnsi="Arial" w:cs="Arial"/>
          <w:sz w:val="20"/>
        </w:rPr>
        <w:t>eterioro de valor</w:t>
      </w:r>
      <w:r w:rsidR="00396894" w:rsidRPr="00701F32">
        <w:rPr>
          <w:rFonts w:ascii="Arial" w:eastAsia="Arial" w:hAnsi="Arial" w:cs="Arial"/>
          <w:sz w:val="20"/>
        </w:rPr>
        <w:t>”</w:t>
      </w:r>
      <w:r w:rsidRPr="00701F32">
        <w:rPr>
          <w:rFonts w:ascii="Arial" w:eastAsia="Arial" w:hAnsi="Arial" w:cs="Arial"/>
          <w:sz w:val="20"/>
        </w:rPr>
        <w:t xml:space="preserve"> de la NIIF </w:t>
      </w:r>
      <w:r w:rsidR="005C4329" w:rsidRPr="00701F32">
        <w:rPr>
          <w:rFonts w:ascii="Arial" w:eastAsia="Arial" w:hAnsi="Arial" w:cs="Arial"/>
          <w:sz w:val="20"/>
        </w:rPr>
        <w:t>9 “Instrumentos Financieros</w:t>
      </w:r>
      <w:r w:rsidR="009D3943" w:rsidRPr="00701F32">
        <w:rPr>
          <w:rFonts w:ascii="Arial" w:eastAsia="Arial" w:hAnsi="Arial" w:cs="Arial"/>
          <w:sz w:val="20"/>
        </w:rPr>
        <w:t>”</w:t>
      </w:r>
      <w:r w:rsidR="005C4329" w:rsidRPr="00701F32">
        <w:rPr>
          <w:rFonts w:ascii="Arial" w:eastAsia="Arial" w:hAnsi="Arial" w:cs="Arial"/>
          <w:sz w:val="20"/>
        </w:rPr>
        <w:t xml:space="preserve"> y de la NIC 29</w:t>
      </w:r>
      <w:r w:rsidR="0038752C">
        <w:rPr>
          <w:rFonts w:ascii="Arial" w:eastAsia="Arial" w:hAnsi="Arial" w:cs="Arial"/>
          <w:sz w:val="20"/>
        </w:rPr>
        <w:t xml:space="preserve"> </w:t>
      </w:r>
      <w:r w:rsidR="00666E62" w:rsidRPr="00666E62">
        <w:rPr>
          <w:rFonts w:ascii="Arial" w:eastAsia="Arial" w:hAnsi="Arial" w:cs="Arial"/>
          <w:sz w:val="20"/>
        </w:rPr>
        <w:t>“Información Financiera en Economías Hiperinflacionarias”.</w:t>
      </w:r>
    </w:p>
    <w:p w14:paraId="514443A7" w14:textId="14FF60D1" w:rsidR="00656DBB" w:rsidRPr="00EA530F" w:rsidRDefault="00656DBB" w:rsidP="00656DBB">
      <w:pPr>
        <w:spacing w:after="160"/>
        <w:jc w:val="both"/>
        <w:rPr>
          <w:rFonts w:ascii="Arial" w:eastAsia="Arial" w:hAnsi="Arial" w:cs="Arial"/>
          <w:sz w:val="20"/>
        </w:rPr>
      </w:pPr>
      <w:r w:rsidRPr="00EA530F">
        <w:rPr>
          <w:rFonts w:ascii="Arial" w:eastAsia="Arial" w:hAnsi="Arial" w:cs="Arial"/>
          <w:sz w:val="20"/>
        </w:rPr>
        <w:t>(</w:t>
      </w:r>
      <w:bookmarkStart w:id="6" w:name="_Hlk32400498"/>
      <w:r w:rsidR="00687576">
        <w:rPr>
          <w:rFonts w:ascii="Arial" w:eastAsia="Arial" w:hAnsi="Arial" w:cs="Arial"/>
          <w:sz w:val="20"/>
        </w:rPr>
        <w:t>i</w:t>
      </w:r>
      <w:r w:rsidRPr="00EA530F">
        <w:rPr>
          <w:rFonts w:ascii="Arial" w:eastAsia="Arial" w:hAnsi="Arial" w:cs="Arial"/>
          <w:sz w:val="20"/>
        </w:rPr>
        <w:t>) Deterioro de valor de activos financieros</w:t>
      </w:r>
    </w:p>
    <w:p w14:paraId="534C9D9C" w14:textId="4A0D269D" w:rsidR="00845893" w:rsidRDefault="00845893" w:rsidP="00845893">
      <w:pPr>
        <w:spacing w:after="160"/>
        <w:jc w:val="both"/>
        <w:rPr>
          <w:rFonts w:ascii="Arial" w:eastAsia="Arial" w:hAnsi="Arial" w:cs="Arial"/>
          <w:sz w:val="20"/>
        </w:rPr>
      </w:pPr>
      <w:r>
        <w:rPr>
          <w:rFonts w:ascii="Arial" w:eastAsia="Arial" w:hAnsi="Arial" w:cs="Arial"/>
          <w:sz w:val="20"/>
        </w:rPr>
        <w:t xml:space="preserve">De acuerdo con la Comunicación “A” 6114, para el reconocimiento de las pérdidas crediticias en los presentes estados financieros, la Entidad ha aplicado la normativa de “Previsiones mínimas por riesgo de incobrabilidad” prevista en las normas de Liquidez y Solvencia (LISOL 1) del B.C.R.A. (ver </w:t>
      </w:r>
      <w:r w:rsidRPr="00845893">
        <w:rPr>
          <w:rFonts w:ascii="Arial" w:eastAsia="Arial" w:hAnsi="Arial" w:cs="Arial"/>
          <w:sz w:val="20"/>
        </w:rPr>
        <w:t>not</w:t>
      </w:r>
      <w:r w:rsidRPr="006E1AF7">
        <w:rPr>
          <w:rFonts w:ascii="Arial" w:eastAsia="Arial" w:hAnsi="Arial" w:cs="Arial"/>
          <w:sz w:val="20"/>
        </w:rPr>
        <w:t>a 1.1</w:t>
      </w:r>
      <w:r w:rsidRPr="00845893">
        <w:rPr>
          <w:rFonts w:ascii="Arial" w:eastAsia="Arial" w:hAnsi="Arial" w:cs="Arial"/>
          <w:sz w:val="20"/>
        </w:rPr>
        <w:t>3)</w:t>
      </w:r>
      <w:r w:rsidR="00B37119">
        <w:rPr>
          <w:rFonts w:ascii="Arial" w:eastAsia="Arial" w:hAnsi="Arial" w:cs="Arial"/>
          <w:sz w:val="20"/>
        </w:rPr>
        <w:t>.</w:t>
      </w:r>
      <w:r>
        <w:rPr>
          <w:rFonts w:ascii="Arial" w:eastAsia="Arial" w:hAnsi="Arial" w:cs="Arial"/>
          <w:sz w:val="20"/>
        </w:rPr>
        <w:t xml:space="preserve"> </w:t>
      </w:r>
    </w:p>
    <w:p w14:paraId="7BA80EB7" w14:textId="49EF1DDB" w:rsidR="00845893" w:rsidRDefault="00845893" w:rsidP="00845893">
      <w:pPr>
        <w:spacing w:after="160"/>
        <w:jc w:val="both"/>
        <w:rPr>
          <w:rFonts w:ascii="Arial" w:eastAsia="Arial" w:hAnsi="Arial" w:cs="Arial"/>
          <w:sz w:val="20"/>
        </w:rPr>
      </w:pPr>
      <w:r>
        <w:rPr>
          <w:rFonts w:ascii="Arial" w:eastAsia="Arial" w:hAnsi="Arial" w:cs="Arial"/>
          <w:sz w:val="20"/>
        </w:rPr>
        <w:t>La NIIF 9 prevé un modelo de pérdidas crediticias esperadas, por el cual se clasifican los activos financieros en tres etapas de deterioro, basado en los cambios en la calidad crediticia desde su reconocimiento inicial, que dictan como una entidad mide las pérdidas por deterioro y aplica el método del interés efectivo.</w:t>
      </w:r>
    </w:p>
    <w:p w14:paraId="75592DA7" w14:textId="565A1393" w:rsidR="00845893" w:rsidRDefault="00845893" w:rsidP="00845893">
      <w:pPr>
        <w:spacing w:after="160"/>
        <w:jc w:val="both"/>
        <w:rPr>
          <w:rFonts w:ascii="Arial" w:eastAsia="Arial" w:hAnsi="Arial" w:cs="Arial"/>
          <w:sz w:val="20"/>
        </w:rPr>
      </w:pPr>
      <w:r>
        <w:rPr>
          <w:rFonts w:ascii="Arial" w:eastAsia="Arial" w:hAnsi="Arial" w:cs="Arial"/>
          <w:sz w:val="20"/>
        </w:rPr>
        <w:t>De aplicarse el modelo de deterioro previsto en el punto 5.5 de la NIIF 9, el patrimonio de la Entidad y sus resultados, diferirían significativamente de los saldos reportados actualmente.</w:t>
      </w:r>
    </w:p>
    <w:p w14:paraId="4EE4A9F2" w14:textId="5B44620D" w:rsidR="00F63A9D" w:rsidRDefault="00F63A9D" w:rsidP="00656DBB">
      <w:pPr>
        <w:spacing w:after="160"/>
        <w:jc w:val="both"/>
        <w:rPr>
          <w:rFonts w:ascii="Arial" w:eastAsia="Arial" w:hAnsi="Arial" w:cs="Arial"/>
          <w:sz w:val="20"/>
        </w:rPr>
      </w:pPr>
    </w:p>
    <w:bookmarkEnd w:id="6"/>
    <w:p w14:paraId="527AFF75" w14:textId="762CE1C1" w:rsidR="00A06BE9" w:rsidRPr="00701F32" w:rsidRDefault="00656DBB" w:rsidP="0023020F">
      <w:pPr>
        <w:spacing w:after="160"/>
        <w:jc w:val="both"/>
        <w:rPr>
          <w:rFonts w:ascii="Arial" w:hAnsi="Arial" w:cs="Arial"/>
          <w:sz w:val="20"/>
        </w:rPr>
      </w:pPr>
      <w:r w:rsidRPr="00EA530F">
        <w:rPr>
          <w:rFonts w:ascii="Arial" w:eastAsia="Arial" w:hAnsi="Arial" w:cs="Arial"/>
          <w:sz w:val="20"/>
        </w:rPr>
        <w:t>(</w:t>
      </w:r>
      <w:r w:rsidR="00687576">
        <w:rPr>
          <w:rFonts w:ascii="Arial" w:eastAsia="Arial" w:hAnsi="Arial" w:cs="Arial"/>
          <w:sz w:val="20"/>
        </w:rPr>
        <w:t>ii</w:t>
      </w:r>
      <w:r w:rsidRPr="00EA530F">
        <w:rPr>
          <w:rFonts w:ascii="Arial" w:eastAsia="Arial" w:hAnsi="Arial" w:cs="Arial"/>
          <w:sz w:val="20"/>
        </w:rPr>
        <w:t xml:space="preserve">) Reexpresión por inflación de los estados financieros </w:t>
      </w:r>
    </w:p>
    <w:p w14:paraId="379E025A" w14:textId="3AA2D143" w:rsidR="005367BE" w:rsidRPr="00701F32" w:rsidRDefault="005367BE" w:rsidP="005367BE">
      <w:pPr>
        <w:autoSpaceDE w:val="0"/>
        <w:autoSpaceDN w:val="0"/>
        <w:adjustRightInd w:val="0"/>
        <w:jc w:val="both"/>
        <w:rPr>
          <w:rFonts w:ascii="Arial" w:hAnsi="Arial" w:cs="Arial"/>
          <w:sz w:val="20"/>
        </w:rPr>
      </w:pPr>
      <w:r w:rsidRPr="00701F32">
        <w:rPr>
          <w:rFonts w:ascii="Arial" w:hAnsi="Arial" w:cs="Arial"/>
          <w:sz w:val="20"/>
        </w:rPr>
        <w:t xml:space="preserve">La NIC 29 “Información financiera en economías hiperinflacionarias” requiere que los estados financieros de una entidad, cuya moneda funcional sea la de una economía de alta inflación, se </w:t>
      </w:r>
      <w:r w:rsidR="00656DBB" w:rsidRPr="00701F32">
        <w:rPr>
          <w:rFonts w:ascii="Arial" w:hAnsi="Arial" w:cs="Arial"/>
          <w:sz w:val="20"/>
        </w:rPr>
        <w:t>expres</w:t>
      </w:r>
      <w:r w:rsidR="00656DBB">
        <w:rPr>
          <w:rFonts w:ascii="Arial" w:hAnsi="Arial" w:cs="Arial"/>
          <w:sz w:val="20"/>
        </w:rPr>
        <w:t>en</w:t>
      </w:r>
      <w:r w:rsidR="00656DBB" w:rsidRPr="00701F32">
        <w:rPr>
          <w:rFonts w:ascii="Arial" w:hAnsi="Arial" w:cs="Arial"/>
          <w:sz w:val="20"/>
        </w:rPr>
        <w:t xml:space="preserve"> </w:t>
      </w:r>
      <w:r w:rsidRPr="00701F32">
        <w:rPr>
          <w:rFonts w:ascii="Arial" w:hAnsi="Arial" w:cs="Arial"/>
          <w:sz w:val="20"/>
        </w:rPr>
        <w:t xml:space="preserve">en términos de la unidad de medida corriente a la fecha de cierre del </w:t>
      </w:r>
      <w:r w:rsidR="00735A7B">
        <w:rPr>
          <w:rFonts w:ascii="Arial" w:hAnsi="Arial" w:cs="Arial"/>
          <w:sz w:val="20"/>
        </w:rPr>
        <w:t>ejercicio</w:t>
      </w:r>
      <w:r w:rsidRPr="00701F32">
        <w:rPr>
          <w:rFonts w:ascii="Arial" w:hAnsi="Arial" w:cs="Arial"/>
          <w:sz w:val="20"/>
        </w:rPr>
        <w:t xml:space="preserve"> sobre el que se informa, independientemente de si están basados en el método del costo histórico o en el método del costo corriente. Para ello, en términos generales, se debe computar en las partidas no monetarias la inflación producida desde la fecha de adquisición o desde la fecha de revaluación según corresponda. Dichos requerimientos también comprenden a la información comparativa de los estados financieros. </w:t>
      </w:r>
    </w:p>
    <w:p w14:paraId="43CD02F9" w14:textId="77777777" w:rsidR="005367BE" w:rsidRPr="00701F32" w:rsidRDefault="005367BE" w:rsidP="005367BE">
      <w:pPr>
        <w:autoSpaceDE w:val="0"/>
        <w:autoSpaceDN w:val="0"/>
        <w:adjustRightInd w:val="0"/>
        <w:jc w:val="both"/>
        <w:rPr>
          <w:rFonts w:ascii="Arial" w:hAnsi="Arial" w:cs="Arial"/>
          <w:sz w:val="20"/>
        </w:rPr>
      </w:pPr>
    </w:p>
    <w:p w14:paraId="160FE194" w14:textId="5304EC96" w:rsidR="005367BE" w:rsidRPr="00701F32" w:rsidRDefault="005367BE">
      <w:pPr>
        <w:autoSpaceDE w:val="0"/>
        <w:autoSpaceDN w:val="0"/>
        <w:adjustRightInd w:val="0"/>
        <w:jc w:val="both"/>
        <w:rPr>
          <w:rFonts w:ascii="Arial" w:hAnsi="Arial" w:cs="Arial"/>
          <w:sz w:val="20"/>
        </w:rPr>
      </w:pPr>
      <w:r w:rsidRPr="00701F32">
        <w:rPr>
          <w:rFonts w:ascii="Arial" w:hAnsi="Arial" w:cs="Arial"/>
          <w:sz w:val="20"/>
        </w:rPr>
        <w:t xml:space="preserve">A los efectos de concluir sobre si una economía es categorizada como de alta inflación en los términos de la NIC 29, la norma detalla una serie de factores a considerar entre los que se incluye una tasa acumulada de inflación en tres años que se aproxime o exceda el 100%. Es por esta razón que, de acuerdo con la NIC 29, la economía argentina debe ser considerada como de alta inflación a partir del 1° de julio de 2018. </w:t>
      </w:r>
    </w:p>
    <w:p w14:paraId="7A4DA7C2" w14:textId="77777777" w:rsidR="005367BE" w:rsidRPr="00701F32" w:rsidRDefault="005367BE" w:rsidP="005367BE">
      <w:pPr>
        <w:autoSpaceDE w:val="0"/>
        <w:autoSpaceDN w:val="0"/>
        <w:adjustRightInd w:val="0"/>
        <w:jc w:val="both"/>
        <w:rPr>
          <w:rFonts w:ascii="Arial" w:hAnsi="Arial" w:cs="Arial"/>
          <w:sz w:val="20"/>
        </w:rPr>
      </w:pPr>
    </w:p>
    <w:p w14:paraId="2761B513" w14:textId="66D68C03" w:rsidR="004D4420" w:rsidRDefault="005367BE" w:rsidP="00A06BE9">
      <w:pPr>
        <w:autoSpaceDE w:val="0"/>
        <w:autoSpaceDN w:val="0"/>
        <w:adjustRightInd w:val="0"/>
        <w:jc w:val="both"/>
        <w:rPr>
          <w:rFonts w:ascii="Arial" w:hAnsi="Arial" w:cs="Arial"/>
          <w:sz w:val="20"/>
        </w:rPr>
      </w:pPr>
      <w:r w:rsidRPr="00701F32">
        <w:rPr>
          <w:rFonts w:ascii="Arial" w:hAnsi="Arial" w:cs="Arial"/>
          <w:sz w:val="20"/>
        </w:rPr>
        <w:t xml:space="preserve">Resumidamente, el mecanismo de reexpresión de la NIC 29 establece que los activos y pasivos monetarios no serán reexpresados dado que ya se encuentran expresados en la unidad de medida corriente al cierre del </w:t>
      </w:r>
      <w:r w:rsidR="002316C2">
        <w:rPr>
          <w:rFonts w:ascii="Arial" w:hAnsi="Arial" w:cs="Arial"/>
          <w:sz w:val="20"/>
        </w:rPr>
        <w:t>ejercicio</w:t>
      </w:r>
      <w:r w:rsidR="00656DBB" w:rsidRPr="00701F32">
        <w:rPr>
          <w:rFonts w:ascii="Arial" w:hAnsi="Arial" w:cs="Arial"/>
          <w:sz w:val="20"/>
        </w:rPr>
        <w:t xml:space="preserve"> </w:t>
      </w:r>
      <w:r w:rsidRPr="00701F32">
        <w:rPr>
          <w:rFonts w:ascii="Arial" w:hAnsi="Arial" w:cs="Arial"/>
          <w:sz w:val="20"/>
        </w:rPr>
        <w:t xml:space="preserve">sobre el que se informa. Los activos y pasivos sujetos a ajustes en función a acuerdos específicos, se ajustarán en función a tales acuerdos. Las partidas no monetarias medidas a sus valores corrientes al final del </w:t>
      </w:r>
      <w:r w:rsidR="002316C2">
        <w:rPr>
          <w:rFonts w:ascii="Arial" w:hAnsi="Arial" w:cs="Arial"/>
          <w:sz w:val="20"/>
        </w:rPr>
        <w:t>ejercicio</w:t>
      </w:r>
      <w:r w:rsidR="00656DBB" w:rsidRPr="00701F32">
        <w:rPr>
          <w:rFonts w:ascii="Arial" w:hAnsi="Arial" w:cs="Arial"/>
          <w:sz w:val="20"/>
        </w:rPr>
        <w:t xml:space="preserve"> </w:t>
      </w:r>
      <w:r w:rsidRPr="00701F32">
        <w:rPr>
          <w:rFonts w:ascii="Arial" w:hAnsi="Arial" w:cs="Arial"/>
          <w:sz w:val="20"/>
        </w:rPr>
        <w:t xml:space="preserve">sobre el que se informa, tales como el valor neto de realización u otros, </w:t>
      </w:r>
      <w:r w:rsidR="00656DBB">
        <w:rPr>
          <w:rFonts w:ascii="Arial" w:hAnsi="Arial" w:cs="Arial"/>
          <w:sz w:val="20"/>
        </w:rPr>
        <w:t>serán reexpresadas</w:t>
      </w:r>
      <w:r w:rsidRPr="00701F32">
        <w:rPr>
          <w:rFonts w:ascii="Arial" w:hAnsi="Arial" w:cs="Arial"/>
          <w:sz w:val="20"/>
        </w:rPr>
        <w:t xml:space="preserve">. Los restantes activos y pasivos no monetarios serán reexpresados por un índice general de precios. La pérdida o ganancia por la posición monetaria neta, se incluirá en el resultado neto del </w:t>
      </w:r>
      <w:r w:rsidR="002316C2">
        <w:rPr>
          <w:rFonts w:ascii="Arial" w:hAnsi="Arial" w:cs="Arial"/>
          <w:sz w:val="20"/>
        </w:rPr>
        <w:t>ejercicio</w:t>
      </w:r>
      <w:r w:rsidR="00656DBB" w:rsidRPr="00701F32">
        <w:rPr>
          <w:rFonts w:ascii="Arial" w:hAnsi="Arial" w:cs="Arial"/>
          <w:sz w:val="20"/>
        </w:rPr>
        <w:t xml:space="preserve"> </w:t>
      </w:r>
      <w:r w:rsidRPr="00701F32">
        <w:rPr>
          <w:rFonts w:ascii="Arial" w:hAnsi="Arial" w:cs="Arial"/>
          <w:sz w:val="20"/>
        </w:rPr>
        <w:t>que se informa, revelando esta información en una partida separada.</w:t>
      </w:r>
    </w:p>
    <w:p w14:paraId="0A1ACADC" w14:textId="77777777" w:rsidR="00656DBB" w:rsidRDefault="00656DBB" w:rsidP="00A06BE9">
      <w:pPr>
        <w:autoSpaceDE w:val="0"/>
        <w:autoSpaceDN w:val="0"/>
        <w:adjustRightInd w:val="0"/>
        <w:jc w:val="both"/>
        <w:rPr>
          <w:rFonts w:ascii="Arial" w:hAnsi="Arial" w:cs="Arial"/>
          <w:sz w:val="20"/>
        </w:rPr>
      </w:pPr>
    </w:p>
    <w:p w14:paraId="3CFED439" w14:textId="1935E781" w:rsidR="00F63A9D" w:rsidRDefault="00BA2AE4" w:rsidP="00A06BE9">
      <w:pPr>
        <w:autoSpaceDE w:val="0"/>
        <w:autoSpaceDN w:val="0"/>
        <w:adjustRightInd w:val="0"/>
        <w:jc w:val="both"/>
        <w:rPr>
          <w:rFonts w:ascii="Arial" w:eastAsia="Arial" w:hAnsi="Arial" w:cs="Arial"/>
          <w:sz w:val="20"/>
        </w:rPr>
      </w:pPr>
      <w:r w:rsidRPr="00BA2AE4">
        <w:rPr>
          <w:rFonts w:ascii="Arial" w:eastAsia="Arial" w:hAnsi="Arial" w:cs="Arial"/>
          <w:sz w:val="20"/>
        </w:rPr>
        <w:t>Mediante la Comunicación “A” 6651, el B.C.R.A. estableció que las Entidades Financieras deberán comenzar a aplicar las disposiciones en materia de reexpresión por inflación de los estados financieros a partir de los ejercicios iniciados el 1 de enero de 2020. Por lo tanto, no se ha aplicado la NIC 29 en los presentes estados financieros</w:t>
      </w:r>
      <w:r>
        <w:rPr>
          <w:rFonts w:ascii="Arial" w:eastAsia="Arial" w:hAnsi="Arial" w:cs="Arial"/>
          <w:sz w:val="20"/>
        </w:rPr>
        <w:t xml:space="preserve"> </w:t>
      </w:r>
      <w:r w:rsidR="00415AF0">
        <w:rPr>
          <w:rFonts w:ascii="Arial" w:eastAsia="Arial" w:hAnsi="Arial" w:cs="Arial"/>
          <w:sz w:val="20"/>
        </w:rPr>
        <w:t xml:space="preserve">condensados </w:t>
      </w:r>
      <w:r w:rsidR="006423FF">
        <w:rPr>
          <w:rFonts w:ascii="Arial" w:eastAsia="Arial" w:hAnsi="Arial" w:cs="Arial"/>
          <w:sz w:val="20"/>
        </w:rPr>
        <w:t xml:space="preserve">intermedios </w:t>
      </w:r>
      <w:r>
        <w:rPr>
          <w:rFonts w:ascii="Arial" w:eastAsia="Arial" w:hAnsi="Arial" w:cs="Arial"/>
          <w:sz w:val="20"/>
        </w:rPr>
        <w:t>consolidados.</w:t>
      </w:r>
      <w:r w:rsidR="00656DBB" w:rsidRPr="00EA530F">
        <w:rPr>
          <w:rFonts w:ascii="Arial" w:eastAsia="Arial" w:hAnsi="Arial" w:cs="Arial"/>
          <w:sz w:val="20"/>
        </w:rPr>
        <w:t xml:space="preserve"> </w:t>
      </w:r>
    </w:p>
    <w:p w14:paraId="4EF62FF3" w14:textId="77777777" w:rsidR="00F63A9D" w:rsidRDefault="00F63A9D" w:rsidP="00A06BE9">
      <w:pPr>
        <w:autoSpaceDE w:val="0"/>
        <w:autoSpaceDN w:val="0"/>
        <w:adjustRightInd w:val="0"/>
        <w:jc w:val="both"/>
        <w:rPr>
          <w:rFonts w:ascii="Arial" w:eastAsia="Arial" w:hAnsi="Arial" w:cs="Arial"/>
          <w:sz w:val="20"/>
        </w:rPr>
      </w:pPr>
    </w:p>
    <w:p w14:paraId="40E516FD" w14:textId="7E140A64" w:rsidR="00656DBB" w:rsidRDefault="003D4ED0" w:rsidP="00A06BE9">
      <w:pPr>
        <w:autoSpaceDE w:val="0"/>
        <w:autoSpaceDN w:val="0"/>
        <w:adjustRightInd w:val="0"/>
        <w:jc w:val="both"/>
        <w:rPr>
          <w:rFonts w:ascii="Arial" w:eastAsia="Arial" w:hAnsi="Arial" w:cs="Arial"/>
          <w:sz w:val="20"/>
        </w:rPr>
      </w:pPr>
      <w:r w:rsidRPr="003D4ED0">
        <w:rPr>
          <w:rFonts w:ascii="Arial" w:eastAsia="Arial" w:hAnsi="Arial" w:cs="Arial"/>
          <w:sz w:val="20"/>
        </w:rPr>
        <w:t xml:space="preserve">La aplicación de la NIC 29 “Información Financiera en economías hiperinflacionarias” tiene efectos generalizados en los estados financieros consolidados, por lo que los saldos reportados se verían significativamente afectados, ascendiendo el patrimonio del </w:t>
      </w:r>
      <w:r>
        <w:rPr>
          <w:rFonts w:ascii="Arial" w:eastAsia="Arial" w:hAnsi="Arial" w:cs="Arial"/>
          <w:sz w:val="20"/>
        </w:rPr>
        <w:t>Banco</w:t>
      </w:r>
      <w:r w:rsidRPr="003D4ED0">
        <w:rPr>
          <w:rFonts w:ascii="Arial" w:eastAsia="Arial" w:hAnsi="Arial" w:cs="Arial"/>
          <w:sz w:val="20"/>
        </w:rPr>
        <w:t xml:space="preserve"> y sus resultados integrales al 3</w:t>
      </w:r>
      <w:r w:rsidR="00C63AFA">
        <w:rPr>
          <w:rFonts w:ascii="Arial" w:eastAsia="Arial" w:hAnsi="Arial" w:cs="Arial"/>
          <w:sz w:val="20"/>
        </w:rPr>
        <w:t>1</w:t>
      </w:r>
      <w:r w:rsidRPr="003D4ED0">
        <w:rPr>
          <w:rFonts w:ascii="Arial" w:eastAsia="Arial" w:hAnsi="Arial" w:cs="Arial"/>
          <w:sz w:val="20"/>
        </w:rPr>
        <w:t xml:space="preserve"> de </w:t>
      </w:r>
      <w:r w:rsidR="00C63AFA">
        <w:rPr>
          <w:rFonts w:ascii="Arial" w:eastAsia="Arial" w:hAnsi="Arial" w:cs="Arial"/>
          <w:sz w:val="20"/>
        </w:rPr>
        <w:t>diciembre</w:t>
      </w:r>
      <w:r w:rsidRPr="003D4ED0">
        <w:rPr>
          <w:rFonts w:ascii="Arial" w:eastAsia="Arial" w:hAnsi="Arial" w:cs="Arial"/>
          <w:sz w:val="20"/>
        </w:rPr>
        <w:t xml:space="preserve"> de 2019 aproximadamente a </w:t>
      </w:r>
      <w:r w:rsidRPr="006E1AF7">
        <w:rPr>
          <w:rFonts w:ascii="Arial" w:eastAsia="Arial" w:hAnsi="Arial" w:cs="Arial"/>
          <w:sz w:val="20"/>
        </w:rPr>
        <w:t>$</w:t>
      </w:r>
      <w:r w:rsidR="00685A91" w:rsidRPr="006E1AF7">
        <w:rPr>
          <w:rFonts w:ascii="Arial" w:eastAsia="Arial" w:hAnsi="Arial" w:cs="Arial"/>
          <w:sz w:val="20"/>
        </w:rPr>
        <w:t xml:space="preserve"> </w:t>
      </w:r>
      <w:r w:rsidR="00337E57" w:rsidRPr="00337E57">
        <w:rPr>
          <w:rFonts w:ascii="Arial" w:eastAsia="Arial" w:hAnsi="Arial" w:cs="Arial"/>
          <w:sz w:val="20"/>
        </w:rPr>
        <w:t>18.87</w:t>
      </w:r>
      <w:r w:rsidR="009D41E1">
        <w:rPr>
          <w:rFonts w:ascii="Arial" w:eastAsia="Arial" w:hAnsi="Arial" w:cs="Arial"/>
          <w:sz w:val="20"/>
        </w:rPr>
        <w:t>8 millones</w:t>
      </w:r>
      <w:r w:rsidRPr="006E1AF7">
        <w:rPr>
          <w:rFonts w:ascii="Arial" w:eastAsia="Arial" w:hAnsi="Arial" w:cs="Arial"/>
          <w:sz w:val="20"/>
        </w:rPr>
        <w:t xml:space="preserve"> y $ </w:t>
      </w:r>
      <w:r w:rsidR="00337E57" w:rsidRPr="00337E57">
        <w:rPr>
          <w:rFonts w:ascii="Arial" w:eastAsia="Arial" w:hAnsi="Arial" w:cs="Arial"/>
          <w:sz w:val="20"/>
        </w:rPr>
        <w:t>-2.557</w:t>
      </w:r>
      <w:r w:rsidR="009D41E1">
        <w:rPr>
          <w:rFonts w:ascii="Arial" w:eastAsia="Arial" w:hAnsi="Arial" w:cs="Arial"/>
          <w:sz w:val="20"/>
        </w:rPr>
        <w:t xml:space="preserve"> millones</w:t>
      </w:r>
      <w:r w:rsidRPr="003D4ED0">
        <w:rPr>
          <w:rFonts w:ascii="Arial" w:eastAsia="Arial" w:hAnsi="Arial" w:cs="Arial"/>
          <w:sz w:val="20"/>
        </w:rPr>
        <w:t>, respectivamente.</w:t>
      </w:r>
    </w:p>
    <w:p w14:paraId="79012356" w14:textId="77777777" w:rsidR="00656DBB" w:rsidRDefault="00656DBB" w:rsidP="00A06BE9">
      <w:pPr>
        <w:autoSpaceDE w:val="0"/>
        <w:autoSpaceDN w:val="0"/>
        <w:adjustRightInd w:val="0"/>
        <w:jc w:val="both"/>
        <w:rPr>
          <w:rFonts w:ascii="Arial" w:eastAsia="Arial" w:hAnsi="Arial" w:cs="Arial"/>
          <w:sz w:val="20"/>
        </w:rPr>
      </w:pPr>
    </w:p>
    <w:p w14:paraId="5FEFFDEB" w14:textId="1409B303" w:rsidR="00845893" w:rsidRDefault="00687576" w:rsidP="006E1AF7">
      <w:pPr>
        <w:jc w:val="both"/>
        <w:rPr>
          <w:rFonts w:ascii="Georgia" w:hAnsi="Georgia"/>
          <w:b/>
          <w:bCs/>
          <w:sz w:val="20"/>
        </w:rPr>
      </w:pPr>
      <w:r>
        <w:rPr>
          <w:rFonts w:ascii="Arial" w:eastAsia="Arial" w:hAnsi="Arial" w:cs="Arial"/>
          <w:b/>
          <w:bCs/>
          <w:sz w:val="20"/>
        </w:rPr>
        <w:t xml:space="preserve">1.1.b) </w:t>
      </w:r>
      <w:r w:rsidR="00845893">
        <w:rPr>
          <w:rFonts w:ascii="Arial" w:eastAsia="Arial" w:hAnsi="Arial" w:cs="Arial"/>
          <w:b/>
          <w:bCs/>
          <w:sz w:val="20"/>
        </w:rPr>
        <w:t>Modificaciones al marco contable establecido por el BCRA a efectuarse a partir del 1</w:t>
      </w:r>
      <w:r w:rsidR="00B1205B">
        <w:rPr>
          <w:rFonts w:ascii="Arial" w:eastAsia="Arial" w:hAnsi="Arial" w:cs="Arial"/>
          <w:b/>
          <w:bCs/>
          <w:sz w:val="20"/>
        </w:rPr>
        <w:t>/0</w:t>
      </w:r>
      <w:r w:rsidR="00845893">
        <w:rPr>
          <w:rFonts w:ascii="Arial" w:eastAsia="Arial" w:hAnsi="Arial" w:cs="Arial"/>
          <w:b/>
          <w:bCs/>
          <w:sz w:val="20"/>
        </w:rPr>
        <w:t>1</w:t>
      </w:r>
      <w:r w:rsidR="00B1205B">
        <w:rPr>
          <w:rFonts w:ascii="Arial" w:eastAsia="Arial" w:hAnsi="Arial" w:cs="Arial"/>
          <w:b/>
          <w:bCs/>
          <w:sz w:val="20"/>
        </w:rPr>
        <w:t>/</w:t>
      </w:r>
      <w:r w:rsidR="00845893">
        <w:rPr>
          <w:rFonts w:ascii="Arial" w:eastAsia="Arial" w:hAnsi="Arial" w:cs="Arial"/>
          <w:b/>
          <w:bCs/>
          <w:sz w:val="20"/>
        </w:rPr>
        <w:t>2020</w:t>
      </w:r>
    </w:p>
    <w:p w14:paraId="14ECFF29" w14:textId="77777777" w:rsidR="00845893" w:rsidRDefault="00845893" w:rsidP="00845893">
      <w:pPr>
        <w:rPr>
          <w:rFonts w:ascii="Georgia" w:hAnsi="Georgia"/>
          <w:b/>
          <w:bCs/>
          <w:sz w:val="20"/>
        </w:rPr>
      </w:pPr>
    </w:p>
    <w:p w14:paraId="630572C0" w14:textId="04A34115" w:rsidR="00845893" w:rsidRDefault="00845893" w:rsidP="006E1AF7">
      <w:pPr>
        <w:jc w:val="both"/>
        <w:rPr>
          <w:rFonts w:ascii="Arial" w:eastAsia="Arial" w:hAnsi="Arial" w:cs="Arial"/>
          <w:sz w:val="20"/>
        </w:rPr>
      </w:pPr>
      <w:r>
        <w:rPr>
          <w:rFonts w:ascii="Arial" w:eastAsia="Arial" w:hAnsi="Arial" w:cs="Arial"/>
          <w:sz w:val="20"/>
        </w:rPr>
        <w:t>La Comunicación “A” 6651</w:t>
      </w:r>
      <w:r>
        <w:rPr>
          <w:rFonts w:ascii="Georgia" w:hAnsi="Georgia"/>
          <w:sz w:val="20"/>
        </w:rPr>
        <w:t xml:space="preserve"> </w:t>
      </w:r>
      <w:r>
        <w:rPr>
          <w:rFonts w:ascii="Arial" w:eastAsia="Arial" w:hAnsi="Arial" w:cs="Arial"/>
          <w:sz w:val="20"/>
        </w:rPr>
        <w:t xml:space="preserve">estableció que las Entidades Financieras deberán comenzar a aplicar las disposiciones en materia de reexpresión por inflación de los estados financieros a partir de los ejercicios iniciados el 1 de enero de 2020. La Comunicación “A” 6849 incluyó los lineamientos para aplicar el procedimiento de reexpresión de estados financieros establecido por la NIC 29, incluyendo el procedimiento para la reexpresión de los estados financieros comparativos. El impacto generado por la aplicación de esta normativa se encuentra descripto en </w:t>
      </w:r>
      <w:r w:rsidR="009C31AD">
        <w:rPr>
          <w:rFonts w:ascii="Arial" w:eastAsia="Arial" w:hAnsi="Arial" w:cs="Arial"/>
          <w:sz w:val="20"/>
        </w:rPr>
        <w:t>la nota 1.1.a)(i)</w:t>
      </w:r>
      <w:r>
        <w:rPr>
          <w:rFonts w:ascii="Arial" w:eastAsia="Arial" w:hAnsi="Arial" w:cs="Arial"/>
          <w:sz w:val="20"/>
        </w:rPr>
        <w:t>.</w:t>
      </w:r>
    </w:p>
    <w:p w14:paraId="63102C0E" w14:textId="77777777" w:rsidR="00845893" w:rsidRDefault="00845893" w:rsidP="006E1AF7">
      <w:pPr>
        <w:jc w:val="both"/>
        <w:rPr>
          <w:rFonts w:ascii="Arial" w:eastAsia="Arial" w:hAnsi="Arial" w:cs="Arial"/>
          <w:sz w:val="20"/>
        </w:rPr>
      </w:pPr>
    </w:p>
    <w:p w14:paraId="7E76FC09" w14:textId="42542091" w:rsidR="00845893" w:rsidRDefault="00845893" w:rsidP="006E1AF7">
      <w:pPr>
        <w:jc w:val="both"/>
        <w:rPr>
          <w:rFonts w:ascii="Arial" w:eastAsia="Arial" w:hAnsi="Arial" w:cs="Arial"/>
          <w:sz w:val="20"/>
        </w:rPr>
      </w:pPr>
      <w:r>
        <w:rPr>
          <w:rFonts w:ascii="Arial" w:eastAsia="Arial" w:hAnsi="Arial" w:cs="Arial"/>
          <w:sz w:val="20"/>
        </w:rPr>
        <w:t>Adicionalmente la Comunicación “A” 6430 estableció que deberán comenzar a aplicarse las disposiciones en materia de Deterioro de Activos Financiero</w:t>
      </w:r>
      <w:r w:rsidR="009C31AD">
        <w:rPr>
          <w:rFonts w:ascii="Arial" w:eastAsia="Arial" w:hAnsi="Arial" w:cs="Arial"/>
          <w:sz w:val="20"/>
        </w:rPr>
        <w:t>s</w:t>
      </w:r>
      <w:r>
        <w:rPr>
          <w:rFonts w:ascii="Arial" w:eastAsia="Arial" w:hAnsi="Arial" w:cs="Arial"/>
          <w:sz w:val="20"/>
        </w:rPr>
        <w:t xml:space="preserve"> contenidas en el punto 5.5 de la NIIF 9 a partir de los ejercicios iniciados el 01.01.2020. Posteriormente la Comunicación “A” 6778 estableció que las entidades del Grupo “B” podrán prorratear en 5 años el impacto que genere la aplicación de dicha norma, mientras que las entidades del Grupo “A” no contarán con dicha dispensa. La Comunicación “A” 6847 dispuso que los instrumentos de deuda del Sector Público No Financiero serán excluidos transitoriamente del alcance de aplicación de la NIIF 9, por lo que no serán alcanzados por las disposiciones en materia de deterioro de activos financiero</w:t>
      </w:r>
      <w:r w:rsidR="009C31AD">
        <w:rPr>
          <w:rFonts w:ascii="Arial" w:eastAsia="Arial" w:hAnsi="Arial" w:cs="Arial"/>
          <w:sz w:val="20"/>
        </w:rPr>
        <w:t>s</w:t>
      </w:r>
      <w:r>
        <w:rPr>
          <w:rFonts w:ascii="Arial" w:eastAsia="Arial" w:hAnsi="Arial" w:cs="Arial"/>
          <w:sz w:val="20"/>
        </w:rPr>
        <w:t>. Adicionalmente se estableció que se permitirá que al 01/01/2020 las entidades financieras recategoricen los instrumentos correspondientes al sector público no financiero que se encuentren medidos a valor razonable con cambios en resultados y a valor razonable con cambios en ORI al criterio de costo amortizado, utilizando como valor de incorporación el valor contable a dicha fecha. Respecto de los instrumentos para los cuales se haya ejercido esta opción, se interrumpirá el devengamiento de intereses y accesorios en la medida en que el valor contable esté por encima de su valor razonable.</w:t>
      </w:r>
    </w:p>
    <w:p w14:paraId="35AFD523" w14:textId="77777777" w:rsidR="00845893" w:rsidRDefault="00845893" w:rsidP="006E1AF7">
      <w:pPr>
        <w:jc w:val="both"/>
        <w:rPr>
          <w:rFonts w:ascii="Arial" w:eastAsia="Arial" w:hAnsi="Arial" w:cs="Arial"/>
          <w:sz w:val="20"/>
        </w:rPr>
      </w:pPr>
    </w:p>
    <w:p w14:paraId="359080E6" w14:textId="4815CC74" w:rsidR="00845893" w:rsidRDefault="00845893" w:rsidP="006E1AF7">
      <w:pPr>
        <w:jc w:val="both"/>
        <w:rPr>
          <w:rFonts w:ascii="Arial" w:eastAsia="Arial" w:hAnsi="Arial" w:cs="Arial"/>
          <w:sz w:val="20"/>
        </w:rPr>
      </w:pPr>
      <w:r>
        <w:rPr>
          <w:rFonts w:ascii="Arial" w:eastAsia="Arial" w:hAnsi="Arial" w:cs="Arial"/>
          <w:sz w:val="20"/>
        </w:rPr>
        <w:t xml:space="preserve">De aplicarse el modelo de deterioro previsto en el </w:t>
      </w:r>
      <w:r w:rsidR="009C31AD">
        <w:rPr>
          <w:rFonts w:ascii="Arial" w:eastAsia="Arial" w:hAnsi="Arial" w:cs="Arial"/>
          <w:sz w:val="20"/>
        </w:rPr>
        <w:t xml:space="preserve">nuevo </w:t>
      </w:r>
      <w:r>
        <w:rPr>
          <w:rFonts w:ascii="Arial" w:eastAsia="Arial" w:hAnsi="Arial" w:cs="Arial"/>
          <w:sz w:val="20"/>
        </w:rPr>
        <w:t xml:space="preserve">marco contable establecido por el BCRA, se hubiese registrado una disminución del patrimonio neto de la Entidad al 31 de diciembre de 2019 y una disminución de sus resultados de </w:t>
      </w:r>
      <w:r w:rsidRPr="009D41E1">
        <w:rPr>
          <w:rFonts w:ascii="Arial" w:eastAsia="Arial" w:hAnsi="Arial" w:cs="Arial"/>
          <w:sz w:val="20"/>
        </w:rPr>
        <w:t xml:space="preserve">aproximadamente </w:t>
      </w:r>
      <w:r w:rsidRPr="006E1AF7">
        <w:rPr>
          <w:rFonts w:ascii="Arial" w:eastAsia="Arial" w:hAnsi="Arial" w:cs="Arial"/>
          <w:sz w:val="20"/>
        </w:rPr>
        <w:t>$</w:t>
      </w:r>
      <w:r w:rsidR="009D41E1" w:rsidRPr="006E1AF7">
        <w:rPr>
          <w:rFonts w:ascii="Arial" w:eastAsia="Arial" w:hAnsi="Arial" w:cs="Arial"/>
          <w:sz w:val="20"/>
        </w:rPr>
        <w:t xml:space="preserve"> 75</w:t>
      </w:r>
      <w:r w:rsidRPr="006E1AF7">
        <w:rPr>
          <w:rFonts w:ascii="Arial" w:eastAsia="Arial" w:hAnsi="Arial" w:cs="Arial"/>
          <w:sz w:val="20"/>
        </w:rPr>
        <w:t xml:space="preserve"> millones</w:t>
      </w:r>
      <w:r>
        <w:rPr>
          <w:rFonts w:ascii="Arial" w:eastAsia="Arial" w:hAnsi="Arial" w:cs="Arial"/>
          <w:sz w:val="20"/>
        </w:rPr>
        <w:t>.</w:t>
      </w:r>
    </w:p>
    <w:p w14:paraId="03ADC196" w14:textId="77777777" w:rsidR="00845893" w:rsidRDefault="00845893" w:rsidP="006E1AF7">
      <w:pPr>
        <w:jc w:val="both"/>
        <w:rPr>
          <w:rFonts w:ascii="Arial" w:eastAsia="Arial" w:hAnsi="Arial" w:cs="Arial"/>
          <w:sz w:val="20"/>
        </w:rPr>
      </w:pPr>
    </w:p>
    <w:p w14:paraId="3BE85CA7" w14:textId="77777777" w:rsidR="00845893" w:rsidRDefault="00845893" w:rsidP="006E1AF7">
      <w:pPr>
        <w:jc w:val="both"/>
        <w:rPr>
          <w:rFonts w:ascii="Arial" w:eastAsia="Arial" w:hAnsi="Arial" w:cs="Arial"/>
          <w:sz w:val="20"/>
        </w:rPr>
      </w:pPr>
      <w:r>
        <w:rPr>
          <w:rFonts w:ascii="Arial" w:eastAsia="Arial" w:hAnsi="Arial" w:cs="Arial"/>
          <w:sz w:val="20"/>
        </w:rPr>
        <w:t xml:space="preserve">Asimismo la Comunicación “A” 6851 aclaró que las normas sobre "Previsiones mínimas por riesgo de incobrabilidad" mantendrán un alcance "regulatorio", sin perjuicio de que los estados contables de las entidades financieras se ajustarán a las Normas Internacionales de Información Financiera (NIIF).Transitoriamente, las entidades financieras deberán deducir de su responsabilidad patrimonial computable (RPC) la diferencia positiva entre la previsión "regulatoria" calculada según las normas sobre "Previsiones mínimas por riesgo de incobrabilidad" o la contable correspondiente al último ejercicio cerrado al momento de difusión de esta comunicación </w:t>
      </w:r>
      <w:r>
        <w:rPr>
          <w:rFonts w:ascii="Arial" w:eastAsia="Arial" w:hAnsi="Arial" w:cs="Arial"/>
          <w:sz w:val="20"/>
        </w:rPr>
        <w:softHyphen/>
        <w:t>la mayor de ambas</w:t>
      </w:r>
      <w:r>
        <w:rPr>
          <w:rFonts w:ascii="Arial" w:eastAsia="Arial" w:hAnsi="Arial" w:cs="Arial"/>
          <w:sz w:val="20"/>
        </w:rPr>
        <w:softHyphen/>
        <w:t>, y la nueva previsión contable computada según el punto 5.5. de la NIIF 9. A efectos del recálculo de la posición de capital mínimo prevista en la Sección 3. de las normas sobre "Distribución de resultados", las entidades financieras del Grupo "B" deberán aplicar plenamente el punto 5.5. de la NIIF 9.</w:t>
      </w:r>
    </w:p>
    <w:p w14:paraId="31941A08" w14:textId="77777777" w:rsidR="00845893" w:rsidRDefault="00845893" w:rsidP="00656DBB">
      <w:pPr>
        <w:spacing w:after="160" w:line="259" w:lineRule="auto"/>
        <w:jc w:val="both"/>
        <w:rPr>
          <w:rFonts w:ascii="Arial" w:eastAsia="Arial" w:hAnsi="Arial" w:cs="Arial"/>
          <w:b/>
          <w:sz w:val="20"/>
        </w:rPr>
      </w:pPr>
    </w:p>
    <w:p w14:paraId="4160143F" w14:textId="59DDEB2E" w:rsidR="00656DBB" w:rsidRPr="001C5FFE" w:rsidRDefault="00656DBB" w:rsidP="00656DBB">
      <w:pPr>
        <w:spacing w:after="160" w:line="259" w:lineRule="auto"/>
        <w:jc w:val="both"/>
        <w:rPr>
          <w:rFonts w:ascii="Arial" w:eastAsia="Arial" w:hAnsi="Arial" w:cs="Arial"/>
          <w:b/>
          <w:sz w:val="20"/>
        </w:rPr>
      </w:pPr>
      <w:r w:rsidRPr="00701F32">
        <w:rPr>
          <w:rFonts w:ascii="Arial" w:eastAsia="Arial" w:hAnsi="Arial" w:cs="Arial"/>
          <w:b/>
          <w:sz w:val="20"/>
        </w:rPr>
        <w:t xml:space="preserve">1.2 Bases de preparación </w:t>
      </w:r>
    </w:p>
    <w:p w14:paraId="4959ECCB" w14:textId="17B84F71" w:rsidR="00C63AFA" w:rsidRPr="001C5FFE" w:rsidRDefault="00C63AFA" w:rsidP="00C63AFA">
      <w:pPr>
        <w:spacing w:after="160" w:line="259" w:lineRule="auto"/>
        <w:jc w:val="both"/>
        <w:rPr>
          <w:rFonts w:ascii="Arial" w:eastAsia="Arial" w:hAnsi="Arial" w:cs="Arial"/>
          <w:sz w:val="20"/>
        </w:rPr>
      </w:pPr>
      <w:r w:rsidRPr="001C5FFE">
        <w:rPr>
          <w:rFonts w:ascii="Arial" w:eastAsia="Arial" w:hAnsi="Arial" w:cs="Arial"/>
          <w:sz w:val="20"/>
        </w:rPr>
        <w:t>Los presentes estados financieros consolidados han sido preparados de acuerdo con el Marco Contable establecido por el B.C.R.A. descripto en la Nota 1.1</w:t>
      </w:r>
      <w:r w:rsidR="009C31AD">
        <w:rPr>
          <w:rFonts w:ascii="Arial" w:eastAsia="Arial" w:hAnsi="Arial" w:cs="Arial"/>
          <w:sz w:val="20"/>
        </w:rPr>
        <w:t>.a)</w:t>
      </w:r>
      <w:r w:rsidRPr="001C5FFE">
        <w:rPr>
          <w:rFonts w:ascii="Arial" w:eastAsia="Arial" w:hAnsi="Arial" w:cs="Arial"/>
          <w:sz w:val="20"/>
        </w:rPr>
        <w:t>.</w:t>
      </w:r>
    </w:p>
    <w:p w14:paraId="19DDFA78" w14:textId="77777777" w:rsidR="00C63AFA" w:rsidRPr="00701F32" w:rsidRDefault="00C63AFA" w:rsidP="00C63AFA">
      <w:pPr>
        <w:spacing w:after="160" w:line="259" w:lineRule="auto"/>
        <w:jc w:val="both"/>
        <w:rPr>
          <w:rFonts w:ascii="Arial" w:eastAsia="Arial" w:hAnsi="Arial" w:cs="Arial"/>
          <w:sz w:val="20"/>
        </w:rPr>
      </w:pPr>
      <w:r w:rsidRPr="001C5FFE">
        <w:rPr>
          <w:rFonts w:ascii="Arial" w:eastAsia="Arial" w:hAnsi="Arial" w:cs="Arial"/>
          <w:sz w:val="20"/>
        </w:rPr>
        <w:t xml:space="preserve">La preparación de estos estados financieros </w:t>
      </w:r>
      <w:r w:rsidRPr="00701F32">
        <w:rPr>
          <w:rFonts w:ascii="Arial" w:eastAsia="Arial" w:hAnsi="Arial" w:cs="Arial"/>
          <w:sz w:val="20"/>
        </w:rPr>
        <w:t>consolidados, requiere que se realicen estimaciones y evaluaciones que afectan el monto de los activos y pasivos registrados, y de los activos y pasivos contingentes revelados a la fecha de emisión de los presentes estados financieros consolidados, como así también los ingresos y egresos registrados.</w:t>
      </w:r>
    </w:p>
    <w:p w14:paraId="73DE9572" w14:textId="77777777" w:rsidR="00C63AFA" w:rsidRPr="00701F32" w:rsidRDefault="00C63AFA" w:rsidP="00C63AFA">
      <w:pPr>
        <w:spacing w:after="160" w:line="259" w:lineRule="auto"/>
        <w:jc w:val="both"/>
        <w:rPr>
          <w:rFonts w:ascii="Arial" w:eastAsia="Arial" w:hAnsi="Arial" w:cs="Arial"/>
          <w:sz w:val="20"/>
        </w:rPr>
      </w:pPr>
      <w:r w:rsidRPr="00701F32">
        <w:rPr>
          <w:rFonts w:ascii="Arial" w:eastAsia="Arial" w:hAnsi="Arial" w:cs="Arial"/>
          <w:sz w:val="20"/>
        </w:rPr>
        <w:t>La Entidad realiza estimaciones para calcular, entre otras, las previsiones para incobrables, las vidas útiles de los bienes de propiedad, planta y equipo, las depreciaciones y amortizaciones, el valor recuperable de los activos, el cargo por impuesto a las ganancias, algunos cargos y pasivos laborales y las previsiones por contingencias, juicios laborales, civiles y comerciales. Los resultados reales futuros pueden diferir de las estimaciones y evaluaciones realizadas a la fecha de preparación de los presentes estados financieros consolidados.</w:t>
      </w:r>
    </w:p>
    <w:p w14:paraId="33326E82" w14:textId="61DFA100" w:rsidR="00656DBB" w:rsidRPr="00701F32" w:rsidRDefault="00C63AFA" w:rsidP="00C63AFA">
      <w:pPr>
        <w:spacing w:after="160" w:line="259" w:lineRule="auto"/>
        <w:jc w:val="both"/>
        <w:rPr>
          <w:rFonts w:ascii="Arial" w:eastAsia="Arial" w:hAnsi="Arial" w:cs="Arial"/>
          <w:sz w:val="20"/>
        </w:rPr>
      </w:pPr>
      <w:r w:rsidRPr="00701F32">
        <w:rPr>
          <w:rFonts w:ascii="Arial" w:eastAsia="Arial" w:hAnsi="Arial" w:cs="Arial"/>
          <w:sz w:val="20"/>
        </w:rPr>
        <w:t xml:space="preserve">Las áreas que involucran un mayor grado de juicio o complejidad o áreas en las que los supuestos y estimaciones son significativos para los estados financieros consolidados se describen en la Nota </w:t>
      </w:r>
      <w:r w:rsidR="00013812">
        <w:rPr>
          <w:rFonts w:ascii="Arial" w:eastAsia="Arial" w:hAnsi="Arial" w:cs="Arial"/>
          <w:sz w:val="20"/>
        </w:rPr>
        <w:t>2</w:t>
      </w:r>
      <w:r w:rsidRPr="00701F32">
        <w:rPr>
          <w:rFonts w:ascii="Arial" w:eastAsia="Arial" w:hAnsi="Arial" w:cs="Arial"/>
          <w:sz w:val="20"/>
        </w:rPr>
        <w:t>.</w:t>
      </w:r>
    </w:p>
    <w:p w14:paraId="30C645E6" w14:textId="77777777" w:rsidR="00656DBB" w:rsidRPr="00D128E8" w:rsidRDefault="00656DBB" w:rsidP="00627289">
      <w:pPr>
        <w:numPr>
          <w:ilvl w:val="0"/>
          <w:numId w:val="27"/>
        </w:numPr>
        <w:spacing w:after="160" w:line="259" w:lineRule="auto"/>
        <w:jc w:val="both"/>
        <w:rPr>
          <w:rFonts w:ascii="Arial" w:eastAsia="Arial" w:hAnsi="Arial" w:cs="Arial"/>
          <w:b/>
          <w:sz w:val="20"/>
        </w:rPr>
      </w:pPr>
      <w:r w:rsidRPr="00D128E8">
        <w:rPr>
          <w:rFonts w:ascii="Arial" w:eastAsia="Arial" w:hAnsi="Arial" w:cs="Arial"/>
          <w:b/>
          <w:sz w:val="20"/>
        </w:rPr>
        <w:t xml:space="preserve">Empresa en marcha </w:t>
      </w:r>
    </w:p>
    <w:p w14:paraId="417445C5" w14:textId="489E61A0" w:rsidR="00656DBB" w:rsidRPr="00701F32" w:rsidRDefault="00656DBB" w:rsidP="00656DBB">
      <w:pPr>
        <w:spacing w:after="160" w:line="259" w:lineRule="auto"/>
        <w:jc w:val="both"/>
        <w:rPr>
          <w:rFonts w:ascii="Arial" w:eastAsia="Arial" w:hAnsi="Arial" w:cs="Arial"/>
          <w:sz w:val="20"/>
        </w:rPr>
      </w:pPr>
      <w:r w:rsidRPr="00701F32">
        <w:rPr>
          <w:rFonts w:ascii="Arial" w:eastAsia="Arial" w:hAnsi="Arial" w:cs="Arial"/>
          <w:sz w:val="20"/>
        </w:rPr>
        <w:t xml:space="preserve">A la fecha de los presentes estados financieros </w:t>
      </w:r>
      <w:r w:rsidR="006423FF" w:rsidRPr="00701F32">
        <w:rPr>
          <w:rFonts w:ascii="Arial" w:eastAsia="Arial" w:hAnsi="Arial" w:cs="Arial"/>
          <w:sz w:val="20"/>
        </w:rPr>
        <w:t>consolidados</w:t>
      </w:r>
      <w:r w:rsidRPr="00701F32">
        <w:rPr>
          <w:rFonts w:ascii="Arial" w:eastAsia="Arial" w:hAnsi="Arial" w:cs="Arial"/>
          <w:sz w:val="20"/>
        </w:rPr>
        <w:t>, no existen incertidumbres respecto a sucesos o condiciones que puedan aportar dudas sobre la posibilidad de que la Entidad siga operando normalmente como empresa en marcha.</w:t>
      </w:r>
    </w:p>
    <w:p w14:paraId="73B1621D" w14:textId="46A6EFC6" w:rsidR="00656DBB" w:rsidRPr="00A74D2F" w:rsidRDefault="00656DBB" w:rsidP="00627289">
      <w:pPr>
        <w:numPr>
          <w:ilvl w:val="0"/>
          <w:numId w:val="27"/>
        </w:numPr>
        <w:spacing w:after="160" w:line="259" w:lineRule="auto"/>
        <w:contextualSpacing/>
        <w:jc w:val="both"/>
        <w:rPr>
          <w:rFonts w:ascii="Arial" w:hAnsi="Arial" w:cs="Arial"/>
          <w:sz w:val="20"/>
        </w:rPr>
      </w:pPr>
      <w:r w:rsidRPr="00701F32">
        <w:rPr>
          <w:rFonts w:ascii="Arial" w:eastAsia="Arial" w:hAnsi="Arial" w:cs="Arial"/>
          <w:b/>
          <w:sz w:val="20"/>
        </w:rPr>
        <w:t>Unidad de medida</w:t>
      </w:r>
    </w:p>
    <w:p w14:paraId="5BD15A76" w14:textId="4E433542" w:rsidR="00A74D2F" w:rsidRDefault="00A74D2F" w:rsidP="00656DBB">
      <w:pPr>
        <w:autoSpaceDE w:val="0"/>
        <w:autoSpaceDN w:val="0"/>
        <w:adjustRightInd w:val="0"/>
        <w:jc w:val="both"/>
        <w:rPr>
          <w:rFonts w:ascii="Arial" w:hAnsi="Arial" w:cs="Arial"/>
          <w:sz w:val="20"/>
        </w:rPr>
      </w:pPr>
    </w:p>
    <w:p w14:paraId="770DE758" w14:textId="7EB4C95F" w:rsidR="00656DBB" w:rsidRPr="00D43DDF" w:rsidRDefault="00656DBB" w:rsidP="00656DBB">
      <w:pPr>
        <w:autoSpaceDE w:val="0"/>
        <w:autoSpaceDN w:val="0"/>
        <w:adjustRightInd w:val="0"/>
        <w:jc w:val="both"/>
        <w:rPr>
          <w:rFonts w:ascii="Arial" w:hAnsi="Arial" w:cs="Arial"/>
          <w:sz w:val="20"/>
        </w:rPr>
      </w:pPr>
      <w:r w:rsidRPr="00D43DDF">
        <w:rPr>
          <w:rFonts w:ascii="Arial" w:hAnsi="Arial" w:cs="Arial"/>
          <w:sz w:val="20"/>
        </w:rPr>
        <w:t xml:space="preserve">Los estados financieros </w:t>
      </w:r>
      <w:r w:rsidR="006423FF" w:rsidRPr="00D43DDF">
        <w:rPr>
          <w:rFonts w:ascii="Arial" w:hAnsi="Arial" w:cs="Arial"/>
          <w:sz w:val="20"/>
        </w:rPr>
        <w:t xml:space="preserve">consolidados </w:t>
      </w:r>
      <w:r w:rsidRPr="00D43DDF">
        <w:rPr>
          <w:rFonts w:ascii="Arial" w:hAnsi="Arial" w:cs="Arial"/>
          <w:sz w:val="20"/>
        </w:rPr>
        <w:t xml:space="preserve">de la Entidad </w:t>
      </w:r>
      <w:r w:rsidRPr="00EA530F">
        <w:rPr>
          <w:rFonts w:ascii="Arial" w:hAnsi="Arial" w:cs="Arial"/>
          <w:sz w:val="20"/>
        </w:rPr>
        <w:t>reconocen las variaciones en el poder adquisitivo de la moneda hasta el 28 de febrero de 2003, habiéndose discontinuado el ajuste por inflación, a partir de esa fecha, de acuerdo a lo requerido por la Comunicación “A” 3921 del B.C.R.A.</w:t>
      </w:r>
      <w:r w:rsidR="00853FA5">
        <w:rPr>
          <w:rFonts w:ascii="Arial" w:hAnsi="Arial" w:cs="Arial"/>
          <w:sz w:val="20"/>
        </w:rPr>
        <w:t xml:space="preserve"> teniendo en cuenta las consideraciones</w:t>
      </w:r>
      <w:r w:rsidR="00497DA1">
        <w:rPr>
          <w:rFonts w:ascii="Arial" w:hAnsi="Arial" w:cs="Arial"/>
          <w:sz w:val="20"/>
        </w:rPr>
        <w:t xml:space="preserve"> realizadas e</w:t>
      </w:r>
      <w:r w:rsidR="005C5B45">
        <w:rPr>
          <w:rFonts w:ascii="Arial" w:hAnsi="Arial" w:cs="Arial"/>
          <w:sz w:val="20"/>
        </w:rPr>
        <w:t>n</w:t>
      </w:r>
      <w:r w:rsidR="00497DA1">
        <w:rPr>
          <w:rFonts w:ascii="Arial" w:hAnsi="Arial" w:cs="Arial"/>
          <w:sz w:val="20"/>
        </w:rPr>
        <w:t xml:space="preserve"> </w:t>
      </w:r>
      <w:r w:rsidR="005C5B45">
        <w:rPr>
          <w:rFonts w:ascii="Arial" w:hAnsi="Arial" w:cs="Arial"/>
          <w:sz w:val="20"/>
        </w:rPr>
        <w:t>l</w:t>
      </w:r>
      <w:r w:rsidR="00497DA1">
        <w:rPr>
          <w:rFonts w:ascii="Arial" w:hAnsi="Arial" w:cs="Arial"/>
          <w:sz w:val="20"/>
        </w:rPr>
        <w:t xml:space="preserve">a </w:t>
      </w:r>
      <w:r w:rsidR="009B0929">
        <w:rPr>
          <w:rFonts w:ascii="Arial" w:hAnsi="Arial" w:cs="Arial"/>
          <w:sz w:val="20"/>
        </w:rPr>
        <w:t>N</w:t>
      </w:r>
      <w:r w:rsidR="00497DA1">
        <w:rPr>
          <w:rFonts w:ascii="Arial" w:hAnsi="Arial" w:cs="Arial"/>
          <w:sz w:val="20"/>
        </w:rPr>
        <w:t>ota 1.1</w:t>
      </w:r>
      <w:r w:rsidR="009C31AD">
        <w:rPr>
          <w:rFonts w:ascii="Arial" w:hAnsi="Arial" w:cs="Arial"/>
          <w:sz w:val="20"/>
        </w:rPr>
        <w:t>.a) (ii)</w:t>
      </w:r>
      <w:r w:rsidRPr="00D43DDF">
        <w:rPr>
          <w:rFonts w:ascii="Arial" w:hAnsi="Arial" w:cs="Arial"/>
          <w:sz w:val="20"/>
        </w:rPr>
        <w:t>.</w:t>
      </w:r>
    </w:p>
    <w:p w14:paraId="184806D9" w14:textId="77777777" w:rsidR="004853C0" w:rsidRDefault="004853C0" w:rsidP="00A06BE9">
      <w:pPr>
        <w:autoSpaceDE w:val="0"/>
        <w:autoSpaceDN w:val="0"/>
        <w:adjustRightInd w:val="0"/>
        <w:jc w:val="both"/>
        <w:rPr>
          <w:rFonts w:ascii="Arial" w:hAnsi="Arial" w:cs="Arial"/>
          <w:sz w:val="20"/>
        </w:rPr>
      </w:pPr>
    </w:p>
    <w:p w14:paraId="505A83BB" w14:textId="6C45AC79" w:rsidR="009F709A" w:rsidRPr="00534414" w:rsidRDefault="009F709A" w:rsidP="00627289">
      <w:pPr>
        <w:pStyle w:val="Prrafodelista"/>
        <w:numPr>
          <w:ilvl w:val="0"/>
          <w:numId w:val="27"/>
        </w:numPr>
        <w:autoSpaceDE w:val="0"/>
        <w:autoSpaceDN w:val="0"/>
        <w:adjustRightInd w:val="0"/>
        <w:jc w:val="both"/>
        <w:rPr>
          <w:rFonts w:ascii="Arial" w:hAnsi="Arial" w:cs="Arial"/>
          <w:b/>
          <w:sz w:val="20"/>
        </w:rPr>
      </w:pPr>
      <w:r w:rsidRPr="00534414">
        <w:rPr>
          <w:rFonts w:ascii="Arial" w:hAnsi="Arial" w:cs="Arial"/>
          <w:b/>
          <w:sz w:val="20"/>
        </w:rPr>
        <w:t>Nuevas normas contables, modificaciones e interpretaciones emitidas por el IASB que han sido adoptadas por el Banco</w:t>
      </w:r>
    </w:p>
    <w:p w14:paraId="15E1A1BC" w14:textId="77777777" w:rsidR="009F709A" w:rsidRPr="00534414" w:rsidRDefault="009F709A">
      <w:pPr>
        <w:autoSpaceDE w:val="0"/>
        <w:autoSpaceDN w:val="0"/>
        <w:adjustRightInd w:val="0"/>
        <w:jc w:val="both"/>
        <w:rPr>
          <w:rFonts w:ascii="Arial" w:hAnsi="Arial" w:cs="Arial"/>
          <w:sz w:val="20"/>
        </w:rPr>
      </w:pPr>
    </w:p>
    <w:p w14:paraId="3B7C85AF" w14:textId="1F4F5249" w:rsidR="009F709A" w:rsidRDefault="009F709A" w:rsidP="009F709A">
      <w:pPr>
        <w:autoSpaceDE w:val="0"/>
        <w:autoSpaceDN w:val="0"/>
        <w:adjustRightInd w:val="0"/>
        <w:jc w:val="both"/>
        <w:rPr>
          <w:rFonts w:ascii="Arial" w:hAnsi="Arial" w:cs="Arial"/>
          <w:sz w:val="20"/>
        </w:rPr>
      </w:pPr>
      <w:r w:rsidRPr="009F709A">
        <w:rPr>
          <w:rFonts w:ascii="Arial" w:hAnsi="Arial" w:cs="Arial"/>
          <w:sz w:val="20"/>
        </w:rPr>
        <w:t xml:space="preserve">El </w:t>
      </w:r>
      <w:r>
        <w:rPr>
          <w:rFonts w:ascii="Arial" w:hAnsi="Arial" w:cs="Arial"/>
          <w:sz w:val="20"/>
        </w:rPr>
        <w:t>Banco</w:t>
      </w:r>
      <w:r w:rsidRPr="009F709A">
        <w:rPr>
          <w:rFonts w:ascii="Arial" w:hAnsi="Arial" w:cs="Arial"/>
          <w:sz w:val="20"/>
        </w:rPr>
        <w:t xml:space="preserve"> ha aplicado la siguiente norma por primera vez a partir del 1 de enero de 2019:</w:t>
      </w:r>
    </w:p>
    <w:p w14:paraId="41147E2E" w14:textId="77777777" w:rsidR="009F709A" w:rsidRPr="009F709A" w:rsidRDefault="009F709A" w:rsidP="009F709A">
      <w:pPr>
        <w:autoSpaceDE w:val="0"/>
        <w:autoSpaceDN w:val="0"/>
        <w:adjustRightInd w:val="0"/>
        <w:jc w:val="both"/>
        <w:rPr>
          <w:rFonts w:ascii="Arial" w:hAnsi="Arial" w:cs="Arial"/>
          <w:sz w:val="20"/>
        </w:rPr>
      </w:pPr>
    </w:p>
    <w:p w14:paraId="332161DE" w14:textId="77777777" w:rsidR="009F709A" w:rsidRPr="009F709A" w:rsidRDefault="009F709A" w:rsidP="009F709A">
      <w:pPr>
        <w:autoSpaceDE w:val="0"/>
        <w:autoSpaceDN w:val="0"/>
        <w:adjustRightInd w:val="0"/>
        <w:jc w:val="both"/>
        <w:rPr>
          <w:rFonts w:ascii="Arial" w:hAnsi="Arial" w:cs="Arial"/>
          <w:sz w:val="20"/>
        </w:rPr>
      </w:pPr>
      <w:r w:rsidRPr="00424FCE">
        <w:rPr>
          <w:rFonts w:ascii="Arial" w:hAnsi="Arial" w:cs="Arial"/>
          <w:b/>
          <w:sz w:val="20"/>
        </w:rPr>
        <w:t>NIIF 16 “Arrendamientos”:</w:t>
      </w:r>
      <w:r w:rsidRPr="009F709A">
        <w:rPr>
          <w:rFonts w:ascii="Arial" w:hAnsi="Arial" w:cs="Arial"/>
          <w:sz w:val="20"/>
        </w:rPr>
        <w:t xml:space="preserve"> En enero de 2016 el IASB emitió la NIIF 16 “Arrendamientos” que establece el nuevo modelo de registración de operaciones de arrendamiento. Bajo la NIIF 16, un contrato es, o contiene, un arrendamiento si el contrato transmite el derecho a controlar el uso de un activo identificado por un período de tiempo a cambio de una contraprestación. La NIIF 16 requiere que el arrendatario reconozca el pasivo de arrendamiento que refleja los pagos futuros de arrendamiento y un derecho de uso de activos, para casi todos los contratos de arrendamiento, con excepción para determinados contratos de arrendamiento a corto plazo y arrendamientos de activos de bajo valor. La contabilidad de los arrendadores se mantiene como se indica en la NIC 17; sin embargo, se espera que el nuevo modelo de contabilidad para los arrendatarios impacte las negociaciones entre arrendadores y arrendatarios. A través de la Com. “A” 6560 el B.C.R.A. introdujo cambios al plan de cuentas y a los regímenes informativos como consecuencia de la entrada en vigencia de dicha NIIF a partir del 1 de enero de 2019. </w:t>
      </w:r>
    </w:p>
    <w:p w14:paraId="4A398560" w14:textId="77777777" w:rsidR="009F709A" w:rsidRDefault="009F709A" w:rsidP="009F709A">
      <w:pPr>
        <w:autoSpaceDE w:val="0"/>
        <w:autoSpaceDN w:val="0"/>
        <w:adjustRightInd w:val="0"/>
        <w:jc w:val="both"/>
        <w:rPr>
          <w:rFonts w:ascii="Arial" w:hAnsi="Arial" w:cs="Arial"/>
          <w:sz w:val="20"/>
        </w:rPr>
      </w:pPr>
    </w:p>
    <w:p w14:paraId="2AE0BB7A" w14:textId="77777777" w:rsidR="00AB7340" w:rsidRPr="006E1AF7" w:rsidRDefault="00AB7340" w:rsidP="00AB7340">
      <w:pPr>
        <w:autoSpaceDE w:val="0"/>
        <w:autoSpaceDN w:val="0"/>
        <w:adjustRightInd w:val="0"/>
        <w:jc w:val="both"/>
        <w:rPr>
          <w:rFonts w:ascii="Arial" w:hAnsi="Arial" w:cs="Arial"/>
          <w:color w:val="000000"/>
          <w:sz w:val="20"/>
        </w:rPr>
      </w:pPr>
      <w:r w:rsidRPr="006E1AF7">
        <w:rPr>
          <w:rFonts w:ascii="Arial" w:hAnsi="Arial" w:cs="Arial"/>
          <w:color w:val="000000"/>
          <w:sz w:val="20"/>
        </w:rPr>
        <w:t>Como consecuencia de la adopción de la NIIF 16, la Entidad reconoció un pasivo por arrendamiento relacionado a los arrendamientos que habían sido clasificados como arrendamientos operativos bajo la norma anterior (NIC 17). Este pasivo fue medido al valor presente de los pagos remanentes bajo los contratos de arrendamiento, descontados utilizando el promedio ponderado de la tasa interés incremental al 1 de enero de 2019. La tasa utilizada fue de 44,26 % para las operaciones en pesos, y 14,36% para las operaciones en dólares estadounidenses.</w:t>
      </w:r>
    </w:p>
    <w:p w14:paraId="0A850BFE" w14:textId="77777777" w:rsidR="00AB7340" w:rsidRPr="006E1AF7" w:rsidRDefault="00AB7340" w:rsidP="00AB7340">
      <w:pPr>
        <w:autoSpaceDE w:val="0"/>
        <w:autoSpaceDN w:val="0"/>
        <w:adjustRightInd w:val="0"/>
        <w:jc w:val="both"/>
        <w:rPr>
          <w:rFonts w:ascii="Arial" w:hAnsi="Arial" w:cs="Arial"/>
          <w:color w:val="000000"/>
          <w:sz w:val="20"/>
          <w:highlight w:val="yellow"/>
        </w:rPr>
      </w:pPr>
    </w:p>
    <w:p w14:paraId="2D29CC7E" w14:textId="77777777" w:rsidR="00AB7340" w:rsidRPr="006E1AF7" w:rsidRDefault="00AB7340" w:rsidP="00AB7340">
      <w:pPr>
        <w:autoSpaceDE w:val="0"/>
        <w:autoSpaceDN w:val="0"/>
        <w:adjustRightInd w:val="0"/>
        <w:jc w:val="both"/>
        <w:rPr>
          <w:rFonts w:ascii="Arial" w:hAnsi="Arial" w:cs="Arial"/>
          <w:color w:val="000000"/>
          <w:sz w:val="20"/>
        </w:rPr>
      </w:pPr>
      <w:r w:rsidRPr="006E1AF7">
        <w:rPr>
          <w:rFonts w:ascii="Arial" w:hAnsi="Arial" w:cs="Arial"/>
          <w:color w:val="000000"/>
          <w:sz w:val="20"/>
        </w:rPr>
        <w:t>Para los arrendamientos clasificados como arrendamientos operativos bajo la norma anterior, la entidad reconoció un activo por derecho de uso y un pasivo por arrendamiento igual al valor contable del activo y el pasivo por arrendamiento anterior a la fecha de aplicación inicial. Los principios de medición de la NIIF 16 se aplican con posterioridad a dicha fecha. La remedición de los pasivos por arrendamiento fue reconocida como un ajuste al activo por derecho de uso luego de la fecha de aplicación inicial.</w:t>
      </w:r>
    </w:p>
    <w:p w14:paraId="3796C09C" w14:textId="77777777" w:rsidR="00AB7340" w:rsidRPr="006E1AF7" w:rsidRDefault="00AB7340" w:rsidP="00AB7340">
      <w:pPr>
        <w:autoSpaceDE w:val="0"/>
        <w:autoSpaceDN w:val="0"/>
        <w:adjustRightInd w:val="0"/>
        <w:rPr>
          <w:rFonts w:ascii="Arial" w:hAnsi="Arial" w:cs="Arial"/>
          <w:color w:val="000000"/>
          <w:sz w:val="20"/>
        </w:rPr>
      </w:pPr>
    </w:p>
    <w:p w14:paraId="2D67FB69" w14:textId="77777777" w:rsidR="00AB7340" w:rsidRPr="006E1AF7" w:rsidRDefault="00AB7340" w:rsidP="00AB7340">
      <w:pPr>
        <w:pStyle w:val="Prrafodelista"/>
        <w:numPr>
          <w:ilvl w:val="0"/>
          <w:numId w:val="110"/>
        </w:numPr>
        <w:autoSpaceDE w:val="0"/>
        <w:autoSpaceDN w:val="0"/>
        <w:adjustRightInd w:val="0"/>
        <w:contextualSpacing/>
        <w:rPr>
          <w:rFonts w:ascii="Arial" w:hAnsi="Arial" w:cs="Arial"/>
          <w:color w:val="000000"/>
          <w:sz w:val="20"/>
        </w:rPr>
      </w:pPr>
      <w:r w:rsidRPr="006E1AF7">
        <w:rPr>
          <w:rFonts w:ascii="Arial" w:hAnsi="Arial" w:cs="Arial"/>
          <w:color w:val="000000"/>
          <w:sz w:val="20"/>
        </w:rPr>
        <w:t>Soluciones prácticas utilizadas</w:t>
      </w:r>
    </w:p>
    <w:p w14:paraId="0924C3B7" w14:textId="77777777" w:rsidR="00AB7340" w:rsidRPr="006E1AF7" w:rsidRDefault="00AB7340" w:rsidP="00AB7340">
      <w:pPr>
        <w:autoSpaceDE w:val="0"/>
        <w:autoSpaceDN w:val="0"/>
        <w:adjustRightInd w:val="0"/>
        <w:rPr>
          <w:rFonts w:ascii="Arial" w:hAnsi="Arial" w:cs="Arial"/>
          <w:color w:val="000000"/>
          <w:sz w:val="20"/>
        </w:rPr>
      </w:pPr>
    </w:p>
    <w:p w14:paraId="6274EB6A" w14:textId="77777777" w:rsidR="00AB7340" w:rsidRPr="006E1AF7" w:rsidRDefault="00AB7340" w:rsidP="00AB7340">
      <w:pPr>
        <w:autoSpaceDE w:val="0"/>
        <w:autoSpaceDN w:val="0"/>
        <w:adjustRightInd w:val="0"/>
        <w:jc w:val="both"/>
        <w:rPr>
          <w:rFonts w:ascii="Arial" w:hAnsi="Arial" w:cs="Arial"/>
          <w:color w:val="000000"/>
          <w:sz w:val="20"/>
        </w:rPr>
      </w:pPr>
      <w:r w:rsidRPr="006E1AF7">
        <w:rPr>
          <w:rFonts w:ascii="Arial" w:hAnsi="Arial" w:cs="Arial"/>
          <w:color w:val="000000"/>
          <w:sz w:val="20"/>
        </w:rPr>
        <w:t>En la aplicación por primera vez de la NIIF 16, la Entidad ha aplicado las siguientes soluciones prácticas permitidas por la norma:</w:t>
      </w:r>
    </w:p>
    <w:p w14:paraId="3A783A98" w14:textId="77777777" w:rsidR="00AB7340" w:rsidRPr="006E1AF7" w:rsidRDefault="00AB7340" w:rsidP="00AB7340">
      <w:pPr>
        <w:autoSpaceDE w:val="0"/>
        <w:autoSpaceDN w:val="0"/>
        <w:adjustRightInd w:val="0"/>
        <w:jc w:val="both"/>
        <w:rPr>
          <w:rFonts w:ascii="Arial" w:hAnsi="Arial" w:cs="Arial"/>
          <w:color w:val="000000"/>
          <w:sz w:val="20"/>
        </w:rPr>
      </w:pPr>
    </w:p>
    <w:p w14:paraId="316CA114" w14:textId="77777777" w:rsidR="00AB7340" w:rsidRPr="006E1AF7" w:rsidRDefault="00AB7340" w:rsidP="00AB7340">
      <w:pPr>
        <w:pStyle w:val="Prrafodelista"/>
        <w:numPr>
          <w:ilvl w:val="0"/>
          <w:numId w:val="111"/>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Aplicación de una sola tasa de descuento para una cartera de arrendamientos con similares características</w:t>
      </w:r>
    </w:p>
    <w:p w14:paraId="2F6C3729" w14:textId="77777777" w:rsidR="00AB7340" w:rsidRPr="006E1AF7" w:rsidRDefault="00AB7340" w:rsidP="00AB7340">
      <w:pPr>
        <w:pStyle w:val="Prrafodelista"/>
        <w:numPr>
          <w:ilvl w:val="0"/>
          <w:numId w:val="111"/>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Continuar con la evaluación anterior a la aplicación de la nueva norma sobre si los arrendamientos eran onerosos a fin de no realizar un test de desvalorización – la entidad no contaba con contratos onerosos al 1 de enero de 2019</w:t>
      </w:r>
    </w:p>
    <w:p w14:paraId="658CF0E4" w14:textId="77777777" w:rsidR="00AB7340" w:rsidRPr="006E1AF7" w:rsidRDefault="00AB7340" w:rsidP="00AB7340">
      <w:pPr>
        <w:pStyle w:val="Prrafodelista"/>
        <w:numPr>
          <w:ilvl w:val="0"/>
          <w:numId w:val="111"/>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Contabilizar los arrendamientos operativos con un período remanente menor a 12 meses al 1 de enero de 2019 como arrendamientos de corto plazo</w:t>
      </w:r>
    </w:p>
    <w:p w14:paraId="6B02423A" w14:textId="77777777" w:rsidR="00AB7340" w:rsidRPr="006E1AF7" w:rsidRDefault="00AB7340" w:rsidP="00AB7340">
      <w:pPr>
        <w:pStyle w:val="Prrafodelista"/>
        <w:numPr>
          <w:ilvl w:val="0"/>
          <w:numId w:val="111"/>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Excluir los costos directos iniciales para la medición del activo por derecho de uso a la fecha de aplicación inicial y,</w:t>
      </w:r>
    </w:p>
    <w:p w14:paraId="50B39E62" w14:textId="77777777" w:rsidR="00AB7340" w:rsidRPr="006E1AF7" w:rsidRDefault="00AB7340" w:rsidP="00AB7340">
      <w:pPr>
        <w:pStyle w:val="Prrafodelista"/>
        <w:numPr>
          <w:ilvl w:val="0"/>
          <w:numId w:val="111"/>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Utilizar toda la información disponible a la fecha de evaluación para determinar el plazo del arrendamiento cuando el contrato contiene opciones de extensión o de terminación.</w:t>
      </w:r>
    </w:p>
    <w:p w14:paraId="15D0046C" w14:textId="77777777" w:rsidR="00AB7340" w:rsidRPr="006E1AF7" w:rsidRDefault="00AB7340" w:rsidP="00AB7340">
      <w:pPr>
        <w:autoSpaceDE w:val="0"/>
        <w:autoSpaceDN w:val="0"/>
        <w:adjustRightInd w:val="0"/>
        <w:jc w:val="both"/>
        <w:rPr>
          <w:rFonts w:ascii="Arial" w:hAnsi="Arial" w:cs="Arial"/>
          <w:color w:val="000000"/>
          <w:sz w:val="20"/>
        </w:rPr>
      </w:pPr>
    </w:p>
    <w:p w14:paraId="68466F82" w14:textId="77777777" w:rsidR="00AB7340" w:rsidRPr="006E1AF7" w:rsidRDefault="00AB7340" w:rsidP="00AB7340">
      <w:pPr>
        <w:autoSpaceDE w:val="0"/>
        <w:autoSpaceDN w:val="0"/>
        <w:adjustRightInd w:val="0"/>
        <w:jc w:val="both"/>
        <w:rPr>
          <w:rFonts w:ascii="Arial" w:hAnsi="Arial" w:cs="Arial"/>
          <w:color w:val="000000"/>
          <w:sz w:val="20"/>
        </w:rPr>
      </w:pPr>
      <w:r w:rsidRPr="006E1AF7">
        <w:rPr>
          <w:rFonts w:ascii="Arial" w:hAnsi="Arial" w:cs="Arial"/>
          <w:color w:val="000000"/>
          <w:sz w:val="20"/>
        </w:rPr>
        <w:t>La Entidad también decidió no re-evaluar si un contrato es o contiene un arrendamiento a la fecha de aplicación inicial. Para los contratos firmados con anterioridad a la fecha de transición el Banco mantuvo la evaluación realizada bajo la NIC 17 y la Interpretación 4.</w:t>
      </w:r>
    </w:p>
    <w:p w14:paraId="7130CAFB" w14:textId="77777777" w:rsidR="00AB7340" w:rsidRPr="006E1AF7" w:rsidRDefault="00AB7340" w:rsidP="00AB7340">
      <w:pPr>
        <w:autoSpaceDE w:val="0"/>
        <w:autoSpaceDN w:val="0"/>
        <w:adjustRightInd w:val="0"/>
        <w:rPr>
          <w:rFonts w:ascii="Arial" w:hAnsi="Arial" w:cs="Arial"/>
          <w:color w:val="000000"/>
          <w:sz w:val="20"/>
        </w:rPr>
      </w:pPr>
    </w:p>
    <w:p w14:paraId="77E7E994" w14:textId="77777777" w:rsidR="00AB7340" w:rsidRPr="006E1AF7" w:rsidRDefault="00AB7340" w:rsidP="00AB7340">
      <w:pPr>
        <w:pStyle w:val="Prrafodelista"/>
        <w:numPr>
          <w:ilvl w:val="0"/>
          <w:numId w:val="110"/>
        </w:numPr>
        <w:autoSpaceDE w:val="0"/>
        <w:autoSpaceDN w:val="0"/>
        <w:adjustRightInd w:val="0"/>
        <w:contextualSpacing/>
        <w:rPr>
          <w:rFonts w:ascii="Arial" w:hAnsi="Arial" w:cs="Arial"/>
          <w:color w:val="000000"/>
          <w:sz w:val="20"/>
        </w:rPr>
      </w:pPr>
      <w:r w:rsidRPr="006E1AF7">
        <w:rPr>
          <w:rFonts w:ascii="Arial" w:hAnsi="Arial" w:cs="Arial"/>
          <w:color w:val="000000"/>
          <w:sz w:val="20"/>
        </w:rPr>
        <w:t>Medición de los pasivos por arrendamiento</w:t>
      </w:r>
    </w:p>
    <w:p w14:paraId="16F8D046" w14:textId="77777777" w:rsidR="00AB7340" w:rsidRPr="006E1AF7" w:rsidRDefault="00AB7340" w:rsidP="00AB7340">
      <w:pPr>
        <w:autoSpaceDE w:val="0"/>
        <w:autoSpaceDN w:val="0"/>
        <w:adjustRightInd w:val="0"/>
        <w:rPr>
          <w:rFonts w:ascii="Arial" w:hAnsi="Arial" w:cs="Arial"/>
          <w:iCs/>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7"/>
        <w:gridCol w:w="2794"/>
      </w:tblGrid>
      <w:tr w:rsidR="00AB7340" w:rsidRPr="00AB7340" w14:paraId="27CE3D09" w14:textId="77777777" w:rsidTr="006E1AF7">
        <w:tc>
          <w:tcPr>
            <w:tcW w:w="5927" w:type="dxa"/>
          </w:tcPr>
          <w:p w14:paraId="625ACA7F" w14:textId="6CFE140B" w:rsidR="00AB7340" w:rsidRPr="006E1AF7" w:rsidRDefault="00AB7340" w:rsidP="00AB7340">
            <w:pPr>
              <w:autoSpaceDE w:val="0"/>
              <w:autoSpaceDN w:val="0"/>
              <w:adjustRightInd w:val="0"/>
              <w:rPr>
                <w:rFonts w:ascii="Arial" w:hAnsi="Arial" w:cs="Arial"/>
                <w:iCs/>
                <w:sz w:val="20"/>
              </w:rPr>
            </w:pPr>
            <w:r w:rsidRPr="006E1AF7">
              <w:rPr>
                <w:rFonts w:ascii="Arial" w:hAnsi="Arial" w:cs="Arial"/>
                <w:color w:val="000000"/>
                <w:sz w:val="20"/>
              </w:rPr>
              <w:t xml:space="preserve">Arrendamientos revelados al </w:t>
            </w:r>
            <w:r w:rsidR="00FD3DF7">
              <w:rPr>
                <w:rFonts w:ascii="Arial" w:hAnsi="Arial" w:cs="Arial"/>
                <w:color w:val="000000"/>
                <w:sz w:val="20"/>
              </w:rPr>
              <w:t>31/12/2018</w:t>
            </w:r>
          </w:p>
        </w:tc>
        <w:tc>
          <w:tcPr>
            <w:tcW w:w="2794" w:type="dxa"/>
          </w:tcPr>
          <w:p w14:paraId="50174566" w14:textId="77777777" w:rsidR="00AB7340" w:rsidRPr="006E1AF7" w:rsidRDefault="00AB7340" w:rsidP="00AB7340">
            <w:pPr>
              <w:autoSpaceDE w:val="0"/>
              <w:autoSpaceDN w:val="0"/>
              <w:adjustRightInd w:val="0"/>
              <w:jc w:val="right"/>
              <w:rPr>
                <w:rFonts w:ascii="Arial" w:hAnsi="Arial" w:cs="Arial"/>
                <w:iCs/>
                <w:sz w:val="20"/>
              </w:rPr>
            </w:pPr>
            <w:r w:rsidRPr="006E1AF7">
              <w:rPr>
                <w:rFonts w:ascii="Arial" w:hAnsi="Arial" w:cs="Arial"/>
                <w:iCs/>
                <w:sz w:val="20"/>
              </w:rPr>
              <w:t>1.293.193</w:t>
            </w:r>
          </w:p>
        </w:tc>
      </w:tr>
      <w:tr w:rsidR="00AB7340" w:rsidRPr="00AB7340" w14:paraId="49DC5FCF" w14:textId="77777777" w:rsidTr="006E1AF7">
        <w:tc>
          <w:tcPr>
            <w:tcW w:w="5927" w:type="dxa"/>
          </w:tcPr>
          <w:p w14:paraId="2E085A16" w14:textId="77777777" w:rsidR="00AB7340" w:rsidRPr="006E1AF7" w:rsidRDefault="00AB7340" w:rsidP="00AB7340">
            <w:pPr>
              <w:autoSpaceDE w:val="0"/>
              <w:autoSpaceDN w:val="0"/>
              <w:adjustRightInd w:val="0"/>
              <w:rPr>
                <w:rFonts w:ascii="Arial" w:hAnsi="Arial" w:cs="Arial"/>
                <w:iCs/>
                <w:sz w:val="20"/>
              </w:rPr>
            </w:pPr>
            <w:r w:rsidRPr="006E1AF7">
              <w:rPr>
                <w:rFonts w:ascii="Arial" w:hAnsi="Arial" w:cs="Arial"/>
                <w:color w:val="000000"/>
                <w:sz w:val="20"/>
              </w:rPr>
              <w:t>descontados a la tasa de interés incremental a la fecha de aplicación inicial</w:t>
            </w:r>
          </w:p>
        </w:tc>
        <w:tc>
          <w:tcPr>
            <w:tcW w:w="2794" w:type="dxa"/>
          </w:tcPr>
          <w:p w14:paraId="1174D357" w14:textId="77777777" w:rsidR="00AB7340" w:rsidRPr="006E1AF7" w:rsidRDefault="00AB7340" w:rsidP="00AB7340">
            <w:pPr>
              <w:autoSpaceDE w:val="0"/>
              <w:autoSpaceDN w:val="0"/>
              <w:adjustRightInd w:val="0"/>
              <w:jc w:val="right"/>
              <w:rPr>
                <w:rFonts w:ascii="Arial" w:hAnsi="Arial" w:cs="Arial"/>
                <w:iCs/>
                <w:sz w:val="20"/>
              </w:rPr>
            </w:pPr>
            <w:r w:rsidRPr="006E1AF7">
              <w:rPr>
                <w:rFonts w:ascii="Arial" w:hAnsi="Arial" w:cs="Arial"/>
                <w:iCs/>
                <w:sz w:val="20"/>
              </w:rPr>
              <w:t>905.945</w:t>
            </w:r>
          </w:p>
        </w:tc>
      </w:tr>
      <w:tr w:rsidR="00AB7340" w:rsidRPr="00AB7340" w14:paraId="5CE240BC" w14:textId="77777777" w:rsidTr="006E1AF7">
        <w:tc>
          <w:tcPr>
            <w:tcW w:w="5927" w:type="dxa"/>
          </w:tcPr>
          <w:p w14:paraId="1866A56F" w14:textId="6A53EAF2" w:rsidR="00AB7340" w:rsidRPr="006E1AF7" w:rsidRDefault="00AB7340" w:rsidP="00AB7340">
            <w:pPr>
              <w:autoSpaceDE w:val="0"/>
              <w:autoSpaceDN w:val="0"/>
              <w:adjustRightInd w:val="0"/>
              <w:rPr>
                <w:rFonts w:ascii="Arial" w:hAnsi="Arial" w:cs="Arial"/>
                <w:iCs/>
                <w:sz w:val="20"/>
              </w:rPr>
            </w:pPr>
            <w:r w:rsidRPr="006E1AF7">
              <w:rPr>
                <w:rFonts w:ascii="Arial" w:hAnsi="Arial" w:cs="Arial"/>
                <w:b/>
                <w:bCs/>
                <w:color w:val="000000"/>
                <w:sz w:val="20"/>
              </w:rPr>
              <w:t xml:space="preserve">Pasivo por arrendamiento reconocido al </w:t>
            </w:r>
            <w:r w:rsidR="00FD3DF7">
              <w:rPr>
                <w:rFonts w:ascii="Arial" w:hAnsi="Arial" w:cs="Arial"/>
                <w:b/>
                <w:bCs/>
                <w:color w:val="000000"/>
                <w:sz w:val="20"/>
              </w:rPr>
              <w:t>01/01/2019</w:t>
            </w:r>
          </w:p>
        </w:tc>
        <w:tc>
          <w:tcPr>
            <w:tcW w:w="2794" w:type="dxa"/>
          </w:tcPr>
          <w:p w14:paraId="34E5545D" w14:textId="77777777" w:rsidR="00AB7340" w:rsidRPr="006E1AF7" w:rsidRDefault="00AB7340" w:rsidP="00AB7340">
            <w:pPr>
              <w:autoSpaceDE w:val="0"/>
              <w:autoSpaceDN w:val="0"/>
              <w:adjustRightInd w:val="0"/>
              <w:jc w:val="right"/>
              <w:rPr>
                <w:rFonts w:ascii="Arial" w:hAnsi="Arial" w:cs="Arial"/>
                <w:iCs/>
                <w:sz w:val="20"/>
              </w:rPr>
            </w:pPr>
            <w:r w:rsidRPr="006E1AF7">
              <w:rPr>
                <w:rFonts w:ascii="Arial" w:hAnsi="Arial" w:cs="Arial"/>
                <w:iCs/>
                <w:sz w:val="20"/>
              </w:rPr>
              <w:t>905.945</w:t>
            </w:r>
          </w:p>
        </w:tc>
      </w:tr>
      <w:tr w:rsidR="00AB7340" w:rsidRPr="00AB7340" w14:paraId="36D7DCED" w14:textId="77777777" w:rsidTr="006E1AF7">
        <w:tc>
          <w:tcPr>
            <w:tcW w:w="5927" w:type="dxa"/>
          </w:tcPr>
          <w:p w14:paraId="6EDA5B0A" w14:textId="77777777" w:rsidR="00AB7340" w:rsidRPr="006E1AF7" w:rsidRDefault="00AB7340" w:rsidP="00AB7340">
            <w:pPr>
              <w:autoSpaceDE w:val="0"/>
              <w:autoSpaceDN w:val="0"/>
              <w:adjustRightInd w:val="0"/>
              <w:rPr>
                <w:rFonts w:ascii="Arial" w:hAnsi="Arial" w:cs="Arial"/>
                <w:b/>
                <w:bCs/>
                <w:color w:val="000000"/>
                <w:sz w:val="20"/>
              </w:rPr>
            </w:pPr>
            <w:r w:rsidRPr="006E1AF7">
              <w:rPr>
                <w:rFonts w:ascii="Arial" w:hAnsi="Arial" w:cs="Arial"/>
                <w:color w:val="000000"/>
                <w:sz w:val="20"/>
              </w:rPr>
              <w:t>Del cual corresponde:</w:t>
            </w:r>
          </w:p>
        </w:tc>
        <w:tc>
          <w:tcPr>
            <w:tcW w:w="2794" w:type="dxa"/>
          </w:tcPr>
          <w:p w14:paraId="49E37A4E" w14:textId="77777777" w:rsidR="00AB7340" w:rsidRPr="006E1AF7" w:rsidRDefault="00AB7340" w:rsidP="00AB7340">
            <w:pPr>
              <w:autoSpaceDE w:val="0"/>
              <w:autoSpaceDN w:val="0"/>
              <w:adjustRightInd w:val="0"/>
              <w:jc w:val="right"/>
              <w:rPr>
                <w:rFonts w:ascii="Arial" w:hAnsi="Arial" w:cs="Arial"/>
                <w:iCs/>
                <w:sz w:val="20"/>
              </w:rPr>
            </w:pPr>
          </w:p>
        </w:tc>
      </w:tr>
      <w:tr w:rsidR="00AB7340" w:rsidRPr="00AB7340" w14:paraId="4279D282" w14:textId="77777777" w:rsidTr="006E1AF7">
        <w:tc>
          <w:tcPr>
            <w:tcW w:w="5927" w:type="dxa"/>
          </w:tcPr>
          <w:p w14:paraId="12433ABB" w14:textId="77777777" w:rsidR="00AB7340" w:rsidRPr="006E1AF7" w:rsidRDefault="00AB7340" w:rsidP="00AB7340">
            <w:pPr>
              <w:autoSpaceDE w:val="0"/>
              <w:autoSpaceDN w:val="0"/>
              <w:adjustRightInd w:val="0"/>
              <w:rPr>
                <w:rFonts w:ascii="Arial" w:hAnsi="Arial" w:cs="Arial"/>
                <w:b/>
                <w:bCs/>
                <w:color w:val="000000"/>
                <w:sz w:val="20"/>
              </w:rPr>
            </w:pPr>
            <w:r w:rsidRPr="006E1AF7">
              <w:rPr>
                <w:rFonts w:ascii="Arial" w:hAnsi="Arial" w:cs="Arial"/>
                <w:color w:val="000000"/>
                <w:sz w:val="20"/>
              </w:rPr>
              <w:t>Pasivo por arrendamiento corriente</w:t>
            </w:r>
          </w:p>
        </w:tc>
        <w:tc>
          <w:tcPr>
            <w:tcW w:w="2794" w:type="dxa"/>
          </w:tcPr>
          <w:p w14:paraId="3830C81D" w14:textId="77777777" w:rsidR="00AB7340" w:rsidRPr="006E1AF7" w:rsidRDefault="00AB7340" w:rsidP="00AB7340">
            <w:pPr>
              <w:autoSpaceDE w:val="0"/>
              <w:autoSpaceDN w:val="0"/>
              <w:adjustRightInd w:val="0"/>
              <w:jc w:val="right"/>
              <w:rPr>
                <w:rFonts w:ascii="Arial" w:hAnsi="Arial" w:cs="Arial"/>
                <w:iCs/>
                <w:sz w:val="20"/>
              </w:rPr>
            </w:pPr>
            <w:r w:rsidRPr="006E1AF7">
              <w:rPr>
                <w:rFonts w:ascii="Arial" w:hAnsi="Arial" w:cs="Arial"/>
                <w:iCs/>
                <w:sz w:val="20"/>
              </w:rPr>
              <w:t xml:space="preserve"> 399.238 </w:t>
            </w:r>
          </w:p>
        </w:tc>
      </w:tr>
      <w:tr w:rsidR="00AB7340" w:rsidRPr="00AB7340" w14:paraId="77FC9A2E" w14:textId="77777777" w:rsidTr="006E1AF7">
        <w:tc>
          <w:tcPr>
            <w:tcW w:w="5927" w:type="dxa"/>
          </w:tcPr>
          <w:p w14:paraId="568D9420" w14:textId="77777777" w:rsidR="00AB7340" w:rsidRPr="006E1AF7" w:rsidRDefault="00AB7340" w:rsidP="00AB7340">
            <w:pPr>
              <w:autoSpaceDE w:val="0"/>
              <w:autoSpaceDN w:val="0"/>
              <w:adjustRightInd w:val="0"/>
              <w:rPr>
                <w:rFonts w:ascii="Arial" w:hAnsi="Arial" w:cs="Arial"/>
                <w:b/>
                <w:bCs/>
                <w:color w:val="000000"/>
                <w:sz w:val="20"/>
              </w:rPr>
            </w:pPr>
            <w:r w:rsidRPr="006E1AF7">
              <w:rPr>
                <w:rFonts w:ascii="Arial" w:hAnsi="Arial" w:cs="Arial"/>
                <w:color w:val="000000"/>
                <w:sz w:val="20"/>
              </w:rPr>
              <w:t>Pasivo por arrendamiento no corriente</w:t>
            </w:r>
          </w:p>
        </w:tc>
        <w:tc>
          <w:tcPr>
            <w:tcW w:w="2794" w:type="dxa"/>
          </w:tcPr>
          <w:p w14:paraId="107873BC" w14:textId="77777777" w:rsidR="00AB7340" w:rsidRPr="006E1AF7" w:rsidRDefault="00AB7340" w:rsidP="00AB7340">
            <w:pPr>
              <w:autoSpaceDE w:val="0"/>
              <w:autoSpaceDN w:val="0"/>
              <w:adjustRightInd w:val="0"/>
              <w:jc w:val="right"/>
              <w:rPr>
                <w:rFonts w:ascii="Arial" w:hAnsi="Arial" w:cs="Arial"/>
                <w:iCs/>
                <w:sz w:val="20"/>
              </w:rPr>
            </w:pPr>
            <w:r w:rsidRPr="006E1AF7">
              <w:rPr>
                <w:rFonts w:ascii="Arial" w:hAnsi="Arial" w:cs="Arial"/>
                <w:iCs/>
                <w:sz w:val="20"/>
              </w:rPr>
              <w:t xml:space="preserve"> 506.706 </w:t>
            </w:r>
          </w:p>
        </w:tc>
      </w:tr>
    </w:tbl>
    <w:p w14:paraId="30B3E154" w14:textId="77777777" w:rsidR="00AB7340" w:rsidRPr="006E1AF7" w:rsidRDefault="00AB7340" w:rsidP="00AB7340">
      <w:pPr>
        <w:autoSpaceDE w:val="0"/>
        <w:autoSpaceDN w:val="0"/>
        <w:adjustRightInd w:val="0"/>
        <w:rPr>
          <w:rFonts w:ascii="Arial" w:hAnsi="Arial" w:cs="Arial"/>
          <w:color w:val="000000"/>
          <w:sz w:val="20"/>
        </w:rPr>
      </w:pPr>
    </w:p>
    <w:p w14:paraId="7FD82EDA" w14:textId="77777777" w:rsidR="00AB7340" w:rsidRPr="006E1AF7" w:rsidRDefault="00AB7340" w:rsidP="00AB7340">
      <w:pPr>
        <w:pStyle w:val="Prrafodelista"/>
        <w:numPr>
          <w:ilvl w:val="0"/>
          <w:numId w:val="110"/>
        </w:numPr>
        <w:autoSpaceDE w:val="0"/>
        <w:autoSpaceDN w:val="0"/>
        <w:adjustRightInd w:val="0"/>
        <w:contextualSpacing/>
        <w:rPr>
          <w:rFonts w:ascii="Arial" w:hAnsi="Arial" w:cs="Arial"/>
          <w:color w:val="000000"/>
          <w:sz w:val="20"/>
        </w:rPr>
      </w:pPr>
      <w:r w:rsidRPr="006E1AF7">
        <w:rPr>
          <w:rFonts w:ascii="Arial" w:hAnsi="Arial" w:cs="Arial"/>
          <w:color w:val="000000"/>
          <w:sz w:val="20"/>
        </w:rPr>
        <w:t>Medición del activo por arrendamiento</w:t>
      </w:r>
    </w:p>
    <w:p w14:paraId="238A4B25" w14:textId="77777777" w:rsidR="00AB7340" w:rsidRPr="006E1AF7" w:rsidRDefault="00AB7340" w:rsidP="00AB7340">
      <w:pPr>
        <w:autoSpaceDE w:val="0"/>
        <w:autoSpaceDN w:val="0"/>
        <w:adjustRightInd w:val="0"/>
        <w:ind w:left="360"/>
        <w:rPr>
          <w:rFonts w:ascii="Arial" w:hAnsi="Arial" w:cs="Arial"/>
          <w:color w:val="000000"/>
          <w:sz w:val="20"/>
        </w:rPr>
      </w:pPr>
    </w:p>
    <w:p w14:paraId="0B719E4A" w14:textId="77777777" w:rsidR="00AB7340" w:rsidRPr="006E1AF7" w:rsidRDefault="00AB7340" w:rsidP="00AB7340">
      <w:pPr>
        <w:autoSpaceDE w:val="0"/>
        <w:autoSpaceDN w:val="0"/>
        <w:adjustRightInd w:val="0"/>
        <w:ind w:left="360"/>
        <w:rPr>
          <w:rFonts w:ascii="Arial" w:hAnsi="Arial" w:cs="Arial"/>
          <w:color w:val="000000"/>
          <w:sz w:val="20"/>
        </w:rPr>
      </w:pPr>
      <w:r w:rsidRPr="006E1AF7">
        <w:rPr>
          <w:rFonts w:ascii="Arial" w:hAnsi="Arial" w:cs="Arial"/>
          <w:color w:val="000000"/>
          <w:sz w:val="20"/>
        </w:rPr>
        <w:t>El activo por derecho de uso fue medido por un monto igual al pasivo por arrendamiento.</w:t>
      </w:r>
    </w:p>
    <w:p w14:paraId="20D23A2D" w14:textId="77777777" w:rsidR="00AB7340" w:rsidRPr="006E1AF7" w:rsidRDefault="00AB7340" w:rsidP="00AB7340">
      <w:pPr>
        <w:autoSpaceDE w:val="0"/>
        <w:autoSpaceDN w:val="0"/>
        <w:adjustRightInd w:val="0"/>
        <w:ind w:left="360"/>
        <w:rPr>
          <w:rFonts w:ascii="Arial" w:hAnsi="Arial" w:cs="Arial"/>
          <w:color w:val="000000"/>
          <w:sz w:val="20"/>
        </w:rPr>
      </w:pPr>
    </w:p>
    <w:p w14:paraId="3C0E9A27" w14:textId="77777777" w:rsidR="00AB7340" w:rsidRPr="006E1AF7" w:rsidRDefault="00AB7340" w:rsidP="00AB7340">
      <w:pPr>
        <w:pStyle w:val="Prrafodelista"/>
        <w:numPr>
          <w:ilvl w:val="0"/>
          <w:numId w:val="110"/>
        </w:numPr>
        <w:autoSpaceDE w:val="0"/>
        <w:autoSpaceDN w:val="0"/>
        <w:adjustRightInd w:val="0"/>
        <w:contextualSpacing/>
        <w:rPr>
          <w:rFonts w:ascii="Arial" w:hAnsi="Arial" w:cs="Arial"/>
          <w:color w:val="000000"/>
          <w:sz w:val="20"/>
        </w:rPr>
      </w:pPr>
      <w:r w:rsidRPr="006E1AF7">
        <w:rPr>
          <w:rFonts w:ascii="Arial" w:hAnsi="Arial" w:cs="Arial"/>
          <w:color w:val="000000"/>
          <w:sz w:val="20"/>
        </w:rPr>
        <w:t>Ajustes reconocidos en el estado de situación financiera al 1 de enero de 2019</w:t>
      </w:r>
    </w:p>
    <w:p w14:paraId="173CA0CA" w14:textId="77777777" w:rsidR="00AB7340" w:rsidRPr="006E1AF7" w:rsidRDefault="00AB7340" w:rsidP="00AB7340">
      <w:pPr>
        <w:autoSpaceDE w:val="0"/>
        <w:autoSpaceDN w:val="0"/>
        <w:adjustRightInd w:val="0"/>
        <w:ind w:left="360"/>
        <w:rPr>
          <w:rFonts w:ascii="Arial" w:hAnsi="Arial" w:cs="Arial"/>
          <w:color w:val="000000"/>
          <w:sz w:val="20"/>
        </w:rPr>
      </w:pPr>
    </w:p>
    <w:p w14:paraId="0BF117F7" w14:textId="56EEF046" w:rsidR="00AB7340" w:rsidRDefault="00AB7340" w:rsidP="00AB7340">
      <w:pPr>
        <w:autoSpaceDE w:val="0"/>
        <w:autoSpaceDN w:val="0"/>
        <w:adjustRightInd w:val="0"/>
        <w:ind w:left="360"/>
        <w:rPr>
          <w:rFonts w:ascii="Arial" w:hAnsi="Arial" w:cs="Arial"/>
          <w:color w:val="000000"/>
          <w:sz w:val="20"/>
        </w:rPr>
      </w:pPr>
      <w:r w:rsidRPr="006E1AF7">
        <w:rPr>
          <w:rFonts w:ascii="Arial" w:hAnsi="Arial" w:cs="Arial"/>
          <w:color w:val="000000"/>
          <w:sz w:val="20"/>
        </w:rPr>
        <w:t>El cambio en la política contable afectó los siguientes ítems en el estado de situación financiera al 1 de enero de 2019:</w:t>
      </w:r>
    </w:p>
    <w:p w14:paraId="27849535" w14:textId="77777777" w:rsidR="00013812" w:rsidRPr="006E1AF7" w:rsidRDefault="00013812" w:rsidP="00AB7340">
      <w:pPr>
        <w:autoSpaceDE w:val="0"/>
        <w:autoSpaceDN w:val="0"/>
        <w:adjustRightInd w:val="0"/>
        <w:ind w:left="360"/>
        <w:rPr>
          <w:rFonts w:ascii="Arial" w:hAnsi="Arial" w:cs="Arial"/>
          <w:color w:val="000000"/>
          <w:sz w:val="20"/>
        </w:rPr>
      </w:pPr>
    </w:p>
    <w:p w14:paraId="3B310325" w14:textId="77777777" w:rsidR="00AB7340" w:rsidRPr="006E1AF7" w:rsidRDefault="00AB7340" w:rsidP="00AB7340">
      <w:pPr>
        <w:pStyle w:val="Prrafodelista"/>
        <w:numPr>
          <w:ilvl w:val="0"/>
          <w:numId w:val="112"/>
        </w:numPr>
        <w:autoSpaceDE w:val="0"/>
        <w:autoSpaceDN w:val="0"/>
        <w:adjustRightInd w:val="0"/>
        <w:contextualSpacing/>
        <w:rPr>
          <w:rFonts w:ascii="Arial" w:hAnsi="Arial" w:cs="Arial"/>
          <w:color w:val="000000"/>
          <w:sz w:val="20"/>
        </w:rPr>
      </w:pPr>
      <w:r w:rsidRPr="006E1AF7">
        <w:rPr>
          <w:rFonts w:ascii="Arial" w:hAnsi="Arial" w:cs="Arial"/>
          <w:color w:val="000000"/>
          <w:sz w:val="20"/>
        </w:rPr>
        <w:t xml:space="preserve">Propiedad, planta y equipo – incremento de $ </w:t>
      </w:r>
      <w:r w:rsidRPr="006E1AF7">
        <w:rPr>
          <w:rFonts w:ascii="Arial" w:hAnsi="Arial" w:cs="Arial"/>
          <w:iCs/>
          <w:sz w:val="20"/>
        </w:rPr>
        <w:t>905.945</w:t>
      </w:r>
    </w:p>
    <w:p w14:paraId="625286EB" w14:textId="77777777" w:rsidR="00AB7340" w:rsidRPr="006E1AF7" w:rsidRDefault="00AB7340" w:rsidP="00AB7340">
      <w:pPr>
        <w:pStyle w:val="Prrafodelista"/>
        <w:numPr>
          <w:ilvl w:val="0"/>
          <w:numId w:val="112"/>
        </w:numPr>
        <w:autoSpaceDE w:val="0"/>
        <w:autoSpaceDN w:val="0"/>
        <w:adjustRightInd w:val="0"/>
        <w:contextualSpacing/>
        <w:rPr>
          <w:rFonts w:ascii="Arial" w:hAnsi="Arial" w:cs="Arial"/>
          <w:color w:val="000000"/>
          <w:sz w:val="20"/>
        </w:rPr>
      </w:pPr>
      <w:r w:rsidRPr="006E1AF7">
        <w:rPr>
          <w:rFonts w:ascii="Arial" w:hAnsi="Arial" w:cs="Arial"/>
          <w:color w:val="000000"/>
          <w:sz w:val="20"/>
        </w:rPr>
        <w:t xml:space="preserve">Otros pasivos financieros – incremento de $ </w:t>
      </w:r>
      <w:r w:rsidRPr="006E1AF7">
        <w:rPr>
          <w:rFonts w:ascii="Arial" w:hAnsi="Arial" w:cs="Arial"/>
          <w:iCs/>
          <w:sz w:val="20"/>
        </w:rPr>
        <w:t>905.945</w:t>
      </w:r>
      <w:r w:rsidRPr="006E1AF7">
        <w:rPr>
          <w:rFonts w:ascii="Arial" w:hAnsi="Arial" w:cs="Arial"/>
          <w:color w:val="000000"/>
          <w:sz w:val="20"/>
        </w:rPr>
        <w:t xml:space="preserve"> </w:t>
      </w:r>
    </w:p>
    <w:p w14:paraId="1BBE8579" w14:textId="77777777" w:rsidR="009F709A" w:rsidRDefault="009F709A" w:rsidP="009F709A">
      <w:pPr>
        <w:autoSpaceDE w:val="0"/>
        <w:autoSpaceDN w:val="0"/>
        <w:adjustRightInd w:val="0"/>
        <w:jc w:val="both"/>
        <w:rPr>
          <w:rFonts w:ascii="Arial" w:hAnsi="Arial" w:cs="Arial"/>
          <w:sz w:val="20"/>
        </w:rPr>
      </w:pPr>
    </w:p>
    <w:p w14:paraId="79EA95D1" w14:textId="572FEAE6" w:rsidR="009F709A" w:rsidRPr="00534414" w:rsidRDefault="009F709A" w:rsidP="00627289">
      <w:pPr>
        <w:pStyle w:val="Prrafodelista"/>
        <w:numPr>
          <w:ilvl w:val="0"/>
          <w:numId w:val="27"/>
        </w:numPr>
        <w:autoSpaceDE w:val="0"/>
        <w:autoSpaceDN w:val="0"/>
        <w:adjustRightInd w:val="0"/>
        <w:jc w:val="both"/>
        <w:rPr>
          <w:rFonts w:ascii="Arial" w:hAnsi="Arial" w:cs="Arial"/>
          <w:b/>
          <w:sz w:val="20"/>
        </w:rPr>
      </w:pPr>
      <w:r w:rsidRPr="00534414">
        <w:rPr>
          <w:rFonts w:ascii="Arial" w:hAnsi="Arial" w:cs="Arial"/>
          <w:b/>
          <w:sz w:val="20"/>
        </w:rPr>
        <w:t>Nuevas normas contables y modificaciones emitidas por el IASB que no han sido adoptadas por el Banco</w:t>
      </w:r>
    </w:p>
    <w:p w14:paraId="06F78E25" w14:textId="77777777" w:rsidR="009F709A" w:rsidRPr="00534414" w:rsidRDefault="009F709A">
      <w:pPr>
        <w:autoSpaceDE w:val="0"/>
        <w:autoSpaceDN w:val="0"/>
        <w:adjustRightInd w:val="0"/>
        <w:jc w:val="both"/>
        <w:rPr>
          <w:rFonts w:ascii="Arial" w:hAnsi="Arial" w:cs="Arial"/>
          <w:b/>
          <w:sz w:val="20"/>
        </w:rPr>
      </w:pPr>
    </w:p>
    <w:p w14:paraId="37825AC7" w14:textId="77777777" w:rsidR="009F709A" w:rsidRDefault="009F709A" w:rsidP="009F709A">
      <w:pPr>
        <w:autoSpaceDE w:val="0"/>
        <w:autoSpaceDN w:val="0"/>
        <w:adjustRightInd w:val="0"/>
        <w:jc w:val="both"/>
        <w:rPr>
          <w:rFonts w:ascii="Arial" w:hAnsi="Arial" w:cs="Arial"/>
          <w:sz w:val="20"/>
        </w:rPr>
      </w:pPr>
      <w:r w:rsidRPr="009F709A">
        <w:rPr>
          <w:rFonts w:ascii="Arial" w:hAnsi="Arial" w:cs="Arial"/>
          <w:sz w:val="20"/>
        </w:rPr>
        <w:t>A medida que se aprueban nuevas NIIF, modificaciones o derogación de las vigentes y, una vez que estos cambios son adoptados a través de Circulares de Adopción de la Federación Argentina de Consejos Profesionales en Ciencias Económicas (FACPCE), el B.C.R.A. se expedirá acerca de su aprobación para las entidades financieras. Con carácter general, no se admitirá la aplicación anticipada de ninguna NIIF, a menos que en oportunidad de adoptarse, se defina específicamente.</w:t>
      </w:r>
    </w:p>
    <w:p w14:paraId="2FFAEFC4" w14:textId="77777777" w:rsidR="009F709A" w:rsidRPr="009F709A" w:rsidRDefault="009F709A" w:rsidP="009F709A">
      <w:pPr>
        <w:autoSpaceDE w:val="0"/>
        <w:autoSpaceDN w:val="0"/>
        <w:adjustRightInd w:val="0"/>
        <w:jc w:val="both"/>
        <w:rPr>
          <w:rFonts w:ascii="Arial" w:hAnsi="Arial" w:cs="Arial"/>
          <w:sz w:val="20"/>
        </w:rPr>
      </w:pPr>
    </w:p>
    <w:p w14:paraId="1EE154D8" w14:textId="0E83DDD1" w:rsidR="009F709A" w:rsidRDefault="009F709A" w:rsidP="009F709A">
      <w:pPr>
        <w:autoSpaceDE w:val="0"/>
        <w:autoSpaceDN w:val="0"/>
        <w:adjustRightInd w:val="0"/>
        <w:jc w:val="both"/>
        <w:rPr>
          <w:rFonts w:ascii="Arial" w:hAnsi="Arial" w:cs="Arial"/>
          <w:sz w:val="20"/>
        </w:rPr>
      </w:pPr>
      <w:r w:rsidRPr="009F709A">
        <w:rPr>
          <w:rFonts w:ascii="Arial" w:hAnsi="Arial" w:cs="Arial"/>
          <w:sz w:val="20"/>
        </w:rPr>
        <w:t>Se detalla</w:t>
      </w:r>
      <w:r w:rsidR="00284BCD">
        <w:rPr>
          <w:rFonts w:ascii="Arial" w:hAnsi="Arial" w:cs="Arial"/>
          <w:sz w:val="20"/>
        </w:rPr>
        <w:t xml:space="preserve">n a </w:t>
      </w:r>
      <w:r w:rsidRPr="009F709A">
        <w:rPr>
          <w:rFonts w:ascii="Arial" w:hAnsi="Arial" w:cs="Arial"/>
          <w:sz w:val="20"/>
        </w:rPr>
        <w:t>continuación las nuevas normas, modificaciones e interpretaciones publicadas que todavía no han entrado en vigor para ejercicios que comiencen a partir del 1° de enero de 201</w:t>
      </w:r>
      <w:r w:rsidR="00F845F0">
        <w:rPr>
          <w:rFonts w:ascii="Arial" w:hAnsi="Arial" w:cs="Arial"/>
          <w:sz w:val="20"/>
        </w:rPr>
        <w:t>9</w:t>
      </w:r>
      <w:r w:rsidRPr="009F709A">
        <w:rPr>
          <w:rFonts w:ascii="Arial" w:hAnsi="Arial" w:cs="Arial"/>
          <w:sz w:val="20"/>
        </w:rPr>
        <w:t xml:space="preserve">, y no han sido adoptadas anticipadamente: </w:t>
      </w:r>
    </w:p>
    <w:p w14:paraId="48CD1209" w14:textId="77777777" w:rsidR="009F709A" w:rsidRPr="009F709A" w:rsidRDefault="009F709A" w:rsidP="009F709A">
      <w:pPr>
        <w:autoSpaceDE w:val="0"/>
        <w:autoSpaceDN w:val="0"/>
        <w:adjustRightInd w:val="0"/>
        <w:jc w:val="both"/>
        <w:rPr>
          <w:rFonts w:ascii="Arial" w:hAnsi="Arial" w:cs="Arial"/>
          <w:sz w:val="20"/>
        </w:rPr>
      </w:pPr>
    </w:p>
    <w:p w14:paraId="4580A00F" w14:textId="28E1643C" w:rsidR="009F709A" w:rsidRPr="009F709A" w:rsidRDefault="009F709A" w:rsidP="009F709A">
      <w:pPr>
        <w:autoSpaceDE w:val="0"/>
        <w:autoSpaceDN w:val="0"/>
        <w:adjustRightInd w:val="0"/>
        <w:jc w:val="both"/>
        <w:rPr>
          <w:rFonts w:ascii="Arial" w:hAnsi="Arial" w:cs="Arial"/>
          <w:sz w:val="20"/>
        </w:rPr>
      </w:pPr>
      <w:r w:rsidRPr="00534414">
        <w:rPr>
          <w:rFonts w:ascii="Arial" w:hAnsi="Arial" w:cs="Arial"/>
          <w:b/>
          <w:sz w:val="20"/>
        </w:rPr>
        <w:t>NIIF 17 “Contratos de seguro”:</w:t>
      </w:r>
      <w:r w:rsidRPr="009F709A">
        <w:rPr>
          <w:rFonts w:ascii="Arial" w:hAnsi="Arial" w:cs="Arial"/>
          <w:sz w:val="20"/>
        </w:rPr>
        <w:t xml:space="preserve"> El 18 de mayo de 2017, el IASB emitió la NIIF 17 Contratos de seguro, que proporciona un marco integral basado en principios para la medición y presentación de todos los contratos de seguro. La nueva norma reemplazará a la NIIF 4 Contratos de seguro y exige que los contratos de seguro se midan utilizando los flujos de efectivo de cumplimiento actuales y que los ingresos se reconozcan a medida que se brinda el servicio durante el período de cobertura. La norma entrará en vigencia para los ejercicios que comiencen a partir del 1 de noviembre de 2021. El </w:t>
      </w:r>
      <w:r>
        <w:rPr>
          <w:rFonts w:ascii="Arial" w:hAnsi="Arial" w:cs="Arial"/>
          <w:sz w:val="20"/>
        </w:rPr>
        <w:t>Banco</w:t>
      </w:r>
      <w:r w:rsidRPr="009F709A">
        <w:rPr>
          <w:rFonts w:ascii="Arial" w:hAnsi="Arial" w:cs="Arial"/>
          <w:sz w:val="20"/>
        </w:rPr>
        <w:t xml:space="preserve"> está evaluando el impacto de la adopción de esta nueva norma.</w:t>
      </w:r>
    </w:p>
    <w:p w14:paraId="7E39C952" w14:textId="77777777" w:rsidR="009F709A" w:rsidRDefault="009F709A" w:rsidP="009F709A">
      <w:pPr>
        <w:autoSpaceDE w:val="0"/>
        <w:autoSpaceDN w:val="0"/>
        <w:adjustRightInd w:val="0"/>
        <w:jc w:val="both"/>
        <w:rPr>
          <w:rFonts w:ascii="Arial" w:hAnsi="Arial" w:cs="Arial"/>
          <w:sz w:val="20"/>
        </w:rPr>
      </w:pPr>
    </w:p>
    <w:p w14:paraId="5F8EDE76" w14:textId="0A3598B8" w:rsidR="009F709A" w:rsidRPr="00701F32" w:rsidRDefault="009F709A" w:rsidP="009F709A">
      <w:pPr>
        <w:autoSpaceDE w:val="0"/>
        <w:autoSpaceDN w:val="0"/>
        <w:adjustRightInd w:val="0"/>
        <w:jc w:val="both"/>
        <w:rPr>
          <w:rFonts w:ascii="Arial" w:hAnsi="Arial" w:cs="Arial"/>
          <w:sz w:val="20"/>
        </w:rPr>
      </w:pPr>
      <w:r w:rsidRPr="009F709A">
        <w:rPr>
          <w:rFonts w:ascii="Arial" w:hAnsi="Arial" w:cs="Arial"/>
          <w:sz w:val="20"/>
        </w:rPr>
        <w:t xml:space="preserve">No hay otras NIIF o interpretaciones CINIIF que no sean efectivas todavía y que se espere que tengan un efecto significativo para el </w:t>
      </w:r>
      <w:r>
        <w:rPr>
          <w:rFonts w:ascii="Arial" w:hAnsi="Arial" w:cs="Arial"/>
          <w:sz w:val="20"/>
        </w:rPr>
        <w:t>Banco</w:t>
      </w:r>
      <w:r w:rsidRPr="009F709A">
        <w:rPr>
          <w:rFonts w:ascii="Arial" w:hAnsi="Arial" w:cs="Arial"/>
          <w:sz w:val="20"/>
        </w:rPr>
        <w:t>.</w:t>
      </w:r>
    </w:p>
    <w:p w14:paraId="05A20470" w14:textId="77777777" w:rsidR="00D7587C" w:rsidRDefault="00D7587C" w:rsidP="00A06BE9">
      <w:pPr>
        <w:spacing w:line="259" w:lineRule="auto"/>
        <w:jc w:val="both"/>
        <w:rPr>
          <w:rFonts w:ascii="Arial" w:eastAsia="Calibri" w:hAnsi="Arial" w:cs="Arial"/>
          <w:b/>
          <w:sz w:val="20"/>
        </w:rPr>
      </w:pPr>
    </w:p>
    <w:p w14:paraId="2B6348B5" w14:textId="77777777" w:rsidR="00C63AFA" w:rsidRPr="00701F32" w:rsidRDefault="00E54D7E" w:rsidP="00C63AFA">
      <w:pPr>
        <w:spacing w:after="160" w:line="259" w:lineRule="auto"/>
        <w:jc w:val="both"/>
        <w:rPr>
          <w:rFonts w:ascii="Arial" w:eastAsia="Calibri" w:hAnsi="Arial" w:cs="Arial"/>
          <w:b/>
          <w:sz w:val="20"/>
        </w:rPr>
      </w:pPr>
      <w:r>
        <w:rPr>
          <w:rFonts w:ascii="Arial" w:eastAsia="Calibri" w:hAnsi="Arial" w:cs="Arial"/>
          <w:b/>
          <w:sz w:val="20"/>
        </w:rPr>
        <w:t xml:space="preserve">1.3 </w:t>
      </w:r>
      <w:r w:rsidR="00C63AFA" w:rsidRPr="00701F32">
        <w:rPr>
          <w:rFonts w:ascii="Arial" w:eastAsia="Calibri" w:hAnsi="Arial" w:cs="Arial"/>
          <w:b/>
          <w:sz w:val="20"/>
        </w:rPr>
        <w:t xml:space="preserve">Consolidación </w:t>
      </w:r>
    </w:p>
    <w:p w14:paraId="1AE90A85" w14:textId="77777777" w:rsidR="00C63AFA" w:rsidRPr="00701F32" w:rsidRDefault="00C63AFA" w:rsidP="00C63AFA">
      <w:pPr>
        <w:spacing w:after="160" w:line="259" w:lineRule="auto"/>
        <w:jc w:val="both"/>
        <w:rPr>
          <w:rFonts w:ascii="Arial" w:eastAsia="Calibri" w:hAnsi="Arial" w:cs="Arial"/>
          <w:sz w:val="20"/>
        </w:rPr>
      </w:pPr>
      <w:r w:rsidRPr="00701F32">
        <w:rPr>
          <w:rFonts w:ascii="Arial" w:eastAsia="Calibri" w:hAnsi="Arial" w:cs="Arial"/>
          <w:sz w:val="20"/>
        </w:rPr>
        <w:t>Subsidiarias son aquellas entidades (o participadas), incluidas las entidades estructuradas, en las que el Banco posee control porque (i) tiene el poder para dirigir actividades relevantes de la participada, que afectan significativamente sus rendimientos, (ii) tiene exposición, o derechos, a rendimientos variables por su participación en la participada, y (iii) tiene la capacidad de usar su poder sobre la participada para afectar el monto de los rendimientos del inversor. La existencia y el efecto de los derechos sustantivos, incluidos los derechos sustantivos de voto potencial, se tienen en cuenta al evaluar si el Banco tiene poder sobre otra entidad. Para que un derecho sea sustantivo, el titular debe tener la capacidad práctica de ejercer ese derecho cuando sea necesario tomar decisiones sobre la dirección de las actividades relevantes de la entidad. El Banco puede tener control sobre una entidad, incluso cuando tenga menos de la mayoría de los derechos de voto.</w:t>
      </w:r>
    </w:p>
    <w:p w14:paraId="79453DB8" w14:textId="77777777" w:rsidR="00C63AFA" w:rsidRDefault="00C63AFA" w:rsidP="00C63AFA">
      <w:pPr>
        <w:spacing w:after="160" w:line="259" w:lineRule="auto"/>
        <w:jc w:val="both"/>
        <w:rPr>
          <w:rFonts w:ascii="Arial" w:eastAsia="Calibri" w:hAnsi="Arial" w:cs="Arial"/>
          <w:sz w:val="20"/>
        </w:rPr>
      </w:pPr>
      <w:r w:rsidRPr="00701F32">
        <w:rPr>
          <w:rFonts w:ascii="Arial" w:eastAsia="Calibri" w:hAnsi="Arial" w:cs="Arial"/>
          <w:sz w:val="20"/>
        </w:rPr>
        <w:t>Asimismo, los derechos protectores de otros inversores, como los que se relacionan con cambios sustantivos en las actividades de la participada o se aplican solo en circunstancias excepcionales, no impiden que el Banco tenga poder sobre una participada. Las subsidiarias se consolidan desde la fecha en que se transfiere el control al Banco, dejándose de consolidar a partir de la fecha en que cesa el control.</w:t>
      </w:r>
    </w:p>
    <w:p w14:paraId="705DBEE4" w14:textId="77777777" w:rsidR="00C63AFA" w:rsidRPr="006E1AF7" w:rsidRDefault="00C63AFA" w:rsidP="006E1AF7">
      <w:pPr>
        <w:autoSpaceDE w:val="0"/>
        <w:autoSpaceDN w:val="0"/>
        <w:adjustRightInd w:val="0"/>
        <w:jc w:val="both"/>
        <w:rPr>
          <w:rFonts w:ascii="Arial" w:hAnsi="Arial" w:cs="Arial"/>
          <w:sz w:val="20"/>
        </w:rPr>
      </w:pPr>
    </w:p>
    <w:p w14:paraId="2AACA617" w14:textId="5696787B" w:rsidR="00C63AFA" w:rsidRDefault="00C63AFA" w:rsidP="00013812">
      <w:pPr>
        <w:autoSpaceDE w:val="0"/>
        <w:autoSpaceDN w:val="0"/>
        <w:adjustRightInd w:val="0"/>
        <w:jc w:val="both"/>
        <w:rPr>
          <w:rFonts w:ascii="Arial" w:eastAsia="Calibri" w:hAnsi="Arial" w:cs="Arial"/>
          <w:sz w:val="20"/>
        </w:rPr>
      </w:pPr>
      <w:r w:rsidRPr="006E1AF7">
        <w:rPr>
          <w:rFonts w:ascii="Arial" w:hAnsi="Arial" w:cs="Arial"/>
          <w:sz w:val="20"/>
        </w:rPr>
        <w:t>Se det</w:t>
      </w:r>
      <w:r w:rsidRPr="00701F32">
        <w:rPr>
          <w:rFonts w:ascii="Arial" w:eastAsia="Calibri" w:hAnsi="Arial" w:cs="Arial"/>
          <w:sz w:val="20"/>
        </w:rPr>
        <w:t>allan en el siguiente cuadro las subsidiarias objeto de consolidación:</w:t>
      </w:r>
    </w:p>
    <w:p w14:paraId="6598EAB6" w14:textId="77777777" w:rsidR="00013812" w:rsidRPr="00701F32" w:rsidRDefault="00013812" w:rsidP="006E1AF7">
      <w:pPr>
        <w:autoSpaceDE w:val="0"/>
        <w:autoSpaceDN w:val="0"/>
        <w:adjustRightInd w:val="0"/>
        <w:jc w:val="both"/>
        <w:rPr>
          <w:rFonts w:ascii="Arial" w:eastAsia="Calibri" w:hAnsi="Arial" w:cs="Arial"/>
          <w:sz w:val="20"/>
        </w:rPr>
      </w:pPr>
    </w:p>
    <w:tbl>
      <w:tblPr>
        <w:tblW w:w="4967" w:type="pct"/>
        <w:tblLayout w:type="fixed"/>
        <w:tblCellMar>
          <w:left w:w="70" w:type="dxa"/>
          <w:right w:w="70" w:type="dxa"/>
        </w:tblCellMar>
        <w:tblLook w:val="04A0" w:firstRow="1" w:lastRow="0" w:firstColumn="1" w:lastColumn="0" w:noHBand="0" w:noVBand="1"/>
      </w:tblPr>
      <w:tblGrid>
        <w:gridCol w:w="912"/>
        <w:gridCol w:w="861"/>
        <w:gridCol w:w="848"/>
        <w:gridCol w:w="994"/>
        <w:gridCol w:w="989"/>
        <w:gridCol w:w="854"/>
        <w:gridCol w:w="1134"/>
        <w:gridCol w:w="852"/>
        <w:gridCol w:w="1130"/>
        <w:gridCol w:w="14"/>
      </w:tblGrid>
      <w:tr w:rsidR="00651653" w:rsidRPr="00B54E50" w14:paraId="331B3353" w14:textId="77777777" w:rsidTr="00651653">
        <w:trPr>
          <w:trHeight w:val="191"/>
        </w:trPr>
        <w:tc>
          <w:tcPr>
            <w:tcW w:w="53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C794D" w14:textId="77777777" w:rsidR="00651653" w:rsidRPr="00B54E50" w:rsidRDefault="00651653" w:rsidP="00931F52">
            <w:pPr>
              <w:jc w:val="both"/>
              <w:rPr>
                <w:rFonts w:ascii="Arial" w:hAnsi="Arial" w:cs="Arial"/>
                <w:b/>
                <w:bCs/>
                <w:color w:val="000000"/>
                <w:sz w:val="14"/>
                <w:szCs w:val="14"/>
                <w:lang w:eastAsia="es-AR"/>
              </w:rPr>
            </w:pPr>
            <w:r w:rsidRPr="00B54E50">
              <w:rPr>
                <w:rFonts w:ascii="Arial" w:hAnsi="Arial" w:cs="Arial"/>
                <w:b/>
                <w:bCs/>
                <w:color w:val="000000"/>
                <w:sz w:val="14"/>
                <w:szCs w:val="14"/>
                <w:lang w:val="en-GB" w:eastAsia="es-AR"/>
              </w:rPr>
              <w:t>SOCIEDAD</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65A9D" w14:textId="77777777" w:rsidR="00651653" w:rsidRPr="00B54E50" w:rsidRDefault="00651653" w:rsidP="00931F52">
            <w:pPr>
              <w:jc w:val="center"/>
              <w:rPr>
                <w:rFonts w:ascii="Arial" w:hAnsi="Arial" w:cs="Arial"/>
                <w:b/>
                <w:bCs/>
                <w:color w:val="000000"/>
                <w:sz w:val="14"/>
                <w:szCs w:val="14"/>
                <w:lang w:eastAsia="es-AR"/>
              </w:rPr>
            </w:pPr>
            <w:r w:rsidRPr="00B54E50">
              <w:rPr>
                <w:rFonts w:ascii="Arial" w:hAnsi="Arial" w:cs="Arial"/>
                <w:b/>
                <w:bCs/>
                <w:color w:val="000000"/>
                <w:sz w:val="14"/>
                <w:szCs w:val="14"/>
                <w:lang w:val="en-GB" w:eastAsia="es-AR"/>
              </w:rPr>
              <w:t>PAÍS</w:t>
            </w:r>
          </w:p>
        </w:tc>
        <w:tc>
          <w:tcPr>
            <w:tcW w:w="49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EF221" w14:textId="77777777" w:rsidR="00651653" w:rsidRPr="00B54E50" w:rsidRDefault="00651653" w:rsidP="00931F52">
            <w:pPr>
              <w:jc w:val="center"/>
              <w:rPr>
                <w:rFonts w:ascii="Arial" w:hAnsi="Arial" w:cs="Arial"/>
                <w:b/>
                <w:bCs/>
                <w:color w:val="000000"/>
                <w:sz w:val="14"/>
                <w:szCs w:val="14"/>
                <w:lang w:eastAsia="es-AR"/>
              </w:rPr>
            </w:pPr>
            <w:r w:rsidRPr="00B54E50">
              <w:rPr>
                <w:rFonts w:ascii="Arial" w:hAnsi="Arial" w:cs="Arial"/>
                <w:b/>
                <w:bCs/>
                <w:color w:val="000000"/>
                <w:sz w:val="14"/>
                <w:szCs w:val="14"/>
                <w:lang w:val="en-GB" w:eastAsia="es-AR"/>
              </w:rPr>
              <w:t>MONEDA LOCAL</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BC590" w14:textId="77777777" w:rsidR="00651653" w:rsidRPr="00B54E50" w:rsidRDefault="00651653" w:rsidP="00931F52">
            <w:pPr>
              <w:jc w:val="center"/>
              <w:rPr>
                <w:rFonts w:ascii="Arial" w:hAnsi="Arial" w:cs="Arial"/>
                <w:b/>
                <w:bCs/>
                <w:color w:val="000000"/>
                <w:sz w:val="14"/>
                <w:szCs w:val="14"/>
                <w:lang w:eastAsia="es-AR"/>
              </w:rPr>
            </w:pPr>
            <w:r w:rsidRPr="00B54E50">
              <w:rPr>
                <w:rFonts w:ascii="Arial" w:hAnsi="Arial" w:cs="Arial"/>
                <w:b/>
                <w:bCs/>
                <w:color w:val="000000"/>
                <w:sz w:val="14"/>
                <w:szCs w:val="14"/>
                <w:lang w:val="en-GB" w:eastAsia="es-AR"/>
              </w:rPr>
              <w:t>MONEDA FUNCIONAL</w:t>
            </w: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6FC87" w14:textId="77777777" w:rsidR="00651653" w:rsidRPr="00B54E50" w:rsidRDefault="00651653" w:rsidP="00931F52">
            <w:pPr>
              <w:jc w:val="center"/>
              <w:rPr>
                <w:rFonts w:ascii="Arial" w:hAnsi="Arial" w:cs="Arial"/>
                <w:b/>
                <w:bCs/>
                <w:color w:val="000000"/>
                <w:sz w:val="14"/>
                <w:szCs w:val="14"/>
                <w:lang w:eastAsia="es-AR"/>
              </w:rPr>
            </w:pPr>
            <w:r w:rsidRPr="00B54E50">
              <w:rPr>
                <w:rFonts w:ascii="Arial" w:hAnsi="Arial" w:cs="Arial"/>
                <w:b/>
                <w:bCs/>
                <w:color w:val="000000"/>
                <w:sz w:val="14"/>
                <w:szCs w:val="14"/>
                <w:lang w:val="en-GB" w:eastAsia="es-AR"/>
              </w:rPr>
              <w:t>FECHA DE CIERRE</w:t>
            </w:r>
          </w:p>
        </w:tc>
        <w:tc>
          <w:tcPr>
            <w:tcW w:w="2320" w:type="pct"/>
            <w:gridSpan w:val="5"/>
            <w:tcBorders>
              <w:top w:val="single" w:sz="4" w:space="0" w:color="auto"/>
              <w:left w:val="nil"/>
              <w:bottom w:val="single" w:sz="4" w:space="0" w:color="auto"/>
              <w:right w:val="single" w:sz="4" w:space="0" w:color="auto"/>
            </w:tcBorders>
            <w:shd w:val="clear" w:color="auto" w:fill="auto"/>
            <w:noWrap/>
            <w:vAlign w:val="center"/>
            <w:hideMark/>
          </w:tcPr>
          <w:p w14:paraId="2036B162" w14:textId="15982021" w:rsidR="00651653" w:rsidRPr="00B54E50" w:rsidRDefault="00651653" w:rsidP="00931F52">
            <w:pPr>
              <w:jc w:val="center"/>
              <w:rPr>
                <w:rFonts w:ascii="Arial" w:hAnsi="Arial" w:cs="Arial"/>
                <w:b/>
                <w:bCs/>
                <w:color w:val="000000"/>
                <w:sz w:val="14"/>
                <w:szCs w:val="14"/>
                <w:lang w:eastAsia="es-AR"/>
              </w:rPr>
            </w:pPr>
            <w:r w:rsidRPr="00B54E50">
              <w:rPr>
                <w:rFonts w:ascii="Arial" w:hAnsi="Arial" w:cs="Arial"/>
                <w:b/>
                <w:bCs/>
                <w:color w:val="000000"/>
                <w:sz w:val="14"/>
                <w:szCs w:val="14"/>
                <w:lang w:eastAsia="es-AR"/>
              </w:rPr>
              <w:t>PARTICIPACIÓN PORCENTUAL</w:t>
            </w:r>
          </w:p>
        </w:tc>
      </w:tr>
      <w:tr w:rsidR="00651653" w:rsidRPr="00B54E50" w14:paraId="36E48DCA" w14:textId="77777777" w:rsidTr="00651653">
        <w:trPr>
          <w:gridAfter w:val="1"/>
          <w:wAfter w:w="9" w:type="pct"/>
          <w:trHeight w:val="191"/>
        </w:trPr>
        <w:tc>
          <w:tcPr>
            <w:tcW w:w="531" w:type="pct"/>
            <w:vMerge/>
            <w:tcBorders>
              <w:top w:val="single" w:sz="4" w:space="0" w:color="auto"/>
              <w:left w:val="single" w:sz="4" w:space="0" w:color="auto"/>
              <w:bottom w:val="single" w:sz="4" w:space="0" w:color="auto"/>
              <w:right w:val="single" w:sz="4" w:space="0" w:color="auto"/>
            </w:tcBorders>
            <w:vAlign w:val="center"/>
            <w:hideMark/>
          </w:tcPr>
          <w:p w14:paraId="358CB844" w14:textId="77777777" w:rsidR="00651653" w:rsidRPr="00B54E50" w:rsidRDefault="00651653" w:rsidP="00931F52">
            <w:pPr>
              <w:jc w:val="both"/>
              <w:rPr>
                <w:rFonts w:ascii="Arial" w:hAnsi="Arial" w:cs="Arial"/>
                <w:b/>
                <w:bCs/>
                <w:color w:val="000000"/>
                <w:sz w:val="14"/>
                <w:szCs w:val="14"/>
                <w:lang w:eastAsia="es-AR"/>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14:paraId="7285DC9F" w14:textId="77777777" w:rsidR="00651653" w:rsidRPr="00B54E50" w:rsidRDefault="00651653" w:rsidP="00931F52">
            <w:pPr>
              <w:jc w:val="center"/>
              <w:rPr>
                <w:rFonts w:ascii="Arial" w:hAnsi="Arial" w:cs="Arial"/>
                <w:b/>
                <w:bCs/>
                <w:color w:val="000000"/>
                <w:sz w:val="14"/>
                <w:szCs w:val="14"/>
                <w:lang w:eastAsia="es-AR"/>
              </w:rPr>
            </w:pP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146DAA63" w14:textId="77777777" w:rsidR="00651653" w:rsidRPr="00B54E50" w:rsidRDefault="00651653" w:rsidP="00931F52">
            <w:pPr>
              <w:jc w:val="center"/>
              <w:rPr>
                <w:rFonts w:ascii="Arial" w:hAnsi="Arial" w:cs="Arial"/>
                <w:b/>
                <w:bCs/>
                <w:color w:val="000000"/>
                <w:sz w:val="14"/>
                <w:szCs w:val="14"/>
                <w:lang w:eastAsia="es-AR"/>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4E2E5DB9" w14:textId="77777777" w:rsidR="00651653" w:rsidRPr="00B54E50" w:rsidRDefault="00651653" w:rsidP="00931F52">
            <w:pPr>
              <w:jc w:val="center"/>
              <w:rPr>
                <w:rFonts w:ascii="Arial" w:hAnsi="Arial" w:cs="Arial"/>
                <w:b/>
                <w:bCs/>
                <w:color w:val="000000"/>
                <w:sz w:val="14"/>
                <w:szCs w:val="14"/>
                <w:lang w:eastAsia="es-AR"/>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14:paraId="63CE602A" w14:textId="77777777" w:rsidR="00651653" w:rsidRPr="00B54E50" w:rsidRDefault="00651653" w:rsidP="00931F52">
            <w:pPr>
              <w:jc w:val="center"/>
              <w:rPr>
                <w:rFonts w:ascii="Arial" w:hAnsi="Arial" w:cs="Arial"/>
                <w:b/>
                <w:bCs/>
                <w:color w:val="000000"/>
                <w:sz w:val="14"/>
                <w:szCs w:val="14"/>
                <w:lang w:eastAsia="es-AR"/>
              </w:rPr>
            </w:pPr>
          </w:p>
        </w:tc>
        <w:tc>
          <w:tcPr>
            <w:tcW w:w="1157" w:type="pct"/>
            <w:gridSpan w:val="2"/>
            <w:tcBorders>
              <w:top w:val="single" w:sz="4" w:space="0" w:color="auto"/>
              <w:left w:val="nil"/>
              <w:bottom w:val="single" w:sz="4" w:space="0" w:color="auto"/>
              <w:right w:val="single" w:sz="4" w:space="0" w:color="auto"/>
            </w:tcBorders>
            <w:shd w:val="clear" w:color="auto" w:fill="auto"/>
            <w:noWrap/>
            <w:vAlign w:val="center"/>
            <w:hideMark/>
          </w:tcPr>
          <w:p w14:paraId="7F4C22EA" w14:textId="31B527D0" w:rsidR="00651653" w:rsidRPr="00B54E50" w:rsidRDefault="00651653" w:rsidP="00931F52">
            <w:pPr>
              <w:jc w:val="center"/>
              <w:rPr>
                <w:rFonts w:ascii="Arial" w:hAnsi="Arial" w:cs="Arial"/>
                <w:b/>
                <w:bCs/>
                <w:color w:val="000000"/>
                <w:sz w:val="14"/>
                <w:szCs w:val="14"/>
                <w:lang w:val="es-ES_tradnl" w:eastAsia="es-AR"/>
              </w:rPr>
            </w:pPr>
            <w:r w:rsidRPr="00B54E50">
              <w:rPr>
                <w:rFonts w:ascii="Arial" w:hAnsi="Arial" w:cs="Arial"/>
                <w:b/>
                <w:bCs/>
                <w:color w:val="000000"/>
                <w:sz w:val="14"/>
                <w:szCs w:val="14"/>
                <w:lang w:eastAsia="es-AR"/>
              </w:rPr>
              <w:t>31/12/201</w:t>
            </w:r>
            <w:r>
              <w:rPr>
                <w:rFonts w:ascii="Arial" w:hAnsi="Arial" w:cs="Arial"/>
                <w:b/>
                <w:bCs/>
                <w:color w:val="000000"/>
                <w:sz w:val="14"/>
                <w:szCs w:val="14"/>
                <w:lang w:eastAsia="es-AR"/>
              </w:rPr>
              <w:t>9</w:t>
            </w:r>
          </w:p>
        </w:tc>
        <w:tc>
          <w:tcPr>
            <w:tcW w:w="1154" w:type="pct"/>
            <w:gridSpan w:val="2"/>
            <w:tcBorders>
              <w:top w:val="single" w:sz="4" w:space="0" w:color="auto"/>
              <w:left w:val="nil"/>
              <w:bottom w:val="single" w:sz="4" w:space="0" w:color="auto"/>
              <w:right w:val="single" w:sz="4" w:space="0" w:color="auto"/>
            </w:tcBorders>
            <w:shd w:val="clear" w:color="auto" w:fill="auto"/>
            <w:noWrap/>
            <w:vAlign w:val="center"/>
            <w:hideMark/>
          </w:tcPr>
          <w:p w14:paraId="26E46E49" w14:textId="5C4705FC" w:rsidR="00651653" w:rsidRPr="00B54E50" w:rsidRDefault="00651653" w:rsidP="00931F52">
            <w:pPr>
              <w:jc w:val="center"/>
              <w:rPr>
                <w:rFonts w:ascii="Arial" w:hAnsi="Arial" w:cs="Arial"/>
                <w:b/>
                <w:bCs/>
                <w:color w:val="000000"/>
                <w:sz w:val="14"/>
                <w:szCs w:val="14"/>
                <w:lang w:val="es-ES_tradnl" w:eastAsia="es-AR"/>
              </w:rPr>
            </w:pPr>
            <w:r w:rsidRPr="00B54E50">
              <w:rPr>
                <w:rFonts w:ascii="Arial" w:hAnsi="Arial" w:cs="Arial"/>
                <w:b/>
                <w:bCs/>
                <w:color w:val="000000"/>
                <w:sz w:val="14"/>
                <w:szCs w:val="14"/>
                <w:lang w:eastAsia="es-AR"/>
              </w:rPr>
              <w:t>31/12/201</w:t>
            </w:r>
            <w:r>
              <w:rPr>
                <w:rFonts w:ascii="Arial" w:hAnsi="Arial" w:cs="Arial"/>
                <w:b/>
                <w:bCs/>
                <w:color w:val="000000"/>
                <w:sz w:val="14"/>
                <w:szCs w:val="14"/>
                <w:lang w:eastAsia="es-AR"/>
              </w:rPr>
              <w:t>8</w:t>
            </w:r>
          </w:p>
        </w:tc>
      </w:tr>
      <w:tr w:rsidR="00651653" w:rsidRPr="00B54E50" w14:paraId="58369D23" w14:textId="77777777" w:rsidTr="00651653">
        <w:trPr>
          <w:gridAfter w:val="1"/>
          <w:wAfter w:w="9" w:type="pct"/>
          <w:trHeight w:val="191"/>
        </w:trPr>
        <w:tc>
          <w:tcPr>
            <w:tcW w:w="531" w:type="pct"/>
            <w:vMerge/>
            <w:tcBorders>
              <w:top w:val="single" w:sz="4" w:space="0" w:color="auto"/>
              <w:left w:val="single" w:sz="4" w:space="0" w:color="auto"/>
              <w:bottom w:val="single" w:sz="4" w:space="0" w:color="auto"/>
              <w:right w:val="single" w:sz="4" w:space="0" w:color="auto"/>
            </w:tcBorders>
            <w:vAlign w:val="center"/>
            <w:hideMark/>
          </w:tcPr>
          <w:p w14:paraId="79205BF7" w14:textId="77777777" w:rsidR="00651653" w:rsidRPr="00B54E50" w:rsidRDefault="00651653" w:rsidP="00931F52">
            <w:pPr>
              <w:jc w:val="both"/>
              <w:rPr>
                <w:rFonts w:ascii="Arial" w:hAnsi="Arial" w:cs="Arial"/>
                <w:b/>
                <w:bCs/>
                <w:color w:val="000000"/>
                <w:sz w:val="14"/>
                <w:szCs w:val="14"/>
                <w:lang w:eastAsia="es-AR"/>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14:paraId="69750DE9" w14:textId="77777777" w:rsidR="00651653" w:rsidRPr="00B54E50" w:rsidRDefault="00651653" w:rsidP="00931F52">
            <w:pPr>
              <w:jc w:val="center"/>
              <w:rPr>
                <w:rFonts w:ascii="Arial" w:hAnsi="Arial" w:cs="Arial"/>
                <w:b/>
                <w:bCs/>
                <w:color w:val="000000"/>
                <w:sz w:val="14"/>
                <w:szCs w:val="14"/>
                <w:lang w:eastAsia="es-AR"/>
              </w:rPr>
            </w:pPr>
          </w:p>
        </w:tc>
        <w:tc>
          <w:tcPr>
            <w:tcW w:w="494" w:type="pct"/>
            <w:vMerge/>
            <w:tcBorders>
              <w:top w:val="single" w:sz="4" w:space="0" w:color="auto"/>
              <w:left w:val="single" w:sz="4" w:space="0" w:color="auto"/>
              <w:bottom w:val="single" w:sz="4" w:space="0" w:color="auto"/>
              <w:right w:val="single" w:sz="4" w:space="0" w:color="auto"/>
            </w:tcBorders>
            <w:vAlign w:val="center"/>
            <w:hideMark/>
          </w:tcPr>
          <w:p w14:paraId="4AA39529" w14:textId="77777777" w:rsidR="00651653" w:rsidRPr="00B54E50" w:rsidRDefault="00651653" w:rsidP="00931F52">
            <w:pPr>
              <w:jc w:val="center"/>
              <w:rPr>
                <w:rFonts w:ascii="Arial" w:hAnsi="Arial" w:cs="Arial"/>
                <w:b/>
                <w:bCs/>
                <w:color w:val="000000"/>
                <w:sz w:val="14"/>
                <w:szCs w:val="14"/>
                <w:lang w:eastAsia="es-AR"/>
              </w:rPr>
            </w:pPr>
          </w:p>
        </w:tc>
        <w:tc>
          <w:tcPr>
            <w:tcW w:w="579" w:type="pct"/>
            <w:vMerge/>
            <w:tcBorders>
              <w:top w:val="single" w:sz="4" w:space="0" w:color="auto"/>
              <w:left w:val="single" w:sz="4" w:space="0" w:color="auto"/>
              <w:bottom w:val="single" w:sz="4" w:space="0" w:color="auto"/>
              <w:right w:val="single" w:sz="4" w:space="0" w:color="auto"/>
            </w:tcBorders>
            <w:vAlign w:val="center"/>
            <w:hideMark/>
          </w:tcPr>
          <w:p w14:paraId="009E26DB" w14:textId="77777777" w:rsidR="00651653" w:rsidRPr="00B54E50" w:rsidRDefault="00651653" w:rsidP="00931F52">
            <w:pPr>
              <w:jc w:val="center"/>
              <w:rPr>
                <w:rFonts w:ascii="Arial" w:hAnsi="Arial" w:cs="Arial"/>
                <w:b/>
                <w:bCs/>
                <w:color w:val="000000"/>
                <w:sz w:val="14"/>
                <w:szCs w:val="14"/>
                <w:lang w:eastAsia="es-AR"/>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14:paraId="4E4554AF" w14:textId="77777777" w:rsidR="00651653" w:rsidRPr="00B54E50" w:rsidRDefault="00651653" w:rsidP="00931F52">
            <w:pPr>
              <w:jc w:val="center"/>
              <w:rPr>
                <w:rFonts w:ascii="Arial" w:hAnsi="Arial" w:cs="Arial"/>
                <w:b/>
                <w:bCs/>
                <w:color w:val="000000"/>
                <w:sz w:val="14"/>
                <w:szCs w:val="14"/>
                <w:lang w:eastAsia="es-AR"/>
              </w:rPr>
            </w:pP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14:paraId="54CE8F19" w14:textId="77777777" w:rsidR="00651653" w:rsidRPr="00B54E50" w:rsidRDefault="00651653" w:rsidP="00931F52">
            <w:pPr>
              <w:jc w:val="center"/>
              <w:rPr>
                <w:rFonts w:ascii="Arial" w:hAnsi="Arial" w:cs="Arial"/>
                <w:b/>
                <w:bCs/>
                <w:color w:val="000000"/>
                <w:sz w:val="14"/>
                <w:szCs w:val="14"/>
                <w:lang w:val="es-ES_tradnl" w:eastAsia="es-AR"/>
              </w:rPr>
            </w:pPr>
            <w:r w:rsidRPr="00B54E50">
              <w:rPr>
                <w:rFonts w:ascii="Arial" w:hAnsi="Arial" w:cs="Arial"/>
                <w:b/>
                <w:bCs/>
                <w:color w:val="000000"/>
                <w:sz w:val="14"/>
                <w:szCs w:val="14"/>
                <w:lang w:val="en-GB" w:eastAsia="es-AR"/>
              </w:rPr>
              <w:t>DIRECTA</w:t>
            </w:r>
          </w:p>
        </w:tc>
        <w:tc>
          <w:tcPr>
            <w:tcW w:w="660" w:type="pct"/>
            <w:tcBorders>
              <w:top w:val="single" w:sz="4" w:space="0" w:color="auto"/>
              <w:left w:val="nil"/>
              <w:bottom w:val="single" w:sz="4" w:space="0" w:color="auto"/>
              <w:right w:val="single" w:sz="4" w:space="0" w:color="auto"/>
            </w:tcBorders>
            <w:shd w:val="clear" w:color="auto" w:fill="auto"/>
            <w:noWrap/>
            <w:vAlign w:val="center"/>
            <w:hideMark/>
          </w:tcPr>
          <w:p w14:paraId="13548900" w14:textId="77777777" w:rsidR="00651653" w:rsidRPr="00B54E50" w:rsidRDefault="00651653" w:rsidP="00931F52">
            <w:pPr>
              <w:jc w:val="center"/>
              <w:rPr>
                <w:rFonts w:ascii="Arial" w:hAnsi="Arial" w:cs="Arial"/>
                <w:b/>
                <w:bCs/>
                <w:color w:val="000000"/>
                <w:sz w:val="14"/>
                <w:szCs w:val="14"/>
                <w:lang w:val="es-ES_tradnl" w:eastAsia="es-AR"/>
              </w:rPr>
            </w:pPr>
            <w:r w:rsidRPr="00B54E50">
              <w:rPr>
                <w:rFonts w:ascii="Arial" w:hAnsi="Arial" w:cs="Arial"/>
                <w:b/>
                <w:bCs/>
                <w:color w:val="000000"/>
                <w:sz w:val="14"/>
                <w:szCs w:val="14"/>
                <w:lang w:val="en-GB" w:eastAsia="es-AR"/>
              </w:rPr>
              <w:t>DIRECTA MÁS INDIRECTA</w:t>
            </w:r>
          </w:p>
        </w:tc>
        <w:tc>
          <w:tcPr>
            <w:tcW w:w="496" w:type="pct"/>
            <w:tcBorders>
              <w:top w:val="single" w:sz="4" w:space="0" w:color="auto"/>
              <w:left w:val="nil"/>
              <w:bottom w:val="single" w:sz="4" w:space="0" w:color="auto"/>
              <w:right w:val="single" w:sz="4" w:space="0" w:color="auto"/>
            </w:tcBorders>
            <w:shd w:val="clear" w:color="auto" w:fill="auto"/>
            <w:noWrap/>
            <w:vAlign w:val="center"/>
            <w:hideMark/>
          </w:tcPr>
          <w:p w14:paraId="2D189374" w14:textId="77777777" w:rsidR="00651653" w:rsidRPr="00B54E50" w:rsidRDefault="00651653" w:rsidP="00931F52">
            <w:pPr>
              <w:jc w:val="center"/>
              <w:rPr>
                <w:rFonts w:ascii="Arial" w:hAnsi="Arial" w:cs="Arial"/>
                <w:b/>
                <w:bCs/>
                <w:color w:val="000000"/>
                <w:sz w:val="14"/>
                <w:szCs w:val="14"/>
                <w:lang w:val="es-ES_tradnl" w:eastAsia="es-AR"/>
              </w:rPr>
            </w:pPr>
            <w:r w:rsidRPr="00B54E50">
              <w:rPr>
                <w:rFonts w:ascii="Arial" w:hAnsi="Arial" w:cs="Arial"/>
                <w:b/>
                <w:bCs/>
                <w:color w:val="000000"/>
                <w:sz w:val="14"/>
                <w:szCs w:val="14"/>
                <w:lang w:val="en-GB" w:eastAsia="es-AR"/>
              </w:rPr>
              <w:t>DIRECTA</w:t>
            </w:r>
          </w:p>
        </w:tc>
        <w:tc>
          <w:tcPr>
            <w:tcW w:w="658" w:type="pct"/>
            <w:tcBorders>
              <w:top w:val="single" w:sz="4" w:space="0" w:color="auto"/>
              <w:left w:val="nil"/>
              <w:bottom w:val="single" w:sz="4" w:space="0" w:color="auto"/>
              <w:right w:val="single" w:sz="4" w:space="0" w:color="auto"/>
            </w:tcBorders>
            <w:shd w:val="clear" w:color="auto" w:fill="auto"/>
            <w:noWrap/>
            <w:vAlign w:val="center"/>
            <w:hideMark/>
          </w:tcPr>
          <w:p w14:paraId="22DD8370" w14:textId="77777777" w:rsidR="00651653" w:rsidRPr="00B54E50" w:rsidRDefault="00651653" w:rsidP="00931F52">
            <w:pPr>
              <w:jc w:val="center"/>
              <w:rPr>
                <w:rFonts w:ascii="Arial" w:hAnsi="Arial" w:cs="Arial"/>
                <w:b/>
                <w:bCs/>
                <w:color w:val="000000"/>
                <w:sz w:val="14"/>
                <w:szCs w:val="14"/>
                <w:lang w:val="es-ES_tradnl" w:eastAsia="es-AR"/>
              </w:rPr>
            </w:pPr>
            <w:r w:rsidRPr="00B54E50">
              <w:rPr>
                <w:rFonts w:ascii="Arial" w:hAnsi="Arial" w:cs="Arial"/>
                <w:b/>
                <w:bCs/>
                <w:color w:val="000000"/>
                <w:sz w:val="14"/>
                <w:szCs w:val="14"/>
                <w:lang w:val="en-GB" w:eastAsia="es-AR"/>
              </w:rPr>
              <w:t>DIRECTA MÁS INDIRECTA</w:t>
            </w:r>
          </w:p>
        </w:tc>
      </w:tr>
      <w:tr w:rsidR="00651653" w:rsidRPr="00B54E50" w14:paraId="5C35148F" w14:textId="77777777" w:rsidTr="00651653">
        <w:trPr>
          <w:gridAfter w:val="1"/>
          <w:wAfter w:w="9" w:type="pct"/>
          <w:trHeight w:val="191"/>
        </w:trPr>
        <w:tc>
          <w:tcPr>
            <w:tcW w:w="531" w:type="pct"/>
            <w:tcBorders>
              <w:top w:val="single" w:sz="4" w:space="0" w:color="auto"/>
              <w:left w:val="single" w:sz="4" w:space="0" w:color="auto"/>
              <w:bottom w:val="single" w:sz="4" w:space="0" w:color="auto"/>
              <w:right w:val="single" w:sz="4" w:space="0" w:color="auto"/>
            </w:tcBorders>
            <w:vAlign w:val="center"/>
          </w:tcPr>
          <w:p w14:paraId="42372C58" w14:textId="77777777" w:rsidR="00651653" w:rsidRPr="00B54E50" w:rsidRDefault="00651653" w:rsidP="00931F52">
            <w:pPr>
              <w:jc w:val="both"/>
              <w:rPr>
                <w:rFonts w:ascii="Arial" w:hAnsi="Arial" w:cs="Arial"/>
                <w:b/>
                <w:bCs/>
                <w:color w:val="000000"/>
                <w:sz w:val="14"/>
                <w:szCs w:val="14"/>
                <w:lang w:eastAsia="es-AR"/>
              </w:rPr>
            </w:pPr>
            <w:r w:rsidRPr="00B54E50">
              <w:rPr>
                <w:rFonts w:ascii="Arial" w:hAnsi="Arial" w:cs="Arial"/>
                <w:b/>
                <w:bCs/>
                <w:color w:val="000000"/>
                <w:sz w:val="14"/>
                <w:szCs w:val="14"/>
                <w:lang w:eastAsia="es-AR"/>
              </w:rPr>
              <w:t>Cordial Compañía Financiera S.A.</w:t>
            </w:r>
          </w:p>
        </w:tc>
        <w:tc>
          <w:tcPr>
            <w:tcW w:w="501" w:type="pct"/>
            <w:tcBorders>
              <w:top w:val="single" w:sz="4" w:space="0" w:color="auto"/>
              <w:left w:val="single" w:sz="4" w:space="0" w:color="auto"/>
              <w:bottom w:val="single" w:sz="4" w:space="0" w:color="auto"/>
              <w:right w:val="single" w:sz="4" w:space="0" w:color="auto"/>
            </w:tcBorders>
            <w:vAlign w:val="center"/>
          </w:tcPr>
          <w:p w14:paraId="59AD03A2" w14:textId="77777777" w:rsidR="00651653" w:rsidRPr="00B54E50" w:rsidRDefault="00651653" w:rsidP="00931F52">
            <w:pPr>
              <w:jc w:val="both"/>
              <w:rPr>
                <w:rFonts w:ascii="Arial" w:hAnsi="Arial" w:cs="Arial"/>
                <w:b/>
                <w:bCs/>
                <w:color w:val="000000"/>
                <w:sz w:val="14"/>
                <w:szCs w:val="14"/>
                <w:lang w:eastAsia="es-AR"/>
              </w:rPr>
            </w:pPr>
            <w:r w:rsidRPr="00B54E50">
              <w:rPr>
                <w:rFonts w:ascii="Arial" w:hAnsi="Arial" w:cs="Arial"/>
                <w:b/>
                <w:bCs/>
                <w:color w:val="000000"/>
                <w:sz w:val="14"/>
                <w:szCs w:val="14"/>
                <w:lang w:eastAsia="es-AR"/>
              </w:rPr>
              <w:t>Argentina</w:t>
            </w:r>
          </w:p>
        </w:tc>
        <w:tc>
          <w:tcPr>
            <w:tcW w:w="494" w:type="pct"/>
            <w:tcBorders>
              <w:top w:val="single" w:sz="4" w:space="0" w:color="auto"/>
              <w:left w:val="single" w:sz="4" w:space="0" w:color="auto"/>
              <w:bottom w:val="single" w:sz="4" w:space="0" w:color="auto"/>
              <w:right w:val="single" w:sz="4" w:space="0" w:color="auto"/>
            </w:tcBorders>
            <w:vAlign w:val="center"/>
          </w:tcPr>
          <w:p w14:paraId="5D714B9F" w14:textId="77777777" w:rsidR="00651653" w:rsidRPr="00B54E50" w:rsidRDefault="00651653" w:rsidP="00651653">
            <w:pPr>
              <w:jc w:val="center"/>
              <w:rPr>
                <w:rFonts w:ascii="Arial" w:hAnsi="Arial" w:cs="Arial"/>
                <w:b/>
                <w:bCs/>
                <w:color w:val="000000"/>
                <w:sz w:val="14"/>
                <w:szCs w:val="14"/>
                <w:lang w:eastAsia="es-AR"/>
              </w:rPr>
            </w:pPr>
            <w:r w:rsidRPr="00B54E50">
              <w:rPr>
                <w:rFonts w:ascii="Arial" w:hAnsi="Arial" w:cs="Arial"/>
                <w:b/>
                <w:bCs/>
                <w:color w:val="000000"/>
                <w:sz w:val="14"/>
                <w:szCs w:val="14"/>
                <w:lang w:eastAsia="es-AR"/>
              </w:rPr>
              <w:t>ARP</w:t>
            </w:r>
          </w:p>
        </w:tc>
        <w:tc>
          <w:tcPr>
            <w:tcW w:w="579" w:type="pct"/>
            <w:tcBorders>
              <w:top w:val="single" w:sz="4" w:space="0" w:color="auto"/>
              <w:left w:val="single" w:sz="4" w:space="0" w:color="auto"/>
              <w:bottom w:val="single" w:sz="4" w:space="0" w:color="auto"/>
              <w:right w:val="single" w:sz="4" w:space="0" w:color="auto"/>
            </w:tcBorders>
            <w:vAlign w:val="center"/>
          </w:tcPr>
          <w:p w14:paraId="5E6EF092" w14:textId="77777777" w:rsidR="00651653" w:rsidRPr="00B54E50" w:rsidRDefault="00651653" w:rsidP="00651653">
            <w:pPr>
              <w:jc w:val="center"/>
              <w:rPr>
                <w:rFonts w:ascii="Arial" w:hAnsi="Arial" w:cs="Arial"/>
                <w:b/>
                <w:bCs/>
                <w:color w:val="000000"/>
                <w:sz w:val="14"/>
                <w:szCs w:val="14"/>
                <w:lang w:eastAsia="es-AR"/>
              </w:rPr>
            </w:pPr>
            <w:r w:rsidRPr="00B54E50">
              <w:rPr>
                <w:rFonts w:ascii="Arial" w:hAnsi="Arial" w:cs="Arial"/>
                <w:b/>
                <w:bCs/>
                <w:color w:val="000000"/>
                <w:sz w:val="14"/>
                <w:szCs w:val="14"/>
                <w:lang w:eastAsia="es-AR"/>
              </w:rPr>
              <w:t>ARP</w:t>
            </w:r>
          </w:p>
        </w:tc>
        <w:tc>
          <w:tcPr>
            <w:tcW w:w="576" w:type="pct"/>
            <w:tcBorders>
              <w:top w:val="single" w:sz="4" w:space="0" w:color="auto"/>
              <w:left w:val="single" w:sz="4" w:space="0" w:color="auto"/>
              <w:bottom w:val="single" w:sz="4" w:space="0" w:color="auto"/>
              <w:right w:val="single" w:sz="4" w:space="0" w:color="auto"/>
            </w:tcBorders>
            <w:vAlign w:val="center"/>
          </w:tcPr>
          <w:p w14:paraId="610FFAC3" w14:textId="48E624DA" w:rsidR="00651653" w:rsidRPr="00B54E50" w:rsidRDefault="00651653" w:rsidP="00931F52">
            <w:pPr>
              <w:jc w:val="center"/>
              <w:rPr>
                <w:rFonts w:ascii="Arial" w:hAnsi="Arial" w:cs="Arial"/>
                <w:b/>
                <w:bCs/>
                <w:color w:val="000000"/>
                <w:sz w:val="14"/>
                <w:szCs w:val="14"/>
                <w:lang w:val="es-ES_tradnl" w:eastAsia="es-AR"/>
              </w:rPr>
            </w:pPr>
            <w:r w:rsidRPr="00B54E50">
              <w:rPr>
                <w:rFonts w:ascii="Arial" w:hAnsi="Arial" w:cs="Arial"/>
                <w:b/>
                <w:bCs/>
                <w:color w:val="000000"/>
                <w:sz w:val="14"/>
                <w:szCs w:val="14"/>
                <w:lang w:eastAsia="es-AR"/>
              </w:rPr>
              <w:t>31/12/201</w:t>
            </w:r>
            <w:r>
              <w:rPr>
                <w:rFonts w:ascii="Arial" w:hAnsi="Arial" w:cs="Arial"/>
                <w:b/>
                <w:bCs/>
                <w:color w:val="000000"/>
                <w:sz w:val="14"/>
                <w:szCs w:val="14"/>
                <w:lang w:eastAsia="es-AR"/>
              </w:rPr>
              <w:t>9</w:t>
            </w:r>
          </w:p>
        </w:tc>
        <w:tc>
          <w:tcPr>
            <w:tcW w:w="497" w:type="pct"/>
            <w:tcBorders>
              <w:top w:val="single" w:sz="4" w:space="0" w:color="auto"/>
              <w:left w:val="nil"/>
              <w:bottom w:val="single" w:sz="4" w:space="0" w:color="auto"/>
              <w:right w:val="single" w:sz="4" w:space="0" w:color="auto"/>
            </w:tcBorders>
            <w:shd w:val="clear" w:color="auto" w:fill="auto"/>
            <w:noWrap/>
            <w:vAlign w:val="center"/>
          </w:tcPr>
          <w:p w14:paraId="3D13EFFE" w14:textId="77777777" w:rsidR="00651653" w:rsidRPr="00B54E50" w:rsidRDefault="00651653" w:rsidP="00931F52">
            <w:pPr>
              <w:jc w:val="center"/>
              <w:rPr>
                <w:rFonts w:ascii="Arial" w:hAnsi="Arial" w:cs="Arial"/>
                <w:b/>
                <w:bCs/>
                <w:color w:val="000000"/>
                <w:sz w:val="14"/>
                <w:szCs w:val="14"/>
                <w:lang w:val="en-GB" w:eastAsia="es-AR"/>
              </w:rPr>
            </w:pPr>
            <w:r w:rsidRPr="00B54E50">
              <w:rPr>
                <w:rFonts w:ascii="Arial" w:hAnsi="Arial" w:cs="Arial"/>
                <w:b/>
                <w:bCs/>
                <w:color w:val="000000"/>
                <w:sz w:val="14"/>
                <w:szCs w:val="14"/>
                <w:lang w:val="en-GB" w:eastAsia="es-AR"/>
              </w:rPr>
              <w:t>95%</w:t>
            </w:r>
          </w:p>
        </w:tc>
        <w:tc>
          <w:tcPr>
            <w:tcW w:w="660" w:type="pct"/>
            <w:tcBorders>
              <w:top w:val="single" w:sz="4" w:space="0" w:color="auto"/>
              <w:left w:val="nil"/>
              <w:bottom w:val="single" w:sz="4" w:space="0" w:color="auto"/>
              <w:right w:val="single" w:sz="4" w:space="0" w:color="auto"/>
            </w:tcBorders>
            <w:shd w:val="clear" w:color="auto" w:fill="auto"/>
            <w:noWrap/>
            <w:vAlign w:val="center"/>
          </w:tcPr>
          <w:p w14:paraId="40EAC55B" w14:textId="77777777" w:rsidR="00651653" w:rsidRPr="00B54E50" w:rsidRDefault="00651653" w:rsidP="00931F52">
            <w:pPr>
              <w:jc w:val="center"/>
              <w:rPr>
                <w:rFonts w:ascii="Arial" w:hAnsi="Arial" w:cs="Arial"/>
                <w:b/>
                <w:bCs/>
                <w:color w:val="000000"/>
                <w:sz w:val="14"/>
                <w:szCs w:val="14"/>
                <w:lang w:val="en-GB" w:eastAsia="es-AR"/>
              </w:rPr>
            </w:pPr>
            <w:r w:rsidRPr="00B54E50">
              <w:rPr>
                <w:rFonts w:ascii="Arial" w:hAnsi="Arial" w:cs="Arial"/>
                <w:b/>
                <w:bCs/>
                <w:color w:val="000000"/>
                <w:sz w:val="14"/>
                <w:szCs w:val="14"/>
                <w:lang w:val="en-GB" w:eastAsia="es-AR"/>
              </w:rPr>
              <w:t>95%</w:t>
            </w:r>
          </w:p>
        </w:tc>
        <w:tc>
          <w:tcPr>
            <w:tcW w:w="496" w:type="pct"/>
            <w:tcBorders>
              <w:top w:val="single" w:sz="4" w:space="0" w:color="auto"/>
              <w:left w:val="nil"/>
              <w:bottom w:val="single" w:sz="4" w:space="0" w:color="auto"/>
              <w:right w:val="single" w:sz="4" w:space="0" w:color="auto"/>
            </w:tcBorders>
            <w:shd w:val="clear" w:color="auto" w:fill="auto"/>
            <w:noWrap/>
            <w:vAlign w:val="center"/>
          </w:tcPr>
          <w:p w14:paraId="09A204FC" w14:textId="77777777" w:rsidR="00651653" w:rsidRPr="00B54E50" w:rsidRDefault="00651653" w:rsidP="00931F52">
            <w:pPr>
              <w:jc w:val="center"/>
              <w:rPr>
                <w:rFonts w:ascii="Arial" w:hAnsi="Arial" w:cs="Arial"/>
                <w:b/>
                <w:bCs/>
                <w:color w:val="000000"/>
                <w:sz w:val="14"/>
                <w:szCs w:val="14"/>
                <w:lang w:val="en-GB" w:eastAsia="es-AR"/>
              </w:rPr>
            </w:pPr>
            <w:r w:rsidRPr="00B54E50">
              <w:rPr>
                <w:rFonts w:ascii="Arial" w:hAnsi="Arial" w:cs="Arial"/>
                <w:b/>
                <w:bCs/>
                <w:color w:val="000000"/>
                <w:sz w:val="14"/>
                <w:szCs w:val="14"/>
                <w:lang w:val="en-GB" w:eastAsia="es-AR"/>
              </w:rPr>
              <w:t>95%</w:t>
            </w:r>
          </w:p>
        </w:tc>
        <w:tc>
          <w:tcPr>
            <w:tcW w:w="658" w:type="pct"/>
            <w:tcBorders>
              <w:top w:val="single" w:sz="4" w:space="0" w:color="auto"/>
              <w:left w:val="nil"/>
              <w:bottom w:val="single" w:sz="4" w:space="0" w:color="auto"/>
              <w:right w:val="single" w:sz="4" w:space="0" w:color="auto"/>
            </w:tcBorders>
            <w:shd w:val="clear" w:color="auto" w:fill="auto"/>
            <w:noWrap/>
            <w:vAlign w:val="center"/>
          </w:tcPr>
          <w:p w14:paraId="27A5F19E" w14:textId="77777777" w:rsidR="00651653" w:rsidRPr="00B54E50" w:rsidRDefault="00651653" w:rsidP="00931F52">
            <w:pPr>
              <w:jc w:val="center"/>
              <w:rPr>
                <w:rFonts w:ascii="Arial" w:hAnsi="Arial" w:cs="Arial"/>
                <w:b/>
                <w:bCs/>
                <w:color w:val="000000"/>
                <w:sz w:val="14"/>
                <w:szCs w:val="14"/>
                <w:lang w:val="en-GB" w:eastAsia="es-AR"/>
              </w:rPr>
            </w:pPr>
            <w:r w:rsidRPr="00B54E50">
              <w:rPr>
                <w:rFonts w:ascii="Arial" w:hAnsi="Arial" w:cs="Arial"/>
                <w:b/>
                <w:bCs/>
                <w:color w:val="000000"/>
                <w:sz w:val="14"/>
                <w:szCs w:val="14"/>
                <w:lang w:val="en-GB" w:eastAsia="es-AR"/>
              </w:rPr>
              <w:t>95%</w:t>
            </w:r>
          </w:p>
        </w:tc>
      </w:tr>
    </w:tbl>
    <w:p w14:paraId="7B62A111" w14:textId="77777777" w:rsidR="00C63AFA" w:rsidRPr="00701F32" w:rsidRDefault="00C63AFA" w:rsidP="00C63AFA">
      <w:pPr>
        <w:spacing w:after="160" w:line="259" w:lineRule="auto"/>
        <w:jc w:val="both"/>
        <w:rPr>
          <w:rFonts w:ascii="Arial" w:eastAsia="Calibri" w:hAnsi="Arial" w:cs="Arial"/>
          <w:sz w:val="12"/>
        </w:rPr>
      </w:pPr>
    </w:p>
    <w:p w14:paraId="11C9F154" w14:textId="4D70C152" w:rsidR="00C63AFA" w:rsidRPr="00701F32" w:rsidRDefault="00C63AFA" w:rsidP="00C63AFA">
      <w:pPr>
        <w:spacing w:after="160" w:line="259" w:lineRule="auto"/>
        <w:jc w:val="both"/>
        <w:rPr>
          <w:rFonts w:ascii="Arial" w:eastAsia="Calibri" w:hAnsi="Arial" w:cs="Arial"/>
          <w:sz w:val="20"/>
          <w:lang w:val="es-ES_tradnl"/>
        </w:rPr>
      </w:pPr>
      <w:r w:rsidRPr="00701F32">
        <w:rPr>
          <w:rFonts w:ascii="Arial" w:eastAsia="Calibri" w:hAnsi="Arial" w:cs="Arial"/>
          <w:sz w:val="20"/>
          <w:lang w:val="es-ES_tradnl"/>
        </w:rPr>
        <w:t xml:space="preserve">A los fines de la consolidación se utilizaron estados financieros correspondientes al </w:t>
      </w:r>
      <w:r>
        <w:rPr>
          <w:rFonts w:ascii="Arial" w:eastAsia="Calibri" w:hAnsi="Arial" w:cs="Arial"/>
          <w:sz w:val="20"/>
          <w:lang w:val="es-ES_tradnl"/>
        </w:rPr>
        <w:t>ejercicio</w:t>
      </w:r>
      <w:r w:rsidRPr="00701F32">
        <w:rPr>
          <w:rFonts w:ascii="Arial" w:eastAsia="Calibri" w:hAnsi="Arial" w:cs="Arial"/>
          <w:sz w:val="20"/>
          <w:lang w:val="es-ES_tradnl"/>
        </w:rPr>
        <w:t xml:space="preserve"> finalizado el 3</w:t>
      </w:r>
      <w:r>
        <w:rPr>
          <w:rFonts w:ascii="Arial" w:eastAsia="Calibri" w:hAnsi="Arial" w:cs="Arial"/>
          <w:sz w:val="20"/>
          <w:lang w:val="es-ES_tradnl"/>
        </w:rPr>
        <w:t>1</w:t>
      </w:r>
      <w:r w:rsidRPr="00701F32">
        <w:rPr>
          <w:rFonts w:ascii="Arial" w:eastAsia="Calibri" w:hAnsi="Arial" w:cs="Arial"/>
          <w:sz w:val="20"/>
          <w:lang w:val="es-ES_tradnl"/>
        </w:rPr>
        <w:t xml:space="preserve"> de </w:t>
      </w:r>
      <w:r>
        <w:rPr>
          <w:rFonts w:ascii="Arial" w:eastAsia="Calibri" w:hAnsi="Arial" w:cs="Arial"/>
          <w:sz w:val="20"/>
          <w:lang w:val="es-ES_tradnl"/>
        </w:rPr>
        <w:t>diciembre</w:t>
      </w:r>
      <w:r w:rsidRPr="00701F32">
        <w:rPr>
          <w:rFonts w:ascii="Arial" w:eastAsia="Calibri" w:hAnsi="Arial" w:cs="Arial"/>
          <w:sz w:val="20"/>
          <w:lang w:val="es-ES_tradnl"/>
        </w:rPr>
        <w:t xml:space="preserve"> de 201</w:t>
      </w:r>
      <w:r>
        <w:rPr>
          <w:rFonts w:ascii="Arial" w:eastAsia="Calibri" w:hAnsi="Arial" w:cs="Arial"/>
          <w:sz w:val="20"/>
          <w:lang w:val="es-ES_tradnl"/>
        </w:rPr>
        <w:t>9</w:t>
      </w:r>
      <w:r w:rsidRPr="00701F32">
        <w:rPr>
          <w:rFonts w:ascii="Arial" w:eastAsia="Calibri" w:hAnsi="Arial" w:cs="Arial"/>
          <w:sz w:val="20"/>
          <w:lang w:val="es-ES_tradnl"/>
        </w:rPr>
        <w:t xml:space="preserve"> de Cordial Compañía Financiera S.A. que abarcan igual período de tiempo respecto de los estados contables del Banco. </w:t>
      </w:r>
    </w:p>
    <w:p w14:paraId="0B3BE994" w14:textId="77777777" w:rsidR="00C63AFA" w:rsidRPr="00701F32" w:rsidRDefault="00C63AFA" w:rsidP="00C63AFA">
      <w:pPr>
        <w:spacing w:after="160" w:line="259" w:lineRule="auto"/>
        <w:jc w:val="both"/>
        <w:rPr>
          <w:rFonts w:ascii="Arial" w:eastAsia="Calibri" w:hAnsi="Arial" w:cs="Arial"/>
          <w:sz w:val="20"/>
        </w:rPr>
      </w:pPr>
      <w:r w:rsidRPr="00701F32">
        <w:rPr>
          <w:rFonts w:ascii="Arial" w:eastAsia="Calibri" w:hAnsi="Arial" w:cs="Arial"/>
          <w:sz w:val="20"/>
        </w:rPr>
        <w:t>Se eliminaron de los estados financieros consolidados los activos y pasivos y los resultados originados por operaciones entre miembros de la Entidad no trascendidos a terceros.</w:t>
      </w:r>
    </w:p>
    <w:p w14:paraId="147C7FE0" w14:textId="77777777" w:rsidR="00C63AFA" w:rsidRPr="00701F32" w:rsidRDefault="00C63AFA" w:rsidP="00C63AFA">
      <w:pPr>
        <w:spacing w:after="160" w:line="259" w:lineRule="auto"/>
        <w:jc w:val="both"/>
        <w:rPr>
          <w:rFonts w:ascii="Arial" w:eastAsia="Calibri" w:hAnsi="Arial" w:cs="Arial"/>
          <w:sz w:val="20"/>
        </w:rPr>
      </w:pPr>
      <w:r w:rsidRPr="00701F32">
        <w:rPr>
          <w:rFonts w:ascii="Arial" w:eastAsia="Calibri" w:hAnsi="Arial" w:cs="Arial"/>
          <w:sz w:val="20"/>
        </w:rPr>
        <w:t>La participación no controladora es aquella parte de los resultados netos y del patrimonio de una subsidiaria atribuible a intereses que no son propiedad, en forma directa o indirecta, del Banco. La participación no controladora forma un componente separado del patrimonio de la Entidad.</w:t>
      </w:r>
    </w:p>
    <w:p w14:paraId="07427531" w14:textId="77777777" w:rsidR="00C63AFA" w:rsidRPr="00701F32" w:rsidRDefault="00C63AFA" w:rsidP="00C63AFA">
      <w:pPr>
        <w:spacing w:line="259" w:lineRule="auto"/>
        <w:jc w:val="both"/>
        <w:rPr>
          <w:rFonts w:ascii="Arial" w:eastAsia="Calibri" w:hAnsi="Arial" w:cs="Arial"/>
          <w:sz w:val="20"/>
        </w:rPr>
      </w:pPr>
      <w:r w:rsidRPr="00701F32">
        <w:rPr>
          <w:rFonts w:ascii="Arial" w:eastAsia="Calibri" w:hAnsi="Arial" w:cs="Arial"/>
          <w:sz w:val="20"/>
        </w:rPr>
        <w:t xml:space="preserve">De acuerdo con lo establecido por la NIIF 3, el método de adquisición es el utilizado para contabilizar la adquisición de subsidiarias. Los activos identificables adquiridos y los pasivos y pasivos contingentes asumidos en una combinación de negocios se miden a sus valores razonables en la fecha de adquisición. </w:t>
      </w:r>
    </w:p>
    <w:p w14:paraId="1B9690DA" w14:textId="77777777" w:rsidR="00C63AFA" w:rsidRPr="00701F32" w:rsidRDefault="00C63AFA" w:rsidP="00C63AFA">
      <w:pPr>
        <w:spacing w:line="259" w:lineRule="auto"/>
        <w:jc w:val="both"/>
        <w:rPr>
          <w:rFonts w:ascii="Arial" w:eastAsia="Calibri" w:hAnsi="Arial" w:cs="Arial"/>
          <w:sz w:val="20"/>
        </w:rPr>
      </w:pPr>
    </w:p>
    <w:p w14:paraId="7A3FA993" w14:textId="77777777" w:rsidR="00C63AFA" w:rsidRPr="00701F32" w:rsidRDefault="00C63AFA" w:rsidP="00C63AFA">
      <w:pPr>
        <w:spacing w:line="259" w:lineRule="auto"/>
        <w:jc w:val="both"/>
        <w:rPr>
          <w:rFonts w:ascii="Arial" w:eastAsia="Calibri" w:hAnsi="Arial" w:cs="Arial"/>
          <w:sz w:val="20"/>
        </w:rPr>
      </w:pPr>
      <w:r w:rsidRPr="00701F32">
        <w:rPr>
          <w:rFonts w:ascii="Arial" w:eastAsia="Calibri" w:hAnsi="Arial" w:cs="Arial"/>
          <w:sz w:val="20"/>
        </w:rPr>
        <w:t xml:space="preserve">La llave de negocio se mide como la diferencia entre el neto de los importes a la fecha de la adquisición de los activos identificables adquiridos, de los pasivos asumidos, la contraprestación transferida, el importe de la participación no controladora en la adquirida y el valor razonable de una participación en la adquirida con anterioridad a la fecha de adquisición. </w:t>
      </w:r>
    </w:p>
    <w:p w14:paraId="775956F3" w14:textId="77777777" w:rsidR="00C63AFA" w:rsidRDefault="00C63AFA" w:rsidP="006E1AF7">
      <w:pPr>
        <w:spacing w:line="259" w:lineRule="auto"/>
        <w:jc w:val="both"/>
        <w:rPr>
          <w:rFonts w:ascii="Arial" w:eastAsia="Calibri" w:hAnsi="Arial" w:cs="Arial"/>
          <w:sz w:val="20"/>
        </w:rPr>
      </w:pPr>
    </w:p>
    <w:p w14:paraId="39698D82" w14:textId="77777777" w:rsidR="00C63AFA" w:rsidRPr="00701F32" w:rsidRDefault="00C63AFA" w:rsidP="006E1AF7">
      <w:pPr>
        <w:spacing w:line="259" w:lineRule="auto"/>
        <w:jc w:val="both"/>
        <w:rPr>
          <w:rFonts w:ascii="Arial" w:eastAsia="Calibri" w:hAnsi="Arial" w:cs="Arial"/>
          <w:sz w:val="20"/>
        </w:rPr>
      </w:pPr>
      <w:r w:rsidRPr="00701F32">
        <w:rPr>
          <w:rFonts w:ascii="Arial" w:eastAsia="Calibri" w:hAnsi="Arial" w:cs="Arial"/>
          <w:sz w:val="20"/>
        </w:rPr>
        <w:t>La contraprestación transferida en una combinación de negocios se mide al valor razonable de los activos transferidos por la adquirente, de los pasivos incurridos por ella con los anteriores propietarios de la adquirida y de las participaciones en el patrimonio emitidas por la adquirente. Los costos de transacción se reconocen como gastos en los periodos en que los costos se hayan incurrido y los servicios se hayan recibido, excepto por los costos de transacción incurridos para emitir instrumentos de patrimonio que se deducen del patrimonio y los costos de transacción incurridos para emitir deuda que se deducen de su valor en libros.</w:t>
      </w:r>
    </w:p>
    <w:p w14:paraId="72EF9BAD" w14:textId="77777777" w:rsidR="00C63AFA" w:rsidRDefault="00C63AFA" w:rsidP="002F55BB">
      <w:pPr>
        <w:spacing w:line="259" w:lineRule="auto"/>
        <w:jc w:val="both"/>
        <w:rPr>
          <w:rFonts w:ascii="Arial" w:hAnsi="Arial" w:cs="Arial"/>
          <w:b/>
          <w:sz w:val="20"/>
          <w:u w:val="single"/>
          <w:lang w:eastAsia="es-AR"/>
        </w:rPr>
      </w:pPr>
    </w:p>
    <w:p w14:paraId="437A3306" w14:textId="313F779A" w:rsidR="00E54D7E" w:rsidRPr="00364AA1" w:rsidRDefault="00E54D7E" w:rsidP="00E54D7E">
      <w:pPr>
        <w:suppressAutoHyphens/>
        <w:overflowPunct w:val="0"/>
        <w:autoSpaceDE w:val="0"/>
        <w:autoSpaceDN w:val="0"/>
        <w:adjustRightInd w:val="0"/>
        <w:spacing w:after="160" w:line="259" w:lineRule="auto"/>
        <w:jc w:val="both"/>
        <w:textAlignment w:val="baseline"/>
        <w:outlineLvl w:val="0"/>
        <w:rPr>
          <w:rFonts w:ascii="Arial" w:hAnsi="Arial" w:cs="Arial"/>
          <w:b/>
          <w:sz w:val="20"/>
          <w:u w:val="single"/>
          <w:lang w:eastAsia="es-AR"/>
        </w:rPr>
      </w:pPr>
      <w:r w:rsidRPr="00E54D7E">
        <w:rPr>
          <w:rFonts w:ascii="Arial" w:hAnsi="Arial" w:cs="Arial"/>
          <w:b/>
          <w:sz w:val="20"/>
          <w:lang w:eastAsia="es-AR"/>
        </w:rPr>
        <w:t>Entidades estructuradas consolidadas</w:t>
      </w:r>
      <w:r w:rsidRPr="00364AA1">
        <w:rPr>
          <w:rFonts w:ascii="Arial" w:hAnsi="Arial" w:cs="Arial"/>
          <w:b/>
          <w:sz w:val="20"/>
          <w:u w:val="single"/>
          <w:lang w:eastAsia="es-AR"/>
        </w:rPr>
        <w:t xml:space="preserve"> </w:t>
      </w:r>
    </w:p>
    <w:p w14:paraId="4204545B" w14:textId="77777777" w:rsidR="00E54D7E" w:rsidRPr="002F55BB" w:rsidRDefault="00E54D7E" w:rsidP="00E54D7E">
      <w:pPr>
        <w:spacing w:line="259" w:lineRule="auto"/>
        <w:jc w:val="both"/>
        <w:rPr>
          <w:rFonts w:ascii="Arial" w:eastAsia="Calibri" w:hAnsi="Arial" w:cs="Arial"/>
          <w:sz w:val="20"/>
        </w:rPr>
      </w:pPr>
    </w:p>
    <w:p w14:paraId="5261E2F2" w14:textId="77777777" w:rsidR="00B83E92" w:rsidRPr="00701F32" w:rsidRDefault="00B83E92" w:rsidP="00B83E92">
      <w:pPr>
        <w:spacing w:after="160" w:line="259" w:lineRule="auto"/>
        <w:jc w:val="both"/>
        <w:rPr>
          <w:rFonts w:ascii="Arial" w:eastAsia="Calibri" w:hAnsi="Arial" w:cs="Arial"/>
          <w:sz w:val="20"/>
        </w:rPr>
      </w:pPr>
      <w:r w:rsidRPr="00701F32">
        <w:rPr>
          <w:rFonts w:ascii="Arial" w:eastAsia="Calibri" w:hAnsi="Arial" w:cs="Arial"/>
          <w:sz w:val="20"/>
        </w:rPr>
        <w:t>La Entidad ha securitizado determinados instrumentos financieros, principalmente préstamos, originados por créditos personales a través de las transferencias de dichos instrumentos a fideicomisos financieros que emiten múltiples clases de títulos de deuda y certificados de participación.</w:t>
      </w:r>
    </w:p>
    <w:p w14:paraId="07ED4ACB" w14:textId="484A1893" w:rsidR="00E54D7E" w:rsidRPr="00364AA1" w:rsidRDefault="00B83E92" w:rsidP="00B83E92">
      <w:pPr>
        <w:spacing w:after="160" w:line="259" w:lineRule="auto"/>
        <w:jc w:val="both"/>
        <w:rPr>
          <w:rFonts w:ascii="Arial" w:eastAsia="Calibri" w:hAnsi="Arial" w:cs="Arial"/>
          <w:sz w:val="20"/>
        </w:rPr>
      </w:pPr>
      <w:r w:rsidRPr="00701F32">
        <w:rPr>
          <w:rFonts w:ascii="Arial" w:eastAsia="Calibri" w:hAnsi="Arial" w:cs="Arial"/>
          <w:sz w:val="20"/>
        </w:rPr>
        <w:t>Se exponen a continuación los fideicomisos financieros en los cuales la entidad es fiduciante:</w:t>
      </w:r>
    </w:p>
    <w:tbl>
      <w:tblPr>
        <w:tblW w:w="8605"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101"/>
        <w:gridCol w:w="957"/>
        <w:gridCol w:w="1218"/>
        <w:gridCol w:w="1134"/>
        <w:gridCol w:w="1072"/>
        <w:gridCol w:w="567"/>
        <w:gridCol w:w="1030"/>
        <w:gridCol w:w="585"/>
        <w:gridCol w:w="941"/>
      </w:tblGrid>
      <w:tr w:rsidR="00216350" w:rsidRPr="00364AA1" w14:paraId="52E462E3" w14:textId="77777777" w:rsidTr="00CD378B">
        <w:trPr>
          <w:tblHeader/>
        </w:trPr>
        <w:tc>
          <w:tcPr>
            <w:tcW w:w="1101" w:type="dxa"/>
            <w:vMerge w:val="restart"/>
            <w:vAlign w:val="center"/>
          </w:tcPr>
          <w:p w14:paraId="355B0C76" w14:textId="77777777" w:rsidR="004E6D0F" w:rsidRPr="00364AA1" w:rsidRDefault="004E6D0F" w:rsidP="00E54D7E">
            <w:pPr>
              <w:jc w:val="center"/>
              <w:rPr>
                <w:rFonts w:ascii="Arial" w:hAnsi="Arial" w:cs="Arial"/>
                <w:b/>
                <w:bCs/>
                <w:color w:val="000000"/>
                <w:sz w:val="14"/>
                <w:szCs w:val="14"/>
                <w:lang w:eastAsia="es-AR"/>
              </w:rPr>
            </w:pPr>
            <w:bookmarkStart w:id="7" w:name="_Hlk15056036"/>
            <w:r w:rsidRPr="00364AA1">
              <w:rPr>
                <w:rFonts w:ascii="Arial" w:hAnsi="Arial" w:cs="Arial"/>
                <w:b/>
                <w:bCs/>
                <w:color w:val="000000"/>
                <w:sz w:val="14"/>
                <w:szCs w:val="14"/>
                <w:lang w:eastAsia="es-AR"/>
              </w:rPr>
              <w:t>Emisor</w:t>
            </w:r>
          </w:p>
        </w:tc>
        <w:tc>
          <w:tcPr>
            <w:tcW w:w="957" w:type="dxa"/>
            <w:vMerge w:val="restart"/>
            <w:shd w:val="clear" w:color="auto" w:fill="auto"/>
            <w:vAlign w:val="center"/>
            <w:hideMark/>
          </w:tcPr>
          <w:p w14:paraId="00F9E5FC" w14:textId="77777777" w:rsidR="004E6D0F" w:rsidRPr="00364AA1" w:rsidRDefault="004E6D0F" w:rsidP="00E54D7E">
            <w:pPr>
              <w:jc w:val="center"/>
              <w:rPr>
                <w:rFonts w:ascii="Arial" w:hAnsi="Arial" w:cs="Arial"/>
                <w:b/>
                <w:bCs/>
                <w:color w:val="000000"/>
                <w:sz w:val="14"/>
                <w:szCs w:val="14"/>
                <w:lang w:eastAsia="es-AR"/>
              </w:rPr>
            </w:pPr>
            <w:r w:rsidRPr="00364AA1">
              <w:rPr>
                <w:rFonts w:ascii="Arial" w:hAnsi="Arial" w:cs="Arial"/>
                <w:b/>
                <w:bCs/>
                <w:color w:val="000000"/>
                <w:sz w:val="14"/>
                <w:szCs w:val="14"/>
                <w:lang w:eastAsia="es-AR"/>
              </w:rPr>
              <w:t>Fideicomiso Financiero</w:t>
            </w:r>
          </w:p>
        </w:tc>
        <w:tc>
          <w:tcPr>
            <w:tcW w:w="1218" w:type="dxa"/>
            <w:vMerge w:val="restart"/>
            <w:shd w:val="clear" w:color="auto" w:fill="auto"/>
            <w:vAlign w:val="center"/>
            <w:hideMark/>
          </w:tcPr>
          <w:p w14:paraId="0DF8A33B" w14:textId="77777777" w:rsidR="004E6D0F" w:rsidRPr="00364AA1" w:rsidRDefault="004E6D0F" w:rsidP="00E54D7E">
            <w:pPr>
              <w:jc w:val="center"/>
              <w:rPr>
                <w:rFonts w:ascii="Arial" w:hAnsi="Arial" w:cs="Arial"/>
                <w:b/>
                <w:bCs/>
                <w:color w:val="000000"/>
                <w:sz w:val="14"/>
                <w:szCs w:val="14"/>
                <w:lang w:eastAsia="es-AR"/>
              </w:rPr>
            </w:pPr>
            <w:r w:rsidRPr="00364AA1">
              <w:rPr>
                <w:rFonts w:ascii="Arial" w:hAnsi="Arial" w:cs="Arial"/>
                <w:b/>
                <w:bCs/>
                <w:color w:val="000000"/>
                <w:sz w:val="14"/>
                <w:szCs w:val="14"/>
                <w:lang w:eastAsia="es-AR"/>
              </w:rPr>
              <w:t>Fecha de Constitución</w:t>
            </w:r>
          </w:p>
        </w:tc>
        <w:tc>
          <w:tcPr>
            <w:tcW w:w="1134" w:type="dxa"/>
            <w:vMerge w:val="restart"/>
            <w:vAlign w:val="center"/>
          </w:tcPr>
          <w:p w14:paraId="10D288FE" w14:textId="7140247A" w:rsidR="004E6D0F" w:rsidRPr="00364AA1" w:rsidRDefault="004E6D0F" w:rsidP="004E6D0F">
            <w:pPr>
              <w:jc w:val="center"/>
              <w:rPr>
                <w:rFonts w:ascii="Arial" w:hAnsi="Arial" w:cs="Arial"/>
                <w:b/>
                <w:bCs/>
                <w:color w:val="000000"/>
                <w:sz w:val="14"/>
                <w:szCs w:val="14"/>
                <w:lang w:eastAsia="es-AR"/>
              </w:rPr>
            </w:pPr>
            <w:r>
              <w:rPr>
                <w:rFonts w:ascii="Arial" w:hAnsi="Arial" w:cs="Arial"/>
                <w:b/>
                <w:bCs/>
                <w:color w:val="000000"/>
                <w:sz w:val="14"/>
                <w:szCs w:val="14"/>
                <w:lang w:eastAsia="es-AR"/>
              </w:rPr>
              <w:t>Fecha de Vencimiento</w:t>
            </w:r>
          </w:p>
        </w:tc>
        <w:tc>
          <w:tcPr>
            <w:tcW w:w="1072" w:type="dxa"/>
            <w:vMerge w:val="restart"/>
            <w:shd w:val="clear" w:color="auto" w:fill="auto"/>
            <w:vAlign w:val="center"/>
            <w:hideMark/>
          </w:tcPr>
          <w:p w14:paraId="169AC822" w14:textId="01C8D651" w:rsidR="004E6D0F" w:rsidRPr="00364AA1" w:rsidRDefault="004E6D0F" w:rsidP="00E54D7E">
            <w:pPr>
              <w:jc w:val="center"/>
              <w:rPr>
                <w:rFonts w:ascii="Arial" w:hAnsi="Arial" w:cs="Arial"/>
                <w:b/>
                <w:bCs/>
                <w:color w:val="000000"/>
                <w:sz w:val="14"/>
                <w:szCs w:val="14"/>
                <w:lang w:eastAsia="es-AR"/>
              </w:rPr>
            </w:pPr>
            <w:r w:rsidRPr="00364AA1">
              <w:rPr>
                <w:rFonts w:ascii="Arial" w:hAnsi="Arial" w:cs="Arial"/>
                <w:b/>
                <w:bCs/>
                <w:color w:val="000000"/>
                <w:sz w:val="14"/>
                <w:szCs w:val="14"/>
                <w:lang w:eastAsia="es-AR"/>
              </w:rPr>
              <w:t>Monto Securitizado</w:t>
            </w:r>
          </w:p>
        </w:tc>
        <w:tc>
          <w:tcPr>
            <w:tcW w:w="3123" w:type="dxa"/>
            <w:gridSpan w:val="4"/>
            <w:shd w:val="clear" w:color="auto" w:fill="auto"/>
            <w:vAlign w:val="center"/>
            <w:hideMark/>
          </w:tcPr>
          <w:p w14:paraId="4AFC7A15" w14:textId="77777777" w:rsidR="004E6D0F" w:rsidRPr="00364AA1" w:rsidRDefault="004E6D0F" w:rsidP="00E54D7E">
            <w:pPr>
              <w:jc w:val="center"/>
              <w:rPr>
                <w:rFonts w:ascii="Arial" w:hAnsi="Arial" w:cs="Arial"/>
                <w:b/>
                <w:bCs/>
                <w:color w:val="000000"/>
                <w:sz w:val="14"/>
                <w:szCs w:val="14"/>
                <w:lang w:eastAsia="es-AR"/>
              </w:rPr>
            </w:pPr>
            <w:r w:rsidRPr="00364AA1">
              <w:rPr>
                <w:rFonts w:ascii="Arial" w:hAnsi="Arial" w:cs="Arial"/>
                <w:b/>
                <w:bCs/>
                <w:color w:val="000000"/>
                <w:sz w:val="14"/>
                <w:szCs w:val="14"/>
                <w:lang w:eastAsia="es-AR"/>
              </w:rPr>
              <w:t>Valores emitidos</w:t>
            </w:r>
          </w:p>
        </w:tc>
      </w:tr>
      <w:tr w:rsidR="00216350" w:rsidRPr="00364AA1" w14:paraId="4F121DE7" w14:textId="77777777" w:rsidTr="00CD378B">
        <w:trPr>
          <w:tblHeader/>
        </w:trPr>
        <w:tc>
          <w:tcPr>
            <w:tcW w:w="1101" w:type="dxa"/>
            <w:vMerge/>
          </w:tcPr>
          <w:p w14:paraId="1EB28C2A" w14:textId="77777777" w:rsidR="004E6D0F" w:rsidRPr="00364AA1" w:rsidRDefault="004E6D0F" w:rsidP="00E54D7E">
            <w:pPr>
              <w:rPr>
                <w:rFonts w:ascii="Arial" w:hAnsi="Arial" w:cs="Arial"/>
                <w:b/>
                <w:bCs/>
                <w:color w:val="000000"/>
                <w:sz w:val="14"/>
                <w:szCs w:val="14"/>
                <w:lang w:eastAsia="es-AR"/>
              </w:rPr>
            </w:pPr>
          </w:p>
        </w:tc>
        <w:tc>
          <w:tcPr>
            <w:tcW w:w="957" w:type="dxa"/>
            <w:vMerge/>
            <w:vAlign w:val="center"/>
            <w:hideMark/>
          </w:tcPr>
          <w:p w14:paraId="42B7D7BD" w14:textId="77777777" w:rsidR="004E6D0F" w:rsidRPr="00364AA1" w:rsidRDefault="004E6D0F" w:rsidP="00E54D7E">
            <w:pPr>
              <w:rPr>
                <w:rFonts w:ascii="Arial" w:hAnsi="Arial" w:cs="Arial"/>
                <w:b/>
                <w:bCs/>
                <w:color w:val="000000"/>
                <w:sz w:val="14"/>
                <w:szCs w:val="14"/>
                <w:lang w:eastAsia="es-AR"/>
              </w:rPr>
            </w:pPr>
          </w:p>
        </w:tc>
        <w:tc>
          <w:tcPr>
            <w:tcW w:w="1218" w:type="dxa"/>
            <w:vMerge/>
            <w:vAlign w:val="center"/>
            <w:hideMark/>
          </w:tcPr>
          <w:p w14:paraId="21DC3525" w14:textId="77777777" w:rsidR="004E6D0F" w:rsidRPr="00364AA1" w:rsidRDefault="004E6D0F" w:rsidP="00E54D7E">
            <w:pPr>
              <w:rPr>
                <w:rFonts w:ascii="Arial" w:hAnsi="Arial" w:cs="Arial"/>
                <w:b/>
                <w:bCs/>
                <w:color w:val="000000"/>
                <w:sz w:val="14"/>
                <w:szCs w:val="14"/>
                <w:lang w:eastAsia="es-AR"/>
              </w:rPr>
            </w:pPr>
          </w:p>
        </w:tc>
        <w:tc>
          <w:tcPr>
            <w:tcW w:w="1134" w:type="dxa"/>
            <w:vMerge/>
          </w:tcPr>
          <w:p w14:paraId="20B753A2" w14:textId="10C281DF" w:rsidR="004E6D0F" w:rsidRPr="00364AA1" w:rsidRDefault="004E6D0F" w:rsidP="00E54D7E">
            <w:pPr>
              <w:rPr>
                <w:rFonts w:ascii="Arial" w:hAnsi="Arial" w:cs="Arial"/>
                <w:b/>
                <w:bCs/>
                <w:color w:val="000000"/>
                <w:sz w:val="14"/>
                <w:szCs w:val="14"/>
                <w:lang w:eastAsia="es-AR"/>
              </w:rPr>
            </w:pPr>
          </w:p>
        </w:tc>
        <w:tc>
          <w:tcPr>
            <w:tcW w:w="1072" w:type="dxa"/>
            <w:vMerge/>
            <w:vAlign w:val="center"/>
            <w:hideMark/>
          </w:tcPr>
          <w:p w14:paraId="17EF8ADC" w14:textId="77DE2827" w:rsidR="004E6D0F" w:rsidRPr="00364AA1" w:rsidRDefault="004E6D0F" w:rsidP="00E54D7E">
            <w:pPr>
              <w:rPr>
                <w:rFonts w:ascii="Arial" w:hAnsi="Arial" w:cs="Arial"/>
                <w:b/>
                <w:bCs/>
                <w:color w:val="000000"/>
                <w:sz w:val="14"/>
                <w:szCs w:val="14"/>
                <w:lang w:eastAsia="es-AR"/>
              </w:rPr>
            </w:pPr>
          </w:p>
        </w:tc>
        <w:tc>
          <w:tcPr>
            <w:tcW w:w="567" w:type="dxa"/>
            <w:shd w:val="clear" w:color="auto" w:fill="auto"/>
            <w:vAlign w:val="center"/>
            <w:hideMark/>
          </w:tcPr>
          <w:p w14:paraId="5BAED929" w14:textId="5B5F2E6B" w:rsidR="004E6D0F" w:rsidRPr="00364AA1" w:rsidRDefault="004E6D0F" w:rsidP="00E54D7E">
            <w:pPr>
              <w:jc w:val="center"/>
              <w:rPr>
                <w:rFonts w:ascii="Arial" w:hAnsi="Arial" w:cs="Arial"/>
                <w:b/>
                <w:bCs/>
                <w:color w:val="000000"/>
                <w:sz w:val="14"/>
                <w:szCs w:val="14"/>
                <w:lang w:eastAsia="es-AR"/>
              </w:rPr>
            </w:pPr>
            <w:r w:rsidRPr="00364AA1">
              <w:rPr>
                <w:rFonts w:ascii="Arial" w:hAnsi="Arial" w:cs="Arial"/>
                <w:b/>
                <w:bCs/>
                <w:color w:val="000000"/>
                <w:sz w:val="14"/>
                <w:szCs w:val="14"/>
                <w:lang w:eastAsia="es-AR"/>
              </w:rPr>
              <w:t xml:space="preserve">Tipo </w:t>
            </w:r>
          </w:p>
        </w:tc>
        <w:tc>
          <w:tcPr>
            <w:tcW w:w="1030" w:type="dxa"/>
            <w:shd w:val="clear" w:color="auto" w:fill="auto"/>
            <w:vAlign w:val="center"/>
            <w:hideMark/>
          </w:tcPr>
          <w:p w14:paraId="5DCDDF6C" w14:textId="77777777" w:rsidR="004E6D0F" w:rsidRPr="00364AA1" w:rsidRDefault="004E6D0F" w:rsidP="00E54D7E">
            <w:pPr>
              <w:jc w:val="center"/>
              <w:rPr>
                <w:rFonts w:ascii="Arial" w:hAnsi="Arial" w:cs="Arial"/>
                <w:b/>
                <w:bCs/>
                <w:color w:val="000000"/>
                <w:sz w:val="14"/>
                <w:szCs w:val="14"/>
                <w:lang w:eastAsia="es-AR"/>
              </w:rPr>
            </w:pPr>
            <w:r w:rsidRPr="00364AA1">
              <w:rPr>
                <w:rFonts w:ascii="Arial" w:hAnsi="Arial" w:cs="Arial"/>
                <w:b/>
                <w:bCs/>
                <w:color w:val="000000"/>
                <w:sz w:val="14"/>
                <w:szCs w:val="14"/>
                <w:lang w:eastAsia="es-AR"/>
              </w:rPr>
              <w:t>Cantidad</w:t>
            </w:r>
          </w:p>
        </w:tc>
        <w:tc>
          <w:tcPr>
            <w:tcW w:w="585" w:type="dxa"/>
            <w:shd w:val="clear" w:color="auto" w:fill="auto"/>
            <w:vAlign w:val="center"/>
            <w:hideMark/>
          </w:tcPr>
          <w:p w14:paraId="3E0110CB" w14:textId="2567E597" w:rsidR="004E6D0F" w:rsidRPr="00364AA1" w:rsidRDefault="004E6D0F" w:rsidP="00E54D7E">
            <w:pPr>
              <w:jc w:val="center"/>
              <w:rPr>
                <w:rFonts w:ascii="Arial" w:hAnsi="Arial" w:cs="Arial"/>
                <w:b/>
                <w:bCs/>
                <w:color w:val="000000"/>
                <w:sz w:val="14"/>
                <w:szCs w:val="14"/>
                <w:lang w:eastAsia="es-AR"/>
              </w:rPr>
            </w:pPr>
            <w:r w:rsidRPr="00364AA1">
              <w:rPr>
                <w:rFonts w:ascii="Arial" w:hAnsi="Arial" w:cs="Arial"/>
                <w:b/>
                <w:bCs/>
                <w:color w:val="000000"/>
                <w:sz w:val="14"/>
                <w:szCs w:val="14"/>
                <w:lang w:eastAsia="es-AR"/>
              </w:rPr>
              <w:t xml:space="preserve">Tipo </w:t>
            </w:r>
          </w:p>
        </w:tc>
        <w:tc>
          <w:tcPr>
            <w:tcW w:w="941" w:type="dxa"/>
            <w:shd w:val="clear" w:color="auto" w:fill="auto"/>
            <w:vAlign w:val="center"/>
            <w:hideMark/>
          </w:tcPr>
          <w:p w14:paraId="49EE1E6D" w14:textId="77777777" w:rsidR="004E6D0F" w:rsidRPr="00364AA1" w:rsidRDefault="004E6D0F" w:rsidP="00E54D7E">
            <w:pPr>
              <w:jc w:val="center"/>
              <w:rPr>
                <w:rFonts w:ascii="Arial" w:hAnsi="Arial" w:cs="Arial"/>
                <w:b/>
                <w:bCs/>
                <w:color w:val="000000"/>
                <w:sz w:val="14"/>
                <w:szCs w:val="14"/>
                <w:lang w:eastAsia="es-AR"/>
              </w:rPr>
            </w:pPr>
            <w:r w:rsidRPr="00364AA1">
              <w:rPr>
                <w:rFonts w:ascii="Arial" w:hAnsi="Arial" w:cs="Arial"/>
                <w:b/>
                <w:bCs/>
                <w:color w:val="000000"/>
                <w:sz w:val="14"/>
                <w:szCs w:val="14"/>
                <w:lang w:eastAsia="es-AR"/>
              </w:rPr>
              <w:t>Cantidad</w:t>
            </w:r>
          </w:p>
        </w:tc>
      </w:tr>
      <w:tr w:rsidR="00216350" w:rsidRPr="00364AA1" w14:paraId="4A828E16" w14:textId="77777777" w:rsidTr="00CD378B">
        <w:tc>
          <w:tcPr>
            <w:tcW w:w="1101" w:type="dxa"/>
            <w:vAlign w:val="center"/>
          </w:tcPr>
          <w:p w14:paraId="05120CC0" w14:textId="5D9D9DBC" w:rsidR="00216350" w:rsidRPr="00364AA1" w:rsidRDefault="00216350" w:rsidP="00216350">
            <w:pPr>
              <w:jc w:val="center"/>
              <w:rPr>
                <w:rFonts w:ascii="Arial" w:hAnsi="Arial" w:cs="Arial"/>
                <w:color w:val="000000"/>
                <w:sz w:val="16"/>
                <w:szCs w:val="16"/>
                <w:lang w:eastAsia="es-AR"/>
              </w:rPr>
            </w:pPr>
            <w:r w:rsidRPr="00701F32">
              <w:rPr>
                <w:rFonts w:ascii="Arial" w:hAnsi="Arial" w:cs="Arial"/>
                <w:color w:val="000000"/>
                <w:sz w:val="16"/>
                <w:szCs w:val="16"/>
                <w:lang w:eastAsia="es-AR"/>
              </w:rPr>
              <w:t>Banco</w:t>
            </w:r>
          </w:p>
        </w:tc>
        <w:tc>
          <w:tcPr>
            <w:tcW w:w="957" w:type="dxa"/>
            <w:shd w:val="clear" w:color="auto" w:fill="auto"/>
            <w:vAlign w:val="center"/>
            <w:hideMark/>
          </w:tcPr>
          <w:p w14:paraId="207FCF75" w14:textId="147775FF" w:rsidR="00216350" w:rsidRPr="00364AA1" w:rsidRDefault="00216350" w:rsidP="00216350">
            <w:pPr>
              <w:jc w:val="center"/>
              <w:rPr>
                <w:rFonts w:ascii="Arial" w:hAnsi="Arial" w:cs="Arial"/>
                <w:color w:val="000000"/>
                <w:sz w:val="16"/>
                <w:szCs w:val="16"/>
                <w:lang w:eastAsia="es-AR"/>
              </w:rPr>
            </w:pPr>
            <w:r w:rsidRPr="00701F32">
              <w:rPr>
                <w:rFonts w:ascii="Arial" w:hAnsi="Arial" w:cs="Arial"/>
                <w:color w:val="000000"/>
                <w:sz w:val="16"/>
                <w:szCs w:val="16"/>
                <w:lang w:eastAsia="es-AR"/>
              </w:rPr>
              <w:t xml:space="preserve">Serie 97 </w:t>
            </w:r>
          </w:p>
        </w:tc>
        <w:tc>
          <w:tcPr>
            <w:tcW w:w="1218" w:type="dxa"/>
            <w:shd w:val="clear" w:color="auto" w:fill="auto"/>
            <w:vAlign w:val="center"/>
            <w:hideMark/>
          </w:tcPr>
          <w:p w14:paraId="62468DB3" w14:textId="45F675FB" w:rsidR="00216350" w:rsidRPr="004E6D0F" w:rsidRDefault="00216350" w:rsidP="00216350">
            <w:pPr>
              <w:jc w:val="center"/>
              <w:rPr>
                <w:rFonts w:ascii="Arial" w:hAnsi="Arial" w:cs="Arial"/>
                <w:color w:val="000000"/>
                <w:sz w:val="16"/>
                <w:szCs w:val="16"/>
                <w:lang w:eastAsia="es-AR"/>
              </w:rPr>
            </w:pPr>
            <w:r w:rsidRPr="00701F32">
              <w:rPr>
                <w:rFonts w:ascii="Arial" w:hAnsi="Arial" w:cs="Arial"/>
                <w:color w:val="000000"/>
                <w:sz w:val="16"/>
                <w:szCs w:val="16"/>
                <w:lang w:eastAsia="es-AR"/>
              </w:rPr>
              <w:t>27/03/2018</w:t>
            </w:r>
          </w:p>
        </w:tc>
        <w:tc>
          <w:tcPr>
            <w:tcW w:w="1134" w:type="dxa"/>
            <w:vAlign w:val="center"/>
          </w:tcPr>
          <w:p w14:paraId="6F16E8EB" w14:textId="1B18ED76" w:rsidR="00216350" w:rsidRPr="004E6D0F" w:rsidRDefault="00216350" w:rsidP="00216350">
            <w:pPr>
              <w:jc w:val="center"/>
              <w:rPr>
                <w:rFonts w:ascii="Arial" w:hAnsi="Arial" w:cs="Arial"/>
                <w:color w:val="000000"/>
                <w:sz w:val="16"/>
                <w:szCs w:val="16"/>
                <w:lang w:eastAsia="es-AR"/>
              </w:rPr>
            </w:pPr>
            <w:r>
              <w:rPr>
                <w:rFonts w:ascii="Arial" w:hAnsi="Arial" w:cs="Arial"/>
                <w:bCs/>
                <w:color w:val="000000"/>
                <w:sz w:val="16"/>
                <w:szCs w:val="16"/>
              </w:rPr>
              <w:t>20/03/2020</w:t>
            </w:r>
          </w:p>
        </w:tc>
        <w:tc>
          <w:tcPr>
            <w:tcW w:w="1072" w:type="dxa"/>
            <w:shd w:val="clear" w:color="auto" w:fill="auto"/>
            <w:vAlign w:val="center"/>
            <w:hideMark/>
          </w:tcPr>
          <w:p w14:paraId="47B6EFD5" w14:textId="793D6500" w:rsidR="00216350" w:rsidRPr="00364AA1" w:rsidRDefault="00216350" w:rsidP="00216350">
            <w:pPr>
              <w:jc w:val="center"/>
              <w:rPr>
                <w:rFonts w:ascii="Arial" w:hAnsi="Arial" w:cs="Arial"/>
                <w:color w:val="000000"/>
                <w:sz w:val="16"/>
                <w:szCs w:val="16"/>
                <w:lang w:eastAsia="es-AR"/>
              </w:rPr>
            </w:pPr>
            <w:r w:rsidRPr="00701F32">
              <w:rPr>
                <w:rFonts w:ascii="Arial" w:hAnsi="Arial" w:cs="Arial"/>
                <w:color w:val="000000"/>
                <w:sz w:val="16"/>
                <w:szCs w:val="16"/>
                <w:lang w:eastAsia="es-AR"/>
              </w:rPr>
              <w:t>$ 750.000</w:t>
            </w:r>
          </w:p>
        </w:tc>
        <w:tc>
          <w:tcPr>
            <w:tcW w:w="567" w:type="dxa"/>
            <w:shd w:val="clear" w:color="auto" w:fill="auto"/>
            <w:vAlign w:val="center"/>
            <w:hideMark/>
          </w:tcPr>
          <w:p w14:paraId="501B961F" w14:textId="43589721" w:rsidR="00216350" w:rsidRPr="00364AA1" w:rsidRDefault="00216350" w:rsidP="00216350">
            <w:pPr>
              <w:jc w:val="center"/>
              <w:rPr>
                <w:rFonts w:ascii="Arial" w:hAnsi="Arial" w:cs="Arial"/>
                <w:color w:val="000000"/>
                <w:sz w:val="16"/>
                <w:szCs w:val="16"/>
                <w:lang w:eastAsia="es-AR"/>
              </w:rPr>
            </w:pPr>
            <w:r w:rsidRPr="00701F32">
              <w:rPr>
                <w:rFonts w:ascii="Arial" w:hAnsi="Arial" w:cs="Arial"/>
                <w:color w:val="000000"/>
                <w:sz w:val="16"/>
                <w:szCs w:val="16"/>
                <w:lang w:eastAsia="es-AR"/>
              </w:rPr>
              <w:t>VDF TV A</w:t>
            </w:r>
          </w:p>
        </w:tc>
        <w:tc>
          <w:tcPr>
            <w:tcW w:w="1030" w:type="dxa"/>
            <w:shd w:val="clear" w:color="auto" w:fill="auto"/>
            <w:vAlign w:val="center"/>
            <w:hideMark/>
          </w:tcPr>
          <w:p w14:paraId="4D5AF1A3" w14:textId="036200A0" w:rsidR="00216350" w:rsidRPr="00364AA1" w:rsidRDefault="00216350" w:rsidP="00216350">
            <w:pPr>
              <w:jc w:val="center"/>
              <w:rPr>
                <w:rFonts w:ascii="Arial" w:hAnsi="Arial" w:cs="Arial"/>
                <w:color w:val="000000"/>
                <w:sz w:val="16"/>
                <w:szCs w:val="16"/>
                <w:lang w:eastAsia="es-AR"/>
              </w:rPr>
            </w:pPr>
            <w:r w:rsidRPr="00701F32">
              <w:rPr>
                <w:rFonts w:ascii="Arial" w:hAnsi="Arial" w:cs="Arial"/>
                <w:color w:val="000000"/>
                <w:sz w:val="16"/>
                <w:szCs w:val="16"/>
                <w:lang w:eastAsia="es-AR"/>
              </w:rPr>
              <w:t>VN$ 712.500</w:t>
            </w:r>
          </w:p>
        </w:tc>
        <w:tc>
          <w:tcPr>
            <w:tcW w:w="585" w:type="dxa"/>
            <w:shd w:val="clear" w:color="auto" w:fill="auto"/>
            <w:vAlign w:val="center"/>
            <w:hideMark/>
          </w:tcPr>
          <w:p w14:paraId="34F4D3E8" w14:textId="6C3071F1" w:rsidR="00216350" w:rsidRPr="00364AA1" w:rsidRDefault="00216350" w:rsidP="00216350">
            <w:pPr>
              <w:jc w:val="center"/>
              <w:rPr>
                <w:rFonts w:ascii="Arial" w:hAnsi="Arial" w:cs="Arial"/>
                <w:color w:val="000000"/>
                <w:sz w:val="16"/>
                <w:szCs w:val="16"/>
                <w:lang w:eastAsia="es-AR"/>
              </w:rPr>
            </w:pPr>
            <w:r w:rsidRPr="00701F32">
              <w:rPr>
                <w:rFonts w:ascii="Arial" w:hAnsi="Arial" w:cs="Arial"/>
                <w:color w:val="000000"/>
                <w:sz w:val="16"/>
                <w:szCs w:val="16"/>
                <w:lang w:eastAsia="es-AR"/>
              </w:rPr>
              <w:t>CP</w:t>
            </w:r>
          </w:p>
        </w:tc>
        <w:tc>
          <w:tcPr>
            <w:tcW w:w="941" w:type="dxa"/>
            <w:shd w:val="clear" w:color="auto" w:fill="auto"/>
            <w:vAlign w:val="center"/>
            <w:hideMark/>
          </w:tcPr>
          <w:p w14:paraId="2F722F05" w14:textId="47ABA38E" w:rsidR="00216350" w:rsidRPr="00364AA1" w:rsidRDefault="00216350" w:rsidP="00216350">
            <w:pPr>
              <w:jc w:val="center"/>
              <w:rPr>
                <w:rFonts w:ascii="Arial" w:hAnsi="Arial" w:cs="Arial"/>
                <w:color w:val="000000"/>
                <w:sz w:val="16"/>
                <w:szCs w:val="16"/>
                <w:lang w:eastAsia="es-AR"/>
              </w:rPr>
            </w:pPr>
            <w:r w:rsidRPr="00701F32">
              <w:rPr>
                <w:rFonts w:ascii="Arial" w:hAnsi="Arial" w:cs="Arial"/>
                <w:color w:val="000000"/>
                <w:sz w:val="16"/>
                <w:szCs w:val="16"/>
                <w:lang w:eastAsia="es-AR"/>
              </w:rPr>
              <w:t>VN$ 37.500</w:t>
            </w:r>
          </w:p>
        </w:tc>
      </w:tr>
      <w:tr w:rsidR="00216350" w:rsidRPr="00364AA1" w14:paraId="14CC412D" w14:textId="77777777" w:rsidTr="00CD378B">
        <w:tc>
          <w:tcPr>
            <w:tcW w:w="1101" w:type="dxa"/>
            <w:vAlign w:val="center"/>
          </w:tcPr>
          <w:p w14:paraId="1E629B0D" w14:textId="09A4EC78"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Cordial Compañía Financiera</w:t>
            </w:r>
          </w:p>
        </w:tc>
        <w:tc>
          <w:tcPr>
            <w:tcW w:w="957" w:type="dxa"/>
            <w:shd w:val="clear" w:color="auto" w:fill="auto"/>
            <w:vAlign w:val="center"/>
          </w:tcPr>
          <w:p w14:paraId="47E31199" w14:textId="05C49358" w:rsidR="00216350" w:rsidRPr="00364AA1" w:rsidRDefault="00216350" w:rsidP="00216350">
            <w:pPr>
              <w:jc w:val="center"/>
              <w:rPr>
                <w:rFonts w:ascii="Arial" w:hAnsi="Arial" w:cs="Arial"/>
                <w:color w:val="000000"/>
                <w:sz w:val="16"/>
                <w:szCs w:val="16"/>
                <w:lang w:eastAsia="es-AR"/>
              </w:rPr>
            </w:pPr>
            <w:r>
              <w:rPr>
                <w:rFonts w:ascii="Arial" w:hAnsi="Arial" w:cs="Arial"/>
                <w:color w:val="000000"/>
                <w:sz w:val="16"/>
                <w:szCs w:val="16"/>
                <w:lang w:eastAsia="es-AR"/>
              </w:rPr>
              <w:t>20</w:t>
            </w:r>
          </w:p>
        </w:tc>
        <w:tc>
          <w:tcPr>
            <w:tcW w:w="1218" w:type="dxa"/>
            <w:shd w:val="clear" w:color="auto" w:fill="auto"/>
            <w:vAlign w:val="center"/>
          </w:tcPr>
          <w:p w14:paraId="6D26E62F" w14:textId="6AB1FCAD" w:rsidR="00216350" w:rsidRPr="004E6D0F" w:rsidRDefault="00216350" w:rsidP="00216350">
            <w:pPr>
              <w:jc w:val="center"/>
              <w:rPr>
                <w:rFonts w:ascii="Arial" w:hAnsi="Arial" w:cs="Arial"/>
                <w:color w:val="000000"/>
                <w:sz w:val="16"/>
                <w:szCs w:val="16"/>
                <w:lang w:eastAsia="es-AR"/>
              </w:rPr>
            </w:pPr>
            <w:r w:rsidRPr="004E6D0F">
              <w:rPr>
                <w:rFonts w:ascii="Arial" w:hAnsi="Arial" w:cs="Arial"/>
                <w:color w:val="000000"/>
                <w:sz w:val="16"/>
                <w:szCs w:val="16"/>
                <w:lang w:eastAsia="es-AR"/>
              </w:rPr>
              <w:t>08/04/2019</w:t>
            </w:r>
          </w:p>
        </w:tc>
        <w:tc>
          <w:tcPr>
            <w:tcW w:w="1134" w:type="dxa"/>
            <w:vAlign w:val="center"/>
          </w:tcPr>
          <w:p w14:paraId="08597D7B" w14:textId="493777F7" w:rsidR="00216350" w:rsidRPr="004E6D0F" w:rsidRDefault="00216350" w:rsidP="00216350">
            <w:pPr>
              <w:jc w:val="center"/>
              <w:rPr>
                <w:rFonts w:ascii="Arial" w:hAnsi="Arial" w:cs="Arial"/>
                <w:bCs/>
                <w:color w:val="000000"/>
                <w:sz w:val="16"/>
                <w:szCs w:val="16"/>
              </w:rPr>
            </w:pPr>
            <w:r w:rsidRPr="004E6D0F">
              <w:rPr>
                <w:rFonts w:ascii="Arial" w:hAnsi="Arial" w:cs="Arial"/>
                <w:bCs/>
                <w:color w:val="000000"/>
                <w:sz w:val="16"/>
                <w:szCs w:val="16"/>
              </w:rPr>
              <w:t>15/01/2022</w:t>
            </w:r>
          </w:p>
        </w:tc>
        <w:tc>
          <w:tcPr>
            <w:tcW w:w="1072" w:type="dxa"/>
            <w:shd w:val="clear" w:color="auto" w:fill="auto"/>
            <w:vAlign w:val="center"/>
          </w:tcPr>
          <w:p w14:paraId="6C2F9A71" w14:textId="70020B4E"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 xml:space="preserve">$ </w:t>
            </w:r>
            <w:r>
              <w:rPr>
                <w:rFonts w:ascii="Arial" w:hAnsi="Arial" w:cs="Arial"/>
                <w:color w:val="000000"/>
                <w:sz w:val="16"/>
                <w:szCs w:val="16"/>
                <w:lang w:eastAsia="es-AR"/>
              </w:rPr>
              <w:t>600.000</w:t>
            </w:r>
          </w:p>
        </w:tc>
        <w:tc>
          <w:tcPr>
            <w:tcW w:w="567" w:type="dxa"/>
            <w:shd w:val="clear" w:color="auto" w:fill="auto"/>
            <w:vAlign w:val="center"/>
          </w:tcPr>
          <w:p w14:paraId="7944DB2E" w14:textId="1978A19B"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VDF</w:t>
            </w:r>
          </w:p>
        </w:tc>
        <w:tc>
          <w:tcPr>
            <w:tcW w:w="1030" w:type="dxa"/>
            <w:shd w:val="clear" w:color="auto" w:fill="auto"/>
            <w:vAlign w:val="center"/>
          </w:tcPr>
          <w:p w14:paraId="619976E9" w14:textId="43DC6AEF"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 xml:space="preserve">VN$ </w:t>
            </w:r>
            <w:r>
              <w:rPr>
                <w:rFonts w:ascii="Arial" w:hAnsi="Arial" w:cs="Arial"/>
                <w:color w:val="000000"/>
                <w:sz w:val="16"/>
                <w:szCs w:val="16"/>
                <w:lang w:eastAsia="es-AR"/>
              </w:rPr>
              <w:t>480.000</w:t>
            </w:r>
          </w:p>
        </w:tc>
        <w:tc>
          <w:tcPr>
            <w:tcW w:w="585" w:type="dxa"/>
            <w:shd w:val="clear" w:color="auto" w:fill="auto"/>
            <w:vAlign w:val="center"/>
          </w:tcPr>
          <w:p w14:paraId="5773A495" w14:textId="79FF326E"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C</w:t>
            </w:r>
            <w:r>
              <w:rPr>
                <w:rFonts w:ascii="Arial" w:hAnsi="Arial" w:cs="Arial"/>
                <w:color w:val="000000"/>
                <w:sz w:val="16"/>
                <w:szCs w:val="16"/>
                <w:lang w:eastAsia="es-AR"/>
              </w:rPr>
              <w:t>P</w:t>
            </w:r>
          </w:p>
        </w:tc>
        <w:tc>
          <w:tcPr>
            <w:tcW w:w="941" w:type="dxa"/>
            <w:shd w:val="clear" w:color="auto" w:fill="auto"/>
            <w:vAlign w:val="center"/>
          </w:tcPr>
          <w:p w14:paraId="0A7DBD1A" w14:textId="4E3E9D79"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 xml:space="preserve">VN$ </w:t>
            </w:r>
            <w:r>
              <w:rPr>
                <w:rFonts w:ascii="Arial" w:hAnsi="Arial" w:cs="Arial"/>
                <w:color w:val="000000"/>
                <w:sz w:val="16"/>
                <w:szCs w:val="16"/>
                <w:lang w:eastAsia="es-AR"/>
              </w:rPr>
              <w:t>120.000</w:t>
            </w:r>
          </w:p>
        </w:tc>
      </w:tr>
      <w:tr w:rsidR="00216350" w:rsidRPr="00364AA1" w14:paraId="38BA6BE0" w14:textId="77777777" w:rsidTr="00CD378B">
        <w:tc>
          <w:tcPr>
            <w:tcW w:w="1101" w:type="dxa"/>
            <w:vAlign w:val="center"/>
          </w:tcPr>
          <w:p w14:paraId="1B560971" w14:textId="77777777"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Cordial Compañía Financiera</w:t>
            </w:r>
          </w:p>
        </w:tc>
        <w:tc>
          <w:tcPr>
            <w:tcW w:w="957" w:type="dxa"/>
            <w:shd w:val="clear" w:color="auto" w:fill="auto"/>
            <w:vAlign w:val="center"/>
            <w:hideMark/>
          </w:tcPr>
          <w:p w14:paraId="4EB4FD8E" w14:textId="2077CB4D" w:rsidR="00216350" w:rsidRPr="00364AA1" w:rsidRDefault="00216350" w:rsidP="00216350">
            <w:pPr>
              <w:jc w:val="center"/>
              <w:rPr>
                <w:rFonts w:ascii="Arial" w:hAnsi="Arial" w:cs="Arial"/>
                <w:color w:val="000000"/>
                <w:sz w:val="16"/>
                <w:szCs w:val="16"/>
                <w:lang w:eastAsia="es-AR"/>
              </w:rPr>
            </w:pPr>
            <w:r>
              <w:rPr>
                <w:rFonts w:ascii="Arial" w:hAnsi="Arial" w:cs="Arial"/>
                <w:color w:val="000000"/>
                <w:sz w:val="16"/>
                <w:szCs w:val="16"/>
                <w:lang w:eastAsia="es-AR"/>
              </w:rPr>
              <w:t>21</w:t>
            </w:r>
          </w:p>
        </w:tc>
        <w:tc>
          <w:tcPr>
            <w:tcW w:w="1218" w:type="dxa"/>
            <w:shd w:val="clear" w:color="auto" w:fill="auto"/>
            <w:vAlign w:val="center"/>
            <w:hideMark/>
          </w:tcPr>
          <w:p w14:paraId="107011B2" w14:textId="75E48F63" w:rsidR="00216350" w:rsidRPr="00364AA1" w:rsidRDefault="00216350" w:rsidP="00216350">
            <w:pPr>
              <w:jc w:val="center"/>
              <w:rPr>
                <w:rFonts w:ascii="Arial" w:hAnsi="Arial" w:cs="Arial"/>
                <w:color w:val="000000"/>
                <w:sz w:val="16"/>
                <w:szCs w:val="16"/>
                <w:lang w:eastAsia="es-AR"/>
              </w:rPr>
            </w:pPr>
            <w:r>
              <w:rPr>
                <w:rFonts w:ascii="Arial" w:hAnsi="Arial" w:cs="Arial"/>
                <w:color w:val="000000"/>
                <w:sz w:val="16"/>
                <w:szCs w:val="16"/>
                <w:lang w:eastAsia="es-AR"/>
              </w:rPr>
              <w:t>24</w:t>
            </w:r>
            <w:r w:rsidRPr="00364AA1">
              <w:rPr>
                <w:rFonts w:ascii="Arial" w:hAnsi="Arial" w:cs="Arial"/>
                <w:color w:val="000000"/>
                <w:sz w:val="16"/>
                <w:szCs w:val="16"/>
                <w:lang w:eastAsia="es-AR"/>
              </w:rPr>
              <w:t>/0</w:t>
            </w:r>
            <w:r>
              <w:rPr>
                <w:rFonts w:ascii="Arial" w:hAnsi="Arial" w:cs="Arial"/>
                <w:color w:val="000000"/>
                <w:sz w:val="16"/>
                <w:szCs w:val="16"/>
                <w:lang w:eastAsia="es-AR"/>
              </w:rPr>
              <w:t>6</w:t>
            </w:r>
            <w:r w:rsidRPr="00364AA1">
              <w:rPr>
                <w:rFonts w:ascii="Arial" w:hAnsi="Arial" w:cs="Arial"/>
                <w:color w:val="000000"/>
                <w:sz w:val="16"/>
                <w:szCs w:val="16"/>
                <w:lang w:eastAsia="es-AR"/>
              </w:rPr>
              <w:t>/201</w:t>
            </w:r>
            <w:r>
              <w:rPr>
                <w:rFonts w:ascii="Arial" w:hAnsi="Arial" w:cs="Arial"/>
                <w:color w:val="000000"/>
                <w:sz w:val="16"/>
                <w:szCs w:val="16"/>
                <w:lang w:eastAsia="es-AR"/>
              </w:rPr>
              <w:t>9</w:t>
            </w:r>
          </w:p>
        </w:tc>
        <w:tc>
          <w:tcPr>
            <w:tcW w:w="1134" w:type="dxa"/>
            <w:vAlign w:val="center"/>
          </w:tcPr>
          <w:p w14:paraId="5DAD80CE" w14:textId="6C624B9A" w:rsidR="00216350" w:rsidRPr="00364AA1" w:rsidRDefault="00216350" w:rsidP="00216350">
            <w:pPr>
              <w:jc w:val="center"/>
              <w:rPr>
                <w:rFonts w:ascii="Arial" w:hAnsi="Arial" w:cs="Arial"/>
                <w:color w:val="000000"/>
                <w:sz w:val="16"/>
                <w:szCs w:val="16"/>
                <w:lang w:eastAsia="es-AR"/>
              </w:rPr>
            </w:pPr>
            <w:r>
              <w:rPr>
                <w:rFonts w:ascii="Arial" w:hAnsi="Arial" w:cs="Arial"/>
                <w:color w:val="000000"/>
                <w:sz w:val="16"/>
                <w:szCs w:val="16"/>
                <w:lang w:eastAsia="es-AR"/>
              </w:rPr>
              <w:t>15/06/2022</w:t>
            </w:r>
          </w:p>
        </w:tc>
        <w:tc>
          <w:tcPr>
            <w:tcW w:w="1072" w:type="dxa"/>
            <w:shd w:val="clear" w:color="auto" w:fill="auto"/>
            <w:vAlign w:val="center"/>
            <w:hideMark/>
          </w:tcPr>
          <w:p w14:paraId="36639CBA" w14:textId="5CF27CE0"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 xml:space="preserve">$ </w:t>
            </w:r>
            <w:r>
              <w:rPr>
                <w:rFonts w:ascii="Arial" w:hAnsi="Arial" w:cs="Arial"/>
                <w:color w:val="000000"/>
                <w:sz w:val="16"/>
                <w:szCs w:val="16"/>
                <w:lang w:eastAsia="es-AR"/>
              </w:rPr>
              <w:t>1.0</w:t>
            </w:r>
            <w:r w:rsidRPr="00364AA1">
              <w:rPr>
                <w:rFonts w:ascii="Arial" w:hAnsi="Arial" w:cs="Arial"/>
                <w:color w:val="000000"/>
                <w:sz w:val="16"/>
                <w:szCs w:val="16"/>
                <w:lang w:eastAsia="es-AR"/>
              </w:rPr>
              <w:t>00.000</w:t>
            </w:r>
          </w:p>
        </w:tc>
        <w:tc>
          <w:tcPr>
            <w:tcW w:w="567" w:type="dxa"/>
            <w:shd w:val="clear" w:color="auto" w:fill="auto"/>
            <w:vAlign w:val="center"/>
            <w:hideMark/>
          </w:tcPr>
          <w:p w14:paraId="268054DA" w14:textId="16F997F2"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VDF</w:t>
            </w:r>
          </w:p>
        </w:tc>
        <w:tc>
          <w:tcPr>
            <w:tcW w:w="1030" w:type="dxa"/>
            <w:shd w:val="clear" w:color="auto" w:fill="auto"/>
            <w:vAlign w:val="center"/>
            <w:hideMark/>
          </w:tcPr>
          <w:p w14:paraId="2443FB66" w14:textId="12DCF840"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 xml:space="preserve">VN$ </w:t>
            </w:r>
            <w:r w:rsidR="0021178E">
              <w:rPr>
                <w:rFonts w:ascii="Arial" w:hAnsi="Arial" w:cs="Arial"/>
                <w:color w:val="000000"/>
                <w:sz w:val="16"/>
                <w:szCs w:val="16"/>
                <w:lang w:eastAsia="es-AR"/>
              </w:rPr>
              <w:t>780.000</w:t>
            </w:r>
          </w:p>
        </w:tc>
        <w:tc>
          <w:tcPr>
            <w:tcW w:w="585" w:type="dxa"/>
            <w:shd w:val="clear" w:color="auto" w:fill="auto"/>
            <w:vAlign w:val="center"/>
            <w:hideMark/>
          </w:tcPr>
          <w:p w14:paraId="5F10477A" w14:textId="3B2ED063"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CP</w:t>
            </w:r>
          </w:p>
        </w:tc>
        <w:tc>
          <w:tcPr>
            <w:tcW w:w="941" w:type="dxa"/>
            <w:shd w:val="clear" w:color="auto" w:fill="auto"/>
            <w:vAlign w:val="center"/>
            <w:hideMark/>
          </w:tcPr>
          <w:p w14:paraId="0E9301D8" w14:textId="1C05500E" w:rsidR="00216350" w:rsidRPr="00364AA1" w:rsidRDefault="00216350" w:rsidP="00216350">
            <w:pPr>
              <w:jc w:val="center"/>
              <w:rPr>
                <w:rFonts w:ascii="Arial" w:hAnsi="Arial" w:cs="Arial"/>
                <w:color w:val="000000"/>
                <w:sz w:val="16"/>
                <w:szCs w:val="16"/>
                <w:lang w:eastAsia="es-AR"/>
              </w:rPr>
            </w:pPr>
            <w:r w:rsidRPr="00364AA1">
              <w:rPr>
                <w:rFonts w:ascii="Arial" w:hAnsi="Arial" w:cs="Arial"/>
                <w:color w:val="000000"/>
                <w:sz w:val="16"/>
                <w:szCs w:val="16"/>
                <w:lang w:eastAsia="es-AR"/>
              </w:rPr>
              <w:t xml:space="preserve">VN$ </w:t>
            </w:r>
            <w:r w:rsidR="0021178E">
              <w:rPr>
                <w:rFonts w:ascii="Arial" w:hAnsi="Arial" w:cs="Arial"/>
                <w:color w:val="000000"/>
                <w:sz w:val="16"/>
                <w:szCs w:val="16"/>
                <w:lang w:eastAsia="es-AR"/>
              </w:rPr>
              <w:t>220.000</w:t>
            </w:r>
          </w:p>
        </w:tc>
      </w:tr>
      <w:tr w:rsidR="00C63AFA" w:rsidRPr="00364AA1" w14:paraId="33235E3C" w14:textId="77777777" w:rsidTr="00CD378B">
        <w:tc>
          <w:tcPr>
            <w:tcW w:w="1101" w:type="dxa"/>
            <w:vAlign w:val="center"/>
          </w:tcPr>
          <w:p w14:paraId="4C04D7EA" w14:textId="54F7EE1C" w:rsidR="00C63AFA" w:rsidRPr="00364AA1" w:rsidRDefault="00C63AFA" w:rsidP="00C63AFA">
            <w:pPr>
              <w:jc w:val="center"/>
              <w:rPr>
                <w:rFonts w:ascii="Arial" w:hAnsi="Arial" w:cs="Arial"/>
                <w:color w:val="000000"/>
                <w:sz w:val="16"/>
                <w:szCs w:val="16"/>
                <w:lang w:eastAsia="es-AR"/>
              </w:rPr>
            </w:pPr>
            <w:r w:rsidRPr="00364AA1">
              <w:rPr>
                <w:rFonts w:ascii="Arial" w:hAnsi="Arial" w:cs="Arial"/>
                <w:color w:val="000000"/>
                <w:sz w:val="16"/>
                <w:szCs w:val="16"/>
                <w:lang w:eastAsia="es-AR"/>
              </w:rPr>
              <w:t>Cordial Compañía Financiera</w:t>
            </w:r>
          </w:p>
        </w:tc>
        <w:tc>
          <w:tcPr>
            <w:tcW w:w="957" w:type="dxa"/>
            <w:shd w:val="clear" w:color="auto" w:fill="auto"/>
            <w:vAlign w:val="center"/>
          </w:tcPr>
          <w:p w14:paraId="70DC0685" w14:textId="69DB3993" w:rsidR="00C63AFA" w:rsidRDefault="00C63AFA" w:rsidP="00C63AFA">
            <w:pPr>
              <w:jc w:val="center"/>
              <w:rPr>
                <w:rFonts w:ascii="Arial" w:hAnsi="Arial" w:cs="Arial"/>
                <w:color w:val="000000"/>
                <w:sz w:val="16"/>
                <w:szCs w:val="16"/>
                <w:lang w:eastAsia="es-AR"/>
              </w:rPr>
            </w:pPr>
            <w:r>
              <w:rPr>
                <w:rFonts w:ascii="Arial" w:hAnsi="Arial" w:cs="Arial"/>
                <w:color w:val="000000"/>
                <w:sz w:val="16"/>
                <w:szCs w:val="16"/>
                <w:lang w:eastAsia="es-AR"/>
              </w:rPr>
              <w:t>22</w:t>
            </w:r>
          </w:p>
        </w:tc>
        <w:tc>
          <w:tcPr>
            <w:tcW w:w="1218" w:type="dxa"/>
            <w:shd w:val="clear" w:color="auto" w:fill="auto"/>
            <w:vAlign w:val="center"/>
          </w:tcPr>
          <w:p w14:paraId="43F30657" w14:textId="0A35B574" w:rsidR="00C63AFA" w:rsidRDefault="0006228E" w:rsidP="00C63AFA">
            <w:pPr>
              <w:jc w:val="center"/>
              <w:rPr>
                <w:rFonts w:ascii="Arial" w:hAnsi="Arial" w:cs="Arial"/>
                <w:color w:val="000000"/>
                <w:sz w:val="16"/>
                <w:szCs w:val="16"/>
                <w:lang w:eastAsia="es-AR"/>
              </w:rPr>
            </w:pPr>
            <w:r>
              <w:rPr>
                <w:rFonts w:ascii="Arial" w:hAnsi="Arial" w:cs="Arial"/>
                <w:color w:val="000000"/>
                <w:sz w:val="16"/>
                <w:szCs w:val="16"/>
                <w:lang w:eastAsia="es-AR"/>
              </w:rPr>
              <w:t>13/11/2019</w:t>
            </w:r>
          </w:p>
        </w:tc>
        <w:tc>
          <w:tcPr>
            <w:tcW w:w="1134" w:type="dxa"/>
            <w:vAlign w:val="center"/>
          </w:tcPr>
          <w:p w14:paraId="5D471258" w14:textId="141D090D" w:rsidR="00C63AFA" w:rsidRDefault="0006228E" w:rsidP="00C63AFA">
            <w:pPr>
              <w:jc w:val="center"/>
              <w:rPr>
                <w:rFonts w:ascii="Arial" w:hAnsi="Arial" w:cs="Arial"/>
                <w:color w:val="000000"/>
                <w:sz w:val="16"/>
                <w:szCs w:val="16"/>
                <w:lang w:eastAsia="es-AR"/>
              </w:rPr>
            </w:pPr>
            <w:r>
              <w:rPr>
                <w:rFonts w:ascii="Arial" w:hAnsi="Arial" w:cs="Arial"/>
                <w:color w:val="000000"/>
                <w:sz w:val="16"/>
                <w:szCs w:val="16"/>
                <w:lang w:eastAsia="es-AR"/>
              </w:rPr>
              <w:t>15/01/2021</w:t>
            </w:r>
          </w:p>
        </w:tc>
        <w:tc>
          <w:tcPr>
            <w:tcW w:w="1072" w:type="dxa"/>
            <w:shd w:val="clear" w:color="auto" w:fill="auto"/>
            <w:vAlign w:val="center"/>
          </w:tcPr>
          <w:p w14:paraId="0A97928A" w14:textId="2CABC5D9" w:rsidR="00C63AFA" w:rsidRPr="00364AA1" w:rsidRDefault="0006228E" w:rsidP="00C63AFA">
            <w:pPr>
              <w:jc w:val="center"/>
              <w:rPr>
                <w:rFonts w:ascii="Arial" w:hAnsi="Arial" w:cs="Arial"/>
                <w:color w:val="000000"/>
                <w:sz w:val="16"/>
                <w:szCs w:val="16"/>
                <w:lang w:eastAsia="es-AR"/>
              </w:rPr>
            </w:pPr>
            <w:r>
              <w:rPr>
                <w:rFonts w:ascii="Arial" w:hAnsi="Arial" w:cs="Arial"/>
                <w:color w:val="000000"/>
                <w:sz w:val="16"/>
                <w:szCs w:val="16"/>
                <w:lang w:eastAsia="es-AR"/>
              </w:rPr>
              <w:t>$ 571.560</w:t>
            </w:r>
          </w:p>
        </w:tc>
        <w:tc>
          <w:tcPr>
            <w:tcW w:w="567" w:type="dxa"/>
            <w:shd w:val="clear" w:color="auto" w:fill="auto"/>
            <w:vAlign w:val="center"/>
          </w:tcPr>
          <w:p w14:paraId="73DD6011" w14:textId="5F2D6582" w:rsidR="00C63AFA" w:rsidRPr="00364AA1" w:rsidRDefault="0006228E" w:rsidP="00C63AFA">
            <w:pPr>
              <w:jc w:val="center"/>
              <w:rPr>
                <w:rFonts w:ascii="Arial" w:hAnsi="Arial" w:cs="Arial"/>
                <w:color w:val="000000"/>
                <w:sz w:val="16"/>
                <w:szCs w:val="16"/>
                <w:lang w:eastAsia="es-AR"/>
              </w:rPr>
            </w:pPr>
            <w:r>
              <w:rPr>
                <w:rFonts w:ascii="Arial" w:hAnsi="Arial" w:cs="Arial"/>
                <w:color w:val="000000"/>
                <w:sz w:val="16"/>
                <w:szCs w:val="16"/>
                <w:lang w:eastAsia="es-AR"/>
              </w:rPr>
              <w:t>VDF</w:t>
            </w:r>
          </w:p>
        </w:tc>
        <w:tc>
          <w:tcPr>
            <w:tcW w:w="1030" w:type="dxa"/>
            <w:shd w:val="clear" w:color="auto" w:fill="auto"/>
            <w:vAlign w:val="center"/>
          </w:tcPr>
          <w:p w14:paraId="0EBB6543" w14:textId="5BAB4B98" w:rsidR="00C63AFA" w:rsidRPr="00364AA1" w:rsidRDefault="0006228E" w:rsidP="00C63AFA">
            <w:pPr>
              <w:jc w:val="center"/>
              <w:rPr>
                <w:rFonts w:ascii="Arial" w:hAnsi="Arial" w:cs="Arial"/>
                <w:color w:val="000000"/>
                <w:sz w:val="16"/>
                <w:szCs w:val="16"/>
                <w:lang w:eastAsia="es-AR"/>
              </w:rPr>
            </w:pPr>
            <w:r>
              <w:rPr>
                <w:rFonts w:ascii="Arial" w:hAnsi="Arial" w:cs="Arial"/>
                <w:color w:val="000000"/>
                <w:sz w:val="16"/>
                <w:szCs w:val="16"/>
                <w:lang w:eastAsia="es-AR"/>
              </w:rPr>
              <w:t>VN$ 469.260</w:t>
            </w:r>
          </w:p>
        </w:tc>
        <w:tc>
          <w:tcPr>
            <w:tcW w:w="585" w:type="dxa"/>
            <w:shd w:val="clear" w:color="auto" w:fill="auto"/>
            <w:vAlign w:val="center"/>
          </w:tcPr>
          <w:p w14:paraId="46288332" w14:textId="26AF2685" w:rsidR="00C63AFA" w:rsidRPr="00364AA1" w:rsidRDefault="0006228E" w:rsidP="00C63AFA">
            <w:pPr>
              <w:jc w:val="center"/>
              <w:rPr>
                <w:rFonts w:ascii="Arial" w:hAnsi="Arial" w:cs="Arial"/>
                <w:color w:val="000000"/>
                <w:sz w:val="16"/>
                <w:szCs w:val="16"/>
                <w:lang w:eastAsia="es-AR"/>
              </w:rPr>
            </w:pPr>
            <w:r>
              <w:rPr>
                <w:rFonts w:ascii="Arial" w:hAnsi="Arial" w:cs="Arial"/>
                <w:color w:val="000000"/>
                <w:sz w:val="16"/>
                <w:szCs w:val="16"/>
                <w:lang w:eastAsia="es-AR"/>
              </w:rPr>
              <w:t>CP</w:t>
            </w:r>
          </w:p>
        </w:tc>
        <w:tc>
          <w:tcPr>
            <w:tcW w:w="941" w:type="dxa"/>
            <w:shd w:val="clear" w:color="auto" w:fill="auto"/>
            <w:vAlign w:val="center"/>
          </w:tcPr>
          <w:p w14:paraId="1B3DF66C" w14:textId="212258E7" w:rsidR="00C63AFA" w:rsidRPr="00364AA1" w:rsidRDefault="0006228E" w:rsidP="00C63AFA">
            <w:pPr>
              <w:jc w:val="center"/>
              <w:rPr>
                <w:rFonts w:ascii="Arial" w:hAnsi="Arial" w:cs="Arial"/>
                <w:color w:val="000000"/>
                <w:sz w:val="16"/>
                <w:szCs w:val="16"/>
                <w:lang w:eastAsia="es-AR"/>
              </w:rPr>
            </w:pPr>
            <w:r w:rsidRPr="00364AA1">
              <w:rPr>
                <w:rFonts w:ascii="Arial" w:hAnsi="Arial" w:cs="Arial"/>
                <w:color w:val="000000"/>
                <w:sz w:val="16"/>
                <w:szCs w:val="16"/>
                <w:lang w:eastAsia="es-AR"/>
              </w:rPr>
              <w:t xml:space="preserve">VN$ </w:t>
            </w:r>
            <w:r>
              <w:rPr>
                <w:rFonts w:ascii="Arial" w:hAnsi="Arial" w:cs="Arial"/>
                <w:color w:val="000000"/>
                <w:sz w:val="16"/>
                <w:szCs w:val="16"/>
                <w:lang w:eastAsia="es-AR"/>
              </w:rPr>
              <w:t>102.300</w:t>
            </w:r>
          </w:p>
        </w:tc>
      </w:tr>
      <w:bookmarkEnd w:id="7"/>
    </w:tbl>
    <w:p w14:paraId="120F07B1" w14:textId="6C75B569" w:rsidR="00E54D7E" w:rsidRDefault="00E54D7E" w:rsidP="00E54D7E">
      <w:pPr>
        <w:spacing w:line="259" w:lineRule="auto"/>
        <w:jc w:val="both"/>
        <w:rPr>
          <w:rFonts w:ascii="Arial" w:eastAsia="Calibri" w:hAnsi="Arial" w:cs="Arial"/>
          <w:sz w:val="14"/>
        </w:rPr>
      </w:pPr>
    </w:p>
    <w:p w14:paraId="09C0FB0B" w14:textId="77777777" w:rsidR="00216350" w:rsidRPr="00701F32" w:rsidRDefault="00216350" w:rsidP="00216350">
      <w:pPr>
        <w:spacing w:after="160" w:line="259" w:lineRule="auto"/>
        <w:jc w:val="both"/>
        <w:rPr>
          <w:rFonts w:ascii="Arial" w:eastAsia="Calibri" w:hAnsi="Arial" w:cs="Arial"/>
          <w:sz w:val="20"/>
        </w:rPr>
      </w:pPr>
      <w:r w:rsidRPr="00701F32">
        <w:rPr>
          <w:rFonts w:ascii="Arial" w:eastAsia="Calibri" w:hAnsi="Arial" w:cs="Arial"/>
          <w:sz w:val="20"/>
        </w:rPr>
        <w:t>El Banco controla una entidad estructurada cuando está expuesto a, o tiene derecho a, retornos variables y tiene la capacidad de afectar esos retornos a través de su poder para dirigir las actividades de la entidad. Las entidades estructuradas se consolidan a partir de la fecha en que el control es transferido al Banco, dejándose de consolidar a partir de la fecha en que cesa el control.</w:t>
      </w:r>
    </w:p>
    <w:p w14:paraId="4B6B9283" w14:textId="77777777" w:rsidR="00216350" w:rsidRPr="00701F32" w:rsidRDefault="00216350" w:rsidP="00216350">
      <w:pPr>
        <w:spacing w:after="160" w:line="259" w:lineRule="auto"/>
        <w:jc w:val="both"/>
        <w:rPr>
          <w:rFonts w:ascii="Arial" w:eastAsia="Calibri" w:hAnsi="Arial" w:cs="Arial"/>
          <w:sz w:val="20"/>
        </w:rPr>
      </w:pPr>
      <w:r w:rsidRPr="00701F32">
        <w:rPr>
          <w:rFonts w:ascii="Arial" w:eastAsia="Calibri" w:hAnsi="Arial" w:cs="Arial"/>
          <w:sz w:val="20"/>
        </w:rPr>
        <w:t>En relación a los fideicomisos financieros, la Entidad ha evaluado las siguientes consideraciones:</w:t>
      </w:r>
    </w:p>
    <w:p w14:paraId="78E08A4C" w14:textId="77777777" w:rsidR="00216350" w:rsidRPr="00701F32" w:rsidRDefault="00216350" w:rsidP="00627289">
      <w:pPr>
        <w:numPr>
          <w:ilvl w:val="0"/>
          <w:numId w:val="31"/>
        </w:numPr>
        <w:spacing w:after="160" w:line="259" w:lineRule="auto"/>
        <w:contextualSpacing/>
        <w:jc w:val="both"/>
        <w:rPr>
          <w:rFonts w:ascii="Arial" w:eastAsia="Calibri" w:hAnsi="Arial" w:cs="Arial"/>
          <w:sz w:val="20"/>
        </w:rPr>
      </w:pPr>
      <w:r w:rsidRPr="00701F32">
        <w:rPr>
          <w:rFonts w:ascii="Arial" w:eastAsia="Calibri" w:hAnsi="Arial" w:cs="Arial"/>
          <w:sz w:val="20"/>
        </w:rPr>
        <w:t>El propósito y el diseño de una participada.</w:t>
      </w:r>
    </w:p>
    <w:p w14:paraId="5926763A" w14:textId="77777777" w:rsidR="00216350" w:rsidRPr="00701F32" w:rsidRDefault="00216350" w:rsidP="00627289">
      <w:pPr>
        <w:numPr>
          <w:ilvl w:val="0"/>
          <w:numId w:val="31"/>
        </w:numPr>
        <w:spacing w:after="160" w:line="259" w:lineRule="auto"/>
        <w:contextualSpacing/>
        <w:jc w:val="both"/>
        <w:rPr>
          <w:rFonts w:ascii="Arial" w:eastAsia="Calibri" w:hAnsi="Arial" w:cs="Arial"/>
          <w:sz w:val="20"/>
        </w:rPr>
      </w:pPr>
      <w:r w:rsidRPr="00701F32">
        <w:rPr>
          <w:rFonts w:ascii="Arial" w:eastAsia="Calibri" w:hAnsi="Arial" w:cs="Arial"/>
          <w:sz w:val="20"/>
        </w:rPr>
        <w:t>Cuáles son las actividades relevantes.</w:t>
      </w:r>
    </w:p>
    <w:p w14:paraId="33926936" w14:textId="77777777" w:rsidR="00216350" w:rsidRPr="00701F32" w:rsidRDefault="00216350" w:rsidP="00627289">
      <w:pPr>
        <w:numPr>
          <w:ilvl w:val="0"/>
          <w:numId w:val="31"/>
        </w:numPr>
        <w:spacing w:after="160" w:line="259" w:lineRule="auto"/>
        <w:contextualSpacing/>
        <w:jc w:val="both"/>
        <w:rPr>
          <w:rFonts w:ascii="Arial" w:eastAsia="Calibri" w:hAnsi="Arial" w:cs="Arial"/>
          <w:sz w:val="20"/>
        </w:rPr>
      </w:pPr>
      <w:r w:rsidRPr="00701F32">
        <w:rPr>
          <w:rFonts w:ascii="Arial" w:eastAsia="Calibri" w:hAnsi="Arial" w:cs="Arial"/>
          <w:sz w:val="20"/>
        </w:rPr>
        <w:t>Cómo se toman las decisiones sobre esas actividades.</w:t>
      </w:r>
    </w:p>
    <w:p w14:paraId="12DB03CD" w14:textId="77777777" w:rsidR="00216350" w:rsidRPr="00701F32" w:rsidRDefault="00216350" w:rsidP="00627289">
      <w:pPr>
        <w:numPr>
          <w:ilvl w:val="0"/>
          <w:numId w:val="31"/>
        </w:numPr>
        <w:spacing w:after="160" w:line="259" w:lineRule="auto"/>
        <w:contextualSpacing/>
        <w:jc w:val="both"/>
        <w:rPr>
          <w:rFonts w:ascii="Arial" w:eastAsia="Calibri" w:hAnsi="Arial" w:cs="Arial"/>
          <w:sz w:val="20"/>
        </w:rPr>
      </w:pPr>
      <w:r w:rsidRPr="00701F32">
        <w:rPr>
          <w:rFonts w:ascii="Arial" w:eastAsia="Calibri" w:hAnsi="Arial" w:cs="Arial"/>
          <w:sz w:val="20"/>
        </w:rPr>
        <w:t>Si los derechos del inversor le otorgan la capacidad actual de dirigir las actividades relevantes.</w:t>
      </w:r>
    </w:p>
    <w:p w14:paraId="772D9860" w14:textId="77777777" w:rsidR="00216350" w:rsidRPr="00701F32" w:rsidRDefault="00216350" w:rsidP="00627289">
      <w:pPr>
        <w:numPr>
          <w:ilvl w:val="0"/>
          <w:numId w:val="31"/>
        </w:numPr>
        <w:spacing w:after="160" w:line="259" w:lineRule="auto"/>
        <w:contextualSpacing/>
        <w:jc w:val="both"/>
        <w:rPr>
          <w:rFonts w:ascii="Arial" w:eastAsia="Calibri" w:hAnsi="Arial" w:cs="Arial"/>
          <w:sz w:val="20"/>
        </w:rPr>
      </w:pPr>
      <w:r w:rsidRPr="00701F32">
        <w:rPr>
          <w:rFonts w:ascii="Arial" w:eastAsia="Calibri" w:hAnsi="Arial" w:cs="Arial"/>
          <w:sz w:val="20"/>
        </w:rPr>
        <w:t>Si el inversor está expuesto, o tiene derecho, a los rendimientos variables de su participación en la participada.</w:t>
      </w:r>
    </w:p>
    <w:p w14:paraId="2B3B90F7" w14:textId="77777777" w:rsidR="00216350" w:rsidRPr="00701F32" w:rsidRDefault="00216350" w:rsidP="00627289">
      <w:pPr>
        <w:numPr>
          <w:ilvl w:val="0"/>
          <w:numId w:val="31"/>
        </w:numPr>
        <w:tabs>
          <w:tab w:val="left" w:pos="0"/>
        </w:tabs>
        <w:spacing w:after="160" w:line="259" w:lineRule="auto"/>
        <w:contextualSpacing/>
        <w:jc w:val="both"/>
        <w:rPr>
          <w:rFonts w:ascii="Arial" w:eastAsia="Calibri" w:hAnsi="Arial" w:cs="Arial"/>
          <w:sz w:val="20"/>
        </w:rPr>
      </w:pPr>
      <w:r w:rsidRPr="00701F32">
        <w:rPr>
          <w:rFonts w:ascii="Arial" w:eastAsia="Calibri" w:hAnsi="Arial" w:cs="Arial"/>
          <w:sz w:val="20"/>
        </w:rPr>
        <w:t>Si el inversionista tiene la capacidad de usar su poder sobre la participada para afectar el monto de los rendimientos del inversor.</w:t>
      </w:r>
    </w:p>
    <w:p w14:paraId="27351166" w14:textId="77777777" w:rsidR="00216350" w:rsidRPr="00701F32" w:rsidRDefault="00216350" w:rsidP="00216350">
      <w:pPr>
        <w:tabs>
          <w:tab w:val="left" w:pos="0"/>
        </w:tabs>
        <w:spacing w:after="160" w:line="259" w:lineRule="auto"/>
        <w:ind w:left="720"/>
        <w:contextualSpacing/>
        <w:jc w:val="both"/>
        <w:rPr>
          <w:rFonts w:ascii="Arial" w:eastAsia="Calibri" w:hAnsi="Arial" w:cs="Arial"/>
          <w:sz w:val="20"/>
        </w:rPr>
      </w:pPr>
    </w:p>
    <w:p w14:paraId="39E93C57" w14:textId="77777777" w:rsidR="00216350" w:rsidRPr="00701F32" w:rsidRDefault="00216350" w:rsidP="00216350">
      <w:pPr>
        <w:spacing w:after="160" w:line="259" w:lineRule="auto"/>
        <w:jc w:val="both"/>
        <w:rPr>
          <w:rFonts w:ascii="Arial" w:eastAsia="Calibri" w:hAnsi="Arial" w:cs="Arial"/>
          <w:sz w:val="20"/>
        </w:rPr>
      </w:pPr>
      <w:r w:rsidRPr="00701F32">
        <w:rPr>
          <w:rFonts w:ascii="Arial" w:eastAsia="Calibri" w:hAnsi="Arial" w:cs="Arial"/>
          <w:sz w:val="20"/>
        </w:rPr>
        <w:t>En base a lo anterior, el Banco ha concluido que tiene el control de estos fideicomisos financieros y como consecuencia, estas entidades estructuradas han sido consolidadas.</w:t>
      </w:r>
    </w:p>
    <w:p w14:paraId="771D0A10" w14:textId="15968765" w:rsidR="00F74879" w:rsidRDefault="00F74879" w:rsidP="002F55BB">
      <w:pPr>
        <w:spacing w:line="259" w:lineRule="auto"/>
        <w:jc w:val="both"/>
        <w:rPr>
          <w:rFonts w:ascii="Arial" w:eastAsia="Calibri" w:hAnsi="Arial" w:cs="Arial"/>
          <w:sz w:val="20"/>
        </w:rPr>
      </w:pPr>
      <w:bookmarkStart w:id="8" w:name="_Hlk15638820"/>
      <w:r w:rsidRPr="00701F32">
        <w:rPr>
          <w:rFonts w:ascii="Arial" w:eastAsia="Calibri" w:hAnsi="Arial" w:cs="Arial"/>
          <w:sz w:val="20"/>
        </w:rPr>
        <w:t>El siguiente cuadro presenta el valor en libros y la clasificación de los activos y pasivos de las entidades estructuradas que se han consolidado al</w:t>
      </w:r>
      <w:r>
        <w:rPr>
          <w:rFonts w:ascii="Arial" w:eastAsia="Calibri" w:hAnsi="Arial" w:cs="Arial"/>
          <w:sz w:val="20"/>
        </w:rPr>
        <w:t xml:space="preserve"> 3</w:t>
      </w:r>
      <w:r w:rsidR="00931F52">
        <w:rPr>
          <w:rFonts w:ascii="Arial" w:eastAsia="Calibri" w:hAnsi="Arial" w:cs="Arial"/>
          <w:sz w:val="20"/>
        </w:rPr>
        <w:t>1</w:t>
      </w:r>
      <w:r>
        <w:rPr>
          <w:rFonts w:ascii="Arial" w:eastAsia="Calibri" w:hAnsi="Arial" w:cs="Arial"/>
          <w:sz w:val="20"/>
        </w:rPr>
        <w:t xml:space="preserve"> de </w:t>
      </w:r>
      <w:r w:rsidR="00931F52">
        <w:rPr>
          <w:rFonts w:ascii="Arial" w:eastAsia="Calibri" w:hAnsi="Arial" w:cs="Arial"/>
          <w:sz w:val="20"/>
        </w:rPr>
        <w:t>diciembre</w:t>
      </w:r>
      <w:r>
        <w:rPr>
          <w:rFonts w:ascii="Arial" w:eastAsia="Calibri" w:hAnsi="Arial" w:cs="Arial"/>
          <w:sz w:val="20"/>
        </w:rPr>
        <w:t xml:space="preserve"> de 2019</w:t>
      </w:r>
      <w:r w:rsidR="00931F52">
        <w:rPr>
          <w:rFonts w:ascii="Arial" w:eastAsia="Calibri" w:hAnsi="Arial" w:cs="Arial"/>
          <w:sz w:val="20"/>
        </w:rPr>
        <w:t xml:space="preserve"> y 2018</w:t>
      </w:r>
      <w:r w:rsidRPr="00701F32">
        <w:rPr>
          <w:rFonts w:ascii="Arial" w:eastAsia="Calibri" w:hAnsi="Arial" w:cs="Arial"/>
          <w:sz w:val="20"/>
        </w:rPr>
        <w:t>, a saber:</w:t>
      </w:r>
    </w:p>
    <w:p w14:paraId="6C6DC25F" w14:textId="77777777" w:rsidR="00F77F7F" w:rsidRPr="00701F32" w:rsidRDefault="00F77F7F" w:rsidP="002F55BB">
      <w:pPr>
        <w:spacing w:line="259" w:lineRule="auto"/>
        <w:jc w:val="both"/>
        <w:rPr>
          <w:rFonts w:ascii="Arial" w:eastAsia="Calibri" w:hAnsi="Arial" w:cs="Arial"/>
          <w:sz w:val="20"/>
        </w:rPr>
      </w:pP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9"/>
        <w:gridCol w:w="1781"/>
        <w:gridCol w:w="1781"/>
      </w:tblGrid>
      <w:tr w:rsidR="00931F52" w:rsidRPr="00701F32" w14:paraId="0D03DF30" w14:textId="2E425939" w:rsidTr="00A45C21">
        <w:trPr>
          <w:trHeight w:val="403"/>
          <w:tblHeader/>
          <w:jc w:val="center"/>
        </w:trPr>
        <w:tc>
          <w:tcPr>
            <w:tcW w:w="2959" w:type="dxa"/>
            <w:shd w:val="clear" w:color="auto" w:fill="auto"/>
            <w:vAlign w:val="center"/>
            <w:hideMark/>
          </w:tcPr>
          <w:p w14:paraId="2614E679" w14:textId="721C3D11" w:rsidR="00931F52" w:rsidRPr="00701F32" w:rsidRDefault="00931F52" w:rsidP="00931F52">
            <w:pPr>
              <w:jc w:val="both"/>
              <w:rPr>
                <w:rFonts w:ascii="Arial" w:hAnsi="Arial" w:cs="Arial"/>
                <w:color w:val="000000"/>
                <w:sz w:val="16"/>
                <w:lang w:eastAsia="es-AR"/>
              </w:rPr>
            </w:pPr>
          </w:p>
        </w:tc>
        <w:tc>
          <w:tcPr>
            <w:tcW w:w="1781" w:type="dxa"/>
            <w:shd w:val="clear" w:color="auto" w:fill="auto"/>
            <w:vAlign w:val="center"/>
            <w:hideMark/>
          </w:tcPr>
          <w:p w14:paraId="0ADA7EEF" w14:textId="1008C898" w:rsidR="00931F52" w:rsidRPr="00701F32" w:rsidRDefault="00931F52" w:rsidP="00931F52">
            <w:pPr>
              <w:jc w:val="center"/>
              <w:rPr>
                <w:rFonts w:ascii="Arial" w:hAnsi="Arial" w:cs="Arial"/>
                <w:b/>
                <w:bCs/>
                <w:color w:val="000000"/>
                <w:sz w:val="16"/>
                <w:lang w:eastAsia="es-AR"/>
              </w:rPr>
            </w:pPr>
            <w:r w:rsidRPr="00701F32">
              <w:rPr>
                <w:rFonts w:ascii="Arial" w:hAnsi="Arial" w:cs="Arial"/>
                <w:b/>
                <w:bCs/>
                <w:color w:val="000000"/>
                <w:sz w:val="16"/>
                <w:lang w:eastAsia="es-AR"/>
              </w:rPr>
              <w:t>3</w:t>
            </w:r>
            <w:r>
              <w:rPr>
                <w:rFonts w:ascii="Arial" w:hAnsi="Arial" w:cs="Arial"/>
                <w:b/>
                <w:bCs/>
                <w:color w:val="000000"/>
                <w:sz w:val="16"/>
                <w:lang w:eastAsia="es-AR"/>
              </w:rPr>
              <w:t>1</w:t>
            </w:r>
            <w:r w:rsidRPr="00701F32">
              <w:rPr>
                <w:rFonts w:ascii="Arial" w:hAnsi="Arial" w:cs="Arial"/>
                <w:b/>
                <w:bCs/>
                <w:color w:val="000000"/>
                <w:sz w:val="16"/>
                <w:lang w:eastAsia="es-AR"/>
              </w:rPr>
              <w:t>/</w:t>
            </w:r>
            <w:r>
              <w:rPr>
                <w:rFonts w:ascii="Arial" w:hAnsi="Arial" w:cs="Arial"/>
                <w:b/>
                <w:bCs/>
                <w:color w:val="000000"/>
                <w:sz w:val="16"/>
                <w:lang w:eastAsia="es-AR"/>
              </w:rPr>
              <w:t>12</w:t>
            </w:r>
            <w:r w:rsidRPr="00701F32">
              <w:rPr>
                <w:rFonts w:ascii="Arial" w:hAnsi="Arial" w:cs="Arial"/>
                <w:b/>
                <w:bCs/>
                <w:color w:val="000000"/>
                <w:sz w:val="16"/>
                <w:lang w:eastAsia="es-AR"/>
              </w:rPr>
              <w:t>/201</w:t>
            </w:r>
            <w:r>
              <w:rPr>
                <w:rFonts w:ascii="Arial" w:hAnsi="Arial" w:cs="Arial"/>
                <w:b/>
                <w:bCs/>
                <w:color w:val="000000"/>
                <w:sz w:val="16"/>
                <w:lang w:eastAsia="es-AR"/>
              </w:rPr>
              <w:t>9</w:t>
            </w:r>
          </w:p>
        </w:tc>
        <w:tc>
          <w:tcPr>
            <w:tcW w:w="1781" w:type="dxa"/>
            <w:vAlign w:val="center"/>
          </w:tcPr>
          <w:p w14:paraId="4EE4B451" w14:textId="504B8A1D" w:rsidR="00931F52" w:rsidRPr="00701F32" w:rsidRDefault="00931F52" w:rsidP="00931F52">
            <w:pPr>
              <w:jc w:val="center"/>
              <w:rPr>
                <w:rFonts w:ascii="Arial" w:hAnsi="Arial" w:cs="Arial"/>
                <w:b/>
                <w:bCs/>
                <w:color w:val="000000"/>
                <w:sz w:val="16"/>
                <w:lang w:eastAsia="es-AR"/>
              </w:rPr>
            </w:pPr>
            <w:r w:rsidRPr="00701F32">
              <w:rPr>
                <w:rFonts w:ascii="Arial" w:hAnsi="Arial" w:cs="Arial"/>
                <w:b/>
                <w:bCs/>
                <w:color w:val="000000"/>
                <w:sz w:val="16"/>
                <w:lang w:eastAsia="es-AR"/>
              </w:rPr>
              <w:t>3</w:t>
            </w:r>
            <w:r>
              <w:rPr>
                <w:rFonts w:ascii="Arial" w:hAnsi="Arial" w:cs="Arial"/>
                <w:b/>
                <w:bCs/>
                <w:color w:val="000000"/>
                <w:sz w:val="16"/>
                <w:lang w:eastAsia="es-AR"/>
              </w:rPr>
              <w:t>1</w:t>
            </w:r>
            <w:r w:rsidRPr="00701F32">
              <w:rPr>
                <w:rFonts w:ascii="Arial" w:hAnsi="Arial" w:cs="Arial"/>
                <w:b/>
                <w:bCs/>
                <w:color w:val="000000"/>
                <w:sz w:val="16"/>
                <w:lang w:eastAsia="es-AR"/>
              </w:rPr>
              <w:t>/</w:t>
            </w:r>
            <w:r>
              <w:rPr>
                <w:rFonts w:ascii="Arial" w:hAnsi="Arial" w:cs="Arial"/>
                <w:b/>
                <w:bCs/>
                <w:color w:val="000000"/>
                <w:sz w:val="16"/>
                <w:lang w:eastAsia="es-AR"/>
              </w:rPr>
              <w:t>12</w:t>
            </w:r>
            <w:r w:rsidRPr="00701F32">
              <w:rPr>
                <w:rFonts w:ascii="Arial" w:hAnsi="Arial" w:cs="Arial"/>
                <w:b/>
                <w:bCs/>
                <w:color w:val="000000"/>
                <w:sz w:val="16"/>
                <w:lang w:eastAsia="es-AR"/>
              </w:rPr>
              <w:t>/2018</w:t>
            </w:r>
          </w:p>
        </w:tc>
      </w:tr>
      <w:tr w:rsidR="00931F52" w:rsidRPr="00701F32" w14:paraId="750D6508" w14:textId="501C691B" w:rsidTr="00A45C21">
        <w:trPr>
          <w:trHeight w:val="157"/>
          <w:jc w:val="center"/>
        </w:trPr>
        <w:tc>
          <w:tcPr>
            <w:tcW w:w="2959" w:type="dxa"/>
            <w:shd w:val="clear" w:color="auto" w:fill="auto"/>
            <w:vAlign w:val="bottom"/>
            <w:hideMark/>
          </w:tcPr>
          <w:p w14:paraId="6895E5BD" w14:textId="77777777" w:rsidR="00931F52" w:rsidRPr="00701F32" w:rsidRDefault="00931F52" w:rsidP="00931F52">
            <w:pPr>
              <w:rPr>
                <w:rFonts w:ascii="Arial" w:hAnsi="Arial" w:cs="Arial"/>
                <w:b/>
                <w:bCs/>
                <w:color w:val="000000"/>
                <w:sz w:val="16"/>
                <w:lang w:eastAsia="es-AR"/>
              </w:rPr>
            </w:pPr>
            <w:r w:rsidRPr="00701F32">
              <w:rPr>
                <w:rFonts w:ascii="Arial" w:hAnsi="Arial" w:cs="Arial"/>
                <w:b/>
                <w:bCs/>
                <w:color w:val="000000"/>
                <w:sz w:val="16"/>
                <w:lang w:eastAsia="es-AR"/>
              </w:rPr>
              <w:t>Activos</w:t>
            </w:r>
          </w:p>
        </w:tc>
        <w:tc>
          <w:tcPr>
            <w:tcW w:w="1781" w:type="dxa"/>
            <w:shd w:val="clear" w:color="auto" w:fill="auto"/>
            <w:vAlign w:val="bottom"/>
            <w:hideMark/>
          </w:tcPr>
          <w:p w14:paraId="599B716E" w14:textId="77777777" w:rsidR="00931F52" w:rsidRPr="00701F32" w:rsidRDefault="00931F52" w:rsidP="00931F52">
            <w:pPr>
              <w:jc w:val="right"/>
              <w:rPr>
                <w:rFonts w:ascii="Arial" w:hAnsi="Arial" w:cs="Arial"/>
                <w:color w:val="000000"/>
                <w:sz w:val="16"/>
                <w:lang w:eastAsia="es-AR"/>
              </w:rPr>
            </w:pPr>
          </w:p>
        </w:tc>
        <w:tc>
          <w:tcPr>
            <w:tcW w:w="1781" w:type="dxa"/>
            <w:vAlign w:val="bottom"/>
          </w:tcPr>
          <w:p w14:paraId="3E370A7F" w14:textId="77777777" w:rsidR="00931F52" w:rsidRPr="00701F32" w:rsidRDefault="00931F52" w:rsidP="00931F52">
            <w:pPr>
              <w:jc w:val="right"/>
              <w:rPr>
                <w:rFonts w:ascii="Arial" w:hAnsi="Arial" w:cs="Arial"/>
                <w:color w:val="000000"/>
                <w:sz w:val="16"/>
                <w:lang w:eastAsia="es-AR"/>
              </w:rPr>
            </w:pPr>
          </w:p>
        </w:tc>
      </w:tr>
      <w:tr w:rsidR="0006228E" w:rsidRPr="00701F32" w14:paraId="34F7A85A" w14:textId="284B5D4A" w:rsidTr="00A45C21">
        <w:trPr>
          <w:trHeight w:val="232"/>
          <w:jc w:val="center"/>
        </w:trPr>
        <w:tc>
          <w:tcPr>
            <w:tcW w:w="2959" w:type="dxa"/>
            <w:shd w:val="clear" w:color="auto" w:fill="auto"/>
            <w:vAlign w:val="bottom"/>
            <w:hideMark/>
          </w:tcPr>
          <w:p w14:paraId="1DE9EC5A" w14:textId="77777777" w:rsidR="0006228E" w:rsidRPr="00701F32" w:rsidRDefault="0006228E" w:rsidP="0006228E">
            <w:pPr>
              <w:rPr>
                <w:rFonts w:ascii="Arial" w:hAnsi="Arial" w:cs="Arial"/>
                <w:color w:val="000000"/>
                <w:sz w:val="16"/>
                <w:lang w:eastAsia="es-AR"/>
              </w:rPr>
            </w:pPr>
            <w:r w:rsidRPr="00701F32">
              <w:rPr>
                <w:rFonts w:ascii="Arial" w:hAnsi="Arial" w:cs="Arial"/>
                <w:color w:val="000000"/>
                <w:sz w:val="16"/>
                <w:lang w:eastAsia="es-AR"/>
              </w:rPr>
              <w:t>Préstamos</w:t>
            </w:r>
          </w:p>
        </w:tc>
        <w:tc>
          <w:tcPr>
            <w:tcW w:w="1781" w:type="dxa"/>
            <w:shd w:val="clear" w:color="auto" w:fill="auto"/>
            <w:vAlign w:val="center"/>
          </w:tcPr>
          <w:p w14:paraId="321D09B2" w14:textId="1DFA0F75" w:rsidR="0006228E" w:rsidRPr="00E05D2A" w:rsidRDefault="0006228E" w:rsidP="002F55BB">
            <w:pPr>
              <w:jc w:val="right"/>
              <w:rPr>
                <w:rFonts w:ascii="Arial" w:hAnsi="Arial" w:cs="Arial"/>
                <w:color w:val="000000"/>
                <w:sz w:val="16"/>
                <w:szCs w:val="16"/>
                <w:lang w:eastAsia="es-AR"/>
              </w:rPr>
            </w:pPr>
            <w:r>
              <w:rPr>
                <w:rFonts w:ascii="Arial" w:hAnsi="Arial" w:cs="Arial"/>
                <w:color w:val="000000"/>
                <w:sz w:val="16"/>
                <w:szCs w:val="16"/>
              </w:rPr>
              <w:t>1.563.372</w:t>
            </w:r>
          </w:p>
        </w:tc>
        <w:tc>
          <w:tcPr>
            <w:tcW w:w="1781" w:type="dxa"/>
            <w:vAlign w:val="center"/>
          </w:tcPr>
          <w:p w14:paraId="2413507E" w14:textId="304F4C25" w:rsidR="0006228E" w:rsidRDefault="0006228E" w:rsidP="0006228E">
            <w:pPr>
              <w:jc w:val="right"/>
              <w:rPr>
                <w:rFonts w:ascii="Arial" w:hAnsi="Arial" w:cs="Arial"/>
                <w:color w:val="000000"/>
                <w:sz w:val="16"/>
                <w:szCs w:val="16"/>
              </w:rPr>
            </w:pPr>
            <w:r w:rsidRPr="00B76DE4">
              <w:rPr>
                <w:rFonts w:ascii="Arial" w:hAnsi="Arial" w:cs="Arial"/>
                <w:color w:val="000000"/>
                <w:sz w:val="16"/>
                <w:szCs w:val="16"/>
              </w:rPr>
              <w:t>391.333</w:t>
            </w:r>
          </w:p>
        </w:tc>
      </w:tr>
      <w:tr w:rsidR="0006228E" w:rsidRPr="00701F32" w14:paraId="47C61871" w14:textId="28BD51FC" w:rsidTr="00A45C21">
        <w:trPr>
          <w:trHeight w:val="135"/>
          <w:jc w:val="center"/>
        </w:trPr>
        <w:tc>
          <w:tcPr>
            <w:tcW w:w="2959" w:type="dxa"/>
            <w:shd w:val="clear" w:color="auto" w:fill="auto"/>
            <w:vAlign w:val="bottom"/>
            <w:hideMark/>
          </w:tcPr>
          <w:p w14:paraId="1C024A02" w14:textId="77777777" w:rsidR="0006228E" w:rsidRPr="00701F32" w:rsidRDefault="0006228E" w:rsidP="0006228E">
            <w:pPr>
              <w:rPr>
                <w:rFonts w:ascii="Arial" w:hAnsi="Arial" w:cs="Arial"/>
                <w:color w:val="000000"/>
                <w:sz w:val="16"/>
                <w:lang w:eastAsia="es-AR"/>
              </w:rPr>
            </w:pPr>
            <w:r w:rsidRPr="00701F32">
              <w:rPr>
                <w:rFonts w:ascii="Arial" w:hAnsi="Arial" w:cs="Arial"/>
                <w:color w:val="000000"/>
                <w:sz w:val="16"/>
                <w:lang w:eastAsia="es-AR"/>
              </w:rPr>
              <w:t>Activos financieros</w:t>
            </w:r>
          </w:p>
        </w:tc>
        <w:tc>
          <w:tcPr>
            <w:tcW w:w="1781" w:type="dxa"/>
            <w:shd w:val="clear" w:color="auto" w:fill="auto"/>
            <w:vAlign w:val="center"/>
          </w:tcPr>
          <w:p w14:paraId="1EDDE2E1" w14:textId="1D2FCC81" w:rsidR="0006228E" w:rsidRPr="00E05D2A" w:rsidRDefault="0006228E" w:rsidP="002F55BB">
            <w:pPr>
              <w:jc w:val="right"/>
              <w:rPr>
                <w:rFonts w:ascii="Arial" w:hAnsi="Arial" w:cs="Arial"/>
                <w:color w:val="000000"/>
                <w:sz w:val="16"/>
                <w:szCs w:val="16"/>
                <w:lang w:eastAsia="es-AR"/>
              </w:rPr>
            </w:pPr>
            <w:r>
              <w:rPr>
                <w:rFonts w:ascii="Arial" w:hAnsi="Arial" w:cs="Arial"/>
                <w:color w:val="000000"/>
                <w:sz w:val="16"/>
                <w:szCs w:val="16"/>
              </w:rPr>
              <w:t>101.885</w:t>
            </w:r>
          </w:p>
        </w:tc>
        <w:tc>
          <w:tcPr>
            <w:tcW w:w="1781" w:type="dxa"/>
            <w:vAlign w:val="center"/>
          </w:tcPr>
          <w:p w14:paraId="6DEF7700" w14:textId="58B89D9D" w:rsidR="0006228E" w:rsidRDefault="0006228E" w:rsidP="0006228E">
            <w:pPr>
              <w:jc w:val="right"/>
              <w:rPr>
                <w:rFonts w:ascii="Arial" w:hAnsi="Arial" w:cs="Arial"/>
                <w:color w:val="000000"/>
                <w:sz w:val="16"/>
                <w:szCs w:val="16"/>
              </w:rPr>
            </w:pPr>
            <w:r w:rsidRPr="00B76DE4">
              <w:rPr>
                <w:rFonts w:ascii="Arial" w:hAnsi="Arial" w:cs="Arial"/>
                <w:color w:val="000000"/>
                <w:sz w:val="16"/>
                <w:szCs w:val="16"/>
              </w:rPr>
              <w:t>45.029</w:t>
            </w:r>
          </w:p>
        </w:tc>
      </w:tr>
      <w:tr w:rsidR="0006228E" w:rsidRPr="00701F32" w14:paraId="59C9FB4E" w14:textId="306C4792" w:rsidTr="00A45C21">
        <w:trPr>
          <w:trHeight w:val="209"/>
          <w:jc w:val="center"/>
        </w:trPr>
        <w:tc>
          <w:tcPr>
            <w:tcW w:w="2959" w:type="dxa"/>
            <w:shd w:val="clear" w:color="auto" w:fill="auto"/>
            <w:vAlign w:val="bottom"/>
            <w:hideMark/>
          </w:tcPr>
          <w:p w14:paraId="15A4797A" w14:textId="77777777" w:rsidR="0006228E" w:rsidRPr="00701F32" w:rsidRDefault="0006228E" w:rsidP="0006228E">
            <w:pPr>
              <w:rPr>
                <w:rFonts w:ascii="Arial" w:hAnsi="Arial" w:cs="Arial"/>
                <w:color w:val="000000"/>
                <w:sz w:val="16"/>
                <w:lang w:eastAsia="es-AR"/>
              </w:rPr>
            </w:pPr>
            <w:r w:rsidRPr="00701F32">
              <w:rPr>
                <w:rFonts w:ascii="Arial" w:hAnsi="Arial" w:cs="Arial"/>
                <w:color w:val="000000"/>
                <w:sz w:val="16"/>
                <w:lang w:eastAsia="es-AR"/>
              </w:rPr>
              <w:t>Otros activos</w:t>
            </w:r>
          </w:p>
        </w:tc>
        <w:tc>
          <w:tcPr>
            <w:tcW w:w="1781" w:type="dxa"/>
            <w:shd w:val="clear" w:color="auto" w:fill="auto"/>
            <w:vAlign w:val="center"/>
          </w:tcPr>
          <w:p w14:paraId="61D4E94D" w14:textId="4DC531E7" w:rsidR="0006228E" w:rsidRPr="00E05D2A" w:rsidRDefault="0006228E" w:rsidP="002F55BB">
            <w:pPr>
              <w:jc w:val="right"/>
              <w:rPr>
                <w:rFonts w:ascii="Arial" w:hAnsi="Arial" w:cs="Arial"/>
                <w:color w:val="000000"/>
                <w:sz w:val="16"/>
                <w:szCs w:val="16"/>
                <w:lang w:eastAsia="es-AR"/>
              </w:rPr>
            </w:pPr>
            <w:r>
              <w:rPr>
                <w:rFonts w:ascii="Arial" w:hAnsi="Arial" w:cs="Arial"/>
                <w:color w:val="000000"/>
                <w:sz w:val="16"/>
                <w:szCs w:val="16"/>
              </w:rPr>
              <w:t>110.962</w:t>
            </w:r>
          </w:p>
        </w:tc>
        <w:tc>
          <w:tcPr>
            <w:tcW w:w="1781" w:type="dxa"/>
            <w:vAlign w:val="center"/>
          </w:tcPr>
          <w:p w14:paraId="41960CAC" w14:textId="754DCA5F" w:rsidR="0006228E" w:rsidRDefault="0006228E" w:rsidP="0006228E">
            <w:pPr>
              <w:jc w:val="right"/>
              <w:rPr>
                <w:rFonts w:ascii="Arial" w:hAnsi="Arial" w:cs="Arial"/>
                <w:color w:val="000000"/>
                <w:sz w:val="16"/>
                <w:szCs w:val="16"/>
              </w:rPr>
            </w:pPr>
            <w:r w:rsidRPr="00B76DE4">
              <w:rPr>
                <w:rFonts w:ascii="Arial" w:hAnsi="Arial" w:cs="Arial"/>
                <w:color w:val="000000"/>
                <w:sz w:val="16"/>
                <w:szCs w:val="16"/>
              </w:rPr>
              <w:t>12.778</w:t>
            </w:r>
          </w:p>
        </w:tc>
      </w:tr>
      <w:tr w:rsidR="0006228E" w:rsidRPr="00701F32" w14:paraId="06C770D0" w14:textId="08A3E1C9" w:rsidTr="00A45C21">
        <w:trPr>
          <w:trHeight w:val="113"/>
          <w:jc w:val="center"/>
        </w:trPr>
        <w:tc>
          <w:tcPr>
            <w:tcW w:w="2959" w:type="dxa"/>
            <w:shd w:val="clear" w:color="auto" w:fill="auto"/>
            <w:vAlign w:val="bottom"/>
            <w:hideMark/>
          </w:tcPr>
          <w:p w14:paraId="34BAD859" w14:textId="77777777" w:rsidR="0006228E" w:rsidRPr="00701F32" w:rsidRDefault="0006228E" w:rsidP="0006228E">
            <w:pPr>
              <w:rPr>
                <w:rFonts w:ascii="Arial" w:hAnsi="Arial" w:cs="Arial"/>
                <w:b/>
                <w:bCs/>
                <w:color w:val="000000"/>
                <w:sz w:val="16"/>
                <w:lang w:eastAsia="es-AR"/>
              </w:rPr>
            </w:pPr>
            <w:r w:rsidRPr="00701F32">
              <w:rPr>
                <w:rFonts w:ascii="Arial" w:hAnsi="Arial" w:cs="Arial"/>
                <w:b/>
                <w:bCs/>
                <w:color w:val="000000"/>
                <w:sz w:val="16"/>
                <w:lang w:eastAsia="es-AR"/>
              </w:rPr>
              <w:t>Total Activo</w:t>
            </w:r>
          </w:p>
        </w:tc>
        <w:tc>
          <w:tcPr>
            <w:tcW w:w="1781" w:type="dxa"/>
            <w:shd w:val="clear" w:color="auto" w:fill="auto"/>
            <w:vAlign w:val="center"/>
          </w:tcPr>
          <w:p w14:paraId="7F0A8F37" w14:textId="40D3ACD7" w:rsidR="0006228E" w:rsidRPr="00E05D2A" w:rsidRDefault="0006228E" w:rsidP="002F55BB">
            <w:pPr>
              <w:jc w:val="right"/>
              <w:rPr>
                <w:rFonts w:ascii="Arial" w:hAnsi="Arial" w:cs="Arial"/>
                <w:b/>
                <w:bCs/>
                <w:color w:val="000000"/>
                <w:sz w:val="16"/>
                <w:szCs w:val="16"/>
                <w:lang w:eastAsia="es-AR"/>
              </w:rPr>
            </w:pPr>
            <w:r>
              <w:rPr>
                <w:rFonts w:ascii="Arial" w:hAnsi="Arial" w:cs="Arial"/>
                <w:b/>
                <w:bCs/>
                <w:color w:val="000000"/>
                <w:sz w:val="16"/>
                <w:szCs w:val="16"/>
              </w:rPr>
              <w:t>1.776.219</w:t>
            </w:r>
          </w:p>
        </w:tc>
        <w:tc>
          <w:tcPr>
            <w:tcW w:w="1781" w:type="dxa"/>
            <w:vAlign w:val="center"/>
          </w:tcPr>
          <w:p w14:paraId="6DB7EBE2" w14:textId="3CB7A967" w:rsidR="0006228E" w:rsidRDefault="0006228E" w:rsidP="0006228E">
            <w:pPr>
              <w:jc w:val="right"/>
              <w:rPr>
                <w:rFonts w:ascii="Arial" w:hAnsi="Arial" w:cs="Arial"/>
                <w:b/>
                <w:bCs/>
                <w:color w:val="000000"/>
                <w:sz w:val="16"/>
                <w:szCs w:val="16"/>
              </w:rPr>
            </w:pPr>
            <w:r w:rsidRPr="00B76DE4">
              <w:rPr>
                <w:rFonts w:ascii="Arial" w:hAnsi="Arial" w:cs="Arial"/>
                <w:b/>
                <w:bCs/>
                <w:color w:val="000000"/>
                <w:sz w:val="16"/>
                <w:szCs w:val="16"/>
              </w:rPr>
              <w:t>449.140</w:t>
            </w:r>
          </w:p>
        </w:tc>
      </w:tr>
      <w:tr w:rsidR="00931F52" w:rsidRPr="00701F32" w14:paraId="672D7D92" w14:textId="79387197" w:rsidTr="00A45C21">
        <w:trPr>
          <w:trHeight w:val="187"/>
          <w:jc w:val="center"/>
        </w:trPr>
        <w:tc>
          <w:tcPr>
            <w:tcW w:w="2959" w:type="dxa"/>
            <w:shd w:val="clear" w:color="auto" w:fill="auto"/>
            <w:vAlign w:val="bottom"/>
            <w:hideMark/>
          </w:tcPr>
          <w:p w14:paraId="2C3F92A3" w14:textId="77777777" w:rsidR="00931F52" w:rsidRPr="00701F32" w:rsidRDefault="00931F52" w:rsidP="00931F52">
            <w:pPr>
              <w:rPr>
                <w:rFonts w:ascii="Arial" w:hAnsi="Arial" w:cs="Arial"/>
                <w:b/>
                <w:bCs/>
                <w:color w:val="000000"/>
                <w:sz w:val="16"/>
                <w:lang w:eastAsia="es-AR"/>
              </w:rPr>
            </w:pPr>
            <w:r w:rsidRPr="00701F32">
              <w:rPr>
                <w:rFonts w:ascii="Arial" w:hAnsi="Arial" w:cs="Arial"/>
                <w:b/>
                <w:bCs/>
                <w:color w:val="000000"/>
                <w:sz w:val="16"/>
                <w:lang w:eastAsia="es-AR"/>
              </w:rPr>
              <w:t>Pasivos</w:t>
            </w:r>
          </w:p>
        </w:tc>
        <w:tc>
          <w:tcPr>
            <w:tcW w:w="1781" w:type="dxa"/>
            <w:shd w:val="clear" w:color="auto" w:fill="auto"/>
            <w:vAlign w:val="center"/>
          </w:tcPr>
          <w:p w14:paraId="1DE93E19" w14:textId="79BACA6E" w:rsidR="00931F52" w:rsidRPr="00E05D2A" w:rsidRDefault="00931F52" w:rsidP="002F55BB">
            <w:pPr>
              <w:jc w:val="right"/>
              <w:rPr>
                <w:rFonts w:ascii="Arial" w:hAnsi="Arial" w:cs="Arial"/>
                <w:color w:val="000000"/>
                <w:sz w:val="16"/>
                <w:szCs w:val="16"/>
                <w:lang w:eastAsia="es-AR"/>
              </w:rPr>
            </w:pPr>
          </w:p>
        </w:tc>
        <w:tc>
          <w:tcPr>
            <w:tcW w:w="1781" w:type="dxa"/>
            <w:vAlign w:val="center"/>
          </w:tcPr>
          <w:p w14:paraId="2F64B444" w14:textId="6CEA99CD" w:rsidR="00931F52" w:rsidRPr="00E05D2A" w:rsidRDefault="00931F52" w:rsidP="00931F52">
            <w:pPr>
              <w:jc w:val="right"/>
              <w:rPr>
                <w:rFonts w:ascii="Arial" w:hAnsi="Arial" w:cs="Arial"/>
                <w:color w:val="000000"/>
                <w:sz w:val="16"/>
                <w:szCs w:val="16"/>
                <w:lang w:eastAsia="es-AR"/>
              </w:rPr>
            </w:pPr>
          </w:p>
        </w:tc>
      </w:tr>
      <w:tr w:rsidR="0006228E" w:rsidRPr="00701F32" w14:paraId="66397360" w14:textId="686DA993" w:rsidTr="00A45C21">
        <w:trPr>
          <w:trHeight w:val="119"/>
          <w:jc w:val="center"/>
        </w:trPr>
        <w:tc>
          <w:tcPr>
            <w:tcW w:w="2959" w:type="dxa"/>
            <w:shd w:val="clear" w:color="auto" w:fill="auto"/>
            <w:vAlign w:val="bottom"/>
            <w:hideMark/>
          </w:tcPr>
          <w:p w14:paraId="573744C5" w14:textId="77777777" w:rsidR="0006228E" w:rsidRPr="00701F32" w:rsidRDefault="0006228E" w:rsidP="0006228E">
            <w:pPr>
              <w:rPr>
                <w:rFonts w:ascii="Arial" w:hAnsi="Arial" w:cs="Arial"/>
                <w:color w:val="000000"/>
                <w:sz w:val="16"/>
                <w:lang w:eastAsia="es-AR"/>
              </w:rPr>
            </w:pPr>
            <w:r w:rsidRPr="00701F32">
              <w:rPr>
                <w:rFonts w:ascii="Arial" w:hAnsi="Arial" w:cs="Arial"/>
                <w:color w:val="000000"/>
                <w:sz w:val="16"/>
                <w:lang w:eastAsia="es-AR"/>
              </w:rPr>
              <w:t>Pasivos financieros</w:t>
            </w:r>
          </w:p>
        </w:tc>
        <w:tc>
          <w:tcPr>
            <w:tcW w:w="1781" w:type="dxa"/>
            <w:shd w:val="clear" w:color="auto" w:fill="auto"/>
            <w:vAlign w:val="center"/>
          </w:tcPr>
          <w:p w14:paraId="7E5627A2" w14:textId="0A1B7519" w:rsidR="0006228E" w:rsidRPr="00E05D2A" w:rsidRDefault="0006228E" w:rsidP="002F55BB">
            <w:pPr>
              <w:jc w:val="right"/>
              <w:rPr>
                <w:rFonts w:ascii="Arial" w:hAnsi="Arial" w:cs="Arial"/>
                <w:color w:val="000000"/>
                <w:sz w:val="16"/>
                <w:szCs w:val="16"/>
                <w:lang w:eastAsia="es-AR"/>
              </w:rPr>
            </w:pPr>
            <w:r>
              <w:rPr>
                <w:rFonts w:ascii="Arial" w:hAnsi="Arial" w:cs="Arial"/>
                <w:color w:val="000000"/>
                <w:sz w:val="16"/>
                <w:szCs w:val="16"/>
              </w:rPr>
              <w:t>1.328.583</w:t>
            </w:r>
          </w:p>
        </w:tc>
        <w:tc>
          <w:tcPr>
            <w:tcW w:w="1781" w:type="dxa"/>
            <w:vAlign w:val="center"/>
          </w:tcPr>
          <w:p w14:paraId="34AA6D71" w14:textId="50E52C9E" w:rsidR="0006228E" w:rsidRDefault="0006228E" w:rsidP="0006228E">
            <w:pPr>
              <w:jc w:val="right"/>
              <w:rPr>
                <w:rFonts w:ascii="Arial" w:hAnsi="Arial" w:cs="Arial"/>
                <w:color w:val="000000"/>
                <w:sz w:val="16"/>
                <w:szCs w:val="16"/>
              </w:rPr>
            </w:pPr>
            <w:r w:rsidRPr="00B76DE4">
              <w:rPr>
                <w:rFonts w:ascii="Arial" w:hAnsi="Arial" w:cs="Arial"/>
                <w:color w:val="000000"/>
                <w:sz w:val="16"/>
                <w:szCs w:val="16"/>
              </w:rPr>
              <w:t>374.075</w:t>
            </w:r>
          </w:p>
        </w:tc>
      </w:tr>
      <w:tr w:rsidR="0006228E" w:rsidRPr="00701F32" w14:paraId="0BB1F61E" w14:textId="34F1660B" w:rsidTr="00A45C21">
        <w:trPr>
          <w:trHeight w:val="65"/>
          <w:jc w:val="center"/>
        </w:trPr>
        <w:tc>
          <w:tcPr>
            <w:tcW w:w="2959" w:type="dxa"/>
            <w:shd w:val="clear" w:color="auto" w:fill="auto"/>
            <w:vAlign w:val="bottom"/>
            <w:hideMark/>
          </w:tcPr>
          <w:p w14:paraId="450C243C" w14:textId="77777777" w:rsidR="0006228E" w:rsidRPr="00701F32" w:rsidRDefault="0006228E" w:rsidP="0006228E">
            <w:pPr>
              <w:rPr>
                <w:rFonts w:ascii="Arial" w:hAnsi="Arial" w:cs="Arial"/>
                <w:color w:val="000000"/>
                <w:sz w:val="16"/>
                <w:lang w:eastAsia="es-AR"/>
              </w:rPr>
            </w:pPr>
            <w:r w:rsidRPr="00701F32">
              <w:rPr>
                <w:rFonts w:ascii="Arial" w:hAnsi="Arial" w:cs="Arial"/>
                <w:color w:val="000000"/>
                <w:sz w:val="16"/>
                <w:lang w:eastAsia="es-AR"/>
              </w:rPr>
              <w:t>Otros pasivos</w:t>
            </w:r>
          </w:p>
        </w:tc>
        <w:tc>
          <w:tcPr>
            <w:tcW w:w="1781" w:type="dxa"/>
            <w:shd w:val="clear" w:color="auto" w:fill="auto"/>
            <w:vAlign w:val="center"/>
          </w:tcPr>
          <w:p w14:paraId="7DD6DD05" w14:textId="5A67F8E0" w:rsidR="0006228E" w:rsidRPr="00E05D2A" w:rsidRDefault="0006228E" w:rsidP="002F55BB">
            <w:pPr>
              <w:jc w:val="right"/>
              <w:rPr>
                <w:rFonts w:ascii="Arial" w:hAnsi="Arial" w:cs="Arial"/>
                <w:color w:val="000000"/>
                <w:sz w:val="16"/>
                <w:szCs w:val="16"/>
                <w:lang w:eastAsia="es-AR"/>
              </w:rPr>
            </w:pPr>
            <w:r>
              <w:rPr>
                <w:rFonts w:ascii="Arial" w:hAnsi="Arial" w:cs="Arial"/>
                <w:color w:val="000000"/>
                <w:sz w:val="16"/>
                <w:szCs w:val="16"/>
              </w:rPr>
              <w:t>15.034</w:t>
            </w:r>
          </w:p>
        </w:tc>
        <w:tc>
          <w:tcPr>
            <w:tcW w:w="1781" w:type="dxa"/>
            <w:vAlign w:val="center"/>
          </w:tcPr>
          <w:p w14:paraId="5F7D9F0F" w14:textId="6E0CBE9B" w:rsidR="0006228E" w:rsidRDefault="0006228E" w:rsidP="0006228E">
            <w:pPr>
              <w:jc w:val="right"/>
              <w:rPr>
                <w:rFonts w:ascii="Arial" w:hAnsi="Arial" w:cs="Arial"/>
                <w:color w:val="000000"/>
                <w:sz w:val="16"/>
                <w:szCs w:val="16"/>
              </w:rPr>
            </w:pPr>
            <w:r w:rsidRPr="00B76DE4">
              <w:rPr>
                <w:rFonts w:ascii="Arial" w:hAnsi="Arial" w:cs="Arial"/>
                <w:color w:val="000000"/>
                <w:sz w:val="16"/>
                <w:szCs w:val="16"/>
              </w:rPr>
              <w:t>19.718</w:t>
            </w:r>
          </w:p>
        </w:tc>
      </w:tr>
      <w:tr w:rsidR="0006228E" w:rsidRPr="00701F32" w14:paraId="7E033383" w14:textId="768D25AA" w:rsidTr="00A45C21">
        <w:trPr>
          <w:trHeight w:val="139"/>
          <w:jc w:val="center"/>
        </w:trPr>
        <w:tc>
          <w:tcPr>
            <w:tcW w:w="2959" w:type="dxa"/>
            <w:shd w:val="clear" w:color="auto" w:fill="auto"/>
            <w:vAlign w:val="bottom"/>
            <w:hideMark/>
          </w:tcPr>
          <w:p w14:paraId="453BA0B5" w14:textId="77777777" w:rsidR="0006228E" w:rsidRPr="00701F32" w:rsidRDefault="0006228E" w:rsidP="0006228E">
            <w:pPr>
              <w:rPr>
                <w:rFonts w:ascii="Arial" w:hAnsi="Arial" w:cs="Arial"/>
                <w:b/>
                <w:bCs/>
                <w:color w:val="000000"/>
                <w:sz w:val="16"/>
                <w:lang w:eastAsia="es-AR"/>
              </w:rPr>
            </w:pPr>
            <w:r w:rsidRPr="00701F32">
              <w:rPr>
                <w:rFonts w:ascii="Arial" w:hAnsi="Arial" w:cs="Arial"/>
                <w:b/>
                <w:bCs/>
                <w:color w:val="000000"/>
                <w:sz w:val="16"/>
                <w:lang w:eastAsia="es-AR"/>
              </w:rPr>
              <w:t>Total Pasivo</w:t>
            </w:r>
          </w:p>
        </w:tc>
        <w:tc>
          <w:tcPr>
            <w:tcW w:w="1781" w:type="dxa"/>
            <w:shd w:val="clear" w:color="auto" w:fill="auto"/>
            <w:vAlign w:val="center"/>
          </w:tcPr>
          <w:p w14:paraId="1B91285B" w14:textId="2C60E1C9" w:rsidR="0006228E" w:rsidRPr="00E05D2A" w:rsidRDefault="0006228E" w:rsidP="002F55BB">
            <w:pPr>
              <w:jc w:val="right"/>
              <w:rPr>
                <w:rFonts w:ascii="Arial" w:hAnsi="Arial" w:cs="Arial"/>
                <w:b/>
                <w:bCs/>
                <w:color w:val="000000"/>
                <w:sz w:val="16"/>
                <w:szCs w:val="16"/>
                <w:lang w:eastAsia="es-AR"/>
              </w:rPr>
            </w:pPr>
            <w:r>
              <w:rPr>
                <w:rFonts w:ascii="Arial" w:hAnsi="Arial" w:cs="Arial"/>
                <w:b/>
                <w:bCs/>
                <w:color w:val="000000"/>
                <w:sz w:val="16"/>
                <w:szCs w:val="16"/>
              </w:rPr>
              <w:t>1.343.617</w:t>
            </w:r>
          </w:p>
        </w:tc>
        <w:tc>
          <w:tcPr>
            <w:tcW w:w="1781" w:type="dxa"/>
            <w:vAlign w:val="center"/>
          </w:tcPr>
          <w:p w14:paraId="09CCCC57" w14:textId="656A0119" w:rsidR="0006228E" w:rsidRDefault="0006228E" w:rsidP="0006228E">
            <w:pPr>
              <w:jc w:val="right"/>
              <w:rPr>
                <w:rFonts w:ascii="Arial" w:hAnsi="Arial" w:cs="Arial"/>
                <w:b/>
                <w:bCs/>
                <w:color w:val="000000"/>
                <w:sz w:val="16"/>
                <w:szCs w:val="16"/>
              </w:rPr>
            </w:pPr>
            <w:r w:rsidRPr="00B76DE4">
              <w:rPr>
                <w:rFonts w:ascii="Arial" w:hAnsi="Arial" w:cs="Arial"/>
                <w:b/>
                <w:bCs/>
                <w:color w:val="000000"/>
                <w:sz w:val="16"/>
                <w:szCs w:val="16"/>
              </w:rPr>
              <w:t>393.793</w:t>
            </w:r>
          </w:p>
        </w:tc>
      </w:tr>
      <w:bookmarkEnd w:id="8"/>
    </w:tbl>
    <w:p w14:paraId="697B5FA4" w14:textId="77777777" w:rsidR="002F55BB" w:rsidRPr="00066653" w:rsidRDefault="002F55BB" w:rsidP="00E54D7E">
      <w:pPr>
        <w:spacing w:line="259" w:lineRule="auto"/>
        <w:jc w:val="both"/>
        <w:rPr>
          <w:rFonts w:ascii="Arial" w:eastAsia="Calibri" w:hAnsi="Arial" w:cs="Arial"/>
          <w:sz w:val="20"/>
        </w:rPr>
      </w:pPr>
    </w:p>
    <w:p w14:paraId="1453C66C" w14:textId="77777777" w:rsidR="00931F52" w:rsidRPr="00701F32" w:rsidRDefault="00931F52" w:rsidP="00931F52">
      <w:pPr>
        <w:spacing w:after="160" w:line="259" w:lineRule="auto"/>
        <w:jc w:val="both"/>
        <w:rPr>
          <w:rFonts w:ascii="Arial" w:eastAsia="Calibri" w:hAnsi="Arial" w:cs="Arial"/>
          <w:b/>
          <w:color w:val="FF0000"/>
          <w:sz w:val="20"/>
        </w:rPr>
      </w:pPr>
      <w:r w:rsidRPr="00701F32">
        <w:rPr>
          <w:rFonts w:ascii="Arial" w:eastAsia="Calibri" w:hAnsi="Arial" w:cs="Arial"/>
          <w:b/>
          <w:sz w:val="20"/>
        </w:rPr>
        <w:t xml:space="preserve">1.4 Transacciones con el interés no controlante  </w:t>
      </w:r>
    </w:p>
    <w:p w14:paraId="6CEFEAEF" w14:textId="77777777" w:rsidR="00931F52" w:rsidRPr="00701F32" w:rsidRDefault="00931F52" w:rsidP="00931F52">
      <w:pPr>
        <w:spacing w:after="160" w:line="259" w:lineRule="auto"/>
        <w:jc w:val="both"/>
        <w:rPr>
          <w:rFonts w:ascii="Arial" w:eastAsia="Calibri" w:hAnsi="Arial" w:cs="Arial"/>
          <w:sz w:val="20"/>
        </w:rPr>
      </w:pPr>
      <w:r>
        <w:rPr>
          <w:rFonts w:ascii="Arial" w:eastAsia="Calibri" w:hAnsi="Arial" w:cs="Arial"/>
          <w:sz w:val="20"/>
        </w:rPr>
        <w:t>Las</w:t>
      </w:r>
      <w:r w:rsidRPr="00701F32">
        <w:rPr>
          <w:rFonts w:ascii="Arial" w:eastAsia="Calibri" w:hAnsi="Arial" w:cs="Arial"/>
          <w:sz w:val="20"/>
        </w:rPr>
        <w:t xml:space="preserve"> transacciones con el interés no controlante </w:t>
      </w:r>
      <w:r>
        <w:rPr>
          <w:rFonts w:ascii="Arial" w:eastAsia="Calibri" w:hAnsi="Arial" w:cs="Arial"/>
          <w:sz w:val="20"/>
        </w:rPr>
        <w:t>se consideran</w:t>
      </w:r>
      <w:r w:rsidRPr="00701F32">
        <w:rPr>
          <w:rFonts w:ascii="Arial" w:eastAsia="Calibri" w:hAnsi="Arial" w:cs="Arial"/>
          <w:sz w:val="20"/>
        </w:rPr>
        <w:t xml:space="preserve"> transacciones con accionistas. En el caso de adquisiciones de interés no controlante, la diferencia entre cualquier retribución pagada y la correspondiente participación en el valor de libros de los activos netos adquiridos de la subsidiaria se reconoce en el patrimonio. Las ganancias y pérdidas por ventas de participación, mientras se mantenga el control, también se reconocen en el patrimonio.</w:t>
      </w:r>
    </w:p>
    <w:p w14:paraId="4B14BA86" w14:textId="77777777" w:rsidR="00931F52" w:rsidRPr="00701F32" w:rsidRDefault="00931F52" w:rsidP="00931F52">
      <w:pPr>
        <w:spacing w:after="160" w:line="259" w:lineRule="auto"/>
        <w:jc w:val="both"/>
        <w:rPr>
          <w:rFonts w:ascii="Arial" w:eastAsia="Calibri" w:hAnsi="Arial" w:cs="Arial"/>
          <w:b/>
          <w:sz w:val="20"/>
        </w:rPr>
      </w:pPr>
      <w:r w:rsidRPr="00701F32">
        <w:rPr>
          <w:rFonts w:ascii="Arial" w:eastAsia="Calibri" w:hAnsi="Arial" w:cs="Arial"/>
          <w:b/>
          <w:sz w:val="20"/>
        </w:rPr>
        <w:t xml:space="preserve">1.5 Asociadas </w:t>
      </w:r>
    </w:p>
    <w:p w14:paraId="75448F80" w14:textId="77777777" w:rsidR="00931F52" w:rsidRPr="00701F32" w:rsidRDefault="00931F52" w:rsidP="00931F52">
      <w:pPr>
        <w:spacing w:line="259" w:lineRule="auto"/>
        <w:jc w:val="both"/>
        <w:rPr>
          <w:rFonts w:ascii="Arial" w:eastAsia="Calibri" w:hAnsi="Arial" w:cs="Arial"/>
          <w:sz w:val="20"/>
        </w:rPr>
      </w:pPr>
      <w:r w:rsidRPr="00701F32">
        <w:rPr>
          <w:rFonts w:ascii="Arial" w:eastAsia="Calibri" w:hAnsi="Arial" w:cs="Arial"/>
          <w:sz w:val="20"/>
        </w:rPr>
        <w:t xml:space="preserve">Las asociadas son entidades sobre las cuales el Banco tiene influencia significativa (directa o indirectamente), pero no control, generalmente acompañando a una participación de entre 20 y 50 por ciento de los derechos de voto. Las inversiones en asociadas se contabilizan utilizando el método de la participación, y se reconocen inicialmente al costo. El valor en libros de las asociadas incluye la llave de negocio identificada en la adquisición menos las pérdidas por deterioro acumuladas, de corresponder. Los dividendos recibidos de las entidades asociadas reducen el valor en libros de la inversión en </w:t>
      </w:r>
      <w:r>
        <w:rPr>
          <w:rFonts w:ascii="Arial" w:eastAsia="Calibri" w:hAnsi="Arial" w:cs="Arial"/>
          <w:sz w:val="20"/>
        </w:rPr>
        <w:t>las mismas</w:t>
      </w:r>
      <w:r w:rsidRPr="00701F32">
        <w:rPr>
          <w:rFonts w:ascii="Arial" w:eastAsia="Calibri" w:hAnsi="Arial" w:cs="Arial"/>
          <w:sz w:val="20"/>
        </w:rPr>
        <w:t>. Otros cambios posteriores a la adquisición en la participación de la Entidad en los activos netos de una asociada se reconocen de la siguiente manera: (i) la participación de la Entidad en las ganancias o pérdidas de las entidades asociadas se registra en el estado de resultados integral como resultado por asociadas y negocios conjuntos y (ii) la participación de la Entidad en otros resultados integrales se reconoce en el estado de otros resultados integrales y se presenta por separado. Sin embargo, cuando la participación del Banco en pérdidas en una asociada iguala o excede su interés en la misma, la Entidad dejará de reconocer su participación en las pérdidas adicionales, a menos que haya incurrido en obligaciones o efectuado pagos en nombre de la asociada.</w:t>
      </w:r>
    </w:p>
    <w:p w14:paraId="6242261F" w14:textId="77777777" w:rsidR="00931F52" w:rsidRPr="00701F32" w:rsidRDefault="00931F52" w:rsidP="00931F52">
      <w:pPr>
        <w:spacing w:line="259" w:lineRule="auto"/>
        <w:jc w:val="both"/>
        <w:rPr>
          <w:rFonts w:ascii="Arial" w:eastAsia="Calibri" w:hAnsi="Arial" w:cs="Arial"/>
          <w:sz w:val="20"/>
        </w:rPr>
      </w:pPr>
    </w:p>
    <w:p w14:paraId="1EBD6096" w14:textId="77777777" w:rsidR="00931F52" w:rsidRPr="00701F32" w:rsidRDefault="00931F52" w:rsidP="00931F52">
      <w:pPr>
        <w:spacing w:line="259" w:lineRule="auto"/>
        <w:jc w:val="both"/>
        <w:rPr>
          <w:rFonts w:ascii="Georgia" w:eastAsia="Calibri" w:hAnsi="Georgia"/>
          <w:sz w:val="20"/>
        </w:rPr>
      </w:pPr>
      <w:r w:rsidRPr="00701F32">
        <w:rPr>
          <w:rFonts w:ascii="Arial" w:eastAsia="Calibri" w:hAnsi="Arial" w:cs="Arial"/>
          <w:sz w:val="20"/>
        </w:rPr>
        <w:t>Las ganancias no realizadas en transacciones entre la Entidad y sus asociadas se eliminan en la medida de la participación de la Entidad en las asociadas; las pérdidas no realizadas también se eliminan a menos que la transacción proporcione evidencia de un deterioro del activo transferido.</w:t>
      </w:r>
    </w:p>
    <w:p w14:paraId="622F0E7E" w14:textId="77777777" w:rsidR="00931F52" w:rsidRPr="00701F32" w:rsidRDefault="00931F52" w:rsidP="00931F52">
      <w:pPr>
        <w:spacing w:line="259" w:lineRule="auto"/>
        <w:jc w:val="both"/>
        <w:rPr>
          <w:rFonts w:ascii="Arial" w:eastAsia="Calibri" w:hAnsi="Arial" w:cs="Arial"/>
          <w:b/>
          <w:sz w:val="20"/>
        </w:rPr>
      </w:pPr>
    </w:p>
    <w:p w14:paraId="424BD3DC" w14:textId="77777777" w:rsidR="00931F52" w:rsidRPr="00701F32" w:rsidRDefault="00931F52" w:rsidP="00931F52">
      <w:pPr>
        <w:spacing w:line="259" w:lineRule="auto"/>
        <w:jc w:val="both"/>
        <w:rPr>
          <w:rFonts w:ascii="Arial" w:eastAsia="Calibri" w:hAnsi="Arial" w:cs="Arial"/>
          <w:b/>
          <w:sz w:val="20"/>
        </w:rPr>
      </w:pPr>
      <w:r w:rsidRPr="00701F32">
        <w:rPr>
          <w:rFonts w:ascii="Arial" w:eastAsia="Calibri" w:hAnsi="Arial" w:cs="Arial"/>
          <w:b/>
          <w:sz w:val="20"/>
        </w:rPr>
        <w:t xml:space="preserve">1.6 Información por segmentos </w:t>
      </w:r>
    </w:p>
    <w:p w14:paraId="720B81D3" w14:textId="77777777" w:rsidR="00931F52" w:rsidRPr="00701F32" w:rsidRDefault="00931F52" w:rsidP="00931F52">
      <w:pPr>
        <w:spacing w:line="259" w:lineRule="auto"/>
        <w:jc w:val="both"/>
        <w:rPr>
          <w:rFonts w:ascii="Arial" w:eastAsia="Calibri" w:hAnsi="Arial" w:cs="Arial"/>
          <w:sz w:val="20"/>
        </w:rPr>
      </w:pPr>
      <w:r w:rsidRPr="00701F32">
        <w:rPr>
          <w:rFonts w:ascii="Arial" w:eastAsia="Calibri" w:hAnsi="Arial" w:cs="Arial"/>
          <w:sz w:val="20"/>
        </w:rPr>
        <w:t xml:space="preserve"> </w:t>
      </w:r>
    </w:p>
    <w:p w14:paraId="3E8072DD" w14:textId="77777777" w:rsidR="00931F52" w:rsidRPr="00701F32" w:rsidRDefault="00931F52" w:rsidP="00931F52">
      <w:pPr>
        <w:spacing w:after="160" w:line="259" w:lineRule="auto"/>
        <w:jc w:val="both"/>
        <w:rPr>
          <w:rFonts w:ascii="Arial" w:eastAsia="Calibri" w:hAnsi="Arial" w:cs="Arial"/>
          <w:bCs/>
          <w:sz w:val="20"/>
        </w:rPr>
      </w:pPr>
      <w:r w:rsidRPr="00701F32">
        <w:rPr>
          <w:rFonts w:ascii="Arial" w:eastAsia="Calibri" w:hAnsi="Arial" w:cs="Arial"/>
          <w:bCs/>
          <w:sz w:val="20"/>
        </w:rPr>
        <w:t xml:space="preserve">Un segmento operativo es un componente de una entidad que (a) desarrolla actividades de negocio de las que puede obtener ingresos e incurrir en gastos (incluyendo ingresos y gastos relacionados con transacciones con otros componentes de la misma entidad), (b) cuyo resultado operativo es regularmente revisado por la Gerencia para tomar decisiones acerca de los recursos que deben asignarse al segmento y evaluar su desempeño y (c) para los cuales se dispone de información </w:t>
      </w:r>
      <w:r>
        <w:rPr>
          <w:rFonts w:ascii="Arial" w:eastAsia="Calibri" w:hAnsi="Arial" w:cs="Arial"/>
          <w:bCs/>
          <w:sz w:val="20"/>
        </w:rPr>
        <w:t xml:space="preserve">financiera </w:t>
      </w:r>
      <w:r w:rsidRPr="00701F32">
        <w:rPr>
          <w:rFonts w:ascii="Arial" w:eastAsia="Calibri" w:hAnsi="Arial" w:cs="Arial"/>
          <w:bCs/>
          <w:sz w:val="20"/>
        </w:rPr>
        <w:t>diferenciada.</w:t>
      </w:r>
    </w:p>
    <w:p w14:paraId="60C361D3" w14:textId="77777777" w:rsidR="00931F52" w:rsidRPr="00701F32" w:rsidRDefault="00931F52" w:rsidP="00931F52">
      <w:pPr>
        <w:spacing w:after="160" w:line="259" w:lineRule="auto"/>
        <w:jc w:val="both"/>
        <w:rPr>
          <w:rFonts w:ascii="Arial" w:eastAsia="Calibri" w:hAnsi="Arial" w:cs="Arial"/>
          <w:bCs/>
          <w:sz w:val="20"/>
        </w:rPr>
      </w:pPr>
      <w:r w:rsidRPr="00701F32">
        <w:rPr>
          <w:rFonts w:ascii="Arial" w:eastAsia="Calibri" w:hAnsi="Arial" w:cs="Arial"/>
          <w:bCs/>
          <w:sz w:val="20"/>
        </w:rPr>
        <w:t>La información por segmentos se presenta de manera consistente con los informes internos proporcionados a:</w:t>
      </w:r>
    </w:p>
    <w:p w14:paraId="428CB7D0" w14:textId="77777777" w:rsidR="00931F52" w:rsidRPr="00701F32" w:rsidRDefault="00931F52" w:rsidP="00D538FD">
      <w:pPr>
        <w:numPr>
          <w:ilvl w:val="0"/>
          <w:numId w:val="41"/>
        </w:numPr>
        <w:spacing w:after="160" w:line="259" w:lineRule="auto"/>
        <w:jc w:val="both"/>
        <w:rPr>
          <w:rFonts w:ascii="Arial" w:eastAsia="Calibri" w:hAnsi="Arial" w:cs="Arial"/>
          <w:bCs/>
          <w:sz w:val="20"/>
        </w:rPr>
      </w:pPr>
      <w:r w:rsidRPr="00701F32">
        <w:rPr>
          <w:rFonts w:ascii="Arial" w:eastAsia="Calibri" w:hAnsi="Arial" w:cs="Arial"/>
          <w:bCs/>
          <w:sz w:val="20"/>
        </w:rPr>
        <w:t xml:space="preserve">Personal clave de la gerencia, quien constituye la máxima autoridad en la toma de decisiones operativas y responsable de asignar los recursos y evaluar el rendimiento de los segmentos operativos; y </w:t>
      </w:r>
    </w:p>
    <w:p w14:paraId="2B749070" w14:textId="77777777" w:rsidR="00931F52" w:rsidRPr="00701F32" w:rsidRDefault="00931F52" w:rsidP="00D538FD">
      <w:pPr>
        <w:numPr>
          <w:ilvl w:val="0"/>
          <w:numId w:val="41"/>
        </w:numPr>
        <w:spacing w:after="160" w:line="259" w:lineRule="auto"/>
        <w:jc w:val="both"/>
        <w:rPr>
          <w:rFonts w:ascii="Arial" w:eastAsia="Calibri" w:hAnsi="Arial" w:cs="Arial"/>
          <w:bCs/>
          <w:sz w:val="20"/>
        </w:rPr>
      </w:pPr>
      <w:r w:rsidRPr="00701F32">
        <w:rPr>
          <w:rFonts w:ascii="Arial" w:eastAsia="Calibri" w:hAnsi="Arial" w:cs="Arial"/>
          <w:bCs/>
          <w:sz w:val="20"/>
        </w:rPr>
        <w:t xml:space="preserve">El Directorio, que es quien toma las decisiones estratégicas de la Entidad. </w:t>
      </w:r>
    </w:p>
    <w:p w14:paraId="31D5E56A" w14:textId="77777777" w:rsidR="00931F52" w:rsidRPr="00701F32" w:rsidRDefault="00931F52" w:rsidP="00931F52">
      <w:pPr>
        <w:spacing w:line="259" w:lineRule="auto"/>
        <w:jc w:val="both"/>
        <w:rPr>
          <w:rFonts w:ascii="Georgia" w:eastAsia="Calibri" w:hAnsi="Georgia"/>
          <w:sz w:val="20"/>
        </w:rPr>
      </w:pPr>
    </w:p>
    <w:p w14:paraId="75CEED58" w14:textId="77777777" w:rsidR="00931F52" w:rsidRPr="00701F32" w:rsidRDefault="00931F52" w:rsidP="00931F52">
      <w:pPr>
        <w:spacing w:after="160" w:line="259" w:lineRule="auto"/>
        <w:jc w:val="both"/>
        <w:rPr>
          <w:rFonts w:ascii="Arial" w:eastAsia="Calibri" w:hAnsi="Arial" w:cs="Arial"/>
          <w:bCs/>
          <w:sz w:val="20"/>
        </w:rPr>
      </w:pPr>
      <w:r w:rsidRPr="00701F32">
        <w:rPr>
          <w:rFonts w:ascii="Arial" w:eastAsia="Calibri" w:hAnsi="Arial" w:cs="Arial"/>
          <w:b/>
          <w:bCs/>
          <w:sz w:val="20"/>
        </w:rPr>
        <w:t xml:space="preserve">1.7 Conversión de moneda extranjera </w:t>
      </w:r>
    </w:p>
    <w:p w14:paraId="1E744102" w14:textId="77777777" w:rsidR="00931F52" w:rsidRPr="00701F32" w:rsidRDefault="00931F52" w:rsidP="00D538FD">
      <w:pPr>
        <w:numPr>
          <w:ilvl w:val="0"/>
          <w:numId w:val="40"/>
        </w:numPr>
        <w:spacing w:after="160" w:line="259" w:lineRule="auto"/>
        <w:jc w:val="both"/>
        <w:rPr>
          <w:rFonts w:ascii="Arial" w:eastAsia="Calibri" w:hAnsi="Arial" w:cs="Arial"/>
          <w:b/>
          <w:sz w:val="20"/>
        </w:rPr>
      </w:pPr>
      <w:r w:rsidRPr="00701F32">
        <w:rPr>
          <w:rFonts w:ascii="Arial" w:eastAsia="Calibri" w:hAnsi="Arial" w:cs="Arial"/>
          <w:b/>
          <w:sz w:val="20"/>
        </w:rPr>
        <w:t>Moneda funcional y moneda de presentación</w:t>
      </w:r>
    </w:p>
    <w:p w14:paraId="6CEE9CE6" w14:textId="77777777" w:rsidR="00931F52" w:rsidRPr="00701F32" w:rsidRDefault="00931F52" w:rsidP="00931F52">
      <w:pPr>
        <w:spacing w:after="160" w:line="259" w:lineRule="auto"/>
        <w:jc w:val="both"/>
        <w:rPr>
          <w:rFonts w:ascii="Georgia" w:eastAsia="Calibri" w:hAnsi="Georgia"/>
          <w:sz w:val="20"/>
        </w:rPr>
      </w:pPr>
      <w:r w:rsidRPr="00701F32">
        <w:rPr>
          <w:rFonts w:ascii="Arial" w:eastAsia="Calibri" w:hAnsi="Arial" w:cs="Arial"/>
          <w:sz w:val="20"/>
        </w:rPr>
        <w:t>Las cifras incluidas en los estados financieros consolidados se expresan en su moneda funcional, es decir, en la moneda del ambiente económico principal en la que operan. Los estados financieros consolidados se exponen en cifras expresadas en miles de pesos argentinos, que es la moneda funcional y la moneda de presentación del Banco</w:t>
      </w:r>
      <w:r w:rsidRPr="00701F32">
        <w:rPr>
          <w:rFonts w:ascii="Georgia" w:eastAsia="Calibri" w:hAnsi="Georgia"/>
          <w:sz w:val="20"/>
        </w:rPr>
        <w:t>.</w:t>
      </w:r>
    </w:p>
    <w:p w14:paraId="19062615" w14:textId="77777777" w:rsidR="00931F52" w:rsidRPr="00701F32" w:rsidRDefault="00931F52" w:rsidP="00D538FD">
      <w:pPr>
        <w:numPr>
          <w:ilvl w:val="0"/>
          <w:numId w:val="40"/>
        </w:numPr>
        <w:spacing w:after="160" w:line="259" w:lineRule="auto"/>
        <w:jc w:val="both"/>
        <w:rPr>
          <w:rFonts w:ascii="Arial" w:eastAsia="Calibri" w:hAnsi="Arial" w:cs="Arial"/>
          <w:b/>
          <w:sz w:val="20"/>
        </w:rPr>
      </w:pPr>
      <w:r w:rsidRPr="00701F32">
        <w:rPr>
          <w:rFonts w:ascii="Arial" w:eastAsia="Calibri" w:hAnsi="Arial" w:cs="Arial"/>
          <w:b/>
          <w:sz w:val="20"/>
        </w:rPr>
        <w:t>Transacciones y saldos</w:t>
      </w:r>
    </w:p>
    <w:p w14:paraId="1BEFB74B" w14:textId="77777777" w:rsidR="00931F52" w:rsidRPr="00EA530F" w:rsidRDefault="00931F52" w:rsidP="00931F52">
      <w:pPr>
        <w:jc w:val="both"/>
        <w:rPr>
          <w:rFonts w:ascii="Arial" w:hAnsi="Arial" w:cs="Arial"/>
          <w:sz w:val="20"/>
        </w:rPr>
      </w:pPr>
      <w:r w:rsidRPr="00701F32">
        <w:rPr>
          <w:rFonts w:ascii="Arial" w:eastAsia="Calibri" w:hAnsi="Arial" w:cs="Arial"/>
          <w:sz w:val="20"/>
        </w:rPr>
        <w:t>Las transacciones en moneda extranjera se convierten a la moneda funcional a los tipos de cambio de referencia y de pase establecidos por el B.C.R.A. vigentes a las fechas de las transacciones o de la valuación cuando las partidas son medidas al cierre. Las ganancias y pérdidas en moneda extranjera que resultan de la liquidación de estas transacciones y de la conversión de los activos y pasivos monetarios denominados en moneda extranjera a los tipos de cambio de cierre, se reconocen en el estado de resultados integral, en el rubro “Diferencia de cotización de oro y moneda extranjera”</w:t>
      </w:r>
      <w:r>
        <w:rPr>
          <w:rFonts w:ascii="Arial" w:eastAsia="Calibri" w:hAnsi="Arial" w:cs="Arial"/>
          <w:sz w:val="20"/>
        </w:rPr>
        <w:t xml:space="preserve">, </w:t>
      </w:r>
      <w:r w:rsidRPr="00EA530F">
        <w:rPr>
          <w:rFonts w:ascii="Arial" w:hAnsi="Arial" w:cs="Arial"/>
          <w:sz w:val="20"/>
        </w:rPr>
        <w:t>excepto, cuando son diferidos en el patrimonio por transacciones que califican como coberturas de flujos de efectivo, si ello fuera aplicable.</w:t>
      </w:r>
    </w:p>
    <w:p w14:paraId="56576C8C" w14:textId="77777777" w:rsidR="00931F52" w:rsidRDefault="00931F52" w:rsidP="00931F52">
      <w:pPr>
        <w:jc w:val="both"/>
        <w:rPr>
          <w:rFonts w:ascii="Arial" w:hAnsi="Arial" w:cs="Arial"/>
          <w:sz w:val="20"/>
        </w:rPr>
      </w:pPr>
    </w:p>
    <w:p w14:paraId="72EC0874" w14:textId="77777777" w:rsidR="00931F52" w:rsidRPr="00EA530F" w:rsidRDefault="00931F52" w:rsidP="00931F52">
      <w:pPr>
        <w:jc w:val="both"/>
        <w:rPr>
          <w:rFonts w:ascii="Arial" w:hAnsi="Arial" w:cs="Arial"/>
          <w:sz w:val="20"/>
        </w:rPr>
      </w:pPr>
      <w:r w:rsidRPr="00EA530F">
        <w:rPr>
          <w:rFonts w:ascii="Arial" w:hAnsi="Arial" w:cs="Arial"/>
          <w:sz w:val="20"/>
        </w:rPr>
        <w:t xml:space="preserve">Los saldos son valuados al tipo de cambio de referencia del dólar estadounidense definido por el B.C.R.A., vigente al cierre de las operaciones del último día hábil de cada mes. </w:t>
      </w:r>
    </w:p>
    <w:p w14:paraId="640D42EC" w14:textId="77777777" w:rsidR="00931F52" w:rsidRDefault="00931F52" w:rsidP="00931F52">
      <w:pPr>
        <w:spacing w:after="160" w:line="259" w:lineRule="auto"/>
        <w:jc w:val="both"/>
        <w:rPr>
          <w:rFonts w:ascii="Arial" w:hAnsi="Arial" w:cs="Arial"/>
          <w:sz w:val="20"/>
        </w:rPr>
      </w:pPr>
    </w:p>
    <w:p w14:paraId="6BCD5071" w14:textId="0E11CDD6" w:rsidR="00931F52" w:rsidRPr="00701F32" w:rsidRDefault="00931F52" w:rsidP="00931F52">
      <w:pPr>
        <w:spacing w:after="160" w:line="259" w:lineRule="auto"/>
        <w:jc w:val="both"/>
        <w:rPr>
          <w:rFonts w:ascii="Arial" w:eastAsia="Arial" w:hAnsi="Arial" w:cs="Arial"/>
          <w:sz w:val="20"/>
        </w:rPr>
      </w:pPr>
      <w:r w:rsidRPr="00EA530F">
        <w:rPr>
          <w:rFonts w:ascii="Arial" w:hAnsi="Arial" w:cs="Arial"/>
          <w:sz w:val="20"/>
        </w:rPr>
        <w:t>Al 31 de diciembre de 201</w:t>
      </w:r>
      <w:r>
        <w:rPr>
          <w:rFonts w:ascii="Arial" w:hAnsi="Arial" w:cs="Arial"/>
          <w:sz w:val="20"/>
        </w:rPr>
        <w:t>9 y 2018</w:t>
      </w:r>
      <w:r w:rsidRPr="00EA530F">
        <w:rPr>
          <w:rFonts w:ascii="Arial" w:hAnsi="Arial" w:cs="Arial"/>
          <w:sz w:val="20"/>
        </w:rPr>
        <w:t xml:space="preserve"> los saldos en dólares estadounidenses fueron convertidos al tipo de cambio de referencia determinado por el B.C.R.A. En el caso de tratarse de monedas extranjeras distintas de dólar estadounidense, se han convertido a esta moneda utilizando los tipos de pase informados por el B.C.R.A..</w:t>
      </w:r>
    </w:p>
    <w:p w14:paraId="41632A1F" w14:textId="77777777" w:rsidR="00931F52" w:rsidRPr="002F55BB" w:rsidRDefault="00931F52" w:rsidP="002F55BB">
      <w:pPr>
        <w:jc w:val="both"/>
        <w:rPr>
          <w:rFonts w:ascii="Arial" w:hAnsi="Arial" w:cs="Arial"/>
          <w:sz w:val="20"/>
        </w:rPr>
      </w:pPr>
    </w:p>
    <w:p w14:paraId="44C18120" w14:textId="44F7C459" w:rsidR="00D7587C" w:rsidRPr="00701F32" w:rsidRDefault="00D7587C" w:rsidP="00D7587C">
      <w:pPr>
        <w:spacing w:after="160" w:line="259" w:lineRule="auto"/>
        <w:jc w:val="both"/>
        <w:rPr>
          <w:rFonts w:ascii="Arial" w:eastAsia="Arial" w:hAnsi="Arial" w:cs="Arial"/>
          <w:b/>
          <w:color w:val="BF8800"/>
          <w:sz w:val="20"/>
        </w:rPr>
      </w:pPr>
      <w:r w:rsidRPr="00701F32">
        <w:rPr>
          <w:rFonts w:ascii="Arial" w:eastAsia="Arial" w:hAnsi="Arial" w:cs="Arial"/>
          <w:b/>
          <w:sz w:val="20"/>
        </w:rPr>
        <w:t>1.</w:t>
      </w:r>
      <w:r w:rsidR="00931F52">
        <w:rPr>
          <w:rFonts w:ascii="Arial" w:eastAsia="Arial" w:hAnsi="Arial" w:cs="Arial"/>
          <w:b/>
          <w:sz w:val="20"/>
        </w:rPr>
        <w:t>8</w:t>
      </w:r>
      <w:r w:rsidRPr="00701F32">
        <w:rPr>
          <w:rFonts w:ascii="Arial" w:eastAsia="Arial" w:hAnsi="Arial" w:cs="Arial"/>
          <w:b/>
          <w:sz w:val="20"/>
        </w:rPr>
        <w:t xml:space="preserve"> </w:t>
      </w:r>
      <w:r w:rsidRPr="00DE1E92">
        <w:rPr>
          <w:rFonts w:ascii="Arial" w:eastAsia="Arial" w:hAnsi="Arial" w:cs="Arial"/>
          <w:b/>
          <w:sz w:val="20"/>
        </w:rPr>
        <w:t>Efectivo y depósitos en bancos</w:t>
      </w:r>
    </w:p>
    <w:p w14:paraId="6F56605B" w14:textId="77777777" w:rsidR="00931F52" w:rsidRPr="00701F32" w:rsidRDefault="00931F52" w:rsidP="00931F52">
      <w:pPr>
        <w:spacing w:after="160" w:line="259" w:lineRule="auto"/>
        <w:jc w:val="both"/>
        <w:rPr>
          <w:rFonts w:ascii="Arial" w:eastAsia="Arial" w:hAnsi="Arial" w:cs="Arial"/>
          <w:sz w:val="20"/>
        </w:rPr>
      </w:pPr>
      <w:r w:rsidRPr="00701F32">
        <w:rPr>
          <w:rFonts w:ascii="Arial" w:eastAsia="Arial" w:hAnsi="Arial" w:cs="Arial"/>
          <w:sz w:val="20"/>
        </w:rPr>
        <w:t>El rubro efectivo y depósitos en bancos incluye el efectivo disponible, depósitos de libre disponibilidad en bancos locales y en bancos corresponsales del exterior</w:t>
      </w:r>
      <w:r>
        <w:rPr>
          <w:rFonts w:ascii="Arial" w:eastAsia="Arial" w:hAnsi="Arial" w:cs="Arial"/>
          <w:sz w:val="20"/>
        </w:rPr>
        <w:t>,</w:t>
      </w:r>
      <w:r w:rsidRPr="00EA530F">
        <w:rPr>
          <w:rFonts w:ascii="Arial" w:hAnsi="Arial" w:cs="Arial"/>
          <w:sz w:val="20"/>
        </w:rPr>
        <w:t xml:space="preserve"> los cuales son instrumentos de corto plazo líquidos y tienen un vencimiento inferior a tres meses de la fecha de originación</w:t>
      </w:r>
      <w:r w:rsidRPr="004F0575">
        <w:rPr>
          <w:rFonts w:ascii="Arial" w:eastAsia="Arial" w:hAnsi="Arial" w:cs="Arial"/>
          <w:sz w:val="20"/>
        </w:rPr>
        <w:t>.</w:t>
      </w:r>
    </w:p>
    <w:p w14:paraId="5FBB8655" w14:textId="77777777" w:rsidR="00931F52" w:rsidRPr="00701F32" w:rsidRDefault="00931F52" w:rsidP="00931F52">
      <w:pPr>
        <w:spacing w:after="160" w:line="259" w:lineRule="auto"/>
        <w:jc w:val="both"/>
        <w:rPr>
          <w:rFonts w:ascii="Arial" w:eastAsia="Arial" w:hAnsi="Arial" w:cs="Arial"/>
          <w:sz w:val="20"/>
        </w:rPr>
      </w:pPr>
      <w:r w:rsidRPr="00701F32">
        <w:rPr>
          <w:rFonts w:ascii="Arial" w:eastAsia="Arial" w:hAnsi="Arial" w:cs="Arial"/>
          <w:sz w:val="20"/>
        </w:rPr>
        <w:t xml:space="preserve">Los activos registrados en </w:t>
      </w:r>
      <w:r>
        <w:rPr>
          <w:rFonts w:ascii="Arial" w:eastAsia="Arial" w:hAnsi="Arial" w:cs="Arial"/>
          <w:sz w:val="20"/>
        </w:rPr>
        <w:t>efectivo y depósitos en bancos</w:t>
      </w:r>
      <w:r w:rsidRPr="00701F32">
        <w:rPr>
          <w:rFonts w:ascii="Arial" w:eastAsia="Arial" w:hAnsi="Arial" w:cs="Arial"/>
          <w:sz w:val="20"/>
        </w:rPr>
        <w:t xml:space="preserve"> se registran a su costo amortizado que se aproxima a su valor razonable.</w:t>
      </w:r>
    </w:p>
    <w:p w14:paraId="381D4DB6" w14:textId="77777777" w:rsidR="00931F52" w:rsidRPr="00701F32" w:rsidRDefault="00931F52" w:rsidP="00931F52">
      <w:pPr>
        <w:spacing w:after="160" w:line="259" w:lineRule="auto"/>
        <w:jc w:val="both"/>
        <w:rPr>
          <w:rFonts w:ascii="Arial" w:eastAsia="Arial" w:hAnsi="Arial" w:cs="Arial"/>
          <w:sz w:val="20"/>
        </w:rPr>
      </w:pPr>
      <w:r w:rsidRPr="00701F32">
        <w:rPr>
          <w:rFonts w:ascii="Arial" w:eastAsia="Arial" w:hAnsi="Arial" w:cs="Arial"/>
          <w:sz w:val="20"/>
        </w:rPr>
        <w:t>El equivalente a efectivo está constituido por títulos públicos altamente líquidos de corto plazo, con vencimientos originales de tres meses o menos, con medición a valor razonable.</w:t>
      </w:r>
    </w:p>
    <w:p w14:paraId="4E838C94" w14:textId="04EC3988" w:rsidR="00D7587C" w:rsidRDefault="00D7587C" w:rsidP="00D7587C">
      <w:pPr>
        <w:spacing w:after="160" w:line="259" w:lineRule="auto"/>
        <w:jc w:val="both"/>
        <w:rPr>
          <w:rFonts w:ascii="Arial" w:eastAsia="Arial" w:hAnsi="Arial" w:cs="Arial"/>
          <w:sz w:val="20"/>
        </w:rPr>
      </w:pPr>
      <w:r w:rsidRPr="00701F32">
        <w:rPr>
          <w:rFonts w:ascii="Arial" w:eastAsia="Arial" w:hAnsi="Arial" w:cs="Arial"/>
          <w:sz w:val="20"/>
        </w:rPr>
        <w:t xml:space="preserve">Se detalla a continuación la composición del efectivo al </w:t>
      </w:r>
      <w:r w:rsidR="00931F52">
        <w:rPr>
          <w:rFonts w:ascii="Arial" w:eastAsia="Arial" w:hAnsi="Arial" w:cs="Arial"/>
          <w:sz w:val="20"/>
        </w:rPr>
        <w:t>3</w:t>
      </w:r>
      <w:r w:rsidR="00B14041">
        <w:rPr>
          <w:rFonts w:ascii="Arial" w:eastAsia="Arial" w:hAnsi="Arial" w:cs="Arial"/>
          <w:sz w:val="20"/>
        </w:rPr>
        <w:t xml:space="preserve">1 de diciembre de </w:t>
      </w:r>
      <w:r w:rsidR="00931F52">
        <w:rPr>
          <w:rFonts w:ascii="Arial" w:eastAsia="Arial" w:hAnsi="Arial" w:cs="Arial"/>
          <w:sz w:val="20"/>
        </w:rPr>
        <w:t xml:space="preserve">2019 y </w:t>
      </w:r>
      <w:r w:rsidR="00B14041">
        <w:rPr>
          <w:rFonts w:ascii="Arial" w:eastAsia="Arial" w:hAnsi="Arial" w:cs="Arial"/>
          <w:sz w:val="20"/>
        </w:rPr>
        <w:t>2018:</w:t>
      </w:r>
    </w:p>
    <w:p w14:paraId="7567C7DB" w14:textId="77777777" w:rsidR="00931F52" w:rsidRPr="002F55BB" w:rsidRDefault="00931F52" w:rsidP="002F55BB">
      <w:pPr>
        <w:jc w:val="both"/>
        <w:rPr>
          <w:rFonts w:ascii="Arial" w:eastAsia="Calibri" w:hAnsi="Arial" w:cs="Arial"/>
          <w:sz w:val="20"/>
          <w:lang w:eastAsia="es-PE"/>
        </w:rPr>
      </w:pPr>
    </w:p>
    <w:tbl>
      <w:tblPr>
        <w:tblW w:w="43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4"/>
        <w:gridCol w:w="1042"/>
        <w:gridCol w:w="1164"/>
        <w:gridCol w:w="1163"/>
      </w:tblGrid>
      <w:tr w:rsidR="00224C12" w:rsidRPr="00701F32" w14:paraId="546145AA" w14:textId="09E2B11F" w:rsidTr="006E1AF7">
        <w:trPr>
          <w:trHeight w:val="282"/>
          <w:jc w:val="center"/>
        </w:trPr>
        <w:tc>
          <w:tcPr>
            <w:tcW w:w="2749" w:type="pct"/>
            <w:shd w:val="clear" w:color="auto" w:fill="auto"/>
            <w:noWrap/>
            <w:vAlign w:val="bottom"/>
            <w:hideMark/>
          </w:tcPr>
          <w:p w14:paraId="27B4EF72" w14:textId="77777777" w:rsidR="00224C12" w:rsidRPr="00701F32" w:rsidRDefault="00224C12" w:rsidP="00AC5BF7">
            <w:pPr>
              <w:spacing w:line="259" w:lineRule="auto"/>
              <w:jc w:val="both"/>
              <w:rPr>
                <w:rFonts w:ascii="Arial" w:hAnsi="Arial" w:cs="Arial"/>
                <w:color w:val="000000"/>
                <w:sz w:val="18"/>
                <w:lang w:eastAsia="es-AR"/>
              </w:rPr>
            </w:pPr>
            <w:r w:rsidRPr="00701F32">
              <w:rPr>
                <w:rFonts w:ascii="Arial" w:hAnsi="Arial" w:cs="Arial"/>
                <w:color w:val="000000"/>
                <w:sz w:val="18"/>
                <w:lang w:eastAsia="es-AR"/>
              </w:rPr>
              <w:t> </w:t>
            </w:r>
          </w:p>
        </w:tc>
        <w:tc>
          <w:tcPr>
            <w:tcW w:w="696" w:type="pct"/>
            <w:vAlign w:val="center"/>
          </w:tcPr>
          <w:p w14:paraId="6352AE8C" w14:textId="4785F4F2" w:rsidR="00224C12" w:rsidRPr="00701F32" w:rsidRDefault="00224C12">
            <w:pPr>
              <w:spacing w:line="259" w:lineRule="auto"/>
              <w:ind w:left="233" w:hanging="233"/>
              <w:jc w:val="center"/>
              <w:rPr>
                <w:rFonts w:ascii="Arial" w:hAnsi="Arial" w:cs="Arial"/>
                <w:b/>
                <w:color w:val="000000"/>
                <w:sz w:val="18"/>
                <w:lang w:eastAsia="es-AR"/>
              </w:rPr>
            </w:pPr>
            <w:r>
              <w:rPr>
                <w:rFonts w:ascii="Arial" w:hAnsi="Arial" w:cs="Arial"/>
                <w:b/>
                <w:color w:val="000000"/>
                <w:sz w:val="18"/>
                <w:lang w:eastAsia="es-AR"/>
              </w:rPr>
              <w:t>31/12/2019</w:t>
            </w:r>
          </w:p>
        </w:tc>
        <w:tc>
          <w:tcPr>
            <w:tcW w:w="778" w:type="pct"/>
            <w:vAlign w:val="center"/>
          </w:tcPr>
          <w:p w14:paraId="52AE349B" w14:textId="2A792C59" w:rsidR="00224C12" w:rsidRDefault="00224C12">
            <w:pPr>
              <w:spacing w:line="259" w:lineRule="auto"/>
              <w:jc w:val="center"/>
              <w:rPr>
                <w:rFonts w:ascii="Arial" w:hAnsi="Arial" w:cs="Arial"/>
                <w:b/>
                <w:color w:val="000000"/>
                <w:sz w:val="18"/>
                <w:lang w:eastAsia="es-AR"/>
              </w:rPr>
            </w:pPr>
            <w:r>
              <w:rPr>
                <w:rFonts w:ascii="Arial" w:hAnsi="Arial" w:cs="Arial"/>
                <w:b/>
                <w:color w:val="000000"/>
                <w:sz w:val="18"/>
                <w:lang w:eastAsia="es-AR"/>
              </w:rPr>
              <w:t>31/12/2018</w:t>
            </w:r>
          </w:p>
        </w:tc>
        <w:tc>
          <w:tcPr>
            <w:tcW w:w="777" w:type="pct"/>
            <w:vAlign w:val="center"/>
          </w:tcPr>
          <w:p w14:paraId="58B1A7D6" w14:textId="304F391F" w:rsidR="00224C12" w:rsidRDefault="00224C12">
            <w:pPr>
              <w:spacing w:line="259" w:lineRule="auto"/>
              <w:jc w:val="center"/>
              <w:rPr>
                <w:rFonts w:ascii="Arial" w:hAnsi="Arial" w:cs="Arial"/>
                <w:b/>
                <w:color w:val="000000"/>
                <w:sz w:val="18"/>
                <w:lang w:eastAsia="es-AR"/>
              </w:rPr>
            </w:pPr>
            <w:r>
              <w:rPr>
                <w:rFonts w:ascii="Arial" w:hAnsi="Arial" w:cs="Arial"/>
                <w:b/>
                <w:color w:val="000000"/>
                <w:sz w:val="18"/>
                <w:lang w:eastAsia="es-AR"/>
              </w:rPr>
              <w:t>31/12/2017</w:t>
            </w:r>
          </w:p>
        </w:tc>
      </w:tr>
      <w:tr w:rsidR="00224C12" w:rsidRPr="00701F32" w14:paraId="68C90860" w14:textId="328091B6" w:rsidTr="006E1AF7">
        <w:trPr>
          <w:trHeight w:val="282"/>
          <w:jc w:val="center"/>
        </w:trPr>
        <w:tc>
          <w:tcPr>
            <w:tcW w:w="2749" w:type="pct"/>
            <w:shd w:val="clear" w:color="auto" w:fill="auto"/>
            <w:noWrap/>
            <w:vAlign w:val="bottom"/>
            <w:hideMark/>
          </w:tcPr>
          <w:p w14:paraId="32BA69B1" w14:textId="77777777" w:rsidR="00224C12" w:rsidRPr="00701F32" w:rsidRDefault="00224C12" w:rsidP="00224C12">
            <w:pPr>
              <w:spacing w:line="259" w:lineRule="auto"/>
              <w:jc w:val="both"/>
              <w:rPr>
                <w:rFonts w:ascii="Arial" w:hAnsi="Arial" w:cs="Arial"/>
                <w:color w:val="000000"/>
                <w:sz w:val="18"/>
                <w:lang w:eastAsia="es-AR"/>
              </w:rPr>
            </w:pPr>
            <w:r w:rsidRPr="00701F32">
              <w:rPr>
                <w:rFonts w:ascii="Arial" w:hAnsi="Arial" w:cs="Arial"/>
                <w:color w:val="000000"/>
                <w:sz w:val="18"/>
                <w:lang w:eastAsia="es-AR"/>
              </w:rPr>
              <w:t>Efectivo y depósitos en bancos</w:t>
            </w:r>
          </w:p>
        </w:tc>
        <w:tc>
          <w:tcPr>
            <w:tcW w:w="696" w:type="pct"/>
            <w:vAlign w:val="bottom"/>
          </w:tcPr>
          <w:p w14:paraId="34758A76" w14:textId="753F2CEF" w:rsidR="00224C12" w:rsidRPr="00BF746E" w:rsidRDefault="00224C12" w:rsidP="00224C12">
            <w:pPr>
              <w:ind w:left="-71" w:hanging="233"/>
              <w:jc w:val="right"/>
              <w:rPr>
                <w:rFonts w:ascii="Arial" w:hAnsi="Arial" w:cs="Arial"/>
                <w:color w:val="000000"/>
                <w:sz w:val="18"/>
                <w:szCs w:val="18"/>
                <w:lang w:val="es-ES_tradnl"/>
              </w:rPr>
            </w:pPr>
            <w:r w:rsidRPr="00D70FEB">
              <w:rPr>
                <w:rFonts w:ascii="Arial" w:hAnsi="Arial" w:cs="Arial"/>
                <w:color w:val="000000"/>
                <w:sz w:val="18"/>
                <w:szCs w:val="18"/>
                <w:lang w:val="es-ES_tradnl"/>
              </w:rPr>
              <w:t>25.833.030</w:t>
            </w:r>
          </w:p>
        </w:tc>
        <w:tc>
          <w:tcPr>
            <w:tcW w:w="778" w:type="pct"/>
            <w:vAlign w:val="bottom"/>
          </w:tcPr>
          <w:p w14:paraId="25EEB45E" w14:textId="1354541D" w:rsidR="00224C12" w:rsidRPr="00BF746E" w:rsidRDefault="00224C12" w:rsidP="00224C12">
            <w:pPr>
              <w:ind w:left="-71" w:hanging="233"/>
              <w:jc w:val="right"/>
              <w:rPr>
                <w:rFonts w:ascii="Arial" w:hAnsi="Arial" w:cs="Arial"/>
                <w:sz w:val="18"/>
                <w:szCs w:val="18"/>
              </w:rPr>
            </w:pPr>
            <w:r w:rsidRPr="006F5632">
              <w:rPr>
                <w:rFonts w:ascii="Arial" w:hAnsi="Arial" w:cs="Arial"/>
                <w:color w:val="000000"/>
                <w:sz w:val="18"/>
                <w:szCs w:val="18"/>
              </w:rPr>
              <w:t>33.54</w:t>
            </w:r>
            <w:r>
              <w:rPr>
                <w:rFonts w:ascii="Arial" w:hAnsi="Arial" w:cs="Arial"/>
                <w:color w:val="000000"/>
                <w:sz w:val="18"/>
                <w:szCs w:val="18"/>
              </w:rPr>
              <w:t>6</w:t>
            </w:r>
            <w:r w:rsidRPr="006F5632">
              <w:rPr>
                <w:rFonts w:ascii="Arial" w:hAnsi="Arial" w:cs="Arial"/>
                <w:color w:val="000000"/>
                <w:sz w:val="18"/>
                <w:szCs w:val="18"/>
              </w:rPr>
              <w:t>.761</w:t>
            </w:r>
          </w:p>
        </w:tc>
        <w:tc>
          <w:tcPr>
            <w:tcW w:w="777" w:type="pct"/>
            <w:vAlign w:val="bottom"/>
          </w:tcPr>
          <w:p w14:paraId="0962CC36" w14:textId="3A6803AD" w:rsidR="00224C12" w:rsidRPr="006F5632" w:rsidRDefault="00224C12">
            <w:pPr>
              <w:ind w:left="-71" w:hanging="233"/>
              <w:jc w:val="right"/>
              <w:rPr>
                <w:rFonts w:ascii="Arial" w:hAnsi="Arial" w:cs="Arial"/>
                <w:color w:val="000000"/>
                <w:sz w:val="18"/>
                <w:szCs w:val="18"/>
              </w:rPr>
            </w:pPr>
            <w:r>
              <w:rPr>
                <w:rFonts w:ascii="Arial" w:hAnsi="Arial" w:cs="Arial"/>
                <w:color w:val="000000"/>
                <w:sz w:val="18"/>
                <w:szCs w:val="18"/>
              </w:rPr>
              <w:t>11.046.642</w:t>
            </w:r>
          </w:p>
        </w:tc>
      </w:tr>
      <w:tr w:rsidR="00224C12" w:rsidRPr="00701F32" w14:paraId="45EFAABB" w14:textId="2E40E5F8" w:rsidTr="006E1AF7">
        <w:trPr>
          <w:trHeight w:val="282"/>
          <w:jc w:val="center"/>
        </w:trPr>
        <w:tc>
          <w:tcPr>
            <w:tcW w:w="2749" w:type="pct"/>
            <w:shd w:val="clear" w:color="auto" w:fill="auto"/>
            <w:noWrap/>
            <w:vAlign w:val="bottom"/>
            <w:hideMark/>
          </w:tcPr>
          <w:p w14:paraId="035333B4" w14:textId="77777777" w:rsidR="00224C12" w:rsidRPr="00701F32" w:rsidRDefault="00224C12" w:rsidP="00224C12">
            <w:pPr>
              <w:spacing w:line="259" w:lineRule="auto"/>
              <w:jc w:val="both"/>
              <w:rPr>
                <w:rFonts w:ascii="Arial" w:hAnsi="Arial" w:cs="Arial"/>
                <w:color w:val="000000"/>
                <w:sz w:val="18"/>
                <w:lang w:eastAsia="es-AR"/>
              </w:rPr>
            </w:pPr>
            <w:r w:rsidRPr="00701F32">
              <w:rPr>
                <w:rFonts w:ascii="Arial" w:hAnsi="Arial" w:cs="Arial"/>
                <w:color w:val="000000"/>
                <w:sz w:val="18"/>
                <w:lang w:eastAsia="es-AR"/>
              </w:rPr>
              <w:t xml:space="preserve">Títulos de deuda a valor razonable </w:t>
            </w:r>
          </w:p>
        </w:tc>
        <w:tc>
          <w:tcPr>
            <w:tcW w:w="696" w:type="pct"/>
            <w:vAlign w:val="bottom"/>
          </w:tcPr>
          <w:p w14:paraId="29F3384A" w14:textId="1E96F386" w:rsidR="00224C12" w:rsidRPr="00BF746E" w:rsidRDefault="00224C12" w:rsidP="00224C12">
            <w:pPr>
              <w:ind w:left="-71" w:hanging="233"/>
              <w:jc w:val="right"/>
              <w:rPr>
                <w:rFonts w:ascii="Arial" w:hAnsi="Arial" w:cs="Arial"/>
                <w:color w:val="000000"/>
                <w:sz w:val="18"/>
                <w:szCs w:val="18"/>
                <w:lang w:val="es-ES_tradnl"/>
              </w:rPr>
            </w:pPr>
            <w:r w:rsidRPr="00DE391E">
              <w:rPr>
                <w:rFonts w:ascii="Arial" w:hAnsi="Arial" w:cs="Arial"/>
                <w:color w:val="000000"/>
                <w:sz w:val="18"/>
                <w:szCs w:val="18"/>
                <w:lang w:val="es-ES_tradnl"/>
              </w:rPr>
              <w:t>405.068</w:t>
            </w:r>
          </w:p>
        </w:tc>
        <w:tc>
          <w:tcPr>
            <w:tcW w:w="778" w:type="pct"/>
            <w:vAlign w:val="bottom"/>
          </w:tcPr>
          <w:p w14:paraId="3D7B0DE2" w14:textId="252BA97D" w:rsidR="00224C12" w:rsidRPr="00BF746E" w:rsidRDefault="00224C12" w:rsidP="00224C12">
            <w:pPr>
              <w:ind w:left="-71" w:hanging="233"/>
              <w:jc w:val="right"/>
              <w:rPr>
                <w:rFonts w:ascii="Arial" w:hAnsi="Arial" w:cs="Arial"/>
                <w:sz w:val="18"/>
                <w:szCs w:val="18"/>
              </w:rPr>
            </w:pPr>
            <w:r w:rsidRPr="00563BF3">
              <w:rPr>
                <w:rFonts w:ascii="Arial" w:hAnsi="Arial" w:cs="Arial"/>
                <w:color w:val="000000"/>
                <w:sz w:val="18"/>
                <w:szCs w:val="18"/>
              </w:rPr>
              <w:t>11.831.536</w:t>
            </w:r>
          </w:p>
        </w:tc>
        <w:tc>
          <w:tcPr>
            <w:tcW w:w="777" w:type="pct"/>
            <w:vAlign w:val="bottom"/>
          </w:tcPr>
          <w:p w14:paraId="0AC33756" w14:textId="1E45C64F" w:rsidR="00224C12" w:rsidRPr="00563BF3" w:rsidRDefault="00224C12">
            <w:pPr>
              <w:ind w:left="-71" w:hanging="233"/>
              <w:jc w:val="right"/>
              <w:rPr>
                <w:rFonts w:ascii="Arial" w:hAnsi="Arial" w:cs="Arial"/>
                <w:color w:val="000000"/>
                <w:sz w:val="18"/>
                <w:szCs w:val="18"/>
              </w:rPr>
            </w:pPr>
            <w:r>
              <w:rPr>
                <w:rFonts w:ascii="Arial" w:hAnsi="Arial" w:cs="Arial"/>
                <w:color w:val="000000"/>
                <w:sz w:val="18"/>
                <w:szCs w:val="18"/>
              </w:rPr>
              <w:t>10.499.250</w:t>
            </w:r>
          </w:p>
        </w:tc>
      </w:tr>
      <w:tr w:rsidR="00224C12" w:rsidRPr="00701F32" w14:paraId="0D045887" w14:textId="7E2E825B" w:rsidTr="006E1AF7">
        <w:trPr>
          <w:trHeight w:val="282"/>
          <w:jc w:val="center"/>
        </w:trPr>
        <w:tc>
          <w:tcPr>
            <w:tcW w:w="2749" w:type="pct"/>
            <w:shd w:val="clear" w:color="auto" w:fill="auto"/>
            <w:noWrap/>
            <w:vAlign w:val="bottom"/>
            <w:hideMark/>
          </w:tcPr>
          <w:p w14:paraId="1675A346" w14:textId="77777777" w:rsidR="00224C12" w:rsidRPr="00701F32" w:rsidRDefault="00224C12" w:rsidP="00224C12">
            <w:pPr>
              <w:spacing w:line="259" w:lineRule="auto"/>
              <w:jc w:val="both"/>
              <w:rPr>
                <w:rFonts w:ascii="Arial" w:hAnsi="Arial" w:cs="Arial"/>
                <w:b/>
                <w:bCs/>
                <w:color w:val="000000"/>
                <w:sz w:val="18"/>
                <w:lang w:eastAsia="es-AR"/>
              </w:rPr>
            </w:pPr>
            <w:r w:rsidRPr="00701F32">
              <w:rPr>
                <w:rFonts w:ascii="Arial" w:hAnsi="Arial" w:cs="Arial"/>
                <w:b/>
                <w:bCs/>
                <w:color w:val="000000"/>
                <w:sz w:val="18"/>
                <w:lang w:eastAsia="es-AR"/>
              </w:rPr>
              <w:t>Total</w:t>
            </w:r>
          </w:p>
        </w:tc>
        <w:tc>
          <w:tcPr>
            <w:tcW w:w="696" w:type="pct"/>
            <w:vAlign w:val="bottom"/>
          </w:tcPr>
          <w:p w14:paraId="3A057804" w14:textId="5BCBA974" w:rsidR="00224C12" w:rsidRPr="00BF746E" w:rsidRDefault="00224C12" w:rsidP="00224C12">
            <w:pPr>
              <w:ind w:left="-71" w:hanging="233"/>
              <w:jc w:val="right"/>
              <w:rPr>
                <w:rFonts w:ascii="Arial" w:hAnsi="Arial" w:cs="Arial"/>
                <w:b/>
                <w:color w:val="000000"/>
                <w:sz w:val="18"/>
                <w:szCs w:val="18"/>
                <w:lang w:val="es-ES_tradnl"/>
              </w:rPr>
            </w:pPr>
            <w:r w:rsidRPr="00DE391E">
              <w:rPr>
                <w:rFonts w:ascii="Arial" w:hAnsi="Arial" w:cs="Arial"/>
                <w:b/>
                <w:color w:val="000000"/>
                <w:sz w:val="18"/>
                <w:szCs w:val="18"/>
                <w:lang w:val="es-ES_tradnl"/>
              </w:rPr>
              <w:t>26.238.098</w:t>
            </w:r>
          </w:p>
        </w:tc>
        <w:tc>
          <w:tcPr>
            <w:tcW w:w="778" w:type="pct"/>
            <w:vAlign w:val="bottom"/>
          </w:tcPr>
          <w:p w14:paraId="386D630C" w14:textId="1711E8CB" w:rsidR="00224C12" w:rsidRPr="00BF746E" w:rsidRDefault="00224C12" w:rsidP="00224C12">
            <w:pPr>
              <w:ind w:left="-71" w:hanging="233"/>
              <w:jc w:val="right"/>
              <w:rPr>
                <w:rFonts w:ascii="Arial" w:hAnsi="Arial" w:cs="Arial"/>
                <w:b/>
                <w:sz w:val="18"/>
                <w:szCs w:val="18"/>
              </w:rPr>
            </w:pPr>
            <w:r w:rsidRPr="00563BF3">
              <w:rPr>
                <w:rFonts w:ascii="Arial" w:hAnsi="Arial" w:cs="Arial"/>
                <w:b/>
                <w:bCs/>
                <w:color w:val="000000"/>
                <w:sz w:val="18"/>
                <w:szCs w:val="18"/>
              </w:rPr>
              <w:t>45.378.297</w:t>
            </w:r>
          </w:p>
        </w:tc>
        <w:tc>
          <w:tcPr>
            <w:tcW w:w="777" w:type="pct"/>
            <w:vAlign w:val="bottom"/>
          </w:tcPr>
          <w:p w14:paraId="594BCC07" w14:textId="1A253FE0" w:rsidR="00224C12" w:rsidRPr="00563BF3" w:rsidRDefault="00224C12">
            <w:pPr>
              <w:ind w:left="-71" w:hanging="233"/>
              <w:jc w:val="right"/>
              <w:rPr>
                <w:rFonts w:ascii="Arial" w:hAnsi="Arial" w:cs="Arial"/>
                <w:b/>
                <w:bCs/>
                <w:color w:val="000000"/>
                <w:sz w:val="18"/>
                <w:szCs w:val="18"/>
              </w:rPr>
            </w:pPr>
            <w:r>
              <w:rPr>
                <w:rFonts w:ascii="Arial" w:hAnsi="Arial" w:cs="Arial"/>
                <w:b/>
                <w:bCs/>
                <w:color w:val="000000"/>
                <w:sz w:val="18"/>
                <w:szCs w:val="18"/>
              </w:rPr>
              <w:t>21.545.892</w:t>
            </w:r>
          </w:p>
        </w:tc>
      </w:tr>
    </w:tbl>
    <w:p w14:paraId="7AC4DEB9" w14:textId="77777777" w:rsidR="00D7587C" w:rsidRPr="00701F32" w:rsidRDefault="00D7587C" w:rsidP="00D7587C">
      <w:pPr>
        <w:spacing w:after="160" w:line="259" w:lineRule="auto"/>
        <w:jc w:val="both"/>
        <w:rPr>
          <w:rFonts w:ascii="Arial" w:eastAsia="Arial" w:hAnsi="Arial" w:cs="Arial"/>
          <w:color w:val="FF0000"/>
          <w:sz w:val="20"/>
        </w:rPr>
      </w:pPr>
    </w:p>
    <w:p w14:paraId="6DA15B70" w14:textId="5A55B863" w:rsidR="00D7587C" w:rsidRPr="00701F32" w:rsidRDefault="00D7587C" w:rsidP="00D7587C">
      <w:pPr>
        <w:jc w:val="both"/>
        <w:rPr>
          <w:rFonts w:ascii="Arial" w:eastAsia="Calibri" w:hAnsi="Arial" w:cs="Arial"/>
          <w:sz w:val="20"/>
          <w:lang w:eastAsia="es-PE"/>
        </w:rPr>
      </w:pPr>
      <w:r w:rsidRPr="00701F32">
        <w:rPr>
          <w:rFonts w:ascii="Arial" w:eastAsia="Calibri" w:hAnsi="Arial" w:cs="Arial"/>
          <w:sz w:val="20"/>
          <w:lang w:eastAsia="es-PE"/>
        </w:rPr>
        <w:t>Por su parte, se exponen a continuación las conciliaciones entre los saldos de aquellas partidas consideradas equivalentes de efectivo en el Estado de Flujo</w:t>
      </w:r>
      <w:r w:rsidR="0038752C">
        <w:rPr>
          <w:rFonts w:ascii="Arial" w:eastAsia="Calibri" w:hAnsi="Arial" w:cs="Arial"/>
          <w:sz w:val="20"/>
          <w:lang w:eastAsia="es-PE"/>
        </w:rPr>
        <w:t>s</w:t>
      </w:r>
      <w:r w:rsidRPr="00701F32">
        <w:rPr>
          <w:rFonts w:ascii="Arial" w:eastAsia="Calibri" w:hAnsi="Arial" w:cs="Arial"/>
          <w:sz w:val="20"/>
          <w:lang w:eastAsia="es-PE"/>
        </w:rPr>
        <w:t xml:space="preserve"> de Efectivo y las reportadas en el Estado de Situación Financiera al cierre del </w:t>
      </w:r>
      <w:r w:rsidR="00B14041">
        <w:rPr>
          <w:rFonts w:ascii="Arial" w:eastAsia="Calibri" w:hAnsi="Arial" w:cs="Arial"/>
          <w:sz w:val="20"/>
          <w:lang w:eastAsia="es-PE"/>
        </w:rPr>
        <w:t>ejercicio</w:t>
      </w:r>
      <w:r w:rsidRPr="00701F32">
        <w:rPr>
          <w:rFonts w:ascii="Arial" w:eastAsia="Calibri" w:hAnsi="Arial" w:cs="Arial"/>
          <w:sz w:val="20"/>
          <w:lang w:eastAsia="es-PE"/>
        </w:rPr>
        <w:t>:</w:t>
      </w:r>
    </w:p>
    <w:p w14:paraId="623DB7D2" w14:textId="77777777" w:rsidR="00D7587C" w:rsidRPr="00701F32" w:rsidRDefault="00D7587C" w:rsidP="00D7587C">
      <w:pPr>
        <w:jc w:val="both"/>
        <w:rPr>
          <w:rFonts w:ascii="Arial" w:eastAsia="Calibri" w:hAnsi="Arial" w:cs="Arial"/>
          <w:sz w:val="20"/>
          <w:lang w:eastAsia="es-PE"/>
        </w:rPr>
      </w:pPr>
    </w:p>
    <w:tbl>
      <w:tblPr>
        <w:tblW w:w="37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14"/>
        <w:gridCol w:w="1075"/>
        <w:gridCol w:w="1052"/>
      </w:tblGrid>
      <w:tr w:rsidR="00931F52" w:rsidRPr="00701F32" w14:paraId="739849D9" w14:textId="7A2C94D8" w:rsidTr="00931F52">
        <w:trPr>
          <w:trHeight w:val="248"/>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1CEEC" w14:textId="77777777" w:rsidR="00931F52" w:rsidRPr="00701F32" w:rsidRDefault="00931F52" w:rsidP="00B14041">
            <w:pPr>
              <w:spacing w:line="259" w:lineRule="auto"/>
              <w:jc w:val="both"/>
              <w:rPr>
                <w:rFonts w:ascii="Arial" w:hAnsi="Arial" w:cs="Arial"/>
                <w:color w:val="000000"/>
                <w:sz w:val="18"/>
                <w:lang w:eastAsia="es-AR"/>
              </w:rPr>
            </w:pPr>
          </w:p>
        </w:tc>
        <w:tc>
          <w:tcPr>
            <w:tcW w:w="822" w:type="pct"/>
            <w:tcBorders>
              <w:top w:val="single" w:sz="4" w:space="0" w:color="auto"/>
              <w:left w:val="single" w:sz="4" w:space="0" w:color="auto"/>
              <w:bottom w:val="single" w:sz="4" w:space="0" w:color="auto"/>
              <w:right w:val="single" w:sz="4" w:space="0" w:color="auto"/>
            </w:tcBorders>
            <w:vAlign w:val="center"/>
          </w:tcPr>
          <w:p w14:paraId="4A2C398E" w14:textId="20AC2DDF" w:rsidR="00931F52" w:rsidRPr="00701F32" w:rsidRDefault="00931F52" w:rsidP="00B14041">
            <w:pPr>
              <w:spacing w:line="259" w:lineRule="auto"/>
              <w:jc w:val="center"/>
              <w:rPr>
                <w:rFonts w:ascii="Arial" w:hAnsi="Arial" w:cs="Arial"/>
                <w:b/>
                <w:bCs/>
                <w:color w:val="000000"/>
                <w:sz w:val="18"/>
              </w:rPr>
            </w:pPr>
            <w:r>
              <w:rPr>
                <w:rFonts w:ascii="Arial" w:hAnsi="Arial" w:cs="Arial"/>
                <w:b/>
                <w:color w:val="000000"/>
                <w:sz w:val="18"/>
                <w:lang w:eastAsia="es-AR"/>
              </w:rPr>
              <w:t>31/12/2019</w:t>
            </w:r>
          </w:p>
        </w:tc>
        <w:tc>
          <w:tcPr>
            <w:tcW w:w="804" w:type="pct"/>
            <w:tcBorders>
              <w:top w:val="single" w:sz="4" w:space="0" w:color="auto"/>
              <w:left w:val="single" w:sz="4" w:space="0" w:color="auto"/>
              <w:bottom w:val="single" w:sz="4" w:space="0" w:color="auto"/>
              <w:right w:val="single" w:sz="4" w:space="0" w:color="auto"/>
            </w:tcBorders>
            <w:vAlign w:val="center"/>
          </w:tcPr>
          <w:p w14:paraId="760FAE41" w14:textId="16A2B15B" w:rsidR="00931F52" w:rsidRDefault="00931F52" w:rsidP="00B14041">
            <w:pPr>
              <w:spacing w:line="259" w:lineRule="auto"/>
              <w:jc w:val="center"/>
              <w:rPr>
                <w:rFonts w:ascii="Arial" w:hAnsi="Arial" w:cs="Arial"/>
                <w:b/>
                <w:bCs/>
                <w:color w:val="000000"/>
                <w:sz w:val="18"/>
              </w:rPr>
            </w:pPr>
            <w:r>
              <w:rPr>
                <w:rFonts w:ascii="Arial" w:hAnsi="Arial" w:cs="Arial"/>
                <w:b/>
                <w:color w:val="000000"/>
                <w:sz w:val="18"/>
                <w:lang w:eastAsia="es-AR"/>
              </w:rPr>
              <w:t>31/12/2018</w:t>
            </w:r>
          </w:p>
        </w:tc>
      </w:tr>
      <w:tr w:rsidR="00931F52" w:rsidRPr="00701F32" w14:paraId="1E2E55F9" w14:textId="7530DC63" w:rsidTr="00931F52">
        <w:trPr>
          <w:trHeight w:val="248"/>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561247" w14:textId="513C8F28" w:rsidR="00931F52" w:rsidRPr="00701F32" w:rsidRDefault="00931F52" w:rsidP="00B14041">
            <w:pPr>
              <w:spacing w:line="259" w:lineRule="auto"/>
              <w:jc w:val="both"/>
              <w:rPr>
                <w:rFonts w:ascii="Arial" w:hAnsi="Arial" w:cs="Arial"/>
                <w:b/>
                <w:color w:val="000000"/>
                <w:sz w:val="18"/>
                <w:lang w:eastAsia="es-AR"/>
              </w:rPr>
            </w:pPr>
            <w:r w:rsidRPr="00701F32">
              <w:rPr>
                <w:rFonts w:ascii="Arial" w:hAnsi="Arial" w:cs="Arial"/>
                <w:b/>
                <w:color w:val="000000"/>
                <w:sz w:val="18"/>
                <w:lang w:eastAsia="es-AR"/>
              </w:rPr>
              <w:t>Títulos valores a valor razonable s/Estado de Sit.</w:t>
            </w:r>
            <w:r>
              <w:rPr>
                <w:rFonts w:ascii="Arial" w:hAnsi="Arial" w:cs="Arial"/>
                <w:b/>
                <w:color w:val="000000"/>
                <w:sz w:val="18"/>
                <w:lang w:eastAsia="es-AR"/>
              </w:rPr>
              <w:t xml:space="preserve"> </w:t>
            </w:r>
            <w:r w:rsidRPr="00701F32">
              <w:rPr>
                <w:rFonts w:ascii="Arial" w:hAnsi="Arial" w:cs="Arial"/>
                <w:b/>
                <w:color w:val="000000"/>
                <w:sz w:val="18"/>
                <w:lang w:eastAsia="es-AR"/>
              </w:rPr>
              <w:t>Financiera</w:t>
            </w:r>
          </w:p>
        </w:tc>
        <w:tc>
          <w:tcPr>
            <w:tcW w:w="822" w:type="pct"/>
            <w:tcBorders>
              <w:top w:val="single" w:sz="4" w:space="0" w:color="auto"/>
              <w:left w:val="single" w:sz="4" w:space="0" w:color="auto"/>
              <w:bottom w:val="single" w:sz="4" w:space="0" w:color="auto"/>
              <w:right w:val="single" w:sz="4" w:space="0" w:color="auto"/>
            </w:tcBorders>
            <w:vAlign w:val="bottom"/>
          </w:tcPr>
          <w:p w14:paraId="6507FECA" w14:textId="3CF6EAA2" w:rsidR="00931F52" w:rsidRPr="002B72BA" w:rsidRDefault="00D70FEB" w:rsidP="00B14041">
            <w:pPr>
              <w:spacing w:line="259" w:lineRule="auto"/>
              <w:ind w:left="709" w:hanging="709"/>
              <w:jc w:val="right"/>
              <w:rPr>
                <w:rFonts w:ascii="Arial" w:hAnsi="Arial" w:cs="Arial"/>
                <w:b/>
                <w:bCs/>
                <w:color w:val="000000"/>
                <w:sz w:val="18"/>
                <w:szCs w:val="18"/>
              </w:rPr>
            </w:pPr>
            <w:r w:rsidRPr="00D70FEB">
              <w:rPr>
                <w:rFonts w:ascii="Arial" w:hAnsi="Arial" w:cs="Arial"/>
                <w:b/>
                <w:bCs/>
                <w:color w:val="000000"/>
                <w:sz w:val="18"/>
                <w:szCs w:val="18"/>
              </w:rPr>
              <w:t>405.068</w:t>
            </w:r>
          </w:p>
        </w:tc>
        <w:tc>
          <w:tcPr>
            <w:tcW w:w="804" w:type="pct"/>
            <w:tcBorders>
              <w:top w:val="single" w:sz="4" w:space="0" w:color="auto"/>
              <w:left w:val="single" w:sz="4" w:space="0" w:color="auto"/>
              <w:bottom w:val="single" w:sz="4" w:space="0" w:color="auto"/>
              <w:right w:val="single" w:sz="4" w:space="0" w:color="auto"/>
            </w:tcBorders>
            <w:vAlign w:val="bottom"/>
          </w:tcPr>
          <w:p w14:paraId="688D7E54" w14:textId="286CCA72" w:rsidR="00931F52" w:rsidRPr="006B43CB" w:rsidRDefault="00931F52" w:rsidP="00B14041">
            <w:pPr>
              <w:spacing w:line="259" w:lineRule="auto"/>
              <w:jc w:val="right"/>
              <w:rPr>
                <w:rFonts w:ascii="Arial" w:hAnsi="Arial" w:cs="Arial"/>
                <w:b/>
                <w:bCs/>
                <w:color w:val="000000"/>
                <w:sz w:val="18"/>
                <w:szCs w:val="18"/>
              </w:rPr>
            </w:pPr>
            <w:r w:rsidRPr="006F5632">
              <w:rPr>
                <w:rFonts w:ascii="Arial" w:hAnsi="Arial" w:cs="Arial"/>
                <w:b/>
                <w:color w:val="000000"/>
                <w:sz w:val="18"/>
              </w:rPr>
              <w:t>14.941.290</w:t>
            </w:r>
          </w:p>
        </w:tc>
      </w:tr>
      <w:tr w:rsidR="00931F52" w:rsidRPr="00701F32" w14:paraId="0C8E5E4C" w14:textId="3BCFE1FB" w:rsidTr="00931F52">
        <w:trPr>
          <w:trHeight w:val="248"/>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AE7C1EC" w14:textId="77777777" w:rsidR="00931F52" w:rsidRPr="00701F32" w:rsidRDefault="00931F52" w:rsidP="00B14041">
            <w:pPr>
              <w:spacing w:line="259" w:lineRule="auto"/>
              <w:jc w:val="both"/>
              <w:rPr>
                <w:rFonts w:ascii="Arial" w:hAnsi="Arial" w:cs="Arial"/>
                <w:color w:val="000000"/>
                <w:sz w:val="18"/>
                <w:lang w:eastAsia="es-AR"/>
              </w:rPr>
            </w:pPr>
            <w:r w:rsidRPr="00701F32">
              <w:rPr>
                <w:rFonts w:ascii="Arial" w:hAnsi="Arial" w:cs="Arial"/>
                <w:color w:val="000000"/>
                <w:sz w:val="18"/>
                <w:lang w:eastAsia="es-AR"/>
              </w:rPr>
              <w:t>- Letras de Liquidez del BCRA hasta 90 días</w:t>
            </w:r>
          </w:p>
        </w:tc>
        <w:tc>
          <w:tcPr>
            <w:tcW w:w="822" w:type="pct"/>
            <w:tcBorders>
              <w:top w:val="single" w:sz="4" w:space="0" w:color="auto"/>
              <w:left w:val="single" w:sz="4" w:space="0" w:color="auto"/>
              <w:bottom w:val="single" w:sz="4" w:space="0" w:color="auto"/>
              <w:right w:val="single" w:sz="4" w:space="0" w:color="auto"/>
            </w:tcBorders>
            <w:vAlign w:val="bottom"/>
          </w:tcPr>
          <w:p w14:paraId="1807387A" w14:textId="1DE17A08" w:rsidR="00931F52" w:rsidRPr="002B72BA" w:rsidRDefault="00E43368" w:rsidP="00B14041">
            <w:pPr>
              <w:spacing w:line="259" w:lineRule="auto"/>
              <w:jc w:val="right"/>
              <w:rPr>
                <w:rFonts w:ascii="Arial" w:hAnsi="Arial" w:cs="Arial"/>
                <w:bCs/>
                <w:color w:val="000000"/>
                <w:sz w:val="18"/>
                <w:szCs w:val="18"/>
              </w:rPr>
            </w:pPr>
            <w:r>
              <w:rPr>
                <w:rFonts w:ascii="Arial" w:hAnsi="Arial" w:cs="Arial"/>
                <w:bCs/>
                <w:color w:val="000000"/>
                <w:sz w:val="18"/>
                <w:szCs w:val="18"/>
              </w:rPr>
              <w:t>-</w:t>
            </w:r>
          </w:p>
        </w:tc>
        <w:tc>
          <w:tcPr>
            <w:tcW w:w="804" w:type="pct"/>
            <w:tcBorders>
              <w:top w:val="single" w:sz="4" w:space="0" w:color="auto"/>
              <w:left w:val="single" w:sz="4" w:space="0" w:color="auto"/>
              <w:bottom w:val="single" w:sz="4" w:space="0" w:color="auto"/>
              <w:right w:val="single" w:sz="4" w:space="0" w:color="auto"/>
            </w:tcBorders>
            <w:vAlign w:val="bottom"/>
          </w:tcPr>
          <w:p w14:paraId="6EAE4715" w14:textId="26BE6D2C" w:rsidR="00931F52" w:rsidRPr="006B43CB" w:rsidRDefault="00931F52" w:rsidP="00B14041">
            <w:pPr>
              <w:spacing w:line="259" w:lineRule="auto"/>
              <w:jc w:val="right"/>
              <w:rPr>
                <w:rFonts w:ascii="Arial" w:hAnsi="Arial" w:cs="Arial"/>
                <w:bCs/>
                <w:color w:val="000000"/>
                <w:sz w:val="18"/>
                <w:szCs w:val="18"/>
              </w:rPr>
            </w:pPr>
            <w:r w:rsidRPr="006F5632">
              <w:rPr>
                <w:rFonts w:ascii="Arial" w:hAnsi="Arial" w:cs="Arial"/>
                <w:color w:val="000000"/>
                <w:sz w:val="18"/>
              </w:rPr>
              <w:t>11.305.324</w:t>
            </w:r>
          </w:p>
        </w:tc>
      </w:tr>
      <w:tr w:rsidR="00931F52" w:rsidRPr="00701F32" w14:paraId="423B40AE" w14:textId="4633F4F1" w:rsidTr="00931F52">
        <w:trPr>
          <w:trHeight w:val="248"/>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43E6F" w14:textId="77777777" w:rsidR="00931F52" w:rsidRPr="00701F32" w:rsidRDefault="00931F52" w:rsidP="00B14041">
            <w:pPr>
              <w:spacing w:line="259" w:lineRule="auto"/>
              <w:jc w:val="both"/>
              <w:rPr>
                <w:rFonts w:ascii="Arial" w:hAnsi="Arial" w:cs="Arial"/>
                <w:color w:val="000000"/>
                <w:sz w:val="18"/>
                <w:lang w:eastAsia="es-AR"/>
              </w:rPr>
            </w:pPr>
            <w:r w:rsidRPr="00701F32">
              <w:rPr>
                <w:rFonts w:ascii="Arial" w:hAnsi="Arial" w:cs="Arial"/>
                <w:color w:val="000000"/>
                <w:sz w:val="18"/>
                <w:lang w:eastAsia="es-AR"/>
              </w:rPr>
              <w:t>- Letras del Tesoro Nacional hasta 90 días</w:t>
            </w:r>
          </w:p>
        </w:tc>
        <w:tc>
          <w:tcPr>
            <w:tcW w:w="822" w:type="pct"/>
            <w:tcBorders>
              <w:top w:val="single" w:sz="4" w:space="0" w:color="auto"/>
              <w:left w:val="single" w:sz="4" w:space="0" w:color="auto"/>
              <w:bottom w:val="single" w:sz="4" w:space="0" w:color="auto"/>
              <w:right w:val="single" w:sz="4" w:space="0" w:color="auto"/>
            </w:tcBorders>
            <w:vAlign w:val="bottom"/>
          </w:tcPr>
          <w:p w14:paraId="1F9C0457" w14:textId="47D30E02" w:rsidR="00931F52" w:rsidRPr="002B72BA" w:rsidRDefault="00637271" w:rsidP="00B14041">
            <w:pPr>
              <w:spacing w:line="259" w:lineRule="auto"/>
              <w:jc w:val="right"/>
              <w:rPr>
                <w:rFonts w:ascii="Arial" w:hAnsi="Arial" w:cs="Arial"/>
                <w:bCs/>
                <w:color w:val="000000"/>
                <w:sz w:val="18"/>
                <w:szCs w:val="18"/>
              </w:rPr>
            </w:pPr>
            <w:r w:rsidRPr="00637271">
              <w:rPr>
                <w:rFonts w:ascii="Arial" w:hAnsi="Arial" w:cs="Arial"/>
                <w:bCs/>
                <w:color w:val="000000"/>
                <w:sz w:val="18"/>
                <w:szCs w:val="18"/>
              </w:rPr>
              <w:t>405.068</w:t>
            </w:r>
          </w:p>
        </w:tc>
        <w:tc>
          <w:tcPr>
            <w:tcW w:w="804" w:type="pct"/>
            <w:tcBorders>
              <w:top w:val="single" w:sz="4" w:space="0" w:color="auto"/>
              <w:left w:val="single" w:sz="4" w:space="0" w:color="auto"/>
              <w:bottom w:val="single" w:sz="4" w:space="0" w:color="auto"/>
              <w:right w:val="single" w:sz="4" w:space="0" w:color="auto"/>
            </w:tcBorders>
            <w:vAlign w:val="bottom"/>
          </w:tcPr>
          <w:p w14:paraId="5B53C08B" w14:textId="726EFB3C" w:rsidR="00931F52" w:rsidRPr="006B43CB" w:rsidRDefault="00931F52" w:rsidP="00B14041">
            <w:pPr>
              <w:spacing w:line="259" w:lineRule="auto"/>
              <w:jc w:val="right"/>
              <w:rPr>
                <w:rFonts w:ascii="Arial" w:hAnsi="Arial" w:cs="Arial"/>
                <w:bCs/>
                <w:color w:val="000000"/>
                <w:sz w:val="18"/>
                <w:szCs w:val="18"/>
              </w:rPr>
            </w:pPr>
            <w:r>
              <w:rPr>
                <w:rFonts w:ascii="Arial" w:hAnsi="Arial" w:cs="Arial"/>
                <w:color w:val="000000"/>
                <w:sz w:val="18"/>
              </w:rPr>
              <w:t>526.212</w:t>
            </w:r>
          </w:p>
        </w:tc>
      </w:tr>
      <w:tr w:rsidR="00931F52" w:rsidRPr="00701F32" w14:paraId="0CFD22D4" w14:textId="4C2ED2B6" w:rsidTr="00931F52">
        <w:trPr>
          <w:trHeight w:val="248"/>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2D2C4C" w14:textId="1D855BC8" w:rsidR="00931F52" w:rsidRPr="005A1F48" w:rsidRDefault="00931F52" w:rsidP="00B14041">
            <w:pPr>
              <w:spacing w:line="259" w:lineRule="auto"/>
              <w:jc w:val="both"/>
              <w:rPr>
                <w:rFonts w:ascii="Arial" w:hAnsi="Arial" w:cs="Arial"/>
                <w:b/>
                <w:color w:val="000000"/>
                <w:sz w:val="18"/>
                <w:lang w:eastAsia="es-AR"/>
              </w:rPr>
            </w:pPr>
            <w:r w:rsidRPr="005A1F48">
              <w:rPr>
                <w:rFonts w:ascii="Arial" w:hAnsi="Arial" w:cs="Arial"/>
                <w:b/>
                <w:color w:val="000000"/>
                <w:sz w:val="18"/>
                <w:lang w:eastAsia="es-AR"/>
              </w:rPr>
              <w:t>Títulos de deuda a valor razonable s/Estado de Flujo</w:t>
            </w:r>
            <w:r>
              <w:rPr>
                <w:rFonts w:ascii="Arial" w:hAnsi="Arial" w:cs="Arial"/>
                <w:b/>
                <w:color w:val="000000"/>
                <w:sz w:val="18"/>
                <w:lang w:eastAsia="es-AR"/>
              </w:rPr>
              <w:t>s</w:t>
            </w:r>
            <w:r w:rsidRPr="005A1F48">
              <w:rPr>
                <w:rFonts w:ascii="Arial" w:hAnsi="Arial" w:cs="Arial"/>
                <w:b/>
                <w:color w:val="000000"/>
                <w:sz w:val="18"/>
                <w:lang w:eastAsia="es-AR"/>
              </w:rPr>
              <w:t xml:space="preserve"> de Efectivo</w:t>
            </w:r>
          </w:p>
        </w:tc>
        <w:tc>
          <w:tcPr>
            <w:tcW w:w="822" w:type="pct"/>
            <w:tcBorders>
              <w:top w:val="single" w:sz="4" w:space="0" w:color="auto"/>
              <w:left w:val="single" w:sz="4" w:space="0" w:color="auto"/>
              <w:bottom w:val="single" w:sz="4" w:space="0" w:color="auto"/>
              <w:right w:val="single" w:sz="4" w:space="0" w:color="auto"/>
            </w:tcBorders>
            <w:vAlign w:val="bottom"/>
          </w:tcPr>
          <w:p w14:paraId="3E095EB0" w14:textId="0D86D9BE" w:rsidR="00931F52" w:rsidRPr="002B72BA" w:rsidRDefault="00637271" w:rsidP="00B14041">
            <w:pPr>
              <w:spacing w:line="259" w:lineRule="auto"/>
              <w:jc w:val="right"/>
              <w:rPr>
                <w:rFonts w:ascii="Arial" w:hAnsi="Arial" w:cs="Arial"/>
                <w:b/>
                <w:bCs/>
                <w:color w:val="000000"/>
                <w:sz w:val="18"/>
                <w:szCs w:val="18"/>
                <w:lang w:val="es-ES_tradnl"/>
              </w:rPr>
            </w:pPr>
            <w:r w:rsidRPr="00637271">
              <w:rPr>
                <w:rFonts w:ascii="Arial" w:hAnsi="Arial" w:cs="Arial"/>
                <w:b/>
                <w:bCs/>
                <w:color w:val="000000"/>
                <w:sz w:val="18"/>
                <w:szCs w:val="18"/>
                <w:lang w:val="es-ES_tradnl"/>
              </w:rPr>
              <w:t>405.068</w:t>
            </w:r>
          </w:p>
        </w:tc>
        <w:tc>
          <w:tcPr>
            <w:tcW w:w="804" w:type="pct"/>
            <w:tcBorders>
              <w:top w:val="single" w:sz="4" w:space="0" w:color="auto"/>
              <w:left w:val="single" w:sz="4" w:space="0" w:color="auto"/>
              <w:bottom w:val="single" w:sz="4" w:space="0" w:color="auto"/>
              <w:right w:val="single" w:sz="4" w:space="0" w:color="auto"/>
            </w:tcBorders>
            <w:vAlign w:val="bottom"/>
          </w:tcPr>
          <w:p w14:paraId="253E4314" w14:textId="4338CA6F" w:rsidR="00931F52" w:rsidRPr="006B43CB" w:rsidRDefault="00931F52" w:rsidP="00B14041">
            <w:pPr>
              <w:spacing w:line="259" w:lineRule="auto"/>
              <w:jc w:val="right"/>
              <w:rPr>
                <w:rFonts w:ascii="Arial" w:hAnsi="Arial" w:cs="Arial"/>
                <w:b/>
                <w:bCs/>
                <w:color w:val="000000"/>
                <w:sz w:val="18"/>
                <w:szCs w:val="18"/>
                <w:lang w:val="es-ES_tradnl"/>
              </w:rPr>
            </w:pPr>
            <w:r>
              <w:rPr>
                <w:rFonts w:ascii="Arial" w:hAnsi="Arial" w:cs="Arial"/>
                <w:b/>
                <w:bCs/>
                <w:color w:val="000000"/>
                <w:sz w:val="18"/>
              </w:rPr>
              <w:t>11.831.536</w:t>
            </w:r>
          </w:p>
        </w:tc>
      </w:tr>
      <w:tr w:rsidR="00931F52" w:rsidRPr="00701F32" w14:paraId="296F213E" w14:textId="7B8240D0" w:rsidTr="00931F52">
        <w:trPr>
          <w:trHeight w:val="248"/>
          <w:jc w:val="center"/>
        </w:trPr>
        <w:tc>
          <w:tcPr>
            <w:tcW w:w="337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2DE79E" w14:textId="1797A06D" w:rsidR="00931F52" w:rsidRPr="005A1F48" w:rsidRDefault="00931F52" w:rsidP="00B14041">
            <w:pPr>
              <w:spacing w:line="259" w:lineRule="auto"/>
              <w:jc w:val="both"/>
              <w:rPr>
                <w:rFonts w:ascii="Arial" w:hAnsi="Arial" w:cs="Arial"/>
                <w:b/>
                <w:color w:val="000000"/>
                <w:sz w:val="18"/>
                <w:lang w:eastAsia="es-AR"/>
              </w:rPr>
            </w:pPr>
            <w:r w:rsidRPr="005A1F48">
              <w:rPr>
                <w:rFonts w:ascii="Arial" w:hAnsi="Arial" w:cs="Arial"/>
                <w:b/>
                <w:color w:val="000000"/>
                <w:sz w:val="18"/>
                <w:lang w:eastAsia="es-AR"/>
              </w:rPr>
              <w:t>Titulos no considerados Equivalentes de Efectivo</w:t>
            </w:r>
          </w:p>
        </w:tc>
        <w:tc>
          <w:tcPr>
            <w:tcW w:w="822" w:type="pct"/>
            <w:tcBorders>
              <w:top w:val="single" w:sz="4" w:space="0" w:color="auto"/>
              <w:left w:val="single" w:sz="4" w:space="0" w:color="auto"/>
              <w:bottom w:val="single" w:sz="4" w:space="0" w:color="auto"/>
              <w:right w:val="single" w:sz="4" w:space="0" w:color="auto"/>
            </w:tcBorders>
            <w:vAlign w:val="bottom"/>
          </w:tcPr>
          <w:p w14:paraId="0A1B98FB" w14:textId="2AD1D03E" w:rsidR="00931F52" w:rsidRPr="002B72BA" w:rsidRDefault="00637271" w:rsidP="00B14041">
            <w:pPr>
              <w:spacing w:line="259" w:lineRule="auto"/>
              <w:jc w:val="right"/>
              <w:rPr>
                <w:rFonts w:ascii="Arial" w:hAnsi="Arial" w:cs="Arial"/>
                <w:b/>
                <w:bCs/>
                <w:color w:val="000000"/>
                <w:sz w:val="18"/>
                <w:szCs w:val="18"/>
              </w:rPr>
            </w:pPr>
            <w:r>
              <w:rPr>
                <w:rFonts w:ascii="Arial" w:hAnsi="Arial" w:cs="Arial"/>
                <w:b/>
                <w:bCs/>
                <w:color w:val="000000"/>
                <w:sz w:val="18"/>
                <w:szCs w:val="18"/>
              </w:rPr>
              <w:t>-</w:t>
            </w:r>
          </w:p>
        </w:tc>
        <w:tc>
          <w:tcPr>
            <w:tcW w:w="804" w:type="pct"/>
            <w:tcBorders>
              <w:top w:val="single" w:sz="4" w:space="0" w:color="auto"/>
              <w:left w:val="single" w:sz="4" w:space="0" w:color="auto"/>
              <w:bottom w:val="single" w:sz="4" w:space="0" w:color="auto"/>
              <w:right w:val="single" w:sz="4" w:space="0" w:color="auto"/>
            </w:tcBorders>
            <w:vAlign w:val="bottom"/>
          </w:tcPr>
          <w:p w14:paraId="7ACCFFB6" w14:textId="74BADF49" w:rsidR="00931F52" w:rsidRPr="006B43CB" w:rsidRDefault="00931F52" w:rsidP="00B14041">
            <w:pPr>
              <w:spacing w:line="259" w:lineRule="auto"/>
              <w:jc w:val="right"/>
              <w:rPr>
                <w:rFonts w:ascii="Arial" w:hAnsi="Arial" w:cs="Arial"/>
                <w:b/>
                <w:bCs/>
                <w:color w:val="000000"/>
                <w:sz w:val="18"/>
                <w:lang w:val="es-ES_tradnl"/>
              </w:rPr>
            </w:pPr>
            <w:r>
              <w:rPr>
                <w:rFonts w:ascii="Arial" w:hAnsi="Arial" w:cs="Arial"/>
                <w:b/>
                <w:color w:val="000000"/>
                <w:sz w:val="18"/>
              </w:rPr>
              <w:t>3.109.754</w:t>
            </w:r>
          </w:p>
        </w:tc>
      </w:tr>
    </w:tbl>
    <w:p w14:paraId="297C4DD1" w14:textId="20C2067F" w:rsidR="007426FC" w:rsidRDefault="007426FC">
      <w:pPr>
        <w:rPr>
          <w:rFonts w:ascii="Arial" w:eastAsia="Arial" w:hAnsi="Arial" w:cs="Arial"/>
          <w:sz w:val="20"/>
        </w:rPr>
      </w:pPr>
    </w:p>
    <w:p w14:paraId="4E7FF91F" w14:textId="70A5D549" w:rsidR="007426FC" w:rsidRDefault="007426FC">
      <w:pPr>
        <w:rPr>
          <w:rFonts w:ascii="Arial" w:eastAsia="Arial" w:hAnsi="Arial" w:cs="Arial"/>
          <w:sz w:val="20"/>
        </w:rPr>
      </w:pPr>
      <w:r>
        <w:rPr>
          <w:rFonts w:ascii="Arial" w:eastAsia="Arial" w:hAnsi="Arial" w:cs="Arial"/>
          <w:sz w:val="20"/>
        </w:rPr>
        <w:t xml:space="preserve">A continuación se presenta la conciliación de las actividades de financiación al 31 de diciembre de 2019 y 2018: </w:t>
      </w:r>
    </w:p>
    <w:p w14:paraId="24F43613" w14:textId="5B479E24" w:rsidR="00B1205B" w:rsidRDefault="00B1205B">
      <w:pPr>
        <w:rPr>
          <w:rFonts w:ascii="Arial" w:eastAsia="Arial" w:hAnsi="Arial" w:cs="Arial"/>
          <w:sz w:val="20"/>
        </w:rPr>
      </w:pPr>
      <w:r>
        <w:rPr>
          <w:rFonts w:ascii="Arial" w:eastAsia="Arial" w:hAnsi="Arial" w:cs="Arial"/>
          <w:sz w:val="20"/>
        </w:rPr>
        <w:br w:type="page"/>
      </w:r>
    </w:p>
    <w:p w14:paraId="658AB998" w14:textId="77777777" w:rsidR="00E43368" w:rsidRDefault="00E43368">
      <w:pPr>
        <w:rPr>
          <w:rFonts w:ascii="Arial" w:eastAsia="Arial" w:hAnsi="Arial" w:cs="Arial"/>
          <w:sz w:val="20"/>
        </w:rPr>
      </w:pPr>
    </w:p>
    <w:tbl>
      <w:tblPr>
        <w:tblW w:w="967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1261"/>
        <w:gridCol w:w="1429"/>
        <w:gridCol w:w="1556"/>
        <w:gridCol w:w="1265"/>
        <w:gridCol w:w="1047"/>
      </w:tblGrid>
      <w:tr w:rsidR="007426FC" w:rsidRPr="007426FC" w14:paraId="43CCE533" w14:textId="77777777" w:rsidTr="00A059FB">
        <w:trPr>
          <w:trHeight w:val="240"/>
          <w:tblHeader/>
        </w:trPr>
        <w:tc>
          <w:tcPr>
            <w:tcW w:w="3119" w:type="dxa"/>
            <w:vMerge w:val="restart"/>
            <w:shd w:val="clear" w:color="auto" w:fill="auto"/>
            <w:noWrap/>
            <w:vAlign w:val="center"/>
            <w:hideMark/>
          </w:tcPr>
          <w:p w14:paraId="0213B77E" w14:textId="77777777" w:rsidR="007426FC" w:rsidRPr="007426FC" w:rsidRDefault="007426FC" w:rsidP="006E1AF7">
            <w:pPr>
              <w:jc w:val="center"/>
              <w:rPr>
                <w:rFonts w:ascii="Arial" w:hAnsi="Arial" w:cs="Arial"/>
                <w:b/>
                <w:bCs/>
                <w:sz w:val="18"/>
                <w:szCs w:val="18"/>
                <w:lang w:eastAsia="es-AR"/>
              </w:rPr>
            </w:pPr>
            <w:r w:rsidRPr="007426FC">
              <w:rPr>
                <w:rFonts w:ascii="Arial" w:hAnsi="Arial" w:cs="Arial"/>
                <w:b/>
                <w:bCs/>
                <w:sz w:val="18"/>
                <w:szCs w:val="18"/>
                <w:lang w:eastAsia="es-AR"/>
              </w:rPr>
              <w:t>Conceptos</w:t>
            </w:r>
          </w:p>
        </w:tc>
        <w:tc>
          <w:tcPr>
            <w:tcW w:w="1261" w:type="dxa"/>
            <w:vMerge w:val="restart"/>
            <w:shd w:val="clear" w:color="auto" w:fill="auto"/>
            <w:vAlign w:val="center"/>
            <w:hideMark/>
          </w:tcPr>
          <w:p w14:paraId="4973060F" w14:textId="2BE91D1D" w:rsidR="007426FC" w:rsidRPr="007426FC" w:rsidRDefault="007426FC">
            <w:pPr>
              <w:jc w:val="center"/>
              <w:rPr>
                <w:rFonts w:ascii="Arial" w:hAnsi="Arial" w:cs="Arial"/>
                <w:b/>
                <w:bCs/>
                <w:sz w:val="18"/>
                <w:szCs w:val="18"/>
                <w:lang w:eastAsia="es-AR"/>
              </w:rPr>
            </w:pPr>
            <w:r w:rsidRPr="007426FC">
              <w:rPr>
                <w:rFonts w:ascii="Arial" w:hAnsi="Arial" w:cs="Arial"/>
                <w:b/>
                <w:bCs/>
                <w:sz w:val="18"/>
                <w:szCs w:val="18"/>
                <w:lang w:eastAsia="es-AR"/>
              </w:rPr>
              <w:t>Saldos al 31/12/2018</w:t>
            </w:r>
          </w:p>
        </w:tc>
        <w:tc>
          <w:tcPr>
            <w:tcW w:w="2985" w:type="dxa"/>
            <w:gridSpan w:val="2"/>
            <w:shd w:val="clear" w:color="auto" w:fill="auto"/>
            <w:vAlign w:val="center"/>
          </w:tcPr>
          <w:p w14:paraId="5CBC4A83" w14:textId="558C33F1" w:rsidR="007426FC" w:rsidRPr="007426FC" w:rsidRDefault="007426FC">
            <w:pPr>
              <w:jc w:val="center"/>
              <w:rPr>
                <w:rFonts w:ascii="Arial" w:hAnsi="Arial" w:cs="Arial"/>
                <w:b/>
                <w:bCs/>
                <w:sz w:val="18"/>
                <w:szCs w:val="18"/>
                <w:lang w:eastAsia="es-AR"/>
              </w:rPr>
            </w:pPr>
            <w:r w:rsidRPr="007426FC">
              <w:rPr>
                <w:rFonts w:ascii="Arial" w:hAnsi="Arial" w:cs="Arial"/>
                <w:b/>
                <w:bCs/>
                <w:sz w:val="18"/>
                <w:szCs w:val="18"/>
                <w:lang w:eastAsia="es-AR"/>
              </w:rPr>
              <w:t>Flujos de Efectivo</w:t>
            </w:r>
          </w:p>
        </w:tc>
        <w:tc>
          <w:tcPr>
            <w:tcW w:w="1265" w:type="dxa"/>
            <w:vMerge w:val="restart"/>
            <w:shd w:val="clear" w:color="auto" w:fill="auto"/>
            <w:vAlign w:val="center"/>
            <w:hideMark/>
          </w:tcPr>
          <w:p w14:paraId="3E8364FF" w14:textId="581B6131" w:rsidR="007426FC" w:rsidRPr="007426FC" w:rsidRDefault="007426FC">
            <w:pPr>
              <w:jc w:val="center"/>
              <w:rPr>
                <w:rFonts w:ascii="Arial" w:hAnsi="Arial" w:cs="Arial"/>
                <w:b/>
                <w:bCs/>
                <w:sz w:val="18"/>
                <w:szCs w:val="18"/>
                <w:lang w:eastAsia="es-AR"/>
              </w:rPr>
            </w:pPr>
            <w:r w:rsidRPr="007426FC">
              <w:rPr>
                <w:rFonts w:ascii="Arial" w:hAnsi="Arial" w:cs="Arial"/>
                <w:b/>
                <w:bCs/>
                <w:sz w:val="18"/>
                <w:szCs w:val="18"/>
                <w:lang w:eastAsia="es-AR"/>
              </w:rPr>
              <w:t>Otros movimientos sin efectivo</w:t>
            </w:r>
          </w:p>
        </w:tc>
        <w:tc>
          <w:tcPr>
            <w:tcW w:w="1047" w:type="dxa"/>
            <w:vMerge w:val="restart"/>
            <w:shd w:val="clear" w:color="auto" w:fill="auto"/>
            <w:vAlign w:val="center"/>
            <w:hideMark/>
          </w:tcPr>
          <w:p w14:paraId="51C66992" w14:textId="77777777" w:rsidR="007426FC" w:rsidRPr="007426FC" w:rsidRDefault="007426FC">
            <w:pPr>
              <w:jc w:val="center"/>
              <w:rPr>
                <w:rFonts w:ascii="Arial" w:hAnsi="Arial" w:cs="Arial"/>
                <w:b/>
                <w:bCs/>
                <w:sz w:val="18"/>
                <w:szCs w:val="18"/>
                <w:lang w:eastAsia="es-AR"/>
              </w:rPr>
            </w:pPr>
            <w:r w:rsidRPr="007426FC">
              <w:rPr>
                <w:rFonts w:ascii="Arial" w:hAnsi="Arial" w:cs="Arial"/>
                <w:b/>
                <w:bCs/>
                <w:sz w:val="18"/>
                <w:szCs w:val="18"/>
                <w:lang w:eastAsia="es-AR"/>
              </w:rPr>
              <w:t>Saldos al 31/12/2019</w:t>
            </w:r>
          </w:p>
        </w:tc>
      </w:tr>
      <w:tr w:rsidR="007426FC" w:rsidRPr="007426FC" w14:paraId="0078D33E" w14:textId="77777777" w:rsidTr="00A059FB">
        <w:trPr>
          <w:trHeight w:val="211"/>
          <w:tblHeader/>
        </w:trPr>
        <w:tc>
          <w:tcPr>
            <w:tcW w:w="3119" w:type="dxa"/>
            <w:vMerge/>
            <w:shd w:val="clear" w:color="auto" w:fill="auto"/>
            <w:noWrap/>
            <w:vAlign w:val="bottom"/>
            <w:hideMark/>
          </w:tcPr>
          <w:p w14:paraId="2681A33B" w14:textId="77777777" w:rsidR="007426FC" w:rsidRPr="007426FC" w:rsidRDefault="007426FC" w:rsidP="007426FC">
            <w:pPr>
              <w:jc w:val="center"/>
              <w:rPr>
                <w:rFonts w:ascii="Arial" w:hAnsi="Arial" w:cs="Arial"/>
                <w:b/>
                <w:bCs/>
                <w:sz w:val="18"/>
                <w:szCs w:val="18"/>
                <w:lang w:eastAsia="es-AR"/>
              </w:rPr>
            </w:pPr>
          </w:p>
        </w:tc>
        <w:tc>
          <w:tcPr>
            <w:tcW w:w="1261" w:type="dxa"/>
            <w:vMerge/>
            <w:vAlign w:val="center"/>
            <w:hideMark/>
          </w:tcPr>
          <w:p w14:paraId="565FCFC5" w14:textId="77777777" w:rsidR="007426FC" w:rsidRPr="007426FC" w:rsidRDefault="007426FC" w:rsidP="007426FC">
            <w:pPr>
              <w:rPr>
                <w:rFonts w:ascii="Arial" w:hAnsi="Arial" w:cs="Arial"/>
                <w:b/>
                <w:bCs/>
                <w:sz w:val="18"/>
                <w:szCs w:val="18"/>
                <w:lang w:eastAsia="es-AR"/>
              </w:rPr>
            </w:pPr>
          </w:p>
        </w:tc>
        <w:tc>
          <w:tcPr>
            <w:tcW w:w="1429" w:type="dxa"/>
            <w:shd w:val="clear" w:color="auto" w:fill="auto"/>
            <w:noWrap/>
            <w:vAlign w:val="bottom"/>
            <w:hideMark/>
          </w:tcPr>
          <w:p w14:paraId="43E65797" w14:textId="77777777" w:rsidR="007426FC" w:rsidRPr="007426FC" w:rsidRDefault="007426FC" w:rsidP="007426FC">
            <w:pPr>
              <w:jc w:val="center"/>
              <w:rPr>
                <w:rFonts w:ascii="Arial" w:hAnsi="Arial" w:cs="Arial"/>
                <w:b/>
                <w:bCs/>
                <w:sz w:val="18"/>
                <w:szCs w:val="18"/>
                <w:lang w:eastAsia="es-AR"/>
              </w:rPr>
            </w:pPr>
            <w:r w:rsidRPr="007426FC">
              <w:rPr>
                <w:rFonts w:ascii="Arial" w:hAnsi="Arial" w:cs="Arial"/>
                <w:b/>
                <w:bCs/>
                <w:sz w:val="18"/>
                <w:szCs w:val="18"/>
                <w:lang w:eastAsia="es-AR"/>
              </w:rPr>
              <w:t xml:space="preserve"> Cobros </w:t>
            </w:r>
          </w:p>
        </w:tc>
        <w:tc>
          <w:tcPr>
            <w:tcW w:w="1556" w:type="dxa"/>
            <w:shd w:val="clear" w:color="auto" w:fill="auto"/>
            <w:noWrap/>
            <w:vAlign w:val="bottom"/>
            <w:hideMark/>
          </w:tcPr>
          <w:p w14:paraId="7F62002E" w14:textId="77777777" w:rsidR="007426FC" w:rsidRPr="007426FC" w:rsidRDefault="007426FC" w:rsidP="007426FC">
            <w:pPr>
              <w:jc w:val="center"/>
              <w:rPr>
                <w:rFonts w:ascii="Arial" w:hAnsi="Arial" w:cs="Arial"/>
                <w:b/>
                <w:bCs/>
                <w:sz w:val="18"/>
                <w:szCs w:val="18"/>
                <w:lang w:eastAsia="es-AR"/>
              </w:rPr>
            </w:pPr>
            <w:r w:rsidRPr="007426FC">
              <w:rPr>
                <w:rFonts w:ascii="Arial" w:hAnsi="Arial" w:cs="Arial"/>
                <w:b/>
                <w:bCs/>
                <w:sz w:val="18"/>
                <w:szCs w:val="18"/>
                <w:lang w:eastAsia="es-AR"/>
              </w:rPr>
              <w:t>Pagos</w:t>
            </w:r>
          </w:p>
        </w:tc>
        <w:tc>
          <w:tcPr>
            <w:tcW w:w="1265" w:type="dxa"/>
            <w:vMerge/>
            <w:vAlign w:val="center"/>
            <w:hideMark/>
          </w:tcPr>
          <w:p w14:paraId="6DADEF67" w14:textId="77777777" w:rsidR="007426FC" w:rsidRPr="007426FC" w:rsidRDefault="007426FC" w:rsidP="007426FC">
            <w:pPr>
              <w:rPr>
                <w:rFonts w:ascii="Arial" w:hAnsi="Arial" w:cs="Arial"/>
                <w:b/>
                <w:bCs/>
                <w:sz w:val="18"/>
                <w:szCs w:val="18"/>
                <w:lang w:eastAsia="es-AR"/>
              </w:rPr>
            </w:pPr>
          </w:p>
        </w:tc>
        <w:tc>
          <w:tcPr>
            <w:tcW w:w="1047" w:type="dxa"/>
            <w:vMerge/>
            <w:vAlign w:val="center"/>
            <w:hideMark/>
          </w:tcPr>
          <w:p w14:paraId="44C624A6" w14:textId="77777777" w:rsidR="007426FC" w:rsidRPr="007426FC" w:rsidRDefault="007426FC" w:rsidP="007426FC">
            <w:pPr>
              <w:rPr>
                <w:rFonts w:ascii="Arial" w:hAnsi="Arial" w:cs="Arial"/>
                <w:b/>
                <w:bCs/>
                <w:sz w:val="18"/>
                <w:szCs w:val="18"/>
                <w:lang w:eastAsia="es-AR"/>
              </w:rPr>
            </w:pPr>
          </w:p>
        </w:tc>
      </w:tr>
      <w:tr w:rsidR="00E43368" w:rsidRPr="007426FC" w14:paraId="6DA11CB3" w14:textId="77777777" w:rsidTr="006E1AF7">
        <w:trPr>
          <w:trHeight w:val="240"/>
        </w:trPr>
        <w:tc>
          <w:tcPr>
            <w:tcW w:w="3119" w:type="dxa"/>
            <w:shd w:val="clear" w:color="auto" w:fill="auto"/>
            <w:noWrap/>
            <w:vAlign w:val="bottom"/>
            <w:hideMark/>
          </w:tcPr>
          <w:p w14:paraId="364CAA52" w14:textId="77777777" w:rsidR="00E43368" w:rsidRPr="007426FC" w:rsidRDefault="00E43368" w:rsidP="00E43368">
            <w:pPr>
              <w:rPr>
                <w:rFonts w:ascii="Arial" w:hAnsi="Arial" w:cs="Arial"/>
                <w:sz w:val="18"/>
                <w:szCs w:val="18"/>
                <w:lang w:eastAsia="es-AR"/>
              </w:rPr>
            </w:pPr>
            <w:r w:rsidRPr="007426FC">
              <w:rPr>
                <w:rFonts w:ascii="Arial" w:hAnsi="Arial" w:cs="Arial"/>
                <w:sz w:val="18"/>
                <w:szCs w:val="18"/>
                <w:lang w:eastAsia="es-AR"/>
              </w:rPr>
              <w:t>Aporte de Capital</w:t>
            </w:r>
          </w:p>
        </w:tc>
        <w:tc>
          <w:tcPr>
            <w:tcW w:w="1261" w:type="dxa"/>
            <w:shd w:val="clear" w:color="auto" w:fill="auto"/>
            <w:noWrap/>
            <w:vAlign w:val="bottom"/>
            <w:hideMark/>
          </w:tcPr>
          <w:p w14:paraId="362ED97E" w14:textId="107E8E21" w:rsidR="00E43368" w:rsidRPr="007426FC" w:rsidRDefault="00E43368" w:rsidP="006E1AF7">
            <w:pPr>
              <w:jc w:val="right"/>
              <w:rPr>
                <w:rFonts w:ascii="Arial" w:hAnsi="Arial" w:cs="Arial"/>
                <w:sz w:val="18"/>
                <w:szCs w:val="18"/>
                <w:lang w:eastAsia="es-AR"/>
              </w:rPr>
            </w:pPr>
            <w:r>
              <w:rPr>
                <w:rFonts w:ascii="Arial" w:hAnsi="Arial" w:cs="Arial"/>
                <w:sz w:val="18"/>
                <w:szCs w:val="18"/>
              </w:rPr>
              <w:t>1.861.000</w:t>
            </w:r>
          </w:p>
        </w:tc>
        <w:tc>
          <w:tcPr>
            <w:tcW w:w="1429" w:type="dxa"/>
            <w:shd w:val="clear" w:color="auto" w:fill="auto"/>
            <w:noWrap/>
            <w:vAlign w:val="bottom"/>
            <w:hideMark/>
          </w:tcPr>
          <w:p w14:paraId="31767F36" w14:textId="63DFCE66" w:rsidR="00E43368" w:rsidRPr="007426FC" w:rsidRDefault="00E43368" w:rsidP="006E1AF7">
            <w:pPr>
              <w:jc w:val="right"/>
              <w:rPr>
                <w:rFonts w:ascii="Arial" w:hAnsi="Arial" w:cs="Arial"/>
                <w:sz w:val="18"/>
                <w:szCs w:val="18"/>
                <w:lang w:eastAsia="es-AR"/>
              </w:rPr>
            </w:pPr>
            <w:r>
              <w:rPr>
                <w:rFonts w:ascii="Arial" w:hAnsi="Arial" w:cs="Arial"/>
                <w:sz w:val="18"/>
                <w:szCs w:val="18"/>
              </w:rPr>
              <w:t>475.000</w:t>
            </w:r>
          </w:p>
        </w:tc>
        <w:tc>
          <w:tcPr>
            <w:tcW w:w="1556" w:type="dxa"/>
            <w:shd w:val="clear" w:color="auto" w:fill="auto"/>
            <w:noWrap/>
            <w:vAlign w:val="bottom"/>
            <w:hideMark/>
          </w:tcPr>
          <w:p w14:paraId="1E753363" w14:textId="7D9D88AE" w:rsidR="00E43368" w:rsidRPr="006E1AF7" w:rsidRDefault="00E43368" w:rsidP="006E1AF7">
            <w:pPr>
              <w:jc w:val="right"/>
              <w:rPr>
                <w:rFonts w:ascii="Arial" w:hAnsi="Arial" w:cs="Arial"/>
                <w:sz w:val="18"/>
                <w:szCs w:val="18"/>
                <w:lang w:eastAsia="es-AR"/>
              </w:rPr>
            </w:pPr>
            <w:r>
              <w:rPr>
                <w:rFonts w:ascii="Arial" w:hAnsi="Arial" w:cs="Arial"/>
                <w:sz w:val="18"/>
                <w:szCs w:val="18"/>
              </w:rPr>
              <w:t>-</w:t>
            </w:r>
          </w:p>
        </w:tc>
        <w:tc>
          <w:tcPr>
            <w:tcW w:w="1265" w:type="dxa"/>
            <w:shd w:val="clear" w:color="auto" w:fill="auto"/>
            <w:noWrap/>
            <w:vAlign w:val="bottom"/>
            <w:hideMark/>
          </w:tcPr>
          <w:p w14:paraId="114127AC" w14:textId="1A5254B0" w:rsidR="00E43368" w:rsidRPr="006E1AF7" w:rsidRDefault="00E43368" w:rsidP="006E1AF7">
            <w:pPr>
              <w:jc w:val="right"/>
              <w:rPr>
                <w:rFonts w:ascii="Arial" w:hAnsi="Arial" w:cs="Arial"/>
                <w:sz w:val="18"/>
                <w:szCs w:val="18"/>
                <w:lang w:eastAsia="es-AR"/>
              </w:rPr>
            </w:pPr>
            <w:r>
              <w:rPr>
                <w:rFonts w:ascii="Arial" w:hAnsi="Arial" w:cs="Arial"/>
                <w:sz w:val="18"/>
                <w:szCs w:val="18"/>
              </w:rPr>
              <w:t>-</w:t>
            </w:r>
          </w:p>
        </w:tc>
        <w:tc>
          <w:tcPr>
            <w:tcW w:w="1047" w:type="dxa"/>
            <w:shd w:val="clear" w:color="auto" w:fill="auto"/>
            <w:noWrap/>
            <w:vAlign w:val="bottom"/>
            <w:hideMark/>
          </w:tcPr>
          <w:p w14:paraId="0B9BA8A3" w14:textId="632A764A" w:rsidR="00E43368" w:rsidRPr="007426FC" w:rsidRDefault="00E43368" w:rsidP="006E1AF7">
            <w:pPr>
              <w:jc w:val="right"/>
              <w:rPr>
                <w:rFonts w:ascii="Arial" w:hAnsi="Arial" w:cs="Arial"/>
                <w:sz w:val="18"/>
                <w:szCs w:val="18"/>
                <w:lang w:eastAsia="es-AR"/>
              </w:rPr>
            </w:pPr>
            <w:r>
              <w:rPr>
                <w:rFonts w:ascii="Arial" w:hAnsi="Arial" w:cs="Arial"/>
                <w:sz w:val="18"/>
                <w:szCs w:val="18"/>
              </w:rPr>
              <w:t>2.336.000</w:t>
            </w:r>
          </w:p>
        </w:tc>
      </w:tr>
      <w:tr w:rsidR="00E43368" w:rsidRPr="007426FC" w14:paraId="4012D8F5" w14:textId="77777777" w:rsidTr="006E1AF7">
        <w:trPr>
          <w:trHeight w:val="240"/>
        </w:trPr>
        <w:tc>
          <w:tcPr>
            <w:tcW w:w="3119" w:type="dxa"/>
            <w:shd w:val="clear" w:color="auto" w:fill="auto"/>
            <w:noWrap/>
            <w:vAlign w:val="bottom"/>
            <w:hideMark/>
          </w:tcPr>
          <w:p w14:paraId="58D6F4AA" w14:textId="77777777" w:rsidR="00E43368" w:rsidRPr="007426FC" w:rsidRDefault="00E43368" w:rsidP="00E43368">
            <w:pPr>
              <w:rPr>
                <w:rFonts w:ascii="Arial" w:hAnsi="Arial" w:cs="Arial"/>
                <w:sz w:val="18"/>
                <w:szCs w:val="18"/>
                <w:lang w:eastAsia="es-AR"/>
              </w:rPr>
            </w:pPr>
            <w:r w:rsidRPr="007426FC">
              <w:rPr>
                <w:rFonts w:ascii="Arial" w:hAnsi="Arial" w:cs="Arial"/>
                <w:sz w:val="18"/>
                <w:szCs w:val="18"/>
                <w:lang w:eastAsia="es-AR"/>
              </w:rPr>
              <w:t>Obligaciones negociables emitidas</w:t>
            </w:r>
          </w:p>
        </w:tc>
        <w:tc>
          <w:tcPr>
            <w:tcW w:w="1261" w:type="dxa"/>
            <w:shd w:val="clear" w:color="auto" w:fill="auto"/>
            <w:noWrap/>
            <w:vAlign w:val="bottom"/>
            <w:hideMark/>
          </w:tcPr>
          <w:p w14:paraId="4974FE7D" w14:textId="442D5E99" w:rsidR="00E43368" w:rsidRPr="007426FC" w:rsidRDefault="00E43368" w:rsidP="006E1AF7">
            <w:pPr>
              <w:jc w:val="right"/>
              <w:rPr>
                <w:rFonts w:ascii="Arial" w:hAnsi="Arial" w:cs="Arial"/>
                <w:sz w:val="18"/>
                <w:szCs w:val="18"/>
                <w:lang w:eastAsia="es-AR"/>
              </w:rPr>
            </w:pPr>
            <w:r>
              <w:rPr>
                <w:rFonts w:ascii="Arial" w:hAnsi="Arial" w:cs="Arial"/>
                <w:sz w:val="18"/>
                <w:szCs w:val="18"/>
              </w:rPr>
              <w:t>9.228.033</w:t>
            </w:r>
          </w:p>
        </w:tc>
        <w:tc>
          <w:tcPr>
            <w:tcW w:w="1429" w:type="dxa"/>
            <w:shd w:val="clear" w:color="auto" w:fill="auto"/>
            <w:noWrap/>
            <w:vAlign w:val="bottom"/>
            <w:hideMark/>
          </w:tcPr>
          <w:p w14:paraId="36EBF6F2" w14:textId="6F7730B9" w:rsidR="00E43368" w:rsidRPr="007426FC" w:rsidRDefault="00E43368" w:rsidP="006E1AF7">
            <w:pPr>
              <w:jc w:val="right"/>
              <w:rPr>
                <w:rFonts w:ascii="Arial" w:hAnsi="Arial" w:cs="Arial"/>
                <w:sz w:val="18"/>
                <w:szCs w:val="18"/>
                <w:lang w:eastAsia="es-AR"/>
              </w:rPr>
            </w:pPr>
            <w:r>
              <w:rPr>
                <w:rFonts w:ascii="Arial" w:hAnsi="Arial" w:cs="Arial"/>
                <w:sz w:val="18"/>
                <w:szCs w:val="18"/>
              </w:rPr>
              <w:t>6.693.667</w:t>
            </w:r>
          </w:p>
        </w:tc>
        <w:tc>
          <w:tcPr>
            <w:tcW w:w="1556" w:type="dxa"/>
            <w:shd w:val="clear" w:color="auto" w:fill="auto"/>
            <w:noWrap/>
            <w:vAlign w:val="bottom"/>
            <w:hideMark/>
          </w:tcPr>
          <w:p w14:paraId="21DE678F" w14:textId="53B67D1B" w:rsidR="00E43368" w:rsidRPr="007426FC" w:rsidRDefault="00E43368" w:rsidP="006E1AF7">
            <w:pPr>
              <w:jc w:val="right"/>
              <w:rPr>
                <w:rFonts w:ascii="Arial" w:hAnsi="Arial" w:cs="Arial"/>
                <w:sz w:val="18"/>
                <w:szCs w:val="18"/>
                <w:lang w:eastAsia="es-AR"/>
              </w:rPr>
            </w:pPr>
            <w:r>
              <w:rPr>
                <w:rFonts w:ascii="Arial" w:hAnsi="Arial" w:cs="Arial"/>
                <w:sz w:val="18"/>
                <w:szCs w:val="18"/>
              </w:rPr>
              <w:t>-10.573.129</w:t>
            </w:r>
          </w:p>
        </w:tc>
        <w:tc>
          <w:tcPr>
            <w:tcW w:w="1265" w:type="dxa"/>
            <w:shd w:val="clear" w:color="auto" w:fill="auto"/>
            <w:noWrap/>
            <w:vAlign w:val="bottom"/>
            <w:hideMark/>
          </w:tcPr>
          <w:p w14:paraId="6C37950A" w14:textId="4516C585" w:rsidR="00E43368" w:rsidRPr="007426FC" w:rsidRDefault="00E43368" w:rsidP="006E1AF7">
            <w:pPr>
              <w:jc w:val="right"/>
              <w:rPr>
                <w:rFonts w:ascii="Arial" w:hAnsi="Arial" w:cs="Arial"/>
                <w:sz w:val="18"/>
                <w:szCs w:val="18"/>
                <w:lang w:eastAsia="es-AR"/>
              </w:rPr>
            </w:pPr>
            <w:r>
              <w:rPr>
                <w:rFonts w:ascii="Arial" w:hAnsi="Arial" w:cs="Arial"/>
                <w:sz w:val="18"/>
                <w:szCs w:val="18"/>
              </w:rPr>
              <w:t>722.346</w:t>
            </w:r>
          </w:p>
        </w:tc>
        <w:tc>
          <w:tcPr>
            <w:tcW w:w="1047" w:type="dxa"/>
            <w:shd w:val="clear" w:color="auto" w:fill="auto"/>
            <w:noWrap/>
            <w:vAlign w:val="bottom"/>
            <w:hideMark/>
          </w:tcPr>
          <w:p w14:paraId="2B5D9466" w14:textId="5B2B7A27" w:rsidR="00E43368" w:rsidRPr="007426FC" w:rsidRDefault="00E43368" w:rsidP="006E1AF7">
            <w:pPr>
              <w:jc w:val="right"/>
              <w:rPr>
                <w:rFonts w:ascii="Arial" w:hAnsi="Arial" w:cs="Arial"/>
                <w:sz w:val="18"/>
                <w:szCs w:val="18"/>
                <w:lang w:eastAsia="es-AR"/>
              </w:rPr>
            </w:pPr>
            <w:r>
              <w:rPr>
                <w:rFonts w:ascii="Arial" w:hAnsi="Arial" w:cs="Arial"/>
                <w:sz w:val="18"/>
                <w:szCs w:val="18"/>
              </w:rPr>
              <w:t>6.070.917</w:t>
            </w:r>
          </w:p>
        </w:tc>
      </w:tr>
      <w:tr w:rsidR="00E43368" w:rsidRPr="007426FC" w14:paraId="10476990" w14:textId="77777777" w:rsidTr="006E1AF7">
        <w:trPr>
          <w:trHeight w:val="240"/>
        </w:trPr>
        <w:tc>
          <w:tcPr>
            <w:tcW w:w="3119" w:type="dxa"/>
            <w:shd w:val="clear" w:color="auto" w:fill="auto"/>
            <w:noWrap/>
            <w:vAlign w:val="bottom"/>
            <w:hideMark/>
          </w:tcPr>
          <w:p w14:paraId="2E1A08EB" w14:textId="77777777" w:rsidR="00E43368" w:rsidRPr="007426FC" w:rsidRDefault="00E43368" w:rsidP="00E43368">
            <w:pPr>
              <w:rPr>
                <w:rFonts w:ascii="Arial" w:hAnsi="Arial" w:cs="Arial"/>
                <w:sz w:val="18"/>
                <w:szCs w:val="18"/>
                <w:lang w:eastAsia="es-AR"/>
              </w:rPr>
            </w:pPr>
            <w:r w:rsidRPr="007426FC">
              <w:rPr>
                <w:rFonts w:ascii="Arial" w:hAnsi="Arial" w:cs="Arial"/>
                <w:sz w:val="18"/>
                <w:szCs w:val="18"/>
                <w:lang w:eastAsia="es-AR"/>
              </w:rPr>
              <w:t>Obligaciones negociables subordinadas</w:t>
            </w:r>
          </w:p>
        </w:tc>
        <w:tc>
          <w:tcPr>
            <w:tcW w:w="1261" w:type="dxa"/>
            <w:shd w:val="clear" w:color="auto" w:fill="auto"/>
            <w:noWrap/>
            <w:vAlign w:val="bottom"/>
            <w:hideMark/>
          </w:tcPr>
          <w:p w14:paraId="37D4F803" w14:textId="246E182B" w:rsidR="00E43368" w:rsidRPr="007426FC" w:rsidRDefault="00E43368" w:rsidP="006E1AF7">
            <w:pPr>
              <w:jc w:val="right"/>
              <w:rPr>
                <w:rFonts w:ascii="Arial" w:hAnsi="Arial" w:cs="Arial"/>
                <w:sz w:val="18"/>
                <w:szCs w:val="18"/>
                <w:lang w:eastAsia="es-AR"/>
              </w:rPr>
            </w:pPr>
            <w:r>
              <w:rPr>
                <w:rFonts w:ascii="Arial" w:hAnsi="Arial" w:cs="Arial"/>
                <w:sz w:val="18"/>
                <w:szCs w:val="18"/>
              </w:rPr>
              <w:t>1.383.817</w:t>
            </w:r>
          </w:p>
        </w:tc>
        <w:tc>
          <w:tcPr>
            <w:tcW w:w="1429" w:type="dxa"/>
            <w:shd w:val="clear" w:color="auto" w:fill="auto"/>
            <w:noWrap/>
            <w:vAlign w:val="bottom"/>
            <w:hideMark/>
          </w:tcPr>
          <w:p w14:paraId="00EC7807" w14:textId="130AB57D" w:rsidR="00E43368" w:rsidRPr="007426FC" w:rsidRDefault="00E43368" w:rsidP="006E1AF7">
            <w:pPr>
              <w:jc w:val="right"/>
              <w:rPr>
                <w:rFonts w:ascii="Arial" w:hAnsi="Arial" w:cs="Arial"/>
                <w:sz w:val="18"/>
                <w:szCs w:val="18"/>
                <w:lang w:eastAsia="es-AR"/>
              </w:rPr>
            </w:pPr>
            <w:r>
              <w:rPr>
                <w:rFonts w:ascii="Arial" w:hAnsi="Arial" w:cs="Arial"/>
                <w:sz w:val="18"/>
                <w:szCs w:val="18"/>
              </w:rPr>
              <w:t>-</w:t>
            </w:r>
          </w:p>
        </w:tc>
        <w:tc>
          <w:tcPr>
            <w:tcW w:w="1556" w:type="dxa"/>
            <w:shd w:val="clear" w:color="auto" w:fill="auto"/>
            <w:noWrap/>
            <w:vAlign w:val="bottom"/>
            <w:hideMark/>
          </w:tcPr>
          <w:p w14:paraId="4D2B1641" w14:textId="08836BC9" w:rsidR="00E43368" w:rsidRPr="007426FC" w:rsidRDefault="00E43368" w:rsidP="006E1AF7">
            <w:pPr>
              <w:jc w:val="right"/>
              <w:rPr>
                <w:rFonts w:ascii="Arial" w:hAnsi="Arial" w:cs="Arial"/>
                <w:sz w:val="18"/>
                <w:szCs w:val="18"/>
                <w:lang w:eastAsia="es-AR"/>
              </w:rPr>
            </w:pPr>
            <w:r>
              <w:rPr>
                <w:rFonts w:ascii="Arial" w:hAnsi="Arial" w:cs="Arial"/>
                <w:sz w:val="18"/>
                <w:szCs w:val="18"/>
              </w:rPr>
              <w:t>-98.024</w:t>
            </w:r>
          </w:p>
        </w:tc>
        <w:tc>
          <w:tcPr>
            <w:tcW w:w="1265" w:type="dxa"/>
            <w:shd w:val="clear" w:color="auto" w:fill="auto"/>
            <w:noWrap/>
            <w:vAlign w:val="bottom"/>
            <w:hideMark/>
          </w:tcPr>
          <w:p w14:paraId="09018E30" w14:textId="6DB77888" w:rsidR="00E43368" w:rsidRPr="007426FC" w:rsidRDefault="00E43368" w:rsidP="006E1AF7">
            <w:pPr>
              <w:jc w:val="right"/>
              <w:rPr>
                <w:rFonts w:ascii="Arial" w:hAnsi="Arial" w:cs="Arial"/>
                <w:sz w:val="18"/>
                <w:szCs w:val="18"/>
                <w:lang w:eastAsia="es-AR"/>
              </w:rPr>
            </w:pPr>
            <w:r>
              <w:rPr>
                <w:rFonts w:ascii="Arial" w:hAnsi="Arial" w:cs="Arial"/>
                <w:sz w:val="18"/>
                <w:szCs w:val="18"/>
              </w:rPr>
              <w:t>834.095</w:t>
            </w:r>
          </w:p>
        </w:tc>
        <w:tc>
          <w:tcPr>
            <w:tcW w:w="1047" w:type="dxa"/>
            <w:shd w:val="clear" w:color="auto" w:fill="auto"/>
            <w:noWrap/>
            <w:vAlign w:val="bottom"/>
            <w:hideMark/>
          </w:tcPr>
          <w:p w14:paraId="1BB8815C" w14:textId="08758845" w:rsidR="00E43368" w:rsidRPr="007426FC" w:rsidRDefault="00E43368" w:rsidP="006E1AF7">
            <w:pPr>
              <w:jc w:val="right"/>
              <w:rPr>
                <w:rFonts w:ascii="Arial" w:hAnsi="Arial" w:cs="Arial"/>
                <w:sz w:val="18"/>
                <w:szCs w:val="18"/>
                <w:lang w:eastAsia="es-AR"/>
              </w:rPr>
            </w:pPr>
            <w:r>
              <w:rPr>
                <w:rFonts w:ascii="Arial" w:hAnsi="Arial" w:cs="Arial"/>
                <w:sz w:val="18"/>
                <w:szCs w:val="18"/>
              </w:rPr>
              <w:t>2.119.888</w:t>
            </w:r>
          </w:p>
        </w:tc>
      </w:tr>
      <w:tr w:rsidR="00E43368" w:rsidRPr="007426FC" w14:paraId="20B68D20" w14:textId="77777777" w:rsidTr="006E1AF7">
        <w:trPr>
          <w:trHeight w:val="240"/>
        </w:trPr>
        <w:tc>
          <w:tcPr>
            <w:tcW w:w="3119" w:type="dxa"/>
            <w:shd w:val="clear" w:color="auto" w:fill="auto"/>
            <w:noWrap/>
            <w:vAlign w:val="bottom"/>
            <w:hideMark/>
          </w:tcPr>
          <w:p w14:paraId="1EA96333" w14:textId="77777777" w:rsidR="00E43368" w:rsidRPr="007426FC" w:rsidRDefault="00E43368" w:rsidP="00E43368">
            <w:pPr>
              <w:rPr>
                <w:rFonts w:ascii="Arial" w:hAnsi="Arial" w:cs="Arial"/>
                <w:sz w:val="18"/>
                <w:szCs w:val="18"/>
                <w:lang w:eastAsia="es-AR"/>
              </w:rPr>
            </w:pPr>
            <w:r w:rsidRPr="007426FC">
              <w:rPr>
                <w:rFonts w:ascii="Arial" w:hAnsi="Arial" w:cs="Arial"/>
                <w:sz w:val="18"/>
                <w:szCs w:val="18"/>
                <w:lang w:eastAsia="es-AR"/>
              </w:rPr>
              <w:t>Financiaciones recibidas del BCRA y otras instituciones financieras</w:t>
            </w:r>
          </w:p>
        </w:tc>
        <w:tc>
          <w:tcPr>
            <w:tcW w:w="1261" w:type="dxa"/>
            <w:shd w:val="clear" w:color="auto" w:fill="auto"/>
            <w:noWrap/>
            <w:vAlign w:val="bottom"/>
            <w:hideMark/>
          </w:tcPr>
          <w:p w14:paraId="634F639B" w14:textId="11967D93" w:rsidR="00E43368" w:rsidRPr="007426FC" w:rsidRDefault="00E43368" w:rsidP="006E1AF7">
            <w:pPr>
              <w:jc w:val="right"/>
              <w:rPr>
                <w:rFonts w:ascii="Arial" w:hAnsi="Arial" w:cs="Arial"/>
                <w:sz w:val="18"/>
                <w:szCs w:val="18"/>
                <w:lang w:eastAsia="es-AR"/>
              </w:rPr>
            </w:pPr>
            <w:r>
              <w:rPr>
                <w:rFonts w:ascii="Arial" w:hAnsi="Arial" w:cs="Arial"/>
                <w:sz w:val="18"/>
                <w:szCs w:val="18"/>
              </w:rPr>
              <w:t>8.016.105</w:t>
            </w:r>
          </w:p>
        </w:tc>
        <w:tc>
          <w:tcPr>
            <w:tcW w:w="1429" w:type="dxa"/>
            <w:shd w:val="clear" w:color="auto" w:fill="auto"/>
            <w:noWrap/>
            <w:vAlign w:val="bottom"/>
            <w:hideMark/>
          </w:tcPr>
          <w:p w14:paraId="48D01197" w14:textId="4C68CE6F" w:rsidR="00E43368" w:rsidRPr="007426FC" w:rsidRDefault="00E43368" w:rsidP="006E1AF7">
            <w:pPr>
              <w:jc w:val="right"/>
              <w:rPr>
                <w:rFonts w:ascii="Arial" w:hAnsi="Arial" w:cs="Arial"/>
                <w:sz w:val="18"/>
                <w:szCs w:val="18"/>
                <w:lang w:eastAsia="es-AR"/>
              </w:rPr>
            </w:pPr>
            <w:r>
              <w:rPr>
                <w:rFonts w:ascii="Arial" w:hAnsi="Arial" w:cs="Arial"/>
                <w:sz w:val="18"/>
                <w:szCs w:val="18"/>
              </w:rPr>
              <w:t>87.980.035</w:t>
            </w:r>
          </w:p>
        </w:tc>
        <w:tc>
          <w:tcPr>
            <w:tcW w:w="1556" w:type="dxa"/>
            <w:shd w:val="clear" w:color="auto" w:fill="auto"/>
            <w:noWrap/>
            <w:vAlign w:val="bottom"/>
            <w:hideMark/>
          </w:tcPr>
          <w:p w14:paraId="34448FFD" w14:textId="65E4432D" w:rsidR="00E43368" w:rsidRPr="007426FC" w:rsidRDefault="00E43368" w:rsidP="006E1AF7">
            <w:pPr>
              <w:jc w:val="right"/>
              <w:rPr>
                <w:rFonts w:ascii="Arial" w:hAnsi="Arial" w:cs="Arial"/>
                <w:sz w:val="18"/>
                <w:szCs w:val="18"/>
                <w:lang w:eastAsia="es-AR"/>
              </w:rPr>
            </w:pPr>
            <w:r>
              <w:rPr>
                <w:rFonts w:ascii="Arial" w:hAnsi="Arial" w:cs="Arial"/>
                <w:sz w:val="18"/>
                <w:szCs w:val="18"/>
              </w:rPr>
              <w:t>-86.978.757</w:t>
            </w:r>
          </w:p>
        </w:tc>
        <w:tc>
          <w:tcPr>
            <w:tcW w:w="1265" w:type="dxa"/>
            <w:shd w:val="clear" w:color="auto" w:fill="auto"/>
            <w:noWrap/>
            <w:vAlign w:val="bottom"/>
            <w:hideMark/>
          </w:tcPr>
          <w:p w14:paraId="4554B45A" w14:textId="4249D209" w:rsidR="00E43368" w:rsidRPr="007426FC" w:rsidRDefault="00E43368" w:rsidP="006E1AF7">
            <w:pPr>
              <w:jc w:val="right"/>
              <w:rPr>
                <w:rFonts w:ascii="Arial" w:hAnsi="Arial" w:cs="Arial"/>
                <w:sz w:val="18"/>
                <w:szCs w:val="18"/>
                <w:lang w:eastAsia="es-AR"/>
              </w:rPr>
            </w:pPr>
            <w:r>
              <w:rPr>
                <w:rFonts w:ascii="Arial" w:hAnsi="Arial" w:cs="Arial"/>
                <w:sz w:val="18"/>
                <w:szCs w:val="18"/>
              </w:rPr>
              <w:t>-2.775</w:t>
            </w:r>
          </w:p>
        </w:tc>
        <w:tc>
          <w:tcPr>
            <w:tcW w:w="1047" w:type="dxa"/>
            <w:shd w:val="clear" w:color="auto" w:fill="auto"/>
            <w:noWrap/>
            <w:vAlign w:val="bottom"/>
            <w:hideMark/>
          </w:tcPr>
          <w:p w14:paraId="5D97B98F" w14:textId="448F0F8F" w:rsidR="00E43368" w:rsidRPr="007426FC" w:rsidRDefault="00E43368" w:rsidP="006E1AF7">
            <w:pPr>
              <w:jc w:val="right"/>
              <w:rPr>
                <w:rFonts w:ascii="Arial" w:hAnsi="Arial" w:cs="Arial"/>
                <w:sz w:val="18"/>
                <w:szCs w:val="18"/>
                <w:lang w:eastAsia="es-AR"/>
              </w:rPr>
            </w:pPr>
            <w:r>
              <w:rPr>
                <w:rFonts w:ascii="Arial" w:hAnsi="Arial" w:cs="Arial"/>
                <w:sz w:val="18"/>
                <w:szCs w:val="18"/>
              </w:rPr>
              <w:t>9.014.608</w:t>
            </w:r>
          </w:p>
        </w:tc>
      </w:tr>
      <w:tr w:rsidR="00E43368" w:rsidRPr="007426FC" w14:paraId="66F1BCD6" w14:textId="77777777" w:rsidTr="006E1AF7">
        <w:trPr>
          <w:trHeight w:val="240"/>
        </w:trPr>
        <w:tc>
          <w:tcPr>
            <w:tcW w:w="3119" w:type="dxa"/>
            <w:shd w:val="clear" w:color="auto" w:fill="auto"/>
            <w:noWrap/>
            <w:vAlign w:val="bottom"/>
            <w:hideMark/>
          </w:tcPr>
          <w:p w14:paraId="1650C6DD" w14:textId="77777777" w:rsidR="00E43368" w:rsidRPr="00E43368" w:rsidRDefault="00E43368" w:rsidP="00E43368">
            <w:pPr>
              <w:rPr>
                <w:rFonts w:ascii="Arial" w:hAnsi="Arial" w:cs="Arial"/>
                <w:color w:val="000000"/>
                <w:sz w:val="18"/>
                <w:szCs w:val="18"/>
                <w:lang w:eastAsia="es-AR"/>
              </w:rPr>
            </w:pPr>
            <w:r w:rsidRPr="00E43368">
              <w:rPr>
                <w:rFonts w:ascii="Arial" w:hAnsi="Arial" w:cs="Arial"/>
                <w:color w:val="000000"/>
                <w:sz w:val="18"/>
                <w:szCs w:val="18"/>
                <w:lang w:eastAsia="es-AR"/>
              </w:rPr>
              <w:t>Pasivo por arrendamientos Financieros</w:t>
            </w:r>
          </w:p>
        </w:tc>
        <w:tc>
          <w:tcPr>
            <w:tcW w:w="1261" w:type="dxa"/>
            <w:shd w:val="clear" w:color="auto" w:fill="auto"/>
            <w:noWrap/>
            <w:vAlign w:val="bottom"/>
            <w:hideMark/>
          </w:tcPr>
          <w:p w14:paraId="33E9D5A4" w14:textId="46A803CD" w:rsidR="00E43368" w:rsidRPr="00E43368" w:rsidRDefault="00E43368" w:rsidP="006E1AF7">
            <w:pPr>
              <w:jc w:val="right"/>
              <w:rPr>
                <w:rFonts w:ascii="Arial" w:hAnsi="Arial" w:cs="Arial"/>
                <w:sz w:val="18"/>
                <w:szCs w:val="18"/>
                <w:lang w:eastAsia="es-AR"/>
              </w:rPr>
            </w:pPr>
            <w:r w:rsidRPr="00E43368">
              <w:rPr>
                <w:rFonts w:ascii="Arial" w:hAnsi="Arial" w:cs="Arial"/>
                <w:sz w:val="18"/>
                <w:szCs w:val="18"/>
              </w:rPr>
              <w:t>-</w:t>
            </w:r>
          </w:p>
        </w:tc>
        <w:tc>
          <w:tcPr>
            <w:tcW w:w="1429" w:type="dxa"/>
            <w:shd w:val="clear" w:color="auto" w:fill="auto"/>
            <w:noWrap/>
            <w:vAlign w:val="bottom"/>
            <w:hideMark/>
          </w:tcPr>
          <w:p w14:paraId="54BCDC0D" w14:textId="3027F15A" w:rsidR="00E43368" w:rsidRPr="00E43368" w:rsidRDefault="00E43368" w:rsidP="006E1AF7">
            <w:pPr>
              <w:jc w:val="right"/>
              <w:rPr>
                <w:rFonts w:ascii="Arial" w:hAnsi="Arial" w:cs="Arial"/>
                <w:sz w:val="18"/>
                <w:szCs w:val="18"/>
                <w:lang w:eastAsia="es-AR"/>
              </w:rPr>
            </w:pPr>
            <w:r w:rsidRPr="00E43368">
              <w:rPr>
                <w:rFonts w:ascii="Arial" w:hAnsi="Arial" w:cs="Arial"/>
                <w:sz w:val="18"/>
                <w:szCs w:val="18"/>
              </w:rPr>
              <w:t>-</w:t>
            </w:r>
          </w:p>
        </w:tc>
        <w:tc>
          <w:tcPr>
            <w:tcW w:w="1556" w:type="dxa"/>
            <w:shd w:val="clear" w:color="auto" w:fill="auto"/>
            <w:noWrap/>
            <w:vAlign w:val="bottom"/>
            <w:hideMark/>
          </w:tcPr>
          <w:p w14:paraId="3FA6F9A5" w14:textId="75614BBA" w:rsidR="00E43368" w:rsidRPr="00E43368" w:rsidRDefault="00E43368" w:rsidP="006E1AF7">
            <w:pPr>
              <w:jc w:val="right"/>
              <w:rPr>
                <w:rFonts w:ascii="Arial" w:hAnsi="Arial" w:cs="Arial"/>
                <w:sz w:val="18"/>
                <w:szCs w:val="18"/>
                <w:lang w:eastAsia="es-AR"/>
              </w:rPr>
            </w:pPr>
            <w:r w:rsidRPr="00E43368">
              <w:rPr>
                <w:rFonts w:ascii="Arial" w:hAnsi="Arial" w:cs="Arial"/>
                <w:sz w:val="18"/>
                <w:szCs w:val="18"/>
              </w:rPr>
              <w:t>-995.901</w:t>
            </w:r>
          </w:p>
        </w:tc>
        <w:tc>
          <w:tcPr>
            <w:tcW w:w="1265" w:type="dxa"/>
            <w:shd w:val="clear" w:color="auto" w:fill="auto"/>
            <w:noWrap/>
            <w:vAlign w:val="bottom"/>
            <w:hideMark/>
          </w:tcPr>
          <w:p w14:paraId="03C4014B" w14:textId="31F5F8E4" w:rsidR="00E43368" w:rsidRPr="006E1AF7" w:rsidRDefault="00E43368" w:rsidP="006E1AF7">
            <w:pPr>
              <w:jc w:val="right"/>
              <w:rPr>
                <w:rFonts w:ascii="Arial" w:hAnsi="Arial" w:cs="Arial"/>
                <w:sz w:val="18"/>
                <w:szCs w:val="18"/>
                <w:highlight w:val="yellow"/>
                <w:lang w:eastAsia="es-AR"/>
              </w:rPr>
            </w:pPr>
            <w:r>
              <w:rPr>
                <w:rFonts w:ascii="Arial" w:hAnsi="Arial" w:cs="Arial"/>
                <w:sz w:val="18"/>
                <w:szCs w:val="18"/>
              </w:rPr>
              <w:t>1.942.291</w:t>
            </w:r>
          </w:p>
        </w:tc>
        <w:tc>
          <w:tcPr>
            <w:tcW w:w="1047" w:type="dxa"/>
            <w:shd w:val="clear" w:color="auto" w:fill="auto"/>
            <w:noWrap/>
            <w:vAlign w:val="bottom"/>
            <w:hideMark/>
          </w:tcPr>
          <w:p w14:paraId="11723F44" w14:textId="4D83DAE4" w:rsidR="00E43368" w:rsidRPr="007426FC" w:rsidRDefault="00E43368" w:rsidP="006E1AF7">
            <w:pPr>
              <w:jc w:val="right"/>
              <w:rPr>
                <w:rFonts w:ascii="Arial" w:hAnsi="Arial" w:cs="Arial"/>
                <w:sz w:val="18"/>
                <w:szCs w:val="18"/>
                <w:lang w:eastAsia="es-AR"/>
              </w:rPr>
            </w:pPr>
            <w:r>
              <w:rPr>
                <w:rFonts w:ascii="Arial" w:hAnsi="Arial" w:cs="Arial"/>
                <w:sz w:val="18"/>
                <w:szCs w:val="18"/>
              </w:rPr>
              <w:t>946.390</w:t>
            </w:r>
          </w:p>
        </w:tc>
      </w:tr>
      <w:tr w:rsidR="00E43368" w:rsidRPr="007426FC" w14:paraId="5B736C45" w14:textId="77777777" w:rsidTr="006E1AF7">
        <w:trPr>
          <w:trHeight w:val="240"/>
        </w:trPr>
        <w:tc>
          <w:tcPr>
            <w:tcW w:w="3119" w:type="dxa"/>
            <w:shd w:val="clear" w:color="auto" w:fill="auto"/>
            <w:noWrap/>
            <w:vAlign w:val="bottom"/>
            <w:hideMark/>
          </w:tcPr>
          <w:p w14:paraId="62E6533A" w14:textId="714ABD28" w:rsidR="00E43368" w:rsidRPr="00A059FB" w:rsidRDefault="00B1205B" w:rsidP="00E43368">
            <w:pPr>
              <w:rPr>
                <w:rFonts w:ascii="Arial" w:hAnsi="Arial" w:cs="Arial"/>
                <w:b/>
                <w:sz w:val="18"/>
                <w:szCs w:val="18"/>
                <w:lang w:eastAsia="es-AR"/>
              </w:rPr>
            </w:pPr>
            <w:r w:rsidRPr="00A059FB">
              <w:rPr>
                <w:rFonts w:ascii="Arial" w:hAnsi="Arial" w:cs="Arial"/>
                <w:b/>
                <w:sz w:val="18"/>
                <w:szCs w:val="18"/>
                <w:lang w:eastAsia="es-AR"/>
              </w:rPr>
              <w:t xml:space="preserve">Total </w:t>
            </w:r>
          </w:p>
        </w:tc>
        <w:tc>
          <w:tcPr>
            <w:tcW w:w="1261" w:type="dxa"/>
            <w:shd w:val="clear" w:color="auto" w:fill="auto"/>
            <w:noWrap/>
            <w:vAlign w:val="bottom"/>
            <w:hideMark/>
          </w:tcPr>
          <w:p w14:paraId="3913D115" w14:textId="3AA71A8A" w:rsidR="00E43368" w:rsidRPr="007426FC" w:rsidRDefault="00E43368" w:rsidP="006E1AF7">
            <w:pPr>
              <w:jc w:val="right"/>
              <w:rPr>
                <w:rFonts w:ascii="Arial" w:hAnsi="Arial" w:cs="Arial"/>
                <w:b/>
                <w:bCs/>
                <w:sz w:val="18"/>
                <w:szCs w:val="18"/>
                <w:lang w:eastAsia="es-AR"/>
              </w:rPr>
            </w:pPr>
            <w:r>
              <w:rPr>
                <w:rFonts w:ascii="Arial" w:hAnsi="Arial" w:cs="Arial"/>
                <w:b/>
                <w:bCs/>
                <w:sz w:val="18"/>
                <w:szCs w:val="18"/>
              </w:rPr>
              <w:t>20.488.955</w:t>
            </w:r>
          </w:p>
        </w:tc>
        <w:tc>
          <w:tcPr>
            <w:tcW w:w="1429" w:type="dxa"/>
            <w:shd w:val="clear" w:color="auto" w:fill="auto"/>
            <w:noWrap/>
            <w:vAlign w:val="bottom"/>
            <w:hideMark/>
          </w:tcPr>
          <w:p w14:paraId="2CE75455" w14:textId="40F24116" w:rsidR="00E43368" w:rsidRPr="007426FC" w:rsidRDefault="00E43368" w:rsidP="006E1AF7">
            <w:pPr>
              <w:jc w:val="right"/>
              <w:rPr>
                <w:rFonts w:ascii="Arial" w:hAnsi="Arial" w:cs="Arial"/>
                <w:b/>
                <w:bCs/>
                <w:sz w:val="18"/>
                <w:szCs w:val="18"/>
                <w:lang w:eastAsia="es-AR"/>
              </w:rPr>
            </w:pPr>
            <w:r>
              <w:rPr>
                <w:rFonts w:ascii="Arial" w:hAnsi="Arial" w:cs="Arial"/>
                <w:b/>
                <w:bCs/>
                <w:sz w:val="18"/>
                <w:szCs w:val="18"/>
              </w:rPr>
              <w:t>95.148.702</w:t>
            </w:r>
          </w:p>
        </w:tc>
        <w:tc>
          <w:tcPr>
            <w:tcW w:w="1556" w:type="dxa"/>
            <w:shd w:val="clear" w:color="auto" w:fill="auto"/>
            <w:noWrap/>
            <w:vAlign w:val="bottom"/>
            <w:hideMark/>
          </w:tcPr>
          <w:p w14:paraId="74FB466B" w14:textId="2E3885DA" w:rsidR="00E43368" w:rsidRPr="007426FC" w:rsidRDefault="00E43368" w:rsidP="006E1AF7">
            <w:pPr>
              <w:jc w:val="right"/>
              <w:rPr>
                <w:rFonts w:ascii="Arial" w:hAnsi="Arial" w:cs="Arial"/>
                <w:b/>
                <w:bCs/>
                <w:sz w:val="18"/>
                <w:szCs w:val="18"/>
                <w:lang w:eastAsia="es-AR"/>
              </w:rPr>
            </w:pPr>
            <w:r>
              <w:rPr>
                <w:rFonts w:ascii="Arial" w:hAnsi="Arial" w:cs="Arial"/>
                <w:b/>
                <w:bCs/>
                <w:sz w:val="18"/>
                <w:szCs w:val="18"/>
              </w:rPr>
              <w:t>-98.645.810</w:t>
            </w:r>
          </w:p>
        </w:tc>
        <w:tc>
          <w:tcPr>
            <w:tcW w:w="1265" w:type="dxa"/>
            <w:shd w:val="clear" w:color="auto" w:fill="auto"/>
            <w:noWrap/>
            <w:vAlign w:val="bottom"/>
            <w:hideMark/>
          </w:tcPr>
          <w:p w14:paraId="66C97ECA" w14:textId="5133E551" w:rsidR="00E43368" w:rsidRPr="007426FC" w:rsidRDefault="00E43368" w:rsidP="006E1AF7">
            <w:pPr>
              <w:jc w:val="right"/>
              <w:rPr>
                <w:rFonts w:ascii="Arial" w:hAnsi="Arial" w:cs="Arial"/>
                <w:b/>
                <w:bCs/>
                <w:sz w:val="18"/>
                <w:szCs w:val="18"/>
                <w:lang w:eastAsia="es-AR"/>
              </w:rPr>
            </w:pPr>
            <w:r>
              <w:rPr>
                <w:rFonts w:ascii="Arial" w:hAnsi="Arial" w:cs="Arial"/>
                <w:b/>
                <w:bCs/>
                <w:sz w:val="18"/>
                <w:szCs w:val="18"/>
              </w:rPr>
              <w:t>3.495.957</w:t>
            </w:r>
          </w:p>
        </w:tc>
        <w:tc>
          <w:tcPr>
            <w:tcW w:w="1047" w:type="dxa"/>
            <w:shd w:val="clear" w:color="auto" w:fill="auto"/>
            <w:noWrap/>
            <w:vAlign w:val="bottom"/>
            <w:hideMark/>
          </w:tcPr>
          <w:p w14:paraId="5B11F867" w14:textId="172F455E" w:rsidR="00E43368" w:rsidRPr="007426FC" w:rsidRDefault="00E43368" w:rsidP="006E1AF7">
            <w:pPr>
              <w:jc w:val="right"/>
              <w:rPr>
                <w:rFonts w:ascii="Arial" w:hAnsi="Arial" w:cs="Arial"/>
                <w:b/>
                <w:bCs/>
                <w:sz w:val="18"/>
                <w:szCs w:val="18"/>
                <w:lang w:eastAsia="es-AR"/>
              </w:rPr>
            </w:pPr>
            <w:r>
              <w:rPr>
                <w:rFonts w:ascii="Arial" w:hAnsi="Arial" w:cs="Arial"/>
                <w:b/>
                <w:bCs/>
                <w:sz w:val="18"/>
                <w:szCs w:val="18"/>
              </w:rPr>
              <w:t>20.487.803</w:t>
            </w:r>
          </w:p>
        </w:tc>
      </w:tr>
    </w:tbl>
    <w:p w14:paraId="115AB3A1" w14:textId="77777777" w:rsidR="007426FC" w:rsidRDefault="007426FC">
      <w:pPr>
        <w:rPr>
          <w:rFonts w:ascii="Arial" w:eastAsia="Arial" w:hAnsi="Arial" w:cs="Arial"/>
          <w:sz w:val="20"/>
        </w:rPr>
      </w:pPr>
    </w:p>
    <w:p w14:paraId="19956294" w14:textId="77777777" w:rsidR="00931F52" w:rsidRPr="00701F32" w:rsidRDefault="00931F52" w:rsidP="00931F52">
      <w:pPr>
        <w:jc w:val="both"/>
        <w:rPr>
          <w:rFonts w:ascii="Arial" w:eastAsia="SimSun" w:hAnsi="Arial" w:cs="Arial"/>
          <w:b/>
          <w:noProof/>
          <w:color w:val="000000"/>
          <w:sz w:val="20"/>
          <w:lang w:eastAsia="es-AR"/>
        </w:rPr>
      </w:pPr>
      <w:r w:rsidRPr="00701F32">
        <w:rPr>
          <w:rFonts w:ascii="Arial" w:eastAsia="SimSun" w:hAnsi="Arial" w:cs="Arial"/>
          <w:b/>
          <w:noProof/>
          <w:color w:val="000000"/>
          <w:sz w:val="20"/>
          <w:lang w:eastAsia="es-AR"/>
        </w:rPr>
        <w:t xml:space="preserve">1.9 Instrumentos financieros </w:t>
      </w:r>
    </w:p>
    <w:p w14:paraId="12F397DE" w14:textId="77777777" w:rsidR="00931F52" w:rsidRPr="00701F32" w:rsidRDefault="00931F52" w:rsidP="00931F52">
      <w:pPr>
        <w:jc w:val="both"/>
        <w:rPr>
          <w:rFonts w:ascii="Arial" w:eastAsia="Calibri" w:hAnsi="Arial" w:cs="Arial"/>
          <w:noProof/>
          <w:sz w:val="20"/>
        </w:rPr>
      </w:pPr>
    </w:p>
    <w:p w14:paraId="2615D9CB" w14:textId="77777777" w:rsidR="00931F52" w:rsidRPr="00701F32" w:rsidRDefault="00931F52" w:rsidP="00931F52">
      <w:pPr>
        <w:jc w:val="both"/>
        <w:rPr>
          <w:rFonts w:ascii="Arial" w:hAnsi="Arial" w:cs="Arial"/>
          <w:noProof/>
          <w:sz w:val="20"/>
          <w:u w:val="single"/>
        </w:rPr>
      </w:pPr>
      <w:r w:rsidRPr="00701F32">
        <w:rPr>
          <w:rFonts w:ascii="Arial" w:hAnsi="Arial" w:cs="Arial"/>
          <w:noProof/>
          <w:sz w:val="20"/>
          <w:u w:val="single"/>
        </w:rPr>
        <w:t>Reconocimiento Inicial</w:t>
      </w:r>
    </w:p>
    <w:p w14:paraId="2F5118CA" w14:textId="77777777" w:rsidR="00931F52" w:rsidRPr="00701F32" w:rsidRDefault="00931F52" w:rsidP="00931F52">
      <w:pPr>
        <w:jc w:val="both"/>
        <w:rPr>
          <w:rFonts w:ascii="Arial" w:hAnsi="Arial" w:cs="Arial"/>
          <w:noProof/>
          <w:sz w:val="20"/>
          <w:u w:val="single"/>
        </w:rPr>
      </w:pPr>
    </w:p>
    <w:p w14:paraId="5530C144" w14:textId="77777777" w:rsidR="00931F52" w:rsidRPr="00701F32" w:rsidRDefault="00931F52" w:rsidP="00931F52">
      <w:pPr>
        <w:spacing w:after="160" w:line="259" w:lineRule="auto"/>
        <w:jc w:val="both"/>
        <w:rPr>
          <w:rFonts w:ascii="Arial" w:eastAsia="Calibri" w:hAnsi="Arial" w:cs="Arial"/>
          <w:noProof/>
          <w:sz w:val="20"/>
        </w:rPr>
      </w:pPr>
      <w:r w:rsidRPr="00701F32">
        <w:rPr>
          <w:rFonts w:ascii="Arial" w:eastAsia="Calibri" w:hAnsi="Arial" w:cs="Arial"/>
          <w:sz w:val="20"/>
        </w:rPr>
        <w:t>La Entidad reconoce un activo o pasivo financiero en sus Estados Financieros</w:t>
      </w:r>
      <w:r>
        <w:rPr>
          <w:rFonts w:ascii="Arial" w:eastAsia="Calibri" w:hAnsi="Arial" w:cs="Arial"/>
          <w:sz w:val="20"/>
        </w:rPr>
        <w:t xml:space="preserve"> consolidados</w:t>
      </w:r>
      <w:r w:rsidRPr="00701F32">
        <w:rPr>
          <w:rFonts w:ascii="Arial" w:eastAsia="Calibri" w:hAnsi="Arial" w:cs="Arial"/>
          <w:sz w:val="20"/>
        </w:rPr>
        <w:t xml:space="preserve">, según corresponda, cuando se haga parte de las cláusulas contractuales del instrumento financiero en cuestión. </w:t>
      </w:r>
      <w:r w:rsidRPr="00701F32">
        <w:rPr>
          <w:rFonts w:ascii="Arial" w:eastAsia="Calibri" w:hAnsi="Arial" w:cs="Arial"/>
          <w:noProof/>
          <w:sz w:val="20"/>
        </w:rPr>
        <w:t>Las compras y ventas de instrumentos financieros que requieren la entrega de activos dentro del plazo generalmente establecido por regulaciones o condiciones de mercado,son reconocidas en la fecha de negociación de la operación</w:t>
      </w:r>
      <w:r w:rsidRPr="00701F32">
        <w:rPr>
          <w:rFonts w:ascii="Arial" w:eastAsia="Calibri" w:hAnsi="Arial" w:cs="Arial"/>
          <w:noProof/>
          <w:color w:val="00B050"/>
          <w:sz w:val="20"/>
        </w:rPr>
        <w:t xml:space="preserve"> </w:t>
      </w:r>
      <w:r w:rsidRPr="00701F32">
        <w:rPr>
          <w:rFonts w:ascii="Arial" w:eastAsia="Calibri" w:hAnsi="Arial" w:cs="Arial"/>
          <w:noProof/>
          <w:sz w:val="20"/>
        </w:rPr>
        <w:t>en que la Entidad, se compromete a la compra o venta del activo.</w:t>
      </w:r>
    </w:p>
    <w:p w14:paraId="4A733D45"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En el reconocimiento inicial, la Entidad mide los activos o pasivos financieros a su valor razonable. Los instrumentos no reconocidos a valor razonables con cambios en resultados, son registrados al valor razonable ajustado por los costos de transacción que son directamente atribuibles a la propia adquisición o emisi</w:t>
      </w:r>
      <w:r>
        <w:rPr>
          <w:rFonts w:ascii="Arial" w:eastAsia="Calibri" w:hAnsi="Arial" w:cs="Arial"/>
          <w:noProof/>
          <w:sz w:val="20"/>
        </w:rPr>
        <w:t>ó</w:t>
      </w:r>
      <w:r w:rsidRPr="00701F32">
        <w:rPr>
          <w:rFonts w:ascii="Arial" w:eastAsia="Calibri" w:hAnsi="Arial" w:cs="Arial"/>
          <w:noProof/>
          <w:sz w:val="20"/>
        </w:rPr>
        <w:t xml:space="preserve">n de los mismos, tales como honorarios y comisiones. </w:t>
      </w:r>
    </w:p>
    <w:p w14:paraId="42026BAA" w14:textId="77777777" w:rsidR="00931F52" w:rsidRPr="00701F32" w:rsidRDefault="00931F52" w:rsidP="00931F52">
      <w:pPr>
        <w:jc w:val="both"/>
        <w:rPr>
          <w:rFonts w:ascii="Arial" w:eastAsia="Calibri" w:hAnsi="Arial" w:cs="Arial"/>
          <w:noProof/>
          <w:sz w:val="20"/>
        </w:rPr>
      </w:pPr>
    </w:p>
    <w:p w14:paraId="71E92C4D"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 xml:space="preserve">Cuando el valor razonable difiera del valor de costo del reconocimiento inicial, La Entidad reconoce la diferencia de la siguiente manera: </w:t>
      </w:r>
    </w:p>
    <w:p w14:paraId="1955741F" w14:textId="77777777" w:rsidR="00931F52" w:rsidRPr="00701F32" w:rsidRDefault="00931F52" w:rsidP="00931F52">
      <w:pPr>
        <w:jc w:val="both"/>
        <w:rPr>
          <w:rFonts w:ascii="Arial" w:eastAsia="Calibri" w:hAnsi="Arial" w:cs="Arial"/>
          <w:noProof/>
          <w:sz w:val="20"/>
        </w:rPr>
      </w:pPr>
    </w:p>
    <w:p w14:paraId="7E547D55" w14:textId="77777777" w:rsidR="00931F52" w:rsidRPr="00701F32" w:rsidRDefault="00931F52" w:rsidP="00D538FD">
      <w:pPr>
        <w:numPr>
          <w:ilvl w:val="0"/>
          <w:numId w:val="48"/>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 xml:space="preserve">Cuando el valor razonable </w:t>
      </w:r>
      <w:r>
        <w:rPr>
          <w:rFonts w:ascii="Arial" w:eastAsia="Calibri" w:hAnsi="Arial" w:cs="Arial"/>
          <w:noProof/>
          <w:sz w:val="20"/>
        </w:rPr>
        <w:t>sea</w:t>
      </w:r>
      <w:r w:rsidRPr="00701F32">
        <w:rPr>
          <w:rFonts w:ascii="Arial" w:eastAsia="Calibri" w:hAnsi="Arial" w:cs="Arial"/>
          <w:noProof/>
          <w:sz w:val="20"/>
        </w:rPr>
        <w:t xml:space="preserve"> acorde al valor del mercado del activo o pasivo financiero o se encuentre basado en una técnica de valoración que utilice unicamente valores de mercado, la diferencia se reconoce como ganancia o pérdida según corresponda.</w:t>
      </w:r>
    </w:p>
    <w:p w14:paraId="0A592F4D" w14:textId="77777777" w:rsidR="00931F52" w:rsidRPr="00701F32" w:rsidRDefault="00931F52" w:rsidP="00931F52">
      <w:pPr>
        <w:jc w:val="both"/>
        <w:rPr>
          <w:rFonts w:ascii="Arial" w:eastAsia="Calibri" w:hAnsi="Arial" w:cs="Arial"/>
          <w:noProof/>
          <w:sz w:val="20"/>
        </w:rPr>
      </w:pPr>
    </w:p>
    <w:p w14:paraId="1A78558C" w14:textId="77777777" w:rsidR="00931F52" w:rsidRPr="00701F32" w:rsidRDefault="00931F52" w:rsidP="00D538FD">
      <w:pPr>
        <w:numPr>
          <w:ilvl w:val="0"/>
          <w:numId w:val="48"/>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En otros casos, la diferencia se ve diferida y el reconocimiento en el tiempo de la ganancia o pérdida es determinado individualmente. La misma se amortiza a lo largo de la vida del instrumento hasta que el valor razonable pueda ser medido en base a valores del mercado.</w:t>
      </w:r>
    </w:p>
    <w:p w14:paraId="533DCC22" w14:textId="77777777" w:rsidR="002F55BB" w:rsidRDefault="002F55BB" w:rsidP="00931F52">
      <w:pPr>
        <w:rPr>
          <w:rFonts w:ascii="Arial" w:hAnsi="Arial" w:cs="Arial"/>
          <w:b/>
          <w:noProof/>
          <w:sz w:val="20"/>
          <w:u w:val="single"/>
        </w:rPr>
      </w:pPr>
    </w:p>
    <w:p w14:paraId="157694A8" w14:textId="215BA10A" w:rsidR="00931F52" w:rsidRPr="00701F32" w:rsidRDefault="00931F52" w:rsidP="00931F52">
      <w:pPr>
        <w:rPr>
          <w:rFonts w:ascii="Arial" w:hAnsi="Arial" w:cs="Arial"/>
          <w:b/>
          <w:noProof/>
          <w:sz w:val="20"/>
          <w:u w:val="single"/>
        </w:rPr>
      </w:pPr>
      <w:r w:rsidRPr="00701F32">
        <w:rPr>
          <w:rFonts w:ascii="Arial" w:hAnsi="Arial" w:cs="Arial"/>
          <w:b/>
          <w:noProof/>
          <w:sz w:val="20"/>
          <w:u w:val="single"/>
        </w:rPr>
        <w:t>Activos financieros</w:t>
      </w:r>
    </w:p>
    <w:p w14:paraId="0131BEBC" w14:textId="77777777" w:rsidR="00931F52" w:rsidRPr="00701F32" w:rsidRDefault="00931F52" w:rsidP="00931F52">
      <w:pPr>
        <w:jc w:val="both"/>
        <w:rPr>
          <w:rFonts w:ascii="Arial" w:hAnsi="Arial" w:cs="Arial"/>
          <w:noProof/>
          <w:sz w:val="20"/>
        </w:rPr>
      </w:pPr>
    </w:p>
    <w:p w14:paraId="6C6EF3A2" w14:textId="77777777" w:rsidR="00931F52" w:rsidRPr="00701F32" w:rsidRDefault="00931F52" w:rsidP="00931F52">
      <w:pPr>
        <w:jc w:val="both"/>
        <w:rPr>
          <w:rFonts w:ascii="Arial" w:hAnsi="Arial" w:cs="Arial"/>
          <w:noProof/>
          <w:sz w:val="20"/>
          <w:u w:val="single"/>
        </w:rPr>
      </w:pPr>
      <w:r w:rsidRPr="00701F32">
        <w:rPr>
          <w:rFonts w:ascii="Arial" w:hAnsi="Arial" w:cs="Arial"/>
          <w:noProof/>
          <w:sz w:val="20"/>
          <w:u w:val="single"/>
        </w:rPr>
        <w:t>a - Instrumentos de deuda</w:t>
      </w:r>
    </w:p>
    <w:p w14:paraId="778576AD" w14:textId="77777777" w:rsidR="00931F52" w:rsidRPr="00701F32" w:rsidRDefault="00931F52" w:rsidP="00931F52">
      <w:pPr>
        <w:jc w:val="both"/>
        <w:rPr>
          <w:rFonts w:ascii="Arial" w:hAnsi="Arial" w:cs="Arial"/>
          <w:noProof/>
          <w:sz w:val="20"/>
        </w:rPr>
      </w:pPr>
    </w:p>
    <w:p w14:paraId="5626B4B8" w14:textId="77777777" w:rsidR="00931F52" w:rsidRPr="00701F32" w:rsidRDefault="00931F52" w:rsidP="00931F52">
      <w:pPr>
        <w:jc w:val="both"/>
        <w:rPr>
          <w:rFonts w:ascii="Arial" w:hAnsi="Arial" w:cs="Arial"/>
          <w:noProof/>
          <w:sz w:val="20"/>
        </w:rPr>
      </w:pPr>
      <w:r w:rsidRPr="00701F32">
        <w:rPr>
          <w:rFonts w:ascii="Arial" w:hAnsi="Arial" w:cs="Arial"/>
          <w:noProof/>
          <w:sz w:val="20"/>
        </w:rPr>
        <w:t>La Entidad considera instrumentos de deuda aquellos que se consideran pasivos financieros para el emisor, tales como préstamos, títulos públicos y privados, títulos de deuda y cuentas por cobrar de clientes.</w:t>
      </w:r>
    </w:p>
    <w:p w14:paraId="25EFEA03" w14:textId="77777777" w:rsidR="00931F52" w:rsidRPr="00701F32" w:rsidRDefault="00931F52" w:rsidP="00931F52">
      <w:pPr>
        <w:jc w:val="both"/>
        <w:rPr>
          <w:rFonts w:ascii="Arial" w:hAnsi="Arial" w:cs="Arial"/>
          <w:noProof/>
          <w:sz w:val="20"/>
          <w:u w:val="single"/>
        </w:rPr>
      </w:pPr>
    </w:p>
    <w:p w14:paraId="7FF12F88" w14:textId="77777777" w:rsidR="00931F52" w:rsidRPr="00701F32" w:rsidRDefault="00931F52" w:rsidP="00931F52">
      <w:pPr>
        <w:jc w:val="both"/>
        <w:rPr>
          <w:rFonts w:ascii="Arial" w:hAnsi="Arial" w:cs="Arial"/>
          <w:noProof/>
          <w:sz w:val="20"/>
          <w:u w:val="single"/>
        </w:rPr>
      </w:pPr>
      <w:r w:rsidRPr="00701F32">
        <w:rPr>
          <w:rFonts w:ascii="Arial" w:hAnsi="Arial" w:cs="Arial"/>
          <w:noProof/>
          <w:sz w:val="20"/>
          <w:u w:val="single"/>
        </w:rPr>
        <w:t>Clasificación</w:t>
      </w:r>
    </w:p>
    <w:p w14:paraId="62B96852" w14:textId="77777777" w:rsidR="00931F52" w:rsidRPr="00701F32" w:rsidRDefault="00931F52" w:rsidP="00931F52">
      <w:pPr>
        <w:jc w:val="both"/>
        <w:rPr>
          <w:rFonts w:ascii="Arial" w:hAnsi="Arial" w:cs="Arial"/>
          <w:noProof/>
          <w:sz w:val="20"/>
        </w:rPr>
      </w:pPr>
    </w:p>
    <w:p w14:paraId="7DE3EBA0" w14:textId="77777777" w:rsidR="00931F52" w:rsidRPr="00701F32" w:rsidRDefault="00931F52" w:rsidP="00931F52">
      <w:pPr>
        <w:jc w:val="both"/>
        <w:rPr>
          <w:rFonts w:ascii="Arial" w:hAnsi="Arial" w:cs="Arial"/>
          <w:noProof/>
          <w:sz w:val="20"/>
        </w:rPr>
      </w:pPr>
      <w:r w:rsidRPr="00701F32">
        <w:rPr>
          <w:rFonts w:ascii="Arial" w:hAnsi="Arial" w:cs="Arial"/>
          <w:noProof/>
          <w:sz w:val="20"/>
        </w:rPr>
        <w:t>Conforme lo establecido por la NIIF 9, la Entidad clasifica los activos financieros según se midan posteriormente a costo amortizado, a valor razonable con cambios en otro</w:t>
      </w:r>
      <w:r>
        <w:rPr>
          <w:rFonts w:ascii="Arial" w:hAnsi="Arial" w:cs="Arial"/>
          <w:noProof/>
          <w:sz w:val="20"/>
        </w:rPr>
        <w:t>s</w:t>
      </w:r>
      <w:r w:rsidRPr="00701F32">
        <w:rPr>
          <w:rFonts w:ascii="Arial" w:hAnsi="Arial" w:cs="Arial"/>
          <w:noProof/>
          <w:sz w:val="20"/>
        </w:rPr>
        <w:t xml:space="preserve"> resultado</w:t>
      </w:r>
      <w:r>
        <w:rPr>
          <w:rFonts w:ascii="Arial" w:hAnsi="Arial" w:cs="Arial"/>
          <w:noProof/>
          <w:sz w:val="20"/>
        </w:rPr>
        <w:t>s</w:t>
      </w:r>
      <w:r w:rsidRPr="00701F32">
        <w:rPr>
          <w:rFonts w:ascii="Arial" w:hAnsi="Arial" w:cs="Arial"/>
          <w:noProof/>
          <w:sz w:val="20"/>
        </w:rPr>
        <w:t xml:space="preserve"> integral</w:t>
      </w:r>
      <w:r>
        <w:rPr>
          <w:rFonts w:ascii="Arial" w:hAnsi="Arial" w:cs="Arial"/>
          <w:noProof/>
          <w:sz w:val="20"/>
        </w:rPr>
        <w:t>es</w:t>
      </w:r>
      <w:r w:rsidRPr="00701F32">
        <w:rPr>
          <w:rFonts w:ascii="Arial" w:hAnsi="Arial" w:cs="Arial"/>
          <w:noProof/>
          <w:sz w:val="20"/>
        </w:rPr>
        <w:t xml:space="preserve"> o a valor razonable con cambios en resultados, sobre la base:</w:t>
      </w:r>
    </w:p>
    <w:p w14:paraId="2BD35129" w14:textId="77777777" w:rsidR="00931F52" w:rsidRPr="00701F32" w:rsidRDefault="00931F52" w:rsidP="00931F52">
      <w:pPr>
        <w:jc w:val="both"/>
        <w:rPr>
          <w:rFonts w:ascii="Arial" w:hAnsi="Arial" w:cs="Arial"/>
          <w:noProof/>
          <w:sz w:val="20"/>
        </w:rPr>
      </w:pPr>
    </w:p>
    <w:p w14:paraId="64DD6B6F" w14:textId="671DF0FB" w:rsidR="00931F52" w:rsidRPr="006E1AF7" w:rsidRDefault="00931F52" w:rsidP="006E1AF7">
      <w:pPr>
        <w:pStyle w:val="Prrafodelista"/>
        <w:numPr>
          <w:ilvl w:val="0"/>
          <w:numId w:val="44"/>
        </w:numPr>
        <w:jc w:val="both"/>
        <w:rPr>
          <w:rFonts w:ascii="Arial" w:eastAsia="Calibri" w:hAnsi="Arial" w:cs="Arial"/>
          <w:noProof/>
          <w:sz w:val="20"/>
        </w:rPr>
      </w:pPr>
      <w:r w:rsidRPr="006E1AF7">
        <w:rPr>
          <w:rFonts w:ascii="Arial" w:eastAsia="Calibri" w:hAnsi="Arial" w:cs="Arial"/>
          <w:noProof/>
          <w:sz w:val="20"/>
        </w:rPr>
        <w:t>Del modelo de negocio del Grupo para gestionar los activos financieros; y</w:t>
      </w:r>
    </w:p>
    <w:p w14:paraId="1D6F5D7D" w14:textId="77777777" w:rsidR="00931F52" w:rsidRPr="006E1AF7" w:rsidRDefault="00931F52" w:rsidP="006E1AF7">
      <w:pPr>
        <w:jc w:val="both"/>
        <w:rPr>
          <w:rFonts w:ascii="Arial" w:eastAsia="Calibri" w:hAnsi="Arial" w:cs="Arial"/>
          <w:noProof/>
          <w:sz w:val="20"/>
        </w:rPr>
      </w:pPr>
    </w:p>
    <w:p w14:paraId="546247EB" w14:textId="77777777" w:rsidR="00931F52" w:rsidRPr="00701F32" w:rsidRDefault="00931F52" w:rsidP="00D538FD">
      <w:pPr>
        <w:numPr>
          <w:ilvl w:val="0"/>
          <w:numId w:val="44"/>
        </w:numPr>
        <w:spacing w:after="160" w:line="259" w:lineRule="auto"/>
        <w:ind w:right="-12"/>
        <w:jc w:val="both"/>
        <w:rPr>
          <w:rFonts w:ascii="Arial" w:eastAsia="Calibri" w:hAnsi="Arial" w:cs="Arial"/>
          <w:noProof/>
          <w:color w:val="000000"/>
          <w:sz w:val="20"/>
        </w:rPr>
      </w:pPr>
      <w:r w:rsidRPr="00701F32">
        <w:rPr>
          <w:rFonts w:ascii="Arial" w:eastAsia="Calibri" w:hAnsi="Arial" w:cs="Arial"/>
          <w:noProof/>
          <w:color w:val="000000"/>
          <w:sz w:val="20"/>
        </w:rPr>
        <w:t>De las características de los flujos de efectivo contractuales del activo financiero.</w:t>
      </w:r>
    </w:p>
    <w:p w14:paraId="596DF576" w14:textId="77777777" w:rsidR="00931F52" w:rsidRPr="00701F32" w:rsidRDefault="00931F52" w:rsidP="00931F52">
      <w:pPr>
        <w:jc w:val="both"/>
        <w:rPr>
          <w:rFonts w:ascii="Arial" w:eastAsia="Calibri" w:hAnsi="Arial" w:cs="Arial"/>
          <w:noProof/>
          <w:sz w:val="20"/>
        </w:rPr>
      </w:pPr>
    </w:p>
    <w:p w14:paraId="6A6E89B4" w14:textId="77777777" w:rsidR="00931F52" w:rsidRPr="00701F32" w:rsidRDefault="00931F52" w:rsidP="00931F52">
      <w:pPr>
        <w:jc w:val="both"/>
        <w:rPr>
          <w:rFonts w:ascii="Arial" w:eastAsia="Calibri" w:hAnsi="Arial" w:cs="Arial"/>
          <w:noProof/>
          <w:sz w:val="20"/>
          <w:u w:val="single"/>
        </w:rPr>
      </w:pPr>
      <w:r w:rsidRPr="00701F32">
        <w:rPr>
          <w:rFonts w:ascii="Arial" w:eastAsia="Calibri" w:hAnsi="Arial" w:cs="Arial"/>
          <w:noProof/>
          <w:sz w:val="20"/>
          <w:u w:val="single"/>
        </w:rPr>
        <w:t xml:space="preserve">Modelo de Negocio </w:t>
      </w:r>
    </w:p>
    <w:p w14:paraId="2DA5B66D" w14:textId="77777777" w:rsidR="00931F52" w:rsidRPr="00701F32" w:rsidRDefault="00931F52" w:rsidP="00931F52">
      <w:pPr>
        <w:jc w:val="both"/>
        <w:rPr>
          <w:rFonts w:ascii="Arial" w:eastAsia="Calibri" w:hAnsi="Arial" w:cs="Arial"/>
          <w:noProof/>
          <w:sz w:val="20"/>
        </w:rPr>
      </w:pPr>
    </w:p>
    <w:p w14:paraId="49544CFD"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 xml:space="preserve">El modelo de negocio se refiere al modo en que la Entidad gestiona un conjunto de activos financieros para lograr un objetivo de negocio concreto. Representa la forma en la cual se mantienen los instrumentos para la generación de fondos. </w:t>
      </w:r>
    </w:p>
    <w:p w14:paraId="421A5423" w14:textId="77777777" w:rsidR="00931F52" w:rsidRPr="00701F32" w:rsidRDefault="00931F52" w:rsidP="00931F52">
      <w:pPr>
        <w:jc w:val="both"/>
        <w:rPr>
          <w:rFonts w:ascii="Arial" w:eastAsia="Calibri" w:hAnsi="Arial" w:cs="Arial"/>
          <w:noProof/>
          <w:sz w:val="20"/>
        </w:rPr>
      </w:pPr>
    </w:p>
    <w:p w14:paraId="071A8E79"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Los modelos de negocio que puede seguir la Entidad son los siguientes;</w:t>
      </w:r>
    </w:p>
    <w:p w14:paraId="20D85D93" w14:textId="77777777" w:rsidR="00931F52" w:rsidRPr="00701F32" w:rsidRDefault="00931F52" w:rsidP="00D538FD">
      <w:pPr>
        <w:pStyle w:val="Prrafodelista"/>
        <w:numPr>
          <w:ilvl w:val="0"/>
          <w:numId w:val="51"/>
        </w:numPr>
        <w:contextualSpacing/>
        <w:jc w:val="both"/>
        <w:rPr>
          <w:rFonts w:ascii="Arial" w:eastAsia="Calibri" w:hAnsi="Arial" w:cs="Arial"/>
          <w:noProof/>
          <w:sz w:val="20"/>
        </w:rPr>
      </w:pPr>
      <w:r w:rsidRPr="00701F32">
        <w:rPr>
          <w:rFonts w:ascii="Arial" w:eastAsia="Calibri" w:hAnsi="Arial" w:cs="Arial"/>
          <w:noProof/>
          <w:sz w:val="20"/>
        </w:rPr>
        <w:t>Mantener los instrumentos hasta el vencimiento;</w:t>
      </w:r>
    </w:p>
    <w:p w14:paraId="278A8AEC" w14:textId="77777777" w:rsidR="00931F52" w:rsidRPr="00701F32" w:rsidRDefault="00931F52" w:rsidP="00D538FD">
      <w:pPr>
        <w:pStyle w:val="Prrafodelista"/>
        <w:numPr>
          <w:ilvl w:val="0"/>
          <w:numId w:val="51"/>
        </w:numPr>
        <w:contextualSpacing/>
        <w:jc w:val="both"/>
        <w:rPr>
          <w:rFonts w:ascii="Arial" w:eastAsia="Calibri" w:hAnsi="Arial" w:cs="Arial"/>
          <w:noProof/>
          <w:sz w:val="20"/>
        </w:rPr>
      </w:pPr>
      <w:r w:rsidRPr="00701F32">
        <w:rPr>
          <w:rFonts w:ascii="Arial" w:eastAsia="Calibri" w:hAnsi="Arial" w:cs="Arial"/>
          <w:noProof/>
          <w:sz w:val="20"/>
        </w:rPr>
        <w:t>Mantener los in</w:t>
      </w:r>
      <w:r>
        <w:rPr>
          <w:rFonts w:ascii="Arial" w:eastAsia="Calibri" w:hAnsi="Arial" w:cs="Arial"/>
          <w:noProof/>
          <w:sz w:val="20"/>
        </w:rPr>
        <w:t>s</w:t>
      </w:r>
      <w:r w:rsidRPr="00701F32">
        <w:rPr>
          <w:rFonts w:ascii="Arial" w:eastAsia="Calibri" w:hAnsi="Arial" w:cs="Arial"/>
          <w:noProof/>
          <w:sz w:val="20"/>
        </w:rPr>
        <w:t>trumentos en cartera para el cobro de</w:t>
      </w:r>
      <w:r>
        <w:rPr>
          <w:rFonts w:ascii="Arial" w:eastAsia="Calibri" w:hAnsi="Arial" w:cs="Arial"/>
          <w:noProof/>
          <w:sz w:val="20"/>
        </w:rPr>
        <w:t>l</w:t>
      </w:r>
      <w:r w:rsidRPr="00701F32">
        <w:rPr>
          <w:rFonts w:ascii="Arial" w:eastAsia="Calibri" w:hAnsi="Arial" w:cs="Arial"/>
          <w:noProof/>
          <w:sz w:val="20"/>
        </w:rPr>
        <w:t xml:space="preserve"> flujo de fondos y, a su vez, venderlos en caso de </w:t>
      </w:r>
      <w:r>
        <w:rPr>
          <w:rFonts w:ascii="Arial" w:eastAsia="Calibri" w:hAnsi="Arial" w:cs="Arial"/>
          <w:noProof/>
          <w:sz w:val="20"/>
        </w:rPr>
        <w:t>ser</w:t>
      </w:r>
      <w:r w:rsidRPr="00701F32">
        <w:rPr>
          <w:rFonts w:ascii="Arial" w:eastAsia="Calibri" w:hAnsi="Arial" w:cs="Arial"/>
          <w:noProof/>
          <w:sz w:val="20"/>
        </w:rPr>
        <w:t xml:space="preserve"> conveniente; o</w:t>
      </w:r>
    </w:p>
    <w:p w14:paraId="09005442" w14:textId="77777777" w:rsidR="00931F52" w:rsidRPr="00701F32" w:rsidRDefault="00931F52" w:rsidP="00D538FD">
      <w:pPr>
        <w:pStyle w:val="Prrafodelista"/>
        <w:numPr>
          <w:ilvl w:val="0"/>
          <w:numId w:val="51"/>
        </w:numPr>
        <w:contextualSpacing/>
        <w:jc w:val="both"/>
        <w:rPr>
          <w:rFonts w:ascii="Arial" w:eastAsia="Calibri" w:hAnsi="Arial" w:cs="Arial"/>
          <w:noProof/>
          <w:sz w:val="20"/>
        </w:rPr>
      </w:pPr>
      <w:r w:rsidRPr="00701F32">
        <w:rPr>
          <w:rFonts w:ascii="Arial" w:eastAsia="Calibri" w:hAnsi="Arial" w:cs="Arial"/>
          <w:noProof/>
          <w:sz w:val="20"/>
        </w:rPr>
        <w:t>Mantener los instrumentos para su negociación</w:t>
      </w:r>
    </w:p>
    <w:p w14:paraId="6CAD1741" w14:textId="77777777" w:rsidR="00931F52" w:rsidRPr="00701F32" w:rsidRDefault="00931F52" w:rsidP="00931F52">
      <w:pPr>
        <w:jc w:val="both"/>
        <w:rPr>
          <w:rFonts w:ascii="Arial" w:eastAsia="Calibri" w:hAnsi="Arial" w:cs="Arial"/>
          <w:noProof/>
          <w:sz w:val="20"/>
        </w:rPr>
      </w:pPr>
    </w:p>
    <w:p w14:paraId="47620A0E" w14:textId="77777777" w:rsidR="00931F52" w:rsidRPr="00C7765D" w:rsidRDefault="00931F52" w:rsidP="00931F52">
      <w:pPr>
        <w:spacing w:after="160" w:line="259" w:lineRule="auto"/>
        <w:contextualSpacing/>
        <w:jc w:val="both"/>
        <w:rPr>
          <w:rFonts w:ascii="Arial" w:eastAsia="Calibri" w:hAnsi="Arial" w:cs="Arial"/>
          <w:sz w:val="20"/>
        </w:rPr>
      </w:pPr>
      <w:r w:rsidRPr="00701F32">
        <w:rPr>
          <w:rFonts w:ascii="Arial" w:eastAsia="Calibri" w:hAnsi="Arial" w:cs="Arial"/>
          <w:sz w:val="20"/>
        </w:rPr>
        <w:t xml:space="preserve">La Entidad determina su modelo de negocio en el nivel que mejor refleja cómo administra los </w:t>
      </w:r>
      <w:r w:rsidRPr="00C7765D">
        <w:rPr>
          <w:rFonts w:ascii="Arial" w:eastAsia="Calibri" w:hAnsi="Arial" w:cs="Arial"/>
          <w:sz w:val="20"/>
        </w:rPr>
        <w:t>grupos de activos financieros para lograr un objetivo de negocio concreto.</w:t>
      </w:r>
    </w:p>
    <w:p w14:paraId="1728953A" w14:textId="77777777" w:rsidR="00931F52" w:rsidRPr="00C7765D" w:rsidRDefault="00931F52" w:rsidP="00931F52">
      <w:pPr>
        <w:spacing w:after="160" w:line="259" w:lineRule="auto"/>
        <w:contextualSpacing/>
        <w:jc w:val="both"/>
        <w:rPr>
          <w:rFonts w:ascii="Arial" w:eastAsia="Calibri" w:hAnsi="Arial" w:cs="Arial"/>
          <w:sz w:val="20"/>
        </w:rPr>
      </w:pPr>
    </w:p>
    <w:p w14:paraId="0AF19941"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El modelo de negocio no depende de las intenciones de la gerencia para un instrumento individual. Por consiguiente, dicho m</w:t>
      </w:r>
      <w:r w:rsidRPr="00701F32">
        <w:rPr>
          <w:rFonts w:ascii="Arial" w:eastAsia="Calibri" w:hAnsi="Arial" w:cs="Arial"/>
          <w:sz w:val="20"/>
        </w:rPr>
        <w:t>odelo de negocio no se evalúa instrumento por instrumento, sino a un nivel más alto de carteras agregadas y se basa en factores observables tales como:</w:t>
      </w:r>
    </w:p>
    <w:p w14:paraId="71911B84" w14:textId="77777777" w:rsidR="00931F52" w:rsidRPr="00701F32" w:rsidRDefault="00931F52" w:rsidP="00931F52">
      <w:pPr>
        <w:spacing w:after="160" w:line="259" w:lineRule="auto"/>
        <w:contextualSpacing/>
        <w:jc w:val="both"/>
        <w:rPr>
          <w:rFonts w:ascii="Arial" w:eastAsia="Calibri" w:hAnsi="Arial" w:cs="Arial"/>
          <w:sz w:val="20"/>
        </w:rPr>
      </w:pPr>
    </w:p>
    <w:p w14:paraId="66D98D0A" w14:textId="77777777" w:rsidR="00931F52" w:rsidRPr="00701F32" w:rsidRDefault="00931F52" w:rsidP="00D538FD">
      <w:pPr>
        <w:numPr>
          <w:ilvl w:val="0"/>
          <w:numId w:val="49"/>
        </w:numPr>
        <w:spacing w:after="160" w:line="259" w:lineRule="auto"/>
        <w:ind w:left="142" w:hanging="142"/>
        <w:contextualSpacing/>
        <w:jc w:val="both"/>
        <w:rPr>
          <w:rFonts w:ascii="Arial" w:eastAsia="Calibri" w:hAnsi="Arial" w:cs="Arial"/>
          <w:sz w:val="20"/>
        </w:rPr>
      </w:pPr>
      <w:r w:rsidRPr="00701F32">
        <w:rPr>
          <w:rFonts w:ascii="Arial" w:eastAsia="Calibri" w:hAnsi="Arial" w:cs="Arial"/>
          <w:sz w:val="20"/>
        </w:rPr>
        <w:t>Cómo se evalúa el rendimiento del modelo de negocio y cómo los activos financieros que se mantienen dentro de ese modelo de negocio se evalúan y reportan al personal clave de la Entidad.</w:t>
      </w:r>
    </w:p>
    <w:p w14:paraId="43049CAA" w14:textId="77777777" w:rsidR="00931F52" w:rsidRPr="00701F32" w:rsidRDefault="00931F52" w:rsidP="00D538FD">
      <w:pPr>
        <w:numPr>
          <w:ilvl w:val="0"/>
          <w:numId w:val="49"/>
        </w:numPr>
        <w:spacing w:after="160" w:line="259" w:lineRule="auto"/>
        <w:ind w:left="142" w:hanging="142"/>
        <w:contextualSpacing/>
        <w:jc w:val="both"/>
        <w:rPr>
          <w:rFonts w:ascii="Arial" w:eastAsia="Calibri" w:hAnsi="Arial" w:cs="Arial"/>
          <w:sz w:val="20"/>
        </w:rPr>
      </w:pPr>
      <w:r w:rsidRPr="00701F32">
        <w:rPr>
          <w:rFonts w:ascii="Arial" w:eastAsia="Calibri" w:hAnsi="Arial" w:cs="Arial"/>
          <w:sz w:val="20"/>
        </w:rPr>
        <w:t>Los riesgos que afectan el rendimiento del modelo de negocio (y los activos financieros que se mantienen dentro de ese modelo de negocio) y, en particular, la forma en que se gestionan esos riesgos.</w:t>
      </w:r>
    </w:p>
    <w:p w14:paraId="22FAEC0B" w14:textId="77777777" w:rsidR="00931F52" w:rsidRPr="00701F32" w:rsidRDefault="00931F52" w:rsidP="00D538FD">
      <w:pPr>
        <w:numPr>
          <w:ilvl w:val="0"/>
          <w:numId w:val="49"/>
        </w:numPr>
        <w:spacing w:after="160" w:line="259" w:lineRule="auto"/>
        <w:ind w:left="142" w:hanging="142"/>
        <w:contextualSpacing/>
        <w:jc w:val="both"/>
        <w:rPr>
          <w:rFonts w:ascii="Arial" w:eastAsia="Calibri" w:hAnsi="Arial" w:cs="Arial"/>
          <w:sz w:val="20"/>
        </w:rPr>
      </w:pPr>
      <w:r w:rsidRPr="00701F32">
        <w:rPr>
          <w:rFonts w:ascii="Arial" w:eastAsia="Calibri" w:hAnsi="Arial" w:cs="Arial"/>
          <w:sz w:val="20"/>
        </w:rPr>
        <w:t>Cómo se compensa al personal clave de la Entidad (por ejemplo, si la remuneración se basa en el valor razonable de los activos administrados o en los flujos de efectivo contractuales recaudados).</w:t>
      </w:r>
    </w:p>
    <w:p w14:paraId="0F3E2403" w14:textId="77777777" w:rsidR="00931F52" w:rsidRPr="00701F32" w:rsidRDefault="00931F52" w:rsidP="00D538FD">
      <w:pPr>
        <w:numPr>
          <w:ilvl w:val="0"/>
          <w:numId w:val="49"/>
        </w:numPr>
        <w:spacing w:after="160" w:line="259" w:lineRule="auto"/>
        <w:ind w:left="142" w:hanging="142"/>
        <w:contextualSpacing/>
        <w:jc w:val="both"/>
        <w:rPr>
          <w:rFonts w:ascii="Arial" w:eastAsia="Calibri" w:hAnsi="Arial" w:cs="Arial"/>
          <w:sz w:val="20"/>
        </w:rPr>
      </w:pPr>
      <w:r w:rsidRPr="00701F32">
        <w:rPr>
          <w:rFonts w:ascii="Arial" w:eastAsia="Calibri" w:hAnsi="Arial" w:cs="Arial"/>
          <w:sz w:val="20"/>
        </w:rPr>
        <w:t>La frecuencia esperada, el valor, el momento y las razones de las ventas también son aspectos importantes.</w:t>
      </w:r>
    </w:p>
    <w:p w14:paraId="5DF83B8A" w14:textId="77777777" w:rsidR="00931F52" w:rsidRPr="00701F32" w:rsidRDefault="00931F52" w:rsidP="00931F52">
      <w:pPr>
        <w:jc w:val="both"/>
        <w:rPr>
          <w:rFonts w:ascii="Arial" w:eastAsia="Calibri" w:hAnsi="Arial" w:cs="Arial"/>
          <w:sz w:val="20"/>
        </w:rPr>
      </w:pPr>
    </w:p>
    <w:p w14:paraId="1710FCAB" w14:textId="77777777" w:rsidR="00931F52" w:rsidRPr="00701F32" w:rsidRDefault="00931F52" w:rsidP="00931F52">
      <w:pPr>
        <w:spacing w:after="160" w:line="259" w:lineRule="auto"/>
        <w:contextualSpacing/>
        <w:jc w:val="both"/>
        <w:rPr>
          <w:rFonts w:ascii="Arial" w:eastAsia="Calibri" w:hAnsi="Arial" w:cs="Arial"/>
          <w:sz w:val="20"/>
        </w:rPr>
      </w:pPr>
      <w:r w:rsidRPr="00701F32">
        <w:rPr>
          <w:rFonts w:ascii="Arial" w:eastAsia="Calibri" w:hAnsi="Arial" w:cs="Arial"/>
          <w:sz w:val="20"/>
        </w:rPr>
        <w:t xml:space="preserve">La evaluación del modelo de negocio se basa en escenarios razonablemente esperados, sin tener en cuenta los escenarios de “peor caso” o “caso de estrés”. Si posteriormente a su reconocimiento inicial los flujos de efectivo se realizan de una manera diferente a las expectativas originales, la Entidad no cambia la clasificación de los activos financieros restantes mantenidos en ese modelo de negocio, sino que considera dicha información para evaluar las compras u originaciones recientes. Solo se </w:t>
      </w:r>
      <w:r w:rsidRPr="00701F32">
        <w:rPr>
          <w:rFonts w:ascii="Arial" w:eastAsia="Calibri" w:hAnsi="Arial" w:cs="Arial"/>
          <w:noProof/>
          <w:sz w:val="20"/>
        </w:rPr>
        <w:t xml:space="preserve">realiza la reclasificación de un instrumento cuando, y solo cuando, el modelo de negocio para la gestión de los activos se ve modificado. </w:t>
      </w:r>
    </w:p>
    <w:p w14:paraId="01B9F64E" w14:textId="77777777" w:rsidR="00931F52" w:rsidRPr="00701F32" w:rsidRDefault="00931F52" w:rsidP="00931F52">
      <w:pPr>
        <w:jc w:val="both"/>
        <w:rPr>
          <w:rFonts w:ascii="Arial" w:eastAsia="Calibri" w:hAnsi="Arial" w:cs="Arial"/>
          <w:noProof/>
          <w:sz w:val="20"/>
          <w:u w:val="single"/>
        </w:rPr>
      </w:pPr>
    </w:p>
    <w:p w14:paraId="562ABB11" w14:textId="77777777" w:rsidR="00931F52" w:rsidRPr="00701F32" w:rsidRDefault="00931F52" w:rsidP="00931F52">
      <w:pPr>
        <w:jc w:val="both"/>
        <w:rPr>
          <w:rFonts w:ascii="Arial" w:eastAsia="Calibri" w:hAnsi="Arial" w:cs="Arial"/>
          <w:noProof/>
          <w:sz w:val="20"/>
          <w:u w:val="single"/>
        </w:rPr>
      </w:pPr>
      <w:r w:rsidRPr="00701F32">
        <w:rPr>
          <w:rFonts w:ascii="Arial" w:eastAsia="Calibri" w:hAnsi="Arial" w:cs="Arial"/>
          <w:noProof/>
          <w:sz w:val="20"/>
          <w:u w:val="single"/>
        </w:rPr>
        <w:t>Características del flujo de fondos</w:t>
      </w:r>
    </w:p>
    <w:p w14:paraId="405765E0" w14:textId="77777777" w:rsidR="00931F52" w:rsidRPr="00701F32" w:rsidRDefault="00931F52" w:rsidP="00931F52">
      <w:pPr>
        <w:jc w:val="both"/>
        <w:rPr>
          <w:rFonts w:ascii="Arial" w:eastAsia="Calibri" w:hAnsi="Arial" w:cs="Arial"/>
          <w:noProof/>
          <w:sz w:val="20"/>
          <w:u w:val="single"/>
        </w:rPr>
      </w:pPr>
    </w:p>
    <w:p w14:paraId="73EC2607" w14:textId="77777777" w:rsidR="00931F52" w:rsidRPr="00701F32" w:rsidRDefault="00931F52" w:rsidP="00931F52">
      <w:pPr>
        <w:jc w:val="both"/>
        <w:rPr>
          <w:rFonts w:ascii="Arial" w:eastAsia="Calibri" w:hAnsi="Arial" w:cs="Arial"/>
          <w:noProof/>
          <w:sz w:val="20"/>
        </w:rPr>
      </w:pPr>
      <w:r>
        <w:rPr>
          <w:rFonts w:ascii="Arial" w:eastAsia="Calibri" w:hAnsi="Arial" w:cs="Arial"/>
          <w:sz w:val="20"/>
        </w:rPr>
        <w:t xml:space="preserve">El Banco </w:t>
      </w:r>
      <w:r w:rsidRPr="00701F32">
        <w:rPr>
          <w:rFonts w:ascii="Arial" w:eastAsia="Calibri" w:hAnsi="Arial" w:cs="Arial"/>
          <w:sz w:val="20"/>
        </w:rPr>
        <w:t xml:space="preserve">evalúa </w:t>
      </w:r>
      <w:r w:rsidRPr="00701F32">
        <w:rPr>
          <w:rFonts w:ascii="Arial" w:eastAsia="Calibri" w:hAnsi="Arial" w:cs="Arial"/>
          <w:noProof/>
          <w:sz w:val="20"/>
        </w:rPr>
        <w:t xml:space="preserve">si el flujo de fondos de los </w:t>
      </w:r>
      <w:r>
        <w:rPr>
          <w:rFonts w:ascii="Arial" w:eastAsia="Calibri" w:hAnsi="Arial" w:cs="Arial"/>
          <w:noProof/>
          <w:sz w:val="20"/>
        </w:rPr>
        <w:t>instrumentos</w:t>
      </w:r>
      <w:r w:rsidRPr="00701F32">
        <w:rPr>
          <w:rFonts w:ascii="Arial" w:eastAsia="Calibri" w:hAnsi="Arial" w:cs="Arial"/>
          <w:noProof/>
          <w:sz w:val="20"/>
        </w:rPr>
        <w:t xml:space="preserve"> agrupados no es significativamente diferente </w:t>
      </w:r>
      <w:r>
        <w:rPr>
          <w:rFonts w:ascii="Arial" w:eastAsia="Calibri" w:hAnsi="Arial" w:cs="Arial"/>
          <w:noProof/>
          <w:sz w:val="20"/>
        </w:rPr>
        <w:t>al flujo</w:t>
      </w:r>
      <w:r w:rsidRPr="00701F32">
        <w:rPr>
          <w:rFonts w:ascii="Arial" w:eastAsia="Calibri" w:hAnsi="Arial" w:cs="Arial"/>
          <w:noProof/>
          <w:sz w:val="20"/>
        </w:rPr>
        <w:t xml:space="preserve"> que recibiría por intereses</w:t>
      </w:r>
      <w:r>
        <w:rPr>
          <w:rFonts w:ascii="Arial" w:eastAsia="Calibri" w:hAnsi="Arial" w:cs="Arial"/>
          <w:noProof/>
          <w:sz w:val="20"/>
        </w:rPr>
        <w:t xml:space="preserve"> y capital</w:t>
      </w:r>
      <w:r w:rsidRPr="00701F32">
        <w:rPr>
          <w:rFonts w:ascii="Arial" w:eastAsia="Calibri" w:hAnsi="Arial" w:cs="Arial"/>
          <w:noProof/>
          <w:sz w:val="20"/>
        </w:rPr>
        <w:t xml:space="preserve">, caso contrario, deberán ser medidos a valor razonable con cambios en resultados. </w:t>
      </w:r>
    </w:p>
    <w:p w14:paraId="457BCAB6" w14:textId="77777777" w:rsidR="00931F52" w:rsidRPr="00701F32" w:rsidRDefault="00931F52" w:rsidP="00931F52">
      <w:pPr>
        <w:spacing w:after="160" w:line="259" w:lineRule="auto"/>
        <w:contextualSpacing/>
        <w:jc w:val="both"/>
        <w:rPr>
          <w:rFonts w:ascii="Arial" w:eastAsia="Calibri" w:hAnsi="Arial" w:cs="Arial"/>
          <w:sz w:val="20"/>
        </w:rPr>
      </w:pPr>
    </w:p>
    <w:p w14:paraId="391C7ECF" w14:textId="77777777" w:rsidR="00931F52" w:rsidRPr="00701F32" w:rsidRDefault="00931F52" w:rsidP="00931F52">
      <w:pPr>
        <w:spacing w:after="160" w:line="259" w:lineRule="auto"/>
        <w:contextualSpacing/>
        <w:jc w:val="both"/>
        <w:rPr>
          <w:rFonts w:ascii="Arial" w:eastAsia="Calibri" w:hAnsi="Arial" w:cs="Arial"/>
          <w:sz w:val="20"/>
        </w:rPr>
      </w:pPr>
      <w:r w:rsidRPr="00701F32">
        <w:rPr>
          <w:rFonts w:ascii="Arial" w:eastAsia="Calibri" w:hAnsi="Arial" w:cs="Arial"/>
          <w:noProof/>
          <w:sz w:val="20"/>
        </w:rPr>
        <w:t>En base a lo anteriormente mencionado, se distinguen tres categorías de Activos Financieros</w:t>
      </w:r>
      <w:r w:rsidRPr="00701F32">
        <w:rPr>
          <w:rFonts w:ascii="Arial" w:eastAsia="Calibri" w:hAnsi="Arial" w:cs="Arial"/>
          <w:sz w:val="20"/>
        </w:rPr>
        <w:t>. Dicha clasificación se expone en el Anexo P “Categorías de Activos y Pasivos Financieros”</w:t>
      </w:r>
      <w:r w:rsidRPr="00701F32">
        <w:rPr>
          <w:rFonts w:ascii="Arial" w:eastAsia="Calibri" w:hAnsi="Arial" w:cs="Arial"/>
          <w:noProof/>
          <w:sz w:val="20"/>
        </w:rPr>
        <w:t>:</w:t>
      </w:r>
    </w:p>
    <w:p w14:paraId="1539AB1C" w14:textId="77777777" w:rsidR="00931F52" w:rsidRPr="00701F32" w:rsidRDefault="00931F52" w:rsidP="00D538FD">
      <w:pPr>
        <w:pStyle w:val="Prrafodelista"/>
        <w:numPr>
          <w:ilvl w:val="0"/>
          <w:numId w:val="50"/>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Activos financieros a costo amortizado:</w:t>
      </w:r>
    </w:p>
    <w:p w14:paraId="606617D4"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Los activos financieros son medidos a costo amortizado cuando:</w:t>
      </w:r>
    </w:p>
    <w:p w14:paraId="47AD04DE" w14:textId="77777777" w:rsidR="00931F52" w:rsidRPr="00701F32" w:rsidRDefault="00931F52" w:rsidP="00931F52">
      <w:pPr>
        <w:jc w:val="both"/>
        <w:rPr>
          <w:rFonts w:ascii="Arial" w:eastAsia="Calibri" w:hAnsi="Arial" w:cs="Arial"/>
          <w:noProof/>
          <w:sz w:val="20"/>
        </w:rPr>
      </w:pPr>
    </w:p>
    <w:p w14:paraId="53A0A538"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(a) El activo financiero se conserva dentro de un modelo de negocio cuyo objetivo es mantener los activos financieros para obtener los flujos de efectivo contractuales y,</w:t>
      </w:r>
    </w:p>
    <w:p w14:paraId="54EF36C0" w14:textId="77777777" w:rsidR="00931F52" w:rsidRPr="00701F32" w:rsidRDefault="00931F52" w:rsidP="00931F52">
      <w:pPr>
        <w:jc w:val="both"/>
        <w:rPr>
          <w:rFonts w:ascii="Arial" w:eastAsia="Calibri" w:hAnsi="Arial" w:cs="Arial"/>
          <w:noProof/>
          <w:sz w:val="20"/>
        </w:rPr>
      </w:pPr>
    </w:p>
    <w:p w14:paraId="781442AE"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(b) las condiciones contractuales del activo financiero dan lugar, en fechas especificadas, a flujos de efectivo que son únicamente pagos del capital e intereses sobre el importe del capital pendiente.</w:t>
      </w:r>
    </w:p>
    <w:p w14:paraId="3C4F12BC" w14:textId="77777777" w:rsidR="00931F52" w:rsidRPr="00701F32" w:rsidRDefault="00931F52" w:rsidP="00931F52">
      <w:pPr>
        <w:jc w:val="both"/>
        <w:rPr>
          <w:rFonts w:ascii="Arial" w:eastAsia="Calibri" w:hAnsi="Arial" w:cs="Arial"/>
          <w:noProof/>
          <w:sz w:val="20"/>
        </w:rPr>
      </w:pPr>
    </w:p>
    <w:p w14:paraId="408E8426" w14:textId="77777777" w:rsidR="00931F52" w:rsidRPr="00701F32" w:rsidRDefault="00931F52" w:rsidP="00931F52">
      <w:pPr>
        <w:autoSpaceDE w:val="0"/>
        <w:autoSpaceDN w:val="0"/>
        <w:adjustRightInd w:val="0"/>
        <w:jc w:val="both"/>
        <w:rPr>
          <w:rFonts w:ascii="Arial" w:eastAsia="Calibri" w:hAnsi="Arial" w:cs="Arial"/>
          <w:noProof/>
          <w:sz w:val="20"/>
        </w:rPr>
      </w:pPr>
      <w:r w:rsidRPr="00701F32">
        <w:rPr>
          <w:rFonts w:ascii="Arial" w:eastAsia="Calibri" w:hAnsi="Arial" w:cs="Arial"/>
          <w:noProof/>
          <w:sz w:val="20"/>
        </w:rPr>
        <w:t>Estos instrumentos financieros se reconocen inicialmente a su valor razonable más los costos de transacción incrementales y directamente atribuibles, y posteriormente se miden a costo amortizado.</w:t>
      </w:r>
    </w:p>
    <w:p w14:paraId="36707514" w14:textId="77777777" w:rsidR="00931F52" w:rsidRPr="00701F32" w:rsidRDefault="00931F52" w:rsidP="00931F52">
      <w:pPr>
        <w:autoSpaceDE w:val="0"/>
        <w:autoSpaceDN w:val="0"/>
        <w:adjustRightInd w:val="0"/>
        <w:jc w:val="both"/>
        <w:rPr>
          <w:rFonts w:ascii="Arial" w:eastAsia="Calibri" w:hAnsi="Arial" w:cs="Arial"/>
          <w:noProof/>
          <w:sz w:val="20"/>
        </w:rPr>
      </w:pPr>
    </w:p>
    <w:p w14:paraId="134860DA" w14:textId="77777777" w:rsidR="00931F52" w:rsidRPr="00701F32" w:rsidRDefault="00931F52" w:rsidP="00931F52">
      <w:pPr>
        <w:autoSpaceDE w:val="0"/>
        <w:autoSpaceDN w:val="0"/>
        <w:adjustRightInd w:val="0"/>
        <w:jc w:val="both"/>
        <w:rPr>
          <w:rFonts w:ascii="Arial" w:eastAsia="Calibri" w:hAnsi="Arial" w:cs="Arial"/>
          <w:noProof/>
          <w:sz w:val="20"/>
        </w:rPr>
      </w:pPr>
      <w:r w:rsidRPr="00701F32">
        <w:rPr>
          <w:rFonts w:ascii="Arial" w:eastAsia="Calibri" w:hAnsi="Arial" w:cs="Arial"/>
          <w:noProof/>
          <w:sz w:val="20"/>
        </w:rPr>
        <w:t>El costo amortizado de un activo financiero es igual a su costo de adquisición menos su amortización acumulada más los intereses devengados (calculados de acuerdo al método de la tasa efectiva), neto de cualquier pérdida por deterioro de valor.</w:t>
      </w:r>
      <w:r w:rsidRPr="00701F32">
        <w:rPr>
          <w:rFonts w:ascii="Arial" w:eastAsia="Calibri" w:hAnsi="Arial" w:cs="Arial"/>
          <w:sz w:val="20"/>
        </w:rPr>
        <w:t xml:space="preserve"> El método del interés efectivo utiliza la tasa que permite descontar los flujos de efectivo futuros que se estiman recibir o pagar en la vida del instrumento o un período menor, de ser apropiado, igualando el valor neto en libros. Al aplicar dicho método, la Entidad identifica los costos directos incrementales como parte integrante de la tasa de interés efectiva. </w:t>
      </w:r>
    </w:p>
    <w:p w14:paraId="5AB843D7" w14:textId="77777777" w:rsidR="00931F52" w:rsidRPr="00701F32" w:rsidRDefault="00931F52" w:rsidP="00931F52">
      <w:pPr>
        <w:jc w:val="both"/>
        <w:rPr>
          <w:rFonts w:ascii="Arial" w:eastAsia="Calibri" w:hAnsi="Arial" w:cs="Arial"/>
          <w:noProof/>
          <w:sz w:val="20"/>
        </w:rPr>
      </w:pPr>
    </w:p>
    <w:p w14:paraId="6A0F753B" w14:textId="77777777" w:rsidR="00931F52" w:rsidRPr="00701F32" w:rsidRDefault="00931F52" w:rsidP="00D538FD">
      <w:pPr>
        <w:numPr>
          <w:ilvl w:val="0"/>
          <w:numId w:val="50"/>
        </w:numPr>
        <w:spacing w:after="160" w:line="259" w:lineRule="auto"/>
        <w:jc w:val="both"/>
        <w:rPr>
          <w:rFonts w:ascii="Arial" w:eastAsia="Calibri" w:hAnsi="Arial" w:cs="Arial"/>
          <w:noProof/>
          <w:sz w:val="20"/>
        </w:rPr>
      </w:pPr>
      <w:r w:rsidRPr="00701F32">
        <w:rPr>
          <w:rFonts w:ascii="Arial" w:eastAsia="Calibri" w:hAnsi="Arial" w:cs="Arial"/>
          <w:noProof/>
          <w:sz w:val="20"/>
        </w:rPr>
        <w:t>Activos financieros a valor razonable con cambios en otro</w:t>
      </w:r>
      <w:r>
        <w:rPr>
          <w:rFonts w:ascii="Arial" w:eastAsia="Calibri" w:hAnsi="Arial" w:cs="Arial"/>
          <w:noProof/>
          <w:sz w:val="20"/>
        </w:rPr>
        <w:t>s</w:t>
      </w:r>
      <w:r w:rsidRPr="00701F32">
        <w:rPr>
          <w:rFonts w:ascii="Arial" w:eastAsia="Calibri" w:hAnsi="Arial" w:cs="Arial"/>
          <w:noProof/>
          <w:sz w:val="20"/>
        </w:rPr>
        <w:t xml:space="preserve"> resultado</w:t>
      </w:r>
      <w:r>
        <w:rPr>
          <w:rFonts w:ascii="Arial" w:eastAsia="Calibri" w:hAnsi="Arial" w:cs="Arial"/>
          <w:noProof/>
          <w:sz w:val="20"/>
        </w:rPr>
        <w:t>s</w:t>
      </w:r>
      <w:r w:rsidRPr="00701F32">
        <w:rPr>
          <w:rFonts w:ascii="Arial" w:eastAsia="Calibri" w:hAnsi="Arial" w:cs="Arial"/>
          <w:noProof/>
          <w:sz w:val="20"/>
        </w:rPr>
        <w:t xml:space="preserve"> integral</w:t>
      </w:r>
      <w:r>
        <w:rPr>
          <w:rFonts w:ascii="Arial" w:eastAsia="Calibri" w:hAnsi="Arial" w:cs="Arial"/>
          <w:noProof/>
          <w:sz w:val="20"/>
        </w:rPr>
        <w:t>es</w:t>
      </w:r>
      <w:r w:rsidRPr="00701F32">
        <w:rPr>
          <w:rFonts w:ascii="Arial" w:eastAsia="Calibri" w:hAnsi="Arial" w:cs="Arial"/>
          <w:noProof/>
          <w:sz w:val="20"/>
        </w:rPr>
        <w:t>:</w:t>
      </w:r>
    </w:p>
    <w:p w14:paraId="6E114860"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Los activos financieros son medidos a valor razonable con cambios en otro resultado integral cuando:</w:t>
      </w:r>
    </w:p>
    <w:p w14:paraId="281272F4" w14:textId="77777777" w:rsidR="00931F52" w:rsidRPr="00701F32" w:rsidRDefault="00931F52" w:rsidP="00931F52">
      <w:pPr>
        <w:jc w:val="both"/>
        <w:rPr>
          <w:rFonts w:ascii="Arial" w:eastAsia="Calibri" w:hAnsi="Arial" w:cs="Arial"/>
          <w:noProof/>
          <w:sz w:val="20"/>
        </w:rPr>
      </w:pPr>
    </w:p>
    <w:p w14:paraId="66D0B9A7"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(a) el activo financiero se mantiene dentro de un modelo de negocio cuyo objetivo se logra obteniendo flujos de efectivo contractuales y vendiendo activos financieros; y</w:t>
      </w:r>
    </w:p>
    <w:p w14:paraId="706F32A7" w14:textId="77777777" w:rsidR="00931F52" w:rsidRPr="00701F32" w:rsidRDefault="00931F52" w:rsidP="00931F52">
      <w:pPr>
        <w:jc w:val="both"/>
        <w:rPr>
          <w:rFonts w:ascii="Arial" w:eastAsia="Calibri" w:hAnsi="Arial" w:cs="Arial"/>
          <w:noProof/>
          <w:sz w:val="20"/>
        </w:rPr>
      </w:pPr>
    </w:p>
    <w:p w14:paraId="74F71B96"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(b) las condiciones contractuales del activo financiero dan lugar, en fechas especificadas, a flujos de efectivo que son únicamente pagos del capital e intereses sobre el importe del capital pendiente.</w:t>
      </w:r>
    </w:p>
    <w:p w14:paraId="46EA517D" w14:textId="77777777" w:rsidR="00931F52" w:rsidRPr="00701F32" w:rsidRDefault="00931F52" w:rsidP="00931F52">
      <w:pPr>
        <w:jc w:val="both"/>
        <w:rPr>
          <w:rFonts w:ascii="Arial" w:eastAsia="Calibri" w:hAnsi="Arial" w:cs="Arial"/>
          <w:noProof/>
          <w:sz w:val="20"/>
        </w:rPr>
      </w:pPr>
    </w:p>
    <w:p w14:paraId="2644F5F6"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Estos instrumentos financieros se reconocen inicialmente a su valor razonable más los costos de transacción incrementales y directamente atribuibles, y posteriormente se miden a valor razonable con cambios en otro</w:t>
      </w:r>
      <w:r>
        <w:rPr>
          <w:rFonts w:ascii="Arial" w:eastAsia="Calibri" w:hAnsi="Arial" w:cs="Arial"/>
          <w:noProof/>
          <w:sz w:val="20"/>
        </w:rPr>
        <w:t>s</w:t>
      </w:r>
      <w:r w:rsidRPr="00701F32">
        <w:rPr>
          <w:rFonts w:ascii="Arial" w:eastAsia="Calibri" w:hAnsi="Arial" w:cs="Arial"/>
          <w:noProof/>
          <w:sz w:val="20"/>
        </w:rPr>
        <w:t xml:space="preserve"> resultado</w:t>
      </w:r>
      <w:r>
        <w:rPr>
          <w:rFonts w:ascii="Arial" w:eastAsia="Calibri" w:hAnsi="Arial" w:cs="Arial"/>
          <w:noProof/>
          <w:sz w:val="20"/>
        </w:rPr>
        <w:t xml:space="preserve">s </w:t>
      </w:r>
      <w:r w:rsidRPr="00701F32">
        <w:rPr>
          <w:rFonts w:ascii="Arial" w:eastAsia="Calibri" w:hAnsi="Arial" w:cs="Arial"/>
          <w:noProof/>
          <w:sz w:val="20"/>
        </w:rPr>
        <w:t>integral</w:t>
      </w:r>
      <w:r>
        <w:rPr>
          <w:rFonts w:ascii="Arial" w:eastAsia="Calibri" w:hAnsi="Arial" w:cs="Arial"/>
          <w:noProof/>
          <w:sz w:val="20"/>
        </w:rPr>
        <w:t>es</w:t>
      </w:r>
      <w:r w:rsidRPr="00701F32">
        <w:rPr>
          <w:rFonts w:ascii="Arial" w:eastAsia="Calibri" w:hAnsi="Arial" w:cs="Arial"/>
          <w:noProof/>
          <w:sz w:val="20"/>
        </w:rPr>
        <w:t>. Las ganancias y pérdidas que surgen de los cambios en el valor razonable se incluyen en otro</w:t>
      </w:r>
      <w:r>
        <w:rPr>
          <w:rFonts w:ascii="Arial" w:eastAsia="Calibri" w:hAnsi="Arial" w:cs="Arial"/>
          <w:noProof/>
          <w:sz w:val="20"/>
        </w:rPr>
        <w:t>s</w:t>
      </w:r>
      <w:r w:rsidRPr="00701F32">
        <w:rPr>
          <w:rFonts w:ascii="Arial" w:eastAsia="Calibri" w:hAnsi="Arial" w:cs="Arial"/>
          <w:noProof/>
          <w:sz w:val="20"/>
        </w:rPr>
        <w:t xml:space="preserve"> resultado</w:t>
      </w:r>
      <w:r>
        <w:rPr>
          <w:rFonts w:ascii="Arial" w:eastAsia="Calibri" w:hAnsi="Arial" w:cs="Arial"/>
          <w:noProof/>
          <w:sz w:val="20"/>
        </w:rPr>
        <w:t>s</w:t>
      </w:r>
      <w:r w:rsidRPr="00701F32">
        <w:rPr>
          <w:rFonts w:ascii="Arial" w:eastAsia="Calibri" w:hAnsi="Arial" w:cs="Arial"/>
          <w:noProof/>
          <w:sz w:val="20"/>
        </w:rPr>
        <w:t xml:space="preserve"> integral</w:t>
      </w:r>
      <w:r>
        <w:rPr>
          <w:rFonts w:ascii="Arial" w:eastAsia="Calibri" w:hAnsi="Arial" w:cs="Arial"/>
          <w:noProof/>
          <w:sz w:val="20"/>
        </w:rPr>
        <w:t>es</w:t>
      </w:r>
      <w:r w:rsidRPr="00701F32">
        <w:rPr>
          <w:rFonts w:ascii="Arial" w:eastAsia="Calibri" w:hAnsi="Arial" w:cs="Arial"/>
          <w:noProof/>
          <w:sz w:val="20"/>
        </w:rPr>
        <w:t xml:space="preserve"> dentro de un componente separado del patrimonio. Las pérdidas o reversiones por deterioro, los ingresos por intereses y las ganancias y pérdidas por tipo de cambio se reconocen en resultados. </w:t>
      </w:r>
    </w:p>
    <w:p w14:paraId="3E9CB822" w14:textId="77777777" w:rsidR="00931F52" w:rsidRPr="00701F32" w:rsidRDefault="00931F52" w:rsidP="00931F52">
      <w:pPr>
        <w:jc w:val="both"/>
        <w:rPr>
          <w:rFonts w:ascii="Arial" w:eastAsia="Calibri" w:hAnsi="Arial" w:cs="Arial"/>
          <w:noProof/>
          <w:sz w:val="20"/>
        </w:rPr>
      </w:pPr>
    </w:p>
    <w:p w14:paraId="1D50BB0F"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Al momento de su venta o disposición, la ganancia o pérdida acumulada previamente reconocida en otro</w:t>
      </w:r>
      <w:r>
        <w:rPr>
          <w:rFonts w:ascii="Arial" w:eastAsia="Calibri" w:hAnsi="Arial" w:cs="Arial"/>
          <w:noProof/>
          <w:sz w:val="20"/>
        </w:rPr>
        <w:t>s</w:t>
      </w:r>
      <w:r w:rsidRPr="00701F32">
        <w:rPr>
          <w:rFonts w:ascii="Arial" w:eastAsia="Calibri" w:hAnsi="Arial" w:cs="Arial"/>
          <w:noProof/>
          <w:sz w:val="20"/>
        </w:rPr>
        <w:t xml:space="preserve"> resultado</w:t>
      </w:r>
      <w:r>
        <w:rPr>
          <w:rFonts w:ascii="Arial" w:eastAsia="Calibri" w:hAnsi="Arial" w:cs="Arial"/>
          <w:noProof/>
          <w:sz w:val="20"/>
        </w:rPr>
        <w:t>s</w:t>
      </w:r>
      <w:r w:rsidRPr="00701F32">
        <w:rPr>
          <w:rFonts w:ascii="Arial" w:eastAsia="Calibri" w:hAnsi="Arial" w:cs="Arial"/>
          <w:noProof/>
          <w:sz w:val="20"/>
        </w:rPr>
        <w:t xml:space="preserve"> integral</w:t>
      </w:r>
      <w:r>
        <w:rPr>
          <w:rFonts w:ascii="Arial" w:eastAsia="Calibri" w:hAnsi="Arial" w:cs="Arial"/>
          <w:noProof/>
          <w:sz w:val="20"/>
        </w:rPr>
        <w:t>es</w:t>
      </w:r>
      <w:r w:rsidRPr="00701F32">
        <w:rPr>
          <w:rFonts w:ascii="Arial" w:eastAsia="Calibri" w:hAnsi="Arial" w:cs="Arial"/>
          <w:noProof/>
          <w:sz w:val="20"/>
        </w:rPr>
        <w:t xml:space="preserve"> se reclasifica del patrimonio al estado de resultados. </w:t>
      </w:r>
    </w:p>
    <w:p w14:paraId="3D24E599" w14:textId="77777777" w:rsidR="00931F52" w:rsidRPr="00701F32" w:rsidRDefault="00931F52" w:rsidP="00931F52">
      <w:pPr>
        <w:jc w:val="both"/>
        <w:rPr>
          <w:rFonts w:ascii="Arial" w:eastAsia="Calibri" w:hAnsi="Arial" w:cs="Arial"/>
          <w:noProof/>
          <w:sz w:val="20"/>
        </w:rPr>
      </w:pPr>
    </w:p>
    <w:p w14:paraId="4B88EC6F" w14:textId="77777777" w:rsidR="00931F52" w:rsidRPr="00701F32" w:rsidRDefault="00931F52" w:rsidP="00D538FD">
      <w:pPr>
        <w:numPr>
          <w:ilvl w:val="0"/>
          <w:numId w:val="50"/>
        </w:numPr>
        <w:spacing w:after="160" w:line="259" w:lineRule="auto"/>
        <w:jc w:val="both"/>
        <w:rPr>
          <w:rFonts w:ascii="Arial" w:eastAsia="Calibri" w:hAnsi="Arial" w:cs="Arial"/>
          <w:noProof/>
          <w:sz w:val="20"/>
        </w:rPr>
      </w:pPr>
      <w:r w:rsidRPr="00701F32">
        <w:rPr>
          <w:rFonts w:ascii="Arial" w:eastAsia="Calibri" w:hAnsi="Arial" w:cs="Arial"/>
          <w:noProof/>
          <w:sz w:val="20"/>
        </w:rPr>
        <w:t>Activos financieros a valor razonable con cambios en resultados:</w:t>
      </w:r>
    </w:p>
    <w:p w14:paraId="5EE32D99"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Los activos financieros a valor razonable con cambios en resultados, comprende:</w:t>
      </w:r>
    </w:p>
    <w:p w14:paraId="4C59272A" w14:textId="77777777" w:rsidR="00931F52" w:rsidRPr="00701F32" w:rsidRDefault="00931F52" w:rsidP="00D538FD">
      <w:pPr>
        <w:numPr>
          <w:ilvl w:val="0"/>
          <w:numId w:val="45"/>
        </w:numPr>
        <w:spacing w:after="160" w:line="259" w:lineRule="auto"/>
        <w:jc w:val="both"/>
        <w:rPr>
          <w:rFonts w:ascii="Arial" w:eastAsia="Calibri" w:hAnsi="Arial" w:cs="Arial"/>
          <w:noProof/>
          <w:sz w:val="20"/>
        </w:rPr>
      </w:pPr>
      <w:r w:rsidRPr="00701F32">
        <w:rPr>
          <w:rFonts w:ascii="Arial" w:eastAsia="Calibri" w:hAnsi="Arial" w:cs="Arial"/>
          <w:noProof/>
          <w:sz w:val="20"/>
        </w:rPr>
        <w:t>Instrumentos mantenidos para negociar;</w:t>
      </w:r>
    </w:p>
    <w:p w14:paraId="13405545" w14:textId="77777777" w:rsidR="00931F52" w:rsidRPr="00701F32" w:rsidRDefault="00931F52" w:rsidP="00D538FD">
      <w:pPr>
        <w:numPr>
          <w:ilvl w:val="0"/>
          <w:numId w:val="45"/>
        </w:numPr>
        <w:spacing w:after="160" w:line="259" w:lineRule="auto"/>
        <w:jc w:val="both"/>
        <w:rPr>
          <w:rFonts w:ascii="Arial" w:eastAsia="Calibri" w:hAnsi="Arial" w:cs="Arial"/>
          <w:noProof/>
          <w:sz w:val="20"/>
        </w:rPr>
      </w:pPr>
      <w:r w:rsidRPr="00701F32">
        <w:rPr>
          <w:rFonts w:ascii="Arial" w:eastAsia="Calibri" w:hAnsi="Arial" w:cs="Arial"/>
          <w:noProof/>
          <w:sz w:val="20"/>
        </w:rPr>
        <w:t>Instrumentos específicamente designados a valor razonable con cambios en resultados; e</w:t>
      </w:r>
    </w:p>
    <w:p w14:paraId="2613F7D5" w14:textId="77777777" w:rsidR="00931F52" w:rsidRPr="00701F32" w:rsidRDefault="00931F52" w:rsidP="00D538FD">
      <w:pPr>
        <w:numPr>
          <w:ilvl w:val="0"/>
          <w:numId w:val="45"/>
        </w:numPr>
        <w:spacing w:after="160" w:line="259" w:lineRule="auto"/>
        <w:jc w:val="both"/>
        <w:rPr>
          <w:rFonts w:ascii="Arial" w:eastAsia="Calibri" w:hAnsi="Arial" w:cs="Arial"/>
          <w:noProof/>
          <w:sz w:val="20"/>
        </w:rPr>
      </w:pPr>
      <w:r w:rsidRPr="00701F32">
        <w:rPr>
          <w:rFonts w:ascii="Arial" w:eastAsia="Calibri" w:hAnsi="Arial" w:cs="Arial"/>
          <w:noProof/>
          <w:sz w:val="20"/>
        </w:rPr>
        <w:t>Instrumentos con términos contractuales que no representan flujos de efectivo que son únicamente pagos del principal e intereses sobre el importe del principal pendiente.</w:t>
      </w:r>
    </w:p>
    <w:p w14:paraId="67176FF5"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Estos instrumentos financieros se reconocen inicialmente a su valor razonable y cualquier ganancia o pérdida es reconocida en el estado de resultados a medida que se realizan.</w:t>
      </w:r>
    </w:p>
    <w:p w14:paraId="092EF215" w14:textId="77777777" w:rsidR="00931F52" w:rsidRPr="00701F32" w:rsidRDefault="00931F52" w:rsidP="00931F52">
      <w:pPr>
        <w:jc w:val="both"/>
        <w:rPr>
          <w:rFonts w:ascii="Arial" w:eastAsia="Calibri" w:hAnsi="Arial" w:cs="Arial"/>
          <w:noProof/>
          <w:sz w:val="20"/>
        </w:rPr>
      </w:pPr>
    </w:p>
    <w:p w14:paraId="6909CE91" w14:textId="77777777" w:rsidR="00931F52" w:rsidRPr="00701F32" w:rsidRDefault="00931F52" w:rsidP="00931F52">
      <w:pPr>
        <w:jc w:val="both"/>
        <w:rPr>
          <w:rFonts w:ascii="Arial" w:eastAsia="Calibri" w:hAnsi="Arial" w:cs="Arial"/>
          <w:i/>
          <w:noProof/>
          <w:sz w:val="20"/>
        </w:rPr>
      </w:pPr>
      <w:r w:rsidRPr="00701F32">
        <w:rPr>
          <w:rFonts w:ascii="Arial" w:eastAsia="Calibri" w:hAnsi="Arial" w:cs="Arial"/>
          <w:noProof/>
          <w:sz w:val="20"/>
        </w:rPr>
        <w:t xml:space="preserve">La Entidad clasifica un instrumento financiero como mantenido para negociar si se adquiere o se incurre principalmente con el propósito de vender o recomprar en el corto plazo, o si forma parte de una cartera de instrumentos financieros que se administran conjuntamente y para los cuales hay evidencia de ganancias a corto plazo, o es un derivado que no está en una relación de cobertura calificada. Los derivados y los valores para negociación se clasifican como mantenidos para negociar y se reconocen a valor razonable. </w:t>
      </w:r>
    </w:p>
    <w:p w14:paraId="384680B2" w14:textId="77777777" w:rsidR="00931F52" w:rsidRPr="00701F32" w:rsidRDefault="00931F52" w:rsidP="00931F52">
      <w:pPr>
        <w:jc w:val="both"/>
        <w:rPr>
          <w:rFonts w:ascii="Arial" w:eastAsia="Calibri" w:hAnsi="Arial" w:cs="Arial"/>
          <w:i/>
          <w:noProof/>
          <w:sz w:val="20"/>
        </w:rPr>
      </w:pPr>
    </w:p>
    <w:p w14:paraId="03C3F559" w14:textId="77777777" w:rsidR="00931F52" w:rsidRDefault="00931F52" w:rsidP="00931F52">
      <w:pPr>
        <w:spacing w:after="160" w:line="259" w:lineRule="auto"/>
        <w:contextualSpacing/>
        <w:jc w:val="both"/>
        <w:rPr>
          <w:rFonts w:ascii="Arial" w:eastAsia="Calibri" w:hAnsi="Arial" w:cs="Arial"/>
          <w:sz w:val="20"/>
        </w:rPr>
      </w:pPr>
      <w:r w:rsidRPr="00701F32">
        <w:rPr>
          <w:rFonts w:ascii="Arial" w:eastAsia="Calibri" w:hAnsi="Arial" w:cs="Arial"/>
          <w:sz w:val="20"/>
        </w:rPr>
        <w:t>El valor razonable de estos instrumentos se calculó utilizando las cotizaciones vigentes al cierre de cada ejercicio en mercados activos, de ser representativas. En caso de no contar con un mercado activo, se utilizaron técnicas de valoración que incluyeron la utilización de operaciones de mercado realizadas en condiciones de independencia mutua, entre partes interesadas y debidamente informadas, siempre que estén disponibles, así como referencias al valor razonable actual de otro instrumento que es sustancialmente similar, o bien el análisis de flujos de efectivo descontados. La estimación de los valores razonables se explica con mayor detalle en el apartado “políticas y estimaciones contables críticas”.</w:t>
      </w:r>
    </w:p>
    <w:p w14:paraId="0FA81227" w14:textId="77777777" w:rsidR="00931F52" w:rsidRDefault="00931F52" w:rsidP="00931F52">
      <w:pPr>
        <w:spacing w:after="160" w:line="259" w:lineRule="auto"/>
        <w:contextualSpacing/>
        <w:jc w:val="both"/>
        <w:rPr>
          <w:rFonts w:ascii="Arial" w:eastAsia="Calibri" w:hAnsi="Arial" w:cs="Arial"/>
          <w:sz w:val="20"/>
        </w:rPr>
      </w:pPr>
    </w:p>
    <w:p w14:paraId="3DCD2C33" w14:textId="77777777" w:rsidR="00931F52" w:rsidRPr="00124563" w:rsidRDefault="00931F52" w:rsidP="00931F52">
      <w:pPr>
        <w:spacing w:after="160" w:line="259" w:lineRule="auto"/>
        <w:contextualSpacing/>
        <w:jc w:val="both"/>
        <w:rPr>
          <w:rFonts w:ascii="Arial" w:eastAsia="Calibri" w:hAnsi="Arial" w:cs="Arial"/>
          <w:sz w:val="20"/>
        </w:rPr>
      </w:pPr>
      <w:r w:rsidRPr="00EA530F">
        <w:rPr>
          <w:rFonts w:ascii="Arial" w:eastAsia="Calibri" w:hAnsi="Arial" w:cs="Arial"/>
          <w:noProof/>
          <w:sz w:val="20"/>
        </w:rPr>
        <w:t>Adicionalmente los activos financieros pueden ser valuados (“designados”) a valor razonable con cambios en resultados cuando al hacerlo, el Banco elimina o reduce significativamente una inconsistencia de medición o reconocimiento.</w:t>
      </w:r>
    </w:p>
    <w:p w14:paraId="032565B1" w14:textId="77777777" w:rsidR="00931F52" w:rsidRPr="00701F32" w:rsidRDefault="00931F52" w:rsidP="00931F52">
      <w:pPr>
        <w:spacing w:after="160" w:line="259" w:lineRule="auto"/>
        <w:contextualSpacing/>
        <w:jc w:val="both"/>
        <w:rPr>
          <w:rFonts w:ascii="Arial" w:eastAsia="Calibri" w:hAnsi="Arial" w:cs="Arial"/>
          <w:sz w:val="20"/>
        </w:rPr>
      </w:pPr>
    </w:p>
    <w:p w14:paraId="4CBADD84" w14:textId="77777777" w:rsidR="00931F52" w:rsidRPr="00701F32" w:rsidRDefault="00931F52" w:rsidP="00931F52">
      <w:pPr>
        <w:jc w:val="both"/>
        <w:rPr>
          <w:rFonts w:ascii="Arial" w:eastAsia="Calibri" w:hAnsi="Arial" w:cs="Arial"/>
          <w:noProof/>
          <w:sz w:val="20"/>
          <w:u w:val="single"/>
        </w:rPr>
      </w:pPr>
      <w:r w:rsidRPr="00701F32">
        <w:rPr>
          <w:rFonts w:ascii="Arial" w:eastAsia="Calibri" w:hAnsi="Arial" w:cs="Arial"/>
          <w:noProof/>
          <w:sz w:val="20"/>
          <w:u w:val="single"/>
        </w:rPr>
        <w:t>b - Instrumentos del patrimonio</w:t>
      </w:r>
    </w:p>
    <w:p w14:paraId="37D0DCDC" w14:textId="77777777" w:rsidR="00931F52" w:rsidRPr="00701F32" w:rsidRDefault="00931F52" w:rsidP="00931F52">
      <w:pPr>
        <w:jc w:val="both"/>
        <w:rPr>
          <w:rFonts w:ascii="Arial" w:eastAsia="Calibri" w:hAnsi="Arial" w:cs="Arial"/>
          <w:noProof/>
          <w:sz w:val="20"/>
        </w:rPr>
      </w:pPr>
    </w:p>
    <w:p w14:paraId="62B5AE79"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 xml:space="preserve">Los instrumentos del patrimonio son aquellos considerados de dicha manera por el emisor, esto quiere decir instrumentos que no contemplen una obligación contractual de pagar y que evidencian un interés residual sobre el activo del emisor luego de deducir todo su pasivo. </w:t>
      </w:r>
    </w:p>
    <w:p w14:paraId="6EF34DE4" w14:textId="77777777" w:rsidR="00931F52" w:rsidRPr="00701F32" w:rsidRDefault="00931F52" w:rsidP="00931F52">
      <w:pPr>
        <w:jc w:val="both"/>
        <w:rPr>
          <w:rFonts w:ascii="Arial" w:eastAsia="Calibri" w:hAnsi="Arial" w:cs="Arial"/>
          <w:noProof/>
          <w:sz w:val="20"/>
        </w:rPr>
      </w:pPr>
    </w:p>
    <w:p w14:paraId="0700204A" w14:textId="77777777" w:rsidR="00931F52" w:rsidRPr="00701F32" w:rsidRDefault="00931F52" w:rsidP="00931F52">
      <w:pPr>
        <w:jc w:val="both"/>
        <w:rPr>
          <w:rFonts w:ascii="Arial" w:eastAsia="Calibri" w:hAnsi="Arial" w:cs="Arial"/>
          <w:noProof/>
          <w:sz w:val="20"/>
          <w:u w:val="single"/>
        </w:rPr>
      </w:pPr>
      <w:r w:rsidRPr="00701F32">
        <w:rPr>
          <w:rFonts w:ascii="Arial" w:eastAsia="Calibri" w:hAnsi="Arial" w:cs="Arial"/>
          <w:noProof/>
          <w:sz w:val="20"/>
        </w:rPr>
        <w:t xml:space="preserve">Dichos instrumentos son valuados a valor razonable con cambios en resultados, excepto cuando la gerencia haya hecho uso, al momento del reconocimiento inicial, de la opción irrevocable de medirlos a valor razonable con cambio en otros resultados integrales. Este método solamente es aplicable cuando los instrumentos no sean mantenidos para negociar y los resultados serán contabilizados en ORI sin posibilidad de reclasificación, aun cuando se encuentren realizados. Los dividendos a cobrar que surgen de dicho instrumento, se reconocerán como resultado únicamente cuando se tenga el derecho a recibir el pago. </w:t>
      </w:r>
    </w:p>
    <w:p w14:paraId="2AE35F1F" w14:textId="77777777" w:rsidR="00931F52" w:rsidRPr="00701F32" w:rsidRDefault="00931F52" w:rsidP="00931F52">
      <w:pPr>
        <w:jc w:val="both"/>
        <w:rPr>
          <w:rFonts w:ascii="Arial" w:eastAsia="Calibri" w:hAnsi="Arial" w:cs="Arial"/>
          <w:noProof/>
          <w:sz w:val="20"/>
          <w:u w:val="single"/>
        </w:rPr>
      </w:pPr>
    </w:p>
    <w:p w14:paraId="71B0B235" w14:textId="77777777" w:rsidR="00B1205B" w:rsidRDefault="00B1205B" w:rsidP="00931F52">
      <w:pPr>
        <w:jc w:val="both"/>
        <w:rPr>
          <w:rFonts w:ascii="Arial" w:eastAsia="Calibri" w:hAnsi="Arial" w:cs="Arial"/>
          <w:noProof/>
          <w:sz w:val="20"/>
          <w:u w:val="single"/>
        </w:rPr>
      </w:pPr>
    </w:p>
    <w:p w14:paraId="0F27B166" w14:textId="77777777" w:rsidR="00B1205B" w:rsidRDefault="00B1205B" w:rsidP="00931F52">
      <w:pPr>
        <w:jc w:val="both"/>
        <w:rPr>
          <w:rFonts w:ascii="Arial" w:eastAsia="Calibri" w:hAnsi="Arial" w:cs="Arial"/>
          <w:noProof/>
          <w:sz w:val="20"/>
          <w:u w:val="single"/>
        </w:rPr>
      </w:pPr>
    </w:p>
    <w:p w14:paraId="6FC4F07D" w14:textId="22B18428" w:rsidR="00931F52" w:rsidRPr="00701F32" w:rsidRDefault="00931F52" w:rsidP="00931F52">
      <w:pPr>
        <w:jc w:val="both"/>
        <w:rPr>
          <w:rFonts w:ascii="Arial" w:eastAsia="Calibri" w:hAnsi="Arial" w:cs="Arial"/>
          <w:noProof/>
          <w:sz w:val="20"/>
          <w:u w:val="single"/>
        </w:rPr>
      </w:pPr>
      <w:r w:rsidRPr="00701F32">
        <w:rPr>
          <w:rFonts w:ascii="Arial" w:eastAsia="Calibri" w:hAnsi="Arial" w:cs="Arial"/>
          <w:noProof/>
          <w:sz w:val="20"/>
          <w:u w:val="single"/>
        </w:rPr>
        <w:t>Baja de Activos Financieros</w:t>
      </w:r>
    </w:p>
    <w:p w14:paraId="714AEF82" w14:textId="77777777" w:rsidR="00931F52" w:rsidRPr="00701F32" w:rsidRDefault="00931F52" w:rsidP="00931F52">
      <w:pPr>
        <w:jc w:val="both"/>
        <w:rPr>
          <w:rFonts w:ascii="Arial" w:eastAsia="Calibri" w:hAnsi="Arial" w:cs="Arial"/>
          <w:noProof/>
          <w:sz w:val="20"/>
        </w:rPr>
      </w:pPr>
    </w:p>
    <w:p w14:paraId="62D3310E"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 xml:space="preserve">La Entidad reconoce la baja de los activos financieros únicamente cuando </w:t>
      </w:r>
      <w:r>
        <w:rPr>
          <w:rFonts w:ascii="Arial" w:eastAsia="Calibri" w:hAnsi="Arial" w:cs="Arial"/>
          <w:noProof/>
          <w:sz w:val="20"/>
        </w:rPr>
        <w:t>cumplan con</w:t>
      </w:r>
      <w:r w:rsidRPr="00701F32">
        <w:rPr>
          <w:rFonts w:ascii="Arial" w:eastAsia="Calibri" w:hAnsi="Arial" w:cs="Arial"/>
          <w:noProof/>
          <w:sz w:val="20"/>
        </w:rPr>
        <w:t xml:space="preserve"> alguna de las siguientes condiciones: </w:t>
      </w:r>
    </w:p>
    <w:p w14:paraId="5B0DD667" w14:textId="77777777" w:rsidR="00931F52" w:rsidRPr="00701F32" w:rsidRDefault="00931F52" w:rsidP="00931F52">
      <w:pPr>
        <w:jc w:val="both"/>
        <w:rPr>
          <w:rFonts w:ascii="Arial" w:eastAsia="Calibri" w:hAnsi="Arial" w:cs="Arial"/>
          <w:noProof/>
          <w:sz w:val="20"/>
        </w:rPr>
      </w:pPr>
    </w:p>
    <w:p w14:paraId="3CE711F9" w14:textId="77777777" w:rsidR="00931F52" w:rsidRPr="00701F32" w:rsidRDefault="00931F52" w:rsidP="00D538FD">
      <w:pPr>
        <w:numPr>
          <w:ilvl w:val="3"/>
          <w:numId w:val="44"/>
        </w:numPr>
        <w:spacing w:after="160" w:line="259" w:lineRule="auto"/>
        <w:ind w:left="567"/>
        <w:contextualSpacing/>
        <w:jc w:val="both"/>
        <w:rPr>
          <w:rFonts w:ascii="Arial" w:eastAsia="Calibri" w:hAnsi="Arial" w:cs="Arial"/>
          <w:noProof/>
          <w:sz w:val="20"/>
        </w:rPr>
      </w:pPr>
      <w:r>
        <w:rPr>
          <w:rFonts w:ascii="Arial" w:eastAsia="Calibri" w:hAnsi="Arial" w:cs="Arial"/>
          <w:noProof/>
          <w:sz w:val="20"/>
        </w:rPr>
        <w:t>Expiren</w:t>
      </w:r>
      <w:r w:rsidRPr="00701F32">
        <w:rPr>
          <w:rFonts w:ascii="Arial" w:eastAsia="Calibri" w:hAnsi="Arial" w:cs="Arial"/>
          <w:noProof/>
          <w:sz w:val="20"/>
        </w:rPr>
        <w:t xml:space="preserve"> los derechos sobre los flujos de fondos del activo financiero; o </w:t>
      </w:r>
    </w:p>
    <w:p w14:paraId="07A94E29" w14:textId="77777777" w:rsidR="00931F52" w:rsidRPr="00701F32" w:rsidRDefault="00931F52" w:rsidP="00D538FD">
      <w:pPr>
        <w:numPr>
          <w:ilvl w:val="3"/>
          <w:numId w:val="44"/>
        </w:numPr>
        <w:spacing w:after="160" w:line="259" w:lineRule="auto"/>
        <w:ind w:left="567"/>
        <w:contextualSpacing/>
        <w:jc w:val="both"/>
        <w:rPr>
          <w:rFonts w:ascii="Arial" w:eastAsia="Calibri" w:hAnsi="Arial" w:cs="Arial"/>
          <w:noProof/>
          <w:sz w:val="20"/>
        </w:rPr>
      </w:pPr>
      <w:r w:rsidRPr="00701F32">
        <w:rPr>
          <w:rFonts w:ascii="Arial" w:eastAsia="Calibri" w:hAnsi="Arial" w:cs="Arial"/>
          <w:noProof/>
          <w:sz w:val="20"/>
        </w:rPr>
        <w:t>Se realice la transferencia del activo financiero de acuerdo a los requerimientos del punto 3.2.4 de la NIIF 9.</w:t>
      </w:r>
    </w:p>
    <w:p w14:paraId="05282010" w14:textId="77777777" w:rsidR="00931F52" w:rsidRPr="00701F32" w:rsidRDefault="00931F52" w:rsidP="00931F52">
      <w:pPr>
        <w:jc w:val="both"/>
        <w:rPr>
          <w:rFonts w:ascii="Arial" w:eastAsia="Calibri" w:hAnsi="Arial" w:cs="Arial"/>
          <w:noProof/>
          <w:sz w:val="20"/>
        </w:rPr>
      </w:pPr>
    </w:p>
    <w:p w14:paraId="6F62BCE2"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La Entidad da de baja los activos financieros que hayan sido transferidos únicamente cuando cumple con las siguientes caracteristicas:</w:t>
      </w:r>
    </w:p>
    <w:p w14:paraId="39F51759" w14:textId="77777777" w:rsidR="00931F52" w:rsidRPr="00701F32" w:rsidRDefault="00931F52" w:rsidP="00931F52">
      <w:pPr>
        <w:jc w:val="both"/>
        <w:rPr>
          <w:rFonts w:ascii="Arial" w:eastAsia="Calibri" w:hAnsi="Arial" w:cs="Arial"/>
          <w:noProof/>
          <w:sz w:val="20"/>
        </w:rPr>
      </w:pPr>
    </w:p>
    <w:p w14:paraId="0A8D84E1" w14:textId="77777777" w:rsidR="00931F52" w:rsidRPr="00701F32" w:rsidRDefault="00931F52" w:rsidP="00D538FD">
      <w:pPr>
        <w:numPr>
          <w:ilvl w:val="0"/>
          <w:numId w:val="47"/>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Ha transferido los derechos contractuales de recibir flujos de fondos futuros</w:t>
      </w:r>
    </w:p>
    <w:p w14:paraId="722F7384" w14:textId="77777777" w:rsidR="00931F52" w:rsidRPr="00701F32" w:rsidRDefault="00931F52" w:rsidP="00D538FD">
      <w:pPr>
        <w:numPr>
          <w:ilvl w:val="0"/>
          <w:numId w:val="47"/>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 xml:space="preserve">Retiene los derechos contractuales de recibir flujos de fondos pero asume una obligación de </w:t>
      </w:r>
      <w:r>
        <w:rPr>
          <w:rFonts w:ascii="Arial" w:eastAsia="Calibri" w:hAnsi="Arial" w:cs="Arial"/>
          <w:noProof/>
          <w:sz w:val="20"/>
        </w:rPr>
        <w:t>transferirlos siempre que</w:t>
      </w:r>
      <w:r w:rsidRPr="00701F32" w:rsidDel="00197E05">
        <w:rPr>
          <w:rFonts w:ascii="Arial" w:eastAsia="Calibri" w:hAnsi="Arial" w:cs="Arial"/>
          <w:noProof/>
          <w:sz w:val="20"/>
        </w:rPr>
        <w:t xml:space="preserve"> </w:t>
      </w:r>
      <w:r w:rsidRPr="00701F32">
        <w:rPr>
          <w:rFonts w:ascii="Arial" w:eastAsia="Calibri" w:hAnsi="Arial" w:cs="Arial"/>
          <w:noProof/>
          <w:sz w:val="20"/>
        </w:rPr>
        <w:t>se cumplan los tres requisitos siguientes:</w:t>
      </w:r>
    </w:p>
    <w:p w14:paraId="216F8F9B" w14:textId="77777777" w:rsidR="00931F52" w:rsidRPr="00701F32" w:rsidRDefault="00931F52" w:rsidP="00D538FD">
      <w:pPr>
        <w:numPr>
          <w:ilvl w:val="1"/>
          <w:numId w:val="47"/>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La Entidad no está obligada a pagar ningún importe sin recibir los flujos por la transferencia del activo;</w:t>
      </w:r>
    </w:p>
    <w:p w14:paraId="4FE50280" w14:textId="77777777" w:rsidR="00931F52" w:rsidRPr="00701F32" w:rsidRDefault="00931F52" w:rsidP="00D538FD">
      <w:pPr>
        <w:numPr>
          <w:ilvl w:val="1"/>
          <w:numId w:val="47"/>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La Entidad tiene prohibid</w:t>
      </w:r>
      <w:r>
        <w:rPr>
          <w:rFonts w:ascii="Arial" w:eastAsia="Calibri" w:hAnsi="Arial" w:cs="Arial"/>
          <w:noProof/>
          <w:sz w:val="20"/>
        </w:rPr>
        <w:t>a</w:t>
      </w:r>
      <w:r w:rsidRPr="00701F32">
        <w:rPr>
          <w:rFonts w:ascii="Arial" w:eastAsia="Calibri" w:hAnsi="Arial" w:cs="Arial"/>
          <w:noProof/>
          <w:sz w:val="20"/>
        </w:rPr>
        <w:t xml:space="preserve"> la venta del activo financiero; </w:t>
      </w:r>
      <w:r>
        <w:rPr>
          <w:rFonts w:ascii="Arial" w:eastAsia="Calibri" w:hAnsi="Arial" w:cs="Arial"/>
          <w:noProof/>
          <w:sz w:val="20"/>
        </w:rPr>
        <w:t>y</w:t>
      </w:r>
    </w:p>
    <w:p w14:paraId="1F9DD67F" w14:textId="78705DCD" w:rsidR="00931F52" w:rsidRPr="00701F32" w:rsidRDefault="00931F52" w:rsidP="00D538FD">
      <w:pPr>
        <w:numPr>
          <w:ilvl w:val="1"/>
          <w:numId w:val="47"/>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La Entidad tiene que remitir los flujos de fondos a los cuales se ha comprometido.</w:t>
      </w:r>
    </w:p>
    <w:p w14:paraId="053A927E" w14:textId="77777777" w:rsidR="00931F52" w:rsidRPr="00701F32" w:rsidRDefault="00931F52" w:rsidP="00931F52">
      <w:pPr>
        <w:jc w:val="both"/>
        <w:rPr>
          <w:rFonts w:ascii="Arial" w:eastAsia="Calibri" w:hAnsi="Arial" w:cs="Arial"/>
          <w:noProof/>
          <w:sz w:val="20"/>
          <w:u w:val="single"/>
        </w:rPr>
      </w:pPr>
    </w:p>
    <w:p w14:paraId="3312A2C6" w14:textId="77777777" w:rsidR="00931F52" w:rsidRPr="00701F32" w:rsidRDefault="00931F52" w:rsidP="00931F52">
      <w:pPr>
        <w:rPr>
          <w:rFonts w:ascii="Arial" w:eastAsia="Calibri" w:hAnsi="Arial" w:cs="Arial"/>
          <w:b/>
          <w:noProof/>
          <w:sz w:val="20"/>
          <w:u w:val="single"/>
        </w:rPr>
      </w:pPr>
      <w:r w:rsidRPr="00701F32">
        <w:rPr>
          <w:rFonts w:ascii="Arial" w:eastAsia="Calibri" w:hAnsi="Arial" w:cs="Arial"/>
          <w:b/>
          <w:noProof/>
          <w:sz w:val="20"/>
          <w:u w:val="single"/>
        </w:rPr>
        <w:t>Pasivos financieros</w:t>
      </w:r>
    </w:p>
    <w:p w14:paraId="6CFB45D7" w14:textId="77777777" w:rsidR="00931F52" w:rsidRPr="00701F32" w:rsidRDefault="00931F52" w:rsidP="00931F52">
      <w:pPr>
        <w:jc w:val="both"/>
        <w:rPr>
          <w:rFonts w:ascii="Arial" w:eastAsia="Calibri" w:hAnsi="Arial" w:cs="Arial"/>
          <w:noProof/>
          <w:sz w:val="20"/>
        </w:rPr>
      </w:pPr>
    </w:p>
    <w:p w14:paraId="7EB346FB" w14:textId="77777777" w:rsidR="00931F52" w:rsidRPr="00701F32" w:rsidRDefault="00931F52" w:rsidP="00931F52">
      <w:pPr>
        <w:jc w:val="both"/>
        <w:rPr>
          <w:rFonts w:ascii="Arial" w:eastAsia="Calibri" w:hAnsi="Arial" w:cs="Arial"/>
          <w:noProof/>
          <w:sz w:val="20"/>
          <w:u w:val="single"/>
        </w:rPr>
      </w:pPr>
      <w:r w:rsidRPr="00701F32">
        <w:rPr>
          <w:rFonts w:ascii="Arial" w:eastAsia="Calibri" w:hAnsi="Arial" w:cs="Arial"/>
          <w:noProof/>
          <w:sz w:val="20"/>
          <w:u w:val="single"/>
        </w:rPr>
        <w:t>Clasificación</w:t>
      </w:r>
    </w:p>
    <w:p w14:paraId="3EB71161" w14:textId="77777777" w:rsidR="00931F52" w:rsidRPr="00701F32" w:rsidRDefault="00931F52" w:rsidP="00931F52">
      <w:pPr>
        <w:jc w:val="both"/>
        <w:rPr>
          <w:rFonts w:ascii="Arial" w:eastAsia="Calibri" w:hAnsi="Arial" w:cs="Arial"/>
          <w:noProof/>
          <w:sz w:val="20"/>
        </w:rPr>
      </w:pPr>
    </w:p>
    <w:p w14:paraId="10229C5E"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La Entidad clasifica sus pasivos financieros a costo amortizado utilizando el método de la tasa efectiva excepto por:</w:t>
      </w:r>
    </w:p>
    <w:p w14:paraId="1AD58BBB" w14:textId="77777777" w:rsidR="00931F52" w:rsidRPr="00701F32" w:rsidRDefault="00931F52" w:rsidP="00931F52">
      <w:pPr>
        <w:jc w:val="both"/>
        <w:rPr>
          <w:rFonts w:ascii="Arial" w:eastAsia="Calibri" w:hAnsi="Arial" w:cs="Arial"/>
          <w:noProof/>
          <w:sz w:val="20"/>
        </w:rPr>
      </w:pPr>
    </w:p>
    <w:p w14:paraId="0D5E46A6" w14:textId="77777777" w:rsidR="00931F52" w:rsidRPr="00701F32" w:rsidRDefault="00931F52" w:rsidP="00D538FD">
      <w:pPr>
        <w:numPr>
          <w:ilvl w:val="0"/>
          <w:numId w:val="46"/>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Pasivos financieros que sean valuados al valor razonable con cambios en resultados.</w:t>
      </w:r>
    </w:p>
    <w:p w14:paraId="74C90D3E" w14:textId="77777777" w:rsidR="00931F52" w:rsidRPr="00701F32" w:rsidRDefault="00931F52" w:rsidP="00D538FD">
      <w:pPr>
        <w:numPr>
          <w:ilvl w:val="0"/>
          <w:numId w:val="46"/>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Pasivos que surjan de transferencia de activos financieros.</w:t>
      </w:r>
    </w:p>
    <w:p w14:paraId="600DF38A" w14:textId="77777777" w:rsidR="00931F52" w:rsidRPr="00701F32" w:rsidRDefault="00931F52" w:rsidP="00D538FD">
      <w:pPr>
        <w:numPr>
          <w:ilvl w:val="0"/>
          <w:numId w:val="46"/>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Contratos de garantía financiera.</w:t>
      </w:r>
    </w:p>
    <w:p w14:paraId="1244E441" w14:textId="77777777" w:rsidR="00931F52" w:rsidRPr="00701F32" w:rsidRDefault="00931F52" w:rsidP="00D538FD">
      <w:pPr>
        <w:numPr>
          <w:ilvl w:val="0"/>
          <w:numId w:val="46"/>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Compromisos de otorgamiento de préstamos a tasa inferior a la de mercado.</w:t>
      </w:r>
    </w:p>
    <w:p w14:paraId="77F55366" w14:textId="77777777" w:rsidR="00931F52" w:rsidRPr="00701F32" w:rsidRDefault="00931F52" w:rsidP="00931F52">
      <w:pPr>
        <w:jc w:val="both"/>
        <w:rPr>
          <w:rFonts w:ascii="Arial" w:eastAsia="Calibri" w:hAnsi="Arial" w:cs="Arial"/>
          <w:noProof/>
          <w:sz w:val="20"/>
          <w:u w:val="single"/>
        </w:rPr>
      </w:pPr>
    </w:p>
    <w:p w14:paraId="198D5C54"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u w:val="single"/>
        </w:rPr>
        <w:t>Pasivos Financieros valuados a valor razonable con cambios en resultados:</w:t>
      </w:r>
      <w:r w:rsidRPr="00701F32">
        <w:rPr>
          <w:rFonts w:ascii="Arial" w:eastAsia="Calibri" w:hAnsi="Arial" w:cs="Arial"/>
          <w:noProof/>
          <w:sz w:val="20"/>
        </w:rPr>
        <w:t xml:space="preserve"> La Entidad puede optar por hacer uso, al inicio, de la opción irrevocable de designar un pasivo a valor razonable con cambios en resultados si y solo si, al hacerlo, refleja mas adecuadamente la información financiera porque:</w:t>
      </w:r>
    </w:p>
    <w:p w14:paraId="5F1BC81F" w14:textId="77777777" w:rsidR="00931F52" w:rsidRPr="00701F32" w:rsidRDefault="00931F52" w:rsidP="00931F52">
      <w:pPr>
        <w:jc w:val="both"/>
        <w:rPr>
          <w:rFonts w:ascii="Arial" w:eastAsia="Calibri" w:hAnsi="Arial" w:cs="Arial"/>
          <w:noProof/>
          <w:sz w:val="20"/>
        </w:rPr>
      </w:pPr>
    </w:p>
    <w:p w14:paraId="47D943A6" w14:textId="77777777" w:rsidR="00931F52" w:rsidRPr="00701F32" w:rsidRDefault="00931F52" w:rsidP="00D538FD">
      <w:pPr>
        <w:numPr>
          <w:ilvl w:val="0"/>
          <w:numId w:val="45"/>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el Banco elimina o reduce significativamente las inconcistencias de medición o reconocimiento que en caso contrario quedaría expuesto en la valuación;</w:t>
      </w:r>
    </w:p>
    <w:p w14:paraId="750510D7" w14:textId="77777777" w:rsidR="00931F52" w:rsidRPr="00701F32" w:rsidRDefault="00931F52" w:rsidP="00D538FD">
      <w:pPr>
        <w:numPr>
          <w:ilvl w:val="0"/>
          <w:numId w:val="45"/>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si los activos y pasivos financieros se gestionan y se evalúa su desempeño sobre una base de valor razonable de acuerdo con una estrategia de inversión o gestión de riesgos documentada; o</w:t>
      </w:r>
    </w:p>
    <w:p w14:paraId="5E640AA1" w14:textId="77777777" w:rsidR="00931F52" w:rsidRPr="00701F32" w:rsidRDefault="00931F52" w:rsidP="00D538FD">
      <w:pPr>
        <w:numPr>
          <w:ilvl w:val="0"/>
          <w:numId w:val="45"/>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un contrato principal contiene uno o más derivados implicitos.</w:t>
      </w:r>
    </w:p>
    <w:p w14:paraId="3EF8AC83" w14:textId="77777777" w:rsidR="00931F52" w:rsidRPr="00701F32" w:rsidRDefault="00931F52" w:rsidP="00931F52">
      <w:pPr>
        <w:jc w:val="both"/>
        <w:rPr>
          <w:rFonts w:ascii="Arial" w:eastAsia="Calibri" w:hAnsi="Arial" w:cs="Arial"/>
          <w:noProof/>
          <w:sz w:val="20"/>
        </w:rPr>
      </w:pPr>
    </w:p>
    <w:p w14:paraId="64FEF840" w14:textId="77777777"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u w:val="single"/>
        </w:rPr>
        <w:t>Contrato de garantía financiera:</w:t>
      </w:r>
      <w:r w:rsidRPr="00701F32">
        <w:rPr>
          <w:rFonts w:ascii="Arial" w:eastAsia="Calibri" w:hAnsi="Arial" w:cs="Arial"/>
          <w:noProof/>
          <w:sz w:val="20"/>
        </w:rPr>
        <w:t xml:space="preserve"> los contratos de garantías son aquellos que requiere que el emisor efectúe pagos específicos para reembolsar al tenedor por la pérdida en la que incurre cuando un deudor específico incumpla su obligación de pago a su vencimiento, de acuerdo con las condiciones, originales o modificadas, de un instrumento de deuda. </w:t>
      </w:r>
    </w:p>
    <w:p w14:paraId="2486A736" w14:textId="77777777" w:rsidR="00931F52" w:rsidRPr="00701F32" w:rsidRDefault="00931F52" w:rsidP="00931F52">
      <w:pPr>
        <w:jc w:val="both"/>
        <w:rPr>
          <w:rFonts w:ascii="Arial" w:eastAsia="Calibri" w:hAnsi="Arial" w:cs="Arial"/>
          <w:noProof/>
          <w:sz w:val="20"/>
        </w:rPr>
      </w:pPr>
    </w:p>
    <w:p w14:paraId="5CC99509" w14:textId="77777777" w:rsidR="00931F52" w:rsidRDefault="00931F52" w:rsidP="00931F52">
      <w:pPr>
        <w:jc w:val="both"/>
        <w:rPr>
          <w:rFonts w:ascii="Arial" w:eastAsia="Calibri" w:hAnsi="Arial" w:cs="Arial"/>
          <w:noProof/>
          <w:sz w:val="20"/>
        </w:rPr>
      </w:pPr>
      <w:r w:rsidRPr="00701F32">
        <w:rPr>
          <w:rFonts w:ascii="Arial" w:eastAsia="Calibri" w:hAnsi="Arial" w:cs="Arial"/>
          <w:noProof/>
          <w:sz w:val="20"/>
        </w:rPr>
        <w:t xml:space="preserve">Los contratos de garantía financiera y los compromisos de otorgamiento de préstamos a tasa inferior a la de mercado se valúan a valor razonable en primera instancia, para luego realizar una comparación entre el mayor valor de la comisión pendiente de devengar al cierre del ejercicio y la previsión aplicable. </w:t>
      </w:r>
    </w:p>
    <w:p w14:paraId="3C6772FB" w14:textId="77777777" w:rsidR="00931F52" w:rsidRDefault="00931F52" w:rsidP="00931F52">
      <w:pPr>
        <w:jc w:val="both"/>
        <w:rPr>
          <w:rFonts w:ascii="Arial" w:eastAsia="Calibri" w:hAnsi="Arial" w:cs="Arial"/>
          <w:noProof/>
          <w:sz w:val="20"/>
        </w:rPr>
      </w:pPr>
    </w:p>
    <w:p w14:paraId="67B2D28F" w14:textId="77777777" w:rsidR="00931F52" w:rsidRPr="00701F32" w:rsidRDefault="00931F52" w:rsidP="00931F52">
      <w:pPr>
        <w:jc w:val="both"/>
        <w:rPr>
          <w:rFonts w:ascii="Arial" w:eastAsia="Calibri" w:hAnsi="Arial" w:cs="Arial"/>
          <w:noProof/>
          <w:sz w:val="20"/>
          <w:u w:val="single"/>
        </w:rPr>
      </w:pPr>
      <w:r w:rsidRPr="00701F32">
        <w:rPr>
          <w:rFonts w:ascii="Arial" w:eastAsia="Calibri" w:hAnsi="Arial" w:cs="Arial"/>
          <w:noProof/>
          <w:sz w:val="20"/>
          <w:u w:val="single"/>
        </w:rPr>
        <w:t>Baja de pasivos financieros</w:t>
      </w:r>
    </w:p>
    <w:p w14:paraId="5244ADD0" w14:textId="77777777" w:rsidR="00931F52" w:rsidRPr="00701F32" w:rsidRDefault="00931F52" w:rsidP="00931F52">
      <w:pPr>
        <w:jc w:val="both"/>
        <w:rPr>
          <w:rFonts w:ascii="Arial" w:eastAsia="Calibri" w:hAnsi="Arial" w:cs="Arial"/>
          <w:noProof/>
          <w:sz w:val="20"/>
        </w:rPr>
      </w:pPr>
    </w:p>
    <w:p w14:paraId="2FCCD3B0" w14:textId="09CB88E0" w:rsidR="00931F52" w:rsidRPr="00701F32" w:rsidRDefault="00931F52" w:rsidP="00931F52">
      <w:pPr>
        <w:jc w:val="both"/>
        <w:rPr>
          <w:rFonts w:ascii="Arial" w:eastAsia="Calibri" w:hAnsi="Arial" w:cs="Arial"/>
          <w:noProof/>
          <w:sz w:val="20"/>
        </w:rPr>
      </w:pPr>
      <w:r w:rsidRPr="00701F32">
        <w:rPr>
          <w:rFonts w:ascii="Arial" w:eastAsia="Calibri" w:hAnsi="Arial" w:cs="Arial"/>
          <w:noProof/>
          <w:sz w:val="20"/>
        </w:rPr>
        <w:t xml:space="preserve">La Entidad da de baja los pasivos financieros cuando se hayan extinguido; esto es cuando haya sido cancelado, pagado o expirado el contrato. </w:t>
      </w:r>
      <w:r w:rsidR="00AB7340">
        <w:rPr>
          <w:rFonts w:ascii="Arial" w:eastAsia="Calibri" w:hAnsi="Arial" w:cs="Arial"/>
          <w:noProof/>
          <w:sz w:val="20"/>
        </w:rPr>
        <w:t>Para los casos de recompra de deuda propia, ver nota 1.22.</w:t>
      </w:r>
    </w:p>
    <w:p w14:paraId="5FE1D995" w14:textId="77777777" w:rsidR="00931F52" w:rsidRPr="00701F32" w:rsidRDefault="00931F52" w:rsidP="00931F52">
      <w:pPr>
        <w:rPr>
          <w:rFonts w:ascii="Arial" w:hAnsi="Arial" w:cs="Arial"/>
          <w:b/>
          <w:noProof/>
          <w:sz w:val="20"/>
        </w:rPr>
      </w:pPr>
    </w:p>
    <w:p w14:paraId="76651061" w14:textId="77777777" w:rsidR="00931F52" w:rsidRPr="00701F32" w:rsidRDefault="00931F52" w:rsidP="00931F52">
      <w:pPr>
        <w:spacing w:after="160"/>
        <w:jc w:val="both"/>
        <w:rPr>
          <w:rFonts w:ascii="Arial" w:hAnsi="Arial" w:cs="Arial"/>
          <w:noProof/>
          <w:sz w:val="20"/>
        </w:rPr>
      </w:pPr>
      <w:r w:rsidRPr="00701F32">
        <w:rPr>
          <w:rFonts w:ascii="Arial" w:hAnsi="Arial" w:cs="Arial"/>
          <w:b/>
          <w:noProof/>
          <w:sz w:val="20"/>
        </w:rPr>
        <w:t xml:space="preserve">1.10 Instrumentos financieros derivados </w:t>
      </w:r>
    </w:p>
    <w:p w14:paraId="1E323E9E" w14:textId="77777777" w:rsidR="00931F52" w:rsidRPr="00701F32" w:rsidRDefault="00931F52" w:rsidP="00931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rPr>
      </w:pPr>
      <w:r w:rsidRPr="00701F32">
        <w:rPr>
          <w:rFonts w:ascii="Arial" w:hAnsi="Arial" w:cs="Arial"/>
          <w:noProof/>
          <w:sz w:val="20"/>
        </w:rPr>
        <w:t>Los instrumentos financieros derivados, incluidos los contratos de divisas, los futuros de tasas de interés, los contratos a plazo, los swaps de tasas de interés y de divisas, y las opciones sobre divisas y tasas de interés, se registran a su valor razonable.</w:t>
      </w:r>
    </w:p>
    <w:p w14:paraId="0899041A" w14:textId="77777777" w:rsidR="00931F52" w:rsidRPr="00701F32" w:rsidRDefault="00931F52" w:rsidP="00931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rPr>
      </w:pPr>
    </w:p>
    <w:p w14:paraId="713EFE9B" w14:textId="77777777" w:rsidR="00931F52" w:rsidRDefault="00931F52" w:rsidP="00931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rPr>
      </w:pPr>
      <w:r w:rsidRPr="00701F32">
        <w:rPr>
          <w:rFonts w:ascii="Arial" w:hAnsi="Arial" w:cs="Arial"/>
          <w:noProof/>
          <w:sz w:val="20"/>
        </w:rPr>
        <w:t xml:space="preserve">Todos los instrumentos derivados se contabilizan como activos cuando el valor razonable es positivo y como pasivos cuando el valor razonable es negativo, en relación al precio pactado. Los cambios en el valor razonable de los instrumentos derivados se incluyen en el resultado del ejercicio. </w:t>
      </w:r>
    </w:p>
    <w:p w14:paraId="18BA841C" w14:textId="77777777" w:rsidR="00931F52" w:rsidRDefault="00931F52" w:rsidP="00931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sz w:val="20"/>
        </w:rPr>
      </w:pPr>
    </w:p>
    <w:p w14:paraId="466AED21" w14:textId="77777777" w:rsidR="00931F52" w:rsidRPr="00E446C3" w:rsidRDefault="00931F52" w:rsidP="00931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color w:val="212121"/>
          <w:sz w:val="20"/>
        </w:rPr>
      </w:pPr>
      <w:r w:rsidRPr="00EA530F">
        <w:rPr>
          <w:rFonts w:ascii="Arial" w:hAnsi="Arial" w:cs="Arial"/>
          <w:noProof/>
          <w:color w:val="212121"/>
          <w:sz w:val="20"/>
        </w:rPr>
        <w:t>El Banco no aplica la contabilidad de cobertura.</w:t>
      </w:r>
    </w:p>
    <w:p w14:paraId="0F17E55B" w14:textId="77777777" w:rsidR="00931F52" w:rsidRPr="005A3C22" w:rsidRDefault="00931F52" w:rsidP="00931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Calibri" w:hAnsi="Arial" w:cs="Arial"/>
          <w:sz w:val="20"/>
        </w:rPr>
      </w:pPr>
    </w:p>
    <w:p w14:paraId="22C689C9" w14:textId="77777777" w:rsidR="00931F52" w:rsidRPr="00701F32" w:rsidRDefault="00931F52" w:rsidP="00931F52">
      <w:pPr>
        <w:spacing w:after="160"/>
        <w:jc w:val="both"/>
        <w:rPr>
          <w:rFonts w:ascii="Arial" w:eastAsia="Calibri" w:hAnsi="Arial" w:cs="Arial"/>
          <w:b/>
          <w:color w:val="C45911"/>
          <w:sz w:val="20"/>
        </w:rPr>
      </w:pPr>
      <w:r w:rsidRPr="00701F32">
        <w:rPr>
          <w:rFonts w:ascii="Arial" w:eastAsia="Calibri" w:hAnsi="Arial" w:cs="Arial"/>
          <w:b/>
          <w:sz w:val="20"/>
        </w:rPr>
        <w:t>1.1</w:t>
      </w:r>
      <w:r>
        <w:rPr>
          <w:rFonts w:ascii="Arial" w:eastAsia="Calibri" w:hAnsi="Arial" w:cs="Arial"/>
          <w:b/>
          <w:sz w:val="20"/>
        </w:rPr>
        <w:t>1</w:t>
      </w:r>
      <w:r w:rsidRPr="00701F32">
        <w:rPr>
          <w:rFonts w:ascii="Arial" w:eastAsia="Calibri" w:hAnsi="Arial" w:cs="Arial"/>
          <w:b/>
          <w:sz w:val="20"/>
        </w:rPr>
        <w:t xml:space="preserve"> Operaciones de Pase </w:t>
      </w:r>
    </w:p>
    <w:p w14:paraId="35A0A090"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Los acuerdos de venta y recompra ("operaciones de pase pasivo"), que efectivamente proporcionan el rendimiento del prestamista a la contraparte, se tratan como transacciones de financiación garantizada. Los valores vendidos bajo tales acuerdos de venta y recompra no se dan de baja en cuentas. Los valores no se reclasifican en el estado de situación financiera a menos que el cesionario tenga el derecho por contrato o costumbre de vender o reponer los valores, en cuyo caso se reclasifican como cuentas por cobrar por recompra. El pasivo correspondiente se presenta dentro del rubro Financiaciones recibidas del B.C.R.A. y otras Instituciones Financieras.</w:t>
      </w:r>
    </w:p>
    <w:p w14:paraId="6E3C8528"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Los valores comprados en virtud de acuerdos de reventa ("operaciones de pase activo”), que efectivamente proporcionan el rendimiento del prestamista a la Entidad, se registran como deudas del rubro Financiaciones recibidas del B.C.R.A. y otras Instituciones Financieras.</w:t>
      </w:r>
    </w:p>
    <w:p w14:paraId="22CD4F5C" w14:textId="77777777" w:rsidR="00931F52" w:rsidRPr="00701F32" w:rsidRDefault="00931F52" w:rsidP="00931F52">
      <w:pPr>
        <w:jc w:val="both"/>
        <w:rPr>
          <w:rFonts w:ascii="Arial" w:eastAsia="Arial" w:hAnsi="Arial" w:cs="Arial"/>
          <w:b/>
          <w:sz w:val="20"/>
        </w:rPr>
      </w:pPr>
      <w:r w:rsidRPr="00701F32">
        <w:rPr>
          <w:rFonts w:ascii="Arial" w:eastAsia="Calibri" w:hAnsi="Arial" w:cs="Arial"/>
          <w:sz w:val="20"/>
        </w:rPr>
        <w:t>La diferencia entre el precio de venta y el precio de recompra o el precio de compra y el precio de reventa, según corresponda, conforman la prima de la operación, la cual se trata como ingresos o egresos por intereses y se devengan durante la vigencia de los acuerdos.</w:t>
      </w:r>
    </w:p>
    <w:p w14:paraId="396A51C4" w14:textId="77777777" w:rsidR="00931F52" w:rsidRPr="00701F32" w:rsidRDefault="00931F52" w:rsidP="00931F52">
      <w:pPr>
        <w:rPr>
          <w:rFonts w:ascii="Arial" w:eastAsia="Arial" w:hAnsi="Arial" w:cs="Arial"/>
          <w:b/>
          <w:sz w:val="20"/>
        </w:rPr>
      </w:pPr>
    </w:p>
    <w:p w14:paraId="3ECFA1C6" w14:textId="77777777" w:rsidR="00931F52" w:rsidRDefault="00931F52" w:rsidP="00931F52">
      <w:pPr>
        <w:rPr>
          <w:rFonts w:ascii="Arial" w:eastAsia="Arial" w:hAnsi="Arial" w:cs="Arial"/>
          <w:b/>
          <w:sz w:val="20"/>
        </w:rPr>
      </w:pPr>
      <w:r>
        <w:rPr>
          <w:rFonts w:ascii="Arial" w:eastAsia="Arial" w:hAnsi="Arial" w:cs="Arial"/>
          <w:b/>
          <w:sz w:val="20"/>
        </w:rPr>
        <w:t xml:space="preserve">1.12 </w:t>
      </w:r>
      <w:r w:rsidRPr="00701F32">
        <w:rPr>
          <w:rFonts w:ascii="Arial" w:eastAsia="Arial" w:hAnsi="Arial" w:cs="Arial"/>
          <w:b/>
          <w:sz w:val="20"/>
        </w:rPr>
        <w:t>Préstamos</w:t>
      </w:r>
      <w:r>
        <w:rPr>
          <w:rFonts w:ascii="Arial" w:eastAsia="Arial" w:hAnsi="Arial" w:cs="Arial"/>
          <w:b/>
          <w:sz w:val="20"/>
        </w:rPr>
        <w:t xml:space="preserve"> y otras financiaciones</w:t>
      </w:r>
    </w:p>
    <w:p w14:paraId="3E7DED0A" w14:textId="77777777" w:rsidR="00931F52" w:rsidRDefault="00931F52" w:rsidP="00931F52">
      <w:pPr>
        <w:rPr>
          <w:rFonts w:ascii="Arial" w:eastAsia="Arial" w:hAnsi="Arial" w:cs="Arial"/>
          <w:b/>
          <w:sz w:val="20"/>
        </w:rPr>
      </w:pPr>
    </w:p>
    <w:p w14:paraId="7FFB76BD" w14:textId="61E9329B" w:rsidR="00931F52" w:rsidRPr="0085237C" w:rsidRDefault="00931F52" w:rsidP="00931F52">
      <w:pPr>
        <w:pStyle w:val="Textodebloque"/>
        <w:widowControl w:val="0"/>
        <w:tabs>
          <w:tab w:val="left" w:pos="9356"/>
        </w:tabs>
        <w:spacing w:after="240"/>
        <w:ind w:left="0" w:right="4"/>
        <w:contextualSpacing/>
        <w:jc w:val="both"/>
        <w:rPr>
          <w:rFonts w:ascii="Arial" w:hAnsi="Arial" w:cs="Arial"/>
          <w:i/>
          <w:color w:val="000000"/>
          <w:sz w:val="20"/>
        </w:rPr>
      </w:pPr>
      <w:r w:rsidRPr="0085237C">
        <w:rPr>
          <w:rFonts w:ascii="Arial" w:hAnsi="Arial" w:cs="Arial"/>
          <w:color w:val="000000"/>
          <w:sz w:val="20"/>
        </w:rPr>
        <w:t>La reglamentación establecida por el B.C.R.A</w:t>
      </w:r>
      <w:r w:rsidR="00CE3E04">
        <w:rPr>
          <w:rFonts w:ascii="Arial" w:hAnsi="Arial" w:cs="Arial"/>
          <w:color w:val="000000"/>
          <w:sz w:val="20"/>
        </w:rPr>
        <w:t>.</w:t>
      </w:r>
      <w:r w:rsidRPr="0085237C">
        <w:rPr>
          <w:rFonts w:ascii="Arial" w:hAnsi="Arial" w:cs="Arial"/>
          <w:color w:val="000000"/>
          <w:sz w:val="20"/>
        </w:rPr>
        <w:t xml:space="preserve"> sobre clasificación de deuda están destinadas a establecer pautas claras para identificar y clasificar la calidad de los activos, como también evaluar el riesgo real o potencial de pérdidas sobre el capital o los intereses, para determinar (tomando en cuenta las garantías), si las previsiones afectadas a tales contingencias son adecuadas. La Entidad debe clasificar su cartera de préstamos en dos categorías diferentes: (i) préstamos para el consumo o la vivienda, y (ii) préstamos comerciales. </w:t>
      </w:r>
      <w:bookmarkStart w:id="9" w:name="OLE_LINK54"/>
      <w:bookmarkStart w:id="10" w:name="OLE_LINK55"/>
      <w:bookmarkStart w:id="11" w:name="OLE_LINK56"/>
      <w:bookmarkStart w:id="12" w:name="OLE_LINK57"/>
      <w:r w:rsidRPr="0085237C">
        <w:rPr>
          <w:rFonts w:ascii="Arial" w:hAnsi="Arial" w:cs="Arial"/>
          <w:color w:val="000000"/>
          <w:sz w:val="20"/>
        </w:rPr>
        <w:t xml:space="preserve">Los préstamos para el consumo o la vivienda incluyen préstamos para la vivienda, préstamos para el consumo (incluyendo financiamientos a través de tarjetas de crédito), préstamos de hasta </w:t>
      </w:r>
      <w:r w:rsidR="00A96E66">
        <w:rPr>
          <w:rFonts w:ascii="Arial" w:hAnsi="Arial" w:cs="Arial"/>
          <w:color w:val="000000"/>
          <w:sz w:val="20"/>
        </w:rPr>
        <w:t xml:space="preserve">$ </w:t>
      </w:r>
      <w:r>
        <w:rPr>
          <w:rFonts w:ascii="Arial" w:hAnsi="Arial" w:cs="Arial"/>
          <w:color w:val="000000"/>
          <w:sz w:val="20"/>
        </w:rPr>
        <w:t>19.800</w:t>
      </w:r>
      <w:r w:rsidRPr="0085237C">
        <w:rPr>
          <w:rFonts w:ascii="Arial" w:hAnsi="Arial" w:cs="Arial"/>
          <w:color w:val="000000"/>
          <w:sz w:val="20"/>
        </w:rPr>
        <w:t xml:space="preserve"> a Instituciones de Microcrédito y microemprendedores, y otros tipos de préstamos comerciales de hasta </w:t>
      </w:r>
      <w:r w:rsidR="00A96E66">
        <w:rPr>
          <w:rFonts w:ascii="Arial" w:hAnsi="Arial" w:cs="Arial"/>
          <w:color w:val="000000"/>
          <w:sz w:val="20"/>
        </w:rPr>
        <w:t xml:space="preserve">$ </w:t>
      </w:r>
      <w:r>
        <w:rPr>
          <w:rFonts w:ascii="Arial" w:hAnsi="Arial" w:cs="Arial"/>
          <w:color w:val="000000"/>
          <w:sz w:val="20"/>
        </w:rPr>
        <w:t>19.800</w:t>
      </w:r>
      <w:r w:rsidRPr="0085237C">
        <w:rPr>
          <w:rFonts w:ascii="Arial" w:hAnsi="Arial" w:cs="Arial"/>
          <w:color w:val="000000"/>
          <w:sz w:val="20"/>
        </w:rPr>
        <w:t xml:space="preserve"> con o sin garantías. Todos los demás préstamos son considerados préstamos comerciales. Los préstamos para el consumo o la vivienda superiores a </w:t>
      </w:r>
      <w:r w:rsidR="00A96E66">
        <w:rPr>
          <w:rFonts w:ascii="Arial" w:hAnsi="Arial" w:cs="Arial"/>
          <w:color w:val="000000"/>
          <w:sz w:val="20"/>
        </w:rPr>
        <w:t xml:space="preserve">$ </w:t>
      </w:r>
      <w:r>
        <w:rPr>
          <w:rFonts w:ascii="Arial" w:hAnsi="Arial" w:cs="Arial"/>
          <w:color w:val="000000"/>
          <w:sz w:val="20"/>
        </w:rPr>
        <w:t>19.800</w:t>
      </w:r>
      <w:r w:rsidRPr="0085237C">
        <w:rPr>
          <w:rFonts w:ascii="Arial" w:hAnsi="Arial" w:cs="Arial"/>
          <w:color w:val="000000"/>
          <w:sz w:val="20"/>
        </w:rPr>
        <w:t xml:space="preserve"> cuyo repago se encuentre vinculado a la evolución de su actividad productiva o comercial, son clasificados como préstamos comerciales. </w:t>
      </w:r>
    </w:p>
    <w:p w14:paraId="6D073641" w14:textId="77777777" w:rsidR="00931F52" w:rsidRPr="0085237C" w:rsidRDefault="00931F52" w:rsidP="00931F52">
      <w:pPr>
        <w:pStyle w:val="Textodebloque"/>
        <w:widowControl w:val="0"/>
        <w:tabs>
          <w:tab w:val="left" w:pos="9356"/>
        </w:tabs>
        <w:spacing w:after="240"/>
        <w:ind w:left="0" w:right="4"/>
        <w:contextualSpacing/>
        <w:jc w:val="both"/>
        <w:rPr>
          <w:rFonts w:ascii="Arial" w:hAnsi="Arial" w:cs="Arial"/>
          <w:i/>
          <w:color w:val="000000"/>
          <w:sz w:val="20"/>
        </w:rPr>
      </w:pPr>
    </w:p>
    <w:p w14:paraId="48B956B8" w14:textId="5E50345A" w:rsidR="00931F52" w:rsidRPr="0085237C" w:rsidRDefault="00931F52" w:rsidP="00931F52">
      <w:pPr>
        <w:pStyle w:val="Textodebloque"/>
        <w:widowControl w:val="0"/>
        <w:tabs>
          <w:tab w:val="left" w:pos="9356"/>
        </w:tabs>
        <w:spacing w:after="240"/>
        <w:ind w:left="0" w:right="4"/>
        <w:contextualSpacing/>
        <w:jc w:val="both"/>
        <w:rPr>
          <w:rFonts w:ascii="Arial" w:hAnsi="Arial" w:cs="Arial"/>
          <w:i/>
          <w:color w:val="000000"/>
          <w:sz w:val="20"/>
        </w:rPr>
      </w:pPr>
      <w:r w:rsidRPr="0085237C">
        <w:rPr>
          <w:rFonts w:ascii="Arial" w:hAnsi="Arial" w:cs="Arial"/>
          <w:color w:val="000000"/>
          <w:sz w:val="20"/>
        </w:rPr>
        <w:t xml:space="preserve">A opción de la Entidad, las financiaciones de naturaleza comercial de hasta </w:t>
      </w:r>
      <w:r w:rsidR="00A96E66">
        <w:rPr>
          <w:rFonts w:ascii="Arial" w:hAnsi="Arial" w:cs="Arial"/>
          <w:color w:val="000000"/>
          <w:sz w:val="20"/>
        </w:rPr>
        <w:t xml:space="preserve">$ </w:t>
      </w:r>
      <w:r>
        <w:rPr>
          <w:rFonts w:ascii="Arial" w:hAnsi="Arial" w:cs="Arial"/>
          <w:color w:val="000000"/>
          <w:sz w:val="20"/>
        </w:rPr>
        <w:t>19.800</w:t>
      </w:r>
      <w:r w:rsidRPr="0085237C">
        <w:rPr>
          <w:rFonts w:ascii="Arial" w:hAnsi="Arial" w:cs="Arial"/>
          <w:color w:val="000000"/>
          <w:sz w:val="20"/>
        </w:rPr>
        <w:t>, que cuenten o no con garantías preferidas, pueden agruparse junto con los créditos para consumo o vivienda, en cuyo caso reciben el tratamiento previsto para estos últimos.</w:t>
      </w:r>
      <w:bookmarkEnd w:id="9"/>
      <w:bookmarkEnd w:id="10"/>
      <w:bookmarkEnd w:id="11"/>
      <w:bookmarkEnd w:id="12"/>
      <w:r w:rsidRPr="0085237C">
        <w:rPr>
          <w:rFonts w:ascii="Arial" w:hAnsi="Arial" w:cs="Arial"/>
          <w:color w:val="000000"/>
          <w:sz w:val="20"/>
        </w:rPr>
        <w:t xml:space="preserve"> Si un cliente tiene ambas clases de préstamos (préstamos comerciales y para el consumo o la vivienda), los préstamos para el consumo o vivienda se incorporan a la cartera comercial para determinar bajo qué cartera deben ser clasificados basados en el monto indicado. En estos casos, los préstamos garantizados con garantías preferidas se ponderan al 50% de su valor nominal. </w:t>
      </w:r>
    </w:p>
    <w:p w14:paraId="0940BB78" w14:textId="77777777" w:rsidR="00931F52" w:rsidRPr="0085237C" w:rsidRDefault="00931F52" w:rsidP="00931F52">
      <w:pPr>
        <w:pStyle w:val="Textodebloque"/>
        <w:widowControl w:val="0"/>
        <w:tabs>
          <w:tab w:val="left" w:pos="9356"/>
        </w:tabs>
        <w:spacing w:after="240"/>
        <w:ind w:left="0" w:right="4"/>
        <w:contextualSpacing/>
        <w:jc w:val="both"/>
        <w:rPr>
          <w:rFonts w:ascii="Arial" w:hAnsi="Arial" w:cs="Arial"/>
          <w:i/>
          <w:color w:val="000000"/>
          <w:sz w:val="20"/>
        </w:rPr>
      </w:pPr>
    </w:p>
    <w:p w14:paraId="1364B048" w14:textId="77777777" w:rsidR="00931F52" w:rsidRPr="0085237C" w:rsidRDefault="00931F52" w:rsidP="00931F52">
      <w:pPr>
        <w:pStyle w:val="Textodebloque"/>
        <w:widowControl w:val="0"/>
        <w:spacing w:after="240"/>
        <w:ind w:left="0" w:right="4"/>
        <w:contextualSpacing/>
        <w:jc w:val="both"/>
        <w:rPr>
          <w:rFonts w:ascii="Arial" w:hAnsi="Arial" w:cs="Arial"/>
          <w:i/>
          <w:color w:val="000000"/>
          <w:sz w:val="20"/>
        </w:rPr>
      </w:pPr>
      <w:r w:rsidRPr="0085237C">
        <w:rPr>
          <w:rFonts w:ascii="Arial" w:hAnsi="Arial" w:cs="Arial"/>
          <w:color w:val="000000"/>
          <w:sz w:val="20"/>
        </w:rPr>
        <w:t>Bajo este sistema de clasificación, cada cliente, como también sus deudas pendientes, son incluidos dentro de una de seis sub-categorías. Los criterios de clasificación de deuda aplicados a la cartera de préstamos para el consumo están basados primordialmente en factores objetivos relacionados con el cumplimiento de las obligaciones por parte del cliente o en su situación legal, mientras que el criterio clave para clasificar la cartera de préstamos de naturaleza comercial lo constituye la capacidad de pago de cada cliente, basado en su flujo de efectivo futuro.</w:t>
      </w:r>
    </w:p>
    <w:p w14:paraId="18CB6ACA" w14:textId="77777777" w:rsidR="00931F52" w:rsidRPr="0085237C" w:rsidRDefault="00931F52" w:rsidP="00931F52">
      <w:pPr>
        <w:pStyle w:val="Textodebloque"/>
        <w:widowControl w:val="0"/>
        <w:spacing w:after="240"/>
        <w:ind w:left="0" w:right="4"/>
        <w:contextualSpacing/>
        <w:jc w:val="both"/>
        <w:rPr>
          <w:rFonts w:ascii="Arial" w:hAnsi="Arial" w:cs="Arial"/>
          <w:i/>
          <w:color w:val="000000"/>
          <w:sz w:val="20"/>
        </w:rPr>
      </w:pPr>
    </w:p>
    <w:p w14:paraId="4ECC7670" w14:textId="77777777" w:rsidR="00931F52" w:rsidRPr="0085237C" w:rsidRDefault="00931F52" w:rsidP="00931F52">
      <w:pPr>
        <w:pStyle w:val="Textodebloque"/>
        <w:widowControl w:val="0"/>
        <w:tabs>
          <w:tab w:val="left" w:pos="9356"/>
        </w:tabs>
        <w:spacing w:after="240"/>
        <w:ind w:left="0" w:right="4"/>
        <w:contextualSpacing/>
        <w:jc w:val="both"/>
        <w:rPr>
          <w:rFonts w:ascii="Arial" w:hAnsi="Arial" w:cs="Arial"/>
          <w:b/>
          <w:color w:val="000000"/>
          <w:sz w:val="20"/>
        </w:rPr>
      </w:pPr>
      <w:r w:rsidRPr="0085237C">
        <w:rPr>
          <w:rFonts w:ascii="Arial" w:hAnsi="Arial" w:cs="Arial"/>
          <w:b/>
          <w:color w:val="000000"/>
          <w:sz w:val="20"/>
        </w:rPr>
        <w:t>Clasificación de préstamos comerciales</w:t>
      </w:r>
    </w:p>
    <w:p w14:paraId="14E8833A" w14:textId="77777777" w:rsidR="00931F52" w:rsidRPr="0085237C" w:rsidRDefault="00931F52" w:rsidP="00931F52">
      <w:pPr>
        <w:pStyle w:val="Textodebloque"/>
        <w:widowControl w:val="0"/>
        <w:tabs>
          <w:tab w:val="left" w:pos="9356"/>
        </w:tabs>
        <w:spacing w:after="240"/>
        <w:ind w:left="0" w:right="4"/>
        <w:contextualSpacing/>
        <w:jc w:val="both"/>
        <w:rPr>
          <w:rFonts w:ascii="Arial" w:hAnsi="Arial" w:cs="Arial"/>
          <w:b/>
          <w:color w:val="000000"/>
          <w:sz w:val="20"/>
        </w:rPr>
      </w:pPr>
    </w:p>
    <w:p w14:paraId="36FF080F" w14:textId="4A474E55" w:rsidR="00931F52" w:rsidRPr="0085237C" w:rsidRDefault="00931F52" w:rsidP="00931F52">
      <w:pPr>
        <w:pStyle w:val="Textodebloque"/>
        <w:widowControl w:val="0"/>
        <w:tabs>
          <w:tab w:val="left" w:pos="9356"/>
        </w:tabs>
        <w:spacing w:after="240"/>
        <w:ind w:left="0" w:right="4"/>
        <w:contextualSpacing/>
        <w:jc w:val="both"/>
        <w:rPr>
          <w:rFonts w:ascii="Arial" w:hAnsi="Arial" w:cs="Arial"/>
          <w:i/>
          <w:color w:val="000000"/>
          <w:sz w:val="20"/>
        </w:rPr>
      </w:pPr>
      <w:r w:rsidRPr="0085237C">
        <w:rPr>
          <w:rFonts w:ascii="Arial" w:hAnsi="Arial" w:cs="Arial"/>
          <w:color w:val="000000"/>
          <w:sz w:val="20"/>
        </w:rPr>
        <w:t>El criterio principal utilizado por la Entidad para evaluar un préstamo perteneciente a la cartera comercial es la capacidad de su prestatario para reembolsarlo, la cual se mide principalmente por el flujo de efectivo futuro de dicho prestatario. De acuerdo con las normas B.C.R.A</w:t>
      </w:r>
      <w:r w:rsidR="00CE3E04">
        <w:rPr>
          <w:rFonts w:ascii="Arial" w:hAnsi="Arial" w:cs="Arial"/>
          <w:color w:val="000000"/>
          <w:sz w:val="20"/>
        </w:rPr>
        <w:t>.</w:t>
      </w:r>
      <w:r w:rsidRPr="0085237C">
        <w:rPr>
          <w:rFonts w:ascii="Arial" w:hAnsi="Arial" w:cs="Arial"/>
          <w:color w:val="000000"/>
          <w:sz w:val="20"/>
        </w:rPr>
        <w:t>, los préstamos comerciales son clasificados del siguiente modo:</w:t>
      </w:r>
    </w:p>
    <w:p w14:paraId="70E505EE" w14:textId="77777777" w:rsidR="00931F52" w:rsidRPr="0085237C" w:rsidRDefault="00931F52" w:rsidP="00931F52">
      <w:pPr>
        <w:pStyle w:val="Textodebloque"/>
        <w:widowControl w:val="0"/>
        <w:tabs>
          <w:tab w:val="left" w:pos="9356"/>
        </w:tabs>
        <w:spacing w:after="240"/>
        <w:ind w:left="0" w:right="4"/>
        <w:contextualSpacing/>
        <w:jc w:val="both"/>
        <w:rPr>
          <w:rFonts w:ascii="Arial" w:hAnsi="Arial" w:cs="Arial"/>
          <w:i/>
          <w:color w:val="000000"/>
          <w:sz w:val="20"/>
        </w:rPr>
      </w:pPr>
    </w:p>
    <w:tbl>
      <w:tblPr>
        <w:tblW w:w="8405" w:type="dxa"/>
        <w:jc w:val="center"/>
        <w:tblLayout w:type="fixed"/>
        <w:tblLook w:val="0000" w:firstRow="0" w:lastRow="0" w:firstColumn="0" w:lastColumn="0" w:noHBand="0" w:noVBand="0"/>
      </w:tblPr>
      <w:tblGrid>
        <w:gridCol w:w="2158"/>
        <w:gridCol w:w="6247"/>
      </w:tblGrid>
      <w:tr w:rsidR="00931F52" w:rsidRPr="0085237C" w14:paraId="48217E9E" w14:textId="77777777" w:rsidTr="00931F52">
        <w:trPr>
          <w:tblHeader/>
          <w:jc w:val="center"/>
        </w:trPr>
        <w:tc>
          <w:tcPr>
            <w:tcW w:w="2158" w:type="dxa"/>
            <w:tcBorders>
              <w:bottom w:val="single" w:sz="4" w:space="0" w:color="auto"/>
            </w:tcBorders>
          </w:tcPr>
          <w:p w14:paraId="1D217D8A" w14:textId="77777777" w:rsidR="00931F52" w:rsidRPr="0085237C" w:rsidRDefault="00931F52" w:rsidP="00931F52">
            <w:pPr>
              <w:widowControl w:val="0"/>
              <w:contextualSpacing/>
              <w:jc w:val="both"/>
              <w:rPr>
                <w:rFonts w:ascii="Arial" w:hAnsi="Arial" w:cs="Arial"/>
                <w:b/>
                <w:color w:val="000000"/>
                <w:sz w:val="20"/>
              </w:rPr>
            </w:pPr>
            <w:r w:rsidRPr="0085237C">
              <w:rPr>
                <w:rFonts w:ascii="Arial" w:hAnsi="Arial" w:cs="Arial"/>
                <w:b/>
                <w:color w:val="000000"/>
                <w:sz w:val="20"/>
              </w:rPr>
              <w:t>Clasificación</w:t>
            </w:r>
          </w:p>
        </w:tc>
        <w:tc>
          <w:tcPr>
            <w:tcW w:w="6247" w:type="dxa"/>
            <w:tcBorders>
              <w:bottom w:val="single" w:sz="4" w:space="0" w:color="auto"/>
            </w:tcBorders>
          </w:tcPr>
          <w:p w14:paraId="28D9D733" w14:textId="77777777" w:rsidR="00931F52" w:rsidRPr="0085237C" w:rsidRDefault="00931F52" w:rsidP="00931F52">
            <w:pPr>
              <w:widowControl w:val="0"/>
              <w:contextualSpacing/>
              <w:jc w:val="both"/>
              <w:rPr>
                <w:rFonts w:ascii="Arial" w:hAnsi="Arial" w:cs="Arial"/>
                <w:b/>
                <w:color w:val="000000"/>
                <w:sz w:val="20"/>
              </w:rPr>
            </w:pPr>
            <w:r w:rsidRPr="0085237C">
              <w:rPr>
                <w:rFonts w:ascii="Arial" w:hAnsi="Arial" w:cs="Arial"/>
                <w:b/>
                <w:color w:val="000000"/>
                <w:sz w:val="20"/>
              </w:rPr>
              <w:t>Criterios</w:t>
            </w:r>
          </w:p>
        </w:tc>
      </w:tr>
      <w:tr w:rsidR="00931F52" w:rsidRPr="0085237C" w14:paraId="759D6B5B" w14:textId="77777777" w:rsidTr="00931F52">
        <w:trPr>
          <w:jc w:val="center"/>
        </w:trPr>
        <w:tc>
          <w:tcPr>
            <w:tcW w:w="2158" w:type="dxa"/>
            <w:tcBorders>
              <w:top w:val="single" w:sz="4" w:space="0" w:color="auto"/>
            </w:tcBorders>
          </w:tcPr>
          <w:p w14:paraId="48034AFD" w14:textId="77777777" w:rsidR="00931F52" w:rsidRPr="0085237C" w:rsidRDefault="00931F52" w:rsidP="00931F52">
            <w:pPr>
              <w:widowControl w:val="0"/>
              <w:contextualSpacing/>
              <w:jc w:val="both"/>
              <w:rPr>
                <w:rFonts w:ascii="Arial" w:hAnsi="Arial" w:cs="Arial"/>
                <w:color w:val="000000"/>
                <w:sz w:val="20"/>
              </w:rPr>
            </w:pPr>
          </w:p>
          <w:p w14:paraId="4160B2B6"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En situación normal</w:t>
            </w:r>
          </w:p>
        </w:tc>
        <w:tc>
          <w:tcPr>
            <w:tcW w:w="6247" w:type="dxa"/>
            <w:tcBorders>
              <w:top w:val="single" w:sz="4" w:space="0" w:color="auto"/>
            </w:tcBorders>
          </w:tcPr>
          <w:p w14:paraId="35B4D20D" w14:textId="77777777" w:rsidR="00931F52" w:rsidRPr="0085237C" w:rsidRDefault="00931F52" w:rsidP="00931F52">
            <w:pPr>
              <w:widowControl w:val="0"/>
              <w:contextualSpacing/>
              <w:jc w:val="both"/>
              <w:rPr>
                <w:rFonts w:ascii="Arial" w:hAnsi="Arial" w:cs="Arial"/>
                <w:color w:val="000000"/>
                <w:sz w:val="20"/>
              </w:rPr>
            </w:pPr>
          </w:p>
          <w:p w14:paraId="74EAFFB5"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Deudores respecto de los que no existen dudas respecto de su capacidad para cumplir con sus obligaciones de pago.</w:t>
            </w:r>
          </w:p>
          <w:p w14:paraId="7660AB6D" w14:textId="77777777" w:rsidR="00931F52" w:rsidRPr="0085237C" w:rsidRDefault="00931F52" w:rsidP="00931F52">
            <w:pPr>
              <w:widowControl w:val="0"/>
              <w:contextualSpacing/>
              <w:jc w:val="both"/>
              <w:outlineLvl w:val="2"/>
              <w:rPr>
                <w:rFonts w:ascii="Arial" w:hAnsi="Arial" w:cs="Arial"/>
                <w:color w:val="000000"/>
                <w:sz w:val="20"/>
              </w:rPr>
            </w:pPr>
          </w:p>
        </w:tc>
      </w:tr>
      <w:tr w:rsidR="00931F52" w:rsidRPr="0085237C" w14:paraId="6667DEA9" w14:textId="77777777" w:rsidTr="00931F52">
        <w:trPr>
          <w:jc w:val="center"/>
        </w:trPr>
        <w:tc>
          <w:tcPr>
            <w:tcW w:w="2158" w:type="dxa"/>
          </w:tcPr>
          <w:p w14:paraId="332C7E84" w14:textId="77777777" w:rsidR="00931F52" w:rsidRPr="0085237C" w:rsidRDefault="00931F52" w:rsidP="00931F52">
            <w:pPr>
              <w:widowControl w:val="0"/>
              <w:contextualSpacing/>
              <w:rPr>
                <w:rFonts w:ascii="Arial" w:hAnsi="Arial" w:cs="Arial"/>
                <w:color w:val="000000"/>
                <w:sz w:val="20"/>
              </w:rPr>
            </w:pPr>
            <w:r w:rsidRPr="0085237C">
              <w:rPr>
                <w:rFonts w:ascii="Arial" w:hAnsi="Arial" w:cs="Arial"/>
                <w:color w:val="000000"/>
                <w:sz w:val="20"/>
              </w:rPr>
              <w:t>Con seguimiento especial /En observación</w:t>
            </w:r>
          </w:p>
        </w:tc>
        <w:tc>
          <w:tcPr>
            <w:tcW w:w="6247" w:type="dxa"/>
          </w:tcPr>
          <w:p w14:paraId="4CFE5C8D"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Los deudores cuya mora supera los 90 días, entre otros criterios, aunque son considerados capaces de hacer frente a todas sus obligaciones financieras, son sensibles a los cambios que puedan comprometer su capacidad para honrar deudas en ausencia de medidas correctivas oportunas.</w:t>
            </w:r>
          </w:p>
          <w:p w14:paraId="55317BD1" w14:textId="77777777" w:rsidR="00931F52" w:rsidRPr="0085237C" w:rsidRDefault="00931F52" w:rsidP="00931F52">
            <w:pPr>
              <w:widowControl w:val="0"/>
              <w:contextualSpacing/>
              <w:jc w:val="both"/>
              <w:outlineLvl w:val="2"/>
              <w:rPr>
                <w:rFonts w:ascii="Arial" w:hAnsi="Arial" w:cs="Arial"/>
                <w:color w:val="000000"/>
                <w:sz w:val="20"/>
              </w:rPr>
            </w:pPr>
          </w:p>
        </w:tc>
      </w:tr>
      <w:tr w:rsidR="00931F52" w:rsidRPr="0085237C" w14:paraId="774E83E6" w14:textId="77777777" w:rsidTr="00931F52">
        <w:trPr>
          <w:jc w:val="center"/>
        </w:trPr>
        <w:tc>
          <w:tcPr>
            <w:tcW w:w="2158" w:type="dxa"/>
          </w:tcPr>
          <w:p w14:paraId="39D5DC27" w14:textId="77777777" w:rsidR="00931F52" w:rsidRPr="0085237C" w:rsidRDefault="00931F52" w:rsidP="00931F52">
            <w:pPr>
              <w:widowControl w:val="0"/>
              <w:contextualSpacing/>
              <w:rPr>
                <w:rFonts w:ascii="Arial" w:hAnsi="Arial" w:cs="Arial"/>
                <w:color w:val="000000"/>
                <w:sz w:val="20"/>
              </w:rPr>
            </w:pPr>
            <w:r w:rsidRPr="0085237C">
              <w:rPr>
                <w:rFonts w:ascii="Arial" w:hAnsi="Arial" w:cs="Arial"/>
                <w:color w:val="000000"/>
                <w:sz w:val="20"/>
              </w:rPr>
              <w:t>Bajo seguimiento especial / en negociación o con acuerdos de refinanciación.</w:t>
            </w:r>
          </w:p>
        </w:tc>
        <w:tc>
          <w:tcPr>
            <w:tcW w:w="6247" w:type="dxa"/>
          </w:tcPr>
          <w:p w14:paraId="5C6B8714"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sz w:val="20"/>
              </w:rPr>
              <w:t xml:space="preserve">Incluye aquellos clientes que ante la imposibilidad de hacer frente al pago de sus obligaciones en las condiciones pactadas, manifiesten fehacientemente antes de los 60 días contados desde la fecha en que se verificó la mora en el pago de las obligaciones, la intención de refinanciar sus deudas. </w:t>
            </w:r>
            <w:r w:rsidRPr="0085237C">
              <w:rPr>
                <w:rFonts w:ascii="Arial" w:eastAsia="Calibri" w:hAnsi="Arial" w:cs="Arial"/>
                <w:sz w:val="20"/>
              </w:rPr>
              <w:t>De no haberse alcanzado el acuerdo dentro de los 90 días (si estuvieran involucrados dos entidades prestamistas) o 180 días calendarios (si estuvieran involucrados más de dos entidades prestamistas) después de la fecha de incumplimiento de pago, deberá reclasificarse al deudor en la categoría inferior que corresponda, de acuerdo con los indicadores establecidos para cada nivel.</w:t>
            </w:r>
          </w:p>
          <w:p w14:paraId="2429EBF9" w14:textId="77777777" w:rsidR="00931F52" w:rsidRPr="0085237C" w:rsidRDefault="00931F52" w:rsidP="00931F52">
            <w:pPr>
              <w:widowControl w:val="0"/>
              <w:contextualSpacing/>
              <w:jc w:val="both"/>
              <w:rPr>
                <w:rFonts w:ascii="Arial" w:hAnsi="Arial" w:cs="Arial"/>
                <w:color w:val="000000"/>
                <w:sz w:val="20"/>
              </w:rPr>
            </w:pPr>
          </w:p>
        </w:tc>
      </w:tr>
      <w:tr w:rsidR="00931F52" w:rsidRPr="0085237C" w14:paraId="0F803AF6" w14:textId="77777777" w:rsidTr="00931F52">
        <w:trPr>
          <w:jc w:val="center"/>
        </w:trPr>
        <w:tc>
          <w:tcPr>
            <w:tcW w:w="2158" w:type="dxa"/>
          </w:tcPr>
          <w:p w14:paraId="1A270398"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Con problemas</w:t>
            </w:r>
          </w:p>
        </w:tc>
        <w:tc>
          <w:tcPr>
            <w:tcW w:w="6247" w:type="dxa"/>
          </w:tcPr>
          <w:p w14:paraId="65C1AD91"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Deudores con dificultades para cumplir con sus obligaciones financieras en forma regular que, de no ser corregidas, pueden dar como resultado pérdidas para el banco o que mantengan convenios de pago resultantes de concordatos judiciales o extrajudiciales homologados (incluyendo los acuerdos preventivos extrajudiciales homologados) a vencer.</w:t>
            </w:r>
          </w:p>
          <w:p w14:paraId="522C7B3A" w14:textId="77777777" w:rsidR="00931F52" w:rsidRPr="0085237C" w:rsidRDefault="00931F52" w:rsidP="00931F52">
            <w:pPr>
              <w:widowControl w:val="0"/>
              <w:contextualSpacing/>
              <w:jc w:val="both"/>
              <w:outlineLvl w:val="2"/>
              <w:rPr>
                <w:rFonts w:ascii="Arial" w:hAnsi="Arial" w:cs="Arial"/>
                <w:color w:val="000000"/>
                <w:sz w:val="20"/>
              </w:rPr>
            </w:pPr>
          </w:p>
        </w:tc>
      </w:tr>
      <w:tr w:rsidR="00931F52" w:rsidRPr="0085237C" w14:paraId="45BC1C3C" w14:textId="77777777" w:rsidTr="00931F52">
        <w:trPr>
          <w:jc w:val="center"/>
        </w:trPr>
        <w:tc>
          <w:tcPr>
            <w:tcW w:w="2158" w:type="dxa"/>
          </w:tcPr>
          <w:p w14:paraId="4562AF81" w14:textId="77777777" w:rsidR="00931F52" w:rsidRPr="0085237C" w:rsidRDefault="00931F52" w:rsidP="00931F52">
            <w:pPr>
              <w:widowControl w:val="0"/>
              <w:contextualSpacing/>
              <w:rPr>
                <w:rFonts w:ascii="Arial" w:hAnsi="Arial" w:cs="Arial"/>
                <w:color w:val="000000"/>
                <w:sz w:val="20"/>
              </w:rPr>
            </w:pPr>
            <w:r w:rsidRPr="0085237C">
              <w:rPr>
                <w:rFonts w:ascii="Arial" w:hAnsi="Arial" w:cs="Arial"/>
                <w:color w:val="000000"/>
                <w:sz w:val="20"/>
              </w:rPr>
              <w:t>Con alto riesgo de insolvencia</w:t>
            </w:r>
          </w:p>
        </w:tc>
        <w:tc>
          <w:tcPr>
            <w:tcW w:w="6247" w:type="dxa"/>
          </w:tcPr>
          <w:p w14:paraId="75F3D448"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 xml:space="preserve">Deudores con una alta probabilidad de que no cumplan con sus compromisos financieros o hayan solicitado acuerdo preventivo, celebrado un acuerdo preventivo extrajudicial aún no homologado o hayan requerido su quiebra, en tanto no hubiere sido declarada </w:t>
            </w:r>
          </w:p>
          <w:p w14:paraId="2623C7FE" w14:textId="77777777" w:rsidR="00931F52" w:rsidRPr="0085237C" w:rsidRDefault="00931F52" w:rsidP="00931F52">
            <w:pPr>
              <w:widowControl w:val="0"/>
              <w:contextualSpacing/>
              <w:jc w:val="both"/>
              <w:outlineLvl w:val="2"/>
              <w:rPr>
                <w:rFonts w:ascii="Arial" w:hAnsi="Arial" w:cs="Arial"/>
                <w:color w:val="000000"/>
                <w:sz w:val="20"/>
              </w:rPr>
            </w:pPr>
          </w:p>
        </w:tc>
      </w:tr>
      <w:tr w:rsidR="00931F52" w:rsidRPr="0085237C" w14:paraId="19E307DF" w14:textId="77777777" w:rsidTr="00931F52">
        <w:trPr>
          <w:jc w:val="center"/>
        </w:trPr>
        <w:tc>
          <w:tcPr>
            <w:tcW w:w="2158" w:type="dxa"/>
          </w:tcPr>
          <w:p w14:paraId="5C941624" w14:textId="77777777" w:rsidR="00931F52" w:rsidRPr="0085237C" w:rsidRDefault="00931F52" w:rsidP="00931F52">
            <w:pPr>
              <w:widowControl w:val="0"/>
              <w:contextualSpacing/>
              <w:rPr>
                <w:rFonts w:ascii="Arial" w:hAnsi="Arial" w:cs="Arial"/>
                <w:color w:val="000000"/>
                <w:sz w:val="20"/>
              </w:rPr>
            </w:pPr>
            <w:r w:rsidRPr="0085237C">
              <w:rPr>
                <w:rFonts w:ascii="Arial" w:hAnsi="Arial" w:cs="Arial"/>
                <w:color w:val="000000"/>
                <w:sz w:val="20"/>
              </w:rPr>
              <w:t>Irrecuperable</w:t>
            </w:r>
          </w:p>
        </w:tc>
        <w:tc>
          <w:tcPr>
            <w:tcW w:w="6247" w:type="dxa"/>
          </w:tcPr>
          <w:p w14:paraId="382255F2"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Préstamos clasificados como incobrables al momento del análisis (aunque podría existir la posibilidad de que tales préstamos se cobraran en el futuro). Se sostiene que el deudor no cumplirá sus obligaciones financieras con la entidad financiera incluye prestamos a deudores insolventes o en quiebra declarada.</w:t>
            </w:r>
          </w:p>
          <w:p w14:paraId="1847E9DA" w14:textId="77777777" w:rsidR="00931F52" w:rsidRPr="0085237C" w:rsidRDefault="00931F52" w:rsidP="00931F52">
            <w:pPr>
              <w:widowControl w:val="0"/>
              <w:contextualSpacing/>
              <w:jc w:val="both"/>
              <w:outlineLvl w:val="2"/>
              <w:rPr>
                <w:rFonts w:ascii="Arial" w:hAnsi="Arial" w:cs="Arial"/>
                <w:color w:val="000000"/>
                <w:sz w:val="20"/>
              </w:rPr>
            </w:pPr>
          </w:p>
        </w:tc>
      </w:tr>
      <w:tr w:rsidR="00931F52" w:rsidRPr="0085237C" w14:paraId="01F03952" w14:textId="77777777" w:rsidTr="00931F52">
        <w:trPr>
          <w:jc w:val="center"/>
        </w:trPr>
        <w:tc>
          <w:tcPr>
            <w:tcW w:w="2158" w:type="dxa"/>
          </w:tcPr>
          <w:p w14:paraId="35B1A7EA" w14:textId="77777777" w:rsidR="00931F52" w:rsidRPr="0085237C" w:rsidRDefault="00931F52" w:rsidP="00931F52">
            <w:pPr>
              <w:widowControl w:val="0"/>
              <w:contextualSpacing/>
              <w:rPr>
                <w:rFonts w:ascii="Arial" w:hAnsi="Arial" w:cs="Arial"/>
                <w:color w:val="000000"/>
                <w:sz w:val="20"/>
              </w:rPr>
            </w:pPr>
            <w:r w:rsidRPr="0085237C">
              <w:rPr>
                <w:rFonts w:ascii="Arial" w:hAnsi="Arial" w:cs="Arial"/>
                <w:color w:val="000000"/>
                <w:sz w:val="20"/>
              </w:rPr>
              <w:t>Irrecuperable por disposición técnica</w:t>
            </w:r>
          </w:p>
        </w:tc>
        <w:tc>
          <w:tcPr>
            <w:tcW w:w="6247" w:type="dxa"/>
          </w:tcPr>
          <w:p w14:paraId="7B8394CB" w14:textId="6DF50D6C" w:rsidR="00931F52" w:rsidRPr="0085237C" w:rsidRDefault="00931F52" w:rsidP="00931F52">
            <w:pPr>
              <w:pStyle w:val="BodyBullet"/>
              <w:widowControl w:val="0"/>
              <w:jc w:val="both"/>
              <w:rPr>
                <w:rFonts w:ascii="Arial" w:hAnsi="Arial" w:cs="Arial"/>
                <w:color w:val="000000"/>
                <w:lang w:val="es-AR"/>
              </w:rPr>
            </w:pPr>
            <w:r w:rsidRPr="0085237C">
              <w:rPr>
                <w:rFonts w:ascii="Arial" w:hAnsi="Arial" w:cs="Arial"/>
                <w:color w:val="000000"/>
                <w:lang w:val="es-AR"/>
              </w:rPr>
              <w:t>(a) Un deudor que no ha cumplido con sus obligaciones de pago de un préstamo durante más de 180 días calendario según el informe correspondiente suministrado por el B.C.R.A</w:t>
            </w:r>
            <w:r w:rsidR="00CE3E04">
              <w:rPr>
                <w:rFonts w:ascii="Arial" w:hAnsi="Arial" w:cs="Arial"/>
                <w:color w:val="000000"/>
                <w:lang w:val="es-AR"/>
              </w:rPr>
              <w:t>.</w:t>
            </w:r>
            <w:r w:rsidRPr="0085237C">
              <w:rPr>
                <w:rFonts w:ascii="Arial" w:hAnsi="Arial" w:cs="Arial"/>
                <w:color w:val="000000"/>
                <w:lang w:val="es-AR"/>
              </w:rPr>
              <w:t>, incluye (1) las entidades financieras liquidadas por el B.C.R.A</w:t>
            </w:r>
            <w:r w:rsidR="00CE3E04">
              <w:rPr>
                <w:rFonts w:ascii="Arial" w:hAnsi="Arial" w:cs="Arial"/>
                <w:color w:val="000000"/>
                <w:lang w:val="es-AR"/>
              </w:rPr>
              <w:t>.</w:t>
            </w:r>
            <w:r w:rsidRPr="0085237C">
              <w:rPr>
                <w:rFonts w:ascii="Arial" w:hAnsi="Arial" w:cs="Arial"/>
                <w:color w:val="000000"/>
                <w:lang w:val="es-AR"/>
              </w:rPr>
              <w:t>, (2) entidades residuales creadas como resultado de la privatización de entidades financieras públicas, o en procesos de privatización o disolución, (3) entidades financieras cuya licencia ha sido revocada por el B.C.R.A y que se encuentran sujetas a liquidación judicial o procedimientos de quiebra, y (4) fideicomisos en los que SEDESA sea beneficiario; o (b) determinada clase de prestatario extranjero (incluyendo bancos u otras entidades financieras que no están sujetos a la supervisión del B.C.R.A o autoridad similar del país en el cual están constituidos) que no cuentan con la calificación internacional de “</w:t>
            </w:r>
            <w:r w:rsidRPr="0085237C">
              <w:rPr>
                <w:rFonts w:ascii="Arial" w:hAnsi="Arial" w:cs="Arial"/>
                <w:i/>
                <w:color w:val="000000"/>
                <w:lang w:val="es-AR"/>
              </w:rPr>
              <w:t>investment grade</w:t>
            </w:r>
            <w:r w:rsidRPr="0085237C">
              <w:rPr>
                <w:rFonts w:ascii="Arial" w:hAnsi="Arial" w:cs="Arial"/>
                <w:color w:val="000000"/>
                <w:lang w:val="es-AR"/>
              </w:rPr>
              <w:t>” de cualquiera de las agencias calificadoras de riesgo reconocidas por el B.C.R.A</w:t>
            </w:r>
            <w:r w:rsidR="00CE3E04">
              <w:rPr>
                <w:rFonts w:ascii="Arial" w:hAnsi="Arial" w:cs="Arial"/>
                <w:color w:val="000000"/>
                <w:lang w:val="es-AR"/>
              </w:rPr>
              <w:t>.</w:t>
            </w:r>
          </w:p>
        </w:tc>
      </w:tr>
    </w:tbl>
    <w:p w14:paraId="77D39EC8" w14:textId="77777777" w:rsidR="00931F52" w:rsidRPr="0085237C" w:rsidRDefault="00931F52" w:rsidP="00931F52">
      <w:pPr>
        <w:pStyle w:val="Textodebloque"/>
        <w:widowControl w:val="0"/>
        <w:tabs>
          <w:tab w:val="left" w:pos="9356"/>
        </w:tabs>
        <w:spacing w:after="240"/>
        <w:ind w:left="0" w:right="6"/>
        <w:contextualSpacing/>
        <w:jc w:val="both"/>
        <w:rPr>
          <w:rFonts w:ascii="Arial" w:hAnsi="Arial" w:cs="Arial"/>
          <w:b/>
          <w:color w:val="000000"/>
          <w:sz w:val="20"/>
        </w:rPr>
      </w:pPr>
    </w:p>
    <w:p w14:paraId="0C7F4E01" w14:textId="77777777" w:rsidR="00931F52" w:rsidRPr="0085237C" w:rsidRDefault="00931F52" w:rsidP="00931F52">
      <w:pPr>
        <w:pStyle w:val="Textodebloque"/>
        <w:widowControl w:val="0"/>
        <w:tabs>
          <w:tab w:val="left" w:pos="9356"/>
        </w:tabs>
        <w:spacing w:after="240"/>
        <w:ind w:left="0" w:right="6"/>
        <w:contextualSpacing/>
        <w:jc w:val="both"/>
        <w:rPr>
          <w:rFonts w:ascii="Arial" w:hAnsi="Arial" w:cs="Arial"/>
          <w:b/>
          <w:color w:val="000000"/>
          <w:sz w:val="20"/>
        </w:rPr>
      </w:pPr>
      <w:r w:rsidRPr="0085237C">
        <w:rPr>
          <w:rFonts w:ascii="Arial" w:hAnsi="Arial" w:cs="Arial"/>
          <w:b/>
          <w:color w:val="000000"/>
          <w:sz w:val="20"/>
        </w:rPr>
        <w:t>Clasificación de préstamos para el consumo y la vivienda</w:t>
      </w:r>
    </w:p>
    <w:p w14:paraId="0AE043C6" w14:textId="77777777" w:rsidR="00931F52" w:rsidRPr="0085237C" w:rsidRDefault="00931F52" w:rsidP="00931F52">
      <w:pPr>
        <w:pStyle w:val="Textodebloque"/>
        <w:widowControl w:val="0"/>
        <w:tabs>
          <w:tab w:val="left" w:pos="9356"/>
        </w:tabs>
        <w:spacing w:after="240"/>
        <w:ind w:left="0" w:right="6"/>
        <w:contextualSpacing/>
        <w:jc w:val="both"/>
        <w:rPr>
          <w:rFonts w:ascii="Arial" w:hAnsi="Arial" w:cs="Arial"/>
          <w:b/>
          <w:color w:val="000000"/>
          <w:sz w:val="20"/>
        </w:rPr>
      </w:pPr>
    </w:p>
    <w:p w14:paraId="5894BA60" w14:textId="2C94ED8B" w:rsidR="00931F52" w:rsidRPr="0085237C" w:rsidRDefault="00931F52" w:rsidP="00931F52">
      <w:pPr>
        <w:pStyle w:val="Textodebloque"/>
        <w:widowControl w:val="0"/>
        <w:tabs>
          <w:tab w:val="left" w:pos="9356"/>
        </w:tabs>
        <w:spacing w:after="240"/>
        <w:ind w:left="0" w:right="6"/>
        <w:contextualSpacing/>
        <w:jc w:val="both"/>
        <w:rPr>
          <w:rFonts w:ascii="Arial" w:hAnsi="Arial" w:cs="Arial"/>
          <w:i/>
          <w:color w:val="000000"/>
          <w:sz w:val="20"/>
        </w:rPr>
      </w:pPr>
      <w:r w:rsidRPr="0085237C">
        <w:rPr>
          <w:rFonts w:ascii="Arial" w:hAnsi="Arial" w:cs="Arial"/>
          <w:color w:val="000000"/>
          <w:sz w:val="20"/>
        </w:rPr>
        <w:t>El principal criterio utilizado en la evaluación de los préstamos en la cartera de préstamos de consumo y la vivienda es el plazo de los incumplimientos. Según las Normas del B.C.R.A</w:t>
      </w:r>
      <w:r w:rsidR="00CE3E04">
        <w:rPr>
          <w:rFonts w:ascii="Arial" w:hAnsi="Arial" w:cs="Arial"/>
          <w:color w:val="000000"/>
          <w:sz w:val="20"/>
        </w:rPr>
        <w:t>.</w:t>
      </w:r>
      <w:r w:rsidRPr="0085237C">
        <w:rPr>
          <w:rFonts w:ascii="Arial" w:hAnsi="Arial" w:cs="Arial"/>
          <w:color w:val="000000"/>
          <w:sz w:val="20"/>
        </w:rPr>
        <w:t>, los deudores son clasificados del siguiente modo:</w:t>
      </w:r>
    </w:p>
    <w:tbl>
      <w:tblPr>
        <w:tblW w:w="8405" w:type="dxa"/>
        <w:jc w:val="center"/>
        <w:tblLayout w:type="fixed"/>
        <w:tblLook w:val="0000" w:firstRow="0" w:lastRow="0" w:firstColumn="0" w:lastColumn="0" w:noHBand="0" w:noVBand="0"/>
      </w:tblPr>
      <w:tblGrid>
        <w:gridCol w:w="2158"/>
        <w:gridCol w:w="25"/>
        <w:gridCol w:w="6189"/>
        <w:gridCol w:w="33"/>
      </w:tblGrid>
      <w:tr w:rsidR="00931F52" w:rsidRPr="0085237C" w14:paraId="261AA661" w14:textId="77777777" w:rsidTr="00931F52">
        <w:trPr>
          <w:gridAfter w:val="1"/>
          <w:wAfter w:w="33" w:type="dxa"/>
          <w:tblHeader/>
          <w:jc w:val="center"/>
        </w:trPr>
        <w:tc>
          <w:tcPr>
            <w:tcW w:w="2183" w:type="dxa"/>
            <w:gridSpan w:val="2"/>
            <w:tcBorders>
              <w:bottom w:val="single" w:sz="4" w:space="0" w:color="auto"/>
            </w:tcBorders>
          </w:tcPr>
          <w:p w14:paraId="5CBEDE99" w14:textId="77777777" w:rsidR="00931F52" w:rsidRPr="0085237C" w:rsidRDefault="00931F52" w:rsidP="00931F52">
            <w:pPr>
              <w:widowControl w:val="0"/>
              <w:contextualSpacing/>
              <w:jc w:val="both"/>
              <w:rPr>
                <w:rFonts w:ascii="Arial" w:hAnsi="Arial" w:cs="Arial"/>
                <w:b/>
                <w:color w:val="000000"/>
                <w:sz w:val="20"/>
              </w:rPr>
            </w:pPr>
            <w:r w:rsidRPr="0085237C">
              <w:rPr>
                <w:rFonts w:ascii="Arial" w:hAnsi="Arial" w:cs="Arial"/>
                <w:b/>
                <w:color w:val="000000"/>
                <w:sz w:val="20"/>
              </w:rPr>
              <w:t>Clasificación</w:t>
            </w:r>
          </w:p>
        </w:tc>
        <w:tc>
          <w:tcPr>
            <w:tcW w:w="6189" w:type="dxa"/>
            <w:tcBorders>
              <w:bottom w:val="single" w:sz="4" w:space="0" w:color="auto"/>
            </w:tcBorders>
          </w:tcPr>
          <w:p w14:paraId="216E78BD" w14:textId="77777777" w:rsidR="00931F52" w:rsidRPr="0085237C" w:rsidRDefault="00931F52" w:rsidP="00931F52">
            <w:pPr>
              <w:widowControl w:val="0"/>
              <w:contextualSpacing/>
              <w:jc w:val="both"/>
              <w:rPr>
                <w:rFonts w:ascii="Arial" w:hAnsi="Arial" w:cs="Arial"/>
                <w:b/>
                <w:color w:val="000000"/>
                <w:sz w:val="20"/>
              </w:rPr>
            </w:pPr>
            <w:r w:rsidRPr="0085237C">
              <w:rPr>
                <w:rFonts w:ascii="Arial" w:hAnsi="Arial" w:cs="Arial"/>
                <w:b/>
                <w:color w:val="000000"/>
                <w:sz w:val="20"/>
              </w:rPr>
              <w:t>Criterios</w:t>
            </w:r>
          </w:p>
        </w:tc>
      </w:tr>
      <w:tr w:rsidR="00931F52" w:rsidRPr="0085237C" w14:paraId="508F4E6F" w14:textId="77777777" w:rsidTr="00931F52">
        <w:trPr>
          <w:gridAfter w:val="1"/>
          <w:wAfter w:w="33" w:type="dxa"/>
          <w:jc w:val="center"/>
        </w:trPr>
        <w:tc>
          <w:tcPr>
            <w:tcW w:w="2183" w:type="dxa"/>
            <w:gridSpan w:val="2"/>
            <w:tcBorders>
              <w:top w:val="single" w:sz="4" w:space="0" w:color="auto"/>
            </w:tcBorders>
          </w:tcPr>
          <w:p w14:paraId="676DA829" w14:textId="77777777" w:rsidR="00931F52" w:rsidRPr="0085237C" w:rsidRDefault="00931F52" w:rsidP="00931F52">
            <w:pPr>
              <w:widowControl w:val="0"/>
              <w:contextualSpacing/>
              <w:jc w:val="both"/>
              <w:rPr>
                <w:rFonts w:ascii="Arial" w:hAnsi="Arial" w:cs="Arial"/>
                <w:color w:val="000000"/>
                <w:sz w:val="20"/>
              </w:rPr>
            </w:pPr>
          </w:p>
          <w:p w14:paraId="74D90D53"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Situación normal</w:t>
            </w:r>
          </w:p>
        </w:tc>
        <w:tc>
          <w:tcPr>
            <w:tcW w:w="6189" w:type="dxa"/>
            <w:tcBorders>
              <w:top w:val="single" w:sz="4" w:space="0" w:color="auto"/>
            </w:tcBorders>
          </w:tcPr>
          <w:p w14:paraId="45E12097" w14:textId="77777777" w:rsidR="00931F52" w:rsidRPr="0085237C" w:rsidRDefault="00931F52" w:rsidP="00931F52">
            <w:pPr>
              <w:widowControl w:val="0"/>
              <w:contextualSpacing/>
              <w:jc w:val="both"/>
              <w:rPr>
                <w:rFonts w:ascii="Arial" w:hAnsi="Arial" w:cs="Arial"/>
                <w:color w:val="000000"/>
                <w:sz w:val="20"/>
              </w:rPr>
            </w:pPr>
          </w:p>
          <w:p w14:paraId="68AC0902"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cuando existe un cumplimiento puntual o mora menor a  31 días y, en caso de adelantos en cuentas corrientes, mora menor a 61 días.</w:t>
            </w:r>
          </w:p>
          <w:p w14:paraId="2AE28EDC" w14:textId="77777777" w:rsidR="00931F52" w:rsidRPr="0085237C" w:rsidRDefault="00931F52" w:rsidP="00931F52">
            <w:pPr>
              <w:widowControl w:val="0"/>
              <w:contextualSpacing/>
              <w:jc w:val="both"/>
              <w:outlineLvl w:val="2"/>
              <w:rPr>
                <w:rFonts w:ascii="Arial" w:hAnsi="Arial" w:cs="Arial"/>
                <w:color w:val="000000"/>
                <w:sz w:val="20"/>
              </w:rPr>
            </w:pPr>
          </w:p>
        </w:tc>
      </w:tr>
      <w:tr w:rsidR="00931F52" w:rsidRPr="0085237C" w14:paraId="79AB1F2C" w14:textId="77777777" w:rsidTr="00931F52">
        <w:trPr>
          <w:gridAfter w:val="1"/>
          <w:wAfter w:w="33" w:type="dxa"/>
          <w:jc w:val="center"/>
        </w:trPr>
        <w:tc>
          <w:tcPr>
            <w:tcW w:w="2183" w:type="dxa"/>
            <w:gridSpan w:val="2"/>
          </w:tcPr>
          <w:p w14:paraId="24C0E13A"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Riesgo Bajo</w:t>
            </w:r>
          </w:p>
        </w:tc>
        <w:tc>
          <w:tcPr>
            <w:tcW w:w="6189" w:type="dxa"/>
          </w:tcPr>
          <w:p w14:paraId="168D2CF0" w14:textId="77777777" w:rsidR="00931F52" w:rsidRPr="0085237C" w:rsidRDefault="00931F52" w:rsidP="00931F52">
            <w:pPr>
              <w:widowControl w:val="0"/>
              <w:contextualSpacing/>
              <w:rPr>
                <w:rFonts w:ascii="Arial" w:hAnsi="Arial" w:cs="Arial"/>
                <w:color w:val="000000"/>
                <w:sz w:val="20"/>
              </w:rPr>
            </w:pPr>
            <w:r w:rsidRPr="0085237C">
              <w:rPr>
                <w:rFonts w:ascii="Arial" w:eastAsia="Calibri" w:hAnsi="Arial" w:cs="Arial"/>
                <w:sz w:val="20"/>
              </w:rPr>
              <w:t xml:space="preserve">Préstamos de clientes que registran incumplimientos ocasionales en la atención de sus obligaciones, con atrasos de más de 31 hasta 90 días. </w:t>
            </w:r>
          </w:p>
          <w:p w14:paraId="4101B5E0" w14:textId="77777777" w:rsidR="00931F52" w:rsidRPr="0085237C" w:rsidRDefault="00931F52" w:rsidP="00931F52">
            <w:pPr>
              <w:widowControl w:val="0"/>
              <w:contextualSpacing/>
              <w:jc w:val="both"/>
              <w:rPr>
                <w:rFonts w:ascii="Arial" w:hAnsi="Arial" w:cs="Arial"/>
                <w:color w:val="000000"/>
                <w:sz w:val="20"/>
              </w:rPr>
            </w:pPr>
          </w:p>
        </w:tc>
      </w:tr>
      <w:tr w:rsidR="00931F52" w:rsidRPr="0085237C" w14:paraId="1CEB2666" w14:textId="77777777" w:rsidTr="00931F52">
        <w:trPr>
          <w:gridAfter w:val="1"/>
          <w:wAfter w:w="33" w:type="dxa"/>
          <w:jc w:val="center"/>
        </w:trPr>
        <w:tc>
          <w:tcPr>
            <w:tcW w:w="2183" w:type="dxa"/>
            <w:gridSpan w:val="2"/>
          </w:tcPr>
          <w:p w14:paraId="34D7E228"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Riesgo Medio</w:t>
            </w:r>
          </w:p>
        </w:tc>
        <w:tc>
          <w:tcPr>
            <w:tcW w:w="6189" w:type="dxa"/>
          </w:tcPr>
          <w:p w14:paraId="590BE615"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Préstamos en los cuales sus obligaciones de pago están en mora por un período de más de 90 días pero menos de 180 días.</w:t>
            </w:r>
          </w:p>
          <w:p w14:paraId="38868D65" w14:textId="77777777" w:rsidR="00931F52" w:rsidRPr="0085237C" w:rsidRDefault="00931F52" w:rsidP="00931F52">
            <w:pPr>
              <w:widowControl w:val="0"/>
              <w:contextualSpacing/>
              <w:jc w:val="both"/>
              <w:outlineLvl w:val="2"/>
              <w:rPr>
                <w:rFonts w:ascii="Arial" w:hAnsi="Arial" w:cs="Arial"/>
                <w:color w:val="000000"/>
                <w:sz w:val="20"/>
              </w:rPr>
            </w:pPr>
          </w:p>
        </w:tc>
      </w:tr>
      <w:tr w:rsidR="00931F52" w:rsidRPr="0085237C" w14:paraId="58FACA31" w14:textId="77777777" w:rsidTr="00931F52">
        <w:trPr>
          <w:gridAfter w:val="1"/>
          <w:wAfter w:w="33" w:type="dxa"/>
          <w:jc w:val="center"/>
        </w:trPr>
        <w:tc>
          <w:tcPr>
            <w:tcW w:w="2183" w:type="dxa"/>
            <w:gridSpan w:val="2"/>
          </w:tcPr>
          <w:p w14:paraId="042CCE35"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Riesgo Alto</w:t>
            </w:r>
          </w:p>
        </w:tc>
        <w:tc>
          <w:tcPr>
            <w:tcW w:w="6189" w:type="dxa"/>
          </w:tcPr>
          <w:p w14:paraId="45EF6EBE"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Préstamos en cuyo respecto se ha entablado una acción judicial de cobro, o préstamos que tengan obligaciones de pago en mora durante más de 180 días pero menos de 365 días.</w:t>
            </w:r>
          </w:p>
          <w:p w14:paraId="0D783E4D" w14:textId="77777777" w:rsidR="00931F52" w:rsidRPr="0085237C" w:rsidRDefault="00931F52" w:rsidP="00931F52">
            <w:pPr>
              <w:widowControl w:val="0"/>
              <w:contextualSpacing/>
              <w:jc w:val="both"/>
              <w:outlineLvl w:val="2"/>
              <w:rPr>
                <w:rFonts w:ascii="Arial" w:hAnsi="Arial" w:cs="Arial"/>
                <w:color w:val="000000"/>
                <w:sz w:val="20"/>
              </w:rPr>
            </w:pPr>
          </w:p>
        </w:tc>
      </w:tr>
      <w:tr w:rsidR="00931F52" w:rsidRPr="0085237C" w14:paraId="6E1CDBCB" w14:textId="77777777" w:rsidTr="00931F52">
        <w:trPr>
          <w:jc w:val="center"/>
        </w:trPr>
        <w:tc>
          <w:tcPr>
            <w:tcW w:w="2158" w:type="dxa"/>
          </w:tcPr>
          <w:p w14:paraId="282B98D0" w14:textId="77777777" w:rsidR="00931F52" w:rsidRPr="0085237C" w:rsidRDefault="00931F52" w:rsidP="00931F52">
            <w:pPr>
              <w:widowControl w:val="0"/>
              <w:contextualSpacing/>
              <w:rPr>
                <w:rFonts w:ascii="Arial" w:hAnsi="Arial" w:cs="Arial"/>
                <w:color w:val="000000"/>
                <w:sz w:val="20"/>
              </w:rPr>
            </w:pPr>
            <w:r w:rsidRPr="0085237C">
              <w:rPr>
                <w:rFonts w:ascii="Arial" w:hAnsi="Arial" w:cs="Arial"/>
                <w:color w:val="000000"/>
                <w:sz w:val="20"/>
              </w:rPr>
              <w:t>Irrecuperable</w:t>
            </w:r>
          </w:p>
        </w:tc>
        <w:tc>
          <w:tcPr>
            <w:tcW w:w="6247" w:type="dxa"/>
            <w:gridSpan w:val="3"/>
          </w:tcPr>
          <w:p w14:paraId="2B922354" w14:textId="77777777"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Préstamos a clientes insolventes, en gestión judicial o quiebra, con nula o escasa posibilidad de recuperación o con mora superior a 365 dias.</w:t>
            </w:r>
          </w:p>
          <w:p w14:paraId="20621719" w14:textId="77777777" w:rsidR="00931F52" w:rsidRPr="0085237C" w:rsidRDefault="00931F52" w:rsidP="00931F52">
            <w:pPr>
              <w:widowControl w:val="0"/>
              <w:contextualSpacing/>
              <w:jc w:val="both"/>
              <w:outlineLvl w:val="2"/>
              <w:rPr>
                <w:rFonts w:ascii="Arial" w:hAnsi="Arial" w:cs="Arial"/>
                <w:color w:val="000000"/>
                <w:sz w:val="20"/>
              </w:rPr>
            </w:pPr>
          </w:p>
        </w:tc>
      </w:tr>
      <w:tr w:rsidR="00931F52" w:rsidRPr="0085237C" w14:paraId="694C818D" w14:textId="77777777" w:rsidTr="00931F52">
        <w:trPr>
          <w:gridAfter w:val="1"/>
          <w:wAfter w:w="33" w:type="dxa"/>
          <w:jc w:val="center"/>
        </w:trPr>
        <w:tc>
          <w:tcPr>
            <w:tcW w:w="2183" w:type="dxa"/>
            <w:gridSpan w:val="2"/>
          </w:tcPr>
          <w:p w14:paraId="0F281C61" w14:textId="2F604CFD" w:rsidR="00931F52" w:rsidRPr="0085237C" w:rsidRDefault="00931F52" w:rsidP="006E1AF7">
            <w:pPr>
              <w:widowControl w:val="0"/>
              <w:contextualSpacing/>
              <w:rPr>
                <w:rFonts w:ascii="Arial" w:hAnsi="Arial" w:cs="Arial"/>
                <w:color w:val="000000"/>
                <w:sz w:val="20"/>
              </w:rPr>
            </w:pPr>
            <w:r w:rsidRPr="0085237C">
              <w:rPr>
                <w:rFonts w:ascii="Arial" w:hAnsi="Arial" w:cs="Arial"/>
                <w:color w:val="000000"/>
                <w:sz w:val="20"/>
              </w:rPr>
              <w:t xml:space="preserve">Irrecuperable por disposición técnica </w:t>
            </w:r>
          </w:p>
        </w:tc>
        <w:tc>
          <w:tcPr>
            <w:tcW w:w="6189" w:type="dxa"/>
          </w:tcPr>
          <w:p w14:paraId="10D57DEC" w14:textId="6D10D9F9" w:rsidR="00931F52" w:rsidRPr="0085237C" w:rsidRDefault="00931F52" w:rsidP="00931F52">
            <w:pPr>
              <w:widowControl w:val="0"/>
              <w:contextualSpacing/>
              <w:jc w:val="both"/>
              <w:rPr>
                <w:rFonts w:ascii="Arial" w:hAnsi="Arial" w:cs="Arial"/>
                <w:color w:val="000000"/>
                <w:sz w:val="20"/>
              </w:rPr>
            </w:pPr>
            <w:r w:rsidRPr="0085237C">
              <w:rPr>
                <w:rFonts w:ascii="Arial" w:hAnsi="Arial" w:cs="Arial"/>
                <w:color w:val="000000"/>
                <w:sz w:val="20"/>
              </w:rPr>
              <w:t>Se aplican los mismos criterios que para los préstamos comerciales en estado de técnicamente irrecuperables según los Normas B.C.R.A</w:t>
            </w:r>
            <w:r w:rsidR="00CE3E04">
              <w:rPr>
                <w:rFonts w:ascii="Arial" w:hAnsi="Arial" w:cs="Arial"/>
                <w:color w:val="000000"/>
                <w:sz w:val="20"/>
              </w:rPr>
              <w:t>.</w:t>
            </w:r>
            <w:r w:rsidRPr="0085237C">
              <w:rPr>
                <w:rFonts w:ascii="Arial" w:hAnsi="Arial" w:cs="Arial"/>
                <w:color w:val="000000"/>
                <w:sz w:val="20"/>
              </w:rPr>
              <w:t xml:space="preserve"> </w:t>
            </w:r>
          </w:p>
        </w:tc>
      </w:tr>
    </w:tbl>
    <w:p w14:paraId="3712EE9E" w14:textId="77777777" w:rsidR="00931F52" w:rsidRDefault="00931F52" w:rsidP="00931F52">
      <w:pPr>
        <w:rPr>
          <w:rFonts w:ascii="Arial" w:eastAsia="Arial" w:hAnsi="Arial" w:cs="Arial"/>
          <w:b/>
          <w:sz w:val="20"/>
        </w:rPr>
      </w:pPr>
    </w:p>
    <w:p w14:paraId="6C58E88E" w14:textId="77777777" w:rsidR="00931F52" w:rsidRPr="00701F32" w:rsidRDefault="00931F52" w:rsidP="00931F52">
      <w:pPr>
        <w:rPr>
          <w:rFonts w:ascii="Arial" w:eastAsia="Arial" w:hAnsi="Arial" w:cs="Arial"/>
          <w:b/>
          <w:sz w:val="20"/>
        </w:rPr>
      </w:pPr>
      <w:r>
        <w:rPr>
          <w:rFonts w:ascii="Arial" w:eastAsia="Arial" w:hAnsi="Arial" w:cs="Arial"/>
          <w:b/>
          <w:sz w:val="20"/>
        </w:rPr>
        <w:t xml:space="preserve">1.13 </w:t>
      </w:r>
      <w:r w:rsidRPr="00701F32">
        <w:rPr>
          <w:rFonts w:ascii="Arial" w:eastAsia="Arial" w:hAnsi="Arial" w:cs="Arial"/>
          <w:b/>
          <w:sz w:val="20"/>
        </w:rPr>
        <w:t xml:space="preserve">Previsiones por riesgo de incobrabilidad </w:t>
      </w:r>
    </w:p>
    <w:p w14:paraId="29DE8287" w14:textId="77777777" w:rsidR="00931F52" w:rsidRPr="00701F32" w:rsidRDefault="00931F52" w:rsidP="00931F52">
      <w:pPr>
        <w:rPr>
          <w:rFonts w:ascii="Arial" w:eastAsia="Arial" w:hAnsi="Arial" w:cs="Arial"/>
          <w:b/>
          <w:sz w:val="20"/>
        </w:rPr>
      </w:pPr>
    </w:p>
    <w:p w14:paraId="58424118" w14:textId="77777777" w:rsidR="00931F52" w:rsidRPr="00701F32" w:rsidRDefault="00931F52" w:rsidP="00931F52">
      <w:pPr>
        <w:spacing w:after="160" w:line="259" w:lineRule="auto"/>
        <w:jc w:val="both"/>
        <w:rPr>
          <w:rFonts w:ascii="Arial" w:eastAsia="Arial" w:hAnsi="Arial" w:cs="Arial"/>
          <w:sz w:val="20"/>
        </w:rPr>
      </w:pPr>
      <w:r w:rsidRPr="00701F32">
        <w:rPr>
          <w:rFonts w:ascii="Arial" w:eastAsia="Arial" w:hAnsi="Arial" w:cs="Arial"/>
          <w:sz w:val="20"/>
        </w:rPr>
        <w:t>Respecto de las previsiones por riesgo de incobrabilidad, continúan vigentes las normas sobre “Previsiones mínimas por riesgo de incobrabilidad” de la sección 8 de la LISOL, las cuales se detallan a continuación:</w:t>
      </w:r>
    </w:p>
    <w:p w14:paraId="00C81D93" w14:textId="77777777" w:rsidR="00931F52" w:rsidRPr="00701F32" w:rsidRDefault="00931F52" w:rsidP="00931F52">
      <w:pPr>
        <w:spacing w:after="160" w:line="259" w:lineRule="auto"/>
        <w:jc w:val="both"/>
        <w:rPr>
          <w:rFonts w:ascii="Arial" w:eastAsia="Arial" w:hAnsi="Arial" w:cs="Arial"/>
          <w:sz w:val="20"/>
        </w:rPr>
      </w:pPr>
      <w:r w:rsidRPr="00701F32">
        <w:rPr>
          <w:rFonts w:ascii="Arial" w:eastAsia="Arial" w:hAnsi="Arial" w:cs="Arial"/>
          <w:sz w:val="20"/>
        </w:rPr>
        <w:t>Sobre el total de las deudas de los clientes, deberán aplicarse las siguientes pautas mínimas de previsionamiento: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334"/>
        <w:gridCol w:w="1980"/>
        <w:gridCol w:w="1980"/>
      </w:tblGrid>
      <w:tr w:rsidR="00931F52" w:rsidRPr="00701F32" w14:paraId="661CBE1C" w14:textId="77777777" w:rsidTr="00931F52">
        <w:trPr>
          <w:trHeight w:val="229"/>
          <w:tblHeader/>
        </w:trPr>
        <w:tc>
          <w:tcPr>
            <w:tcW w:w="1392" w:type="pct"/>
            <w:vAlign w:val="center"/>
          </w:tcPr>
          <w:p w14:paraId="18233A71" w14:textId="77777777" w:rsidR="00931F52" w:rsidRPr="00701F32" w:rsidRDefault="00931F52" w:rsidP="00931F52">
            <w:pPr>
              <w:spacing w:line="259" w:lineRule="auto"/>
              <w:jc w:val="center"/>
              <w:rPr>
                <w:rFonts w:ascii="Arial" w:eastAsia="Arial" w:hAnsi="Arial" w:cs="Arial"/>
                <w:b/>
                <w:sz w:val="18"/>
              </w:rPr>
            </w:pPr>
            <w:r w:rsidRPr="00701F32">
              <w:rPr>
                <w:rFonts w:ascii="Arial" w:eastAsia="Arial" w:hAnsi="Arial" w:cs="Arial"/>
                <w:b/>
                <w:sz w:val="18"/>
              </w:rPr>
              <w:t>Cartera Comercial</w:t>
            </w:r>
          </w:p>
        </w:tc>
        <w:tc>
          <w:tcPr>
            <w:tcW w:w="1338" w:type="pct"/>
            <w:vAlign w:val="center"/>
          </w:tcPr>
          <w:p w14:paraId="1A85B0B5" w14:textId="77777777" w:rsidR="00931F52" w:rsidRPr="00701F32" w:rsidRDefault="00931F52" w:rsidP="00931F52">
            <w:pPr>
              <w:spacing w:line="259" w:lineRule="auto"/>
              <w:jc w:val="center"/>
              <w:rPr>
                <w:rFonts w:ascii="Arial" w:eastAsia="Arial" w:hAnsi="Arial" w:cs="Arial"/>
                <w:b/>
                <w:sz w:val="18"/>
              </w:rPr>
            </w:pPr>
            <w:r w:rsidRPr="00701F32">
              <w:rPr>
                <w:rFonts w:ascii="Arial" w:eastAsia="Arial" w:hAnsi="Arial" w:cs="Arial"/>
                <w:b/>
                <w:sz w:val="18"/>
              </w:rPr>
              <w:t>Cartera de consumo o asimilable a consumo</w:t>
            </w:r>
          </w:p>
        </w:tc>
        <w:tc>
          <w:tcPr>
            <w:tcW w:w="1135" w:type="pct"/>
            <w:vAlign w:val="center"/>
          </w:tcPr>
          <w:p w14:paraId="15D8E2D1" w14:textId="77777777" w:rsidR="00931F52" w:rsidRPr="00701F32" w:rsidRDefault="00931F52" w:rsidP="00931F52">
            <w:pPr>
              <w:spacing w:line="259" w:lineRule="auto"/>
              <w:jc w:val="center"/>
              <w:rPr>
                <w:rFonts w:ascii="Arial" w:eastAsia="Arial" w:hAnsi="Arial" w:cs="Arial"/>
                <w:b/>
                <w:sz w:val="18"/>
              </w:rPr>
            </w:pPr>
            <w:r w:rsidRPr="00701F32">
              <w:rPr>
                <w:rFonts w:ascii="Arial" w:eastAsia="Arial" w:hAnsi="Arial" w:cs="Arial"/>
                <w:b/>
                <w:sz w:val="18"/>
              </w:rPr>
              <w:t>Con garantías preferidas</w:t>
            </w:r>
          </w:p>
        </w:tc>
        <w:tc>
          <w:tcPr>
            <w:tcW w:w="1135" w:type="pct"/>
            <w:vAlign w:val="center"/>
          </w:tcPr>
          <w:p w14:paraId="3C821998" w14:textId="77777777" w:rsidR="00931F52" w:rsidRPr="00701F32" w:rsidRDefault="00931F52" w:rsidP="00931F52">
            <w:pPr>
              <w:spacing w:line="259" w:lineRule="auto"/>
              <w:jc w:val="center"/>
              <w:rPr>
                <w:rFonts w:ascii="Arial" w:eastAsia="Arial" w:hAnsi="Arial" w:cs="Arial"/>
                <w:b/>
                <w:sz w:val="18"/>
              </w:rPr>
            </w:pPr>
            <w:r w:rsidRPr="00701F32">
              <w:rPr>
                <w:rFonts w:ascii="Arial" w:eastAsia="Arial" w:hAnsi="Arial" w:cs="Arial"/>
                <w:b/>
                <w:sz w:val="18"/>
              </w:rPr>
              <w:t>Sin garantías preferidas</w:t>
            </w:r>
          </w:p>
        </w:tc>
      </w:tr>
      <w:tr w:rsidR="00931F52" w:rsidRPr="00701F32" w14:paraId="615D72E8" w14:textId="77777777" w:rsidTr="00931F52">
        <w:trPr>
          <w:trHeight w:val="111"/>
        </w:trPr>
        <w:tc>
          <w:tcPr>
            <w:tcW w:w="1392" w:type="pct"/>
            <w:vAlign w:val="center"/>
          </w:tcPr>
          <w:p w14:paraId="77B63141" w14:textId="77777777" w:rsidR="00931F52" w:rsidRPr="00701F32" w:rsidRDefault="00931F52">
            <w:pPr>
              <w:spacing w:line="259" w:lineRule="auto"/>
              <w:rPr>
                <w:rFonts w:ascii="Arial" w:eastAsia="Arial" w:hAnsi="Arial" w:cs="Arial"/>
                <w:sz w:val="18"/>
              </w:rPr>
            </w:pPr>
            <w:r w:rsidRPr="00701F32">
              <w:rPr>
                <w:rFonts w:ascii="Arial" w:eastAsia="Arial" w:hAnsi="Arial" w:cs="Arial"/>
                <w:sz w:val="18"/>
              </w:rPr>
              <w:t>Situación normal</w:t>
            </w:r>
          </w:p>
        </w:tc>
        <w:tc>
          <w:tcPr>
            <w:tcW w:w="1338" w:type="pct"/>
            <w:vAlign w:val="center"/>
          </w:tcPr>
          <w:p w14:paraId="238C78D6"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Situación normal</w:t>
            </w:r>
          </w:p>
        </w:tc>
        <w:tc>
          <w:tcPr>
            <w:tcW w:w="1135" w:type="pct"/>
            <w:vAlign w:val="center"/>
          </w:tcPr>
          <w:p w14:paraId="5F0464B6"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1%</w:t>
            </w:r>
          </w:p>
        </w:tc>
        <w:tc>
          <w:tcPr>
            <w:tcW w:w="1135" w:type="pct"/>
            <w:vAlign w:val="center"/>
          </w:tcPr>
          <w:p w14:paraId="46987215"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1%</w:t>
            </w:r>
          </w:p>
        </w:tc>
      </w:tr>
      <w:tr w:rsidR="00931F52" w:rsidRPr="00701F32" w14:paraId="642FA74F" w14:textId="77777777" w:rsidTr="00931F52">
        <w:trPr>
          <w:trHeight w:val="111"/>
        </w:trPr>
        <w:tc>
          <w:tcPr>
            <w:tcW w:w="1392" w:type="pct"/>
            <w:vAlign w:val="center"/>
          </w:tcPr>
          <w:p w14:paraId="590E21F8"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En observación</w:t>
            </w:r>
          </w:p>
        </w:tc>
        <w:tc>
          <w:tcPr>
            <w:tcW w:w="1338" w:type="pct"/>
            <w:vAlign w:val="center"/>
          </w:tcPr>
          <w:p w14:paraId="0E3A1252"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Riesgo bajo</w:t>
            </w:r>
          </w:p>
        </w:tc>
        <w:tc>
          <w:tcPr>
            <w:tcW w:w="1135" w:type="pct"/>
            <w:vAlign w:val="center"/>
          </w:tcPr>
          <w:p w14:paraId="64DD847E"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3%</w:t>
            </w:r>
          </w:p>
        </w:tc>
        <w:tc>
          <w:tcPr>
            <w:tcW w:w="1135" w:type="pct"/>
            <w:vAlign w:val="center"/>
          </w:tcPr>
          <w:p w14:paraId="2130B22A"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5%</w:t>
            </w:r>
          </w:p>
        </w:tc>
      </w:tr>
      <w:tr w:rsidR="00931F52" w:rsidRPr="00701F32" w14:paraId="04B4FFAD" w14:textId="77777777" w:rsidTr="00931F52">
        <w:trPr>
          <w:trHeight w:val="238"/>
        </w:trPr>
        <w:tc>
          <w:tcPr>
            <w:tcW w:w="1392" w:type="pct"/>
            <w:vAlign w:val="center"/>
          </w:tcPr>
          <w:p w14:paraId="1332686E"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En negociación o con acuerdos de refinanciación</w:t>
            </w:r>
          </w:p>
        </w:tc>
        <w:tc>
          <w:tcPr>
            <w:tcW w:w="1338" w:type="pct"/>
            <w:vAlign w:val="center"/>
          </w:tcPr>
          <w:p w14:paraId="0FDCF890"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N/A</w:t>
            </w:r>
          </w:p>
          <w:p w14:paraId="2B38736C" w14:textId="77777777" w:rsidR="00931F52" w:rsidRPr="00701F32" w:rsidRDefault="00931F52">
            <w:pPr>
              <w:spacing w:line="259" w:lineRule="auto"/>
              <w:rPr>
                <w:rFonts w:ascii="Arial" w:eastAsia="Arial" w:hAnsi="Arial" w:cs="Arial"/>
                <w:sz w:val="18"/>
              </w:rPr>
            </w:pPr>
          </w:p>
        </w:tc>
        <w:tc>
          <w:tcPr>
            <w:tcW w:w="1135" w:type="pct"/>
            <w:vAlign w:val="center"/>
          </w:tcPr>
          <w:p w14:paraId="2FB0B82C"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6%</w:t>
            </w:r>
          </w:p>
        </w:tc>
        <w:tc>
          <w:tcPr>
            <w:tcW w:w="1135" w:type="pct"/>
            <w:vAlign w:val="center"/>
          </w:tcPr>
          <w:p w14:paraId="299643D5"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12%</w:t>
            </w:r>
          </w:p>
        </w:tc>
      </w:tr>
      <w:tr w:rsidR="00931F52" w:rsidRPr="00701F32" w14:paraId="5F9EA17E" w14:textId="77777777" w:rsidTr="00931F52">
        <w:trPr>
          <w:trHeight w:val="118"/>
        </w:trPr>
        <w:tc>
          <w:tcPr>
            <w:tcW w:w="1392" w:type="pct"/>
            <w:vAlign w:val="center"/>
          </w:tcPr>
          <w:p w14:paraId="2EC1334A"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 xml:space="preserve">Con problemas </w:t>
            </w:r>
          </w:p>
        </w:tc>
        <w:tc>
          <w:tcPr>
            <w:tcW w:w="1338" w:type="pct"/>
            <w:vAlign w:val="center"/>
          </w:tcPr>
          <w:p w14:paraId="44D97480"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Riesgo medio</w:t>
            </w:r>
          </w:p>
        </w:tc>
        <w:tc>
          <w:tcPr>
            <w:tcW w:w="1135" w:type="pct"/>
            <w:vAlign w:val="center"/>
          </w:tcPr>
          <w:p w14:paraId="65572B70"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12%</w:t>
            </w:r>
          </w:p>
        </w:tc>
        <w:tc>
          <w:tcPr>
            <w:tcW w:w="1135" w:type="pct"/>
            <w:vAlign w:val="center"/>
          </w:tcPr>
          <w:p w14:paraId="5C2A58D4"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25%</w:t>
            </w:r>
          </w:p>
        </w:tc>
      </w:tr>
      <w:tr w:rsidR="00931F52" w:rsidRPr="00701F32" w14:paraId="268F4E35" w14:textId="77777777" w:rsidTr="00931F52">
        <w:trPr>
          <w:trHeight w:val="222"/>
        </w:trPr>
        <w:tc>
          <w:tcPr>
            <w:tcW w:w="1392" w:type="pct"/>
            <w:vAlign w:val="center"/>
          </w:tcPr>
          <w:p w14:paraId="63A64EDD"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Alto riesgo de insolvencia</w:t>
            </w:r>
          </w:p>
        </w:tc>
        <w:tc>
          <w:tcPr>
            <w:tcW w:w="1338" w:type="pct"/>
            <w:vAlign w:val="center"/>
          </w:tcPr>
          <w:p w14:paraId="7E2C6A4B"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Riesgo alto</w:t>
            </w:r>
          </w:p>
        </w:tc>
        <w:tc>
          <w:tcPr>
            <w:tcW w:w="1135" w:type="pct"/>
            <w:vAlign w:val="center"/>
          </w:tcPr>
          <w:p w14:paraId="08F6C2AD"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25%</w:t>
            </w:r>
          </w:p>
        </w:tc>
        <w:tc>
          <w:tcPr>
            <w:tcW w:w="1135" w:type="pct"/>
            <w:vAlign w:val="center"/>
          </w:tcPr>
          <w:p w14:paraId="7D970B09"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50%</w:t>
            </w:r>
          </w:p>
        </w:tc>
      </w:tr>
      <w:tr w:rsidR="00931F52" w:rsidRPr="00701F32" w14:paraId="7ECF9994" w14:textId="77777777" w:rsidTr="00931F52">
        <w:trPr>
          <w:trHeight w:val="111"/>
        </w:trPr>
        <w:tc>
          <w:tcPr>
            <w:tcW w:w="1392" w:type="pct"/>
            <w:vAlign w:val="center"/>
          </w:tcPr>
          <w:p w14:paraId="62B81D7F"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Irrecuperable</w:t>
            </w:r>
          </w:p>
        </w:tc>
        <w:tc>
          <w:tcPr>
            <w:tcW w:w="1338" w:type="pct"/>
            <w:vAlign w:val="center"/>
          </w:tcPr>
          <w:p w14:paraId="4C506D99"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Irrecuperable</w:t>
            </w:r>
          </w:p>
        </w:tc>
        <w:tc>
          <w:tcPr>
            <w:tcW w:w="1135" w:type="pct"/>
            <w:vAlign w:val="center"/>
          </w:tcPr>
          <w:p w14:paraId="448965F7"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50%</w:t>
            </w:r>
          </w:p>
        </w:tc>
        <w:tc>
          <w:tcPr>
            <w:tcW w:w="1135" w:type="pct"/>
            <w:vAlign w:val="center"/>
          </w:tcPr>
          <w:p w14:paraId="66199756"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100%</w:t>
            </w:r>
          </w:p>
        </w:tc>
      </w:tr>
      <w:tr w:rsidR="00931F52" w:rsidRPr="00701F32" w14:paraId="075D70E0" w14:textId="77777777" w:rsidTr="00931F52">
        <w:trPr>
          <w:trHeight w:val="236"/>
        </w:trPr>
        <w:tc>
          <w:tcPr>
            <w:tcW w:w="1392" w:type="pct"/>
            <w:vAlign w:val="center"/>
          </w:tcPr>
          <w:p w14:paraId="7D43ACB6"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Irrecuperable por disposición técnica</w:t>
            </w:r>
          </w:p>
        </w:tc>
        <w:tc>
          <w:tcPr>
            <w:tcW w:w="1338" w:type="pct"/>
            <w:vAlign w:val="center"/>
          </w:tcPr>
          <w:p w14:paraId="2845BC54" w14:textId="77777777" w:rsidR="00931F52" w:rsidRPr="00701F32" w:rsidRDefault="00931F52" w:rsidP="006E1AF7">
            <w:pPr>
              <w:spacing w:line="259" w:lineRule="auto"/>
              <w:rPr>
                <w:rFonts w:ascii="Arial" w:eastAsia="Arial" w:hAnsi="Arial" w:cs="Arial"/>
                <w:sz w:val="18"/>
              </w:rPr>
            </w:pPr>
            <w:r w:rsidRPr="00701F32">
              <w:rPr>
                <w:rFonts w:ascii="Arial" w:eastAsia="Arial" w:hAnsi="Arial" w:cs="Arial"/>
                <w:sz w:val="18"/>
              </w:rPr>
              <w:t>Irrecuperable por disposición técnica</w:t>
            </w:r>
          </w:p>
        </w:tc>
        <w:tc>
          <w:tcPr>
            <w:tcW w:w="1135" w:type="pct"/>
            <w:vAlign w:val="center"/>
          </w:tcPr>
          <w:p w14:paraId="16569FE3"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100%</w:t>
            </w:r>
          </w:p>
        </w:tc>
        <w:tc>
          <w:tcPr>
            <w:tcW w:w="1135" w:type="pct"/>
            <w:vAlign w:val="center"/>
          </w:tcPr>
          <w:p w14:paraId="144071E1" w14:textId="77777777" w:rsidR="00931F52" w:rsidRPr="00701F32" w:rsidRDefault="00931F52" w:rsidP="00931F52">
            <w:pPr>
              <w:spacing w:line="259" w:lineRule="auto"/>
              <w:jc w:val="center"/>
              <w:rPr>
                <w:rFonts w:ascii="Arial" w:eastAsia="Arial" w:hAnsi="Arial" w:cs="Arial"/>
                <w:sz w:val="18"/>
              </w:rPr>
            </w:pPr>
            <w:r w:rsidRPr="00701F32">
              <w:rPr>
                <w:rFonts w:ascii="Arial" w:eastAsia="Arial" w:hAnsi="Arial" w:cs="Arial"/>
                <w:sz w:val="18"/>
              </w:rPr>
              <w:t>100%</w:t>
            </w:r>
          </w:p>
        </w:tc>
      </w:tr>
    </w:tbl>
    <w:p w14:paraId="26BFF454" w14:textId="77777777" w:rsidR="00931F52" w:rsidRDefault="00931F52" w:rsidP="00931F52">
      <w:pPr>
        <w:spacing w:after="160" w:line="259" w:lineRule="auto"/>
        <w:jc w:val="both"/>
        <w:rPr>
          <w:rFonts w:ascii="Arial" w:eastAsia="Arial" w:hAnsi="Arial" w:cs="Arial"/>
          <w:sz w:val="20"/>
        </w:rPr>
      </w:pPr>
    </w:p>
    <w:p w14:paraId="2D0D01C6" w14:textId="77777777" w:rsidR="00931F52" w:rsidRDefault="00931F52" w:rsidP="00931F52">
      <w:pPr>
        <w:spacing w:after="160" w:line="259" w:lineRule="auto"/>
        <w:jc w:val="both"/>
        <w:rPr>
          <w:rFonts w:ascii="Arial" w:eastAsia="Arial" w:hAnsi="Arial" w:cs="Arial"/>
          <w:sz w:val="20"/>
        </w:rPr>
      </w:pPr>
      <w:r w:rsidRPr="00701F32">
        <w:rPr>
          <w:rFonts w:ascii="Arial" w:hAnsi="Arial" w:cs="Arial"/>
          <w:color w:val="000000"/>
          <w:sz w:val="20"/>
        </w:rPr>
        <w:t>El criterio principal para evaluar un préstamo perteneciente a la cartera comercial es la capacidad de su prestatario para reembolsarlo, capacidad que se mide principalmente por el flujo de efectivo futuro de dicho prestatario. En el caso del análisis de la cartera de consumo el principal criterio en la evaluación de los préstamos es la mora en el cumplimiento de sus obligaciones.</w:t>
      </w:r>
    </w:p>
    <w:p w14:paraId="6709D8CD" w14:textId="77777777" w:rsidR="00931F52" w:rsidRPr="00701F32" w:rsidRDefault="00931F52" w:rsidP="00931F52">
      <w:pPr>
        <w:spacing w:after="160" w:line="259" w:lineRule="auto"/>
        <w:jc w:val="both"/>
        <w:rPr>
          <w:rFonts w:ascii="Arial" w:eastAsia="Arial" w:hAnsi="Arial" w:cs="Arial"/>
          <w:sz w:val="20"/>
        </w:rPr>
      </w:pPr>
      <w:r w:rsidRPr="00701F32">
        <w:rPr>
          <w:rFonts w:ascii="Arial" w:eastAsia="Arial" w:hAnsi="Arial" w:cs="Arial"/>
          <w:sz w:val="20"/>
        </w:rPr>
        <w:t>Entre otras disposiciones particulares, la Entidad ha optado por interrumpir el devengamiento de intereses de aquellos clientes que presenten atrasos mayores a 90 días en lugar de previsionar el 100% de los mismos</w:t>
      </w:r>
      <w:r>
        <w:rPr>
          <w:rFonts w:ascii="Arial" w:eastAsia="Arial" w:hAnsi="Arial" w:cs="Arial"/>
          <w:sz w:val="20"/>
        </w:rPr>
        <w:t>.</w:t>
      </w:r>
    </w:p>
    <w:p w14:paraId="7FCF226F" w14:textId="77777777" w:rsidR="00931F52" w:rsidRPr="00701F32" w:rsidRDefault="00931F52" w:rsidP="00931F52">
      <w:pPr>
        <w:spacing w:after="160" w:line="259" w:lineRule="auto"/>
        <w:jc w:val="both"/>
        <w:rPr>
          <w:rFonts w:ascii="Arial" w:eastAsia="Calibri" w:hAnsi="Arial" w:cs="Arial"/>
          <w:b/>
          <w:sz w:val="20"/>
        </w:rPr>
      </w:pPr>
      <w:r>
        <w:rPr>
          <w:rFonts w:ascii="Arial" w:eastAsia="Calibri" w:hAnsi="Arial" w:cs="Arial"/>
          <w:b/>
          <w:sz w:val="20"/>
        </w:rPr>
        <w:t>1.14</w:t>
      </w:r>
      <w:r w:rsidRPr="00701F32">
        <w:rPr>
          <w:rFonts w:ascii="Arial" w:eastAsia="Calibri" w:hAnsi="Arial" w:cs="Arial"/>
          <w:b/>
          <w:sz w:val="20"/>
        </w:rPr>
        <w:t xml:space="preserve"> Arrendamientos / Leasing </w:t>
      </w:r>
    </w:p>
    <w:p w14:paraId="48690717" w14:textId="77777777" w:rsidR="00931F52" w:rsidRPr="00613EB0" w:rsidRDefault="00931F52" w:rsidP="00931F52">
      <w:pPr>
        <w:spacing w:after="160" w:line="259" w:lineRule="auto"/>
        <w:jc w:val="both"/>
        <w:rPr>
          <w:rFonts w:ascii="Arial" w:eastAsia="Arial" w:hAnsi="Arial" w:cs="Arial"/>
          <w:sz w:val="20"/>
          <w:szCs w:val="22"/>
          <w:u w:val="single"/>
        </w:rPr>
      </w:pPr>
      <w:r w:rsidRPr="00613EB0">
        <w:rPr>
          <w:rFonts w:ascii="Arial" w:eastAsia="Arial" w:hAnsi="Arial" w:cs="Arial"/>
          <w:sz w:val="20"/>
          <w:szCs w:val="22"/>
          <w:u w:val="single"/>
        </w:rPr>
        <w:t>Arrendamientos operativos</w:t>
      </w:r>
    </w:p>
    <w:p w14:paraId="0041E67C" w14:textId="0793EEDF" w:rsidR="00931F52" w:rsidRPr="00613EB0" w:rsidRDefault="00931F52" w:rsidP="00931F52">
      <w:pPr>
        <w:spacing w:after="160" w:line="259" w:lineRule="auto"/>
        <w:jc w:val="both"/>
        <w:rPr>
          <w:rFonts w:ascii="Arial" w:eastAsia="Arial" w:hAnsi="Arial" w:cs="Arial"/>
          <w:sz w:val="20"/>
          <w:szCs w:val="22"/>
        </w:rPr>
      </w:pPr>
      <w:r w:rsidRPr="00613EB0">
        <w:rPr>
          <w:rFonts w:ascii="Arial" w:eastAsia="Arial" w:hAnsi="Arial" w:cs="Arial"/>
          <w:sz w:val="20"/>
          <w:szCs w:val="22"/>
        </w:rPr>
        <w:t>El Banco</w:t>
      </w:r>
      <w:r w:rsidR="005258F9">
        <w:rPr>
          <w:rFonts w:ascii="Arial" w:eastAsia="Arial" w:hAnsi="Arial" w:cs="Arial"/>
          <w:sz w:val="20"/>
          <w:szCs w:val="22"/>
        </w:rPr>
        <w:t>, como arrendador,</w:t>
      </w:r>
      <w:r w:rsidRPr="00613EB0">
        <w:rPr>
          <w:rFonts w:ascii="Arial" w:eastAsia="Arial" w:hAnsi="Arial" w:cs="Arial"/>
          <w:sz w:val="20"/>
          <w:szCs w:val="22"/>
        </w:rPr>
        <w:t xml:space="preserve"> reconoce los pagos de leasing como resultados positivos de manera lineal. En caso de que sea más apropiado otro método de reconocimiento, el Banco aplicará el reconocimiento de ingresos de dicha manera. A su vez, el Banco reconoce los costos, tales como amortizaciones y gastos. </w:t>
      </w:r>
    </w:p>
    <w:p w14:paraId="7B33D073" w14:textId="77777777" w:rsidR="00931F52" w:rsidRPr="00613EB0" w:rsidRDefault="00931F52" w:rsidP="00931F52">
      <w:pPr>
        <w:spacing w:after="160" w:line="259" w:lineRule="auto"/>
        <w:jc w:val="both"/>
        <w:rPr>
          <w:rFonts w:ascii="Arial" w:eastAsia="Arial" w:hAnsi="Arial" w:cs="Arial"/>
          <w:sz w:val="20"/>
          <w:szCs w:val="22"/>
        </w:rPr>
      </w:pPr>
      <w:r w:rsidRPr="00613EB0">
        <w:rPr>
          <w:rFonts w:ascii="Arial" w:eastAsia="Arial" w:hAnsi="Arial" w:cs="Arial"/>
          <w:sz w:val="20"/>
          <w:szCs w:val="22"/>
        </w:rPr>
        <w:t>El valor de reconocimiento inicial incluye los costos directos incurridos en la adquisición del leasing operativo al valor de libros del activo subyacente y reconocerá dichos costos como gastos durante el plazo del arrendamiento de igual manera que el reconocimiento de los ingresos.</w:t>
      </w:r>
    </w:p>
    <w:p w14:paraId="0DD0CED5" w14:textId="6BB0C5C7" w:rsidR="00931F52" w:rsidRPr="00694B4F" w:rsidRDefault="00931F52" w:rsidP="00931F52">
      <w:pPr>
        <w:spacing w:after="160" w:line="259" w:lineRule="auto"/>
        <w:jc w:val="both"/>
        <w:rPr>
          <w:rFonts w:ascii="Arial" w:eastAsia="Arial" w:hAnsi="Arial" w:cs="Arial"/>
          <w:sz w:val="20"/>
          <w:szCs w:val="22"/>
        </w:rPr>
      </w:pPr>
      <w:r w:rsidRPr="00613EB0">
        <w:rPr>
          <w:rFonts w:ascii="Arial" w:eastAsia="Arial" w:hAnsi="Arial" w:cs="Arial"/>
          <w:sz w:val="20"/>
          <w:szCs w:val="22"/>
        </w:rPr>
        <w:t>La depreciación aplicada a los activos subyacentes del leasing es consiste</w:t>
      </w:r>
      <w:r w:rsidR="009C31AD">
        <w:rPr>
          <w:rFonts w:ascii="Arial" w:eastAsia="Arial" w:hAnsi="Arial" w:cs="Arial"/>
          <w:sz w:val="20"/>
          <w:szCs w:val="22"/>
        </w:rPr>
        <w:t>nte</w:t>
      </w:r>
      <w:r w:rsidRPr="00613EB0">
        <w:rPr>
          <w:rFonts w:ascii="Arial" w:eastAsia="Arial" w:hAnsi="Arial" w:cs="Arial"/>
          <w:sz w:val="20"/>
          <w:szCs w:val="22"/>
        </w:rPr>
        <w:t xml:space="preserve"> con el grupo de activos similares. A su vez, el Banco aplica NIC 36 para la aplicación de pérdidas identificadas.</w:t>
      </w:r>
    </w:p>
    <w:p w14:paraId="4D4082D5" w14:textId="77777777" w:rsidR="00931F52" w:rsidRPr="00701F32" w:rsidRDefault="00931F52" w:rsidP="00931F52">
      <w:pPr>
        <w:spacing w:after="160" w:line="259" w:lineRule="auto"/>
        <w:jc w:val="both"/>
        <w:rPr>
          <w:rFonts w:ascii="Arial" w:eastAsia="Calibri" w:hAnsi="Arial" w:cs="Arial"/>
          <w:sz w:val="20"/>
          <w:u w:val="single"/>
        </w:rPr>
      </w:pPr>
      <w:r w:rsidRPr="00701F32">
        <w:rPr>
          <w:rFonts w:ascii="Arial" w:eastAsia="Calibri" w:hAnsi="Arial" w:cs="Arial"/>
          <w:sz w:val="20"/>
          <w:u w:val="single"/>
        </w:rPr>
        <w:t>Arrendamientos financieros</w:t>
      </w:r>
    </w:p>
    <w:p w14:paraId="3EE80C1B" w14:textId="77777777" w:rsidR="00931F52" w:rsidRPr="00701F32" w:rsidRDefault="00931F52" w:rsidP="00931F52">
      <w:pPr>
        <w:spacing w:after="160" w:line="259" w:lineRule="auto"/>
        <w:jc w:val="both"/>
        <w:rPr>
          <w:rFonts w:ascii="Arial" w:eastAsia="Calibri" w:hAnsi="Arial" w:cs="Arial"/>
          <w:sz w:val="20"/>
        </w:rPr>
      </w:pPr>
      <w:r w:rsidRPr="00701F32">
        <w:rPr>
          <w:rFonts w:ascii="Arial" w:eastAsia="Calibri" w:hAnsi="Arial" w:cs="Arial"/>
          <w:sz w:val="20"/>
        </w:rPr>
        <w:t>Se han registrado por el valor actual de las sumas no devengadas, calculadas según las condiciones pactadas en los respectivos contratos, en función a la tasa de interés implícita en ellos.</w:t>
      </w:r>
    </w:p>
    <w:p w14:paraId="672542C5" w14:textId="77777777" w:rsidR="00931F52" w:rsidRPr="00701F32" w:rsidRDefault="00931F52" w:rsidP="00931F52">
      <w:pPr>
        <w:spacing w:after="160" w:line="259" w:lineRule="auto"/>
        <w:jc w:val="both"/>
        <w:rPr>
          <w:rFonts w:ascii="Arial" w:eastAsia="Calibri" w:hAnsi="Arial" w:cs="Arial"/>
          <w:sz w:val="20"/>
          <w:u w:val="single"/>
        </w:rPr>
      </w:pPr>
      <w:r w:rsidRPr="00701F32">
        <w:rPr>
          <w:rFonts w:ascii="Arial" w:eastAsia="Calibri" w:hAnsi="Arial" w:cs="Arial"/>
          <w:sz w:val="20"/>
          <w:u w:val="single"/>
        </w:rPr>
        <w:t>Medición inicial</w:t>
      </w:r>
    </w:p>
    <w:p w14:paraId="1B7F6D0A" w14:textId="77777777" w:rsidR="00931F52" w:rsidRPr="00701F32" w:rsidRDefault="00931F52" w:rsidP="00931F52">
      <w:pPr>
        <w:spacing w:after="160" w:line="259" w:lineRule="auto"/>
        <w:jc w:val="both"/>
        <w:rPr>
          <w:rFonts w:ascii="Arial" w:eastAsia="Calibri" w:hAnsi="Arial" w:cs="Arial"/>
          <w:sz w:val="20"/>
        </w:rPr>
      </w:pPr>
      <w:r w:rsidRPr="00701F32">
        <w:rPr>
          <w:rFonts w:ascii="Arial" w:eastAsia="Calibri" w:hAnsi="Arial" w:cs="Arial"/>
          <w:sz w:val="20"/>
        </w:rPr>
        <w:t>El Banco utiliza la tasa de interés implícita en el arrendamiento para medir la inversión neta. Esta es definida de manera tal que los ingresos y costos directos iniciales se incluyen automáticamente en la inversión neta del arrendamiento.</w:t>
      </w:r>
    </w:p>
    <w:p w14:paraId="0286DA93" w14:textId="77777777" w:rsidR="00931F52" w:rsidRPr="00701F32" w:rsidRDefault="00931F52" w:rsidP="00931F52">
      <w:pPr>
        <w:spacing w:after="160" w:line="259" w:lineRule="auto"/>
        <w:jc w:val="both"/>
        <w:rPr>
          <w:rFonts w:ascii="Arial" w:eastAsia="Calibri" w:hAnsi="Arial" w:cs="Arial"/>
          <w:sz w:val="20"/>
        </w:rPr>
      </w:pPr>
      <w:r w:rsidRPr="00701F32">
        <w:rPr>
          <w:rFonts w:ascii="Arial" w:eastAsia="Calibri" w:hAnsi="Arial" w:cs="Arial"/>
          <w:sz w:val="20"/>
        </w:rPr>
        <w:t>Los costos directos iniciales, distintos de los incurridos por los fabricantes o concesionarios, se incluyen en la medición inicial de la inversión neta del arrendamiento y reducen la cantidad de ingresos reconocidos durante el plazo del arrendamiento. La tasa de interés implícita en el arrendamiento se define de tal manera que los costos directos iniciales se incluyen automáticamente en la inversión neta en el arrendamiento; no hay necesidad de agregarlos por separado.</w:t>
      </w:r>
    </w:p>
    <w:p w14:paraId="0A7BE6E3" w14:textId="77777777" w:rsidR="00931F52" w:rsidRPr="00701F32" w:rsidRDefault="00931F52" w:rsidP="00931F52">
      <w:pPr>
        <w:spacing w:after="160" w:line="259" w:lineRule="auto"/>
        <w:jc w:val="both"/>
        <w:rPr>
          <w:rFonts w:ascii="Arial" w:eastAsia="Calibri" w:hAnsi="Arial" w:cs="Arial"/>
          <w:sz w:val="20"/>
        </w:rPr>
      </w:pPr>
      <w:r w:rsidRPr="00701F32">
        <w:rPr>
          <w:rFonts w:ascii="Arial" w:eastAsia="Calibri" w:hAnsi="Arial" w:cs="Arial"/>
          <w:sz w:val="20"/>
        </w:rPr>
        <w:t xml:space="preserve">La diferencia entre el importe bruto por cobrar y el valor actual representa el ingreso financiero que se reconoce durante el plazo del arrendamiento. Los ingresos financieros de los arrendamientos se registran dentro del resultado del </w:t>
      </w:r>
      <w:r>
        <w:rPr>
          <w:rFonts w:ascii="Arial" w:eastAsia="Calibri" w:hAnsi="Arial" w:cs="Arial"/>
          <w:sz w:val="20"/>
        </w:rPr>
        <w:t>ejercicio</w:t>
      </w:r>
      <w:r w:rsidRPr="00701F32">
        <w:rPr>
          <w:rFonts w:ascii="Arial" w:eastAsia="Calibri" w:hAnsi="Arial" w:cs="Arial"/>
          <w:sz w:val="20"/>
        </w:rPr>
        <w:t xml:space="preserve">. Las pérdidas por deterioro se reconocen en el resultado del </w:t>
      </w:r>
      <w:r>
        <w:rPr>
          <w:rFonts w:ascii="Arial" w:eastAsia="Calibri" w:hAnsi="Arial" w:cs="Arial"/>
          <w:sz w:val="20"/>
        </w:rPr>
        <w:t>ejercicio</w:t>
      </w:r>
      <w:r w:rsidRPr="00701F32">
        <w:rPr>
          <w:rFonts w:ascii="Arial" w:eastAsia="Calibri" w:hAnsi="Arial" w:cs="Arial"/>
          <w:sz w:val="20"/>
        </w:rPr>
        <w:t xml:space="preserve">. </w:t>
      </w:r>
    </w:p>
    <w:p w14:paraId="4E554FC2" w14:textId="77777777" w:rsidR="00931F52" w:rsidRPr="00701F32" w:rsidRDefault="00931F52" w:rsidP="00931F52">
      <w:pPr>
        <w:jc w:val="both"/>
        <w:rPr>
          <w:rFonts w:ascii="Arial" w:hAnsi="Arial" w:cs="Arial"/>
          <w:sz w:val="20"/>
        </w:rPr>
      </w:pPr>
      <w:r w:rsidRPr="00701F32">
        <w:rPr>
          <w:rFonts w:ascii="Arial" w:eastAsia="Calibri" w:hAnsi="Arial" w:cs="Arial"/>
          <w:sz w:val="20"/>
        </w:rPr>
        <w:t xml:space="preserve">El Banco utiliza los criterios detallados en </w:t>
      </w:r>
      <w:r w:rsidRPr="00613EB0">
        <w:rPr>
          <w:rFonts w:ascii="Arial" w:eastAsia="Calibri" w:hAnsi="Arial" w:cs="Arial"/>
          <w:sz w:val="20"/>
        </w:rPr>
        <w:t>Nota 1.13</w:t>
      </w:r>
      <w:r w:rsidRPr="00701F32">
        <w:rPr>
          <w:rFonts w:ascii="Arial" w:eastAsia="Calibri" w:hAnsi="Arial" w:cs="Arial"/>
          <w:sz w:val="20"/>
        </w:rPr>
        <w:t xml:space="preserve"> para determinar si existe evidencia objetiva de que se ha producido una pérdida por deterioro, en el caso de los préstamos llevados al costo amortizado.</w:t>
      </w:r>
    </w:p>
    <w:p w14:paraId="39E1A646" w14:textId="77777777" w:rsidR="00931F52" w:rsidRPr="00701F32" w:rsidRDefault="00931F52" w:rsidP="00931F52">
      <w:pPr>
        <w:jc w:val="both"/>
        <w:rPr>
          <w:rFonts w:ascii="Arial" w:hAnsi="Arial" w:cs="Arial"/>
          <w:sz w:val="20"/>
        </w:rPr>
      </w:pPr>
    </w:p>
    <w:p w14:paraId="20B4B010" w14:textId="77777777" w:rsidR="00931F52" w:rsidRPr="00701F32" w:rsidRDefault="00931F52" w:rsidP="00931F52">
      <w:pPr>
        <w:spacing w:after="160"/>
        <w:jc w:val="both"/>
        <w:rPr>
          <w:rFonts w:ascii="Arial" w:eastAsia="Calibri" w:hAnsi="Arial" w:cs="Arial"/>
          <w:b/>
          <w:sz w:val="20"/>
        </w:rPr>
      </w:pPr>
      <w:r>
        <w:rPr>
          <w:rFonts w:ascii="Arial" w:eastAsia="Calibri" w:hAnsi="Arial" w:cs="Arial"/>
          <w:b/>
          <w:sz w:val="20"/>
        </w:rPr>
        <w:t>1.15</w:t>
      </w:r>
      <w:r w:rsidRPr="00701F32">
        <w:rPr>
          <w:rFonts w:ascii="Arial" w:eastAsia="Calibri" w:hAnsi="Arial" w:cs="Arial"/>
          <w:b/>
          <w:sz w:val="20"/>
        </w:rPr>
        <w:t xml:space="preserve"> Propiedad, planta y equipo (PPE)</w:t>
      </w:r>
    </w:p>
    <w:p w14:paraId="30A49067" w14:textId="77777777" w:rsidR="00931F52" w:rsidRDefault="00931F52" w:rsidP="00D538FD">
      <w:pPr>
        <w:numPr>
          <w:ilvl w:val="0"/>
          <w:numId w:val="42"/>
        </w:numPr>
        <w:spacing w:after="160"/>
        <w:contextualSpacing/>
        <w:jc w:val="both"/>
        <w:rPr>
          <w:rFonts w:ascii="Arial" w:eastAsia="Calibri" w:hAnsi="Arial" w:cs="Arial"/>
          <w:sz w:val="20"/>
        </w:rPr>
      </w:pPr>
      <w:r w:rsidRPr="00701F32">
        <w:rPr>
          <w:rFonts w:ascii="Arial" w:eastAsia="Calibri" w:hAnsi="Arial" w:cs="Arial"/>
          <w:sz w:val="20"/>
        </w:rPr>
        <w:t>Bases de medición utilizadas.</w:t>
      </w:r>
    </w:p>
    <w:p w14:paraId="4ED3071D" w14:textId="75A406C4" w:rsidR="00931F52" w:rsidRPr="00701F32" w:rsidRDefault="00931F52" w:rsidP="00931F52">
      <w:pPr>
        <w:spacing w:after="160"/>
        <w:ind w:left="720"/>
        <w:contextualSpacing/>
        <w:jc w:val="both"/>
        <w:rPr>
          <w:rFonts w:ascii="Arial" w:eastAsia="Calibri" w:hAnsi="Arial" w:cs="Arial"/>
          <w:sz w:val="20"/>
        </w:rPr>
      </w:pPr>
      <w:r w:rsidRPr="00701F32">
        <w:rPr>
          <w:rFonts w:ascii="Arial" w:eastAsia="Calibri" w:hAnsi="Arial" w:cs="Arial"/>
          <w:sz w:val="20"/>
        </w:rPr>
        <w:t xml:space="preserve"> </w:t>
      </w:r>
    </w:p>
    <w:p w14:paraId="10C4D14F" w14:textId="58A7A5D2"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Terrenos y edificios se contabilizan por sus valores revaluados basados en tasaciones periódicas, utilizando para ello el servicio de tasadores independientes, neto de la consecuente depreciación para edificios</w:t>
      </w:r>
      <w:r w:rsidR="00A96E66">
        <w:rPr>
          <w:rFonts w:ascii="Arial" w:eastAsia="Calibri" w:hAnsi="Arial" w:cs="Arial"/>
          <w:sz w:val="20"/>
        </w:rPr>
        <w:t>, se reconoce una reserva por revalúo dentro de Otros Resultados Integrales</w:t>
      </w:r>
      <w:r w:rsidRPr="00701F32">
        <w:rPr>
          <w:rFonts w:ascii="Arial" w:eastAsia="Calibri" w:hAnsi="Arial" w:cs="Arial"/>
          <w:sz w:val="20"/>
        </w:rPr>
        <w:t xml:space="preserve">. </w:t>
      </w:r>
    </w:p>
    <w:p w14:paraId="699E7B25"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Toda otra propiedad, planta y equipo se contabiliza a su costo histórico neto de depreciaciones acumuladas y/o de las pérdidas por desvalorización acumuladas, si las hubiera. El costo incluye los gastos que son directamente atribuibles a la adquisición o construcción de estas partidas.</w:t>
      </w:r>
    </w:p>
    <w:p w14:paraId="7FE72429"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Los costos subsecuentes se incluyen en el valor del activo o se reconocen como un activo separado, según corresponda, si y solo si es probable que generen beneficios económicos futuros para el banco, y su costo pueda ser medido razonablemente. El valor de libros del activo que se reemplaza se da de baja, amortizándose el nuevo activo por la cantidad de años de vida útil restante al momento de efectuarse la mejora.</w:t>
      </w:r>
    </w:p>
    <w:p w14:paraId="61634469"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 xml:space="preserve">Los gastos de reparación y mantenimiento se reconocen en el estado de resultados consolidado del </w:t>
      </w:r>
      <w:r>
        <w:rPr>
          <w:rFonts w:ascii="Arial" w:eastAsia="Calibri" w:hAnsi="Arial" w:cs="Arial"/>
          <w:sz w:val="20"/>
        </w:rPr>
        <w:t>ejercicio</w:t>
      </w:r>
      <w:r w:rsidRPr="00701F32">
        <w:rPr>
          <w:rFonts w:ascii="Arial" w:eastAsia="Calibri" w:hAnsi="Arial" w:cs="Arial"/>
          <w:sz w:val="20"/>
        </w:rPr>
        <w:t xml:space="preserve"> en que se incurren.</w:t>
      </w:r>
    </w:p>
    <w:p w14:paraId="38445260" w14:textId="34449B5B" w:rsidR="00931F52" w:rsidRDefault="00931F52" w:rsidP="00D538FD">
      <w:pPr>
        <w:numPr>
          <w:ilvl w:val="0"/>
          <w:numId w:val="42"/>
        </w:numPr>
        <w:spacing w:after="160"/>
        <w:contextualSpacing/>
        <w:jc w:val="both"/>
        <w:rPr>
          <w:rFonts w:ascii="Arial" w:eastAsia="Calibri" w:hAnsi="Arial" w:cs="Arial"/>
          <w:sz w:val="20"/>
        </w:rPr>
      </w:pPr>
      <w:r w:rsidRPr="00701F32">
        <w:rPr>
          <w:rFonts w:ascii="Arial" w:eastAsia="Calibri" w:hAnsi="Arial" w:cs="Arial"/>
          <w:sz w:val="20"/>
        </w:rPr>
        <w:t xml:space="preserve">Métodos de depreciación utilizados. </w:t>
      </w:r>
    </w:p>
    <w:p w14:paraId="4708C707" w14:textId="77777777" w:rsidR="00931F52" w:rsidRPr="00701F32" w:rsidRDefault="00931F52" w:rsidP="00931F52">
      <w:pPr>
        <w:spacing w:after="160"/>
        <w:ind w:left="720"/>
        <w:contextualSpacing/>
        <w:jc w:val="both"/>
        <w:rPr>
          <w:rFonts w:ascii="Arial" w:eastAsia="Calibri" w:hAnsi="Arial" w:cs="Arial"/>
          <w:sz w:val="20"/>
        </w:rPr>
      </w:pPr>
    </w:p>
    <w:p w14:paraId="30190BBC"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La depreciación es calculada utilizando el método de línea recta, aplicando tasas anuales suficientes para extinguir los valores de los bienes al final de la vida útil estimada.</w:t>
      </w:r>
    </w:p>
    <w:p w14:paraId="4BE4037D"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 xml:space="preserve">A continuación, se detalla la vida útil para cada uno de los ítems que componen el rubro propiedad, planta y equipo: </w:t>
      </w:r>
    </w:p>
    <w:tbl>
      <w:tblPr>
        <w:tblStyle w:val="Tabladecuadrcula1clara1"/>
        <w:tblW w:w="0" w:type="auto"/>
        <w:jc w:val="center"/>
        <w:tblLook w:val="04A0" w:firstRow="1" w:lastRow="0" w:firstColumn="1" w:lastColumn="0" w:noHBand="0" w:noVBand="1"/>
      </w:tblPr>
      <w:tblGrid>
        <w:gridCol w:w="2518"/>
        <w:gridCol w:w="2552"/>
      </w:tblGrid>
      <w:tr w:rsidR="00931F52" w:rsidRPr="00701F32" w14:paraId="0CEEC8D4" w14:textId="77777777" w:rsidTr="00931F5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left w:val="single" w:sz="4" w:space="0" w:color="auto"/>
              <w:bottom w:val="single" w:sz="4" w:space="0" w:color="auto"/>
              <w:right w:val="single" w:sz="4" w:space="0" w:color="auto"/>
            </w:tcBorders>
          </w:tcPr>
          <w:p w14:paraId="0566A43C" w14:textId="77777777" w:rsidR="00931F52" w:rsidRPr="00701F32" w:rsidRDefault="00931F52" w:rsidP="00931F52">
            <w:pPr>
              <w:jc w:val="both"/>
              <w:rPr>
                <w:rFonts w:ascii="Arial" w:hAnsi="Arial" w:cs="Arial"/>
                <w:sz w:val="18"/>
              </w:rPr>
            </w:pPr>
            <w:r w:rsidRPr="00701F32">
              <w:rPr>
                <w:rFonts w:ascii="Arial" w:hAnsi="Arial" w:cs="Arial"/>
                <w:sz w:val="18"/>
              </w:rPr>
              <w:t>Clase de Activo PPE</w:t>
            </w:r>
          </w:p>
        </w:tc>
        <w:tc>
          <w:tcPr>
            <w:tcW w:w="2552" w:type="dxa"/>
            <w:tcBorders>
              <w:top w:val="single" w:sz="4" w:space="0" w:color="auto"/>
              <w:left w:val="single" w:sz="4" w:space="0" w:color="auto"/>
              <w:bottom w:val="single" w:sz="4" w:space="0" w:color="auto"/>
              <w:right w:val="single" w:sz="4" w:space="0" w:color="auto"/>
            </w:tcBorders>
          </w:tcPr>
          <w:p w14:paraId="4DB752C2" w14:textId="77777777" w:rsidR="00931F52" w:rsidRPr="00701F32" w:rsidRDefault="00931F52" w:rsidP="00931F52">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Vida útil estimada</w:t>
            </w:r>
          </w:p>
        </w:tc>
      </w:tr>
      <w:tr w:rsidR="00931F52" w:rsidRPr="00701F32" w14:paraId="54AA7544" w14:textId="77777777" w:rsidTr="00931F52">
        <w:trPr>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left w:val="single" w:sz="4" w:space="0" w:color="auto"/>
              <w:bottom w:val="single" w:sz="4" w:space="0" w:color="auto"/>
              <w:right w:val="single" w:sz="4" w:space="0" w:color="auto"/>
            </w:tcBorders>
          </w:tcPr>
          <w:p w14:paraId="3F9B1328" w14:textId="77777777" w:rsidR="00931F52" w:rsidRPr="0085523C" w:rsidRDefault="00931F52" w:rsidP="00931F52">
            <w:pPr>
              <w:jc w:val="both"/>
              <w:rPr>
                <w:rFonts w:ascii="Arial" w:hAnsi="Arial" w:cs="Arial"/>
                <w:b w:val="0"/>
                <w:sz w:val="18"/>
              </w:rPr>
            </w:pPr>
            <w:r w:rsidRPr="0085523C">
              <w:rPr>
                <w:rFonts w:ascii="Arial" w:hAnsi="Arial" w:cs="Arial"/>
                <w:sz w:val="18"/>
              </w:rPr>
              <w:t>Terrenos</w:t>
            </w:r>
          </w:p>
        </w:tc>
        <w:tc>
          <w:tcPr>
            <w:tcW w:w="2552" w:type="dxa"/>
            <w:tcBorders>
              <w:top w:val="single" w:sz="4" w:space="0" w:color="auto"/>
              <w:left w:val="single" w:sz="4" w:space="0" w:color="auto"/>
              <w:bottom w:val="single" w:sz="4" w:space="0" w:color="auto"/>
              <w:right w:val="single" w:sz="4" w:space="0" w:color="auto"/>
            </w:tcBorders>
          </w:tcPr>
          <w:p w14:paraId="3B3AAA77" w14:textId="77777777" w:rsidR="00931F52" w:rsidRPr="00701F32" w:rsidRDefault="00931F52" w:rsidP="00931F5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No se amortizan</w:t>
            </w:r>
          </w:p>
        </w:tc>
      </w:tr>
      <w:tr w:rsidR="00931F52" w:rsidRPr="00701F32" w14:paraId="685F0C4E" w14:textId="77777777" w:rsidTr="00931F52">
        <w:trPr>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left w:val="single" w:sz="4" w:space="0" w:color="auto"/>
              <w:bottom w:val="single" w:sz="4" w:space="0" w:color="auto"/>
              <w:right w:val="single" w:sz="4" w:space="0" w:color="auto"/>
            </w:tcBorders>
          </w:tcPr>
          <w:p w14:paraId="2A6189F8" w14:textId="77777777" w:rsidR="00931F52" w:rsidRPr="0085523C" w:rsidRDefault="00931F52" w:rsidP="00931F52">
            <w:pPr>
              <w:jc w:val="both"/>
              <w:rPr>
                <w:rFonts w:ascii="Arial" w:hAnsi="Arial" w:cs="Arial"/>
                <w:b w:val="0"/>
                <w:sz w:val="18"/>
              </w:rPr>
            </w:pPr>
            <w:r w:rsidRPr="0085523C">
              <w:rPr>
                <w:rFonts w:ascii="Arial" w:hAnsi="Arial" w:cs="Arial"/>
                <w:sz w:val="18"/>
              </w:rPr>
              <w:t>Edificios</w:t>
            </w:r>
          </w:p>
        </w:tc>
        <w:tc>
          <w:tcPr>
            <w:tcW w:w="2552" w:type="dxa"/>
            <w:tcBorders>
              <w:top w:val="single" w:sz="4" w:space="0" w:color="auto"/>
              <w:left w:val="single" w:sz="4" w:space="0" w:color="auto"/>
              <w:bottom w:val="single" w:sz="4" w:space="0" w:color="auto"/>
              <w:right w:val="single" w:sz="4" w:space="0" w:color="auto"/>
            </w:tcBorders>
          </w:tcPr>
          <w:p w14:paraId="7AF6C7E1" w14:textId="3392D26B" w:rsidR="00931F52" w:rsidRPr="00701F32" w:rsidRDefault="00931F52" w:rsidP="00931F5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 xml:space="preserve">50 </w:t>
            </w:r>
            <w:r w:rsidR="001A3619" w:rsidRPr="00701F32">
              <w:rPr>
                <w:rFonts w:ascii="Arial" w:hAnsi="Arial" w:cs="Arial"/>
                <w:sz w:val="18"/>
              </w:rPr>
              <w:t>años</w:t>
            </w:r>
          </w:p>
        </w:tc>
      </w:tr>
      <w:tr w:rsidR="00931F52" w:rsidRPr="00701F32" w14:paraId="6F3ABBA7" w14:textId="77777777" w:rsidTr="00931F52">
        <w:trPr>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left w:val="single" w:sz="4" w:space="0" w:color="auto"/>
              <w:bottom w:val="single" w:sz="4" w:space="0" w:color="auto"/>
              <w:right w:val="single" w:sz="4" w:space="0" w:color="auto"/>
            </w:tcBorders>
          </w:tcPr>
          <w:p w14:paraId="2167F90F" w14:textId="77777777" w:rsidR="00931F52" w:rsidRPr="0085523C" w:rsidRDefault="00931F52" w:rsidP="00931F52">
            <w:pPr>
              <w:jc w:val="both"/>
              <w:rPr>
                <w:rFonts w:ascii="Arial" w:hAnsi="Arial" w:cs="Arial"/>
                <w:b w:val="0"/>
                <w:sz w:val="18"/>
              </w:rPr>
            </w:pPr>
            <w:r w:rsidRPr="0085523C">
              <w:rPr>
                <w:rFonts w:ascii="Arial" w:hAnsi="Arial" w:cs="Arial"/>
                <w:sz w:val="18"/>
              </w:rPr>
              <w:t>Mobiliario e Instalaciones</w:t>
            </w:r>
          </w:p>
        </w:tc>
        <w:tc>
          <w:tcPr>
            <w:tcW w:w="2552" w:type="dxa"/>
            <w:tcBorders>
              <w:top w:val="single" w:sz="4" w:space="0" w:color="auto"/>
              <w:left w:val="single" w:sz="4" w:space="0" w:color="auto"/>
              <w:bottom w:val="single" w:sz="4" w:space="0" w:color="auto"/>
              <w:right w:val="single" w:sz="4" w:space="0" w:color="auto"/>
            </w:tcBorders>
          </w:tcPr>
          <w:p w14:paraId="2CCA7D6E" w14:textId="77777777" w:rsidR="00931F52" w:rsidRPr="00701F32" w:rsidRDefault="00931F52" w:rsidP="00931F5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10 años</w:t>
            </w:r>
          </w:p>
        </w:tc>
      </w:tr>
      <w:tr w:rsidR="00931F52" w:rsidRPr="00701F32" w14:paraId="3BD4F517" w14:textId="77777777" w:rsidTr="00931F52">
        <w:trPr>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left w:val="single" w:sz="4" w:space="0" w:color="auto"/>
              <w:bottom w:val="single" w:sz="4" w:space="0" w:color="auto"/>
              <w:right w:val="single" w:sz="4" w:space="0" w:color="auto"/>
            </w:tcBorders>
          </w:tcPr>
          <w:p w14:paraId="3B3DD594" w14:textId="77777777" w:rsidR="00931F52" w:rsidRPr="0085523C" w:rsidRDefault="00931F52" w:rsidP="00931F52">
            <w:pPr>
              <w:jc w:val="both"/>
              <w:rPr>
                <w:rFonts w:ascii="Arial" w:hAnsi="Arial" w:cs="Arial"/>
                <w:b w:val="0"/>
                <w:sz w:val="18"/>
              </w:rPr>
            </w:pPr>
            <w:r w:rsidRPr="0085523C">
              <w:rPr>
                <w:rFonts w:ascii="Arial" w:hAnsi="Arial" w:cs="Arial"/>
                <w:sz w:val="18"/>
              </w:rPr>
              <w:t>Máquinas y Equipos</w:t>
            </w:r>
          </w:p>
        </w:tc>
        <w:tc>
          <w:tcPr>
            <w:tcW w:w="2552" w:type="dxa"/>
            <w:tcBorders>
              <w:top w:val="single" w:sz="4" w:space="0" w:color="auto"/>
              <w:left w:val="single" w:sz="4" w:space="0" w:color="auto"/>
              <w:bottom w:val="single" w:sz="4" w:space="0" w:color="auto"/>
              <w:right w:val="single" w:sz="4" w:space="0" w:color="auto"/>
            </w:tcBorders>
          </w:tcPr>
          <w:p w14:paraId="4E37556C" w14:textId="4B082764" w:rsidR="00931F52" w:rsidRPr="00701F32" w:rsidRDefault="00931F52" w:rsidP="00931F5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 xml:space="preserve">5 </w:t>
            </w:r>
            <w:r w:rsidR="001A3619" w:rsidRPr="00701F32">
              <w:rPr>
                <w:rFonts w:ascii="Arial" w:hAnsi="Arial" w:cs="Arial"/>
                <w:sz w:val="18"/>
              </w:rPr>
              <w:t>años</w:t>
            </w:r>
          </w:p>
        </w:tc>
      </w:tr>
      <w:tr w:rsidR="00931F52" w:rsidRPr="00701F32" w14:paraId="0EAFB3C8" w14:textId="77777777" w:rsidTr="00931F52">
        <w:trPr>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left w:val="single" w:sz="4" w:space="0" w:color="auto"/>
              <w:bottom w:val="single" w:sz="4" w:space="0" w:color="auto"/>
              <w:right w:val="single" w:sz="4" w:space="0" w:color="auto"/>
            </w:tcBorders>
          </w:tcPr>
          <w:p w14:paraId="73CB398F" w14:textId="77777777" w:rsidR="00931F52" w:rsidRPr="0085523C" w:rsidRDefault="00931F52" w:rsidP="00931F52">
            <w:pPr>
              <w:jc w:val="both"/>
              <w:rPr>
                <w:rFonts w:ascii="Arial" w:hAnsi="Arial" w:cs="Arial"/>
                <w:b w:val="0"/>
                <w:sz w:val="18"/>
              </w:rPr>
            </w:pPr>
            <w:r w:rsidRPr="0085523C">
              <w:rPr>
                <w:rFonts w:ascii="Arial" w:hAnsi="Arial" w:cs="Arial"/>
                <w:sz w:val="18"/>
              </w:rPr>
              <w:t>Vehículos</w:t>
            </w:r>
          </w:p>
        </w:tc>
        <w:tc>
          <w:tcPr>
            <w:tcW w:w="2552" w:type="dxa"/>
            <w:tcBorders>
              <w:top w:val="single" w:sz="4" w:space="0" w:color="auto"/>
              <w:left w:val="single" w:sz="4" w:space="0" w:color="auto"/>
              <w:bottom w:val="single" w:sz="4" w:space="0" w:color="auto"/>
              <w:right w:val="single" w:sz="4" w:space="0" w:color="auto"/>
            </w:tcBorders>
          </w:tcPr>
          <w:p w14:paraId="566C2AB8" w14:textId="77777777" w:rsidR="00931F52" w:rsidRPr="00701F32" w:rsidRDefault="00931F52" w:rsidP="00931F5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5 años</w:t>
            </w:r>
          </w:p>
        </w:tc>
      </w:tr>
      <w:tr w:rsidR="00931F52" w:rsidRPr="00701F32" w14:paraId="6E96AACE" w14:textId="77777777" w:rsidTr="00931F52">
        <w:trPr>
          <w:jc w:val="center"/>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left w:val="single" w:sz="4" w:space="0" w:color="auto"/>
              <w:bottom w:val="single" w:sz="4" w:space="0" w:color="auto"/>
              <w:right w:val="single" w:sz="4" w:space="0" w:color="auto"/>
            </w:tcBorders>
          </w:tcPr>
          <w:p w14:paraId="0590B875" w14:textId="77777777" w:rsidR="00931F52" w:rsidRPr="0085523C" w:rsidRDefault="00931F52" w:rsidP="00931F52">
            <w:pPr>
              <w:jc w:val="both"/>
              <w:rPr>
                <w:rFonts w:ascii="Arial" w:hAnsi="Arial" w:cs="Arial"/>
                <w:b w:val="0"/>
                <w:sz w:val="18"/>
              </w:rPr>
            </w:pPr>
            <w:r w:rsidRPr="0085523C">
              <w:rPr>
                <w:rFonts w:ascii="Arial" w:hAnsi="Arial" w:cs="Arial"/>
                <w:sz w:val="18"/>
              </w:rPr>
              <w:t>Obras en Curso</w:t>
            </w:r>
          </w:p>
        </w:tc>
        <w:tc>
          <w:tcPr>
            <w:tcW w:w="2552" w:type="dxa"/>
            <w:tcBorders>
              <w:top w:val="single" w:sz="4" w:space="0" w:color="auto"/>
              <w:left w:val="single" w:sz="4" w:space="0" w:color="auto"/>
              <w:bottom w:val="single" w:sz="4" w:space="0" w:color="auto"/>
              <w:right w:val="single" w:sz="4" w:space="0" w:color="auto"/>
            </w:tcBorders>
          </w:tcPr>
          <w:p w14:paraId="1C0107D8" w14:textId="77777777" w:rsidR="00931F52" w:rsidRPr="00701F32" w:rsidRDefault="00931F52" w:rsidP="00931F5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 xml:space="preserve">No se amortizan </w:t>
            </w:r>
          </w:p>
        </w:tc>
      </w:tr>
    </w:tbl>
    <w:p w14:paraId="252389AA" w14:textId="77777777" w:rsidR="00931F52" w:rsidRPr="00701F32" w:rsidRDefault="00931F52" w:rsidP="00931F52">
      <w:pPr>
        <w:spacing w:after="160"/>
        <w:jc w:val="both"/>
        <w:rPr>
          <w:rFonts w:ascii="Arial" w:eastAsia="Calibri" w:hAnsi="Arial" w:cs="Arial"/>
          <w:sz w:val="20"/>
        </w:rPr>
      </w:pPr>
    </w:p>
    <w:p w14:paraId="5F64F6BA"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Los valores residuales de la propiedad, planta y equipo, las vidas útiles y los métodos de depreciación se revisan y ajustan si fuera necesario, a la fecha de cierre de cada ejercicio o cuando existan indicios de desvalorización.</w:t>
      </w:r>
    </w:p>
    <w:p w14:paraId="3F5A31B6"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El valor de libros de la propiedad, planta y equipo se reduce inmediatamente a su importe recuperable cuando el importe en libros es superior al monto recuperable estimado.</w:t>
      </w:r>
    </w:p>
    <w:p w14:paraId="0231DB6D" w14:textId="36C830A2" w:rsidR="00931F52" w:rsidRDefault="00931F52" w:rsidP="00D538FD">
      <w:pPr>
        <w:numPr>
          <w:ilvl w:val="0"/>
          <w:numId w:val="42"/>
        </w:numPr>
        <w:spacing w:after="160"/>
        <w:contextualSpacing/>
        <w:jc w:val="both"/>
        <w:rPr>
          <w:rFonts w:ascii="Arial" w:eastAsia="Calibri" w:hAnsi="Arial" w:cs="Arial"/>
          <w:sz w:val="20"/>
        </w:rPr>
      </w:pPr>
      <w:r w:rsidRPr="00701F32">
        <w:rPr>
          <w:rFonts w:ascii="Arial" w:eastAsia="Calibri" w:hAnsi="Arial" w:cs="Arial"/>
          <w:sz w:val="20"/>
        </w:rPr>
        <w:t>Resultado por venta</w:t>
      </w:r>
    </w:p>
    <w:p w14:paraId="38FE8F91" w14:textId="77777777" w:rsidR="00931F52" w:rsidRPr="00701F32" w:rsidRDefault="00931F52" w:rsidP="00931F52">
      <w:pPr>
        <w:spacing w:after="160"/>
        <w:ind w:left="720"/>
        <w:contextualSpacing/>
        <w:jc w:val="both"/>
        <w:rPr>
          <w:rFonts w:ascii="Arial" w:eastAsia="Calibri" w:hAnsi="Arial" w:cs="Arial"/>
          <w:sz w:val="20"/>
        </w:rPr>
      </w:pPr>
    </w:p>
    <w:p w14:paraId="4DBBA2F0"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Los resultados por venta de propiedad, planta y equipo se calculan comparando los ingresos obtenidos con el valor de libros del bien respectivo. Las utilidades o pérdidas resultantes son registradas en el estado de resultado integral consolidado.</w:t>
      </w:r>
    </w:p>
    <w:p w14:paraId="3266AFD3" w14:textId="18D689EA" w:rsidR="00931F52" w:rsidRDefault="00931F52" w:rsidP="00D538FD">
      <w:pPr>
        <w:numPr>
          <w:ilvl w:val="0"/>
          <w:numId w:val="42"/>
        </w:numPr>
        <w:spacing w:after="160"/>
        <w:contextualSpacing/>
        <w:jc w:val="both"/>
        <w:rPr>
          <w:rFonts w:ascii="Arial" w:eastAsia="Calibri" w:hAnsi="Arial" w:cs="Arial"/>
          <w:sz w:val="20"/>
        </w:rPr>
      </w:pPr>
      <w:r w:rsidRPr="00701F32">
        <w:rPr>
          <w:rFonts w:ascii="Arial" w:eastAsia="Calibri" w:hAnsi="Arial" w:cs="Arial"/>
          <w:sz w:val="20"/>
        </w:rPr>
        <w:t xml:space="preserve">Inmuebles - Revaluación y costo histórico. </w:t>
      </w:r>
    </w:p>
    <w:p w14:paraId="7975A07C" w14:textId="77777777" w:rsidR="00931F52" w:rsidRPr="00701F32" w:rsidRDefault="00931F52" w:rsidP="00931F52">
      <w:pPr>
        <w:spacing w:after="160"/>
        <w:ind w:left="720"/>
        <w:contextualSpacing/>
        <w:jc w:val="both"/>
        <w:rPr>
          <w:rFonts w:ascii="Arial" w:eastAsia="Calibri" w:hAnsi="Arial" w:cs="Arial"/>
          <w:sz w:val="20"/>
        </w:rPr>
      </w:pPr>
    </w:p>
    <w:p w14:paraId="6773CD09" w14:textId="5BC04E75" w:rsidR="00CD378B" w:rsidRPr="00701F32" w:rsidRDefault="00931F52" w:rsidP="00931F52">
      <w:pPr>
        <w:spacing w:after="160"/>
        <w:jc w:val="both"/>
        <w:rPr>
          <w:rFonts w:ascii="Arial" w:eastAsia="Calibri" w:hAnsi="Arial" w:cs="Arial"/>
          <w:sz w:val="20"/>
        </w:rPr>
      </w:pPr>
      <w:r w:rsidRPr="00701F32">
        <w:rPr>
          <w:rFonts w:ascii="Arial" w:eastAsia="Calibri" w:hAnsi="Arial" w:cs="Arial"/>
          <w:sz w:val="20"/>
        </w:rPr>
        <w:t>En el siguiente cuadro se revela la siguiente información relacionada a la clase de activos que han sido contabilizados a su valor revaluado</w:t>
      </w:r>
      <w:r>
        <w:rPr>
          <w:rFonts w:ascii="Arial" w:eastAsia="Calibri" w:hAnsi="Arial" w:cs="Arial"/>
          <w:sz w:val="20"/>
        </w:rPr>
        <w:t>, como así también se presentan los valores en libros que se habrían reconocido si los activos hubieran sido contabilizados bajo modelo de costo</w:t>
      </w:r>
      <w:r w:rsidRPr="00701F32">
        <w:rPr>
          <w:rFonts w:ascii="Arial" w:eastAsia="Calibri" w:hAnsi="Arial" w:cs="Arial"/>
          <w:sz w:val="20"/>
        </w:rPr>
        <w:t>:</w:t>
      </w:r>
    </w:p>
    <w:tbl>
      <w:tblPr>
        <w:tblpPr w:leftFromText="141" w:rightFromText="141" w:vertAnchor="text" w:horzAnchor="margin" w:tblpY="54"/>
        <w:tblW w:w="8575" w:type="dxa"/>
        <w:tblCellMar>
          <w:left w:w="70" w:type="dxa"/>
          <w:right w:w="70" w:type="dxa"/>
        </w:tblCellMar>
        <w:tblLook w:val="04A0" w:firstRow="1" w:lastRow="0" w:firstColumn="1" w:lastColumn="0" w:noHBand="0" w:noVBand="1"/>
      </w:tblPr>
      <w:tblGrid>
        <w:gridCol w:w="921"/>
        <w:gridCol w:w="1533"/>
        <w:gridCol w:w="1083"/>
        <w:gridCol w:w="880"/>
        <w:gridCol w:w="880"/>
        <w:gridCol w:w="1132"/>
        <w:gridCol w:w="1154"/>
        <w:gridCol w:w="992"/>
      </w:tblGrid>
      <w:tr w:rsidR="00931F52" w:rsidRPr="00701F32" w14:paraId="2A5F0E48" w14:textId="77777777" w:rsidTr="002F55BB">
        <w:trPr>
          <w:trHeight w:val="275"/>
        </w:trPr>
        <w:tc>
          <w:tcPr>
            <w:tcW w:w="921"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06FAF1AC" w14:textId="77777777" w:rsidR="00931F52" w:rsidRPr="00701F32" w:rsidRDefault="00931F52" w:rsidP="00931F52">
            <w:pPr>
              <w:jc w:val="center"/>
              <w:rPr>
                <w:rFonts w:ascii="Arial" w:hAnsi="Arial" w:cs="Arial"/>
                <w:b/>
                <w:bCs/>
                <w:sz w:val="16"/>
                <w:szCs w:val="18"/>
                <w:lang w:eastAsia="es-AR"/>
              </w:rPr>
            </w:pPr>
            <w:r w:rsidRPr="00701F32">
              <w:rPr>
                <w:rFonts w:ascii="Arial" w:hAnsi="Arial" w:cs="Arial"/>
                <w:b/>
                <w:bCs/>
                <w:sz w:val="16"/>
                <w:szCs w:val="18"/>
              </w:rPr>
              <w:t>Detalle de Clases</w:t>
            </w:r>
          </w:p>
        </w:tc>
        <w:tc>
          <w:tcPr>
            <w:tcW w:w="1533" w:type="dxa"/>
            <w:vMerge w:val="restart"/>
            <w:tcBorders>
              <w:top w:val="single" w:sz="4" w:space="0" w:color="363639"/>
              <w:left w:val="single" w:sz="4" w:space="0" w:color="363639"/>
              <w:bottom w:val="nil"/>
              <w:right w:val="single" w:sz="4" w:space="0" w:color="363639"/>
            </w:tcBorders>
            <w:shd w:val="clear" w:color="auto" w:fill="auto"/>
            <w:vAlign w:val="center"/>
            <w:hideMark/>
          </w:tcPr>
          <w:p w14:paraId="64161425" w14:textId="77777777" w:rsidR="00931F52" w:rsidRPr="00701F32" w:rsidRDefault="00931F52" w:rsidP="00931F52">
            <w:pPr>
              <w:jc w:val="center"/>
              <w:rPr>
                <w:rFonts w:ascii="Arial" w:hAnsi="Arial" w:cs="Arial"/>
                <w:b/>
                <w:bCs/>
                <w:sz w:val="16"/>
                <w:szCs w:val="18"/>
              </w:rPr>
            </w:pPr>
            <w:r w:rsidRPr="00701F32">
              <w:rPr>
                <w:rFonts w:ascii="Arial" w:hAnsi="Arial" w:cs="Arial"/>
                <w:b/>
                <w:bCs/>
                <w:sz w:val="16"/>
                <w:szCs w:val="18"/>
              </w:rPr>
              <w:t>Tasador</w:t>
            </w:r>
          </w:p>
        </w:tc>
        <w:tc>
          <w:tcPr>
            <w:tcW w:w="1083"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3E0FC647" w14:textId="77777777" w:rsidR="00931F52" w:rsidRPr="00701F32" w:rsidRDefault="00931F52" w:rsidP="00931F52">
            <w:pPr>
              <w:jc w:val="center"/>
              <w:rPr>
                <w:rFonts w:ascii="Arial" w:hAnsi="Arial" w:cs="Arial"/>
                <w:b/>
                <w:bCs/>
                <w:sz w:val="16"/>
                <w:szCs w:val="18"/>
              </w:rPr>
            </w:pPr>
            <w:r w:rsidRPr="00701F32">
              <w:rPr>
                <w:rFonts w:ascii="Arial" w:hAnsi="Arial" w:cs="Arial"/>
                <w:b/>
                <w:bCs/>
                <w:sz w:val="16"/>
                <w:szCs w:val="18"/>
              </w:rPr>
              <w:t>Fecha de Revaluación</w:t>
            </w:r>
          </w:p>
        </w:tc>
        <w:tc>
          <w:tcPr>
            <w:tcW w:w="2892" w:type="dxa"/>
            <w:gridSpan w:val="3"/>
            <w:tcBorders>
              <w:top w:val="single" w:sz="4" w:space="0" w:color="363639"/>
              <w:left w:val="nil"/>
              <w:bottom w:val="single" w:sz="4" w:space="0" w:color="363639"/>
              <w:right w:val="single" w:sz="4" w:space="0" w:color="363639"/>
            </w:tcBorders>
            <w:shd w:val="clear" w:color="auto" w:fill="auto"/>
            <w:hideMark/>
          </w:tcPr>
          <w:p w14:paraId="7E366EC7" w14:textId="77777777" w:rsidR="00931F52" w:rsidRPr="00701F32" w:rsidRDefault="00931F52" w:rsidP="00931F52">
            <w:pPr>
              <w:jc w:val="center"/>
              <w:rPr>
                <w:rFonts w:ascii="Arial" w:hAnsi="Arial" w:cs="Arial"/>
                <w:b/>
                <w:bCs/>
                <w:sz w:val="16"/>
                <w:szCs w:val="18"/>
              </w:rPr>
            </w:pPr>
            <w:r w:rsidRPr="00701F32">
              <w:rPr>
                <w:rFonts w:ascii="Arial" w:hAnsi="Arial" w:cs="Arial"/>
                <w:b/>
                <w:bCs/>
                <w:sz w:val="16"/>
                <w:szCs w:val="18"/>
              </w:rPr>
              <w:t>Ajuste por Revaluación - ORI acumulado</w:t>
            </w:r>
          </w:p>
        </w:tc>
        <w:tc>
          <w:tcPr>
            <w:tcW w:w="1154" w:type="dxa"/>
            <w:vMerge w:val="restart"/>
            <w:tcBorders>
              <w:top w:val="single" w:sz="4" w:space="0" w:color="363639"/>
              <w:left w:val="single" w:sz="4" w:space="0" w:color="363639"/>
              <w:right w:val="single" w:sz="4" w:space="0" w:color="363639"/>
            </w:tcBorders>
            <w:vAlign w:val="center"/>
          </w:tcPr>
          <w:p w14:paraId="0944B218" w14:textId="77777777" w:rsidR="00931F52" w:rsidRPr="00701F32" w:rsidRDefault="00931F52" w:rsidP="00931F52">
            <w:pPr>
              <w:jc w:val="center"/>
              <w:rPr>
                <w:rFonts w:ascii="Arial" w:hAnsi="Arial" w:cs="Arial"/>
                <w:b/>
                <w:bCs/>
                <w:sz w:val="16"/>
                <w:szCs w:val="18"/>
              </w:rPr>
            </w:pPr>
            <w:r w:rsidRPr="00701F32">
              <w:rPr>
                <w:rFonts w:ascii="Arial" w:hAnsi="Arial" w:cs="Arial"/>
                <w:b/>
                <w:bCs/>
                <w:sz w:val="16"/>
                <w:szCs w:val="18"/>
              </w:rPr>
              <w:t>Amortización</w:t>
            </w:r>
            <w:r>
              <w:rPr>
                <w:rFonts w:ascii="Arial" w:hAnsi="Arial" w:cs="Arial"/>
                <w:b/>
                <w:bCs/>
                <w:sz w:val="16"/>
                <w:szCs w:val="18"/>
              </w:rPr>
              <w:t xml:space="preserve"> </w:t>
            </w:r>
            <w:r w:rsidRPr="00701F32">
              <w:rPr>
                <w:rFonts w:ascii="Arial" w:hAnsi="Arial" w:cs="Arial"/>
                <w:b/>
                <w:bCs/>
                <w:sz w:val="16"/>
                <w:szCs w:val="18"/>
              </w:rPr>
              <w:t>revalúo</w:t>
            </w:r>
          </w:p>
        </w:tc>
        <w:tc>
          <w:tcPr>
            <w:tcW w:w="992" w:type="dxa"/>
            <w:vMerge w:val="restart"/>
            <w:tcBorders>
              <w:top w:val="single" w:sz="4" w:space="0" w:color="363639"/>
              <w:left w:val="single" w:sz="4" w:space="0" w:color="363639"/>
              <w:bottom w:val="single" w:sz="4" w:space="0" w:color="363639"/>
              <w:right w:val="single" w:sz="4" w:space="0" w:color="363639"/>
            </w:tcBorders>
            <w:shd w:val="clear" w:color="auto" w:fill="auto"/>
            <w:hideMark/>
          </w:tcPr>
          <w:p w14:paraId="2B71087B" w14:textId="7B8ECE25" w:rsidR="00931F52" w:rsidRPr="00701F32" w:rsidRDefault="00931F52" w:rsidP="00931F52">
            <w:pPr>
              <w:jc w:val="center"/>
              <w:rPr>
                <w:rFonts w:ascii="Arial" w:hAnsi="Arial" w:cs="Arial"/>
                <w:b/>
                <w:bCs/>
                <w:sz w:val="16"/>
                <w:szCs w:val="18"/>
              </w:rPr>
            </w:pPr>
            <w:r w:rsidRPr="00701F32">
              <w:rPr>
                <w:rFonts w:ascii="Arial" w:hAnsi="Arial" w:cs="Arial"/>
                <w:b/>
                <w:bCs/>
                <w:sz w:val="16"/>
                <w:szCs w:val="18"/>
              </w:rPr>
              <w:t>Importe en libros s</w:t>
            </w:r>
            <w:r w:rsidR="00A96E66">
              <w:rPr>
                <w:rFonts w:ascii="Arial" w:hAnsi="Arial" w:cs="Arial"/>
                <w:b/>
                <w:bCs/>
                <w:sz w:val="16"/>
                <w:szCs w:val="18"/>
              </w:rPr>
              <w:t xml:space="preserve">i se hubiera registrado bajo el </w:t>
            </w:r>
            <w:r w:rsidRPr="00701F32">
              <w:rPr>
                <w:rFonts w:ascii="Arial" w:hAnsi="Arial" w:cs="Arial"/>
                <w:b/>
                <w:bCs/>
                <w:sz w:val="16"/>
                <w:szCs w:val="18"/>
              </w:rPr>
              <w:t xml:space="preserve">Modelo de costo </w:t>
            </w:r>
          </w:p>
        </w:tc>
      </w:tr>
      <w:tr w:rsidR="00931F52" w:rsidRPr="00701F32" w14:paraId="3D8F1F74" w14:textId="77777777" w:rsidTr="002F55BB">
        <w:trPr>
          <w:trHeight w:val="398"/>
        </w:trPr>
        <w:tc>
          <w:tcPr>
            <w:tcW w:w="921" w:type="dxa"/>
            <w:vMerge/>
            <w:tcBorders>
              <w:top w:val="single" w:sz="4" w:space="0" w:color="363639"/>
              <w:left w:val="single" w:sz="4" w:space="0" w:color="363639"/>
              <w:bottom w:val="single" w:sz="4" w:space="0" w:color="363639"/>
              <w:right w:val="single" w:sz="4" w:space="0" w:color="363639"/>
            </w:tcBorders>
            <w:vAlign w:val="center"/>
            <w:hideMark/>
          </w:tcPr>
          <w:p w14:paraId="1BB3B175" w14:textId="77777777" w:rsidR="00931F52" w:rsidRPr="00701F32" w:rsidRDefault="00931F52" w:rsidP="00931F52">
            <w:pPr>
              <w:rPr>
                <w:rFonts w:ascii="Arial" w:hAnsi="Arial" w:cs="Arial"/>
                <w:b/>
                <w:bCs/>
                <w:sz w:val="16"/>
                <w:szCs w:val="18"/>
              </w:rPr>
            </w:pPr>
          </w:p>
        </w:tc>
        <w:tc>
          <w:tcPr>
            <w:tcW w:w="1533" w:type="dxa"/>
            <w:vMerge/>
            <w:tcBorders>
              <w:top w:val="single" w:sz="4" w:space="0" w:color="363639"/>
              <w:left w:val="single" w:sz="4" w:space="0" w:color="363639"/>
              <w:bottom w:val="nil"/>
              <w:right w:val="single" w:sz="4" w:space="0" w:color="363639"/>
            </w:tcBorders>
            <w:vAlign w:val="center"/>
            <w:hideMark/>
          </w:tcPr>
          <w:p w14:paraId="57AB8C0D" w14:textId="77777777" w:rsidR="00931F52" w:rsidRPr="00701F32" w:rsidRDefault="00931F52" w:rsidP="00931F52">
            <w:pPr>
              <w:rPr>
                <w:rFonts w:ascii="Arial" w:hAnsi="Arial" w:cs="Arial"/>
                <w:b/>
                <w:bCs/>
                <w:sz w:val="16"/>
                <w:szCs w:val="18"/>
              </w:rPr>
            </w:pPr>
          </w:p>
        </w:tc>
        <w:tc>
          <w:tcPr>
            <w:tcW w:w="1083" w:type="dxa"/>
            <w:vMerge/>
            <w:tcBorders>
              <w:top w:val="single" w:sz="4" w:space="0" w:color="363639"/>
              <w:left w:val="single" w:sz="4" w:space="0" w:color="363639"/>
              <w:bottom w:val="single" w:sz="4" w:space="0" w:color="363639"/>
              <w:right w:val="single" w:sz="4" w:space="0" w:color="363639"/>
            </w:tcBorders>
            <w:vAlign w:val="center"/>
            <w:hideMark/>
          </w:tcPr>
          <w:p w14:paraId="6B28B18D" w14:textId="77777777" w:rsidR="00931F52" w:rsidRPr="00701F32" w:rsidRDefault="00931F52" w:rsidP="00931F52">
            <w:pPr>
              <w:rPr>
                <w:rFonts w:ascii="Arial" w:hAnsi="Arial" w:cs="Arial"/>
                <w:b/>
                <w:bCs/>
                <w:sz w:val="16"/>
                <w:szCs w:val="18"/>
              </w:rPr>
            </w:pPr>
          </w:p>
        </w:tc>
        <w:tc>
          <w:tcPr>
            <w:tcW w:w="880" w:type="dxa"/>
            <w:tcBorders>
              <w:top w:val="nil"/>
              <w:left w:val="nil"/>
              <w:bottom w:val="single" w:sz="4" w:space="0" w:color="363639"/>
              <w:right w:val="single" w:sz="4" w:space="0" w:color="363639"/>
            </w:tcBorders>
            <w:shd w:val="clear" w:color="auto" w:fill="auto"/>
            <w:hideMark/>
          </w:tcPr>
          <w:p w14:paraId="13305E78" w14:textId="77777777" w:rsidR="00931F52" w:rsidRPr="00701F32" w:rsidRDefault="00931F52" w:rsidP="00931F52">
            <w:pPr>
              <w:jc w:val="center"/>
              <w:rPr>
                <w:rFonts w:ascii="Arial" w:hAnsi="Arial" w:cs="Arial"/>
                <w:b/>
                <w:bCs/>
                <w:sz w:val="16"/>
                <w:szCs w:val="18"/>
              </w:rPr>
            </w:pPr>
            <w:r w:rsidRPr="00701F32">
              <w:rPr>
                <w:rFonts w:ascii="Arial" w:hAnsi="Arial" w:cs="Arial"/>
                <w:b/>
                <w:bCs/>
                <w:sz w:val="16"/>
                <w:szCs w:val="18"/>
              </w:rPr>
              <w:t xml:space="preserve">Saldo al inicio del </w:t>
            </w:r>
            <w:r>
              <w:rPr>
                <w:rFonts w:ascii="Arial" w:hAnsi="Arial" w:cs="Arial"/>
                <w:b/>
                <w:bCs/>
                <w:sz w:val="16"/>
                <w:szCs w:val="18"/>
              </w:rPr>
              <w:t>ejercicio</w:t>
            </w:r>
          </w:p>
        </w:tc>
        <w:tc>
          <w:tcPr>
            <w:tcW w:w="880" w:type="dxa"/>
            <w:tcBorders>
              <w:top w:val="nil"/>
              <w:left w:val="nil"/>
              <w:bottom w:val="single" w:sz="4" w:space="0" w:color="363639"/>
              <w:right w:val="single" w:sz="4" w:space="0" w:color="363639"/>
            </w:tcBorders>
            <w:shd w:val="clear" w:color="auto" w:fill="auto"/>
            <w:hideMark/>
          </w:tcPr>
          <w:p w14:paraId="41A4D8F7" w14:textId="77777777" w:rsidR="00931F52" w:rsidRPr="00701F32" w:rsidRDefault="00931F52" w:rsidP="00931F52">
            <w:pPr>
              <w:jc w:val="center"/>
              <w:rPr>
                <w:rFonts w:ascii="Arial" w:hAnsi="Arial" w:cs="Arial"/>
                <w:b/>
                <w:bCs/>
                <w:sz w:val="16"/>
                <w:szCs w:val="18"/>
              </w:rPr>
            </w:pPr>
            <w:r w:rsidRPr="00701F32">
              <w:rPr>
                <w:rFonts w:ascii="Arial" w:hAnsi="Arial" w:cs="Arial"/>
                <w:b/>
                <w:bCs/>
                <w:sz w:val="16"/>
                <w:szCs w:val="18"/>
              </w:rPr>
              <w:t xml:space="preserve">Cambio del </w:t>
            </w:r>
            <w:r>
              <w:rPr>
                <w:rFonts w:ascii="Arial" w:hAnsi="Arial" w:cs="Arial"/>
                <w:b/>
                <w:bCs/>
                <w:sz w:val="16"/>
                <w:szCs w:val="18"/>
              </w:rPr>
              <w:t>ejercicio</w:t>
            </w:r>
            <w:r w:rsidRPr="00701F32">
              <w:rPr>
                <w:rFonts w:ascii="Arial" w:hAnsi="Arial" w:cs="Arial"/>
                <w:b/>
                <w:bCs/>
                <w:sz w:val="16"/>
                <w:szCs w:val="18"/>
              </w:rPr>
              <w:t xml:space="preserve"> </w:t>
            </w:r>
          </w:p>
        </w:tc>
        <w:tc>
          <w:tcPr>
            <w:tcW w:w="1132" w:type="dxa"/>
            <w:tcBorders>
              <w:top w:val="nil"/>
              <w:left w:val="nil"/>
              <w:bottom w:val="single" w:sz="4" w:space="0" w:color="363639"/>
              <w:right w:val="single" w:sz="4" w:space="0" w:color="363639"/>
            </w:tcBorders>
            <w:shd w:val="clear" w:color="auto" w:fill="auto"/>
            <w:hideMark/>
          </w:tcPr>
          <w:p w14:paraId="6C245E7C" w14:textId="77777777" w:rsidR="00931F52" w:rsidRPr="00701F32" w:rsidRDefault="00931F52" w:rsidP="00931F52">
            <w:pPr>
              <w:jc w:val="center"/>
              <w:rPr>
                <w:rFonts w:ascii="Arial" w:hAnsi="Arial" w:cs="Arial"/>
                <w:b/>
                <w:bCs/>
                <w:sz w:val="16"/>
                <w:szCs w:val="18"/>
              </w:rPr>
            </w:pPr>
            <w:r w:rsidRPr="00701F32">
              <w:rPr>
                <w:rFonts w:ascii="Arial" w:hAnsi="Arial" w:cs="Arial"/>
                <w:b/>
                <w:bCs/>
                <w:sz w:val="16"/>
                <w:szCs w:val="18"/>
              </w:rPr>
              <w:t xml:space="preserve">Saldo al cierre del </w:t>
            </w:r>
            <w:r>
              <w:rPr>
                <w:rFonts w:ascii="Arial" w:hAnsi="Arial" w:cs="Arial"/>
                <w:b/>
                <w:bCs/>
                <w:sz w:val="16"/>
                <w:szCs w:val="18"/>
              </w:rPr>
              <w:t>ejercicio</w:t>
            </w:r>
          </w:p>
        </w:tc>
        <w:tc>
          <w:tcPr>
            <w:tcW w:w="1154" w:type="dxa"/>
            <w:vMerge/>
            <w:tcBorders>
              <w:left w:val="single" w:sz="4" w:space="0" w:color="363639"/>
              <w:bottom w:val="single" w:sz="4" w:space="0" w:color="363639"/>
              <w:right w:val="single" w:sz="4" w:space="0" w:color="363639"/>
            </w:tcBorders>
          </w:tcPr>
          <w:p w14:paraId="4A49A452" w14:textId="77777777" w:rsidR="00931F52" w:rsidRPr="00701F32" w:rsidRDefault="00931F52" w:rsidP="00931F52">
            <w:pPr>
              <w:rPr>
                <w:rFonts w:ascii="Arial" w:hAnsi="Arial" w:cs="Arial"/>
                <w:b/>
                <w:bCs/>
                <w:sz w:val="16"/>
                <w:szCs w:val="18"/>
              </w:rPr>
            </w:pPr>
          </w:p>
        </w:tc>
        <w:tc>
          <w:tcPr>
            <w:tcW w:w="992" w:type="dxa"/>
            <w:vMerge/>
            <w:tcBorders>
              <w:top w:val="single" w:sz="4" w:space="0" w:color="363639"/>
              <w:left w:val="single" w:sz="4" w:space="0" w:color="363639"/>
              <w:bottom w:val="single" w:sz="4" w:space="0" w:color="363639"/>
              <w:right w:val="single" w:sz="4" w:space="0" w:color="363639"/>
            </w:tcBorders>
            <w:vAlign w:val="center"/>
            <w:hideMark/>
          </w:tcPr>
          <w:p w14:paraId="0631BF93" w14:textId="77777777" w:rsidR="00931F52" w:rsidRPr="00701F32" w:rsidRDefault="00931F52" w:rsidP="00931F52">
            <w:pPr>
              <w:rPr>
                <w:rFonts w:ascii="Arial" w:hAnsi="Arial" w:cs="Arial"/>
                <w:b/>
                <w:bCs/>
                <w:sz w:val="16"/>
                <w:szCs w:val="18"/>
              </w:rPr>
            </w:pPr>
          </w:p>
        </w:tc>
      </w:tr>
      <w:tr w:rsidR="00931F52" w:rsidRPr="00701F32" w14:paraId="72304985" w14:textId="77777777" w:rsidTr="002F55BB">
        <w:trPr>
          <w:trHeight w:val="216"/>
        </w:trPr>
        <w:tc>
          <w:tcPr>
            <w:tcW w:w="921" w:type="dxa"/>
            <w:vMerge w:val="restart"/>
            <w:tcBorders>
              <w:top w:val="nil"/>
              <w:left w:val="single" w:sz="4" w:space="0" w:color="363639"/>
              <w:bottom w:val="single" w:sz="4" w:space="0" w:color="363639"/>
              <w:right w:val="nil"/>
            </w:tcBorders>
            <w:shd w:val="clear" w:color="auto" w:fill="auto"/>
            <w:vAlign w:val="center"/>
            <w:hideMark/>
          </w:tcPr>
          <w:p w14:paraId="36B66FB2" w14:textId="77777777" w:rsidR="00931F52" w:rsidRPr="00701F32" w:rsidRDefault="00931F52" w:rsidP="00931F52">
            <w:pPr>
              <w:rPr>
                <w:rFonts w:ascii="Arial" w:hAnsi="Arial" w:cs="Arial"/>
                <w:sz w:val="16"/>
                <w:szCs w:val="18"/>
              </w:rPr>
            </w:pPr>
            <w:r w:rsidRPr="00701F32">
              <w:rPr>
                <w:rFonts w:ascii="Arial" w:hAnsi="Arial" w:cs="Arial"/>
                <w:sz w:val="16"/>
                <w:szCs w:val="18"/>
              </w:rPr>
              <w:t>Inmuebles</w:t>
            </w:r>
          </w:p>
        </w:tc>
        <w:tc>
          <w:tcPr>
            <w:tcW w:w="1533" w:type="dxa"/>
            <w:tcBorders>
              <w:top w:val="single" w:sz="4" w:space="0" w:color="auto"/>
              <w:left w:val="single" w:sz="4" w:space="0" w:color="auto"/>
              <w:bottom w:val="nil"/>
              <w:right w:val="single" w:sz="4" w:space="0" w:color="auto"/>
            </w:tcBorders>
            <w:shd w:val="clear" w:color="auto" w:fill="auto"/>
            <w:hideMark/>
          </w:tcPr>
          <w:p w14:paraId="0FE7CF3E" w14:textId="77777777" w:rsidR="00931F52" w:rsidRPr="00701F32" w:rsidRDefault="00931F52" w:rsidP="00931F52">
            <w:pPr>
              <w:jc w:val="center"/>
              <w:rPr>
                <w:rFonts w:ascii="Arial" w:hAnsi="Arial" w:cs="Arial"/>
                <w:sz w:val="16"/>
                <w:szCs w:val="18"/>
              </w:rPr>
            </w:pPr>
            <w:r w:rsidRPr="00701F32">
              <w:rPr>
                <w:rFonts w:ascii="Arial" w:hAnsi="Arial" w:cs="Arial"/>
                <w:sz w:val="16"/>
                <w:szCs w:val="18"/>
              </w:rPr>
              <w:t>Tribunal de Tasaciones de la Nación</w:t>
            </w:r>
          </w:p>
        </w:tc>
        <w:tc>
          <w:tcPr>
            <w:tcW w:w="1083" w:type="dxa"/>
            <w:vMerge w:val="restart"/>
            <w:tcBorders>
              <w:top w:val="nil"/>
              <w:left w:val="nil"/>
              <w:bottom w:val="single" w:sz="4" w:space="0" w:color="000000"/>
              <w:right w:val="single" w:sz="4" w:space="0" w:color="363639"/>
            </w:tcBorders>
            <w:shd w:val="clear" w:color="auto" w:fill="auto"/>
            <w:vAlign w:val="center"/>
            <w:hideMark/>
          </w:tcPr>
          <w:p w14:paraId="4B062D41" w14:textId="64A12B79" w:rsidR="00931F52" w:rsidRPr="00701F32" w:rsidRDefault="00931F52" w:rsidP="00931F52">
            <w:pPr>
              <w:jc w:val="center"/>
              <w:rPr>
                <w:rFonts w:ascii="Arial" w:hAnsi="Arial" w:cs="Arial"/>
                <w:sz w:val="16"/>
                <w:szCs w:val="18"/>
              </w:rPr>
            </w:pPr>
            <w:r w:rsidRPr="00613EB0">
              <w:rPr>
                <w:rFonts w:ascii="Arial" w:hAnsi="Arial" w:cs="Arial"/>
                <w:sz w:val="16"/>
                <w:szCs w:val="18"/>
              </w:rPr>
              <w:t>31/12/201</w:t>
            </w:r>
            <w:r>
              <w:rPr>
                <w:rFonts w:ascii="Arial" w:hAnsi="Arial" w:cs="Arial"/>
                <w:sz w:val="16"/>
                <w:szCs w:val="18"/>
              </w:rPr>
              <w:t>9</w:t>
            </w:r>
          </w:p>
        </w:tc>
        <w:tc>
          <w:tcPr>
            <w:tcW w:w="880" w:type="dxa"/>
            <w:vMerge w:val="restart"/>
            <w:tcBorders>
              <w:top w:val="nil"/>
              <w:left w:val="single" w:sz="4" w:space="0" w:color="363639"/>
              <w:bottom w:val="single" w:sz="4" w:space="0" w:color="000000"/>
              <w:right w:val="single" w:sz="4" w:space="0" w:color="363639"/>
            </w:tcBorders>
            <w:shd w:val="clear" w:color="auto" w:fill="auto"/>
            <w:vAlign w:val="center"/>
          </w:tcPr>
          <w:p w14:paraId="4702E523" w14:textId="26CAD635" w:rsidR="00931F52" w:rsidRPr="00701F32" w:rsidRDefault="00AA09D8" w:rsidP="00931F52">
            <w:pPr>
              <w:jc w:val="right"/>
              <w:rPr>
                <w:rFonts w:ascii="Arial" w:hAnsi="Arial" w:cs="Arial"/>
                <w:sz w:val="16"/>
                <w:szCs w:val="18"/>
              </w:rPr>
            </w:pPr>
            <w:r>
              <w:rPr>
                <w:rFonts w:ascii="Arial" w:hAnsi="Arial" w:cs="Arial"/>
                <w:sz w:val="16"/>
                <w:szCs w:val="18"/>
              </w:rPr>
              <w:t>756.736</w:t>
            </w:r>
          </w:p>
        </w:tc>
        <w:tc>
          <w:tcPr>
            <w:tcW w:w="880" w:type="dxa"/>
            <w:vMerge w:val="restart"/>
            <w:tcBorders>
              <w:top w:val="nil"/>
              <w:left w:val="single" w:sz="4" w:space="0" w:color="363639"/>
              <w:bottom w:val="single" w:sz="4" w:space="0" w:color="000000"/>
              <w:right w:val="single" w:sz="4" w:space="0" w:color="363639"/>
            </w:tcBorders>
            <w:shd w:val="clear" w:color="auto" w:fill="auto"/>
            <w:vAlign w:val="center"/>
          </w:tcPr>
          <w:p w14:paraId="551D5757" w14:textId="1F7D3762" w:rsidR="00931F52" w:rsidRPr="00701F32" w:rsidRDefault="00AA09D8" w:rsidP="00931F52">
            <w:pPr>
              <w:jc w:val="right"/>
              <w:rPr>
                <w:rFonts w:ascii="Arial" w:hAnsi="Arial" w:cs="Arial"/>
                <w:sz w:val="16"/>
                <w:szCs w:val="18"/>
              </w:rPr>
            </w:pPr>
            <w:r>
              <w:rPr>
                <w:rFonts w:ascii="Arial" w:hAnsi="Arial" w:cs="Arial"/>
                <w:sz w:val="16"/>
                <w:szCs w:val="18"/>
              </w:rPr>
              <w:t>574.495</w:t>
            </w:r>
          </w:p>
        </w:tc>
        <w:tc>
          <w:tcPr>
            <w:tcW w:w="1132" w:type="dxa"/>
            <w:vMerge w:val="restart"/>
            <w:tcBorders>
              <w:top w:val="nil"/>
              <w:left w:val="single" w:sz="4" w:space="0" w:color="363639"/>
              <w:bottom w:val="single" w:sz="4" w:space="0" w:color="000000"/>
              <w:right w:val="single" w:sz="4" w:space="0" w:color="363639"/>
            </w:tcBorders>
            <w:shd w:val="clear" w:color="auto" w:fill="auto"/>
            <w:vAlign w:val="center"/>
          </w:tcPr>
          <w:p w14:paraId="61AC8676" w14:textId="762E76F4" w:rsidR="00931F52" w:rsidRPr="00701F32" w:rsidRDefault="00AA09D8" w:rsidP="00931F52">
            <w:pPr>
              <w:jc w:val="right"/>
              <w:rPr>
                <w:rFonts w:ascii="Arial" w:hAnsi="Arial" w:cs="Arial"/>
                <w:sz w:val="16"/>
                <w:szCs w:val="18"/>
              </w:rPr>
            </w:pPr>
            <w:r>
              <w:rPr>
                <w:rFonts w:ascii="Arial" w:hAnsi="Arial" w:cs="Arial"/>
                <w:sz w:val="16"/>
                <w:szCs w:val="18"/>
              </w:rPr>
              <w:t>1.331.231</w:t>
            </w:r>
          </w:p>
        </w:tc>
        <w:tc>
          <w:tcPr>
            <w:tcW w:w="1154" w:type="dxa"/>
            <w:vMerge w:val="restart"/>
            <w:tcBorders>
              <w:top w:val="nil"/>
              <w:left w:val="single" w:sz="4" w:space="0" w:color="363639"/>
              <w:right w:val="single" w:sz="4" w:space="0" w:color="363639"/>
            </w:tcBorders>
            <w:vAlign w:val="center"/>
          </w:tcPr>
          <w:p w14:paraId="32AF3F40" w14:textId="59963D3A" w:rsidR="00931F52" w:rsidRPr="00701F32" w:rsidRDefault="00F62AA5" w:rsidP="00931F52">
            <w:pPr>
              <w:jc w:val="right"/>
              <w:rPr>
                <w:rFonts w:ascii="Arial" w:hAnsi="Arial" w:cs="Arial"/>
                <w:sz w:val="16"/>
                <w:szCs w:val="18"/>
              </w:rPr>
            </w:pPr>
            <w:r>
              <w:rPr>
                <w:rFonts w:ascii="Arial" w:hAnsi="Arial" w:cs="Arial"/>
                <w:sz w:val="16"/>
                <w:szCs w:val="18"/>
              </w:rPr>
              <w:t>(</w:t>
            </w:r>
            <w:r w:rsidR="00AA09D8">
              <w:rPr>
                <w:rFonts w:ascii="Arial" w:hAnsi="Arial" w:cs="Arial"/>
                <w:sz w:val="16"/>
                <w:szCs w:val="18"/>
              </w:rPr>
              <w:t>22.997</w:t>
            </w:r>
            <w:r>
              <w:rPr>
                <w:rFonts w:ascii="Arial" w:hAnsi="Arial" w:cs="Arial"/>
                <w:sz w:val="16"/>
                <w:szCs w:val="18"/>
              </w:rPr>
              <w:t>)</w:t>
            </w:r>
          </w:p>
        </w:tc>
        <w:tc>
          <w:tcPr>
            <w:tcW w:w="992" w:type="dxa"/>
            <w:vMerge w:val="restart"/>
            <w:tcBorders>
              <w:top w:val="nil"/>
              <w:left w:val="single" w:sz="4" w:space="0" w:color="363639"/>
              <w:bottom w:val="single" w:sz="4" w:space="0" w:color="000000"/>
              <w:right w:val="single" w:sz="4" w:space="0" w:color="363639"/>
            </w:tcBorders>
            <w:shd w:val="clear" w:color="auto" w:fill="auto"/>
            <w:vAlign w:val="center"/>
          </w:tcPr>
          <w:p w14:paraId="081A40B0" w14:textId="1B78F719" w:rsidR="00931F52" w:rsidRPr="00701F32" w:rsidRDefault="00AA09D8" w:rsidP="00931F52">
            <w:pPr>
              <w:jc w:val="right"/>
              <w:rPr>
                <w:rFonts w:ascii="Arial" w:hAnsi="Arial" w:cs="Arial"/>
                <w:sz w:val="16"/>
                <w:szCs w:val="18"/>
              </w:rPr>
            </w:pPr>
            <w:r>
              <w:rPr>
                <w:rFonts w:ascii="Arial" w:hAnsi="Arial" w:cs="Arial"/>
                <w:sz w:val="16"/>
                <w:szCs w:val="18"/>
              </w:rPr>
              <w:t>329.7</w:t>
            </w:r>
            <w:r w:rsidR="00D83A12">
              <w:rPr>
                <w:rFonts w:ascii="Arial" w:hAnsi="Arial" w:cs="Arial"/>
                <w:sz w:val="16"/>
                <w:szCs w:val="18"/>
              </w:rPr>
              <w:t>1</w:t>
            </w:r>
            <w:r>
              <w:rPr>
                <w:rFonts w:ascii="Arial" w:hAnsi="Arial" w:cs="Arial"/>
                <w:sz w:val="16"/>
                <w:szCs w:val="18"/>
              </w:rPr>
              <w:t>9</w:t>
            </w:r>
          </w:p>
        </w:tc>
      </w:tr>
      <w:tr w:rsidR="00931F52" w:rsidRPr="00701F32" w14:paraId="791BAA44" w14:textId="77777777" w:rsidTr="002F55BB">
        <w:trPr>
          <w:trHeight w:val="216"/>
        </w:trPr>
        <w:tc>
          <w:tcPr>
            <w:tcW w:w="921" w:type="dxa"/>
            <w:vMerge/>
            <w:tcBorders>
              <w:top w:val="nil"/>
              <w:left w:val="single" w:sz="4" w:space="0" w:color="363639"/>
              <w:bottom w:val="single" w:sz="4" w:space="0" w:color="363639"/>
              <w:right w:val="nil"/>
            </w:tcBorders>
            <w:vAlign w:val="center"/>
            <w:hideMark/>
          </w:tcPr>
          <w:p w14:paraId="41816C40" w14:textId="77777777" w:rsidR="00931F52" w:rsidRPr="00701F32" w:rsidRDefault="00931F52" w:rsidP="00931F52">
            <w:pPr>
              <w:rPr>
                <w:rFonts w:ascii="Arial" w:hAnsi="Arial" w:cs="Arial"/>
                <w:sz w:val="16"/>
                <w:szCs w:val="18"/>
              </w:rPr>
            </w:pPr>
          </w:p>
        </w:tc>
        <w:tc>
          <w:tcPr>
            <w:tcW w:w="1533" w:type="dxa"/>
            <w:tcBorders>
              <w:top w:val="nil"/>
              <w:left w:val="single" w:sz="4" w:space="0" w:color="auto"/>
              <w:bottom w:val="nil"/>
              <w:right w:val="single" w:sz="4" w:space="0" w:color="auto"/>
            </w:tcBorders>
            <w:shd w:val="clear" w:color="auto" w:fill="auto"/>
            <w:hideMark/>
          </w:tcPr>
          <w:p w14:paraId="1D22B3AF" w14:textId="77777777" w:rsidR="00931F52" w:rsidRPr="00701F32" w:rsidRDefault="00931F52" w:rsidP="00931F52">
            <w:pPr>
              <w:jc w:val="center"/>
              <w:rPr>
                <w:rFonts w:ascii="Arial" w:hAnsi="Arial" w:cs="Arial"/>
                <w:sz w:val="16"/>
                <w:szCs w:val="18"/>
              </w:rPr>
            </w:pPr>
            <w:r w:rsidRPr="00701F32">
              <w:rPr>
                <w:rFonts w:ascii="Arial" w:hAnsi="Arial" w:cs="Arial"/>
                <w:sz w:val="16"/>
                <w:szCs w:val="18"/>
              </w:rPr>
              <w:t>CM Ingeniería en Valuaciones</w:t>
            </w:r>
          </w:p>
        </w:tc>
        <w:tc>
          <w:tcPr>
            <w:tcW w:w="1083" w:type="dxa"/>
            <w:vMerge/>
            <w:tcBorders>
              <w:top w:val="nil"/>
              <w:left w:val="nil"/>
              <w:bottom w:val="single" w:sz="4" w:space="0" w:color="000000"/>
              <w:right w:val="single" w:sz="4" w:space="0" w:color="363639"/>
            </w:tcBorders>
            <w:vAlign w:val="center"/>
            <w:hideMark/>
          </w:tcPr>
          <w:p w14:paraId="575411A5" w14:textId="77777777" w:rsidR="00931F52" w:rsidRPr="00701F32"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tcPr>
          <w:p w14:paraId="4F35D54F" w14:textId="77777777" w:rsidR="00931F52" w:rsidRPr="00701F32"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tcPr>
          <w:p w14:paraId="5F4526E4" w14:textId="77777777" w:rsidR="00931F52" w:rsidRPr="00701F32" w:rsidRDefault="00931F52" w:rsidP="00931F52">
            <w:pPr>
              <w:rPr>
                <w:rFonts w:ascii="Arial" w:hAnsi="Arial" w:cs="Arial"/>
                <w:sz w:val="16"/>
                <w:szCs w:val="18"/>
              </w:rPr>
            </w:pPr>
          </w:p>
        </w:tc>
        <w:tc>
          <w:tcPr>
            <w:tcW w:w="1132" w:type="dxa"/>
            <w:vMerge/>
            <w:tcBorders>
              <w:top w:val="nil"/>
              <w:left w:val="single" w:sz="4" w:space="0" w:color="363639"/>
              <w:bottom w:val="single" w:sz="4" w:space="0" w:color="000000"/>
              <w:right w:val="single" w:sz="4" w:space="0" w:color="363639"/>
            </w:tcBorders>
            <w:vAlign w:val="center"/>
          </w:tcPr>
          <w:p w14:paraId="7AF1E7F2" w14:textId="77777777" w:rsidR="00931F52" w:rsidRPr="00701F32" w:rsidRDefault="00931F52" w:rsidP="00931F52">
            <w:pPr>
              <w:rPr>
                <w:rFonts w:ascii="Arial" w:hAnsi="Arial" w:cs="Arial"/>
                <w:sz w:val="16"/>
                <w:szCs w:val="18"/>
              </w:rPr>
            </w:pPr>
          </w:p>
        </w:tc>
        <w:tc>
          <w:tcPr>
            <w:tcW w:w="1154" w:type="dxa"/>
            <w:vMerge/>
            <w:tcBorders>
              <w:left w:val="single" w:sz="4" w:space="0" w:color="363639"/>
              <w:right w:val="single" w:sz="4" w:space="0" w:color="363639"/>
            </w:tcBorders>
          </w:tcPr>
          <w:p w14:paraId="2D5C1711" w14:textId="77777777" w:rsidR="00931F52" w:rsidRPr="00701F32" w:rsidRDefault="00931F52" w:rsidP="00931F52">
            <w:pPr>
              <w:rPr>
                <w:rFonts w:ascii="Arial" w:hAnsi="Arial" w:cs="Arial"/>
                <w:sz w:val="16"/>
                <w:szCs w:val="18"/>
              </w:rPr>
            </w:pPr>
          </w:p>
        </w:tc>
        <w:tc>
          <w:tcPr>
            <w:tcW w:w="992" w:type="dxa"/>
            <w:vMerge/>
            <w:tcBorders>
              <w:top w:val="nil"/>
              <w:left w:val="single" w:sz="4" w:space="0" w:color="363639"/>
              <w:bottom w:val="single" w:sz="4" w:space="0" w:color="000000"/>
              <w:right w:val="single" w:sz="4" w:space="0" w:color="363639"/>
            </w:tcBorders>
            <w:vAlign w:val="center"/>
          </w:tcPr>
          <w:p w14:paraId="40EDAD3C" w14:textId="77777777" w:rsidR="00931F52" w:rsidRPr="00701F32" w:rsidRDefault="00931F52" w:rsidP="00931F52">
            <w:pPr>
              <w:rPr>
                <w:rFonts w:ascii="Arial" w:hAnsi="Arial" w:cs="Arial"/>
                <w:sz w:val="16"/>
                <w:szCs w:val="18"/>
              </w:rPr>
            </w:pPr>
          </w:p>
        </w:tc>
      </w:tr>
      <w:tr w:rsidR="00931F52" w:rsidRPr="00701F32" w14:paraId="077AFC27" w14:textId="77777777" w:rsidTr="002F55BB">
        <w:trPr>
          <w:trHeight w:val="133"/>
        </w:trPr>
        <w:tc>
          <w:tcPr>
            <w:tcW w:w="921" w:type="dxa"/>
            <w:vMerge/>
            <w:tcBorders>
              <w:top w:val="nil"/>
              <w:left w:val="single" w:sz="4" w:space="0" w:color="363639"/>
              <w:bottom w:val="single" w:sz="4" w:space="0" w:color="363639"/>
              <w:right w:val="nil"/>
            </w:tcBorders>
            <w:vAlign w:val="center"/>
            <w:hideMark/>
          </w:tcPr>
          <w:p w14:paraId="355FD9E1" w14:textId="77777777" w:rsidR="00931F52" w:rsidRPr="00701F32" w:rsidRDefault="00931F52" w:rsidP="00931F52">
            <w:pPr>
              <w:rPr>
                <w:rFonts w:ascii="Arial" w:hAnsi="Arial" w:cs="Arial"/>
                <w:sz w:val="16"/>
                <w:szCs w:val="18"/>
              </w:rPr>
            </w:pPr>
          </w:p>
        </w:tc>
        <w:tc>
          <w:tcPr>
            <w:tcW w:w="1533" w:type="dxa"/>
            <w:tcBorders>
              <w:top w:val="nil"/>
              <w:left w:val="single" w:sz="4" w:space="0" w:color="auto"/>
              <w:bottom w:val="nil"/>
              <w:right w:val="single" w:sz="4" w:space="0" w:color="auto"/>
            </w:tcBorders>
            <w:shd w:val="clear" w:color="auto" w:fill="auto"/>
            <w:hideMark/>
          </w:tcPr>
          <w:p w14:paraId="39366B39" w14:textId="77777777" w:rsidR="00931F52" w:rsidRPr="00701F32" w:rsidRDefault="00931F52" w:rsidP="00931F52">
            <w:pPr>
              <w:jc w:val="center"/>
              <w:rPr>
                <w:rFonts w:ascii="Arial" w:hAnsi="Arial" w:cs="Arial"/>
                <w:sz w:val="16"/>
                <w:szCs w:val="18"/>
              </w:rPr>
            </w:pPr>
            <w:r w:rsidRPr="00701F32">
              <w:rPr>
                <w:rFonts w:ascii="Arial" w:hAnsi="Arial" w:cs="Arial"/>
                <w:sz w:val="16"/>
                <w:szCs w:val="18"/>
              </w:rPr>
              <w:t>Serinco</w:t>
            </w:r>
          </w:p>
        </w:tc>
        <w:tc>
          <w:tcPr>
            <w:tcW w:w="1083" w:type="dxa"/>
            <w:vMerge/>
            <w:tcBorders>
              <w:top w:val="nil"/>
              <w:left w:val="nil"/>
              <w:bottom w:val="single" w:sz="4" w:space="0" w:color="000000"/>
              <w:right w:val="single" w:sz="4" w:space="0" w:color="363639"/>
            </w:tcBorders>
            <w:vAlign w:val="center"/>
            <w:hideMark/>
          </w:tcPr>
          <w:p w14:paraId="77BC456B" w14:textId="77777777" w:rsidR="00931F52" w:rsidRPr="00701F32"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tcPr>
          <w:p w14:paraId="0CC0004D" w14:textId="77777777" w:rsidR="00931F52" w:rsidRPr="00701F32"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tcPr>
          <w:p w14:paraId="3CD84923" w14:textId="77777777" w:rsidR="00931F52" w:rsidRPr="00701F32" w:rsidRDefault="00931F52" w:rsidP="00931F52">
            <w:pPr>
              <w:rPr>
                <w:rFonts w:ascii="Arial" w:hAnsi="Arial" w:cs="Arial"/>
                <w:sz w:val="16"/>
                <w:szCs w:val="18"/>
              </w:rPr>
            </w:pPr>
          </w:p>
        </w:tc>
        <w:tc>
          <w:tcPr>
            <w:tcW w:w="1132" w:type="dxa"/>
            <w:vMerge/>
            <w:tcBorders>
              <w:top w:val="nil"/>
              <w:left w:val="single" w:sz="4" w:space="0" w:color="363639"/>
              <w:bottom w:val="single" w:sz="4" w:space="0" w:color="000000"/>
              <w:right w:val="single" w:sz="4" w:space="0" w:color="363639"/>
            </w:tcBorders>
            <w:vAlign w:val="center"/>
          </w:tcPr>
          <w:p w14:paraId="507AA246" w14:textId="77777777" w:rsidR="00931F52" w:rsidRPr="00701F32" w:rsidRDefault="00931F52" w:rsidP="00931F52">
            <w:pPr>
              <w:rPr>
                <w:rFonts w:ascii="Arial" w:hAnsi="Arial" w:cs="Arial"/>
                <w:sz w:val="16"/>
                <w:szCs w:val="18"/>
              </w:rPr>
            </w:pPr>
          </w:p>
        </w:tc>
        <w:tc>
          <w:tcPr>
            <w:tcW w:w="1154" w:type="dxa"/>
            <w:vMerge/>
            <w:tcBorders>
              <w:left w:val="single" w:sz="4" w:space="0" w:color="363639"/>
              <w:right w:val="single" w:sz="4" w:space="0" w:color="363639"/>
            </w:tcBorders>
          </w:tcPr>
          <w:p w14:paraId="0BB03A1D" w14:textId="77777777" w:rsidR="00931F52" w:rsidRPr="00701F32" w:rsidRDefault="00931F52" w:rsidP="00931F52">
            <w:pPr>
              <w:rPr>
                <w:rFonts w:ascii="Arial" w:hAnsi="Arial" w:cs="Arial"/>
                <w:sz w:val="16"/>
                <w:szCs w:val="18"/>
              </w:rPr>
            </w:pPr>
          </w:p>
        </w:tc>
        <w:tc>
          <w:tcPr>
            <w:tcW w:w="992" w:type="dxa"/>
            <w:vMerge/>
            <w:tcBorders>
              <w:top w:val="nil"/>
              <w:left w:val="single" w:sz="4" w:space="0" w:color="363639"/>
              <w:bottom w:val="single" w:sz="4" w:space="0" w:color="000000"/>
              <w:right w:val="single" w:sz="4" w:space="0" w:color="363639"/>
            </w:tcBorders>
            <w:vAlign w:val="center"/>
          </w:tcPr>
          <w:p w14:paraId="02B2267B" w14:textId="77777777" w:rsidR="00931F52" w:rsidRPr="00701F32" w:rsidRDefault="00931F52" w:rsidP="00931F52">
            <w:pPr>
              <w:rPr>
                <w:rFonts w:ascii="Arial" w:hAnsi="Arial" w:cs="Arial"/>
                <w:sz w:val="16"/>
                <w:szCs w:val="18"/>
              </w:rPr>
            </w:pPr>
          </w:p>
        </w:tc>
      </w:tr>
      <w:tr w:rsidR="00931F52" w:rsidRPr="00701F32" w14:paraId="0786ED50" w14:textId="77777777" w:rsidTr="002F55BB">
        <w:trPr>
          <w:trHeight w:val="133"/>
        </w:trPr>
        <w:tc>
          <w:tcPr>
            <w:tcW w:w="921" w:type="dxa"/>
            <w:vMerge/>
            <w:tcBorders>
              <w:top w:val="nil"/>
              <w:left w:val="single" w:sz="4" w:space="0" w:color="363639"/>
              <w:bottom w:val="single" w:sz="4" w:space="0" w:color="363639"/>
              <w:right w:val="nil"/>
            </w:tcBorders>
            <w:vAlign w:val="center"/>
            <w:hideMark/>
          </w:tcPr>
          <w:p w14:paraId="142811E1" w14:textId="77777777" w:rsidR="00931F52" w:rsidRPr="00701F32" w:rsidRDefault="00931F52" w:rsidP="00931F52">
            <w:pPr>
              <w:rPr>
                <w:rFonts w:ascii="Arial" w:hAnsi="Arial" w:cs="Arial"/>
                <w:sz w:val="16"/>
                <w:szCs w:val="18"/>
              </w:rPr>
            </w:pPr>
          </w:p>
        </w:tc>
        <w:tc>
          <w:tcPr>
            <w:tcW w:w="1533" w:type="dxa"/>
            <w:tcBorders>
              <w:top w:val="nil"/>
              <w:left w:val="single" w:sz="4" w:space="0" w:color="auto"/>
              <w:bottom w:val="single" w:sz="4" w:space="0" w:color="auto"/>
              <w:right w:val="single" w:sz="4" w:space="0" w:color="auto"/>
            </w:tcBorders>
            <w:shd w:val="clear" w:color="auto" w:fill="auto"/>
            <w:hideMark/>
          </w:tcPr>
          <w:p w14:paraId="6042A790" w14:textId="77777777" w:rsidR="00931F52" w:rsidRPr="00701F32" w:rsidRDefault="00931F52" w:rsidP="00931F52">
            <w:pPr>
              <w:jc w:val="center"/>
              <w:rPr>
                <w:rFonts w:ascii="Arial" w:hAnsi="Arial" w:cs="Arial"/>
                <w:sz w:val="16"/>
                <w:szCs w:val="18"/>
              </w:rPr>
            </w:pPr>
            <w:r w:rsidRPr="00701F32">
              <w:rPr>
                <w:rFonts w:ascii="Arial" w:hAnsi="Arial" w:cs="Arial"/>
                <w:sz w:val="16"/>
                <w:szCs w:val="18"/>
              </w:rPr>
              <w:t>Reporte Inmobiliario</w:t>
            </w:r>
          </w:p>
        </w:tc>
        <w:tc>
          <w:tcPr>
            <w:tcW w:w="1083" w:type="dxa"/>
            <w:vMerge/>
            <w:tcBorders>
              <w:top w:val="nil"/>
              <w:left w:val="nil"/>
              <w:bottom w:val="single" w:sz="4" w:space="0" w:color="000000"/>
              <w:right w:val="single" w:sz="4" w:space="0" w:color="363639"/>
            </w:tcBorders>
            <w:vAlign w:val="center"/>
            <w:hideMark/>
          </w:tcPr>
          <w:p w14:paraId="7823312A" w14:textId="77777777" w:rsidR="00931F52" w:rsidRPr="00701F32"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tcPr>
          <w:p w14:paraId="7922055A" w14:textId="77777777" w:rsidR="00931F52" w:rsidRPr="00701F32"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tcPr>
          <w:p w14:paraId="29343985" w14:textId="77777777" w:rsidR="00931F52" w:rsidRPr="00701F32" w:rsidRDefault="00931F52" w:rsidP="00931F52">
            <w:pPr>
              <w:rPr>
                <w:rFonts w:ascii="Arial" w:hAnsi="Arial" w:cs="Arial"/>
                <w:sz w:val="16"/>
                <w:szCs w:val="18"/>
              </w:rPr>
            </w:pPr>
          </w:p>
        </w:tc>
        <w:tc>
          <w:tcPr>
            <w:tcW w:w="1132" w:type="dxa"/>
            <w:vMerge/>
            <w:tcBorders>
              <w:top w:val="nil"/>
              <w:left w:val="single" w:sz="4" w:space="0" w:color="363639"/>
              <w:bottom w:val="single" w:sz="4" w:space="0" w:color="000000"/>
              <w:right w:val="single" w:sz="4" w:space="0" w:color="363639"/>
            </w:tcBorders>
            <w:vAlign w:val="center"/>
          </w:tcPr>
          <w:p w14:paraId="538F657A" w14:textId="77777777" w:rsidR="00931F52" w:rsidRPr="00701F32" w:rsidRDefault="00931F52" w:rsidP="00931F52">
            <w:pPr>
              <w:rPr>
                <w:rFonts w:ascii="Arial" w:hAnsi="Arial" w:cs="Arial"/>
                <w:sz w:val="16"/>
                <w:szCs w:val="18"/>
              </w:rPr>
            </w:pPr>
          </w:p>
        </w:tc>
        <w:tc>
          <w:tcPr>
            <w:tcW w:w="1154" w:type="dxa"/>
            <w:vMerge/>
            <w:tcBorders>
              <w:left w:val="single" w:sz="4" w:space="0" w:color="363639"/>
              <w:bottom w:val="single" w:sz="4" w:space="0" w:color="000000"/>
              <w:right w:val="single" w:sz="4" w:space="0" w:color="363639"/>
            </w:tcBorders>
          </w:tcPr>
          <w:p w14:paraId="3F34E212" w14:textId="77777777" w:rsidR="00931F52" w:rsidRPr="00701F32" w:rsidRDefault="00931F52" w:rsidP="00931F52">
            <w:pPr>
              <w:rPr>
                <w:rFonts w:ascii="Arial" w:hAnsi="Arial" w:cs="Arial"/>
                <w:sz w:val="16"/>
                <w:szCs w:val="18"/>
              </w:rPr>
            </w:pPr>
          </w:p>
        </w:tc>
        <w:tc>
          <w:tcPr>
            <w:tcW w:w="992" w:type="dxa"/>
            <w:vMerge/>
            <w:tcBorders>
              <w:top w:val="nil"/>
              <w:left w:val="single" w:sz="4" w:space="0" w:color="363639"/>
              <w:bottom w:val="single" w:sz="4" w:space="0" w:color="000000"/>
              <w:right w:val="single" w:sz="4" w:space="0" w:color="363639"/>
            </w:tcBorders>
            <w:vAlign w:val="center"/>
          </w:tcPr>
          <w:p w14:paraId="6AD1A3D4" w14:textId="77777777" w:rsidR="00931F52" w:rsidRPr="00701F32" w:rsidRDefault="00931F52" w:rsidP="00931F52">
            <w:pPr>
              <w:rPr>
                <w:rFonts w:ascii="Arial" w:hAnsi="Arial" w:cs="Arial"/>
                <w:sz w:val="16"/>
                <w:szCs w:val="18"/>
              </w:rPr>
            </w:pPr>
          </w:p>
        </w:tc>
      </w:tr>
      <w:tr w:rsidR="00931F52" w:rsidRPr="00701F32" w14:paraId="61C0CC0F" w14:textId="77777777" w:rsidTr="002F55BB">
        <w:trPr>
          <w:trHeight w:val="133"/>
        </w:trPr>
        <w:tc>
          <w:tcPr>
            <w:tcW w:w="921" w:type="dxa"/>
            <w:tcBorders>
              <w:top w:val="nil"/>
              <w:left w:val="single" w:sz="4" w:space="0" w:color="363639"/>
              <w:bottom w:val="single" w:sz="4" w:space="0" w:color="363639"/>
              <w:right w:val="single" w:sz="4" w:space="0" w:color="363639"/>
            </w:tcBorders>
            <w:shd w:val="clear" w:color="auto" w:fill="auto"/>
            <w:hideMark/>
          </w:tcPr>
          <w:p w14:paraId="5E4ABBC0" w14:textId="77777777" w:rsidR="00931F52" w:rsidRPr="00701F32" w:rsidRDefault="00931F52" w:rsidP="00931F52">
            <w:pPr>
              <w:jc w:val="both"/>
              <w:rPr>
                <w:rFonts w:ascii="Arial" w:hAnsi="Arial" w:cs="Arial"/>
                <w:b/>
                <w:bCs/>
                <w:sz w:val="16"/>
                <w:szCs w:val="18"/>
              </w:rPr>
            </w:pPr>
            <w:r w:rsidRPr="00701F32">
              <w:rPr>
                <w:rFonts w:ascii="Arial" w:hAnsi="Arial" w:cs="Arial"/>
                <w:b/>
                <w:bCs/>
                <w:sz w:val="16"/>
                <w:szCs w:val="18"/>
              </w:rPr>
              <w:t>TOTALES</w:t>
            </w:r>
          </w:p>
        </w:tc>
        <w:tc>
          <w:tcPr>
            <w:tcW w:w="1533" w:type="dxa"/>
            <w:tcBorders>
              <w:top w:val="nil"/>
              <w:left w:val="nil"/>
              <w:bottom w:val="single" w:sz="4" w:space="0" w:color="363639"/>
              <w:right w:val="single" w:sz="4" w:space="0" w:color="363639"/>
            </w:tcBorders>
            <w:shd w:val="clear" w:color="auto" w:fill="auto"/>
            <w:hideMark/>
          </w:tcPr>
          <w:p w14:paraId="74119C99" w14:textId="77777777" w:rsidR="00931F52" w:rsidRPr="00701F32" w:rsidRDefault="00931F52" w:rsidP="00931F52">
            <w:pPr>
              <w:jc w:val="both"/>
              <w:rPr>
                <w:rFonts w:ascii="Calibri" w:hAnsi="Calibri"/>
                <w:b/>
                <w:bCs/>
                <w:sz w:val="16"/>
                <w:szCs w:val="18"/>
              </w:rPr>
            </w:pPr>
            <w:r w:rsidRPr="00701F32">
              <w:rPr>
                <w:rFonts w:ascii="Calibri" w:hAnsi="Calibri"/>
                <w:b/>
                <w:bCs/>
                <w:sz w:val="16"/>
                <w:szCs w:val="18"/>
              </w:rPr>
              <w:t> </w:t>
            </w:r>
          </w:p>
        </w:tc>
        <w:tc>
          <w:tcPr>
            <w:tcW w:w="1083" w:type="dxa"/>
            <w:tcBorders>
              <w:top w:val="single" w:sz="4" w:space="0" w:color="363639"/>
              <w:left w:val="nil"/>
              <w:bottom w:val="single" w:sz="4" w:space="0" w:color="363639"/>
              <w:right w:val="single" w:sz="4" w:space="0" w:color="363639"/>
            </w:tcBorders>
            <w:shd w:val="clear" w:color="auto" w:fill="auto"/>
            <w:hideMark/>
          </w:tcPr>
          <w:p w14:paraId="62B19057" w14:textId="77777777" w:rsidR="00931F52" w:rsidRPr="00701F32" w:rsidRDefault="00931F52" w:rsidP="00931F52">
            <w:pPr>
              <w:jc w:val="both"/>
              <w:rPr>
                <w:rFonts w:ascii="Calibri" w:hAnsi="Calibri"/>
                <w:b/>
                <w:bCs/>
                <w:sz w:val="16"/>
                <w:szCs w:val="18"/>
              </w:rPr>
            </w:pPr>
            <w:r w:rsidRPr="00701F32">
              <w:rPr>
                <w:rFonts w:ascii="Calibri" w:hAnsi="Calibri"/>
                <w:b/>
                <w:bCs/>
                <w:sz w:val="16"/>
                <w:szCs w:val="18"/>
              </w:rPr>
              <w:t> </w:t>
            </w:r>
          </w:p>
        </w:tc>
        <w:tc>
          <w:tcPr>
            <w:tcW w:w="880" w:type="dxa"/>
            <w:tcBorders>
              <w:top w:val="nil"/>
              <w:left w:val="nil"/>
              <w:bottom w:val="single" w:sz="4" w:space="0" w:color="auto"/>
              <w:right w:val="single" w:sz="4" w:space="0" w:color="363639"/>
            </w:tcBorders>
            <w:shd w:val="clear" w:color="auto" w:fill="auto"/>
            <w:noWrap/>
            <w:vAlign w:val="bottom"/>
          </w:tcPr>
          <w:p w14:paraId="50FB5610" w14:textId="0E249991" w:rsidR="00931F52" w:rsidRPr="00701F32" w:rsidRDefault="00AA09D8" w:rsidP="00931F52">
            <w:pPr>
              <w:jc w:val="right"/>
              <w:rPr>
                <w:rFonts w:ascii="Arial" w:hAnsi="Arial" w:cs="Arial"/>
                <w:b/>
                <w:bCs/>
                <w:sz w:val="16"/>
                <w:szCs w:val="18"/>
              </w:rPr>
            </w:pPr>
            <w:r>
              <w:rPr>
                <w:rFonts w:ascii="Arial" w:hAnsi="Arial" w:cs="Arial"/>
                <w:b/>
                <w:bCs/>
                <w:sz w:val="16"/>
                <w:szCs w:val="18"/>
              </w:rPr>
              <w:t>756.736</w:t>
            </w:r>
          </w:p>
        </w:tc>
        <w:tc>
          <w:tcPr>
            <w:tcW w:w="880" w:type="dxa"/>
            <w:tcBorders>
              <w:top w:val="nil"/>
              <w:left w:val="nil"/>
              <w:bottom w:val="single" w:sz="4" w:space="0" w:color="auto"/>
              <w:right w:val="single" w:sz="4" w:space="0" w:color="363639"/>
            </w:tcBorders>
            <w:shd w:val="clear" w:color="auto" w:fill="auto"/>
            <w:noWrap/>
            <w:vAlign w:val="bottom"/>
          </w:tcPr>
          <w:p w14:paraId="55217256" w14:textId="48AA5111" w:rsidR="00931F52" w:rsidRPr="00701F32" w:rsidRDefault="00AA09D8" w:rsidP="00931F52">
            <w:pPr>
              <w:jc w:val="right"/>
              <w:rPr>
                <w:rFonts w:ascii="Arial" w:hAnsi="Arial" w:cs="Arial"/>
                <w:b/>
                <w:bCs/>
                <w:sz w:val="16"/>
                <w:szCs w:val="18"/>
              </w:rPr>
            </w:pPr>
            <w:r>
              <w:rPr>
                <w:rFonts w:ascii="Arial" w:hAnsi="Arial" w:cs="Arial"/>
                <w:b/>
                <w:bCs/>
                <w:sz w:val="16"/>
                <w:szCs w:val="18"/>
              </w:rPr>
              <w:t>574.495</w:t>
            </w:r>
          </w:p>
        </w:tc>
        <w:tc>
          <w:tcPr>
            <w:tcW w:w="1132" w:type="dxa"/>
            <w:tcBorders>
              <w:top w:val="nil"/>
              <w:left w:val="nil"/>
              <w:bottom w:val="single" w:sz="4" w:space="0" w:color="auto"/>
              <w:right w:val="single" w:sz="4" w:space="0" w:color="363639"/>
            </w:tcBorders>
            <w:shd w:val="clear" w:color="auto" w:fill="auto"/>
            <w:noWrap/>
            <w:vAlign w:val="bottom"/>
          </w:tcPr>
          <w:p w14:paraId="7F2C34DD" w14:textId="3F34EDC5" w:rsidR="00931F52" w:rsidRPr="00701F32" w:rsidRDefault="00AA09D8" w:rsidP="00931F52">
            <w:pPr>
              <w:jc w:val="right"/>
              <w:rPr>
                <w:rFonts w:ascii="Arial" w:hAnsi="Arial" w:cs="Arial"/>
                <w:b/>
                <w:bCs/>
                <w:sz w:val="16"/>
                <w:szCs w:val="18"/>
              </w:rPr>
            </w:pPr>
            <w:r>
              <w:rPr>
                <w:rFonts w:ascii="Arial" w:hAnsi="Arial" w:cs="Arial"/>
                <w:b/>
                <w:bCs/>
                <w:sz w:val="16"/>
                <w:szCs w:val="18"/>
              </w:rPr>
              <w:t>1.331.231</w:t>
            </w:r>
          </w:p>
        </w:tc>
        <w:tc>
          <w:tcPr>
            <w:tcW w:w="1154" w:type="dxa"/>
            <w:tcBorders>
              <w:top w:val="single" w:sz="4" w:space="0" w:color="000000"/>
              <w:left w:val="nil"/>
              <w:bottom w:val="single" w:sz="4" w:space="0" w:color="auto"/>
              <w:right w:val="single" w:sz="4" w:space="0" w:color="auto"/>
            </w:tcBorders>
          </w:tcPr>
          <w:p w14:paraId="5DF50A81" w14:textId="67E620EC" w:rsidR="00931F52" w:rsidRPr="00701F32" w:rsidRDefault="00F62AA5" w:rsidP="00931F52">
            <w:pPr>
              <w:jc w:val="right"/>
              <w:rPr>
                <w:rFonts w:ascii="Arial" w:hAnsi="Arial" w:cs="Arial"/>
                <w:b/>
                <w:bCs/>
                <w:sz w:val="16"/>
                <w:szCs w:val="18"/>
              </w:rPr>
            </w:pPr>
            <w:r>
              <w:rPr>
                <w:rFonts w:ascii="Arial" w:hAnsi="Arial" w:cs="Arial"/>
                <w:b/>
                <w:bCs/>
                <w:sz w:val="16"/>
                <w:szCs w:val="18"/>
              </w:rPr>
              <w:t>(22.997)</w:t>
            </w:r>
          </w:p>
        </w:tc>
        <w:tc>
          <w:tcPr>
            <w:tcW w:w="992" w:type="dxa"/>
            <w:tcBorders>
              <w:top w:val="nil"/>
              <w:left w:val="single" w:sz="4" w:space="0" w:color="auto"/>
              <w:bottom w:val="single" w:sz="4" w:space="0" w:color="auto"/>
              <w:right w:val="single" w:sz="4" w:space="0" w:color="363639"/>
            </w:tcBorders>
            <w:shd w:val="clear" w:color="auto" w:fill="auto"/>
            <w:noWrap/>
            <w:vAlign w:val="bottom"/>
          </w:tcPr>
          <w:p w14:paraId="1CA0D965" w14:textId="0A3FD9EB" w:rsidR="00931F52" w:rsidRPr="00701F32" w:rsidRDefault="00AA09D8" w:rsidP="00931F52">
            <w:pPr>
              <w:jc w:val="right"/>
              <w:rPr>
                <w:rFonts w:ascii="Arial" w:hAnsi="Arial" w:cs="Arial"/>
                <w:b/>
                <w:bCs/>
                <w:sz w:val="16"/>
                <w:szCs w:val="18"/>
              </w:rPr>
            </w:pPr>
            <w:r>
              <w:rPr>
                <w:rFonts w:ascii="Arial" w:hAnsi="Arial" w:cs="Arial"/>
                <w:b/>
                <w:bCs/>
                <w:sz w:val="16"/>
                <w:szCs w:val="18"/>
              </w:rPr>
              <w:t>329.7</w:t>
            </w:r>
            <w:r w:rsidR="00D83A12">
              <w:rPr>
                <w:rFonts w:ascii="Arial" w:hAnsi="Arial" w:cs="Arial"/>
                <w:b/>
                <w:bCs/>
                <w:sz w:val="16"/>
                <w:szCs w:val="18"/>
              </w:rPr>
              <w:t>1</w:t>
            </w:r>
            <w:r>
              <w:rPr>
                <w:rFonts w:ascii="Arial" w:hAnsi="Arial" w:cs="Arial"/>
                <w:b/>
                <w:bCs/>
                <w:sz w:val="16"/>
                <w:szCs w:val="18"/>
              </w:rPr>
              <w:t>9</w:t>
            </w:r>
          </w:p>
        </w:tc>
      </w:tr>
    </w:tbl>
    <w:p w14:paraId="7B4E46A2" w14:textId="7C9AA875" w:rsidR="00B1205B" w:rsidRDefault="00B1205B" w:rsidP="00931F52">
      <w:pPr>
        <w:spacing w:after="160"/>
        <w:jc w:val="both"/>
        <w:rPr>
          <w:rFonts w:ascii="Arial" w:eastAsia="Calibri" w:hAnsi="Arial" w:cs="Arial"/>
          <w:sz w:val="16"/>
        </w:rPr>
      </w:pPr>
    </w:p>
    <w:p w14:paraId="543D8FE2" w14:textId="77777777" w:rsidR="00B1205B" w:rsidRDefault="00B1205B">
      <w:pPr>
        <w:rPr>
          <w:rFonts w:ascii="Arial" w:eastAsia="Calibri" w:hAnsi="Arial" w:cs="Arial"/>
          <w:sz w:val="16"/>
        </w:rPr>
      </w:pPr>
      <w:r>
        <w:rPr>
          <w:rFonts w:ascii="Arial" w:eastAsia="Calibri" w:hAnsi="Arial" w:cs="Arial"/>
          <w:sz w:val="16"/>
        </w:rPr>
        <w:br w:type="page"/>
      </w:r>
    </w:p>
    <w:p w14:paraId="60D23DD3" w14:textId="77777777" w:rsidR="00931F52" w:rsidRPr="00A059FB" w:rsidRDefault="00931F52" w:rsidP="00931F52">
      <w:pPr>
        <w:spacing w:after="160"/>
        <w:jc w:val="both"/>
        <w:rPr>
          <w:rFonts w:ascii="Arial" w:eastAsia="Calibri" w:hAnsi="Arial" w:cs="Arial"/>
          <w:sz w:val="16"/>
        </w:rPr>
      </w:pPr>
    </w:p>
    <w:tbl>
      <w:tblPr>
        <w:tblW w:w="8613" w:type="dxa"/>
        <w:tblLayout w:type="fixed"/>
        <w:tblCellMar>
          <w:left w:w="70" w:type="dxa"/>
          <w:right w:w="70" w:type="dxa"/>
        </w:tblCellMar>
        <w:tblLook w:val="04A0" w:firstRow="1" w:lastRow="0" w:firstColumn="1" w:lastColumn="0" w:noHBand="0" w:noVBand="1"/>
      </w:tblPr>
      <w:tblGrid>
        <w:gridCol w:w="943"/>
        <w:gridCol w:w="1679"/>
        <w:gridCol w:w="1213"/>
        <w:gridCol w:w="880"/>
        <w:gridCol w:w="880"/>
        <w:gridCol w:w="854"/>
        <w:gridCol w:w="1134"/>
        <w:gridCol w:w="1030"/>
      </w:tblGrid>
      <w:tr w:rsidR="00931F52" w:rsidRPr="00DD33F3" w14:paraId="633E5848" w14:textId="77777777" w:rsidTr="006E1AF7">
        <w:trPr>
          <w:trHeight w:val="176"/>
        </w:trPr>
        <w:tc>
          <w:tcPr>
            <w:tcW w:w="943"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04F8B475" w14:textId="77777777" w:rsidR="00931F52" w:rsidRPr="00DD33F3" w:rsidRDefault="00931F52" w:rsidP="00931F52">
            <w:pPr>
              <w:jc w:val="center"/>
              <w:rPr>
                <w:rFonts w:ascii="Arial" w:hAnsi="Arial" w:cs="Arial"/>
                <w:b/>
                <w:bCs/>
                <w:sz w:val="16"/>
                <w:szCs w:val="18"/>
                <w:lang w:eastAsia="es-AR"/>
              </w:rPr>
            </w:pPr>
            <w:r w:rsidRPr="00EC349E">
              <w:rPr>
                <w:rFonts w:ascii="Arial" w:hAnsi="Arial" w:cs="Arial"/>
                <w:b/>
                <w:bCs/>
                <w:sz w:val="16"/>
                <w:szCs w:val="18"/>
              </w:rPr>
              <w:t>Detalle de Clases</w:t>
            </w:r>
          </w:p>
        </w:tc>
        <w:tc>
          <w:tcPr>
            <w:tcW w:w="1679"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542FACDE" w14:textId="77777777" w:rsidR="00931F52" w:rsidRPr="00DD33F3" w:rsidRDefault="00931F52" w:rsidP="00931F52">
            <w:pPr>
              <w:jc w:val="center"/>
              <w:rPr>
                <w:rFonts w:ascii="Arial" w:hAnsi="Arial" w:cs="Arial"/>
                <w:b/>
                <w:bCs/>
                <w:sz w:val="16"/>
                <w:szCs w:val="18"/>
              </w:rPr>
            </w:pPr>
            <w:r w:rsidRPr="00EC349E">
              <w:rPr>
                <w:rFonts w:ascii="Arial" w:hAnsi="Arial" w:cs="Arial"/>
                <w:b/>
                <w:bCs/>
                <w:sz w:val="16"/>
                <w:szCs w:val="18"/>
              </w:rPr>
              <w:t>Tasador</w:t>
            </w:r>
          </w:p>
        </w:tc>
        <w:tc>
          <w:tcPr>
            <w:tcW w:w="1213"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44079B9D" w14:textId="77777777" w:rsidR="00931F52" w:rsidRPr="00DD33F3" w:rsidRDefault="00931F52" w:rsidP="00931F52">
            <w:pPr>
              <w:jc w:val="center"/>
              <w:rPr>
                <w:rFonts w:ascii="Arial" w:hAnsi="Arial" w:cs="Arial"/>
                <w:b/>
                <w:bCs/>
                <w:sz w:val="16"/>
                <w:szCs w:val="18"/>
              </w:rPr>
            </w:pPr>
            <w:r w:rsidRPr="00EC349E">
              <w:rPr>
                <w:rFonts w:ascii="Arial" w:hAnsi="Arial" w:cs="Arial"/>
                <w:b/>
                <w:bCs/>
                <w:sz w:val="16"/>
                <w:szCs w:val="18"/>
              </w:rPr>
              <w:t>Fecha de Revaluación</w:t>
            </w:r>
          </w:p>
        </w:tc>
        <w:tc>
          <w:tcPr>
            <w:tcW w:w="2614" w:type="dxa"/>
            <w:gridSpan w:val="3"/>
            <w:tcBorders>
              <w:top w:val="single" w:sz="4" w:space="0" w:color="363639"/>
              <w:left w:val="nil"/>
              <w:bottom w:val="single" w:sz="4" w:space="0" w:color="363639"/>
              <w:right w:val="single" w:sz="4" w:space="0" w:color="363639"/>
            </w:tcBorders>
            <w:shd w:val="clear" w:color="auto" w:fill="auto"/>
            <w:vAlign w:val="center"/>
            <w:hideMark/>
          </w:tcPr>
          <w:p w14:paraId="72E99D24" w14:textId="77777777" w:rsidR="00931F52" w:rsidRPr="00DD33F3" w:rsidRDefault="00931F52" w:rsidP="00931F52">
            <w:pPr>
              <w:jc w:val="center"/>
              <w:rPr>
                <w:rFonts w:ascii="Arial" w:hAnsi="Arial" w:cs="Arial"/>
                <w:b/>
                <w:bCs/>
                <w:sz w:val="16"/>
                <w:szCs w:val="18"/>
              </w:rPr>
            </w:pPr>
            <w:r w:rsidRPr="00EC349E">
              <w:rPr>
                <w:rFonts w:ascii="Arial" w:hAnsi="Arial" w:cs="Arial"/>
                <w:b/>
                <w:bCs/>
                <w:sz w:val="16"/>
                <w:szCs w:val="18"/>
              </w:rPr>
              <w:t>Ajuste por Revaluación - ORI acumulado</w:t>
            </w:r>
          </w:p>
        </w:tc>
        <w:tc>
          <w:tcPr>
            <w:tcW w:w="1134" w:type="dxa"/>
            <w:vMerge w:val="restart"/>
            <w:tcBorders>
              <w:top w:val="single" w:sz="4" w:space="0" w:color="363639"/>
              <w:left w:val="single" w:sz="4" w:space="0" w:color="363639"/>
              <w:right w:val="single" w:sz="4" w:space="0" w:color="363639"/>
            </w:tcBorders>
            <w:vAlign w:val="center"/>
          </w:tcPr>
          <w:p w14:paraId="073E5662" w14:textId="77777777" w:rsidR="00931F52" w:rsidRPr="00EC349E" w:rsidRDefault="00931F52" w:rsidP="006E1AF7">
            <w:pPr>
              <w:ind w:right="-70"/>
              <w:jc w:val="center"/>
              <w:rPr>
                <w:rFonts w:ascii="Arial" w:hAnsi="Arial" w:cs="Arial"/>
                <w:b/>
                <w:bCs/>
                <w:sz w:val="16"/>
                <w:szCs w:val="18"/>
              </w:rPr>
            </w:pPr>
            <w:r w:rsidRPr="00EC349E">
              <w:rPr>
                <w:rFonts w:ascii="Arial" w:hAnsi="Arial" w:cs="Arial"/>
                <w:b/>
                <w:bCs/>
                <w:sz w:val="16"/>
                <w:szCs w:val="18"/>
              </w:rPr>
              <w:t>Amortización revaluo</w:t>
            </w:r>
          </w:p>
        </w:tc>
        <w:tc>
          <w:tcPr>
            <w:tcW w:w="1030"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7D849B14" w14:textId="30876B03" w:rsidR="00931F52" w:rsidRPr="00DD33F3" w:rsidRDefault="00931F52" w:rsidP="00931F52">
            <w:pPr>
              <w:jc w:val="center"/>
              <w:rPr>
                <w:rFonts w:ascii="Arial" w:hAnsi="Arial" w:cs="Arial"/>
                <w:b/>
                <w:bCs/>
                <w:sz w:val="16"/>
                <w:szCs w:val="18"/>
              </w:rPr>
            </w:pPr>
            <w:r w:rsidRPr="00EC349E">
              <w:rPr>
                <w:rFonts w:ascii="Arial" w:hAnsi="Arial" w:cs="Arial"/>
                <w:b/>
                <w:bCs/>
                <w:sz w:val="16"/>
                <w:szCs w:val="18"/>
              </w:rPr>
              <w:t>Importe en libros s</w:t>
            </w:r>
            <w:r w:rsidR="00A96E66">
              <w:rPr>
                <w:rFonts w:ascii="Arial" w:hAnsi="Arial" w:cs="Arial"/>
                <w:b/>
                <w:bCs/>
                <w:sz w:val="16"/>
                <w:szCs w:val="18"/>
              </w:rPr>
              <w:t>i se hubiera regristrado bajo el</w:t>
            </w:r>
            <w:r w:rsidRPr="00EC349E">
              <w:rPr>
                <w:rFonts w:ascii="Arial" w:hAnsi="Arial" w:cs="Arial"/>
                <w:b/>
                <w:bCs/>
                <w:sz w:val="16"/>
                <w:szCs w:val="18"/>
              </w:rPr>
              <w:t xml:space="preserve"> Modelo de costo</w:t>
            </w:r>
          </w:p>
        </w:tc>
      </w:tr>
      <w:tr w:rsidR="00931F52" w:rsidRPr="00DD33F3" w14:paraId="20CF6317" w14:textId="77777777" w:rsidTr="006E1AF7">
        <w:trPr>
          <w:trHeight w:val="530"/>
        </w:trPr>
        <w:tc>
          <w:tcPr>
            <w:tcW w:w="943" w:type="dxa"/>
            <w:vMerge/>
            <w:tcBorders>
              <w:top w:val="single" w:sz="4" w:space="0" w:color="363639"/>
              <w:left w:val="single" w:sz="4" w:space="0" w:color="363639"/>
              <w:bottom w:val="single" w:sz="4" w:space="0" w:color="363639"/>
              <w:right w:val="single" w:sz="4" w:space="0" w:color="363639"/>
            </w:tcBorders>
            <w:vAlign w:val="center"/>
            <w:hideMark/>
          </w:tcPr>
          <w:p w14:paraId="69CDB279" w14:textId="77777777" w:rsidR="00931F52" w:rsidRPr="00DD33F3" w:rsidRDefault="00931F52" w:rsidP="00931F52">
            <w:pPr>
              <w:rPr>
                <w:rFonts w:ascii="Arial" w:hAnsi="Arial" w:cs="Arial"/>
                <w:b/>
                <w:bCs/>
                <w:sz w:val="16"/>
                <w:szCs w:val="18"/>
              </w:rPr>
            </w:pPr>
          </w:p>
        </w:tc>
        <w:tc>
          <w:tcPr>
            <w:tcW w:w="1679" w:type="dxa"/>
            <w:vMerge/>
            <w:tcBorders>
              <w:top w:val="single" w:sz="4" w:space="0" w:color="363639"/>
              <w:left w:val="single" w:sz="4" w:space="0" w:color="363639"/>
              <w:bottom w:val="single" w:sz="4" w:space="0" w:color="363639"/>
              <w:right w:val="single" w:sz="4" w:space="0" w:color="363639"/>
            </w:tcBorders>
            <w:vAlign w:val="center"/>
            <w:hideMark/>
          </w:tcPr>
          <w:p w14:paraId="1344B084" w14:textId="77777777" w:rsidR="00931F52" w:rsidRPr="00DD33F3" w:rsidRDefault="00931F52" w:rsidP="00931F52">
            <w:pPr>
              <w:rPr>
                <w:rFonts w:ascii="Arial" w:hAnsi="Arial" w:cs="Arial"/>
                <w:b/>
                <w:bCs/>
                <w:sz w:val="16"/>
                <w:szCs w:val="18"/>
              </w:rPr>
            </w:pPr>
          </w:p>
        </w:tc>
        <w:tc>
          <w:tcPr>
            <w:tcW w:w="1213" w:type="dxa"/>
            <w:vMerge/>
            <w:tcBorders>
              <w:top w:val="single" w:sz="4" w:space="0" w:color="363639"/>
              <w:left w:val="single" w:sz="4" w:space="0" w:color="363639"/>
              <w:bottom w:val="single" w:sz="4" w:space="0" w:color="363639"/>
              <w:right w:val="single" w:sz="4" w:space="0" w:color="363639"/>
            </w:tcBorders>
            <w:vAlign w:val="center"/>
            <w:hideMark/>
          </w:tcPr>
          <w:p w14:paraId="4D34624A" w14:textId="77777777" w:rsidR="00931F52" w:rsidRPr="00DD33F3" w:rsidRDefault="00931F52" w:rsidP="00931F52">
            <w:pPr>
              <w:rPr>
                <w:rFonts w:ascii="Arial" w:hAnsi="Arial" w:cs="Arial"/>
                <w:b/>
                <w:bCs/>
                <w:sz w:val="16"/>
                <w:szCs w:val="18"/>
              </w:rPr>
            </w:pPr>
          </w:p>
        </w:tc>
        <w:tc>
          <w:tcPr>
            <w:tcW w:w="880" w:type="dxa"/>
            <w:tcBorders>
              <w:top w:val="nil"/>
              <w:left w:val="nil"/>
              <w:bottom w:val="single" w:sz="4" w:space="0" w:color="363639"/>
              <w:right w:val="single" w:sz="4" w:space="0" w:color="363639"/>
            </w:tcBorders>
            <w:shd w:val="clear" w:color="auto" w:fill="auto"/>
            <w:vAlign w:val="center"/>
            <w:hideMark/>
          </w:tcPr>
          <w:p w14:paraId="6DAB7C68" w14:textId="77777777" w:rsidR="00931F52" w:rsidRPr="00DD33F3" w:rsidRDefault="00931F52" w:rsidP="00931F52">
            <w:pPr>
              <w:jc w:val="center"/>
              <w:rPr>
                <w:rFonts w:ascii="Arial" w:hAnsi="Arial" w:cs="Arial"/>
                <w:b/>
                <w:bCs/>
                <w:sz w:val="16"/>
                <w:szCs w:val="18"/>
              </w:rPr>
            </w:pPr>
            <w:r w:rsidRPr="00EC349E">
              <w:rPr>
                <w:rFonts w:ascii="Arial" w:hAnsi="Arial" w:cs="Arial"/>
                <w:b/>
                <w:bCs/>
                <w:sz w:val="16"/>
                <w:szCs w:val="18"/>
              </w:rPr>
              <w:t>Saldo al inicio del ejercicio</w:t>
            </w:r>
          </w:p>
        </w:tc>
        <w:tc>
          <w:tcPr>
            <w:tcW w:w="880" w:type="dxa"/>
            <w:tcBorders>
              <w:top w:val="nil"/>
              <w:left w:val="nil"/>
              <w:bottom w:val="single" w:sz="4" w:space="0" w:color="363639"/>
              <w:right w:val="single" w:sz="4" w:space="0" w:color="363639"/>
            </w:tcBorders>
            <w:shd w:val="clear" w:color="auto" w:fill="auto"/>
            <w:vAlign w:val="center"/>
            <w:hideMark/>
          </w:tcPr>
          <w:p w14:paraId="66D0A594" w14:textId="77777777" w:rsidR="00931F52" w:rsidRPr="00EC349E" w:rsidRDefault="00931F52" w:rsidP="00931F52">
            <w:pPr>
              <w:jc w:val="center"/>
              <w:rPr>
                <w:rFonts w:ascii="Arial" w:hAnsi="Arial" w:cs="Arial"/>
                <w:b/>
                <w:bCs/>
                <w:sz w:val="16"/>
                <w:szCs w:val="18"/>
              </w:rPr>
            </w:pPr>
            <w:r w:rsidRPr="00EC349E">
              <w:rPr>
                <w:rFonts w:ascii="Arial" w:hAnsi="Arial" w:cs="Arial"/>
                <w:b/>
                <w:bCs/>
                <w:sz w:val="16"/>
                <w:szCs w:val="18"/>
              </w:rPr>
              <w:t>Cambio del ejercicio</w:t>
            </w:r>
          </w:p>
        </w:tc>
        <w:tc>
          <w:tcPr>
            <w:tcW w:w="854" w:type="dxa"/>
            <w:tcBorders>
              <w:top w:val="nil"/>
              <w:left w:val="nil"/>
              <w:bottom w:val="single" w:sz="4" w:space="0" w:color="363639"/>
              <w:right w:val="single" w:sz="4" w:space="0" w:color="363639"/>
            </w:tcBorders>
            <w:shd w:val="clear" w:color="auto" w:fill="auto"/>
            <w:vAlign w:val="center"/>
            <w:hideMark/>
          </w:tcPr>
          <w:p w14:paraId="6D6D0C15" w14:textId="77777777" w:rsidR="00931F52" w:rsidRPr="00DD33F3" w:rsidRDefault="00931F52" w:rsidP="00931F52">
            <w:pPr>
              <w:jc w:val="center"/>
              <w:rPr>
                <w:rFonts w:ascii="Arial" w:hAnsi="Arial" w:cs="Arial"/>
                <w:b/>
                <w:bCs/>
                <w:sz w:val="16"/>
                <w:szCs w:val="18"/>
              </w:rPr>
            </w:pPr>
            <w:r w:rsidRPr="00EC349E">
              <w:rPr>
                <w:rFonts w:ascii="Arial" w:hAnsi="Arial" w:cs="Arial"/>
                <w:b/>
                <w:bCs/>
                <w:sz w:val="16"/>
                <w:szCs w:val="18"/>
              </w:rPr>
              <w:t>Saldo al cierre del ejercicio</w:t>
            </w:r>
          </w:p>
        </w:tc>
        <w:tc>
          <w:tcPr>
            <w:tcW w:w="1134" w:type="dxa"/>
            <w:vMerge/>
            <w:tcBorders>
              <w:left w:val="single" w:sz="4" w:space="0" w:color="363639"/>
              <w:bottom w:val="single" w:sz="4" w:space="0" w:color="363639"/>
              <w:right w:val="single" w:sz="4" w:space="0" w:color="363639"/>
            </w:tcBorders>
          </w:tcPr>
          <w:p w14:paraId="0B75825C" w14:textId="77777777" w:rsidR="00931F52" w:rsidRPr="00DD33F3" w:rsidRDefault="00931F52" w:rsidP="00931F52">
            <w:pPr>
              <w:rPr>
                <w:rFonts w:ascii="Arial" w:hAnsi="Arial" w:cs="Arial"/>
                <w:b/>
                <w:bCs/>
                <w:sz w:val="16"/>
                <w:szCs w:val="18"/>
              </w:rPr>
            </w:pPr>
          </w:p>
        </w:tc>
        <w:tc>
          <w:tcPr>
            <w:tcW w:w="1030" w:type="dxa"/>
            <w:vMerge/>
            <w:tcBorders>
              <w:top w:val="single" w:sz="4" w:space="0" w:color="363639"/>
              <w:left w:val="single" w:sz="4" w:space="0" w:color="363639"/>
              <w:bottom w:val="single" w:sz="4" w:space="0" w:color="363639"/>
              <w:right w:val="single" w:sz="4" w:space="0" w:color="363639"/>
            </w:tcBorders>
            <w:vAlign w:val="center"/>
            <w:hideMark/>
          </w:tcPr>
          <w:p w14:paraId="3616B94C" w14:textId="77777777" w:rsidR="00931F52" w:rsidRPr="00DD33F3" w:rsidRDefault="00931F52" w:rsidP="00931F52">
            <w:pPr>
              <w:rPr>
                <w:rFonts w:ascii="Arial" w:hAnsi="Arial" w:cs="Arial"/>
                <w:b/>
                <w:bCs/>
                <w:sz w:val="16"/>
                <w:szCs w:val="18"/>
              </w:rPr>
            </w:pPr>
          </w:p>
        </w:tc>
      </w:tr>
      <w:tr w:rsidR="00931F52" w:rsidRPr="00DD33F3" w14:paraId="048EA13E" w14:textId="77777777" w:rsidTr="006E1AF7">
        <w:trPr>
          <w:trHeight w:val="176"/>
        </w:trPr>
        <w:tc>
          <w:tcPr>
            <w:tcW w:w="943" w:type="dxa"/>
            <w:vMerge w:val="restart"/>
            <w:tcBorders>
              <w:top w:val="nil"/>
              <w:left w:val="single" w:sz="4" w:space="0" w:color="363639"/>
              <w:bottom w:val="single" w:sz="4" w:space="0" w:color="363639"/>
              <w:right w:val="single" w:sz="4" w:space="0" w:color="363639"/>
            </w:tcBorders>
            <w:shd w:val="clear" w:color="auto" w:fill="auto"/>
            <w:vAlign w:val="center"/>
            <w:hideMark/>
          </w:tcPr>
          <w:p w14:paraId="4F1931F6" w14:textId="419BDBB5" w:rsidR="00931F52" w:rsidRPr="00DD33F3" w:rsidRDefault="00931F52" w:rsidP="00931F52">
            <w:pPr>
              <w:jc w:val="center"/>
              <w:rPr>
                <w:rFonts w:ascii="Arial" w:hAnsi="Arial" w:cs="Arial"/>
                <w:sz w:val="16"/>
                <w:szCs w:val="18"/>
              </w:rPr>
            </w:pPr>
            <w:r w:rsidRPr="00701F32">
              <w:rPr>
                <w:rFonts w:ascii="Arial" w:hAnsi="Arial" w:cs="Arial"/>
                <w:sz w:val="16"/>
                <w:szCs w:val="18"/>
              </w:rPr>
              <w:t>Inmuebles</w:t>
            </w:r>
          </w:p>
        </w:tc>
        <w:tc>
          <w:tcPr>
            <w:tcW w:w="1679" w:type="dxa"/>
            <w:tcBorders>
              <w:top w:val="nil"/>
              <w:left w:val="nil"/>
              <w:bottom w:val="nil"/>
              <w:right w:val="single" w:sz="4" w:space="0" w:color="363639"/>
            </w:tcBorders>
            <w:shd w:val="clear" w:color="auto" w:fill="auto"/>
            <w:hideMark/>
          </w:tcPr>
          <w:p w14:paraId="149E8495" w14:textId="5EA7982B" w:rsidR="00931F52" w:rsidRPr="00DD33F3" w:rsidRDefault="00931F52" w:rsidP="00931F52">
            <w:pPr>
              <w:jc w:val="center"/>
              <w:rPr>
                <w:rFonts w:ascii="Arial" w:hAnsi="Arial" w:cs="Arial"/>
                <w:sz w:val="16"/>
                <w:szCs w:val="16"/>
              </w:rPr>
            </w:pPr>
            <w:r w:rsidRPr="00701F32">
              <w:rPr>
                <w:rFonts w:ascii="Arial" w:hAnsi="Arial" w:cs="Arial"/>
                <w:sz w:val="16"/>
                <w:szCs w:val="18"/>
              </w:rPr>
              <w:t>Tribunal de Tasaciones de la Nación</w:t>
            </w:r>
          </w:p>
        </w:tc>
        <w:tc>
          <w:tcPr>
            <w:tcW w:w="1213" w:type="dxa"/>
            <w:vMerge w:val="restart"/>
            <w:tcBorders>
              <w:top w:val="nil"/>
              <w:left w:val="single" w:sz="4" w:space="0" w:color="363639"/>
              <w:bottom w:val="single" w:sz="4" w:space="0" w:color="000000"/>
              <w:right w:val="single" w:sz="4" w:space="0" w:color="363639"/>
            </w:tcBorders>
            <w:shd w:val="clear" w:color="auto" w:fill="auto"/>
            <w:noWrap/>
            <w:vAlign w:val="center"/>
            <w:hideMark/>
          </w:tcPr>
          <w:p w14:paraId="20511648" w14:textId="44EE4212" w:rsidR="00931F52" w:rsidRPr="00DD33F3" w:rsidRDefault="00931F52" w:rsidP="00931F52">
            <w:pPr>
              <w:jc w:val="center"/>
              <w:rPr>
                <w:rFonts w:ascii="Arial" w:hAnsi="Arial" w:cs="Arial"/>
                <w:sz w:val="16"/>
                <w:szCs w:val="18"/>
              </w:rPr>
            </w:pPr>
            <w:r w:rsidRPr="00613EB0">
              <w:rPr>
                <w:rFonts w:ascii="Arial" w:hAnsi="Arial" w:cs="Arial"/>
                <w:sz w:val="16"/>
                <w:szCs w:val="18"/>
              </w:rPr>
              <w:t>31/12/2018</w:t>
            </w:r>
          </w:p>
        </w:tc>
        <w:tc>
          <w:tcPr>
            <w:tcW w:w="880" w:type="dxa"/>
            <w:vMerge w:val="restart"/>
            <w:tcBorders>
              <w:top w:val="nil"/>
              <w:left w:val="single" w:sz="4" w:space="0" w:color="363639"/>
              <w:bottom w:val="single" w:sz="4" w:space="0" w:color="000000"/>
              <w:right w:val="single" w:sz="4" w:space="0" w:color="363639"/>
            </w:tcBorders>
            <w:shd w:val="clear" w:color="auto" w:fill="auto"/>
            <w:noWrap/>
            <w:vAlign w:val="center"/>
            <w:hideMark/>
          </w:tcPr>
          <w:p w14:paraId="61D08CF0" w14:textId="033AFE91" w:rsidR="00931F52" w:rsidRPr="00DD33F3" w:rsidRDefault="00931F52" w:rsidP="00931F52">
            <w:pPr>
              <w:jc w:val="right"/>
              <w:rPr>
                <w:rFonts w:ascii="Arial" w:hAnsi="Arial" w:cs="Arial"/>
                <w:sz w:val="16"/>
                <w:szCs w:val="18"/>
              </w:rPr>
            </w:pPr>
            <w:r w:rsidRPr="00701F32">
              <w:rPr>
                <w:rFonts w:ascii="Arial" w:hAnsi="Arial" w:cs="Arial"/>
                <w:sz w:val="16"/>
                <w:szCs w:val="18"/>
              </w:rPr>
              <w:t>181.334</w:t>
            </w:r>
          </w:p>
        </w:tc>
        <w:tc>
          <w:tcPr>
            <w:tcW w:w="880" w:type="dxa"/>
            <w:vMerge w:val="restart"/>
            <w:tcBorders>
              <w:top w:val="nil"/>
              <w:left w:val="single" w:sz="4" w:space="0" w:color="363639"/>
              <w:bottom w:val="single" w:sz="4" w:space="0" w:color="000000"/>
              <w:right w:val="single" w:sz="4" w:space="0" w:color="363639"/>
            </w:tcBorders>
            <w:shd w:val="clear" w:color="auto" w:fill="auto"/>
            <w:noWrap/>
            <w:vAlign w:val="center"/>
            <w:hideMark/>
          </w:tcPr>
          <w:p w14:paraId="18BBC9A7" w14:textId="2E04B3B8" w:rsidR="00931F52" w:rsidRPr="00DD33F3" w:rsidRDefault="00931F52" w:rsidP="00931F52">
            <w:pPr>
              <w:jc w:val="right"/>
              <w:rPr>
                <w:rFonts w:ascii="Arial" w:hAnsi="Arial" w:cs="Arial"/>
                <w:sz w:val="16"/>
                <w:szCs w:val="18"/>
              </w:rPr>
            </w:pPr>
            <w:r>
              <w:rPr>
                <w:rFonts w:ascii="Arial" w:hAnsi="Arial" w:cs="Arial"/>
                <w:sz w:val="16"/>
                <w:szCs w:val="18"/>
              </w:rPr>
              <w:t>575.402</w:t>
            </w:r>
          </w:p>
        </w:tc>
        <w:tc>
          <w:tcPr>
            <w:tcW w:w="854" w:type="dxa"/>
            <w:vMerge w:val="restart"/>
            <w:tcBorders>
              <w:top w:val="nil"/>
              <w:left w:val="single" w:sz="4" w:space="0" w:color="363639"/>
              <w:bottom w:val="single" w:sz="4" w:space="0" w:color="000000"/>
              <w:right w:val="single" w:sz="4" w:space="0" w:color="363639"/>
            </w:tcBorders>
            <w:shd w:val="clear" w:color="auto" w:fill="auto"/>
            <w:noWrap/>
            <w:vAlign w:val="center"/>
            <w:hideMark/>
          </w:tcPr>
          <w:p w14:paraId="7733C5CF" w14:textId="1F119DA5" w:rsidR="00931F52" w:rsidRPr="00DD33F3" w:rsidRDefault="00931F52" w:rsidP="00931F52">
            <w:pPr>
              <w:jc w:val="right"/>
              <w:rPr>
                <w:rFonts w:ascii="Arial" w:hAnsi="Arial" w:cs="Arial"/>
                <w:sz w:val="16"/>
                <w:szCs w:val="18"/>
              </w:rPr>
            </w:pPr>
            <w:r>
              <w:rPr>
                <w:rFonts w:ascii="Arial" w:hAnsi="Arial" w:cs="Arial"/>
                <w:sz w:val="16"/>
                <w:szCs w:val="18"/>
              </w:rPr>
              <w:t>756.736</w:t>
            </w:r>
          </w:p>
        </w:tc>
        <w:tc>
          <w:tcPr>
            <w:tcW w:w="1134" w:type="dxa"/>
            <w:vMerge w:val="restart"/>
            <w:tcBorders>
              <w:top w:val="nil"/>
              <w:left w:val="single" w:sz="4" w:space="0" w:color="363639"/>
              <w:right w:val="single" w:sz="4" w:space="0" w:color="363639"/>
            </w:tcBorders>
            <w:vAlign w:val="center"/>
          </w:tcPr>
          <w:p w14:paraId="1838949B" w14:textId="12599DAD" w:rsidR="00931F52" w:rsidRPr="00DD33F3" w:rsidRDefault="00931F52" w:rsidP="00931F52">
            <w:pPr>
              <w:jc w:val="right"/>
              <w:rPr>
                <w:rFonts w:ascii="Arial" w:hAnsi="Arial" w:cs="Arial"/>
                <w:sz w:val="16"/>
                <w:szCs w:val="18"/>
              </w:rPr>
            </w:pPr>
            <w:r w:rsidRPr="00701F32">
              <w:rPr>
                <w:rFonts w:ascii="Arial" w:hAnsi="Arial" w:cs="Arial"/>
                <w:sz w:val="16"/>
                <w:szCs w:val="18"/>
              </w:rPr>
              <w:t>(</w:t>
            </w:r>
            <w:r>
              <w:rPr>
                <w:rFonts w:ascii="Arial" w:hAnsi="Arial" w:cs="Arial"/>
                <w:sz w:val="16"/>
                <w:szCs w:val="18"/>
              </w:rPr>
              <w:t>6.398</w:t>
            </w:r>
            <w:r w:rsidRPr="00701F32">
              <w:rPr>
                <w:rFonts w:ascii="Arial" w:hAnsi="Arial" w:cs="Arial"/>
                <w:sz w:val="16"/>
                <w:szCs w:val="18"/>
              </w:rPr>
              <w:t>)</w:t>
            </w:r>
          </w:p>
        </w:tc>
        <w:tc>
          <w:tcPr>
            <w:tcW w:w="1030" w:type="dxa"/>
            <w:vMerge w:val="restart"/>
            <w:tcBorders>
              <w:top w:val="nil"/>
              <w:left w:val="single" w:sz="4" w:space="0" w:color="363639"/>
              <w:bottom w:val="single" w:sz="4" w:space="0" w:color="000000"/>
              <w:right w:val="single" w:sz="4" w:space="0" w:color="363639"/>
            </w:tcBorders>
            <w:shd w:val="clear" w:color="auto" w:fill="auto"/>
            <w:noWrap/>
            <w:vAlign w:val="center"/>
            <w:hideMark/>
          </w:tcPr>
          <w:p w14:paraId="4DA9C245" w14:textId="677315E8" w:rsidR="00931F52" w:rsidRPr="00DD33F3" w:rsidRDefault="00931F52" w:rsidP="00931F52">
            <w:pPr>
              <w:jc w:val="right"/>
              <w:rPr>
                <w:rFonts w:ascii="Arial" w:hAnsi="Arial" w:cs="Arial"/>
                <w:sz w:val="16"/>
                <w:szCs w:val="18"/>
              </w:rPr>
            </w:pPr>
            <w:r w:rsidRPr="00701F32">
              <w:rPr>
                <w:rFonts w:ascii="Arial" w:hAnsi="Arial" w:cs="Arial"/>
                <w:sz w:val="16"/>
                <w:szCs w:val="18"/>
              </w:rPr>
              <w:t>3</w:t>
            </w:r>
            <w:r>
              <w:rPr>
                <w:rFonts w:ascii="Arial" w:hAnsi="Arial" w:cs="Arial"/>
                <w:sz w:val="16"/>
                <w:szCs w:val="18"/>
              </w:rPr>
              <w:t>37.164</w:t>
            </w:r>
          </w:p>
        </w:tc>
      </w:tr>
      <w:tr w:rsidR="00931F52" w:rsidRPr="00DD33F3" w14:paraId="384BE776" w14:textId="77777777" w:rsidTr="006E1AF7">
        <w:trPr>
          <w:trHeight w:val="176"/>
        </w:trPr>
        <w:tc>
          <w:tcPr>
            <w:tcW w:w="943" w:type="dxa"/>
            <w:vMerge/>
            <w:tcBorders>
              <w:top w:val="nil"/>
              <w:left w:val="single" w:sz="4" w:space="0" w:color="363639"/>
              <w:bottom w:val="single" w:sz="4" w:space="0" w:color="363639"/>
              <w:right w:val="single" w:sz="4" w:space="0" w:color="363639"/>
            </w:tcBorders>
            <w:vAlign w:val="center"/>
            <w:hideMark/>
          </w:tcPr>
          <w:p w14:paraId="6ECC88A2" w14:textId="77777777" w:rsidR="00931F52" w:rsidRPr="00DD33F3" w:rsidRDefault="00931F52" w:rsidP="00931F52">
            <w:pPr>
              <w:rPr>
                <w:rFonts w:ascii="Arial" w:hAnsi="Arial" w:cs="Arial"/>
                <w:sz w:val="16"/>
                <w:szCs w:val="18"/>
              </w:rPr>
            </w:pPr>
          </w:p>
        </w:tc>
        <w:tc>
          <w:tcPr>
            <w:tcW w:w="1679" w:type="dxa"/>
            <w:tcBorders>
              <w:top w:val="nil"/>
              <w:left w:val="nil"/>
              <w:bottom w:val="nil"/>
              <w:right w:val="single" w:sz="4" w:space="0" w:color="363639"/>
            </w:tcBorders>
            <w:shd w:val="clear" w:color="auto" w:fill="auto"/>
            <w:hideMark/>
          </w:tcPr>
          <w:p w14:paraId="37A2A923" w14:textId="6D3BC9F1" w:rsidR="00931F52" w:rsidRPr="00DD33F3" w:rsidRDefault="00931F52" w:rsidP="00931F52">
            <w:pPr>
              <w:jc w:val="center"/>
              <w:rPr>
                <w:rFonts w:ascii="Arial" w:hAnsi="Arial" w:cs="Arial"/>
                <w:sz w:val="16"/>
                <w:szCs w:val="16"/>
              </w:rPr>
            </w:pPr>
            <w:r w:rsidRPr="00701F32">
              <w:rPr>
                <w:rFonts w:ascii="Arial" w:hAnsi="Arial" w:cs="Arial"/>
                <w:sz w:val="16"/>
                <w:szCs w:val="18"/>
              </w:rPr>
              <w:t>CM Ingeniería en Valuaciones</w:t>
            </w:r>
          </w:p>
        </w:tc>
        <w:tc>
          <w:tcPr>
            <w:tcW w:w="1213" w:type="dxa"/>
            <w:vMerge/>
            <w:tcBorders>
              <w:top w:val="nil"/>
              <w:left w:val="single" w:sz="4" w:space="0" w:color="363639"/>
              <w:bottom w:val="single" w:sz="4" w:space="0" w:color="000000"/>
              <w:right w:val="single" w:sz="4" w:space="0" w:color="363639"/>
            </w:tcBorders>
            <w:vAlign w:val="center"/>
            <w:hideMark/>
          </w:tcPr>
          <w:p w14:paraId="763F67F9" w14:textId="77777777" w:rsidR="00931F52" w:rsidRPr="00DD33F3"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hideMark/>
          </w:tcPr>
          <w:p w14:paraId="7984A780" w14:textId="77777777" w:rsidR="00931F52" w:rsidRPr="00DD33F3"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hideMark/>
          </w:tcPr>
          <w:p w14:paraId="711AD701" w14:textId="77777777" w:rsidR="00931F52" w:rsidRPr="00DD33F3" w:rsidRDefault="00931F52" w:rsidP="00931F52">
            <w:pPr>
              <w:rPr>
                <w:rFonts w:ascii="Arial" w:hAnsi="Arial" w:cs="Arial"/>
                <w:sz w:val="16"/>
                <w:szCs w:val="18"/>
              </w:rPr>
            </w:pPr>
          </w:p>
        </w:tc>
        <w:tc>
          <w:tcPr>
            <w:tcW w:w="854" w:type="dxa"/>
            <w:vMerge/>
            <w:tcBorders>
              <w:top w:val="nil"/>
              <w:left w:val="single" w:sz="4" w:space="0" w:color="363639"/>
              <w:bottom w:val="single" w:sz="4" w:space="0" w:color="000000"/>
              <w:right w:val="single" w:sz="4" w:space="0" w:color="363639"/>
            </w:tcBorders>
            <w:vAlign w:val="center"/>
            <w:hideMark/>
          </w:tcPr>
          <w:p w14:paraId="2DB724CB" w14:textId="77777777" w:rsidR="00931F52" w:rsidRPr="00DD33F3" w:rsidRDefault="00931F52" w:rsidP="00931F52">
            <w:pPr>
              <w:rPr>
                <w:rFonts w:ascii="Arial" w:hAnsi="Arial" w:cs="Arial"/>
                <w:sz w:val="16"/>
                <w:szCs w:val="18"/>
              </w:rPr>
            </w:pPr>
          </w:p>
        </w:tc>
        <w:tc>
          <w:tcPr>
            <w:tcW w:w="1134" w:type="dxa"/>
            <w:vMerge/>
            <w:tcBorders>
              <w:left w:val="single" w:sz="4" w:space="0" w:color="363639"/>
              <w:right w:val="single" w:sz="4" w:space="0" w:color="363639"/>
            </w:tcBorders>
          </w:tcPr>
          <w:p w14:paraId="660B5B15" w14:textId="77777777" w:rsidR="00931F52" w:rsidRPr="00DD33F3" w:rsidRDefault="00931F52" w:rsidP="00931F52">
            <w:pPr>
              <w:rPr>
                <w:rFonts w:ascii="Arial" w:hAnsi="Arial" w:cs="Arial"/>
                <w:sz w:val="16"/>
                <w:szCs w:val="18"/>
              </w:rPr>
            </w:pPr>
          </w:p>
        </w:tc>
        <w:tc>
          <w:tcPr>
            <w:tcW w:w="1030" w:type="dxa"/>
            <w:vMerge/>
            <w:tcBorders>
              <w:top w:val="nil"/>
              <w:left w:val="single" w:sz="4" w:space="0" w:color="363639"/>
              <w:bottom w:val="single" w:sz="4" w:space="0" w:color="000000"/>
              <w:right w:val="single" w:sz="4" w:space="0" w:color="363639"/>
            </w:tcBorders>
            <w:vAlign w:val="center"/>
            <w:hideMark/>
          </w:tcPr>
          <w:p w14:paraId="5CB21E93" w14:textId="77777777" w:rsidR="00931F52" w:rsidRPr="00DD33F3" w:rsidRDefault="00931F52" w:rsidP="00931F52">
            <w:pPr>
              <w:rPr>
                <w:rFonts w:ascii="Arial" w:hAnsi="Arial" w:cs="Arial"/>
                <w:sz w:val="16"/>
                <w:szCs w:val="18"/>
              </w:rPr>
            </w:pPr>
          </w:p>
        </w:tc>
      </w:tr>
      <w:tr w:rsidR="00931F52" w:rsidRPr="00DD33F3" w14:paraId="30C6E274" w14:textId="77777777" w:rsidTr="006E1AF7">
        <w:trPr>
          <w:trHeight w:val="176"/>
        </w:trPr>
        <w:tc>
          <w:tcPr>
            <w:tcW w:w="943" w:type="dxa"/>
            <w:vMerge/>
            <w:tcBorders>
              <w:top w:val="nil"/>
              <w:left w:val="single" w:sz="4" w:space="0" w:color="363639"/>
              <w:bottom w:val="single" w:sz="4" w:space="0" w:color="363639"/>
              <w:right w:val="single" w:sz="4" w:space="0" w:color="363639"/>
            </w:tcBorders>
            <w:vAlign w:val="center"/>
            <w:hideMark/>
          </w:tcPr>
          <w:p w14:paraId="52FB6F96" w14:textId="77777777" w:rsidR="00931F52" w:rsidRPr="00DD33F3" w:rsidRDefault="00931F52" w:rsidP="00931F52">
            <w:pPr>
              <w:rPr>
                <w:rFonts w:ascii="Arial" w:hAnsi="Arial" w:cs="Arial"/>
                <w:sz w:val="16"/>
                <w:szCs w:val="18"/>
              </w:rPr>
            </w:pPr>
          </w:p>
        </w:tc>
        <w:tc>
          <w:tcPr>
            <w:tcW w:w="1679" w:type="dxa"/>
            <w:tcBorders>
              <w:top w:val="nil"/>
              <w:left w:val="nil"/>
              <w:bottom w:val="nil"/>
              <w:right w:val="single" w:sz="4" w:space="0" w:color="363639"/>
            </w:tcBorders>
            <w:shd w:val="clear" w:color="auto" w:fill="auto"/>
            <w:hideMark/>
          </w:tcPr>
          <w:p w14:paraId="12F49F8B" w14:textId="235D669B" w:rsidR="00931F52" w:rsidRPr="00DD33F3" w:rsidRDefault="00931F52" w:rsidP="00931F52">
            <w:pPr>
              <w:jc w:val="center"/>
              <w:rPr>
                <w:rFonts w:ascii="Arial" w:hAnsi="Arial" w:cs="Arial"/>
                <w:sz w:val="16"/>
                <w:szCs w:val="16"/>
              </w:rPr>
            </w:pPr>
            <w:r w:rsidRPr="00701F32">
              <w:rPr>
                <w:rFonts w:ascii="Arial" w:hAnsi="Arial" w:cs="Arial"/>
                <w:sz w:val="16"/>
                <w:szCs w:val="18"/>
              </w:rPr>
              <w:t>Serinco</w:t>
            </w:r>
          </w:p>
        </w:tc>
        <w:tc>
          <w:tcPr>
            <w:tcW w:w="1213" w:type="dxa"/>
            <w:vMerge/>
            <w:tcBorders>
              <w:top w:val="nil"/>
              <w:left w:val="single" w:sz="4" w:space="0" w:color="363639"/>
              <w:bottom w:val="single" w:sz="4" w:space="0" w:color="000000"/>
              <w:right w:val="single" w:sz="4" w:space="0" w:color="363639"/>
            </w:tcBorders>
            <w:vAlign w:val="center"/>
            <w:hideMark/>
          </w:tcPr>
          <w:p w14:paraId="4D994700" w14:textId="77777777" w:rsidR="00931F52" w:rsidRPr="00DD33F3"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hideMark/>
          </w:tcPr>
          <w:p w14:paraId="0C45AAFD" w14:textId="77777777" w:rsidR="00931F52" w:rsidRPr="00DD33F3"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hideMark/>
          </w:tcPr>
          <w:p w14:paraId="67BD532C" w14:textId="77777777" w:rsidR="00931F52" w:rsidRPr="00DD33F3" w:rsidRDefault="00931F52" w:rsidP="00931F52">
            <w:pPr>
              <w:rPr>
                <w:rFonts w:ascii="Arial" w:hAnsi="Arial" w:cs="Arial"/>
                <w:sz w:val="16"/>
                <w:szCs w:val="18"/>
              </w:rPr>
            </w:pPr>
          </w:p>
        </w:tc>
        <w:tc>
          <w:tcPr>
            <w:tcW w:w="854" w:type="dxa"/>
            <w:vMerge/>
            <w:tcBorders>
              <w:top w:val="nil"/>
              <w:left w:val="single" w:sz="4" w:space="0" w:color="363639"/>
              <w:bottom w:val="single" w:sz="4" w:space="0" w:color="000000"/>
              <w:right w:val="single" w:sz="4" w:space="0" w:color="363639"/>
            </w:tcBorders>
            <w:vAlign w:val="center"/>
            <w:hideMark/>
          </w:tcPr>
          <w:p w14:paraId="652C9FB7" w14:textId="77777777" w:rsidR="00931F52" w:rsidRPr="00DD33F3" w:rsidRDefault="00931F52" w:rsidP="00931F52">
            <w:pPr>
              <w:rPr>
                <w:rFonts w:ascii="Arial" w:hAnsi="Arial" w:cs="Arial"/>
                <w:sz w:val="16"/>
                <w:szCs w:val="18"/>
              </w:rPr>
            </w:pPr>
          </w:p>
        </w:tc>
        <w:tc>
          <w:tcPr>
            <w:tcW w:w="1134" w:type="dxa"/>
            <w:vMerge/>
            <w:tcBorders>
              <w:left w:val="single" w:sz="4" w:space="0" w:color="363639"/>
              <w:right w:val="single" w:sz="4" w:space="0" w:color="363639"/>
            </w:tcBorders>
          </w:tcPr>
          <w:p w14:paraId="7BF81C6C" w14:textId="77777777" w:rsidR="00931F52" w:rsidRPr="00DD33F3" w:rsidRDefault="00931F52" w:rsidP="00931F52">
            <w:pPr>
              <w:rPr>
                <w:rFonts w:ascii="Arial" w:hAnsi="Arial" w:cs="Arial"/>
                <w:sz w:val="16"/>
                <w:szCs w:val="18"/>
              </w:rPr>
            </w:pPr>
          </w:p>
        </w:tc>
        <w:tc>
          <w:tcPr>
            <w:tcW w:w="1030" w:type="dxa"/>
            <w:vMerge/>
            <w:tcBorders>
              <w:top w:val="nil"/>
              <w:left w:val="single" w:sz="4" w:space="0" w:color="363639"/>
              <w:bottom w:val="single" w:sz="4" w:space="0" w:color="000000"/>
              <w:right w:val="single" w:sz="4" w:space="0" w:color="363639"/>
            </w:tcBorders>
            <w:vAlign w:val="center"/>
            <w:hideMark/>
          </w:tcPr>
          <w:p w14:paraId="78675F7B" w14:textId="77777777" w:rsidR="00931F52" w:rsidRPr="00DD33F3" w:rsidRDefault="00931F52" w:rsidP="00931F52">
            <w:pPr>
              <w:rPr>
                <w:rFonts w:ascii="Arial" w:hAnsi="Arial" w:cs="Arial"/>
                <w:sz w:val="16"/>
                <w:szCs w:val="18"/>
              </w:rPr>
            </w:pPr>
          </w:p>
        </w:tc>
      </w:tr>
      <w:tr w:rsidR="00931F52" w:rsidRPr="00DD33F3" w14:paraId="153A39B1" w14:textId="77777777" w:rsidTr="006E1AF7">
        <w:trPr>
          <w:trHeight w:val="176"/>
        </w:trPr>
        <w:tc>
          <w:tcPr>
            <w:tcW w:w="943" w:type="dxa"/>
            <w:vMerge/>
            <w:tcBorders>
              <w:top w:val="nil"/>
              <w:left w:val="single" w:sz="4" w:space="0" w:color="363639"/>
              <w:bottom w:val="single" w:sz="4" w:space="0" w:color="363639"/>
              <w:right w:val="single" w:sz="4" w:space="0" w:color="363639"/>
            </w:tcBorders>
            <w:vAlign w:val="center"/>
            <w:hideMark/>
          </w:tcPr>
          <w:p w14:paraId="58EA3DDA" w14:textId="77777777" w:rsidR="00931F52" w:rsidRPr="00DD33F3" w:rsidRDefault="00931F52" w:rsidP="00931F52">
            <w:pPr>
              <w:rPr>
                <w:rFonts w:ascii="Arial" w:hAnsi="Arial" w:cs="Arial"/>
                <w:sz w:val="16"/>
                <w:szCs w:val="18"/>
              </w:rPr>
            </w:pPr>
          </w:p>
        </w:tc>
        <w:tc>
          <w:tcPr>
            <w:tcW w:w="1679" w:type="dxa"/>
            <w:tcBorders>
              <w:top w:val="nil"/>
              <w:left w:val="nil"/>
              <w:bottom w:val="single" w:sz="4" w:space="0" w:color="363639"/>
              <w:right w:val="single" w:sz="4" w:space="0" w:color="363639"/>
            </w:tcBorders>
            <w:shd w:val="clear" w:color="auto" w:fill="auto"/>
            <w:hideMark/>
          </w:tcPr>
          <w:p w14:paraId="2D53B980" w14:textId="216D6426" w:rsidR="00931F52" w:rsidRPr="00DD33F3" w:rsidRDefault="00931F52" w:rsidP="00931F52">
            <w:pPr>
              <w:jc w:val="center"/>
              <w:rPr>
                <w:rFonts w:ascii="Arial" w:hAnsi="Arial" w:cs="Arial"/>
                <w:sz w:val="16"/>
                <w:szCs w:val="16"/>
              </w:rPr>
            </w:pPr>
            <w:r w:rsidRPr="00701F32">
              <w:rPr>
                <w:rFonts w:ascii="Arial" w:hAnsi="Arial" w:cs="Arial"/>
                <w:sz w:val="16"/>
                <w:szCs w:val="18"/>
              </w:rPr>
              <w:t>Reporte Inmobiliario</w:t>
            </w:r>
          </w:p>
        </w:tc>
        <w:tc>
          <w:tcPr>
            <w:tcW w:w="1213" w:type="dxa"/>
            <w:vMerge/>
            <w:tcBorders>
              <w:top w:val="nil"/>
              <w:left w:val="single" w:sz="4" w:space="0" w:color="363639"/>
              <w:bottom w:val="single" w:sz="4" w:space="0" w:color="000000"/>
              <w:right w:val="single" w:sz="4" w:space="0" w:color="363639"/>
            </w:tcBorders>
            <w:vAlign w:val="center"/>
            <w:hideMark/>
          </w:tcPr>
          <w:p w14:paraId="00002D29" w14:textId="77777777" w:rsidR="00931F52" w:rsidRPr="00DD33F3"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hideMark/>
          </w:tcPr>
          <w:p w14:paraId="21D12037" w14:textId="77777777" w:rsidR="00931F52" w:rsidRPr="00DD33F3" w:rsidRDefault="00931F52" w:rsidP="00931F52">
            <w:pPr>
              <w:rPr>
                <w:rFonts w:ascii="Arial" w:hAnsi="Arial" w:cs="Arial"/>
                <w:sz w:val="16"/>
                <w:szCs w:val="18"/>
              </w:rPr>
            </w:pPr>
          </w:p>
        </w:tc>
        <w:tc>
          <w:tcPr>
            <w:tcW w:w="880" w:type="dxa"/>
            <w:vMerge/>
            <w:tcBorders>
              <w:top w:val="nil"/>
              <w:left w:val="single" w:sz="4" w:space="0" w:color="363639"/>
              <w:bottom w:val="single" w:sz="4" w:space="0" w:color="000000"/>
              <w:right w:val="single" w:sz="4" w:space="0" w:color="363639"/>
            </w:tcBorders>
            <w:vAlign w:val="center"/>
            <w:hideMark/>
          </w:tcPr>
          <w:p w14:paraId="6ECD98CC" w14:textId="77777777" w:rsidR="00931F52" w:rsidRPr="00DD33F3" w:rsidRDefault="00931F52" w:rsidP="00931F52">
            <w:pPr>
              <w:rPr>
                <w:rFonts w:ascii="Arial" w:hAnsi="Arial" w:cs="Arial"/>
                <w:sz w:val="16"/>
                <w:szCs w:val="18"/>
              </w:rPr>
            </w:pPr>
          </w:p>
        </w:tc>
        <w:tc>
          <w:tcPr>
            <w:tcW w:w="854" w:type="dxa"/>
            <w:vMerge/>
            <w:tcBorders>
              <w:top w:val="nil"/>
              <w:left w:val="single" w:sz="4" w:space="0" w:color="363639"/>
              <w:bottom w:val="single" w:sz="4" w:space="0" w:color="000000"/>
              <w:right w:val="single" w:sz="4" w:space="0" w:color="363639"/>
            </w:tcBorders>
            <w:vAlign w:val="center"/>
            <w:hideMark/>
          </w:tcPr>
          <w:p w14:paraId="606BC849" w14:textId="77777777" w:rsidR="00931F52" w:rsidRPr="00DD33F3" w:rsidRDefault="00931F52" w:rsidP="00931F52">
            <w:pPr>
              <w:rPr>
                <w:rFonts w:ascii="Arial" w:hAnsi="Arial" w:cs="Arial"/>
                <w:sz w:val="16"/>
                <w:szCs w:val="18"/>
              </w:rPr>
            </w:pPr>
          </w:p>
        </w:tc>
        <w:tc>
          <w:tcPr>
            <w:tcW w:w="1134" w:type="dxa"/>
            <w:vMerge/>
            <w:tcBorders>
              <w:left w:val="single" w:sz="4" w:space="0" w:color="363639"/>
              <w:bottom w:val="single" w:sz="4" w:space="0" w:color="auto"/>
              <w:right w:val="single" w:sz="4" w:space="0" w:color="363639"/>
            </w:tcBorders>
          </w:tcPr>
          <w:p w14:paraId="21EF943A" w14:textId="77777777" w:rsidR="00931F52" w:rsidRPr="00DD33F3" w:rsidRDefault="00931F52" w:rsidP="00931F52">
            <w:pPr>
              <w:rPr>
                <w:rFonts w:ascii="Arial" w:hAnsi="Arial" w:cs="Arial"/>
                <w:sz w:val="16"/>
                <w:szCs w:val="18"/>
              </w:rPr>
            </w:pPr>
          </w:p>
        </w:tc>
        <w:tc>
          <w:tcPr>
            <w:tcW w:w="1030" w:type="dxa"/>
            <w:vMerge/>
            <w:tcBorders>
              <w:top w:val="nil"/>
              <w:left w:val="single" w:sz="4" w:space="0" w:color="363639"/>
              <w:bottom w:val="single" w:sz="4" w:space="0" w:color="000000"/>
              <w:right w:val="single" w:sz="4" w:space="0" w:color="363639"/>
            </w:tcBorders>
            <w:vAlign w:val="center"/>
            <w:hideMark/>
          </w:tcPr>
          <w:p w14:paraId="7F164AA3" w14:textId="77777777" w:rsidR="00931F52" w:rsidRPr="00DD33F3" w:rsidRDefault="00931F52" w:rsidP="00931F52">
            <w:pPr>
              <w:rPr>
                <w:rFonts w:ascii="Arial" w:hAnsi="Arial" w:cs="Arial"/>
                <w:sz w:val="16"/>
                <w:szCs w:val="18"/>
              </w:rPr>
            </w:pPr>
          </w:p>
        </w:tc>
      </w:tr>
      <w:tr w:rsidR="00931F52" w:rsidRPr="00DD33F3" w14:paraId="1C8DB5C8" w14:textId="77777777" w:rsidTr="006E1AF7">
        <w:trPr>
          <w:trHeight w:val="176"/>
        </w:trPr>
        <w:tc>
          <w:tcPr>
            <w:tcW w:w="943" w:type="dxa"/>
            <w:tcBorders>
              <w:top w:val="nil"/>
              <w:left w:val="single" w:sz="4" w:space="0" w:color="363639"/>
              <w:bottom w:val="single" w:sz="4" w:space="0" w:color="363639"/>
              <w:right w:val="single" w:sz="4" w:space="0" w:color="363639"/>
            </w:tcBorders>
            <w:shd w:val="clear" w:color="auto" w:fill="auto"/>
            <w:hideMark/>
          </w:tcPr>
          <w:p w14:paraId="75C3F31F" w14:textId="4A19E9B7" w:rsidR="00931F52" w:rsidRPr="00DD33F3" w:rsidRDefault="00931F52" w:rsidP="00931F52">
            <w:pPr>
              <w:rPr>
                <w:rFonts w:ascii="Arial" w:hAnsi="Arial" w:cs="Arial"/>
                <w:b/>
                <w:bCs/>
                <w:sz w:val="16"/>
                <w:szCs w:val="18"/>
              </w:rPr>
            </w:pPr>
            <w:r w:rsidRPr="00701F32">
              <w:rPr>
                <w:rFonts w:ascii="Arial" w:hAnsi="Arial" w:cs="Arial"/>
                <w:b/>
                <w:bCs/>
                <w:sz w:val="16"/>
                <w:szCs w:val="18"/>
              </w:rPr>
              <w:t>TOTALES</w:t>
            </w:r>
          </w:p>
        </w:tc>
        <w:tc>
          <w:tcPr>
            <w:tcW w:w="1679" w:type="dxa"/>
            <w:tcBorders>
              <w:top w:val="nil"/>
              <w:left w:val="nil"/>
              <w:bottom w:val="single" w:sz="4" w:space="0" w:color="363639"/>
              <w:right w:val="single" w:sz="4" w:space="0" w:color="363639"/>
            </w:tcBorders>
            <w:shd w:val="clear" w:color="auto" w:fill="auto"/>
            <w:hideMark/>
          </w:tcPr>
          <w:p w14:paraId="7952D276" w14:textId="19F43508" w:rsidR="00931F52" w:rsidRPr="00EC349E" w:rsidRDefault="00931F52" w:rsidP="00931F52">
            <w:pPr>
              <w:jc w:val="both"/>
              <w:rPr>
                <w:rFonts w:ascii="Arial" w:hAnsi="Arial" w:cs="Arial"/>
                <w:sz w:val="16"/>
                <w:szCs w:val="18"/>
              </w:rPr>
            </w:pPr>
            <w:r w:rsidRPr="00701F32">
              <w:rPr>
                <w:rFonts w:ascii="Calibri" w:hAnsi="Calibri"/>
                <w:b/>
                <w:bCs/>
                <w:sz w:val="16"/>
                <w:szCs w:val="18"/>
              </w:rPr>
              <w:t> </w:t>
            </w:r>
          </w:p>
        </w:tc>
        <w:tc>
          <w:tcPr>
            <w:tcW w:w="1213" w:type="dxa"/>
            <w:tcBorders>
              <w:top w:val="single" w:sz="4" w:space="0" w:color="363639"/>
              <w:left w:val="nil"/>
              <w:bottom w:val="single" w:sz="4" w:space="0" w:color="363639"/>
              <w:right w:val="single" w:sz="4" w:space="0" w:color="363639"/>
            </w:tcBorders>
            <w:shd w:val="clear" w:color="auto" w:fill="auto"/>
            <w:hideMark/>
          </w:tcPr>
          <w:p w14:paraId="7960EFC6" w14:textId="38E80CB8" w:rsidR="00931F52" w:rsidRPr="00EC349E" w:rsidRDefault="00931F52" w:rsidP="00931F52">
            <w:pPr>
              <w:jc w:val="both"/>
              <w:rPr>
                <w:rFonts w:ascii="Arial" w:hAnsi="Arial" w:cs="Arial"/>
                <w:sz w:val="16"/>
                <w:szCs w:val="18"/>
              </w:rPr>
            </w:pPr>
            <w:r w:rsidRPr="00701F32">
              <w:rPr>
                <w:rFonts w:ascii="Calibri" w:hAnsi="Calibri"/>
                <w:b/>
                <w:bCs/>
                <w:sz w:val="16"/>
                <w:szCs w:val="18"/>
              </w:rPr>
              <w:t> </w:t>
            </w:r>
          </w:p>
        </w:tc>
        <w:tc>
          <w:tcPr>
            <w:tcW w:w="880" w:type="dxa"/>
            <w:tcBorders>
              <w:top w:val="nil"/>
              <w:left w:val="nil"/>
              <w:bottom w:val="single" w:sz="4" w:space="0" w:color="auto"/>
              <w:right w:val="single" w:sz="4" w:space="0" w:color="363639"/>
            </w:tcBorders>
            <w:shd w:val="clear" w:color="auto" w:fill="auto"/>
            <w:noWrap/>
            <w:vAlign w:val="bottom"/>
            <w:hideMark/>
          </w:tcPr>
          <w:p w14:paraId="16DB8953" w14:textId="6AA401FD" w:rsidR="00931F52" w:rsidRPr="00DD33F3" w:rsidRDefault="00931F52" w:rsidP="00931F52">
            <w:pPr>
              <w:jc w:val="right"/>
              <w:rPr>
                <w:rFonts w:ascii="Arial" w:hAnsi="Arial" w:cs="Arial"/>
                <w:b/>
                <w:sz w:val="16"/>
                <w:szCs w:val="18"/>
              </w:rPr>
            </w:pPr>
            <w:r w:rsidRPr="00701F32">
              <w:rPr>
                <w:rFonts w:ascii="Arial" w:hAnsi="Arial" w:cs="Arial"/>
                <w:b/>
                <w:bCs/>
                <w:sz w:val="16"/>
                <w:szCs w:val="18"/>
              </w:rPr>
              <w:t>181.334</w:t>
            </w:r>
          </w:p>
        </w:tc>
        <w:tc>
          <w:tcPr>
            <w:tcW w:w="880" w:type="dxa"/>
            <w:tcBorders>
              <w:top w:val="nil"/>
              <w:left w:val="nil"/>
              <w:bottom w:val="single" w:sz="4" w:space="0" w:color="auto"/>
              <w:right w:val="single" w:sz="4" w:space="0" w:color="363639"/>
            </w:tcBorders>
            <w:shd w:val="clear" w:color="auto" w:fill="auto"/>
            <w:noWrap/>
            <w:vAlign w:val="bottom"/>
            <w:hideMark/>
          </w:tcPr>
          <w:p w14:paraId="7F2FFB82" w14:textId="156727E8" w:rsidR="00931F52" w:rsidRPr="00DD33F3" w:rsidRDefault="00931F52" w:rsidP="00931F52">
            <w:pPr>
              <w:jc w:val="right"/>
              <w:rPr>
                <w:rFonts w:ascii="Arial" w:hAnsi="Arial" w:cs="Arial"/>
                <w:b/>
                <w:sz w:val="16"/>
                <w:szCs w:val="18"/>
              </w:rPr>
            </w:pPr>
            <w:r>
              <w:rPr>
                <w:rFonts w:ascii="Arial" w:hAnsi="Arial" w:cs="Arial"/>
                <w:b/>
                <w:bCs/>
                <w:sz w:val="16"/>
                <w:szCs w:val="18"/>
              </w:rPr>
              <w:t>575.402</w:t>
            </w:r>
          </w:p>
        </w:tc>
        <w:tc>
          <w:tcPr>
            <w:tcW w:w="854" w:type="dxa"/>
            <w:tcBorders>
              <w:top w:val="nil"/>
              <w:left w:val="nil"/>
              <w:bottom w:val="single" w:sz="4" w:space="0" w:color="auto"/>
              <w:right w:val="single" w:sz="4" w:space="0" w:color="auto"/>
            </w:tcBorders>
            <w:shd w:val="clear" w:color="auto" w:fill="auto"/>
            <w:noWrap/>
            <w:vAlign w:val="bottom"/>
            <w:hideMark/>
          </w:tcPr>
          <w:p w14:paraId="6ED09991" w14:textId="166A77AF" w:rsidR="00931F52" w:rsidRPr="00DD33F3" w:rsidRDefault="00931F52" w:rsidP="00931F52">
            <w:pPr>
              <w:jc w:val="right"/>
              <w:rPr>
                <w:rFonts w:ascii="Arial" w:hAnsi="Arial" w:cs="Arial"/>
                <w:b/>
                <w:sz w:val="16"/>
                <w:szCs w:val="18"/>
              </w:rPr>
            </w:pPr>
            <w:r>
              <w:rPr>
                <w:rFonts w:ascii="Arial" w:hAnsi="Arial" w:cs="Arial"/>
                <w:b/>
                <w:bCs/>
                <w:sz w:val="16"/>
                <w:szCs w:val="18"/>
              </w:rPr>
              <w:t>756.736</w:t>
            </w:r>
          </w:p>
        </w:tc>
        <w:tc>
          <w:tcPr>
            <w:tcW w:w="1134" w:type="dxa"/>
            <w:tcBorders>
              <w:top w:val="single" w:sz="4" w:space="0" w:color="auto"/>
              <w:left w:val="single" w:sz="4" w:space="0" w:color="auto"/>
              <w:bottom w:val="single" w:sz="4" w:space="0" w:color="auto"/>
              <w:right w:val="single" w:sz="4" w:space="0" w:color="auto"/>
            </w:tcBorders>
          </w:tcPr>
          <w:p w14:paraId="53A04CE1" w14:textId="3F5FA387" w:rsidR="00931F52" w:rsidRPr="00DD33F3" w:rsidRDefault="00931F52" w:rsidP="00931F52">
            <w:pPr>
              <w:jc w:val="right"/>
              <w:rPr>
                <w:rFonts w:ascii="Arial" w:hAnsi="Arial" w:cs="Arial"/>
                <w:b/>
                <w:sz w:val="16"/>
                <w:szCs w:val="18"/>
              </w:rPr>
            </w:pPr>
            <w:r w:rsidRPr="00701F32">
              <w:rPr>
                <w:rFonts w:ascii="Arial" w:hAnsi="Arial" w:cs="Arial"/>
                <w:b/>
                <w:bCs/>
                <w:sz w:val="16"/>
                <w:szCs w:val="18"/>
              </w:rPr>
              <w:t>(</w:t>
            </w:r>
            <w:r>
              <w:rPr>
                <w:rFonts w:ascii="Arial" w:hAnsi="Arial" w:cs="Arial"/>
                <w:b/>
                <w:bCs/>
                <w:sz w:val="16"/>
                <w:szCs w:val="18"/>
              </w:rPr>
              <w:t>6.398</w:t>
            </w:r>
            <w:r w:rsidRPr="00701F32">
              <w:rPr>
                <w:rFonts w:ascii="Arial" w:hAnsi="Arial" w:cs="Arial"/>
                <w:b/>
                <w:bCs/>
                <w:sz w:val="16"/>
                <w:szCs w:val="18"/>
              </w:rPr>
              <w:t>)</w:t>
            </w:r>
          </w:p>
        </w:tc>
        <w:tc>
          <w:tcPr>
            <w:tcW w:w="1030" w:type="dxa"/>
            <w:tcBorders>
              <w:top w:val="nil"/>
              <w:left w:val="single" w:sz="4" w:space="0" w:color="auto"/>
              <w:bottom w:val="single" w:sz="4" w:space="0" w:color="auto"/>
              <w:right w:val="single" w:sz="4" w:space="0" w:color="363639"/>
            </w:tcBorders>
            <w:shd w:val="clear" w:color="auto" w:fill="auto"/>
            <w:noWrap/>
            <w:vAlign w:val="bottom"/>
            <w:hideMark/>
          </w:tcPr>
          <w:p w14:paraId="47B241A8" w14:textId="59D82BED" w:rsidR="00931F52" w:rsidRPr="00DD33F3" w:rsidRDefault="00931F52" w:rsidP="00931F52">
            <w:pPr>
              <w:jc w:val="right"/>
              <w:rPr>
                <w:rFonts w:ascii="Arial" w:hAnsi="Arial" w:cs="Arial"/>
                <w:b/>
                <w:sz w:val="16"/>
                <w:szCs w:val="18"/>
              </w:rPr>
            </w:pPr>
            <w:r>
              <w:rPr>
                <w:rFonts w:ascii="Arial" w:hAnsi="Arial" w:cs="Arial"/>
                <w:b/>
                <w:bCs/>
                <w:sz w:val="16"/>
                <w:szCs w:val="18"/>
              </w:rPr>
              <w:t>337.164</w:t>
            </w:r>
          </w:p>
        </w:tc>
      </w:tr>
    </w:tbl>
    <w:p w14:paraId="038374C7" w14:textId="77777777" w:rsidR="00931F52" w:rsidRPr="00701F32" w:rsidRDefault="00931F52" w:rsidP="00931F52">
      <w:pPr>
        <w:spacing w:after="160"/>
        <w:jc w:val="both"/>
        <w:rPr>
          <w:rFonts w:ascii="Arial" w:eastAsia="Calibri" w:hAnsi="Arial" w:cs="Arial"/>
          <w:i/>
          <w:sz w:val="16"/>
        </w:rPr>
      </w:pPr>
    </w:p>
    <w:p w14:paraId="6523B5D5" w14:textId="2F03B55E"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 xml:space="preserve">El revalúo de los terrenos y edificios propiedad de la entidad arroja un </w:t>
      </w:r>
      <w:r w:rsidRPr="00F62AA5">
        <w:rPr>
          <w:rFonts w:ascii="Arial" w:eastAsia="Calibri" w:hAnsi="Arial" w:cs="Arial"/>
          <w:sz w:val="20"/>
        </w:rPr>
        <w:t>superávit de 57</w:t>
      </w:r>
      <w:r w:rsidR="00F62AA5" w:rsidRPr="00F62AA5">
        <w:rPr>
          <w:rFonts w:ascii="Arial" w:eastAsia="Calibri" w:hAnsi="Arial" w:cs="Arial"/>
          <w:sz w:val="20"/>
        </w:rPr>
        <w:t>4.495</w:t>
      </w:r>
      <w:r w:rsidRPr="00F62AA5">
        <w:rPr>
          <w:rFonts w:ascii="Arial" w:eastAsia="Calibri" w:hAnsi="Arial" w:cs="Arial"/>
          <w:sz w:val="20"/>
        </w:rPr>
        <w:t xml:space="preserve"> y </w:t>
      </w:r>
      <w:r w:rsidR="00F62AA5" w:rsidRPr="00F62AA5">
        <w:rPr>
          <w:rFonts w:ascii="Arial" w:eastAsia="Calibri" w:hAnsi="Arial" w:cs="Arial"/>
          <w:sz w:val="20"/>
        </w:rPr>
        <w:t>575.402</w:t>
      </w:r>
      <w:r w:rsidRPr="00F62AA5">
        <w:rPr>
          <w:rFonts w:ascii="Arial" w:eastAsia="Calibri" w:hAnsi="Arial" w:cs="Arial"/>
          <w:sz w:val="20"/>
        </w:rPr>
        <w:t xml:space="preserve"> al 31 de</w:t>
      </w:r>
      <w:r>
        <w:rPr>
          <w:rFonts w:ascii="Arial" w:eastAsia="Calibri" w:hAnsi="Arial" w:cs="Arial"/>
          <w:sz w:val="20"/>
        </w:rPr>
        <w:t xml:space="preserve"> diciembre de 2019 y 2018, respectivamente</w:t>
      </w:r>
      <w:r w:rsidRPr="00701F32">
        <w:rPr>
          <w:rFonts w:ascii="Arial" w:eastAsia="Calibri" w:hAnsi="Arial" w:cs="Arial"/>
          <w:sz w:val="20"/>
        </w:rPr>
        <w:t xml:space="preserve">, que sumado a su costo histórico y neto de depreciaciones del revalúo arroja un total </w:t>
      </w:r>
      <w:r w:rsidRPr="00CA6FAC">
        <w:rPr>
          <w:rFonts w:ascii="Arial" w:eastAsia="Calibri" w:hAnsi="Arial" w:cs="Arial"/>
          <w:sz w:val="20"/>
        </w:rPr>
        <w:t xml:space="preserve">de </w:t>
      </w:r>
      <w:r w:rsidRPr="00F62AA5">
        <w:rPr>
          <w:rFonts w:ascii="Arial" w:eastAsia="Calibri" w:hAnsi="Arial" w:cs="Arial"/>
          <w:sz w:val="20"/>
        </w:rPr>
        <w:t>1.</w:t>
      </w:r>
      <w:r w:rsidR="00F62AA5" w:rsidRPr="00F62AA5">
        <w:rPr>
          <w:rFonts w:ascii="Arial" w:eastAsia="Calibri" w:hAnsi="Arial" w:cs="Arial"/>
          <w:sz w:val="20"/>
        </w:rPr>
        <w:t>637.9</w:t>
      </w:r>
      <w:r w:rsidR="00D83A12">
        <w:rPr>
          <w:rFonts w:ascii="Arial" w:eastAsia="Calibri" w:hAnsi="Arial" w:cs="Arial"/>
          <w:sz w:val="20"/>
        </w:rPr>
        <w:t>5</w:t>
      </w:r>
      <w:r w:rsidR="00F62AA5" w:rsidRPr="00F62AA5">
        <w:rPr>
          <w:rFonts w:ascii="Arial" w:eastAsia="Calibri" w:hAnsi="Arial" w:cs="Arial"/>
          <w:sz w:val="20"/>
        </w:rPr>
        <w:t>3</w:t>
      </w:r>
      <w:r w:rsidRPr="00F62AA5">
        <w:rPr>
          <w:rFonts w:ascii="Arial" w:eastAsia="Calibri" w:hAnsi="Arial" w:cs="Arial"/>
          <w:sz w:val="20"/>
        </w:rPr>
        <w:t xml:space="preserve"> y </w:t>
      </w:r>
      <w:r w:rsidR="00F62AA5" w:rsidRPr="00F62AA5">
        <w:rPr>
          <w:rFonts w:ascii="Arial" w:eastAsia="Calibri" w:hAnsi="Arial" w:cs="Arial"/>
          <w:sz w:val="20"/>
        </w:rPr>
        <w:t>1.087.502</w:t>
      </w:r>
      <w:r w:rsidRPr="00F62AA5">
        <w:rPr>
          <w:rFonts w:ascii="Arial" w:eastAsia="Calibri" w:hAnsi="Arial" w:cs="Arial"/>
          <w:sz w:val="20"/>
        </w:rPr>
        <w:t xml:space="preserve"> para esta clase de activo, al 31 de diciembre de 2019 y 2018, respectivamente.</w:t>
      </w:r>
      <w:r w:rsidRPr="00701F32">
        <w:rPr>
          <w:rFonts w:ascii="Arial" w:eastAsia="Calibri" w:hAnsi="Arial" w:cs="Arial"/>
          <w:sz w:val="20"/>
        </w:rPr>
        <w:t xml:space="preserve"> </w:t>
      </w:r>
    </w:p>
    <w:p w14:paraId="2603876B" w14:textId="7C15FCC6"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 xml:space="preserve">En el </w:t>
      </w:r>
      <w:r>
        <w:rPr>
          <w:rFonts w:ascii="Arial" w:eastAsia="Calibri" w:hAnsi="Arial" w:cs="Arial"/>
          <w:sz w:val="20"/>
        </w:rPr>
        <w:t>ejercicio 2019</w:t>
      </w:r>
      <w:r w:rsidRPr="00701F32">
        <w:rPr>
          <w:rFonts w:ascii="Arial" w:eastAsia="Calibri" w:hAnsi="Arial" w:cs="Arial"/>
          <w:sz w:val="20"/>
        </w:rPr>
        <w:t xml:space="preserve"> se impu</w:t>
      </w:r>
      <w:r>
        <w:rPr>
          <w:rFonts w:ascii="Arial" w:eastAsia="Calibri" w:hAnsi="Arial" w:cs="Arial"/>
          <w:sz w:val="20"/>
        </w:rPr>
        <w:t xml:space="preserve">ta la suma de $ </w:t>
      </w:r>
      <w:r w:rsidR="0005367D">
        <w:rPr>
          <w:rFonts w:ascii="Arial" w:eastAsia="Calibri" w:hAnsi="Arial" w:cs="Arial"/>
          <w:sz w:val="20"/>
        </w:rPr>
        <w:t>585.993</w:t>
      </w:r>
      <w:r w:rsidRPr="00701F32">
        <w:rPr>
          <w:rFonts w:ascii="Arial" w:eastAsia="Calibri" w:hAnsi="Arial" w:cs="Arial"/>
          <w:sz w:val="20"/>
        </w:rPr>
        <w:t xml:space="preserve"> a Otr</w:t>
      </w:r>
      <w:r>
        <w:rPr>
          <w:rFonts w:ascii="Arial" w:eastAsia="Calibri" w:hAnsi="Arial" w:cs="Arial"/>
          <w:sz w:val="20"/>
        </w:rPr>
        <w:t>os resultados Integrales (ORI).</w:t>
      </w:r>
    </w:p>
    <w:p w14:paraId="706EE1F2" w14:textId="77777777" w:rsidR="00931F52" w:rsidRPr="00701F32" w:rsidRDefault="00931F52" w:rsidP="00931F52">
      <w:pPr>
        <w:spacing w:after="160"/>
        <w:jc w:val="both"/>
        <w:rPr>
          <w:rFonts w:ascii="Arial" w:eastAsia="Calibri" w:hAnsi="Arial" w:cs="Arial"/>
          <w:b/>
          <w:sz w:val="20"/>
        </w:rPr>
      </w:pPr>
      <w:r>
        <w:rPr>
          <w:rFonts w:ascii="Arial" w:eastAsia="Calibri" w:hAnsi="Arial" w:cs="Arial"/>
          <w:b/>
          <w:sz w:val="20"/>
        </w:rPr>
        <w:t>1.16</w:t>
      </w:r>
      <w:r w:rsidRPr="00701F32">
        <w:rPr>
          <w:rFonts w:ascii="Arial" w:eastAsia="Calibri" w:hAnsi="Arial" w:cs="Arial"/>
          <w:b/>
          <w:sz w:val="20"/>
        </w:rPr>
        <w:t xml:space="preserve"> Propiedades de inversión</w:t>
      </w:r>
    </w:p>
    <w:p w14:paraId="68DEE517" w14:textId="77777777" w:rsidR="00931F52" w:rsidRPr="00701F32" w:rsidRDefault="00931F52" w:rsidP="00D538FD">
      <w:pPr>
        <w:numPr>
          <w:ilvl w:val="0"/>
          <w:numId w:val="43"/>
        </w:numPr>
        <w:spacing w:after="160"/>
        <w:contextualSpacing/>
        <w:jc w:val="both"/>
        <w:rPr>
          <w:rFonts w:ascii="Arial" w:eastAsia="Calibri" w:hAnsi="Arial" w:cs="Arial"/>
          <w:sz w:val="20"/>
        </w:rPr>
      </w:pPr>
      <w:r w:rsidRPr="00701F32">
        <w:rPr>
          <w:rFonts w:ascii="Arial" w:eastAsia="Calibri" w:hAnsi="Arial" w:cs="Arial"/>
          <w:sz w:val="20"/>
        </w:rPr>
        <w:t xml:space="preserve">Bases de medición utilizadas. </w:t>
      </w:r>
    </w:p>
    <w:p w14:paraId="4A079E03" w14:textId="77777777" w:rsidR="00931F52" w:rsidRPr="00701F32" w:rsidRDefault="00931F52" w:rsidP="00931F52">
      <w:pPr>
        <w:spacing w:after="160"/>
        <w:ind w:left="720"/>
        <w:contextualSpacing/>
        <w:jc w:val="both"/>
        <w:rPr>
          <w:rFonts w:ascii="Arial" w:eastAsia="Calibri" w:hAnsi="Arial" w:cs="Arial"/>
          <w:sz w:val="20"/>
        </w:rPr>
      </w:pPr>
    </w:p>
    <w:p w14:paraId="2145C032"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 xml:space="preserve">Las propiedades de inversión están constituidas por inmuebles (terrenos o edificios o parte de un edificio o ambos) mantenidos para obtener una renta o para apreciación de capital o ambos, no siendo ocupadas por la Entidad. Son contabilizadas a su valor razonable, y los cambios en el mismo, se van reflejando directamente en los resultados del </w:t>
      </w:r>
      <w:r>
        <w:rPr>
          <w:rFonts w:ascii="Arial" w:eastAsia="Calibri" w:hAnsi="Arial" w:cs="Arial"/>
          <w:sz w:val="20"/>
        </w:rPr>
        <w:t>ejercicio</w:t>
      </w:r>
      <w:r w:rsidRPr="00701F32">
        <w:rPr>
          <w:rFonts w:ascii="Arial" w:eastAsia="Calibri" w:hAnsi="Arial" w:cs="Arial"/>
          <w:sz w:val="20"/>
        </w:rPr>
        <w:t>. Las propiedades de inversión no se deprecian. El valor razonable está basado en tasaciones realizadas por peritos independientes.</w:t>
      </w:r>
      <w:r>
        <w:rPr>
          <w:rFonts w:ascii="Arial" w:eastAsia="Calibri" w:hAnsi="Arial" w:cs="Arial"/>
          <w:sz w:val="20"/>
        </w:rPr>
        <w:t>Otras propiedades de inversión están constituidas por bienes mantenidos para obtener una renta o para apreciación de capital o ambos, no siendo ocupadas por la Entidad. Son valuadas al costo de adquisición o construcción, neto de las depreciaciones acumuladas y/o de las pérdidas por desvalorización acumuladas, si las hubiera. El costo incluye los gastos que son directamente atribuibles a la adquisición o construcción de estas partidas.</w:t>
      </w:r>
    </w:p>
    <w:p w14:paraId="0BEAEF3F" w14:textId="77777777" w:rsidR="00931F52" w:rsidRPr="00701F32" w:rsidRDefault="00931F52" w:rsidP="00D538FD">
      <w:pPr>
        <w:numPr>
          <w:ilvl w:val="0"/>
          <w:numId w:val="43"/>
        </w:numPr>
        <w:spacing w:after="160"/>
        <w:contextualSpacing/>
        <w:jc w:val="both"/>
        <w:rPr>
          <w:rFonts w:ascii="Arial" w:eastAsia="Calibri" w:hAnsi="Arial" w:cs="Arial"/>
          <w:sz w:val="20"/>
        </w:rPr>
      </w:pPr>
      <w:r w:rsidRPr="00701F32">
        <w:rPr>
          <w:rFonts w:ascii="Arial" w:eastAsia="Calibri" w:hAnsi="Arial" w:cs="Arial"/>
          <w:sz w:val="20"/>
        </w:rPr>
        <w:t xml:space="preserve">Cifras incluidas en el resultado del </w:t>
      </w:r>
      <w:r>
        <w:rPr>
          <w:rFonts w:ascii="Arial" w:eastAsia="Calibri" w:hAnsi="Arial" w:cs="Arial"/>
          <w:sz w:val="20"/>
        </w:rPr>
        <w:t>ejercicio</w:t>
      </w:r>
      <w:r w:rsidRPr="00701F32">
        <w:rPr>
          <w:rFonts w:ascii="Arial" w:eastAsia="Calibri" w:hAnsi="Arial" w:cs="Arial"/>
          <w:sz w:val="20"/>
        </w:rPr>
        <w:t xml:space="preserve"> por Propiedades de Inversión. </w:t>
      </w:r>
    </w:p>
    <w:p w14:paraId="5A411E23" w14:textId="58C5A2D9" w:rsidR="00B1205B" w:rsidRDefault="00B1205B">
      <w:pPr>
        <w:rPr>
          <w:rFonts w:ascii="Arial" w:eastAsia="Calibri" w:hAnsi="Arial" w:cs="Arial"/>
          <w:sz w:val="20"/>
        </w:rPr>
      </w:pPr>
      <w:r>
        <w:rPr>
          <w:rFonts w:ascii="Arial" w:eastAsia="Calibri" w:hAnsi="Arial" w:cs="Arial"/>
          <w:sz w:val="20"/>
        </w:rPr>
        <w:br w:type="page"/>
      </w:r>
    </w:p>
    <w:p w14:paraId="31053F31" w14:textId="77777777" w:rsidR="00931F52" w:rsidRPr="00701F32" w:rsidRDefault="00931F52" w:rsidP="006E1AF7">
      <w:pPr>
        <w:spacing w:after="160"/>
        <w:contextualSpacing/>
        <w:jc w:val="both"/>
        <w:rPr>
          <w:rFonts w:ascii="Arial" w:eastAsia="Calibri" w:hAnsi="Arial" w:cs="Arial"/>
          <w:sz w:val="20"/>
        </w:rPr>
      </w:pPr>
    </w:p>
    <w:tbl>
      <w:tblPr>
        <w:tblStyle w:val="Tabladecuadrcula1clara1"/>
        <w:tblW w:w="0" w:type="auto"/>
        <w:jc w:val="center"/>
        <w:tblLook w:val="04A0" w:firstRow="1" w:lastRow="0" w:firstColumn="1" w:lastColumn="0" w:noHBand="0" w:noVBand="1"/>
      </w:tblPr>
      <w:tblGrid>
        <w:gridCol w:w="4361"/>
        <w:gridCol w:w="1275"/>
        <w:gridCol w:w="1275"/>
      </w:tblGrid>
      <w:tr w:rsidR="00931F52" w:rsidRPr="00701F32" w14:paraId="11B5DC79" w14:textId="77777777" w:rsidTr="00931F52">
        <w:trPr>
          <w:cnfStyle w:val="100000000000" w:firstRow="1" w:lastRow="0" w:firstColumn="0" w:lastColumn="0" w:oddVBand="0" w:evenVBand="0" w:oddHBand="0" w:evenHBand="0" w:firstRowFirstColumn="0" w:firstRowLastColumn="0" w:lastRowFirstColumn="0" w:lastRowLastColumn="0"/>
          <w:trHeight w:val="291"/>
          <w:tblHeader/>
          <w:jc w:val="center"/>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auto"/>
              <w:left w:val="single" w:sz="4" w:space="0" w:color="auto"/>
              <w:bottom w:val="single" w:sz="4" w:space="0" w:color="auto"/>
              <w:right w:val="single" w:sz="4" w:space="0" w:color="auto"/>
            </w:tcBorders>
          </w:tcPr>
          <w:p w14:paraId="0F2E0D51" w14:textId="77777777" w:rsidR="00931F52" w:rsidRPr="00701F32" w:rsidRDefault="00931F52" w:rsidP="00931F52">
            <w:pPr>
              <w:contextualSpacing/>
              <w:jc w:val="both"/>
              <w:rPr>
                <w:rFonts w:ascii="Arial" w:hAnsi="Arial" w:cs="Arial"/>
                <w:sz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22C80C1B" w14:textId="1B0D1394" w:rsidR="00931F52" w:rsidRDefault="00931F52" w:rsidP="00931F52">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31/12/2019</w:t>
            </w:r>
          </w:p>
        </w:tc>
        <w:tc>
          <w:tcPr>
            <w:tcW w:w="1275" w:type="dxa"/>
            <w:tcBorders>
              <w:top w:val="single" w:sz="4" w:space="0" w:color="auto"/>
              <w:left w:val="single" w:sz="4" w:space="0" w:color="auto"/>
              <w:bottom w:val="single" w:sz="4" w:space="0" w:color="auto"/>
              <w:right w:val="single" w:sz="4" w:space="0" w:color="auto"/>
            </w:tcBorders>
            <w:vAlign w:val="center"/>
          </w:tcPr>
          <w:p w14:paraId="29FDF8E7" w14:textId="3A672A21" w:rsidR="00931F52" w:rsidRPr="00701F32" w:rsidRDefault="00931F52" w:rsidP="00931F52">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31</w:t>
            </w:r>
            <w:r w:rsidRPr="00701F32">
              <w:rPr>
                <w:rFonts w:ascii="Arial" w:hAnsi="Arial" w:cs="Arial"/>
                <w:sz w:val="16"/>
              </w:rPr>
              <w:t>/</w:t>
            </w:r>
            <w:r>
              <w:rPr>
                <w:rFonts w:ascii="Arial" w:hAnsi="Arial" w:cs="Arial"/>
                <w:sz w:val="16"/>
              </w:rPr>
              <w:t>12</w:t>
            </w:r>
            <w:r w:rsidRPr="00701F32">
              <w:rPr>
                <w:rFonts w:ascii="Arial" w:hAnsi="Arial" w:cs="Arial"/>
                <w:sz w:val="16"/>
              </w:rPr>
              <w:t>/2018</w:t>
            </w:r>
          </w:p>
        </w:tc>
      </w:tr>
      <w:tr w:rsidR="00931F52" w:rsidRPr="00701F32" w14:paraId="1F95A1A5" w14:textId="77777777" w:rsidTr="002F55BB">
        <w:trPr>
          <w:trHeight w:val="291"/>
          <w:jc w:val="center"/>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auto"/>
              <w:left w:val="single" w:sz="4" w:space="0" w:color="auto"/>
              <w:bottom w:val="single" w:sz="4" w:space="0" w:color="auto"/>
              <w:right w:val="single" w:sz="4" w:space="0" w:color="auto"/>
            </w:tcBorders>
            <w:vAlign w:val="bottom"/>
          </w:tcPr>
          <w:p w14:paraId="08D7BE11" w14:textId="77777777" w:rsidR="00931F52" w:rsidRPr="00701F32" w:rsidRDefault="00931F52" w:rsidP="002F55BB">
            <w:pPr>
              <w:contextualSpacing/>
              <w:rPr>
                <w:rFonts w:ascii="Arial" w:hAnsi="Arial" w:cs="Arial"/>
                <w:b w:val="0"/>
                <w:bCs w:val="0"/>
                <w:sz w:val="16"/>
              </w:rPr>
            </w:pPr>
            <w:r w:rsidRPr="00701F32">
              <w:rPr>
                <w:rFonts w:ascii="Arial" w:hAnsi="Arial" w:cs="Arial"/>
                <w:sz w:val="16"/>
              </w:rPr>
              <w:t>Ingresos derivados de rentas (alquileres cobrados)</w:t>
            </w:r>
          </w:p>
        </w:tc>
        <w:tc>
          <w:tcPr>
            <w:tcW w:w="1275" w:type="dxa"/>
            <w:tcBorders>
              <w:top w:val="single" w:sz="4" w:space="0" w:color="auto"/>
              <w:left w:val="single" w:sz="4" w:space="0" w:color="auto"/>
              <w:bottom w:val="single" w:sz="4" w:space="0" w:color="auto"/>
              <w:right w:val="single" w:sz="4" w:space="0" w:color="auto"/>
            </w:tcBorders>
            <w:vAlign w:val="bottom"/>
          </w:tcPr>
          <w:p w14:paraId="63F568D7" w14:textId="028C42EF" w:rsidR="00931F52" w:rsidRDefault="001F51FB" w:rsidP="002F55BB">
            <w:pPr>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8.963</w:t>
            </w:r>
          </w:p>
        </w:tc>
        <w:tc>
          <w:tcPr>
            <w:tcW w:w="1275" w:type="dxa"/>
            <w:tcBorders>
              <w:top w:val="single" w:sz="4" w:space="0" w:color="auto"/>
              <w:left w:val="single" w:sz="4" w:space="0" w:color="auto"/>
              <w:bottom w:val="single" w:sz="4" w:space="0" w:color="auto"/>
              <w:right w:val="single" w:sz="4" w:space="0" w:color="auto"/>
            </w:tcBorders>
            <w:vAlign w:val="bottom"/>
          </w:tcPr>
          <w:p w14:paraId="07021D9E" w14:textId="6F8532A9" w:rsidR="00931F52" w:rsidRDefault="00931F52" w:rsidP="00931F52">
            <w:pPr>
              <w:ind w:left="36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3.979</w:t>
            </w:r>
          </w:p>
        </w:tc>
      </w:tr>
      <w:tr w:rsidR="00931F52" w:rsidRPr="00701F32" w14:paraId="7512E6F8" w14:textId="77777777" w:rsidTr="002F55BB">
        <w:trPr>
          <w:trHeight w:val="304"/>
          <w:jc w:val="center"/>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auto"/>
              <w:left w:val="single" w:sz="4" w:space="0" w:color="auto"/>
              <w:bottom w:val="single" w:sz="4" w:space="0" w:color="auto"/>
              <w:right w:val="single" w:sz="4" w:space="0" w:color="auto"/>
            </w:tcBorders>
            <w:vAlign w:val="bottom"/>
          </w:tcPr>
          <w:p w14:paraId="4A6707B7" w14:textId="77777777" w:rsidR="00931F52" w:rsidRPr="00701F32" w:rsidRDefault="00931F52" w:rsidP="002F55BB">
            <w:pPr>
              <w:contextualSpacing/>
              <w:rPr>
                <w:rFonts w:ascii="Arial" w:hAnsi="Arial" w:cs="Arial"/>
                <w:b w:val="0"/>
                <w:bCs w:val="0"/>
                <w:sz w:val="16"/>
              </w:rPr>
            </w:pPr>
            <w:r w:rsidRPr="00701F32">
              <w:rPr>
                <w:rFonts w:ascii="Arial" w:hAnsi="Arial" w:cs="Arial"/>
                <w:sz w:val="16"/>
              </w:rPr>
              <w:t>Gastos directos de operación de propiedades que generaron ingresos derivados de rentas</w:t>
            </w:r>
          </w:p>
        </w:tc>
        <w:tc>
          <w:tcPr>
            <w:tcW w:w="1275" w:type="dxa"/>
            <w:tcBorders>
              <w:top w:val="single" w:sz="4" w:space="0" w:color="auto"/>
              <w:left w:val="single" w:sz="4" w:space="0" w:color="auto"/>
              <w:bottom w:val="single" w:sz="4" w:space="0" w:color="auto"/>
              <w:right w:val="single" w:sz="4" w:space="0" w:color="auto"/>
            </w:tcBorders>
            <w:vAlign w:val="bottom"/>
          </w:tcPr>
          <w:p w14:paraId="6F4A4B07" w14:textId="79A307B9" w:rsidR="00931F52" w:rsidRDefault="001F51FB" w:rsidP="002F55BB">
            <w:pPr>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(7.954)</w:t>
            </w:r>
          </w:p>
        </w:tc>
        <w:tc>
          <w:tcPr>
            <w:tcW w:w="1275" w:type="dxa"/>
            <w:tcBorders>
              <w:top w:val="single" w:sz="4" w:space="0" w:color="auto"/>
              <w:left w:val="single" w:sz="4" w:space="0" w:color="auto"/>
              <w:bottom w:val="single" w:sz="4" w:space="0" w:color="auto"/>
              <w:right w:val="single" w:sz="4" w:space="0" w:color="auto"/>
            </w:tcBorders>
            <w:vAlign w:val="bottom"/>
          </w:tcPr>
          <w:p w14:paraId="12C7F041" w14:textId="58C3EC3A" w:rsidR="00931F52" w:rsidRDefault="00931F52" w:rsidP="00931F52">
            <w:pPr>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lang w:val="es-ES_tradnl"/>
              </w:rPr>
            </w:pPr>
            <w:r>
              <w:rPr>
                <w:rFonts w:ascii="Arial" w:hAnsi="Arial" w:cs="Arial"/>
                <w:sz w:val="16"/>
              </w:rPr>
              <w:t>(4.585)</w:t>
            </w:r>
          </w:p>
        </w:tc>
      </w:tr>
      <w:tr w:rsidR="00931F52" w:rsidRPr="00701F32" w14:paraId="10B93DC6" w14:textId="77777777" w:rsidTr="002F55BB">
        <w:trPr>
          <w:trHeight w:val="291"/>
          <w:jc w:val="center"/>
        </w:trPr>
        <w:tc>
          <w:tcPr>
            <w:cnfStyle w:val="001000000000" w:firstRow="0" w:lastRow="0" w:firstColumn="1" w:lastColumn="0" w:oddVBand="0" w:evenVBand="0" w:oddHBand="0" w:evenHBand="0" w:firstRowFirstColumn="0" w:firstRowLastColumn="0" w:lastRowFirstColumn="0" w:lastRowLastColumn="0"/>
            <w:tcW w:w="4361" w:type="dxa"/>
            <w:tcBorders>
              <w:top w:val="single" w:sz="4" w:space="0" w:color="auto"/>
              <w:left w:val="single" w:sz="4" w:space="0" w:color="auto"/>
              <w:bottom w:val="single" w:sz="4" w:space="0" w:color="auto"/>
              <w:right w:val="single" w:sz="4" w:space="0" w:color="auto"/>
            </w:tcBorders>
            <w:vAlign w:val="bottom"/>
          </w:tcPr>
          <w:p w14:paraId="7133AE54" w14:textId="77777777" w:rsidR="00931F52" w:rsidRPr="00701F32" w:rsidRDefault="00931F52" w:rsidP="002F55BB">
            <w:pPr>
              <w:contextualSpacing/>
              <w:rPr>
                <w:rFonts w:ascii="Arial" w:hAnsi="Arial" w:cs="Arial"/>
                <w:b w:val="0"/>
                <w:bCs w:val="0"/>
                <w:sz w:val="16"/>
              </w:rPr>
            </w:pPr>
            <w:r w:rsidRPr="00701F32">
              <w:rPr>
                <w:rFonts w:ascii="Arial" w:hAnsi="Arial" w:cs="Arial"/>
                <w:sz w:val="16"/>
              </w:rPr>
              <w:t>Resultado por medición al valor razonable</w:t>
            </w:r>
          </w:p>
        </w:tc>
        <w:tc>
          <w:tcPr>
            <w:tcW w:w="1275" w:type="dxa"/>
            <w:tcBorders>
              <w:top w:val="single" w:sz="4" w:space="0" w:color="auto"/>
              <w:left w:val="single" w:sz="4" w:space="0" w:color="auto"/>
              <w:bottom w:val="single" w:sz="4" w:space="0" w:color="auto"/>
              <w:right w:val="single" w:sz="4" w:space="0" w:color="auto"/>
            </w:tcBorders>
            <w:vAlign w:val="bottom"/>
          </w:tcPr>
          <w:p w14:paraId="3377FEE1" w14:textId="187299F3" w:rsidR="00931F52" w:rsidRDefault="001F51FB" w:rsidP="002F55BB">
            <w:pPr>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428.468</w:t>
            </w:r>
          </w:p>
        </w:tc>
        <w:tc>
          <w:tcPr>
            <w:tcW w:w="1275" w:type="dxa"/>
            <w:tcBorders>
              <w:top w:val="single" w:sz="4" w:space="0" w:color="auto"/>
              <w:left w:val="single" w:sz="4" w:space="0" w:color="auto"/>
              <w:bottom w:val="single" w:sz="4" w:space="0" w:color="auto"/>
              <w:right w:val="single" w:sz="4" w:space="0" w:color="auto"/>
            </w:tcBorders>
            <w:vAlign w:val="bottom"/>
          </w:tcPr>
          <w:p w14:paraId="33763207" w14:textId="102D4335" w:rsidR="00931F52" w:rsidRDefault="00931F52" w:rsidP="00931F52">
            <w:pPr>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208.983</w:t>
            </w:r>
          </w:p>
        </w:tc>
      </w:tr>
    </w:tbl>
    <w:p w14:paraId="2D837EF7" w14:textId="77777777" w:rsidR="00931F52" w:rsidRPr="00701F32" w:rsidRDefault="00931F52" w:rsidP="00931F52">
      <w:pPr>
        <w:spacing w:after="160"/>
        <w:jc w:val="both"/>
        <w:rPr>
          <w:rFonts w:ascii="Arial" w:eastAsia="Calibri" w:hAnsi="Arial" w:cs="Arial"/>
          <w:sz w:val="20"/>
        </w:rPr>
      </w:pPr>
    </w:p>
    <w:p w14:paraId="28AA9FC0" w14:textId="04F737F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El resultado neto generado por las propiedades de inversión al 3</w:t>
      </w:r>
      <w:r>
        <w:rPr>
          <w:rFonts w:ascii="Arial" w:eastAsia="Calibri" w:hAnsi="Arial" w:cs="Arial"/>
          <w:sz w:val="20"/>
        </w:rPr>
        <w:t>1</w:t>
      </w:r>
      <w:r w:rsidRPr="00701F32">
        <w:rPr>
          <w:rFonts w:ascii="Arial" w:eastAsia="Calibri" w:hAnsi="Arial" w:cs="Arial"/>
          <w:sz w:val="20"/>
        </w:rPr>
        <w:t xml:space="preserve"> de </w:t>
      </w:r>
      <w:r>
        <w:rPr>
          <w:rFonts w:ascii="Arial" w:eastAsia="Calibri" w:hAnsi="Arial" w:cs="Arial"/>
          <w:sz w:val="20"/>
        </w:rPr>
        <w:t>diciembre</w:t>
      </w:r>
      <w:r w:rsidRPr="00701F32">
        <w:rPr>
          <w:rFonts w:ascii="Arial" w:eastAsia="Calibri" w:hAnsi="Arial" w:cs="Arial"/>
          <w:sz w:val="20"/>
        </w:rPr>
        <w:t xml:space="preserve"> de 201</w:t>
      </w:r>
      <w:r>
        <w:rPr>
          <w:rFonts w:ascii="Arial" w:eastAsia="Calibri" w:hAnsi="Arial" w:cs="Arial"/>
          <w:sz w:val="20"/>
        </w:rPr>
        <w:t>9</w:t>
      </w:r>
      <w:r w:rsidRPr="00701F32">
        <w:rPr>
          <w:rFonts w:ascii="Arial" w:eastAsia="Calibri" w:hAnsi="Arial" w:cs="Arial"/>
          <w:sz w:val="20"/>
        </w:rPr>
        <w:t xml:space="preserve"> y 201</w:t>
      </w:r>
      <w:r>
        <w:rPr>
          <w:rFonts w:ascii="Arial" w:eastAsia="Calibri" w:hAnsi="Arial" w:cs="Arial"/>
          <w:sz w:val="20"/>
        </w:rPr>
        <w:t>8</w:t>
      </w:r>
      <w:r w:rsidRPr="00701F32">
        <w:rPr>
          <w:rFonts w:ascii="Arial" w:eastAsia="Calibri" w:hAnsi="Arial" w:cs="Arial"/>
          <w:sz w:val="20"/>
        </w:rPr>
        <w:t xml:space="preserve"> asciende a una </w:t>
      </w:r>
      <w:r w:rsidRPr="005D71C1">
        <w:rPr>
          <w:rFonts w:ascii="Arial" w:eastAsia="Calibri" w:hAnsi="Arial" w:cs="Arial"/>
          <w:sz w:val="20"/>
        </w:rPr>
        <w:t xml:space="preserve">utilidad de </w:t>
      </w:r>
      <w:r w:rsidR="001F51FB" w:rsidRPr="001F51FB">
        <w:rPr>
          <w:rFonts w:ascii="Arial" w:eastAsia="Calibri" w:hAnsi="Arial" w:cs="Arial"/>
          <w:sz w:val="20"/>
        </w:rPr>
        <w:t>429.477</w:t>
      </w:r>
      <w:r w:rsidRPr="001F51FB">
        <w:rPr>
          <w:rFonts w:ascii="Arial" w:eastAsia="Calibri" w:hAnsi="Arial" w:cs="Arial"/>
          <w:sz w:val="20"/>
        </w:rPr>
        <w:t xml:space="preserve"> y </w:t>
      </w:r>
      <w:r w:rsidR="001F51FB" w:rsidRPr="001F51FB">
        <w:rPr>
          <w:rFonts w:ascii="Arial" w:eastAsia="Calibri" w:hAnsi="Arial" w:cs="Arial"/>
          <w:sz w:val="20"/>
        </w:rPr>
        <w:t>208.377</w:t>
      </w:r>
      <w:r w:rsidRPr="005D71C1">
        <w:rPr>
          <w:rFonts w:ascii="Arial" w:eastAsia="Calibri" w:hAnsi="Arial" w:cs="Arial"/>
          <w:sz w:val="20"/>
        </w:rPr>
        <w:t xml:space="preserve"> respectivamente</w:t>
      </w:r>
      <w:r w:rsidRPr="00701F32">
        <w:rPr>
          <w:rFonts w:ascii="Arial" w:eastAsia="Calibri" w:hAnsi="Arial" w:cs="Arial"/>
          <w:sz w:val="20"/>
        </w:rPr>
        <w:t>, y se reconocen en los rubros “Otros ingresos operativos”, “Gastos de administración” y “Otros gastos operativos” en el estado de resultados integral consolidado.</w:t>
      </w:r>
    </w:p>
    <w:p w14:paraId="34BF504F"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Las ganancias y pérdidas por la venta de propiedades de inversión se incluyen en el estado de resultados integral consolidado.</w:t>
      </w:r>
    </w:p>
    <w:p w14:paraId="2A78AC16" w14:textId="77777777" w:rsidR="00931F52" w:rsidRPr="00701F32" w:rsidRDefault="00931F52" w:rsidP="00931F52">
      <w:pPr>
        <w:spacing w:after="160"/>
        <w:jc w:val="both"/>
        <w:rPr>
          <w:rFonts w:ascii="Arial" w:eastAsia="Calibri" w:hAnsi="Arial" w:cs="Arial"/>
          <w:b/>
          <w:sz w:val="20"/>
        </w:rPr>
      </w:pPr>
      <w:r>
        <w:rPr>
          <w:rFonts w:ascii="Arial" w:eastAsia="Calibri" w:hAnsi="Arial" w:cs="Arial"/>
          <w:b/>
          <w:sz w:val="20"/>
        </w:rPr>
        <w:t>1.17</w:t>
      </w:r>
      <w:r w:rsidRPr="00701F32">
        <w:rPr>
          <w:rFonts w:ascii="Arial" w:eastAsia="Calibri" w:hAnsi="Arial" w:cs="Arial"/>
          <w:b/>
          <w:sz w:val="20"/>
        </w:rPr>
        <w:t xml:space="preserve"> Activos Intangibles</w:t>
      </w:r>
    </w:p>
    <w:p w14:paraId="726E831C"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(a)  Valor llave</w:t>
      </w:r>
    </w:p>
    <w:p w14:paraId="14A8AF14"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 xml:space="preserve">El valor llave generado en la adquisición de subsidiarias, afiliadas o negocios conjuntos representa el exceso entre: </w:t>
      </w:r>
    </w:p>
    <w:p w14:paraId="265146F1"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(i) el costo de una adquisición, el cual se mide como la suma de la contraprestación transferida, valuada al valor razonable a la fecha de la adquisición más el importe del interés no controlante; y</w:t>
      </w:r>
    </w:p>
    <w:p w14:paraId="171B59A1"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 xml:space="preserve">(ii) el valor razonable de los activos identificables adquiridos y de los pasivos asumidos de la adquirida. </w:t>
      </w:r>
    </w:p>
    <w:p w14:paraId="0F4A334F"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 xml:space="preserve">Todos los valores llave, se incluyen en el rubro activos intangibles en el estado de situación financiera consolidado. </w:t>
      </w:r>
    </w:p>
    <w:p w14:paraId="2C9F0B8F"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Los valores llaves no se amortizan. El Banco evalúa anualmente, o cuando existan indicios de desvalorización, la recuperabilidad de los valores llave sobre la base de flujos futuros de fondos descontados más otra información disponible a la fecha de preparación de los estados financieros consolidados. Las pérdidas por desvalorización una vez contabilizadas no se revierten. Las ganancias y pérdidas por la venta de una entidad incluyen el saldo de valor llave relacionado con la entidad vendida.</w:t>
      </w:r>
    </w:p>
    <w:p w14:paraId="6C8B26B7"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El valor llave se asigna a unidades generadoras de efectivo a efectos de realizar las pruebas de recuperabilidad. La asignación se efectúa entre aquellas unidades generadoras de efectivo (o grupos de unidades), identificadas de acuerdo con el criterio de segmento operativo, que se benefician de la combinación de negocios de la que surgió el valor llave.</w:t>
      </w:r>
    </w:p>
    <w:p w14:paraId="476F3A6C"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(b) Software</w:t>
      </w:r>
    </w:p>
    <w:p w14:paraId="11211682"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Los costos asociados con el mantenimiento de software se reconocen como gasto cuando se incurren. Los costos de desarrollo, adquisición e implementación que son directamente atribuibles al diseño y pruebas de software identificable</w:t>
      </w:r>
      <w:r>
        <w:rPr>
          <w:rFonts w:ascii="Arial" w:eastAsia="Calibri" w:hAnsi="Arial" w:cs="Arial"/>
          <w:sz w:val="20"/>
        </w:rPr>
        <w:t>s</w:t>
      </w:r>
      <w:r w:rsidRPr="00701F32">
        <w:rPr>
          <w:rFonts w:ascii="Arial" w:eastAsia="Calibri" w:hAnsi="Arial" w:cs="Arial"/>
          <w:sz w:val="20"/>
        </w:rPr>
        <w:t xml:space="preserve"> y único</w:t>
      </w:r>
      <w:r>
        <w:rPr>
          <w:rFonts w:ascii="Arial" w:eastAsia="Calibri" w:hAnsi="Arial" w:cs="Arial"/>
          <w:sz w:val="20"/>
        </w:rPr>
        <w:t>s</w:t>
      </w:r>
      <w:r w:rsidRPr="00701F32">
        <w:rPr>
          <w:rFonts w:ascii="Arial" w:eastAsia="Calibri" w:hAnsi="Arial" w:cs="Arial"/>
          <w:sz w:val="20"/>
        </w:rPr>
        <w:t xml:space="preserve"> que controla la entidad, se reconocen como activos. </w:t>
      </w:r>
    </w:p>
    <w:p w14:paraId="3D692177" w14:textId="77777777" w:rsidR="00931F52" w:rsidRPr="00701F32" w:rsidRDefault="00931F52" w:rsidP="00931F52">
      <w:pPr>
        <w:spacing w:after="160"/>
        <w:jc w:val="both"/>
        <w:rPr>
          <w:rFonts w:ascii="Arial" w:eastAsia="Calibri" w:hAnsi="Arial" w:cs="Arial"/>
          <w:sz w:val="20"/>
        </w:rPr>
      </w:pPr>
      <w:r w:rsidRPr="00701F32">
        <w:rPr>
          <w:rFonts w:ascii="Arial" w:eastAsia="Calibri" w:hAnsi="Arial" w:cs="Arial"/>
          <w:sz w:val="20"/>
        </w:rPr>
        <w:t>Los costos de desarrollo, adquisición o implementación reconocidos inicialmente como gastos de un período, no son reconocidos posteriormente como costo del activo intangible. Los costos incurridos en el desarrollo, adquisición o implementación de software, reconocidos como activos intangibles, se amortizan aplicando el método de la línea recta durante sus vidas útiles estimadas, en un plazo que no excede de cinco años.</w:t>
      </w:r>
    </w:p>
    <w:p w14:paraId="05359A77" w14:textId="77777777" w:rsidR="00931F52" w:rsidRPr="00701F32" w:rsidRDefault="00931F52" w:rsidP="00931F52">
      <w:pPr>
        <w:jc w:val="both"/>
        <w:rPr>
          <w:rFonts w:ascii="Arial" w:hAnsi="Arial" w:cs="Arial"/>
          <w:b/>
          <w:sz w:val="20"/>
        </w:rPr>
      </w:pPr>
    </w:p>
    <w:p w14:paraId="74737E99" w14:textId="77777777" w:rsidR="00931F52" w:rsidRDefault="00931F52" w:rsidP="00931F52">
      <w:pPr>
        <w:jc w:val="both"/>
        <w:rPr>
          <w:rFonts w:ascii="Arial" w:hAnsi="Arial" w:cs="Arial"/>
          <w:b/>
          <w:sz w:val="20"/>
        </w:rPr>
      </w:pPr>
      <w:r w:rsidRPr="0083110B">
        <w:rPr>
          <w:rFonts w:ascii="Arial" w:hAnsi="Arial" w:cs="Arial"/>
          <w:b/>
          <w:sz w:val="20"/>
        </w:rPr>
        <w:t>1</w:t>
      </w:r>
      <w:r>
        <w:rPr>
          <w:rFonts w:ascii="Arial" w:hAnsi="Arial" w:cs="Arial"/>
          <w:b/>
          <w:sz w:val="20"/>
        </w:rPr>
        <w:t>.18</w:t>
      </w:r>
      <w:r w:rsidRPr="0083110B">
        <w:rPr>
          <w:rFonts w:ascii="Arial" w:hAnsi="Arial" w:cs="Arial"/>
          <w:b/>
          <w:sz w:val="20"/>
        </w:rPr>
        <w:t xml:space="preserve"> Activos mantenidos para la venta </w:t>
      </w:r>
    </w:p>
    <w:p w14:paraId="0DCCBCB4" w14:textId="77777777" w:rsidR="00931F52" w:rsidRPr="0083110B" w:rsidRDefault="00931F52" w:rsidP="00931F52">
      <w:pPr>
        <w:jc w:val="both"/>
        <w:rPr>
          <w:rFonts w:ascii="Arial" w:hAnsi="Arial" w:cs="Arial"/>
          <w:b/>
          <w:sz w:val="20"/>
        </w:rPr>
      </w:pPr>
    </w:p>
    <w:p w14:paraId="02700875" w14:textId="77777777" w:rsidR="00931F52" w:rsidRPr="0083110B" w:rsidRDefault="00931F52" w:rsidP="00931F52">
      <w:pPr>
        <w:jc w:val="both"/>
        <w:rPr>
          <w:rFonts w:ascii="Arial" w:hAnsi="Arial" w:cs="Arial"/>
          <w:sz w:val="20"/>
        </w:rPr>
      </w:pPr>
      <w:r w:rsidRPr="0083110B">
        <w:rPr>
          <w:rFonts w:ascii="Arial" w:hAnsi="Arial" w:cs="Arial"/>
          <w:sz w:val="20"/>
        </w:rPr>
        <w:t xml:space="preserve">Los activos, o grupos de activos, clasificados como disponibles para la venta de acuerdo a lo establecido por la NIIF 5 “Activos no corrientes mantenidos para la venta y operaciones discontinuadas”, serán expuestos en forma separada del resto de los activos. </w:t>
      </w:r>
    </w:p>
    <w:p w14:paraId="1F01136C" w14:textId="77777777" w:rsidR="00931F52" w:rsidRDefault="00931F52" w:rsidP="00931F52">
      <w:pPr>
        <w:jc w:val="both"/>
        <w:rPr>
          <w:rFonts w:ascii="Arial" w:hAnsi="Arial" w:cs="Arial"/>
          <w:sz w:val="20"/>
        </w:rPr>
      </w:pPr>
    </w:p>
    <w:p w14:paraId="0752E271" w14:textId="77777777" w:rsidR="00931F52" w:rsidRPr="0083110B" w:rsidRDefault="00931F52" w:rsidP="00931F52">
      <w:pPr>
        <w:jc w:val="both"/>
        <w:rPr>
          <w:rFonts w:ascii="Arial" w:hAnsi="Arial" w:cs="Arial"/>
          <w:sz w:val="20"/>
        </w:rPr>
      </w:pPr>
      <w:r w:rsidRPr="0083110B">
        <w:rPr>
          <w:rFonts w:ascii="Arial" w:hAnsi="Arial" w:cs="Arial"/>
          <w:sz w:val="20"/>
        </w:rPr>
        <w:t>Un activo podrá ser clasificado como disponible para la venta (incluye la pérdida de control de una subsidiaria) si su importe en libros se recuperará fundamentalmente por una transacción de venta, en lugar de por su uso continuado, dentro de los 12 meses de posteriores al último cierre de ejercicio.</w:t>
      </w:r>
    </w:p>
    <w:p w14:paraId="11C5C91E" w14:textId="77777777" w:rsidR="00931F52" w:rsidRDefault="00931F52" w:rsidP="00931F52">
      <w:pPr>
        <w:jc w:val="both"/>
        <w:rPr>
          <w:rFonts w:ascii="Arial" w:hAnsi="Arial" w:cs="Arial"/>
          <w:sz w:val="20"/>
        </w:rPr>
      </w:pPr>
    </w:p>
    <w:p w14:paraId="6BC142FC" w14:textId="77777777" w:rsidR="00931F52" w:rsidRPr="0083110B" w:rsidRDefault="00931F52" w:rsidP="00931F52">
      <w:pPr>
        <w:jc w:val="both"/>
        <w:rPr>
          <w:rFonts w:ascii="Arial" w:hAnsi="Arial" w:cs="Arial"/>
          <w:sz w:val="20"/>
        </w:rPr>
      </w:pPr>
      <w:r w:rsidRPr="0083110B">
        <w:rPr>
          <w:rFonts w:ascii="Arial" w:hAnsi="Arial" w:cs="Arial"/>
          <w:sz w:val="20"/>
        </w:rPr>
        <w:t>Para aplicar la clasificación anterior, un activo deberá cumplir las siguientes condiciones:</w:t>
      </w:r>
    </w:p>
    <w:p w14:paraId="7033BB80" w14:textId="77777777" w:rsidR="00931F52" w:rsidRPr="0083110B" w:rsidRDefault="00931F52" w:rsidP="00931F52">
      <w:pPr>
        <w:pStyle w:val="Prrafodelista"/>
        <w:numPr>
          <w:ilvl w:val="0"/>
          <w:numId w:val="32"/>
        </w:numPr>
        <w:spacing w:line="259" w:lineRule="auto"/>
        <w:contextualSpacing/>
        <w:jc w:val="both"/>
        <w:rPr>
          <w:rFonts w:ascii="Arial" w:hAnsi="Arial" w:cs="Arial"/>
          <w:sz w:val="20"/>
        </w:rPr>
      </w:pPr>
      <w:r w:rsidRPr="0083110B">
        <w:rPr>
          <w:rFonts w:ascii="Arial" w:hAnsi="Arial" w:cs="Arial"/>
          <w:sz w:val="20"/>
        </w:rPr>
        <w:t>Estar disponibles para su venta inmediata en las condiciones actuales;</w:t>
      </w:r>
    </w:p>
    <w:p w14:paraId="0BAD0461" w14:textId="77777777" w:rsidR="00931F52" w:rsidRPr="0083110B" w:rsidRDefault="00931F52" w:rsidP="00931F52">
      <w:pPr>
        <w:pStyle w:val="Prrafodelista"/>
        <w:numPr>
          <w:ilvl w:val="0"/>
          <w:numId w:val="32"/>
        </w:numPr>
        <w:spacing w:line="259" w:lineRule="auto"/>
        <w:contextualSpacing/>
        <w:jc w:val="both"/>
        <w:rPr>
          <w:rFonts w:ascii="Arial" w:hAnsi="Arial" w:cs="Arial"/>
          <w:sz w:val="20"/>
        </w:rPr>
      </w:pPr>
      <w:r w:rsidRPr="0083110B">
        <w:rPr>
          <w:rFonts w:ascii="Arial" w:hAnsi="Arial" w:cs="Arial"/>
          <w:sz w:val="20"/>
        </w:rPr>
        <w:t>La gerencia debe estar comprometida por un plan para vender el activo y haber iniciado de forma activa un programa para encontrar un comprador y completar el plan;</w:t>
      </w:r>
    </w:p>
    <w:p w14:paraId="078DBFDA" w14:textId="77777777" w:rsidR="00931F52" w:rsidRPr="0083110B" w:rsidRDefault="00931F52" w:rsidP="00931F52">
      <w:pPr>
        <w:pStyle w:val="Prrafodelista"/>
        <w:numPr>
          <w:ilvl w:val="0"/>
          <w:numId w:val="32"/>
        </w:numPr>
        <w:spacing w:line="259" w:lineRule="auto"/>
        <w:contextualSpacing/>
        <w:jc w:val="both"/>
        <w:rPr>
          <w:rFonts w:ascii="Arial" w:hAnsi="Arial" w:cs="Arial"/>
          <w:sz w:val="20"/>
        </w:rPr>
      </w:pPr>
      <w:r w:rsidRPr="0083110B">
        <w:rPr>
          <w:rFonts w:ascii="Arial" w:hAnsi="Arial" w:cs="Arial"/>
          <w:sz w:val="20"/>
        </w:rPr>
        <w:t>Negociarse activamente su venta a un precio razonable, en relación con su valor razonable actual;</w:t>
      </w:r>
    </w:p>
    <w:p w14:paraId="6405D407" w14:textId="77777777" w:rsidR="00931F52" w:rsidRPr="0083110B" w:rsidRDefault="00931F52" w:rsidP="00931F52">
      <w:pPr>
        <w:pStyle w:val="Prrafodelista"/>
        <w:numPr>
          <w:ilvl w:val="0"/>
          <w:numId w:val="32"/>
        </w:numPr>
        <w:spacing w:line="259" w:lineRule="auto"/>
        <w:contextualSpacing/>
        <w:jc w:val="both"/>
        <w:rPr>
          <w:rFonts w:ascii="Arial" w:hAnsi="Arial" w:cs="Arial"/>
          <w:sz w:val="20"/>
        </w:rPr>
      </w:pPr>
      <w:r w:rsidRPr="0083110B">
        <w:rPr>
          <w:rFonts w:ascii="Arial" w:hAnsi="Arial" w:cs="Arial"/>
          <w:sz w:val="20"/>
        </w:rPr>
        <w:t>Se espera que la venta sea concertada dentro de un año desde su fecha de reclasificación;</w:t>
      </w:r>
    </w:p>
    <w:p w14:paraId="4EA3F579" w14:textId="77777777" w:rsidR="00931F52" w:rsidRPr="0083110B" w:rsidRDefault="00931F52" w:rsidP="00931F52">
      <w:pPr>
        <w:pStyle w:val="Prrafodelista"/>
        <w:numPr>
          <w:ilvl w:val="0"/>
          <w:numId w:val="32"/>
        </w:numPr>
        <w:spacing w:line="259" w:lineRule="auto"/>
        <w:contextualSpacing/>
        <w:jc w:val="both"/>
        <w:rPr>
          <w:rFonts w:ascii="Arial" w:hAnsi="Arial" w:cs="Arial"/>
          <w:sz w:val="20"/>
        </w:rPr>
      </w:pPr>
      <w:r w:rsidRPr="0083110B">
        <w:rPr>
          <w:rFonts w:ascii="Arial" w:hAnsi="Arial" w:cs="Arial"/>
          <w:sz w:val="20"/>
        </w:rPr>
        <w:t>Es poco probable que se realicen cambios significativos sobre el plan o que el mismo sea retirado.</w:t>
      </w:r>
    </w:p>
    <w:p w14:paraId="030CF023" w14:textId="77777777" w:rsidR="00931F52" w:rsidRPr="0083110B" w:rsidRDefault="00931F52" w:rsidP="00931F52">
      <w:pPr>
        <w:ind w:left="360"/>
        <w:jc w:val="both"/>
        <w:rPr>
          <w:rFonts w:ascii="Arial" w:hAnsi="Arial" w:cs="Arial"/>
          <w:sz w:val="20"/>
        </w:rPr>
      </w:pPr>
    </w:p>
    <w:p w14:paraId="226525A4" w14:textId="77777777" w:rsidR="00931F52" w:rsidRPr="0083110B" w:rsidRDefault="00931F52" w:rsidP="00931F52">
      <w:pPr>
        <w:jc w:val="both"/>
        <w:rPr>
          <w:rFonts w:ascii="Arial" w:hAnsi="Arial" w:cs="Arial"/>
          <w:sz w:val="20"/>
        </w:rPr>
      </w:pPr>
      <w:r w:rsidRPr="0083110B">
        <w:rPr>
          <w:rFonts w:ascii="Arial" w:hAnsi="Arial" w:cs="Arial"/>
          <w:sz w:val="20"/>
        </w:rPr>
        <w:t xml:space="preserve">En ocasiones, una entidad dispone de un grupo de activos (valor llave incluido, en caso de corresponder), posiblemente con algunos pasivos directamente asociados, de forma conjunta y en una sola transacción. </w:t>
      </w:r>
    </w:p>
    <w:p w14:paraId="1D61BD87" w14:textId="77777777" w:rsidR="00931F52" w:rsidRDefault="00931F52" w:rsidP="00931F52">
      <w:pPr>
        <w:jc w:val="both"/>
        <w:rPr>
          <w:rFonts w:ascii="Arial" w:hAnsi="Arial" w:cs="Arial"/>
          <w:sz w:val="20"/>
        </w:rPr>
      </w:pPr>
    </w:p>
    <w:p w14:paraId="49B0B052" w14:textId="77777777" w:rsidR="00931F52" w:rsidRPr="0083110B" w:rsidRDefault="00931F52" w:rsidP="00931F52">
      <w:pPr>
        <w:jc w:val="both"/>
        <w:rPr>
          <w:rFonts w:ascii="Arial" w:hAnsi="Arial" w:cs="Arial"/>
          <w:sz w:val="20"/>
        </w:rPr>
      </w:pPr>
      <w:r w:rsidRPr="0083110B">
        <w:rPr>
          <w:rFonts w:ascii="Arial" w:hAnsi="Arial" w:cs="Arial"/>
          <w:sz w:val="20"/>
        </w:rPr>
        <w:t xml:space="preserve">Los activos, o grupos de activos, clasificados como disponibles para la venta de acuerdo a lo establecido por la NIIF 5 “Activos no corrientes mantenidos para la venta y operaciones discontinuadas”, son medidos al menor valor entre el Valor Residual y su Valor Neto de Realización al cierre de ejercicio. </w:t>
      </w:r>
    </w:p>
    <w:p w14:paraId="1A69102F" w14:textId="77777777" w:rsidR="00931F52" w:rsidRDefault="00931F52" w:rsidP="00931F52">
      <w:pPr>
        <w:jc w:val="both"/>
        <w:rPr>
          <w:rFonts w:ascii="Arial" w:hAnsi="Arial" w:cs="Arial"/>
          <w:sz w:val="20"/>
        </w:rPr>
      </w:pPr>
    </w:p>
    <w:p w14:paraId="4B9E9F1C" w14:textId="77777777" w:rsidR="00931F52" w:rsidRPr="0083110B" w:rsidRDefault="00931F52" w:rsidP="00931F52">
      <w:pPr>
        <w:jc w:val="both"/>
        <w:rPr>
          <w:rFonts w:ascii="Arial" w:hAnsi="Arial" w:cs="Arial"/>
          <w:sz w:val="20"/>
        </w:rPr>
      </w:pPr>
      <w:r w:rsidRPr="0083110B">
        <w:rPr>
          <w:rFonts w:ascii="Arial" w:hAnsi="Arial" w:cs="Arial"/>
          <w:sz w:val="20"/>
        </w:rPr>
        <w:t xml:space="preserve">El </w:t>
      </w:r>
      <w:r>
        <w:rPr>
          <w:rFonts w:ascii="Arial" w:hAnsi="Arial" w:cs="Arial"/>
          <w:sz w:val="20"/>
        </w:rPr>
        <w:t>Banco</w:t>
      </w:r>
      <w:r w:rsidRPr="0083110B">
        <w:rPr>
          <w:rFonts w:ascii="Arial" w:hAnsi="Arial" w:cs="Arial"/>
          <w:sz w:val="20"/>
        </w:rPr>
        <w:t xml:space="preserve"> no depreciará el activo mientras esté clasificado como mantenido para la venta, o mientras forme parte de un grupo de activos para su disposición clasificado como mantenido para la venta. No obstante, continuarán reconociéndose tanto los intereses como otros gastos atribuibles a los pasivos de un grupo de activos para su disposición que se haya clasificado como mantenido para la venta. </w:t>
      </w:r>
    </w:p>
    <w:p w14:paraId="1F4ACC51" w14:textId="77777777" w:rsidR="00931F52" w:rsidRDefault="00931F52" w:rsidP="00931F52">
      <w:pPr>
        <w:jc w:val="both"/>
        <w:rPr>
          <w:rFonts w:ascii="Arial" w:hAnsi="Arial" w:cs="Arial"/>
          <w:sz w:val="20"/>
        </w:rPr>
      </w:pPr>
    </w:p>
    <w:p w14:paraId="138CFC6C" w14:textId="72CD9287" w:rsidR="00931F52" w:rsidRPr="0083110B" w:rsidRDefault="00743E50" w:rsidP="00931F52">
      <w:pPr>
        <w:jc w:val="both"/>
        <w:rPr>
          <w:rFonts w:ascii="Arial" w:hAnsi="Arial" w:cs="Arial"/>
          <w:sz w:val="20"/>
        </w:rPr>
      </w:pPr>
      <w:r w:rsidRPr="00743E50">
        <w:rPr>
          <w:rFonts w:ascii="Arial" w:hAnsi="Arial" w:cs="Arial"/>
          <w:sz w:val="20"/>
        </w:rPr>
        <w:t>Los saldos de instrumentos financieros, impuestos diferidos y propiedades de inversión, incluidos dentro de un grupo de activos clasificados como disponibles para la venta, no están sujetos a los métodos de valuación detallados anteriormente.</w:t>
      </w:r>
      <w:r w:rsidR="00931F52" w:rsidRPr="0083110B">
        <w:rPr>
          <w:rFonts w:ascii="Arial" w:hAnsi="Arial" w:cs="Arial"/>
          <w:sz w:val="20"/>
        </w:rPr>
        <w:t xml:space="preserve"> </w:t>
      </w:r>
    </w:p>
    <w:p w14:paraId="22BC692B" w14:textId="77777777" w:rsidR="00931F52" w:rsidRDefault="00931F52" w:rsidP="00931F52">
      <w:pPr>
        <w:jc w:val="both"/>
        <w:rPr>
          <w:rFonts w:ascii="Arial" w:hAnsi="Arial" w:cs="Arial"/>
          <w:sz w:val="20"/>
        </w:rPr>
      </w:pPr>
    </w:p>
    <w:p w14:paraId="311B575C" w14:textId="77777777" w:rsidR="00931F52" w:rsidRPr="0083110B" w:rsidRDefault="00931F52" w:rsidP="00931F52">
      <w:pPr>
        <w:jc w:val="both"/>
        <w:rPr>
          <w:rFonts w:ascii="Arial" w:hAnsi="Arial" w:cs="Arial"/>
          <w:sz w:val="20"/>
        </w:rPr>
      </w:pPr>
      <w:r w:rsidRPr="0083110B">
        <w:rPr>
          <w:rFonts w:ascii="Arial" w:hAnsi="Arial" w:cs="Arial"/>
          <w:sz w:val="20"/>
        </w:rPr>
        <w:t xml:space="preserve">Los pasivos directamente asociados con los grupos de activos a ser dispuestos serán reclasificados y expuestos separadamente en el Estado de Situación Financiera del </w:t>
      </w:r>
      <w:r>
        <w:rPr>
          <w:rFonts w:ascii="Arial" w:hAnsi="Arial" w:cs="Arial"/>
          <w:sz w:val="20"/>
        </w:rPr>
        <w:t>Banco</w:t>
      </w:r>
      <w:r w:rsidRPr="0083110B">
        <w:rPr>
          <w:rFonts w:ascii="Arial" w:hAnsi="Arial" w:cs="Arial"/>
          <w:sz w:val="20"/>
        </w:rPr>
        <w:t>.</w:t>
      </w:r>
    </w:p>
    <w:p w14:paraId="00F33BDE" w14:textId="77777777" w:rsidR="00931F52" w:rsidRDefault="00931F52" w:rsidP="00931F52">
      <w:pPr>
        <w:jc w:val="both"/>
        <w:rPr>
          <w:rFonts w:ascii="Arial" w:hAnsi="Arial" w:cs="Arial"/>
          <w:b/>
          <w:sz w:val="20"/>
        </w:rPr>
      </w:pPr>
    </w:p>
    <w:p w14:paraId="0E4C6627" w14:textId="77777777" w:rsidR="00931F52" w:rsidRPr="00701F32" w:rsidRDefault="00931F52" w:rsidP="00931F52">
      <w:pPr>
        <w:jc w:val="both"/>
        <w:rPr>
          <w:rFonts w:ascii="Arial" w:hAnsi="Arial" w:cs="Arial"/>
          <w:b/>
          <w:color w:val="FF0000"/>
          <w:sz w:val="20"/>
        </w:rPr>
      </w:pPr>
      <w:r>
        <w:rPr>
          <w:rFonts w:ascii="Arial" w:hAnsi="Arial" w:cs="Arial"/>
          <w:b/>
          <w:sz w:val="20"/>
        </w:rPr>
        <w:t>1.19</w:t>
      </w:r>
      <w:r w:rsidRPr="00701F32">
        <w:rPr>
          <w:rFonts w:ascii="Arial" w:hAnsi="Arial" w:cs="Arial"/>
          <w:b/>
          <w:sz w:val="20"/>
        </w:rPr>
        <w:t xml:space="preserve"> Desvalorización de activos no financieros  </w:t>
      </w:r>
    </w:p>
    <w:p w14:paraId="23F7A9FB" w14:textId="77777777" w:rsidR="00931F52" w:rsidRPr="00701F32" w:rsidRDefault="00931F52" w:rsidP="00931F52">
      <w:pPr>
        <w:jc w:val="both"/>
        <w:rPr>
          <w:rFonts w:ascii="Arial" w:hAnsi="Arial" w:cs="Arial"/>
          <w:sz w:val="20"/>
        </w:rPr>
      </w:pPr>
    </w:p>
    <w:p w14:paraId="6F40CFEB" w14:textId="77777777" w:rsidR="00931F52" w:rsidRPr="00701F32" w:rsidRDefault="00931F52" w:rsidP="00931F52">
      <w:pPr>
        <w:jc w:val="both"/>
        <w:rPr>
          <w:rFonts w:ascii="Arial" w:hAnsi="Arial" w:cs="Arial"/>
          <w:sz w:val="20"/>
        </w:rPr>
      </w:pPr>
      <w:r w:rsidRPr="00701F32">
        <w:rPr>
          <w:rFonts w:ascii="Arial" w:hAnsi="Arial" w:cs="Arial"/>
          <w:sz w:val="20"/>
        </w:rPr>
        <w:t>Los activos que tienen vida útil indefinida no están sujetos a amortización y se someten a pruebas anuales de desvalorización. A diferencia del supuesto anterior, aquellos bienes que son amortizables se someten a pruebas de desvalorización cuando se producen eventos o circunstancias que indican que podría no recuperarse su valor de libros o, mínimamente, en forma anual.</w:t>
      </w:r>
    </w:p>
    <w:p w14:paraId="247568BD" w14:textId="77777777" w:rsidR="00931F52" w:rsidRPr="00701F32" w:rsidRDefault="00931F52" w:rsidP="00931F52">
      <w:pPr>
        <w:jc w:val="both"/>
        <w:rPr>
          <w:rFonts w:ascii="Arial" w:hAnsi="Arial" w:cs="Arial"/>
          <w:sz w:val="20"/>
        </w:rPr>
      </w:pPr>
    </w:p>
    <w:p w14:paraId="473FEE5B" w14:textId="77777777" w:rsidR="00931F52" w:rsidRPr="00701F32" w:rsidRDefault="00931F52" w:rsidP="00931F52">
      <w:pPr>
        <w:jc w:val="both"/>
        <w:rPr>
          <w:rFonts w:ascii="Arial" w:hAnsi="Arial" w:cs="Arial"/>
          <w:sz w:val="20"/>
        </w:rPr>
      </w:pPr>
      <w:r w:rsidRPr="00701F32">
        <w:rPr>
          <w:rFonts w:ascii="Arial" w:hAnsi="Arial" w:cs="Arial"/>
          <w:sz w:val="20"/>
        </w:rPr>
        <w:t>Las pérdidas por desvalorización se reconocen cuando el valor de libros excede a su valor recuperable. El valor recuperable de los activos corresponde al mayor entre el monto neto que se obtendría de su venta o su valor en uso. Para efectos de la prueba de desvalorización, los activos se agrupan al menor nivel en que generan flujos de efectivo identificables (unidades generadoras de efectivo). El valor de libros de activos no financieros distintos del valor llave sobre los que se ha registrado una desvalorización, se revisan a cada fecha de reporte para verificar posibles reversiones de desvalorizaciones.</w:t>
      </w:r>
    </w:p>
    <w:p w14:paraId="7AA7EEC6" w14:textId="77777777" w:rsidR="00931F52" w:rsidRPr="00701F32" w:rsidRDefault="00931F52" w:rsidP="00931F52">
      <w:pPr>
        <w:jc w:val="both"/>
        <w:rPr>
          <w:rFonts w:ascii="Arial" w:hAnsi="Arial" w:cs="Arial"/>
          <w:sz w:val="20"/>
        </w:rPr>
      </w:pPr>
    </w:p>
    <w:p w14:paraId="17801A58" w14:textId="77777777" w:rsidR="00931F52" w:rsidRPr="00701F32" w:rsidRDefault="00931F52" w:rsidP="00931F52">
      <w:pPr>
        <w:rPr>
          <w:rFonts w:ascii="Arial" w:eastAsiaTheme="minorHAnsi" w:hAnsi="Arial" w:cs="Arial"/>
          <w:b/>
          <w:sz w:val="20"/>
        </w:rPr>
      </w:pPr>
      <w:r>
        <w:rPr>
          <w:rFonts w:ascii="Arial" w:eastAsiaTheme="minorHAnsi" w:hAnsi="Arial" w:cs="Arial"/>
          <w:b/>
          <w:sz w:val="20"/>
        </w:rPr>
        <w:t>1.20</w:t>
      </w:r>
      <w:r w:rsidRPr="00701F32">
        <w:rPr>
          <w:rFonts w:ascii="Arial" w:eastAsiaTheme="minorHAnsi" w:hAnsi="Arial" w:cs="Arial"/>
          <w:b/>
          <w:sz w:val="20"/>
        </w:rPr>
        <w:t xml:space="preserve"> Activos fiduciarios</w:t>
      </w:r>
    </w:p>
    <w:p w14:paraId="287F518D" w14:textId="77777777" w:rsidR="00931F52" w:rsidRPr="00701F32" w:rsidRDefault="00931F52" w:rsidP="00931F52">
      <w:pPr>
        <w:rPr>
          <w:rFonts w:ascii="Arial" w:eastAsiaTheme="minorHAnsi" w:hAnsi="Arial" w:cs="Arial"/>
          <w:b/>
          <w:color w:val="943634" w:themeColor="accent2" w:themeShade="BF"/>
          <w:sz w:val="20"/>
        </w:rPr>
      </w:pPr>
    </w:p>
    <w:p w14:paraId="37684ED0" w14:textId="77777777" w:rsidR="00931F52" w:rsidRPr="00701F32" w:rsidRDefault="00931F52" w:rsidP="00931F52">
      <w:pPr>
        <w:jc w:val="both"/>
        <w:rPr>
          <w:rFonts w:ascii="Arial" w:hAnsi="Arial" w:cs="Arial"/>
          <w:sz w:val="20"/>
        </w:rPr>
      </w:pPr>
      <w:r w:rsidRPr="00701F32">
        <w:rPr>
          <w:rFonts w:ascii="Arial" w:eastAsiaTheme="minorHAnsi" w:hAnsi="Arial" w:cs="Arial"/>
          <w:sz w:val="20"/>
        </w:rPr>
        <w:t>Los activos mantenidos por el Banco en su rol de fiduciario, no se informan en el estado consolidado de situación financiera. Las comisiones recibidas de actividades fiduciarias se muestran en ingresos por comisiones.</w:t>
      </w:r>
    </w:p>
    <w:p w14:paraId="37A44B11" w14:textId="77777777" w:rsidR="00931F52" w:rsidRPr="00701F32" w:rsidRDefault="00931F52" w:rsidP="00931F52">
      <w:pPr>
        <w:jc w:val="both"/>
        <w:rPr>
          <w:rFonts w:ascii="Arial" w:hAnsi="Arial" w:cs="Arial"/>
          <w:sz w:val="20"/>
        </w:rPr>
      </w:pPr>
    </w:p>
    <w:p w14:paraId="34E0AC49" w14:textId="77777777" w:rsidR="00931F52" w:rsidRPr="00701F32" w:rsidRDefault="00931F52" w:rsidP="00931F52">
      <w:pPr>
        <w:spacing w:after="160" w:line="259" w:lineRule="auto"/>
        <w:jc w:val="both"/>
        <w:rPr>
          <w:rFonts w:ascii="Arial" w:eastAsia="Arial" w:hAnsi="Arial" w:cs="Arial"/>
          <w:color w:val="FF0000"/>
          <w:sz w:val="20"/>
        </w:rPr>
      </w:pPr>
      <w:r>
        <w:rPr>
          <w:rFonts w:ascii="Arial" w:eastAsia="Arial" w:hAnsi="Arial" w:cs="Arial"/>
          <w:b/>
          <w:sz w:val="20"/>
        </w:rPr>
        <w:t>1.21</w:t>
      </w:r>
      <w:r w:rsidRPr="00701F32">
        <w:rPr>
          <w:rFonts w:ascii="Arial" w:eastAsia="Arial" w:hAnsi="Arial" w:cs="Arial"/>
          <w:b/>
          <w:sz w:val="20"/>
        </w:rPr>
        <w:t xml:space="preserve"> Compensación  </w:t>
      </w:r>
    </w:p>
    <w:p w14:paraId="2A3E2F95" w14:textId="77777777" w:rsidR="00931F52" w:rsidRPr="00701F32" w:rsidRDefault="00931F52" w:rsidP="00931F52">
      <w:pPr>
        <w:spacing w:after="160" w:line="259" w:lineRule="auto"/>
        <w:jc w:val="both"/>
        <w:rPr>
          <w:rFonts w:ascii="Arial" w:eastAsia="Arial" w:hAnsi="Arial" w:cs="Arial"/>
          <w:sz w:val="20"/>
        </w:rPr>
      </w:pPr>
      <w:r w:rsidRPr="00701F32">
        <w:rPr>
          <w:rFonts w:ascii="Arial" w:eastAsia="Arial" w:hAnsi="Arial" w:cs="Arial"/>
          <w:sz w:val="20"/>
        </w:rPr>
        <w:t>Los activos y pasivos financieros se compensan informando el importe neto en el estado de situación financiera consolidado solo cuando existe un derecho exigible legalmente para compensar los importes reconocidos, y existe la intención de liquidar en términos netos o realizar el activo y liquidar la responsabilidad simultáneamente.</w:t>
      </w:r>
    </w:p>
    <w:p w14:paraId="2EB43069" w14:textId="77777777" w:rsidR="00931F52" w:rsidRPr="00701F32" w:rsidRDefault="00931F52" w:rsidP="00931F52">
      <w:pPr>
        <w:spacing w:after="160" w:line="259" w:lineRule="auto"/>
        <w:jc w:val="both"/>
        <w:rPr>
          <w:rFonts w:ascii="Arial" w:eastAsia="Arial" w:hAnsi="Arial" w:cs="Arial"/>
          <w:b/>
          <w:sz w:val="20"/>
        </w:rPr>
      </w:pPr>
      <w:r>
        <w:rPr>
          <w:rFonts w:ascii="Arial" w:eastAsia="Arial" w:hAnsi="Arial" w:cs="Arial"/>
          <w:b/>
          <w:sz w:val="20"/>
        </w:rPr>
        <w:t>1.22</w:t>
      </w:r>
      <w:r w:rsidRPr="00701F32">
        <w:rPr>
          <w:rFonts w:ascii="Arial" w:eastAsia="Arial" w:hAnsi="Arial" w:cs="Arial"/>
          <w:b/>
          <w:sz w:val="20"/>
        </w:rPr>
        <w:t xml:space="preserve"> Financiaciones recibidas del B.C.R.A. y otras Instituciones Financieras </w:t>
      </w:r>
    </w:p>
    <w:p w14:paraId="51B1F859" w14:textId="537B3210" w:rsidR="00931F52" w:rsidRPr="00701F32" w:rsidRDefault="00931F52" w:rsidP="00931F52">
      <w:pPr>
        <w:spacing w:after="160" w:line="259" w:lineRule="auto"/>
        <w:jc w:val="both"/>
        <w:rPr>
          <w:rFonts w:ascii="Arial" w:eastAsia="Arial" w:hAnsi="Arial" w:cs="Arial"/>
          <w:sz w:val="20"/>
        </w:rPr>
      </w:pPr>
      <w:r w:rsidRPr="00701F32">
        <w:rPr>
          <w:rFonts w:ascii="Arial" w:eastAsia="Arial" w:hAnsi="Arial" w:cs="Arial"/>
          <w:sz w:val="20"/>
        </w:rPr>
        <w:t>Los montos adeudados a otras entidades financieras son registrados en el momento en que el capital es adelantado al banco por la entidad bancaria</w:t>
      </w:r>
      <w:r w:rsidRPr="00701F32">
        <w:rPr>
          <w:rFonts w:ascii="Arial" w:eastAsia="Arial" w:hAnsi="Arial" w:cs="Arial"/>
          <w:color w:val="FF0000"/>
          <w:sz w:val="20"/>
        </w:rPr>
        <w:t xml:space="preserve">. </w:t>
      </w:r>
      <w:r w:rsidRPr="00701F32">
        <w:rPr>
          <w:rFonts w:ascii="Arial" w:eastAsia="Arial" w:hAnsi="Arial" w:cs="Arial"/>
          <w:sz w:val="20"/>
        </w:rPr>
        <w:t xml:space="preserve">El pasivo financiero no derivado es medido a costo amortizado. En el caso que el </w:t>
      </w:r>
      <w:r w:rsidR="00A96E66">
        <w:rPr>
          <w:rFonts w:ascii="Arial" w:eastAsia="Arial" w:hAnsi="Arial" w:cs="Arial"/>
          <w:sz w:val="20"/>
        </w:rPr>
        <w:t>Banco</w:t>
      </w:r>
      <w:r w:rsidR="00A96E66" w:rsidRPr="00701F32">
        <w:rPr>
          <w:rFonts w:ascii="Arial" w:eastAsia="Arial" w:hAnsi="Arial" w:cs="Arial"/>
          <w:sz w:val="20"/>
        </w:rPr>
        <w:t xml:space="preserve"> </w:t>
      </w:r>
      <w:r w:rsidRPr="00701F32">
        <w:rPr>
          <w:rFonts w:ascii="Arial" w:eastAsia="Arial" w:hAnsi="Arial" w:cs="Arial"/>
          <w:sz w:val="20"/>
        </w:rPr>
        <w:t xml:space="preserve">recompre la deuda propia, esta es eliminada de los estados financieros consolidados y la diferencia entre el valor residual del pasivo financiero y el monto pagado es reconocido como un ingreso o egreso financiero. </w:t>
      </w:r>
    </w:p>
    <w:p w14:paraId="33913DC2" w14:textId="77777777" w:rsidR="00931F52" w:rsidRPr="00701F32" w:rsidRDefault="00931F52" w:rsidP="00931F52">
      <w:pPr>
        <w:spacing w:line="259" w:lineRule="auto"/>
        <w:jc w:val="both"/>
        <w:rPr>
          <w:rFonts w:ascii="Arial" w:eastAsia="Arial" w:hAnsi="Arial" w:cs="Arial"/>
          <w:b/>
          <w:sz w:val="20"/>
        </w:rPr>
      </w:pPr>
    </w:p>
    <w:p w14:paraId="65FB03A1" w14:textId="77777777" w:rsidR="00931F52" w:rsidRPr="00701F32" w:rsidRDefault="00931F52" w:rsidP="00931F52">
      <w:pPr>
        <w:spacing w:line="259" w:lineRule="auto"/>
        <w:jc w:val="both"/>
        <w:rPr>
          <w:rFonts w:ascii="Arial" w:eastAsia="Arial" w:hAnsi="Arial" w:cs="Arial"/>
          <w:b/>
          <w:sz w:val="20"/>
        </w:rPr>
      </w:pPr>
      <w:r>
        <w:rPr>
          <w:rFonts w:ascii="Arial" w:eastAsia="Arial" w:hAnsi="Arial" w:cs="Arial"/>
          <w:b/>
          <w:sz w:val="20"/>
        </w:rPr>
        <w:t>1.23</w:t>
      </w:r>
      <w:r w:rsidRPr="00701F32">
        <w:rPr>
          <w:rFonts w:ascii="Arial" w:eastAsia="Arial" w:hAnsi="Arial" w:cs="Arial"/>
          <w:b/>
          <w:sz w:val="20"/>
        </w:rPr>
        <w:t xml:space="preserve"> Provisiones / Contingencias </w:t>
      </w:r>
    </w:p>
    <w:p w14:paraId="69C7349E" w14:textId="77777777" w:rsidR="00931F52" w:rsidRPr="00701F32" w:rsidRDefault="00931F52" w:rsidP="00931F52">
      <w:pPr>
        <w:spacing w:line="259" w:lineRule="auto"/>
        <w:jc w:val="both"/>
        <w:rPr>
          <w:rFonts w:ascii="Arial" w:eastAsia="Arial" w:hAnsi="Arial" w:cs="Arial"/>
          <w:b/>
          <w:sz w:val="20"/>
        </w:rPr>
      </w:pPr>
    </w:p>
    <w:p w14:paraId="1A3A7847" w14:textId="77777777" w:rsidR="00931F52" w:rsidRPr="00701F32" w:rsidRDefault="00931F52" w:rsidP="00931F52">
      <w:pPr>
        <w:jc w:val="both"/>
        <w:rPr>
          <w:rFonts w:ascii="Arial" w:hAnsi="Arial" w:cs="Arial"/>
          <w:sz w:val="20"/>
        </w:rPr>
      </w:pPr>
      <w:r w:rsidRPr="00701F32">
        <w:rPr>
          <w:rFonts w:ascii="Arial" w:hAnsi="Arial" w:cs="Arial"/>
          <w:sz w:val="20"/>
        </w:rPr>
        <w:t>De acuerdo a las Normas contables adoptadas por el BCRA, una Entidad tendrá una provisión si:</w:t>
      </w:r>
    </w:p>
    <w:p w14:paraId="5024FE54" w14:textId="77777777" w:rsidR="00931F52" w:rsidRPr="00701F32" w:rsidRDefault="00931F52" w:rsidP="00931F52">
      <w:pPr>
        <w:jc w:val="both"/>
        <w:rPr>
          <w:rFonts w:ascii="Arial" w:hAnsi="Arial" w:cs="Arial"/>
          <w:sz w:val="20"/>
        </w:rPr>
      </w:pPr>
    </w:p>
    <w:p w14:paraId="363DC1BF" w14:textId="77777777" w:rsidR="00931F52" w:rsidRPr="00701F32" w:rsidRDefault="00931F52" w:rsidP="00D538FD">
      <w:pPr>
        <w:numPr>
          <w:ilvl w:val="0"/>
          <w:numId w:val="52"/>
        </w:numPr>
        <w:spacing w:after="160" w:line="259" w:lineRule="auto"/>
        <w:contextualSpacing/>
        <w:jc w:val="both"/>
        <w:rPr>
          <w:rFonts w:ascii="Arial" w:hAnsi="Arial" w:cs="Arial"/>
          <w:sz w:val="20"/>
        </w:rPr>
      </w:pPr>
      <w:r w:rsidRPr="00701F32">
        <w:rPr>
          <w:rFonts w:ascii="Arial" w:hAnsi="Arial" w:cs="Arial"/>
          <w:sz w:val="20"/>
        </w:rPr>
        <w:t>Posee una obligación presente (legal o implícita) como consecuencia de un suceso pasado;</w:t>
      </w:r>
    </w:p>
    <w:p w14:paraId="7A3E7F12" w14:textId="77777777" w:rsidR="00931F52" w:rsidRPr="00701F32" w:rsidRDefault="00931F52" w:rsidP="00D538FD">
      <w:pPr>
        <w:numPr>
          <w:ilvl w:val="0"/>
          <w:numId w:val="52"/>
        </w:numPr>
        <w:spacing w:after="160" w:line="259" w:lineRule="auto"/>
        <w:contextualSpacing/>
        <w:jc w:val="both"/>
        <w:rPr>
          <w:rFonts w:ascii="Arial" w:hAnsi="Arial" w:cs="Arial"/>
          <w:sz w:val="20"/>
        </w:rPr>
      </w:pPr>
      <w:r w:rsidRPr="00701F32">
        <w:rPr>
          <w:rFonts w:ascii="Arial" w:hAnsi="Arial" w:cs="Arial"/>
          <w:sz w:val="20"/>
        </w:rPr>
        <w:t xml:space="preserve">Es probable que la Entidad tenga que desprenderse de recursos que incorporen beneficios económicos futuros para cancelar tal obligación; y </w:t>
      </w:r>
    </w:p>
    <w:p w14:paraId="4A9DC8B4" w14:textId="77777777" w:rsidR="00931F52" w:rsidRPr="00701F32" w:rsidRDefault="00931F52" w:rsidP="00D538FD">
      <w:pPr>
        <w:numPr>
          <w:ilvl w:val="0"/>
          <w:numId w:val="52"/>
        </w:numPr>
        <w:spacing w:after="160" w:line="259" w:lineRule="auto"/>
        <w:contextualSpacing/>
        <w:jc w:val="both"/>
        <w:rPr>
          <w:rFonts w:ascii="Arial" w:hAnsi="Arial" w:cs="Arial"/>
          <w:sz w:val="20"/>
        </w:rPr>
      </w:pPr>
      <w:r w:rsidRPr="00701F32">
        <w:rPr>
          <w:rFonts w:ascii="Arial" w:hAnsi="Arial" w:cs="Arial"/>
          <w:sz w:val="20"/>
        </w:rPr>
        <w:t>Puede hacerse una estimación fiable del importe de la obligación.</w:t>
      </w:r>
    </w:p>
    <w:p w14:paraId="22298246" w14:textId="77777777" w:rsidR="00931F52" w:rsidRPr="00701F32" w:rsidRDefault="00931F52" w:rsidP="00931F52">
      <w:pPr>
        <w:ind w:left="720"/>
        <w:contextualSpacing/>
        <w:jc w:val="both"/>
        <w:rPr>
          <w:rFonts w:ascii="Arial" w:hAnsi="Arial" w:cs="Arial"/>
          <w:sz w:val="20"/>
        </w:rPr>
      </w:pPr>
    </w:p>
    <w:p w14:paraId="2D778BF3" w14:textId="383C74BE" w:rsidR="00931F52" w:rsidRPr="00701F32" w:rsidRDefault="00931F52" w:rsidP="00931F52">
      <w:pPr>
        <w:spacing w:line="259" w:lineRule="auto"/>
        <w:jc w:val="both"/>
        <w:rPr>
          <w:rFonts w:ascii="Arial" w:hAnsi="Arial" w:cs="Arial"/>
          <w:sz w:val="20"/>
        </w:rPr>
      </w:pPr>
      <w:r w:rsidRPr="00701F32">
        <w:rPr>
          <w:rFonts w:ascii="Arial" w:hAnsi="Arial" w:cs="Arial"/>
          <w:sz w:val="20"/>
        </w:rPr>
        <w:t xml:space="preserve">Se entenderá que una Entidad tiene una obligación implícita si (a) como consecuencia de prácticas anteriores o políticas públicas el </w:t>
      </w:r>
      <w:r w:rsidR="00A96E66">
        <w:rPr>
          <w:rFonts w:ascii="Arial" w:hAnsi="Arial" w:cs="Arial"/>
          <w:sz w:val="20"/>
        </w:rPr>
        <w:t>banco</w:t>
      </w:r>
      <w:r w:rsidRPr="00701F32">
        <w:rPr>
          <w:rFonts w:ascii="Arial" w:hAnsi="Arial" w:cs="Arial"/>
          <w:sz w:val="20"/>
        </w:rPr>
        <w:t xml:space="preserve"> ha asumido ciertas responsabilidades y (b) como resultado, ha creado expectativas de que va a cumplir con esas obligaciones.</w:t>
      </w:r>
    </w:p>
    <w:p w14:paraId="5E40BEEB" w14:textId="77777777" w:rsidR="00931F52" w:rsidRPr="00701F32" w:rsidRDefault="00931F52" w:rsidP="00931F52">
      <w:pPr>
        <w:spacing w:line="259" w:lineRule="auto"/>
        <w:jc w:val="both"/>
        <w:rPr>
          <w:rFonts w:ascii="Arial" w:eastAsia="Arial" w:hAnsi="Arial" w:cs="Arial"/>
          <w:sz w:val="20"/>
        </w:rPr>
      </w:pPr>
    </w:p>
    <w:p w14:paraId="74E92ECF" w14:textId="77777777" w:rsidR="00931F52" w:rsidRPr="00701F32" w:rsidRDefault="00931F52" w:rsidP="00931F52">
      <w:pPr>
        <w:spacing w:line="259" w:lineRule="auto"/>
        <w:jc w:val="both"/>
        <w:rPr>
          <w:rFonts w:ascii="Arial" w:eastAsia="Arial" w:hAnsi="Arial" w:cs="Arial"/>
          <w:sz w:val="20"/>
        </w:rPr>
      </w:pPr>
      <w:r w:rsidRPr="00701F32">
        <w:rPr>
          <w:rFonts w:ascii="Arial" w:eastAsia="Arial" w:hAnsi="Arial" w:cs="Arial"/>
          <w:sz w:val="20"/>
        </w:rPr>
        <w:t>El Banco reconoce las siguientes provisiones:</w:t>
      </w:r>
    </w:p>
    <w:p w14:paraId="30B5BB8D" w14:textId="77777777" w:rsidR="00931F52" w:rsidRPr="00701F32" w:rsidRDefault="00931F52" w:rsidP="00931F52">
      <w:pPr>
        <w:spacing w:line="259" w:lineRule="auto"/>
        <w:jc w:val="both"/>
        <w:rPr>
          <w:rFonts w:ascii="Arial" w:eastAsia="Arial" w:hAnsi="Arial" w:cs="Arial"/>
          <w:sz w:val="20"/>
        </w:rPr>
      </w:pPr>
    </w:p>
    <w:p w14:paraId="46E8EFE8" w14:textId="77777777" w:rsidR="00931F52" w:rsidRPr="00701F32" w:rsidRDefault="00931F52" w:rsidP="00931F52">
      <w:pPr>
        <w:spacing w:line="259" w:lineRule="auto"/>
        <w:jc w:val="both"/>
        <w:rPr>
          <w:rFonts w:ascii="Arial" w:eastAsia="Arial" w:hAnsi="Arial" w:cs="Arial"/>
          <w:sz w:val="20"/>
        </w:rPr>
      </w:pPr>
      <w:r w:rsidRPr="00701F32">
        <w:rPr>
          <w:rFonts w:ascii="Arial" w:eastAsia="Arial" w:hAnsi="Arial" w:cs="Arial"/>
          <w:sz w:val="20"/>
        </w:rPr>
        <w:t>Para juicios laborales, civiles y comerciales: se determinan en base a los informes de los abogados acerca del estado de los juicios y la estimación efectuada sobre las posibilidades de quebrantos a afrontar por el banco, así como en la experiencia pasada respecto a este tipo de juicios.</w:t>
      </w:r>
    </w:p>
    <w:p w14:paraId="71486F65" w14:textId="77777777" w:rsidR="00931F52" w:rsidRPr="00701F32" w:rsidRDefault="00931F52" w:rsidP="00931F52">
      <w:pPr>
        <w:spacing w:line="259" w:lineRule="auto"/>
        <w:jc w:val="both"/>
        <w:rPr>
          <w:rFonts w:ascii="Arial" w:eastAsia="Arial" w:hAnsi="Arial" w:cs="Arial"/>
          <w:sz w:val="20"/>
        </w:rPr>
      </w:pPr>
    </w:p>
    <w:p w14:paraId="02E666EA" w14:textId="77777777" w:rsidR="00931F52" w:rsidRPr="00701F32" w:rsidRDefault="00931F52" w:rsidP="00931F52">
      <w:pPr>
        <w:spacing w:line="259" w:lineRule="auto"/>
        <w:jc w:val="both"/>
        <w:rPr>
          <w:rFonts w:ascii="Arial" w:eastAsia="Arial" w:hAnsi="Arial" w:cs="Arial"/>
          <w:sz w:val="20"/>
        </w:rPr>
      </w:pPr>
      <w:r w:rsidRPr="00701F32">
        <w:rPr>
          <w:rFonts w:ascii="Arial" w:eastAsia="Arial" w:hAnsi="Arial" w:cs="Arial"/>
          <w:sz w:val="20"/>
        </w:rPr>
        <w:t>Para riesgos diversos: se constituyen para afrontar situaciones contingentes que podrían originar obligaciones para el banco. En la estimación de los montos se considera la probabilidad de su concreción tomando en cuenta la opinión de los asesores legales y profesionales del banco.</w:t>
      </w:r>
    </w:p>
    <w:p w14:paraId="5C06BDCD" w14:textId="77777777" w:rsidR="00931F52" w:rsidRPr="00701F32" w:rsidRDefault="00931F52" w:rsidP="00931F52">
      <w:pPr>
        <w:spacing w:line="259" w:lineRule="auto"/>
        <w:jc w:val="both"/>
        <w:rPr>
          <w:rFonts w:ascii="Arial" w:eastAsia="Arial" w:hAnsi="Arial" w:cs="Arial"/>
          <w:color w:val="0070C0"/>
          <w:sz w:val="20"/>
        </w:rPr>
      </w:pPr>
    </w:p>
    <w:p w14:paraId="09AC546B" w14:textId="02576A34" w:rsidR="00931F52" w:rsidRPr="00701F32" w:rsidRDefault="00931F52" w:rsidP="00931F52">
      <w:pPr>
        <w:jc w:val="both"/>
        <w:rPr>
          <w:rFonts w:ascii="Arial" w:hAnsi="Arial" w:cs="Arial"/>
          <w:sz w:val="20"/>
        </w:rPr>
      </w:pPr>
      <w:r w:rsidRPr="00701F32">
        <w:rPr>
          <w:rFonts w:ascii="Arial" w:hAnsi="Arial" w:cs="Arial"/>
          <w:sz w:val="20"/>
        </w:rPr>
        <w:t xml:space="preserve">El Banco no contabilizará las contingencias positivas, exceptuando las derivadas de impuestos diferidos y aquellas cuya concreción sea virtualmente </w:t>
      </w:r>
      <w:r w:rsidR="00743E50">
        <w:rPr>
          <w:rFonts w:ascii="Arial" w:hAnsi="Arial" w:cs="Arial"/>
          <w:sz w:val="20"/>
        </w:rPr>
        <w:t>cierta</w:t>
      </w:r>
      <w:r w:rsidRPr="00701F32">
        <w:rPr>
          <w:rFonts w:ascii="Arial" w:hAnsi="Arial" w:cs="Arial"/>
          <w:sz w:val="20"/>
        </w:rPr>
        <w:t>.</w:t>
      </w:r>
    </w:p>
    <w:p w14:paraId="332F496A" w14:textId="77777777" w:rsidR="00931F52" w:rsidRPr="00701F32" w:rsidRDefault="00931F52" w:rsidP="00931F52">
      <w:pPr>
        <w:spacing w:line="259" w:lineRule="auto"/>
        <w:jc w:val="both"/>
        <w:rPr>
          <w:rFonts w:ascii="Arial" w:eastAsia="Arial" w:hAnsi="Arial" w:cs="Arial"/>
          <w:sz w:val="20"/>
        </w:rPr>
      </w:pPr>
    </w:p>
    <w:p w14:paraId="3820385B" w14:textId="4E8A9B0A" w:rsidR="00931F52" w:rsidRPr="00701F32" w:rsidRDefault="00931F52" w:rsidP="00931F52">
      <w:pPr>
        <w:jc w:val="both"/>
        <w:rPr>
          <w:rFonts w:ascii="Arial" w:eastAsia="Arial" w:hAnsi="Arial" w:cs="Arial"/>
          <w:sz w:val="20"/>
        </w:rPr>
      </w:pPr>
      <w:r w:rsidRPr="00701F32">
        <w:rPr>
          <w:rFonts w:ascii="Arial" w:eastAsia="Arial" w:hAnsi="Arial" w:cs="Arial"/>
          <w:sz w:val="20"/>
        </w:rPr>
        <w:t xml:space="preserve">A la fecha de emisión de los presentes estados financieros consolidados, la Dirección del Banco entiende que no se han presentado elementos que permitan determinar la existencia de otras contingencias que puedan materializarse y generar un impacto negativo en los presentes estados financieros consolidados que las detalladas en la </w:t>
      </w:r>
      <w:r w:rsidR="0021178E">
        <w:rPr>
          <w:rFonts w:ascii="Arial" w:eastAsia="Arial" w:hAnsi="Arial" w:cs="Arial"/>
          <w:sz w:val="20"/>
        </w:rPr>
        <w:t>n</w:t>
      </w:r>
      <w:r w:rsidRPr="00701F32">
        <w:rPr>
          <w:rFonts w:ascii="Arial" w:eastAsia="Arial" w:hAnsi="Arial" w:cs="Arial"/>
          <w:sz w:val="20"/>
        </w:rPr>
        <w:t>ota 1</w:t>
      </w:r>
      <w:r w:rsidR="0021178E">
        <w:rPr>
          <w:rFonts w:ascii="Arial" w:eastAsia="Arial" w:hAnsi="Arial" w:cs="Arial"/>
          <w:sz w:val="20"/>
        </w:rPr>
        <w:t>1</w:t>
      </w:r>
      <w:r w:rsidRPr="00701F32">
        <w:rPr>
          <w:rFonts w:ascii="Arial" w:eastAsia="Arial" w:hAnsi="Arial" w:cs="Arial"/>
          <w:sz w:val="20"/>
        </w:rPr>
        <w:t>.</w:t>
      </w:r>
    </w:p>
    <w:p w14:paraId="471ED486" w14:textId="77777777" w:rsidR="00931F52" w:rsidRPr="00701F32" w:rsidRDefault="00931F52" w:rsidP="00931F52">
      <w:pPr>
        <w:jc w:val="both"/>
        <w:rPr>
          <w:rFonts w:ascii="Arial" w:eastAsia="Arial" w:hAnsi="Arial" w:cs="Arial"/>
          <w:sz w:val="20"/>
        </w:rPr>
      </w:pPr>
    </w:p>
    <w:p w14:paraId="04CBEDE1" w14:textId="77777777" w:rsidR="00931F52" w:rsidRDefault="00931F52" w:rsidP="00931F52">
      <w:pPr>
        <w:spacing w:after="160" w:line="259" w:lineRule="auto"/>
        <w:jc w:val="both"/>
        <w:rPr>
          <w:rFonts w:ascii="Arial" w:eastAsiaTheme="minorHAnsi" w:hAnsi="Arial" w:cs="Arial"/>
          <w:sz w:val="20"/>
        </w:rPr>
      </w:pPr>
      <w:r>
        <w:rPr>
          <w:rFonts w:ascii="Arial" w:eastAsiaTheme="minorHAnsi" w:hAnsi="Arial" w:cs="Arial"/>
          <w:b/>
          <w:sz w:val="20"/>
        </w:rPr>
        <w:t>1.24</w:t>
      </w:r>
      <w:r w:rsidRPr="00701F32">
        <w:rPr>
          <w:rFonts w:ascii="Arial" w:eastAsiaTheme="minorHAnsi" w:hAnsi="Arial" w:cs="Arial"/>
          <w:b/>
          <w:sz w:val="20"/>
        </w:rPr>
        <w:t xml:space="preserve"> Otros pasivos no financieros</w:t>
      </w:r>
    </w:p>
    <w:p w14:paraId="23461E0D" w14:textId="6E9203D0" w:rsidR="00743E50" w:rsidRDefault="00931F52" w:rsidP="00931F52">
      <w:pPr>
        <w:spacing w:line="259" w:lineRule="auto"/>
        <w:jc w:val="both"/>
        <w:rPr>
          <w:rFonts w:ascii="Arial" w:eastAsia="Arial" w:hAnsi="Arial" w:cs="Arial"/>
          <w:sz w:val="20"/>
        </w:rPr>
      </w:pPr>
      <w:r>
        <w:rPr>
          <w:rFonts w:ascii="Arial" w:eastAsia="Arial" w:hAnsi="Arial" w:cs="Arial"/>
          <w:sz w:val="20"/>
        </w:rPr>
        <w:t>B</w:t>
      </w:r>
      <w:r w:rsidRPr="00701F32">
        <w:rPr>
          <w:rFonts w:ascii="Arial" w:eastAsia="Arial" w:hAnsi="Arial" w:cs="Arial"/>
          <w:sz w:val="20"/>
        </w:rPr>
        <w:t>eneficios al personal: Se constituyen provisiones relacionadas con los planes de prejubilaciones y por los beneficios relacionados con premios a la trayectoria.</w:t>
      </w:r>
      <w:r w:rsidR="000F7F3A">
        <w:rPr>
          <w:rFonts w:ascii="Arial" w:eastAsia="Arial" w:hAnsi="Arial" w:cs="Arial"/>
          <w:sz w:val="20"/>
        </w:rPr>
        <w:t xml:space="preserve"> </w:t>
      </w:r>
      <w:r w:rsidR="00743E50" w:rsidRPr="00743E50">
        <w:rPr>
          <w:rFonts w:ascii="Arial" w:eastAsia="Arial" w:hAnsi="Arial" w:cs="Arial"/>
          <w:sz w:val="20"/>
        </w:rPr>
        <w:t xml:space="preserve">El pasivo relacionado a estos planes y beneficios no se espera que sea cancelado en los próximos 12 meses. Por lo que son medidos al valor presente de los flujos futuros de fondos que se espera realizar con respecto a los servicios provistos por lo empleados hasta el final del ejercicio utilizando el método de la unidad de crédito. Se toma en cuenta el nivel de sueldos, experiencia y desvinculaciones así como los años de servicio. Los pagos futuros esperados son descontados utilizando tasa de mercado al final del ejercicio correspondiente a bonos soberanos con términos y moneda que coinciden con los flujos esperados. Las remediciones como resultado de experiencia y cambios en las premisas actuariales son reconocidas en resultados.  </w:t>
      </w:r>
    </w:p>
    <w:p w14:paraId="7571E45C" w14:textId="77777777" w:rsidR="00743E50" w:rsidRPr="00701F32" w:rsidRDefault="00743E50" w:rsidP="00931F52">
      <w:pPr>
        <w:spacing w:line="259" w:lineRule="auto"/>
        <w:jc w:val="both"/>
        <w:rPr>
          <w:rFonts w:ascii="Arial" w:eastAsia="Arial" w:hAnsi="Arial" w:cs="Arial"/>
          <w:sz w:val="20"/>
        </w:rPr>
      </w:pPr>
    </w:p>
    <w:p w14:paraId="62E6278C" w14:textId="77777777" w:rsidR="000F7F3A" w:rsidRDefault="00931F52" w:rsidP="00931F52">
      <w:pPr>
        <w:spacing w:after="160" w:line="259" w:lineRule="auto"/>
        <w:jc w:val="both"/>
        <w:rPr>
          <w:rFonts w:ascii="Arial" w:eastAsia="Arial" w:hAnsi="Arial" w:cs="Arial"/>
          <w:sz w:val="20"/>
        </w:rPr>
      </w:pPr>
      <w:r w:rsidRPr="00701F32">
        <w:rPr>
          <w:rFonts w:ascii="Arial" w:eastAsia="Arial" w:hAnsi="Arial" w:cs="Arial"/>
          <w:sz w:val="20"/>
        </w:rPr>
        <w:t xml:space="preserve">Las provisiones </w:t>
      </w:r>
      <w:r w:rsidR="000F7F3A">
        <w:rPr>
          <w:rFonts w:ascii="Arial" w:eastAsia="Arial" w:hAnsi="Arial" w:cs="Arial"/>
          <w:sz w:val="20"/>
        </w:rPr>
        <w:t xml:space="preserve">por beneficios de corto plazo </w:t>
      </w:r>
      <w:r w:rsidRPr="00701F32">
        <w:rPr>
          <w:rFonts w:ascii="Arial" w:eastAsia="Arial" w:hAnsi="Arial" w:cs="Arial"/>
          <w:sz w:val="20"/>
        </w:rPr>
        <w:t>se miden al valor presente de los desembolsos que se espera se requerirán para cancelar la obligación utilizando una tasa de interés antes de impuestos que refleje las actuales condiciones del mercado sobre el valor del dinero y los riesgos específicos para dicha obligación. El incremento en la provisión por el paso del tiempo se reconoce en el rubro resultados financieros netos del estado de resultado integral consolidado.</w:t>
      </w:r>
      <w:r w:rsidR="002866F3">
        <w:rPr>
          <w:rFonts w:ascii="Arial" w:eastAsia="Arial" w:hAnsi="Arial" w:cs="Arial"/>
          <w:sz w:val="20"/>
        </w:rPr>
        <w:t xml:space="preserve"> </w:t>
      </w:r>
    </w:p>
    <w:p w14:paraId="16C473A1" w14:textId="328801DF" w:rsidR="00931F52" w:rsidRDefault="002866F3" w:rsidP="00931F52">
      <w:pPr>
        <w:spacing w:after="160" w:line="259" w:lineRule="auto"/>
        <w:jc w:val="both"/>
        <w:rPr>
          <w:rFonts w:ascii="Arial" w:eastAsiaTheme="minorHAnsi" w:hAnsi="Arial" w:cs="Arial"/>
          <w:sz w:val="20"/>
        </w:rPr>
      </w:pPr>
      <w:r>
        <w:rPr>
          <w:rFonts w:ascii="Arial" w:eastAsia="Arial" w:hAnsi="Arial" w:cs="Arial"/>
          <w:sz w:val="20"/>
        </w:rPr>
        <w:t>Los beneficios por terminación son exigibles cuando se termina la relación laboral previo a la fecha de jubilación; o cuando el empleado acepta un retiro voluntario a cambio de dicho beneficio. La Entidad reconoce los beneficios por terminación en la fecha en que: (a) la Entidad no puede retirar la oferta realizada al empleado de dichos beneficios; y (b) cuando el Banco reconoce los costos de una restructuración que está dentro del alcance de la NIC 37 e incluye el pago de beneficios por terminación. En el caso de que se realice una oferta para realizar un retiro voluntario, el beneficio por terminación se mide en base al número de empleados que se espera que acepten la oferta. Los beneficios que se espera se</w:t>
      </w:r>
      <w:r w:rsidR="00F27605">
        <w:rPr>
          <w:rFonts w:ascii="Arial" w:eastAsia="Arial" w:hAnsi="Arial" w:cs="Arial"/>
          <w:sz w:val="20"/>
        </w:rPr>
        <w:t xml:space="preserve"> ejerzan</w:t>
      </w:r>
      <w:r>
        <w:rPr>
          <w:rFonts w:ascii="Arial" w:eastAsia="Arial" w:hAnsi="Arial" w:cs="Arial"/>
          <w:sz w:val="20"/>
        </w:rPr>
        <w:t xml:space="preserve"> </w:t>
      </w:r>
      <w:r w:rsidR="00F27605">
        <w:rPr>
          <w:rFonts w:ascii="Arial" w:eastAsia="Arial" w:hAnsi="Arial" w:cs="Arial"/>
          <w:sz w:val="20"/>
        </w:rPr>
        <w:t>e</w:t>
      </w:r>
      <w:r>
        <w:rPr>
          <w:rFonts w:ascii="Arial" w:eastAsia="Arial" w:hAnsi="Arial" w:cs="Arial"/>
          <w:sz w:val="20"/>
        </w:rPr>
        <w:t>n un plazo mayor a 12 meses a la fecha de reporte se descuentan a su valor presente.</w:t>
      </w:r>
    </w:p>
    <w:p w14:paraId="0994A768" w14:textId="06F71B26" w:rsidR="00931F52" w:rsidRDefault="00931F52" w:rsidP="00931F52">
      <w:pPr>
        <w:spacing w:after="160" w:line="259" w:lineRule="auto"/>
        <w:jc w:val="both"/>
        <w:rPr>
          <w:rFonts w:ascii="Arial" w:eastAsiaTheme="minorHAnsi" w:hAnsi="Arial" w:cs="Arial"/>
          <w:sz w:val="20"/>
        </w:rPr>
      </w:pPr>
      <w:r w:rsidRPr="00701F32">
        <w:rPr>
          <w:rFonts w:ascii="Arial" w:eastAsiaTheme="minorHAnsi" w:hAnsi="Arial" w:cs="Arial"/>
          <w:sz w:val="20"/>
        </w:rPr>
        <w:t>Las cuentas por pagar no financieras se devengan cuando la contraparte ha cumplido con sus obligaciones comprometidas en el contrato y se valúan a costo amortizado.</w:t>
      </w:r>
    </w:p>
    <w:p w14:paraId="50D93A80" w14:textId="77777777" w:rsidR="000B1093" w:rsidRPr="00701F32" w:rsidRDefault="000B1093" w:rsidP="00931F52">
      <w:pPr>
        <w:spacing w:after="160" w:line="259" w:lineRule="auto"/>
        <w:jc w:val="both"/>
        <w:rPr>
          <w:rFonts w:ascii="Arial" w:eastAsiaTheme="minorHAnsi" w:hAnsi="Arial" w:cs="Arial"/>
          <w:sz w:val="20"/>
        </w:rPr>
      </w:pPr>
    </w:p>
    <w:p w14:paraId="26E6FD70" w14:textId="77777777" w:rsidR="00931F52" w:rsidRPr="00701F32" w:rsidRDefault="00931F52" w:rsidP="00931F52">
      <w:pPr>
        <w:spacing w:after="160" w:line="259" w:lineRule="auto"/>
        <w:jc w:val="both"/>
        <w:rPr>
          <w:rFonts w:ascii="Arial" w:eastAsiaTheme="minorHAnsi" w:hAnsi="Arial" w:cs="Arial"/>
          <w:sz w:val="20"/>
        </w:rPr>
      </w:pPr>
      <w:r>
        <w:rPr>
          <w:rFonts w:ascii="Arial" w:eastAsiaTheme="minorHAnsi" w:hAnsi="Arial" w:cs="Arial"/>
          <w:b/>
          <w:sz w:val="20"/>
        </w:rPr>
        <w:t>1.25</w:t>
      </w:r>
      <w:r w:rsidRPr="00701F32">
        <w:rPr>
          <w:rFonts w:ascii="Arial" w:eastAsiaTheme="minorHAnsi" w:hAnsi="Arial" w:cs="Arial"/>
          <w:b/>
          <w:sz w:val="20"/>
        </w:rPr>
        <w:t xml:space="preserve"> Obligaciones Negociables emitidas </w:t>
      </w:r>
    </w:p>
    <w:p w14:paraId="069579CF" w14:textId="77777777" w:rsidR="00931F52" w:rsidRPr="00701F32" w:rsidRDefault="00931F52" w:rsidP="00931F52">
      <w:pPr>
        <w:spacing w:after="160" w:line="259" w:lineRule="auto"/>
        <w:jc w:val="both"/>
        <w:rPr>
          <w:rFonts w:ascii="Arial" w:eastAsiaTheme="minorHAnsi" w:hAnsi="Arial" w:cs="Arial"/>
          <w:sz w:val="20"/>
        </w:rPr>
      </w:pPr>
      <w:r w:rsidRPr="00701F32">
        <w:rPr>
          <w:rFonts w:ascii="Arial" w:eastAsiaTheme="minorHAnsi" w:hAnsi="Arial" w:cs="Arial"/>
          <w:sz w:val="20"/>
        </w:rPr>
        <w:t>Las obligaciones negociables subordinadas y no subordinadas emitidas por la Entidad son medidas a costo amortizado. En el caso que el Banco compre obligaciones negociables propias, las mismas son eliminadas de los estados financieros consolidados y la diferencia entre el valor residual del pasivo financiero y el pago de las mismas es incluida en el Estado de Resultados Integral como un ingreso por cancelación anticipada de deuda.</w:t>
      </w:r>
    </w:p>
    <w:p w14:paraId="2F6EBA4D" w14:textId="316D1C62" w:rsidR="00931F52" w:rsidRDefault="00931F52" w:rsidP="00931F52">
      <w:pPr>
        <w:spacing w:after="160" w:line="259" w:lineRule="auto"/>
        <w:jc w:val="both"/>
        <w:rPr>
          <w:rFonts w:ascii="Arial" w:eastAsiaTheme="minorHAnsi" w:hAnsi="Arial" w:cs="Arial"/>
          <w:sz w:val="20"/>
        </w:rPr>
      </w:pPr>
      <w:r w:rsidRPr="00701F32">
        <w:rPr>
          <w:rFonts w:ascii="Arial" w:eastAsiaTheme="minorHAnsi" w:hAnsi="Arial" w:cs="Arial"/>
          <w:sz w:val="20"/>
        </w:rPr>
        <w:t xml:space="preserve">Para mayor información sobre las emisiones de deuda de la entidad ver </w:t>
      </w:r>
      <w:r w:rsidRPr="0021178E">
        <w:rPr>
          <w:rFonts w:ascii="Arial" w:eastAsiaTheme="minorHAnsi" w:hAnsi="Arial" w:cs="Arial"/>
          <w:sz w:val="20"/>
        </w:rPr>
        <w:t>nota 1</w:t>
      </w:r>
      <w:r w:rsidR="002F55BB" w:rsidRPr="0021178E">
        <w:rPr>
          <w:rFonts w:ascii="Arial" w:eastAsiaTheme="minorHAnsi" w:hAnsi="Arial" w:cs="Arial"/>
          <w:sz w:val="20"/>
        </w:rPr>
        <w:t>4</w:t>
      </w:r>
      <w:r w:rsidRPr="0021178E">
        <w:rPr>
          <w:rFonts w:ascii="Arial" w:eastAsiaTheme="minorHAnsi" w:hAnsi="Arial" w:cs="Arial"/>
          <w:sz w:val="20"/>
        </w:rPr>
        <w:t>.8</w:t>
      </w:r>
      <w:r w:rsidRPr="00701F32">
        <w:rPr>
          <w:rFonts w:ascii="Arial" w:eastAsiaTheme="minorHAnsi" w:hAnsi="Arial" w:cs="Arial"/>
          <w:sz w:val="20"/>
        </w:rPr>
        <w:t xml:space="preserve"> Emisión de Obligaciones Negociables.</w:t>
      </w:r>
    </w:p>
    <w:p w14:paraId="41E69CB7" w14:textId="77777777" w:rsidR="002F55BB" w:rsidRPr="00701F32" w:rsidRDefault="002F55BB" w:rsidP="00931F52">
      <w:pPr>
        <w:spacing w:after="160" w:line="259" w:lineRule="auto"/>
        <w:jc w:val="both"/>
        <w:rPr>
          <w:rFonts w:ascii="Arial" w:eastAsia="Calibri" w:hAnsi="Arial" w:cs="Arial"/>
          <w:b/>
          <w:sz w:val="20"/>
        </w:rPr>
      </w:pPr>
    </w:p>
    <w:p w14:paraId="45EDF1BA" w14:textId="77777777" w:rsidR="00931F52" w:rsidRPr="003755B9" w:rsidRDefault="00931F52" w:rsidP="00931F52">
      <w:pPr>
        <w:rPr>
          <w:rFonts w:ascii="Arial" w:eastAsia="Calibri" w:hAnsi="Arial" w:cs="Arial"/>
          <w:b/>
          <w:sz w:val="20"/>
        </w:rPr>
      </w:pPr>
      <w:r w:rsidRPr="003755B9">
        <w:rPr>
          <w:rFonts w:ascii="Arial" w:eastAsia="Calibri" w:hAnsi="Arial" w:cs="Arial"/>
          <w:b/>
          <w:sz w:val="20"/>
        </w:rPr>
        <w:t xml:space="preserve">1.26 Capital social y ajustes de capital </w:t>
      </w:r>
    </w:p>
    <w:p w14:paraId="545F5548" w14:textId="77777777" w:rsidR="00931F52" w:rsidRPr="00EC349E" w:rsidRDefault="00931F52" w:rsidP="00931F52">
      <w:pPr>
        <w:rPr>
          <w:rFonts w:ascii="Arial" w:eastAsia="Calibri" w:hAnsi="Arial" w:cs="Arial"/>
          <w:b/>
          <w:sz w:val="20"/>
        </w:rPr>
      </w:pPr>
    </w:p>
    <w:p w14:paraId="6857921B" w14:textId="77777777" w:rsidR="00931F52" w:rsidRPr="003755B9" w:rsidRDefault="00931F52" w:rsidP="00931F52">
      <w:pPr>
        <w:spacing w:line="259" w:lineRule="auto"/>
        <w:jc w:val="both"/>
        <w:rPr>
          <w:rFonts w:ascii="Arial" w:eastAsia="Calibri" w:hAnsi="Arial" w:cs="Arial"/>
          <w:sz w:val="20"/>
        </w:rPr>
      </w:pPr>
      <w:r w:rsidRPr="003755B9">
        <w:rPr>
          <w:rFonts w:ascii="Arial" w:eastAsia="Calibri" w:hAnsi="Arial" w:cs="Arial"/>
          <w:sz w:val="20"/>
        </w:rPr>
        <w:t xml:space="preserve">Las cuentas integrantes de este rubro se expresan en moneda que no ha contemplado la variación del índice de precios desde el mes de febrero de 2003, excepto el rubro "Capital Social", el cual se ha mantenido por su valor nominal. </w:t>
      </w:r>
    </w:p>
    <w:p w14:paraId="028D05AE" w14:textId="77777777" w:rsidR="00931F52" w:rsidRPr="003755B9" w:rsidRDefault="00931F52" w:rsidP="00931F52">
      <w:pPr>
        <w:spacing w:line="259" w:lineRule="auto"/>
        <w:jc w:val="both"/>
        <w:rPr>
          <w:rFonts w:ascii="Arial" w:eastAsia="Calibri" w:hAnsi="Arial" w:cs="Arial"/>
          <w:sz w:val="20"/>
        </w:rPr>
      </w:pPr>
    </w:p>
    <w:p w14:paraId="771F9EF4" w14:textId="77777777" w:rsidR="00931F52" w:rsidRPr="00EC349E" w:rsidRDefault="00931F52" w:rsidP="00931F52">
      <w:pPr>
        <w:spacing w:line="259" w:lineRule="auto"/>
        <w:jc w:val="both"/>
        <w:rPr>
          <w:rFonts w:ascii="Arial" w:eastAsia="Calibri" w:hAnsi="Arial" w:cs="Arial"/>
          <w:sz w:val="20"/>
        </w:rPr>
      </w:pPr>
      <w:r w:rsidRPr="003755B9">
        <w:rPr>
          <w:rFonts w:ascii="Arial" w:eastAsia="Calibri" w:hAnsi="Arial" w:cs="Arial"/>
          <w:sz w:val="20"/>
        </w:rPr>
        <w:t xml:space="preserve">Las acciones ordinarias se clasifican en el patrimonio neto y se mantienen registradas a su valor nominal. </w:t>
      </w:r>
    </w:p>
    <w:p w14:paraId="1321E012" w14:textId="77777777" w:rsidR="00931F52" w:rsidRPr="00EC349E" w:rsidRDefault="00931F52" w:rsidP="00931F52">
      <w:pPr>
        <w:spacing w:line="259" w:lineRule="auto"/>
        <w:jc w:val="both"/>
        <w:rPr>
          <w:rFonts w:ascii="Arial" w:eastAsia="Calibri" w:hAnsi="Arial" w:cs="Arial"/>
          <w:sz w:val="20"/>
        </w:rPr>
      </w:pPr>
    </w:p>
    <w:p w14:paraId="159DCC76" w14:textId="77777777" w:rsidR="00931F52" w:rsidRPr="00EC349E" w:rsidRDefault="00931F52" w:rsidP="00931F52">
      <w:pPr>
        <w:spacing w:after="160" w:line="259" w:lineRule="auto"/>
        <w:jc w:val="both"/>
        <w:rPr>
          <w:rFonts w:ascii="Arial" w:eastAsia="Arial" w:hAnsi="Arial" w:cs="Arial"/>
          <w:b/>
          <w:sz w:val="20"/>
        </w:rPr>
      </w:pPr>
      <w:r w:rsidRPr="003755B9">
        <w:rPr>
          <w:rFonts w:ascii="Arial" w:eastAsia="Arial" w:hAnsi="Arial" w:cs="Arial"/>
          <w:b/>
          <w:sz w:val="20"/>
        </w:rPr>
        <w:t>1.27 Ganancias reservadas y distribución de dividendos</w:t>
      </w:r>
    </w:p>
    <w:p w14:paraId="61B98E00" w14:textId="72A921DF" w:rsidR="00931F52" w:rsidRPr="00701F32" w:rsidRDefault="00931F52" w:rsidP="00931F52">
      <w:pPr>
        <w:spacing w:line="259" w:lineRule="auto"/>
        <w:jc w:val="both"/>
        <w:rPr>
          <w:rFonts w:ascii="Arial" w:eastAsia="Arial" w:hAnsi="Arial" w:cs="Arial"/>
          <w:b/>
          <w:sz w:val="20"/>
        </w:rPr>
      </w:pPr>
      <w:r w:rsidRPr="00701F32">
        <w:rPr>
          <w:rFonts w:ascii="Arial" w:eastAsia="Arial" w:hAnsi="Arial" w:cs="Arial"/>
          <w:sz w:val="20"/>
        </w:rPr>
        <w:t>Conforme a las regulaciones establecidas por el B.C.R.A., corresponde asignar a reserva legal el 20% de las utilidades del ejercicio netas de los eventuales ajustes de ejercicios anteriores, en caso de corresponder. No obstante ello, para la distribución de utilidades las entidades deberán regirse por lo estipulado por el B.C.R.A. en el texto ordenado sobre distribución de resultados las Entidades Financieras según lo detallado en nota 1</w:t>
      </w:r>
      <w:r w:rsidR="00560C30">
        <w:rPr>
          <w:rFonts w:ascii="Arial" w:eastAsia="Arial" w:hAnsi="Arial" w:cs="Arial"/>
          <w:sz w:val="20"/>
        </w:rPr>
        <w:t>4</w:t>
      </w:r>
      <w:r w:rsidRPr="00701F32">
        <w:rPr>
          <w:rFonts w:ascii="Arial" w:eastAsia="Arial" w:hAnsi="Arial" w:cs="Arial"/>
          <w:sz w:val="20"/>
        </w:rPr>
        <w:t xml:space="preserve">.9 </w:t>
      </w:r>
      <w:r w:rsidRPr="00701F32">
        <w:rPr>
          <w:rFonts w:ascii="Arial" w:hAnsi="Arial" w:cs="Arial"/>
          <w:sz w:val="20"/>
        </w:rPr>
        <w:t>Restricciones para la distribución de utilidades</w:t>
      </w:r>
    </w:p>
    <w:p w14:paraId="26898C9D" w14:textId="77777777" w:rsidR="00931F52" w:rsidRPr="00701F32" w:rsidRDefault="00931F52" w:rsidP="00931F52">
      <w:pPr>
        <w:spacing w:line="259" w:lineRule="auto"/>
        <w:jc w:val="both"/>
        <w:rPr>
          <w:rFonts w:ascii="Arial" w:eastAsia="Arial" w:hAnsi="Arial" w:cs="Arial"/>
          <w:sz w:val="20"/>
        </w:rPr>
      </w:pPr>
    </w:p>
    <w:p w14:paraId="05E42B1F" w14:textId="77777777" w:rsidR="00931F52" w:rsidRPr="002F55BB" w:rsidRDefault="00931F52" w:rsidP="002F55BB">
      <w:pPr>
        <w:spacing w:line="259" w:lineRule="auto"/>
        <w:jc w:val="both"/>
        <w:rPr>
          <w:rFonts w:ascii="Arial" w:eastAsia="Calibri" w:hAnsi="Arial" w:cs="Arial"/>
          <w:sz w:val="20"/>
        </w:rPr>
      </w:pPr>
      <w:r w:rsidRPr="00701F32">
        <w:rPr>
          <w:rFonts w:ascii="Arial" w:eastAsia="Arial" w:hAnsi="Arial" w:cs="Arial"/>
          <w:bCs/>
          <w:sz w:val="20"/>
        </w:rPr>
        <w:t xml:space="preserve">La distribución de dividendos a los accionistas del Banco y sus subsidiarias se reconoce como pasivo en los estados financieros consolidados en el ejercicio en el que los dividendos se </w:t>
      </w:r>
      <w:r w:rsidRPr="002F55BB">
        <w:rPr>
          <w:rFonts w:ascii="Arial" w:eastAsia="Calibri" w:hAnsi="Arial" w:cs="Arial"/>
          <w:sz w:val="20"/>
        </w:rPr>
        <w:t>aprueban por la Asamblea de Accionistas.</w:t>
      </w:r>
    </w:p>
    <w:p w14:paraId="1D56EDB3" w14:textId="77777777" w:rsidR="00931F52" w:rsidRPr="002F55BB" w:rsidRDefault="00931F52" w:rsidP="002F55BB">
      <w:pPr>
        <w:spacing w:line="259" w:lineRule="auto"/>
        <w:jc w:val="both"/>
        <w:rPr>
          <w:rFonts w:ascii="Arial" w:eastAsia="Calibri" w:hAnsi="Arial" w:cs="Arial"/>
          <w:sz w:val="20"/>
        </w:rPr>
      </w:pPr>
    </w:p>
    <w:p w14:paraId="2AE9B0AA" w14:textId="77777777" w:rsidR="00931F52" w:rsidRPr="00701F32" w:rsidRDefault="00931F52" w:rsidP="00931F52">
      <w:pPr>
        <w:spacing w:after="160" w:line="259" w:lineRule="auto"/>
        <w:jc w:val="both"/>
        <w:rPr>
          <w:rFonts w:ascii="Arial" w:eastAsia="Calibri" w:hAnsi="Arial" w:cs="Arial"/>
          <w:b/>
          <w:sz w:val="20"/>
        </w:rPr>
      </w:pPr>
      <w:r>
        <w:rPr>
          <w:rFonts w:ascii="Arial" w:eastAsia="Calibri" w:hAnsi="Arial" w:cs="Arial"/>
          <w:b/>
          <w:sz w:val="20"/>
        </w:rPr>
        <w:t>1.28</w:t>
      </w:r>
      <w:r w:rsidRPr="00701F32">
        <w:rPr>
          <w:rFonts w:ascii="Arial" w:eastAsia="Calibri" w:hAnsi="Arial" w:cs="Arial"/>
          <w:b/>
          <w:sz w:val="20"/>
        </w:rPr>
        <w:t xml:space="preserve"> Reconocimiento de Ingresos </w:t>
      </w:r>
    </w:p>
    <w:p w14:paraId="622B2BEB" w14:textId="77777777" w:rsidR="00931F52" w:rsidRPr="00701F32" w:rsidRDefault="00931F52" w:rsidP="00931F52">
      <w:pPr>
        <w:spacing w:after="160" w:line="259" w:lineRule="auto"/>
        <w:jc w:val="both"/>
        <w:rPr>
          <w:rFonts w:ascii="Arial" w:eastAsia="Calibri" w:hAnsi="Arial" w:cs="Arial"/>
          <w:sz w:val="20"/>
        </w:rPr>
      </w:pPr>
      <w:r w:rsidRPr="00701F32">
        <w:rPr>
          <w:rFonts w:ascii="Arial" w:eastAsia="Calibri" w:hAnsi="Arial" w:cs="Arial"/>
          <w:sz w:val="20"/>
        </w:rPr>
        <w:t xml:space="preserve">Los ingresos y egresos financieros son registrados para todos </w:t>
      </w:r>
      <w:r>
        <w:rPr>
          <w:rFonts w:ascii="Arial" w:eastAsia="Calibri" w:hAnsi="Arial" w:cs="Arial"/>
          <w:sz w:val="20"/>
        </w:rPr>
        <w:t>los activos y pasivos medidos a costo amortizado</w:t>
      </w:r>
      <w:r w:rsidRPr="00701F32">
        <w:rPr>
          <w:rFonts w:ascii="Arial" w:eastAsia="Calibri" w:hAnsi="Arial" w:cs="Arial"/>
          <w:sz w:val="20"/>
        </w:rPr>
        <w:t xml:space="preserve"> de acuerdo al método de la tasa efectiva, por el cual se difieren todos los resultados positivos o negativos que son parte integral de la tasa efectiva de la operación.</w:t>
      </w:r>
    </w:p>
    <w:p w14:paraId="2D40BF1F" w14:textId="77777777" w:rsidR="00931F52" w:rsidRPr="00886EBF" w:rsidRDefault="00931F52" w:rsidP="00931F52">
      <w:pPr>
        <w:spacing w:after="160" w:line="259" w:lineRule="auto"/>
        <w:jc w:val="both"/>
        <w:rPr>
          <w:rFonts w:ascii="Arial" w:eastAsia="Calibri" w:hAnsi="Arial" w:cs="Arial"/>
          <w:sz w:val="20"/>
        </w:rPr>
      </w:pPr>
      <w:r w:rsidRPr="00701F32">
        <w:rPr>
          <w:rFonts w:ascii="Arial" w:eastAsia="Calibri" w:hAnsi="Arial" w:cs="Arial"/>
          <w:sz w:val="20"/>
        </w:rPr>
        <w:t xml:space="preserve">Los resultados que se incluyen dentro de la tasa efectiva incluyen erogaciones o ingresos relacionados con la creación o adquisición de un activo o pasivo financiero, como por ejemplo compensaciones recibidas por el análisis de la condición financiera del cliente, negociación de los términos del instrumento, la preparación y procesamiento de los documentos necesario para concertar la transacción y las compensaciones recibidas por el otorgamiento de acuerdos de crédito que se espera sean utilizados por el cliente. </w:t>
      </w:r>
      <w:r w:rsidRPr="00613EB0">
        <w:rPr>
          <w:rFonts w:ascii="Arial" w:hAnsi="Arial" w:cs="Arial"/>
          <w:bCs/>
          <w:sz w:val="20"/>
        </w:rPr>
        <w:t>El Banco registra todos sus pasivos financieros no derivados a costo amortizado, excepto aquellos incluidos en el rubro “pasivos a valor razonable con cambios en resultados”, los cuales se encuentran medidos a valor razonable.</w:t>
      </w:r>
    </w:p>
    <w:p w14:paraId="27F0DF8E" w14:textId="5D855ABA" w:rsidR="00931F52" w:rsidRDefault="00931F52" w:rsidP="00931F52">
      <w:pPr>
        <w:spacing w:after="160" w:line="259" w:lineRule="auto"/>
        <w:jc w:val="both"/>
        <w:rPr>
          <w:rFonts w:ascii="Arial" w:eastAsia="Calibri" w:hAnsi="Arial" w:cs="Arial"/>
          <w:sz w:val="20"/>
        </w:rPr>
      </w:pPr>
      <w:r w:rsidRPr="00701F32">
        <w:rPr>
          <w:rFonts w:ascii="Arial" w:eastAsia="Calibri" w:hAnsi="Arial" w:cs="Arial"/>
          <w:sz w:val="20"/>
        </w:rPr>
        <w:t xml:space="preserve">Cabe destacar que las comisiones que la Entidad percibe por la originación de préstamos sindicados no </w:t>
      </w:r>
      <w:r w:rsidR="00D538FD" w:rsidRPr="00701F32">
        <w:rPr>
          <w:rFonts w:ascii="Arial" w:eastAsia="Calibri" w:hAnsi="Arial" w:cs="Arial"/>
          <w:sz w:val="20"/>
        </w:rPr>
        <w:t>forman</w:t>
      </w:r>
      <w:r w:rsidRPr="00701F32">
        <w:rPr>
          <w:rFonts w:ascii="Arial" w:eastAsia="Calibri" w:hAnsi="Arial" w:cs="Arial"/>
          <w:sz w:val="20"/>
        </w:rPr>
        <w:t xml:space="preserve"> parte de la tasa efectiva del producto, siendo estas reconocidas en el Estado de Resultados en el momento en que el servicio es prestado, siempre y cuando el </w:t>
      </w:r>
      <w:r w:rsidR="00A96E66">
        <w:rPr>
          <w:rFonts w:ascii="Arial" w:eastAsia="Calibri" w:hAnsi="Arial" w:cs="Arial"/>
          <w:sz w:val="20"/>
        </w:rPr>
        <w:t>banco</w:t>
      </w:r>
      <w:r w:rsidRPr="00701F32">
        <w:rPr>
          <w:rFonts w:ascii="Arial" w:eastAsia="Calibri" w:hAnsi="Arial" w:cs="Arial"/>
          <w:sz w:val="20"/>
        </w:rPr>
        <w:t xml:space="preserve"> no retenga parte del mismo o esta sea mantenida en iguales condiciones que el resto de los participantes. Tampoco forman parte de la tasa efectiva las comisiones percibidas por la Entidad por las negociaciones en las transacciones de un tercero son reconocidas en el momento en que se perfeccionan las mismas.</w:t>
      </w:r>
    </w:p>
    <w:p w14:paraId="5EBD1583" w14:textId="77777777" w:rsidR="00931F52" w:rsidRPr="00EC349E" w:rsidRDefault="00931F52" w:rsidP="0021178E">
      <w:pPr>
        <w:autoSpaceDE w:val="0"/>
        <w:autoSpaceDN w:val="0"/>
        <w:adjustRightInd w:val="0"/>
        <w:jc w:val="both"/>
        <w:rPr>
          <w:rFonts w:ascii="Arial" w:eastAsia="Calibri" w:hAnsi="Arial" w:cs="Arial"/>
          <w:sz w:val="20"/>
        </w:rPr>
      </w:pPr>
      <w:r w:rsidRPr="00EC349E">
        <w:rPr>
          <w:rFonts w:ascii="Arial" w:eastAsia="Calibri" w:hAnsi="Arial" w:cs="Arial"/>
          <w:sz w:val="20"/>
        </w:rPr>
        <w:t>La NIIF 15 establece los principios que una entidad deberá aplicar p</w:t>
      </w:r>
      <w:r w:rsidRPr="00D86043">
        <w:rPr>
          <w:rFonts w:ascii="Arial" w:eastAsia="Calibri" w:hAnsi="Arial" w:cs="Arial"/>
          <w:sz w:val="20"/>
        </w:rPr>
        <w:t>ara contabilizar los ingresos y</w:t>
      </w:r>
      <w:r>
        <w:rPr>
          <w:rFonts w:ascii="Arial" w:eastAsia="Calibri" w:hAnsi="Arial" w:cs="Arial"/>
          <w:sz w:val="20"/>
        </w:rPr>
        <w:t xml:space="preserve"> </w:t>
      </w:r>
      <w:r w:rsidRPr="00EC349E">
        <w:rPr>
          <w:rFonts w:ascii="Arial" w:eastAsia="Calibri" w:hAnsi="Arial" w:cs="Arial"/>
          <w:sz w:val="20"/>
        </w:rPr>
        <w:t>flujos de fondos procedentes de los contratos para la venta de bienes o servicios a sus clientes.</w:t>
      </w:r>
    </w:p>
    <w:p w14:paraId="16EF3502" w14:textId="77777777" w:rsidR="00931F52" w:rsidRDefault="00931F52" w:rsidP="00931F52">
      <w:pPr>
        <w:autoSpaceDE w:val="0"/>
        <w:autoSpaceDN w:val="0"/>
        <w:adjustRightInd w:val="0"/>
        <w:rPr>
          <w:rFonts w:ascii="Arial" w:eastAsia="Calibri" w:hAnsi="Arial" w:cs="Arial"/>
          <w:sz w:val="20"/>
        </w:rPr>
      </w:pPr>
    </w:p>
    <w:p w14:paraId="71D14F36" w14:textId="77777777" w:rsidR="00931F52" w:rsidRPr="00701F32" w:rsidRDefault="00931F52" w:rsidP="00931F52">
      <w:pPr>
        <w:autoSpaceDE w:val="0"/>
        <w:autoSpaceDN w:val="0"/>
        <w:adjustRightInd w:val="0"/>
        <w:rPr>
          <w:rFonts w:ascii="Arial" w:eastAsia="Calibri" w:hAnsi="Arial" w:cs="Arial"/>
          <w:sz w:val="20"/>
        </w:rPr>
      </w:pPr>
      <w:r w:rsidRPr="00EC349E">
        <w:rPr>
          <w:rFonts w:ascii="Arial" w:eastAsia="Calibri" w:hAnsi="Arial" w:cs="Arial"/>
          <w:sz w:val="20"/>
        </w:rPr>
        <w:t>El importe que se ha de reconocer será aquel que refleje el pago al que se espera tener derecho por</w:t>
      </w:r>
      <w:r>
        <w:rPr>
          <w:rFonts w:ascii="Arial" w:eastAsia="Calibri" w:hAnsi="Arial" w:cs="Arial"/>
          <w:sz w:val="20"/>
        </w:rPr>
        <w:t xml:space="preserve"> </w:t>
      </w:r>
      <w:r w:rsidRPr="00EC349E">
        <w:rPr>
          <w:rFonts w:ascii="Arial" w:eastAsia="Calibri" w:hAnsi="Arial" w:cs="Arial"/>
          <w:sz w:val="20"/>
        </w:rPr>
        <w:t>los servicios prestados.</w:t>
      </w:r>
    </w:p>
    <w:p w14:paraId="05D8C162" w14:textId="77777777" w:rsidR="00931F52" w:rsidRDefault="00931F52" w:rsidP="00931F52">
      <w:pPr>
        <w:spacing w:after="160" w:line="259" w:lineRule="auto"/>
        <w:jc w:val="both"/>
        <w:rPr>
          <w:rFonts w:ascii="Arial" w:eastAsia="Calibri" w:hAnsi="Arial" w:cs="Arial"/>
          <w:sz w:val="20"/>
        </w:rPr>
      </w:pPr>
    </w:p>
    <w:p w14:paraId="677F7C54" w14:textId="77777777" w:rsidR="00931F52" w:rsidRDefault="00931F52" w:rsidP="00931F52">
      <w:pPr>
        <w:spacing w:after="160" w:line="259" w:lineRule="auto"/>
        <w:jc w:val="both"/>
        <w:rPr>
          <w:rFonts w:ascii="Arial" w:eastAsia="Calibri" w:hAnsi="Arial" w:cs="Arial"/>
          <w:sz w:val="20"/>
        </w:rPr>
      </w:pPr>
      <w:r w:rsidRPr="00701F32">
        <w:rPr>
          <w:rFonts w:ascii="Arial" w:eastAsia="Calibri" w:hAnsi="Arial" w:cs="Arial"/>
          <w:sz w:val="20"/>
        </w:rPr>
        <w:t xml:space="preserve">Los ingresos por servicios del Banco son reconocidos en el estado de resultados conforme al cumplimiento de las obligaciones de desempeño, difiriendo de esta forma aquellos ingresos relacionados con los programas de fidelización de clientes, los cuales son provisionados en base el valor razonable del punto y su tasa de redención, hasta que los mismos sean canjeados por el cliente y puedan ser reconocidos en los resultados del </w:t>
      </w:r>
      <w:r>
        <w:rPr>
          <w:rFonts w:ascii="Arial" w:eastAsia="Calibri" w:hAnsi="Arial" w:cs="Arial"/>
          <w:sz w:val="20"/>
        </w:rPr>
        <w:t>ejercicio</w:t>
      </w:r>
      <w:r w:rsidRPr="00701F32">
        <w:rPr>
          <w:rFonts w:ascii="Arial" w:eastAsia="Calibri" w:hAnsi="Arial" w:cs="Arial"/>
          <w:sz w:val="20"/>
        </w:rPr>
        <w:t>.</w:t>
      </w:r>
    </w:p>
    <w:p w14:paraId="20D19768" w14:textId="77777777" w:rsidR="00931F52" w:rsidRDefault="00931F52" w:rsidP="00931F52">
      <w:pPr>
        <w:spacing w:after="160" w:line="259" w:lineRule="auto"/>
        <w:jc w:val="both"/>
        <w:rPr>
          <w:rFonts w:ascii="Arial" w:eastAsia="Calibri" w:hAnsi="Arial" w:cs="Arial"/>
          <w:sz w:val="20"/>
        </w:rPr>
      </w:pPr>
      <w:r w:rsidRPr="00EC349E">
        <w:rPr>
          <w:rFonts w:ascii="Arial" w:eastAsia="Calibri" w:hAnsi="Arial" w:cs="Arial"/>
          <w:sz w:val="20"/>
        </w:rPr>
        <w:t>Se detalla a continuación un resumen de las principales comisiones cobradas por el Banco:</w:t>
      </w:r>
    </w:p>
    <w:p w14:paraId="4FAD427A" w14:textId="38A61518" w:rsidR="000B1093" w:rsidRDefault="000B1093">
      <w:pPr>
        <w:rPr>
          <w:rFonts w:ascii="Arial" w:eastAsia="Calibri" w:hAnsi="Arial" w:cs="Arial"/>
          <w:sz w:val="20"/>
        </w:rPr>
      </w:pPr>
      <w:r>
        <w:rPr>
          <w:rFonts w:ascii="Arial" w:eastAsia="Calibri" w:hAnsi="Arial" w:cs="Arial"/>
          <w:sz w:val="20"/>
        </w:rPr>
        <w:br w:type="page"/>
      </w:r>
    </w:p>
    <w:p w14:paraId="56841654" w14:textId="77777777" w:rsidR="00931F52" w:rsidRPr="00834B42" w:rsidRDefault="00931F52" w:rsidP="006E1AF7">
      <w:pPr>
        <w:pStyle w:val="Prrafodelista"/>
        <w:spacing w:after="160" w:line="259" w:lineRule="auto"/>
        <w:jc w:val="both"/>
        <w:rPr>
          <w:rFonts w:ascii="Arial" w:eastAsia="Calibri" w:hAnsi="Arial" w:cs="Arial"/>
          <w:sz w:val="20"/>
        </w:rPr>
      </w:pPr>
    </w:p>
    <w:tbl>
      <w:tblPr>
        <w:tblStyle w:val="Tablaconcuadrcula"/>
        <w:tblW w:w="0" w:type="auto"/>
        <w:jc w:val="center"/>
        <w:tblLook w:val="04A0" w:firstRow="1" w:lastRow="0" w:firstColumn="1" w:lastColumn="0" w:noHBand="0" w:noVBand="1"/>
      </w:tblPr>
      <w:tblGrid>
        <w:gridCol w:w="3652"/>
        <w:gridCol w:w="2835"/>
      </w:tblGrid>
      <w:tr w:rsidR="00B168E7" w14:paraId="13BACCC0" w14:textId="77777777" w:rsidTr="006E1AF7">
        <w:trPr>
          <w:jc w:val="center"/>
        </w:trPr>
        <w:tc>
          <w:tcPr>
            <w:tcW w:w="3652" w:type="dxa"/>
            <w:vAlign w:val="center"/>
          </w:tcPr>
          <w:p w14:paraId="01304109" w14:textId="1DF0FBF4" w:rsidR="00B168E7" w:rsidRPr="006E1AF7" w:rsidRDefault="00B168E7" w:rsidP="006E1AF7">
            <w:pPr>
              <w:spacing w:after="160" w:line="259" w:lineRule="auto"/>
              <w:jc w:val="center"/>
              <w:rPr>
                <w:rFonts w:ascii="Arial" w:eastAsia="Calibri" w:hAnsi="Arial" w:cs="Arial"/>
                <w:b/>
                <w:sz w:val="20"/>
              </w:rPr>
            </w:pPr>
            <w:r w:rsidRPr="006E1AF7">
              <w:rPr>
                <w:rFonts w:ascii="Arial" w:eastAsia="Calibri" w:hAnsi="Arial" w:cs="Arial"/>
                <w:b/>
                <w:sz w:val="20"/>
              </w:rPr>
              <w:t>Comisiones</w:t>
            </w:r>
          </w:p>
        </w:tc>
        <w:tc>
          <w:tcPr>
            <w:tcW w:w="2835" w:type="dxa"/>
            <w:vAlign w:val="center"/>
          </w:tcPr>
          <w:p w14:paraId="333BAF24" w14:textId="2BB50C69" w:rsidR="00B168E7" w:rsidRPr="006E1AF7" w:rsidRDefault="00B168E7" w:rsidP="006E1AF7">
            <w:pPr>
              <w:spacing w:after="160" w:line="259" w:lineRule="auto"/>
              <w:jc w:val="center"/>
              <w:rPr>
                <w:rFonts w:ascii="Arial" w:eastAsia="Calibri" w:hAnsi="Arial" w:cs="Arial"/>
                <w:b/>
                <w:sz w:val="20"/>
              </w:rPr>
            </w:pPr>
            <w:r w:rsidRPr="006E1AF7">
              <w:rPr>
                <w:rFonts w:ascii="Arial" w:eastAsia="Calibri" w:hAnsi="Arial" w:cs="Arial"/>
                <w:b/>
                <w:sz w:val="20"/>
              </w:rPr>
              <w:t>Frecuencia de cobro</w:t>
            </w:r>
          </w:p>
        </w:tc>
      </w:tr>
      <w:tr w:rsidR="00B168E7" w14:paraId="2ED392C0" w14:textId="77777777" w:rsidTr="006E1AF7">
        <w:trPr>
          <w:jc w:val="center"/>
        </w:trPr>
        <w:tc>
          <w:tcPr>
            <w:tcW w:w="3652" w:type="dxa"/>
            <w:vAlign w:val="center"/>
          </w:tcPr>
          <w:p w14:paraId="610A3BE2" w14:textId="1EDB6F1A" w:rsidR="00B168E7" w:rsidRDefault="00B168E7" w:rsidP="00B168E7">
            <w:pPr>
              <w:spacing w:after="160" w:line="259" w:lineRule="auto"/>
              <w:jc w:val="both"/>
              <w:rPr>
                <w:rFonts w:ascii="Arial" w:eastAsia="Calibri" w:hAnsi="Arial" w:cs="Arial"/>
                <w:sz w:val="20"/>
              </w:rPr>
            </w:pPr>
            <w:r>
              <w:rPr>
                <w:rFonts w:ascii="Arial" w:eastAsia="Calibri" w:hAnsi="Arial" w:cs="Arial"/>
                <w:sz w:val="20"/>
              </w:rPr>
              <w:t>Mantenimiento de cuenta</w:t>
            </w:r>
          </w:p>
        </w:tc>
        <w:tc>
          <w:tcPr>
            <w:tcW w:w="2835" w:type="dxa"/>
            <w:vAlign w:val="center"/>
          </w:tcPr>
          <w:p w14:paraId="60A82D02" w14:textId="353B257B" w:rsidR="00B168E7" w:rsidRDefault="00B168E7" w:rsidP="006E1AF7">
            <w:pPr>
              <w:spacing w:after="160" w:line="259" w:lineRule="auto"/>
              <w:jc w:val="center"/>
              <w:rPr>
                <w:rFonts w:ascii="Arial" w:eastAsia="Calibri" w:hAnsi="Arial" w:cs="Arial"/>
                <w:sz w:val="20"/>
              </w:rPr>
            </w:pPr>
            <w:r>
              <w:rPr>
                <w:rFonts w:ascii="Arial" w:eastAsia="Calibri" w:hAnsi="Arial" w:cs="Arial"/>
                <w:sz w:val="20"/>
              </w:rPr>
              <w:t>Mensual</w:t>
            </w:r>
          </w:p>
        </w:tc>
      </w:tr>
      <w:tr w:rsidR="00B168E7" w14:paraId="712ACD6A" w14:textId="77777777" w:rsidTr="006E1AF7">
        <w:trPr>
          <w:jc w:val="center"/>
        </w:trPr>
        <w:tc>
          <w:tcPr>
            <w:tcW w:w="3652" w:type="dxa"/>
            <w:vAlign w:val="center"/>
          </w:tcPr>
          <w:p w14:paraId="004DAA79" w14:textId="7E0C3634" w:rsidR="00B168E7" w:rsidRDefault="00B168E7" w:rsidP="00B168E7">
            <w:pPr>
              <w:spacing w:after="160" w:line="259" w:lineRule="auto"/>
              <w:jc w:val="both"/>
              <w:rPr>
                <w:rFonts w:ascii="Arial" w:eastAsia="Calibri" w:hAnsi="Arial" w:cs="Arial"/>
                <w:sz w:val="20"/>
              </w:rPr>
            </w:pPr>
            <w:r>
              <w:rPr>
                <w:rFonts w:ascii="Arial" w:eastAsia="Calibri" w:hAnsi="Arial" w:cs="Arial"/>
                <w:sz w:val="20"/>
              </w:rPr>
              <w:t>Alquiler de caja de seguridad</w:t>
            </w:r>
          </w:p>
        </w:tc>
        <w:tc>
          <w:tcPr>
            <w:tcW w:w="2835" w:type="dxa"/>
            <w:vAlign w:val="center"/>
          </w:tcPr>
          <w:p w14:paraId="3E918F14" w14:textId="203A6FA3" w:rsidR="00B168E7" w:rsidRDefault="00B168E7" w:rsidP="006E1AF7">
            <w:pPr>
              <w:spacing w:after="160" w:line="259" w:lineRule="auto"/>
              <w:jc w:val="center"/>
              <w:rPr>
                <w:rFonts w:ascii="Arial" w:eastAsia="Calibri" w:hAnsi="Arial" w:cs="Arial"/>
                <w:sz w:val="20"/>
              </w:rPr>
            </w:pPr>
            <w:r>
              <w:rPr>
                <w:rFonts w:ascii="Arial" w:eastAsia="Calibri" w:hAnsi="Arial" w:cs="Arial"/>
                <w:sz w:val="20"/>
              </w:rPr>
              <w:t>Semestral</w:t>
            </w:r>
          </w:p>
        </w:tc>
      </w:tr>
      <w:tr w:rsidR="00B168E7" w14:paraId="711FE19B" w14:textId="77777777" w:rsidTr="006E1AF7">
        <w:trPr>
          <w:jc w:val="center"/>
        </w:trPr>
        <w:tc>
          <w:tcPr>
            <w:tcW w:w="3652" w:type="dxa"/>
            <w:vAlign w:val="center"/>
          </w:tcPr>
          <w:p w14:paraId="12175592" w14:textId="0D6A74FB" w:rsidR="00B168E7" w:rsidRDefault="00B168E7" w:rsidP="00B168E7">
            <w:pPr>
              <w:spacing w:after="160" w:line="259" w:lineRule="auto"/>
              <w:jc w:val="both"/>
              <w:rPr>
                <w:rFonts w:ascii="Arial" w:eastAsia="Calibri" w:hAnsi="Arial" w:cs="Arial"/>
                <w:sz w:val="20"/>
              </w:rPr>
            </w:pPr>
            <w:r>
              <w:rPr>
                <w:rFonts w:ascii="Arial" w:eastAsia="Calibri" w:hAnsi="Arial" w:cs="Arial"/>
                <w:sz w:val="20"/>
              </w:rPr>
              <w:t>Banco Emisor</w:t>
            </w:r>
          </w:p>
        </w:tc>
        <w:tc>
          <w:tcPr>
            <w:tcW w:w="2835" w:type="dxa"/>
            <w:vAlign w:val="center"/>
          </w:tcPr>
          <w:p w14:paraId="243A7178" w14:textId="02AB1655" w:rsidR="00B168E7" w:rsidRDefault="00B168E7" w:rsidP="006E1AF7">
            <w:pPr>
              <w:spacing w:after="160" w:line="259" w:lineRule="auto"/>
              <w:jc w:val="center"/>
              <w:rPr>
                <w:rFonts w:ascii="Arial" w:eastAsia="Calibri" w:hAnsi="Arial" w:cs="Arial"/>
                <w:sz w:val="20"/>
              </w:rPr>
            </w:pPr>
            <w:r>
              <w:rPr>
                <w:rFonts w:ascii="Arial" w:eastAsia="Calibri" w:hAnsi="Arial" w:cs="Arial"/>
                <w:sz w:val="20"/>
              </w:rPr>
              <w:t>Por evento</w:t>
            </w:r>
          </w:p>
        </w:tc>
      </w:tr>
      <w:tr w:rsidR="00B168E7" w14:paraId="25EBCD7C" w14:textId="77777777" w:rsidTr="006E1AF7">
        <w:trPr>
          <w:jc w:val="center"/>
        </w:trPr>
        <w:tc>
          <w:tcPr>
            <w:tcW w:w="3652" w:type="dxa"/>
            <w:vAlign w:val="center"/>
          </w:tcPr>
          <w:p w14:paraId="6F1EEF6B" w14:textId="15704805" w:rsidR="00B168E7" w:rsidRDefault="00B168E7" w:rsidP="00B168E7">
            <w:pPr>
              <w:spacing w:after="160" w:line="259" w:lineRule="auto"/>
              <w:jc w:val="both"/>
              <w:rPr>
                <w:rFonts w:ascii="Arial" w:eastAsia="Calibri" w:hAnsi="Arial" w:cs="Arial"/>
                <w:sz w:val="20"/>
              </w:rPr>
            </w:pPr>
            <w:r>
              <w:rPr>
                <w:rFonts w:ascii="Arial" w:eastAsia="Calibri" w:hAnsi="Arial" w:cs="Arial"/>
                <w:sz w:val="20"/>
              </w:rPr>
              <w:t>Renovación de tarjetas de crédito</w:t>
            </w:r>
          </w:p>
        </w:tc>
        <w:tc>
          <w:tcPr>
            <w:tcW w:w="2835" w:type="dxa"/>
            <w:vAlign w:val="center"/>
          </w:tcPr>
          <w:p w14:paraId="10D3BC4F" w14:textId="462BB29F" w:rsidR="00B168E7" w:rsidRDefault="00B168E7" w:rsidP="006E1AF7">
            <w:pPr>
              <w:spacing w:after="160" w:line="259" w:lineRule="auto"/>
              <w:jc w:val="center"/>
              <w:rPr>
                <w:rFonts w:ascii="Arial" w:eastAsia="Calibri" w:hAnsi="Arial" w:cs="Arial"/>
                <w:sz w:val="20"/>
              </w:rPr>
            </w:pPr>
            <w:r>
              <w:rPr>
                <w:rFonts w:ascii="Arial" w:eastAsia="Calibri" w:hAnsi="Arial" w:cs="Arial"/>
                <w:sz w:val="20"/>
              </w:rPr>
              <w:t>Anual</w:t>
            </w:r>
          </w:p>
        </w:tc>
      </w:tr>
      <w:tr w:rsidR="00B168E7" w14:paraId="779E3AF4" w14:textId="77777777" w:rsidTr="006E1AF7">
        <w:trPr>
          <w:jc w:val="center"/>
        </w:trPr>
        <w:tc>
          <w:tcPr>
            <w:tcW w:w="3652" w:type="dxa"/>
            <w:vAlign w:val="center"/>
          </w:tcPr>
          <w:p w14:paraId="6236DD05" w14:textId="7876ED09" w:rsidR="00B168E7" w:rsidRDefault="00B168E7" w:rsidP="00B168E7">
            <w:pPr>
              <w:spacing w:after="160" w:line="259" w:lineRule="auto"/>
              <w:jc w:val="both"/>
              <w:rPr>
                <w:rFonts w:ascii="Arial" w:eastAsia="Calibri" w:hAnsi="Arial" w:cs="Arial"/>
                <w:sz w:val="20"/>
              </w:rPr>
            </w:pPr>
            <w:r>
              <w:rPr>
                <w:rFonts w:ascii="Arial" w:eastAsia="Calibri" w:hAnsi="Arial" w:cs="Arial"/>
                <w:sz w:val="20"/>
              </w:rPr>
              <w:t>Administración de cheques</w:t>
            </w:r>
          </w:p>
        </w:tc>
        <w:tc>
          <w:tcPr>
            <w:tcW w:w="2835" w:type="dxa"/>
            <w:vAlign w:val="center"/>
          </w:tcPr>
          <w:p w14:paraId="6DC9F3E3" w14:textId="094E79D6" w:rsidR="00B168E7" w:rsidRDefault="00B168E7" w:rsidP="006E1AF7">
            <w:pPr>
              <w:spacing w:after="160" w:line="259" w:lineRule="auto"/>
              <w:jc w:val="center"/>
              <w:rPr>
                <w:rFonts w:ascii="Arial" w:eastAsia="Calibri" w:hAnsi="Arial" w:cs="Arial"/>
                <w:sz w:val="20"/>
              </w:rPr>
            </w:pPr>
            <w:r>
              <w:rPr>
                <w:rFonts w:ascii="Arial" w:eastAsia="Calibri" w:hAnsi="Arial" w:cs="Arial"/>
                <w:sz w:val="20"/>
              </w:rPr>
              <w:t>Por evento</w:t>
            </w:r>
          </w:p>
        </w:tc>
      </w:tr>
    </w:tbl>
    <w:p w14:paraId="44DC14E4" w14:textId="77777777" w:rsidR="00931F52" w:rsidRPr="00701F32" w:rsidRDefault="00931F52" w:rsidP="00931F52">
      <w:pPr>
        <w:spacing w:after="160" w:line="259" w:lineRule="auto"/>
        <w:jc w:val="both"/>
        <w:rPr>
          <w:rFonts w:ascii="Arial" w:eastAsia="Calibri" w:hAnsi="Arial" w:cs="Arial"/>
          <w:sz w:val="20"/>
        </w:rPr>
      </w:pPr>
    </w:p>
    <w:p w14:paraId="4A1A4F1C" w14:textId="0DE40CA7" w:rsidR="00931F52" w:rsidRPr="005A3C22" w:rsidRDefault="00931F52" w:rsidP="00931F52">
      <w:pPr>
        <w:spacing w:after="160" w:line="259" w:lineRule="auto"/>
        <w:jc w:val="both"/>
        <w:rPr>
          <w:rFonts w:ascii="Arial" w:eastAsia="Calibri" w:hAnsi="Arial" w:cs="Arial"/>
          <w:sz w:val="20"/>
        </w:rPr>
      </w:pPr>
      <w:r w:rsidRPr="00701F32">
        <w:rPr>
          <w:rFonts w:ascii="Arial" w:eastAsia="Calibri" w:hAnsi="Arial" w:cs="Arial"/>
          <w:sz w:val="20"/>
        </w:rPr>
        <w:t>Los ingresos por los alquileres de propiedades de inversión se reconocen en el estado de resultado integral consolidado sobre la base del método de línea recta en el plazo del arrendamiento</w:t>
      </w:r>
      <w:r w:rsidR="0063708D">
        <w:rPr>
          <w:rFonts w:ascii="Arial" w:eastAsia="Calibri" w:hAnsi="Arial" w:cs="Arial"/>
          <w:sz w:val="20"/>
        </w:rPr>
        <w:t>, de acuerdo a lo establecido en nota 1.14</w:t>
      </w:r>
      <w:r w:rsidRPr="00701F32">
        <w:rPr>
          <w:rFonts w:ascii="Arial" w:eastAsia="Calibri" w:hAnsi="Arial" w:cs="Arial"/>
          <w:sz w:val="20"/>
        </w:rPr>
        <w:t>.</w:t>
      </w:r>
    </w:p>
    <w:p w14:paraId="6E59CEAB" w14:textId="77777777" w:rsidR="00931F52" w:rsidRPr="00701F32" w:rsidRDefault="00931F52" w:rsidP="00931F52">
      <w:pPr>
        <w:spacing w:after="200"/>
        <w:jc w:val="both"/>
        <w:rPr>
          <w:rFonts w:ascii="Arial" w:eastAsiaTheme="minorHAnsi" w:hAnsi="Arial" w:cs="Arial"/>
          <w:b/>
          <w:color w:val="FF0000"/>
          <w:sz w:val="20"/>
        </w:rPr>
      </w:pPr>
      <w:r>
        <w:rPr>
          <w:rFonts w:ascii="Arial" w:eastAsiaTheme="minorHAnsi" w:hAnsi="Arial" w:cs="Arial"/>
          <w:b/>
          <w:sz w:val="20"/>
        </w:rPr>
        <w:t>1.29</w:t>
      </w:r>
      <w:r w:rsidRPr="00701F32">
        <w:rPr>
          <w:rFonts w:ascii="Arial" w:eastAsiaTheme="minorHAnsi" w:hAnsi="Arial" w:cs="Arial"/>
          <w:b/>
          <w:sz w:val="20"/>
        </w:rPr>
        <w:t xml:space="preserve"> Impuesto a las ganancias</w:t>
      </w:r>
      <w:r>
        <w:rPr>
          <w:rFonts w:ascii="Arial" w:eastAsiaTheme="minorHAnsi" w:hAnsi="Arial" w:cs="Arial"/>
          <w:b/>
          <w:sz w:val="20"/>
        </w:rPr>
        <w:t xml:space="preserve"> y ganancia mínima presunta</w:t>
      </w:r>
    </w:p>
    <w:p w14:paraId="065A6CBD" w14:textId="77777777" w:rsidR="00931F52" w:rsidRPr="00701F32" w:rsidRDefault="00931F52" w:rsidP="00931F52">
      <w:pPr>
        <w:spacing w:after="200"/>
        <w:jc w:val="both"/>
        <w:rPr>
          <w:rFonts w:ascii="Arial" w:eastAsiaTheme="minorHAnsi" w:hAnsi="Arial" w:cs="Arial"/>
          <w:b/>
          <w:sz w:val="20"/>
        </w:rPr>
      </w:pPr>
      <w:r w:rsidRPr="00701F32">
        <w:rPr>
          <w:rFonts w:ascii="Arial" w:eastAsiaTheme="minorHAnsi" w:hAnsi="Arial" w:cs="Arial"/>
          <w:b/>
          <w:sz w:val="20"/>
        </w:rPr>
        <w:t>Impuesto a las ganancias</w:t>
      </w:r>
    </w:p>
    <w:p w14:paraId="560A3074" w14:textId="77777777" w:rsidR="00931F52" w:rsidRPr="00701F32" w:rsidRDefault="00931F52" w:rsidP="00931F52">
      <w:pPr>
        <w:spacing w:after="200"/>
        <w:jc w:val="both"/>
        <w:rPr>
          <w:rFonts w:ascii="Arial" w:eastAsiaTheme="minorHAnsi" w:hAnsi="Arial" w:cs="Arial"/>
          <w:sz w:val="20"/>
        </w:rPr>
      </w:pPr>
      <w:r w:rsidRPr="00701F32">
        <w:rPr>
          <w:rFonts w:ascii="Arial" w:eastAsiaTheme="minorHAnsi" w:hAnsi="Arial" w:cs="Arial"/>
          <w:sz w:val="20"/>
        </w:rPr>
        <w:t xml:space="preserve">El cargo por impuesto a las ganancias del </w:t>
      </w:r>
      <w:r>
        <w:rPr>
          <w:rFonts w:ascii="Arial" w:eastAsiaTheme="minorHAnsi" w:hAnsi="Arial" w:cs="Arial"/>
          <w:sz w:val="20"/>
        </w:rPr>
        <w:t>ejercicio</w:t>
      </w:r>
      <w:r w:rsidRPr="00701F32">
        <w:rPr>
          <w:rFonts w:ascii="Arial" w:eastAsiaTheme="minorHAnsi" w:hAnsi="Arial" w:cs="Arial"/>
          <w:sz w:val="20"/>
        </w:rPr>
        <w:t xml:space="preserve"> comprende al impuesto corriente y al diferido. El impuesto se reconoce en el estado de resultado</w:t>
      </w:r>
      <w:r>
        <w:rPr>
          <w:rFonts w:ascii="Arial" w:eastAsiaTheme="minorHAnsi" w:hAnsi="Arial" w:cs="Arial"/>
          <w:sz w:val="20"/>
        </w:rPr>
        <w:t>s</w:t>
      </w:r>
      <w:r w:rsidRPr="00701F32">
        <w:rPr>
          <w:rFonts w:ascii="Arial" w:eastAsiaTheme="minorHAnsi" w:hAnsi="Arial" w:cs="Arial"/>
          <w:sz w:val="20"/>
        </w:rPr>
        <w:t xml:space="preserve"> consolidado, excepto cuando se trata de partidas que deban ser reconocidas directamente en otros resultados integrales. En este caso, el impuesto a las ganancias relacionado de tales partidas también se reconoce en dicho estado.</w:t>
      </w:r>
    </w:p>
    <w:p w14:paraId="5FF1A8E8" w14:textId="77777777" w:rsidR="00931F52" w:rsidRPr="00701F32" w:rsidRDefault="00931F52" w:rsidP="00931F52">
      <w:pPr>
        <w:spacing w:after="200"/>
        <w:jc w:val="both"/>
        <w:rPr>
          <w:rFonts w:ascii="Arial" w:eastAsiaTheme="minorHAnsi" w:hAnsi="Arial" w:cs="Arial"/>
          <w:sz w:val="20"/>
        </w:rPr>
      </w:pPr>
      <w:r w:rsidRPr="00701F32">
        <w:rPr>
          <w:rFonts w:ascii="Arial" w:eastAsiaTheme="minorHAnsi" w:hAnsi="Arial" w:cs="Arial"/>
          <w:sz w:val="20"/>
        </w:rPr>
        <w:t>El cargo por impuesto a las ganancias corriente se calcula sobre la base de las leyes impositivas promulgadas o sustancialmente promulgadas a la fecha del estado de situación financiera. La Entidad evalúa periódicamente la posición asumida en las declaraciones juradas de impuestos respecto de situaciones en las que las leyes tributarias son objeto de interpretación. Por su parte, cuando corresponde, constituye provisiones sobre los montos que espera deberá pagar a las autoridades tributarias.</w:t>
      </w:r>
    </w:p>
    <w:p w14:paraId="54E9B328" w14:textId="77777777" w:rsidR="00931F52" w:rsidRPr="00701F32" w:rsidRDefault="00931F52" w:rsidP="00931F52">
      <w:pPr>
        <w:spacing w:after="200"/>
        <w:jc w:val="both"/>
        <w:rPr>
          <w:rFonts w:ascii="Arial" w:eastAsiaTheme="minorHAnsi" w:hAnsi="Arial" w:cs="Arial"/>
          <w:sz w:val="20"/>
        </w:rPr>
      </w:pPr>
      <w:r w:rsidRPr="00701F32">
        <w:rPr>
          <w:rFonts w:ascii="Arial" w:eastAsiaTheme="minorHAnsi" w:hAnsi="Arial" w:cs="Arial"/>
          <w:sz w:val="20"/>
        </w:rPr>
        <w:t>El impuesto a las ganancias diferido se determina en su totalidad, por el método del pasivo, sobre las diferencias temporales que surgen entre las bases tributarias de activos y pasivos y sus respectivos valores contables. Sin embargo, el impuesto diferido que surge por el reconocimiento inicial de un activo o de un pasivo en una transacción que no corresponda a una combinación de negocios, que al momento de la transacción no afecta ni la utilidad ni la pérdida contable o gravable, no se registra. El impuesto diferido se determina usando tasas tributarias (y legislación) que han sido promulgadas a la fecha del balance general y que se espera serán aplicables cuando el activo por impuesto diferido se realice o el pasivo por impuesto diferido se pague.</w:t>
      </w:r>
    </w:p>
    <w:p w14:paraId="248AEE6F" w14:textId="77777777" w:rsidR="00931F52" w:rsidRDefault="00931F52" w:rsidP="00931F52">
      <w:pPr>
        <w:spacing w:after="200"/>
        <w:jc w:val="both"/>
        <w:rPr>
          <w:rFonts w:ascii="Arial" w:eastAsiaTheme="minorHAnsi" w:hAnsi="Arial" w:cs="Arial"/>
          <w:sz w:val="20"/>
        </w:rPr>
      </w:pPr>
      <w:r w:rsidRPr="00701F32">
        <w:rPr>
          <w:rFonts w:ascii="Arial" w:eastAsiaTheme="minorHAnsi" w:hAnsi="Arial" w:cs="Arial"/>
          <w:sz w:val="20"/>
        </w:rPr>
        <w:t>Los activos por impuestos diferidos sólo se reconocen en la medida que sea probable que se produzcan beneficios impositivos futuros contra los que se puedan usar las diferencias temporarias.</w:t>
      </w:r>
    </w:p>
    <w:p w14:paraId="00E9D731" w14:textId="77777777" w:rsidR="00931F52" w:rsidRDefault="00931F52" w:rsidP="00931F52">
      <w:pPr>
        <w:tabs>
          <w:tab w:val="center" w:pos="5201"/>
        </w:tabs>
        <w:jc w:val="both"/>
        <w:rPr>
          <w:rFonts w:ascii="Arial" w:hAnsi="Arial" w:cs="Arial"/>
          <w:sz w:val="20"/>
        </w:rPr>
      </w:pPr>
      <w:r w:rsidRPr="00EA530F">
        <w:rPr>
          <w:rFonts w:ascii="Arial" w:hAnsi="Arial" w:cs="Arial"/>
          <w:sz w:val="20"/>
        </w:rPr>
        <w:t>El Banco reconoce un pasivo por impuesto diferido en el caso de diferencias temporales imponibles relacionadas con las inversiones en subsidiarias y en afiliadas, excepto que se den las dos condiciones siguientes:</w:t>
      </w:r>
    </w:p>
    <w:p w14:paraId="25F1357D" w14:textId="77777777" w:rsidR="00931F52" w:rsidRPr="00EA530F" w:rsidRDefault="00931F52" w:rsidP="00931F52">
      <w:pPr>
        <w:tabs>
          <w:tab w:val="center" w:pos="5201"/>
        </w:tabs>
        <w:jc w:val="both"/>
        <w:rPr>
          <w:rFonts w:ascii="Arial" w:hAnsi="Arial" w:cs="Arial"/>
          <w:sz w:val="20"/>
        </w:rPr>
      </w:pPr>
    </w:p>
    <w:p w14:paraId="319DC937" w14:textId="77777777" w:rsidR="00931F52" w:rsidRPr="00EA530F" w:rsidRDefault="00931F52" w:rsidP="00D538FD">
      <w:pPr>
        <w:numPr>
          <w:ilvl w:val="0"/>
          <w:numId w:val="53"/>
        </w:numPr>
        <w:tabs>
          <w:tab w:val="center" w:pos="5201"/>
        </w:tabs>
        <w:spacing w:after="160" w:line="259" w:lineRule="auto"/>
        <w:jc w:val="both"/>
        <w:rPr>
          <w:rFonts w:ascii="Arial" w:hAnsi="Arial" w:cs="Arial"/>
          <w:sz w:val="20"/>
        </w:rPr>
      </w:pPr>
      <w:r w:rsidRPr="00EA530F">
        <w:rPr>
          <w:rFonts w:ascii="Arial" w:hAnsi="Arial" w:cs="Arial"/>
          <w:sz w:val="20"/>
        </w:rPr>
        <w:t>el Banco controla la oportunidad en que se revertirán las diferencias temporales;</w:t>
      </w:r>
    </w:p>
    <w:p w14:paraId="0D3D08EE" w14:textId="77777777" w:rsidR="00931F52" w:rsidRPr="00E446C3" w:rsidRDefault="00931F52" w:rsidP="00D538FD">
      <w:pPr>
        <w:numPr>
          <w:ilvl w:val="0"/>
          <w:numId w:val="53"/>
        </w:numPr>
        <w:tabs>
          <w:tab w:val="center" w:pos="5201"/>
        </w:tabs>
        <w:spacing w:after="160" w:line="259" w:lineRule="auto"/>
        <w:jc w:val="both"/>
        <w:rPr>
          <w:rFonts w:ascii="Arial" w:hAnsi="Arial" w:cs="Arial"/>
          <w:sz w:val="20"/>
        </w:rPr>
      </w:pPr>
      <w:r w:rsidRPr="00EA530F">
        <w:rPr>
          <w:rFonts w:ascii="Arial" w:hAnsi="Arial" w:cs="Arial"/>
          <w:sz w:val="20"/>
        </w:rPr>
        <w:t>es probable que dicha diferencia temporal no se revierta en un momento previsible en el futuro.</w:t>
      </w:r>
    </w:p>
    <w:p w14:paraId="798C484B" w14:textId="77777777" w:rsidR="00931F52" w:rsidRDefault="00931F52" w:rsidP="00931F52">
      <w:pPr>
        <w:spacing w:after="200"/>
        <w:jc w:val="both"/>
        <w:rPr>
          <w:rFonts w:ascii="Arial" w:eastAsiaTheme="minorHAnsi" w:hAnsi="Arial" w:cs="Arial"/>
          <w:sz w:val="20"/>
        </w:rPr>
      </w:pPr>
      <w:r w:rsidRPr="00701F32">
        <w:rPr>
          <w:rFonts w:ascii="Arial" w:eastAsiaTheme="minorHAnsi" w:hAnsi="Arial" w:cs="Arial"/>
          <w:sz w:val="20"/>
        </w:rPr>
        <w:t>Los saldos de impuestos a las ganancias diferidos de activos y pasivos se compensan cuando existe el derecho legal a compensar impuestos activos corrientes con impuestos pasivos corrientes y cuando se relacionen con la misma autoridad fiscal del Banco o de las distintas subsidiarias en donde exista intención y posibilidad de liquidar los saldos impositivos sobre bases netas.</w:t>
      </w:r>
    </w:p>
    <w:p w14:paraId="15BE65CA" w14:textId="77777777" w:rsidR="00931F52" w:rsidRDefault="00931F52" w:rsidP="00931F52">
      <w:pPr>
        <w:tabs>
          <w:tab w:val="center" w:pos="5201"/>
        </w:tabs>
        <w:jc w:val="both"/>
        <w:rPr>
          <w:rFonts w:ascii="Arial" w:hAnsi="Arial" w:cs="Arial"/>
          <w:b/>
          <w:sz w:val="20"/>
        </w:rPr>
      </w:pPr>
      <w:r w:rsidRPr="00EA530F">
        <w:rPr>
          <w:rFonts w:ascii="Arial" w:hAnsi="Arial" w:cs="Arial"/>
          <w:b/>
          <w:sz w:val="20"/>
        </w:rPr>
        <w:t>Impuesto a la ganancia mínima presunta</w:t>
      </w:r>
    </w:p>
    <w:p w14:paraId="4453ADE8" w14:textId="77777777" w:rsidR="00931F52" w:rsidRPr="00EA530F" w:rsidRDefault="00931F52" w:rsidP="00931F52">
      <w:pPr>
        <w:tabs>
          <w:tab w:val="center" w:pos="5201"/>
        </w:tabs>
        <w:jc w:val="both"/>
        <w:rPr>
          <w:rFonts w:ascii="Arial" w:hAnsi="Arial" w:cs="Arial"/>
          <w:b/>
          <w:sz w:val="20"/>
        </w:rPr>
      </w:pPr>
    </w:p>
    <w:p w14:paraId="5943679C" w14:textId="77777777" w:rsidR="00931F52" w:rsidRPr="00EA530F" w:rsidRDefault="00931F52" w:rsidP="00931F52">
      <w:pPr>
        <w:jc w:val="both"/>
        <w:rPr>
          <w:rFonts w:ascii="Arial" w:hAnsi="Arial" w:cs="Arial"/>
          <w:sz w:val="20"/>
        </w:rPr>
      </w:pPr>
      <w:r w:rsidRPr="00EA530F">
        <w:rPr>
          <w:rFonts w:ascii="Arial" w:hAnsi="Arial" w:cs="Arial"/>
          <w:sz w:val="20"/>
        </w:rPr>
        <w:t>El Banco determina el impuesto a la ganancia mínima presunta aplicando la tasa vigente del 1% sobre los activos computables a la fecha de cada cierre. Este impuesto es complementario del impuesto a las ganancias. La obligación fiscal del Banco coincidirá con el mayor de ambos impuestos. Sin embargo, si el impuesto a la ganancia mínima presunta excede en un ejercicio fiscal al impuesto a las ganancias, dicho exceso podrá computarse como pago a cuenta del impuesto a las ganancias que pudiera producirse en cualquiera de los diez ejercicios siguientes.</w:t>
      </w:r>
    </w:p>
    <w:p w14:paraId="737FFBC6" w14:textId="77777777" w:rsidR="00D5632E" w:rsidRDefault="00D5632E" w:rsidP="00931F52">
      <w:pPr>
        <w:spacing w:after="200"/>
        <w:jc w:val="both"/>
        <w:rPr>
          <w:rFonts w:ascii="Arial" w:hAnsi="Arial" w:cs="Arial"/>
          <w:sz w:val="20"/>
        </w:rPr>
      </w:pPr>
    </w:p>
    <w:p w14:paraId="09EAACB5" w14:textId="182F8EA5" w:rsidR="00931F52" w:rsidRPr="00701F32" w:rsidRDefault="00931F52" w:rsidP="00931F52">
      <w:pPr>
        <w:spacing w:after="200"/>
        <w:jc w:val="both"/>
        <w:rPr>
          <w:rFonts w:ascii="Arial" w:eastAsiaTheme="minorHAnsi" w:hAnsi="Arial" w:cs="Arial"/>
          <w:sz w:val="20"/>
        </w:rPr>
      </w:pPr>
      <w:r w:rsidRPr="00EA530F">
        <w:rPr>
          <w:rFonts w:ascii="Arial" w:hAnsi="Arial" w:cs="Arial"/>
          <w:sz w:val="20"/>
        </w:rPr>
        <w:t>El crédito por impuesto a la ganancia mínima presunta expuesto bajo el rubro otros créditos no corrientes, es la porción que el Banco estima podrá ser compensada con el impuesto a las ganancias en exceso del impuesto a la ganancia mínima presunta a ser generada dentro de los próximos diez ejercicios fiscales.</w:t>
      </w:r>
    </w:p>
    <w:p w14:paraId="0AF057DA" w14:textId="77777777" w:rsidR="00931F52" w:rsidRPr="00701F32" w:rsidRDefault="00931F52" w:rsidP="00931F52">
      <w:pPr>
        <w:spacing w:after="200"/>
        <w:jc w:val="both"/>
        <w:rPr>
          <w:rFonts w:ascii="Arial" w:eastAsiaTheme="minorHAnsi" w:hAnsi="Arial" w:cs="Arial"/>
          <w:b/>
          <w:sz w:val="20"/>
        </w:rPr>
      </w:pPr>
      <w:r>
        <w:rPr>
          <w:rFonts w:ascii="Arial" w:eastAsiaTheme="minorHAnsi" w:hAnsi="Arial" w:cs="Arial"/>
          <w:b/>
          <w:sz w:val="20"/>
        </w:rPr>
        <w:t>1.30</w:t>
      </w:r>
      <w:r w:rsidRPr="00701F32">
        <w:rPr>
          <w:rFonts w:ascii="Arial" w:eastAsiaTheme="minorHAnsi" w:hAnsi="Arial" w:cs="Arial"/>
          <w:b/>
          <w:sz w:val="20"/>
        </w:rPr>
        <w:t xml:space="preserve"> Resultado por Acción</w:t>
      </w:r>
    </w:p>
    <w:p w14:paraId="4166ED3C" w14:textId="77777777" w:rsidR="00931F52" w:rsidRPr="00701F32" w:rsidRDefault="00931F52" w:rsidP="00931F52">
      <w:pPr>
        <w:spacing w:after="200"/>
        <w:jc w:val="both"/>
        <w:rPr>
          <w:rFonts w:ascii="Arial" w:eastAsiaTheme="minorHAnsi" w:hAnsi="Arial" w:cs="Arial"/>
          <w:bCs/>
          <w:sz w:val="20"/>
        </w:rPr>
      </w:pPr>
      <w:r w:rsidRPr="00701F32">
        <w:rPr>
          <w:rFonts w:ascii="Arial" w:eastAsiaTheme="minorHAnsi" w:hAnsi="Arial" w:cs="Arial"/>
          <w:bCs/>
          <w:sz w:val="20"/>
        </w:rPr>
        <w:t xml:space="preserve">El resultado por acción básico es determinado por el cociente entre el resultado del </w:t>
      </w:r>
      <w:r>
        <w:rPr>
          <w:rFonts w:ascii="Arial" w:eastAsiaTheme="minorHAnsi" w:hAnsi="Arial" w:cs="Arial"/>
          <w:bCs/>
          <w:sz w:val="20"/>
        </w:rPr>
        <w:t xml:space="preserve">ejercicio </w:t>
      </w:r>
      <w:r w:rsidRPr="00701F32">
        <w:rPr>
          <w:rFonts w:ascii="Arial" w:eastAsiaTheme="minorHAnsi" w:hAnsi="Arial" w:cs="Arial"/>
          <w:bCs/>
          <w:sz w:val="20"/>
        </w:rPr>
        <w:t>atribuible a los accionistas tenedores de acciones ordinarias del Banco por el promedio de acciones ordinarias en circulación durante el presente ejercicio.</w:t>
      </w:r>
    </w:p>
    <w:p w14:paraId="24A7E2A0" w14:textId="6BB37B09" w:rsidR="00931F52" w:rsidRPr="00701F32" w:rsidRDefault="0063708D" w:rsidP="00931F52">
      <w:pPr>
        <w:jc w:val="both"/>
        <w:rPr>
          <w:rFonts w:ascii="Arial" w:eastAsiaTheme="minorHAnsi" w:hAnsi="Arial" w:cs="Arial"/>
          <w:sz w:val="20"/>
        </w:rPr>
      </w:pPr>
      <w:r>
        <w:rPr>
          <w:rFonts w:ascii="Arial" w:eastAsiaTheme="minorHAnsi" w:hAnsi="Arial" w:cs="Arial"/>
          <w:sz w:val="20"/>
        </w:rPr>
        <w:t>Por su parte, el resultado por acción diluido es el que surge de ajustar tanto el resultado atribuible a los accionistas, así como el promedio de acciones ordinarias en circulación, por los efectos de la potencial conversión de acciones ordinarias con efecto dilutivo.</w:t>
      </w:r>
    </w:p>
    <w:p w14:paraId="57ADE712" w14:textId="77777777" w:rsidR="00931F52" w:rsidRPr="00EC349E" w:rsidRDefault="00931F52" w:rsidP="00931F52">
      <w:pPr>
        <w:jc w:val="both"/>
        <w:rPr>
          <w:rFonts w:ascii="Arial" w:hAnsi="Arial" w:cs="Arial"/>
          <w:sz w:val="20"/>
        </w:rPr>
      </w:pPr>
    </w:p>
    <w:p w14:paraId="627BD3E6" w14:textId="4D27C2A0" w:rsidR="00A06BE9" w:rsidRPr="00EC349E" w:rsidRDefault="00D26051" w:rsidP="00EC349E">
      <w:pPr>
        <w:autoSpaceDE w:val="0"/>
        <w:autoSpaceDN w:val="0"/>
        <w:adjustRightInd w:val="0"/>
        <w:jc w:val="both"/>
        <w:rPr>
          <w:rFonts w:ascii="Arial" w:eastAsia="Calibri" w:hAnsi="Arial" w:cs="Arial"/>
          <w:b/>
          <w:noProof/>
          <w:sz w:val="20"/>
        </w:rPr>
      </w:pPr>
      <w:r>
        <w:rPr>
          <w:rFonts w:ascii="Arial" w:eastAsia="Calibri" w:hAnsi="Arial" w:cs="Arial"/>
          <w:b/>
          <w:noProof/>
          <w:sz w:val="20"/>
        </w:rPr>
        <w:t>2</w:t>
      </w:r>
      <w:r w:rsidR="00A06BE9" w:rsidRPr="00EC349E">
        <w:rPr>
          <w:rFonts w:ascii="Arial" w:eastAsia="Calibri" w:hAnsi="Arial" w:cs="Arial"/>
          <w:b/>
          <w:noProof/>
          <w:sz w:val="20"/>
        </w:rPr>
        <w:t xml:space="preserve">. POLÍTICAS Y ESTIMACIONES CONTABLES CRÍTICAS </w:t>
      </w:r>
    </w:p>
    <w:p w14:paraId="437D0E59" w14:textId="77777777" w:rsidR="00A06BE9" w:rsidRPr="00701F32" w:rsidRDefault="00A06BE9" w:rsidP="00A06BE9">
      <w:pPr>
        <w:autoSpaceDE w:val="0"/>
        <w:autoSpaceDN w:val="0"/>
        <w:adjustRightInd w:val="0"/>
        <w:jc w:val="both"/>
        <w:rPr>
          <w:rFonts w:ascii="Arial" w:eastAsia="Calibri" w:hAnsi="Arial" w:cs="Arial"/>
          <w:noProof/>
          <w:sz w:val="20"/>
        </w:rPr>
      </w:pPr>
    </w:p>
    <w:p w14:paraId="48223848" w14:textId="77777777" w:rsidR="00D538FD" w:rsidRPr="00701F32" w:rsidRDefault="00D538FD" w:rsidP="00D538FD">
      <w:pPr>
        <w:autoSpaceDE w:val="0"/>
        <w:autoSpaceDN w:val="0"/>
        <w:adjustRightInd w:val="0"/>
        <w:jc w:val="both"/>
        <w:rPr>
          <w:rFonts w:ascii="Arial" w:eastAsia="Calibri" w:hAnsi="Arial" w:cs="Arial"/>
          <w:noProof/>
          <w:sz w:val="20"/>
        </w:rPr>
      </w:pPr>
      <w:r w:rsidRPr="00701F32">
        <w:rPr>
          <w:rFonts w:ascii="Arial" w:eastAsia="Calibri" w:hAnsi="Arial" w:cs="Arial"/>
          <w:noProof/>
          <w:sz w:val="20"/>
        </w:rPr>
        <w:t xml:space="preserve">La preparación de estados financieros consolidados de conformidad con el marco contable </w:t>
      </w:r>
      <w:r>
        <w:rPr>
          <w:rFonts w:ascii="Arial" w:eastAsia="Calibri" w:hAnsi="Arial" w:cs="Arial"/>
          <w:noProof/>
          <w:sz w:val="20"/>
        </w:rPr>
        <w:t>basado en NIIF</w:t>
      </w:r>
      <w:r w:rsidRPr="00701F32">
        <w:rPr>
          <w:rFonts w:ascii="Arial" w:eastAsia="Calibri" w:hAnsi="Arial" w:cs="Arial"/>
          <w:noProof/>
          <w:sz w:val="20"/>
        </w:rPr>
        <w:t xml:space="preserve"> requiere el uso de ciertas estimaciones contables críticas. También requiere que la Gerencia ejerza su juicio en el proceso de aplicación de las normas contables establecidas por el BCRA </w:t>
      </w:r>
      <w:r>
        <w:rPr>
          <w:rFonts w:ascii="Arial" w:eastAsia="Calibri" w:hAnsi="Arial" w:cs="Arial"/>
          <w:noProof/>
          <w:sz w:val="20"/>
        </w:rPr>
        <w:t xml:space="preserve">para establecer </w:t>
      </w:r>
      <w:r w:rsidRPr="00701F32">
        <w:rPr>
          <w:rFonts w:ascii="Arial" w:eastAsia="Calibri" w:hAnsi="Arial" w:cs="Arial"/>
          <w:noProof/>
          <w:sz w:val="20"/>
        </w:rPr>
        <w:t>las políticas contables de la Entidad.</w:t>
      </w:r>
    </w:p>
    <w:p w14:paraId="63D5ED88" w14:textId="77777777" w:rsidR="00D538FD" w:rsidRPr="00701F32" w:rsidRDefault="00D538FD" w:rsidP="00D538FD">
      <w:pPr>
        <w:autoSpaceDE w:val="0"/>
        <w:autoSpaceDN w:val="0"/>
        <w:adjustRightInd w:val="0"/>
        <w:jc w:val="both"/>
        <w:rPr>
          <w:rFonts w:ascii="Arial" w:eastAsia="Calibri" w:hAnsi="Arial" w:cs="Arial"/>
          <w:noProof/>
          <w:sz w:val="20"/>
        </w:rPr>
      </w:pPr>
    </w:p>
    <w:p w14:paraId="21067045" w14:textId="77777777" w:rsidR="00D538FD" w:rsidRPr="00701F32" w:rsidRDefault="00D538FD" w:rsidP="00D538FD">
      <w:pPr>
        <w:autoSpaceDE w:val="0"/>
        <w:autoSpaceDN w:val="0"/>
        <w:adjustRightInd w:val="0"/>
        <w:jc w:val="both"/>
        <w:rPr>
          <w:rFonts w:ascii="Arial" w:eastAsia="Calibri" w:hAnsi="Arial" w:cs="Arial"/>
          <w:noProof/>
          <w:sz w:val="20"/>
        </w:rPr>
      </w:pPr>
      <w:r w:rsidRPr="00701F32">
        <w:rPr>
          <w:rFonts w:ascii="Arial" w:eastAsia="Calibri" w:hAnsi="Arial" w:cs="Arial"/>
          <w:noProof/>
          <w:sz w:val="20"/>
        </w:rPr>
        <w:t>La Entidad ha identificado las siguientes áreas que implican un mayor grado de juicio o complejidad, o áreas en las que los supuestos y estimaciones son significativos para los estados financieros consolidados que son esenciales para la comprensión de los riesgos informativos contables / financieros subyacentes:</w:t>
      </w:r>
    </w:p>
    <w:p w14:paraId="0F0DD632" w14:textId="77777777" w:rsidR="00D538FD" w:rsidRPr="00701F32" w:rsidRDefault="00D538FD" w:rsidP="00D538FD">
      <w:pPr>
        <w:autoSpaceDE w:val="0"/>
        <w:autoSpaceDN w:val="0"/>
        <w:adjustRightInd w:val="0"/>
        <w:jc w:val="both"/>
        <w:rPr>
          <w:rFonts w:ascii="Arial" w:eastAsia="Calibri" w:hAnsi="Arial" w:cs="Arial"/>
          <w:noProof/>
          <w:sz w:val="20"/>
        </w:rPr>
      </w:pPr>
      <w:r w:rsidRPr="00701F32">
        <w:rPr>
          <w:rFonts w:ascii="Arial" w:eastAsia="Calibri" w:hAnsi="Arial" w:cs="Arial"/>
          <w:noProof/>
          <w:sz w:val="20"/>
        </w:rPr>
        <w:t xml:space="preserve"> </w:t>
      </w:r>
    </w:p>
    <w:p w14:paraId="20DEE873" w14:textId="77777777" w:rsidR="00D538FD" w:rsidRPr="00701F32" w:rsidRDefault="00D538FD" w:rsidP="00D538FD">
      <w:pPr>
        <w:numPr>
          <w:ilvl w:val="0"/>
          <w:numId w:val="55"/>
        </w:numPr>
        <w:spacing w:after="160" w:line="259" w:lineRule="auto"/>
        <w:contextualSpacing/>
        <w:jc w:val="both"/>
        <w:rPr>
          <w:rFonts w:ascii="Arial" w:eastAsia="Calibri" w:hAnsi="Arial" w:cs="Arial"/>
          <w:sz w:val="20"/>
        </w:rPr>
      </w:pPr>
      <w:r w:rsidRPr="00701F32">
        <w:rPr>
          <w:rFonts w:ascii="Arial" w:eastAsia="Calibri" w:hAnsi="Arial" w:cs="Arial"/>
          <w:sz w:val="20"/>
        </w:rPr>
        <w:t>Valor razonable de derivados y otros instrumentos</w:t>
      </w:r>
    </w:p>
    <w:p w14:paraId="228844AB"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60BF1322" w14:textId="5F8405FF" w:rsidR="00D538FD" w:rsidRPr="00701F32" w:rsidRDefault="00D538FD" w:rsidP="00D538FD">
      <w:pPr>
        <w:spacing w:after="160" w:line="259" w:lineRule="auto"/>
        <w:jc w:val="both"/>
        <w:rPr>
          <w:rFonts w:ascii="Arial" w:eastAsia="Calibri" w:hAnsi="Arial" w:cs="Arial"/>
          <w:sz w:val="20"/>
        </w:rPr>
      </w:pPr>
      <w:r w:rsidRPr="00701F32">
        <w:rPr>
          <w:rFonts w:ascii="Arial" w:eastAsia="Calibri" w:hAnsi="Arial" w:cs="Arial"/>
          <w:sz w:val="20"/>
        </w:rPr>
        <w:t>El valor razonable de los instrumentos financieros que no cotizan en los mercados activos son determinados usando técnicas de valuación. Dichas técnicas, son validadas y revisadas periódicamente por personal calificado independiente del área que las creó. Todos los modelos son evaluados y ajustados antes de ser usados, para asegurar que los resultados reflejen la información actual y precios comparativos del mercado. En lo posible, los modelos usan solamente información observable; sin embargo, factores como riesgo de crédito (propio y de la contraparte), volatilidades y correlaciones requieren de la utilización de estima</w:t>
      </w:r>
      <w:r w:rsidR="0063708D">
        <w:rPr>
          <w:rFonts w:ascii="Arial" w:eastAsia="Calibri" w:hAnsi="Arial" w:cs="Arial"/>
          <w:sz w:val="20"/>
        </w:rPr>
        <w:t>ciones</w:t>
      </w:r>
      <w:r w:rsidRPr="00701F32">
        <w:rPr>
          <w:rFonts w:ascii="Arial" w:eastAsia="Calibri" w:hAnsi="Arial" w:cs="Arial"/>
          <w:sz w:val="20"/>
        </w:rPr>
        <w:t>. Los cambios en los supuestos acerca de estos factores pueden afectar el valor razonable reportado de los instrumentos financieros.</w:t>
      </w:r>
    </w:p>
    <w:p w14:paraId="1D4DF657" w14:textId="71D16B0D" w:rsidR="00D538FD" w:rsidRPr="00701F32" w:rsidRDefault="00D538FD" w:rsidP="00D538FD">
      <w:pPr>
        <w:spacing w:after="160" w:line="259" w:lineRule="auto"/>
        <w:jc w:val="both"/>
        <w:rPr>
          <w:rFonts w:ascii="Arial" w:eastAsia="Calibri" w:hAnsi="Arial" w:cs="Arial"/>
          <w:sz w:val="20"/>
        </w:rPr>
      </w:pPr>
      <w:r w:rsidRPr="00701F32">
        <w:rPr>
          <w:rFonts w:ascii="Arial" w:eastAsia="Calibri" w:hAnsi="Arial" w:cs="Arial"/>
          <w:sz w:val="20"/>
        </w:rPr>
        <w:t xml:space="preserve">La información referida a los instrumentos que no han sido valuados en base a información del mercado se encuentra detallada en la Nota </w:t>
      </w:r>
      <w:r w:rsidR="00560C30">
        <w:rPr>
          <w:rFonts w:ascii="Arial" w:eastAsia="Calibri" w:hAnsi="Arial" w:cs="Arial"/>
          <w:sz w:val="20"/>
        </w:rPr>
        <w:t>5</w:t>
      </w:r>
      <w:r w:rsidRPr="00701F32">
        <w:rPr>
          <w:rFonts w:ascii="Arial" w:eastAsia="Calibri" w:hAnsi="Arial" w:cs="Arial"/>
          <w:sz w:val="20"/>
        </w:rPr>
        <w:t xml:space="preserve"> sobre valores razonables. </w:t>
      </w:r>
    </w:p>
    <w:p w14:paraId="52F02C2A" w14:textId="77777777" w:rsidR="00D538FD" w:rsidRPr="00701F32" w:rsidRDefault="00D538FD" w:rsidP="00D538FD">
      <w:pPr>
        <w:numPr>
          <w:ilvl w:val="0"/>
          <w:numId w:val="5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rFonts w:ascii="Arial" w:hAnsi="Arial" w:cs="Arial"/>
          <w:sz w:val="20"/>
          <w:lang w:eastAsia="es-AR"/>
        </w:rPr>
      </w:pPr>
      <w:r w:rsidRPr="00701F32">
        <w:rPr>
          <w:rFonts w:ascii="Arial" w:hAnsi="Arial" w:cs="Arial"/>
          <w:sz w:val="20"/>
          <w:lang w:eastAsia="es-AR"/>
        </w:rPr>
        <w:t>Pérdidas por deterioro de préstamos y anticipos.</w:t>
      </w:r>
    </w:p>
    <w:p w14:paraId="62DB28D0"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La Entidad realiza estimaciones sobre las capacidades de repago de los clientes para determinar el nivel de previsionamiento que le corresponde según la normativa BCRA.</w:t>
      </w:r>
    </w:p>
    <w:p w14:paraId="0CB9A070"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484C993E"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Dichas estimaciones son efectuadas con la periodicidad correspondiente requerida por las normas mínimas de previsionamiento del B.C.R.A.</w:t>
      </w:r>
    </w:p>
    <w:p w14:paraId="3D9FADF9"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31E20A1E" w14:textId="77777777" w:rsidR="00D538FD" w:rsidRPr="00701F32" w:rsidRDefault="00D538FD" w:rsidP="00D538FD">
      <w:pPr>
        <w:numPr>
          <w:ilvl w:val="0"/>
          <w:numId w:val="5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rFonts w:ascii="Arial" w:hAnsi="Arial" w:cs="Arial"/>
          <w:sz w:val="20"/>
          <w:lang w:eastAsia="es-AR"/>
        </w:rPr>
      </w:pPr>
      <w:r w:rsidRPr="00701F32">
        <w:rPr>
          <w:rFonts w:ascii="Arial" w:hAnsi="Arial" w:cs="Arial"/>
          <w:sz w:val="20"/>
          <w:lang w:eastAsia="es-AR"/>
        </w:rPr>
        <w:t xml:space="preserve">Deterioro de activos no financieros </w:t>
      </w:r>
    </w:p>
    <w:p w14:paraId="47AAE083"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 xml:space="preserve">Los activos intangibles con vidas finitas y propiedades, planta y equipo se amortizan o deprecian a lo largo de su vida útil estimada en forma lineal. La Entidad monitorea las condiciones relacionadas con estos activos para determinar si los eventos y circunstancias justifican una revisión del período de amortización o depreciación restante y si existen factores o circunstancias que impliquen un deterioro en el valor de los activos que no pueda ser recuperado. </w:t>
      </w:r>
    </w:p>
    <w:p w14:paraId="0173E39A"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55EF2E89"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 xml:space="preserve"> La Entidad ha aplicado el juicio en la identificación de los indicadores de deterioro de propiedad, planta y equipo y activos intangibles. Asimismo, ha determinado que no hubo indicios de deterioro para ninguno de los períodos presentados en sus estados financieros consolidados, por lo cual no se ha estimado ningún valor recuperable.</w:t>
      </w:r>
    </w:p>
    <w:p w14:paraId="53D92253"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4C06A650"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El proceso de evaluación del deterioro potencial de un activo de vida útil indefinida es subjetivo y requiere un juicio significativo en muchos puntos durante el análisis, incluida la identificación de su unidad generadora de efectivo, la identificación y asignación de los activos y pasivos a la unidad generadora de efectivo y la determinación de su valor recuperable.  El valor recuperable es comparado con su valor en libros para así establecer la porción no recuperable del mismo. Al estimar el valor recuperable de la unidad generadora de efectivo a los fines de sus análisis de deterioro anual o periódico, el Banco realiza estimaciones y juicios significativos sobre los flujos de efectivo futuros de esa unidad generadora de efectivo. Sus pronósticos de flujo de caja se basan en supuestos que representan el mejor y más alto uso para su unidad generadora de efectivo.</w:t>
      </w:r>
    </w:p>
    <w:p w14:paraId="362734F0"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1926A7EB"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Si bien el Banco cree que las suposiciones y estimaciones utilizadas son apropiadas en función de la información disponible para la administración, los cambios en las suposiciones o circunstancias podrían requerir cambios en el análisis. Los cambios adversos en los supuestos utilizados dentro de su prueba de deterioro del activo intangible de duración indefinida podrían causar una reducción o eliminación del exceso del valor razonable sobre el valor en libros, lo que daría como resultado el reconocimiento potencial del deterioro.</w:t>
      </w:r>
    </w:p>
    <w:p w14:paraId="7B0495D8"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79F57780"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La Entidad concluyó que no sería necesario reconocer ninguna pérdida por deterioro en los activos intangibles de vida útil indefinida bajo estas condiciones</w:t>
      </w:r>
    </w:p>
    <w:p w14:paraId="58F66967" w14:textId="77777777" w:rsidR="00D538FD" w:rsidRPr="00701F32" w:rsidRDefault="00D538FD" w:rsidP="00D538FD">
      <w:pPr>
        <w:shd w:val="clear" w:color="auto" w:fill="FFFFFF"/>
        <w:spacing w:line="259" w:lineRule="auto"/>
        <w:jc w:val="both"/>
        <w:rPr>
          <w:rFonts w:ascii="Arial" w:hAnsi="Arial" w:cs="Arial"/>
          <w:strike/>
          <w:sz w:val="20"/>
        </w:rPr>
      </w:pPr>
    </w:p>
    <w:p w14:paraId="003670A9" w14:textId="77777777" w:rsidR="00D538FD" w:rsidRPr="00701F32" w:rsidRDefault="00D538FD" w:rsidP="00D538FD">
      <w:pPr>
        <w:numPr>
          <w:ilvl w:val="0"/>
          <w:numId w:val="55"/>
        </w:numPr>
        <w:shd w:val="clear" w:color="auto" w:fill="FFFFFF"/>
        <w:spacing w:after="160" w:line="259" w:lineRule="auto"/>
        <w:contextualSpacing/>
        <w:jc w:val="both"/>
        <w:rPr>
          <w:rFonts w:ascii="Arial" w:eastAsia="Calibri" w:hAnsi="Arial" w:cs="Arial"/>
          <w:sz w:val="20"/>
          <w:shd w:val="clear" w:color="auto" w:fill="FFFFFF"/>
        </w:rPr>
      </w:pPr>
      <w:r w:rsidRPr="00701F32">
        <w:rPr>
          <w:rFonts w:ascii="Arial" w:eastAsia="Calibri" w:hAnsi="Arial" w:cs="Arial"/>
          <w:sz w:val="20"/>
          <w:shd w:val="clear" w:color="auto" w:fill="FFFFFF"/>
        </w:rPr>
        <w:t xml:space="preserve"> Entidades estructuradas. </w:t>
      </w:r>
    </w:p>
    <w:p w14:paraId="438CA783"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hd w:val="clear" w:color="auto" w:fill="FFFFFF"/>
          <w:lang w:eastAsia="es-AR"/>
        </w:rPr>
      </w:pPr>
    </w:p>
    <w:p w14:paraId="06031533" w14:textId="77777777" w:rsidR="00D538FD" w:rsidRPr="00701F32" w:rsidRDefault="00D538FD" w:rsidP="00D538FD">
      <w:pPr>
        <w:shd w:val="clear" w:color="auto" w:fill="FFFFFF"/>
        <w:spacing w:after="160" w:line="259" w:lineRule="auto"/>
        <w:jc w:val="both"/>
        <w:rPr>
          <w:rFonts w:ascii="Arial" w:eastAsia="Calibri" w:hAnsi="Arial" w:cs="Arial"/>
          <w:sz w:val="20"/>
          <w:shd w:val="clear" w:color="auto" w:fill="FFFFFF"/>
        </w:rPr>
      </w:pPr>
      <w:r w:rsidRPr="00701F32">
        <w:rPr>
          <w:rFonts w:ascii="Arial" w:eastAsia="Calibri" w:hAnsi="Arial" w:cs="Arial"/>
          <w:sz w:val="20"/>
          <w:shd w:val="clear" w:color="auto" w:fill="FFFFFF"/>
        </w:rPr>
        <w:t xml:space="preserve">Las entidades estructuradas están diseñadas para que el voto o derechos similares no sean el factor dominante para decidir quién controla la entidad. También se requiere juicio para determinar si la relación entre el Banco y una entidad estructurada indica que la entidad estructurada está controlada por el Banco. La Entidad no consolida entidades estructuradas que no controla. </w:t>
      </w:r>
    </w:p>
    <w:p w14:paraId="3F5107C4" w14:textId="4C96ECC7" w:rsidR="00D538FD" w:rsidRPr="00701F32" w:rsidRDefault="00FC1ECA" w:rsidP="00D538FD">
      <w:pPr>
        <w:shd w:val="clear" w:color="auto" w:fill="FFFFFF"/>
        <w:spacing w:after="160" w:line="259" w:lineRule="auto"/>
        <w:jc w:val="both"/>
        <w:rPr>
          <w:rFonts w:ascii="Arial" w:eastAsia="Calibri" w:hAnsi="Arial" w:cs="Arial"/>
          <w:sz w:val="20"/>
          <w:shd w:val="clear" w:color="auto" w:fill="FFFFFF"/>
        </w:rPr>
      </w:pPr>
      <w:r>
        <w:rPr>
          <w:rFonts w:ascii="Arial" w:eastAsia="Calibri" w:hAnsi="Arial" w:cs="Arial"/>
          <w:sz w:val="20"/>
          <w:shd w:val="clear" w:color="auto" w:fill="FFFFFF"/>
        </w:rPr>
        <w:t>Para</w:t>
      </w:r>
      <w:r w:rsidR="00D538FD" w:rsidRPr="00701F32">
        <w:rPr>
          <w:rFonts w:ascii="Arial" w:eastAsia="Calibri" w:hAnsi="Arial" w:cs="Arial"/>
          <w:sz w:val="20"/>
          <w:shd w:val="clear" w:color="auto" w:fill="FFFFFF"/>
        </w:rPr>
        <w:t xml:space="preserve"> determinar si la Entidad controla una entidad estructurada, la administración evalúa su </w:t>
      </w:r>
      <w:r>
        <w:rPr>
          <w:rFonts w:ascii="Arial" w:eastAsia="Calibri" w:hAnsi="Arial" w:cs="Arial"/>
          <w:sz w:val="20"/>
          <w:shd w:val="clear" w:color="auto" w:fill="FFFFFF"/>
        </w:rPr>
        <w:t>poder para dirigir las actividades relevantes y si tiene exposición a derecho a rendimientos variables y si tiene la capacidad de utilizar su poder para afectar los rendimientos.</w:t>
      </w:r>
      <w:r w:rsidR="00D538FD" w:rsidRPr="00701F32">
        <w:rPr>
          <w:rFonts w:ascii="Arial" w:eastAsia="Calibri" w:hAnsi="Arial" w:cs="Arial"/>
          <w:sz w:val="20"/>
          <w:shd w:val="clear" w:color="auto" w:fill="FFFFFF"/>
        </w:rPr>
        <w:t xml:space="preserve"> En los casos en que existen más argumentos para la existencia de control, la entidad estructurada se consolida. La Entidad ha evaluado para determinar la existencia, o no de control lo siguiente: </w:t>
      </w:r>
    </w:p>
    <w:p w14:paraId="22A3B38F" w14:textId="77777777" w:rsidR="00D538FD" w:rsidRPr="00701F32" w:rsidRDefault="00D538FD" w:rsidP="00D538FD">
      <w:pPr>
        <w:numPr>
          <w:ilvl w:val="0"/>
          <w:numId w:val="54"/>
        </w:numPr>
        <w:spacing w:after="200" w:line="259" w:lineRule="auto"/>
        <w:ind w:left="1068"/>
        <w:contextualSpacing/>
        <w:jc w:val="both"/>
        <w:rPr>
          <w:rFonts w:ascii="Arial" w:eastAsia="Calibri" w:hAnsi="Arial" w:cs="Arial"/>
          <w:sz w:val="20"/>
          <w:szCs w:val="22"/>
        </w:rPr>
      </w:pPr>
      <w:r w:rsidRPr="00701F32">
        <w:rPr>
          <w:rFonts w:ascii="Arial" w:eastAsia="Calibri" w:hAnsi="Arial" w:cs="Arial"/>
          <w:sz w:val="20"/>
          <w:szCs w:val="22"/>
        </w:rPr>
        <w:t>el propósito y diseño del fideicomiso</w:t>
      </w:r>
    </w:p>
    <w:p w14:paraId="7D2C481E" w14:textId="77777777" w:rsidR="00D538FD" w:rsidRPr="00701F32" w:rsidRDefault="00D538FD" w:rsidP="00D538FD">
      <w:pPr>
        <w:numPr>
          <w:ilvl w:val="0"/>
          <w:numId w:val="54"/>
        </w:numPr>
        <w:spacing w:after="200" w:line="259" w:lineRule="auto"/>
        <w:ind w:left="1068"/>
        <w:contextualSpacing/>
        <w:jc w:val="both"/>
        <w:rPr>
          <w:rFonts w:ascii="Arial" w:eastAsia="Calibri" w:hAnsi="Arial" w:cs="Arial"/>
          <w:sz w:val="20"/>
          <w:szCs w:val="22"/>
        </w:rPr>
      </w:pPr>
      <w:r w:rsidRPr="00701F32">
        <w:rPr>
          <w:rFonts w:ascii="Arial" w:eastAsia="Calibri" w:hAnsi="Arial" w:cs="Arial"/>
          <w:sz w:val="20"/>
          <w:szCs w:val="22"/>
        </w:rPr>
        <w:t>identificación de las actividades relevantes</w:t>
      </w:r>
    </w:p>
    <w:p w14:paraId="26D79891" w14:textId="77777777" w:rsidR="00D538FD" w:rsidRPr="00701F32" w:rsidRDefault="00D538FD" w:rsidP="00D538FD">
      <w:pPr>
        <w:numPr>
          <w:ilvl w:val="0"/>
          <w:numId w:val="54"/>
        </w:numPr>
        <w:spacing w:after="200" w:line="259" w:lineRule="auto"/>
        <w:ind w:left="1068"/>
        <w:contextualSpacing/>
        <w:jc w:val="both"/>
        <w:rPr>
          <w:rFonts w:ascii="Arial" w:eastAsia="Calibri" w:hAnsi="Arial" w:cs="Arial"/>
          <w:sz w:val="20"/>
          <w:szCs w:val="22"/>
        </w:rPr>
      </w:pPr>
      <w:r w:rsidRPr="00701F32">
        <w:rPr>
          <w:rFonts w:ascii="Arial" w:eastAsia="Calibri" w:hAnsi="Arial" w:cs="Arial"/>
          <w:sz w:val="20"/>
          <w:szCs w:val="22"/>
        </w:rPr>
        <w:t>proceso decisorio sobre dichas actividades</w:t>
      </w:r>
    </w:p>
    <w:p w14:paraId="3804BB48" w14:textId="77777777" w:rsidR="00D538FD" w:rsidRPr="00701F32" w:rsidRDefault="00D538FD" w:rsidP="00D538FD">
      <w:pPr>
        <w:numPr>
          <w:ilvl w:val="0"/>
          <w:numId w:val="54"/>
        </w:numPr>
        <w:spacing w:after="200" w:line="259" w:lineRule="auto"/>
        <w:ind w:left="1068"/>
        <w:contextualSpacing/>
        <w:jc w:val="both"/>
        <w:rPr>
          <w:rFonts w:ascii="Arial" w:eastAsia="Calibri" w:hAnsi="Arial" w:cs="Arial"/>
          <w:sz w:val="20"/>
          <w:szCs w:val="22"/>
        </w:rPr>
      </w:pPr>
      <w:r w:rsidRPr="00701F32">
        <w:rPr>
          <w:rFonts w:ascii="Arial" w:eastAsia="Calibri" w:hAnsi="Arial" w:cs="Arial"/>
          <w:sz w:val="20"/>
          <w:szCs w:val="22"/>
        </w:rPr>
        <w:t>si los derechos que el Banco posee le permiten dirigir las actividades relevantes del fideicomiso</w:t>
      </w:r>
    </w:p>
    <w:p w14:paraId="2891935F" w14:textId="77777777" w:rsidR="00D538FD" w:rsidRPr="00701F32" w:rsidRDefault="00D538FD" w:rsidP="00D538FD">
      <w:pPr>
        <w:numPr>
          <w:ilvl w:val="0"/>
          <w:numId w:val="54"/>
        </w:numPr>
        <w:spacing w:after="200" w:line="259" w:lineRule="auto"/>
        <w:ind w:left="1068"/>
        <w:contextualSpacing/>
        <w:jc w:val="both"/>
        <w:rPr>
          <w:rFonts w:ascii="Arial" w:eastAsia="Calibri" w:hAnsi="Arial" w:cs="Arial"/>
          <w:sz w:val="20"/>
          <w:szCs w:val="22"/>
        </w:rPr>
      </w:pPr>
      <w:r w:rsidRPr="00701F32">
        <w:rPr>
          <w:rFonts w:ascii="Arial" w:eastAsia="Calibri" w:hAnsi="Arial" w:cs="Arial"/>
          <w:sz w:val="20"/>
          <w:szCs w:val="22"/>
        </w:rPr>
        <w:t>si el Banco está expuesto, o tiene derecho a los resultados variables provenientes de su participación en dicho fideicomiso</w:t>
      </w:r>
    </w:p>
    <w:p w14:paraId="78484B8A" w14:textId="55066C54" w:rsidR="00D538FD" w:rsidRPr="00560C30" w:rsidRDefault="00D538FD" w:rsidP="006E1AF7">
      <w:pPr>
        <w:numPr>
          <w:ilvl w:val="0"/>
          <w:numId w:val="54"/>
        </w:numPr>
        <w:spacing w:after="200" w:line="259" w:lineRule="auto"/>
        <w:ind w:left="1068"/>
        <w:contextualSpacing/>
        <w:jc w:val="both"/>
        <w:rPr>
          <w:rFonts w:ascii="Arial" w:eastAsia="Calibri" w:hAnsi="Arial" w:cs="Arial"/>
          <w:sz w:val="20"/>
          <w:szCs w:val="22"/>
        </w:rPr>
      </w:pPr>
      <w:r w:rsidRPr="00701F32">
        <w:rPr>
          <w:rFonts w:ascii="Arial" w:eastAsia="Calibri" w:hAnsi="Arial" w:cs="Arial"/>
          <w:sz w:val="20"/>
          <w:szCs w:val="22"/>
        </w:rPr>
        <w:t>si el Banco tiene la capacidad de afectar dichos resultados a través de su poder sobre el fideicomiso</w:t>
      </w:r>
    </w:p>
    <w:p w14:paraId="39DBDE8B" w14:textId="77777777" w:rsidR="00D538FD" w:rsidRPr="00701F32" w:rsidRDefault="00D538FD" w:rsidP="00D538FD">
      <w:pPr>
        <w:spacing w:after="200" w:line="259" w:lineRule="auto"/>
        <w:contextualSpacing/>
        <w:jc w:val="both"/>
        <w:rPr>
          <w:rFonts w:ascii="Arial" w:eastAsia="Calibri" w:hAnsi="Arial" w:cs="Arial"/>
          <w:sz w:val="20"/>
          <w:szCs w:val="22"/>
        </w:rPr>
      </w:pPr>
    </w:p>
    <w:p w14:paraId="42F55143" w14:textId="77777777" w:rsidR="00D538FD" w:rsidRPr="00701F32" w:rsidRDefault="00D538FD" w:rsidP="00D538FD">
      <w:pPr>
        <w:numPr>
          <w:ilvl w:val="0"/>
          <w:numId w:val="55"/>
        </w:numPr>
        <w:shd w:val="clear" w:color="auto" w:fill="FFFFFF"/>
        <w:spacing w:after="160" w:line="259" w:lineRule="auto"/>
        <w:contextualSpacing/>
        <w:jc w:val="both"/>
        <w:rPr>
          <w:rFonts w:ascii="Arial" w:eastAsia="Calibri" w:hAnsi="Arial" w:cs="Arial"/>
          <w:sz w:val="20"/>
          <w:shd w:val="clear" w:color="auto" w:fill="FFFFFF"/>
        </w:rPr>
      </w:pPr>
      <w:r w:rsidRPr="00701F32">
        <w:rPr>
          <w:rFonts w:ascii="Arial" w:eastAsia="Calibri" w:hAnsi="Arial" w:cs="Arial"/>
          <w:sz w:val="20"/>
          <w:shd w:val="clear" w:color="auto" w:fill="FFFFFF"/>
        </w:rPr>
        <w:t>Impuesto a las ganancias e impuesto diferido</w:t>
      </w:r>
    </w:p>
    <w:p w14:paraId="583B5E37" w14:textId="77777777" w:rsidR="00D538FD" w:rsidRPr="00701F32" w:rsidRDefault="00D538FD" w:rsidP="00D53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hd w:val="clear" w:color="auto" w:fill="FFFFFF"/>
          <w:lang w:eastAsia="es-AR"/>
        </w:rPr>
      </w:pPr>
    </w:p>
    <w:p w14:paraId="789A4CE0" w14:textId="77777777" w:rsidR="00D538FD" w:rsidRPr="00701F32" w:rsidRDefault="00D538FD" w:rsidP="00D538FD">
      <w:pPr>
        <w:shd w:val="clear" w:color="auto" w:fill="FFFFFF"/>
        <w:spacing w:after="160" w:line="259" w:lineRule="auto"/>
        <w:jc w:val="both"/>
        <w:rPr>
          <w:rFonts w:ascii="Arial" w:eastAsia="Calibri" w:hAnsi="Arial" w:cs="Arial"/>
          <w:sz w:val="20"/>
        </w:rPr>
      </w:pPr>
      <w:r w:rsidRPr="00701F32">
        <w:rPr>
          <w:rFonts w:ascii="Arial" w:eastAsia="Calibri" w:hAnsi="Arial" w:cs="Arial"/>
          <w:sz w:val="20"/>
        </w:rPr>
        <w:t>Se requiere un juicio significativo al determinar los pasivos y activos por impuestos corrientes y diferidos. El impuesto corriente se provisiona de acuerdo a los montos que se espera pagar y el impuesto diferido se provisiona sobre las diferencias temporarias entre las bases impositivas de los activos y pasivos y sus valores en libros, a las alícuotas que se espera estén vigentes al momento de reversión de las mismas.</w:t>
      </w:r>
    </w:p>
    <w:p w14:paraId="528438F7" w14:textId="77777777" w:rsidR="00D538FD" w:rsidRPr="00701F32" w:rsidRDefault="00D538FD" w:rsidP="00D538FD">
      <w:pPr>
        <w:shd w:val="clear" w:color="auto" w:fill="FFFFFF"/>
        <w:spacing w:after="160" w:line="259" w:lineRule="auto"/>
        <w:jc w:val="both"/>
        <w:rPr>
          <w:rFonts w:ascii="Arial" w:eastAsia="Calibri" w:hAnsi="Arial" w:cs="Arial"/>
          <w:sz w:val="20"/>
          <w:shd w:val="clear" w:color="auto" w:fill="FFFFFF"/>
        </w:rPr>
      </w:pPr>
      <w:r w:rsidRPr="00701F32">
        <w:rPr>
          <w:rFonts w:ascii="Arial" w:eastAsia="Calibri" w:hAnsi="Arial" w:cs="Arial"/>
          <w:sz w:val="20"/>
        </w:rPr>
        <w:t>Se reconoce un activo por impuesto diferido en la medida en que exista la probabilidad de que se disponga de ganancias imponibles futuras contra las cuales se puedan utilizar las diferencias temporarias, basado en los presupuestos de la gerencia con respecto a los montos y la oportunidad de las ganancias imponibles futuras. Luego se debe determinar la posibilidad de que los activos por impuesto diferido se utilicen y compensen contra ganancias imponibles futuras. Los resultados reales pueden diferir de estas estimaciones, por ejemplo, cambios en la legislación impositiva o el resultado de la revisión definitiva de las declaraciones juradas de impuestos por parte del fisco y los tribunales fiscales.</w:t>
      </w:r>
    </w:p>
    <w:p w14:paraId="6B414CB0" w14:textId="358A44DB" w:rsidR="00DA6BE4" w:rsidRPr="00701F32" w:rsidRDefault="00D538FD" w:rsidP="00D538FD">
      <w:pPr>
        <w:autoSpaceDE w:val="0"/>
        <w:autoSpaceDN w:val="0"/>
        <w:adjustRightInd w:val="0"/>
        <w:jc w:val="both"/>
        <w:rPr>
          <w:rFonts w:ascii="Arial" w:eastAsia="Calibri" w:hAnsi="Arial" w:cs="Arial"/>
          <w:noProof/>
          <w:sz w:val="20"/>
        </w:rPr>
      </w:pPr>
      <w:r w:rsidRPr="00701F32">
        <w:rPr>
          <w:rFonts w:ascii="Arial" w:eastAsia="Calibri" w:hAnsi="Arial" w:cs="Arial"/>
          <w:sz w:val="20"/>
          <w:shd w:val="clear" w:color="auto" w:fill="FFFFFF"/>
        </w:rPr>
        <w:t>Las ganancias fiscales futuras y la cantidad de beneficios fiscales que son probables en el futuro se basan en un plan de negocios a mediano plazo preparado por la administración el cual se basa en expectativas que se consideran razonables.</w:t>
      </w:r>
    </w:p>
    <w:p w14:paraId="19485724" w14:textId="77777777" w:rsidR="00A06BE9" w:rsidRPr="00701F32" w:rsidRDefault="00A06BE9" w:rsidP="00A06BE9">
      <w:pPr>
        <w:autoSpaceDE w:val="0"/>
        <w:autoSpaceDN w:val="0"/>
        <w:adjustRightInd w:val="0"/>
        <w:jc w:val="both"/>
        <w:rPr>
          <w:rFonts w:ascii="Arial" w:eastAsia="Calibri" w:hAnsi="Arial" w:cs="Arial"/>
          <w:noProof/>
          <w:sz w:val="20"/>
        </w:rPr>
      </w:pPr>
    </w:p>
    <w:p w14:paraId="1A3FEE47" w14:textId="71A16A49" w:rsidR="00A06BE9" w:rsidRPr="00701F32" w:rsidRDefault="00D26051" w:rsidP="00A06BE9">
      <w:pPr>
        <w:spacing w:after="160" w:line="259" w:lineRule="auto"/>
        <w:jc w:val="both"/>
        <w:rPr>
          <w:rFonts w:ascii="Arial" w:eastAsia="Calibri" w:hAnsi="Arial" w:cs="Arial"/>
          <w:b/>
          <w:bCs/>
          <w:sz w:val="20"/>
        </w:rPr>
      </w:pPr>
      <w:r>
        <w:rPr>
          <w:rFonts w:ascii="Arial" w:eastAsia="Calibri" w:hAnsi="Arial" w:cs="Arial"/>
          <w:b/>
          <w:bCs/>
          <w:sz w:val="20"/>
        </w:rPr>
        <w:t>3</w:t>
      </w:r>
      <w:r w:rsidR="00A06BE9" w:rsidRPr="00701F32">
        <w:rPr>
          <w:rFonts w:ascii="Arial" w:eastAsia="Calibri" w:hAnsi="Arial" w:cs="Arial"/>
          <w:b/>
          <w:bCs/>
          <w:sz w:val="20"/>
        </w:rPr>
        <w:t xml:space="preserve">. </w:t>
      </w:r>
      <w:r w:rsidR="00582EAB" w:rsidRPr="00701F32">
        <w:rPr>
          <w:rFonts w:ascii="Arial" w:eastAsia="Calibri" w:hAnsi="Arial" w:cs="Arial"/>
          <w:b/>
          <w:bCs/>
          <w:sz w:val="20"/>
        </w:rPr>
        <w:t>INFORMACION POR SEGMENTOS</w:t>
      </w:r>
    </w:p>
    <w:p w14:paraId="21A4D716" w14:textId="77777777" w:rsidR="00A06BE9" w:rsidRPr="00701F32" w:rsidRDefault="00A06BE9" w:rsidP="00A06BE9">
      <w:pPr>
        <w:spacing w:after="160" w:line="259" w:lineRule="auto"/>
        <w:jc w:val="both"/>
        <w:rPr>
          <w:rFonts w:ascii="Arial" w:eastAsia="Calibri" w:hAnsi="Arial" w:cs="Arial"/>
          <w:sz w:val="20"/>
        </w:rPr>
      </w:pPr>
      <w:r w:rsidRPr="00701F32">
        <w:rPr>
          <w:rFonts w:ascii="Arial" w:eastAsia="Calibri" w:hAnsi="Arial" w:cs="Arial"/>
          <w:sz w:val="20"/>
        </w:rPr>
        <w:t>La Entidad determina los segmentos operativos sobre la base de los informes de gestión que son revisados por el Directorio y el personal clave de la Gerencia, y los actualiza a medida que los mismos presentan cambios.</w:t>
      </w:r>
    </w:p>
    <w:p w14:paraId="4BDC30CC" w14:textId="77777777" w:rsidR="00A06BE9" w:rsidRPr="00701F32" w:rsidRDefault="00A06BE9" w:rsidP="00A06BE9">
      <w:pPr>
        <w:tabs>
          <w:tab w:val="left" w:pos="1909"/>
        </w:tabs>
        <w:spacing w:after="160" w:line="259" w:lineRule="auto"/>
        <w:jc w:val="both"/>
        <w:rPr>
          <w:rFonts w:ascii="Arial" w:eastAsia="Calibri" w:hAnsi="Arial" w:cs="Arial"/>
          <w:bCs/>
          <w:sz w:val="20"/>
        </w:rPr>
      </w:pPr>
      <w:r w:rsidRPr="00701F32">
        <w:rPr>
          <w:rFonts w:ascii="Arial" w:eastAsia="Calibri" w:hAnsi="Arial" w:cs="Arial"/>
          <w:bCs/>
          <w:sz w:val="20"/>
        </w:rPr>
        <w:t xml:space="preserve">La Entidad ha identificado los siguientes segmentos operativos </w:t>
      </w:r>
      <w:r w:rsidRPr="00701F32">
        <w:rPr>
          <w:rFonts w:ascii="Arial" w:eastAsia="Calibri" w:hAnsi="Arial" w:cs="Arial"/>
          <w:sz w:val="20"/>
        </w:rPr>
        <w:t xml:space="preserve">sobre los cuales dispone de información financiera diferenciada, teniendo en cuenta la naturaleza de sus riesgos y rendimientos así como también </w:t>
      </w:r>
      <w:r w:rsidRPr="00701F32">
        <w:rPr>
          <w:rFonts w:ascii="Arial" w:eastAsia="Calibri" w:hAnsi="Arial" w:cs="Arial"/>
          <w:bCs/>
          <w:sz w:val="20"/>
        </w:rPr>
        <w:t>los tipos de productos y servicios ofrecidos:</w:t>
      </w:r>
    </w:p>
    <w:p w14:paraId="5948D8BA" w14:textId="25FD036F" w:rsidR="00A06BE9" w:rsidRPr="00701F32" w:rsidRDefault="00A06BE9" w:rsidP="00627289">
      <w:pPr>
        <w:numPr>
          <w:ilvl w:val="0"/>
          <w:numId w:val="30"/>
        </w:numPr>
        <w:spacing w:after="160" w:line="259" w:lineRule="auto"/>
        <w:contextualSpacing/>
        <w:jc w:val="both"/>
        <w:rPr>
          <w:rFonts w:ascii="Arial" w:eastAsia="Calibri" w:hAnsi="Arial" w:cs="Arial"/>
          <w:bCs/>
          <w:sz w:val="20"/>
        </w:rPr>
      </w:pPr>
      <w:r w:rsidRPr="00701F32">
        <w:rPr>
          <w:rFonts w:ascii="Arial" w:eastAsia="Calibri" w:hAnsi="Arial" w:cs="Arial"/>
          <w:bCs/>
          <w:sz w:val="20"/>
        </w:rPr>
        <w:t>Banca Minorista</w:t>
      </w:r>
      <w:r w:rsidR="0038752C">
        <w:rPr>
          <w:rFonts w:ascii="Arial" w:eastAsia="Calibri" w:hAnsi="Arial" w:cs="Arial"/>
          <w:bCs/>
          <w:sz w:val="20"/>
        </w:rPr>
        <w:t>:</w:t>
      </w:r>
      <w:r w:rsidRPr="00701F32">
        <w:rPr>
          <w:rFonts w:ascii="Arial" w:eastAsia="Calibri" w:hAnsi="Arial" w:cs="Arial"/>
          <w:bCs/>
          <w:sz w:val="20"/>
        </w:rPr>
        <w:t xml:space="preserve"> Incluye una amplia gama de productos y servicios financieros destinados a clientes de los segmentos de pequeñas empresas, agrupadas en Emprendedores &amp; Pymes, y los clientes personas de renta alta</w:t>
      </w:r>
      <w:r w:rsidR="00AD05AA">
        <w:rPr>
          <w:rFonts w:ascii="Arial" w:eastAsia="Calibri" w:hAnsi="Arial" w:cs="Arial"/>
          <w:bCs/>
          <w:sz w:val="20"/>
        </w:rPr>
        <w:t xml:space="preserve"> </w:t>
      </w:r>
      <w:r w:rsidRPr="00701F32">
        <w:rPr>
          <w:rFonts w:ascii="Arial" w:eastAsia="Calibri" w:hAnsi="Arial" w:cs="Arial"/>
          <w:bCs/>
          <w:sz w:val="20"/>
        </w:rPr>
        <w:t>identificados con la propuesta Identité. Adicionalmente, el Banco ofrece productos y servicios destinados a atender las necesidades de jubilados y pensionados.</w:t>
      </w:r>
    </w:p>
    <w:p w14:paraId="5AAF3082" w14:textId="77777777" w:rsidR="00A06BE9" w:rsidRPr="00701F32" w:rsidRDefault="00A06BE9" w:rsidP="00A06BE9">
      <w:pPr>
        <w:spacing w:after="160" w:line="259" w:lineRule="auto"/>
        <w:ind w:left="720"/>
        <w:contextualSpacing/>
        <w:jc w:val="both"/>
        <w:rPr>
          <w:rFonts w:ascii="Arial" w:eastAsia="Calibri" w:hAnsi="Arial" w:cs="Arial"/>
          <w:bCs/>
          <w:sz w:val="20"/>
        </w:rPr>
      </w:pPr>
    </w:p>
    <w:p w14:paraId="0DE4DC5F" w14:textId="77777777" w:rsidR="00A06BE9" w:rsidRPr="00701F32" w:rsidRDefault="00A06BE9" w:rsidP="00627289">
      <w:pPr>
        <w:numPr>
          <w:ilvl w:val="0"/>
          <w:numId w:val="30"/>
        </w:numPr>
        <w:spacing w:after="160" w:line="259" w:lineRule="auto"/>
        <w:contextualSpacing/>
        <w:jc w:val="both"/>
        <w:rPr>
          <w:rFonts w:ascii="Arial" w:eastAsia="Calibri" w:hAnsi="Arial" w:cs="Arial"/>
          <w:bCs/>
          <w:sz w:val="20"/>
        </w:rPr>
      </w:pPr>
      <w:r w:rsidRPr="00701F32">
        <w:rPr>
          <w:rFonts w:ascii="Arial" w:eastAsia="Calibri" w:hAnsi="Arial" w:cs="Arial"/>
          <w:bCs/>
          <w:sz w:val="20"/>
        </w:rPr>
        <w:t>Banca Empresa: Incluye los servicios de asesoramiento en materia corporativa y financiera, así como la gestión de activos y el otorgamiento de financiaciones a Pymes, empresas medianas y grandes empresas.</w:t>
      </w:r>
      <w:r w:rsidRPr="00701F32">
        <w:rPr>
          <w:rFonts w:ascii="Calibri" w:eastAsia="Calibri" w:hAnsi="Calibri"/>
          <w:sz w:val="22"/>
          <w:szCs w:val="22"/>
        </w:rPr>
        <w:t xml:space="preserve"> </w:t>
      </w:r>
    </w:p>
    <w:p w14:paraId="1FE6E6A1" w14:textId="77777777" w:rsidR="00A06BE9" w:rsidRPr="00701F32" w:rsidRDefault="00A06BE9" w:rsidP="00A06BE9">
      <w:pPr>
        <w:spacing w:after="160" w:line="259" w:lineRule="auto"/>
        <w:contextualSpacing/>
        <w:jc w:val="both"/>
        <w:rPr>
          <w:rFonts w:ascii="Arial" w:eastAsia="Calibri" w:hAnsi="Arial" w:cs="Arial"/>
          <w:bCs/>
          <w:sz w:val="20"/>
        </w:rPr>
      </w:pPr>
    </w:p>
    <w:p w14:paraId="782A7837" w14:textId="77777777" w:rsidR="00A06BE9" w:rsidRPr="00701F32" w:rsidRDefault="00A06BE9" w:rsidP="00627289">
      <w:pPr>
        <w:numPr>
          <w:ilvl w:val="0"/>
          <w:numId w:val="30"/>
        </w:numPr>
        <w:spacing w:after="160" w:line="259" w:lineRule="auto"/>
        <w:contextualSpacing/>
        <w:jc w:val="both"/>
        <w:rPr>
          <w:rFonts w:ascii="Arial" w:eastAsia="Calibri" w:hAnsi="Arial" w:cs="Arial"/>
          <w:bCs/>
          <w:sz w:val="20"/>
        </w:rPr>
      </w:pPr>
      <w:r w:rsidRPr="00701F32">
        <w:rPr>
          <w:rFonts w:ascii="Arial" w:eastAsia="Calibri" w:hAnsi="Arial" w:cs="Arial"/>
          <w:bCs/>
          <w:sz w:val="20"/>
        </w:rPr>
        <w:t>Tesorería: Este segmento es el responsable de la asignación de liquidez de la Entidad según las necesidades de las bancas y sus necesidades propias.</w:t>
      </w:r>
      <w:r w:rsidRPr="00701F32">
        <w:rPr>
          <w:rFonts w:ascii="Calibri" w:eastAsia="Calibri" w:hAnsi="Calibri"/>
          <w:sz w:val="22"/>
          <w:szCs w:val="22"/>
        </w:rPr>
        <w:t xml:space="preserve"> </w:t>
      </w:r>
      <w:r w:rsidRPr="00701F32">
        <w:rPr>
          <w:rFonts w:ascii="Arial" w:eastAsia="Calibri" w:hAnsi="Arial" w:cs="Arial"/>
          <w:bCs/>
          <w:sz w:val="20"/>
        </w:rPr>
        <w:t>El segmento Tesorería implementa las políticas de gestión de riesgo financiero del Banco, gestiona las operaciones de su mesa de dinero, distribuye productos financieros, por ejemplo valores negociables, y desarrolla negocios con los clientes del sector financiero y no financiero mayorista.</w:t>
      </w:r>
    </w:p>
    <w:p w14:paraId="1052CBFF" w14:textId="77777777" w:rsidR="00A06BE9" w:rsidRPr="00701F32" w:rsidRDefault="00A06BE9" w:rsidP="00A06BE9">
      <w:pPr>
        <w:spacing w:after="160" w:line="259" w:lineRule="auto"/>
        <w:ind w:left="720"/>
        <w:contextualSpacing/>
        <w:jc w:val="both"/>
        <w:rPr>
          <w:rFonts w:ascii="Arial" w:eastAsia="Calibri" w:hAnsi="Arial" w:cs="Arial"/>
          <w:bCs/>
          <w:sz w:val="20"/>
        </w:rPr>
      </w:pPr>
    </w:p>
    <w:p w14:paraId="5368AC69" w14:textId="77777777" w:rsidR="00A06BE9" w:rsidRPr="00F77F7F" w:rsidRDefault="00A06BE9" w:rsidP="00627289">
      <w:pPr>
        <w:numPr>
          <w:ilvl w:val="0"/>
          <w:numId w:val="30"/>
        </w:numPr>
        <w:spacing w:after="160" w:line="259" w:lineRule="auto"/>
        <w:contextualSpacing/>
        <w:jc w:val="both"/>
        <w:rPr>
          <w:rFonts w:ascii="Arial" w:eastAsia="Calibri" w:hAnsi="Arial" w:cs="Arial"/>
          <w:bCs/>
          <w:sz w:val="20"/>
        </w:rPr>
      </w:pPr>
      <w:r w:rsidRPr="00F77F7F">
        <w:rPr>
          <w:rFonts w:ascii="Arial" w:eastAsia="Calibri" w:hAnsi="Arial" w:cs="Arial"/>
          <w:bCs/>
          <w:sz w:val="20"/>
        </w:rPr>
        <w:t>Consumo: A través de este segmento la entidad ofrece tarjetas de crédito de marca privada, créditos para la adquisición de bienes de consumo y préstamos en efectivo a los sectores de ingresos medios y medios bajos no bancarizados.</w:t>
      </w:r>
    </w:p>
    <w:p w14:paraId="71AB0984" w14:textId="77777777" w:rsidR="00A06BE9" w:rsidRPr="00066653" w:rsidRDefault="00A06BE9" w:rsidP="00A06BE9">
      <w:pPr>
        <w:spacing w:after="160" w:line="259" w:lineRule="auto"/>
        <w:ind w:left="720"/>
        <w:contextualSpacing/>
        <w:jc w:val="both"/>
        <w:rPr>
          <w:rFonts w:ascii="Arial" w:eastAsia="Calibri" w:hAnsi="Arial" w:cs="Arial"/>
          <w:bCs/>
          <w:sz w:val="20"/>
        </w:rPr>
      </w:pPr>
    </w:p>
    <w:p w14:paraId="4998F0D5" w14:textId="77777777" w:rsidR="00A06BE9" w:rsidRPr="00F77F7F" w:rsidRDefault="00A06BE9" w:rsidP="00A06BE9">
      <w:pPr>
        <w:spacing w:after="160" w:line="259" w:lineRule="auto"/>
        <w:jc w:val="both"/>
        <w:rPr>
          <w:rFonts w:ascii="Arial" w:eastAsia="Calibri" w:hAnsi="Arial" w:cs="Arial"/>
          <w:bCs/>
          <w:sz w:val="20"/>
        </w:rPr>
      </w:pPr>
      <w:r w:rsidRPr="00F77F7F">
        <w:rPr>
          <w:rFonts w:ascii="Arial" w:eastAsia="Calibri" w:hAnsi="Arial" w:cs="Arial"/>
          <w:bCs/>
          <w:sz w:val="20"/>
        </w:rPr>
        <w:t>Los resultados operativos de los distintos segmentos operativos de la Entidad se monitorean por separado con el propósito de tomar decisiones sobre la asignación de recursos y la evaluación del desempeño de cada uno de los segmentos. El rendimiento de los mismos es evaluado basado en las ganancias o pérdidas operativas y es medido consistentemente con las ganancias y pérdidas operativas del estado consolidado de ganancias y pérdidas.</w:t>
      </w:r>
    </w:p>
    <w:p w14:paraId="0B5BFA2B" w14:textId="0E818649" w:rsidR="00A06BE9" w:rsidRPr="00F77F7F" w:rsidRDefault="00A06BE9" w:rsidP="00A06BE9">
      <w:pPr>
        <w:spacing w:after="160" w:line="259" w:lineRule="auto"/>
        <w:jc w:val="both"/>
        <w:rPr>
          <w:rFonts w:ascii="Arial" w:eastAsia="Calibri" w:hAnsi="Arial" w:cs="Arial"/>
          <w:bCs/>
          <w:sz w:val="20"/>
        </w:rPr>
      </w:pPr>
      <w:r w:rsidRPr="00F77F7F">
        <w:rPr>
          <w:rFonts w:ascii="Arial" w:eastAsia="Calibri" w:hAnsi="Arial" w:cs="Arial"/>
          <w:bCs/>
          <w:sz w:val="20"/>
        </w:rPr>
        <w:t xml:space="preserve">Cuando ocurre alguna transacción, </w:t>
      </w:r>
      <w:r w:rsidR="0069665B" w:rsidRPr="00F77F7F">
        <w:rPr>
          <w:rFonts w:ascii="Arial" w:eastAsia="Calibri" w:hAnsi="Arial" w:cs="Arial"/>
          <w:bCs/>
          <w:sz w:val="20"/>
        </w:rPr>
        <w:t>la misma es realizada</w:t>
      </w:r>
      <w:r w:rsidRPr="00F77F7F">
        <w:rPr>
          <w:rFonts w:ascii="Arial" w:eastAsia="Calibri" w:hAnsi="Arial" w:cs="Arial"/>
          <w:bCs/>
          <w:sz w:val="20"/>
        </w:rPr>
        <w:t xml:space="preserve"> entre los segmentos operativos de manera similar a las transacciones realizadas con terceros. Los ingresos, los gastos y los resultados producidos por las transferencias entre los segmentos operativos son luego eliminadas de la consolidación.</w:t>
      </w:r>
    </w:p>
    <w:p w14:paraId="6298EE7A" w14:textId="77777777" w:rsidR="00A06BE9" w:rsidRPr="00066653" w:rsidRDefault="00A06BE9" w:rsidP="00A06BE9">
      <w:pPr>
        <w:autoSpaceDE w:val="0"/>
        <w:autoSpaceDN w:val="0"/>
        <w:adjustRightInd w:val="0"/>
        <w:spacing w:after="160" w:line="259" w:lineRule="auto"/>
        <w:jc w:val="both"/>
        <w:rPr>
          <w:rFonts w:ascii="Arial" w:eastAsia="Calibri" w:hAnsi="Arial" w:cs="Arial"/>
          <w:sz w:val="20"/>
        </w:rPr>
      </w:pPr>
      <w:r w:rsidRPr="00F77F7F">
        <w:rPr>
          <w:rFonts w:ascii="Arial" w:eastAsia="Calibri" w:hAnsi="Arial" w:cs="Arial"/>
          <w:sz w:val="20"/>
        </w:rPr>
        <w:t>La Entidad no presenta información por segmentos geográficos porque no existen explotaciones en entornos económicos con riesgos y rendimientos que sean significativamente diferentes</w:t>
      </w:r>
      <w:r w:rsidRPr="00066653">
        <w:rPr>
          <w:rFonts w:ascii="Arial" w:eastAsia="Calibri" w:hAnsi="Arial" w:cs="Arial"/>
          <w:sz w:val="20"/>
        </w:rPr>
        <w:t xml:space="preserve">. </w:t>
      </w:r>
    </w:p>
    <w:p w14:paraId="06B1E2E8" w14:textId="02A735DD" w:rsidR="006D43FB" w:rsidRPr="00701F32" w:rsidRDefault="00A06BE9" w:rsidP="003E014F">
      <w:pPr>
        <w:spacing w:after="160" w:line="259" w:lineRule="auto"/>
        <w:jc w:val="both"/>
        <w:rPr>
          <w:rFonts w:ascii="Arial" w:eastAsia="Calibri" w:hAnsi="Arial" w:cs="Arial"/>
          <w:bCs/>
          <w:sz w:val="20"/>
        </w:rPr>
      </w:pPr>
      <w:r w:rsidRPr="00701F32">
        <w:rPr>
          <w:rFonts w:ascii="Arial" w:eastAsia="Calibri" w:hAnsi="Arial" w:cs="Arial"/>
          <w:bCs/>
          <w:sz w:val="20"/>
        </w:rPr>
        <w:t xml:space="preserve">A continuación, se presenta la información por segmentos pertinente al </w:t>
      </w:r>
      <w:r w:rsidR="009C5DAE">
        <w:rPr>
          <w:rFonts w:ascii="Arial" w:eastAsia="Calibri" w:hAnsi="Arial" w:cs="Arial"/>
          <w:bCs/>
          <w:sz w:val="20"/>
        </w:rPr>
        <w:t>3</w:t>
      </w:r>
      <w:r w:rsidR="00D538FD">
        <w:rPr>
          <w:rFonts w:ascii="Arial" w:eastAsia="Calibri" w:hAnsi="Arial" w:cs="Arial"/>
          <w:bCs/>
          <w:sz w:val="20"/>
        </w:rPr>
        <w:t>1</w:t>
      </w:r>
      <w:r w:rsidR="00D26051">
        <w:rPr>
          <w:rFonts w:ascii="Arial" w:eastAsia="Calibri" w:hAnsi="Arial" w:cs="Arial"/>
          <w:bCs/>
          <w:sz w:val="20"/>
        </w:rPr>
        <w:t xml:space="preserve"> de </w:t>
      </w:r>
      <w:r w:rsidR="00D538FD">
        <w:rPr>
          <w:rFonts w:ascii="Arial" w:eastAsia="Calibri" w:hAnsi="Arial" w:cs="Arial"/>
          <w:bCs/>
          <w:sz w:val="20"/>
        </w:rPr>
        <w:t>diciembre</w:t>
      </w:r>
      <w:r w:rsidR="00D26051">
        <w:rPr>
          <w:rFonts w:ascii="Arial" w:eastAsia="Calibri" w:hAnsi="Arial" w:cs="Arial"/>
          <w:bCs/>
          <w:sz w:val="20"/>
        </w:rPr>
        <w:t xml:space="preserve"> de 2019 y </w:t>
      </w:r>
      <w:r w:rsidRPr="00701F32">
        <w:rPr>
          <w:rFonts w:ascii="Arial" w:eastAsia="Calibri" w:hAnsi="Arial" w:cs="Arial"/>
          <w:bCs/>
          <w:sz w:val="20"/>
        </w:rPr>
        <w:t>2018 respectivamente</w:t>
      </w:r>
      <w:r w:rsidR="00897D90">
        <w:rPr>
          <w:rFonts w:ascii="Arial" w:eastAsia="Calibri" w:hAnsi="Arial" w:cs="Arial"/>
          <w:bCs/>
          <w:sz w:val="20"/>
        </w:rPr>
        <w:t>:</w:t>
      </w:r>
    </w:p>
    <w:tbl>
      <w:tblPr>
        <w:tblW w:w="10016" w:type="dxa"/>
        <w:tblInd w:w="-356" w:type="dxa"/>
        <w:tblCellMar>
          <w:left w:w="70" w:type="dxa"/>
          <w:right w:w="70" w:type="dxa"/>
        </w:tblCellMar>
        <w:tblLook w:val="04A0" w:firstRow="1" w:lastRow="0" w:firstColumn="1" w:lastColumn="0" w:noHBand="0" w:noVBand="1"/>
      </w:tblPr>
      <w:tblGrid>
        <w:gridCol w:w="3120"/>
        <w:gridCol w:w="1089"/>
        <w:gridCol w:w="1116"/>
        <w:gridCol w:w="1150"/>
        <w:gridCol w:w="1011"/>
        <w:gridCol w:w="1304"/>
        <w:gridCol w:w="1226"/>
      </w:tblGrid>
      <w:tr w:rsidR="006D43FB" w:rsidRPr="0047095D" w14:paraId="2D13138D" w14:textId="77777777" w:rsidTr="006E1AF7">
        <w:trPr>
          <w:trHeight w:val="445"/>
          <w:tblHeader/>
        </w:trPr>
        <w:tc>
          <w:tcPr>
            <w:tcW w:w="3120" w:type="dxa"/>
            <w:tcBorders>
              <w:top w:val="single" w:sz="4" w:space="0" w:color="auto"/>
              <w:left w:val="single" w:sz="4" w:space="0" w:color="auto"/>
              <w:bottom w:val="single" w:sz="4" w:space="0" w:color="auto"/>
              <w:right w:val="single" w:sz="4" w:space="0" w:color="auto"/>
            </w:tcBorders>
            <w:shd w:val="clear" w:color="000000" w:fill="FFFFFF"/>
            <w:vAlign w:val="center"/>
          </w:tcPr>
          <w:p w14:paraId="715A9474" w14:textId="621F7A1B" w:rsidR="006D43FB" w:rsidRPr="0047095D" w:rsidRDefault="006D43FB" w:rsidP="009C5DAE">
            <w:pPr>
              <w:ind w:left="-70" w:firstLine="70"/>
              <w:jc w:val="center"/>
              <w:rPr>
                <w:rFonts w:ascii="Arial" w:hAnsi="Arial" w:cs="Arial"/>
                <w:b/>
                <w:bCs/>
                <w:sz w:val="16"/>
                <w:szCs w:val="16"/>
                <w:lang w:val="es-ES_tradnl" w:eastAsia="es-AR"/>
              </w:rPr>
            </w:pPr>
            <w:r w:rsidRPr="008F5B61">
              <w:rPr>
                <w:rFonts w:ascii="Arial" w:hAnsi="Arial" w:cs="Arial"/>
                <w:b/>
                <w:bCs/>
                <w:sz w:val="16"/>
                <w:szCs w:val="16"/>
                <w:lang w:eastAsia="es-AR"/>
              </w:rPr>
              <w:t xml:space="preserve">ACTIVO al </w:t>
            </w:r>
            <w:r w:rsidR="009C5DAE" w:rsidRPr="008F5B61">
              <w:rPr>
                <w:rFonts w:ascii="Arial" w:hAnsi="Arial" w:cs="Arial"/>
                <w:b/>
                <w:bCs/>
                <w:sz w:val="16"/>
                <w:szCs w:val="16"/>
                <w:lang w:eastAsia="es-AR"/>
              </w:rPr>
              <w:t>3</w:t>
            </w:r>
            <w:r w:rsidR="00D538FD">
              <w:rPr>
                <w:rFonts w:ascii="Arial" w:hAnsi="Arial" w:cs="Arial"/>
                <w:b/>
                <w:bCs/>
                <w:sz w:val="16"/>
                <w:szCs w:val="16"/>
                <w:lang w:eastAsia="es-AR"/>
              </w:rPr>
              <w:t>1</w:t>
            </w:r>
            <w:r w:rsidRPr="008F5B61">
              <w:rPr>
                <w:rFonts w:ascii="Arial" w:hAnsi="Arial" w:cs="Arial"/>
                <w:b/>
                <w:bCs/>
                <w:sz w:val="16"/>
                <w:szCs w:val="16"/>
                <w:lang w:eastAsia="es-AR"/>
              </w:rPr>
              <w:t>/</w:t>
            </w:r>
            <w:r w:rsidR="00D538FD">
              <w:rPr>
                <w:rFonts w:ascii="Arial" w:hAnsi="Arial" w:cs="Arial"/>
                <w:b/>
                <w:bCs/>
                <w:sz w:val="16"/>
                <w:szCs w:val="16"/>
                <w:lang w:eastAsia="es-AR"/>
              </w:rPr>
              <w:t>12</w:t>
            </w:r>
            <w:r w:rsidRPr="008F5B61">
              <w:rPr>
                <w:rFonts w:ascii="Arial" w:hAnsi="Arial" w:cs="Arial"/>
                <w:b/>
                <w:bCs/>
                <w:sz w:val="16"/>
                <w:szCs w:val="16"/>
                <w:lang w:eastAsia="es-AR"/>
              </w:rPr>
              <w:t>/2019</w:t>
            </w:r>
          </w:p>
        </w:tc>
        <w:tc>
          <w:tcPr>
            <w:tcW w:w="1089" w:type="dxa"/>
            <w:tcBorders>
              <w:top w:val="single" w:sz="4" w:space="0" w:color="auto"/>
              <w:left w:val="nil"/>
              <w:bottom w:val="single" w:sz="4" w:space="0" w:color="auto"/>
              <w:right w:val="single" w:sz="4" w:space="0" w:color="auto"/>
            </w:tcBorders>
            <w:shd w:val="clear" w:color="auto" w:fill="auto"/>
            <w:vAlign w:val="center"/>
          </w:tcPr>
          <w:p w14:paraId="3AFE0C7E" w14:textId="77777777" w:rsidR="006D43FB" w:rsidRPr="0047095D" w:rsidRDefault="006D43FB" w:rsidP="006D43FB">
            <w:pPr>
              <w:ind w:left="-70" w:firstLine="70"/>
              <w:jc w:val="center"/>
              <w:rPr>
                <w:rFonts w:ascii="Arial" w:hAnsi="Arial" w:cs="Arial"/>
                <w:b/>
                <w:bCs/>
                <w:color w:val="000000"/>
                <w:sz w:val="16"/>
                <w:szCs w:val="16"/>
                <w:lang w:eastAsia="es-AR"/>
              </w:rPr>
            </w:pPr>
            <w:r w:rsidRPr="0047095D">
              <w:rPr>
                <w:rFonts w:ascii="Arial" w:hAnsi="Arial" w:cs="Arial"/>
                <w:b/>
                <w:bCs/>
                <w:color w:val="000000"/>
                <w:sz w:val="16"/>
                <w:szCs w:val="16"/>
                <w:lang w:eastAsia="es-AR"/>
              </w:rPr>
              <w:t xml:space="preserve"> Banca Empresa </w:t>
            </w:r>
          </w:p>
        </w:tc>
        <w:tc>
          <w:tcPr>
            <w:tcW w:w="1116" w:type="dxa"/>
            <w:tcBorders>
              <w:top w:val="single" w:sz="4" w:space="0" w:color="auto"/>
              <w:left w:val="nil"/>
              <w:bottom w:val="single" w:sz="4" w:space="0" w:color="auto"/>
              <w:right w:val="single" w:sz="4" w:space="0" w:color="auto"/>
            </w:tcBorders>
            <w:shd w:val="clear" w:color="auto" w:fill="auto"/>
            <w:vAlign w:val="center"/>
          </w:tcPr>
          <w:p w14:paraId="3F321C69" w14:textId="77777777" w:rsidR="006D43FB" w:rsidRPr="0047095D" w:rsidRDefault="006D43FB" w:rsidP="006D43FB">
            <w:pPr>
              <w:ind w:left="-70" w:firstLine="70"/>
              <w:jc w:val="center"/>
              <w:rPr>
                <w:rFonts w:ascii="Arial" w:hAnsi="Arial" w:cs="Arial"/>
                <w:b/>
                <w:bCs/>
                <w:color w:val="000000"/>
                <w:sz w:val="16"/>
                <w:szCs w:val="16"/>
                <w:lang w:eastAsia="es-AR"/>
              </w:rPr>
            </w:pPr>
            <w:r w:rsidRPr="0047095D">
              <w:rPr>
                <w:rFonts w:ascii="Arial" w:hAnsi="Arial" w:cs="Arial"/>
                <w:b/>
                <w:bCs/>
                <w:color w:val="000000"/>
                <w:sz w:val="16"/>
                <w:szCs w:val="16"/>
                <w:lang w:eastAsia="es-AR"/>
              </w:rPr>
              <w:t xml:space="preserve"> Banca Minorista </w:t>
            </w:r>
          </w:p>
        </w:tc>
        <w:tc>
          <w:tcPr>
            <w:tcW w:w="1150" w:type="dxa"/>
            <w:tcBorders>
              <w:top w:val="single" w:sz="4" w:space="0" w:color="auto"/>
              <w:left w:val="nil"/>
              <w:bottom w:val="single" w:sz="4" w:space="0" w:color="auto"/>
              <w:right w:val="single" w:sz="4" w:space="0" w:color="auto"/>
            </w:tcBorders>
            <w:shd w:val="clear" w:color="auto" w:fill="auto"/>
            <w:vAlign w:val="center"/>
          </w:tcPr>
          <w:p w14:paraId="0078AB6F" w14:textId="77777777" w:rsidR="006D43FB" w:rsidRPr="0047095D" w:rsidRDefault="006D43FB" w:rsidP="006D43FB">
            <w:pPr>
              <w:ind w:left="-70" w:firstLine="70"/>
              <w:jc w:val="center"/>
              <w:rPr>
                <w:rFonts w:ascii="Arial" w:hAnsi="Arial" w:cs="Arial"/>
                <w:b/>
                <w:bCs/>
                <w:color w:val="000000"/>
                <w:sz w:val="16"/>
                <w:szCs w:val="16"/>
                <w:lang w:eastAsia="es-AR"/>
              </w:rPr>
            </w:pPr>
            <w:r w:rsidRPr="0047095D">
              <w:rPr>
                <w:rFonts w:ascii="Arial" w:hAnsi="Arial" w:cs="Arial"/>
                <w:b/>
                <w:bCs/>
                <w:color w:val="000000"/>
                <w:sz w:val="16"/>
                <w:szCs w:val="16"/>
                <w:lang w:eastAsia="es-AR"/>
              </w:rPr>
              <w:t xml:space="preserve"> Tesorería </w:t>
            </w:r>
          </w:p>
        </w:tc>
        <w:tc>
          <w:tcPr>
            <w:tcW w:w="1011" w:type="dxa"/>
            <w:tcBorders>
              <w:top w:val="single" w:sz="4" w:space="0" w:color="auto"/>
              <w:left w:val="nil"/>
              <w:bottom w:val="single" w:sz="4" w:space="0" w:color="auto"/>
              <w:right w:val="single" w:sz="4" w:space="0" w:color="auto"/>
            </w:tcBorders>
            <w:shd w:val="clear" w:color="auto" w:fill="auto"/>
            <w:vAlign w:val="center"/>
          </w:tcPr>
          <w:p w14:paraId="30557926" w14:textId="77777777" w:rsidR="006D43FB" w:rsidRPr="0047095D" w:rsidRDefault="006D43FB" w:rsidP="006D43FB">
            <w:pPr>
              <w:ind w:left="-70" w:firstLine="70"/>
              <w:jc w:val="center"/>
              <w:rPr>
                <w:rFonts w:ascii="Arial" w:hAnsi="Arial" w:cs="Arial"/>
                <w:b/>
                <w:bCs/>
                <w:color w:val="000000"/>
                <w:sz w:val="16"/>
                <w:szCs w:val="16"/>
                <w:lang w:eastAsia="es-AR"/>
              </w:rPr>
            </w:pPr>
            <w:r w:rsidRPr="0047095D">
              <w:rPr>
                <w:rFonts w:ascii="Arial" w:hAnsi="Arial" w:cs="Arial"/>
                <w:b/>
                <w:bCs/>
                <w:color w:val="000000"/>
                <w:sz w:val="16"/>
                <w:szCs w:val="16"/>
                <w:lang w:eastAsia="es-AR"/>
              </w:rPr>
              <w:t xml:space="preserve"> Consumo </w:t>
            </w:r>
          </w:p>
        </w:tc>
        <w:tc>
          <w:tcPr>
            <w:tcW w:w="1304" w:type="dxa"/>
            <w:tcBorders>
              <w:top w:val="single" w:sz="4" w:space="0" w:color="auto"/>
              <w:left w:val="nil"/>
              <w:bottom w:val="single" w:sz="4" w:space="0" w:color="auto"/>
              <w:right w:val="single" w:sz="4" w:space="0" w:color="auto"/>
            </w:tcBorders>
            <w:shd w:val="clear" w:color="auto" w:fill="auto"/>
            <w:vAlign w:val="center"/>
          </w:tcPr>
          <w:p w14:paraId="5A1566A5" w14:textId="070E9515" w:rsidR="006D43FB" w:rsidRPr="0047095D" w:rsidRDefault="00FC1ECA" w:rsidP="006D43FB">
            <w:pPr>
              <w:ind w:left="-70" w:firstLine="70"/>
              <w:jc w:val="center"/>
              <w:rPr>
                <w:rFonts w:ascii="Arial" w:hAnsi="Arial" w:cs="Arial"/>
                <w:b/>
                <w:bCs/>
                <w:color w:val="000000"/>
                <w:sz w:val="16"/>
                <w:szCs w:val="16"/>
                <w:lang w:eastAsia="es-AR"/>
              </w:rPr>
            </w:pPr>
            <w:r>
              <w:rPr>
                <w:rFonts w:ascii="Arial" w:hAnsi="Arial" w:cs="Arial"/>
                <w:b/>
                <w:bCs/>
                <w:color w:val="000000"/>
                <w:sz w:val="16"/>
                <w:szCs w:val="16"/>
                <w:lang w:eastAsia="es-AR"/>
              </w:rPr>
              <w:t>Eliminaciones</w:t>
            </w:r>
            <w:r w:rsidRPr="0047095D">
              <w:rPr>
                <w:rFonts w:ascii="Arial" w:hAnsi="Arial" w:cs="Arial"/>
                <w:b/>
                <w:bCs/>
                <w:color w:val="000000"/>
                <w:sz w:val="16"/>
                <w:szCs w:val="16"/>
                <w:lang w:eastAsia="es-AR"/>
              </w:rPr>
              <w:t xml:space="preserve"> </w:t>
            </w:r>
          </w:p>
        </w:tc>
        <w:tc>
          <w:tcPr>
            <w:tcW w:w="1226" w:type="dxa"/>
            <w:tcBorders>
              <w:top w:val="single" w:sz="4" w:space="0" w:color="auto"/>
              <w:left w:val="nil"/>
              <w:bottom w:val="single" w:sz="4" w:space="0" w:color="auto"/>
              <w:right w:val="single" w:sz="4" w:space="0" w:color="auto"/>
            </w:tcBorders>
            <w:shd w:val="clear" w:color="auto" w:fill="auto"/>
            <w:noWrap/>
            <w:vAlign w:val="center"/>
          </w:tcPr>
          <w:p w14:paraId="020FA3FF" w14:textId="77777777" w:rsidR="006D43FB" w:rsidRPr="0047095D" w:rsidRDefault="006D43FB" w:rsidP="006D43FB">
            <w:pPr>
              <w:ind w:left="-70" w:firstLine="70"/>
              <w:jc w:val="center"/>
              <w:rPr>
                <w:rFonts w:ascii="Arial" w:hAnsi="Arial" w:cs="Arial"/>
                <w:b/>
                <w:bCs/>
                <w:color w:val="000000"/>
                <w:sz w:val="16"/>
                <w:szCs w:val="16"/>
                <w:lang w:eastAsia="es-AR"/>
              </w:rPr>
            </w:pPr>
            <w:r w:rsidRPr="0047095D">
              <w:rPr>
                <w:rFonts w:ascii="Arial" w:hAnsi="Arial" w:cs="Arial"/>
                <w:b/>
                <w:bCs/>
                <w:color w:val="000000"/>
                <w:sz w:val="16"/>
                <w:szCs w:val="16"/>
                <w:lang w:eastAsia="es-AR"/>
              </w:rPr>
              <w:t xml:space="preserve"> TOTAL </w:t>
            </w:r>
          </w:p>
        </w:tc>
      </w:tr>
      <w:tr w:rsidR="00C97F85" w:rsidRPr="0047095D" w14:paraId="549855E0" w14:textId="77777777" w:rsidTr="006E1AF7">
        <w:trPr>
          <w:trHeight w:val="242"/>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4FE1DE9E" w14:textId="206BC41A" w:rsidR="00C97F85" w:rsidRPr="00493074" w:rsidRDefault="00C97F85" w:rsidP="00C97F85">
            <w:pPr>
              <w:ind w:left="-70" w:firstLine="70"/>
              <w:rPr>
                <w:rFonts w:ascii="Arial" w:hAnsi="Arial" w:cs="Arial"/>
                <w:b/>
                <w:bCs/>
                <w:sz w:val="16"/>
                <w:szCs w:val="16"/>
                <w:lang w:eastAsia="es-AR"/>
              </w:rPr>
            </w:pPr>
            <w:r w:rsidRPr="00493074">
              <w:rPr>
                <w:rFonts w:ascii="Arial" w:hAnsi="Arial" w:cs="Arial"/>
                <w:sz w:val="16"/>
                <w:szCs w:val="16"/>
              </w:rPr>
              <w:t>Efectivo y Depósitos en Bancos</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27262E70" w14:textId="5579EF50"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1.022.915 </w:t>
            </w:r>
          </w:p>
        </w:tc>
        <w:tc>
          <w:tcPr>
            <w:tcW w:w="1116" w:type="dxa"/>
            <w:tcBorders>
              <w:top w:val="nil"/>
              <w:left w:val="nil"/>
              <w:bottom w:val="single" w:sz="4" w:space="0" w:color="auto"/>
              <w:right w:val="single" w:sz="4" w:space="0" w:color="auto"/>
            </w:tcBorders>
            <w:shd w:val="clear" w:color="000000" w:fill="FFFFFF"/>
            <w:noWrap/>
            <w:vAlign w:val="bottom"/>
          </w:tcPr>
          <w:p w14:paraId="7ED04CC2" w14:textId="41DEC21B"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7.700.726 </w:t>
            </w:r>
          </w:p>
        </w:tc>
        <w:tc>
          <w:tcPr>
            <w:tcW w:w="1150" w:type="dxa"/>
            <w:tcBorders>
              <w:top w:val="nil"/>
              <w:left w:val="nil"/>
              <w:bottom w:val="single" w:sz="4" w:space="0" w:color="auto"/>
              <w:right w:val="single" w:sz="4" w:space="0" w:color="auto"/>
            </w:tcBorders>
            <w:shd w:val="clear" w:color="000000" w:fill="FFFFFF"/>
            <w:noWrap/>
            <w:vAlign w:val="bottom"/>
          </w:tcPr>
          <w:p w14:paraId="181DB906" w14:textId="19C94AD2"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16.870.527 </w:t>
            </w:r>
          </w:p>
        </w:tc>
        <w:tc>
          <w:tcPr>
            <w:tcW w:w="1011" w:type="dxa"/>
            <w:tcBorders>
              <w:top w:val="nil"/>
              <w:left w:val="nil"/>
              <w:bottom w:val="single" w:sz="4" w:space="0" w:color="auto"/>
              <w:right w:val="single" w:sz="4" w:space="0" w:color="auto"/>
            </w:tcBorders>
            <w:shd w:val="clear" w:color="000000" w:fill="FFFFFF"/>
            <w:noWrap/>
            <w:vAlign w:val="bottom"/>
          </w:tcPr>
          <w:p w14:paraId="474FC91C" w14:textId="5A4818EE"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257.246 </w:t>
            </w:r>
          </w:p>
        </w:tc>
        <w:tc>
          <w:tcPr>
            <w:tcW w:w="1304" w:type="dxa"/>
            <w:tcBorders>
              <w:top w:val="nil"/>
              <w:left w:val="nil"/>
              <w:bottom w:val="single" w:sz="4" w:space="0" w:color="auto"/>
              <w:right w:val="single" w:sz="4" w:space="0" w:color="auto"/>
            </w:tcBorders>
            <w:shd w:val="clear" w:color="000000" w:fill="FFFFFF"/>
            <w:noWrap/>
            <w:vAlign w:val="bottom"/>
          </w:tcPr>
          <w:p w14:paraId="5AE31E46" w14:textId="1AF1369C"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-18.384 </w:t>
            </w:r>
          </w:p>
        </w:tc>
        <w:tc>
          <w:tcPr>
            <w:tcW w:w="1226" w:type="dxa"/>
            <w:tcBorders>
              <w:top w:val="nil"/>
              <w:left w:val="nil"/>
              <w:bottom w:val="single" w:sz="4" w:space="0" w:color="auto"/>
              <w:right w:val="single" w:sz="4" w:space="0" w:color="auto"/>
            </w:tcBorders>
            <w:shd w:val="clear" w:color="000000" w:fill="FFFFFF"/>
            <w:noWrap/>
            <w:vAlign w:val="bottom"/>
          </w:tcPr>
          <w:p w14:paraId="560D3ADF" w14:textId="32C8B179"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25.833.030 </w:t>
            </w:r>
          </w:p>
        </w:tc>
      </w:tr>
      <w:tr w:rsidR="00C97F85" w:rsidRPr="0047095D" w14:paraId="0633A828"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noWrap/>
            <w:vAlign w:val="bottom"/>
          </w:tcPr>
          <w:p w14:paraId="73235C8C" w14:textId="29099509" w:rsidR="00C97F85" w:rsidRPr="00493074" w:rsidRDefault="00C97F85" w:rsidP="00C97F85">
            <w:pPr>
              <w:ind w:left="-70" w:firstLine="70"/>
              <w:rPr>
                <w:rFonts w:ascii="Arial" w:hAnsi="Arial" w:cs="Arial"/>
                <w:sz w:val="16"/>
                <w:szCs w:val="16"/>
                <w:lang w:eastAsia="es-AR"/>
              </w:rPr>
            </w:pPr>
            <w:r w:rsidRPr="00493074">
              <w:rPr>
                <w:rFonts w:ascii="Arial" w:hAnsi="Arial" w:cs="Arial"/>
                <w:sz w:val="16"/>
                <w:szCs w:val="16"/>
              </w:rPr>
              <w:t xml:space="preserve">   Efectivo</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2EA24F76" w14:textId="584D4EA4"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1.022.724 </w:t>
            </w:r>
          </w:p>
        </w:tc>
        <w:tc>
          <w:tcPr>
            <w:tcW w:w="1116" w:type="dxa"/>
            <w:tcBorders>
              <w:top w:val="nil"/>
              <w:left w:val="nil"/>
              <w:bottom w:val="single" w:sz="4" w:space="0" w:color="auto"/>
              <w:right w:val="single" w:sz="4" w:space="0" w:color="auto"/>
            </w:tcBorders>
            <w:shd w:val="clear" w:color="000000" w:fill="FFFFFF"/>
            <w:noWrap/>
            <w:vAlign w:val="bottom"/>
          </w:tcPr>
          <w:p w14:paraId="23CF2B39" w14:textId="28CEC1B2"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7.672.762 </w:t>
            </w:r>
          </w:p>
        </w:tc>
        <w:tc>
          <w:tcPr>
            <w:tcW w:w="1150" w:type="dxa"/>
            <w:tcBorders>
              <w:top w:val="nil"/>
              <w:left w:val="nil"/>
              <w:bottom w:val="single" w:sz="4" w:space="0" w:color="auto"/>
              <w:right w:val="single" w:sz="4" w:space="0" w:color="auto"/>
            </w:tcBorders>
            <w:shd w:val="clear" w:color="000000" w:fill="FFFFFF"/>
            <w:noWrap/>
            <w:vAlign w:val="bottom"/>
          </w:tcPr>
          <w:p w14:paraId="5DB9FCE0" w14:textId="1EE99485"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011" w:type="dxa"/>
            <w:tcBorders>
              <w:top w:val="nil"/>
              <w:left w:val="nil"/>
              <w:bottom w:val="single" w:sz="4" w:space="0" w:color="auto"/>
              <w:right w:val="single" w:sz="4" w:space="0" w:color="auto"/>
            </w:tcBorders>
            <w:shd w:val="clear" w:color="000000" w:fill="FFFFFF"/>
            <w:noWrap/>
            <w:vAlign w:val="bottom"/>
          </w:tcPr>
          <w:p w14:paraId="43270F0B" w14:textId="01F37768"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10 </w:t>
            </w:r>
          </w:p>
        </w:tc>
        <w:tc>
          <w:tcPr>
            <w:tcW w:w="1304" w:type="dxa"/>
            <w:tcBorders>
              <w:top w:val="nil"/>
              <w:left w:val="nil"/>
              <w:bottom w:val="single" w:sz="4" w:space="0" w:color="auto"/>
              <w:right w:val="single" w:sz="4" w:space="0" w:color="auto"/>
            </w:tcBorders>
            <w:shd w:val="clear" w:color="000000" w:fill="FFFFFF"/>
            <w:noWrap/>
            <w:vAlign w:val="bottom"/>
          </w:tcPr>
          <w:p w14:paraId="4C78E187" w14:textId="74387006"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5470CB4A" w14:textId="342E8C92"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8.695.496 </w:t>
            </w:r>
          </w:p>
        </w:tc>
      </w:tr>
      <w:tr w:rsidR="00C97F85" w:rsidRPr="0047095D" w14:paraId="7873DFDA"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noWrap/>
            <w:vAlign w:val="bottom"/>
          </w:tcPr>
          <w:p w14:paraId="3429ABE6" w14:textId="105FAEDA" w:rsidR="00C97F85" w:rsidRPr="00493074" w:rsidRDefault="00C97F85" w:rsidP="00C97F85">
            <w:pPr>
              <w:ind w:left="-70" w:firstLine="70"/>
              <w:rPr>
                <w:rFonts w:ascii="Arial" w:hAnsi="Arial" w:cs="Arial"/>
                <w:sz w:val="16"/>
                <w:szCs w:val="16"/>
              </w:rPr>
            </w:pPr>
            <w:r w:rsidRPr="00701F32">
              <w:rPr>
                <w:rFonts w:ascii="Arial" w:hAnsi="Arial" w:cs="Arial"/>
                <w:sz w:val="16"/>
                <w:szCs w:val="16"/>
                <w:lang w:eastAsia="es-AR"/>
              </w:rPr>
              <w:t xml:space="preserve">   Entidades Financieras y corresponsales</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3DB47710" w14:textId="6A07FF95" w:rsidR="00C97F85" w:rsidRPr="00C97F85" w:rsidRDefault="00C97F85">
            <w:pPr>
              <w:ind w:left="-70" w:firstLine="70"/>
              <w:jc w:val="right"/>
              <w:rPr>
                <w:rFonts w:ascii="Arial" w:hAnsi="Arial" w:cs="Arial"/>
                <w:sz w:val="16"/>
                <w:szCs w:val="16"/>
              </w:rPr>
            </w:pPr>
          </w:p>
        </w:tc>
        <w:tc>
          <w:tcPr>
            <w:tcW w:w="1116" w:type="dxa"/>
            <w:tcBorders>
              <w:top w:val="nil"/>
              <w:left w:val="nil"/>
              <w:bottom w:val="single" w:sz="4" w:space="0" w:color="auto"/>
              <w:right w:val="single" w:sz="4" w:space="0" w:color="auto"/>
            </w:tcBorders>
            <w:shd w:val="clear" w:color="000000" w:fill="FFFFFF"/>
            <w:noWrap/>
            <w:vAlign w:val="bottom"/>
          </w:tcPr>
          <w:p w14:paraId="4F4878DA" w14:textId="4FE4D6F6" w:rsidR="00C97F85" w:rsidRPr="00C97F85" w:rsidRDefault="00C97F85">
            <w:pPr>
              <w:ind w:left="-70" w:firstLine="70"/>
              <w:jc w:val="right"/>
              <w:rPr>
                <w:rFonts w:ascii="Arial" w:hAnsi="Arial" w:cs="Arial"/>
                <w:sz w:val="16"/>
                <w:szCs w:val="16"/>
              </w:rPr>
            </w:pPr>
          </w:p>
        </w:tc>
        <w:tc>
          <w:tcPr>
            <w:tcW w:w="1150" w:type="dxa"/>
            <w:tcBorders>
              <w:top w:val="nil"/>
              <w:left w:val="nil"/>
              <w:bottom w:val="single" w:sz="4" w:space="0" w:color="auto"/>
              <w:right w:val="single" w:sz="4" w:space="0" w:color="auto"/>
            </w:tcBorders>
            <w:shd w:val="clear" w:color="000000" w:fill="FFFFFF"/>
            <w:noWrap/>
            <w:vAlign w:val="bottom"/>
          </w:tcPr>
          <w:p w14:paraId="2A512D72" w14:textId="1917816C" w:rsidR="00C97F85" w:rsidRPr="00C97F85" w:rsidRDefault="00C97F85">
            <w:pPr>
              <w:ind w:left="-70" w:firstLine="70"/>
              <w:jc w:val="right"/>
              <w:rPr>
                <w:rFonts w:ascii="Arial" w:hAnsi="Arial" w:cs="Arial"/>
                <w:sz w:val="16"/>
                <w:szCs w:val="16"/>
              </w:rPr>
            </w:pPr>
          </w:p>
        </w:tc>
        <w:tc>
          <w:tcPr>
            <w:tcW w:w="1011" w:type="dxa"/>
            <w:tcBorders>
              <w:top w:val="nil"/>
              <w:left w:val="nil"/>
              <w:bottom w:val="single" w:sz="4" w:space="0" w:color="auto"/>
              <w:right w:val="single" w:sz="4" w:space="0" w:color="auto"/>
            </w:tcBorders>
            <w:shd w:val="clear" w:color="000000" w:fill="FFFFFF"/>
            <w:noWrap/>
            <w:vAlign w:val="bottom"/>
          </w:tcPr>
          <w:p w14:paraId="0749379F" w14:textId="35CCCED9" w:rsidR="00C97F85" w:rsidRPr="00C97F85" w:rsidRDefault="00C97F85">
            <w:pPr>
              <w:ind w:left="-70" w:firstLine="70"/>
              <w:jc w:val="right"/>
              <w:rPr>
                <w:rFonts w:ascii="Arial" w:hAnsi="Arial" w:cs="Arial"/>
                <w:sz w:val="16"/>
                <w:szCs w:val="16"/>
              </w:rPr>
            </w:pPr>
          </w:p>
        </w:tc>
        <w:tc>
          <w:tcPr>
            <w:tcW w:w="1304" w:type="dxa"/>
            <w:tcBorders>
              <w:top w:val="nil"/>
              <w:left w:val="nil"/>
              <w:bottom w:val="single" w:sz="4" w:space="0" w:color="auto"/>
              <w:right w:val="single" w:sz="4" w:space="0" w:color="auto"/>
            </w:tcBorders>
            <w:shd w:val="clear" w:color="000000" w:fill="FFFFFF"/>
            <w:noWrap/>
            <w:vAlign w:val="bottom"/>
          </w:tcPr>
          <w:p w14:paraId="1EE793FF" w14:textId="0D2820AB" w:rsidR="00C97F85" w:rsidRPr="00C97F85" w:rsidRDefault="00C97F85">
            <w:pPr>
              <w:ind w:left="-70" w:firstLine="70"/>
              <w:jc w:val="right"/>
              <w:rPr>
                <w:rFonts w:ascii="Arial" w:hAnsi="Arial" w:cs="Arial"/>
                <w:sz w:val="16"/>
                <w:szCs w:val="16"/>
              </w:rPr>
            </w:pPr>
          </w:p>
        </w:tc>
        <w:tc>
          <w:tcPr>
            <w:tcW w:w="1226" w:type="dxa"/>
            <w:tcBorders>
              <w:top w:val="nil"/>
              <w:left w:val="nil"/>
              <w:bottom w:val="single" w:sz="4" w:space="0" w:color="auto"/>
              <w:right w:val="single" w:sz="4" w:space="0" w:color="auto"/>
            </w:tcBorders>
            <w:shd w:val="clear" w:color="000000" w:fill="FFFFFF"/>
            <w:noWrap/>
            <w:vAlign w:val="bottom"/>
          </w:tcPr>
          <w:p w14:paraId="3525712F" w14:textId="5779FEAF" w:rsidR="00C97F85" w:rsidRPr="00C97F85" w:rsidRDefault="00C97F85">
            <w:pPr>
              <w:ind w:left="-70" w:firstLine="70"/>
              <w:jc w:val="right"/>
              <w:rPr>
                <w:rFonts w:ascii="Arial" w:hAnsi="Arial" w:cs="Arial"/>
                <w:b/>
                <w:sz w:val="16"/>
                <w:szCs w:val="16"/>
              </w:rPr>
            </w:pPr>
          </w:p>
        </w:tc>
      </w:tr>
      <w:tr w:rsidR="00C97F85" w:rsidRPr="0047095D" w14:paraId="527AB644"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noWrap/>
            <w:vAlign w:val="bottom"/>
          </w:tcPr>
          <w:p w14:paraId="06C6CAF2" w14:textId="7DE5CF49" w:rsidR="00C97F85" w:rsidRPr="00493074" w:rsidRDefault="00C97F85" w:rsidP="00C97F85">
            <w:pPr>
              <w:ind w:left="-70" w:firstLine="70"/>
              <w:rPr>
                <w:rFonts w:ascii="Arial" w:hAnsi="Arial" w:cs="Arial"/>
                <w:sz w:val="16"/>
                <w:szCs w:val="16"/>
                <w:lang w:eastAsia="es-AR"/>
              </w:rPr>
            </w:pPr>
            <w:r w:rsidRPr="00493074">
              <w:rPr>
                <w:rFonts w:ascii="Arial" w:hAnsi="Arial" w:cs="Arial"/>
                <w:sz w:val="16"/>
                <w:szCs w:val="16"/>
              </w:rPr>
              <w:t xml:space="preserve">      BCRA</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1364532C" w14:textId="78D3874A"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116" w:type="dxa"/>
            <w:tcBorders>
              <w:top w:val="nil"/>
              <w:left w:val="nil"/>
              <w:bottom w:val="single" w:sz="4" w:space="0" w:color="auto"/>
              <w:right w:val="single" w:sz="4" w:space="0" w:color="auto"/>
            </w:tcBorders>
            <w:shd w:val="clear" w:color="000000" w:fill="FFFFFF"/>
            <w:noWrap/>
            <w:vAlign w:val="bottom"/>
          </w:tcPr>
          <w:p w14:paraId="0AD78DBD" w14:textId="65FA224F"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150" w:type="dxa"/>
            <w:tcBorders>
              <w:top w:val="nil"/>
              <w:left w:val="nil"/>
              <w:bottom w:val="single" w:sz="4" w:space="0" w:color="auto"/>
              <w:right w:val="single" w:sz="4" w:space="0" w:color="auto"/>
            </w:tcBorders>
            <w:shd w:val="clear" w:color="000000" w:fill="FFFFFF"/>
            <w:noWrap/>
            <w:vAlign w:val="bottom"/>
          </w:tcPr>
          <w:p w14:paraId="0A653B78" w14:textId="4803176D"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15.806.426 </w:t>
            </w:r>
          </w:p>
        </w:tc>
        <w:tc>
          <w:tcPr>
            <w:tcW w:w="1011" w:type="dxa"/>
            <w:tcBorders>
              <w:top w:val="nil"/>
              <w:left w:val="nil"/>
              <w:bottom w:val="single" w:sz="4" w:space="0" w:color="auto"/>
              <w:right w:val="single" w:sz="4" w:space="0" w:color="auto"/>
            </w:tcBorders>
            <w:shd w:val="clear" w:color="000000" w:fill="FFFFFF"/>
            <w:noWrap/>
            <w:vAlign w:val="bottom"/>
          </w:tcPr>
          <w:p w14:paraId="68A719B9" w14:textId="39A68B90"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120.910 </w:t>
            </w:r>
          </w:p>
        </w:tc>
        <w:tc>
          <w:tcPr>
            <w:tcW w:w="1304" w:type="dxa"/>
            <w:tcBorders>
              <w:top w:val="nil"/>
              <w:left w:val="nil"/>
              <w:bottom w:val="single" w:sz="4" w:space="0" w:color="auto"/>
              <w:right w:val="single" w:sz="4" w:space="0" w:color="auto"/>
            </w:tcBorders>
            <w:shd w:val="clear" w:color="000000" w:fill="FFFFFF"/>
            <w:noWrap/>
            <w:vAlign w:val="bottom"/>
          </w:tcPr>
          <w:p w14:paraId="6D92B1B6" w14:textId="4544DA6B"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2FB87559" w14:textId="7D7C232B"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15.927.336 </w:t>
            </w:r>
          </w:p>
        </w:tc>
      </w:tr>
      <w:tr w:rsidR="00C97F85" w:rsidRPr="0047095D" w14:paraId="14372F22" w14:textId="77777777" w:rsidTr="006E1AF7">
        <w:trPr>
          <w:trHeight w:val="241"/>
        </w:trPr>
        <w:tc>
          <w:tcPr>
            <w:tcW w:w="3120" w:type="dxa"/>
            <w:tcBorders>
              <w:top w:val="nil"/>
              <w:left w:val="single" w:sz="4" w:space="0" w:color="auto"/>
              <w:bottom w:val="single" w:sz="4" w:space="0" w:color="363639"/>
              <w:right w:val="single" w:sz="4" w:space="0" w:color="363639"/>
            </w:tcBorders>
            <w:shd w:val="clear" w:color="000000" w:fill="FFFFFF"/>
            <w:noWrap/>
            <w:vAlign w:val="bottom"/>
          </w:tcPr>
          <w:p w14:paraId="48AF2DDD" w14:textId="7353123F" w:rsidR="00C97F85" w:rsidRPr="00493074" w:rsidRDefault="00C97F85" w:rsidP="00C97F85">
            <w:pPr>
              <w:ind w:left="-70" w:firstLine="70"/>
              <w:rPr>
                <w:rFonts w:ascii="Arial" w:hAnsi="Arial" w:cs="Arial"/>
                <w:sz w:val="16"/>
                <w:szCs w:val="16"/>
                <w:lang w:eastAsia="es-AR"/>
              </w:rPr>
            </w:pPr>
            <w:r w:rsidRPr="00493074">
              <w:rPr>
                <w:rFonts w:ascii="Arial" w:hAnsi="Arial" w:cs="Arial"/>
                <w:sz w:val="16"/>
                <w:szCs w:val="16"/>
              </w:rPr>
              <w:t xml:space="preserve">      Otras del país y del exterior</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037F44FD" w14:textId="1E5E22D5"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116" w:type="dxa"/>
            <w:tcBorders>
              <w:top w:val="nil"/>
              <w:left w:val="nil"/>
              <w:bottom w:val="single" w:sz="4" w:space="0" w:color="auto"/>
              <w:right w:val="single" w:sz="4" w:space="0" w:color="auto"/>
            </w:tcBorders>
            <w:shd w:val="clear" w:color="000000" w:fill="FFFFFF"/>
            <w:noWrap/>
            <w:vAlign w:val="bottom"/>
          </w:tcPr>
          <w:p w14:paraId="44865F3F" w14:textId="1C6B02BF"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9.124 </w:t>
            </w:r>
          </w:p>
        </w:tc>
        <w:tc>
          <w:tcPr>
            <w:tcW w:w="1150" w:type="dxa"/>
            <w:tcBorders>
              <w:top w:val="nil"/>
              <w:left w:val="nil"/>
              <w:bottom w:val="single" w:sz="4" w:space="0" w:color="auto"/>
              <w:right w:val="single" w:sz="4" w:space="0" w:color="auto"/>
            </w:tcBorders>
            <w:shd w:val="clear" w:color="000000" w:fill="FFFFFF"/>
            <w:noWrap/>
            <w:vAlign w:val="bottom"/>
          </w:tcPr>
          <w:p w14:paraId="7200DCB5" w14:textId="50552A29"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1.053.222 </w:t>
            </w:r>
          </w:p>
        </w:tc>
        <w:tc>
          <w:tcPr>
            <w:tcW w:w="1011" w:type="dxa"/>
            <w:tcBorders>
              <w:top w:val="nil"/>
              <w:left w:val="nil"/>
              <w:bottom w:val="single" w:sz="4" w:space="0" w:color="auto"/>
              <w:right w:val="single" w:sz="4" w:space="0" w:color="auto"/>
            </w:tcBorders>
            <w:shd w:val="clear" w:color="000000" w:fill="FFFFFF"/>
            <w:noWrap/>
            <w:vAlign w:val="bottom"/>
          </w:tcPr>
          <w:p w14:paraId="26201061" w14:textId="6E3F3963"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136.326 </w:t>
            </w:r>
          </w:p>
        </w:tc>
        <w:tc>
          <w:tcPr>
            <w:tcW w:w="1304" w:type="dxa"/>
            <w:tcBorders>
              <w:top w:val="nil"/>
              <w:left w:val="nil"/>
              <w:bottom w:val="single" w:sz="4" w:space="0" w:color="auto"/>
              <w:right w:val="single" w:sz="4" w:space="0" w:color="auto"/>
            </w:tcBorders>
            <w:shd w:val="clear" w:color="000000" w:fill="FFFFFF"/>
            <w:noWrap/>
            <w:vAlign w:val="bottom"/>
          </w:tcPr>
          <w:p w14:paraId="37212032" w14:textId="0A898AA5"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-18.384 </w:t>
            </w:r>
          </w:p>
        </w:tc>
        <w:tc>
          <w:tcPr>
            <w:tcW w:w="1226" w:type="dxa"/>
            <w:tcBorders>
              <w:top w:val="nil"/>
              <w:left w:val="nil"/>
              <w:bottom w:val="single" w:sz="4" w:space="0" w:color="auto"/>
              <w:right w:val="single" w:sz="4" w:space="0" w:color="auto"/>
            </w:tcBorders>
            <w:shd w:val="clear" w:color="000000" w:fill="FFFFFF"/>
            <w:noWrap/>
            <w:vAlign w:val="bottom"/>
          </w:tcPr>
          <w:p w14:paraId="0CDCF888" w14:textId="5998A332"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1.180.288 </w:t>
            </w:r>
          </w:p>
        </w:tc>
      </w:tr>
      <w:tr w:rsidR="00C97F85" w:rsidRPr="0047095D" w14:paraId="06147C5E"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noWrap/>
            <w:vAlign w:val="bottom"/>
          </w:tcPr>
          <w:p w14:paraId="2417E7E5" w14:textId="13D14681" w:rsidR="00C97F85" w:rsidRPr="00493074" w:rsidRDefault="00C97F85" w:rsidP="00C97F85">
            <w:pPr>
              <w:ind w:left="-70" w:firstLine="70"/>
              <w:rPr>
                <w:rFonts w:ascii="Arial" w:hAnsi="Arial" w:cs="Arial"/>
                <w:sz w:val="16"/>
                <w:szCs w:val="16"/>
                <w:lang w:eastAsia="es-AR"/>
              </w:rPr>
            </w:pPr>
            <w:r w:rsidRPr="00493074">
              <w:rPr>
                <w:rFonts w:ascii="Arial" w:hAnsi="Arial" w:cs="Arial"/>
                <w:sz w:val="16"/>
                <w:szCs w:val="16"/>
              </w:rPr>
              <w:t xml:space="preserve">   Otros</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44280D0A" w14:textId="4FB9AB66" w:rsidR="00C97F85" w:rsidRPr="00C97F85" w:rsidRDefault="00C97F85">
            <w:pPr>
              <w:ind w:left="-70" w:firstLine="70"/>
              <w:jc w:val="right"/>
              <w:rPr>
                <w:rFonts w:ascii="Arial" w:hAnsi="Arial" w:cs="Arial"/>
                <w:b/>
                <w:sz w:val="16"/>
                <w:szCs w:val="16"/>
              </w:rPr>
            </w:pPr>
            <w:r w:rsidRPr="006E1AF7">
              <w:rPr>
                <w:rFonts w:ascii="Arial" w:hAnsi="Arial" w:cs="Arial"/>
                <w:sz w:val="16"/>
                <w:szCs w:val="16"/>
              </w:rPr>
              <w:t xml:space="preserve">191 </w:t>
            </w:r>
          </w:p>
        </w:tc>
        <w:tc>
          <w:tcPr>
            <w:tcW w:w="1116" w:type="dxa"/>
            <w:tcBorders>
              <w:top w:val="nil"/>
              <w:left w:val="nil"/>
              <w:bottom w:val="single" w:sz="4" w:space="0" w:color="auto"/>
              <w:right w:val="single" w:sz="4" w:space="0" w:color="auto"/>
            </w:tcBorders>
            <w:shd w:val="clear" w:color="000000" w:fill="FFFFFF"/>
            <w:noWrap/>
            <w:vAlign w:val="bottom"/>
          </w:tcPr>
          <w:p w14:paraId="4F891219" w14:textId="20F15A06" w:rsidR="00C97F85" w:rsidRPr="00C97F85" w:rsidRDefault="00C97F85">
            <w:pPr>
              <w:ind w:left="-70" w:firstLine="70"/>
              <w:jc w:val="right"/>
              <w:rPr>
                <w:rFonts w:ascii="Arial" w:hAnsi="Arial" w:cs="Arial"/>
                <w:b/>
                <w:sz w:val="16"/>
                <w:szCs w:val="16"/>
              </w:rPr>
            </w:pPr>
            <w:r w:rsidRPr="006E1AF7">
              <w:rPr>
                <w:rFonts w:ascii="Arial" w:hAnsi="Arial" w:cs="Arial"/>
                <w:sz w:val="16"/>
                <w:szCs w:val="16"/>
              </w:rPr>
              <w:t xml:space="preserve">18.840 </w:t>
            </w:r>
          </w:p>
        </w:tc>
        <w:tc>
          <w:tcPr>
            <w:tcW w:w="1150" w:type="dxa"/>
            <w:tcBorders>
              <w:top w:val="nil"/>
              <w:left w:val="nil"/>
              <w:bottom w:val="single" w:sz="4" w:space="0" w:color="auto"/>
              <w:right w:val="single" w:sz="4" w:space="0" w:color="auto"/>
            </w:tcBorders>
            <w:shd w:val="clear" w:color="000000" w:fill="FFFFFF"/>
            <w:noWrap/>
            <w:vAlign w:val="bottom"/>
          </w:tcPr>
          <w:p w14:paraId="58881E46" w14:textId="66175638" w:rsidR="00C97F85" w:rsidRPr="00C97F85" w:rsidRDefault="00C97F85">
            <w:pPr>
              <w:ind w:left="-70" w:firstLine="70"/>
              <w:jc w:val="right"/>
              <w:rPr>
                <w:rFonts w:ascii="Arial" w:hAnsi="Arial" w:cs="Arial"/>
                <w:b/>
                <w:sz w:val="16"/>
                <w:szCs w:val="16"/>
              </w:rPr>
            </w:pPr>
            <w:r w:rsidRPr="006E1AF7">
              <w:rPr>
                <w:rFonts w:ascii="Arial" w:hAnsi="Arial" w:cs="Arial"/>
                <w:sz w:val="16"/>
                <w:szCs w:val="16"/>
              </w:rPr>
              <w:t xml:space="preserve">10.879 </w:t>
            </w:r>
          </w:p>
        </w:tc>
        <w:tc>
          <w:tcPr>
            <w:tcW w:w="1011" w:type="dxa"/>
            <w:tcBorders>
              <w:top w:val="nil"/>
              <w:left w:val="nil"/>
              <w:bottom w:val="single" w:sz="4" w:space="0" w:color="auto"/>
              <w:right w:val="single" w:sz="4" w:space="0" w:color="auto"/>
            </w:tcBorders>
            <w:shd w:val="clear" w:color="000000" w:fill="FFFFFF"/>
            <w:noWrap/>
            <w:vAlign w:val="bottom"/>
          </w:tcPr>
          <w:p w14:paraId="78FE516C" w14:textId="28538B78" w:rsidR="00C97F85" w:rsidRPr="00C97F85" w:rsidRDefault="00C97F85">
            <w:pPr>
              <w:ind w:left="-70" w:firstLine="70"/>
              <w:jc w:val="right"/>
              <w:rPr>
                <w:rFonts w:ascii="Arial" w:hAnsi="Arial" w:cs="Arial"/>
                <w:b/>
                <w:sz w:val="16"/>
                <w:szCs w:val="16"/>
              </w:rPr>
            </w:pPr>
            <w:r w:rsidRPr="006E1AF7">
              <w:rPr>
                <w:rFonts w:ascii="Arial" w:hAnsi="Arial" w:cs="Arial"/>
                <w:sz w:val="16"/>
                <w:szCs w:val="16"/>
              </w:rPr>
              <w:t xml:space="preserve">-   </w:t>
            </w:r>
          </w:p>
        </w:tc>
        <w:tc>
          <w:tcPr>
            <w:tcW w:w="1304" w:type="dxa"/>
            <w:tcBorders>
              <w:top w:val="nil"/>
              <w:left w:val="nil"/>
              <w:bottom w:val="single" w:sz="4" w:space="0" w:color="auto"/>
              <w:right w:val="single" w:sz="4" w:space="0" w:color="auto"/>
            </w:tcBorders>
            <w:shd w:val="clear" w:color="000000" w:fill="FFFFFF"/>
            <w:noWrap/>
            <w:vAlign w:val="bottom"/>
          </w:tcPr>
          <w:p w14:paraId="4F868EF3" w14:textId="281A4E5E" w:rsidR="00C97F85" w:rsidRPr="00C97F85" w:rsidRDefault="00C97F85">
            <w:pPr>
              <w:ind w:left="-70" w:firstLine="70"/>
              <w:jc w:val="right"/>
              <w:rPr>
                <w:rFonts w:ascii="Arial" w:hAnsi="Arial" w:cs="Arial"/>
                <w:b/>
                <w:sz w:val="16"/>
                <w:szCs w:val="16"/>
              </w:rPr>
            </w:pPr>
            <w:r w:rsidRPr="006E1AF7">
              <w:rPr>
                <w:rFonts w:ascii="Arial" w:hAnsi="Arial" w:cs="Arial"/>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7826DDB6" w14:textId="143D2279"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29.910 </w:t>
            </w:r>
          </w:p>
        </w:tc>
      </w:tr>
      <w:tr w:rsidR="00C97F85" w:rsidRPr="0047095D" w14:paraId="5DB855FD" w14:textId="77777777" w:rsidTr="006E1AF7">
        <w:trPr>
          <w:trHeight w:val="195"/>
        </w:trPr>
        <w:tc>
          <w:tcPr>
            <w:tcW w:w="3120" w:type="dxa"/>
            <w:tcBorders>
              <w:top w:val="nil"/>
              <w:left w:val="single" w:sz="4" w:space="0" w:color="auto"/>
              <w:bottom w:val="single" w:sz="4" w:space="0" w:color="363639"/>
              <w:right w:val="single" w:sz="4" w:space="0" w:color="363639"/>
            </w:tcBorders>
            <w:shd w:val="clear" w:color="000000" w:fill="FFFFFF"/>
            <w:noWrap/>
            <w:vAlign w:val="bottom"/>
          </w:tcPr>
          <w:p w14:paraId="5AF3CF54" w14:textId="028B8687" w:rsidR="00C97F85" w:rsidRPr="00493074" w:rsidRDefault="00C97F85" w:rsidP="00C97F85">
            <w:pPr>
              <w:ind w:left="-70" w:firstLine="70"/>
              <w:rPr>
                <w:rFonts w:ascii="Arial" w:hAnsi="Arial" w:cs="Arial"/>
                <w:sz w:val="16"/>
                <w:szCs w:val="16"/>
                <w:lang w:eastAsia="es-AR"/>
              </w:rPr>
            </w:pPr>
            <w:r w:rsidRPr="00493074">
              <w:rPr>
                <w:rFonts w:ascii="Arial" w:hAnsi="Arial" w:cs="Arial"/>
                <w:sz w:val="16"/>
                <w:szCs w:val="16"/>
              </w:rPr>
              <w:t>Títulos de deuda a valor razonable con cambios en resultados</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5665B7A9" w14:textId="086049E3"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16" w:type="dxa"/>
            <w:tcBorders>
              <w:top w:val="nil"/>
              <w:left w:val="nil"/>
              <w:bottom w:val="single" w:sz="4" w:space="0" w:color="auto"/>
              <w:right w:val="single" w:sz="4" w:space="0" w:color="auto"/>
            </w:tcBorders>
            <w:shd w:val="clear" w:color="000000" w:fill="FFFFFF"/>
            <w:noWrap/>
            <w:vAlign w:val="bottom"/>
          </w:tcPr>
          <w:p w14:paraId="1743A8B0" w14:textId="70FF3957"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50" w:type="dxa"/>
            <w:tcBorders>
              <w:top w:val="nil"/>
              <w:left w:val="nil"/>
              <w:bottom w:val="single" w:sz="4" w:space="0" w:color="auto"/>
              <w:right w:val="single" w:sz="4" w:space="0" w:color="auto"/>
            </w:tcBorders>
            <w:shd w:val="clear" w:color="000000" w:fill="FFFFFF"/>
            <w:noWrap/>
            <w:vAlign w:val="bottom"/>
          </w:tcPr>
          <w:p w14:paraId="19AB16B2" w14:textId="0A47C16F"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312.306 </w:t>
            </w:r>
          </w:p>
        </w:tc>
        <w:tc>
          <w:tcPr>
            <w:tcW w:w="1011" w:type="dxa"/>
            <w:tcBorders>
              <w:top w:val="nil"/>
              <w:left w:val="nil"/>
              <w:bottom w:val="single" w:sz="4" w:space="0" w:color="auto"/>
              <w:right w:val="single" w:sz="4" w:space="0" w:color="auto"/>
            </w:tcBorders>
            <w:shd w:val="clear" w:color="000000" w:fill="FFFFFF"/>
            <w:noWrap/>
            <w:vAlign w:val="bottom"/>
          </w:tcPr>
          <w:p w14:paraId="53926B54" w14:textId="7DD4787E"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92.762 </w:t>
            </w:r>
          </w:p>
        </w:tc>
        <w:tc>
          <w:tcPr>
            <w:tcW w:w="1304" w:type="dxa"/>
            <w:tcBorders>
              <w:top w:val="nil"/>
              <w:left w:val="nil"/>
              <w:bottom w:val="single" w:sz="4" w:space="0" w:color="auto"/>
              <w:right w:val="single" w:sz="4" w:space="0" w:color="auto"/>
            </w:tcBorders>
            <w:shd w:val="clear" w:color="000000" w:fill="FFFFFF"/>
            <w:noWrap/>
            <w:vAlign w:val="bottom"/>
          </w:tcPr>
          <w:p w14:paraId="332C45FD" w14:textId="5B1F6A50"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4485D7E5" w14:textId="5F3E78AB"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405.068 </w:t>
            </w:r>
          </w:p>
        </w:tc>
      </w:tr>
      <w:tr w:rsidR="00C97F85" w:rsidRPr="0047095D" w14:paraId="7018C264" w14:textId="77777777" w:rsidTr="006E1AF7">
        <w:trPr>
          <w:trHeight w:val="196"/>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03C7B709" w14:textId="5743F0B4" w:rsidR="00C97F85" w:rsidRPr="00493074" w:rsidRDefault="00C97F85" w:rsidP="00C97F85">
            <w:pPr>
              <w:ind w:left="-70" w:firstLine="70"/>
              <w:rPr>
                <w:rFonts w:ascii="Arial" w:hAnsi="Arial" w:cs="Arial"/>
                <w:b/>
                <w:bCs/>
                <w:sz w:val="16"/>
                <w:szCs w:val="16"/>
                <w:lang w:eastAsia="es-AR"/>
              </w:rPr>
            </w:pPr>
            <w:r w:rsidRPr="00493074">
              <w:rPr>
                <w:rFonts w:ascii="Arial" w:hAnsi="Arial" w:cs="Arial"/>
                <w:sz w:val="16"/>
                <w:szCs w:val="16"/>
              </w:rPr>
              <w:t xml:space="preserve">Instrumentos derivados </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1FC58BDE" w14:textId="7AA830C1"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16" w:type="dxa"/>
            <w:tcBorders>
              <w:top w:val="nil"/>
              <w:left w:val="nil"/>
              <w:bottom w:val="single" w:sz="4" w:space="0" w:color="auto"/>
              <w:right w:val="single" w:sz="4" w:space="0" w:color="auto"/>
            </w:tcBorders>
            <w:shd w:val="clear" w:color="000000" w:fill="FFFFFF"/>
            <w:noWrap/>
            <w:vAlign w:val="bottom"/>
          </w:tcPr>
          <w:p w14:paraId="789394F1" w14:textId="216346E3"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50" w:type="dxa"/>
            <w:tcBorders>
              <w:top w:val="nil"/>
              <w:left w:val="nil"/>
              <w:bottom w:val="single" w:sz="4" w:space="0" w:color="auto"/>
              <w:right w:val="single" w:sz="4" w:space="0" w:color="auto"/>
            </w:tcBorders>
            <w:shd w:val="clear" w:color="000000" w:fill="FFFFFF"/>
            <w:noWrap/>
            <w:vAlign w:val="bottom"/>
          </w:tcPr>
          <w:p w14:paraId="50C5E4D3" w14:textId="78A34628"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257.587 </w:t>
            </w:r>
          </w:p>
        </w:tc>
        <w:tc>
          <w:tcPr>
            <w:tcW w:w="1011" w:type="dxa"/>
            <w:tcBorders>
              <w:top w:val="nil"/>
              <w:left w:val="nil"/>
              <w:bottom w:val="single" w:sz="4" w:space="0" w:color="auto"/>
              <w:right w:val="single" w:sz="4" w:space="0" w:color="auto"/>
            </w:tcBorders>
            <w:shd w:val="clear" w:color="000000" w:fill="FFFFFF"/>
            <w:noWrap/>
            <w:vAlign w:val="bottom"/>
          </w:tcPr>
          <w:p w14:paraId="52E8557B" w14:textId="2AC7689D"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304" w:type="dxa"/>
            <w:tcBorders>
              <w:top w:val="nil"/>
              <w:left w:val="nil"/>
              <w:bottom w:val="single" w:sz="4" w:space="0" w:color="auto"/>
              <w:right w:val="single" w:sz="4" w:space="0" w:color="auto"/>
            </w:tcBorders>
            <w:shd w:val="clear" w:color="000000" w:fill="FFFFFF"/>
            <w:noWrap/>
            <w:vAlign w:val="bottom"/>
          </w:tcPr>
          <w:p w14:paraId="36243FED" w14:textId="3F052115"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27B544AF" w14:textId="42D2F87F"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257.587 </w:t>
            </w:r>
          </w:p>
        </w:tc>
      </w:tr>
      <w:tr w:rsidR="00C97F85" w:rsidRPr="0047095D" w14:paraId="0DF676FE"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02A537C7" w14:textId="68B5DBA4" w:rsidR="00C97F85" w:rsidRPr="00493074" w:rsidRDefault="00C97F85" w:rsidP="00C97F85">
            <w:pPr>
              <w:ind w:left="-70" w:firstLine="70"/>
              <w:rPr>
                <w:rFonts w:ascii="Arial" w:hAnsi="Arial" w:cs="Arial"/>
                <w:b/>
                <w:bCs/>
                <w:sz w:val="16"/>
                <w:szCs w:val="16"/>
                <w:lang w:eastAsia="es-AR"/>
              </w:rPr>
            </w:pPr>
            <w:r w:rsidRPr="00493074">
              <w:rPr>
                <w:rFonts w:ascii="Arial" w:hAnsi="Arial" w:cs="Arial"/>
                <w:sz w:val="16"/>
                <w:szCs w:val="16"/>
              </w:rPr>
              <w:t xml:space="preserve">Otros activos financieros </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17598DF5" w14:textId="3294001F"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72.201 </w:t>
            </w:r>
          </w:p>
        </w:tc>
        <w:tc>
          <w:tcPr>
            <w:tcW w:w="1116" w:type="dxa"/>
            <w:tcBorders>
              <w:top w:val="nil"/>
              <w:left w:val="nil"/>
              <w:bottom w:val="single" w:sz="4" w:space="0" w:color="auto"/>
              <w:right w:val="single" w:sz="4" w:space="0" w:color="auto"/>
            </w:tcBorders>
            <w:shd w:val="clear" w:color="000000" w:fill="FFFFFF"/>
            <w:noWrap/>
            <w:vAlign w:val="bottom"/>
          </w:tcPr>
          <w:p w14:paraId="61A7C07A" w14:textId="72D572E2"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404.710 </w:t>
            </w:r>
          </w:p>
        </w:tc>
        <w:tc>
          <w:tcPr>
            <w:tcW w:w="1150" w:type="dxa"/>
            <w:tcBorders>
              <w:top w:val="nil"/>
              <w:left w:val="nil"/>
              <w:bottom w:val="single" w:sz="4" w:space="0" w:color="auto"/>
              <w:right w:val="single" w:sz="4" w:space="0" w:color="auto"/>
            </w:tcBorders>
            <w:shd w:val="clear" w:color="000000" w:fill="FFFFFF"/>
            <w:noWrap/>
            <w:vAlign w:val="bottom"/>
          </w:tcPr>
          <w:p w14:paraId="7B8FFC4E" w14:textId="01A54F34"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208.198 </w:t>
            </w:r>
          </w:p>
        </w:tc>
        <w:tc>
          <w:tcPr>
            <w:tcW w:w="1011" w:type="dxa"/>
            <w:tcBorders>
              <w:top w:val="nil"/>
              <w:left w:val="nil"/>
              <w:bottom w:val="single" w:sz="4" w:space="0" w:color="auto"/>
              <w:right w:val="single" w:sz="4" w:space="0" w:color="auto"/>
            </w:tcBorders>
            <w:shd w:val="clear" w:color="000000" w:fill="FFFFFF"/>
            <w:noWrap/>
            <w:vAlign w:val="bottom"/>
          </w:tcPr>
          <w:p w14:paraId="5DCF436E" w14:textId="3DDC1E2F"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258.251 </w:t>
            </w:r>
          </w:p>
        </w:tc>
        <w:tc>
          <w:tcPr>
            <w:tcW w:w="1304" w:type="dxa"/>
            <w:tcBorders>
              <w:top w:val="nil"/>
              <w:left w:val="nil"/>
              <w:bottom w:val="single" w:sz="4" w:space="0" w:color="auto"/>
              <w:right w:val="single" w:sz="4" w:space="0" w:color="auto"/>
            </w:tcBorders>
            <w:shd w:val="clear" w:color="000000" w:fill="FFFFFF"/>
            <w:noWrap/>
            <w:vAlign w:val="bottom"/>
          </w:tcPr>
          <w:p w14:paraId="735ABFFB" w14:textId="407ED5EE"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-3.508 </w:t>
            </w:r>
          </w:p>
        </w:tc>
        <w:tc>
          <w:tcPr>
            <w:tcW w:w="1226" w:type="dxa"/>
            <w:tcBorders>
              <w:top w:val="nil"/>
              <w:left w:val="nil"/>
              <w:bottom w:val="single" w:sz="4" w:space="0" w:color="auto"/>
              <w:right w:val="single" w:sz="4" w:space="0" w:color="auto"/>
            </w:tcBorders>
            <w:shd w:val="clear" w:color="000000" w:fill="FFFFFF"/>
            <w:noWrap/>
            <w:vAlign w:val="bottom"/>
          </w:tcPr>
          <w:p w14:paraId="7B83E509" w14:textId="5CE1DD22"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939.852 </w:t>
            </w:r>
          </w:p>
        </w:tc>
      </w:tr>
      <w:tr w:rsidR="00C97F85" w:rsidRPr="0047095D" w14:paraId="0DC1D8CD"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30D75667" w14:textId="661BD25E" w:rsidR="00C97F85" w:rsidRPr="00493074" w:rsidRDefault="00C97F85" w:rsidP="00C97F85">
            <w:pPr>
              <w:ind w:left="-70" w:firstLine="70"/>
              <w:rPr>
                <w:rFonts w:ascii="Arial" w:hAnsi="Arial" w:cs="Arial"/>
                <w:b/>
                <w:bCs/>
                <w:sz w:val="16"/>
                <w:szCs w:val="16"/>
                <w:lang w:eastAsia="es-AR"/>
              </w:rPr>
            </w:pPr>
            <w:r w:rsidRPr="00493074">
              <w:rPr>
                <w:rFonts w:ascii="Arial" w:hAnsi="Arial" w:cs="Arial"/>
                <w:sz w:val="16"/>
                <w:szCs w:val="16"/>
              </w:rPr>
              <w:t xml:space="preserve">Préstamos y otras financiaciones </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501A86BB" w14:textId="5FED3ABD"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43.492.099 </w:t>
            </w:r>
          </w:p>
        </w:tc>
        <w:tc>
          <w:tcPr>
            <w:tcW w:w="1116" w:type="dxa"/>
            <w:tcBorders>
              <w:top w:val="nil"/>
              <w:left w:val="nil"/>
              <w:bottom w:val="single" w:sz="4" w:space="0" w:color="auto"/>
              <w:right w:val="single" w:sz="4" w:space="0" w:color="auto"/>
            </w:tcBorders>
            <w:shd w:val="clear" w:color="000000" w:fill="FFFFFF"/>
            <w:noWrap/>
            <w:vAlign w:val="bottom"/>
          </w:tcPr>
          <w:p w14:paraId="24AFA18E" w14:textId="2AF35940"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36.904.524 </w:t>
            </w:r>
          </w:p>
        </w:tc>
        <w:tc>
          <w:tcPr>
            <w:tcW w:w="1150" w:type="dxa"/>
            <w:tcBorders>
              <w:top w:val="nil"/>
              <w:left w:val="nil"/>
              <w:bottom w:val="single" w:sz="4" w:space="0" w:color="auto"/>
              <w:right w:val="single" w:sz="4" w:space="0" w:color="auto"/>
            </w:tcBorders>
            <w:shd w:val="clear" w:color="000000" w:fill="FFFFFF"/>
            <w:noWrap/>
            <w:vAlign w:val="bottom"/>
          </w:tcPr>
          <w:p w14:paraId="00D59477" w14:textId="54B3B800"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3.724.223 </w:t>
            </w:r>
          </w:p>
        </w:tc>
        <w:tc>
          <w:tcPr>
            <w:tcW w:w="1011" w:type="dxa"/>
            <w:tcBorders>
              <w:top w:val="nil"/>
              <w:left w:val="nil"/>
              <w:bottom w:val="single" w:sz="4" w:space="0" w:color="auto"/>
              <w:right w:val="single" w:sz="4" w:space="0" w:color="auto"/>
            </w:tcBorders>
            <w:shd w:val="clear" w:color="000000" w:fill="FFFFFF"/>
            <w:noWrap/>
            <w:vAlign w:val="bottom"/>
          </w:tcPr>
          <w:p w14:paraId="1CAD3E79" w14:textId="0DA6CA58"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5.700.395 </w:t>
            </w:r>
          </w:p>
        </w:tc>
        <w:tc>
          <w:tcPr>
            <w:tcW w:w="1304" w:type="dxa"/>
            <w:tcBorders>
              <w:top w:val="nil"/>
              <w:left w:val="nil"/>
              <w:bottom w:val="single" w:sz="4" w:space="0" w:color="auto"/>
              <w:right w:val="single" w:sz="4" w:space="0" w:color="auto"/>
            </w:tcBorders>
            <w:shd w:val="clear" w:color="000000" w:fill="FFFFFF"/>
            <w:noWrap/>
            <w:vAlign w:val="bottom"/>
          </w:tcPr>
          <w:p w14:paraId="3D426600" w14:textId="52AD4C7D"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-1.439.292 </w:t>
            </w:r>
          </w:p>
        </w:tc>
        <w:tc>
          <w:tcPr>
            <w:tcW w:w="1226" w:type="dxa"/>
            <w:tcBorders>
              <w:top w:val="nil"/>
              <w:left w:val="nil"/>
              <w:bottom w:val="single" w:sz="4" w:space="0" w:color="auto"/>
              <w:right w:val="single" w:sz="4" w:space="0" w:color="auto"/>
            </w:tcBorders>
            <w:shd w:val="clear" w:color="000000" w:fill="FFFFFF"/>
            <w:noWrap/>
            <w:vAlign w:val="bottom"/>
          </w:tcPr>
          <w:p w14:paraId="374FDC43" w14:textId="5D5C2BEE"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88.381.949 </w:t>
            </w:r>
          </w:p>
        </w:tc>
      </w:tr>
      <w:tr w:rsidR="00C97F85" w:rsidRPr="0047095D" w14:paraId="06EF937A"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60A6D782" w14:textId="58AAA152" w:rsidR="00C97F85" w:rsidRPr="00493074" w:rsidRDefault="00C97F85" w:rsidP="00C97F85">
            <w:pPr>
              <w:ind w:left="-70" w:firstLine="70"/>
              <w:rPr>
                <w:rFonts w:ascii="Arial" w:hAnsi="Arial" w:cs="Arial"/>
                <w:b/>
                <w:bCs/>
                <w:sz w:val="16"/>
                <w:szCs w:val="16"/>
                <w:lang w:eastAsia="es-AR"/>
              </w:rPr>
            </w:pPr>
            <w:r w:rsidRPr="00493074">
              <w:rPr>
                <w:rFonts w:ascii="Arial" w:hAnsi="Arial" w:cs="Arial"/>
                <w:sz w:val="16"/>
                <w:szCs w:val="16"/>
              </w:rPr>
              <w:t xml:space="preserve">   Sector público no financiero</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7BA6886A" w14:textId="340E1F1B"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269 </w:t>
            </w:r>
          </w:p>
        </w:tc>
        <w:tc>
          <w:tcPr>
            <w:tcW w:w="1116" w:type="dxa"/>
            <w:tcBorders>
              <w:top w:val="nil"/>
              <w:left w:val="nil"/>
              <w:bottom w:val="single" w:sz="4" w:space="0" w:color="auto"/>
              <w:right w:val="single" w:sz="4" w:space="0" w:color="auto"/>
            </w:tcBorders>
            <w:shd w:val="clear" w:color="000000" w:fill="FFFFFF"/>
            <w:noWrap/>
            <w:vAlign w:val="bottom"/>
          </w:tcPr>
          <w:p w14:paraId="3ECC43D1" w14:textId="1CCC19E4"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568 </w:t>
            </w:r>
          </w:p>
        </w:tc>
        <w:tc>
          <w:tcPr>
            <w:tcW w:w="1150" w:type="dxa"/>
            <w:tcBorders>
              <w:top w:val="nil"/>
              <w:left w:val="nil"/>
              <w:bottom w:val="single" w:sz="4" w:space="0" w:color="auto"/>
              <w:right w:val="single" w:sz="4" w:space="0" w:color="auto"/>
            </w:tcBorders>
            <w:shd w:val="clear" w:color="000000" w:fill="FFFFFF"/>
            <w:noWrap/>
            <w:vAlign w:val="bottom"/>
          </w:tcPr>
          <w:p w14:paraId="3D5285C3" w14:textId="5D09F374"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28.035 </w:t>
            </w:r>
          </w:p>
        </w:tc>
        <w:tc>
          <w:tcPr>
            <w:tcW w:w="1011" w:type="dxa"/>
            <w:tcBorders>
              <w:top w:val="nil"/>
              <w:left w:val="nil"/>
              <w:bottom w:val="single" w:sz="4" w:space="0" w:color="auto"/>
              <w:right w:val="single" w:sz="4" w:space="0" w:color="auto"/>
            </w:tcBorders>
            <w:shd w:val="clear" w:color="000000" w:fill="FFFFFF"/>
            <w:noWrap/>
            <w:vAlign w:val="bottom"/>
          </w:tcPr>
          <w:p w14:paraId="21E265B4" w14:textId="61CD88BF"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304" w:type="dxa"/>
            <w:tcBorders>
              <w:top w:val="nil"/>
              <w:left w:val="nil"/>
              <w:bottom w:val="single" w:sz="4" w:space="0" w:color="auto"/>
              <w:right w:val="single" w:sz="4" w:space="0" w:color="auto"/>
            </w:tcBorders>
            <w:shd w:val="clear" w:color="000000" w:fill="FFFFFF"/>
            <w:noWrap/>
            <w:vAlign w:val="bottom"/>
          </w:tcPr>
          <w:p w14:paraId="05647865" w14:textId="2503FEE6"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7A6B7189" w14:textId="25568C88"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28.872 </w:t>
            </w:r>
          </w:p>
        </w:tc>
      </w:tr>
      <w:tr w:rsidR="00C97F85" w:rsidRPr="0047095D" w14:paraId="45C84610"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noWrap/>
            <w:vAlign w:val="bottom"/>
          </w:tcPr>
          <w:p w14:paraId="2FF968CB" w14:textId="6619FD77" w:rsidR="00C97F85" w:rsidRPr="00493074" w:rsidRDefault="00C97F85" w:rsidP="00C97F85">
            <w:pPr>
              <w:ind w:left="-70" w:firstLine="70"/>
              <w:rPr>
                <w:rFonts w:ascii="Arial" w:hAnsi="Arial" w:cs="Arial"/>
                <w:sz w:val="16"/>
                <w:szCs w:val="16"/>
                <w:lang w:eastAsia="es-AR"/>
              </w:rPr>
            </w:pPr>
            <w:r w:rsidRPr="00493074">
              <w:rPr>
                <w:rFonts w:ascii="Arial" w:hAnsi="Arial" w:cs="Arial"/>
                <w:sz w:val="16"/>
                <w:szCs w:val="16"/>
              </w:rPr>
              <w:t xml:space="preserve">   Otras entidades financieras </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0E35F370" w14:textId="045A021F"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30.894 </w:t>
            </w:r>
          </w:p>
        </w:tc>
        <w:tc>
          <w:tcPr>
            <w:tcW w:w="1116" w:type="dxa"/>
            <w:tcBorders>
              <w:top w:val="nil"/>
              <w:left w:val="nil"/>
              <w:bottom w:val="single" w:sz="4" w:space="0" w:color="auto"/>
              <w:right w:val="single" w:sz="4" w:space="0" w:color="auto"/>
            </w:tcBorders>
            <w:shd w:val="clear" w:color="000000" w:fill="FFFFFF"/>
            <w:noWrap/>
            <w:vAlign w:val="bottom"/>
          </w:tcPr>
          <w:p w14:paraId="46C8D24C" w14:textId="0C100208"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-2.686 </w:t>
            </w:r>
          </w:p>
        </w:tc>
        <w:tc>
          <w:tcPr>
            <w:tcW w:w="1150" w:type="dxa"/>
            <w:tcBorders>
              <w:top w:val="nil"/>
              <w:left w:val="nil"/>
              <w:bottom w:val="single" w:sz="4" w:space="0" w:color="auto"/>
              <w:right w:val="single" w:sz="4" w:space="0" w:color="auto"/>
            </w:tcBorders>
            <w:shd w:val="clear" w:color="000000" w:fill="FFFFFF"/>
            <w:noWrap/>
            <w:vAlign w:val="bottom"/>
          </w:tcPr>
          <w:p w14:paraId="213899CF" w14:textId="5D2AAB2C"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1.167.560 </w:t>
            </w:r>
          </w:p>
        </w:tc>
        <w:tc>
          <w:tcPr>
            <w:tcW w:w="1011" w:type="dxa"/>
            <w:tcBorders>
              <w:top w:val="nil"/>
              <w:left w:val="nil"/>
              <w:bottom w:val="single" w:sz="4" w:space="0" w:color="auto"/>
              <w:right w:val="single" w:sz="4" w:space="0" w:color="auto"/>
            </w:tcBorders>
            <w:shd w:val="clear" w:color="000000" w:fill="FFFFFF"/>
            <w:noWrap/>
            <w:vAlign w:val="bottom"/>
          </w:tcPr>
          <w:p w14:paraId="137158C4" w14:textId="48F58EA6"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216.639 </w:t>
            </w:r>
          </w:p>
        </w:tc>
        <w:tc>
          <w:tcPr>
            <w:tcW w:w="1304" w:type="dxa"/>
            <w:tcBorders>
              <w:top w:val="nil"/>
              <w:left w:val="nil"/>
              <w:bottom w:val="single" w:sz="4" w:space="0" w:color="auto"/>
              <w:right w:val="single" w:sz="4" w:space="0" w:color="auto"/>
            </w:tcBorders>
            <w:shd w:val="clear" w:color="000000" w:fill="FFFFFF"/>
            <w:noWrap/>
            <w:vAlign w:val="bottom"/>
          </w:tcPr>
          <w:p w14:paraId="7E672460" w14:textId="0F6E6414"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-1.347.885 </w:t>
            </w:r>
          </w:p>
        </w:tc>
        <w:tc>
          <w:tcPr>
            <w:tcW w:w="1226" w:type="dxa"/>
            <w:tcBorders>
              <w:top w:val="nil"/>
              <w:left w:val="nil"/>
              <w:bottom w:val="single" w:sz="4" w:space="0" w:color="auto"/>
              <w:right w:val="single" w:sz="4" w:space="0" w:color="auto"/>
            </w:tcBorders>
            <w:shd w:val="clear" w:color="000000" w:fill="FFFFFF"/>
            <w:noWrap/>
            <w:vAlign w:val="bottom"/>
          </w:tcPr>
          <w:p w14:paraId="55EB7A86" w14:textId="19020AB7"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64.522 </w:t>
            </w:r>
          </w:p>
        </w:tc>
      </w:tr>
      <w:tr w:rsidR="00C97F85" w:rsidRPr="0047095D" w14:paraId="19F3F98B"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2F34B66B" w14:textId="24FA4730" w:rsidR="00C97F85" w:rsidRPr="00493074" w:rsidRDefault="00C97F85" w:rsidP="00C97F85">
            <w:pPr>
              <w:ind w:left="-70" w:firstLine="70"/>
              <w:rPr>
                <w:rFonts w:ascii="Arial" w:hAnsi="Arial" w:cs="Arial"/>
                <w:sz w:val="16"/>
                <w:szCs w:val="16"/>
                <w:lang w:eastAsia="es-AR"/>
              </w:rPr>
            </w:pPr>
            <w:r w:rsidRPr="00493074">
              <w:rPr>
                <w:rFonts w:ascii="Arial" w:hAnsi="Arial" w:cs="Arial"/>
                <w:sz w:val="16"/>
                <w:szCs w:val="16"/>
              </w:rPr>
              <w:t xml:space="preserve">   Sector privado no financiero y residentes en el exterior </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14470236" w14:textId="7E61D1D6"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43.460.936 </w:t>
            </w:r>
          </w:p>
        </w:tc>
        <w:tc>
          <w:tcPr>
            <w:tcW w:w="1116" w:type="dxa"/>
            <w:tcBorders>
              <w:top w:val="nil"/>
              <w:left w:val="nil"/>
              <w:bottom w:val="single" w:sz="4" w:space="0" w:color="auto"/>
              <w:right w:val="single" w:sz="4" w:space="0" w:color="auto"/>
            </w:tcBorders>
            <w:shd w:val="clear" w:color="000000" w:fill="FFFFFF"/>
            <w:noWrap/>
            <w:vAlign w:val="bottom"/>
          </w:tcPr>
          <w:p w14:paraId="032C9535" w14:textId="09BC0A43"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36.906.642 </w:t>
            </w:r>
          </w:p>
        </w:tc>
        <w:tc>
          <w:tcPr>
            <w:tcW w:w="1150" w:type="dxa"/>
            <w:tcBorders>
              <w:top w:val="nil"/>
              <w:left w:val="nil"/>
              <w:bottom w:val="single" w:sz="4" w:space="0" w:color="auto"/>
              <w:right w:val="single" w:sz="4" w:space="0" w:color="auto"/>
            </w:tcBorders>
            <w:shd w:val="clear" w:color="000000" w:fill="FFFFFF"/>
            <w:noWrap/>
            <w:vAlign w:val="bottom"/>
          </w:tcPr>
          <w:p w14:paraId="6064BF95" w14:textId="0DE26836"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2.528.628 </w:t>
            </w:r>
          </w:p>
        </w:tc>
        <w:tc>
          <w:tcPr>
            <w:tcW w:w="1011" w:type="dxa"/>
            <w:tcBorders>
              <w:top w:val="nil"/>
              <w:left w:val="nil"/>
              <w:bottom w:val="single" w:sz="4" w:space="0" w:color="auto"/>
              <w:right w:val="single" w:sz="4" w:space="0" w:color="auto"/>
            </w:tcBorders>
            <w:shd w:val="clear" w:color="000000" w:fill="FFFFFF"/>
            <w:noWrap/>
            <w:vAlign w:val="bottom"/>
          </w:tcPr>
          <w:p w14:paraId="1416B337" w14:textId="41C4981D"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5.483.756 </w:t>
            </w:r>
          </w:p>
        </w:tc>
        <w:tc>
          <w:tcPr>
            <w:tcW w:w="1304" w:type="dxa"/>
            <w:tcBorders>
              <w:top w:val="nil"/>
              <w:left w:val="nil"/>
              <w:bottom w:val="single" w:sz="4" w:space="0" w:color="auto"/>
              <w:right w:val="single" w:sz="4" w:space="0" w:color="auto"/>
            </w:tcBorders>
            <w:shd w:val="clear" w:color="000000" w:fill="FFFFFF"/>
            <w:noWrap/>
            <w:vAlign w:val="bottom"/>
          </w:tcPr>
          <w:p w14:paraId="45E607AB" w14:textId="2E0C68BA"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-91.407 </w:t>
            </w:r>
          </w:p>
        </w:tc>
        <w:tc>
          <w:tcPr>
            <w:tcW w:w="1226" w:type="dxa"/>
            <w:tcBorders>
              <w:top w:val="nil"/>
              <w:left w:val="nil"/>
              <w:bottom w:val="single" w:sz="4" w:space="0" w:color="auto"/>
              <w:right w:val="single" w:sz="4" w:space="0" w:color="auto"/>
            </w:tcBorders>
            <w:shd w:val="clear" w:color="000000" w:fill="FFFFFF"/>
            <w:noWrap/>
            <w:vAlign w:val="bottom"/>
          </w:tcPr>
          <w:p w14:paraId="24C0F7ED" w14:textId="2D1A7965"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88.288.555 </w:t>
            </w:r>
          </w:p>
        </w:tc>
      </w:tr>
      <w:tr w:rsidR="00C97F85" w:rsidRPr="0047095D" w14:paraId="1E46D546"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4EAD56AA" w14:textId="2EE39D73" w:rsidR="00C97F85" w:rsidRPr="003E014F" w:rsidRDefault="00C97F85" w:rsidP="00C97F85">
            <w:pPr>
              <w:ind w:left="-70" w:firstLine="70"/>
              <w:rPr>
                <w:rFonts w:ascii="Arial" w:hAnsi="Arial" w:cs="Arial"/>
                <w:b/>
                <w:bCs/>
                <w:sz w:val="16"/>
                <w:szCs w:val="16"/>
                <w:lang w:eastAsia="es-AR"/>
              </w:rPr>
            </w:pPr>
            <w:r w:rsidRPr="003E014F">
              <w:rPr>
                <w:rFonts w:ascii="Arial" w:hAnsi="Arial" w:cs="Arial"/>
                <w:sz w:val="16"/>
                <w:szCs w:val="16"/>
              </w:rPr>
              <w:t>Otros títulos de deuda</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6AE2A7B3" w14:textId="6BAFD8A7"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16" w:type="dxa"/>
            <w:tcBorders>
              <w:top w:val="nil"/>
              <w:left w:val="nil"/>
              <w:bottom w:val="single" w:sz="4" w:space="0" w:color="auto"/>
              <w:right w:val="single" w:sz="4" w:space="0" w:color="auto"/>
            </w:tcBorders>
            <w:shd w:val="clear" w:color="000000" w:fill="FFFFFF"/>
            <w:noWrap/>
            <w:vAlign w:val="bottom"/>
          </w:tcPr>
          <w:p w14:paraId="1448661B" w14:textId="54176B03"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50" w:type="dxa"/>
            <w:tcBorders>
              <w:top w:val="nil"/>
              <w:left w:val="nil"/>
              <w:bottom w:val="single" w:sz="4" w:space="0" w:color="auto"/>
              <w:right w:val="single" w:sz="4" w:space="0" w:color="auto"/>
            </w:tcBorders>
            <w:shd w:val="clear" w:color="000000" w:fill="FFFFFF"/>
            <w:noWrap/>
            <w:vAlign w:val="bottom"/>
          </w:tcPr>
          <w:p w14:paraId="3881D8D3" w14:textId="2171451B"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10.613.265 </w:t>
            </w:r>
          </w:p>
        </w:tc>
        <w:tc>
          <w:tcPr>
            <w:tcW w:w="1011" w:type="dxa"/>
            <w:tcBorders>
              <w:top w:val="nil"/>
              <w:left w:val="nil"/>
              <w:bottom w:val="single" w:sz="4" w:space="0" w:color="auto"/>
              <w:right w:val="single" w:sz="4" w:space="0" w:color="auto"/>
            </w:tcBorders>
            <w:shd w:val="clear" w:color="000000" w:fill="FFFFFF"/>
            <w:noWrap/>
            <w:vAlign w:val="bottom"/>
          </w:tcPr>
          <w:p w14:paraId="6867E746" w14:textId="1174EFAF"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304" w:type="dxa"/>
            <w:tcBorders>
              <w:top w:val="nil"/>
              <w:left w:val="nil"/>
              <w:bottom w:val="single" w:sz="4" w:space="0" w:color="auto"/>
              <w:right w:val="single" w:sz="4" w:space="0" w:color="auto"/>
            </w:tcBorders>
            <w:shd w:val="clear" w:color="000000" w:fill="FFFFFF"/>
            <w:noWrap/>
            <w:vAlign w:val="bottom"/>
          </w:tcPr>
          <w:p w14:paraId="75205359" w14:textId="4E1BBC01"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-355.481 </w:t>
            </w:r>
          </w:p>
        </w:tc>
        <w:tc>
          <w:tcPr>
            <w:tcW w:w="1226" w:type="dxa"/>
            <w:tcBorders>
              <w:top w:val="nil"/>
              <w:left w:val="nil"/>
              <w:bottom w:val="single" w:sz="4" w:space="0" w:color="auto"/>
              <w:right w:val="single" w:sz="4" w:space="0" w:color="auto"/>
            </w:tcBorders>
            <w:shd w:val="clear" w:color="000000" w:fill="FFFFFF"/>
            <w:noWrap/>
            <w:vAlign w:val="bottom"/>
          </w:tcPr>
          <w:p w14:paraId="742A8540" w14:textId="19084B61"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10.257.784 </w:t>
            </w:r>
          </w:p>
        </w:tc>
      </w:tr>
      <w:tr w:rsidR="00C97F85" w:rsidRPr="0047095D" w14:paraId="1742B60F" w14:textId="77777777" w:rsidTr="006E1AF7">
        <w:trPr>
          <w:trHeight w:val="324"/>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1E709CFF" w14:textId="6A006E61" w:rsidR="00C97F85" w:rsidRPr="003E014F" w:rsidRDefault="00C97F85" w:rsidP="00C97F85">
            <w:pPr>
              <w:ind w:left="-70" w:firstLine="70"/>
              <w:rPr>
                <w:rFonts w:ascii="Arial" w:hAnsi="Arial" w:cs="Arial"/>
                <w:b/>
                <w:bCs/>
                <w:sz w:val="16"/>
                <w:szCs w:val="16"/>
                <w:lang w:eastAsia="es-AR"/>
              </w:rPr>
            </w:pPr>
            <w:r w:rsidRPr="003E014F">
              <w:rPr>
                <w:rFonts w:ascii="Arial" w:hAnsi="Arial" w:cs="Arial"/>
                <w:sz w:val="16"/>
                <w:szCs w:val="16"/>
              </w:rPr>
              <w:t>Activos financieros entregados en garantía</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6143AFD0" w14:textId="6E4099FC"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60.229 </w:t>
            </w:r>
          </w:p>
        </w:tc>
        <w:tc>
          <w:tcPr>
            <w:tcW w:w="1116" w:type="dxa"/>
            <w:tcBorders>
              <w:top w:val="nil"/>
              <w:left w:val="nil"/>
              <w:bottom w:val="single" w:sz="4" w:space="0" w:color="auto"/>
              <w:right w:val="single" w:sz="4" w:space="0" w:color="auto"/>
            </w:tcBorders>
            <w:shd w:val="clear" w:color="000000" w:fill="FFFFFF"/>
            <w:noWrap/>
            <w:vAlign w:val="bottom"/>
          </w:tcPr>
          <w:p w14:paraId="7CBC9BD8" w14:textId="3F6038E8"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446.131 </w:t>
            </w:r>
          </w:p>
        </w:tc>
        <w:tc>
          <w:tcPr>
            <w:tcW w:w="1150" w:type="dxa"/>
            <w:tcBorders>
              <w:top w:val="nil"/>
              <w:left w:val="nil"/>
              <w:bottom w:val="single" w:sz="4" w:space="0" w:color="auto"/>
              <w:right w:val="single" w:sz="4" w:space="0" w:color="auto"/>
            </w:tcBorders>
            <w:shd w:val="clear" w:color="000000" w:fill="FFFFFF"/>
            <w:noWrap/>
            <w:vAlign w:val="bottom"/>
          </w:tcPr>
          <w:p w14:paraId="6AB3B323" w14:textId="6973E688"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4.418.180 </w:t>
            </w:r>
          </w:p>
        </w:tc>
        <w:tc>
          <w:tcPr>
            <w:tcW w:w="1011" w:type="dxa"/>
            <w:tcBorders>
              <w:top w:val="nil"/>
              <w:left w:val="nil"/>
              <w:bottom w:val="single" w:sz="4" w:space="0" w:color="auto"/>
              <w:right w:val="single" w:sz="4" w:space="0" w:color="auto"/>
            </w:tcBorders>
            <w:shd w:val="clear" w:color="000000" w:fill="FFFFFF"/>
            <w:noWrap/>
            <w:vAlign w:val="bottom"/>
          </w:tcPr>
          <w:p w14:paraId="0AEC47B8" w14:textId="1E5FEFD6"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760.609 </w:t>
            </w:r>
          </w:p>
        </w:tc>
        <w:tc>
          <w:tcPr>
            <w:tcW w:w="1304" w:type="dxa"/>
            <w:tcBorders>
              <w:top w:val="nil"/>
              <w:left w:val="nil"/>
              <w:bottom w:val="single" w:sz="4" w:space="0" w:color="auto"/>
              <w:right w:val="single" w:sz="4" w:space="0" w:color="auto"/>
            </w:tcBorders>
            <w:shd w:val="clear" w:color="000000" w:fill="FFFFFF"/>
            <w:noWrap/>
            <w:vAlign w:val="bottom"/>
          </w:tcPr>
          <w:p w14:paraId="258816F1" w14:textId="6180A4F4"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-358.200 </w:t>
            </w:r>
          </w:p>
        </w:tc>
        <w:tc>
          <w:tcPr>
            <w:tcW w:w="1226" w:type="dxa"/>
            <w:tcBorders>
              <w:top w:val="nil"/>
              <w:left w:val="nil"/>
              <w:bottom w:val="single" w:sz="4" w:space="0" w:color="auto"/>
              <w:right w:val="single" w:sz="4" w:space="0" w:color="auto"/>
            </w:tcBorders>
            <w:shd w:val="clear" w:color="000000" w:fill="FFFFFF"/>
            <w:noWrap/>
            <w:vAlign w:val="bottom"/>
          </w:tcPr>
          <w:p w14:paraId="70E4DEC2" w14:textId="1F451808"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5.326.949 </w:t>
            </w:r>
          </w:p>
        </w:tc>
      </w:tr>
      <w:tr w:rsidR="00C97F85" w:rsidRPr="0047095D" w14:paraId="640BAC1C" w14:textId="77777777" w:rsidTr="006E1AF7">
        <w:trPr>
          <w:trHeight w:val="294"/>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754F2168" w14:textId="266E75D5" w:rsidR="00C97F85" w:rsidRPr="003E014F" w:rsidRDefault="00C97F85" w:rsidP="00C97F85">
            <w:pPr>
              <w:ind w:left="-70" w:firstLine="70"/>
              <w:rPr>
                <w:rFonts w:ascii="Arial" w:hAnsi="Arial" w:cs="Arial"/>
                <w:b/>
                <w:bCs/>
                <w:sz w:val="16"/>
                <w:szCs w:val="16"/>
                <w:lang w:eastAsia="es-AR"/>
              </w:rPr>
            </w:pPr>
            <w:r w:rsidRPr="003E014F">
              <w:rPr>
                <w:rFonts w:ascii="Arial" w:hAnsi="Arial" w:cs="Arial"/>
                <w:sz w:val="16"/>
                <w:szCs w:val="16"/>
              </w:rPr>
              <w:t>Activos por impuestos a las ganancias corriente</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77C18951" w14:textId="38B7BA42"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16" w:type="dxa"/>
            <w:tcBorders>
              <w:top w:val="nil"/>
              <w:left w:val="nil"/>
              <w:bottom w:val="single" w:sz="4" w:space="0" w:color="auto"/>
              <w:right w:val="single" w:sz="4" w:space="0" w:color="auto"/>
            </w:tcBorders>
            <w:shd w:val="clear" w:color="000000" w:fill="FFFFFF"/>
            <w:noWrap/>
            <w:vAlign w:val="bottom"/>
          </w:tcPr>
          <w:p w14:paraId="56BDD00D" w14:textId="7B713729"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50" w:type="dxa"/>
            <w:tcBorders>
              <w:top w:val="nil"/>
              <w:left w:val="nil"/>
              <w:bottom w:val="single" w:sz="4" w:space="0" w:color="auto"/>
              <w:right w:val="single" w:sz="4" w:space="0" w:color="auto"/>
            </w:tcBorders>
            <w:shd w:val="clear" w:color="000000" w:fill="FFFFFF"/>
            <w:noWrap/>
            <w:vAlign w:val="bottom"/>
          </w:tcPr>
          <w:p w14:paraId="4AE364A7" w14:textId="415E2125"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293.192 </w:t>
            </w:r>
          </w:p>
        </w:tc>
        <w:tc>
          <w:tcPr>
            <w:tcW w:w="1011" w:type="dxa"/>
            <w:tcBorders>
              <w:top w:val="nil"/>
              <w:left w:val="nil"/>
              <w:bottom w:val="single" w:sz="4" w:space="0" w:color="auto"/>
              <w:right w:val="single" w:sz="4" w:space="0" w:color="auto"/>
            </w:tcBorders>
            <w:shd w:val="clear" w:color="000000" w:fill="FFFFFF"/>
            <w:noWrap/>
            <w:vAlign w:val="bottom"/>
          </w:tcPr>
          <w:p w14:paraId="10994405" w14:textId="532A6F04"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24.023 </w:t>
            </w:r>
          </w:p>
        </w:tc>
        <w:tc>
          <w:tcPr>
            <w:tcW w:w="1304" w:type="dxa"/>
            <w:tcBorders>
              <w:top w:val="nil"/>
              <w:left w:val="nil"/>
              <w:bottom w:val="single" w:sz="4" w:space="0" w:color="auto"/>
              <w:right w:val="single" w:sz="4" w:space="0" w:color="auto"/>
            </w:tcBorders>
            <w:shd w:val="clear" w:color="000000" w:fill="FFFFFF"/>
            <w:noWrap/>
            <w:vAlign w:val="bottom"/>
          </w:tcPr>
          <w:p w14:paraId="62D33620" w14:textId="1DF1DFD8"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5BD0604F" w14:textId="632530D1"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317.215 </w:t>
            </w:r>
          </w:p>
        </w:tc>
      </w:tr>
      <w:tr w:rsidR="00C97F85" w:rsidRPr="0047095D" w14:paraId="16C970D1" w14:textId="77777777" w:rsidTr="006E1AF7">
        <w:trPr>
          <w:trHeight w:val="109"/>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2ED6A037" w14:textId="1E1A246C" w:rsidR="00C97F85" w:rsidRPr="003E014F" w:rsidRDefault="00C97F85" w:rsidP="00C97F85">
            <w:pPr>
              <w:ind w:left="-70" w:firstLine="70"/>
              <w:rPr>
                <w:rFonts w:ascii="Arial" w:hAnsi="Arial" w:cs="Arial"/>
                <w:b/>
                <w:bCs/>
                <w:sz w:val="16"/>
                <w:szCs w:val="16"/>
                <w:lang w:eastAsia="es-AR"/>
              </w:rPr>
            </w:pPr>
            <w:r w:rsidRPr="003E014F">
              <w:rPr>
                <w:rFonts w:ascii="Arial" w:hAnsi="Arial" w:cs="Arial"/>
                <w:sz w:val="16"/>
                <w:szCs w:val="16"/>
              </w:rPr>
              <w:t>Inversiones en instrumentos de patrimonio</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7ACD22FC" w14:textId="24CEA97B"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1.765 </w:t>
            </w:r>
          </w:p>
        </w:tc>
        <w:tc>
          <w:tcPr>
            <w:tcW w:w="1116" w:type="dxa"/>
            <w:tcBorders>
              <w:top w:val="nil"/>
              <w:left w:val="nil"/>
              <w:bottom w:val="single" w:sz="4" w:space="0" w:color="auto"/>
              <w:right w:val="single" w:sz="4" w:space="0" w:color="auto"/>
            </w:tcBorders>
            <w:shd w:val="clear" w:color="000000" w:fill="FFFFFF"/>
            <w:noWrap/>
            <w:vAlign w:val="bottom"/>
          </w:tcPr>
          <w:p w14:paraId="2AC428EA" w14:textId="27488836"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2.502 </w:t>
            </w:r>
          </w:p>
        </w:tc>
        <w:tc>
          <w:tcPr>
            <w:tcW w:w="1150" w:type="dxa"/>
            <w:tcBorders>
              <w:top w:val="nil"/>
              <w:left w:val="nil"/>
              <w:bottom w:val="single" w:sz="4" w:space="0" w:color="auto"/>
              <w:right w:val="single" w:sz="4" w:space="0" w:color="auto"/>
            </w:tcBorders>
            <w:shd w:val="clear" w:color="000000" w:fill="FFFFFF"/>
            <w:noWrap/>
            <w:vAlign w:val="bottom"/>
          </w:tcPr>
          <w:p w14:paraId="42626D27" w14:textId="249E3FC2"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10.312 </w:t>
            </w:r>
          </w:p>
        </w:tc>
        <w:tc>
          <w:tcPr>
            <w:tcW w:w="1011" w:type="dxa"/>
            <w:tcBorders>
              <w:top w:val="nil"/>
              <w:left w:val="nil"/>
              <w:bottom w:val="single" w:sz="4" w:space="0" w:color="auto"/>
              <w:right w:val="single" w:sz="4" w:space="0" w:color="auto"/>
            </w:tcBorders>
            <w:shd w:val="clear" w:color="000000" w:fill="FFFFFF"/>
            <w:noWrap/>
            <w:vAlign w:val="bottom"/>
          </w:tcPr>
          <w:p w14:paraId="55024A55" w14:textId="6600BB88"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304" w:type="dxa"/>
            <w:tcBorders>
              <w:top w:val="nil"/>
              <w:left w:val="nil"/>
              <w:bottom w:val="single" w:sz="4" w:space="0" w:color="auto"/>
              <w:right w:val="single" w:sz="4" w:space="0" w:color="auto"/>
            </w:tcBorders>
            <w:shd w:val="clear" w:color="000000" w:fill="FFFFFF"/>
            <w:noWrap/>
            <w:vAlign w:val="bottom"/>
          </w:tcPr>
          <w:p w14:paraId="53EA7E90" w14:textId="45274A3D"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6606326D" w14:textId="0F57ED57"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14.579 </w:t>
            </w:r>
          </w:p>
        </w:tc>
      </w:tr>
      <w:tr w:rsidR="00C97F85" w:rsidRPr="0047095D" w14:paraId="7F4A94C8" w14:textId="77777777" w:rsidTr="006E1AF7">
        <w:trPr>
          <w:trHeight w:val="288"/>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48F9C702" w14:textId="0C1555B8" w:rsidR="00C97F85" w:rsidRPr="003E014F" w:rsidRDefault="00C97F85" w:rsidP="00C97F85">
            <w:pPr>
              <w:ind w:left="-70" w:firstLine="70"/>
              <w:rPr>
                <w:rFonts w:ascii="Arial" w:hAnsi="Arial" w:cs="Arial"/>
                <w:b/>
                <w:bCs/>
                <w:sz w:val="16"/>
                <w:szCs w:val="16"/>
                <w:lang w:eastAsia="es-AR"/>
              </w:rPr>
            </w:pPr>
            <w:r w:rsidRPr="003E014F">
              <w:rPr>
                <w:rFonts w:ascii="Arial" w:hAnsi="Arial" w:cs="Arial"/>
                <w:sz w:val="16"/>
                <w:szCs w:val="16"/>
              </w:rPr>
              <w:t>Inversión en subsidiarias, asociadas y negocios conjuntos</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315483B3" w14:textId="3B38DAA7"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16" w:type="dxa"/>
            <w:tcBorders>
              <w:top w:val="nil"/>
              <w:left w:val="nil"/>
              <w:bottom w:val="single" w:sz="4" w:space="0" w:color="auto"/>
              <w:right w:val="single" w:sz="4" w:space="0" w:color="auto"/>
            </w:tcBorders>
            <w:shd w:val="clear" w:color="000000" w:fill="FFFFFF"/>
            <w:noWrap/>
            <w:vAlign w:val="bottom"/>
          </w:tcPr>
          <w:p w14:paraId="124D3A0E" w14:textId="0F290D6A"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50" w:type="dxa"/>
            <w:tcBorders>
              <w:top w:val="nil"/>
              <w:left w:val="nil"/>
              <w:bottom w:val="single" w:sz="4" w:space="0" w:color="auto"/>
              <w:right w:val="single" w:sz="4" w:space="0" w:color="auto"/>
            </w:tcBorders>
            <w:shd w:val="clear" w:color="000000" w:fill="FFFFFF"/>
            <w:noWrap/>
            <w:vAlign w:val="bottom"/>
          </w:tcPr>
          <w:p w14:paraId="37B8DE43" w14:textId="34F45FB2"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2.427.461 </w:t>
            </w:r>
          </w:p>
        </w:tc>
        <w:tc>
          <w:tcPr>
            <w:tcW w:w="1011" w:type="dxa"/>
            <w:tcBorders>
              <w:top w:val="nil"/>
              <w:left w:val="nil"/>
              <w:bottom w:val="single" w:sz="4" w:space="0" w:color="auto"/>
              <w:right w:val="single" w:sz="4" w:space="0" w:color="auto"/>
            </w:tcBorders>
            <w:shd w:val="clear" w:color="000000" w:fill="FFFFFF"/>
            <w:noWrap/>
            <w:vAlign w:val="bottom"/>
          </w:tcPr>
          <w:p w14:paraId="4A338C80" w14:textId="1E07EE62"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8.461 </w:t>
            </w:r>
          </w:p>
        </w:tc>
        <w:tc>
          <w:tcPr>
            <w:tcW w:w="1304" w:type="dxa"/>
            <w:tcBorders>
              <w:top w:val="nil"/>
              <w:left w:val="nil"/>
              <w:bottom w:val="single" w:sz="4" w:space="0" w:color="auto"/>
              <w:right w:val="single" w:sz="4" w:space="0" w:color="auto"/>
            </w:tcBorders>
            <w:shd w:val="clear" w:color="000000" w:fill="FFFFFF"/>
            <w:noWrap/>
            <w:vAlign w:val="bottom"/>
          </w:tcPr>
          <w:p w14:paraId="36A1F460" w14:textId="3150DA5A"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-2.393.139 </w:t>
            </w:r>
          </w:p>
        </w:tc>
        <w:tc>
          <w:tcPr>
            <w:tcW w:w="1226" w:type="dxa"/>
            <w:tcBorders>
              <w:top w:val="nil"/>
              <w:left w:val="nil"/>
              <w:bottom w:val="single" w:sz="4" w:space="0" w:color="auto"/>
              <w:right w:val="single" w:sz="4" w:space="0" w:color="auto"/>
            </w:tcBorders>
            <w:shd w:val="clear" w:color="000000" w:fill="FFFFFF"/>
            <w:noWrap/>
            <w:vAlign w:val="bottom"/>
          </w:tcPr>
          <w:p w14:paraId="7E28D399" w14:textId="05D583BE"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42.783 </w:t>
            </w:r>
          </w:p>
        </w:tc>
      </w:tr>
      <w:tr w:rsidR="00C97F85" w:rsidRPr="0047095D" w14:paraId="08E79EE6"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6B3AB4C4" w14:textId="1CA4AF2F" w:rsidR="00C97F85" w:rsidRPr="003E014F" w:rsidRDefault="00C97F85" w:rsidP="00C97F85">
            <w:pPr>
              <w:ind w:left="-70" w:firstLine="70"/>
              <w:rPr>
                <w:rFonts w:ascii="Arial" w:hAnsi="Arial" w:cs="Arial"/>
                <w:b/>
                <w:bCs/>
                <w:sz w:val="16"/>
                <w:szCs w:val="16"/>
                <w:lang w:eastAsia="es-AR"/>
              </w:rPr>
            </w:pPr>
            <w:r w:rsidRPr="003E014F">
              <w:rPr>
                <w:rFonts w:ascii="Arial" w:hAnsi="Arial" w:cs="Arial"/>
                <w:sz w:val="16"/>
                <w:szCs w:val="16"/>
              </w:rPr>
              <w:t>Propiedad, planta y equipo</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4635A3A3" w14:textId="6B2BC9B7"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16" w:type="dxa"/>
            <w:tcBorders>
              <w:top w:val="nil"/>
              <w:left w:val="nil"/>
              <w:bottom w:val="single" w:sz="4" w:space="0" w:color="auto"/>
              <w:right w:val="single" w:sz="4" w:space="0" w:color="auto"/>
            </w:tcBorders>
            <w:shd w:val="clear" w:color="000000" w:fill="FFFFFF"/>
            <w:noWrap/>
            <w:vAlign w:val="bottom"/>
          </w:tcPr>
          <w:p w14:paraId="12D3755E" w14:textId="09E66C71"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50" w:type="dxa"/>
            <w:tcBorders>
              <w:top w:val="nil"/>
              <w:left w:val="nil"/>
              <w:bottom w:val="single" w:sz="4" w:space="0" w:color="auto"/>
              <w:right w:val="single" w:sz="4" w:space="0" w:color="auto"/>
            </w:tcBorders>
            <w:shd w:val="clear" w:color="000000" w:fill="FFFFFF"/>
            <w:noWrap/>
            <w:vAlign w:val="bottom"/>
          </w:tcPr>
          <w:p w14:paraId="554A3FC2" w14:textId="67DAE15F"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2.827.098 </w:t>
            </w:r>
          </w:p>
        </w:tc>
        <w:tc>
          <w:tcPr>
            <w:tcW w:w="1011" w:type="dxa"/>
            <w:tcBorders>
              <w:top w:val="nil"/>
              <w:left w:val="nil"/>
              <w:bottom w:val="single" w:sz="4" w:space="0" w:color="auto"/>
              <w:right w:val="single" w:sz="4" w:space="0" w:color="auto"/>
            </w:tcBorders>
            <w:shd w:val="clear" w:color="000000" w:fill="FFFFFF"/>
            <w:noWrap/>
            <w:vAlign w:val="bottom"/>
          </w:tcPr>
          <w:p w14:paraId="1C7CE08D" w14:textId="5304EDCD"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39.122 </w:t>
            </w:r>
          </w:p>
        </w:tc>
        <w:tc>
          <w:tcPr>
            <w:tcW w:w="1304" w:type="dxa"/>
            <w:tcBorders>
              <w:top w:val="nil"/>
              <w:left w:val="nil"/>
              <w:bottom w:val="single" w:sz="4" w:space="0" w:color="auto"/>
              <w:right w:val="single" w:sz="4" w:space="0" w:color="auto"/>
            </w:tcBorders>
            <w:shd w:val="clear" w:color="000000" w:fill="FFFFFF"/>
            <w:noWrap/>
            <w:vAlign w:val="bottom"/>
          </w:tcPr>
          <w:p w14:paraId="7DBF4A59" w14:textId="7F23A7B6"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2E944353" w14:textId="15E5F3F2"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2.866.220 </w:t>
            </w:r>
          </w:p>
        </w:tc>
      </w:tr>
      <w:tr w:rsidR="00C97F85" w:rsidRPr="0047095D" w14:paraId="07B231D5"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38C78591" w14:textId="06C274B4" w:rsidR="00C97F85" w:rsidRPr="003E014F" w:rsidRDefault="00C97F85" w:rsidP="00C97F85">
            <w:pPr>
              <w:ind w:left="-70" w:firstLine="70"/>
              <w:rPr>
                <w:rFonts w:ascii="Arial" w:hAnsi="Arial" w:cs="Arial"/>
                <w:b/>
                <w:bCs/>
                <w:sz w:val="16"/>
                <w:szCs w:val="16"/>
                <w:lang w:eastAsia="es-AR"/>
              </w:rPr>
            </w:pPr>
            <w:r w:rsidRPr="003E014F">
              <w:rPr>
                <w:rFonts w:ascii="Arial" w:hAnsi="Arial" w:cs="Arial"/>
                <w:sz w:val="16"/>
                <w:szCs w:val="16"/>
              </w:rPr>
              <w:t>Activos intangibles</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595BE55D" w14:textId="31CC4416"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16" w:type="dxa"/>
            <w:tcBorders>
              <w:top w:val="nil"/>
              <w:left w:val="nil"/>
              <w:bottom w:val="single" w:sz="4" w:space="0" w:color="auto"/>
              <w:right w:val="single" w:sz="4" w:space="0" w:color="auto"/>
            </w:tcBorders>
            <w:shd w:val="clear" w:color="000000" w:fill="FFFFFF"/>
            <w:noWrap/>
            <w:vAlign w:val="bottom"/>
          </w:tcPr>
          <w:p w14:paraId="357B0AE2" w14:textId="045CCA2D"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50" w:type="dxa"/>
            <w:tcBorders>
              <w:top w:val="nil"/>
              <w:left w:val="nil"/>
              <w:bottom w:val="single" w:sz="4" w:space="0" w:color="auto"/>
              <w:right w:val="single" w:sz="4" w:space="0" w:color="auto"/>
            </w:tcBorders>
            <w:shd w:val="clear" w:color="000000" w:fill="FFFFFF"/>
            <w:noWrap/>
            <w:vAlign w:val="bottom"/>
          </w:tcPr>
          <w:p w14:paraId="4C5D61BC" w14:textId="76C4CD14"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700.709 </w:t>
            </w:r>
          </w:p>
        </w:tc>
        <w:tc>
          <w:tcPr>
            <w:tcW w:w="1011" w:type="dxa"/>
            <w:tcBorders>
              <w:top w:val="nil"/>
              <w:left w:val="nil"/>
              <w:bottom w:val="single" w:sz="4" w:space="0" w:color="auto"/>
              <w:right w:val="single" w:sz="4" w:space="0" w:color="auto"/>
            </w:tcBorders>
            <w:shd w:val="clear" w:color="000000" w:fill="FFFFFF"/>
            <w:noWrap/>
            <w:vAlign w:val="bottom"/>
          </w:tcPr>
          <w:p w14:paraId="357B36C6" w14:textId="76FC62F6"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53.529 </w:t>
            </w:r>
          </w:p>
        </w:tc>
        <w:tc>
          <w:tcPr>
            <w:tcW w:w="1304" w:type="dxa"/>
            <w:tcBorders>
              <w:top w:val="nil"/>
              <w:left w:val="nil"/>
              <w:bottom w:val="single" w:sz="4" w:space="0" w:color="auto"/>
              <w:right w:val="single" w:sz="4" w:space="0" w:color="auto"/>
            </w:tcBorders>
            <w:shd w:val="clear" w:color="000000" w:fill="FFFFFF"/>
            <w:noWrap/>
            <w:vAlign w:val="bottom"/>
          </w:tcPr>
          <w:p w14:paraId="52F11CBA" w14:textId="4B6D6A62"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06E7DA66" w14:textId="3F97048C"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754.238 </w:t>
            </w:r>
          </w:p>
        </w:tc>
      </w:tr>
      <w:tr w:rsidR="00C97F85" w:rsidRPr="0047095D" w14:paraId="74EE5700" w14:textId="77777777" w:rsidTr="006E1AF7">
        <w:trPr>
          <w:trHeight w:val="250"/>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5A2E6363" w14:textId="47119F14" w:rsidR="00C97F85" w:rsidRPr="003E014F" w:rsidRDefault="00C97F85" w:rsidP="00C97F85">
            <w:pPr>
              <w:ind w:left="-70" w:firstLine="70"/>
              <w:rPr>
                <w:rFonts w:ascii="Arial" w:hAnsi="Arial" w:cs="Arial"/>
                <w:b/>
                <w:bCs/>
                <w:sz w:val="16"/>
                <w:szCs w:val="16"/>
                <w:lang w:eastAsia="es-AR"/>
              </w:rPr>
            </w:pPr>
            <w:r w:rsidRPr="003E014F">
              <w:rPr>
                <w:rFonts w:ascii="Arial" w:hAnsi="Arial" w:cs="Arial"/>
                <w:sz w:val="16"/>
                <w:szCs w:val="16"/>
              </w:rPr>
              <w:t>Activos por impuesto a las ganancias diferido</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40A7B0D8" w14:textId="1F964B9F"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16" w:type="dxa"/>
            <w:tcBorders>
              <w:top w:val="nil"/>
              <w:left w:val="nil"/>
              <w:bottom w:val="single" w:sz="4" w:space="0" w:color="auto"/>
              <w:right w:val="single" w:sz="4" w:space="0" w:color="auto"/>
            </w:tcBorders>
            <w:shd w:val="clear" w:color="000000" w:fill="FFFFFF"/>
            <w:noWrap/>
            <w:vAlign w:val="bottom"/>
          </w:tcPr>
          <w:p w14:paraId="7C382D2D" w14:textId="63DFE7A7"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150" w:type="dxa"/>
            <w:tcBorders>
              <w:top w:val="nil"/>
              <w:left w:val="nil"/>
              <w:bottom w:val="single" w:sz="4" w:space="0" w:color="auto"/>
              <w:right w:val="single" w:sz="4" w:space="0" w:color="auto"/>
            </w:tcBorders>
            <w:shd w:val="clear" w:color="000000" w:fill="FFFFFF"/>
            <w:noWrap/>
            <w:vAlign w:val="bottom"/>
          </w:tcPr>
          <w:p w14:paraId="122A07F8" w14:textId="1FC6EA28"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615.538 </w:t>
            </w:r>
          </w:p>
        </w:tc>
        <w:tc>
          <w:tcPr>
            <w:tcW w:w="1011" w:type="dxa"/>
            <w:tcBorders>
              <w:top w:val="nil"/>
              <w:left w:val="nil"/>
              <w:bottom w:val="single" w:sz="4" w:space="0" w:color="auto"/>
              <w:right w:val="single" w:sz="4" w:space="0" w:color="auto"/>
            </w:tcBorders>
            <w:shd w:val="clear" w:color="000000" w:fill="FFFFFF"/>
            <w:noWrap/>
            <w:vAlign w:val="bottom"/>
          </w:tcPr>
          <w:p w14:paraId="718068DE" w14:textId="2D11B701"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886.729 </w:t>
            </w:r>
          </w:p>
        </w:tc>
        <w:tc>
          <w:tcPr>
            <w:tcW w:w="1304" w:type="dxa"/>
            <w:tcBorders>
              <w:top w:val="nil"/>
              <w:left w:val="nil"/>
              <w:bottom w:val="single" w:sz="4" w:space="0" w:color="auto"/>
              <w:right w:val="single" w:sz="4" w:space="0" w:color="auto"/>
            </w:tcBorders>
            <w:shd w:val="clear" w:color="000000" w:fill="FFFFFF"/>
            <w:noWrap/>
            <w:vAlign w:val="bottom"/>
          </w:tcPr>
          <w:p w14:paraId="6643FA31" w14:textId="1BA67D3A"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58E21938" w14:textId="5D1EE812"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1.502.267 </w:t>
            </w:r>
          </w:p>
        </w:tc>
      </w:tr>
      <w:tr w:rsidR="00C97F85" w:rsidRPr="0047095D" w14:paraId="4876478D" w14:textId="77777777" w:rsidTr="006E1AF7">
        <w:trPr>
          <w:trHeight w:val="219"/>
        </w:trPr>
        <w:tc>
          <w:tcPr>
            <w:tcW w:w="3120" w:type="dxa"/>
            <w:tcBorders>
              <w:top w:val="nil"/>
              <w:left w:val="single" w:sz="4" w:space="0" w:color="auto"/>
              <w:bottom w:val="single" w:sz="4" w:space="0" w:color="363639"/>
              <w:right w:val="single" w:sz="4" w:space="0" w:color="363639"/>
            </w:tcBorders>
            <w:shd w:val="clear" w:color="000000" w:fill="FFFFFF"/>
            <w:vAlign w:val="bottom"/>
          </w:tcPr>
          <w:p w14:paraId="768C9D26" w14:textId="3A1F0B08" w:rsidR="00C97F85" w:rsidRPr="003E014F" w:rsidRDefault="00C97F85" w:rsidP="00C97F85">
            <w:pPr>
              <w:ind w:left="-70" w:firstLine="70"/>
              <w:rPr>
                <w:rFonts w:ascii="Arial" w:hAnsi="Arial" w:cs="Arial"/>
                <w:b/>
                <w:bCs/>
                <w:sz w:val="16"/>
                <w:szCs w:val="16"/>
                <w:lang w:eastAsia="es-AR"/>
              </w:rPr>
            </w:pPr>
            <w:r w:rsidRPr="003E014F">
              <w:rPr>
                <w:rFonts w:ascii="Arial" w:hAnsi="Arial" w:cs="Arial"/>
                <w:sz w:val="16"/>
                <w:szCs w:val="16"/>
              </w:rPr>
              <w:t>Otros activos no financieros</w:t>
            </w:r>
          </w:p>
        </w:tc>
        <w:tc>
          <w:tcPr>
            <w:tcW w:w="1089" w:type="dxa"/>
            <w:tcBorders>
              <w:top w:val="nil"/>
              <w:left w:val="single" w:sz="4" w:space="0" w:color="auto"/>
              <w:bottom w:val="single" w:sz="4" w:space="0" w:color="auto"/>
              <w:right w:val="single" w:sz="4" w:space="0" w:color="auto"/>
            </w:tcBorders>
            <w:shd w:val="clear" w:color="000000" w:fill="FFFFFF"/>
            <w:noWrap/>
            <w:vAlign w:val="bottom"/>
          </w:tcPr>
          <w:p w14:paraId="0B75A847" w14:textId="05B9D7C1"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1.091.580 </w:t>
            </w:r>
          </w:p>
        </w:tc>
        <w:tc>
          <w:tcPr>
            <w:tcW w:w="1116" w:type="dxa"/>
            <w:tcBorders>
              <w:top w:val="nil"/>
              <w:left w:val="nil"/>
              <w:bottom w:val="single" w:sz="4" w:space="0" w:color="auto"/>
              <w:right w:val="single" w:sz="4" w:space="0" w:color="auto"/>
            </w:tcBorders>
            <w:shd w:val="clear" w:color="000000" w:fill="FFFFFF"/>
            <w:noWrap/>
            <w:vAlign w:val="bottom"/>
          </w:tcPr>
          <w:p w14:paraId="3BC56DCE" w14:textId="4596B917"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1.523.144 </w:t>
            </w:r>
          </w:p>
        </w:tc>
        <w:tc>
          <w:tcPr>
            <w:tcW w:w="1150" w:type="dxa"/>
            <w:tcBorders>
              <w:top w:val="nil"/>
              <w:left w:val="nil"/>
              <w:bottom w:val="single" w:sz="4" w:space="0" w:color="auto"/>
              <w:right w:val="single" w:sz="4" w:space="0" w:color="auto"/>
            </w:tcBorders>
            <w:shd w:val="clear" w:color="000000" w:fill="FFFFFF"/>
            <w:noWrap/>
            <w:vAlign w:val="bottom"/>
          </w:tcPr>
          <w:p w14:paraId="201252A7" w14:textId="4247871D"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2.034.889 </w:t>
            </w:r>
          </w:p>
        </w:tc>
        <w:tc>
          <w:tcPr>
            <w:tcW w:w="1011" w:type="dxa"/>
            <w:tcBorders>
              <w:top w:val="nil"/>
              <w:left w:val="nil"/>
              <w:bottom w:val="single" w:sz="4" w:space="0" w:color="auto"/>
              <w:right w:val="single" w:sz="4" w:space="0" w:color="auto"/>
            </w:tcBorders>
            <w:shd w:val="clear" w:color="000000" w:fill="FFFFFF"/>
            <w:noWrap/>
            <w:vAlign w:val="bottom"/>
          </w:tcPr>
          <w:p w14:paraId="79F989D6" w14:textId="4D17429E"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49.847 </w:t>
            </w:r>
          </w:p>
        </w:tc>
        <w:tc>
          <w:tcPr>
            <w:tcW w:w="1304" w:type="dxa"/>
            <w:tcBorders>
              <w:top w:val="nil"/>
              <w:left w:val="nil"/>
              <w:bottom w:val="single" w:sz="4" w:space="0" w:color="auto"/>
              <w:right w:val="single" w:sz="4" w:space="0" w:color="auto"/>
            </w:tcBorders>
            <w:shd w:val="clear" w:color="000000" w:fill="FFFFFF"/>
            <w:noWrap/>
            <w:vAlign w:val="bottom"/>
          </w:tcPr>
          <w:p w14:paraId="7529C748" w14:textId="1063947F"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   </w:t>
            </w:r>
          </w:p>
        </w:tc>
        <w:tc>
          <w:tcPr>
            <w:tcW w:w="1226" w:type="dxa"/>
            <w:tcBorders>
              <w:top w:val="nil"/>
              <w:left w:val="nil"/>
              <w:bottom w:val="single" w:sz="4" w:space="0" w:color="auto"/>
              <w:right w:val="single" w:sz="4" w:space="0" w:color="auto"/>
            </w:tcBorders>
            <w:shd w:val="clear" w:color="000000" w:fill="FFFFFF"/>
            <w:noWrap/>
            <w:vAlign w:val="bottom"/>
          </w:tcPr>
          <w:p w14:paraId="5ECF0EC3" w14:textId="57449198"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4.699.460 </w:t>
            </w:r>
          </w:p>
        </w:tc>
      </w:tr>
      <w:tr w:rsidR="00C97F85" w:rsidRPr="0047095D" w14:paraId="70FD07FD" w14:textId="77777777" w:rsidTr="006E1AF7">
        <w:trPr>
          <w:trHeight w:val="219"/>
        </w:trPr>
        <w:tc>
          <w:tcPr>
            <w:tcW w:w="3120" w:type="dxa"/>
            <w:tcBorders>
              <w:top w:val="single" w:sz="4" w:space="0" w:color="auto"/>
              <w:left w:val="single" w:sz="4" w:space="0" w:color="auto"/>
              <w:bottom w:val="single" w:sz="4" w:space="0" w:color="auto"/>
              <w:right w:val="single" w:sz="4" w:space="0" w:color="363639"/>
            </w:tcBorders>
            <w:shd w:val="clear" w:color="000000" w:fill="FFFFFF"/>
            <w:vAlign w:val="bottom"/>
          </w:tcPr>
          <w:p w14:paraId="45502971" w14:textId="71EF2B1F" w:rsidR="00C97F85" w:rsidRPr="003E014F" w:rsidRDefault="00C97F85" w:rsidP="00C97F85">
            <w:pPr>
              <w:ind w:left="-70" w:firstLine="70"/>
              <w:rPr>
                <w:rFonts w:ascii="Arial" w:hAnsi="Arial" w:cs="Arial"/>
                <w:b/>
                <w:bCs/>
                <w:sz w:val="16"/>
                <w:szCs w:val="16"/>
                <w:lang w:eastAsia="es-AR"/>
              </w:rPr>
            </w:pPr>
            <w:r w:rsidRPr="003E014F">
              <w:rPr>
                <w:rFonts w:ascii="Arial" w:hAnsi="Arial" w:cs="Arial"/>
                <w:b/>
                <w:sz w:val="16"/>
                <w:szCs w:val="16"/>
              </w:rPr>
              <w:t>TOTAL ACTIVO</w:t>
            </w:r>
          </w:p>
        </w:tc>
        <w:tc>
          <w:tcPr>
            <w:tcW w:w="108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F52B010" w14:textId="7C925CAA"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45.740.789 </w:t>
            </w:r>
          </w:p>
        </w:tc>
        <w:tc>
          <w:tcPr>
            <w:tcW w:w="1116" w:type="dxa"/>
            <w:tcBorders>
              <w:top w:val="single" w:sz="4" w:space="0" w:color="auto"/>
              <w:left w:val="nil"/>
              <w:bottom w:val="single" w:sz="4" w:space="0" w:color="auto"/>
              <w:right w:val="single" w:sz="4" w:space="0" w:color="auto"/>
            </w:tcBorders>
            <w:shd w:val="clear" w:color="000000" w:fill="FFFFFF"/>
            <w:noWrap/>
            <w:vAlign w:val="bottom"/>
          </w:tcPr>
          <w:p w14:paraId="123931C1" w14:textId="15F9EDE8"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46.981.737 </w:t>
            </w:r>
          </w:p>
        </w:tc>
        <w:tc>
          <w:tcPr>
            <w:tcW w:w="1150" w:type="dxa"/>
            <w:tcBorders>
              <w:top w:val="single" w:sz="4" w:space="0" w:color="auto"/>
              <w:left w:val="nil"/>
              <w:bottom w:val="single" w:sz="4" w:space="0" w:color="auto"/>
              <w:right w:val="single" w:sz="4" w:space="0" w:color="auto"/>
            </w:tcBorders>
            <w:shd w:val="clear" w:color="000000" w:fill="FFFFFF"/>
            <w:noWrap/>
            <w:vAlign w:val="bottom"/>
          </w:tcPr>
          <w:p w14:paraId="373667B8" w14:textId="30289268"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45.313.485 </w:t>
            </w:r>
          </w:p>
        </w:tc>
        <w:tc>
          <w:tcPr>
            <w:tcW w:w="1011" w:type="dxa"/>
            <w:tcBorders>
              <w:top w:val="single" w:sz="4" w:space="0" w:color="auto"/>
              <w:left w:val="nil"/>
              <w:bottom w:val="single" w:sz="4" w:space="0" w:color="auto"/>
              <w:right w:val="single" w:sz="4" w:space="0" w:color="auto"/>
            </w:tcBorders>
            <w:shd w:val="clear" w:color="000000" w:fill="FFFFFF"/>
            <w:noWrap/>
            <w:vAlign w:val="bottom"/>
          </w:tcPr>
          <w:p w14:paraId="3D35D6EF" w14:textId="1F85714E"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8.130.974 </w:t>
            </w:r>
          </w:p>
        </w:tc>
        <w:tc>
          <w:tcPr>
            <w:tcW w:w="1304" w:type="dxa"/>
            <w:tcBorders>
              <w:top w:val="single" w:sz="4" w:space="0" w:color="auto"/>
              <w:left w:val="nil"/>
              <w:bottom w:val="single" w:sz="4" w:space="0" w:color="auto"/>
              <w:right w:val="single" w:sz="4" w:space="0" w:color="auto"/>
            </w:tcBorders>
            <w:shd w:val="clear" w:color="000000" w:fill="FFFFFF"/>
            <w:noWrap/>
            <w:vAlign w:val="bottom"/>
          </w:tcPr>
          <w:p w14:paraId="5583678A" w14:textId="5D5888CA"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-4.568.004 </w:t>
            </w:r>
          </w:p>
        </w:tc>
        <w:tc>
          <w:tcPr>
            <w:tcW w:w="1226" w:type="dxa"/>
            <w:tcBorders>
              <w:top w:val="single" w:sz="4" w:space="0" w:color="auto"/>
              <w:left w:val="nil"/>
              <w:bottom w:val="single" w:sz="4" w:space="0" w:color="auto"/>
              <w:right w:val="single" w:sz="4" w:space="0" w:color="auto"/>
            </w:tcBorders>
            <w:shd w:val="clear" w:color="000000" w:fill="FFFFFF"/>
            <w:noWrap/>
            <w:vAlign w:val="bottom"/>
          </w:tcPr>
          <w:p w14:paraId="2D27F55F" w14:textId="288483DA"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141.598.981 </w:t>
            </w:r>
          </w:p>
        </w:tc>
      </w:tr>
    </w:tbl>
    <w:p w14:paraId="362863E1" w14:textId="77777777" w:rsidR="006D43FB" w:rsidRPr="00701F32" w:rsidRDefault="006D43FB" w:rsidP="006D43FB">
      <w:pPr>
        <w:spacing w:after="160" w:line="259" w:lineRule="auto"/>
        <w:jc w:val="both"/>
        <w:rPr>
          <w:rFonts w:ascii="Arial" w:eastAsia="Calibri" w:hAnsi="Arial" w:cs="Arial"/>
          <w:bCs/>
          <w:sz w:val="20"/>
        </w:rPr>
      </w:pPr>
    </w:p>
    <w:tbl>
      <w:tblPr>
        <w:tblW w:w="10207" w:type="dxa"/>
        <w:tblInd w:w="-356" w:type="dxa"/>
        <w:tblLayout w:type="fixed"/>
        <w:tblCellMar>
          <w:left w:w="70" w:type="dxa"/>
          <w:right w:w="70" w:type="dxa"/>
        </w:tblCellMar>
        <w:tblLook w:val="04A0" w:firstRow="1" w:lastRow="0" w:firstColumn="1" w:lastColumn="0" w:noHBand="0" w:noVBand="1"/>
      </w:tblPr>
      <w:tblGrid>
        <w:gridCol w:w="3545"/>
        <w:gridCol w:w="1047"/>
        <w:gridCol w:w="1079"/>
        <w:gridCol w:w="992"/>
        <w:gridCol w:w="992"/>
        <w:gridCol w:w="1401"/>
        <w:gridCol w:w="1151"/>
      </w:tblGrid>
      <w:tr w:rsidR="00FC1ECA" w:rsidRPr="00701F32" w14:paraId="41FB1B29" w14:textId="77777777" w:rsidTr="006E1AF7">
        <w:trPr>
          <w:tblHeader/>
        </w:trPr>
        <w:tc>
          <w:tcPr>
            <w:tcW w:w="35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8C8907" w14:textId="03400709" w:rsidR="006D43FB" w:rsidRPr="00A449AE" w:rsidRDefault="009C5DAE" w:rsidP="009C5DAE">
            <w:pPr>
              <w:jc w:val="center"/>
              <w:rPr>
                <w:rFonts w:ascii="Arial" w:hAnsi="Arial" w:cs="Arial"/>
                <w:b/>
                <w:bCs/>
                <w:sz w:val="16"/>
                <w:szCs w:val="16"/>
                <w:lang w:eastAsia="es-AR"/>
              </w:rPr>
            </w:pPr>
            <w:r w:rsidRPr="008F5B61">
              <w:rPr>
                <w:rFonts w:ascii="Arial" w:hAnsi="Arial" w:cs="Arial"/>
                <w:b/>
                <w:bCs/>
                <w:sz w:val="16"/>
                <w:szCs w:val="16"/>
                <w:lang w:eastAsia="es-AR"/>
              </w:rPr>
              <w:t>PASIVO al 3</w:t>
            </w:r>
            <w:r w:rsidR="00D538FD">
              <w:rPr>
                <w:rFonts w:ascii="Arial" w:hAnsi="Arial" w:cs="Arial"/>
                <w:b/>
                <w:bCs/>
                <w:sz w:val="16"/>
                <w:szCs w:val="16"/>
                <w:lang w:eastAsia="es-AR"/>
              </w:rPr>
              <w:t>1</w:t>
            </w:r>
            <w:r w:rsidR="006D43FB" w:rsidRPr="008F5B61">
              <w:rPr>
                <w:rFonts w:ascii="Arial" w:hAnsi="Arial" w:cs="Arial"/>
                <w:b/>
                <w:bCs/>
                <w:sz w:val="16"/>
                <w:szCs w:val="16"/>
                <w:lang w:eastAsia="es-AR"/>
              </w:rPr>
              <w:t>/</w:t>
            </w:r>
            <w:r w:rsidR="00D538FD">
              <w:rPr>
                <w:rFonts w:ascii="Arial" w:hAnsi="Arial" w:cs="Arial"/>
                <w:b/>
                <w:bCs/>
                <w:sz w:val="16"/>
                <w:szCs w:val="16"/>
                <w:lang w:eastAsia="es-AR"/>
              </w:rPr>
              <w:t>12</w:t>
            </w:r>
            <w:r w:rsidR="00A40678" w:rsidRPr="008F5B61">
              <w:rPr>
                <w:rFonts w:ascii="Arial" w:hAnsi="Arial" w:cs="Arial"/>
                <w:b/>
                <w:bCs/>
                <w:sz w:val="16"/>
                <w:szCs w:val="16"/>
                <w:lang w:eastAsia="es-AR"/>
              </w:rPr>
              <w:t>/2019</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1871A6AA" w14:textId="3D7D0C5F" w:rsidR="006D43FB" w:rsidRPr="00A449AE" w:rsidRDefault="006D43FB">
            <w:pPr>
              <w:jc w:val="center"/>
              <w:rPr>
                <w:rFonts w:ascii="Arial" w:hAnsi="Arial" w:cs="Arial"/>
                <w:b/>
                <w:bCs/>
                <w:color w:val="000000"/>
                <w:sz w:val="16"/>
                <w:szCs w:val="16"/>
                <w:lang w:eastAsia="es-AR"/>
              </w:rPr>
            </w:pPr>
            <w:r w:rsidRPr="00A449AE">
              <w:rPr>
                <w:rFonts w:ascii="Arial" w:hAnsi="Arial" w:cs="Arial"/>
                <w:b/>
                <w:bCs/>
                <w:color w:val="000000"/>
                <w:sz w:val="16"/>
                <w:szCs w:val="16"/>
                <w:lang w:eastAsia="es-AR"/>
              </w:rPr>
              <w:t>Banca Empresa</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5B13886B" w14:textId="0448AF01" w:rsidR="006D43FB" w:rsidRPr="00A449AE" w:rsidRDefault="006D43FB">
            <w:pPr>
              <w:jc w:val="center"/>
              <w:rPr>
                <w:rFonts w:ascii="Arial" w:hAnsi="Arial" w:cs="Arial"/>
                <w:b/>
                <w:bCs/>
                <w:color w:val="000000"/>
                <w:sz w:val="16"/>
                <w:szCs w:val="16"/>
                <w:lang w:eastAsia="es-AR"/>
              </w:rPr>
            </w:pPr>
            <w:r w:rsidRPr="00A449AE">
              <w:rPr>
                <w:rFonts w:ascii="Arial" w:hAnsi="Arial" w:cs="Arial"/>
                <w:b/>
                <w:bCs/>
                <w:color w:val="000000"/>
                <w:sz w:val="16"/>
                <w:szCs w:val="16"/>
                <w:lang w:eastAsia="es-AR"/>
              </w:rPr>
              <w:t>Banca Minorista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76567B6" w14:textId="6D18FF5E" w:rsidR="006D43FB" w:rsidRPr="00A449AE" w:rsidRDefault="006D43FB">
            <w:pPr>
              <w:jc w:val="center"/>
              <w:rPr>
                <w:rFonts w:ascii="Arial" w:hAnsi="Arial" w:cs="Arial"/>
                <w:b/>
                <w:bCs/>
                <w:color w:val="000000"/>
                <w:sz w:val="16"/>
                <w:szCs w:val="16"/>
                <w:lang w:eastAsia="es-AR"/>
              </w:rPr>
            </w:pPr>
            <w:r w:rsidRPr="00A449AE">
              <w:rPr>
                <w:rFonts w:ascii="Arial" w:hAnsi="Arial" w:cs="Arial"/>
                <w:b/>
                <w:bCs/>
                <w:color w:val="000000"/>
                <w:sz w:val="16"/>
                <w:szCs w:val="16"/>
                <w:lang w:eastAsia="es-AR"/>
              </w:rPr>
              <w:t>Tesorería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84867BE" w14:textId="566C0B33" w:rsidR="006D43FB" w:rsidRPr="00A449AE" w:rsidRDefault="006D43FB">
            <w:pPr>
              <w:jc w:val="center"/>
              <w:rPr>
                <w:rFonts w:ascii="Arial" w:hAnsi="Arial" w:cs="Arial"/>
                <w:b/>
                <w:bCs/>
                <w:color w:val="000000"/>
                <w:sz w:val="16"/>
                <w:szCs w:val="16"/>
                <w:lang w:eastAsia="es-AR"/>
              </w:rPr>
            </w:pPr>
            <w:r w:rsidRPr="00A449AE">
              <w:rPr>
                <w:rFonts w:ascii="Arial" w:hAnsi="Arial" w:cs="Arial"/>
                <w:b/>
                <w:bCs/>
                <w:color w:val="000000"/>
                <w:sz w:val="16"/>
                <w:szCs w:val="16"/>
                <w:lang w:eastAsia="es-AR"/>
              </w:rPr>
              <w:t>Consumo</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14:paraId="7CC0A775" w14:textId="7EC30D32" w:rsidR="006D43FB" w:rsidRPr="00A449AE" w:rsidRDefault="00FC1ECA">
            <w:pPr>
              <w:jc w:val="center"/>
              <w:rPr>
                <w:rFonts w:ascii="Arial" w:hAnsi="Arial" w:cs="Arial"/>
                <w:b/>
                <w:bCs/>
                <w:color w:val="000000"/>
                <w:sz w:val="16"/>
                <w:szCs w:val="16"/>
                <w:lang w:eastAsia="es-AR"/>
              </w:rPr>
            </w:pPr>
            <w:r>
              <w:rPr>
                <w:rFonts w:ascii="Arial" w:hAnsi="Arial" w:cs="Arial"/>
                <w:b/>
                <w:bCs/>
                <w:color w:val="000000"/>
                <w:sz w:val="16"/>
                <w:szCs w:val="16"/>
                <w:lang w:eastAsia="es-AR"/>
              </w:rPr>
              <w:t>Eliminaciones</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14:paraId="05E51FA1" w14:textId="689C1E82" w:rsidR="006D43FB" w:rsidRPr="00701F32" w:rsidRDefault="006D43FB">
            <w:pPr>
              <w:jc w:val="center"/>
              <w:rPr>
                <w:rFonts w:ascii="Arial" w:hAnsi="Arial" w:cs="Arial"/>
                <w:b/>
                <w:bCs/>
                <w:color w:val="000000"/>
                <w:sz w:val="16"/>
                <w:szCs w:val="16"/>
                <w:lang w:eastAsia="es-AR"/>
              </w:rPr>
            </w:pPr>
            <w:r w:rsidRPr="00A449AE">
              <w:rPr>
                <w:rFonts w:ascii="Arial" w:hAnsi="Arial" w:cs="Arial"/>
                <w:b/>
                <w:bCs/>
                <w:color w:val="000000"/>
                <w:sz w:val="16"/>
                <w:szCs w:val="16"/>
                <w:lang w:eastAsia="es-AR"/>
              </w:rPr>
              <w:t>TOTAL</w:t>
            </w:r>
          </w:p>
        </w:tc>
      </w:tr>
      <w:tr w:rsidR="00C97F85" w:rsidRPr="009203E4" w14:paraId="5E12C1B0" w14:textId="77777777" w:rsidTr="006E1AF7">
        <w:tc>
          <w:tcPr>
            <w:tcW w:w="3545" w:type="dxa"/>
            <w:tcBorders>
              <w:top w:val="nil"/>
              <w:left w:val="single" w:sz="4" w:space="0" w:color="auto"/>
              <w:bottom w:val="single" w:sz="4" w:space="0" w:color="auto"/>
              <w:right w:val="single" w:sz="4" w:space="0" w:color="auto"/>
            </w:tcBorders>
            <w:shd w:val="clear" w:color="auto" w:fill="auto"/>
            <w:vAlign w:val="bottom"/>
            <w:hideMark/>
          </w:tcPr>
          <w:p w14:paraId="594DCC29" w14:textId="76DE995C" w:rsidR="00C97F85" w:rsidRPr="003E014F" w:rsidRDefault="00C97F85" w:rsidP="00C97F85">
            <w:pPr>
              <w:rPr>
                <w:rFonts w:ascii="Arial" w:hAnsi="Arial" w:cs="Arial"/>
                <w:b/>
                <w:bCs/>
                <w:sz w:val="16"/>
                <w:szCs w:val="16"/>
                <w:lang w:eastAsia="es-AR"/>
              </w:rPr>
            </w:pPr>
            <w:r w:rsidRPr="003E014F">
              <w:rPr>
                <w:rFonts w:ascii="Arial" w:hAnsi="Arial" w:cs="Arial"/>
                <w:sz w:val="16"/>
                <w:szCs w:val="16"/>
              </w:rPr>
              <w:t>Depósitos</w:t>
            </w:r>
          </w:p>
        </w:tc>
        <w:tc>
          <w:tcPr>
            <w:tcW w:w="1047" w:type="dxa"/>
            <w:tcBorders>
              <w:top w:val="nil"/>
              <w:left w:val="nil"/>
              <w:bottom w:val="single" w:sz="4" w:space="0" w:color="auto"/>
              <w:right w:val="single" w:sz="4" w:space="0" w:color="auto"/>
            </w:tcBorders>
            <w:shd w:val="clear" w:color="auto" w:fill="auto"/>
            <w:noWrap/>
            <w:vAlign w:val="bottom"/>
          </w:tcPr>
          <w:p w14:paraId="189E19B0" w14:textId="1BDE308D"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-14.479.560 </w:t>
            </w:r>
          </w:p>
        </w:tc>
        <w:tc>
          <w:tcPr>
            <w:tcW w:w="1079" w:type="dxa"/>
            <w:tcBorders>
              <w:top w:val="nil"/>
              <w:left w:val="nil"/>
              <w:bottom w:val="single" w:sz="4" w:space="0" w:color="auto"/>
              <w:right w:val="single" w:sz="4" w:space="0" w:color="auto"/>
            </w:tcBorders>
            <w:shd w:val="clear" w:color="auto" w:fill="auto"/>
            <w:noWrap/>
            <w:vAlign w:val="bottom"/>
          </w:tcPr>
          <w:p w14:paraId="044C31C9" w14:textId="35F94E97"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-59.580.923 </w:t>
            </w:r>
          </w:p>
        </w:tc>
        <w:tc>
          <w:tcPr>
            <w:tcW w:w="992" w:type="dxa"/>
            <w:tcBorders>
              <w:top w:val="nil"/>
              <w:left w:val="nil"/>
              <w:bottom w:val="single" w:sz="4" w:space="0" w:color="auto"/>
              <w:right w:val="single" w:sz="4" w:space="0" w:color="auto"/>
            </w:tcBorders>
            <w:shd w:val="clear" w:color="auto" w:fill="auto"/>
            <w:noWrap/>
            <w:vAlign w:val="bottom"/>
          </w:tcPr>
          <w:p w14:paraId="7A1E8C03" w14:textId="3848C7A1"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-15.676.586 </w:t>
            </w:r>
          </w:p>
        </w:tc>
        <w:tc>
          <w:tcPr>
            <w:tcW w:w="992" w:type="dxa"/>
            <w:tcBorders>
              <w:top w:val="nil"/>
              <w:left w:val="nil"/>
              <w:bottom w:val="single" w:sz="4" w:space="0" w:color="auto"/>
              <w:right w:val="single" w:sz="4" w:space="0" w:color="auto"/>
            </w:tcBorders>
            <w:shd w:val="clear" w:color="auto" w:fill="auto"/>
            <w:noWrap/>
            <w:vAlign w:val="bottom"/>
          </w:tcPr>
          <w:p w14:paraId="00EE3E70" w14:textId="5B1F3DFC"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-1.758.781 </w:t>
            </w:r>
          </w:p>
        </w:tc>
        <w:tc>
          <w:tcPr>
            <w:tcW w:w="1401" w:type="dxa"/>
            <w:tcBorders>
              <w:top w:val="nil"/>
              <w:left w:val="nil"/>
              <w:bottom w:val="single" w:sz="4" w:space="0" w:color="auto"/>
              <w:right w:val="single" w:sz="4" w:space="0" w:color="auto"/>
            </w:tcBorders>
            <w:shd w:val="clear" w:color="auto" w:fill="auto"/>
            <w:noWrap/>
            <w:vAlign w:val="bottom"/>
          </w:tcPr>
          <w:p w14:paraId="4EDDFF2A" w14:textId="5899C5DC"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18.384 </w:t>
            </w:r>
          </w:p>
        </w:tc>
        <w:tc>
          <w:tcPr>
            <w:tcW w:w="1151" w:type="dxa"/>
            <w:tcBorders>
              <w:top w:val="nil"/>
              <w:left w:val="nil"/>
              <w:bottom w:val="single" w:sz="4" w:space="0" w:color="auto"/>
              <w:right w:val="single" w:sz="4" w:space="0" w:color="auto"/>
            </w:tcBorders>
            <w:shd w:val="clear" w:color="auto" w:fill="auto"/>
            <w:noWrap/>
            <w:vAlign w:val="bottom"/>
          </w:tcPr>
          <w:p w14:paraId="3592DC1B" w14:textId="1E48768B"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-91.477.466 </w:t>
            </w:r>
          </w:p>
        </w:tc>
      </w:tr>
      <w:tr w:rsidR="00C97F85" w:rsidRPr="009203E4" w14:paraId="36D05241" w14:textId="77777777" w:rsidTr="006E1AF7">
        <w:tc>
          <w:tcPr>
            <w:tcW w:w="3545" w:type="dxa"/>
            <w:tcBorders>
              <w:top w:val="nil"/>
              <w:left w:val="single" w:sz="4" w:space="0" w:color="auto"/>
              <w:bottom w:val="single" w:sz="4" w:space="0" w:color="auto"/>
              <w:right w:val="single" w:sz="4" w:space="0" w:color="auto"/>
            </w:tcBorders>
            <w:shd w:val="clear" w:color="auto" w:fill="auto"/>
            <w:vAlign w:val="bottom"/>
            <w:hideMark/>
          </w:tcPr>
          <w:p w14:paraId="109D5A87" w14:textId="3D4C1615" w:rsidR="00C97F85" w:rsidRPr="003E014F" w:rsidRDefault="00C97F85" w:rsidP="00C97F85">
            <w:pPr>
              <w:rPr>
                <w:rFonts w:ascii="Arial" w:hAnsi="Arial" w:cs="Arial"/>
                <w:color w:val="000000"/>
                <w:sz w:val="16"/>
                <w:szCs w:val="16"/>
                <w:lang w:eastAsia="es-AR"/>
              </w:rPr>
            </w:pPr>
            <w:r w:rsidRPr="003E014F">
              <w:rPr>
                <w:rFonts w:ascii="Arial" w:hAnsi="Arial" w:cs="Arial"/>
                <w:sz w:val="16"/>
                <w:szCs w:val="16"/>
              </w:rPr>
              <w:t xml:space="preserve">   Sector público no financiero</w:t>
            </w:r>
          </w:p>
        </w:tc>
        <w:tc>
          <w:tcPr>
            <w:tcW w:w="1047" w:type="dxa"/>
            <w:tcBorders>
              <w:top w:val="nil"/>
              <w:left w:val="nil"/>
              <w:bottom w:val="single" w:sz="4" w:space="0" w:color="auto"/>
              <w:right w:val="single" w:sz="4" w:space="0" w:color="auto"/>
            </w:tcBorders>
            <w:shd w:val="clear" w:color="auto" w:fill="auto"/>
            <w:noWrap/>
            <w:vAlign w:val="bottom"/>
          </w:tcPr>
          <w:p w14:paraId="7FA69B7F" w14:textId="5CF8825E"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-9.221 </w:t>
            </w:r>
          </w:p>
        </w:tc>
        <w:tc>
          <w:tcPr>
            <w:tcW w:w="1079" w:type="dxa"/>
            <w:tcBorders>
              <w:top w:val="nil"/>
              <w:left w:val="nil"/>
              <w:bottom w:val="single" w:sz="4" w:space="0" w:color="auto"/>
              <w:right w:val="single" w:sz="4" w:space="0" w:color="auto"/>
            </w:tcBorders>
            <w:shd w:val="clear" w:color="auto" w:fill="auto"/>
            <w:noWrap/>
            <w:vAlign w:val="bottom"/>
          </w:tcPr>
          <w:p w14:paraId="35A848A7" w14:textId="44AE421D"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-1.285.984 </w:t>
            </w:r>
          </w:p>
        </w:tc>
        <w:tc>
          <w:tcPr>
            <w:tcW w:w="992" w:type="dxa"/>
            <w:tcBorders>
              <w:top w:val="nil"/>
              <w:left w:val="nil"/>
              <w:bottom w:val="single" w:sz="4" w:space="0" w:color="auto"/>
              <w:right w:val="single" w:sz="4" w:space="0" w:color="auto"/>
            </w:tcBorders>
            <w:shd w:val="clear" w:color="auto" w:fill="auto"/>
            <w:noWrap/>
            <w:vAlign w:val="bottom"/>
          </w:tcPr>
          <w:p w14:paraId="13F80FB4" w14:textId="6C2B36F0"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-4.174.972 </w:t>
            </w:r>
          </w:p>
        </w:tc>
        <w:tc>
          <w:tcPr>
            <w:tcW w:w="992" w:type="dxa"/>
            <w:tcBorders>
              <w:top w:val="nil"/>
              <w:left w:val="nil"/>
              <w:bottom w:val="single" w:sz="4" w:space="0" w:color="auto"/>
              <w:right w:val="single" w:sz="4" w:space="0" w:color="auto"/>
            </w:tcBorders>
            <w:shd w:val="clear" w:color="auto" w:fill="auto"/>
            <w:noWrap/>
            <w:vAlign w:val="bottom"/>
          </w:tcPr>
          <w:p w14:paraId="2E7F287C" w14:textId="50E77E50"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401" w:type="dxa"/>
            <w:tcBorders>
              <w:top w:val="nil"/>
              <w:left w:val="nil"/>
              <w:bottom w:val="single" w:sz="4" w:space="0" w:color="auto"/>
              <w:right w:val="single" w:sz="4" w:space="0" w:color="auto"/>
            </w:tcBorders>
            <w:shd w:val="clear" w:color="auto" w:fill="auto"/>
            <w:noWrap/>
            <w:vAlign w:val="bottom"/>
          </w:tcPr>
          <w:p w14:paraId="5F40EA72" w14:textId="5BE596E8"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151" w:type="dxa"/>
            <w:tcBorders>
              <w:top w:val="nil"/>
              <w:left w:val="nil"/>
              <w:bottom w:val="single" w:sz="4" w:space="0" w:color="auto"/>
              <w:right w:val="single" w:sz="4" w:space="0" w:color="auto"/>
            </w:tcBorders>
            <w:shd w:val="clear" w:color="auto" w:fill="auto"/>
            <w:noWrap/>
            <w:vAlign w:val="bottom"/>
          </w:tcPr>
          <w:p w14:paraId="586F099B" w14:textId="11DB25F0"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-5.470.177 </w:t>
            </w:r>
          </w:p>
        </w:tc>
      </w:tr>
      <w:tr w:rsidR="00C97F85" w:rsidRPr="009203E4" w14:paraId="518492D4" w14:textId="77777777" w:rsidTr="006E1AF7">
        <w:tc>
          <w:tcPr>
            <w:tcW w:w="3545" w:type="dxa"/>
            <w:tcBorders>
              <w:top w:val="nil"/>
              <w:left w:val="single" w:sz="4" w:space="0" w:color="auto"/>
              <w:bottom w:val="single" w:sz="4" w:space="0" w:color="auto"/>
              <w:right w:val="single" w:sz="4" w:space="0" w:color="auto"/>
            </w:tcBorders>
            <w:shd w:val="clear" w:color="auto" w:fill="auto"/>
            <w:vAlign w:val="bottom"/>
            <w:hideMark/>
          </w:tcPr>
          <w:p w14:paraId="70F0645F" w14:textId="0830C5D8" w:rsidR="00C97F85" w:rsidRPr="003E014F" w:rsidRDefault="00C97F85" w:rsidP="00C97F85">
            <w:pPr>
              <w:rPr>
                <w:rFonts w:ascii="Arial" w:hAnsi="Arial" w:cs="Arial"/>
                <w:color w:val="000000"/>
                <w:sz w:val="16"/>
                <w:szCs w:val="16"/>
                <w:lang w:eastAsia="es-AR"/>
              </w:rPr>
            </w:pPr>
            <w:r w:rsidRPr="003E014F">
              <w:rPr>
                <w:rFonts w:ascii="Arial" w:hAnsi="Arial" w:cs="Arial"/>
                <w:sz w:val="16"/>
                <w:szCs w:val="16"/>
              </w:rPr>
              <w:t xml:space="preserve">   Sector financiero</w:t>
            </w:r>
          </w:p>
        </w:tc>
        <w:tc>
          <w:tcPr>
            <w:tcW w:w="1047" w:type="dxa"/>
            <w:tcBorders>
              <w:top w:val="nil"/>
              <w:left w:val="nil"/>
              <w:bottom w:val="single" w:sz="4" w:space="0" w:color="auto"/>
              <w:right w:val="single" w:sz="4" w:space="0" w:color="auto"/>
            </w:tcBorders>
            <w:shd w:val="clear" w:color="auto" w:fill="auto"/>
            <w:noWrap/>
            <w:vAlign w:val="bottom"/>
          </w:tcPr>
          <w:p w14:paraId="51478BC5" w14:textId="1F4B31FF"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-37.329 </w:t>
            </w:r>
          </w:p>
        </w:tc>
        <w:tc>
          <w:tcPr>
            <w:tcW w:w="1079" w:type="dxa"/>
            <w:tcBorders>
              <w:top w:val="nil"/>
              <w:left w:val="nil"/>
              <w:bottom w:val="single" w:sz="4" w:space="0" w:color="auto"/>
              <w:right w:val="single" w:sz="4" w:space="0" w:color="auto"/>
            </w:tcBorders>
            <w:shd w:val="clear" w:color="auto" w:fill="auto"/>
            <w:noWrap/>
            <w:vAlign w:val="bottom"/>
          </w:tcPr>
          <w:p w14:paraId="40C9D6C3" w14:textId="22C9B3E5"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bottom"/>
          </w:tcPr>
          <w:p w14:paraId="1A40DAA6" w14:textId="2F070AC5"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-29 </w:t>
            </w:r>
          </w:p>
        </w:tc>
        <w:tc>
          <w:tcPr>
            <w:tcW w:w="992" w:type="dxa"/>
            <w:tcBorders>
              <w:top w:val="nil"/>
              <w:left w:val="nil"/>
              <w:bottom w:val="single" w:sz="4" w:space="0" w:color="auto"/>
              <w:right w:val="single" w:sz="4" w:space="0" w:color="auto"/>
            </w:tcBorders>
            <w:shd w:val="clear" w:color="auto" w:fill="auto"/>
            <w:noWrap/>
            <w:vAlign w:val="bottom"/>
          </w:tcPr>
          <w:p w14:paraId="4510C3AF" w14:textId="3C34F258"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401" w:type="dxa"/>
            <w:tcBorders>
              <w:top w:val="nil"/>
              <w:left w:val="nil"/>
              <w:bottom w:val="single" w:sz="4" w:space="0" w:color="auto"/>
              <w:right w:val="single" w:sz="4" w:space="0" w:color="auto"/>
            </w:tcBorders>
            <w:shd w:val="clear" w:color="auto" w:fill="auto"/>
            <w:noWrap/>
            <w:vAlign w:val="bottom"/>
          </w:tcPr>
          <w:p w14:paraId="2F2FDEF3" w14:textId="5641FE72"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9.260 </w:t>
            </w:r>
          </w:p>
        </w:tc>
        <w:tc>
          <w:tcPr>
            <w:tcW w:w="1151" w:type="dxa"/>
            <w:tcBorders>
              <w:top w:val="nil"/>
              <w:left w:val="nil"/>
              <w:bottom w:val="single" w:sz="4" w:space="0" w:color="auto"/>
              <w:right w:val="single" w:sz="4" w:space="0" w:color="auto"/>
            </w:tcBorders>
            <w:shd w:val="clear" w:color="auto" w:fill="auto"/>
            <w:noWrap/>
            <w:vAlign w:val="bottom"/>
          </w:tcPr>
          <w:p w14:paraId="5A88E9F7" w14:textId="3CCB4B82"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-28.098 </w:t>
            </w:r>
          </w:p>
        </w:tc>
      </w:tr>
      <w:tr w:rsidR="00C97F85" w:rsidRPr="009203E4" w14:paraId="3A0CDC60" w14:textId="77777777" w:rsidTr="006E1AF7">
        <w:tc>
          <w:tcPr>
            <w:tcW w:w="3545" w:type="dxa"/>
            <w:tcBorders>
              <w:top w:val="nil"/>
              <w:left w:val="single" w:sz="4" w:space="0" w:color="auto"/>
              <w:bottom w:val="single" w:sz="4" w:space="0" w:color="auto"/>
              <w:right w:val="single" w:sz="4" w:space="0" w:color="auto"/>
            </w:tcBorders>
            <w:shd w:val="clear" w:color="auto" w:fill="auto"/>
            <w:noWrap/>
            <w:vAlign w:val="bottom"/>
            <w:hideMark/>
          </w:tcPr>
          <w:p w14:paraId="6601B0A5" w14:textId="17CEB8B3" w:rsidR="00C97F85" w:rsidRPr="003E014F" w:rsidRDefault="00C97F85" w:rsidP="00C97F85">
            <w:pPr>
              <w:ind w:left="72" w:hanging="72"/>
              <w:rPr>
                <w:rFonts w:ascii="Arial" w:hAnsi="Arial" w:cs="Arial"/>
                <w:color w:val="000000"/>
                <w:sz w:val="16"/>
                <w:szCs w:val="16"/>
                <w:lang w:eastAsia="es-AR"/>
              </w:rPr>
            </w:pPr>
            <w:r w:rsidRPr="003E014F">
              <w:rPr>
                <w:rFonts w:ascii="Arial" w:hAnsi="Arial" w:cs="Arial"/>
                <w:sz w:val="16"/>
                <w:szCs w:val="16"/>
              </w:rPr>
              <w:t xml:space="preserve">   Sector privado no financiero y residentes en el    exterior</w:t>
            </w:r>
          </w:p>
        </w:tc>
        <w:tc>
          <w:tcPr>
            <w:tcW w:w="1047" w:type="dxa"/>
            <w:tcBorders>
              <w:top w:val="nil"/>
              <w:left w:val="nil"/>
              <w:bottom w:val="single" w:sz="4" w:space="0" w:color="auto"/>
              <w:right w:val="single" w:sz="4" w:space="0" w:color="auto"/>
            </w:tcBorders>
            <w:shd w:val="clear" w:color="auto" w:fill="auto"/>
            <w:noWrap/>
            <w:vAlign w:val="bottom"/>
          </w:tcPr>
          <w:p w14:paraId="69E29DC7" w14:textId="5E1C89E0"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-14.433.010 </w:t>
            </w:r>
          </w:p>
        </w:tc>
        <w:tc>
          <w:tcPr>
            <w:tcW w:w="1079" w:type="dxa"/>
            <w:tcBorders>
              <w:top w:val="nil"/>
              <w:left w:val="nil"/>
              <w:bottom w:val="single" w:sz="4" w:space="0" w:color="auto"/>
              <w:right w:val="single" w:sz="4" w:space="0" w:color="auto"/>
            </w:tcBorders>
            <w:shd w:val="clear" w:color="auto" w:fill="auto"/>
            <w:noWrap/>
            <w:vAlign w:val="bottom"/>
          </w:tcPr>
          <w:p w14:paraId="35CBD474" w14:textId="07E23371"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-58.294.939 </w:t>
            </w:r>
          </w:p>
        </w:tc>
        <w:tc>
          <w:tcPr>
            <w:tcW w:w="992" w:type="dxa"/>
            <w:tcBorders>
              <w:top w:val="nil"/>
              <w:left w:val="nil"/>
              <w:bottom w:val="single" w:sz="4" w:space="0" w:color="auto"/>
              <w:right w:val="single" w:sz="4" w:space="0" w:color="auto"/>
            </w:tcBorders>
            <w:shd w:val="clear" w:color="auto" w:fill="auto"/>
            <w:noWrap/>
            <w:vAlign w:val="bottom"/>
          </w:tcPr>
          <w:p w14:paraId="67A234F7" w14:textId="0BDC1A18"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-11.501.585 </w:t>
            </w:r>
          </w:p>
        </w:tc>
        <w:tc>
          <w:tcPr>
            <w:tcW w:w="992" w:type="dxa"/>
            <w:tcBorders>
              <w:top w:val="nil"/>
              <w:left w:val="nil"/>
              <w:bottom w:val="single" w:sz="4" w:space="0" w:color="auto"/>
              <w:right w:val="single" w:sz="4" w:space="0" w:color="auto"/>
            </w:tcBorders>
            <w:shd w:val="clear" w:color="auto" w:fill="auto"/>
            <w:noWrap/>
            <w:vAlign w:val="bottom"/>
          </w:tcPr>
          <w:p w14:paraId="54D6C4DE" w14:textId="15E1CC5C"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-1.758.781 </w:t>
            </w:r>
          </w:p>
        </w:tc>
        <w:tc>
          <w:tcPr>
            <w:tcW w:w="1401" w:type="dxa"/>
            <w:tcBorders>
              <w:top w:val="nil"/>
              <w:left w:val="nil"/>
              <w:bottom w:val="single" w:sz="4" w:space="0" w:color="auto"/>
              <w:right w:val="single" w:sz="4" w:space="0" w:color="auto"/>
            </w:tcBorders>
            <w:shd w:val="clear" w:color="auto" w:fill="auto"/>
            <w:noWrap/>
            <w:vAlign w:val="bottom"/>
          </w:tcPr>
          <w:p w14:paraId="4E4B4A05" w14:textId="12699D65"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9.124 </w:t>
            </w:r>
          </w:p>
        </w:tc>
        <w:tc>
          <w:tcPr>
            <w:tcW w:w="1151" w:type="dxa"/>
            <w:tcBorders>
              <w:top w:val="nil"/>
              <w:left w:val="nil"/>
              <w:bottom w:val="single" w:sz="4" w:space="0" w:color="auto"/>
              <w:right w:val="single" w:sz="4" w:space="0" w:color="auto"/>
            </w:tcBorders>
            <w:shd w:val="clear" w:color="auto" w:fill="auto"/>
            <w:noWrap/>
            <w:vAlign w:val="bottom"/>
          </w:tcPr>
          <w:p w14:paraId="396385B2" w14:textId="78C7F977"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-85.979.191 </w:t>
            </w:r>
          </w:p>
        </w:tc>
      </w:tr>
      <w:tr w:rsidR="00C97F85" w:rsidRPr="009203E4" w14:paraId="3ED379D9" w14:textId="77777777" w:rsidTr="006E1AF7">
        <w:tc>
          <w:tcPr>
            <w:tcW w:w="3545" w:type="dxa"/>
            <w:tcBorders>
              <w:top w:val="nil"/>
              <w:left w:val="single" w:sz="4" w:space="0" w:color="auto"/>
              <w:bottom w:val="single" w:sz="4" w:space="0" w:color="auto"/>
              <w:right w:val="single" w:sz="4" w:space="0" w:color="auto"/>
            </w:tcBorders>
            <w:shd w:val="clear" w:color="auto" w:fill="auto"/>
            <w:noWrap/>
            <w:vAlign w:val="bottom"/>
            <w:hideMark/>
          </w:tcPr>
          <w:p w14:paraId="1A6F1922" w14:textId="6D60EE37" w:rsidR="00C97F85" w:rsidRPr="003E014F" w:rsidRDefault="00C97F85" w:rsidP="00C97F85">
            <w:pPr>
              <w:rPr>
                <w:rFonts w:ascii="Arial" w:hAnsi="Arial" w:cs="Arial"/>
                <w:b/>
                <w:bCs/>
                <w:sz w:val="16"/>
                <w:szCs w:val="16"/>
                <w:lang w:eastAsia="es-AR"/>
              </w:rPr>
            </w:pPr>
            <w:r w:rsidRPr="003E014F">
              <w:rPr>
                <w:rFonts w:ascii="Arial" w:hAnsi="Arial" w:cs="Arial"/>
                <w:sz w:val="16"/>
                <w:szCs w:val="16"/>
              </w:rPr>
              <w:t>Pasivos a valor razonable con cambios en resultados</w:t>
            </w:r>
          </w:p>
        </w:tc>
        <w:tc>
          <w:tcPr>
            <w:tcW w:w="1047" w:type="dxa"/>
            <w:tcBorders>
              <w:top w:val="nil"/>
              <w:left w:val="nil"/>
              <w:bottom w:val="single" w:sz="4" w:space="0" w:color="auto"/>
              <w:right w:val="single" w:sz="4" w:space="0" w:color="auto"/>
            </w:tcBorders>
            <w:shd w:val="clear" w:color="auto" w:fill="auto"/>
            <w:noWrap/>
            <w:vAlign w:val="bottom"/>
          </w:tcPr>
          <w:p w14:paraId="3323E10E" w14:textId="2ABA38E7"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079" w:type="dxa"/>
            <w:tcBorders>
              <w:top w:val="nil"/>
              <w:left w:val="nil"/>
              <w:bottom w:val="single" w:sz="4" w:space="0" w:color="auto"/>
              <w:right w:val="single" w:sz="4" w:space="0" w:color="auto"/>
            </w:tcBorders>
            <w:shd w:val="clear" w:color="auto" w:fill="auto"/>
            <w:noWrap/>
            <w:vAlign w:val="bottom"/>
          </w:tcPr>
          <w:p w14:paraId="027D964E" w14:textId="4525B455"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bottom"/>
          </w:tcPr>
          <w:p w14:paraId="26FBD500" w14:textId="5284067B"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-133.300 </w:t>
            </w:r>
          </w:p>
        </w:tc>
        <w:tc>
          <w:tcPr>
            <w:tcW w:w="992" w:type="dxa"/>
            <w:tcBorders>
              <w:top w:val="nil"/>
              <w:left w:val="nil"/>
              <w:bottom w:val="single" w:sz="4" w:space="0" w:color="auto"/>
              <w:right w:val="single" w:sz="4" w:space="0" w:color="auto"/>
            </w:tcBorders>
            <w:shd w:val="clear" w:color="auto" w:fill="auto"/>
            <w:noWrap/>
            <w:vAlign w:val="bottom"/>
          </w:tcPr>
          <w:p w14:paraId="2627305A" w14:textId="2DF98236"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-597.854 </w:t>
            </w:r>
          </w:p>
        </w:tc>
        <w:tc>
          <w:tcPr>
            <w:tcW w:w="1401" w:type="dxa"/>
            <w:tcBorders>
              <w:top w:val="nil"/>
              <w:left w:val="nil"/>
              <w:bottom w:val="single" w:sz="4" w:space="0" w:color="auto"/>
              <w:right w:val="single" w:sz="4" w:space="0" w:color="auto"/>
            </w:tcBorders>
            <w:shd w:val="clear" w:color="auto" w:fill="auto"/>
            <w:noWrap/>
            <w:vAlign w:val="bottom"/>
          </w:tcPr>
          <w:p w14:paraId="4876C4E3" w14:textId="5805302D"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541.600 </w:t>
            </w:r>
          </w:p>
        </w:tc>
        <w:tc>
          <w:tcPr>
            <w:tcW w:w="1151" w:type="dxa"/>
            <w:tcBorders>
              <w:top w:val="nil"/>
              <w:left w:val="nil"/>
              <w:bottom w:val="single" w:sz="4" w:space="0" w:color="auto"/>
              <w:right w:val="single" w:sz="4" w:space="0" w:color="auto"/>
            </w:tcBorders>
            <w:shd w:val="clear" w:color="auto" w:fill="auto"/>
            <w:noWrap/>
            <w:vAlign w:val="bottom"/>
          </w:tcPr>
          <w:p w14:paraId="0F6C0A4A" w14:textId="5A161107"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-189.554 </w:t>
            </w:r>
          </w:p>
        </w:tc>
      </w:tr>
      <w:tr w:rsidR="00C97F85" w:rsidRPr="009203E4" w14:paraId="2249F1AD" w14:textId="77777777" w:rsidTr="006E1AF7">
        <w:tc>
          <w:tcPr>
            <w:tcW w:w="3545" w:type="dxa"/>
            <w:tcBorders>
              <w:top w:val="nil"/>
              <w:left w:val="single" w:sz="4" w:space="0" w:color="auto"/>
              <w:bottom w:val="single" w:sz="4" w:space="0" w:color="auto"/>
              <w:right w:val="single" w:sz="4" w:space="0" w:color="auto"/>
            </w:tcBorders>
            <w:shd w:val="clear" w:color="auto" w:fill="auto"/>
            <w:vAlign w:val="bottom"/>
            <w:hideMark/>
          </w:tcPr>
          <w:p w14:paraId="51F63FD0" w14:textId="1849A96F" w:rsidR="00C97F85" w:rsidRPr="003E014F" w:rsidRDefault="00C97F85" w:rsidP="00C97F85">
            <w:pPr>
              <w:rPr>
                <w:rFonts w:ascii="Arial" w:hAnsi="Arial" w:cs="Arial"/>
                <w:b/>
                <w:bCs/>
                <w:sz w:val="16"/>
                <w:szCs w:val="16"/>
                <w:lang w:eastAsia="es-AR"/>
              </w:rPr>
            </w:pPr>
            <w:r w:rsidRPr="003E014F">
              <w:rPr>
                <w:rFonts w:ascii="Arial" w:hAnsi="Arial" w:cs="Arial"/>
                <w:sz w:val="16"/>
                <w:szCs w:val="16"/>
              </w:rPr>
              <w:t>Operaciones de pase</w:t>
            </w:r>
          </w:p>
        </w:tc>
        <w:tc>
          <w:tcPr>
            <w:tcW w:w="1047" w:type="dxa"/>
            <w:tcBorders>
              <w:top w:val="nil"/>
              <w:left w:val="nil"/>
              <w:bottom w:val="single" w:sz="4" w:space="0" w:color="auto"/>
              <w:right w:val="single" w:sz="4" w:space="0" w:color="auto"/>
            </w:tcBorders>
            <w:shd w:val="clear" w:color="auto" w:fill="auto"/>
            <w:noWrap/>
            <w:vAlign w:val="bottom"/>
          </w:tcPr>
          <w:p w14:paraId="6EFB016D" w14:textId="1B981BDA"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079" w:type="dxa"/>
            <w:tcBorders>
              <w:top w:val="nil"/>
              <w:left w:val="nil"/>
              <w:bottom w:val="single" w:sz="4" w:space="0" w:color="auto"/>
              <w:right w:val="single" w:sz="4" w:space="0" w:color="auto"/>
            </w:tcBorders>
            <w:shd w:val="clear" w:color="auto" w:fill="auto"/>
            <w:noWrap/>
            <w:vAlign w:val="bottom"/>
          </w:tcPr>
          <w:p w14:paraId="2E729DE5" w14:textId="357139A9"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bottom"/>
          </w:tcPr>
          <w:p w14:paraId="7E203839" w14:textId="53BDDC77"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-240.493 </w:t>
            </w:r>
          </w:p>
        </w:tc>
        <w:tc>
          <w:tcPr>
            <w:tcW w:w="992" w:type="dxa"/>
            <w:tcBorders>
              <w:top w:val="nil"/>
              <w:left w:val="nil"/>
              <w:bottom w:val="single" w:sz="4" w:space="0" w:color="auto"/>
              <w:right w:val="single" w:sz="4" w:space="0" w:color="auto"/>
            </w:tcBorders>
            <w:shd w:val="clear" w:color="auto" w:fill="auto"/>
            <w:noWrap/>
            <w:vAlign w:val="bottom"/>
          </w:tcPr>
          <w:p w14:paraId="3519E156" w14:textId="35BF936E"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-295.937 </w:t>
            </w:r>
          </w:p>
        </w:tc>
        <w:tc>
          <w:tcPr>
            <w:tcW w:w="1401" w:type="dxa"/>
            <w:tcBorders>
              <w:top w:val="nil"/>
              <w:left w:val="nil"/>
              <w:bottom w:val="single" w:sz="4" w:space="0" w:color="auto"/>
              <w:right w:val="single" w:sz="4" w:space="0" w:color="auto"/>
            </w:tcBorders>
            <w:shd w:val="clear" w:color="auto" w:fill="auto"/>
            <w:noWrap/>
            <w:vAlign w:val="bottom"/>
          </w:tcPr>
          <w:p w14:paraId="3CE6792F" w14:textId="1187A068"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216.613 </w:t>
            </w:r>
          </w:p>
        </w:tc>
        <w:tc>
          <w:tcPr>
            <w:tcW w:w="1151" w:type="dxa"/>
            <w:tcBorders>
              <w:top w:val="nil"/>
              <w:left w:val="nil"/>
              <w:bottom w:val="single" w:sz="4" w:space="0" w:color="auto"/>
              <w:right w:val="single" w:sz="4" w:space="0" w:color="auto"/>
            </w:tcBorders>
            <w:shd w:val="clear" w:color="auto" w:fill="auto"/>
            <w:noWrap/>
            <w:vAlign w:val="bottom"/>
          </w:tcPr>
          <w:p w14:paraId="70C3CADA" w14:textId="1B216729"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-319.817 </w:t>
            </w:r>
          </w:p>
        </w:tc>
      </w:tr>
      <w:tr w:rsidR="00C97F85" w:rsidRPr="009203E4" w14:paraId="112CCD4D" w14:textId="77777777" w:rsidTr="006E1AF7">
        <w:tc>
          <w:tcPr>
            <w:tcW w:w="3545" w:type="dxa"/>
            <w:tcBorders>
              <w:top w:val="nil"/>
              <w:left w:val="single" w:sz="4" w:space="0" w:color="auto"/>
              <w:bottom w:val="single" w:sz="4" w:space="0" w:color="auto"/>
              <w:right w:val="single" w:sz="4" w:space="0" w:color="auto"/>
            </w:tcBorders>
            <w:shd w:val="clear" w:color="auto" w:fill="auto"/>
            <w:vAlign w:val="bottom"/>
            <w:hideMark/>
          </w:tcPr>
          <w:p w14:paraId="09C943A8" w14:textId="597982BD" w:rsidR="00C97F85" w:rsidRPr="003E014F" w:rsidRDefault="00C97F85" w:rsidP="00C97F85">
            <w:pPr>
              <w:rPr>
                <w:rFonts w:ascii="Arial" w:hAnsi="Arial" w:cs="Arial"/>
                <w:b/>
                <w:bCs/>
                <w:sz w:val="16"/>
                <w:szCs w:val="16"/>
                <w:lang w:eastAsia="es-AR"/>
              </w:rPr>
            </w:pPr>
            <w:r w:rsidRPr="003E014F">
              <w:rPr>
                <w:rFonts w:ascii="Arial" w:hAnsi="Arial" w:cs="Arial"/>
                <w:sz w:val="16"/>
                <w:szCs w:val="16"/>
              </w:rPr>
              <w:t>Otros pasivos financieros</w:t>
            </w:r>
          </w:p>
        </w:tc>
        <w:tc>
          <w:tcPr>
            <w:tcW w:w="1047" w:type="dxa"/>
            <w:tcBorders>
              <w:top w:val="nil"/>
              <w:left w:val="nil"/>
              <w:bottom w:val="single" w:sz="4" w:space="0" w:color="auto"/>
              <w:right w:val="single" w:sz="4" w:space="0" w:color="auto"/>
            </w:tcBorders>
            <w:shd w:val="clear" w:color="auto" w:fill="auto"/>
            <w:noWrap/>
            <w:vAlign w:val="bottom"/>
          </w:tcPr>
          <w:p w14:paraId="0935344A" w14:textId="6B7F5E44"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-1.500.887 </w:t>
            </w:r>
          </w:p>
        </w:tc>
        <w:tc>
          <w:tcPr>
            <w:tcW w:w="1079" w:type="dxa"/>
            <w:tcBorders>
              <w:top w:val="nil"/>
              <w:left w:val="nil"/>
              <w:bottom w:val="single" w:sz="4" w:space="0" w:color="auto"/>
              <w:right w:val="single" w:sz="4" w:space="0" w:color="auto"/>
            </w:tcBorders>
            <w:shd w:val="clear" w:color="auto" w:fill="auto"/>
            <w:noWrap/>
            <w:vAlign w:val="bottom"/>
          </w:tcPr>
          <w:p w14:paraId="5923AD75" w14:textId="105056C2"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-3.155.558 </w:t>
            </w:r>
          </w:p>
        </w:tc>
        <w:tc>
          <w:tcPr>
            <w:tcW w:w="992" w:type="dxa"/>
            <w:tcBorders>
              <w:top w:val="nil"/>
              <w:left w:val="nil"/>
              <w:bottom w:val="single" w:sz="4" w:space="0" w:color="auto"/>
              <w:right w:val="single" w:sz="4" w:space="0" w:color="auto"/>
            </w:tcBorders>
            <w:shd w:val="clear" w:color="auto" w:fill="auto"/>
            <w:noWrap/>
            <w:vAlign w:val="bottom"/>
          </w:tcPr>
          <w:p w14:paraId="48C252A5" w14:textId="751D1449"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-1.465.033 </w:t>
            </w:r>
          </w:p>
        </w:tc>
        <w:tc>
          <w:tcPr>
            <w:tcW w:w="992" w:type="dxa"/>
            <w:tcBorders>
              <w:top w:val="nil"/>
              <w:left w:val="nil"/>
              <w:bottom w:val="single" w:sz="4" w:space="0" w:color="auto"/>
              <w:right w:val="single" w:sz="4" w:space="0" w:color="auto"/>
            </w:tcBorders>
            <w:shd w:val="clear" w:color="auto" w:fill="auto"/>
            <w:noWrap/>
            <w:vAlign w:val="bottom"/>
          </w:tcPr>
          <w:p w14:paraId="61E9686B" w14:textId="77A01D1E"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-1.182.788 </w:t>
            </w:r>
          </w:p>
        </w:tc>
        <w:tc>
          <w:tcPr>
            <w:tcW w:w="1401" w:type="dxa"/>
            <w:tcBorders>
              <w:top w:val="nil"/>
              <w:left w:val="nil"/>
              <w:bottom w:val="single" w:sz="4" w:space="0" w:color="auto"/>
              <w:right w:val="single" w:sz="4" w:space="0" w:color="auto"/>
            </w:tcBorders>
            <w:shd w:val="clear" w:color="auto" w:fill="auto"/>
            <w:noWrap/>
            <w:vAlign w:val="bottom"/>
          </w:tcPr>
          <w:p w14:paraId="5257C0F7" w14:textId="5489F79E"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385.715 </w:t>
            </w:r>
          </w:p>
        </w:tc>
        <w:tc>
          <w:tcPr>
            <w:tcW w:w="1151" w:type="dxa"/>
            <w:tcBorders>
              <w:top w:val="nil"/>
              <w:left w:val="nil"/>
              <w:bottom w:val="single" w:sz="4" w:space="0" w:color="auto"/>
              <w:right w:val="single" w:sz="4" w:space="0" w:color="auto"/>
            </w:tcBorders>
            <w:shd w:val="clear" w:color="auto" w:fill="auto"/>
            <w:noWrap/>
            <w:vAlign w:val="bottom"/>
          </w:tcPr>
          <w:p w14:paraId="0B929362" w14:textId="4BED3BA5"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-6.918.551 </w:t>
            </w:r>
          </w:p>
        </w:tc>
      </w:tr>
      <w:tr w:rsidR="00C97F85" w:rsidRPr="009203E4" w14:paraId="388BBE33" w14:textId="77777777" w:rsidTr="006E1AF7">
        <w:tc>
          <w:tcPr>
            <w:tcW w:w="3545" w:type="dxa"/>
            <w:tcBorders>
              <w:top w:val="nil"/>
              <w:left w:val="single" w:sz="4" w:space="0" w:color="auto"/>
              <w:bottom w:val="single" w:sz="4" w:space="0" w:color="auto"/>
              <w:right w:val="single" w:sz="4" w:space="0" w:color="auto"/>
            </w:tcBorders>
            <w:shd w:val="clear" w:color="auto" w:fill="auto"/>
            <w:noWrap/>
            <w:vAlign w:val="bottom"/>
            <w:hideMark/>
          </w:tcPr>
          <w:p w14:paraId="7ECCCD5F" w14:textId="0BAD0F44" w:rsidR="00C97F85" w:rsidRPr="003E014F" w:rsidRDefault="00C97F85" w:rsidP="00C97F85">
            <w:pPr>
              <w:rPr>
                <w:rFonts w:ascii="Arial" w:hAnsi="Arial" w:cs="Arial"/>
                <w:b/>
                <w:bCs/>
                <w:sz w:val="16"/>
                <w:szCs w:val="16"/>
                <w:lang w:eastAsia="es-AR"/>
              </w:rPr>
            </w:pPr>
            <w:r w:rsidRPr="003E014F">
              <w:rPr>
                <w:rFonts w:ascii="Arial" w:hAnsi="Arial" w:cs="Arial"/>
                <w:sz w:val="16"/>
                <w:szCs w:val="16"/>
              </w:rPr>
              <w:t>Financiaciones recibidas del BCRA y otras instituciones financieras</w:t>
            </w:r>
          </w:p>
        </w:tc>
        <w:tc>
          <w:tcPr>
            <w:tcW w:w="1047" w:type="dxa"/>
            <w:tcBorders>
              <w:top w:val="nil"/>
              <w:left w:val="nil"/>
              <w:bottom w:val="single" w:sz="4" w:space="0" w:color="auto"/>
              <w:right w:val="single" w:sz="4" w:space="0" w:color="auto"/>
            </w:tcBorders>
            <w:shd w:val="clear" w:color="auto" w:fill="auto"/>
            <w:noWrap/>
            <w:vAlign w:val="bottom"/>
          </w:tcPr>
          <w:p w14:paraId="11EFC3E1" w14:textId="6715FB36"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079" w:type="dxa"/>
            <w:tcBorders>
              <w:top w:val="nil"/>
              <w:left w:val="nil"/>
              <w:bottom w:val="single" w:sz="4" w:space="0" w:color="auto"/>
              <w:right w:val="single" w:sz="4" w:space="0" w:color="auto"/>
            </w:tcBorders>
            <w:shd w:val="clear" w:color="auto" w:fill="auto"/>
            <w:noWrap/>
            <w:vAlign w:val="bottom"/>
          </w:tcPr>
          <w:p w14:paraId="363A46B6" w14:textId="51533164"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-12.605 </w:t>
            </w:r>
          </w:p>
        </w:tc>
        <w:tc>
          <w:tcPr>
            <w:tcW w:w="992" w:type="dxa"/>
            <w:tcBorders>
              <w:top w:val="nil"/>
              <w:left w:val="nil"/>
              <w:bottom w:val="single" w:sz="4" w:space="0" w:color="auto"/>
              <w:right w:val="single" w:sz="4" w:space="0" w:color="auto"/>
            </w:tcBorders>
            <w:shd w:val="clear" w:color="auto" w:fill="auto"/>
            <w:noWrap/>
            <w:vAlign w:val="bottom"/>
          </w:tcPr>
          <w:p w14:paraId="74B781E4" w14:textId="7F9A9CF2"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-8.998.732 </w:t>
            </w:r>
          </w:p>
        </w:tc>
        <w:tc>
          <w:tcPr>
            <w:tcW w:w="992" w:type="dxa"/>
            <w:tcBorders>
              <w:top w:val="nil"/>
              <w:left w:val="nil"/>
              <w:bottom w:val="single" w:sz="4" w:space="0" w:color="auto"/>
              <w:right w:val="single" w:sz="4" w:space="0" w:color="auto"/>
            </w:tcBorders>
            <w:shd w:val="clear" w:color="auto" w:fill="auto"/>
            <w:noWrap/>
            <w:vAlign w:val="bottom"/>
          </w:tcPr>
          <w:p w14:paraId="3EFEF67F" w14:textId="6983E506"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-948.271 </w:t>
            </w:r>
          </w:p>
        </w:tc>
        <w:tc>
          <w:tcPr>
            <w:tcW w:w="1401" w:type="dxa"/>
            <w:tcBorders>
              <w:top w:val="nil"/>
              <w:left w:val="nil"/>
              <w:bottom w:val="single" w:sz="4" w:space="0" w:color="auto"/>
              <w:right w:val="single" w:sz="4" w:space="0" w:color="auto"/>
            </w:tcBorders>
            <w:shd w:val="clear" w:color="auto" w:fill="auto"/>
            <w:noWrap/>
            <w:vAlign w:val="bottom"/>
          </w:tcPr>
          <w:p w14:paraId="56434AEA" w14:textId="03F613CA"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945.000 </w:t>
            </w:r>
          </w:p>
        </w:tc>
        <w:tc>
          <w:tcPr>
            <w:tcW w:w="1151" w:type="dxa"/>
            <w:tcBorders>
              <w:top w:val="nil"/>
              <w:left w:val="nil"/>
              <w:bottom w:val="single" w:sz="4" w:space="0" w:color="auto"/>
              <w:right w:val="single" w:sz="4" w:space="0" w:color="auto"/>
            </w:tcBorders>
            <w:shd w:val="clear" w:color="auto" w:fill="auto"/>
            <w:noWrap/>
            <w:vAlign w:val="bottom"/>
          </w:tcPr>
          <w:p w14:paraId="6E9DD89C" w14:textId="1261E27C"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-9.014.608 </w:t>
            </w:r>
          </w:p>
        </w:tc>
      </w:tr>
      <w:tr w:rsidR="00C97F85" w:rsidRPr="009203E4" w14:paraId="6CBB4631" w14:textId="77777777" w:rsidTr="006E1AF7">
        <w:tc>
          <w:tcPr>
            <w:tcW w:w="3545" w:type="dxa"/>
            <w:tcBorders>
              <w:top w:val="nil"/>
              <w:left w:val="single" w:sz="4" w:space="0" w:color="auto"/>
              <w:bottom w:val="single" w:sz="4" w:space="0" w:color="auto"/>
              <w:right w:val="single" w:sz="4" w:space="0" w:color="auto"/>
            </w:tcBorders>
            <w:shd w:val="clear" w:color="auto" w:fill="auto"/>
            <w:vAlign w:val="bottom"/>
            <w:hideMark/>
          </w:tcPr>
          <w:p w14:paraId="640C8929" w14:textId="79FF1C8F" w:rsidR="00C97F85" w:rsidRPr="003E014F" w:rsidRDefault="00C97F85" w:rsidP="00C97F85">
            <w:pPr>
              <w:rPr>
                <w:rFonts w:ascii="Arial" w:hAnsi="Arial" w:cs="Arial"/>
                <w:b/>
                <w:bCs/>
                <w:sz w:val="16"/>
                <w:szCs w:val="16"/>
                <w:lang w:eastAsia="es-AR"/>
              </w:rPr>
            </w:pPr>
            <w:r w:rsidRPr="003E014F">
              <w:rPr>
                <w:rFonts w:ascii="Arial" w:hAnsi="Arial" w:cs="Arial"/>
                <w:sz w:val="16"/>
                <w:szCs w:val="16"/>
              </w:rPr>
              <w:t>Obligaciones negociables emitidas</w:t>
            </w:r>
          </w:p>
        </w:tc>
        <w:tc>
          <w:tcPr>
            <w:tcW w:w="1047" w:type="dxa"/>
            <w:tcBorders>
              <w:top w:val="nil"/>
              <w:left w:val="nil"/>
              <w:bottom w:val="single" w:sz="4" w:space="0" w:color="auto"/>
              <w:right w:val="single" w:sz="4" w:space="0" w:color="auto"/>
            </w:tcBorders>
            <w:shd w:val="clear" w:color="auto" w:fill="auto"/>
            <w:noWrap/>
            <w:vAlign w:val="bottom"/>
          </w:tcPr>
          <w:p w14:paraId="4FF6D38B" w14:textId="503A6811"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-76.568 </w:t>
            </w:r>
          </w:p>
        </w:tc>
        <w:tc>
          <w:tcPr>
            <w:tcW w:w="1079" w:type="dxa"/>
            <w:tcBorders>
              <w:top w:val="nil"/>
              <w:left w:val="nil"/>
              <w:bottom w:val="single" w:sz="4" w:space="0" w:color="auto"/>
              <w:right w:val="single" w:sz="4" w:space="0" w:color="auto"/>
            </w:tcBorders>
            <w:shd w:val="clear" w:color="auto" w:fill="auto"/>
            <w:noWrap/>
            <w:vAlign w:val="bottom"/>
          </w:tcPr>
          <w:p w14:paraId="4B1E59AE" w14:textId="6BB736C7"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-108.507 </w:t>
            </w:r>
          </w:p>
        </w:tc>
        <w:tc>
          <w:tcPr>
            <w:tcW w:w="992" w:type="dxa"/>
            <w:tcBorders>
              <w:top w:val="nil"/>
              <w:left w:val="nil"/>
              <w:bottom w:val="single" w:sz="4" w:space="0" w:color="auto"/>
              <w:right w:val="single" w:sz="4" w:space="0" w:color="auto"/>
            </w:tcBorders>
            <w:shd w:val="clear" w:color="auto" w:fill="auto"/>
            <w:noWrap/>
            <w:vAlign w:val="bottom"/>
          </w:tcPr>
          <w:p w14:paraId="66634E69" w14:textId="6EBD71FE"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-5.885.842 </w:t>
            </w:r>
          </w:p>
        </w:tc>
        <w:tc>
          <w:tcPr>
            <w:tcW w:w="992" w:type="dxa"/>
            <w:tcBorders>
              <w:top w:val="nil"/>
              <w:left w:val="nil"/>
              <w:bottom w:val="single" w:sz="4" w:space="0" w:color="auto"/>
              <w:right w:val="single" w:sz="4" w:space="0" w:color="auto"/>
            </w:tcBorders>
            <w:shd w:val="clear" w:color="auto" w:fill="auto"/>
            <w:noWrap/>
            <w:vAlign w:val="bottom"/>
          </w:tcPr>
          <w:p w14:paraId="0AC4090F" w14:textId="74CB074B"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401" w:type="dxa"/>
            <w:tcBorders>
              <w:top w:val="nil"/>
              <w:left w:val="nil"/>
              <w:bottom w:val="single" w:sz="4" w:space="0" w:color="auto"/>
              <w:right w:val="single" w:sz="4" w:space="0" w:color="auto"/>
            </w:tcBorders>
            <w:shd w:val="clear" w:color="auto" w:fill="auto"/>
            <w:noWrap/>
            <w:vAlign w:val="bottom"/>
          </w:tcPr>
          <w:p w14:paraId="1D9C420B" w14:textId="2BE3C959"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151" w:type="dxa"/>
            <w:tcBorders>
              <w:top w:val="nil"/>
              <w:left w:val="nil"/>
              <w:bottom w:val="single" w:sz="4" w:space="0" w:color="auto"/>
              <w:right w:val="single" w:sz="4" w:space="0" w:color="auto"/>
            </w:tcBorders>
            <w:shd w:val="clear" w:color="auto" w:fill="auto"/>
            <w:noWrap/>
            <w:vAlign w:val="bottom"/>
          </w:tcPr>
          <w:p w14:paraId="0E9E5F50" w14:textId="5CB033F9"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-6.070.917 </w:t>
            </w:r>
          </w:p>
        </w:tc>
      </w:tr>
      <w:tr w:rsidR="00C97F85" w:rsidRPr="009203E4" w14:paraId="11ACED7F" w14:textId="77777777" w:rsidTr="006E1AF7">
        <w:tc>
          <w:tcPr>
            <w:tcW w:w="3545" w:type="dxa"/>
            <w:tcBorders>
              <w:top w:val="nil"/>
              <w:left w:val="single" w:sz="4" w:space="0" w:color="auto"/>
              <w:bottom w:val="single" w:sz="4" w:space="0" w:color="auto"/>
              <w:right w:val="single" w:sz="4" w:space="0" w:color="auto"/>
            </w:tcBorders>
            <w:shd w:val="clear" w:color="auto" w:fill="auto"/>
            <w:vAlign w:val="bottom"/>
            <w:hideMark/>
          </w:tcPr>
          <w:p w14:paraId="6780C69A" w14:textId="161E504C" w:rsidR="00C97F85" w:rsidRPr="003E014F" w:rsidRDefault="00C97F85" w:rsidP="00C97F85">
            <w:pPr>
              <w:rPr>
                <w:rFonts w:ascii="Arial" w:hAnsi="Arial" w:cs="Arial"/>
                <w:b/>
                <w:bCs/>
                <w:sz w:val="16"/>
                <w:szCs w:val="16"/>
                <w:lang w:eastAsia="es-AR"/>
              </w:rPr>
            </w:pPr>
            <w:r w:rsidRPr="003E014F">
              <w:rPr>
                <w:rFonts w:ascii="Arial" w:hAnsi="Arial" w:cs="Arial"/>
                <w:sz w:val="16"/>
                <w:szCs w:val="16"/>
              </w:rPr>
              <w:t>Pasivo por impuestos a las ganancias corriente</w:t>
            </w:r>
          </w:p>
        </w:tc>
        <w:tc>
          <w:tcPr>
            <w:tcW w:w="1047" w:type="dxa"/>
            <w:tcBorders>
              <w:top w:val="nil"/>
              <w:left w:val="nil"/>
              <w:bottom w:val="single" w:sz="4" w:space="0" w:color="auto"/>
              <w:right w:val="single" w:sz="4" w:space="0" w:color="auto"/>
            </w:tcBorders>
            <w:shd w:val="clear" w:color="auto" w:fill="auto"/>
            <w:noWrap/>
            <w:vAlign w:val="bottom"/>
          </w:tcPr>
          <w:p w14:paraId="524FE513" w14:textId="6EC6ACB9"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-33.841 </w:t>
            </w:r>
          </w:p>
        </w:tc>
        <w:tc>
          <w:tcPr>
            <w:tcW w:w="1079" w:type="dxa"/>
            <w:tcBorders>
              <w:top w:val="nil"/>
              <w:left w:val="nil"/>
              <w:bottom w:val="single" w:sz="4" w:space="0" w:color="auto"/>
              <w:right w:val="single" w:sz="4" w:space="0" w:color="auto"/>
            </w:tcBorders>
            <w:shd w:val="clear" w:color="auto" w:fill="auto"/>
            <w:noWrap/>
            <w:vAlign w:val="bottom"/>
          </w:tcPr>
          <w:p w14:paraId="5E13EFA7" w14:textId="56DD2A2B"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-47.957 </w:t>
            </w:r>
          </w:p>
        </w:tc>
        <w:tc>
          <w:tcPr>
            <w:tcW w:w="992" w:type="dxa"/>
            <w:tcBorders>
              <w:top w:val="nil"/>
              <w:left w:val="nil"/>
              <w:bottom w:val="single" w:sz="4" w:space="0" w:color="auto"/>
              <w:right w:val="single" w:sz="4" w:space="0" w:color="auto"/>
            </w:tcBorders>
            <w:shd w:val="clear" w:color="auto" w:fill="auto"/>
            <w:noWrap/>
            <w:vAlign w:val="bottom"/>
          </w:tcPr>
          <w:p w14:paraId="3DDDCD22" w14:textId="7DA7A249"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-85.820 </w:t>
            </w:r>
          </w:p>
        </w:tc>
        <w:tc>
          <w:tcPr>
            <w:tcW w:w="992" w:type="dxa"/>
            <w:tcBorders>
              <w:top w:val="nil"/>
              <w:left w:val="nil"/>
              <w:bottom w:val="single" w:sz="4" w:space="0" w:color="auto"/>
              <w:right w:val="single" w:sz="4" w:space="0" w:color="auto"/>
            </w:tcBorders>
            <w:shd w:val="clear" w:color="auto" w:fill="auto"/>
            <w:noWrap/>
            <w:vAlign w:val="bottom"/>
          </w:tcPr>
          <w:p w14:paraId="011367AC" w14:textId="2309D597"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-41.853 </w:t>
            </w:r>
          </w:p>
        </w:tc>
        <w:tc>
          <w:tcPr>
            <w:tcW w:w="1401" w:type="dxa"/>
            <w:tcBorders>
              <w:top w:val="nil"/>
              <w:left w:val="nil"/>
              <w:bottom w:val="single" w:sz="4" w:space="0" w:color="auto"/>
              <w:right w:val="single" w:sz="4" w:space="0" w:color="auto"/>
            </w:tcBorders>
            <w:shd w:val="clear" w:color="auto" w:fill="auto"/>
            <w:noWrap/>
            <w:vAlign w:val="bottom"/>
          </w:tcPr>
          <w:p w14:paraId="607CEE8D" w14:textId="4B53BA20"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151" w:type="dxa"/>
            <w:tcBorders>
              <w:top w:val="nil"/>
              <w:left w:val="nil"/>
              <w:bottom w:val="single" w:sz="4" w:space="0" w:color="auto"/>
              <w:right w:val="single" w:sz="4" w:space="0" w:color="auto"/>
            </w:tcBorders>
            <w:shd w:val="clear" w:color="auto" w:fill="auto"/>
            <w:noWrap/>
            <w:vAlign w:val="bottom"/>
          </w:tcPr>
          <w:p w14:paraId="33D8727D" w14:textId="66184746"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-209.471 </w:t>
            </w:r>
          </w:p>
        </w:tc>
      </w:tr>
      <w:tr w:rsidR="00C97F85" w:rsidRPr="009203E4" w14:paraId="72748D96" w14:textId="77777777" w:rsidTr="006E1AF7">
        <w:tc>
          <w:tcPr>
            <w:tcW w:w="3545" w:type="dxa"/>
            <w:tcBorders>
              <w:top w:val="nil"/>
              <w:left w:val="single" w:sz="4" w:space="0" w:color="auto"/>
              <w:bottom w:val="single" w:sz="4" w:space="0" w:color="auto"/>
              <w:right w:val="single" w:sz="4" w:space="0" w:color="auto"/>
            </w:tcBorders>
            <w:shd w:val="clear" w:color="auto" w:fill="auto"/>
            <w:vAlign w:val="bottom"/>
            <w:hideMark/>
          </w:tcPr>
          <w:p w14:paraId="321FCA93" w14:textId="76565A4E" w:rsidR="00C97F85" w:rsidRPr="003E014F" w:rsidRDefault="00C97F85" w:rsidP="00C97F85">
            <w:pPr>
              <w:rPr>
                <w:rFonts w:ascii="Arial" w:hAnsi="Arial" w:cs="Arial"/>
                <w:b/>
                <w:bCs/>
                <w:sz w:val="16"/>
                <w:szCs w:val="16"/>
                <w:lang w:eastAsia="es-AR"/>
              </w:rPr>
            </w:pPr>
            <w:r w:rsidRPr="003E014F">
              <w:rPr>
                <w:rFonts w:ascii="Arial" w:hAnsi="Arial" w:cs="Arial"/>
                <w:sz w:val="16"/>
                <w:szCs w:val="16"/>
              </w:rPr>
              <w:t>Obligaciones negociables subordinadas</w:t>
            </w:r>
          </w:p>
        </w:tc>
        <w:tc>
          <w:tcPr>
            <w:tcW w:w="1047" w:type="dxa"/>
            <w:tcBorders>
              <w:top w:val="nil"/>
              <w:left w:val="nil"/>
              <w:bottom w:val="single" w:sz="4" w:space="0" w:color="auto"/>
              <w:right w:val="single" w:sz="4" w:space="0" w:color="auto"/>
            </w:tcBorders>
            <w:shd w:val="clear" w:color="auto" w:fill="auto"/>
            <w:noWrap/>
            <w:vAlign w:val="bottom"/>
          </w:tcPr>
          <w:p w14:paraId="08AB2E0A" w14:textId="4C73269D"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079" w:type="dxa"/>
            <w:tcBorders>
              <w:top w:val="nil"/>
              <w:left w:val="nil"/>
              <w:bottom w:val="single" w:sz="4" w:space="0" w:color="auto"/>
              <w:right w:val="single" w:sz="4" w:space="0" w:color="auto"/>
            </w:tcBorders>
            <w:shd w:val="clear" w:color="auto" w:fill="auto"/>
            <w:noWrap/>
            <w:vAlign w:val="bottom"/>
          </w:tcPr>
          <w:p w14:paraId="2A11F7CC" w14:textId="789D3B3C"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992" w:type="dxa"/>
            <w:tcBorders>
              <w:top w:val="nil"/>
              <w:left w:val="nil"/>
              <w:bottom w:val="single" w:sz="4" w:space="0" w:color="auto"/>
              <w:right w:val="single" w:sz="4" w:space="0" w:color="auto"/>
            </w:tcBorders>
            <w:shd w:val="clear" w:color="auto" w:fill="auto"/>
            <w:noWrap/>
            <w:vAlign w:val="bottom"/>
          </w:tcPr>
          <w:p w14:paraId="0E5C0F80" w14:textId="42F663B5"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-2.119.888 </w:t>
            </w:r>
          </w:p>
        </w:tc>
        <w:tc>
          <w:tcPr>
            <w:tcW w:w="992" w:type="dxa"/>
            <w:tcBorders>
              <w:top w:val="nil"/>
              <w:left w:val="nil"/>
              <w:bottom w:val="single" w:sz="4" w:space="0" w:color="auto"/>
              <w:right w:val="single" w:sz="4" w:space="0" w:color="auto"/>
            </w:tcBorders>
            <w:shd w:val="clear" w:color="auto" w:fill="auto"/>
            <w:noWrap/>
            <w:vAlign w:val="bottom"/>
          </w:tcPr>
          <w:p w14:paraId="7CCB526D" w14:textId="015BFACA"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401" w:type="dxa"/>
            <w:tcBorders>
              <w:top w:val="nil"/>
              <w:left w:val="nil"/>
              <w:bottom w:val="single" w:sz="4" w:space="0" w:color="auto"/>
              <w:right w:val="single" w:sz="4" w:space="0" w:color="auto"/>
            </w:tcBorders>
            <w:shd w:val="clear" w:color="auto" w:fill="auto"/>
            <w:noWrap/>
            <w:vAlign w:val="bottom"/>
          </w:tcPr>
          <w:p w14:paraId="1F2610E4" w14:textId="40B0B74D"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151" w:type="dxa"/>
            <w:tcBorders>
              <w:top w:val="nil"/>
              <w:left w:val="nil"/>
              <w:bottom w:val="single" w:sz="4" w:space="0" w:color="auto"/>
              <w:right w:val="single" w:sz="4" w:space="0" w:color="auto"/>
            </w:tcBorders>
            <w:shd w:val="clear" w:color="auto" w:fill="auto"/>
            <w:noWrap/>
            <w:vAlign w:val="bottom"/>
          </w:tcPr>
          <w:p w14:paraId="1262C6E2" w14:textId="5674ED59"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-2.119.888 </w:t>
            </w:r>
          </w:p>
        </w:tc>
      </w:tr>
      <w:tr w:rsidR="00C97F85" w:rsidRPr="009203E4" w14:paraId="0AC47F81" w14:textId="77777777" w:rsidTr="006E1AF7">
        <w:tc>
          <w:tcPr>
            <w:tcW w:w="3545" w:type="dxa"/>
            <w:tcBorders>
              <w:top w:val="nil"/>
              <w:left w:val="single" w:sz="4" w:space="0" w:color="auto"/>
              <w:bottom w:val="single" w:sz="4" w:space="0" w:color="auto"/>
              <w:right w:val="single" w:sz="4" w:space="0" w:color="auto"/>
            </w:tcBorders>
            <w:shd w:val="clear" w:color="auto" w:fill="auto"/>
            <w:vAlign w:val="bottom"/>
            <w:hideMark/>
          </w:tcPr>
          <w:p w14:paraId="7C68AA40" w14:textId="6DD6F589" w:rsidR="00C97F85" w:rsidRPr="003E014F" w:rsidRDefault="00C97F85" w:rsidP="00C97F85">
            <w:pPr>
              <w:rPr>
                <w:rFonts w:ascii="Arial" w:hAnsi="Arial" w:cs="Arial"/>
                <w:b/>
                <w:bCs/>
                <w:sz w:val="16"/>
                <w:szCs w:val="16"/>
                <w:lang w:eastAsia="es-AR"/>
              </w:rPr>
            </w:pPr>
            <w:r w:rsidRPr="003E014F">
              <w:rPr>
                <w:rFonts w:ascii="Arial" w:hAnsi="Arial" w:cs="Arial"/>
                <w:sz w:val="16"/>
                <w:szCs w:val="16"/>
              </w:rPr>
              <w:t>Provisiones</w:t>
            </w:r>
          </w:p>
        </w:tc>
        <w:tc>
          <w:tcPr>
            <w:tcW w:w="1047" w:type="dxa"/>
            <w:tcBorders>
              <w:top w:val="nil"/>
              <w:left w:val="nil"/>
              <w:bottom w:val="single" w:sz="4" w:space="0" w:color="auto"/>
              <w:right w:val="single" w:sz="4" w:space="0" w:color="auto"/>
            </w:tcBorders>
            <w:shd w:val="clear" w:color="auto" w:fill="auto"/>
            <w:noWrap/>
            <w:vAlign w:val="bottom"/>
          </w:tcPr>
          <w:p w14:paraId="565855B4" w14:textId="5EC2559C"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-112.285 </w:t>
            </w:r>
          </w:p>
        </w:tc>
        <w:tc>
          <w:tcPr>
            <w:tcW w:w="1079" w:type="dxa"/>
            <w:tcBorders>
              <w:top w:val="nil"/>
              <w:left w:val="nil"/>
              <w:bottom w:val="single" w:sz="4" w:space="0" w:color="auto"/>
              <w:right w:val="single" w:sz="4" w:space="0" w:color="auto"/>
            </w:tcBorders>
            <w:shd w:val="clear" w:color="auto" w:fill="auto"/>
            <w:noWrap/>
            <w:vAlign w:val="bottom"/>
          </w:tcPr>
          <w:p w14:paraId="15DCCF5B" w14:textId="605B1930"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-158.869 </w:t>
            </w:r>
          </w:p>
        </w:tc>
        <w:tc>
          <w:tcPr>
            <w:tcW w:w="992" w:type="dxa"/>
            <w:tcBorders>
              <w:top w:val="nil"/>
              <w:left w:val="nil"/>
              <w:bottom w:val="single" w:sz="4" w:space="0" w:color="auto"/>
              <w:right w:val="single" w:sz="4" w:space="0" w:color="auto"/>
            </w:tcBorders>
            <w:shd w:val="clear" w:color="auto" w:fill="auto"/>
            <w:noWrap/>
            <w:vAlign w:val="bottom"/>
          </w:tcPr>
          <w:p w14:paraId="530B9E4A" w14:textId="21E22646"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-282.745 </w:t>
            </w:r>
          </w:p>
        </w:tc>
        <w:tc>
          <w:tcPr>
            <w:tcW w:w="992" w:type="dxa"/>
            <w:tcBorders>
              <w:top w:val="nil"/>
              <w:left w:val="nil"/>
              <w:bottom w:val="single" w:sz="4" w:space="0" w:color="auto"/>
              <w:right w:val="single" w:sz="4" w:space="0" w:color="auto"/>
            </w:tcBorders>
            <w:shd w:val="clear" w:color="auto" w:fill="auto"/>
            <w:noWrap/>
            <w:vAlign w:val="bottom"/>
          </w:tcPr>
          <w:p w14:paraId="7FC45A9D" w14:textId="7BE30B1E"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-101.399 </w:t>
            </w:r>
          </w:p>
        </w:tc>
        <w:tc>
          <w:tcPr>
            <w:tcW w:w="1401" w:type="dxa"/>
            <w:tcBorders>
              <w:top w:val="nil"/>
              <w:left w:val="nil"/>
              <w:bottom w:val="single" w:sz="4" w:space="0" w:color="auto"/>
              <w:right w:val="single" w:sz="4" w:space="0" w:color="auto"/>
            </w:tcBorders>
            <w:shd w:val="clear" w:color="auto" w:fill="auto"/>
            <w:noWrap/>
            <w:vAlign w:val="bottom"/>
          </w:tcPr>
          <w:p w14:paraId="2AD54228" w14:textId="502E66DF"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151" w:type="dxa"/>
            <w:tcBorders>
              <w:top w:val="nil"/>
              <w:left w:val="nil"/>
              <w:bottom w:val="single" w:sz="4" w:space="0" w:color="auto"/>
              <w:right w:val="single" w:sz="4" w:space="0" w:color="auto"/>
            </w:tcBorders>
            <w:shd w:val="clear" w:color="auto" w:fill="auto"/>
            <w:noWrap/>
            <w:vAlign w:val="bottom"/>
          </w:tcPr>
          <w:p w14:paraId="5257BB97" w14:textId="1F2D6549"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-655.298 </w:t>
            </w:r>
          </w:p>
        </w:tc>
      </w:tr>
      <w:tr w:rsidR="00C97F85" w:rsidRPr="009203E4" w14:paraId="71DB7BE7" w14:textId="77777777" w:rsidTr="006E1AF7">
        <w:tc>
          <w:tcPr>
            <w:tcW w:w="3545" w:type="dxa"/>
            <w:tcBorders>
              <w:top w:val="nil"/>
              <w:left w:val="single" w:sz="4" w:space="0" w:color="auto"/>
              <w:bottom w:val="single" w:sz="4" w:space="0" w:color="auto"/>
              <w:right w:val="single" w:sz="4" w:space="0" w:color="auto"/>
            </w:tcBorders>
            <w:shd w:val="clear" w:color="auto" w:fill="auto"/>
            <w:vAlign w:val="bottom"/>
            <w:hideMark/>
          </w:tcPr>
          <w:p w14:paraId="2F5C1DB4" w14:textId="28DE4F23" w:rsidR="00C97F85" w:rsidRPr="003E014F" w:rsidRDefault="00C97F85" w:rsidP="00C97F85">
            <w:pPr>
              <w:rPr>
                <w:rFonts w:ascii="Arial" w:hAnsi="Arial" w:cs="Arial"/>
                <w:b/>
                <w:bCs/>
                <w:sz w:val="16"/>
                <w:szCs w:val="16"/>
                <w:lang w:eastAsia="es-AR"/>
              </w:rPr>
            </w:pPr>
            <w:r w:rsidRPr="003E014F">
              <w:rPr>
                <w:rFonts w:ascii="Arial" w:hAnsi="Arial" w:cs="Arial"/>
                <w:sz w:val="16"/>
                <w:szCs w:val="16"/>
              </w:rPr>
              <w:t>Otros pasivos no financieros</w:t>
            </w:r>
          </w:p>
        </w:tc>
        <w:tc>
          <w:tcPr>
            <w:tcW w:w="1047" w:type="dxa"/>
            <w:tcBorders>
              <w:top w:val="nil"/>
              <w:left w:val="nil"/>
              <w:bottom w:val="single" w:sz="4" w:space="0" w:color="auto"/>
              <w:right w:val="single" w:sz="4" w:space="0" w:color="auto"/>
            </w:tcBorders>
            <w:shd w:val="clear" w:color="auto" w:fill="auto"/>
            <w:noWrap/>
            <w:vAlign w:val="bottom"/>
          </w:tcPr>
          <w:p w14:paraId="7BEC51D0" w14:textId="2B93670E"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-13.794 </w:t>
            </w:r>
          </w:p>
        </w:tc>
        <w:tc>
          <w:tcPr>
            <w:tcW w:w="1079" w:type="dxa"/>
            <w:tcBorders>
              <w:top w:val="nil"/>
              <w:left w:val="nil"/>
              <w:bottom w:val="single" w:sz="4" w:space="0" w:color="auto"/>
              <w:right w:val="single" w:sz="4" w:space="0" w:color="auto"/>
            </w:tcBorders>
            <w:shd w:val="clear" w:color="auto" w:fill="auto"/>
            <w:noWrap/>
            <w:vAlign w:val="bottom"/>
          </w:tcPr>
          <w:p w14:paraId="340B8715" w14:textId="50E54D24"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-1.135.184 </w:t>
            </w:r>
          </w:p>
        </w:tc>
        <w:tc>
          <w:tcPr>
            <w:tcW w:w="992" w:type="dxa"/>
            <w:tcBorders>
              <w:top w:val="nil"/>
              <w:left w:val="nil"/>
              <w:bottom w:val="single" w:sz="4" w:space="0" w:color="auto"/>
              <w:right w:val="single" w:sz="4" w:space="0" w:color="auto"/>
            </w:tcBorders>
            <w:shd w:val="clear" w:color="auto" w:fill="auto"/>
            <w:noWrap/>
            <w:vAlign w:val="bottom"/>
          </w:tcPr>
          <w:p w14:paraId="394A0779" w14:textId="07CD3BBE"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-5.226.355 </w:t>
            </w:r>
          </w:p>
        </w:tc>
        <w:tc>
          <w:tcPr>
            <w:tcW w:w="992" w:type="dxa"/>
            <w:tcBorders>
              <w:top w:val="nil"/>
              <w:left w:val="nil"/>
              <w:bottom w:val="single" w:sz="4" w:space="0" w:color="auto"/>
              <w:right w:val="single" w:sz="4" w:space="0" w:color="auto"/>
            </w:tcBorders>
            <w:shd w:val="clear" w:color="auto" w:fill="auto"/>
            <w:noWrap/>
            <w:vAlign w:val="bottom"/>
          </w:tcPr>
          <w:p w14:paraId="680D7470" w14:textId="67799D72"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-684.996 </w:t>
            </w:r>
          </w:p>
        </w:tc>
        <w:tc>
          <w:tcPr>
            <w:tcW w:w="1401" w:type="dxa"/>
            <w:tcBorders>
              <w:top w:val="nil"/>
              <w:left w:val="nil"/>
              <w:bottom w:val="single" w:sz="4" w:space="0" w:color="auto"/>
              <w:right w:val="single" w:sz="4" w:space="0" w:color="auto"/>
            </w:tcBorders>
            <w:shd w:val="clear" w:color="auto" w:fill="auto"/>
            <w:noWrap/>
            <w:vAlign w:val="bottom"/>
          </w:tcPr>
          <w:p w14:paraId="6738D177" w14:textId="3F9A0BCF" w:rsidR="00C97F85" w:rsidRPr="00C97F85" w:rsidRDefault="00C97F85">
            <w:pPr>
              <w:ind w:left="-70" w:firstLine="70"/>
              <w:jc w:val="right"/>
              <w:rPr>
                <w:rFonts w:ascii="Arial" w:hAnsi="Arial" w:cs="Arial"/>
                <w:sz w:val="16"/>
                <w:szCs w:val="16"/>
              </w:rPr>
            </w:pPr>
            <w:r w:rsidRPr="006E1AF7">
              <w:rPr>
                <w:rFonts w:ascii="Arial" w:hAnsi="Arial" w:cs="Arial"/>
                <w:sz w:val="16"/>
                <w:szCs w:val="16"/>
              </w:rPr>
              <w:t xml:space="preserve">-   </w:t>
            </w:r>
          </w:p>
        </w:tc>
        <w:tc>
          <w:tcPr>
            <w:tcW w:w="1151" w:type="dxa"/>
            <w:tcBorders>
              <w:top w:val="nil"/>
              <w:left w:val="nil"/>
              <w:bottom w:val="single" w:sz="4" w:space="0" w:color="auto"/>
              <w:right w:val="single" w:sz="4" w:space="0" w:color="auto"/>
            </w:tcBorders>
            <w:shd w:val="clear" w:color="auto" w:fill="auto"/>
            <w:noWrap/>
            <w:vAlign w:val="bottom"/>
          </w:tcPr>
          <w:p w14:paraId="09C8A7D6" w14:textId="13C3E589" w:rsidR="00C97F85" w:rsidRPr="00C97F85" w:rsidRDefault="00C97F85">
            <w:pPr>
              <w:ind w:left="-70" w:firstLine="70"/>
              <w:jc w:val="right"/>
              <w:rPr>
                <w:rFonts w:ascii="Arial" w:hAnsi="Arial" w:cs="Arial"/>
                <w:sz w:val="16"/>
                <w:szCs w:val="16"/>
              </w:rPr>
            </w:pPr>
            <w:r w:rsidRPr="006E1AF7">
              <w:rPr>
                <w:rFonts w:ascii="Arial" w:hAnsi="Arial" w:cs="Arial"/>
                <w:b/>
                <w:bCs/>
                <w:sz w:val="16"/>
                <w:szCs w:val="16"/>
              </w:rPr>
              <w:t xml:space="preserve">-7.060.329 </w:t>
            </w:r>
          </w:p>
        </w:tc>
      </w:tr>
      <w:tr w:rsidR="00C97F85" w:rsidRPr="003E014F" w14:paraId="49F9206A" w14:textId="77777777" w:rsidTr="006E1AF7">
        <w:trPr>
          <w:trHeight w:val="90"/>
        </w:trPr>
        <w:tc>
          <w:tcPr>
            <w:tcW w:w="3545" w:type="dxa"/>
            <w:tcBorders>
              <w:top w:val="nil"/>
              <w:left w:val="single" w:sz="4" w:space="0" w:color="auto"/>
              <w:bottom w:val="single" w:sz="4" w:space="0" w:color="auto"/>
              <w:right w:val="single" w:sz="4" w:space="0" w:color="auto"/>
            </w:tcBorders>
            <w:shd w:val="clear" w:color="auto" w:fill="auto"/>
            <w:vAlign w:val="bottom"/>
            <w:hideMark/>
          </w:tcPr>
          <w:p w14:paraId="0C2D51D8" w14:textId="47F2FA75" w:rsidR="00C97F85" w:rsidRPr="003E014F" w:rsidRDefault="00C97F85" w:rsidP="00C97F85">
            <w:pPr>
              <w:rPr>
                <w:rFonts w:ascii="Arial" w:hAnsi="Arial" w:cs="Arial"/>
                <w:b/>
                <w:bCs/>
                <w:sz w:val="16"/>
                <w:szCs w:val="16"/>
                <w:lang w:eastAsia="es-AR"/>
              </w:rPr>
            </w:pPr>
            <w:r w:rsidRPr="003E014F">
              <w:rPr>
                <w:rFonts w:ascii="Arial" w:hAnsi="Arial" w:cs="Arial"/>
                <w:b/>
                <w:sz w:val="16"/>
                <w:szCs w:val="16"/>
              </w:rPr>
              <w:t>TOTAL PASIVO</w:t>
            </w:r>
          </w:p>
        </w:tc>
        <w:tc>
          <w:tcPr>
            <w:tcW w:w="1047" w:type="dxa"/>
            <w:tcBorders>
              <w:top w:val="nil"/>
              <w:left w:val="nil"/>
              <w:bottom w:val="single" w:sz="4" w:space="0" w:color="auto"/>
              <w:right w:val="single" w:sz="4" w:space="0" w:color="auto"/>
            </w:tcBorders>
            <w:shd w:val="clear" w:color="auto" w:fill="auto"/>
            <w:noWrap/>
            <w:vAlign w:val="bottom"/>
          </w:tcPr>
          <w:p w14:paraId="41A987F0" w14:textId="5D496A5F"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-16.216.935 </w:t>
            </w:r>
          </w:p>
        </w:tc>
        <w:tc>
          <w:tcPr>
            <w:tcW w:w="1079" w:type="dxa"/>
            <w:tcBorders>
              <w:top w:val="nil"/>
              <w:left w:val="nil"/>
              <w:bottom w:val="single" w:sz="4" w:space="0" w:color="auto"/>
              <w:right w:val="single" w:sz="4" w:space="0" w:color="auto"/>
            </w:tcBorders>
            <w:shd w:val="clear" w:color="auto" w:fill="auto"/>
            <w:noWrap/>
            <w:vAlign w:val="bottom"/>
          </w:tcPr>
          <w:p w14:paraId="1FD0CC12" w14:textId="6482A1CA"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-64.199.603 </w:t>
            </w:r>
          </w:p>
        </w:tc>
        <w:tc>
          <w:tcPr>
            <w:tcW w:w="992" w:type="dxa"/>
            <w:tcBorders>
              <w:top w:val="nil"/>
              <w:left w:val="nil"/>
              <w:bottom w:val="single" w:sz="4" w:space="0" w:color="auto"/>
              <w:right w:val="single" w:sz="4" w:space="0" w:color="auto"/>
            </w:tcBorders>
            <w:shd w:val="clear" w:color="auto" w:fill="auto"/>
            <w:noWrap/>
            <w:vAlign w:val="bottom"/>
          </w:tcPr>
          <w:p w14:paraId="283185C3" w14:textId="0285B613"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-40.114.794 </w:t>
            </w:r>
          </w:p>
        </w:tc>
        <w:tc>
          <w:tcPr>
            <w:tcW w:w="992" w:type="dxa"/>
            <w:tcBorders>
              <w:top w:val="nil"/>
              <w:left w:val="nil"/>
              <w:bottom w:val="single" w:sz="4" w:space="0" w:color="auto"/>
              <w:right w:val="single" w:sz="4" w:space="0" w:color="auto"/>
            </w:tcBorders>
            <w:shd w:val="clear" w:color="auto" w:fill="auto"/>
            <w:noWrap/>
            <w:vAlign w:val="bottom"/>
          </w:tcPr>
          <w:p w14:paraId="0EE55EA9" w14:textId="5EA6BBC3"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-5.611.879 </w:t>
            </w:r>
          </w:p>
        </w:tc>
        <w:tc>
          <w:tcPr>
            <w:tcW w:w="1401" w:type="dxa"/>
            <w:tcBorders>
              <w:top w:val="nil"/>
              <w:left w:val="nil"/>
              <w:bottom w:val="single" w:sz="4" w:space="0" w:color="auto"/>
              <w:right w:val="single" w:sz="4" w:space="0" w:color="auto"/>
            </w:tcBorders>
            <w:shd w:val="clear" w:color="auto" w:fill="auto"/>
            <w:noWrap/>
            <w:vAlign w:val="bottom"/>
          </w:tcPr>
          <w:p w14:paraId="106D448D" w14:textId="3D7DFEE9"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2.107.312 </w:t>
            </w:r>
          </w:p>
        </w:tc>
        <w:tc>
          <w:tcPr>
            <w:tcW w:w="1151" w:type="dxa"/>
            <w:tcBorders>
              <w:top w:val="nil"/>
              <w:left w:val="nil"/>
              <w:bottom w:val="single" w:sz="4" w:space="0" w:color="auto"/>
              <w:right w:val="single" w:sz="4" w:space="0" w:color="auto"/>
            </w:tcBorders>
            <w:shd w:val="clear" w:color="auto" w:fill="auto"/>
            <w:noWrap/>
            <w:vAlign w:val="bottom"/>
          </w:tcPr>
          <w:p w14:paraId="4AEB8FD1" w14:textId="25A8FDAC" w:rsidR="00C97F85" w:rsidRPr="00C97F85" w:rsidRDefault="00C97F85">
            <w:pPr>
              <w:ind w:left="-70" w:firstLine="70"/>
              <w:jc w:val="right"/>
              <w:rPr>
                <w:rFonts w:ascii="Arial" w:hAnsi="Arial" w:cs="Arial"/>
                <w:b/>
                <w:sz w:val="16"/>
                <w:szCs w:val="16"/>
              </w:rPr>
            </w:pPr>
            <w:r w:rsidRPr="006E1AF7">
              <w:rPr>
                <w:rFonts w:ascii="Arial" w:hAnsi="Arial" w:cs="Arial"/>
                <w:b/>
                <w:bCs/>
                <w:sz w:val="16"/>
                <w:szCs w:val="16"/>
              </w:rPr>
              <w:t xml:space="preserve">-124.035.899 </w:t>
            </w:r>
          </w:p>
        </w:tc>
      </w:tr>
    </w:tbl>
    <w:p w14:paraId="386E1664" w14:textId="77777777" w:rsidR="00113899" w:rsidRPr="003E014F" w:rsidRDefault="00113899" w:rsidP="006D43FB">
      <w:pPr>
        <w:spacing w:after="160" w:line="259" w:lineRule="auto"/>
        <w:jc w:val="both"/>
        <w:rPr>
          <w:rFonts w:ascii="Arial" w:eastAsia="Calibri" w:hAnsi="Arial" w:cs="Arial"/>
          <w:b/>
          <w:bCs/>
          <w:sz w:val="20"/>
        </w:rPr>
      </w:pPr>
    </w:p>
    <w:tbl>
      <w:tblPr>
        <w:tblW w:w="10065" w:type="dxa"/>
        <w:tblInd w:w="-356" w:type="dxa"/>
        <w:tblLayout w:type="fixed"/>
        <w:tblCellMar>
          <w:left w:w="70" w:type="dxa"/>
          <w:right w:w="70" w:type="dxa"/>
        </w:tblCellMar>
        <w:tblLook w:val="04A0" w:firstRow="1" w:lastRow="0" w:firstColumn="1" w:lastColumn="0" w:noHBand="0" w:noVBand="1"/>
      </w:tblPr>
      <w:tblGrid>
        <w:gridCol w:w="3261"/>
        <w:gridCol w:w="993"/>
        <w:gridCol w:w="1276"/>
        <w:gridCol w:w="1134"/>
        <w:gridCol w:w="992"/>
        <w:gridCol w:w="1276"/>
        <w:gridCol w:w="1133"/>
      </w:tblGrid>
      <w:tr w:rsidR="006D43FB" w:rsidRPr="00701F32" w14:paraId="53B75D32" w14:textId="77777777" w:rsidTr="00A059FB">
        <w:trPr>
          <w:tblHeader/>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D825D" w14:textId="685D3FE6" w:rsidR="006D43FB" w:rsidRPr="00A449AE" w:rsidRDefault="009C5DAE" w:rsidP="009C5DAE">
            <w:pPr>
              <w:jc w:val="center"/>
              <w:rPr>
                <w:rFonts w:ascii="Arial" w:hAnsi="Arial" w:cs="Arial"/>
                <w:b/>
                <w:bCs/>
                <w:sz w:val="16"/>
                <w:szCs w:val="18"/>
                <w:lang w:eastAsia="es-AR"/>
              </w:rPr>
            </w:pPr>
            <w:r w:rsidRPr="00695690">
              <w:rPr>
                <w:rFonts w:ascii="Arial" w:hAnsi="Arial" w:cs="Arial"/>
                <w:b/>
                <w:bCs/>
                <w:sz w:val="16"/>
                <w:szCs w:val="18"/>
                <w:lang w:eastAsia="es-AR"/>
              </w:rPr>
              <w:t>Resultado por Segmentos al 3</w:t>
            </w:r>
            <w:r w:rsidR="00D538FD">
              <w:rPr>
                <w:rFonts w:ascii="Arial" w:hAnsi="Arial" w:cs="Arial"/>
                <w:b/>
                <w:bCs/>
                <w:sz w:val="16"/>
                <w:szCs w:val="18"/>
                <w:lang w:eastAsia="es-AR"/>
              </w:rPr>
              <w:t>1</w:t>
            </w:r>
            <w:r w:rsidR="006D43FB" w:rsidRPr="00695690">
              <w:rPr>
                <w:rFonts w:ascii="Arial" w:hAnsi="Arial" w:cs="Arial"/>
                <w:b/>
                <w:bCs/>
                <w:sz w:val="16"/>
                <w:szCs w:val="18"/>
                <w:lang w:eastAsia="es-AR"/>
              </w:rPr>
              <w:t>/</w:t>
            </w:r>
            <w:r w:rsidR="00D538FD">
              <w:rPr>
                <w:rFonts w:ascii="Arial" w:hAnsi="Arial" w:cs="Arial"/>
                <w:b/>
                <w:bCs/>
                <w:sz w:val="16"/>
                <w:szCs w:val="18"/>
                <w:lang w:eastAsia="es-AR"/>
              </w:rPr>
              <w:t>12</w:t>
            </w:r>
            <w:r w:rsidR="00A40678" w:rsidRPr="00695690">
              <w:rPr>
                <w:rFonts w:ascii="Arial" w:hAnsi="Arial" w:cs="Arial"/>
                <w:b/>
                <w:bCs/>
                <w:sz w:val="16"/>
                <w:szCs w:val="18"/>
                <w:lang w:eastAsia="es-AR"/>
              </w:rPr>
              <w:t>/2019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ED9F7" w14:textId="77777777" w:rsidR="006D43FB" w:rsidRPr="00A449AE" w:rsidRDefault="006D43FB" w:rsidP="006D43FB">
            <w:pPr>
              <w:jc w:val="center"/>
              <w:rPr>
                <w:rFonts w:ascii="Arial" w:hAnsi="Arial" w:cs="Arial"/>
                <w:b/>
                <w:bCs/>
                <w:sz w:val="16"/>
                <w:szCs w:val="18"/>
                <w:lang w:eastAsia="es-AR"/>
              </w:rPr>
            </w:pPr>
            <w:r w:rsidRPr="00A449AE">
              <w:rPr>
                <w:rFonts w:ascii="Arial" w:hAnsi="Arial" w:cs="Arial"/>
                <w:b/>
                <w:bCs/>
                <w:sz w:val="16"/>
                <w:szCs w:val="18"/>
                <w:lang w:eastAsia="es-AR"/>
              </w:rPr>
              <w:t>Banca Empresa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CAAB3" w14:textId="77777777" w:rsidR="006D43FB" w:rsidRPr="00A449AE" w:rsidRDefault="006D43FB" w:rsidP="006D43FB">
            <w:pPr>
              <w:jc w:val="center"/>
              <w:rPr>
                <w:rFonts w:ascii="Arial" w:hAnsi="Arial" w:cs="Arial"/>
                <w:b/>
                <w:bCs/>
                <w:sz w:val="16"/>
                <w:szCs w:val="18"/>
                <w:lang w:eastAsia="es-AR"/>
              </w:rPr>
            </w:pPr>
            <w:r w:rsidRPr="00A449AE">
              <w:rPr>
                <w:rFonts w:ascii="Arial" w:hAnsi="Arial" w:cs="Arial"/>
                <w:b/>
                <w:bCs/>
                <w:sz w:val="16"/>
                <w:szCs w:val="18"/>
                <w:lang w:eastAsia="es-AR"/>
              </w:rPr>
              <w:t>Banca Minorista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D8A4B" w14:textId="77777777" w:rsidR="006D43FB" w:rsidRPr="00A449AE" w:rsidRDefault="006D43FB" w:rsidP="006D43FB">
            <w:pPr>
              <w:jc w:val="center"/>
              <w:rPr>
                <w:rFonts w:ascii="Arial" w:hAnsi="Arial" w:cs="Arial"/>
                <w:b/>
                <w:bCs/>
                <w:sz w:val="16"/>
                <w:szCs w:val="18"/>
                <w:lang w:eastAsia="es-AR"/>
              </w:rPr>
            </w:pPr>
            <w:r w:rsidRPr="00A449AE">
              <w:rPr>
                <w:rFonts w:ascii="Arial" w:hAnsi="Arial" w:cs="Arial"/>
                <w:b/>
                <w:bCs/>
                <w:sz w:val="16"/>
                <w:szCs w:val="18"/>
                <w:lang w:eastAsia="es-AR"/>
              </w:rPr>
              <w:t>Tesorería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0F1D11" w14:textId="77777777" w:rsidR="006D43FB" w:rsidRPr="00A449AE" w:rsidRDefault="006D43FB" w:rsidP="006D43FB">
            <w:pPr>
              <w:jc w:val="center"/>
              <w:rPr>
                <w:rFonts w:ascii="Arial" w:hAnsi="Arial" w:cs="Arial"/>
                <w:b/>
                <w:bCs/>
                <w:sz w:val="16"/>
                <w:szCs w:val="18"/>
                <w:lang w:eastAsia="es-AR"/>
              </w:rPr>
            </w:pPr>
            <w:r w:rsidRPr="00A449AE">
              <w:rPr>
                <w:rFonts w:ascii="Arial" w:hAnsi="Arial" w:cs="Arial"/>
                <w:b/>
                <w:bCs/>
                <w:sz w:val="16"/>
                <w:szCs w:val="18"/>
                <w:lang w:eastAsia="es-AR"/>
              </w:rPr>
              <w:t>Consumo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AC309" w14:textId="5F187ED5" w:rsidR="006D43FB" w:rsidRPr="00A449AE" w:rsidRDefault="00FC1ECA" w:rsidP="006D43FB">
            <w:pPr>
              <w:jc w:val="center"/>
              <w:rPr>
                <w:rFonts w:ascii="Arial" w:hAnsi="Arial" w:cs="Arial"/>
                <w:b/>
                <w:bCs/>
                <w:sz w:val="16"/>
                <w:szCs w:val="18"/>
                <w:lang w:eastAsia="es-AR"/>
              </w:rPr>
            </w:pPr>
            <w:r>
              <w:rPr>
                <w:rFonts w:ascii="Arial" w:hAnsi="Arial" w:cs="Arial"/>
                <w:b/>
                <w:bCs/>
                <w:sz w:val="16"/>
                <w:szCs w:val="18"/>
                <w:lang w:eastAsia="es-AR"/>
              </w:rPr>
              <w:t>Eliminaciones</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8EA0A" w14:textId="77777777" w:rsidR="006D43FB" w:rsidRPr="00701F32" w:rsidRDefault="006D43FB" w:rsidP="006D43FB">
            <w:pPr>
              <w:jc w:val="center"/>
              <w:rPr>
                <w:rFonts w:ascii="Arial" w:hAnsi="Arial" w:cs="Arial"/>
                <w:b/>
                <w:bCs/>
                <w:sz w:val="16"/>
                <w:szCs w:val="18"/>
                <w:lang w:eastAsia="es-AR"/>
              </w:rPr>
            </w:pPr>
            <w:r w:rsidRPr="00A449AE">
              <w:rPr>
                <w:rFonts w:ascii="Arial" w:hAnsi="Arial" w:cs="Arial"/>
                <w:b/>
                <w:bCs/>
                <w:sz w:val="16"/>
                <w:szCs w:val="18"/>
                <w:lang w:eastAsia="es-AR"/>
              </w:rPr>
              <w:t>TOTAL</w:t>
            </w:r>
          </w:p>
        </w:tc>
      </w:tr>
      <w:tr w:rsidR="00C97F85" w:rsidRPr="00701F32" w14:paraId="7496C01C" w14:textId="77777777" w:rsidTr="00A059FB">
        <w:tc>
          <w:tcPr>
            <w:tcW w:w="3261" w:type="dxa"/>
            <w:tcBorders>
              <w:top w:val="single" w:sz="4" w:space="0" w:color="auto"/>
              <w:left w:val="single" w:sz="4" w:space="0" w:color="auto"/>
              <w:bottom w:val="nil"/>
              <w:right w:val="single" w:sz="4" w:space="0" w:color="auto"/>
            </w:tcBorders>
            <w:shd w:val="clear" w:color="auto" w:fill="auto"/>
            <w:noWrap/>
            <w:vAlign w:val="bottom"/>
            <w:hideMark/>
          </w:tcPr>
          <w:p w14:paraId="3C7F1FA8" w14:textId="77777777" w:rsidR="00C97F85" w:rsidRPr="00701F32" w:rsidRDefault="00C97F85" w:rsidP="00C97F85">
            <w:pPr>
              <w:rPr>
                <w:rFonts w:ascii="Arial" w:hAnsi="Arial" w:cs="Arial"/>
                <w:sz w:val="16"/>
                <w:szCs w:val="18"/>
                <w:lang w:eastAsia="es-AR"/>
              </w:rPr>
            </w:pPr>
            <w:r w:rsidRPr="00701F32">
              <w:rPr>
                <w:rFonts w:ascii="Arial" w:hAnsi="Arial" w:cs="Arial"/>
                <w:sz w:val="16"/>
                <w:szCs w:val="18"/>
                <w:lang w:eastAsia="es-AR"/>
              </w:rPr>
              <w:t xml:space="preserve"> Ingresos por intereses </w:t>
            </w:r>
          </w:p>
        </w:tc>
        <w:tc>
          <w:tcPr>
            <w:tcW w:w="993" w:type="dxa"/>
            <w:tcBorders>
              <w:top w:val="single" w:sz="4" w:space="0" w:color="auto"/>
              <w:left w:val="single" w:sz="4" w:space="0" w:color="auto"/>
              <w:bottom w:val="nil"/>
              <w:right w:val="single" w:sz="4" w:space="0" w:color="auto"/>
            </w:tcBorders>
            <w:shd w:val="clear" w:color="auto" w:fill="auto"/>
            <w:noWrap/>
            <w:vAlign w:val="bottom"/>
          </w:tcPr>
          <w:p w14:paraId="73EE375C" w14:textId="49C698EE" w:rsidR="00C97F85" w:rsidRPr="00C97F85" w:rsidRDefault="00C97F85">
            <w:pPr>
              <w:jc w:val="right"/>
              <w:rPr>
                <w:rFonts w:ascii="Arial" w:hAnsi="Arial" w:cs="Arial"/>
                <w:sz w:val="16"/>
                <w:szCs w:val="16"/>
              </w:rPr>
            </w:pPr>
            <w:r w:rsidRPr="006E1AF7">
              <w:rPr>
                <w:rFonts w:ascii="Arial" w:hAnsi="Arial" w:cs="Arial"/>
                <w:sz w:val="16"/>
                <w:szCs w:val="16"/>
              </w:rPr>
              <w:t xml:space="preserve">13.676.818 </w:t>
            </w:r>
          </w:p>
        </w:tc>
        <w:tc>
          <w:tcPr>
            <w:tcW w:w="1276" w:type="dxa"/>
            <w:tcBorders>
              <w:top w:val="single" w:sz="4" w:space="0" w:color="auto"/>
              <w:left w:val="single" w:sz="4" w:space="0" w:color="auto"/>
              <w:bottom w:val="nil"/>
              <w:right w:val="single" w:sz="4" w:space="0" w:color="auto"/>
            </w:tcBorders>
            <w:shd w:val="clear" w:color="auto" w:fill="auto"/>
            <w:noWrap/>
            <w:vAlign w:val="bottom"/>
          </w:tcPr>
          <w:p w14:paraId="14CEC1A1" w14:textId="62E5BD59" w:rsidR="00C97F85" w:rsidRPr="00C97F85" w:rsidRDefault="00C97F85">
            <w:pPr>
              <w:jc w:val="right"/>
              <w:rPr>
                <w:rFonts w:ascii="Arial" w:hAnsi="Arial" w:cs="Arial"/>
                <w:sz w:val="16"/>
                <w:szCs w:val="16"/>
              </w:rPr>
            </w:pPr>
            <w:r w:rsidRPr="006E1AF7">
              <w:rPr>
                <w:rFonts w:ascii="Arial" w:hAnsi="Arial" w:cs="Arial"/>
                <w:sz w:val="16"/>
                <w:szCs w:val="16"/>
              </w:rPr>
              <w:t xml:space="preserve">16.485.485 </w:t>
            </w:r>
          </w:p>
        </w:tc>
        <w:tc>
          <w:tcPr>
            <w:tcW w:w="1134" w:type="dxa"/>
            <w:tcBorders>
              <w:top w:val="single" w:sz="4" w:space="0" w:color="auto"/>
              <w:left w:val="single" w:sz="4" w:space="0" w:color="auto"/>
              <w:bottom w:val="nil"/>
              <w:right w:val="single" w:sz="4" w:space="0" w:color="auto"/>
            </w:tcBorders>
            <w:shd w:val="clear" w:color="auto" w:fill="auto"/>
            <w:noWrap/>
            <w:vAlign w:val="bottom"/>
          </w:tcPr>
          <w:p w14:paraId="5AE7050B" w14:textId="229DE5D6" w:rsidR="00C97F85" w:rsidRPr="00C97F85" w:rsidRDefault="00C97F85">
            <w:pPr>
              <w:jc w:val="right"/>
              <w:rPr>
                <w:rFonts w:ascii="Arial" w:hAnsi="Arial" w:cs="Arial"/>
                <w:sz w:val="16"/>
                <w:szCs w:val="16"/>
              </w:rPr>
            </w:pPr>
            <w:r w:rsidRPr="006E1AF7">
              <w:rPr>
                <w:rFonts w:ascii="Arial" w:hAnsi="Arial" w:cs="Arial"/>
                <w:sz w:val="16"/>
                <w:szCs w:val="16"/>
              </w:rPr>
              <w:t xml:space="preserve">3.706.618 </w:t>
            </w:r>
          </w:p>
        </w:tc>
        <w:tc>
          <w:tcPr>
            <w:tcW w:w="992" w:type="dxa"/>
            <w:tcBorders>
              <w:top w:val="single" w:sz="4" w:space="0" w:color="auto"/>
              <w:left w:val="single" w:sz="4" w:space="0" w:color="auto"/>
              <w:bottom w:val="nil"/>
              <w:right w:val="single" w:sz="4" w:space="0" w:color="auto"/>
            </w:tcBorders>
            <w:shd w:val="clear" w:color="auto" w:fill="auto"/>
            <w:noWrap/>
            <w:vAlign w:val="bottom"/>
          </w:tcPr>
          <w:p w14:paraId="6BB962BE" w14:textId="1E8708CD" w:rsidR="00C97F85" w:rsidRPr="00C97F85" w:rsidRDefault="00C97F85">
            <w:pPr>
              <w:jc w:val="right"/>
              <w:rPr>
                <w:rFonts w:ascii="Arial" w:hAnsi="Arial" w:cs="Arial"/>
                <w:sz w:val="16"/>
                <w:szCs w:val="16"/>
              </w:rPr>
            </w:pPr>
            <w:r w:rsidRPr="006E1AF7">
              <w:rPr>
                <w:rFonts w:ascii="Arial" w:hAnsi="Arial" w:cs="Arial"/>
                <w:sz w:val="16"/>
                <w:szCs w:val="16"/>
              </w:rPr>
              <w:t xml:space="preserve">3.845.082 </w:t>
            </w:r>
          </w:p>
        </w:tc>
        <w:tc>
          <w:tcPr>
            <w:tcW w:w="1276" w:type="dxa"/>
            <w:tcBorders>
              <w:top w:val="single" w:sz="4" w:space="0" w:color="auto"/>
              <w:left w:val="single" w:sz="4" w:space="0" w:color="auto"/>
              <w:bottom w:val="nil"/>
              <w:right w:val="single" w:sz="4" w:space="0" w:color="auto"/>
            </w:tcBorders>
            <w:shd w:val="clear" w:color="auto" w:fill="auto"/>
            <w:noWrap/>
            <w:vAlign w:val="bottom"/>
          </w:tcPr>
          <w:p w14:paraId="420DF481" w14:textId="3D6973F1" w:rsidR="00C97F85" w:rsidRPr="00C97F85" w:rsidRDefault="00C97F85">
            <w:pPr>
              <w:jc w:val="right"/>
              <w:rPr>
                <w:rFonts w:ascii="Arial" w:hAnsi="Arial" w:cs="Arial"/>
                <w:sz w:val="16"/>
                <w:szCs w:val="16"/>
              </w:rPr>
            </w:pPr>
            <w:r w:rsidRPr="006E1AF7">
              <w:rPr>
                <w:rFonts w:ascii="Arial" w:hAnsi="Arial" w:cs="Arial"/>
                <w:sz w:val="16"/>
                <w:szCs w:val="16"/>
              </w:rPr>
              <w:t xml:space="preserve">-1.178.257 </w:t>
            </w:r>
          </w:p>
        </w:tc>
        <w:tc>
          <w:tcPr>
            <w:tcW w:w="1133" w:type="dxa"/>
            <w:tcBorders>
              <w:top w:val="single" w:sz="4" w:space="0" w:color="auto"/>
              <w:left w:val="single" w:sz="4" w:space="0" w:color="auto"/>
              <w:bottom w:val="nil"/>
              <w:right w:val="single" w:sz="4" w:space="0" w:color="auto"/>
            </w:tcBorders>
            <w:shd w:val="clear" w:color="auto" w:fill="auto"/>
            <w:noWrap/>
            <w:vAlign w:val="bottom"/>
          </w:tcPr>
          <w:p w14:paraId="2C69DED8" w14:textId="1191CBBB" w:rsidR="00C97F85" w:rsidRPr="00C97F85" w:rsidRDefault="00C97F85">
            <w:pPr>
              <w:jc w:val="right"/>
              <w:rPr>
                <w:rFonts w:ascii="Arial" w:hAnsi="Arial" w:cs="Arial"/>
                <w:sz w:val="16"/>
                <w:szCs w:val="16"/>
              </w:rPr>
            </w:pPr>
            <w:r w:rsidRPr="006E1AF7">
              <w:rPr>
                <w:rFonts w:ascii="Arial" w:hAnsi="Arial" w:cs="Arial"/>
                <w:sz w:val="16"/>
                <w:szCs w:val="16"/>
              </w:rPr>
              <w:t xml:space="preserve">36.535.746 </w:t>
            </w:r>
          </w:p>
        </w:tc>
      </w:tr>
      <w:tr w:rsidR="00C97F85" w:rsidRPr="00701F32" w14:paraId="07CD3BBE" w14:textId="77777777" w:rsidTr="00A059FB">
        <w:tc>
          <w:tcPr>
            <w:tcW w:w="3261" w:type="dxa"/>
            <w:tcBorders>
              <w:top w:val="nil"/>
              <w:left w:val="single" w:sz="4" w:space="0" w:color="auto"/>
              <w:bottom w:val="nil"/>
              <w:right w:val="single" w:sz="4" w:space="0" w:color="auto"/>
            </w:tcBorders>
            <w:shd w:val="clear" w:color="auto" w:fill="auto"/>
            <w:noWrap/>
            <w:vAlign w:val="bottom"/>
            <w:hideMark/>
          </w:tcPr>
          <w:p w14:paraId="5654E27D" w14:textId="77777777" w:rsidR="00C97F85" w:rsidRPr="00701F32" w:rsidRDefault="00C97F85" w:rsidP="00C97F85">
            <w:pPr>
              <w:rPr>
                <w:rFonts w:ascii="Arial" w:hAnsi="Arial" w:cs="Arial"/>
                <w:sz w:val="16"/>
                <w:szCs w:val="18"/>
                <w:lang w:eastAsia="es-AR"/>
              </w:rPr>
            </w:pPr>
            <w:r w:rsidRPr="00701F32">
              <w:rPr>
                <w:rFonts w:ascii="Arial" w:hAnsi="Arial" w:cs="Arial"/>
                <w:sz w:val="16"/>
                <w:szCs w:val="18"/>
                <w:lang w:eastAsia="es-AR"/>
              </w:rPr>
              <w:t xml:space="preserve"> Egresos por intereses </w:t>
            </w:r>
          </w:p>
        </w:tc>
        <w:tc>
          <w:tcPr>
            <w:tcW w:w="993" w:type="dxa"/>
            <w:tcBorders>
              <w:top w:val="nil"/>
              <w:left w:val="single" w:sz="4" w:space="0" w:color="auto"/>
              <w:bottom w:val="nil"/>
              <w:right w:val="single" w:sz="4" w:space="0" w:color="auto"/>
            </w:tcBorders>
            <w:shd w:val="clear" w:color="auto" w:fill="auto"/>
            <w:noWrap/>
            <w:vAlign w:val="bottom"/>
          </w:tcPr>
          <w:p w14:paraId="1181BA0B" w14:textId="61648BED"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2.361.107 </w:t>
            </w:r>
          </w:p>
        </w:tc>
        <w:tc>
          <w:tcPr>
            <w:tcW w:w="1276" w:type="dxa"/>
            <w:tcBorders>
              <w:top w:val="nil"/>
              <w:left w:val="single" w:sz="4" w:space="0" w:color="auto"/>
              <w:bottom w:val="nil"/>
              <w:right w:val="single" w:sz="4" w:space="0" w:color="auto"/>
            </w:tcBorders>
            <w:shd w:val="clear" w:color="auto" w:fill="auto"/>
            <w:noWrap/>
            <w:vAlign w:val="bottom"/>
          </w:tcPr>
          <w:p w14:paraId="38CAE94D" w14:textId="06813C8F"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7.653.975 </w:t>
            </w:r>
          </w:p>
        </w:tc>
        <w:tc>
          <w:tcPr>
            <w:tcW w:w="1134" w:type="dxa"/>
            <w:tcBorders>
              <w:top w:val="nil"/>
              <w:left w:val="single" w:sz="4" w:space="0" w:color="auto"/>
              <w:bottom w:val="nil"/>
              <w:right w:val="single" w:sz="4" w:space="0" w:color="auto"/>
            </w:tcBorders>
            <w:shd w:val="clear" w:color="auto" w:fill="auto"/>
            <w:noWrap/>
            <w:vAlign w:val="bottom"/>
          </w:tcPr>
          <w:p w14:paraId="5B64F661" w14:textId="26FCEBA1"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17.130.913 </w:t>
            </w:r>
          </w:p>
        </w:tc>
        <w:tc>
          <w:tcPr>
            <w:tcW w:w="992" w:type="dxa"/>
            <w:tcBorders>
              <w:top w:val="nil"/>
              <w:left w:val="single" w:sz="4" w:space="0" w:color="auto"/>
              <w:bottom w:val="nil"/>
              <w:right w:val="single" w:sz="4" w:space="0" w:color="auto"/>
            </w:tcBorders>
            <w:shd w:val="clear" w:color="auto" w:fill="auto"/>
            <w:noWrap/>
            <w:vAlign w:val="bottom"/>
          </w:tcPr>
          <w:p w14:paraId="4B4CC50C" w14:textId="4FE8435F"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2.553.992 </w:t>
            </w:r>
          </w:p>
        </w:tc>
        <w:tc>
          <w:tcPr>
            <w:tcW w:w="1276" w:type="dxa"/>
            <w:tcBorders>
              <w:top w:val="nil"/>
              <w:left w:val="single" w:sz="4" w:space="0" w:color="auto"/>
              <w:bottom w:val="nil"/>
              <w:right w:val="single" w:sz="4" w:space="0" w:color="auto"/>
            </w:tcBorders>
            <w:shd w:val="clear" w:color="auto" w:fill="auto"/>
            <w:noWrap/>
            <w:vAlign w:val="bottom"/>
          </w:tcPr>
          <w:p w14:paraId="5B304715" w14:textId="5325397A" w:rsidR="00C97F85" w:rsidRPr="00C97F85" w:rsidRDefault="00C97F85">
            <w:pPr>
              <w:jc w:val="right"/>
              <w:rPr>
                <w:rFonts w:ascii="Arial" w:hAnsi="Arial" w:cs="Arial"/>
                <w:sz w:val="16"/>
                <w:szCs w:val="16"/>
              </w:rPr>
            </w:pPr>
            <w:r w:rsidRPr="006E1AF7">
              <w:rPr>
                <w:rFonts w:ascii="Arial" w:hAnsi="Arial" w:cs="Arial"/>
                <w:sz w:val="16"/>
                <w:szCs w:val="16"/>
              </w:rPr>
              <w:t xml:space="preserve">1.205.290 </w:t>
            </w:r>
          </w:p>
        </w:tc>
        <w:tc>
          <w:tcPr>
            <w:tcW w:w="1133" w:type="dxa"/>
            <w:tcBorders>
              <w:top w:val="nil"/>
              <w:left w:val="single" w:sz="4" w:space="0" w:color="auto"/>
              <w:bottom w:val="nil"/>
              <w:right w:val="single" w:sz="4" w:space="0" w:color="auto"/>
            </w:tcBorders>
            <w:shd w:val="clear" w:color="auto" w:fill="auto"/>
            <w:noWrap/>
            <w:vAlign w:val="bottom"/>
          </w:tcPr>
          <w:p w14:paraId="6623D5C8" w14:textId="6E76A2DC"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28.494.697 </w:t>
            </w:r>
          </w:p>
        </w:tc>
      </w:tr>
      <w:tr w:rsidR="00C97F85" w:rsidRPr="00701F32" w14:paraId="399D0D0F" w14:textId="77777777" w:rsidTr="00A059FB">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67799295" w14:textId="77777777" w:rsidR="00C97F85" w:rsidRPr="00701F32" w:rsidRDefault="00C97F85" w:rsidP="00C97F85">
            <w:pPr>
              <w:rPr>
                <w:rFonts w:ascii="Arial" w:hAnsi="Arial" w:cs="Arial"/>
                <w:sz w:val="16"/>
                <w:szCs w:val="18"/>
                <w:lang w:eastAsia="es-AR"/>
              </w:rPr>
            </w:pPr>
            <w:r w:rsidRPr="00701F32">
              <w:rPr>
                <w:rFonts w:ascii="Arial" w:hAnsi="Arial" w:cs="Arial"/>
                <w:sz w:val="16"/>
                <w:szCs w:val="18"/>
                <w:lang w:eastAsia="es-AR"/>
              </w:rPr>
              <w:t xml:space="preserve"> Resultados por Interés de Transferencia </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3DF93E90" w14:textId="19D24DD1" w:rsidR="00C97F85" w:rsidRPr="00C97F85" w:rsidRDefault="00C97F85">
            <w:pPr>
              <w:jc w:val="right"/>
              <w:rPr>
                <w:rFonts w:ascii="Arial" w:hAnsi="Arial" w:cs="Arial"/>
                <w:sz w:val="16"/>
                <w:szCs w:val="16"/>
              </w:rPr>
            </w:pPr>
            <w:r w:rsidRPr="006E1AF7">
              <w:rPr>
                <w:rFonts w:ascii="Arial" w:hAnsi="Arial" w:cs="Arial"/>
                <w:sz w:val="16"/>
                <w:szCs w:val="16"/>
              </w:rPr>
              <w:t xml:space="preserve">-6.707.314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DE1EB63" w14:textId="33FFF99B" w:rsidR="00C97F85" w:rsidRPr="00C97F85" w:rsidRDefault="00C97F85">
            <w:pPr>
              <w:jc w:val="right"/>
              <w:rPr>
                <w:rFonts w:ascii="Arial" w:hAnsi="Arial" w:cs="Arial"/>
                <w:sz w:val="16"/>
                <w:szCs w:val="16"/>
              </w:rPr>
            </w:pPr>
            <w:r w:rsidRPr="006E1AF7">
              <w:rPr>
                <w:rFonts w:ascii="Arial" w:hAnsi="Arial" w:cs="Arial"/>
                <w:sz w:val="16"/>
                <w:szCs w:val="16"/>
              </w:rPr>
              <w:t xml:space="preserve">4.735.940 </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7F0FFCF8" w14:textId="7E178F5D" w:rsidR="00C97F85" w:rsidRPr="00C97F85" w:rsidRDefault="00C97F85">
            <w:pPr>
              <w:jc w:val="right"/>
              <w:rPr>
                <w:rFonts w:ascii="Arial" w:hAnsi="Arial" w:cs="Arial"/>
                <w:sz w:val="16"/>
                <w:szCs w:val="16"/>
              </w:rPr>
            </w:pPr>
            <w:r w:rsidRPr="006E1AF7">
              <w:rPr>
                <w:rFonts w:ascii="Arial" w:hAnsi="Arial" w:cs="Arial"/>
                <w:sz w:val="16"/>
                <w:szCs w:val="16"/>
              </w:rPr>
              <w:t xml:space="preserve">1.971.374 </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368A54A" w14:textId="68E3DDBE"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099D0A4" w14:textId="08BE9EB7"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133" w:type="dxa"/>
            <w:tcBorders>
              <w:top w:val="nil"/>
              <w:left w:val="single" w:sz="4" w:space="0" w:color="auto"/>
              <w:bottom w:val="single" w:sz="4" w:space="0" w:color="auto"/>
              <w:right w:val="single" w:sz="4" w:space="0" w:color="auto"/>
            </w:tcBorders>
            <w:shd w:val="clear" w:color="auto" w:fill="auto"/>
            <w:noWrap/>
            <w:vAlign w:val="bottom"/>
          </w:tcPr>
          <w:p w14:paraId="27E5E55E" w14:textId="13DB7A0C"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r>
      <w:tr w:rsidR="00C97F85" w:rsidRPr="00701F32" w14:paraId="0C7C04F0"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AC97C" w14:textId="77777777" w:rsidR="00C97F85" w:rsidRPr="00701F32" w:rsidRDefault="00C97F85" w:rsidP="00C97F85">
            <w:pPr>
              <w:rPr>
                <w:rFonts w:ascii="Arial" w:hAnsi="Arial" w:cs="Arial"/>
                <w:b/>
                <w:bCs/>
                <w:sz w:val="16"/>
                <w:szCs w:val="18"/>
                <w:lang w:eastAsia="es-AR"/>
              </w:rPr>
            </w:pPr>
            <w:r w:rsidRPr="00701F32">
              <w:rPr>
                <w:rFonts w:ascii="Arial" w:hAnsi="Arial" w:cs="Arial"/>
                <w:b/>
                <w:bCs/>
                <w:sz w:val="16"/>
                <w:szCs w:val="18"/>
                <w:lang w:eastAsia="es-AR"/>
              </w:rPr>
              <w:t xml:space="preserve"> Resultado neto por intereses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E071B7" w14:textId="65E5CE3D" w:rsidR="00C97F85" w:rsidRPr="00C97F85" w:rsidRDefault="00C97F85">
            <w:pPr>
              <w:jc w:val="right"/>
              <w:rPr>
                <w:rFonts w:ascii="Arial" w:hAnsi="Arial" w:cs="Arial"/>
                <w:b/>
                <w:sz w:val="16"/>
                <w:szCs w:val="16"/>
              </w:rPr>
            </w:pPr>
            <w:r w:rsidRPr="006E1AF7">
              <w:rPr>
                <w:rFonts w:ascii="Arial" w:hAnsi="Arial" w:cs="Arial"/>
                <w:b/>
                <w:sz w:val="16"/>
                <w:szCs w:val="16"/>
              </w:rPr>
              <w:t xml:space="preserve">4.608.397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7740E2" w14:textId="3C25D69F" w:rsidR="00C97F85" w:rsidRPr="00C97F85" w:rsidRDefault="00C97F85">
            <w:pPr>
              <w:jc w:val="right"/>
              <w:rPr>
                <w:rFonts w:ascii="Arial" w:hAnsi="Arial" w:cs="Arial"/>
                <w:b/>
                <w:sz w:val="16"/>
                <w:szCs w:val="16"/>
              </w:rPr>
            </w:pPr>
            <w:r w:rsidRPr="006E1AF7">
              <w:rPr>
                <w:rFonts w:ascii="Arial" w:hAnsi="Arial" w:cs="Arial"/>
                <w:b/>
                <w:sz w:val="16"/>
                <w:szCs w:val="16"/>
              </w:rPr>
              <w:t xml:space="preserve">13.567.450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012246" w14:textId="12A77126" w:rsidR="00C97F85" w:rsidRPr="00C97F85" w:rsidRDefault="00C97F85">
            <w:pPr>
              <w:jc w:val="right"/>
              <w:rPr>
                <w:rFonts w:ascii="Arial" w:hAnsi="Arial" w:cs="Arial"/>
                <w:b/>
                <w:sz w:val="16"/>
                <w:szCs w:val="16"/>
              </w:rPr>
            </w:pPr>
            <w:r w:rsidRPr="006E1AF7">
              <w:rPr>
                <w:rFonts w:ascii="Arial" w:hAnsi="Arial" w:cs="Arial"/>
                <w:b/>
                <w:sz w:val="16"/>
                <w:szCs w:val="16"/>
              </w:rPr>
              <w:t xml:space="preserve">-11.452.921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8CC127" w14:textId="3CAC7B0C" w:rsidR="00C97F85" w:rsidRPr="00C97F85" w:rsidRDefault="00C97F85">
            <w:pPr>
              <w:jc w:val="right"/>
              <w:rPr>
                <w:rFonts w:ascii="Arial" w:hAnsi="Arial" w:cs="Arial"/>
                <w:b/>
                <w:sz w:val="16"/>
                <w:szCs w:val="16"/>
              </w:rPr>
            </w:pPr>
            <w:r w:rsidRPr="006E1AF7">
              <w:rPr>
                <w:rFonts w:ascii="Arial" w:hAnsi="Arial" w:cs="Arial"/>
                <w:b/>
                <w:sz w:val="16"/>
                <w:szCs w:val="16"/>
              </w:rPr>
              <w:t xml:space="preserve">1.291.090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DADA52" w14:textId="3FF956B3" w:rsidR="00C97F85" w:rsidRPr="00C97F85" w:rsidRDefault="00C97F85">
            <w:pPr>
              <w:jc w:val="right"/>
              <w:rPr>
                <w:rFonts w:ascii="Arial" w:hAnsi="Arial" w:cs="Arial"/>
                <w:b/>
                <w:sz w:val="16"/>
                <w:szCs w:val="16"/>
              </w:rPr>
            </w:pPr>
            <w:r w:rsidRPr="006E1AF7">
              <w:rPr>
                <w:rFonts w:ascii="Arial" w:hAnsi="Arial" w:cs="Arial"/>
                <w:b/>
                <w:sz w:val="16"/>
                <w:szCs w:val="16"/>
              </w:rPr>
              <w:t xml:space="preserve">27.033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65DDF" w14:textId="5B7FD49C" w:rsidR="00C97F85" w:rsidRPr="00C97F85" w:rsidRDefault="00C97F85">
            <w:pPr>
              <w:jc w:val="right"/>
              <w:rPr>
                <w:rFonts w:ascii="Arial" w:hAnsi="Arial" w:cs="Arial"/>
                <w:b/>
                <w:sz w:val="16"/>
                <w:szCs w:val="16"/>
              </w:rPr>
            </w:pPr>
            <w:r w:rsidRPr="006E1AF7">
              <w:rPr>
                <w:rFonts w:ascii="Arial" w:hAnsi="Arial" w:cs="Arial"/>
                <w:b/>
                <w:sz w:val="16"/>
                <w:szCs w:val="16"/>
              </w:rPr>
              <w:t xml:space="preserve">8.041.049 </w:t>
            </w:r>
          </w:p>
        </w:tc>
      </w:tr>
      <w:tr w:rsidR="00C97F85" w:rsidRPr="00701F32" w14:paraId="575A9895" w14:textId="77777777" w:rsidTr="00A059FB">
        <w:tc>
          <w:tcPr>
            <w:tcW w:w="3261" w:type="dxa"/>
            <w:tcBorders>
              <w:top w:val="single" w:sz="4" w:space="0" w:color="auto"/>
              <w:left w:val="single" w:sz="4" w:space="0" w:color="auto"/>
              <w:bottom w:val="nil"/>
              <w:right w:val="single" w:sz="4" w:space="0" w:color="auto"/>
            </w:tcBorders>
            <w:shd w:val="clear" w:color="auto" w:fill="auto"/>
            <w:noWrap/>
            <w:vAlign w:val="bottom"/>
            <w:hideMark/>
          </w:tcPr>
          <w:p w14:paraId="0CD62543" w14:textId="77777777" w:rsidR="00C97F85" w:rsidRPr="00701F32" w:rsidRDefault="00C97F85" w:rsidP="00C97F85">
            <w:pPr>
              <w:rPr>
                <w:rFonts w:ascii="Arial" w:hAnsi="Arial" w:cs="Arial"/>
                <w:sz w:val="16"/>
                <w:szCs w:val="18"/>
                <w:lang w:eastAsia="es-AR"/>
              </w:rPr>
            </w:pPr>
            <w:r w:rsidRPr="00701F32">
              <w:rPr>
                <w:rFonts w:ascii="Arial" w:hAnsi="Arial" w:cs="Arial"/>
                <w:sz w:val="16"/>
                <w:szCs w:val="18"/>
                <w:lang w:eastAsia="es-AR"/>
              </w:rPr>
              <w:t xml:space="preserve"> Ingresos por comisiones </w:t>
            </w:r>
          </w:p>
        </w:tc>
        <w:tc>
          <w:tcPr>
            <w:tcW w:w="993" w:type="dxa"/>
            <w:tcBorders>
              <w:top w:val="single" w:sz="4" w:space="0" w:color="auto"/>
              <w:left w:val="single" w:sz="4" w:space="0" w:color="auto"/>
              <w:bottom w:val="nil"/>
              <w:right w:val="single" w:sz="4" w:space="0" w:color="auto"/>
            </w:tcBorders>
            <w:shd w:val="clear" w:color="auto" w:fill="auto"/>
            <w:noWrap/>
            <w:vAlign w:val="bottom"/>
          </w:tcPr>
          <w:p w14:paraId="0E60260D" w14:textId="520C5EBB" w:rsidR="00C97F85" w:rsidRPr="00C97F85" w:rsidRDefault="00C97F85">
            <w:pPr>
              <w:jc w:val="right"/>
              <w:rPr>
                <w:rFonts w:ascii="Arial" w:hAnsi="Arial" w:cs="Arial"/>
                <w:sz w:val="16"/>
                <w:szCs w:val="16"/>
              </w:rPr>
            </w:pPr>
            <w:r w:rsidRPr="006E1AF7">
              <w:rPr>
                <w:rFonts w:ascii="Arial" w:hAnsi="Arial" w:cs="Arial"/>
                <w:sz w:val="16"/>
                <w:szCs w:val="16"/>
              </w:rPr>
              <w:t xml:space="preserve">756.778 </w:t>
            </w:r>
          </w:p>
        </w:tc>
        <w:tc>
          <w:tcPr>
            <w:tcW w:w="1276" w:type="dxa"/>
            <w:tcBorders>
              <w:top w:val="single" w:sz="4" w:space="0" w:color="auto"/>
              <w:left w:val="single" w:sz="4" w:space="0" w:color="auto"/>
              <w:bottom w:val="nil"/>
              <w:right w:val="single" w:sz="4" w:space="0" w:color="auto"/>
            </w:tcBorders>
            <w:shd w:val="clear" w:color="auto" w:fill="auto"/>
            <w:noWrap/>
            <w:vAlign w:val="bottom"/>
          </w:tcPr>
          <w:p w14:paraId="19A088BB" w14:textId="3F9B01A7" w:rsidR="00C97F85" w:rsidRPr="00C97F85" w:rsidRDefault="00C97F85">
            <w:pPr>
              <w:jc w:val="right"/>
              <w:rPr>
                <w:rFonts w:ascii="Arial" w:hAnsi="Arial" w:cs="Arial"/>
                <w:sz w:val="16"/>
                <w:szCs w:val="16"/>
              </w:rPr>
            </w:pPr>
            <w:r w:rsidRPr="006E1AF7">
              <w:rPr>
                <w:rFonts w:ascii="Arial" w:hAnsi="Arial" w:cs="Arial"/>
                <w:sz w:val="16"/>
                <w:szCs w:val="16"/>
              </w:rPr>
              <w:t xml:space="preserve">4.503.231 </w:t>
            </w:r>
          </w:p>
        </w:tc>
        <w:tc>
          <w:tcPr>
            <w:tcW w:w="1134" w:type="dxa"/>
            <w:tcBorders>
              <w:top w:val="single" w:sz="4" w:space="0" w:color="auto"/>
              <w:left w:val="single" w:sz="4" w:space="0" w:color="auto"/>
              <w:bottom w:val="nil"/>
              <w:right w:val="single" w:sz="4" w:space="0" w:color="auto"/>
            </w:tcBorders>
            <w:shd w:val="clear" w:color="auto" w:fill="auto"/>
            <w:noWrap/>
            <w:vAlign w:val="bottom"/>
          </w:tcPr>
          <w:p w14:paraId="3EAA36C4" w14:textId="389B35B7" w:rsidR="00C97F85" w:rsidRPr="00C97F85" w:rsidRDefault="00C97F85">
            <w:pPr>
              <w:jc w:val="right"/>
              <w:rPr>
                <w:rFonts w:ascii="Arial" w:hAnsi="Arial" w:cs="Arial"/>
                <w:sz w:val="16"/>
                <w:szCs w:val="16"/>
              </w:rPr>
            </w:pPr>
            <w:r w:rsidRPr="006E1AF7">
              <w:rPr>
                <w:rFonts w:ascii="Arial" w:hAnsi="Arial" w:cs="Arial"/>
                <w:sz w:val="16"/>
                <w:szCs w:val="16"/>
              </w:rPr>
              <w:t xml:space="preserve">30.290 </w:t>
            </w:r>
          </w:p>
        </w:tc>
        <w:tc>
          <w:tcPr>
            <w:tcW w:w="992" w:type="dxa"/>
            <w:tcBorders>
              <w:top w:val="single" w:sz="4" w:space="0" w:color="auto"/>
              <w:left w:val="single" w:sz="4" w:space="0" w:color="auto"/>
              <w:bottom w:val="nil"/>
              <w:right w:val="single" w:sz="4" w:space="0" w:color="auto"/>
            </w:tcBorders>
            <w:shd w:val="clear" w:color="auto" w:fill="auto"/>
            <w:noWrap/>
            <w:vAlign w:val="bottom"/>
          </w:tcPr>
          <w:p w14:paraId="2303C5F6" w14:textId="35688359" w:rsidR="00C97F85" w:rsidRPr="00C97F85" w:rsidRDefault="00C97F85">
            <w:pPr>
              <w:jc w:val="right"/>
              <w:rPr>
                <w:rFonts w:ascii="Arial" w:hAnsi="Arial" w:cs="Arial"/>
                <w:sz w:val="16"/>
                <w:szCs w:val="16"/>
              </w:rPr>
            </w:pPr>
            <w:r w:rsidRPr="006E1AF7">
              <w:rPr>
                <w:rFonts w:ascii="Arial" w:hAnsi="Arial" w:cs="Arial"/>
                <w:sz w:val="16"/>
                <w:szCs w:val="16"/>
              </w:rPr>
              <w:t xml:space="preserve">1.034.231 </w:t>
            </w:r>
          </w:p>
        </w:tc>
        <w:tc>
          <w:tcPr>
            <w:tcW w:w="1276" w:type="dxa"/>
            <w:tcBorders>
              <w:top w:val="single" w:sz="4" w:space="0" w:color="auto"/>
              <w:left w:val="single" w:sz="4" w:space="0" w:color="auto"/>
              <w:bottom w:val="nil"/>
              <w:right w:val="single" w:sz="4" w:space="0" w:color="auto"/>
            </w:tcBorders>
            <w:shd w:val="clear" w:color="auto" w:fill="auto"/>
            <w:noWrap/>
            <w:vAlign w:val="bottom"/>
          </w:tcPr>
          <w:p w14:paraId="62CE3027" w14:textId="0583CD52" w:rsidR="00C97F85" w:rsidRPr="00C97F85" w:rsidRDefault="00C97F85">
            <w:pPr>
              <w:jc w:val="right"/>
              <w:rPr>
                <w:rFonts w:ascii="Arial" w:hAnsi="Arial" w:cs="Arial"/>
                <w:sz w:val="16"/>
                <w:szCs w:val="16"/>
              </w:rPr>
            </w:pPr>
            <w:r w:rsidRPr="006E1AF7">
              <w:rPr>
                <w:rFonts w:ascii="Arial" w:hAnsi="Arial" w:cs="Arial"/>
                <w:sz w:val="16"/>
                <w:szCs w:val="16"/>
              </w:rPr>
              <w:t xml:space="preserve">-60.361 </w:t>
            </w:r>
          </w:p>
        </w:tc>
        <w:tc>
          <w:tcPr>
            <w:tcW w:w="1133" w:type="dxa"/>
            <w:tcBorders>
              <w:top w:val="single" w:sz="4" w:space="0" w:color="auto"/>
              <w:left w:val="single" w:sz="4" w:space="0" w:color="auto"/>
              <w:bottom w:val="nil"/>
              <w:right w:val="single" w:sz="4" w:space="0" w:color="auto"/>
            </w:tcBorders>
            <w:shd w:val="clear" w:color="auto" w:fill="auto"/>
            <w:noWrap/>
            <w:vAlign w:val="bottom"/>
          </w:tcPr>
          <w:p w14:paraId="1B1A3471" w14:textId="2C686A0E" w:rsidR="00C97F85" w:rsidRPr="00C97F85" w:rsidRDefault="00C97F85">
            <w:pPr>
              <w:jc w:val="right"/>
              <w:rPr>
                <w:rFonts w:ascii="Arial" w:hAnsi="Arial" w:cs="Arial"/>
                <w:sz w:val="16"/>
                <w:szCs w:val="16"/>
              </w:rPr>
            </w:pPr>
            <w:r w:rsidRPr="006E1AF7">
              <w:rPr>
                <w:rFonts w:ascii="Arial" w:hAnsi="Arial" w:cs="Arial"/>
                <w:sz w:val="16"/>
                <w:szCs w:val="16"/>
              </w:rPr>
              <w:t xml:space="preserve">6.264.169 </w:t>
            </w:r>
          </w:p>
        </w:tc>
      </w:tr>
      <w:tr w:rsidR="00C97F85" w:rsidRPr="00701F32" w14:paraId="4CDE9C9A" w14:textId="77777777" w:rsidTr="00A059FB">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499C7B8C" w14:textId="77777777" w:rsidR="00C97F85" w:rsidRPr="00701F32" w:rsidRDefault="00C97F85" w:rsidP="00C97F85">
            <w:pPr>
              <w:rPr>
                <w:rFonts w:ascii="Arial" w:hAnsi="Arial" w:cs="Arial"/>
                <w:sz w:val="16"/>
                <w:szCs w:val="18"/>
                <w:lang w:eastAsia="es-AR"/>
              </w:rPr>
            </w:pPr>
            <w:r w:rsidRPr="00701F32">
              <w:rPr>
                <w:rFonts w:ascii="Arial" w:hAnsi="Arial" w:cs="Arial"/>
                <w:sz w:val="16"/>
                <w:szCs w:val="18"/>
                <w:lang w:eastAsia="es-AR"/>
              </w:rPr>
              <w:t xml:space="preserve"> Egresos por comisiones </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133C8786" w14:textId="6958EC85"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101.416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427D51B" w14:textId="137699F6"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1.205.099 </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572733D7" w14:textId="47FD3E92"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40.501 </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15FCA071" w14:textId="59563676"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722.244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7A3C0A8" w14:textId="561AF0C9" w:rsidR="00C97F85" w:rsidRPr="00C97F85" w:rsidRDefault="00C97F85">
            <w:pPr>
              <w:jc w:val="right"/>
              <w:rPr>
                <w:rFonts w:ascii="Arial" w:hAnsi="Arial" w:cs="Arial"/>
                <w:sz w:val="16"/>
                <w:szCs w:val="16"/>
              </w:rPr>
            </w:pPr>
            <w:r w:rsidRPr="006E1AF7">
              <w:rPr>
                <w:rFonts w:ascii="Arial" w:hAnsi="Arial" w:cs="Arial"/>
                <w:sz w:val="16"/>
                <w:szCs w:val="16"/>
              </w:rPr>
              <w:t xml:space="preserve">4.461 </w:t>
            </w:r>
          </w:p>
        </w:tc>
        <w:tc>
          <w:tcPr>
            <w:tcW w:w="1133" w:type="dxa"/>
            <w:tcBorders>
              <w:top w:val="nil"/>
              <w:left w:val="single" w:sz="4" w:space="0" w:color="auto"/>
              <w:bottom w:val="single" w:sz="4" w:space="0" w:color="auto"/>
              <w:right w:val="single" w:sz="4" w:space="0" w:color="auto"/>
            </w:tcBorders>
            <w:shd w:val="clear" w:color="auto" w:fill="auto"/>
            <w:noWrap/>
            <w:vAlign w:val="bottom"/>
          </w:tcPr>
          <w:p w14:paraId="0022A9F4" w14:textId="5B743B63"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2.064.799 </w:t>
            </w:r>
          </w:p>
        </w:tc>
      </w:tr>
      <w:tr w:rsidR="00C97F85" w:rsidRPr="00701F32" w14:paraId="7D28A5B5"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AAB2C" w14:textId="77777777" w:rsidR="00C97F85" w:rsidRPr="00701F32" w:rsidRDefault="00C97F85" w:rsidP="00C97F85">
            <w:pPr>
              <w:rPr>
                <w:rFonts w:ascii="Arial" w:hAnsi="Arial" w:cs="Arial"/>
                <w:b/>
                <w:bCs/>
                <w:sz w:val="16"/>
                <w:szCs w:val="18"/>
                <w:lang w:eastAsia="es-AR"/>
              </w:rPr>
            </w:pPr>
            <w:r w:rsidRPr="00701F32">
              <w:rPr>
                <w:rFonts w:ascii="Arial" w:hAnsi="Arial" w:cs="Arial"/>
                <w:b/>
                <w:bCs/>
                <w:sz w:val="16"/>
                <w:szCs w:val="18"/>
                <w:lang w:eastAsia="es-AR"/>
              </w:rPr>
              <w:t xml:space="preserve"> Resultado neto por comisiones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F57612" w14:textId="7608A263" w:rsidR="00C97F85" w:rsidRPr="00C97F85" w:rsidRDefault="00C97F85">
            <w:pPr>
              <w:jc w:val="right"/>
              <w:rPr>
                <w:rFonts w:ascii="Arial" w:hAnsi="Arial" w:cs="Arial"/>
                <w:b/>
                <w:sz w:val="16"/>
                <w:szCs w:val="16"/>
              </w:rPr>
            </w:pPr>
            <w:r w:rsidRPr="006E1AF7">
              <w:rPr>
                <w:rFonts w:ascii="Arial" w:hAnsi="Arial" w:cs="Arial"/>
                <w:b/>
                <w:sz w:val="16"/>
                <w:szCs w:val="16"/>
              </w:rPr>
              <w:t xml:space="preserve">655.362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F8E7E" w14:textId="444A9E09" w:rsidR="00C97F85" w:rsidRPr="00C97F85" w:rsidRDefault="00C97F85">
            <w:pPr>
              <w:jc w:val="right"/>
              <w:rPr>
                <w:rFonts w:ascii="Arial" w:hAnsi="Arial" w:cs="Arial"/>
                <w:b/>
                <w:sz w:val="16"/>
                <w:szCs w:val="16"/>
              </w:rPr>
            </w:pPr>
            <w:r w:rsidRPr="006E1AF7">
              <w:rPr>
                <w:rFonts w:ascii="Arial" w:hAnsi="Arial" w:cs="Arial"/>
                <w:b/>
                <w:sz w:val="16"/>
                <w:szCs w:val="16"/>
              </w:rPr>
              <w:t xml:space="preserve">3.298.132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CA5E93" w14:textId="7D9D92A9" w:rsidR="00C97F85" w:rsidRPr="00C97F85" w:rsidRDefault="00C97F85">
            <w:pPr>
              <w:jc w:val="right"/>
              <w:rPr>
                <w:rFonts w:ascii="Arial" w:hAnsi="Arial" w:cs="Arial"/>
                <w:b/>
                <w:sz w:val="16"/>
                <w:szCs w:val="16"/>
              </w:rPr>
            </w:pPr>
            <w:r w:rsidRPr="006E1AF7">
              <w:rPr>
                <w:rFonts w:ascii="Arial" w:hAnsi="Arial" w:cs="Arial"/>
                <w:b/>
                <w:sz w:val="16"/>
                <w:szCs w:val="16"/>
              </w:rPr>
              <w:t xml:space="preserve">-10.211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B0F55" w14:textId="211063F8" w:rsidR="00C97F85" w:rsidRPr="00C97F85" w:rsidRDefault="00C97F85">
            <w:pPr>
              <w:jc w:val="right"/>
              <w:rPr>
                <w:rFonts w:ascii="Arial" w:hAnsi="Arial" w:cs="Arial"/>
                <w:b/>
                <w:sz w:val="16"/>
                <w:szCs w:val="16"/>
              </w:rPr>
            </w:pPr>
            <w:r w:rsidRPr="006E1AF7">
              <w:rPr>
                <w:rFonts w:ascii="Arial" w:hAnsi="Arial" w:cs="Arial"/>
                <w:b/>
                <w:sz w:val="16"/>
                <w:szCs w:val="16"/>
              </w:rPr>
              <w:t xml:space="preserve">311.987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8193B" w14:textId="0CD7DD44" w:rsidR="00C97F85" w:rsidRPr="00C97F85" w:rsidRDefault="00C97F85">
            <w:pPr>
              <w:jc w:val="right"/>
              <w:rPr>
                <w:rFonts w:ascii="Arial" w:hAnsi="Arial" w:cs="Arial"/>
                <w:b/>
                <w:sz w:val="16"/>
                <w:szCs w:val="16"/>
              </w:rPr>
            </w:pPr>
            <w:r w:rsidRPr="006E1AF7">
              <w:rPr>
                <w:rFonts w:ascii="Arial" w:hAnsi="Arial" w:cs="Arial"/>
                <w:b/>
                <w:sz w:val="16"/>
                <w:szCs w:val="16"/>
              </w:rPr>
              <w:t xml:space="preserve">-55.900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CAEC0" w14:textId="505027B5" w:rsidR="00C97F85" w:rsidRPr="00C97F85" w:rsidRDefault="00C97F85">
            <w:pPr>
              <w:jc w:val="right"/>
              <w:rPr>
                <w:rFonts w:ascii="Arial" w:hAnsi="Arial" w:cs="Arial"/>
                <w:b/>
                <w:sz w:val="16"/>
                <w:szCs w:val="16"/>
              </w:rPr>
            </w:pPr>
            <w:r w:rsidRPr="006E1AF7">
              <w:rPr>
                <w:rFonts w:ascii="Arial" w:hAnsi="Arial" w:cs="Arial"/>
                <w:b/>
                <w:sz w:val="16"/>
                <w:szCs w:val="16"/>
              </w:rPr>
              <w:t xml:space="preserve">4.199.370 </w:t>
            </w:r>
          </w:p>
        </w:tc>
      </w:tr>
      <w:tr w:rsidR="00C97F85" w:rsidRPr="00701F32" w14:paraId="4EA2A7BB"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A062B" w14:textId="77777777" w:rsidR="00C97F85" w:rsidRPr="00701F32" w:rsidRDefault="00C97F85" w:rsidP="00C97F85">
            <w:pPr>
              <w:rPr>
                <w:rFonts w:ascii="Arial" w:hAnsi="Arial" w:cs="Arial"/>
                <w:b/>
                <w:bCs/>
                <w:sz w:val="16"/>
                <w:szCs w:val="18"/>
                <w:lang w:eastAsia="es-AR"/>
              </w:rPr>
            </w:pPr>
            <w:r w:rsidRPr="00701F32">
              <w:rPr>
                <w:rFonts w:ascii="Arial" w:hAnsi="Arial" w:cs="Arial"/>
                <w:b/>
                <w:bCs/>
                <w:sz w:val="16"/>
                <w:szCs w:val="18"/>
                <w:lang w:eastAsia="es-AR"/>
              </w:rPr>
              <w:t xml:space="preserve">Subtotal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7B6B60" w14:textId="2E1038D3" w:rsidR="00C97F85" w:rsidRPr="00C97F85" w:rsidRDefault="00C97F85">
            <w:pPr>
              <w:jc w:val="right"/>
              <w:rPr>
                <w:rFonts w:ascii="Arial" w:hAnsi="Arial" w:cs="Arial"/>
                <w:b/>
                <w:sz w:val="16"/>
                <w:szCs w:val="16"/>
              </w:rPr>
            </w:pPr>
            <w:r w:rsidRPr="006E1AF7">
              <w:rPr>
                <w:rFonts w:ascii="Arial" w:hAnsi="Arial" w:cs="Arial"/>
                <w:b/>
                <w:sz w:val="16"/>
                <w:szCs w:val="16"/>
              </w:rPr>
              <w:t xml:space="preserve">5.263.759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D30DDB" w14:textId="3F60C9F9" w:rsidR="00C97F85" w:rsidRPr="00C97F85" w:rsidRDefault="00C97F85">
            <w:pPr>
              <w:jc w:val="right"/>
              <w:rPr>
                <w:rFonts w:ascii="Arial" w:hAnsi="Arial" w:cs="Arial"/>
                <w:b/>
                <w:sz w:val="16"/>
                <w:szCs w:val="16"/>
              </w:rPr>
            </w:pPr>
            <w:r w:rsidRPr="006E1AF7">
              <w:rPr>
                <w:rFonts w:ascii="Arial" w:hAnsi="Arial" w:cs="Arial"/>
                <w:b/>
                <w:sz w:val="16"/>
                <w:szCs w:val="16"/>
              </w:rPr>
              <w:t xml:space="preserve">16.865.582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74514" w14:textId="7F312EB1" w:rsidR="00C97F85" w:rsidRPr="00C97F85" w:rsidRDefault="00C97F85">
            <w:pPr>
              <w:jc w:val="right"/>
              <w:rPr>
                <w:rFonts w:ascii="Arial" w:hAnsi="Arial" w:cs="Arial"/>
                <w:b/>
                <w:sz w:val="16"/>
                <w:szCs w:val="16"/>
              </w:rPr>
            </w:pPr>
            <w:r w:rsidRPr="006E1AF7">
              <w:rPr>
                <w:rFonts w:ascii="Arial" w:hAnsi="Arial" w:cs="Arial"/>
                <w:b/>
                <w:sz w:val="16"/>
                <w:szCs w:val="16"/>
              </w:rPr>
              <w:t xml:space="preserve">-11.463.132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B1E4CA" w14:textId="1CD94951" w:rsidR="00C97F85" w:rsidRPr="00C97F85" w:rsidRDefault="00C97F85">
            <w:pPr>
              <w:jc w:val="right"/>
              <w:rPr>
                <w:rFonts w:ascii="Arial" w:hAnsi="Arial" w:cs="Arial"/>
                <w:b/>
                <w:sz w:val="16"/>
                <w:szCs w:val="16"/>
              </w:rPr>
            </w:pPr>
            <w:r w:rsidRPr="006E1AF7">
              <w:rPr>
                <w:rFonts w:ascii="Arial" w:hAnsi="Arial" w:cs="Arial"/>
                <w:b/>
                <w:sz w:val="16"/>
                <w:szCs w:val="16"/>
              </w:rPr>
              <w:t xml:space="preserve">1.603.077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A2C8AA" w14:textId="56DE7C92" w:rsidR="00C97F85" w:rsidRPr="00C97F85" w:rsidRDefault="00C97F85">
            <w:pPr>
              <w:jc w:val="right"/>
              <w:rPr>
                <w:rFonts w:ascii="Arial" w:hAnsi="Arial" w:cs="Arial"/>
                <w:b/>
                <w:sz w:val="16"/>
                <w:szCs w:val="16"/>
              </w:rPr>
            </w:pPr>
            <w:r w:rsidRPr="006E1AF7">
              <w:rPr>
                <w:rFonts w:ascii="Arial" w:hAnsi="Arial" w:cs="Arial"/>
                <w:b/>
                <w:sz w:val="16"/>
                <w:szCs w:val="16"/>
              </w:rPr>
              <w:t xml:space="preserve">-28.867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8ECD7" w14:textId="305DC634" w:rsidR="00C97F85" w:rsidRPr="00C97F85" w:rsidRDefault="00C97F85">
            <w:pPr>
              <w:jc w:val="right"/>
              <w:rPr>
                <w:rFonts w:ascii="Arial" w:hAnsi="Arial" w:cs="Arial"/>
                <w:b/>
                <w:sz w:val="16"/>
                <w:szCs w:val="16"/>
              </w:rPr>
            </w:pPr>
            <w:r w:rsidRPr="006E1AF7">
              <w:rPr>
                <w:rFonts w:ascii="Arial" w:hAnsi="Arial" w:cs="Arial"/>
                <w:b/>
                <w:sz w:val="16"/>
                <w:szCs w:val="16"/>
              </w:rPr>
              <w:t xml:space="preserve">12.240.419 </w:t>
            </w:r>
          </w:p>
        </w:tc>
      </w:tr>
      <w:tr w:rsidR="00C97F85" w:rsidRPr="00701F32" w14:paraId="2B845B77" w14:textId="77777777" w:rsidTr="00A059FB">
        <w:tc>
          <w:tcPr>
            <w:tcW w:w="3261" w:type="dxa"/>
            <w:tcBorders>
              <w:top w:val="single" w:sz="4" w:space="0" w:color="auto"/>
              <w:left w:val="single" w:sz="4" w:space="0" w:color="auto"/>
              <w:bottom w:val="nil"/>
              <w:right w:val="single" w:sz="4" w:space="0" w:color="auto"/>
            </w:tcBorders>
            <w:shd w:val="clear" w:color="auto" w:fill="auto"/>
            <w:noWrap/>
            <w:vAlign w:val="bottom"/>
            <w:hideMark/>
          </w:tcPr>
          <w:p w14:paraId="5109908B" w14:textId="77777777" w:rsidR="00C97F85" w:rsidRPr="00701F32" w:rsidRDefault="00C97F85" w:rsidP="00C97F85">
            <w:pPr>
              <w:jc w:val="both"/>
              <w:rPr>
                <w:rFonts w:ascii="Arial" w:hAnsi="Arial" w:cs="Arial"/>
                <w:sz w:val="16"/>
                <w:szCs w:val="18"/>
                <w:lang w:eastAsia="es-AR"/>
              </w:rPr>
            </w:pPr>
            <w:r w:rsidRPr="00701F32">
              <w:rPr>
                <w:rFonts w:ascii="Arial" w:hAnsi="Arial" w:cs="Arial"/>
                <w:sz w:val="16"/>
                <w:szCs w:val="18"/>
                <w:lang w:eastAsia="es-AR"/>
              </w:rPr>
              <w:t xml:space="preserve"> Resultado neto por medición de instrumentos financieros a valor razonable con cambios en resultados </w:t>
            </w:r>
          </w:p>
        </w:tc>
        <w:tc>
          <w:tcPr>
            <w:tcW w:w="993" w:type="dxa"/>
            <w:tcBorders>
              <w:top w:val="single" w:sz="4" w:space="0" w:color="auto"/>
              <w:left w:val="single" w:sz="4" w:space="0" w:color="auto"/>
              <w:bottom w:val="nil"/>
              <w:right w:val="single" w:sz="4" w:space="0" w:color="auto"/>
            </w:tcBorders>
            <w:shd w:val="clear" w:color="auto" w:fill="auto"/>
            <w:noWrap/>
            <w:vAlign w:val="bottom"/>
          </w:tcPr>
          <w:p w14:paraId="76FAF5A4" w14:textId="18899894"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276" w:type="dxa"/>
            <w:tcBorders>
              <w:top w:val="single" w:sz="4" w:space="0" w:color="auto"/>
              <w:left w:val="single" w:sz="4" w:space="0" w:color="auto"/>
              <w:bottom w:val="nil"/>
              <w:right w:val="single" w:sz="4" w:space="0" w:color="auto"/>
            </w:tcBorders>
            <w:shd w:val="clear" w:color="auto" w:fill="auto"/>
            <w:noWrap/>
            <w:vAlign w:val="bottom"/>
          </w:tcPr>
          <w:p w14:paraId="14AE89EB" w14:textId="71AF1784" w:rsidR="00C97F85" w:rsidRPr="00C97F85" w:rsidRDefault="00C97F85">
            <w:pPr>
              <w:jc w:val="right"/>
              <w:rPr>
                <w:rFonts w:ascii="Arial" w:hAnsi="Arial" w:cs="Arial"/>
                <w:sz w:val="16"/>
                <w:szCs w:val="16"/>
              </w:rPr>
            </w:pPr>
            <w:r w:rsidRPr="006E1AF7">
              <w:rPr>
                <w:rFonts w:ascii="Arial" w:hAnsi="Arial" w:cs="Arial"/>
                <w:sz w:val="16"/>
                <w:szCs w:val="16"/>
              </w:rPr>
              <w:t xml:space="preserve">9.487 </w:t>
            </w:r>
          </w:p>
        </w:tc>
        <w:tc>
          <w:tcPr>
            <w:tcW w:w="1134" w:type="dxa"/>
            <w:tcBorders>
              <w:top w:val="single" w:sz="4" w:space="0" w:color="auto"/>
              <w:left w:val="single" w:sz="4" w:space="0" w:color="auto"/>
              <w:bottom w:val="nil"/>
              <w:right w:val="single" w:sz="4" w:space="0" w:color="auto"/>
            </w:tcBorders>
            <w:shd w:val="clear" w:color="auto" w:fill="auto"/>
            <w:noWrap/>
            <w:vAlign w:val="bottom"/>
          </w:tcPr>
          <w:p w14:paraId="06EDC13C" w14:textId="6526142B" w:rsidR="00C97F85" w:rsidRPr="00C97F85" w:rsidRDefault="00C97F85">
            <w:pPr>
              <w:jc w:val="right"/>
              <w:rPr>
                <w:rFonts w:ascii="Arial" w:hAnsi="Arial" w:cs="Arial"/>
                <w:sz w:val="16"/>
                <w:szCs w:val="16"/>
              </w:rPr>
            </w:pPr>
            <w:r w:rsidRPr="006E1AF7">
              <w:rPr>
                <w:rFonts w:ascii="Arial" w:hAnsi="Arial" w:cs="Arial"/>
                <w:sz w:val="16"/>
                <w:szCs w:val="16"/>
              </w:rPr>
              <w:t xml:space="preserve">15.920.233 </w:t>
            </w:r>
          </w:p>
        </w:tc>
        <w:tc>
          <w:tcPr>
            <w:tcW w:w="992" w:type="dxa"/>
            <w:tcBorders>
              <w:top w:val="single" w:sz="4" w:space="0" w:color="auto"/>
              <w:left w:val="single" w:sz="4" w:space="0" w:color="auto"/>
              <w:bottom w:val="nil"/>
              <w:right w:val="single" w:sz="4" w:space="0" w:color="auto"/>
            </w:tcBorders>
            <w:shd w:val="clear" w:color="auto" w:fill="auto"/>
            <w:noWrap/>
            <w:vAlign w:val="bottom"/>
          </w:tcPr>
          <w:p w14:paraId="6A1ACB7F" w14:textId="00E0A126" w:rsidR="00C97F85" w:rsidRPr="00C97F85" w:rsidRDefault="00C97F85">
            <w:pPr>
              <w:jc w:val="right"/>
              <w:rPr>
                <w:rFonts w:ascii="Arial" w:hAnsi="Arial" w:cs="Arial"/>
                <w:sz w:val="16"/>
                <w:szCs w:val="16"/>
              </w:rPr>
            </w:pPr>
            <w:r w:rsidRPr="006E1AF7">
              <w:rPr>
                <w:rFonts w:ascii="Arial" w:hAnsi="Arial" w:cs="Arial"/>
                <w:sz w:val="16"/>
                <w:szCs w:val="16"/>
              </w:rPr>
              <w:t xml:space="preserve">197.842 </w:t>
            </w:r>
          </w:p>
        </w:tc>
        <w:tc>
          <w:tcPr>
            <w:tcW w:w="1276" w:type="dxa"/>
            <w:tcBorders>
              <w:top w:val="single" w:sz="4" w:space="0" w:color="auto"/>
              <w:left w:val="single" w:sz="4" w:space="0" w:color="auto"/>
              <w:bottom w:val="nil"/>
              <w:right w:val="single" w:sz="4" w:space="0" w:color="auto"/>
            </w:tcBorders>
            <w:shd w:val="clear" w:color="auto" w:fill="auto"/>
            <w:noWrap/>
            <w:vAlign w:val="bottom"/>
          </w:tcPr>
          <w:p w14:paraId="20FDC9E4" w14:textId="4492D505" w:rsidR="00C97F85" w:rsidRPr="00C97F85" w:rsidRDefault="00C97F85">
            <w:pPr>
              <w:jc w:val="right"/>
              <w:rPr>
                <w:rFonts w:ascii="Arial" w:hAnsi="Arial" w:cs="Arial"/>
                <w:sz w:val="16"/>
                <w:szCs w:val="16"/>
              </w:rPr>
            </w:pPr>
            <w:r w:rsidRPr="006E1AF7">
              <w:rPr>
                <w:rFonts w:ascii="Arial" w:hAnsi="Arial" w:cs="Arial"/>
                <w:sz w:val="16"/>
                <w:szCs w:val="16"/>
              </w:rPr>
              <w:t xml:space="preserve">-1.708 </w:t>
            </w:r>
          </w:p>
        </w:tc>
        <w:tc>
          <w:tcPr>
            <w:tcW w:w="1133" w:type="dxa"/>
            <w:tcBorders>
              <w:top w:val="single" w:sz="4" w:space="0" w:color="auto"/>
              <w:left w:val="single" w:sz="4" w:space="0" w:color="auto"/>
              <w:bottom w:val="nil"/>
              <w:right w:val="single" w:sz="4" w:space="0" w:color="auto"/>
            </w:tcBorders>
            <w:shd w:val="clear" w:color="auto" w:fill="auto"/>
            <w:noWrap/>
            <w:vAlign w:val="bottom"/>
          </w:tcPr>
          <w:p w14:paraId="4336E1E1" w14:textId="5002ECB8" w:rsidR="00C97F85" w:rsidRPr="00C97F85" w:rsidRDefault="00C97F85">
            <w:pPr>
              <w:jc w:val="right"/>
              <w:rPr>
                <w:rFonts w:ascii="Arial" w:hAnsi="Arial" w:cs="Arial"/>
                <w:sz w:val="16"/>
                <w:szCs w:val="16"/>
              </w:rPr>
            </w:pPr>
            <w:r w:rsidRPr="006E1AF7">
              <w:rPr>
                <w:rFonts w:ascii="Arial" w:hAnsi="Arial" w:cs="Arial"/>
                <w:sz w:val="16"/>
                <w:szCs w:val="16"/>
              </w:rPr>
              <w:t xml:space="preserve">16.125.854 </w:t>
            </w:r>
          </w:p>
        </w:tc>
      </w:tr>
      <w:tr w:rsidR="00C97F85" w:rsidRPr="00701F32" w14:paraId="0DBD84AD" w14:textId="77777777" w:rsidTr="00A059FB">
        <w:tc>
          <w:tcPr>
            <w:tcW w:w="3261" w:type="dxa"/>
            <w:tcBorders>
              <w:top w:val="nil"/>
              <w:left w:val="single" w:sz="4" w:space="0" w:color="auto"/>
              <w:bottom w:val="nil"/>
              <w:right w:val="single" w:sz="4" w:space="0" w:color="auto"/>
            </w:tcBorders>
            <w:shd w:val="clear" w:color="auto" w:fill="auto"/>
            <w:noWrap/>
            <w:vAlign w:val="bottom"/>
            <w:hideMark/>
          </w:tcPr>
          <w:p w14:paraId="0FB5BF32" w14:textId="77777777" w:rsidR="00C97F85" w:rsidRPr="00701F32" w:rsidRDefault="00C97F85" w:rsidP="00C97F85">
            <w:pPr>
              <w:rPr>
                <w:rFonts w:ascii="Arial" w:hAnsi="Arial" w:cs="Arial"/>
                <w:sz w:val="16"/>
                <w:szCs w:val="18"/>
                <w:lang w:eastAsia="es-AR"/>
              </w:rPr>
            </w:pPr>
            <w:r w:rsidRPr="00701F32">
              <w:rPr>
                <w:rFonts w:ascii="Arial" w:hAnsi="Arial" w:cs="Arial"/>
                <w:sz w:val="16"/>
                <w:szCs w:val="18"/>
                <w:lang w:eastAsia="es-AR"/>
              </w:rPr>
              <w:t xml:space="preserve"> Diferencia de cotización de oro y moneda extranjera </w:t>
            </w:r>
          </w:p>
        </w:tc>
        <w:tc>
          <w:tcPr>
            <w:tcW w:w="993" w:type="dxa"/>
            <w:tcBorders>
              <w:top w:val="nil"/>
              <w:left w:val="single" w:sz="4" w:space="0" w:color="auto"/>
              <w:bottom w:val="nil"/>
              <w:right w:val="single" w:sz="4" w:space="0" w:color="auto"/>
            </w:tcBorders>
            <w:shd w:val="clear" w:color="auto" w:fill="auto"/>
            <w:noWrap/>
            <w:vAlign w:val="bottom"/>
          </w:tcPr>
          <w:p w14:paraId="4A74A845" w14:textId="1B403439" w:rsidR="00C97F85" w:rsidRPr="00C97F85" w:rsidRDefault="00C97F85">
            <w:pPr>
              <w:jc w:val="right"/>
              <w:rPr>
                <w:rFonts w:ascii="Arial" w:hAnsi="Arial" w:cs="Arial"/>
                <w:sz w:val="16"/>
                <w:szCs w:val="16"/>
                <w:lang w:val="es-ES_tradnl"/>
              </w:rPr>
            </w:pPr>
            <w:r w:rsidRPr="006E1AF7">
              <w:rPr>
                <w:rFonts w:ascii="Arial" w:hAnsi="Arial" w:cs="Arial"/>
                <w:sz w:val="16"/>
                <w:szCs w:val="16"/>
              </w:rPr>
              <w:t xml:space="preserve">123.507 </w:t>
            </w:r>
          </w:p>
        </w:tc>
        <w:tc>
          <w:tcPr>
            <w:tcW w:w="1276" w:type="dxa"/>
            <w:tcBorders>
              <w:top w:val="nil"/>
              <w:left w:val="single" w:sz="4" w:space="0" w:color="auto"/>
              <w:bottom w:val="nil"/>
              <w:right w:val="single" w:sz="4" w:space="0" w:color="auto"/>
            </w:tcBorders>
            <w:shd w:val="clear" w:color="auto" w:fill="auto"/>
            <w:noWrap/>
            <w:vAlign w:val="bottom"/>
          </w:tcPr>
          <w:p w14:paraId="7868475D" w14:textId="09203F55" w:rsidR="00C97F85" w:rsidRPr="00C97F85" w:rsidRDefault="00C97F85">
            <w:pPr>
              <w:jc w:val="right"/>
              <w:rPr>
                <w:rFonts w:ascii="Arial" w:hAnsi="Arial" w:cs="Arial"/>
                <w:sz w:val="16"/>
                <w:szCs w:val="16"/>
              </w:rPr>
            </w:pPr>
            <w:r w:rsidRPr="006E1AF7">
              <w:rPr>
                <w:rFonts w:ascii="Arial" w:hAnsi="Arial" w:cs="Arial"/>
                <w:sz w:val="16"/>
                <w:szCs w:val="16"/>
              </w:rPr>
              <w:t xml:space="preserve">1.140.297 </w:t>
            </w:r>
          </w:p>
        </w:tc>
        <w:tc>
          <w:tcPr>
            <w:tcW w:w="1134" w:type="dxa"/>
            <w:tcBorders>
              <w:top w:val="nil"/>
              <w:left w:val="single" w:sz="4" w:space="0" w:color="auto"/>
              <w:bottom w:val="nil"/>
              <w:right w:val="single" w:sz="4" w:space="0" w:color="auto"/>
            </w:tcBorders>
            <w:shd w:val="clear" w:color="auto" w:fill="auto"/>
            <w:noWrap/>
            <w:vAlign w:val="bottom"/>
          </w:tcPr>
          <w:p w14:paraId="5386B4FE" w14:textId="352A6470" w:rsidR="00C97F85" w:rsidRPr="00C97F85" w:rsidRDefault="00C97F85">
            <w:pPr>
              <w:jc w:val="right"/>
              <w:rPr>
                <w:rFonts w:ascii="Arial" w:hAnsi="Arial" w:cs="Arial"/>
                <w:sz w:val="16"/>
                <w:szCs w:val="16"/>
                <w:lang w:val="es-ES_tradnl"/>
              </w:rPr>
            </w:pPr>
            <w:r w:rsidRPr="006E1AF7">
              <w:rPr>
                <w:rFonts w:ascii="Arial" w:hAnsi="Arial" w:cs="Arial"/>
                <w:sz w:val="16"/>
                <w:szCs w:val="16"/>
              </w:rPr>
              <w:t xml:space="preserve">-1.482.135 </w:t>
            </w:r>
          </w:p>
        </w:tc>
        <w:tc>
          <w:tcPr>
            <w:tcW w:w="992" w:type="dxa"/>
            <w:tcBorders>
              <w:top w:val="nil"/>
              <w:left w:val="single" w:sz="4" w:space="0" w:color="auto"/>
              <w:bottom w:val="nil"/>
              <w:right w:val="single" w:sz="4" w:space="0" w:color="auto"/>
            </w:tcBorders>
            <w:shd w:val="clear" w:color="auto" w:fill="auto"/>
            <w:noWrap/>
            <w:vAlign w:val="bottom"/>
          </w:tcPr>
          <w:p w14:paraId="71DA5800" w14:textId="365BFE3F" w:rsidR="00C97F85" w:rsidRPr="00C97F85" w:rsidRDefault="00C97F85">
            <w:pPr>
              <w:jc w:val="right"/>
              <w:rPr>
                <w:rFonts w:ascii="Arial" w:hAnsi="Arial" w:cs="Arial"/>
                <w:sz w:val="16"/>
                <w:szCs w:val="16"/>
              </w:rPr>
            </w:pPr>
            <w:r w:rsidRPr="006E1AF7">
              <w:rPr>
                <w:rFonts w:ascii="Arial" w:hAnsi="Arial" w:cs="Arial"/>
                <w:sz w:val="16"/>
                <w:szCs w:val="16"/>
              </w:rPr>
              <w:t xml:space="preserve">5.025 </w:t>
            </w:r>
          </w:p>
        </w:tc>
        <w:tc>
          <w:tcPr>
            <w:tcW w:w="1276" w:type="dxa"/>
            <w:tcBorders>
              <w:top w:val="nil"/>
              <w:left w:val="single" w:sz="4" w:space="0" w:color="auto"/>
              <w:bottom w:val="nil"/>
              <w:right w:val="single" w:sz="4" w:space="0" w:color="auto"/>
            </w:tcBorders>
            <w:shd w:val="clear" w:color="auto" w:fill="auto"/>
            <w:noWrap/>
            <w:vAlign w:val="bottom"/>
          </w:tcPr>
          <w:p w14:paraId="606EEF22" w14:textId="02357D66"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133" w:type="dxa"/>
            <w:tcBorders>
              <w:top w:val="nil"/>
              <w:left w:val="single" w:sz="4" w:space="0" w:color="auto"/>
              <w:bottom w:val="nil"/>
              <w:right w:val="single" w:sz="4" w:space="0" w:color="auto"/>
            </w:tcBorders>
            <w:shd w:val="clear" w:color="auto" w:fill="auto"/>
            <w:noWrap/>
            <w:vAlign w:val="bottom"/>
          </w:tcPr>
          <w:p w14:paraId="1AD8E45D" w14:textId="5918629B" w:rsidR="00C97F85" w:rsidRPr="00C97F85" w:rsidRDefault="00C97F85">
            <w:pPr>
              <w:jc w:val="right"/>
              <w:rPr>
                <w:rFonts w:ascii="Arial" w:hAnsi="Arial" w:cs="Arial"/>
                <w:sz w:val="16"/>
                <w:szCs w:val="16"/>
              </w:rPr>
            </w:pPr>
            <w:r w:rsidRPr="006E1AF7">
              <w:rPr>
                <w:rFonts w:ascii="Arial" w:hAnsi="Arial" w:cs="Arial"/>
                <w:sz w:val="16"/>
                <w:szCs w:val="16"/>
              </w:rPr>
              <w:t xml:space="preserve">-213.306 </w:t>
            </w:r>
          </w:p>
        </w:tc>
      </w:tr>
      <w:tr w:rsidR="00C97F85" w:rsidRPr="00701F32" w14:paraId="0B12FB60" w14:textId="77777777" w:rsidTr="00A059FB">
        <w:tc>
          <w:tcPr>
            <w:tcW w:w="3261" w:type="dxa"/>
            <w:tcBorders>
              <w:top w:val="nil"/>
              <w:left w:val="single" w:sz="4" w:space="0" w:color="auto"/>
              <w:bottom w:val="nil"/>
              <w:right w:val="single" w:sz="4" w:space="0" w:color="auto"/>
            </w:tcBorders>
            <w:shd w:val="clear" w:color="auto" w:fill="auto"/>
            <w:noWrap/>
            <w:vAlign w:val="bottom"/>
            <w:hideMark/>
          </w:tcPr>
          <w:p w14:paraId="3A979FDD" w14:textId="77777777" w:rsidR="00C97F85" w:rsidRPr="00701F32" w:rsidRDefault="00C97F85" w:rsidP="00C97F85">
            <w:pPr>
              <w:jc w:val="both"/>
              <w:rPr>
                <w:rFonts w:ascii="Arial" w:hAnsi="Arial" w:cs="Arial"/>
                <w:sz w:val="16"/>
                <w:szCs w:val="18"/>
                <w:lang w:eastAsia="es-AR"/>
              </w:rPr>
            </w:pPr>
            <w:r w:rsidRPr="00701F32">
              <w:rPr>
                <w:rFonts w:ascii="Arial" w:hAnsi="Arial" w:cs="Arial"/>
                <w:sz w:val="16"/>
                <w:szCs w:val="18"/>
                <w:lang w:eastAsia="es-AR"/>
              </w:rPr>
              <w:t xml:space="preserve"> Otros ingresos operativos </w:t>
            </w:r>
          </w:p>
        </w:tc>
        <w:tc>
          <w:tcPr>
            <w:tcW w:w="993" w:type="dxa"/>
            <w:tcBorders>
              <w:top w:val="nil"/>
              <w:left w:val="single" w:sz="4" w:space="0" w:color="auto"/>
              <w:bottom w:val="nil"/>
              <w:right w:val="single" w:sz="4" w:space="0" w:color="auto"/>
            </w:tcBorders>
            <w:shd w:val="clear" w:color="auto" w:fill="auto"/>
            <w:noWrap/>
            <w:vAlign w:val="bottom"/>
          </w:tcPr>
          <w:p w14:paraId="65DCB1E8" w14:textId="178BC920" w:rsidR="00C97F85" w:rsidRPr="00C97F85" w:rsidRDefault="00C97F85">
            <w:pPr>
              <w:jc w:val="right"/>
              <w:rPr>
                <w:rFonts w:ascii="Arial" w:hAnsi="Arial" w:cs="Arial"/>
                <w:sz w:val="16"/>
                <w:szCs w:val="16"/>
              </w:rPr>
            </w:pPr>
            <w:r w:rsidRPr="006E1AF7">
              <w:rPr>
                <w:rFonts w:ascii="Arial" w:hAnsi="Arial" w:cs="Arial"/>
                <w:sz w:val="16"/>
                <w:szCs w:val="16"/>
              </w:rPr>
              <w:t xml:space="preserve">741.378 </w:t>
            </w:r>
          </w:p>
        </w:tc>
        <w:tc>
          <w:tcPr>
            <w:tcW w:w="1276" w:type="dxa"/>
            <w:tcBorders>
              <w:top w:val="nil"/>
              <w:left w:val="single" w:sz="4" w:space="0" w:color="auto"/>
              <w:bottom w:val="nil"/>
              <w:right w:val="single" w:sz="4" w:space="0" w:color="auto"/>
            </w:tcBorders>
            <w:shd w:val="clear" w:color="auto" w:fill="auto"/>
            <w:noWrap/>
            <w:vAlign w:val="bottom"/>
          </w:tcPr>
          <w:p w14:paraId="5EA1FC34" w14:textId="68AFA1EC" w:rsidR="00C97F85" w:rsidRPr="00C97F85" w:rsidRDefault="00C97F85">
            <w:pPr>
              <w:jc w:val="right"/>
              <w:rPr>
                <w:rFonts w:ascii="Arial" w:hAnsi="Arial" w:cs="Arial"/>
                <w:sz w:val="16"/>
                <w:szCs w:val="16"/>
              </w:rPr>
            </w:pPr>
            <w:r w:rsidRPr="006E1AF7">
              <w:rPr>
                <w:rFonts w:ascii="Arial" w:hAnsi="Arial" w:cs="Arial"/>
                <w:sz w:val="16"/>
                <w:szCs w:val="16"/>
              </w:rPr>
              <w:t xml:space="preserve">1.134.331 </w:t>
            </w:r>
          </w:p>
        </w:tc>
        <w:tc>
          <w:tcPr>
            <w:tcW w:w="1134" w:type="dxa"/>
            <w:tcBorders>
              <w:top w:val="nil"/>
              <w:left w:val="single" w:sz="4" w:space="0" w:color="auto"/>
              <w:bottom w:val="nil"/>
              <w:right w:val="single" w:sz="4" w:space="0" w:color="auto"/>
            </w:tcBorders>
            <w:shd w:val="clear" w:color="auto" w:fill="auto"/>
            <w:noWrap/>
            <w:vAlign w:val="bottom"/>
          </w:tcPr>
          <w:p w14:paraId="07553873" w14:textId="34E3B7A5" w:rsidR="00C97F85" w:rsidRPr="00C97F85" w:rsidRDefault="00C97F85">
            <w:pPr>
              <w:jc w:val="right"/>
              <w:rPr>
                <w:rFonts w:ascii="Arial" w:hAnsi="Arial" w:cs="Arial"/>
                <w:sz w:val="16"/>
                <w:szCs w:val="16"/>
              </w:rPr>
            </w:pPr>
            <w:r w:rsidRPr="006E1AF7">
              <w:rPr>
                <w:rFonts w:ascii="Arial" w:hAnsi="Arial" w:cs="Arial"/>
                <w:sz w:val="16"/>
                <w:szCs w:val="16"/>
              </w:rPr>
              <w:t xml:space="preserve">346.195 </w:t>
            </w:r>
          </w:p>
        </w:tc>
        <w:tc>
          <w:tcPr>
            <w:tcW w:w="992" w:type="dxa"/>
            <w:tcBorders>
              <w:top w:val="nil"/>
              <w:left w:val="single" w:sz="4" w:space="0" w:color="auto"/>
              <w:bottom w:val="nil"/>
              <w:right w:val="single" w:sz="4" w:space="0" w:color="auto"/>
            </w:tcBorders>
            <w:shd w:val="clear" w:color="auto" w:fill="auto"/>
            <w:noWrap/>
            <w:vAlign w:val="bottom"/>
          </w:tcPr>
          <w:p w14:paraId="6B635A48" w14:textId="1F0917C6" w:rsidR="00C97F85" w:rsidRPr="00C97F85" w:rsidRDefault="00C97F85">
            <w:pPr>
              <w:jc w:val="right"/>
              <w:rPr>
                <w:rFonts w:ascii="Arial" w:hAnsi="Arial" w:cs="Arial"/>
                <w:sz w:val="16"/>
                <w:szCs w:val="16"/>
              </w:rPr>
            </w:pPr>
            <w:r w:rsidRPr="006E1AF7">
              <w:rPr>
                <w:rFonts w:ascii="Arial" w:hAnsi="Arial" w:cs="Arial"/>
                <w:sz w:val="16"/>
                <w:szCs w:val="16"/>
              </w:rPr>
              <w:t xml:space="preserve">160.086 </w:t>
            </w:r>
          </w:p>
        </w:tc>
        <w:tc>
          <w:tcPr>
            <w:tcW w:w="1276" w:type="dxa"/>
            <w:tcBorders>
              <w:top w:val="nil"/>
              <w:left w:val="single" w:sz="4" w:space="0" w:color="auto"/>
              <w:bottom w:val="nil"/>
              <w:right w:val="single" w:sz="4" w:space="0" w:color="auto"/>
            </w:tcBorders>
            <w:shd w:val="clear" w:color="auto" w:fill="auto"/>
            <w:noWrap/>
            <w:vAlign w:val="bottom"/>
          </w:tcPr>
          <w:p w14:paraId="5D8B796F" w14:textId="3AE1D0CF" w:rsidR="00C97F85" w:rsidRPr="00C97F85" w:rsidRDefault="00C97F85">
            <w:pPr>
              <w:jc w:val="right"/>
              <w:rPr>
                <w:rFonts w:ascii="Arial" w:hAnsi="Arial" w:cs="Arial"/>
                <w:sz w:val="16"/>
                <w:szCs w:val="16"/>
              </w:rPr>
            </w:pPr>
            <w:r w:rsidRPr="006E1AF7">
              <w:rPr>
                <w:rFonts w:ascii="Arial" w:hAnsi="Arial" w:cs="Arial"/>
                <w:sz w:val="16"/>
                <w:szCs w:val="16"/>
              </w:rPr>
              <w:t xml:space="preserve">-10.542 </w:t>
            </w:r>
          </w:p>
        </w:tc>
        <w:tc>
          <w:tcPr>
            <w:tcW w:w="1133" w:type="dxa"/>
            <w:tcBorders>
              <w:top w:val="nil"/>
              <w:left w:val="single" w:sz="4" w:space="0" w:color="auto"/>
              <w:bottom w:val="nil"/>
              <w:right w:val="single" w:sz="4" w:space="0" w:color="auto"/>
            </w:tcBorders>
            <w:shd w:val="clear" w:color="auto" w:fill="auto"/>
            <w:noWrap/>
            <w:vAlign w:val="bottom"/>
          </w:tcPr>
          <w:p w14:paraId="4ABE8C23" w14:textId="041472CA" w:rsidR="00C97F85" w:rsidRPr="00C97F85" w:rsidRDefault="00C97F85">
            <w:pPr>
              <w:jc w:val="right"/>
              <w:rPr>
                <w:rFonts w:ascii="Arial" w:hAnsi="Arial" w:cs="Arial"/>
                <w:sz w:val="16"/>
                <w:szCs w:val="16"/>
              </w:rPr>
            </w:pPr>
            <w:r w:rsidRPr="006E1AF7">
              <w:rPr>
                <w:rFonts w:ascii="Arial" w:hAnsi="Arial" w:cs="Arial"/>
                <w:sz w:val="16"/>
                <w:szCs w:val="16"/>
              </w:rPr>
              <w:t xml:space="preserve">2.371.448 </w:t>
            </w:r>
          </w:p>
        </w:tc>
      </w:tr>
      <w:tr w:rsidR="00C97F85" w:rsidRPr="00701F32" w14:paraId="4A52E8B3" w14:textId="77777777" w:rsidTr="00A059FB">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7242517D" w14:textId="77777777" w:rsidR="00C97F85" w:rsidRPr="00701F32" w:rsidRDefault="00C97F85" w:rsidP="00C97F85">
            <w:pPr>
              <w:jc w:val="both"/>
              <w:rPr>
                <w:rFonts w:ascii="Arial" w:hAnsi="Arial" w:cs="Arial"/>
                <w:sz w:val="16"/>
                <w:szCs w:val="18"/>
                <w:lang w:eastAsia="es-AR"/>
              </w:rPr>
            </w:pPr>
            <w:r w:rsidRPr="00701F32">
              <w:rPr>
                <w:rFonts w:ascii="Arial" w:hAnsi="Arial" w:cs="Arial"/>
                <w:sz w:val="16"/>
                <w:szCs w:val="18"/>
                <w:lang w:eastAsia="es-AR"/>
              </w:rPr>
              <w:t xml:space="preserve"> Cargo por incobrabilidad </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753D0A6A" w14:textId="15171BBC"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2.876.211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1C574D3" w14:textId="328FBBD0"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2.348.965 </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4F1FA748" w14:textId="62942556" w:rsidR="00C97F85" w:rsidRPr="00C97F85" w:rsidRDefault="00C97F85">
            <w:pPr>
              <w:jc w:val="right"/>
              <w:rPr>
                <w:rFonts w:ascii="Arial" w:hAnsi="Arial" w:cs="Arial"/>
                <w:sz w:val="16"/>
                <w:szCs w:val="16"/>
              </w:rPr>
            </w:pPr>
            <w:r w:rsidRPr="006E1AF7">
              <w:rPr>
                <w:rFonts w:ascii="Arial" w:hAnsi="Arial" w:cs="Arial"/>
                <w:sz w:val="16"/>
                <w:szCs w:val="16"/>
              </w:rPr>
              <w:t xml:space="preserve">19.762 </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0C614CD3" w14:textId="4F24DD19"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1.200.077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BCD0210" w14:textId="686937AB" w:rsidR="00C97F85" w:rsidRPr="00C97F85" w:rsidRDefault="00C97F85">
            <w:pPr>
              <w:jc w:val="right"/>
              <w:rPr>
                <w:rFonts w:ascii="Arial" w:hAnsi="Arial" w:cs="Arial"/>
                <w:sz w:val="16"/>
                <w:szCs w:val="16"/>
              </w:rPr>
            </w:pPr>
            <w:r w:rsidRPr="006E1AF7">
              <w:rPr>
                <w:rFonts w:ascii="Arial" w:hAnsi="Arial" w:cs="Arial"/>
                <w:sz w:val="16"/>
                <w:szCs w:val="16"/>
              </w:rPr>
              <w:t xml:space="preserve">10.071 </w:t>
            </w:r>
          </w:p>
        </w:tc>
        <w:tc>
          <w:tcPr>
            <w:tcW w:w="1133" w:type="dxa"/>
            <w:tcBorders>
              <w:top w:val="nil"/>
              <w:left w:val="single" w:sz="4" w:space="0" w:color="auto"/>
              <w:bottom w:val="single" w:sz="4" w:space="0" w:color="auto"/>
              <w:right w:val="single" w:sz="4" w:space="0" w:color="auto"/>
            </w:tcBorders>
            <w:shd w:val="clear" w:color="auto" w:fill="auto"/>
            <w:noWrap/>
            <w:vAlign w:val="bottom"/>
          </w:tcPr>
          <w:p w14:paraId="52D4D742" w14:textId="5442ED4F"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6.395.420 </w:t>
            </w:r>
          </w:p>
        </w:tc>
      </w:tr>
      <w:tr w:rsidR="00C97F85" w:rsidRPr="00701F32" w14:paraId="6FACC501"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6002E" w14:textId="77777777" w:rsidR="00C97F85" w:rsidRPr="00701F32" w:rsidRDefault="00C97F85" w:rsidP="00C97F85">
            <w:pPr>
              <w:jc w:val="both"/>
              <w:rPr>
                <w:rFonts w:ascii="Arial" w:hAnsi="Arial" w:cs="Arial"/>
                <w:b/>
                <w:bCs/>
                <w:sz w:val="16"/>
                <w:szCs w:val="18"/>
                <w:lang w:eastAsia="es-AR"/>
              </w:rPr>
            </w:pPr>
            <w:r w:rsidRPr="00701F32">
              <w:rPr>
                <w:rFonts w:ascii="Arial" w:hAnsi="Arial" w:cs="Arial"/>
                <w:b/>
                <w:bCs/>
                <w:sz w:val="16"/>
                <w:szCs w:val="18"/>
                <w:lang w:eastAsia="es-AR"/>
              </w:rPr>
              <w:t xml:space="preserve"> Ingreso operativo neto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31C6CC" w14:textId="45F12562" w:rsidR="00C97F85" w:rsidRPr="00C97F85" w:rsidRDefault="00C97F85">
            <w:pPr>
              <w:jc w:val="right"/>
              <w:rPr>
                <w:rFonts w:ascii="Arial" w:hAnsi="Arial" w:cs="Arial"/>
                <w:b/>
                <w:sz w:val="16"/>
                <w:szCs w:val="16"/>
              </w:rPr>
            </w:pPr>
            <w:r w:rsidRPr="006E1AF7">
              <w:rPr>
                <w:rFonts w:ascii="Arial" w:hAnsi="Arial" w:cs="Arial"/>
                <w:b/>
                <w:sz w:val="16"/>
                <w:szCs w:val="16"/>
              </w:rPr>
              <w:t xml:space="preserve">3.252.433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42AAB" w14:textId="4F33EB9B" w:rsidR="00C97F85" w:rsidRPr="00C97F85" w:rsidRDefault="00C97F85">
            <w:pPr>
              <w:jc w:val="right"/>
              <w:rPr>
                <w:rFonts w:ascii="Arial" w:hAnsi="Arial" w:cs="Arial"/>
                <w:b/>
                <w:sz w:val="16"/>
                <w:szCs w:val="16"/>
              </w:rPr>
            </w:pPr>
            <w:r w:rsidRPr="006E1AF7">
              <w:rPr>
                <w:rFonts w:ascii="Arial" w:hAnsi="Arial" w:cs="Arial"/>
                <w:b/>
                <w:sz w:val="16"/>
                <w:szCs w:val="16"/>
              </w:rPr>
              <w:t xml:space="preserve">16.800.732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5C28E" w14:textId="15E26C55" w:rsidR="00C97F85" w:rsidRPr="00C97F85" w:rsidRDefault="00C97F85">
            <w:pPr>
              <w:jc w:val="right"/>
              <w:rPr>
                <w:rFonts w:ascii="Arial" w:hAnsi="Arial" w:cs="Arial"/>
                <w:b/>
                <w:sz w:val="16"/>
                <w:szCs w:val="16"/>
              </w:rPr>
            </w:pPr>
            <w:r w:rsidRPr="006E1AF7">
              <w:rPr>
                <w:rFonts w:ascii="Arial" w:hAnsi="Arial" w:cs="Arial"/>
                <w:b/>
                <w:sz w:val="16"/>
                <w:szCs w:val="16"/>
              </w:rPr>
              <w:t xml:space="preserve">3.340.923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0592A8" w14:textId="2A62B63F" w:rsidR="00C97F85" w:rsidRPr="00C97F85" w:rsidRDefault="00C97F85">
            <w:pPr>
              <w:jc w:val="right"/>
              <w:rPr>
                <w:rFonts w:ascii="Arial" w:hAnsi="Arial" w:cs="Arial"/>
                <w:b/>
                <w:sz w:val="16"/>
                <w:szCs w:val="16"/>
              </w:rPr>
            </w:pPr>
            <w:r w:rsidRPr="006E1AF7">
              <w:rPr>
                <w:rFonts w:ascii="Arial" w:hAnsi="Arial" w:cs="Arial"/>
                <w:b/>
                <w:sz w:val="16"/>
                <w:szCs w:val="16"/>
              </w:rPr>
              <w:t xml:space="preserve">765.953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D82566" w14:textId="27F65FA9" w:rsidR="00C97F85" w:rsidRPr="00C97F85" w:rsidRDefault="00C97F85">
            <w:pPr>
              <w:jc w:val="right"/>
              <w:rPr>
                <w:rFonts w:ascii="Arial" w:hAnsi="Arial" w:cs="Arial"/>
                <w:b/>
                <w:sz w:val="16"/>
                <w:szCs w:val="16"/>
              </w:rPr>
            </w:pPr>
            <w:r w:rsidRPr="006E1AF7">
              <w:rPr>
                <w:rFonts w:ascii="Arial" w:hAnsi="Arial" w:cs="Arial"/>
                <w:b/>
                <w:sz w:val="16"/>
                <w:szCs w:val="16"/>
              </w:rPr>
              <w:t xml:space="preserve">-31.046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1FA940" w14:textId="31C0A8E4" w:rsidR="00C97F85" w:rsidRPr="00C97F85" w:rsidRDefault="00C97F85">
            <w:pPr>
              <w:jc w:val="right"/>
              <w:rPr>
                <w:rFonts w:ascii="Arial" w:hAnsi="Arial" w:cs="Arial"/>
                <w:b/>
                <w:sz w:val="16"/>
                <w:szCs w:val="16"/>
              </w:rPr>
            </w:pPr>
            <w:r w:rsidRPr="006E1AF7">
              <w:rPr>
                <w:rFonts w:ascii="Arial" w:hAnsi="Arial" w:cs="Arial"/>
                <w:b/>
                <w:sz w:val="16"/>
                <w:szCs w:val="16"/>
              </w:rPr>
              <w:t xml:space="preserve">24.128.995 </w:t>
            </w:r>
          </w:p>
        </w:tc>
      </w:tr>
      <w:tr w:rsidR="00C97F85" w:rsidRPr="00701F32" w14:paraId="78CCA771" w14:textId="77777777" w:rsidTr="00A059FB">
        <w:tc>
          <w:tcPr>
            <w:tcW w:w="3261" w:type="dxa"/>
            <w:tcBorders>
              <w:top w:val="single" w:sz="4" w:space="0" w:color="auto"/>
              <w:left w:val="single" w:sz="4" w:space="0" w:color="auto"/>
              <w:bottom w:val="nil"/>
              <w:right w:val="single" w:sz="4" w:space="0" w:color="auto"/>
            </w:tcBorders>
            <w:shd w:val="clear" w:color="auto" w:fill="auto"/>
            <w:noWrap/>
            <w:vAlign w:val="bottom"/>
            <w:hideMark/>
          </w:tcPr>
          <w:p w14:paraId="520E9F83" w14:textId="77777777" w:rsidR="00C97F85" w:rsidRPr="00701F32" w:rsidRDefault="00C97F85" w:rsidP="00C97F85">
            <w:pPr>
              <w:jc w:val="both"/>
              <w:rPr>
                <w:rFonts w:ascii="Arial" w:hAnsi="Arial" w:cs="Arial"/>
                <w:sz w:val="16"/>
                <w:szCs w:val="18"/>
                <w:lang w:eastAsia="es-AR"/>
              </w:rPr>
            </w:pPr>
            <w:r w:rsidRPr="00701F32">
              <w:rPr>
                <w:rFonts w:ascii="Arial" w:hAnsi="Arial" w:cs="Arial"/>
                <w:sz w:val="16"/>
                <w:szCs w:val="18"/>
                <w:lang w:eastAsia="es-AR"/>
              </w:rPr>
              <w:t xml:space="preserve"> Beneficios al personal </w:t>
            </w:r>
          </w:p>
        </w:tc>
        <w:tc>
          <w:tcPr>
            <w:tcW w:w="993" w:type="dxa"/>
            <w:tcBorders>
              <w:top w:val="single" w:sz="4" w:space="0" w:color="auto"/>
              <w:left w:val="single" w:sz="4" w:space="0" w:color="auto"/>
              <w:bottom w:val="nil"/>
              <w:right w:val="single" w:sz="4" w:space="0" w:color="auto"/>
            </w:tcBorders>
            <w:shd w:val="clear" w:color="auto" w:fill="auto"/>
            <w:noWrap/>
            <w:vAlign w:val="bottom"/>
          </w:tcPr>
          <w:p w14:paraId="160A5104" w14:textId="3250E2FB"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1.512.263 </w:t>
            </w:r>
          </w:p>
        </w:tc>
        <w:tc>
          <w:tcPr>
            <w:tcW w:w="1276" w:type="dxa"/>
            <w:tcBorders>
              <w:top w:val="single" w:sz="4" w:space="0" w:color="auto"/>
              <w:left w:val="single" w:sz="4" w:space="0" w:color="auto"/>
              <w:bottom w:val="nil"/>
              <w:right w:val="single" w:sz="4" w:space="0" w:color="auto"/>
            </w:tcBorders>
            <w:shd w:val="clear" w:color="auto" w:fill="auto"/>
            <w:noWrap/>
            <w:vAlign w:val="bottom"/>
          </w:tcPr>
          <w:p w14:paraId="24D2B390" w14:textId="38BEDC15"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8.083.588 </w:t>
            </w:r>
          </w:p>
        </w:tc>
        <w:tc>
          <w:tcPr>
            <w:tcW w:w="1134" w:type="dxa"/>
            <w:tcBorders>
              <w:top w:val="single" w:sz="4" w:space="0" w:color="auto"/>
              <w:left w:val="single" w:sz="4" w:space="0" w:color="auto"/>
              <w:bottom w:val="nil"/>
              <w:right w:val="single" w:sz="4" w:space="0" w:color="auto"/>
            </w:tcBorders>
            <w:shd w:val="clear" w:color="auto" w:fill="auto"/>
            <w:noWrap/>
            <w:vAlign w:val="bottom"/>
          </w:tcPr>
          <w:p w14:paraId="423F5C20" w14:textId="0D0DDBA9"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538.300 </w:t>
            </w:r>
          </w:p>
        </w:tc>
        <w:tc>
          <w:tcPr>
            <w:tcW w:w="992" w:type="dxa"/>
            <w:tcBorders>
              <w:top w:val="single" w:sz="4" w:space="0" w:color="auto"/>
              <w:left w:val="single" w:sz="4" w:space="0" w:color="auto"/>
              <w:bottom w:val="nil"/>
              <w:right w:val="single" w:sz="4" w:space="0" w:color="auto"/>
            </w:tcBorders>
            <w:shd w:val="clear" w:color="auto" w:fill="auto"/>
            <w:noWrap/>
            <w:vAlign w:val="bottom"/>
          </w:tcPr>
          <w:p w14:paraId="13BE160A" w14:textId="3F65B992"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516.650 </w:t>
            </w:r>
          </w:p>
        </w:tc>
        <w:tc>
          <w:tcPr>
            <w:tcW w:w="1276" w:type="dxa"/>
            <w:tcBorders>
              <w:top w:val="single" w:sz="4" w:space="0" w:color="auto"/>
              <w:left w:val="single" w:sz="4" w:space="0" w:color="auto"/>
              <w:bottom w:val="nil"/>
              <w:right w:val="single" w:sz="4" w:space="0" w:color="auto"/>
            </w:tcBorders>
            <w:shd w:val="clear" w:color="auto" w:fill="auto"/>
            <w:noWrap/>
            <w:vAlign w:val="bottom"/>
          </w:tcPr>
          <w:p w14:paraId="7E602C03" w14:textId="3BCD8FB9"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133" w:type="dxa"/>
            <w:tcBorders>
              <w:top w:val="single" w:sz="4" w:space="0" w:color="auto"/>
              <w:left w:val="single" w:sz="4" w:space="0" w:color="auto"/>
              <w:bottom w:val="nil"/>
              <w:right w:val="single" w:sz="4" w:space="0" w:color="auto"/>
            </w:tcBorders>
            <w:shd w:val="clear" w:color="auto" w:fill="auto"/>
            <w:noWrap/>
            <w:vAlign w:val="bottom"/>
          </w:tcPr>
          <w:p w14:paraId="4A8559A3" w14:textId="3C8CDB20"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10.650.801 </w:t>
            </w:r>
          </w:p>
        </w:tc>
      </w:tr>
      <w:tr w:rsidR="00C97F85" w:rsidRPr="00701F32" w14:paraId="77D6598B" w14:textId="77777777" w:rsidTr="00A059FB">
        <w:tc>
          <w:tcPr>
            <w:tcW w:w="3261" w:type="dxa"/>
            <w:tcBorders>
              <w:top w:val="nil"/>
              <w:left w:val="single" w:sz="4" w:space="0" w:color="auto"/>
              <w:bottom w:val="nil"/>
              <w:right w:val="single" w:sz="4" w:space="0" w:color="auto"/>
            </w:tcBorders>
            <w:shd w:val="clear" w:color="auto" w:fill="auto"/>
            <w:noWrap/>
            <w:vAlign w:val="bottom"/>
            <w:hideMark/>
          </w:tcPr>
          <w:p w14:paraId="5E408319" w14:textId="77777777" w:rsidR="00C97F85" w:rsidRPr="00701F32" w:rsidRDefault="00C97F85" w:rsidP="00C97F85">
            <w:pPr>
              <w:jc w:val="both"/>
              <w:rPr>
                <w:rFonts w:ascii="Arial" w:hAnsi="Arial" w:cs="Arial"/>
                <w:sz w:val="16"/>
                <w:szCs w:val="18"/>
                <w:lang w:eastAsia="es-AR"/>
              </w:rPr>
            </w:pPr>
            <w:r w:rsidRPr="00701F32">
              <w:rPr>
                <w:rFonts w:ascii="Arial" w:hAnsi="Arial" w:cs="Arial"/>
                <w:sz w:val="16"/>
                <w:szCs w:val="18"/>
                <w:lang w:eastAsia="es-AR"/>
              </w:rPr>
              <w:t xml:space="preserve"> Gastos de administración </w:t>
            </w:r>
          </w:p>
        </w:tc>
        <w:tc>
          <w:tcPr>
            <w:tcW w:w="993" w:type="dxa"/>
            <w:tcBorders>
              <w:top w:val="nil"/>
              <w:left w:val="single" w:sz="4" w:space="0" w:color="auto"/>
              <w:bottom w:val="nil"/>
              <w:right w:val="single" w:sz="4" w:space="0" w:color="auto"/>
            </w:tcBorders>
            <w:shd w:val="clear" w:color="auto" w:fill="auto"/>
            <w:noWrap/>
            <w:vAlign w:val="bottom"/>
          </w:tcPr>
          <w:p w14:paraId="6BF24965" w14:textId="642076F2"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541.932 </w:t>
            </w:r>
          </w:p>
        </w:tc>
        <w:tc>
          <w:tcPr>
            <w:tcW w:w="1276" w:type="dxa"/>
            <w:tcBorders>
              <w:top w:val="nil"/>
              <w:left w:val="single" w:sz="4" w:space="0" w:color="auto"/>
              <w:bottom w:val="nil"/>
              <w:right w:val="single" w:sz="4" w:space="0" w:color="auto"/>
            </w:tcBorders>
            <w:shd w:val="clear" w:color="auto" w:fill="auto"/>
            <w:noWrap/>
            <w:vAlign w:val="bottom"/>
          </w:tcPr>
          <w:p w14:paraId="48F6966F" w14:textId="2713AC1F"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4.029.674 </w:t>
            </w:r>
          </w:p>
        </w:tc>
        <w:tc>
          <w:tcPr>
            <w:tcW w:w="1134" w:type="dxa"/>
            <w:tcBorders>
              <w:top w:val="nil"/>
              <w:left w:val="single" w:sz="4" w:space="0" w:color="auto"/>
              <w:bottom w:val="nil"/>
              <w:right w:val="single" w:sz="4" w:space="0" w:color="auto"/>
            </w:tcBorders>
            <w:shd w:val="clear" w:color="auto" w:fill="auto"/>
            <w:noWrap/>
            <w:vAlign w:val="bottom"/>
          </w:tcPr>
          <w:p w14:paraId="36F60C26" w14:textId="67B0A78D"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255.136 </w:t>
            </w:r>
          </w:p>
        </w:tc>
        <w:tc>
          <w:tcPr>
            <w:tcW w:w="992" w:type="dxa"/>
            <w:tcBorders>
              <w:top w:val="nil"/>
              <w:left w:val="single" w:sz="4" w:space="0" w:color="auto"/>
              <w:bottom w:val="nil"/>
              <w:right w:val="single" w:sz="4" w:space="0" w:color="auto"/>
            </w:tcBorders>
            <w:shd w:val="clear" w:color="auto" w:fill="auto"/>
            <w:noWrap/>
            <w:vAlign w:val="bottom"/>
          </w:tcPr>
          <w:p w14:paraId="183CCFE5" w14:textId="33077023"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577.144 </w:t>
            </w:r>
          </w:p>
        </w:tc>
        <w:tc>
          <w:tcPr>
            <w:tcW w:w="1276" w:type="dxa"/>
            <w:tcBorders>
              <w:top w:val="nil"/>
              <w:left w:val="single" w:sz="4" w:space="0" w:color="auto"/>
              <w:bottom w:val="nil"/>
              <w:right w:val="single" w:sz="4" w:space="0" w:color="auto"/>
            </w:tcBorders>
            <w:shd w:val="clear" w:color="auto" w:fill="auto"/>
            <w:noWrap/>
            <w:vAlign w:val="bottom"/>
          </w:tcPr>
          <w:p w14:paraId="70003F9B" w14:textId="27899CC0" w:rsidR="00C97F85" w:rsidRPr="00C97F85" w:rsidRDefault="00C97F85">
            <w:pPr>
              <w:jc w:val="right"/>
              <w:rPr>
                <w:rFonts w:ascii="Arial" w:hAnsi="Arial" w:cs="Arial"/>
                <w:sz w:val="16"/>
                <w:szCs w:val="16"/>
              </w:rPr>
            </w:pPr>
            <w:r w:rsidRPr="006E1AF7">
              <w:rPr>
                <w:rFonts w:ascii="Arial" w:hAnsi="Arial" w:cs="Arial"/>
                <w:sz w:val="16"/>
                <w:szCs w:val="16"/>
              </w:rPr>
              <w:t xml:space="preserve">5.876 </w:t>
            </w:r>
          </w:p>
        </w:tc>
        <w:tc>
          <w:tcPr>
            <w:tcW w:w="1133" w:type="dxa"/>
            <w:tcBorders>
              <w:top w:val="nil"/>
              <w:left w:val="single" w:sz="4" w:space="0" w:color="auto"/>
              <w:bottom w:val="nil"/>
              <w:right w:val="single" w:sz="4" w:space="0" w:color="auto"/>
            </w:tcBorders>
            <w:shd w:val="clear" w:color="auto" w:fill="auto"/>
            <w:noWrap/>
            <w:vAlign w:val="bottom"/>
          </w:tcPr>
          <w:p w14:paraId="54951F15" w14:textId="02BF203D"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5.398.010 </w:t>
            </w:r>
          </w:p>
        </w:tc>
      </w:tr>
      <w:tr w:rsidR="00C97F85" w:rsidRPr="00701F32" w14:paraId="4C84AF3F" w14:textId="77777777" w:rsidTr="00A059FB">
        <w:tc>
          <w:tcPr>
            <w:tcW w:w="3261" w:type="dxa"/>
            <w:tcBorders>
              <w:top w:val="nil"/>
              <w:left w:val="single" w:sz="4" w:space="0" w:color="auto"/>
              <w:bottom w:val="nil"/>
              <w:right w:val="single" w:sz="4" w:space="0" w:color="auto"/>
            </w:tcBorders>
            <w:shd w:val="clear" w:color="auto" w:fill="auto"/>
            <w:noWrap/>
            <w:vAlign w:val="bottom"/>
            <w:hideMark/>
          </w:tcPr>
          <w:p w14:paraId="75361F6E" w14:textId="77777777" w:rsidR="00C97F85" w:rsidRPr="00701F32" w:rsidRDefault="00C97F85" w:rsidP="00C97F85">
            <w:pPr>
              <w:jc w:val="both"/>
              <w:rPr>
                <w:rFonts w:ascii="Arial" w:hAnsi="Arial" w:cs="Arial"/>
                <w:sz w:val="16"/>
                <w:szCs w:val="18"/>
                <w:lang w:eastAsia="es-AR"/>
              </w:rPr>
            </w:pPr>
            <w:r w:rsidRPr="00701F32">
              <w:rPr>
                <w:rFonts w:ascii="Arial" w:hAnsi="Arial" w:cs="Arial"/>
                <w:sz w:val="16"/>
                <w:szCs w:val="18"/>
                <w:lang w:eastAsia="es-AR"/>
              </w:rPr>
              <w:t xml:space="preserve"> Depreciaciones y desvalorizaciones de bienes </w:t>
            </w:r>
          </w:p>
        </w:tc>
        <w:tc>
          <w:tcPr>
            <w:tcW w:w="993" w:type="dxa"/>
            <w:tcBorders>
              <w:top w:val="nil"/>
              <w:left w:val="single" w:sz="4" w:space="0" w:color="auto"/>
              <w:bottom w:val="nil"/>
              <w:right w:val="single" w:sz="4" w:space="0" w:color="auto"/>
            </w:tcBorders>
            <w:shd w:val="clear" w:color="auto" w:fill="auto"/>
            <w:noWrap/>
            <w:vAlign w:val="bottom"/>
          </w:tcPr>
          <w:p w14:paraId="3860BB91" w14:textId="4C8011DB"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131.871 </w:t>
            </w:r>
          </w:p>
        </w:tc>
        <w:tc>
          <w:tcPr>
            <w:tcW w:w="1276" w:type="dxa"/>
            <w:tcBorders>
              <w:top w:val="nil"/>
              <w:left w:val="single" w:sz="4" w:space="0" w:color="auto"/>
              <w:bottom w:val="nil"/>
              <w:right w:val="single" w:sz="4" w:space="0" w:color="auto"/>
            </w:tcBorders>
            <w:shd w:val="clear" w:color="auto" w:fill="auto"/>
            <w:noWrap/>
            <w:vAlign w:val="bottom"/>
          </w:tcPr>
          <w:p w14:paraId="72088636" w14:textId="2A5F5A30"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649.328 </w:t>
            </w:r>
          </w:p>
        </w:tc>
        <w:tc>
          <w:tcPr>
            <w:tcW w:w="1134" w:type="dxa"/>
            <w:tcBorders>
              <w:top w:val="nil"/>
              <w:left w:val="single" w:sz="4" w:space="0" w:color="auto"/>
              <w:bottom w:val="nil"/>
              <w:right w:val="single" w:sz="4" w:space="0" w:color="auto"/>
            </w:tcBorders>
            <w:shd w:val="clear" w:color="auto" w:fill="auto"/>
            <w:noWrap/>
            <w:vAlign w:val="bottom"/>
          </w:tcPr>
          <w:p w14:paraId="4C11ABF8" w14:textId="7F18BF29"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35.447 </w:t>
            </w:r>
          </w:p>
        </w:tc>
        <w:tc>
          <w:tcPr>
            <w:tcW w:w="992" w:type="dxa"/>
            <w:tcBorders>
              <w:top w:val="nil"/>
              <w:left w:val="single" w:sz="4" w:space="0" w:color="auto"/>
              <w:bottom w:val="nil"/>
              <w:right w:val="single" w:sz="4" w:space="0" w:color="auto"/>
            </w:tcBorders>
            <w:shd w:val="clear" w:color="auto" w:fill="auto"/>
            <w:noWrap/>
            <w:vAlign w:val="bottom"/>
          </w:tcPr>
          <w:p w14:paraId="5CFF27BA" w14:textId="0374CDCA"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33.245 </w:t>
            </w:r>
          </w:p>
        </w:tc>
        <w:tc>
          <w:tcPr>
            <w:tcW w:w="1276" w:type="dxa"/>
            <w:tcBorders>
              <w:top w:val="nil"/>
              <w:left w:val="single" w:sz="4" w:space="0" w:color="auto"/>
              <w:bottom w:val="nil"/>
              <w:right w:val="single" w:sz="4" w:space="0" w:color="auto"/>
            </w:tcBorders>
            <w:shd w:val="clear" w:color="auto" w:fill="auto"/>
            <w:noWrap/>
            <w:vAlign w:val="bottom"/>
          </w:tcPr>
          <w:p w14:paraId="43A3F438" w14:textId="17C0B34F"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133" w:type="dxa"/>
            <w:tcBorders>
              <w:top w:val="nil"/>
              <w:left w:val="single" w:sz="4" w:space="0" w:color="auto"/>
              <w:bottom w:val="nil"/>
              <w:right w:val="single" w:sz="4" w:space="0" w:color="auto"/>
            </w:tcBorders>
            <w:shd w:val="clear" w:color="auto" w:fill="auto"/>
            <w:noWrap/>
            <w:vAlign w:val="bottom"/>
          </w:tcPr>
          <w:p w14:paraId="03DCE688" w14:textId="79446DD1"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849.891 </w:t>
            </w:r>
          </w:p>
        </w:tc>
      </w:tr>
      <w:tr w:rsidR="00C97F85" w:rsidRPr="00701F32" w14:paraId="29560147" w14:textId="77777777" w:rsidTr="00A059FB">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1943D470" w14:textId="77777777" w:rsidR="00C97F85" w:rsidRPr="00701F32" w:rsidRDefault="00C97F85" w:rsidP="00C97F85">
            <w:pPr>
              <w:jc w:val="both"/>
              <w:rPr>
                <w:rFonts w:ascii="Arial" w:hAnsi="Arial" w:cs="Arial"/>
                <w:sz w:val="16"/>
                <w:szCs w:val="18"/>
                <w:lang w:eastAsia="es-AR"/>
              </w:rPr>
            </w:pPr>
            <w:r w:rsidRPr="00701F32">
              <w:rPr>
                <w:rFonts w:ascii="Arial" w:hAnsi="Arial" w:cs="Arial"/>
                <w:sz w:val="16"/>
                <w:szCs w:val="18"/>
                <w:lang w:eastAsia="es-AR"/>
              </w:rPr>
              <w:t xml:space="preserve"> Otros gastos operativos </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5A398A47" w14:textId="6839E6A2"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1.387.417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C7AAB78" w14:textId="1051BA28"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2.776.164 </w:t>
            </w: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39110717" w14:textId="736A7A28"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417.031 </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5D49D7CB" w14:textId="56DD50E2"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455.489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4E869CC" w14:textId="62B1B5BB"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133" w:type="dxa"/>
            <w:tcBorders>
              <w:top w:val="nil"/>
              <w:left w:val="single" w:sz="4" w:space="0" w:color="auto"/>
              <w:bottom w:val="single" w:sz="4" w:space="0" w:color="auto"/>
              <w:right w:val="single" w:sz="4" w:space="0" w:color="auto"/>
            </w:tcBorders>
            <w:shd w:val="clear" w:color="auto" w:fill="auto"/>
            <w:noWrap/>
            <w:vAlign w:val="bottom"/>
          </w:tcPr>
          <w:p w14:paraId="132FBC43" w14:textId="5135EAD4"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5.036.101 </w:t>
            </w:r>
          </w:p>
        </w:tc>
      </w:tr>
      <w:tr w:rsidR="00C97F85" w:rsidRPr="00701F32" w14:paraId="64B9F410"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BB757" w14:textId="77777777" w:rsidR="00C97F85" w:rsidRPr="00701F32" w:rsidRDefault="00C97F85" w:rsidP="00C97F85">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operativo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356770" w14:textId="45653C2E" w:rsidR="00C97F85" w:rsidRPr="00C97F85" w:rsidRDefault="00C97F85">
            <w:pPr>
              <w:jc w:val="right"/>
              <w:rPr>
                <w:rFonts w:ascii="Arial" w:hAnsi="Arial" w:cs="Arial"/>
                <w:b/>
                <w:sz w:val="16"/>
                <w:szCs w:val="16"/>
              </w:rPr>
            </w:pPr>
            <w:r w:rsidRPr="006E1AF7">
              <w:rPr>
                <w:rFonts w:ascii="Arial" w:hAnsi="Arial" w:cs="Arial"/>
                <w:b/>
                <w:sz w:val="16"/>
                <w:szCs w:val="16"/>
              </w:rPr>
              <w:t xml:space="preserve">-321.050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DFD91" w14:textId="57C28322" w:rsidR="00C97F85" w:rsidRPr="00C97F85" w:rsidRDefault="00C97F85">
            <w:pPr>
              <w:jc w:val="right"/>
              <w:rPr>
                <w:rFonts w:ascii="Arial" w:hAnsi="Arial" w:cs="Arial"/>
                <w:b/>
                <w:sz w:val="16"/>
                <w:szCs w:val="16"/>
              </w:rPr>
            </w:pPr>
            <w:r w:rsidRPr="006E1AF7">
              <w:rPr>
                <w:rFonts w:ascii="Arial" w:hAnsi="Arial" w:cs="Arial"/>
                <w:b/>
                <w:sz w:val="16"/>
                <w:szCs w:val="16"/>
              </w:rPr>
              <w:t xml:space="preserve">1.261.978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58143" w14:textId="5C2D81B2" w:rsidR="00C97F85" w:rsidRPr="00C97F85" w:rsidRDefault="00C97F85">
            <w:pPr>
              <w:jc w:val="right"/>
              <w:rPr>
                <w:rFonts w:ascii="Arial" w:hAnsi="Arial" w:cs="Arial"/>
                <w:b/>
                <w:sz w:val="16"/>
                <w:szCs w:val="16"/>
              </w:rPr>
            </w:pPr>
            <w:r w:rsidRPr="006E1AF7">
              <w:rPr>
                <w:rFonts w:ascii="Arial" w:hAnsi="Arial" w:cs="Arial"/>
                <w:b/>
                <w:sz w:val="16"/>
                <w:szCs w:val="16"/>
              </w:rPr>
              <w:t xml:space="preserve">2.095.009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BCBC28" w14:textId="58D57B67" w:rsidR="00C97F85" w:rsidRPr="00C97F85" w:rsidRDefault="00C97F85">
            <w:pPr>
              <w:jc w:val="right"/>
              <w:rPr>
                <w:rFonts w:ascii="Arial" w:hAnsi="Arial" w:cs="Arial"/>
                <w:b/>
                <w:sz w:val="16"/>
                <w:szCs w:val="16"/>
              </w:rPr>
            </w:pPr>
            <w:r w:rsidRPr="006E1AF7">
              <w:rPr>
                <w:rFonts w:ascii="Arial" w:hAnsi="Arial" w:cs="Arial"/>
                <w:b/>
                <w:sz w:val="16"/>
                <w:szCs w:val="16"/>
              </w:rPr>
              <w:t xml:space="preserve">-816.575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8B3C0B" w14:textId="10EC1449" w:rsidR="00C97F85" w:rsidRPr="00C97F85" w:rsidRDefault="00C97F85">
            <w:pPr>
              <w:jc w:val="right"/>
              <w:rPr>
                <w:rFonts w:ascii="Arial" w:hAnsi="Arial" w:cs="Arial"/>
                <w:b/>
                <w:sz w:val="16"/>
                <w:szCs w:val="16"/>
              </w:rPr>
            </w:pPr>
            <w:r w:rsidRPr="006E1AF7">
              <w:rPr>
                <w:rFonts w:ascii="Arial" w:hAnsi="Arial" w:cs="Arial"/>
                <w:b/>
                <w:sz w:val="16"/>
                <w:szCs w:val="16"/>
              </w:rPr>
              <w:t xml:space="preserve">-25.170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B7951" w14:textId="4BD2DD48" w:rsidR="00C97F85" w:rsidRPr="00C97F85" w:rsidRDefault="00C97F85">
            <w:pPr>
              <w:jc w:val="right"/>
              <w:rPr>
                <w:rFonts w:ascii="Arial" w:hAnsi="Arial" w:cs="Arial"/>
                <w:b/>
                <w:sz w:val="16"/>
                <w:szCs w:val="16"/>
              </w:rPr>
            </w:pPr>
            <w:r w:rsidRPr="006E1AF7">
              <w:rPr>
                <w:rFonts w:ascii="Arial" w:hAnsi="Arial" w:cs="Arial"/>
                <w:b/>
                <w:sz w:val="16"/>
                <w:szCs w:val="16"/>
              </w:rPr>
              <w:t xml:space="preserve">2.194.192 </w:t>
            </w:r>
          </w:p>
        </w:tc>
      </w:tr>
      <w:tr w:rsidR="00C97F85" w:rsidRPr="00701F32" w14:paraId="69BF0C56"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4E945" w14:textId="77777777" w:rsidR="00C97F85" w:rsidRPr="00701F32" w:rsidRDefault="00C97F85" w:rsidP="00C97F85">
            <w:pPr>
              <w:jc w:val="both"/>
              <w:rPr>
                <w:rFonts w:ascii="Arial" w:hAnsi="Arial" w:cs="Arial"/>
                <w:sz w:val="16"/>
                <w:szCs w:val="18"/>
                <w:lang w:eastAsia="es-AR"/>
              </w:rPr>
            </w:pPr>
            <w:r w:rsidRPr="00701F32">
              <w:rPr>
                <w:rFonts w:ascii="Arial" w:hAnsi="Arial" w:cs="Arial"/>
                <w:sz w:val="16"/>
                <w:szCs w:val="18"/>
                <w:lang w:eastAsia="es-AR"/>
              </w:rPr>
              <w:t xml:space="preserve"> Resultado por asociadas y negocios conjuntos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05E5A5" w14:textId="737FE5CD" w:rsidR="00C97F85" w:rsidRPr="00C97F85" w:rsidRDefault="00C97F85">
            <w:pPr>
              <w:jc w:val="right"/>
              <w:rPr>
                <w:rFonts w:ascii="Arial" w:hAnsi="Arial" w:cs="Arial"/>
                <w:b/>
                <w:sz w:val="16"/>
                <w:szCs w:val="16"/>
              </w:rPr>
            </w:pPr>
            <w:r w:rsidRPr="006E1AF7">
              <w:rPr>
                <w:rFonts w:ascii="Arial" w:hAnsi="Arial" w:cs="Arial"/>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79BCC" w14:textId="0C9FD0BA" w:rsidR="00C97F85" w:rsidRPr="00C97F85" w:rsidRDefault="00C97F85">
            <w:pPr>
              <w:jc w:val="right"/>
              <w:rPr>
                <w:rFonts w:ascii="Arial" w:hAnsi="Arial" w:cs="Arial"/>
                <w:b/>
                <w:sz w:val="16"/>
                <w:szCs w:val="16"/>
              </w:rPr>
            </w:pPr>
            <w:r w:rsidRPr="006E1AF7">
              <w:rPr>
                <w:rFonts w:ascii="Arial" w:hAnsi="Arial" w:cs="Arial"/>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30A512" w14:textId="6A172EBC" w:rsidR="00C97F85" w:rsidRPr="00C97F85" w:rsidRDefault="00C97F85">
            <w:pPr>
              <w:jc w:val="right"/>
              <w:rPr>
                <w:rFonts w:ascii="Arial" w:hAnsi="Arial" w:cs="Arial"/>
                <w:b/>
                <w:sz w:val="16"/>
                <w:szCs w:val="16"/>
                <w:lang w:val="es-ES_tradnl"/>
              </w:rPr>
            </w:pPr>
            <w:r w:rsidRPr="006E1AF7">
              <w:rPr>
                <w:rFonts w:ascii="Arial" w:hAnsi="Arial" w:cs="Arial"/>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3973B6" w14:textId="1668C0DC" w:rsidR="00C97F85" w:rsidRPr="00C97F85" w:rsidRDefault="00C97F85">
            <w:pPr>
              <w:jc w:val="right"/>
              <w:rPr>
                <w:rFonts w:ascii="Arial" w:hAnsi="Arial" w:cs="Arial"/>
                <w:b/>
                <w:sz w:val="16"/>
                <w:szCs w:val="16"/>
              </w:rPr>
            </w:pPr>
            <w:r w:rsidRPr="006E1AF7">
              <w:rPr>
                <w:rFonts w:ascii="Arial" w:hAnsi="Arial" w:cs="Arial"/>
                <w:sz w:val="16"/>
                <w:szCs w:val="16"/>
              </w:rPr>
              <w:t xml:space="preserve">-1.371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8F498" w14:textId="4BBB743D" w:rsidR="00C97F85" w:rsidRPr="00C97F85" w:rsidRDefault="00C97F85">
            <w:pPr>
              <w:jc w:val="right"/>
              <w:rPr>
                <w:rFonts w:ascii="Arial" w:hAnsi="Arial" w:cs="Arial"/>
                <w:b/>
                <w:sz w:val="16"/>
                <w:szCs w:val="16"/>
              </w:rPr>
            </w:pPr>
            <w:r w:rsidRPr="006E1AF7">
              <w:rPr>
                <w:rFonts w:ascii="Arial" w:hAnsi="Arial" w:cs="Arial"/>
                <w:sz w:val="16"/>
                <w:szCs w:val="16"/>
              </w:rPr>
              <w:t xml:space="preserve">-4.725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6C3F24" w14:textId="71672A77" w:rsidR="00C97F85" w:rsidRPr="00C97F85" w:rsidRDefault="00C97F85">
            <w:pPr>
              <w:jc w:val="right"/>
              <w:rPr>
                <w:rFonts w:ascii="Arial" w:hAnsi="Arial" w:cs="Arial"/>
                <w:b/>
                <w:sz w:val="16"/>
                <w:szCs w:val="16"/>
              </w:rPr>
            </w:pPr>
            <w:r w:rsidRPr="006E1AF7">
              <w:rPr>
                <w:rFonts w:ascii="Arial" w:hAnsi="Arial" w:cs="Arial"/>
                <w:sz w:val="16"/>
                <w:szCs w:val="16"/>
              </w:rPr>
              <w:t xml:space="preserve">-6.096 </w:t>
            </w:r>
          </w:p>
        </w:tc>
      </w:tr>
      <w:tr w:rsidR="00C97F85" w:rsidRPr="00701F32" w14:paraId="0E5A2BA6"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92B49" w14:textId="77777777" w:rsidR="00C97F85" w:rsidRPr="00701F32" w:rsidRDefault="00C97F85" w:rsidP="00C97F85">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antes de impuesto de las actividades que continúan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0E8CE0" w14:textId="1DD4FD0F" w:rsidR="00C97F85" w:rsidRPr="00C97F85" w:rsidRDefault="00C97F85">
            <w:pPr>
              <w:jc w:val="right"/>
              <w:rPr>
                <w:rFonts w:ascii="Arial" w:hAnsi="Arial" w:cs="Arial"/>
                <w:b/>
                <w:sz w:val="16"/>
                <w:szCs w:val="16"/>
              </w:rPr>
            </w:pPr>
            <w:r w:rsidRPr="006E1AF7">
              <w:rPr>
                <w:rFonts w:ascii="Arial" w:hAnsi="Arial" w:cs="Arial"/>
                <w:b/>
                <w:sz w:val="16"/>
                <w:szCs w:val="16"/>
              </w:rPr>
              <w:t xml:space="preserve">-321.050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3F42CA" w14:textId="0EFCFC99" w:rsidR="00C97F85" w:rsidRPr="00C97F85" w:rsidRDefault="00C97F85">
            <w:pPr>
              <w:jc w:val="right"/>
              <w:rPr>
                <w:rFonts w:ascii="Arial" w:hAnsi="Arial" w:cs="Arial"/>
                <w:b/>
                <w:sz w:val="16"/>
                <w:szCs w:val="16"/>
              </w:rPr>
            </w:pPr>
            <w:r w:rsidRPr="006E1AF7">
              <w:rPr>
                <w:rFonts w:ascii="Arial" w:hAnsi="Arial" w:cs="Arial"/>
                <w:b/>
                <w:sz w:val="16"/>
                <w:szCs w:val="16"/>
              </w:rPr>
              <w:t xml:space="preserve">1.261.978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24249" w14:textId="1A732C63" w:rsidR="00C97F85" w:rsidRPr="00C97F85" w:rsidRDefault="00C97F85">
            <w:pPr>
              <w:jc w:val="right"/>
              <w:rPr>
                <w:rFonts w:ascii="Arial" w:hAnsi="Arial" w:cs="Arial"/>
                <w:b/>
                <w:sz w:val="16"/>
                <w:szCs w:val="16"/>
              </w:rPr>
            </w:pPr>
            <w:r w:rsidRPr="006E1AF7">
              <w:rPr>
                <w:rFonts w:ascii="Arial" w:hAnsi="Arial" w:cs="Arial"/>
                <w:b/>
                <w:sz w:val="16"/>
                <w:szCs w:val="16"/>
              </w:rPr>
              <w:t xml:space="preserve">2.095.009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E5AA95" w14:textId="4F7A8B49" w:rsidR="00C97F85" w:rsidRPr="00C97F85" w:rsidRDefault="00C97F85">
            <w:pPr>
              <w:jc w:val="right"/>
              <w:rPr>
                <w:rFonts w:ascii="Arial" w:hAnsi="Arial" w:cs="Arial"/>
                <w:b/>
                <w:sz w:val="16"/>
                <w:szCs w:val="16"/>
              </w:rPr>
            </w:pPr>
            <w:r w:rsidRPr="006E1AF7">
              <w:rPr>
                <w:rFonts w:ascii="Arial" w:hAnsi="Arial" w:cs="Arial"/>
                <w:b/>
                <w:sz w:val="16"/>
                <w:szCs w:val="16"/>
              </w:rPr>
              <w:t xml:space="preserve">-817.946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DFB95" w14:textId="2B3E47A3" w:rsidR="00C97F85" w:rsidRPr="00C97F85" w:rsidRDefault="00C97F85">
            <w:pPr>
              <w:jc w:val="right"/>
              <w:rPr>
                <w:rFonts w:ascii="Arial" w:hAnsi="Arial" w:cs="Arial"/>
                <w:b/>
                <w:sz w:val="16"/>
                <w:szCs w:val="16"/>
              </w:rPr>
            </w:pPr>
            <w:r w:rsidRPr="006E1AF7">
              <w:rPr>
                <w:rFonts w:ascii="Arial" w:hAnsi="Arial" w:cs="Arial"/>
                <w:b/>
                <w:sz w:val="16"/>
                <w:szCs w:val="16"/>
              </w:rPr>
              <w:t xml:space="preserve">-29.895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95AB9" w14:textId="0F4F0312" w:rsidR="00C97F85" w:rsidRPr="00C97F85" w:rsidRDefault="00C97F85">
            <w:pPr>
              <w:jc w:val="right"/>
              <w:rPr>
                <w:rFonts w:ascii="Arial" w:hAnsi="Arial" w:cs="Arial"/>
                <w:b/>
                <w:sz w:val="16"/>
                <w:szCs w:val="16"/>
              </w:rPr>
            </w:pPr>
            <w:r w:rsidRPr="006E1AF7">
              <w:rPr>
                <w:rFonts w:ascii="Arial" w:hAnsi="Arial" w:cs="Arial"/>
                <w:b/>
                <w:sz w:val="16"/>
                <w:szCs w:val="16"/>
              </w:rPr>
              <w:t xml:space="preserve">2.188.096 </w:t>
            </w:r>
          </w:p>
        </w:tc>
      </w:tr>
      <w:tr w:rsidR="00C97F85" w:rsidRPr="00701F32" w14:paraId="57DADAE0"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93AE0" w14:textId="77777777" w:rsidR="00C97F85" w:rsidRPr="00701F32" w:rsidRDefault="00C97F85" w:rsidP="00C97F85">
            <w:pPr>
              <w:jc w:val="both"/>
              <w:rPr>
                <w:rFonts w:ascii="Arial" w:hAnsi="Arial" w:cs="Arial"/>
                <w:sz w:val="16"/>
                <w:szCs w:val="18"/>
                <w:lang w:eastAsia="es-AR"/>
              </w:rPr>
            </w:pPr>
            <w:r w:rsidRPr="00701F32">
              <w:rPr>
                <w:rFonts w:ascii="Arial" w:hAnsi="Arial" w:cs="Arial"/>
                <w:sz w:val="16"/>
                <w:szCs w:val="18"/>
                <w:lang w:eastAsia="es-AR"/>
              </w:rPr>
              <w:t xml:space="preserve"> Impuesto a las ganancias de las actividades que continúan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64665C" w14:textId="654F2E5D" w:rsidR="00C97F85" w:rsidRPr="00C97F85" w:rsidRDefault="00C97F85">
            <w:pPr>
              <w:jc w:val="right"/>
              <w:rPr>
                <w:rFonts w:ascii="Arial" w:hAnsi="Arial" w:cs="Arial"/>
                <w:sz w:val="16"/>
                <w:szCs w:val="16"/>
              </w:rPr>
            </w:pPr>
            <w:r w:rsidRPr="006E1AF7">
              <w:rPr>
                <w:rFonts w:ascii="Arial" w:hAnsi="Arial" w:cs="Arial"/>
                <w:sz w:val="16"/>
                <w:szCs w:val="16"/>
              </w:rPr>
              <w:t xml:space="preserve">28.130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B7C019" w14:textId="29B2A3F7" w:rsidR="00C97F85" w:rsidRPr="00C97F85" w:rsidRDefault="00C97F85">
            <w:pPr>
              <w:jc w:val="right"/>
              <w:rPr>
                <w:rFonts w:ascii="Arial" w:hAnsi="Arial" w:cs="Arial"/>
                <w:sz w:val="16"/>
                <w:szCs w:val="16"/>
              </w:rPr>
            </w:pPr>
            <w:r w:rsidRPr="006E1AF7">
              <w:rPr>
                <w:rFonts w:ascii="Arial" w:hAnsi="Arial" w:cs="Arial"/>
                <w:sz w:val="16"/>
                <w:szCs w:val="16"/>
              </w:rPr>
              <w:t xml:space="preserve">192.518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514F7B" w14:textId="45491013" w:rsidR="00C97F85" w:rsidRPr="00C97F85" w:rsidRDefault="00C97F85">
            <w:pPr>
              <w:jc w:val="right"/>
              <w:rPr>
                <w:rFonts w:ascii="Arial" w:hAnsi="Arial" w:cs="Arial"/>
                <w:sz w:val="16"/>
                <w:szCs w:val="16"/>
              </w:rPr>
            </w:pPr>
            <w:r w:rsidRPr="006E1AF7">
              <w:rPr>
                <w:rFonts w:ascii="Arial" w:hAnsi="Arial" w:cs="Arial"/>
                <w:sz w:val="16"/>
                <w:szCs w:val="16"/>
              </w:rPr>
              <w:t xml:space="preserve">323.419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62F7B4" w14:textId="0AD2AC12" w:rsidR="00C97F85" w:rsidRPr="00C97F85" w:rsidRDefault="00C97F85">
            <w:pPr>
              <w:jc w:val="right"/>
              <w:rPr>
                <w:rFonts w:ascii="Arial" w:hAnsi="Arial" w:cs="Arial"/>
                <w:sz w:val="16"/>
                <w:szCs w:val="16"/>
              </w:rPr>
            </w:pPr>
            <w:r w:rsidRPr="006E1AF7">
              <w:rPr>
                <w:rFonts w:ascii="Arial" w:hAnsi="Arial" w:cs="Arial"/>
                <w:sz w:val="16"/>
                <w:szCs w:val="16"/>
              </w:rPr>
              <w:t>576.16</w:t>
            </w:r>
            <w:r w:rsidR="00306832">
              <w:rPr>
                <w:rFonts w:ascii="Arial" w:hAnsi="Arial" w:cs="Arial"/>
                <w:sz w:val="16"/>
                <w:szCs w:val="16"/>
              </w:rPr>
              <w:t>4</w:t>
            </w:r>
            <w:r w:rsidRPr="006E1AF7">
              <w:rPr>
                <w:rFonts w:ascii="Arial" w:hAnsi="Arial" w:cs="Arial"/>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57BF2" w14:textId="5E71AEAD"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0DEA9" w14:textId="4F1FE649" w:rsidR="00C97F85" w:rsidRPr="00C97F85" w:rsidRDefault="00C97F85">
            <w:pPr>
              <w:jc w:val="right"/>
              <w:rPr>
                <w:rFonts w:ascii="Arial" w:hAnsi="Arial" w:cs="Arial"/>
                <w:sz w:val="16"/>
                <w:szCs w:val="16"/>
              </w:rPr>
            </w:pPr>
            <w:r w:rsidRPr="006E1AF7">
              <w:rPr>
                <w:rFonts w:ascii="Arial" w:hAnsi="Arial" w:cs="Arial"/>
                <w:sz w:val="16"/>
                <w:szCs w:val="16"/>
              </w:rPr>
              <w:t xml:space="preserve">1.120.231 </w:t>
            </w:r>
          </w:p>
        </w:tc>
      </w:tr>
      <w:tr w:rsidR="00C97F85" w:rsidRPr="00701F32" w14:paraId="77B5BFBD"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BA95B" w14:textId="77777777" w:rsidR="00C97F85" w:rsidRPr="00701F32" w:rsidRDefault="00C97F85" w:rsidP="00C97F85">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neto de las actividades que continúan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CC3B4" w14:textId="22BFE1F0" w:rsidR="00C97F85" w:rsidRPr="00C97F85" w:rsidRDefault="00C97F85">
            <w:pPr>
              <w:jc w:val="right"/>
              <w:rPr>
                <w:rFonts w:ascii="Arial" w:hAnsi="Arial" w:cs="Arial"/>
                <w:b/>
                <w:sz w:val="16"/>
                <w:szCs w:val="16"/>
              </w:rPr>
            </w:pPr>
            <w:r w:rsidRPr="006E1AF7">
              <w:rPr>
                <w:rFonts w:ascii="Arial" w:hAnsi="Arial" w:cs="Arial"/>
                <w:b/>
                <w:sz w:val="16"/>
                <w:szCs w:val="16"/>
              </w:rPr>
              <w:t xml:space="preserve">-292.920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9C9A59" w14:textId="364B67AA" w:rsidR="00C97F85" w:rsidRPr="00C97F85" w:rsidRDefault="00C97F85">
            <w:pPr>
              <w:jc w:val="right"/>
              <w:rPr>
                <w:rFonts w:ascii="Arial" w:hAnsi="Arial" w:cs="Arial"/>
                <w:b/>
                <w:sz w:val="16"/>
                <w:szCs w:val="16"/>
              </w:rPr>
            </w:pPr>
            <w:r w:rsidRPr="006E1AF7">
              <w:rPr>
                <w:rFonts w:ascii="Arial" w:hAnsi="Arial" w:cs="Arial"/>
                <w:b/>
                <w:sz w:val="16"/>
                <w:szCs w:val="16"/>
              </w:rPr>
              <w:t xml:space="preserve">1.454.496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DA1D87" w14:textId="05D4B66F" w:rsidR="00C97F85" w:rsidRPr="00C97F85" w:rsidRDefault="00C97F85">
            <w:pPr>
              <w:jc w:val="right"/>
              <w:rPr>
                <w:rFonts w:ascii="Arial" w:hAnsi="Arial" w:cs="Arial"/>
                <w:b/>
                <w:sz w:val="16"/>
                <w:szCs w:val="16"/>
              </w:rPr>
            </w:pPr>
            <w:r w:rsidRPr="006E1AF7">
              <w:rPr>
                <w:rFonts w:ascii="Arial" w:hAnsi="Arial" w:cs="Arial"/>
                <w:b/>
                <w:sz w:val="16"/>
                <w:szCs w:val="16"/>
              </w:rPr>
              <w:t xml:space="preserve">2.418.428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AB8BAD" w14:textId="15D25DC2" w:rsidR="00C97F85" w:rsidRPr="00C97F85" w:rsidRDefault="00C97F85">
            <w:pPr>
              <w:jc w:val="right"/>
              <w:rPr>
                <w:rFonts w:ascii="Arial" w:hAnsi="Arial" w:cs="Arial"/>
                <w:b/>
                <w:sz w:val="16"/>
                <w:szCs w:val="16"/>
              </w:rPr>
            </w:pPr>
            <w:r w:rsidRPr="006E1AF7">
              <w:rPr>
                <w:rFonts w:ascii="Arial" w:hAnsi="Arial" w:cs="Arial"/>
                <w:b/>
                <w:sz w:val="16"/>
                <w:szCs w:val="16"/>
              </w:rPr>
              <w:t>-241.78</w:t>
            </w:r>
            <w:r w:rsidR="00306832">
              <w:rPr>
                <w:rFonts w:ascii="Arial" w:hAnsi="Arial" w:cs="Arial"/>
                <w:b/>
                <w:sz w:val="16"/>
                <w:szCs w:val="16"/>
              </w:rPr>
              <w:t>2</w:t>
            </w:r>
            <w:r w:rsidRPr="006E1AF7">
              <w:rPr>
                <w:rFonts w:ascii="Arial" w:hAnsi="Arial" w:cs="Arial"/>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1A3834" w14:textId="37C111EC" w:rsidR="00C97F85" w:rsidRPr="00C97F85" w:rsidRDefault="00C97F85">
            <w:pPr>
              <w:jc w:val="right"/>
              <w:rPr>
                <w:rFonts w:ascii="Arial" w:hAnsi="Arial" w:cs="Arial"/>
                <w:b/>
                <w:sz w:val="16"/>
                <w:szCs w:val="16"/>
              </w:rPr>
            </w:pPr>
            <w:r w:rsidRPr="006E1AF7">
              <w:rPr>
                <w:rFonts w:ascii="Arial" w:hAnsi="Arial" w:cs="Arial"/>
                <w:b/>
                <w:sz w:val="16"/>
                <w:szCs w:val="16"/>
              </w:rPr>
              <w:t xml:space="preserve">-29.895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EAD9E4" w14:textId="04D9567E" w:rsidR="00C97F85" w:rsidRPr="00C97F85" w:rsidRDefault="00C97F85">
            <w:pPr>
              <w:jc w:val="right"/>
              <w:rPr>
                <w:rFonts w:ascii="Arial" w:hAnsi="Arial" w:cs="Arial"/>
                <w:b/>
                <w:sz w:val="16"/>
                <w:szCs w:val="16"/>
              </w:rPr>
            </w:pPr>
            <w:r w:rsidRPr="006E1AF7">
              <w:rPr>
                <w:rFonts w:ascii="Arial" w:hAnsi="Arial" w:cs="Arial"/>
                <w:b/>
                <w:sz w:val="16"/>
                <w:szCs w:val="16"/>
              </w:rPr>
              <w:t xml:space="preserve">3.308.327 </w:t>
            </w:r>
          </w:p>
        </w:tc>
      </w:tr>
      <w:tr w:rsidR="00C97F85" w:rsidRPr="00701F32" w14:paraId="1AF55AEC"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9B38B" w14:textId="3BEC0952" w:rsidR="00C97F85" w:rsidRPr="00701F32" w:rsidRDefault="00C97F85" w:rsidP="00C97F85">
            <w:pPr>
              <w:jc w:val="both"/>
              <w:rPr>
                <w:rFonts w:ascii="Arial" w:hAnsi="Arial" w:cs="Arial"/>
                <w:b/>
                <w:bCs/>
                <w:sz w:val="16"/>
                <w:szCs w:val="18"/>
                <w:lang w:eastAsia="es-AR"/>
              </w:rPr>
            </w:pPr>
            <w:r>
              <w:rPr>
                <w:rFonts w:ascii="Arial" w:hAnsi="Arial" w:cs="Arial"/>
                <w:b/>
                <w:bCs/>
                <w:sz w:val="16"/>
                <w:szCs w:val="18"/>
                <w:lang w:eastAsia="es-AR"/>
              </w:rPr>
              <w:t xml:space="preserve"> Resultado neto del ejercicio</w:t>
            </w:r>
            <w:r w:rsidRPr="00701F32">
              <w:rPr>
                <w:rFonts w:ascii="Arial" w:hAnsi="Arial" w:cs="Arial"/>
                <w:b/>
                <w:bCs/>
                <w:sz w:val="16"/>
                <w:szCs w:val="18"/>
                <w:lang w:eastAsia="es-AR"/>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994F7" w14:textId="20D7C564" w:rsidR="00C97F85" w:rsidRPr="00C97F85" w:rsidRDefault="00C97F85">
            <w:pPr>
              <w:jc w:val="right"/>
              <w:rPr>
                <w:rFonts w:ascii="Arial" w:hAnsi="Arial" w:cs="Arial"/>
                <w:b/>
                <w:sz w:val="16"/>
                <w:szCs w:val="16"/>
              </w:rPr>
            </w:pPr>
            <w:r w:rsidRPr="006E1AF7">
              <w:rPr>
                <w:rFonts w:ascii="Arial" w:hAnsi="Arial" w:cs="Arial"/>
                <w:b/>
                <w:sz w:val="16"/>
                <w:szCs w:val="16"/>
              </w:rPr>
              <w:t xml:space="preserve">-292.920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94ADC9" w14:textId="10BC47DA" w:rsidR="00C97F85" w:rsidRPr="00C97F85" w:rsidRDefault="00C97F85">
            <w:pPr>
              <w:jc w:val="right"/>
              <w:rPr>
                <w:rFonts w:ascii="Arial" w:hAnsi="Arial" w:cs="Arial"/>
                <w:b/>
                <w:sz w:val="16"/>
                <w:szCs w:val="16"/>
              </w:rPr>
            </w:pPr>
            <w:r w:rsidRPr="006E1AF7">
              <w:rPr>
                <w:rFonts w:ascii="Arial" w:hAnsi="Arial" w:cs="Arial"/>
                <w:b/>
                <w:sz w:val="16"/>
                <w:szCs w:val="16"/>
              </w:rPr>
              <w:t xml:space="preserve">1.454.496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BBAA2" w14:textId="221D245A" w:rsidR="00C97F85" w:rsidRPr="00C97F85" w:rsidRDefault="00C97F85">
            <w:pPr>
              <w:jc w:val="right"/>
              <w:rPr>
                <w:rFonts w:ascii="Arial" w:hAnsi="Arial" w:cs="Arial"/>
                <w:b/>
                <w:sz w:val="16"/>
                <w:szCs w:val="16"/>
              </w:rPr>
            </w:pPr>
            <w:r w:rsidRPr="006E1AF7">
              <w:rPr>
                <w:rFonts w:ascii="Arial" w:hAnsi="Arial" w:cs="Arial"/>
                <w:b/>
                <w:sz w:val="16"/>
                <w:szCs w:val="16"/>
              </w:rPr>
              <w:t xml:space="preserve">2.418.428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39EAF" w14:textId="426389C8" w:rsidR="00C97F85" w:rsidRPr="00C97F85" w:rsidRDefault="00C97F85">
            <w:pPr>
              <w:jc w:val="right"/>
              <w:rPr>
                <w:rFonts w:ascii="Arial" w:hAnsi="Arial" w:cs="Arial"/>
                <w:b/>
                <w:sz w:val="16"/>
                <w:szCs w:val="16"/>
              </w:rPr>
            </w:pPr>
            <w:r w:rsidRPr="006E1AF7">
              <w:rPr>
                <w:rFonts w:ascii="Arial" w:hAnsi="Arial" w:cs="Arial"/>
                <w:b/>
                <w:sz w:val="16"/>
                <w:szCs w:val="16"/>
              </w:rPr>
              <w:t>-241.78</w:t>
            </w:r>
            <w:r w:rsidR="00306832">
              <w:rPr>
                <w:rFonts w:ascii="Arial" w:hAnsi="Arial" w:cs="Arial"/>
                <w:b/>
                <w:sz w:val="16"/>
                <w:szCs w:val="16"/>
              </w:rPr>
              <w:t>2</w:t>
            </w:r>
            <w:r w:rsidRPr="006E1AF7">
              <w:rPr>
                <w:rFonts w:ascii="Arial" w:hAnsi="Arial" w:cs="Arial"/>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B8481" w14:textId="044AE2B0" w:rsidR="00C97F85" w:rsidRPr="00C97F85" w:rsidRDefault="00C97F85">
            <w:pPr>
              <w:jc w:val="right"/>
              <w:rPr>
                <w:rFonts w:ascii="Arial" w:hAnsi="Arial" w:cs="Arial"/>
                <w:b/>
                <w:sz w:val="16"/>
                <w:szCs w:val="16"/>
              </w:rPr>
            </w:pPr>
            <w:r w:rsidRPr="006E1AF7">
              <w:rPr>
                <w:rFonts w:ascii="Arial" w:hAnsi="Arial" w:cs="Arial"/>
                <w:b/>
                <w:sz w:val="16"/>
                <w:szCs w:val="16"/>
              </w:rPr>
              <w:t xml:space="preserve">-29.895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57160B" w14:textId="47E72D90" w:rsidR="00C97F85" w:rsidRPr="00C97F85" w:rsidRDefault="00C97F85">
            <w:pPr>
              <w:jc w:val="right"/>
              <w:rPr>
                <w:rFonts w:ascii="Arial" w:hAnsi="Arial" w:cs="Arial"/>
                <w:b/>
                <w:sz w:val="16"/>
                <w:szCs w:val="16"/>
              </w:rPr>
            </w:pPr>
            <w:r w:rsidRPr="006E1AF7">
              <w:rPr>
                <w:rFonts w:ascii="Arial" w:hAnsi="Arial" w:cs="Arial"/>
                <w:b/>
                <w:sz w:val="16"/>
                <w:szCs w:val="16"/>
              </w:rPr>
              <w:t xml:space="preserve">3.308.327 </w:t>
            </w:r>
          </w:p>
        </w:tc>
      </w:tr>
      <w:tr w:rsidR="00C97F85" w:rsidRPr="00701F32" w14:paraId="54E72A39"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DC8AE" w14:textId="77777777" w:rsidR="00C97F85" w:rsidRPr="00701F32" w:rsidRDefault="00C97F85" w:rsidP="00C97F85">
            <w:pPr>
              <w:jc w:val="both"/>
              <w:rPr>
                <w:rFonts w:ascii="Arial" w:hAnsi="Arial" w:cs="Arial"/>
                <w:bCs/>
                <w:sz w:val="16"/>
                <w:szCs w:val="18"/>
                <w:lang w:eastAsia="es-AR"/>
              </w:rPr>
            </w:pPr>
            <w:r w:rsidRPr="00701F32">
              <w:rPr>
                <w:rFonts w:ascii="Arial" w:hAnsi="Arial" w:cs="Arial"/>
                <w:bCs/>
                <w:sz w:val="16"/>
                <w:szCs w:val="18"/>
                <w:lang w:eastAsia="es-AR"/>
              </w:rPr>
              <w:t>Otros Resultados Integrales (ORI)</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F896DA" w14:textId="0ACBCCED" w:rsidR="00C97F85" w:rsidRPr="00C97F85" w:rsidRDefault="00C97F85">
            <w:pPr>
              <w:jc w:val="right"/>
              <w:rPr>
                <w:rFonts w:ascii="Arial" w:hAnsi="Arial" w:cs="Arial"/>
                <w:sz w:val="16"/>
                <w:szCs w:val="16"/>
              </w:rPr>
            </w:pPr>
            <w:r w:rsidRPr="006E1AF7">
              <w:rPr>
                <w:rFonts w:ascii="Arial" w:hAnsi="Arial" w:cs="Arial"/>
                <w:sz w:val="16"/>
                <w:szCs w:val="16"/>
              </w:rPr>
              <w:t xml:space="preserve">123.253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BFE24A" w14:textId="47814AE2" w:rsidR="00C97F85" w:rsidRPr="00C97F85" w:rsidRDefault="00C97F85">
            <w:pPr>
              <w:jc w:val="right"/>
              <w:rPr>
                <w:rFonts w:ascii="Arial" w:hAnsi="Arial" w:cs="Arial"/>
                <w:sz w:val="16"/>
                <w:szCs w:val="16"/>
              </w:rPr>
            </w:pPr>
            <w:r w:rsidRPr="006E1AF7">
              <w:rPr>
                <w:rFonts w:ascii="Arial" w:hAnsi="Arial" w:cs="Arial"/>
                <w:sz w:val="16"/>
                <w:szCs w:val="16"/>
              </w:rPr>
              <w:t xml:space="preserve">174.667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591A76" w14:textId="46228F13" w:rsidR="00C97F85" w:rsidRPr="00C97F85" w:rsidRDefault="00C97F85">
            <w:pPr>
              <w:jc w:val="right"/>
              <w:rPr>
                <w:rFonts w:ascii="Arial" w:hAnsi="Arial" w:cs="Arial"/>
                <w:sz w:val="16"/>
                <w:szCs w:val="16"/>
              </w:rPr>
            </w:pPr>
            <w:r w:rsidRPr="006E1AF7">
              <w:rPr>
                <w:rFonts w:ascii="Arial" w:hAnsi="Arial" w:cs="Arial"/>
                <w:sz w:val="16"/>
                <w:szCs w:val="16"/>
              </w:rPr>
              <w:t xml:space="preserve">311.075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58D1B9" w14:textId="36D7B6FA"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726A2B" w14:textId="0C935DF4"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5FC3CB" w14:textId="0C8817E9" w:rsidR="00C97F85" w:rsidRPr="00C97F85" w:rsidRDefault="00C97F85">
            <w:pPr>
              <w:jc w:val="right"/>
              <w:rPr>
                <w:rFonts w:ascii="Arial" w:hAnsi="Arial" w:cs="Arial"/>
                <w:sz w:val="16"/>
                <w:szCs w:val="16"/>
              </w:rPr>
            </w:pPr>
            <w:r w:rsidRPr="006E1AF7">
              <w:rPr>
                <w:rFonts w:ascii="Arial" w:hAnsi="Arial" w:cs="Arial"/>
                <w:sz w:val="16"/>
                <w:szCs w:val="16"/>
              </w:rPr>
              <w:t xml:space="preserve">608.995 </w:t>
            </w:r>
          </w:p>
        </w:tc>
      </w:tr>
      <w:tr w:rsidR="00C97F85" w:rsidRPr="00701F32" w14:paraId="42FFFE2B"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BA0A0" w14:textId="77777777" w:rsidR="00C97F85" w:rsidRPr="00701F32" w:rsidRDefault="00C97F85" w:rsidP="00C97F85">
            <w:pPr>
              <w:rPr>
                <w:rFonts w:ascii="Arial" w:hAnsi="Arial" w:cs="Arial"/>
                <w:sz w:val="16"/>
                <w:szCs w:val="18"/>
                <w:lang w:eastAsia="es-AR"/>
              </w:rPr>
            </w:pPr>
            <w:r w:rsidRPr="00701F32">
              <w:rPr>
                <w:rFonts w:ascii="Arial" w:hAnsi="Arial" w:cs="Arial"/>
                <w:bCs/>
                <w:sz w:val="16"/>
                <w:szCs w:val="18"/>
                <w:lang w:eastAsia="es-AR"/>
              </w:rPr>
              <w:t>Impuesto a las Ganancias ORI</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5E04BF" w14:textId="70C9407F"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30.917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E8FF6E" w14:textId="73BC4CFB"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43.815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C1C52" w14:textId="19E23B56"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78.031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F724EC" w14:textId="55E73B53"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502EE1" w14:textId="22DBC462" w:rsidR="00C97F85" w:rsidRPr="00C97F85" w:rsidRDefault="00C97F85">
            <w:pPr>
              <w:jc w:val="right"/>
              <w:rPr>
                <w:rFonts w:ascii="Arial" w:hAnsi="Arial" w:cs="Arial"/>
                <w:sz w:val="16"/>
                <w:szCs w:val="16"/>
              </w:rPr>
            </w:pPr>
            <w:r w:rsidRPr="006E1AF7">
              <w:rPr>
                <w:rFonts w:ascii="Arial" w:hAnsi="Arial" w:cs="Arial"/>
                <w:sz w:val="16"/>
                <w:szCs w:val="16"/>
              </w:rPr>
              <w:t xml:space="preserve">-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3299B" w14:textId="170B195A" w:rsidR="00C97F85" w:rsidRPr="00C97F85" w:rsidRDefault="00EF3ABD">
            <w:pPr>
              <w:jc w:val="right"/>
              <w:rPr>
                <w:rFonts w:ascii="Arial" w:hAnsi="Arial" w:cs="Arial"/>
                <w:sz w:val="16"/>
                <w:szCs w:val="16"/>
              </w:rPr>
            </w:pPr>
            <w:r>
              <w:rPr>
                <w:rFonts w:ascii="Arial" w:hAnsi="Arial" w:cs="Arial"/>
                <w:sz w:val="16"/>
                <w:szCs w:val="16"/>
              </w:rPr>
              <w:t>-</w:t>
            </w:r>
            <w:r w:rsidR="00C97F85" w:rsidRPr="006E1AF7">
              <w:rPr>
                <w:rFonts w:ascii="Arial" w:hAnsi="Arial" w:cs="Arial"/>
                <w:sz w:val="16"/>
                <w:szCs w:val="16"/>
              </w:rPr>
              <w:t xml:space="preserve">152.763 </w:t>
            </w:r>
          </w:p>
        </w:tc>
      </w:tr>
      <w:tr w:rsidR="00C97F85" w:rsidRPr="00701F32" w14:paraId="23C4A9C7" w14:textId="77777777" w:rsidTr="00A059FB">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68FCF" w14:textId="0CE4C7A7" w:rsidR="00C97F85" w:rsidRPr="00701F32" w:rsidRDefault="00C97F85" w:rsidP="00C97F85">
            <w:pPr>
              <w:rPr>
                <w:rFonts w:ascii="Arial" w:hAnsi="Arial" w:cs="Arial"/>
                <w:b/>
                <w:bCs/>
                <w:sz w:val="16"/>
                <w:szCs w:val="18"/>
                <w:lang w:eastAsia="es-AR"/>
              </w:rPr>
            </w:pPr>
            <w:r>
              <w:rPr>
                <w:rFonts w:ascii="Arial" w:hAnsi="Arial" w:cs="Arial"/>
                <w:b/>
                <w:bCs/>
                <w:sz w:val="16"/>
                <w:szCs w:val="18"/>
                <w:lang w:eastAsia="es-AR"/>
              </w:rPr>
              <w:t xml:space="preserve"> Resultado Integral del ejercicio</w:t>
            </w:r>
            <w:r w:rsidRPr="00701F32">
              <w:rPr>
                <w:rFonts w:ascii="Arial" w:hAnsi="Arial" w:cs="Arial"/>
                <w:b/>
                <w:bCs/>
                <w:sz w:val="16"/>
                <w:szCs w:val="18"/>
                <w:lang w:eastAsia="es-AR"/>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87F062" w14:textId="613D31AF" w:rsidR="00C97F85" w:rsidRPr="00C97F85" w:rsidRDefault="00C97F85">
            <w:pPr>
              <w:jc w:val="right"/>
              <w:rPr>
                <w:rFonts w:ascii="Arial" w:hAnsi="Arial" w:cs="Arial"/>
                <w:b/>
                <w:sz w:val="16"/>
                <w:szCs w:val="16"/>
              </w:rPr>
            </w:pPr>
            <w:r w:rsidRPr="006E1AF7">
              <w:rPr>
                <w:rFonts w:ascii="Arial" w:hAnsi="Arial" w:cs="Arial"/>
                <w:b/>
                <w:sz w:val="16"/>
                <w:szCs w:val="16"/>
              </w:rPr>
              <w:t xml:space="preserve">-200.584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DC6EE" w14:textId="03A7E763" w:rsidR="00C97F85" w:rsidRPr="00C97F85" w:rsidRDefault="00C97F85">
            <w:pPr>
              <w:jc w:val="right"/>
              <w:rPr>
                <w:rFonts w:ascii="Arial" w:hAnsi="Arial" w:cs="Arial"/>
                <w:b/>
                <w:sz w:val="16"/>
                <w:szCs w:val="16"/>
              </w:rPr>
            </w:pPr>
            <w:r w:rsidRPr="006E1AF7">
              <w:rPr>
                <w:rFonts w:ascii="Arial" w:hAnsi="Arial" w:cs="Arial"/>
                <w:b/>
                <w:sz w:val="16"/>
                <w:szCs w:val="16"/>
              </w:rPr>
              <w:t xml:space="preserve">1.585.348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55E71" w14:textId="5B646827" w:rsidR="00C97F85" w:rsidRPr="00C97F85" w:rsidRDefault="00C97F85">
            <w:pPr>
              <w:jc w:val="right"/>
              <w:rPr>
                <w:rFonts w:ascii="Arial" w:hAnsi="Arial" w:cs="Arial"/>
                <w:b/>
                <w:sz w:val="16"/>
                <w:szCs w:val="16"/>
              </w:rPr>
            </w:pPr>
            <w:r w:rsidRPr="006E1AF7">
              <w:rPr>
                <w:rFonts w:ascii="Arial" w:hAnsi="Arial" w:cs="Arial"/>
                <w:b/>
                <w:sz w:val="16"/>
                <w:szCs w:val="16"/>
              </w:rPr>
              <w:t xml:space="preserve">2.651.472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E507EA" w14:textId="7FA9A13B" w:rsidR="00C97F85" w:rsidRPr="00C97F85" w:rsidRDefault="00C97F85">
            <w:pPr>
              <w:jc w:val="right"/>
              <w:rPr>
                <w:rFonts w:ascii="Arial" w:hAnsi="Arial" w:cs="Arial"/>
                <w:b/>
                <w:sz w:val="16"/>
                <w:szCs w:val="16"/>
              </w:rPr>
            </w:pPr>
            <w:r w:rsidRPr="006E1AF7">
              <w:rPr>
                <w:rFonts w:ascii="Arial" w:hAnsi="Arial" w:cs="Arial"/>
                <w:b/>
                <w:sz w:val="16"/>
                <w:szCs w:val="16"/>
              </w:rPr>
              <w:t>-241.78</w:t>
            </w:r>
            <w:r w:rsidR="00306832">
              <w:rPr>
                <w:rFonts w:ascii="Arial" w:hAnsi="Arial" w:cs="Arial"/>
                <w:b/>
                <w:sz w:val="16"/>
                <w:szCs w:val="16"/>
              </w:rPr>
              <w:t>2</w:t>
            </w:r>
            <w:r w:rsidRPr="006E1AF7">
              <w:rPr>
                <w:rFonts w:ascii="Arial" w:hAnsi="Arial" w:cs="Arial"/>
                <w:b/>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D874F" w14:textId="31DE9087" w:rsidR="00C97F85" w:rsidRPr="00C97F85" w:rsidRDefault="00C97F85">
            <w:pPr>
              <w:jc w:val="right"/>
              <w:rPr>
                <w:rFonts w:ascii="Arial" w:hAnsi="Arial" w:cs="Arial"/>
                <w:b/>
                <w:sz w:val="16"/>
                <w:szCs w:val="16"/>
              </w:rPr>
            </w:pPr>
            <w:r w:rsidRPr="006E1AF7">
              <w:rPr>
                <w:rFonts w:ascii="Arial" w:hAnsi="Arial" w:cs="Arial"/>
                <w:b/>
                <w:sz w:val="16"/>
                <w:szCs w:val="16"/>
              </w:rPr>
              <w:t xml:space="preserve">-29.895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C995F" w14:textId="425B688E" w:rsidR="00C97F85" w:rsidRPr="00C97F85" w:rsidRDefault="00C97F85">
            <w:pPr>
              <w:jc w:val="right"/>
              <w:rPr>
                <w:rFonts w:ascii="Arial" w:hAnsi="Arial" w:cs="Arial"/>
                <w:b/>
                <w:sz w:val="16"/>
                <w:szCs w:val="16"/>
              </w:rPr>
            </w:pPr>
            <w:r w:rsidRPr="006E1AF7">
              <w:rPr>
                <w:rFonts w:ascii="Arial" w:hAnsi="Arial" w:cs="Arial"/>
                <w:b/>
                <w:sz w:val="16"/>
                <w:szCs w:val="16"/>
              </w:rPr>
              <w:t xml:space="preserve">3.764.559 </w:t>
            </w:r>
          </w:p>
        </w:tc>
      </w:tr>
    </w:tbl>
    <w:p w14:paraId="36008FB0" w14:textId="77777777" w:rsidR="006D43FB" w:rsidRDefault="006D43FB">
      <w:pPr>
        <w:rPr>
          <w:rFonts w:ascii="Arial" w:eastAsia="Calibri" w:hAnsi="Arial" w:cs="Arial"/>
          <w:bCs/>
          <w:sz w:val="20"/>
        </w:rPr>
      </w:pPr>
    </w:p>
    <w:tbl>
      <w:tblPr>
        <w:tblW w:w="10270" w:type="dxa"/>
        <w:tblInd w:w="-356" w:type="dxa"/>
        <w:tblCellMar>
          <w:left w:w="70" w:type="dxa"/>
          <w:right w:w="70" w:type="dxa"/>
        </w:tblCellMar>
        <w:tblLook w:val="04A0" w:firstRow="1" w:lastRow="0" w:firstColumn="1" w:lastColumn="0" w:noHBand="0" w:noVBand="1"/>
      </w:tblPr>
      <w:tblGrid>
        <w:gridCol w:w="3041"/>
        <w:gridCol w:w="1071"/>
        <w:gridCol w:w="1147"/>
        <w:gridCol w:w="1121"/>
        <w:gridCol w:w="1062"/>
        <w:gridCol w:w="1724"/>
        <w:gridCol w:w="1104"/>
      </w:tblGrid>
      <w:tr w:rsidR="005379A3" w:rsidRPr="00701F32" w14:paraId="3A7263E1" w14:textId="77777777" w:rsidTr="005379A3">
        <w:trPr>
          <w:tblHead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E7AA1FF" w14:textId="2FB005AD" w:rsidR="00351E15" w:rsidRPr="00701F32" w:rsidRDefault="00351E15" w:rsidP="00351E15">
            <w:pPr>
              <w:ind w:left="-70" w:firstLine="70"/>
              <w:jc w:val="center"/>
              <w:rPr>
                <w:rFonts w:ascii="Arial" w:hAnsi="Arial" w:cs="Arial"/>
                <w:b/>
                <w:bCs/>
                <w:sz w:val="16"/>
                <w:szCs w:val="16"/>
                <w:lang w:val="es-ES_tradnl" w:eastAsia="es-AR"/>
              </w:rPr>
            </w:pPr>
            <w:r w:rsidRPr="00701F32">
              <w:rPr>
                <w:rFonts w:ascii="Arial" w:hAnsi="Arial" w:cs="Arial"/>
                <w:b/>
                <w:bCs/>
                <w:sz w:val="16"/>
                <w:szCs w:val="16"/>
                <w:lang w:eastAsia="es-AR"/>
              </w:rPr>
              <w:t>ACTIVO al 3</w:t>
            </w:r>
            <w:r w:rsidR="00D538FD">
              <w:rPr>
                <w:rFonts w:ascii="Arial" w:hAnsi="Arial" w:cs="Arial"/>
                <w:b/>
                <w:bCs/>
                <w:sz w:val="16"/>
                <w:szCs w:val="16"/>
                <w:lang w:eastAsia="es-AR"/>
              </w:rPr>
              <w:t>1</w:t>
            </w:r>
            <w:r w:rsidRPr="00701F32">
              <w:rPr>
                <w:rFonts w:ascii="Arial" w:hAnsi="Arial" w:cs="Arial"/>
                <w:b/>
                <w:bCs/>
                <w:sz w:val="16"/>
                <w:szCs w:val="16"/>
                <w:lang w:eastAsia="es-AR"/>
              </w:rPr>
              <w:t>/</w:t>
            </w:r>
            <w:r w:rsidR="00D538FD">
              <w:rPr>
                <w:rFonts w:ascii="Arial" w:hAnsi="Arial" w:cs="Arial"/>
                <w:b/>
                <w:bCs/>
                <w:sz w:val="16"/>
                <w:szCs w:val="16"/>
                <w:lang w:eastAsia="es-AR"/>
              </w:rPr>
              <w:t>12</w:t>
            </w:r>
            <w:r w:rsidRPr="00701F32">
              <w:rPr>
                <w:rFonts w:ascii="Arial" w:hAnsi="Arial" w:cs="Arial"/>
                <w:b/>
                <w:bCs/>
                <w:sz w:val="16"/>
                <w:szCs w:val="16"/>
                <w:lang w:eastAsia="es-AR"/>
              </w:rPr>
              <w:t>/2018</w:t>
            </w:r>
          </w:p>
        </w:tc>
        <w:tc>
          <w:tcPr>
            <w:tcW w:w="1071" w:type="dxa"/>
            <w:tcBorders>
              <w:top w:val="single" w:sz="4" w:space="0" w:color="auto"/>
              <w:left w:val="nil"/>
              <w:bottom w:val="single" w:sz="4" w:space="0" w:color="auto"/>
              <w:right w:val="single" w:sz="4" w:space="0" w:color="auto"/>
            </w:tcBorders>
            <w:shd w:val="clear" w:color="auto" w:fill="auto"/>
            <w:vAlign w:val="center"/>
          </w:tcPr>
          <w:p w14:paraId="61A56ED4" w14:textId="24D4E6D6" w:rsidR="00351E15" w:rsidRPr="00701F32" w:rsidRDefault="00351E15">
            <w:pPr>
              <w:ind w:left="-70" w:firstLine="70"/>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Banca Empresa</w:t>
            </w:r>
          </w:p>
        </w:tc>
        <w:tc>
          <w:tcPr>
            <w:tcW w:w="1147" w:type="dxa"/>
            <w:tcBorders>
              <w:top w:val="single" w:sz="4" w:space="0" w:color="auto"/>
              <w:left w:val="nil"/>
              <w:bottom w:val="single" w:sz="4" w:space="0" w:color="auto"/>
              <w:right w:val="single" w:sz="4" w:space="0" w:color="auto"/>
            </w:tcBorders>
            <w:shd w:val="clear" w:color="auto" w:fill="auto"/>
            <w:vAlign w:val="center"/>
          </w:tcPr>
          <w:p w14:paraId="2299A7E3" w14:textId="54C96347" w:rsidR="00351E15" w:rsidRPr="00701F32" w:rsidRDefault="00351E15">
            <w:pPr>
              <w:ind w:left="-70" w:firstLine="70"/>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Banca Minorista</w:t>
            </w:r>
          </w:p>
        </w:tc>
        <w:tc>
          <w:tcPr>
            <w:tcW w:w="1121" w:type="dxa"/>
            <w:tcBorders>
              <w:top w:val="single" w:sz="4" w:space="0" w:color="auto"/>
              <w:left w:val="nil"/>
              <w:bottom w:val="single" w:sz="4" w:space="0" w:color="auto"/>
              <w:right w:val="single" w:sz="4" w:space="0" w:color="auto"/>
            </w:tcBorders>
            <w:shd w:val="clear" w:color="auto" w:fill="auto"/>
            <w:vAlign w:val="center"/>
          </w:tcPr>
          <w:p w14:paraId="7BCA8661" w14:textId="0FF4F40C" w:rsidR="00351E15" w:rsidRPr="00701F32" w:rsidRDefault="00351E15">
            <w:pPr>
              <w:ind w:left="-70" w:firstLine="70"/>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Tesorería</w:t>
            </w:r>
          </w:p>
        </w:tc>
        <w:tc>
          <w:tcPr>
            <w:tcW w:w="1062" w:type="dxa"/>
            <w:tcBorders>
              <w:top w:val="single" w:sz="4" w:space="0" w:color="auto"/>
              <w:left w:val="nil"/>
              <w:bottom w:val="single" w:sz="4" w:space="0" w:color="auto"/>
              <w:right w:val="single" w:sz="4" w:space="0" w:color="auto"/>
            </w:tcBorders>
            <w:shd w:val="clear" w:color="auto" w:fill="auto"/>
            <w:vAlign w:val="center"/>
          </w:tcPr>
          <w:p w14:paraId="23922C0E" w14:textId="03DC223C" w:rsidR="00351E15" w:rsidRPr="00701F32" w:rsidRDefault="00351E15">
            <w:pPr>
              <w:ind w:left="-70" w:firstLine="70"/>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Consumo</w:t>
            </w:r>
          </w:p>
        </w:tc>
        <w:tc>
          <w:tcPr>
            <w:tcW w:w="1724" w:type="dxa"/>
            <w:tcBorders>
              <w:top w:val="single" w:sz="4" w:space="0" w:color="auto"/>
              <w:left w:val="nil"/>
              <w:bottom w:val="single" w:sz="4" w:space="0" w:color="auto"/>
              <w:right w:val="single" w:sz="4" w:space="0" w:color="auto"/>
            </w:tcBorders>
            <w:shd w:val="clear" w:color="auto" w:fill="auto"/>
            <w:vAlign w:val="center"/>
          </w:tcPr>
          <w:p w14:paraId="39B0CF75" w14:textId="47C6DD70" w:rsidR="00351E15" w:rsidRPr="00701F32" w:rsidRDefault="005379A3">
            <w:pPr>
              <w:ind w:left="-70" w:firstLine="70"/>
              <w:jc w:val="center"/>
              <w:rPr>
                <w:rFonts w:ascii="Arial" w:hAnsi="Arial" w:cs="Arial"/>
                <w:b/>
                <w:bCs/>
                <w:color w:val="000000"/>
                <w:sz w:val="16"/>
                <w:szCs w:val="16"/>
                <w:lang w:eastAsia="es-AR"/>
              </w:rPr>
            </w:pPr>
            <w:r>
              <w:rPr>
                <w:rFonts w:ascii="Arial" w:hAnsi="Arial" w:cs="Arial"/>
                <w:b/>
                <w:bCs/>
                <w:color w:val="000000"/>
                <w:sz w:val="16"/>
                <w:szCs w:val="16"/>
                <w:lang w:eastAsia="es-AR"/>
              </w:rPr>
              <w:t>Eliminaciones</w:t>
            </w:r>
          </w:p>
        </w:tc>
        <w:tc>
          <w:tcPr>
            <w:tcW w:w="1104" w:type="dxa"/>
            <w:tcBorders>
              <w:top w:val="single" w:sz="4" w:space="0" w:color="auto"/>
              <w:left w:val="nil"/>
              <w:bottom w:val="single" w:sz="4" w:space="0" w:color="auto"/>
              <w:right w:val="single" w:sz="4" w:space="0" w:color="auto"/>
            </w:tcBorders>
            <w:shd w:val="clear" w:color="auto" w:fill="auto"/>
            <w:noWrap/>
            <w:vAlign w:val="center"/>
          </w:tcPr>
          <w:p w14:paraId="4F138216" w14:textId="04FC29A1" w:rsidR="00351E15" w:rsidRPr="00701F32" w:rsidRDefault="00351E15">
            <w:pPr>
              <w:ind w:left="-70" w:firstLine="70"/>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TOTAL</w:t>
            </w:r>
          </w:p>
        </w:tc>
      </w:tr>
      <w:tr w:rsidR="005379A3" w:rsidRPr="00701F32" w14:paraId="73C68AAA"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516E7911" w14:textId="64868AFB"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Efectivo y Depósitos en Bancos</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16276236" w14:textId="34B068E6"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325.248 </w:t>
            </w:r>
          </w:p>
        </w:tc>
        <w:tc>
          <w:tcPr>
            <w:tcW w:w="1147" w:type="dxa"/>
            <w:tcBorders>
              <w:top w:val="nil"/>
              <w:left w:val="nil"/>
              <w:bottom w:val="single" w:sz="4" w:space="0" w:color="auto"/>
              <w:right w:val="single" w:sz="4" w:space="0" w:color="auto"/>
            </w:tcBorders>
            <w:shd w:val="clear" w:color="000000" w:fill="FFFFFF"/>
            <w:noWrap/>
            <w:vAlign w:val="bottom"/>
          </w:tcPr>
          <w:p w14:paraId="7FEF6DB5" w14:textId="35540116"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4.714.286 </w:t>
            </w:r>
          </w:p>
        </w:tc>
        <w:tc>
          <w:tcPr>
            <w:tcW w:w="1121" w:type="dxa"/>
            <w:tcBorders>
              <w:top w:val="nil"/>
              <w:left w:val="nil"/>
              <w:bottom w:val="single" w:sz="4" w:space="0" w:color="auto"/>
              <w:right w:val="single" w:sz="4" w:space="0" w:color="auto"/>
            </w:tcBorders>
            <w:shd w:val="clear" w:color="000000" w:fill="FFFFFF"/>
            <w:noWrap/>
            <w:vAlign w:val="bottom"/>
          </w:tcPr>
          <w:p w14:paraId="1F50AC85" w14:textId="78E66F4A"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28.505.898 </w:t>
            </w:r>
          </w:p>
        </w:tc>
        <w:tc>
          <w:tcPr>
            <w:tcW w:w="1062" w:type="dxa"/>
            <w:tcBorders>
              <w:top w:val="nil"/>
              <w:left w:val="nil"/>
              <w:bottom w:val="single" w:sz="4" w:space="0" w:color="auto"/>
              <w:right w:val="single" w:sz="4" w:space="0" w:color="auto"/>
            </w:tcBorders>
            <w:shd w:val="clear" w:color="000000" w:fill="FFFFFF"/>
            <w:noWrap/>
            <w:vAlign w:val="bottom"/>
          </w:tcPr>
          <w:p w14:paraId="74F73637" w14:textId="617FBDBE"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17.362 </w:t>
            </w:r>
          </w:p>
        </w:tc>
        <w:tc>
          <w:tcPr>
            <w:tcW w:w="1724" w:type="dxa"/>
            <w:tcBorders>
              <w:top w:val="nil"/>
              <w:left w:val="nil"/>
              <w:bottom w:val="single" w:sz="4" w:space="0" w:color="auto"/>
              <w:right w:val="single" w:sz="4" w:space="0" w:color="auto"/>
            </w:tcBorders>
            <w:shd w:val="clear" w:color="000000" w:fill="FFFFFF"/>
            <w:noWrap/>
            <w:vAlign w:val="bottom"/>
          </w:tcPr>
          <w:p w14:paraId="4AE7DC42" w14:textId="7AB838E0"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-16.033 </w:t>
            </w:r>
          </w:p>
        </w:tc>
        <w:tc>
          <w:tcPr>
            <w:tcW w:w="1104" w:type="dxa"/>
            <w:tcBorders>
              <w:top w:val="nil"/>
              <w:left w:val="nil"/>
              <w:bottom w:val="single" w:sz="4" w:space="0" w:color="auto"/>
              <w:right w:val="single" w:sz="4" w:space="0" w:color="auto"/>
            </w:tcBorders>
            <w:shd w:val="clear" w:color="000000" w:fill="FFFFFF"/>
            <w:noWrap/>
            <w:vAlign w:val="bottom"/>
          </w:tcPr>
          <w:p w14:paraId="3BF9A89E" w14:textId="08396865"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33.546.761 </w:t>
            </w:r>
          </w:p>
        </w:tc>
      </w:tr>
      <w:tr w:rsidR="005379A3" w:rsidRPr="00701F32" w14:paraId="22F03026" w14:textId="77777777" w:rsidTr="005379A3">
        <w:tc>
          <w:tcPr>
            <w:tcW w:w="0" w:type="auto"/>
            <w:tcBorders>
              <w:top w:val="nil"/>
              <w:left w:val="single" w:sz="4" w:space="0" w:color="auto"/>
              <w:bottom w:val="single" w:sz="4" w:space="0" w:color="363639"/>
              <w:right w:val="single" w:sz="4" w:space="0" w:color="363639"/>
            </w:tcBorders>
            <w:shd w:val="clear" w:color="000000" w:fill="FFFFFF"/>
            <w:noWrap/>
          </w:tcPr>
          <w:p w14:paraId="22C290B9" w14:textId="07106F4D" w:rsidR="002B35BE" w:rsidRPr="00701F32" w:rsidRDefault="002B35BE" w:rsidP="002B35BE">
            <w:pPr>
              <w:ind w:left="-70" w:firstLine="70"/>
              <w:rPr>
                <w:rFonts w:ascii="Arial" w:hAnsi="Arial" w:cs="Arial"/>
                <w:sz w:val="16"/>
                <w:szCs w:val="16"/>
                <w:lang w:eastAsia="es-AR"/>
              </w:rPr>
            </w:pPr>
            <w:r w:rsidRPr="00701F32">
              <w:rPr>
                <w:rFonts w:ascii="Arial" w:hAnsi="Arial" w:cs="Arial"/>
                <w:sz w:val="16"/>
                <w:szCs w:val="16"/>
                <w:lang w:eastAsia="es-AR"/>
              </w:rPr>
              <w:t xml:space="preserve">   Efectivo</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1D36D184" w14:textId="0D1BE333"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325.144 </w:t>
            </w:r>
          </w:p>
        </w:tc>
        <w:tc>
          <w:tcPr>
            <w:tcW w:w="1147" w:type="dxa"/>
            <w:tcBorders>
              <w:top w:val="nil"/>
              <w:left w:val="nil"/>
              <w:bottom w:val="single" w:sz="4" w:space="0" w:color="auto"/>
              <w:right w:val="single" w:sz="4" w:space="0" w:color="auto"/>
            </w:tcBorders>
            <w:shd w:val="clear" w:color="000000" w:fill="FFFFFF"/>
            <w:noWrap/>
            <w:vAlign w:val="bottom"/>
          </w:tcPr>
          <w:p w14:paraId="5B10734B" w14:textId="36087F02"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4.414.218 </w:t>
            </w:r>
          </w:p>
        </w:tc>
        <w:tc>
          <w:tcPr>
            <w:tcW w:w="1121" w:type="dxa"/>
            <w:tcBorders>
              <w:top w:val="nil"/>
              <w:left w:val="nil"/>
              <w:bottom w:val="single" w:sz="4" w:space="0" w:color="auto"/>
              <w:right w:val="single" w:sz="4" w:space="0" w:color="auto"/>
            </w:tcBorders>
            <w:shd w:val="clear" w:color="000000" w:fill="FFFFFF"/>
            <w:noWrap/>
            <w:vAlign w:val="bottom"/>
          </w:tcPr>
          <w:p w14:paraId="2123E2E2" w14:textId="55F9487B"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   </w:t>
            </w:r>
          </w:p>
        </w:tc>
        <w:tc>
          <w:tcPr>
            <w:tcW w:w="1062" w:type="dxa"/>
            <w:tcBorders>
              <w:top w:val="nil"/>
              <w:left w:val="nil"/>
              <w:bottom w:val="single" w:sz="4" w:space="0" w:color="auto"/>
              <w:right w:val="single" w:sz="4" w:space="0" w:color="auto"/>
            </w:tcBorders>
            <w:shd w:val="clear" w:color="000000" w:fill="FFFFFF"/>
            <w:noWrap/>
            <w:vAlign w:val="bottom"/>
          </w:tcPr>
          <w:p w14:paraId="78C3BB62" w14:textId="5C409FA9"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10 </w:t>
            </w:r>
          </w:p>
        </w:tc>
        <w:tc>
          <w:tcPr>
            <w:tcW w:w="1724" w:type="dxa"/>
            <w:tcBorders>
              <w:top w:val="nil"/>
              <w:left w:val="nil"/>
              <w:bottom w:val="single" w:sz="4" w:space="0" w:color="auto"/>
              <w:right w:val="single" w:sz="4" w:space="0" w:color="auto"/>
            </w:tcBorders>
            <w:shd w:val="clear" w:color="000000" w:fill="FFFFFF"/>
            <w:noWrap/>
            <w:vAlign w:val="bottom"/>
          </w:tcPr>
          <w:p w14:paraId="07F8A327" w14:textId="6BE98F9E"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6897CF14" w14:textId="3EBDB7DF"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4.739.372 </w:t>
            </w:r>
          </w:p>
        </w:tc>
      </w:tr>
      <w:tr w:rsidR="005379A3" w:rsidRPr="00701F32" w14:paraId="4992D41F" w14:textId="77777777" w:rsidTr="005379A3">
        <w:tc>
          <w:tcPr>
            <w:tcW w:w="0" w:type="auto"/>
            <w:tcBorders>
              <w:top w:val="nil"/>
              <w:left w:val="single" w:sz="4" w:space="0" w:color="auto"/>
              <w:bottom w:val="single" w:sz="4" w:space="0" w:color="363639"/>
              <w:right w:val="single" w:sz="4" w:space="0" w:color="363639"/>
            </w:tcBorders>
            <w:shd w:val="clear" w:color="000000" w:fill="FFFFFF"/>
            <w:noWrap/>
          </w:tcPr>
          <w:p w14:paraId="7373DB46" w14:textId="344969B2" w:rsidR="002B35BE" w:rsidRPr="00701F32" w:rsidRDefault="002B35BE" w:rsidP="002B35BE">
            <w:pPr>
              <w:ind w:left="-70" w:firstLine="70"/>
              <w:rPr>
                <w:rFonts w:ascii="Arial" w:hAnsi="Arial" w:cs="Arial"/>
                <w:sz w:val="16"/>
                <w:szCs w:val="16"/>
                <w:lang w:eastAsia="es-AR"/>
              </w:rPr>
            </w:pPr>
            <w:r w:rsidRPr="00701F32">
              <w:rPr>
                <w:rFonts w:ascii="Arial" w:hAnsi="Arial" w:cs="Arial"/>
                <w:sz w:val="16"/>
                <w:szCs w:val="16"/>
                <w:lang w:eastAsia="es-AR"/>
              </w:rPr>
              <w:t xml:space="preserve">   Entidades Financieras y corresponsales</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3EAFF27C" w14:textId="3E4ED91B" w:rsidR="002B35BE" w:rsidRPr="00701F32" w:rsidRDefault="002B35BE" w:rsidP="002B35BE">
            <w:pPr>
              <w:ind w:left="-70" w:firstLine="70"/>
              <w:jc w:val="right"/>
              <w:rPr>
                <w:rFonts w:ascii="Arial" w:hAnsi="Arial" w:cs="Arial"/>
                <w:sz w:val="16"/>
                <w:szCs w:val="16"/>
              </w:rPr>
            </w:pPr>
          </w:p>
        </w:tc>
        <w:tc>
          <w:tcPr>
            <w:tcW w:w="1147" w:type="dxa"/>
            <w:tcBorders>
              <w:top w:val="nil"/>
              <w:left w:val="nil"/>
              <w:bottom w:val="single" w:sz="4" w:space="0" w:color="auto"/>
              <w:right w:val="single" w:sz="4" w:space="0" w:color="auto"/>
            </w:tcBorders>
            <w:shd w:val="clear" w:color="000000" w:fill="FFFFFF"/>
            <w:noWrap/>
            <w:vAlign w:val="bottom"/>
          </w:tcPr>
          <w:p w14:paraId="7EF641CE" w14:textId="71EBC1EA" w:rsidR="002B35BE" w:rsidRPr="00701F32" w:rsidRDefault="002B35BE" w:rsidP="002B35BE">
            <w:pPr>
              <w:ind w:left="-70" w:firstLine="70"/>
              <w:jc w:val="right"/>
              <w:rPr>
                <w:rFonts w:ascii="Arial" w:hAnsi="Arial" w:cs="Arial"/>
                <w:sz w:val="16"/>
                <w:szCs w:val="16"/>
              </w:rPr>
            </w:pPr>
          </w:p>
        </w:tc>
        <w:tc>
          <w:tcPr>
            <w:tcW w:w="1121" w:type="dxa"/>
            <w:tcBorders>
              <w:top w:val="nil"/>
              <w:left w:val="nil"/>
              <w:bottom w:val="single" w:sz="4" w:space="0" w:color="auto"/>
              <w:right w:val="single" w:sz="4" w:space="0" w:color="auto"/>
            </w:tcBorders>
            <w:shd w:val="clear" w:color="000000" w:fill="FFFFFF"/>
            <w:noWrap/>
            <w:vAlign w:val="bottom"/>
          </w:tcPr>
          <w:p w14:paraId="484775F8" w14:textId="77777777" w:rsidR="002B35BE" w:rsidRPr="00701F32" w:rsidRDefault="002B35BE" w:rsidP="002B35BE">
            <w:pPr>
              <w:ind w:left="-70" w:firstLine="70"/>
              <w:jc w:val="right"/>
              <w:rPr>
                <w:rFonts w:ascii="Arial" w:hAnsi="Arial" w:cs="Arial"/>
                <w:sz w:val="16"/>
                <w:szCs w:val="16"/>
              </w:rPr>
            </w:pPr>
          </w:p>
        </w:tc>
        <w:tc>
          <w:tcPr>
            <w:tcW w:w="1062" w:type="dxa"/>
            <w:tcBorders>
              <w:top w:val="nil"/>
              <w:left w:val="nil"/>
              <w:bottom w:val="single" w:sz="4" w:space="0" w:color="auto"/>
              <w:right w:val="single" w:sz="4" w:space="0" w:color="auto"/>
            </w:tcBorders>
            <w:shd w:val="clear" w:color="000000" w:fill="FFFFFF"/>
            <w:noWrap/>
            <w:vAlign w:val="bottom"/>
          </w:tcPr>
          <w:p w14:paraId="788587ED" w14:textId="77777777" w:rsidR="002B35BE" w:rsidRPr="00701F32" w:rsidRDefault="002B35BE" w:rsidP="002B35BE">
            <w:pPr>
              <w:ind w:left="-70" w:firstLine="70"/>
              <w:jc w:val="right"/>
              <w:rPr>
                <w:rFonts w:ascii="Arial" w:hAnsi="Arial" w:cs="Arial"/>
                <w:sz w:val="16"/>
                <w:szCs w:val="16"/>
              </w:rPr>
            </w:pPr>
          </w:p>
        </w:tc>
        <w:tc>
          <w:tcPr>
            <w:tcW w:w="1724" w:type="dxa"/>
            <w:tcBorders>
              <w:top w:val="nil"/>
              <w:left w:val="nil"/>
              <w:bottom w:val="single" w:sz="4" w:space="0" w:color="auto"/>
              <w:right w:val="single" w:sz="4" w:space="0" w:color="auto"/>
            </w:tcBorders>
            <w:shd w:val="clear" w:color="000000" w:fill="FFFFFF"/>
            <w:noWrap/>
            <w:vAlign w:val="bottom"/>
          </w:tcPr>
          <w:p w14:paraId="35BC9153" w14:textId="77777777" w:rsidR="002B35BE" w:rsidRPr="00701F32" w:rsidRDefault="002B35BE" w:rsidP="002B35BE">
            <w:pPr>
              <w:ind w:left="-70" w:firstLine="70"/>
              <w:jc w:val="right"/>
              <w:rPr>
                <w:rFonts w:ascii="Arial" w:hAnsi="Arial" w:cs="Arial"/>
                <w:sz w:val="16"/>
                <w:szCs w:val="16"/>
              </w:rPr>
            </w:pPr>
          </w:p>
        </w:tc>
        <w:tc>
          <w:tcPr>
            <w:tcW w:w="1104" w:type="dxa"/>
            <w:tcBorders>
              <w:top w:val="nil"/>
              <w:left w:val="nil"/>
              <w:bottom w:val="single" w:sz="4" w:space="0" w:color="auto"/>
              <w:right w:val="single" w:sz="4" w:space="0" w:color="auto"/>
            </w:tcBorders>
            <w:shd w:val="clear" w:color="000000" w:fill="FFFFFF"/>
            <w:noWrap/>
            <w:vAlign w:val="bottom"/>
          </w:tcPr>
          <w:p w14:paraId="1E1FEB4E" w14:textId="77777777" w:rsidR="002B35BE" w:rsidRPr="00701F32" w:rsidRDefault="002B35BE" w:rsidP="002B35BE">
            <w:pPr>
              <w:ind w:left="-70" w:firstLine="70"/>
              <w:jc w:val="right"/>
              <w:rPr>
                <w:rFonts w:ascii="Arial" w:hAnsi="Arial" w:cs="Arial"/>
                <w:sz w:val="16"/>
                <w:szCs w:val="16"/>
              </w:rPr>
            </w:pPr>
          </w:p>
        </w:tc>
      </w:tr>
      <w:tr w:rsidR="005379A3" w:rsidRPr="00701F32" w14:paraId="5C208E6D" w14:textId="77777777" w:rsidTr="005379A3">
        <w:tc>
          <w:tcPr>
            <w:tcW w:w="0" w:type="auto"/>
            <w:tcBorders>
              <w:top w:val="nil"/>
              <w:left w:val="single" w:sz="4" w:space="0" w:color="auto"/>
              <w:bottom w:val="single" w:sz="4" w:space="0" w:color="363639"/>
              <w:right w:val="single" w:sz="4" w:space="0" w:color="363639"/>
            </w:tcBorders>
            <w:shd w:val="clear" w:color="000000" w:fill="FFFFFF"/>
            <w:noWrap/>
          </w:tcPr>
          <w:p w14:paraId="20E0795D" w14:textId="6E687B72" w:rsidR="002B35BE" w:rsidRPr="00701F32" w:rsidRDefault="002B35BE" w:rsidP="002B35BE">
            <w:pPr>
              <w:ind w:left="-70" w:firstLine="70"/>
              <w:rPr>
                <w:rFonts w:ascii="Arial" w:hAnsi="Arial" w:cs="Arial"/>
                <w:sz w:val="16"/>
                <w:szCs w:val="16"/>
                <w:lang w:eastAsia="es-AR"/>
              </w:rPr>
            </w:pPr>
            <w:r w:rsidRPr="00701F32">
              <w:rPr>
                <w:rFonts w:ascii="Arial" w:hAnsi="Arial" w:cs="Arial"/>
                <w:sz w:val="16"/>
                <w:szCs w:val="16"/>
                <w:lang w:eastAsia="es-AR"/>
              </w:rPr>
              <w:t xml:space="preserve">      BCRA</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5E9C9EEE" w14:textId="01C8CD04"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   </w:t>
            </w:r>
          </w:p>
        </w:tc>
        <w:tc>
          <w:tcPr>
            <w:tcW w:w="1147" w:type="dxa"/>
            <w:tcBorders>
              <w:top w:val="nil"/>
              <w:left w:val="nil"/>
              <w:bottom w:val="single" w:sz="4" w:space="0" w:color="auto"/>
              <w:right w:val="single" w:sz="4" w:space="0" w:color="auto"/>
            </w:tcBorders>
            <w:shd w:val="clear" w:color="000000" w:fill="FFFFFF"/>
            <w:noWrap/>
            <w:vAlign w:val="bottom"/>
          </w:tcPr>
          <w:p w14:paraId="3989E881" w14:textId="7F524406"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281.646 </w:t>
            </w:r>
          </w:p>
        </w:tc>
        <w:tc>
          <w:tcPr>
            <w:tcW w:w="1121" w:type="dxa"/>
            <w:tcBorders>
              <w:top w:val="nil"/>
              <w:left w:val="nil"/>
              <w:bottom w:val="single" w:sz="4" w:space="0" w:color="auto"/>
              <w:right w:val="single" w:sz="4" w:space="0" w:color="auto"/>
            </w:tcBorders>
            <w:shd w:val="clear" w:color="000000" w:fill="FFFFFF"/>
            <w:noWrap/>
            <w:vAlign w:val="bottom"/>
          </w:tcPr>
          <w:p w14:paraId="7AA960BF" w14:textId="6CCD0DBA"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27.107.138 </w:t>
            </w:r>
          </w:p>
        </w:tc>
        <w:tc>
          <w:tcPr>
            <w:tcW w:w="1062" w:type="dxa"/>
            <w:tcBorders>
              <w:top w:val="nil"/>
              <w:left w:val="nil"/>
              <w:bottom w:val="single" w:sz="4" w:space="0" w:color="auto"/>
              <w:right w:val="single" w:sz="4" w:space="0" w:color="auto"/>
            </w:tcBorders>
            <w:shd w:val="clear" w:color="000000" w:fill="FFFFFF"/>
            <w:noWrap/>
            <w:vAlign w:val="bottom"/>
          </w:tcPr>
          <w:p w14:paraId="4EF16EF4" w14:textId="0D315032"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   </w:t>
            </w:r>
          </w:p>
        </w:tc>
        <w:tc>
          <w:tcPr>
            <w:tcW w:w="1724" w:type="dxa"/>
            <w:tcBorders>
              <w:top w:val="nil"/>
              <w:left w:val="nil"/>
              <w:bottom w:val="single" w:sz="4" w:space="0" w:color="auto"/>
              <w:right w:val="single" w:sz="4" w:space="0" w:color="auto"/>
            </w:tcBorders>
            <w:shd w:val="clear" w:color="000000" w:fill="FFFFFF"/>
            <w:noWrap/>
            <w:vAlign w:val="bottom"/>
          </w:tcPr>
          <w:p w14:paraId="1F3A7251" w14:textId="62FF33F7"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20404194" w14:textId="1721B807"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27.388.784 </w:t>
            </w:r>
          </w:p>
        </w:tc>
      </w:tr>
      <w:tr w:rsidR="005379A3" w:rsidRPr="00701F32" w14:paraId="3CEE5DBF" w14:textId="77777777" w:rsidTr="005379A3">
        <w:tc>
          <w:tcPr>
            <w:tcW w:w="0" w:type="auto"/>
            <w:tcBorders>
              <w:top w:val="nil"/>
              <w:left w:val="single" w:sz="4" w:space="0" w:color="auto"/>
              <w:bottom w:val="single" w:sz="4" w:space="0" w:color="363639"/>
              <w:right w:val="single" w:sz="4" w:space="0" w:color="363639"/>
            </w:tcBorders>
            <w:shd w:val="clear" w:color="000000" w:fill="FFFFFF"/>
            <w:noWrap/>
          </w:tcPr>
          <w:p w14:paraId="6804C642" w14:textId="51143B85" w:rsidR="002B35BE" w:rsidRPr="00701F32" w:rsidRDefault="002B35BE" w:rsidP="002B35BE">
            <w:pPr>
              <w:ind w:left="-70" w:firstLine="70"/>
              <w:rPr>
                <w:rFonts w:ascii="Arial" w:hAnsi="Arial" w:cs="Arial"/>
                <w:sz w:val="16"/>
                <w:szCs w:val="16"/>
                <w:lang w:eastAsia="es-AR"/>
              </w:rPr>
            </w:pPr>
            <w:r w:rsidRPr="00701F32">
              <w:rPr>
                <w:rFonts w:ascii="Arial" w:hAnsi="Arial" w:cs="Arial"/>
                <w:sz w:val="16"/>
                <w:szCs w:val="16"/>
                <w:lang w:eastAsia="es-AR"/>
              </w:rPr>
              <w:t xml:space="preserve">      Otras del país y del exterior</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1A36C9F0" w14:textId="7355F198"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   </w:t>
            </w:r>
          </w:p>
        </w:tc>
        <w:tc>
          <w:tcPr>
            <w:tcW w:w="1147" w:type="dxa"/>
            <w:tcBorders>
              <w:top w:val="nil"/>
              <w:left w:val="nil"/>
              <w:bottom w:val="single" w:sz="4" w:space="0" w:color="auto"/>
              <w:right w:val="single" w:sz="4" w:space="0" w:color="auto"/>
            </w:tcBorders>
            <w:shd w:val="clear" w:color="000000" w:fill="FFFFFF"/>
            <w:noWrap/>
            <w:vAlign w:val="bottom"/>
          </w:tcPr>
          <w:p w14:paraId="42EDCE9C" w14:textId="156F979B"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8.170 </w:t>
            </w:r>
          </w:p>
        </w:tc>
        <w:tc>
          <w:tcPr>
            <w:tcW w:w="1121" w:type="dxa"/>
            <w:tcBorders>
              <w:top w:val="nil"/>
              <w:left w:val="nil"/>
              <w:bottom w:val="single" w:sz="4" w:space="0" w:color="auto"/>
              <w:right w:val="single" w:sz="4" w:space="0" w:color="auto"/>
            </w:tcBorders>
            <w:shd w:val="clear" w:color="000000" w:fill="FFFFFF"/>
            <w:noWrap/>
            <w:vAlign w:val="bottom"/>
          </w:tcPr>
          <w:p w14:paraId="381C0905" w14:textId="302A8E67"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1.398.717 </w:t>
            </w:r>
          </w:p>
        </w:tc>
        <w:tc>
          <w:tcPr>
            <w:tcW w:w="1062" w:type="dxa"/>
            <w:tcBorders>
              <w:top w:val="nil"/>
              <w:left w:val="nil"/>
              <w:bottom w:val="single" w:sz="4" w:space="0" w:color="auto"/>
              <w:right w:val="single" w:sz="4" w:space="0" w:color="auto"/>
            </w:tcBorders>
            <w:shd w:val="clear" w:color="000000" w:fill="FFFFFF"/>
            <w:noWrap/>
            <w:vAlign w:val="bottom"/>
          </w:tcPr>
          <w:p w14:paraId="2692D032" w14:textId="54A981B3"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17.352 </w:t>
            </w:r>
          </w:p>
        </w:tc>
        <w:tc>
          <w:tcPr>
            <w:tcW w:w="1724" w:type="dxa"/>
            <w:tcBorders>
              <w:top w:val="nil"/>
              <w:left w:val="nil"/>
              <w:bottom w:val="single" w:sz="4" w:space="0" w:color="auto"/>
              <w:right w:val="single" w:sz="4" w:space="0" w:color="auto"/>
            </w:tcBorders>
            <w:shd w:val="clear" w:color="000000" w:fill="FFFFFF"/>
            <w:noWrap/>
            <w:vAlign w:val="bottom"/>
          </w:tcPr>
          <w:p w14:paraId="6949DDA9" w14:textId="3B5E39B2"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-16.033 </w:t>
            </w:r>
          </w:p>
        </w:tc>
        <w:tc>
          <w:tcPr>
            <w:tcW w:w="1104" w:type="dxa"/>
            <w:tcBorders>
              <w:top w:val="nil"/>
              <w:left w:val="nil"/>
              <w:bottom w:val="single" w:sz="4" w:space="0" w:color="auto"/>
              <w:right w:val="single" w:sz="4" w:space="0" w:color="auto"/>
            </w:tcBorders>
            <w:shd w:val="clear" w:color="000000" w:fill="FFFFFF"/>
            <w:noWrap/>
            <w:vAlign w:val="bottom"/>
          </w:tcPr>
          <w:p w14:paraId="51C991E2" w14:textId="0AC5D1A9"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1.408.206 </w:t>
            </w:r>
          </w:p>
        </w:tc>
      </w:tr>
      <w:tr w:rsidR="005379A3" w:rsidRPr="00701F32" w14:paraId="65A61F0D" w14:textId="77777777" w:rsidTr="005379A3">
        <w:tc>
          <w:tcPr>
            <w:tcW w:w="0" w:type="auto"/>
            <w:tcBorders>
              <w:top w:val="nil"/>
              <w:left w:val="single" w:sz="4" w:space="0" w:color="auto"/>
              <w:bottom w:val="single" w:sz="4" w:space="0" w:color="363639"/>
              <w:right w:val="single" w:sz="4" w:space="0" w:color="363639"/>
            </w:tcBorders>
            <w:shd w:val="clear" w:color="000000" w:fill="FFFFFF"/>
            <w:noWrap/>
          </w:tcPr>
          <w:p w14:paraId="1F8F4FA4" w14:textId="0B279335" w:rsidR="002B35BE" w:rsidRPr="00701F32" w:rsidRDefault="002B35BE" w:rsidP="002B35BE">
            <w:pPr>
              <w:ind w:left="-70" w:firstLine="70"/>
              <w:rPr>
                <w:rFonts w:ascii="Arial" w:hAnsi="Arial" w:cs="Arial"/>
                <w:sz w:val="16"/>
                <w:szCs w:val="16"/>
                <w:lang w:eastAsia="es-AR"/>
              </w:rPr>
            </w:pPr>
            <w:r w:rsidRPr="00701F32">
              <w:rPr>
                <w:rFonts w:ascii="Arial" w:hAnsi="Arial" w:cs="Arial"/>
                <w:sz w:val="16"/>
                <w:szCs w:val="16"/>
                <w:lang w:eastAsia="es-AR"/>
              </w:rPr>
              <w:t xml:space="preserve">   Otros</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57EF0597" w14:textId="27E79EA0" w:rsidR="002B35BE" w:rsidRPr="00701F32" w:rsidRDefault="002B35BE" w:rsidP="002B35BE">
            <w:pPr>
              <w:ind w:left="-70" w:firstLine="70"/>
              <w:jc w:val="right"/>
              <w:rPr>
                <w:rFonts w:ascii="Arial" w:hAnsi="Arial" w:cs="Arial"/>
                <w:sz w:val="16"/>
                <w:szCs w:val="16"/>
              </w:rPr>
            </w:pPr>
            <w:r w:rsidRPr="00EC349E">
              <w:rPr>
                <w:rFonts w:ascii="Arial" w:hAnsi="Arial" w:cs="Arial"/>
                <w:sz w:val="16"/>
                <w:szCs w:val="16"/>
              </w:rPr>
              <w:t xml:space="preserve"> 104 </w:t>
            </w:r>
          </w:p>
        </w:tc>
        <w:tc>
          <w:tcPr>
            <w:tcW w:w="1147" w:type="dxa"/>
            <w:tcBorders>
              <w:top w:val="nil"/>
              <w:left w:val="nil"/>
              <w:bottom w:val="single" w:sz="4" w:space="0" w:color="auto"/>
              <w:right w:val="single" w:sz="4" w:space="0" w:color="auto"/>
            </w:tcBorders>
            <w:shd w:val="clear" w:color="000000" w:fill="FFFFFF"/>
            <w:noWrap/>
            <w:vAlign w:val="bottom"/>
          </w:tcPr>
          <w:p w14:paraId="07B668D8" w14:textId="236021AF" w:rsidR="002B35BE" w:rsidRPr="00701F32" w:rsidRDefault="002B35BE" w:rsidP="002B35BE">
            <w:pPr>
              <w:ind w:left="-70" w:firstLine="70"/>
              <w:jc w:val="right"/>
              <w:rPr>
                <w:rFonts w:ascii="Arial" w:hAnsi="Arial" w:cs="Arial"/>
                <w:sz w:val="16"/>
                <w:szCs w:val="16"/>
              </w:rPr>
            </w:pPr>
            <w:r w:rsidRPr="00EC349E">
              <w:rPr>
                <w:rFonts w:ascii="Arial" w:hAnsi="Arial" w:cs="Arial"/>
                <w:sz w:val="16"/>
                <w:szCs w:val="16"/>
              </w:rPr>
              <w:t xml:space="preserve"> 10.252 </w:t>
            </w:r>
          </w:p>
        </w:tc>
        <w:tc>
          <w:tcPr>
            <w:tcW w:w="1121" w:type="dxa"/>
            <w:tcBorders>
              <w:top w:val="nil"/>
              <w:left w:val="nil"/>
              <w:bottom w:val="single" w:sz="4" w:space="0" w:color="auto"/>
              <w:right w:val="single" w:sz="4" w:space="0" w:color="auto"/>
            </w:tcBorders>
            <w:shd w:val="clear" w:color="000000" w:fill="FFFFFF"/>
            <w:noWrap/>
            <w:vAlign w:val="bottom"/>
          </w:tcPr>
          <w:p w14:paraId="7BE0EB06" w14:textId="1F1AB0AC" w:rsidR="002B35BE" w:rsidRPr="00701F32" w:rsidRDefault="002B35BE" w:rsidP="002B35BE">
            <w:pPr>
              <w:ind w:left="-70" w:firstLine="70"/>
              <w:jc w:val="right"/>
              <w:rPr>
                <w:rFonts w:ascii="Arial" w:hAnsi="Arial" w:cs="Arial"/>
                <w:sz w:val="16"/>
                <w:szCs w:val="16"/>
              </w:rPr>
            </w:pPr>
            <w:r w:rsidRPr="00EC349E">
              <w:rPr>
                <w:rFonts w:ascii="Arial" w:hAnsi="Arial" w:cs="Arial"/>
                <w:sz w:val="16"/>
                <w:szCs w:val="16"/>
              </w:rPr>
              <w:t xml:space="preserve"> 43 </w:t>
            </w:r>
          </w:p>
        </w:tc>
        <w:tc>
          <w:tcPr>
            <w:tcW w:w="1062" w:type="dxa"/>
            <w:tcBorders>
              <w:top w:val="nil"/>
              <w:left w:val="nil"/>
              <w:bottom w:val="single" w:sz="4" w:space="0" w:color="auto"/>
              <w:right w:val="single" w:sz="4" w:space="0" w:color="auto"/>
            </w:tcBorders>
            <w:shd w:val="clear" w:color="000000" w:fill="FFFFFF"/>
            <w:noWrap/>
            <w:vAlign w:val="bottom"/>
          </w:tcPr>
          <w:p w14:paraId="7EA54D19" w14:textId="1DAF97EC" w:rsidR="002B35BE" w:rsidRPr="00701F32" w:rsidRDefault="002B35BE" w:rsidP="002B35BE">
            <w:pPr>
              <w:ind w:left="-70" w:firstLine="70"/>
              <w:jc w:val="right"/>
              <w:rPr>
                <w:rFonts w:ascii="Arial" w:hAnsi="Arial" w:cs="Arial"/>
                <w:sz w:val="16"/>
                <w:szCs w:val="16"/>
              </w:rPr>
            </w:pPr>
            <w:r w:rsidRPr="00EC349E">
              <w:rPr>
                <w:rFonts w:ascii="Arial" w:hAnsi="Arial" w:cs="Arial"/>
                <w:sz w:val="16"/>
                <w:szCs w:val="16"/>
              </w:rPr>
              <w:t xml:space="preserve"> -   </w:t>
            </w:r>
          </w:p>
        </w:tc>
        <w:tc>
          <w:tcPr>
            <w:tcW w:w="1724" w:type="dxa"/>
            <w:tcBorders>
              <w:top w:val="nil"/>
              <w:left w:val="nil"/>
              <w:bottom w:val="single" w:sz="4" w:space="0" w:color="auto"/>
              <w:right w:val="single" w:sz="4" w:space="0" w:color="auto"/>
            </w:tcBorders>
            <w:shd w:val="clear" w:color="000000" w:fill="FFFFFF"/>
            <w:noWrap/>
            <w:vAlign w:val="bottom"/>
          </w:tcPr>
          <w:p w14:paraId="268BA51B" w14:textId="39A01753" w:rsidR="002B35BE" w:rsidRPr="00701F32" w:rsidRDefault="002B35BE" w:rsidP="002B35BE">
            <w:pPr>
              <w:ind w:left="-70" w:firstLine="70"/>
              <w:jc w:val="right"/>
              <w:rPr>
                <w:rFonts w:ascii="Arial" w:hAnsi="Arial" w:cs="Arial"/>
                <w:sz w:val="16"/>
                <w:szCs w:val="16"/>
              </w:rPr>
            </w:pPr>
            <w:r w:rsidRPr="00EC349E">
              <w:rPr>
                <w:rFonts w:ascii="Arial" w:hAnsi="Arial" w:cs="Arial"/>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5649BB5F" w14:textId="49649E4B" w:rsidR="002B35BE" w:rsidRPr="00701F32" w:rsidRDefault="002B35BE" w:rsidP="002B35BE">
            <w:pPr>
              <w:ind w:left="-70" w:firstLine="70"/>
              <w:jc w:val="right"/>
              <w:rPr>
                <w:rFonts w:ascii="Arial" w:hAnsi="Arial" w:cs="Arial"/>
                <w:sz w:val="16"/>
                <w:szCs w:val="16"/>
              </w:rPr>
            </w:pPr>
            <w:r w:rsidRPr="00EC349E">
              <w:rPr>
                <w:rFonts w:ascii="Arial" w:hAnsi="Arial" w:cs="Arial"/>
                <w:sz w:val="16"/>
                <w:szCs w:val="16"/>
              </w:rPr>
              <w:t xml:space="preserve"> 10.399 </w:t>
            </w:r>
          </w:p>
        </w:tc>
      </w:tr>
      <w:tr w:rsidR="005379A3" w:rsidRPr="00701F32" w14:paraId="56B9F6AE"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31021302" w14:textId="53C6254C"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Títulos de deuda a valor razonable con cambios en resultados</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37A01309" w14:textId="3870B158"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47" w:type="dxa"/>
            <w:tcBorders>
              <w:top w:val="nil"/>
              <w:left w:val="nil"/>
              <w:bottom w:val="single" w:sz="4" w:space="0" w:color="auto"/>
              <w:right w:val="single" w:sz="4" w:space="0" w:color="auto"/>
            </w:tcBorders>
            <w:shd w:val="clear" w:color="000000" w:fill="FFFFFF"/>
            <w:noWrap/>
            <w:vAlign w:val="bottom"/>
          </w:tcPr>
          <w:p w14:paraId="13071BE9" w14:textId="62DA17F9"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21" w:type="dxa"/>
            <w:tcBorders>
              <w:top w:val="nil"/>
              <w:left w:val="nil"/>
              <w:bottom w:val="single" w:sz="4" w:space="0" w:color="auto"/>
              <w:right w:val="single" w:sz="4" w:space="0" w:color="auto"/>
            </w:tcBorders>
            <w:shd w:val="clear" w:color="000000" w:fill="FFFFFF"/>
            <w:noWrap/>
            <w:vAlign w:val="bottom"/>
          </w:tcPr>
          <w:p w14:paraId="12C672BE" w14:textId="3B0620C7"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14.941.290 </w:t>
            </w:r>
          </w:p>
        </w:tc>
        <w:tc>
          <w:tcPr>
            <w:tcW w:w="1062" w:type="dxa"/>
            <w:tcBorders>
              <w:top w:val="nil"/>
              <w:left w:val="nil"/>
              <w:bottom w:val="single" w:sz="4" w:space="0" w:color="auto"/>
              <w:right w:val="single" w:sz="4" w:space="0" w:color="auto"/>
            </w:tcBorders>
            <w:shd w:val="clear" w:color="000000" w:fill="FFFFFF"/>
            <w:noWrap/>
            <w:vAlign w:val="bottom"/>
          </w:tcPr>
          <w:p w14:paraId="622CA63B" w14:textId="0B9810E4"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724" w:type="dxa"/>
            <w:tcBorders>
              <w:top w:val="nil"/>
              <w:left w:val="nil"/>
              <w:bottom w:val="single" w:sz="4" w:space="0" w:color="auto"/>
              <w:right w:val="single" w:sz="4" w:space="0" w:color="auto"/>
            </w:tcBorders>
            <w:shd w:val="clear" w:color="000000" w:fill="FFFFFF"/>
            <w:noWrap/>
            <w:vAlign w:val="bottom"/>
          </w:tcPr>
          <w:p w14:paraId="65F22303" w14:textId="3E5EB6F9"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1536146B" w14:textId="1E0614C0"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14.941.290 </w:t>
            </w:r>
          </w:p>
        </w:tc>
      </w:tr>
      <w:tr w:rsidR="005379A3" w:rsidRPr="00701F32" w14:paraId="76B7B25D"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373958B0" w14:textId="1C10B278"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 xml:space="preserve">Instrumentos derivados </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2E0C2BDC" w14:textId="3101F331"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47" w:type="dxa"/>
            <w:tcBorders>
              <w:top w:val="nil"/>
              <w:left w:val="nil"/>
              <w:bottom w:val="single" w:sz="4" w:space="0" w:color="auto"/>
              <w:right w:val="single" w:sz="4" w:space="0" w:color="auto"/>
            </w:tcBorders>
            <w:shd w:val="clear" w:color="000000" w:fill="FFFFFF"/>
            <w:noWrap/>
            <w:vAlign w:val="bottom"/>
          </w:tcPr>
          <w:p w14:paraId="23FB5B2F" w14:textId="25462491"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21" w:type="dxa"/>
            <w:tcBorders>
              <w:top w:val="nil"/>
              <w:left w:val="nil"/>
              <w:bottom w:val="single" w:sz="4" w:space="0" w:color="auto"/>
              <w:right w:val="single" w:sz="4" w:space="0" w:color="auto"/>
            </w:tcBorders>
            <w:shd w:val="clear" w:color="000000" w:fill="FFFFFF"/>
            <w:noWrap/>
            <w:vAlign w:val="bottom"/>
          </w:tcPr>
          <w:p w14:paraId="7CE5DFC1" w14:textId="7F437929"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15.924 </w:t>
            </w:r>
          </w:p>
        </w:tc>
        <w:tc>
          <w:tcPr>
            <w:tcW w:w="1062" w:type="dxa"/>
            <w:tcBorders>
              <w:top w:val="nil"/>
              <w:left w:val="nil"/>
              <w:bottom w:val="single" w:sz="4" w:space="0" w:color="auto"/>
              <w:right w:val="single" w:sz="4" w:space="0" w:color="auto"/>
            </w:tcBorders>
            <w:shd w:val="clear" w:color="000000" w:fill="FFFFFF"/>
            <w:noWrap/>
            <w:vAlign w:val="bottom"/>
          </w:tcPr>
          <w:p w14:paraId="19C5EC79" w14:textId="492BA159"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724" w:type="dxa"/>
            <w:tcBorders>
              <w:top w:val="nil"/>
              <w:left w:val="nil"/>
              <w:bottom w:val="single" w:sz="4" w:space="0" w:color="auto"/>
              <w:right w:val="single" w:sz="4" w:space="0" w:color="auto"/>
            </w:tcBorders>
            <w:shd w:val="clear" w:color="000000" w:fill="FFFFFF"/>
            <w:noWrap/>
            <w:vAlign w:val="bottom"/>
          </w:tcPr>
          <w:p w14:paraId="590D8D16" w14:textId="21D4C021"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77EA687E" w14:textId="7293A398"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15.924 </w:t>
            </w:r>
          </w:p>
        </w:tc>
      </w:tr>
      <w:tr w:rsidR="005379A3" w:rsidRPr="00701F32" w14:paraId="21BD6009"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00429F16" w14:textId="59A03EB4"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 xml:space="preserve">Otros activos financieros </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16DDC7DE" w14:textId="52280A94"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330</w:t>
            </w:r>
          </w:p>
        </w:tc>
        <w:tc>
          <w:tcPr>
            <w:tcW w:w="1147" w:type="dxa"/>
            <w:tcBorders>
              <w:top w:val="nil"/>
              <w:left w:val="nil"/>
              <w:bottom w:val="single" w:sz="4" w:space="0" w:color="auto"/>
              <w:right w:val="single" w:sz="4" w:space="0" w:color="auto"/>
            </w:tcBorders>
            <w:shd w:val="clear" w:color="000000" w:fill="FFFFFF"/>
            <w:noWrap/>
            <w:vAlign w:val="bottom"/>
          </w:tcPr>
          <w:p w14:paraId="55493DF4" w14:textId="2F66403E"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710.469 </w:t>
            </w:r>
          </w:p>
        </w:tc>
        <w:tc>
          <w:tcPr>
            <w:tcW w:w="1121" w:type="dxa"/>
            <w:tcBorders>
              <w:top w:val="nil"/>
              <w:left w:val="nil"/>
              <w:bottom w:val="single" w:sz="4" w:space="0" w:color="auto"/>
              <w:right w:val="single" w:sz="4" w:space="0" w:color="auto"/>
            </w:tcBorders>
            <w:shd w:val="clear" w:color="000000" w:fill="FFFFFF"/>
            <w:noWrap/>
            <w:vAlign w:val="bottom"/>
          </w:tcPr>
          <w:p w14:paraId="75DAAB96" w14:textId="2E17ABB4"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33.861 </w:t>
            </w:r>
          </w:p>
        </w:tc>
        <w:tc>
          <w:tcPr>
            <w:tcW w:w="1062" w:type="dxa"/>
            <w:tcBorders>
              <w:top w:val="nil"/>
              <w:left w:val="nil"/>
              <w:bottom w:val="single" w:sz="4" w:space="0" w:color="auto"/>
              <w:right w:val="single" w:sz="4" w:space="0" w:color="auto"/>
            </w:tcBorders>
            <w:shd w:val="clear" w:color="000000" w:fill="FFFFFF"/>
            <w:noWrap/>
            <w:vAlign w:val="bottom"/>
          </w:tcPr>
          <w:p w14:paraId="60F585C3" w14:textId="1DA0020B"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267.957 </w:t>
            </w:r>
          </w:p>
        </w:tc>
        <w:tc>
          <w:tcPr>
            <w:tcW w:w="1724" w:type="dxa"/>
            <w:tcBorders>
              <w:top w:val="nil"/>
              <w:left w:val="nil"/>
              <w:bottom w:val="single" w:sz="4" w:space="0" w:color="auto"/>
              <w:right w:val="single" w:sz="4" w:space="0" w:color="auto"/>
            </w:tcBorders>
            <w:shd w:val="clear" w:color="000000" w:fill="FFFFFF"/>
            <w:noWrap/>
            <w:vAlign w:val="bottom"/>
          </w:tcPr>
          <w:p w14:paraId="461975D0" w14:textId="77444579"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-13.980 </w:t>
            </w:r>
          </w:p>
        </w:tc>
        <w:tc>
          <w:tcPr>
            <w:tcW w:w="1104" w:type="dxa"/>
            <w:tcBorders>
              <w:top w:val="nil"/>
              <w:left w:val="nil"/>
              <w:bottom w:val="single" w:sz="4" w:space="0" w:color="auto"/>
              <w:right w:val="single" w:sz="4" w:space="0" w:color="auto"/>
            </w:tcBorders>
            <w:shd w:val="clear" w:color="000000" w:fill="FFFFFF"/>
            <w:noWrap/>
            <w:vAlign w:val="bottom"/>
          </w:tcPr>
          <w:p w14:paraId="59C97C96" w14:textId="1A0AE84E"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998.637 </w:t>
            </w:r>
          </w:p>
        </w:tc>
      </w:tr>
      <w:tr w:rsidR="005379A3" w:rsidRPr="00701F32" w14:paraId="258C94F8"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7919EF11" w14:textId="29054293"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 xml:space="preserve">Préstamos y otras financiaciones </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72F5490C" w14:textId="74B5BCB9"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39.133.720 </w:t>
            </w:r>
          </w:p>
        </w:tc>
        <w:tc>
          <w:tcPr>
            <w:tcW w:w="1147" w:type="dxa"/>
            <w:tcBorders>
              <w:top w:val="nil"/>
              <w:left w:val="nil"/>
              <w:bottom w:val="single" w:sz="4" w:space="0" w:color="auto"/>
              <w:right w:val="single" w:sz="4" w:space="0" w:color="auto"/>
            </w:tcBorders>
            <w:shd w:val="clear" w:color="000000" w:fill="FFFFFF"/>
            <w:noWrap/>
            <w:vAlign w:val="bottom"/>
          </w:tcPr>
          <w:p w14:paraId="47004486" w14:textId="179AF64E"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31.288.567 </w:t>
            </w:r>
          </w:p>
        </w:tc>
        <w:tc>
          <w:tcPr>
            <w:tcW w:w="1121" w:type="dxa"/>
            <w:tcBorders>
              <w:top w:val="nil"/>
              <w:left w:val="nil"/>
              <w:bottom w:val="single" w:sz="4" w:space="0" w:color="auto"/>
              <w:right w:val="single" w:sz="4" w:space="0" w:color="auto"/>
            </w:tcBorders>
            <w:shd w:val="clear" w:color="000000" w:fill="FFFFFF"/>
            <w:noWrap/>
            <w:vAlign w:val="bottom"/>
          </w:tcPr>
          <w:p w14:paraId="7051A98F" w14:textId="0CE90FE4"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2.834.700 </w:t>
            </w:r>
          </w:p>
        </w:tc>
        <w:tc>
          <w:tcPr>
            <w:tcW w:w="1062" w:type="dxa"/>
            <w:tcBorders>
              <w:top w:val="nil"/>
              <w:left w:val="nil"/>
              <w:bottom w:val="single" w:sz="4" w:space="0" w:color="auto"/>
              <w:right w:val="single" w:sz="4" w:space="0" w:color="auto"/>
            </w:tcBorders>
            <w:shd w:val="clear" w:color="000000" w:fill="FFFFFF"/>
            <w:noWrap/>
            <w:vAlign w:val="bottom"/>
          </w:tcPr>
          <w:p w14:paraId="07E2CDD6" w14:textId="566794E2"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7.218.670 </w:t>
            </w:r>
          </w:p>
        </w:tc>
        <w:tc>
          <w:tcPr>
            <w:tcW w:w="1724" w:type="dxa"/>
            <w:tcBorders>
              <w:top w:val="nil"/>
              <w:left w:val="nil"/>
              <w:bottom w:val="single" w:sz="4" w:space="0" w:color="auto"/>
              <w:right w:val="single" w:sz="4" w:space="0" w:color="auto"/>
            </w:tcBorders>
            <w:shd w:val="clear" w:color="000000" w:fill="FFFFFF"/>
            <w:noWrap/>
            <w:vAlign w:val="bottom"/>
          </w:tcPr>
          <w:p w14:paraId="22FF3A06" w14:textId="27940B16"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-2.943.788 </w:t>
            </w:r>
          </w:p>
        </w:tc>
        <w:tc>
          <w:tcPr>
            <w:tcW w:w="1104" w:type="dxa"/>
            <w:tcBorders>
              <w:top w:val="nil"/>
              <w:left w:val="nil"/>
              <w:bottom w:val="single" w:sz="4" w:space="0" w:color="auto"/>
              <w:right w:val="single" w:sz="4" w:space="0" w:color="auto"/>
            </w:tcBorders>
            <w:shd w:val="clear" w:color="000000" w:fill="FFFFFF"/>
            <w:noWrap/>
            <w:vAlign w:val="bottom"/>
          </w:tcPr>
          <w:p w14:paraId="3461C342" w14:textId="64A84D51"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77.531.869 </w:t>
            </w:r>
          </w:p>
        </w:tc>
      </w:tr>
      <w:tr w:rsidR="005379A3" w:rsidRPr="00701F32" w14:paraId="65677F76"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1D3BA757" w14:textId="64FB5D45" w:rsidR="002B35BE" w:rsidRPr="00701F32" w:rsidRDefault="002B35BE" w:rsidP="002B35BE">
            <w:pPr>
              <w:ind w:left="-70" w:firstLine="70"/>
              <w:rPr>
                <w:rFonts w:ascii="Arial" w:hAnsi="Arial" w:cs="Arial"/>
                <w:b/>
                <w:bCs/>
                <w:sz w:val="16"/>
                <w:szCs w:val="16"/>
                <w:lang w:eastAsia="es-AR"/>
              </w:rPr>
            </w:pPr>
            <w:r w:rsidRPr="00701F32">
              <w:rPr>
                <w:rFonts w:ascii="Arial" w:hAnsi="Arial" w:cs="Arial"/>
                <w:sz w:val="16"/>
                <w:szCs w:val="16"/>
                <w:lang w:eastAsia="es-AR"/>
              </w:rPr>
              <w:t xml:space="preserve">   Sector público no financiero</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148F85C1" w14:textId="261CAFCC" w:rsidR="002B35BE" w:rsidRPr="00701F32" w:rsidRDefault="002B35BE" w:rsidP="002B35BE">
            <w:pPr>
              <w:ind w:left="-70" w:firstLine="70"/>
              <w:jc w:val="right"/>
              <w:rPr>
                <w:rFonts w:ascii="Arial" w:hAnsi="Arial" w:cs="Arial"/>
                <w:b/>
                <w:sz w:val="16"/>
                <w:szCs w:val="16"/>
              </w:rPr>
            </w:pPr>
            <w:r w:rsidRPr="00886ABA">
              <w:rPr>
                <w:rFonts w:ascii="Arial" w:hAnsi="Arial" w:cs="Arial"/>
                <w:sz w:val="16"/>
                <w:szCs w:val="16"/>
              </w:rPr>
              <w:t xml:space="preserve"> 527 </w:t>
            </w:r>
          </w:p>
        </w:tc>
        <w:tc>
          <w:tcPr>
            <w:tcW w:w="1147" w:type="dxa"/>
            <w:tcBorders>
              <w:top w:val="nil"/>
              <w:left w:val="nil"/>
              <w:bottom w:val="single" w:sz="4" w:space="0" w:color="auto"/>
              <w:right w:val="single" w:sz="4" w:space="0" w:color="auto"/>
            </w:tcBorders>
            <w:shd w:val="clear" w:color="000000" w:fill="FFFFFF"/>
            <w:noWrap/>
            <w:vAlign w:val="bottom"/>
          </w:tcPr>
          <w:p w14:paraId="610B0C16" w14:textId="134A27B7" w:rsidR="002B35BE" w:rsidRPr="00701F32" w:rsidRDefault="002B35BE" w:rsidP="002B35BE">
            <w:pPr>
              <w:ind w:left="-70" w:firstLine="70"/>
              <w:jc w:val="right"/>
              <w:rPr>
                <w:rFonts w:ascii="Arial" w:hAnsi="Arial" w:cs="Arial"/>
                <w:b/>
                <w:sz w:val="16"/>
                <w:szCs w:val="16"/>
              </w:rPr>
            </w:pPr>
            <w:r w:rsidRPr="00886ABA">
              <w:rPr>
                <w:rFonts w:ascii="Arial" w:hAnsi="Arial" w:cs="Arial"/>
                <w:sz w:val="16"/>
                <w:szCs w:val="16"/>
              </w:rPr>
              <w:t xml:space="preserve"> 26 </w:t>
            </w:r>
          </w:p>
        </w:tc>
        <w:tc>
          <w:tcPr>
            <w:tcW w:w="1121" w:type="dxa"/>
            <w:tcBorders>
              <w:top w:val="nil"/>
              <w:left w:val="nil"/>
              <w:bottom w:val="single" w:sz="4" w:space="0" w:color="auto"/>
              <w:right w:val="single" w:sz="4" w:space="0" w:color="auto"/>
            </w:tcBorders>
            <w:shd w:val="clear" w:color="000000" w:fill="FFFFFF"/>
            <w:noWrap/>
            <w:vAlign w:val="bottom"/>
          </w:tcPr>
          <w:p w14:paraId="7FDB9310" w14:textId="6C6D9323" w:rsidR="002B35BE" w:rsidRPr="00701F32" w:rsidRDefault="002B35BE" w:rsidP="002B35BE">
            <w:pPr>
              <w:ind w:left="-70" w:firstLine="70"/>
              <w:jc w:val="right"/>
              <w:rPr>
                <w:rFonts w:ascii="Arial" w:hAnsi="Arial" w:cs="Arial"/>
                <w:b/>
                <w:sz w:val="16"/>
                <w:szCs w:val="16"/>
              </w:rPr>
            </w:pPr>
            <w:r w:rsidRPr="00886ABA">
              <w:rPr>
                <w:rFonts w:ascii="Arial" w:hAnsi="Arial" w:cs="Arial"/>
                <w:sz w:val="16"/>
                <w:szCs w:val="16"/>
              </w:rPr>
              <w:t xml:space="preserve"> 32.249 </w:t>
            </w:r>
          </w:p>
        </w:tc>
        <w:tc>
          <w:tcPr>
            <w:tcW w:w="1062" w:type="dxa"/>
            <w:tcBorders>
              <w:top w:val="nil"/>
              <w:left w:val="nil"/>
              <w:bottom w:val="single" w:sz="4" w:space="0" w:color="auto"/>
              <w:right w:val="single" w:sz="4" w:space="0" w:color="auto"/>
            </w:tcBorders>
            <w:shd w:val="clear" w:color="000000" w:fill="FFFFFF"/>
            <w:noWrap/>
            <w:vAlign w:val="bottom"/>
          </w:tcPr>
          <w:p w14:paraId="25A5BC4F" w14:textId="57581F5D" w:rsidR="002B35BE" w:rsidRPr="00701F32" w:rsidRDefault="002B35BE" w:rsidP="002B35BE">
            <w:pPr>
              <w:ind w:left="-70" w:firstLine="70"/>
              <w:jc w:val="right"/>
              <w:rPr>
                <w:rFonts w:ascii="Arial" w:hAnsi="Arial" w:cs="Arial"/>
                <w:b/>
                <w:sz w:val="16"/>
                <w:szCs w:val="16"/>
              </w:rPr>
            </w:pPr>
            <w:r w:rsidRPr="00886ABA">
              <w:rPr>
                <w:rFonts w:ascii="Arial" w:hAnsi="Arial" w:cs="Arial"/>
                <w:sz w:val="16"/>
                <w:szCs w:val="16"/>
              </w:rPr>
              <w:t xml:space="preserve"> -   </w:t>
            </w:r>
          </w:p>
        </w:tc>
        <w:tc>
          <w:tcPr>
            <w:tcW w:w="1724" w:type="dxa"/>
            <w:tcBorders>
              <w:top w:val="nil"/>
              <w:left w:val="nil"/>
              <w:bottom w:val="single" w:sz="4" w:space="0" w:color="auto"/>
              <w:right w:val="single" w:sz="4" w:space="0" w:color="auto"/>
            </w:tcBorders>
            <w:shd w:val="clear" w:color="000000" w:fill="FFFFFF"/>
            <w:noWrap/>
            <w:vAlign w:val="bottom"/>
          </w:tcPr>
          <w:p w14:paraId="6235E0F6" w14:textId="326740AF" w:rsidR="002B35BE" w:rsidRPr="00701F32" w:rsidRDefault="002B35BE" w:rsidP="002B35BE">
            <w:pPr>
              <w:ind w:left="-70" w:firstLine="70"/>
              <w:jc w:val="right"/>
              <w:rPr>
                <w:rFonts w:ascii="Arial" w:hAnsi="Arial" w:cs="Arial"/>
                <w:b/>
                <w:sz w:val="16"/>
                <w:szCs w:val="16"/>
              </w:rPr>
            </w:pPr>
            <w:r w:rsidRPr="00886ABA">
              <w:rPr>
                <w:rFonts w:ascii="Arial" w:hAnsi="Arial" w:cs="Arial"/>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48043B65" w14:textId="52E7B5E0" w:rsidR="002B35BE" w:rsidRPr="00701F32" w:rsidRDefault="002B35BE" w:rsidP="002B35BE">
            <w:pPr>
              <w:ind w:left="-70" w:firstLine="70"/>
              <w:jc w:val="right"/>
              <w:rPr>
                <w:rFonts w:ascii="Arial" w:hAnsi="Arial" w:cs="Arial"/>
                <w:b/>
                <w:sz w:val="16"/>
                <w:szCs w:val="16"/>
              </w:rPr>
            </w:pPr>
            <w:r w:rsidRPr="00886ABA">
              <w:rPr>
                <w:rFonts w:ascii="Arial" w:hAnsi="Arial" w:cs="Arial"/>
                <w:sz w:val="16"/>
                <w:szCs w:val="16"/>
              </w:rPr>
              <w:t xml:space="preserve"> 32.802 </w:t>
            </w:r>
          </w:p>
        </w:tc>
      </w:tr>
      <w:tr w:rsidR="005379A3" w:rsidRPr="00701F32" w14:paraId="219EEB2E" w14:textId="77777777" w:rsidTr="005379A3">
        <w:tc>
          <w:tcPr>
            <w:tcW w:w="0" w:type="auto"/>
            <w:tcBorders>
              <w:top w:val="nil"/>
              <w:left w:val="single" w:sz="4" w:space="0" w:color="auto"/>
              <w:bottom w:val="single" w:sz="4" w:space="0" w:color="363639"/>
              <w:right w:val="single" w:sz="4" w:space="0" w:color="363639"/>
            </w:tcBorders>
            <w:shd w:val="clear" w:color="000000" w:fill="FFFFFF"/>
            <w:noWrap/>
          </w:tcPr>
          <w:p w14:paraId="4E91AFAD" w14:textId="15BD84FD" w:rsidR="002B35BE" w:rsidRPr="00701F32" w:rsidRDefault="002B35BE" w:rsidP="002B35BE">
            <w:pPr>
              <w:ind w:left="-70" w:firstLine="70"/>
              <w:rPr>
                <w:rFonts w:ascii="Arial" w:hAnsi="Arial" w:cs="Arial"/>
                <w:sz w:val="16"/>
                <w:szCs w:val="16"/>
                <w:lang w:eastAsia="es-AR"/>
              </w:rPr>
            </w:pPr>
            <w:r w:rsidRPr="00701F32">
              <w:rPr>
                <w:rFonts w:ascii="Arial" w:hAnsi="Arial" w:cs="Arial"/>
                <w:sz w:val="16"/>
                <w:szCs w:val="16"/>
                <w:lang w:eastAsia="es-AR"/>
              </w:rPr>
              <w:t xml:space="preserve">   Otras entidades financieras </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460D6992" w14:textId="774CBD4C"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364.849 </w:t>
            </w:r>
          </w:p>
        </w:tc>
        <w:tc>
          <w:tcPr>
            <w:tcW w:w="1147" w:type="dxa"/>
            <w:tcBorders>
              <w:top w:val="nil"/>
              <w:left w:val="nil"/>
              <w:bottom w:val="single" w:sz="4" w:space="0" w:color="auto"/>
              <w:right w:val="single" w:sz="4" w:space="0" w:color="auto"/>
            </w:tcBorders>
            <w:shd w:val="clear" w:color="000000" w:fill="FFFFFF"/>
            <w:noWrap/>
            <w:vAlign w:val="bottom"/>
          </w:tcPr>
          <w:p w14:paraId="0B97EB32" w14:textId="68946D19" w:rsidR="002B35BE" w:rsidRPr="00701F32" w:rsidRDefault="002B35BE" w:rsidP="002B35BE">
            <w:pPr>
              <w:ind w:left="-70" w:firstLine="70"/>
              <w:jc w:val="right"/>
              <w:rPr>
                <w:rFonts w:ascii="Arial" w:hAnsi="Arial" w:cs="Arial"/>
                <w:sz w:val="16"/>
                <w:szCs w:val="16"/>
              </w:rPr>
            </w:pPr>
            <w:r w:rsidRPr="00DD4691">
              <w:rPr>
                <w:rFonts w:ascii="Arial" w:hAnsi="Arial" w:cs="Arial"/>
                <w:sz w:val="16"/>
                <w:szCs w:val="16"/>
              </w:rPr>
              <w:t xml:space="preserve"> -18.021 </w:t>
            </w:r>
          </w:p>
        </w:tc>
        <w:tc>
          <w:tcPr>
            <w:tcW w:w="1121" w:type="dxa"/>
            <w:tcBorders>
              <w:top w:val="nil"/>
              <w:left w:val="nil"/>
              <w:bottom w:val="single" w:sz="4" w:space="0" w:color="auto"/>
              <w:right w:val="single" w:sz="4" w:space="0" w:color="auto"/>
            </w:tcBorders>
            <w:shd w:val="clear" w:color="000000" w:fill="FFFFFF"/>
            <w:noWrap/>
            <w:vAlign w:val="bottom"/>
          </w:tcPr>
          <w:p w14:paraId="5E2698E1" w14:textId="6BA192B4" w:rsidR="002B35BE" w:rsidRPr="00701F32" w:rsidRDefault="002B35BE" w:rsidP="002B35BE">
            <w:pPr>
              <w:ind w:left="-70" w:firstLine="70"/>
              <w:jc w:val="right"/>
              <w:rPr>
                <w:rFonts w:ascii="Arial" w:hAnsi="Arial" w:cs="Arial"/>
                <w:sz w:val="16"/>
                <w:szCs w:val="16"/>
              </w:rPr>
            </w:pPr>
            <w:r w:rsidRPr="00DD4691">
              <w:rPr>
                <w:rFonts w:ascii="Arial" w:hAnsi="Arial" w:cs="Arial"/>
                <w:sz w:val="16"/>
                <w:szCs w:val="16"/>
              </w:rPr>
              <w:t xml:space="preserve"> 2.604.095 </w:t>
            </w:r>
          </w:p>
        </w:tc>
        <w:tc>
          <w:tcPr>
            <w:tcW w:w="1062" w:type="dxa"/>
            <w:tcBorders>
              <w:top w:val="nil"/>
              <w:left w:val="nil"/>
              <w:bottom w:val="single" w:sz="4" w:space="0" w:color="auto"/>
              <w:right w:val="single" w:sz="4" w:space="0" w:color="auto"/>
            </w:tcBorders>
            <w:shd w:val="clear" w:color="000000" w:fill="FFFFFF"/>
            <w:noWrap/>
            <w:vAlign w:val="bottom"/>
          </w:tcPr>
          <w:p w14:paraId="09C3E707" w14:textId="1FE0146B"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   </w:t>
            </w:r>
          </w:p>
        </w:tc>
        <w:tc>
          <w:tcPr>
            <w:tcW w:w="1724" w:type="dxa"/>
            <w:tcBorders>
              <w:top w:val="nil"/>
              <w:left w:val="nil"/>
              <w:bottom w:val="single" w:sz="4" w:space="0" w:color="auto"/>
              <w:right w:val="single" w:sz="4" w:space="0" w:color="auto"/>
            </w:tcBorders>
            <w:shd w:val="clear" w:color="000000" w:fill="FFFFFF"/>
            <w:noWrap/>
            <w:vAlign w:val="bottom"/>
          </w:tcPr>
          <w:p w14:paraId="3B82B19D" w14:textId="1E731679"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-2.552.372 </w:t>
            </w:r>
          </w:p>
        </w:tc>
        <w:tc>
          <w:tcPr>
            <w:tcW w:w="1104" w:type="dxa"/>
            <w:tcBorders>
              <w:top w:val="nil"/>
              <w:left w:val="nil"/>
              <w:bottom w:val="single" w:sz="4" w:space="0" w:color="auto"/>
              <w:right w:val="single" w:sz="4" w:space="0" w:color="auto"/>
            </w:tcBorders>
            <w:shd w:val="clear" w:color="000000" w:fill="FFFFFF"/>
            <w:noWrap/>
            <w:vAlign w:val="bottom"/>
          </w:tcPr>
          <w:p w14:paraId="1FE4A51C" w14:textId="5768A2DE"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398.551 </w:t>
            </w:r>
          </w:p>
        </w:tc>
      </w:tr>
      <w:tr w:rsidR="005379A3" w:rsidRPr="00701F32" w14:paraId="7271762A"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68B10C8A" w14:textId="14320CC6" w:rsidR="002B35BE" w:rsidRPr="00701F32" w:rsidRDefault="002B35BE" w:rsidP="002B35BE">
            <w:pPr>
              <w:ind w:left="-70" w:firstLine="70"/>
              <w:rPr>
                <w:rFonts w:ascii="Arial" w:hAnsi="Arial" w:cs="Arial"/>
                <w:sz w:val="16"/>
                <w:szCs w:val="16"/>
                <w:lang w:eastAsia="es-AR"/>
              </w:rPr>
            </w:pPr>
            <w:r w:rsidRPr="00701F32">
              <w:rPr>
                <w:rFonts w:ascii="Arial" w:hAnsi="Arial" w:cs="Arial"/>
                <w:sz w:val="16"/>
                <w:szCs w:val="16"/>
                <w:lang w:eastAsia="es-AR"/>
              </w:rPr>
              <w:t xml:space="preserve">   Sector privado no financiero y residentes en el exterior </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6B3AF940" w14:textId="0491A42A"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38.768.344 </w:t>
            </w:r>
          </w:p>
        </w:tc>
        <w:tc>
          <w:tcPr>
            <w:tcW w:w="1147" w:type="dxa"/>
            <w:tcBorders>
              <w:top w:val="nil"/>
              <w:left w:val="nil"/>
              <w:bottom w:val="single" w:sz="4" w:space="0" w:color="auto"/>
              <w:right w:val="single" w:sz="4" w:space="0" w:color="auto"/>
            </w:tcBorders>
            <w:shd w:val="clear" w:color="000000" w:fill="FFFFFF"/>
            <w:noWrap/>
            <w:vAlign w:val="bottom"/>
          </w:tcPr>
          <w:p w14:paraId="5078F466" w14:textId="3D58EF23"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31.306.562 </w:t>
            </w:r>
          </w:p>
        </w:tc>
        <w:tc>
          <w:tcPr>
            <w:tcW w:w="1121" w:type="dxa"/>
            <w:tcBorders>
              <w:top w:val="nil"/>
              <w:left w:val="nil"/>
              <w:bottom w:val="single" w:sz="4" w:space="0" w:color="auto"/>
              <w:right w:val="single" w:sz="4" w:space="0" w:color="auto"/>
            </w:tcBorders>
            <w:shd w:val="clear" w:color="000000" w:fill="FFFFFF"/>
            <w:noWrap/>
            <w:vAlign w:val="bottom"/>
          </w:tcPr>
          <w:p w14:paraId="4B44D97A" w14:textId="46A22034"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198.356 </w:t>
            </w:r>
          </w:p>
        </w:tc>
        <w:tc>
          <w:tcPr>
            <w:tcW w:w="1062" w:type="dxa"/>
            <w:tcBorders>
              <w:top w:val="nil"/>
              <w:left w:val="nil"/>
              <w:bottom w:val="single" w:sz="4" w:space="0" w:color="auto"/>
              <w:right w:val="single" w:sz="4" w:space="0" w:color="auto"/>
            </w:tcBorders>
            <w:shd w:val="clear" w:color="000000" w:fill="FFFFFF"/>
            <w:noWrap/>
            <w:vAlign w:val="bottom"/>
          </w:tcPr>
          <w:p w14:paraId="2B57F0CB" w14:textId="08F70B18"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7.218.670 </w:t>
            </w:r>
          </w:p>
        </w:tc>
        <w:tc>
          <w:tcPr>
            <w:tcW w:w="1724" w:type="dxa"/>
            <w:tcBorders>
              <w:top w:val="nil"/>
              <w:left w:val="nil"/>
              <w:bottom w:val="single" w:sz="4" w:space="0" w:color="auto"/>
              <w:right w:val="single" w:sz="4" w:space="0" w:color="auto"/>
            </w:tcBorders>
            <w:shd w:val="clear" w:color="000000" w:fill="FFFFFF"/>
            <w:noWrap/>
            <w:vAlign w:val="bottom"/>
          </w:tcPr>
          <w:p w14:paraId="67BD5C8F" w14:textId="7AD4EC0F"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-391.416 </w:t>
            </w:r>
          </w:p>
        </w:tc>
        <w:tc>
          <w:tcPr>
            <w:tcW w:w="1104" w:type="dxa"/>
            <w:tcBorders>
              <w:top w:val="nil"/>
              <w:left w:val="nil"/>
              <w:bottom w:val="single" w:sz="4" w:space="0" w:color="auto"/>
              <w:right w:val="single" w:sz="4" w:space="0" w:color="auto"/>
            </w:tcBorders>
            <w:shd w:val="clear" w:color="000000" w:fill="FFFFFF"/>
            <w:noWrap/>
            <w:vAlign w:val="bottom"/>
          </w:tcPr>
          <w:p w14:paraId="6694B85B" w14:textId="6BF9F5D3" w:rsidR="002B35BE" w:rsidRPr="00701F32" w:rsidRDefault="002B35BE" w:rsidP="002B35BE">
            <w:pPr>
              <w:ind w:left="-70" w:firstLine="70"/>
              <w:jc w:val="right"/>
              <w:rPr>
                <w:rFonts w:ascii="Arial" w:hAnsi="Arial" w:cs="Arial"/>
                <w:sz w:val="16"/>
                <w:szCs w:val="16"/>
              </w:rPr>
            </w:pPr>
            <w:r w:rsidRPr="00886ABA">
              <w:rPr>
                <w:rFonts w:ascii="Arial" w:hAnsi="Arial" w:cs="Arial"/>
                <w:sz w:val="16"/>
                <w:szCs w:val="16"/>
              </w:rPr>
              <w:t xml:space="preserve"> 77.100.516 </w:t>
            </w:r>
          </w:p>
        </w:tc>
      </w:tr>
      <w:tr w:rsidR="005379A3" w:rsidRPr="00701F32" w14:paraId="2972F65B"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05CF13CF" w14:textId="3372A37B" w:rsidR="002B35BE" w:rsidRPr="00701F32" w:rsidRDefault="002B35BE" w:rsidP="002B35BE">
            <w:pPr>
              <w:ind w:left="-70" w:firstLine="70"/>
              <w:rPr>
                <w:rFonts w:ascii="Arial" w:hAnsi="Arial" w:cs="Arial"/>
                <w:sz w:val="16"/>
                <w:szCs w:val="16"/>
                <w:lang w:eastAsia="es-AR"/>
              </w:rPr>
            </w:pPr>
            <w:r w:rsidRPr="00701F32">
              <w:rPr>
                <w:rFonts w:ascii="Arial" w:hAnsi="Arial" w:cs="Arial"/>
                <w:b/>
                <w:bCs/>
                <w:sz w:val="16"/>
                <w:szCs w:val="16"/>
                <w:lang w:eastAsia="es-AR"/>
              </w:rPr>
              <w:t>Otros títulos de deuda</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7437AB10" w14:textId="3BC9A8E8" w:rsidR="002B35BE" w:rsidRPr="00701F32" w:rsidRDefault="002B35BE" w:rsidP="002B35BE">
            <w:pPr>
              <w:ind w:left="-70" w:firstLine="70"/>
              <w:jc w:val="right"/>
              <w:rPr>
                <w:rFonts w:ascii="Arial" w:hAnsi="Arial" w:cs="Arial"/>
                <w:sz w:val="16"/>
                <w:szCs w:val="16"/>
              </w:rPr>
            </w:pPr>
            <w:r w:rsidRPr="00886ABA">
              <w:rPr>
                <w:rFonts w:ascii="Arial" w:hAnsi="Arial" w:cs="Arial"/>
                <w:b/>
                <w:sz w:val="16"/>
                <w:szCs w:val="16"/>
              </w:rPr>
              <w:t xml:space="preserve"> 4.186 </w:t>
            </w:r>
          </w:p>
        </w:tc>
        <w:tc>
          <w:tcPr>
            <w:tcW w:w="1147" w:type="dxa"/>
            <w:tcBorders>
              <w:top w:val="nil"/>
              <w:left w:val="nil"/>
              <w:bottom w:val="single" w:sz="4" w:space="0" w:color="auto"/>
              <w:right w:val="single" w:sz="4" w:space="0" w:color="auto"/>
            </w:tcBorders>
            <w:shd w:val="clear" w:color="000000" w:fill="FFFFFF"/>
            <w:noWrap/>
            <w:vAlign w:val="bottom"/>
          </w:tcPr>
          <w:p w14:paraId="16AA6DDD" w14:textId="3853F7BE" w:rsidR="002B35BE" w:rsidRPr="00701F32" w:rsidRDefault="002B35BE" w:rsidP="002B35BE">
            <w:pPr>
              <w:ind w:left="-70" w:firstLine="70"/>
              <w:jc w:val="right"/>
              <w:rPr>
                <w:rFonts w:ascii="Arial" w:hAnsi="Arial" w:cs="Arial"/>
                <w:sz w:val="16"/>
                <w:szCs w:val="16"/>
              </w:rPr>
            </w:pPr>
            <w:r w:rsidRPr="00886ABA">
              <w:rPr>
                <w:rFonts w:ascii="Arial" w:hAnsi="Arial" w:cs="Arial"/>
                <w:b/>
                <w:sz w:val="16"/>
                <w:szCs w:val="16"/>
              </w:rPr>
              <w:t xml:space="preserve"> -   </w:t>
            </w:r>
          </w:p>
        </w:tc>
        <w:tc>
          <w:tcPr>
            <w:tcW w:w="1121" w:type="dxa"/>
            <w:tcBorders>
              <w:top w:val="nil"/>
              <w:left w:val="nil"/>
              <w:bottom w:val="single" w:sz="4" w:space="0" w:color="auto"/>
              <w:right w:val="single" w:sz="4" w:space="0" w:color="auto"/>
            </w:tcBorders>
            <w:shd w:val="clear" w:color="000000" w:fill="FFFFFF"/>
            <w:noWrap/>
            <w:vAlign w:val="bottom"/>
          </w:tcPr>
          <w:p w14:paraId="2345843D" w14:textId="1BD2A6E4" w:rsidR="002B35BE" w:rsidRPr="00701F32" w:rsidRDefault="002B35BE" w:rsidP="002B35BE">
            <w:pPr>
              <w:ind w:left="-70" w:firstLine="70"/>
              <w:jc w:val="right"/>
              <w:rPr>
                <w:rFonts w:ascii="Arial" w:hAnsi="Arial" w:cs="Arial"/>
                <w:sz w:val="16"/>
                <w:szCs w:val="16"/>
              </w:rPr>
            </w:pPr>
            <w:r w:rsidRPr="00886ABA">
              <w:rPr>
                <w:rFonts w:ascii="Arial" w:hAnsi="Arial" w:cs="Arial"/>
                <w:b/>
                <w:sz w:val="16"/>
                <w:szCs w:val="16"/>
              </w:rPr>
              <w:t xml:space="preserve"> 4.130.307 </w:t>
            </w:r>
          </w:p>
        </w:tc>
        <w:tc>
          <w:tcPr>
            <w:tcW w:w="1062" w:type="dxa"/>
            <w:tcBorders>
              <w:top w:val="nil"/>
              <w:left w:val="nil"/>
              <w:bottom w:val="single" w:sz="4" w:space="0" w:color="auto"/>
              <w:right w:val="single" w:sz="4" w:space="0" w:color="auto"/>
            </w:tcBorders>
            <w:shd w:val="clear" w:color="000000" w:fill="FFFFFF"/>
            <w:noWrap/>
            <w:vAlign w:val="bottom"/>
          </w:tcPr>
          <w:p w14:paraId="3CEEE08B" w14:textId="28922C2A" w:rsidR="002B35BE" w:rsidRPr="00701F32" w:rsidRDefault="002B35BE" w:rsidP="002B35BE">
            <w:pPr>
              <w:ind w:left="-70" w:firstLine="70"/>
              <w:jc w:val="right"/>
              <w:rPr>
                <w:rFonts w:ascii="Arial" w:hAnsi="Arial" w:cs="Arial"/>
                <w:sz w:val="16"/>
                <w:szCs w:val="16"/>
              </w:rPr>
            </w:pPr>
            <w:r w:rsidRPr="00886ABA">
              <w:rPr>
                <w:rFonts w:ascii="Arial" w:hAnsi="Arial" w:cs="Arial"/>
                <w:b/>
                <w:sz w:val="16"/>
                <w:szCs w:val="16"/>
              </w:rPr>
              <w:t xml:space="preserve"> -   </w:t>
            </w:r>
          </w:p>
        </w:tc>
        <w:tc>
          <w:tcPr>
            <w:tcW w:w="1724" w:type="dxa"/>
            <w:tcBorders>
              <w:top w:val="nil"/>
              <w:left w:val="nil"/>
              <w:bottom w:val="single" w:sz="4" w:space="0" w:color="auto"/>
              <w:right w:val="single" w:sz="4" w:space="0" w:color="auto"/>
            </w:tcBorders>
            <w:shd w:val="clear" w:color="000000" w:fill="FFFFFF"/>
            <w:noWrap/>
            <w:vAlign w:val="bottom"/>
          </w:tcPr>
          <w:p w14:paraId="3328F9CE" w14:textId="5CF5451B" w:rsidR="002B35BE" w:rsidRPr="00701F32" w:rsidRDefault="002B35BE" w:rsidP="002B35BE">
            <w:pPr>
              <w:ind w:left="-70" w:firstLine="70"/>
              <w:jc w:val="right"/>
              <w:rPr>
                <w:rFonts w:ascii="Arial" w:hAnsi="Arial" w:cs="Arial"/>
                <w:sz w:val="16"/>
                <w:szCs w:val="16"/>
              </w:rPr>
            </w:pPr>
            <w:r w:rsidRPr="00886ABA">
              <w:rPr>
                <w:rFonts w:ascii="Arial" w:hAnsi="Arial" w:cs="Arial"/>
                <w:b/>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46042E59" w14:textId="7D97524D" w:rsidR="002B35BE" w:rsidRPr="00701F32" w:rsidRDefault="002B35BE" w:rsidP="002B35BE">
            <w:pPr>
              <w:ind w:left="-70" w:firstLine="70"/>
              <w:jc w:val="right"/>
              <w:rPr>
                <w:rFonts w:ascii="Arial" w:hAnsi="Arial" w:cs="Arial"/>
                <w:sz w:val="16"/>
                <w:szCs w:val="16"/>
              </w:rPr>
            </w:pPr>
            <w:r w:rsidRPr="00886ABA">
              <w:rPr>
                <w:rFonts w:ascii="Arial" w:hAnsi="Arial" w:cs="Arial"/>
                <w:b/>
                <w:sz w:val="16"/>
                <w:szCs w:val="16"/>
              </w:rPr>
              <w:t xml:space="preserve"> 4.134.493 </w:t>
            </w:r>
          </w:p>
        </w:tc>
      </w:tr>
      <w:tr w:rsidR="005379A3" w:rsidRPr="00701F32" w14:paraId="5C7CDAA1"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3A61DBB9" w14:textId="18601945"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Activos financieros entregados en garantía</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573719CE" w14:textId="1D93EA43"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47" w:type="dxa"/>
            <w:tcBorders>
              <w:top w:val="nil"/>
              <w:left w:val="nil"/>
              <w:bottom w:val="single" w:sz="4" w:space="0" w:color="auto"/>
              <w:right w:val="single" w:sz="4" w:space="0" w:color="auto"/>
            </w:tcBorders>
            <w:shd w:val="clear" w:color="000000" w:fill="FFFFFF"/>
            <w:noWrap/>
            <w:vAlign w:val="bottom"/>
          </w:tcPr>
          <w:p w14:paraId="77E5C641" w14:textId="573051C6"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248.970 </w:t>
            </w:r>
          </w:p>
        </w:tc>
        <w:tc>
          <w:tcPr>
            <w:tcW w:w="1121" w:type="dxa"/>
            <w:tcBorders>
              <w:top w:val="nil"/>
              <w:left w:val="nil"/>
              <w:bottom w:val="single" w:sz="4" w:space="0" w:color="auto"/>
              <w:right w:val="single" w:sz="4" w:space="0" w:color="auto"/>
            </w:tcBorders>
            <w:shd w:val="clear" w:color="000000" w:fill="FFFFFF"/>
            <w:noWrap/>
            <w:vAlign w:val="bottom"/>
          </w:tcPr>
          <w:p w14:paraId="44F3A453" w14:textId="5D13B353"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1.633.630 </w:t>
            </w:r>
          </w:p>
        </w:tc>
        <w:tc>
          <w:tcPr>
            <w:tcW w:w="1062" w:type="dxa"/>
            <w:tcBorders>
              <w:top w:val="nil"/>
              <w:left w:val="nil"/>
              <w:bottom w:val="single" w:sz="4" w:space="0" w:color="auto"/>
              <w:right w:val="single" w:sz="4" w:space="0" w:color="auto"/>
            </w:tcBorders>
            <w:shd w:val="clear" w:color="000000" w:fill="FFFFFF"/>
            <w:noWrap/>
            <w:vAlign w:val="bottom"/>
          </w:tcPr>
          <w:p w14:paraId="51F3CF9B" w14:textId="65C1F94C"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119.165 </w:t>
            </w:r>
          </w:p>
        </w:tc>
        <w:tc>
          <w:tcPr>
            <w:tcW w:w="1724" w:type="dxa"/>
            <w:tcBorders>
              <w:top w:val="nil"/>
              <w:left w:val="nil"/>
              <w:bottom w:val="single" w:sz="4" w:space="0" w:color="auto"/>
              <w:right w:val="single" w:sz="4" w:space="0" w:color="auto"/>
            </w:tcBorders>
            <w:shd w:val="clear" w:color="000000" w:fill="FFFFFF"/>
            <w:noWrap/>
            <w:vAlign w:val="bottom"/>
          </w:tcPr>
          <w:p w14:paraId="117043C7" w14:textId="727F795F"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1AE4F44C" w14:textId="4512F140"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2.001.765 </w:t>
            </w:r>
          </w:p>
        </w:tc>
      </w:tr>
      <w:tr w:rsidR="005379A3" w:rsidRPr="00701F32" w14:paraId="1BC2E626"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3CDC3638" w14:textId="4C5C7A74"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Activos por impuestos a las ganancias corriente</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6718D31D" w14:textId="307E774D"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47" w:type="dxa"/>
            <w:tcBorders>
              <w:top w:val="nil"/>
              <w:left w:val="nil"/>
              <w:bottom w:val="single" w:sz="4" w:space="0" w:color="auto"/>
              <w:right w:val="single" w:sz="4" w:space="0" w:color="auto"/>
            </w:tcBorders>
            <w:shd w:val="clear" w:color="000000" w:fill="FFFFFF"/>
            <w:noWrap/>
            <w:vAlign w:val="bottom"/>
          </w:tcPr>
          <w:p w14:paraId="3E67F865" w14:textId="4C30DF9D"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21" w:type="dxa"/>
            <w:tcBorders>
              <w:top w:val="nil"/>
              <w:left w:val="nil"/>
              <w:bottom w:val="single" w:sz="4" w:space="0" w:color="auto"/>
              <w:right w:val="single" w:sz="4" w:space="0" w:color="auto"/>
            </w:tcBorders>
            <w:shd w:val="clear" w:color="000000" w:fill="FFFFFF"/>
            <w:noWrap/>
            <w:vAlign w:val="bottom"/>
          </w:tcPr>
          <w:p w14:paraId="35B11402" w14:textId="25905B15"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415.251 </w:t>
            </w:r>
          </w:p>
        </w:tc>
        <w:tc>
          <w:tcPr>
            <w:tcW w:w="1062" w:type="dxa"/>
            <w:tcBorders>
              <w:top w:val="nil"/>
              <w:left w:val="nil"/>
              <w:bottom w:val="single" w:sz="4" w:space="0" w:color="auto"/>
              <w:right w:val="single" w:sz="4" w:space="0" w:color="auto"/>
            </w:tcBorders>
            <w:shd w:val="clear" w:color="000000" w:fill="FFFFFF"/>
            <w:noWrap/>
            <w:vAlign w:val="bottom"/>
          </w:tcPr>
          <w:p w14:paraId="655957FB" w14:textId="456EAD5A"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11.630 </w:t>
            </w:r>
          </w:p>
        </w:tc>
        <w:tc>
          <w:tcPr>
            <w:tcW w:w="1724" w:type="dxa"/>
            <w:tcBorders>
              <w:top w:val="nil"/>
              <w:left w:val="nil"/>
              <w:bottom w:val="single" w:sz="4" w:space="0" w:color="auto"/>
              <w:right w:val="single" w:sz="4" w:space="0" w:color="auto"/>
            </w:tcBorders>
            <w:shd w:val="clear" w:color="000000" w:fill="FFFFFF"/>
            <w:noWrap/>
            <w:vAlign w:val="bottom"/>
          </w:tcPr>
          <w:p w14:paraId="2F912E6C" w14:textId="2B31D421"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6FAEB0D6" w14:textId="73381765"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426.881 </w:t>
            </w:r>
          </w:p>
        </w:tc>
      </w:tr>
      <w:tr w:rsidR="005379A3" w:rsidRPr="00701F32" w14:paraId="2074FDFF"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1F040291" w14:textId="26E0B553"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Inversiones en instrumentos de patrimonio</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77E34871" w14:textId="28A9C214"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1.472 </w:t>
            </w:r>
          </w:p>
        </w:tc>
        <w:tc>
          <w:tcPr>
            <w:tcW w:w="1147" w:type="dxa"/>
            <w:tcBorders>
              <w:top w:val="nil"/>
              <w:left w:val="nil"/>
              <w:bottom w:val="single" w:sz="4" w:space="0" w:color="auto"/>
              <w:right w:val="single" w:sz="4" w:space="0" w:color="auto"/>
            </w:tcBorders>
            <w:shd w:val="clear" w:color="000000" w:fill="FFFFFF"/>
            <w:noWrap/>
            <w:vAlign w:val="bottom"/>
          </w:tcPr>
          <w:p w14:paraId="655F1A19" w14:textId="49A5E351"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7.268 </w:t>
            </w:r>
          </w:p>
        </w:tc>
        <w:tc>
          <w:tcPr>
            <w:tcW w:w="1121" w:type="dxa"/>
            <w:tcBorders>
              <w:top w:val="nil"/>
              <w:left w:val="nil"/>
              <w:bottom w:val="single" w:sz="4" w:space="0" w:color="auto"/>
              <w:right w:val="single" w:sz="4" w:space="0" w:color="auto"/>
            </w:tcBorders>
            <w:shd w:val="clear" w:color="000000" w:fill="FFFFFF"/>
            <w:noWrap/>
            <w:vAlign w:val="bottom"/>
          </w:tcPr>
          <w:p w14:paraId="0C792573" w14:textId="51AEC4F4"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1.664 </w:t>
            </w:r>
          </w:p>
        </w:tc>
        <w:tc>
          <w:tcPr>
            <w:tcW w:w="1062" w:type="dxa"/>
            <w:tcBorders>
              <w:top w:val="nil"/>
              <w:left w:val="nil"/>
              <w:bottom w:val="single" w:sz="4" w:space="0" w:color="auto"/>
              <w:right w:val="single" w:sz="4" w:space="0" w:color="auto"/>
            </w:tcBorders>
            <w:shd w:val="clear" w:color="000000" w:fill="FFFFFF"/>
            <w:noWrap/>
            <w:vAlign w:val="bottom"/>
          </w:tcPr>
          <w:p w14:paraId="1E9E63A1" w14:textId="35A0F308"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724" w:type="dxa"/>
            <w:tcBorders>
              <w:top w:val="nil"/>
              <w:left w:val="nil"/>
              <w:bottom w:val="single" w:sz="4" w:space="0" w:color="auto"/>
              <w:right w:val="single" w:sz="4" w:space="0" w:color="auto"/>
            </w:tcBorders>
            <w:shd w:val="clear" w:color="000000" w:fill="FFFFFF"/>
            <w:noWrap/>
            <w:vAlign w:val="bottom"/>
          </w:tcPr>
          <w:p w14:paraId="3D60C977" w14:textId="3E08B822"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451DB9FD" w14:textId="051923CA"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10.404 </w:t>
            </w:r>
          </w:p>
        </w:tc>
      </w:tr>
      <w:tr w:rsidR="005379A3" w:rsidRPr="00701F32" w14:paraId="6DA6EAE4"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4340E65F" w14:textId="0841502F"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Inversión en subsidiarias, asociadas y negocios conjuntos</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2BD28FF9" w14:textId="40FC9E5D" w:rsidR="002B35BE" w:rsidRPr="00701F32" w:rsidRDefault="002B35BE" w:rsidP="002B35BE">
            <w:pPr>
              <w:ind w:left="-70" w:firstLine="70"/>
              <w:jc w:val="right"/>
              <w:rPr>
                <w:rFonts w:ascii="Arial" w:hAnsi="Arial" w:cs="Arial"/>
                <w:b/>
                <w:sz w:val="16"/>
                <w:szCs w:val="16"/>
              </w:rPr>
            </w:pPr>
            <w:r>
              <w:rPr>
                <w:rFonts w:ascii="Arial" w:hAnsi="Arial" w:cs="Arial"/>
                <w:b/>
                <w:sz w:val="16"/>
                <w:szCs w:val="16"/>
              </w:rPr>
              <w:t>-</w:t>
            </w:r>
          </w:p>
        </w:tc>
        <w:tc>
          <w:tcPr>
            <w:tcW w:w="1147" w:type="dxa"/>
            <w:tcBorders>
              <w:top w:val="nil"/>
              <w:left w:val="nil"/>
              <w:bottom w:val="single" w:sz="4" w:space="0" w:color="auto"/>
              <w:right w:val="single" w:sz="4" w:space="0" w:color="auto"/>
            </w:tcBorders>
            <w:shd w:val="clear" w:color="000000" w:fill="FFFFFF"/>
            <w:noWrap/>
            <w:vAlign w:val="bottom"/>
          </w:tcPr>
          <w:p w14:paraId="47EA058B" w14:textId="55AB6AB2"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21" w:type="dxa"/>
            <w:tcBorders>
              <w:top w:val="nil"/>
              <w:left w:val="nil"/>
              <w:bottom w:val="single" w:sz="4" w:space="0" w:color="auto"/>
              <w:right w:val="single" w:sz="4" w:space="0" w:color="auto"/>
            </w:tcBorders>
            <w:shd w:val="clear" w:color="000000" w:fill="FFFFFF"/>
            <w:noWrap/>
            <w:vAlign w:val="bottom"/>
          </w:tcPr>
          <w:p w14:paraId="77E38746" w14:textId="3C7A5712"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1.236.879 </w:t>
            </w:r>
          </w:p>
        </w:tc>
        <w:tc>
          <w:tcPr>
            <w:tcW w:w="1062" w:type="dxa"/>
            <w:tcBorders>
              <w:top w:val="nil"/>
              <w:left w:val="nil"/>
              <w:bottom w:val="single" w:sz="4" w:space="0" w:color="auto"/>
              <w:right w:val="single" w:sz="4" w:space="0" w:color="auto"/>
            </w:tcBorders>
            <w:shd w:val="clear" w:color="000000" w:fill="FFFFFF"/>
            <w:noWrap/>
            <w:vAlign w:val="bottom"/>
          </w:tcPr>
          <w:p w14:paraId="6EC98A34" w14:textId="764580BC"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9.832 </w:t>
            </w:r>
          </w:p>
        </w:tc>
        <w:tc>
          <w:tcPr>
            <w:tcW w:w="1724" w:type="dxa"/>
            <w:tcBorders>
              <w:top w:val="nil"/>
              <w:left w:val="nil"/>
              <w:bottom w:val="single" w:sz="4" w:space="0" w:color="auto"/>
              <w:right w:val="single" w:sz="4" w:space="0" w:color="auto"/>
            </w:tcBorders>
            <w:shd w:val="clear" w:color="000000" w:fill="FFFFFF"/>
            <w:noWrap/>
            <w:vAlign w:val="bottom"/>
          </w:tcPr>
          <w:p w14:paraId="44C7DDCF" w14:textId="3FE850AE"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-1.197.833 </w:t>
            </w:r>
          </w:p>
        </w:tc>
        <w:tc>
          <w:tcPr>
            <w:tcW w:w="1104" w:type="dxa"/>
            <w:tcBorders>
              <w:top w:val="nil"/>
              <w:left w:val="nil"/>
              <w:bottom w:val="single" w:sz="4" w:space="0" w:color="auto"/>
              <w:right w:val="single" w:sz="4" w:space="0" w:color="auto"/>
            </w:tcBorders>
            <w:shd w:val="clear" w:color="000000" w:fill="FFFFFF"/>
            <w:noWrap/>
            <w:vAlign w:val="bottom"/>
          </w:tcPr>
          <w:p w14:paraId="42951DD9" w14:textId="20A983F5"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48.878 </w:t>
            </w:r>
          </w:p>
        </w:tc>
      </w:tr>
      <w:tr w:rsidR="005379A3" w:rsidRPr="00701F32" w14:paraId="2C434143"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378E1D99" w14:textId="5A7533A8"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Propiedad, planta y equipo</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6212384B" w14:textId="3629DA36" w:rsidR="002B35BE" w:rsidRPr="00701F32" w:rsidRDefault="002B35BE" w:rsidP="002B35BE">
            <w:pPr>
              <w:ind w:left="-70" w:firstLine="70"/>
              <w:jc w:val="right"/>
              <w:rPr>
                <w:rFonts w:ascii="Arial" w:hAnsi="Arial" w:cs="Arial"/>
                <w:b/>
                <w:sz w:val="16"/>
                <w:szCs w:val="16"/>
              </w:rPr>
            </w:pPr>
            <w:r>
              <w:rPr>
                <w:rFonts w:ascii="Arial" w:hAnsi="Arial" w:cs="Arial"/>
                <w:b/>
                <w:sz w:val="16"/>
                <w:szCs w:val="16"/>
              </w:rPr>
              <w:t>-</w:t>
            </w:r>
          </w:p>
        </w:tc>
        <w:tc>
          <w:tcPr>
            <w:tcW w:w="1147" w:type="dxa"/>
            <w:tcBorders>
              <w:top w:val="nil"/>
              <w:left w:val="nil"/>
              <w:bottom w:val="single" w:sz="4" w:space="0" w:color="auto"/>
              <w:right w:val="single" w:sz="4" w:space="0" w:color="auto"/>
            </w:tcBorders>
            <w:shd w:val="clear" w:color="000000" w:fill="FFFFFF"/>
            <w:noWrap/>
            <w:vAlign w:val="bottom"/>
          </w:tcPr>
          <w:p w14:paraId="70067A8C" w14:textId="1EDB41DC"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21" w:type="dxa"/>
            <w:tcBorders>
              <w:top w:val="nil"/>
              <w:left w:val="nil"/>
              <w:bottom w:val="single" w:sz="4" w:space="0" w:color="auto"/>
              <w:right w:val="single" w:sz="4" w:space="0" w:color="auto"/>
            </w:tcBorders>
            <w:shd w:val="clear" w:color="000000" w:fill="FFFFFF"/>
            <w:noWrap/>
            <w:vAlign w:val="bottom"/>
          </w:tcPr>
          <w:p w14:paraId="43983CE1" w14:textId="5F17CA99"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1.675.282 </w:t>
            </w:r>
          </w:p>
        </w:tc>
        <w:tc>
          <w:tcPr>
            <w:tcW w:w="1062" w:type="dxa"/>
            <w:tcBorders>
              <w:top w:val="nil"/>
              <w:left w:val="nil"/>
              <w:bottom w:val="single" w:sz="4" w:space="0" w:color="auto"/>
              <w:right w:val="single" w:sz="4" w:space="0" w:color="auto"/>
            </w:tcBorders>
            <w:shd w:val="clear" w:color="000000" w:fill="FFFFFF"/>
            <w:noWrap/>
            <w:vAlign w:val="bottom"/>
          </w:tcPr>
          <w:p w14:paraId="42644C7E" w14:textId="38924D98"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53.896 </w:t>
            </w:r>
          </w:p>
        </w:tc>
        <w:tc>
          <w:tcPr>
            <w:tcW w:w="1724" w:type="dxa"/>
            <w:tcBorders>
              <w:top w:val="nil"/>
              <w:left w:val="nil"/>
              <w:bottom w:val="single" w:sz="4" w:space="0" w:color="auto"/>
              <w:right w:val="single" w:sz="4" w:space="0" w:color="auto"/>
            </w:tcBorders>
            <w:shd w:val="clear" w:color="000000" w:fill="FFFFFF"/>
            <w:noWrap/>
            <w:vAlign w:val="bottom"/>
          </w:tcPr>
          <w:p w14:paraId="1CD765ED" w14:textId="206D50D5"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0E6DFB02" w14:textId="75E2C066"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1.729.178 </w:t>
            </w:r>
          </w:p>
        </w:tc>
      </w:tr>
      <w:tr w:rsidR="005379A3" w:rsidRPr="00701F32" w14:paraId="18A7A968"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2B2B7066" w14:textId="5A52E4E2"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Activos intangibles</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3C83B05A" w14:textId="24D341AE" w:rsidR="002B35BE" w:rsidRPr="00701F32" w:rsidRDefault="002B35BE" w:rsidP="002B35BE">
            <w:pPr>
              <w:ind w:left="-70" w:firstLine="70"/>
              <w:jc w:val="right"/>
              <w:rPr>
                <w:rFonts w:ascii="Arial" w:hAnsi="Arial" w:cs="Arial"/>
                <w:b/>
                <w:sz w:val="16"/>
                <w:szCs w:val="16"/>
              </w:rPr>
            </w:pPr>
            <w:r>
              <w:rPr>
                <w:rFonts w:ascii="Arial" w:hAnsi="Arial" w:cs="Arial"/>
                <w:b/>
                <w:sz w:val="16"/>
                <w:szCs w:val="16"/>
              </w:rPr>
              <w:t>-</w:t>
            </w:r>
          </w:p>
        </w:tc>
        <w:tc>
          <w:tcPr>
            <w:tcW w:w="1147" w:type="dxa"/>
            <w:tcBorders>
              <w:top w:val="nil"/>
              <w:left w:val="nil"/>
              <w:bottom w:val="single" w:sz="4" w:space="0" w:color="auto"/>
              <w:right w:val="single" w:sz="4" w:space="0" w:color="auto"/>
            </w:tcBorders>
            <w:shd w:val="clear" w:color="000000" w:fill="FFFFFF"/>
            <w:noWrap/>
            <w:vAlign w:val="bottom"/>
          </w:tcPr>
          <w:p w14:paraId="2311487C" w14:textId="1CC0A2FA"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21" w:type="dxa"/>
            <w:tcBorders>
              <w:top w:val="nil"/>
              <w:left w:val="nil"/>
              <w:bottom w:val="single" w:sz="4" w:space="0" w:color="auto"/>
              <w:right w:val="single" w:sz="4" w:space="0" w:color="auto"/>
            </w:tcBorders>
            <w:shd w:val="clear" w:color="000000" w:fill="FFFFFF"/>
            <w:noWrap/>
            <w:vAlign w:val="bottom"/>
          </w:tcPr>
          <w:p w14:paraId="69168414" w14:textId="1B96D90C"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352.581 </w:t>
            </w:r>
          </w:p>
        </w:tc>
        <w:tc>
          <w:tcPr>
            <w:tcW w:w="1062" w:type="dxa"/>
            <w:tcBorders>
              <w:top w:val="nil"/>
              <w:left w:val="nil"/>
              <w:bottom w:val="single" w:sz="4" w:space="0" w:color="auto"/>
              <w:right w:val="single" w:sz="4" w:space="0" w:color="auto"/>
            </w:tcBorders>
            <w:shd w:val="clear" w:color="000000" w:fill="FFFFFF"/>
            <w:noWrap/>
            <w:vAlign w:val="bottom"/>
          </w:tcPr>
          <w:p w14:paraId="1FD5D49A" w14:textId="047A8CB8"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53.879 </w:t>
            </w:r>
          </w:p>
        </w:tc>
        <w:tc>
          <w:tcPr>
            <w:tcW w:w="1724" w:type="dxa"/>
            <w:tcBorders>
              <w:top w:val="nil"/>
              <w:left w:val="nil"/>
              <w:bottom w:val="single" w:sz="4" w:space="0" w:color="auto"/>
              <w:right w:val="single" w:sz="4" w:space="0" w:color="auto"/>
            </w:tcBorders>
            <w:shd w:val="clear" w:color="000000" w:fill="FFFFFF"/>
            <w:noWrap/>
            <w:vAlign w:val="bottom"/>
          </w:tcPr>
          <w:p w14:paraId="6949C98C" w14:textId="66F43B77"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4EC5E324" w14:textId="2FCACFD4"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406.460 </w:t>
            </w:r>
          </w:p>
        </w:tc>
      </w:tr>
      <w:tr w:rsidR="005379A3" w:rsidRPr="00701F32" w14:paraId="50E812CB"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731ABFA3" w14:textId="4C53CB51"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Activos por impuesto a las ganancias diferido</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6436CDA5" w14:textId="67D85495" w:rsidR="002B35BE" w:rsidRPr="00701F32" w:rsidRDefault="002B35BE" w:rsidP="002B35BE">
            <w:pPr>
              <w:ind w:left="-70" w:firstLine="70"/>
              <w:jc w:val="right"/>
              <w:rPr>
                <w:rFonts w:ascii="Arial" w:hAnsi="Arial" w:cs="Arial"/>
                <w:b/>
                <w:sz w:val="16"/>
                <w:szCs w:val="16"/>
              </w:rPr>
            </w:pPr>
            <w:r>
              <w:rPr>
                <w:rFonts w:ascii="Arial" w:hAnsi="Arial" w:cs="Arial"/>
                <w:b/>
                <w:sz w:val="16"/>
                <w:szCs w:val="16"/>
              </w:rPr>
              <w:t>-</w:t>
            </w:r>
          </w:p>
        </w:tc>
        <w:tc>
          <w:tcPr>
            <w:tcW w:w="1147" w:type="dxa"/>
            <w:tcBorders>
              <w:top w:val="nil"/>
              <w:left w:val="nil"/>
              <w:bottom w:val="single" w:sz="4" w:space="0" w:color="auto"/>
              <w:right w:val="single" w:sz="4" w:space="0" w:color="auto"/>
            </w:tcBorders>
            <w:shd w:val="clear" w:color="000000" w:fill="FFFFFF"/>
            <w:noWrap/>
            <w:vAlign w:val="bottom"/>
          </w:tcPr>
          <w:p w14:paraId="257C0F7B" w14:textId="1B59FF33"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4.608 </w:t>
            </w:r>
          </w:p>
        </w:tc>
        <w:tc>
          <w:tcPr>
            <w:tcW w:w="1121" w:type="dxa"/>
            <w:tcBorders>
              <w:top w:val="nil"/>
              <w:left w:val="nil"/>
              <w:bottom w:val="single" w:sz="4" w:space="0" w:color="auto"/>
              <w:right w:val="single" w:sz="4" w:space="0" w:color="auto"/>
            </w:tcBorders>
            <w:shd w:val="clear" w:color="000000" w:fill="FFFFFF"/>
            <w:noWrap/>
            <w:vAlign w:val="bottom"/>
          </w:tcPr>
          <w:p w14:paraId="236AA1AD" w14:textId="22A6A473"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11.298 </w:t>
            </w:r>
          </w:p>
        </w:tc>
        <w:tc>
          <w:tcPr>
            <w:tcW w:w="1062" w:type="dxa"/>
            <w:tcBorders>
              <w:top w:val="nil"/>
              <w:left w:val="nil"/>
              <w:bottom w:val="single" w:sz="4" w:space="0" w:color="auto"/>
              <w:right w:val="single" w:sz="4" w:space="0" w:color="auto"/>
            </w:tcBorders>
            <w:shd w:val="clear" w:color="000000" w:fill="FFFFFF"/>
            <w:noWrap/>
            <w:vAlign w:val="bottom"/>
          </w:tcPr>
          <w:p w14:paraId="4CC921F8" w14:textId="032F2EAE"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372.679 </w:t>
            </w:r>
          </w:p>
        </w:tc>
        <w:tc>
          <w:tcPr>
            <w:tcW w:w="1724" w:type="dxa"/>
            <w:tcBorders>
              <w:top w:val="nil"/>
              <w:left w:val="nil"/>
              <w:bottom w:val="single" w:sz="4" w:space="0" w:color="auto"/>
              <w:right w:val="single" w:sz="4" w:space="0" w:color="auto"/>
            </w:tcBorders>
            <w:shd w:val="clear" w:color="000000" w:fill="FFFFFF"/>
            <w:noWrap/>
            <w:vAlign w:val="bottom"/>
          </w:tcPr>
          <w:p w14:paraId="5B2902CE" w14:textId="5F774B0F"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4F5D7F43" w14:textId="2DB10E40"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388.585 </w:t>
            </w:r>
          </w:p>
        </w:tc>
      </w:tr>
      <w:tr w:rsidR="005379A3" w:rsidRPr="00701F32" w14:paraId="67433B04"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7225CD56" w14:textId="4BC283CB"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Otros activos no financieros</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2F43430C" w14:textId="3880C410"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30.663</w:t>
            </w:r>
          </w:p>
        </w:tc>
        <w:tc>
          <w:tcPr>
            <w:tcW w:w="1147" w:type="dxa"/>
            <w:tcBorders>
              <w:top w:val="nil"/>
              <w:left w:val="nil"/>
              <w:bottom w:val="single" w:sz="4" w:space="0" w:color="auto"/>
              <w:right w:val="single" w:sz="4" w:space="0" w:color="auto"/>
            </w:tcBorders>
            <w:shd w:val="clear" w:color="000000" w:fill="FFFFFF"/>
            <w:noWrap/>
            <w:vAlign w:val="bottom"/>
          </w:tcPr>
          <w:p w14:paraId="426FDEED" w14:textId="5C19F643"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161.767 </w:t>
            </w:r>
          </w:p>
        </w:tc>
        <w:tc>
          <w:tcPr>
            <w:tcW w:w="1121" w:type="dxa"/>
            <w:tcBorders>
              <w:top w:val="nil"/>
              <w:left w:val="nil"/>
              <w:bottom w:val="single" w:sz="4" w:space="0" w:color="auto"/>
              <w:right w:val="single" w:sz="4" w:space="0" w:color="auto"/>
            </w:tcBorders>
            <w:shd w:val="clear" w:color="000000" w:fill="FFFFFF"/>
            <w:noWrap/>
            <w:vAlign w:val="bottom"/>
          </w:tcPr>
          <w:p w14:paraId="58C81372" w14:textId="5CF7B37C"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781.025 </w:t>
            </w:r>
          </w:p>
        </w:tc>
        <w:tc>
          <w:tcPr>
            <w:tcW w:w="1062" w:type="dxa"/>
            <w:tcBorders>
              <w:top w:val="nil"/>
              <w:left w:val="nil"/>
              <w:bottom w:val="single" w:sz="4" w:space="0" w:color="auto"/>
              <w:right w:val="single" w:sz="4" w:space="0" w:color="auto"/>
            </w:tcBorders>
            <w:shd w:val="clear" w:color="000000" w:fill="FFFFFF"/>
            <w:noWrap/>
            <w:vAlign w:val="bottom"/>
          </w:tcPr>
          <w:p w14:paraId="0E9EE518" w14:textId="0DD7B160"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28.850 </w:t>
            </w:r>
          </w:p>
        </w:tc>
        <w:tc>
          <w:tcPr>
            <w:tcW w:w="1724" w:type="dxa"/>
            <w:tcBorders>
              <w:top w:val="nil"/>
              <w:left w:val="nil"/>
              <w:bottom w:val="single" w:sz="4" w:space="0" w:color="auto"/>
              <w:right w:val="single" w:sz="4" w:space="0" w:color="auto"/>
            </w:tcBorders>
            <w:shd w:val="clear" w:color="000000" w:fill="FFFFFF"/>
            <w:noWrap/>
            <w:vAlign w:val="bottom"/>
          </w:tcPr>
          <w:p w14:paraId="00C773AF" w14:textId="27CE5C3E"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7EADA942" w14:textId="79731CD6"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1.002.305 </w:t>
            </w:r>
          </w:p>
        </w:tc>
      </w:tr>
      <w:tr w:rsidR="005379A3" w:rsidRPr="00701F32" w14:paraId="52F0F8B9" w14:textId="77777777" w:rsidTr="005379A3">
        <w:tc>
          <w:tcPr>
            <w:tcW w:w="0" w:type="auto"/>
            <w:tcBorders>
              <w:top w:val="nil"/>
              <w:left w:val="single" w:sz="4" w:space="0" w:color="auto"/>
              <w:bottom w:val="single" w:sz="4" w:space="0" w:color="363639"/>
              <w:right w:val="single" w:sz="4" w:space="0" w:color="363639"/>
            </w:tcBorders>
            <w:shd w:val="clear" w:color="000000" w:fill="FFFFFF"/>
          </w:tcPr>
          <w:p w14:paraId="193BFF5E" w14:textId="62ED23A5" w:rsidR="002B35BE" w:rsidRPr="00701F32" w:rsidRDefault="002B35BE" w:rsidP="002B35BE">
            <w:pPr>
              <w:ind w:left="-70" w:firstLine="70"/>
              <w:rPr>
                <w:rFonts w:ascii="Arial" w:hAnsi="Arial" w:cs="Arial"/>
                <w:b/>
                <w:bCs/>
                <w:sz w:val="16"/>
                <w:szCs w:val="16"/>
                <w:lang w:eastAsia="es-AR"/>
              </w:rPr>
            </w:pPr>
            <w:r w:rsidRPr="003A56FE">
              <w:rPr>
                <w:rFonts w:ascii="Arial" w:hAnsi="Arial" w:cs="Arial"/>
                <w:b/>
                <w:bCs/>
                <w:sz w:val="16"/>
                <w:szCs w:val="16"/>
                <w:lang w:eastAsia="es-AR"/>
              </w:rPr>
              <w:t>Activos no corrientes mantenidos para la venta</w:t>
            </w:r>
          </w:p>
        </w:tc>
        <w:tc>
          <w:tcPr>
            <w:tcW w:w="1071" w:type="dxa"/>
            <w:tcBorders>
              <w:top w:val="nil"/>
              <w:left w:val="single" w:sz="4" w:space="0" w:color="auto"/>
              <w:bottom w:val="single" w:sz="4" w:space="0" w:color="auto"/>
              <w:right w:val="single" w:sz="4" w:space="0" w:color="auto"/>
            </w:tcBorders>
            <w:shd w:val="clear" w:color="000000" w:fill="FFFFFF"/>
            <w:noWrap/>
            <w:vAlign w:val="bottom"/>
          </w:tcPr>
          <w:p w14:paraId="2DC076BE" w14:textId="6CCC5139"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2.800</w:t>
            </w:r>
          </w:p>
        </w:tc>
        <w:tc>
          <w:tcPr>
            <w:tcW w:w="1147" w:type="dxa"/>
            <w:tcBorders>
              <w:top w:val="nil"/>
              <w:left w:val="nil"/>
              <w:bottom w:val="single" w:sz="4" w:space="0" w:color="auto"/>
              <w:right w:val="single" w:sz="4" w:space="0" w:color="auto"/>
            </w:tcBorders>
            <w:shd w:val="clear" w:color="000000" w:fill="FFFFFF"/>
            <w:noWrap/>
            <w:vAlign w:val="bottom"/>
          </w:tcPr>
          <w:p w14:paraId="4B981656" w14:textId="571F1E52"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21" w:type="dxa"/>
            <w:tcBorders>
              <w:top w:val="nil"/>
              <w:left w:val="nil"/>
              <w:bottom w:val="single" w:sz="4" w:space="0" w:color="auto"/>
              <w:right w:val="single" w:sz="4" w:space="0" w:color="auto"/>
            </w:tcBorders>
            <w:shd w:val="clear" w:color="000000" w:fill="FFFFFF"/>
            <w:noWrap/>
            <w:vAlign w:val="bottom"/>
          </w:tcPr>
          <w:p w14:paraId="249DCDBE" w14:textId="7152340E"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062" w:type="dxa"/>
            <w:tcBorders>
              <w:top w:val="nil"/>
              <w:left w:val="nil"/>
              <w:bottom w:val="single" w:sz="4" w:space="0" w:color="auto"/>
              <w:right w:val="single" w:sz="4" w:space="0" w:color="auto"/>
            </w:tcBorders>
            <w:shd w:val="clear" w:color="000000" w:fill="FFFFFF"/>
            <w:noWrap/>
            <w:vAlign w:val="bottom"/>
          </w:tcPr>
          <w:p w14:paraId="54EAA619" w14:textId="1FD4B8B0"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724" w:type="dxa"/>
            <w:tcBorders>
              <w:top w:val="nil"/>
              <w:left w:val="nil"/>
              <w:bottom w:val="single" w:sz="4" w:space="0" w:color="auto"/>
              <w:right w:val="single" w:sz="4" w:space="0" w:color="auto"/>
            </w:tcBorders>
            <w:shd w:val="clear" w:color="000000" w:fill="FFFFFF"/>
            <w:noWrap/>
            <w:vAlign w:val="bottom"/>
          </w:tcPr>
          <w:p w14:paraId="48F2F023" w14:textId="1A83AA93"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   </w:t>
            </w:r>
          </w:p>
        </w:tc>
        <w:tc>
          <w:tcPr>
            <w:tcW w:w="1104" w:type="dxa"/>
            <w:tcBorders>
              <w:top w:val="nil"/>
              <w:left w:val="nil"/>
              <w:bottom w:val="single" w:sz="4" w:space="0" w:color="auto"/>
              <w:right w:val="single" w:sz="4" w:space="0" w:color="auto"/>
            </w:tcBorders>
            <w:shd w:val="clear" w:color="000000" w:fill="FFFFFF"/>
            <w:noWrap/>
            <w:vAlign w:val="bottom"/>
          </w:tcPr>
          <w:p w14:paraId="2AF34D80" w14:textId="7BC60456" w:rsidR="002B35BE" w:rsidRPr="00701F32" w:rsidRDefault="002B35BE" w:rsidP="002B35BE">
            <w:pPr>
              <w:ind w:left="-70" w:firstLine="70"/>
              <w:jc w:val="right"/>
              <w:rPr>
                <w:rFonts w:ascii="Arial" w:hAnsi="Arial" w:cs="Arial"/>
                <w:b/>
                <w:sz w:val="16"/>
                <w:szCs w:val="16"/>
              </w:rPr>
            </w:pPr>
            <w:r w:rsidRPr="00886ABA">
              <w:rPr>
                <w:rFonts w:ascii="Arial" w:hAnsi="Arial" w:cs="Arial"/>
                <w:b/>
                <w:sz w:val="16"/>
                <w:szCs w:val="16"/>
              </w:rPr>
              <w:t xml:space="preserve"> 2.800 </w:t>
            </w:r>
          </w:p>
        </w:tc>
      </w:tr>
      <w:tr w:rsidR="005379A3" w:rsidRPr="00701F32" w14:paraId="3A5914B5" w14:textId="77777777" w:rsidTr="005379A3">
        <w:tc>
          <w:tcPr>
            <w:tcW w:w="0" w:type="auto"/>
            <w:tcBorders>
              <w:top w:val="single" w:sz="4" w:space="0" w:color="auto"/>
              <w:left w:val="single" w:sz="4" w:space="0" w:color="auto"/>
              <w:bottom w:val="single" w:sz="4" w:space="0" w:color="auto"/>
              <w:right w:val="single" w:sz="4" w:space="0" w:color="363639"/>
            </w:tcBorders>
            <w:shd w:val="clear" w:color="000000" w:fill="FFFFFF"/>
            <w:vAlign w:val="center"/>
          </w:tcPr>
          <w:p w14:paraId="0182A727" w14:textId="258ACED6" w:rsidR="002B35BE" w:rsidRPr="00701F32" w:rsidRDefault="002B35BE" w:rsidP="002B35BE">
            <w:pPr>
              <w:ind w:left="-70" w:firstLine="70"/>
              <w:rPr>
                <w:rFonts w:ascii="Arial" w:hAnsi="Arial" w:cs="Arial"/>
                <w:b/>
                <w:bCs/>
                <w:sz w:val="16"/>
                <w:szCs w:val="16"/>
                <w:lang w:eastAsia="es-AR"/>
              </w:rPr>
            </w:pPr>
            <w:r w:rsidRPr="00701F32">
              <w:rPr>
                <w:rFonts w:ascii="Arial" w:hAnsi="Arial" w:cs="Arial"/>
                <w:b/>
                <w:bCs/>
                <w:sz w:val="16"/>
                <w:szCs w:val="16"/>
                <w:lang w:eastAsia="es-AR"/>
              </w:rPr>
              <w:t>TOTAL ACTIVO</w:t>
            </w:r>
          </w:p>
        </w:tc>
        <w:tc>
          <w:tcPr>
            <w:tcW w:w="107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C5343C2" w14:textId="49AD96B7" w:rsidR="002B35BE" w:rsidRPr="00701F32" w:rsidRDefault="002B35BE">
            <w:pPr>
              <w:ind w:left="-70" w:firstLine="70"/>
              <w:jc w:val="right"/>
              <w:rPr>
                <w:rFonts w:ascii="Arial" w:hAnsi="Arial" w:cs="Arial"/>
                <w:b/>
                <w:sz w:val="16"/>
                <w:szCs w:val="16"/>
              </w:rPr>
            </w:pPr>
            <w:r w:rsidRPr="00886ABA">
              <w:rPr>
                <w:rFonts w:ascii="Arial" w:hAnsi="Arial" w:cs="Arial"/>
                <w:b/>
                <w:sz w:val="16"/>
                <w:szCs w:val="16"/>
              </w:rPr>
              <w:t>39.498.419</w:t>
            </w:r>
          </w:p>
        </w:tc>
        <w:tc>
          <w:tcPr>
            <w:tcW w:w="1147" w:type="dxa"/>
            <w:tcBorders>
              <w:top w:val="single" w:sz="4" w:space="0" w:color="auto"/>
              <w:left w:val="nil"/>
              <w:bottom w:val="single" w:sz="4" w:space="0" w:color="auto"/>
              <w:right w:val="single" w:sz="4" w:space="0" w:color="auto"/>
            </w:tcBorders>
            <w:shd w:val="clear" w:color="000000" w:fill="FFFFFF"/>
            <w:noWrap/>
            <w:vAlign w:val="bottom"/>
          </w:tcPr>
          <w:p w14:paraId="715B32FB" w14:textId="61352C48" w:rsidR="002B35BE" w:rsidRPr="00701F32" w:rsidRDefault="002B35BE">
            <w:pPr>
              <w:ind w:left="-70" w:firstLine="70"/>
              <w:jc w:val="right"/>
              <w:rPr>
                <w:rFonts w:ascii="Arial" w:hAnsi="Arial" w:cs="Arial"/>
                <w:b/>
                <w:sz w:val="16"/>
                <w:szCs w:val="16"/>
              </w:rPr>
            </w:pPr>
            <w:r w:rsidRPr="00886ABA">
              <w:rPr>
                <w:rFonts w:ascii="Arial" w:hAnsi="Arial" w:cs="Arial"/>
                <w:b/>
                <w:sz w:val="16"/>
                <w:szCs w:val="16"/>
              </w:rPr>
              <w:t>37.135.935</w:t>
            </w:r>
          </w:p>
        </w:tc>
        <w:tc>
          <w:tcPr>
            <w:tcW w:w="1121" w:type="dxa"/>
            <w:tcBorders>
              <w:top w:val="single" w:sz="4" w:space="0" w:color="auto"/>
              <w:left w:val="nil"/>
              <w:bottom w:val="single" w:sz="4" w:space="0" w:color="auto"/>
              <w:right w:val="single" w:sz="4" w:space="0" w:color="auto"/>
            </w:tcBorders>
            <w:shd w:val="clear" w:color="000000" w:fill="FFFFFF"/>
            <w:noWrap/>
            <w:vAlign w:val="bottom"/>
          </w:tcPr>
          <w:p w14:paraId="52BFB3CB" w14:textId="4E98FD40" w:rsidR="002B35BE" w:rsidRPr="00701F32" w:rsidRDefault="002B35BE">
            <w:pPr>
              <w:ind w:left="-70" w:firstLine="70"/>
              <w:jc w:val="right"/>
              <w:rPr>
                <w:rFonts w:ascii="Arial" w:hAnsi="Arial" w:cs="Arial"/>
                <w:b/>
                <w:sz w:val="16"/>
                <w:szCs w:val="16"/>
                <w:lang w:val="es-ES_tradnl"/>
              </w:rPr>
            </w:pPr>
            <w:r w:rsidRPr="00886ABA">
              <w:rPr>
                <w:rFonts w:ascii="Arial" w:hAnsi="Arial" w:cs="Arial"/>
                <w:b/>
                <w:sz w:val="16"/>
                <w:szCs w:val="16"/>
              </w:rPr>
              <w:t>56.569.590</w:t>
            </w:r>
          </w:p>
        </w:tc>
        <w:tc>
          <w:tcPr>
            <w:tcW w:w="1062" w:type="dxa"/>
            <w:tcBorders>
              <w:top w:val="single" w:sz="4" w:space="0" w:color="auto"/>
              <w:left w:val="nil"/>
              <w:bottom w:val="single" w:sz="4" w:space="0" w:color="auto"/>
              <w:right w:val="single" w:sz="4" w:space="0" w:color="auto"/>
            </w:tcBorders>
            <w:shd w:val="clear" w:color="000000" w:fill="FFFFFF"/>
            <w:noWrap/>
            <w:vAlign w:val="bottom"/>
          </w:tcPr>
          <w:p w14:paraId="1F61447F" w14:textId="3452059B" w:rsidR="002B35BE" w:rsidRPr="00701F32" w:rsidRDefault="002B35BE">
            <w:pPr>
              <w:ind w:left="-70" w:firstLine="70"/>
              <w:jc w:val="right"/>
              <w:rPr>
                <w:rFonts w:ascii="Arial" w:hAnsi="Arial" w:cs="Arial"/>
                <w:b/>
                <w:sz w:val="16"/>
                <w:szCs w:val="16"/>
              </w:rPr>
            </w:pPr>
            <w:r w:rsidRPr="00886ABA">
              <w:rPr>
                <w:rFonts w:ascii="Arial" w:hAnsi="Arial" w:cs="Arial"/>
                <w:b/>
                <w:sz w:val="16"/>
                <w:szCs w:val="16"/>
              </w:rPr>
              <w:t>8.153.920</w:t>
            </w:r>
          </w:p>
        </w:tc>
        <w:tc>
          <w:tcPr>
            <w:tcW w:w="1724" w:type="dxa"/>
            <w:tcBorders>
              <w:top w:val="single" w:sz="4" w:space="0" w:color="auto"/>
              <w:left w:val="nil"/>
              <w:bottom w:val="single" w:sz="4" w:space="0" w:color="auto"/>
              <w:right w:val="single" w:sz="4" w:space="0" w:color="auto"/>
            </w:tcBorders>
            <w:shd w:val="clear" w:color="000000" w:fill="FFFFFF"/>
            <w:noWrap/>
            <w:vAlign w:val="bottom"/>
          </w:tcPr>
          <w:p w14:paraId="718D7621" w14:textId="2B79BFCD" w:rsidR="002B35BE" w:rsidRPr="00701F32" w:rsidRDefault="002B35BE">
            <w:pPr>
              <w:ind w:left="-70" w:firstLine="70"/>
              <w:jc w:val="right"/>
              <w:rPr>
                <w:rFonts w:ascii="Arial" w:hAnsi="Arial" w:cs="Arial"/>
                <w:b/>
                <w:sz w:val="16"/>
                <w:szCs w:val="16"/>
              </w:rPr>
            </w:pPr>
            <w:r w:rsidRPr="00886ABA">
              <w:rPr>
                <w:rFonts w:ascii="Arial" w:hAnsi="Arial" w:cs="Arial"/>
                <w:b/>
                <w:sz w:val="16"/>
                <w:szCs w:val="16"/>
              </w:rPr>
              <w:t>-4.171.634</w:t>
            </w:r>
          </w:p>
        </w:tc>
        <w:tc>
          <w:tcPr>
            <w:tcW w:w="1104" w:type="dxa"/>
            <w:tcBorders>
              <w:top w:val="single" w:sz="4" w:space="0" w:color="auto"/>
              <w:left w:val="nil"/>
              <w:bottom w:val="single" w:sz="4" w:space="0" w:color="auto"/>
              <w:right w:val="single" w:sz="4" w:space="0" w:color="auto"/>
            </w:tcBorders>
            <w:shd w:val="clear" w:color="000000" w:fill="FFFFFF"/>
            <w:noWrap/>
            <w:vAlign w:val="bottom"/>
          </w:tcPr>
          <w:p w14:paraId="5AF9C074" w14:textId="06AD2208" w:rsidR="002B35BE" w:rsidRPr="00701F32" w:rsidRDefault="002B35BE">
            <w:pPr>
              <w:ind w:left="-70" w:firstLine="70"/>
              <w:jc w:val="right"/>
              <w:rPr>
                <w:rFonts w:ascii="Arial" w:hAnsi="Arial" w:cs="Arial"/>
                <w:b/>
                <w:sz w:val="16"/>
                <w:szCs w:val="16"/>
                <w:lang w:val="es-ES_tradnl"/>
              </w:rPr>
            </w:pPr>
            <w:r w:rsidRPr="00886ABA">
              <w:rPr>
                <w:rFonts w:ascii="Arial" w:hAnsi="Arial" w:cs="Arial"/>
                <w:b/>
                <w:sz w:val="16"/>
                <w:szCs w:val="16"/>
                <w:lang w:val="es-ES_tradnl"/>
              </w:rPr>
              <w:t>137.186.230</w:t>
            </w:r>
          </w:p>
        </w:tc>
      </w:tr>
    </w:tbl>
    <w:p w14:paraId="0D97EF64" w14:textId="0833AB96" w:rsidR="004933F7" w:rsidRDefault="004933F7" w:rsidP="004933F7">
      <w:pPr>
        <w:spacing w:after="160" w:line="259" w:lineRule="auto"/>
        <w:jc w:val="both"/>
        <w:rPr>
          <w:rFonts w:ascii="Arial" w:eastAsia="Calibri" w:hAnsi="Arial" w:cs="Arial"/>
          <w:bCs/>
          <w:sz w:val="16"/>
          <w:szCs w:val="16"/>
        </w:rPr>
      </w:pPr>
    </w:p>
    <w:tbl>
      <w:tblPr>
        <w:tblW w:w="10157" w:type="dxa"/>
        <w:tblInd w:w="-356" w:type="dxa"/>
        <w:tblLayout w:type="fixed"/>
        <w:tblCellMar>
          <w:left w:w="70" w:type="dxa"/>
          <w:right w:w="70" w:type="dxa"/>
        </w:tblCellMar>
        <w:tblLook w:val="04A0" w:firstRow="1" w:lastRow="0" w:firstColumn="1" w:lastColumn="0" w:noHBand="0" w:noVBand="1"/>
      </w:tblPr>
      <w:tblGrid>
        <w:gridCol w:w="2978"/>
        <w:gridCol w:w="1134"/>
        <w:gridCol w:w="1134"/>
        <w:gridCol w:w="1276"/>
        <w:gridCol w:w="992"/>
        <w:gridCol w:w="1559"/>
        <w:gridCol w:w="1084"/>
      </w:tblGrid>
      <w:tr w:rsidR="005379A3" w:rsidRPr="00701F32" w14:paraId="0FC6B936" w14:textId="77777777" w:rsidTr="006E1AF7">
        <w:trPr>
          <w:tblHeader/>
        </w:trPr>
        <w:tc>
          <w:tcPr>
            <w:tcW w:w="29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6BECC6" w14:textId="025FC807" w:rsidR="007A6B2D" w:rsidRPr="00701F32" w:rsidRDefault="007A6B2D" w:rsidP="007A6B2D">
            <w:pPr>
              <w:jc w:val="center"/>
              <w:rPr>
                <w:rFonts w:ascii="Arial" w:hAnsi="Arial" w:cs="Arial"/>
                <w:b/>
                <w:bCs/>
                <w:sz w:val="16"/>
                <w:szCs w:val="16"/>
                <w:lang w:eastAsia="es-AR"/>
              </w:rPr>
            </w:pPr>
            <w:r w:rsidRPr="00701F32">
              <w:rPr>
                <w:rFonts w:ascii="Arial" w:hAnsi="Arial" w:cs="Arial"/>
                <w:b/>
                <w:bCs/>
                <w:sz w:val="16"/>
                <w:szCs w:val="16"/>
                <w:lang w:eastAsia="es-AR"/>
              </w:rPr>
              <w:t>PASIVO al 3</w:t>
            </w:r>
            <w:r w:rsidR="00D538FD">
              <w:rPr>
                <w:rFonts w:ascii="Arial" w:hAnsi="Arial" w:cs="Arial"/>
                <w:b/>
                <w:bCs/>
                <w:sz w:val="16"/>
                <w:szCs w:val="16"/>
                <w:lang w:eastAsia="es-AR"/>
              </w:rPr>
              <w:t>1</w:t>
            </w:r>
            <w:r w:rsidRPr="00701F32">
              <w:rPr>
                <w:rFonts w:ascii="Arial" w:hAnsi="Arial" w:cs="Arial"/>
                <w:b/>
                <w:bCs/>
                <w:sz w:val="16"/>
                <w:szCs w:val="16"/>
                <w:lang w:eastAsia="es-AR"/>
              </w:rPr>
              <w:t>/</w:t>
            </w:r>
            <w:r w:rsidR="00D538FD">
              <w:rPr>
                <w:rFonts w:ascii="Arial" w:hAnsi="Arial" w:cs="Arial"/>
                <w:b/>
                <w:bCs/>
                <w:sz w:val="16"/>
                <w:szCs w:val="16"/>
                <w:lang w:eastAsia="es-AR"/>
              </w:rPr>
              <w:t>12</w:t>
            </w:r>
            <w:r w:rsidRPr="00701F32">
              <w:rPr>
                <w:rFonts w:ascii="Arial" w:hAnsi="Arial" w:cs="Arial"/>
                <w:b/>
                <w:bCs/>
                <w:sz w:val="16"/>
                <w:szCs w:val="16"/>
                <w:lang w:eastAsia="es-AR"/>
              </w:rPr>
              <w:t>/2018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6673C4C" w14:textId="14BB118F" w:rsidR="007A6B2D" w:rsidRPr="00701F32" w:rsidRDefault="007A6B2D">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Banca Empresa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1811DAE" w14:textId="1C8DF277" w:rsidR="007A6B2D" w:rsidRPr="00701F32" w:rsidRDefault="007A6B2D">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Banca Minorista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15C6F88" w14:textId="45079ED8" w:rsidR="007A6B2D" w:rsidRPr="00701F32" w:rsidRDefault="007A6B2D">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Tesorería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22F8DA6" w14:textId="66E41DF2" w:rsidR="007A6B2D" w:rsidRPr="00701F32" w:rsidRDefault="007A6B2D">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Consumo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559D997" w14:textId="3329E0F6" w:rsidR="007A6B2D" w:rsidRPr="00701F32" w:rsidRDefault="005379A3">
            <w:pPr>
              <w:jc w:val="center"/>
              <w:rPr>
                <w:rFonts w:ascii="Arial" w:hAnsi="Arial" w:cs="Arial"/>
                <w:b/>
                <w:bCs/>
                <w:color w:val="000000"/>
                <w:sz w:val="16"/>
                <w:szCs w:val="16"/>
                <w:lang w:eastAsia="es-AR"/>
              </w:rPr>
            </w:pPr>
            <w:r>
              <w:rPr>
                <w:rFonts w:ascii="Arial" w:hAnsi="Arial" w:cs="Arial"/>
                <w:b/>
                <w:bCs/>
                <w:color w:val="000000"/>
                <w:sz w:val="16"/>
                <w:szCs w:val="16"/>
                <w:lang w:eastAsia="es-AR"/>
              </w:rPr>
              <w:t>Eliminaciones</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14:paraId="42FD7037" w14:textId="7F1EB941" w:rsidR="007A6B2D" w:rsidRPr="00701F32" w:rsidRDefault="007A6B2D">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TOTAL</w:t>
            </w:r>
          </w:p>
        </w:tc>
      </w:tr>
      <w:tr w:rsidR="005379A3" w:rsidRPr="00701F32" w14:paraId="6D5BED15" w14:textId="77777777" w:rsidTr="006E1AF7">
        <w:tc>
          <w:tcPr>
            <w:tcW w:w="2978" w:type="dxa"/>
            <w:tcBorders>
              <w:top w:val="nil"/>
              <w:left w:val="single" w:sz="4" w:space="0" w:color="auto"/>
              <w:bottom w:val="single" w:sz="4" w:space="0" w:color="auto"/>
              <w:right w:val="single" w:sz="4" w:space="0" w:color="auto"/>
            </w:tcBorders>
            <w:shd w:val="clear" w:color="auto" w:fill="auto"/>
            <w:hideMark/>
          </w:tcPr>
          <w:p w14:paraId="55BC0E2E" w14:textId="77777777" w:rsidR="00BA29F2" w:rsidRPr="00701F32" w:rsidRDefault="00BA29F2" w:rsidP="00BA29F2">
            <w:pPr>
              <w:rPr>
                <w:rFonts w:ascii="Arial" w:hAnsi="Arial" w:cs="Arial"/>
                <w:b/>
                <w:bCs/>
                <w:sz w:val="16"/>
                <w:szCs w:val="16"/>
                <w:lang w:eastAsia="es-AR"/>
              </w:rPr>
            </w:pPr>
            <w:r w:rsidRPr="00701F32">
              <w:rPr>
                <w:rFonts w:ascii="Arial" w:hAnsi="Arial" w:cs="Arial"/>
                <w:b/>
                <w:bCs/>
                <w:sz w:val="16"/>
                <w:szCs w:val="16"/>
                <w:lang w:eastAsia="es-AR"/>
              </w:rPr>
              <w:t>Depósitos</w:t>
            </w:r>
          </w:p>
        </w:tc>
        <w:tc>
          <w:tcPr>
            <w:tcW w:w="1134" w:type="dxa"/>
            <w:tcBorders>
              <w:top w:val="nil"/>
              <w:left w:val="nil"/>
              <w:bottom w:val="single" w:sz="4" w:space="0" w:color="auto"/>
              <w:right w:val="single" w:sz="4" w:space="0" w:color="auto"/>
            </w:tcBorders>
            <w:shd w:val="clear" w:color="auto" w:fill="auto"/>
            <w:noWrap/>
            <w:vAlign w:val="bottom"/>
            <w:hideMark/>
          </w:tcPr>
          <w:p w14:paraId="2A78D214" w14:textId="33B360E9" w:rsidR="00BA29F2" w:rsidRPr="00701F32" w:rsidRDefault="00BA29F2" w:rsidP="001A3619">
            <w:pPr>
              <w:jc w:val="right"/>
              <w:rPr>
                <w:rFonts w:ascii="Arial" w:hAnsi="Arial" w:cs="Arial"/>
                <w:b/>
                <w:sz w:val="16"/>
                <w:szCs w:val="16"/>
              </w:rPr>
            </w:pPr>
            <w:r w:rsidRPr="00886ABA">
              <w:rPr>
                <w:rFonts w:ascii="Arial" w:hAnsi="Arial" w:cs="Arial"/>
                <w:b/>
                <w:sz w:val="16"/>
                <w:szCs w:val="16"/>
              </w:rPr>
              <w:t>-9.420.939</w:t>
            </w:r>
          </w:p>
        </w:tc>
        <w:tc>
          <w:tcPr>
            <w:tcW w:w="1134" w:type="dxa"/>
            <w:tcBorders>
              <w:top w:val="nil"/>
              <w:left w:val="nil"/>
              <w:bottom w:val="single" w:sz="4" w:space="0" w:color="auto"/>
              <w:right w:val="single" w:sz="4" w:space="0" w:color="auto"/>
            </w:tcBorders>
            <w:shd w:val="clear" w:color="auto" w:fill="auto"/>
            <w:noWrap/>
            <w:vAlign w:val="bottom"/>
            <w:hideMark/>
          </w:tcPr>
          <w:p w14:paraId="78201B29" w14:textId="364E117B" w:rsidR="00BA29F2" w:rsidRPr="00701F32" w:rsidRDefault="00BA29F2" w:rsidP="001A3619">
            <w:pPr>
              <w:jc w:val="right"/>
              <w:rPr>
                <w:rFonts w:ascii="Arial" w:hAnsi="Arial" w:cs="Arial"/>
                <w:b/>
                <w:sz w:val="16"/>
                <w:szCs w:val="16"/>
              </w:rPr>
            </w:pPr>
            <w:r w:rsidRPr="00886ABA">
              <w:rPr>
                <w:rFonts w:ascii="Arial" w:hAnsi="Arial" w:cs="Arial"/>
                <w:b/>
                <w:sz w:val="16"/>
                <w:szCs w:val="16"/>
              </w:rPr>
              <w:t>-51.697.755</w:t>
            </w:r>
          </w:p>
        </w:tc>
        <w:tc>
          <w:tcPr>
            <w:tcW w:w="1276" w:type="dxa"/>
            <w:tcBorders>
              <w:top w:val="nil"/>
              <w:left w:val="nil"/>
              <w:bottom w:val="single" w:sz="4" w:space="0" w:color="auto"/>
              <w:right w:val="single" w:sz="4" w:space="0" w:color="auto"/>
            </w:tcBorders>
            <w:shd w:val="clear" w:color="auto" w:fill="auto"/>
            <w:noWrap/>
            <w:vAlign w:val="bottom"/>
            <w:hideMark/>
          </w:tcPr>
          <w:p w14:paraId="02BEE231" w14:textId="0E6B2E57" w:rsidR="00BA29F2" w:rsidRPr="00701F32" w:rsidRDefault="00BA29F2" w:rsidP="001A3619">
            <w:pPr>
              <w:jc w:val="right"/>
              <w:rPr>
                <w:rFonts w:ascii="Arial" w:hAnsi="Arial" w:cs="Arial"/>
                <w:b/>
                <w:sz w:val="16"/>
                <w:szCs w:val="16"/>
              </w:rPr>
            </w:pPr>
            <w:r w:rsidRPr="00886ABA">
              <w:rPr>
                <w:rFonts w:ascii="Arial" w:hAnsi="Arial" w:cs="Arial"/>
                <w:b/>
                <w:sz w:val="16"/>
                <w:szCs w:val="16"/>
              </w:rPr>
              <w:t>-32.906.384</w:t>
            </w:r>
          </w:p>
        </w:tc>
        <w:tc>
          <w:tcPr>
            <w:tcW w:w="992" w:type="dxa"/>
            <w:tcBorders>
              <w:top w:val="nil"/>
              <w:left w:val="nil"/>
              <w:bottom w:val="single" w:sz="4" w:space="0" w:color="auto"/>
              <w:right w:val="single" w:sz="4" w:space="0" w:color="auto"/>
            </w:tcBorders>
            <w:shd w:val="clear" w:color="auto" w:fill="auto"/>
            <w:noWrap/>
            <w:vAlign w:val="bottom"/>
            <w:hideMark/>
          </w:tcPr>
          <w:p w14:paraId="6FF833A9" w14:textId="095E4C46" w:rsidR="00BA29F2" w:rsidRPr="00701F32" w:rsidRDefault="00BA29F2" w:rsidP="001A3619">
            <w:pPr>
              <w:jc w:val="right"/>
              <w:rPr>
                <w:rFonts w:ascii="Arial" w:hAnsi="Arial" w:cs="Arial"/>
                <w:b/>
                <w:sz w:val="16"/>
                <w:szCs w:val="16"/>
              </w:rPr>
            </w:pPr>
            <w:r w:rsidRPr="00886ABA">
              <w:rPr>
                <w:rFonts w:ascii="Arial" w:hAnsi="Arial" w:cs="Arial"/>
                <w:b/>
                <w:sz w:val="16"/>
                <w:szCs w:val="16"/>
              </w:rPr>
              <w:t>-1.667.995</w:t>
            </w:r>
          </w:p>
        </w:tc>
        <w:tc>
          <w:tcPr>
            <w:tcW w:w="1559" w:type="dxa"/>
            <w:tcBorders>
              <w:top w:val="nil"/>
              <w:left w:val="nil"/>
              <w:bottom w:val="single" w:sz="4" w:space="0" w:color="auto"/>
              <w:right w:val="single" w:sz="4" w:space="0" w:color="auto"/>
            </w:tcBorders>
            <w:shd w:val="clear" w:color="auto" w:fill="auto"/>
            <w:noWrap/>
            <w:vAlign w:val="bottom"/>
            <w:hideMark/>
          </w:tcPr>
          <w:p w14:paraId="1FE2CDA4" w14:textId="0E860D1D" w:rsidR="00BA29F2" w:rsidRPr="00701F32" w:rsidRDefault="00BA29F2" w:rsidP="001A3619">
            <w:pPr>
              <w:jc w:val="right"/>
              <w:rPr>
                <w:rFonts w:ascii="Arial" w:hAnsi="Arial" w:cs="Arial"/>
                <w:b/>
                <w:sz w:val="16"/>
                <w:szCs w:val="16"/>
              </w:rPr>
            </w:pPr>
            <w:r w:rsidRPr="00886ABA">
              <w:rPr>
                <w:rFonts w:ascii="Arial" w:hAnsi="Arial" w:cs="Arial"/>
                <w:b/>
                <w:sz w:val="16"/>
                <w:szCs w:val="16"/>
              </w:rPr>
              <w:t>26.602</w:t>
            </w:r>
          </w:p>
        </w:tc>
        <w:tc>
          <w:tcPr>
            <w:tcW w:w="1084" w:type="dxa"/>
            <w:tcBorders>
              <w:top w:val="nil"/>
              <w:left w:val="nil"/>
              <w:bottom w:val="single" w:sz="4" w:space="0" w:color="auto"/>
              <w:right w:val="single" w:sz="4" w:space="0" w:color="auto"/>
            </w:tcBorders>
            <w:shd w:val="clear" w:color="auto" w:fill="auto"/>
            <w:noWrap/>
            <w:vAlign w:val="bottom"/>
            <w:hideMark/>
          </w:tcPr>
          <w:p w14:paraId="5AF7BEB4" w14:textId="0D04BD0E" w:rsidR="00BA29F2" w:rsidRPr="00701F32" w:rsidRDefault="00BA29F2" w:rsidP="001A3619">
            <w:pPr>
              <w:jc w:val="right"/>
              <w:rPr>
                <w:rFonts w:ascii="Arial" w:hAnsi="Arial" w:cs="Arial"/>
                <w:b/>
                <w:bCs/>
                <w:sz w:val="16"/>
                <w:szCs w:val="16"/>
                <w:lang w:eastAsia="es-AR"/>
              </w:rPr>
            </w:pPr>
            <w:r w:rsidRPr="00886ABA">
              <w:rPr>
                <w:rFonts w:ascii="Arial" w:hAnsi="Arial" w:cs="Arial"/>
                <w:b/>
                <w:sz w:val="16"/>
                <w:szCs w:val="16"/>
              </w:rPr>
              <w:t>-95.666.471</w:t>
            </w:r>
          </w:p>
        </w:tc>
      </w:tr>
      <w:tr w:rsidR="005379A3" w:rsidRPr="00701F32" w14:paraId="4F1F1850" w14:textId="77777777" w:rsidTr="006E1AF7">
        <w:tc>
          <w:tcPr>
            <w:tcW w:w="2978" w:type="dxa"/>
            <w:tcBorders>
              <w:top w:val="nil"/>
              <w:left w:val="single" w:sz="4" w:space="0" w:color="auto"/>
              <w:bottom w:val="single" w:sz="4" w:space="0" w:color="auto"/>
              <w:right w:val="single" w:sz="4" w:space="0" w:color="auto"/>
            </w:tcBorders>
            <w:shd w:val="clear" w:color="auto" w:fill="auto"/>
            <w:hideMark/>
          </w:tcPr>
          <w:p w14:paraId="7AA33BD5" w14:textId="77777777" w:rsidR="00BA29F2" w:rsidRPr="00701F32" w:rsidRDefault="00BA29F2" w:rsidP="00BA29F2">
            <w:pPr>
              <w:rPr>
                <w:rFonts w:ascii="Arial" w:hAnsi="Arial" w:cs="Arial"/>
                <w:color w:val="000000"/>
                <w:sz w:val="16"/>
                <w:szCs w:val="16"/>
                <w:lang w:eastAsia="es-AR"/>
              </w:rPr>
            </w:pPr>
            <w:r w:rsidRPr="00701F32">
              <w:rPr>
                <w:rFonts w:ascii="Arial" w:hAnsi="Arial" w:cs="Arial"/>
                <w:color w:val="000000"/>
                <w:sz w:val="16"/>
                <w:szCs w:val="16"/>
                <w:lang w:eastAsia="es-AR"/>
              </w:rPr>
              <w:t xml:space="preserve">   Sector público no financiero</w:t>
            </w:r>
          </w:p>
        </w:tc>
        <w:tc>
          <w:tcPr>
            <w:tcW w:w="1134" w:type="dxa"/>
            <w:tcBorders>
              <w:top w:val="nil"/>
              <w:left w:val="nil"/>
              <w:bottom w:val="single" w:sz="4" w:space="0" w:color="auto"/>
              <w:right w:val="single" w:sz="4" w:space="0" w:color="auto"/>
            </w:tcBorders>
            <w:shd w:val="clear" w:color="auto" w:fill="auto"/>
            <w:noWrap/>
            <w:vAlign w:val="bottom"/>
            <w:hideMark/>
          </w:tcPr>
          <w:p w14:paraId="633B484C" w14:textId="5EB833B7" w:rsidR="00BA29F2" w:rsidRPr="00701F32" w:rsidRDefault="00BA29F2" w:rsidP="001A3619">
            <w:pPr>
              <w:jc w:val="right"/>
              <w:rPr>
                <w:rFonts w:ascii="Arial" w:hAnsi="Arial" w:cs="Arial"/>
                <w:b/>
                <w:sz w:val="16"/>
                <w:szCs w:val="16"/>
              </w:rPr>
            </w:pPr>
            <w:r w:rsidRPr="00886ABA">
              <w:rPr>
                <w:rFonts w:ascii="Arial" w:hAnsi="Arial" w:cs="Arial"/>
                <w:sz w:val="16"/>
                <w:szCs w:val="16"/>
              </w:rPr>
              <w:t>-2.816</w:t>
            </w:r>
          </w:p>
        </w:tc>
        <w:tc>
          <w:tcPr>
            <w:tcW w:w="1134" w:type="dxa"/>
            <w:tcBorders>
              <w:top w:val="nil"/>
              <w:left w:val="nil"/>
              <w:bottom w:val="single" w:sz="4" w:space="0" w:color="auto"/>
              <w:right w:val="single" w:sz="4" w:space="0" w:color="auto"/>
            </w:tcBorders>
            <w:shd w:val="clear" w:color="auto" w:fill="auto"/>
            <w:noWrap/>
            <w:vAlign w:val="bottom"/>
            <w:hideMark/>
          </w:tcPr>
          <w:p w14:paraId="7451776E" w14:textId="5C4BB5A0" w:rsidR="00BA29F2" w:rsidRPr="00701F32" w:rsidRDefault="00BA29F2" w:rsidP="001A3619">
            <w:pPr>
              <w:jc w:val="right"/>
              <w:rPr>
                <w:rFonts w:ascii="Arial" w:hAnsi="Arial" w:cs="Arial"/>
                <w:b/>
                <w:sz w:val="16"/>
                <w:szCs w:val="16"/>
              </w:rPr>
            </w:pPr>
            <w:r w:rsidRPr="00886ABA">
              <w:rPr>
                <w:rFonts w:ascii="Arial" w:hAnsi="Arial" w:cs="Arial"/>
                <w:sz w:val="16"/>
                <w:szCs w:val="16"/>
              </w:rPr>
              <w:t>-1.443.316</w:t>
            </w:r>
          </w:p>
        </w:tc>
        <w:tc>
          <w:tcPr>
            <w:tcW w:w="1276" w:type="dxa"/>
            <w:tcBorders>
              <w:top w:val="nil"/>
              <w:left w:val="nil"/>
              <w:bottom w:val="single" w:sz="4" w:space="0" w:color="auto"/>
              <w:right w:val="single" w:sz="4" w:space="0" w:color="auto"/>
            </w:tcBorders>
            <w:shd w:val="clear" w:color="auto" w:fill="auto"/>
            <w:noWrap/>
            <w:vAlign w:val="bottom"/>
            <w:hideMark/>
          </w:tcPr>
          <w:p w14:paraId="745F9F68" w14:textId="55B47C60" w:rsidR="00BA29F2" w:rsidRPr="00701F32" w:rsidRDefault="00BA29F2" w:rsidP="001A3619">
            <w:pPr>
              <w:jc w:val="right"/>
              <w:rPr>
                <w:rFonts w:ascii="Arial" w:hAnsi="Arial" w:cs="Arial"/>
                <w:b/>
                <w:sz w:val="16"/>
                <w:szCs w:val="16"/>
              </w:rPr>
            </w:pPr>
            <w:r w:rsidRPr="00886ABA">
              <w:rPr>
                <w:rFonts w:ascii="Arial" w:hAnsi="Arial" w:cs="Arial"/>
                <w:sz w:val="16"/>
                <w:szCs w:val="16"/>
              </w:rPr>
              <w:t>-9.659.345</w:t>
            </w:r>
          </w:p>
        </w:tc>
        <w:tc>
          <w:tcPr>
            <w:tcW w:w="992" w:type="dxa"/>
            <w:tcBorders>
              <w:top w:val="nil"/>
              <w:left w:val="nil"/>
              <w:bottom w:val="single" w:sz="4" w:space="0" w:color="auto"/>
              <w:right w:val="single" w:sz="4" w:space="0" w:color="auto"/>
            </w:tcBorders>
            <w:shd w:val="clear" w:color="auto" w:fill="auto"/>
            <w:noWrap/>
            <w:vAlign w:val="bottom"/>
            <w:hideMark/>
          </w:tcPr>
          <w:p w14:paraId="13736114" w14:textId="0FD9E7C4" w:rsidR="00BA29F2" w:rsidRPr="00701F32" w:rsidRDefault="00BA29F2" w:rsidP="001A3619">
            <w:pPr>
              <w:jc w:val="right"/>
              <w:rPr>
                <w:rFonts w:ascii="Arial" w:hAnsi="Arial" w:cs="Arial"/>
                <w:b/>
                <w:sz w:val="16"/>
                <w:szCs w:val="16"/>
              </w:rPr>
            </w:pPr>
            <w:r w:rsidRPr="00886ABA">
              <w:rPr>
                <w:rFonts w:ascii="Arial" w:hAnsi="Arial" w:cs="Arial"/>
                <w:sz w:val="16"/>
                <w:szCs w:val="16"/>
              </w:rPr>
              <w:t>-</w:t>
            </w:r>
          </w:p>
        </w:tc>
        <w:tc>
          <w:tcPr>
            <w:tcW w:w="1559" w:type="dxa"/>
            <w:tcBorders>
              <w:top w:val="nil"/>
              <w:left w:val="nil"/>
              <w:bottom w:val="single" w:sz="4" w:space="0" w:color="auto"/>
              <w:right w:val="single" w:sz="4" w:space="0" w:color="auto"/>
            </w:tcBorders>
            <w:shd w:val="clear" w:color="auto" w:fill="auto"/>
            <w:noWrap/>
            <w:vAlign w:val="bottom"/>
            <w:hideMark/>
          </w:tcPr>
          <w:p w14:paraId="4C5FFF53" w14:textId="61443ED3" w:rsidR="00BA29F2" w:rsidRPr="00701F32" w:rsidRDefault="00BA29F2" w:rsidP="001A3619">
            <w:pPr>
              <w:jc w:val="right"/>
              <w:rPr>
                <w:rFonts w:ascii="Arial" w:hAnsi="Arial" w:cs="Arial"/>
                <w:b/>
                <w:sz w:val="16"/>
                <w:szCs w:val="16"/>
              </w:rPr>
            </w:pPr>
            <w:r w:rsidRPr="00886ABA">
              <w:rPr>
                <w:rFonts w:ascii="Arial" w:hAnsi="Arial" w:cs="Arial"/>
                <w:sz w:val="16"/>
                <w:szCs w:val="16"/>
              </w:rPr>
              <w:t>-</w:t>
            </w:r>
          </w:p>
        </w:tc>
        <w:tc>
          <w:tcPr>
            <w:tcW w:w="1084" w:type="dxa"/>
            <w:tcBorders>
              <w:top w:val="nil"/>
              <w:left w:val="nil"/>
              <w:bottom w:val="single" w:sz="4" w:space="0" w:color="auto"/>
              <w:right w:val="single" w:sz="4" w:space="0" w:color="auto"/>
            </w:tcBorders>
            <w:shd w:val="clear" w:color="auto" w:fill="auto"/>
            <w:noWrap/>
            <w:vAlign w:val="bottom"/>
            <w:hideMark/>
          </w:tcPr>
          <w:p w14:paraId="19D302CC" w14:textId="16CB1570" w:rsidR="00BA29F2" w:rsidRPr="00701F32" w:rsidRDefault="00BA29F2" w:rsidP="001A3619">
            <w:pPr>
              <w:jc w:val="right"/>
              <w:rPr>
                <w:rFonts w:ascii="Arial" w:hAnsi="Arial" w:cs="Arial"/>
                <w:bCs/>
                <w:sz w:val="16"/>
                <w:szCs w:val="16"/>
                <w:lang w:eastAsia="es-AR"/>
              </w:rPr>
            </w:pPr>
            <w:r w:rsidRPr="00886ABA">
              <w:rPr>
                <w:rFonts w:ascii="Arial" w:hAnsi="Arial" w:cs="Arial"/>
                <w:sz w:val="16"/>
                <w:szCs w:val="16"/>
              </w:rPr>
              <w:t>-11.105.477</w:t>
            </w:r>
          </w:p>
        </w:tc>
      </w:tr>
      <w:tr w:rsidR="005379A3" w:rsidRPr="00701F32" w14:paraId="0D7C8DF4" w14:textId="77777777" w:rsidTr="006E1AF7">
        <w:tc>
          <w:tcPr>
            <w:tcW w:w="2978" w:type="dxa"/>
            <w:tcBorders>
              <w:top w:val="nil"/>
              <w:left w:val="single" w:sz="4" w:space="0" w:color="auto"/>
              <w:bottom w:val="single" w:sz="4" w:space="0" w:color="auto"/>
              <w:right w:val="single" w:sz="4" w:space="0" w:color="auto"/>
            </w:tcBorders>
            <w:shd w:val="clear" w:color="auto" w:fill="auto"/>
            <w:hideMark/>
          </w:tcPr>
          <w:p w14:paraId="76F4847C" w14:textId="77777777" w:rsidR="00BA29F2" w:rsidRPr="00701F32" w:rsidRDefault="00BA29F2" w:rsidP="00BA29F2">
            <w:pPr>
              <w:rPr>
                <w:rFonts w:ascii="Arial" w:hAnsi="Arial" w:cs="Arial"/>
                <w:color w:val="000000"/>
                <w:sz w:val="16"/>
                <w:szCs w:val="16"/>
                <w:lang w:eastAsia="es-AR"/>
              </w:rPr>
            </w:pPr>
            <w:r w:rsidRPr="00701F32">
              <w:rPr>
                <w:rFonts w:ascii="Arial" w:hAnsi="Arial" w:cs="Arial"/>
                <w:color w:val="000000"/>
                <w:sz w:val="16"/>
                <w:szCs w:val="16"/>
                <w:lang w:eastAsia="es-AR"/>
              </w:rPr>
              <w:t xml:space="preserve">   Sector financiero</w:t>
            </w:r>
          </w:p>
        </w:tc>
        <w:tc>
          <w:tcPr>
            <w:tcW w:w="1134" w:type="dxa"/>
            <w:tcBorders>
              <w:top w:val="nil"/>
              <w:left w:val="nil"/>
              <w:bottom w:val="single" w:sz="4" w:space="0" w:color="auto"/>
              <w:right w:val="single" w:sz="4" w:space="0" w:color="auto"/>
            </w:tcBorders>
            <w:shd w:val="clear" w:color="auto" w:fill="auto"/>
            <w:noWrap/>
            <w:vAlign w:val="bottom"/>
            <w:hideMark/>
          </w:tcPr>
          <w:p w14:paraId="1D8B7792" w14:textId="57EE5A58" w:rsidR="00BA29F2" w:rsidRPr="00701F32" w:rsidRDefault="00BA29F2" w:rsidP="001A3619">
            <w:pPr>
              <w:jc w:val="right"/>
              <w:rPr>
                <w:rFonts w:ascii="Arial" w:hAnsi="Arial" w:cs="Arial"/>
                <w:b/>
                <w:sz w:val="16"/>
                <w:szCs w:val="16"/>
              </w:rPr>
            </w:pPr>
            <w:r w:rsidRPr="00886ABA">
              <w:rPr>
                <w:rFonts w:ascii="Arial" w:hAnsi="Arial" w:cs="Arial"/>
                <w:sz w:val="16"/>
                <w:szCs w:val="16"/>
              </w:rPr>
              <w:t>-33.046</w:t>
            </w:r>
          </w:p>
        </w:tc>
        <w:tc>
          <w:tcPr>
            <w:tcW w:w="1134" w:type="dxa"/>
            <w:tcBorders>
              <w:top w:val="nil"/>
              <w:left w:val="nil"/>
              <w:bottom w:val="single" w:sz="4" w:space="0" w:color="auto"/>
              <w:right w:val="single" w:sz="4" w:space="0" w:color="auto"/>
            </w:tcBorders>
            <w:shd w:val="clear" w:color="auto" w:fill="auto"/>
            <w:noWrap/>
            <w:vAlign w:val="bottom"/>
            <w:hideMark/>
          </w:tcPr>
          <w:p w14:paraId="0A76CC85" w14:textId="7E1431C0" w:rsidR="00BA29F2" w:rsidRPr="00701F32" w:rsidRDefault="00BA29F2" w:rsidP="001A3619">
            <w:pPr>
              <w:jc w:val="right"/>
              <w:rPr>
                <w:rFonts w:ascii="Arial" w:hAnsi="Arial" w:cs="Arial"/>
                <w:b/>
                <w:sz w:val="16"/>
                <w:szCs w:val="16"/>
              </w:rPr>
            </w:pPr>
            <w:r w:rsidRPr="00886ABA">
              <w:rPr>
                <w:rFonts w:ascii="Arial" w:hAnsi="Arial" w:cs="Arial"/>
                <w:sz w:val="16"/>
                <w:szCs w:val="16"/>
              </w:rPr>
              <w:t>-</w:t>
            </w:r>
          </w:p>
        </w:tc>
        <w:tc>
          <w:tcPr>
            <w:tcW w:w="1276" w:type="dxa"/>
            <w:tcBorders>
              <w:top w:val="nil"/>
              <w:left w:val="nil"/>
              <w:bottom w:val="single" w:sz="4" w:space="0" w:color="auto"/>
              <w:right w:val="single" w:sz="4" w:space="0" w:color="auto"/>
            </w:tcBorders>
            <w:shd w:val="clear" w:color="auto" w:fill="auto"/>
            <w:noWrap/>
            <w:vAlign w:val="bottom"/>
            <w:hideMark/>
          </w:tcPr>
          <w:p w14:paraId="0A90D1CD" w14:textId="1FE8C04E" w:rsidR="00BA29F2" w:rsidRPr="00701F32" w:rsidRDefault="00BA29F2" w:rsidP="001A3619">
            <w:pPr>
              <w:jc w:val="right"/>
              <w:rPr>
                <w:rFonts w:ascii="Arial" w:hAnsi="Arial" w:cs="Arial"/>
                <w:b/>
                <w:sz w:val="16"/>
                <w:szCs w:val="16"/>
              </w:rPr>
            </w:pPr>
            <w:r w:rsidRPr="00886ABA">
              <w:rPr>
                <w:rFonts w:ascii="Arial" w:hAnsi="Arial" w:cs="Arial"/>
                <w:sz w:val="16"/>
                <w:szCs w:val="16"/>
              </w:rPr>
              <w:t>-53</w:t>
            </w:r>
          </w:p>
        </w:tc>
        <w:tc>
          <w:tcPr>
            <w:tcW w:w="992" w:type="dxa"/>
            <w:tcBorders>
              <w:top w:val="nil"/>
              <w:left w:val="nil"/>
              <w:bottom w:val="single" w:sz="4" w:space="0" w:color="auto"/>
              <w:right w:val="single" w:sz="4" w:space="0" w:color="auto"/>
            </w:tcBorders>
            <w:shd w:val="clear" w:color="auto" w:fill="auto"/>
            <w:noWrap/>
            <w:vAlign w:val="bottom"/>
            <w:hideMark/>
          </w:tcPr>
          <w:p w14:paraId="70CD63E3" w14:textId="3951E508" w:rsidR="00BA29F2" w:rsidRPr="00701F32" w:rsidRDefault="00BA29F2" w:rsidP="001A3619">
            <w:pPr>
              <w:jc w:val="right"/>
              <w:rPr>
                <w:rFonts w:ascii="Arial" w:hAnsi="Arial" w:cs="Arial"/>
                <w:b/>
                <w:sz w:val="16"/>
                <w:szCs w:val="16"/>
              </w:rPr>
            </w:pPr>
            <w:r w:rsidRPr="00886ABA">
              <w:rPr>
                <w:rFonts w:ascii="Arial" w:hAnsi="Arial" w:cs="Arial"/>
                <w:sz w:val="16"/>
                <w:szCs w:val="16"/>
              </w:rPr>
              <w:t>-</w:t>
            </w:r>
          </w:p>
        </w:tc>
        <w:tc>
          <w:tcPr>
            <w:tcW w:w="1559" w:type="dxa"/>
            <w:tcBorders>
              <w:top w:val="nil"/>
              <w:left w:val="nil"/>
              <w:bottom w:val="single" w:sz="4" w:space="0" w:color="auto"/>
              <w:right w:val="single" w:sz="4" w:space="0" w:color="auto"/>
            </w:tcBorders>
            <w:shd w:val="clear" w:color="auto" w:fill="auto"/>
            <w:noWrap/>
            <w:vAlign w:val="bottom"/>
            <w:hideMark/>
          </w:tcPr>
          <w:p w14:paraId="127DE112" w14:textId="5624C8AC" w:rsidR="00BA29F2" w:rsidRPr="00701F32" w:rsidRDefault="00BA29F2" w:rsidP="001A3619">
            <w:pPr>
              <w:jc w:val="right"/>
              <w:rPr>
                <w:rFonts w:ascii="Arial" w:hAnsi="Arial" w:cs="Arial"/>
                <w:b/>
                <w:sz w:val="16"/>
                <w:szCs w:val="16"/>
              </w:rPr>
            </w:pPr>
            <w:r w:rsidRPr="00886ABA">
              <w:rPr>
                <w:rFonts w:ascii="Arial" w:hAnsi="Arial" w:cs="Arial"/>
                <w:sz w:val="16"/>
                <w:szCs w:val="16"/>
              </w:rPr>
              <w:t>7.863</w:t>
            </w:r>
          </w:p>
        </w:tc>
        <w:tc>
          <w:tcPr>
            <w:tcW w:w="1084" w:type="dxa"/>
            <w:tcBorders>
              <w:top w:val="nil"/>
              <w:left w:val="nil"/>
              <w:bottom w:val="single" w:sz="4" w:space="0" w:color="auto"/>
              <w:right w:val="single" w:sz="4" w:space="0" w:color="auto"/>
            </w:tcBorders>
            <w:shd w:val="clear" w:color="auto" w:fill="auto"/>
            <w:noWrap/>
            <w:vAlign w:val="bottom"/>
            <w:hideMark/>
          </w:tcPr>
          <w:p w14:paraId="02302EB5" w14:textId="3725416B" w:rsidR="00BA29F2" w:rsidRPr="00701F32" w:rsidRDefault="00BA29F2" w:rsidP="001A3619">
            <w:pPr>
              <w:jc w:val="right"/>
              <w:rPr>
                <w:rFonts w:ascii="Arial" w:hAnsi="Arial" w:cs="Arial"/>
                <w:bCs/>
                <w:sz w:val="16"/>
                <w:szCs w:val="16"/>
                <w:lang w:eastAsia="es-AR"/>
              </w:rPr>
            </w:pPr>
            <w:r w:rsidRPr="00886ABA">
              <w:rPr>
                <w:rFonts w:ascii="Arial" w:hAnsi="Arial" w:cs="Arial"/>
                <w:sz w:val="16"/>
                <w:szCs w:val="16"/>
              </w:rPr>
              <w:t>-25.236</w:t>
            </w:r>
          </w:p>
        </w:tc>
      </w:tr>
      <w:tr w:rsidR="005379A3" w:rsidRPr="00701F32" w14:paraId="27158403" w14:textId="77777777" w:rsidTr="006E1AF7">
        <w:tc>
          <w:tcPr>
            <w:tcW w:w="2978" w:type="dxa"/>
            <w:tcBorders>
              <w:top w:val="nil"/>
              <w:left w:val="single" w:sz="4" w:space="0" w:color="auto"/>
              <w:bottom w:val="single" w:sz="4" w:space="0" w:color="auto"/>
              <w:right w:val="single" w:sz="4" w:space="0" w:color="auto"/>
            </w:tcBorders>
            <w:shd w:val="clear" w:color="auto" w:fill="auto"/>
            <w:noWrap/>
            <w:hideMark/>
          </w:tcPr>
          <w:p w14:paraId="7E5E85F5" w14:textId="26CD556C" w:rsidR="00BA29F2" w:rsidRPr="00701F32" w:rsidRDefault="00BA29F2" w:rsidP="00BA29F2">
            <w:pPr>
              <w:ind w:left="72" w:hanging="72"/>
              <w:rPr>
                <w:rFonts w:ascii="Arial" w:hAnsi="Arial" w:cs="Arial"/>
                <w:color w:val="000000"/>
                <w:sz w:val="16"/>
                <w:szCs w:val="16"/>
                <w:lang w:eastAsia="es-AR"/>
              </w:rPr>
            </w:pPr>
            <w:r w:rsidRPr="00701F32">
              <w:rPr>
                <w:rFonts w:ascii="Arial" w:hAnsi="Arial" w:cs="Arial"/>
                <w:color w:val="000000"/>
                <w:sz w:val="16"/>
                <w:szCs w:val="16"/>
                <w:lang w:eastAsia="es-AR"/>
              </w:rPr>
              <w:t xml:space="preserve">   Sector privado no financiero y residentes en el exterior</w:t>
            </w:r>
          </w:p>
        </w:tc>
        <w:tc>
          <w:tcPr>
            <w:tcW w:w="1134" w:type="dxa"/>
            <w:tcBorders>
              <w:top w:val="nil"/>
              <w:left w:val="nil"/>
              <w:bottom w:val="single" w:sz="4" w:space="0" w:color="auto"/>
              <w:right w:val="single" w:sz="4" w:space="0" w:color="auto"/>
            </w:tcBorders>
            <w:shd w:val="clear" w:color="auto" w:fill="auto"/>
            <w:noWrap/>
            <w:vAlign w:val="bottom"/>
            <w:hideMark/>
          </w:tcPr>
          <w:p w14:paraId="0B460151" w14:textId="0A77DA68" w:rsidR="00BA29F2" w:rsidRPr="00701F32" w:rsidRDefault="00BA29F2" w:rsidP="001A3619">
            <w:pPr>
              <w:jc w:val="right"/>
              <w:rPr>
                <w:rFonts w:ascii="Arial" w:hAnsi="Arial" w:cs="Arial"/>
                <w:b/>
                <w:sz w:val="16"/>
                <w:szCs w:val="16"/>
              </w:rPr>
            </w:pPr>
            <w:r w:rsidRPr="00886ABA">
              <w:rPr>
                <w:rFonts w:ascii="Arial" w:hAnsi="Arial" w:cs="Arial"/>
                <w:sz w:val="16"/>
                <w:szCs w:val="16"/>
              </w:rPr>
              <w:t>-9.385.077</w:t>
            </w:r>
          </w:p>
        </w:tc>
        <w:tc>
          <w:tcPr>
            <w:tcW w:w="1134" w:type="dxa"/>
            <w:tcBorders>
              <w:top w:val="nil"/>
              <w:left w:val="nil"/>
              <w:bottom w:val="single" w:sz="4" w:space="0" w:color="auto"/>
              <w:right w:val="single" w:sz="4" w:space="0" w:color="auto"/>
            </w:tcBorders>
            <w:shd w:val="clear" w:color="auto" w:fill="auto"/>
            <w:noWrap/>
            <w:vAlign w:val="bottom"/>
            <w:hideMark/>
          </w:tcPr>
          <w:p w14:paraId="17AD36E7" w14:textId="7F53DAC2" w:rsidR="00BA29F2" w:rsidRPr="00701F32" w:rsidRDefault="00BA29F2" w:rsidP="001A3619">
            <w:pPr>
              <w:jc w:val="right"/>
              <w:rPr>
                <w:rFonts w:ascii="Arial" w:hAnsi="Arial" w:cs="Arial"/>
                <w:b/>
                <w:sz w:val="16"/>
                <w:szCs w:val="16"/>
              </w:rPr>
            </w:pPr>
            <w:r w:rsidRPr="00886ABA">
              <w:rPr>
                <w:rFonts w:ascii="Arial" w:hAnsi="Arial" w:cs="Arial"/>
                <w:sz w:val="16"/>
                <w:szCs w:val="16"/>
              </w:rPr>
              <w:t>-50.254.439</w:t>
            </w:r>
          </w:p>
        </w:tc>
        <w:tc>
          <w:tcPr>
            <w:tcW w:w="1276" w:type="dxa"/>
            <w:tcBorders>
              <w:top w:val="nil"/>
              <w:left w:val="nil"/>
              <w:bottom w:val="single" w:sz="4" w:space="0" w:color="auto"/>
              <w:right w:val="single" w:sz="4" w:space="0" w:color="auto"/>
            </w:tcBorders>
            <w:shd w:val="clear" w:color="auto" w:fill="auto"/>
            <w:noWrap/>
            <w:vAlign w:val="bottom"/>
            <w:hideMark/>
          </w:tcPr>
          <w:p w14:paraId="6B1FF16A" w14:textId="40F1A15E" w:rsidR="00BA29F2" w:rsidRPr="00701F32" w:rsidRDefault="00BA29F2" w:rsidP="001A3619">
            <w:pPr>
              <w:jc w:val="right"/>
              <w:rPr>
                <w:rFonts w:ascii="Arial" w:hAnsi="Arial" w:cs="Arial"/>
                <w:b/>
                <w:sz w:val="16"/>
                <w:szCs w:val="16"/>
              </w:rPr>
            </w:pPr>
            <w:r w:rsidRPr="00886ABA">
              <w:rPr>
                <w:rFonts w:ascii="Arial" w:hAnsi="Arial" w:cs="Arial"/>
                <w:sz w:val="16"/>
                <w:szCs w:val="16"/>
              </w:rPr>
              <w:t>-23.246.986</w:t>
            </w:r>
          </w:p>
        </w:tc>
        <w:tc>
          <w:tcPr>
            <w:tcW w:w="992" w:type="dxa"/>
            <w:tcBorders>
              <w:top w:val="nil"/>
              <w:left w:val="nil"/>
              <w:bottom w:val="single" w:sz="4" w:space="0" w:color="auto"/>
              <w:right w:val="single" w:sz="4" w:space="0" w:color="auto"/>
            </w:tcBorders>
            <w:shd w:val="clear" w:color="auto" w:fill="auto"/>
            <w:noWrap/>
            <w:vAlign w:val="bottom"/>
            <w:hideMark/>
          </w:tcPr>
          <w:p w14:paraId="437D63DF" w14:textId="7246ABE2" w:rsidR="00BA29F2" w:rsidRPr="00701F32" w:rsidRDefault="00BA29F2" w:rsidP="001A3619">
            <w:pPr>
              <w:jc w:val="right"/>
              <w:rPr>
                <w:rFonts w:ascii="Arial" w:hAnsi="Arial" w:cs="Arial"/>
                <w:b/>
                <w:sz w:val="16"/>
                <w:szCs w:val="16"/>
              </w:rPr>
            </w:pPr>
            <w:r w:rsidRPr="00886ABA">
              <w:rPr>
                <w:rFonts w:ascii="Arial" w:hAnsi="Arial" w:cs="Arial"/>
                <w:sz w:val="16"/>
                <w:szCs w:val="16"/>
              </w:rPr>
              <w:t>-1.667.995</w:t>
            </w:r>
          </w:p>
        </w:tc>
        <w:tc>
          <w:tcPr>
            <w:tcW w:w="1559" w:type="dxa"/>
            <w:tcBorders>
              <w:top w:val="nil"/>
              <w:left w:val="nil"/>
              <w:bottom w:val="single" w:sz="4" w:space="0" w:color="auto"/>
              <w:right w:val="single" w:sz="4" w:space="0" w:color="auto"/>
            </w:tcBorders>
            <w:shd w:val="clear" w:color="auto" w:fill="auto"/>
            <w:noWrap/>
            <w:vAlign w:val="bottom"/>
            <w:hideMark/>
          </w:tcPr>
          <w:p w14:paraId="3C6D3F4C" w14:textId="69F6D4B4" w:rsidR="00BA29F2" w:rsidRPr="00701F32" w:rsidRDefault="00BA29F2" w:rsidP="001A3619">
            <w:pPr>
              <w:jc w:val="right"/>
              <w:rPr>
                <w:rFonts w:ascii="Arial" w:hAnsi="Arial" w:cs="Arial"/>
                <w:b/>
                <w:sz w:val="16"/>
                <w:szCs w:val="16"/>
              </w:rPr>
            </w:pPr>
            <w:r w:rsidRPr="00886ABA">
              <w:rPr>
                <w:rFonts w:ascii="Arial" w:hAnsi="Arial" w:cs="Arial"/>
                <w:sz w:val="16"/>
                <w:szCs w:val="16"/>
              </w:rPr>
              <w:t>18.739</w:t>
            </w:r>
          </w:p>
        </w:tc>
        <w:tc>
          <w:tcPr>
            <w:tcW w:w="1084" w:type="dxa"/>
            <w:tcBorders>
              <w:top w:val="nil"/>
              <w:left w:val="nil"/>
              <w:bottom w:val="single" w:sz="4" w:space="0" w:color="auto"/>
              <w:right w:val="single" w:sz="4" w:space="0" w:color="auto"/>
            </w:tcBorders>
            <w:shd w:val="clear" w:color="auto" w:fill="auto"/>
            <w:noWrap/>
            <w:vAlign w:val="bottom"/>
            <w:hideMark/>
          </w:tcPr>
          <w:p w14:paraId="462225EB" w14:textId="01319EEC" w:rsidR="00BA29F2" w:rsidRPr="00701F32" w:rsidRDefault="00BA29F2" w:rsidP="001A3619">
            <w:pPr>
              <w:jc w:val="right"/>
              <w:rPr>
                <w:rFonts w:ascii="Arial" w:hAnsi="Arial" w:cs="Arial"/>
                <w:bCs/>
                <w:sz w:val="16"/>
                <w:szCs w:val="16"/>
                <w:lang w:eastAsia="es-AR"/>
              </w:rPr>
            </w:pPr>
            <w:r w:rsidRPr="00886ABA">
              <w:rPr>
                <w:rFonts w:ascii="Arial" w:hAnsi="Arial" w:cs="Arial"/>
                <w:sz w:val="16"/>
                <w:szCs w:val="16"/>
              </w:rPr>
              <w:t>-84.535.758</w:t>
            </w:r>
          </w:p>
        </w:tc>
      </w:tr>
      <w:tr w:rsidR="005379A3" w:rsidRPr="00701F32" w14:paraId="0EF1DDD0" w14:textId="77777777" w:rsidTr="006E1AF7">
        <w:tc>
          <w:tcPr>
            <w:tcW w:w="2978" w:type="dxa"/>
            <w:tcBorders>
              <w:top w:val="nil"/>
              <w:left w:val="single" w:sz="4" w:space="0" w:color="auto"/>
              <w:bottom w:val="single" w:sz="4" w:space="0" w:color="auto"/>
              <w:right w:val="single" w:sz="4" w:space="0" w:color="auto"/>
            </w:tcBorders>
            <w:shd w:val="clear" w:color="auto" w:fill="auto"/>
            <w:noWrap/>
            <w:vAlign w:val="bottom"/>
            <w:hideMark/>
          </w:tcPr>
          <w:p w14:paraId="7F76202F" w14:textId="77777777" w:rsidR="00BA29F2" w:rsidRPr="00701F32" w:rsidRDefault="00BA29F2" w:rsidP="00BA29F2">
            <w:pPr>
              <w:rPr>
                <w:rFonts w:ascii="Arial" w:hAnsi="Arial" w:cs="Arial"/>
                <w:b/>
                <w:bCs/>
                <w:sz w:val="16"/>
                <w:szCs w:val="16"/>
                <w:lang w:eastAsia="es-AR"/>
              </w:rPr>
            </w:pPr>
            <w:r w:rsidRPr="00701F32">
              <w:rPr>
                <w:rFonts w:ascii="Arial" w:hAnsi="Arial" w:cs="Arial"/>
                <w:b/>
                <w:bCs/>
                <w:sz w:val="16"/>
                <w:szCs w:val="16"/>
                <w:lang w:eastAsia="es-AR"/>
              </w:rPr>
              <w:t>Pasivos a valor razonable con cambios en resultados</w:t>
            </w:r>
          </w:p>
        </w:tc>
        <w:tc>
          <w:tcPr>
            <w:tcW w:w="1134" w:type="dxa"/>
            <w:tcBorders>
              <w:top w:val="nil"/>
              <w:left w:val="nil"/>
              <w:bottom w:val="single" w:sz="4" w:space="0" w:color="auto"/>
              <w:right w:val="single" w:sz="4" w:space="0" w:color="auto"/>
            </w:tcBorders>
            <w:shd w:val="clear" w:color="auto" w:fill="auto"/>
            <w:noWrap/>
            <w:vAlign w:val="bottom"/>
            <w:hideMark/>
          </w:tcPr>
          <w:p w14:paraId="71BD94A5" w14:textId="0EE6243D" w:rsidR="00BA29F2" w:rsidRPr="00701F32" w:rsidRDefault="00BA29F2" w:rsidP="001A3619">
            <w:pPr>
              <w:jc w:val="right"/>
              <w:rPr>
                <w:rFonts w:ascii="Arial" w:hAnsi="Arial" w:cs="Arial"/>
                <w:b/>
                <w:sz w:val="16"/>
                <w:szCs w:val="16"/>
              </w:rPr>
            </w:pPr>
            <w:r w:rsidRPr="00886ABA">
              <w:rPr>
                <w:rFonts w:ascii="Arial" w:hAnsi="Arial" w:cs="Arial"/>
                <w:b/>
                <w:sz w:val="16"/>
                <w:szCs w:val="16"/>
              </w:rPr>
              <w:t>-152.886</w:t>
            </w:r>
          </w:p>
        </w:tc>
        <w:tc>
          <w:tcPr>
            <w:tcW w:w="1134" w:type="dxa"/>
            <w:tcBorders>
              <w:top w:val="nil"/>
              <w:left w:val="nil"/>
              <w:bottom w:val="single" w:sz="4" w:space="0" w:color="auto"/>
              <w:right w:val="single" w:sz="4" w:space="0" w:color="auto"/>
            </w:tcBorders>
            <w:shd w:val="clear" w:color="auto" w:fill="auto"/>
            <w:noWrap/>
            <w:vAlign w:val="bottom"/>
            <w:hideMark/>
          </w:tcPr>
          <w:p w14:paraId="10FC7B99" w14:textId="263C29C9"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276" w:type="dxa"/>
            <w:tcBorders>
              <w:top w:val="nil"/>
              <w:left w:val="nil"/>
              <w:bottom w:val="single" w:sz="4" w:space="0" w:color="auto"/>
              <w:right w:val="single" w:sz="4" w:space="0" w:color="auto"/>
            </w:tcBorders>
            <w:shd w:val="clear" w:color="auto" w:fill="auto"/>
            <w:noWrap/>
            <w:vAlign w:val="bottom"/>
            <w:hideMark/>
          </w:tcPr>
          <w:p w14:paraId="411E6796" w14:textId="605D5B21" w:rsidR="00BA29F2" w:rsidRPr="00701F32" w:rsidRDefault="00BA29F2" w:rsidP="001A3619">
            <w:pPr>
              <w:jc w:val="right"/>
              <w:rPr>
                <w:rFonts w:ascii="Arial" w:hAnsi="Arial" w:cs="Arial"/>
                <w:b/>
                <w:sz w:val="16"/>
                <w:szCs w:val="16"/>
              </w:rPr>
            </w:pPr>
            <w:r w:rsidRPr="00886ABA">
              <w:rPr>
                <w:rFonts w:ascii="Arial" w:hAnsi="Arial" w:cs="Arial"/>
                <w:b/>
                <w:sz w:val="16"/>
                <w:szCs w:val="16"/>
              </w:rPr>
              <w:t>-460.800</w:t>
            </w:r>
          </w:p>
        </w:tc>
        <w:tc>
          <w:tcPr>
            <w:tcW w:w="992" w:type="dxa"/>
            <w:tcBorders>
              <w:top w:val="nil"/>
              <w:left w:val="nil"/>
              <w:bottom w:val="single" w:sz="4" w:space="0" w:color="auto"/>
              <w:right w:val="single" w:sz="4" w:space="0" w:color="auto"/>
            </w:tcBorders>
            <w:shd w:val="clear" w:color="auto" w:fill="auto"/>
            <w:noWrap/>
            <w:vAlign w:val="bottom"/>
            <w:hideMark/>
          </w:tcPr>
          <w:p w14:paraId="4678B883" w14:textId="0FB3C385" w:rsidR="00BA29F2" w:rsidRPr="00701F32" w:rsidRDefault="00BA29F2" w:rsidP="001A3619">
            <w:pPr>
              <w:jc w:val="right"/>
              <w:rPr>
                <w:rFonts w:ascii="Arial" w:hAnsi="Arial" w:cs="Arial"/>
                <w:b/>
                <w:sz w:val="16"/>
                <w:szCs w:val="16"/>
              </w:rPr>
            </w:pPr>
            <w:r w:rsidRPr="00886ABA">
              <w:rPr>
                <w:rFonts w:ascii="Arial" w:hAnsi="Arial" w:cs="Arial"/>
                <w:b/>
                <w:sz w:val="16"/>
                <w:szCs w:val="16"/>
              </w:rPr>
              <w:t>-483.347</w:t>
            </w:r>
          </w:p>
        </w:tc>
        <w:tc>
          <w:tcPr>
            <w:tcW w:w="1559" w:type="dxa"/>
            <w:tcBorders>
              <w:top w:val="nil"/>
              <w:left w:val="nil"/>
              <w:bottom w:val="single" w:sz="4" w:space="0" w:color="auto"/>
              <w:right w:val="single" w:sz="4" w:space="0" w:color="auto"/>
            </w:tcBorders>
            <w:shd w:val="clear" w:color="auto" w:fill="auto"/>
            <w:noWrap/>
            <w:vAlign w:val="bottom"/>
            <w:hideMark/>
          </w:tcPr>
          <w:p w14:paraId="204B5D52" w14:textId="54466998"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084" w:type="dxa"/>
            <w:tcBorders>
              <w:top w:val="nil"/>
              <w:left w:val="nil"/>
              <w:bottom w:val="single" w:sz="4" w:space="0" w:color="auto"/>
              <w:right w:val="single" w:sz="4" w:space="0" w:color="auto"/>
            </w:tcBorders>
            <w:shd w:val="clear" w:color="auto" w:fill="auto"/>
            <w:noWrap/>
            <w:vAlign w:val="bottom"/>
            <w:hideMark/>
          </w:tcPr>
          <w:p w14:paraId="0647E391" w14:textId="3D440FAD" w:rsidR="00BA29F2" w:rsidRPr="00701F32" w:rsidRDefault="00BA29F2" w:rsidP="001A3619">
            <w:pPr>
              <w:jc w:val="right"/>
              <w:rPr>
                <w:rFonts w:ascii="Arial" w:hAnsi="Arial" w:cs="Arial"/>
                <w:b/>
                <w:bCs/>
                <w:sz w:val="16"/>
                <w:szCs w:val="16"/>
                <w:lang w:eastAsia="es-AR"/>
              </w:rPr>
            </w:pPr>
            <w:r w:rsidRPr="00886ABA">
              <w:rPr>
                <w:rFonts w:ascii="Arial" w:hAnsi="Arial" w:cs="Arial"/>
                <w:b/>
                <w:sz w:val="16"/>
                <w:szCs w:val="16"/>
              </w:rPr>
              <w:t>-1.097.033</w:t>
            </w:r>
          </w:p>
        </w:tc>
      </w:tr>
      <w:tr w:rsidR="005379A3" w:rsidRPr="00701F32" w14:paraId="34307E90" w14:textId="77777777" w:rsidTr="006E1AF7">
        <w:tc>
          <w:tcPr>
            <w:tcW w:w="2978" w:type="dxa"/>
            <w:tcBorders>
              <w:top w:val="nil"/>
              <w:left w:val="single" w:sz="4" w:space="0" w:color="auto"/>
              <w:bottom w:val="single" w:sz="4" w:space="0" w:color="auto"/>
              <w:right w:val="single" w:sz="4" w:space="0" w:color="auto"/>
            </w:tcBorders>
            <w:shd w:val="clear" w:color="auto" w:fill="auto"/>
            <w:vAlign w:val="bottom"/>
            <w:hideMark/>
          </w:tcPr>
          <w:p w14:paraId="6FD72783" w14:textId="77777777" w:rsidR="00BA29F2" w:rsidRPr="00701F32" w:rsidRDefault="00BA29F2" w:rsidP="00BA29F2">
            <w:pPr>
              <w:rPr>
                <w:rFonts w:ascii="Arial" w:hAnsi="Arial" w:cs="Arial"/>
                <w:b/>
                <w:bCs/>
                <w:sz w:val="16"/>
                <w:szCs w:val="16"/>
                <w:lang w:eastAsia="es-AR"/>
              </w:rPr>
            </w:pPr>
            <w:r w:rsidRPr="00701F32">
              <w:rPr>
                <w:rFonts w:ascii="Arial" w:hAnsi="Arial" w:cs="Arial"/>
                <w:b/>
                <w:bCs/>
                <w:sz w:val="16"/>
                <w:szCs w:val="16"/>
                <w:lang w:eastAsia="es-AR"/>
              </w:rPr>
              <w:t>Instrumentos derivados</w:t>
            </w:r>
          </w:p>
        </w:tc>
        <w:tc>
          <w:tcPr>
            <w:tcW w:w="1134" w:type="dxa"/>
            <w:tcBorders>
              <w:top w:val="nil"/>
              <w:left w:val="nil"/>
              <w:bottom w:val="single" w:sz="4" w:space="0" w:color="auto"/>
              <w:right w:val="single" w:sz="4" w:space="0" w:color="auto"/>
            </w:tcBorders>
            <w:shd w:val="clear" w:color="auto" w:fill="auto"/>
            <w:noWrap/>
            <w:vAlign w:val="bottom"/>
            <w:hideMark/>
          </w:tcPr>
          <w:p w14:paraId="2C13BA36" w14:textId="42A2B7F0"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134" w:type="dxa"/>
            <w:tcBorders>
              <w:top w:val="nil"/>
              <w:left w:val="nil"/>
              <w:bottom w:val="single" w:sz="4" w:space="0" w:color="auto"/>
              <w:right w:val="single" w:sz="4" w:space="0" w:color="auto"/>
            </w:tcBorders>
            <w:shd w:val="clear" w:color="auto" w:fill="auto"/>
            <w:noWrap/>
            <w:vAlign w:val="bottom"/>
            <w:hideMark/>
          </w:tcPr>
          <w:p w14:paraId="0BDB7992" w14:textId="38DFE0DE"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276" w:type="dxa"/>
            <w:tcBorders>
              <w:top w:val="nil"/>
              <w:left w:val="nil"/>
              <w:bottom w:val="single" w:sz="4" w:space="0" w:color="auto"/>
              <w:right w:val="single" w:sz="4" w:space="0" w:color="auto"/>
            </w:tcBorders>
            <w:shd w:val="clear" w:color="auto" w:fill="auto"/>
            <w:noWrap/>
            <w:vAlign w:val="bottom"/>
            <w:hideMark/>
          </w:tcPr>
          <w:p w14:paraId="7DD3823E" w14:textId="631F5738" w:rsidR="00BA29F2" w:rsidRPr="00701F32" w:rsidRDefault="00BA29F2" w:rsidP="001A3619">
            <w:pPr>
              <w:jc w:val="right"/>
              <w:rPr>
                <w:rFonts w:ascii="Arial" w:hAnsi="Arial" w:cs="Arial"/>
                <w:b/>
                <w:sz w:val="16"/>
                <w:szCs w:val="16"/>
              </w:rPr>
            </w:pPr>
            <w:r w:rsidRPr="00886ABA">
              <w:rPr>
                <w:rFonts w:ascii="Arial" w:hAnsi="Arial" w:cs="Arial"/>
                <w:b/>
                <w:sz w:val="16"/>
                <w:szCs w:val="16"/>
              </w:rPr>
              <w:t>-94.222</w:t>
            </w:r>
          </w:p>
        </w:tc>
        <w:tc>
          <w:tcPr>
            <w:tcW w:w="992" w:type="dxa"/>
            <w:tcBorders>
              <w:top w:val="nil"/>
              <w:left w:val="nil"/>
              <w:bottom w:val="single" w:sz="4" w:space="0" w:color="auto"/>
              <w:right w:val="single" w:sz="4" w:space="0" w:color="auto"/>
            </w:tcBorders>
            <w:shd w:val="clear" w:color="auto" w:fill="auto"/>
            <w:noWrap/>
            <w:vAlign w:val="bottom"/>
            <w:hideMark/>
          </w:tcPr>
          <w:p w14:paraId="36388B2C" w14:textId="7B4E154B"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559" w:type="dxa"/>
            <w:tcBorders>
              <w:top w:val="nil"/>
              <w:left w:val="nil"/>
              <w:bottom w:val="single" w:sz="4" w:space="0" w:color="auto"/>
              <w:right w:val="single" w:sz="4" w:space="0" w:color="auto"/>
            </w:tcBorders>
            <w:shd w:val="clear" w:color="auto" w:fill="auto"/>
            <w:noWrap/>
            <w:vAlign w:val="bottom"/>
            <w:hideMark/>
          </w:tcPr>
          <w:p w14:paraId="323FDA32" w14:textId="29151E34"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084" w:type="dxa"/>
            <w:tcBorders>
              <w:top w:val="nil"/>
              <w:left w:val="nil"/>
              <w:bottom w:val="single" w:sz="4" w:space="0" w:color="auto"/>
              <w:right w:val="single" w:sz="4" w:space="0" w:color="auto"/>
            </w:tcBorders>
            <w:shd w:val="clear" w:color="auto" w:fill="auto"/>
            <w:noWrap/>
            <w:vAlign w:val="bottom"/>
            <w:hideMark/>
          </w:tcPr>
          <w:p w14:paraId="56A28761" w14:textId="3A8D52B2" w:rsidR="00BA29F2" w:rsidRPr="00701F32" w:rsidRDefault="00BA29F2" w:rsidP="001A3619">
            <w:pPr>
              <w:jc w:val="right"/>
              <w:rPr>
                <w:rFonts w:ascii="Arial" w:hAnsi="Arial" w:cs="Arial"/>
                <w:b/>
                <w:bCs/>
                <w:sz w:val="16"/>
                <w:szCs w:val="16"/>
                <w:lang w:eastAsia="es-AR"/>
              </w:rPr>
            </w:pPr>
            <w:r w:rsidRPr="00886ABA">
              <w:rPr>
                <w:rFonts w:ascii="Arial" w:hAnsi="Arial" w:cs="Arial"/>
                <w:b/>
                <w:sz w:val="16"/>
                <w:szCs w:val="16"/>
              </w:rPr>
              <w:t>-94.222</w:t>
            </w:r>
          </w:p>
        </w:tc>
      </w:tr>
      <w:tr w:rsidR="005379A3" w:rsidRPr="00701F32" w14:paraId="3E2A5A86" w14:textId="77777777" w:rsidTr="006E1AF7">
        <w:tc>
          <w:tcPr>
            <w:tcW w:w="2978" w:type="dxa"/>
            <w:tcBorders>
              <w:top w:val="nil"/>
              <w:left w:val="single" w:sz="4" w:space="0" w:color="auto"/>
              <w:bottom w:val="single" w:sz="4" w:space="0" w:color="auto"/>
              <w:right w:val="single" w:sz="4" w:space="0" w:color="auto"/>
            </w:tcBorders>
            <w:shd w:val="clear" w:color="auto" w:fill="auto"/>
            <w:vAlign w:val="bottom"/>
            <w:hideMark/>
          </w:tcPr>
          <w:p w14:paraId="43742A7C" w14:textId="77777777" w:rsidR="00BA29F2" w:rsidRPr="00701F32" w:rsidRDefault="00BA29F2" w:rsidP="006E1AF7">
            <w:pPr>
              <w:rPr>
                <w:rFonts w:ascii="Arial" w:hAnsi="Arial" w:cs="Arial"/>
                <w:b/>
                <w:bCs/>
                <w:sz w:val="16"/>
                <w:szCs w:val="16"/>
                <w:lang w:eastAsia="es-AR"/>
              </w:rPr>
            </w:pPr>
            <w:r w:rsidRPr="00701F32">
              <w:rPr>
                <w:rFonts w:ascii="Arial" w:hAnsi="Arial" w:cs="Arial"/>
                <w:b/>
                <w:bCs/>
                <w:sz w:val="16"/>
                <w:szCs w:val="16"/>
                <w:lang w:eastAsia="es-AR"/>
              </w:rPr>
              <w:t>Otros pasivos financieros</w:t>
            </w:r>
          </w:p>
        </w:tc>
        <w:tc>
          <w:tcPr>
            <w:tcW w:w="1134" w:type="dxa"/>
            <w:tcBorders>
              <w:top w:val="nil"/>
              <w:left w:val="nil"/>
              <w:bottom w:val="single" w:sz="4" w:space="0" w:color="auto"/>
              <w:right w:val="single" w:sz="4" w:space="0" w:color="auto"/>
            </w:tcBorders>
            <w:shd w:val="clear" w:color="auto" w:fill="auto"/>
            <w:noWrap/>
            <w:vAlign w:val="bottom"/>
            <w:hideMark/>
          </w:tcPr>
          <w:p w14:paraId="5A8EBE86" w14:textId="51E241EA" w:rsidR="00BA29F2" w:rsidRPr="00701F32" w:rsidRDefault="00BA29F2" w:rsidP="001A3619">
            <w:pPr>
              <w:jc w:val="right"/>
              <w:rPr>
                <w:rFonts w:ascii="Arial" w:hAnsi="Arial" w:cs="Arial"/>
                <w:b/>
                <w:sz w:val="16"/>
                <w:szCs w:val="16"/>
              </w:rPr>
            </w:pPr>
            <w:r w:rsidRPr="00886ABA">
              <w:rPr>
                <w:rFonts w:ascii="Arial" w:hAnsi="Arial" w:cs="Arial"/>
                <w:b/>
                <w:sz w:val="16"/>
                <w:szCs w:val="16"/>
              </w:rPr>
              <w:t>-810.312</w:t>
            </w:r>
          </w:p>
        </w:tc>
        <w:tc>
          <w:tcPr>
            <w:tcW w:w="1134" w:type="dxa"/>
            <w:tcBorders>
              <w:top w:val="nil"/>
              <w:left w:val="nil"/>
              <w:bottom w:val="single" w:sz="4" w:space="0" w:color="auto"/>
              <w:right w:val="single" w:sz="4" w:space="0" w:color="auto"/>
            </w:tcBorders>
            <w:shd w:val="clear" w:color="auto" w:fill="auto"/>
            <w:noWrap/>
            <w:vAlign w:val="bottom"/>
            <w:hideMark/>
          </w:tcPr>
          <w:p w14:paraId="312FEE9A" w14:textId="6E7D0446" w:rsidR="00BA29F2" w:rsidRPr="00701F32" w:rsidRDefault="00BA29F2" w:rsidP="001A3619">
            <w:pPr>
              <w:jc w:val="right"/>
              <w:rPr>
                <w:rFonts w:ascii="Arial" w:hAnsi="Arial" w:cs="Arial"/>
                <w:b/>
                <w:sz w:val="16"/>
                <w:szCs w:val="16"/>
              </w:rPr>
            </w:pPr>
            <w:r w:rsidRPr="00886ABA">
              <w:rPr>
                <w:rFonts w:ascii="Arial" w:hAnsi="Arial" w:cs="Arial"/>
                <w:b/>
                <w:sz w:val="16"/>
                <w:szCs w:val="16"/>
              </w:rPr>
              <w:t>-2.481.308</w:t>
            </w:r>
          </w:p>
        </w:tc>
        <w:tc>
          <w:tcPr>
            <w:tcW w:w="1276" w:type="dxa"/>
            <w:tcBorders>
              <w:top w:val="nil"/>
              <w:left w:val="nil"/>
              <w:bottom w:val="single" w:sz="4" w:space="0" w:color="auto"/>
              <w:right w:val="single" w:sz="4" w:space="0" w:color="auto"/>
            </w:tcBorders>
            <w:shd w:val="clear" w:color="auto" w:fill="auto"/>
            <w:noWrap/>
            <w:vAlign w:val="bottom"/>
            <w:hideMark/>
          </w:tcPr>
          <w:p w14:paraId="16E14E35" w14:textId="75AE38BC" w:rsidR="00BA29F2" w:rsidRPr="00701F32" w:rsidRDefault="00BA29F2" w:rsidP="001A3619">
            <w:pPr>
              <w:jc w:val="right"/>
              <w:rPr>
                <w:rFonts w:ascii="Arial" w:hAnsi="Arial" w:cs="Arial"/>
                <w:b/>
                <w:sz w:val="16"/>
                <w:szCs w:val="16"/>
              </w:rPr>
            </w:pPr>
            <w:r w:rsidRPr="00886ABA">
              <w:rPr>
                <w:rFonts w:ascii="Arial" w:hAnsi="Arial" w:cs="Arial"/>
                <w:b/>
                <w:sz w:val="16"/>
                <w:szCs w:val="16"/>
              </w:rPr>
              <w:t>-228.174</w:t>
            </w:r>
          </w:p>
        </w:tc>
        <w:tc>
          <w:tcPr>
            <w:tcW w:w="992" w:type="dxa"/>
            <w:tcBorders>
              <w:top w:val="nil"/>
              <w:left w:val="nil"/>
              <w:bottom w:val="single" w:sz="4" w:space="0" w:color="auto"/>
              <w:right w:val="single" w:sz="4" w:space="0" w:color="auto"/>
            </w:tcBorders>
            <w:shd w:val="clear" w:color="auto" w:fill="auto"/>
            <w:noWrap/>
            <w:vAlign w:val="bottom"/>
            <w:hideMark/>
          </w:tcPr>
          <w:p w14:paraId="5C820CF0" w14:textId="63238FCB" w:rsidR="00BA29F2" w:rsidRPr="00701F32" w:rsidRDefault="00BA29F2" w:rsidP="001A3619">
            <w:pPr>
              <w:jc w:val="right"/>
              <w:rPr>
                <w:rFonts w:ascii="Arial" w:hAnsi="Arial" w:cs="Arial"/>
                <w:b/>
                <w:sz w:val="16"/>
                <w:szCs w:val="16"/>
              </w:rPr>
            </w:pPr>
            <w:r w:rsidRPr="00886ABA">
              <w:rPr>
                <w:rFonts w:ascii="Arial" w:hAnsi="Arial" w:cs="Arial"/>
                <w:b/>
                <w:sz w:val="16"/>
                <w:szCs w:val="16"/>
              </w:rPr>
              <w:t>-206.581</w:t>
            </w:r>
          </w:p>
        </w:tc>
        <w:tc>
          <w:tcPr>
            <w:tcW w:w="1559" w:type="dxa"/>
            <w:tcBorders>
              <w:top w:val="nil"/>
              <w:left w:val="nil"/>
              <w:bottom w:val="single" w:sz="4" w:space="0" w:color="auto"/>
              <w:right w:val="single" w:sz="4" w:space="0" w:color="auto"/>
            </w:tcBorders>
            <w:shd w:val="clear" w:color="auto" w:fill="auto"/>
            <w:noWrap/>
            <w:vAlign w:val="bottom"/>
            <w:hideMark/>
          </w:tcPr>
          <w:p w14:paraId="04372A2F" w14:textId="31FE9CFB" w:rsidR="00BA29F2" w:rsidRPr="00701F32" w:rsidRDefault="00BA29F2" w:rsidP="001A3619">
            <w:pPr>
              <w:jc w:val="right"/>
              <w:rPr>
                <w:rFonts w:ascii="Arial" w:hAnsi="Arial" w:cs="Arial"/>
                <w:b/>
                <w:sz w:val="16"/>
                <w:szCs w:val="16"/>
              </w:rPr>
            </w:pPr>
            <w:r w:rsidRPr="00886ABA">
              <w:rPr>
                <w:rFonts w:ascii="Arial" w:hAnsi="Arial" w:cs="Arial"/>
                <w:b/>
                <w:sz w:val="16"/>
                <w:szCs w:val="16"/>
              </w:rPr>
              <w:t>356.852</w:t>
            </w:r>
          </w:p>
        </w:tc>
        <w:tc>
          <w:tcPr>
            <w:tcW w:w="1084" w:type="dxa"/>
            <w:tcBorders>
              <w:top w:val="nil"/>
              <w:left w:val="nil"/>
              <w:bottom w:val="single" w:sz="4" w:space="0" w:color="auto"/>
              <w:right w:val="single" w:sz="4" w:space="0" w:color="auto"/>
            </w:tcBorders>
            <w:shd w:val="clear" w:color="auto" w:fill="auto"/>
            <w:noWrap/>
            <w:vAlign w:val="bottom"/>
            <w:hideMark/>
          </w:tcPr>
          <w:p w14:paraId="5359FC21" w14:textId="14E873F9" w:rsidR="00BA29F2" w:rsidRPr="00701F32" w:rsidRDefault="00BA29F2" w:rsidP="001A3619">
            <w:pPr>
              <w:jc w:val="right"/>
              <w:rPr>
                <w:rFonts w:ascii="Arial" w:hAnsi="Arial" w:cs="Arial"/>
                <w:b/>
                <w:bCs/>
                <w:sz w:val="16"/>
                <w:szCs w:val="16"/>
                <w:lang w:eastAsia="es-AR"/>
              </w:rPr>
            </w:pPr>
            <w:r w:rsidRPr="00886ABA">
              <w:rPr>
                <w:rFonts w:ascii="Arial" w:hAnsi="Arial" w:cs="Arial"/>
                <w:b/>
                <w:sz w:val="16"/>
                <w:szCs w:val="16"/>
              </w:rPr>
              <w:t>-3.369.523</w:t>
            </w:r>
          </w:p>
        </w:tc>
      </w:tr>
      <w:tr w:rsidR="005379A3" w:rsidRPr="00701F32" w14:paraId="2AF17462" w14:textId="77777777" w:rsidTr="006E1AF7">
        <w:tc>
          <w:tcPr>
            <w:tcW w:w="2978" w:type="dxa"/>
            <w:tcBorders>
              <w:top w:val="nil"/>
              <w:left w:val="single" w:sz="4" w:space="0" w:color="auto"/>
              <w:bottom w:val="single" w:sz="4" w:space="0" w:color="auto"/>
              <w:right w:val="single" w:sz="4" w:space="0" w:color="auto"/>
            </w:tcBorders>
            <w:shd w:val="clear" w:color="auto" w:fill="auto"/>
            <w:noWrap/>
            <w:vAlign w:val="bottom"/>
            <w:hideMark/>
          </w:tcPr>
          <w:p w14:paraId="79DFAD07" w14:textId="77777777" w:rsidR="00BA29F2" w:rsidRPr="00701F32" w:rsidRDefault="00BA29F2" w:rsidP="00BA29F2">
            <w:pPr>
              <w:rPr>
                <w:rFonts w:ascii="Arial" w:hAnsi="Arial" w:cs="Arial"/>
                <w:b/>
                <w:bCs/>
                <w:sz w:val="16"/>
                <w:szCs w:val="16"/>
                <w:lang w:eastAsia="es-AR"/>
              </w:rPr>
            </w:pPr>
            <w:r w:rsidRPr="00701F32">
              <w:rPr>
                <w:rFonts w:ascii="Arial" w:hAnsi="Arial" w:cs="Arial"/>
                <w:b/>
                <w:bCs/>
                <w:sz w:val="16"/>
                <w:szCs w:val="16"/>
                <w:lang w:eastAsia="es-AR"/>
              </w:rPr>
              <w:t>Financiaciones recibidas del BCRA y otras instituciones financieras</w:t>
            </w:r>
          </w:p>
        </w:tc>
        <w:tc>
          <w:tcPr>
            <w:tcW w:w="1134" w:type="dxa"/>
            <w:tcBorders>
              <w:top w:val="nil"/>
              <w:left w:val="nil"/>
              <w:bottom w:val="single" w:sz="4" w:space="0" w:color="auto"/>
              <w:right w:val="single" w:sz="4" w:space="0" w:color="auto"/>
            </w:tcBorders>
            <w:shd w:val="clear" w:color="auto" w:fill="auto"/>
            <w:noWrap/>
            <w:vAlign w:val="bottom"/>
            <w:hideMark/>
          </w:tcPr>
          <w:p w14:paraId="14FDEA65" w14:textId="3C2BB086" w:rsidR="00BA29F2" w:rsidRPr="00701F32" w:rsidRDefault="00BA29F2" w:rsidP="001A3619">
            <w:pPr>
              <w:jc w:val="right"/>
              <w:rPr>
                <w:rFonts w:ascii="Arial" w:hAnsi="Arial" w:cs="Arial"/>
                <w:b/>
                <w:sz w:val="16"/>
                <w:szCs w:val="16"/>
              </w:rPr>
            </w:pPr>
            <w:r w:rsidRPr="00886ABA">
              <w:rPr>
                <w:rFonts w:ascii="Arial" w:hAnsi="Arial" w:cs="Arial"/>
                <w:b/>
                <w:sz w:val="16"/>
                <w:szCs w:val="16"/>
              </w:rPr>
              <w:t>-7.212.869</w:t>
            </w:r>
          </w:p>
        </w:tc>
        <w:tc>
          <w:tcPr>
            <w:tcW w:w="1134" w:type="dxa"/>
            <w:tcBorders>
              <w:top w:val="nil"/>
              <w:left w:val="nil"/>
              <w:bottom w:val="single" w:sz="4" w:space="0" w:color="auto"/>
              <w:right w:val="single" w:sz="4" w:space="0" w:color="auto"/>
            </w:tcBorders>
            <w:shd w:val="clear" w:color="auto" w:fill="auto"/>
            <w:noWrap/>
            <w:vAlign w:val="bottom"/>
            <w:hideMark/>
          </w:tcPr>
          <w:p w14:paraId="6C15DA1D" w14:textId="2888C76A" w:rsidR="00BA29F2" w:rsidRPr="00701F32" w:rsidRDefault="00BA29F2" w:rsidP="001A3619">
            <w:pPr>
              <w:jc w:val="right"/>
              <w:rPr>
                <w:rFonts w:ascii="Arial" w:hAnsi="Arial" w:cs="Arial"/>
                <w:b/>
                <w:sz w:val="16"/>
                <w:szCs w:val="16"/>
              </w:rPr>
            </w:pPr>
            <w:r w:rsidRPr="00886ABA">
              <w:rPr>
                <w:rFonts w:ascii="Arial" w:hAnsi="Arial" w:cs="Arial"/>
                <w:b/>
                <w:sz w:val="16"/>
                <w:szCs w:val="16"/>
              </w:rPr>
              <w:t>-10.828</w:t>
            </w:r>
          </w:p>
        </w:tc>
        <w:tc>
          <w:tcPr>
            <w:tcW w:w="1276" w:type="dxa"/>
            <w:tcBorders>
              <w:top w:val="nil"/>
              <w:left w:val="nil"/>
              <w:bottom w:val="single" w:sz="4" w:space="0" w:color="auto"/>
              <w:right w:val="single" w:sz="4" w:space="0" w:color="auto"/>
            </w:tcBorders>
            <w:shd w:val="clear" w:color="auto" w:fill="auto"/>
            <w:noWrap/>
            <w:vAlign w:val="bottom"/>
            <w:hideMark/>
          </w:tcPr>
          <w:p w14:paraId="1D5D77EF" w14:textId="7AFEE9D6" w:rsidR="00BA29F2" w:rsidRPr="00701F32" w:rsidRDefault="00BA29F2" w:rsidP="001A3619">
            <w:pPr>
              <w:jc w:val="right"/>
              <w:rPr>
                <w:rFonts w:ascii="Arial" w:hAnsi="Arial" w:cs="Arial"/>
                <w:b/>
                <w:sz w:val="16"/>
                <w:szCs w:val="16"/>
              </w:rPr>
            </w:pPr>
            <w:r w:rsidRPr="00886ABA">
              <w:rPr>
                <w:rFonts w:ascii="Arial" w:hAnsi="Arial" w:cs="Arial"/>
                <w:b/>
                <w:sz w:val="16"/>
                <w:szCs w:val="16"/>
              </w:rPr>
              <w:t>-786.362</w:t>
            </w:r>
          </w:p>
        </w:tc>
        <w:tc>
          <w:tcPr>
            <w:tcW w:w="992" w:type="dxa"/>
            <w:tcBorders>
              <w:top w:val="nil"/>
              <w:left w:val="nil"/>
              <w:bottom w:val="single" w:sz="4" w:space="0" w:color="auto"/>
              <w:right w:val="single" w:sz="4" w:space="0" w:color="auto"/>
            </w:tcBorders>
            <w:shd w:val="clear" w:color="auto" w:fill="auto"/>
            <w:noWrap/>
            <w:vAlign w:val="bottom"/>
            <w:hideMark/>
          </w:tcPr>
          <w:p w14:paraId="25CEC6CB" w14:textId="43941271" w:rsidR="00BA29F2" w:rsidRPr="00701F32" w:rsidRDefault="00BA29F2" w:rsidP="001A3619">
            <w:pPr>
              <w:jc w:val="right"/>
              <w:rPr>
                <w:rFonts w:ascii="Arial" w:hAnsi="Arial" w:cs="Arial"/>
                <w:b/>
                <w:sz w:val="16"/>
                <w:szCs w:val="16"/>
              </w:rPr>
            </w:pPr>
            <w:r w:rsidRPr="00886ABA">
              <w:rPr>
                <w:rFonts w:ascii="Arial" w:hAnsi="Arial" w:cs="Arial"/>
                <w:b/>
                <w:sz w:val="16"/>
                <w:szCs w:val="16"/>
              </w:rPr>
              <w:t>-2.541.046</w:t>
            </w:r>
          </w:p>
        </w:tc>
        <w:tc>
          <w:tcPr>
            <w:tcW w:w="1559" w:type="dxa"/>
            <w:tcBorders>
              <w:top w:val="nil"/>
              <w:left w:val="nil"/>
              <w:bottom w:val="single" w:sz="4" w:space="0" w:color="auto"/>
              <w:right w:val="single" w:sz="4" w:space="0" w:color="auto"/>
            </w:tcBorders>
            <w:shd w:val="clear" w:color="auto" w:fill="auto"/>
            <w:noWrap/>
            <w:vAlign w:val="bottom"/>
            <w:hideMark/>
          </w:tcPr>
          <w:p w14:paraId="08AD31B7" w14:textId="2DB8B7F6" w:rsidR="00BA29F2" w:rsidRPr="00701F32" w:rsidRDefault="00BA29F2" w:rsidP="001A3619">
            <w:pPr>
              <w:jc w:val="right"/>
              <w:rPr>
                <w:rFonts w:ascii="Arial" w:hAnsi="Arial" w:cs="Arial"/>
                <w:b/>
                <w:sz w:val="16"/>
                <w:szCs w:val="16"/>
              </w:rPr>
            </w:pPr>
            <w:r w:rsidRPr="00886ABA">
              <w:rPr>
                <w:rFonts w:ascii="Arial" w:hAnsi="Arial" w:cs="Arial"/>
                <w:b/>
                <w:sz w:val="16"/>
                <w:szCs w:val="16"/>
              </w:rPr>
              <w:t>2.535.000</w:t>
            </w:r>
          </w:p>
        </w:tc>
        <w:tc>
          <w:tcPr>
            <w:tcW w:w="1084" w:type="dxa"/>
            <w:tcBorders>
              <w:top w:val="nil"/>
              <w:left w:val="nil"/>
              <w:bottom w:val="single" w:sz="4" w:space="0" w:color="auto"/>
              <w:right w:val="single" w:sz="4" w:space="0" w:color="auto"/>
            </w:tcBorders>
            <w:shd w:val="clear" w:color="auto" w:fill="auto"/>
            <w:noWrap/>
            <w:vAlign w:val="bottom"/>
            <w:hideMark/>
          </w:tcPr>
          <w:p w14:paraId="7758F665" w14:textId="2882AEAE" w:rsidR="00BA29F2" w:rsidRPr="00701F32" w:rsidRDefault="00BA29F2" w:rsidP="001A3619">
            <w:pPr>
              <w:jc w:val="right"/>
              <w:rPr>
                <w:rFonts w:ascii="Arial" w:hAnsi="Arial" w:cs="Arial"/>
                <w:b/>
                <w:bCs/>
                <w:sz w:val="16"/>
                <w:szCs w:val="16"/>
                <w:lang w:eastAsia="es-AR"/>
              </w:rPr>
            </w:pPr>
            <w:r w:rsidRPr="00886ABA">
              <w:rPr>
                <w:rFonts w:ascii="Arial" w:hAnsi="Arial" w:cs="Arial"/>
                <w:b/>
                <w:sz w:val="16"/>
                <w:szCs w:val="16"/>
              </w:rPr>
              <w:t>-8.016.105</w:t>
            </w:r>
          </w:p>
        </w:tc>
      </w:tr>
      <w:tr w:rsidR="005379A3" w:rsidRPr="00701F32" w14:paraId="5AB6E3F2" w14:textId="77777777" w:rsidTr="006E1AF7">
        <w:tc>
          <w:tcPr>
            <w:tcW w:w="2978" w:type="dxa"/>
            <w:tcBorders>
              <w:top w:val="nil"/>
              <w:left w:val="single" w:sz="4" w:space="0" w:color="auto"/>
              <w:bottom w:val="single" w:sz="4" w:space="0" w:color="auto"/>
              <w:right w:val="single" w:sz="4" w:space="0" w:color="auto"/>
            </w:tcBorders>
            <w:shd w:val="clear" w:color="auto" w:fill="auto"/>
            <w:vAlign w:val="bottom"/>
            <w:hideMark/>
          </w:tcPr>
          <w:p w14:paraId="0C0A9877" w14:textId="77777777" w:rsidR="00BA29F2" w:rsidRPr="00701F32" w:rsidRDefault="00BA29F2" w:rsidP="00BA29F2">
            <w:pPr>
              <w:rPr>
                <w:rFonts w:ascii="Arial" w:hAnsi="Arial" w:cs="Arial"/>
                <w:b/>
                <w:bCs/>
                <w:sz w:val="16"/>
                <w:szCs w:val="16"/>
                <w:lang w:eastAsia="es-AR"/>
              </w:rPr>
            </w:pPr>
            <w:r w:rsidRPr="00701F32">
              <w:rPr>
                <w:rFonts w:ascii="Arial" w:hAnsi="Arial" w:cs="Arial"/>
                <w:b/>
                <w:bCs/>
                <w:sz w:val="16"/>
                <w:szCs w:val="16"/>
                <w:lang w:eastAsia="es-AR"/>
              </w:rPr>
              <w:t>Obligaciones negociables emitidas</w:t>
            </w:r>
          </w:p>
        </w:tc>
        <w:tc>
          <w:tcPr>
            <w:tcW w:w="1134" w:type="dxa"/>
            <w:tcBorders>
              <w:top w:val="nil"/>
              <w:left w:val="nil"/>
              <w:bottom w:val="single" w:sz="4" w:space="0" w:color="auto"/>
              <w:right w:val="single" w:sz="4" w:space="0" w:color="auto"/>
            </w:tcBorders>
            <w:shd w:val="clear" w:color="auto" w:fill="auto"/>
            <w:noWrap/>
            <w:vAlign w:val="bottom"/>
            <w:hideMark/>
          </w:tcPr>
          <w:p w14:paraId="0D87BDF0" w14:textId="5A96D9B6"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134" w:type="dxa"/>
            <w:tcBorders>
              <w:top w:val="nil"/>
              <w:left w:val="nil"/>
              <w:bottom w:val="single" w:sz="4" w:space="0" w:color="auto"/>
              <w:right w:val="single" w:sz="4" w:space="0" w:color="auto"/>
            </w:tcBorders>
            <w:shd w:val="clear" w:color="auto" w:fill="auto"/>
            <w:noWrap/>
            <w:vAlign w:val="bottom"/>
            <w:hideMark/>
          </w:tcPr>
          <w:p w14:paraId="2B8E5636" w14:textId="566B257D"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276" w:type="dxa"/>
            <w:tcBorders>
              <w:top w:val="nil"/>
              <w:left w:val="nil"/>
              <w:bottom w:val="single" w:sz="4" w:space="0" w:color="auto"/>
              <w:right w:val="single" w:sz="4" w:space="0" w:color="auto"/>
            </w:tcBorders>
            <w:shd w:val="clear" w:color="auto" w:fill="auto"/>
            <w:noWrap/>
            <w:vAlign w:val="bottom"/>
            <w:hideMark/>
          </w:tcPr>
          <w:p w14:paraId="0E8E2E09" w14:textId="37A559D3" w:rsidR="00BA29F2" w:rsidRPr="00701F32" w:rsidRDefault="00BA29F2" w:rsidP="001A3619">
            <w:pPr>
              <w:jc w:val="right"/>
              <w:rPr>
                <w:rFonts w:ascii="Arial" w:hAnsi="Arial" w:cs="Arial"/>
                <w:b/>
                <w:sz w:val="16"/>
                <w:szCs w:val="16"/>
              </w:rPr>
            </w:pPr>
            <w:r w:rsidRPr="00886ABA">
              <w:rPr>
                <w:rFonts w:ascii="Arial" w:hAnsi="Arial" w:cs="Arial"/>
                <w:b/>
                <w:sz w:val="16"/>
                <w:szCs w:val="16"/>
              </w:rPr>
              <w:t>-7.924.029</w:t>
            </w:r>
          </w:p>
        </w:tc>
        <w:tc>
          <w:tcPr>
            <w:tcW w:w="992" w:type="dxa"/>
            <w:tcBorders>
              <w:top w:val="nil"/>
              <w:left w:val="nil"/>
              <w:bottom w:val="single" w:sz="4" w:space="0" w:color="auto"/>
              <w:right w:val="single" w:sz="4" w:space="0" w:color="auto"/>
            </w:tcBorders>
            <w:shd w:val="clear" w:color="auto" w:fill="auto"/>
            <w:noWrap/>
            <w:vAlign w:val="bottom"/>
            <w:hideMark/>
          </w:tcPr>
          <w:p w14:paraId="7F88CFA1" w14:textId="3D93D879" w:rsidR="00BA29F2" w:rsidRPr="00701F32" w:rsidRDefault="00BA29F2" w:rsidP="001A3619">
            <w:pPr>
              <w:jc w:val="right"/>
              <w:rPr>
                <w:rFonts w:ascii="Arial" w:hAnsi="Arial" w:cs="Arial"/>
                <w:b/>
                <w:sz w:val="16"/>
                <w:szCs w:val="16"/>
              </w:rPr>
            </w:pPr>
            <w:r w:rsidRPr="00886ABA">
              <w:rPr>
                <w:rFonts w:ascii="Arial" w:hAnsi="Arial" w:cs="Arial"/>
                <w:b/>
                <w:sz w:val="16"/>
                <w:szCs w:val="16"/>
              </w:rPr>
              <w:t>-1.304.004</w:t>
            </w:r>
          </w:p>
        </w:tc>
        <w:tc>
          <w:tcPr>
            <w:tcW w:w="1559" w:type="dxa"/>
            <w:tcBorders>
              <w:top w:val="nil"/>
              <w:left w:val="nil"/>
              <w:bottom w:val="single" w:sz="4" w:space="0" w:color="auto"/>
              <w:right w:val="single" w:sz="4" w:space="0" w:color="auto"/>
            </w:tcBorders>
            <w:shd w:val="clear" w:color="auto" w:fill="auto"/>
            <w:noWrap/>
            <w:vAlign w:val="bottom"/>
            <w:hideMark/>
          </w:tcPr>
          <w:p w14:paraId="3E9254D1" w14:textId="361B8C34"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084" w:type="dxa"/>
            <w:tcBorders>
              <w:top w:val="nil"/>
              <w:left w:val="nil"/>
              <w:bottom w:val="single" w:sz="4" w:space="0" w:color="auto"/>
              <w:right w:val="single" w:sz="4" w:space="0" w:color="auto"/>
            </w:tcBorders>
            <w:shd w:val="clear" w:color="auto" w:fill="auto"/>
            <w:noWrap/>
            <w:vAlign w:val="bottom"/>
            <w:hideMark/>
          </w:tcPr>
          <w:p w14:paraId="0ECC9D30" w14:textId="48FA4C39" w:rsidR="00BA29F2" w:rsidRPr="00701F32" w:rsidRDefault="00BA29F2" w:rsidP="001A3619">
            <w:pPr>
              <w:jc w:val="right"/>
              <w:rPr>
                <w:rFonts w:ascii="Arial" w:hAnsi="Arial" w:cs="Arial"/>
                <w:b/>
                <w:bCs/>
                <w:sz w:val="16"/>
                <w:szCs w:val="16"/>
                <w:lang w:eastAsia="es-AR"/>
              </w:rPr>
            </w:pPr>
            <w:r w:rsidRPr="00886ABA">
              <w:rPr>
                <w:rFonts w:ascii="Arial" w:hAnsi="Arial" w:cs="Arial"/>
                <w:b/>
                <w:sz w:val="16"/>
                <w:szCs w:val="16"/>
              </w:rPr>
              <w:t>-9.228.033</w:t>
            </w:r>
          </w:p>
        </w:tc>
      </w:tr>
      <w:tr w:rsidR="005379A3" w:rsidRPr="00701F32" w14:paraId="2630DB5F" w14:textId="77777777" w:rsidTr="006E1AF7">
        <w:tc>
          <w:tcPr>
            <w:tcW w:w="2978" w:type="dxa"/>
            <w:tcBorders>
              <w:top w:val="nil"/>
              <w:left w:val="single" w:sz="4" w:space="0" w:color="auto"/>
              <w:bottom w:val="single" w:sz="4" w:space="0" w:color="auto"/>
              <w:right w:val="single" w:sz="4" w:space="0" w:color="auto"/>
            </w:tcBorders>
            <w:shd w:val="clear" w:color="auto" w:fill="auto"/>
            <w:vAlign w:val="bottom"/>
            <w:hideMark/>
          </w:tcPr>
          <w:p w14:paraId="3553ACE2" w14:textId="77777777" w:rsidR="00BA29F2" w:rsidRPr="00701F32" w:rsidRDefault="00BA29F2" w:rsidP="00BA29F2">
            <w:pPr>
              <w:rPr>
                <w:rFonts w:ascii="Arial" w:hAnsi="Arial" w:cs="Arial"/>
                <w:b/>
                <w:bCs/>
                <w:sz w:val="16"/>
                <w:szCs w:val="16"/>
                <w:lang w:eastAsia="es-AR"/>
              </w:rPr>
            </w:pPr>
            <w:r w:rsidRPr="00701F32">
              <w:rPr>
                <w:rFonts w:ascii="Arial" w:hAnsi="Arial" w:cs="Arial"/>
                <w:b/>
                <w:bCs/>
                <w:sz w:val="16"/>
                <w:szCs w:val="16"/>
                <w:lang w:eastAsia="es-AR"/>
              </w:rPr>
              <w:t>Pasivo por impuestos a las ganancias corriente</w:t>
            </w:r>
          </w:p>
        </w:tc>
        <w:tc>
          <w:tcPr>
            <w:tcW w:w="1134" w:type="dxa"/>
            <w:tcBorders>
              <w:top w:val="nil"/>
              <w:left w:val="nil"/>
              <w:bottom w:val="single" w:sz="4" w:space="0" w:color="auto"/>
              <w:right w:val="single" w:sz="4" w:space="0" w:color="auto"/>
            </w:tcBorders>
            <w:shd w:val="clear" w:color="auto" w:fill="auto"/>
            <w:noWrap/>
            <w:vAlign w:val="bottom"/>
            <w:hideMark/>
          </w:tcPr>
          <w:p w14:paraId="661C1824" w14:textId="6C746918"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134" w:type="dxa"/>
            <w:tcBorders>
              <w:top w:val="nil"/>
              <w:left w:val="nil"/>
              <w:bottom w:val="single" w:sz="4" w:space="0" w:color="auto"/>
              <w:right w:val="single" w:sz="4" w:space="0" w:color="auto"/>
            </w:tcBorders>
            <w:shd w:val="clear" w:color="auto" w:fill="auto"/>
            <w:noWrap/>
            <w:vAlign w:val="bottom"/>
            <w:hideMark/>
          </w:tcPr>
          <w:p w14:paraId="5ED70633" w14:textId="542375F7"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276" w:type="dxa"/>
            <w:tcBorders>
              <w:top w:val="nil"/>
              <w:left w:val="nil"/>
              <w:bottom w:val="single" w:sz="4" w:space="0" w:color="auto"/>
              <w:right w:val="single" w:sz="4" w:space="0" w:color="auto"/>
            </w:tcBorders>
            <w:shd w:val="clear" w:color="auto" w:fill="auto"/>
            <w:noWrap/>
            <w:vAlign w:val="bottom"/>
            <w:hideMark/>
          </w:tcPr>
          <w:p w14:paraId="7A15CCA8" w14:textId="6F144CDE" w:rsidR="00BA29F2" w:rsidRPr="00701F32" w:rsidRDefault="00BA29F2" w:rsidP="001A3619">
            <w:pPr>
              <w:jc w:val="right"/>
              <w:rPr>
                <w:rFonts w:ascii="Arial" w:hAnsi="Arial" w:cs="Arial"/>
                <w:b/>
                <w:sz w:val="16"/>
                <w:szCs w:val="16"/>
              </w:rPr>
            </w:pPr>
            <w:r w:rsidRPr="00886ABA">
              <w:rPr>
                <w:rFonts w:ascii="Arial" w:hAnsi="Arial" w:cs="Arial"/>
                <w:b/>
                <w:sz w:val="16"/>
                <w:szCs w:val="16"/>
              </w:rPr>
              <w:t>-330.228</w:t>
            </w:r>
          </w:p>
        </w:tc>
        <w:tc>
          <w:tcPr>
            <w:tcW w:w="992" w:type="dxa"/>
            <w:tcBorders>
              <w:top w:val="nil"/>
              <w:left w:val="nil"/>
              <w:bottom w:val="single" w:sz="4" w:space="0" w:color="auto"/>
              <w:right w:val="single" w:sz="4" w:space="0" w:color="auto"/>
            </w:tcBorders>
            <w:shd w:val="clear" w:color="auto" w:fill="auto"/>
            <w:noWrap/>
            <w:vAlign w:val="bottom"/>
            <w:hideMark/>
          </w:tcPr>
          <w:p w14:paraId="31594C15" w14:textId="3DAD3923" w:rsidR="00BA29F2" w:rsidRPr="00701F32" w:rsidRDefault="00BA29F2" w:rsidP="001A3619">
            <w:pPr>
              <w:jc w:val="right"/>
              <w:rPr>
                <w:rFonts w:ascii="Arial" w:hAnsi="Arial" w:cs="Arial"/>
                <w:b/>
                <w:sz w:val="16"/>
                <w:szCs w:val="16"/>
              </w:rPr>
            </w:pPr>
            <w:r w:rsidRPr="00886ABA">
              <w:rPr>
                <w:rFonts w:ascii="Arial" w:hAnsi="Arial" w:cs="Arial"/>
                <w:b/>
                <w:sz w:val="16"/>
                <w:szCs w:val="16"/>
              </w:rPr>
              <w:t>-31.140</w:t>
            </w:r>
          </w:p>
        </w:tc>
        <w:tc>
          <w:tcPr>
            <w:tcW w:w="1559" w:type="dxa"/>
            <w:tcBorders>
              <w:top w:val="nil"/>
              <w:left w:val="nil"/>
              <w:bottom w:val="single" w:sz="4" w:space="0" w:color="auto"/>
              <w:right w:val="single" w:sz="4" w:space="0" w:color="auto"/>
            </w:tcBorders>
            <w:shd w:val="clear" w:color="auto" w:fill="auto"/>
            <w:noWrap/>
            <w:vAlign w:val="bottom"/>
            <w:hideMark/>
          </w:tcPr>
          <w:p w14:paraId="49C88FA1" w14:textId="74FFED6A"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084" w:type="dxa"/>
            <w:tcBorders>
              <w:top w:val="nil"/>
              <w:left w:val="nil"/>
              <w:bottom w:val="single" w:sz="4" w:space="0" w:color="auto"/>
              <w:right w:val="single" w:sz="4" w:space="0" w:color="auto"/>
            </w:tcBorders>
            <w:shd w:val="clear" w:color="auto" w:fill="auto"/>
            <w:noWrap/>
            <w:vAlign w:val="bottom"/>
            <w:hideMark/>
          </w:tcPr>
          <w:p w14:paraId="2E3AF0B3" w14:textId="5D8164DE" w:rsidR="00BA29F2" w:rsidRPr="00701F32" w:rsidRDefault="00BA29F2" w:rsidP="001A3619">
            <w:pPr>
              <w:jc w:val="right"/>
              <w:rPr>
                <w:rFonts w:ascii="Arial" w:hAnsi="Arial" w:cs="Arial"/>
                <w:b/>
                <w:bCs/>
                <w:sz w:val="16"/>
                <w:szCs w:val="16"/>
                <w:lang w:eastAsia="es-AR"/>
              </w:rPr>
            </w:pPr>
            <w:r w:rsidRPr="00886ABA">
              <w:rPr>
                <w:rFonts w:ascii="Arial" w:hAnsi="Arial" w:cs="Arial"/>
                <w:b/>
                <w:sz w:val="16"/>
                <w:szCs w:val="16"/>
              </w:rPr>
              <w:t>-361.368</w:t>
            </w:r>
          </w:p>
        </w:tc>
      </w:tr>
      <w:tr w:rsidR="005379A3" w:rsidRPr="00701F32" w14:paraId="745F1807" w14:textId="77777777" w:rsidTr="006E1AF7">
        <w:tc>
          <w:tcPr>
            <w:tcW w:w="2978" w:type="dxa"/>
            <w:tcBorders>
              <w:top w:val="nil"/>
              <w:left w:val="single" w:sz="4" w:space="0" w:color="auto"/>
              <w:bottom w:val="single" w:sz="4" w:space="0" w:color="auto"/>
              <w:right w:val="single" w:sz="4" w:space="0" w:color="auto"/>
            </w:tcBorders>
            <w:shd w:val="clear" w:color="auto" w:fill="auto"/>
            <w:vAlign w:val="bottom"/>
            <w:hideMark/>
          </w:tcPr>
          <w:p w14:paraId="3B5C84E8" w14:textId="77777777" w:rsidR="00BA29F2" w:rsidRPr="00701F32" w:rsidRDefault="00BA29F2" w:rsidP="00BA29F2">
            <w:pPr>
              <w:rPr>
                <w:rFonts w:ascii="Arial" w:hAnsi="Arial" w:cs="Arial"/>
                <w:b/>
                <w:bCs/>
                <w:sz w:val="16"/>
                <w:szCs w:val="16"/>
                <w:lang w:eastAsia="es-AR"/>
              </w:rPr>
            </w:pPr>
            <w:r w:rsidRPr="00701F32">
              <w:rPr>
                <w:rFonts w:ascii="Arial" w:hAnsi="Arial" w:cs="Arial"/>
                <w:b/>
                <w:bCs/>
                <w:sz w:val="16"/>
                <w:szCs w:val="16"/>
                <w:lang w:eastAsia="es-AR"/>
              </w:rPr>
              <w:t>Obligaciones negociables subordinadas</w:t>
            </w:r>
          </w:p>
        </w:tc>
        <w:tc>
          <w:tcPr>
            <w:tcW w:w="1134" w:type="dxa"/>
            <w:tcBorders>
              <w:top w:val="nil"/>
              <w:left w:val="nil"/>
              <w:bottom w:val="single" w:sz="4" w:space="0" w:color="auto"/>
              <w:right w:val="single" w:sz="4" w:space="0" w:color="auto"/>
            </w:tcBorders>
            <w:shd w:val="clear" w:color="auto" w:fill="auto"/>
            <w:noWrap/>
            <w:vAlign w:val="bottom"/>
            <w:hideMark/>
          </w:tcPr>
          <w:p w14:paraId="6763975D" w14:textId="61471101"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134" w:type="dxa"/>
            <w:tcBorders>
              <w:top w:val="nil"/>
              <w:left w:val="nil"/>
              <w:bottom w:val="single" w:sz="4" w:space="0" w:color="auto"/>
              <w:right w:val="single" w:sz="4" w:space="0" w:color="auto"/>
            </w:tcBorders>
            <w:shd w:val="clear" w:color="auto" w:fill="auto"/>
            <w:noWrap/>
            <w:vAlign w:val="bottom"/>
            <w:hideMark/>
          </w:tcPr>
          <w:p w14:paraId="72B2B7E1" w14:textId="63CDD992"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276" w:type="dxa"/>
            <w:tcBorders>
              <w:top w:val="nil"/>
              <w:left w:val="nil"/>
              <w:bottom w:val="single" w:sz="4" w:space="0" w:color="auto"/>
              <w:right w:val="single" w:sz="4" w:space="0" w:color="auto"/>
            </w:tcBorders>
            <w:shd w:val="clear" w:color="auto" w:fill="auto"/>
            <w:noWrap/>
            <w:vAlign w:val="bottom"/>
            <w:hideMark/>
          </w:tcPr>
          <w:p w14:paraId="4D451E8F" w14:textId="5D13E733" w:rsidR="00BA29F2" w:rsidRPr="00701F32" w:rsidRDefault="00BA29F2" w:rsidP="001A3619">
            <w:pPr>
              <w:jc w:val="right"/>
              <w:rPr>
                <w:rFonts w:ascii="Arial" w:hAnsi="Arial" w:cs="Arial"/>
                <w:b/>
                <w:sz w:val="16"/>
                <w:szCs w:val="16"/>
              </w:rPr>
            </w:pPr>
            <w:r w:rsidRPr="00886ABA">
              <w:rPr>
                <w:rFonts w:ascii="Arial" w:hAnsi="Arial" w:cs="Arial"/>
                <w:b/>
                <w:sz w:val="16"/>
                <w:szCs w:val="16"/>
              </w:rPr>
              <w:t>-1.383.817</w:t>
            </w:r>
          </w:p>
        </w:tc>
        <w:tc>
          <w:tcPr>
            <w:tcW w:w="992" w:type="dxa"/>
            <w:tcBorders>
              <w:top w:val="nil"/>
              <w:left w:val="nil"/>
              <w:bottom w:val="single" w:sz="4" w:space="0" w:color="auto"/>
              <w:right w:val="single" w:sz="4" w:space="0" w:color="auto"/>
            </w:tcBorders>
            <w:shd w:val="clear" w:color="auto" w:fill="auto"/>
            <w:noWrap/>
            <w:vAlign w:val="bottom"/>
            <w:hideMark/>
          </w:tcPr>
          <w:p w14:paraId="6FB23C79" w14:textId="1D93F3FE"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559" w:type="dxa"/>
            <w:tcBorders>
              <w:top w:val="nil"/>
              <w:left w:val="nil"/>
              <w:bottom w:val="single" w:sz="4" w:space="0" w:color="auto"/>
              <w:right w:val="single" w:sz="4" w:space="0" w:color="auto"/>
            </w:tcBorders>
            <w:shd w:val="clear" w:color="auto" w:fill="auto"/>
            <w:noWrap/>
            <w:vAlign w:val="bottom"/>
            <w:hideMark/>
          </w:tcPr>
          <w:p w14:paraId="23C6D6B5" w14:textId="4833E15E"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084" w:type="dxa"/>
            <w:tcBorders>
              <w:top w:val="nil"/>
              <w:left w:val="nil"/>
              <w:bottom w:val="single" w:sz="4" w:space="0" w:color="auto"/>
              <w:right w:val="single" w:sz="4" w:space="0" w:color="auto"/>
            </w:tcBorders>
            <w:shd w:val="clear" w:color="auto" w:fill="auto"/>
            <w:noWrap/>
            <w:vAlign w:val="bottom"/>
            <w:hideMark/>
          </w:tcPr>
          <w:p w14:paraId="1E27B533" w14:textId="5059B710" w:rsidR="00BA29F2" w:rsidRPr="00701F32" w:rsidRDefault="00BA29F2" w:rsidP="001A3619">
            <w:pPr>
              <w:jc w:val="right"/>
              <w:rPr>
                <w:rFonts w:ascii="Arial" w:hAnsi="Arial" w:cs="Arial"/>
                <w:b/>
                <w:bCs/>
                <w:sz w:val="16"/>
                <w:szCs w:val="16"/>
                <w:lang w:eastAsia="es-AR"/>
              </w:rPr>
            </w:pPr>
            <w:r w:rsidRPr="00886ABA">
              <w:rPr>
                <w:rFonts w:ascii="Arial" w:hAnsi="Arial" w:cs="Arial"/>
                <w:b/>
                <w:sz w:val="16"/>
                <w:szCs w:val="16"/>
              </w:rPr>
              <w:t>-1.383.817</w:t>
            </w:r>
          </w:p>
        </w:tc>
      </w:tr>
      <w:tr w:rsidR="005379A3" w:rsidRPr="00701F32" w14:paraId="38B264FC" w14:textId="77777777" w:rsidTr="006E1AF7">
        <w:tc>
          <w:tcPr>
            <w:tcW w:w="2978" w:type="dxa"/>
            <w:tcBorders>
              <w:top w:val="nil"/>
              <w:left w:val="single" w:sz="4" w:space="0" w:color="auto"/>
              <w:bottom w:val="single" w:sz="4" w:space="0" w:color="auto"/>
              <w:right w:val="single" w:sz="4" w:space="0" w:color="auto"/>
            </w:tcBorders>
            <w:shd w:val="clear" w:color="auto" w:fill="auto"/>
            <w:vAlign w:val="bottom"/>
            <w:hideMark/>
          </w:tcPr>
          <w:p w14:paraId="7F29AEB6" w14:textId="77777777" w:rsidR="00BA29F2" w:rsidRPr="00701F32" w:rsidRDefault="00BA29F2" w:rsidP="00BA29F2">
            <w:pPr>
              <w:rPr>
                <w:rFonts w:ascii="Arial" w:hAnsi="Arial" w:cs="Arial"/>
                <w:b/>
                <w:bCs/>
                <w:sz w:val="16"/>
                <w:szCs w:val="16"/>
                <w:lang w:eastAsia="es-AR"/>
              </w:rPr>
            </w:pPr>
            <w:r w:rsidRPr="00701F32">
              <w:rPr>
                <w:rFonts w:ascii="Arial" w:hAnsi="Arial" w:cs="Arial"/>
                <w:b/>
                <w:bCs/>
                <w:sz w:val="16"/>
                <w:szCs w:val="16"/>
                <w:lang w:eastAsia="es-AR"/>
              </w:rPr>
              <w:t>Provisiones</w:t>
            </w:r>
          </w:p>
        </w:tc>
        <w:tc>
          <w:tcPr>
            <w:tcW w:w="1134" w:type="dxa"/>
            <w:tcBorders>
              <w:top w:val="nil"/>
              <w:left w:val="nil"/>
              <w:bottom w:val="single" w:sz="4" w:space="0" w:color="auto"/>
              <w:right w:val="single" w:sz="4" w:space="0" w:color="auto"/>
            </w:tcBorders>
            <w:shd w:val="clear" w:color="auto" w:fill="auto"/>
            <w:noWrap/>
            <w:vAlign w:val="bottom"/>
            <w:hideMark/>
          </w:tcPr>
          <w:p w14:paraId="7D208B27" w14:textId="11CB855B" w:rsidR="00BA29F2" w:rsidRPr="00701F32" w:rsidRDefault="00BA29F2" w:rsidP="001A3619">
            <w:pPr>
              <w:jc w:val="right"/>
              <w:rPr>
                <w:rFonts w:ascii="Arial" w:hAnsi="Arial" w:cs="Arial"/>
                <w:b/>
                <w:sz w:val="16"/>
                <w:szCs w:val="16"/>
              </w:rPr>
            </w:pPr>
            <w:r w:rsidRPr="00886ABA">
              <w:rPr>
                <w:rFonts w:ascii="Arial" w:hAnsi="Arial" w:cs="Arial"/>
                <w:b/>
                <w:sz w:val="16"/>
                <w:szCs w:val="16"/>
              </w:rPr>
              <w:t>-17.704</w:t>
            </w:r>
          </w:p>
        </w:tc>
        <w:tc>
          <w:tcPr>
            <w:tcW w:w="1134" w:type="dxa"/>
            <w:tcBorders>
              <w:top w:val="nil"/>
              <w:left w:val="nil"/>
              <w:bottom w:val="single" w:sz="4" w:space="0" w:color="auto"/>
              <w:right w:val="single" w:sz="4" w:space="0" w:color="auto"/>
            </w:tcBorders>
            <w:shd w:val="clear" w:color="auto" w:fill="auto"/>
            <w:noWrap/>
            <w:vAlign w:val="bottom"/>
            <w:hideMark/>
          </w:tcPr>
          <w:p w14:paraId="64874DED" w14:textId="52F9F2DA" w:rsidR="00BA29F2" w:rsidRPr="00701F32" w:rsidRDefault="00BA29F2" w:rsidP="001A3619">
            <w:pPr>
              <w:jc w:val="right"/>
              <w:rPr>
                <w:rFonts w:ascii="Arial" w:hAnsi="Arial" w:cs="Arial"/>
                <w:b/>
                <w:sz w:val="16"/>
                <w:szCs w:val="16"/>
              </w:rPr>
            </w:pPr>
            <w:r w:rsidRPr="00886ABA">
              <w:rPr>
                <w:rFonts w:ascii="Arial" w:hAnsi="Arial" w:cs="Arial"/>
                <w:b/>
                <w:sz w:val="16"/>
                <w:szCs w:val="16"/>
              </w:rPr>
              <w:t>-21.216</w:t>
            </w:r>
          </w:p>
        </w:tc>
        <w:tc>
          <w:tcPr>
            <w:tcW w:w="1276" w:type="dxa"/>
            <w:tcBorders>
              <w:top w:val="nil"/>
              <w:left w:val="nil"/>
              <w:bottom w:val="single" w:sz="4" w:space="0" w:color="auto"/>
              <w:right w:val="single" w:sz="4" w:space="0" w:color="auto"/>
            </w:tcBorders>
            <w:shd w:val="clear" w:color="auto" w:fill="auto"/>
            <w:noWrap/>
            <w:vAlign w:val="bottom"/>
            <w:hideMark/>
          </w:tcPr>
          <w:p w14:paraId="35C5798E" w14:textId="7A6C24D9" w:rsidR="00BA29F2" w:rsidRPr="00701F32" w:rsidRDefault="00BA29F2" w:rsidP="001A3619">
            <w:pPr>
              <w:jc w:val="right"/>
              <w:rPr>
                <w:rFonts w:ascii="Arial" w:hAnsi="Arial" w:cs="Arial"/>
                <w:b/>
                <w:sz w:val="16"/>
                <w:szCs w:val="16"/>
              </w:rPr>
            </w:pPr>
            <w:r w:rsidRPr="00886ABA">
              <w:rPr>
                <w:rFonts w:ascii="Arial" w:hAnsi="Arial" w:cs="Arial"/>
                <w:b/>
                <w:sz w:val="16"/>
                <w:szCs w:val="16"/>
              </w:rPr>
              <w:t>-5.340</w:t>
            </w:r>
          </w:p>
        </w:tc>
        <w:tc>
          <w:tcPr>
            <w:tcW w:w="992" w:type="dxa"/>
            <w:tcBorders>
              <w:top w:val="nil"/>
              <w:left w:val="nil"/>
              <w:bottom w:val="single" w:sz="4" w:space="0" w:color="auto"/>
              <w:right w:val="single" w:sz="4" w:space="0" w:color="auto"/>
            </w:tcBorders>
            <w:shd w:val="clear" w:color="auto" w:fill="auto"/>
            <w:noWrap/>
            <w:vAlign w:val="bottom"/>
            <w:hideMark/>
          </w:tcPr>
          <w:p w14:paraId="73D50B1C" w14:textId="0EAC3631" w:rsidR="00BA29F2" w:rsidRPr="00701F32" w:rsidRDefault="00BA29F2" w:rsidP="001A3619">
            <w:pPr>
              <w:jc w:val="right"/>
              <w:rPr>
                <w:rFonts w:ascii="Arial" w:hAnsi="Arial" w:cs="Arial"/>
                <w:b/>
                <w:sz w:val="16"/>
                <w:szCs w:val="16"/>
              </w:rPr>
            </w:pPr>
            <w:r w:rsidRPr="00886ABA">
              <w:rPr>
                <w:rFonts w:ascii="Arial" w:hAnsi="Arial" w:cs="Arial"/>
                <w:b/>
                <w:sz w:val="16"/>
                <w:szCs w:val="16"/>
              </w:rPr>
              <w:t>-28.303</w:t>
            </w:r>
          </w:p>
        </w:tc>
        <w:tc>
          <w:tcPr>
            <w:tcW w:w="1559" w:type="dxa"/>
            <w:tcBorders>
              <w:top w:val="nil"/>
              <w:left w:val="nil"/>
              <w:bottom w:val="single" w:sz="4" w:space="0" w:color="auto"/>
              <w:right w:val="single" w:sz="4" w:space="0" w:color="auto"/>
            </w:tcBorders>
            <w:shd w:val="clear" w:color="auto" w:fill="auto"/>
            <w:noWrap/>
            <w:vAlign w:val="bottom"/>
            <w:hideMark/>
          </w:tcPr>
          <w:p w14:paraId="4F1818CC" w14:textId="5E1E7A13"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084" w:type="dxa"/>
            <w:tcBorders>
              <w:top w:val="nil"/>
              <w:left w:val="nil"/>
              <w:bottom w:val="single" w:sz="4" w:space="0" w:color="auto"/>
              <w:right w:val="single" w:sz="4" w:space="0" w:color="auto"/>
            </w:tcBorders>
            <w:shd w:val="clear" w:color="auto" w:fill="auto"/>
            <w:noWrap/>
            <w:vAlign w:val="bottom"/>
            <w:hideMark/>
          </w:tcPr>
          <w:p w14:paraId="6A7C2C0A" w14:textId="341FD278" w:rsidR="00BA29F2" w:rsidRPr="00701F32" w:rsidRDefault="00BA29F2" w:rsidP="001A3619">
            <w:pPr>
              <w:jc w:val="right"/>
              <w:rPr>
                <w:rFonts w:ascii="Arial" w:hAnsi="Arial" w:cs="Arial"/>
                <w:b/>
                <w:bCs/>
                <w:sz w:val="16"/>
                <w:szCs w:val="16"/>
                <w:lang w:eastAsia="es-AR"/>
              </w:rPr>
            </w:pPr>
            <w:r w:rsidRPr="00886ABA">
              <w:rPr>
                <w:rFonts w:ascii="Arial" w:hAnsi="Arial" w:cs="Arial"/>
                <w:b/>
                <w:sz w:val="16"/>
                <w:szCs w:val="16"/>
              </w:rPr>
              <w:t>-72.563</w:t>
            </w:r>
          </w:p>
        </w:tc>
      </w:tr>
      <w:tr w:rsidR="005379A3" w:rsidRPr="00701F32" w14:paraId="1F7F6DC0" w14:textId="77777777" w:rsidTr="006E1AF7">
        <w:tc>
          <w:tcPr>
            <w:tcW w:w="2978" w:type="dxa"/>
            <w:tcBorders>
              <w:top w:val="nil"/>
              <w:left w:val="single" w:sz="4" w:space="0" w:color="auto"/>
              <w:bottom w:val="single" w:sz="4" w:space="0" w:color="auto"/>
              <w:right w:val="single" w:sz="4" w:space="0" w:color="auto"/>
            </w:tcBorders>
            <w:shd w:val="clear" w:color="auto" w:fill="auto"/>
            <w:vAlign w:val="bottom"/>
            <w:hideMark/>
          </w:tcPr>
          <w:p w14:paraId="2ED8D9DC" w14:textId="77777777" w:rsidR="00BA29F2" w:rsidRPr="00701F32" w:rsidRDefault="00BA29F2" w:rsidP="00BA29F2">
            <w:pPr>
              <w:rPr>
                <w:rFonts w:ascii="Arial" w:hAnsi="Arial" w:cs="Arial"/>
                <w:b/>
                <w:bCs/>
                <w:sz w:val="16"/>
                <w:szCs w:val="16"/>
                <w:lang w:eastAsia="es-AR"/>
              </w:rPr>
            </w:pPr>
            <w:r w:rsidRPr="00701F32">
              <w:rPr>
                <w:rFonts w:ascii="Arial" w:hAnsi="Arial" w:cs="Arial"/>
                <w:b/>
                <w:bCs/>
                <w:sz w:val="16"/>
                <w:szCs w:val="16"/>
                <w:lang w:eastAsia="es-AR"/>
              </w:rPr>
              <w:t>Otros pasivos no financieros</w:t>
            </w:r>
          </w:p>
        </w:tc>
        <w:tc>
          <w:tcPr>
            <w:tcW w:w="1134" w:type="dxa"/>
            <w:tcBorders>
              <w:top w:val="nil"/>
              <w:left w:val="nil"/>
              <w:bottom w:val="single" w:sz="4" w:space="0" w:color="auto"/>
              <w:right w:val="single" w:sz="4" w:space="0" w:color="auto"/>
            </w:tcBorders>
            <w:shd w:val="clear" w:color="auto" w:fill="auto"/>
            <w:noWrap/>
            <w:vAlign w:val="bottom"/>
            <w:hideMark/>
          </w:tcPr>
          <w:p w14:paraId="502A9D3F" w14:textId="43DA02A9" w:rsidR="00BA29F2" w:rsidRPr="00701F32" w:rsidRDefault="00BA29F2" w:rsidP="001A3619">
            <w:pPr>
              <w:jc w:val="right"/>
              <w:rPr>
                <w:rFonts w:ascii="Arial" w:hAnsi="Arial" w:cs="Arial"/>
                <w:b/>
                <w:sz w:val="16"/>
                <w:szCs w:val="16"/>
              </w:rPr>
            </w:pPr>
            <w:r w:rsidRPr="00886ABA">
              <w:rPr>
                <w:rFonts w:ascii="Arial" w:hAnsi="Arial" w:cs="Arial"/>
                <w:b/>
                <w:sz w:val="16"/>
                <w:szCs w:val="16"/>
              </w:rPr>
              <w:t>-29.765</w:t>
            </w:r>
          </w:p>
        </w:tc>
        <w:tc>
          <w:tcPr>
            <w:tcW w:w="1134" w:type="dxa"/>
            <w:tcBorders>
              <w:top w:val="nil"/>
              <w:left w:val="nil"/>
              <w:bottom w:val="single" w:sz="4" w:space="0" w:color="auto"/>
              <w:right w:val="single" w:sz="4" w:space="0" w:color="auto"/>
            </w:tcBorders>
            <w:shd w:val="clear" w:color="auto" w:fill="auto"/>
            <w:noWrap/>
            <w:vAlign w:val="bottom"/>
            <w:hideMark/>
          </w:tcPr>
          <w:p w14:paraId="0DDF48F1" w14:textId="5A7E5803" w:rsidR="00BA29F2" w:rsidRPr="00701F32" w:rsidRDefault="00BA29F2" w:rsidP="001A3619">
            <w:pPr>
              <w:jc w:val="right"/>
              <w:rPr>
                <w:rFonts w:ascii="Arial" w:hAnsi="Arial" w:cs="Arial"/>
                <w:b/>
                <w:sz w:val="16"/>
                <w:szCs w:val="16"/>
              </w:rPr>
            </w:pPr>
            <w:r w:rsidRPr="00886ABA">
              <w:rPr>
                <w:rFonts w:ascii="Arial" w:hAnsi="Arial" w:cs="Arial"/>
                <w:b/>
                <w:sz w:val="16"/>
                <w:szCs w:val="16"/>
              </w:rPr>
              <w:t>-1.029.119</w:t>
            </w:r>
          </w:p>
        </w:tc>
        <w:tc>
          <w:tcPr>
            <w:tcW w:w="1276" w:type="dxa"/>
            <w:tcBorders>
              <w:top w:val="nil"/>
              <w:left w:val="nil"/>
              <w:bottom w:val="single" w:sz="4" w:space="0" w:color="auto"/>
              <w:right w:val="single" w:sz="4" w:space="0" w:color="auto"/>
            </w:tcBorders>
            <w:shd w:val="clear" w:color="auto" w:fill="auto"/>
            <w:noWrap/>
            <w:vAlign w:val="bottom"/>
            <w:hideMark/>
          </w:tcPr>
          <w:p w14:paraId="49FDEADD" w14:textId="642A939F" w:rsidR="00BA29F2" w:rsidRPr="00701F32" w:rsidRDefault="00BA29F2" w:rsidP="001A3619">
            <w:pPr>
              <w:jc w:val="right"/>
              <w:rPr>
                <w:rFonts w:ascii="Arial" w:hAnsi="Arial" w:cs="Arial"/>
                <w:b/>
                <w:sz w:val="16"/>
                <w:szCs w:val="16"/>
              </w:rPr>
            </w:pPr>
            <w:r w:rsidRPr="00886ABA">
              <w:rPr>
                <w:rFonts w:ascii="Arial" w:hAnsi="Arial" w:cs="Arial"/>
                <w:b/>
                <w:sz w:val="16"/>
                <w:szCs w:val="16"/>
              </w:rPr>
              <w:t>-2.959.060</w:t>
            </w:r>
          </w:p>
        </w:tc>
        <w:tc>
          <w:tcPr>
            <w:tcW w:w="992" w:type="dxa"/>
            <w:tcBorders>
              <w:top w:val="nil"/>
              <w:left w:val="nil"/>
              <w:bottom w:val="single" w:sz="4" w:space="0" w:color="auto"/>
              <w:right w:val="single" w:sz="4" w:space="0" w:color="auto"/>
            </w:tcBorders>
            <w:shd w:val="clear" w:color="auto" w:fill="auto"/>
            <w:noWrap/>
            <w:vAlign w:val="bottom"/>
            <w:hideMark/>
          </w:tcPr>
          <w:p w14:paraId="2D280BA9" w14:textId="299B63FF" w:rsidR="00BA29F2" w:rsidRPr="00701F32" w:rsidRDefault="00BA29F2" w:rsidP="001A3619">
            <w:pPr>
              <w:jc w:val="right"/>
              <w:rPr>
                <w:rFonts w:ascii="Arial" w:hAnsi="Arial" w:cs="Arial"/>
                <w:b/>
                <w:sz w:val="16"/>
                <w:szCs w:val="16"/>
              </w:rPr>
            </w:pPr>
            <w:r w:rsidRPr="00886ABA">
              <w:rPr>
                <w:rFonts w:ascii="Arial" w:hAnsi="Arial" w:cs="Arial"/>
                <w:b/>
                <w:sz w:val="16"/>
                <w:szCs w:val="16"/>
              </w:rPr>
              <w:t>-630.</w:t>
            </w:r>
            <w:r w:rsidR="00AB57F7" w:rsidRPr="00886ABA">
              <w:rPr>
                <w:rFonts w:ascii="Arial" w:hAnsi="Arial" w:cs="Arial"/>
                <w:b/>
                <w:sz w:val="16"/>
                <w:szCs w:val="16"/>
              </w:rPr>
              <w:t>62</w:t>
            </w:r>
            <w:r w:rsidR="00AB57F7">
              <w:rPr>
                <w:rFonts w:ascii="Arial" w:hAnsi="Arial" w:cs="Arial"/>
                <w:b/>
                <w:sz w:val="16"/>
                <w:szCs w:val="16"/>
              </w:rPr>
              <w:t>8</w:t>
            </w:r>
          </w:p>
        </w:tc>
        <w:tc>
          <w:tcPr>
            <w:tcW w:w="1559" w:type="dxa"/>
            <w:tcBorders>
              <w:top w:val="nil"/>
              <w:left w:val="nil"/>
              <w:bottom w:val="single" w:sz="4" w:space="0" w:color="auto"/>
              <w:right w:val="single" w:sz="4" w:space="0" w:color="auto"/>
            </w:tcBorders>
            <w:shd w:val="clear" w:color="auto" w:fill="auto"/>
            <w:noWrap/>
            <w:vAlign w:val="bottom"/>
            <w:hideMark/>
          </w:tcPr>
          <w:p w14:paraId="74541108" w14:textId="77FC7EDD" w:rsidR="00BA29F2" w:rsidRPr="00701F32" w:rsidRDefault="00BA29F2" w:rsidP="001A3619">
            <w:pPr>
              <w:jc w:val="right"/>
              <w:rPr>
                <w:rFonts w:ascii="Arial" w:hAnsi="Arial" w:cs="Arial"/>
                <w:b/>
                <w:sz w:val="16"/>
                <w:szCs w:val="16"/>
              </w:rPr>
            </w:pPr>
            <w:r w:rsidRPr="00886ABA">
              <w:rPr>
                <w:rFonts w:ascii="Arial" w:hAnsi="Arial" w:cs="Arial"/>
                <w:b/>
                <w:sz w:val="16"/>
                <w:szCs w:val="16"/>
              </w:rPr>
              <w:t>-</w:t>
            </w:r>
          </w:p>
        </w:tc>
        <w:tc>
          <w:tcPr>
            <w:tcW w:w="1084" w:type="dxa"/>
            <w:tcBorders>
              <w:top w:val="nil"/>
              <w:left w:val="nil"/>
              <w:bottom w:val="single" w:sz="4" w:space="0" w:color="auto"/>
              <w:right w:val="single" w:sz="4" w:space="0" w:color="auto"/>
            </w:tcBorders>
            <w:shd w:val="clear" w:color="auto" w:fill="auto"/>
            <w:noWrap/>
            <w:vAlign w:val="bottom"/>
            <w:hideMark/>
          </w:tcPr>
          <w:p w14:paraId="581E5A6A" w14:textId="49580860" w:rsidR="00BA29F2" w:rsidRPr="00701F32" w:rsidRDefault="00BA29F2" w:rsidP="001A3619">
            <w:pPr>
              <w:jc w:val="right"/>
              <w:rPr>
                <w:rFonts w:ascii="Arial" w:hAnsi="Arial" w:cs="Arial"/>
                <w:b/>
                <w:bCs/>
                <w:sz w:val="16"/>
                <w:szCs w:val="16"/>
                <w:lang w:eastAsia="es-AR"/>
              </w:rPr>
            </w:pPr>
            <w:r w:rsidRPr="00886ABA">
              <w:rPr>
                <w:rFonts w:ascii="Arial" w:hAnsi="Arial" w:cs="Arial"/>
                <w:b/>
                <w:sz w:val="16"/>
                <w:szCs w:val="16"/>
              </w:rPr>
              <w:t>-4.648.</w:t>
            </w:r>
            <w:r w:rsidR="00AB57F7" w:rsidRPr="00886ABA">
              <w:rPr>
                <w:rFonts w:ascii="Arial" w:hAnsi="Arial" w:cs="Arial"/>
                <w:b/>
                <w:sz w:val="16"/>
                <w:szCs w:val="16"/>
              </w:rPr>
              <w:t>57</w:t>
            </w:r>
            <w:r w:rsidR="00AB57F7">
              <w:rPr>
                <w:rFonts w:ascii="Arial" w:hAnsi="Arial" w:cs="Arial"/>
                <w:b/>
                <w:sz w:val="16"/>
                <w:szCs w:val="16"/>
              </w:rPr>
              <w:t>2</w:t>
            </w:r>
          </w:p>
        </w:tc>
      </w:tr>
      <w:tr w:rsidR="005379A3" w:rsidRPr="00701F32" w14:paraId="6BBA56EB" w14:textId="77777777" w:rsidTr="006E1AF7">
        <w:tc>
          <w:tcPr>
            <w:tcW w:w="2978" w:type="dxa"/>
            <w:tcBorders>
              <w:top w:val="nil"/>
              <w:left w:val="single" w:sz="4" w:space="0" w:color="auto"/>
              <w:bottom w:val="single" w:sz="4" w:space="0" w:color="auto"/>
              <w:right w:val="single" w:sz="4" w:space="0" w:color="auto"/>
            </w:tcBorders>
            <w:shd w:val="clear" w:color="auto" w:fill="auto"/>
            <w:vAlign w:val="bottom"/>
            <w:hideMark/>
          </w:tcPr>
          <w:p w14:paraId="76A21F09" w14:textId="77777777" w:rsidR="00BA29F2" w:rsidRPr="00701F32" w:rsidRDefault="00BA29F2" w:rsidP="00BA29F2">
            <w:pPr>
              <w:rPr>
                <w:rFonts w:ascii="Arial" w:hAnsi="Arial" w:cs="Arial"/>
                <w:b/>
                <w:bCs/>
                <w:sz w:val="16"/>
                <w:szCs w:val="16"/>
                <w:lang w:eastAsia="es-AR"/>
              </w:rPr>
            </w:pPr>
            <w:r w:rsidRPr="00701F32">
              <w:rPr>
                <w:rFonts w:ascii="Arial" w:hAnsi="Arial" w:cs="Arial"/>
                <w:b/>
                <w:bCs/>
                <w:sz w:val="16"/>
                <w:szCs w:val="16"/>
                <w:lang w:eastAsia="es-AR"/>
              </w:rPr>
              <w:t>TOTAL PASIVO</w:t>
            </w:r>
          </w:p>
        </w:tc>
        <w:tc>
          <w:tcPr>
            <w:tcW w:w="1134" w:type="dxa"/>
            <w:tcBorders>
              <w:top w:val="nil"/>
              <w:left w:val="nil"/>
              <w:bottom w:val="single" w:sz="4" w:space="0" w:color="auto"/>
              <w:right w:val="single" w:sz="4" w:space="0" w:color="auto"/>
            </w:tcBorders>
            <w:shd w:val="clear" w:color="auto" w:fill="auto"/>
            <w:noWrap/>
            <w:vAlign w:val="bottom"/>
            <w:hideMark/>
          </w:tcPr>
          <w:p w14:paraId="448D96A1" w14:textId="2B1711DD" w:rsidR="00BA29F2" w:rsidRPr="00701F32" w:rsidRDefault="00BA29F2" w:rsidP="001A3619">
            <w:pPr>
              <w:jc w:val="right"/>
              <w:rPr>
                <w:rFonts w:ascii="Arial" w:hAnsi="Arial" w:cs="Arial"/>
                <w:b/>
                <w:sz w:val="16"/>
                <w:szCs w:val="16"/>
              </w:rPr>
            </w:pPr>
            <w:r w:rsidRPr="00886ABA">
              <w:rPr>
                <w:rFonts w:ascii="Arial" w:hAnsi="Arial" w:cs="Arial"/>
                <w:b/>
                <w:sz w:val="16"/>
                <w:szCs w:val="16"/>
              </w:rPr>
              <w:t>-17.644.475</w:t>
            </w:r>
          </w:p>
        </w:tc>
        <w:tc>
          <w:tcPr>
            <w:tcW w:w="1134" w:type="dxa"/>
            <w:tcBorders>
              <w:top w:val="nil"/>
              <w:left w:val="nil"/>
              <w:bottom w:val="single" w:sz="4" w:space="0" w:color="auto"/>
              <w:right w:val="single" w:sz="4" w:space="0" w:color="auto"/>
            </w:tcBorders>
            <w:shd w:val="clear" w:color="auto" w:fill="auto"/>
            <w:noWrap/>
            <w:vAlign w:val="bottom"/>
            <w:hideMark/>
          </w:tcPr>
          <w:p w14:paraId="06D869CC" w14:textId="27BC8FFC" w:rsidR="00BA29F2" w:rsidRPr="00701F32" w:rsidRDefault="00BA29F2" w:rsidP="001A3619">
            <w:pPr>
              <w:jc w:val="right"/>
              <w:rPr>
                <w:rFonts w:ascii="Arial" w:hAnsi="Arial" w:cs="Arial"/>
                <w:b/>
                <w:sz w:val="16"/>
                <w:szCs w:val="16"/>
              </w:rPr>
            </w:pPr>
            <w:r w:rsidRPr="00886ABA">
              <w:rPr>
                <w:rFonts w:ascii="Arial" w:hAnsi="Arial" w:cs="Arial"/>
                <w:b/>
                <w:sz w:val="16"/>
                <w:szCs w:val="16"/>
              </w:rPr>
              <w:t>-55.240.226</w:t>
            </w:r>
          </w:p>
        </w:tc>
        <w:tc>
          <w:tcPr>
            <w:tcW w:w="1276" w:type="dxa"/>
            <w:tcBorders>
              <w:top w:val="nil"/>
              <w:left w:val="nil"/>
              <w:bottom w:val="single" w:sz="4" w:space="0" w:color="auto"/>
              <w:right w:val="single" w:sz="4" w:space="0" w:color="auto"/>
            </w:tcBorders>
            <w:shd w:val="clear" w:color="auto" w:fill="auto"/>
            <w:noWrap/>
            <w:vAlign w:val="bottom"/>
            <w:hideMark/>
          </w:tcPr>
          <w:p w14:paraId="375F5947" w14:textId="15AEC2B5" w:rsidR="00BA29F2" w:rsidRPr="00701F32" w:rsidRDefault="00BA29F2" w:rsidP="001A3619">
            <w:pPr>
              <w:jc w:val="right"/>
              <w:rPr>
                <w:rFonts w:ascii="Arial" w:hAnsi="Arial" w:cs="Arial"/>
                <w:b/>
                <w:sz w:val="16"/>
                <w:szCs w:val="16"/>
              </w:rPr>
            </w:pPr>
            <w:r w:rsidRPr="00886ABA">
              <w:rPr>
                <w:rFonts w:ascii="Arial" w:hAnsi="Arial" w:cs="Arial"/>
                <w:b/>
                <w:sz w:val="16"/>
                <w:szCs w:val="16"/>
              </w:rPr>
              <w:t>-47.078.416</w:t>
            </w:r>
          </w:p>
        </w:tc>
        <w:tc>
          <w:tcPr>
            <w:tcW w:w="992" w:type="dxa"/>
            <w:tcBorders>
              <w:top w:val="nil"/>
              <w:left w:val="nil"/>
              <w:bottom w:val="single" w:sz="4" w:space="0" w:color="auto"/>
              <w:right w:val="single" w:sz="4" w:space="0" w:color="auto"/>
            </w:tcBorders>
            <w:shd w:val="clear" w:color="auto" w:fill="auto"/>
            <w:noWrap/>
            <w:vAlign w:val="bottom"/>
            <w:hideMark/>
          </w:tcPr>
          <w:p w14:paraId="5FF0CC09" w14:textId="51462371" w:rsidR="00BA29F2" w:rsidRPr="00701F32" w:rsidRDefault="00BA29F2" w:rsidP="001A3619">
            <w:pPr>
              <w:jc w:val="right"/>
              <w:rPr>
                <w:rFonts w:ascii="Arial" w:hAnsi="Arial" w:cs="Arial"/>
                <w:b/>
                <w:sz w:val="16"/>
                <w:szCs w:val="16"/>
              </w:rPr>
            </w:pPr>
            <w:r w:rsidRPr="00886ABA">
              <w:rPr>
                <w:rFonts w:ascii="Arial" w:hAnsi="Arial" w:cs="Arial"/>
                <w:b/>
                <w:sz w:val="16"/>
                <w:szCs w:val="16"/>
              </w:rPr>
              <w:t>-6.893.04</w:t>
            </w:r>
            <w:r w:rsidR="00AB57F7">
              <w:rPr>
                <w:rFonts w:ascii="Arial" w:hAnsi="Arial" w:cs="Arial"/>
                <w:b/>
                <w:sz w:val="16"/>
                <w:szCs w:val="16"/>
              </w:rPr>
              <w:t>4</w:t>
            </w:r>
          </w:p>
        </w:tc>
        <w:tc>
          <w:tcPr>
            <w:tcW w:w="1559" w:type="dxa"/>
            <w:tcBorders>
              <w:top w:val="nil"/>
              <w:left w:val="nil"/>
              <w:bottom w:val="single" w:sz="4" w:space="0" w:color="auto"/>
              <w:right w:val="single" w:sz="4" w:space="0" w:color="auto"/>
            </w:tcBorders>
            <w:shd w:val="clear" w:color="auto" w:fill="auto"/>
            <w:noWrap/>
            <w:vAlign w:val="bottom"/>
            <w:hideMark/>
          </w:tcPr>
          <w:p w14:paraId="33D06DE8" w14:textId="06AE2CB0" w:rsidR="00BA29F2" w:rsidRPr="00701F32" w:rsidRDefault="00BA29F2" w:rsidP="001A3619">
            <w:pPr>
              <w:jc w:val="right"/>
              <w:rPr>
                <w:rFonts w:ascii="Arial" w:hAnsi="Arial" w:cs="Arial"/>
                <w:b/>
                <w:sz w:val="16"/>
                <w:szCs w:val="16"/>
              </w:rPr>
            </w:pPr>
            <w:r w:rsidRPr="00886ABA">
              <w:rPr>
                <w:rFonts w:ascii="Arial" w:hAnsi="Arial" w:cs="Arial"/>
                <w:b/>
                <w:sz w:val="16"/>
                <w:szCs w:val="16"/>
              </w:rPr>
              <w:t>2.918.454</w:t>
            </w:r>
          </w:p>
        </w:tc>
        <w:tc>
          <w:tcPr>
            <w:tcW w:w="1084" w:type="dxa"/>
            <w:tcBorders>
              <w:top w:val="nil"/>
              <w:left w:val="nil"/>
              <w:bottom w:val="single" w:sz="4" w:space="0" w:color="auto"/>
              <w:right w:val="single" w:sz="4" w:space="0" w:color="auto"/>
            </w:tcBorders>
            <w:shd w:val="clear" w:color="auto" w:fill="auto"/>
            <w:noWrap/>
            <w:vAlign w:val="bottom"/>
            <w:hideMark/>
          </w:tcPr>
          <w:p w14:paraId="5E1521B0" w14:textId="0ACA745B" w:rsidR="00BA29F2" w:rsidRPr="00701F32" w:rsidRDefault="00BA29F2" w:rsidP="001A3619">
            <w:pPr>
              <w:jc w:val="right"/>
              <w:rPr>
                <w:rFonts w:ascii="Arial" w:hAnsi="Arial" w:cs="Arial"/>
                <w:b/>
                <w:bCs/>
                <w:sz w:val="16"/>
                <w:szCs w:val="16"/>
                <w:lang w:eastAsia="es-AR"/>
              </w:rPr>
            </w:pPr>
            <w:r w:rsidRPr="00886ABA">
              <w:rPr>
                <w:rFonts w:ascii="Arial" w:hAnsi="Arial" w:cs="Arial"/>
                <w:b/>
                <w:sz w:val="16"/>
                <w:szCs w:val="16"/>
              </w:rPr>
              <w:t>-123.937.</w:t>
            </w:r>
            <w:r w:rsidR="00AB57F7" w:rsidRPr="00886ABA">
              <w:rPr>
                <w:rFonts w:ascii="Arial" w:hAnsi="Arial" w:cs="Arial"/>
                <w:b/>
                <w:sz w:val="16"/>
                <w:szCs w:val="16"/>
              </w:rPr>
              <w:t>70</w:t>
            </w:r>
            <w:r w:rsidR="00AB57F7">
              <w:rPr>
                <w:rFonts w:ascii="Arial" w:hAnsi="Arial" w:cs="Arial"/>
                <w:b/>
                <w:sz w:val="16"/>
                <w:szCs w:val="16"/>
              </w:rPr>
              <w:t>7</w:t>
            </w:r>
          </w:p>
        </w:tc>
      </w:tr>
    </w:tbl>
    <w:p w14:paraId="414A5356" w14:textId="52B4AE4F" w:rsidR="007A6B2D" w:rsidRDefault="007A6B2D" w:rsidP="004933F7">
      <w:pPr>
        <w:spacing w:after="160" w:line="259" w:lineRule="auto"/>
        <w:jc w:val="both"/>
        <w:rPr>
          <w:rFonts w:ascii="Arial" w:eastAsia="Calibri" w:hAnsi="Arial" w:cs="Arial"/>
          <w:bCs/>
          <w:sz w:val="16"/>
          <w:szCs w:val="16"/>
        </w:rPr>
      </w:pPr>
    </w:p>
    <w:tbl>
      <w:tblPr>
        <w:tblW w:w="10078" w:type="dxa"/>
        <w:tblInd w:w="-356" w:type="dxa"/>
        <w:tblLayout w:type="fixed"/>
        <w:tblCellMar>
          <w:left w:w="70" w:type="dxa"/>
          <w:right w:w="70" w:type="dxa"/>
        </w:tblCellMar>
        <w:tblLook w:val="04A0" w:firstRow="1" w:lastRow="0" w:firstColumn="1" w:lastColumn="0" w:noHBand="0" w:noVBand="1"/>
      </w:tblPr>
      <w:tblGrid>
        <w:gridCol w:w="3687"/>
        <w:gridCol w:w="992"/>
        <w:gridCol w:w="992"/>
        <w:gridCol w:w="992"/>
        <w:gridCol w:w="993"/>
        <w:gridCol w:w="1275"/>
        <w:gridCol w:w="1147"/>
      </w:tblGrid>
      <w:tr w:rsidR="007A6B2D" w:rsidRPr="00701F32" w14:paraId="1EDACC29" w14:textId="77777777" w:rsidTr="006E1AF7">
        <w:trPr>
          <w:tblHeader/>
        </w:trPr>
        <w:tc>
          <w:tcPr>
            <w:tcW w:w="3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61E2A" w14:textId="61DDE5B3" w:rsidR="007A6B2D" w:rsidRPr="00701F32" w:rsidRDefault="007A6B2D" w:rsidP="007A6B2D">
            <w:pPr>
              <w:jc w:val="center"/>
              <w:rPr>
                <w:rFonts w:ascii="Arial" w:hAnsi="Arial" w:cs="Arial"/>
                <w:b/>
                <w:bCs/>
                <w:sz w:val="16"/>
                <w:szCs w:val="18"/>
                <w:lang w:eastAsia="es-AR"/>
              </w:rPr>
            </w:pPr>
            <w:r w:rsidRPr="00701F32">
              <w:rPr>
                <w:rFonts w:ascii="Arial" w:hAnsi="Arial" w:cs="Arial"/>
                <w:b/>
                <w:bCs/>
                <w:sz w:val="16"/>
                <w:szCs w:val="18"/>
                <w:lang w:eastAsia="es-AR"/>
              </w:rPr>
              <w:t>Resultado por Segmentos al 3</w:t>
            </w:r>
            <w:r w:rsidR="00D538FD">
              <w:rPr>
                <w:rFonts w:ascii="Arial" w:hAnsi="Arial" w:cs="Arial"/>
                <w:b/>
                <w:bCs/>
                <w:sz w:val="16"/>
                <w:szCs w:val="18"/>
                <w:lang w:eastAsia="es-AR"/>
              </w:rPr>
              <w:t>1</w:t>
            </w:r>
            <w:r w:rsidRPr="00701F32">
              <w:rPr>
                <w:rFonts w:ascii="Arial" w:hAnsi="Arial" w:cs="Arial"/>
                <w:b/>
                <w:bCs/>
                <w:sz w:val="16"/>
                <w:szCs w:val="18"/>
                <w:lang w:eastAsia="es-AR"/>
              </w:rPr>
              <w:t>/</w:t>
            </w:r>
            <w:r w:rsidR="00D538FD">
              <w:rPr>
                <w:rFonts w:ascii="Arial" w:hAnsi="Arial" w:cs="Arial"/>
                <w:b/>
                <w:bCs/>
                <w:sz w:val="16"/>
                <w:szCs w:val="18"/>
                <w:lang w:eastAsia="es-AR"/>
              </w:rPr>
              <w:t>12</w:t>
            </w:r>
            <w:r w:rsidRPr="00701F32">
              <w:rPr>
                <w:rFonts w:ascii="Arial" w:hAnsi="Arial" w:cs="Arial"/>
                <w:b/>
                <w:bCs/>
                <w:sz w:val="16"/>
                <w:szCs w:val="18"/>
                <w:lang w:eastAsia="es-AR"/>
              </w:rPr>
              <w:t>/2018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FEFAD" w14:textId="77777777" w:rsidR="007A6B2D" w:rsidRPr="00701F32" w:rsidRDefault="007A6B2D" w:rsidP="007A6B2D">
            <w:pPr>
              <w:jc w:val="center"/>
              <w:rPr>
                <w:rFonts w:ascii="Arial" w:hAnsi="Arial" w:cs="Arial"/>
                <w:b/>
                <w:bCs/>
                <w:sz w:val="16"/>
                <w:szCs w:val="18"/>
                <w:lang w:eastAsia="es-AR"/>
              </w:rPr>
            </w:pPr>
            <w:r w:rsidRPr="00701F32">
              <w:rPr>
                <w:rFonts w:ascii="Arial" w:hAnsi="Arial" w:cs="Arial"/>
                <w:b/>
                <w:bCs/>
                <w:sz w:val="16"/>
                <w:szCs w:val="18"/>
                <w:lang w:eastAsia="es-AR"/>
              </w:rPr>
              <w:t>Banca Empresa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A7F17" w14:textId="77777777" w:rsidR="007A6B2D" w:rsidRPr="00701F32" w:rsidRDefault="007A6B2D" w:rsidP="007A6B2D">
            <w:pPr>
              <w:jc w:val="center"/>
              <w:rPr>
                <w:rFonts w:ascii="Arial" w:hAnsi="Arial" w:cs="Arial"/>
                <w:b/>
                <w:bCs/>
                <w:sz w:val="16"/>
                <w:szCs w:val="18"/>
                <w:lang w:eastAsia="es-AR"/>
              </w:rPr>
            </w:pPr>
            <w:r w:rsidRPr="00701F32">
              <w:rPr>
                <w:rFonts w:ascii="Arial" w:hAnsi="Arial" w:cs="Arial"/>
                <w:b/>
                <w:bCs/>
                <w:sz w:val="16"/>
                <w:szCs w:val="18"/>
                <w:lang w:eastAsia="es-AR"/>
              </w:rPr>
              <w:t>Banca Minorista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A5486" w14:textId="77777777" w:rsidR="007A6B2D" w:rsidRPr="00701F32" w:rsidRDefault="007A6B2D" w:rsidP="007A6B2D">
            <w:pPr>
              <w:jc w:val="center"/>
              <w:rPr>
                <w:rFonts w:ascii="Arial" w:hAnsi="Arial" w:cs="Arial"/>
                <w:b/>
                <w:bCs/>
                <w:sz w:val="16"/>
                <w:szCs w:val="18"/>
                <w:lang w:eastAsia="es-AR"/>
              </w:rPr>
            </w:pPr>
            <w:r w:rsidRPr="00701F32">
              <w:rPr>
                <w:rFonts w:ascii="Arial" w:hAnsi="Arial" w:cs="Arial"/>
                <w:b/>
                <w:bCs/>
                <w:sz w:val="16"/>
                <w:szCs w:val="18"/>
                <w:lang w:eastAsia="es-AR"/>
              </w:rPr>
              <w:t>Tesorería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34950E1" w14:textId="77777777" w:rsidR="007A6B2D" w:rsidRPr="00701F32" w:rsidRDefault="007A6B2D" w:rsidP="007A6B2D">
            <w:pPr>
              <w:jc w:val="center"/>
              <w:rPr>
                <w:rFonts w:ascii="Arial" w:hAnsi="Arial" w:cs="Arial"/>
                <w:b/>
                <w:bCs/>
                <w:sz w:val="16"/>
                <w:szCs w:val="18"/>
                <w:lang w:eastAsia="es-AR"/>
              </w:rPr>
            </w:pPr>
            <w:r w:rsidRPr="00701F32">
              <w:rPr>
                <w:rFonts w:ascii="Arial" w:hAnsi="Arial" w:cs="Arial"/>
                <w:b/>
                <w:bCs/>
                <w:sz w:val="16"/>
                <w:szCs w:val="18"/>
                <w:lang w:eastAsia="es-AR"/>
              </w:rPr>
              <w:t>Consumo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0840F" w14:textId="68A81DF3" w:rsidR="007A6B2D" w:rsidRPr="00701F32" w:rsidRDefault="005379A3" w:rsidP="007A6B2D">
            <w:pPr>
              <w:jc w:val="center"/>
              <w:rPr>
                <w:rFonts w:ascii="Arial" w:hAnsi="Arial" w:cs="Arial"/>
                <w:b/>
                <w:bCs/>
                <w:sz w:val="16"/>
                <w:szCs w:val="18"/>
                <w:lang w:eastAsia="es-AR"/>
              </w:rPr>
            </w:pPr>
            <w:r>
              <w:rPr>
                <w:rFonts w:ascii="Arial" w:hAnsi="Arial" w:cs="Arial"/>
                <w:b/>
                <w:bCs/>
                <w:sz w:val="16"/>
                <w:szCs w:val="18"/>
                <w:lang w:eastAsia="es-AR"/>
              </w:rPr>
              <w:t>Elimiaciones</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6EF65" w14:textId="77777777" w:rsidR="007A6B2D" w:rsidRPr="00701F32" w:rsidRDefault="007A6B2D" w:rsidP="007A6B2D">
            <w:pPr>
              <w:jc w:val="center"/>
              <w:rPr>
                <w:rFonts w:ascii="Arial" w:hAnsi="Arial" w:cs="Arial"/>
                <w:b/>
                <w:bCs/>
                <w:sz w:val="16"/>
                <w:szCs w:val="18"/>
                <w:lang w:eastAsia="es-AR"/>
              </w:rPr>
            </w:pPr>
            <w:r w:rsidRPr="00701F32">
              <w:rPr>
                <w:rFonts w:ascii="Arial" w:hAnsi="Arial" w:cs="Arial"/>
                <w:b/>
                <w:bCs/>
                <w:sz w:val="16"/>
                <w:szCs w:val="18"/>
                <w:lang w:eastAsia="es-AR"/>
              </w:rPr>
              <w:t>TOTAL</w:t>
            </w:r>
          </w:p>
        </w:tc>
      </w:tr>
      <w:tr w:rsidR="00BA29F2" w:rsidRPr="00701F32" w14:paraId="4AB5A40E" w14:textId="77777777" w:rsidTr="006E1AF7">
        <w:tc>
          <w:tcPr>
            <w:tcW w:w="3687" w:type="dxa"/>
            <w:tcBorders>
              <w:top w:val="single" w:sz="4" w:space="0" w:color="auto"/>
              <w:left w:val="single" w:sz="4" w:space="0" w:color="auto"/>
              <w:bottom w:val="nil"/>
              <w:right w:val="single" w:sz="4" w:space="0" w:color="auto"/>
            </w:tcBorders>
            <w:shd w:val="clear" w:color="auto" w:fill="auto"/>
            <w:noWrap/>
            <w:vAlign w:val="bottom"/>
            <w:hideMark/>
          </w:tcPr>
          <w:p w14:paraId="4AD70BE6" w14:textId="77777777" w:rsidR="00BA29F2" w:rsidRPr="00701F32" w:rsidRDefault="00BA29F2" w:rsidP="00BA29F2">
            <w:pPr>
              <w:rPr>
                <w:rFonts w:ascii="Arial" w:hAnsi="Arial" w:cs="Arial"/>
                <w:sz w:val="16"/>
                <w:szCs w:val="18"/>
                <w:lang w:eastAsia="es-AR"/>
              </w:rPr>
            </w:pPr>
            <w:r w:rsidRPr="00701F32">
              <w:rPr>
                <w:rFonts w:ascii="Arial" w:hAnsi="Arial" w:cs="Arial"/>
                <w:sz w:val="16"/>
                <w:szCs w:val="18"/>
                <w:lang w:eastAsia="es-AR"/>
              </w:rPr>
              <w:t xml:space="preserve"> Ingresos por intereses </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36F04993" w14:textId="476969E6" w:rsidR="00BA29F2" w:rsidRPr="00701F32" w:rsidRDefault="00BA29F2" w:rsidP="00BA29F2">
            <w:pPr>
              <w:jc w:val="right"/>
              <w:rPr>
                <w:rFonts w:ascii="Arial" w:hAnsi="Arial" w:cs="Arial"/>
                <w:sz w:val="16"/>
                <w:szCs w:val="18"/>
              </w:rPr>
            </w:pPr>
            <w:r w:rsidRPr="00886ABA">
              <w:rPr>
                <w:rFonts w:ascii="Arial" w:hAnsi="Arial" w:cs="Arial"/>
                <w:sz w:val="16"/>
                <w:szCs w:val="16"/>
              </w:rPr>
              <w:t>8.996.130</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3B437022" w14:textId="3BEE5A20" w:rsidR="00BA29F2" w:rsidRPr="00701F32" w:rsidRDefault="00BA29F2" w:rsidP="00BA29F2">
            <w:pPr>
              <w:jc w:val="right"/>
              <w:rPr>
                <w:rFonts w:ascii="Arial" w:hAnsi="Arial" w:cs="Arial"/>
                <w:sz w:val="16"/>
                <w:szCs w:val="18"/>
              </w:rPr>
            </w:pPr>
            <w:r w:rsidRPr="00886ABA">
              <w:rPr>
                <w:rFonts w:ascii="Arial" w:hAnsi="Arial" w:cs="Arial"/>
                <w:sz w:val="16"/>
                <w:szCs w:val="16"/>
              </w:rPr>
              <w:t>11.353.869</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25319920" w14:textId="385AA768" w:rsidR="00BA29F2" w:rsidRPr="00701F32" w:rsidRDefault="00BA29F2" w:rsidP="00BA29F2">
            <w:pPr>
              <w:jc w:val="right"/>
              <w:rPr>
                <w:rFonts w:ascii="Arial" w:hAnsi="Arial" w:cs="Arial"/>
                <w:sz w:val="16"/>
                <w:szCs w:val="18"/>
              </w:rPr>
            </w:pPr>
            <w:r w:rsidRPr="00886ABA">
              <w:rPr>
                <w:rFonts w:ascii="Arial" w:hAnsi="Arial" w:cs="Arial"/>
                <w:sz w:val="16"/>
                <w:szCs w:val="16"/>
              </w:rPr>
              <w:t>1.512.751</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7ACC331E" w14:textId="733A0E1F" w:rsidR="00BA29F2" w:rsidRPr="00701F32" w:rsidRDefault="00BA29F2" w:rsidP="00BA29F2">
            <w:pPr>
              <w:jc w:val="right"/>
              <w:rPr>
                <w:rFonts w:ascii="Arial" w:hAnsi="Arial" w:cs="Arial"/>
                <w:sz w:val="16"/>
                <w:szCs w:val="18"/>
              </w:rPr>
            </w:pPr>
            <w:r w:rsidRPr="00886ABA">
              <w:rPr>
                <w:rFonts w:ascii="Arial" w:hAnsi="Arial" w:cs="Arial"/>
                <w:sz w:val="16"/>
                <w:szCs w:val="16"/>
              </w:rPr>
              <w:t>3.919.778</w:t>
            </w:r>
          </w:p>
        </w:tc>
        <w:tc>
          <w:tcPr>
            <w:tcW w:w="1275" w:type="dxa"/>
            <w:tcBorders>
              <w:top w:val="single" w:sz="4" w:space="0" w:color="auto"/>
              <w:left w:val="single" w:sz="4" w:space="0" w:color="auto"/>
              <w:bottom w:val="nil"/>
              <w:right w:val="single" w:sz="4" w:space="0" w:color="auto"/>
            </w:tcBorders>
            <w:shd w:val="clear" w:color="auto" w:fill="auto"/>
            <w:noWrap/>
            <w:vAlign w:val="bottom"/>
            <w:hideMark/>
          </w:tcPr>
          <w:p w14:paraId="06D20594" w14:textId="51A68761" w:rsidR="00BA29F2" w:rsidRPr="00701F32" w:rsidRDefault="00BA29F2" w:rsidP="00BA29F2">
            <w:pPr>
              <w:jc w:val="right"/>
              <w:rPr>
                <w:rFonts w:ascii="Arial" w:hAnsi="Arial" w:cs="Arial"/>
                <w:sz w:val="16"/>
                <w:szCs w:val="18"/>
              </w:rPr>
            </w:pPr>
            <w:r w:rsidRPr="00886ABA">
              <w:rPr>
                <w:rFonts w:ascii="Arial" w:hAnsi="Arial" w:cs="Arial"/>
                <w:sz w:val="16"/>
                <w:szCs w:val="16"/>
              </w:rPr>
              <w:t>-997.545</w:t>
            </w:r>
          </w:p>
        </w:tc>
        <w:tc>
          <w:tcPr>
            <w:tcW w:w="1147" w:type="dxa"/>
            <w:tcBorders>
              <w:top w:val="single" w:sz="4" w:space="0" w:color="auto"/>
              <w:left w:val="single" w:sz="4" w:space="0" w:color="auto"/>
              <w:bottom w:val="nil"/>
              <w:right w:val="single" w:sz="4" w:space="0" w:color="auto"/>
            </w:tcBorders>
            <w:shd w:val="clear" w:color="auto" w:fill="auto"/>
            <w:noWrap/>
            <w:vAlign w:val="bottom"/>
            <w:hideMark/>
          </w:tcPr>
          <w:p w14:paraId="422CC606" w14:textId="4C4D995C" w:rsidR="00BA29F2" w:rsidRPr="00701F32" w:rsidRDefault="00BA29F2" w:rsidP="00BA29F2">
            <w:pPr>
              <w:jc w:val="right"/>
              <w:rPr>
                <w:rFonts w:ascii="Arial" w:hAnsi="Arial" w:cs="Arial"/>
                <w:sz w:val="16"/>
                <w:szCs w:val="18"/>
              </w:rPr>
            </w:pPr>
            <w:r w:rsidRPr="00886ABA">
              <w:rPr>
                <w:rFonts w:ascii="Arial" w:hAnsi="Arial" w:cs="Arial"/>
                <w:sz w:val="16"/>
                <w:szCs w:val="16"/>
              </w:rPr>
              <w:t>24.784.983</w:t>
            </w:r>
          </w:p>
        </w:tc>
      </w:tr>
      <w:tr w:rsidR="00BA29F2" w:rsidRPr="00701F32" w14:paraId="2952D6AC" w14:textId="77777777" w:rsidTr="006E1AF7">
        <w:tc>
          <w:tcPr>
            <w:tcW w:w="3687" w:type="dxa"/>
            <w:tcBorders>
              <w:top w:val="nil"/>
              <w:left w:val="single" w:sz="4" w:space="0" w:color="auto"/>
              <w:bottom w:val="nil"/>
              <w:right w:val="single" w:sz="4" w:space="0" w:color="auto"/>
            </w:tcBorders>
            <w:shd w:val="clear" w:color="auto" w:fill="auto"/>
            <w:noWrap/>
            <w:vAlign w:val="bottom"/>
            <w:hideMark/>
          </w:tcPr>
          <w:p w14:paraId="356378B1" w14:textId="77777777" w:rsidR="00BA29F2" w:rsidRPr="00701F32" w:rsidRDefault="00BA29F2" w:rsidP="00BA29F2">
            <w:pPr>
              <w:rPr>
                <w:rFonts w:ascii="Arial" w:hAnsi="Arial" w:cs="Arial"/>
                <w:sz w:val="16"/>
                <w:szCs w:val="18"/>
                <w:lang w:eastAsia="es-AR"/>
              </w:rPr>
            </w:pPr>
            <w:r w:rsidRPr="00701F32">
              <w:rPr>
                <w:rFonts w:ascii="Arial" w:hAnsi="Arial" w:cs="Arial"/>
                <w:sz w:val="16"/>
                <w:szCs w:val="18"/>
                <w:lang w:eastAsia="es-AR"/>
              </w:rPr>
              <w:t xml:space="preserve"> Egresos por intereses </w:t>
            </w:r>
          </w:p>
        </w:tc>
        <w:tc>
          <w:tcPr>
            <w:tcW w:w="992" w:type="dxa"/>
            <w:tcBorders>
              <w:top w:val="nil"/>
              <w:left w:val="single" w:sz="4" w:space="0" w:color="auto"/>
              <w:bottom w:val="nil"/>
              <w:right w:val="single" w:sz="4" w:space="0" w:color="auto"/>
            </w:tcBorders>
            <w:shd w:val="clear" w:color="auto" w:fill="auto"/>
            <w:noWrap/>
            <w:vAlign w:val="bottom"/>
            <w:hideMark/>
          </w:tcPr>
          <w:p w14:paraId="4419DC57" w14:textId="1FD853A2"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1.141.696</w:t>
            </w:r>
          </w:p>
        </w:tc>
        <w:tc>
          <w:tcPr>
            <w:tcW w:w="992" w:type="dxa"/>
            <w:tcBorders>
              <w:top w:val="nil"/>
              <w:left w:val="single" w:sz="4" w:space="0" w:color="auto"/>
              <w:bottom w:val="nil"/>
              <w:right w:val="single" w:sz="4" w:space="0" w:color="auto"/>
            </w:tcBorders>
            <w:shd w:val="clear" w:color="auto" w:fill="auto"/>
            <w:noWrap/>
            <w:vAlign w:val="bottom"/>
            <w:hideMark/>
          </w:tcPr>
          <w:p w14:paraId="2F26DEBB" w14:textId="490D41B2"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3.525.904</w:t>
            </w:r>
          </w:p>
        </w:tc>
        <w:tc>
          <w:tcPr>
            <w:tcW w:w="992" w:type="dxa"/>
            <w:tcBorders>
              <w:top w:val="nil"/>
              <w:left w:val="single" w:sz="4" w:space="0" w:color="auto"/>
              <w:bottom w:val="nil"/>
              <w:right w:val="single" w:sz="4" w:space="0" w:color="auto"/>
            </w:tcBorders>
            <w:shd w:val="clear" w:color="auto" w:fill="auto"/>
            <w:noWrap/>
            <w:vAlign w:val="bottom"/>
            <w:hideMark/>
          </w:tcPr>
          <w:p w14:paraId="013B7FB5" w14:textId="1C9E2D52"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9.375.091</w:t>
            </w:r>
          </w:p>
        </w:tc>
        <w:tc>
          <w:tcPr>
            <w:tcW w:w="993" w:type="dxa"/>
            <w:tcBorders>
              <w:top w:val="nil"/>
              <w:left w:val="single" w:sz="4" w:space="0" w:color="auto"/>
              <w:bottom w:val="nil"/>
              <w:right w:val="single" w:sz="4" w:space="0" w:color="auto"/>
            </w:tcBorders>
            <w:shd w:val="clear" w:color="auto" w:fill="auto"/>
            <w:noWrap/>
            <w:vAlign w:val="bottom"/>
            <w:hideMark/>
          </w:tcPr>
          <w:p w14:paraId="629EF913" w14:textId="7B3D6C97"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1.595.846</w:t>
            </w:r>
          </w:p>
        </w:tc>
        <w:tc>
          <w:tcPr>
            <w:tcW w:w="1275" w:type="dxa"/>
            <w:tcBorders>
              <w:top w:val="nil"/>
              <w:left w:val="single" w:sz="4" w:space="0" w:color="auto"/>
              <w:bottom w:val="nil"/>
              <w:right w:val="single" w:sz="4" w:space="0" w:color="auto"/>
            </w:tcBorders>
            <w:shd w:val="clear" w:color="auto" w:fill="auto"/>
            <w:noWrap/>
            <w:vAlign w:val="bottom"/>
            <w:hideMark/>
          </w:tcPr>
          <w:p w14:paraId="07C64232" w14:textId="13DE736B" w:rsidR="00BA29F2" w:rsidRPr="00701F32" w:rsidRDefault="00BA29F2" w:rsidP="00BA29F2">
            <w:pPr>
              <w:jc w:val="right"/>
              <w:rPr>
                <w:rFonts w:ascii="Arial" w:hAnsi="Arial" w:cs="Arial"/>
                <w:sz w:val="16"/>
                <w:szCs w:val="18"/>
              </w:rPr>
            </w:pPr>
            <w:r w:rsidRPr="00886ABA">
              <w:rPr>
                <w:rFonts w:ascii="Arial" w:hAnsi="Arial" w:cs="Arial"/>
                <w:sz w:val="16"/>
                <w:szCs w:val="16"/>
              </w:rPr>
              <w:t>770.831</w:t>
            </w:r>
          </w:p>
        </w:tc>
        <w:tc>
          <w:tcPr>
            <w:tcW w:w="1147" w:type="dxa"/>
            <w:tcBorders>
              <w:top w:val="nil"/>
              <w:left w:val="single" w:sz="4" w:space="0" w:color="auto"/>
              <w:bottom w:val="nil"/>
              <w:right w:val="single" w:sz="4" w:space="0" w:color="auto"/>
            </w:tcBorders>
            <w:shd w:val="clear" w:color="auto" w:fill="auto"/>
            <w:noWrap/>
            <w:vAlign w:val="bottom"/>
            <w:hideMark/>
          </w:tcPr>
          <w:p w14:paraId="5BE63382" w14:textId="7E7BD9D5"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14.867.706</w:t>
            </w:r>
          </w:p>
        </w:tc>
      </w:tr>
      <w:tr w:rsidR="00BA29F2" w:rsidRPr="00701F32" w14:paraId="682AC0EA" w14:textId="77777777" w:rsidTr="006E1AF7">
        <w:tc>
          <w:tcPr>
            <w:tcW w:w="3687" w:type="dxa"/>
            <w:tcBorders>
              <w:top w:val="nil"/>
              <w:left w:val="single" w:sz="4" w:space="0" w:color="auto"/>
              <w:bottom w:val="single" w:sz="4" w:space="0" w:color="auto"/>
              <w:right w:val="single" w:sz="4" w:space="0" w:color="auto"/>
            </w:tcBorders>
            <w:shd w:val="clear" w:color="auto" w:fill="auto"/>
            <w:noWrap/>
            <w:vAlign w:val="bottom"/>
            <w:hideMark/>
          </w:tcPr>
          <w:p w14:paraId="6A025328" w14:textId="77777777" w:rsidR="00BA29F2" w:rsidRPr="00701F32" w:rsidRDefault="00BA29F2" w:rsidP="00BA29F2">
            <w:pPr>
              <w:rPr>
                <w:rFonts w:ascii="Arial" w:hAnsi="Arial" w:cs="Arial"/>
                <w:sz w:val="16"/>
                <w:szCs w:val="18"/>
                <w:lang w:eastAsia="es-AR"/>
              </w:rPr>
            </w:pPr>
            <w:r w:rsidRPr="00701F32">
              <w:rPr>
                <w:rFonts w:ascii="Arial" w:hAnsi="Arial" w:cs="Arial"/>
                <w:sz w:val="16"/>
                <w:szCs w:val="18"/>
                <w:lang w:eastAsia="es-AR"/>
              </w:rPr>
              <w:t xml:space="preserve"> Resultados por Interés de Transferencia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63D1B17" w14:textId="05097E3E" w:rsidR="00BA29F2" w:rsidRPr="00701F32" w:rsidRDefault="00BA29F2" w:rsidP="00BA29F2">
            <w:pPr>
              <w:jc w:val="right"/>
              <w:rPr>
                <w:rFonts w:ascii="Arial" w:hAnsi="Arial" w:cs="Arial"/>
                <w:sz w:val="16"/>
                <w:szCs w:val="18"/>
              </w:rPr>
            </w:pPr>
            <w:r w:rsidRPr="00886ABA">
              <w:rPr>
                <w:rFonts w:ascii="Arial" w:hAnsi="Arial" w:cs="Arial"/>
                <w:sz w:val="16"/>
                <w:szCs w:val="16"/>
              </w:rPr>
              <w:t>-4.287.089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1454156" w14:textId="2E0FC77C" w:rsidR="00BA29F2" w:rsidRPr="00701F32" w:rsidRDefault="00BA29F2" w:rsidP="00BA29F2">
            <w:pPr>
              <w:jc w:val="right"/>
              <w:rPr>
                <w:rFonts w:ascii="Arial" w:hAnsi="Arial" w:cs="Arial"/>
                <w:sz w:val="16"/>
                <w:szCs w:val="18"/>
              </w:rPr>
            </w:pPr>
            <w:r w:rsidRPr="00886ABA">
              <w:rPr>
                <w:rFonts w:ascii="Arial" w:hAnsi="Arial" w:cs="Arial"/>
                <w:sz w:val="16"/>
                <w:szCs w:val="16"/>
              </w:rPr>
              <w:t>746.366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8E83D02" w14:textId="6650ACC2" w:rsidR="00BA29F2" w:rsidRPr="00701F32" w:rsidRDefault="00BA29F2" w:rsidP="00BA29F2">
            <w:pPr>
              <w:jc w:val="right"/>
              <w:rPr>
                <w:rFonts w:ascii="Arial" w:hAnsi="Arial" w:cs="Arial"/>
                <w:sz w:val="16"/>
                <w:szCs w:val="18"/>
              </w:rPr>
            </w:pPr>
            <w:r w:rsidRPr="00886ABA">
              <w:rPr>
                <w:rFonts w:ascii="Arial" w:hAnsi="Arial" w:cs="Arial"/>
                <w:sz w:val="16"/>
                <w:szCs w:val="16"/>
              </w:rPr>
              <w:t>3.540.723</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0795B7C" w14:textId="6FF5C050"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AB74AEF" w14:textId="3C8CCC8F"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14:paraId="74C29714" w14:textId="3C6B43E9"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r>
      <w:tr w:rsidR="00BA29F2" w:rsidRPr="00701F32" w14:paraId="75DDA71C"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7CB84" w14:textId="77777777" w:rsidR="00BA29F2" w:rsidRPr="00701F32" w:rsidRDefault="00BA29F2" w:rsidP="00BA29F2">
            <w:pPr>
              <w:rPr>
                <w:rFonts w:ascii="Arial" w:hAnsi="Arial" w:cs="Arial"/>
                <w:b/>
                <w:bCs/>
                <w:sz w:val="16"/>
                <w:szCs w:val="18"/>
                <w:lang w:eastAsia="es-AR"/>
              </w:rPr>
            </w:pPr>
            <w:r w:rsidRPr="00701F32">
              <w:rPr>
                <w:rFonts w:ascii="Arial" w:hAnsi="Arial" w:cs="Arial"/>
                <w:b/>
                <w:bCs/>
                <w:sz w:val="16"/>
                <w:szCs w:val="18"/>
                <w:lang w:eastAsia="es-AR"/>
              </w:rPr>
              <w:t xml:space="preserve"> Resultado neto por intereses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7601E" w14:textId="311217BE" w:rsidR="00BA29F2" w:rsidRPr="00701F32" w:rsidRDefault="00BA29F2" w:rsidP="00BA29F2">
            <w:pPr>
              <w:jc w:val="right"/>
              <w:rPr>
                <w:rFonts w:ascii="Arial" w:hAnsi="Arial" w:cs="Arial"/>
                <w:b/>
                <w:sz w:val="16"/>
                <w:szCs w:val="18"/>
              </w:rPr>
            </w:pPr>
            <w:r w:rsidRPr="00886ABA">
              <w:rPr>
                <w:rFonts w:ascii="Arial" w:hAnsi="Arial" w:cs="Arial"/>
                <w:b/>
                <w:sz w:val="16"/>
                <w:szCs w:val="16"/>
              </w:rPr>
              <w:t>3.567.345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F3E96" w14:textId="262FCD19" w:rsidR="00BA29F2" w:rsidRPr="00701F32" w:rsidRDefault="00BA29F2" w:rsidP="00BA29F2">
            <w:pPr>
              <w:jc w:val="right"/>
              <w:rPr>
                <w:rFonts w:ascii="Arial" w:hAnsi="Arial" w:cs="Arial"/>
                <w:b/>
                <w:sz w:val="16"/>
                <w:szCs w:val="18"/>
              </w:rPr>
            </w:pPr>
            <w:r w:rsidRPr="00886ABA">
              <w:rPr>
                <w:rFonts w:ascii="Arial" w:hAnsi="Arial" w:cs="Arial"/>
                <w:b/>
                <w:sz w:val="16"/>
                <w:szCs w:val="16"/>
              </w:rPr>
              <w:t>8.574.331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0B23E" w14:textId="1C5B426E" w:rsidR="00BA29F2" w:rsidRPr="00701F32" w:rsidRDefault="00BA29F2" w:rsidP="00BA29F2">
            <w:pPr>
              <w:jc w:val="right"/>
              <w:rPr>
                <w:rFonts w:ascii="Arial" w:hAnsi="Arial" w:cs="Arial"/>
                <w:b/>
                <w:sz w:val="16"/>
                <w:szCs w:val="18"/>
              </w:rPr>
            </w:pPr>
            <w:r w:rsidRPr="00886ABA">
              <w:rPr>
                <w:rFonts w:ascii="Arial" w:hAnsi="Arial" w:cs="Arial"/>
                <w:b/>
                <w:sz w:val="16"/>
                <w:szCs w:val="16"/>
              </w:rPr>
              <w:t>-4.321.617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2E5BE" w14:textId="2E59D999" w:rsidR="00BA29F2" w:rsidRPr="00701F32" w:rsidRDefault="00BA29F2" w:rsidP="00BA29F2">
            <w:pPr>
              <w:jc w:val="right"/>
              <w:rPr>
                <w:rFonts w:ascii="Arial" w:hAnsi="Arial" w:cs="Arial"/>
                <w:b/>
                <w:sz w:val="16"/>
                <w:szCs w:val="18"/>
              </w:rPr>
            </w:pPr>
            <w:r w:rsidRPr="00886ABA">
              <w:rPr>
                <w:rFonts w:ascii="Arial" w:hAnsi="Arial" w:cs="Arial"/>
                <w:b/>
                <w:sz w:val="16"/>
                <w:szCs w:val="16"/>
              </w:rPr>
              <w:t>2.323.932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4861C" w14:textId="653EC5BC" w:rsidR="00BA29F2" w:rsidRPr="00701F32" w:rsidRDefault="00BA29F2" w:rsidP="00BA29F2">
            <w:pPr>
              <w:jc w:val="right"/>
              <w:rPr>
                <w:rFonts w:ascii="Arial" w:hAnsi="Arial" w:cs="Arial"/>
                <w:b/>
                <w:sz w:val="16"/>
                <w:szCs w:val="18"/>
              </w:rPr>
            </w:pPr>
            <w:r w:rsidRPr="00886ABA">
              <w:rPr>
                <w:rFonts w:ascii="Arial" w:hAnsi="Arial" w:cs="Arial"/>
                <w:b/>
                <w:sz w:val="16"/>
                <w:szCs w:val="16"/>
              </w:rPr>
              <w:t>-226.714</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9C315" w14:textId="641D82C7" w:rsidR="00BA29F2" w:rsidRPr="00701F32" w:rsidRDefault="00BA29F2" w:rsidP="00BA29F2">
            <w:pPr>
              <w:jc w:val="right"/>
              <w:rPr>
                <w:rFonts w:ascii="Arial" w:hAnsi="Arial" w:cs="Arial"/>
                <w:b/>
                <w:sz w:val="16"/>
                <w:szCs w:val="18"/>
              </w:rPr>
            </w:pPr>
            <w:r w:rsidRPr="00886ABA">
              <w:rPr>
                <w:rFonts w:ascii="Arial" w:hAnsi="Arial" w:cs="Arial"/>
                <w:b/>
                <w:sz w:val="16"/>
                <w:szCs w:val="16"/>
              </w:rPr>
              <w:t>9.917.277</w:t>
            </w:r>
          </w:p>
        </w:tc>
      </w:tr>
      <w:tr w:rsidR="00BA29F2" w:rsidRPr="00701F32" w14:paraId="2410F5D9" w14:textId="77777777" w:rsidTr="006E1AF7">
        <w:tc>
          <w:tcPr>
            <w:tcW w:w="3687" w:type="dxa"/>
            <w:tcBorders>
              <w:top w:val="single" w:sz="4" w:space="0" w:color="auto"/>
              <w:left w:val="single" w:sz="4" w:space="0" w:color="auto"/>
              <w:bottom w:val="nil"/>
              <w:right w:val="single" w:sz="4" w:space="0" w:color="auto"/>
            </w:tcBorders>
            <w:shd w:val="clear" w:color="auto" w:fill="auto"/>
            <w:noWrap/>
            <w:vAlign w:val="bottom"/>
            <w:hideMark/>
          </w:tcPr>
          <w:p w14:paraId="5360DD00" w14:textId="77777777" w:rsidR="00BA29F2" w:rsidRPr="00701F32" w:rsidRDefault="00BA29F2" w:rsidP="00BA29F2">
            <w:pPr>
              <w:rPr>
                <w:rFonts w:ascii="Arial" w:hAnsi="Arial" w:cs="Arial"/>
                <w:sz w:val="16"/>
                <w:szCs w:val="18"/>
                <w:lang w:eastAsia="es-AR"/>
              </w:rPr>
            </w:pPr>
            <w:r w:rsidRPr="00701F32">
              <w:rPr>
                <w:rFonts w:ascii="Arial" w:hAnsi="Arial" w:cs="Arial"/>
                <w:sz w:val="16"/>
                <w:szCs w:val="18"/>
                <w:lang w:eastAsia="es-AR"/>
              </w:rPr>
              <w:t xml:space="preserve"> Ingresos por comisiones </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460B1E58" w14:textId="32BAE6F4" w:rsidR="00BA29F2" w:rsidRPr="00701F32" w:rsidRDefault="00BA29F2" w:rsidP="00BA29F2">
            <w:pPr>
              <w:jc w:val="right"/>
              <w:rPr>
                <w:rFonts w:ascii="Arial" w:hAnsi="Arial" w:cs="Arial"/>
                <w:sz w:val="16"/>
                <w:szCs w:val="18"/>
              </w:rPr>
            </w:pPr>
            <w:r w:rsidRPr="00886ABA">
              <w:rPr>
                <w:rFonts w:ascii="Arial" w:hAnsi="Arial" w:cs="Arial"/>
                <w:sz w:val="16"/>
                <w:szCs w:val="16"/>
              </w:rPr>
              <w:t>470.000</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3397EB8A" w14:textId="3B41A508" w:rsidR="00BA29F2" w:rsidRPr="00701F32" w:rsidRDefault="00BA29F2" w:rsidP="00BA29F2">
            <w:pPr>
              <w:jc w:val="right"/>
              <w:rPr>
                <w:rFonts w:ascii="Arial" w:hAnsi="Arial" w:cs="Arial"/>
                <w:sz w:val="16"/>
                <w:szCs w:val="18"/>
              </w:rPr>
            </w:pPr>
            <w:r w:rsidRPr="00886ABA">
              <w:rPr>
                <w:rFonts w:ascii="Arial" w:hAnsi="Arial" w:cs="Arial"/>
                <w:sz w:val="16"/>
                <w:szCs w:val="16"/>
              </w:rPr>
              <w:t>3.064.391</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6633D13E" w14:textId="1A9E7A22" w:rsidR="00BA29F2" w:rsidRPr="00701F32" w:rsidRDefault="00BA29F2" w:rsidP="00BA29F2">
            <w:pPr>
              <w:jc w:val="right"/>
              <w:rPr>
                <w:rFonts w:ascii="Arial" w:hAnsi="Arial" w:cs="Arial"/>
                <w:sz w:val="16"/>
                <w:szCs w:val="18"/>
              </w:rPr>
            </w:pPr>
            <w:r w:rsidRPr="00886ABA">
              <w:rPr>
                <w:rFonts w:ascii="Arial" w:hAnsi="Arial" w:cs="Arial"/>
                <w:sz w:val="16"/>
                <w:szCs w:val="16"/>
              </w:rPr>
              <w:t>22.909</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6CEF15A2" w14:textId="04E2B60C" w:rsidR="00BA29F2" w:rsidRPr="00701F32" w:rsidRDefault="00BA29F2" w:rsidP="00BA29F2">
            <w:pPr>
              <w:jc w:val="right"/>
              <w:rPr>
                <w:rFonts w:ascii="Arial" w:hAnsi="Arial" w:cs="Arial"/>
                <w:sz w:val="16"/>
                <w:szCs w:val="18"/>
              </w:rPr>
            </w:pPr>
            <w:r w:rsidRPr="00886ABA">
              <w:rPr>
                <w:rFonts w:ascii="Arial" w:hAnsi="Arial" w:cs="Arial"/>
                <w:sz w:val="16"/>
                <w:szCs w:val="16"/>
              </w:rPr>
              <w:t>766.313</w:t>
            </w:r>
          </w:p>
        </w:tc>
        <w:tc>
          <w:tcPr>
            <w:tcW w:w="1275" w:type="dxa"/>
            <w:tcBorders>
              <w:top w:val="single" w:sz="4" w:space="0" w:color="auto"/>
              <w:left w:val="single" w:sz="4" w:space="0" w:color="auto"/>
              <w:bottom w:val="nil"/>
              <w:right w:val="single" w:sz="4" w:space="0" w:color="auto"/>
            </w:tcBorders>
            <w:shd w:val="clear" w:color="auto" w:fill="auto"/>
            <w:noWrap/>
            <w:vAlign w:val="bottom"/>
            <w:hideMark/>
          </w:tcPr>
          <w:p w14:paraId="2B1DC716" w14:textId="18F45209" w:rsidR="00BA29F2" w:rsidRPr="00701F32" w:rsidRDefault="00BA29F2" w:rsidP="00BA29F2">
            <w:pPr>
              <w:jc w:val="right"/>
              <w:rPr>
                <w:rFonts w:ascii="Arial" w:hAnsi="Arial" w:cs="Arial"/>
                <w:sz w:val="16"/>
                <w:szCs w:val="18"/>
              </w:rPr>
            </w:pPr>
            <w:r w:rsidRPr="00886ABA">
              <w:rPr>
                <w:rFonts w:ascii="Arial" w:hAnsi="Arial" w:cs="Arial"/>
                <w:sz w:val="16"/>
                <w:szCs w:val="16"/>
              </w:rPr>
              <w:t>-1.612</w:t>
            </w:r>
          </w:p>
        </w:tc>
        <w:tc>
          <w:tcPr>
            <w:tcW w:w="1147" w:type="dxa"/>
            <w:tcBorders>
              <w:top w:val="single" w:sz="4" w:space="0" w:color="auto"/>
              <w:left w:val="single" w:sz="4" w:space="0" w:color="auto"/>
              <w:bottom w:val="nil"/>
              <w:right w:val="single" w:sz="4" w:space="0" w:color="auto"/>
            </w:tcBorders>
            <w:shd w:val="clear" w:color="auto" w:fill="auto"/>
            <w:noWrap/>
            <w:vAlign w:val="bottom"/>
            <w:hideMark/>
          </w:tcPr>
          <w:p w14:paraId="306B6BBD" w14:textId="2BD76A25" w:rsidR="00BA29F2" w:rsidRPr="00701F32" w:rsidRDefault="00BA29F2" w:rsidP="00BA29F2">
            <w:pPr>
              <w:jc w:val="right"/>
              <w:rPr>
                <w:rFonts w:ascii="Arial" w:hAnsi="Arial" w:cs="Arial"/>
                <w:sz w:val="16"/>
                <w:szCs w:val="18"/>
              </w:rPr>
            </w:pPr>
            <w:r w:rsidRPr="00886ABA">
              <w:rPr>
                <w:rFonts w:ascii="Arial" w:hAnsi="Arial" w:cs="Arial"/>
                <w:sz w:val="16"/>
                <w:szCs w:val="16"/>
              </w:rPr>
              <w:t>4.322.001</w:t>
            </w:r>
          </w:p>
        </w:tc>
      </w:tr>
      <w:tr w:rsidR="00BA29F2" w:rsidRPr="00701F32" w14:paraId="7D179459" w14:textId="77777777" w:rsidTr="006E1AF7">
        <w:tc>
          <w:tcPr>
            <w:tcW w:w="3687" w:type="dxa"/>
            <w:tcBorders>
              <w:top w:val="nil"/>
              <w:left w:val="single" w:sz="4" w:space="0" w:color="auto"/>
              <w:bottom w:val="single" w:sz="4" w:space="0" w:color="auto"/>
              <w:right w:val="single" w:sz="4" w:space="0" w:color="auto"/>
            </w:tcBorders>
            <w:shd w:val="clear" w:color="auto" w:fill="auto"/>
            <w:noWrap/>
            <w:vAlign w:val="bottom"/>
            <w:hideMark/>
          </w:tcPr>
          <w:p w14:paraId="39B4448C" w14:textId="77777777" w:rsidR="00BA29F2" w:rsidRPr="00701F32" w:rsidRDefault="00BA29F2" w:rsidP="00BA29F2">
            <w:pPr>
              <w:rPr>
                <w:rFonts w:ascii="Arial" w:hAnsi="Arial" w:cs="Arial"/>
                <w:sz w:val="16"/>
                <w:szCs w:val="18"/>
                <w:lang w:eastAsia="es-AR"/>
              </w:rPr>
            </w:pPr>
            <w:r w:rsidRPr="00701F32">
              <w:rPr>
                <w:rFonts w:ascii="Arial" w:hAnsi="Arial" w:cs="Arial"/>
                <w:sz w:val="16"/>
                <w:szCs w:val="18"/>
                <w:lang w:eastAsia="es-AR"/>
              </w:rPr>
              <w:t xml:space="preserve"> Egresos por comisiones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3B689F9" w14:textId="28C75843"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55.125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CD7EA81" w14:textId="0291BD9D"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764.879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24C108F" w14:textId="349541DC"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45.503</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B24128B" w14:textId="5D0C6D09"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623.896</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1E83B1C" w14:textId="57FE97BA" w:rsidR="00BA29F2" w:rsidRPr="00701F32" w:rsidRDefault="00BA29F2" w:rsidP="00BA29F2">
            <w:pPr>
              <w:jc w:val="right"/>
              <w:rPr>
                <w:rFonts w:ascii="Arial" w:hAnsi="Arial" w:cs="Arial"/>
                <w:sz w:val="16"/>
                <w:szCs w:val="18"/>
              </w:rPr>
            </w:pPr>
            <w:r w:rsidRPr="00886ABA">
              <w:rPr>
                <w:rFonts w:ascii="Arial" w:hAnsi="Arial" w:cs="Arial"/>
                <w:sz w:val="16"/>
                <w:szCs w:val="16"/>
              </w:rPr>
              <w:t>113.827</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14:paraId="15306822" w14:textId="40BFE37D"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1.375.576</w:t>
            </w:r>
          </w:p>
        </w:tc>
      </w:tr>
      <w:tr w:rsidR="00BA29F2" w:rsidRPr="00701F32" w14:paraId="34ECA57E"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31CC9" w14:textId="77777777" w:rsidR="00BA29F2" w:rsidRPr="00701F32" w:rsidRDefault="00BA29F2" w:rsidP="00BA29F2">
            <w:pPr>
              <w:rPr>
                <w:rFonts w:ascii="Arial" w:hAnsi="Arial" w:cs="Arial"/>
                <w:b/>
                <w:bCs/>
                <w:sz w:val="16"/>
                <w:szCs w:val="18"/>
                <w:lang w:eastAsia="es-AR"/>
              </w:rPr>
            </w:pPr>
            <w:r w:rsidRPr="00701F32">
              <w:rPr>
                <w:rFonts w:ascii="Arial" w:hAnsi="Arial" w:cs="Arial"/>
                <w:b/>
                <w:bCs/>
                <w:sz w:val="16"/>
                <w:szCs w:val="18"/>
                <w:lang w:eastAsia="es-AR"/>
              </w:rPr>
              <w:t xml:space="preserve"> Resultado neto por comisiones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407A2" w14:textId="74EC299B" w:rsidR="00BA29F2" w:rsidRPr="00701F32" w:rsidRDefault="00BA29F2" w:rsidP="00BA29F2">
            <w:pPr>
              <w:jc w:val="right"/>
              <w:rPr>
                <w:rFonts w:ascii="Arial" w:hAnsi="Arial" w:cs="Arial"/>
                <w:b/>
                <w:sz w:val="16"/>
                <w:szCs w:val="18"/>
              </w:rPr>
            </w:pPr>
            <w:r w:rsidRPr="00886ABA">
              <w:rPr>
                <w:rFonts w:ascii="Arial" w:hAnsi="Arial" w:cs="Arial"/>
                <w:b/>
                <w:sz w:val="16"/>
                <w:szCs w:val="16"/>
              </w:rPr>
              <w:t>414.875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5D009" w14:textId="140CB78E" w:rsidR="00BA29F2" w:rsidRPr="00701F32" w:rsidRDefault="00BA29F2" w:rsidP="00BA29F2">
            <w:pPr>
              <w:jc w:val="right"/>
              <w:rPr>
                <w:rFonts w:ascii="Arial" w:hAnsi="Arial" w:cs="Arial"/>
                <w:b/>
                <w:sz w:val="16"/>
                <w:szCs w:val="18"/>
              </w:rPr>
            </w:pPr>
            <w:r w:rsidRPr="00886ABA">
              <w:rPr>
                <w:rFonts w:ascii="Arial" w:hAnsi="Arial" w:cs="Arial"/>
                <w:b/>
                <w:sz w:val="16"/>
                <w:szCs w:val="16"/>
              </w:rPr>
              <w:t>2.299.512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A9841" w14:textId="2E01DB7E" w:rsidR="00BA29F2" w:rsidRPr="00701F32" w:rsidRDefault="00BA29F2" w:rsidP="00BA29F2">
            <w:pPr>
              <w:jc w:val="right"/>
              <w:rPr>
                <w:rFonts w:ascii="Arial" w:hAnsi="Arial" w:cs="Arial"/>
                <w:b/>
                <w:sz w:val="16"/>
                <w:szCs w:val="18"/>
              </w:rPr>
            </w:pPr>
            <w:r w:rsidRPr="00886ABA">
              <w:rPr>
                <w:rFonts w:ascii="Arial" w:hAnsi="Arial" w:cs="Arial"/>
                <w:b/>
                <w:sz w:val="16"/>
                <w:szCs w:val="16"/>
              </w:rPr>
              <w:t>-22.594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FA4D1" w14:textId="0B1902AC" w:rsidR="00BA29F2" w:rsidRPr="00701F32" w:rsidRDefault="00BA29F2" w:rsidP="00BA29F2">
            <w:pPr>
              <w:jc w:val="right"/>
              <w:rPr>
                <w:rFonts w:ascii="Arial" w:hAnsi="Arial" w:cs="Arial"/>
                <w:b/>
                <w:sz w:val="16"/>
                <w:szCs w:val="18"/>
              </w:rPr>
            </w:pPr>
            <w:r w:rsidRPr="00886ABA">
              <w:rPr>
                <w:rFonts w:ascii="Arial" w:hAnsi="Arial" w:cs="Arial"/>
                <w:b/>
                <w:sz w:val="16"/>
                <w:szCs w:val="16"/>
              </w:rPr>
              <w:t>142.417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2D067" w14:textId="5A498A03" w:rsidR="00BA29F2" w:rsidRPr="00701F32" w:rsidRDefault="00BA29F2" w:rsidP="00BA29F2">
            <w:pPr>
              <w:jc w:val="right"/>
              <w:rPr>
                <w:rFonts w:ascii="Arial" w:hAnsi="Arial" w:cs="Arial"/>
                <w:b/>
                <w:sz w:val="16"/>
                <w:szCs w:val="18"/>
              </w:rPr>
            </w:pPr>
            <w:r w:rsidRPr="00886ABA">
              <w:rPr>
                <w:rFonts w:ascii="Arial" w:hAnsi="Arial" w:cs="Arial"/>
                <w:b/>
                <w:sz w:val="16"/>
                <w:szCs w:val="16"/>
              </w:rPr>
              <w:t>112.215</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1B72B" w14:textId="0CE99244" w:rsidR="00BA29F2" w:rsidRPr="00701F32" w:rsidRDefault="00BA29F2" w:rsidP="00BA29F2">
            <w:pPr>
              <w:jc w:val="right"/>
              <w:rPr>
                <w:rFonts w:ascii="Arial" w:hAnsi="Arial" w:cs="Arial"/>
                <w:b/>
                <w:sz w:val="16"/>
                <w:szCs w:val="18"/>
              </w:rPr>
            </w:pPr>
            <w:r w:rsidRPr="00886ABA">
              <w:rPr>
                <w:rFonts w:ascii="Arial" w:hAnsi="Arial" w:cs="Arial"/>
                <w:b/>
                <w:sz w:val="16"/>
                <w:szCs w:val="16"/>
              </w:rPr>
              <w:t>2.946.425</w:t>
            </w:r>
          </w:p>
        </w:tc>
      </w:tr>
      <w:tr w:rsidR="00BA29F2" w:rsidRPr="00701F32" w14:paraId="30287080"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5A771" w14:textId="77777777" w:rsidR="00BA29F2" w:rsidRPr="00701F32" w:rsidRDefault="00BA29F2" w:rsidP="00BA29F2">
            <w:pPr>
              <w:rPr>
                <w:rFonts w:ascii="Arial" w:hAnsi="Arial" w:cs="Arial"/>
                <w:b/>
                <w:bCs/>
                <w:sz w:val="16"/>
                <w:szCs w:val="18"/>
                <w:lang w:eastAsia="es-AR"/>
              </w:rPr>
            </w:pPr>
            <w:r w:rsidRPr="00701F32">
              <w:rPr>
                <w:rFonts w:ascii="Arial" w:hAnsi="Arial" w:cs="Arial"/>
                <w:b/>
                <w:bCs/>
                <w:sz w:val="16"/>
                <w:szCs w:val="18"/>
                <w:lang w:eastAsia="es-AR"/>
              </w:rPr>
              <w:t xml:space="preserve">Subtotal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57DA2" w14:textId="5AF7060B" w:rsidR="00BA29F2" w:rsidRPr="00701F32" w:rsidRDefault="00BA29F2" w:rsidP="00BA29F2">
            <w:pPr>
              <w:jc w:val="right"/>
              <w:rPr>
                <w:rFonts w:ascii="Arial" w:hAnsi="Arial" w:cs="Arial"/>
                <w:b/>
                <w:sz w:val="16"/>
                <w:szCs w:val="18"/>
              </w:rPr>
            </w:pPr>
            <w:r w:rsidRPr="00886ABA">
              <w:rPr>
                <w:rFonts w:ascii="Arial" w:hAnsi="Arial" w:cs="Arial"/>
                <w:b/>
                <w:sz w:val="16"/>
                <w:szCs w:val="16"/>
              </w:rPr>
              <w:t>3.982.220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172C3" w14:textId="5FDA0C4E" w:rsidR="00BA29F2" w:rsidRPr="00701F32" w:rsidRDefault="00BA29F2" w:rsidP="00BA29F2">
            <w:pPr>
              <w:jc w:val="right"/>
              <w:rPr>
                <w:rFonts w:ascii="Arial" w:hAnsi="Arial" w:cs="Arial"/>
                <w:b/>
                <w:sz w:val="16"/>
                <w:szCs w:val="18"/>
              </w:rPr>
            </w:pPr>
            <w:r w:rsidRPr="00886ABA">
              <w:rPr>
                <w:rFonts w:ascii="Arial" w:hAnsi="Arial" w:cs="Arial"/>
                <w:b/>
                <w:sz w:val="16"/>
                <w:szCs w:val="16"/>
              </w:rPr>
              <w:t>10.873.843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C848C" w14:textId="48B15C35" w:rsidR="00BA29F2" w:rsidRPr="00701F32" w:rsidRDefault="00BA29F2" w:rsidP="00BA29F2">
            <w:pPr>
              <w:jc w:val="right"/>
              <w:rPr>
                <w:rFonts w:ascii="Arial" w:hAnsi="Arial" w:cs="Arial"/>
                <w:b/>
                <w:sz w:val="16"/>
                <w:szCs w:val="18"/>
              </w:rPr>
            </w:pPr>
            <w:r w:rsidRPr="00886ABA">
              <w:rPr>
                <w:rFonts w:ascii="Arial" w:hAnsi="Arial" w:cs="Arial"/>
                <w:b/>
                <w:sz w:val="16"/>
                <w:szCs w:val="16"/>
              </w:rPr>
              <w:t>-4.344.211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5C34E" w14:textId="32B64552" w:rsidR="00BA29F2" w:rsidRPr="00701F32" w:rsidRDefault="00BA29F2" w:rsidP="00BA29F2">
            <w:pPr>
              <w:jc w:val="right"/>
              <w:rPr>
                <w:rFonts w:ascii="Arial" w:hAnsi="Arial" w:cs="Arial"/>
                <w:b/>
                <w:sz w:val="16"/>
                <w:szCs w:val="18"/>
              </w:rPr>
            </w:pPr>
            <w:r w:rsidRPr="00886ABA">
              <w:rPr>
                <w:rFonts w:ascii="Arial" w:hAnsi="Arial" w:cs="Arial"/>
                <w:b/>
                <w:sz w:val="16"/>
                <w:szCs w:val="16"/>
              </w:rPr>
              <w:t>2.466.349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25603" w14:textId="07C5C15C" w:rsidR="00BA29F2" w:rsidRPr="00701F32" w:rsidRDefault="00BA29F2" w:rsidP="00BA29F2">
            <w:pPr>
              <w:jc w:val="right"/>
              <w:rPr>
                <w:rFonts w:ascii="Arial" w:hAnsi="Arial" w:cs="Arial"/>
                <w:b/>
                <w:sz w:val="16"/>
                <w:szCs w:val="18"/>
              </w:rPr>
            </w:pPr>
            <w:r w:rsidRPr="00886ABA">
              <w:rPr>
                <w:rFonts w:ascii="Arial" w:hAnsi="Arial" w:cs="Arial"/>
                <w:b/>
                <w:sz w:val="16"/>
                <w:szCs w:val="16"/>
              </w:rPr>
              <w:t>-114.499</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A8049" w14:textId="7A346704" w:rsidR="00BA29F2" w:rsidRPr="00701F32" w:rsidRDefault="00BA29F2" w:rsidP="00BA29F2">
            <w:pPr>
              <w:jc w:val="right"/>
              <w:rPr>
                <w:rFonts w:ascii="Arial" w:hAnsi="Arial" w:cs="Arial"/>
                <w:b/>
                <w:sz w:val="16"/>
                <w:szCs w:val="18"/>
              </w:rPr>
            </w:pPr>
            <w:r w:rsidRPr="00886ABA">
              <w:rPr>
                <w:rFonts w:ascii="Arial" w:hAnsi="Arial" w:cs="Arial"/>
                <w:b/>
                <w:sz w:val="16"/>
                <w:szCs w:val="16"/>
              </w:rPr>
              <w:t>12.863.702</w:t>
            </w:r>
          </w:p>
        </w:tc>
      </w:tr>
      <w:tr w:rsidR="00BA29F2" w:rsidRPr="00701F32" w14:paraId="2B70E6C0" w14:textId="77777777" w:rsidTr="006E1AF7">
        <w:tc>
          <w:tcPr>
            <w:tcW w:w="3687" w:type="dxa"/>
            <w:tcBorders>
              <w:top w:val="single" w:sz="4" w:space="0" w:color="auto"/>
              <w:left w:val="single" w:sz="4" w:space="0" w:color="auto"/>
              <w:bottom w:val="nil"/>
              <w:right w:val="single" w:sz="4" w:space="0" w:color="auto"/>
            </w:tcBorders>
            <w:shd w:val="clear" w:color="auto" w:fill="auto"/>
            <w:noWrap/>
            <w:vAlign w:val="bottom"/>
            <w:hideMark/>
          </w:tcPr>
          <w:p w14:paraId="1A709B45" w14:textId="77777777" w:rsidR="00BA29F2" w:rsidRPr="00701F32" w:rsidRDefault="00BA29F2" w:rsidP="00BA29F2">
            <w:pPr>
              <w:jc w:val="both"/>
              <w:rPr>
                <w:rFonts w:ascii="Arial" w:hAnsi="Arial" w:cs="Arial"/>
                <w:sz w:val="16"/>
                <w:szCs w:val="18"/>
                <w:lang w:eastAsia="es-AR"/>
              </w:rPr>
            </w:pPr>
            <w:r w:rsidRPr="00701F32">
              <w:rPr>
                <w:rFonts w:ascii="Arial" w:hAnsi="Arial" w:cs="Arial"/>
                <w:sz w:val="16"/>
                <w:szCs w:val="18"/>
                <w:lang w:eastAsia="es-AR"/>
              </w:rPr>
              <w:t xml:space="preserve"> Resultado neto por medición de instrumentos financieros a valor razonable con cambios en resultados </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6D016574" w14:textId="71AB9F60"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699E069A" w14:textId="1A2AFB31" w:rsidR="00BA29F2" w:rsidRPr="00701F32" w:rsidRDefault="00BA29F2" w:rsidP="00BA29F2">
            <w:pPr>
              <w:jc w:val="right"/>
              <w:rPr>
                <w:rFonts w:ascii="Arial" w:hAnsi="Arial" w:cs="Arial"/>
                <w:sz w:val="16"/>
                <w:szCs w:val="18"/>
              </w:rPr>
            </w:pPr>
            <w:r w:rsidRPr="00886ABA">
              <w:rPr>
                <w:rFonts w:ascii="Arial" w:hAnsi="Arial" w:cs="Arial"/>
                <w:sz w:val="16"/>
                <w:szCs w:val="16"/>
              </w:rPr>
              <w:t>21.492</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6E703EB3" w14:textId="7654AFDE" w:rsidR="00BA29F2" w:rsidRPr="00701F32" w:rsidRDefault="00BA29F2" w:rsidP="00BA29F2">
            <w:pPr>
              <w:jc w:val="right"/>
              <w:rPr>
                <w:rFonts w:ascii="Arial" w:hAnsi="Arial" w:cs="Arial"/>
                <w:sz w:val="16"/>
                <w:szCs w:val="18"/>
              </w:rPr>
            </w:pPr>
            <w:r w:rsidRPr="00886ABA">
              <w:rPr>
                <w:rFonts w:ascii="Arial" w:hAnsi="Arial" w:cs="Arial"/>
                <w:sz w:val="16"/>
                <w:szCs w:val="16"/>
              </w:rPr>
              <w:t>5.116.608</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6322436C" w14:textId="579C59C0" w:rsidR="00BA29F2" w:rsidRPr="00701F32" w:rsidRDefault="00BA29F2" w:rsidP="00BA29F2">
            <w:pPr>
              <w:jc w:val="right"/>
              <w:rPr>
                <w:rFonts w:ascii="Arial" w:hAnsi="Arial" w:cs="Arial"/>
                <w:sz w:val="16"/>
                <w:szCs w:val="18"/>
              </w:rPr>
            </w:pPr>
            <w:r w:rsidRPr="00886ABA">
              <w:rPr>
                <w:rFonts w:ascii="Arial" w:hAnsi="Arial" w:cs="Arial"/>
                <w:sz w:val="16"/>
                <w:szCs w:val="16"/>
              </w:rPr>
              <w:t>-522.021</w:t>
            </w:r>
          </w:p>
        </w:tc>
        <w:tc>
          <w:tcPr>
            <w:tcW w:w="1275" w:type="dxa"/>
            <w:tcBorders>
              <w:top w:val="single" w:sz="4" w:space="0" w:color="auto"/>
              <w:left w:val="single" w:sz="4" w:space="0" w:color="auto"/>
              <w:bottom w:val="nil"/>
              <w:right w:val="single" w:sz="4" w:space="0" w:color="auto"/>
            </w:tcBorders>
            <w:shd w:val="clear" w:color="auto" w:fill="auto"/>
            <w:noWrap/>
            <w:vAlign w:val="bottom"/>
            <w:hideMark/>
          </w:tcPr>
          <w:p w14:paraId="348183BE" w14:textId="4932C9E9" w:rsidR="00BA29F2" w:rsidRPr="00701F32" w:rsidRDefault="00BA29F2" w:rsidP="00BA29F2">
            <w:pPr>
              <w:jc w:val="right"/>
              <w:rPr>
                <w:rFonts w:ascii="Arial" w:hAnsi="Arial" w:cs="Arial"/>
                <w:sz w:val="16"/>
                <w:szCs w:val="18"/>
              </w:rPr>
            </w:pPr>
            <w:r w:rsidRPr="00886ABA">
              <w:rPr>
                <w:rFonts w:ascii="Arial" w:hAnsi="Arial" w:cs="Arial"/>
                <w:sz w:val="16"/>
                <w:szCs w:val="16"/>
              </w:rPr>
              <w:t>48.029</w:t>
            </w:r>
          </w:p>
        </w:tc>
        <w:tc>
          <w:tcPr>
            <w:tcW w:w="1147" w:type="dxa"/>
            <w:tcBorders>
              <w:top w:val="single" w:sz="4" w:space="0" w:color="auto"/>
              <w:left w:val="single" w:sz="4" w:space="0" w:color="auto"/>
              <w:bottom w:val="nil"/>
              <w:right w:val="single" w:sz="4" w:space="0" w:color="auto"/>
            </w:tcBorders>
            <w:shd w:val="clear" w:color="auto" w:fill="auto"/>
            <w:noWrap/>
            <w:vAlign w:val="bottom"/>
            <w:hideMark/>
          </w:tcPr>
          <w:p w14:paraId="67A7CD03" w14:textId="006C1082" w:rsidR="00BA29F2" w:rsidRPr="00701F32" w:rsidRDefault="00BA29F2" w:rsidP="00BA29F2">
            <w:pPr>
              <w:jc w:val="right"/>
              <w:rPr>
                <w:rFonts w:ascii="Arial" w:hAnsi="Arial" w:cs="Arial"/>
                <w:sz w:val="16"/>
                <w:szCs w:val="18"/>
              </w:rPr>
            </w:pPr>
            <w:r w:rsidRPr="00886ABA">
              <w:rPr>
                <w:rFonts w:ascii="Arial" w:hAnsi="Arial" w:cs="Arial"/>
                <w:sz w:val="16"/>
                <w:szCs w:val="16"/>
              </w:rPr>
              <w:t>4.664.108</w:t>
            </w:r>
          </w:p>
        </w:tc>
      </w:tr>
      <w:tr w:rsidR="00BA29F2" w:rsidRPr="00701F32" w14:paraId="37A73A8E" w14:textId="77777777" w:rsidTr="006E1AF7">
        <w:tc>
          <w:tcPr>
            <w:tcW w:w="3687" w:type="dxa"/>
            <w:tcBorders>
              <w:top w:val="nil"/>
              <w:left w:val="single" w:sz="4" w:space="0" w:color="auto"/>
              <w:bottom w:val="nil"/>
              <w:right w:val="single" w:sz="4" w:space="0" w:color="auto"/>
            </w:tcBorders>
            <w:shd w:val="clear" w:color="auto" w:fill="auto"/>
            <w:noWrap/>
            <w:vAlign w:val="bottom"/>
            <w:hideMark/>
          </w:tcPr>
          <w:p w14:paraId="2551147D" w14:textId="77777777" w:rsidR="00BA29F2" w:rsidRPr="00701F32" w:rsidRDefault="00BA29F2" w:rsidP="00BA29F2">
            <w:pPr>
              <w:rPr>
                <w:rFonts w:ascii="Arial" w:hAnsi="Arial" w:cs="Arial"/>
                <w:sz w:val="16"/>
                <w:szCs w:val="18"/>
                <w:lang w:eastAsia="es-AR"/>
              </w:rPr>
            </w:pPr>
            <w:r w:rsidRPr="00701F32">
              <w:rPr>
                <w:rFonts w:ascii="Arial" w:hAnsi="Arial" w:cs="Arial"/>
                <w:sz w:val="16"/>
                <w:szCs w:val="18"/>
                <w:lang w:eastAsia="es-AR"/>
              </w:rPr>
              <w:t xml:space="preserve"> Diferencia de cotización de oro y moneda extranjera </w:t>
            </w:r>
          </w:p>
        </w:tc>
        <w:tc>
          <w:tcPr>
            <w:tcW w:w="992" w:type="dxa"/>
            <w:tcBorders>
              <w:top w:val="nil"/>
              <w:left w:val="single" w:sz="4" w:space="0" w:color="auto"/>
              <w:bottom w:val="nil"/>
              <w:right w:val="single" w:sz="4" w:space="0" w:color="auto"/>
            </w:tcBorders>
            <w:shd w:val="clear" w:color="auto" w:fill="auto"/>
            <w:noWrap/>
            <w:vAlign w:val="bottom"/>
            <w:hideMark/>
          </w:tcPr>
          <w:p w14:paraId="328BD6DA" w14:textId="491E7385" w:rsidR="00BA29F2" w:rsidRPr="00701F32" w:rsidRDefault="00BA29F2" w:rsidP="00BA29F2">
            <w:pPr>
              <w:jc w:val="right"/>
              <w:rPr>
                <w:rFonts w:ascii="Arial" w:hAnsi="Arial" w:cs="Arial"/>
                <w:sz w:val="16"/>
                <w:szCs w:val="18"/>
                <w:lang w:val="es-ES_tradnl"/>
              </w:rPr>
            </w:pPr>
            <w:r w:rsidRPr="00886ABA">
              <w:rPr>
                <w:rFonts w:ascii="Arial" w:hAnsi="Arial" w:cs="Arial"/>
                <w:sz w:val="16"/>
                <w:szCs w:val="16"/>
              </w:rPr>
              <w:t>59.829</w:t>
            </w:r>
          </w:p>
        </w:tc>
        <w:tc>
          <w:tcPr>
            <w:tcW w:w="992" w:type="dxa"/>
            <w:tcBorders>
              <w:top w:val="nil"/>
              <w:left w:val="single" w:sz="4" w:space="0" w:color="auto"/>
              <w:bottom w:val="nil"/>
              <w:right w:val="single" w:sz="4" w:space="0" w:color="auto"/>
            </w:tcBorders>
            <w:shd w:val="clear" w:color="auto" w:fill="auto"/>
            <w:noWrap/>
            <w:vAlign w:val="bottom"/>
            <w:hideMark/>
          </w:tcPr>
          <w:p w14:paraId="39BE4210" w14:textId="065DAD7B" w:rsidR="00BA29F2" w:rsidRPr="00701F32" w:rsidRDefault="00BA29F2" w:rsidP="00BA29F2">
            <w:pPr>
              <w:jc w:val="right"/>
              <w:rPr>
                <w:rFonts w:ascii="Arial" w:hAnsi="Arial" w:cs="Arial"/>
                <w:sz w:val="16"/>
                <w:szCs w:val="18"/>
              </w:rPr>
            </w:pPr>
            <w:r w:rsidRPr="00886ABA">
              <w:rPr>
                <w:rFonts w:ascii="Arial" w:hAnsi="Arial" w:cs="Arial"/>
                <w:sz w:val="16"/>
                <w:szCs w:val="16"/>
              </w:rPr>
              <w:t>617.316</w:t>
            </w:r>
          </w:p>
        </w:tc>
        <w:tc>
          <w:tcPr>
            <w:tcW w:w="992" w:type="dxa"/>
            <w:tcBorders>
              <w:top w:val="nil"/>
              <w:left w:val="single" w:sz="4" w:space="0" w:color="auto"/>
              <w:bottom w:val="nil"/>
              <w:right w:val="single" w:sz="4" w:space="0" w:color="auto"/>
            </w:tcBorders>
            <w:shd w:val="clear" w:color="auto" w:fill="auto"/>
            <w:noWrap/>
            <w:vAlign w:val="bottom"/>
            <w:hideMark/>
          </w:tcPr>
          <w:p w14:paraId="52F9239F" w14:textId="4F5DE972" w:rsidR="00BA29F2" w:rsidRPr="00701F32" w:rsidRDefault="00BA29F2" w:rsidP="00BA29F2">
            <w:pPr>
              <w:jc w:val="right"/>
              <w:rPr>
                <w:rFonts w:ascii="Arial" w:hAnsi="Arial" w:cs="Arial"/>
                <w:sz w:val="16"/>
                <w:szCs w:val="18"/>
                <w:lang w:val="es-ES_tradnl"/>
              </w:rPr>
            </w:pPr>
            <w:r w:rsidRPr="00886ABA">
              <w:rPr>
                <w:rFonts w:ascii="Arial" w:hAnsi="Arial" w:cs="Arial"/>
                <w:sz w:val="16"/>
                <w:szCs w:val="16"/>
              </w:rPr>
              <w:t>160.690</w:t>
            </w:r>
          </w:p>
        </w:tc>
        <w:tc>
          <w:tcPr>
            <w:tcW w:w="993" w:type="dxa"/>
            <w:tcBorders>
              <w:top w:val="nil"/>
              <w:left w:val="single" w:sz="4" w:space="0" w:color="auto"/>
              <w:bottom w:val="nil"/>
              <w:right w:val="single" w:sz="4" w:space="0" w:color="auto"/>
            </w:tcBorders>
            <w:shd w:val="clear" w:color="auto" w:fill="auto"/>
            <w:noWrap/>
            <w:vAlign w:val="bottom"/>
            <w:hideMark/>
          </w:tcPr>
          <w:p w14:paraId="3AD8735D" w14:textId="6467C551" w:rsidR="00BA29F2" w:rsidRPr="00701F32" w:rsidRDefault="00BA29F2" w:rsidP="00BA29F2">
            <w:pPr>
              <w:jc w:val="right"/>
              <w:rPr>
                <w:rFonts w:ascii="Arial" w:hAnsi="Arial" w:cs="Arial"/>
                <w:sz w:val="16"/>
                <w:szCs w:val="18"/>
              </w:rPr>
            </w:pPr>
            <w:r w:rsidRPr="00886ABA">
              <w:rPr>
                <w:rFonts w:ascii="Arial" w:hAnsi="Arial" w:cs="Arial"/>
                <w:sz w:val="16"/>
                <w:szCs w:val="16"/>
              </w:rPr>
              <w:t>2.671</w:t>
            </w:r>
          </w:p>
        </w:tc>
        <w:tc>
          <w:tcPr>
            <w:tcW w:w="1275" w:type="dxa"/>
            <w:tcBorders>
              <w:top w:val="nil"/>
              <w:left w:val="single" w:sz="4" w:space="0" w:color="auto"/>
              <w:bottom w:val="nil"/>
              <w:right w:val="single" w:sz="4" w:space="0" w:color="auto"/>
            </w:tcBorders>
            <w:shd w:val="clear" w:color="auto" w:fill="auto"/>
            <w:noWrap/>
            <w:vAlign w:val="bottom"/>
            <w:hideMark/>
          </w:tcPr>
          <w:p w14:paraId="1CCE8024" w14:textId="17DCBEC5"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1147" w:type="dxa"/>
            <w:tcBorders>
              <w:top w:val="nil"/>
              <w:left w:val="single" w:sz="4" w:space="0" w:color="auto"/>
              <w:bottom w:val="nil"/>
              <w:right w:val="single" w:sz="4" w:space="0" w:color="auto"/>
            </w:tcBorders>
            <w:shd w:val="clear" w:color="auto" w:fill="auto"/>
            <w:noWrap/>
            <w:vAlign w:val="bottom"/>
            <w:hideMark/>
          </w:tcPr>
          <w:p w14:paraId="3916B840" w14:textId="38942B14" w:rsidR="00BA29F2" w:rsidRPr="00701F32" w:rsidRDefault="00BA29F2" w:rsidP="00BA29F2">
            <w:pPr>
              <w:jc w:val="right"/>
              <w:rPr>
                <w:rFonts w:ascii="Arial" w:hAnsi="Arial" w:cs="Arial"/>
                <w:sz w:val="16"/>
                <w:szCs w:val="18"/>
              </w:rPr>
            </w:pPr>
            <w:r w:rsidRPr="00886ABA">
              <w:rPr>
                <w:rFonts w:ascii="Arial" w:hAnsi="Arial" w:cs="Arial"/>
                <w:sz w:val="16"/>
                <w:szCs w:val="16"/>
              </w:rPr>
              <w:t>840.506</w:t>
            </w:r>
          </w:p>
        </w:tc>
      </w:tr>
      <w:tr w:rsidR="00BA29F2" w:rsidRPr="00701F32" w14:paraId="6011FE0D" w14:textId="77777777" w:rsidTr="006E1AF7">
        <w:tc>
          <w:tcPr>
            <w:tcW w:w="3687" w:type="dxa"/>
            <w:tcBorders>
              <w:top w:val="nil"/>
              <w:left w:val="single" w:sz="4" w:space="0" w:color="auto"/>
              <w:bottom w:val="nil"/>
              <w:right w:val="single" w:sz="4" w:space="0" w:color="auto"/>
            </w:tcBorders>
            <w:shd w:val="clear" w:color="auto" w:fill="auto"/>
            <w:noWrap/>
            <w:vAlign w:val="bottom"/>
            <w:hideMark/>
          </w:tcPr>
          <w:p w14:paraId="257E221E" w14:textId="77777777" w:rsidR="00BA29F2" w:rsidRPr="00701F32" w:rsidRDefault="00BA29F2" w:rsidP="00BA29F2">
            <w:pPr>
              <w:jc w:val="both"/>
              <w:rPr>
                <w:rFonts w:ascii="Arial" w:hAnsi="Arial" w:cs="Arial"/>
                <w:sz w:val="16"/>
                <w:szCs w:val="18"/>
                <w:lang w:eastAsia="es-AR"/>
              </w:rPr>
            </w:pPr>
            <w:r w:rsidRPr="00701F32">
              <w:rPr>
                <w:rFonts w:ascii="Arial" w:hAnsi="Arial" w:cs="Arial"/>
                <w:sz w:val="16"/>
                <w:szCs w:val="18"/>
                <w:lang w:eastAsia="es-AR"/>
              </w:rPr>
              <w:t xml:space="preserve"> Otros ingresos operativos </w:t>
            </w:r>
          </w:p>
        </w:tc>
        <w:tc>
          <w:tcPr>
            <w:tcW w:w="992" w:type="dxa"/>
            <w:tcBorders>
              <w:top w:val="nil"/>
              <w:left w:val="single" w:sz="4" w:space="0" w:color="auto"/>
              <w:bottom w:val="nil"/>
              <w:right w:val="single" w:sz="4" w:space="0" w:color="auto"/>
            </w:tcBorders>
            <w:shd w:val="clear" w:color="auto" w:fill="auto"/>
            <w:noWrap/>
            <w:vAlign w:val="bottom"/>
            <w:hideMark/>
          </w:tcPr>
          <w:p w14:paraId="72EFAC24" w14:textId="2BFE596F" w:rsidR="00BA29F2" w:rsidRPr="00701F32" w:rsidRDefault="00BA29F2" w:rsidP="00BA29F2">
            <w:pPr>
              <w:jc w:val="right"/>
              <w:rPr>
                <w:rFonts w:ascii="Arial" w:hAnsi="Arial" w:cs="Arial"/>
                <w:sz w:val="16"/>
                <w:szCs w:val="18"/>
              </w:rPr>
            </w:pPr>
            <w:r w:rsidRPr="00886ABA">
              <w:rPr>
                <w:rFonts w:ascii="Arial" w:hAnsi="Arial" w:cs="Arial"/>
                <w:sz w:val="16"/>
                <w:szCs w:val="16"/>
              </w:rPr>
              <w:t>706.297</w:t>
            </w:r>
          </w:p>
        </w:tc>
        <w:tc>
          <w:tcPr>
            <w:tcW w:w="992" w:type="dxa"/>
            <w:tcBorders>
              <w:top w:val="nil"/>
              <w:left w:val="single" w:sz="4" w:space="0" w:color="auto"/>
              <w:bottom w:val="nil"/>
              <w:right w:val="single" w:sz="4" w:space="0" w:color="auto"/>
            </w:tcBorders>
            <w:shd w:val="clear" w:color="auto" w:fill="auto"/>
            <w:noWrap/>
            <w:vAlign w:val="bottom"/>
            <w:hideMark/>
          </w:tcPr>
          <w:p w14:paraId="6FABD9B6" w14:textId="0DBF93C3" w:rsidR="00BA29F2" w:rsidRPr="00701F32" w:rsidRDefault="00BA29F2" w:rsidP="00BA29F2">
            <w:pPr>
              <w:jc w:val="right"/>
              <w:rPr>
                <w:rFonts w:ascii="Arial" w:hAnsi="Arial" w:cs="Arial"/>
                <w:sz w:val="16"/>
                <w:szCs w:val="18"/>
              </w:rPr>
            </w:pPr>
            <w:r w:rsidRPr="00886ABA">
              <w:rPr>
                <w:rFonts w:ascii="Arial" w:hAnsi="Arial" w:cs="Arial"/>
                <w:sz w:val="16"/>
                <w:szCs w:val="16"/>
              </w:rPr>
              <w:t>761.825</w:t>
            </w:r>
          </w:p>
        </w:tc>
        <w:tc>
          <w:tcPr>
            <w:tcW w:w="992" w:type="dxa"/>
            <w:tcBorders>
              <w:top w:val="nil"/>
              <w:left w:val="single" w:sz="4" w:space="0" w:color="auto"/>
              <w:bottom w:val="nil"/>
              <w:right w:val="single" w:sz="4" w:space="0" w:color="auto"/>
            </w:tcBorders>
            <w:shd w:val="clear" w:color="auto" w:fill="auto"/>
            <w:noWrap/>
            <w:vAlign w:val="bottom"/>
            <w:hideMark/>
          </w:tcPr>
          <w:p w14:paraId="2ECC060B" w14:textId="1B2D5203" w:rsidR="00BA29F2" w:rsidRPr="00701F32" w:rsidRDefault="00BA29F2" w:rsidP="00BA29F2">
            <w:pPr>
              <w:jc w:val="right"/>
              <w:rPr>
                <w:rFonts w:ascii="Arial" w:hAnsi="Arial" w:cs="Arial"/>
                <w:sz w:val="16"/>
                <w:szCs w:val="18"/>
              </w:rPr>
            </w:pPr>
            <w:r w:rsidRPr="00886ABA">
              <w:rPr>
                <w:rFonts w:ascii="Arial" w:hAnsi="Arial" w:cs="Arial"/>
                <w:sz w:val="16"/>
                <w:szCs w:val="16"/>
              </w:rPr>
              <w:t>58.460</w:t>
            </w:r>
          </w:p>
        </w:tc>
        <w:tc>
          <w:tcPr>
            <w:tcW w:w="993" w:type="dxa"/>
            <w:tcBorders>
              <w:top w:val="nil"/>
              <w:left w:val="single" w:sz="4" w:space="0" w:color="auto"/>
              <w:bottom w:val="nil"/>
              <w:right w:val="single" w:sz="4" w:space="0" w:color="auto"/>
            </w:tcBorders>
            <w:shd w:val="clear" w:color="auto" w:fill="auto"/>
            <w:noWrap/>
            <w:vAlign w:val="bottom"/>
            <w:hideMark/>
          </w:tcPr>
          <w:p w14:paraId="64108F43" w14:textId="602D93FF" w:rsidR="00BA29F2" w:rsidRPr="00701F32" w:rsidRDefault="00BA29F2" w:rsidP="00BA29F2">
            <w:pPr>
              <w:jc w:val="right"/>
              <w:rPr>
                <w:rFonts w:ascii="Arial" w:hAnsi="Arial" w:cs="Arial"/>
                <w:sz w:val="16"/>
                <w:szCs w:val="18"/>
              </w:rPr>
            </w:pPr>
            <w:r w:rsidRPr="00886ABA">
              <w:rPr>
                <w:rFonts w:ascii="Arial" w:hAnsi="Arial" w:cs="Arial"/>
                <w:sz w:val="16"/>
                <w:szCs w:val="16"/>
              </w:rPr>
              <w:t>334.490</w:t>
            </w:r>
          </w:p>
        </w:tc>
        <w:tc>
          <w:tcPr>
            <w:tcW w:w="1275" w:type="dxa"/>
            <w:tcBorders>
              <w:top w:val="nil"/>
              <w:left w:val="single" w:sz="4" w:space="0" w:color="auto"/>
              <w:bottom w:val="nil"/>
              <w:right w:val="single" w:sz="4" w:space="0" w:color="auto"/>
            </w:tcBorders>
            <w:shd w:val="clear" w:color="auto" w:fill="auto"/>
            <w:noWrap/>
            <w:vAlign w:val="bottom"/>
            <w:hideMark/>
          </w:tcPr>
          <w:p w14:paraId="6A54F12D" w14:textId="6A12F5B1" w:rsidR="00BA29F2" w:rsidRPr="00701F32" w:rsidRDefault="00BA29F2" w:rsidP="00BA29F2">
            <w:pPr>
              <w:jc w:val="right"/>
              <w:rPr>
                <w:rFonts w:ascii="Arial" w:hAnsi="Arial" w:cs="Arial"/>
                <w:sz w:val="16"/>
                <w:szCs w:val="18"/>
              </w:rPr>
            </w:pPr>
            <w:r w:rsidRPr="00886ABA">
              <w:rPr>
                <w:rFonts w:ascii="Arial" w:hAnsi="Arial" w:cs="Arial"/>
                <w:sz w:val="16"/>
                <w:szCs w:val="16"/>
              </w:rPr>
              <w:t>-23.422</w:t>
            </w:r>
          </w:p>
        </w:tc>
        <w:tc>
          <w:tcPr>
            <w:tcW w:w="1147" w:type="dxa"/>
            <w:tcBorders>
              <w:top w:val="nil"/>
              <w:left w:val="single" w:sz="4" w:space="0" w:color="auto"/>
              <w:bottom w:val="nil"/>
              <w:right w:val="single" w:sz="4" w:space="0" w:color="auto"/>
            </w:tcBorders>
            <w:shd w:val="clear" w:color="auto" w:fill="auto"/>
            <w:noWrap/>
            <w:vAlign w:val="bottom"/>
            <w:hideMark/>
          </w:tcPr>
          <w:p w14:paraId="57B54481" w14:textId="6917B20D" w:rsidR="00BA29F2" w:rsidRPr="00701F32" w:rsidRDefault="00BA29F2" w:rsidP="00BA29F2">
            <w:pPr>
              <w:jc w:val="right"/>
              <w:rPr>
                <w:rFonts w:ascii="Arial" w:hAnsi="Arial" w:cs="Arial"/>
                <w:sz w:val="16"/>
                <w:szCs w:val="18"/>
              </w:rPr>
            </w:pPr>
            <w:r w:rsidRPr="00886ABA">
              <w:rPr>
                <w:rFonts w:ascii="Arial" w:hAnsi="Arial" w:cs="Arial"/>
                <w:sz w:val="16"/>
                <w:szCs w:val="16"/>
              </w:rPr>
              <w:t>1.837.650</w:t>
            </w:r>
          </w:p>
        </w:tc>
      </w:tr>
      <w:tr w:rsidR="00BA29F2" w:rsidRPr="00701F32" w14:paraId="499F9B93" w14:textId="77777777" w:rsidTr="006E1AF7">
        <w:tc>
          <w:tcPr>
            <w:tcW w:w="3687" w:type="dxa"/>
            <w:tcBorders>
              <w:top w:val="nil"/>
              <w:left w:val="single" w:sz="4" w:space="0" w:color="auto"/>
              <w:bottom w:val="single" w:sz="4" w:space="0" w:color="auto"/>
              <w:right w:val="single" w:sz="4" w:space="0" w:color="auto"/>
            </w:tcBorders>
            <w:shd w:val="clear" w:color="auto" w:fill="auto"/>
            <w:noWrap/>
            <w:vAlign w:val="bottom"/>
            <w:hideMark/>
          </w:tcPr>
          <w:p w14:paraId="2D4C15DC" w14:textId="77777777" w:rsidR="00BA29F2" w:rsidRPr="00701F32" w:rsidRDefault="00BA29F2" w:rsidP="00BA29F2">
            <w:pPr>
              <w:jc w:val="both"/>
              <w:rPr>
                <w:rFonts w:ascii="Arial" w:hAnsi="Arial" w:cs="Arial"/>
                <w:sz w:val="16"/>
                <w:szCs w:val="18"/>
                <w:lang w:eastAsia="es-AR"/>
              </w:rPr>
            </w:pPr>
            <w:r w:rsidRPr="00701F32">
              <w:rPr>
                <w:rFonts w:ascii="Arial" w:hAnsi="Arial" w:cs="Arial"/>
                <w:sz w:val="16"/>
                <w:szCs w:val="18"/>
                <w:lang w:eastAsia="es-AR"/>
              </w:rPr>
              <w:t xml:space="preserve"> Cargo por incobrabilidad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AEF6A4B" w14:textId="1C86F77F"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783.052</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DCDA320" w14:textId="00D188C0"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1.523.336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4F7E156" w14:textId="0177D76A"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14.692</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48C6A7E" w14:textId="6D8FB0AF"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1.651.538</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9DE6433" w14:textId="5D0F9BD3" w:rsidR="00BA29F2" w:rsidRPr="00701F32" w:rsidRDefault="00BA29F2" w:rsidP="00BA29F2">
            <w:pPr>
              <w:jc w:val="right"/>
              <w:rPr>
                <w:rFonts w:ascii="Arial" w:hAnsi="Arial" w:cs="Arial"/>
                <w:sz w:val="16"/>
                <w:szCs w:val="18"/>
              </w:rPr>
            </w:pPr>
            <w:r w:rsidRPr="00886ABA">
              <w:rPr>
                <w:rFonts w:ascii="Arial" w:hAnsi="Arial" w:cs="Arial"/>
                <w:sz w:val="16"/>
                <w:szCs w:val="16"/>
              </w:rPr>
              <w:t>17.816</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14:paraId="73B6DF40" w14:textId="3C7A113C"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3.954.802</w:t>
            </w:r>
          </w:p>
        </w:tc>
      </w:tr>
      <w:tr w:rsidR="00BA29F2" w:rsidRPr="00701F32" w14:paraId="2E454F82"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04407" w14:textId="77777777" w:rsidR="00BA29F2" w:rsidRPr="00701F32" w:rsidRDefault="00BA29F2" w:rsidP="00BA29F2">
            <w:pPr>
              <w:jc w:val="both"/>
              <w:rPr>
                <w:rFonts w:ascii="Arial" w:hAnsi="Arial" w:cs="Arial"/>
                <w:b/>
                <w:bCs/>
                <w:sz w:val="16"/>
                <w:szCs w:val="18"/>
                <w:lang w:eastAsia="es-AR"/>
              </w:rPr>
            </w:pPr>
            <w:r w:rsidRPr="00701F32">
              <w:rPr>
                <w:rFonts w:ascii="Arial" w:hAnsi="Arial" w:cs="Arial"/>
                <w:b/>
                <w:bCs/>
                <w:sz w:val="16"/>
                <w:szCs w:val="18"/>
                <w:lang w:eastAsia="es-AR"/>
              </w:rPr>
              <w:t xml:space="preserve"> Ingreso operativo neto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E6A0D" w14:textId="7D8D838D" w:rsidR="00BA29F2" w:rsidRPr="00701F32" w:rsidRDefault="00BA29F2" w:rsidP="00BA29F2">
            <w:pPr>
              <w:jc w:val="right"/>
              <w:rPr>
                <w:rFonts w:ascii="Arial" w:hAnsi="Arial" w:cs="Arial"/>
                <w:b/>
                <w:sz w:val="16"/>
                <w:szCs w:val="18"/>
              </w:rPr>
            </w:pPr>
            <w:r w:rsidRPr="00886ABA">
              <w:rPr>
                <w:rFonts w:ascii="Arial" w:hAnsi="Arial" w:cs="Arial"/>
                <w:b/>
                <w:sz w:val="16"/>
                <w:szCs w:val="16"/>
              </w:rPr>
              <w:t>3.965.294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766B0" w14:textId="4F2F926B" w:rsidR="00BA29F2" w:rsidRPr="00701F32" w:rsidRDefault="00BA29F2" w:rsidP="00BA29F2">
            <w:pPr>
              <w:jc w:val="right"/>
              <w:rPr>
                <w:rFonts w:ascii="Arial" w:hAnsi="Arial" w:cs="Arial"/>
                <w:b/>
                <w:sz w:val="16"/>
                <w:szCs w:val="18"/>
              </w:rPr>
            </w:pPr>
            <w:r w:rsidRPr="00886ABA">
              <w:rPr>
                <w:rFonts w:ascii="Arial" w:hAnsi="Arial" w:cs="Arial"/>
                <w:b/>
                <w:sz w:val="16"/>
                <w:szCs w:val="16"/>
              </w:rPr>
              <w:t>10.751.140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B526B" w14:textId="78BD239F" w:rsidR="00BA29F2" w:rsidRPr="00701F32" w:rsidRDefault="00BA29F2" w:rsidP="00BA29F2">
            <w:pPr>
              <w:jc w:val="right"/>
              <w:rPr>
                <w:rFonts w:ascii="Arial" w:hAnsi="Arial" w:cs="Arial"/>
                <w:b/>
                <w:sz w:val="16"/>
                <w:szCs w:val="18"/>
              </w:rPr>
            </w:pPr>
            <w:r w:rsidRPr="00886ABA">
              <w:rPr>
                <w:rFonts w:ascii="Arial" w:hAnsi="Arial" w:cs="Arial"/>
                <w:b/>
                <w:sz w:val="16"/>
                <w:szCs w:val="16"/>
              </w:rPr>
              <w:t>976.855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59C99" w14:textId="78B81471" w:rsidR="00BA29F2" w:rsidRPr="00701F32" w:rsidRDefault="00BA29F2" w:rsidP="00BA29F2">
            <w:pPr>
              <w:jc w:val="right"/>
              <w:rPr>
                <w:rFonts w:ascii="Arial" w:hAnsi="Arial" w:cs="Arial"/>
                <w:b/>
                <w:sz w:val="16"/>
                <w:szCs w:val="18"/>
              </w:rPr>
            </w:pPr>
            <w:r w:rsidRPr="00886ABA">
              <w:rPr>
                <w:rFonts w:ascii="Arial" w:hAnsi="Arial" w:cs="Arial"/>
                <w:b/>
                <w:sz w:val="16"/>
                <w:szCs w:val="16"/>
              </w:rPr>
              <w:t>629.951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58F97" w14:textId="0312270D" w:rsidR="00BA29F2" w:rsidRPr="00701F32" w:rsidRDefault="00BA29F2" w:rsidP="00BA29F2">
            <w:pPr>
              <w:jc w:val="right"/>
              <w:rPr>
                <w:rFonts w:ascii="Arial" w:hAnsi="Arial" w:cs="Arial"/>
                <w:b/>
                <w:sz w:val="16"/>
                <w:szCs w:val="18"/>
              </w:rPr>
            </w:pPr>
            <w:r w:rsidRPr="00886ABA">
              <w:rPr>
                <w:rFonts w:ascii="Arial" w:hAnsi="Arial" w:cs="Arial"/>
                <w:b/>
                <w:sz w:val="16"/>
                <w:szCs w:val="16"/>
              </w:rPr>
              <w:t>-72.076</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2975B" w14:textId="029B1FC9" w:rsidR="00BA29F2" w:rsidRPr="00701F32" w:rsidRDefault="00BA29F2" w:rsidP="00BA29F2">
            <w:pPr>
              <w:jc w:val="right"/>
              <w:rPr>
                <w:rFonts w:ascii="Arial" w:hAnsi="Arial" w:cs="Arial"/>
                <w:b/>
                <w:sz w:val="16"/>
                <w:szCs w:val="18"/>
              </w:rPr>
            </w:pPr>
            <w:r w:rsidRPr="00886ABA">
              <w:rPr>
                <w:rFonts w:ascii="Arial" w:hAnsi="Arial" w:cs="Arial"/>
                <w:b/>
                <w:sz w:val="16"/>
                <w:szCs w:val="16"/>
              </w:rPr>
              <w:t>16.251.164</w:t>
            </w:r>
          </w:p>
        </w:tc>
      </w:tr>
      <w:tr w:rsidR="00BA29F2" w:rsidRPr="00701F32" w14:paraId="4A2292B7" w14:textId="77777777" w:rsidTr="006E1AF7">
        <w:tc>
          <w:tcPr>
            <w:tcW w:w="3687" w:type="dxa"/>
            <w:tcBorders>
              <w:top w:val="single" w:sz="4" w:space="0" w:color="auto"/>
              <w:left w:val="single" w:sz="4" w:space="0" w:color="auto"/>
              <w:bottom w:val="nil"/>
              <w:right w:val="single" w:sz="4" w:space="0" w:color="auto"/>
            </w:tcBorders>
            <w:shd w:val="clear" w:color="auto" w:fill="auto"/>
            <w:noWrap/>
            <w:vAlign w:val="bottom"/>
            <w:hideMark/>
          </w:tcPr>
          <w:p w14:paraId="3407F2B6" w14:textId="77777777" w:rsidR="00BA29F2" w:rsidRPr="00701F32" w:rsidRDefault="00BA29F2" w:rsidP="00BA29F2">
            <w:pPr>
              <w:jc w:val="both"/>
              <w:rPr>
                <w:rFonts w:ascii="Arial" w:hAnsi="Arial" w:cs="Arial"/>
                <w:sz w:val="16"/>
                <w:szCs w:val="18"/>
                <w:lang w:eastAsia="es-AR"/>
              </w:rPr>
            </w:pPr>
            <w:r w:rsidRPr="00701F32">
              <w:rPr>
                <w:rFonts w:ascii="Arial" w:hAnsi="Arial" w:cs="Arial"/>
                <w:sz w:val="16"/>
                <w:szCs w:val="18"/>
                <w:lang w:eastAsia="es-AR"/>
              </w:rPr>
              <w:t xml:space="preserve"> Beneficios al personal </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2FF70AB5" w14:textId="31F40C6E"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845.496</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33628C62" w14:textId="31E4D305"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4.727.082</w:t>
            </w:r>
          </w:p>
        </w:tc>
        <w:tc>
          <w:tcPr>
            <w:tcW w:w="992" w:type="dxa"/>
            <w:tcBorders>
              <w:top w:val="single" w:sz="4" w:space="0" w:color="auto"/>
              <w:left w:val="single" w:sz="4" w:space="0" w:color="auto"/>
              <w:bottom w:val="nil"/>
              <w:right w:val="single" w:sz="4" w:space="0" w:color="auto"/>
            </w:tcBorders>
            <w:shd w:val="clear" w:color="auto" w:fill="auto"/>
            <w:noWrap/>
            <w:vAlign w:val="bottom"/>
            <w:hideMark/>
          </w:tcPr>
          <w:p w14:paraId="66B06224" w14:textId="32803EB5"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291.723</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17B1F76A" w14:textId="38C4AA93"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466.396</w:t>
            </w:r>
          </w:p>
        </w:tc>
        <w:tc>
          <w:tcPr>
            <w:tcW w:w="1275" w:type="dxa"/>
            <w:tcBorders>
              <w:top w:val="single" w:sz="4" w:space="0" w:color="auto"/>
              <w:left w:val="single" w:sz="4" w:space="0" w:color="auto"/>
              <w:bottom w:val="nil"/>
              <w:right w:val="single" w:sz="4" w:space="0" w:color="auto"/>
            </w:tcBorders>
            <w:shd w:val="clear" w:color="auto" w:fill="auto"/>
            <w:noWrap/>
            <w:vAlign w:val="bottom"/>
            <w:hideMark/>
          </w:tcPr>
          <w:p w14:paraId="216D6C69" w14:textId="23CDAE43"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1147" w:type="dxa"/>
            <w:tcBorders>
              <w:top w:val="single" w:sz="4" w:space="0" w:color="auto"/>
              <w:left w:val="single" w:sz="4" w:space="0" w:color="auto"/>
              <w:bottom w:val="nil"/>
              <w:right w:val="single" w:sz="4" w:space="0" w:color="auto"/>
            </w:tcBorders>
            <w:shd w:val="clear" w:color="auto" w:fill="auto"/>
            <w:noWrap/>
            <w:vAlign w:val="bottom"/>
            <w:hideMark/>
          </w:tcPr>
          <w:p w14:paraId="7DE4B5E2" w14:textId="6BD0A543"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6.330.697</w:t>
            </w:r>
          </w:p>
        </w:tc>
      </w:tr>
      <w:tr w:rsidR="00BA29F2" w:rsidRPr="00701F32" w14:paraId="6671A371" w14:textId="77777777" w:rsidTr="006E1AF7">
        <w:tc>
          <w:tcPr>
            <w:tcW w:w="3687" w:type="dxa"/>
            <w:tcBorders>
              <w:top w:val="nil"/>
              <w:left w:val="single" w:sz="4" w:space="0" w:color="auto"/>
              <w:bottom w:val="nil"/>
              <w:right w:val="single" w:sz="4" w:space="0" w:color="auto"/>
            </w:tcBorders>
            <w:shd w:val="clear" w:color="auto" w:fill="auto"/>
            <w:noWrap/>
            <w:vAlign w:val="bottom"/>
            <w:hideMark/>
          </w:tcPr>
          <w:p w14:paraId="2B635AD0" w14:textId="77777777" w:rsidR="00BA29F2" w:rsidRPr="00701F32" w:rsidRDefault="00BA29F2" w:rsidP="00BA29F2">
            <w:pPr>
              <w:jc w:val="both"/>
              <w:rPr>
                <w:rFonts w:ascii="Arial" w:hAnsi="Arial" w:cs="Arial"/>
                <w:sz w:val="16"/>
                <w:szCs w:val="18"/>
                <w:lang w:eastAsia="es-AR"/>
              </w:rPr>
            </w:pPr>
            <w:r w:rsidRPr="00701F32">
              <w:rPr>
                <w:rFonts w:ascii="Arial" w:hAnsi="Arial" w:cs="Arial"/>
                <w:sz w:val="16"/>
                <w:szCs w:val="18"/>
                <w:lang w:eastAsia="es-AR"/>
              </w:rPr>
              <w:t xml:space="preserve"> Gastos de administración </w:t>
            </w:r>
          </w:p>
        </w:tc>
        <w:tc>
          <w:tcPr>
            <w:tcW w:w="992" w:type="dxa"/>
            <w:tcBorders>
              <w:top w:val="nil"/>
              <w:left w:val="single" w:sz="4" w:space="0" w:color="auto"/>
              <w:bottom w:val="nil"/>
              <w:right w:val="single" w:sz="4" w:space="0" w:color="auto"/>
            </w:tcBorders>
            <w:shd w:val="clear" w:color="auto" w:fill="auto"/>
            <w:noWrap/>
            <w:vAlign w:val="bottom"/>
            <w:hideMark/>
          </w:tcPr>
          <w:p w14:paraId="1D9F995C" w14:textId="7A8DA56F"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390.281</w:t>
            </w:r>
          </w:p>
        </w:tc>
        <w:tc>
          <w:tcPr>
            <w:tcW w:w="992" w:type="dxa"/>
            <w:tcBorders>
              <w:top w:val="nil"/>
              <w:left w:val="single" w:sz="4" w:space="0" w:color="auto"/>
              <w:bottom w:val="nil"/>
              <w:right w:val="single" w:sz="4" w:space="0" w:color="auto"/>
            </w:tcBorders>
            <w:shd w:val="clear" w:color="auto" w:fill="auto"/>
            <w:noWrap/>
            <w:vAlign w:val="bottom"/>
            <w:hideMark/>
          </w:tcPr>
          <w:p w14:paraId="0ECB0FF4" w14:textId="20D54C82"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3.035.965</w:t>
            </w:r>
          </w:p>
        </w:tc>
        <w:tc>
          <w:tcPr>
            <w:tcW w:w="992" w:type="dxa"/>
            <w:tcBorders>
              <w:top w:val="nil"/>
              <w:left w:val="single" w:sz="4" w:space="0" w:color="auto"/>
              <w:bottom w:val="nil"/>
              <w:right w:val="single" w:sz="4" w:space="0" w:color="auto"/>
            </w:tcBorders>
            <w:shd w:val="clear" w:color="auto" w:fill="auto"/>
            <w:noWrap/>
            <w:vAlign w:val="bottom"/>
            <w:hideMark/>
          </w:tcPr>
          <w:p w14:paraId="1F2FB997" w14:textId="7CF28210"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151.734</w:t>
            </w:r>
          </w:p>
        </w:tc>
        <w:tc>
          <w:tcPr>
            <w:tcW w:w="993" w:type="dxa"/>
            <w:tcBorders>
              <w:top w:val="nil"/>
              <w:left w:val="single" w:sz="4" w:space="0" w:color="auto"/>
              <w:bottom w:val="nil"/>
              <w:right w:val="single" w:sz="4" w:space="0" w:color="auto"/>
            </w:tcBorders>
            <w:shd w:val="clear" w:color="auto" w:fill="auto"/>
            <w:noWrap/>
            <w:vAlign w:val="bottom"/>
            <w:hideMark/>
          </w:tcPr>
          <w:p w14:paraId="04EFA74E" w14:textId="37A10EE1"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541.775</w:t>
            </w:r>
          </w:p>
        </w:tc>
        <w:tc>
          <w:tcPr>
            <w:tcW w:w="1275" w:type="dxa"/>
            <w:tcBorders>
              <w:top w:val="nil"/>
              <w:left w:val="single" w:sz="4" w:space="0" w:color="auto"/>
              <w:bottom w:val="nil"/>
              <w:right w:val="single" w:sz="4" w:space="0" w:color="auto"/>
            </w:tcBorders>
            <w:shd w:val="clear" w:color="auto" w:fill="auto"/>
            <w:noWrap/>
            <w:vAlign w:val="bottom"/>
            <w:hideMark/>
          </w:tcPr>
          <w:p w14:paraId="78F21FD1" w14:textId="3AD9E504" w:rsidR="00BA29F2" w:rsidRPr="00701F32" w:rsidRDefault="00BA29F2" w:rsidP="00BA29F2">
            <w:pPr>
              <w:jc w:val="right"/>
              <w:rPr>
                <w:rFonts w:ascii="Arial" w:hAnsi="Arial" w:cs="Arial"/>
                <w:sz w:val="16"/>
                <w:szCs w:val="18"/>
              </w:rPr>
            </w:pPr>
            <w:r w:rsidRPr="00886ABA">
              <w:rPr>
                <w:rFonts w:ascii="Arial" w:hAnsi="Arial" w:cs="Arial"/>
                <w:sz w:val="16"/>
                <w:szCs w:val="16"/>
              </w:rPr>
              <w:t>16.815</w:t>
            </w:r>
          </w:p>
        </w:tc>
        <w:tc>
          <w:tcPr>
            <w:tcW w:w="1147" w:type="dxa"/>
            <w:tcBorders>
              <w:top w:val="nil"/>
              <w:left w:val="single" w:sz="4" w:space="0" w:color="auto"/>
              <w:bottom w:val="nil"/>
              <w:right w:val="single" w:sz="4" w:space="0" w:color="auto"/>
            </w:tcBorders>
            <w:shd w:val="clear" w:color="auto" w:fill="auto"/>
            <w:noWrap/>
            <w:vAlign w:val="bottom"/>
            <w:hideMark/>
          </w:tcPr>
          <w:p w14:paraId="7BBB95E0" w14:textId="3E60EFB4"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4.102.940</w:t>
            </w:r>
          </w:p>
        </w:tc>
      </w:tr>
      <w:tr w:rsidR="00BA29F2" w:rsidRPr="00701F32" w14:paraId="5D6F4D56" w14:textId="77777777" w:rsidTr="006E1AF7">
        <w:tc>
          <w:tcPr>
            <w:tcW w:w="3687" w:type="dxa"/>
            <w:tcBorders>
              <w:top w:val="nil"/>
              <w:left w:val="single" w:sz="4" w:space="0" w:color="auto"/>
              <w:bottom w:val="nil"/>
              <w:right w:val="single" w:sz="4" w:space="0" w:color="auto"/>
            </w:tcBorders>
            <w:shd w:val="clear" w:color="auto" w:fill="auto"/>
            <w:noWrap/>
            <w:vAlign w:val="bottom"/>
            <w:hideMark/>
          </w:tcPr>
          <w:p w14:paraId="309803A3" w14:textId="77777777" w:rsidR="00BA29F2" w:rsidRPr="00701F32" w:rsidRDefault="00BA29F2" w:rsidP="00BA29F2">
            <w:pPr>
              <w:jc w:val="both"/>
              <w:rPr>
                <w:rFonts w:ascii="Arial" w:hAnsi="Arial" w:cs="Arial"/>
                <w:sz w:val="16"/>
                <w:szCs w:val="18"/>
                <w:lang w:eastAsia="es-AR"/>
              </w:rPr>
            </w:pPr>
            <w:r w:rsidRPr="00701F32">
              <w:rPr>
                <w:rFonts w:ascii="Arial" w:hAnsi="Arial" w:cs="Arial"/>
                <w:sz w:val="16"/>
                <w:szCs w:val="18"/>
                <w:lang w:eastAsia="es-AR"/>
              </w:rPr>
              <w:t xml:space="preserve"> Depreciaciones y desvalorizaciones de bienes </w:t>
            </w:r>
          </w:p>
        </w:tc>
        <w:tc>
          <w:tcPr>
            <w:tcW w:w="992" w:type="dxa"/>
            <w:tcBorders>
              <w:top w:val="nil"/>
              <w:left w:val="single" w:sz="4" w:space="0" w:color="auto"/>
              <w:bottom w:val="nil"/>
              <w:right w:val="single" w:sz="4" w:space="0" w:color="auto"/>
            </w:tcBorders>
            <w:shd w:val="clear" w:color="auto" w:fill="auto"/>
            <w:noWrap/>
            <w:vAlign w:val="bottom"/>
            <w:hideMark/>
          </w:tcPr>
          <w:p w14:paraId="52D05908" w14:textId="27108C7C"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68.862</w:t>
            </w:r>
          </w:p>
        </w:tc>
        <w:tc>
          <w:tcPr>
            <w:tcW w:w="992" w:type="dxa"/>
            <w:tcBorders>
              <w:top w:val="nil"/>
              <w:left w:val="single" w:sz="4" w:space="0" w:color="auto"/>
              <w:bottom w:val="nil"/>
              <w:right w:val="single" w:sz="4" w:space="0" w:color="auto"/>
            </w:tcBorders>
            <w:shd w:val="clear" w:color="auto" w:fill="auto"/>
            <w:noWrap/>
            <w:vAlign w:val="bottom"/>
            <w:hideMark/>
          </w:tcPr>
          <w:p w14:paraId="1DF4796D" w14:textId="31478C12"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214.589</w:t>
            </w:r>
          </w:p>
        </w:tc>
        <w:tc>
          <w:tcPr>
            <w:tcW w:w="992" w:type="dxa"/>
            <w:tcBorders>
              <w:top w:val="nil"/>
              <w:left w:val="single" w:sz="4" w:space="0" w:color="auto"/>
              <w:bottom w:val="nil"/>
              <w:right w:val="single" w:sz="4" w:space="0" w:color="auto"/>
            </w:tcBorders>
            <w:shd w:val="clear" w:color="auto" w:fill="auto"/>
            <w:noWrap/>
            <w:vAlign w:val="bottom"/>
            <w:hideMark/>
          </w:tcPr>
          <w:p w14:paraId="46E30531" w14:textId="7E74979F"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15.220</w:t>
            </w:r>
          </w:p>
        </w:tc>
        <w:tc>
          <w:tcPr>
            <w:tcW w:w="993" w:type="dxa"/>
            <w:tcBorders>
              <w:top w:val="nil"/>
              <w:left w:val="single" w:sz="4" w:space="0" w:color="auto"/>
              <w:bottom w:val="nil"/>
              <w:right w:val="single" w:sz="4" w:space="0" w:color="auto"/>
            </w:tcBorders>
            <w:shd w:val="clear" w:color="auto" w:fill="auto"/>
            <w:noWrap/>
            <w:vAlign w:val="bottom"/>
            <w:hideMark/>
          </w:tcPr>
          <w:p w14:paraId="0E4B044B" w14:textId="7BA9AEBA"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26.371</w:t>
            </w:r>
          </w:p>
        </w:tc>
        <w:tc>
          <w:tcPr>
            <w:tcW w:w="1275" w:type="dxa"/>
            <w:tcBorders>
              <w:top w:val="nil"/>
              <w:left w:val="single" w:sz="4" w:space="0" w:color="auto"/>
              <w:bottom w:val="nil"/>
              <w:right w:val="single" w:sz="4" w:space="0" w:color="auto"/>
            </w:tcBorders>
            <w:shd w:val="clear" w:color="auto" w:fill="auto"/>
            <w:noWrap/>
            <w:vAlign w:val="bottom"/>
            <w:hideMark/>
          </w:tcPr>
          <w:p w14:paraId="6EF05C67" w14:textId="409CC216"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1147" w:type="dxa"/>
            <w:tcBorders>
              <w:top w:val="nil"/>
              <w:left w:val="single" w:sz="4" w:space="0" w:color="auto"/>
              <w:bottom w:val="nil"/>
              <w:right w:val="single" w:sz="4" w:space="0" w:color="auto"/>
            </w:tcBorders>
            <w:shd w:val="clear" w:color="auto" w:fill="auto"/>
            <w:noWrap/>
            <w:vAlign w:val="bottom"/>
            <w:hideMark/>
          </w:tcPr>
          <w:p w14:paraId="1615CD3D" w14:textId="27D8A9AE"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325.042</w:t>
            </w:r>
          </w:p>
        </w:tc>
      </w:tr>
      <w:tr w:rsidR="00BA29F2" w:rsidRPr="00701F32" w14:paraId="32C983D5" w14:textId="77777777" w:rsidTr="006E1AF7">
        <w:tc>
          <w:tcPr>
            <w:tcW w:w="3687" w:type="dxa"/>
            <w:tcBorders>
              <w:top w:val="nil"/>
              <w:left w:val="single" w:sz="4" w:space="0" w:color="auto"/>
              <w:bottom w:val="single" w:sz="4" w:space="0" w:color="auto"/>
              <w:right w:val="single" w:sz="4" w:space="0" w:color="auto"/>
            </w:tcBorders>
            <w:shd w:val="clear" w:color="auto" w:fill="auto"/>
            <w:noWrap/>
            <w:vAlign w:val="bottom"/>
            <w:hideMark/>
          </w:tcPr>
          <w:p w14:paraId="11F6D495" w14:textId="77777777" w:rsidR="00BA29F2" w:rsidRPr="00701F32" w:rsidRDefault="00BA29F2" w:rsidP="00BA29F2">
            <w:pPr>
              <w:jc w:val="both"/>
              <w:rPr>
                <w:rFonts w:ascii="Arial" w:hAnsi="Arial" w:cs="Arial"/>
                <w:sz w:val="16"/>
                <w:szCs w:val="18"/>
                <w:lang w:eastAsia="es-AR"/>
              </w:rPr>
            </w:pPr>
            <w:r w:rsidRPr="00701F32">
              <w:rPr>
                <w:rFonts w:ascii="Arial" w:hAnsi="Arial" w:cs="Arial"/>
                <w:sz w:val="16"/>
                <w:szCs w:val="18"/>
                <w:lang w:eastAsia="es-AR"/>
              </w:rPr>
              <w:t xml:space="preserve"> Otros gastos operativos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54600AA" w14:textId="40EA3FF2"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840.397</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9945DDD" w14:textId="75A40B04"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1.903.501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BE1B489" w14:textId="59E999AF"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235.168</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CD7D006" w14:textId="71B9B034"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452.552</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E54515E" w14:textId="3ED6AAA0"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14:paraId="63C25F29" w14:textId="3DF23128"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3.431.618</w:t>
            </w:r>
          </w:p>
        </w:tc>
      </w:tr>
      <w:tr w:rsidR="00BA29F2" w:rsidRPr="00701F32" w14:paraId="29AB8F28"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35758" w14:textId="77777777" w:rsidR="00BA29F2" w:rsidRPr="00701F32" w:rsidRDefault="00BA29F2" w:rsidP="00BA29F2">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operativo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CA6D" w14:textId="2B6E6650" w:rsidR="00BA29F2" w:rsidRPr="00701F32" w:rsidRDefault="00BA29F2" w:rsidP="00BA29F2">
            <w:pPr>
              <w:jc w:val="right"/>
              <w:rPr>
                <w:rFonts w:ascii="Arial" w:hAnsi="Arial" w:cs="Arial"/>
                <w:b/>
                <w:sz w:val="16"/>
                <w:szCs w:val="18"/>
              </w:rPr>
            </w:pPr>
            <w:r w:rsidRPr="00886ABA">
              <w:rPr>
                <w:rFonts w:ascii="Arial" w:hAnsi="Arial" w:cs="Arial"/>
                <w:sz w:val="16"/>
                <w:szCs w:val="16"/>
              </w:rPr>
              <w:t>1.820.258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46A06" w14:textId="533B1A09" w:rsidR="00BA29F2" w:rsidRPr="00701F32" w:rsidRDefault="00BA29F2" w:rsidP="00BA29F2">
            <w:pPr>
              <w:jc w:val="right"/>
              <w:rPr>
                <w:rFonts w:ascii="Arial" w:hAnsi="Arial" w:cs="Arial"/>
                <w:b/>
                <w:sz w:val="16"/>
                <w:szCs w:val="18"/>
              </w:rPr>
            </w:pPr>
            <w:r w:rsidRPr="00886ABA">
              <w:rPr>
                <w:rFonts w:ascii="Arial" w:hAnsi="Arial" w:cs="Arial"/>
                <w:sz w:val="16"/>
                <w:szCs w:val="16"/>
              </w:rPr>
              <w:t>870.003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44B64" w14:textId="6D9E46BF" w:rsidR="00BA29F2" w:rsidRPr="00701F32" w:rsidRDefault="00BA29F2" w:rsidP="00BA29F2">
            <w:pPr>
              <w:jc w:val="right"/>
              <w:rPr>
                <w:rFonts w:ascii="Arial" w:hAnsi="Arial" w:cs="Arial"/>
                <w:b/>
                <w:sz w:val="16"/>
                <w:szCs w:val="18"/>
              </w:rPr>
            </w:pPr>
            <w:r w:rsidRPr="00886ABA">
              <w:rPr>
                <w:rFonts w:ascii="Arial" w:hAnsi="Arial" w:cs="Arial"/>
                <w:sz w:val="16"/>
                <w:szCs w:val="16"/>
              </w:rPr>
              <w:t>283.010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CF254" w14:textId="47AA7B66" w:rsidR="00BA29F2" w:rsidRPr="00701F32" w:rsidRDefault="00BA29F2" w:rsidP="00BA29F2">
            <w:pPr>
              <w:jc w:val="right"/>
              <w:rPr>
                <w:rFonts w:ascii="Arial" w:hAnsi="Arial" w:cs="Arial"/>
                <w:b/>
                <w:sz w:val="16"/>
                <w:szCs w:val="18"/>
              </w:rPr>
            </w:pPr>
            <w:r w:rsidRPr="00886ABA">
              <w:rPr>
                <w:rFonts w:ascii="Arial" w:hAnsi="Arial" w:cs="Arial"/>
                <w:sz w:val="16"/>
                <w:szCs w:val="16"/>
              </w:rPr>
              <w:t>-857.143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9406F" w14:textId="08119062" w:rsidR="00BA29F2" w:rsidRPr="00701F32" w:rsidRDefault="00BA29F2" w:rsidP="00BA29F2">
            <w:pPr>
              <w:jc w:val="right"/>
              <w:rPr>
                <w:rFonts w:ascii="Arial" w:hAnsi="Arial" w:cs="Arial"/>
                <w:b/>
                <w:sz w:val="16"/>
                <w:szCs w:val="18"/>
              </w:rPr>
            </w:pPr>
            <w:r w:rsidRPr="00886ABA">
              <w:rPr>
                <w:rFonts w:ascii="Arial" w:hAnsi="Arial" w:cs="Arial"/>
                <w:sz w:val="16"/>
                <w:szCs w:val="16"/>
              </w:rPr>
              <w:t>-55.261</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9937B" w14:textId="443BBC01" w:rsidR="00BA29F2" w:rsidRPr="00701F32" w:rsidRDefault="00BA29F2" w:rsidP="00BA29F2">
            <w:pPr>
              <w:jc w:val="right"/>
              <w:rPr>
                <w:rFonts w:ascii="Arial" w:hAnsi="Arial" w:cs="Arial"/>
                <w:b/>
                <w:sz w:val="16"/>
                <w:szCs w:val="18"/>
              </w:rPr>
            </w:pPr>
            <w:r w:rsidRPr="00886ABA">
              <w:rPr>
                <w:rFonts w:ascii="Arial" w:hAnsi="Arial" w:cs="Arial"/>
                <w:sz w:val="16"/>
                <w:szCs w:val="16"/>
              </w:rPr>
              <w:t>2.060.867</w:t>
            </w:r>
          </w:p>
        </w:tc>
      </w:tr>
      <w:tr w:rsidR="00BA29F2" w:rsidRPr="00701F32" w14:paraId="21EF6F0A"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FB139" w14:textId="77777777" w:rsidR="00BA29F2" w:rsidRPr="00701F32" w:rsidRDefault="00BA29F2" w:rsidP="00BA29F2">
            <w:pPr>
              <w:jc w:val="both"/>
              <w:rPr>
                <w:rFonts w:ascii="Arial" w:hAnsi="Arial" w:cs="Arial"/>
                <w:sz w:val="16"/>
                <w:szCs w:val="18"/>
                <w:lang w:eastAsia="es-AR"/>
              </w:rPr>
            </w:pPr>
            <w:r w:rsidRPr="00701F32">
              <w:rPr>
                <w:rFonts w:ascii="Arial" w:hAnsi="Arial" w:cs="Arial"/>
                <w:sz w:val="16"/>
                <w:szCs w:val="18"/>
                <w:lang w:eastAsia="es-AR"/>
              </w:rPr>
              <w:t xml:space="preserve"> Resultado por asociadas y negocios conjuntos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E9A51" w14:textId="4C4406CA"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301A0" w14:textId="7310E24F"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215B1" w14:textId="0E87F184" w:rsidR="00BA29F2" w:rsidRPr="00701F32" w:rsidRDefault="00BA29F2" w:rsidP="00BA29F2">
            <w:pPr>
              <w:jc w:val="right"/>
              <w:rPr>
                <w:rFonts w:ascii="Arial" w:hAnsi="Arial" w:cs="Arial"/>
                <w:sz w:val="16"/>
                <w:szCs w:val="18"/>
                <w:lang w:val="es-ES_tradnl"/>
              </w:rPr>
            </w:pPr>
            <w:r w:rsidRPr="00886ABA">
              <w:rPr>
                <w:rFonts w:ascii="Arial" w:hAnsi="Arial" w:cs="Arial"/>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6F47A" w14:textId="5CCC9605" w:rsidR="00BA29F2" w:rsidRPr="00701F32" w:rsidRDefault="00BA29F2" w:rsidP="00BA29F2">
            <w:pPr>
              <w:jc w:val="right"/>
              <w:rPr>
                <w:rFonts w:ascii="Arial" w:hAnsi="Arial" w:cs="Arial"/>
                <w:sz w:val="16"/>
                <w:szCs w:val="18"/>
              </w:rPr>
            </w:pPr>
            <w:r w:rsidRPr="00886ABA">
              <w:rPr>
                <w:rFonts w:ascii="Arial" w:hAnsi="Arial" w:cs="Arial"/>
                <w:sz w:val="16"/>
                <w:szCs w:val="16"/>
              </w:rPr>
              <w:t>-2.013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DC99C" w14:textId="46F56524" w:rsidR="00BA29F2" w:rsidRPr="00701F32" w:rsidRDefault="00BA29F2" w:rsidP="00BA29F2">
            <w:pPr>
              <w:jc w:val="right"/>
              <w:rPr>
                <w:rFonts w:ascii="Arial" w:hAnsi="Arial" w:cs="Arial"/>
                <w:sz w:val="16"/>
                <w:szCs w:val="18"/>
              </w:rPr>
            </w:pPr>
            <w:r w:rsidRPr="00886ABA">
              <w:rPr>
                <w:rFonts w:ascii="Arial" w:hAnsi="Arial" w:cs="Arial"/>
                <w:sz w:val="16"/>
                <w:szCs w:val="16"/>
              </w:rPr>
              <w:t>-8.347</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C1E9E" w14:textId="62BAC21F" w:rsidR="00BA29F2" w:rsidRPr="00701F32" w:rsidRDefault="00BA29F2" w:rsidP="00BA29F2">
            <w:pPr>
              <w:jc w:val="right"/>
              <w:rPr>
                <w:rFonts w:ascii="Arial" w:hAnsi="Arial" w:cs="Arial"/>
                <w:sz w:val="16"/>
                <w:szCs w:val="18"/>
              </w:rPr>
            </w:pPr>
            <w:r w:rsidRPr="00886ABA">
              <w:rPr>
                <w:rFonts w:ascii="Arial" w:hAnsi="Arial" w:cs="Arial"/>
                <w:sz w:val="16"/>
                <w:szCs w:val="16"/>
              </w:rPr>
              <w:t>-10.360</w:t>
            </w:r>
          </w:p>
        </w:tc>
      </w:tr>
      <w:tr w:rsidR="00BA29F2" w:rsidRPr="00701F32" w14:paraId="5990226D"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3A2BA" w14:textId="77777777" w:rsidR="00BA29F2" w:rsidRPr="00701F32" w:rsidRDefault="00BA29F2" w:rsidP="00BA29F2">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antes de impuesto de las actividades que continúan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6C071" w14:textId="2D58C9A9" w:rsidR="00BA29F2" w:rsidRPr="00701F32" w:rsidRDefault="00BA29F2" w:rsidP="00BA29F2">
            <w:pPr>
              <w:jc w:val="right"/>
              <w:rPr>
                <w:rFonts w:ascii="Arial" w:hAnsi="Arial" w:cs="Arial"/>
                <w:b/>
                <w:sz w:val="16"/>
                <w:szCs w:val="18"/>
              </w:rPr>
            </w:pPr>
            <w:r w:rsidRPr="00886ABA">
              <w:rPr>
                <w:rFonts w:ascii="Arial" w:hAnsi="Arial" w:cs="Arial"/>
                <w:b/>
                <w:sz w:val="16"/>
                <w:szCs w:val="16"/>
              </w:rPr>
              <w:t>1.820.258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18719" w14:textId="406F5CF6" w:rsidR="00BA29F2" w:rsidRPr="00701F32" w:rsidRDefault="00BA29F2" w:rsidP="00BA29F2">
            <w:pPr>
              <w:jc w:val="right"/>
              <w:rPr>
                <w:rFonts w:ascii="Arial" w:hAnsi="Arial" w:cs="Arial"/>
                <w:b/>
                <w:sz w:val="16"/>
                <w:szCs w:val="18"/>
              </w:rPr>
            </w:pPr>
            <w:r w:rsidRPr="00886ABA">
              <w:rPr>
                <w:rFonts w:ascii="Arial" w:hAnsi="Arial" w:cs="Arial"/>
                <w:b/>
                <w:sz w:val="16"/>
                <w:szCs w:val="16"/>
              </w:rPr>
              <w:t>870.003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8679B" w14:textId="4F05A14C" w:rsidR="00BA29F2" w:rsidRPr="00701F32" w:rsidRDefault="00BA29F2" w:rsidP="00BA29F2">
            <w:pPr>
              <w:jc w:val="right"/>
              <w:rPr>
                <w:rFonts w:ascii="Arial" w:hAnsi="Arial" w:cs="Arial"/>
                <w:b/>
                <w:sz w:val="16"/>
                <w:szCs w:val="18"/>
              </w:rPr>
            </w:pPr>
            <w:r w:rsidRPr="00886ABA">
              <w:rPr>
                <w:rFonts w:ascii="Arial" w:hAnsi="Arial" w:cs="Arial"/>
                <w:b/>
                <w:sz w:val="16"/>
                <w:szCs w:val="16"/>
              </w:rPr>
              <w:t>283.010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B6E85" w14:textId="5EE67813" w:rsidR="00BA29F2" w:rsidRPr="00701F32" w:rsidRDefault="00BA29F2" w:rsidP="00BA29F2">
            <w:pPr>
              <w:jc w:val="right"/>
              <w:rPr>
                <w:rFonts w:ascii="Arial" w:hAnsi="Arial" w:cs="Arial"/>
                <w:b/>
                <w:sz w:val="16"/>
                <w:szCs w:val="18"/>
              </w:rPr>
            </w:pPr>
            <w:r w:rsidRPr="00886ABA">
              <w:rPr>
                <w:rFonts w:ascii="Arial" w:hAnsi="Arial" w:cs="Arial"/>
                <w:b/>
                <w:sz w:val="16"/>
                <w:szCs w:val="16"/>
              </w:rPr>
              <w:t>-859.156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B90D3" w14:textId="7ACE9367" w:rsidR="00BA29F2" w:rsidRPr="00701F32" w:rsidRDefault="00BA29F2" w:rsidP="00BA29F2">
            <w:pPr>
              <w:jc w:val="right"/>
              <w:rPr>
                <w:rFonts w:ascii="Arial" w:hAnsi="Arial" w:cs="Arial"/>
                <w:b/>
                <w:sz w:val="16"/>
                <w:szCs w:val="18"/>
              </w:rPr>
            </w:pPr>
            <w:r w:rsidRPr="00886ABA">
              <w:rPr>
                <w:rFonts w:ascii="Arial" w:hAnsi="Arial" w:cs="Arial"/>
                <w:b/>
                <w:sz w:val="16"/>
                <w:szCs w:val="16"/>
              </w:rPr>
              <w:t>-63.608</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FC473" w14:textId="4538EB23" w:rsidR="00BA29F2" w:rsidRPr="00701F32" w:rsidRDefault="00BA29F2" w:rsidP="00BA29F2">
            <w:pPr>
              <w:jc w:val="right"/>
              <w:rPr>
                <w:rFonts w:ascii="Arial" w:hAnsi="Arial" w:cs="Arial"/>
                <w:b/>
                <w:sz w:val="16"/>
                <w:szCs w:val="18"/>
              </w:rPr>
            </w:pPr>
            <w:r w:rsidRPr="00886ABA">
              <w:rPr>
                <w:rFonts w:ascii="Arial" w:hAnsi="Arial" w:cs="Arial"/>
                <w:b/>
                <w:sz w:val="16"/>
                <w:szCs w:val="16"/>
              </w:rPr>
              <w:t>2.050.507</w:t>
            </w:r>
          </w:p>
        </w:tc>
      </w:tr>
      <w:tr w:rsidR="00BA29F2" w:rsidRPr="00701F32" w14:paraId="7410A844"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5A7B6" w14:textId="77777777" w:rsidR="00BA29F2" w:rsidRPr="00701F32" w:rsidRDefault="00BA29F2" w:rsidP="00BA29F2">
            <w:pPr>
              <w:jc w:val="both"/>
              <w:rPr>
                <w:rFonts w:ascii="Arial" w:hAnsi="Arial" w:cs="Arial"/>
                <w:sz w:val="16"/>
                <w:szCs w:val="18"/>
                <w:lang w:eastAsia="es-AR"/>
              </w:rPr>
            </w:pPr>
            <w:r w:rsidRPr="00701F32">
              <w:rPr>
                <w:rFonts w:ascii="Arial" w:hAnsi="Arial" w:cs="Arial"/>
                <w:sz w:val="16"/>
                <w:szCs w:val="18"/>
                <w:lang w:eastAsia="es-AR"/>
              </w:rPr>
              <w:t xml:space="preserve"> Impuesto a las ganancias de las actividades que continúan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FAB1C" w14:textId="075317B6"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374.075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441A4" w14:textId="19C1623C"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182.624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6FCB5" w14:textId="2AE2455B" w:rsidR="00BA29F2" w:rsidRPr="00701F32" w:rsidRDefault="00EF3ABD"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75.110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97435" w14:textId="54338B7D" w:rsidR="00BA29F2" w:rsidRPr="00701F32" w:rsidRDefault="00BA29F2" w:rsidP="00BA29F2">
            <w:pPr>
              <w:jc w:val="right"/>
              <w:rPr>
                <w:rFonts w:ascii="Arial" w:hAnsi="Arial" w:cs="Arial"/>
                <w:sz w:val="16"/>
                <w:szCs w:val="18"/>
              </w:rPr>
            </w:pPr>
            <w:r w:rsidRPr="00886ABA">
              <w:rPr>
                <w:rFonts w:ascii="Arial" w:hAnsi="Arial" w:cs="Arial"/>
                <w:sz w:val="16"/>
                <w:szCs w:val="16"/>
              </w:rPr>
              <w:t>244.539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C07E5" w14:textId="5A352E0D"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7B2BB" w14:textId="58286733" w:rsidR="00BA29F2" w:rsidRPr="00701F32" w:rsidRDefault="008C3F79" w:rsidP="00BA29F2">
            <w:pPr>
              <w:jc w:val="right"/>
              <w:rPr>
                <w:rFonts w:ascii="Arial" w:hAnsi="Arial" w:cs="Arial"/>
                <w:sz w:val="16"/>
                <w:szCs w:val="18"/>
              </w:rPr>
            </w:pPr>
            <w:r>
              <w:rPr>
                <w:rFonts w:ascii="Arial" w:hAnsi="Arial" w:cs="Arial"/>
                <w:sz w:val="16"/>
                <w:szCs w:val="16"/>
              </w:rPr>
              <w:t>-</w:t>
            </w:r>
            <w:r w:rsidR="00BA29F2" w:rsidRPr="00886ABA">
              <w:rPr>
                <w:rFonts w:ascii="Arial" w:hAnsi="Arial" w:cs="Arial"/>
                <w:sz w:val="16"/>
                <w:szCs w:val="16"/>
              </w:rPr>
              <w:t>387.270</w:t>
            </w:r>
          </w:p>
        </w:tc>
      </w:tr>
      <w:tr w:rsidR="00BA29F2" w:rsidRPr="00701F32" w14:paraId="10B83BDF"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42E1E" w14:textId="77777777" w:rsidR="00BA29F2" w:rsidRPr="00701F32" w:rsidRDefault="00BA29F2" w:rsidP="00BA29F2">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neto de las actividades que continúan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A00A7" w14:textId="78CB8D5E" w:rsidR="00BA29F2" w:rsidRPr="00701F32" w:rsidRDefault="00BA29F2" w:rsidP="00BA29F2">
            <w:pPr>
              <w:jc w:val="right"/>
              <w:rPr>
                <w:rFonts w:ascii="Arial" w:hAnsi="Arial" w:cs="Arial"/>
                <w:b/>
                <w:sz w:val="16"/>
                <w:szCs w:val="18"/>
              </w:rPr>
            </w:pPr>
            <w:r w:rsidRPr="00886ABA">
              <w:rPr>
                <w:rFonts w:ascii="Arial" w:hAnsi="Arial" w:cs="Arial"/>
                <w:b/>
                <w:sz w:val="16"/>
                <w:szCs w:val="16"/>
              </w:rPr>
              <w:t>1.446.183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7D2A4" w14:textId="4C1A1644" w:rsidR="00BA29F2" w:rsidRPr="00701F32" w:rsidRDefault="00BA29F2" w:rsidP="00BA29F2">
            <w:pPr>
              <w:jc w:val="right"/>
              <w:rPr>
                <w:rFonts w:ascii="Arial" w:hAnsi="Arial" w:cs="Arial"/>
                <w:b/>
                <w:sz w:val="16"/>
                <w:szCs w:val="18"/>
              </w:rPr>
            </w:pPr>
            <w:r w:rsidRPr="00886ABA">
              <w:rPr>
                <w:rFonts w:ascii="Arial" w:hAnsi="Arial" w:cs="Arial"/>
                <w:b/>
                <w:sz w:val="16"/>
                <w:szCs w:val="16"/>
              </w:rPr>
              <w:t>687.379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8E4D3" w14:textId="4ABE2DC8" w:rsidR="00BA29F2" w:rsidRPr="00701F32" w:rsidRDefault="00BA29F2" w:rsidP="00BA29F2">
            <w:pPr>
              <w:jc w:val="right"/>
              <w:rPr>
                <w:rFonts w:ascii="Arial" w:hAnsi="Arial" w:cs="Arial"/>
                <w:b/>
                <w:sz w:val="16"/>
                <w:szCs w:val="18"/>
              </w:rPr>
            </w:pPr>
            <w:r w:rsidRPr="00886ABA">
              <w:rPr>
                <w:rFonts w:ascii="Arial" w:hAnsi="Arial" w:cs="Arial"/>
                <w:b/>
                <w:sz w:val="16"/>
                <w:szCs w:val="16"/>
              </w:rPr>
              <w:t>207.900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F4740" w14:textId="7C78EEEC" w:rsidR="00BA29F2" w:rsidRPr="00701F32" w:rsidRDefault="00BA29F2" w:rsidP="00BA29F2">
            <w:pPr>
              <w:jc w:val="right"/>
              <w:rPr>
                <w:rFonts w:ascii="Arial" w:hAnsi="Arial" w:cs="Arial"/>
                <w:b/>
                <w:sz w:val="16"/>
                <w:szCs w:val="18"/>
              </w:rPr>
            </w:pPr>
            <w:r w:rsidRPr="00886ABA">
              <w:rPr>
                <w:rFonts w:ascii="Arial" w:hAnsi="Arial" w:cs="Arial"/>
                <w:b/>
                <w:sz w:val="16"/>
                <w:szCs w:val="16"/>
              </w:rPr>
              <w:t>-614.617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D1880" w14:textId="3A8A9A5B" w:rsidR="00BA29F2" w:rsidRPr="00701F32" w:rsidRDefault="00BA29F2" w:rsidP="00BA29F2">
            <w:pPr>
              <w:jc w:val="right"/>
              <w:rPr>
                <w:rFonts w:ascii="Arial" w:hAnsi="Arial" w:cs="Arial"/>
                <w:b/>
                <w:sz w:val="16"/>
                <w:szCs w:val="18"/>
              </w:rPr>
            </w:pPr>
            <w:r w:rsidRPr="00886ABA">
              <w:rPr>
                <w:rFonts w:ascii="Arial" w:hAnsi="Arial" w:cs="Arial"/>
                <w:b/>
                <w:sz w:val="16"/>
                <w:szCs w:val="16"/>
              </w:rPr>
              <w:t>-63.608</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1AD76" w14:textId="0F4E86AD" w:rsidR="00BA29F2" w:rsidRPr="00701F32" w:rsidRDefault="00BA29F2" w:rsidP="00BA29F2">
            <w:pPr>
              <w:jc w:val="right"/>
              <w:rPr>
                <w:rFonts w:ascii="Arial" w:hAnsi="Arial" w:cs="Arial"/>
                <w:b/>
                <w:sz w:val="16"/>
                <w:szCs w:val="18"/>
              </w:rPr>
            </w:pPr>
            <w:r w:rsidRPr="00886ABA">
              <w:rPr>
                <w:rFonts w:ascii="Arial" w:hAnsi="Arial" w:cs="Arial"/>
                <w:b/>
                <w:sz w:val="16"/>
                <w:szCs w:val="16"/>
              </w:rPr>
              <w:t>1.663.237</w:t>
            </w:r>
          </w:p>
        </w:tc>
      </w:tr>
      <w:tr w:rsidR="00BA29F2" w:rsidRPr="00701F32" w14:paraId="3B4A4A81"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D8FBD" w14:textId="0824C795" w:rsidR="00BA29F2" w:rsidRPr="00701F32" w:rsidRDefault="00BA29F2" w:rsidP="00BA29F2">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neto del </w:t>
            </w:r>
            <w:r>
              <w:rPr>
                <w:rFonts w:ascii="Arial" w:hAnsi="Arial" w:cs="Arial"/>
                <w:b/>
                <w:bCs/>
                <w:sz w:val="16"/>
                <w:szCs w:val="18"/>
                <w:lang w:eastAsia="es-AR"/>
              </w:rPr>
              <w:t>ejercicio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00233" w14:textId="2A0C681F" w:rsidR="00BA29F2" w:rsidRPr="00701F32" w:rsidRDefault="00BA29F2" w:rsidP="00BA29F2">
            <w:pPr>
              <w:jc w:val="right"/>
              <w:rPr>
                <w:rFonts w:ascii="Arial" w:hAnsi="Arial" w:cs="Arial"/>
                <w:b/>
                <w:sz w:val="16"/>
                <w:szCs w:val="18"/>
              </w:rPr>
            </w:pPr>
            <w:r w:rsidRPr="00886ABA">
              <w:rPr>
                <w:rFonts w:ascii="Arial" w:hAnsi="Arial" w:cs="Arial"/>
                <w:b/>
                <w:sz w:val="16"/>
                <w:szCs w:val="16"/>
              </w:rPr>
              <w:t>1.446.183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155BD" w14:textId="4B0E21AC" w:rsidR="00BA29F2" w:rsidRPr="00701F32" w:rsidRDefault="00BA29F2" w:rsidP="00BA29F2">
            <w:pPr>
              <w:jc w:val="right"/>
              <w:rPr>
                <w:rFonts w:ascii="Arial" w:hAnsi="Arial" w:cs="Arial"/>
                <w:b/>
                <w:sz w:val="16"/>
                <w:szCs w:val="18"/>
              </w:rPr>
            </w:pPr>
            <w:r w:rsidRPr="00886ABA">
              <w:rPr>
                <w:rFonts w:ascii="Arial" w:hAnsi="Arial" w:cs="Arial"/>
                <w:b/>
                <w:sz w:val="16"/>
                <w:szCs w:val="16"/>
              </w:rPr>
              <w:t>687.379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30D32" w14:textId="307B7DA2" w:rsidR="00BA29F2" w:rsidRPr="00701F32" w:rsidRDefault="00BA29F2" w:rsidP="00BA29F2">
            <w:pPr>
              <w:jc w:val="right"/>
              <w:rPr>
                <w:rFonts w:ascii="Arial" w:hAnsi="Arial" w:cs="Arial"/>
                <w:b/>
                <w:sz w:val="16"/>
                <w:szCs w:val="18"/>
              </w:rPr>
            </w:pPr>
            <w:r w:rsidRPr="00886ABA">
              <w:rPr>
                <w:rFonts w:ascii="Arial" w:hAnsi="Arial" w:cs="Arial"/>
                <w:b/>
                <w:sz w:val="16"/>
                <w:szCs w:val="16"/>
              </w:rPr>
              <w:t>207.900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E39B0" w14:textId="79D01AE6" w:rsidR="00BA29F2" w:rsidRPr="00701F32" w:rsidRDefault="00BA29F2" w:rsidP="00BA29F2">
            <w:pPr>
              <w:jc w:val="right"/>
              <w:rPr>
                <w:rFonts w:ascii="Arial" w:hAnsi="Arial" w:cs="Arial"/>
                <w:b/>
                <w:sz w:val="16"/>
                <w:szCs w:val="18"/>
              </w:rPr>
            </w:pPr>
            <w:r w:rsidRPr="00886ABA">
              <w:rPr>
                <w:rFonts w:ascii="Arial" w:hAnsi="Arial" w:cs="Arial"/>
                <w:b/>
                <w:sz w:val="16"/>
                <w:szCs w:val="16"/>
              </w:rPr>
              <w:t>-614.617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7FEF6" w14:textId="36353761" w:rsidR="00BA29F2" w:rsidRPr="00701F32" w:rsidRDefault="00BA29F2" w:rsidP="00BA29F2">
            <w:pPr>
              <w:jc w:val="right"/>
              <w:rPr>
                <w:rFonts w:ascii="Arial" w:hAnsi="Arial" w:cs="Arial"/>
                <w:b/>
                <w:sz w:val="16"/>
                <w:szCs w:val="18"/>
              </w:rPr>
            </w:pPr>
            <w:r w:rsidRPr="00886ABA">
              <w:rPr>
                <w:rFonts w:ascii="Arial" w:hAnsi="Arial" w:cs="Arial"/>
                <w:b/>
                <w:sz w:val="16"/>
                <w:szCs w:val="16"/>
              </w:rPr>
              <w:t>-63.608</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CFE07" w14:textId="63550243" w:rsidR="00BA29F2" w:rsidRPr="00701F32" w:rsidRDefault="00BA29F2" w:rsidP="00BA29F2">
            <w:pPr>
              <w:jc w:val="right"/>
              <w:rPr>
                <w:rFonts w:ascii="Arial" w:hAnsi="Arial" w:cs="Arial"/>
                <w:b/>
                <w:sz w:val="16"/>
                <w:szCs w:val="18"/>
              </w:rPr>
            </w:pPr>
            <w:r w:rsidRPr="00886ABA">
              <w:rPr>
                <w:rFonts w:ascii="Arial" w:hAnsi="Arial" w:cs="Arial"/>
                <w:b/>
                <w:sz w:val="16"/>
                <w:szCs w:val="16"/>
              </w:rPr>
              <w:t>1.663.237</w:t>
            </w:r>
          </w:p>
        </w:tc>
      </w:tr>
      <w:tr w:rsidR="00BA29F2" w:rsidRPr="00701F32" w14:paraId="5B1918A7"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190949" w14:textId="06982215" w:rsidR="00BA29F2" w:rsidRPr="00701F32" w:rsidRDefault="00BA29F2" w:rsidP="00BA29F2">
            <w:pPr>
              <w:jc w:val="both"/>
              <w:rPr>
                <w:rFonts w:ascii="Arial" w:hAnsi="Arial" w:cs="Arial"/>
                <w:bCs/>
                <w:sz w:val="16"/>
                <w:szCs w:val="18"/>
                <w:lang w:eastAsia="es-AR"/>
              </w:rPr>
            </w:pPr>
            <w:r w:rsidRPr="00731187">
              <w:rPr>
                <w:rFonts w:ascii="Arial" w:hAnsi="Arial" w:cs="Arial"/>
                <w:bCs/>
                <w:sz w:val="16"/>
                <w:szCs w:val="18"/>
                <w:lang w:eastAsia="es-AR"/>
              </w:rPr>
              <w:t>Otros Resultados Integrales (ORI)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8607DD" w14:textId="164FBE11" w:rsidR="00BA29F2" w:rsidRPr="00701F32" w:rsidRDefault="00BA29F2" w:rsidP="00BA29F2">
            <w:pPr>
              <w:jc w:val="right"/>
              <w:rPr>
                <w:rFonts w:ascii="Arial" w:hAnsi="Arial" w:cs="Arial"/>
                <w:sz w:val="16"/>
                <w:szCs w:val="18"/>
              </w:rPr>
            </w:pPr>
            <w:r w:rsidRPr="00886ABA">
              <w:rPr>
                <w:rFonts w:ascii="Arial" w:hAnsi="Arial" w:cs="Arial"/>
                <w:sz w:val="16"/>
                <w:szCs w:val="16"/>
              </w:rPr>
              <w:t>318.572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89B07" w14:textId="5B222FDC" w:rsidR="00BA29F2" w:rsidRPr="00701F32" w:rsidRDefault="00BA29F2" w:rsidP="00BA29F2">
            <w:pPr>
              <w:jc w:val="right"/>
              <w:rPr>
                <w:rFonts w:ascii="Arial" w:hAnsi="Arial" w:cs="Arial"/>
                <w:sz w:val="16"/>
                <w:szCs w:val="18"/>
              </w:rPr>
            </w:pPr>
            <w:r w:rsidRPr="00886ABA">
              <w:rPr>
                <w:rFonts w:ascii="Arial" w:hAnsi="Arial" w:cs="Arial"/>
                <w:sz w:val="16"/>
                <w:szCs w:val="16"/>
              </w:rPr>
              <w:t>30.279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902B0B" w14:textId="281EC7CF" w:rsidR="00BA29F2" w:rsidRPr="00701F32" w:rsidRDefault="00BA29F2" w:rsidP="00BA29F2">
            <w:pPr>
              <w:jc w:val="right"/>
              <w:rPr>
                <w:rFonts w:ascii="Arial" w:hAnsi="Arial" w:cs="Arial"/>
                <w:sz w:val="16"/>
                <w:szCs w:val="18"/>
              </w:rPr>
            </w:pPr>
            <w:r w:rsidRPr="00886ABA">
              <w:rPr>
                <w:rFonts w:ascii="Arial" w:hAnsi="Arial" w:cs="Arial"/>
                <w:sz w:val="16"/>
                <w:szCs w:val="16"/>
              </w:rPr>
              <w:t>240.7</w:t>
            </w:r>
            <w:r>
              <w:rPr>
                <w:rFonts w:ascii="Arial" w:hAnsi="Arial" w:cs="Arial"/>
                <w:sz w:val="16"/>
                <w:szCs w:val="16"/>
              </w:rPr>
              <w:t>37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D0141E" w14:textId="2C95912E"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0BBE9" w14:textId="7ADB7EF4"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559A9B" w14:textId="51A250A0" w:rsidR="00BA29F2" w:rsidRPr="00701F32" w:rsidRDefault="00BA29F2" w:rsidP="00BA29F2">
            <w:pPr>
              <w:jc w:val="right"/>
              <w:rPr>
                <w:rFonts w:ascii="Arial" w:hAnsi="Arial" w:cs="Arial"/>
                <w:sz w:val="16"/>
                <w:szCs w:val="18"/>
              </w:rPr>
            </w:pPr>
            <w:r w:rsidRPr="004D096F">
              <w:rPr>
                <w:rFonts w:ascii="Arial" w:hAnsi="Arial" w:cs="Arial"/>
                <w:sz w:val="16"/>
                <w:szCs w:val="16"/>
              </w:rPr>
              <w:t>589.58</w:t>
            </w:r>
            <w:r>
              <w:rPr>
                <w:rFonts w:ascii="Arial" w:hAnsi="Arial" w:cs="Arial"/>
                <w:sz w:val="16"/>
                <w:szCs w:val="16"/>
              </w:rPr>
              <w:t>8</w:t>
            </w:r>
          </w:p>
        </w:tc>
      </w:tr>
      <w:tr w:rsidR="00BA29F2" w:rsidRPr="00701F32" w14:paraId="14CF6A64"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3B188" w14:textId="2CA5FFAF" w:rsidR="00BA29F2" w:rsidRPr="00701F32" w:rsidRDefault="00BA29F2" w:rsidP="00BA29F2">
            <w:pPr>
              <w:rPr>
                <w:rFonts w:ascii="Arial" w:hAnsi="Arial" w:cs="Arial"/>
                <w:sz w:val="16"/>
                <w:szCs w:val="18"/>
                <w:lang w:eastAsia="es-AR"/>
              </w:rPr>
            </w:pPr>
            <w:r>
              <w:rPr>
                <w:rFonts w:ascii="Arial" w:hAnsi="Arial" w:cs="Arial"/>
                <w:bCs/>
                <w:sz w:val="16"/>
                <w:szCs w:val="18"/>
                <w:lang w:eastAsia="es-AR"/>
              </w:rPr>
              <w:t>Impuesto a las ganancias</w:t>
            </w:r>
            <w:r w:rsidRPr="00701F32">
              <w:rPr>
                <w:rFonts w:ascii="Arial" w:hAnsi="Arial" w:cs="Arial"/>
                <w:bCs/>
                <w:sz w:val="16"/>
                <w:szCs w:val="18"/>
                <w:lang w:eastAsia="es-AR"/>
              </w:rPr>
              <w:t xml:space="preserve"> (ORI)</w:t>
            </w:r>
            <w:r w:rsidRPr="00731187" w:rsidDel="001A7117">
              <w:rPr>
                <w:rFonts w:ascii="Arial" w:hAnsi="Arial" w:cs="Arial"/>
                <w:bCs/>
                <w:sz w:val="16"/>
                <w:szCs w:val="18"/>
                <w:lang w:eastAsia="es-AR"/>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4E99B5" w14:textId="587B2DB9" w:rsidR="00BA29F2" w:rsidRPr="00701F32" w:rsidRDefault="00BA29F2" w:rsidP="00BA29F2">
            <w:pPr>
              <w:jc w:val="right"/>
              <w:rPr>
                <w:rFonts w:ascii="Arial" w:hAnsi="Arial" w:cs="Arial"/>
                <w:sz w:val="16"/>
                <w:szCs w:val="18"/>
              </w:rPr>
            </w:pPr>
            <w:r>
              <w:rPr>
                <w:rFonts w:ascii="Arial" w:hAnsi="Arial" w:cs="Arial"/>
                <w:sz w:val="16"/>
                <w:szCs w:val="16"/>
              </w:rPr>
              <w:t>-</w:t>
            </w:r>
            <w:r w:rsidRPr="00886ABA">
              <w:rPr>
                <w:rFonts w:ascii="Arial" w:hAnsi="Arial" w:cs="Arial"/>
                <w:sz w:val="16"/>
                <w:szCs w:val="16"/>
              </w:rPr>
              <w:t>79.667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6B6C6D" w14:textId="089600F4" w:rsidR="00BA29F2" w:rsidRPr="00701F32" w:rsidRDefault="00BA29F2" w:rsidP="00BA29F2">
            <w:pPr>
              <w:jc w:val="right"/>
              <w:rPr>
                <w:rFonts w:ascii="Arial" w:hAnsi="Arial" w:cs="Arial"/>
                <w:sz w:val="16"/>
                <w:szCs w:val="18"/>
              </w:rPr>
            </w:pPr>
            <w:r>
              <w:rPr>
                <w:rFonts w:ascii="Arial" w:hAnsi="Arial" w:cs="Arial"/>
                <w:sz w:val="16"/>
                <w:szCs w:val="16"/>
              </w:rPr>
              <w:t>-</w:t>
            </w:r>
            <w:r w:rsidRPr="00886ABA">
              <w:rPr>
                <w:rFonts w:ascii="Arial" w:hAnsi="Arial" w:cs="Arial"/>
                <w:sz w:val="16"/>
                <w:szCs w:val="16"/>
              </w:rPr>
              <w:t>60.203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2B69DD" w14:textId="7DAF55F2" w:rsidR="00BA29F2" w:rsidRPr="00701F32" w:rsidRDefault="00BA29F2" w:rsidP="00BA29F2">
            <w:pPr>
              <w:jc w:val="right"/>
              <w:rPr>
                <w:rFonts w:ascii="Arial" w:hAnsi="Arial" w:cs="Arial"/>
                <w:sz w:val="16"/>
                <w:szCs w:val="18"/>
              </w:rPr>
            </w:pPr>
            <w:r>
              <w:rPr>
                <w:rFonts w:ascii="Arial" w:hAnsi="Arial" w:cs="Arial"/>
                <w:sz w:val="16"/>
                <w:szCs w:val="16"/>
              </w:rPr>
              <w:t>-</w:t>
            </w:r>
            <w:r w:rsidRPr="00886ABA">
              <w:rPr>
                <w:rFonts w:ascii="Arial" w:hAnsi="Arial" w:cs="Arial"/>
                <w:sz w:val="16"/>
                <w:szCs w:val="16"/>
              </w:rPr>
              <w:t>7.572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891C13" w14:textId="0AD6D891"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06E81C" w14:textId="5D775C2A" w:rsidR="00BA29F2" w:rsidRPr="00701F32" w:rsidRDefault="00BA29F2" w:rsidP="00BA29F2">
            <w:pPr>
              <w:jc w:val="right"/>
              <w:rPr>
                <w:rFonts w:ascii="Arial" w:hAnsi="Arial" w:cs="Arial"/>
                <w:sz w:val="16"/>
                <w:szCs w:val="18"/>
              </w:rPr>
            </w:pPr>
            <w:r w:rsidRPr="00886ABA">
              <w:rPr>
                <w:rFonts w:ascii="Arial" w:hAnsi="Arial" w:cs="Arial"/>
                <w:sz w:val="16"/>
                <w:szCs w:val="16"/>
              </w:rPr>
              <w:t>-</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034088" w14:textId="4A8125CA" w:rsidR="00BA29F2" w:rsidRPr="00701F32" w:rsidRDefault="00BA29F2" w:rsidP="00BA29F2">
            <w:pPr>
              <w:jc w:val="right"/>
              <w:rPr>
                <w:rFonts w:ascii="Arial" w:hAnsi="Arial" w:cs="Arial"/>
                <w:sz w:val="16"/>
                <w:szCs w:val="18"/>
              </w:rPr>
            </w:pPr>
            <w:r>
              <w:rPr>
                <w:rFonts w:ascii="Arial" w:hAnsi="Arial" w:cs="Arial"/>
                <w:sz w:val="16"/>
                <w:szCs w:val="16"/>
              </w:rPr>
              <w:t>-</w:t>
            </w:r>
            <w:r w:rsidRPr="00886ABA">
              <w:rPr>
                <w:rFonts w:ascii="Arial" w:hAnsi="Arial" w:cs="Arial"/>
                <w:sz w:val="16"/>
                <w:szCs w:val="16"/>
              </w:rPr>
              <w:t>147.442</w:t>
            </w:r>
          </w:p>
        </w:tc>
      </w:tr>
      <w:tr w:rsidR="00BA29F2" w:rsidRPr="00701F32" w14:paraId="2B5E16F1" w14:textId="77777777" w:rsidTr="006E1AF7">
        <w:tc>
          <w:tcPr>
            <w:tcW w:w="3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12EA7" w14:textId="651A67B4" w:rsidR="00BA29F2" w:rsidRPr="00701F32" w:rsidRDefault="00BA29F2" w:rsidP="00BA29F2">
            <w:pPr>
              <w:rPr>
                <w:rFonts w:ascii="Arial" w:hAnsi="Arial" w:cs="Arial"/>
                <w:b/>
                <w:bCs/>
                <w:sz w:val="16"/>
                <w:szCs w:val="18"/>
                <w:lang w:eastAsia="es-AR"/>
              </w:rPr>
            </w:pPr>
            <w:r w:rsidRPr="00701F32">
              <w:rPr>
                <w:rFonts w:ascii="Arial" w:hAnsi="Arial" w:cs="Arial"/>
                <w:b/>
                <w:bCs/>
                <w:sz w:val="16"/>
                <w:szCs w:val="18"/>
                <w:lang w:eastAsia="es-AR"/>
              </w:rPr>
              <w:t xml:space="preserve"> Resultado Integral del </w:t>
            </w:r>
            <w:r>
              <w:rPr>
                <w:rFonts w:ascii="Arial" w:hAnsi="Arial" w:cs="Arial"/>
                <w:b/>
                <w:bCs/>
                <w:sz w:val="16"/>
                <w:szCs w:val="18"/>
                <w:lang w:eastAsia="es-AR"/>
              </w:rPr>
              <w:t>ejercicio</w:t>
            </w:r>
            <w:r w:rsidRPr="00701F32">
              <w:rPr>
                <w:rFonts w:ascii="Arial" w:hAnsi="Arial" w:cs="Arial"/>
                <w:b/>
                <w:bCs/>
                <w:sz w:val="16"/>
                <w:szCs w:val="18"/>
                <w:lang w:eastAsia="es-AR"/>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7C2F1" w14:textId="4C1BEE81" w:rsidR="00BA29F2" w:rsidRPr="00701F32" w:rsidRDefault="00BA29F2" w:rsidP="00BA29F2">
            <w:pPr>
              <w:jc w:val="right"/>
              <w:rPr>
                <w:rFonts w:ascii="Arial" w:hAnsi="Arial" w:cs="Arial"/>
                <w:b/>
                <w:sz w:val="16"/>
                <w:szCs w:val="18"/>
              </w:rPr>
            </w:pPr>
            <w:r w:rsidRPr="00886ABA">
              <w:rPr>
                <w:rFonts w:ascii="Arial" w:hAnsi="Arial" w:cs="Arial"/>
                <w:b/>
                <w:sz w:val="16"/>
                <w:szCs w:val="16"/>
              </w:rPr>
              <w:t>1.685.088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E5E34" w14:textId="2D95B2FB" w:rsidR="00BA29F2" w:rsidRPr="00701F32" w:rsidRDefault="00BA29F2" w:rsidP="00BA29F2">
            <w:pPr>
              <w:jc w:val="right"/>
              <w:rPr>
                <w:rFonts w:ascii="Arial" w:hAnsi="Arial" w:cs="Arial"/>
                <w:b/>
                <w:sz w:val="16"/>
                <w:szCs w:val="18"/>
              </w:rPr>
            </w:pPr>
            <w:r w:rsidRPr="00886ABA">
              <w:rPr>
                <w:rFonts w:ascii="Arial" w:hAnsi="Arial" w:cs="Arial"/>
                <w:b/>
                <w:sz w:val="16"/>
                <w:szCs w:val="16"/>
              </w:rPr>
              <w:t>657.455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0FC1C" w14:textId="5BCCECE5" w:rsidR="00BA29F2" w:rsidRPr="00701F32" w:rsidRDefault="00BA29F2" w:rsidP="00BA29F2">
            <w:pPr>
              <w:jc w:val="right"/>
              <w:rPr>
                <w:rFonts w:ascii="Arial" w:hAnsi="Arial" w:cs="Arial"/>
                <w:b/>
                <w:sz w:val="16"/>
                <w:szCs w:val="18"/>
              </w:rPr>
            </w:pPr>
            <w:r w:rsidRPr="004D096F">
              <w:rPr>
                <w:rFonts w:ascii="Arial" w:hAnsi="Arial" w:cs="Arial"/>
                <w:b/>
                <w:sz w:val="16"/>
                <w:szCs w:val="16"/>
              </w:rPr>
              <w:t>441.06</w:t>
            </w:r>
            <w:r>
              <w:rPr>
                <w:rFonts w:ascii="Arial" w:hAnsi="Arial" w:cs="Arial"/>
                <w:b/>
                <w:sz w:val="16"/>
                <w:szCs w:val="16"/>
              </w:rPr>
              <w:t>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48488" w14:textId="144DD3E5" w:rsidR="00BA29F2" w:rsidRPr="00701F32" w:rsidRDefault="00BA29F2" w:rsidP="00BA29F2">
            <w:pPr>
              <w:jc w:val="right"/>
              <w:rPr>
                <w:rFonts w:ascii="Arial" w:hAnsi="Arial" w:cs="Arial"/>
                <w:b/>
                <w:sz w:val="16"/>
                <w:szCs w:val="18"/>
              </w:rPr>
            </w:pPr>
            <w:r w:rsidRPr="00886ABA">
              <w:rPr>
                <w:rFonts w:ascii="Arial" w:hAnsi="Arial" w:cs="Arial"/>
                <w:b/>
                <w:sz w:val="16"/>
                <w:szCs w:val="16"/>
              </w:rPr>
              <w:t>-614.617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D1E63" w14:textId="4761600E" w:rsidR="00BA29F2" w:rsidRPr="00701F32" w:rsidRDefault="00BA29F2" w:rsidP="00BA29F2">
            <w:pPr>
              <w:jc w:val="right"/>
              <w:rPr>
                <w:rFonts w:ascii="Arial" w:hAnsi="Arial" w:cs="Arial"/>
                <w:b/>
                <w:sz w:val="16"/>
                <w:szCs w:val="18"/>
              </w:rPr>
            </w:pPr>
            <w:r w:rsidRPr="00886ABA">
              <w:rPr>
                <w:rFonts w:ascii="Arial" w:hAnsi="Arial" w:cs="Arial"/>
                <w:b/>
                <w:sz w:val="16"/>
                <w:szCs w:val="16"/>
              </w:rPr>
              <w:t>-63.608</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392A8" w14:textId="1CD33E05" w:rsidR="00BA29F2" w:rsidRPr="00701F32" w:rsidRDefault="00BA29F2" w:rsidP="00BA29F2">
            <w:pPr>
              <w:jc w:val="right"/>
              <w:rPr>
                <w:rFonts w:ascii="Arial" w:hAnsi="Arial" w:cs="Arial"/>
                <w:b/>
                <w:sz w:val="16"/>
                <w:szCs w:val="18"/>
              </w:rPr>
            </w:pPr>
            <w:r w:rsidRPr="004D096F">
              <w:rPr>
                <w:rFonts w:ascii="Arial" w:hAnsi="Arial" w:cs="Arial"/>
                <w:b/>
                <w:sz w:val="16"/>
                <w:szCs w:val="16"/>
              </w:rPr>
              <w:t>2.105.38</w:t>
            </w:r>
            <w:r>
              <w:rPr>
                <w:rFonts w:ascii="Arial" w:hAnsi="Arial" w:cs="Arial"/>
                <w:b/>
                <w:sz w:val="16"/>
                <w:szCs w:val="16"/>
              </w:rPr>
              <w:t>3</w:t>
            </w:r>
          </w:p>
        </w:tc>
      </w:tr>
    </w:tbl>
    <w:p w14:paraId="71974C77" w14:textId="02EDECE6" w:rsidR="000B1093" w:rsidRDefault="000B1093" w:rsidP="004933F7">
      <w:pPr>
        <w:spacing w:after="160" w:line="259" w:lineRule="auto"/>
        <w:jc w:val="both"/>
        <w:rPr>
          <w:rFonts w:ascii="Arial" w:eastAsia="Calibri" w:hAnsi="Arial" w:cs="Arial"/>
          <w:bCs/>
          <w:sz w:val="16"/>
          <w:szCs w:val="16"/>
        </w:rPr>
      </w:pPr>
    </w:p>
    <w:p w14:paraId="7CA5F018" w14:textId="77777777" w:rsidR="000B1093" w:rsidRDefault="000B1093">
      <w:pPr>
        <w:rPr>
          <w:rFonts w:ascii="Arial" w:eastAsia="Calibri" w:hAnsi="Arial" w:cs="Arial"/>
          <w:bCs/>
          <w:sz w:val="16"/>
          <w:szCs w:val="16"/>
        </w:rPr>
      </w:pPr>
      <w:r>
        <w:rPr>
          <w:rFonts w:ascii="Arial" w:eastAsia="Calibri" w:hAnsi="Arial" w:cs="Arial"/>
          <w:bCs/>
          <w:sz w:val="16"/>
          <w:szCs w:val="16"/>
        </w:rPr>
        <w:br w:type="page"/>
      </w:r>
    </w:p>
    <w:p w14:paraId="292B6016" w14:textId="557BE649" w:rsidR="00BA29F2" w:rsidRPr="00132437" w:rsidRDefault="00BA29F2" w:rsidP="00BA29F2">
      <w:pPr>
        <w:jc w:val="both"/>
        <w:rPr>
          <w:rFonts w:ascii="Arial" w:eastAsia="Calibri" w:hAnsi="Arial" w:cs="Arial"/>
          <w:b/>
          <w:color w:val="C45911"/>
          <w:sz w:val="20"/>
        </w:rPr>
      </w:pPr>
      <w:r>
        <w:rPr>
          <w:rFonts w:ascii="Arial" w:eastAsia="Calibri" w:hAnsi="Arial" w:cs="Arial"/>
          <w:b/>
          <w:noProof/>
          <w:sz w:val="20"/>
        </w:rPr>
        <w:t>4</w:t>
      </w:r>
      <w:r w:rsidRPr="00132437">
        <w:rPr>
          <w:rFonts w:ascii="Arial" w:eastAsia="Calibri" w:hAnsi="Arial" w:cs="Arial"/>
          <w:b/>
          <w:noProof/>
          <w:sz w:val="20"/>
        </w:rPr>
        <w:t xml:space="preserve">. IMPUESTO A LAS GANANCIAS </w:t>
      </w:r>
    </w:p>
    <w:p w14:paraId="0011F2A7" w14:textId="77777777" w:rsidR="00BA29F2" w:rsidRPr="00132437" w:rsidRDefault="00BA29F2" w:rsidP="00BA29F2">
      <w:pPr>
        <w:jc w:val="both"/>
        <w:rPr>
          <w:rFonts w:ascii="Arial" w:eastAsia="Calibri" w:hAnsi="Arial" w:cs="Arial"/>
          <w:noProof/>
          <w:sz w:val="20"/>
        </w:rPr>
      </w:pPr>
    </w:p>
    <w:p w14:paraId="6BBC2992" w14:textId="1AC2103E" w:rsidR="00E43368" w:rsidRDefault="00E43368" w:rsidP="00E43368">
      <w:pPr>
        <w:jc w:val="both"/>
        <w:rPr>
          <w:rFonts w:ascii="Arial" w:eastAsia="Calibri" w:hAnsi="Arial" w:cs="Arial"/>
          <w:sz w:val="20"/>
        </w:rPr>
      </w:pPr>
      <w:r w:rsidRPr="00E43368">
        <w:rPr>
          <w:rFonts w:ascii="Arial" w:eastAsia="Calibri" w:hAnsi="Arial" w:cs="Arial"/>
          <w:sz w:val="20"/>
        </w:rPr>
        <w:t>Se ha promulgado recientemente la Ley 27.451, la cual establece principalmente los siguientes impactos contables:</w:t>
      </w:r>
    </w:p>
    <w:p w14:paraId="21F5E767" w14:textId="77777777" w:rsidR="00E43368" w:rsidRPr="00E43368" w:rsidRDefault="00E43368" w:rsidP="00E43368">
      <w:pPr>
        <w:jc w:val="both"/>
        <w:rPr>
          <w:rFonts w:ascii="Arial" w:eastAsia="Calibri" w:hAnsi="Arial" w:cs="Arial"/>
          <w:sz w:val="20"/>
        </w:rPr>
      </w:pPr>
    </w:p>
    <w:p w14:paraId="2C93C498" w14:textId="5A618D77" w:rsidR="00E43368" w:rsidRPr="00E43368" w:rsidRDefault="00E43368" w:rsidP="00E43368">
      <w:pPr>
        <w:jc w:val="both"/>
        <w:rPr>
          <w:rFonts w:ascii="Arial" w:eastAsia="Calibri" w:hAnsi="Arial" w:cs="Arial"/>
          <w:sz w:val="20"/>
        </w:rPr>
      </w:pPr>
      <w:r>
        <w:rPr>
          <w:rFonts w:ascii="Arial" w:eastAsia="Calibri" w:hAnsi="Arial" w:cs="Arial"/>
          <w:sz w:val="20"/>
        </w:rPr>
        <w:t>-</w:t>
      </w:r>
      <w:r w:rsidRPr="00E43368">
        <w:rPr>
          <w:rFonts w:ascii="Arial" w:eastAsia="Calibri" w:hAnsi="Arial" w:cs="Arial"/>
          <w:sz w:val="20"/>
        </w:rPr>
        <w:t xml:space="preserve"> En el artículo 27 de la Ley se dispone que en caso deba calcularse el ajuste por inflación (impositivo), positivo o negativo, correspondiente al primer y segundo ejercicio iniciado a partir del 1° de enero de 2019, deberá imputarse un sexto (1/6) en ese período fiscal y los cinco sextos (5/6) restantes, en partes iguales, en los cinco (5) períodos fiscales inmediatos siguientes</w:t>
      </w:r>
      <w:r>
        <w:rPr>
          <w:rFonts w:ascii="Arial" w:eastAsia="Calibri" w:hAnsi="Arial" w:cs="Arial"/>
          <w:sz w:val="20"/>
        </w:rPr>
        <w:t>.</w:t>
      </w:r>
    </w:p>
    <w:p w14:paraId="33F0B46B" w14:textId="77777777" w:rsidR="00E43368" w:rsidRDefault="00E43368" w:rsidP="00E43368">
      <w:pPr>
        <w:jc w:val="both"/>
        <w:rPr>
          <w:rFonts w:ascii="Arial" w:eastAsia="Calibri" w:hAnsi="Arial" w:cs="Arial"/>
          <w:sz w:val="20"/>
        </w:rPr>
      </w:pPr>
    </w:p>
    <w:p w14:paraId="3BE9CD1E" w14:textId="6B7CF5DB" w:rsidR="00E43368" w:rsidRPr="00E43368" w:rsidRDefault="00E43368" w:rsidP="00E43368">
      <w:pPr>
        <w:jc w:val="both"/>
        <w:rPr>
          <w:rFonts w:ascii="Arial" w:eastAsia="Calibri" w:hAnsi="Arial" w:cs="Arial"/>
          <w:sz w:val="20"/>
        </w:rPr>
      </w:pPr>
      <w:r w:rsidRPr="00E43368">
        <w:rPr>
          <w:rFonts w:ascii="Arial" w:eastAsia="Calibri" w:hAnsi="Arial" w:cs="Arial"/>
          <w:sz w:val="20"/>
        </w:rPr>
        <w:t>A su vez, se aclara que dicha disposición no obsta al cómputo de los tercios remanentes correspondientes a períodos anteriores, calculado conforme a la versión anterior del artículo 194 de la Ley de Impuesto a las Ganancias.</w:t>
      </w:r>
    </w:p>
    <w:p w14:paraId="02A13902" w14:textId="77777777" w:rsidR="00E43368" w:rsidRDefault="00E43368" w:rsidP="00BA29F2">
      <w:pPr>
        <w:spacing w:after="160" w:line="276" w:lineRule="auto"/>
        <w:jc w:val="both"/>
        <w:rPr>
          <w:rFonts w:ascii="Arial" w:eastAsia="Calibri" w:hAnsi="Arial" w:cs="Arial"/>
          <w:sz w:val="20"/>
        </w:rPr>
      </w:pPr>
    </w:p>
    <w:p w14:paraId="35EBE6FD" w14:textId="2D23B1E4" w:rsidR="00BA29F2" w:rsidRPr="00132437" w:rsidRDefault="00E43368" w:rsidP="00BA29F2">
      <w:pPr>
        <w:spacing w:after="160" w:line="276" w:lineRule="auto"/>
        <w:jc w:val="both"/>
        <w:rPr>
          <w:rFonts w:ascii="Arial" w:eastAsia="Calibri" w:hAnsi="Arial" w:cs="Arial"/>
          <w:sz w:val="20"/>
        </w:rPr>
      </w:pPr>
      <w:r w:rsidRPr="00E43368">
        <w:rPr>
          <w:rFonts w:ascii="Arial" w:eastAsia="Calibri" w:hAnsi="Arial" w:cs="Arial"/>
          <w:sz w:val="20"/>
        </w:rPr>
        <w:t>- En el artículo 48 de la mencionada Ley se establece que hasta los ejercicios fiscales que se inicien a partir del 1° de enero de 2021 inclusive, la alícuota del impuesto será del treinta por ciento (30%) -Dividendos o utilidades distribuidas será del 7%-.</w:t>
      </w:r>
    </w:p>
    <w:p w14:paraId="36095B57" w14:textId="5F82D491" w:rsidR="00BA29F2" w:rsidRPr="00132437" w:rsidRDefault="00BA29F2" w:rsidP="00BA29F2">
      <w:pPr>
        <w:spacing w:after="120"/>
        <w:jc w:val="both"/>
        <w:rPr>
          <w:rFonts w:ascii="Arial" w:eastAsia="SimSun" w:hAnsi="Arial" w:cs="Arial"/>
          <w:sz w:val="20"/>
          <w:lang w:eastAsia="zh-CN"/>
        </w:rPr>
      </w:pPr>
      <w:r w:rsidRPr="00132437">
        <w:rPr>
          <w:rFonts w:ascii="Arial" w:eastAsia="SimSun" w:hAnsi="Arial" w:cs="Arial"/>
          <w:sz w:val="20"/>
          <w:lang w:eastAsia="zh-CN"/>
        </w:rPr>
        <w:t>La evolución de los conceptos por impuesto a las ganancias para los ejercicios finalizados el 31 de diciembre de 201</w:t>
      </w:r>
      <w:r>
        <w:rPr>
          <w:rFonts w:ascii="Arial" w:eastAsia="SimSun" w:hAnsi="Arial" w:cs="Arial"/>
          <w:sz w:val="20"/>
          <w:lang w:eastAsia="zh-CN"/>
        </w:rPr>
        <w:t>9</w:t>
      </w:r>
      <w:r w:rsidRPr="00132437">
        <w:rPr>
          <w:rFonts w:ascii="Arial" w:eastAsia="SimSun" w:hAnsi="Arial" w:cs="Arial"/>
          <w:sz w:val="20"/>
          <w:lang w:eastAsia="zh-CN"/>
        </w:rPr>
        <w:t xml:space="preserve"> y 201</w:t>
      </w:r>
      <w:r>
        <w:rPr>
          <w:rFonts w:ascii="Arial" w:eastAsia="SimSun" w:hAnsi="Arial" w:cs="Arial"/>
          <w:sz w:val="20"/>
          <w:lang w:eastAsia="zh-CN"/>
        </w:rPr>
        <w:t>8</w:t>
      </w:r>
      <w:r w:rsidRPr="00132437">
        <w:rPr>
          <w:rFonts w:ascii="Arial" w:eastAsia="SimSun" w:hAnsi="Arial" w:cs="Arial"/>
          <w:sz w:val="20"/>
          <w:lang w:eastAsia="zh-CN"/>
        </w:rPr>
        <w:t xml:space="preserve"> se detalla en el siguiente cuadro:</w:t>
      </w:r>
    </w:p>
    <w:tbl>
      <w:tblPr>
        <w:tblW w:w="8570" w:type="dxa"/>
        <w:tblInd w:w="115" w:type="dxa"/>
        <w:tblCellMar>
          <w:left w:w="70" w:type="dxa"/>
          <w:right w:w="70" w:type="dxa"/>
        </w:tblCellMar>
        <w:tblLook w:val="04A0" w:firstRow="1" w:lastRow="0" w:firstColumn="1" w:lastColumn="0" w:noHBand="0" w:noVBand="1"/>
      </w:tblPr>
      <w:tblGrid>
        <w:gridCol w:w="4978"/>
        <w:gridCol w:w="1813"/>
        <w:gridCol w:w="1779"/>
      </w:tblGrid>
      <w:tr w:rsidR="00BA29F2" w:rsidRPr="00132437" w14:paraId="663FFBAD" w14:textId="77777777" w:rsidTr="00037C01">
        <w:trPr>
          <w:trHeight w:val="250"/>
          <w:tblHeader/>
        </w:trPr>
        <w:tc>
          <w:tcPr>
            <w:tcW w:w="4978" w:type="dxa"/>
            <w:tcBorders>
              <w:top w:val="single" w:sz="4" w:space="0" w:color="auto"/>
              <w:left w:val="single" w:sz="4" w:space="0" w:color="auto"/>
              <w:bottom w:val="single" w:sz="4" w:space="0" w:color="auto"/>
              <w:right w:val="nil"/>
            </w:tcBorders>
            <w:shd w:val="clear" w:color="auto" w:fill="auto"/>
            <w:noWrap/>
            <w:vAlign w:val="bottom"/>
            <w:hideMark/>
          </w:tcPr>
          <w:p w14:paraId="2001F3DF" w14:textId="77777777" w:rsidR="00BA29F2" w:rsidRPr="00132437" w:rsidRDefault="00BA29F2" w:rsidP="00BA29F2">
            <w:pPr>
              <w:jc w:val="both"/>
              <w:rPr>
                <w:sz w:val="18"/>
                <w:lang w:eastAsia="es-AR"/>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56EA2" w14:textId="3183320F" w:rsidR="00BA29F2" w:rsidRPr="00132437" w:rsidRDefault="00BA29F2" w:rsidP="00BA29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bCs/>
                <w:color w:val="000000"/>
                <w:sz w:val="18"/>
                <w:lang w:eastAsia="es-AR"/>
              </w:rPr>
            </w:pPr>
            <w:r w:rsidRPr="00132437">
              <w:rPr>
                <w:rFonts w:ascii="Arial" w:hAnsi="Arial" w:cs="Arial"/>
                <w:b/>
                <w:bCs/>
                <w:color w:val="000000"/>
                <w:sz w:val="18"/>
                <w:lang w:eastAsia="es-AR"/>
              </w:rPr>
              <w:t>31/</w:t>
            </w:r>
            <w:r>
              <w:rPr>
                <w:rFonts w:ascii="Arial" w:hAnsi="Arial" w:cs="Arial"/>
                <w:b/>
                <w:bCs/>
                <w:color w:val="000000"/>
                <w:sz w:val="18"/>
                <w:lang w:eastAsia="es-AR"/>
              </w:rPr>
              <w:t>12</w:t>
            </w:r>
            <w:r w:rsidRPr="00132437">
              <w:rPr>
                <w:rFonts w:ascii="Arial" w:hAnsi="Arial" w:cs="Arial"/>
                <w:b/>
                <w:bCs/>
                <w:color w:val="000000"/>
                <w:sz w:val="18"/>
                <w:lang w:eastAsia="es-AR"/>
              </w:rPr>
              <w:t>/201</w:t>
            </w:r>
            <w:r>
              <w:rPr>
                <w:rFonts w:ascii="Arial" w:hAnsi="Arial" w:cs="Arial"/>
                <w:b/>
                <w:bCs/>
                <w:color w:val="000000"/>
                <w:sz w:val="18"/>
                <w:lang w:eastAsia="es-AR"/>
              </w:rPr>
              <w:t>9</w:t>
            </w:r>
          </w:p>
        </w:tc>
        <w:tc>
          <w:tcPr>
            <w:tcW w:w="1779" w:type="dxa"/>
            <w:tcBorders>
              <w:top w:val="single" w:sz="4" w:space="0" w:color="auto"/>
              <w:left w:val="nil"/>
              <w:bottom w:val="single" w:sz="4" w:space="0" w:color="auto"/>
              <w:right w:val="single" w:sz="4" w:space="0" w:color="auto"/>
            </w:tcBorders>
            <w:vAlign w:val="bottom"/>
          </w:tcPr>
          <w:p w14:paraId="576EB69E" w14:textId="7400FF5E" w:rsidR="00BA29F2" w:rsidRPr="00132437" w:rsidRDefault="00BA29F2" w:rsidP="00BA29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bCs/>
                <w:color w:val="000000"/>
                <w:sz w:val="18"/>
                <w:lang w:eastAsia="es-AR"/>
              </w:rPr>
            </w:pPr>
            <w:r w:rsidRPr="00132437">
              <w:rPr>
                <w:rFonts w:ascii="Arial" w:hAnsi="Arial" w:cs="Arial"/>
                <w:b/>
                <w:bCs/>
                <w:color w:val="000000"/>
                <w:sz w:val="18"/>
                <w:lang w:eastAsia="es-AR"/>
              </w:rPr>
              <w:t>31/12/2018</w:t>
            </w:r>
          </w:p>
        </w:tc>
      </w:tr>
      <w:tr w:rsidR="0067448A" w:rsidRPr="00132437" w14:paraId="2114144C" w14:textId="77777777" w:rsidTr="00037C01">
        <w:trPr>
          <w:trHeight w:val="250"/>
        </w:trPr>
        <w:tc>
          <w:tcPr>
            <w:tcW w:w="4978" w:type="dxa"/>
            <w:tcBorders>
              <w:top w:val="single" w:sz="4" w:space="0" w:color="auto"/>
              <w:left w:val="single" w:sz="4" w:space="0" w:color="auto"/>
              <w:bottom w:val="nil"/>
              <w:right w:val="nil"/>
            </w:tcBorders>
            <w:shd w:val="clear" w:color="auto" w:fill="auto"/>
            <w:noWrap/>
            <w:vAlign w:val="bottom"/>
            <w:hideMark/>
          </w:tcPr>
          <w:p w14:paraId="3FA717C8" w14:textId="5793A068" w:rsidR="0067448A" w:rsidRPr="00132437" w:rsidRDefault="0067448A" w:rsidP="0067448A">
            <w:pPr>
              <w:rPr>
                <w:rFonts w:ascii="Arial" w:hAnsi="Arial" w:cs="Arial"/>
                <w:color w:val="000000"/>
                <w:sz w:val="18"/>
                <w:lang w:eastAsia="es-AR"/>
              </w:rPr>
            </w:pPr>
            <w:r>
              <w:rPr>
                <w:rFonts w:ascii="Arial" w:hAnsi="Arial" w:cs="Arial"/>
                <w:color w:val="000000"/>
                <w:sz w:val="20"/>
              </w:rPr>
              <w:t>Impuesto ganancias corriente</w:t>
            </w:r>
          </w:p>
        </w:tc>
        <w:tc>
          <w:tcPr>
            <w:tcW w:w="1813" w:type="dxa"/>
            <w:tcBorders>
              <w:top w:val="single" w:sz="4" w:space="0" w:color="auto"/>
              <w:left w:val="single" w:sz="4" w:space="0" w:color="auto"/>
              <w:bottom w:val="nil"/>
              <w:right w:val="single" w:sz="4" w:space="0" w:color="auto"/>
            </w:tcBorders>
            <w:shd w:val="clear" w:color="auto" w:fill="auto"/>
            <w:noWrap/>
            <w:vAlign w:val="bottom"/>
          </w:tcPr>
          <w:p w14:paraId="084817C5" w14:textId="557D9072" w:rsidR="0067448A" w:rsidRPr="009F4420" w:rsidRDefault="0067448A">
            <w:pPr>
              <w:jc w:val="right"/>
              <w:rPr>
                <w:rFonts w:ascii="Arial" w:hAnsi="Arial" w:cs="Arial"/>
                <w:color w:val="000000"/>
                <w:sz w:val="18"/>
                <w:szCs w:val="18"/>
                <w:lang w:val="es-ES_tradnl" w:eastAsia="es-AR"/>
              </w:rPr>
            </w:pPr>
            <w:r>
              <w:rPr>
                <w:rFonts w:ascii="Arial" w:hAnsi="Arial" w:cs="Arial"/>
                <w:color w:val="000000"/>
                <w:sz w:val="20"/>
              </w:rPr>
              <w:t xml:space="preserve">-146.215 </w:t>
            </w:r>
          </w:p>
        </w:tc>
        <w:tc>
          <w:tcPr>
            <w:tcW w:w="1779" w:type="dxa"/>
            <w:tcBorders>
              <w:top w:val="single" w:sz="4" w:space="0" w:color="auto"/>
              <w:left w:val="nil"/>
              <w:bottom w:val="nil"/>
              <w:right w:val="single" w:sz="4" w:space="0" w:color="auto"/>
            </w:tcBorders>
            <w:vAlign w:val="bottom"/>
          </w:tcPr>
          <w:p w14:paraId="137B7B1F" w14:textId="4D1B3703" w:rsidR="0067448A" w:rsidRPr="00EC349E" w:rsidRDefault="0067448A">
            <w:pPr>
              <w:jc w:val="right"/>
              <w:rPr>
                <w:rFonts w:ascii="Arial" w:hAnsi="Arial" w:cs="Arial"/>
                <w:color w:val="000000"/>
                <w:sz w:val="18"/>
                <w:szCs w:val="18"/>
              </w:rPr>
            </w:pPr>
            <w:r>
              <w:rPr>
                <w:rFonts w:ascii="Arial" w:hAnsi="Arial" w:cs="Arial"/>
                <w:color w:val="000000"/>
                <w:sz w:val="20"/>
              </w:rPr>
              <w:t xml:space="preserve">645.662 </w:t>
            </w:r>
          </w:p>
        </w:tc>
      </w:tr>
      <w:tr w:rsidR="0067448A" w:rsidRPr="00132437" w14:paraId="094FFCDC" w14:textId="77777777" w:rsidTr="00037C01">
        <w:trPr>
          <w:trHeight w:val="250"/>
        </w:trPr>
        <w:tc>
          <w:tcPr>
            <w:tcW w:w="4978" w:type="dxa"/>
            <w:tcBorders>
              <w:top w:val="nil"/>
              <w:left w:val="single" w:sz="4" w:space="0" w:color="auto"/>
              <w:bottom w:val="single" w:sz="4" w:space="0" w:color="auto"/>
              <w:right w:val="nil"/>
            </w:tcBorders>
            <w:shd w:val="clear" w:color="auto" w:fill="auto"/>
            <w:noWrap/>
            <w:vAlign w:val="bottom"/>
            <w:hideMark/>
          </w:tcPr>
          <w:p w14:paraId="1A5B7C48" w14:textId="281A4083" w:rsidR="0067448A" w:rsidRPr="00EC349E" w:rsidRDefault="0067448A" w:rsidP="0067448A">
            <w:pPr>
              <w:jc w:val="both"/>
              <w:rPr>
                <w:rFonts w:ascii="Arial" w:hAnsi="Arial" w:cs="Arial"/>
                <w:color w:val="000000"/>
                <w:sz w:val="18"/>
                <w:lang w:eastAsia="es-AR"/>
              </w:rPr>
            </w:pPr>
            <w:r>
              <w:rPr>
                <w:rFonts w:ascii="Arial" w:hAnsi="Arial" w:cs="Arial"/>
                <w:color w:val="000000"/>
                <w:sz w:val="20"/>
              </w:rPr>
              <w:t>Impuesto a las ganancias - metodo diferido</w:t>
            </w:r>
          </w:p>
        </w:tc>
        <w:tc>
          <w:tcPr>
            <w:tcW w:w="1813" w:type="dxa"/>
            <w:tcBorders>
              <w:top w:val="nil"/>
              <w:left w:val="single" w:sz="4" w:space="0" w:color="auto"/>
              <w:bottom w:val="single" w:sz="4" w:space="0" w:color="auto"/>
              <w:right w:val="single" w:sz="4" w:space="0" w:color="auto"/>
            </w:tcBorders>
            <w:shd w:val="clear" w:color="auto" w:fill="auto"/>
            <w:noWrap/>
            <w:vAlign w:val="bottom"/>
          </w:tcPr>
          <w:p w14:paraId="42BB935F" w14:textId="1229B3F0" w:rsidR="0067448A" w:rsidRPr="009F4420" w:rsidRDefault="0067448A">
            <w:pPr>
              <w:jc w:val="right"/>
              <w:rPr>
                <w:rFonts w:ascii="Arial" w:hAnsi="Arial" w:cs="Arial"/>
                <w:color w:val="000000"/>
                <w:sz w:val="18"/>
                <w:szCs w:val="18"/>
                <w:lang w:eastAsia="es-AR"/>
              </w:rPr>
            </w:pPr>
            <w:r>
              <w:rPr>
                <w:rFonts w:ascii="Arial" w:hAnsi="Arial" w:cs="Arial"/>
                <w:color w:val="000000"/>
                <w:sz w:val="20"/>
              </w:rPr>
              <w:t xml:space="preserve">1.113.682 </w:t>
            </w:r>
          </w:p>
        </w:tc>
        <w:tc>
          <w:tcPr>
            <w:tcW w:w="1779" w:type="dxa"/>
            <w:tcBorders>
              <w:top w:val="nil"/>
              <w:left w:val="nil"/>
              <w:bottom w:val="single" w:sz="4" w:space="0" w:color="auto"/>
              <w:right w:val="single" w:sz="4" w:space="0" w:color="auto"/>
            </w:tcBorders>
            <w:vAlign w:val="bottom"/>
          </w:tcPr>
          <w:p w14:paraId="42310254" w14:textId="64E8C990" w:rsidR="0067448A" w:rsidRPr="00CD7870" w:rsidRDefault="0067448A">
            <w:pPr>
              <w:jc w:val="right"/>
              <w:rPr>
                <w:rFonts w:ascii="Arial" w:hAnsi="Arial" w:cs="Arial"/>
                <w:color w:val="000000"/>
                <w:sz w:val="18"/>
                <w:szCs w:val="18"/>
              </w:rPr>
            </w:pPr>
            <w:r>
              <w:rPr>
                <w:rFonts w:ascii="Arial" w:hAnsi="Arial" w:cs="Arial"/>
                <w:color w:val="000000"/>
                <w:sz w:val="20"/>
              </w:rPr>
              <w:t xml:space="preserve">-110.950 </w:t>
            </w:r>
          </w:p>
        </w:tc>
      </w:tr>
      <w:tr w:rsidR="0067448A" w:rsidRPr="00132437" w14:paraId="29AAAD26" w14:textId="77777777" w:rsidTr="00037C01">
        <w:trPr>
          <w:trHeight w:val="250"/>
        </w:trPr>
        <w:tc>
          <w:tcPr>
            <w:tcW w:w="4978" w:type="dxa"/>
            <w:tcBorders>
              <w:top w:val="single" w:sz="4" w:space="0" w:color="auto"/>
              <w:left w:val="single" w:sz="4" w:space="0" w:color="auto"/>
              <w:bottom w:val="single" w:sz="4" w:space="0" w:color="auto"/>
              <w:right w:val="nil"/>
            </w:tcBorders>
            <w:shd w:val="clear" w:color="auto" w:fill="auto"/>
            <w:noWrap/>
            <w:vAlign w:val="bottom"/>
            <w:hideMark/>
          </w:tcPr>
          <w:p w14:paraId="5CA4361F" w14:textId="51898F2D" w:rsidR="0067448A" w:rsidRPr="00A059FB" w:rsidRDefault="0067448A" w:rsidP="0067448A">
            <w:pPr>
              <w:jc w:val="both"/>
              <w:rPr>
                <w:rFonts w:ascii="Arial" w:hAnsi="Arial" w:cs="Arial"/>
                <w:b/>
                <w:bCs/>
                <w:color w:val="000000"/>
                <w:sz w:val="20"/>
                <w:lang w:eastAsia="es-AR"/>
              </w:rPr>
            </w:pPr>
            <w:r>
              <w:rPr>
                <w:rFonts w:ascii="Arial" w:hAnsi="Arial" w:cs="Arial"/>
                <w:b/>
                <w:bCs/>
                <w:color w:val="000000"/>
                <w:sz w:val="20"/>
              </w:rPr>
              <w:t>Subtotal</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BD37ED" w14:textId="25468079" w:rsidR="0067448A" w:rsidRPr="009F4420" w:rsidRDefault="0067448A">
            <w:pPr>
              <w:jc w:val="right"/>
              <w:rPr>
                <w:rFonts w:ascii="Arial" w:hAnsi="Arial" w:cs="Arial"/>
                <w:b/>
                <w:bCs/>
                <w:color w:val="000000"/>
                <w:sz w:val="18"/>
                <w:szCs w:val="18"/>
                <w:lang w:eastAsia="es-AR"/>
              </w:rPr>
            </w:pPr>
            <w:r>
              <w:rPr>
                <w:rFonts w:ascii="Arial" w:hAnsi="Arial" w:cs="Arial"/>
                <w:b/>
                <w:bCs/>
                <w:color w:val="000000"/>
                <w:sz w:val="20"/>
              </w:rPr>
              <w:t xml:space="preserve">967.467 </w:t>
            </w:r>
          </w:p>
        </w:tc>
        <w:tc>
          <w:tcPr>
            <w:tcW w:w="1779" w:type="dxa"/>
            <w:tcBorders>
              <w:top w:val="single" w:sz="4" w:space="0" w:color="auto"/>
              <w:left w:val="nil"/>
              <w:bottom w:val="single" w:sz="4" w:space="0" w:color="auto"/>
              <w:right w:val="single" w:sz="4" w:space="0" w:color="auto"/>
            </w:tcBorders>
            <w:vAlign w:val="bottom"/>
          </w:tcPr>
          <w:p w14:paraId="5CA827DB" w14:textId="5E751F32" w:rsidR="0067448A" w:rsidRPr="00CD7870" w:rsidRDefault="0067448A">
            <w:pPr>
              <w:jc w:val="right"/>
              <w:rPr>
                <w:rFonts w:ascii="Arial" w:hAnsi="Arial" w:cs="Arial"/>
                <w:b/>
                <w:bCs/>
                <w:color w:val="000000"/>
                <w:sz w:val="18"/>
                <w:szCs w:val="18"/>
              </w:rPr>
            </w:pPr>
            <w:r>
              <w:rPr>
                <w:rFonts w:ascii="Arial" w:hAnsi="Arial" w:cs="Arial"/>
                <w:b/>
                <w:bCs/>
                <w:color w:val="000000"/>
                <w:sz w:val="20"/>
              </w:rPr>
              <w:t xml:space="preserve">534.712 </w:t>
            </w:r>
          </w:p>
        </w:tc>
      </w:tr>
      <w:tr w:rsidR="0067448A" w:rsidRPr="00132437" w14:paraId="2D76B715" w14:textId="77777777" w:rsidTr="00A059FB">
        <w:trPr>
          <w:trHeight w:val="250"/>
        </w:trPr>
        <w:tc>
          <w:tcPr>
            <w:tcW w:w="4978" w:type="dxa"/>
            <w:tcBorders>
              <w:top w:val="single" w:sz="4" w:space="0" w:color="auto"/>
              <w:left w:val="single" w:sz="4" w:space="0" w:color="auto"/>
              <w:bottom w:val="single" w:sz="4" w:space="0" w:color="auto"/>
              <w:right w:val="nil"/>
            </w:tcBorders>
            <w:shd w:val="clear" w:color="auto" w:fill="auto"/>
            <w:noWrap/>
            <w:vAlign w:val="center"/>
            <w:hideMark/>
          </w:tcPr>
          <w:p w14:paraId="13C145B4" w14:textId="0762B0D3" w:rsidR="0067448A" w:rsidRPr="00EC349E" w:rsidRDefault="0067448A" w:rsidP="0067448A">
            <w:pPr>
              <w:jc w:val="both"/>
              <w:rPr>
                <w:rFonts w:ascii="Arial" w:hAnsi="Arial" w:cs="Arial"/>
                <w:b/>
                <w:bCs/>
                <w:color w:val="000000"/>
                <w:sz w:val="18"/>
                <w:lang w:eastAsia="es-AR"/>
              </w:rPr>
            </w:pPr>
            <w:r>
              <w:rPr>
                <w:rFonts w:ascii="Arial" w:hAnsi="Arial" w:cs="Arial"/>
                <w:b/>
                <w:bCs/>
                <w:color w:val="000000"/>
                <w:sz w:val="20"/>
              </w:rPr>
              <w:t>Subtotal – Impuesto a las ganancias imputado en el Estado de Resultados</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BB506" w14:textId="702649D8" w:rsidR="0067448A" w:rsidRPr="009F4420" w:rsidRDefault="0067448A">
            <w:pPr>
              <w:jc w:val="right"/>
              <w:rPr>
                <w:rFonts w:ascii="Arial" w:hAnsi="Arial" w:cs="Arial"/>
                <w:b/>
                <w:bCs/>
                <w:color w:val="000000"/>
                <w:sz w:val="18"/>
                <w:szCs w:val="18"/>
                <w:lang w:eastAsia="es-AR"/>
              </w:rPr>
            </w:pPr>
            <w:r>
              <w:rPr>
                <w:rFonts w:ascii="Arial" w:hAnsi="Arial" w:cs="Arial"/>
                <w:b/>
                <w:bCs/>
                <w:color w:val="000000"/>
                <w:sz w:val="20"/>
              </w:rPr>
              <w:t xml:space="preserve">-1.120.231 </w:t>
            </w:r>
          </w:p>
        </w:tc>
        <w:tc>
          <w:tcPr>
            <w:tcW w:w="1779" w:type="dxa"/>
            <w:tcBorders>
              <w:top w:val="single" w:sz="4" w:space="0" w:color="auto"/>
              <w:left w:val="nil"/>
              <w:bottom w:val="single" w:sz="4" w:space="0" w:color="auto"/>
              <w:right w:val="single" w:sz="4" w:space="0" w:color="auto"/>
            </w:tcBorders>
            <w:vAlign w:val="bottom"/>
          </w:tcPr>
          <w:p w14:paraId="4281BAB9" w14:textId="07EBD058" w:rsidR="0067448A" w:rsidRPr="00EC349E" w:rsidRDefault="0067448A">
            <w:pPr>
              <w:jc w:val="right"/>
              <w:rPr>
                <w:rFonts w:ascii="Arial" w:hAnsi="Arial" w:cs="Arial"/>
                <w:color w:val="000000"/>
                <w:sz w:val="18"/>
                <w:szCs w:val="18"/>
              </w:rPr>
            </w:pPr>
            <w:r>
              <w:rPr>
                <w:rFonts w:ascii="Arial" w:hAnsi="Arial" w:cs="Arial"/>
                <w:b/>
                <w:bCs/>
                <w:color w:val="000000"/>
                <w:sz w:val="20"/>
              </w:rPr>
              <w:t xml:space="preserve">387.270 </w:t>
            </w:r>
          </w:p>
        </w:tc>
      </w:tr>
      <w:tr w:rsidR="0067448A" w:rsidRPr="00132437" w14:paraId="4E1260B3" w14:textId="77777777" w:rsidTr="00A059FB">
        <w:trPr>
          <w:trHeight w:val="250"/>
        </w:trPr>
        <w:tc>
          <w:tcPr>
            <w:tcW w:w="4978" w:type="dxa"/>
            <w:tcBorders>
              <w:top w:val="nil"/>
              <w:left w:val="single" w:sz="4" w:space="0" w:color="auto"/>
              <w:bottom w:val="nil"/>
              <w:right w:val="nil"/>
            </w:tcBorders>
            <w:shd w:val="clear" w:color="auto" w:fill="auto"/>
            <w:noWrap/>
            <w:vAlign w:val="center"/>
            <w:hideMark/>
          </w:tcPr>
          <w:p w14:paraId="3E5A6903" w14:textId="19C8A38A" w:rsidR="0067448A" w:rsidRPr="00EC349E" w:rsidRDefault="0067448A" w:rsidP="0067448A">
            <w:pPr>
              <w:jc w:val="both"/>
              <w:rPr>
                <w:rFonts w:ascii="Arial" w:hAnsi="Arial" w:cs="Arial"/>
                <w:color w:val="000000"/>
                <w:sz w:val="18"/>
                <w:lang w:eastAsia="es-AR"/>
              </w:rPr>
            </w:pPr>
            <w:r>
              <w:rPr>
                <w:rFonts w:ascii="Arial" w:hAnsi="Arial" w:cs="Arial"/>
                <w:b/>
                <w:bCs/>
                <w:color w:val="000000"/>
                <w:sz w:val="20"/>
                <w:lang w:val="es-ES"/>
              </w:rPr>
              <w:t>Subtotal – Impuesto a las ganancias imputado en Otros resultados integrales</w:t>
            </w:r>
          </w:p>
        </w:tc>
        <w:tc>
          <w:tcPr>
            <w:tcW w:w="1813" w:type="dxa"/>
            <w:tcBorders>
              <w:top w:val="nil"/>
              <w:left w:val="single" w:sz="4" w:space="0" w:color="auto"/>
              <w:bottom w:val="nil"/>
              <w:right w:val="single" w:sz="4" w:space="0" w:color="auto"/>
            </w:tcBorders>
            <w:shd w:val="clear" w:color="auto" w:fill="auto"/>
            <w:noWrap/>
            <w:vAlign w:val="bottom"/>
          </w:tcPr>
          <w:p w14:paraId="2D7B5D66" w14:textId="4136A51F" w:rsidR="0067448A" w:rsidRPr="009F4420" w:rsidRDefault="0067448A">
            <w:pPr>
              <w:jc w:val="right"/>
              <w:rPr>
                <w:rFonts w:ascii="Arial" w:hAnsi="Arial" w:cs="Arial"/>
                <w:color w:val="000000"/>
                <w:sz w:val="18"/>
                <w:szCs w:val="18"/>
                <w:lang w:eastAsia="es-AR"/>
              </w:rPr>
            </w:pPr>
            <w:r>
              <w:rPr>
                <w:rFonts w:ascii="Arial" w:hAnsi="Arial" w:cs="Arial"/>
                <w:b/>
                <w:bCs/>
                <w:color w:val="000000"/>
                <w:sz w:val="20"/>
              </w:rPr>
              <w:t xml:space="preserve">152.763 </w:t>
            </w:r>
          </w:p>
        </w:tc>
        <w:tc>
          <w:tcPr>
            <w:tcW w:w="1779" w:type="dxa"/>
            <w:tcBorders>
              <w:top w:val="nil"/>
              <w:left w:val="nil"/>
              <w:bottom w:val="nil"/>
              <w:right w:val="single" w:sz="4" w:space="0" w:color="auto"/>
            </w:tcBorders>
            <w:vAlign w:val="bottom"/>
          </w:tcPr>
          <w:p w14:paraId="432CCAA2" w14:textId="686974BF" w:rsidR="0067448A" w:rsidRPr="00735C7F" w:rsidRDefault="0067448A">
            <w:pPr>
              <w:jc w:val="right"/>
              <w:rPr>
                <w:rFonts w:ascii="Arial" w:hAnsi="Arial" w:cs="Arial"/>
                <w:color w:val="000000"/>
                <w:sz w:val="18"/>
                <w:szCs w:val="18"/>
              </w:rPr>
            </w:pPr>
            <w:r>
              <w:rPr>
                <w:rFonts w:ascii="Arial" w:hAnsi="Arial" w:cs="Arial"/>
                <w:b/>
                <w:bCs/>
                <w:color w:val="000000"/>
                <w:sz w:val="20"/>
              </w:rPr>
              <w:t xml:space="preserve">147.442 </w:t>
            </w:r>
          </w:p>
        </w:tc>
      </w:tr>
      <w:tr w:rsidR="0067448A" w:rsidRPr="006858A8" w14:paraId="092F2E5F" w14:textId="77777777" w:rsidTr="00A059FB">
        <w:trPr>
          <w:trHeight w:val="65"/>
        </w:trPr>
        <w:tc>
          <w:tcPr>
            <w:tcW w:w="4978" w:type="dxa"/>
            <w:tcBorders>
              <w:top w:val="single" w:sz="4" w:space="0" w:color="auto"/>
              <w:left w:val="single" w:sz="4" w:space="0" w:color="auto"/>
              <w:bottom w:val="single" w:sz="4" w:space="0" w:color="auto"/>
              <w:right w:val="nil"/>
            </w:tcBorders>
            <w:shd w:val="clear" w:color="auto" w:fill="auto"/>
            <w:noWrap/>
            <w:vAlign w:val="center"/>
            <w:hideMark/>
          </w:tcPr>
          <w:p w14:paraId="32148DC4" w14:textId="30B09F1A" w:rsidR="0067448A" w:rsidRPr="00EC349E" w:rsidRDefault="0067448A" w:rsidP="0067448A">
            <w:pPr>
              <w:jc w:val="both"/>
              <w:rPr>
                <w:rFonts w:ascii="Arial" w:hAnsi="Arial" w:cs="Arial"/>
                <w:b/>
                <w:bCs/>
                <w:color w:val="000000"/>
                <w:sz w:val="18"/>
                <w:lang w:eastAsia="es-AR"/>
              </w:rPr>
            </w:pPr>
            <w:r>
              <w:rPr>
                <w:rFonts w:ascii="Arial" w:hAnsi="Arial" w:cs="Arial"/>
                <w:b/>
                <w:bCs/>
                <w:color w:val="000000"/>
                <w:sz w:val="20"/>
                <w:lang w:val="es-ES"/>
              </w:rPr>
              <w:t>Total Cargo Impuesto a las Ganancias</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8F70C4" w14:textId="02D46883" w:rsidR="0067448A" w:rsidRPr="009F4420" w:rsidRDefault="0067448A">
            <w:pPr>
              <w:jc w:val="right"/>
              <w:rPr>
                <w:rFonts w:ascii="Arial" w:hAnsi="Arial" w:cs="Arial"/>
                <w:b/>
                <w:bCs/>
                <w:color w:val="000000"/>
                <w:sz w:val="18"/>
                <w:szCs w:val="18"/>
                <w:lang w:val="es-ES_tradnl" w:eastAsia="es-AR"/>
              </w:rPr>
            </w:pPr>
            <w:r>
              <w:rPr>
                <w:rFonts w:ascii="Arial" w:hAnsi="Arial" w:cs="Arial"/>
                <w:b/>
                <w:bCs/>
                <w:color w:val="000000"/>
                <w:sz w:val="20"/>
              </w:rPr>
              <w:t xml:space="preserve">-967.468 </w:t>
            </w:r>
          </w:p>
        </w:tc>
        <w:tc>
          <w:tcPr>
            <w:tcW w:w="1779" w:type="dxa"/>
            <w:tcBorders>
              <w:top w:val="single" w:sz="4" w:space="0" w:color="auto"/>
              <w:left w:val="nil"/>
              <w:bottom w:val="single" w:sz="4" w:space="0" w:color="auto"/>
              <w:right w:val="single" w:sz="4" w:space="0" w:color="auto"/>
            </w:tcBorders>
            <w:vAlign w:val="bottom"/>
          </w:tcPr>
          <w:p w14:paraId="019EFBBC" w14:textId="29BA28AE" w:rsidR="0067448A" w:rsidRPr="00735C7F" w:rsidRDefault="0067448A">
            <w:pPr>
              <w:jc w:val="right"/>
              <w:rPr>
                <w:rFonts w:ascii="Arial" w:hAnsi="Arial" w:cs="Arial"/>
                <w:b/>
                <w:bCs/>
                <w:color w:val="000000"/>
                <w:sz w:val="18"/>
                <w:szCs w:val="18"/>
              </w:rPr>
            </w:pPr>
            <w:r>
              <w:rPr>
                <w:rFonts w:ascii="Arial" w:hAnsi="Arial" w:cs="Arial"/>
                <w:b/>
                <w:bCs/>
                <w:color w:val="000000"/>
                <w:sz w:val="20"/>
              </w:rPr>
              <w:t xml:space="preserve">534.712 </w:t>
            </w:r>
          </w:p>
        </w:tc>
      </w:tr>
    </w:tbl>
    <w:p w14:paraId="7212BA5D" w14:textId="77777777" w:rsidR="00BA29F2" w:rsidRPr="00EC349E" w:rsidRDefault="00BA29F2" w:rsidP="00BA29F2">
      <w:pPr>
        <w:spacing w:after="120"/>
        <w:jc w:val="both"/>
        <w:rPr>
          <w:rFonts w:ascii="Arial" w:eastAsia="SimSun" w:hAnsi="Arial" w:cs="Arial"/>
          <w:sz w:val="20"/>
          <w:highlight w:val="yellow"/>
          <w:lang w:eastAsia="zh-CN"/>
        </w:rPr>
      </w:pPr>
    </w:p>
    <w:p w14:paraId="53848968" w14:textId="42E314E1" w:rsidR="00BA29F2" w:rsidRPr="00132437" w:rsidRDefault="00BA29F2" w:rsidP="00BA29F2">
      <w:pPr>
        <w:spacing w:after="120"/>
        <w:jc w:val="both"/>
        <w:rPr>
          <w:rFonts w:ascii="Arial" w:eastAsia="SimSun" w:hAnsi="Arial" w:cs="Arial"/>
          <w:sz w:val="20"/>
          <w:lang w:eastAsia="zh-CN"/>
        </w:rPr>
      </w:pPr>
      <w:r w:rsidRPr="00132437">
        <w:rPr>
          <w:rFonts w:ascii="Arial" w:eastAsia="SimSun" w:hAnsi="Arial" w:cs="Arial"/>
          <w:sz w:val="20"/>
          <w:lang w:eastAsia="zh-CN"/>
        </w:rPr>
        <w:t>A continuación, se presenta una conciliación entre el impuesto a las ganancias cargado a resultados al 31 de diciembre de 201</w:t>
      </w:r>
      <w:r>
        <w:rPr>
          <w:rFonts w:ascii="Arial" w:eastAsia="SimSun" w:hAnsi="Arial" w:cs="Arial"/>
          <w:sz w:val="20"/>
          <w:lang w:eastAsia="zh-CN"/>
        </w:rPr>
        <w:t>9</w:t>
      </w:r>
      <w:r w:rsidRPr="00132437">
        <w:rPr>
          <w:rFonts w:ascii="Arial" w:eastAsia="SimSun" w:hAnsi="Arial" w:cs="Arial"/>
          <w:sz w:val="20"/>
          <w:lang w:eastAsia="zh-CN"/>
        </w:rPr>
        <w:t xml:space="preserve"> y 201</w:t>
      </w:r>
      <w:r>
        <w:rPr>
          <w:rFonts w:ascii="Arial" w:eastAsia="SimSun" w:hAnsi="Arial" w:cs="Arial"/>
          <w:sz w:val="20"/>
          <w:lang w:eastAsia="zh-CN"/>
        </w:rPr>
        <w:t>8</w:t>
      </w:r>
      <w:r w:rsidRPr="00132437">
        <w:rPr>
          <w:rFonts w:ascii="Arial" w:eastAsia="SimSun" w:hAnsi="Arial" w:cs="Arial"/>
          <w:sz w:val="20"/>
          <w:lang w:eastAsia="zh-CN"/>
        </w:rPr>
        <w:t xml:space="preserve"> y el que resultaría de aplicar la tasa del impuesto vigente sobre la utilidad contable:</w:t>
      </w:r>
    </w:p>
    <w:tbl>
      <w:tblPr>
        <w:tblW w:w="8599" w:type="dxa"/>
        <w:tblInd w:w="70" w:type="dxa"/>
        <w:tblCellMar>
          <w:left w:w="70" w:type="dxa"/>
          <w:right w:w="70" w:type="dxa"/>
        </w:tblCellMar>
        <w:tblLook w:val="04A0" w:firstRow="1" w:lastRow="0" w:firstColumn="1" w:lastColumn="0" w:noHBand="0" w:noVBand="1"/>
      </w:tblPr>
      <w:tblGrid>
        <w:gridCol w:w="4927"/>
        <w:gridCol w:w="1836"/>
        <w:gridCol w:w="1836"/>
      </w:tblGrid>
      <w:tr w:rsidR="00BA29F2" w:rsidRPr="00132437" w14:paraId="2CBB2330" w14:textId="77777777" w:rsidTr="00037C01">
        <w:trPr>
          <w:trHeight w:val="422"/>
          <w:tblHeader/>
        </w:trPr>
        <w:tc>
          <w:tcPr>
            <w:tcW w:w="4927" w:type="dxa"/>
            <w:tcBorders>
              <w:top w:val="single" w:sz="4" w:space="0" w:color="auto"/>
              <w:left w:val="single" w:sz="4" w:space="0" w:color="auto"/>
              <w:bottom w:val="single" w:sz="4" w:space="0" w:color="auto"/>
              <w:right w:val="nil"/>
            </w:tcBorders>
            <w:shd w:val="clear" w:color="auto" w:fill="auto"/>
            <w:vAlign w:val="center"/>
            <w:hideMark/>
          </w:tcPr>
          <w:p w14:paraId="1E982BEE" w14:textId="77777777" w:rsidR="00BA29F2" w:rsidRPr="00132437" w:rsidRDefault="00BA29F2" w:rsidP="00BA29F2">
            <w:pPr>
              <w:jc w:val="both"/>
              <w:rPr>
                <w:rFonts w:ascii="Arial" w:hAnsi="Arial" w:cs="Arial"/>
                <w:b/>
                <w:bCs/>
                <w:color w:val="000000"/>
                <w:sz w:val="18"/>
                <w:szCs w:val="18"/>
                <w:lang w:eastAsia="es-AR"/>
              </w:rPr>
            </w:pPr>
            <w:r w:rsidRPr="00132437">
              <w:rPr>
                <w:rFonts w:ascii="Arial" w:hAnsi="Arial" w:cs="Arial"/>
                <w:b/>
                <w:bCs/>
                <w:color w:val="000000"/>
                <w:sz w:val="18"/>
                <w:szCs w:val="18"/>
                <w:lang w:eastAsia="es-AR"/>
              </w:rPr>
              <w:t> </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A186F" w14:textId="4031DBB5" w:rsidR="00BA29F2" w:rsidRPr="00132437" w:rsidRDefault="00BA29F2" w:rsidP="00BA29F2">
            <w:pPr>
              <w:jc w:val="center"/>
              <w:rPr>
                <w:rFonts w:ascii="Arial" w:hAnsi="Arial" w:cs="Arial"/>
                <w:b/>
                <w:bCs/>
                <w:color w:val="000000"/>
                <w:sz w:val="18"/>
                <w:szCs w:val="18"/>
                <w:lang w:eastAsia="es-AR"/>
              </w:rPr>
            </w:pPr>
            <w:r w:rsidRPr="00132437">
              <w:rPr>
                <w:rFonts w:ascii="Arial" w:hAnsi="Arial" w:cs="Arial"/>
                <w:b/>
                <w:bCs/>
                <w:color w:val="000000"/>
                <w:sz w:val="18"/>
                <w:szCs w:val="18"/>
                <w:lang w:eastAsia="es-AR"/>
              </w:rPr>
              <w:t>31/12/201</w:t>
            </w:r>
            <w:r>
              <w:rPr>
                <w:rFonts w:ascii="Arial" w:hAnsi="Arial" w:cs="Arial"/>
                <w:b/>
                <w:bCs/>
                <w:color w:val="000000"/>
                <w:sz w:val="18"/>
                <w:szCs w:val="18"/>
                <w:lang w:eastAsia="es-AR"/>
              </w:rPr>
              <w:t>9</w:t>
            </w:r>
          </w:p>
        </w:tc>
        <w:tc>
          <w:tcPr>
            <w:tcW w:w="1836" w:type="dxa"/>
            <w:tcBorders>
              <w:top w:val="single" w:sz="4" w:space="0" w:color="auto"/>
              <w:left w:val="nil"/>
              <w:bottom w:val="single" w:sz="4" w:space="0" w:color="auto"/>
              <w:right w:val="single" w:sz="4" w:space="0" w:color="auto"/>
            </w:tcBorders>
            <w:vAlign w:val="center"/>
          </w:tcPr>
          <w:p w14:paraId="368C64EA" w14:textId="4CF6ECEE" w:rsidR="00BA29F2" w:rsidRPr="00132437" w:rsidRDefault="00BA29F2" w:rsidP="00BA29F2">
            <w:pPr>
              <w:jc w:val="center"/>
              <w:rPr>
                <w:rFonts w:ascii="Arial" w:hAnsi="Arial" w:cs="Arial"/>
                <w:b/>
                <w:bCs/>
                <w:color w:val="000000"/>
                <w:sz w:val="18"/>
                <w:szCs w:val="18"/>
                <w:lang w:eastAsia="es-AR"/>
              </w:rPr>
            </w:pPr>
            <w:r w:rsidRPr="00132437">
              <w:rPr>
                <w:rFonts w:ascii="Arial" w:hAnsi="Arial" w:cs="Arial"/>
                <w:b/>
                <w:bCs/>
                <w:color w:val="000000"/>
                <w:sz w:val="18"/>
                <w:szCs w:val="18"/>
                <w:lang w:eastAsia="es-AR"/>
              </w:rPr>
              <w:t>31/12/2018</w:t>
            </w:r>
          </w:p>
        </w:tc>
      </w:tr>
      <w:tr w:rsidR="009F4420" w:rsidRPr="00132437" w14:paraId="180F345F" w14:textId="77777777" w:rsidTr="006E1AF7">
        <w:trPr>
          <w:trHeight w:val="281"/>
        </w:trPr>
        <w:tc>
          <w:tcPr>
            <w:tcW w:w="4927" w:type="dxa"/>
            <w:tcBorders>
              <w:top w:val="nil"/>
              <w:left w:val="single" w:sz="4" w:space="0" w:color="auto"/>
              <w:bottom w:val="nil"/>
              <w:right w:val="nil"/>
            </w:tcBorders>
            <w:shd w:val="clear" w:color="auto" w:fill="auto"/>
            <w:vAlign w:val="center"/>
            <w:hideMark/>
          </w:tcPr>
          <w:p w14:paraId="2241A6B4" w14:textId="77777777" w:rsidR="009F4420" w:rsidRPr="00132437" w:rsidRDefault="009F4420" w:rsidP="009F4420">
            <w:pPr>
              <w:jc w:val="both"/>
              <w:rPr>
                <w:rFonts w:ascii="Arial" w:hAnsi="Arial" w:cs="Arial"/>
                <w:color w:val="000000"/>
                <w:sz w:val="18"/>
                <w:szCs w:val="18"/>
                <w:lang w:eastAsia="es-AR"/>
              </w:rPr>
            </w:pPr>
            <w:r w:rsidRPr="00132437">
              <w:rPr>
                <w:rFonts w:ascii="Arial" w:hAnsi="Arial" w:cs="Arial"/>
                <w:color w:val="000000"/>
                <w:sz w:val="18"/>
                <w:szCs w:val="18"/>
                <w:lang w:eastAsia="es-AR"/>
              </w:rPr>
              <w:t>Resultado del ejercicio antes de impuesto a las ganancias</w:t>
            </w:r>
          </w:p>
        </w:tc>
        <w:tc>
          <w:tcPr>
            <w:tcW w:w="1836" w:type="dxa"/>
            <w:tcBorders>
              <w:top w:val="nil"/>
              <w:left w:val="single" w:sz="4" w:space="0" w:color="auto"/>
              <w:bottom w:val="nil"/>
              <w:right w:val="single" w:sz="4" w:space="0" w:color="auto"/>
            </w:tcBorders>
            <w:shd w:val="clear" w:color="auto" w:fill="auto"/>
            <w:vAlign w:val="bottom"/>
          </w:tcPr>
          <w:p w14:paraId="4BA51F0E" w14:textId="67C362DC" w:rsidR="009F4420" w:rsidRPr="00745A86" w:rsidRDefault="009F4420">
            <w:pPr>
              <w:jc w:val="right"/>
              <w:rPr>
                <w:rFonts w:ascii="Arial" w:hAnsi="Arial" w:cs="Arial"/>
                <w:b/>
                <w:bCs/>
                <w:color w:val="000000"/>
                <w:sz w:val="18"/>
                <w:szCs w:val="18"/>
                <w:lang w:eastAsia="es-AR"/>
              </w:rPr>
            </w:pPr>
            <w:r w:rsidRPr="006E1AF7">
              <w:rPr>
                <w:rFonts w:ascii="Arial" w:hAnsi="Arial" w:cs="Arial"/>
                <w:b/>
                <w:sz w:val="18"/>
                <w:szCs w:val="18"/>
              </w:rPr>
              <w:t xml:space="preserve"> 2.188.096 </w:t>
            </w:r>
          </w:p>
        </w:tc>
        <w:tc>
          <w:tcPr>
            <w:tcW w:w="1836" w:type="dxa"/>
            <w:tcBorders>
              <w:top w:val="nil"/>
              <w:left w:val="nil"/>
              <w:bottom w:val="nil"/>
              <w:right w:val="single" w:sz="4" w:space="0" w:color="auto"/>
            </w:tcBorders>
            <w:vAlign w:val="bottom"/>
          </w:tcPr>
          <w:p w14:paraId="2F992E69" w14:textId="37EC453F" w:rsidR="009F4420" w:rsidRDefault="009F4420" w:rsidP="009F4420">
            <w:pPr>
              <w:jc w:val="right"/>
              <w:rPr>
                <w:rFonts w:ascii="Arial" w:hAnsi="Arial" w:cs="Arial"/>
                <w:b/>
                <w:bCs/>
                <w:color w:val="000000"/>
                <w:sz w:val="18"/>
                <w:szCs w:val="18"/>
              </w:rPr>
            </w:pPr>
            <w:r w:rsidRPr="00132437">
              <w:rPr>
                <w:rFonts w:ascii="Arial" w:hAnsi="Arial" w:cs="Arial"/>
                <w:b/>
                <w:bCs/>
                <w:color w:val="000000"/>
                <w:sz w:val="18"/>
                <w:szCs w:val="18"/>
              </w:rPr>
              <w:t xml:space="preserve">2.050.507 </w:t>
            </w:r>
          </w:p>
        </w:tc>
      </w:tr>
      <w:tr w:rsidR="009F4420" w:rsidRPr="00132437" w14:paraId="10407288" w14:textId="77777777" w:rsidTr="006E1AF7">
        <w:trPr>
          <w:trHeight w:val="380"/>
        </w:trPr>
        <w:tc>
          <w:tcPr>
            <w:tcW w:w="4927" w:type="dxa"/>
            <w:tcBorders>
              <w:top w:val="nil"/>
              <w:left w:val="single" w:sz="4" w:space="0" w:color="auto"/>
              <w:bottom w:val="nil"/>
              <w:right w:val="nil"/>
            </w:tcBorders>
            <w:shd w:val="clear" w:color="auto" w:fill="auto"/>
            <w:vAlign w:val="center"/>
            <w:hideMark/>
          </w:tcPr>
          <w:p w14:paraId="1A58E3E0" w14:textId="77777777" w:rsidR="009F4420" w:rsidRPr="00EC349E" w:rsidRDefault="009F4420" w:rsidP="009F4420">
            <w:pPr>
              <w:jc w:val="both"/>
              <w:rPr>
                <w:rFonts w:ascii="Arial" w:hAnsi="Arial" w:cs="Arial"/>
                <w:color w:val="000000"/>
                <w:sz w:val="18"/>
                <w:szCs w:val="18"/>
                <w:lang w:eastAsia="es-AR"/>
              </w:rPr>
            </w:pPr>
            <w:r w:rsidRPr="00132437">
              <w:rPr>
                <w:rFonts w:ascii="Arial" w:hAnsi="Arial" w:cs="Arial"/>
                <w:color w:val="000000"/>
                <w:sz w:val="18"/>
                <w:szCs w:val="18"/>
                <w:lang w:eastAsia="es-AR"/>
              </w:rPr>
              <w:t>Tasa del impuesto vigente</w:t>
            </w:r>
          </w:p>
        </w:tc>
        <w:tc>
          <w:tcPr>
            <w:tcW w:w="1836" w:type="dxa"/>
            <w:tcBorders>
              <w:top w:val="nil"/>
              <w:left w:val="single" w:sz="4" w:space="0" w:color="auto"/>
              <w:bottom w:val="nil"/>
              <w:right w:val="single" w:sz="4" w:space="0" w:color="auto"/>
            </w:tcBorders>
            <w:shd w:val="clear" w:color="auto" w:fill="auto"/>
            <w:vAlign w:val="bottom"/>
          </w:tcPr>
          <w:p w14:paraId="5F2AC72A" w14:textId="4DB47E1E" w:rsidR="009F4420" w:rsidRPr="00745A86" w:rsidRDefault="009F4420">
            <w:pPr>
              <w:jc w:val="right"/>
              <w:rPr>
                <w:rFonts w:ascii="Arial" w:hAnsi="Arial" w:cs="Arial"/>
                <w:bCs/>
                <w:color w:val="000000"/>
                <w:sz w:val="18"/>
                <w:szCs w:val="18"/>
                <w:lang w:eastAsia="es-AR"/>
              </w:rPr>
            </w:pPr>
            <w:r w:rsidRPr="006E1AF7">
              <w:rPr>
                <w:rFonts w:ascii="Arial" w:hAnsi="Arial" w:cs="Arial"/>
                <w:sz w:val="18"/>
                <w:szCs w:val="18"/>
              </w:rPr>
              <w:t>30%</w:t>
            </w:r>
          </w:p>
        </w:tc>
        <w:tc>
          <w:tcPr>
            <w:tcW w:w="1836" w:type="dxa"/>
            <w:tcBorders>
              <w:top w:val="nil"/>
              <w:left w:val="nil"/>
              <w:bottom w:val="nil"/>
              <w:right w:val="single" w:sz="4" w:space="0" w:color="auto"/>
            </w:tcBorders>
            <w:vAlign w:val="bottom"/>
          </w:tcPr>
          <w:p w14:paraId="76C923F0" w14:textId="7E29531B" w:rsidR="009F4420" w:rsidRPr="00EC349E" w:rsidRDefault="009F4420" w:rsidP="009F4420">
            <w:pPr>
              <w:jc w:val="right"/>
              <w:rPr>
                <w:rFonts w:ascii="Arial" w:hAnsi="Arial" w:cs="Arial"/>
                <w:bCs/>
                <w:color w:val="000000"/>
                <w:sz w:val="18"/>
                <w:szCs w:val="18"/>
              </w:rPr>
            </w:pPr>
            <w:r w:rsidRPr="00EC349E">
              <w:rPr>
                <w:rFonts w:ascii="Arial" w:hAnsi="Arial" w:cs="Arial"/>
                <w:bCs/>
                <w:color w:val="000000"/>
                <w:sz w:val="18"/>
                <w:szCs w:val="18"/>
              </w:rPr>
              <w:t>30%</w:t>
            </w:r>
          </w:p>
        </w:tc>
      </w:tr>
      <w:tr w:rsidR="009F4420" w:rsidRPr="00132437" w14:paraId="191FD7DC" w14:textId="77777777" w:rsidTr="006E1AF7">
        <w:trPr>
          <w:trHeight w:val="310"/>
        </w:trPr>
        <w:tc>
          <w:tcPr>
            <w:tcW w:w="4927" w:type="dxa"/>
            <w:tcBorders>
              <w:top w:val="single" w:sz="4" w:space="0" w:color="auto"/>
              <w:left w:val="single" w:sz="4" w:space="0" w:color="auto"/>
              <w:bottom w:val="single" w:sz="4" w:space="0" w:color="auto"/>
              <w:right w:val="nil"/>
            </w:tcBorders>
            <w:shd w:val="clear" w:color="auto" w:fill="auto"/>
            <w:vAlign w:val="center"/>
            <w:hideMark/>
          </w:tcPr>
          <w:p w14:paraId="1376857B" w14:textId="77777777" w:rsidR="009F4420" w:rsidRPr="00EC349E" w:rsidRDefault="009F4420" w:rsidP="009F4420">
            <w:pPr>
              <w:jc w:val="both"/>
              <w:rPr>
                <w:rFonts w:ascii="Arial" w:hAnsi="Arial" w:cs="Arial"/>
                <w:color w:val="000000"/>
                <w:sz w:val="18"/>
                <w:szCs w:val="18"/>
                <w:lang w:eastAsia="es-AR"/>
              </w:rPr>
            </w:pPr>
            <w:r w:rsidRPr="00132437">
              <w:rPr>
                <w:rFonts w:ascii="Arial" w:hAnsi="Arial" w:cs="Arial"/>
                <w:color w:val="000000"/>
                <w:sz w:val="18"/>
                <w:szCs w:val="18"/>
                <w:lang w:eastAsia="es-AR"/>
              </w:rPr>
              <w:t>Resultado del ejercicio a la tasa del impuesto</w:t>
            </w:r>
          </w:p>
        </w:tc>
        <w:tc>
          <w:tcPr>
            <w:tcW w:w="1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EB6A65" w14:textId="205729D4" w:rsidR="009F4420" w:rsidRPr="00745A86" w:rsidRDefault="009F4420">
            <w:pPr>
              <w:jc w:val="right"/>
              <w:rPr>
                <w:rFonts w:ascii="Arial" w:hAnsi="Arial" w:cs="Arial"/>
                <w:b/>
                <w:bCs/>
                <w:color w:val="000000"/>
                <w:sz w:val="18"/>
                <w:szCs w:val="18"/>
                <w:lang w:eastAsia="es-AR"/>
              </w:rPr>
            </w:pPr>
            <w:r w:rsidRPr="006E1AF7">
              <w:rPr>
                <w:rFonts w:ascii="Arial" w:hAnsi="Arial" w:cs="Arial"/>
                <w:b/>
                <w:sz w:val="18"/>
                <w:szCs w:val="18"/>
              </w:rPr>
              <w:t xml:space="preserve"> 656.429 </w:t>
            </w:r>
          </w:p>
        </w:tc>
        <w:tc>
          <w:tcPr>
            <w:tcW w:w="1836" w:type="dxa"/>
            <w:tcBorders>
              <w:top w:val="single" w:sz="4" w:space="0" w:color="auto"/>
              <w:left w:val="nil"/>
              <w:bottom w:val="single" w:sz="4" w:space="0" w:color="auto"/>
              <w:right w:val="single" w:sz="4" w:space="0" w:color="auto"/>
            </w:tcBorders>
            <w:vAlign w:val="bottom"/>
          </w:tcPr>
          <w:p w14:paraId="1E2DFCB4" w14:textId="12662F1E" w:rsidR="009F4420" w:rsidRPr="00EC349E" w:rsidRDefault="009F4420" w:rsidP="009F4420">
            <w:pPr>
              <w:jc w:val="right"/>
              <w:rPr>
                <w:rFonts w:ascii="Arial" w:hAnsi="Arial" w:cs="Arial"/>
                <w:b/>
                <w:bCs/>
                <w:color w:val="000000"/>
                <w:sz w:val="18"/>
                <w:szCs w:val="18"/>
              </w:rPr>
            </w:pPr>
            <w:r w:rsidRPr="00132437">
              <w:rPr>
                <w:rFonts w:ascii="Arial" w:hAnsi="Arial" w:cs="Arial"/>
                <w:b/>
                <w:bCs/>
                <w:color w:val="000000"/>
                <w:sz w:val="18"/>
                <w:szCs w:val="18"/>
              </w:rPr>
              <w:t xml:space="preserve">615.152 </w:t>
            </w:r>
          </w:p>
        </w:tc>
      </w:tr>
      <w:tr w:rsidR="00745A86" w:rsidRPr="00132437" w14:paraId="743984EB"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center"/>
            <w:hideMark/>
          </w:tcPr>
          <w:p w14:paraId="75A8DBAD" w14:textId="77777777" w:rsidR="00745A86" w:rsidRPr="00EC349E" w:rsidRDefault="00745A86" w:rsidP="00745A86">
            <w:pPr>
              <w:jc w:val="both"/>
              <w:rPr>
                <w:rFonts w:ascii="Arial" w:hAnsi="Arial" w:cs="Arial"/>
                <w:bCs/>
                <w:color w:val="000000"/>
                <w:sz w:val="18"/>
                <w:szCs w:val="18"/>
                <w:lang w:eastAsia="es-AR"/>
              </w:rPr>
            </w:pPr>
            <w:r w:rsidRPr="00132437">
              <w:rPr>
                <w:rFonts w:ascii="Arial" w:hAnsi="Arial" w:cs="Arial"/>
                <w:bCs/>
                <w:color w:val="000000"/>
                <w:sz w:val="18"/>
                <w:szCs w:val="18"/>
                <w:lang w:eastAsia="es-AR"/>
              </w:rPr>
              <w:t>Diferencias permanentes a la tasa del impuesto</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6A0063FF" w14:textId="20014B0E" w:rsidR="00745A86" w:rsidRPr="00745A86" w:rsidRDefault="00745A86">
            <w:pPr>
              <w:jc w:val="right"/>
              <w:rPr>
                <w:rFonts w:ascii="Arial" w:hAnsi="Arial" w:cs="Arial"/>
                <w:b/>
                <w:bCs/>
                <w:color w:val="000000"/>
                <w:sz w:val="18"/>
                <w:szCs w:val="18"/>
                <w:lang w:eastAsia="es-AR"/>
              </w:rPr>
            </w:pPr>
            <w:r w:rsidRPr="006E1AF7">
              <w:rPr>
                <w:rFonts w:ascii="Arial" w:hAnsi="Arial" w:cs="Arial"/>
                <w:b/>
                <w:sz w:val="18"/>
                <w:szCs w:val="18"/>
              </w:rPr>
              <w:t xml:space="preserve"> -1.776.660 </w:t>
            </w:r>
          </w:p>
        </w:tc>
        <w:tc>
          <w:tcPr>
            <w:tcW w:w="1836" w:type="dxa"/>
            <w:tcBorders>
              <w:top w:val="single" w:sz="4" w:space="0" w:color="auto"/>
              <w:left w:val="nil"/>
              <w:bottom w:val="single" w:sz="4" w:space="0" w:color="auto"/>
              <w:right w:val="single" w:sz="4" w:space="0" w:color="auto"/>
            </w:tcBorders>
            <w:vAlign w:val="bottom"/>
          </w:tcPr>
          <w:p w14:paraId="082EECD4" w14:textId="752A528F" w:rsidR="00745A86" w:rsidRPr="00EC349E" w:rsidRDefault="00745A86" w:rsidP="00745A86">
            <w:pPr>
              <w:jc w:val="right"/>
              <w:rPr>
                <w:rFonts w:ascii="Arial" w:hAnsi="Arial" w:cs="Arial"/>
                <w:b/>
                <w:bCs/>
                <w:color w:val="000000"/>
                <w:sz w:val="18"/>
                <w:szCs w:val="18"/>
              </w:rPr>
            </w:pPr>
            <w:r w:rsidRPr="00132437">
              <w:rPr>
                <w:rFonts w:ascii="Arial" w:hAnsi="Arial" w:cs="Arial"/>
                <w:b/>
                <w:bCs/>
                <w:color w:val="000000"/>
                <w:sz w:val="18"/>
                <w:szCs w:val="18"/>
              </w:rPr>
              <w:t xml:space="preserve">-227.883 </w:t>
            </w:r>
          </w:p>
        </w:tc>
      </w:tr>
      <w:tr w:rsidR="00745A86" w:rsidRPr="00132437" w14:paraId="6378B3A3"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bottom"/>
          </w:tcPr>
          <w:p w14:paraId="5DAD128C" w14:textId="77777777" w:rsidR="00745A86" w:rsidRPr="00EC349E" w:rsidRDefault="00745A86" w:rsidP="00745A86">
            <w:pPr>
              <w:rPr>
                <w:rFonts w:ascii="Arial" w:hAnsi="Arial" w:cs="Arial"/>
                <w:bCs/>
                <w:i/>
                <w:color w:val="000000"/>
                <w:sz w:val="18"/>
                <w:szCs w:val="18"/>
                <w:lang w:eastAsia="es-AR"/>
              </w:rPr>
            </w:pPr>
            <w:r w:rsidRPr="00EC349E">
              <w:rPr>
                <w:rFonts w:ascii="Arial" w:hAnsi="Arial" w:cs="Arial"/>
                <w:i/>
                <w:sz w:val="18"/>
                <w:szCs w:val="18"/>
              </w:rPr>
              <w:t xml:space="preserve">  - Resultado por participación en otras sociedades</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53AD6358" w14:textId="6CA9147A" w:rsidR="00745A86" w:rsidRPr="00745A86" w:rsidRDefault="00745A86">
            <w:pPr>
              <w:jc w:val="right"/>
              <w:rPr>
                <w:rFonts w:ascii="Arial" w:hAnsi="Arial" w:cs="Arial"/>
                <w:bCs/>
                <w:i/>
                <w:color w:val="000000"/>
                <w:sz w:val="18"/>
                <w:szCs w:val="18"/>
                <w:lang w:eastAsia="es-AR"/>
              </w:rPr>
            </w:pPr>
            <w:r w:rsidRPr="006E1AF7">
              <w:rPr>
                <w:rFonts w:ascii="Arial" w:hAnsi="Arial" w:cs="Arial"/>
                <w:i/>
                <w:sz w:val="18"/>
                <w:szCs w:val="18"/>
              </w:rPr>
              <w:t xml:space="preserve"> 8.968 </w:t>
            </w:r>
          </w:p>
        </w:tc>
        <w:tc>
          <w:tcPr>
            <w:tcW w:w="1836" w:type="dxa"/>
            <w:tcBorders>
              <w:top w:val="single" w:sz="4" w:space="0" w:color="auto"/>
              <w:left w:val="nil"/>
              <w:bottom w:val="single" w:sz="4" w:space="0" w:color="auto"/>
              <w:right w:val="single" w:sz="4" w:space="0" w:color="auto"/>
            </w:tcBorders>
            <w:vAlign w:val="bottom"/>
          </w:tcPr>
          <w:p w14:paraId="3A1EEC74" w14:textId="73AE2EC8" w:rsidR="00745A86" w:rsidRPr="00EC349E" w:rsidRDefault="00745A86" w:rsidP="00745A86">
            <w:pPr>
              <w:jc w:val="right"/>
              <w:rPr>
                <w:rFonts w:ascii="Arial" w:hAnsi="Arial" w:cs="Arial"/>
                <w:bCs/>
                <w:i/>
                <w:color w:val="000000"/>
                <w:sz w:val="18"/>
                <w:szCs w:val="18"/>
              </w:rPr>
            </w:pPr>
            <w:r w:rsidRPr="00EC349E">
              <w:rPr>
                <w:rFonts w:ascii="Arial" w:hAnsi="Arial" w:cs="Arial"/>
                <w:bCs/>
                <w:i/>
                <w:iCs/>
                <w:color w:val="000000"/>
                <w:sz w:val="18"/>
                <w:szCs w:val="18"/>
              </w:rPr>
              <w:t xml:space="preserve">19.082 </w:t>
            </w:r>
          </w:p>
        </w:tc>
      </w:tr>
      <w:tr w:rsidR="00745A86" w:rsidRPr="00132437" w14:paraId="5AB8414D"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bottom"/>
          </w:tcPr>
          <w:p w14:paraId="289059AB" w14:textId="77777777" w:rsidR="00745A86" w:rsidRPr="00EC349E" w:rsidRDefault="00745A86" w:rsidP="00745A86">
            <w:pPr>
              <w:rPr>
                <w:rFonts w:ascii="Arial" w:hAnsi="Arial" w:cs="Arial"/>
                <w:bCs/>
                <w:i/>
                <w:color w:val="000000"/>
                <w:sz w:val="18"/>
                <w:szCs w:val="18"/>
                <w:lang w:eastAsia="es-AR"/>
              </w:rPr>
            </w:pPr>
            <w:r w:rsidRPr="00EC349E">
              <w:rPr>
                <w:rFonts w:ascii="Arial" w:hAnsi="Arial" w:cs="Arial"/>
                <w:i/>
                <w:sz w:val="18"/>
                <w:szCs w:val="18"/>
              </w:rPr>
              <w:t xml:space="preserve">  - Resultados no gravados</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44CCCCB6" w14:textId="2D837599" w:rsidR="00745A86" w:rsidRPr="00745A86" w:rsidRDefault="00745A86">
            <w:pPr>
              <w:jc w:val="right"/>
              <w:rPr>
                <w:rFonts w:ascii="Arial" w:hAnsi="Arial" w:cs="Arial"/>
                <w:bCs/>
                <w:i/>
                <w:color w:val="000000"/>
                <w:sz w:val="18"/>
                <w:szCs w:val="18"/>
                <w:lang w:eastAsia="es-AR"/>
              </w:rPr>
            </w:pPr>
            <w:r w:rsidRPr="006E1AF7">
              <w:rPr>
                <w:rFonts w:ascii="Arial" w:hAnsi="Arial" w:cs="Arial"/>
                <w:i/>
                <w:sz w:val="18"/>
                <w:szCs w:val="18"/>
              </w:rPr>
              <w:t xml:space="preserve"> -38.224 </w:t>
            </w:r>
          </w:p>
        </w:tc>
        <w:tc>
          <w:tcPr>
            <w:tcW w:w="1836" w:type="dxa"/>
            <w:tcBorders>
              <w:top w:val="single" w:sz="4" w:space="0" w:color="auto"/>
              <w:left w:val="nil"/>
              <w:bottom w:val="single" w:sz="4" w:space="0" w:color="auto"/>
              <w:right w:val="single" w:sz="4" w:space="0" w:color="auto"/>
            </w:tcBorders>
            <w:vAlign w:val="bottom"/>
          </w:tcPr>
          <w:p w14:paraId="7BA1534B" w14:textId="7C45B227" w:rsidR="00745A86" w:rsidRPr="00EC349E" w:rsidRDefault="00745A86" w:rsidP="00745A86">
            <w:pPr>
              <w:jc w:val="right"/>
              <w:rPr>
                <w:rFonts w:ascii="Arial" w:hAnsi="Arial" w:cs="Arial"/>
                <w:bCs/>
                <w:i/>
                <w:color w:val="000000"/>
                <w:sz w:val="18"/>
                <w:szCs w:val="18"/>
              </w:rPr>
            </w:pPr>
            <w:r w:rsidRPr="00EC349E">
              <w:rPr>
                <w:rFonts w:ascii="Arial" w:hAnsi="Arial" w:cs="Arial"/>
                <w:bCs/>
                <w:i/>
                <w:iCs/>
                <w:color w:val="000000"/>
                <w:sz w:val="18"/>
                <w:szCs w:val="18"/>
              </w:rPr>
              <w:t xml:space="preserve">1.407 </w:t>
            </w:r>
          </w:p>
        </w:tc>
      </w:tr>
      <w:tr w:rsidR="00745A86" w:rsidRPr="00132437" w14:paraId="70A6E9D6"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bottom"/>
          </w:tcPr>
          <w:p w14:paraId="69AE1065" w14:textId="77777777" w:rsidR="00745A86" w:rsidRPr="00EC349E" w:rsidRDefault="00745A86" w:rsidP="00745A86">
            <w:pPr>
              <w:rPr>
                <w:rFonts w:ascii="Arial" w:hAnsi="Arial" w:cs="Arial"/>
                <w:bCs/>
                <w:i/>
                <w:color w:val="000000"/>
                <w:sz w:val="18"/>
                <w:szCs w:val="18"/>
                <w:lang w:eastAsia="es-AR"/>
              </w:rPr>
            </w:pPr>
            <w:r w:rsidRPr="00EC349E">
              <w:rPr>
                <w:rFonts w:ascii="Arial" w:hAnsi="Arial" w:cs="Arial"/>
                <w:i/>
                <w:sz w:val="18"/>
                <w:szCs w:val="18"/>
              </w:rPr>
              <w:t xml:space="preserve">  - Donaciones y otros gastos no deducibles</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55B7E255" w14:textId="27432A01" w:rsidR="00745A86" w:rsidRPr="00745A86" w:rsidRDefault="00745A86">
            <w:pPr>
              <w:jc w:val="right"/>
              <w:rPr>
                <w:rFonts w:ascii="Arial" w:hAnsi="Arial" w:cs="Arial"/>
                <w:bCs/>
                <w:i/>
                <w:color w:val="000000"/>
                <w:sz w:val="18"/>
                <w:szCs w:val="18"/>
                <w:lang w:eastAsia="es-AR"/>
              </w:rPr>
            </w:pPr>
            <w:r w:rsidRPr="006E1AF7">
              <w:rPr>
                <w:rFonts w:ascii="Arial" w:hAnsi="Arial" w:cs="Arial"/>
                <w:i/>
                <w:sz w:val="18"/>
                <w:szCs w:val="18"/>
              </w:rPr>
              <w:t xml:space="preserve"> 1.653 </w:t>
            </w:r>
          </w:p>
        </w:tc>
        <w:tc>
          <w:tcPr>
            <w:tcW w:w="1836" w:type="dxa"/>
            <w:tcBorders>
              <w:top w:val="single" w:sz="4" w:space="0" w:color="auto"/>
              <w:left w:val="nil"/>
              <w:bottom w:val="single" w:sz="4" w:space="0" w:color="auto"/>
              <w:right w:val="single" w:sz="4" w:space="0" w:color="auto"/>
            </w:tcBorders>
            <w:vAlign w:val="bottom"/>
          </w:tcPr>
          <w:p w14:paraId="23F14CB4" w14:textId="18D079FB" w:rsidR="00745A86" w:rsidRPr="00EC349E" w:rsidRDefault="00745A86" w:rsidP="00745A86">
            <w:pPr>
              <w:jc w:val="right"/>
              <w:rPr>
                <w:rFonts w:ascii="Arial" w:hAnsi="Arial" w:cs="Arial"/>
                <w:bCs/>
                <w:i/>
                <w:iCs/>
                <w:color w:val="000000"/>
                <w:sz w:val="18"/>
                <w:szCs w:val="18"/>
              </w:rPr>
            </w:pPr>
            <w:r w:rsidRPr="00EC349E">
              <w:rPr>
                <w:rFonts w:ascii="Arial" w:hAnsi="Arial" w:cs="Arial"/>
                <w:bCs/>
                <w:i/>
                <w:iCs/>
                <w:color w:val="000000"/>
                <w:sz w:val="18"/>
                <w:szCs w:val="18"/>
              </w:rPr>
              <w:t xml:space="preserve">-242.617 </w:t>
            </w:r>
          </w:p>
        </w:tc>
      </w:tr>
      <w:tr w:rsidR="00745A86" w:rsidRPr="00132437" w14:paraId="4943C1BA"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bottom"/>
          </w:tcPr>
          <w:p w14:paraId="75E5A7AF" w14:textId="401AE385" w:rsidR="00745A86" w:rsidRPr="00EC349E" w:rsidRDefault="00745A86" w:rsidP="00745A86">
            <w:pPr>
              <w:rPr>
                <w:rFonts w:ascii="Arial" w:hAnsi="Arial" w:cs="Arial"/>
                <w:i/>
                <w:sz w:val="18"/>
                <w:szCs w:val="18"/>
              </w:rPr>
            </w:pPr>
            <w:r>
              <w:rPr>
                <w:rFonts w:ascii="Arial" w:hAnsi="Arial" w:cs="Arial"/>
                <w:i/>
                <w:sz w:val="18"/>
                <w:szCs w:val="18"/>
              </w:rPr>
              <w:t xml:space="preserve">  - Aportes SGR</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065EED19" w14:textId="56AF1D69" w:rsidR="00745A86" w:rsidRPr="00745A86" w:rsidRDefault="00745A86">
            <w:pPr>
              <w:jc w:val="right"/>
              <w:rPr>
                <w:rFonts w:ascii="Arial" w:hAnsi="Arial" w:cs="Arial"/>
                <w:bCs/>
                <w:i/>
                <w:color w:val="000000"/>
                <w:sz w:val="18"/>
                <w:szCs w:val="18"/>
                <w:lang w:eastAsia="es-AR"/>
              </w:rPr>
            </w:pPr>
            <w:r w:rsidRPr="006E1AF7">
              <w:rPr>
                <w:rFonts w:ascii="Arial" w:hAnsi="Arial" w:cs="Arial"/>
                <w:i/>
                <w:sz w:val="18"/>
                <w:szCs w:val="18"/>
              </w:rPr>
              <w:t xml:space="preserve"> -254.310 </w:t>
            </w:r>
          </w:p>
        </w:tc>
        <w:tc>
          <w:tcPr>
            <w:tcW w:w="1836" w:type="dxa"/>
            <w:tcBorders>
              <w:top w:val="single" w:sz="4" w:space="0" w:color="auto"/>
              <w:left w:val="nil"/>
              <w:bottom w:val="single" w:sz="4" w:space="0" w:color="auto"/>
              <w:right w:val="single" w:sz="4" w:space="0" w:color="auto"/>
            </w:tcBorders>
            <w:vAlign w:val="bottom"/>
          </w:tcPr>
          <w:p w14:paraId="02BA89C3" w14:textId="4C83AE5F" w:rsidR="00745A86" w:rsidRPr="00EC349E" w:rsidRDefault="00745A86" w:rsidP="00745A86">
            <w:pPr>
              <w:jc w:val="right"/>
              <w:rPr>
                <w:rFonts w:ascii="Arial" w:hAnsi="Arial" w:cs="Arial"/>
                <w:bCs/>
                <w:i/>
                <w:iCs/>
                <w:color w:val="000000"/>
                <w:sz w:val="18"/>
                <w:szCs w:val="18"/>
              </w:rPr>
            </w:pPr>
            <w:r>
              <w:rPr>
                <w:rFonts w:ascii="Arial" w:hAnsi="Arial" w:cs="Arial"/>
                <w:bCs/>
                <w:i/>
                <w:iCs/>
                <w:color w:val="000000"/>
                <w:sz w:val="18"/>
                <w:szCs w:val="18"/>
              </w:rPr>
              <w:t>-</w:t>
            </w:r>
          </w:p>
        </w:tc>
      </w:tr>
      <w:tr w:rsidR="00745A86" w:rsidRPr="00132437" w14:paraId="650A030F"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bottom"/>
          </w:tcPr>
          <w:p w14:paraId="2E24FC45" w14:textId="3E123FAA" w:rsidR="00745A86" w:rsidRDefault="00745A86" w:rsidP="00745A86">
            <w:pPr>
              <w:rPr>
                <w:rFonts w:ascii="Arial" w:hAnsi="Arial" w:cs="Arial"/>
                <w:i/>
                <w:sz w:val="18"/>
                <w:szCs w:val="18"/>
              </w:rPr>
            </w:pPr>
            <w:r>
              <w:rPr>
                <w:rFonts w:ascii="Arial" w:hAnsi="Arial" w:cs="Arial"/>
                <w:i/>
                <w:sz w:val="18"/>
                <w:szCs w:val="18"/>
              </w:rPr>
              <w:t xml:space="preserve">  - Seguros de Retiro</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5BEE9D5C" w14:textId="17083610" w:rsidR="00745A86" w:rsidRPr="00745A86" w:rsidRDefault="00745A86">
            <w:pPr>
              <w:jc w:val="right"/>
              <w:rPr>
                <w:rFonts w:ascii="Arial" w:hAnsi="Arial" w:cs="Arial"/>
                <w:bCs/>
                <w:i/>
                <w:color w:val="000000"/>
                <w:sz w:val="18"/>
                <w:szCs w:val="18"/>
                <w:lang w:eastAsia="es-AR"/>
              </w:rPr>
            </w:pPr>
            <w:r w:rsidRPr="006E1AF7">
              <w:rPr>
                <w:rFonts w:ascii="Arial" w:hAnsi="Arial" w:cs="Arial"/>
                <w:i/>
                <w:sz w:val="18"/>
                <w:szCs w:val="18"/>
              </w:rPr>
              <w:t xml:space="preserve"> -95.812 </w:t>
            </w:r>
          </w:p>
        </w:tc>
        <w:tc>
          <w:tcPr>
            <w:tcW w:w="1836" w:type="dxa"/>
            <w:tcBorders>
              <w:top w:val="single" w:sz="4" w:space="0" w:color="auto"/>
              <w:left w:val="nil"/>
              <w:bottom w:val="single" w:sz="4" w:space="0" w:color="auto"/>
              <w:right w:val="single" w:sz="4" w:space="0" w:color="auto"/>
            </w:tcBorders>
            <w:vAlign w:val="bottom"/>
          </w:tcPr>
          <w:p w14:paraId="6C17B866" w14:textId="72C54CCC" w:rsidR="00745A86" w:rsidRPr="00EC349E" w:rsidRDefault="00745A86" w:rsidP="00745A86">
            <w:pPr>
              <w:jc w:val="right"/>
              <w:rPr>
                <w:rFonts w:ascii="Arial" w:hAnsi="Arial" w:cs="Arial"/>
                <w:bCs/>
                <w:i/>
                <w:iCs/>
                <w:color w:val="000000"/>
                <w:sz w:val="18"/>
                <w:szCs w:val="18"/>
              </w:rPr>
            </w:pPr>
            <w:r>
              <w:rPr>
                <w:rFonts w:ascii="Arial" w:hAnsi="Arial" w:cs="Arial"/>
                <w:bCs/>
                <w:i/>
                <w:iCs/>
                <w:color w:val="000000"/>
                <w:sz w:val="18"/>
                <w:szCs w:val="18"/>
              </w:rPr>
              <w:t>-</w:t>
            </w:r>
          </w:p>
        </w:tc>
      </w:tr>
      <w:tr w:rsidR="00745A86" w:rsidRPr="00132437" w14:paraId="5360DED2"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bottom"/>
          </w:tcPr>
          <w:p w14:paraId="13DCB1BC" w14:textId="5C3B942C" w:rsidR="00745A86" w:rsidRDefault="00745A86" w:rsidP="00745A86">
            <w:pPr>
              <w:rPr>
                <w:rFonts w:ascii="Arial" w:hAnsi="Arial" w:cs="Arial"/>
                <w:i/>
                <w:sz w:val="18"/>
                <w:szCs w:val="18"/>
              </w:rPr>
            </w:pPr>
            <w:r>
              <w:rPr>
                <w:rFonts w:ascii="Arial" w:hAnsi="Arial" w:cs="Arial"/>
                <w:i/>
                <w:sz w:val="18"/>
                <w:szCs w:val="18"/>
              </w:rPr>
              <w:t xml:space="preserve">  - AxI Amortizaciones</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149B334B" w14:textId="310ED363" w:rsidR="00745A86" w:rsidRPr="00745A86" w:rsidRDefault="00745A86">
            <w:pPr>
              <w:jc w:val="right"/>
              <w:rPr>
                <w:rFonts w:ascii="Arial" w:hAnsi="Arial" w:cs="Arial"/>
                <w:bCs/>
                <w:i/>
                <w:color w:val="000000"/>
                <w:sz w:val="18"/>
                <w:szCs w:val="18"/>
                <w:lang w:eastAsia="es-AR"/>
              </w:rPr>
            </w:pPr>
            <w:r w:rsidRPr="006E1AF7">
              <w:rPr>
                <w:rFonts w:ascii="Arial" w:hAnsi="Arial" w:cs="Arial"/>
                <w:i/>
                <w:sz w:val="18"/>
                <w:szCs w:val="18"/>
              </w:rPr>
              <w:t xml:space="preserve"> 28.446 </w:t>
            </w:r>
          </w:p>
        </w:tc>
        <w:tc>
          <w:tcPr>
            <w:tcW w:w="1836" w:type="dxa"/>
            <w:tcBorders>
              <w:top w:val="single" w:sz="4" w:space="0" w:color="auto"/>
              <w:left w:val="nil"/>
              <w:bottom w:val="single" w:sz="4" w:space="0" w:color="auto"/>
              <w:right w:val="single" w:sz="4" w:space="0" w:color="auto"/>
            </w:tcBorders>
            <w:vAlign w:val="bottom"/>
          </w:tcPr>
          <w:p w14:paraId="210B8E5A" w14:textId="16202998" w:rsidR="00745A86" w:rsidRPr="00EC349E" w:rsidRDefault="00745A86" w:rsidP="00745A86">
            <w:pPr>
              <w:jc w:val="right"/>
              <w:rPr>
                <w:rFonts w:ascii="Arial" w:hAnsi="Arial" w:cs="Arial"/>
                <w:bCs/>
                <w:i/>
                <w:iCs/>
                <w:color w:val="000000"/>
                <w:sz w:val="18"/>
                <w:szCs w:val="18"/>
              </w:rPr>
            </w:pPr>
            <w:r>
              <w:rPr>
                <w:rFonts w:ascii="Arial" w:hAnsi="Arial" w:cs="Arial"/>
                <w:bCs/>
                <w:i/>
                <w:iCs/>
                <w:color w:val="000000"/>
                <w:sz w:val="18"/>
                <w:szCs w:val="18"/>
              </w:rPr>
              <w:t>-</w:t>
            </w:r>
          </w:p>
        </w:tc>
      </w:tr>
      <w:tr w:rsidR="00745A86" w:rsidRPr="00132437" w14:paraId="5A79585D"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bottom"/>
          </w:tcPr>
          <w:p w14:paraId="4E65A543" w14:textId="77777777" w:rsidR="00745A86" w:rsidRPr="00EC349E" w:rsidRDefault="00745A86" w:rsidP="00745A86">
            <w:pPr>
              <w:rPr>
                <w:rFonts w:ascii="Arial" w:hAnsi="Arial" w:cs="Arial"/>
                <w:bCs/>
                <w:i/>
                <w:color w:val="000000"/>
                <w:sz w:val="18"/>
                <w:szCs w:val="18"/>
                <w:lang w:eastAsia="es-AR"/>
              </w:rPr>
            </w:pPr>
            <w:r w:rsidRPr="00EC349E">
              <w:rPr>
                <w:rFonts w:ascii="Arial" w:hAnsi="Arial" w:cs="Arial"/>
                <w:i/>
                <w:sz w:val="18"/>
                <w:szCs w:val="18"/>
              </w:rPr>
              <w:t xml:space="preserve">  - Otros</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2C81D22F" w14:textId="20D0530F" w:rsidR="00745A86" w:rsidRPr="00745A86" w:rsidRDefault="00745A86">
            <w:pPr>
              <w:jc w:val="right"/>
              <w:rPr>
                <w:rFonts w:ascii="Arial" w:hAnsi="Arial" w:cs="Arial"/>
                <w:bCs/>
                <w:i/>
                <w:color w:val="000000"/>
                <w:sz w:val="18"/>
                <w:szCs w:val="18"/>
                <w:lang w:eastAsia="es-AR"/>
              </w:rPr>
            </w:pPr>
            <w:r w:rsidRPr="006E1AF7">
              <w:rPr>
                <w:rFonts w:ascii="Arial" w:hAnsi="Arial" w:cs="Arial"/>
                <w:i/>
                <w:sz w:val="18"/>
                <w:szCs w:val="18"/>
              </w:rPr>
              <w:t xml:space="preserve"> -3.843 </w:t>
            </w:r>
          </w:p>
        </w:tc>
        <w:tc>
          <w:tcPr>
            <w:tcW w:w="1836" w:type="dxa"/>
            <w:tcBorders>
              <w:top w:val="single" w:sz="4" w:space="0" w:color="auto"/>
              <w:left w:val="nil"/>
              <w:bottom w:val="single" w:sz="4" w:space="0" w:color="auto"/>
              <w:right w:val="single" w:sz="4" w:space="0" w:color="auto"/>
            </w:tcBorders>
            <w:vAlign w:val="bottom"/>
          </w:tcPr>
          <w:p w14:paraId="6F9EA813" w14:textId="10E456BF" w:rsidR="00745A86" w:rsidRDefault="00745A86" w:rsidP="00745A86">
            <w:pPr>
              <w:jc w:val="right"/>
              <w:rPr>
                <w:rFonts w:ascii="Arial" w:hAnsi="Arial" w:cs="Arial"/>
                <w:bCs/>
                <w:i/>
                <w:color w:val="000000"/>
                <w:sz w:val="18"/>
                <w:szCs w:val="18"/>
              </w:rPr>
            </w:pPr>
            <w:r w:rsidRPr="00EC349E">
              <w:rPr>
                <w:rFonts w:ascii="Arial" w:hAnsi="Arial" w:cs="Arial"/>
                <w:bCs/>
                <w:i/>
                <w:iCs/>
                <w:color w:val="000000"/>
                <w:sz w:val="18"/>
                <w:szCs w:val="18"/>
              </w:rPr>
              <w:t xml:space="preserve">15.907 </w:t>
            </w:r>
          </w:p>
        </w:tc>
      </w:tr>
      <w:tr w:rsidR="00745A86" w:rsidRPr="00132437" w14:paraId="2F61136E"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bottom"/>
          </w:tcPr>
          <w:p w14:paraId="7C3FCD62" w14:textId="77777777" w:rsidR="00745A86" w:rsidRPr="00EC349E" w:rsidRDefault="00745A86" w:rsidP="00745A86">
            <w:pPr>
              <w:rPr>
                <w:rFonts w:ascii="Arial" w:hAnsi="Arial" w:cs="Arial"/>
                <w:bCs/>
                <w:i/>
                <w:color w:val="000000"/>
                <w:sz w:val="18"/>
                <w:szCs w:val="18"/>
                <w:lang w:eastAsia="es-AR"/>
              </w:rPr>
            </w:pPr>
            <w:r w:rsidRPr="00EC349E">
              <w:rPr>
                <w:rFonts w:ascii="Arial" w:hAnsi="Arial" w:cs="Arial"/>
                <w:i/>
                <w:sz w:val="18"/>
                <w:szCs w:val="18"/>
              </w:rPr>
              <w:t xml:space="preserve">  - Resultado venta de cartera</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36B7347E" w14:textId="730F34F9" w:rsidR="00745A86" w:rsidRPr="00745A86" w:rsidRDefault="00745A86">
            <w:pPr>
              <w:jc w:val="right"/>
              <w:rPr>
                <w:rFonts w:ascii="Arial" w:hAnsi="Arial" w:cs="Arial"/>
                <w:bCs/>
                <w:i/>
                <w:color w:val="000000"/>
                <w:sz w:val="18"/>
                <w:szCs w:val="18"/>
                <w:lang w:eastAsia="es-AR"/>
              </w:rPr>
            </w:pPr>
            <w:r w:rsidRPr="006E1AF7">
              <w:rPr>
                <w:rFonts w:ascii="Arial" w:hAnsi="Arial" w:cs="Arial"/>
                <w:i/>
                <w:sz w:val="18"/>
                <w:szCs w:val="18"/>
              </w:rPr>
              <w:t xml:space="preserve"> 9.945 </w:t>
            </w:r>
          </w:p>
        </w:tc>
        <w:tc>
          <w:tcPr>
            <w:tcW w:w="1836" w:type="dxa"/>
            <w:tcBorders>
              <w:top w:val="single" w:sz="4" w:space="0" w:color="auto"/>
              <w:left w:val="nil"/>
              <w:bottom w:val="single" w:sz="4" w:space="0" w:color="auto"/>
              <w:right w:val="single" w:sz="4" w:space="0" w:color="auto"/>
            </w:tcBorders>
            <w:vAlign w:val="bottom"/>
          </w:tcPr>
          <w:p w14:paraId="64D9BAA0" w14:textId="22E09895" w:rsidR="00745A86" w:rsidRPr="00EC349E" w:rsidRDefault="00745A86" w:rsidP="00745A86">
            <w:pPr>
              <w:jc w:val="right"/>
              <w:rPr>
                <w:rFonts w:ascii="Arial" w:hAnsi="Arial" w:cs="Arial"/>
                <w:bCs/>
                <w:i/>
                <w:color w:val="000000"/>
                <w:sz w:val="18"/>
                <w:szCs w:val="18"/>
              </w:rPr>
            </w:pPr>
            <w:r w:rsidRPr="00EC349E">
              <w:rPr>
                <w:rFonts w:ascii="Arial" w:hAnsi="Arial" w:cs="Arial"/>
                <w:bCs/>
                <w:i/>
                <w:iCs/>
                <w:color w:val="000000"/>
                <w:sz w:val="18"/>
                <w:szCs w:val="18"/>
              </w:rPr>
              <w:t xml:space="preserve">-52.049 </w:t>
            </w:r>
          </w:p>
        </w:tc>
      </w:tr>
      <w:tr w:rsidR="00745A86" w:rsidRPr="00132437" w14:paraId="78EEBF5D"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bottom"/>
          </w:tcPr>
          <w:p w14:paraId="3A334125" w14:textId="77777777" w:rsidR="00745A86" w:rsidRPr="00EC349E" w:rsidRDefault="00745A86" w:rsidP="00745A86">
            <w:pPr>
              <w:rPr>
                <w:rFonts w:ascii="Arial" w:hAnsi="Arial" w:cs="Arial"/>
                <w:bCs/>
                <w:i/>
                <w:color w:val="000000"/>
                <w:sz w:val="18"/>
                <w:szCs w:val="18"/>
                <w:lang w:eastAsia="es-AR"/>
              </w:rPr>
            </w:pPr>
            <w:r w:rsidRPr="00EC349E">
              <w:rPr>
                <w:rFonts w:ascii="Arial" w:hAnsi="Arial" w:cs="Arial"/>
                <w:i/>
                <w:sz w:val="18"/>
                <w:szCs w:val="18"/>
              </w:rPr>
              <w:t xml:space="preserve">  - Multas</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5B570EA4" w14:textId="29701C16" w:rsidR="00745A86" w:rsidRPr="00745A86" w:rsidRDefault="00745A86">
            <w:pPr>
              <w:jc w:val="right"/>
              <w:rPr>
                <w:rFonts w:ascii="Arial" w:hAnsi="Arial" w:cs="Arial"/>
                <w:bCs/>
                <w:i/>
                <w:color w:val="000000"/>
                <w:sz w:val="18"/>
                <w:szCs w:val="18"/>
                <w:lang w:eastAsia="es-AR"/>
              </w:rPr>
            </w:pPr>
            <w:r w:rsidRPr="006E1AF7">
              <w:rPr>
                <w:rFonts w:ascii="Arial" w:hAnsi="Arial" w:cs="Arial"/>
                <w:i/>
                <w:sz w:val="18"/>
                <w:szCs w:val="18"/>
              </w:rPr>
              <w:t xml:space="preserve"> 451 </w:t>
            </w:r>
          </w:p>
        </w:tc>
        <w:tc>
          <w:tcPr>
            <w:tcW w:w="1836" w:type="dxa"/>
            <w:tcBorders>
              <w:top w:val="single" w:sz="4" w:space="0" w:color="auto"/>
              <w:left w:val="nil"/>
              <w:bottom w:val="single" w:sz="4" w:space="0" w:color="auto"/>
              <w:right w:val="single" w:sz="4" w:space="0" w:color="auto"/>
            </w:tcBorders>
            <w:vAlign w:val="bottom"/>
          </w:tcPr>
          <w:p w14:paraId="26D270BC" w14:textId="1D4A52A4" w:rsidR="00745A86" w:rsidRPr="00EC349E" w:rsidRDefault="00745A86" w:rsidP="00745A86">
            <w:pPr>
              <w:jc w:val="right"/>
              <w:rPr>
                <w:rFonts w:ascii="Arial" w:hAnsi="Arial" w:cs="Arial"/>
                <w:bCs/>
                <w:i/>
                <w:color w:val="000000"/>
                <w:sz w:val="18"/>
                <w:szCs w:val="18"/>
              </w:rPr>
            </w:pPr>
            <w:r w:rsidRPr="00EC349E">
              <w:rPr>
                <w:rFonts w:ascii="Arial" w:hAnsi="Arial" w:cs="Arial"/>
                <w:bCs/>
                <w:i/>
                <w:iCs/>
                <w:color w:val="000000"/>
                <w:sz w:val="18"/>
                <w:szCs w:val="18"/>
              </w:rPr>
              <w:t xml:space="preserve">183 </w:t>
            </w:r>
          </w:p>
        </w:tc>
      </w:tr>
      <w:tr w:rsidR="00745A86" w:rsidRPr="00132437" w14:paraId="02E883C7"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bottom"/>
          </w:tcPr>
          <w:p w14:paraId="4D110426" w14:textId="69C652EC" w:rsidR="00745A86" w:rsidRPr="00EC349E" w:rsidRDefault="00745A86" w:rsidP="00745A86">
            <w:pPr>
              <w:rPr>
                <w:rFonts w:ascii="Arial" w:hAnsi="Arial" w:cs="Arial"/>
                <w:i/>
                <w:sz w:val="18"/>
                <w:szCs w:val="18"/>
              </w:rPr>
            </w:pPr>
            <w:r>
              <w:rPr>
                <w:rFonts w:ascii="Arial" w:hAnsi="Arial" w:cs="Arial"/>
                <w:i/>
                <w:sz w:val="18"/>
                <w:szCs w:val="18"/>
              </w:rPr>
              <w:t>Ajuste por Inflación Impositivo</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20D909B0" w14:textId="4CF2338F" w:rsidR="00745A86" w:rsidRPr="00745A86" w:rsidRDefault="00745A86">
            <w:pPr>
              <w:jc w:val="right"/>
              <w:rPr>
                <w:rFonts w:ascii="Arial" w:hAnsi="Arial" w:cs="Arial"/>
                <w:bCs/>
                <w:i/>
                <w:color w:val="000000"/>
                <w:sz w:val="18"/>
                <w:szCs w:val="18"/>
                <w:lang w:eastAsia="es-AR"/>
              </w:rPr>
            </w:pPr>
            <w:r w:rsidRPr="006E1AF7">
              <w:rPr>
                <w:rFonts w:ascii="Arial" w:hAnsi="Arial" w:cs="Arial"/>
                <w:i/>
                <w:sz w:val="18"/>
                <w:szCs w:val="18"/>
              </w:rPr>
              <w:t xml:space="preserve"> -1.444.341 </w:t>
            </w:r>
          </w:p>
        </w:tc>
        <w:tc>
          <w:tcPr>
            <w:tcW w:w="1836" w:type="dxa"/>
            <w:tcBorders>
              <w:top w:val="single" w:sz="4" w:space="0" w:color="auto"/>
              <w:left w:val="nil"/>
              <w:bottom w:val="single" w:sz="4" w:space="0" w:color="auto"/>
              <w:right w:val="single" w:sz="4" w:space="0" w:color="auto"/>
            </w:tcBorders>
            <w:vAlign w:val="bottom"/>
          </w:tcPr>
          <w:p w14:paraId="41555D49" w14:textId="78681893" w:rsidR="00745A86" w:rsidRPr="00EC349E" w:rsidRDefault="00745A86" w:rsidP="00745A86">
            <w:pPr>
              <w:jc w:val="right"/>
              <w:rPr>
                <w:rFonts w:ascii="Arial" w:hAnsi="Arial" w:cs="Arial"/>
                <w:bCs/>
                <w:i/>
                <w:iCs/>
                <w:color w:val="000000"/>
                <w:sz w:val="18"/>
                <w:szCs w:val="18"/>
              </w:rPr>
            </w:pPr>
            <w:r>
              <w:rPr>
                <w:rFonts w:ascii="Arial" w:hAnsi="Arial" w:cs="Arial"/>
                <w:bCs/>
                <w:i/>
                <w:iCs/>
                <w:color w:val="000000"/>
                <w:sz w:val="18"/>
                <w:szCs w:val="18"/>
              </w:rPr>
              <w:t>-</w:t>
            </w:r>
          </w:p>
        </w:tc>
      </w:tr>
      <w:tr w:rsidR="00745A86" w:rsidRPr="00132437" w14:paraId="1B3DE487"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bottom"/>
          </w:tcPr>
          <w:p w14:paraId="7A303876" w14:textId="77777777" w:rsidR="00745A86" w:rsidRPr="00EC349E" w:rsidRDefault="00745A86" w:rsidP="00745A86">
            <w:pPr>
              <w:rPr>
                <w:rFonts w:ascii="Arial" w:hAnsi="Arial" w:cs="Arial"/>
                <w:bCs/>
                <w:i/>
                <w:color w:val="000000"/>
                <w:sz w:val="18"/>
                <w:szCs w:val="18"/>
                <w:lang w:eastAsia="es-AR"/>
              </w:rPr>
            </w:pPr>
            <w:r w:rsidRPr="00EC349E">
              <w:rPr>
                <w:rFonts w:ascii="Arial" w:hAnsi="Arial" w:cs="Arial"/>
                <w:i/>
                <w:sz w:val="18"/>
                <w:szCs w:val="18"/>
              </w:rPr>
              <w:t>Diferencia entre DDJJ y provisión del impuesto a las ganancias - ejercicios 2018/2017</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26F2F371" w14:textId="02B0DE4D" w:rsidR="00745A86" w:rsidRPr="00745A86" w:rsidRDefault="00745A86">
            <w:pPr>
              <w:jc w:val="right"/>
              <w:rPr>
                <w:rFonts w:ascii="Arial" w:hAnsi="Arial" w:cs="Arial"/>
                <w:bCs/>
                <w:i/>
                <w:color w:val="000000"/>
                <w:sz w:val="18"/>
                <w:szCs w:val="18"/>
                <w:lang w:eastAsia="es-AR"/>
              </w:rPr>
            </w:pPr>
            <w:r w:rsidRPr="006E1AF7">
              <w:rPr>
                <w:rFonts w:ascii="Arial" w:hAnsi="Arial" w:cs="Arial"/>
                <w:i/>
                <w:sz w:val="18"/>
                <w:szCs w:val="18"/>
              </w:rPr>
              <w:t xml:space="preserve"> 10.407 </w:t>
            </w:r>
          </w:p>
        </w:tc>
        <w:tc>
          <w:tcPr>
            <w:tcW w:w="1836" w:type="dxa"/>
            <w:tcBorders>
              <w:top w:val="single" w:sz="4" w:space="0" w:color="auto"/>
              <w:left w:val="nil"/>
              <w:bottom w:val="single" w:sz="4" w:space="0" w:color="auto"/>
              <w:right w:val="single" w:sz="4" w:space="0" w:color="auto"/>
            </w:tcBorders>
            <w:vAlign w:val="bottom"/>
          </w:tcPr>
          <w:p w14:paraId="74603592" w14:textId="47510E22" w:rsidR="00745A86" w:rsidRPr="00EC349E" w:rsidRDefault="00745A86" w:rsidP="00745A86">
            <w:pPr>
              <w:jc w:val="right"/>
              <w:rPr>
                <w:rFonts w:ascii="Arial" w:hAnsi="Arial" w:cs="Arial"/>
                <w:bCs/>
                <w:i/>
                <w:color w:val="000000"/>
                <w:sz w:val="18"/>
                <w:szCs w:val="18"/>
              </w:rPr>
            </w:pPr>
            <w:r w:rsidRPr="00EC349E">
              <w:rPr>
                <w:rFonts w:ascii="Arial" w:hAnsi="Arial" w:cs="Arial"/>
                <w:bCs/>
                <w:i/>
                <w:iCs/>
                <w:color w:val="000000"/>
                <w:sz w:val="18"/>
                <w:szCs w:val="18"/>
              </w:rPr>
              <w:t xml:space="preserve">30.205 </w:t>
            </w:r>
          </w:p>
        </w:tc>
      </w:tr>
      <w:tr w:rsidR="00BA29F2" w:rsidRPr="00132437" w14:paraId="44D0F371" w14:textId="77777777" w:rsidTr="00037C01">
        <w:trPr>
          <w:trHeight w:val="281"/>
        </w:trPr>
        <w:tc>
          <w:tcPr>
            <w:tcW w:w="4927" w:type="dxa"/>
            <w:tcBorders>
              <w:top w:val="single" w:sz="4" w:space="0" w:color="auto"/>
              <w:left w:val="single" w:sz="4" w:space="0" w:color="auto"/>
              <w:bottom w:val="single" w:sz="4" w:space="0" w:color="auto"/>
              <w:right w:val="nil"/>
            </w:tcBorders>
            <w:shd w:val="clear" w:color="auto" w:fill="auto"/>
            <w:vAlign w:val="center"/>
            <w:hideMark/>
          </w:tcPr>
          <w:p w14:paraId="3074C3B8" w14:textId="77777777" w:rsidR="00BA29F2" w:rsidRPr="00132437" w:rsidRDefault="00BA29F2" w:rsidP="00BA29F2">
            <w:pPr>
              <w:rPr>
                <w:rFonts w:ascii="Arial" w:hAnsi="Arial" w:cs="Arial"/>
                <w:b/>
                <w:bCs/>
                <w:color w:val="000000"/>
                <w:sz w:val="18"/>
                <w:szCs w:val="18"/>
                <w:lang w:eastAsia="es-AR"/>
              </w:rPr>
            </w:pPr>
            <w:r w:rsidRPr="00132437">
              <w:rPr>
                <w:rFonts w:ascii="Arial" w:hAnsi="Arial" w:cs="Arial"/>
                <w:b/>
                <w:bCs/>
                <w:color w:val="000000"/>
                <w:sz w:val="18"/>
                <w:szCs w:val="18"/>
                <w:lang w:eastAsia="es-AR"/>
              </w:rPr>
              <w:t>Total cargo por impuesto a las ganancias del ejercicio</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0A8537EC" w14:textId="0F11C990" w:rsidR="00BA29F2" w:rsidRPr="00EC349E" w:rsidRDefault="00745A86" w:rsidP="00BA29F2">
            <w:pPr>
              <w:jc w:val="right"/>
              <w:rPr>
                <w:rFonts w:ascii="Arial" w:hAnsi="Arial" w:cs="Arial"/>
                <w:b/>
                <w:bCs/>
                <w:color w:val="000000"/>
                <w:sz w:val="18"/>
                <w:szCs w:val="18"/>
                <w:lang w:eastAsia="es-AR"/>
              </w:rPr>
            </w:pPr>
            <w:r w:rsidRPr="00745A86">
              <w:rPr>
                <w:rFonts w:ascii="Arial" w:hAnsi="Arial" w:cs="Arial"/>
                <w:b/>
                <w:bCs/>
                <w:color w:val="000000"/>
                <w:sz w:val="18"/>
                <w:szCs w:val="18"/>
                <w:lang w:eastAsia="es-AR"/>
              </w:rPr>
              <w:t>-1.120.231</w:t>
            </w:r>
          </w:p>
        </w:tc>
        <w:tc>
          <w:tcPr>
            <w:tcW w:w="1836" w:type="dxa"/>
            <w:tcBorders>
              <w:top w:val="single" w:sz="4" w:space="0" w:color="auto"/>
              <w:left w:val="nil"/>
              <w:bottom w:val="single" w:sz="4" w:space="0" w:color="auto"/>
              <w:right w:val="single" w:sz="4" w:space="0" w:color="auto"/>
            </w:tcBorders>
            <w:vAlign w:val="bottom"/>
          </w:tcPr>
          <w:p w14:paraId="132C14CB" w14:textId="0B97FCCE" w:rsidR="00BA29F2" w:rsidRPr="00EC349E" w:rsidRDefault="00BA29F2" w:rsidP="00BA29F2">
            <w:pPr>
              <w:jc w:val="right"/>
              <w:rPr>
                <w:rFonts w:ascii="Arial" w:hAnsi="Arial" w:cs="Arial"/>
                <w:b/>
                <w:bCs/>
                <w:color w:val="000000"/>
                <w:sz w:val="18"/>
                <w:szCs w:val="18"/>
              </w:rPr>
            </w:pPr>
            <w:r w:rsidRPr="00132437">
              <w:rPr>
                <w:rFonts w:ascii="Arial" w:hAnsi="Arial" w:cs="Arial"/>
                <w:b/>
                <w:bCs/>
                <w:color w:val="000000"/>
                <w:sz w:val="18"/>
                <w:szCs w:val="18"/>
              </w:rPr>
              <w:t xml:space="preserve">387.270 </w:t>
            </w:r>
          </w:p>
        </w:tc>
      </w:tr>
      <w:tr w:rsidR="00745A86" w:rsidRPr="00132437" w14:paraId="1C05FC2A" w14:textId="77777777" w:rsidTr="006E1AF7">
        <w:trPr>
          <w:trHeight w:val="281"/>
        </w:trPr>
        <w:tc>
          <w:tcPr>
            <w:tcW w:w="4927" w:type="dxa"/>
            <w:tcBorders>
              <w:top w:val="nil"/>
              <w:left w:val="single" w:sz="4" w:space="0" w:color="auto"/>
              <w:bottom w:val="nil"/>
              <w:right w:val="nil"/>
            </w:tcBorders>
            <w:shd w:val="clear" w:color="auto" w:fill="auto"/>
            <w:vAlign w:val="center"/>
            <w:hideMark/>
          </w:tcPr>
          <w:p w14:paraId="1F181630" w14:textId="77777777" w:rsidR="00745A86" w:rsidRPr="00EC349E" w:rsidRDefault="00745A86" w:rsidP="00745A86">
            <w:pPr>
              <w:jc w:val="both"/>
              <w:rPr>
                <w:rFonts w:ascii="Arial" w:hAnsi="Arial" w:cs="Arial"/>
                <w:bCs/>
                <w:color w:val="000000"/>
                <w:sz w:val="18"/>
                <w:szCs w:val="18"/>
                <w:lang w:eastAsia="es-AR"/>
              </w:rPr>
            </w:pPr>
            <w:r w:rsidRPr="00132437">
              <w:rPr>
                <w:rFonts w:ascii="Arial" w:hAnsi="Arial" w:cs="Arial"/>
                <w:bCs/>
                <w:color w:val="000000"/>
                <w:sz w:val="18"/>
                <w:szCs w:val="18"/>
                <w:lang w:eastAsia="es-AR"/>
              </w:rPr>
              <w:t>-Diferencias temporarias a la tasa del impuesto</w:t>
            </w:r>
          </w:p>
        </w:tc>
        <w:tc>
          <w:tcPr>
            <w:tcW w:w="1836" w:type="dxa"/>
            <w:tcBorders>
              <w:top w:val="nil"/>
              <w:left w:val="single" w:sz="4" w:space="0" w:color="auto"/>
              <w:bottom w:val="nil"/>
              <w:right w:val="single" w:sz="4" w:space="0" w:color="auto"/>
            </w:tcBorders>
            <w:shd w:val="clear" w:color="auto" w:fill="auto"/>
            <w:vAlign w:val="bottom"/>
          </w:tcPr>
          <w:p w14:paraId="7A17E4A2" w14:textId="5B567093" w:rsidR="00745A86" w:rsidRPr="00745A86" w:rsidRDefault="00745A86">
            <w:pPr>
              <w:jc w:val="right"/>
              <w:rPr>
                <w:rFonts w:ascii="Arial" w:hAnsi="Arial" w:cs="Arial"/>
                <w:color w:val="000000"/>
                <w:sz w:val="18"/>
                <w:szCs w:val="18"/>
                <w:lang w:eastAsia="es-AR"/>
              </w:rPr>
            </w:pPr>
            <w:r w:rsidRPr="006E1AF7">
              <w:rPr>
                <w:rFonts w:ascii="Arial" w:hAnsi="Arial" w:cs="Arial"/>
                <w:sz w:val="18"/>
                <w:szCs w:val="18"/>
              </w:rPr>
              <w:t xml:space="preserve"> 26.339 </w:t>
            </w:r>
          </w:p>
        </w:tc>
        <w:tc>
          <w:tcPr>
            <w:tcW w:w="1836" w:type="dxa"/>
            <w:tcBorders>
              <w:top w:val="nil"/>
              <w:left w:val="nil"/>
              <w:bottom w:val="nil"/>
              <w:right w:val="single" w:sz="4" w:space="0" w:color="auto"/>
            </w:tcBorders>
            <w:vAlign w:val="bottom"/>
          </w:tcPr>
          <w:p w14:paraId="67B8D0D9" w14:textId="60CA2521" w:rsidR="00745A86" w:rsidRPr="005D4D38" w:rsidRDefault="00745A86" w:rsidP="00745A86">
            <w:pPr>
              <w:jc w:val="right"/>
              <w:rPr>
                <w:rFonts w:ascii="Arial" w:hAnsi="Arial" w:cs="Arial"/>
                <w:bCs/>
                <w:color w:val="000000"/>
                <w:sz w:val="18"/>
                <w:szCs w:val="18"/>
              </w:rPr>
            </w:pPr>
            <w:r w:rsidRPr="00EC349E">
              <w:rPr>
                <w:rFonts w:ascii="Arial" w:hAnsi="Arial" w:cs="Arial"/>
                <w:bCs/>
                <w:color w:val="000000"/>
                <w:sz w:val="18"/>
                <w:szCs w:val="18"/>
              </w:rPr>
              <w:t xml:space="preserve">36.492 </w:t>
            </w:r>
          </w:p>
        </w:tc>
      </w:tr>
      <w:tr w:rsidR="00745A86" w:rsidRPr="00132437" w14:paraId="72A20A17" w14:textId="77777777" w:rsidTr="006E1AF7">
        <w:trPr>
          <w:trHeight w:val="281"/>
        </w:trPr>
        <w:tc>
          <w:tcPr>
            <w:tcW w:w="4927" w:type="dxa"/>
            <w:tcBorders>
              <w:top w:val="nil"/>
              <w:left w:val="single" w:sz="4" w:space="0" w:color="auto"/>
              <w:bottom w:val="nil"/>
              <w:right w:val="nil"/>
            </w:tcBorders>
            <w:shd w:val="clear" w:color="auto" w:fill="auto"/>
            <w:vAlign w:val="center"/>
          </w:tcPr>
          <w:p w14:paraId="5D64E324" w14:textId="03FB4CC4" w:rsidR="00745A86" w:rsidRPr="00132437" w:rsidRDefault="00745A86" w:rsidP="00745A86">
            <w:pPr>
              <w:jc w:val="both"/>
              <w:rPr>
                <w:rFonts w:ascii="Arial" w:hAnsi="Arial" w:cs="Arial"/>
                <w:bCs/>
                <w:color w:val="000000"/>
                <w:sz w:val="18"/>
                <w:szCs w:val="18"/>
                <w:lang w:eastAsia="es-AR"/>
              </w:rPr>
            </w:pPr>
            <w:r>
              <w:rPr>
                <w:rFonts w:ascii="Arial" w:hAnsi="Arial" w:cs="Arial"/>
                <w:bCs/>
                <w:color w:val="000000"/>
                <w:sz w:val="18"/>
                <w:szCs w:val="18"/>
                <w:lang w:eastAsia="es-AR"/>
              </w:rPr>
              <w:t>- Ajuste por Inflación</w:t>
            </w:r>
          </w:p>
        </w:tc>
        <w:tc>
          <w:tcPr>
            <w:tcW w:w="1836" w:type="dxa"/>
            <w:tcBorders>
              <w:top w:val="nil"/>
              <w:left w:val="single" w:sz="4" w:space="0" w:color="auto"/>
              <w:bottom w:val="nil"/>
              <w:right w:val="single" w:sz="4" w:space="0" w:color="auto"/>
            </w:tcBorders>
            <w:shd w:val="clear" w:color="auto" w:fill="auto"/>
            <w:vAlign w:val="bottom"/>
          </w:tcPr>
          <w:p w14:paraId="026ABC4A" w14:textId="1E299A89" w:rsidR="00745A86" w:rsidRPr="00745A86" w:rsidRDefault="00745A86">
            <w:pPr>
              <w:jc w:val="right"/>
              <w:rPr>
                <w:rFonts w:ascii="Arial" w:hAnsi="Arial" w:cs="Arial"/>
                <w:color w:val="000000"/>
                <w:sz w:val="18"/>
                <w:szCs w:val="18"/>
                <w:lang w:eastAsia="es-AR"/>
              </w:rPr>
            </w:pPr>
            <w:r w:rsidRPr="006E1AF7">
              <w:rPr>
                <w:rFonts w:ascii="Arial" w:hAnsi="Arial" w:cs="Arial"/>
                <w:sz w:val="18"/>
                <w:szCs w:val="18"/>
              </w:rPr>
              <w:t xml:space="preserve"> 1.244.716 </w:t>
            </w:r>
          </w:p>
        </w:tc>
        <w:tc>
          <w:tcPr>
            <w:tcW w:w="1836" w:type="dxa"/>
            <w:tcBorders>
              <w:top w:val="nil"/>
              <w:left w:val="nil"/>
              <w:bottom w:val="nil"/>
              <w:right w:val="single" w:sz="4" w:space="0" w:color="auto"/>
            </w:tcBorders>
            <w:vAlign w:val="bottom"/>
          </w:tcPr>
          <w:p w14:paraId="53C61F0D" w14:textId="5ABCABE8" w:rsidR="00745A86" w:rsidRPr="00EC349E" w:rsidRDefault="00745A86" w:rsidP="00745A86">
            <w:pPr>
              <w:jc w:val="right"/>
              <w:rPr>
                <w:rFonts w:ascii="Arial" w:hAnsi="Arial" w:cs="Arial"/>
                <w:bCs/>
                <w:color w:val="000000"/>
                <w:sz w:val="18"/>
                <w:szCs w:val="18"/>
              </w:rPr>
            </w:pPr>
            <w:r>
              <w:rPr>
                <w:rFonts w:ascii="Arial" w:hAnsi="Arial" w:cs="Arial"/>
                <w:bCs/>
                <w:color w:val="000000"/>
                <w:sz w:val="18"/>
                <w:szCs w:val="18"/>
              </w:rPr>
              <w:t>-</w:t>
            </w:r>
          </w:p>
        </w:tc>
      </w:tr>
      <w:tr w:rsidR="00745A86" w:rsidRPr="00132437" w14:paraId="30076874" w14:textId="77777777" w:rsidTr="006E1AF7">
        <w:trPr>
          <w:trHeight w:val="281"/>
        </w:trPr>
        <w:tc>
          <w:tcPr>
            <w:tcW w:w="4927" w:type="dxa"/>
            <w:tcBorders>
              <w:top w:val="nil"/>
              <w:left w:val="single" w:sz="4" w:space="0" w:color="auto"/>
              <w:bottom w:val="nil"/>
              <w:right w:val="nil"/>
            </w:tcBorders>
            <w:shd w:val="clear" w:color="auto" w:fill="auto"/>
            <w:vAlign w:val="center"/>
          </w:tcPr>
          <w:p w14:paraId="2CA78EB5" w14:textId="77777777" w:rsidR="00745A86" w:rsidRPr="00EC349E" w:rsidRDefault="00745A86" w:rsidP="00745A86">
            <w:pPr>
              <w:ind w:left="5" w:hanging="5"/>
              <w:jc w:val="both"/>
              <w:rPr>
                <w:rFonts w:ascii="Arial" w:hAnsi="Arial" w:cs="Arial"/>
                <w:bCs/>
                <w:color w:val="000000"/>
                <w:sz w:val="18"/>
                <w:szCs w:val="18"/>
                <w:lang w:eastAsia="es-AR"/>
              </w:rPr>
            </w:pPr>
            <w:r w:rsidRPr="00132437">
              <w:rPr>
                <w:rFonts w:ascii="Arial" w:hAnsi="Arial" w:cs="Arial"/>
                <w:bCs/>
                <w:color w:val="000000"/>
                <w:sz w:val="18"/>
                <w:szCs w:val="18"/>
                <w:lang w:eastAsia="es-AR"/>
              </w:rPr>
              <w:t>-Diferencia entre DDJJ y provisión del impuesto a las ganancias</w:t>
            </w:r>
          </w:p>
        </w:tc>
        <w:tc>
          <w:tcPr>
            <w:tcW w:w="1836" w:type="dxa"/>
            <w:tcBorders>
              <w:top w:val="nil"/>
              <w:left w:val="single" w:sz="4" w:space="0" w:color="auto"/>
              <w:bottom w:val="nil"/>
              <w:right w:val="single" w:sz="4" w:space="0" w:color="auto"/>
            </w:tcBorders>
            <w:shd w:val="clear" w:color="auto" w:fill="auto"/>
            <w:vAlign w:val="bottom"/>
          </w:tcPr>
          <w:p w14:paraId="331A901E" w14:textId="3D1A3929" w:rsidR="00745A86" w:rsidRPr="00745A86" w:rsidRDefault="00745A86">
            <w:pPr>
              <w:jc w:val="right"/>
              <w:rPr>
                <w:rFonts w:ascii="Arial" w:hAnsi="Arial" w:cs="Arial"/>
                <w:color w:val="000000"/>
                <w:sz w:val="18"/>
                <w:szCs w:val="18"/>
                <w:lang w:eastAsia="es-AR"/>
              </w:rPr>
            </w:pPr>
            <w:r w:rsidRPr="006E1AF7">
              <w:rPr>
                <w:rFonts w:ascii="Arial" w:hAnsi="Arial" w:cs="Arial"/>
                <w:sz w:val="18"/>
                <w:szCs w:val="18"/>
              </w:rPr>
              <w:t xml:space="preserve"> 58.647 </w:t>
            </w:r>
          </w:p>
        </w:tc>
        <w:tc>
          <w:tcPr>
            <w:tcW w:w="1836" w:type="dxa"/>
            <w:tcBorders>
              <w:top w:val="nil"/>
              <w:left w:val="nil"/>
              <w:bottom w:val="nil"/>
              <w:right w:val="single" w:sz="4" w:space="0" w:color="auto"/>
            </w:tcBorders>
            <w:vAlign w:val="bottom"/>
          </w:tcPr>
          <w:p w14:paraId="4A0459DA" w14:textId="45FF48F7" w:rsidR="00745A86" w:rsidRDefault="00745A86" w:rsidP="00745A86">
            <w:pPr>
              <w:jc w:val="right"/>
              <w:rPr>
                <w:rFonts w:ascii="Arial" w:hAnsi="Arial" w:cs="Arial"/>
                <w:bCs/>
                <w:color w:val="000000"/>
                <w:sz w:val="18"/>
                <w:szCs w:val="18"/>
              </w:rPr>
            </w:pPr>
            <w:r w:rsidRPr="00EC349E">
              <w:rPr>
                <w:rFonts w:ascii="Arial" w:hAnsi="Arial" w:cs="Arial"/>
                <w:bCs/>
                <w:color w:val="000000"/>
                <w:sz w:val="18"/>
                <w:szCs w:val="18"/>
              </w:rPr>
              <w:t xml:space="preserve">-62.393 </w:t>
            </w:r>
          </w:p>
        </w:tc>
      </w:tr>
      <w:tr w:rsidR="00745A86" w:rsidRPr="006858A8" w14:paraId="559FCF2B" w14:textId="77777777" w:rsidTr="006E1AF7">
        <w:trPr>
          <w:trHeight w:val="281"/>
        </w:trPr>
        <w:tc>
          <w:tcPr>
            <w:tcW w:w="4927" w:type="dxa"/>
            <w:tcBorders>
              <w:top w:val="single" w:sz="4" w:space="0" w:color="auto"/>
              <w:left w:val="single" w:sz="4" w:space="0" w:color="auto"/>
              <w:bottom w:val="single" w:sz="4" w:space="0" w:color="auto"/>
              <w:right w:val="nil"/>
            </w:tcBorders>
            <w:shd w:val="clear" w:color="auto" w:fill="auto"/>
            <w:vAlign w:val="center"/>
            <w:hideMark/>
          </w:tcPr>
          <w:p w14:paraId="273EFAFD" w14:textId="77777777" w:rsidR="00745A86" w:rsidRPr="00EC349E" w:rsidRDefault="00745A86" w:rsidP="00745A86">
            <w:pPr>
              <w:jc w:val="both"/>
              <w:rPr>
                <w:rFonts w:ascii="Arial" w:hAnsi="Arial" w:cs="Arial"/>
                <w:b/>
                <w:bCs/>
                <w:color w:val="000000"/>
                <w:sz w:val="18"/>
                <w:szCs w:val="18"/>
                <w:lang w:eastAsia="es-AR"/>
              </w:rPr>
            </w:pPr>
            <w:r w:rsidRPr="00132437">
              <w:rPr>
                <w:rFonts w:ascii="Arial" w:hAnsi="Arial" w:cs="Arial"/>
                <w:b/>
                <w:bCs/>
                <w:color w:val="000000"/>
                <w:sz w:val="18"/>
                <w:szCs w:val="18"/>
                <w:lang w:eastAsia="es-AR"/>
              </w:rPr>
              <w:t>Impuesto a las ganancias a pagar</w:t>
            </w:r>
          </w:p>
        </w:tc>
        <w:tc>
          <w:tcPr>
            <w:tcW w:w="1836" w:type="dxa"/>
            <w:tcBorders>
              <w:top w:val="single" w:sz="4" w:space="0" w:color="auto"/>
              <w:left w:val="single" w:sz="4" w:space="0" w:color="auto"/>
              <w:bottom w:val="single" w:sz="4" w:space="0" w:color="auto"/>
              <w:right w:val="single" w:sz="4" w:space="0" w:color="auto"/>
            </w:tcBorders>
            <w:shd w:val="clear" w:color="auto" w:fill="auto"/>
            <w:vAlign w:val="bottom"/>
          </w:tcPr>
          <w:p w14:paraId="362F9560" w14:textId="320FA6FF" w:rsidR="00745A86" w:rsidRPr="00745A86" w:rsidRDefault="00745A86">
            <w:pPr>
              <w:jc w:val="right"/>
              <w:rPr>
                <w:rFonts w:ascii="Arial" w:hAnsi="Arial" w:cs="Arial"/>
                <w:b/>
                <w:bCs/>
                <w:color w:val="000000"/>
                <w:sz w:val="18"/>
                <w:szCs w:val="18"/>
                <w:lang w:eastAsia="es-AR"/>
              </w:rPr>
            </w:pPr>
            <w:r w:rsidRPr="006E1AF7">
              <w:rPr>
                <w:rFonts w:ascii="Arial" w:hAnsi="Arial" w:cs="Arial"/>
                <w:b/>
                <w:sz w:val="18"/>
                <w:szCs w:val="18"/>
              </w:rPr>
              <w:t xml:space="preserve"> 209.471 </w:t>
            </w:r>
          </w:p>
        </w:tc>
        <w:tc>
          <w:tcPr>
            <w:tcW w:w="1836" w:type="dxa"/>
            <w:tcBorders>
              <w:top w:val="single" w:sz="4" w:space="0" w:color="auto"/>
              <w:left w:val="nil"/>
              <w:bottom w:val="single" w:sz="4" w:space="0" w:color="auto"/>
              <w:right w:val="single" w:sz="4" w:space="0" w:color="auto"/>
            </w:tcBorders>
            <w:vAlign w:val="bottom"/>
          </w:tcPr>
          <w:p w14:paraId="772974CA" w14:textId="6D9F0DBC" w:rsidR="00745A86" w:rsidRPr="00132437" w:rsidRDefault="00745A86" w:rsidP="00745A86">
            <w:pPr>
              <w:jc w:val="right"/>
              <w:rPr>
                <w:rFonts w:ascii="Arial" w:hAnsi="Arial" w:cs="Arial"/>
                <w:b/>
                <w:bCs/>
                <w:sz w:val="18"/>
                <w:szCs w:val="18"/>
              </w:rPr>
            </w:pPr>
            <w:r w:rsidRPr="00132437">
              <w:rPr>
                <w:rFonts w:ascii="Arial" w:hAnsi="Arial" w:cs="Arial"/>
                <w:b/>
                <w:bCs/>
                <w:color w:val="000000"/>
                <w:sz w:val="18"/>
                <w:szCs w:val="18"/>
              </w:rPr>
              <w:t xml:space="preserve">361.368 </w:t>
            </w:r>
          </w:p>
        </w:tc>
      </w:tr>
    </w:tbl>
    <w:p w14:paraId="6EDB9755" w14:textId="77777777" w:rsidR="00BA29F2" w:rsidRPr="00740A38" w:rsidRDefault="00BA29F2" w:rsidP="00BA29F2">
      <w:pPr>
        <w:spacing w:after="160" w:line="259" w:lineRule="auto"/>
        <w:jc w:val="both"/>
        <w:rPr>
          <w:rFonts w:ascii="Arial" w:eastAsia="Calibri" w:hAnsi="Arial" w:cs="Arial"/>
          <w:b/>
          <w:bCs/>
          <w:sz w:val="20"/>
        </w:rPr>
      </w:pPr>
    </w:p>
    <w:p w14:paraId="79499B9A" w14:textId="0A2E59C6" w:rsidR="00BA29F2" w:rsidRPr="00740A38" w:rsidRDefault="00BA29F2" w:rsidP="00BA29F2">
      <w:pPr>
        <w:jc w:val="both"/>
        <w:rPr>
          <w:rFonts w:ascii="Arial" w:hAnsi="Arial" w:cs="Arial"/>
          <w:sz w:val="20"/>
        </w:rPr>
      </w:pPr>
      <w:r w:rsidRPr="00740A38">
        <w:rPr>
          <w:rFonts w:ascii="Arial" w:eastAsia="SimSun" w:hAnsi="Arial" w:cs="Arial"/>
          <w:sz w:val="20"/>
          <w:lang w:eastAsia="zh-CN"/>
        </w:rPr>
        <w:t>El movimiento en los activos y pasivos por el impuesto diferido al 31 de diciembre de 201</w:t>
      </w:r>
      <w:r>
        <w:rPr>
          <w:rFonts w:ascii="Arial" w:eastAsia="SimSun" w:hAnsi="Arial" w:cs="Arial"/>
          <w:sz w:val="20"/>
          <w:lang w:eastAsia="zh-CN"/>
        </w:rPr>
        <w:t>9</w:t>
      </w:r>
      <w:r w:rsidRPr="00740A38">
        <w:rPr>
          <w:rFonts w:ascii="Arial" w:eastAsia="SimSun" w:hAnsi="Arial" w:cs="Arial"/>
          <w:sz w:val="20"/>
          <w:lang w:eastAsia="zh-CN"/>
        </w:rPr>
        <w:t xml:space="preserve"> y 201</w:t>
      </w:r>
      <w:r>
        <w:rPr>
          <w:rFonts w:ascii="Arial" w:eastAsia="SimSun" w:hAnsi="Arial" w:cs="Arial"/>
          <w:sz w:val="20"/>
          <w:lang w:eastAsia="zh-CN"/>
        </w:rPr>
        <w:t>8</w:t>
      </w:r>
      <w:r w:rsidRPr="00740A38">
        <w:rPr>
          <w:rFonts w:ascii="Arial" w:eastAsia="SimSun" w:hAnsi="Arial" w:cs="Arial"/>
          <w:sz w:val="20"/>
          <w:lang w:eastAsia="zh-CN"/>
        </w:rPr>
        <w:t>, es el siguiente:</w:t>
      </w:r>
    </w:p>
    <w:p w14:paraId="17E34960" w14:textId="77777777" w:rsidR="00BA29F2" w:rsidRPr="00740A38" w:rsidRDefault="00BA29F2" w:rsidP="00BA29F2">
      <w:pPr>
        <w:jc w:val="both"/>
        <w:rPr>
          <w:rFonts w:ascii="Arial" w:hAnsi="Arial" w:cs="Arial"/>
          <w:sz w:val="20"/>
        </w:rPr>
      </w:pPr>
    </w:p>
    <w:tbl>
      <w:tblPr>
        <w:tblW w:w="8890" w:type="dxa"/>
        <w:tblInd w:w="80" w:type="dxa"/>
        <w:tblCellMar>
          <w:left w:w="70" w:type="dxa"/>
          <w:right w:w="70" w:type="dxa"/>
        </w:tblCellMar>
        <w:tblLook w:val="04A0" w:firstRow="1" w:lastRow="0" w:firstColumn="1" w:lastColumn="0" w:noHBand="0" w:noVBand="1"/>
      </w:tblPr>
      <w:tblGrid>
        <w:gridCol w:w="4174"/>
        <w:gridCol w:w="1442"/>
        <w:gridCol w:w="1008"/>
        <w:gridCol w:w="1051"/>
        <w:gridCol w:w="1215"/>
      </w:tblGrid>
      <w:tr w:rsidR="00BA29F2" w:rsidRPr="00132437" w14:paraId="7703D722" w14:textId="77777777" w:rsidTr="000D4B29">
        <w:trPr>
          <w:trHeight w:val="1204"/>
          <w:tblHeader/>
        </w:trPr>
        <w:tc>
          <w:tcPr>
            <w:tcW w:w="417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582A70B" w14:textId="77777777" w:rsidR="00BA29F2" w:rsidRPr="00132437" w:rsidRDefault="00BA29F2" w:rsidP="00BA29F2">
            <w:pPr>
              <w:jc w:val="center"/>
              <w:rPr>
                <w:rFonts w:ascii="Arial" w:hAnsi="Arial" w:cs="Arial"/>
                <w:b/>
                <w:bCs/>
                <w:color w:val="000000"/>
                <w:sz w:val="18"/>
                <w:szCs w:val="18"/>
                <w:lang w:eastAsia="es-AR"/>
              </w:rPr>
            </w:pPr>
            <w:r w:rsidRPr="00132437">
              <w:rPr>
                <w:rFonts w:ascii="Arial" w:hAnsi="Arial" w:cs="Arial"/>
                <w:b/>
                <w:bCs/>
                <w:color w:val="000000"/>
                <w:sz w:val="18"/>
                <w:szCs w:val="18"/>
                <w:lang w:eastAsia="es-AR"/>
              </w:rPr>
              <w:t>Detalle</w:t>
            </w:r>
          </w:p>
        </w:tc>
        <w:tc>
          <w:tcPr>
            <w:tcW w:w="1442" w:type="dxa"/>
            <w:tcBorders>
              <w:top w:val="single" w:sz="8" w:space="0" w:color="auto"/>
              <w:left w:val="nil"/>
              <w:bottom w:val="single" w:sz="8" w:space="0" w:color="auto"/>
              <w:right w:val="single" w:sz="4" w:space="0" w:color="auto"/>
            </w:tcBorders>
            <w:shd w:val="clear" w:color="auto" w:fill="auto"/>
            <w:vAlign w:val="center"/>
            <w:hideMark/>
          </w:tcPr>
          <w:p w14:paraId="40055F97" w14:textId="77777777" w:rsidR="000B1093" w:rsidRDefault="00BA29F2" w:rsidP="00BA29F2">
            <w:pPr>
              <w:jc w:val="center"/>
              <w:rPr>
                <w:rFonts w:ascii="Arial" w:hAnsi="Arial" w:cs="Arial"/>
                <w:b/>
                <w:bCs/>
                <w:color w:val="000000"/>
                <w:sz w:val="18"/>
                <w:szCs w:val="18"/>
                <w:lang w:eastAsia="es-AR"/>
              </w:rPr>
            </w:pPr>
            <w:r w:rsidRPr="00132437">
              <w:rPr>
                <w:rFonts w:ascii="Arial" w:hAnsi="Arial" w:cs="Arial"/>
                <w:b/>
                <w:bCs/>
                <w:color w:val="000000"/>
                <w:sz w:val="18"/>
                <w:szCs w:val="18"/>
                <w:lang w:eastAsia="es-AR"/>
              </w:rPr>
              <w:t xml:space="preserve">Impuesto Diferido </w:t>
            </w:r>
          </w:p>
          <w:p w14:paraId="004F0932" w14:textId="65B772CD" w:rsidR="00BA29F2" w:rsidRPr="00132437" w:rsidRDefault="00BA29F2" w:rsidP="00BA29F2">
            <w:pPr>
              <w:jc w:val="center"/>
              <w:rPr>
                <w:rFonts w:ascii="Arial" w:hAnsi="Arial" w:cs="Arial"/>
                <w:b/>
                <w:bCs/>
                <w:color w:val="000000"/>
                <w:sz w:val="18"/>
                <w:szCs w:val="18"/>
                <w:lang w:eastAsia="es-AR"/>
              </w:rPr>
            </w:pPr>
            <w:r w:rsidRPr="00132437">
              <w:rPr>
                <w:rFonts w:ascii="Arial" w:hAnsi="Arial" w:cs="Arial"/>
                <w:b/>
                <w:bCs/>
                <w:color w:val="000000"/>
                <w:sz w:val="18"/>
                <w:szCs w:val="18"/>
                <w:lang w:eastAsia="es-AR"/>
              </w:rPr>
              <w:t>31-12-201</w:t>
            </w:r>
            <w:r>
              <w:rPr>
                <w:rFonts w:ascii="Arial" w:hAnsi="Arial" w:cs="Arial"/>
                <w:b/>
                <w:bCs/>
                <w:color w:val="000000"/>
                <w:sz w:val="18"/>
                <w:szCs w:val="18"/>
                <w:lang w:eastAsia="es-AR"/>
              </w:rPr>
              <w:t>8</w:t>
            </w:r>
          </w:p>
        </w:tc>
        <w:tc>
          <w:tcPr>
            <w:tcW w:w="1008" w:type="dxa"/>
            <w:tcBorders>
              <w:top w:val="single" w:sz="8" w:space="0" w:color="auto"/>
              <w:left w:val="nil"/>
              <w:bottom w:val="single" w:sz="8" w:space="0" w:color="auto"/>
              <w:right w:val="single" w:sz="4" w:space="0" w:color="auto"/>
            </w:tcBorders>
            <w:shd w:val="clear" w:color="auto" w:fill="auto"/>
            <w:vAlign w:val="center"/>
            <w:hideMark/>
          </w:tcPr>
          <w:p w14:paraId="73207F7B" w14:textId="77777777" w:rsidR="00BA29F2" w:rsidRPr="00132437" w:rsidRDefault="00BA29F2" w:rsidP="00BA29F2">
            <w:pPr>
              <w:jc w:val="center"/>
              <w:rPr>
                <w:rFonts w:ascii="Arial" w:hAnsi="Arial" w:cs="Arial"/>
                <w:b/>
                <w:bCs/>
                <w:color w:val="000000"/>
                <w:sz w:val="18"/>
                <w:szCs w:val="18"/>
                <w:lang w:eastAsia="es-AR"/>
              </w:rPr>
            </w:pPr>
            <w:r w:rsidRPr="00132437">
              <w:rPr>
                <w:rFonts w:ascii="Arial" w:hAnsi="Arial" w:cs="Arial"/>
                <w:b/>
                <w:bCs/>
                <w:color w:val="000000"/>
                <w:sz w:val="18"/>
                <w:szCs w:val="18"/>
                <w:lang w:eastAsia="es-AR"/>
              </w:rPr>
              <w:t>Cargo Imputado a resultado</w:t>
            </w:r>
          </w:p>
        </w:tc>
        <w:tc>
          <w:tcPr>
            <w:tcW w:w="1051" w:type="dxa"/>
            <w:tcBorders>
              <w:top w:val="single" w:sz="8" w:space="0" w:color="auto"/>
              <w:left w:val="nil"/>
              <w:bottom w:val="single" w:sz="8" w:space="0" w:color="auto"/>
              <w:right w:val="single" w:sz="4" w:space="0" w:color="auto"/>
            </w:tcBorders>
            <w:shd w:val="clear" w:color="auto" w:fill="auto"/>
            <w:vAlign w:val="center"/>
            <w:hideMark/>
          </w:tcPr>
          <w:p w14:paraId="40C773FE" w14:textId="77777777" w:rsidR="00BA29F2" w:rsidRPr="00132437" w:rsidRDefault="00BA29F2" w:rsidP="00BA29F2">
            <w:pPr>
              <w:jc w:val="center"/>
              <w:rPr>
                <w:rFonts w:ascii="Arial" w:hAnsi="Arial" w:cs="Arial"/>
                <w:b/>
                <w:bCs/>
                <w:color w:val="000000"/>
                <w:sz w:val="18"/>
                <w:szCs w:val="18"/>
                <w:lang w:eastAsia="es-AR"/>
              </w:rPr>
            </w:pPr>
            <w:r w:rsidRPr="00132437">
              <w:rPr>
                <w:rFonts w:ascii="Arial" w:hAnsi="Arial" w:cs="Arial"/>
                <w:b/>
                <w:bCs/>
                <w:color w:val="000000"/>
                <w:sz w:val="18"/>
                <w:szCs w:val="18"/>
                <w:lang w:eastAsia="es-AR"/>
              </w:rPr>
              <w:t>Cargo Imputado a otros resultados integrales</w:t>
            </w:r>
          </w:p>
        </w:tc>
        <w:tc>
          <w:tcPr>
            <w:tcW w:w="1215" w:type="dxa"/>
            <w:tcBorders>
              <w:top w:val="single" w:sz="8" w:space="0" w:color="auto"/>
              <w:left w:val="nil"/>
              <w:bottom w:val="single" w:sz="8" w:space="0" w:color="auto"/>
              <w:right w:val="single" w:sz="8" w:space="0" w:color="auto"/>
            </w:tcBorders>
            <w:shd w:val="clear" w:color="auto" w:fill="auto"/>
            <w:vAlign w:val="center"/>
            <w:hideMark/>
          </w:tcPr>
          <w:p w14:paraId="3EB9A520" w14:textId="77777777" w:rsidR="00BA29F2" w:rsidRDefault="00BA29F2" w:rsidP="00BA29F2">
            <w:pPr>
              <w:jc w:val="center"/>
              <w:rPr>
                <w:rFonts w:ascii="Arial" w:hAnsi="Arial" w:cs="Arial"/>
                <w:b/>
                <w:bCs/>
                <w:color w:val="000000"/>
                <w:sz w:val="18"/>
                <w:szCs w:val="18"/>
                <w:lang w:eastAsia="es-AR"/>
              </w:rPr>
            </w:pPr>
            <w:r w:rsidRPr="00132437">
              <w:rPr>
                <w:rFonts w:ascii="Arial" w:hAnsi="Arial" w:cs="Arial"/>
                <w:b/>
                <w:bCs/>
                <w:color w:val="000000"/>
                <w:sz w:val="18"/>
                <w:szCs w:val="18"/>
                <w:lang w:eastAsia="es-AR"/>
              </w:rPr>
              <w:t xml:space="preserve">Impuesto Diferido  </w:t>
            </w:r>
          </w:p>
          <w:p w14:paraId="73008BE5" w14:textId="41921F68" w:rsidR="00BA29F2" w:rsidRPr="00132437" w:rsidRDefault="00BA29F2" w:rsidP="00BA29F2">
            <w:pPr>
              <w:jc w:val="center"/>
              <w:rPr>
                <w:rFonts w:ascii="Arial" w:hAnsi="Arial" w:cs="Arial"/>
                <w:b/>
                <w:bCs/>
                <w:color w:val="000000"/>
                <w:sz w:val="18"/>
                <w:szCs w:val="18"/>
                <w:lang w:eastAsia="es-AR"/>
              </w:rPr>
            </w:pPr>
            <w:r w:rsidRPr="00132437">
              <w:rPr>
                <w:rFonts w:ascii="Arial" w:hAnsi="Arial" w:cs="Arial"/>
                <w:b/>
                <w:bCs/>
                <w:color w:val="000000"/>
                <w:sz w:val="18"/>
                <w:szCs w:val="18"/>
                <w:lang w:eastAsia="es-AR"/>
              </w:rPr>
              <w:t>31-12-201</w:t>
            </w:r>
            <w:r>
              <w:rPr>
                <w:rFonts w:ascii="Arial" w:hAnsi="Arial" w:cs="Arial"/>
                <w:b/>
                <w:bCs/>
                <w:color w:val="000000"/>
                <w:sz w:val="18"/>
                <w:szCs w:val="18"/>
                <w:lang w:eastAsia="es-AR"/>
              </w:rPr>
              <w:t>9</w:t>
            </w:r>
          </w:p>
        </w:tc>
      </w:tr>
      <w:tr w:rsidR="000D4B29" w:rsidRPr="00132437" w14:paraId="39501A49"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696138CC"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Amparos</w:t>
            </w:r>
          </w:p>
        </w:tc>
        <w:tc>
          <w:tcPr>
            <w:tcW w:w="1442" w:type="dxa"/>
            <w:tcBorders>
              <w:top w:val="nil"/>
              <w:left w:val="nil"/>
              <w:bottom w:val="single" w:sz="4" w:space="0" w:color="auto"/>
              <w:right w:val="single" w:sz="4" w:space="0" w:color="auto"/>
            </w:tcBorders>
            <w:shd w:val="clear" w:color="auto" w:fill="auto"/>
            <w:noWrap/>
            <w:vAlign w:val="bottom"/>
            <w:hideMark/>
          </w:tcPr>
          <w:p w14:paraId="51CCD747" w14:textId="7272987F" w:rsidR="000D4B29" w:rsidRPr="00132437" w:rsidRDefault="000D4B29">
            <w:pPr>
              <w:jc w:val="right"/>
              <w:rPr>
                <w:rFonts w:ascii="Arial" w:hAnsi="Arial" w:cs="Arial"/>
                <w:color w:val="000000"/>
                <w:sz w:val="18"/>
                <w:szCs w:val="18"/>
                <w:lang w:val="es-ES_tradnl" w:eastAsia="es-AR"/>
              </w:rPr>
            </w:pPr>
            <w:r w:rsidRPr="00132437">
              <w:rPr>
                <w:rFonts w:ascii="Arial" w:hAnsi="Arial" w:cs="Arial"/>
                <w:color w:val="000000"/>
                <w:sz w:val="18"/>
                <w:szCs w:val="18"/>
                <w:lang w:eastAsia="es-AR"/>
              </w:rPr>
              <w:t>269</w:t>
            </w:r>
          </w:p>
        </w:tc>
        <w:tc>
          <w:tcPr>
            <w:tcW w:w="1008" w:type="dxa"/>
            <w:tcBorders>
              <w:top w:val="nil"/>
              <w:left w:val="nil"/>
              <w:bottom w:val="single" w:sz="4" w:space="0" w:color="auto"/>
              <w:right w:val="single" w:sz="4" w:space="0" w:color="auto"/>
            </w:tcBorders>
            <w:shd w:val="clear" w:color="auto" w:fill="auto"/>
            <w:noWrap/>
            <w:vAlign w:val="bottom"/>
          </w:tcPr>
          <w:p w14:paraId="3A6BB195" w14:textId="3D3BEC61"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638</w:t>
            </w:r>
          </w:p>
        </w:tc>
        <w:tc>
          <w:tcPr>
            <w:tcW w:w="1051" w:type="dxa"/>
            <w:tcBorders>
              <w:top w:val="nil"/>
              <w:left w:val="nil"/>
              <w:bottom w:val="single" w:sz="4" w:space="0" w:color="auto"/>
              <w:right w:val="single" w:sz="4" w:space="0" w:color="auto"/>
            </w:tcBorders>
            <w:shd w:val="clear" w:color="auto" w:fill="auto"/>
            <w:noWrap/>
            <w:vAlign w:val="bottom"/>
          </w:tcPr>
          <w:p w14:paraId="50888575" w14:textId="691FBDE5"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single" w:sz="4" w:space="0" w:color="auto"/>
              <w:left w:val="nil"/>
              <w:bottom w:val="single" w:sz="4" w:space="0" w:color="auto"/>
              <w:right w:val="single" w:sz="8" w:space="0" w:color="auto"/>
            </w:tcBorders>
            <w:shd w:val="clear" w:color="auto" w:fill="auto"/>
            <w:noWrap/>
            <w:vAlign w:val="bottom"/>
          </w:tcPr>
          <w:p w14:paraId="2074BBAA" w14:textId="78855760"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907</w:t>
            </w:r>
          </w:p>
        </w:tc>
      </w:tr>
      <w:tr w:rsidR="000D4B29" w:rsidRPr="00132437" w14:paraId="6191EE46"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0BA89DA2"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Gastos Organización y desarrollo</w:t>
            </w:r>
          </w:p>
        </w:tc>
        <w:tc>
          <w:tcPr>
            <w:tcW w:w="1442" w:type="dxa"/>
            <w:tcBorders>
              <w:top w:val="nil"/>
              <w:left w:val="nil"/>
              <w:bottom w:val="single" w:sz="4" w:space="0" w:color="auto"/>
              <w:right w:val="single" w:sz="4" w:space="0" w:color="auto"/>
            </w:tcBorders>
            <w:shd w:val="clear" w:color="auto" w:fill="auto"/>
            <w:noWrap/>
            <w:vAlign w:val="bottom"/>
            <w:hideMark/>
          </w:tcPr>
          <w:p w14:paraId="5EB3F95C" w14:textId="30D36B1B" w:rsidR="000D4B29" w:rsidRPr="00132437" w:rsidRDefault="000D4B29">
            <w:pPr>
              <w:jc w:val="right"/>
              <w:rPr>
                <w:rFonts w:ascii="Arial" w:hAnsi="Arial" w:cs="Arial"/>
                <w:color w:val="000000"/>
                <w:sz w:val="18"/>
                <w:szCs w:val="18"/>
                <w:lang w:val="es-ES_tradnl" w:eastAsia="es-AR"/>
              </w:rPr>
            </w:pPr>
            <w:r w:rsidRPr="00132437">
              <w:rPr>
                <w:rFonts w:ascii="Arial" w:hAnsi="Arial" w:cs="Arial"/>
                <w:color w:val="000000"/>
                <w:sz w:val="18"/>
                <w:szCs w:val="18"/>
                <w:lang w:eastAsia="es-AR"/>
              </w:rPr>
              <w:t>-34.606</w:t>
            </w:r>
          </w:p>
        </w:tc>
        <w:tc>
          <w:tcPr>
            <w:tcW w:w="1008" w:type="dxa"/>
            <w:tcBorders>
              <w:top w:val="nil"/>
              <w:left w:val="nil"/>
              <w:bottom w:val="single" w:sz="4" w:space="0" w:color="auto"/>
              <w:right w:val="single" w:sz="4" w:space="0" w:color="auto"/>
            </w:tcBorders>
            <w:shd w:val="clear" w:color="auto" w:fill="auto"/>
            <w:noWrap/>
            <w:vAlign w:val="bottom"/>
          </w:tcPr>
          <w:p w14:paraId="39723063" w14:textId="7A86721B"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-14.722</w:t>
            </w:r>
          </w:p>
        </w:tc>
        <w:tc>
          <w:tcPr>
            <w:tcW w:w="1051" w:type="dxa"/>
            <w:tcBorders>
              <w:top w:val="nil"/>
              <w:left w:val="nil"/>
              <w:bottom w:val="single" w:sz="4" w:space="0" w:color="auto"/>
              <w:right w:val="single" w:sz="4" w:space="0" w:color="auto"/>
            </w:tcBorders>
            <w:shd w:val="clear" w:color="auto" w:fill="auto"/>
            <w:noWrap/>
            <w:vAlign w:val="bottom"/>
          </w:tcPr>
          <w:p w14:paraId="6CB72A5E" w14:textId="7C333497"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nil"/>
              <w:left w:val="nil"/>
              <w:bottom w:val="single" w:sz="4" w:space="0" w:color="auto"/>
              <w:right w:val="single" w:sz="8" w:space="0" w:color="auto"/>
            </w:tcBorders>
            <w:shd w:val="clear" w:color="auto" w:fill="auto"/>
            <w:noWrap/>
            <w:vAlign w:val="bottom"/>
          </w:tcPr>
          <w:p w14:paraId="49E14146" w14:textId="5B5C6634"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-49.328</w:t>
            </w:r>
          </w:p>
        </w:tc>
      </w:tr>
      <w:tr w:rsidR="000D4B29" w:rsidRPr="00132437" w14:paraId="36E8E6A1"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366ED716"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Intangibles</w:t>
            </w:r>
          </w:p>
        </w:tc>
        <w:tc>
          <w:tcPr>
            <w:tcW w:w="1442" w:type="dxa"/>
            <w:tcBorders>
              <w:top w:val="nil"/>
              <w:left w:val="nil"/>
              <w:bottom w:val="single" w:sz="4" w:space="0" w:color="auto"/>
              <w:right w:val="single" w:sz="4" w:space="0" w:color="auto"/>
            </w:tcBorders>
            <w:shd w:val="clear" w:color="auto" w:fill="auto"/>
            <w:noWrap/>
            <w:vAlign w:val="bottom"/>
            <w:hideMark/>
          </w:tcPr>
          <w:p w14:paraId="553E30CC" w14:textId="337E6364" w:rsidR="000D4B29" w:rsidRPr="00132437" w:rsidRDefault="000D4B29">
            <w:pPr>
              <w:jc w:val="right"/>
              <w:rPr>
                <w:rFonts w:ascii="Arial" w:hAnsi="Arial" w:cs="Arial"/>
                <w:color w:val="000000"/>
                <w:sz w:val="18"/>
                <w:szCs w:val="18"/>
                <w:lang w:val="es-ES_tradnl" w:eastAsia="es-AR"/>
              </w:rPr>
            </w:pPr>
            <w:r w:rsidRPr="00132437">
              <w:rPr>
                <w:rFonts w:ascii="Arial" w:hAnsi="Arial" w:cs="Arial"/>
                <w:color w:val="000000"/>
                <w:sz w:val="18"/>
                <w:szCs w:val="18"/>
                <w:lang w:eastAsia="es-AR"/>
              </w:rPr>
              <w:t>-15.985</w:t>
            </w:r>
          </w:p>
        </w:tc>
        <w:tc>
          <w:tcPr>
            <w:tcW w:w="1008" w:type="dxa"/>
            <w:tcBorders>
              <w:top w:val="nil"/>
              <w:left w:val="nil"/>
              <w:bottom w:val="single" w:sz="4" w:space="0" w:color="auto"/>
              <w:right w:val="single" w:sz="4" w:space="0" w:color="auto"/>
            </w:tcBorders>
            <w:shd w:val="clear" w:color="auto" w:fill="auto"/>
            <w:noWrap/>
            <w:vAlign w:val="bottom"/>
          </w:tcPr>
          <w:p w14:paraId="4DE2D8BA" w14:textId="0E9E2453"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3.823</w:t>
            </w:r>
          </w:p>
        </w:tc>
        <w:tc>
          <w:tcPr>
            <w:tcW w:w="1051" w:type="dxa"/>
            <w:tcBorders>
              <w:top w:val="nil"/>
              <w:left w:val="nil"/>
              <w:bottom w:val="single" w:sz="4" w:space="0" w:color="auto"/>
              <w:right w:val="single" w:sz="4" w:space="0" w:color="auto"/>
            </w:tcBorders>
            <w:shd w:val="clear" w:color="auto" w:fill="auto"/>
            <w:noWrap/>
            <w:vAlign w:val="bottom"/>
          </w:tcPr>
          <w:p w14:paraId="12A13083" w14:textId="469E53FF"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nil"/>
              <w:left w:val="nil"/>
              <w:bottom w:val="single" w:sz="4" w:space="0" w:color="auto"/>
              <w:right w:val="single" w:sz="8" w:space="0" w:color="auto"/>
            </w:tcBorders>
            <w:shd w:val="clear" w:color="auto" w:fill="auto"/>
            <w:noWrap/>
            <w:vAlign w:val="bottom"/>
          </w:tcPr>
          <w:p w14:paraId="4CCEDC5E" w14:textId="557F3F86"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-12.162</w:t>
            </w:r>
          </w:p>
        </w:tc>
      </w:tr>
      <w:tr w:rsidR="000D4B29" w:rsidRPr="00132437" w14:paraId="0D715827"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5D1F373D"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Otros</w:t>
            </w:r>
          </w:p>
        </w:tc>
        <w:tc>
          <w:tcPr>
            <w:tcW w:w="1442" w:type="dxa"/>
            <w:tcBorders>
              <w:top w:val="nil"/>
              <w:left w:val="nil"/>
              <w:bottom w:val="single" w:sz="4" w:space="0" w:color="auto"/>
              <w:right w:val="single" w:sz="4" w:space="0" w:color="auto"/>
            </w:tcBorders>
            <w:shd w:val="clear" w:color="auto" w:fill="auto"/>
            <w:noWrap/>
            <w:vAlign w:val="bottom"/>
            <w:hideMark/>
          </w:tcPr>
          <w:p w14:paraId="11970DD5" w14:textId="5C0D24D0" w:rsidR="000D4B29" w:rsidRPr="00132437" w:rsidRDefault="000D4B29">
            <w:pPr>
              <w:jc w:val="right"/>
              <w:rPr>
                <w:rFonts w:ascii="Arial" w:hAnsi="Arial" w:cs="Arial"/>
                <w:color w:val="000000"/>
                <w:sz w:val="18"/>
                <w:szCs w:val="18"/>
                <w:lang w:val="es-ES_tradnl" w:eastAsia="es-AR"/>
              </w:rPr>
            </w:pPr>
            <w:r w:rsidRPr="00132437">
              <w:rPr>
                <w:rFonts w:ascii="Arial" w:hAnsi="Arial" w:cs="Arial"/>
                <w:color w:val="000000"/>
                <w:sz w:val="18"/>
                <w:szCs w:val="18"/>
                <w:lang w:eastAsia="es-AR"/>
              </w:rPr>
              <w:t>8.559</w:t>
            </w:r>
          </w:p>
        </w:tc>
        <w:tc>
          <w:tcPr>
            <w:tcW w:w="1008" w:type="dxa"/>
            <w:tcBorders>
              <w:top w:val="nil"/>
              <w:left w:val="nil"/>
              <w:bottom w:val="single" w:sz="4" w:space="0" w:color="auto"/>
              <w:right w:val="single" w:sz="4" w:space="0" w:color="auto"/>
            </w:tcBorders>
            <w:shd w:val="clear" w:color="auto" w:fill="auto"/>
            <w:noWrap/>
            <w:vAlign w:val="bottom"/>
          </w:tcPr>
          <w:p w14:paraId="6AFA62B8" w14:textId="6DBCA2A4"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-8.903</w:t>
            </w:r>
          </w:p>
        </w:tc>
        <w:tc>
          <w:tcPr>
            <w:tcW w:w="1051" w:type="dxa"/>
            <w:tcBorders>
              <w:top w:val="nil"/>
              <w:left w:val="nil"/>
              <w:bottom w:val="single" w:sz="4" w:space="0" w:color="auto"/>
              <w:right w:val="single" w:sz="4" w:space="0" w:color="auto"/>
            </w:tcBorders>
            <w:shd w:val="clear" w:color="auto" w:fill="auto"/>
            <w:noWrap/>
            <w:vAlign w:val="bottom"/>
          </w:tcPr>
          <w:p w14:paraId="22AA0B7B" w14:textId="52DD4B7E"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nil"/>
              <w:left w:val="nil"/>
              <w:bottom w:val="single" w:sz="4" w:space="0" w:color="auto"/>
              <w:right w:val="single" w:sz="8" w:space="0" w:color="auto"/>
            </w:tcBorders>
            <w:shd w:val="clear" w:color="auto" w:fill="auto"/>
            <w:noWrap/>
            <w:vAlign w:val="bottom"/>
          </w:tcPr>
          <w:p w14:paraId="7087310B" w14:textId="1343CB6A"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-344</w:t>
            </w:r>
          </w:p>
        </w:tc>
      </w:tr>
      <w:tr w:rsidR="000D4B29" w:rsidRPr="00132437" w14:paraId="27894648"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504F8C09"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Planes de Retiro</w:t>
            </w:r>
          </w:p>
        </w:tc>
        <w:tc>
          <w:tcPr>
            <w:tcW w:w="1442" w:type="dxa"/>
            <w:tcBorders>
              <w:top w:val="nil"/>
              <w:left w:val="nil"/>
              <w:bottom w:val="single" w:sz="4" w:space="0" w:color="auto"/>
              <w:right w:val="single" w:sz="4" w:space="0" w:color="auto"/>
            </w:tcBorders>
            <w:shd w:val="clear" w:color="auto" w:fill="auto"/>
            <w:noWrap/>
            <w:vAlign w:val="bottom"/>
            <w:hideMark/>
          </w:tcPr>
          <w:p w14:paraId="16BC1422" w14:textId="59A90B7C" w:rsidR="000D4B29" w:rsidRPr="00132437" w:rsidRDefault="000D4B29">
            <w:pPr>
              <w:jc w:val="right"/>
              <w:rPr>
                <w:rFonts w:ascii="Arial" w:hAnsi="Arial" w:cs="Arial"/>
                <w:color w:val="000000"/>
                <w:sz w:val="18"/>
                <w:szCs w:val="18"/>
                <w:lang w:val="es-ES_tradnl" w:eastAsia="es-AR"/>
              </w:rPr>
            </w:pPr>
            <w:r w:rsidRPr="00132437">
              <w:rPr>
                <w:rFonts w:ascii="Arial" w:hAnsi="Arial" w:cs="Arial"/>
                <w:color w:val="000000"/>
                <w:sz w:val="18"/>
                <w:szCs w:val="18"/>
                <w:lang w:eastAsia="es-AR"/>
              </w:rPr>
              <w:t>57.509</w:t>
            </w:r>
          </w:p>
        </w:tc>
        <w:tc>
          <w:tcPr>
            <w:tcW w:w="1008" w:type="dxa"/>
            <w:tcBorders>
              <w:top w:val="nil"/>
              <w:left w:val="nil"/>
              <w:bottom w:val="single" w:sz="4" w:space="0" w:color="auto"/>
              <w:right w:val="single" w:sz="4" w:space="0" w:color="auto"/>
            </w:tcBorders>
            <w:shd w:val="clear" w:color="auto" w:fill="auto"/>
            <w:noWrap/>
            <w:vAlign w:val="bottom"/>
          </w:tcPr>
          <w:p w14:paraId="485D0E2E" w14:textId="54C099BC"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26.956</w:t>
            </w:r>
          </w:p>
        </w:tc>
        <w:tc>
          <w:tcPr>
            <w:tcW w:w="1051" w:type="dxa"/>
            <w:tcBorders>
              <w:top w:val="nil"/>
              <w:left w:val="nil"/>
              <w:bottom w:val="single" w:sz="4" w:space="0" w:color="auto"/>
              <w:right w:val="single" w:sz="4" w:space="0" w:color="auto"/>
            </w:tcBorders>
            <w:shd w:val="clear" w:color="auto" w:fill="auto"/>
            <w:noWrap/>
            <w:vAlign w:val="bottom"/>
          </w:tcPr>
          <w:p w14:paraId="34F5CC89" w14:textId="757183B5"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nil"/>
              <w:left w:val="nil"/>
              <w:bottom w:val="single" w:sz="4" w:space="0" w:color="auto"/>
              <w:right w:val="single" w:sz="8" w:space="0" w:color="auto"/>
            </w:tcBorders>
            <w:shd w:val="clear" w:color="auto" w:fill="auto"/>
            <w:noWrap/>
            <w:vAlign w:val="bottom"/>
          </w:tcPr>
          <w:p w14:paraId="54B464BB" w14:textId="2E35A6C1"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84.465</w:t>
            </w:r>
          </w:p>
        </w:tc>
      </w:tr>
      <w:tr w:rsidR="000D4B29" w:rsidRPr="00132437" w14:paraId="71331C8C"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585A04A8"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Prev. Compromisos Eventuales</w:t>
            </w:r>
          </w:p>
        </w:tc>
        <w:tc>
          <w:tcPr>
            <w:tcW w:w="1442" w:type="dxa"/>
            <w:tcBorders>
              <w:top w:val="nil"/>
              <w:left w:val="nil"/>
              <w:bottom w:val="single" w:sz="4" w:space="0" w:color="auto"/>
              <w:right w:val="single" w:sz="4" w:space="0" w:color="auto"/>
            </w:tcBorders>
            <w:shd w:val="clear" w:color="auto" w:fill="auto"/>
            <w:noWrap/>
            <w:vAlign w:val="bottom"/>
            <w:hideMark/>
          </w:tcPr>
          <w:p w14:paraId="10718C55" w14:textId="08CEE33E" w:rsidR="000D4B29" w:rsidRPr="00132437" w:rsidRDefault="000D4B29">
            <w:pPr>
              <w:jc w:val="right"/>
              <w:rPr>
                <w:rFonts w:ascii="Arial" w:hAnsi="Arial" w:cs="Arial"/>
                <w:color w:val="000000"/>
                <w:sz w:val="18"/>
                <w:szCs w:val="18"/>
                <w:lang w:val="es-ES_tradnl" w:eastAsia="es-AR"/>
              </w:rPr>
            </w:pPr>
            <w:r w:rsidRPr="00132437">
              <w:rPr>
                <w:rFonts w:ascii="Arial" w:hAnsi="Arial" w:cs="Arial"/>
                <w:color w:val="000000"/>
                <w:sz w:val="18"/>
                <w:szCs w:val="18"/>
                <w:lang w:eastAsia="es-AR"/>
              </w:rPr>
              <w:t>299</w:t>
            </w:r>
          </w:p>
        </w:tc>
        <w:tc>
          <w:tcPr>
            <w:tcW w:w="1008" w:type="dxa"/>
            <w:tcBorders>
              <w:top w:val="nil"/>
              <w:left w:val="nil"/>
              <w:bottom w:val="single" w:sz="4" w:space="0" w:color="auto"/>
              <w:right w:val="single" w:sz="4" w:space="0" w:color="auto"/>
            </w:tcBorders>
            <w:shd w:val="clear" w:color="auto" w:fill="auto"/>
            <w:noWrap/>
            <w:vAlign w:val="bottom"/>
          </w:tcPr>
          <w:p w14:paraId="6F21508C" w14:textId="6583A046"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-189</w:t>
            </w:r>
          </w:p>
        </w:tc>
        <w:tc>
          <w:tcPr>
            <w:tcW w:w="1051" w:type="dxa"/>
            <w:tcBorders>
              <w:top w:val="nil"/>
              <w:left w:val="nil"/>
              <w:bottom w:val="single" w:sz="4" w:space="0" w:color="auto"/>
              <w:right w:val="single" w:sz="4" w:space="0" w:color="auto"/>
            </w:tcBorders>
            <w:shd w:val="clear" w:color="auto" w:fill="auto"/>
            <w:noWrap/>
            <w:vAlign w:val="bottom"/>
          </w:tcPr>
          <w:p w14:paraId="6C1C097C" w14:textId="2EA61931"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nil"/>
              <w:left w:val="nil"/>
              <w:bottom w:val="single" w:sz="4" w:space="0" w:color="auto"/>
              <w:right w:val="single" w:sz="8" w:space="0" w:color="auto"/>
            </w:tcBorders>
            <w:shd w:val="clear" w:color="auto" w:fill="auto"/>
            <w:noWrap/>
            <w:vAlign w:val="bottom"/>
          </w:tcPr>
          <w:p w14:paraId="0AA4D95B" w14:textId="56978AA8"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110</w:t>
            </w:r>
          </w:p>
        </w:tc>
      </w:tr>
      <w:tr w:rsidR="000D4B29" w:rsidRPr="00132437" w14:paraId="58F6FC40"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50DB124E"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 xml:space="preserve">Previsión Ds Incobrables </w:t>
            </w:r>
          </w:p>
        </w:tc>
        <w:tc>
          <w:tcPr>
            <w:tcW w:w="1442" w:type="dxa"/>
            <w:tcBorders>
              <w:top w:val="nil"/>
              <w:left w:val="nil"/>
              <w:bottom w:val="single" w:sz="4" w:space="0" w:color="auto"/>
              <w:right w:val="single" w:sz="4" w:space="0" w:color="auto"/>
            </w:tcBorders>
            <w:shd w:val="clear" w:color="auto" w:fill="auto"/>
            <w:noWrap/>
            <w:vAlign w:val="bottom"/>
            <w:hideMark/>
          </w:tcPr>
          <w:p w14:paraId="7F5A2674" w14:textId="4D6C4B5F"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588.912</w:t>
            </w:r>
          </w:p>
        </w:tc>
        <w:tc>
          <w:tcPr>
            <w:tcW w:w="1008" w:type="dxa"/>
            <w:tcBorders>
              <w:top w:val="nil"/>
              <w:left w:val="nil"/>
              <w:bottom w:val="single" w:sz="4" w:space="0" w:color="auto"/>
              <w:right w:val="single" w:sz="4" w:space="0" w:color="auto"/>
            </w:tcBorders>
            <w:shd w:val="clear" w:color="auto" w:fill="auto"/>
            <w:noWrap/>
            <w:vAlign w:val="bottom"/>
          </w:tcPr>
          <w:p w14:paraId="40823477" w14:textId="3AB2B0CD"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-64.314</w:t>
            </w:r>
          </w:p>
        </w:tc>
        <w:tc>
          <w:tcPr>
            <w:tcW w:w="1051" w:type="dxa"/>
            <w:tcBorders>
              <w:top w:val="nil"/>
              <w:left w:val="nil"/>
              <w:bottom w:val="single" w:sz="4" w:space="0" w:color="auto"/>
              <w:right w:val="single" w:sz="4" w:space="0" w:color="auto"/>
            </w:tcBorders>
            <w:shd w:val="clear" w:color="auto" w:fill="auto"/>
            <w:noWrap/>
            <w:vAlign w:val="bottom"/>
          </w:tcPr>
          <w:p w14:paraId="5E238AAD" w14:textId="4306120C"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nil"/>
              <w:left w:val="nil"/>
              <w:bottom w:val="single" w:sz="4" w:space="0" w:color="auto"/>
              <w:right w:val="single" w:sz="8" w:space="0" w:color="auto"/>
            </w:tcBorders>
            <w:shd w:val="clear" w:color="auto" w:fill="auto"/>
            <w:noWrap/>
            <w:vAlign w:val="bottom"/>
          </w:tcPr>
          <w:p w14:paraId="148BF9B3" w14:textId="2386784F"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524.598</w:t>
            </w:r>
          </w:p>
        </w:tc>
      </w:tr>
      <w:tr w:rsidR="000D4B29" w:rsidRPr="00132437" w14:paraId="0B75C6CC"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7A8E7C45"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Propiedad, planta y equipo</w:t>
            </w:r>
          </w:p>
        </w:tc>
        <w:tc>
          <w:tcPr>
            <w:tcW w:w="1442" w:type="dxa"/>
            <w:tcBorders>
              <w:top w:val="nil"/>
              <w:left w:val="nil"/>
              <w:bottom w:val="single" w:sz="4" w:space="0" w:color="auto"/>
              <w:right w:val="single" w:sz="4" w:space="0" w:color="auto"/>
            </w:tcBorders>
            <w:shd w:val="clear" w:color="auto" w:fill="auto"/>
            <w:noWrap/>
            <w:vAlign w:val="bottom"/>
            <w:hideMark/>
          </w:tcPr>
          <w:p w14:paraId="474251F6" w14:textId="647679F4" w:rsidR="000D4B29" w:rsidRPr="00132437" w:rsidRDefault="000D4B29">
            <w:pPr>
              <w:jc w:val="right"/>
              <w:rPr>
                <w:rFonts w:ascii="Arial" w:hAnsi="Arial" w:cs="Arial"/>
                <w:color w:val="000000"/>
                <w:sz w:val="18"/>
                <w:szCs w:val="18"/>
                <w:lang w:val="es-ES_tradnl" w:eastAsia="es-AR"/>
              </w:rPr>
            </w:pPr>
            <w:r w:rsidRPr="00132437">
              <w:rPr>
                <w:rFonts w:ascii="Arial" w:hAnsi="Arial" w:cs="Arial"/>
                <w:color w:val="000000"/>
                <w:sz w:val="18"/>
                <w:szCs w:val="18"/>
                <w:lang w:eastAsia="es-AR"/>
              </w:rPr>
              <w:t>-286.547</w:t>
            </w:r>
          </w:p>
        </w:tc>
        <w:tc>
          <w:tcPr>
            <w:tcW w:w="1008" w:type="dxa"/>
            <w:tcBorders>
              <w:top w:val="nil"/>
              <w:left w:val="nil"/>
              <w:bottom w:val="single" w:sz="4" w:space="0" w:color="auto"/>
              <w:right w:val="single" w:sz="4" w:space="0" w:color="auto"/>
            </w:tcBorders>
            <w:shd w:val="clear" w:color="auto" w:fill="auto"/>
            <w:noWrap/>
            <w:vAlign w:val="bottom"/>
          </w:tcPr>
          <w:p w14:paraId="564F1D9D" w14:textId="4ACE2835"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-128.930</w:t>
            </w:r>
          </w:p>
        </w:tc>
        <w:tc>
          <w:tcPr>
            <w:tcW w:w="1051" w:type="dxa"/>
            <w:tcBorders>
              <w:top w:val="nil"/>
              <w:left w:val="nil"/>
              <w:bottom w:val="single" w:sz="4" w:space="0" w:color="auto"/>
              <w:right w:val="single" w:sz="4" w:space="0" w:color="auto"/>
            </w:tcBorders>
            <w:shd w:val="clear" w:color="auto" w:fill="auto"/>
            <w:noWrap/>
            <w:vAlign w:val="bottom"/>
          </w:tcPr>
          <w:p w14:paraId="342FE24F" w14:textId="51EE7151"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-149.663</w:t>
            </w:r>
          </w:p>
        </w:tc>
        <w:tc>
          <w:tcPr>
            <w:tcW w:w="1215" w:type="dxa"/>
            <w:tcBorders>
              <w:top w:val="nil"/>
              <w:left w:val="nil"/>
              <w:bottom w:val="single" w:sz="4" w:space="0" w:color="auto"/>
              <w:right w:val="single" w:sz="8" w:space="0" w:color="auto"/>
            </w:tcBorders>
            <w:shd w:val="clear" w:color="auto" w:fill="auto"/>
            <w:noWrap/>
            <w:vAlign w:val="bottom"/>
          </w:tcPr>
          <w:p w14:paraId="2C09B51C" w14:textId="575C4D5B"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-565.140</w:t>
            </w:r>
          </w:p>
        </w:tc>
      </w:tr>
      <w:tr w:rsidR="000D4B29" w:rsidRPr="00132437" w14:paraId="4DA9DE98"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4B48DB09"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Tenencia accionaria</w:t>
            </w:r>
          </w:p>
        </w:tc>
        <w:tc>
          <w:tcPr>
            <w:tcW w:w="1442" w:type="dxa"/>
            <w:tcBorders>
              <w:top w:val="nil"/>
              <w:left w:val="nil"/>
              <w:bottom w:val="single" w:sz="4" w:space="0" w:color="auto"/>
              <w:right w:val="single" w:sz="4" w:space="0" w:color="auto"/>
            </w:tcBorders>
            <w:shd w:val="clear" w:color="auto" w:fill="auto"/>
            <w:noWrap/>
            <w:vAlign w:val="bottom"/>
            <w:hideMark/>
          </w:tcPr>
          <w:p w14:paraId="4507BA2B" w14:textId="2A3EDDA2" w:rsidR="000D4B29" w:rsidRPr="00132437" w:rsidRDefault="000D4B29">
            <w:pPr>
              <w:jc w:val="right"/>
              <w:rPr>
                <w:rFonts w:ascii="Arial" w:hAnsi="Arial" w:cs="Arial"/>
                <w:color w:val="000000"/>
                <w:sz w:val="18"/>
                <w:szCs w:val="18"/>
                <w:lang w:val="es-ES_tradnl" w:eastAsia="es-AR"/>
              </w:rPr>
            </w:pPr>
            <w:r w:rsidRPr="00132437">
              <w:rPr>
                <w:rFonts w:ascii="Arial" w:hAnsi="Arial" w:cs="Arial"/>
                <w:color w:val="000000"/>
                <w:sz w:val="18"/>
                <w:szCs w:val="18"/>
                <w:lang w:eastAsia="es-AR"/>
              </w:rPr>
              <w:t>-1.131</w:t>
            </w:r>
          </w:p>
        </w:tc>
        <w:tc>
          <w:tcPr>
            <w:tcW w:w="1008" w:type="dxa"/>
            <w:tcBorders>
              <w:top w:val="nil"/>
              <w:left w:val="nil"/>
              <w:bottom w:val="single" w:sz="4" w:space="0" w:color="auto"/>
              <w:right w:val="single" w:sz="4" w:space="0" w:color="auto"/>
            </w:tcBorders>
            <w:shd w:val="clear" w:color="auto" w:fill="auto"/>
            <w:noWrap/>
            <w:vAlign w:val="bottom"/>
          </w:tcPr>
          <w:p w14:paraId="547DCB8D" w14:textId="10C45306"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1.183</w:t>
            </w:r>
          </w:p>
        </w:tc>
        <w:tc>
          <w:tcPr>
            <w:tcW w:w="1051" w:type="dxa"/>
            <w:tcBorders>
              <w:top w:val="nil"/>
              <w:left w:val="nil"/>
              <w:bottom w:val="single" w:sz="4" w:space="0" w:color="auto"/>
              <w:right w:val="single" w:sz="4" w:space="0" w:color="auto"/>
            </w:tcBorders>
            <w:shd w:val="clear" w:color="auto" w:fill="auto"/>
            <w:noWrap/>
            <w:vAlign w:val="bottom"/>
          </w:tcPr>
          <w:p w14:paraId="78F6C872" w14:textId="7DE7EB4D"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nil"/>
              <w:left w:val="nil"/>
              <w:bottom w:val="single" w:sz="4" w:space="0" w:color="auto"/>
              <w:right w:val="single" w:sz="8" w:space="0" w:color="auto"/>
            </w:tcBorders>
            <w:shd w:val="clear" w:color="auto" w:fill="auto"/>
            <w:noWrap/>
            <w:vAlign w:val="bottom"/>
          </w:tcPr>
          <w:p w14:paraId="2E74B0A8" w14:textId="7F583D5E"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52</w:t>
            </w:r>
          </w:p>
        </w:tc>
      </w:tr>
      <w:tr w:rsidR="000D4B29" w:rsidRPr="00132437" w14:paraId="099921FC"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08CD4497"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Valuación Moneda Extranjera</w:t>
            </w:r>
          </w:p>
        </w:tc>
        <w:tc>
          <w:tcPr>
            <w:tcW w:w="1442" w:type="dxa"/>
            <w:tcBorders>
              <w:top w:val="nil"/>
              <w:left w:val="nil"/>
              <w:bottom w:val="single" w:sz="4" w:space="0" w:color="auto"/>
              <w:right w:val="single" w:sz="4" w:space="0" w:color="auto"/>
            </w:tcBorders>
            <w:shd w:val="clear" w:color="auto" w:fill="auto"/>
            <w:noWrap/>
            <w:vAlign w:val="bottom"/>
            <w:hideMark/>
          </w:tcPr>
          <w:p w14:paraId="45CD0064" w14:textId="6D39D2E6" w:rsidR="000D4B29" w:rsidRPr="00132437" w:rsidRDefault="000D4B29">
            <w:pPr>
              <w:jc w:val="right"/>
              <w:rPr>
                <w:rFonts w:ascii="Arial" w:hAnsi="Arial" w:cs="Arial"/>
                <w:color w:val="000000"/>
                <w:sz w:val="18"/>
                <w:szCs w:val="18"/>
                <w:lang w:val="es-ES_tradnl" w:eastAsia="es-AR"/>
              </w:rPr>
            </w:pPr>
            <w:r w:rsidRPr="00132437">
              <w:rPr>
                <w:rFonts w:ascii="Arial" w:hAnsi="Arial" w:cs="Arial"/>
                <w:color w:val="000000"/>
                <w:sz w:val="18"/>
                <w:szCs w:val="18"/>
                <w:lang w:eastAsia="es-AR"/>
              </w:rPr>
              <w:t>-67.613</w:t>
            </w:r>
          </w:p>
        </w:tc>
        <w:tc>
          <w:tcPr>
            <w:tcW w:w="1008" w:type="dxa"/>
            <w:tcBorders>
              <w:top w:val="nil"/>
              <w:left w:val="nil"/>
              <w:bottom w:val="single" w:sz="4" w:space="0" w:color="auto"/>
              <w:right w:val="single" w:sz="4" w:space="0" w:color="auto"/>
            </w:tcBorders>
            <w:shd w:val="clear" w:color="auto" w:fill="auto"/>
            <w:noWrap/>
            <w:vAlign w:val="bottom"/>
          </w:tcPr>
          <w:p w14:paraId="6494C442" w14:textId="74418F3B"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23.55</w:t>
            </w:r>
            <w:r w:rsidR="005A6875">
              <w:rPr>
                <w:rFonts w:ascii="Arial" w:hAnsi="Arial" w:cs="Arial"/>
                <w:color w:val="000000"/>
                <w:sz w:val="18"/>
                <w:szCs w:val="18"/>
              </w:rPr>
              <w:t>0</w:t>
            </w:r>
          </w:p>
        </w:tc>
        <w:tc>
          <w:tcPr>
            <w:tcW w:w="1051" w:type="dxa"/>
            <w:tcBorders>
              <w:top w:val="nil"/>
              <w:left w:val="nil"/>
              <w:bottom w:val="single" w:sz="4" w:space="0" w:color="auto"/>
              <w:right w:val="single" w:sz="4" w:space="0" w:color="auto"/>
            </w:tcBorders>
            <w:shd w:val="clear" w:color="auto" w:fill="auto"/>
            <w:noWrap/>
            <w:vAlign w:val="bottom"/>
          </w:tcPr>
          <w:p w14:paraId="3A3A0034" w14:textId="0FDFD79C"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-3.10</w:t>
            </w:r>
            <w:r w:rsidR="005A6875">
              <w:rPr>
                <w:rFonts w:ascii="Arial" w:hAnsi="Arial" w:cs="Arial"/>
                <w:color w:val="000000"/>
                <w:sz w:val="18"/>
                <w:szCs w:val="18"/>
              </w:rPr>
              <w:t>0</w:t>
            </w:r>
          </w:p>
        </w:tc>
        <w:tc>
          <w:tcPr>
            <w:tcW w:w="1215" w:type="dxa"/>
            <w:tcBorders>
              <w:top w:val="nil"/>
              <w:left w:val="nil"/>
              <w:bottom w:val="single" w:sz="4" w:space="0" w:color="auto"/>
              <w:right w:val="single" w:sz="8" w:space="0" w:color="auto"/>
            </w:tcBorders>
            <w:shd w:val="clear" w:color="auto" w:fill="auto"/>
            <w:noWrap/>
            <w:vAlign w:val="bottom"/>
          </w:tcPr>
          <w:p w14:paraId="5E2697C4" w14:textId="48F1B530"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-47.163</w:t>
            </w:r>
          </w:p>
        </w:tc>
      </w:tr>
      <w:tr w:rsidR="000D4B29" w:rsidRPr="00132437" w14:paraId="16D98A0D"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52B9639D"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Venta y reemplazo</w:t>
            </w:r>
          </w:p>
        </w:tc>
        <w:tc>
          <w:tcPr>
            <w:tcW w:w="1442" w:type="dxa"/>
            <w:tcBorders>
              <w:top w:val="nil"/>
              <w:left w:val="nil"/>
              <w:bottom w:val="single" w:sz="4" w:space="0" w:color="auto"/>
              <w:right w:val="single" w:sz="4" w:space="0" w:color="auto"/>
            </w:tcBorders>
            <w:shd w:val="clear" w:color="auto" w:fill="auto"/>
            <w:noWrap/>
            <w:vAlign w:val="bottom"/>
            <w:hideMark/>
          </w:tcPr>
          <w:p w14:paraId="052801A4" w14:textId="3043DC21" w:rsidR="000D4B29" w:rsidRDefault="000D4B29">
            <w:pPr>
              <w:jc w:val="right"/>
              <w:rPr>
                <w:rFonts w:ascii="Arial" w:hAnsi="Arial" w:cs="Arial"/>
                <w:color w:val="000000"/>
                <w:sz w:val="18"/>
                <w:szCs w:val="18"/>
                <w:lang w:eastAsia="es-AR"/>
              </w:rPr>
            </w:pPr>
            <w:r>
              <w:rPr>
                <w:rFonts w:ascii="Arial" w:hAnsi="Arial" w:cs="Arial"/>
                <w:color w:val="000000"/>
                <w:sz w:val="18"/>
                <w:szCs w:val="18"/>
              </w:rPr>
              <w:t>19.352</w:t>
            </w:r>
          </w:p>
          <w:p w14:paraId="2D2F582D" w14:textId="4E9469A8" w:rsidR="000D4B29" w:rsidRPr="00132437" w:rsidRDefault="000D4B29">
            <w:pPr>
              <w:jc w:val="right"/>
              <w:rPr>
                <w:rFonts w:ascii="Arial" w:hAnsi="Arial" w:cs="Arial"/>
                <w:color w:val="000000"/>
                <w:sz w:val="18"/>
                <w:szCs w:val="18"/>
                <w:lang w:val="es-ES_tradnl" w:eastAsia="es-AR"/>
              </w:rPr>
            </w:pPr>
          </w:p>
        </w:tc>
        <w:tc>
          <w:tcPr>
            <w:tcW w:w="1008" w:type="dxa"/>
            <w:tcBorders>
              <w:top w:val="nil"/>
              <w:left w:val="nil"/>
              <w:bottom w:val="single" w:sz="4" w:space="0" w:color="auto"/>
              <w:right w:val="single" w:sz="4" w:space="0" w:color="auto"/>
            </w:tcBorders>
            <w:shd w:val="clear" w:color="auto" w:fill="auto"/>
            <w:noWrap/>
            <w:vAlign w:val="bottom"/>
          </w:tcPr>
          <w:p w14:paraId="0C567D88" w14:textId="33404251"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-3.786</w:t>
            </w:r>
          </w:p>
        </w:tc>
        <w:tc>
          <w:tcPr>
            <w:tcW w:w="1051" w:type="dxa"/>
            <w:tcBorders>
              <w:top w:val="nil"/>
              <w:left w:val="nil"/>
              <w:bottom w:val="single" w:sz="4" w:space="0" w:color="auto"/>
              <w:right w:val="single" w:sz="4" w:space="0" w:color="auto"/>
            </w:tcBorders>
            <w:shd w:val="clear" w:color="auto" w:fill="auto"/>
            <w:noWrap/>
            <w:vAlign w:val="bottom"/>
          </w:tcPr>
          <w:p w14:paraId="6D1A934F" w14:textId="1154A681"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nil"/>
              <w:left w:val="nil"/>
              <w:bottom w:val="single" w:sz="4" w:space="0" w:color="auto"/>
              <w:right w:val="single" w:sz="8" w:space="0" w:color="auto"/>
            </w:tcBorders>
            <w:shd w:val="clear" w:color="auto" w:fill="auto"/>
            <w:noWrap/>
            <w:vAlign w:val="bottom"/>
          </w:tcPr>
          <w:p w14:paraId="2F9233CA" w14:textId="2BCB8F73"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15.566</w:t>
            </w:r>
          </w:p>
        </w:tc>
      </w:tr>
      <w:tr w:rsidR="000D4B29" w:rsidRPr="00132437" w14:paraId="3F4559BD" w14:textId="77777777" w:rsidTr="000D4B29">
        <w:trPr>
          <w:trHeight w:val="237"/>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3291DB02"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Previsiones Pasivo</w:t>
            </w:r>
          </w:p>
        </w:tc>
        <w:tc>
          <w:tcPr>
            <w:tcW w:w="1442" w:type="dxa"/>
            <w:tcBorders>
              <w:top w:val="nil"/>
              <w:left w:val="nil"/>
              <w:bottom w:val="single" w:sz="4" w:space="0" w:color="auto"/>
              <w:right w:val="single" w:sz="4" w:space="0" w:color="auto"/>
            </w:tcBorders>
            <w:shd w:val="clear" w:color="auto" w:fill="auto"/>
            <w:noWrap/>
            <w:vAlign w:val="bottom"/>
            <w:hideMark/>
          </w:tcPr>
          <w:p w14:paraId="208B9DBE" w14:textId="022BCDE3" w:rsidR="000D4B29" w:rsidRPr="00132437" w:rsidRDefault="000D4B29">
            <w:pPr>
              <w:jc w:val="right"/>
              <w:rPr>
                <w:rFonts w:ascii="Arial" w:hAnsi="Arial" w:cs="Arial"/>
                <w:color w:val="000000"/>
                <w:sz w:val="18"/>
                <w:szCs w:val="18"/>
                <w:lang w:val="es-ES_tradnl" w:eastAsia="es-AR"/>
              </w:rPr>
            </w:pPr>
            <w:r w:rsidRPr="00132437">
              <w:rPr>
                <w:rFonts w:ascii="Arial" w:hAnsi="Arial" w:cs="Arial"/>
                <w:color w:val="000000"/>
                <w:sz w:val="18"/>
                <w:szCs w:val="18"/>
                <w:lang w:eastAsia="es-AR"/>
              </w:rPr>
              <w:t>19.257</w:t>
            </w:r>
          </w:p>
        </w:tc>
        <w:tc>
          <w:tcPr>
            <w:tcW w:w="1008" w:type="dxa"/>
            <w:tcBorders>
              <w:top w:val="nil"/>
              <w:left w:val="nil"/>
              <w:bottom w:val="single" w:sz="4" w:space="0" w:color="auto"/>
              <w:right w:val="single" w:sz="4" w:space="0" w:color="auto"/>
            </w:tcBorders>
            <w:shd w:val="clear" w:color="auto" w:fill="auto"/>
            <w:noWrap/>
            <w:vAlign w:val="bottom"/>
          </w:tcPr>
          <w:p w14:paraId="272F367A" w14:textId="47997273"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172.152</w:t>
            </w:r>
          </w:p>
        </w:tc>
        <w:tc>
          <w:tcPr>
            <w:tcW w:w="1051" w:type="dxa"/>
            <w:tcBorders>
              <w:top w:val="nil"/>
              <w:left w:val="nil"/>
              <w:bottom w:val="single" w:sz="4" w:space="0" w:color="auto"/>
              <w:right w:val="single" w:sz="4" w:space="0" w:color="auto"/>
            </w:tcBorders>
            <w:shd w:val="clear" w:color="auto" w:fill="auto"/>
            <w:noWrap/>
            <w:vAlign w:val="bottom"/>
          </w:tcPr>
          <w:p w14:paraId="59499F7D" w14:textId="7D5E44D7"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nil"/>
              <w:left w:val="nil"/>
              <w:bottom w:val="single" w:sz="4" w:space="0" w:color="auto"/>
              <w:right w:val="single" w:sz="8" w:space="0" w:color="auto"/>
            </w:tcBorders>
            <w:shd w:val="clear" w:color="auto" w:fill="auto"/>
            <w:noWrap/>
            <w:vAlign w:val="bottom"/>
          </w:tcPr>
          <w:p w14:paraId="78786EF3" w14:textId="7263F795"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191.409</w:t>
            </w:r>
          </w:p>
        </w:tc>
      </w:tr>
      <w:tr w:rsidR="000D4B29" w:rsidRPr="00132437" w14:paraId="5EFF1943" w14:textId="77777777" w:rsidTr="000D4B29">
        <w:trPr>
          <w:trHeight w:val="252"/>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62906C11" w14:textId="77777777" w:rsidR="000D4B29" w:rsidRPr="00132437" w:rsidRDefault="000D4B29" w:rsidP="000D4B29">
            <w:pPr>
              <w:rPr>
                <w:rFonts w:ascii="Arial" w:hAnsi="Arial" w:cs="Arial"/>
                <w:color w:val="000000"/>
                <w:sz w:val="18"/>
                <w:szCs w:val="18"/>
                <w:lang w:eastAsia="es-AR"/>
              </w:rPr>
            </w:pPr>
            <w:r w:rsidRPr="00132437">
              <w:rPr>
                <w:rFonts w:ascii="Arial" w:hAnsi="Arial" w:cs="Arial"/>
                <w:color w:val="000000"/>
                <w:sz w:val="18"/>
                <w:szCs w:val="18"/>
                <w:lang w:eastAsia="es-AR"/>
              </w:rPr>
              <w:t>Costos originación pr</w:t>
            </w:r>
            <w:r>
              <w:rPr>
                <w:rFonts w:ascii="Arial" w:hAnsi="Arial" w:cs="Arial"/>
                <w:color w:val="000000"/>
                <w:sz w:val="18"/>
                <w:szCs w:val="18"/>
                <w:lang w:eastAsia="es-AR"/>
              </w:rPr>
              <w:t>és</w:t>
            </w:r>
            <w:r w:rsidRPr="00132437">
              <w:rPr>
                <w:rFonts w:ascii="Arial" w:hAnsi="Arial" w:cs="Arial"/>
                <w:color w:val="000000"/>
                <w:sz w:val="18"/>
                <w:szCs w:val="18"/>
                <w:lang w:eastAsia="es-AR"/>
              </w:rPr>
              <w:t>tamos</w:t>
            </w:r>
          </w:p>
        </w:tc>
        <w:tc>
          <w:tcPr>
            <w:tcW w:w="1442" w:type="dxa"/>
            <w:tcBorders>
              <w:top w:val="nil"/>
              <w:left w:val="nil"/>
              <w:bottom w:val="single" w:sz="4" w:space="0" w:color="auto"/>
              <w:right w:val="single" w:sz="4" w:space="0" w:color="auto"/>
            </w:tcBorders>
            <w:shd w:val="clear" w:color="auto" w:fill="auto"/>
            <w:noWrap/>
            <w:vAlign w:val="bottom"/>
            <w:hideMark/>
          </w:tcPr>
          <w:p w14:paraId="598EC228" w14:textId="670DAADD" w:rsidR="000D4B29" w:rsidRPr="00132437" w:rsidRDefault="000D4B29">
            <w:pPr>
              <w:jc w:val="right"/>
              <w:rPr>
                <w:rFonts w:ascii="Arial" w:hAnsi="Arial" w:cs="Arial"/>
                <w:color w:val="000000"/>
                <w:sz w:val="18"/>
                <w:szCs w:val="18"/>
                <w:lang w:val="es-ES_tradnl" w:eastAsia="es-AR"/>
              </w:rPr>
            </w:pPr>
            <w:r w:rsidRPr="00132437">
              <w:rPr>
                <w:rFonts w:ascii="Arial" w:hAnsi="Arial" w:cs="Arial"/>
                <w:color w:val="000000"/>
                <w:sz w:val="18"/>
                <w:szCs w:val="18"/>
                <w:lang w:eastAsia="es-AR"/>
              </w:rPr>
              <w:t>-779</w:t>
            </w:r>
          </w:p>
        </w:tc>
        <w:tc>
          <w:tcPr>
            <w:tcW w:w="1008" w:type="dxa"/>
            <w:tcBorders>
              <w:top w:val="nil"/>
              <w:left w:val="nil"/>
              <w:bottom w:val="single" w:sz="4" w:space="0" w:color="auto"/>
              <w:right w:val="single" w:sz="4" w:space="0" w:color="auto"/>
            </w:tcBorders>
            <w:shd w:val="clear" w:color="auto" w:fill="auto"/>
            <w:noWrap/>
            <w:vAlign w:val="bottom"/>
          </w:tcPr>
          <w:p w14:paraId="54BB6DA5" w14:textId="1CA39D2D"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689</w:t>
            </w:r>
          </w:p>
        </w:tc>
        <w:tc>
          <w:tcPr>
            <w:tcW w:w="1051" w:type="dxa"/>
            <w:tcBorders>
              <w:top w:val="nil"/>
              <w:left w:val="nil"/>
              <w:bottom w:val="single" w:sz="4" w:space="0" w:color="auto"/>
              <w:right w:val="single" w:sz="4" w:space="0" w:color="auto"/>
            </w:tcBorders>
            <w:shd w:val="clear" w:color="auto" w:fill="auto"/>
            <w:noWrap/>
            <w:vAlign w:val="bottom"/>
          </w:tcPr>
          <w:p w14:paraId="356A291C" w14:textId="41C8C986"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nil"/>
              <w:left w:val="nil"/>
              <w:bottom w:val="single" w:sz="4" w:space="0" w:color="auto"/>
              <w:right w:val="single" w:sz="8" w:space="0" w:color="auto"/>
            </w:tcBorders>
            <w:shd w:val="clear" w:color="auto" w:fill="auto"/>
            <w:noWrap/>
            <w:vAlign w:val="bottom"/>
          </w:tcPr>
          <w:p w14:paraId="44B7ECAA" w14:textId="3544D22B" w:rsidR="000D4B29" w:rsidRPr="00132437" w:rsidRDefault="000D4B29">
            <w:pPr>
              <w:jc w:val="right"/>
              <w:rPr>
                <w:rFonts w:ascii="Arial" w:hAnsi="Arial" w:cs="Arial"/>
                <w:color w:val="000000"/>
                <w:sz w:val="18"/>
                <w:szCs w:val="18"/>
                <w:lang w:val="es-ES_tradnl" w:eastAsia="es-AR"/>
              </w:rPr>
            </w:pPr>
            <w:r>
              <w:rPr>
                <w:rFonts w:ascii="Arial" w:hAnsi="Arial" w:cs="Arial"/>
                <w:color w:val="000000"/>
                <w:sz w:val="18"/>
                <w:szCs w:val="18"/>
              </w:rPr>
              <w:t>-90</w:t>
            </w:r>
          </w:p>
        </w:tc>
      </w:tr>
      <w:tr w:rsidR="00134C16" w:rsidRPr="00132437" w14:paraId="59E27348" w14:textId="77777777" w:rsidTr="000D4B29">
        <w:trPr>
          <w:trHeight w:val="252"/>
        </w:trPr>
        <w:tc>
          <w:tcPr>
            <w:tcW w:w="4174" w:type="dxa"/>
            <w:tcBorders>
              <w:top w:val="nil"/>
              <w:left w:val="single" w:sz="8" w:space="0" w:color="auto"/>
              <w:bottom w:val="single" w:sz="4" w:space="0" w:color="auto"/>
              <w:right w:val="single" w:sz="4" w:space="0" w:color="auto"/>
            </w:tcBorders>
            <w:shd w:val="clear" w:color="auto" w:fill="auto"/>
            <w:noWrap/>
            <w:vAlign w:val="bottom"/>
            <w:hideMark/>
          </w:tcPr>
          <w:p w14:paraId="0BA0CDFB" w14:textId="37FF1AE9" w:rsidR="00134C16" w:rsidRPr="00132437" w:rsidRDefault="00134C16" w:rsidP="00134C16">
            <w:pPr>
              <w:rPr>
                <w:rFonts w:ascii="Arial" w:hAnsi="Arial" w:cs="Arial"/>
                <w:color w:val="000000"/>
                <w:sz w:val="18"/>
                <w:szCs w:val="18"/>
                <w:lang w:eastAsia="es-AR"/>
              </w:rPr>
            </w:pPr>
            <w:r>
              <w:rPr>
                <w:rFonts w:ascii="Arial" w:hAnsi="Arial" w:cs="Arial"/>
                <w:color w:val="000000"/>
                <w:sz w:val="18"/>
                <w:szCs w:val="18"/>
                <w:lang w:eastAsia="es-AR"/>
              </w:rPr>
              <w:t>Ajuste por inflación</w:t>
            </w:r>
          </w:p>
        </w:tc>
        <w:tc>
          <w:tcPr>
            <w:tcW w:w="1442" w:type="dxa"/>
            <w:tcBorders>
              <w:top w:val="nil"/>
              <w:left w:val="nil"/>
              <w:bottom w:val="single" w:sz="4" w:space="0" w:color="auto"/>
              <w:right w:val="single" w:sz="4" w:space="0" w:color="auto"/>
            </w:tcBorders>
            <w:shd w:val="clear" w:color="auto" w:fill="auto"/>
            <w:noWrap/>
            <w:vAlign w:val="bottom"/>
            <w:hideMark/>
          </w:tcPr>
          <w:p w14:paraId="330AD4C0" w14:textId="50B81D4F" w:rsidR="00134C16" w:rsidRPr="00132437" w:rsidRDefault="00134C16">
            <w:pPr>
              <w:jc w:val="right"/>
              <w:rPr>
                <w:rFonts w:ascii="Arial" w:hAnsi="Arial" w:cs="Arial"/>
                <w:color w:val="000000"/>
                <w:sz w:val="18"/>
                <w:szCs w:val="18"/>
                <w:lang w:val="es-ES_tradnl" w:eastAsia="es-AR"/>
              </w:rPr>
            </w:pPr>
            <w:r>
              <w:rPr>
                <w:rFonts w:ascii="Arial" w:hAnsi="Arial" w:cs="Arial"/>
                <w:color w:val="000000"/>
                <w:sz w:val="18"/>
                <w:szCs w:val="18"/>
                <w:lang w:eastAsia="es-AR"/>
              </w:rPr>
              <w:t>-</w:t>
            </w:r>
          </w:p>
        </w:tc>
        <w:tc>
          <w:tcPr>
            <w:tcW w:w="1008" w:type="dxa"/>
            <w:tcBorders>
              <w:top w:val="nil"/>
              <w:left w:val="nil"/>
              <w:bottom w:val="single" w:sz="4" w:space="0" w:color="auto"/>
              <w:right w:val="single" w:sz="4" w:space="0" w:color="auto"/>
            </w:tcBorders>
            <w:shd w:val="clear" w:color="auto" w:fill="auto"/>
            <w:noWrap/>
            <w:vAlign w:val="bottom"/>
          </w:tcPr>
          <w:p w14:paraId="419096ED" w14:textId="1C9255D8" w:rsidR="00134C16" w:rsidRPr="00132437" w:rsidRDefault="00134C16">
            <w:pPr>
              <w:jc w:val="right"/>
              <w:rPr>
                <w:rFonts w:ascii="Arial" w:hAnsi="Arial" w:cs="Arial"/>
                <w:color w:val="000000"/>
                <w:sz w:val="18"/>
                <w:szCs w:val="18"/>
                <w:lang w:val="es-ES_tradnl" w:eastAsia="es-AR"/>
              </w:rPr>
            </w:pPr>
            <w:r>
              <w:rPr>
                <w:rFonts w:ascii="Arial" w:hAnsi="Arial" w:cs="Arial"/>
                <w:color w:val="000000"/>
                <w:sz w:val="18"/>
                <w:szCs w:val="18"/>
              </w:rPr>
              <w:t>1.244.715</w:t>
            </w:r>
          </w:p>
        </w:tc>
        <w:tc>
          <w:tcPr>
            <w:tcW w:w="1051" w:type="dxa"/>
            <w:tcBorders>
              <w:top w:val="nil"/>
              <w:left w:val="nil"/>
              <w:bottom w:val="single" w:sz="4" w:space="0" w:color="auto"/>
              <w:right w:val="single" w:sz="4" w:space="0" w:color="auto"/>
            </w:tcBorders>
            <w:shd w:val="clear" w:color="auto" w:fill="auto"/>
            <w:noWrap/>
            <w:vAlign w:val="bottom"/>
          </w:tcPr>
          <w:p w14:paraId="62FADF62" w14:textId="12A42713" w:rsidR="00134C16" w:rsidRPr="00132437" w:rsidRDefault="00134C16">
            <w:pPr>
              <w:jc w:val="right"/>
              <w:rPr>
                <w:rFonts w:ascii="Arial" w:hAnsi="Arial" w:cs="Arial"/>
                <w:color w:val="000000"/>
                <w:sz w:val="18"/>
                <w:szCs w:val="18"/>
                <w:lang w:val="es-ES_tradnl" w:eastAsia="es-AR"/>
              </w:rPr>
            </w:pPr>
            <w:r>
              <w:rPr>
                <w:rFonts w:ascii="Arial" w:hAnsi="Arial" w:cs="Arial"/>
                <w:color w:val="000000"/>
                <w:sz w:val="18"/>
                <w:szCs w:val="18"/>
              </w:rPr>
              <w:t>-</w:t>
            </w:r>
          </w:p>
        </w:tc>
        <w:tc>
          <w:tcPr>
            <w:tcW w:w="1215" w:type="dxa"/>
            <w:tcBorders>
              <w:top w:val="nil"/>
              <w:left w:val="nil"/>
              <w:bottom w:val="single" w:sz="4" w:space="0" w:color="auto"/>
              <w:right w:val="single" w:sz="8" w:space="0" w:color="auto"/>
            </w:tcBorders>
            <w:shd w:val="clear" w:color="auto" w:fill="auto"/>
            <w:noWrap/>
            <w:vAlign w:val="bottom"/>
          </w:tcPr>
          <w:p w14:paraId="4D5891E9" w14:textId="2B78F2F0" w:rsidR="00134C16" w:rsidRPr="00132437" w:rsidRDefault="00134C16">
            <w:pPr>
              <w:jc w:val="right"/>
              <w:rPr>
                <w:rFonts w:ascii="Arial" w:hAnsi="Arial" w:cs="Arial"/>
                <w:color w:val="000000"/>
                <w:sz w:val="18"/>
                <w:szCs w:val="18"/>
                <w:lang w:val="es-ES_tradnl" w:eastAsia="es-AR"/>
              </w:rPr>
            </w:pPr>
            <w:r>
              <w:rPr>
                <w:rFonts w:ascii="Arial" w:hAnsi="Arial" w:cs="Arial"/>
                <w:color w:val="000000"/>
                <w:sz w:val="18"/>
                <w:szCs w:val="18"/>
              </w:rPr>
              <w:t>1.244.715</w:t>
            </w:r>
          </w:p>
        </w:tc>
      </w:tr>
      <w:tr w:rsidR="00134C16" w:rsidRPr="00132437" w14:paraId="3E82E110" w14:textId="77777777" w:rsidTr="000D4B29">
        <w:trPr>
          <w:trHeight w:val="252"/>
        </w:trPr>
        <w:tc>
          <w:tcPr>
            <w:tcW w:w="4174"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5F6D709D" w14:textId="77777777" w:rsidR="00134C16" w:rsidRPr="00EC349E" w:rsidRDefault="00134C16" w:rsidP="00134C16">
            <w:pPr>
              <w:rPr>
                <w:rFonts w:ascii="Arial" w:hAnsi="Arial" w:cs="Arial"/>
                <w:b/>
                <w:color w:val="000000"/>
                <w:sz w:val="18"/>
                <w:szCs w:val="18"/>
                <w:lang w:eastAsia="es-AR"/>
              </w:rPr>
            </w:pPr>
            <w:r w:rsidRPr="00132437">
              <w:rPr>
                <w:rFonts w:ascii="Arial" w:hAnsi="Arial" w:cs="Arial"/>
                <w:color w:val="000000"/>
                <w:sz w:val="18"/>
                <w:szCs w:val="18"/>
                <w:lang w:eastAsia="es-AR"/>
              </w:rPr>
              <w:t> </w:t>
            </w:r>
            <w:r w:rsidRPr="00EC349E">
              <w:rPr>
                <w:rFonts w:ascii="Arial" w:hAnsi="Arial" w:cs="Arial"/>
                <w:b/>
                <w:color w:val="000000"/>
                <w:sz w:val="18"/>
                <w:szCs w:val="18"/>
                <w:lang w:eastAsia="es-AR"/>
              </w:rPr>
              <w:t>Subtotal</w:t>
            </w:r>
          </w:p>
        </w:tc>
        <w:tc>
          <w:tcPr>
            <w:tcW w:w="1442" w:type="dxa"/>
            <w:tcBorders>
              <w:top w:val="single" w:sz="8" w:space="0" w:color="auto"/>
              <w:left w:val="nil"/>
              <w:bottom w:val="single" w:sz="8" w:space="0" w:color="auto"/>
              <w:right w:val="single" w:sz="4" w:space="0" w:color="auto"/>
            </w:tcBorders>
            <w:shd w:val="clear" w:color="000000" w:fill="FFFFFF"/>
            <w:noWrap/>
            <w:vAlign w:val="bottom"/>
            <w:hideMark/>
          </w:tcPr>
          <w:p w14:paraId="0486209D" w14:textId="4249302C" w:rsidR="00134C16" w:rsidRPr="00132437" w:rsidRDefault="00134C16">
            <w:pPr>
              <w:jc w:val="right"/>
              <w:rPr>
                <w:rFonts w:ascii="Arial" w:hAnsi="Arial" w:cs="Arial"/>
                <w:b/>
                <w:bCs/>
                <w:color w:val="000000"/>
                <w:sz w:val="18"/>
                <w:szCs w:val="18"/>
                <w:lang w:val="es-ES_tradnl" w:eastAsia="es-AR"/>
              </w:rPr>
            </w:pPr>
            <w:r>
              <w:rPr>
                <w:rFonts w:ascii="Arial" w:hAnsi="Arial" w:cs="Arial"/>
                <w:b/>
                <w:bCs/>
                <w:color w:val="000000"/>
                <w:sz w:val="18"/>
                <w:szCs w:val="18"/>
              </w:rPr>
              <w:t xml:space="preserve">287.496 </w:t>
            </w:r>
          </w:p>
        </w:tc>
        <w:tc>
          <w:tcPr>
            <w:tcW w:w="1008" w:type="dxa"/>
            <w:tcBorders>
              <w:top w:val="single" w:sz="8" w:space="0" w:color="auto"/>
              <w:left w:val="nil"/>
              <w:bottom w:val="single" w:sz="8" w:space="0" w:color="auto"/>
              <w:right w:val="single" w:sz="4" w:space="0" w:color="auto"/>
            </w:tcBorders>
            <w:shd w:val="clear" w:color="000000" w:fill="FFFFFF"/>
            <w:noWrap/>
            <w:vAlign w:val="bottom"/>
          </w:tcPr>
          <w:p w14:paraId="289DD7E4" w14:textId="0EE262C7" w:rsidR="00134C16" w:rsidRPr="00132437" w:rsidRDefault="00134C16">
            <w:pPr>
              <w:jc w:val="right"/>
              <w:rPr>
                <w:rFonts w:ascii="Arial" w:hAnsi="Arial" w:cs="Arial"/>
                <w:b/>
                <w:bCs/>
                <w:color w:val="000000"/>
                <w:sz w:val="18"/>
                <w:szCs w:val="18"/>
                <w:lang w:val="es-ES_tradnl" w:eastAsia="es-AR"/>
              </w:rPr>
            </w:pPr>
            <w:r>
              <w:rPr>
                <w:rFonts w:ascii="Arial" w:hAnsi="Arial" w:cs="Arial"/>
                <w:b/>
                <w:bCs/>
                <w:color w:val="000000"/>
                <w:sz w:val="18"/>
                <w:szCs w:val="18"/>
              </w:rPr>
              <w:t>1.252.86</w:t>
            </w:r>
            <w:r w:rsidR="005A6875">
              <w:rPr>
                <w:rFonts w:ascii="Arial" w:hAnsi="Arial" w:cs="Arial"/>
                <w:b/>
                <w:bCs/>
                <w:color w:val="000000"/>
                <w:sz w:val="18"/>
                <w:szCs w:val="18"/>
              </w:rPr>
              <w:t>2</w:t>
            </w:r>
          </w:p>
        </w:tc>
        <w:tc>
          <w:tcPr>
            <w:tcW w:w="1051" w:type="dxa"/>
            <w:tcBorders>
              <w:top w:val="single" w:sz="8" w:space="0" w:color="auto"/>
              <w:left w:val="nil"/>
              <w:bottom w:val="single" w:sz="8" w:space="0" w:color="auto"/>
              <w:right w:val="single" w:sz="4" w:space="0" w:color="auto"/>
            </w:tcBorders>
            <w:shd w:val="clear" w:color="000000" w:fill="FFFFFF"/>
            <w:noWrap/>
            <w:vAlign w:val="bottom"/>
          </w:tcPr>
          <w:p w14:paraId="4A7009CA" w14:textId="36777972" w:rsidR="00134C16" w:rsidRPr="00132437" w:rsidRDefault="00134C16">
            <w:pPr>
              <w:jc w:val="right"/>
              <w:rPr>
                <w:rFonts w:ascii="Arial" w:hAnsi="Arial" w:cs="Arial"/>
                <w:b/>
                <w:bCs/>
                <w:color w:val="000000"/>
                <w:sz w:val="18"/>
                <w:szCs w:val="18"/>
                <w:lang w:val="es-ES_tradnl" w:eastAsia="es-AR"/>
              </w:rPr>
            </w:pPr>
            <w:r>
              <w:rPr>
                <w:rFonts w:ascii="Arial" w:hAnsi="Arial" w:cs="Arial"/>
                <w:b/>
                <w:bCs/>
                <w:color w:val="000000"/>
                <w:sz w:val="18"/>
                <w:szCs w:val="18"/>
              </w:rPr>
              <w:t>-152.76</w:t>
            </w:r>
            <w:r w:rsidR="005A6875">
              <w:rPr>
                <w:rFonts w:ascii="Arial" w:hAnsi="Arial" w:cs="Arial"/>
                <w:b/>
                <w:bCs/>
                <w:color w:val="000000"/>
                <w:sz w:val="18"/>
                <w:szCs w:val="18"/>
              </w:rPr>
              <w:t>3</w:t>
            </w:r>
          </w:p>
        </w:tc>
        <w:tc>
          <w:tcPr>
            <w:tcW w:w="1215" w:type="dxa"/>
            <w:tcBorders>
              <w:top w:val="single" w:sz="8" w:space="0" w:color="auto"/>
              <w:left w:val="nil"/>
              <w:bottom w:val="single" w:sz="8" w:space="0" w:color="auto"/>
              <w:right w:val="single" w:sz="4" w:space="0" w:color="auto"/>
            </w:tcBorders>
            <w:shd w:val="clear" w:color="000000" w:fill="FFFFFF"/>
            <w:noWrap/>
            <w:vAlign w:val="bottom"/>
          </w:tcPr>
          <w:p w14:paraId="47345A8E" w14:textId="4CA495DA" w:rsidR="00134C16" w:rsidRPr="00132437" w:rsidRDefault="00134C16">
            <w:pPr>
              <w:jc w:val="right"/>
              <w:rPr>
                <w:rFonts w:ascii="Arial" w:hAnsi="Arial" w:cs="Arial"/>
                <w:b/>
                <w:bCs/>
                <w:color w:val="000000"/>
                <w:sz w:val="18"/>
                <w:szCs w:val="18"/>
                <w:lang w:val="es-ES_tradnl" w:eastAsia="es-AR"/>
              </w:rPr>
            </w:pPr>
            <w:r>
              <w:rPr>
                <w:rFonts w:ascii="Arial" w:hAnsi="Arial" w:cs="Arial"/>
                <w:b/>
                <w:bCs/>
                <w:color w:val="000000"/>
                <w:sz w:val="18"/>
                <w:szCs w:val="18"/>
              </w:rPr>
              <w:t>1.387.595</w:t>
            </w:r>
          </w:p>
        </w:tc>
      </w:tr>
      <w:tr w:rsidR="00134C16" w:rsidRPr="00132437" w14:paraId="46C6B9DF" w14:textId="77777777" w:rsidTr="000D4B29">
        <w:trPr>
          <w:trHeight w:val="252"/>
        </w:trPr>
        <w:tc>
          <w:tcPr>
            <w:tcW w:w="4174" w:type="dxa"/>
            <w:tcBorders>
              <w:top w:val="nil"/>
              <w:left w:val="single" w:sz="8" w:space="0" w:color="auto"/>
              <w:bottom w:val="nil"/>
              <w:right w:val="single" w:sz="4" w:space="0" w:color="auto"/>
            </w:tcBorders>
            <w:shd w:val="clear" w:color="auto" w:fill="auto"/>
            <w:noWrap/>
            <w:vAlign w:val="bottom"/>
            <w:hideMark/>
          </w:tcPr>
          <w:p w14:paraId="3E00F6BC" w14:textId="77777777" w:rsidR="00134C16" w:rsidRPr="00132437" w:rsidRDefault="00134C16" w:rsidP="00134C16">
            <w:pPr>
              <w:rPr>
                <w:rFonts w:ascii="Arial" w:hAnsi="Arial" w:cs="Arial"/>
                <w:color w:val="000000"/>
                <w:sz w:val="18"/>
                <w:szCs w:val="18"/>
                <w:lang w:eastAsia="es-AR"/>
              </w:rPr>
            </w:pPr>
            <w:r w:rsidRPr="00132437">
              <w:rPr>
                <w:rFonts w:ascii="Arial" w:hAnsi="Arial" w:cs="Arial"/>
                <w:color w:val="000000"/>
                <w:sz w:val="18"/>
                <w:szCs w:val="18"/>
                <w:lang w:eastAsia="es-AR"/>
              </w:rPr>
              <w:t>Quebranto impositivo</w:t>
            </w:r>
          </w:p>
        </w:tc>
        <w:tc>
          <w:tcPr>
            <w:tcW w:w="1442" w:type="dxa"/>
            <w:tcBorders>
              <w:top w:val="nil"/>
              <w:left w:val="nil"/>
              <w:bottom w:val="nil"/>
              <w:right w:val="single" w:sz="4" w:space="0" w:color="auto"/>
            </w:tcBorders>
            <w:shd w:val="clear" w:color="auto" w:fill="auto"/>
            <w:noWrap/>
            <w:vAlign w:val="bottom"/>
            <w:hideMark/>
          </w:tcPr>
          <w:p w14:paraId="46064E8E" w14:textId="0CC9E4F9" w:rsidR="00134C16" w:rsidRPr="00132437" w:rsidRDefault="00134C16">
            <w:pPr>
              <w:jc w:val="right"/>
              <w:rPr>
                <w:rFonts w:ascii="Arial" w:hAnsi="Arial" w:cs="Arial"/>
                <w:color w:val="000000"/>
                <w:sz w:val="18"/>
                <w:szCs w:val="18"/>
                <w:lang w:val="es-ES_tradnl" w:eastAsia="es-AR"/>
              </w:rPr>
            </w:pPr>
            <w:r>
              <w:rPr>
                <w:rFonts w:ascii="Arial" w:hAnsi="Arial" w:cs="Arial"/>
                <w:color w:val="000000"/>
                <w:sz w:val="18"/>
                <w:szCs w:val="18"/>
              </w:rPr>
              <w:t xml:space="preserve">101.089 </w:t>
            </w:r>
          </w:p>
        </w:tc>
        <w:tc>
          <w:tcPr>
            <w:tcW w:w="1008" w:type="dxa"/>
            <w:tcBorders>
              <w:top w:val="nil"/>
              <w:left w:val="nil"/>
              <w:bottom w:val="nil"/>
              <w:right w:val="single" w:sz="4" w:space="0" w:color="auto"/>
            </w:tcBorders>
            <w:shd w:val="clear" w:color="auto" w:fill="auto"/>
            <w:noWrap/>
            <w:vAlign w:val="bottom"/>
          </w:tcPr>
          <w:p w14:paraId="7B0089A1" w14:textId="7D28D5DE" w:rsidR="00134C16" w:rsidRPr="00132437" w:rsidRDefault="00134C16">
            <w:pPr>
              <w:jc w:val="right"/>
              <w:rPr>
                <w:rFonts w:ascii="Arial" w:hAnsi="Arial" w:cs="Arial"/>
                <w:color w:val="000000"/>
                <w:sz w:val="18"/>
                <w:szCs w:val="18"/>
                <w:lang w:val="es-ES_tradnl" w:eastAsia="es-AR"/>
              </w:rPr>
            </w:pPr>
            <w:r>
              <w:rPr>
                <w:rFonts w:ascii="Arial" w:hAnsi="Arial" w:cs="Arial"/>
                <w:color w:val="000000"/>
                <w:sz w:val="18"/>
                <w:szCs w:val="18"/>
              </w:rPr>
              <w:t>13.583</w:t>
            </w:r>
          </w:p>
        </w:tc>
        <w:tc>
          <w:tcPr>
            <w:tcW w:w="1051" w:type="dxa"/>
            <w:tcBorders>
              <w:top w:val="nil"/>
              <w:left w:val="nil"/>
              <w:bottom w:val="nil"/>
              <w:right w:val="single" w:sz="4" w:space="0" w:color="auto"/>
            </w:tcBorders>
            <w:shd w:val="clear" w:color="auto" w:fill="auto"/>
            <w:noWrap/>
            <w:vAlign w:val="bottom"/>
          </w:tcPr>
          <w:p w14:paraId="5EACE2D7" w14:textId="7A544710" w:rsidR="00134C16" w:rsidRPr="00132437" w:rsidRDefault="00134C16">
            <w:pPr>
              <w:jc w:val="right"/>
              <w:rPr>
                <w:rFonts w:ascii="Arial" w:hAnsi="Arial" w:cs="Arial"/>
                <w:color w:val="000000"/>
                <w:sz w:val="18"/>
                <w:szCs w:val="18"/>
                <w:lang w:val="es-ES_tradnl" w:eastAsia="es-AR"/>
              </w:rPr>
            </w:pPr>
            <w:r>
              <w:rPr>
                <w:rFonts w:ascii="Arial" w:hAnsi="Arial" w:cs="Arial"/>
                <w:color w:val="000000"/>
                <w:sz w:val="18"/>
                <w:szCs w:val="18"/>
                <w:lang w:val="es-ES_tradnl" w:eastAsia="es-AR"/>
              </w:rPr>
              <w:t>-</w:t>
            </w:r>
          </w:p>
        </w:tc>
        <w:tc>
          <w:tcPr>
            <w:tcW w:w="1215" w:type="dxa"/>
            <w:tcBorders>
              <w:top w:val="nil"/>
              <w:left w:val="nil"/>
              <w:bottom w:val="nil"/>
              <w:right w:val="single" w:sz="8" w:space="0" w:color="auto"/>
            </w:tcBorders>
            <w:shd w:val="clear" w:color="auto" w:fill="auto"/>
            <w:noWrap/>
            <w:vAlign w:val="bottom"/>
          </w:tcPr>
          <w:p w14:paraId="29874DF7" w14:textId="73BF4C77" w:rsidR="00134C16" w:rsidRPr="00132437" w:rsidRDefault="00134C16">
            <w:pPr>
              <w:jc w:val="right"/>
              <w:rPr>
                <w:rFonts w:ascii="Arial" w:hAnsi="Arial" w:cs="Arial"/>
                <w:color w:val="000000"/>
                <w:sz w:val="18"/>
                <w:szCs w:val="18"/>
                <w:lang w:val="es-ES_tradnl" w:eastAsia="es-AR"/>
              </w:rPr>
            </w:pPr>
            <w:r>
              <w:rPr>
                <w:rFonts w:ascii="Arial" w:hAnsi="Arial" w:cs="Arial"/>
                <w:color w:val="000000"/>
                <w:sz w:val="18"/>
                <w:szCs w:val="18"/>
              </w:rPr>
              <w:t>114.672</w:t>
            </w:r>
          </w:p>
        </w:tc>
      </w:tr>
      <w:tr w:rsidR="00134C16" w:rsidRPr="00132437" w14:paraId="51632158" w14:textId="77777777" w:rsidTr="000D4B29">
        <w:trPr>
          <w:trHeight w:val="252"/>
        </w:trPr>
        <w:tc>
          <w:tcPr>
            <w:tcW w:w="417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0D5823E" w14:textId="77777777" w:rsidR="00134C16" w:rsidRPr="00EC349E" w:rsidRDefault="00134C16" w:rsidP="00134C16">
            <w:pPr>
              <w:rPr>
                <w:rFonts w:ascii="Arial" w:hAnsi="Arial" w:cs="Arial"/>
                <w:b/>
                <w:color w:val="000000"/>
                <w:sz w:val="18"/>
                <w:szCs w:val="18"/>
                <w:lang w:eastAsia="es-AR"/>
              </w:rPr>
            </w:pPr>
            <w:r w:rsidRPr="00EC349E">
              <w:rPr>
                <w:rFonts w:ascii="Arial" w:hAnsi="Arial" w:cs="Arial"/>
                <w:b/>
                <w:color w:val="000000"/>
                <w:sz w:val="18"/>
                <w:szCs w:val="18"/>
                <w:lang w:eastAsia="es-AR"/>
              </w:rPr>
              <w:t xml:space="preserve">Total </w:t>
            </w:r>
          </w:p>
        </w:tc>
        <w:tc>
          <w:tcPr>
            <w:tcW w:w="1442" w:type="dxa"/>
            <w:tcBorders>
              <w:top w:val="single" w:sz="8" w:space="0" w:color="auto"/>
              <w:left w:val="nil"/>
              <w:bottom w:val="single" w:sz="8" w:space="0" w:color="auto"/>
              <w:right w:val="single" w:sz="4" w:space="0" w:color="auto"/>
            </w:tcBorders>
            <w:shd w:val="clear" w:color="auto" w:fill="auto"/>
            <w:noWrap/>
            <w:vAlign w:val="bottom"/>
            <w:hideMark/>
          </w:tcPr>
          <w:p w14:paraId="29F26362" w14:textId="26B5D895" w:rsidR="00134C16" w:rsidRPr="00132437" w:rsidRDefault="00134C16">
            <w:pPr>
              <w:jc w:val="right"/>
              <w:rPr>
                <w:rFonts w:ascii="Arial" w:hAnsi="Arial" w:cs="Arial"/>
                <w:b/>
                <w:bCs/>
                <w:color w:val="000000"/>
                <w:sz w:val="18"/>
                <w:szCs w:val="18"/>
                <w:lang w:val="es-ES_tradnl" w:eastAsia="es-AR"/>
              </w:rPr>
            </w:pPr>
            <w:r w:rsidRPr="00132437">
              <w:rPr>
                <w:rFonts w:ascii="Arial" w:hAnsi="Arial" w:cs="Arial"/>
                <w:b/>
                <w:bCs/>
                <w:color w:val="000000"/>
                <w:sz w:val="18"/>
                <w:szCs w:val="18"/>
                <w:lang w:eastAsia="es-AR"/>
              </w:rPr>
              <w:t>388.585</w:t>
            </w:r>
          </w:p>
        </w:tc>
        <w:tc>
          <w:tcPr>
            <w:tcW w:w="1008" w:type="dxa"/>
            <w:tcBorders>
              <w:top w:val="single" w:sz="8" w:space="0" w:color="auto"/>
              <w:left w:val="nil"/>
              <w:bottom w:val="single" w:sz="8" w:space="0" w:color="auto"/>
              <w:right w:val="single" w:sz="4" w:space="0" w:color="auto"/>
            </w:tcBorders>
            <w:shd w:val="clear" w:color="auto" w:fill="auto"/>
            <w:noWrap/>
            <w:vAlign w:val="bottom"/>
          </w:tcPr>
          <w:p w14:paraId="52DB7ECB" w14:textId="37938FD6" w:rsidR="00134C16" w:rsidRPr="00132437" w:rsidRDefault="00134C16">
            <w:pPr>
              <w:jc w:val="right"/>
              <w:rPr>
                <w:rFonts w:ascii="Arial" w:hAnsi="Arial" w:cs="Arial"/>
                <w:b/>
                <w:bCs/>
                <w:color w:val="000000"/>
                <w:sz w:val="18"/>
                <w:szCs w:val="18"/>
                <w:lang w:val="es-ES_tradnl" w:eastAsia="es-AR"/>
              </w:rPr>
            </w:pPr>
            <w:r>
              <w:rPr>
                <w:rFonts w:ascii="Arial" w:hAnsi="Arial" w:cs="Arial"/>
                <w:b/>
                <w:bCs/>
                <w:color w:val="000000"/>
                <w:sz w:val="18"/>
                <w:szCs w:val="18"/>
              </w:rPr>
              <w:t>1.266.44</w:t>
            </w:r>
            <w:r w:rsidR="005A6875">
              <w:rPr>
                <w:rFonts w:ascii="Arial" w:hAnsi="Arial" w:cs="Arial"/>
                <w:b/>
                <w:bCs/>
                <w:color w:val="000000"/>
                <w:sz w:val="18"/>
                <w:szCs w:val="18"/>
              </w:rPr>
              <w:t>5</w:t>
            </w:r>
          </w:p>
        </w:tc>
        <w:tc>
          <w:tcPr>
            <w:tcW w:w="1051" w:type="dxa"/>
            <w:tcBorders>
              <w:top w:val="single" w:sz="8" w:space="0" w:color="auto"/>
              <w:left w:val="nil"/>
              <w:bottom w:val="single" w:sz="8" w:space="0" w:color="auto"/>
              <w:right w:val="single" w:sz="4" w:space="0" w:color="auto"/>
            </w:tcBorders>
            <w:shd w:val="clear" w:color="auto" w:fill="auto"/>
            <w:noWrap/>
            <w:vAlign w:val="bottom"/>
          </w:tcPr>
          <w:p w14:paraId="499C0391" w14:textId="24BEACDB" w:rsidR="00134C16" w:rsidRPr="00132437" w:rsidRDefault="00134C16">
            <w:pPr>
              <w:jc w:val="right"/>
              <w:rPr>
                <w:rFonts w:ascii="Arial" w:hAnsi="Arial" w:cs="Arial"/>
                <w:b/>
                <w:bCs/>
                <w:color w:val="000000"/>
                <w:sz w:val="18"/>
                <w:szCs w:val="18"/>
                <w:lang w:val="es-ES_tradnl" w:eastAsia="es-AR"/>
              </w:rPr>
            </w:pPr>
            <w:r>
              <w:rPr>
                <w:rFonts w:ascii="Arial" w:hAnsi="Arial" w:cs="Arial"/>
                <w:b/>
                <w:bCs/>
                <w:color w:val="000000"/>
                <w:sz w:val="18"/>
                <w:szCs w:val="18"/>
              </w:rPr>
              <w:t>-152.76</w:t>
            </w:r>
            <w:r w:rsidR="005A6875">
              <w:rPr>
                <w:rFonts w:ascii="Arial" w:hAnsi="Arial" w:cs="Arial"/>
                <w:b/>
                <w:bCs/>
                <w:color w:val="000000"/>
                <w:sz w:val="18"/>
                <w:szCs w:val="18"/>
              </w:rPr>
              <w:t>3</w:t>
            </w:r>
          </w:p>
        </w:tc>
        <w:tc>
          <w:tcPr>
            <w:tcW w:w="1215" w:type="dxa"/>
            <w:tcBorders>
              <w:top w:val="single" w:sz="8" w:space="0" w:color="auto"/>
              <w:left w:val="nil"/>
              <w:bottom w:val="single" w:sz="8" w:space="0" w:color="auto"/>
              <w:right w:val="single" w:sz="4" w:space="0" w:color="auto"/>
            </w:tcBorders>
            <w:shd w:val="clear" w:color="auto" w:fill="auto"/>
            <w:noWrap/>
            <w:vAlign w:val="bottom"/>
          </w:tcPr>
          <w:p w14:paraId="0141B902" w14:textId="2D1F37E4" w:rsidR="00134C16" w:rsidRPr="00132437" w:rsidRDefault="00134C16">
            <w:pPr>
              <w:jc w:val="right"/>
              <w:rPr>
                <w:rFonts w:ascii="Arial" w:hAnsi="Arial" w:cs="Arial"/>
                <w:b/>
                <w:bCs/>
                <w:color w:val="000000"/>
                <w:sz w:val="18"/>
                <w:szCs w:val="18"/>
                <w:lang w:val="es-ES_tradnl" w:eastAsia="es-AR"/>
              </w:rPr>
            </w:pPr>
            <w:r>
              <w:rPr>
                <w:rFonts w:ascii="Arial" w:hAnsi="Arial" w:cs="Arial"/>
                <w:b/>
                <w:bCs/>
                <w:color w:val="000000"/>
                <w:sz w:val="18"/>
                <w:szCs w:val="18"/>
              </w:rPr>
              <w:t>1.502.267</w:t>
            </w:r>
          </w:p>
        </w:tc>
      </w:tr>
    </w:tbl>
    <w:p w14:paraId="63031FD5" w14:textId="77777777" w:rsidR="00BA29F2" w:rsidRDefault="00BA29F2" w:rsidP="00BA29F2">
      <w:pPr>
        <w:jc w:val="both"/>
        <w:rPr>
          <w:rFonts w:ascii="Arial" w:hAnsi="Arial" w:cs="Arial"/>
          <w:sz w:val="20"/>
          <w:highlight w:val="yellow"/>
        </w:rPr>
      </w:pPr>
    </w:p>
    <w:p w14:paraId="2B74C49A" w14:textId="77777777" w:rsidR="00BA29F2" w:rsidRPr="00EC349E" w:rsidRDefault="00BA29F2" w:rsidP="00BA29F2">
      <w:pPr>
        <w:jc w:val="both"/>
        <w:rPr>
          <w:rFonts w:ascii="Arial" w:hAnsi="Arial" w:cs="Arial"/>
          <w:sz w:val="20"/>
          <w:highlight w:val="yellow"/>
        </w:rPr>
      </w:pPr>
    </w:p>
    <w:p w14:paraId="39A701A5" w14:textId="77777777" w:rsidR="00BA29F2" w:rsidRPr="00D26FA6" w:rsidRDefault="00BA29F2" w:rsidP="00BA29F2">
      <w:pPr>
        <w:jc w:val="both"/>
        <w:rPr>
          <w:rFonts w:ascii="Arial" w:eastAsia="SimSun" w:hAnsi="Arial" w:cs="Arial"/>
          <w:sz w:val="20"/>
          <w:lang w:eastAsia="zh-CN"/>
        </w:rPr>
      </w:pPr>
      <w:r w:rsidRPr="00740A38">
        <w:rPr>
          <w:rFonts w:ascii="Arial" w:eastAsia="SimSun" w:hAnsi="Arial" w:cs="Arial"/>
          <w:sz w:val="20"/>
          <w:lang w:eastAsia="zh-CN"/>
        </w:rPr>
        <w:t>Según el análisis realizado por el Banco, se considera que los activos detallados con anterioridad cumplen los requisitos para considerarlos recuperables y de esta forma realizar el reconocimiento correspondiente.</w:t>
      </w:r>
    </w:p>
    <w:p w14:paraId="56F6DC2D" w14:textId="77777777" w:rsidR="00BA29F2" w:rsidRDefault="00BA29F2" w:rsidP="00BA29F2">
      <w:pPr>
        <w:jc w:val="both"/>
        <w:rPr>
          <w:rFonts w:ascii="Arial" w:eastAsia="Calibri" w:hAnsi="Arial" w:cs="Arial"/>
          <w:b/>
          <w:bCs/>
          <w:sz w:val="20"/>
        </w:rPr>
      </w:pPr>
    </w:p>
    <w:p w14:paraId="57697DE4" w14:textId="77777777" w:rsidR="00BA29F2" w:rsidRPr="00E446C3" w:rsidRDefault="00BA29F2" w:rsidP="00BA29F2">
      <w:pPr>
        <w:pStyle w:val="Style1"/>
        <w:jc w:val="both"/>
        <w:rPr>
          <w:rFonts w:ascii="Arial" w:eastAsia="SimSun" w:hAnsi="Arial" w:cs="Arial"/>
          <w:noProof w:val="0"/>
          <w:szCs w:val="20"/>
          <w:lang w:eastAsia="zh-CN"/>
        </w:rPr>
      </w:pPr>
      <w:r w:rsidRPr="00E446C3">
        <w:rPr>
          <w:rFonts w:ascii="Arial" w:eastAsia="SimSun" w:hAnsi="Arial" w:cs="Arial"/>
          <w:noProof w:val="0"/>
          <w:szCs w:val="20"/>
          <w:lang w:eastAsia="zh-CN"/>
        </w:rPr>
        <w:t>El plazo de reversión estimado de los activos y pasivos diferidos es el siguiente:</w:t>
      </w:r>
    </w:p>
    <w:p w14:paraId="050F81FA" w14:textId="77777777" w:rsidR="00BA29F2" w:rsidRPr="00E446C3" w:rsidRDefault="00BA29F2" w:rsidP="00BA29F2">
      <w:pPr>
        <w:pStyle w:val="Style1"/>
        <w:jc w:val="both"/>
        <w:rPr>
          <w:rFonts w:ascii="Arial" w:hAnsi="Arial" w:cs="Arial"/>
          <w:sz w:val="18"/>
          <w:szCs w:val="18"/>
          <w:lang w:eastAsia="es-ES"/>
        </w:rPr>
      </w:pPr>
    </w:p>
    <w:tbl>
      <w:tblPr>
        <w:tblW w:w="4377" w:type="pct"/>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6"/>
        <w:gridCol w:w="1118"/>
      </w:tblGrid>
      <w:tr w:rsidR="00BA29F2" w:rsidRPr="004D1CDF" w14:paraId="0E30A14E" w14:textId="77777777" w:rsidTr="00BA29F2">
        <w:trPr>
          <w:trHeight w:val="252"/>
        </w:trPr>
        <w:tc>
          <w:tcPr>
            <w:tcW w:w="4268" w:type="pct"/>
          </w:tcPr>
          <w:p w14:paraId="3EFA07BF" w14:textId="77777777" w:rsidR="00BA29F2" w:rsidRPr="00E446C3" w:rsidRDefault="00BA29F2" w:rsidP="00BA29F2">
            <w:pPr>
              <w:ind w:left="113"/>
              <w:rPr>
                <w:rFonts w:ascii="Arial" w:hAnsi="Arial" w:cs="Arial"/>
                <w:sz w:val="18"/>
                <w:szCs w:val="18"/>
              </w:rPr>
            </w:pPr>
          </w:p>
          <w:p w14:paraId="1907FF82" w14:textId="77777777" w:rsidR="00BA29F2" w:rsidRPr="00E446C3" w:rsidRDefault="00BA29F2" w:rsidP="00BA29F2">
            <w:pPr>
              <w:widowControl w:val="0"/>
              <w:autoSpaceDE w:val="0"/>
              <w:autoSpaceDN w:val="0"/>
              <w:adjustRightInd w:val="0"/>
              <w:ind w:left="113"/>
              <w:rPr>
                <w:rFonts w:ascii="Arial" w:hAnsi="Arial" w:cs="Arial"/>
                <w:sz w:val="18"/>
                <w:szCs w:val="18"/>
              </w:rPr>
            </w:pPr>
          </w:p>
        </w:tc>
        <w:tc>
          <w:tcPr>
            <w:tcW w:w="732" w:type="pct"/>
            <w:vAlign w:val="center"/>
          </w:tcPr>
          <w:p w14:paraId="62E1DEE3" w14:textId="040BA7C8" w:rsidR="00BA29F2" w:rsidRPr="00E446C3" w:rsidRDefault="00BA29F2" w:rsidP="00BA29F2">
            <w:pPr>
              <w:jc w:val="center"/>
              <w:rPr>
                <w:rFonts w:ascii="Arial" w:hAnsi="Arial" w:cs="Arial"/>
                <w:b/>
                <w:sz w:val="18"/>
                <w:szCs w:val="18"/>
              </w:rPr>
            </w:pPr>
            <w:r w:rsidRPr="00E446C3">
              <w:rPr>
                <w:rFonts w:ascii="Arial" w:hAnsi="Arial" w:cs="Arial"/>
                <w:b/>
                <w:sz w:val="18"/>
                <w:szCs w:val="18"/>
              </w:rPr>
              <w:t>31/12/201</w:t>
            </w:r>
            <w:r w:rsidR="00AE0907">
              <w:rPr>
                <w:rFonts w:ascii="Arial" w:hAnsi="Arial" w:cs="Arial"/>
                <w:b/>
                <w:sz w:val="18"/>
                <w:szCs w:val="18"/>
              </w:rPr>
              <w:t>9</w:t>
            </w:r>
          </w:p>
        </w:tc>
      </w:tr>
      <w:tr w:rsidR="009E6038" w:rsidRPr="004D1CDF" w14:paraId="3523FF98" w14:textId="77777777" w:rsidTr="006E1AF7">
        <w:tc>
          <w:tcPr>
            <w:tcW w:w="4268" w:type="pct"/>
            <w:vAlign w:val="bottom"/>
          </w:tcPr>
          <w:p w14:paraId="7AA8E3F5" w14:textId="77777777" w:rsidR="009E6038" w:rsidRPr="00E446C3" w:rsidRDefault="009E6038" w:rsidP="009E6038">
            <w:pPr>
              <w:ind w:left="97"/>
              <w:rPr>
                <w:rFonts w:ascii="Arial" w:hAnsi="Arial" w:cs="Arial"/>
                <w:sz w:val="18"/>
                <w:szCs w:val="18"/>
              </w:rPr>
            </w:pPr>
            <w:r w:rsidRPr="00E446C3">
              <w:rPr>
                <w:rFonts w:ascii="Arial" w:hAnsi="Arial" w:cs="Arial"/>
                <w:sz w:val="18"/>
                <w:szCs w:val="18"/>
              </w:rPr>
              <w:t>Impuestos diferidos a recuperar en más de 12 meses</w:t>
            </w:r>
          </w:p>
        </w:tc>
        <w:tc>
          <w:tcPr>
            <w:tcW w:w="732" w:type="pct"/>
            <w:vAlign w:val="bottom"/>
          </w:tcPr>
          <w:p w14:paraId="3C3E17CE" w14:textId="7962B2B2" w:rsidR="009E6038" w:rsidRPr="009E6038" w:rsidRDefault="009E6038">
            <w:pPr>
              <w:ind w:right="-77"/>
              <w:jc w:val="right"/>
              <w:rPr>
                <w:rFonts w:ascii="Arial" w:hAnsi="Arial" w:cs="Arial"/>
                <w:sz w:val="18"/>
                <w:szCs w:val="18"/>
              </w:rPr>
            </w:pPr>
            <w:r w:rsidRPr="006E1AF7">
              <w:rPr>
                <w:rFonts w:ascii="Arial" w:hAnsi="Arial" w:cs="Arial"/>
                <w:color w:val="000000"/>
                <w:sz w:val="18"/>
                <w:szCs w:val="18"/>
              </w:rPr>
              <w:t>1.486.575</w:t>
            </w:r>
          </w:p>
        </w:tc>
      </w:tr>
      <w:tr w:rsidR="009E6038" w:rsidRPr="004D1CDF" w14:paraId="6EF3CFA3" w14:textId="77777777" w:rsidTr="006E1AF7">
        <w:tc>
          <w:tcPr>
            <w:tcW w:w="4268" w:type="pct"/>
            <w:vAlign w:val="bottom"/>
          </w:tcPr>
          <w:p w14:paraId="4111482E" w14:textId="77777777" w:rsidR="009E6038" w:rsidRPr="00E446C3" w:rsidRDefault="009E6038" w:rsidP="009E6038">
            <w:pPr>
              <w:ind w:left="97"/>
              <w:rPr>
                <w:rFonts w:ascii="Arial" w:hAnsi="Arial" w:cs="Arial"/>
                <w:sz w:val="18"/>
                <w:szCs w:val="18"/>
              </w:rPr>
            </w:pPr>
            <w:r w:rsidRPr="00E446C3">
              <w:rPr>
                <w:rFonts w:ascii="Arial" w:hAnsi="Arial" w:cs="Arial"/>
                <w:sz w:val="18"/>
                <w:szCs w:val="18"/>
              </w:rPr>
              <w:t>Impuestos diferidos a recuperar en 12 meses</w:t>
            </w:r>
          </w:p>
        </w:tc>
        <w:tc>
          <w:tcPr>
            <w:tcW w:w="732" w:type="pct"/>
            <w:vAlign w:val="bottom"/>
          </w:tcPr>
          <w:p w14:paraId="4F0ADE02" w14:textId="53471427" w:rsidR="009E6038" w:rsidRPr="009E6038" w:rsidRDefault="009E6038">
            <w:pPr>
              <w:ind w:right="-77"/>
              <w:jc w:val="right"/>
              <w:rPr>
                <w:rFonts w:ascii="Arial" w:hAnsi="Arial" w:cs="Arial"/>
                <w:sz w:val="18"/>
                <w:szCs w:val="18"/>
              </w:rPr>
            </w:pPr>
            <w:r w:rsidRPr="006E1AF7">
              <w:rPr>
                <w:rFonts w:ascii="Arial" w:hAnsi="Arial" w:cs="Arial"/>
                <w:color w:val="000000"/>
                <w:sz w:val="18"/>
                <w:szCs w:val="18"/>
              </w:rPr>
              <w:t>691.489</w:t>
            </w:r>
          </w:p>
        </w:tc>
      </w:tr>
      <w:tr w:rsidR="009E6038" w:rsidRPr="004D1CDF" w14:paraId="67803A9D" w14:textId="77777777" w:rsidTr="006E1AF7">
        <w:tc>
          <w:tcPr>
            <w:tcW w:w="4268" w:type="pct"/>
            <w:vAlign w:val="bottom"/>
          </w:tcPr>
          <w:p w14:paraId="1A71830C" w14:textId="77777777" w:rsidR="009E6038" w:rsidRPr="00E446C3" w:rsidRDefault="009E6038" w:rsidP="009E6038">
            <w:pPr>
              <w:ind w:left="97"/>
              <w:rPr>
                <w:rStyle w:val="Textoennegrita"/>
                <w:rFonts w:ascii="Arial" w:hAnsi="Arial" w:cs="Arial"/>
                <w:sz w:val="18"/>
                <w:szCs w:val="18"/>
              </w:rPr>
            </w:pPr>
            <w:r w:rsidRPr="00E446C3">
              <w:rPr>
                <w:rStyle w:val="Textoennegrita"/>
                <w:rFonts w:ascii="Arial" w:hAnsi="Arial" w:cs="Arial"/>
                <w:sz w:val="18"/>
                <w:szCs w:val="18"/>
              </w:rPr>
              <w:t>Subtotal - Activos por impuestos diferidos</w:t>
            </w:r>
          </w:p>
        </w:tc>
        <w:tc>
          <w:tcPr>
            <w:tcW w:w="732" w:type="pct"/>
            <w:vAlign w:val="bottom"/>
          </w:tcPr>
          <w:p w14:paraId="0FBD2D51" w14:textId="03B0700B" w:rsidR="009E6038" w:rsidRPr="009E6038" w:rsidRDefault="009E6038">
            <w:pPr>
              <w:ind w:right="-77"/>
              <w:jc w:val="right"/>
              <w:rPr>
                <w:rFonts w:ascii="Arial" w:hAnsi="Arial" w:cs="Arial"/>
                <w:b/>
                <w:sz w:val="18"/>
                <w:szCs w:val="18"/>
              </w:rPr>
            </w:pPr>
            <w:r w:rsidRPr="006E1AF7">
              <w:rPr>
                <w:rFonts w:ascii="Arial" w:hAnsi="Arial" w:cs="Arial"/>
                <w:b/>
                <w:bCs/>
                <w:color w:val="000000"/>
                <w:sz w:val="18"/>
                <w:szCs w:val="18"/>
              </w:rPr>
              <w:t>2.178.064</w:t>
            </w:r>
          </w:p>
        </w:tc>
      </w:tr>
      <w:tr w:rsidR="009E6038" w:rsidRPr="004D1CDF" w14:paraId="2820701C" w14:textId="77777777" w:rsidTr="006E1AF7">
        <w:tc>
          <w:tcPr>
            <w:tcW w:w="4268" w:type="pct"/>
            <w:vAlign w:val="bottom"/>
          </w:tcPr>
          <w:p w14:paraId="3D559019" w14:textId="77777777" w:rsidR="009E6038" w:rsidRPr="00E446C3" w:rsidRDefault="009E6038" w:rsidP="009E6038">
            <w:pPr>
              <w:ind w:left="97"/>
              <w:rPr>
                <w:rFonts w:ascii="Arial" w:hAnsi="Arial" w:cs="Arial"/>
                <w:sz w:val="18"/>
                <w:szCs w:val="18"/>
              </w:rPr>
            </w:pPr>
            <w:r w:rsidRPr="00E446C3">
              <w:rPr>
                <w:rFonts w:ascii="Arial" w:hAnsi="Arial" w:cs="Arial"/>
                <w:sz w:val="18"/>
                <w:szCs w:val="18"/>
              </w:rPr>
              <w:t>Impuestos diferidos a cancelar en más de 12 meses</w:t>
            </w:r>
          </w:p>
        </w:tc>
        <w:tc>
          <w:tcPr>
            <w:tcW w:w="732" w:type="pct"/>
            <w:vAlign w:val="bottom"/>
          </w:tcPr>
          <w:p w14:paraId="1685DA9D" w14:textId="49950F30" w:rsidR="009E6038" w:rsidRPr="009E6038" w:rsidRDefault="009E6038">
            <w:pPr>
              <w:ind w:right="-77"/>
              <w:jc w:val="right"/>
              <w:rPr>
                <w:rFonts w:ascii="Arial" w:hAnsi="Arial" w:cs="Arial"/>
                <w:sz w:val="18"/>
                <w:szCs w:val="18"/>
              </w:rPr>
            </w:pPr>
            <w:r w:rsidRPr="006E1AF7">
              <w:rPr>
                <w:rFonts w:ascii="Arial" w:hAnsi="Arial" w:cs="Arial"/>
                <w:color w:val="000000"/>
                <w:sz w:val="18"/>
                <w:szCs w:val="18"/>
              </w:rPr>
              <w:t>627.871</w:t>
            </w:r>
          </w:p>
        </w:tc>
      </w:tr>
      <w:tr w:rsidR="009E6038" w:rsidRPr="004D1CDF" w14:paraId="25DDBBF8" w14:textId="77777777" w:rsidTr="006E1AF7">
        <w:tc>
          <w:tcPr>
            <w:tcW w:w="4268" w:type="pct"/>
            <w:vAlign w:val="bottom"/>
          </w:tcPr>
          <w:p w14:paraId="7F79A90D" w14:textId="77777777" w:rsidR="009E6038" w:rsidRPr="00E446C3" w:rsidRDefault="009E6038" w:rsidP="009E6038">
            <w:pPr>
              <w:ind w:left="97"/>
              <w:rPr>
                <w:rFonts w:ascii="Arial" w:hAnsi="Arial" w:cs="Arial"/>
                <w:sz w:val="18"/>
                <w:szCs w:val="18"/>
              </w:rPr>
            </w:pPr>
            <w:r w:rsidRPr="00E446C3">
              <w:rPr>
                <w:rFonts w:ascii="Arial" w:hAnsi="Arial" w:cs="Arial"/>
                <w:sz w:val="18"/>
                <w:szCs w:val="18"/>
              </w:rPr>
              <w:t>Impuestos diferidos a cancelar en 12 meses</w:t>
            </w:r>
          </w:p>
        </w:tc>
        <w:tc>
          <w:tcPr>
            <w:tcW w:w="732" w:type="pct"/>
            <w:vAlign w:val="bottom"/>
          </w:tcPr>
          <w:p w14:paraId="7957517A" w14:textId="49BC2047" w:rsidR="009E6038" w:rsidRPr="009E6038" w:rsidRDefault="009E6038">
            <w:pPr>
              <w:ind w:right="-77"/>
              <w:jc w:val="right"/>
              <w:rPr>
                <w:rFonts w:ascii="Arial" w:hAnsi="Arial" w:cs="Arial"/>
                <w:sz w:val="18"/>
                <w:szCs w:val="18"/>
              </w:rPr>
            </w:pPr>
            <w:r w:rsidRPr="006E1AF7">
              <w:rPr>
                <w:rFonts w:ascii="Arial" w:hAnsi="Arial" w:cs="Arial"/>
                <w:color w:val="000000"/>
                <w:sz w:val="18"/>
                <w:szCs w:val="18"/>
              </w:rPr>
              <w:t>47.</w:t>
            </w:r>
            <w:r w:rsidR="009F560D" w:rsidRPr="006E1AF7">
              <w:rPr>
                <w:rFonts w:ascii="Arial" w:hAnsi="Arial" w:cs="Arial"/>
                <w:color w:val="000000"/>
                <w:sz w:val="18"/>
                <w:szCs w:val="18"/>
              </w:rPr>
              <w:t>92</w:t>
            </w:r>
            <w:r w:rsidR="009F560D">
              <w:rPr>
                <w:rFonts w:ascii="Arial" w:hAnsi="Arial" w:cs="Arial"/>
                <w:color w:val="000000"/>
                <w:sz w:val="18"/>
                <w:szCs w:val="18"/>
              </w:rPr>
              <w:t>6</w:t>
            </w:r>
          </w:p>
        </w:tc>
      </w:tr>
      <w:tr w:rsidR="009E6038" w:rsidRPr="004D1CDF" w14:paraId="38ADD28C" w14:textId="77777777" w:rsidTr="006E1AF7">
        <w:tc>
          <w:tcPr>
            <w:tcW w:w="4268" w:type="pct"/>
            <w:vAlign w:val="bottom"/>
          </w:tcPr>
          <w:p w14:paraId="4680DC4E" w14:textId="77777777" w:rsidR="009E6038" w:rsidRPr="00E446C3" w:rsidRDefault="009E6038" w:rsidP="009E6038">
            <w:pPr>
              <w:ind w:left="97"/>
              <w:rPr>
                <w:rFonts w:ascii="Arial" w:hAnsi="Arial" w:cs="Arial"/>
                <w:b/>
                <w:sz w:val="18"/>
                <w:szCs w:val="18"/>
              </w:rPr>
            </w:pPr>
            <w:r w:rsidRPr="00E446C3">
              <w:rPr>
                <w:rFonts w:ascii="Arial" w:hAnsi="Arial" w:cs="Arial"/>
                <w:b/>
                <w:sz w:val="18"/>
                <w:szCs w:val="18"/>
              </w:rPr>
              <w:t>Subtotal</w:t>
            </w:r>
            <w:r w:rsidRPr="00E446C3">
              <w:rPr>
                <w:rStyle w:val="Textoennegrita"/>
                <w:rFonts w:ascii="Arial" w:hAnsi="Arial" w:cs="Arial"/>
                <w:sz w:val="18"/>
                <w:szCs w:val="18"/>
              </w:rPr>
              <w:t xml:space="preserve"> - Pasivos por impuestos diferidos</w:t>
            </w:r>
          </w:p>
        </w:tc>
        <w:tc>
          <w:tcPr>
            <w:tcW w:w="732" w:type="pct"/>
            <w:vAlign w:val="bottom"/>
          </w:tcPr>
          <w:p w14:paraId="5890738D" w14:textId="512F1CA8" w:rsidR="009E6038" w:rsidRPr="009E6038" w:rsidRDefault="009E6038">
            <w:pPr>
              <w:ind w:right="-77"/>
              <w:jc w:val="right"/>
              <w:rPr>
                <w:rFonts w:ascii="Arial" w:hAnsi="Arial" w:cs="Arial"/>
                <w:b/>
                <w:sz w:val="18"/>
                <w:szCs w:val="18"/>
              </w:rPr>
            </w:pPr>
            <w:r w:rsidRPr="006E1AF7">
              <w:rPr>
                <w:rFonts w:ascii="Arial" w:hAnsi="Arial" w:cs="Arial"/>
                <w:b/>
                <w:bCs/>
                <w:color w:val="000000"/>
                <w:sz w:val="18"/>
                <w:szCs w:val="18"/>
              </w:rPr>
              <w:t>675.</w:t>
            </w:r>
            <w:r w:rsidR="009F560D" w:rsidRPr="006E1AF7">
              <w:rPr>
                <w:rFonts w:ascii="Arial" w:hAnsi="Arial" w:cs="Arial"/>
                <w:b/>
                <w:bCs/>
                <w:color w:val="000000"/>
                <w:sz w:val="18"/>
                <w:szCs w:val="18"/>
              </w:rPr>
              <w:t>79</w:t>
            </w:r>
            <w:r w:rsidR="009F560D">
              <w:rPr>
                <w:rFonts w:ascii="Arial" w:hAnsi="Arial" w:cs="Arial"/>
                <w:b/>
                <w:bCs/>
                <w:color w:val="000000"/>
                <w:sz w:val="18"/>
                <w:szCs w:val="18"/>
              </w:rPr>
              <w:t>7</w:t>
            </w:r>
          </w:p>
        </w:tc>
      </w:tr>
      <w:tr w:rsidR="009E6038" w:rsidRPr="004D1CDF" w14:paraId="39F37299" w14:textId="77777777" w:rsidTr="006E1AF7">
        <w:tc>
          <w:tcPr>
            <w:tcW w:w="4268" w:type="pct"/>
            <w:vAlign w:val="bottom"/>
          </w:tcPr>
          <w:p w14:paraId="7F731507" w14:textId="3861E7E5" w:rsidR="009E6038" w:rsidRPr="00E446C3" w:rsidRDefault="009E6038" w:rsidP="009E6038">
            <w:pPr>
              <w:ind w:left="113"/>
              <w:rPr>
                <w:rFonts w:ascii="Arial" w:hAnsi="Arial" w:cs="Arial"/>
                <w:b/>
                <w:sz w:val="18"/>
                <w:szCs w:val="18"/>
              </w:rPr>
            </w:pPr>
            <w:r w:rsidRPr="00E446C3">
              <w:rPr>
                <w:rFonts w:ascii="Arial" w:hAnsi="Arial" w:cs="Arial"/>
                <w:b/>
                <w:sz w:val="18"/>
                <w:szCs w:val="18"/>
              </w:rPr>
              <w:t>TOTAL ACTIVO NETO POR IMPUESTO DIFERIDO</w:t>
            </w:r>
          </w:p>
        </w:tc>
        <w:tc>
          <w:tcPr>
            <w:tcW w:w="732" w:type="pct"/>
            <w:vAlign w:val="bottom"/>
          </w:tcPr>
          <w:p w14:paraId="7CFABB61" w14:textId="16BB54D0" w:rsidR="009E6038" w:rsidRPr="000D4B29" w:rsidRDefault="009E6038">
            <w:pPr>
              <w:ind w:left="113" w:right="-77"/>
              <w:jc w:val="right"/>
              <w:rPr>
                <w:rFonts w:ascii="Arial" w:hAnsi="Arial" w:cs="Arial"/>
                <w:b/>
                <w:sz w:val="18"/>
                <w:szCs w:val="18"/>
              </w:rPr>
            </w:pPr>
            <w:r w:rsidRPr="006E1AF7">
              <w:rPr>
                <w:rFonts w:ascii="Arial" w:hAnsi="Arial" w:cs="Arial"/>
                <w:b/>
                <w:color w:val="000000"/>
                <w:sz w:val="18"/>
                <w:szCs w:val="18"/>
              </w:rPr>
              <w:t>1.502.267</w:t>
            </w:r>
          </w:p>
        </w:tc>
      </w:tr>
    </w:tbl>
    <w:p w14:paraId="30A31B45" w14:textId="77777777" w:rsidR="00037C01" w:rsidRDefault="00037C01" w:rsidP="004933F7">
      <w:pPr>
        <w:spacing w:after="160" w:line="259" w:lineRule="auto"/>
        <w:jc w:val="both"/>
        <w:rPr>
          <w:rFonts w:ascii="Arial" w:eastAsia="Calibri" w:hAnsi="Arial" w:cs="Arial"/>
          <w:bCs/>
          <w:sz w:val="16"/>
          <w:szCs w:val="16"/>
        </w:rPr>
      </w:pPr>
    </w:p>
    <w:p w14:paraId="0C28C672" w14:textId="34F03604" w:rsidR="00A06BE9" w:rsidRPr="00701F32" w:rsidRDefault="00BA29F2" w:rsidP="00A06BE9">
      <w:pPr>
        <w:spacing w:after="160" w:line="259" w:lineRule="auto"/>
        <w:jc w:val="both"/>
        <w:rPr>
          <w:rFonts w:ascii="Arial" w:eastAsia="Calibri" w:hAnsi="Arial" w:cs="Arial"/>
          <w:b/>
          <w:color w:val="943634"/>
          <w:sz w:val="20"/>
        </w:rPr>
      </w:pPr>
      <w:r>
        <w:rPr>
          <w:rFonts w:ascii="Arial" w:eastAsia="Calibri" w:hAnsi="Arial" w:cs="Arial"/>
          <w:b/>
          <w:bCs/>
          <w:sz w:val="20"/>
        </w:rPr>
        <w:t>5</w:t>
      </w:r>
      <w:r w:rsidR="00A06BE9" w:rsidRPr="00DC0CC4">
        <w:rPr>
          <w:rFonts w:ascii="Arial" w:eastAsia="Calibri" w:hAnsi="Arial" w:cs="Arial"/>
          <w:b/>
          <w:bCs/>
          <w:sz w:val="20"/>
        </w:rPr>
        <w:t xml:space="preserve">. </w:t>
      </w:r>
      <w:r w:rsidR="00582EAB" w:rsidRPr="00DC0CC4">
        <w:rPr>
          <w:rFonts w:ascii="Arial" w:eastAsia="Calibri" w:hAnsi="Arial" w:cs="Arial"/>
          <w:b/>
          <w:bCs/>
          <w:sz w:val="20"/>
        </w:rPr>
        <w:t>VALORES RAZONABLES</w:t>
      </w:r>
    </w:p>
    <w:p w14:paraId="255CF751" w14:textId="1F0A01F4" w:rsidR="00AE0907" w:rsidRPr="00701F32" w:rsidRDefault="00AE0907" w:rsidP="00AE09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El valor razonable es definido como el importe por el cual un activo podría ser intercambiado o un pasivo liquidado, en condiciones de independencia mutua entre participantes del mercado principal (o más ventajoso) correctamente informados y dispuestos a ello en una transacción ordenada y corriente, a la fecha de medición en las condiciones actuales del mercado independientemente de si ese precio es directamente observable o estimado utilizando una técnica de valoración bajo el supuesto que la Entidad es una empresa en marcha .</w:t>
      </w:r>
    </w:p>
    <w:p w14:paraId="7A88B7D0" w14:textId="77777777" w:rsidR="00AE0907" w:rsidRPr="00701F32" w:rsidRDefault="00AE0907" w:rsidP="00AE09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243877E9" w14:textId="6A009B26" w:rsidR="00AE0907" w:rsidRDefault="00AE0907" w:rsidP="00AE0907">
      <w:pPr>
        <w:spacing w:after="160" w:line="259" w:lineRule="auto"/>
        <w:jc w:val="both"/>
        <w:rPr>
          <w:rFonts w:ascii="Arial" w:eastAsia="Calibri" w:hAnsi="Arial" w:cs="Arial"/>
          <w:bCs/>
          <w:sz w:val="20"/>
        </w:rPr>
      </w:pPr>
      <w:r w:rsidRPr="00701F32">
        <w:rPr>
          <w:rFonts w:ascii="Arial" w:hAnsi="Arial" w:cs="Arial"/>
          <w:sz w:val="20"/>
          <w:lang w:eastAsia="es-AR"/>
        </w:rPr>
        <w:t>Cuando un instrumento financiero es comercializado en un mercado líquido y activo, su precio negociado en el mercado en una transacción real brinda la mejor evidencia de su valor razonable. Cuando no se cuenta con el precio estipulado en el mercado o éste no puede ser un indicativo del valor razonable del instrumento, para determinar dicho valor razonable se puede utilizar el valor de mercado de otro instrumento de similares características, el análisis de flujos descontados u otras técnicas aplicables; las cuales se ven afectadas de manera significativa por los supuestos utilizados.</w:t>
      </w:r>
    </w:p>
    <w:p w14:paraId="6C2B9431" w14:textId="3205D13A" w:rsidR="00A06BE9" w:rsidRPr="00701F32" w:rsidRDefault="00A06BE9" w:rsidP="00A06BE9">
      <w:pPr>
        <w:spacing w:after="160" w:line="259" w:lineRule="auto"/>
        <w:jc w:val="both"/>
        <w:rPr>
          <w:rFonts w:ascii="Arial" w:eastAsia="Calibri" w:hAnsi="Arial" w:cs="Arial"/>
          <w:bCs/>
          <w:sz w:val="20"/>
        </w:rPr>
      </w:pPr>
      <w:r w:rsidRPr="00701F32">
        <w:rPr>
          <w:rFonts w:ascii="Arial" w:eastAsia="Calibri" w:hAnsi="Arial" w:cs="Arial"/>
          <w:bCs/>
          <w:sz w:val="20"/>
        </w:rPr>
        <w:t xml:space="preserve">La Entidad clasifica los valores razonables de los instrumentos financieros en tres niveles, de acuerdo a la calidad de los datos utilizados para su determinación. </w:t>
      </w:r>
    </w:p>
    <w:p w14:paraId="5EE0FA5C" w14:textId="21A9D28D" w:rsidR="00A06BE9" w:rsidRPr="00701F32" w:rsidRDefault="00A06BE9" w:rsidP="00A06BE9">
      <w:pPr>
        <w:autoSpaceDE w:val="0"/>
        <w:autoSpaceDN w:val="0"/>
        <w:adjustRightInd w:val="0"/>
        <w:jc w:val="both"/>
        <w:rPr>
          <w:rFonts w:ascii="Arial" w:eastAsia="Calibri" w:hAnsi="Arial" w:cs="Arial"/>
          <w:color w:val="000000"/>
          <w:sz w:val="20"/>
        </w:rPr>
      </w:pPr>
      <w:r w:rsidRPr="00701F32">
        <w:rPr>
          <w:rFonts w:ascii="Arial" w:eastAsia="Calibri" w:hAnsi="Arial" w:cs="Arial"/>
          <w:bCs/>
          <w:color w:val="000000"/>
          <w:sz w:val="20"/>
        </w:rPr>
        <w:t>Valor Razonable Nivel 1: El</w:t>
      </w:r>
      <w:r w:rsidRPr="00701F32">
        <w:rPr>
          <w:rFonts w:ascii="Arial" w:eastAsia="Calibri" w:hAnsi="Arial" w:cs="Arial"/>
          <w:color w:val="000000"/>
          <w:sz w:val="20"/>
        </w:rPr>
        <w:t xml:space="preserve"> valor razonable de los instrumentos financieros negociados en mercados activos (como derivados negociados públicamente, inversiones negociables o disponibles para la venta) se basa en los precios de cotización de los merca</w:t>
      </w:r>
      <w:r w:rsidR="002D5805">
        <w:rPr>
          <w:rFonts w:ascii="Arial" w:eastAsia="Calibri" w:hAnsi="Arial" w:cs="Arial"/>
          <w:color w:val="000000"/>
          <w:sz w:val="20"/>
        </w:rPr>
        <w:t>dos (sin ajustar) a la fecha de cierre</w:t>
      </w:r>
      <w:r w:rsidRPr="00701F32">
        <w:rPr>
          <w:rFonts w:ascii="Arial" w:eastAsia="Calibri" w:hAnsi="Arial" w:cs="Arial"/>
          <w:color w:val="000000"/>
          <w:sz w:val="20"/>
        </w:rPr>
        <w:t xml:space="preserve">. El precio de mercado utilizado en los activos financieros mantenidos por la Entidad es el precio de compra actual. Estos instrumentos se incluyen en el nivel 1. </w:t>
      </w:r>
    </w:p>
    <w:p w14:paraId="77F17E40" w14:textId="77777777" w:rsidR="00A06BE9" w:rsidRPr="00701F32" w:rsidRDefault="00A06BE9" w:rsidP="00A06BE9">
      <w:pPr>
        <w:autoSpaceDE w:val="0"/>
        <w:autoSpaceDN w:val="0"/>
        <w:adjustRightInd w:val="0"/>
        <w:jc w:val="both"/>
        <w:rPr>
          <w:rFonts w:ascii="Arial" w:eastAsia="Calibri" w:hAnsi="Arial" w:cs="Arial"/>
          <w:bCs/>
          <w:color w:val="000000"/>
          <w:sz w:val="20"/>
        </w:rPr>
      </w:pPr>
    </w:p>
    <w:p w14:paraId="06854D7F" w14:textId="376B4E7A" w:rsidR="00A06BE9" w:rsidRPr="00701F32" w:rsidRDefault="00A06BE9" w:rsidP="00A06BE9">
      <w:pPr>
        <w:autoSpaceDE w:val="0"/>
        <w:autoSpaceDN w:val="0"/>
        <w:adjustRightInd w:val="0"/>
        <w:jc w:val="both"/>
        <w:rPr>
          <w:rFonts w:ascii="Arial" w:eastAsia="Calibri" w:hAnsi="Arial" w:cs="Arial"/>
          <w:color w:val="000000"/>
          <w:sz w:val="20"/>
        </w:rPr>
      </w:pPr>
      <w:r w:rsidRPr="00701F32">
        <w:rPr>
          <w:rFonts w:ascii="Arial" w:eastAsia="Calibri" w:hAnsi="Arial" w:cs="Arial"/>
          <w:bCs/>
          <w:color w:val="000000"/>
          <w:sz w:val="20"/>
        </w:rPr>
        <w:t xml:space="preserve">Valor Razonable Nivel 2: </w:t>
      </w:r>
      <w:r w:rsidRPr="00701F32">
        <w:rPr>
          <w:rFonts w:ascii="Arial" w:eastAsia="Calibri" w:hAnsi="Arial" w:cs="Arial"/>
          <w:color w:val="000000"/>
          <w:sz w:val="20"/>
        </w:rPr>
        <w:t xml:space="preserve">El valor razonable de instrumentos financieros que no se negocian en mercados activos, por ejemplo, los derivados disponibles fuera de bolsa (over-the-counter), se determina utilizando técnicas de valuación que maximizan el uso de información observable y deposita la menor confianza posible en </w:t>
      </w:r>
      <w:r w:rsidR="00497DA1">
        <w:rPr>
          <w:rFonts w:ascii="Arial" w:eastAsia="Calibri" w:hAnsi="Arial" w:cs="Arial"/>
          <w:color w:val="000000"/>
          <w:sz w:val="20"/>
        </w:rPr>
        <w:t>estimaciones</w:t>
      </w:r>
      <w:r w:rsidR="00497DA1" w:rsidRPr="00701F32">
        <w:rPr>
          <w:rFonts w:ascii="Arial" w:eastAsia="Calibri" w:hAnsi="Arial" w:cs="Arial"/>
          <w:color w:val="000000"/>
          <w:sz w:val="20"/>
        </w:rPr>
        <w:t xml:space="preserve"> </w:t>
      </w:r>
      <w:r w:rsidRPr="00701F32">
        <w:rPr>
          <w:rFonts w:ascii="Arial" w:eastAsia="Calibri" w:hAnsi="Arial" w:cs="Arial"/>
          <w:color w:val="000000"/>
          <w:sz w:val="20"/>
        </w:rPr>
        <w:t>específic</w:t>
      </w:r>
      <w:r w:rsidR="003D3A29">
        <w:rPr>
          <w:rFonts w:ascii="Arial" w:eastAsia="Calibri" w:hAnsi="Arial" w:cs="Arial"/>
          <w:color w:val="000000"/>
          <w:sz w:val="20"/>
        </w:rPr>
        <w:t>a</w:t>
      </w:r>
      <w:r w:rsidRPr="00701F32">
        <w:rPr>
          <w:rFonts w:ascii="Arial" w:eastAsia="Calibri" w:hAnsi="Arial" w:cs="Arial"/>
          <w:color w:val="000000"/>
          <w:sz w:val="20"/>
        </w:rPr>
        <w:t xml:space="preserve">s de la gerencia. Si todas las variables relevantes para establecer el valor razonable de un instrumento financiero son observables, el instrumento se incluye en el nivel 2. </w:t>
      </w:r>
    </w:p>
    <w:p w14:paraId="42FAB882" w14:textId="77777777" w:rsidR="00A06BE9" w:rsidRPr="00701F32" w:rsidRDefault="00A06BE9" w:rsidP="00A06BE9">
      <w:pPr>
        <w:autoSpaceDE w:val="0"/>
        <w:autoSpaceDN w:val="0"/>
        <w:adjustRightInd w:val="0"/>
        <w:jc w:val="both"/>
        <w:rPr>
          <w:rFonts w:ascii="Arial" w:eastAsia="Calibri" w:hAnsi="Arial" w:cs="Arial"/>
          <w:bCs/>
          <w:color w:val="000000"/>
          <w:sz w:val="20"/>
        </w:rPr>
      </w:pPr>
    </w:p>
    <w:p w14:paraId="278535FC" w14:textId="77777777" w:rsidR="00A06BE9" w:rsidRPr="00701F32" w:rsidRDefault="00A06BE9" w:rsidP="00A06BE9">
      <w:pPr>
        <w:autoSpaceDE w:val="0"/>
        <w:autoSpaceDN w:val="0"/>
        <w:adjustRightInd w:val="0"/>
        <w:jc w:val="both"/>
        <w:rPr>
          <w:rFonts w:ascii="Arial" w:eastAsia="Calibri" w:hAnsi="Arial" w:cs="Arial"/>
          <w:color w:val="000000"/>
          <w:sz w:val="20"/>
        </w:rPr>
      </w:pPr>
      <w:r w:rsidRPr="00701F32">
        <w:rPr>
          <w:rFonts w:ascii="Arial" w:eastAsia="Calibri" w:hAnsi="Arial" w:cs="Arial"/>
          <w:bCs/>
          <w:color w:val="000000"/>
          <w:sz w:val="20"/>
        </w:rPr>
        <w:t xml:space="preserve">Valor Razonable Nivel 3: </w:t>
      </w:r>
      <w:r w:rsidRPr="00701F32">
        <w:rPr>
          <w:rFonts w:ascii="Arial" w:eastAsia="Calibri" w:hAnsi="Arial" w:cs="Arial"/>
          <w:color w:val="000000"/>
          <w:sz w:val="20"/>
        </w:rPr>
        <w:t xml:space="preserve">Si una o más variables relevantes no se basan en información observable de mercado, el instrumento se incluye en el nivel 3. </w:t>
      </w:r>
    </w:p>
    <w:p w14:paraId="0000546A" w14:textId="77777777" w:rsidR="00AF05CB" w:rsidRPr="00701F32" w:rsidRDefault="00AF05CB" w:rsidP="00A06BE9">
      <w:pPr>
        <w:autoSpaceDE w:val="0"/>
        <w:autoSpaceDN w:val="0"/>
        <w:adjustRightInd w:val="0"/>
        <w:jc w:val="both"/>
        <w:rPr>
          <w:rFonts w:ascii="Arial" w:eastAsia="Calibri" w:hAnsi="Arial" w:cs="Arial"/>
          <w:color w:val="000000"/>
          <w:sz w:val="20"/>
        </w:rPr>
      </w:pPr>
    </w:p>
    <w:p w14:paraId="6714B535" w14:textId="7D7261EE" w:rsidR="00FD0DB2" w:rsidRPr="0044534C" w:rsidRDefault="00A06BE9" w:rsidP="00A06BE9">
      <w:pPr>
        <w:spacing w:after="160" w:line="259" w:lineRule="auto"/>
        <w:jc w:val="both"/>
        <w:rPr>
          <w:rFonts w:ascii="Arial" w:eastAsia="Calibri" w:hAnsi="Arial" w:cs="Arial"/>
          <w:bCs/>
          <w:sz w:val="20"/>
        </w:rPr>
      </w:pPr>
      <w:r w:rsidRPr="00701F32">
        <w:rPr>
          <w:rFonts w:ascii="Arial" w:eastAsia="Calibri" w:hAnsi="Arial" w:cs="Arial"/>
          <w:bCs/>
          <w:sz w:val="20"/>
        </w:rPr>
        <w:t>A continuación</w:t>
      </w:r>
      <w:r w:rsidR="00B30DEB" w:rsidRPr="00701F32">
        <w:rPr>
          <w:rFonts w:ascii="Arial" w:eastAsia="Calibri" w:hAnsi="Arial" w:cs="Arial"/>
          <w:bCs/>
          <w:sz w:val="20"/>
        </w:rPr>
        <w:t>,</w:t>
      </w:r>
      <w:r w:rsidRPr="00701F32">
        <w:rPr>
          <w:rFonts w:ascii="Arial" w:eastAsia="Calibri" w:hAnsi="Arial" w:cs="Arial"/>
          <w:bCs/>
          <w:sz w:val="20"/>
        </w:rPr>
        <w:t xml:space="preserve"> se detallan los instrumentos financieros registrados a valor razonable </w:t>
      </w:r>
      <w:r w:rsidR="00C43BF8">
        <w:rPr>
          <w:rFonts w:ascii="Arial" w:eastAsia="Calibri" w:hAnsi="Arial" w:cs="Arial"/>
          <w:bCs/>
          <w:sz w:val="20"/>
        </w:rPr>
        <w:t xml:space="preserve">31 de diciembre de </w:t>
      </w:r>
      <w:r w:rsidR="00CC6991">
        <w:rPr>
          <w:rFonts w:ascii="Arial" w:eastAsia="Calibri" w:hAnsi="Arial" w:cs="Arial"/>
          <w:bCs/>
          <w:sz w:val="20"/>
        </w:rPr>
        <w:t>201</w:t>
      </w:r>
      <w:r w:rsidR="00AE0907">
        <w:rPr>
          <w:rFonts w:ascii="Arial" w:eastAsia="Calibri" w:hAnsi="Arial" w:cs="Arial"/>
          <w:bCs/>
          <w:sz w:val="20"/>
        </w:rPr>
        <w:t>9</w:t>
      </w:r>
      <w:r w:rsidR="00B91F78">
        <w:rPr>
          <w:rFonts w:ascii="Arial" w:eastAsia="Calibri" w:hAnsi="Arial" w:cs="Arial"/>
          <w:bCs/>
          <w:sz w:val="20"/>
        </w:rPr>
        <w:t xml:space="preserve"> y</w:t>
      </w:r>
      <w:r w:rsidR="00AE0907">
        <w:rPr>
          <w:rFonts w:ascii="Arial" w:eastAsia="Calibri" w:hAnsi="Arial" w:cs="Arial"/>
          <w:bCs/>
          <w:sz w:val="20"/>
        </w:rPr>
        <w:t xml:space="preserve"> 2018</w:t>
      </w:r>
      <w:r w:rsidRPr="0044534C">
        <w:rPr>
          <w:rFonts w:ascii="Arial" w:eastAsia="Calibri" w:hAnsi="Arial" w:cs="Arial"/>
          <w:bCs/>
          <w:sz w:val="20"/>
        </w:rPr>
        <w:t>:</w:t>
      </w:r>
    </w:p>
    <w:tbl>
      <w:tblPr>
        <w:tblW w:w="5058" w:type="pct"/>
        <w:tblLayout w:type="fixed"/>
        <w:tblCellMar>
          <w:left w:w="70" w:type="dxa"/>
          <w:right w:w="70" w:type="dxa"/>
        </w:tblCellMar>
        <w:tblLook w:val="04A0" w:firstRow="1" w:lastRow="0" w:firstColumn="1" w:lastColumn="0" w:noHBand="0" w:noVBand="1"/>
      </w:tblPr>
      <w:tblGrid>
        <w:gridCol w:w="4220"/>
        <w:gridCol w:w="1163"/>
        <w:gridCol w:w="1165"/>
        <w:gridCol w:w="1037"/>
        <w:gridCol w:w="1160"/>
      </w:tblGrid>
      <w:tr w:rsidR="002278C2" w:rsidRPr="00560C30" w14:paraId="0222A83D" w14:textId="77777777" w:rsidTr="00037C01">
        <w:trPr>
          <w:trHeight w:val="234"/>
          <w:tblHeader/>
        </w:trPr>
        <w:tc>
          <w:tcPr>
            <w:tcW w:w="24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101CA" w14:textId="03DE8ED2" w:rsidR="002278C2" w:rsidRPr="00AF4A0D" w:rsidRDefault="002278C2" w:rsidP="009C5DAE">
            <w:pPr>
              <w:jc w:val="both"/>
              <w:rPr>
                <w:rFonts w:ascii="Arial" w:hAnsi="Arial" w:cs="Arial"/>
                <w:b/>
                <w:sz w:val="18"/>
                <w:szCs w:val="18"/>
                <w:lang w:eastAsia="es-AR"/>
              </w:rPr>
            </w:pPr>
            <w:r w:rsidRPr="006E1AF7">
              <w:rPr>
                <w:rFonts w:ascii="Arial" w:eastAsia="Calibri" w:hAnsi="Arial" w:cs="Arial"/>
                <w:bCs/>
                <w:sz w:val="18"/>
                <w:szCs w:val="18"/>
              </w:rPr>
              <w:br w:type="page"/>
            </w:r>
            <w:r w:rsidR="009C5DAE" w:rsidRPr="00FC1ECA">
              <w:rPr>
                <w:rFonts w:ascii="Arial" w:hAnsi="Arial" w:cs="Arial"/>
                <w:b/>
                <w:sz w:val="18"/>
                <w:szCs w:val="18"/>
                <w:lang w:eastAsia="es-AR"/>
              </w:rPr>
              <w:t>Cartera de instrumentos al 3</w:t>
            </w:r>
            <w:r w:rsidR="00AE0907" w:rsidRPr="00FC1ECA">
              <w:rPr>
                <w:rFonts w:ascii="Arial" w:hAnsi="Arial" w:cs="Arial"/>
                <w:b/>
                <w:sz w:val="18"/>
                <w:szCs w:val="18"/>
                <w:lang w:eastAsia="es-AR"/>
              </w:rPr>
              <w:t>1</w:t>
            </w:r>
            <w:r w:rsidRPr="00076DF4">
              <w:rPr>
                <w:rFonts w:ascii="Arial" w:hAnsi="Arial" w:cs="Arial"/>
                <w:b/>
                <w:sz w:val="18"/>
                <w:szCs w:val="18"/>
                <w:lang w:eastAsia="es-AR"/>
              </w:rPr>
              <w:t>/</w:t>
            </w:r>
            <w:r w:rsidR="00AE0907" w:rsidRPr="00076DF4">
              <w:rPr>
                <w:rFonts w:ascii="Arial" w:hAnsi="Arial" w:cs="Arial"/>
                <w:b/>
                <w:sz w:val="18"/>
                <w:szCs w:val="18"/>
                <w:lang w:eastAsia="es-AR"/>
              </w:rPr>
              <w:t>12</w:t>
            </w:r>
            <w:r w:rsidRPr="00AF4A0D">
              <w:rPr>
                <w:rFonts w:ascii="Arial" w:hAnsi="Arial" w:cs="Arial"/>
                <w:b/>
                <w:sz w:val="18"/>
                <w:szCs w:val="18"/>
                <w:lang w:eastAsia="es-AR"/>
              </w:rPr>
              <w:t>/2019</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14:paraId="186E7C39" w14:textId="77777777" w:rsidR="002278C2" w:rsidRPr="00A056FF" w:rsidRDefault="002278C2" w:rsidP="00992CF2">
            <w:pPr>
              <w:jc w:val="center"/>
              <w:rPr>
                <w:rFonts w:ascii="Arial" w:hAnsi="Arial" w:cs="Arial"/>
                <w:b/>
                <w:sz w:val="18"/>
                <w:szCs w:val="18"/>
                <w:lang w:eastAsia="es-AR"/>
              </w:rPr>
            </w:pPr>
            <w:r w:rsidRPr="00A056FF">
              <w:rPr>
                <w:rFonts w:ascii="Arial" w:hAnsi="Arial" w:cs="Arial"/>
                <w:b/>
                <w:sz w:val="18"/>
                <w:szCs w:val="18"/>
                <w:lang w:eastAsia="es-AR"/>
              </w:rPr>
              <w:t>VR nivel 1</w:t>
            </w:r>
          </w:p>
        </w:tc>
        <w:tc>
          <w:tcPr>
            <w:tcW w:w="666" w:type="pct"/>
            <w:tcBorders>
              <w:top w:val="single" w:sz="4" w:space="0" w:color="auto"/>
              <w:left w:val="nil"/>
              <w:bottom w:val="single" w:sz="4" w:space="0" w:color="auto"/>
              <w:right w:val="single" w:sz="4" w:space="0" w:color="auto"/>
            </w:tcBorders>
            <w:shd w:val="clear" w:color="auto" w:fill="auto"/>
            <w:noWrap/>
            <w:vAlign w:val="bottom"/>
            <w:hideMark/>
          </w:tcPr>
          <w:p w14:paraId="61A06861" w14:textId="77777777" w:rsidR="002278C2" w:rsidRPr="008835ED" w:rsidRDefault="002278C2" w:rsidP="00992CF2">
            <w:pPr>
              <w:jc w:val="center"/>
              <w:rPr>
                <w:rFonts w:ascii="Arial" w:hAnsi="Arial" w:cs="Arial"/>
                <w:b/>
                <w:sz w:val="18"/>
                <w:szCs w:val="18"/>
                <w:lang w:eastAsia="es-AR"/>
              </w:rPr>
            </w:pPr>
            <w:r w:rsidRPr="00B40A89">
              <w:rPr>
                <w:rFonts w:ascii="Arial" w:hAnsi="Arial" w:cs="Arial"/>
                <w:b/>
                <w:sz w:val="18"/>
                <w:szCs w:val="18"/>
                <w:lang w:eastAsia="es-AR"/>
              </w:rPr>
              <w:t>VR nivel 2</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14:paraId="61D12AA0" w14:textId="77777777" w:rsidR="002278C2" w:rsidRPr="00EE0123" w:rsidRDefault="002278C2" w:rsidP="00992CF2">
            <w:pPr>
              <w:jc w:val="center"/>
              <w:rPr>
                <w:rFonts w:ascii="Arial" w:hAnsi="Arial" w:cs="Arial"/>
                <w:b/>
                <w:sz w:val="18"/>
                <w:szCs w:val="18"/>
                <w:lang w:eastAsia="es-AR"/>
              </w:rPr>
            </w:pPr>
            <w:r w:rsidRPr="009209EE">
              <w:rPr>
                <w:rFonts w:ascii="Arial" w:hAnsi="Arial" w:cs="Arial"/>
                <w:b/>
                <w:sz w:val="18"/>
                <w:szCs w:val="18"/>
                <w:lang w:eastAsia="es-AR"/>
              </w:rPr>
              <w:t>VR nivel 3</w:t>
            </w:r>
          </w:p>
        </w:tc>
        <w:tc>
          <w:tcPr>
            <w:tcW w:w="663" w:type="pct"/>
            <w:tcBorders>
              <w:top w:val="single" w:sz="4" w:space="0" w:color="auto"/>
              <w:left w:val="nil"/>
              <w:bottom w:val="single" w:sz="4" w:space="0" w:color="auto"/>
              <w:right w:val="single" w:sz="4" w:space="0" w:color="auto"/>
            </w:tcBorders>
            <w:vAlign w:val="center"/>
          </w:tcPr>
          <w:p w14:paraId="305D30B7" w14:textId="77777777" w:rsidR="002278C2" w:rsidRPr="002D2F8A" w:rsidRDefault="002278C2" w:rsidP="00992CF2">
            <w:pPr>
              <w:jc w:val="center"/>
              <w:rPr>
                <w:rFonts w:ascii="Arial" w:hAnsi="Arial" w:cs="Arial"/>
                <w:b/>
                <w:sz w:val="18"/>
                <w:szCs w:val="18"/>
                <w:lang w:eastAsia="es-AR"/>
              </w:rPr>
            </w:pPr>
            <w:r w:rsidRPr="001678CC">
              <w:rPr>
                <w:rFonts w:ascii="Arial" w:hAnsi="Arial" w:cs="Arial"/>
                <w:b/>
                <w:sz w:val="18"/>
                <w:szCs w:val="18"/>
                <w:lang w:eastAsia="es-AR"/>
              </w:rPr>
              <w:t>Total</w:t>
            </w:r>
          </w:p>
        </w:tc>
      </w:tr>
      <w:tr w:rsidR="002278C2" w:rsidRPr="00560C30" w14:paraId="3D7695BB"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069CD1C7" w14:textId="77777777" w:rsidR="002278C2" w:rsidRPr="00076DF4" w:rsidRDefault="002278C2" w:rsidP="00992CF2">
            <w:pPr>
              <w:jc w:val="both"/>
              <w:rPr>
                <w:rFonts w:ascii="Arial" w:hAnsi="Arial" w:cs="Arial"/>
                <w:b/>
                <w:bCs/>
                <w:sz w:val="18"/>
                <w:szCs w:val="18"/>
                <w:lang w:eastAsia="es-AR"/>
              </w:rPr>
            </w:pPr>
            <w:r w:rsidRPr="00FC1ECA">
              <w:rPr>
                <w:rFonts w:ascii="Arial" w:hAnsi="Arial" w:cs="Arial"/>
                <w:b/>
                <w:bCs/>
                <w:sz w:val="18"/>
                <w:szCs w:val="18"/>
                <w:lang w:eastAsia="es-AR"/>
              </w:rPr>
              <w:t>Activos</w:t>
            </w:r>
          </w:p>
        </w:tc>
        <w:tc>
          <w:tcPr>
            <w:tcW w:w="665" w:type="pct"/>
            <w:tcBorders>
              <w:top w:val="nil"/>
              <w:left w:val="nil"/>
              <w:bottom w:val="single" w:sz="4" w:space="0" w:color="auto"/>
              <w:right w:val="single" w:sz="4" w:space="0" w:color="auto"/>
            </w:tcBorders>
            <w:shd w:val="clear" w:color="auto" w:fill="auto"/>
            <w:noWrap/>
            <w:vAlign w:val="bottom"/>
            <w:hideMark/>
          </w:tcPr>
          <w:p w14:paraId="492879D0" w14:textId="77777777" w:rsidR="002278C2" w:rsidRPr="00A056FF" w:rsidRDefault="002278C2" w:rsidP="00992CF2">
            <w:pPr>
              <w:jc w:val="right"/>
              <w:rPr>
                <w:rFonts w:ascii="Arial" w:hAnsi="Arial" w:cs="Arial"/>
                <w:b/>
                <w:bCs/>
                <w:sz w:val="18"/>
                <w:szCs w:val="18"/>
                <w:lang w:val="es-ES_tradnl" w:eastAsia="es-AR"/>
              </w:rPr>
            </w:pPr>
            <w:r w:rsidRPr="00AF4A0D">
              <w:rPr>
                <w:rFonts w:ascii="Arial" w:hAnsi="Arial" w:cs="Arial"/>
                <w:b/>
                <w:bCs/>
                <w:sz w:val="18"/>
                <w:szCs w:val="18"/>
                <w:lang w:eastAsia="es-AR"/>
              </w:rPr>
              <w:t> </w:t>
            </w:r>
          </w:p>
        </w:tc>
        <w:tc>
          <w:tcPr>
            <w:tcW w:w="666" w:type="pct"/>
            <w:tcBorders>
              <w:top w:val="nil"/>
              <w:left w:val="nil"/>
              <w:bottom w:val="single" w:sz="4" w:space="0" w:color="auto"/>
              <w:right w:val="single" w:sz="4" w:space="0" w:color="auto"/>
            </w:tcBorders>
            <w:shd w:val="clear" w:color="auto" w:fill="auto"/>
            <w:noWrap/>
            <w:vAlign w:val="bottom"/>
            <w:hideMark/>
          </w:tcPr>
          <w:p w14:paraId="30D60C14" w14:textId="77777777" w:rsidR="002278C2" w:rsidRPr="008835ED" w:rsidRDefault="002278C2" w:rsidP="00992CF2">
            <w:pPr>
              <w:jc w:val="right"/>
              <w:rPr>
                <w:rFonts w:ascii="Arial" w:hAnsi="Arial" w:cs="Arial"/>
                <w:b/>
                <w:bCs/>
                <w:sz w:val="18"/>
                <w:szCs w:val="18"/>
                <w:lang w:val="es-ES_tradnl" w:eastAsia="es-AR"/>
              </w:rPr>
            </w:pPr>
            <w:r w:rsidRPr="00B40A89">
              <w:rPr>
                <w:rFonts w:ascii="Arial" w:hAnsi="Arial" w:cs="Arial"/>
                <w:b/>
                <w:bCs/>
                <w:sz w:val="18"/>
                <w:szCs w:val="18"/>
                <w:lang w:eastAsia="es-AR"/>
              </w:rPr>
              <w:t> </w:t>
            </w:r>
          </w:p>
        </w:tc>
        <w:tc>
          <w:tcPr>
            <w:tcW w:w="593" w:type="pct"/>
            <w:tcBorders>
              <w:top w:val="nil"/>
              <w:left w:val="nil"/>
              <w:bottom w:val="single" w:sz="4" w:space="0" w:color="auto"/>
              <w:right w:val="single" w:sz="4" w:space="0" w:color="auto"/>
            </w:tcBorders>
            <w:shd w:val="clear" w:color="auto" w:fill="auto"/>
            <w:noWrap/>
            <w:vAlign w:val="bottom"/>
            <w:hideMark/>
          </w:tcPr>
          <w:p w14:paraId="1E9A188F" w14:textId="77777777" w:rsidR="002278C2" w:rsidRPr="00EE0123" w:rsidRDefault="002278C2" w:rsidP="00992CF2">
            <w:pPr>
              <w:jc w:val="right"/>
              <w:rPr>
                <w:rFonts w:ascii="Arial" w:hAnsi="Arial" w:cs="Arial"/>
                <w:b/>
                <w:bCs/>
                <w:sz w:val="18"/>
                <w:szCs w:val="18"/>
                <w:lang w:val="es-ES_tradnl" w:eastAsia="es-AR"/>
              </w:rPr>
            </w:pPr>
            <w:r w:rsidRPr="009209EE">
              <w:rPr>
                <w:rFonts w:ascii="Arial" w:hAnsi="Arial" w:cs="Arial"/>
                <w:b/>
                <w:bCs/>
                <w:sz w:val="18"/>
                <w:szCs w:val="18"/>
                <w:lang w:eastAsia="es-AR"/>
              </w:rPr>
              <w:t> </w:t>
            </w:r>
          </w:p>
        </w:tc>
        <w:tc>
          <w:tcPr>
            <w:tcW w:w="663" w:type="pct"/>
            <w:tcBorders>
              <w:top w:val="nil"/>
              <w:left w:val="nil"/>
              <w:bottom w:val="single" w:sz="4" w:space="0" w:color="auto"/>
              <w:right w:val="single" w:sz="4" w:space="0" w:color="auto"/>
            </w:tcBorders>
            <w:vAlign w:val="bottom"/>
          </w:tcPr>
          <w:p w14:paraId="18ACEFC2" w14:textId="77777777" w:rsidR="002278C2" w:rsidRPr="001678CC" w:rsidRDefault="002278C2" w:rsidP="00992CF2">
            <w:pPr>
              <w:jc w:val="right"/>
              <w:rPr>
                <w:rFonts w:ascii="Arial" w:hAnsi="Arial" w:cs="Arial"/>
                <w:b/>
                <w:bCs/>
                <w:sz w:val="18"/>
                <w:szCs w:val="18"/>
                <w:lang w:eastAsia="es-AR"/>
              </w:rPr>
            </w:pPr>
          </w:p>
        </w:tc>
      </w:tr>
      <w:tr w:rsidR="00A55435" w:rsidRPr="00560C30" w14:paraId="466869BB"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tcPr>
          <w:p w14:paraId="095AFFE1" w14:textId="77777777" w:rsidR="00A55435" w:rsidRPr="00076DF4" w:rsidRDefault="00A55435" w:rsidP="00A55435">
            <w:pPr>
              <w:jc w:val="both"/>
              <w:rPr>
                <w:rFonts w:ascii="Arial" w:hAnsi="Arial" w:cs="Arial"/>
                <w:sz w:val="18"/>
                <w:szCs w:val="18"/>
                <w:lang w:eastAsia="es-AR"/>
              </w:rPr>
            </w:pPr>
            <w:r w:rsidRPr="00FC1ECA">
              <w:rPr>
                <w:rFonts w:ascii="Arial" w:hAnsi="Arial" w:cs="Arial"/>
                <w:sz w:val="18"/>
                <w:szCs w:val="18"/>
                <w:lang w:eastAsia="es-AR"/>
              </w:rPr>
              <w:t>- Efectivo y depositos en bancos</w:t>
            </w:r>
          </w:p>
        </w:tc>
        <w:tc>
          <w:tcPr>
            <w:tcW w:w="665" w:type="pct"/>
            <w:tcBorders>
              <w:top w:val="nil"/>
              <w:left w:val="nil"/>
              <w:bottom w:val="single" w:sz="4" w:space="0" w:color="auto"/>
              <w:right w:val="single" w:sz="4" w:space="0" w:color="auto"/>
            </w:tcBorders>
            <w:shd w:val="clear" w:color="auto" w:fill="auto"/>
            <w:noWrap/>
            <w:vAlign w:val="bottom"/>
          </w:tcPr>
          <w:p w14:paraId="0316FF28" w14:textId="6F20199B" w:rsidR="00A55435" w:rsidRPr="006E1AF7" w:rsidRDefault="005C6B88" w:rsidP="00A55435">
            <w:pPr>
              <w:jc w:val="right"/>
              <w:rPr>
                <w:rFonts w:ascii="Arial" w:hAnsi="Arial" w:cs="Arial"/>
                <w:sz w:val="18"/>
                <w:szCs w:val="18"/>
              </w:rPr>
            </w:pPr>
            <w:r w:rsidRPr="006E1AF7">
              <w:rPr>
                <w:rFonts w:ascii="Arial" w:hAnsi="Arial" w:cs="Arial"/>
                <w:sz w:val="18"/>
                <w:szCs w:val="18"/>
              </w:rPr>
              <w:t>29.910</w:t>
            </w:r>
          </w:p>
        </w:tc>
        <w:tc>
          <w:tcPr>
            <w:tcW w:w="666" w:type="pct"/>
            <w:tcBorders>
              <w:top w:val="nil"/>
              <w:left w:val="nil"/>
              <w:bottom w:val="single" w:sz="4" w:space="0" w:color="auto"/>
              <w:right w:val="single" w:sz="4" w:space="0" w:color="auto"/>
            </w:tcBorders>
            <w:shd w:val="clear" w:color="auto" w:fill="auto"/>
            <w:noWrap/>
            <w:vAlign w:val="bottom"/>
          </w:tcPr>
          <w:p w14:paraId="24475FA6" w14:textId="09E20F40" w:rsidR="00A55435" w:rsidRPr="006E1AF7" w:rsidRDefault="00B91F78" w:rsidP="00A55435">
            <w:pPr>
              <w:jc w:val="right"/>
              <w:rPr>
                <w:rFonts w:ascii="Arial" w:hAnsi="Arial" w:cs="Arial"/>
                <w:sz w:val="18"/>
                <w:szCs w:val="18"/>
              </w:rPr>
            </w:pPr>
            <w:r w:rsidRPr="006E1AF7">
              <w:rPr>
                <w:rFonts w:ascii="Arial" w:hAnsi="Arial" w:cs="Arial"/>
                <w:sz w:val="18"/>
                <w:szCs w:val="18"/>
              </w:rPr>
              <w:t>-</w:t>
            </w:r>
          </w:p>
        </w:tc>
        <w:tc>
          <w:tcPr>
            <w:tcW w:w="593" w:type="pct"/>
            <w:tcBorders>
              <w:top w:val="nil"/>
              <w:left w:val="nil"/>
              <w:bottom w:val="single" w:sz="4" w:space="0" w:color="auto"/>
              <w:right w:val="single" w:sz="4" w:space="0" w:color="auto"/>
            </w:tcBorders>
            <w:shd w:val="clear" w:color="auto" w:fill="auto"/>
            <w:noWrap/>
            <w:vAlign w:val="bottom"/>
          </w:tcPr>
          <w:p w14:paraId="612D2D09" w14:textId="406FAE84" w:rsidR="00A55435" w:rsidRPr="006E1AF7" w:rsidRDefault="00B91F78" w:rsidP="00A55435">
            <w:pPr>
              <w:jc w:val="right"/>
              <w:rPr>
                <w:rFonts w:ascii="Arial" w:hAnsi="Arial" w:cs="Arial"/>
                <w:sz w:val="18"/>
                <w:szCs w:val="18"/>
              </w:rPr>
            </w:pPr>
            <w:r w:rsidRPr="006E1AF7">
              <w:rPr>
                <w:rFonts w:ascii="Arial" w:hAnsi="Arial" w:cs="Arial"/>
                <w:sz w:val="18"/>
                <w:szCs w:val="18"/>
              </w:rPr>
              <w:t>-</w:t>
            </w:r>
          </w:p>
        </w:tc>
        <w:tc>
          <w:tcPr>
            <w:tcW w:w="663" w:type="pct"/>
            <w:tcBorders>
              <w:top w:val="nil"/>
              <w:left w:val="nil"/>
              <w:bottom w:val="single" w:sz="4" w:space="0" w:color="auto"/>
              <w:right w:val="single" w:sz="4" w:space="0" w:color="auto"/>
            </w:tcBorders>
            <w:vAlign w:val="bottom"/>
          </w:tcPr>
          <w:p w14:paraId="1D2598EC" w14:textId="71115021" w:rsidR="00A55435" w:rsidRPr="006E1AF7" w:rsidRDefault="00B91F78" w:rsidP="00A55435">
            <w:pPr>
              <w:jc w:val="right"/>
              <w:rPr>
                <w:rFonts w:ascii="Arial" w:hAnsi="Arial" w:cs="Arial"/>
                <w:sz w:val="18"/>
                <w:szCs w:val="18"/>
              </w:rPr>
            </w:pPr>
            <w:r w:rsidRPr="006E1AF7">
              <w:rPr>
                <w:rFonts w:ascii="Arial" w:hAnsi="Arial" w:cs="Arial"/>
                <w:sz w:val="18"/>
                <w:szCs w:val="18"/>
              </w:rPr>
              <w:t>29.910</w:t>
            </w:r>
          </w:p>
        </w:tc>
      </w:tr>
      <w:tr w:rsidR="00A55435" w:rsidRPr="00560C30" w14:paraId="01B9D18F"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2EACF62A" w14:textId="491A4D9E" w:rsidR="00A55435" w:rsidRPr="00A056FF" w:rsidRDefault="00A55435" w:rsidP="00A55435">
            <w:pPr>
              <w:jc w:val="both"/>
              <w:rPr>
                <w:rFonts w:ascii="Arial" w:hAnsi="Arial" w:cs="Arial"/>
                <w:sz w:val="18"/>
                <w:szCs w:val="18"/>
                <w:lang w:eastAsia="es-AR"/>
              </w:rPr>
            </w:pPr>
            <w:r w:rsidRPr="00FC1ECA">
              <w:rPr>
                <w:rFonts w:ascii="Arial" w:hAnsi="Arial" w:cs="Arial"/>
                <w:sz w:val="18"/>
                <w:szCs w:val="18"/>
                <w:lang w:eastAsia="es-AR"/>
              </w:rPr>
              <w:t xml:space="preserve">- </w:t>
            </w:r>
            <w:r w:rsidRPr="00076DF4">
              <w:rPr>
                <w:rFonts w:ascii="Arial" w:hAnsi="Arial" w:cs="Arial"/>
                <w:sz w:val="18"/>
                <w:szCs w:val="18"/>
                <w:lang w:eastAsia="es-AR"/>
              </w:rPr>
              <w:t>Títulos de Deuda a Valor Razonable</w:t>
            </w:r>
            <w:r w:rsidRPr="00AF4A0D">
              <w:rPr>
                <w:rFonts w:ascii="Arial" w:hAnsi="Arial" w:cs="Arial"/>
                <w:sz w:val="18"/>
                <w:szCs w:val="18"/>
                <w:lang w:eastAsia="es-AR"/>
              </w:rPr>
              <w:t xml:space="preserve"> con Cambio</w:t>
            </w:r>
            <w:r w:rsidR="008F0913" w:rsidRPr="00A056FF">
              <w:rPr>
                <w:rFonts w:ascii="Arial" w:hAnsi="Arial" w:cs="Arial"/>
                <w:sz w:val="18"/>
                <w:szCs w:val="18"/>
                <w:lang w:eastAsia="es-AR"/>
              </w:rPr>
              <w:t>s</w:t>
            </w:r>
            <w:r w:rsidRPr="00A056FF">
              <w:rPr>
                <w:rFonts w:ascii="Arial" w:hAnsi="Arial" w:cs="Arial"/>
                <w:sz w:val="18"/>
                <w:szCs w:val="18"/>
                <w:lang w:eastAsia="es-AR"/>
              </w:rPr>
              <w:t xml:space="preserve"> en Resultados</w:t>
            </w:r>
          </w:p>
        </w:tc>
        <w:tc>
          <w:tcPr>
            <w:tcW w:w="665" w:type="pct"/>
            <w:tcBorders>
              <w:top w:val="nil"/>
              <w:left w:val="nil"/>
              <w:bottom w:val="single" w:sz="4" w:space="0" w:color="auto"/>
              <w:right w:val="single" w:sz="4" w:space="0" w:color="auto"/>
            </w:tcBorders>
            <w:shd w:val="clear" w:color="auto" w:fill="auto"/>
            <w:noWrap/>
            <w:vAlign w:val="bottom"/>
          </w:tcPr>
          <w:p w14:paraId="3C6C6AD2" w14:textId="4D44E675" w:rsidR="00A55435" w:rsidRPr="006E1AF7" w:rsidRDefault="00E77EBD" w:rsidP="00A55435">
            <w:pPr>
              <w:jc w:val="right"/>
              <w:rPr>
                <w:rFonts w:ascii="Arial" w:hAnsi="Arial" w:cs="Arial"/>
                <w:sz w:val="18"/>
                <w:szCs w:val="18"/>
                <w:lang w:eastAsia="es-AR"/>
              </w:rPr>
            </w:pPr>
            <w:r w:rsidRPr="00E77EBD">
              <w:rPr>
                <w:rFonts w:ascii="Arial" w:hAnsi="Arial" w:cs="Arial"/>
                <w:sz w:val="18"/>
                <w:szCs w:val="18"/>
                <w:lang w:eastAsia="es-AR"/>
              </w:rPr>
              <w:t>401.39</w:t>
            </w:r>
            <w:r w:rsidR="000966C6">
              <w:rPr>
                <w:rFonts w:ascii="Arial" w:hAnsi="Arial" w:cs="Arial"/>
                <w:sz w:val="18"/>
                <w:szCs w:val="18"/>
                <w:lang w:eastAsia="es-AR"/>
              </w:rPr>
              <w:t>7</w:t>
            </w:r>
          </w:p>
        </w:tc>
        <w:tc>
          <w:tcPr>
            <w:tcW w:w="666" w:type="pct"/>
            <w:tcBorders>
              <w:top w:val="nil"/>
              <w:left w:val="nil"/>
              <w:bottom w:val="single" w:sz="4" w:space="0" w:color="auto"/>
              <w:right w:val="single" w:sz="4" w:space="0" w:color="auto"/>
            </w:tcBorders>
            <w:shd w:val="clear" w:color="auto" w:fill="auto"/>
            <w:noWrap/>
            <w:vAlign w:val="bottom"/>
          </w:tcPr>
          <w:p w14:paraId="264AD1A8" w14:textId="38422F7C" w:rsidR="00A55435" w:rsidRPr="006E1AF7" w:rsidRDefault="00730606" w:rsidP="00A55435">
            <w:pPr>
              <w:jc w:val="right"/>
              <w:rPr>
                <w:rFonts w:ascii="Arial" w:hAnsi="Arial" w:cs="Arial"/>
                <w:sz w:val="18"/>
                <w:szCs w:val="18"/>
                <w:lang w:eastAsia="es-AR"/>
              </w:rPr>
            </w:pPr>
            <w:r>
              <w:rPr>
                <w:rFonts w:ascii="Arial" w:hAnsi="Arial" w:cs="Arial"/>
                <w:sz w:val="18"/>
                <w:szCs w:val="18"/>
                <w:lang w:eastAsia="es-AR"/>
              </w:rPr>
              <w:t>-</w:t>
            </w:r>
          </w:p>
        </w:tc>
        <w:tc>
          <w:tcPr>
            <w:tcW w:w="593" w:type="pct"/>
            <w:tcBorders>
              <w:top w:val="nil"/>
              <w:left w:val="nil"/>
              <w:bottom w:val="single" w:sz="4" w:space="0" w:color="auto"/>
              <w:right w:val="single" w:sz="4" w:space="0" w:color="auto"/>
            </w:tcBorders>
            <w:shd w:val="clear" w:color="auto" w:fill="auto"/>
            <w:noWrap/>
            <w:vAlign w:val="bottom"/>
          </w:tcPr>
          <w:p w14:paraId="1F59EBEE" w14:textId="3A276CAC" w:rsidR="00A55435" w:rsidRPr="006E1AF7" w:rsidRDefault="00730606" w:rsidP="00A55435">
            <w:pPr>
              <w:jc w:val="right"/>
              <w:rPr>
                <w:rFonts w:ascii="Arial" w:hAnsi="Arial" w:cs="Arial"/>
                <w:sz w:val="18"/>
                <w:szCs w:val="18"/>
                <w:lang w:eastAsia="es-AR"/>
              </w:rPr>
            </w:pPr>
            <w:r w:rsidRPr="00E77EBD">
              <w:rPr>
                <w:rFonts w:ascii="Arial" w:hAnsi="Arial" w:cs="Arial"/>
                <w:sz w:val="18"/>
                <w:szCs w:val="18"/>
                <w:lang w:eastAsia="es-AR"/>
              </w:rPr>
              <w:t>3.67</w:t>
            </w:r>
            <w:r w:rsidR="000966C6">
              <w:rPr>
                <w:rFonts w:ascii="Arial" w:hAnsi="Arial" w:cs="Arial"/>
                <w:sz w:val="18"/>
                <w:szCs w:val="18"/>
                <w:lang w:eastAsia="es-AR"/>
              </w:rPr>
              <w:t>1</w:t>
            </w:r>
          </w:p>
        </w:tc>
        <w:tc>
          <w:tcPr>
            <w:tcW w:w="663" w:type="pct"/>
            <w:tcBorders>
              <w:top w:val="nil"/>
              <w:left w:val="nil"/>
              <w:bottom w:val="single" w:sz="4" w:space="0" w:color="auto"/>
              <w:right w:val="single" w:sz="4" w:space="0" w:color="auto"/>
            </w:tcBorders>
            <w:vAlign w:val="bottom"/>
          </w:tcPr>
          <w:p w14:paraId="57BCD164" w14:textId="130681C7" w:rsidR="00A55435" w:rsidRPr="006E1AF7" w:rsidRDefault="004F7076" w:rsidP="00A55435">
            <w:pPr>
              <w:jc w:val="right"/>
              <w:rPr>
                <w:rFonts w:ascii="Arial" w:eastAsia="Calibri" w:hAnsi="Arial" w:cs="Arial"/>
                <w:color w:val="000000"/>
                <w:sz w:val="18"/>
                <w:szCs w:val="18"/>
              </w:rPr>
            </w:pPr>
            <w:r w:rsidRPr="006E1AF7">
              <w:rPr>
                <w:rFonts w:ascii="Arial" w:eastAsia="Calibri" w:hAnsi="Arial" w:cs="Arial"/>
                <w:color w:val="000000"/>
                <w:sz w:val="18"/>
                <w:szCs w:val="18"/>
              </w:rPr>
              <w:t>405.068</w:t>
            </w:r>
          </w:p>
        </w:tc>
      </w:tr>
      <w:tr w:rsidR="00A55435" w:rsidRPr="00560C30" w14:paraId="213BBD3E"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50A90176" w14:textId="77777777" w:rsidR="00A55435" w:rsidRPr="00076DF4" w:rsidRDefault="00A55435" w:rsidP="00A55435">
            <w:pPr>
              <w:jc w:val="both"/>
              <w:rPr>
                <w:rFonts w:ascii="Arial" w:hAnsi="Arial" w:cs="Arial"/>
                <w:sz w:val="18"/>
                <w:szCs w:val="18"/>
                <w:lang w:eastAsia="es-AR"/>
              </w:rPr>
            </w:pPr>
            <w:r w:rsidRPr="00FC1ECA">
              <w:rPr>
                <w:rFonts w:ascii="Arial" w:hAnsi="Arial" w:cs="Arial"/>
                <w:sz w:val="18"/>
                <w:szCs w:val="18"/>
                <w:lang w:eastAsia="es-AR"/>
              </w:rPr>
              <w:t>- Instrumentos Derivados</w:t>
            </w:r>
          </w:p>
        </w:tc>
        <w:tc>
          <w:tcPr>
            <w:tcW w:w="665" w:type="pct"/>
            <w:tcBorders>
              <w:top w:val="nil"/>
              <w:left w:val="nil"/>
              <w:bottom w:val="single" w:sz="4" w:space="0" w:color="auto"/>
              <w:right w:val="single" w:sz="4" w:space="0" w:color="auto"/>
            </w:tcBorders>
            <w:shd w:val="clear" w:color="auto" w:fill="auto"/>
            <w:noWrap/>
            <w:vAlign w:val="bottom"/>
          </w:tcPr>
          <w:p w14:paraId="7EA9F3A4" w14:textId="4397DF5D"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257.587</w:t>
            </w:r>
          </w:p>
        </w:tc>
        <w:tc>
          <w:tcPr>
            <w:tcW w:w="666" w:type="pct"/>
            <w:tcBorders>
              <w:top w:val="nil"/>
              <w:left w:val="nil"/>
              <w:bottom w:val="single" w:sz="4" w:space="0" w:color="auto"/>
              <w:right w:val="single" w:sz="4" w:space="0" w:color="auto"/>
            </w:tcBorders>
            <w:shd w:val="clear" w:color="auto" w:fill="auto"/>
            <w:noWrap/>
            <w:vAlign w:val="bottom"/>
          </w:tcPr>
          <w:p w14:paraId="58F4E15F" w14:textId="354849AB"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w:t>
            </w:r>
          </w:p>
        </w:tc>
        <w:tc>
          <w:tcPr>
            <w:tcW w:w="593" w:type="pct"/>
            <w:tcBorders>
              <w:top w:val="nil"/>
              <w:left w:val="nil"/>
              <w:bottom w:val="single" w:sz="4" w:space="0" w:color="auto"/>
              <w:right w:val="single" w:sz="4" w:space="0" w:color="auto"/>
            </w:tcBorders>
            <w:shd w:val="clear" w:color="auto" w:fill="auto"/>
            <w:noWrap/>
            <w:vAlign w:val="bottom"/>
          </w:tcPr>
          <w:p w14:paraId="4576F106" w14:textId="5374720D"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w:t>
            </w:r>
          </w:p>
        </w:tc>
        <w:tc>
          <w:tcPr>
            <w:tcW w:w="663" w:type="pct"/>
            <w:tcBorders>
              <w:top w:val="nil"/>
              <w:left w:val="nil"/>
              <w:bottom w:val="single" w:sz="4" w:space="0" w:color="auto"/>
              <w:right w:val="single" w:sz="4" w:space="0" w:color="auto"/>
            </w:tcBorders>
            <w:vAlign w:val="bottom"/>
          </w:tcPr>
          <w:p w14:paraId="7F094227" w14:textId="32A3DD7A" w:rsidR="00A55435" w:rsidRPr="006E1AF7" w:rsidRDefault="00B91F78" w:rsidP="00A55435">
            <w:pPr>
              <w:jc w:val="right"/>
              <w:rPr>
                <w:rFonts w:ascii="Arial" w:eastAsia="Calibri" w:hAnsi="Arial" w:cs="Arial"/>
                <w:color w:val="000000"/>
                <w:sz w:val="18"/>
                <w:szCs w:val="18"/>
              </w:rPr>
            </w:pPr>
            <w:r w:rsidRPr="006E1AF7">
              <w:rPr>
                <w:rFonts w:ascii="Arial" w:eastAsia="Calibri" w:hAnsi="Arial" w:cs="Arial"/>
                <w:color w:val="000000"/>
                <w:sz w:val="18"/>
                <w:szCs w:val="18"/>
              </w:rPr>
              <w:t>257.587</w:t>
            </w:r>
          </w:p>
        </w:tc>
      </w:tr>
      <w:tr w:rsidR="00A55435" w:rsidRPr="00560C30" w14:paraId="26C3C4EA"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0BD7BCBB" w14:textId="77777777" w:rsidR="00A55435" w:rsidRPr="00076DF4" w:rsidRDefault="00A55435" w:rsidP="00A55435">
            <w:pPr>
              <w:jc w:val="both"/>
              <w:rPr>
                <w:rFonts w:ascii="Arial" w:hAnsi="Arial" w:cs="Arial"/>
                <w:sz w:val="18"/>
                <w:szCs w:val="18"/>
                <w:lang w:eastAsia="es-AR"/>
              </w:rPr>
            </w:pPr>
            <w:r w:rsidRPr="00FC1ECA">
              <w:rPr>
                <w:rFonts w:ascii="Arial" w:hAnsi="Arial" w:cs="Arial"/>
                <w:sz w:val="18"/>
                <w:szCs w:val="18"/>
                <w:lang w:eastAsia="es-AR"/>
              </w:rPr>
              <w:t>- Otros Activos Financieros</w:t>
            </w:r>
          </w:p>
        </w:tc>
        <w:tc>
          <w:tcPr>
            <w:tcW w:w="665" w:type="pct"/>
            <w:tcBorders>
              <w:top w:val="nil"/>
              <w:left w:val="nil"/>
              <w:bottom w:val="single" w:sz="4" w:space="0" w:color="auto"/>
              <w:right w:val="single" w:sz="4" w:space="0" w:color="auto"/>
            </w:tcBorders>
            <w:shd w:val="clear" w:color="auto" w:fill="auto"/>
            <w:noWrap/>
            <w:vAlign w:val="bottom"/>
          </w:tcPr>
          <w:p w14:paraId="6E70172A" w14:textId="427C2C3C"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167.672</w:t>
            </w:r>
          </w:p>
        </w:tc>
        <w:tc>
          <w:tcPr>
            <w:tcW w:w="666" w:type="pct"/>
            <w:tcBorders>
              <w:top w:val="nil"/>
              <w:left w:val="nil"/>
              <w:bottom w:val="single" w:sz="4" w:space="0" w:color="auto"/>
              <w:right w:val="single" w:sz="4" w:space="0" w:color="auto"/>
            </w:tcBorders>
            <w:shd w:val="clear" w:color="auto" w:fill="auto"/>
            <w:noWrap/>
            <w:vAlign w:val="bottom"/>
          </w:tcPr>
          <w:p w14:paraId="5D35A02A" w14:textId="313F0302"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w:t>
            </w:r>
          </w:p>
        </w:tc>
        <w:tc>
          <w:tcPr>
            <w:tcW w:w="593" w:type="pct"/>
            <w:tcBorders>
              <w:top w:val="nil"/>
              <w:left w:val="nil"/>
              <w:bottom w:val="single" w:sz="4" w:space="0" w:color="auto"/>
              <w:right w:val="single" w:sz="4" w:space="0" w:color="auto"/>
            </w:tcBorders>
            <w:shd w:val="clear" w:color="auto" w:fill="auto"/>
            <w:noWrap/>
            <w:vAlign w:val="bottom"/>
          </w:tcPr>
          <w:p w14:paraId="6D4E597A" w14:textId="59632E0E"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w:t>
            </w:r>
          </w:p>
        </w:tc>
        <w:tc>
          <w:tcPr>
            <w:tcW w:w="663" w:type="pct"/>
            <w:tcBorders>
              <w:top w:val="nil"/>
              <w:left w:val="nil"/>
              <w:bottom w:val="single" w:sz="4" w:space="0" w:color="auto"/>
              <w:right w:val="single" w:sz="4" w:space="0" w:color="auto"/>
            </w:tcBorders>
            <w:vAlign w:val="bottom"/>
          </w:tcPr>
          <w:p w14:paraId="71CB7E93" w14:textId="4A864A40" w:rsidR="00A55435" w:rsidRPr="006E1AF7" w:rsidRDefault="00B91F78" w:rsidP="00A55435">
            <w:pPr>
              <w:jc w:val="right"/>
              <w:rPr>
                <w:rFonts w:ascii="Arial" w:eastAsia="Calibri" w:hAnsi="Arial" w:cs="Arial"/>
                <w:color w:val="000000"/>
                <w:sz w:val="18"/>
                <w:szCs w:val="18"/>
              </w:rPr>
            </w:pPr>
            <w:r w:rsidRPr="006E1AF7">
              <w:rPr>
                <w:rFonts w:ascii="Arial" w:eastAsia="Calibri" w:hAnsi="Arial" w:cs="Arial"/>
                <w:color w:val="000000"/>
                <w:sz w:val="18"/>
                <w:szCs w:val="18"/>
              </w:rPr>
              <w:t>167.672</w:t>
            </w:r>
          </w:p>
        </w:tc>
      </w:tr>
      <w:tr w:rsidR="00A55435" w:rsidRPr="00560C30" w14:paraId="64863D5F"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3F66140F" w14:textId="77777777" w:rsidR="00A55435" w:rsidRPr="00076DF4" w:rsidRDefault="00A55435" w:rsidP="00A55435">
            <w:pPr>
              <w:jc w:val="both"/>
              <w:rPr>
                <w:rFonts w:ascii="Arial" w:hAnsi="Arial" w:cs="Arial"/>
                <w:sz w:val="18"/>
                <w:szCs w:val="18"/>
                <w:lang w:eastAsia="es-AR"/>
              </w:rPr>
            </w:pPr>
            <w:r w:rsidRPr="00FC1ECA">
              <w:rPr>
                <w:rFonts w:ascii="Arial" w:hAnsi="Arial" w:cs="Arial"/>
                <w:sz w:val="18"/>
                <w:szCs w:val="18"/>
                <w:lang w:eastAsia="es-AR"/>
              </w:rPr>
              <w:t>- Otros Títulos de Deuda</w:t>
            </w:r>
          </w:p>
        </w:tc>
        <w:tc>
          <w:tcPr>
            <w:tcW w:w="665" w:type="pct"/>
            <w:tcBorders>
              <w:top w:val="nil"/>
              <w:left w:val="nil"/>
              <w:bottom w:val="single" w:sz="4" w:space="0" w:color="auto"/>
              <w:right w:val="single" w:sz="4" w:space="0" w:color="auto"/>
            </w:tcBorders>
            <w:shd w:val="clear" w:color="auto" w:fill="auto"/>
            <w:noWrap/>
            <w:vAlign w:val="bottom"/>
          </w:tcPr>
          <w:p w14:paraId="4A1C4F20" w14:textId="077FA853" w:rsidR="00A55435" w:rsidRPr="006E1AF7" w:rsidRDefault="004F7076" w:rsidP="00A55435">
            <w:pPr>
              <w:jc w:val="right"/>
              <w:rPr>
                <w:rFonts w:ascii="Arial" w:hAnsi="Arial" w:cs="Arial"/>
                <w:sz w:val="18"/>
                <w:szCs w:val="18"/>
                <w:lang w:eastAsia="es-AR"/>
              </w:rPr>
            </w:pPr>
            <w:r w:rsidRPr="006E1AF7">
              <w:rPr>
                <w:rFonts w:ascii="Arial" w:hAnsi="Arial" w:cs="Arial"/>
                <w:sz w:val="18"/>
                <w:szCs w:val="18"/>
                <w:lang w:eastAsia="es-AR"/>
              </w:rPr>
              <w:t>7.171.171</w:t>
            </w:r>
          </w:p>
        </w:tc>
        <w:tc>
          <w:tcPr>
            <w:tcW w:w="666" w:type="pct"/>
            <w:tcBorders>
              <w:top w:val="nil"/>
              <w:left w:val="nil"/>
              <w:bottom w:val="single" w:sz="4" w:space="0" w:color="auto"/>
              <w:right w:val="single" w:sz="4" w:space="0" w:color="auto"/>
            </w:tcBorders>
            <w:shd w:val="clear" w:color="auto" w:fill="auto"/>
            <w:noWrap/>
            <w:vAlign w:val="bottom"/>
          </w:tcPr>
          <w:p w14:paraId="3B1469FF" w14:textId="6273515A"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w:t>
            </w:r>
          </w:p>
        </w:tc>
        <w:tc>
          <w:tcPr>
            <w:tcW w:w="593" w:type="pct"/>
            <w:tcBorders>
              <w:top w:val="nil"/>
              <w:left w:val="nil"/>
              <w:bottom w:val="single" w:sz="4" w:space="0" w:color="auto"/>
              <w:right w:val="single" w:sz="4" w:space="0" w:color="auto"/>
            </w:tcBorders>
            <w:shd w:val="clear" w:color="auto" w:fill="auto"/>
            <w:noWrap/>
            <w:vAlign w:val="bottom"/>
          </w:tcPr>
          <w:p w14:paraId="193340A5" w14:textId="4CEAB01E"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w:t>
            </w:r>
          </w:p>
        </w:tc>
        <w:tc>
          <w:tcPr>
            <w:tcW w:w="663" w:type="pct"/>
            <w:tcBorders>
              <w:top w:val="nil"/>
              <w:left w:val="nil"/>
              <w:bottom w:val="single" w:sz="4" w:space="0" w:color="auto"/>
              <w:right w:val="single" w:sz="4" w:space="0" w:color="auto"/>
            </w:tcBorders>
            <w:vAlign w:val="bottom"/>
          </w:tcPr>
          <w:p w14:paraId="5E43A7B9" w14:textId="4CDCB5C7" w:rsidR="00A55435" w:rsidRPr="006E1AF7" w:rsidRDefault="004F7076" w:rsidP="00A55435">
            <w:pPr>
              <w:jc w:val="right"/>
              <w:rPr>
                <w:rFonts w:ascii="Arial" w:eastAsia="Calibri" w:hAnsi="Arial" w:cs="Arial"/>
                <w:color w:val="000000"/>
                <w:sz w:val="18"/>
                <w:szCs w:val="18"/>
              </w:rPr>
            </w:pPr>
            <w:r w:rsidRPr="006E1AF7">
              <w:rPr>
                <w:rFonts w:ascii="Arial" w:eastAsia="Calibri" w:hAnsi="Arial" w:cs="Arial"/>
                <w:color w:val="000000"/>
                <w:sz w:val="18"/>
                <w:szCs w:val="18"/>
              </w:rPr>
              <w:t>7.171.171</w:t>
            </w:r>
          </w:p>
        </w:tc>
      </w:tr>
      <w:tr w:rsidR="00A55435" w:rsidRPr="00560C30" w14:paraId="07DA1608"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0CED4533" w14:textId="77777777" w:rsidR="00A55435" w:rsidRPr="00A056FF" w:rsidRDefault="00A55435" w:rsidP="00A55435">
            <w:pPr>
              <w:jc w:val="both"/>
              <w:rPr>
                <w:rFonts w:ascii="Arial" w:hAnsi="Arial" w:cs="Arial"/>
                <w:sz w:val="18"/>
                <w:szCs w:val="18"/>
                <w:lang w:eastAsia="es-AR"/>
              </w:rPr>
            </w:pPr>
            <w:r w:rsidRPr="00FC1ECA">
              <w:rPr>
                <w:rFonts w:ascii="Arial" w:hAnsi="Arial" w:cs="Arial"/>
                <w:sz w:val="18"/>
                <w:szCs w:val="18"/>
                <w:lang w:eastAsia="es-AR"/>
              </w:rPr>
              <w:t xml:space="preserve">- </w:t>
            </w:r>
            <w:r w:rsidRPr="00076DF4">
              <w:rPr>
                <w:rFonts w:ascii="Arial" w:hAnsi="Arial" w:cs="Arial"/>
                <w:sz w:val="18"/>
                <w:szCs w:val="18"/>
                <w:lang w:eastAsia="es-AR"/>
              </w:rPr>
              <w:t>Activos Financieros entregados en Garantí</w:t>
            </w:r>
            <w:r w:rsidRPr="00AF4A0D">
              <w:rPr>
                <w:rFonts w:ascii="Arial" w:hAnsi="Arial" w:cs="Arial"/>
                <w:sz w:val="18"/>
                <w:szCs w:val="18"/>
                <w:lang w:eastAsia="es-AR"/>
              </w:rPr>
              <w:t>a</w:t>
            </w:r>
          </w:p>
        </w:tc>
        <w:tc>
          <w:tcPr>
            <w:tcW w:w="665" w:type="pct"/>
            <w:tcBorders>
              <w:top w:val="nil"/>
              <w:left w:val="nil"/>
              <w:bottom w:val="single" w:sz="4" w:space="0" w:color="auto"/>
              <w:right w:val="single" w:sz="4" w:space="0" w:color="auto"/>
            </w:tcBorders>
            <w:shd w:val="clear" w:color="auto" w:fill="auto"/>
            <w:noWrap/>
            <w:vAlign w:val="bottom"/>
          </w:tcPr>
          <w:p w14:paraId="05846749" w14:textId="30D0A0AD"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4.924.540</w:t>
            </w:r>
          </w:p>
        </w:tc>
        <w:tc>
          <w:tcPr>
            <w:tcW w:w="666" w:type="pct"/>
            <w:tcBorders>
              <w:top w:val="nil"/>
              <w:left w:val="nil"/>
              <w:bottom w:val="single" w:sz="4" w:space="0" w:color="auto"/>
              <w:right w:val="single" w:sz="4" w:space="0" w:color="auto"/>
            </w:tcBorders>
            <w:shd w:val="clear" w:color="auto" w:fill="auto"/>
            <w:noWrap/>
            <w:vAlign w:val="bottom"/>
          </w:tcPr>
          <w:p w14:paraId="437B0002" w14:textId="7D04DD75"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w:t>
            </w:r>
          </w:p>
        </w:tc>
        <w:tc>
          <w:tcPr>
            <w:tcW w:w="593" w:type="pct"/>
            <w:tcBorders>
              <w:top w:val="nil"/>
              <w:left w:val="nil"/>
              <w:bottom w:val="single" w:sz="4" w:space="0" w:color="auto"/>
              <w:right w:val="single" w:sz="4" w:space="0" w:color="auto"/>
            </w:tcBorders>
            <w:shd w:val="clear" w:color="auto" w:fill="auto"/>
            <w:noWrap/>
            <w:vAlign w:val="bottom"/>
          </w:tcPr>
          <w:p w14:paraId="60BC382C" w14:textId="3EB0C3B2"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w:t>
            </w:r>
          </w:p>
        </w:tc>
        <w:tc>
          <w:tcPr>
            <w:tcW w:w="663" w:type="pct"/>
            <w:tcBorders>
              <w:top w:val="nil"/>
              <w:left w:val="nil"/>
              <w:bottom w:val="single" w:sz="4" w:space="0" w:color="auto"/>
              <w:right w:val="single" w:sz="4" w:space="0" w:color="auto"/>
            </w:tcBorders>
            <w:vAlign w:val="bottom"/>
          </w:tcPr>
          <w:p w14:paraId="2FC3DBF5" w14:textId="76B7C775" w:rsidR="00A55435" w:rsidRPr="006E1AF7" w:rsidRDefault="00B91F78" w:rsidP="00A55435">
            <w:pPr>
              <w:jc w:val="right"/>
              <w:rPr>
                <w:rFonts w:ascii="Arial" w:eastAsia="Calibri" w:hAnsi="Arial" w:cs="Arial"/>
                <w:color w:val="000000"/>
                <w:sz w:val="18"/>
                <w:szCs w:val="18"/>
              </w:rPr>
            </w:pPr>
            <w:r w:rsidRPr="006E1AF7">
              <w:rPr>
                <w:rFonts w:ascii="Arial" w:eastAsia="Calibri" w:hAnsi="Arial" w:cs="Arial"/>
                <w:color w:val="000000"/>
                <w:sz w:val="18"/>
                <w:szCs w:val="18"/>
              </w:rPr>
              <w:t>4.924.540</w:t>
            </w:r>
          </w:p>
        </w:tc>
      </w:tr>
      <w:tr w:rsidR="00A55435" w:rsidRPr="00560C30" w14:paraId="5999501B" w14:textId="77777777" w:rsidTr="00B91F78">
        <w:trPr>
          <w:trHeight w:val="285"/>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548BE415" w14:textId="77777777" w:rsidR="00A55435" w:rsidRPr="00076DF4" w:rsidRDefault="00A55435" w:rsidP="00A55435">
            <w:pPr>
              <w:jc w:val="both"/>
              <w:rPr>
                <w:rFonts w:ascii="Arial" w:hAnsi="Arial" w:cs="Arial"/>
                <w:sz w:val="18"/>
                <w:szCs w:val="18"/>
                <w:lang w:eastAsia="es-AR"/>
              </w:rPr>
            </w:pPr>
            <w:r w:rsidRPr="00FC1ECA">
              <w:rPr>
                <w:rFonts w:ascii="Arial" w:hAnsi="Arial" w:cs="Arial"/>
                <w:sz w:val="18"/>
                <w:szCs w:val="18"/>
                <w:lang w:eastAsia="es-AR"/>
              </w:rPr>
              <w:t>- Inversiones en instrumentos de patrimonio</w:t>
            </w:r>
          </w:p>
        </w:tc>
        <w:tc>
          <w:tcPr>
            <w:tcW w:w="665" w:type="pct"/>
            <w:tcBorders>
              <w:top w:val="nil"/>
              <w:left w:val="nil"/>
              <w:bottom w:val="single" w:sz="4" w:space="0" w:color="auto"/>
              <w:right w:val="single" w:sz="4" w:space="0" w:color="auto"/>
            </w:tcBorders>
            <w:shd w:val="clear" w:color="auto" w:fill="auto"/>
            <w:noWrap/>
            <w:vAlign w:val="bottom"/>
          </w:tcPr>
          <w:p w14:paraId="15B9D5CB" w14:textId="154DDA08"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5.796</w:t>
            </w:r>
          </w:p>
        </w:tc>
        <w:tc>
          <w:tcPr>
            <w:tcW w:w="666" w:type="pct"/>
            <w:tcBorders>
              <w:top w:val="nil"/>
              <w:left w:val="nil"/>
              <w:bottom w:val="single" w:sz="4" w:space="0" w:color="auto"/>
              <w:right w:val="single" w:sz="4" w:space="0" w:color="auto"/>
            </w:tcBorders>
            <w:shd w:val="clear" w:color="auto" w:fill="auto"/>
            <w:noWrap/>
            <w:vAlign w:val="bottom"/>
          </w:tcPr>
          <w:p w14:paraId="154B9042" w14:textId="3AAFCAF5" w:rsidR="00A55435" w:rsidRPr="006E1AF7" w:rsidRDefault="004F7076" w:rsidP="00A55435">
            <w:pPr>
              <w:jc w:val="right"/>
              <w:rPr>
                <w:rFonts w:ascii="Arial" w:hAnsi="Arial" w:cs="Arial"/>
                <w:sz w:val="18"/>
                <w:szCs w:val="18"/>
                <w:lang w:eastAsia="es-AR"/>
              </w:rPr>
            </w:pPr>
            <w:r w:rsidRPr="006E1AF7">
              <w:rPr>
                <w:rFonts w:ascii="Arial" w:hAnsi="Arial" w:cs="Arial"/>
                <w:sz w:val="18"/>
                <w:szCs w:val="18"/>
                <w:lang w:eastAsia="es-AR"/>
              </w:rPr>
              <w:t>8.783</w:t>
            </w:r>
          </w:p>
        </w:tc>
        <w:tc>
          <w:tcPr>
            <w:tcW w:w="593" w:type="pct"/>
            <w:tcBorders>
              <w:top w:val="nil"/>
              <w:left w:val="nil"/>
              <w:bottom w:val="single" w:sz="4" w:space="0" w:color="auto"/>
              <w:right w:val="single" w:sz="4" w:space="0" w:color="auto"/>
            </w:tcBorders>
            <w:shd w:val="clear" w:color="auto" w:fill="auto"/>
            <w:noWrap/>
            <w:vAlign w:val="bottom"/>
          </w:tcPr>
          <w:p w14:paraId="0EEA00B5" w14:textId="1E50569D"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w:t>
            </w:r>
          </w:p>
        </w:tc>
        <w:tc>
          <w:tcPr>
            <w:tcW w:w="663" w:type="pct"/>
            <w:tcBorders>
              <w:top w:val="nil"/>
              <w:left w:val="nil"/>
              <w:bottom w:val="single" w:sz="4" w:space="0" w:color="auto"/>
              <w:right w:val="single" w:sz="4" w:space="0" w:color="auto"/>
            </w:tcBorders>
            <w:vAlign w:val="bottom"/>
          </w:tcPr>
          <w:p w14:paraId="4229D33B" w14:textId="1B2DD398" w:rsidR="00A55435" w:rsidRPr="006E1AF7" w:rsidRDefault="00B91F78" w:rsidP="00A55435">
            <w:pPr>
              <w:jc w:val="right"/>
              <w:rPr>
                <w:rFonts w:ascii="Arial" w:eastAsia="Calibri" w:hAnsi="Arial" w:cs="Arial"/>
                <w:color w:val="000000"/>
                <w:sz w:val="18"/>
                <w:szCs w:val="18"/>
              </w:rPr>
            </w:pPr>
            <w:r w:rsidRPr="006E1AF7">
              <w:rPr>
                <w:rFonts w:ascii="Arial" w:eastAsia="Calibri" w:hAnsi="Arial" w:cs="Arial"/>
                <w:color w:val="000000"/>
                <w:sz w:val="18"/>
                <w:szCs w:val="18"/>
              </w:rPr>
              <w:t>14.579</w:t>
            </w:r>
          </w:p>
        </w:tc>
      </w:tr>
      <w:tr w:rsidR="00A55435" w:rsidRPr="00560C30" w14:paraId="400DB63F"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tcPr>
          <w:p w14:paraId="69A2F532" w14:textId="77777777" w:rsidR="00A55435" w:rsidRPr="00076DF4" w:rsidRDefault="00A55435" w:rsidP="00A55435">
            <w:pPr>
              <w:jc w:val="both"/>
              <w:rPr>
                <w:rFonts w:ascii="Arial" w:hAnsi="Arial" w:cs="Arial"/>
                <w:b/>
                <w:bCs/>
                <w:sz w:val="18"/>
                <w:szCs w:val="18"/>
                <w:lang w:eastAsia="es-AR"/>
              </w:rPr>
            </w:pPr>
            <w:r w:rsidRPr="00FC1ECA">
              <w:rPr>
                <w:rFonts w:ascii="Arial" w:hAnsi="Arial" w:cs="Arial"/>
                <w:b/>
                <w:bCs/>
                <w:sz w:val="18"/>
                <w:szCs w:val="18"/>
                <w:lang w:eastAsia="es-AR"/>
              </w:rPr>
              <w:t>Total Activos</w:t>
            </w:r>
          </w:p>
        </w:tc>
        <w:tc>
          <w:tcPr>
            <w:tcW w:w="665" w:type="pct"/>
            <w:tcBorders>
              <w:top w:val="nil"/>
              <w:left w:val="nil"/>
              <w:bottom w:val="single" w:sz="4" w:space="0" w:color="auto"/>
              <w:right w:val="single" w:sz="4" w:space="0" w:color="auto"/>
            </w:tcBorders>
            <w:shd w:val="clear" w:color="auto" w:fill="auto"/>
            <w:noWrap/>
            <w:vAlign w:val="bottom"/>
          </w:tcPr>
          <w:p w14:paraId="2BA573C1" w14:textId="095DC72D" w:rsidR="00A55435" w:rsidRPr="006E1AF7" w:rsidRDefault="00E77EBD" w:rsidP="00A55435">
            <w:pPr>
              <w:jc w:val="right"/>
              <w:rPr>
                <w:rFonts w:ascii="Arial" w:eastAsia="Calibri" w:hAnsi="Arial" w:cs="Arial"/>
                <w:b/>
                <w:color w:val="000000"/>
                <w:sz w:val="18"/>
                <w:szCs w:val="18"/>
              </w:rPr>
            </w:pPr>
            <w:r w:rsidRPr="00E77EBD">
              <w:rPr>
                <w:rFonts w:ascii="Arial" w:eastAsia="Calibri" w:hAnsi="Arial" w:cs="Arial"/>
                <w:b/>
                <w:color w:val="000000"/>
                <w:sz w:val="18"/>
                <w:szCs w:val="18"/>
              </w:rPr>
              <w:t>12.958.07</w:t>
            </w:r>
            <w:r w:rsidR="000966C6">
              <w:rPr>
                <w:rFonts w:ascii="Arial" w:eastAsia="Calibri" w:hAnsi="Arial" w:cs="Arial"/>
                <w:b/>
                <w:color w:val="000000"/>
                <w:sz w:val="18"/>
                <w:szCs w:val="18"/>
              </w:rPr>
              <w:t>3</w:t>
            </w:r>
          </w:p>
        </w:tc>
        <w:tc>
          <w:tcPr>
            <w:tcW w:w="666" w:type="pct"/>
            <w:tcBorders>
              <w:top w:val="nil"/>
              <w:left w:val="nil"/>
              <w:bottom w:val="single" w:sz="4" w:space="0" w:color="auto"/>
              <w:right w:val="single" w:sz="4" w:space="0" w:color="auto"/>
            </w:tcBorders>
            <w:shd w:val="clear" w:color="auto" w:fill="auto"/>
            <w:noWrap/>
            <w:vAlign w:val="bottom"/>
          </w:tcPr>
          <w:p w14:paraId="05567EDF" w14:textId="6FE8AF22" w:rsidR="00A55435" w:rsidRPr="006E1AF7" w:rsidRDefault="005F7199" w:rsidP="00A55435">
            <w:pPr>
              <w:jc w:val="right"/>
              <w:rPr>
                <w:rFonts w:ascii="Arial" w:eastAsia="Calibri" w:hAnsi="Arial" w:cs="Arial"/>
                <w:b/>
                <w:color w:val="000000"/>
                <w:sz w:val="18"/>
                <w:szCs w:val="18"/>
              </w:rPr>
            </w:pPr>
            <w:r w:rsidRPr="005F7199">
              <w:rPr>
                <w:rFonts w:ascii="Arial" w:eastAsia="Calibri" w:hAnsi="Arial" w:cs="Arial"/>
                <w:b/>
                <w:color w:val="000000"/>
                <w:sz w:val="18"/>
                <w:szCs w:val="18"/>
              </w:rPr>
              <w:t xml:space="preserve">8.783 </w:t>
            </w:r>
          </w:p>
        </w:tc>
        <w:tc>
          <w:tcPr>
            <w:tcW w:w="593" w:type="pct"/>
            <w:tcBorders>
              <w:top w:val="nil"/>
              <w:left w:val="nil"/>
              <w:bottom w:val="single" w:sz="4" w:space="0" w:color="auto"/>
              <w:right w:val="single" w:sz="4" w:space="0" w:color="auto"/>
            </w:tcBorders>
            <w:shd w:val="clear" w:color="auto" w:fill="auto"/>
            <w:noWrap/>
            <w:vAlign w:val="bottom"/>
          </w:tcPr>
          <w:p w14:paraId="624DD6A0" w14:textId="57A7DE3A" w:rsidR="00A55435" w:rsidRPr="006E1AF7" w:rsidRDefault="005F7199" w:rsidP="00A55435">
            <w:pPr>
              <w:jc w:val="right"/>
              <w:rPr>
                <w:rFonts w:ascii="Arial" w:eastAsia="Calibri" w:hAnsi="Arial" w:cs="Arial"/>
                <w:b/>
                <w:color w:val="000000"/>
                <w:sz w:val="18"/>
                <w:szCs w:val="18"/>
              </w:rPr>
            </w:pPr>
            <w:r w:rsidRPr="005F7199">
              <w:rPr>
                <w:rFonts w:ascii="Arial" w:eastAsia="Calibri" w:hAnsi="Arial" w:cs="Arial"/>
                <w:b/>
                <w:color w:val="000000"/>
                <w:sz w:val="18"/>
                <w:szCs w:val="18"/>
              </w:rPr>
              <w:t>3.67</w:t>
            </w:r>
            <w:r w:rsidR="000966C6">
              <w:rPr>
                <w:rFonts w:ascii="Arial" w:eastAsia="Calibri" w:hAnsi="Arial" w:cs="Arial"/>
                <w:b/>
                <w:color w:val="000000"/>
                <w:sz w:val="18"/>
                <w:szCs w:val="18"/>
              </w:rPr>
              <w:t>1</w:t>
            </w:r>
          </w:p>
        </w:tc>
        <w:tc>
          <w:tcPr>
            <w:tcW w:w="663" w:type="pct"/>
            <w:tcBorders>
              <w:top w:val="nil"/>
              <w:left w:val="nil"/>
              <w:bottom w:val="single" w:sz="4" w:space="0" w:color="auto"/>
              <w:right w:val="single" w:sz="4" w:space="0" w:color="auto"/>
            </w:tcBorders>
            <w:vAlign w:val="bottom"/>
          </w:tcPr>
          <w:p w14:paraId="5F2F9901" w14:textId="7D21249B" w:rsidR="00A55435" w:rsidRPr="006E1AF7" w:rsidRDefault="004F7076" w:rsidP="00A55435">
            <w:pPr>
              <w:jc w:val="right"/>
              <w:rPr>
                <w:rFonts w:ascii="Arial" w:eastAsia="Calibri" w:hAnsi="Arial" w:cs="Arial"/>
                <w:b/>
                <w:color w:val="000000"/>
                <w:sz w:val="18"/>
                <w:szCs w:val="18"/>
              </w:rPr>
            </w:pPr>
            <w:r w:rsidRPr="006E1AF7">
              <w:rPr>
                <w:rFonts w:ascii="Arial" w:eastAsia="Calibri" w:hAnsi="Arial" w:cs="Arial"/>
                <w:b/>
                <w:color w:val="000000"/>
                <w:sz w:val="18"/>
                <w:szCs w:val="18"/>
              </w:rPr>
              <w:t>12.970.527</w:t>
            </w:r>
          </w:p>
        </w:tc>
      </w:tr>
      <w:tr w:rsidR="002278C2" w:rsidRPr="00560C30" w14:paraId="5F6A4854"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69156487" w14:textId="77777777" w:rsidR="002278C2" w:rsidRPr="00076DF4" w:rsidRDefault="002278C2" w:rsidP="00992CF2">
            <w:pPr>
              <w:jc w:val="both"/>
              <w:rPr>
                <w:rFonts w:ascii="Arial" w:hAnsi="Arial" w:cs="Arial"/>
                <w:b/>
                <w:bCs/>
                <w:sz w:val="18"/>
                <w:szCs w:val="18"/>
                <w:lang w:eastAsia="es-AR"/>
              </w:rPr>
            </w:pPr>
            <w:r w:rsidRPr="00FC1ECA">
              <w:rPr>
                <w:rFonts w:ascii="Arial" w:hAnsi="Arial" w:cs="Arial"/>
                <w:b/>
                <w:bCs/>
                <w:sz w:val="18"/>
                <w:szCs w:val="18"/>
                <w:lang w:eastAsia="es-AR"/>
              </w:rPr>
              <w:t>Pasivos</w:t>
            </w:r>
          </w:p>
        </w:tc>
        <w:tc>
          <w:tcPr>
            <w:tcW w:w="665" w:type="pct"/>
            <w:tcBorders>
              <w:top w:val="nil"/>
              <w:left w:val="nil"/>
              <w:bottom w:val="single" w:sz="4" w:space="0" w:color="auto"/>
              <w:right w:val="single" w:sz="4" w:space="0" w:color="auto"/>
            </w:tcBorders>
            <w:shd w:val="clear" w:color="auto" w:fill="auto"/>
            <w:noWrap/>
            <w:vAlign w:val="bottom"/>
          </w:tcPr>
          <w:p w14:paraId="74BE807B" w14:textId="77777777" w:rsidR="002278C2" w:rsidRPr="006E1AF7" w:rsidRDefault="002278C2" w:rsidP="00A55435">
            <w:pPr>
              <w:jc w:val="right"/>
              <w:rPr>
                <w:rFonts w:ascii="Arial" w:hAnsi="Arial" w:cs="Arial"/>
                <w:b/>
                <w:bCs/>
                <w:sz w:val="18"/>
                <w:szCs w:val="18"/>
                <w:lang w:eastAsia="es-AR"/>
              </w:rPr>
            </w:pPr>
          </w:p>
        </w:tc>
        <w:tc>
          <w:tcPr>
            <w:tcW w:w="666" w:type="pct"/>
            <w:tcBorders>
              <w:top w:val="nil"/>
              <w:left w:val="nil"/>
              <w:bottom w:val="single" w:sz="4" w:space="0" w:color="auto"/>
              <w:right w:val="single" w:sz="4" w:space="0" w:color="auto"/>
            </w:tcBorders>
            <w:shd w:val="clear" w:color="auto" w:fill="auto"/>
            <w:noWrap/>
            <w:vAlign w:val="bottom"/>
          </w:tcPr>
          <w:p w14:paraId="4B53EF09" w14:textId="55814D23" w:rsidR="002278C2" w:rsidRPr="006E1AF7" w:rsidRDefault="00B91F78" w:rsidP="00A55435">
            <w:pPr>
              <w:jc w:val="right"/>
              <w:rPr>
                <w:rFonts w:ascii="Arial" w:hAnsi="Arial" w:cs="Arial"/>
                <w:b/>
                <w:bCs/>
                <w:sz w:val="18"/>
                <w:szCs w:val="18"/>
                <w:lang w:eastAsia="es-AR"/>
              </w:rPr>
            </w:pPr>
            <w:r w:rsidRPr="006E1AF7">
              <w:rPr>
                <w:rFonts w:ascii="Arial" w:hAnsi="Arial" w:cs="Arial"/>
                <w:b/>
                <w:bCs/>
                <w:sz w:val="18"/>
                <w:szCs w:val="18"/>
                <w:lang w:eastAsia="es-AR"/>
              </w:rPr>
              <w:t>-</w:t>
            </w:r>
          </w:p>
        </w:tc>
        <w:tc>
          <w:tcPr>
            <w:tcW w:w="593" w:type="pct"/>
            <w:tcBorders>
              <w:top w:val="nil"/>
              <w:left w:val="nil"/>
              <w:bottom w:val="single" w:sz="4" w:space="0" w:color="auto"/>
              <w:right w:val="single" w:sz="4" w:space="0" w:color="auto"/>
            </w:tcBorders>
            <w:shd w:val="clear" w:color="auto" w:fill="auto"/>
            <w:noWrap/>
            <w:vAlign w:val="bottom"/>
          </w:tcPr>
          <w:p w14:paraId="6E060BF3" w14:textId="18BE3EF0" w:rsidR="002278C2" w:rsidRPr="006E1AF7" w:rsidRDefault="00B91F78" w:rsidP="00A55435">
            <w:pPr>
              <w:jc w:val="right"/>
              <w:rPr>
                <w:rFonts w:ascii="Arial" w:hAnsi="Arial" w:cs="Arial"/>
                <w:b/>
                <w:bCs/>
                <w:sz w:val="18"/>
                <w:szCs w:val="18"/>
                <w:lang w:eastAsia="es-AR"/>
              </w:rPr>
            </w:pPr>
            <w:r w:rsidRPr="006E1AF7">
              <w:rPr>
                <w:rFonts w:ascii="Arial" w:hAnsi="Arial" w:cs="Arial"/>
                <w:b/>
                <w:bCs/>
                <w:sz w:val="18"/>
                <w:szCs w:val="18"/>
                <w:lang w:eastAsia="es-AR"/>
              </w:rPr>
              <w:t>-</w:t>
            </w:r>
          </w:p>
        </w:tc>
        <w:tc>
          <w:tcPr>
            <w:tcW w:w="663" w:type="pct"/>
            <w:tcBorders>
              <w:top w:val="nil"/>
              <w:left w:val="nil"/>
              <w:bottom w:val="single" w:sz="4" w:space="0" w:color="auto"/>
              <w:right w:val="single" w:sz="4" w:space="0" w:color="auto"/>
            </w:tcBorders>
            <w:vAlign w:val="bottom"/>
          </w:tcPr>
          <w:p w14:paraId="790567C1" w14:textId="77777777" w:rsidR="002278C2" w:rsidRPr="006E1AF7" w:rsidRDefault="002278C2" w:rsidP="00A55435">
            <w:pPr>
              <w:jc w:val="right"/>
              <w:rPr>
                <w:rFonts w:ascii="Arial" w:hAnsi="Arial" w:cs="Arial"/>
                <w:b/>
                <w:bCs/>
                <w:sz w:val="18"/>
                <w:szCs w:val="18"/>
                <w:lang w:eastAsia="es-AR"/>
              </w:rPr>
            </w:pPr>
          </w:p>
        </w:tc>
      </w:tr>
      <w:tr w:rsidR="00B91F78" w:rsidRPr="00560C30" w14:paraId="49950A4A"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tcPr>
          <w:p w14:paraId="6DF7A7AA" w14:textId="22D85917" w:rsidR="00B91F78" w:rsidRPr="00AF4A0D" w:rsidRDefault="00B91F78" w:rsidP="00992CF2">
            <w:pPr>
              <w:jc w:val="both"/>
              <w:rPr>
                <w:rFonts w:ascii="Arial" w:hAnsi="Arial" w:cs="Arial"/>
                <w:bCs/>
                <w:sz w:val="18"/>
                <w:szCs w:val="18"/>
                <w:lang w:eastAsia="es-AR"/>
              </w:rPr>
            </w:pPr>
            <w:r w:rsidRPr="00FC1ECA">
              <w:rPr>
                <w:rFonts w:ascii="Arial" w:hAnsi="Arial" w:cs="Arial"/>
                <w:bCs/>
                <w:sz w:val="18"/>
                <w:szCs w:val="18"/>
                <w:lang w:eastAsia="es-AR"/>
              </w:rPr>
              <w:t xml:space="preserve">- Pasivos a valor razonable con </w:t>
            </w:r>
            <w:r w:rsidRPr="00076DF4">
              <w:rPr>
                <w:rFonts w:ascii="Arial" w:hAnsi="Arial" w:cs="Arial"/>
                <w:bCs/>
                <w:sz w:val="18"/>
                <w:szCs w:val="18"/>
                <w:lang w:eastAsia="es-AR"/>
              </w:rPr>
              <w:t>cambios en resultados</w:t>
            </w:r>
          </w:p>
        </w:tc>
        <w:tc>
          <w:tcPr>
            <w:tcW w:w="665" w:type="pct"/>
            <w:tcBorders>
              <w:top w:val="nil"/>
              <w:left w:val="nil"/>
              <w:bottom w:val="single" w:sz="4" w:space="0" w:color="auto"/>
              <w:right w:val="single" w:sz="4" w:space="0" w:color="auto"/>
            </w:tcBorders>
            <w:shd w:val="clear" w:color="auto" w:fill="auto"/>
            <w:noWrap/>
            <w:vAlign w:val="bottom"/>
          </w:tcPr>
          <w:p w14:paraId="50E81AEB" w14:textId="3EF2C88F" w:rsidR="00B91F78" w:rsidRPr="006E1AF7" w:rsidRDefault="004F7076" w:rsidP="00A55435">
            <w:pPr>
              <w:jc w:val="right"/>
              <w:rPr>
                <w:rFonts w:ascii="Arial" w:hAnsi="Arial" w:cs="Arial"/>
                <w:bCs/>
                <w:sz w:val="18"/>
                <w:szCs w:val="18"/>
                <w:lang w:eastAsia="es-AR"/>
              </w:rPr>
            </w:pPr>
            <w:r w:rsidRPr="006E1AF7">
              <w:rPr>
                <w:rFonts w:ascii="Arial" w:hAnsi="Arial" w:cs="Arial"/>
                <w:bCs/>
                <w:sz w:val="18"/>
                <w:szCs w:val="18"/>
                <w:lang w:eastAsia="es-AR"/>
              </w:rPr>
              <w:t>189.554</w:t>
            </w:r>
          </w:p>
        </w:tc>
        <w:tc>
          <w:tcPr>
            <w:tcW w:w="666" w:type="pct"/>
            <w:tcBorders>
              <w:top w:val="nil"/>
              <w:left w:val="nil"/>
              <w:bottom w:val="single" w:sz="4" w:space="0" w:color="auto"/>
              <w:right w:val="single" w:sz="4" w:space="0" w:color="auto"/>
            </w:tcBorders>
            <w:shd w:val="clear" w:color="auto" w:fill="auto"/>
            <w:noWrap/>
            <w:vAlign w:val="bottom"/>
          </w:tcPr>
          <w:p w14:paraId="735D9471" w14:textId="5C790A49" w:rsidR="00B91F78" w:rsidRPr="006E1AF7" w:rsidRDefault="00B91F78" w:rsidP="00A55435">
            <w:pPr>
              <w:jc w:val="right"/>
              <w:rPr>
                <w:rFonts w:ascii="Arial" w:hAnsi="Arial" w:cs="Arial"/>
                <w:bCs/>
                <w:sz w:val="18"/>
                <w:szCs w:val="18"/>
                <w:lang w:eastAsia="es-AR"/>
              </w:rPr>
            </w:pPr>
            <w:r w:rsidRPr="006E1AF7">
              <w:rPr>
                <w:rFonts w:ascii="Arial" w:hAnsi="Arial" w:cs="Arial"/>
                <w:bCs/>
                <w:sz w:val="18"/>
                <w:szCs w:val="18"/>
                <w:lang w:eastAsia="es-AR"/>
              </w:rPr>
              <w:t>-</w:t>
            </w:r>
          </w:p>
        </w:tc>
        <w:tc>
          <w:tcPr>
            <w:tcW w:w="593" w:type="pct"/>
            <w:tcBorders>
              <w:top w:val="nil"/>
              <w:left w:val="nil"/>
              <w:bottom w:val="single" w:sz="4" w:space="0" w:color="auto"/>
              <w:right w:val="single" w:sz="4" w:space="0" w:color="auto"/>
            </w:tcBorders>
            <w:shd w:val="clear" w:color="auto" w:fill="auto"/>
            <w:noWrap/>
            <w:vAlign w:val="bottom"/>
          </w:tcPr>
          <w:p w14:paraId="6814A28B" w14:textId="3C40B075" w:rsidR="00B91F78" w:rsidRPr="006E1AF7" w:rsidRDefault="00B91F78" w:rsidP="00A55435">
            <w:pPr>
              <w:jc w:val="right"/>
              <w:rPr>
                <w:rFonts w:ascii="Arial" w:hAnsi="Arial" w:cs="Arial"/>
                <w:bCs/>
                <w:sz w:val="18"/>
                <w:szCs w:val="18"/>
                <w:lang w:eastAsia="es-AR"/>
              </w:rPr>
            </w:pPr>
            <w:r w:rsidRPr="006E1AF7">
              <w:rPr>
                <w:rFonts w:ascii="Arial" w:hAnsi="Arial" w:cs="Arial"/>
                <w:bCs/>
                <w:sz w:val="18"/>
                <w:szCs w:val="18"/>
                <w:lang w:eastAsia="es-AR"/>
              </w:rPr>
              <w:t>-</w:t>
            </w:r>
          </w:p>
        </w:tc>
        <w:tc>
          <w:tcPr>
            <w:tcW w:w="663" w:type="pct"/>
            <w:tcBorders>
              <w:top w:val="nil"/>
              <w:left w:val="nil"/>
              <w:bottom w:val="single" w:sz="4" w:space="0" w:color="auto"/>
              <w:right w:val="single" w:sz="4" w:space="0" w:color="auto"/>
            </w:tcBorders>
            <w:vAlign w:val="bottom"/>
          </w:tcPr>
          <w:p w14:paraId="7AAC931F" w14:textId="27DB360E" w:rsidR="00B91F78" w:rsidRPr="006E1AF7" w:rsidRDefault="004F7076" w:rsidP="00A55435">
            <w:pPr>
              <w:jc w:val="right"/>
              <w:rPr>
                <w:rFonts w:ascii="Arial" w:hAnsi="Arial" w:cs="Arial"/>
                <w:bCs/>
                <w:sz w:val="18"/>
                <w:szCs w:val="18"/>
                <w:lang w:eastAsia="es-AR"/>
              </w:rPr>
            </w:pPr>
            <w:r w:rsidRPr="006E1AF7">
              <w:rPr>
                <w:rFonts w:ascii="Arial" w:hAnsi="Arial" w:cs="Arial"/>
                <w:bCs/>
                <w:sz w:val="18"/>
                <w:szCs w:val="18"/>
                <w:lang w:eastAsia="es-AR"/>
              </w:rPr>
              <w:t>189.554</w:t>
            </w:r>
          </w:p>
        </w:tc>
      </w:tr>
      <w:tr w:rsidR="00A55435" w:rsidRPr="00560C30" w14:paraId="07A3FCA2"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tcPr>
          <w:p w14:paraId="0B05D7F6" w14:textId="77777777" w:rsidR="00A55435" w:rsidRPr="00076DF4" w:rsidRDefault="00A55435" w:rsidP="00A55435">
            <w:pPr>
              <w:numPr>
                <w:ilvl w:val="0"/>
                <w:numId w:val="32"/>
              </w:numPr>
              <w:spacing w:after="160" w:line="259" w:lineRule="auto"/>
              <w:ind w:left="66" w:hanging="77"/>
              <w:contextualSpacing/>
              <w:jc w:val="both"/>
              <w:rPr>
                <w:rFonts w:ascii="Arial" w:hAnsi="Arial" w:cs="Arial"/>
                <w:sz w:val="18"/>
                <w:szCs w:val="18"/>
                <w:lang w:eastAsia="es-AR"/>
              </w:rPr>
            </w:pPr>
            <w:r w:rsidRPr="00FC1ECA">
              <w:rPr>
                <w:rFonts w:ascii="Arial" w:hAnsi="Arial" w:cs="Arial"/>
                <w:sz w:val="18"/>
                <w:szCs w:val="18"/>
                <w:lang w:eastAsia="es-AR"/>
              </w:rPr>
              <w:t xml:space="preserve"> Otros Pasivos Financieros</w:t>
            </w:r>
          </w:p>
        </w:tc>
        <w:tc>
          <w:tcPr>
            <w:tcW w:w="665" w:type="pct"/>
            <w:tcBorders>
              <w:top w:val="nil"/>
              <w:left w:val="nil"/>
              <w:bottom w:val="single" w:sz="4" w:space="0" w:color="auto"/>
              <w:right w:val="single" w:sz="4" w:space="0" w:color="auto"/>
            </w:tcBorders>
            <w:shd w:val="clear" w:color="auto" w:fill="auto"/>
            <w:noWrap/>
            <w:vAlign w:val="bottom"/>
          </w:tcPr>
          <w:p w14:paraId="7A3AB44E" w14:textId="5E053807" w:rsidR="00A55435" w:rsidRPr="006E1AF7" w:rsidRDefault="005F7199" w:rsidP="00A55435">
            <w:pPr>
              <w:jc w:val="right"/>
              <w:rPr>
                <w:rFonts w:ascii="Arial" w:hAnsi="Arial" w:cs="Arial"/>
                <w:sz w:val="18"/>
                <w:szCs w:val="18"/>
                <w:lang w:eastAsia="es-AR"/>
              </w:rPr>
            </w:pPr>
            <w:r w:rsidRPr="005F7199">
              <w:rPr>
                <w:rFonts w:ascii="Arial" w:hAnsi="Arial" w:cs="Arial"/>
                <w:sz w:val="18"/>
                <w:szCs w:val="18"/>
                <w:lang w:eastAsia="es-AR"/>
              </w:rPr>
              <w:t>5.996.738</w:t>
            </w:r>
          </w:p>
        </w:tc>
        <w:tc>
          <w:tcPr>
            <w:tcW w:w="666" w:type="pct"/>
            <w:tcBorders>
              <w:top w:val="nil"/>
              <w:left w:val="nil"/>
              <w:bottom w:val="single" w:sz="4" w:space="0" w:color="auto"/>
              <w:right w:val="single" w:sz="4" w:space="0" w:color="auto"/>
            </w:tcBorders>
            <w:shd w:val="clear" w:color="auto" w:fill="auto"/>
            <w:noWrap/>
            <w:vAlign w:val="bottom"/>
          </w:tcPr>
          <w:p w14:paraId="39242087" w14:textId="2A8C72CE"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w:t>
            </w:r>
          </w:p>
        </w:tc>
        <w:tc>
          <w:tcPr>
            <w:tcW w:w="593" w:type="pct"/>
            <w:tcBorders>
              <w:top w:val="nil"/>
              <w:left w:val="nil"/>
              <w:bottom w:val="single" w:sz="4" w:space="0" w:color="auto"/>
              <w:right w:val="single" w:sz="4" w:space="0" w:color="auto"/>
            </w:tcBorders>
            <w:shd w:val="clear" w:color="auto" w:fill="auto"/>
            <w:noWrap/>
            <w:vAlign w:val="bottom"/>
          </w:tcPr>
          <w:p w14:paraId="3A00AF30" w14:textId="691D0BF8" w:rsidR="00A55435" w:rsidRPr="006E1AF7" w:rsidRDefault="00B91F78" w:rsidP="00A55435">
            <w:pPr>
              <w:jc w:val="right"/>
              <w:rPr>
                <w:rFonts w:ascii="Arial" w:hAnsi="Arial" w:cs="Arial"/>
                <w:sz w:val="18"/>
                <w:szCs w:val="18"/>
                <w:lang w:eastAsia="es-AR"/>
              </w:rPr>
            </w:pPr>
            <w:r w:rsidRPr="006E1AF7">
              <w:rPr>
                <w:rFonts w:ascii="Arial" w:hAnsi="Arial" w:cs="Arial"/>
                <w:sz w:val="18"/>
                <w:szCs w:val="18"/>
                <w:lang w:eastAsia="es-AR"/>
              </w:rPr>
              <w:t>-</w:t>
            </w:r>
          </w:p>
        </w:tc>
        <w:tc>
          <w:tcPr>
            <w:tcW w:w="663" w:type="pct"/>
            <w:tcBorders>
              <w:top w:val="nil"/>
              <w:left w:val="nil"/>
              <w:bottom w:val="single" w:sz="4" w:space="0" w:color="auto"/>
              <w:right w:val="single" w:sz="4" w:space="0" w:color="auto"/>
            </w:tcBorders>
            <w:vAlign w:val="bottom"/>
          </w:tcPr>
          <w:p w14:paraId="474D9D9A" w14:textId="09434009" w:rsidR="00A55435" w:rsidRPr="006E1AF7" w:rsidRDefault="005F7199" w:rsidP="00A55435">
            <w:pPr>
              <w:jc w:val="right"/>
              <w:rPr>
                <w:rFonts w:ascii="Arial" w:eastAsia="Calibri" w:hAnsi="Arial" w:cs="Arial"/>
                <w:color w:val="000000"/>
                <w:sz w:val="18"/>
                <w:szCs w:val="18"/>
              </w:rPr>
            </w:pPr>
            <w:r w:rsidRPr="005F7199">
              <w:rPr>
                <w:rFonts w:ascii="Arial" w:eastAsia="Calibri" w:hAnsi="Arial" w:cs="Arial"/>
                <w:color w:val="000000"/>
                <w:sz w:val="18"/>
                <w:szCs w:val="18"/>
              </w:rPr>
              <w:t>5.996.738</w:t>
            </w:r>
          </w:p>
        </w:tc>
      </w:tr>
      <w:tr w:rsidR="00A55435" w:rsidRPr="00560C30" w14:paraId="0618FDED" w14:textId="77777777" w:rsidTr="00037C01">
        <w:trPr>
          <w:trHeight w:val="234"/>
        </w:trPr>
        <w:tc>
          <w:tcPr>
            <w:tcW w:w="2413" w:type="pct"/>
            <w:tcBorders>
              <w:top w:val="nil"/>
              <w:left w:val="single" w:sz="4" w:space="0" w:color="auto"/>
              <w:bottom w:val="single" w:sz="4" w:space="0" w:color="auto"/>
              <w:right w:val="single" w:sz="4" w:space="0" w:color="auto"/>
            </w:tcBorders>
            <w:shd w:val="clear" w:color="auto" w:fill="auto"/>
            <w:noWrap/>
            <w:vAlign w:val="bottom"/>
            <w:hideMark/>
          </w:tcPr>
          <w:p w14:paraId="391F849B" w14:textId="77777777" w:rsidR="00A55435" w:rsidRPr="00076DF4" w:rsidRDefault="00A55435" w:rsidP="00A55435">
            <w:pPr>
              <w:jc w:val="both"/>
              <w:rPr>
                <w:rFonts w:ascii="Arial" w:hAnsi="Arial" w:cs="Arial"/>
                <w:b/>
                <w:bCs/>
                <w:sz w:val="18"/>
                <w:szCs w:val="18"/>
                <w:lang w:eastAsia="es-AR"/>
              </w:rPr>
            </w:pPr>
            <w:r w:rsidRPr="00FC1ECA">
              <w:rPr>
                <w:rFonts w:ascii="Arial" w:hAnsi="Arial" w:cs="Arial"/>
                <w:b/>
                <w:bCs/>
                <w:sz w:val="18"/>
                <w:szCs w:val="18"/>
                <w:lang w:eastAsia="es-AR"/>
              </w:rPr>
              <w:t>Total Pasivos</w:t>
            </w:r>
          </w:p>
        </w:tc>
        <w:tc>
          <w:tcPr>
            <w:tcW w:w="665" w:type="pct"/>
            <w:tcBorders>
              <w:top w:val="nil"/>
              <w:left w:val="nil"/>
              <w:bottom w:val="single" w:sz="4" w:space="0" w:color="auto"/>
              <w:right w:val="single" w:sz="4" w:space="0" w:color="auto"/>
            </w:tcBorders>
            <w:shd w:val="clear" w:color="auto" w:fill="auto"/>
            <w:noWrap/>
            <w:vAlign w:val="bottom"/>
          </w:tcPr>
          <w:p w14:paraId="092EF92A" w14:textId="73FC446D" w:rsidR="00A55435" w:rsidRPr="006E1AF7" w:rsidRDefault="005F7199" w:rsidP="00A55435">
            <w:pPr>
              <w:jc w:val="right"/>
              <w:rPr>
                <w:rFonts w:ascii="Arial" w:hAnsi="Arial" w:cs="Arial"/>
                <w:b/>
                <w:bCs/>
                <w:sz w:val="18"/>
                <w:szCs w:val="18"/>
                <w:lang w:eastAsia="es-AR"/>
              </w:rPr>
            </w:pPr>
            <w:r w:rsidRPr="005F7199">
              <w:rPr>
                <w:rFonts w:ascii="Arial" w:hAnsi="Arial" w:cs="Arial"/>
                <w:b/>
                <w:bCs/>
                <w:sz w:val="18"/>
                <w:szCs w:val="18"/>
                <w:lang w:eastAsia="es-AR"/>
              </w:rPr>
              <w:t>6.186.292</w:t>
            </w:r>
          </w:p>
        </w:tc>
        <w:tc>
          <w:tcPr>
            <w:tcW w:w="666" w:type="pct"/>
            <w:tcBorders>
              <w:top w:val="nil"/>
              <w:left w:val="nil"/>
              <w:bottom w:val="single" w:sz="4" w:space="0" w:color="auto"/>
              <w:right w:val="single" w:sz="4" w:space="0" w:color="auto"/>
            </w:tcBorders>
            <w:shd w:val="clear" w:color="auto" w:fill="auto"/>
            <w:noWrap/>
            <w:vAlign w:val="bottom"/>
          </w:tcPr>
          <w:p w14:paraId="6A198557" w14:textId="1A611FB5" w:rsidR="00A55435" w:rsidRPr="006E1AF7" w:rsidRDefault="00B91F78" w:rsidP="00A55435">
            <w:pPr>
              <w:jc w:val="right"/>
              <w:rPr>
                <w:rFonts w:ascii="Arial" w:eastAsia="Calibri" w:hAnsi="Arial" w:cs="Arial"/>
                <w:b/>
                <w:bCs/>
                <w:color w:val="000000"/>
                <w:sz w:val="18"/>
                <w:szCs w:val="18"/>
              </w:rPr>
            </w:pPr>
            <w:r w:rsidRPr="006E1AF7">
              <w:rPr>
                <w:rFonts w:ascii="Arial" w:eastAsia="Calibri" w:hAnsi="Arial" w:cs="Arial"/>
                <w:b/>
                <w:bCs/>
                <w:color w:val="000000"/>
                <w:sz w:val="18"/>
                <w:szCs w:val="18"/>
              </w:rPr>
              <w:t>-</w:t>
            </w:r>
          </w:p>
        </w:tc>
        <w:tc>
          <w:tcPr>
            <w:tcW w:w="593" w:type="pct"/>
            <w:tcBorders>
              <w:top w:val="nil"/>
              <w:left w:val="nil"/>
              <w:bottom w:val="single" w:sz="4" w:space="0" w:color="auto"/>
              <w:right w:val="single" w:sz="4" w:space="0" w:color="auto"/>
            </w:tcBorders>
            <w:shd w:val="clear" w:color="auto" w:fill="auto"/>
            <w:noWrap/>
            <w:vAlign w:val="bottom"/>
          </w:tcPr>
          <w:p w14:paraId="701D4693" w14:textId="1B0A2AD6" w:rsidR="00A55435" w:rsidRPr="006E1AF7" w:rsidRDefault="00B91F78" w:rsidP="00A55435">
            <w:pPr>
              <w:jc w:val="right"/>
              <w:rPr>
                <w:rFonts w:ascii="Arial" w:hAnsi="Arial" w:cs="Arial"/>
                <w:b/>
                <w:bCs/>
                <w:sz w:val="18"/>
                <w:szCs w:val="18"/>
                <w:lang w:eastAsia="es-AR"/>
              </w:rPr>
            </w:pPr>
            <w:r w:rsidRPr="006E1AF7">
              <w:rPr>
                <w:rFonts w:ascii="Arial" w:hAnsi="Arial" w:cs="Arial"/>
                <w:b/>
                <w:bCs/>
                <w:sz w:val="18"/>
                <w:szCs w:val="18"/>
                <w:lang w:eastAsia="es-AR"/>
              </w:rPr>
              <w:t>-</w:t>
            </w:r>
          </w:p>
        </w:tc>
        <w:tc>
          <w:tcPr>
            <w:tcW w:w="663" w:type="pct"/>
            <w:tcBorders>
              <w:top w:val="nil"/>
              <w:left w:val="nil"/>
              <w:bottom w:val="single" w:sz="4" w:space="0" w:color="auto"/>
              <w:right w:val="single" w:sz="4" w:space="0" w:color="auto"/>
            </w:tcBorders>
            <w:vAlign w:val="bottom"/>
          </w:tcPr>
          <w:p w14:paraId="2E296BCA" w14:textId="2FD9FB6A" w:rsidR="00A55435" w:rsidRPr="006E1AF7" w:rsidRDefault="005F7199" w:rsidP="00A55435">
            <w:pPr>
              <w:jc w:val="right"/>
              <w:rPr>
                <w:rFonts w:ascii="Arial" w:hAnsi="Arial" w:cs="Arial"/>
                <w:b/>
                <w:bCs/>
                <w:sz w:val="18"/>
                <w:szCs w:val="18"/>
                <w:lang w:eastAsia="es-AR"/>
              </w:rPr>
            </w:pPr>
            <w:r w:rsidRPr="005F7199">
              <w:rPr>
                <w:rFonts w:ascii="Arial" w:hAnsi="Arial" w:cs="Arial"/>
                <w:b/>
                <w:bCs/>
                <w:sz w:val="18"/>
                <w:szCs w:val="18"/>
                <w:lang w:eastAsia="es-AR"/>
              </w:rPr>
              <w:t>6.186.292</w:t>
            </w:r>
          </w:p>
        </w:tc>
      </w:tr>
    </w:tbl>
    <w:p w14:paraId="176B9665" w14:textId="77777777" w:rsidR="00C43BF8" w:rsidRDefault="00C43BF8" w:rsidP="00A06BE9">
      <w:pPr>
        <w:spacing w:after="160" w:line="259" w:lineRule="auto"/>
        <w:jc w:val="both"/>
        <w:rPr>
          <w:rFonts w:ascii="Arial" w:eastAsia="Calibri" w:hAnsi="Arial" w:cs="Arial"/>
          <w:bCs/>
          <w:sz w:val="20"/>
        </w:rPr>
      </w:pPr>
    </w:p>
    <w:tbl>
      <w:tblPr>
        <w:tblW w:w="5077" w:type="pct"/>
        <w:tblLayout w:type="fixed"/>
        <w:tblCellMar>
          <w:left w:w="70" w:type="dxa"/>
          <w:right w:w="70" w:type="dxa"/>
        </w:tblCellMar>
        <w:tblLook w:val="04A0" w:firstRow="1" w:lastRow="0" w:firstColumn="1" w:lastColumn="0" w:noHBand="0" w:noVBand="1"/>
      </w:tblPr>
      <w:tblGrid>
        <w:gridCol w:w="4236"/>
        <w:gridCol w:w="1168"/>
        <w:gridCol w:w="1169"/>
        <w:gridCol w:w="1039"/>
        <w:gridCol w:w="1166"/>
      </w:tblGrid>
      <w:tr w:rsidR="00A55435" w:rsidRPr="00701F32" w14:paraId="206283CB" w14:textId="77777777" w:rsidTr="00037C01">
        <w:trPr>
          <w:trHeight w:val="247"/>
          <w:tblHeader/>
        </w:trPr>
        <w:tc>
          <w:tcPr>
            <w:tcW w:w="2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1F326" w14:textId="77777777" w:rsidR="00A55435" w:rsidRPr="00A449AE" w:rsidRDefault="00A55435" w:rsidP="002F65FB">
            <w:pPr>
              <w:jc w:val="both"/>
              <w:rPr>
                <w:rFonts w:ascii="Arial" w:hAnsi="Arial" w:cs="Arial"/>
                <w:b/>
                <w:sz w:val="18"/>
                <w:lang w:eastAsia="es-AR"/>
              </w:rPr>
            </w:pPr>
            <w:r w:rsidRPr="00701F32">
              <w:rPr>
                <w:rFonts w:ascii="Arial" w:eastAsia="Calibri" w:hAnsi="Arial" w:cs="Arial"/>
                <w:bCs/>
                <w:sz w:val="20"/>
              </w:rPr>
              <w:br w:type="page"/>
            </w:r>
            <w:r w:rsidRPr="00613EB0">
              <w:rPr>
                <w:rFonts w:ascii="Arial" w:hAnsi="Arial" w:cs="Arial"/>
                <w:b/>
                <w:sz w:val="18"/>
                <w:lang w:eastAsia="es-AR"/>
              </w:rPr>
              <w:t>Cartera de instrumentos al 31/12/2018</w:t>
            </w:r>
          </w:p>
        </w:tc>
        <w:tc>
          <w:tcPr>
            <w:tcW w:w="665" w:type="pct"/>
            <w:tcBorders>
              <w:top w:val="single" w:sz="4" w:space="0" w:color="auto"/>
              <w:left w:val="nil"/>
              <w:bottom w:val="single" w:sz="4" w:space="0" w:color="auto"/>
              <w:right w:val="single" w:sz="4" w:space="0" w:color="auto"/>
            </w:tcBorders>
            <w:shd w:val="clear" w:color="auto" w:fill="auto"/>
            <w:noWrap/>
            <w:vAlign w:val="bottom"/>
            <w:hideMark/>
          </w:tcPr>
          <w:p w14:paraId="3F29AB88" w14:textId="77777777" w:rsidR="00A55435" w:rsidRPr="00A449AE" w:rsidRDefault="00A55435" w:rsidP="002F65FB">
            <w:pPr>
              <w:jc w:val="center"/>
              <w:rPr>
                <w:rFonts w:ascii="Arial" w:hAnsi="Arial" w:cs="Arial"/>
                <w:b/>
                <w:sz w:val="18"/>
                <w:lang w:eastAsia="es-AR"/>
              </w:rPr>
            </w:pPr>
            <w:r w:rsidRPr="00A449AE">
              <w:rPr>
                <w:rFonts w:ascii="Arial" w:hAnsi="Arial" w:cs="Arial"/>
                <w:b/>
                <w:sz w:val="18"/>
                <w:lang w:eastAsia="es-AR"/>
              </w:rPr>
              <w:t>VR nivel 1</w:t>
            </w:r>
          </w:p>
        </w:tc>
        <w:tc>
          <w:tcPr>
            <w:tcW w:w="666" w:type="pct"/>
            <w:tcBorders>
              <w:top w:val="single" w:sz="4" w:space="0" w:color="auto"/>
              <w:left w:val="nil"/>
              <w:bottom w:val="single" w:sz="4" w:space="0" w:color="auto"/>
              <w:right w:val="single" w:sz="4" w:space="0" w:color="auto"/>
            </w:tcBorders>
            <w:shd w:val="clear" w:color="auto" w:fill="auto"/>
            <w:noWrap/>
            <w:vAlign w:val="bottom"/>
            <w:hideMark/>
          </w:tcPr>
          <w:p w14:paraId="3CA6591F" w14:textId="77777777" w:rsidR="00A55435" w:rsidRPr="00A449AE" w:rsidRDefault="00A55435" w:rsidP="002F65FB">
            <w:pPr>
              <w:jc w:val="center"/>
              <w:rPr>
                <w:rFonts w:ascii="Arial" w:hAnsi="Arial" w:cs="Arial"/>
                <w:b/>
                <w:sz w:val="18"/>
                <w:lang w:eastAsia="es-AR"/>
              </w:rPr>
            </w:pPr>
            <w:r w:rsidRPr="00A449AE">
              <w:rPr>
                <w:rFonts w:ascii="Arial" w:hAnsi="Arial" w:cs="Arial"/>
                <w:b/>
                <w:sz w:val="18"/>
                <w:lang w:eastAsia="es-AR"/>
              </w:rPr>
              <w:t>VR nivel 2</w:t>
            </w:r>
          </w:p>
        </w:tc>
        <w:tc>
          <w:tcPr>
            <w:tcW w:w="592" w:type="pct"/>
            <w:tcBorders>
              <w:top w:val="single" w:sz="4" w:space="0" w:color="auto"/>
              <w:left w:val="nil"/>
              <w:bottom w:val="single" w:sz="4" w:space="0" w:color="auto"/>
              <w:right w:val="single" w:sz="4" w:space="0" w:color="auto"/>
            </w:tcBorders>
            <w:shd w:val="clear" w:color="auto" w:fill="auto"/>
            <w:noWrap/>
            <w:vAlign w:val="bottom"/>
            <w:hideMark/>
          </w:tcPr>
          <w:p w14:paraId="54B5D67F" w14:textId="77777777" w:rsidR="00A55435" w:rsidRPr="00A449AE" w:rsidRDefault="00A55435" w:rsidP="002F65FB">
            <w:pPr>
              <w:jc w:val="center"/>
              <w:rPr>
                <w:rFonts w:ascii="Arial" w:hAnsi="Arial" w:cs="Arial"/>
                <w:b/>
                <w:sz w:val="18"/>
                <w:lang w:eastAsia="es-AR"/>
              </w:rPr>
            </w:pPr>
            <w:r w:rsidRPr="00A449AE">
              <w:rPr>
                <w:rFonts w:ascii="Arial" w:hAnsi="Arial" w:cs="Arial"/>
                <w:b/>
                <w:sz w:val="18"/>
                <w:lang w:eastAsia="es-AR"/>
              </w:rPr>
              <w:t>VR nivel 3</w:t>
            </w:r>
          </w:p>
        </w:tc>
        <w:tc>
          <w:tcPr>
            <w:tcW w:w="664" w:type="pct"/>
            <w:tcBorders>
              <w:top w:val="single" w:sz="4" w:space="0" w:color="auto"/>
              <w:left w:val="nil"/>
              <w:bottom w:val="single" w:sz="4" w:space="0" w:color="auto"/>
              <w:right w:val="single" w:sz="4" w:space="0" w:color="auto"/>
            </w:tcBorders>
            <w:vAlign w:val="center"/>
          </w:tcPr>
          <w:p w14:paraId="5EF2B6FA" w14:textId="77777777" w:rsidR="00A55435" w:rsidRPr="00701F32" w:rsidRDefault="00A55435" w:rsidP="002F65FB">
            <w:pPr>
              <w:jc w:val="center"/>
              <w:rPr>
                <w:rFonts w:ascii="Arial" w:hAnsi="Arial" w:cs="Arial"/>
                <w:b/>
                <w:sz w:val="18"/>
                <w:lang w:eastAsia="es-AR"/>
              </w:rPr>
            </w:pPr>
            <w:r w:rsidRPr="00A449AE">
              <w:rPr>
                <w:rFonts w:ascii="Arial" w:hAnsi="Arial" w:cs="Arial"/>
                <w:b/>
                <w:sz w:val="18"/>
                <w:lang w:eastAsia="es-AR"/>
              </w:rPr>
              <w:t>Total</w:t>
            </w:r>
          </w:p>
        </w:tc>
      </w:tr>
      <w:tr w:rsidR="00A55435" w:rsidRPr="00701F32" w14:paraId="114E2296"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7E66B698" w14:textId="77777777" w:rsidR="00A55435" w:rsidRPr="00701F32" w:rsidRDefault="00A55435" w:rsidP="002F65FB">
            <w:pPr>
              <w:jc w:val="both"/>
              <w:rPr>
                <w:rFonts w:ascii="Arial" w:hAnsi="Arial" w:cs="Arial"/>
                <w:b/>
                <w:bCs/>
                <w:sz w:val="18"/>
                <w:lang w:eastAsia="es-AR"/>
              </w:rPr>
            </w:pPr>
            <w:r w:rsidRPr="00701F32">
              <w:rPr>
                <w:rFonts w:ascii="Arial" w:hAnsi="Arial" w:cs="Arial"/>
                <w:b/>
                <w:bCs/>
                <w:sz w:val="18"/>
                <w:lang w:eastAsia="es-AR"/>
              </w:rPr>
              <w:t>Activos</w:t>
            </w:r>
          </w:p>
        </w:tc>
        <w:tc>
          <w:tcPr>
            <w:tcW w:w="665" w:type="pct"/>
            <w:tcBorders>
              <w:top w:val="nil"/>
              <w:left w:val="nil"/>
              <w:bottom w:val="single" w:sz="4" w:space="0" w:color="auto"/>
              <w:right w:val="single" w:sz="4" w:space="0" w:color="auto"/>
            </w:tcBorders>
            <w:shd w:val="clear" w:color="auto" w:fill="auto"/>
            <w:noWrap/>
            <w:vAlign w:val="bottom"/>
            <w:hideMark/>
          </w:tcPr>
          <w:p w14:paraId="4577D9BB" w14:textId="77777777" w:rsidR="00A55435" w:rsidRPr="00701F32" w:rsidRDefault="00A55435" w:rsidP="002F65FB">
            <w:pPr>
              <w:jc w:val="right"/>
              <w:rPr>
                <w:rFonts w:ascii="Arial" w:hAnsi="Arial" w:cs="Arial"/>
                <w:b/>
                <w:bCs/>
                <w:sz w:val="18"/>
                <w:lang w:val="es-ES_tradnl" w:eastAsia="es-AR"/>
              </w:rPr>
            </w:pPr>
            <w:r w:rsidRPr="00701F32">
              <w:rPr>
                <w:rFonts w:ascii="Arial" w:hAnsi="Arial" w:cs="Arial"/>
                <w:b/>
                <w:bCs/>
                <w:sz w:val="18"/>
                <w:lang w:eastAsia="es-AR"/>
              </w:rPr>
              <w:t> </w:t>
            </w:r>
          </w:p>
        </w:tc>
        <w:tc>
          <w:tcPr>
            <w:tcW w:w="666" w:type="pct"/>
            <w:tcBorders>
              <w:top w:val="nil"/>
              <w:left w:val="nil"/>
              <w:bottom w:val="single" w:sz="4" w:space="0" w:color="auto"/>
              <w:right w:val="single" w:sz="4" w:space="0" w:color="auto"/>
            </w:tcBorders>
            <w:shd w:val="clear" w:color="auto" w:fill="auto"/>
            <w:noWrap/>
            <w:vAlign w:val="bottom"/>
            <w:hideMark/>
          </w:tcPr>
          <w:p w14:paraId="21E8C628" w14:textId="77777777" w:rsidR="00A55435" w:rsidRPr="00701F32" w:rsidRDefault="00A55435" w:rsidP="002F65FB">
            <w:pPr>
              <w:jc w:val="right"/>
              <w:rPr>
                <w:rFonts w:ascii="Arial" w:hAnsi="Arial" w:cs="Arial"/>
                <w:b/>
                <w:bCs/>
                <w:sz w:val="18"/>
                <w:lang w:val="es-ES_tradnl" w:eastAsia="es-AR"/>
              </w:rPr>
            </w:pPr>
            <w:r w:rsidRPr="00701F32">
              <w:rPr>
                <w:rFonts w:ascii="Arial" w:hAnsi="Arial" w:cs="Arial"/>
                <w:b/>
                <w:bCs/>
                <w:sz w:val="18"/>
                <w:lang w:eastAsia="es-AR"/>
              </w:rPr>
              <w:t> </w:t>
            </w:r>
          </w:p>
        </w:tc>
        <w:tc>
          <w:tcPr>
            <w:tcW w:w="592" w:type="pct"/>
            <w:tcBorders>
              <w:top w:val="nil"/>
              <w:left w:val="nil"/>
              <w:bottom w:val="single" w:sz="4" w:space="0" w:color="auto"/>
              <w:right w:val="single" w:sz="4" w:space="0" w:color="auto"/>
            </w:tcBorders>
            <w:shd w:val="clear" w:color="auto" w:fill="auto"/>
            <w:noWrap/>
            <w:vAlign w:val="bottom"/>
            <w:hideMark/>
          </w:tcPr>
          <w:p w14:paraId="7A06C398" w14:textId="77777777" w:rsidR="00A55435" w:rsidRPr="00701F32" w:rsidRDefault="00A55435" w:rsidP="002F65FB">
            <w:pPr>
              <w:jc w:val="right"/>
              <w:rPr>
                <w:rFonts w:ascii="Arial" w:hAnsi="Arial" w:cs="Arial"/>
                <w:b/>
                <w:bCs/>
                <w:sz w:val="18"/>
                <w:lang w:val="es-ES_tradnl" w:eastAsia="es-AR"/>
              </w:rPr>
            </w:pPr>
            <w:r w:rsidRPr="00701F32">
              <w:rPr>
                <w:rFonts w:ascii="Arial" w:hAnsi="Arial" w:cs="Arial"/>
                <w:b/>
                <w:bCs/>
                <w:sz w:val="18"/>
                <w:lang w:eastAsia="es-AR"/>
              </w:rPr>
              <w:t> </w:t>
            </w:r>
          </w:p>
        </w:tc>
        <w:tc>
          <w:tcPr>
            <w:tcW w:w="664" w:type="pct"/>
            <w:tcBorders>
              <w:top w:val="nil"/>
              <w:left w:val="nil"/>
              <w:bottom w:val="single" w:sz="4" w:space="0" w:color="auto"/>
              <w:right w:val="single" w:sz="4" w:space="0" w:color="auto"/>
            </w:tcBorders>
            <w:vAlign w:val="bottom"/>
          </w:tcPr>
          <w:p w14:paraId="708AA0F7" w14:textId="77777777" w:rsidR="00A55435" w:rsidRPr="00701F32" w:rsidRDefault="00A55435" w:rsidP="002F65FB">
            <w:pPr>
              <w:jc w:val="right"/>
              <w:rPr>
                <w:rFonts w:ascii="Arial" w:hAnsi="Arial" w:cs="Arial"/>
                <w:b/>
                <w:bCs/>
                <w:sz w:val="18"/>
                <w:lang w:eastAsia="es-AR"/>
              </w:rPr>
            </w:pPr>
          </w:p>
        </w:tc>
      </w:tr>
      <w:tr w:rsidR="00A55435" w:rsidRPr="00701F32" w14:paraId="19C27AB7"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tcPr>
          <w:p w14:paraId="7D919BE5" w14:textId="77777777" w:rsidR="00A55435" w:rsidRPr="00E23DE0" w:rsidRDefault="00A55435" w:rsidP="002F65FB">
            <w:pPr>
              <w:jc w:val="both"/>
              <w:rPr>
                <w:rFonts w:ascii="Arial" w:hAnsi="Arial" w:cs="Arial"/>
                <w:sz w:val="18"/>
                <w:lang w:eastAsia="es-AR"/>
              </w:rPr>
            </w:pPr>
            <w:r w:rsidRPr="00E23DE0">
              <w:rPr>
                <w:rFonts w:ascii="Arial" w:hAnsi="Arial" w:cs="Arial"/>
                <w:sz w:val="18"/>
                <w:lang w:eastAsia="es-AR"/>
              </w:rPr>
              <w:t>- Efectivo y depositos en bancos</w:t>
            </w:r>
          </w:p>
        </w:tc>
        <w:tc>
          <w:tcPr>
            <w:tcW w:w="665" w:type="pct"/>
            <w:tcBorders>
              <w:top w:val="nil"/>
              <w:left w:val="nil"/>
              <w:bottom w:val="single" w:sz="4" w:space="0" w:color="auto"/>
              <w:right w:val="single" w:sz="4" w:space="0" w:color="auto"/>
            </w:tcBorders>
            <w:shd w:val="clear" w:color="auto" w:fill="auto"/>
            <w:noWrap/>
            <w:vAlign w:val="bottom"/>
          </w:tcPr>
          <w:p w14:paraId="5616A45D" w14:textId="77777777" w:rsidR="00A55435" w:rsidRPr="009C39E0" w:rsidRDefault="00A55435" w:rsidP="002F65FB">
            <w:pPr>
              <w:jc w:val="right"/>
              <w:rPr>
                <w:rFonts w:ascii="Arial" w:hAnsi="Arial" w:cs="Arial"/>
                <w:sz w:val="18"/>
                <w:szCs w:val="18"/>
              </w:rPr>
            </w:pPr>
            <w:r w:rsidRPr="00D16280">
              <w:rPr>
                <w:rFonts w:ascii="Arial" w:hAnsi="Arial" w:cs="Arial"/>
                <w:sz w:val="18"/>
                <w:szCs w:val="18"/>
              </w:rPr>
              <w:t>10.399</w:t>
            </w:r>
          </w:p>
        </w:tc>
        <w:tc>
          <w:tcPr>
            <w:tcW w:w="666" w:type="pct"/>
            <w:tcBorders>
              <w:top w:val="nil"/>
              <w:left w:val="nil"/>
              <w:bottom w:val="single" w:sz="4" w:space="0" w:color="auto"/>
              <w:right w:val="single" w:sz="4" w:space="0" w:color="auto"/>
            </w:tcBorders>
            <w:shd w:val="clear" w:color="auto" w:fill="auto"/>
            <w:noWrap/>
            <w:vAlign w:val="bottom"/>
          </w:tcPr>
          <w:p w14:paraId="3DAC6D82" w14:textId="77777777" w:rsidR="00A55435" w:rsidRPr="009C39E0" w:rsidRDefault="00A55435" w:rsidP="002F65FB">
            <w:pPr>
              <w:jc w:val="right"/>
              <w:rPr>
                <w:rFonts w:ascii="Arial" w:hAnsi="Arial" w:cs="Arial"/>
                <w:sz w:val="18"/>
                <w:szCs w:val="18"/>
              </w:rPr>
            </w:pPr>
            <w:r>
              <w:rPr>
                <w:rFonts w:ascii="Arial" w:hAnsi="Arial" w:cs="Arial"/>
                <w:sz w:val="18"/>
                <w:szCs w:val="18"/>
              </w:rPr>
              <w:t>-</w:t>
            </w:r>
          </w:p>
        </w:tc>
        <w:tc>
          <w:tcPr>
            <w:tcW w:w="592" w:type="pct"/>
            <w:tcBorders>
              <w:top w:val="nil"/>
              <w:left w:val="nil"/>
              <w:bottom w:val="single" w:sz="4" w:space="0" w:color="auto"/>
              <w:right w:val="single" w:sz="4" w:space="0" w:color="auto"/>
            </w:tcBorders>
            <w:shd w:val="clear" w:color="auto" w:fill="auto"/>
            <w:noWrap/>
            <w:vAlign w:val="bottom"/>
          </w:tcPr>
          <w:p w14:paraId="1AF1F962" w14:textId="77777777" w:rsidR="00A55435" w:rsidRPr="009C39E0" w:rsidRDefault="00A55435" w:rsidP="002F65FB">
            <w:pPr>
              <w:jc w:val="right"/>
              <w:rPr>
                <w:rFonts w:ascii="Arial" w:hAnsi="Arial" w:cs="Arial"/>
                <w:sz w:val="18"/>
                <w:szCs w:val="18"/>
              </w:rPr>
            </w:pPr>
            <w:r>
              <w:rPr>
                <w:rFonts w:ascii="Arial" w:hAnsi="Arial" w:cs="Arial"/>
                <w:sz w:val="18"/>
                <w:szCs w:val="18"/>
              </w:rPr>
              <w:t>-</w:t>
            </w:r>
          </w:p>
        </w:tc>
        <w:tc>
          <w:tcPr>
            <w:tcW w:w="664" w:type="pct"/>
            <w:tcBorders>
              <w:top w:val="nil"/>
              <w:left w:val="nil"/>
              <w:bottom w:val="single" w:sz="4" w:space="0" w:color="auto"/>
              <w:right w:val="single" w:sz="4" w:space="0" w:color="auto"/>
            </w:tcBorders>
            <w:vAlign w:val="bottom"/>
          </w:tcPr>
          <w:p w14:paraId="4FF8E052" w14:textId="77777777" w:rsidR="00A55435" w:rsidRPr="009C39E0" w:rsidRDefault="00A55435" w:rsidP="002F65FB">
            <w:pPr>
              <w:jc w:val="right"/>
              <w:rPr>
                <w:rFonts w:ascii="Arial" w:hAnsi="Arial" w:cs="Arial"/>
                <w:sz w:val="18"/>
                <w:szCs w:val="18"/>
              </w:rPr>
            </w:pPr>
            <w:r>
              <w:rPr>
                <w:rFonts w:ascii="Arial" w:hAnsi="Arial" w:cs="Arial"/>
                <w:sz w:val="18"/>
                <w:szCs w:val="18"/>
              </w:rPr>
              <w:t>10.399</w:t>
            </w:r>
          </w:p>
        </w:tc>
      </w:tr>
      <w:tr w:rsidR="00A55435" w:rsidRPr="00701F32" w14:paraId="32C46097"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54EA788D" w14:textId="77777777" w:rsidR="00A55435" w:rsidRPr="00701F32" w:rsidRDefault="00A55435" w:rsidP="002F65FB">
            <w:pPr>
              <w:jc w:val="both"/>
              <w:rPr>
                <w:rFonts w:ascii="Arial" w:hAnsi="Arial" w:cs="Arial"/>
                <w:sz w:val="18"/>
                <w:lang w:eastAsia="es-AR"/>
              </w:rPr>
            </w:pPr>
            <w:r w:rsidRPr="00701F32">
              <w:rPr>
                <w:rFonts w:ascii="Arial" w:hAnsi="Arial" w:cs="Arial"/>
                <w:sz w:val="18"/>
                <w:lang w:eastAsia="es-AR"/>
              </w:rPr>
              <w:t>- Títulos de Deuda a Valor Razonable con Cambio en Resultados</w:t>
            </w:r>
          </w:p>
        </w:tc>
        <w:tc>
          <w:tcPr>
            <w:tcW w:w="665" w:type="pct"/>
            <w:tcBorders>
              <w:top w:val="nil"/>
              <w:left w:val="nil"/>
              <w:bottom w:val="single" w:sz="4" w:space="0" w:color="auto"/>
              <w:right w:val="single" w:sz="4" w:space="0" w:color="auto"/>
            </w:tcBorders>
            <w:shd w:val="clear" w:color="auto" w:fill="auto"/>
            <w:noWrap/>
            <w:vAlign w:val="bottom"/>
            <w:hideMark/>
          </w:tcPr>
          <w:p w14:paraId="421F8A4C"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3.574.397 </w:t>
            </w:r>
          </w:p>
        </w:tc>
        <w:tc>
          <w:tcPr>
            <w:tcW w:w="666" w:type="pct"/>
            <w:tcBorders>
              <w:top w:val="nil"/>
              <w:left w:val="nil"/>
              <w:bottom w:val="single" w:sz="4" w:space="0" w:color="auto"/>
              <w:right w:val="single" w:sz="4" w:space="0" w:color="auto"/>
            </w:tcBorders>
            <w:shd w:val="clear" w:color="auto" w:fill="auto"/>
            <w:noWrap/>
            <w:vAlign w:val="bottom"/>
            <w:hideMark/>
          </w:tcPr>
          <w:p w14:paraId="4F094D9D"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11.366.893 </w:t>
            </w:r>
          </w:p>
        </w:tc>
        <w:tc>
          <w:tcPr>
            <w:tcW w:w="592" w:type="pct"/>
            <w:tcBorders>
              <w:top w:val="nil"/>
              <w:left w:val="nil"/>
              <w:bottom w:val="single" w:sz="4" w:space="0" w:color="auto"/>
              <w:right w:val="single" w:sz="4" w:space="0" w:color="auto"/>
            </w:tcBorders>
            <w:shd w:val="clear" w:color="auto" w:fill="auto"/>
            <w:noWrap/>
            <w:vAlign w:val="bottom"/>
            <w:hideMark/>
          </w:tcPr>
          <w:p w14:paraId="32F36F3B"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664" w:type="pct"/>
            <w:tcBorders>
              <w:top w:val="nil"/>
              <w:left w:val="nil"/>
              <w:bottom w:val="single" w:sz="4" w:space="0" w:color="auto"/>
              <w:right w:val="single" w:sz="4" w:space="0" w:color="auto"/>
            </w:tcBorders>
            <w:vAlign w:val="bottom"/>
          </w:tcPr>
          <w:p w14:paraId="3FFEF330" w14:textId="77777777" w:rsidR="00A55435" w:rsidRPr="009C39E0" w:rsidRDefault="00A55435" w:rsidP="002F65FB">
            <w:pPr>
              <w:jc w:val="right"/>
              <w:rPr>
                <w:rFonts w:ascii="Arial" w:eastAsia="Calibri" w:hAnsi="Arial" w:cs="Arial"/>
                <w:color w:val="000000"/>
                <w:sz w:val="18"/>
                <w:szCs w:val="18"/>
              </w:rPr>
            </w:pPr>
            <w:r w:rsidRPr="009C39E0">
              <w:rPr>
                <w:rFonts w:ascii="Arial" w:hAnsi="Arial" w:cs="Arial"/>
                <w:sz w:val="18"/>
                <w:szCs w:val="18"/>
              </w:rPr>
              <w:t xml:space="preserve"> 14.941.290 </w:t>
            </w:r>
          </w:p>
        </w:tc>
      </w:tr>
      <w:tr w:rsidR="00A55435" w:rsidRPr="00701F32" w14:paraId="4B371EAE"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32BA46C4" w14:textId="77777777" w:rsidR="00A55435" w:rsidRPr="00701F32" w:rsidRDefault="00A55435" w:rsidP="002F65FB">
            <w:pPr>
              <w:jc w:val="both"/>
              <w:rPr>
                <w:rFonts w:ascii="Arial" w:hAnsi="Arial" w:cs="Arial"/>
                <w:sz w:val="18"/>
                <w:lang w:eastAsia="es-AR"/>
              </w:rPr>
            </w:pPr>
            <w:r w:rsidRPr="00701F32">
              <w:rPr>
                <w:rFonts w:ascii="Arial" w:hAnsi="Arial" w:cs="Arial"/>
                <w:sz w:val="18"/>
                <w:lang w:eastAsia="es-AR"/>
              </w:rPr>
              <w:t>- Instrumentos Derivados</w:t>
            </w:r>
          </w:p>
        </w:tc>
        <w:tc>
          <w:tcPr>
            <w:tcW w:w="665" w:type="pct"/>
            <w:tcBorders>
              <w:top w:val="nil"/>
              <w:left w:val="nil"/>
              <w:bottom w:val="single" w:sz="4" w:space="0" w:color="auto"/>
              <w:right w:val="single" w:sz="4" w:space="0" w:color="auto"/>
            </w:tcBorders>
            <w:shd w:val="clear" w:color="auto" w:fill="auto"/>
            <w:noWrap/>
            <w:vAlign w:val="bottom"/>
            <w:hideMark/>
          </w:tcPr>
          <w:p w14:paraId="2F3992BD"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15.924 </w:t>
            </w:r>
          </w:p>
        </w:tc>
        <w:tc>
          <w:tcPr>
            <w:tcW w:w="666" w:type="pct"/>
            <w:tcBorders>
              <w:top w:val="nil"/>
              <w:left w:val="nil"/>
              <w:bottom w:val="single" w:sz="4" w:space="0" w:color="auto"/>
              <w:right w:val="single" w:sz="4" w:space="0" w:color="auto"/>
            </w:tcBorders>
            <w:shd w:val="clear" w:color="auto" w:fill="auto"/>
            <w:noWrap/>
            <w:vAlign w:val="bottom"/>
            <w:hideMark/>
          </w:tcPr>
          <w:p w14:paraId="4EBF25B7"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592" w:type="pct"/>
            <w:tcBorders>
              <w:top w:val="nil"/>
              <w:left w:val="nil"/>
              <w:bottom w:val="single" w:sz="4" w:space="0" w:color="auto"/>
              <w:right w:val="single" w:sz="4" w:space="0" w:color="auto"/>
            </w:tcBorders>
            <w:shd w:val="clear" w:color="auto" w:fill="auto"/>
            <w:noWrap/>
            <w:vAlign w:val="bottom"/>
            <w:hideMark/>
          </w:tcPr>
          <w:p w14:paraId="1616BB25"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664" w:type="pct"/>
            <w:tcBorders>
              <w:top w:val="nil"/>
              <w:left w:val="nil"/>
              <w:bottom w:val="single" w:sz="4" w:space="0" w:color="auto"/>
              <w:right w:val="single" w:sz="4" w:space="0" w:color="auto"/>
            </w:tcBorders>
            <w:vAlign w:val="bottom"/>
          </w:tcPr>
          <w:p w14:paraId="01162FDF" w14:textId="77777777" w:rsidR="00A55435" w:rsidRPr="009C39E0" w:rsidRDefault="00A55435" w:rsidP="002F65FB">
            <w:pPr>
              <w:jc w:val="right"/>
              <w:rPr>
                <w:rFonts w:ascii="Arial" w:eastAsia="Calibri" w:hAnsi="Arial" w:cs="Arial"/>
                <w:color w:val="000000"/>
                <w:sz w:val="18"/>
                <w:szCs w:val="18"/>
              </w:rPr>
            </w:pPr>
            <w:r w:rsidRPr="009C39E0">
              <w:rPr>
                <w:rFonts w:ascii="Arial" w:hAnsi="Arial" w:cs="Arial"/>
                <w:sz w:val="18"/>
                <w:szCs w:val="18"/>
              </w:rPr>
              <w:t xml:space="preserve"> 15.924 </w:t>
            </w:r>
          </w:p>
        </w:tc>
      </w:tr>
      <w:tr w:rsidR="00A55435" w:rsidRPr="00701F32" w14:paraId="7725BE23"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1CA0DA8C" w14:textId="77777777" w:rsidR="00A55435" w:rsidRPr="00701F32" w:rsidRDefault="00A55435" w:rsidP="002F65FB">
            <w:pPr>
              <w:jc w:val="both"/>
              <w:rPr>
                <w:rFonts w:ascii="Arial" w:hAnsi="Arial" w:cs="Arial"/>
                <w:sz w:val="18"/>
                <w:lang w:eastAsia="es-AR"/>
              </w:rPr>
            </w:pPr>
            <w:r w:rsidRPr="00701F32">
              <w:rPr>
                <w:rFonts w:ascii="Arial" w:hAnsi="Arial" w:cs="Arial"/>
                <w:sz w:val="18"/>
                <w:lang w:eastAsia="es-AR"/>
              </w:rPr>
              <w:t>- Otros Activos Financieros</w:t>
            </w:r>
          </w:p>
        </w:tc>
        <w:tc>
          <w:tcPr>
            <w:tcW w:w="665" w:type="pct"/>
            <w:tcBorders>
              <w:top w:val="nil"/>
              <w:left w:val="nil"/>
              <w:bottom w:val="single" w:sz="4" w:space="0" w:color="auto"/>
              <w:right w:val="single" w:sz="4" w:space="0" w:color="auto"/>
            </w:tcBorders>
            <w:shd w:val="clear" w:color="auto" w:fill="auto"/>
            <w:noWrap/>
            <w:vAlign w:val="bottom"/>
            <w:hideMark/>
          </w:tcPr>
          <w:p w14:paraId="61ECE9ED"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15.069 </w:t>
            </w:r>
          </w:p>
        </w:tc>
        <w:tc>
          <w:tcPr>
            <w:tcW w:w="666" w:type="pct"/>
            <w:tcBorders>
              <w:top w:val="nil"/>
              <w:left w:val="nil"/>
              <w:bottom w:val="single" w:sz="4" w:space="0" w:color="auto"/>
              <w:right w:val="single" w:sz="4" w:space="0" w:color="auto"/>
            </w:tcBorders>
            <w:shd w:val="clear" w:color="auto" w:fill="auto"/>
            <w:noWrap/>
            <w:vAlign w:val="bottom"/>
            <w:hideMark/>
          </w:tcPr>
          <w:p w14:paraId="58D7045C"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592" w:type="pct"/>
            <w:tcBorders>
              <w:top w:val="nil"/>
              <w:left w:val="nil"/>
              <w:bottom w:val="single" w:sz="4" w:space="0" w:color="auto"/>
              <w:right w:val="single" w:sz="4" w:space="0" w:color="auto"/>
            </w:tcBorders>
            <w:shd w:val="clear" w:color="auto" w:fill="auto"/>
            <w:noWrap/>
            <w:vAlign w:val="bottom"/>
            <w:hideMark/>
          </w:tcPr>
          <w:p w14:paraId="4BCF2067"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664" w:type="pct"/>
            <w:tcBorders>
              <w:top w:val="nil"/>
              <w:left w:val="nil"/>
              <w:bottom w:val="single" w:sz="4" w:space="0" w:color="auto"/>
              <w:right w:val="single" w:sz="4" w:space="0" w:color="auto"/>
            </w:tcBorders>
            <w:vAlign w:val="bottom"/>
          </w:tcPr>
          <w:p w14:paraId="641AE73B" w14:textId="77777777" w:rsidR="00A55435" w:rsidRPr="009C39E0" w:rsidRDefault="00A55435" w:rsidP="002F65FB">
            <w:pPr>
              <w:jc w:val="right"/>
              <w:rPr>
                <w:rFonts w:ascii="Arial" w:eastAsia="Calibri" w:hAnsi="Arial" w:cs="Arial"/>
                <w:color w:val="000000"/>
                <w:sz w:val="18"/>
                <w:szCs w:val="18"/>
              </w:rPr>
            </w:pPr>
            <w:r w:rsidRPr="009C39E0">
              <w:rPr>
                <w:rFonts w:ascii="Arial" w:hAnsi="Arial" w:cs="Arial"/>
                <w:sz w:val="18"/>
                <w:szCs w:val="18"/>
              </w:rPr>
              <w:t xml:space="preserve"> 15.069 </w:t>
            </w:r>
          </w:p>
        </w:tc>
      </w:tr>
      <w:tr w:rsidR="00A55435" w:rsidRPr="00701F32" w14:paraId="370D2F94"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7DFC40A5" w14:textId="77777777" w:rsidR="00A55435" w:rsidRPr="00701F32" w:rsidRDefault="00A55435" w:rsidP="002F65FB">
            <w:pPr>
              <w:jc w:val="both"/>
              <w:rPr>
                <w:rFonts w:ascii="Arial" w:hAnsi="Arial" w:cs="Arial"/>
                <w:sz w:val="18"/>
                <w:lang w:eastAsia="es-AR"/>
              </w:rPr>
            </w:pPr>
            <w:r w:rsidRPr="00701F32">
              <w:rPr>
                <w:rFonts w:ascii="Arial" w:hAnsi="Arial" w:cs="Arial"/>
                <w:sz w:val="18"/>
                <w:lang w:eastAsia="es-AR"/>
              </w:rPr>
              <w:t>- Otros Títulos de Deuda</w:t>
            </w:r>
          </w:p>
        </w:tc>
        <w:tc>
          <w:tcPr>
            <w:tcW w:w="665" w:type="pct"/>
            <w:tcBorders>
              <w:top w:val="nil"/>
              <w:left w:val="nil"/>
              <w:bottom w:val="single" w:sz="4" w:space="0" w:color="auto"/>
              <w:right w:val="single" w:sz="4" w:space="0" w:color="auto"/>
            </w:tcBorders>
            <w:shd w:val="clear" w:color="auto" w:fill="auto"/>
            <w:noWrap/>
            <w:vAlign w:val="bottom"/>
            <w:hideMark/>
          </w:tcPr>
          <w:p w14:paraId="5148E490"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32 </w:t>
            </w:r>
          </w:p>
        </w:tc>
        <w:tc>
          <w:tcPr>
            <w:tcW w:w="666" w:type="pct"/>
            <w:tcBorders>
              <w:top w:val="nil"/>
              <w:left w:val="nil"/>
              <w:bottom w:val="single" w:sz="4" w:space="0" w:color="auto"/>
              <w:right w:val="single" w:sz="4" w:space="0" w:color="auto"/>
            </w:tcBorders>
            <w:shd w:val="clear" w:color="auto" w:fill="auto"/>
            <w:noWrap/>
            <w:vAlign w:val="bottom"/>
            <w:hideMark/>
          </w:tcPr>
          <w:p w14:paraId="7475546E"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592" w:type="pct"/>
            <w:tcBorders>
              <w:top w:val="nil"/>
              <w:left w:val="nil"/>
              <w:bottom w:val="single" w:sz="4" w:space="0" w:color="auto"/>
              <w:right w:val="single" w:sz="4" w:space="0" w:color="auto"/>
            </w:tcBorders>
            <w:shd w:val="clear" w:color="auto" w:fill="auto"/>
            <w:noWrap/>
            <w:vAlign w:val="bottom"/>
            <w:hideMark/>
          </w:tcPr>
          <w:p w14:paraId="54350449"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664" w:type="pct"/>
            <w:tcBorders>
              <w:top w:val="nil"/>
              <w:left w:val="nil"/>
              <w:bottom w:val="single" w:sz="4" w:space="0" w:color="auto"/>
              <w:right w:val="single" w:sz="4" w:space="0" w:color="auto"/>
            </w:tcBorders>
            <w:vAlign w:val="bottom"/>
          </w:tcPr>
          <w:p w14:paraId="10F235F8" w14:textId="77777777" w:rsidR="00A55435" w:rsidRPr="009C39E0" w:rsidRDefault="00A55435" w:rsidP="002F65FB">
            <w:pPr>
              <w:jc w:val="right"/>
              <w:rPr>
                <w:rFonts w:ascii="Arial" w:eastAsia="Calibri" w:hAnsi="Arial" w:cs="Arial"/>
                <w:color w:val="000000"/>
                <w:sz w:val="18"/>
                <w:szCs w:val="18"/>
              </w:rPr>
            </w:pPr>
            <w:r w:rsidRPr="009C39E0">
              <w:rPr>
                <w:rFonts w:ascii="Arial" w:hAnsi="Arial" w:cs="Arial"/>
                <w:sz w:val="18"/>
                <w:szCs w:val="18"/>
              </w:rPr>
              <w:t xml:space="preserve"> 32 </w:t>
            </w:r>
          </w:p>
        </w:tc>
      </w:tr>
      <w:tr w:rsidR="00A55435" w:rsidRPr="00701F32" w14:paraId="12320791"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0FE71B5B" w14:textId="77777777" w:rsidR="00A55435" w:rsidRPr="00701F32" w:rsidRDefault="00A55435" w:rsidP="002F65FB">
            <w:pPr>
              <w:jc w:val="both"/>
              <w:rPr>
                <w:rFonts w:ascii="Arial" w:hAnsi="Arial" w:cs="Arial"/>
                <w:sz w:val="18"/>
                <w:lang w:eastAsia="es-AR"/>
              </w:rPr>
            </w:pPr>
            <w:r w:rsidRPr="00701F32">
              <w:rPr>
                <w:rFonts w:ascii="Arial" w:hAnsi="Arial" w:cs="Arial"/>
                <w:sz w:val="18"/>
                <w:lang w:eastAsia="es-AR"/>
              </w:rPr>
              <w:t>- Activos Financieros entregados en Garantía</w:t>
            </w:r>
          </w:p>
        </w:tc>
        <w:tc>
          <w:tcPr>
            <w:tcW w:w="665" w:type="pct"/>
            <w:tcBorders>
              <w:top w:val="nil"/>
              <w:left w:val="nil"/>
              <w:bottom w:val="single" w:sz="4" w:space="0" w:color="auto"/>
              <w:right w:val="single" w:sz="4" w:space="0" w:color="auto"/>
            </w:tcBorders>
            <w:shd w:val="clear" w:color="auto" w:fill="auto"/>
            <w:noWrap/>
            <w:vAlign w:val="bottom"/>
            <w:hideMark/>
          </w:tcPr>
          <w:p w14:paraId="30113CB0"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1.882.600 </w:t>
            </w:r>
          </w:p>
        </w:tc>
        <w:tc>
          <w:tcPr>
            <w:tcW w:w="666" w:type="pct"/>
            <w:tcBorders>
              <w:top w:val="nil"/>
              <w:left w:val="nil"/>
              <w:bottom w:val="single" w:sz="4" w:space="0" w:color="auto"/>
              <w:right w:val="single" w:sz="4" w:space="0" w:color="auto"/>
            </w:tcBorders>
            <w:shd w:val="clear" w:color="auto" w:fill="auto"/>
            <w:noWrap/>
            <w:vAlign w:val="bottom"/>
            <w:hideMark/>
          </w:tcPr>
          <w:p w14:paraId="2052027B"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592" w:type="pct"/>
            <w:tcBorders>
              <w:top w:val="nil"/>
              <w:left w:val="nil"/>
              <w:bottom w:val="single" w:sz="4" w:space="0" w:color="auto"/>
              <w:right w:val="single" w:sz="4" w:space="0" w:color="auto"/>
            </w:tcBorders>
            <w:shd w:val="clear" w:color="auto" w:fill="auto"/>
            <w:noWrap/>
            <w:vAlign w:val="bottom"/>
            <w:hideMark/>
          </w:tcPr>
          <w:p w14:paraId="0535FAA9"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664" w:type="pct"/>
            <w:tcBorders>
              <w:top w:val="nil"/>
              <w:left w:val="nil"/>
              <w:bottom w:val="single" w:sz="4" w:space="0" w:color="auto"/>
              <w:right w:val="single" w:sz="4" w:space="0" w:color="auto"/>
            </w:tcBorders>
            <w:vAlign w:val="bottom"/>
          </w:tcPr>
          <w:p w14:paraId="02DDCDEF" w14:textId="77777777" w:rsidR="00A55435" w:rsidRPr="009C39E0" w:rsidRDefault="00A55435" w:rsidP="002F65FB">
            <w:pPr>
              <w:jc w:val="right"/>
              <w:rPr>
                <w:rFonts w:ascii="Arial" w:eastAsia="Calibri" w:hAnsi="Arial" w:cs="Arial"/>
                <w:color w:val="000000"/>
                <w:sz w:val="18"/>
                <w:szCs w:val="18"/>
              </w:rPr>
            </w:pPr>
            <w:r w:rsidRPr="009C39E0">
              <w:rPr>
                <w:rFonts w:ascii="Arial" w:hAnsi="Arial" w:cs="Arial"/>
                <w:sz w:val="18"/>
                <w:szCs w:val="18"/>
              </w:rPr>
              <w:t xml:space="preserve"> 1.882.600 </w:t>
            </w:r>
          </w:p>
        </w:tc>
      </w:tr>
      <w:tr w:rsidR="00A55435" w:rsidRPr="00701F32" w14:paraId="56817035"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245912EE" w14:textId="77777777" w:rsidR="00A55435" w:rsidRPr="00701F32" w:rsidRDefault="00A55435" w:rsidP="002F65FB">
            <w:pPr>
              <w:jc w:val="both"/>
              <w:rPr>
                <w:rFonts w:ascii="Arial" w:hAnsi="Arial" w:cs="Arial"/>
                <w:sz w:val="18"/>
                <w:lang w:eastAsia="es-AR"/>
              </w:rPr>
            </w:pPr>
            <w:r w:rsidRPr="00701F32">
              <w:rPr>
                <w:rFonts w:ascii="Arial" w:hAnsi="Arial" w:cs="Arial"/>
                <w:sz w:val="18"/>
                <w:lang w:eastAsia="es-AR"/>
              </w:rPr>
              <w:t>- Inversiones en instrumentos de patrimonio</w:t>
            </w:r>
          </w:p>
        </w:tc>
        <w:tc>
          <w:tcPr>
            <w:tcW w:w="665" w:type="pct"/>
            <w:tcBorders>
              <w:top w:val="nil"/>
              <w:left w:val="nil"/>
              <w:bottom w:val="single" w:sz="4" w:space="0" w:color="auto"/>
              <w:right w:val="single" w:sz="4" w:space="0" w:color="auto"/>
            </w:tcBorders>
            <w:shd w:val="clear" w:color="auto" w:fill="auto"/>
            <w:noWrap/>
            <w:vAlign w:val="bottom"/>
            <w:hideMark/>
          </w:tcPr>
          <w:p w14:paraId="0838095C"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1.603 </w:t>
            </w:r>
          </w:p>
        </w:tc>
        <w:tc>
          <w:tcPr>
            <w:tcW w:w="666" w:type="pct"/>
            <w:tcBorders>
              <w:top w:val="nil"/>
              <w:left w:val="nil"/>
              <w:bottom w:val="single" w:sz="4" w:space="0" w:color="auto"/>
              <w:right w:val="single" w:sz="4" w:space="0" w:color="auto"/>
            </w:tcBorders>
            <w:shd w:val="clear" w:color="auto" w:fill="auto"/>
            <w:noWrap/>
            <w:vAlign w:val="bottom"/>
            <w:hideMark/>
          </w:tcPr>
          <w:p w14:paraId="68CBBA2E"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8.801 </w:t>
            </w:r>
          </w:p>
        </w:tc>
        <w:tc>
          <w:tcPr>
            <w:tcW w:w="592" w:type="pct"/>
            <w:tcBorders>
              <w:top w:val="nil"/>
              <w:left w:val="nil"/>
              <w:bottom w:val="single" w:sz="4" w:space="0" w:color="auto"/>
              <w:right w:val="single" w:sz="4" w:space="0" w:color="auto"/>
            </w:tcBorders>
            <w:shd w:val="clear" w:color="auto" w:fill="auto"/>
            <w:noWrap/>
            <w:vAlign w:val="bottom"/>
            <w:hideMark/>
          </w:tcPr>
          <w:p w14:paraId="6AB2538B"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664" w:type="pct"/>
            <w:tcBorders>
              <w:top w:val="nil"/>
              <w:left w:val="nil"/>
              <w:bottom w:val="single" w:sz="4" w:space="0" w:color="auto"/>
              <w:right w:val="single" w:sz="4" w:space="0" w:color="auto"/>
            </w:tcBorders>
            <w:vAlign w:val="bottom"/>
          </w:tcPr>
          <w:p w14:paraId="563BFDB8" w14:textId="77777777" w:rsidR="00A55435" w:rsidRPr="009C39E0" w:rsidRDefault="00A55435" w:rsidP="002F65FB">
            <w:pPr>
              <w:jc w:val="right"/>
              <w:rPr>
                <w:rFonts w:ascii="Arial" w:eastAsia="Calibri" w:hAnsi="Arial" w:cs="Arial"/>
                <w:color w:val="000000"/>
                <w:sz w:val="18"/>
                <w:szCs w:val="18"/>
              </w:rPr>
            </w:pPr>
            <w:r w:rsidRPr="009C39E0">
              <w:rPr>
                <w:rFonts w:ascii="Arial" w:hAnsi="Arial" w:cs="Arial"/>
                <w:sz w:val="18"/>
                <w:szCs w:val="18"/>
              </w:rPr>
              <w:t xml:space="preserve"> 10.404 </w:t>
            </w:r>
          </w:p>
        </w:tc>
      </w:tr>
      <w:tr w:rsidR="00A55435" w:rsidRPr="00701F32" w14:paraId="5EB22CE2"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tcPr>
          <w:p w14:paraId="3EBA7E77" w14:textId="77777777" w:rsidR="00A55435" w:rsidRPr="00701F32" w:rsidRDefault="00A55435" w:rsidP="002F65FB">
            <w:pPr>
              <w:jc w:val="both"/>
              <w:rPr>
                <w:rFonts w:ascii="Arial" w:hAnsi="Arial" w:cs="Arial"/>
                <w:b/>
                <w:bCs/>
                <w:sz w:val="18"/>
                <w:lang w:eastAsia="es-AR"/>
              </w:rPr>
            </w:pPr>
            <w:r w:rsidRPr="00701F32">
              <w:rPr>
                <w:rFonts w:ascii="Arial" w:hAnsi="Arial" w:cs="Arial"/>
                <w:b/>
                <w:bCs/>
                <w:sz w:val="18"/>
                <w:lang w:eastAsia="es-AR"/>
              </w:rPr>
              <w:t>Total Activos</w:t>
            </w:r>
          </w:p>
        </w:tc>
        <w:tc>
          <w:tcPr>
            <w:tcW w:w="665" w:type="pct"/>
            <w:tcBorders>
              <w:top w:val="nil"/>
              <w:left w:val="nil"/>
              <w:bottom w:val="single" w:sz="4" w:space="0" w:color="auto"/>
              <w:right w:val="single" w:sz="4" w:space="0" w:color="auto"/>
            </w:tcBorders>
            <w:shd w:val="clear" w:color="auto" w:fill="auto"/>
            <w:noWrap/>
            <w:vAlign w:val="bottom"/>
          </w:tcPr>
          <w:p w14:paraId="13927393" w14:textId="77777777" w:rsidR="00A55435" w:rsidRPr="009C39E0" w:rsidRDefault="00A55435" w:rsidP="002F65FB">
            <w:pPr>
              <w:jc w:val="right"/>
              <w:rPr>
                <w:rFonts w:ascii="Arial" w:eastAsia="Calibri" w:hAnsi="Arial" w:cs="Arial"/>
                <w:b/>
                <w:color w:val="000000"/>
                <w:sz w:val="18"/>
                <w:szCs w:val="18"/>
              </w:rPr>
            </w:pPr>
            <w:r w:rsidRPr="00D16280">
              <w:rPr>
                <w:rFonts w:ascii="Arial" w:hAnsi="Arial" w:cs="Arial"/>
                <w:b/>
                <w:sz w:val="18"/>
                <w:szCs w:val="18"/>
              </w:rPr>
              <w:t>5.500.024</w:t>
            </w:r>
          </w:p>
        </w:tc>
        <w:tc>
          <w:tcPr>
            <w:tcW w:w="666" w:type="pct"/>
            <w:tcBorders>
              <w:top w:val="nil"/>
              <w:left w:val="nil"/>
              <w:bottom w:val="single" w:sz="4" w:space="0" w:color="auto"/>
              <w:right w:val="single" w:sz="4" w:space="0" w:color="auto"/>
            </w:tcBorders>
            <w:shd w:val="clear" w:color="auto" w:fill="auto"/>
            <w:noWrap/>
            <w:vAlign w:val="bottom"/>
          </w:tcPr>
          <w:p w14:paraId="746887CB" w14:textId="77777777" w:rsidR="00A55435" w:rsidRPr="009C39E0" w:rsidRDefault="00A55435" w:rsidP="002F65FB">
            <w:pPr>
              <w:jc w:val="right"/>
              <w:rPr>
                <w:rFonts w:ascii="Arial" w:eastAsia="Calibri" w:hAnsi="Arial" w:cs="Arial"/>
                <w:b/>
                <w:color w:val="000000"/>
                <w:sz w:val="18"/>
                <w:szCs w:val="18"/>
              </w:rPr>
            </w:pPr>
            <w:r w:rsidRPr="009C39E0">
              <w:rPr>
                <w:rFonts w:ascii="Arial" w:hAnsi="Arial" w:cs="Arial"/>
                <w:b/>
                <w:sz w:val="18"/>
                <w:szCs w:val="18"/>
              </w:rPr>
              <w:t xml:space="preserve"> 11.375.694 </w:t>
            </w:r>
          </w:p>
        </w:tc>
        <w:tc>
          <w:tcPr>
            <w:tcW w:w="592" w:type="pct"/>
            <w:tcBorders>
              <w:top w:val="nil"/>
              <w:left w:val="nil"/>
              <w:bottom w:val="single" w:sz="4" w:space="0" w:color="auto"/>
              <w:right w:val="single" w:sz="4" w:space="0" w:color="auto"/>
            </w:tcBorders>
            <w:shd w:val="clear" w:color="auto" w:fill="auto"/>
            <w:noWrap/>
            <w:vAlign w:val="bottom"/>
          </w:tcPr>
          <w:p w14:paraId="692E7C31" w14:textId="77777777" w:rsidR="00A55435" w:rsidRPr="009C39E0" w:rsidRDefault="00A55435" w:rsidP="002F65FB">
            <w:pPr>
              <w:jc w:val="right"/>
              <w:rPr>
                <w:rFonts w:ascii="Arial" w:eastAsia="Calibri" w:hAnsi="Arial" w:cs="Arial"/>
                <w:b/>
                <w:color w:val="000000"/>
                <w:sz w:val="18"/>
                <w:szCs w:val="18"/>
              </w:rPr>
            </w:pPr>
            <w:r w:rsidRPr="009C39E0">
              <w:rPr>
                <w:rFonts w:ascii="Arial" w:hAnsi="Arial" w:cs="Arial"/>
                <w:b/>
                <w:sz w:val="18"/>
                <w:szCs w:val="18"/>
              </w:rPr>
              <w:t xml:space="preserve"> -   </w:t>
            </w:r>
          </w:p>
        </w:tc>
        <w:tc>
          <w:tcPr>
            <w:tcW w:w="664" w:type="pct"/>
            <w:tcBorders>
              <w:top w:val="nil"/>
              <w:left w:val="nil"/>
              <w:bottom w:val="single" w:sz="4" w:space="0" w:color="auto"/>
              <w:right w:val="single" w:sz="4" w:space="0" w:color="auto"/>
            </w:tcBorders>
            <w:vAlign w:val="bottom"/>
          </w:tcPr>
          <w:p w14:paraId="375F50F9" w14:textId="77777777" w:rsidR="00A55435" w:rsidRPr="009C39E0" w:rsidRDefault="00A55435" w:rsidP="002F65FB">
            <w:pPr>
              <w:jc w:val="right"/>
              <w:rPr>
                <w:rFonts w:ascii="Arial" w:eastAsia="Calibri" w:hAnsi="Arial" w:cs="Arial"/>
                <w:b/>
                <w:color w:val="000000"/>
                <w:sz w:val="18"/>
                <w:szCs w:val="18"/>
              </w:rPr>
            </w:pPr>
            <w:r w:rsidRPr="00D16280">
              <w:rPr>
                <w:rFonts w:ascii="Arial" w:hAnsi="Arial" w:cs="Arial"/>
                <w:b/>
                <w:sz w:val="18"/>
                <w:szCs w:val="18"/>
              </w:rPr>
              <w:t>16.875.718</w:t>
            </w:r>
          </w:p>
        </w:tc>
      </w:tr>
      <w:tr w:rsidR="00A55435" w:rsidRPr="00701F32" w14:paraId="0B2ABE6E"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7470BE6D" w14:textId="77777777" w:rsidR="00A55435" w:rsidRPr="00701F32" w:rsidRDefault="00A55435" w:rsidP="002F65FB">
            <w:pPr>
              <w:jc w:val="both"/>
              <w:rPr>
                <w:rFonts w:ascii="Arial" w:hAnsi="Arial" w:cs="Arial"/>
                <w:b/>
                <w:bCs/>
                <w:sz w:val="18"/>
                <w:lang w:eastAsia="es-AR"/>
              </w:rPr>
            </w:pPr>
            <w:r w:rsidRPr="00701F32">
              <w:rPr>
                <w:rFonts w:ascii="Arial" w:hAnsi="Arial" w:cs="Arial"/>
                <w:b/>
                <w:bCs/>
                <w:sz w:val="18"/>
                <w:lang w:eastAsia="es-AR"/>
              </w:rPr>
              <w:t>Pasivos</w:t>
            </w:r>
          </w:p>
        </w:tc>
        <w:tc>
          <w:tcPr>
            <w:tcW w:w="665" w:type="pct"/>
            <w:tcBorders>
              <w:top w:val="nil"/>
              <w:left w:val="nil"/>
              <w:bottom w:val="single" w:sz="4" w:space="0" w:color="auto"/>
              <w:right w:val="single" w:sz="4" w:space="0" w:color="auto"/>
            </w:tcBorders>
            <w:shd w:val="clear" w:color="auto" w:fill="auto"/>
            <w:noWrap/>
            <w:vAlign w:val="bottom"/>
            <w:hideMark/>
          </w:tcPr>
          <w:p w14:paraId="2446641E" w14:textId="77777777" w:rsidR="00A55435" w:rsidRPr="009C39E0" w:rsidRDefault="00A55435" w:rsidP="002F65FB">
            <w:pPr>
              <w:jc w:val="right"/>
              <w:rPr>
                <w:rFonts w:ascii="Arial" w:hAnsi="Arial" w:cs="Arial"/>
                <w:b/>
                <w:bCs/>
                <w:sz w:val="18"/>
                <w:szCs w:val="18"/>
                <w:lang w:eastAsia="es-AR"/>
              </w:rPr>
            </w:pPr>
          </w:p>
        </w:tc>
        <w:tc>
          <w:tcPr>
            <w:tcW w:w="666" w:type="pct"/>
            <w:tcBorders>
              <w:top w:val="nil"/>
              <w:left w:val="nil"/>
              <w:bottom w:val="single" w:sz="4" w:space="0" w:color="auto"/>
              <w:right w:val="single" w:sz="4" w:space="0" w:color="auto"/>
            </w:tcBorders>
            <w:shd w:val="clear" w:color="auto" w:fill="auto"/>
            <w:noWrap/>
            <w:vAlign w:val="bottom"/>
            <w:hideMark/>
          </w:tcPr>
          <w:p w14:paraId="3B7BAAF1" w14:textId="77777777" w:rsidR="00A55435" w:rsidRPr="009C39E0" w:rsidRDefault="00A55435" w:rsidP="002F65FB">
            <w:pPr>
              <w:jc w:val="right"/>
              <w:rPr>
                <w:rFonts w:ascii="Arial" w:hAnsi="Arial" w:cs="Arial"/>
                <w:b/>
                <w:bCs/>
                <w:sz w:val="18"/>
                <w:szCs w:val="18"/>
                <w:lang w:eastAsia="es-AR"/>
              </w:rPr>
            </w:pPr>
          </w:p>
        </w:tc>
        <w:tc>
          <w:tcPr>
            <w:tcW w:w="592" w:type="pct"/>
            <w:tcBorders>
              <w:top w:val="nil"/>
              <w:left w:val="nil"/>
              <w:bottom w:val="single" w:sz="4" w:space="0" w:color="auto"/>
              <w:right w:val="single" w:sz="4" w:space="0" w:color="auto"/>
            </w:tcBorders>
            <w:shd w:val="clear" w:color="auto" w:fill="auto"/>
            <w:noWrap/>
            <w:vAlign w:val="bottom"/>
            <w:hideMark/>
          </w:tcPr>
          <w:p w14:paraId="1259A370" w14:textId="77777777" w:rsidR="00A55435" w:rsidRPr="009C39E0" w:rsidRDefault="00A55435" w:rsidP="002F65FB">
            <w:pPr>
              <w:jc w:val="right"/>
              <w:rPr>
                <w:rFonts w:ascii="Arial" w:hAnsi="Arial" w:cs="Arial"/>
                <w:b/>
                <w:bCs/>
                <w:sz w:val="18"/>
                <w:szCs w:val="18"/>
                <w:lang w:eastAsia="es-AR"/>
              </w:rPr>
            </w:pPr>
          </w:p>
        </w:tc>
        <w:tc>
          <w:tcPr>
            <w:tcW w:w="664" w:type="pct"/>
            <w:tcBorders>
              <w:top w:val="nil"/>
              <w:left w:val="nil"/>
              <w:bottom w:val="single" w:sz="4" w:space="0" w:color="auto"/>
              <w:right w:val="single" w:sz="4" w:space="0" w:color="auto"/>
            </w:tcBorders>
            <w:vAlign w:val="bottom"/>
          </w:tcPr>
          <w:p w14:paraId="13DFC8E5" w14:textId="77777777" w:rsidR="00A55435" w:rsidRPr="009C39E0" w:rsidRDefault="00A55435" w:rsidP="002F65FB">
            <w:pPr>
              <w:jc w:val="right"/>
              <w:rPr>
                <w:rFonts w:ascii="Arial" w:hAnsi="Arial" w:cs="Arial"/>
                <w:b/>
                <w:bCs/>
                <w:sz w:val="18"/>
                <w:szCs w:val="18"/>
                <w:lang w:eastAsia="es-AR"/>
              </w:rPr>
            </w:pPr>
          </w:p>
        </w:tc>
      </w:tr>
      <w:tr w:rsidR="00A55435" w:rsidRPr="00701F32" w14:paraId="18C6B623"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tcPr>
          <w:p w14:paraId="01D82F26" w14:textId="77777777" w:rsidR="00A55435" w:rsidRPr="00701F32" w:rsidRDefault="00A55435" w:rsidP="002F65FB">
            <w:pPr>
              <w:jc w:val="both"/>
              <w:rPr>
                <w:rFonts w:ascii="Arial" w:hAnsi="Arial" w:cs="Arial"/>
                <w:bCs/>
                <w:sz w:val="18"/>
                <w:lang w:eastAsia="es-AR"/>
              </w:rPr>
            </w:pPr>
            <w:r w:rsidRPr="00701F32">
              <w:rPr>
                <w:rFonts w:ascii="Arial" w:hAnsi="Arial" w:cs="Arial"/>
                <w:bCs/>
                <w:sz w:val="18"/>
                <w:lang w:eastAsia="es-AR"/>
              </w:rPr>
              <w:t>- Pasivos a valor razonable con cambios en resultados</w:t>
            </w:r>
          </w:p>
        </w:tc>
        <w:tc>
          <w:tcPr>
            <w:tcW w:w="665" w:type="pct"/>
            <w:tcBorders>
              <w:top w:val="nil"/>
              <w:left w:val="nil"/>
              <w:bottom w:val="single" w:sz="4" w:space="0" w:color="auto"/>
              <w:right w:val="single" w:sz="4" w:space="0" w:color="auto"/>
            </w:tcBorders>
            <w:shd w:val="clear" w:color="auto" w:fill="auto"/>
            <w:noWrap/>
            <w:vAlign w:val="bottom"/>
          </w:tcPr>
          <w:p w14:paraId="5D956639" w14:textId="77777777" w:rsidR="00A55435" w:rsidRPr="009C39E0" w:rsidRDefault="00A55435" w:rsidP="002F65FB">
            <w:pPr>
              <w:jc w:val="right"/>
              <w:rPr>
                <w:rFonts w:ascii="Arial" w:hAnsi="Arial" w:cs="Arial"/>
                <w:bCs/>
                <w:sz w:val="18"/>
                <w:szCs w:val="18"/>
                <w:lang w:eastAsia="es-AR"/>
              </w:rPr>
            </w:pPr>
            <w:r w:rsidRPr="009C39E0">
              <w:rPr>
                <w:rFonts w:ascii="Arial" w:hAnsi="Arial" w:cs="Arial"/>
                <w:sz w:val="18"/>
                <w:szCs w:val="18"/>
              </w:rPr>
              <w:t xml:space="preserve"> </w:t>
            </w:r>
            <w:r w:rsidRPr="003D752F">
              <w:rPr>
                <w:rFonts w:ascii="Arial" w:hAnsi="Arial" w:cs="Arial"/>
                <w:sz w:val="18"/>
                <w:szCs w:val="18"/>
              </w:rPr>
              <w:t xml:space="preserve"> 1.097.033 </w:t>
            </w:r>
            <w:r w:rsidRPr="009C39E0">
              <w:rPr>
                <w:rFonts w:ascii="Arial" w:hAnsi="Arial" w:cs="Arial"/>
                <w:sz w:val="18"/>
                <w:szCs w:val="18"/>
              </w:rPr>
              <w:t xml:space="preserve"> </w:t>
            </w:r>
          </w:p>
        </w:tc>
        <w:tc>
          <w:tcPr>
            <w:tcW w:w="666" w:type="pct"/>
            <w:tcBorders>
              <w:top w:val="nil"/>
              <w:left w:val="nil"/>
              <w:bottom w:val="single" w:sz="4" w:space="0" w:color="auto"/>
              <w:right w:val="single" w:sz="4" w:space="0" w:color="auto"/>
            </w:tcBorders>
            <w:shd w:val="clear" w:color="auto" w:fill="auto"/>
            <w:noWrap/>
            <w:vAlign w:val="bottom"/>
          </w:tcPr>
          <w:p w14:paraId="477F72FF" w14:textId="77777777" w:rsidR="00A55435" w:rsidRPr="009C39E0" w:rsidRDefault="00A55435" w:rsidP="002F65FB">
            <w:pPr>
              <w:jc w:val="right"/>
              <w:rPr>
                <w:rFonts w:ascii="Arial" w:hAnsi="Arial" w:cs="Arial"/>
                <w:b/>
                <w:bCs/>
                <w:sz w:val="18"/>
                <w:szCs w:val="18"/>
                <w:lang w:eastAsia="es-AR"/>
              </w:rPr>
            </w:pPr>
            <w:r w:rsidRPr="009C39E0">
              <w:rPr>
                <w:rFonts w:ascii="Arial" w:hAnsi="Arial" w:cs="Arial"/>
                <w:sz w:val="18"/>
                <w:szCs w:val="18"/>
              </w:rPr>
              <w:t xml:space="preserve"> -   </w:t>
            </w:r>
          </w:p>
        </w:tc>
        <w:tc>
          <w:tcPr>
            <w:tcW w:w="592" w:type="pct"/>
            <w:tcBorders>
              <w:top w:val="nil"/>
              <w:left w:val="nil"/>
              <w:bottom w:val="single" w:sz="4" w:space="0" w:color="auto"/>
              <w:right w:val="single" w:sz="4" w:space="0" w:color="auto"/>
            </w:tcBorders>
            <w:shd w:val="clear" w:color="auto" w:fill="auto"/>
            <w:noWrap/>
            <w:vAlign w:val="bottom"/>
          </w:tcPr>
          <w:p w14:paraId="7F6B8CC1" w14:textId="77777777" w:rsidR="00A55435" w:rsidRPr="009C39E0" w:rsidRDefault="00A55435" w:rsidP="002F65FB">
            <w:pPr>
              <w:jc w:val="right"/>
              <w:rPr>
                <w:rFonts w:ascii="Arial" w:hAnsi="Arial" w:cs="Arial"/>
                <w:b/>
                <w:bCs/>
                <w:sz w:val="18"/>
                <w:szCs w:val="18"/>
                <w:lang w:eastAsia="es-AR"/>
              </w:rPr>
            </w:pPr>
            <w:r w:rsidRPr="009C39E0">
              <w:rPr>
                <w:rFonts w:ascii="Arial" w:hAnsi="Arial" w:cs="Arial"/>
                <w:sz w:val="18"/>
                <w:szCs w:val="18"/>
              </w:rPr>
              <w:t xml:space="preserve"> -   </w:t>
            </w:r>
          </w:p>
        </w:tc>
        <w:tc>
          <w:tcPr>
            <w:tcW w:w="664" w:type="pct"/>
            <w:tcBorders>
              <w:top w:val="nil"/>
              <w:left w:val="nil"/>
              <w:bottom w:val="single" w:sz="4" w:space="0" w:color="auto"/>
              <w:right w:val="single" w:sz="4" w:space="0" w:color="auto"/>
            </w:tcBorders>
            <w:vAlign w:val="bottom"/>
          </w:tcPr>
          <w:p w14:paraId="5C03CC6F" w14:textId="77777777" w:rsidR="00A55435" w:rsidRPr="009C39E0" w:rsidRDefault="00A55435" w:rsidP="002F65FB">
            <w:pPr>
              <w:jc w:val="right"/>
              <w:rPr>
                <w:rFonts w:ascii="Arial" w:hAnsi="Arial" w:cs="Arial"/>
                <w:bCs/>
                <w:sz w:val="18"/>
                <w:szCs w:val="18"/>
                <w:lang w:eastAsia="es-AR"/>
              </w:rPr>
            </w:pPr>
            <w:r w:rsidRPr="003D752F">
              <w:rPr>
                <w:rFonts w:ascii="Arial" w:hAnsi="Arial" w:cs="Arial"/>
                <w:sz w:val="18"/>
                <w:szCs w:val="18"/>
              </w:rPr>
              <w:t xml:space="preserve">1.097.033  </w:t>
            </w:r>
          </w:p>
        </w:tc>
      </w:tr>
      <w:tr w:rsidR="00A55435" w:rsidRPr="00701F32" w14:paraId="49185922"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1A462134" w14:textId="77777777" w:rsidR="00A55435" w:rsidRPr="00701F32" w:rsidRDefault="00A55435" w:rsidP="002F65FB">
            <w:pPr>
              <w:jc w:val="both"/>
              <w:rPr>
                <w:rFonts w:ascii="Arial" w:hAnsi="Arial" w:cs="Arial"/>
                <w:sz w:val="18"/>
                <w:lang w:eastAsia="es-AR"/>
              </w:rPr>
            </w:pPr>
            <w:r w:rsidRPr="00701F32">
              <w:rPr>
                <w:rFonts w:ascii="Arial" w:hAnsi="Arial" w:cs="Arial"/>
                <w:sz w:val="18"/>
                <w:lang w:eastAsia="es-AR"/>
              </w:rPr>
              <w:t>- Instrumentos derivados</w:t>
            </w:r>
          </w:p>
        </w:tc>
        <w:tc>
          <w:tcPr>
            <w:tcW w:w="665" w:type="pct"/>
            <w:tcBorders>
              <w:top w:val="nil"/>
              <w:left w:val="nil"/>
              <w:bottom w:val="single" w:sz="4" w:space="0" w:color="auto"/>
              <w:right w:val="single" w:sz="4" w:space="0" w:color="auto"/>
            </w:tcBorders>
            <w:shd w:val="clear" w:color="auto" w:fill="auto"/>
            <w:noWrap/>
            <w:vAlign w:val="bottom"/>
            <w:hideMark/>
          </w:tcPr>
          <w:p w14:paraId="0F747C1E" w14:textId="77777777" w:rsidR="00A55435" w:rsidRPr="009C39E0" w:rsidRDefault="00A55435" w:rsidP="002F65FB">
            <w:pPr>
              <w:jc w:val="right"/>
              <w:rPr>
                <w:rFonts w:ascii="Arial" w:hAnsi="Arial" w:cs="Arial"/>
                <w:sz w:val="18"/>
                <w:szCs w:val="18"/>
                <w:lang w:eastAsia="es-AR"/>
              </w:rPr>
            </w:pPr>
            <w:r>
              <w:rPr>
                <w:rFonts w:ascii="Arial" w:hAnsi="Arial" w:cs="Arial"/>
                <w:sz w:val="18"/>
                <w:szCs w:val="18"/>
              </w:rPr>
              <w:t>-</w:t>
            </w:r>
            <w:r w:rsidRPr="009C39E0">
              <w:rPr>
                <w:rFonts w:ascii="Arial" w:hAnsi="Arial" w:cs="Arial"/>
                <w:sz w:val="18"/>
                <w:szCs w:val="18"/>
              </w:rPr>
              <w:t xml:space="preserve"> </w:t>
            </w:r>
          </w:p>
        </w:tc>
        <w:tc>
          <w:tcPr>
            <w:tcW w:w="666" w:type="pct"/>
            <w:tcBorders>
              <w:top w:val="nil"/>
              <w:left w:val="nil"/>
              <w:bottom w:val="single" w:sz="4" w:space="0" w:color="auto"/>
              <w:right w:val="single" w:sz="4" w:space="0" w:color="auto"/>
            </w:tcBorders>
            <w:shd w:val="clear" w:color="auto" w:fill="auto"/>
            <w:noWrap/>
            <w:vAlign w:val="bottom"/>
            <w:hideMark/>
          </w:tcPr>
          <w:p w14:paraId="02CA5588" w14:textId="77777777" w:rsidR="00A55435" w:rsidRPr="009C39E0" w:rsidRDefault="00A55435" w:rsidP="002F65FB">
            <w:pPr>
              <w:jc w:val="right"/>
              <w:rPr>
                <w:rFonts w:ascii="Arial" w:hAnsi="Arial" w:cs="Arial"/>
                <w:sz w:val="18"/>
                <w:szCs w:val="18"/>
                <w:lang w:eastAsia="es-AR"/>
              </w:rPr>
            </w:pPr>
            <w:r w:rsidRPr="003D752F">
              <w:rPr>
                <w:rFonts w:ascii="Arial" w:hAnsi="Arial" w:cs="Arial"/>
                <w:sz w:val="18"/>
                <w:szCs w:val="18"/>
              </w:rPr>
              <w:t>94.222</w:t>
            </w:r>
          </w:p>
        </w:tc>
        <w:tc>
          <w:tcPr>
            <w:tcW w:w="592" w:type="pct"/>
            <w:tcBorders>
              <w:top w:val="nil"/>
              <w:left w:val="nil"/>
              <w:bottom w:val="single" w:sz="4" w:space="0" w:color="auto"/>
              <w:right w:val="single" w:sz="4" w:space="0" w:color="auto"/>
            </w:tcBorders>
            <w:shd w:val="clear" w:color="auto" w:fill="auto"/>
            <w:noWrap/>
            <w:vAlign w:val="bottom"/>
            <w:hideMark/>
          </w:tcPr>
          <w:p w14:paraId="273FF296"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664" w:type="pct"/>
            <w:tcBorders>
              <w:top w:val="nil"/>
              <w:left w:val="nil"/>
              <w:bottom w:val="single" w:sz="4" w:space="0" w:color="auto"/>
              <w:right w:val="single" w:sz="4" w:space="0" w:color="auto"/>
            </w:tcBorders>
            <w:vAlign w:val="bottom"/>
          </w:tcPr>
          <w:p w14:paraId="5B4A3677" w14:textId="77777777" w:rsidR="00A55435" w:rsidRPr="009C39E0" w:rsidRDefault="00A55435" w:rsidP="002F65FB">
            <w:pPr>
              <w:jc w:val="right"/>
              <w:rPr>
                <w:rFonts w:ascii="Arial" w:eastAsia="Calibri" w:hAnsi="Arial" w:cs="Arial"/>
                <w:color w:val="000000"/>
                <w:sz w:val="18"/>
                <w:szCs w:val="18"/>
              </w:rPr>
            </w:pPr>
            <w:r w:rsidRPr="009C39E0">
              <w:rPr>
                <w:rFonts w:ascii="Arial" w:hAnsi="Arial" w:cs="Arial"/>
                <w:sz w:val="18"/>
                <w:szCs w:val="18"/>
              </w:rPr>
              <w:t xml:space="preserve"> 94.222 </w:t>
            </w:r>
          </w:p>
        </w:tc>
      </w:tr>
      <w:tr w:rsidR="00A55435" w:rsidRPr="00701F32" w14:paraId="583807DF"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tcPr>
          <w:p w14:paraId="46204864" w14:textId="77777777" w:rsidR="00A55435" w:rsidRPr="00701F32" w:rsidRDefault="00A55435" w:rsidP="00A55435">
            <w:pPr>
              <w:numPr>
                <w:ilvl w:val="0"/>
                <w:numId w:val="32"/>
              </w:numPr>
              <w:spacing w:after="160" w:line="259" w:lineRule="auto"/>
              <w:ind w:left="66" w:hanging="77"/>
              <w:contextualSpacing/>
              <w:jc w:val="both"/>
              <w:rPr>
                <w:rFonts w:ascii="Arial" w:hAnsi="Arial" w:cs="Arial"/>
                <w:sz w:val="18"/>
                <w:lang w:eastAsia="es-AR"/>
              </w:rPr>
            </w:pPr>
            <w:r w:rsidRPr="00701F32">
              <w:rPr>
                <w:rFonts w:ascii="Arial" w:hAnsi="Arial" w:cs="Arial"/>
                <w:sz w:val="18"/>
                <w:lang w:eastAsia="es-AR"/>
              </w:rPr>
              <w:t xml:space="preserve"> Otros Pasivos Financieros</w:t>
            </w:r>
          </w:p>
        </w:tc>
        <w:tc>
          <w:tcPr>
            <w:tcW w:w="665" w:type="pct"/>
            <w:tcBorders>
              <w:top w:val="nil"/>
              <w:left w:val="nil"/>
              <w:bottom w:val="single" w:sz="4" w:space="0" w:color="auto"/>
              <w:right w:val="single" w:sz="4" w:space="0" w:color="auto"/>
            </w:tcBorders>
            <w:shd w:val="clear" w:color="auto" w:fill="auto"/>
            <w:noWrap/>
            <w:vAlign w:val="bottom"/>
          </w:tcPr>
          <w:p w14:paraId="5F85F267"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w:t>
            </w:r>
            <w:r w:rsidRPr="003D752F">
              <w:rPr>
                <w:rFonts w:ascii="Arial" w:hAnsi="Arial" w:cs="Arial"/>
                <w:sz w:val="18"/>
                <w:szCs w:val="18"/>
              </w:rPr>
              <w:t xml:space="preserve"> 2.907.704</w:t>
            </w:r>
          </w:p>
        </w:tc>
        <w:tc>
          <w:tcPr>
            <w:tcW w:w="666" w:type="pct"/>
            <w:tcBorders>
              <w:top w:val="nil"/>
              <w:left w:val="nil"/>
              <w:bottom w:val="single" w:sz="4" w:space="0" w:color="auto"/>
              <w:right w:val="single" w:sz="4" w:space="0" w:color="auto"/>
            </w:tcBorders>
            <w:shd w:val="clear" w:color="auto" w:fill="auto"/>
            <w:noWrap/>
            <w:vAlign w:val="bottom"/>
          </w:tcPr>
          <w:p w14:paraId="30B13D99"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592" w:type="pct"/>
            <w:tcBorders>
              <w:top w:val="nil"/>
              <w:left w:val="nil"/>
              <w:bottom w:val="single" w:sz="4" w:space="0" w:color="auto"/>
              <w:right w:val="single" w:sz="4" w:space="0" w:color="auto"/>
            </w:tcBorders>
            <w:shd w:val="clear" w:color="auto" w:fill="auto"/>
            <w:noWrap/>
            <w:vAlign w:val="bottom"/>
          </w:tcPr>
          <w:p w14:paraId="1A94EACE" w14:textId="77777777" w:rsidR="00A55435" w:rsidRPr="009C39E0" w:rsidRDefault="00A55435" w:rsidP="002F65FB">
            <w:pPr>
              <w:jc w:val="right"/>
              <w:rPr>
                <w:rFonts w:ascii="Arial" w:hAnsi="Arial" w:cs="Arial"/>
                <w:sz w:val="18"/>
                <w:szCs w:val="18"/>
                <w:lang w:eastAsia="es-AR"/>
              </w:rPr>
            </w:pPr>
            <w:r w:rsidRPr="009C39E0">
              <w:rPr>
                <w:rFonts w:ascii="Arial" w:hAnsi="Arial" w:cs="Arial"/>
                <w:sz w:val="18"/>
                <w:szCs w:val="18"/>
              </w:rPr>
              <w:t xml:space="preserve"> -   </w:t>
            </w:r>
          </w:p>
        </w:tc>
        <w:tc>
          <w:tcPr>
            <w:tcW w:w="664" w:type="pct"/>
            <w:tcBorders>
              <w:top w:val="nil"/>
              <w:left w:val="nil"/>
              <w:bottom w:val="single" w:sz="4" w:space="0" w:color="auto"/>
              <w:right w:val="single" w:sz="4" w:space="0" w:color="auto"/>
            </w:tcBorders>
            <w:vAlign w:val="bottom"/>
          </w:tcPr>
          <w:p w14:paraId="5E009A9B" w14:textId="77777777" w:rsidR="00A55435" w:rsidRPr="009C39E0" w:rsidRDefault="00A55435" w:rsidP="002F65FB">
            <w:pPr>
              <w:jc w:val="right"/>
              <w:rPr>
                <w:rFonts w:ascii="Arial" w:eastAsia="Calibri" w:hAnsi="Arial" w:cs="Arial"/>
                <w:color w:val="000000"/>
                <w:sz w:val="18"/>
                <w:szCs w:val="18"/>
              </w:rPr>
            </w:pPr>
            <w:r w:rsidRPr="003D752F">
              <w:rPr>
                <w:rFonts w:ascii="Arial" w:hAnsi="Arial" w:cs="Arial"/>
                <w:sz w:val="18"/>
                <w:szCs w:val="18"/>
              </w:rPr>
              <w:t xml:space="preserve">  2.907.704</w:t>
            </w:r>
          </w:p>
        </w:tc>
      </w:tr>
      <w:tr w:rsidR="00A55435" w:rsidRPr="00701F32" w14:paraId="56EB8540" w14:textId="77777777" w:rsidTr="00037C01">
        <w:trPr>
          <w:trHeight w:val="247"/>
        </w:trPr>
        <w:tc>
          <w:tcPr>
            <w:tcW w:w="2412" w:type="pct"/>
            <w:tcBorders>
              <w:top w:val="nil"/>
              <w:left w:val="single" w:sz="4" w:space="0" w:color="auto"/>
              <w:bottom w:val="single" w:sz="4" w:space="0" w:color="auto"/>
              <w:right w:val="single" w:sz="4" w:space="0" w:color="auto"/>
            </w:tcBorders>
            <w:shd w:val="clear" w:color="auto" w:fill="auto"/>
            <w:noWrap/>
            <w:vAlign w:val="bottom"/>
            <w:hideMark/>
          </w:tcPr>
          <w:p w14:paraId="7892CE80" w14:textId="77777777" w:rsidR="00A55435" w:rsidRPr="00701F32" w:rsidRDefault="00A55435" w:rsidP="002F65FB">
            <w:pPr>
              <w:jc w:val="both"/>
              <w:rPr>
                <w:rFonts w:ascii="Arial" w:hAnsi="Arial" w:cs="Arial"/>
                <w:b/>
                <w:bCs/>
                <w:sz w:val="18"/>
                <w:lang w:eastAsia="es-AR"/>
              </w:rPr>
            </w:pPr>
            <w:r w:rsidRPr="00701F32">
              <w:rPr>
                <w:rFonts w:ascii="Arial" w:hAnsi="Arial" w:cs="Arial"/>
                <w:b/>
                <w:bCs/>
                <w:sz w:val="18"/>
                <w:lang w:eastAsia="es-AR"/>
              </w:rPr>
              <w:t>Total Pasivos</w:t>
            </w:r>
          </w:p>
        </w:tc>
        <w:tc>
          <w:tcPr>
            <w:tcW w:w="665" w:type="pct"/>
            <w:tcBorders>
              <w:top w:val="nil"/>
              <w:left w:val="nil"/>
              <w:bottom w:val="single" w:sz="4" w:space="0" w:color="auto"/>
              <w:right w:val="single" w:sz="4" w:space="0" w:color="auto"/>
            </w:tcBorders>
            <w:shd w:val="clear" w:color="auto" w:fill="auto"/>
            <w:noWrap/>
            <w:vAlign w:val="bottom"/>
            <w:hideMark/>
          </w:tcPr>
          <w:p w14:paraId="3308F232" w14:textId="77777777" w:rsidR="00A55435" w:rsidRPr="00EC349E" w:rsidRDefault="00A55435" w:rsidP="002F65FB">
            <w:pPr>
              <w:jc w:val="right"/>
              <w:rPr>
                <w:rFonts w:ascii="Arial" w:hAnsi="Arial" w:cs="Arial"/>
                <w:b/>
                <w:bCs/>
                <w:sz w:val="18"/>
                <w:szCs w:val="18"/>
                <w:lang w:eastAsia="es-AR"/>
              </w:rPr>
            </w:pPr>
            <w:r w:rsidRPr="00E23DE0">
              <w:rPr>
                <w:rFonts w:ascii="Arial" w:hAnsi="Arial" w:cs="Arial"/>
                <w:b/>
                <w:sz w:val="18"/>
                <w:szCs w:val="18"/>
              </w:rPr>
              <w:t>4.004.737</w:t>
            </w:r>
          </w:p>
        </w:tc>
        <w:tc>
          <w:tcPr>
            <w:tcW w:w="666" w:type="pct"/>
            <w:tcBorders>
              <w:top w:val="nil"/>
              <w:left w:val="nil"/>
              <w:bottom w:val="single" w:sz="4" w:space="0" w:color="auto"/>
              <w:right w:val="single" w:sz="4" w:space="0" w:color="auto"/>
            </w:tcBorders>
            <w:shd w:val="clear" w:color="auto" w:fill="auto"/>
            <w:noWrap/>
            <w:vAlign w:val="bottom"/>
            <w:hideMark/>
          </w:tcPr>
          <w:p w14:paraId="79403F01" w14:textId="77777777" w:rsidR="00A55435" w:rsidRPr="00EC349E" w:rsidRDefault="00A55435" w:rsidP="002F65FB">
            <w:pPr>
              <w:jc w:val="right"/>
              <w:rPr>
                <w:rFonts w:ascii="Arial" w:eastAsia="Calibri" w:hAnsi="Arial" w:cs="Arial"/>
                <w:b/>
                <w:bCs/>
                <w:color w:val="000000"/>
                <w:sz w:val="18"/>
                <w:szCs w:val="18"/>
              </w:rPr>
            </w:pPr>
            <w:r w:rsidRPr="00E23DE0">
              <w:rPr>
                <w:rFonts w:ascii="Arial" w:hAnsi="Arial" w:cs="Arial"/>
                <w:b/>
                <w:sz w:val="18"/>
                <w:szCs w:val="18"/>
              </w:rPr>
              <w:t xml:space="preserve">94.222    </w:t>
            </w:r>
          </w:p>
        </w:tc>
        <w:tc>
          <w:tcPr>
            <w:tcW w:w="592" w:type="pct"/>
            <w:tcBorders>
              <w:top w:val="nil"/>
              <w:left w:val="nil"/>
              <w:bottom w:val="single" w:sz="4" w:space="0" w:color="auto"/>
              <w:right w:val="single" w:sz="4" w:space="0" w:color="auto"/>
            </w:tcBorders>
            <w:shd w:val="clear" w:color="auto" w:fill="auto"/>
            <w:noWrap/>
            <w:vAlign w:val="bottom"/>
            <w:hideMark/>
          </w:tcPr>
          <w:p w14:paraId="30BDF736" w14:textId="77777777" w:rsidR="00A55435" w:rsidRPr="00EC349E" w:rsidRDefault="00A55435" w:rsidP="002F65FB">
            <w:pPr>
              <w:jc w:val="right"/>
              <w:rPr>
                <w:rFonts w:ascii="Arial" w:hAnsi="Arial" w:cs="Arial"/>
                <w:b/>
                <w:bCs/>
                <w:sz w:val="18"/>
                <w:szCs w:val="18"/>
                <w:lang w:eastAsia="es-AR"/>
              </w:rPr>
            </w:pPr>
            <w:r w:rsidRPr="00E23DE0">
              <w:rPr>
                <w:rFonts w:ascii="Arial" w:hAnsi="Arial" w:cs="Arial"/>
                <w:b/>
                <w:sz w:val="18"/>
                <w:szCs w:val="18"/>
              </w:rPr>
              <w:t xml:space="preserve"> -   </w:t>
            </w:r>
          </w:p>
        </w:tc>
        <w:tc>
          <w:tcPr>
            <w:tcW w:w="664" w:type="pct"/>
            <w:tcBorders>
              <w:top w:val="nil"/>
              <w:left w:val="nil"/>
              <w:bottom w:val="single" w:sz="4" w:space="0" w:color="auto"/>
              <w:right w:val="single" w:sz="4" w:space="0" w:color="auto"/>
            </w:tcBorders>
            <w:vAlign w:val="bottom"/>
          </w:tcPr>
          <w:p w14:paraId="02C19130" w14:textId="77777777" w:rsidR="00A55435" w:rsidRPr="00EC349E" w:rsidRDefault="00A55435" w:rsidP="002F65FB">
            <w:pPr>
              <w:jc w:val="right"/>
              <w:rPr>
                <w:rFonts w:ascii="Arial" w:hAnsi="Arial" w:cs="Arial"/>
                <w:b/>
                <w:bCs/>
                <w:sz w:val="18"/>
                <w:szCs w:val="18"/>
                <w:lang w:eastAsia="es-AR"/>
              </w:rPr>
            </w:pPr>
            <w:r w:rsidRPr="00E23DE0">
              <w:rPr>
                <w:rFonts w:ascii="Arial" w:hAnsi="Arial" w:cs="Arial"/>
                <w:b/>
                <w:sz w:val="18"/>
                <w:szCs w:val="18"/>
              </w:rPr>
              <w:t>4.098.959</w:t>
            </w:r>
          </w:p>
        </w:tc>
      </w:tr>
    </w:tbl>
    <w:p w14:paraId="57F1BA7E" w14:textId="77777777" w:rsidR="00730606" w:rsidRDefault="00730606" w:rsidP="00A06BE9">
      <w:pPr>
        <w:spacing w:after="160" w:line="259" w:lineRule="auto"/>
        <w:jc w:val="both"/>
        <w:rPr>
          <w:rFonts w:ascii="Arial" w:eastAsia="Calibri" w:hAnsi="Arial" w:cs="Arial"/>
          <w:bCs/>
          <w:sz w:val="20"/>
        </w:rPr>
      </w:pPr>
    </w:p>
    <w:p w14:paraId="62C6E7A9" w14:textId="783087AC" w:rsidR="00730606" w:rsidRDefault="00730606" w:rsidP="00A06BE9">
      <w:pPr>
        <w:spacing w:after="160" w:line="259" w:lineRule="auto"/>
        <w:jc w:val="both"/>
        <w:rPr>
          <w:rFonts w:ascii="Arial" w:eastAsia="Calibri" w:hAnsi="Arial" w:cs="Arial"/>
          <w:bCs/>
          <w:sz w:val="20"/>
        </w:rPr>
      </w:pPr>
      <w:r w:rsidRPr="00730606">
        <w:rPr>
          <w:rFonts w:ascii="Arial" w:eastAsia="Calibri" w:hAnsi="Arial" w:cs="Arial"/>
          <w:bCs/>
          <w:sz w:val="20"/>
        </w:rPr>
        <w:t>Se detalla a continuación la evolución de los instrumentos incluidos en valor razonable nivel 3</w:t>
      </w:r>
      <w:r>
        <w:rPr>
          <w:rFonts w:ascii="Arial" w:eastAsia="Calibri" w:hAnsi="Arial" w:cs="Arial"/>
          <w:bCs/>
          <w:sz w:val="20"/>
        </w:rPr>
        <w:t>:</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46"/>
        <w:gridCol w:w="1047"/>
        <w:gridCol w:w="1247"/>
        <w:gridCol w:w="761"/>
        <w:gridCol w:w="705"/>
        <w:gridCol w:w="987"/>
        <w:gridCol w:w="1037"/>
      </w:tblGrid>
      <w:tr w:rsidR="005F7199" w:rsidRPr="00701F32" w14:paraId="0485A812" w14:textId="77777777" w:rsidTr="006E1AF7">
        <w:trPr>
          <w:trHeight w:val="137"/>
          <w:tblHeader/>
        </w:trPr>
        <w:tc>
          <w:tcPr>
            <w:tcW w:w="1725" w:type="pct"/>
            <w:shd w:val="clear" w:color="auto" w:fill="auto"/>
            <w:noWrap/>
            <w:vAlign w:val="bottom"/>
            <w:hideMark/>
          </w:tcPr>
          <w:p w14:paraId="3360A3EA" w14:textId="30F54224" w:rsidR="00730606" w:rsidRPr="006E1AF7" w:rsidRDefault="00730606" w:rsidP="006E1AF7">
            <w:pPr>
              <w:jc w:val="center"/>
              <w:rPr>
                <w:rFonts w:ascii="Arial" w:hAnsi="Arial" w:cs="Arial"/>
                <w:b/>
                <w:sz w:val="16"/>
                <w:szCs w:val="16"/>
                <w:lang w:eastAsia="es-AR"/>
              </w:rPr>
            </w:pPr>
            <w:r w:rsidRPr="006E1AF7">
              <w:rPr>
                <w:rFonts w:ascii="Arial" w:eastAsia="Calibri" w:hAnsi="Arial" w:cs="Arial"/>
                <w:bCs/>
                <w:sz w:val="16"/>
                <w:szCs w:val="16"/>
              </w:rPr>
              <w:br w:type="page"/>
            </w:r>
            <w:r w:rsidRPr="006E1AF7">
              <w:rPr>
                <w:rFonts w:ascii="Arial" w:hAnsi="Arial" w:cs="Arial"/>
                <w:b/>
                <w:sz w:val="16"/>
                <w:szCs w:val="16"/>
                <w:lang w:eastAsia="es-AR"/>
              </w:rPr>
              <w:t>Nivel 3</w:t>
            </w:r>
          </w:p>
        </w:tc>
        <w:tc>
          <w:tcPr>
            <w:tcW w:w="593" w:type="pct"/>
            <w:shd w:val="clear" w:color="auto" w:fill="auto"/>
            <w:noWrap/>
            <w:vAlign w:val="bottom"/>
            <w:hideMark/>
          </w:tcPr>
          <w:p w14:paraId="1D7D0647" w14:textId="2BA7FB8D" w:rsidR="00730606" w:rsidRPr="006E1AF7" w:rsidRDefault="00730606">
            <w:pPr>
              <w:jc w:val="center"/>
              <w:rPr>
                <w:rFonts w:ascii="Arial" w:hAnsi="Arial" w:cs="Arial"/>
                <w:b/>
                <w:bCs/>
                <w:color w:val="000000"/>
                <w:sz w:val="16"/>
                <w:szCs w:val="16"/>
                <w:lang w:eastAsia="es-AR"/>
              </w:rPr>
            </w:pPr>
            <w:r w:rsidRPr="006E1AF7">
              <w:rPr>
                <w:rFonts w:ascii="Arial" w:hAnsi="Arial" w:cs="Arial"/>
                <w:b/>
                <w:bCs/>
                <w:color w:val="000000"/>
                <w:sz w:val="16"/>
                <w:szCs w:val="16"/>
              </w:rPr>
              <w:t>Saldo al 31/12/2018</w:t>
            </w:r>
          </w:p>
        </w:tc>
        <w:tc>
          <w:tcPr>
            <w:tcW w:w="706" w:type="pct"/>
            <w:shd w:val="clear" w:color="auto" w:fill="auto"/>
            <w:noWrap/>
            <w:vAlign w:val="bottom"/>
            <w:hideMark/>
          </w:tcPr>
          <w:p w14:paraId="60668318" w14:textId="5DBD799F" w:rsidR="00730606" w:rsidRPr="006E1AF7" w:rsidRDefault="00730606">
            <w:pPr>
              <w:jc w:val="center"/>
              <w:rPr>
                <w:rFonts w:ascii="Arial" w:hAnsi="Arial" w:cs="Arial"/>
                <w:b/>
                <w:sz w:val="16"/>
                <w:szCs w:val="16"/>
                <w:lang w:eastAsia="es-AR"/>
              </w:rPr>
            </w:pPr>
            <w:r w:rsidRPr="006E1AF7">
              <w:rPr>
                <w:rFonts w:ascii="Arial" w:hAnsi="Arial" w:cs="Arial"/>
                <w:b/>
                <w:sz w:val="16"/>
                <w:szCs w:val="16"/>
                <w:lang w:eastAsia="es-AR"/>
              </w:rPr>
              <w:t>Trasfe</w:t>
            </w:r>
            <w:r w:rsidR="005F7199">
              <w:rPr>
                <w:rFonts w:ascii="Arial" w:hAnsi="Arial" w:cs="Arial"/>
                <w:b/>
                <w:sz w:val="16"/>
                <w:szCs w:val="16"/>
                <w:lang w:eastAsia="es-AR"/>
              </w:rPr>
              <w:t>ren</w:t>
            </w:r>
            <w:r w:rsidRPr="006E1AF7">
              <w:rPr>
                <w:rFonts w:ascii="Arial" w:hAnsi="Arial" w:cs="Arial"/>
                <w:b/>
                <w:sz w:val="16"/>
                <w:szCs w:val="16"/>
                <w:lang w:eastAsia="es-AR"/>
              </w:rPr>
              <w:t>cias (*)</w:t>
            </w:r>
          </w:p>
        </w:tc>
        <w:tc>
          <w:tcPr>
            <w:tcW w:w="431" w:type="pct"/>
            <w:shd w:val="clear" w:color="auto" w:fill="auto"/>
            <w:noWrap/>
            <w:vAlign w:val="bottom"/>
            <w:hideMark/>
          </w:tcPr>
          <w:p w14:paraId="57C01D7D" w14:textId="05218A9A" w:rsidR="00730606" w:rsidRPr="006E1AF7" w:rsidRDefault="00730606">
            <w:pPr>
              <w:jc w:val="center"/>
              <w:rPr>
                <w:rFonts w:ascii="Arial" w:hAnsi="Arial" w:cs="Arial"/>
                <w:b/>
                <w:sz w:val="16"/>
                <w:szCs w:val="16"/>
                <w:lang w:eastAsia="es-AR"/>
              </w:rPr>
            </w:pPr>
            <w:r w:rsidRPr="006E1AF7">
              <w:rPr>
                <w:rFonts w:ascii="Arial" w:hAnsi="Arial" w:cs="Arial"/>
                <w:b/>
                <w:sz w:val="16"/>
                <w:szCs w:val="16"/>
                <w:lang w:eastAsia="es-AR"/>
              </w:rPr>
              <w:t>Altas</w:t>
            </w:r>
          </w:p>
        </w:tc>
        <w:tc>
          <w:tcPr>
            <w:tcW w:w="399" w:type="pct"/>
            <w:vAlign w:val="bottom"/>
          </w:tcPr>
          <w:p w14:paraId="3647FFA0" w14:textId="7EF7C290" w:rsidR="00730606" w:rsidRPr="006E1AF7" w:rsidRDefault="00730606">
            <w:pPr>
              <w:jc w:val="center"/>
              <w:rPr>
                <w:rFonts w:ascii="Arial" w:hAnsi="Arial" w:cs="Arial"/>
                <w:b/>
                <w:bCs/>
                <w:color w:val="000000"/>
                <w:sz w:val="16"/>
                <w:szCs w:val="16"/>
              </w:rPr>
            </w:pPr>
            <w:r w:rsidRPr="006E1AF7">
              <w:rPr>
                <w:rFonts w:ascii="Arial" w:hAnsi="Arial" w:cs="Arial"/>
                <w:b/>
                <w:bCs/>
                <w:color w:val="000000"/>
                <w:sz w:val="16"/>
                <w:szCs w:val="16"/>
              </w:rPr>
              <w:t>Bajas</w:t>
            </w:r>
          </w:p>
        </w:tc>
        <w:tc>
          <w:tcPr>
            <w:tcW w:w="559" w:type="pct"/>
            <w:vAlign w:val="bottom"/>
          </w:tcPr>
          <w:p w14:paraId="29937043" w14:textId="4E341257" w:rsidR="00730606" w:rsidRPr="006E1AF7" w:rsidRDefault="00730606">
            <w:pPr>
              <w:jc w:val="center"/>
              <w:rPr>
                <w:rFonts w:ascii="Arial" w:hAnsi="Arial" w:cs="Arial"/>
                <w:b/>
                <w:bCs/>
                <w:color w:val="000000"/>
                <w:sz w:val="16"/>
                <w:szCs w:val="16"/>
              </w:rPr>
            </w:pPr>
            <w:r w:rsidRPr="006E1AF7">
              <w:rPr>
                <w:rFonts w:ascii="Arial" w:hAnsi="Arial" w:cs="Arial"/>
                <w:b/>
                <w:bCs/>
                <w:color w:val="000000"/>
                <w:sz w:val="16"/>
                <w:szCs w:val="16"/>
              </w:rPr>
              <w:t>Resultado</w:t>
            </w:r>
          </w:p>
        </w:tc>
        <w:tc>
          <w:tcPr>
            <w:tcW w:w="587" w:type="pct"/>
            <w:vAlign w:val="bottom"/>
          </w:tcPr>
          <w:p w14:paraId="00382239" w14:textId="120907F3" w:rsidR="00730606" w:rsidRPr="006E1AF7" w:rsidRDefault="00730606">
            <w:pPr>
              <w:jc w:val="center"/>
              <w:rPr>
                <w:rFonts w:ascii="Arial" w:hAnsi="Arial" w:cs="Arial"/>
                <w:b/>
                <w:bCs/>
                <w:color w:val="000000"/>
                <w:sz w:val="16"/>
                <w:szCs w:val="16"/>
                <w:lang w:eastAsia="es-AR"/>
              </w:rPr>
            </w:pPr>
            <w:r w:rsidRPr="006E1AF7">
              <w:rPr>
                <w:rFonts w:ascii="Arial" w:hAnsi="Arial" w:cs="Arial"/>
                <w:b/>
                <w:bCs/>
                <w:color w:val="000000"/>
                <w:sz w:val="16"/>
                <w:szCs w:val="16"/>
              </w:rPr>
              <w:t>Saldo al 31/12/2019</w:t>
            </w:r>
          </w:p>
        </w:tc>
      </w:tr>
      <w:tr w:rsidR="005F7199" w:rsidRPr="00701F32" w14:paraId="507103FA" w14:textId="77777777" w:rsidTr="006E1AF7">
        <w:trPr>
          <w:trHeight w:val="137"/>
        </w:trPr>
        <w:tc>
          <w:tcPr>
            <w:tcW w:w="1725" w:type="pct"/>
            <w:shd w:val="clear" w:color="auto" w:fill="auto"/>
            <w:noWrap/>
            <w:vAlign w:val="bottom"/>
            <w:hideMark/>
          </w:tcPr>
          <w:p w14:paraId="168D7955" w14:textId="77777777" w:rsidR="00730606" w:rsidRPr="006E1AF7" w:rsidRDefault="00730606" w:rsidP="006E1AF7">
            <w:pPr>
              <w:rPr>
                <w:rFonts w:ascii="Arial" w:hAnsi="Arial" w:cs="Arial"/>
                <w:b/>
                <w:bCs/>
                <w:sz w:val="16"/>
                <w:szCs w:val="16"/>
                <w:lang w:eastAsia="es-AR"/>
              </w:rPr>
            </w:pPr>
            <w:r w:rsidRPr="006E1AF7">
              <w:rPr>
                <w:rFonts w:ascii="Arial" w:hAnsi="Arial" w:cs="Arial"/>
                <w:b/>
                <w:bCs/>
                <w:sz w:val="16"/>
                <w:szCs w:val="16"/>
                <w:lang w:eastAsia="es-AR"/>
              </w:rPr>
              <w:t>Activos</w:t>
            </w:r>
          </w:p>
        </w:tc>
        <w:tc>
          <w:tcPr>
            <w:tcW w:w="593" w:type="pct"/>
            <w:shd w:val="clear" w:color="auto" w:fill="auto"/>
            <w:noWrap/>
            <w:vAlign w:val="bottom"/>
            <w:hideMark/>
          </w:tcPr>
          <w:p w14:paraId="4C747BF8" w14:textId="44854B40" w:rsidR="00730606" w:rsidRPr="006E1AF7" w:rsidRDefault="00730606" w:rsidP="006E1AF7">
            <w:pPr>
              <w:jc w:val="center"/>
              <w:rPr>
                <w:rFonts w:ascii="Arial" w:hAnsi="Arial" w:cs="Arial"/>
                <w:b/>
                <w:bCs/>
                <w:sz w:val="16"/>
                <w:szCs w:val="16"/>
                <w:lang w:val="es-ES_tradnl" w:eastAsia="es-AR"/>
              </w:rPr>
            </w:pPr>
          </w:p>
        </w:tc>
        <w:tc>
          <w:tcPr>
            <w:tcW w:w="706" w:type="pct"/>
            <w:shd w:val="clear" w:color="auto" w:fill="auto"/>
            <w:noWrap/>
            <w:vAlign w:val="bottom"/>
            <w:hideMark/>
          </w:tcPr>
          <w:p w14:paraId="2BC4B4B2" w14:textId="48A4B4EC" w:rsidR="00730606" w:rsidRPr="006E1AF7" w:rsidRDefault="00730606" w:rsidP="006E1AF7">
            <w:pPr>
              <w:jc w:val="center"/>
              <w:rPr>
                <w:rFonts w:ascii="Arial" w:hAnsi="Arial" w:cs="Arial"/>
                <w:b/>
                <w:bCs/>
                <w:sz w:val="16"/>
                <w:szCs w:val="16"/>
                <w:lang w:val="es-ES_tradnl" w:eastAsia="es-AR"/>
              </w:rPr>
            </w:pPr>
          </w:p>
        </w:tc>
        <w:tc>
          <w:tcPr>
            <w:tcW w:w="431" w:type="pct"/>
            <w:shd w:val="clear" w:color="auto" w:fill="auto"/>
            <w:noWrap/>
            <w:vAlign w:val="bottom"/>
            <w:hideMark/>
          </w:tcPr>
          <w:p w14:paraId="3454D97F" w14:textId="71BD9BA5" w:rsidR="00730606" w:rsidRPr="006E1AF7" w:rsidRDefault="00730606" w:rsidP="006E1AF7">
            <w:pPr>
              <w:jc w:val="center"/>
              <w:rPr>
                <w:rFonts w:ascii="Arial" w:hAnsi="Arial" w:cs="Arial"/>
                <w:b/>
                <w:bCs/>
                <w:sz w:val="16"/>
                <w:szCs w:val="16"/>
                <w:lang w:val="es-ES_tradnl" w:eastAsia="es-AR"/>
              </w:rPr>
            </w:pPr>
          </w:p>
        </w:tc>
        <w:tc>
          <w:tcPr>
            <w:tcW w:w="399" w:type="pct"/>
            <w:vAlign w:val="bottom"/>
          </w:tcPr>
          <w:p w14:paraId="75B19345" w14:textId="77777777" w:rsidR="00730606" w:rsidRPr="006E1AF7" w:rsidRDefault="00730606" w:rsidP="006E1AF7">
            <w:pPr>
              <w:jc w:val="center"/>
              <w:rPr>
                <w:rFonts w:ascii="Arial" w:hAnsi="Arial" w:cs="Arial"/>
                <w:b/>
                <w:bCs/>
                <w:sz w:val="16"/>
                <w:szCs w:val="16"/>
                <w:lang w:eastAsia="es-AR"/>
              </w:rPr>
            </w:pPr>
          </w:p>
        </w:tc>
        <w:tc>
          <w:tcPr>
            <w:tcW w:w="559" w:type="pct"/>
            <w:vAlign w:val="bottom"/>
          </w:tcPr>
          <w:p w14:paraId="651FEC5B" w14:textId="0326770B" w:rsidR="00730606" w:rsidRPr="006E1AF7" w:rsidRDefault="00730606" w:rsidP="006E1AF7">
            <w:pPr>
              <w:jc w:val="center"/>
              <w:rPr>
                <w:rFonts w:ascii="Arial" w:hAnsi="Arial" w:cs="Arial"/>
                <w:b/>
                <w:bCs/>
                <w:sz w:val="16"/>
                <w:szCs w:val="16"/>
                <w:lang w:eastAsia="es-AR"/>
              </w:rPr>
            </w:pPr>
          </w:p>
        </w:tc>
        <w:tc>
          <w:tcPr>
            <w:tcW w:w="587" w:type="pct"/>
            <w:vAlign w:val="bottom"/>
          </w:tcPr>
          <w:p w14:paraId="3628A5E5" w14:textId="184689C4" w:rsidR="00730606" w:rsidRPr="006E1AF7" w:rsidRDefault="00730606" w:rsidP="006E1AF7">
            <w:pPr>
              <w:jc w:val="center"/>
              <w:rPr>
                <w:rFonts w:ascii="Arial" w:hAnsi="Arial" w:cs="Arial"/>
                <w:b/>
                <w:bCs/>
                <w:sz w:val="16"/>
                <w:szCs w:val="16"/>
                <w:lang w:eastAsia="es-AR"/>
              </w:rPr>
            </w:pPr>
          </w:p>
        </w:tc>
      </w:tr>
      <w:tr w:rsidR="005F7199" w:rsidRPr="009C39E0" w14:paraId="08C85373" w14:textId="77777777" w:rsidTr="006E1AF7">
        <w:trPr>
          <w:trHeight w:val="60"/>
        </w:trPr>
        <w:tc>
          <w:tcPr>
            <w:tcW w:w="1725" w:type="pct"/>
            <w:shd w:val="clear" w:color="auto" w:fill="auto"/>
            <w:noWrap/>
            <w:vAlign w:val="bottom"/>
          </w:tcPr>
          <w:p w14:paraId="1AB27A18" w14:textId="5AB29DAE" w:rsidR="00730606" w:rsidRPr="006E1AF7" w:rsidRDefault="00730606" w:rsidP="006E1AF7">
            <w:pPr>
              <w:rPr>
                <w:rFonts w:ascii="Arial" w:hAnsi="Arial" w:cs="Arial"/>
                <w:sz w:val="16"/>
                <w:szCs w:val="16"/>
                <w:lang w:eastAsia="es-AR"/>
              </w:rPr>
            </w:pPr>
            <w:r w:rsidRPr="006E1AF7">
              <w:rPr>
                <w:rFonts w:ascii="Arial" w:hAnsi="Arial" w:cs="Arial"/>
                <w:sz w:val="16"/>
                <w:szCs w:val="16"/>
                <w:lang w:eastAsia="es-AR"/>
              </w:rPr>
              <w:t>- Títulos de deuda a valor razonable con cambios en resultados</w:t>
            </w:r>
          </w:p>
        </w:tc>
        <w:tc>
          <w:tcPr>
            <w:tcW w:w="593" w:type="pct"/>
            <w:shd w:val="clear" w:color="auto" w:fill="auto"/>
            <w:noWrap/>
            <w:vAlign w:val="bottom"/>
          </w:tcPr>
          <w:p w14:paraId="4C02B040" w14:textId="7B2D2CDA" w:rsidR="00730606" w:rsidRPr="006E1AF7" w:rsidRDefault="00730606" w:rsidP="006E1AF7">
            <w:pPr>
              <w:jc w:val="center"/>
              <w:rPr>
                <w:rFonts w:ascii="Arial" w:hAnsi="Arial" w:cs="Arial"/>
                <w:sz w:val="16"/>
                <w:szCs w:val="16"/>
              </w:rPr>
            </w:pPr>
            <w:r w:rsidRPr="006E1AF7">
              <w:rPr>
                <w:rFonts w:ascii="Arial" w:hAnsi="Arial" w:cs="Arial"/>
                <w:sz w:val="16"/>
                <w:szCs w:val="16"/>
              </w:rPr>
              <w:t>-</w:t>
            </w:r>
          </w:p>
        </w:tc>
        <w:tc>
          <w:tcPr>
            <w:tcW w:w="706" w:type="pct"/>
            <w:shd w:val="clear" w:color="auto" w:fill="auto"/>
            <w:noWrap/>
            <w:vAlign w:val="bottom"/>
          </w:tcPr>
          <w:p w14:paraId="1E3076AC" w14:textId="588EE80C" w:rsidR="00730606" w:rsidRPr="006E1AF7" w:rsidRDefault="00730606" w:rsidP="006E1AF7">
            <w:pPr>
              <w:jc w:val="center"/>
              <w:rPr>
                <w:rFonts w:ascii="Arial" w:hAnsi="Arial" w:cs="Arial"/>
                <w:sz w:val="16"/>
                <w:szCs w:val="16"/>
              </w:rPr>
            </w:pPr>
            <w:r w:rsidRPr="006E1AF7">
              <w:rPr>
                <w:rFonts w:ascii="Arial" w:hAnsi="Arial" w:cs="Arial"/>
                <w:sz w:val="16"/>
                <w:szCs w:val="16"/>
              </w:rPr>
              <w:t>3</w:t>
            </w:r>
            <w:r w:rsidR="00716339">
              <w:rPr>
                <w:rFonts w:ascii="Arial" w:hAnsi="Arial" w:cs="Arial"/>
                <w:sz w:val="16"/>
                <w:szCs w:val="16"/>
              </w:rPr>
              <w:t>.</w:t>
            </w:r>
            <w:r w:rsidRPr="006E1AF7">
              <w:rPr>
                <w:rFonts w:ascii="Arial" w:hAnsi="Arial" w:cs="Arial"/>
                <w:sz w:val="16"/>
                <w:szCs w:val="16"/>
              </w:rPr>
              <w:t>67</w:t>
            </w:r>
            <w:r w:rsidR="000966C6">
              <w:rPr>
                <w:rFonts w:ascii="Arial" w:hAnsi="Arial" w:cs="Arial"/>
                <w:sz w:val="16"/>
                <w:szCs w:val="16"/>
              </w:rPr>
              <w:t>1</w:t>
            </w:r>
          </w:p>
        </w:tc>
        <w:tc>
          <w:tcPr>
            <w:tcW w:w="431" w:type="pct"/>
            <w:shd w:val="clear" w:color="auto" w:fill="auto"/>
            <w:noWrap/>
            <w:vAlign w:val="bottom"/>
          </w:tcPr>
          <w:p w14:paraId="44455BC8" w14:textId="5A1E5DCE" w:rsidR="00730606" w:rsidRPr="006E1AF7" w:rsidRDefault="00730606" w:rsidP="006E1AF7">
            <w:pPr>
              <w:jc w:val="center"/>
              <w:rPr>
                <w:rFonts w:ascii="Arial" w:hAnsi="Arial" w:cs="Arial"/>
                <w:sz w:val="16"/>
                <w:szCs w:val="16"/>
              </w:rPr>
            </w:pPr>
            <w:r w:rsidRPr="006E1AF7">
              <w:rPr>
                <w:rFonts w:ascii="Arial" w:hAnsi="Arial" w:cs="Arial"/>
                <w:sz w:val="16"/>
                <w:szCs w:val="16"/>
              </w:rPr>
              <w:t>-</w:t>
            </w:r>
          </w:p>
        </w:tc>
        <w:tc>
          <w:tcPr>
            <w:tcW w:w="399" w:type="pct"/>
            <w:vAlign w:val="bottom"/>
          </w:tcPr>
          <w:p w14:paraId="17BFEDB5" w14:textId="5A019E25" w:rsidR="00730606" w:rsidRPr="006E1AF7" w:rsidRDefault="00730606" w:rsidP="006E1AF7">
            <w:pPr>
              <w:jc w:val="center"/>
              <w:rPr>
                <w:rFonts w:ascii="Arial" w:hAnsi="Arial" w:cs="Arial"/>
                <w:sz w:val="16"/>
                <w:szCs w:val="16"/>
              </w:rPr>
            </w:pPr>
            <w:r w:rsidRPr="006E1AF7">
              <w:rPr>
                <w:rFonts w:ascii="Arial" w:hAnsi="Arial" w:cs="Arial"/>
                <w:sz w:val="16"/>
                <w:szCs w:val="16"/>
              </w:rPr>
              <w:t>-</w:t>
            </w:r>
          </w:p>
        </w:tc>
        <w:tc>
          <w:tcPr>
            <w:tcW w:w="559" w:type="pct"/>
            <w:vAlign w:val="bottom"/>
          </w:tcPr>
          <w:p w14:paraId="72CC8450" w14:textId="0B1CEA61" w:rsidR="00730606" w:rsidRPr="006E1AF7" w:rsidRDefault="00730606" w:rsidP="006E1AF7">
            <w:pPr>
              <w:jc w:val="center"/>
              <w:rPr>
                <w:rFonts w:ascii="Arial" w:hAnsi="Arial" w:cs="Arial"/>
                <w:sz w:val="16"/>
                <w:szCs w:val="16"/>
              </w:rPr>
            </w:pPr>
            <w:r w:rsidRPr="006E1AF7">
              <w:rPr>
                <w:rFonts w:ascii="Arial" w:hAnsi="Arial" w:cs="Arial"/>
                <w:sz w:val="16"/>
                <w:szCs w:val="16"/>
              </w:rPr>
              <w:t>-</w:t>
            </w:r>
          </w:p>
        </w:tc>
        <w:tc>
          <w:tcPr>
            <w:tcW w:w="587" w:type="pct"/>
            <w:vAlign w:val="bottom"/>
          </w:tcPr>
          <w:p w14:paraId="33DEE372" w14:textId="7D690CB1" w:rsidR="00730606" w:rsidRPr="006E1AF7" w:rsidRDefault="00730606" w:rsidP="006E1AF7">
            <w:pPr>
              <w:jc w:val="center"/>
              <w:rPr>
                <w:rFonts w:ascii="Arial" w:hAnsi="Arial" w:cs="Arial"/>
                <w:sz w:val="16"/>
                <w:szCs w:val="16"/>
              </w:rPr>
            </w:pPr>
            <w:r w:rsidRPr="006E1AF7">
              <w:rPr>
                <w:rFonts w:ascii="Arial" w:hAnsi="Arial" w:cs="Arial"/>
                <w:sz w:val="16"/>
                <w:szCs w:val="16"/>
              </w:rPr>
              <w:t>3</w:t>
            </w:r>
            <w:r w:rsidR="00716339">
              <w:rPr>
                <w:rFonts w:ascii="Arial" w:hAnsi="Arial" w:cs="Arial"/>
                <w:sz w:val="16"/>
                <w:szCs w:val="16"/>
              </w:rPr>
              <w:t>.</w:t>
            </w:r>
            <w:r w:rsidRPr="006E1AF7">
              <w:rPr>
                <w:rFonts w:ascii="Arial" w:hAnsi="Arial" w:cs="Arial"/>
                <w:sz w:val="16"/>
                <w:szCs w:val="16"/>
              </w:rPr>
              <w:t>67</w:t>
            </w:r>
            <w:r w:rsidR="000966C6">
              <w:rPr>
                <w:rFonts w:ascii="Arial" w:hAnsi="Arial" w:cs="Arial"/>
                <w:sz w:val="16"/>
                <w:szCs w:val="16"/>
              </w:rPr>
              <w:t>1</w:t>
            </w:r>
          </w:p>
        </w:tc>
      </w:tr>
    </w:tbl>
    <w:p w14:paraId="78D1D4AE" w14:textId="09DC4820" w:rsidR="00730606" w:rsidRPr="006E1AF7" w:rsidRDefault="005F7199" w:rsidP="00A06BE9">
      <w:pPr>
        <w:spacing w:after="160" w:line="259" w:lineRule="auto"/>
        <w:jc w:val="both"/>
        <w:rPr>
          <w:rFonts w:ascii="Arial" w:eastAsia="Calibri" w:hAnsi="Arial" w:cs="Arial"/>
          <w:bCs/>
          <w:i/>
          <w:sz w:val="16"/>
        </w:rPr>
      </w:pPr>
      <w:r w:rsidRPr="006E1AF7">
        <w:rPr>
          <w:rFonts w:ascii="Arial" w:eastAsia="Calibri" w:hAnsi="Arial" w:cs="Arial"/>
          <w:bCs/>
          <w:i/>
          <w:sz w:val="16"/>
        </w:rPr>
        <w:t>(*)</w:t>
      </w:r>
      <w:r>
        <w:rPr>
          <w:rFonts w:ascii="Arial" w:eastAsia="Calibri" w:hAnsi="Arial" w:cs="Arial"/>
          <w:bCs/>
          <w:i/>
          <w:sz w:val="16"/>
        </w:rPr>
        <w:t xml:space="preserve"> </w:t>
      </w:r>
      <w:r w:rsidRPr="006E1AF7">
        <w:rPr>
          <w:rFonts w:ascii="Arial" w:eastAsia="Calibri" w:hAnsi="Arial" w:cs="Arial"/>
          <w:bCs/>
          <w:i/>
          <w:sz w:val="16"/>
        </w:rPr>
        <w:t xml:space="preserve">La transferencia se produjo por el pase a Nivel 3 de los instrumentos de </w:t>
      </w:r>
      <w:r w:rsidR="00716339">
        <w:rPr>
          <w:rFonts w:ascii="Arial" w:eastAsia="Calibri" w:hAnsi="Arial" w:cs="Arial"/>
          <w:bCs/>
          <w:i/>
          <w:sz w:val="16"/>
        </w:rPr>
        <w:t>N</w:t>
      </w:r>
      <w:r w:rsidRPr="006E1AF7">
        <w:rPr>
          <w:rFonts w:ascii="Arial" w:eastAsia="Calibri" w:hAnsi="Arial" w:cs="Arial"/>
          <w:bCs/>
          <w:i/>
          <w:sz w:val="16"/>
        </w:rPr>
        <w:t>ivel 2 que dejaron de pos</w:t>
      </w:r>
      <w:r w:rsidR="000D52E9">
        <w:rPr>
          <w:rFonts w:ascii="Arial" w:eastAsia="Calibri" w:hAnsi="Arial" w:cs="Arial"/>
          <w:bCs/>
          <w:i/>
          <w:sz w:val="16"/>
        </w:rPr>
        <w:t>e</w:t>
      </w:r>
      <w:r w:rsidRPr="006E1AF7">
        <w:rPr>
          <w:rFonts w:ascii="Arial" w:eastAsia="Calibri" w:hAnsi="Arial" w:cs="Arial"/>
          <w:bCs/>
          <w:i/>
          <w:sz w:val="16"/>
        </w:rPr>
        <w:t>er precios observables directa o indirectamente para su valuación.</w:t>
      </w:r>
    </w:p>
    <w:p w14:paraId="54B42372" w14:textId="491C8B8A" w:rsidR="00730606" w:rsidRDefault="00C92B14" w:rsidP="00A06BE9">
      <w:pPr>
        <w:spacing w:after="160" w:line="259" w:lineRule="auto"/>
        <w:jc w:val="both"/>
        <w:rPr>
          <w:rFonts w:ascii="Arial" w:eastAsia="Calibri" w:hAnsi="Arial" w:cs="Arial"/>
          <w:bCs/>
          <w:sz w:val="20"/>
        </w:rPr>
      </w:pPr>
      <w:r w:rsidRPr="00A059FB">
        <w:rPr>
          <w:rFonts w:ascii="Arial" w:eastAsia="Calibri" w:hAnsi="Arial" w:cs="Arial"/>
          <w:bCs/>
          <w:sz w:val="20"/>
        </w:rPr>
        <w:t>La política del Banco es reconocer transferencias entre los niveles de valores razonables solo a las fechas de cierre de ejercicio. Las mismas se produjeron por el pase a Nivel 3 de los instrumentos que no poseen precios observables de valuación</w:t>
      </w:r>
      <w:r>
        <w:rPr>
          <w:rFonts w:ascii="Arial" w:eastAsia="Calibri" w:hAnsi="Arial" w:cs="Arial"/>
          <w:bCs/>
          <w:sz w:val="20"/>
        </w:rPr>
        <w:t>.</w:t>
      </w:r>
    </w:p>
    <w:p w14:paraId="4076969F" w14:textId="77777777" w:rsidR="00D376AD" w:rsidRPr="00701F32" w:rsidRDefault="00D376AD" w:rsidP="00D376AD">
      <w:pPr>
        <w:spacing w:after="160" w:line="259" w:lineRule="auto"/>
        <w:jc w:val="both"/>
        <w:rPr>
          <w:rFonts w:ascii="Arial" w:eastAsia="Calibri" w:hAnsi="Arial" w:cs="Arial"/>
          <w:b/>
          <w:bCs/>
          <w:sz w:val="20"/>
        </w:rPr>
      </w:pPr>
      <w:r w:rsidRPr="00701F32">
        <w:rPr>
          <w:rFonts w:ascii="Arial" w:eastAsia="Calibri" w:hAnsi="Arial" w:cs="Arial"/>
          <w:b/>
          <w:bCs/>
          <w:sz w:val="20"/>
        </w:rPr>
        <w:t>Técnicas de Valuación</w:t>
      </w:r>
    </w:p>
    <w:p w14:paraId="207D29BB" w14:textId="77777777" w:rsidR="00D376AD" w:rsidRPr="00701F32" w:rsidRDefault="00D376AD" w:rsidP="00D376AD">
      <w:pPr>
        <w:spacing w:after="160" w:line="259" w:lineRule="auto"/>
        <w:jc w:val="both"/>
        <w:rPr>
          <w:rFonts w:ascii="Arial" w:eastAsia="Calibri" w:hAnsi="Arial" w:cs="Arial"/>
          <w:bCs/>
          <w:sz w:val="20"/>
        </w:rPr>
      </w:pPr>
      <w:r w:rsidRPr="00701F32">
        <w:rPr>
          <w:rFonts w:ascii="Arial" w:eastAsia="Calibri" w:hAnsi="Arial" w:cs="Arial"/>
          <w:bCs/>
          <w:sz w:val="20"/>
        </w:rPr>
        <w:t>Las técnicas de valuación para la determinación de los Valores Razonables incluyen:</w:t>
      </w:r>
    </w:p>
    <w:p w14:paraId="7CB6A7D9" w14:textId="77777777" w:rsidR="00D376AD" w:rsidRPr="00701F32" w:rsidRDefault="00D376AD" w:rsidP="00627289">
      <w:pPr>
        <w:numPr>
          <w:ilvl w:val="0"/>
          <w:numId w:val="32"/>
        </w:numPr>
        <w:spacing w:after="160" w:line="259" w:lineRule="auto"/>
        <w:contextualSpacing/>
        <w:jc w:val="both"/>
        <w:rPr>
          <w:rFonts w:ascii="Arial" w:eastAsia="Calibri" w:hAnsi="Arial" w:cs="Arial"/>
          <w:bCs/>
          <w:sz w:val="20"/>
        </w:rPr>
      </w:pPr>
      <w:r w:rsidRPr="00701F32">
        <w:rPr>
          <w:rFonts w:ascii="Arial" w:eastAsia="Calibri" w:hAnsi="Arial" w:cs="Arial"/>
          <w:bCs/>
          <w:sz w:val="20"/>
        </w:rPr>
        <w:t>Precios de mercado o cotizaciones de instrumentos similares.</w:t>
      </w:r>
    </w:p>
    <w:p w14:paraId="06522386" w14:textId="0C678D93" w:rsidR="00D376AD" w:rsidRDefault="00D376AD" w:rsidP="00627289">
      <w:pPr>
        <w:numPr>
          <w:ilvl w:val="0"/>
          <w:numId w:val="32"/>
        </w:numPr>
        <w:spacing w:after="160" w:line="259" w:lineRule="auto"/>
        <w:contextualSpacing/>
        <w:jc w:val="both"/>
        <w:rPr>
          <w:rFonts w:ascii="Arial" w:eastAsia="Calibri" w:hAnsi="Arial" w:cs="Arial"/>
          <w:bCs/>
          <w:sz w:val="20"/>
        </w:rPr>
      </w:pPr>
      <w:r w:rsidRPr="00701F32">
        <w:rPr>
          <w:rFonts w:ascii="Arial" w:eastAsia="Calibri" w:hAnsi="Arial" w:cs="Arial"/>
          <w:bCs/>
          <w:sz w:val="20"/>
        </w:rPr>
        <w:t>Determinación de valor actual estimado de los instrumentos.</w:t>
      </w:r>
    </w:p>
    <w:p w14:paraId="7BAEF9CB" w14:textId="77777777" w:rsidR="006D13EE" w:rsidRPr="00701F32" w:rsidRDefault="006D13EE" w:rsidP="00066653">
      <w:pPr>
        <w:spacing w:after="160" w:line="259" w:lineRule="auto"/>
        <w:ind w:left="360"/>
        <w:contextualSpacing/>
        <w:jc w:val="both"/>
        <w:rPr>
          <w:rFonts w:ascii="Arial" w:eastAsia="Calibri" w:hAnsi="Arial" w:cs="Arial"/>
          <w:bCs/>
          <w:sz w:val="20"/>
        </w:rPr>
      </w:pPr>
    </w:p>
    <w:p w14:paraId="1829908B" w14:textId="176B4335" w:rsidR="00D376AD" w:rsidRPr="00701F32" w:rsidRDefault="00D376AD" w:rsidP="00D376AD">
      <w:pPr>
        <w:spacing w:after="160" w:line="259" w:lineRule="auto"/>
        <w:jc w:val="both"/>
        <w:rPr>
          <w:rFonts w:ascii="Arial" w:eastAsia="Calibri" w:hAnsi="Arial" w:cs="Arial"/>
          <w:bCs/>
          <w:sz w:val="20"/>
        </w:rPr>
      </w:pPr>
      <w:r w:rsidRPr="00701F32">
        <w:rPr>
          <w:rFonts w:ascii="Arial" w:eastAsia="Calibri" w:hAnsi="Arial" w:cs="Arial"/>
          <w:bCs/>
          <w:sz w:val="20"/>
        </w:rPr>
        <w:t xml:space="preserve">Todas las estimaciones del valor razonable se incluyen en el nivel </w:t>
      </w:r>
      <w:r w:rsidR="000D52E9">
        <w:rPr>
          <w:rFonts w:ascii="Arial" w:eastAsia="Calibri" w:hAnsi="Arial" w:cs="Arial"/>
          <w:bCs/>
          <w:sz w:val="20"/>
        </w:rPr>
        <w:t>3</w:t>
      </w:r>
      <w:r w:rsidRPr="00701F32">
        <w:rPr>
          <w:rFonts w:ascii="Arial" w:eastAsia="Calibri" w:hAnsi="Arial" w:cs="Arial"/>
          <w:bCs/>
          <w:sz w:val="20"/>
        </w:rPr>
        <w:t>. Para ello, la Entidad utiliza técnicas de valorización por medio de curvas de tasa spot que estiman curvas de rendimiento en base a precios de mercado. Las mismas se detallan a continuación:</w:t>
      </w:r>
    </w:p>
    <w:p w14:paraId="0D9AD534" w14:textId="08FE0A7F" w:rsidR="00D376AD" w:rsidRPr="00701F32" w:rsidRDefault="00D376AD" w:rsidP="00627289">
      <w:pPr>
        <w:pStyle w:val="Prrafodelista"/>
        <w:numPr>
          <w:ilvl w:val="0"/>
          <w:numId w:val="32"/>
        </w:numPr>
        <w:spacing w:after="160" w:line="252" w:lineRule="auto"/>
        <w:contextualSpacing/>
        <w:jc w:val="both"/>
        <w:rPr>
          <w:rFonts w:ascii="Arial" w:eastAsia="Calibri" w:hAnsi="Arial" w:cs="Arial"/>
          <w:bCs/>
          <w:sz w:val="20"/>
        </w:rPr>
      </w:pPr>
      <w:r w:rsidRPr="00701F32">
        <w:rPr>
          <w:rFonts w:ascii="Arial" w:eastAsia="Calibri" w:hAnsi="Arial" w:cs="Arial"/>
          <w:bCs/>
          <w:sz w:val="20"/>
        </w:rPr>
        <w:t xml:space="preserve">Modelo de interpolación: Consiste en la determinación del valor de instrumentos financieros que no poseen precio de mercado a la fecha de cierre, a partir de las cotizaciones de especies asimilables (tanto en condiciones de emisión, moneda, y duración) en mercado activo (MAE, Bolsar o secundarios) por medio de la interpolación lineal de las mismas. Esta técnica ha sido utilizada por la Entidad para determinar el valor razonable de </w:t>
      </w:r>
      <w:r w:rsidR="000D52E9">
        <w:rPr>
          <w:rFonts w:ascii="Arial" w:eastAsia="Calibri" w:hAnsi="Arial" w:cs="Arial"/>
          <w:bCs/>
          <w:sz w:val="20"/>
        </w:rPr>
        <w:t>las</w:t>
      </w:r>
      <w:r w:rsidRPr="00701F32">
        <w:rPr>
          <w:rFonts w:ascii="Arial" w:eastAsia="Calibri" w:hAnsi="Arial" w:cs="Arial"/>
          <w:bCs/>
          <w:sz w:val="20"/>
        </w:rPr>
        <w:t xml:space="preserve"> </w:t>
      </w:r>
      <w:r w:rsidRPr="00701F32">
        <w:rPr>
          <w:rFonts w:ascii="Arial" w:eastAsia="Calibri" w:hAnsi="Arial" w:cs="Arial"/>
          <w:bCs/>
          <w:smallCaps/>
          <w:sz w:val="20"/>
        </w:rPr>
        <w:t>L</w:t>
      </w:r>
      <w:r w:rsidRPr="00701F32">
        <w:rPr>
          <w:rFonts w:ascii="Arial" w:eastAsia="Calibri" w:hAnsi="Arial" w:cs="Arial"/>
          <w:bCs/>
          <w:sz w:val="20"/>
        </w:rPr>
        <w:t xml:space="preserve">etras del Tesoro sin cotización al cierre del presente </w:t>
      </w:r>
      <w:r>
        <w:rPr>
          <w:rFonts w:ascii="Arial" w:eastAsia="Calibri" w:hAnsi="Arial" w:cs="Arial"/>
          <w:bCs/>
          <w:sz w:val="20"/>
        </w:rPr>
        <w:t>ejercicio.</w:t>
      </w:r>
    </w:p>
    <w:p w14:paraId="07F1E1EB" w14:textId="77777777" w:rsidR="00D376AD" w:rsidRPr="00701F32" w:rsidRDefault="00D376AD" w:rsidP="00D376AD">
      <w:pPr>
        <w:pStyle w:val="Prrafodelista"/>
        <w:jc w:val="both"/>
        <w:rPr>
          <w:rFonts w:ascii="Arial" w:eastAsia="Calibri" w:hAnsi="Arial" w:cs="Arial"/>
          <w:bCs/>
          <w:sz w:val="20"/>
        </w:rPr>
      </w:pPr>
    </w:p>
    <w:p w14:paraId="6574A66C" w14:textId="77777777" w:rsidR="00D376AD" w:rsidRPr="00701F32" w:rsidRDefault="00D376AD" w:rsidP="00627289">
      <w:pPr>
        <w:pStyle w:val="Prrafodelista"/>
        <w:numPr>
          <w:ilvl w:val="0"/>
          <w:numId w:val="32"/>
        </w:numPr>
        <w:spacing w:after="160" w:line="252" w:lineRule="auto"/>
        <w:contextualSpacing/>
        <w:jc w:val="both"/>
        <w:rPr>
          <w:rFonts w:ascii="Arial" w:eastAsia="Calibri" w:hAnsi="Arial" w:cs="Arial"/>
          <w:bCs/>
          <w:sz w:val="20"/>
        </w:rPr>
      </w:pPr>
      <w:r w:rsidRPr="00701F32">
        <w:rPr>
          <w:rFonts w:ascii="Arial" w:eastAsia="Calibri" w:hAnsi="Arial" w:cs="Arial"/>
          <w:bCs/>
          <w:sz w:val="20"/>
        </w:rPr>
        <w:t>Modelo de Curvas de rendimiento bajo Nelson Siegel: Este modelo propone una función continua para modelar la trayectoria de la tasa de interés forward instantánea considerando como dominio el plazo comprendido hasta el próximo pago de interés y/o capital. Consiste en la determinación del precio de una especie por medio de un modelo de valor de riesgo a precio teórico, estimándose para ello la volatilidad a través de curvas de mercado. La Entidad ha utilizado este modelo para estimar precios en obligaciones negociables o especies ajustables por tasa BADLAR o por inflación.</w:t>
      </w:r>
    </w:p>
    <w:p w14:paraId="1C6AAD2D" w14:textId="73708891" w:rsidR="00C92B14" w:rsidRDefault="00C92B14" w:rsidP="00C92B14">
      <w:pPr>
        <w:jc w:val="both"/>
        <w:rPr>
          <w:rFonts w:ascii="Arial" w:hAnsi="Arial" w:cs="Arial"/>
          <w:bCs/>
          <w:sz w:val="20"/>
        </w:rPr>
      </w:pPr>
      <w:r w:rsidRPr="00D35E35">
        <w:rPr>
          <w:rFonts w:ascii="Arial" w:hAnsi="Arial" w:cs="Arial"/>
          <w:bCs/>
          <w:sz w:val="20"/>
        </w:rPr>
        <w:t>Los principales datos y aspectos considerados por la Entidad para su determinación de valores razonables bajo el modelo de interpolación lineal han sido:</w:t>
      </w:r>
    </w:p>
    <w:p w14:paraId="3F3422BB" w14:textId="77777777" w:rsidR="00C92B14" w:rsidRPr="00D35E35" w:rsidRDefault="00C92B14" w:rsidP="00C92B14">
      <w:pPr>
        <w:jc w:val="both"/>
        <w:rPr>
          <w:rFonts w:ascii="Arial" w:hAnsi="Arial" w:cs="Arial"/>
          <w:bCs/>
          <w:sz w:val="20"/>
        </w:rPr>
      </w:pPr>
    </w:p>
    <w:p w14:paraId="43825371" w14:textId="77777777" w:rsidR="00C92B14" w:rsidRPr="00D35E35" w:rsidRDefault="00C92B14" w:rsidP="00C92B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 xml:space="preserve">Precios de </w:t>
      </w:r>
      <w:r>
        <w:rPr>
          <w:rFonts w:ascii="Arial" w:hAnsi="Arial" w:cs="Arial"/>
          <w:bCs/>
          <w:sz w:val="20"/>
        </w:rPr>
        <w:t>instrumentos</w:t>
      </w:r>
      <w:r w:rsidRPr="00D35E35">
        <w:rPr>
          <w:rFonts w:ascii="Arial" w:hAnsi="Arial" w:cs="Arial"/>
          <w:bCs/>
          <w:sz w:val="20"/>
        </w:rPr>
        <w:t xml:space="preserve"> que cotizaron entre la fecha en que se estima la curva y la fecha de liquidación de la última liquidación disponible.</w:t>
      </w:r>
    </w:p>
    <w:p w14:paraId="79C7E373" w14:textId="77777777" w:rsidR="00C92B14" w:rsidRPr="00D35E35" w:rsidRDefault="00C92B14" w:rsidP="00C92B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Tasas implícitas en la última licitación disponible.</w:t>
      </w:r>
    </w:p>
    <w:p w14:paraId="046DA4F9" w14:textId="77777777" w:rsidR="00C92B14" w:rsidRPr="00D35E35" w:rsidRDefault="00C92B14" w:rsidP="00C92B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Solo se consideran instrumentos que hayan negociado con liquidación 24 horas.</w:t>
      </w:r>
    </w:p>
    <w:p w14:paraId="7D5E9109" w14:textId="77777777" w:rsidR="00C92B14" w:rsidRPr="00D35E35" w:rsidRDefault="00C92B14" w:rsidP="00C92B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Si la misma especie ha cotizado en MAE y Bolsar, se considera la cotización del mercado  que haya negociado un volumen superior.</w:t>
      </w:r>
    </w:p>
    <w:p w14:paraId="2FEF0965" w14:textId="77777777" w:rsidR="00C92B14" w:rsidRPr="00D35E35" w:rsidRDefault="00C92B14" w:rsidP="00C92B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La curva de rendimientos se estandariza en función de un conjunto de nodos, cada uno de los cuales tiene asociada una fecha de vencimiento.</w:t>
      </w:r>
    </w:p>
    <w:p w14:paraId="00483CBD" w14:textId="77777777" w:rsidR="00C92B14" w:rsidRPr="00D35E35" w:rsidRDefault="00C92B14" w:rsidP="00C92B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Los instrumentos nominados en dólares son convertidos al tipo de cambio a la fecha en que se negocia la especie.</w:t>
      </w:r>
    </w:p>
    <w:p w14:paraId="6E4ED85A" w14:textId="4E2523BE" w:rsidR="00C92B14" w:rsidRDefault="00C92B14" w:rsidP="00C92B14">
      <w:pPr>
        <w:jc w:val="both"/>
        <w:rPr>
          <w:rFonts w:ascii="Arial" w:hAnsi="Arial" w:cs="Arial"/>
          <w:bCs/>
          <w:sz w:val="20"/>
        </w:rPr>
      </w:pPr>
      <w:r w:rsidRPr="00D35E35">
        <w:rPr>
          <w:rFonts w:ascii="Arial" w:hAnsi="Arial" w:cs="Arial"/>
          <w:bCs/>
          <w:sz w:val="20"/>
        </w:rPr>
        <w:t>Asimismo, para la determinación de valores razonables bajo el modelo Nelson Siegel, los principales datos y aspectos considerados por la Entidad fueron:</w:t>
      </w:r>
    </w:p>
    <w:p w14:paraId="01D918A1" w14:textId="77777777" w:rsidR="00C92B14" w:rsidRPr="00D35E35" w:rsidRDefault="00C92B14" w:rsidP="00C92B14">
      <w:pPr>
        <w:jc w:val="both"/>
        <w:rPr>
          <w:rFonts w:ascii="Arial" w:hAnsi="Arial" w:cs="Arial"/>
          <w:bCs/>
          <w:sz w:val="20"/>
        </w:rPr>
      </w:pPr>
    </w:p>
    <w:p w14:paraId="61CEEFA7" w14:textId="77777777" w:rsidR="00C92B14" w:rsidRPr="00D35E35" w:rsidRDefault="00C92B14" w:rsidP="00C92B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Las Curvas de tasa Spot en pesos + BADLAR y Curva de tasa Spot en dólares se establecen a partir de bonos predefinidos por la Gerencia de Riesgo Financiero.</w:t>
      </w:r>
    </w:p>
    <w:p w14:paraId="2663A9B7" w14:textId="77777777" w:rsidR="00C92B14" w:rsidRDefault="00C92B14" w:rsidP="00C92B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La principal fuente de precios para Bonos es MAE, sin considerar aquellos correspondientes a operaciones para cartera propia</w:t>
      </w:r>
      <w:r>
        <w:rPr>
          <w:rFonts w:ascii="Arial" w:hAnsi="Arial" w:cs="Arial"/>
          <w:bCs/>
          <w:sz w:val="20"/>
        </w:rPr>
        <w:t>.</w:t>
      </w:r>
    </w:p>
    <w:p w14:paraId="569C698E" w14:textId="26766093" w:rsidR="00C92B14" w:rsidRPr="00A059FB" w:rsidRDefault="00C92B14" w:rsidP="00A059FB">
      <w:pPr>
        <w:pStyle w:val="Prrafodelista"/>
        <w:numPr>
          <w:ilvl w:val="0"/>
          <w:numId w:val="32"/>
        </w:numPr>
        <w:spacing w:after="160" w:line="259" w:lineRule="auto"/>
        <w:contextualSpacing/>
        <w:jc w:val="both"/>
        <w:rPr>
          <w:rFonts w:ascii="Arial" w:hAnsi="Arial" w:cs="Arial"/>
          <w:bCs/>
          <w:sz w:val="20"/>
        </w:rPr>
      </w:pPr>
      <w:r w:rsidRPr="00A059FB">
        <w:rPr>
          <w:rFonts w:ascii="Arial" w:hAnsi="Arial" w:cs="Arial"/>
          <w:bCs/>
          <w:sz w:val="20"/>
        </w:rPr>
        <w:t>Los sets de bonos elegibles no son estáticos, ampliándose con cada nueva emisión.</w:t>
      </w:r>
    </w:p>
    <w:p w14:paraId="58357B59" w14:textId="77777777" w:rsidR="00C92B14" w:rsidRDefault="00C92B14" w:rsidP="00D376AD">
      <w:pPr>
        <w:spacing w:after="160" w:line="259" w:lineRule="auto"/>
        <w:jc w:val="both"/>
        <w:rPr>
          <w:rFonts w:ascii="Arial" w:eastAsia="Calibri" w:hAnsi="Arial" w:cs="Arial"/>
          <w:bCs/>
          <w:sz w:val="20"/>
        </w:rPr>
      </w:pPr>
    </w:p>
    <w:p w14:paraId="472163F6" w14:textId="498A42E7" w:rsidR="00D376AD" w:rsidRPr="00701F32" w:rsidRDefault="00D376AD" w:rsidP="00D376AD">
      <w:pPr>
        <w:spacing w:after="160" w:line="259" w:lineRule="auto"/>
        <w:jc w:val="both"/>
        <w:rPr>
          <w:rFonts w:ascii="Arial" w:eastAsia="Calibri" w:hAnsi="Arial" w:cs="Arial"/>
          <w:bCs/>
          <w:color w:val="0000CC"/>
          <w:sz w:val="20"/>
        </w:rPr>
      </w:pPr>
      <w:r w:rsidRPr="00701F32">
        <w:rPr>
          <w:rFonts w:ascii="Arial" w:eastAsia="Calibri" w:hAnsi="Arial" w:cs="Arial"/>
          <w:bCs/>
          <w:sz w:val="20"/>
        </w:rPr>
        <w:t>La entidad evalúa periódicamente la performance de los modelos en función de indicadores los cuales poseen definidos umbrales de tolerancia</w:t>
      </w:r>
      <w:r w:rsidRPr="00701F32">
        <w:rPr>
          <w:rFonts w:ascii="Arial" w:eastAsia="Calibri" w:hAnsi="Arial" w:cs="Arial"/>
          <w:bCs/>
          <w:color w:val="0000CC"/>
          <w:sz w:val="20"/>
        </w:rPr>
        <w:t xml:space="preserve">. </w:t>
      </w:r>
    </w:p>
    <w:p w14:paraId="6704AF54" w14:textId="3A3167AE" w:rsidR="00D376AD" w:rsidRDefault="00D376AD" w:rsidP="00D376AD">
      <w:pPr>
        <w:spacing w:after="160" w:line="259" w:lineRule="auto"/>
        <w:jc w:val="both"/>
        <w:rPr>
          <w:rFonts w:ascii="Arial" w:eastAsia="Calibri" w:hAnsi="Arial" w:cs="Arial"/>
          <w:bCs/>
          <w:sz w:val="20"/>
        </w:rPr>
      </w:pPr>
      <w:r w:rsidRPr="00701F32">
        <w:rPr>
          <w:rFonts w:ascii="Arial" w:eastAsia="Calibri" w:hAnsi="Arial" w:cs="Arial"/>
          <w:bCs/>
          <w:sz w:val="20"/>
        </w:rPr>
        <w:t xml:space="preserve">De acuerdo a las NIIF, el valor residual estimado de un instrumento al inicio es, generalmente, el precio de la transacción. En el caso que el precio de transacción difiera del valor razonable determinado, la diferencia será reconocida en el estado de resultados en forma proporcional durante la duración del instrumento. </w:t>
      </w:r>
    </w:p>
    <w:p w14:paraId="0C6B8ACF" w14:textId="77777777" w:rsidR="00DA1236" w:rsidRDefault="00DA1236" w:rsidP="00DA1236">
      <w:pPr>
        <w:spacing w:after="160" w:line="259" w:lineRule="auto"/>
        <w:jc w:val="both"/>
        <w:rPr>
          <w:rFonts w:ascii="Arial" w:eastAsia="Calibri" w:hAnsi="Arial" w:cs="Arial"/>
          <w:b/>
          <w:bCs/>
          <w:sz w:val="20"/>
        </w:rPr>
      </w:pPr>
      <w:r w:rsidRPr="00701F32">
        <w:rPr>
          <w:rFonts w:ascii="Arial" w:eastAsia="Calibri" w:hAnsi="Arial" w:cs="Arial"/>
          <w:b/>
          <w:bCs/>
          <w:sz w:val="20"/>
        </w:rPr>
        <w:t>Valor Razonable de Otros Instrumentos Financieros</w:t>
      </w:r>
    </w:p>
    <w:p w14:paraId="56F1F0FF" w14:textId="77777777" w:rsidR="00D376AD" w:rsidRDefault="00D376AD" w:rsidP="00D376AD">
      <w:pPr>
        <w:pStyle w:val="Textoinfaud"/>
        <w:autoSpaceDE w:val="0"/>
        <w:autoSpaceDN w:val="0"/>
        <w:spacing w:line="239" w:lineRule="exact"/>
        <w:rPr>
          <w:rFonts w:ascii="Arial" w:hAnsi="Arial" w:cs="Arial"/>
          <w:lang w:val="es-ES" w:eastAsia="es-ES"/>
        </w:rPr>
      </w:pPr>
      <w:r>
        <w:rPr>
          <w:rFonts w:ascii="Arial" w:hAnsi="Arial" w:cs="Arial"/>
          <w:lang w:val="es-ES" w:eastAsia="es-ES"/>
        </w:rPr>
        <w:t xml:space="preserve">A continuación se describen las metodologías y supuestos utilizados para determinar los valores razonables de los instrumentos financieros no registrados a su valor razonable en los presentes estados financieros: </w:t>
      </w:r>
    </w:p>
    <w:p w14:paraId="1AB742CD" w14:textId="77777777" w:rsidR="00D376AD" w:rsidRDefault="00D376AD" w:rsidP="00D376AD">
      <w:pPr>
        <w:pStyle w:val="Textoinfaud"/>
        <w:autoSpaceDE w:val="0"/>
        <w:autoSpaceDN w:val="0"/>
        <w:spacing w:line="239" w:lineRule="exact"/>
        <w:rPr>
          <w:rFonts w:ascii="Arial" w:hAnsi="Arial" w:cs="Arial"/>
          <w:lang w:val="es-ES" w:eastAsia="es-ES"/>
        </w:rPr>
      </w:pPr>
    </w:p>
    <w:p w14:paraId="71DD1145" w14:textId="163FAF10" w:rsidR="00D376AD" w:rsidRPr="00066653" w:rsidRDefault="00D376AD" w:rsidP="00066653">
      <w:pPr>
        <w:pStyle w:val="Prrafodelista"/>
        <w:spacing w:after="200" w:line="276" w:lineRule="auto"/>
        <w:ind w:left="284" w:hanging="284"/>
        <w:jc w:val="both"/>
        <w:rPr>
          <w:rFonts w:ascii="Arial" w:hAnsi="Arial" w:cs="Arial"/>
          <w:i/>
          <w:iCs/>
          <w:sz w:val="20"/>
        </w:rPr>
      </w:pPr>
      <w:r>
        <w:rPr>
          <w:rFonts w:ascii="Arial" w:hAnsi="Arial" w:cs="Arial"/>
          <w:sz w:val="20"/>
        </w:rPr>
        <w:t>-</w:t>
      </w:r>
      <w:r>
        <w:rPr>
          <w:sz w:val="14"/>
          <w:szCs w:val="14"/>
        </w:rPr>
        <w:t xml:space="preserve">     </w:t>
      </w:r>
      <w:r>
        <w:rPr>
          <w:rFonts w:ascii="Arial" w:hAnsi="Arial" w:cs="Arial"/>
          <w:i/>
          <w:iCs/>
          <w:sz w:val="20"/>
        </w:rPr>
        <w:t xml:space="preserve">Activos cuyo valor razonable es similar al valor en libros: </w:t>
      </w:r>
      <w:r>
        <w:rPr>
          <w:rFonts w:ascii="Arial" w:hAnsi="Arial" w:cs="Arial"/>
          <w:sz w:val="20"/>
          <w:lang w:val="es-ES" w:eastAsia="es-ES"/>
        </w:rPr>
        <w:t xml:space="preserve">Para los activos y pasivos financieros que son líquidos o tienen vencimientos a corto plazo (menor a tres meses), se consideró que el valor en libros es similar al valor razonable. </w:t>
      </w:r>
    </w:p>
    <w:p w14:paraId="349B1CD0" w14:textId="75C481CD" w:rsidR="00D376AD" w:rsidRPr="008F0913" w:rsidRDefault="00D376AD" w:rsidP="005A1F48">
      <w:pPr>
        <w:pStyle w:val="Prrafodelista"/>
        <w:spacing w:after="200" w:line="276" w:lineRule="auto"/>
        <w:ind w:left="284" w:hanging="284"/>
        <w:jc w:val="both"/>
      </w:pPr>
      <w:r>
        <w:rPr>
          <w:rFonts w:ascii="Arial" w:hAnsi="Arial" w:cs="Arial"/>
          <w:sz w:val="20"/>
        </w:rPr>
        <w:t>-</w:t>
      </w:r>
      <w:r>
        <w:rPr>
          <w:sz w:val="14"/>
          <w:szCs w:val="14"/>
        </w:rPr>
        <w:t xml:space="preserve">     </w:t>
      </w:r>
      <w:r>
        <w:rPr>
          <w:rFonts w:ascii="Arial" w:hAnsi="Arial" w:cs="Arial"/>
          <w:i/>
          <w:iCs/>
          <w:sz w:val="20"/>
        </w:rPr>
        <w:t xml:space="preserve">Instrumentos financieros de tasa fija: </w:t>
      </w:r>
      <w:r>
        <w:rPr>
          <w:rFonts w:ascii="Arial" w:hAnsi="Arial" w:cs="Arial"/>
          <w:sz w:val="20"/>
        </w:rPr>
        <w:t>El valor razonable de los activos financieros se determinó descontando los flujos de fondos futuros a las tasas de mercado corrientes ofrecidas, para cada ejercicio, para instrumentos financieros de similares características. El valor razonable estimado de los depósitos con tasa de interés fija se determinó descontando los flujos de fondos futuros mediante la utilización de tasas de interés de mercado para imposiciones con vencimientos similares a las de la cartera del Banco.</w:t>
      </w:r>
    </w:p>
    <w:p w14:paraId="3DAD37EC" w14:textId="77777777" w:rsidR="00D376AD" w:rsidRDefault="00D376AD" w:rsidP="00D376AD">
      <w:pPr>
        <w:pStyle w:val="Prrafodelista"/>
        <w:ind w:left="284"/>
        <w:jc w:val="both"/>
        <w:rPr>
          <w:rFonts w:ascii="Arial" w:hAnsi="Arial" w:cs="Arial"/>
          <w:sz w:val="20"/>
        </w:rPr>
      </w:pPr>
      <w:r>
        <w:rPr>
          <w:rFonts w:ascii="Arial" w:hAnsi="Arial" w:cs="Arial"/>
          <w:sz w:val="20"/>
        </w:rPr>
        <w:t>Para los activos cotizados y la deuda cotizada emitida el valor razonable se determinó en base a los precios de mercado.</w:t>
      </w:r>
    </w:p>
    <w:p w14:paraId="394722D7" w14:textId="77777777" w:rsidR="00D376AD" w:rsidRDefault="00D376AD" w:rsidP="00D376AD">
      <w:pPr>
        <w:pStyle w:val="Prrafodelista"/>
        <w:ind w:left="284"/>
        <w:jc w:val="both"/>
        <w:rPr>
          <w:rFonts w:ascii="Arial" w:hAnsi="Arial" w:cs="Arial"/>
          <w:i/>
          <w:iCs/>
          <w:sz w:val="20"/>
        </w:rPr>
      </w:pPr>
    </w:p>
    <w:p w14:paraId="79105E3B" w14:textId="77777777" w:rsidR="00D376AD" w:rsidRDefault="00D376AD" w:rsidP="00D376AD">
      <w:pPr>
        <w:pStyle w:val="Prrafodelista"/>
        <w:spacing w:after="200" w:line="276" w:lineRule="auto"/>
        <w:ind w:left="284" w:hanging="360"/>
        <w:jc w:val="both"/>
        <w:rPr>
          <w:rFonts w:ascii="Arial" w:hAnsi="Arial" w:cs="Arial"/>
          <w:i/>
          <w:iCs/>
          <w:sz w:val="20"/>
        </w:rPr>
      </w:pPr>
      <w:r>
        <w:rPr>
          <w:rFonts w:ascii="Arial" w:hAnsi="Arial" w:cs="Arial"/>
          <w:sz w:val="20"/>
        </w:rPr>
        <w:t>-</w:t>
      </w:r>
      <w:r>
        <w:rPr>
          <w:sz w:val="14"/>
          <w:szCs w:val="14"/>
        </w:rPr>
        <w:t xml:space="preserve">       </w:t>
      </w:r>
      <w:r>
        <w:rPr>
          <w:rFonts w:ascii="Arial" w:hAnsi="Arial" w:cs="Arial"/>
          <w:i/>
          <w:iCs/>
          <w:sz w:val="20"/>
        </w:rPr>
        <w:t xml:space="preserve">Otros instrumentos financieros: </w:t>
      </w:r>
      <w:r>
        <w:rPr>
          <w:rFonts w:ascii="Arial" w:hAnsi="Arial" w:cs="Arial"/>
          <w:sz w:val="20"/>
        </w:rPr>
        <w:t>En el caso de activos y pasivos financieros que son líquidos o de un corto plazo de vencimiento, se estima que su valor razonable se asemeja a su valor contable. Este supuesto también se aplica para los depósitos de caja de ahorro, cuentas corrientes y otros.</w:t>
      </w:r>
    </w:p>
    <w:p w14:paraId="6AB742C8" w14:textId="3B835828" w:rsidR="00D376AD" w:rsidRDefault="00FB6019" w:rsidP="00FB6019">
      <w:pPr>
        <w:jc w:val="both"/>
        <w:rPr>
          <w:rFonts w:ascii="Arial" w:hAnsi="Arial" w:cs="Arial"/>
          <w:sz w:val="20"/>
        </w:rPr>
      </w:pPr>
      <w:r>
        <w:rPr>
          <w:rFonts w:ascii="Arial" w:hAnsi="Arial" w:cs="Arial"/>
          <w:sz w:val="20"/>
        </w:rPr>
        <w:t xml:space="preserve">Los siguientes cuadros muestran una comparación entre el valor razonable y el valor contable de los instrumentos financieros no registrados a valor razonable al </w:t>
      </w:r>
      <w:r w:rsidR="00C43BF8">
        <w:rPr>
          <w:rFonts w:ascii="Arial" w:hAnsi="Arial" w:cs="Arial"/>
          <w:sz w:val="20"/>
        </w:rPr>
        <w:t xml:space="preserve">31 de diciembre de </w:t>
      </w:r>
      <w:r w:rsidR="00AE0907">
        <w:rPr>
          <w:rFonts w:ascii="Arial" w:hAnsi="Arial" w:cs="Arial"/>
          <w:sz w:val="20"/>
        </w:rPr>
        <w:t xml:space="preserve">2019 y </w:t>
      </w:r>
      <w:r w:rsidR="00C43BF8">
        <w:rPr>
          <w:rFonts w:ascii="Arial" w:hAnsi="Arial" w:cs="Arial"/>
          <w:sz w:val="20"/>
        </w:rPr>
        <w:t>2018</w:t>
      </w:r>
      <w:r>
        <w:rPr>
          <w:rFonts w:ascii="Arial" w:hAnsi="Arial" w:cs="Arial"/>
          <w:sz w:val="20"/>
        </w:rPr>
        <w:t>:</w:t>
      </w:r>
    </w:p>
    <w:p w14:paraId="3E55931C" w14:textId="77777777" w:rsidR="00FB6019" w:rsidRDefault="00FB6019" w:rsidP="00066653">
      <w:pPr>
        <w:jc w:val="both"/>
        <w:rPr>
          <w:rFonts w:ascii="Arial" w:eastAsia="Calibri" w:hAnsi="Arial" w:cs="Arial"/>
          <w:bCs/>
          <w:sz w:val="20"/>
        </w:rPr>
      </w:pPr>
    </w:p>
    <w:tbl>
      <w:tblPr>
        <w:tblW w:w="9405" w:type="dxa"/>
        <w:jc w:val="center"/>
        <w:tblLayout w:type="fixed"/>
        <w:tblCellMar>
          <w:left w:w="70" w:type="dxa"/>
          <w:right w:w="70" w:type="dxa"/>
        </w:tblCellMar>
        <w:tblLook w:val="04A0" w:firstRow="1" w:lastRow="0" w:firstColumn="1" w:lastColumn="0" w:noHBand="0" w:noVBand="1"/>
      </w:tblPr>
      <w:tblGrid>
        <w:gridCol w:w="4081"/>
        <w:gridCol w:w="1087"/>
        <w:gridCol w:w="1075"/>
        <w:gridCol w:w="177"/>
        <w:gridCol w:w="1000"/>
        <w:gridCol w:w="954"/>
        <w:gridCol w:w="1031"/>
      </w:tblGrid>
      <w:tr w:rsidR="00953E42" w:rsidRPr="00613EB0" w14:paraId="7D9A6F1A" w14:textId="77777777" w:rsidTr="00BE6712">
        <w:trPr>
          <w:trHeight w:val="391"/>
          <w:tblHeader/>
          <w:jc w:val="center"/>
        </w:trPr>
        <w:tc>
          <w:tcPr>
            <w:tcW w:w="4081" w:type="dxa"/>
            <w:tcBorders>
              <w:top w:val="single" w:sz="8" w:space="0" w:color="auto"/>
              <w:left w:val="single" w:sz="8" w:space="0" w:color="auto"/>
              <w:bottom w:val="nil"/>
              <w:right w:val="single" w:sz="4" w:space="0" w:color="auto"/>
            </w:tcBorders>
            <w:shd w:val="clear" w:color="auto" w:fill="auto"/>
            <w:noWrap/>
            <w:vAlign w:val="center"/>
            <w:hideMark/>
          </w:tcPr>
          <w:p w14:paraId="6AC57B41" w14:textId="0DD000AA" w:rsidR="00953E42" w:rsidRPr="00613EB0" w:rsidRDefault="009C5DAE" w:rsidP="009C5DAE">
            <w:pPr>
              <w:jc w:val="center"/>
              <w:rPr>
                <w:rFonts w:ascii="Arial" w:hAnsi="Arial" w:cs="Arial"/>
                <w:b/>
                <w:bCs/>
                <w:i/>
                <w:iCs/>
                <w:sz w:val="16"/>
                <w:szCs w:val="16"/>
                <w:lang w:eastAsia="es-AR"/>
              </w:rPr>
            </w:pPr>
            <w:r w:rsidRPr="00BF746E">
              <w:rPr>
                <w:rFonts w:ascii="Arial" w:hAnsi="Arial" w:cs="Arial"/>
                <w:b/>
                <w:bCs/>
                <w:i/>
                <w:iCs/>
                <w:sz w:val="16"/>
                <w:szCs w:val="16"/>
                <w:lang w:eastAsia="es-AR"/>
              </w:rPr>
              <w:t>3</w:t>
            </w:r>
            <w:r w:rsidR="00AE0907">
              <w:rPr>
                <w:rFonts w:ascii="Arial" w:hAnsi="Arial" w:cs="Arial"/>
                <w:b/>
                <w:bCs/>
                <w:i/>
                <w:iCs/>
                <w:sz w:val="16"/>
                <w:szCs w:val="16"/>
                <w:lang w:eastAsia="es-AR"/>
              </w:rPr>
              <w:t>1</w:t>
            </w:r>
            <w:r w:rsidR="00953E42" w:rsidRPr="00BF746E">
              <w:rPr>
                <w:rFonts w:ascii="Arial" w:hAnsi="Arial" w:cs="Arial"/>
                <w:b/>
                <w:bCs/>
                <w:i/>
                <w:iCs/>
                <w:sz w:val="16"/>
                <w:szCs w:val="16"/>
                <w:lang w:eastAsia="es-AR"/>
              </w:rPr>
              <w:t>-</w:t>
            </w:r>
            <w:r w:rsidR="00AE0907">
              <w:rPr>
                <w:rFonts w:ascii="Arial" w:hAnsi="Arial" w:cs="Arial"/>
                <w:b/>
                <w:bCs/>
                <w:i/>
                <w:iCs/>
                <w:sz w:val="16"/>
                <w:szCs w:val="16"/>
                <w:lang w:eastAsia="es-AR"/>
              </w:rPr>
              <w:t>12</w:t>
            </w:r>
            <w:r w:rsidR="00953E42" w:rsidRPr="00BF746E">
              <w:rPr>
                <w:rFonts w:ascii="Arial" w:hAnsi="Arial" w:cs="Arial"/>
                <w:b/>
                <w:bCs/>
                <w:i/>
                <w:iCs/>
                <w:sz w:val="16"/>
                <w:szCs w:val="16"/>
                <w:lang w:eastAsia="es-AR"/>
              </w:rPr>
              <w:t>-2019</w:t>
            </w:r>
          </w:p>
        </w:tc>
        <w:tc>
          <w:tcPr>
            <w:tcW w:w="1087" w:type="dxa"/>
            <w:tcBorders>
              <w:top w:val="single" w:sz="8" w:space="0" w:color="auto"/>
              <w:left w:val="nil"/>
              <w:bottom w:val="nil"/>
              <w:right w:val="single" w:sz="4" w:space="0" w:color="auto"/>
            </w:tcBorders>
            <w:shd w:val="clear" w:color="auto" w:fill="auto"/>
            <w:vAlign w:val="center"/>
            <w:hideMark/>
          </w:tcPr>
          <w:p w14:paraId="351666F9" w14:textId="77777777" w:rsidR="00953E42" w:rsidRPr="00613EB0" w:rsidRDefault="00953E42" w:rsidP="00953E42">
            <w:pPr>
              <w:jc w:val="center"/>
              <w:rPr>
                <w:rFonts w:ascii="Arial" w:hAnsi="Arial" w:cs="Arial"/>
                <w:b/>
                <w:bCs/>
                <w:sz w:val="16"/>
                <w:szCs w:val="16"/>
                <w:lang w:eastAsia="es-AR"/>
              </w:rPr>
            </w:pPr>
            <w:r w:rsidRPr="00613EB0">
              <w:rPr>
                <w:rFonts w:ascii="Arial" w:hAnsi="Arial" w:cs="Arial"/>
                <w:b/>
                <w:bCs/>
                <w:sz w:val="16"/>
                <w:szCs w:val="16"/>
                <w:lang w:eastAsia="es-AR"/>
              </w:rPr>
              <w:t>Valor contable</w:t>
            </w:r>
          </w:p>
        </w:tc>
        <w:tc>
          <w:tcPr>
            <w:tcW w:w="1075" w:type="dxa"/>
            <w:tcBorders>
              <w:top w:val="single" w:sz="8" w:space="0" w:color="auto"/>
              <w:left w:val="nil"/>
              <w:bottom w:val="nil"/>
              <w:right w:val="single" w:sz="4" w:space="0" w:color="auto"/>
            </w:tcBorders>
            <w:shd w:val="clear" w:color="auto" w:fill="auto"/>
            <w:vAlign w:val="center"/>
            <w:hideMark/>
          </w:tcPr>
          <w:p w14:paraId="3779354D" w14:textId="77777777" w:rsidR="00953E42" w:rsidRPr="00613EB0" w:rsidRDefault="00953E42" w:rsidP="00953E42">
            <w:pPr>
              <w:jc w:val="center"/>
              <w:rPr>
                <w:rFonts w:ascii="Arial" w:hAnsi="Arial" w:cs="Arial"/>
                <w:b/>
                <w:bCs/>
                <w:sz w:val="16"/>
                <w:szCs w:val="16"/>
                <w:lang w:eastAsia="es-AR"/>
              </w:rPr>
            </w:pPr>
            <w:r w:rsidRPr="00613EB0">
              <w:rPr>
                <w:rFonts w:ascii="Arial" w:hAnsi="Arial" w:cs="Arial"/>
                <w:b/>
                <w:bCs/>
                <w:sz w:val="16"/>
                <w:szCs w:val="16"/>
                <w:lang w:eastAsia="es-AR"/>
              </w:rPr>
              <w:t>Valor razonable</w:t>
            </w:r>
          </w:p>
        </w:tc>
        <w:tc>
          <w:tcPr>
            <w:tcW w:w="177" w:type="dxa"/>
            <w:tcBorders>
              <w:top w:val="single" w:sz="8" w:space="0" w:color="auto"/>
              <w:left w:val="nil"/>
              <w:bottom w:val="nil"/>
              <w:right w:val="single" w:sz="4" w:space="0" w:color="auto"/>
            </w:tcBorders>
            <w:shd w:val="clear" w:color="auto" w:fill="auto"/>
            <w:vAlign w:val="center"/>
            <w:hideMark/>
          </w:tcPr>
          <w:p w14:paraId="3FFE9274" w14:textId="77777777" w:rsidR="00953E42" w:rsidRPr="00613EB0" w:rsidRDefault="00953E42" w:rsidP="00953E42">
            <w:pPr>
              <w:jc w:val="center"/>
              <w:rPr>
                <w:rFonts w:ascii="Arial" w:hAnsi="Arial" w:cs="Arial"/>
                <w:b/>
                <w:bCs/>
                <w:sz w:val="16"/>
                <w:szCs w:val="16"/>
                <w:lang w:eastAsia="es-AR"/>
              </w:rPr>
            </w:pPr>
            <w:r w:rsidRPr="00613EB0">
              <w:rPr>
                <w:rFonts w:ascii="Arial" w:hAnsi="Arial" w:cs="Arial"/>
                <w:b/>
                <w:bCs/>
                <w:sz w:val="16"/>
                <w:szCs w:val="16"/>
                <w:lang w:eastAsia="es-AR"/>
              </w:rPr>
              <w:t> </w:t>
            </w:r>
          </w:p>
        </w:tc>
        <w:tc>
          <w:tcPr>
            <w:tcW w:w="1000" w:type="dxa"/>
            <w:tcBorders>
              <w:top w:val="single" w:sz="8" w:space="0" w:color="auto"/>
              <w:left w:val="nil"/>
              <w:bottom w:val="nil"/>
              <w:right w:val="single" w:sz="4" w:space="0" w:color="auto"/>
            </w:tcBorders>
            <w:shd w:val="clear" w:color="auto" w:fill="auto"/>
            <w:vAlign w:val="center"/>
            <w:hideMark/>
          </w:tcPr>
          <w:p w14:paraId="244550EC" w14:textId="77777777" w:rsidR="00953E42" w:rsidRPr="00613EB0" w:rsidRDefault="00953E42" w:rsidP="00953E42">
            <w:pPr>
              <w:jc w:val="center"/>
              <w:rPr>
                <w:rFonts w:ascii="Arial" w:hAnsi="Arial" w:cs="Arial"/>
                <w:b/>
                <w:bCs/>
                <w:sz w:val="16"/>
                <w:szCs w:val="16"/>
                <w:lang w:eastAsia="es-AR"/>
              </w:rPr>
            </w:pPr>
            <w:r w:rsidRPr="00613EB0">
              <w:rPr>
                <w:rFonts w:ascii="Arial" w:hAnsi="Arial" w:cs="Arial"/>
                <w:b/>
                <w:bCs/>
                <w:sz w:val="16"/>
                <w:szCs w:val="16"/>
                <w:lang w:eastAsia="es-AR"/>
              </w:rPr>
              <w:t>VR Nivel 1</w:t>
            </w:r>
          </w:p>
        </w:tc>
        <w:tc>
          <w:tcPr>
            <w:tcW w:w="954" w:type="dxa"/>
            <w:tcBorders>
              <w:top w:val="single" w:sz="8" w:space="0" w:color="auto"/>
              <w:left w:val="nil"/>
              <w:bottom w:val="nil"/>
              <w:right w:val="single" w:sz="4" w:space="0" w:color="auto"/>
            </w:tcBorders>
            <w:shd w:val="clear" w:color="auto" w:fill="auto"/>
            <w:vAlign w:val="center"/>
            <w:hideMark/>
          </w:tcPr>
          <w:p w14:paraId="123E2CFA" w14:textId="77777777" w:rsidR="00953E42" w:rsidRPr="00613EB0" w:rsidRDefault="00953E42" w:rsidP="00953E42">
            <w:pPr>
              <w:jc w:val="center"/>
              <w:rPr>
                <w:rFonts w:ascii="Arial" w:hAnsi="Arial" w:cs="Arial"/>
                <w:b/>
                <w:bCs/>
                <w:sz w:val="16"/>
                <w:szCs w:val="16"/>
                <w:lang w:eastAsia="es-AR"/>
              </w:rPr>
            </w:pPr>
            <w:r w:rsidRPr="00613EB0">
              <w:rPr>
                <w:rFonts w:ascii="Arial" w:hAnsi="Arial" w:cs="Arial"/>
                <w:b/>
                <w:bCs/>
                <w:sz w:val="16"/>
                <w:szCs w:val="16"/>
                <w:lang w:eastAsia="es-AR"/>
              </w:rPr>
              <w:t>VR Nivel 2</w:t>
            </w:r>
          </w:p>
        </w:tc>
        <w:tc>
          <w:tcPr>
            <w:tcW w:w="1031" w:type="dxa"/>
            <w:tcBorders>
              <w:top w:val="single" w:sz="8" w:space="0" w:color="auto"/>
              <w:left w:val="nil"/>
              <w:bottom w:val="nil"/>
              <w:right w:val="single" w:sz="8" w:space="0" w:color="auto"/>
            </w:tcBorders>
            <w:shd w:val="clear" w:color="auto" w:fill="auto"/>
            <w:vAlign w:val="center"/>
            <w:hideMark/>
          </w:tcPr>
          <w:p w14:paraId="765031FB" w14:textId="77777777" w:rsidR="00953E42" w:rsidRPr="00613EB0" w:rsidRDefault="00953E42" w:rsidP="00953E42">
            <w:pPr>
              <w:jc w:val="center"/>
              <w:rPr>
                <w:rFonts w:ascii="Arial" w:hAnsi="Arial" w:cs="Arial"/>
                <w:b/>
                <w:bCs/>
                <w:sz w:val="16"/>
                <w:szCs w:val="16"/>
                <w:lang w:eastAsia="es-AR"/>
              </w:rPr>
            </w:pPr>
            <w:r w:rsidRPr="00613EB0">
              <w:rPr>
                <w:rFonts w:ascii="Arial" w:hAnsi="Arial" w:cs="Arial"/>
                <w:b/>
                <w:bCs/>
                <w:sz w:val="16"/>
                <w:szCs w:val="16"/>
                <w:lang w:eastAsia="es-AR"/>
              </w:rPr>
              <w:t>VR Nivel 3</w:t>
            </w:r>
          </w:p>
        </w:tc>
      </w:tr>
      <w:tr w:rsidR="00953E42" w:rsidRPr="00613EB0" w14:paraId="42B32C3A" w14:textId="77777777" w:rsidTr="00BE6712">
        <w:trPr>
          <w:trHeight w:val="248"/>
          <w:jc w:val="center"/>
        </w:trPr>
        <w:tc>
          <w:tcPr>
            <w:tcW w:w="4081"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28A541A4" w14:textId="77777777" w:rsidR="00953E42" w:rsidRPr="00613EB0" w:rsidRDefault="00953E42" w:rsidP="00953E42">
            <w:pPr>
              <w:rPr>
                <w:rFonts w:ascii="Arial" w:hAnsi="Arial" w:cs="Arial"/>
                <w:b/>
                <w:bCs/>
                <w:i/>
                <w:iCs/>
                <w:sz w:val="16"/>
                <w:szCs w:val="16"/>
                <w:lang w:eastAsia="es-AR"/>
              </w:rPr>
            </w:pPr>
            <w:r w:rsidRPr="00613EB0">
              <w:rPr>
                <w:rFonts w:ascii="Arial" w:hAnsi="Arial" w:cs="Arial"/>
                <w:b/>
                <w:bCs/>
                <w:i/>
                <w:iCs/>
                <w:sz w:val="16"/>
                <w:szCs w:val="16"/>
                <w:lang w:eastAsia="es-AR"/>
              </w:rPr>
              <w:t>Activos Financieros</w:t>
            </w:r>
          </w:p>
        </w:tc>
        <w:tc>
          <w:tcPr>
            <w:tcW w:w="1087" w:type="dxa"/>
            <w:tcBorders>
              <w:top w:val="single" w:sz="8" w:space="0" w:color="auto"/>
              <w:left w:val="nil"/>
              <w:bottom w:val="single" w:sz="8" w:space="0" w:color="auto"/>
              <w:right w:val="single" w:sz="4" w:space="0" w:color="auto"/>
            </w:tcBorders>
            <w:shd w:val="clear" w:color="000000" w:fill="EDEDED"/>
            <w:vAlign w:val="center"/>
            <w:hideMark/>
          </w:tcPr>
          <w:p w14:paraId="66D3FA88"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75" w:type="dxa"/>
            <w:tcBorders>
              <w:top w:val="single" w:sz="8" w:space="0" w:color="auto"/>
              <w:left w:val="nil"/>
              <w:bottom w:val="single" w:sz="8" w:space="0" w:color="auto"/>
              <w:right w:val="single" w:sz="4" w:space="0" w:color="auto"/>
            </w:tcBorders>
            <w:shd w:val="clear" w:color="000000" w:fill="EDEDED"/>
            <w:vAlign w:val="center"/>
            <w:hideMark/>
          </w:tcPr>
          <w:p w14:paraId="6D3F17F5"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77" w:type="dxa"/>
            <w:tcBorders>
              <w:top w:val="single" w:sz="8" w:space="0" w:color="auto"/>
              <w:left w:val="nil"/>
              <w:bottom w:val="single" w:sz="8" w:space="0" w:color="auto"/>
              <w:right w:val="single" w:sz="4" w:space="0" w:color="auto"/>
            </w:tcBorders>
            <w:shd w:val="clear" w:color="000000" w:fill="EDEDED"/>
            <w:vAlign w:val="center"/>
            <w:hideMark/>
          </w:tcPr>
          <w:p w14:paraId="28870911"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00" w:type="dxa"/>
            <w:tcBorders>
              <w:top w:val="single" w:sz="8" w:space="0" w:color="auto"/>
              <w:left w:val="nil"/>
              <w:bottom w:val="single" w:sz="8" w:space="0" w:color="auto"/>
              <w:right w:val="single" w:sz="4" w:space="0" w:color="auto"/>
            </w:tcBorders>
            <w:shd w:val="clear" w:color="000000" w:fill="EDEDED"/>
            <w:vAlign w:val="center"/>
            <w:hideMark/>
          </w:tcPr>
          <w:p w14:paraId="5F739CC7"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954" w:type="dxa"/>
            <w:tcBorders>
              <w:top w:val="single" w:sz="8" w:space="0" w:color="auto"/>
              <w:left w:val="nil"/>
              <w:bottom w:val="single" w:sz="8" w:space="0" w:color="auto"/>
              <w:right w:val="single" w:sz="4" w:space="0" w:color="auto"/>
            </w:tcBorders>
            <w:shd w:val="clear" w:color="000000" w:fill="EDEDED"/>
            <w:vAlign w:val="center"/>
            <w:hideMark/>
          </w:tcPr>
          <w:p w14:paraId="715262B2"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31" w:type="dxa"/>
            <w:tcBorders>
              <w:top w:val="single" w:sz="8" w:space="0" w:color="auto"/>
              <w:left w:val="nil"/>
              <w:bottom w:val="single" w:sz="8" w:space="0" w:color="auto"/>
              <w:right w:val="single" w:sz="8" w:space="0" w:color="auto"/>
            </w:tcBorders>
            <w:shd w:val="clear" w:color="000000" w:fill="EDEDED"/>
            <w:vAlign w:val="center"/>
            <w:hideMark/>
          </w:tcPr>
          <w:p w14:paraId="00A12FCB" w14:textId="77777777" w:rsidR="00953E42" w:rsidRPr="00613EB0" w:rsidRDefault="00953E42" w:rsidP="00953E42">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r>
      <w:tr w:rsidR="008347FD" w:rsidRPr="000B2F8E" w14:paraId="7319FFE3" w14:textId="77777777" w:rsidTr="008347FD">
        <w:trPr>
          <w:trHeight w:val="236"/>
          <w:jc w:val="center"/>
        </w:trPr>
        <w:tc>
          <w:tcPr>
            <w:tcW w:w="4081" w:type="dxa"/>
            <w:tcBorders>
              <w:top w:val="nil"/>
              <w:left w:val="single" w:sz="8" w:space="0" w:color="auto"/>
              <w:bottom w:val="single" w:sz="4" w:space="0" w:color="auto"/>
              <w:right w:val="single" w:sz="4" w:space="0" w:color="auto"/>
            </w:tcBorders>
            <w:shd w:val="clear" w:color="auto" w:fill="auto"/>
            <w:noWrap/>
            <w:vAlign w:val="center"/>
            <w:hideMark/>
          </w:tcPr>
          <w:p w14:paraId="6EB490B9" w14:textId="77777777" w:rsidR="008347FD" w:rsidRPr="00613EB0" w:rsidRDefault="008347FD" w:rsidP="008347FD">
            <w:pPr>
              <w:rPr>
                <w:rFonts w:ascii="Arial" w:hAnsi="Arial" w:cs="Arial"/>
                <w:color w:val="000000"/>
                <w:sz w:val="16"/>
                <w:szCs w:val="16"/>
                <w:lang w:eastAsia="es-AR"/>
              </w:rPr>
            </w:pPr>
            <w:r w:rsidRPr="00613EB0">
              <w:rPr>
                <w:rFonts w:ascii="Arial" w:hAnsi="Arial" w:cs="Arial"/>
                <w:color w:val="000000"/>
                <w:sz w:val="16"/>
                <w:szCs w:val="16"/>
                <w:lang w:eastAsia="es-AR"/>
              </w:rPr>
              <w:t>- Efectivo y depósitos en Bancos</w:t>
            </w:r>
          </w:p>
        </w:tc>
        <w:tc>
          <w:tcPr>
            <w:tcW w:w="1087" w:type="dxa"/>
            <w:tcBorders>
              <w:top w:val="nil"/>
              <w:left w:val="nil"/>
              <w:bottom w:val="single" w:sz="4" w:space="0" w:color="auto"/>
              <w:right w:val="single" w:sz="4" w:space="0" w:color="auto"/>
            </w:tcBorders>
            <w:shd w:val="clear" w:color="auto" w:fill="auto"/>
            <w:noWrap/>
            <w:vAlign w:val="bottom"/>
          </w:tcPr>
          <w:p w14:paraId="202104D7" w14:textId="2B9A9AB6"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25.803.120</w:t>
            </w:r>
          </w:p>
        </w:tc>
        <w:tc>
          <w:tcPr>
            <w:tcW w:w="1075" w:type="dxa"/>
            <w:tcBorders>
              <w:top w:val="nil"/>
              <w:left w:val="nil"/>
              <w:bottom w:val="single" w:sz="4" w:space="0" w:color="auto"/>
              <w:right w:val="single" w:sz="4" w:space="0" w:color="auto"/>
            </w:tcBorders>
            <w:shd w:val="clear" w:color="auto" w:fill="auto"/>
            <w:vAlign w:val="bottom"/>
          </w:tcPr>
          <w:p w14:paraId="2DC37ADB" w14:textId="2EDC0A92"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25.803.120</w:t>
            </w:r>
          </w:p>
        </w:tc>
        <w:tc>
          <w:tcPr>
            <w:tcW w:w="177" w:type="dxa"/>
            <w:tcBorders>
              <w:top w:val="nil"/>
              <w:left w:val="nil"/>
              <w:bottom w:val="single" w:sz="4" w:space="0" w:color="auto"/>
              <w:right w:val="single" w:sz="4" w:space="0" w:color="auto"/>
            </w:tcBorders>
            <w:shd w:val="clear" w:color="auto" w:fill="auto"/>
            <w:vAlign w:val="bottom"/>
          </w:tcPr>
          <w:p w14:paraId="3F4CF9BA" w14:textId="4A8E59F5" w:rsidR="008347FD" w:rsidRPr="008347FD" w:rsidRDefault="008347FD" w:rsidP="008347FD">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vAlign w:val="bottom"/>
          </w:tcPr>
          <w:p w14:paraId="07152A11" w14:textId="5E5274CC"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25.803.120</w:t>
            </w:r>
          </w:p>
        </w:tc>
        <w:tc>
          <w:tcPr>
            <w:tcW w:w="954" w:type="dxa"/>
            <w:tcBorders>
              <w:top w:val="nil"/>
              <w:left w:val="nil"/>
              <w:bottom w:val="single" w:sz="4" w:space="0" w:color="auto"/>
              <w:right w:val="single" w:sz="4" w:space="0" w:color="auto"/>
            </w:tcBorders>
            <w:shd w:val="clear" w:color="auto" w:fill="auto"/>
            <w:vAlign w:val="bottom"/>
          </w:tcPr>
          <w:p w14:paraId="51FB8B51" w14:textId="680BD9FF"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1031" w:type="dxa"/>
            <w:tcBorders>
              <w:top w:val="nil"/>
              <w:left w:val="nil"/>
              <w:bottom w:val="single" w:sz="4" w:space="0" w:color="auto"/>
              <w:right w:val="single" w:sz="8" w:space="0" w:color="auto"/>
            </w:tcBorders>
            <w:shd w:val="clear" w:color="auto" w:fill="auto"/>
            <w:vAlign w:val="bottom"/>
          </w:tcPr>
          <w:p w14:paraId="3A1C84A8" w14:textId="6BECA431"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r>
      <w:tr w:rsidR="008347FD" w:rsidRPr="000B2F8E" w14:paraId="740AC957" w14:textId="77777777" w:rsidTr="008347FD">
        <w:trPr>
          <w:trHeight w:val="236"/>
          <w:jc w:val="center"/>
        </w:trPr>
        <w:tc>
          <w:tcPr>
            <w:tcW w:w="4081" w:type="dxa"/>
            <w:tcBorders>
              <w:top w:val="nil"/>
              <w:left w:val="single" w:sz="8" w:space="0" w:color="auto"/>
              <w:bottom w:val="single" w:sz="4" w:space="0" w:color="auto"/>
              <w:right w:val="single" w:sz="4" w:space="0" w:color="auto"/>
            </w:tcBorders>
            <w:shd w:val="clear" w:color="auto" w:fill="auto"/>
            <w:noWrap/>
            <w:vAlign w:val="center"/>
          </w:tcPr>
          <w:p w14:paraId="73553D1B" w14:textId="4399EDD6" w:rsidR="008347FD" w:rsidRPr="00613EB0" w:rsidRDefault="008347FD" w:rsidP="008347FD">
            <w:pPr>
              <w:rPr>
                <w:rFonts w:ascii="Arial" w:hAnsi="Arial" w:cs="Arial"/>
                <w:color w:val="000000"/>
                <w:sz w:val="16"/>
                <w:szCs w:val="16"/>
                <w:lang w:eastAsia="es-AR"/>
              </w:rPr>
            </w:pPr>
            <w:r w:rsidRPr="007228CD">
              <w:rPr>
                <w:rFonts w:ascii="Arial" w:hAnsi="Arial" w:cs="Arial"/>
                <w:color w:val="000000"/>
                <w:sz w:val="16"/>
                <w:szCs w:val="16"/>
                <w:lang w:eastAsia="es-AR"/>
              </w:rPr>
              <w:t>-</w:t>
            </w:r>
            <w:r>
              <w:rPr>
                <w:rFonts w:ascii="Arial" w:hAnsi="Arial" w:cs="Arial"/>
                <w:color w:val="000000"/>
                <w:sz w:val="16"/>
                <w:szCs w:val="16"/>
                <w:lang w:eastAsia="es-AR"/>
              </w:rPr>
              <w:t xml:space="preserve"> </w:t>
            </w:r>
            <w:r w:rsidRPr="00613EB0">
              <w:rPr>
                <w:rFonts w:ascii="Arial" w:hAnsi="Arial" w:cs="Arial"/>
                <w:color w:val="000000"/>
                <w:sz w:val="16"/>
                <w:szCs w:val="16"/>
                <w:lang w:eastAsia="es-AR"/>
              </w:rPr>
              <w:t>Otros activos financieros</w:t>
            </w:r>
            <w:r w:rsidRPr="007228CD" w:rsidDel="00E469A2">
              <w:rPr>
                <w:rFonts w:ascii="Arial" w:hAnsi="Arial" w:cs="Arial"/>
                <w:color w:val="000000"/>
                <w:sz w:val="16"/>
                <w:szCs w:val="16"/>
                <w:lang w:eastAsia="es-AR"/>
              </w:rPr>
              <w:t xml:space="preserve"> </w:t>
            </w:r>
          </w:p>
        </w:tc>
        <w:tc>
          <w:tcPr>
            <w:tcW w:w="1087" w:type="dxa"/>
            <w:tcBorders>
              <w:top w:val="nil"/>
              <w:left w:val="nil"/>
              <w:bottom w:val="single" w:sz="4" w:space="0" w:color="auto"/>
              <w:right w:val="single" w:sz="4" w:space="0" w:color="auto"/>
            </w:tcBorders>
            <w:shd w:val="clear" w:color="auto" w:fill="auto"/>
            <w:noWrap/>
            <w:vAlign w:val="bottom"/>
          </w:tcPr>
          <w:p w14:paraId="28163084" w14:textId="430303E3" w:rsidR="008347FD" w:rsidRPr="008347FD" w:rsidRDefault="008347FD" w:rsidP="008347FD">
            <w:pPr>
              <w:jc w:val="right"/>
              <w:rPr>
                <w:rFonts w:ascii="Arial" w:hAnsi="Arial" w:cs="Arial"/>
                <w:sz w:val="16"/>
                <w:szCs w:val="16"/>
              </w:rPr>
            </w:pPr>
            <w:r w:rsidRPr="008347FD">
              <w:rPr>
                <w:rFonts w:ascii="Arial" w:hAnsi="Arial" w:cs="Arial"/>
                <w:color w:val="000000"/>
                <w:sz w:val="16"/>
                <w:szCs w:val="16"/>
              </w:rPr>
              <w:t>772.180</w:t>
            </w:r>
          </w:p>
        </w:tc>
        <w:tc>
          <w:tcPr>
            <w:tcW w:w="1075" w:type="dxa"/>
            <w:tcBorders>
              <w:top w:val="nil"/>
              <w:left w:val="nil"/>
              <w:bottom w:val="single" w:sz="4" w:space="0" w:color="auto"/>
              <w:right w:val="single" w:sz="4" w:space="0" w:color="auto"/>
            </w:tcBorders>
            <w:shd w:val="clear" w:color="auto" w:fill="auto"/>
            <w:vAlign w:val="bottom"/>
          </w:tcPr>
          <w:p w14:paraId="76500D98" w14:textId="053FB0A6" w:rsidR="008347FD" w:rsidRPr="008347FD" w:rsidRDefault="008347FD" w:rsidP="008347FD">
            <w:pPr>
              <w:jc w:val="right"/>
              <w:rPr>
                <w:rFonts w:ascii="Arial" w:hAnsi="Arial" w:cs="Arial"/>
                <w:sz w:val="16"/>
                <w:szCs w:val="16"/>
              </w:rPr>
            </w:pPr>
            <w:r w:rsidRPr="008347FD">
              <w:rPr>
                <w:rFonts w:ascii="Arial" w:hAnsi="Arial" w:cs="Arial"/>
                <w:color w:val="000000"/>
                <w:sz w:val="16"/>
                <w:szCs w:val="16"/>
              </w:rPr>
              <w:t>772.180</w:t>
            </w:r>
          </w:p>
        </w:tc>
        <w:tc>
          <w:tcPr>
            <w:tcW w:w="177" w:type="dxa"/>
            <w:tcBorders>
              <w:top w:val="nil"/>
              <w:left w:val="nil"/>
              <w:bottom w:val="single" w:sz="4" w:space="0" w:color="auto"/>
              <w:right w:val="single" w:sz="4" w:space="0" w:color="auto"/>
            </w:tcBorders>
            <w:shd w:val="clear" w:color="auto" w:fill="auto"/>
            <w:vAlign w:val="bottom"/>
          </w:tcPr>
          <w:p w14:paraId="782671A8" w14:textId="77687996" w:rsidR="008347FD" w:rsidRPr="008347FD" w:rsidRDefault="008347FD" w:rsidP="008347FD">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vAlign w:val="bottom"/>
          </w:tcPr>
          <w:p w14:paraId="75E33A88" w14:textId="64FE6BEC" w:rsidR="008347FD" w:rsidRPr="008347FD" w:rsidRDefault="008347FD" w:rsidP="008347FD">
            <w:pPr>
              <w:jc w:val="right"/>
              <w:rPr>
                <w:rFonts w:ascii="Arial" w:hAnsi="Arial" w:cs="Arial"/>
                <w:sz w:val="16"/>
                <w:szCs w:val="16"/>
              </w:rPr>
            </w:pPr>
            <w:r w:rsidRPr="008347FD">
              <w:rPr>
                <w:rFonts w:ascii="Arial" w:hAnsi="Arial" w:cs="Arial"/>
                <w:color w:val="000000"/>
                <w:sz w:val="16"/>
                <w:szCs w:val="16"/>
              </w:rPr>
              <w:t>772.180</w:t>
            </w:r>
          </w:p>
        </w:tc>
        <w:tc>
          <w:tcPr>
            <w:tcW w:w="954" w:type="dxa"/>
            <w:tcBorders>
              <w:top w:val="nil"/>
              <w:left w:val="nil"/>
              <w:bottom w:val="single" w:sz="4" w:space="0" w:color="auto"/>
              <w:right w:val="single" w:sz="4" w:space="0" w:color="auto"/>
            </w:tcBorders>
            <w:shd w:val="clear" w:color="auto" w:fill="auto"/>
            <w:vAlign w:val="bottom"/>
          </w:tcPr>
          <w:p w14:paraId="29496107" w14:textId="1DCAA673"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1031" w:type="dxa"/>
            <w:tcBorders>
              <w:top w:val="nil"/>
              <w:left w:val="nil"/>
              <w:bottom w:val="single" w:sz="4" w:space="0" w:color="auto"/>
              <w:right w:val="single" w:sz="8" w:space="0" w:color="auto"/>
            </w:tcBorders>
            <w:shd w:val="clear" w:color="auto" w:fill="auto"/>
            <w:vAlign w:val="bottom"/>
          </w:tcPr>
          <w:p w14:paraId="7F1C197D" w14:textId="448A50B6"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r>
      <w:tr w:rsidR="008347FD" w:rsidRPr="000B2F8E" w14:paraId="014112AF" w14:textId="77777777" w:rsidTr="008347FD">
        <w:trPr>
          <w:trHeight w:val="236"/>
          <w:jc w:val="center"/>
        </w:trPr>
        <w:tc>
          <w:tcPr>
            <w:tcW w:w="4081" w:type="dxa"/>
            <w:tcBorders>
              <w:top w:val="nil"/>
              <w:left w:val="single" w:sz="8" w:space="0" w:color="auto"/>
              <w:bottom w:val="single" w:sz="4" w:space="0" w:color="auto"/>
              <w:right w:val="single" w:sz="4" w:space="0" w:color="auto"/>
            </w:tcBorders>
            <w:shd w:val="clear" w:color="auto" w:fill="auto"/>
            <w:noWrap/>
            <w:vAlign w:val="center"/>
            <w:hideMark/>
          </w:tcPr>
          <w:p w14:paraId="18CE43B6" w14:textId="1B373C10" w:rsidR="008347FD" w:rsidRPr="00613EB0" w:rsidRDefault="008347FD" w:rsidP="008347FD">
            <w:pPr>
              <w:rPr>
                <w:rFonts w:ascii="Arial" w:hAnsi="Arial" w:cs="Arial"/>
                <w:color w:val="000000"/>
                <w:sz w:val="16"/>
                <w:szCs w:val="16"/>
                <w:lang w:eastAsia="es-AR"/>
              </w:rPr>
            </w:pPr>
            <w:r w:rsidRPr="00613EB0">
              <w:rPr>
                <w:rFonts w:ascii="Arial" w:hAnsi="Arial" w:cs="Arial"/>
                <w:color w:val="000000"/>
                <w:sz w:val="16"/>
                <w:szCs w:val="16"/>
                <w:lang w:eastAsia="es-AR"/>
              </w:rPr>
              <w:t>-</w:t>
            </w:r>
            <w:r>
              <w:rPr>
                <w:rFonts w:ascii="Arial" w:hAnsi="Arial" w:cs="Arial"/>
                <w:color w:val="000000"/>
                <w:sz w:val="16"/>
                <w:szCs w:val="16"/>
                <w:lang w:eastAsia="es-AR"/>
              </w:rPr>
              <w:t xml:space="preserve"> </w:t>
            </w:r>
            <w:r w:rsidRPr="00613EB0">
              <w:rPr>
                <w:rFonts w:ascii="Arial" w:hAnsi="Arial" w:cs="Arial"/>
                <w:color w:val="000000"/>
                <w:sz w:val="16"/>
                <w:szCs w:val="16"/>
                <w:lang w:eastAsia="es-AR"/>
              </w:rPr>
              <w:t xml:space="preserve">Préstamos y otras financiaciones </w:t>
            </w:r>
          </w:p>
        </w:tc>
        <w:tc>
          <w:tcPr>
            <w:tcW w:w="1087" w:type="dxa"/>
            <w:tcBorders>
              <w:top w:val="nil"/>
              <w:left w:val="nil"/>
              <w:bottom w:val="single" w:sz="4" w:space="0" w:color="auto"/>
              <w:right w:val="single" w:sz="4" w:space="0" w:color="auto"/>
            </w:tcBorders>
            <w:shd w:val="clear" w:color="auto" w:fill="auto"/>
            <w:noWrap/>
            <w:vAlign w:val="bottom"/>
          </w:tcPr>
          <w:p w14:paraId="3C08516B" w14:textId="0BB42AEC"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88.381.949</w:t>
            </w:r>
          </w:p>
        </w:tc>
        <w:tc>
          <w:tcPr>
            <w:tcW w:w="1075" w:type="dxa"/>
            <w:tcBorders>
              <w:top w:val="nil"/>
              <w:left w:val="nil"/>
              <w:bottom w:val="single" w:sz="4" w:space="0" w:color="auto"/>
              <w:right w:val="single" w:sz="4" w:space="0" w:color="auto"/>
            </w:tcBorders>
            <w:shd w:val="clear" w:color="auto" w:fill="auto"/>
            <w:vAlign w:val="bottom"/>
          </w:tcPr>
          <w:p w14:paraId="26284778" w14:textId="294B5BFD"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91.961.014</w:t>
            </w:r>
          </w:p>
        </w:tc>
        <w:tc>
          <w:tcPr>
            <w:tcW w:w="177" w:type="dxa"/>
            <w:tcBorders>
              <w:top w:val="nil"/>
              <w:left w:val="nil"/>
              <w:bottom w:val="single" w:sz="4" w:space="0" w:color="auto"/>
              <w:right w:val="single" w:sz="4" w:space="0" w:color="auto"/>
            </w:tcBorders>
            <w:shd w:val="clear" w:color="auto" w:fill="auto"/>
            <w:vAlign w:val="bottom"/>
          </w:tcPr>
          <w:p w14:paraId="724A9903" w14:textId="4B14B11B" w:rsidR="008347FD" w:rsidRPr="008347FD" w:rsidRDefault="008347FD" w:rsidP="008347FD">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vAlign w:val="bottom"/>
          </w:tcPr>
          <w:p w14:paraId="32DD00CD" w14:textId="3C860CB7"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954" w:type="dxa"/>
            <w:tcBorders>
              <w:top w:val="nil"/>
              <w:left w:val="nil"/>
              <w:bottom w:val="single" w:sz="4" w:space="0" w:color="auto"/>
              <w:right w:val="single" w:sz="4" w:space="0" w:color="auto"/>
            </w:tcBorders>
            <w:shd w:val="clear" w:color="auto" w:fill="auto"/>
            <w:vAlign w:val="bottom"/>
          </w:tcPr>
          <w:p w14:paraId="637483EC" w14:textId="6505E0C4"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1031" w:type="dxa"/>
            <w:tcBorders>
              <w:top w:val="nil"/>
              <w:left w:val="nil"/>
              <w:bottom w:val="single" w:sz="4" w:space="0" w:color="auto"/>
              <w:right w:val="single" w:sz="8" w:space="0" w:color="auto"/>
            </w:tcBorders>
            <w:shd w:val="clear" w:color="auto" w:fill="auto"/>
            <w:vAlign w:val="bottom"/>
          </w:tcPr>
          <w:p w14:paraId="07F5F192" w14:textId="0A785764"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91.961.014</w:t>
            </w:r>
          </w:p>
        </w:tc>
      </w:tr>
      <w:tr w:rsidR="008347FD" w:rsidRPr="000B2F8E" w14:paraId="5BA8F75F" w14:textId="77777777" w:rsidTr="008347FD">
        <w:trPr>
          <w:trHeight w:val="236"/>
          <w:jc w:val="center"/>
        </w:trPr>
        <w:tc>
          <w:tcPr>
            <w:tcW w:w="4081" w:type="dxa"/>
            <w:tcBorders>
              <w:top w:val="nil"/>
              <w:left w:val="single" w:sz="8" w:space="0" w:color="auto"/>
              <w:bottom w:val="single" w:sz="4" w:space="0" w:color="auto"/>
              <w:right w:val="single" w:sz="4" w:space="0" w:color="auto"/>
            </w:tcBorders>
            <w:shd w:val="clear" w:color="auto" w:fill="auto"/>
            <w:noWrap/>
            <w:vAlign w:val="center"/>
            <w:hideMark/>
          </w:tcPr>
          <w:p w14:paraId="3876703B" w14:textId="77777777" w:rsidR="008347FD" w:rsidRPr="00613EB0" w:rsidRDefault="008347FD" w:rsidP="008347FD">
            <w:pPr>
              <w:rPr>
                <w:rFonts w:ascii="Arial" w:hAnsi="Arial" w:cs="Arial"/>
                <w:color w:val="000000"/>
                <w:sz w:val="16"/>
                <w:szCs w:val="16"/>
                <w:lang w:eastAsia="es-AR"/>
              </w:rPr>
            </w:pPr>
            <w:r w:rsidRPr="00613EB0">
              <w:rPr>
                <w:rFonts w:ascii="Arial" w:hAnsi="Arial" w:cs="Arial"/>
                <w:color w:val="000000"/>
                <w:sz w:val="16"/>
                <w:szCs w:val="16"/>
                <w:lang w:eastAsia="es-AR"/>
              </w:rPr>
              <w:t>- Otros Títulos de Deuda</w:t>
            </w:r>
          </w:p>
        </w:tc>
        <w:tc>
          <w:tcPr>
            <w:tcW w:w="1087" w:type="dxa"/>
            <w:tcBorders>
              <w:top w:val="nil"/>
              <w:left w:val="nil"/>
              <w:bottom w:val="single" w:sz="4" w:space="0" w:color="auto"/>
              <w:right w:val="single" w:sz="4" w:space="0" w:color="auto"/>
            </w:tcBorders>
            <w:shd w:val="clear" w:color="auto" w:fill="auto"/>
            <w:noWrap/>
            <w:vAlign w:val="bottom"/>
          </w:tcPr>
          <w:p w14:paraId="32BC6B2A" w14:textId="085EE45C"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3.086.613</w:t>
            </w:r>
          </w:p>
        </w:tc>
        <w:tc>
          <w:tcPr>
            <w:tcW w:w="1075" w:type="dxa"/>
            <w:tcBorders>
              <w:top w:val="nil"/>
              <w:left w:val="nil"/>
              <w:bottom w:val="single" w:sz="4" w:space="0" w:color="auto"/>
              <w:right w:val="single" w:sz="4" w:space="0" w:color="auto"/>
            </w:tcBorders>
            <w:shd w:val="clear" w:color="auto" w:fill="auto"/>
            <w:vAlign w:val="bottom"/>
          </w:tcPr>
          <w:p w14:paraId="01680680" w14:textId="1DF765A5"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3.169.400</w:t>
            </w:r>
          </w:p>
        </w:tc>
        <w:tc>
          <w:tcPr>
            <w:tcW w:w="177" w:type="dxa"/>
            <w:tcBorders>
              <w:top w:val="nil"/>
              <w:left w:val="nil"/>
              <w:bottom w:val="single" w:sz="4" w:space="0" w:color="auto"/>
              <w:right w:val="single" w:sz="4" w:space="0" w:color="auto"/>
            </w:tcBorders>
            <w:shd w:val="clear" w:color="auto" w:fill="auto"/>
            <w:vAlign w:val="bottom"/>
          </w:tcPr>
          <w:p w14:paraId="0ECE009E" w14:textId="370329F5" w:rsidR="008347FD" w:rsidRPr="008347FD" w:rsidRDefault="008347FD" w:rsidP="008347FD">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vAlign w:val="bottom"/>
          </w:tcPr>
          <w:p w14:paraId="0FFA7602" w14:textId="73ED210B"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3.169.400</w:t>
            </w:r>
          </w:p>
        </w:tc>
        <w:tc>
          <w:tcPr>
            <w:tcW w:w="954" w:type="dxa"/>
            <w:tcBorders>
              <w:top w:val="nil"/>
              <w:left w:val="nil"/>
              <w:bottom w:val="single" w:sz="4" w:space="0" w:color="auto"/>
              <w:right w:val="single" w:sz="4" w:space="0" w:color="auto"/>
            </w:tcBorders>
            <w:shd w:val="clear" w:color="auto" w:fill="auto"/>
            <w:vAlign w:val="bottom"/>
          </w:tcPr>
          <w:p w14:paraId="168DEA15" w14:textId="52BEC007"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1031" w:type="dxa"/>
            <w:tcBorders>
              <w:top w:val="nil"/>
              <w:left w:val="nil"/>
              <w:bottom w:val="single" w:sz="4" w:space="0" w:color="auto"/>
              <w:right w:val="single" w:sz="8" w:space="0" w:color="auto"/>
            </w:tcBorders>
            <w:shd w:val="clear" w:color="auto" w:fill="auto"/>
            <w:vAlign w:val="bottom"/>
          </w:tcPr>
          <w:p w14:paraId="5D59DE10" w14:textId="0C7A3C23"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r>
      <w:tr w:rsidR="008347FD" w:rsidRPr="000B2F8E" w14:paraId="163E94F0" w14:textId="77777777" w:rsidTr="008347FD">
        <w:trPr>
          <w:trHeight w:val="236"/>
          <w:jc w:val="center"/>
        </w:trPr>
        <w:tc>
          <w:tcPr>
            <w:tcW w:w="4081" w:type="dxa"/>
            <w:tcBorders>
              <w:top w:val="nil"/>
              <w:left w:val="single" w:sz="8" w:space="0" w:color="auto"/>
              <w:bottom w:val="single" w:sz="4" w:space="0" w:color="auto"/>
              <w:right w:val="single" w:sz="4" w:space="0" w:color="auto"/>
            </w:tcBorders>
            <w:shd w:val="clear" w:color="auto" w:fill="auto"/>
            <w:noWrap/>
            <w:vAlign w:val="center"/>
          </w:tcPr>
          <w:p w14:paraId="138B786B" w14:textId="31F75E58" w:rsidR="008347FD" w:rsidRPr="00613EB0" w:rsidRDefault="008347FD" w:rsidP="008347FD">
            <w:pPr>
              <w:rPr>
                <w:rFonts w:ascii="Arial" w:hAnsi="Arial" w:cs="Arial"/>
                <w:color w:val="000000"/>
                <w:sz w:val="16"/>
                <w:szCs w:val="16"/>
                <w:lang w:eastAsia="es-AR"/>
              </w:rPr>
            </w:pPr>
            <w:r w:rsidRPr="003A27A4">
              <w:rPr>
                <w:rFonts w:ascii="Arial" w:hAnsi="Arial" w:cs="Arial"/>
                <w:color w:val="000000"/>
                <w:sz w:val="16"/>
                <w:szCs w:val="16"/>
                <w:lang w:eastAsia="es-AR"/>
              </w:rPr>
              <w:t>-Activos financieros entregados en garantía</w:t>
            </w:r>
          </w:p>
        </w:tc>
        <w:tc>
          <w:tcPr>
            <w:tcW w:w="1087" w:type="dxa"/>
            <w:tcBorders>
              <w:top w:val="nil"/>
              <w:left w:val="nil"/>
              <w:bottom w:val="single" w:sz="4" w:space="0" w:color="auto"/>
              <w:right w:val="single" w:sz="4" w:space="0" w:color="auto"/>
            </w:tcBorders>
            <w:shd w:val="clear" w:color="auto" w:fill="auto"/>
            <w:noWrap/>
            <w:vAlign w:val="bottom"/>
          </w:tcPr>
          <w:p w14:paraId="689763EE" w14:textId="69542943" w:rsidR="008347FD" w:rsidRPr="008347FD" w:rsidRDefault="008347FD" w:rsidP="008347FD">
            <w:pPr>
              <w:jc w:val="right"/>
              <w:rPr>
                <w:rFonts w:ascii="Arial" w:hAnsi="Arial" w:cs="Arial"/>
                <w:color w:val="000000"/>
                <w:sz w:val="16"/>
                <w:szCs w:val="16"/>
              </w:rPr>
            </w:pPr>
            <w:r w:rsidRPr="008347FD">
              <w:rPr>
                <w:rFonts w:ascii="Arial" w:hAnsi="Arial" w:cs="Arial"/>
                <w:color w:val="000000"/>
                <w:sz w:val="16"/>
                <w:szCs w:val="16"/>
              </w:rPr>
              <w:t>402.409</w:t>
            </w:r>
          </w:p>
        </w:tc>
        <w:tc>
          <w:tcPr>
            <w:tcW w:w="1075" w:type="dxa"/>
            <w:tcBorders>
              <w:top w:val="nil"/>
              <w:left w:val="nil"/>
              <w:bottom w:val="single" w:sz="4" w:space="0" w:color="auto"/>
              <w:right w:val="single" w:sz="4" w:space="0" w:color="auto"/>
            </w:tcBorders>
            <w:shd w:val="clear" w:color="auto" w:fill="auto"/>
            <w:vAlign w:val="bottom"/>
          </w:tcPr>
          <w:p w14:paraId="12E1911B" w14:textId="495E444A"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402.409</w:t>
            </w:r>
          </w:p>
        </w:tc>
        <w:tc>
          <w:tcPr>
            <w:tcW w:w="177" w:type="dxa"/>
            <w:tcBorders>
              <w:top w:val="nil"/>
              <w:left w:val="nil"/>
              <w:bottom w:val="single" w:sz="4" w:space="0" w:color="auto"/>
              <w:right w:val="single" w:sz="4" w:space="0" w:color="auto"/>
            </w:tcBorders>
            <w:shd w:val="clear" w:color="auto" w:fill="auto"/>
            <w:vAlign w:val="bottom"/>
          </w:tcPr>
          <w:p w14:paraId="72888502" w14:textId="406EAD6A" w:rsidR="008347FD" w:rsidRPr="008347FD" w:rsidRDefault="008347FD" w:rsidP="008347FD">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vAlign w:val="bottom"/>
          </w:tcPr>
          <w:p w14:paraId="7A639383" w14:textId="173F7273"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402.409</w:t>
            </w:r>
          </w:p>
        </w:tc>
        <w:tc>
          <w:tcPr>
            <w:tcW w:w="954" w:type="dxa"/>
            <w:tcBorders>
              <w:top w:val="nil"/>
              <w:left w:val="nil"/>
              <w:bottom w:val="single" w:sz="4" w:space="0" w:color="auto"/>
              <w:right w:val="single" w:sz="4" w:space="0" w:color="auto"/>
            </w:tcBorders>
            <w:shd w:val="clear" w:color="auto" w:fill="auto"/>
            <w:vAlign w:val="bottom"/>
          </w:tcPr>
          <w:p w14:paraId="591EF71C" w14:textId="0B73AF69"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1031" w:type="dxa"/>
            <w:tcBorders>
              <w:top w:val="nil"/>
              <w:left w:val="nil"/>
              <w:bottom w:val="single" w:sz="4" w:space="0" w:color="auto"/>
              <w:right w:val="single" w:sz="8" w:space="0" w:color="auto"/>
            </w:tcBorders>
            <w:shd w:val="clear" w:color="auto" w:fill="auto"/>
            <w:vAlign w:val="bottom"/>
          </w:tcPr>
          <w:p w14:paraId="13FAC404" w14:textId="2547D06F"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r>
      <w:tr w:rsidR="008347FD" w:rsidRPr="000B2F8E" w14:paraId="5E43508B" w14:textId="77777777" w:rsidTr="008347FD">
        <w:trPr>
          <w:trHeight w:val="248"/>
          <w:jc w:val="center"/>
        </w:trPr>
        <w:tc>
          <w:tcPr>
            <w:tcW w:w="4081"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20D2364C" w14:textId="77777777" w:rsidR="008347FD" w:rsidRPr="00613EB0" w:rsidRDefault="008347FD" w:rsidP="008347FD">
            <w:pPr>
              <w:rPr>
                <w:rFonts w:ascii="Arial" w:hAnsi="Arial" w:cs="Arial"/>
                <w:b/>
                <w:color w:val="000000"/>
                <w:sz w:val="16"/>
                <w:szCs w:val="16"/>
                <w:lang w:eastAsia="es-AR"/>
              </w:rPr>
            </w:pPr>
          </w:p>
        </w:tc>
        <w:tc>
          <w:tcPr>
            <w:tcW w:w="1087" w:type="dxa"/>
            <w:tcBorders>
              <w:top w:val="single" w:sz="8" w:space="0" w:color="auto"/>
              <w:left w:val="nil"/>
              <w:bottom w:val="single" w:sz="8" w:space="0" w:color="auto"/>
              <w:right w:val="single" w:sz="4" w:space="0" w:color="auto"/>
            </w:tcBorders>
            <w:shd w:val="clear" w:color="000000" w:fill="EDEDED"/>
            <w:noWrap/>
            <w:vAlign w:val="bottom"/>
          </w:tcPr>
          <w:p w14:paraId="3B79D0CF" w14:textId="4C7197F8" w:rsidR="008347FD" w:rsidRPr="008347FD" w:rsidRDefault="008347FD" w:rsidP="008347FD">
            <w:pPr>
              <w:jc w:val="right"/>
              <w:rPr>
                <w:rFonts w:ascii="Arial" w:hAnsi="Arial" w:cs="Arial"/>
                <w:b/>
                <w:bCs/>
                <w:color w:val="000000"/>
                <w:sz w:val="16"/>
                <w:szCs w:val="16"/>
                <w:lang w:eastAsia="es-AR"/>
              </w:rPr>
            </w:pPr>
            <w:r w:rsidRPr="008347FD">
              <w:rPr>
                <w:rFonts w:ascii="Arial" w:hAnsi="Arial" w:cs="Arial"/>
                <w:b/>
                <w:bCs/>
                <w:color w:val="000000"/>
                <w:sz w:val="16"/>
                <w:szCs w:val="16"/>
              </w:rPr>
              <w:t>118.446.271</w:t>
            </w:r>
          </w:p>
        </w:tc>
        <w:tc>
          <w:tcPr>
            <w:tcW w:w="1075" w:type="dxa"/>
            <w:tcBorders>
              <w:top w:val="single" w:sz="8" w:space="0" w:color="auto"/>
              <w:left w:val="nil"/>
              <w:bottom w:val="single" w:sz="8" w:space="0" w:color="auto"/>
              <w:right w:val="single" w:sz="4" w:space="0" w:color="auto"/>
            </w:tcBorders>
            <w:shd w:val="clear" w:color="000000" w:fill="EDEDED"/>
            <w:noWrap/>
            <w:vAlign w:val="bottom"/>
          </w:tcPr>
          <w:p w14:paraId="4B4C6ED0" w14:textId="7DF89D57" w:rsidR="008347FD" w:rsidRPr="008347FD" w:rsidRDefault="008347FD" w:rsidP="008347FD">
            <w:pPr>
              <w:jc w:val="right"/>
              <w:rPr>
                <w:rFonts w:ascii="Arial" w:hAnsi="Arial" w:cs="Arial"/>
                <w:b/>
                <w:bCs/>
                <w:color w:val="000000"/>
                <w:sz w:val="16"/>
                <w:szCs w:val="16"/>
                <w:lang w:eastAsia="es-AR"/>
              </w:rPr>
            </w:pPr>
            <w:r w:rsidRPr="008347FD">
              <w:rPr>
                <w:rFonts w:ascii="Arial" w:hAnsi="Arial" w:cs="Arial"/>
                <w:b/>
                <w:bCs/>
                <w:color w:val="000000"/>
                <w:sz w:val="16"/>
                <w:szCs w:val="16"/>
              </w:rPr>
              <w:t>122.108.12</w:t>
            </w:r>
            <w:r w:rsidR="00560C30">
              <w:rPr>
                <w:rFonts w:ascii="Arial" w:hAnsi="Arial" w:cs="Arial"/>
                <w:b/>
                <w:bCs/>
                <w:color w:val="000000"/>
                <w:sz w:val="16"/>
                <w:szCs w:val="16"/>
              </w:rPr>
              <w:t>3</w:t>
            </w:r>
          </w:p>
        </w:tc>
        <w:tc>
          <w:tcPr>
            <w:tcW w:w="177" w:type="dxa"/>
            <w:tcBorders>
              <w:top w:val="single" w:sz="8" w:space="0" w:color="auto"/>
              <w:left w:val="nil"/>
              <w:bottom w:val="single" w:sz="8" w:space="0" w:color="auto"/>
              <w:right w:val="single" w:sz="4" w:space="0" w:color="auto"/>
            </w:tcBorders>
            <w:shd w:val="clear" w:color="000000" w:fill="EDEDED"/>
            <w:noWrap/>
            <w:vAlign w:val="bottom"/>
          </w:tcPr>
          <w:p w14:paraId="4E4404B1" w14:textId="140D3A6E" w:rsidR="008347FD" w:rsidRPr="008347FD" w:rsidRDefault="008347FD" w:rsidP="008347FD">
            <w:pPr>
              <w:jc w:val="right"/>
              <w:rPr>
                <w:rFonts w:ascii="Arial" w:hAnsi="Arial" w:cs="Arial"/>
                <w:b/>
                <w:bCs/>
                <w:color w:val="000000"/>
                <w:sz w:val="16"/>
                <w:szCs w:val="16"/>
                <w:lang w:eastAsia="es-AR"/>
              </w:rPr>
            </w:pPr>
          </w:p>
        </w:tc>
        <w:tc>
          <w:tcPr>
            <w:tcW w:w="1000" w:type="dxa"/>
            <w:tcBorders>
              <w:top w:val="single" w:sz="8" w:space="0" w:color="auto"/>
              <w:left w:val="nil"/>
              <w:bottom w:val="single" w:sz="8" w:space="0" w:color="auto"/>
              <w:right w:val="single" w:sz="4" w:space="0" w:color="auto"/>
            </w:tcBorders>
            <w:shd w:val="clear" w:color="000000" w:fill="EDEDED"/>
            <w:noWrap/>
            <w:vAlign w:val="bottom"/>
          </w:tcPr>
          <w:p w14:paraId="2274E00E" w14:textId="150B1327" w:rsidR="008347FD" w:rsidRPr="008347FD" w:rsidRDefault="008347FD" w:rsidP="008347FD">
            <w:pPr>
              <w:jc w:val="right"/>
              <w:rPr>
                <w:rFonts w:ascii="Arial" w:hAnsi="Arial" w:cs="Arial"/>
                <w:b/>
                <w:bCs/>
                <w:color w:val="000000"/>
                <w:sz w:val="16"/>
                <w:szCs w:val="16"/>
                <w:lang w:val="es-ES_tradnl" w:eastAsia="es-AR"/>
              </w:rPr>
            </w:pPr>
            <w:r w:rsidRPr="008347FD">
              <w:rPr>
                <w:rFonts w:ascii="Arial" w:hAnsi="Arial" w:cs="Arial"/>
                <w:b/>
                <w:bCs/>
                <w:color w:val="000000"/>
                <w:sz w:val="16"/>
                <w:szCs w:val="16"/>
              </w:rPr>
              <w:t>30.147.109</w:t>
            </w:r>
          </w:p>
        </w:tc>
        <w:tc>
          <w:tcPr>
            <w:tcW w:w="954" w:type="dxa"/>
            <w:tcBorders>
              <w:top w:val="single" w:sz="8" w:space="0" w:color="auto"/>
              <w:left w:val="nil"/>
              <w:bottom w:val="single" w:sz="8" w:space="0" w:color="auto"/>
              <w:right w:val="single" w:sz="4" w:space="0" w:color="auto"/>
            </w:tcBorders>
            <w:shd w:val="clear" w:color="000000" w:fill="EDEDED"/>
            <w:noWrap/>
            <w:vAlign w:val="bottom"/>
          </w:tcPr>
          <w:p w14:paraId="78C4462F" w14:textId="10B8BB91" w:rsidR="008347FD" w:rsidRPr="008347FD" w:rsidRDefault="008347FD" w:rsidP="008347FD">
            <w:pPr>
              <w:jc w:val="right"/>
              <w:rPr>
                <w:rFonts w:ascii="Arial" w:hAnsi="Arial" w:cs="Arial"/>
                <w:b/>
                <w:bCs/>
                <w:color w:val="000000"/>
                <w:sz w:val="16"/>
                <w:szCs w:val="16"/>
                <w:lang w:eastAsia="es-AR"/>
              </w:rPr>
            </w:pPr>
            <w:r w:rsidRPr="008347FD">
              <w:rPr>
                <w:rFonts w:ascii="Arial" w:hAnsi="Arial" w:cs="Arial"/>
                <w:b/>
                <w:bCs/>
                <w:color w:val="000000"/>
                <w:sz w:val="16"/>
                <w:szCs w:val="16"/>
              </w:rPr>
              <w:t>-</w:t>
            </w:r>
          </w:p>
        </w:tc>
        <w:tc>
          <w:tcPr>
            <w:tcW w:w="1031" w:type="dxa"/>
            <w:tcBorders>
              <w:top w:val="single" w:sz="8" w:space="0" w:color="auto"/>
              <w:left w:val="nil"/>
              <w:bottom w:val="single" w:sz="8" w:space="0" w:color="auto"/>
              <w:right w:val="single" w:sz="8" w:space="0" w:color="auto"/>
            </w:tcBorders>
            <w:shd w:val="clear" w:color="000000" w:fill="EDEDED"/>
            <w:noWrap/>
            <w:vAlign w:val="bottom"/>
          </w:tcPr>
          <w:p w14:paraId="1CC575C2" w14:textId="1A9AF780" w:rsidR="008347FD" w:rsidRPr="008347FD" w:rsidRDefault="008347FD" w:rsidP="008347FD">
            <w:pPr>
              <w:jc w:val="right"/>
              <w:rPr>
                <w:rFonts w:ascii="Arial" w:hAnsi="Arial" w:cs="Arial"/>
                <w:b/>
                <w:bCs/>
                <w:color w:val="000000"/>
                <w:sz w:val="16"/>
                <w:szCs w:val="16"/>
                <w:lang w:eastAsia="es-AR"/>
              </w:rPr>
            </w:pPr>
            <w:r w:rsidRPr="008347FD">
              <w:rPr>
                <w:rFonts w:ascii="Arial" w:hAnsi="Arial" w:cs="Arial"/>
                <w:b/>
                <w:bCs/>
                <w:color w:val="000000"/>
                <w:sz w:val="16"/>
                <w:szCs w:val="16"/>
              </w:rPr>
              <w:t>91.961.014</w:t>
            </w:r>
          </w:p>
        </w:tc>
      </w:tr>
      <w:tr w:rsidR="00953E42" w:rsidRPr="00C81C97" w14:paraId="5F7F29FF" w14:textId="77777777" w:rsidTr="00BE6712">
        <w:trPr>
          <w:trHeight w:val="236"/>
          <w:jc w:val="center"/>
        </w:trPr>
        <w:tc>
          <w:tcPr>
            <w:tcW w:w="4081" w:type="dxa"/>
            <w:tcBorders>
              <w:top w:val="single" w:sz="8" w:space="0" w:color="auto"/>
              <w:left w:val="single" w:sz="8" w:space="0" w:color="auto"/>
              <w:bottom w:val="single" w:sz="4" w:space="0" w:color="auto"/>
              <w:right w:val="nil"/>
            </w:tcBorders>
            <w:shd w:val="clear" w:color="000000" w:fill="EDEDED"/>
            <w:noWrap/>
            <w:vAlign w:val="center"/>
            <w:hideMark/>
          </w:tcPr>
          <w:p w14:paraId="5775BFC2" w14:textId="77777777" w:rsidR="00953E42" w:rsidRPr="00613EB0" w:rsidRDefault="00953E42" w:rsidP="00953E42">
            <w:pPr>
              <w:rPr>
                <w:rFonts w:ascii="Arial" w:hAnsi="Arial" w:cs="Arial"/>
                <w:b/>
                <w:bCs/>
                <w:i/>
                <w:iCs/>
                <w:color w:val="000000"/>
                <w:sz w:val="16"/>
                <w:szCs w:val="16"/>
                <w:lang w:eastAsia="es-AR"/>
              </w:rPr>
            </w:pPr>
            <w:r w:rsidRPr="00613EB0">
              <w:rPr>
                <w:rFonts w:ascii="Arial" w:hAnsi="Arial" w:cs="Arial"/>
                <w:b/>
                <w:bCs/>
                <w:i/>
                <w:iCs/>
                <w:color w:val="000000"/>
                <w:sz w:val="16"/>
                <w:szCs w:val="16"/>
                <w:lang w:eastAsia="es-AR"/>
              </w:rPr>
              <w:t>Pasivos Financieros</w:t>
            </w:r>
          </w:p>
        </w:tc>
        <w:tc>
          <w:tcPr>
            <w:tcW w:w="1087" w:type="dxa"/>
            <w:tcBorders>
              <w:top w:val="single" w:sz="8" w:space="0" w:color="auto"/>
              <w:left w:val="nil"/>
              <w:bottom w:val="single" w:sz="4" w:space="0" w:color="auto"/>
              <w:right w:val="nil"/>
            </w:tcBorders>
            <w:shd w:val="clear" w:color="000000" w:fill="EDEDED"/>
            <w:noWrap/>
            <w:vAlign w:val="bottom"/>
          </w:tcPr>
          <w:p w14:paraId="5B4A5875" w14:textId="77777777" w:rsidR="00953E42" w:rsidRPr="00C81C97" w:rsidRDefault="00953E42">
            <w:pPr>
              <w:jc w:val="right"/>
              <w:rPr>
                <w:rFonts w:ascii="Arial" w:hAnsi="Arial" w:cs="Arial"/>
                <w:b/>
                <w:bCs/>
                <w:i/>
                <w:iCs/>
                <w:color w:val="000000"/>
                <w:sz w:val="16"/>
                <w:szCs w:val="16"/>
                <w:lang w:eastAsia="es-AR"/>
              </w:rPr>
            </w:pPr>
          </w:p>
        </w:tc>
        <w:tc>
          <w:tcPr>
            <w:tcW w:w="1075" w:type="dxa"/>
            <w:tcBorders>
              <w:top w:val="single" w:sz="8" w:space="0" w:color="auto"/>
              <w:left w:val="nil"/>
              <w:bottom w:val="single" w:sz="4" w:space="0" w:color="auto"/>
              <w:right w:val="nil"/>
            </w:tcBorders>
            <w:shd w:val="clear" w:color="000000" w:fill="EDEDED"/>
            <w:vAlign w:val="bottom"/>
          </w:tcPr>
          <w:p w14:paraId="4E305852" w14:textId="3C681DF0" w:rsidR="00953E42" w:rsidRPr="00C81C97" w:rsidRDefault="00953E42">
            <w:pPr>
              <w:jc w:val="right"/>
              <w:rPr>
                <w:rFonts w:ascii="Arial" w:hAnsi="Arial" w:cs="Arial"/>
                <w:b/>
                <w:bCs/>
                <w:i/>
                <w:iCs/>
                <w:color w:val="000000"/>
                <w:sz w:val="16"/>
                <w:szCs w:val="16"/>
                <w:lang w:eastAsia="es-AR"/>
              </w:rPr>
            </w:pPr>
          </w:p>
        </w:tc>
        <w:tc>
          <w:tcPr>
            <w:tcW w:w="177" w:type="dxa"/>
            <w:tcBorders>
              <w:top w:val="single" w:sz="8" w:space="0" w:color="auto"/>
              <w:left w:val="nil"/>
              <w:bottom w:val="single" w:sz="4" w:space="0" w:color="auto"/>
              <w:right w:val="nil"/>
            </w:tcBorders>
            <w:shd w:val="clear" w:color="000000" w:fill="EDEDED"/>
            <w:vAlign w:val="bottom"/>
          </w:tcPr>
          <w:p w14:paraId="2FB91722" w14:textId="48A9FD52" w:rsidR="00953E42" w:rsidRPr="00613EB0" w:rsidRDefault="00953E42">
            <w:pPr>
              <w:jc w:val="right"/>
              <w:rPr>
                <w:rFonts w:ascii="Arial" w:hAnsi="Arial" w:cs="Arial"/>
                <w:b/>
                <w:bCs/>
                <w:i/>
                <w:iCs/>
                <w:color w:val="000000"/>
                <w:sz w:val="16"/>
                <w:szCs w:val="16"/>
                <w:lang w:eastAsia="es-AR"/>
              </w:rPr>
            </w:pPr>
          </w:p>
        </w:tc>
        <w:tc>
          <w:tcPr>
            <w:tcW w:w="1000" w:type="dxa"/>
            <w:tcBorders>
              <w:top w:val="single" w:sz="8" w:space="0" w:color="auto"/>
              <w:left w:val="nil"/>
              <w:bottom w:val="single" w:sz="4" w:space="0" w:color="auto"/>
              <w:right w:val="nil"/>
            </w:tcBorders>
            <w:shd w:val="clear" w:color="000000" w:fill="EDEDED"/>
            <w:vAlign w:val="bottom"/>
          </w:tcPr>
          <w:p w14:paraId="6AB948EB" w14:textId="12D3211C" w:rsidR="00953E42" w:rsidRPr="00C81C97" w:rsidRDefault="00953E42">
            <w:pPr>
              <w:jc w:val="right"/>
              <w:rPr>
                <w:rFonts w:ascii="Arial" w:hAnsi="Arial" w:cs="Arial"/>
                <w:b/>
                <w:bCs/>
                <w:i/>
                <w:iCs/>
                <w:color w:val="000000"/>
                <w:sz w:val="16"/>
                <w:szCs w:val="16"/>
                <w:lang w:eastAsia="es-AR"/>
              </w:rPr>
            </w:pPr>
          </w:p>
        </w:tc>
        <w:tc>
          <w:tcPr>
            <w:tcW w:w="954" w:type="dxa"/>
            <w:tcBorders>
              <w:top w:val="single" w:sz="8" w:space="0" w:color="auto"/>
              <w:left w:val="nil"/>
              <w:bottom w:val="single" w:sz="4" w:space="0" w:color="auto"/>
              <w:right w:val="nil"/>
            </w:tcBorders>
            <w:shd w:val="clear" w:color="000000" w:fill="EDEDED"/>
            <w:vAlign w:val="bottom"/>
          </w:tcPr>
          <w:p w14:paraId="612F49D8" w14:textId="5A3A8A29" w:rsidR="00953E42" w:rsidRPr="00C81C97" w:rsidRDefault="00953E42">
            <w:pPr>
              <w:jc w:val="right"/>
              <w:rPr>
                <w:rFonts w:ascii="Arial" w:hAnsi="Arial" w:cs="Arial"/>
                <w:b/>
                <w:bCs/>
                <w:i/>
                <w:iCs/>
                <w:color w:val="000000"/>
                <w:sz w:val="16"/>
                <w:szCs w:val="16"/>
                <w:lang w:eastAsia="es-AR"/>
              </w:rPr>
            </w:pPr>
          </w:p>
        </w:tc>
        <w:tc>
          <w:tcPr>
            <w:tcW w:w="1031" w:type="dxa"/>
            <w:tcBorders>
              <w:top w:val="single" w:sz="8" w:space="0" w:color="auto"/>
              <w:left w:val="nil"/>
              <w:bottom w:val="single" w:sz="4" w:space="0" w:color="auto"/>
              <w:right w:val="single" w:sz="8" w:space="0" w:color="auto"/>
            </w:tcBorders>
            <w:shd w:val="clear" w:color="000000" w:fill="EDEDED"/>
            <w:vAlign w:val="bottom"/>
          </w:tcPr>
          <w:p w14:paraId="6E30C194" w14:textId="1EAFD2E6" w:rsidR="00953E42" w:rsidRPr="00C81C97" w:rsidRDefault="00953E42">
            <w:pPr>
              <w:jc w:val="right"/>
              <w:rPr>
                <w:rFonts w:ascii="Arial" w:hAnsi="Arial" w:cs="Arial"/>
                <w:b/>
                <w:bCs/>
                <w:i/>
                <w:iCs/>
                <w:color w:val="000000"/>
                <w:sz w:val="16"/>
                <w:szCs w:val="16"/>
                <w:lang w:eastAsia="es-AR"/>
              </w:rPr>
            </w:pPr>
          </w:p>
        </w:tc>
      </w:tr>
      <w:tr w:rsidR="008347FD" w:rsidRPr="000B2F8E" w14:paraId="67F6E045" w14:textId="77777777" w:rsidTr="008347FD">
        <w:trPr>
          <w:trHeight w:val="236"/>
          <w:jc w:val="center"/>
        </w:trPr>
        <w:tc>
          <w:tcPr>
            <w:tcW w:w="4081" w:type="dxa"/>
            <w:tcBorders>
              <w:top w:val="nil"/>
              <w:left w:val="single" w:sz="8" w:space="0" w:color="auto"/>
              <w:bottom w:val="single" w:sz="4" w:space="0" w:color="auto"/>
              <w:right w:val="single" w:sz="4" w:space="0" w:color="auto"/>
            </w:tcBorders>
            <w:shd w:val="clear" w:color="auto" w:fill="auto"/>
            <w:noWrap/>
            <w:vAlign w:val="center"/>
            <w:hideMark/>
          </w:tcPr>
          <w:p w14:paraId="2C7B16BF" w14:textId="77777777" w:rsidR="008347FD" w:rsidRPr="00613EB0" w:rsidRDefault="008347FD" w:rsidP="008347FD">
            <w:pPr>
              <w:rPr>
                <w:rFonts w:ascii="Arial" w:hAnsi="Arial" w:cs="Arial"/>
                <w:color w:val="000000"/>
                <w:sz w:val="16"/>
                <w:szCs w:val="16"/>
                <w:lang w:eastAsia="es-AR"/>
              </w:rPr>
            </w:pPr>
            <w:r w:rsidRPr="00613EB0">
              <w:rPr>
                <w:rFonts w:ascii="Arial" w:hAnsi="Arial" w:cs="Arial"/>
                <w:color w:val="000000"/>
                <w:sz w:val="16"/>
                <w:szCs w:val="16"/>
                <w:lang w:eastAsia="es-AR"/>
              </w:rPr>
              <w:t>-Depósitos</w:t>
            </w:r>
          </w:p>
        </w:tc>
        <w:tc>
          <w:tcPr>
            <w:tcW w:w="1087" w:type="dxa"/>
            <w:tcBorders>
              <w:top w:val="nil"/>
              <w:left w:val="nil"/>
              <w:bottom w:val="single" w:sz="4" w:space="0" w:color="auto"/>
              <w:right w:val="single" w:sz="4" w:space="0" w:color="auto"/>
            </w:tcBorders>
            <w:shd w:val="clear" w:color="auto" w:fill="auto"/>
            <w:noWrap/>
            <w:vAlign w:val="bottom"/>
          </w:tcPr>
          <w:p w14:paraId="09246193" w14:textId="719DB458"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91.477.466</w:t>
            </w:r>
          </w:p>
        </w:tc>
        <w:tc>
          <w:tcPr>
            <w:tcW w:w="1075" w:type="dxa"/>
            <w:tcBorders>
              <w:top w:val="nil"/>
              <w:left w:val="nil"/>
              <w:bottom w:val="single" w:sz="4" w:space="0" w:color="auto"/>
              <w:right w:val="single" w:sz="4" w:space="0" w:color="auto"/>
            </w:tcBorders>
            <w:shd w:val="clear" w:color="auto" w:fill="auto"/>
            <w:vAlign w:val="bottom"/>
          </w:tcPr>
          <w:p w14:paraId="53C0031E" w14:textId="42E94AB3"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91.430.681</w:t>
            </w:r>
          </w:p>
        </w:tc>
        <w:tc>
          <w:tcPr>
            <w:tcW w:w="177" w:type="dxa"/>
            <w:tcBorders>
              <w:top w:val="nil"/>
              <w:left w:val="nil"/>
              <w:bottom w:val="single" w:sz="4" w:space="0" w:color="auto"/>
              <w:right w:val="single" w:sz="4" w:space="0" w:color="auto"/>
            </w:tcBorders>
            <w:shd w:val="clear" w:color="auto" w:fill="auto"/>
            <w:vAlign w:val="bottom"/>
          </w:tcPr>
          <w:p w14:paraId="08447104" w14:textId="0AE397C9" w:rsidR="008347FD" w:rsidRPr="008347FD" w:rsidRDefault="008347FD" w:rsidP="008347FD">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noWrap/>
            <w:vAlign w:val="bottom"/>
          </w:tcPr>
          <w:p w14:paraId="44B05522" w14:textId="1356D82C"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954" w:type="dxa"/>
            <w:tcBorders>
              <w:top w:val="nil"/>
              <w:left w:val="nil"/>
              <w:bottom w:val="single" w:sz="4" w:space="0" w:color="auto"/>
              <w:right w:val="single" w:sz="4" w:space="0" w:color="auto"/>
            </w:tcBorders>
            <w:shd w:val="clear" w:color="auto" w:fill="auto"/>
            <w:noWrap/>
            <w:vAlign w:val="bottom"/>
          </w:tcPr>
          <w:p w14:paraId="3BBED969" w14:textId="421B60DA"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1031" w:type="dxa"/>
            <w:tcBorders>
              <w:top w:val="nil"/>
              <w:left w:val="nil"/>
              <w:bottom w:val="single" w:sz="4" w:space="0" w:color="auto"/>
              <w:right w:val="single" w:sz="8" w:space="0" w:color="auto"/>
            </w:tcBorders>
            <w:shd w:val="clear" w:color="auto" w:fill="auto"/>
            <w:noWrap/>
            <w:vAlign w:val="bottom"/>
          </w:tcPr>
          <w:p w14:paraId="23A765BE" w14:textId="781BAE4D"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91.430.681</w:t>
            </w:r>
          </w:p>
        </w:tc>
      </w:tr>
      <w:tr w:rsidR="008347FD" w:rsidRPr="000B2F8E" w14:paraId="6CB0F092" w14:textId="77777777" w:rsidTr="008347FD">
        <w:trPr>
          <w:trHeight w:val="236"/>
          <w:jc w:val="center"/>
        </w:trPr>
        <w:tc>
          <w:tcPr>
            <w:tcW w:w="4081" w:type="dxa"/>
            <w:tcBorders>
              <w:top w:val="nil"/>
              <w:left w:val="single" w:sz="8" w:space="0" w:color="auto"/>
              <w:bottom w:val="single" w:sz="4" w:space="0" w:color="auto"/>
              <w:right w:val="single" w:sz="4" w:space="0" w:color="auto"/>
            </w:tcBorders>
            <w:shd w:val="clear" w:color="auto" w:fill="auto"/>
            <w:noWrap/>
            <w:vAlign w:val="center"/>
          </w:tcPr>
          <w:p w14:paraId="06F3946F" w14:textId="6C15BDA8" w:rsidR="008347FD" w:rsidRPr="00613EB0" w:rsidRDefault="008347FD" w:rsidP="008347FD">
            <w:pPr>
              <w:rPr>
                <w:rFonts w:ascii="Arial" w:hAnsi="Arial" w:cs="Arial"/>
                <w:color w:val="000000"/>
                <w:sz w:val="16"/>
                <w:szCs w:val="16"/>
                <w:lang w:eastAsia="es-AR"/>
              </w:rPr>
            </w:pPr>
            <w:r w:rsidRPr="00953E42">
              <w:rPr>
                <w:rFonts w:ascii="Arial" w:hAnsi="Arial" w:cs="Arial"/>
                <w:color w:val="000000"/>
                <w:sz w:val="16"/>
                <w:szCs w:val="16"/>
                <w:lang w:eastAsia="es-AR"/>
              </w:rPr>
              <w:t>- Operaciones de pase</w:t>
            </w:r>
          </w:p>
        </w:tc>
        <w:tc>
          <w:tcPr>
            <w:tcW w:w="1087" w:type="dxa"/>
            <w:tcBorders>
              <w:top w:val="nil"/>
              <w:left w:val="nil"/>
              <w:bottom w:val="single" w:sz="4" w:space="0" w:color="auto"/>
              <w:right w:val="single" w:sz="4" w:space="0" w:color="auto"/>
            </w:tcBorders>
            <w:shd w:val="clear" w:color="auto" w:fill="auto"/>
            <w:noWrap/>
            <w:vAlign w:val="bottom"/>
          </w:tcPr>
          <w:p w14:paraId="4992232A" w14:textId="280FC00F" w:rsidR="008347FD" w:rsidRPr="008347FD" w:rsidRDefault="008347FD" w:rsidP="008347FD">
            <w:pPr>
              <w:jc w:val="right"/>
              <w:rPr>
                <w:rFonts w:ascii="Arial" w:hAnsi="Arial" w:cs="Arial"/>
                <w:sz w:val="16"/>
                <w:szCs w:val="16"/>
              </w:rPr>
            </w:pPr>
            <w:r w:rsidRPr="008347FD">
              <w:rPr>
                <w:rFonts w:ascii="Arial" w:hAnsi="Arial" w:cs="Arial"/>
                <w:color w:val="000000"/>
                <w:sz w:val="16"/>
                <w:szCs w:val="16"/>
              </w:rPr>
              <w:t>319.817</w:t>
            </w:r>
          </w:p>
        </w:tc>
        <w:tc>
          <w:tcPr>
            <w:tcW w:w="1075" w:type="dxa"/>
            <w:tcBorders>
              <w:top w:val="nil"/>
              <w:left w:val="nil"/>
              <w:bottom w:val="single" w:sz="4" w:space="0" w:color="auto"/>
              <w:right w:val="single" w:sz="4" w:space="0" w:color="auto"/>
            </w:tcBorders>
            <w:shd w:val="clear" w:color="auto" w:fill="auto"/>
            <w:vAlign w:val="bottom"/>
          </w:tcPr>
          <w:p w14:paraId="065BEEFC" w14:textId="018A6784" w:rsidR="008347FD" w:rsidRPr="008347FD" w:rsidRDefault="008347FD" w:rsidP="008347FD">
            <w:pPr>
              <w:jc w:val="right"/>
              <w:rPr>
                <w:rFonts w:ascii="Arial" w:hAnsi="Arial" w:cs="Arial"/>
                <w:color w:val="000000"/>
                <w:sz w:val="16"/>
                <w:szCs w:val="16"/>
              </w:rPr>
            </w:pPr>
            <w:r w:rsidRPr="008347FD">
              <w:rPr>
                <w:rFonts w:ascii="Arial" w:hAnsi="Arial" w:cs="Arial"/>
                <w:color w:val="000000"/>
                <w:sz w:val="16"/>
                <w:szCs w:val="16"/>
              </w:rPr>
              <w:t>319.817</w:t>
            </w:r>
          </w:p>
        </w:tc>
        <w:tc>
          <w:tcPr>
            <w:tcW w:w="177" w:type="dxa"/>
            <w:tcBorders>
              <w:top w:val="nil"/>
              <w:left w:val="nil"/>
              <w:bottom w:val="single" w:sz="4" w:space="0" w:color="auto"/>
              <w:right w:val="single" w:sz="4" w:space="0" w:color="auto"/>
            </w:tcBorders>
            <w:shd w:val="clear" w:color="auto" w:fill="auto"/>
            <w:vAlign w:val="bottom"/>
          </w:tcPr>
          <w:p w14:paraId="0FEBDC2B" w14:textId="35B1F078" w:rsidR="008347FD" w:rsidRPr="008347FD" w:rsidRDefault="008347FD" w:rsidP="008347FD">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noWrap/>
            <w:vAlign w:val="bottom"/>
          </w:tcPr>
          <w:p w14:paraId="666A0DF3" w14:textId="208F280E" w:rsidR="008347FD" w:rsidRPr="008347FD" w:rsidRDefault="008347FD" w:rsidP="008347FD">
            <w:pPr>
              <w:jc w:val="right"/>
              <w:rPr>
                <w:rFonts w:ascii="Arial" w:hAnsi="Arial" w:cs="Arial"/>
                <w:color w:val="000000"/>
                <w:sz w:val="16"/>
                <w:szCs w:val="16"/>
              </w:rPr>
            </w:pPr>
            <w:r w:rsidRPr="008347FD">
              <w:rPr>
                <w:rFonts w:ascii="Arial" w:hAnsi="Arial" w:cs="Arial"/>
                <w:color w:val="000000"/>
                <w:sz w:val="16"/>
                <w:szCs w:val="16"/>
              </w:rPr>
              <w:t>319.817</w:t>
            </w:r>
          </w:p>
        </w:tc>
        <w:tc>
          <w:tcPr>
            <w:tcW w:w="954" w:type="dxa"/>
            <w:tcBorders>
              <w:top w:val="nil"/>
              <w:left w:val="nil"/>
              <w:bottom w:val="single" w:sz="4" w:space="0" w:color="auto"/>
              <w:right w:val="single" w:sz="4" w:space="0" w:color="auto"/>
            </w:tcBorders>
            <w:shd w:val="clear" w:color="auto" w:fill="auto"/>
            <w:noWrap/>
            <w:vAlign w:val="bottom"/>
          </w:tcPr>
          <w:p w14:paraId="0DA60330" w14:textId="3F4DB538" w:rsidR="008347FD" w:rsidRPr="008347FD" w:rsidRDefault="008347FD" w:rsidP="008347FD">
            <w:pPr>
              <w:jc w:val="right"/>
              <w:rPr>
                <w:rFonts w:ascii="Arial" w:hAnsi="Arial" w:cs="Arial"/>
                <w:color w:val="000000"/>
                <w:sz w:val="16"/>
                <w:szCs w:val="16"/>
              </w:rPr>
            </w:pPr>
            <w:r w:rsidRPr="008347FD">
              <w:rPr>
                <w:rFonts w:ascii="Arial" w:hAnsi="Arial" w:cs="Arial"/>
                <w:color w:val="000000"/>
                <w:sz w:val="16"/>
                <w:szCs w:val="16"/>
              </w:rPr>
              <w:t>-</w:t>
            </w:r>
          </w:p>
        </w:tc>
        <w:tc>
          <w:tcPr>
            <w:tcW w:w="1031" w:type="dxa"/>
            <w:tcBorders>
              <w:top w:val="nil"/>
              <w:left w:val="nil"/>
              <w:bottom w:val="single" w:sz="4" w:space="0" w:color="auto"/>
              <w:right w:val="single" w:sz="8" w:space="0" w:color="auto"/>
            </w:tcBorders>
            <w:shd w:val="clear" w:color="auto" w:fill="auto"/>
            <w:noWrap/>
            <w:vAlign w:val="bottom"/>
          </w:tcPr>
          <w:p w14:paraId="34D50F19" w14:textId="378F3524" w:rsidR="008347FD" w:rsidRPr="008347FD" w:rsidRDefault="008347FD" w:rsidP="008347FD">
            <w:pPr>
              <w:jc w:val="right"/>
              <w:rPr>
                <w:rFonts w:ascii="Arial" w:hAnsi="Arial" w:cs="Arial"/>
                <w:color w:val="000000"/>
                <w:sz w:val="16"/>
                <w:szCs w:val="16"/>
              </w:rPr>
            </w:pPr>
            <w:r w:rsidRPr="008347FD">
              <w:rPr>
                <w:rFonts w:ascii="Arial" w:hAnsi="Arial" w:cs="Arial"/>
                <w:color w:val="000000"/>
                <w:sz w:val="16"/>
                <w:szCs w:val="16"/>
              </w:rPr>
              <w:t>-</w:t>
            </w:r>
          </w:p>
        </w:tc>
      </w:tr>
      <w:tr w:rsidR="008347FD" w:rsidRPr="000B2F8E" w14:paraId="28C0FFAF" w14:textId="77777777" w:rsidTr="008347FD">
        <w:trPr>
          <w:trHeight w:val="236"/>
          <w:jc w:val="center"/>
        </w:trPr>
        <w:tc>
          <w:tcPr>
            <w:tcW w:w="40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506A464" w14:textId="77777777" w:rsidR="008347FD" w:rsidRPr="00613EB0" w:rsidRDefault="008347FD" w:rsidP="008347FD">
            <w:pPr>
              <w:rPr>
                <w:rFonts w:ascii="Arial" w:hAnsi="Arial" w:cs="Arial"/>
                <w:color w:val="000000"/>
                <w:sz w:val="16"/>
                <w:szCs w:val="16"/>
                <w:lang w:eastAsia="es-AR"/>
              </w:rPr>
            </w:pPr>
            <w:r w:rsidRPr="00613EB0">
              <w:rPr>
                <w:rFonts w:ascii="Arial" w:hAnsi="Arial" w:cs="Arial"/>
                <w:color w:val="000000"/>
                <w:sz w:val="16"/>
                <w:szCs w:val="16"/>
                <w:lang w:eastAsia="es-AR"/>
              </w:rPr>
              <w:t>-Otros pasivos financieros</w:t>
            </w:r>
          </w:p>
        </w:tc>
        <w:tc>
          <w:tcPr>
            <w:tcW w:w="1087" w:type="dxa"/>
            <w:tcBorders>
              <w:top w:val="single" w:sz="4" w:space="0" w:color="auto"/>
              <w:left w:val="nil"/>
              <w:bottom w:val="single" w:sz="4" w:space="0" w:color="auto"/>
              <w:right w:val="single" w:sz="4" w:space="0" w:color="auto"/>
            </w:tcBorders>
            <w:shd w:val="clear" w:color="auto" w:fill="auto"/>
            <w:noWrap/>
            <w:vAlign w:val="bottom"/>
          </w:tcPr>
          <w:p w14:paraId="6ADD4453" w14:textId="0B9EA026"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921.813</w:t>
            </w:r>
          </w:p>
        </w:tc>
        <w:tc>
          <w:tcPr>
            <w:tcW w:w="1075" w:type="dxa"/>
            <w:tcBorders>
              <w:top w:val="single" w:sz="4" w:space="0" w:color="auto"/>
              <w:left w:val="nil"/>
              <w:bottom w:val="single" w:sz="4" w:space="0" w:color="auto"/>
              <w:right w:val="single" w:sz="4" w:space="0" w:color="auto"/>
            </w:tcBorders>
            <w:shd w:val="clear" w:color="auto" w:fill="auto"/>
            <w:vAlign w:val="bottom"/>
          </w:tcPr>
          <w:p w14:paraId="4593269A" w14:textId="480B25D8"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921.813</w:t>
            </w:r>
          </w:p>
        </w:tc>
        <w:tc>
          <w:tcPr>
            <w:tcW w:w="177" w:type="dxa"/>
            <w:tcBorders>
              <w:top w:val="single" w:sz="4" w:space="0" w:color="auto"/>
              <w:left w:val="nil"/>
              <w:bottom w:val="single" w:sz="4" w:space="0" w:color="auto"/>
              <w:right w:val="single" w:sz="4" w:space="0" w:color="auto"/>
            </w:tcBorders>
            <w:shd w:val="clear" w:color="auto" w:fill="auto"/>
            <w:vAlign w:val="bottom"/>
          </w:tcPr>
          <w:p w14:paraId="393CC4ED" w14:textId="6EB7B080" w:rsidR="008347FD" w:rsidRPr="008347FD" w:rsidRDefault="008347FD" w:rsidP="008347FD">
            <w:pPr>
              <w:jc w:val="right"/>
              <w:rPr>
                <w:rFonts w:ascii="Arial" w:hAnsi="Arial" w:cs="Arial"/>
                <w:color w:val="000000"/>
                <w:sz w:val="16"/>
                <w:szCs w:val="16"/>
                <w:lang w:eastAsia="es-AR"/>
              </w:rPr>
            </w:pPr>
          </w:p>
        </w:tc>
        <w:tc>
          <w:tcPr>
            <w:tcW w:w="1000" w:type="dxa"/>
            <w:tcBorders>
              <w:top w:val="single" w:sz="4" w:space="0" w:color="auto"/>
              <w:left w:val="nil"/>
              <w:bottom w:val="single" w:sz="4" w:space="0" w:color="auto"/>
              <w:right w:val="single" w:sz="4" w:space="0" w:color="auto"/>
            </w:tcBorders>
            <w:shd w:val="clear" w:color="auto" w:fill="auto"/>
            <w:noWrap/>
            <w:vAlign w:val="bottom"/>
          </w:tcPr>
          <w:p w14:paraId="6B5B8FE9" w14:textId="1360848F"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921.813</w:t>
            </w:r>
          </w:p>
        </w:tc>
        <w:tc>
          <w:tcPr>
            <w:tcW w:w="954" w:type="dxa"/>
            <w:tcBorders>
              <w:top w:val="single" w:sz="4" w:space="0" w:color="auto"/>
              <w:left w:val="nil"/>
              <w:bottom w:val="single" w:sz="4" w:space="0" w:color="auto"/>
              <w:right w:val="single" w:sz="4" w:space="0" w:color="auto"/>
            </w:tcBorders>
            <w:shd w:val="clear" w:color="auto" w:fill="auto"/>
            <w:noWrap/>
            <w:vAlign w:val="bottom"/>
          </w:tcPr>
          <w:p w14:paraId="32ACD95A" w14:textId="7BA1E865"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1031" w:type="dxa"/>
            <w:tcBorders>
              <w:top w:val="single" w:sz="4" w:space="0" w:color="auto"/>
              <w:left w:val="nil"/>
              <w:bottom w:val="single" w:sz="4" w:space="0" w:color="auto"/>
              <w:right w:val="single" w:sz="8" w:space="0" w:color="auto"/>
            </w:tcBorders>
            <w:shd w:val="clear" w:color="auto" w:fill="auto"/>
            <w:noWrap/>
            <w:vAlign w:val="bottom"/>
          </w:tcPr>
          <w:p w14:paraId="2C1B2757" w14:textId="546A5E79"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r>
      <w:tr w:rsidR="008347FD" w:rsidRPr="000B2F8E" w14:paraId="7C514210" w14:textId="77777777" w:rsidTr="008347FD">
        <w:trPr>
          <w:trHeight w:val="191"/>
          <w:jc w:val="center"/>
        </w:trPr>
        <w:tc>
          <w:tcPr>
            <w:tcW w:w="4081" w:type="dxa"/>
            <w:tcBorders>
              <w:top w:val="nil"/>
              <w:left w:val="single" w:sz="8" w:space="0" w:color="auto"/>
              <w:bottom w:val="single" w:sz="4" w:space="0" w:color="auto"/>
              <w:right w:val="single" w:sz="4" w:space="0" w:color="auto"/>
            </w:tcBorders>
            <w:shd w:val="clear" w:color="auto" w:fill="auto"/>
            <w:noWrap/>
            <w:vAlign w:val="center"/>
            <w:hideMark/>
          </w:tcPr>
          <w:p w14:paraId="0F1DB691" w14:textId="77777777" w:rsidR="008347FD" w:rsidRPr="00613EB0" w:rsidRDefault="008347FD" w:rsidP="008347FD">
            <w:pPr>
              <w:rPr>
                <w:rFonts w:ascii="Arial" w:hAnsi="Arial" w:cs="Arial"/>
                <w:color w:val="000000"/>
                <w:sz w:val="16"/>
                <w:szCs w:val="16"/>
                <w:lang w:eastAsia="es-AR"/>
              </w:rPr>
            </w:pPr>
            <w:r w:rsidRPr="00613EB0">
              <w:rPr>
                <w:rFonts w:ascii="Arial" w:hAnsi="Arial" w:cs="Arial"/>
                <w:color w:val="000000"/>
                <w:sz w:val="16"/>
                <w:szCs w:val="16"/>
                <w:lang w:eastAsia="es-AR"/>
              </w:rPr>
              <w:t>-Financiaciones recibidas del BCRA y otras instituciones financieras</w:t>
            </w:r>
          </w:p>
        </w:tc>
        <w:tc>
          <w:tcPr>
            <w:tcW w:w="1087" w:type="dxa"/>
            <w:tcBorders>
              <w:top w:val="nil"/>
              <w:left w:val="nil"/>
              <w:bottom w:val="single" w:sz="4" w:space="0" w:color="auto"/>
              <w:right w:val="single" w:sz="4" w:space="0" w:color="auto"/>
            </w:tcBorders>
            <w:shd w:val="clear" w:color="auto" w:fill="auto"/>
            <w:noWrap/>
            <w:vAlign w:val="bottom"/>
          </w:tcPr>
          <w:p w14:paraId="01F191ED" w14:textId="7E704E19"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9.014.608</w:t>
            </w:r>
          </w:p>
        </w:tc>
        <w:tc>
          <w:tcPr>
            <w:tcW w:w="1075" w:type="dxa"/>
            <w:tcBorders>
              <w:top w:val="nil"/>
              <w:left w:val="nil"/>
              <w:bottom w:val="single" w:sz="4" w:space="0" w:color="auto"/>
              <w:right w:val="single" w:sz="4" w:space="0" w:color="auto"/>
            </w:tcBorders>
            <w:shd w:val="clear" w:color="auto" w:fill="auto"/>
            <w:vAlign w:val="bottom"/>
          </w:tcPr>
          <w:p w14:paraId="2B77DBE2" w14:textId="4E97FFD9"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10.106.088</w:t>
            </w:r>
          </w:p>
        </w:tc>
        <w:tc>
          <w:tcPr>
            <w:tcW w:w="177" w:type="dxa"/>
            <w:tcBorders>
              <w:top w:val="nil"/>
              <w:left w:val="nil"/>
              <w:bottom w:val="single" w:sz="4" w:space="0" w:color="auto"/>
              <w:right w:val="single" w:sz="4" w:space="0" w:color="auto"/>
            </w:tcBorders>
            <w:shd w:val="clear" w:color="auto" w:fill="auto"/>
            <w:vAlign w:val="bottom"/>
          </w:tcPr>
          <w:p w14:paraId="303B3C14" w14:textId="383F12FB" w:rsidR="008347FD" w:rsidRPr="008347FD" w:rsidRDefault="008347FD" w:rsidP="008347FD">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noWrap/>
            <w:vAlign w:val="bottom"/>
          </w:tcPr>
          <w:p w14:paraId="6B7CA6FA" w14:textId="206665AB"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954" w:type="dxa"/>
            <w:tcBorders>
              <w:top w:val="nil"/>
              <w:left w:val="nil"/>
              <w:bottom w:val="single" w:sz="4" w:space="0" w:color="auto"/>
              <w:right w:val="single" w:sz="4" w:space="0" w:color="auto"/>
            </w:tcBorders>
            <w:shd w:val="clear" w:color="auto" w:fill="auto"/>
            <w:noWrap/>
            <w:vAlign w:val="bottom"/>
          </w:tcPr>
          <w:p w14:paraId="281EAB40" w14:textId="0C13365C"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1031" w:type="dxa"/>
            <w:tcBorders>
              <w:top w:val="nil"/>
              <w:left w:val="nil"/>
              <w:bottom w:val="single" w:sz="4" w:space="0" w:color="auto"/>
              <w:right w:val="single" w:sz="8" w:space="0" w:color="auto"/>
            </w:tcBorders>
            <w:shd w:val="clear" w:color="auto" w:fill="auto"/>
            <w:noWrap/>
            <w:vAlign w:val="bottom"/>
          </w:tcPr>
          <w:p w14:paraId="3B9C756A" w14:textId="596B55B9"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10.106.088</w:t>
            </w:r>
          </w:p>
        </w:tc>
      </w:tr>
      <w:tr w:rsidR="008347FD" w:rsidRPr="000B2F8E" w14:paraId="3DC7BED1" w14:textId="77777777" w:rsidTr="008347FD">
        <w:trPr>
          <w:trHeight w:val="236"/>
          <w:jc w:val="center"/>
        </w:trPr>
        <w:tc>
          <w:tcPr>
            <w:tcW w:w="4081" w:type="dxa"/>
            <w:tcBorders>
              <w:top w:val="nil"/>
              <w:left w:val="single" w:sz="8" w:space="0" w:color="auto"/>
              <w:bottom w:val="single" w:sz="4" w:space="0" w:color="auto"/>
              <w:right w:val="single" w:sz="4" w:space="0" w:color="auto"/>
            </w:tcBorders>
            <w:shd w:val="clear" w:color="auto" w:fill="auto"/>
            <w:noWrap/>
            <w:vAlign w:val="center"/>
            <w:hideMark/>
          </w:tcPr>
          <w:p w14:paraId="546068DB" w14:textId="77777777" w:rsidR="008347FD" w:rsidRPr="00613EB0" w:rsidRDefault="008347FD" w:rsidP="008347FD">
            <w:pPr>
              <w:rPr>
                <w:rFonts w:ascii="Arial" w:hAnsi="Arial" w:cs="Arial"/>
                <w:color w:val="000000"/>
                <w:sz w:val="16"/>
                <w:szCs w:val="16"/>
                <w:lang w:eastAsia="es-AR"/>
              </w:rPr>
            </w:pPr>
            <w:r w:rsidRPr="00613EB0">
              <w:rPr>
                <w:rFonts w:ascii="Arial" w:hAnsi="Arial" w:cs="Arial"/>
                <w:color w:val="000000"/>
                <w:sz w:val="16"/>
                <w:szCs w:val="16"/>
                <w:lang w:eastAsia="es-AR"/>
              </w:rPr>
              <w:t>-Obligaciones negociables emitidas</w:t>
            </w:r>
          </w:p>
        </w:tc>
        <w:tc>
          <w:tcPr>
            <w:tcW w:w="1087" w:type="dxa"/>
            <w:tcBorders>
              <w:top w:val="nil"/>
              <w:left w:val="nil"/>
              <w:bottom w:val="single" w:sz="4" w:space="0" w:color="auto"/>
              <w:right w:val="single" w:sz="4" w:space="0" w:color="auto"/>
            </w:tcBorders>
            <w:shd w:val="clear" w:color="auto" w:fill="auto"/>
            <w:noWrap/>
            <w:vAlign w:val="bottom"/>
          </w:tcPr>
          <w:p w14:paraId="11A37BF1" w14:textId="5BB34CE5"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6.070.917</w:t>
            </w:r>
          </w:p>
        </w:tc>
        <w:tc>
          <w:tcPr>
            <w:tcW w:w="1075" w:type="dxa"/>
            <w:tcBorders>
              <w:top w:val="nil"/>
              <w:left w:val="nil"/>
              <w:bottom w:val="single" w:sz="4" w:space="0" w:color="auto"/>
              <w:right w:val="single" w:sz="4" w:space="0" w:color="auto"/>
            </w:tcBorders>
            <w:shd w:val="clear" w:color="auto" w:fill="auto"/>
            <w:vAlign w:val="bottom"/>
          </w:tcPr>
          <w:p w14:paraId="47D692FC" w14:textId="0E868ECE"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6.070.917</w:t>
            </w:r>
          </w:p>
        </w:tc>
        <w:tc>
          <w:tcPr>
            <w:tcW w:w="177" w:type="dxa"/>
            <w:tcBorders>
              <w:top w:val="nil"/>
              <w:left w:val="nil"/>
              <w:bottom w:val="single" w:sz="4" w:space="0" w:color="auto"/>
              <w:right w:val="single" w:sz="4" w:space="0" w:color="auto"/>
            </w:tcBorders>
            <w:shd w:val="clear" w:color="auto" w:fill="auto"/>
            <w:vAlign w:val="bottom"/>
          </w:tcPr>
          <w:p w14:paraId="0DD19D80" w14:textId="5B21357F" w:rsidR="008347FD" w:rsidRPr="008347FD" w:rsidRDefault="008347FD" w:rsidP="008347FD">
            <w:pPr>
              <w:jc w:val="right"/>
              <w:rPr>
                <w:rFonts w:ascii="Arial" w:hAnsi="Arial" w:cs="Arial"/>
                <w:color w:val="000000"/>
                <w:sz w:val="16"/>
                <w:szCs w:val="16"/>
                <w:lang w:eastAsia="es-AR"/>
              </w:rPr>
            </w:pPr>
          </w:p>
        </w:tc>
        <w:tc>
          <w:tcPr>
            <w:tcW w:w="1000" w:type="dxa"/>
            <w:tcBorders>
              <w:top w:val="nil"/>
              <w:left w:val="nil"/>
              <w:bottom w:val="single" w:sz="4" w:space="0" w:color="auto"/>
              <w:right w:val="single" w:sz="4" w:space="0" w:color="auto"/>
            </w:tcBorders>
            <w:shd w:val="clear" w:color="auto" w:fill="auto"/>
            <w:noWrap/>
            <w:vAlign w:val="bottom"/>
          </w:tcPr>
          <w:p w14:paraId="3D93E3B5" w14:textId="51B91071"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6.070.917</w:t>
            </w:r>
          </w:p>
        </w:tc>
        <w:tc>
          <w:tcPr>
            <w:tcW w:w="954" w:type="dxa"/>
            <w:tcBorders>
              <w:top w:val="nil"/>
              <w:left w:val="nil"/>
              <w:bottom w:val="single" w:sz="4" w:space="0" w:color="auto"/>
              <w:right w:val="single" w:sz="4" w:space="0" w:color="auto"/>
            </w:tcBorders>
            <w:shd w:val="clear" w:color="auto" w:fill="auto"/>
            <w:noWrap/>
            <w:vAlign w:val="bottom"/>
          </w:tcPr>
          <w:p w14:paraId="6D937709" w14:textId="1E3278F5"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1031" w:type="dxa"/>
            <w:tcBorders>
              <w:top w:val="nil"/>
              <w:left w:val="nil"/>
              <w:bottom w:val="single" w:sz="4" w:space="0" w:color="auto"/>
              <w:right w:val="single" w:sz="8" w:space="0" w:color="auto"/>
            </w:tcBorders>
            <w:shd w:val="clear" w:color="auto" w:fill="auto"/>
            <w:noWrap/>
            <w:vAlign w:val="bottom"/>
          </w:tcPr>
          <w:p w14:paraId="4D4A7DC5" w14:textId="52A5133E"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r>
      <w:tr w:rsidR="008347FD" w:rsidRPr="000B2F8E" w14:paraId="6F7CA7B5" w14:textId="77777777" w:rsidTr="008347FD">
        <w:trPr>
          <w:trHeight w:val="248"/>
          <w:jc w:val="center"/>
        </w:trPr>
        <w:tc>
          <w:tcPr>
            <w:tcW w:w="4081" w:type="dxa"/>
            <w:tcBorders>
              <w:top w:val="nil"/>
              <w:left w:val="single" w:sz="8" w:space="0" w:color="auto"/>
              <w:bottom w:val="nil"/>
              <w:right w:val="single" w:sz="4" w:space="0" w:color="auto"/>
            </w:tcBorders>
            <w:shd w:val="clear" w:color="auto" w:fill="auto"/>
            <w:noWrap/>
            <w:vAlign w:val="center"/>
            <w:hideMark/>
          </w:tcPr>
          <w:p w14:paraId="32F02002" w14:textId="77777777" w:rsidR="008347FD" w:rsidRPr="00613EB0" w:rsidRDefault="008347FD" w:rsidP="008347FD">
            <w:pPr>
              <w:rPr>
                <w:rFonts w:ascii="Arial" w:hAnsi="Arial" w:cs="Arial"/>
                <w:color w:val="000000"/>
                <w:sz w:val="16"/>
                <w:szCs w:val="16"/>
                <w:lang w:eastAsia="es-AR"/>
              </w:rPr>
            </w:pPr>
            <w:r w:rsidRPr="00613EB0">
              <w:rPr>
                <w:rFonts w:ascii="Arial" w:hAnsi="Arial" w:cs="Arial"/>
                <w:color w:val="000000"/>
                <w:sz w:val="16"/>
                <w:szCs w:val="16"/>
                <w:lang w:eastAsia="es-AR"/>
              </w:rPr>
              <w:t>-Obligaciones negociables subordinadas</w:t>
            </w:r>
          </w:p>
        </w:tc>
        <w:tc>
          <w:tcPr>
            <w:tcW w:w="1087" w:type="dxa"/>
            <w:tcBorders>
              <w:top w:val="nil"/>
              <w:left w:val="nil"/>
              <w:bottom w:val="nil"/>
              <w:right w:val="single" w:sz="4" w:space="0" w:color="auto"/>
            </w:tcBorders>
            <w:shd w:val="clear" w:color="auto" w:fill="auto"/>
            <w:noWrap/>
            <w:vAlign w:val="bottom"/>
          </w:tcPr>
          <w:p w14:paraId="4108BC87" w14:textId="2B969B28"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2.119.888</w:t>
            </w:r>
          </w:p>
        </w:tc>
        <w:tc>
          <w:tcPr>
            <w:tcW w:w="1075" w:type="dxa"/>
            <w:tcBorders>
              <w:top w:val="nil"/>
              <w:left w:val="nil"/>
              <w:bottom w:val="nil"/>
              <w:right w:val="single" w:sz="4" w:space="0" w:color="auto"/>
            </w:tcBorders>
            <w:shd w:val="clear" w:color="auto" w:fill="auto"/>
            <w:vAlign w:val="bottom"/>
          </w:tcPr>
          <w:p w14:paraId="07354BAE" w14:textId="494DF4BB"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2.368.114</w:t>
            </w:r>
          </w:p>
        </w:tc>
        <w:tc>
          <w:tcPr>
            <w:tcW w:w="177" w:type="dxa"/>
            <w:tcBorders>
              <w:top w:val="nil"/>
              <w:left w:val="nil"/>
              <w:bottom w:val="nil"/>
              <w:right w:val="single" w:sz="4" w:space="0" w:color="auto"/>
            </w:tcBorders>
            <w:shd w:val="clear" w:color="auto" w:fill="auto"/>
            <w:vAlign w:val="bottom"/>
          </w:tcPr>
          <w:p w14:paraId="22A51460" w14:textId="4EB27EC0" w:rsidR="008347FD" w:rsidRPr="008347FD" w:rsidRDefault="008347FD" w:rsidP="008347FD">
            <w:pPr>
              <w:jc w:val="right"/>
              <w:rPr>
                <w:rFonts w:ascii="Arial" w:hAnsi="Arial" w:cs="Arial"/>
                <w:color w:val="000000"/>
                <w:sz w:val="16"/>
                <w:szCs w:val="16"/>
                <w:lang w:eastAsia="es-AR"/>
              </w:rPr>
            </w:pPr>
          </w:p>
        </w:tc>
        <w:tc>
          <w:tcPr>
            <w:tcW w:w="1000" w:type="dxa"/>
            <w:tcBorders>
              <w:top w:val="nil"/>
              <w:left w:val="nil"/>
              <w:bottom w:val="nil"/>
              <w:right w:val="single" w:sz="4" w:space="0" w:color="auto"/>
            </w:tcBorders>
            <w:shd w:val="clear" w:color="auto" w:fill="auto"/>
            <w:noWrap/>
            <w:vAlign w:val="bottom"/>
          </w:tcPr>
          <w:p w14:paraId="320B6943" w14:textId="3D937AA9"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2.368.114</w:t>
            </w:r>
          </w:p>
        </w:tc>
        <w:tc>
          <w:tcPr>
            <w:tcW w:w="954" w:type="dxa"/>
            <w:tcBorders>
              <w:top w:val="nil"/>
              <w:left w:val="nil"/>
              <w:bottom w:val="nil"/>
              <w:right w:val="single" w:sz="4" w:space="0" w:color="auto"/>
            </w:tcBorders>
            <w:shd w:val="clear" w:color="auto" w:fill="auto"/>
            <w:noWrap/>
            <w:vAlign w:val="bottom"/>
          </w:tcPr>
          <w:p w14:paraId="7AD206A1" w14:textId="62BE2F9F"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c>
          <w:tcPr>
            <w:tcW w:w="1031" w:type="dxa"/>
            <w:tcBorders>
              <w:top w:val="nil"/>
              <w:left w:val="nil"/>
              <w:bottom w:val="nil"/>
              <w:right w:val="single" w:sz="8" w:space="0" w:color="auto"/>
            </w:tcBorders>
            <w:shd w:val="clear" w:color="auto" w:fill="auto"/>
            <w:noWrap/>
            <w:vAlign w:val="bottom"/>
          </w:tcPr>
          <w:p w14:paraId="66553FC7" w14:textId="6DC27C3B" w:rsidR="008347FD" w:rsidRPr="008347FD" w:rsidRDefault="008347FD" w:rsidP="008347FD">
            <w:pPr>
              <w:jc w:val="right"/>
              <w:rPr>
                <w:rFonts w:ascii="Arial" w:hAnsi="Arial" w:cs="Arial"/>
                <w:color w:val="000000"/>
                <w:sz w:val="16"/>
                <w:szCs w:val="16"/>
                <w:lang w:eastAsia="es-AR"/>
              </w:rPr>
            </w:pPr>
            <w:r w:rsidRPr="008347FD">
              <w:rPr>
                <w:rFonts w:ascii="Arial" w:hAnsi="Arial" w:cs="Arial"/>
                <w:color w:val="000000"/>
                <w:sz w:val="16"/>
                <w:szCs w:val="16"/>
              </w:rPr>
              <w:t>-</w:t>
            </w:r>
          </w:p>
        </w:tc>
      </w:tr>
      <w:tr w:rsidR="008347FD" w:rsidRPr="000B2F8E" w14:paraId="322766F4" w14:textId="77777777" w:rsidTr="008347FD">
        <w:trPr>
          <w:trHeight w:val="248"/>
          <w:jc w:val="center"/>
        </w:trPr>
        <w:tc>
          <w:tcPr>
            <w:tcW w:w="4081"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1C3AB29B" w14:textId="77777777" w:rsidR="008347FD" w:rsidRPr="00613EB0" w:rsidRDefault="008347FD" w:rsidP="008347FD">
            <w:pPr>
              <w:rPr>
                <w:rFonts w:ascii="Arial" w:hAnsi="Arial" w:cs="Arial"/>
                <w:b/>
                <w:color w:val="000000"/>
                <w:sz w:val="16"/>
                <w:szCs w:val="16"/>
                <w:lang w:eastAsia="es-AR"/>
              </w:rPr>
            </w:pPr>
            <w:r w:rsidRPr="00613EB0">
              <w:rPr>
                <w:rFonts w:ascii="Arial" w:hAnsi="Arial" w:cs="Arial"/>
                <w:b/>
                <w:color w:val="000000"/>
                <w:sz w:val="16"/>
                <w:szCs w:val="16"/>
                <w:lang w:eastAsia="es-AR"/>
              </w:rPr>
              <w:t> </w:t>
            </w:r>
          </w:p>
        </w:tc>
        <w:tc>
          <w:tcPr>
            <w:tcW w:w="1087" w:type="dxa"/>
            <w:tcBorders>
              <w:top w:val="single" w:sz="8" w:space="0" w:color="auto"/>
              <w:left w:val="nil"/>
              <w:bottom w:val="single" w:sz="8" w:space="0" w:color="auto"/>
              <w:right w:val="single" w:sz="4" w:space="0" w:color="auto"/>
            </w:tcBorders>
            <w:shd w:val="clear" w:color="000000" w:fill="EDEDED"/>
            <w:noWrap/>
            <w:vAlign w:val="bottom"/>
          </w:tcPr>
          <w:p w14:paraId="12E2B4DC" w14:textId="75048F91" w:rsidR="008347FD" w:rsidRPr="008347FD" w:rsidRDefault="008347FD" w:rsidP="008347FD">
            <w:pPr>
              <w:jc w:val="right"/>
              <w:rPr>
                <w:rFonts w:ascii="Arial" w:hAnsi="Arial" w:cs="Arial"/>
                <w:b/>
                <w:bCs/>
                <w:color w:val="000000"/>
                <w:sz w:val="16"/>
                <w:szCs w:val="16"/>
                <w:lang w:eastAsia="es-AR"/>
              </w:rPr>
            </w:pPr>
            <w:r w:rsidRPr="008347FD">
              <w:rPr>
                <w:rFonts w:ascii="Arial" w:hAnsi="Arial" w:cs="Arial"/>
                <w:b/>
                <w:bCs/>
                <w:color w:val="000000"/>
                <w:sz w:val="16"/>
                <w:szCs w:val="16"/>
              </w:rPr>
              <w:t>109.924.509</w:t>
            </w:r>
          </w:p>
        </w:tc>
        <w:tc>
          <w:tcPr>
            <w:tcW w:w="1075" w:type="dxa"/>
            <w:tcBorders>
              <w:top w:val="single" w:sz="8" w:space="0" w:color="auto"/>
              <w:left w:val="nil"/>
              <w:bottom w:val="single" w:sz="8" w:space="0" w:color="auto"/>
              <w:right w:val="single" w:sz="4" w:space="0" w:color="auto"/>
            </w:tcBorders>
            <w:shd w:val="clear" w:color="000000" w:fill="EDEDED"/>
            <w:noWrap/>
            <w:vAlign w:val="bottom"/>
          </w:tcPr>
          <w:p w14:paraId="1E411984" w14:textId="45B91176" w:rsidR="008347FD" w:rsidRPr="008347FD" w:rsidRDefault="008347FD" w:rsidP="008347FD">
            <w:pPr>
              <w:jc w:val="right"/>
              <w:rPr>
                <w:rFonts w:ascii="Arial" w:hAnsi="Arial" w:cs="Arial"/>
                <w:b/>
                <w:bCs/>
                <w:color w:val="000000"/>
                <w:sz w:val="16"/>
                <w:szCs w:val="16"/>
                <w:lang w:eastAsia="es-AR"/>
              </w:rPr>
            </w:pPr>
            <w:r w:rsidRPr="008347FD">
              <w:rPr>
                <w:rFonts w:ascii="Arial" w:hAnsi="Arial" w:cs="Arial"/>
                <w:b/>
                <w:bCs/>
                <w:color w:val="000000"/>
                <w:sz w:val="16"/>
                <w:szCs w:val="16"/>
              </w:rPr>
              <w:t>111.217.4</w:t>
            </w:r>
            <w:r w:rsidR="00355FF9">
              <w:rPr>
                <w:rFonts w:ascii="Arial" w:hAnsi="Arial" w:cs="Arial"/>
                <w:b/>
                <w:bCs/>
                <w:color w:val="000000"/>
                <w:sz w:val="16"/>
                <w:szCs w:val="16"/>
              </w:rPr>
              <w:t>30</w:t>
            </w:r>
          </w:p>
        </w:tc>
        <w:tc>
          <w:tcPr>
            <w:tcW w:w="177" w:type="dxa"/>
            <w:tcBorders>
              <w:top w:val="single" w:sz="8" w:space="0" w:color="auto"/>
              <w:left w:val="nil"/>
              <w:bottom w:val="single" w:sz="8" w:space="0" w:color="auto"/>
              <w:right w:val="single" w:sz="4" w:space="0" w:color="auto"/>
            </w:tcBorders>
            <w:shd w:val="clear" w:color="000000" w:fill="EDEDED"/>
            <w:noWrap/>
            <w:vAlign w:val="bottom"/>
          </w:tcPr>
          <w:p w14:paraId="427C9C45" w14:textId="2FCE78EA" w:rsidR="008347FD" w:rsidRPr="008347FD" w:rsidRDefault="008347FD" w:rsidP="008347FD">
            <w:pPr>
              <w:jc w:val="right"/>
              <w:rPr>
                <w:rFonts w:ascii="Arial" w:hAnsi="Arial" w:cs="Arial"/>
                <w:b/>
                <w:bCs/>
                <w:color w:val="000000"/>
                <w:sz w:val="16"/>
                <w:szCs w:val="16"/>
                <w:lang w:eastAsia="es-AR"/>
              </w:rPr>
            </w:pPr>
          </w:p>
        </w:tc>
        <w:tc>
          <w:tcPr>
            <w:tcW w:w="1000" w:type="dxa"/>
            <w:tcBorders>
              <w:top w:val="single" w:sz="8" w:space="0" w:color="auto"/>
              <w:left w:val="nil"/>
              <w:bottom w:val="single" w:sz="8" w:space="0" w:color="auto"/>
              <w:right w:val="single" w:sz="4" w:space="0" w:color="auto"/>
            </w:tcBorders>
            <w:shd w:val="clear" w:color="000000" w:fill="EDEDED"/>
            <w:noWrap/>
            <w:vAlign w:val="bottom"/>
          </w:tcPr>
          <w:p w14:paraId="4183C933" w14:textId="176A577E" w:rsidR="008347FD" w:rsidRPr="008347FD" w:rsidRDefault="008347FD" w:rsidP="008347FD">
            <w:pPr>
              <w:jc w:val="right"/>
              <w:rPr>
                <w:rFonts w:ascii="Arial" w:hAnsi="Arial" w:cs="Arial"/>
                <w:b/>
                <w:bCs/>
                <w:color w:val="000000"/>
                <w:sz w:val="16"/>
                <w:szCs w:val="16"/>
                <w:lang w:eastAsia="es-AR"/>
              </w:rPr>
            </w:pPr>
            <w:r w:rsidRPr="008347FD">
              <w:rPr>
                <w:rFonts w:ascii="Arial" w:hAnsi="Arial" w:cs="Arial"/>
                <w:b/>
                <w:bCs/>
                <w:color w:val="000000"/>
                <w:sz w:val="16"/>
                <w:szCs w:val="16"/>
              </w:rPr>
              <w:t>9.680.661</w:t>
            </w:r>
          </w:p>
        </w:tc>
        <w:tc>
          <w:tcPr>
            <w:tcW w:w="954" w:type="dxa"/>
            <w:tcBorders>
              <w:top w:val="single" w:sz="8" w:space="0" w:color="auto"/>
              <w:left w:val="nil"/>
              <w:bottom w:val="single" w:sz="8" w:space="0" w:color="auto"/>
              <w:right w:val="single" w:sz="4" w:space="0" w:color="auto"/>
            </w:tcBorders>
            <w:shd w:val="clear" w:color="000000" w:fill="EDEDED"/>
            <w:noWrap/>
            <w:vAlign w:val="bottom"/>
          </w:tcPr>
          <w:p w14:paraId="77CA83F6" w14:textId="723066E3" w:rsidR="008347FD" w:rsidRPr="008347FD" w:rsidRDefault="008347FD" w:rsidP="008347FD">
            <w:pPr>
              <w:jc w:val="right"/>
              <w:rPr>
                <w:rFonts w:ascii="Arial" w:hAnsi="Arial" w:cs="Arial"/>
                <w:b/>
                <w:bCs/>
                <w:color w:val="000000"/>
                <w:sz w:val="16"/>
                <w:szCs w:val="16"/>
                <w:lang w:eastAsia="es-AR"/>
              </w:rPr>
            </w:pPr>
            <w:r w:rsidRPr="008347FD">
              <w:rPr>
                <w:rFonts w:ascii="Arial" w:hAnsi="Arial" w:cs="Arial"/>
                <w:b/>
                <w:bCs/>
                <w:color w:val="000000"/>
                <w:sz w:val="16"/>
                <w:szCs w:val="16"/>
              </w:rPr>
              <w:t>-</w:t>
            </w:r>
          </w:p>
        </w:tc>
        <w:tc>
          <w:tcPr>
            <w:tcW w:w="1031" w:type="dxa"/>
            <w:tcBorders>
              <w:top w:val="single" w:sz="8" w:space="0" w:color="auto"/>
              <w:left w:val="nil"/>
              <w:bottom w:val="single" w:sz="8" w:space="0" w:color="auto"/>
              <w:right w:val="single" w:sz="8" w:space="0" w:color="auto"/>
            </w:tcBorders>
            <w:shd w:val="clear" w:color="000000" w:fill="EDEDED"/>
            <w:noWrap/>
            <w:vAlign w:val="bottom"/>
          </w:tcPr>
          <w:p w14:paraId="2F357DC9" w14:textId="14635EA6" w:rsidR="008347FD" w:rsidRPr="008347FD" w:rsidRDefault="008347FD" w:rsidP="008347FD">
            <w:pPr>
              <w:jc w:val="right"/>
              <w:rPr>
                <w:rFonts w:ascii="Arial" w:hAnsi="Arial" w:cs="Arial"/>
                <w:b/>
                <w:bCs/>
                <w:color w:val="000000"/>
                <w:sz w:val="16"/>
                <w:szCs w:val="16"/>
                <w:lang w:eastAsia="es-AR"/>
              </w:rPr>
            </w:pPr>
            <w:r w:rsidRPr="008347FD">
              <w:rPr>
                <w:rFonts w:ascii="Arial" w:hAnsi="Arial" w:cs="Arial"/>
                <w:b/>
                <w:bCs/>
                <w:color w:val="000000"/>
                <w:sz w:val="16"/>
                <w:szCs w:val="16"/>
              </w:rPr>
              <w:t>101.536.76</w:t>
            </w:r>
            <w:r w:rsidR="00EF3BB3">
              <w:rPr>
                <w:rFonts w:ascii="Arial" w:hAnsi="Arial" w:cs="Arial"/>
                <w:b/>
                <w:bCs/>
                <w:color w:val="000000"/>
                <w:sz w:val="16"/>
                <w:szCs w:val="16"/>
              </w:rPr>
              <w:t>9</w:t>
            </w:r>
          </w:p>
        </w:tc>
      </w:tr>
    </w:tbl>
    <w:p w14:paraId="15272B22" w14:textId="77777777" w:rsidR="00D70FEB" w:rsidRDefault="00D70FEB" w:rsidP="00420ED8">
      <w:pPr>
        <w:pStyle w:val="Style1"/>
        <w:jc w:val="both"/>
        <w:rPr>
          <w:rFonts w:ascii="Arial" w:eastAsia="Calibri" w:hAnsi="Arial" w:cs="Arial"/>
          <w:noProof w:val="0"/>
          <w:szCs w:val="20"/>
        </w:rPr>
      </w:pPr>
    </w:p>
    <w:tbl>
      <w:tblPr>
        <w:tblW w:w="9491" w:type="dxa"/>
        <w:jc w:val="center"/>
        <w:tblCellMar>
          <w:left w:w="70" w:type="dxa"/>
          <w:right w:w="70" w:type="dxa"/>
        </w:tblCellMar>
        <w:tblLook w:val="04A0" w:firstRow="1" w:lastRow="0" w:firstColumn="1" w:lastColumn="0" w:noHBand="0" w:noVBand="1"/>
      </w:tblPr>
      <w:tblGrid>
        <w:gridCol w:w="3871"/>
        <w:gridCol w:w="1083"/>
        <w:gridCol w:w="1030"/>
        <w:gridCol w:w="188"/>
        <w:gridCol w:w="1157"/>
        <w:gridCol w:w="983"/>
        <w:gridCol w:w="1179"/>
      </w:tblGrid>
      <w:tr w:rsidR="00C43BF8" w:rsidRPr="00A376FF" w14:paraId="05F417EC" w14:textId="77777777" w:rsidTr="00D70FEB">
        <w:trPr>
          <w:trHeight w:val="329"/>
          <w:tblHeader/>
          <w:jc w:val="center"/>
        </w:trPr>
        <w:tc>
          <w:tcPr>
            <w:tcW w:w="3871" w:type="dxa"/>
            <w:tcBorders>
              <w:top w:val="single" w:sz="8" w:space="0" w:color="auto"/>
              <w:left w:val="single" w:sz="8" w:space="0" w:color="auto"/>
              <w:bottom w:val="nil"/>
              <w:right w:val="single" w:sz="4" w:space="0" w:color="auto"/>
            </w:tcBorders>
            <w:shd w:val="clear" w:color="auto" w:fill="auto"/>
            <w:noWrap/>
            <w:vAlign w:val="center"/>
            <w:hideMark/>
          </w:tcPr>
          <w:p w14:paraId="0CCE7B67" w14:textId="77777777" w:rsidR="00C43BF8" w:rsidRPr="00613EB0" w:rsidRDefault="00C43BF8" w:rsidP="00C43BF8">
            <w:pPr>
              <w:jc w:val="center"/>
              <w:rPr>
                <w:rFonts w:ascii="Arial" w:hAnsi="Arial" w:cs="Arial"/>
                <w:b/>
                <w:bCs/>
                <w:i/>
                <w:iCs/>
                <w:sz w:val="16"/>
                <w:szCs w:val="16"/>
                <w:lang w:eastAsia="es-AR"/>
              </w:rPr>
            </w:pPr>
            <w:r w:rsidRPr="00613EB0">
              <w:rPr>
                <w:rFonts w:ascii="Arial" w:hAnsi="Arial" w:cs="Arial"/>
                <w:b/>
                <w:bCs/>
                <w:i/>
                <w:iCs/>
                <w:sz w:val="16"/>
                <w:szCs w:val="16"/>
                <w:lang w:eastAsia="es-AR"/>
              </w:rPr>
              <w:t>31-12-2018</w:t>
            </w:r>
          </w:p>
        </w:tc>
        <w:tc>
          <w:tcPr>
            <w:tcW w:w="1083" w:type="dxa"/>
            <w:tcBorders>
              <w:top w:val="single" w:sz="8" w:space="0" w:color="auto"/>
              <w:left w:val="nil"/>
              <w:bottom w:val="nil"/>
              <w:right w:val="single" w:sz="4" w:space="0" w:color="auto"/>
            </w:tcBorders>
            <w:shd w:val="clear" w:color="auto" w:fill="auto"/>
            <w:vAlign w:val="center"/>
            <w:hideMark/>
          </w:tcPr>
          <w:p w14:paraId="6860D20B" w14:textId="77777777" w:rsidR="00C43BF8" w:rsidRPr="00613EB0" w:rsidRDefault="00C43BF8" w:rsidP="00C43BF8">
            <w:pPr>
              <w:jc w:val="center"/>
              <w:rPr>
                <w:rFonts w:ascii="Arial" w:hAnsi="Arial" w:cs="Arial"/>
                <w:b/>
                <w:bCs/>
                <w:sz w:val="16"/>
                <w:szCs w:val="16"/>
                <w:lang w:eastAsia="es-AR"/>
              </w:rPr>
            </w:pPr>
            <w:r w:rsidRPr="00613EB0">
              <w:rPr>
                <w:rFonts w:ascii="Arial" w:hAnsi="Arial" w:cs="Arial"/>
                <w:b/>
                <w:bCs/>
                <w:sz w:val="16"/>
                <w:szCs w:val="16"/>
                <w:lang w:eastAsia="es-AR"/>
              </w:rPr>
              <w:t>Valor contable</w:t>
            </w:r>
          </w:p>
        </w:tc>
        <w:tc>
          <w:tcPr>
            <w:tcW w:w="1030" w:type="dxa"/>
            <w:tcBorders>
              <w:top w:val="single" w:sz="8" w:space="0" w:color="auto"/>
              <w:left w:val="nil"/>
              <w:bottom w:val="nil"/>
              <w:right w:val="single" w:sz="4" w:space="0" w:color="auto"/>
            </w:tcBorders>
            <w:shd w:val="clear" w:color="auto" w:fill="auto"/>
            <w:vAlign w:val="center"/>
            <w:hideMark/>
          </w:tcPr>
          <w:p w14:paraId="6566CF9A" w14:textId="77777777" w:rsidR="00C43BF8" w:rsidRPr="00613EB0" w:rsidRDefault="00C43BF8" w:rsidP="00C43BF8">
            <w:pPr>
              <w:jc w:val="center"/>
              <w:rPr>
                <w:rFonts w:ascii="Arial" w:hAnsi="Arial" w:cs="Arial"/>
                <w:b/>
                <w:bCs/>
                <w:sz w:val="16"/>
                <w:szCs w:val="16"/>
                <w:lang w:eastAsia="es-AR"/>
              </w:rPr>
            </w:pPr>
            <w:r w:rsidRPr="00613EB0">
              <w:rPr>
                <w:rFonts w:ascii="Arial" w:hAnsi="Arial" w:cs="Arial"/>
                <w:b/>
                <w:bCs/>
                <w:sz w:val="16"/>
                <w:szCs w:val="16"/>
                <w:lang w:eastAsia="es-AR"/>
              </w:rPr>
              <w:t>Valor razonable</w:t>
            </w:r>
          </w:p>
        </w:tc>
        <w:tc>
          <w:tcPr>
            <w:tcW w:w="188" w:type="dxa"/>
            <w:tcBorders>
              <w:top w:val="single" w:sz="8" w:space="0" w:color="auto"/>
              <w:left w:val="nil"/>
              <w:bottom w:val="nil"/>
              <w:right w:val="single" w:sz="4" w:space="0" w:color="auto"/>
            </w:tcBorders>
            <w:shd w:val="clear" w:color="auto" w:fill="auto"/>
            <w:vAlign w:val="center"/>
            <w:hideMark/>
          </w:tcPr>
          <w:p w14:paraId="34373E75" w14:textId="77777777" w:rsidR="00C43BF8" w:rsidRPr="00613EB0" w:rsidRDefault="00C43BF8" w:rsidP="00C43BF8">
            <w:pPr>
              <w:jc w:val="center"/>
              <w:rPr>
                <w:rFonts w:ascii="Arial" w:hAnsi="Arial" w:cs="Arial"/>
                <w:b/>
                <w:bCs/>
                <w:sz w:val="16"/>
                <w:szCs w:val="16"/>
                <w:lang w:eastAsia="es-AR"/>
              </w:rPr>
            </w:pPr>
            <w:r w:rsidRPr="00613EB0">
              <w:rPr>
                <w:rFonts w:ascii="Arial" w:hAnsi="Arial" w:cs="Arial"/>
                <w:b/>
                <w:bCs/>
                <w:sz w:val="16"/>
                <w:szCs w:val="16"/>
                <w:lang w:eastAsia="es-AR"/>
              </w:rPr>
              <w:t> </w:t>
            </w:r>
          </w:p>
        </w:tc>
        <w:tc>
          <w:tcPr>
            <w:tcW w:w="1157" w:type="dxa"/>
            <w:tcBorders>
              <w:top w:val="single" w:sz="8" w:space="0" w:color="auto"/>
              <w:left w:val="nil"/>
              <w:bottom w:val="nil"/>
              <w:right w:val="single" w:sz="4" w:space="0" w:color="auto"/>
            </w:tcBorders>
            <w:shd w:val="clear" w:color="auto" w:fill="auto"/>
            <w:vAlign w:val="center"/>
            <w:hideMark/>
          </w:tcPr>
          <w:p w14:paraId="4663DD7A" w14:textId="77777777" w:rsidR="00C43BF8" w:rsidRPr="00613EB0" w:rsidRDefault="00C43BF8" w:rsidP="00C43BF8">
            <w:pPr>
              <w:jc w:val="center"/>
              <w:rPr>
                <w:rFonts w:ascii="Arial" w:hAnsi="Arial" w:cs="Arial"/>
                <w:b/>
                <w:bCs/>
                <w:sz w:val="16"/>
                <w:szCs w:val="16"/>
                <w:lang w:eastAsia="es-AR"/>
              </w:rPr>
            </w:pPr>
            <w:r w:rsidRPr="00613EB0">
              <w:rPr>
                <w:rFonts w:ascii="Arial" w:hAnsi="Arial" w:cs="Arial"/>
                <w:b/>
                <w:bCs/>
                <w:sz w:val="16"/>
                <w:szCs w:val="16"/>
                <w:lang w:eastAsia="es-AR"/>
              </w:rPr>
              <w:t>VR Nivel 1</w:t>
            </w:r>
          </w:p>
        </w:tc>
        <w:tc>
          <w:tcPr>
            <w:tcW w:w="983" w:type="dxa"/>
            <w:tcBorders>
              <w:top w:val="single" w:sz="8" w:space="0" w:color="auto"/>
              <w:left w:val="nil"/>
              <w:bottom w:val="nil"/>
              <w:right w:val="single" w:sz="4" w:space="0" w:color="auto"/>
            </w:tcBorders>
            <w:shd w:val="clear" w:color="auto" w:fill="auto"/>
            <w:vAlign w:val="center"/>
            <w:hideMark/>
          </w:tcPr>
          <w:p w14:paraId="00347C66" w14:textId="77777777" w:rsidR="00C43BF8" w:rsidRPr="00613EB0" w:rsidRDefault="00C43BF8" w:rsidP="00C43BF8">
            <w:pPr>
              <w:jc w:val="center"/>
              <w:rPr>
                <w:rFonts w:ascii="Arial" w:hAnsi="Arial" w:cs="Arial"/>
                <w:b/>
                <w:bCs/>
                <w:sz w:val="16"/>
                <w:szCs w:val="16"/>
                <w:lang w:eastAsia="es-AR"/>
              </w:rPr>
            </w:pPr>
            <w:r w:rsidRPr="00613EB0">
              <w:rPr>
                <w:rFonts w:ascii="Arial" w:hAnsi="Arial" w:cs="Arial"/>
                <w:b/>
                <w:bCs/>
                <w:sz w:val="16"/>
                <w:szCs w:val="16"/>
                <w:lang w:eastAsia="es-AR"/>
              </w:rPr>
              <w:t>VR Nivel 2</w:t>
            </w:r>
          </w:p>
        </w:tc>
        <w:tc>
          <w:tcPr>
            <w:tcW w:w="1179" w:type="dxa"/>
            <w:tcBorders>
              <w:top w:val="single" w:sz="8" w:space="0" w:color="auto"/>
              <w:left w:val="nil"/>
              <w:bottom w:val="nil"/>
              <w:right w:val="single" w:sz="8" w:space="0" w:color="auto"/>
            </w:tcBorders>
            <w:shd w:val="clear" w:color="auto" w:fill="auto"/>
            <w:vAlign w:val="center"/>
            <w:hideMark/>
          </w:tcPr>
          <w:p w14:paraId="7894F7D1" w14:textId="77777777" w:rsidR="00C43BF8" w:rsidRPr="00613EB0" w:rsidRDefault="00C43BF8" w:rsidP="00C43BF8">
            <w:pPr>
              <w:jc w:val="center"/>
              <w:rPr>
                <w:rFonts w:ascii="Arial" w:hAnsi="Arial" w:cs="Arial"/>
                <w:b/>
                <w:bCs/>
                <w:sz w:val="16"/>
                <w:szCs w:val="16"/>
                <w:lang w:eastAsia="es-AR"/>
              </w:rPr>
            </w:pPr>
            <w:r w:rsidRPr="00613EB0">
              <w:rPr>
                <w:rFonts w:ascii="Arial" w:hAnsi="Arial" w:cs="Arial"/>
                <w:b/>
                <w:bCs/>
                <w:sz w:val="16"/>
                <w:szCs w:val="16"/>
                <w:lang w:eastAsia="es-AR"/>
              </w:rPr>
              <w:t>VR Nivel 3</w:t>
            </w:r>
          </w:p>
        </w:tc>
      </w:tr>
      <w:tr w:rsidR="00C43BF8" w:rsidRPr="00A376FF" w14:paraId="6AC80612" w14:textId="77777777" w:rsidTr="00D70FEB">
        <w:trPr>
          <w:trHeight w:val="208"/>
          <w:jc w:val="center"/>
        </w:trPr>
        <w:tc>
          <w:tcPr>
            <w:tcW w:w="3871"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00467881" w14:textId="77777777" w:rsidR="00C43BF8" w:rsidRPr="00613EB0" w:rsidRDefault="00C43BF8" w:rsidP="00C43BF8">
            <w:pPr>
              <w:rPr>
                <w:rFonts w:ascii="Arial" w:hAnsi="Arial" w:cs="Arial"/>
                <w:b/>
                <w:bCs/>
                <w:i/>
                <w:iCs/>
                <w:sz w:val="16"/>
                <w:szCs w:val="16"/>
                <w:lang w:eastAsia="es-AR"/>
              </w:rPr>
            </w:pPr>
            <w:r w:rsidRPr="00613EB0">
              <w:rPr>
                <w:rFonts w:ascii="Arial" w:hAnsi="Arial" w:cs="Arial"/>
                <w:b/>
                <w:bCs/>
                <w:i/>
                <w:iCs/>
                <w:sz w:val="16"/>
                <w:szCs w:val="16"/>
                <w:lang w:eastAsia="es-AR"/>
              </w:rPr>
              <w:t>Activos Financieros</w:t>
            </w:r>
          </w:p>
        </w:tc>
        <w:tc>
          <w:tcPr>
            <w:tcW w:w="1083" w:type="dxa"/>
            <w:tcBorders>
              <w:top w:val="single" w:sz="8" w:space="0" w:color="auto"/>
              <w:left w:val="nil"/>
              <w:bottom w:val="single" w:sz="8" w:space="0" w:color="auto"/>
              <w:right w:val="single" w:sz="4" w:space="0" w:color="auto"/>
            </w:tcBorders>
            <w:shd w:val="clear" w:color="000000" w:fill="EDEDED"/>
            <w:vAlign w:val="center"/>
            <w:hideMark/>
          </w:tcPr>
          <w:p w14:paraId="2A899015"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30" w:type="dxa"/>
            <w:tcBorders>
              <w:top w:val="single" w:sz="8" w:space="0" w:color="auto"/>
              <w:left w:val="nil"/>
              <w:bottom w:val="single" w:sz="8" w:space="0" w:color="auto"/>
              <w:right w:val="single" w:sz="4" w:space="0" w:color="auto"/>
            </w:tcBorders>
            <w:shd w:val="clear" w:color="000000" w:fill="EDEDED"/>
            <w:vAlign w:val="center"/>
            <w:hideMark/>
          </w:tcPr>
          <w:p w14:paraId="7A693757"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88" w:type="dxa"/>
            <w:tcBorders>
              <w:top w:val="single" w:sz="8" w:space="0" w:color="auto"/>
              <w:left w:val="nil"/>
              <w:bottom w:val="single" w:sz="8" w:space="0" w:color="auto"/>
              <w:right w:val="single" w:sz="4" w:space="0" w:color="auto"/>
            </w:tcBorders>
            <w:shd w:val="clear" w:color="000000" w:fill="EDEDED"/>
            <w:vAlign w:val="center"/>
            <w:hideMark/>
          </w:tcPr>
          <w:p w14:paraId="317CF84C"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157" w:type="dxa"/>
            <w:tcBorders>
              <w:top w:val="single" w:sz="8" w:space="0" w:color="auto"/>
              <w:left w:val="nil"/>
              <w:bottom w:val="single" w:sz="8" w:space="0" w:color="auto"/>
              <w:right w:val="single" w:sz="4" w:space="0" w:color="auto"/>
            </w:tcBorders>
            <w:shd w:val="clear" w:color="000000" w:fill="EDEDED"/>
            <w:vAlign w:val="center"/>
            <w:hideMark/>
          </w:tcPr>
          <w:p w14:paraId="224E4078"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983" w:type="dxa"/>
            <w:tcBorders>
              <w:top w:val="single" w:sz="8" w:space="0" w:color="auto"/>
              <w:left w:val="nil"/>
              <w:bottom w:val="single" w:sz="8" w:space="0" w:color="auto"/>
              <w:right w:val="single" w:sz="4" w:space="0" w:color="auto"/>
            </w:tcBorders>
            <w:shd w:val="clear" w:color="000000" w:fill="EDEDED"/>
            <w:vAlign w:val="center"/>
            <w:hideMark/>
          </w:tcPr>
          <w:p w14:paraId="2F0C12A9"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179" w:type="dxa"/>
            <w:tcBorders>
              <w:top w:val="single" w:sz="8" w:space="0" w:color="auto"/>
              <w:left w:val="nil"/>
              <w:bottom w:val="single" w:sz="8" w:space="0" w:color="auto"/>
              <w:right w:val="single" w:sz="8" w:space="0" w:color="auto"/>
            </w:tcBorders>
            <w:shd w:val="clear" w:color="000000" w:fill="EDEDED"/>
            <w:vAlign w:val="center"/>
            <w:hideMark/>
          </w:tcPr>
          <w:p w14:paraId="7D34B9C7" w14:textId="77777777" w:rsidR="00C43BF8" w:rsidRPr="00613EB0" w:rsidRDefault="00C43BF8" w:rsidP="00C43BF8">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r>
      <w:tr w:rsidR="00C43BF8" w:rsidRPr="00A376FF" w14:paraId="0481554C" w14:textId="77777777" w:rsidTr="00D70FEB">
        <w:trPr>
          <w:trHeight w:val="198"/>
          <w:jc w:val="center"/>
        </w:trPr>
        <w:tc>
          <w:tcPr>
            <w:tcW w:w="3871" w:type="dxa"/>
            <w:tcBorders>
              <w:top w:val="nil"/>
              <w:left w:val="single" w:sz="8" w:space="0" w:color="auto"/>
              <w:bottom w:val="single" w:sz="4" w:space="0" w:color="auto"/>
              <w:right w:val="single" w:sz="4" w:space="0" w:color="auto"/>
            </w:tcBorders>
            <w:shd w:val="clear" w:color="auto" w:fill="auto"/>
            <w:noWrap/>
            <w:vAlign w:val="center"/>
            <w:hideMark/>
          </w:tcPr>
          <w:p w14:paraId="169DC745"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 Efectivo y depósitos en Bancos</w:t>
            </w:r>
          </w:p>
        </w:tc>
        <w:tc>
          <w:tcPr>
            <w:tcW w:w="1083" w:type="dxa"/>
            <w:tcBorders>
              <w:top w:val="nil"/>
              <w:left w:val="nil"/>
              <w:bottom w:val="single" w:sz="4" w:space="0" w:color="auto"/>
              <w:right w:val="single" w:sz="4" w:space="0" w:color="auto"/>
            </w:tcBorders>
            <w:shd w:val="clear" w:color="auto" w:fill="auto"/>
            <w:noWrap/>
            <w:vAlign w:val="bottom"/>
            <w:hideMark/>
          </w:tcPr>
          <w:p w14:paraId="3DF256BE" w14:textId="77777777" w:rsidR="00C43BF8" w:rsidRPr="000B2F8E" w:rsidRDefault="00C43BF8" w:rsidP="00C43BF8">
            <w:pPr>
              <w:jc w:val="right"/>
              <w:rPr>
                <w:rFonts w:ascii="Arial" w:hAnsi="Arial" w:cs="Arial"/>
                <w:color w:val="000000"/>
                <w:sz w:val="16"/>
                <w:szCs w:val="16"/>
                <w:lang w:eastAsia="es-AR"/>
              </w:rPr>
            </w:pPr>
            <w:r w:rsidRPr="000B2F8E">
              <w:rPr>
                <w:rFonts w:ascii="Arial" w:hAnsi="Arial" w:cs="Arial"/>
                <w:sz w:val="16"/>
                <w:szCs w:val="16"/>
              </w:rPr>
              <w:t>33.536.362</w:t>
            </w:r>
          </w:p>
        </w:tc>
        <w:tc>
          <w:tcPr>
            <w:tcW w:w="1030" w:type="dxa"/>
            <w:tcBorders>
              <w:top w:val="nil"/>
              <w:left w:val="nil"/>
              <w:bottom w:val="single" w:sz="4" w:space="0" w:color="auto"/>
              <w:right w:val="single" w:sz="4" w:space="0" w:color="auto"/>
            </w:tcBorders>
            <w:shd w:val="clear" w:color="auto" w:fill="auto"/>
            <w:vAlign w:val="bottom"/>
            <w:hideMark/>
          </w:tcPr>
          <w:p w14:paraId="14F6851A"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33.536.362 </w:t>
            </w:r>
          </w:p>
        </w:tc>
        <w:tc>
          <w:tcPr>
            <w:tcW w:w="188" w:type="dxa"/>
            <w:tcBorders>
              <w:top w:val="nil"/>
              <w:left w:val="nil"/>
              <w:bottom w:val="single" w:sz="4" w:space="0" w:color="auto"/>
              <w:right w:val="single" w:sz="4" w:space="0" w:color="auto"/>
            </w:tcBorders>
            <w:shd w:val="clear" w:color="auto" w:fill="auto"/>
            <w:vAlign w:val="bottom"/>
            <w:hideMark/>
          </w:tcPr>
          <w:p w14:paraId="505CF443" w14:textId="77777777" w:rsidR="00C43BF8" w:rsidRPr="00613EB0" w:rsidRDefault="00C43BF8" w:rsidP="00C43BF8">
            <w:pPr>
              <w:jc w:val="right"/>
              <w:rPr>
                <w:rFonts w:ascii="Arial" w:hAnsi="Arial" w:cs="Arial"/>
                <w:color w:val="000000"/>
                <w:sz w:val="16"/>
                <w:szCs w:val="16"/>
                <w:lang w:eastAsia="es-AR"/>
              </w:rPr>
            </w:pPr>
          </w:p>
        </w:tc>
        <w:tc>
          <w:tcPr>
            <w:tcW w:w="1157" w:type="dxa"/>
            <w:tcBorders>
              <w:top w:val="nil"/>
              <w:left w:val="nil"/>
              <w:bottom w:val="single" w:sz="4" w:space="0" w:color="auto"/>
              <w:right w:val="single" w:sz="4" w:space="0" w:color="auto"/>
            </w:tcBorders>
            <w:shd w:val="clear" w:color="auto" w:fill="auto"/>
            <w:vAlign w:val="bottom"/>
            <w:hideMark/>
          </w:tcPr>
          <w:p w14:paraId="19138290"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33.536.362 </w:t>
            </w:r>
          </w:p>
        </w:tc>
        <w:tc>
          <w:tcPr>
            <w:tcW w:w="983" w:type="dxa"/>
            <w:tcBorders>
              <w:top w:val="nil"/>
              <w:left w:val="nil"/>
              <w:bottom w:val="single" w:sz="4" w:space="0" w:color="auto"/>
              <w:right w:val="single" w:sz="4" w:space="0" w:color="auto"/>
            </w:tcBorders>
            <w:shd w:val="clear" w:color="auto" w:fill="auto"/>
            <w:vAlign w:val="bottom"/>
            <w:hideMark/>
          </w:tcPr>
          <w:p w14:paraId="1C848816"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179" w:type="dxa"/>
            <w:tcBorders>
              <w:top w:val="nil"/>
              <w:left w:val="nil"/>
              <w:bottom w:val="single" w:sz="4" w:space="0" w:color="auto"/>
              <w:right w:val="single" w:sz="8" w:space="0" w:color="auto"/>
            </w:tcBorders>
            <w:shd w:val="clear" w:color="auto" w:fill="auto"/>
            <w:vAlign w:val="bottom"/>
            <w:hideMark/>
          </w:tcPr>
          <w:p w14:paraId="23656931"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C43BF8" w:rsidRPr="00A376FF" w14:paraId="77FF937A" w14:textId="77777777" w:rsidTr="00D70FEB">
        <w:trPr>
          <w:trHeight w:val="198"/>
          <w:jc w:val="center"/>
        </w:trPr>
        <w:tc>
          <w:tcPr>
            <w:tcW w:w="3871" w:type="dxa"/>
            <w:tcBorders>
              <w:top w:val="nil"/>
              <w:left w:val="single" w:sz="8" w:space="0" w:color="auto"/>
              <w:bottom w:val="single" w:sz="4" w:space="0" w:color="auto"/>
              <w:right w:val="single" w:sz="4" w:space="0" w:color="auto"/>
            </w:tcBorders>
            <w:shd w:val="clear" w:color="auto" w:fill="auto"/>
            <w:noWrap/>
            <w:vAlign w:val="center"/>
            <w:hideMark/>
          </w:tcPr>
          <w:p w14:paraId="70B1E593"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-Otros activos financieros</w:t>
            </w:r>
          </w:p>
        </w:tc>
        <w:tc>
          <w:tcPr>
            <w:tcW w:w="1083" w:type="dxa"/>
            <w:tcBorders>
              <w:top w:val="nil"/>
              <w:left w:val="nil"/>
              <w:bottom w:val="single" w:sz="4" w:space="0" w:color="auto"/>
              <w:right w:val="single" w:sz="4" w:space="0" w:color="auto"/>
            </w:tcBorders>
            <w:shd w:val="clear" w:color="auto" w:fill="auto"/>
            <w:noWrap/>
            <w:vAlign w:val="bottom"/>
            <w:hideMark/>
          </w:tcPr>
          <w:p w14:paraId="73C1359B" w14:textId="77777777" w:rsidR="00C43BF8" w:rsidRPr="000B2F8E" w:rsidRDefault="00C43BF8" w:rsidP="00C43BF8">
            <w:pPr>
              <w:jc w:val="right"/>
              <w:rPr>
                <w:rFonts w:ascii="Arial" w:hAnsi="Arial" w:cs="Arial"/>
                <w:color w:val="000000"/>
                <w:sz w:val="16"/>
                <w:szCs w:val="16"/>
                <w:lang w:eastAsia="es-AR"/>
              </w:rPr>
            </w:pPr>
            <w:r w:rsidRPr="000B2F8E">
              <w:rPr>
                <w:rFonts w:ascii="Arial" w:hAnsi="Arial" w:cs="Arial"/>
                <w:sz w:val="16"/>
                <w:szCs w:val="16"/>
              </w:rPr>
              <w:t>983.568</w:t>
            </w:r>
          </w:p>
        </w:tc>
        <w:tc>
          <w:tcPr>
            <w:tcW w:w="1030" w:type="dxa"/>
            <w:tcBorders>
              <w:top w:val="nil"/>
              <w:left w:val="nil"/>
              <w:bottom w:val="single" w:sz="4" w:space="0" w:color="auto"/>
              <w:right w:val="single" w:sz="4" w:space="0" w:color="auto"/>
            </w:tcBorders>
            <w:shd w:val="clear" w:color="auto" w:fill="auto"/>
            <w:vAlign w:val="bottom"/>
            <w:hideMark/>
          </w:tcPr>
          <w:p w14:paraId="5632693A"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983.568 </w:t>
            </w:r>
          </w:p>
        </w:tc>
        <w:tc>
          <w:tcPr>
            <w:tcW w:w="188" w:type="dxa"/>
            <w:tcBorders>
              <w:top w:val="nil"/>
              <w:left w:val="nil"/>
              <w:bottom w:val="single" w:sz="4" w:space="0" w:color="auto"/>
              <w:right w:val="single" w:sz="4" w:space="0" w:color="auto"/>
            </w:tcBorders>
            <w:shd w:val="clear" w:color="auto" w:fill="auto"/>
            <w:vAlign w:val="bottom"/>
            <w:hideMark/>
          </w:tcPr>
          <w:p w14:paraId="66FBC1E4" w14:textId="77777777" w:rsidR="00C43BF8" w:rsidRPr="00613EB0" w:rsidRDefault="00C43BF8" w:rsidP="00C43BF8">
            <w:pPr>
              <w:jc w:val="right"/>
              <w:rPr>
                <w:rFonts w:ascii="Arial" w:hAnsi="Arial" w:cs="Arial"/>
                <w:color w:val="000000"/>
                <w:sz w:val="16"/>
                <w:szCs w:val="16"/>
                <w:lang w:eastAsia="es-AR"/>
              </w:rPr>
            </w:pPr>
          </w:p>
        </w:tc>
        <w:tc>
          <w:tcPr>
            <w:tcW w:w="1157" w:type="dxa"/>
            <w:tcBorders>
              <w:top w:val="nil"/>
              <w:left w:val="nil"/>
              <w:bottom w:val="single" w:sz="4" w:space="0" w:color="auto"/>
              <w:right w:val="single" w:sz="4" w:space="0" w:color="auto"/>
            </w:tcBorders>
            <w:shd w:val="clear" w:color="auto" w:fill="auto"/>
            <w:vAlign w:val="bottom"/>
            <w:hideMark/>
          </w:tcPr>
          <w:p w14:paraId="634A3047"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983.568 </w:t>
            </w:r>
          </w:p>
        </w:tc>
        <w:tc>
          <w:tcPr>
            <w:tcW w:w="983" w:type="dxa"/>
            <w:tcBorders>
              <w:top w:val="nil"/>
              <w:left w:val="nil"/>
              <w:bottom w:val="single" w:sz="4" w:space="0" w:color="auto"/>
              <w:right w:val="single" w:sz="4" w:space="0" w:color="auto"/>
            </w:tcBorders>
            <w:shd w:val="clear" w:color="auto" w:fill="auto"/>
            <w:vAlign w:val="bottom"/>
            <w:hideMark/>
          </w:tcPr>
          <w:p w14:paraId="302AF593"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179" w:type="dxa"/>
            <w:tcBorders>
              <w:top w:val="nil"/>
              <w:left w:val="nil"/>
              <w:bottom w:val="single" w:sz="4" w:space="0" w:color="auto"/>
              <w:right w:val="single" w:sz="8" w:space="0" w:color="auto"/>
            </w:tcBorders>
            <w:shd w:val="clear" w:color="auto" w:fill="auto"/>
            <w:vAlign w:val="bottom"/>
            <w:hideMark/>
          </w:tcPr>
          <w:p w14:paraId="7B1BE3D0"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C43BF8" w:rsidRPr="00A376FF" w14:paraId="4569AFE2" w14:textId="77777777" w:rsidTr="00D70FEB">
        <w:trPr>
          <w:trHeight w:val="198"/>
          <w:jc w:val="center"/>
        </w:trPr>
        <w:tc>
          <w:tcPr>
            <w:tcW w:w="3871" w:type="dxa"/>
            <w:tcBorders>
              <w:top w:val="nil"/>
              <w:left w:val="single" w:sz="8" w:space="0" w:color="auto"/>
              <w:bottom w:val="single" w:sz="4" w:space="0" w:color="auto"/>
              <w:right w:val="single" w:sz="4" w:space="0" w:color="auto"/>
            </w:tcBorders>
            <w:shd w:val="clear" w:color="auto" w:fill="auto"/>
            <w:noWrap/>
            <w:vAlign w:val="center"/>
            <w:hideMark/>
          </w:tcPr>
          <w:p w14:paraId="22C9A556"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 xml:space="preserve">-Préstamos y otras financiaciones </w:t>
            </w:r>
          </w:p>
        </w:tc>
        <w:tc>
          <w:tcPr>
            <w:tcW w:w="1083" w:type="dxa"/>
            <w:tcBorders>
              <w:top w:val="nil"/>
              <w:left w:val="nil"/>
              <w:bottom w:val="single" w:sz="4" w:space="0" w:color="auto"/>
              <w:right w:val="single" w:sz="4" w:space="0" w:color="auto"/>
            </w:tcBorders>
            <w:shd w:val="clear" w:color="auto" w:fill="auto"/>
            <w:noWrap/>
            <w:vAlign w:val="bottom"/>
            <w:hideMark/>
          </w:tcPr>
          <w:p w14:paraId="2CD88B04" w14:textId="77777777" w:rsidR="00C43BF8" w:rsidRPr="000B2F8E" w:rsidRDefault="00C43BF8" w:rsidP="00C43BF8">
            <w:pPr>
              <w:jc w:val="right"/>
              <w:rPr>
                <w:rFonts w:ascii="Arial" w:hAnsi="Arial" w:cs="Arial"/>
                <w:color w:val="000000"/>
                <w:sz w:val="16"/>
                <w:szCs w:val="16"/>
                <w:lang w:eastAsia="es-AR"/>
              </w:rPr>
            </w:pPr>
            <w:r w:rsidRPr="000B2F8E">
              <w:rPr>
                <w:rFonts w:ascii="Arial" w:hAnsi="Arial" w:cs="Arial"/>
                <w:sz w:val="16"/>
                <w:szCs w:val="16"/>
              </w:rPr>
              <w:t>77.531.869</w:t>
            </w:r>
          </w:p>
        </w:tc>
        <w:tc>
          <w:tcPr>
            <w:tcW w:w="1030" w:type="dxa"/>
            <w:tcBorders>
              <w:top w:val="nil"/>
              <w:left w:val="nil"/>
              <w:bottom w:val="single" w:sz="4" w:space="0" w:color="auto"/>
              <w:right w:val="single" w:sz="4" w:space="0" w:color="auto"/>
            </w:tcBorders>
            <w:shd w:val="clear" w:color="auto" w:fill="auto"/>
            <w:vAlign w:val="bottom"/>
            <w:hideMark/>
          </w:tcPr>
          <w:p w14:paraId="0A59E9D4"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89.005.461 </w:t>
            </w:r>
          </w:p>
        </w:tc>
        <w:tc>
          <w:tcPr>
            <w:tcW w:w="188" w:type="dxa"/>
            <w:tcBorders>
              <w:top w:val="nil"/>
              <w:left w:val="nil"/>
              <w:bottom w:val="single" w:sz="4" w:space="0" w:color="auto"/>
              <w:right w:val="single" w:sz="4" w:space="0" w:color="auto"/>
            </w:tcBorders>
            <w:shd w:val="clear" w:color="auto" w:fill="auto"/>
            <w:vAlign w:val="bottom"/>
            <w:hideMark/>
          </w:tcPr>
          <w:p w14:paraId="366C2788" w14:textId="77777777" w:rsidR="00C43BF8" w:rsidRPr="00613EB0" w:rsidRDefault="00C43BF8" w:rsidP="00C43BF8">
            <w:pPr>
              <w:jc w:val="right"/>
              <w:rPr>
                <w:rFonts w:ascii="Arial" w:hAnsi="Arial" w:cs="Arial"/>
                <w:color w:val="000000"/>
                <w:sz w:val="16"/>
                <w:szCs w:val="16"/>
                <w:lang w:eastAsia="es-AR"/>
              </w:rPr>
            </w:pPr>
          </w:p>
        </w:tc>
        <w:tc>
          <w:tcPr>
            <w:tcW w:w="1157" w:type="dxa"/>
            <w:tcBorders>
              <w:top w:val="nil"/>
              <w:left w:val="nil"/>
              <w:bottom w:val="single" w:sz="4" w:space="0" w:color="auto"/>
              <w:right w:val="single" w:sz="4" w:space="0" w:color="auto"/>
            </w:tcBorders>
            <w:shd w:val="clear" w:color="auto" w:fill="auto"/>
            <w:vAlign w:val="bottom"/>
            <w:hideMark/>
          </w:tcPr>
          <w:p w14:paraId="6E356B1D"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983" w:type="dxa"/>
            <w:tcBorders>
              <w:top w:val="nil"/>
              <w:left w:val="nil"/>
              <w:bottom w:val="single" w:sz="4" w:space="0" w:color="auto"/>
              <w:right w:val="single" w:sz="4" w:space="0" w:color="auto"/>
            </w:tcBorders>
            <w:shd w:val="clear" w:color="auto" w:fill="auto"/>
            <w:vAlign w:val="bottom"/>
            <w:hideMark/>
          </w:tcPr>
          <w:p w14:paraId="125B2828"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w:t>
            </w:r>
          </w:p>
        </w:tc>
        <w:tc>
          <w:tcPr>
            <w:tcW w:w="1179" w:type="dxa"/>
            <w:tcBorders>
              <w:top w:val="nil"/>
              <w:left w:val="nil"/>
              <w:bottom w:val="single" w:sz="4" w:space="0" w:color="auto"/>
              <w:right w:val="single" w:sz="8" w:space="0" w:color="auto"/>
            </w:tcBorders>
            <w:shd w:val="clear" w:color="auto" w:fill="auto"/>
            <w:vAlign w:val="bottom"/>
            <w:hideMark/>
          </w:tcPr>
          <w:p w14:paraId="4E203A4E"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89.005.461 </w:t>
            </w:r>
          </w:p>
        </w:tc>
      </w:tr>
      <w:tr w:rsidR="00C43BF8" w:rsidRPr="00A376FF" w14:paraId="5BC609EE" w14:textId="77777777" w:rsidTr="00D70FEB">
        <w:trPr>
          <w:trHeight w:val="198"/>
          <w:jc w:val="center"/>
        </w:trPr>
        <w:tc>
          <w:tcPr>
            <w:tcW w:w="3871" w:type="dxa"/>
            <w:tcBorders>
              <w:top w:val="nil"/>
              <w:left w:val="single" w:sz="8" w:space="0" w:color="auto"/>
              <w:bottom w:val="single" w:sz="4" w:space="0" w:color="auto"/>
              <w:right w:val="single" w:sz="4" w:space="0" w:color="auto"/>
            </w:tcBorders>
            <w:shd w:val="clear" w:color="auto" w:fill="auto"/>
            <w:noWrap/>
            <w:vAlign w:val="center"/>
            <w:hideMark/>
          </w:tcPr>
          <w:p w14:paraId="028D3A03"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 Otros Títulos de Deuda</w:t>
            </w:r>
          </w:p>
        </w:tc>
        <w:tc>
          <w:tcPr>
            <w:tcW w:w="1083" w:type="dxa"/>
            <w:tcBorders>
              <w:top w:val="nil"/>
              <w:left w:val="nil"/>
              <w:bottom w:val="single" w:sz="4" w:space="0" w:color="auto"/>
              <w:right w:val="single" w:sz="4" w:space="0" w:color="auto"/>
            </w:tcBorders>
            <w:shd w:val="clear" w:color="auto" w:fill="auto"/>
            <w:noWrap/>
            <w:vAlign w:val="bottom"/>
            <w:hideMark/>
          </w:tcPr>
          <w:p w14:paraId="7EF72E72" w14:textId="77777777" w:rsidR="00C43BF8" w:rsidRPr="000B2F8E" w:rsidRDefault="00C43BF8" w:rsidP="00C43BF8">
            <w:pPr>
              <w:jc w:val="right"/>
              <w:rPr>
                <w:rFonts w:ascii="Arial" w:hAnsi="Arial" w:cs="Arial"/>
                <w:color w:val="000000"/>
                <w:sz w:val="16"/>
                <w:szCs w:val="16"/>
                <w:lang w:eastAsia="es-AR"/>
              </w:rPr>
            </w:pPr>
            <w:r w:rsidRPr="000B2F8E">
              <w:rPr>
                <w:rFonts w:ascii="Arial" w:hAnsi="Arial" w:cs="Arial"/>
                <w:sz w:val="16"/>
                <w:szCs w:val="16"/>
              </w:rPr>
              <w:t>4.134.461</w:t>
            </w:r>
          </w:p>
        </w:tc>
        <w:tc>
          <w:tcPr>
            <w:tcW w:w="1030" w:type="dxa"/>
            <w:tcBorders>
              <w:top w:val="nil"/>
              <w:left w:val="nil"/>
              <w:bottom w:val="single" w:sz="4" w:space="0" w:color="auto"/>
              <w:right w:val="single" w:sz="4" w:space="0" w:color="auto"/>
            </w:tcBorders>
            <w:shd w:val="clear" w:color="auto" w:fill="auto"/>
            <w:vAlign w:val="bottom"/>
            <w:hideMark/>
          </w:tcPr>
          <w:p w14:paraId="6BBDD5CE"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4.139.624 </w:t>
            </w:r>
          </w:p>
        </w:tc>
        <w:tc>
          <w:tcPr>
            <w:tcW w:w="188" w:type="dxa"/>
            <w:tcBorders>
              <w:top w:val="nil"/>
              <w:left w:val="nil"/>
              <w:bottom w:val="single" w:sz="4" w:space="0" w:color="auto"/>
              <w:right w:val="single" w:sz="4" w:space="0" w:color="auto"/>
            </w:tcBorders>
            <w:shd w:val="clear" w:color="auto" w:fill="auto"/>
            <w:vAlign w:val="bottom"/>
            <w:hideMark/>
          </w:tcPr>
          <w:p w14:paraId="6CC0437C" w14:textId="77777777" w:rsidR="00C43BF8" w:rsidRPr="00613EB0" w:rsidRDefault="00C43BF8" w:rsidP="00C43BF8">
            <w:pPr>
              <w:jc w:val="right"/>
              <w:rPr>
                <w:rFonts w:ascii="Arial" w:hAnsi="Arial" w:cs="Arial"/>
                <w:color w:val="000000"/>
                <w:sz w:val="16"/>
                <w:szCs w:val="16"/>
                <w:lang w:eastAsia="es-AR"/>
              </w:rPr>
            </w:pPr>
          </w:p>
        </w:tc>
        <w:tc>
          <w:tcPr>
            <w:tcW w:w="1157" w:type="dxa"/>
            <w:tcBorders>
              <w:top w:val="nil"/>
              <w:left w:val="nil"/>
              <w:bottom w:val="single" w:sz="4" w:space="0" w:color="auto"/>
              <w:right w:val="single" w:sz="4" w:space="0" w:color="auto"/>
            </w:tcBorders>
            <w:shd w:val="clear" w:color="auto" w:fill="auto"/>
            <w:vAlign w:val="bottom"/>
            <w:hideMark/>
          </w:tcPr>
          <w:p w14:paraId="26E9CB6F"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4.139.624 </w:t>
            </w:r>
          </w:p>
        </w:tc>
        <w:tc>
          <w:tcPr>
            <w:tcW w:w="983" w:type="dxa"/>
            <w:tcBorders>
              <w:top w:val="nil"/>
              <w:left w:val="nil"/>
              <w:bottom w:val="single" w:sz="4" w:space="0" w:color="auto"/>
              <w:right w:val="single" w:sz="4" w:space="0" w:color="auto"/>
            </w:tcBorders>
            <w:shd w:val="clear" w:color="auto" w:fill="auto"/>
            <w:vAlign w:val="bottom"/>
            <w:hideMark/>
          </w:tcPr>
          <w:p w14:paraId="722E1DA4"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w:t>
            </w:r>
          </w:p>
        </w:tc>
        <w:tc>
          <w:tcPr>
            <w:tcW w:w="1179" w:type="dxa"/>
            <w:tcBorders>
              <w:top w:val="nil"/>
              <w:left w:val="nil"/>
              <w:bottom w:val="single" w:sz="4" w:space="0" w:color="auto"/>
              <w:right w:val="single" w:sz="8" w:space="0" w:color="auto"/>
            </w:tcBorders>
            <w:shd w:val="clear" w:color="auto" w:fill="auto"/>
            <w:vAlign w:val="bottom"/>
            <w:hideMark/>
          </w:tcPr>
          <w:p w14:paraId="6E33FEE2"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C43BF8" w:rsidRPr="00A376FF" w14:paraId="30BB1D91" w14:textId="77777777" w:rsidTr="00D70FEB">
        <w:trPr>
          <w:trHeight w:val="208"/>
          <w:jc w:val="center"/>
        </w:trPr>
        <w:tc>
          <w:tcPr>
            <w:tcW w:w="3871" w:type="dxa"/>
            <w:tcBorders>
              <w:top w:val="nil"/>
              <w:left w:val="single" w:sz="8" w:space="0" w:color="auto"/>
              <w:bottom w:val="nil"/>
              <w:right w:val="single" w:sz="4" w:space="0" w:color="auto"/>
            </w:tcBorders>
            <w:shd w:val="clear" w:color="auto" w:fill="auto"/>
            <w:noWrap/>
            <w:vAlign w:val="center"/>
            <w:hideMark/>
          </w:tcPr>
          <w:p w14:paraId="5777C39B"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-Activos financieros entregados en garantía</w:t>
            </w:r>
          </w:p>
        </w:tc>
        <w:tc>
          <w:tcPr>
            <w:tcW w:w="1083" w:type="dxa"/>
            <w:tcBorders>
              <w:top w:val="nil"/>
              <w:left w:val="nil"/>
              <w:bottom w:val="nil"/>
              <w:right w:val="single" w:sz="4" w:space="0" w:color="auto"/>
            </w:tcBorders>
            <w:shd w:val="clear" w:color="auto" w:fill="auto"/>
            <w:noWrap/>
            <w:vAlign w:val="bottom"/>
            <w:hideMark/>
          </w:tcPr>
          <w:p w14:paraId="2897EA7A" w14:textId="77777777" w:rsidR="00C43BF8" w:rsidRPr="000B2F8E" w:rsidRDefault="00C43BF8" w:rsidP="00C43BF8">
            <w:pPr>
              <w:jc w:val="right"/>
              <w:rPr>
                <w:rFonts w:ascii="Arial" w:hAnsi="Arial" w:cs="Arial"/>
                <w:color w:val="000000"/>
                <w:sz w:val="16"/>
                <w:szCs w:val="16"/>
                <w:lang w:eastAsia="es-AR"/>
              </w:rPr>
            </w:pPr>
            <w:r w:rsidRPr="000B2F8E">
              <w:rPr>
                <w:rFonts w:ascii="Arial" w:hAnsi="Arial" w:cs="Arial"/>
                <w:sz w:val="16"/>
                <w:szCs w:val="16"/>
              </w:rPr>
              <w:t>119.165</w:t>
            </w:r>
          </w:p>
        </w:tc>
        <w:tc>
          <w:tcPr>
            <w:tcW w:w="1030" w:type="dxa"/>
            <w:tcBorders>
              <w:top w:val="nil"/>
              <w:left w:val="nil"/>
              <w:bottom w:val="nil"/>
              <w:right w:val="single" w:sz="4" w:space="0" w:color="auto"/>
            </w:tcBorders>
            <w:shd w:val="clear" w:color="auto" w:fill="auto"/>
            <w:vAlign w:val="bottom"/>
            <w:hideMark/>
          </w:tcPr>
          <w:p w14:paraId="670B03A3"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119.165 </w:t>
            </w:r>
          </w:p>
        </w:tc>
        <w:tc>
          <w:tcPr>
            <w:tcW w:w="188" w:type="dxa"/>
            <w:tcBorders>
              <w:top w:val="nil"/>
              <w:left w:val="nil"/>
              <w:bottom w:val="nil"/>
              <w:right w:val="single" w:sz="4" w:space="0" w:color="auto"/>
            </w:tcBorders>
            <w:shd w:val="clear" w:color="auto" w:fill="auto"/>
            <w:vAlign w:val="bottom"/>
            <w:hideMark/>
          </w:tcPr>
          <w:p w14:paraId="2C9782B2" w14:textId="77777777" w:rsidR="00C43BF8" w:rsidRPr="00613EB0" w:rsidRDefault="00C43BF8" w:rsidP="00C43BF8">
            <w:pPr>
              <w:jc w:val="right"/>
              <w:rPr>
                <w:rFonts w:ascii="Arial" w:hAnsi="Arial" w:cs="Arial"/>
                <w:color w:val="000000"/>
                <w:sz w:val="16"/>
                <w:szCs w:val="16"/>
                <w:lang w:eastAsia="es-AR"/>
              </w:rPr>
            </w:pPr>
          </w:p>
        </w:tc>
        <w:tc>
          <w:tcPr>
            <w:tcW w:w="1157" w:type="dxa"/>
            <w:tcBorders>
              <w:top w:val="nil"/>
              <w:left w:val="nil"/>
              <w:bottom w:val="nil"/>
              <w:right w:val="single" w:sz="4" w:space="0" w:color="auto"/>
            </w:tcBorders>
            <w:shd w:val="clear" w:color="auto" w:fill="auto"/>
            <w:vAlign w:val="bottom"/>
            <w:hideMark/>
          </w:tcPr>
          <w:p w14:paraId="4B7DB184"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119.165 </w:t>
            </w:r>
          </w:p>
        </w:tc>
        <w:tc>
          <w:tcPr>
            <w:tcW w:w="983" w:type="dxa"/>
            <w:tcBorders>
              <w:top w:val="nil"/>
              <w:left w:val="nil"/>
              <w:bottom w:val="nil"/>
              <w:right w:val="single" w:sz="4" w:space="0" w:color="auto"/>
            </w:tcBorders>
            <w:shd w:val="clear" w:color="auto" w:fill="auto"/>
            <w:vAlign w:val="bottom"/>
            <w:hideMark/>
          </w:tcPr>
          <w:p w14:paraId="30100067"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179" w:type="dxa"/>
            <w:tcBorders>
              <w:top w:val="nil"/>
              <w:left w:val="nil"/>
              <w:bottom w:val="nil"/>
              <w:right w:val="single" w:sz="8" w:space="0" w:color="auto"/>
            </w:tcBorders>
            <w:shd w:val="clear" w:color="auto" w:fill="auto"/>
            <w:vAlign w:val="bottom"/>
            <w:hideMark/>
          </w:tcPr>
          <w:p w14:paraId="70EC3506"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C43BF8" w:rsidRPr="00A376FF" w14:paraId="1481A18B" w14:textId="77777777" w:rsidTr="00D70FEB">
        <w:trPr>
          <w:trHeight w:val="208"/>
          <w:jc w:val="center"/>
        </w:trPr>
        <w:tc>
          <w:tcPr>
            <w:tcW w:w="3871"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156A1D38" w14:textId="77777777" w:rsidR="00C43BF8" w:rsidRPr="00613EB0" w:rsidRDefault="00C43BF8" w:rsidP="00C43BF8">
            <w:pPr>
              <w:rPr>
                <w:rFonts w:ascii="Arial" w:hAnsi="Arial" w:cs="Arial"/>
                <w:b/>
                <w:color w:val="000000"/>
                <w:sz w:val="16"/>
                <w:szCs w:val="16"/>
                <w:lang w:eastAsia="es-AR"/>
              </w:rPr>
            </w:pPr>
          </w:p>
        </w:tc>
        <w:tc>
          <w:tcPr>
            <w:tcW w:w="1083" w:type="dxa"/>
            <w:tcBorders>
              <w:top w:val="single" w:sz="8" w:space="0" w:color="auto"/>
              <w:left w:val="nil"/>
              <w:bottom w:val="single" w:sz="8" w:space="0" w:color="auto"/>
              <w:right w:val="single" w:sz="4" w:space="0" w:color="auto"/>
            </w:tcBorders>
            <w:shd w:val="clear" w:color="000000" w:fill="EDEDED"/>
            <w:noWrap/>
            <w:vAlign w:val="bottom"/>
            <w:hideMark/>
          </w:tcPr>
          <w:p w14:paraId="22EFA325" w14:textId="77777777" w:rsidR="00C43BF8" w:rsidRPr="000B2F8E" w:rsidRDefault="00C43BF8" w:rsidP="00C43BF8">
            <w:pPr>
              <w:jc w:val="right"/>
              <w:rPr>
                <w:rFonts w:ascii="Arial" w:hAnsi="Arial" w:cs="Arial"/>
                <w:b/>
                <w:bCs/>
                <w:color w:val="000000"/>
                <w:sz w:val="16"/>
                <w:szCs w:val="16"/>
                <w:lang w:eastAsia="es-AR"/>
              </w:rPr>
            </w:pPr>
            <w:r w:rsidRPr="000B2F8E">
              <w:rPr>
                <w:rFonts w:ascii="Arial" w:hAnsi="Arial" w:cs="Arial"/>
                <w:b/>
                <w:sz w:val="16"/>
                <w:szCs w:val="16"/>
              </w:rPr>
              <w:t>116.305.425</w:t>
            </w:r>
          </w:p>
        </w:tc>
        <w:tc>
          <w:tcPr>
            <w:tcW w:w="1030" w:type="dxa"/>
            <w:tcBorders>
              <w:top w:val="single" w:sz="8" w:space="0" w:color="auto"/>
              <w:left w:val="nil"/>
              <w:bottom w:val="single" w:sz="8" w:space="0" w:color="auto"/>
              <w:right w:val="single" w:sz="4" w:space="0" w:color="auto"/>
            </w:tcBorders>
            <w:shd w:val="clear" w:color="000000" w:fill="EDEDED"/>
            <w:noWrap/>
            <w:vAlign w:val="bottom"/>
            <w:hideMark/>
          </w:tcPr>
          <w:p w14:paraId="5E5285F3" w14:textId="77777777" w:rsidR="00C43BF8" w:rsidRPr="000B2F8E" w:rsidRDefault="00C43BF8" w:rsidP="00C43BF8">
            <w:pPr>
              <w:jc w:val="right"/>
              <w:rPr>
                <w:rFonts w:ascii="Arial" w:hAnsi="Arial" w:cs="Arial"/>
                <w:b/>
                <w:bCs/>
                <w:color w:val="000000"/>
                <w:sz w:val="16"/>
                <w:szCs w:val="16"/>
                <w:lang w:eastAsia="es-AR"/>
              </w:rPr>
            </w:pPr>
            <w:r w:rsidRPr="00613EB0">
              <w:rPr>
                <w:rFonts w:ascii="Arial" w:hAnsi="Arial" w:cs="Arial"/>
                <w:b/>
                <w:bCs/>
                <w:color w:val="000000"/>
                <w:sz w:val="16"/>
                <w:szCs w:val="16"/>
              </w:rPr>
              <w:t xml:space="preserve">127.784.180 </w:t>
            </w:r>
          </w:p>
        </w:tc>
        <w:tc>
          <w:tcPr>
            <w:tcW w:w="188" w:type="dxa"/>
            <w:tcBorders>
              <w:top w:val="single" w:sz="8" w:space="0" w:color="auto"/>
              <w:left w:val="nil"/>
              <w:bottom w:val="single" w:sz="8" w:space="0" w:color="auto"/>
              <w:right w:val="single" w:sz="4" w:space="0" w:color="auto"/>
            </w:tcBorders>
            <w:shd w:val="clear" w:color="000000" w:fill="EDEDED"/>
            <w:noWrap/>
            <w:vAlign w:val="bottom"/>
            <w:hideMark/>
          </w:tcPr>
          <w:p w14:paraId="1EE9AE5F" w14:textId="77777777" w:rsidR="00C43BF8" w:rsidRPr="00613EB0" w:rsidRDefault="00C43BF8" w:rsidP="00C43BF8">
            <w:pPr>
              <w:jc w:val="right"/>
              <w:rPr>
                <w:rFonts w:ascii="Arial" w:hAnsi="Arial" w:cs="Arial"/>
                <w:b/>
                <w:bCs/>
                <w:color w:val="000000"/>
                <w:sz w:val="16"/>
                <w:szCs w:val="16"/>
                <w:lang w:eastAsia="es-AR"/>
              </w:rPr>
            </w:pPr>
          </w:p>
        </w:tc>
        <w:tc>
          <w:tcPr>
            <w:tcW w:w="1157" w:type="dxa"/>
            <w:tcBorders>
              <w:top w:val="single" w:sz="8" w:space="0" w:color="auto"/>
              <w:left w:val="nil"/>
              <w:bottom w:val="single" w:sz="8" w:space="0" w:color="auto"/>
              <w:right w:val="single" w:sz="4" w:space="0" w:color="auto"/>
            </w:tcBorders>
            <w:shd w:val="clear" w:color="000000" w:fill="EDEDED"/>
            <w:noWrap/>
            <w:vAlign w:val="bottom"/>
            <w:hideMark/>
          </w:tcPr>
          <w:p w14:paraId="05D325FE" w14:textId="77777777" w:rsidR="00C43BF8" w:rsidRPr="000B2F8E" w:rsidRDefault="00C43BF8" w:rsidP="00C43BF8">
            <w:pPr>
              <w:jc w:val="right"/>
              <w:rPr>
                <w:rFonts w:ascii="Arial" w:hAnsi="Arial" w:cs="Arial"/>
                <w:b/>
                <w:bCs/>
                <w:color w:val="000000"/>
                <w:sz w:val="16"/>
                <w:szCs w:val="16"/>
                <w:lang w:val="es-ES_tradnl" w:eastAsia="es-AR"/>
              </w:rPr>
            </w:pPr>
            <w:r w:rsidRPr="00613EB0">
              <w:rPr>
                <w:rFonts w:ascii="Arial" w:hAnsi="Arial" w:cs="Arial"/>
                <w:b/>
                <w:bCs/>
                <w:color w:val="000000"/>
                <w:sz w:val="16"/>
                <w:szCs w:val="16"/>
              </w:rPr>
              <w:t xml:space="preserve">38.778.719 </w:t>
            </w:r>
          </w:p>
        </w:tc>
        <w:tc>
          <w:tcPr>
            <w:tcW w:w="983" w:type="dxa"/>
            <w:tcBorders>
              <w:top w:val="single" w:sz="8" w:space="0" w:color="auto"/>
              <w:left w:val="nil"/>
              <w:bottom w:val="single" w:sz="8" w:space="0" w:color="auto"/>
              <w:right w:val="single" w:sz="4" w:space="0" w:color="auto"/>
            </w:tcBorders>
            <w:shd w:val="clear" w:color="000000" w:fill="EDEDED"/>
            <w:noWrap/>
            <w:vAlign w:val="bottom"/>
            <w:hideMark/>
          </w:tcPr>
          <w:p w14:paraId="10652C96" w14:textId="77777777" w:rsidR="00C43BF8" w:rsidRPr="000B2F8E" w:rsidRDefault="00C43BF8" w:rsidP="00C43BF8">
            <w:pPr>
              <w:jc w:val="right"/>
              <w:rPr>
                <w:rFonts w:ascii="Arial" w:hAnsi="Arial" w:cs="Arial"/>
                <w:b/>
                <w:bCs/>
                <w:color w:val="000000"/>
                <w:sz w:val="16"/>
                <w:szCs w:val="16"/>
                <w:lang w:eastAsia="es-AR"/>
              </w:rPr>
            </w:pPr>
            <w:r w:rsidRPr="00613EB0">
              <w:rPr>
                <w:rFonts w:ascii="Arial" w:hAnsi="Arial" w:cs="Arial"/>
                <w:b/>
                <w:bCs/>
                <w:color w:val="000000"/>
                <w:sz w:val="16"/>
                <w:szCs w:val="16"/>
              </w:rPr>
              <w:t xml:space="preserve">-   </w:t>
            </w:r>
          </w:p>
        </w:tc>
        <w:tc>
          <w:tcPr>
            <w:tcW w:w="1179" w:type="dxa"/>
            <w:tcBorders>
              <w:top w:val="single" w:sz="8" w:space="0" w:color="auto"/>
              <w:left w:val="nil"/>
              <w:bottom w:val="single" w:sz="8" w:space="0" w:color="auto"/>
              <w:right w:val="single" w:sz="8" w:space="0" w:color="auto"/>
            </w:tcBorders>
            <w:shd w:val="clear" w:color="000000" w:fill="EDEDED"/>
            <w:noWrap/>
            <w:vAlign w:val="bottom"/>
            <w:hideMark/>
          </w:tcPr>
          <w:p w14:paraId="146C2985" w14:textId="77777777" w:rsidR="00C43BF8" w:rsidRPr="000B2F8E" w:rsidRDefault="00C43BF8" w:rsidP="00C43BF8">
            <w:pPr>
              <w:jc w:val="right"/>
              <w:rPr>
                <w:rFonts w:ascii="Arial" w:hAnsi="Arial" w:cs="Arial"/>
                <w:b/>
                <w:bCs/>
                <w:color w:val="000000"/>
                <w:sz w:val="16"/>
                <w:szCs w:val="16"/>
                <w:lang w:eastAsia="es-AR"/>
              </w:rPr>
            </w:pPr>
            <w:r w:rsidRPr="00613EB0">
              <w:rPr>
                <w:rFonts w:ascii="Arial" w:hAnsi="Arial" w:cs="Arial"/>
                <w:b/>
                <w:bCs/>
                <w:color w:val="000000"/>
                <w:sz w:val="16"/>
                <w:szCs w:val="16"/>
              </w:rPr>
              <w:t xml:space="preserve">89.005.461 </w:t>
            </w:r>
          </w:p>
        </w:tc>
      </w:tr>
      <w:tr w:rsidR="00C43BF8" w:rsidRPr="00A376FF" w14:paraId="0A14841B" w14:textId="77777777" w:rsidTr="00D70FEB">
        <w:trPr>
          <w:trHeight w:val="198"/>
          <w:jc w:val="center"/>
        </w:trPr>
        <w:tc>
          <w:tcPr>
            <w:tcW w:w="3871" w:type="dxa"/>
            <w:tcBorders>
              <w:top w:val="nil"/>
              <w:left w:val="single" w:sz="8" w:space="0" w:color="auto"/>
              <w:bottom w:val="single" w:sz="4" w:space="0" w:color="auto"/>
              <w:right w:val="nil"/>
            </w:tcBorders>
            <w:shd w:val="clear" w:color="000000" w:fill="EDEDED"/>
            <w:noWrap/>
            <w:vAlign w:val="center"/>
            <w:hideMark/>
          </w:tcPr>
          <w:p w14:paraId="4C1F1D40" w14:textId="77777777" w:rsidR="00C43BF8" w:rsidRPr="00613EB0" w:rsidRDefault="00C43BF8" w:rsidP="00C43BF8">
            <w:pPr>
              <w:rPr>
                <w:rFonts w:ascii="Arial" w:hAnsi="Arial" w:cs="Arial"/>
                <w:b/>
                <w:bCs/>
                <w:i/>
                <w:iCs/>
                <w:color w:val="000000"/>
                <w:sz w:val="16"/>
                <w:szCs w:val="16"/>
                <w:lang w:eastAsia="es-AR"/>
              </w:rPr>
            </w:pPr>
            <w:r w:rsidRPr="00613EB0">
              <w:rPr>
                <w:rFonts w:ascii="Arial" w:hAnsi="Arial" w:cs="Arial"/>
                <w:b/>
                <w:bCs/>
                <w:i/>
                <w:iCs/>
                <w:color w:val="000000"/>
                <w:sz w:val="16"/>
                <w:szCs w:val="16"/>
                <w:lang w:eastAsia="es-AR"/>
              </w:rPr>
              <w:t>Pasivos Financieros</w:t>
            </w:r>
          </w:p>
        </w:tc>
        <w:tc>
          <w:tcPr>
            <w:tcW w:w="1083" w:type="dxa"/>
            <w:tcBorders>
              <w:top w:val="nil"/>
              <w:left w:val="nil"/>
              <w:bottom w:val="single" w:sz="4" w:space="0" w:color="auto"/>
              <w:right w:val="nil"/>
            </w:tcBorders>
            <w:shd w:val="clear" w:color="000000" w:fill="EDEDED"/>
            <w:noWrap/>
            <w:vAlign w:val="bottom"/>
            <w:hideMark/>
          </w:tcPr>
          <w:p w14:paraId="60B1EC3A" w14:textId="77777777" w:rsidR="00C43BF8" w:rsidRPr="00C81C97" w:rsidRDefault="00C43BF8" w:rsidP="00C43BF8">
            <w:pPr>
              <w:jc w:val="right"/>
              <w:rPr>
                <w:rFonts w:ascii="Arial" w:hAnsi="Arial" w:cs="Arial"/>
                <w:b/>
                <w:bCs/>
                <w:i/>
                <w:iCs/>
                <w:color w:val="000000"/>
                <w:sz w:val="16"/>
                <w:szCs w:val="16"/>
                <w:lang w:eastAsia="es-AR"/>
              </w:rPr>
            </w:pPr>
          </w:p>
        </w:tc>
        <w:tc>
          <w:tcPr>
            <w:tcW w:w="1030" w:type="dxa"/>
            <w:tcBorders>
              <w:top w:val="nil"/>
              <w:left w:val="nil"/>
              <w:bottom w:val="single" w:sz="4" w:space="0" w:color="auto"/>
              <w:right w:val="nil"/>
            </w:tcBorders>
            <w:shd w:val="clear" w:color="000000" w:fill="EDEDED"/>
            <w:vAlign w:val="bottom"/>
            <w:hideMark/>
          </w:tcPr>
          <w:p w14:paraId="24C04DF4" w14:textId="77777777" w:rsidR="00C43BF8" w:rsidRPr="00C81C97" w:rsidRDefault="00C43BF8" w:rsidP="00C43BF8">
            <w:pPr>
              <w:jc w:val="right"/>
              <w:rPr>
                <w:rFonts w:ascii="Arial" w:hAnsi="Arial" w:cs="Arial"/>
                <w:b/>
                <w:bCs/>
                <w:i/>
                <w:iCs/>
                <w:color w:val="000000"/>
                <w:sz w:val="16"/>
                <w:szCs w:val="16"/>
                <w:lang w:eastAsia="es-AR"/>
              </w:rPr>
            </w:pPr>
            <w:r w:rsidRPr="00613EB0">
              <w:rPr>
                <w:rFonts w:ascii="Arial" w:hAnsi="Arial" w:cs="Arial"/>
                <w:color w:val="000000"/>
                <w:sz w:val="16"/>
                <w:szCs w:val="16"/>
              </w:rPr>
              <w:t> </w:t>
            </w:r>
          </w:p>
        </w:tc>
        <w:tc>
          <w:tcPr>
            <w:tcW w:w="188" w:type="dxa"/>
            <w:tcBorders>
              <w:top w:val="nil"/>
              <w:left w:val="nil"/>
              <w:bottom w:val="single" w:sz="4" w:space="0" w:color="auto"/>
              <w:right w:val="nil"/>
            </w:tcBorders>
            <w:shd w:val="clear" w:color="000000" w:fill="EDEDED"/>
            <w:vAlign w:val="center"/>
            <w:hideMark/>
          </w:tcPr>
          <w:p w14:paraId="007B5E2A" w14:textId="77777777" w:rsidR="00C43BF8" w:rsidRPr="00613EB0" w:rsidRDefault="00C43BF8" w:rsidP="00C43BF8">
            <w:pPr>
              <w:jc w:val="right"/>
              <w:rPr>
                <w:rFonts w:ascii="Arial" w:hAnsi="Arial" w:cs="Arial"/>
                <w:b/>
                <w:bCs/>
                <w:i/>
                <w:iCs/>
                <w:color w:val="000000"/>
                <w:sz w:val="16"/>
                <w:szCs w:val="16"/>
                <w:lang w:eastAsia="es-AR"/>
              </w:rPr>
            </w:pPr>
            <w:r w:rsidRPr="00613EB0">
              <w:rPr>
                <w:rFonts w:ascii="Arial" w:hAnsi="Arial" w:cs="Arial"/>
                <w:b/>
                <w:bCs/>
                <w:i/>
                <w:iCs/>
                <w:color w:val="000000"/>
                <w:sz w:val="16"/>
                <w:szCs w:val="16"/>
              </w:rPr>
              <w:t> </w:t>
            </w:r>
          </w:p>
        </w:tc>
        <w:tc>
          <w:tcPr>
            <w:tcW w:w="1157" w:type="dxa"/>
            <w:tcBorders>
              <w:top w:val="nil"/>
              <w:left w:val="nil"/>
              <w:bottom w:val="single" w:sz="4" w:space="0" w:color="auto"/>
              <w:right w:val="nil"/>
            </w:tcBorders>
            <w:shd w:val="clear" w:color="000000" w:fill="EDEDED"/>
            <w:vAlign w:val="bottom"/>
            <w:hideMark/>
          </w:tcPr>
          <w:p w14:paraId="17D8208A" w14:textId="77777777" w:rsidR="00C43BF8" w:rsidRPr="00C81C97" w:rsidRDefault="00C43BF8" w:rsidP="00C43BF8">
            <w:pPr>
              <w:jc w:val="right"/>
              <w:rPr>
                <w:rFonts w:ascii="Arial" w:hAnsi="Arial" w:cs="Arial"/>
                <w:b/>
                <w:bCs/>
                <w:i/>
                <w:iCs/>
                <w:color w:val="000000"/>
                <w:sz w:val="16"/>
                <w:szCs w:val="16"/>
                <w:lang w:eastAsia="es-AR"/>
              </w:rPr>
            </w:pPr>
            <w:r w:rsidRPr="00613EB0">
              <w:rPr>
                <w:rFonts w:ascii="Arial" w:hAnsi="Arial" w:cs="Arial"/>
                <w:color w:val="000000"/>
                <w:sz w:val="16"/>
                <w:szCs w:val="16"/>
              </w:rPr>
              <w:t> </w:t>
            </w:r>
          </w:p>
        </w:tc>
        <w:tc>
          <w:tcPr>
            <w:tcW w:w="983" w:type="dxa"/>
            <w:tcBorders>
              <w:top w:val="nil"/>
              <w:left w:val="nil"/>
              <w:bottom w:val="single" w:sz="4" w:space="0" w:color="auto"/>
              <w:right w:val="nil"/>
            </w:tcBorders>
            <w:shd w:val="clear" w:color="000000" w:fill="EDEDED"/>
            <w:vAlign w:val="bottom"/>
            <w:hideMark/>
          </w:tcPr>
          <w:p w14:paraId="59651936" w14:textId="77777777" w:rsidR="00C43BF8" w:rsidRPr="00C81C97" w:rsidRDefault="00C43BF8" w:rsidP="00C43BF8">
            <w:pPr>
              <w:jc w:val="right"/>
              <w:rPr>
                <w:rFonts w:ascii="Arial" w:hAnsi="Arial" w:cs="Arial"/>
                <w:b/>
                <w:bCs/>
                <w:i/>
                <w:iCs/>
                <w:color w:val="000000"/>
                <w:sz w:val="16"/>
                <w:szCs w:val="16"/>
                <w:lang w:eastAsia="es-AR"/>
              </w:rPr>
            </w:pPr>
            <w:r w:rsidRPr="00613EB0">
              <w:rPr>
                <w:rFonts w:ascii="Arial" w:hAnsi="Arial" w:cs="Arial"/>
                <w:color w:val="000000"/>
                <w:sz w:val="16"/>
                <w:szCs w:val="16"/>
              </w:rPr>
              <w:t> </w:t>
            </w:r>
          </w:p>
        </w:tc>
        <w:tc>
          <w:tcPr>
            <w:tcW w:w="1179" w:type="dxa"/>
            <w:tcBorders>
              <w:top w:val="nil"/>
              <w:left w:val="nil"/>
              <w:bottom w:val="single" w:sz="4" w:space="0" w:color="auto"/>
              <w:right w:val="single" w:sz="8" w:space="0" w:color="auto"/>
            </w:tcBorders>
            <w:shd w:val="clear" w:color="000000" w:fill="EDEDED"/>
            <w:vAlign w:val="bottom"/>
            <w:hideMark/>
          </w:tcPr>
          <w:p w14:paraId="1685121C" w14:textId="77777777" w:rsidR="00C43BF8" w:rsidRPr="00C81C97" w:rsidRDefault="00C43BF8" w:rsidP="00C43BF8">
            <w:pPr>
              <w:jc w:val="right"/>
              <w:rPr>
                <w:rFonts w:ascii="Arial" w:hAnsi="Arial" w:cs="Arial"/>
                <w:b/>
                <w:bCs/>
                <w:i/>
                <w:iCs/>
                <w:color w:val="000000"/>
                <w:sz w:val="16"/>
                <w:szCs w:val="16"/>
                <w:lang w:eastAsia="es-AR"/>
              </w:rPr>
            </w:pPr>
            <w:r w:rsidRPr="00613EB0">
              <w:rPr>
                <w:rFonts w:ascii="Arial" w:hAnsi="Arial" w:cs="Arial"/>
                <w:color w:val="000000"/>
                <w:sz w:val="16"/>
                <w:szCs w:val="16"/>
              </w:rPr>
              <w:t> </w:t>
            </w:r>
          </w:p>
        </w:tc>
      </w:tr>
      <w:tr w:rsidR="00C43BF8" w:rsidRPr="00A376FF" w14:paraId="6F83D1DE" w14:textId="77777777" w:rsidTr="00D70FEB">
        <w:trPr>
          <w:trHeight w:val="198"/>
          <w:jc w:val="center"/>
        </w:trPr>
        <w:tc>
          <w:tcPr>
            <w:tcW w:w="3871" w:type="dxa"/>
            <w:tcBorders>
              <w:top w:val="nil"/>
              <w:left w:val="single" w:sz="8" w:space="0" w:color="auto"/>
              <w:bottom w:val="single" w:sz="4" w:space="0" w:color="auto"/>
              <w:right w:val="single" w:sz="4" w:space="0" w:color="auto"/>
            </w:tcBorders>
            <w:shd w:val="clear" w:color="auto" w:fill="auto"/>
            <w:noWrap/>
            <w:vAlign w:val="center"/>
            <w:hideMark/>
          </w:tcPr>
          <w:p w14:paraId="501CC1AB"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-Depósitos</w:t>
            </w:r>
          </w:p>
        </w:tc>
        <w:tc>
          <w:tcPr>
            <w:tcW w:w="1083" w:type="dxa"/>
            <w:tcBorders>
              <w:top w:val="nil"/>
              <w:left w:val="nil"/>
              <w:bottom w:val="single" w:sz="4" w:space="0" w:color="auto"/>
              <w:right w:val="single" w:sz="4" w:space="0" w:color="auto"/>
            </w:tcBorders>
            <w:shd w:val="clear" w:color="auto" w:fill="auto"/>
            <w:noWrap/>
            <w:vAlign w:val="bottom"/>
            <w:hideMark/>
          </w:tcPr>
          <w:p w14:paraId="7A3EB05C" w14:textId="77777777" w:rsidR="00C43BF8" w:rsidRPr="000B2F8E" w:rsidRDefault="00C43BF8" w:rsidP="00C43BF8">
            <w:pPr>
              <w:jc w:val="right"/>
              <w:rPr>
                <w:rFonts w:ascii="Arial" w:hAnsi="Arial" w:cs="Arial"/>
                <w:color w:val="000000"/>
                <w:sz w:val="16"/>
                <w:szCs w:val="16"/>
                <w:lang w:eastAsia="es-AR"/>
              </w:rPr>
            </w:pPr>
            <w:r w:rsidRPr="000B2F8E">
              <w:rPr>
                <w:rFonts w:ascii="Arial" w:hAnsi="Arial" w:cs="Arial"/>
                <w:sz w:val="16"/>
                <w:szCs w:val="16"/>
              </w:rPr>
              <w:t>95.666.471</w:t>
            </w:r>
          </w:p>
        </w:tc>
        <w:tc>
          <w:tcPr>
            <w:tcW w:w="1030" w:type="dxa"/>
            <w:tcBorders>
              <w:top w:val="nil"/>
              <w:left w:val="nil"/>
              <w:bottom w:val="single" w:sz="4" w:space="0" w:color="auto"/>
              <w:right w:val="single" w:sz="4" w:space="0" w:color="auto"/>
            </w:tcBorders>
            <w:shd w:val="clear" w:color="auto" w:fill="auto"/>
            <w:vAlign w:val="center"/>
            <w:hideMark/>
          </w:tcPr>
          <w:p w14:paraId="5200A132"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95.428.040 </w:t>
            </w:r>
          </w:p>
        </w:tc>
        <w:tc>
          <w:tcPr>
            <w:tcW w:w="188" w:type="dxa"/>
            <w:tcBorders>
              <w:top w:val="nil"/>
              <w:left w:val="nil"/>
              <w:bottom w:val="single" w:sz="4" w:space="0" w:color="auto"/>
              <w:right w:val="single" w:sz="4" w:space="0" w:color="auto"/>
            </w:tcBorders>
            <w:shd w:val="clear" w:color="auto" w:fill="auto"/>
            <w:vAlign w:val="center"/>
            <w:hideMark/>
          </w:tcPr>
          <w:p w14:paraId="7D34EB07" w14:textId="77777777" w:rsidR="00C43BF8" w:rsidRPr="00613EB0" w:rsidRDefault="00C43BF8" w:rsidP="00C43BF8">
            <w:pPr>
              <w:jc w:val="right"/>
              <w:rPr>
                <w:rFonts w:ascii="Arial" w:hAnsi="Arial" w:cs="Arial"/>
                <w:color w:val="000000"/>
                <w:sz w:val="16"/>
                <w:szCs w:val="16"/>
                <w:lang w:eastAsia="es-AR"/>
              </w:rPr>
            </w:pPr>
          </w:p>
        </w:tc>
        <w:tc>
          <w:tcPr>
            <w:tcW w:w="1157" w:type="dxa"/>
            <w:tcBorders>
              <w:top w:val="nil"/>
              <w:left w:val="nil"/>
              <w:bottom w:val="single" w:sz="4" w:space="0" w:color="auto"/>
              <w:right w:val="single" w:sz="4" w:space="0" w:color="auto"/>
            </w:tcBorders>
            <w:shd w:val="clear" w:color="auto" w:fill="auto"/>
            <w:noWrap/>
            <w:vAlign w:val="center"/>
            <w:hideMark/>
          </w:tcPr>
          <w:p w14:paraId="72297303"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983" w:type="dxa"/>
            <w:tcBorders>
              <w:top w:val="nil"/>
              <w:left w:val="nil"/>
              <w:bottom w:val="single" w:sz="4" w:space="0" w:color="auto"/>
              <w:right w:val="single" w:sz="4" w:space="0" w:color="auto"/>
            </w:tcBorders>
            <w:shd w:val="clear" w:color="auto" w:fill="auto"/>
            <w:noWrap/>
            <w:vAlign w:val="center"/>
            <w:hideMark/>
          </w:tcPr>
          <w:p w14:paraId="3B2E2384"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179" w:type="dxa"/>
            <w:tcBorders>
              <w:top w:val="nil"/>
              <w:left w:val="nil"/>
              <w:bottom w:val="single" w:sz="4" w:space="0" w:color="auto"/>
              <w:right w:val="single" w:sz="8" w:space="0" w:color="auto"/>
            </w:tcBorders>
            <w:shd w:val="clear" w:color="auto" w:fill="auto"/>
            <w:noWrap/>
            <w:vAlign w:val="center"/>
            <w:hideMark/>
          </w:tcPr>
          <w:p w14:paraId="7415484E"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95.428.040 </w:t>
            </w:r>
          </w:p>
        </w:tc>
      </w:tr>
      <w:tr w:rsidR="00C43BF8" w:rsidRPr="00A376FF" w14:paraId="658C995B" w14:textId="77777777" w:rsidTr="00D70FEB">
        <w:trPr>
          <w:trHeight w:val="198"/>
          <w:jc w:val="center"/>
        </w:trPr>
        <w:tc>
          <w:tcPr>
            <w:tcW w:w="38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F172377"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-Otros pasivos financieros</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14:paraId="25B862C6" w14:textId="77777777" w:rsidR="00C43BF8" w:rsidRPr="000B2F8E" w:rsidRDefault="00C43BF8" w:rsidP="00C43BF8">
            <w:pPr>
              <w:jc w:val="right"/>
              <w:rPr>
                <w:rFonts w:ascii="Arial" w:hAnsi="Arial" w:cs="Arial"/>
                <w:color w:val="000000"/>
                <w:sz w:val="16"/>
                <w:szCs w:val="16"/>
                <w:lang w:eastAsia="es-AR"/>
              </w:rPr>
            </w:pPr>
            <w:r w:rsidRPr="000B2F8E">
              <w:rPr>
                <w:rFonts w:ascii="Arial" w:hAnsi="Arial" w:cs="Arial"/>
                <w:sz w:val="16"/>
                <w:szCs w:val="16"/>
              </w:rPr>
              <w:t>461.819</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2DB217E7"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461.819 </w:t>
            </w:r>
          </w:p>
        </w:tc>
        <w:tc>
          <w:tcPr>
            <w:tcW w:w="188" w:type="dxa"/>
            <w:tcBorders>
              <w:top w:val="single" w:sz="4" w:space="0" w:color="auto"/>
              <w:left w:val="nil"/>
              <w:bottom w:val="single" w:sz="4" w:space="0" w:color="auto"/>
              <w:right w:val="single" w:sz="4" w:space="0" w:color="auto"/>
            </w:tcBorders>
            <w:shd w:val="clear" w:color="auto" w:fill="auto"/>
            <w:vAlign w:val="center"/>
            <w:hideMark/>
          </w:tcPr>
          <w:p w14:paraId="244BC7D2" w14:textId="77777777" w:rsidR="00C43BF8" w:rsidRPr="00613EB0" w:rsidRDefault="00C43BF8" w:rsidP="00C43BF8">
            <w:pPr>
              <w:jc w:val="right"/>
              <w:rPr>
                <w:rFonts w:ascii="Arial" w:hAnsi="Arial" w:cs="Arial"/>
                <w:color w:val="000000"/>
                <w:sz w:val="16"/>
                <w:szCs w:val="16"/>
                <w:lang w:eastAsia="es-AR"/>
              </w:rPr>
            </w:pPr>
          </w:p>
        </w:tc>
        <w:tc>
          <w:tcPr>
            <w:tcW w:w="1157" w:type="dxa"/>
            <w:tcBorders>
              <w:top w:val="single" w:sz="4" w:space="0" w:color="auto"/>
              <w:left w:val="nil"/>
              <w:bottom w:val="single" w:sz="4" w:space="0" w:color="auto"/>
              <w:right w:val="single" w:sz="4" w:space="0" w:color="auto"/>
            </w:tcBorders>
            <w:shd w:val="clear" w:color="auto" w:fill="auto"/>
            <w:noWrap/>
            <w:vAlign w:val="center"/>
            <w:hideMark/>
          </w:tcPr>
          <w:p w14:paraId="0A3D8109"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461.819 </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14:paraId="748BDD28"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179" w:type="dxa"/>
            <w:tcBorders>
              <w:top w:val="single" w:sz="4" w:space="0" w:color="auto"/>
              <w:left w:val="nil"/>
              <w:bottom w:val="single" w:sz="4" w:space="0" w:color="auto"/>
              <w:right w:val="single" w:sz="8" w:space="0" w:color="auto"/>
            </w:tcBorders>
            <w:shd w:val="clear" w:color="auto" w:fill="auto"/>
            <w:noWrap/>
            <w:vAlign w:val="bottom"/>
            <w:hideMark/>
          </w:tcPr>
          <w:p w14:paraId="34B02BC9"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C43BF8" w:rsidRPr="00A376FF" w14:paraId="4255D9BE" w14:textId="77777777" w:rsidTr="00D70FEB">
        <w:trPr>
          <w:trHeight w:val="198"/>
          <w:jc w:val="center"/>
        </w:trPr>
        <w:tc>
          <w:tcPr>
            <w:tcW w:w="3871" w:type="dxa"/>
            <w:tcBorders>
              <w:top w:val="nil"/>
              <w:left w:val="single" w:sz="8" w:space="0" w:color="auto"/>
              <w:bottom w:val="single" w:sz="4" w:space="0" w:color="auto"/>
              <w:right w:val="single" w:sz="4" w:space="0" w:color="auto"/>
            </w:tcBorders>
            <w:shd w:val="clear" w:color="auto" w:fill="auto"/>
            <w:noWrap/>
            <w:vAlign w:val="center"/>
            <w:hideMark/>
          </w:tcPr>
          <w:p w14:paraId="5DE42201"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-Financiaciones recibidas del BCRA y otras instituciones financieras</w:t>
            </w:r>
          </w:p>
        </w:tc>
        <w:tc>
          <w:tcPr>
            <w:tcW w:w="1083" w:type="dxa"/>
            <w:tcBorders>
              <w:top w:val="nil"/>
              <w:left w:val="nil"/>
              <w:bottom w:val="single" w:sz="4" w:space="0" w:color="auto"/>
              <w:right w:val="single" w:sz="4" w:space="0" w:color="auto"/>
            </w:tcBorders>
            <w:shd w:val="clear" w:color="auto" w:fill="auto"/>
            <w:noWrap/>
            <w:vAlign w:val="bottom"/>
            <w:hideMark/>
          </w:tcPr>
          <w:p w14:paraId="13F97A6D" w14:textId="77777777" w:rsidR="00C43BF8" w:rsidRPr="00EC349E" w:rsidRDefault="00C43BF8" w:rsidP="00C43BF8">
            <w:pPr>
              <w:jc w:val="right"/>
              <w:rPr>
                <w:rFonts w:ascii="Arial" w:hAnsi="Arial" w:cs="Arial"/>
                <w:color w:val="000000"/>
                <w:sz w:val="16"/>
                <w:szCs w:val="16"/>
                <w:lang w:eastAsia="es-AR"/>
              </w:rPr>
            </w:pPr>
            <w:r w:rsidRPr="006E39B3">
              <w:rPr>
                <w:rFonts w:ascii="Arial" w:hAnsi="Arial" w:cs="Arial"/>
                <w:sz w:val="16"/>
                <w:szCs w:val="16"/>
              </w:rPr>
              <w:t>8.016.105</w:t>
            </w:r>
          </w:p>
        </w:tc>
        <w:tc>
          <w:tcPr>
            <w:tcW w:w="1030" w:type="dxa"/>
            <w:tcBorders>
              <w:top w:val="nil"/>
              <w:left w:val="nil"/>
              <w:bottom w:val="single" w:sz="4" w:space="0" w:color="auto"/>
              <w:right w:val="single" w:sz="4" w:space="0" w:color="auto"/>
            </w:tcBorders>
            <w:shd w:val="clear" w:color="auto" w:fill="auto"/>
            <w:vAlign w:val="bottom"/>
            <w:hideMark/>
          </w:tcPr>
          <w:p w14:paraId="64DA56F3" w14:textId="77777777" w:rsidR="00C43BF8" w:rsidRPr="00EC349E" w:rsidRDefault="00C43BF8" w:rsidP="00C43BF8">
            <w:pPr>
              <w:jc w:val="right"/>
              <w:rPr>
                <w:rFonts w:ascii="Arial" w:hAnsi="Arial" w:cs="Arial"/>
                <w:color w:val="000000"/>
                <w:sz w:val="16"/>
                <w:szCs w:val="16"/>
                <w:lang w:eastAsia="es-AR"/>
              </w:rPr>
            </w:pPr>
            <w:r w:rsidRPr="006E39B3">
              <w:rPr>
                <w:rFonts w:ascii="Arial" w:hAnsi="Arial" w:cs="Arial"/>
                <w:color w:val="000000"/>
                <w:sz w:val="16"/>
                <w:szCs w:val="16"/>
              </w:rPr>
              <w:t xml:space="preserve">6.553.274 </w:t>
            </w:r>
          </w:p>
        </w:tc>
        <w:tc>
          <w:tcPr>
            <w:tcW w:w="188" w:type="dxa"/>
            <w:tcBorders>
              <w:top w:val="nil"/>
              <w:left w:val="nil"/>
              <w:bottom w:val="single" w:sz="4" w:space="0" w:color="auto"/>
              <w:right w:val="single" w:sz="4" w:space="0" w:color="auto"/>
            </w:tcBorders>
            <w:shd w:val="clear" w:color="auto" w:fill="auto"/>
            <w:vAlign w:val="center"/>
            <w:hideMark/>
          </w:tcPr>
          <w:p w14:paraId="2746A0B0" w14:textId="77777777" w:rsidR="00C43BF8" w:rsidRPr="00613EB0" w:rsidRDefault="00C43BF8" w:rsidP="00C43BF8">
            <w:pPr>
              <w:jc w:val="right"/>
              <w:rPr>
                <w:rFonts w:ascii="Arial" w:hAnsi="Arial" w:cs="Arial"/>
                <w:color w:val="000000"/>
                <w:sz w:val="16"/>
                <w:szCs w:val="16"/>
                <w:lang w:eastAsia="es-AR"/>
              </w:rPr>
            </w:pPr>
          </w:p>
        </w:tc>
        <w:tc>
          <w:tcPr>
            <w:tcW w:w="1157" w:type="dxa"/>
            <w:tcBorders>
              <w:top w:val="nil"/>
              <w:left w:val="nil"/>
              <w:bottom w:val="single" w:sz="4" w:space="0" w:color="auto"/>
              <w:right w:val="single" w:sz="4" w:space="0" w:color="auto"/>
            </w:tcBorders>
            <w:shd w:val="clear" w:color="auto" w:fill="auto"/>
            <w:noWrap/>
            <w:vAlign w:val="center"/>
            <w:hideMark/>
          </w:tcPr>
          <w:p w14:paraId="5B8F55CE"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983" w:type="dxa"/>
            <w:tcBorders>
              <w:top w:val="nil"/>
              <w:left w:val="nil"/>
              <w:bottom w:val="single" w:sz="4" w:space="0" w:color="auto"/>
              <w:right w:val="single" w:sz="4" w:space="0" w:color="auto"/>
            </w:tcBorders>
            <w:shd w:val="clear" w:color="auto" w:fill="auto"/>
            <w:noWrap/>
            <w:vAlign w:val="bottom"/>
            <w:hideMark/>
          </w:tcPr>
          <w:p w14:paraId="24DB9FD2"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179" w:type="dxa"/>
            <w:tcBorders>
              <w:top w:val="nil"/>
              <w:left w:val="nil"/>
              <w:bottom w:val="single" w:sz="4" w:space="0" w:color="auto"/>
              <w:right w:val="single" w:sz="8" w:space="0" w:color="auto"/>
            </w:tcBorders>
            <w:shd w:val="clear" w:color="auto" w:fill="auto"/>
            <w:noWrap/>
            <w:vAlign w:val="bottom"/>
            <w:hideMark/>
          </w:tcPr>
          <w:p w14:paraId="188F08EB"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6.553.274 </w:t>
            </w:r>
          </w:p>
        </w:tc>
      </w:tr>
      <w:tr w:rsidR="00C43BF8" w:rsidRPr="00A376FF" w14:paraId="34C62693" w14:textId="77777777" w:rsidTr="00D70FEB">
        <w:trPr>
          <w:trHeight w:val="198"/>
          <w:jc w:val="center"/>
        </w:trPr>
        <w:tc>
          <w:tcPr>
            <w:tcW w:w="3871" w:type="dxa"/>
            <w:tcBorders>
              <w:top w:val="nil"/>
              <w:left w:val="single" w:sz="8" w:space="0" w:color="auto"/>
              <w:bottom w:val="single" w:sz="4" w:space="0" w:color="auto"/>
              <w:right w:val="single" w:sz="4" w:space="0" w:color="auto"/>
            </w:tcBorders>
            <w:shd w:val="clear" w:color="auto" w:fill="auto"/>
            <w:noWrap/>
            <w:vAlign w:val="center"/>
            <w:hideMark/>
          </w:tcPr>
          <w:p w14:paraId="728F149A"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-Obligaciones negociables emitidas</w:t>
            </w:r>
          </w:p>
        </w:tc>
        <w:tc>
          <w:tcPr>
            <w:tcW w:w="1083" w:type="dxa"/>
            <w:tcBorders>
              <w:top w:val="nil"/>
              <w:left w:val="nil"/>
              <w:bottom w:val="single" w:sz="4" w:space="0" w:color="auto"/>
              <w:right w:val="single" w:sz="4" w:space="0" w:color="auto"/>
            </w:tcBorders>
            <w:shd w:val="clear" w:color="auto" w:fill="auto"/>
            <w:noWrap/>
            <w:vAlign w:val="bottom"/>
            <w:hideMark/>
          </w:tcPr>
          <w:p w14:paraId="76165C31" w14:textId="77777777" w:rsidR="00C43BF8" w:rsidRPr="000B2F8E" w:rsidRDefault="00C43BF8" w:rsidP="00C43BF8">
            <w:pPr>
              <w:jc w:val="right"/>
              <w:rPr>
                <w:rFonts w:ascii="Arial" w:hAnsi="Arial" w:cs="Arial"/>
                <w:color w:val="000000"/>
                <w:sz w:val="16"/>
                <w:szCs w:val="16"/>
                <w:lang w:eastAsia="es-AR"/>
              </w:rPr>
            </w:pPr>
            <w:r w:rsidRPr="000B2F8E">
              <w:rPr>
                <w:rFonts w:ascii="Arial" w:hAnsi="Arial" w:cs="Arial"/>
                <w:sz w:val="16"/>
                <w:szCs w:val="16"/>
              </w:rPr>
              <w:t>9.228.033</w:t>
            </w:r>
          </w:p>
        </w:tc>
        <w:tc>
          <w:tcPr>
            <w:tcW w:w="1030" w:type="dxa"/>
            <w:tcBorders>
              <w:top w:val="nil"/>
              <w:left w:val="nil"/>
              <w:bottom w:val="single" w:sz="4" w:space="0" w:color="auto"/>
              <w:right w:val="single" w:sz="4" w:space="0" w:color="auto"/>
            </w:tcBorders>
            <w:shd w:val="clear" w:color="auto" w:fill="auto"/>
            <w:vAlign w:val="center"/>
            <w:hideMark/>
          </w:tcPr>
          <w:p w14:paraId="52DBB491" w14:textId="56FA72B4" w:rsidR="00C43BF8" w:rsidRPr="000B2F8E" w:rsidRDefault="00762F32" w:rsidP="00C43BF8">
            <w:pPr>
              <w:jc w:val="right"/>
              <w:rPr>
                <w:rFonts w:ascii="Arial" w:hAnsi="Arial" w:cs="Arial"/>
                <w:color w:val="000000"/>
                <w:sz w:val="16"/>
                <w:szCs w:val="16"/>
                <w:lang w:eastAsia="es-AR"/>
              </w:rPr>
            </w:pPr>
            <w:r w:rsidRPr="00762F32">
              <w:rPr>
                <w:rFonts w:ascii="Arial" w:hAnsi="Arial" w:cs="Arial"/>
                <w:color w:val="000000"/>
                <w:sz w:val="16"/>
                <w:szCs w:val="16"/>
              </w:rPr>
              <w:t xml:space="preserve">9.228.033 </w:t>
            </w:r>
            <w:r w:rsidR="00C43BF8" w:rsidRPr="00613EB0">
              <w:rPr>
                <w:rFonts w:ascii="Arial" w:hAnsi="Arial" w:cs="Arial"/>
                <w:color w:val="000000"/>
                <w:sz w:val="16"/>
                <w:szCs w:val="16"/>
              </w:rPr>
              <w:t xml:space="preserve"> </w:t>
            </w:r>
          </w:p>
        </w:tc>
        <w:tc>
          <w:tcPr>
            <w:tcW w:w="188" w:type="dxa"/>
            <w:tcBorders>
              <w:top w:val="nil"/>
              <w:left w:val="nil"/>
              <w:bottom w:val="single" w:sz="4" w:space="0" w:color="auto"/>
              <w:right w:val="single" w:sz="4" w:space="0" w:color="auto"/>
            </w:tcBorders>
            <w:shd w:val="clear" w:color="auto" w:fill="auto"/>
            <w:vAlign w:val="center"/>
            <w:hideMark/>
          </w:tcPr>
          <w:p w14:paraId="51AB06C0" w14:textId="77777777" w:rsidR="00C43BF8" w:rsidRPr="00613EB0" w:rsidRDefault="00C43BF8" w:rsidP="00C43BF8">
            <w:pPr>
              <w:jc w:val="right"/>
              <w:rPr>
                <w:rFonts w:ascii="Arial" w:hAnsi="Arial" w:cs="Arial"/>
                <w:color w:val="000000"/>
                <w:sz w:val="16"/>
                <w:szCs w:val="16"/>
                <w:lang w:eastAsia="es-AR"/>
              </w:rPr>
            </w:pPr>
          </w:p>
        </w:tc>
        <w:tc>
          <w:tcPr>
            <w:tcW w:w="1157" w:type="dxa"/>
            <w:tcBorders>
              <w:top w:val="nil"/>
              <w:left w:val="nil"/>
              <w:bottom w:val="single" w:sz="4" w:space="0" w:color="auto"/>
              <w:right w:val="single" w:sz="4" w:space="0" w:color="auto"/>
            </w:tcBorders>
            <w:shd w:val="clear" w:color="auto" w:fill="auto"/>
            <w:noWrap/>
            <w:vAlign w:val="center"/>
            <w:hideMark/>
          </w:tcPr>
          <w:p w14:paraId="292ED90E" w14:textId="52FC7CE6" w:rsidR="00C43BF8" w:rsidRPr="000B2F8E" w:rsidRDefault="00762F32" w:rsidP="00C43BF8">
            <w:pPr>
              <w:jc w:val="right"/>
              <w:rPr>
                <w:rFonts w:ascii="Arial" w:hAnsi="Arial" w:cs="Arial"/>
                <w:color w:val="000000"/>
                <w:sz w:val="16"/>
                <w:szCs w:val="16"/>
                <w:lang w:eastAsia="es-AR"/>
              </w:rPr>
            </w:pPr>
            <w:r w:rsidRPr="00762F32">
              <w:rPr>
                <w:rFonts w:ascii="Arial" w:hAnsi="Arial" w:cs="Arial"/>
                <w:color w:val="000000"/>
                <w:sz w:val="16"/>
                <w:szCs w:val="16"/>
              </w:rPr>
              <w:t>9.228.033</w:t>
            </w:r>
          </w:p>
        </w:tc>
        <w:tc>
          <w:tcPr>
            <w:tcW w:w="983" w:type="dxa"/>
            <w:tcBorders>
              <w:top w:val="nil"/>
              <w:left w:val="nil"/>
              <w:bottom w:val="single" w:sz="4" w:space="0" w:color="auto"/>
              <w:right w:val="single" w:sz="4" w:space="0" w:color="auto"/>
            </w:tcBorders>
            <w:shd w:val="clear" w:color="auto" w:fill="auto"/>
            <w:noWrap/>
            <w:vAlign w:val="center"/>
            <w:hideMark/>
          </w:tcPr>
          <w:p w14:paraId="0549B7BF"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179" w:type="dxa"/>
            <w:tcBorders>
              <w:top w:val="nil"/>
              <w:left w:val="nil"/>
              <w:bottom w:val="single" w:sz="4" w:space="0" w:color="auto"/>
              <w:right w:val="single" w:sz="8" w:space="0" w:color="auto"/>
            </w:tcBorders>
            <w:shd w:val="clear" w:color="auto" w:fill="auto"/>
            <w:noWrap/>
            <w:vAlign w:val="center"/>
            <w:hideMark/>
          </w:tcPr>
          <w:p w14:paraId="781ABCB3"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C43BF8" w:rsidRPr="00A376FF" w14:paraId="6820D5B6" w14:textId="77777777" w:rsidTr="00D70FEB">
        <w:trPr>
          <w:trHeight w:val="208"/>
          <w:jc w:val="center"/>
        </w:trPr>
        <w:tc>
          <w:tcPr>
            <w:tcW w:w="3871" w:type="dxa"/>
            <w:tcBorders>
              <w:top w:val="nil"/>
              <w:left w:val="single" w:sz="8" w:space="0" w:color="auto"/>
              <w:bottom w:val="nil"/>
              <w:right w:val="single" w:sz="4" w:space="0" w:color="auto"/>
            </w:tcBorders>
            <w:shd w:val="clear" w:color="auto" w:fill="auto"/>
            <w:noWrap/>
            <w:vAlign w:val="center"/>
            <w:hideMark/>
          </w:tcPr>
          <w:p w14:paraId="30C29F82" w14:textId="77777777" w:rsidR="00C43BF8" w:rsidRPr="00613EB0" w:rsidRDefault="00C43BF8" w:rsidP="00C43BF8">
            <w:pPr>
              <w:rPr>
                <w:rFonts w:ascii="Arial" w:hAnsi="Arial" w:cs="Arial"/>
                <w:color w:val="000000"/>
                <w:sz w:val="16"/>
                <w:szCs w:val="16"/>
                <w:lang w:eastAsia="es-AR"/>
              </w:rPr>
            </w:pPr>
            <w:r w:rsidRPr="00613EB0">
              <w:rPr>
                <w:rFonts w:ascii="Arial" w:hAnsi="Arial" w:cs="Arial"/>
                <w:color w:val="000000"/>
                <w:sz w:val="16"/>
                <w:szCs w:val="16"/>
                <w:lang w:eastAsia="es-AR"/>
              </w:rPr>
              <w:t>-Obligaciones negociables subordinadas</w:t>
            </w:r>
          </w:p>
        </w:tc>
        <w:tc>
          <w:tcPr>
            <w:tcW w:w="1083" w:type="dxa"/>
            <w:tcBorders>
              <w:top w:val="nil"/>
              <w:left w:val="nil"/>
              <w:bottom w:val="nil"/>
              <w:right w:val="single" w:sz="4" w:space="0" w:color="auto"/>
            </w:tcBorders>
            <w:shd w:val="clear" w:color="auto" w:fill="auto"/>
            <w:noWrap/>
            <w:vAlign w:val="bottom"/>
            <w:hideMark/>
          </w:tcPr>
          <w:p w14:paraId="356E0A5B" w14:textId="77777777" w:rsidR="00C43BF8" w:rsidRPr="000B2F8E" w:rsidRDefault="00C43BF8" w:rsidP="00C43BF8">
            <w:pPr>
              <w:jc w:val="right"/>
              <w:rPr>
                <w:rFonts w:ascii="Arial" w:hAnsi="Arial" w:cs="Arial"/>
                <w:color w:val="000000"/>
                <w:sz w:val="16"/>
                <w:szCs w:val="16"/>
                <w:lang w:eastAsia="es-AR"/>
              </w:rPr>
            </w:pPr>
            <w:r w:rsidRPr="000B2F8E">
              <w:rPr>
                <w:rFonts w:ascii="Arial" w:hAnsi="Arial" w:cs="Arial"/>
                <w:sz w:val="16"/>
                <w:szCs w:val="16"/>
              </w:rPr>
              <w:t>1.383.817</w:t>
            </w:r>
          </w:p>
        </w:tc>
        <w:tc>
          <w:tcPr>
            <w:tcW w:w="1030" w:type="dxa"/>
            <w:tcBorders>
              <w:top w:val="nil"/>
              <w:left w:val="nil"/>
              <w:bottom w:val="nil"/>
              <w:right w:val="single" w:sz="4" w:space="0" w:color="auto"/>
            </w:tcBorders>
            <w:shd w:val="clear" w:color="auto" w:fill="auto"/>
            <w:vAlign w:val="center"/>
            <w:hideMark/>
          </w:tcPr>
          <w:p w14:paraId="59900D83"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1.371.488 </w:t>
            </w:r>
          </w:p>
        </w:tc>
        <w:tc>
          <w:tcPr>
            <w:tcW w:w="188" w:type="dxa"/>
            <w:tcBorders>
              <w:top w:val="nil"/>
              <w:left w:val="nil"/>
              <w:bottom w:val="nil"/>
              <w:right w:val="single" w:sz="4" w:space="0" w:color="auto"/>
            </w:tcBorders>
            <w:shd w:val="clear" w:color="auto" w:fill="auto"/>
            <w:vAlign w:val="center"/>
            <w:hideMark/>
          </w:tcPr>
          <w:p w14:paraId="06634D3C" w14:textId="77777777" w:rsidR="00C43BF8" w:rsidRPr="00613EB0" w:rsidRDefault="00C43BF8" w:rsidP="00C43BF8">
            <w:pPr>
              <w:jc w:val="right"/>
              <w:rPr>
                <w:rFonts w:ascii="Arial" w:hAnsi="Arial" w:cs="Arial"/>
                <w:color w:val="000000"/>
                <w:sz w:val="16"/>
                <w:szCs w:val="16"/>
                <w:lang w:eastAsia="es-AR"/>
              </w:rPr>
            </w:pPr>
          </w:p>
        </w:tc>
        <w:tc>
          <w:tcPr>
            <w:tcW w:w="1157" w:type="dxa"/>
            <w:tcBorders>
              <w:top w:val="nil"/>
              <w:left w:val="nil"/>
              <w:bottom w:val="nil"/>
              <w:right w:val="single" w:sz="4" w:space="0" w:color="auto"/>
            </w:tcBorders>
            <w:shd w:val="clear" w:color="auto" w:fill="auto"/>
            <w:noWrap/>
            <w:vAlign w:val="center"/>
            <w:hideMark/>
          </w:tcPr>
          <w:p w14:paraId="2A96A6D4"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1.371.488 </w:t>
            </w:r>
          </w:p>
        </w:tc>
        <w:tc>
          <w:tcPr>
            <w:tcW w:w="983" w:type="dxa"/>
            <w:tcBorders>
              <w:top w:val="nil"/>
              <w:left w:val="nil"/>
              <w:bottom w:val="nil"/>
              <w:right w:val="single" w:sz="4" w:space="0" w:color="auto"/>
            </w:tcBorders>
            <w:shd w:val="clear" w:color="auto" w:fill="auto"/>
            <w:noWrap/>
            <w:vAlign w:val="center"/>
            <w:hideMark/>
          </w:tcPr>
          <w:p w14:paraId="708AD70C"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c>
          <w:tcPr>
            <w:tcW w:w="1179" w:type="dxa"/>
            <w:tcBorders>
              <w:top w:val="nil"/>
              <w:left w:val="nil"/>
              <w:bottom w:val="nil"/>
              <w:right w:val="single" w:sz="8" w:space="0" w:color="auto"/>
            </w:tcBorders>
            <w:shd w:val="clear" w:color="auto" w:fill="auto"/>
            <w:noWrap/>
            <w:vAlign w:val="center"/>
            <w:hideMark/>
          </w:tcPr>
          <w:p w14:paraId="1968E4DE" w14:textId="77777777" w:rsidR="00C43BF8" w:rsidRPr="000B2F8E" w:rsidRDefault="00C43BF8" w:rsidP="00C43BF8">
            <w:pPr>
              <w:jc w:val="right"/>
              <w:rPr>
                <w:rFonts w:ascii="Arial" w:hAnsi="Arial" w:cs="Arial"/>
                <w:color w:val="000000"/>
                <w:sz w:val="16"/>
                <w:szCs w:val="16"/>
                <w:lang w:eastAsia="es-AR"/>
              </w:rPr>
            </w:pPr>
            <w:r w:rsidRPr="00613EB0">
              <w:rPr>
                <w:rFonts w:ascii="Arial" w:hAnsi="Arial" w:cs="Arial"/>
                <w:color w:val="000000"/>
                <w:sz w:val="16"/>
                <w:szCs w:val="16"/>
              </w:rPr>
              <w:t xml:space="preserve">-   </w:t>
            </w:r>
          </w:p>
        </w:tc>
      </w:tr>
      <w:tr w:rsidR="00C43BF8" w:rsidRPr="008F3BFA" w14:paraId="1C790AAD" w14:textId="77777777" w:rsidTr="00D70FEB">
        <w:trPr>
          <w:trHeight w:val="208"/>
          <w:jc w:val="center"/>
        </w:trPr>
        <w:tc>
          <w:tcPr>
            <w:tcW w:w="3871"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4EB3A8BE" w14:textId="77777777" w:rsidR="00C43BF8" w:rsidRPr="00613EB0" w:rsidRDefault="00C43BF8" w:rsidP="00C43BF8">
            <w:pPr>
              <w:rPr>
                <w:rFonts w:ascii="Arial" w:hAnsi="Arial" w:cs="Arial"/>
                <w:b/>
                <w:color w:val="000000"/>
                <w:sz w:val="16"/>
                <w:szCs w:val="16"/>
                <w:lang w:eastAsia="es-AR"/>
              </w:rPr>
            </w:pPr>
            <w:r w:rsidRPr="00613EB0">
              <w:rPr>
                <w:rFonts w:ascii="Arial" w:hAnsi="Arial" w:cs="Arial"/>
                <w:b/>
                <w:color w:val="000000"/>
                <w:sz w:val="16"/>
                <w:szCs w:val="16"/>
                <w:lang w:eastAsia="es-AR"/>
              </w:rPr>
              <w:t> </w:t>
            </w:r>
          </w:p>
        </w:tc>
        <w:tc>
          <w:tcPr>
            <w:tcW w:w="1083" w:type="dxa"/>
            <w:tcBorders>
              <w:top w:val="single" w:sz="8" w:space="0" w:color="auto"/>
              <w:left w:val="nil"/>
              <w:bottom w:val="single" w:sz="8" w:space="0" w:color="auto"/>
              <w:right w:val="single" w:sz="4" w:space="0" w:color="auto"/>
            </w:tcBorders>
            <w:shd w:val="clear" w:color="000000" w:fill="EDEDED"/>
            <w:noWrap/>
            <w:vAlign w:val="bottom"/>
            <w:hideMark/>
          </w:tcPr>
          <w:p w14:paraId="5D5D6401" w14:textId="77777777" w:rsidR="00C43BF8" w:rsidRPr="000B2F8E" w:rsidRDefault="00C43BF8" w:rsidP="00C43BF8">
            <w:pPr>
              <w:jc w:val="right"/>
              <w:rPr>
                <w:rFonts w:ascii="Arial" w:hAnsi="Arial" w:cs="Arial"/>
                <w:b/>
                <w:bCs/>
                <w:color w:val="000000"/>
                <w:sz w:val="16"/>
                <w:szCs w:val="16"/>
                <w:lang w:eastAsia="es-AR"/>
              </w:rPr>
            </w:pPr>
            <w:r w:rsidRPr="0062633F">
              <w:rPr>
                <w:rFonts w:ascii="Arial" w:hAnsi="Arial" w:cs="Arial"/>
                <w:b/>
                <w:sz w:val="16"/>
                <w:szCs w:val="16"/>
              </w:rPr>
              <w:t>114.756.245</w:t>
            </w:r>
          </w:p>
        </w:tc>
        <w:tc>
          <w:tcPr>
            <w:tcW w:w="1030" w:type="dxa"/>
            <w:tcBorders>
              <w:top w:val="single" w:sz="8" w:space="0" w:color="auto"/>
              <w:left w:val="nil"/>
              <w:bottom w:val="single" w:sz="8" w:space="0" w:color="auto"/>
              <w:right w:val="single" w:sz="4" w:space="0" w:color="auto"/>
            </w:tcBorders>
            <w:shd w:val="clear" w:color="000000" w:fill="EDEDED"/>
            <w:noWrap/>
            <w:vAlign w:val="center"/>
            <w:hideMark/>
          </w:tcPr>
          <w:p w14:paraId="62D2522D" w14:textId="53C9089C" w:rsidR="00C43BF8" w:rsidRPr="000B2F8E" w:rsidRDefault="00762F32" w:rsidP="00C43BF8">
            <w:pPr>
              <w:jc w:val="right"/>
              <w:rPr>
                <w:rFonts w:ascii="Arial" w:hAnsi="Arial" w:cs="Arial"/>
                <w:b/>
                <w:bCs/>
                <w:color w:val="000000"/>
                <w:sz w:val="16"/>
                <w:szCs w:val="16"/>
                <w:lang w:eastAsia="es-AR"/>
              </w:rPr>
            </w:pPr>
            <w:r w:rsidRPr="00762F32">
              <w:rPr>
                <w:rFonts w:ascii="Arial" w:hAnsi="Arial" w:cs="Arial"/>
                <w:b/>
                <w:bCs/>
                <w:color w:val="000000"/>
                <w:sz w:val="16"/>
                <w:szCs w:val="16"/>
              </w:rPr>
              <w:t>113.042.</w:t>
            </w:r>
            <w:r w:rsidR="009B0929" w:rsidRPr="00762F32">
              <w:rPr>
                <w:rFonts w:ascii="Arial" w:hAnsi="Arial" w:cs="Arial"/>
                <w:b/>
                <w:bCs/>
                <w:color w:val="000000"/>
                <w:sz w:val="16"/>
                <w:szCs w:val="16"/>
              </w:rPr>
              <w:t>65</w:t>
            </w:r>
            <w:r w:rsidR="009B0929">
              <w:rPr>
                <w:rFonts w:ascii="Arial" w:hAnsi="Arial" w:cs="Arial"/>
                <w:b/>
                <w:bCs/>
                <w:color w:val="000000"/>
                <w:sz w:val="16"/>
                <w:szCs w:val="16"/>
              </w:rPr>
              <w:t>4</w:t>
            </w:r>
          </w:p>
        </w:tc>
        <w:tc>
          <w:tcPr>
            <w:tcW w:w="188" w:type="dxa"/>
            <w:tcBorders>
              <w:top w:val="single" w:sz="8" w:space="0" w:color="auto"/>
              <w:left w:val="nil"/>
              <w:bottom w:val="single" w:sz="8" w:space="0" w:color="auto"/>
              <w:right w:val="single" w:sz="4" w:space="0" w:color="auto"/>
            </w:tcBorders>
            <w:shd w:val="clear" w:color="000000" w:fill="EDEDED"/>
            <w:noWrap/>
            <w:vAlign w:val="center"/>
            <w:hideMark/>
          </w:tcPr>
          <w:p w14:paraId="39A7840E" w14:textId="77777777" w:rsidR="00C43BF8" w:rsidRPr="00613EB0" w:rsidRDefault="00C43BF8" w:rsidP="00C43BF8">
            <w:pPr>
              <w:jc w:val="right"/>
              <w:rPr>
                <w:rFonts w:ascii="Arial" w:hAnsi="Arial" w:cs="Arial"/>
                <w:b/>
                <w:bCs/>
                <w:color w:val="000000"/>
                <w:sz w:val="16"/>
                <w:szCs w:val="16"/>
                <w:lang w:eastAsia="es-AR"/>
              </w:rPr>
            </w:pPr>
          </w:p>
        </w:tc>
        <w:tc>
          <w:tcPr>
            <w:tcW w:w="1157" w:type="dxa"/>
            <w:tcBorders>
              <w:top w:val="single" w:sz="8" w:space="0" w:color="auto"/>
              <w:left w:val="nil"/>
              <w:bottom w:val="single" w:sz="8" w:space="0" w:color="auto"/>
              <w:right w:val="single" w:sz="4" w:space="0" w:color="auto"/>
            </w:tcBorders>
            <w:shd w:val="clear" w:color="000000" w:fill="EDEDED"/>
            <w:noWrap/>
            <w:vAlign w:val="center"/>
            <w:hideMark/>
          </w:tcPr>
          <w:p w14:paraId="6A81E2A7" w14:textId="232CE0A5" w:rsidR="00C43BF8" w:rsidRPr="000B2F8E" w:rsidRDefault="00762F32" w:rsidP="00C43BF8">
            <w:pPr>
              <w:jc w:val="right"/>
              <w:rPr>
                <w:rFonts w:ascii="Arial" w:hAnsi="Arial" w:cs="Arial"/>
                <w:b/>
                <w:bCs/>
                <w:color w:val="000000"/>
                <w:sz w:val="16"/>
                <w:szCs w:val="16"/>
                <w:lang w:eastAsia="es-AR"/>
              </w:rPr>
            </w:pPr>
            <w:r w:rsidRPr="00762F32">
              <w:rPr>
                <w:rFonts w:ascii="Arial" w:hAnsi="Arial" w:cs="Arial"/>
                <w:b/>
                <w:bCs/>
                <w:color w:val="000000"/>
                <w:sz w:val="16"/>
                <w:szCs w:val="16"/>
              </w:rPr>
              <w:t>11.061.340</w:t>
            </w:r>
          </w:p>
        </w:tc>
        <w:tc>
          <w:tcPr>
            <w:tcW w:w="983" w:type="dxa"/>
            <w:tcBorders>
              <w:top w:val="single" w:sz="8" w:space="0" w:color="auto"/>
              <w:left w:val="nil"/>
              <w:bottom w:val="single" w:sz="8" w:space="0" w:color="auto"/>
              <w:right w:val="single" w:sz="4" w:space="0" w:color="auto"/>
            </w:tcBorders>
            <w:shd w:val="clear" w:color="000000" w:fill="EDEDED"/>
            <w:noWrap/>
            <w:vAlign w:val="center"/>
            <w:hideMark/>
          </w:tcPr>
          <w:p w14:paraId="13E10B25" w14:textId="77777777" w:rsidR="00C43BF8" w:rsidRPr="000B2F8E" w:rsidRDefault="00C43BF8" w:rsidP="00C43BF8">
            <w:pPr>
              <w:jc w:val="right"/>
              <w:rPr>
                <w:rFonts w:ascii="Arial" w:hAnsi="Arial" w:cs="Arial"/>
                <w:b/>
                <w:bCs/>
                <w:color w:val="000000"/>
                <w:sz w:val="16"/>
                <w:szCs w:val="16"/>
                <w:lang w:eastAsia="es-AR"/>
              </w:rPr>
            </w:pPr>
            <w:r w:rsidRPr="00613EB0">
              <w:rPr>
                <w:rFonts w:ascii="Arial" w:hAnsi="Arial" w:cs="Arial"/>
                <w:b/>
                <w:bCs/>
                <w:color w:val="000000"/>
                <w:sz w:val="16"/>
                <w:szCs w:val="16"/>
              </w:rPr>
              <w:t xml:space="preserve">-   </w:t>
            </w:r>
          </w:p>
        </w:tc>
        <w:tc>
          <w:tcPr>
            <w:tcW w:w="1179" w:type="dxa"/>
            <w:tcBorders>
              <w:top w:val="single" w:sz="8" w:space="0" w:color="auto"/>
              <w:left w:val="nil"/>
              <w:bottom w:val="single" w:sz="8" w:space="0" w:color="auto"/>
              <w:right w:val="single" w:sz="8" w:space="0" w:color="auto"/>
            </w:tcBorders>
            <w:shd w:val="clear" w:color="000000" w:fill="EDEDED"/>
            <w:noWrap/>
            <w:vAlign w:val="center"/>
            <w:hideMark/>
          </w:tcPr>
          <w:p w14:paraId="3B754230" w14:textId="77777777" w:rsidR="00C43BF8" w:rsidRPr="000B2F8E" w:rsidRDefault="00C43BF8" w:rsidP="00C43BF8">
            <w:pPr>
              <w:jc w:val="right"/>
              <w:rPr>
                <w:rFonts w:ascii="Arial" w:hAnsi="Arial" w:cs="Arial"/>
                <w:b/>
                <w:bCs/>
                <w:color w:val="000000"/>
                <w:sz w:val="16"/>
                <w:szCs w:val="16"/>
                <w:lang w:eastAsia="es-AR"/>
              </w:rPr>
            </w:pPr>
            <w:r w:rsidRPr="00613EB0">
              <w:rPr>
                <w:rFonts w:ascii="Arial" w:hAnsi="Arial" w:cs="Arial"/>
                <w:b/>
                <w:bCs/>
                <w:color w:val="000000"/>
                <w:sz w:val="16"/>
                <w:szCs w:val="16"/>
              </w:rPr>
              <w:t xml:space="preserve">101.981.314 </w:t>
            </w:r>
          </w:p>
        </w:tc>
      </w:tr>
    </w:tbl>
    <w:p w14:paraId="32C5DAB2" w14:textId="0F2C9EF5" w:rsidR="00C43BF8" w:rsidRDefault="00C43BF8" w:rsidP="00420ED8">
      <w:pPr>
        <w:pStyle w:val="Style1"/>
        <w:jc w:val="both"/>
        <w:rPr>
          <w:rFonts w:ascii="Arial" w:eastAsia="Calibri" w:hAnsi="Arial" w:cs="Arial"/>
          <w:noProof w:val="0"/>
          <w:szCs w:val="20"/>
        </w:rPr>
      </w:pPr>
    </w:p>
    <w:p w14:paraId="538108FB" w14:textId="77777777" w:rsidR="00E21CE4" w:rsidRDefault="00E21CE4" w:rsidP="00420ED8">
      <w:pPr>
        <w:pStyle w:val="Style1"/>
        <w:jc w:val="both"/>
        <w:rPr>
          <w:rFonts w:ascii="Arial" w:eastAsia="Calibri" w:hAnsi="Arial" w:cs="Arial"/>
          <w:b/>
          <w:noProof w:val="0"/>
          <w:szCs w:val="20"/>
        </w:rPr>
      </w:pPr>
    </w:p>
    <w:p w14:paraId="48F5F04E" w14:textId="77777777" w:rsidR="00E21CE4" w:rsidRDefault="00E21CE4" w:rsidP="00420ED8">
      <w:pPr>
        <w:pStyle w:val="Style1"/>
        <w:jc w:val="both"/>
        <w:rPr>
          <w:rFonts w:ascii="Arial" w:eastAsia="Calibri" w:hAnsi="Arial" w:cs="Arial"/>
          <w:b/>
          <w:noProof w:val="0"/>
          <w:szCs w:val="20"/>
        </w:rPr>
      </w:pPr>
    </w:p>
    <w:p w14:paraId="3DDACEFB" w14:textId="184277AD" w:rsidR="004D5043" w:rsidRDefault="004D5043" w:rsidP="00420ED8">
      <w:pPr>
        <w:pStyle w:val="Style1"/>
        <w:jc w:val="both"/>
        <w:rPr>
          <w:rFonts w:ascii="Arial" w:eastAsia="Calibri" w:hAnsi="Arial" w:cs="Arial"/>
          <w:b/>
          <w:noProof w:val="0"/>
          <w:szCs w:val="20"/>
        </w:rPr>
      </w:pPr>
      <w:r w:rsidRPr="00A059FB">
        <w:rPr>
          <w:rFonts w:ascii="Arial" w:eastAsia="Calibri" w:hAnsi="Arial" w:cs="Arial"/>
          <w:b/>
          <w:noProof w:val="0"/>
          <w:szCs w:val="20"/>
        </w:rPr>
        <w:t>Propiedades de Inversión</w:t>
      </w:r>
    </w:p>
    <w:p w14:paraId="48A948F5" w14:textId="2160B5B3" w:rsidR="004D5043" w:rsidRDefault="004D5043" w:rsidP="00420ED8">
      <w:pPr>
        <w:pStyle w:val="Style1"/>
        <w:jc w:val="both"/>
        <w:rPr>
          <w:rFonts w:ascii="Arial" w:eastAsia="Calibri" w:hAnsi="Arial" w:cs="Arial"/>
          <w:b/>
          <w:noProof w:val="0"/>
          <w:szCs w:val="20"/>
        </w:rPr>
      </w:pPr>
    </w:p>
    <w:p w14:paraId="2816B081" w14:textId="77777777" w:rsidR="00BA5FEF" w:rsidRDefault="00BA5FEF" w:rsidP="00BA5FEF">
      <w:pPr>
        <w:pStyle w:val="Style1"/>
        <w:jc w:val="both"/>
        <w:rPr>
          <w:rFonts w:ascii="Arial" w:eastAsia="Calibri" w:hAnsi="Arial" w:cs="Arial"/>
          <w:noProof w:val="0"/>
          <w:szCs w:val="20"/>
        </w:rPr>
      </w:pPr>
      <w:bookmarkStart w:id="13" w:name="_Hlk33001768"/>
      <w:r w:rsidRPr="00730678">
        <w:rPr>
          <w:rFonts w:ascii="Arial" w:eastAsia="Calibri" w:hAnsi="Arial" w:cs="Arial"/>
          <w:noProof w:val="0"/>
          <w:szCs w:val="20"/>
        </w:rPr>
        <w:t xml:space="preserve">El </w:t>
      </w:r>
      <w:r>
        <w:rPr>
          <w:rFonts w:ascii="Arial" w:eastAsia="Calibri" w:hAnsi="Arial" w:cs="Arial"/>
          <w:noProof w:val="0"/>
          <w:szCs w:val="20"/>
        </w:rPr>
        <w:t>Banco</w:t>
      </w:r>
      <w:r w:rsidRPr="00730678">
        <w:rPr>
          <w:rFonts w:ascii="Arial" w:eastAsia="Calibri" w:hAnsi="Arial" w:cs="Arial"/>
          <w:noProof w:val="0"/>
          <w:szCs w:val="20"/>
        </w:rPr>
        <w:t xml:space="preserve"> obtiene </w:t>
      </w:r>
      <w:r>
        <w:rPr>
          <w:rFonts w:ascii="Arial" w:eastAsia="Calibri" w:hAnsi="Arial" w:cs="Arial"/>
          <w:noProof w:val="0"/>
          <w:szCs w:val="20"/>
        </w:rPr>
        <w:t>tasaciones</w:t>
      </w:r>
      <w:r w:rsidRPr="00730678">
        <w:rPr>
          <w:rFonts w:ascii="Arial" w:eastAsia="Calibri" w:hAnsi="Arial" w:cs="Arial"/>
          <w:noProof w:val="0"/>
          <w:szCs w:val="20"/>
        </w:rPr>
        <w:t xml:space="preserve"> </w:t>
      </w:r>
      <w:r>
        <w:rPr>
          <w:rFonts w:ascii="Arial" w:eastAsia="Calibri" w:hAnsi="Arial" w:cs="Arial"/>
          <w:noProof w:val="0"/>
          <w:szCs w:val="20"/>
        </w:rPr>
        <w:t xml:space="preserve">realizadas por peritos </w:t>
      </w:r>
      <w:r w:rsidRPr="00730678">
        <w:rPr>
          <w:rFonts w:ascii="Arial" w:eastAsia="Calibri" w:hAnsi="Arial" w:cs="Arial"/>
          <w:noProof w:val="0"/>
          <w:szCs w:val="20"/>
        </w:rPr>
        <w:t xml:space="preserve">independientes para </w:t>
      </w:r>
      <w:r>
        <w:rPr>
          <w:rFonts w:ascii="Arial" w:eastAsia="Calibri" w:hAnsi="Arial" w:cs="Arial"/>
          <w:noProof w:val="0"/>
          <w:szCs w:val="20"/>
        </w:rPr>
        <w:t>las</w:t>
      </w:r>
      <w:r w:rsidRPr="00730678">
        <w:rPr>
          <w:rFonts w:ascii="Arial" w:eastAsia="Calibri" w:hAnsi="Arial" w:cs="Arial"/>
          <w:noProof w:val="0"/>
          <w:szCs w:val="20"/>
        </w:rPr>
        <w:t xml:space="preserve"> propiedades de inversión al menos </w:t>
      </w:r>
      <w:r>
        <w:rPr>
          <w:rFonts w:ascii="Arial" w:eastAsia="Calibri" w:hAnsi="Arial" w:cs="Arial"/>
          <w:noProof w:val="0"/>
          <w:szCs w:val="20"/>
        </w:rPr>
        <w:t>una vez al año.</w:t>
      </w:r>
    </w:p>
    <w:p w14:paraId="097E0A67" w14:textId="77777777" w:rsidR="00BA5FEF" w:rsidRPr="00730678" w:rsidRDefault="00BA5FEF" w:rsidP="00BA5FEF">
      <w:pPr>
        <w:pStyle w:val="Style1"/>
        <w:jc w:val="both"/>
        <w:rPr>
          <w:rFonts w:ascii="Arial" w:eastAsia="Calibri" w:hAnsi="Arial" w:cs="Arial"/>
          <w:noProof w:val="0"/>
          <w:szCs w:val="20"/>
        </w:rPr>
      </w:pPr>
    </w:p>
    <w:p w14:paraId="4361BF9D" w14:textId="77777777" w:rsidR="00BA5FEF" w:rsidRDefault="00BA5FEF" w:rsidP="00BA5FEF">
      <w:pPr>
        <w:pStyle w:val="Style1"/>
        <w:jc w:val="both"/>
        <w:rPr>
          <w:rFonts w:ascii="Arial" w:eastAsia="Calibri" w:hAnsi="Arial" w:cs="Arial"/>
          <w:noProof w:val="0"/>
          <w:szCs w:val="20"/>
        </w:rPr>
      </w:pPr>
      <w:r w:rsidRPr="00730678">
        <w:rPr>
          <w:rFonts w:ascii="Arial" w:eastAsia="Calibri" w:hAnsi="Arial" w:cs="Arial"/>
          <w:noProof w:val="0"/>
          <w:szCs w:val="20"/>
        </w:rPr>
        <w:t xml:space="preserve">La mejor evidencia del valor razonable son los precios actuales en un mercado activo para propiedades similares. </w:t>
      </w:r>
      <w:r>
        <w:rPr>
          <w:rFonts w:ascii="Arial" w:eastAsia="Calibri" w:hAnsi="Arial" w:cs="Arial"/>
          <w:noProof w:val="0"/>
          <w:szCs w:val="20"/>
        </w:rPr>
        <w:t xml:space="preserve">Cuando </w:t>
      </w:r>
      <w:r w:rsidRPr="00730678">
        <w:rPr>
          <w:rFonts w:ascii="Arial" w:eastAsia="Calibri" w:hAnsi="Arial" w:cs="Arial"/>
          <w:noProof w:val="0"/>
          <w:szCs w:val="20"/>
        </w:rPr>
        <w:t xml:space="preserve">no hay información disponible, </w:t>
      </w:r>
      <w:r>
        <w:rPr>
          <w:rFonts w:ascii="Arial" w:eastAsia="Calibri" w:hAnsi="Arial" w:cs="Arial"/>
          <w:noProof w:val="0"/>
          <w:szCs w:val="20"/>
        </w:rPr>
        <w:t>el Banco</w:t>
      </w:r>
      <w:r w:rsidRPr="00730678">
        <w:rPr>
          <w:rFonts w:ascii="Arial" w:eastAsia="Calibri" w:hAnsi="Arial" w:cs="Arial"/>
          <w:noProof w:val="0"/>
          <w:szCs w:val="20"/>
        </w:rPr>
        <w:t xml:space="preserve"> considera</w:t>
      </w:r>
      <w:r>
        <w:rPr>
          <w:rFonts w:ascii="Arial" w:eastAsia="Calibri" w:hAnsi="Arial" w:cs="Arial"/>
          <w:noProof w:val="0"/>
          <w:szCs w:val="20"/>
        </w:rPr>
        <w:t>:</w:t>
      </w:r>
    </w:p>
    <w:p w14:paraId="1800AFFC" w14:textId="77777777" w:rsidR="00BA5FEF" w:rsidRPr="00730678" w:rsidRDefault="00BA5FEF" w:rsidP="00BA5FEF">
      <w:pPr>
        <w:pStyle w:val="Style1"/>
        <w:jc w:val="both"/>
        <w:rPr>
          <w:rFonts w:ascii="Arial" w:eastAsia="Calibri" w:hAnsi="Arial" w:cs="Arial"/>
          <w:noProof w:val="0"/>
          <w:szCs w:val="20"/>
        </w:rPr>
      </w:pPr>
    </w:p>
    <w:p w14:paraId="6D6C0C58" w14:textId="77777777" w:rsidR="00BA5FEF" w:rsidRPr="00730678" w:rsidRDefault="00BA5FEF" w:rsidP="00BA5FEF">
      <w:pPr>
        <w:pStyle w:val="Style1"/>
        <w:jc w:val="both"/>
        <w:rPr>
          <w:rFonts w:ascii="Arial" w:eastAsia="Calibri" w:hAnsi="Arial" w:cs="Arial"/>
          <w:noProof w:val="0"/>
          <w:szCs w:val="20"/>
        </w:rPr>
      </w:pPr>
      <w:r>
        <w:rPr>
          <w:rFonts w:ascii="Arial" w:eastAsia="Calibri" w:hAnsi="Arial" w:cs="Arial"/>
          <w:noProof w:val="0"/>
          <w:szCs w:val="20"/>
        </w:rPr>
        <w:t xml:space="preserve">- </w:t>
      </w:r>
      <w:r w:rsidRPr="00730678">
        <w:rPr>
          <w:rFonts w:ascii="Arial" w:eastAsia="Calibri" w:hAnsi="Arial" w:cs="Arial"/>
          <w:noProof w:val="0"/>
          <w:szCs w:val="20"/>
        </w:rPr>
        <w:t>precios actuales en un mercado activo para propiedades de diferente naturaleza o precios recientes de similar</w:t>
      </w:r>
      <w:r>
        <w:rPr>
          <w:rFonts w:ascii="Arial" w:eastAsia="Calibri" w:hAnsi="Arial" w:cs="Arial"/>
          <w:noProof w:val="0"/>
          <w:szCs w:val="20"/>
        </w:rPr>
        <w:t xml:space="preserve">es </w:t>
      </w:r>
      <w:r w:rsidRPr="00730678">
        <w:rPr>
          <w:rFonts w:ascii="Arial" w:eastAsia="Calibri" w:hAnsi="Arial" w:cs="Arial"/>
          <w:noProof w:val="0"/>
          <w:szCs w:val="20"/>
        </w:rPr>
        <w:t>propiedades en mercados menos activos</w:t>
      </w:r>
      <w:r>
        <w:rPr>
          <w:rFonts w:ascii="Arial" w:eastAsia="Calibri" w:hAnsi="Arial" w:cs="Arial"/>
          <w:noProof w:val="0"/>
          <w:szCs w:val="20"/>
        </w:rPr>
        <w:t>.</w:t>
      </w:r>
    </w:p>
    <w:p w14:paraId="652275D7" w14:textId="77777777" w:rsidR="00BA5FEF" w:rsidRPr="00730678" w:rsidRDefault="00BA5FEF" w:rsidP="00BA5FEF">
      <w:pPr>
        <w:pStyle w:val="Style1"/>
        <w:jc w:val="both"/>
        <w:rPr>
          <w:rFonts w:ascii="Arial" w:eastAsia="Calibri" w:hAnsi="Arial" w:cs="Arial"/>
          <w:noProof w:val="0"/>
          <w:szCs w:val="20"/>
        </w:rPr>
      </w:pPr>
      <w:r>
        <w:rPr>
          <w:rFonts w:ascii="Arial" w:eastAsia="Calibri" w:hAnsi="Arial" w:cs="Arial"/>
          <w:noProof w:val="0"/>
          <w:szCs w:val="20"/>
        </w:rPr>
        <w:t xml:space="preserve">- </w:t>
      </w:r>
      <w:r w:rsidRPr="00730678">
        <w:rPr>
          <w:rFonts w:ascii="Arial" w:eastAsia="Calibri" w:hAnsi="Arial" w:cs="Arial"/>
          <w:noProof w:val="0"/>
          <w:szCs w:val="20"/>
        </w:rPr>
        <w:t>flujo</w:t>
      </w:r>
      <w:r>
        <w:rPr>
          <w:rFonts w:ascii="Arial" w:eastAsia="Calibri" w:hAnsi="Arial" w:cs="Arial"/>
          <w:noProof w:val="0"/>
          <w:szCs w:val="20"/>
        </w:rPr>
        <w:t>s</w:t>
      </w:r>
      <w:r w:rsidRPr="00730678">
        <w:rPr>
          <w:rFonts w:ascii="Arial" w:eastAsia="Calibri" w:hAnsi="Arial" w:cs="Arial"/>
          <w:noProof w:val="0"/>
          <w:szCs w:val="20"/>
        </w:rPr>
        <w:t xml:space="preserve"> de </w:t>
      </w:r>
      <w:r>
        <w:rPr>
          <w:rFonts w:ascii="Arial" w:eastAsia="Calibri" w:hAnsi="Arial" w:cs="Arial"/>
          <w:noProof w:val="0"/>
          <w:szCs w:val="20"/>
        </w:rPr>
        <w:t>fondos</w:t>
      </w:r>
      <w:r w:rsidRPr="00730678">
        <w:rPr>
          <w:rFonts w:ascii="Arial" w:eastAsia="Calibri" w:hAnsi="Arial" w:cs="Arial"/>
          <w:noProof w:val="0"/>
          <w:szCs w:val="20"/>
        </w:rPr>
        <w:t xml:space="preserve"> descontad</w:t>
      </w:r>
      <w:r>
        <w:rPr>
          <w:rFonts w:ascii="Arial" w:eastAsia="Calibri" w:hAnsi="Arial" w:cs="Arial"/>
          <w:noProof w:val="0"/>
          <w:szCs w:val="20"/>
        </w:rPr>
        <w:t>o</w:t>
      </w:r>
      <w:r w:rsidRPr="00730678">
        <w:rPr>
          <w:rFonts w:ascii="Arial" w:eastAsia="Calibri" w:hAnsi="Arial" w:cs="Arial"/>
          <w:noProof w:val="0"/>
          <w:szCs w:val="20"/>
        </w:rPr>
        <w:t>s basad</w:t>
      </w:r>
      <w:r>
        <w:rPr>
          <w:rFonts w:ascii="Arial" w:eastAsia="Calibri" w:hAnsi="Arial" w:cs="Arial"/>
          <w:noProof w:val="0"/>
          <w:szCs w:val="20"/>
        </w:rPr>
        <w:t>o</w:t>
      </w:r>
      <w:r w:rsidRPr="00730678">
        <w:rPr>
          <w:rFonts w:ascii="Arial" w:eastAsia="Calibri" w:hAnsi="Arial" w:cs="Arial"/>
          <w:noProof w:val="0"/>
          <w:szCs w:val="20"/>
        </w:rPr>
        <w:t>s en estimaciones confiables de flujos de efectivo futuros</w:t>
      </w:r>
      <w:r>
        <w:rPr>
          <w:rFonts w:ascii="Arial" w:eastAsia="Calibri" w:hAnsi="Arial" w:cs="Arial"/>
          <w:noProof w:val="0"/>
          <w:szCs w:val="20"/>
        </w:rPr>
        <w:t>.</w:t>
      </w:r>
    </w:p>
    <w:p w14:paraId="760FAC44" w14:textId="77777777" w:rsidR="00BA5FEF" w:rsidRPr="00730678" w:rsidRDefault="00BA5FEF" w:rsidP="00BA5FEF">
      <w:pPr>
        <w:pStyle w:val="Style1"/>
        <w:jc w:val="both"/>
        <w:rPr>
          <w:rFonts w:ascii="Arial" w:eastAsia="Calibri" w:hAnsi="Arial" w:cs="Arial"/>
          <w:noProof w:val="0"/>
          <w:szCs w:val="20"/>
        </w:rPr>
      </w:pPr>
      <w:r>
        <w:rPr>
          <w:rFonts w:ascii="Arial" w:eastAsia="Calibri" w:hAnsi="Arial" w:cs="Arial"/>
          <w:noProof w:val="0"/>
          <w:szCs w:val="20"/>
        </w:rPr>
        <w:t xml:space="preserve">- </w:t>
      </w:r>
      <w:r w:rsidRPr="00730678">
        <w:rPr>
          <w:rFonts w:ascii="Arial" w:eastAsia="Calibri" w:hAnsi="Arial" w:cs="Arial"/>
          <w:noProof w:val="0"/>
          <w:szCs w:val="20"/>
        </w:rPr>
        <w:t>proyecciones de ingresos</w:t>
      </w:r>
      <w:r>
        <w:rPr>
          <w:rFonts w:ascii="Arial" w:eastAsia="Calibri" w:hAnsi="Arial" w:cs="Arial"/>
          <w:noProof w:val="0"/>
          <w:szCs w:val="20"/>
        </w:rPr>
        <w:t>.</w:t>
      </w:r>
    </w:p>
    <w:p w14:paraId="5250B3DF" w14:textId="77777777" w:rsidR="00BA5FEF" w:rsidRDefault="00BA5FEF" w:rsidP="00BA5FEF">
      <w:pPr>
        <w:pStyle w:val="Style1"/>
        <w:jc w:val="both"/>
        <w:rPr>
          <w:rFonts w:ascii="Arial" w:eastAsia="Calibri" w:hAnsi="Arial" w:cs="Arial"/>
          <w:noProof w:val="0"/>
          <w:szCs w:val="20"/>
        </w:rPr>
      </w:pPr>
    </w:p>
    <w:p w14:paraId="7D1165EC" w14:textId="77777777" w:rsidR="00BA5FEF" w:rsidRDefault="00BA5FEF" w:rsidP="00BA5FEF">
      <w:pPr>
        <w:pStyle w:val="Style1"/>
        <w:jc w:val="both"/>
        <w:rPr>
          <w:rFonts w:ascii="Arial" w:eastAsia="Calibri" w:hAnsi="Arial" w:cs="Arial"/>
          <w:noProof w:val="0"/>
          <w:szCs w:val="20"/>
        </w:rPr>
      </w:pPr>
      <w:r w:rsidRPr="00730678">
        <w:rPr>
          <w:rFonts w:ascii="Arial" w:eastAsia="Calibri" w:hAnsi="Arial" w:cs="Arial"/>
          <w:noProof w:val="0"/>
          <w:szCs w:val="20"/>
        </w:rPr>
        <w:t xml:space="preserve">Todas las estimaciones de valor razonable para las propiedades </w:t>
      </w:r>
      <w:r>
        <w:rPr>
          <w:rFonts w:ascii="Arial" w:eastAsia="Calibri" w:hAnsi="Arial" w:cs="Arial"/>
          <w:noProof w:val="0"/>
          <w:szCs w:val="20"/>
        </w:rPr>
        <w:t xml:space="preserve">de inversión </w:t>
      </w:r>
      <w:r w:rsidRPr="00730678">
        <w:rPr>
          <w:rFonts w:ascii="Arial" w:eastAsia="Calibri" w:hAnsi="Arial" w:cs="Arial"/>
          <w:noProof w:val="0"/>
          <w:szCs w:val="20"/>
        </w:rPr>
        <w:t>se incluyen en el nivel 3</w:t>
      </w:r>
      <w:r>
        <w:rPr>
          <w:rFonts w:ascii="Arial" w:eastAsia="Calibri" w:hAnsi="Arial" w:cs="Arial"/>
          <w:noProof w:val="0"/>
          <w:szCs w:val="20"/>
        </w:rPr>
        <w:t>.</w:t>
      </w:r>
    </w:p>
    <w:p w14:paraId="1F800EDD" w14:textId="77777777" w:rsidR="00BA5FEF" w:rsidRDefault="00BA5FEF" w:rsidP="00BA5FEF">
      <w:pPr>
        <w:pStyle w:val="Style1"/>
        <w:jc w:val="both"/>
        <w:rPr>
          <w:rFonts w:ascii="Arial" w:eastAsia="Calibri" w:hAnsi="Arial" w:cs="Arial"/>
          <w:noProof w:val="0"/>
          <w:szCs w:val="20"/>
        </w:rPr>
      </w:pPr>
    </w:p>
    <w:p w14:paraId="0EC6FF24" w14:textId="77777777" w:rsidR="00BA5FEF" w:rsidRPr="00256DE1" w:rsidRDefault="00BA5FEF" w:rsidP="00BA5FEF">
      <w:pPr>
        <w:autoSpaceDE w:val="0"/>
        <w:autoSpaceDN w:val="0"/>
        <w:adjustRightInd w:val="0"/>
        <w:jc w:val="both"/>
        <w:rPr>
          <w:rFonts w:ascii="Arial" w:eastAsia="Calibri" w:hAnsi="Arial" w:cs="Arial"/>
          <w:sz w:val="20"/>
        </w:rPr>
      </w:pPr>
      <w:r w:rsidRPr="00730678">
        <w:rPr>
          <w:rFonts w:ascii="Arial" w:eastAsia="Calibri" w:hAnsi="Arial" w:cs="Arial"/>
          <w:sz w:val="20"/>
        </w:rPr>
        <w:t>A continuación se resume la información cuantitativa sobre las premisas no observables utilizadas en la medición del nivel 3:</w:t>
      </w:r>
      <w:r>
        <w:rPr>
          <w:rFonts w:ascii="Arial" w:eastAsia="Calibri" w:hAnsi="Arial" w:cs="Arial"/>
          <w:sz w:val="20"/>
        </w:rPr>
        <w:t xml:space="preserve"> </w:t>
      </w:r>
    </w:p>
    <w:p w14:paraId="0336CD2B" w14:textId="77777777" w:rsidR="00BA5FEF" w:rsidRPr="00730678" w:rsidRDefault="00BA5FEF" w:rsidP="00BA5FEF">
      <w:pPr>
        <w:pStyle w:val="Style1"/>
        <w:jc w:val="both"/>
        <w:rPr>
          <w:rFonts w:ascii="Arial" w:eastAsia="Calibri" w:hAnsi="Arial" w:cs="Arial"/>
          <w:noProof w:val="0"/>
          <w:szCs w:val="20"/>
        </w:rPr>
      </w:pPr>
    </w:p>
    <w:p w14:paraId="105F27A8" w14:textId="0A664174" w:rsidR="00965A05" w:rsidRDefault="00BA5FEF" w:rsidP="00965A05">
      <w:pPr>
        <w:pStyle w:val="Style1"/>
        <w:numPr>
          <w:ilvl w:val="0"/>
          <w:numId w:val="32"/>
        </w:numPr>
        <w:jc w:val="both"/>
        <w:rPr>
          <w:rFonts w:ascii="Arial" w:eastAsia="Calibri" w:hAnsi="Arial" w:cs="Arial"/>
          <w:noProof w:val="0"/>
          <w:szCs w:val="20"/>
        </w:rPr>
      </w:pPr>
      <w:r w:rsidRPr="00730678">
        <w:rPr>
          <w:rFonts w:ascii="Arial" w:eastAsia="Calibri" w:hAnsi="Arial" w:cs="Arial"/>
          <w:noProof w:val="0"/>
          <w:szCs w:val="20"/>
        </w:rPr>
        <w:t>Valor</w:t>
      </w:r>
      <w:r w:rsidR="00965A05">
        <w:rPr>
          <w:rFonts w:ascii="Arial" w:eastAsia="Calibri" w:hAnsi="Arial" w:cs="Arial"/>
          <w:noProof w:val="0"/>
          <w:szCs w:val="20"/>
        </w:rPr>
        <w:t xml:space="preserve"> </w:t>
      </w:r>
      <w:r w:rsidRPr="00730678">
        <w:rPr>
          <w:rFonts w:ascii="Arial" w:eastAsia="Calibri" w:hAnsi="Arial" w:cs="Arial"/>
          <w:noProof w:val="0"/>
          <w:szCs w:val="20"/>
        </w:rPr>
        <w:t>del metro cuadrado</w:t>
      </w:r>
      <w:r w:rsidR="00965A05">
        <w:rPr>
          <w:rFonts w:ascii="Arial" w:eastAsia="Calibri" w:hAnsi="Arial" w:cs="Arial"/>
          <w:noProof w:val="0"/>
          <w:szCs w:val="20"/>
        </w:rPr>
        <w:t xml:space="preserve"> promedio: </w:t>
      </w:r>
    </w:p>
    <w:p w14:paraId="076CB506" w14:textId="7AD9E6E7" w:rsidR="00965A05" w:rsidRDefault="00965A05" w:rsidP="00965A05">
      <w:pPr>
        <w:pStyle w:val="Style1"/>
        <w:numPr>
          <w:ilvl w:val="1"/>
          <w:numId w:val="32"/>
        </w:numPr>
        <w:jc w:val="both"/>
        <w:rPr>
          <w:rFonts w:ascii="Arial" w:eastAsia="Calibri" w:hAnsi="Arial" w:cs="Arial"/>
          <w:noProof w:val="0"/>
          <w:szCs w:val="20"/>
        </w:rPr>
      </w:pPr>
      <w:r>
        <w:rPr>
          <w:rFonts w:ascii="Arial" w:eastAsia="Calibri" w:hAnsi="Arial" w:cs="Arial"/>
          <w:noProof w:val="0"/>
          <w:szCs w:val="20"/>
        </w:rPr>
        <w:t xml:space="preserve">Terreno: </w:t>
      </w:r>
      <w:r w:rsidRPr="00965A05">
        <w:rPr>
          <w:rFonts w:ascii="Arial" w:eastAsia="Calibri" w:hAnsi="Arial" w:cs="Arial"/>
          <w:noProof w:val="0"/>
          <w:szCs w:val="20"/>
        </w:rPr>
        <w:t>46.46</w:t>
      </w:r>
      <w:r>
        <w:rPr>
          <w:rFonts w:ascii="Arial" w:eastAsia="Calibri" w:hAnsi="Arial" w:cs="Arial"/>
          <w:noProof w:val="0"/>
          <w:szCs w:val="20"/>
        </w:rPr>
        <w:t>1</w:t>
      </w:r>
    </w:p>
    <w:p w14:paraId="147C2022" w14:textId="18083D15" w:rsidR="00965A05" w:rsidRPr="00965A05" w:rsidRDefault="00965A05" w:rsidP="00A059FB">
      <w:pPr>
        <w:pStyle w:val="Style1"/>
        <w:numPr>
          <w:ilvl w:val="1"/>
          <w:numId w:val="32"/>
        </w:numPr>
        <w:jc w:val="both"/>
        <w:rPr>
          <w:rFonts w:ascii="Arial" w:eastAsia="Calibri" w:hAnsi="Arial" w:cs="Arial"/>
          <w:noProof w:val="0"/>
          <w:szCs w:val="20"/>
        </w:rPr>
      </w:pPr>
      <w:r>
        <w:rPr>
          <w:rFonts w:ascii="Arial" w:eastAsia="Calibri" w:hAnsi="Arial" w:cs="Arial"/>
          <w:noProof w:val="0"/>
          <w:szCs w:val="20"/>
        </w:rPr>
        <w:t>Inmuebles – Oficinas: 640</w:t>
      </w:r>
    </w:p>
    <w:p w14:paraId="33DAD9AD" w14:textId="77777777" w:rsidR="00BA5FEF" w:rsidRPr="00730678" w:rsidRDefault="00BA5FEF" w:rsidP="00BA5FEF">
      <w:pPr>
        <w:pStyle w:val="Style1"/>
        <w:numPr>
          <w:ilvl w:val="0"/>
          <w:numId w:val="32"/>
        </w:numPr>
        <w:jc w:val="both"/>
        <w:rPr>
          <w:rFonts w:ascii="Arial" w:eastAsia="Calibri" w:hAnsi="Arial" w:cs="Arial"/>
          <w:noProof w:val="0"/>
          <w:szCs w:val="20"/>
        </w:rPr>
      </w:pPr>
      <w:r>
        <w:rPr>
          <w:rFonts w:ascii="Arial" w:eastAsia="Calibri" w:hAnsi="Arial" w:cs="Arial"/>
          <w:noProof w:val="0"/>
          <w:szCs w:val="20"/>
        </w:rPr>
        <w:t>Comparación</w:t>
      </w:r>
      <w:r w:rsidRPr="00730678">
        <w:rPr>
          <w:rFonts w:ascii="Arial" w:eastAsia="Calibri" w:hAnsi="Arial" w:cs="Arial"/>
          <w:noProof w:val="0"/>
          <w:szCs w:val="20"/>
        </w:rPr>
        <w:t xml:space="preserve"> con tres cotizaciones recientes de propiedades similares y próximas al inmueble. </w:t>
      </w:r>
    </w:p>
    <w:p w14:paraId="6DDD8C06" w14:textId="77777777" w:rsidR="00BA5FEF" w:rsidRPr="00730678" w:rsidRDefault="00BA5FEF" w:rsidP="00BA5FEF">
      <w:pPr>
        <w:pStyle w:val="Style1"/>
        <w:numPr>
          <w:ilvl w:val="0"/>
          <w:numId w:val="32"/>
        </w:numPr>
        <w:jc w:val="both"/>
        <w:rPr>
          <w:rFonts w:ascii="Arial" w:eastAsia="Calibri" w:hAnsi="Arial" w:cs="Arial"/>
          <w:noProof w:val="0"/>
          <w:szCs w:val="20"/>
        </w:rPr>
      </w:pPr>
      <w:r w:rsidRPr="00730678">
        <w:rPr>
          <w:rFonts w:ascii="Arial" w:eastAsia="Calibri" w:hAnsi="Arial" w:cs="Arial"/>
          <w:noProof w:val="0"/>
          <w:szCs w:val="20"/>
        </w:rPr>
        <w:t xml:space="preserve">Dado que las tasaciones son en moneda extranjera, se convierte al tipo de cambio de referencia BCRA </w:t>
      </w:r>
      <w:r>
        <w:rPr>
          <w:rFonts w:ascii="Arial" w:eastAsia="Calibri" w:hAnsi="Arial" w:cs="Arial"/>
          <w:noProof w:val="0"/>
          <w:szCs w:val="20"/>
        </w:rPr>
        <w:t xml:space="preserve">del día de la tasación. </w:t>
      </w:r>
    </w:p>
    <w:bookmarkEnd w:id="13"/>
    <w:p w14:paraId="04D6FCC0" w14:textId="019ABB79" w:rsidR="00F4739A" w:rsidRPr="00F4739A" w:rsidRDefault="00F4739A" w:rsidP="00A059FB">
      <w:pPr>
        <w:pStyle w:val="Style1"/>
        <w:ind w:left="720"/>
        <w:jc w:val="both"/>
        <w:rPr>
          <w:rFonts w:ascii="Arial" w:eastAsia="Calibri" w:hAnsi="Arial" w:cs="Arial"/>
          <w:noProof w:val="0"/>
          <w:szCs w:val="20"/>
        </w:rPr>
      </w:pPr>
    </w:p>
    <w:p w14:paraId="0E8BDFB6" w14:textId="478BB1F7" w:rsidR="00AE0907" w:rsidRPr="00AE0907" w:rsidRDefault="00AE0907" w:rsidP="00AE0907">
      <w:pPr>
        <w:jc w:val="both"/>
        <w:rPr>
          <w:rFonts w:ascii="Arial" w:eastAsia="Calibri" w:hAnsi="Arial" w:cs="Arial"/>
          <w:b/>
          <w:sz w:val="20"/>
        </w:rPr>
      </w:pPr>
      <w:r w:rsidRPr="00AE0907">
        <w:rPr>
          <w:rFonts w:ascii="Arial" w:eastAsia="Calibri" w:hAnsi="Arial" w:cs="Arial"/>
          <w:b/>
          <w:sz w:val="20"/>
        </w:rPr>
        <w:t>6. DETALLE DE PRINCIPALES RUBROS</w:t>
      </w:r>
    </w:p>
    <w:p w14:paraId="553730A4" w14:textId="77777777" w:rsidR="00AE0907" w:rsidRPr="00AE0907" w:rsidRDefault="00AE0907" w:rsidP="00AE0907">
      <w:pPr>
        <w:jc w:val="both"/>
        <w:rPr>
          <w:rFonts w:ascii="Arial" w:eastAsia="Calibri" w:hAnsi="Arial" w:cs="Arial"/>
          <w:sz w:val="20"/>
        </w:rPr>
      </w:pPr>
    </w:p>
    <w:p w14:paraId="27121253" w14:textId="77777777" w:rsidR="00AE0907" w:rsidRPr="00AE0907" w:rsidRDefault="00AE0907" w:rsidP="00AE0907">
      <w:pPr>
        <w:jc w:val="both"/>
        <w:rPr>
          <w:rFonts w:ascii="Arial" w:eastAsia="Calibri" w:hAnsi="Arial" w:cs="Arial"/>
          <w:sz w:val="20"/>
        </w:rPr>
      </w:pPr>
      <w:r w:rsidRPr="00AE0907">
        <w:rPr>
          <w:rFonts w:ascii="Arial" w:eastAsia="Calibri" w:hAnsi="Arial" w:cs="Arial"/>
          <w:sz w:val="20"/>
        </w:rPr>
        <w:t>Se expone a continuación el detalle de los principales rubros de activo, pasivo y resultados:</w:t>
      </w:r>
    </w:p>
    <w:p w14:paraId="0AD9D94C" w14:textId="77777777" w:rsidR="00AE0907" w:rsidRDefault="00AE0907" w:rsidP="00AE0907">
      <w:pPr>
        <w:jc w:val="both"/>
        <w:rPr>
          <w:rFonts w:ascii="Arial" w:hAnsi="Arial" w:cs="Arial"/>
          <w:sz w:val="20"/>
        </w:rPr>
      </w:pPr>
    </w:p>
    <w:p w14:paraId="7B55BF62" w14:textId="44A8BF2B"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.1 Títulos de deuda a valor razonable con cambios en resultados</w:t>
      </w:r>
    </w:p>
    <w:p w14:paraId="239C0C83" w14:textId="77777777" w:rsidR="00AE0907" w:rsidRPr="00AE0907" w:rsidRDefault="00AE0907" w:rsidP="00AE0907">
      <w:pPr>
        <w:jc w:val="both"/>
        <w:rPr>
          <w:rFonts w:ascii="Arial" w:eastAsiaTheme="minorHAnsi" w:hAnsi="Arial" w:cs="Arial"/>
          <w:sz w:val="20"/>
        </w:rPr>
      </w:pPr>
    </w:p>
    <w:p w14:paraId="3498C572" w14:textId="360B2CC8" w:rsidR="00AE0907" w:rsidRDefault="00AE0907" w:rsidP="00AE0907">
      <w:pPr>
        <w:jc w:val="both"/>
        <w:rPr>
          <w:rFonts w:ascii="Arial" w:eastAsiaTheme="minorHAnsi" w:hAnsi="Arial" w:cs="Arial"/>
          <w:sz w:val="20"/>
        </w:rPr>
      </w:pPr>
      <w:r w:rsidRPr="00AE0907">
        <w:rPr>
          <w:rFonts w:ascii="Arial" w:eastAsiaTheme="minorHAnsi" w:hAnsi="Arial" w:cs="Arial"/>
          <w:sz w:val="20"/>
        </w:rPr>
        <w:t>Los principales componentes del rubro títulos de deuda al 31 de diciembre de 201</w:t>
      </w:r>
      <w:r>
        <w:rPr>
          <w:rFonts w:ascii="Arial" w:eastAsiaTheme="minorHAnsi" w:hAnsi="Arial" w:cs="Arial"/>
          <w:sz w:val="20"/>
        </w:rPr>
        <w:t>9</w:t>
      </w:r>
      <w:r w:rsidRPr="00AE0907">
        <w:rPr>
          <w:rFonts w:ascii="Arial" w:eastAsiaTheme="minorHAnsi" w:hAnsi="Arial" w:cs="Arial"/>
          <w:sz w:val="20"/>
        </w:rPr>
        <w:t xml:space="preserve"> y 201</w:t>
      </w:r>
      <w:r>
        <w:rPr>
          <w:rFonts w:ascii="Arial" w:eastAsiaTheme="minorHAnsi" w:hAnsi="Arial" w:cs="Arial"/>
          <w:sz w:val="20"/>
        </w:rPr>
        <w:t>8</w:t>
      </w:r>
      <w:r w:rsidRPr="00AE0907">
        <w:rPr>
          <w:rFonts w:ascii="Arial" w:eastAsiaTheme="minorHAnsi" w:hAnsi="Arial" w:cs="Arial"/>
          <w:sz w:val="20"/>
        </w:rPr>
        <w:t xml:space="preserve"> son los siguientes:</w:t>
      </w:r>
    </w:p>
    <w:p w14:paraId="69489E7E" w14:textId="77777777" w:rsidR="00AE0907" w:rsidRPr="00AE0907" w:rsidRDefault="00AE0907" w:rsidP="00AE0907">
      <w:pPr>
        <w:jc w:val="both"/>
        <w:rPr>
          <w:rFonts w:ascii="Arial" w:eastAsiaTheme="minorHAnsi" w:hAnsi="Arial" w:cs="Arial"/>
          <w:sz w:val="20"/>
        </w:rPr>
      </w:pPr>
    </w:p>
    <w:tbl>
      <w:tblPr>
        <w:tblW w:w="6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0"/>
        <w:gridCol w:w="1446"/>
        <w:gridCol w:w="1530"/>
      </w:tblGrid>
      <w:tr w:rsidR="00AE0907" w:rsidRPr="00AE0907" w14:paraId="47F5744B" w14:textId="77777777" w:rsidTr="00AE0907">
        <w:trPr>
          <w:trHeight w:val="255"/>
          <w:jc w:val="center"/>
        </w:trPr>
        <w:tc>
          <w:tcPr>
            <w:tcW w:w="3970" w:type="dxa"/>
            <w:shd w:val="clear" w:color="auto" w:fill="auto"/>
            <w:noWrap/>
            <w:vAlign w:val="bottom"/>
            <w:hideMark/>
          </w:tcPr>
          <w:p w14:paraId="63DB87AB" w14:textId="77777777" w:rsidR="00AE0907" w:rsidRPr="006E1AF7" w:rsidRDefault="00AE0907" w:rsidP="00AE0907">
            <w:pPr>
              <w:jc w:val="center"/>
              <w:rPr>
                <w:rFonts w:ascii="Arial" w:hAnsi="Arial" w:cs="Arial"/>
                <w:b/>
                <w:sz w:val="18"/>
              </w:rPr>
            </w:pPr>
          </w:p>
        </w:tc>
        <w:tc>
          <w:tcPr>
            <w:tcW w:w="1446" w:type="dxa"/>
            <w:shd w:val="clear" w:color="auto" w:fill="auto"/>
            <w:noWrap/>
            <w:vAlign w:val="bottom"/>
            <w:hideMark/>
          </w:tcPr>
          <w:p w14:paraId="77F0A27B" w14:textId="13239A9E" w:rsidR="00AE0907" w:rsidRPr="006E1AF7" w:rsidRDefault="00AE0907" w:rsidP="00AE0907">
            <w:pPr>
              <w:jc w:val="center"/>
              <w:rPr>
                <w:rFonts w:ascii="Arial" w:hAnsi="Arial" w:cs="Arial"/>
                <w:b/>
                <w:sz w:val="18"/>
              </w:rPr>
            </w:pPr>
            <w:r w:rsidRPr="006E1AF7">
              <w:rPr>
                <w:rFonts w:ascii="Arial" w:hAnsi="Arial" w:cs="Arial"/>
                <w:b/>
                <w:sz w:val="18"/>
              </w:rPr>
              <w:t>31/12/2019</w:t>
            </w:r>
          </w:p>
        </w:tc>
        <w:tc>
          <w:tcPr>
            <w:tcW w:w="1530" w:type="dxa"/>
            <w:shd w:val="clear" w:color="auto" w:fill="auto"/>
            <w:noWrap/>
            <w:vAlign w:val="bottom"/>
            <w:hideMark/>
          </w:tcPr>
          <w:p w14:paraId="65963015" w14:textId="417F2079" w:rsidR="00AE0907" w:rsidRPr="006E1AF7" w:rsidRDefault="00AE0907" w:rsidP="00AE0907">
            <w:pPr>
              <w:jc w:val="center"/>
              <w:rPr>
                <w:rFonts w:ascii="Arial" w:hAnsi="Arial" w:cs="Arial"/>
                <w:b/>
                <w:sz w:val="18"/>
              </w:rPr>
            </w:pPr>
            <w:r w:rsidRPr="006E1AF7">
              <w:rPr>
                <w:rFonts w:ascii="Arial" w:hAnsi="Arial" w:cs="Arial"/>
                <w:b/>
                <w:sz w:val="18"/>
              </w:rPr>
              <w:t>31/12/2018</w:t>
            </w:r>
          </w:p>
        </w:tc>
      </w:tr>
      <w:tr w:rsidR="009B7193" w:rsidRPr="00AE0907" w14:paraId="4EFD9F7B" w14:textId="77777777" w:rsidTr="00A45C21">
        <w:trPr>
          <w:trHeight w:val="255"/>
          <w:jc w:val="center"/>
        </w:trPr>
        <w:tc>
          <w:tcPr>
            <w:tcW w:w="3970" w:type="dxa"/>
            <w:shd w:val="clear" w:color="auto" w:fill="auto"/>
            <w:noWrap/>
            <w:vAlign w:val="bottom"/>
            <w:hideMark/>
          </w:tcPr>
          <w:p w14:paraId="2E7B4CEB" w14:textId="77777777" w:rsidR="009B7193" w:rsidRPr="006E1AF7" w:rsidRDefault="009B7193" w:rsidP="009B7193">
            <w:pPr>
              <w:jc w:val="both"/>
              <w:rPr>
                <w:rFonts w:ascii="Arial" w:hAnsi="Arial" w:cs="Arial"/>
                <w:sz w:val="18"/>
              </w:rPr>
            </w:pPr>
            <w:r w:rsidRPr="006E1AF7">
              <w:rPr>
                <w:rFonts w:ascii="Arial" w:hAnsi="Arial" w:cs="Arial"/>
                <w:sz w:val="18"/>
              </w:rPr>
              <w:t>Títulos públicos</w:t>
            </w:r>
          </w:p>
        </w:tc>
        <w:tc>
          <w:tcPr>
            <w:tcW w:w="1446" w:type="dxa"/>
            <w:shd w:val="clear" w:color="auto" w:fill="auto"/>
            <w:noWrap/>
            <w:vAlign w:val="bottom"/>
          </w:tcPr>
          <w:p w14:paraId="4B42ADE2" w14:textId="6DF87BF7" w:rsidR="009B7193" w:rsidRPr="006E1AF7" w:rsidRDefault="009B7193" w:rsidP="00A45C21">
            <w:pPr>
              <w:jc w:val="right"/>
              <w:rPr>
                <w:rFonts w:ascii="Arial" w:hAnsi="Arial" w:cs="Arial"/>
                <w:sz w:val="18"/>
              </w:rPr>
            </w:pPr>
            <w:r w:rsidRPr="006E1AF7">
              <w:rPr>
                <w:rFonts w:ascii="Arial" w:hAnsi="Arial" w:cs="Arial"/>
                <w:sz w:val="18"/>
              </w:rPr>
              <w:t>401.400</w:t>
            </w:r>
          </w:p>
        </w:tc>
        <w:tc>
          <w:tcPr>
            <w:tcW w:w="1530" w:type="dxa"/>
            <w:shd w:val="clear" w:color="auto" w:fill="auto"/>
            <w:noWrap/>
            <w:vAlign w:val="bottom"/>
            <w:hideMark/>
          </w:tcPr>
          <w:p w14:paraId="5815A120" w14:textId="403CCCA2" w:rsidR="009B7193" w:rsidRPr="006E1AF7" w:rsidRDefault="009B7193" w:rsidP="00A45C21">
            <w:pPr>
              <w:jc w:val="right"/>
              <w:rPr>
                <w:rFonts w:ascii="Arial" w:hAnsi="Arial" w:cs="Arial"/>
                <w:sz w:val="18"/>
              </w:rPr>
            </w:pPr>
            <w:r w:rsidRPr="006E1AF7">
              <w:rPr>
                <w:rFonts w:ascii="Arial" w:hAnsi="Arial" w:cs="Arial"/>
                <w:sz w:val="18"/>
              </w:rPr>
              <w:t xml:space="preserve">3.573.563 </w:t>
            </w:r>
          </w:p>
        </w:tc>
      </w:tr>
      <w:tr w:rsidR="009B7193" w:rsidRPr="00AE0907" w14:paraId="1072A155" w14:textId="77777777" w:rsidTr="00A45C21">
        <w:trPr>
          <w:trHeight w:val="255"/>
          <w:jc w:val="center"/>
        </w:trPr>
        <w:tc>
          <w:tcPr>
            <w:tcW w:w="3970" w:type="dxa"/>
            <w:shd w:val="clear" w:color="auto" w:fill="auto"/>
            <w:noWrap/>
            <w:vAlign w:val="bottom"/>
            <w:hideMark/>
          </w:tcPr>
          <w:p w14:paraId="72DC041A" w14:textId="77777777" w:rsidR="009B7193" w:rsidRPr="006E1AF7" w:rsidRDefault="009B7193" w:rsidP="009B7193">
            <w:pPr>
              <w:jc w:val="both"/>
              <w:rPr>
                <w:rFonts w:ascii="Arial" w:hAnsi="Arial" w:cs="Arial"/>
                <w:sz w:val="18"/>
              </w:rPr>
            </w:pPr>
            <w:r w:rsidRPr="006E1AF7">
              <w:rPr>
                <w:rFonts w:ascii="Arial" w:hAnsi="Arial" w:cs="Arial"/>
                <w:sz w:val="18"/>
              </w:rPr>
              <w:t>Títulos privados</w:t>
            </w:r>
          </w:p>
        </w:tc>
        <w:tc>
          <w:tcPr>
            <w:tcW w:w="1446" w:type="dxa"/>
            <w:shd w:val="clear" w:color="auto" w:fill="auto"/>
            <w:noWrap/>
            <w:vAlign w:val="bottom"/>
          </w:tcPr>
          <w:p w14:paraId="7D965227" w14:textId="70B8A90A" w:rsidR="009B7193" w:rsidRPr="006E1AF7" w:rsidRDefault="009B7193" w:rsidP="00A45C21">
            <w:pPr>
              <w:jc w:val="right"/>
              <w:rPr>
                <w:rFonts w:ascii="Arial" w:hAnsi="Arial" w:cs="Arial"/>
                <w:sz w:val="18"/>
              </w:rPr>
            </w:pPr>
            <w:r w:rsidRPr="006E1AF7">
              <w:rPr>
                <w:rFonts w:ascii="Arial" w:hAnsi="Arial" w:cs="Arial"/>
                <w:sz w:val="18"/>
              </w:rPr>
              <w:t>3.668</w:t>
            </w:r>
          </w:p>
        </w:tc>
        <w:tc>
          <w:tcPr>
            <w:tcW w:w="1530" w:type="dxa"/>
            <w:shd w:val="clear" w:color="auto" w:fill="auto"/>
            <w:noWrap/>
            <w:vAlign w:val="bottom"/>
            <w:hideMark/>
          </w:tcPr>
          <w:p w14:paraId="0ADA93FD" w14:textId="0060281E" w:rsidR="009B7193" w:rsidRPr="006E1AF7" w:rsidRDefault="009B7193" w:rsidP="00A45C21">
            <w:pPr>
              <w:jc w:val="right"/>
              <w:rPr>
                <w:rFonts w:ascii="Arial" w:hAnsi="Arial" w:cs="Arial"/>
                <w:sz w:val="18"/>
              </w:rPr>
            </w:pPr>
            <w:r w:rsidRPr="006E1AF7">
              <w:rPr>
                <w:rFonts w:ascii="Arial" w:hAnsi="Arial" w:cs="Arial"/>
                <w:sz w:val="18"/>
              </w:rPr>
              <w:t xml:space="preserve">62.403 </w:t>
            </w:r>
          </w:p>
        </w:tc>
      </w:tr>
      <w:tr w:rsidR="009B7193" w:rsidRPr="00AE0907" w14:paraId="590F8DDB" w14:textId="77777777" w:rsidTr="00A45C21">
        <w:trPr>
          <w:trHeight w:val="255"/>
          <w:jc w:val="center"/>
        </w:trPr>
        <w:tc>
          <w:tcPr>
            <w:tcW w:w="3970" w:type="dxa"/>
            <w:shd w:val="clear" w:color="auto" w:fill="auto"/>
            <w:noWrap/>
            <w:vAlign w:val="bottom"/>
            <w:hideMark/>
          </w:tcPr>
          <w:p w14:paraId="18A3E291" w14:textId="77777777" w:rsidR="009B7193" w:rsidRPr="006E1AF7" w:rsidRDefault="009B7193" w:rsidP="009B7193">
            <w:pPr>
              <w:jc w:val="both"/>
              <w:rPr>
                <w:rFonts w:ascii="Arial" w:hAnsi="Arial" w:cs="Arial"/>
                <w:sz w:val="18"/>
              </w:rPr>
            </w:pPr>
            <w:r w:rsidRPr="006E1AF7">
              <w:rPr>
                <w:rFonts w:ascii="Arial" w:hAnsi="Arial" w:cs="Arial"/>
                <w:sz w:val="18"/>
              </w:rPr>
              <w:t>Letras del BCRA</w:t>
            </w:r>
          </w:p>
        </w:tc>
        <w:tc>
          <w:tcPr>
            <w:tcW w:w="1446" w:type="dxa"/>
            <w:shd w:val="clear" w:color="auto" w:fill="auto"/>
            <w:noWrap/>
            <w:vAlign w:val="bottom"/>
          </w:tcPr>
          <w:p w14:paraId="6237A05A" w14:textId="7739DDA4" w:rsidR="009B7193" w:rsidRPr="006E1AF7" w:rsidRDefault="009B7193" w:rsidP="00A45C21">
            <w:pPr>
              <w:jc w:val="right"/>
              <w:rPr>
                <w:rFonts w:ascii="Arial" w:hAnsi="Arial" w:cs="Arial"/>
                <w:sz w:val="18"/>
              </w:rPr>
            </w:pPr>
            <w:r w:rsidRPr="006E1AF7">
              <w:rPr>
                <w:rFonts w:ascii="Arial" w:hAnsi="Arial" w:cs="Arial"/>
                <w:sz w:val="18"/>
              </w:rPr>
              <w:t>-</w:t>
            </w:r>
          </w:p>
        </w:tc>
        <w:tc>
          <w:tcPr>
            <w:tcW w:w="1530" w:type="dxa"/>
            <w:shd w:val="clear" w:color="auto" w:fill="auto"/>
            <w:noWrap/>
            <w:vAlign w:val="bottom"/>
            <w:hideMark/>
          </w:tcPr>
          <w:p w14:paraId="0B0F8812" w14:textId="1B866C50" w:rsidR="009B7193" w:rsidRPr="006E1AF7" w:rsidRDefault="009B7193" w:rsidP="00A45C21">
            <w:pPr>
              <w:jc w:val="right"/>
              <w:rPr>
                <w:rFonts w:ascii="Arial" w:hAnsi="Arial" w:cs="Arial"/>
                <w:sz w:val="18"/>
              </w:rPr>
            </w:pPr>
            <w:r w:rsidRPr="006E1AF7">
              <w:rPr>
                <w:rFonts w:ascii="Arial" w:hAnsi="Arial" w:cs="Arial"/>
                <w:sz w:val="18"/>
              </w:rPr>
              <w:t xml:space="preserve">11.305.324 </w:t>
            </w:r>
          </w:p>
        </w:tc>
      </w:tr>
      <w:tr w:rsidR="00AE0907" w:rsidRPr="00AE0907" w14:paraId="603E1505" w14:textId="77777777" w:rsidTr="00A45C21">
        <w:trPr>
          <w:trHeight w:val="270"/>
          <w:jc w:val="center"/>
        </w:trPr>
        <w:tc>
          <w:tcPr>
            <w:tcW w:w="3970" w:type="dxa"/>
            <w:shd w:val="clear" w:color="auto" w:fill="auto"/>
            <w:noWrap/>
            <w:vAlign w:val="bottom"/>
            <w:hideMark/>
          </w:tcPr>
          <w:p w14:paraId="44C1E3CC" w14:textId="77777777" w:rsidR="00AE0907" w:rsidRPr="006E1AF7" w:rsidRDefault="00AE0907" w:rsidP="00AE0907">
            <w:pPr>
              <w:jc w:val="right"/>
              <w:rPr>
                <w:rFonts w:ascii="Arial" w:hAnsi="Arial" w:cs="Arial"/>
                <w:b/>
                <w:sz w:val="18"/>
              </w:rPr>
            </w:pPr>
            <w:r w:rsidRPr="006E1AF7">
              <w:rPr>
                <w:rFonts w:ascii="Arial" w:hAnsi="Arial" w:cs="Arial"/>
                <w:b/>
                <w:sz w:val="18"/>
              </w:rPr>
              <w:t>Total</w:t>
            </w:r>
          </w:p>
        </w:tc>
        <w:tc>
          <w:tcPr>
            <w:tcW w:w="1446" w:type="dxa"/>
            <w:shd w:val="clear" w:color="auto" w:fill="auto"/>
            <w:noWrap/>
            <w:vAlign w:val="bottom"/>
          </w:tcPr>
          <w:p w14:paraId="5D4CEFC2" w14:textId="0440E064" w:rsidR="00AE0907" w:rsidRPr="006E1AF7" w:rsidRDefault="009B7193" w:rsidP="00A45C21">
            <w:pPr>
              <w:jc w:val="right"/>
              <w:rPr>
                <w:rFonts w:ascii="Arial" w:hAnsi="Arial" w:cs="Arial"/>
                <w:b/>
                <w:sz w:val="18"/>
              </w:rPr>
            </w:pPr>
            <w:r w:rsidRPr="006E1AF7">
              <w:rPr>
                <w:rFonts w:ascii="Arial" w:hAnsi="Arial" w:cs="Arial"/>
                <w:b/>
                <w:sz w:val="18"/>
              </w:rPr>
              <w:t>405.068</w:t>
            </w:r>
          </w:p>
        </w:tc>
        <w:tc>
          <w:tcPr>
            <w:tcW w:w="1530" w:type="dxa"/>
            <w:shd w:val="clear" w:color="auto" w:fill="auto"/>
            <w:noWrap/>
            <w:vAlign w:val="bottom"/>
            <w:hideMark/>
          </w:tcPr>
          <w:p w14:paraId="6B96DFD5" w14:textId="0FB2C176" w:rsidR="00AE0907" w:rsidRPr="006E1AF7" w:rsidRDefault="00AE0907" w:rsidP="00A45C21">
            <w:pPr>
              <w:jc w:val="right"/>
              <w:rPr>
                <w:rFonts w:ascii="Arial" w:hAnsi="Arial" w:cs="Arial"/>
                <w:b/>
                <w:sz w:val="18"/>
              </w:rPr>
            </w:pPr>
            <w:r w:rsidRPr="006E1AF7">
              <w:rPr>
                <w:rFonts w:ascii="Arial" w:hAnsi="Arial" w:cs="Arial"/>
                <w:b/>
                <w:sz w:val="18"/>
              </w:rPr>
              <w:t>14.941.290</w:t>
            </w:r>
          </w:p>
        </w:tc>
      </w:tr>
    </w:tbl>
    <w:p w14:paraId="04AD34FA" w14:textId="49FDB67B"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.2 Instrumentos Derivados</w:t>
      </w:r>
    </w:p>
    <w:p w14:paraId="03D5FC64" w14:textId="77777777" w:rsidR="00AE0907" w:rsidRPr="00AE0907" w:rsidRDefault="00AE0907" w:rsidP="00AE0907">
      <w:pPr>
        <w:jc w:val="both"/>
        <w:rPr>
          <w:rFonts w:ascii="Arial" w:hAnsi="Arial" w:cs="Arial"/>
          <w:sz w:val="20"/>
        </w:rPr>
      </w:pPr>
    </w:p>
    <w:p w14:paraId="43404A31" w14:textId="3BCF6675" w:rsidR="00AE0907" w:rsidRPr="00AE0907" w:rsidRDefault="00AE0907" w:rsidP="00AE0907">
      <w:pPr>
        <w:jc w:val="both"/>
        <w:rPr>
          <w:rFonts w:ascii="Arial" w:hAnsi="Arial" w:cs="Arial"/>
          <w:sz w:val="20"/>
        </w:rPr>
      </w:pPr>
      <w:r w:rsidRPr="00AE0907">
        <w:rPr>
          <w:rFonts w:ascii="Arial" w:hAnsi="Arial" w:cs="Arial"/>
          <w:sz w:val="20"/>
        </w:rPr>
        <w:t>Al 31 de diciembre de 201</w:t>
      </w:r>
      <w:r>
        <w:rPr>
          <w:rFonts w:ascii="Arial" w:hAnsi="Arial" w:cs="Arial"/>
          <w:sz w:val="20"/>
        </w:rPr>
        <w:t>9</w:t>
      </w:r>
      <w:r w:rsidRPr="00AE0907">
        <w:rPr>
          <w:rFonts w:ascii="Arial" w:hAnsi="Arial" w:cs="Arial"/>
          <w:sz w:val="20"/>
        </w:rPr>
        <w:t xml:space="preserve"> y 201</w:t>
      </w:r>
      <w:r>
        <w:rPr>
          <w:rFonts w:ascii="Arial" w:hAnsi="Arial" w:cs="Arial"/>
          <w:sz w:val="20"/>
        </w:rPr>
        <w:t>8</w:t>
      </w:r>
      <w:r w:rsidRPr="00AE0907">
        <w:rPr>
          <w:rFonts w:ascii="Arial" w:hAnsi="Arial" w:cs="Arial"/>
          <w:sz w:val="20"/>
        </w:rPr>
        <w:t>, se encontraban registrados los siguientes saldos por operaciones relacionadas con instrumentos financieros derivados:</w:t>
      </w:r>
    </w:p>
    <w:p w14:paraId="146B06AE" w14:textId="77777777" w:rsidR="00AE0907" w:rsidRPr="00AE0907" w:rsidRDefault="00AE0907" w:rsidP="00AE0907">
      <w:pPr>
        <w:jc w:val="both"/>
        <w:rPr>
          <w:rFonts w:ascii="Arial" w:hAnsi="Arial" w:cs="Arial"/>
          <w:sz w:val="20"/>
        </w:rPr>
      </w:pPr>
    </w:p>
    <w:tbl>
      <w:tblPr>
        <w:tblW w:w="7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48"/>
        <w:gridCol w:w="1276"/>
        <w:gridCol w:w="1276"/>
      </w:tblGrid>
      <w:tr w:rsidR="00AE0907" w:rsidRPr="00AE0907" w14:paraId="77465D04" w14:textId="77777777" w:rsidTr="00A059FB">
        <w:trPr>
          <w:trHeight w:val="255"/>
          <w:jc w:val="center"/>
        </w:trPr>
        <w:tc>
          <w:tcPr>
            <w:tcW w:w="5348" w:type="dxa"/>
            <w:shd w:val="clear" w:color="auto" w:fill="auto"/>
            <w:noWrap/>
            <w:vAlign w:val="bottom"/>
            <w:hideMark/>
          </w:tcPr>
          <w:p w14:paraId="68EC029F" w14:textId="77777777" w:rsidR="00AE0907" w:rsidRPr="006E1AF7" w:rsidRDefault="00AE0907" w:rsidP="00AE0907">
            <w:pPr>
              <w:jc w:val="both"/>
              <w:rPr>
                <w:rFonts w:ascii="Arial" w:hAnsi="Arial" w:cs="Arial"/>
                <w:b/>
                <w:sz w:val="18"/>
              </w:rPr>
            </w:pPr>
          </w:p>
        </w:tc>
        <w:tc>
          <w:tcPr>
            <w:tcW w:w="1276" w:type="dxa"/>
            <w:shd w:val="clear" w:color="auto" w:fill="auto"/>
            <w:noWrap/>
            <w:vAlign w:val="bottom"/>
            <w:hideMark/>
          </w:tcPr>
          <w:p w14:paraId="412D7D8E" w14:textId="69D113B3" w:rsidR="00AE0907" w:rsidRPr="006E1AF7" w:rsidRDefault="00AE0907" w:rsidP="00AE0907">
            <w:pPr>
              <w:jc w:val="center"/>
              <w:rPr>
                <w:rFonts w:ascii="Arial" w:hAnsi="Arial" w:cs="Arial"/>
                <w:b/>
                <w:sz w:val="18"/>
              </w:rPr>
            </w:pPr>
            <w:r w:rsidRPr="006E1AF7">
              <w:rPr>
                <w:rFonts w:ascii="Arial" w:hAnsi="Arial" w:cs="Arial"/>
                <w:b/>
                <w:sz w:val="18"/>
              </w:rPr>
              <w:t>31/12/2019</w:t>
            </w:r>
          </w:p>
        </w:tc>
        <w:tc>
          <w:tcPr>
            <w:tcW w:w="1276" w:type="dxa"/>
            <w:vAlign w:val="bottom"/>
          </w:tcPr>
          <w:p w14:paraId="6F14159D" w14:textId="5F54839F" w:rsidR="00AE0907" w:rsidRPr="006E1AF7" w:rsidRDefault="00AE0907" w:rsidP="00AE0907">
            <w:pPr>
              <w:jc w:val="center"/>
              <w:rPr>
                <w:rFonts w:ascii="Arial" w:hAnsi="Arial" w:cs="Arial"/>
                <w:b/>
                <w:sz w:val="18"/>
              </w:rPr>
            </w:pPr>
            <w:r w:rsidRPr="006E1AF7">
              <w:rPr>
                <w:rFonts w:ascii="Arial" w:hAnsi="Arial" w:cs="Arial"/>
                <w:b/>
                <w:sz w:val="18"/>
              </w:rPr>
              <w:t>31/12/2018</w:t>
            </w:r>
          </w:p>
        </w:tc>
      </w:tr>
      <w:tr w:rsidR="00AE0907" w:rsidRPr="00AE0907" w14:paraId="47E59EC8" w14:textId="77777777" w:rsidTr="00A059FB">
        <w:trPr>
          <w:trHeight w:val="255"/>
          <w:jc w:val="center"/>
        </w:trPr>
        <w:tc>
          <w:tcPr>
            <w:tcW w:w="5348" w:type="dxa"/>
            <w:shd w:val="clear" w:color="auto" w:fill="auto"/>
            <w:noWrap/>
            <w:vAlign w:val="bottom"/>
            <w:hideMark/>
          </w:tcPr>
          <w:p w14:paraId="616B588A" w14:textId="77777777" w:rsidR="00AE0907" w:rsidRPr="006E1AF7" w:rsidRDefault="00AE0907" w:rsidP="00AE0907">
            <w:pPr>
              <w:jc w:val="both"/>
              <w:rPr>
                <w:rFonts w:ascii="Arial" w:hAnsi="Arial" w:cs="Arial"/>
                <w:sz w:val="18"/>
              </w:rPr>
            </w:pPr>
            <w:r w:rsidRPr="006E1AF7">
              <w:rPr>
                <w:rFonts w:ascii="Arial" w:hAnsi="Arial" w:cs="Arial"/>
                <w:sz w:val="18"/>
              </w:rPr>
              <w:t>Saldos deudores vinculados con operaciones a término de moneda extranjera liquidables en pesos</w:t>
            </w:r>
          </w:p>
        </w:tc>
        <w:tc>
          <w:tcPr>
            <w:tcW w:w="1276" w:type="dxa"/>
            <w:shd w:val="clear" w:color="auto" w:fill="auto"/>
            <w:noWrap/>
            <w:vAlign w:val="bottom"/>
          </w:tcPr>
          <w:p w14:paraId="6E308A29" w14:textId="1D0CD56B" w:rsidR="00AE0907" w:rsidRPr="006E1AF7" w:rsidRDefault="009B7193" w:rsidP="002C509D">
            <w:pPr>
              <w:jc w:val="right"/>
              <w:rPr>
                <w:rFonts w:ascii="Arial" w:hAnsi="Arial" w:cs="Arial"/>
                <w:sz w:val="18"/>
              </w:rPr>
            </w:pPr>
            <w:r w:rsidRPr="006E1AF7">
              <w:rPr>
                <w:rFonts w:ascii="Arial" w:hAnsi="Arial" w:cs="Arial"/>
                <w:sz w:val="18"/>
              </w:rPr>
              <w:t>257.587</w:t>
            </w:r>
          </w:p>
        </w:tc>
        <w:tc>
          <w:tcPr>
            <w:tcW w:w="1276" w:type="dxa"/>
            <w:vAlign w:val="bottom"/>
          </w:tcPr>
          <w:p w14:paraId="14F308A4" w14:textId="484A43B4" w:rsidR="00AE0907" w:rsidRPr="006E1AF7" w:rsidRDefault="00AE0907" w:rsidP="00AE0907">
            <w:pPr>
              <w:jc w:val="right"/>
              <w:rPr>
                <w:rFonts w:ascii="Arial" w:hAnsi="Arial" w:cs="Arial"/>
                <w:sz w:val="18"/>
              </w:rPr>
            </w:pPr>
            <w:r w:rsidRPr="006E1AF7">
              <w:rPr>
                <w:rFonts w:ascii="Arial" w:hAnsi="Arial" w:cs="Arial"/>
                <w:sz w:val="18"/>
              </w:rPr>
              <w:t>2.519</w:t>
            </w:r>
          </w:p>
        </w:tc>
      </w:tr>
      <w:tr w:rsidR="00AE0907" w:rsidRPr="00AE0907" w14:paraId="3299ECD6" w14:textId="77777777" w:rsidTr="00A059FB">
        <w:trPr>
          <w:trHeight w:val="255"/>
          <w:jc w:val="center"/>
        </w:trPr>
        <w:tc>
          <w:tcPr>
            <w:tcW w:w="5348" w:type="dxa"/>
            <w:shd w:val="clear" w:color="auto" w:fill="auto"/>
            <w:noWrap/>
            <w:vAlign w:val="bottom"/>
            <w:hideMark/>
          </w:tcPr>
          <w:p w14:paraId="4F0935F2" w14:textId="77777777" w:rsidR="00AE0907" w:rsidRPr="006E1AF7" w:rsidRDefault="00AE0907" w:rsidP="00AE0907">
            <w:pPr>
              <w:jc w:val="both"/>
              <w:rPr>
                <w:rFonts w:ascii="Arial" w:hAnsi="Arial" w:cs="Arial"/>
                <w:sz w:val="18"/>
              </w:rPr>
            </w:pPr>
            <w:r w:rsidRPr="006E1AF7">
              <w:rPr>
                <w:rFonts w:ascii="Arial" w:hAnsi="Arial" w:cs="Arial"/>
                <w:sz w:val="18"/>
              </w:rPr>
              <w:t>Saldos deudores vinculados con operaciones a término de moneda extranjera</w:t>
            </w:r>
          </w:p>
        </w:tc>
        <w:tc>
          <w:tcPr>
            <w:tcW w:w="1276" w:type="dxa"/>
            <w:shd w:val="clear" w:color="auto" w:fill="auto"/>
            <w:noWrap/>
            <w:vAlign w:val="bottom"/>
          </w:tcPr>
          <w:p w14:paraId="2F677635" w14:textId="10641BDA" w:rsidR="00AE0907" w:rsidRPr="006E1AF7" w:rsidRDefault="002C509D" w:rsidP="002C509D">
            <w:pPr>
              <w:jc w:val="right"/>
              <w:rPr>
                <w:rFonts w:ascii="Arial" w:hAnsi="Arial" w:cs="Arial"/>
                <w:sz w:val="18"/>
              </w:rPr>
            </w:pPr>
            <w:r w:rsidRPr="006E1AF7">
              <w:rPr>
                <w:rFonts w:ascii="Arial" w:hAnsi="Arial" w:cs="Arial"/>
                <w:sz w:val="18"/>
              </w:rPr>
              <w:t>-</w:t>
            </w:r>
          </w:p>
        </w:tc>
        <w:tc>
          <w:tcPr>
            <w:tcW w:w="1276" w:type="dxa"/>
            <w:vAlign w:val="bottom"/>
          </w:tcPr>
          <w:p w14:paraId="5B01D98C" w14:textId="64141B2B" w:rsidR="00AE0907" w:rsidRPr="006E1AF7" w:rsidRDefault="00AE0907" w:rsidP="00AE0907">
            <w:pPr>
              <w:jc w:val="right"/>
              <w:rPr>
                <w:rFonts w:ascii="Arial" w:hAnsi="Arial" w:cs="Arial"/>
                <w:sz w:val="18"/>
              </w:rPr>
            </w:pPr>
            <w:r w:rsidRPr="006E1AF7">
              <w:rPr>
                <w:rFonts w:ascii="Arial" w:hAnsi="Arial" w:cs="Arial"/>
                <w:sz w:val="18"/>
              </w:rPr>
              <w:t>13.405</w:t>
            </w:r>
          </w:p>
        </w:tc>
      </w:tr>
      <w:tr w:rsidR="00AE0907" w:rsidRPr="00AE0907" w14:paraId="0FAE2A87" w14:textId="77777777" w:rsidTr="00A059FB">
        <w:trPr>
          <w:trHeight w:val="270"/>
          <w:jc w:val="center"/>
        </w:trPr>
        <w:tc>
          <w:tcPr>
            <w:tcW w:w="5348" w:type="dxa"/>
            <w:shd w:val="clear" w:color="auto" w:fill="auto"/>
            <w:noWrap/>
            <w:vAlign w:val="bottom"/>
            <w:hideMark/>
          </w:tcPr>
          <w:p w14:paraId="561FA3C2" w14:textId="77777777" w:rsidR="00AE0907" w:rsidRPr="006E1AF7" w:rsidRDefault="00AE0907" w:rsidP="00AE0907">
            <w:pPr>
              <w:jc w:val="both"/>
              <w:rPr>
                <w:rFonts w:ascii="Arial" w:hAnsi="Arial" w:cs="Arial"/>
                <w:b/>
                <w:sz w:val="18"/>
              </w:rPr>
            </w:pPr>
            <w:r w:rsidRPr="006E1AF7">
              <w:rPr>
                <w:rFonts w:ascii="Arial" w:hAnsi="Arial" w:cs="Arial"/>
                <w:b/>
                <w:sz w:val="18"/>
              </w:rPr>
              <w:t>Total</w:t>
            </w:r>
          </w:p>
        </w:tc>
        <w:tc>
          <w:tcPr>
            <w:tcW w:w="1276" w:type="dxa"/>
            <w:shd w:val="clear" w:color="auto" w:fill="auto"/>
            <w:noWrap/>
            <w:vAlign w:val="bottom"/>
          </w:tcPr>
          <w:p w14:paraId="16DA3766" w14:textId="6B8D3397" w:rsidR="00AE0907" w:rsidRPr="006E1AF7" w:rsidRDefault="009B7193" w:rsidP="002C509D">
            <w:pPr>
              <w:jc w:val="right"/>
              <w:rPr>
                <w:rFonts w:ascii="Arial" w:hAnsi="Arial" w:cs="Arial"/>
                <w:b/>
                <w:sz w:val="18"/>
              </w:rPr>
            </w:pPr>
            <w:r w:rsidRPr="006E1AF7">
              <w:rPr>
                <w:rFonts w:ascii="Arial" w:hAnsi="Arial" w:cs="Arial"/>
                <w:b/>
                <w:sz w:val="18"/>
              </w:rPr>
              <w:t>257.587</w:t>
            </w:r>
          </w:p>
        </w:tc>
        <w:tc>
          <w:tcPr>
            <w:tcW w:w="1276" w:type="dxa"/>
            <w:vAlign w:val="bottom"/>
          </w:tcPr>
          <w:p w14:paraId="340DCFA6" w14:textId="72632519" w:rsidR="00AE0907" w:rsidRPr="006E1AF7" w:rsidRDefault="00AE0907" w:rsidP="00AE0907">
            <w:pPr>
              <w:jc w:val="right"/>
              <w:rPr>
                <w:rFonts w:ascii="Arial" w:hAnsi="Arial" w:cs="Arial"/>
                <w:b/>
                <w:sz w:val="18"/>
              </w:rPr>
            </w:pPr>
            <w:r w:rsidRPr="006E1AF7">
              <w:rPr>
                <w:rFonts w:ascii="Arial" w:hAnsi="Arial" w:cs="Arial"/>
                <w:b/>
                <w:sz w:val="18"/>
              </w:rPr>
              <w:t>15.924</w:t>
            </w:r>
          </w:p>
        </w:tc>
      </w:tr>
    </w:tbl>
    <w:p w14:paraId="27A231B8" w14:textId="77777777" w:rsidR="00AE0907" w:rsidRPr="00AE0907" w:rsidRDefault="00AE0907" w:rsidP="00AE0907">
      <w:pPr>
        <w:jc w:val="both"/>
        <w:rPr>
          <w:rFonts w:ascii="Arial" w:hAnsi="Arial" w:cs="Arial"/>
          <w:sz w:val="20"/>
        </w:rPr>
      </w:pPr>
    </w:p>
    <w:tbl>
      <w:tblPr>
        <w:tblW w:w="7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30"/>
        <w:gridCol w:w="1276"/>
        <w:gridCol w:w="1276"/>
      </w:tblGrid>
      <w:tr w:rsidR="00AE0907" w:rsidRPr="00AE0907" w14:paraId="6FEEBAA2" w14:textId="77777777" w:rsidTr="00A059FB">
        <w:trPr>
          <w:trHeight w:val="255"/>
          <w:jc w:val="center"/>
        </w:trPr>
        <w:tc>
          <w:tcPr>
            <w:tcW w:w="5330" w:type="dxa"/>
            <w:shd w:val="clear" w:color="auto" w:fill="auto"/>
            <w:noWrap/>
            <w:vAlign w:val="bottom"/>
            <w:hideMark/>
          </w:tcPr>
          <w:p w14:paraId="145A2DEC" w14:textId="77777777" w:rsidR="00AE0907" w:rsidRPr="006E1AF7" w:rsidRDefault="00AE0907" w:rsidP="00AE0907">
            <w:pPr>
              <w:jc w:val="both"/>
              <w:rPr>
                <w:rFonts w:ascii="Arial" w:hAnsi="Arial" w:cs="Arial"/>
                <w:b/>
                <w:sz w:val="18"/>
              </w:rPr>
            </w:pPr>
          </w:p>
        </w:tc>
        <w:tc>
          <w:tcPr>
            <w:tcW w:w="1276" w:type="dxa"/>
            <w:shd w:val="clear" w:color="auto" w:fill="auto"/>
            <w:noWrap/>
            <w:vAlign w:val="bottom"/>
            <w:hideMark/>
          </w:tcPr>
          <w:p w14:paraId="62A0748C" w14:textId="27F2861C" w:rsidR="00AE0907" w:rsidRPr="006E1AF7" w:rsidRDefault="00AE0907" w:rsidP="00AE0907">
            <w:pPr>
              <w:jc w:val="center"/>
              <w:rPr>
                <w:rFonts w:ascii="Arial" w:hAnsi="Arial" w:cs="Arial"/>
                <w:b/>
                <w:sz w:val="18"/>
              </w:rPr>
            </w:pPr>
            <w:r w:rsidRPr="006E1AF7">
              <w:rPr>
                <w:rFonts w:ascii="Arial" w:hAnsi="Arial" w:cs="Arial"/>
                <w:b/>
                <w:sz w:val="18"/>
              </w:rPr>
              <w:t>31/12/2019</w:t>
            </w:r>
          </w:p>
        </w:tc>
        <w:tc>
          <w:tcPr>
            <w:tcW w:w="1276" w:type="dxa"/>
            <w:vAlign w:val="bottom"/>
          </w:tcPr>
          <w:p w14:paraId="2EAE92DB" w14:textId="2192062C" w:rsidR="00AE0907" w:rsidRPr="006E1AF7" w:rsidRDefault="00AE0907" w:rsidP="00AE0907">
            <w:pPr>
              <w:jc w:val="center"/>
              <w:rPr>
                <w:rFonts w:ascii="Arial" w:hAnsi="Arial" w:cs="Arial"/>
                <w:b/>
                <w:sz w:val="18"/>
              </w:rPr>
            </w:pPr>
            <w:r w:rsidRPr="006E1AF7">
              <w:rPr>
                <w:rFonts w:ascii="Arial" w:hAnsi="Arial" w:cs="Arial"/>
                <w:b/>
                <w:sz w:val="18"/>
              </w:rPr>
              <w:t>31/12/2018</w:t>
            </w:r>
          </w:p>
        </w:tc>
      </w:tr>
      <w:tr w:rsidR="00AE0907" w:rsidRPr="00AE0907" w14:paraId="77F2FF6C" w14:textId="77777777" w:rsidTr="00A059FB">
        <w:trPr>
          <w:trHeight w:val="255"/>
          <w:jc w:val="center"/>
        </w:trPr>
        <w:tc>
          <w:tcPr>
            <w:tcW w:w="5330" w:type="dxa"/>
            <w:shd w:val="clear" w:color="auto" w:fill="auto"/>
            <w:noWrap/>
            <w:vAlign w:val="bottom"/>
            <w:hideMark/>
          </w:tcPr>
          <w:p w14:paraId="347AD7DB" w14:textId="77777777" w:rsidR="00AE0907" w:rsidRPr="006E1AF7" w:rsidRDefault="00AE0907" w:rsidP="00AE0907">
            <w:pPr>
              <w:jc w:val="both"/>
              <w:rPr>
                <w:rFonts w:ascii="Arial" w:hAnsi="Arial" w:cs="Arial"/>
                <w:sz w:val="18"/>
              </w:rPr>
            </w:pPr>
            <w:r w:rsidRPr="006E1AF7">
              <w:rPr>
                <w:rFonts w:ascii="Arial" w:hAnsi="Arial" w:cs="Arial"/>
                <w:sz w:val="18"/>
              </w:rPr>
              <w:t>Saldos acreedores por operaciones a término en moneda extranjera liquidables en pesos</w:t>
            </w:r>
          </w:p>
        </w:tc>
        <w:tc>
          <w:tcPr>
            <w:tcW w:w="1276" w:type="dxa"/>
            <w:shd w:val="clear" w:color="auto" w:fill="auto"/>
            <w:noWrap/>
            <w:vAlign w:val="bottom"/>
          </w:tcPr>
          <w:p w14:paraId="67B7C1E6" w14:textId="230106F1" w:rsidR="00AE0907" w:rsidRPr="006E1AF7" w:rsidRDefault="002C509D" w:rsidP="00AE0907">
            <w:pPr>
              <w:jc w:val="right"/>
              <w:rPr>
                <w:rFonts w:ascii="Arial" w:hAnsi="Arial" w:cs="Arial"/>
                <w:sz w:val="18"/>
              </w:rPr>
            </w:pPr>
            <w:r w:rsidRPr="006E1AF7">
              <w:rPr>
                <w:rFonts w:ascii="Arial" w:hAnsi="Arial" w:cs="Arial"/>
                <w:sz w:val="18"/>
              </w:rPr>
              <w:t>-</w:t>
            </w:r>
          </w:p>
        </w:tc>
        <w:tc>
          <w:tcPr>
            <w:tcW w:w="1276" w:type="dxa"/>
            <w:vAlign w:val="bottom"/>
          </w:tcPr>
          <w:p w14:paraId="37B0CA15" w14:textId="7A037BA1" w:rsidR="00AE0907" w:rsidRPr="006E1AF7" w:rsidRDefault="00AE0907" w:rsidP="00AE0907">
            <w:pPr>
              <w:jc w:val="right"/>
              <w:rPr>
                <w:rFonts w:ascii="Arial" w:hAnsi="Arial" w:cs="Arial"/>
                <w:sz w:val="18"/>
              </w:rPr>
            </w:pPr>
            <w:r w:rsidRPr="006E1AF7">
              <w:rPr>
                <w:rFonts w:ascii="Arial" w:hAnsi="Arial" w:cs="Arial"/>
                <w:sz w:val="18"/>
              </w:rPr>
              <w:t xml:space="preserve">94.222 </w:t>
            </w:r>
          </w:p>
        </w:tc>
      </w:tr>
      <w:tr w:rsidR="00AE0907" w:rsidRPr="00AE0907" w14:paraId="59010EE8" w14:textId="77777777" w:rsidTr="00A059FB">
        <w:trPr>
          <w:trHeight w:val="270"/>
          <w:jc w:val="center"/>
        </w:trPr>
        <w:tc>
          <w:tcPr>
            <w:tcW w:w="5330" w:type="dxa"/>
            <w:shd w:val="clear" w:color="auto" w:fill="auto"/>
            <w:noWrap/>
            <w:vAlign w:val="bottom"/>
            <w:hideMark/>
          </w:tcPr>
          <w:p w14:paraId="403DD7D5" w14:textId="77777777" w:rsidR="00AE0907" w:rsidRPr="006E1AF7" w:rsidRDefault="00AE0907" w:rsidP="00AE0907">
            <w:pPr>
              <w:jc w:val="both"/>
              <w:rPr>
                <w:rFonts w:ascii="Arial" w:hAnsi="Arial" w:cs="Arial"/>
                <w:b/>
                <w:sz w:val="18"/>
              </w:rPr>
            </w:pPr>
            <w:r w:rsidRPr="006E1AF7">
              <w:rPr>
                <w:rFonts w:ascii="Arial" w:hAnsi="Arial" w:cs="Arial"/>
                <w:b/>
                <w:sz w:val="18"/>
              </w:rPr>
              <w:t>Total</w:t>
            </w:r>
          </w:p>
        </w:tc>
        <w:tc>
          <w:tcPr>
            <w:tcW w:w="1276" w:type="dxa"/>
            <w:shd w:val="clear" w:color="auto" w:fill="auto"/>
            <w:noWrap/>
            <w:vAlign w:val="bottom"/>
          </w:tcPr>
          <w:p w14:paraId="1F8DDB20" w14:textId="7974125B" w:rsidR="00AE0907" w:rsidRPr="006E1AF7" w:rsidRDefault="002C509D" w:rsidP="00AE0907">
            <w:pPr>
              <w:jc w:val="right"/>
              <w:rPr>
                <w:rFonts w:ascii="Arial" w:hAnsi="Arial" w:cs="Arial"/>
                <w:b/>
                <w:sz w:val="18"/>
              </w:rPr>
            </w:pPr>
            <w:r w:rsidRPr="006E1AF7">
              <w:rPr>
                <w:rFonts w:ascii="Arial" w:hAnsi="Arial" w:cs="Arial"/>
                <w:b/>
                <w:sz w:val="18"/>
              </w:rPr>
              <w:t>-</w:t>
            </w:r>
          </w:p>
        </w:tc>
        <w:tc>
          <w:tcPr>
            <w:tcW w:w="1276" w:type="dxa"/>
            <w:vAlign w:val="bottom"/>
          </w:tcPr>
          <w:p w14:paraId="443A8FF5" w14:textId="72AAD1C9" w:rsidR="00AE0907" w:rsidRPr="006E1AF7" w:rsidRDefault="00AE0907" w:rsidP="00AE0907">
            <w:pPr>
              <w:jc w:val="right"/>
              <w:rPr>
                <w:rFonts w:ascii="Arial" w:hAnsi="Arial" w:cs="Arial"/>
                <w:b/>
                <w:sz w:val="18"/>
              </w:rPr>
            </w:pPr>
            <w:r w:rsidRPr="006E1AF7">
              <w:rPr>
                <w:rFonts w:ascii="Arial" w:hAnsi="Arial" w:cs="Arial"/>
                <w:b/>
                <w:sz w:val="18"/>
              </w:rPr>
              <w:t>94.222</w:t>
            </w:r>
          </w:p>
        </w:tc>
      </w:tr>
    </w:tbl>
    <w:p w14:paraId="18A5AF54" w14:textId="77777777" w:rsidR="00AE0907" w:rsidRPr="00AE0907" w:rsidRDefault="00AE0907" w:rsidP="00AE0907">
      <w:pPr>
        <w:jc w:val="both"/>
        <w:rPr>
          <w:rFonts w:ascii="Arial" w:hAnsi="Arial" w:cs="Arial"/>
          <w:sz w:val="20"/>
        </w:rPr>
      </w:pPr>
    </w:p>
    <w:p w14:paraId="490AD06F" w14:textId="0448F117"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w:t>
      </w:r>
      <w:r w:rsidR="008F1163">
        <w:rPr>
          <w:rFonts w:ascii="Arial" w:hAnsi="Arial" w:cs="Arial"/>
          <w:sz w:val="20"/>
        </w:rPr>
        <w:t>3</w:t>
      </w:r>
      <w:r w:rsidR="00AE0907" w:rsidRPr="00AE0907">
        <w:rPr>
          <w:rFonts w:ascii="Arial" w:hAnsi="Arial" w:cs="Arial"/>
          <w:sz w:val="20"/>
        </w:rPr>
        <w:t xml:space="preserve"> Otros activos financieros</w:t>
      </w:r>
    </w:p>
    <w:p w14:paraId="3EEB02DF" w14:textId="77777777" w:rsidR="00AE0907" w:rsidRPr="00AE0907" w:rsidRDefault="00AE0907" w:rsidP="00AE0907">
      <w:pPr>
        <w:jc w:val="both"/>
        <w:rPr>
          <w:rFonts w:ascii="Arial" w:hAnsi="Arial" w:cs="Arial"/>
          <w:sz w:val="20"/>
        </w:rPr>
      </w:pPr>
    </w:p>
    <w:p w14:paraId="58DA08F7" w14:textId="5F7AED68" w:rsidR="00AE0907" w:rsidRPr="00AE0907" w:rsidRDefault="00AE0907" w:rsidP="00AE0907">
      <w:pPr>
        <w:jc w:val="both"/>
        <w:rPr>
          <w:rFonts w:ascii="Arial" w:eastAsiaTheme="minorHAnsi" w:hAnsi="Arial" w:cs="Arial"/>
          <w:sz w:val="20"/>
        </w:rPr>
      </w:pPr>
      <w:r w:rsidRPr="00AE0907">
        <w:rPr>
          <w:rFonts w:ascii="Arial" w:eastAsiaTheme="minorHAnsi" w:hAnsi="Arial" w:cs="Arial"/>
          <w:sz w:val="20"/>
        </w:rPr>
        <w:t>Los principales componentes del rubro otros activos financieros al 31 de diciembre de 201</w:t>
      </w:r>
      <w:r w:rsidR="005232A7">
        <w:rPr>
          <w:rFonts w:ascii="Arial" w:eastAsiaTheme="minorHAnsi" w:hAnsi="Arial" w:cs="Arial"/>
          <w:sz w:val="20"/>
        </w:rPr>
        <w:t>9</w:t>
      </w:r>
      <w:r w:rsidRPr="00AE0907">
        <w:rPr>
          <w:rFonts w:ascii="Arial" w:eastAsiaTheme="minorHAnsi" w:hAnsi="Arial" w:cs="Arial"/>
          <w:sz w:val="20"/>
        </w:rPr>
        <w:t xml:space="preserve"> y 201</w:t>
      </w:r>
      <w:r w:rsidR="005232A7">
        <w:rPr>
          <w:rFonts w:ascii="Arial" w:eastAsiaTheme="minorHAnsi" w:hAnsi="Arial" w:cs="Arial"/>
          <w:sz w:val="20"/>
        </w:rPr>
        <w:t xml:space="preserve">8 </w:t>
      </w:r>
      <w:r w:rsidRPr="00AE0907">
        <w:rPr>
          <w:rFonts w:ascii="Arial" w:eastAsiaTheme="minorHAnsi" w:hAnsi="Arial" w:cs="Arial"/>
          <w:sz w:val="20"/>
        </w:rPr>
        <w:t>son los siguientes:</w:t>
      </w:r>
    </w:p>
    <w:p w14:paraId="2532D0F7" w14:textId="77777777" w:rsidR="00037C01" w:rsidRPr="00AE0907" w:rsidRDefault="00037C01" w:rsidP="00AE0907">
      <w:pPr>
        <w:jc w:val="both"/>
        <w:rPr>
          <w:rFonts w:ascii="Arial" w:eastAsiaTheme="minorHAnsi" w:hAnsi="Arial" w:cs="Arial"/>
          <w:sz w:val="20"/>
        </w:rPr>
      </w:pPr>
    </w:p>
    <w:tbl>
      <w:tblPr>
        <w:tblW w:w="765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1417"/>
        <w:gridCol w:w="1418"/>
      </w:tblGrid>
      <w:tr w:rsidR="005232A7" w:rsidRPr="005232A7" w14:paraId="7F616062" w14:textId="77777777" w:rsidTr="006E1AF7">
        <w:trPr>
          <w:trHeight w:val="255"/>
          <w:tblHeader/>
        </w:trPr>
        <w:tc>
          <w:tcPr>
            <w:tcW w:w="4820" w:type="dxa"/>
            <w:shd w:val="clear" w:color="auto" w:fill="auto"/>
            <w:noWrap/>
            <w:vAlign w:val="bottom"/>
            <w:hideMark/>
          </w:tcPr>
          <w:p w14:paraId="17EC6F48" w14:textId="77777777" w:rsidR="005232A7" w:rsidRPr="006E1AF7" w:rsidRDefault="005232A7" w:rsidP="005232A7">
            <w:pPr>
              <w:jc w:val="center"/>
              <w:rPr>
                <w:rFonts w:ascii="Arial" w:hAnsi="Arial" w:cs="Arial"/>
                <w:b/>
                <w:sz w:val="18"/>
              </w:rPr>
            </w:pPr>
          </w:p>
        </w:tc>
        <w:tc>
          <w:tcPr>
            <w:tcW w:w="1417" w:type="dxa"/>
            <w:shd w:val="clear" w:color="auto" w:fill="auto"/>
            <w:noWrap/>
            <w:vAlign w:val="bottom"/>
            <w:hideMark/>
          </w:tcPr>
          <w:p w14:paraId="6475D13B" w14:textId="3207DAD1" w:rsidR="005232A7" w:rsidRPr="006E1AF7" w:rsidRDefault="005232A7" w:rsidP="005232A7">
            <w:pPr>
              <w:jc w:val="center"/>
              <w:rPr>
                <w:rFonts w:ascii="Arial" w:hAnsi="Arial" w:cs="Arial"/>
                <w:b/>
                <w:sz w:val="18"/>
              </w:rPr>
            </w:pPr>
            <w:r w:rsidRPr="006E1AF7">
              <w:rPr>
                <w:rFonts w:ascii="Arial" w:hAnsi="Arial" w:cs="Arial"/>
                <w:b/>
                <w:sz w:val="18"/>
              </w:rPr>
              <w:t>31/12/2019</w:t>
            </w:r>
          </w:p>
        </w:tc>
        <w:tc>
          <w:tcPr>
            <w:tcW w:w="1418" w:type="dxa"/>
            <w:shd w:val="clear" w:color="auto" w:fill="auto"/>
            <w:noWrap/>
            <w:vAlign w:val="bottom"/>
            <w:hideMark/>
          </w:tcPr>
          <w:p w14:paraId="16E8A77E" w14:textId="0F3EB224" w:rsidR="005232A7" w:rsidRPr="006E1AF7" w:rsidRDefault="005232A7" w:rsidP="005232A7">
            <w:pPr>
              <w:jc w:val="center"/>
              <w:rPr>
                <w:rFonts w:ascii="Arial" w:hAnsi="Arial" w:cs="Arial"/>
                <w:b/>
                <w:sz w:val="18"/>
              </w:rPr>
            </w:pPr>
            <w:r w:rsidRPr="006E1AF7">
              <w:rPr>
                <w:rFonts w:ascii="Arial" w:hAnsi="Arial" w:cs="Arial"/>
                <w:b/>
                <w:sz w:val="18"/>
              </w:rPr>
              <w:t>31/12/2018</w:t>
            </w:r>
          </w:p>
        </w:tc>
      </w:tr>
      <w:tr w:rsidR="009B7193" w:rsidRPr="00AE0907" w14:paraId="70B128E4" w14:textId="77777777" w:rsidTr="006E1AF7">
        <w:trPr>
          <w:trHeight w:val="255"/>
        </w:trPr>
        <w:tc>
          <w:tcPr>
            <w:tcW w:w="4820" w:type="dxa"/>
            <w:shd w:val="clear" w:color="auto" w:fill="auto"/>
            <w:noWrap/>
            <w:vAlign w:val="bottom"/>
            <w:hideMark/>
          </w:tcPr>
          <w:p w14:paraId="55BB8BE8" w14:textId="77777777" w:rsidR="009B7193" w:rsidRPr="006E1AF7" w:rsidRDefault="009B7193" w:rsidP="009B7193">
            <w:pPr>
              <w:jc w:val="both"/>
              <w:rPr>
                <w:rFonts w:ascii="Arial" w:hAnsi="Arial" w:cs="Arial"/>
                <w:sz w:val="18"/>
              </w:rPr>
            </w:pPr>
            <w:r w:rsidRPr="006E1AF7">
              <w:rPr>
                <w:rFonts w:ascii="Arial" w:hAnsi="Arial" w:cs="Arial"/>
                <w:sz w:val="18"/>
              </w:rPr>
              <w:t>Certificados Participación Fideicomisos Financieros</w:t>
            </w:r>
          </w:p>
        </w:tc>
        <w:tc>
          <w:tcPr>
            <w:tcW w:w="1417" w:type="dxa"/>
            <w:shd w:val="clear" w:color="auto" w:fill="auto"/>
            <w:noWrap/>
          </w:tcPr>
          <w:p w14:paraId="16F32A4F" w14:textId="2E5C8320" w:rsidR="009B7193" w:rsidRPr="006E1AF7" w:rsidRDefault="009B7193" w:rsidP="002C509D">
            <w:pPr>
              <w:jc w:val="right"/>
              <w:rPr>
                <w:rFonts w:ascii="Arial" w:hAnsi="Arial" w:cs="Arial"/>
                <w:sz w:val="18"/>
              </w:rPr>
            </w:pPr>
            <w:r w:rsidRPr="006E1AF7">
              <w:rPr>
                <w:rFonts w:ascii="Arial" w:hAnsi="Arial" w:cs="Arial"/>
                <w:sz w:val="18"/>
              </w:rPr>
              <w:t>30.592</w:t>
            </w:r>
          </w:p>
        </w:tc>
        <w:tc>
          <w:tcPr>
            <w:tcW w:w="1418" w:type="dxa"/>
            <w:shd w:val="clear" w:color="auto" w:fill="auto"/>
            <w:noWrap/>
            <w:vAlign w:val="bottom"/>
            <w:hideMark/>
          </w:tcPr>
          <w:p w14:paraId="09AAE92D" w14:textId="05AAD84A" w:rsidR="009B7193" w:rsidRPr="006E1AF7" w:rsidRDefault="009B7193" w:rsidP="009B7193">
            <w:pPr>
              <w:jc w:val="right"/>
              <w:rPr>
                <w:rFonts w:ascii="Arial" w:hAnsi="Arial" w:cs="Arial"/>
                <w:sz w:val="18"/>
              </w:rPr>
            </w:pPr>
            <w:r w:rsidRPr="006E1AF7">
              <w:rPr>
                <w:rFonts w:ascii="Arial" w:hAnsi="Arial" w:cs="Arial"/>
                <w:sz w:val="18"/>
              </w:rPr>
              <w:t xml:space="preserve">10.947 </w:t>
            </w:r>
          </w:p>
        </w:tc>
      </w:tr>
      <w:tr w:rsidR="009B7193" w:rsidRPr="00AE0907" w14:paraId="2173898B" w14:textId="77777777" w:rsidTr="006E1AF7">
        <w:trPr>
          <w:trHeight w:val="255"/>
        </w:trPr>
        <w:tc>
          <w:tcPr>
            <w:tcW w:w="4820" w:type="dxa"/>
            <w:shd w:val="clear" w:color="auto" w:fill="auto"/>
            <w:noWrap/>
            <w:vAlign w:val="bottom"/>
          </w:tcPr>
          <w:p w14:paraId="577A9EF3" w14:textId="77777777" w:rsidR="009B7193" w:rsidRPr="006E1AF7" w:rsidRDefault="009B7193" w:rsidP="009B7193">
            <w:pPr>
              <w:jc w:val="both"/>
              <w:rPr>
                <w:rFonts w:ascii="Arial" w:hAnsi="Arial" w:cs="Arial"/>
                <w:sz w:val="18"/>
              </w:rPr>
            </w:pPr>
            <w:r w:rsidRPr="006E1AF7">
              <w:rPr>
                <w:rFonts w:ascii="Arial" w:hAnsi="Arial" w:cs="Arial"/>
                <w:sz w:val="18"/>
              </w:rPr>
              <w:t>Fondos comunes de Inversión</w:t>
            </w:r>
          </w:p>
        </w:tc>
        <w:tc>
          <w:tcPr>
            <w:tcW w:w="1417" w:type="dxa"/>
            <w:shd w:val="clear" w:color="auto" w:fill="auto"/>
            <w:noWrap/>
          </w:tcPr>
          <w:p w14:paraId="1630AE51" w14:textId="615FAC29" w:rsidR="009B7193" w:rsidRPr="006E1AF7" w:rsidRDefault="002C509D" w:rsidP="002C509D">
            <w:pPr>
              <w:jc w:val="right"/>
              <w:rPr>
                <w:rFonts w:ascii="Arial" w:hAnsi="Arial" w:cs="Arial"/>
                <w:sz w:val="18"/>
              </w:rPr>
            </w:pPr>
            <w:r w:rsidRPr="006E1AF7">
              <w:rPr>
                <w:rFonts w:ascii="Arial" w:hAnsi="Arial" w:cs="Arial"/>
                <w:sz w:val="18"/>
              </w:rPr>
              <w:t>-</w:t>
            </w:r>
          </w:p>
        </w:tc>
        <w:tc>
          <w:tcPr>
            <w:tcW w:w="1418" w:type="dxa"/>
            <w:shd w:val="clear" w:color="auto" w:fill="auto"/>
            <w:noWrap/>
            <w:vAlign w:val="bottom"/>
          </w:tcPr>
          <w:p w14:paraId="649C0B53" w14:textId="390B8170" w:rsidR="009B7193" w:rsidRPr="006E1AF7" w:rsidRDefault="009B7193" w:rsidP="009B7193">
            <w:pPr>
              <w:jc w:val="right"/>
              <w:rPr>
                <w:rFonts w:ascii="Arial" w:hAnsi="Arial" w:cs="Arial"/>
                <w:sz w:val="18"/>
              </w:rPr>
            </w:pPr>
            <w:r w:rsidRPr="006E1AF7">
              <w:rPr>
                <w:rFonts w:ascii="Arial" w:hAnsi="Arial" w:cs="Arial"/>
                <w:sz w:val="18"/>
              </w:rPr>
              <w:t xml:space="preserve">29.315 </w:t>
            </w:r>
          </w:p>
        </w:tc>
      </w:tr>
      <w:tr w:rsidR="009B7193" w:rsidRPr="00AE0907" w14:paraId="0CEF55F9" w14:textId="77777777" w:rsidTr="006E1AF7">
        <w:trPr>
          <w:trHeight w:val="255"/>
        </w:trPr>
        <w:tc>
          <w:tcPr>
            <w:tcW w:w="4820" w:type="dxa"/>
            <w:shd w:val="clear" w:color="auto" w:fill="auto"/>
            <w:noWrap/>
            <w:vAlign w:val="bottom"/>
            <w:hideMark/>
          </w:tcPr>
          <w:p w14:paraId="68705FDA" w14:textId="77777777" w:rsidR="009B7193" w:rsidRPr="006E1AF7" w:rsidRDefault="009B7193" w:rsidP="009B7193">
            <w:pPr>
              <w:jc w:val="both"/>
              <w:rPr>
                <w:rFonts w:ascii="Arial" w:hAnsi="Arial" w:cs="Arial"/>
                <w:sz w:val="18"/>
              </w:rPr>
            </w:pPr>
            <w:r w:rsidRPr="006E1AF7">
              <w:rPr>
                <w:rFonts w:ascii="Arial" w:hAnsi="Arial" w:cs="Arial"/>
                <w:sz w:val="18"/>
              </w:rPr>
              <w:t>Deudores por operaciones contado a liquidar</w:t>
            </w:r>
          </w:p>
        </w:tc>
        <w:tc>
          <w:tcPr>
            <w:tcW w:w="1417" w:type="dxa"/>
            <w:shd w:val="clear" w:color="auto" w:fill="auto"/>
            <w:noWrap/>
          </w:tcPr>
          <w:p w14:paraId="3A1A1D8A" w14:textId="2E1F417C" w:rsidR="009B7193" w:rsidRPr="006E1AF7" w:rsidRDefault="009B7193" w:rsidP="002C509D">
            <w:pPr>
              <w:jc w:val="right"/>
              <w:rPr>
                <w:rFonts w:ascii="Arial" w:hAnsi="Arial" w:cs="Arial"/>
                <w:sz w:val="18"/>
              </w:rPr>
            </w:pPr>
            <w:r w:rsidRPr="006E1AF7">
              <w:rPr>
                <w:rFonts w:ascii="Arial" w:hAnsi="Arial" w:cs="Arial"/>
                <w:sz w:val="18"/>
              </w:rPr>
              <w:t>138.591</w:t>
            </w:r>
          </w:p>
        </w:tc>
        <w:tc>
          <w:tcPr>
            <w:tcW w:w="1418" w:type="dxa"/>
            <w:shd w:val="clear" w:color="auto" w:fill="auto"/>
            <w:noWrap/>
            <w:vAlign w:val="bottom"/>
            <w:hideMark/>
          </w:tcPr>
          <w:p w14:paraId="16EC0DD4" w14:textId="60420637" w:rsidR="009B7193" w:rsidRPr="006E1AF7" w:rsidRDefault="009B7193" w:rsidP="009B7193">
            <w:pPr>
              <w:jc w:val="right"/>
              <w:rPr>
                <w:rFonts w:ascii="Arial" w:hAnsi="Arial" w:cs="Arial"/>
                <w:sz w:val="18"/>
              </w:rPr>
            </w:pPr>
            <w:r w:rsidRPr="006E1AF7">
              <w:rPr>
                <w:rFonts w:ascii="Arial" w:hAnsi="Arial" w:cs="Arial"/>
                <w:sz w:val="18"/>
              </w:rPr>
              <w:t xml:space="preserve">4.122 </w:t>
            </w:r>
          </w:p>
        </w:tc>
      </w:tr>
      <w:tr w:rsidR="009B7193" w:rsidRPr="00AE0907" w14:paraId="2818E16F" w14:textId="77777777" w:rsidTr="006E1AF7">
        <w:trPr>
          <w:trHeight w:val="255"/>
        </w:trPr>
        <w:tc>
          <w:tcPr>
            <w:tcW w:w="4820" w:type="dxa"/>
            <w:shd w:val="clear" w:color="auto" w:fill="auto"/>
            <w:noWrap/>
            <w:vAlign w:val="bottom"/>
            <w:hideMark/>
          </w:tcPr>
          <w:p w14:paraId="54C1F005" w14:textId="77777777" w:rsidR="009B7193" w:rsidRPr="006E1AF7" w:rsidRDefault="009B7193" w:rsidP="009B7193">
            <w:pPr>
              <w:jc w:val="both"/>
              <w:rPr>
                <w:rFonts w:ascii="Arial" w:hAnsi="Arial" w:cs="Arial"/>
                <w:sz w:val="18"/>
              </w:rPr>
            </w:pPr>
            <w:r w:rsidRPr="006E1AF7">
              <w:rPr>
                <w:rFonts w:ascii="Arial" w:hAnsi="Arial" w:cs="Arial"/>
                <w:sz w:val="18"/>
              </w:rPr>
              <w:t>Deudores Varios</w:t>
            </w:r>
          </w:p>
        </w:tc>
        <w:tc>
          <w:tcPr>
            <w:tcW w:w="1417" w:type="dxa"/>
            <w:shd w:val="clear" w:color="auto" w:fill="auto"/>
            <w:noWrap/>
            <w:vAlign w:val="bottom"/>
          </w:tcPr>
          <w:p w14:paraId="2F21E35B" w14:textId="00200A3E" w:rsidR="009B7193" w:rsidRPr="006E1AF7" w:rsidRDefault="009B7193" w:rsidP="002C509D">
            <w:pPr>
              <w:jc w:val="right"/>
              <w:rPr>
                <w:rFonts w:ascii="Arial" w:hAnsi="Arial" w:cs="Arial"/>
                <w:sz w:val="18"/>
              </w:rPr>
            </w:pPr>
            <w:r w:rsidRPr="006E1AF7">
              <w:rPr>
                <w:rFonts w:ascii="Arial" w:hAnsi="Arial" w:cs="Arial"/>
                <w:sz w:val="18"/>
              </w:rPr>
              <w:t>353.625</w:t>
            </w:r>
          </w:p>
        </w:tc>
        <w:tc>
          <w:tcPr>
            <w:tcW w:w="1418" w:type="dxa"/>
            <w:shd w:val="clear" w:color="auto" w:fill="auto"/>
            <w:noWrap/>
            <w:vAlign w:val="bottom"/>
            <w:hideMark/>
          </w:tcPr>
          <w:p w14:paraId="421BF758" w14:textId="636CADF4" w:rsidR="009B7193" w:rsidRPr="006E1AF7" w:rsidRDefault="009B7193" w:rsidP="009B7193">
            <w:pPr>
              <w:jc w:val="right"/>
              <w:rPr>
                <w:rFonts w:ascii="Arial" w:hAnsi="Arial" w:cs="Arial"/>
                <w:sz w:val="18"/>
              </w:rPr>
            </w:pPr>
            <w:r w:rsidRPr="006E1AF7">
              <w:rPr>
                <w:rFonts w:ascii="Arial" w:hAnsi="Arial" w:cs="Arial"/>
                <w:sz w:val="18"/>
              </w:rPr>
              <w:t xml:space="preserve">543.784 </w:t>
            </w:r>
          </w:p>
        </w:tc>
      </w:tr>
      <w:tr w:rsidR="009B7193" w:rsidRPr="00AE0907" w14:paraId="2C503BBD" w14:textId="77777777" w:rsidTr="006E1AF7">
        <w:trPr>
          <w:trHeight w:val="255"/>
        </w:trPr>
        <w:tc>
          <w:tcPr>
            <w:tcW w:w="4820" w:type="dxa"/>
            <w:shd w:val="clear" w:color="auto" w:fill="auto"/>
            <w:noWrap/>
            <w:vAlign w:val="bottom"/>
            <w:hideMark/>
          </w:tcPr>
          <w:p w14:paraId="5D8D186B" w14:textId="77777777" w:rsidR="009B7193" w:rsidRPr="006E1AF7" w:rsidRDefault="009B7193" w:rsidP="009B7193">
            <w:pPr>
              <w:jc w:val="both"/>
              <w:rPr>
                <w:rFonts w:ascii="Arial" w:hAnsi="Arial" w:cs="Arial"/>
                <w:sz w:val="18"/>
              </w:rPr>
            </w:pPr>
            <w:r w:rsidRPr="006E1AF7">
              <w:rPr>
                <w:rFonts w:ascii="Arial" w:hAnsi="Arial" w:cs="Arial"/>
                <w:sz w:val="18"/>
              </w:rPr>
              <w:t>Deudores Varios por operaciones de Tarjeta de Crédito</w:t>
            </w:r>
          </w:p>
        </w:tc>
        <w:tc>
          <w:tcPr>
            <w:tcW w:w="1417" w:type="dxa"/>
            <w:shd w:val="clear" w:color="auto" w:fill="auto"/>
            <w:noWrap/>
            <w:vAlign w:val="bottom"/>
          </w:tcPr>
          <w:p w14:paraId="08EEAA73" w14:textId="683597FB" w:rsidR="009B7193" w:rsidRPr="006E1AF7" w:rsidRDefault="009B7193" w:rsidP="002C509D">
            <w:pPr>
              <w:jc w:val="right"/>
              <w:rPr>
                <w:rFonts w:ascii="Arial" w:hAnsi="Arial" w:cs="Arial"/>
                <w:sz w:val="18"/>
              </w:rPr>
            </w:pPr>
            <w:r w:rsidRPr="006E1AF7">
              <w:rPr>
                <w:rFonts w:ascii="Arial" w:hAnsi="Arial" w:cs="Arial"/>
                <w:sz w:val="18"/>
              </w:rPr>
              <w:t>379.133</w:t>
            </w:r>
          </w:p>
        </w:tc>
        <w:tc>
          <w:tcPr>
            <w:tcW w:w="1418" w:type="dxa"/>
            <w:shd w:val="clear" w:color="auto" w:fill="auto"/>
            <w:noWrap/>
            <w:vAlign w:val="bottom"/>
            <w:hideMark/>
          </w:tcPr>
          <w:p w14:paraId="470DAEA1" w14:textId="3456AF44" w:rsidR="009B7193" w:rsidRPr="006E1AF7" w:rsidRDefault="009B7193" w:rsidP="009B7193">
            <w:pPr>
              <w:jc w:val="right"/>
              <w:rPr>
                <w:rFonts w:ascii="Arial" w:hAnsi="Arial" w:cs="Arial"/>
                <w:sz w:val="18"/>
              </w:rPr>
            </w:pPr>
            <w:r w:rsidRPr="006E1AF7">
              <w:rPr>
                <w:rFonts w:ascii="Arial" w:hAnsi="Arial" w:cs="Arial"/>
                <w:sz w:val="18"/>
              </w:rPr>
              <w:t xml:space="preserve">372.081 </w:t>
            </w:r>
          </w:p>
        </w:tc>
      </w:tr>
      <w:tr w:rsidR="009B7193" w:rsidRPr="00AE0907" w14:paraId="3B5FD12B" w14:textId="77777777" w:rsidTr="006E1AF7">
        <w:trPr>
          <w:trHeight w:val="255"/>
        </w:trPr>
        <w:tc>
          <w:tcPr>
            <w:tcW w:w="4820" w:type="dxa"/>
            <w:shd w:val="clear" w:color="auto" w:fill="auto"/>
            <w:noWrap/>
            <w:vAlign w:val="bottom"/>
            <w:hideMark/>
          </w:tcPr>
          <w:p w14:paraId="1D1082ED" w14:textId="77777777" w:rsidR="009B7193" w:rsidRPr="006E1AF7" w:rsidRDefault="009B7193" w:rsidP="009B7193">
            <w:pPr>
              <w:jc w:val="both"/>
              <w:rPr>
                <w:rFonts w:ascii="Arial" w:hAnsi="Arial" w:cs="Arial"/>
                <w:sz w:val="18"/>
              </w:rPr>
            </w:pPr>
            <w:r w:rsidRPr="006E1AF7">
              <w:rPr>
                <w:rFonts w:ascii="Arial" w:hAnsi="Arial" w:cs="Arial"/>
                <w:sz w:val="18"/>
              </w:rPr>
              <w:t>Deudores Varios por recaudaciones</w:t>
            </w:r>
          </w:p>
        </w:tc>
        <w:tc>
          <w:tcPr>
            <w:tcW w:w="1417" w:type="dxa"/>
            <w:shd w:val="clear" w:color="auto" w:fill="auto"/>
            <w:noWrap/>
            <w:vAlign w:val="bottom"/>
          </w:tcPr>
          <w:p w14:paraId="1D7B7998" w14:textId="6B145F82" w:rsidR="009B7193" w:rsidRPr="006E1AF7" w:rsidRDefault="009B7193" w:rsidP="002C509D">
            <w:pPr>
              <w:jc w:val="right"/>
              <w:rPr>
                <w:rFonts w:ascii="Arial" w:hAnsi="Arial" w:cs="Arial"/>
                <w:sz w:val="18"/>
              </w:rPr>
            </w:pPr>
            <w:r w:rsidRPr="006E1AF7">
              <w:rPr>
                <w:rFonts w:ascii="Arial" w:hAnsi="Arial" w:cs="Arial"/>
                <w:sz w:val="18"/>
              </w:rPr>
              <w:t>37.911</w:t>
            </w:r>
          </w:p>
        </w:tc>
        <w:tc>
          <w:tcPr>
            <w:tcW w:w="1418" w:type="dxa"/>
            <w:shd w:val="clear" w:color="auto" w:fill="auto"/>
            <w:noWrap/>
            <w:vAlign w:val="bottom"/>
            <w:hideMark/>
          </w:tcPr>
          <w:p w14:paraId="24F4783D" w14:textId="0472C3DD" w:rsidR="009B7193" w:rsidRPr="006E1AF7" w:rsidRDefault="009B7193" w:rsidP="009B7193">
            <w:pPr>
              <w:jc w:val="right"/>
              <w:rPr>
                <w:rFonts w:ascii="Arial" w:hAnsi="Arial" w:cs="Arial"/>
                <w:sz w:val="18"/>
              </w:rPr>
            </w:pPr>
            <w:r w:rsidRPr="006E1AF7">
              <w:rPr>
                <w:rFonts w:ascii="Arial" w:hAnsi="Arial" w:cs="Arial"/>
                <w:sz w:val="18"/>
              </w:rPr>
              <w:t xml:space="preserve">38.388 </w:t>
            </w:r>
          </w:p>
        </w:tc>
      </w:tr>
      <w:tr w:rsidR="005232A7" w:rsidRPr="005232A7" w14:paraId="18704652" w14:textId="77777777" w:rsidTr="006E1AF7">
        <w:trPr>
          <w:trHeight w:val="270"/>
        </w:trPr>
        <w:tc>
          <w:tcPr>
            <w:tcW w:w="4820" w:type="dxa"/>
            <w:shd w:val="clear" w:color="auto" w:fill="auto"/>
            <w:noWrap/>
            <w:vAlign w:val="bottom"/>
            <w:hideMark/>
          </w:tcPr>
          <w:p w14:paraId="65E83131" w14:textId="77777777" w:rsidR="005232A7" w:rsidRPr="006E1AF7" w:rsidRDefault="005232A7" w:rsidP="005232A7">
            <w:pPr>
              <w:jc w:val="both"/>
              <w:rPr>
                <w:rFonts w:ascii="Arial" w:hAnsi="Arial" w:cs="Arial"/>
                <w:b/>
                <w:sz w:val="18"/>
              </w:rPr>
            </w:pPr>
            <w:r w:rsidRPr="006E1AF7">
              <w:rPr>
                <w:rFonts w:ascii="Arial" w:hAnsi="Arial" w:cs="Arial"/>
                <w:b/>
                <w:sz w:val="18"/>
              </w:rPr>
              <w:t>Total</w:t>
            </w:r>
          </w:p>
        </w:tc>
        <w:tc>
          <w:tcPr>
            <w:tcW w:w="1417" w:type="dxa"/>
            <w:shd w:val="clear" w:color="auto" w:fill="auto"/>
            <w:noWrap/>
            <w:vAlign w:val="bottom"/>
          </w:tcPr>
          <w:p w14:paraId="17B40516" w14:textId="76306DBB" w:rsidR="005232A7" w:rsidRPr="006E1AF7" w:rsidRDefault="009B7193" w:rsidP="002C509D">
            <w:pPr>
              <w:jc w:val="right"/>
              <w:rPr>
                <w:rFonts w:ascii="Arial" w:hAnsi="Arial" w:cs="Arial"/>
                <w:b/>
                <w:sz w:val="18"/>
              </w:rPr>
            </w:pPr>
            <w:r w:rsidRPr="006E1AF7">
              <w:rPr>
                <w:rFonts w:ascii="Arial" w:hAnsi="Arial" w:cs="Arial"/>
                <w:b/>
                <w:sz w:val="18"/>
              </w:rPr>
              <w:t>939.852</w:t>
            </w:r>
          </w:p>
        </w:tc>
        <w:tc>
          <w:tcPr>
            <w:tcW w:w="1418" w:type="dxa"/>
            <w:shd w:val="clear" w:color="auto" w:fill="auto"/>
            <w:noWrap/>
            <w:vAlign w:val="bottom"/>
            <w:hideMark/>
          </w:tcPr>
          <w:p w14:paraId="7033E020" w14:textId="7DEF869C" w:rsidR="005232A7" w:rsidRPr="006E1AF7" w:rsidRDefault="005232A7" w:rsidP="005232A7">
            <w:pPr>
              <w:jc w:val="right"/>
              <w:rPr>
                <w:rFonts w:ascii="Arial" w:hAnsi="Arial" w:cs="Arial"/>
                <w:b/>
                <w:sz w:val="18"/>
              </w:rPr>
            </w:pPr>
            <w:r w:rsidRPr="006E1AF7">
              <w:rPr>
                <w:rFonts w:ascii="Arial" w:hAnsi="Arial" w:cs="Arial"/>
                <w:b/>
                <w:sz w:val="18"/>
              </w:rPr>
              <w:t>998.637</w:t>
            </w:r>
          </w:p>
        </w:tc>
      </w:tr>
    </w:tbl>
    <w:p w14:paraId="26466832" w14:textId="77777777" w:rsidR="00AE0907" w:rsidRPr="00AE0907" w:rsidRDefault="00AE0907" w:rsidP="00AE0907">
      <w:pPr>
        <w:jc w:val="both"/>
        <w:rPr>
          <w:rFonts w:ascii="Arial" w:eastAsiaTheme="minorHAnsi" w:hAnsi="Arial" w:cs="Arial"/>
          <w:sz w:val="20"/>
        </w:rPr>
      </w:pPr>
    </w:p>
    <w:p w14:paraId="761806AD" w14:textId="5B55CB93"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w:t>
      </w:r>
      <w:r w:rsidR="008F1163">
        <w:rPr>
          <w:rFonts w:ascii="Arial" w:hAnsi="Arial" w:cs="Arial"/>
          <w:sz w:val="20"/>
        </w:rPr>
        <w:t>4</w:t>
      </w:r>
      <w:r w:rsidR="00AE0907" w:rsidRPr="00AE0907">
        <w:rPr>
          <w:rFonts w:ascii="Arial" w:hAnsi="Arial" w:cs="Arial"/>
          <w:sz w:val="20"/>
        </w:rPr>
        <w:t xml:space="preserve"> Préstamos y otras financiaciones</w:t>
      </w:r>
    </w:p>
    <w:p w14:paraId="12C503C0" w14:textId="77777777" w:rsidR="00AE0907" w:rsidRPr="00AE0907" w:rsidRDefault="00AE0907" w:rsidP="00AE0907">
      <w:pPr>
        <w:jc w:val="both"/>
        <w:rPr>
          <w:rFonts w:ascii="Arial" w:hAnsi="Arial" w:cs="Arial"/>
          <w:sz w:val="20"/>
        </w:rPr>
      </w:pPr>
    </w:p>
    <w:p w14:paraId="2B2D9B9E" w14:textId="65A9F11D" w:rsidR="00AE0907" w:rsidRDefault="00AE0907" w:rsidP="00AE0907">
      <w:pPr>
        <w:jc w:val="both"/>
        <w:rPr>
          <w:rFonts w:ascii="Arial" w:eastAsiaTheme="minorHAnsi" w:hAnsi="Arial" w:cs="Arial"/>
          <w:sz w:val="20"/>
        </w:rPr>
      </w:pPr>
      <w:r w:rsidRPr="00AE0907">
        <w:rPr>
          <w:rFonts w:ascii="Arial" w:eastAsiaTheme="minorHAnsi" w:hAnsi="Arial" w:cs="Arial"/>
          <w:sz w:val="20"/>
        </w:rPr>
        <w:t>Los principales componentes del rubro préstamos y otras financiaciones al 31 de diciembre de 201</w:t>
      </w:r>
      <w:r w:rsidR="005232A7">
        <w:rPr>
          <w:rFonts w:ascii="Arial" w:eastAsiaTheme="minorHAnsi" w:hAnsi="Arial" w:cs="Arial"/>
          <w:sz w:val="20"/>
        </w:rPr>
        <w:t>9</w:t>
      </w:r>
      <w:r w:rsidRPr="00AE0907">
        <w:rPr>
          <w:rFonts w:ascii="Arial" w:eastAsiaTheme="minorHAnsi" w:hAnsi="Arial" w:cs="Arial"/>
          <w:sz w:val="20"/>
        </w:rPr>
        <w:t xml:space="preserve"> y 201</w:t>
      </w:r>
      <w:r w:rsidR="005232A7">
        <w:rPr>
          <w:rFonts w:ascii="Arial" w:eastAsiaTheme="minorHAnsi" w:hAnsi="Arial" w:cs="Arial"/>
          <w:sz w:val="20"/>
        </w:rPr>
        <w:t>8</w:t>
      </w:r>
      <w:r w:rsidRPr="00AE0907">
        <w:rPr>
          <w:rFonts w:ascii="Arial" w:eastAsiaTheme="minorHAnsi" w:hAnsi="Arial" w:cs="Arial"/>
          <w:sz w:val="20"/>
        </w:rPr>
        <w:t xml:space="preserve"> son los siguientes:</w:t>
      </w:r>
    </w:p>
    <w:p w14:paraId="11711EF8" w14:textId="77777777" w:rsidR="005232A7" w:rsidRPr="00AE0907" w:rsidRDefault="005232A7" w:rsidP="00AE0907">
      <w:pPr>
        <w:jc w:val="both"/>
        <w:rPr>
          <w:rFonts w:ascii="Arial" w:eastAsiaTheme="minorHAnsi" w:hAnsi="Arial" w:cs="Arial"/>
          <w:sz w:val="20"/>
        </w:rPr>
      </w:pPr>
    </w:p>
    <w:tbl>
      <w:tblPr>
        <w:tblW w:w="765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0"/>
        <w:gridCol w:w="1417"/>
        <w:gridCol w:w="1418"/>
      </w:tblGrid>
      <w:tr w:rsidR="005232A7" w:rsidRPr="005232A7" w14:paraId="0A98CC7C" w14:textId="77777777" w:rsidTr="006E1AF7">
        <w:trPr>
          <w:trHeight w:val="255"/>
          <w:tblHeader/>
        </w:trPr>
        <w:tc>
          <w:tcPr>
            <w:tcW w:w="4820" w:type="dxa"/>
            <w:shd w:val="clear" w:color="auto" w:fill="auto"/>
            <w:noWrap/>
            <w:vAlign w:val="bottom"/>
            <w:hideMark/>
          </w:tcPr>
          <w:p w14:paraId="0FB7BF17" w14:textId="77777777" w:rsidR="005232A7" w:rsidRPr="006E1AF7" w:rsidRDefault="005232A7" w:rsidP="005232A7">
            <w:pPr>
              <w:jc w:val="center"/>
              <w:rPr>
                <w:rFonts w:ascii="Arial" w:hAnsi="Arial" w:cs="Arial"/>
                <w:b/>
                <w:sz w:val="18"/>
              </w:rPr>
            </w:pPr>
          </w:p>
        </w:tc>
        <w:tc>
          <w:tcPr>
            <w:tcW w:w="1417" w:type="dxa"/>
            <w:shd w:val="clear" w:color="auto" w:fill="auto"/>
            <w:noWrap/>
            <w:vAlign w:val="bottom"/>
            <w:hideMark/>
          </w:tcPr>
          <w:p w14:paraId="172A7BCC" w14:textId="0C8DA1E5" w:rsidR="005232A7" w:rsidRPr="006E1AF7" w:rsidRDefault="005232A7" w:rsidP="005232A7">
            <w:pPr>
              <w:jc w:val="center"/>
              <w:rPr>
                <w:rFonts w:ascii="Arial" w:hAnsi="Arial" w:cs="Arial"/>
                <w:b/>
                <w:sz w:val="18"/>
              </w:rPr>
            </w:pPr>
            <w:r w:rsidRPr="006E1AF7">
              <w:rPr>
                <w:rFonts w:ascii="Arial" w:hAnsi="Arial" w:cs="Arial"/>
                <w:b/>
                <w:sz w:val="18"/>
              </w:rPr>
              <w:t>31/12/2019</w:t>
            </w:r>
          </w:p>
        </w:tc>
        <w:tc>
          <w:tcPr>
            <w:tcW w:w="1418" w:type="dxa"/>
            <w:shd w:val="clear" w:color="auto" w:fill="auto"/>
            <w:noWrap/>
            <w:vAlign w:val="bottom"/>
            <w:hideMark/>
          </w:tcPr>
          <w:p w14:paraId="53DBFB8D" w14:textId="24891C6C" w:rsidR="005232A7" w:rsidRPr="006E1AF7" w:rsidRDefault="005232A7" w:rsidP="005232A7">
            <w:pPr>
              <w:jc w:val="center"/>
              <w:rPr>
                <w:rFonts w:ascii="Arial" w:hAnsi="Arial" w:cs="Arial"/>
                <w:b/>
                <w:sz w:val="18"/>
              </w:rPr>
            </w:pPr>
            <w:r w:rsidRPr="006E1AF7">
              <w:rPr>
                <w:rFonts w:ascii="Arial" w:hAnsi="Arial" w:cs="Arial"/>
                <w:b/>
                <w:sz w:val="18"/>
              </w:rPr>
              <w:t>31/12/2018</w:t>
            </w:r>
          </w:p>
        </w:tc>
      </w:tr>
      <w:tr w:rsidR="00DC2191" w:rsidRPr="00AE0907" w14:paraId="312A396E" w14:textId="77777777" w:rsidTr="006E1AF7">
        <w:trPr>
          <w:trHeight w:val="255"/>
        </w:trPr>
        <w:tc>
          <w:tcPr>
            <w:tcW w:w="4820" w:type="dxa"/>
            <w:shd w:val="clear" w:color="auto" w:fill="auto"/>
            <w:noWrap/>
            <w:vAlign w:val="bottom"/>
            <w:hideMark/>
          </w:tcPr>
          <w:p w14:paraId="22E95564" w14:textId="77777777" w:rsidR="00DC2191" w:rsidRPr="006E1AF7" w:rsidRDefault="00DC2191" w:rsidP="00DC2191">
            <w:pPr>
              <w:jc w:val="both"/>
              <w:rPr>
                <w:rFonts w:ascii="Arial" w:hAnsi="Arial" w:cs="Arial"/>
                <w:sz w:val="18"/>
              </w:rPr>
            </w:pPr>
            <w:r w:rsidRPr="006E1AF7">
              <w:rPr>
                <w:rFonts w:ascii="Arial" w:hAnsi="Arial" w:cs="Arial"/>
                <w:sz w:val="18"/>
              </w:rPr>
              <w:t>Sector público</w:t>
            </w:r>
          </w:p>
        </w:tc>
        <w:tc>
          <w:tcPr>
            <w:tcW w:w="1417" w:type="dxa"/>
            <w:shd w:val="clear" w:color="auto" w:fill="auto"/>
            <w:noWrap/>
            <w:vAlign w:val="bottom"/>
          </w:tcPr>
          <w:p w14:paraId="6C7D9479" w14:textId="07A0F8F6" w:rsidR="00DC2191" w:rsidRPr="006E1AF7" w:rsidRDefault="00DC2191" w:rsidP="002C509D">
            <w:pPr>
              <w:jc w:val="right"/>
              <w:rPr>
                <w:rFonts w:ascii="Arial" w:hAnsi="Arial" w:cs="Arial"/>
                <w:sz w:val="18"/>
              </w:rPr>
            </w:pPr>
            <w:r w:rsidRPr="006E1AF7">
              <w:rPr>
                <w:rFonts w:ascii="Arial" w:hAnsi="Arial" w:cs="Arial"/>
                <w:color w:val="000000"/>
                <w:sz w:val="18"/>
              </w:rPr>
              <w:t>28.872</w:t>
            </w:r>
          </w:p>
        </w:tc>
        <w:tc>
          <w:tcPr>
            <w:tcW w:w="1418" w:type="dxa"/>
            <w:shd w:val="clear" w:color="auto" w:fill="auto"/>
            <w:noWrap/>
            <w:vAlign w:val="bottom"/>
            <w:hideMark/>
          </w:tcPr>
          <w:p w14:paraId="28B5DA2C" w14:textId="55060549" w:rsidR="00DC2191" w:rsidRPr="006E1AF7" w:rsidRDefault="00DC2191" w:rsidP="00DC2191">
            <w:pPr>
              <w:jc w:val="right"/>
              <w:rPr>
                <w:rFonts w:ascii="Arial" w:hAnsi="Arial" w:cs="Arial"/>
                <w:sz w:val="18"/>
              </w:rPr>
            </w:pPr>
            <w:r w:rsidRPr="006E1AF7">
              <w:rPr>
                <w:rFonts w:ascii="Arial" w:hAnsi="Arial" w:cs="Arial"/>
                <w:sz w:val="18"/>
              </w:rPr>
              <w:t>32.802</w:t>
            </w:r>
          </w:p>
        </w:tc>
      </w:tr>
      <w:tr w:rsidR="00DC2191" w:rsidRPr="00AE0907" w14:paraId="09AB623B" w14:textId="77777777" w:rsidTr="006E1AF7">
        <w:trPr>
          <w:trHeight w:val="255"/>
        </w:trPr>
        <w:tc>
          <w:tcPr>
            <w:tcW w:w="4820" w:type="dxa"/>
            <w:shd w:val="clear" w:color="auto" w:fill="auto"/>
            <w:noWrap/>
            <w:vAlign w:val="bottom"/>
            <w:hideMark/>
          </w:tcPr>
          <w:p w14:paraId="3BEA0BD9" w14:textId="77777777" w:rsidR="00DC2191" w:rsidRPr="006E1AF7" w:rsidRDefault="00DC2191" w:rsidP="00DC2191">
            <w:pPr>
              <w:jc w:val="both"/>
              <w:rPr>
                <w:rFonts w:ascii="Arial" w:hAnsi="Arial" w:cs="Arial"/>
                <w:sz w:val="18"/>
              </w:rPr>
            </w:pPr>
            <w:r w:rsidRPr="006E1AF7">
              <w:rPr>
                <w:rFonts w:ascii="Arial" w:hAnsi="Arial" w:cs="Arial"/>
                <w:sz w:val="18"/>
              </w:rPr>
              <w:t>Sector financiero</w:t>
            </w:r>
          </w:p>
        </w:tc>
        <w:tc>
          <w:tcPr>
            <w:tcW w:w="1417" w:type="dxa"/>
            <w:shd w:val="clear" w:color="auto" w:fill="auto"/>
            <w:noWrap/>
            <w:vAlign w:val="bottom"/>
          </w:tcPr>
          <w:p w14:paraId="1CD56A56" w14:textId="457BBD39" w:rsidR="00DC2191" w:rsidRPr="006E1AF7" w:rsidRDefault="00DC2191" w:rsidP="002C509D">
            <w:pPr>
              <w:jc w:val="right"/>
              <w:rPr>
                <w:rFonts w:ascii="Arial" w:hAnsi="Arial" w:cs="Arial"/>
                <w:sz w:val="18"/>
              </w:rPr>
            </w:pPr>
            <w:r w:rsidRPr="006E1AF7">
              <w:rPr>
                <w:rFonts w:ascii="Arial" w:hAnsi="Arial" w:cs="Arial"/>
                <w:color w:val="000000"/>
                <w:sz w:val="18"/>
              </w:rPr>
              <w:t>64.522</w:t>
            </w:r>
          </w:p>
        </w:tc>
        <w:tc>
          <w:tcPr>
            <w:tcW w:w="1418" w:type="dxa"/>
            <w:shd w:val="clear" w:color="auto" w:fill="auto"/>
            <w:noWrap/>
            <w:vAlign w:val="bottom"/>
            <w:hideMark/>
          </w:tcPr>
          <w:p w14:paraId="425D2B4D" w14:textId="630597C3" w:rsidR="00DC2191" w:rsidRPr="006E1AF7" w:rsidRDefault="00DC2191" w:rsidP="00DC2191">
            <w:pPr>
              <w:jc w:val="right"/>
              <w:rPr>
                <w:rFonts w:ascii="Arial" w:hAnsi="Arial" w:cs="Arial"/>
                <w:sz w:val="18"/>
              </w:rPr>
            </w:pPr>
            <w:r w:rsidRPr="006E1AF7">
              <w:rPr>
                <w:rFonts w:ascii="Arial" w:hAnsi="Arial" w:cs="Arial"/>
                <w:sz w:val="18"/>
              </w:rPr>
              <w:t>398.551</w:t>
            </w:r>
          </w:p>
        </w:tc>
      </w:tr>
      <w:tr w:rsidR="00DC2191" w:rsidRPr="00AE0907" w14:paraId="1163816F" w14:textId="77777777" w:rsidTr="006E1AF7">
        <w:trPr>
          <w:trHeight w:val="255"/>
        </w:trPr>
        <w:tc>
          <w:tcPr>
            <w:tcW w:w="4820" w:type="dxa"/>
            <w:shd w:val="clear" w:color="auto" w:fill="auto"/>
            <w:noWrap/>
            <w:vAlign w:val="bottom"/>
            <w:hideMark/>
          </w:tcPr>
          <w:p w14:paraId="0EE4297C" w14:textId="77777777" w:rsidR="00DC2191" w:rsidRPr="006E1AF7" w:rsidRDefault="00DC2191" w:rsidP="00DC2191">
            <w:pPr>
              <w:jc w:val="both"/>
              <w:rPr>
                <w:rFonts w:ascii="Arial" w:hAnsi="Arial" w:cs="Arial"/>
                <w:sz w:val="18"/>
              </w:rPr>
            </w:pPr>
            <w:r w:rsidRPr="006E1AF7">
              <w:rPr>
                <w:rFonts w:ascii="Arial" w:hAnsi="Arial" w:cs="Arial"/>
                <w:sz w:val="18"/>
              </w:rPr>
              <w:t>Adelantos</w:t>
            </w:r>
          </w:p>
        </w:tc>
        <w:tc>
          <w:tcPr>
            <w:tcW w:w="1417" w:type="dxa"/>
            <w:shd w:val="clear" w:color="auto" w:fill="auto"/>
            <w:noWrap/>
            <w:vAlign w:val="bottom"/>
          </w:tcPr>
          <w:p w14:paraId="6218286D" w14:textId="371714F7" w:rsidR="00DC2191" w:rsidRPr="006E1AF7" w:rsidRDefault="00DC2191" w:rsidP="002C509D">
            <w:pPr>
              <w:jc w:val="right"/>
              <w:rPr>
                <w:rFonts w:ascii="Arial" w:hAnsi="Arial" w:cs="Arial"/>
                <w:sz w:val="18"/>
              </w:rPr>
            </w:pPr>
            <w:r w:rsidRPr="006E1AF7">
              <w:rPr>
                <w:rFonts w:ascii="Arial" w:hAnsi="Arial" w:cs="Arial"/>
                <w:color w:val="000000"/>
                <w:sz w:val="18"/>
              </w:rPr>
              <w:t>5.602.801</w:t>
            </w:r>
          </w:p>
        </w:tc>
        <w:tc>
          <w:tcPr>
            <w:tcW w:w="1418" w:type="dxa"/>
            <w:shd w:val="clear" w:color="auto" w:fill="auto"/>
            <w:noWrap/>
            <w:vAlign w:val="bottom"/>
            <w:hideMark/>
          </w:tcPr>
          <w:p w14:paraId="53D3C825" w14:textId="689BF04D" w:rsidR="00DC2191" w:rsidRPr="006E1AF7" w:rsidRDefault="00DC2191" w:rsidP="00DC2191">
            <w:pPr>
              <w:jc w:val="right"/>
              <w:rPr>
                <w:rFonts w:ascii="Arial" w:hAnsi="Arial" w:cs="Arial"/>
                <w:sz w:val="18"/>
              </w:rPr>
            </w:pPr>
            <w:r w:rsidRPr="006E1AF7">
              <w:rPr>
                <w:rFonts w:ascii="Arial" w:hAnsi="Arial" w:cs="Arial"/>
                <w:sz w:val="18"/>
              </w:rPr>
              <w:t>5.000.639</w:t>
            </w:r>
          </w:p>
        </w:tc>
      </w:tr>
      <w:tr w:rsidR="00DC2191" w:rsidRPr="00AE0907" w14:paraId="1A916B73" w14:textId="77777777" w:rsidTr="006E1AF7">
        <w:trPr>
          <w:trHeight w:val="255"/>
        </w:trPr>
        <w:tc>
          <w:tcPr>
            <w:tcW w:w="4820" w:type="dxa"/>
            <w:shd w:val="clear" w:color="auto" w:fill="auto"/>
            <w:noWrap/>
            <w:vAlign w:val="bottom"/>
            <w:hideMark/>
          </w:tcPr>
          <w:p w14:paraId="31692E01" w14:textId="77777777" w:rsidR="00DC2191" w:rsidRPr="006E1AF7" w:rsidRDefault="00DC2191" w:rsidP="00DC2191">
            <w:pPr>
              <w:jc w:val="both"/>
              <w:rPr>
                <w:rFonts w:ascii="Arial" w:hAnsi="Arial" w:cs="Arial"/>
                <w:sz w:val="18"/>
              </w:rPr>
            </w:pPr>
            <w:r w:rsidRPr="006E1AF7">
              <w:rPr>
                <w:rFonts w:ascii="Arial" w:hAnsi="Arial" w:cs="Arial"/>
                <w:sz w:val="18"/>
              </w:rPr>
              <w:t>Documentos</w:t>
            </w:r>
          </w:p>
        </w:tc>
        <w:tc>
          <w:tcPr>
            <w:tcW w:w="1417" w:type="dxa"/>
            <w:shd w:val="clear" w:color="auto" w:fill="auto"/>
            <w:noWrap/>
            <w:vAlign w:val="bottom"/>
          </w:tcPr>
          <w:p w14:paraId="2B16BC6C" w14:textId="0B8C18BB" w:rsidR="00DC2191" w:rsidRPr="006E1AF7" w:rsidRDefault="00DC2191" w:rsidP="002C509D">
            <w:pPr>
              <w:jc w:val="right"/>
              <w:rPr>
                <w:rFonts w:ascii="Arial" w:hAnsi="Arial" w:cs="Arial"/>
                <w:sz w:val="18"/>
              </w:rPr>
            </w:pPr>
            <w:r w:rsidRPr="006E1AF7">
              <w:rPr>
                <w:rFonts w:ascii="Arial" w:hAnsi="Arial" w:cs="Arial"/>
                <w:color w:val="000000"/>
                <w:sz w:val="18"/>
              </w:rPr>
              <w:t>19.620.906</w:t>
            </w:r>
          </w:p>
        </w:tc>
        <w:tc>
          <w:tcPr>
            <w:tcW w:w="1418" w:type="dxa"/>
            <w:shd w:val="clear" w:color="auto" w:fill="auto"/>
            <w:noWrap/>
            <w:vAlign w:val="bottom"/>
            <w:hideMark/>
          </w:tcPr>
          <w:p w14:paraId="22474FD5" w14:textId="415E995B" w:rsidR="00DC2191" w:rsidRPr="006E1AF7" w:rsidRDefault="00DC2191" w:rsidP="00DC2191">
            <w:pPr>
              <w:jc w:val="right"/>
              <w:rPr>
                <w:rFonts w:ascii="Arial" w:hAnsi="Arial" w:cs="Arial"/>
                <w:sz w:val="18"/>
              </w:rPr>
            </w:pPr>
            <w:r w:rsidRPr="006E1AF7">
              <w:rPr>
                <w:rFonts w:ascii="Arial" w:hAnsi="Arial" w:cs="Arial"/>
                <w:sz w:val="18"/>
              </w:rPr>
              <w:t>14.318.444</w:t>
            </w:r>
          </w:p>
        </w:tc>
      </w:tr>
      <w:tr w:rsidR="00DC2191" w:rsidRPr="00AE0907" w14:paraId="3B41BC59" w14:textId="77777777" w:rsidTr="006E1AF7">
        <w:trPr>
          <w:trHeight w:val="255"/>
        </w:trPr>
        <w:tc>
          <w:tcPr>
            <w:tcW w:w="4820" w:type="dxa"/>
            <w:shd w:val="clear" w:color="auto" w:fill="auto"/>
            <w:noWrap/>
            <w:vAlign w:val="bottom"/>
            <w:hideMark/>
          </w:tcPr>
          <w:p w14:paraId="57D3CEC7" w14:textId="77777777" w:rsidR="00DC2191" w:rsidRPr="006E1AF7" w:rsidRDefault="00DC2191" w:rsidP="00DC2191">
            <w:pPr>
              <w:jc w:val="both"/>
              <w:rPr>
                <w:rFonts w:ascii="Arial" w:hAnsi="Arial" w:cs="Arial"/>
                <w:sz w:val="18"/>
              </w:rPr>
            </w:pPr>
            <w:r w:rsidRPr="006E1AF7">
              <w:rPr>
                <w:rFonts w:ascii="Arial" w:hAnsi="Arial" w:cs="Arial"/>
                <w:sz w:val="18"/>
              </w:rPr>
              <w:t>Hipotecarios</w:t>
            </w:r>
          </w:p>
        </w:tc>
        <w:tc>
          <w:tcPr>
            <w:tcW w:w="1417" w:type="dxa"/>
            <w:shd w:val="clear" w:color="auto" w:fill="auto"/>
            <w:noWrap/>
            <w:vAlign w:val="bottom"/>
          </w:tcPr>
          <w:p w14:paraId="73B08461" w14:textId="189D7EF9" w:rsidR="00DC2191" w:rsidRPr="006E1AF7" w:rsidRDefault="00DC2191" w:rsidP="002C509D">
            <w:pPr>
              <w:jc w:val="right"/>
              <w:rPr>
                <w:rFonts w:ascii="Arial" w:hAnsi="Arial" w:cs="Arial"/>
                <w:sz w:val="18"/>
              </w:rPr>
            </w:pPr>
            <w:r w:rsidRPr="006E1AF7">
              <w:rPr>
                <w:rFonts w:ascii="Arial" w:hAnsi="Arial" w:cs="Arial"/>
                <w:color w:val="000000"/>
                <w:sz w:val="18"/>
              </w:rPr>
              <w:t>7.917.020</w:t>
            </w:r>
          </w:p>
        </w:tc>
        <w:tc>
          <w:tcPr>
            <w:tcW w:w="1418" w:type="dxa"/>
            <w:shd w:val="clear" w:color="auto" w:fill="auto"/>
            <w:noWrap/>
            <w:vAlign w:val="bottom"/>
            <w:hideMark/>
          </w:tcPr>
          <w:p w14:paraId="55D36025" w14:textId="652E1AAA" w:rsidR="00DC2191" w:rsidRPr="006E1AF7" w:rsidRDefault="00DC2191" w:rsidP="00DC2191">
            <w:pPr>
              <w:jc w:val="right"/>
              <w:rPr>
                <w:rFonts w:ascii="Arial" w:hAnsi="Arial" w:cs="Arial"/>
                <w:sz w:val="18"/>
              </w:rPr>
            </w:pPr>
            <w:r w:rsidRPr="006E1AF7">
              <w:rPr>
                <w:rFonts w:ascii="Arial" w:hAnsi="Arial" w:cs="Arial"/>
                <w:sz w:val="18"/>
              </w:rPr>
              <w:t>5.357.198</w:t>
            </w:r>
          </w:p>
        </w:tc>
      </w:tr>
      <w:tr w:rsidR="00DC2191" w:rsidRPr="00AE0907" w14:paraId="548E39BE" w14:textId="77777777" w:rsidTr="006E1AF7">
        <w:trPr>
          <w:trHeight w:val="255"/>
        </w:trPr>
        <w:tc>
          <w:tcPr>
            <w:tcW w:w="4820" w:type="dxa"/>
            <w:shd w:val="clear" w:color="auto" w:fill="auto"/>
            <w:noWrap/>
            <w:vAlign w:val="bottom"/>
            <w:hideMark/>
          </w:tcPr>
          <w:p w14:paraId="63E37786" w14:textId="77777777" w:rsidR="00DC2191" w:rsidRPr="006E1AF7" w:rsidRDefault="00DC2191" w:rsidP="00DC2191">
            <w:pPr>
              <w:jc w:val="both"/>
              <w:rPr>
                <w:rFonts w:ascii="Arial" w:hAnsi="Arial" w:cs="Arial"/>
                <w:sz w:val="18"/>
              </w:rPr>
            </w:pPr>
            <w:r w:rsidRPr="006E1AF7">
              <w:rPr>
                <w:rFonts w:ascii="Arial" w:hAnsi="Arial" w:cs="Arial"/>
                <w:sz w:val="18"/>
              </w:rPr>
              <w:t>Prendarios</w:t>
            </w:r>
          </w:p>
        </w:tc>
        <w:tc>
          <w:tcPr>
            <w:tcW w:w="1417" w:type="dxa"/>
            <w:shd w:val="clear" w:color="auto" w:fill="auto"/>
            <w:noWrap/>
            <w:vAlign w:val="bottom"/>
          </w:tcPr>
          <w:p w14:paraId="286D3DAD" w14:textId="6D1CE368" w:rsidR="00DC2191" w:rsidRPr="006E1AF7" w:rsidRDefault="00DC2191" w:rsidP="002C509D">
            <w:pPr>
              <w:jc w:val="right"/>
              <w:rPr>
                <w:rFonts w:ascii="Arial" w:hAnsi="Arial" w:cs="Arial"/>
                <w:sz w:val="18"/>
              </w:rPr>
            </w:pPr>
            <w:r w:rsidRPr="006E1AF7">
              <w:rPr>
                <w:rFonts w:ascii="Arial" w:hAnsi="Arial" w:cs="Arial"/>
                <w:color w:val="000000"/>
                <w:sz w:val="18"/>
              </w:rPr>
              <w:t>1.189.797</w:t>
            </w:r>
          </w:p>
        </w:tc>
        <w:tc>
          <w:tcPr>
            <w:tcW w:w="1418" w:type="dxa"/>
            <w:shd w:val="clear" w:color="auto" w:fill="auto"/>
            <w:noWrap/>
            <w:vAlign w:val="bottom"/>
            <w:hideMark/>
          </w:tcPr>
          <w:p w14:paraId="01E3E234" w14:textId="34C1C719" w:rsidR="00DC2191" w:rsidRPr="006E1AF7" w:rsidRDefault="00DC2191" w:rsidP="00DC2191">
            <w:pPr>
              <w:jc w:val="right"/>
              <w:rPr>
                <w:rFonts w:ascii="Arial" w:hAnsi="Arial" w:cs="Arial"/>
                <w:sz w:val="18"/>
              </w:rPr>
            </w:pPr>
            <w:r w:rsidRPr="006E1AF7">
              <w:rPr>
                <w:rFonts w:ascii="Arial" w:hAnsi="Arial" w:cs="Arial"/>
                <w:sz w:val="18"/>
              </w:rPr>
              <w:t>847.559</w:t>
            </w:r>
          </w:p>
        </w:tc>
      </w:tr>
      <w:tr w:rsidR="00DC2191" w:rsidRPr="00AE0907" w14:paraId="6903AAE5" w14:textId="77777777" w:rsidTr="006E1AF7">
        <w:trPr>
          <w:trHeight w:val="255"/>
        </w:trPr>
        <w:tc>
          <w:tcPr>
            <w:tcW w:w="4820" w:type="dxa"/>
            <w:shd w:val="clear" w:color="auto" w:fill="auto"/>
            <w:noWrap/>
            <w:vAlign w:val="bottom"/>
            <w:hideMark/>
          </w:tcPr>
          <w:p w14:paraId="6F4A1C8A" w14:textId="77777777" w:rsidR="00DC2191" w:rsidRPr="006E1AF7" w:rsidRDefault="00DC2191" w:rsidP="00DC2191">
            <w:pPr>
              <w:jc w:val="both"/>
              <w:rPr>
                <w:rFonts w:ascii="Arial" w:hAnsi="Arial" w:cs="Arial"/>
                <w:sz w:val="18"/>
              </w:rPr>
            </w:pPr>
            <w:r w:rsidRPr="006E1AF7">
              <w:rPr>
                <w:rFonts w:ascii="Arial" w:hAnsi="Arial" w:cs="Arial"/>
                <w:sz w:val="18"/>
              </w:rPr>
              <w:t>Personales</w:t>
            </w:r>
          </w:p>
        </w:tc>
        <w:tc>
          <w:tcPr>
            <w:tcW w:w="1417" w:type="dxa"/>
            <w:shd w:val="clear" w:color="auto" w:fill="auto"/>
            <w:noWrap/>
            <w:vAlign w:val="bottom"/>
          </w:tcPr>
          <w:p w14:paraId="0935D744" w14:textId="084CFB87" w:rsidR="00DC2191" w:rsidRPr="006E1AF7" w:rsidRDefault="00DC2191" w:rsidP="002C509D">
            <w:pPr>
              <w:jc w:val="right"/>
              <w:rPr>
                <w:rFonts w:ascii="Arial" w:hAnsi="Arial" w:cs="Arial"/>
                <w:sz w:val="18"/>
              </w:rPr>
            </w:pPr>
            <w:r w:rsidRPr="006E1AF7">
              <w:rPr>
                <w:rFonts w:ascii="Arial" w:hAnsi="Arial" w:cs="Arial"/>
                <w:color w:val="000000"/>
                <w:sz w:val="18"/>
              </w:rPr>
              <w:t>17.034.958</w:t>
            </w:r>
          </w:p>
        </w:tc>
        <w:tc>
          <w:tcPr>
            <w:tcW w:w="1418" w:type="dxa"/>
            <w:shd w:val="clear" w:color="auto" w:fill="auto"/>
            <w:noWrap/>
            <w:vAlign w:val="bottom"/>
            <w:hideMark/>
          </w:tcPr>
          <w:p w14:paraId="71900C5D" w14:textId="08FFCDAC" w:rsidR="00DC2191" w:rsidRPr="006E1AF7" w:rsidRDefault="00DC2191" w:rsidP="00DC2191">
            <w:pPr>
              <w:jc w:val="right"/>
              <w:rPr>
                <w:rFonts w:ascii="Arial" w:hAnsi="Arial" w:cs="Arial"/>
                <w:sz w:val="18"/>
              </w:rPr>
            </w:pPr>
            <w:r w:rsidRPr="006E1AF7">
              <w:rPr>
                <w:rFonts w:ascii="Arial" w:hAnsi="Arial" w:cs="Arial"/>
                <w:sz w:val="18"/>
              </w:rPr>
              <w:t>18.696.951</w:t>
            </w:r>
          </w:p>
        </w:tc>
      </w:tr>
      <w:tr w:rsidR="00DC2191" w:rsidRPr="00AE0907" w14:paraId="3B12B675" w14:textId="77777777" w:rsidTr="006E1AF7">
        <w:trPr>
          <w:trHeight w:val="255"/>
        </w:trPr>
        <w:tc>
          <w:tcPr>
            <w:tcW w:w="4820" w:type="dxa"/>
            <w:shd w:val="clear" w:color="auto" w:fill="auto"/>
            <w:noWrap/>
            <w:vAlign w:val="bottom"/>
            <w:hideMark/>
          </w:tcPr>
          <w:p w14:paraId="4CC00AED" w14:textId="77777777" w:rsidR="00DC2191" w:rsidRPr="006E1AF7" w:rsidRDefault="00DC2191" w:rsidP="00DC2191">
            <w:pPr>
              <w:jc w:val="both"/>
              <w:rPr>
                <w:rFonts w:ascii="Arial" w:hAnsi="Arial" w:cs="Arial"/>
                <w:sz w:val="18"/>
              </w:rPr>
            </w:pPr>
            <w:r w:rsidRPr="006E1AF7">
              <w:rPr>
                <w:rFonts w:ascii="Arial" w:hAnsi="Arial" w:cs="Arial"/>
                <w:sz w:val="18"/>
              </w:rPr>
              <w:t>Tarjetas de Crédito</w:t>
            </w:r>
          </w:p>
        </w:tc>
        <w:tc>
          <w:tcPr>
            <w:tcW w:w="1417" w:type="dxa"/>
            <w:shd w:val="clear" w:color="auto" w:fill="auto"/>
            <w:noWrap/>
            <w:vAlign w:val="bottom"/>
          </w:tcPr>
          <w:p w14:paraId="7E7009F9" w14:textId="0C5A2F81" w:rsidR="00DC2191" w:rsidRPr="006E1AF7" w:rsidRDefault="00DC2191" w:rsidP="002C509D">
            <w:pPr>
              <w:jc w:val="right"/>
              <w:rPr>
                <w:rFonts w:ascii="Arial" w:hAnsi="Arial" w:cs="Arial"/>
                <w:sz w:val="18"/>
              </w:rPr>
            </w:pPr>
            <w:r w:rsidRPr="006E1AF7">
              <w:rPr>
                <w:rFonts w:ascii="Arial" w:hAnsi="Arial" w:cs="Arial"/>
                <w:color w:val="000000"/>
                <w:sz w:val="18"/>
              </w:rPr>
              <w:t>12.952.507</w:t>
            </w:r>
          </w:p>
        </w:tc>
        <w:tc>
          <w:tcPr>
            <w:tcW w:w="1418" w:type="dxa"/>
            <w:shd w:val="clear" w:color="auto" w:fill="auto"/>
            <w:noWrap/>
            <w:vAlign w:val="bottom"/>
            <w:hideMark/>
          </w:tcPr>
          <w:p w14:paraId="2B3B9A88" w14:textId="5881ECD1" w:rsidR="00DC2191" w:rsidRPr="006E1AF7" w:rsidRDefault="00DC2191" w:rsidP="00DC2191">
            <w:pPr>
              <w:jc w:val="right"/>
              <w:rPr>
                <w:rFonts w:ascii="Arial" w:hAnsi="Arial" w:cs="Arial"/>
                <w:sz w:val="18"/>
              </w:rPr>
            </w:pPr>
            <w:r w:rsidRPr="006E1AF7">
              <w:rPr>
                <w:rFonts w:ascii="Arial" w:hAnsi="Arial" w:cs="Arial"/>
                <w:sz w:val="18"/>
              </w:rPr>
              <w:t>8.896.810</w:t>
            </w:r>
          </w:p>
        </w:tc>
      </w:tr>
      <w:tr w:rsidR="00DC2191" w:rsidRPr="00AE0907" w14:paraId="3D806324" w14:textId="77777777" w:rsidTr="006E1AF7">
        <w:trPr>
          <w:trHeight w:val="255"/>
        </w:trPr>
        <w:tc>
          <w:tcPr>
            <w:tcW w:w="4820" w:type="dxa"/>
            <w:shd w:val="clear" w:color="auto" w:fill="auto"/>
            <w:noWrap/>
            <w:vAlign w:val="bottom"/>
            <w:hideMark/>
          </w:tcPr>
          <w:p w14:paraId="57EE8D14" w14:textId="77777777" w:rsidR="00DC2191" w:rsidRPr="006E1AF7" w:rsidRDefault="00DC2191" w:rsidP="00DC2191">
            <w:pPr>
              <w:jc w:val="both"/>
              <w:rPr>
                <w:rFonts w:ascii="Arial" w:hAnsi="Arial" w:cs="Arial"/>
                <w:sz w:val="18"/>
              </w:rPr>
            </w:pPr>
            <w:r w:rsidRPr="006E1AF7">
              <w:rPr>
                <w:rFonts w:ascii="Arial" w:hAnsi="Arial" w:cs="Arial"/>
                <w:sz w:val="18"/>
              </w:rPr>
              <w:t>Préstamos Comex</w:t>
            </w:r>
          </w:p>
        </w:tc>
        <w:tc>
          <w:tcPr>
            <w:tcW w:w="1417" w:type="dxa"/>
            <w:shd w:val="clear" w:color="auto" w:fill="auto"/>
            <w:noWrap/>
            <w:vAlign w:val="bottom"/>
          </w:tcPr>
          <w:p w14:paraId="75A72BA7" w14:textId="7ADD29F2" w:rsidR="00DC2191" w:rsidRPr="006E1AF7" w:rsidRDefault="00DC2191" w:rsidP="002C509D">
            <w:pPr>
              <w:jc w:val="right"/>
              <w:rPr>
                <w:rFonts w:ascii="Arial" w:hAnsi="Arial" w:cs="Arial"/>
                <w:sz w:val="18"/>
              </w:rPr>
            </w:pPr>
            <w:r w:rsidRPr="006E1AF7">
              <w:rPr>
                <w:rFonts w:ascii="Arial" w:hAnsi="Arial" w:cs="Arial"/>
                <w:color w:val="000000"/>
                <w:sz w:val="18"/>
              </w:rPr>
              <w:t>14.786.934</w:t>
            </w:r>
          </w:p>
        </w:tc>
        <w:tc>
          <w:tcPr>
            <w:tcW w:w="1418" w:type="dxa"/>
            <w:shd w:val="clear" w:color="auto" w:fill="auto"/>
            <w:noWrap/>
            <w:vAlign w:val="bottom"/>
            <w:hideMark/>
          </w:tcPr>
          <w:p w14:paraId="29429B62" w14:textId="0B66E3A6" w:rsidR="00DC2191" w:rsidRPr="006E1AF7" w:rsidRDefault="00DC2191" w:rsidP="00DC2191">
            <w:pPr>
              <w:jc w:val="right"/>
              <w:rPr>
                <w:rFonts w:ascii="Arial" w:hAnsi="Arial" w:cs="Arial"/>
                <w:sz w:val="18"/>
              </w:rPr>
            </w:pPr>
            <w:r w:rsidRPr="006E1AF7">
              <w:rPr>
                <w:rFonts w:ascii="Arial" w:hAnsi="Arial" w:cs="Arial"/>
                <w:sz w:val="18"/>
              </w:rPr>
              <w:t>13.478.173</w:t>
            </w:r>
          </w:p>
        </w:tc>
      </w:tr>
      <w:tr w:rsidR="00DC2191" w:rsidRPr="00AE0907" w14:paraId="7194B381" w14:textId="77777777" w:rsidTr="006E1AF7">
        <w:trPr>
          <w:trHeight w:val="255"/>
        </w:trPr>
        <w:tc>
          <w:tcPr>
            <w:tcW w:w="4820" w:type="dxa"/>
            <w:shd w:val="clear" w:color="auto" w:fill="auto"/>
            <w:noWrap/>
            <w:vAlign w:val="bottom"/>
            <w:hideMark/>
          </w:tcPr>
          <w:p w14:paraId="01683E9D" w14:textId="77777777" w:rsidR="00DC2191" w:rsidRPr="006E1AF7" w:rsidRDefault="00DC2191" w:rsidP="00DC2191">
            <w:pPr>
              <w:jc w:val="both"/>
              <w:rPr>
                <w:rFonts w:ascii="Arial" w:hAnsi="Arial" w:cs="Arial"/>
                <w:sz w:val="18"/>
              </w:rPr>
            </w:pPr>
            <w:r w:rsidRPr="006E1AF7">
              <w:rPr>
                <w:rFonts w:ascii="Arial" w:hAnsi="Arial" w:cs="Arial"/>
                <w:sz w:val="18"/>
              </w:rPr>
              <w:t>Arrendamientos Financieros</w:t>
            </w:r>
          </w:p>
        </w:tc>
        <w:tc>
          <w:tcPr>
            <w:tcW w:w="1417" w:type="dxa"/>
            <w:shd w:val="clear" w:color="auto" w:fill="auto"/>
            <w:noWrap/>
            <w:vAlign w:val="bottom"/>
          </w:tcPr>
          <w:p w14:paraId="1736BB0B" w14:textId="119F3110" w:rsidR="00DC2191" w:rsidRPr="006E1AF7" w:rsidRDefault="00DC2191" w:rsidP="002C509D">
            <w:pPr>
              <w:jc w:val="right"/>
              <w:rPr>
                <w:rFonts w:ascii="Arial" w:hAnsi="Arial" w:cs="Arial"/>
                <w:sz w:val="18"/>
              </w:rPr>
            </w:pPr>
            <w:r w:rsidRPr="006E1AF7">
              <w:rPr>
                <w:rFonts w:ascii="Arial" w:hAnsi="Arial" w:cs="Arial"/>
                <w:color w:val="000000"/>
                <w:sz w:val="18"/>
              </w:rPr>
              <w:t>3.186.689</w:t>
            </w:r>
          </w:p>
        </w:tc>
        <w:tc>
          <w:tcPr>
            <w:tcW w:w="1418" w:type="dxa"/>
            <w:shd w:val="clear" w:color="auto" w:fill="auto"/>
            <w:noWrap/>
            <w:vAlign w:val="bottom"/>
            <w:hideMark/>
          </w:tcPr>
          <w:p w14:paraId="29B25CB5" w14:textId="053802FE" w:rsidR="00DC2191" w:rsidRPr="006E1AF7" w:rsidRDefault="00DC2191" w:rsidP="00DC2191">
            <w:pPr>
              <w:jc w:val="right"/>
              <w:rPr>
                <w:rFonts w:ascii="Arial" w:hAnsi="Arial" w:cs="Arial"/>
                <w:sz w:val="18"/>
              </w:rPr>
            </w:pPr>
            <w:r w:rsidRPr="006E1AF7">
              <w:rPr>
                <w:rFonts w:ascii="Arial" w:hAnsi="Arial" w:cs="Arial"/>
                <w:sz w:val="18"/>
              </w:rPr>
              <w:t>3.345.684</w:t>
            </w:r>
          </w:p>
        </w:tc>
      </w:tr>
      <w:tr w:rsidR="00DC2191" w:rsidRPr="00AE0907" w14:paraId="507DE501" w14:textId="77777777" w:rsidTr="006E1AF7">
        <w:trPr>
          <w:trHeight w:val="255"/>
        </w:trPr>
        <w:tc>
          <w:tcPr>
            <w:tcW w:w="4820" w:type="dxa"/>
            <w:shd w:val="clear" w:color="auto" w:fill="auto"/>
            <w:noWrap/>
            <w:vAlign w:val="bottom"/>
            <w:hideMark/>
          </w:tcPr>
          <w:p w14:paraId="70B742F6" w14:textId="77777777" w:rsidR="00DC2191" w:rsidRPr="006E1AF7" w:rsidRDefault="00DC2191" w:rsidP="00DC2191">
            <w:pPr>
              <w:jc w:val="both"/>
              <w:rPr>
                <w:rFonts w:ascii="Arial" w:hAnsi="Arial" w:cs="Arial"/>
                <w:sz w:val="18"/>
              </w:rPr>
            </w:pPr>
            <w:r w:rsidRPr="006E1AF7">
              <w:rPr>
                <w:rFonts w:ascii="Arial" w:hAnsi="Arial" w:cs="Arial"/>
                <w:sz w:val="18"/>
              </w:rPr>
              <w:t>Otros</w:t>
            </w:r>
          </w:p>
        </w:tc>
        <w:tc>
          <w:tcPr>
            <w:tcW w:w="1417" w:type="dxa"/>
            <w:shd w:val="clear" w:color="auto" w:fill="auto"/>
            <w:noWrap/>
            <w:vAlign w:val="bottom"/>
          </w:tcPr>
          <w:p w14:paraId="4190D52C" w14:textId="2329E7F0" w:rsidR="00DC2191" w:rsidRPr="006E1AF7" w:rsidRDefault="00DC2191" w:rsidP="002C509D">
            <w:pPr>
              <w:jc w:val="right"/>
              <w:rPr>
                <w:rFonts w:ascii="Arial" w:hAnsi="Arial" w:cs="Arial"/>
                <w:sz w:val="18"/>
              </w:rPr>
            </w:pPr>
            <w:r w:rsidRPr="006E1AF7">
              <w:rPr>
                <w:rFonts w:ascii="Arial" w:hAnsi="Arial" w:cs="Arial"/>
                <w:color w:val="000000"/>
                <w:sz w:val="18"/>
              </w:rPr>
              <w:t>5.996.943</w:t>
            </w:r>
          </w:p>
        </w:tc>
        <w:tc>
          <w:tcPr>
            <w:tcW w:w="1418" w:type="dxa"/>
            <w:shd w:val="clear" w:color="auto" w:fill="auto"/>
            <w:noWrap/>
            <w:vAlign w:val="bottom"/>
            <w:hideMark/>
          </w:tcPr>
          <w:p w14:paraId="6C4ED1EC" w14:textId="50D779C7" w:rsidR="00DC2191" w:rsidRPr="006E1AF7" w:rsidRDefault="00DC2191" w:rsidP="00DC2191">
            <w:pPr>
              <w:jc w:val="right"/>
              <w:rPr>
                <w:rFonts w:ascii="Arial" w:hAnsi="Arial" w:cs="Arial"/>
                <w:sz w:val="18"/>
              </w:rPr>
            </w:pPr>
            <w:r w:rsidRPr="006E1AF7">
              <w:rPr>
                <w:rFonts w:ascii="Arial" w:hAnsi="Arial" w:cs="Arial"/>
                <w:sz w:val="18"/>
              </w:rPr>
              <w:t>7.159.058</w:t>
            </w:r>
          </w:p>
        </w:tc>
      </w:tr>
      <w:tr w:rsidR="005232A7" w:rsidRPr="005232A7" w14:paraId="50070073" w14:textId="77777777" w:rsidTr="006E1AF7">
        <w:trPr>
          <w:trHeight w:val="270"/>
        </w:trPr>
        <w:tc>
          <w:tcPr>
            <w:tcW w:w="4820" w:type="dxa"/>
            <w:shd w:val="clear" w:color="auto" w:fill="auto"/>
            <w:noWrap/>
            <w:vAlign w:val="bottom"/>
            <w:hideMark/>
          </w:tcPr>
          <w:p w14:paraId="08C72F08" w14:textId="77777777" w:rsidR="005232A7" w:rsidRPr="006E1AF7" w:rsidRDefault="005232A7" w:rsidP="005232A7">
            <w:pPr>
              <w:jc w:val="both"/>
              <w:rPr>
                <w:rFonts w:ascii="Arial" w:hAnsi="Arial" w:cs="Arial"/>
                <w:b/>
                <w:sz w:val="18"/>
              </w:rPr>
            </w:pPr>
            <w:r w:rsidRPr="006E1AF7">
              <w:rPr>
                <w:rFonts w:ascii="Arial" w:hAnsi="Arial" w:cs="Arial"/>
                <w:b/>
                <w:sz w:val="18"/>
              </w:rPr>
              <w:t>Total</w:t>
            </w:r>
          </w:p>
        </w:tc>
        <w:tc>
          <w:tcPr>
            <w:tcW w:w="1417" w:type="dxa"/>
            <w:shd w:val="clear" w:color="auto" w:fill="auto"/>
            <w:noWrap/>
            <w:vAlign w:val="bottom"/>
          </w:tcPr>
          <w:p w14:paraId="5C640D50" w14:textId="2B644E4F" w:rsidR="005232A7" w:rsidRPr="006E1AF7" w:rsidRDefault="00DC2191" w:rsidP="002C509D">
            <w:pPr>
              <w:jc w:val="right"/>
              <w:rPr>
                <w:rFonts w:ascii="Arial" w:hAnsi="Arial" w:cs="Arial"/>
                <w:b/>
                <w:sz w:val="18"/>
              </w:rPr>
            </w:pPr>
            <w:r w:rsidRPr="006E1AF7">
              <w:rPr>
                <w:rFonts w:ascii="Arial" w:hAnsi="Arial" w:cs="Arial"/>
                <w:b/>
                <w:sz w:val="18"/>
              </w:rPr>
              <w:t>88.381.949</w:t>
            </w:r>
          </w:p>
        </w:tc>
        <w:tc>
          <w:tcPr>
            <w:tcW w:w="1418" w:type="dxa"/>
            <w:shd w:val="clear" w:color="auto" w:fill="auto"/>
            <w:noWrap/>
            <w:vAlign w:val="bottom"/>
            <w:hideMark/>
          </w:tcPr>
          <w:p w14:paraId="055F93E0" w14:textId="78FE761C" w:rsidR="005232A7" w:rsidRPr="006E1AF7" w:rsidRDefault="005232A7" w:rsidP="005232A7">
            <w:pPr>
              <w:jc w:val="right"/>
              <w:rPr>
                <w:rFonts w:ascii="Arial" w:hAnsi="Arial" w:cs="Arial"/>
                <w:b/>
                <w:sz w:val="18"/>
              </w:rPr>
            </w:pPr>
            <w:r w:rsidRPr="006E1AF7">
              <w:rPr>
                <w:rFonts w:ascii="Arial" w:hAnsi="Arial" w:cs="Arial"/>
                <w:b/>
                <w:sz w:val="18"/>
              </w:rPr>
              <w:t>77.531.869</w:t>
            </w:r>
          </w:p>
        </w:tc>
      </w:tr>
    </w:tbl>
    <w:p w14:paraId="37A91DDC" w14:textId="77777777" w:rsidR="00AE0907" w:rsidRPr="00AE0907" w:rsidRDefault="00AE0907" w:rsidP="00AE0907">
      <w:pPr>
        <w:jc w:val="both"/>
        <w:rPr>
          <w:rFonts w:ascii="Arial" w:hAnsi="Arial" w:cs="Arial"/>
          <w:sz w:val="20"/>
        </w:rPr>
      </w:pPr>
    </w:p>
    <w:p w14:paraId="6DEB51D8" w14:textId="3519C8FE" w:rsidR="00AE0907" w:rsidRPr="00AE0907" w:rsidRDefault="00AE0907" w:rsidP="00AE0907">
      <w:pPr>
        <w:jc w:val="both"/>
        <w:rPr>
          <w:rFonts w:ascii="Arial" w:hAnsi="Arial" w:cs="Arial"/>
          <w:sz w:val="20"/>
        </w:rPr>
      </w:pPr>
      <w:r w:rsidRPr="00AE0907">
        <w:rPr>
          <w:rFonts w:ascii="Arial" w:hAnsi="Arial" w:cs="Arial"/>
          <w:sz w:val="20"/>
        </w:rPr>
        <w:t xml:space="preserve">Asimismo, al 31 de diciembre de </w:t>
      </w:r>
      <w:r w:rsidR="005232A7">
        <w:rPr>
          <w:rFonts w:ascii="Arial" w:hAnsi="Arial" w:cs="Arial"/>
          <w:sz w:val="20"/>
        </w:rPr>
        <w:t xml:space="preserve">2019 y </w:t>
      </w:r>
      <w:r w:rsidRPr="00AE0907">
        <w:rPr>
          <w:rFonts w:ascii="Arial" w:hAnsi="Arial" w:cs="Arial"/>
          <w:sz w:val="20"/>
        </w:rPr>
        <w:t>2018</w:t>
      </w:r>
      <w:r w:rsidR="005232A7">
        <w:rPr>
          <w:rFonts w:ascii="Arial" w:hAnsi="Arial" w:cs="Arial"/>
          <w:sz w:val="20"/>
        </w:rPr>
        <w:t>,</w:t>
      </w:r>
      <w:r w:rsidRPr="00AE0907">
        <w:rPr>
          <w:rFonts w:ascii="Arial" w:hAnsi="Arial" w:cs="Arial"/>
          <w:sz w:val="20"/>
        </w:rPr>
        <w:t xml:space="preserve"> el Banco mantiene las siguientes responsabilidades eventuales: </w:t>
      </w:r>
    </w:p>
    <w:p w14:paraId="77AFABE6" w14:textId="77777777" w:rsidR="00AE0907" w:rsidRPr="00AE0907" w:rsidRDefault="00AE0907" w:rsidP="00AE0907">
      <w:pPr>
        <w:jc w:val="both"/>
        <w:rPr>
          <w:rFonts w:ascii="Arial" w:hAnsi="Arial" w:cs="Arial"/>
          <w:sz w:val="20"/>
        </w:rPr>
      </w:pPr>
    </w:p>
    <w:tbl>
      <w:tblPr>
        <w:tblW w:w="4448" w:type="pct"/>
        <w:tblInd w:w="401" w:type="dxa"/>
        <w:tblCellMar>
          <w:left w:w="70" w:type="dxa"/>
          <w:right w:w="70" w:type="dxa"/>
        </w:tblCellMar>
        <w:tblLook w:val="00A0" w:firstRow="1" w:lastRow="0" w:firstColumn="1" w:lastColumn="0" w:noHBand="0" w:noVBand="0"/>
      </w:tblPr>
      <w:tblGrid>
        <w:gridCol w:w="4869"/>
        <w:gridCol w:w="1411"/>
        <w:gridCol w:w="1411"/>
      </w:tblGrid>
      <w:tr w:rsidR="005232A7" w:rsidRPr="008B300D" w14:paraId="00242A7C" w14:textId="77777777" w:rsidTr="006E1AF7">
        <w:trPr>
          <w:trHeight w:val="296"/>
        </w:trPr>
        <w:tc>
          <w:tcPr>
            <w:tcW w:w="3165" w:type="pct"/>
            <w:tcBorders>
              <w:top w:val="single" w:sz="6" w:space="0" w:color="000000"/>
              <w:left w:val="single" w:sz="6" w:space="0" w:color="000000"/>
              <w:bottom w:val="single" w:sz="6" w:space="0" w:color="000000"/>
              <w:right w:val="single" w:sz="6" w:space="0" w:color="000000"/>
            </w:tcBorders>
            <w:vAlign w:val="bottom"/>
            <w:hideMark/>
          </w:tcPr>
          <w:p w14:paraId="29628E11" w14:textId="77777777" w:rsidR="005232A7" w:rsidRPr="006E1AF7" w:rsidRDefault="005232A7" w:rsidP="00AE0907">
            <w:pPr>
              <w:jc w:val="both"/>
              <w:rPr>
                <w:rFonts w:ascii="Arial" w:hAnsi="Arial" w:cs="Arial"/>
                <w:sz w:val="18"/>
              </w:rPr>
            </w:pPr>
            <w:r w:rsidRPr="006E1AF7">
              <w:rPr>
                <w:rFonts w:ascii="Arial" w:hAnsi="Arial" w:cs="Arial"/>
                <w:sz w:val="18"/>
              </w:rPr>
              <w:t xml:space="preserve"> </w:t>
            </w:r>
          </w:p>
        </w:tc>
        <w:tc>
          <w:tcPr>
            <w:tcW w:w="917" w:type="pct"/>
            <w:tcBorders>
              <w:top w:val="single" w:sz="6" w:space="0" w:color="000000"/>
              <w:left w:val="single" w:sz="6" w:space="0" w:color="000000"/>
              <w:bottom w:val="single" w:sz="6" w:space="0" w:color="000000"/>
              <w:right w:val="single" w:sz="6" w:space="0" w:color="000000"/>
            </w:tcBorders>
            <w:vAlign w:val="center"/>
            <w:hideMark/>
          </w:tcPr>
          <w:p w14:paraId="44F0F13A" w14:textId="4027DC46" w:rsidR="005232A7" w:rsidRPr="006E1AF7" w:rsidRDefault="005232A7" w:rsidP="005232A7">
            <w:pPr>
              <w:jc w:val="center"/>
              <w:rPr>
                <w:rFonts w:ascii="Arial" w:hAnsi="Arial" w:cs="Arial"/>
                <w:b/>
                <w:sz w:val="18"/>
              </w:rPr>
            </w:pPr>
            <w:r w:rsidRPr="006E1AF7">
              <w:rPr>
                <w:rFonts w:ascii="Arial" w:hAnsi="Arial" w:cs="Arial"/>
                <w:b/>
                <w:sz w:val="18"/>
              </w:rPr>
              <w:t>31/12/2019</w:t>
            </w:r>
          </w:p>
        </w:tc>
        <w:tc>
          <w:tcPr>
            <w:tcW w:w="917" w:type="pct"/>
            <w:tcBorders>
              <w:top w:val="single" w:sz="6" w:space="0" w:color="000000"/>
              <w:left w:val="single" w:sz="6" w:space="0" w:color="000000"/>
              <w:bottom w:val="single" w:sz="6" w:space="0" w:color="000000"/>
              <w:right w:val="single" w:sz="6" w:space="0" w:color="000000"/>
            </w:tcBorders>
            <w:vAlign w:val="center"/>
            <w:hideMark/>
          </w:tcPr>
          <w:p w14:paraId="6A6309BF" w14:textId="5BA7DAEF" w:rsidR="005232A7" w:rsidRPr="006E1AF7" w:rsidRDefault="005232A7" w:rsidP="005232A7">
            <w:pPr>
              <w:jc w:val="center"/>
              <w:rPr>
                <w:rFonts w:ascii="Arial" w:hAnsi="Arial" w:cs="Arial"/>
                <w:b/>
                <w:sz w:val="18"/>
              </w:rPr>
            </w:pPr>
            <w:r w:rsidRPr="006E1AF7">
              <w:rPr>
                <w:rFonts w:ascii="Arial" w:hAnsi="Arial" w:cs="Arial"/>
                <w:b/>
                <w:sz w:val="18"/>
              </w:rPr>
              <w:t>31/12/2018</w:t>
            </w:r>
          </w:p>
        </w:tc>
      </w:tr>
      <w:tr w:rsidR="0034407C" w:rsidRPr="008B300D" w14:paraId="2382D927" w14:textId="77777777" w:rsidTr="006E1AF7">
        <w:trPr>
          <w:trHeight w:val="296"/>
        </w:trPr>
        <w:tc>
          <w:tcPr>
            <w:tcW w:w="3165" w:type="pct"/>
            <w:tcBorders>
              <w:top w:val="single" w:sz="6" w:space="0" w:color="000000"/>
              <w:left w:val="single" w:sz="6" w:space="0" w:color="000000"/>
              <w:bottom w:val="single" w:sz="6" w:space="0" w:color="000000"/>
              <w:right w:val="single" w:sz="6" w:space="0" w:color="000000"/>
            </w:tcBorders>
            <w:vAlign w:val="bottom"/>
            <w:hideMark/>
          </w:tcPr>
          <w:p w14:paraId="067E84D5" w14:textId="77777777" w:rsidR="0034407C" w:rsidRPr="006E1AF7" w:rsidRDefault="0034407C" w:rsidP="0034407C">
            <w:pPr>
              <w:jc w:val="both"/>
              <w:rPr>
                <w:rFonts w:ascii="Arial" w:hAnsi="Arial" w:cs="Arial"/>
                <w:sz w:val="18"/>
              </w:rPr>
            </w:pPr>
            <w:r w:rsidRPr="006E1AF7">
              <w:rPr>
                <w:rFonts w:ascii="Arial" w:hAnsi="Arial" w:cs="Arial"/>
                <w:sz w:val="18"/>
              </w:rPr>
              <w:t>Otras garantias otorgadas</w:t>
            </w:r>
          </w:p>
        </w:tc>
        <w:tc>
          <w:tcPr>
            <w:tcW w:w="917" w:type="pct"/>
            <w:tcBorders>
              <w:top w:val="single" w:sz="6" w:space="0" w:color="000000"/>
              <w:left w:val="single" w:sz="6" w:space="0" w:color="000000"/>
              <w:bottom w:val="single" w:sz="6" w:space="0" w:color="000000"/>
              <w:right w:val="single" w:sz="6" w:space="0" w:color="000000"/>
            </w:tcBorders>
            <w:vAlign w:val="bottom"/>
          </w:tcPr>
          <w:p w14:paraId="3EBA922F" w14:textId="19B3B3B6" w:rsidR="0034407C" w:rsidRPr="006E1AF7" w:rsidRDefault="0034407C" w:rsidP="002C509D">
            <w:pPr>
              <w:jc w:val="right"/>
              <w:rPr>
                <w:rFonts w:ascii="Arial" w:hAnsi="Arial" w:cs="Arial"/>
                <w:sz w:val="18"/>
              </w:rPr>
            </w:pPr>
            <w:r w:rsidRPr="006E1AF7">
              <w:rPr>
                <w:rFonts w:ascii="Arial" w:hAnsi="Arial" w:cs="Arial"/>
                <w:color w:val="000000"/>
                <w:sz w:val="18"/>
              </w:rPr>
              <w:t>565.960</w:t>
            </w:r>
          </w:p>
        </w:tc>
        <w:tc>
          <w:tcPr>
            <w:tcW w:w="917" w:type="pct"/>
            <w:tcBorders>
              <w:top w:val="single" w:sz="6" w:space="0" w:color="000000"/>
              <w:left w:val="single" w:sz="6" w:space="0" w:color="000000"/>
              <w:bottom w:val="single" w:sz="6" w:space="0" w:color="000000"/>
              <w:right w:val="single" w:sz="6" w:space="0" w:color="000000"/>
            </w:tcBorders>
            <w:vAlign w:val="bottom"/>
          </w:tcPr>
          <w:p w14:paraId="1686DCC5" w14:textId="6866FB4D" w:rsidR="0034407C" w:rsidRPr="006E1AF7" w:rsidRDefault="0034407C" w:rsidP="0034407C">
            <w:pPr>
              <w:jc w:val="right"/>
              <w:rPr>
                <w:rFonts w:ascii="Arial" w:hAnsi="Arial" w:cs="Arial"/>
                <w:sz w:val="18"/>
              </w:rPr>
            </w:pPr>
            <w:r w:rsidRPr="006E1AF7">
              <w:rPr>
                <w:rFonts w:ascii="Arial" w:hAnsi="Arial" w:cs="Arial"/>
                <w:sz w:val="18"/>
              </w:rPr>
              <w:t>719.369</w:t>
            </w:r>
          </w:p>
        </w:tc>
      </w:tr>
      <w:tr w:rsidR="0034407C" w:rsidRPr="008B300D" w14:paraId="30B0A8DB" w14:textId="77777777" w:rsidTr="006E1AF7">
        <w:trPr>
          <w:trHeight w:val="296"/>
        </w:trPr>
        <w:tc>
          <w:tcPr>
            <w:tcW w:w="3165" w:type="pct"/>
            <w:tcBorders>
              <w:top w:val="single" w:sz="6" w:space="0" w:color="000000"/>
              <w:left w:val="single" w:sz="6" w:space="0" w:color="000000"/>
              <w:bottom w:val="single" w:sz="6" w:space="0" w:color="000000"/>
              <w:right w:val="single" w:sz="6" w:space="0" w:color="000000"/>
            </w:tcBorders>
            <w:vAlign w:val="bottom"/>
          </w:tcPr>
          <w:p w14:paraId="6DD16463" w14:textId="77777777" w:rsidR="0034407C" w:rsidRPr="006E1AF7" w:rsidRDefault="0034407C" w:rsidP="0034407C">
            <w:pPr>
              <w:jc w:val="both"/>
              <w:rPr>
                <w:rFonts w:ascii="Arial" w:hAnsi="Arial" w:cs="Arial"/>
                <w:sz w:val="18"/>
              </w:rPr>
            </w:pPr>
            <w:r w:rsidRPr="006E1AF7">
              <w:rPr>
                <w:rFonts w:ascii="Arial" w:hAnsi="Arial" w:cs="Arial"/>
                <w:sz w:val="18"/>
              </w:rPr>
              <w:t>Responsabilidades por operaciones de comercio exterior</w:t>
            </w:r>
          </w:p>
        </w:tc>
        <w:tc>
          <w:tcPr>
            <w:tcW w:w="917" w:type="pct"/>
            <w:tcBorders>
              <w:top w:val="single" w:sz="6" w:space="0" w:color="000000"/>
              <w:left w:val="single" w:sz="6" w:space="0" w:color="000000"/>
              <w:bottom w:val="single" w:sz="6" w:space="0" w:color="000000"/>
              <w:right w:val="single" w:sz="6" w:space="0" w:color="000000"/>
            </w:tcBorders>
            <w:vAlign w:val="bottom"/>
          </w:tcPr>
          <w:p w14:paraId="15052526" w14:textId="1E021893" w:rsidR="0034407C" w:rsidRPr="006E1AF7" w:rsidRDefault="0034407C" w:rsidP="002C509D">
            <w:pPr>
              <w:jc w:val="right"/>
              <w:rPr>
                <w:rFonts w:ascii="Arial" w:hAnsi="Arial" w:cs="Arial"/>
                <w:sz w:val="18"/>
              </w:rPr>
            </w:pPr>
            <w:r w:rsidRPr="006E1AF7">
              <w:rPr>
                <w:rFonts w:ascii="Arial" w:hAnsi="Arial" w:cs="Arial"/>
                <w:color w:val="000000"/>
                <w:sz w:val="18"/>
              </w:rPr>
              <w:t>207.906</w:t>
            </w:r>
          </w:p>
        </w:tc>
        <w:tc>
          <w:tcPr>
            <w:tcW w:w="917" w:type="pct"/>
            <w:tcBorders>
              <w:top w:val="single" w:sz="6" w:space="0" w:color="000000"/>
              <w:left w:val="single" w:sz="6" w:space="0" w:color="000000"/>
              <w:bottom w:val="single" w:sz="6" w:space="0" w:color="000000"/>
              <w:right w:val="single" w:sz="6" w:space="0" w:color="000000"/>
            </w:tcBorders>
            <w:vAlign w:val="bottom"/>
          </w:tcPr>
          <w:p w14:paraId="016EEDF6" w14:textId="5928AD1C" w:rsidR="0034407C" w:rsidRPr="006E1AF7" w:rsidRDefault="0034407C" w:rsidP="0034407C">
            <w:pPr>
              <w:jc w:val="right"/>
              <w:rPr>
                <w:rFonts w:ascii="Arial" w:hAnsi="Arial" w:cs="Arial"/>
                <w:sz w:val="18"/>
              </w:rPr>
            </w:pPr>
            <w:r w:rsidRPr="006E1AF7">
              <w:rPr>
                <w:rFonts w:ascii="Arial" w:hAnsi="Arial" w:cs="Arial"/>
                <w:sz w:val="18"/>
              </w:rPr>
              <w:t>31.138</w:t>
            </w:r>
          </w:p>
        </w:tc>
      </w:tr>
      <w:tr w:rsidR="0034407C" w:rsidRPr="008B300D" w14:paraId="78F12037" w14:textId="77777777" w:rsidTr="006E1AF7">
        <w:trPr>
          <w:trHeight w:val="296"/>
        </w:trPr>
        <w:tc>
          <w:tcPr>
            <w:tcW w:w="3165" w:type="pct"/>
            <w:tcBorders>
              <w:top w:val="single" w:sz="6" w:space="0" w:color="000000"/>
              <w:left w:val="single" w:sz="6" w:space="0" w:color="000000"/>
              <w:bottom w:val="single" w:sz="6" w:space="0" w:color="000000"/>
              <w:right w:val="single" w:sz="6" w:space="0" w:color="000000"/>
            </w:tcBorders>
            <w:vAlign w:val="bottom"/>
            <w:hideMark/>
          </w:tcPr>
          <w:p w14:paraId="044AB696" w14:textId="77777777" w:rsidR="0034407C" w:rsidRPr="006E1AF7" w:rsidRDefault="0034407C" w:rsidP="0034407C">
            <w:pPr>
              <w:jc w:val="both"/>
              <w:rPr>
                <w:rFonts w:ascii="Arial" w:hAnsi="Arial" w:cs="Arial"/>
                <w:sz w:val="18"/>
              </w:rPr>
            </w:pPr>
            <w:r w:rsidRPr="006E1AF7">
              <w:rPr>
                <w:rFonts w:ascii="Arial" w:hAnsi="Arial" w:cs="Arial"/>
                <w:sz w:val="18"/>
              </w:rPr>
              <w:t>Créditos documentarios</w:t>
            </w:r>
          </w:p>
        </w:tc>
        <w:tc>
          <w:tcPr>
            <w:tcW w:w="917" w:type="pct"/>
            <w:tcBorders>
              <w:top w:val="single" w:sz="6" w:space="0" w:color="000000"/>
              <w:left w:val="single" w:sz="6" w:space="0" w:color="000000"/>
              <w:bottom w:val="single" w:sz="6" w:space="0" w:color="000000"/>
              <w:right w:val="single" w:sz="6" w:space="0" w:color="000000"/>
            </w:tcBorders>
            <w:vAlign w:val="bottom"/>
          </w:tcPr>
          <w:p w14:paraId="414B4C3B" w14:textId="51756F81" w:rsidR="0034407C" w:rsidRPr="006E1AF7" w:rsidRDefault="0034407C" w:rsidP="002C509D">
            <w:pPr>
              <w:jc w:val="right"/>
              <w:rPr>
                <w:rFonts w:ascii="Arial" w:hAnsi="Arial" w:cs="Arial"/>
                <w:sz w:val="18"/>
              </w:rPr>
            </w:pPr>
            <w:r w:rsidRPr="006E1AF7">
              <w:rPr>
                <w:rFonts w:ascii="Arial" w:hAnsi="Arial" w:cs="Arial"/>
                <w:color w:val="000000"/>
                <w:sz w:val="18"/>
              </w:rPr>
              <w:t>119.096</w:t>
            </w:r>
          </w:p>
        </w:tc>
        <w:tc>
          <w:tcPr>
            <w:tcW w:w="917" w:type="pct"/>
            <w:tcBorders>
              <w:top w:val="single" w:sz="6" w:space="0" w:color="000000"/>
              <w:left w:val="single" w:sz="6" w:space="0" w:color="000000"/>
              <w:bottom w:val="single" w:sz="6" w:space="0" w:color="000000"/>
              <w:right w:val="single" w:sz="6" w:space="0" w:color="000000"/>
            </w:tcBorders>
            <w:vAlign w:val="bottom"/>
          </w:tcPr>
          <w:p w14:paraId="00B84A51" w14:textId="1558E2A0" w:rsidR="0034407C" w:rsidRPr="006E1AF7" w:rsidRDefault="0034407C" w:rsidP="0034407C">
            <w:pPr>
              <w:jc w:val="right"/>
              <w:rPr>
                <w:rFonts w:ascii="Arial" w:hAnsi="Arial" w:cs="Arial"/>
                <w:sz w:val="18"/>
              </w:rPr>
            </w:pPr>
            <w:r w:rsidRPr="006E1AF7">
              <w:rPr>
                <w:rFonts w:ascii="Arial" w:hAnsi="Arial" w:cs="Arial"/>
                <w:sz w:val="18"/>
              </w:rPr>
              <w:t>63.514</w:t>
            </w:r>
          </w:p>
        </w:tc>
      </w:tr>
      <w:tr w:rsidR="005232A7" w:rsidRPr="008B300D" w14:paraId="08E45703" w14:textId="77777777" w:rsidTr="006E1AF7">
        <w:trPr>
          <w:trHeight w:val="176"/>
        </w:trPr>
        <w:tc>
          <w:tcPr>
            <w:tcW w:w="3165" w:type="pct"/>
            <w:tcBorders>
              <w:top w:val="single" w:sz="6" w:space="0" w:color="000000"/>
              <w:left w:val="single" w:sz="6" w:space="0" w:color="000000"/>
              <w:bottom w:val="single" w:sz="6" w:space="0" w:color="000000"/>
              <w:right w:val="single" w:sz="6" w:space="0" w:color="000000"/>
            </w:tcBorders>
            <w:vAlign w:val="bottom"/>
            <w:hideMark/>
          </w:tcPr>
          <w:p w14:paraId="556DE47A" w14:textId="77777777" w:rsidR="005232A7" w:rsidRPr="006E1AF7" w:rsidRDefault="005232A7" w:rsidP="005232A7">
            <w:pPr>
              <w:jc w:val="both"/>
              <w:rPr>
                <w:rFonts w:ascii="Arial" w:hAnsi="Arial" w:cs="Arial"/>
                <w:b/>
                <w:sz w:val="18"/>
              </w:rPr>
            </w:pPr>
            <w:r w:rsidRPr="006E1AF7">
              <w:rPr>
                <w:rFonts w:ascii="Arial" w:hAnsi="Arial" w:cs="Arial"/>
                <w:b/>
                <w:sz w:val="18"/>
              </w:rPr>
              <w:t xml:space="preserve">Total </w:t>
            </w:r>
          </w:p>
        </w:tc>
        <w:tc>
          <w:tcPr>
            <w:tcW w:w="917" w:type="pct"/>
            <w:tcBorders>
              <w:top w:val="single" w:sz="6" w:space="0" w:color="000000"/>
              <w:left w:val="single" w:sz="6" w:space="0" w:color="000000"/>
              <w:bottom w:val="single" w:sz="6" w:space="0" w:color="000000"/>
              <w:right w:val="single" w:sz="6" w:space="0" w:color="000000"/>
            </w:tcBorders>
            <w:vAlign w:val="bottom"/>
          </w:tcPr>
          <w:p w14:paraId="73E2F7F4" w14:textId="690A333F" w:rsidR="005232A7" w:rsidRPr="006E1AF7" w:rsidRDefault="0034407C" w:rsidP="002C509D">
            <w:pPr>
              <w:jc w:val="right"/>
              <w:rPr>
                <w:rFonts w:ascii="Arial" w:hAnsi="Arial" w:cs="Arial"/>
                <w:b/>
                <w:bCs/>
                <w:color w:val="000000"/>
                <w:sz w:val="18"/>
                <w:lang w:eastAsia="es-AR"/>
              </w:rPr>
            </w:pPr>
            <w:r w:rsidRPr="006E1AF7">
              <w:rPr>
                <w:rFonts w:ascii="Arial" w:hAnsi="Arial" w:cs="Arial"/>
                <w:b/>
                <w:bCs/>
                <w:color w:val="000000"/>
                <w:sz w:val="18"/>
              </w:rPr>
              <w:t>892.962</w:t>
            </w:r>
          </w:p>
        </w:tc>
        <w:tc>
          <w:tcPr>
            <w:tcW w:w="917" w:type="pct"/>
            <w:tcBorders>
              <w:top w:val="single" w:sz="6" w:space="0" w:color="000000"/>
              <w:left w:val="single" w:sz="6" w:space="0" w:color="000000"/>
              <w:bottom w:val="single" w:sz="6" w:space="0" w:color="000000"/>
              <w:right w:val="single" w:sz="6" w:space="0" w:color="000000"/>
            </w:tcBorders>
            <w:vAlign w:val="bottom"/>
          </w:tcPr>
          <w:p w14:paraId="654F5176" w14:textId="694C6AAA" w:rsidR="005232A7" w:rsidRPr="006E1AF7" w:rsidRDefault="005232A7" w:rsidP="005232A7">
            <w:pPr>
              <w:jc w:val="right"/>
              <w:rPr>
                <w:rFonts w:ascii="Arial" w:hAnsi="Arial" w:cs="Arial"/>
                <w:b/>
                <w:sz w:val="18"/>
              </w:rPr>
            </w:pPr>
            <w:r w:rsidRPr="006E1AF7">
              <w:rPr>
                <w:rFonts w:ascii="Arial" w:hAnsi="Arial" w:cs="Arial"/>
                <w:b/>
                <w:sz w:val="18"/>
              </w:rPr>
              <w:t>814.021</w:t>
            </w:r>
          </w:p>
        </w:tc>
      </w:tr>
    </w:tbl>
    <w:p w14:paraId="3AEAC9CF" w14:textId="77777777" w:rsidR="00AE0907" w:rsidRPr="006E1AF7" w:rsidRDefault="00AE0907" w:rsidP="00AE0907">
      <w:pPr>
        <w:jc w:val="both"/>
        <w:rPr>
          <w:rFonts w:ascii="Arial" w:hAnsi="Arial" w:cs="Arial"/>
          <w:sz w:val="18"/>
        </w:rPr>
      </w:pPr>
    </w:p>
    <w:p w14:paraId="5C4CDB1F" w14:textId="59EAF29E" w:rsidR="00AE0907" w:rsidRDefault="00AE0907" w:rsidP="00AE0907">
      <w:pPr>
        <w:jc w:val="both"/>
        <w:rPr>
          <w:rFonts w:ascii="Arial" w:hAnsi="Arial" w:cs="Arial"/>
          <w:sz w:val="20"/>
        </w:rPr>
      </w:pPr>
      <w:r w:rsidRPr="00AE0907">
        <w:rPr>
          <w:rFonts w:ascii="Arial" w:hAnsi="Arial" w:cs="Arial"/>
          <w:sz w:val="20"/>
        </w:rPr>
        <w:t xml:space="preserve">Por otra parte, al 31 de diciembre de </w:t>
      </w:r>
      <w:r w:rsidR="005232A7">
        <w:rPr>
          <w:rFonts w:ascii="Arial" w:hAnsi="Arial" w:cs="Arial"/>
          <w:sz w:val="20"/>
        </w:rPr>
        <w:t xml:space="preserve">2019 y </w:t>
      </w:r>
      <w:r w:rsidRPr="00AE0907">
        <w:rPr>
          <w:rFonts w:ascii="Arial" w:hAnsi="Arial" w:cs="Arial"/>
          <w:sz w:val="20"/>
        </w:rPr>
        <w:t>2018, el Banco posee los siguientes colaterales sobre los préstamos y otras financiaciones otorgadas:</w:t>
      </w:r>
    </w:p>
    <w:p w14:paraId="6B6F742D" w14:textId="77777777" w:rsidR="005232A7" w:rsidRPr="00AE0907" w:rsidRDefault="005232A7" w:rsidP="00AE0907">
      <w:pPr>
        <w:jc w:val="both"/>
        <w:rPr>
          <w:rFonts w:ascii="Arial" w:hAnsi="Arial" w:cs="Arial"/>
          <w:sz w:val="20"/>
        </w:rPr>
      </w:pPr>
    </w:p>
    <w:tbl>
      <w:tblPr>
        <w:tblW w:w="4433" w:type="pct"/>
        <w:tblInd w:w="439" w:type="dxa"/>
        <w:tblCellMar>
          <w:left w:w="70" w:type="dxa"/>
          <w:right w:w="70" w:type="dxa"/>
        </w:tblCellMar>
        <w:tblLook w:val="00A0" w:firstRow="1" w:lastRow="0" w:firstColumn="1" w:lastColumn="0" w:noHBand="0" w:noVBand="0"/>
      </w:tblPr>
      <w:tblGrid>
        <w:gridCol w:w="4535"/>
        <w:gridCol w:w="1646"/>
        <w:gridCol w:w="1484"/>
      </w:tblGrid>
      <w:tr w:rsidR="005232A7" w:rsidRPr="005232A7" w14:paraId="29455066" w14:textId="77777777" w:rsidTr="006E1AF7">
        <w:trPr>
          <w:trHeight w:val="250"/>
        </w:trPr>
        <w:tc>
          <w:tcPr>
            <w:tcW w:w="2958" w:type="pct"/>
            <w:tcBorders>
              <w:top w:val="single" w:sz="6" w:space="0" w:color="000000"/>
              <w:left w:val="single" w:sz="6" w:space="0" w:color="000000"/>
              <w:bottom w:val="single" w:sz="6" w:space="0" w:color="000000"/>
              <w:right w:val="single" w:sz="6" w:space="0" w:color="000000"/>
            </w:tcBorders>
            <w:vAlign w:val="bottom"/>
            <w:hideMark/>
          </w:tcPr>
          <w:p w14:paraId="0B7F14B3" w14:textId="256A7968" w:rsidR="005232A7" w:rsidRPr="006E1AF7" w:rsidRDefault="005232A7" w:rsidP="005232A7">
            <w:pPr>
              <w:jc w:val="center"/>
              <w:rPr>
                <w:rFonts w:ascii="Arial" w:hAnsi="Arial" w:cs="Arial"/>
                <w:b/>
                <w:sz w:val="18"/>
                <w:highlight w:val="yellow"/>
              </w:rPr>
            </w:pPr>
          </w:p>
        </w:tc>
        <w:tc>
          <w:tcPr>
            <w:tcW w:w="1074" w:type="pct"/>
            <w:tcBorders>
              <w:top w:val="single" w:sz="6" w:space="0" w:color="000000"/>
              <w:left w:val="single" w:sz="6" w:space="0" w:color="000000"/>
              <w:bottom w:val="single" w:sz="6" w:space="0" w:color="000000"/>
              <w:right w:val="single" w:sz="6" w:space="0" w:color="000000"/>
            </w:tcBorders>
            <w:vAlign w:val="center"/>
            <w:hideMark/>
          </w:tcPr>
          <w:p w14:paraId="2549C1BD" w14:textId="50660B55" w:rsidR="005232A7" w:rsidRPr="006E1AF7" w:rsidRDefault="005232A7" w:rsidP="005232A7">
            <w:pPr>
              <w:jc w:val="center"/>
              <w:rPr>
                <w:rFonts w:ascii="Arial" w:hAnsi="Arial" w:cs="Arial"/>
                <w:b/>
                <w:sz w:val="18"/>
              </w:rPr>
            </w:pPr>
            <w:r w:rsidRPr="006E1AF7">
              <w:rPr>
                <w:rFonts w:ascii="Arial" w:hAnsi="Arial" w:cs="Arial"/>
                <w:b/>
                <w:sz w:val="18"/>
              </w:rPr>
              <w:t>31/12/2019</w:t>
            </w:r>
          </w:p>
        </w:tc>
        <w:tc>
          <w:tcPr>
            <w:tcW w:w="968" w:type="pct"/>
            <w:tcBorders>
              <w:top w:val="single" w:sz="6" w:space="0" w:color="000000"/>
              <w:left w:val="single" w:sz="6" w:space="0" w:color="000000"/>
              <w:bottom w:val="single" w:sz="6" w:space="0" w:color="000000"/>
              <w:right w:val="single" w:sz="6" w:space="0" w:color="000000"/>
            </w:tcBorders>
            <w:vAlign w:val="center"/>
            <w:hideMark/>
          </w:tcPr>
          <w:p w14:paraId="199A37AB" w14:textId="6D7F94D9" w:rsidR="005232A7" w:rsidRPr="006E1AF7" w:rsidRDefault="005232A7" w:rsidP="005232A7">
            <w:pPr>
              <w:jc w:val="center"/>
              <w:rPr>
                <w:rFonts w:ascii="Arial" w:hAnsi="Arial" w:cs="Arial"/>
                <w:b/>
                <w:sz w:val="18"/>
              </w:rPr>
            </w:pPr>
            <w:r w:rsidRPr="006E1AF7">
              <w:rPr>
                <w:rFonts w:ascii="Arial" w:hAnsi="Arial" w:cs="Arial"/>
                <w:b/>
                <w:sz w:val="18"/>
              </w:rPr>
              <w:t>31/12/2018</w:t>
            </w:r>
          </w:p>
        </w:tc>
      </w:tr>
      <w:tr w:rsidR="005232A7" w:rsidRPr="00AE0907" w14:paraId="07B3F136" w14:textId="77777777" w:rsidTr="006E1AF7">
        <w:trPr>
          <w:trHeight w:val="227"/>
        </w:trPr>
        <w:tc>
          <w:tcPr>
            <w:tcW w:w="2958" w:type="pct"/>
            <w:tcBorders>
              <w:top w:val="single" w:sz="6" w:space="0" w:color="000000"/>
              <w:left w:val="single" w:sz="6" w:space="0" w:color="000000"/>
              <w:bottom w:val="single" w:sz="6" w:space="0" w:color="000000"/>
              <w:right w:val="single" w:sz="6" w:space="0" w:color="000000"/>
            </w:tcBorders>
            <w:vAlign w:val="bottom"/>
            <w:hideMark/>
          </w:tcPr>
          <w:p w14:paraId="632A1AD7" w14:textId="77777777" w:rsidR="005232A7" w:rsidRPr="006E1AF7" w:rsidRDefault="005232A7" w:rsidP="005232A7">
            <w:pPr>
              <w:jc w:val="both"/>
              <w:rPr>
                <w:rFonts w:ascii="Arial" w:hAnsi="Arial" w:cs="Arial"/>
                <w:sz w:val="18"/>
              </w:rPr>
            </w:pPr>
            <w:r w:rsidRPr="006E1AF7">
              <w:rPr>
                <w:rFonts w:ascii="Arial" w:hAnsi="Arial" w:cs="Arial"/>
                <w:sz w:val="18"/>
              </w:rPr>
              <w:t>Garantías recibidas</w:t>
            </w:r>
          </w:p>
        </w:tc>
        <w:tc>
          <w:tcPr>
            <w:tcW w:w="1074" w:type="pct"/>
            <w:tcBorders>
              <w:top w:val="single" w:sz="6" w:space="0" w:color="000000"/>
              <w:left w:val="single" w:sz="6" w:space="0" w:color="000000"/>
              <w:bottom w:val="single" w:sz="6" w:space="0" w:color="000000"/>
              <w:right w:val="single" w:sz="6" w:space="0" w:color="000000"/>
            </w:tcBorders>
            <w:vAlign w:val="bottom"/>
          </w:tcPr>
          <w:p w14:paraId="61549660" w14:textId="5087FD01" w:rsidR="005232A7" w:rsidRPr="006E1AF7" w:rsidRDefault="0034407C" w:rsidP="0034407C">
            <w:pPr>
              <w:jc w:val="right"/>
              <w:rPr>
                <w:rFonts w:ascii="Arial" w:hAnsi="Arial" w:cs="Arial"/>
                <w:color w:val="000000"/>
                <w:sz w:val="18"/>
                <w:lang w:eastAsia="es-AR"/>
              </w:rPr>
            </w:pPr>
            <w:r w:rsidRPr="006E1AF7">
              <w:rPr>
                <w:rFonts w:ascii="Arial" w:hAnsi="Arial" w:cs="Arial"/>
                <w:color w:val="000000"/>
                <w:sz w:val="18"/>
              </w:rPr>
              <w:t xml:space="preserve">32.747.275 </w:t>
            </w:r>
          </w:p>
        </w:tc>
        <w:tc>
          <w:tcPr>
            <w:tcW w:w="968" w:type="pct"/>
            <w:tcBorders>
              <w:top w:val="single" w:sz="6" w:space="0" w:color="000000"/>
              <w:left w:val="single" w:sz="6" w:space="0" w:color="000000"/>
              <w:bottom w:val="single" w:sz="6" w:space="0" w:color="000000"/>
              <w:right w:val="single" w:sz="6" w:space="0" w:color="000000"/>
            </w:tcBorders>
            <w:vAlign w:val="bottom"/>
          </w:tcPr>
          <w:p w14:paraId="0519CCC7" w14:textId="29323088" w:rsidR="005232A7" w:rsidRPr="006E1AF7" w:rsidRDefault="005232A7" w:rsidP="005232A7">
            <w:pPr>
              <w:jc w:val="right"/>
              <w:rPr>
                <w:rFonts w:ascii="Arial" w:hAnsi="Arial" w:cs="Arial"/>
                <w:sz w:val="18"/>
              </w:rPr>
            </w:pPr>
            <w:r w:rsidRPr="006E1AF7">
              <w:rPr>
                <w:rFonts w:ascii="Arial" w:hAnsi="Arial" w:cs="Arial"/>
                <w:sz w:val="18"/>
              </w:rPr>
              <w:t>30.393.260</w:t>
            </w:r>
          </w:p>
        </w:tc>
      </w:tr>
    </w:tbl>
    <w:p w14:paraId="1D395A0B" w14:textId="77777777" w:rsidR="00AE0907" w:rsidRPr="00AE0907" w:rsidRDefault="00AE0907" w:rsidP="00AE0907">
      <w:pPr>
        <w:jc w:val="both"/>
        <w:rPr>
          <w:rFonts w:ascii="Arial" w:hAnsi="Arial" w:cs="Arial"/>
          <w:sz w:val="20"/>
        </w:rPr>
      </w:pPr>
    </w:p>
    <w:p w14:paraId="3C401F07" w14:textId="62A22AC6"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w:t>
      </w:r>
      <w:r w:rsidR="008F1163">
        <w:rPr>
          <w:rFonts w:ascii="Arial" w:hAnsi="Arial" w:cs="Arial"/>
          <w:sz w:val="20"/>
        </w:rPr>
        <w:t>5</w:t>
      </w:r>
      <w:r w:rsidR="00AE0907" w:rsidRPr="00AE0907">
        <w:rPr>
          <w:rFonts w:ascii="Arial" w:hAnsi="Arial" w:cs="Arial"/>
          <w:sz w:val="20"/>
        </w:rPr>
        <w:t xml:space="preserve"> Otros títulos de deuda</w:t>
      </w:r>
    </w:p>
    <w:p w14:paraId="02F330E1" w14:textId="77777777" w:rsidR="00AE0907" w:rsidRPr="00AE0907" w:rsidRDefault="00AE0907" w:rsidP="00AE0907">
      <w:pPr>
        <w:jc w:val="both"/>
        <w:rPr>
          <w:rFonts w:ascii="Arial" w:hAnsi="Arial" w:cs="Arial"/>
          <w:sz w:val="20"/>
        </w:rPr>
      </w:pPr>
    </w:p>
    <w:p w14:paraId="46A6D957" w14:textId="4CB1DE32" w:rsidR="00AE0907" w:rsidRDefault="00AE0907" w:rsidP="00AE0907">
      <w:pPr>
        <w:jc w:val="both"/>
        <w:rPr>
          <w:rFonts w:ascii="Arial" w:eastAsiaTheme="minorHAnsi" w:hAnsi="Arial" w:cs="Arial"/>
          <w:sz w:val="20"/>
        </w:rPr>
      </w:pPr>
      <w:r w:rsidRPr="00AE0907">
        <w:rPr>
          <w:rFonts w:ascii="Arial" w:eastAsiaTheme="minorHAnsi" w:hAnsi="Arial" w:cs="Arial"/>
          <w:sz w:val="20"/>
        </w:rPr>
        <w:t>Los principales componentes del rubro otros títulos de deuda al 31 de diciembre 201</w:t>
      </w:r>
      <w:r w:rsidR="00E33D8E">
        <w:rPr>
          <w:rFonts w:ascii="Arial" w:eastAsiaTheme="minorHAnsi" w:hAnsi="Arial" w:cs="Arial"/>
          <w:sz w:val="20"/>
        </w:rPr>
        <w:t>9</w:t>
      </w:r>
      <w:r w:rsidRPr="00AE0907">
        <w:rPr>
          <w:rFonts w:ascii="Arial" w:eastAsiaTheme="minorHAnsi" w:hAnsi="Arial" w:cs="Arial"/>
          <w:sz w:val="20"/>
        </w:rPr>
        <w:t xml:space="preserve"> y 201</w:t>
      </w:r>
      <w:r w:rsidR="00E33D8E">
        <w:rPr>
          <w:rFonts w:ascii="Arial" w:eastAsiaTheme="minorHAnsi" w:hAnsi="Arial" w:cs="Arial"/>
          <w:sz w:val="20"/>
        </w:rPr>
        <w:t xml:space="preserve">8 </w:t>
      </w:r>
      <w:r w:rsidRPr="00AE0907">
        <w:rPr>
          <w:rFonts w:ascii="Arial" w:eastAsiaTheme="minorHAnsi" w:hAnsi="Arial" w:cs="Arial"/>
          <w:sz w:val="20"/>
        </w:rPr>
        <w:t>son los siguientes:</w:t>
      </w:r>
    </w:p>
    <w:p w14:paraId="619DF52B" w14:textId="77777777" w:rsidR="005232A7" w:rsidRPr="00AE0907" w:rsidRDefault="005232A7" w:rsidP="00AE0907">
      <w:pPr>
        <w:jc w:val="both"/>
        <w:rPr>
          <w:rFonts w:ascii="Arial" w:eastAsiaTheme="minorHAnsi" w:hAnsi="Arial" w:cs="Arial"/>
          <w:sz w:val="20"/>
        </w:rPr>
      </w:pPr>
    </w:p>
    <w:tbl>
      <w:tblPr>
        <w:tblW w:w="765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1275"/>
        <w:gridCol w:w="1418"/>
      </w:tblGrid>
      <w:tr w:rsidR="005232A7" w:rsidRPr="00481A30" w14:paraId="27BAF083" w14:textId="77777777" w:rsidTr="006E1AF7">
        <w:trPr>
          <w:trHeight w:val="255"/>
        </w:trPr>
        <w:tc>
          <w:tcPr>
            <w:tcW w:w="4962" w:type="dxa"/>
            <w:shd w:val="clear" w:color="auto" w:fill="auto"/>
            <w:noWrap/>
            <w:vAlign w:val="bottom"/>
            <w:hideMark/>
          </w:tcPr>
          <w:p w14:paraId="09ECC1E4" w14:textId="77777777" w:rsidR="005232A7" w:rsidRPr="006E1AF7" w:rsidRDefault="005232A7" w:rsidP="00481A30">
            <w:pPr>
              <w:jc w:val="center"/>
              <w:rPr>
                <w:rFonts w:ascii="Arial" w:hAnsi="Arial" w:cs="Arial"/>
                <w:b/>
                <w:sz w:val="18"/>
              </w:rPr>
            </w:pPr>
          </w:p>
        </w:tc>
        <w:tc>
          <w:tcPr>
            <w:tcW w:w="1275" w:type="dxa"/>
            <w:shd w:val="clear" w:color="auto" w:fill="auto"/>
            <w:noWrap/>
            <w:vAlign w:val="bottom"/>
            <w:hideMark/>
          </w:tcPr>
          <w:p w14:paraId="5AD705CB" w14:textId="5379775F" w:rsidR="005232A7" w:rsidRPr="006E1AF7" w:rsidRDefault="005232A7" w:rsidP="00481A30">
            <w:pPr>
              <w:jc w:val="center"/>
              <w:rPr>
                <w:rFonts w:ascii="Arial" w:hAnsi="Arial" w:cs="Arial"/>
                <w:b/>
                <w:sz w:val="18"/>
              </w:rPr>
            </w:pPr>
            <w:r w:rsidRPr="006E1AF7">
              <w:rPr>
                <w:rFonts w:ascii="Arial" w:hAnsi="Arial" w:cs="Arial"/>
                <w:b/>
                <w:sz w:val="18"/>
              </w:rPr>
              <w:t>31/12/201</w:t>
            </w:r>
            <w:r w:rsidR="00481A30" w:rsidRPr="006E1AF7">
              <w:rPr>
                <w:rFonts w:ascii="Arial" w:hAnsi="Arial" w:cs="Arial"/>
                <w:b/>
                <w:sz w:val="18"/>
              </w:rPr>
              <w:t>9</w:t>
            </w:r>
          </w:p>
        </w:tc>
        <w:tc>
          <w:tcPr>
            <w:tcW w:w="1418" w:type="dxa"/>
            <w:shd w:val="clear" w:color="auto" w:fill="auto"/>
            <w:noWrap/>
            <w:vAlign w:val="bottom"/>
            <w:hideMark/>
          </w:tcPr>
          <w:p w14:paraId="06061EE8" w14:textId="0779AF77" w:rsidR="005232A7" w:rsidRPr="006E1AF7" w:rsidRDefault="005232A7" w:rsidP="00481A30">
            <w:pPr>
              <w:jc w:val="center"/>
              <w:rPr>
                <w:rFonts w:ascii="Arial" w:hAnsi="Arial" w:cs="Arial"/>
                <w:b/>
                <w:sz w:val="18"/>
              </w:rPr>
            </w:pPr>
            <w:r w:rsidRPr="006E1AF7">
              <w:rPr>
                <w:rFonts w:ascii="Arial" w:hAnsi="Arial" w:cs="Arial"/>
                <w:b/>
                <w:sz w:val="18"/>
              </w:rPr>
              <w:t>31/12/201</w:t>
            </w:r>
            <w:r w:rsidR="00E33D8E" w:rsidRPr="006E1AF7">
              <w:rPr>
                <w:rFonts w:ascii="Arial" w:hAnsi="Arial" w:cs="Arial"/>
                <w:b/>
                <w:sz w:val="18"/>
              </w:rPr>
              <w:t>8</w:t>
            </w:r>
          </w:p>
        </w:tc>
      </w:tr>
      <w:tr w:rsidR="009B7193" w:rsidRPr="00AE0907" w14:paraId="16344C2E" w14:textId="77777777" w:rsidTr="006E1AF7">
        <w:trPr>
          <w:trHeight w:val="255"/>
        </w:trPr>
        <w:tc>
          <w:tcPr>
            <w:tcW w:w="4962" w:type="dxa"/>
            <w:shd w:val="clear" w:color="auto" w:fill="auto"/>
            <w:noWrap/>
            <w:vAlign w:val="bottom"/>
            <w:hideMark/>
          </w:tcPr>
          <w:p w14:paraId="49A9A309" w14:textId="77777777" w:rsidR="009B7193" w:rsidRPr="006E1AF7" w:rsidRDefault="009B7193" w:rsidP="009B7193">
            <w:pPr>
              <w:jc w:val="both"/>
              <w:rPr>
                <w:rFonts w:ascii="Arial" w:hAnsi="Arial" w:cs="Arial"/>
                <w:sz w:val="18"/>
              </w:rPr>
            </w:pPr>
            <w:r w:rsidRPr="006E1AF7">
              <w:rPr>
                <w:rFonts w:ascii="Arial" w:hAnsi="Arial" w:cs="Arial"/>
                <w:sz w:val="18"/>
              </w:rPr>
              <w:t>Obligaciones negociables</w:t>
            </w:r>
          </w:p>
        </w:tc>
        <w:tc>
          <w:tcPr>
            <w:tcW w:w="1275" w:type="dxa"/>
            <w:shd w:val="clear" w:color="auto" w:fill="auto"/>
            <w:noWrap/>
            <w:vAlign w:val="bottom"/>
          </w:tcPr>
          <w:p w14:paraId="0BE07B1F" w14:textId="29EEA127" w:rsidR="009B7193" w:rsidRPr="006E1AF7" w:rsidRDefault="009B7193" w:rsidP="009B7193">
            <w:pPr>
              <w:jc w:val="right"/>
              <w:rPr>
                <w:rFonts w:ascii="Arial" w:hAnsi="Arial" w:cs="Arial"/>
                <w:sz w:val="18"/>
              </w:rPr>
            </w:pPr>
            <w:r w:rsidRPr="006E1AF7">
              <w:rPr>
                <w:rFonts w:ascii="Arial" w:hAnsi="Arial" w:cs="Arial"/>
                <w:color w:val="000000"/>
                <w:sz w:val="18"/>
              </w:rPr>
              <w:t xml:space="preserve">- </w:t>
            </w:r>
          </w:p>
        </w:tc>
        <w:tc>
          <w:tcPr>
            <w:tcW w:w="1418" w:type="dxa"/>
            <w:shd w:val="clear" w:color="auto" w:fill="auto"/>
            <w:noWrap/>
            <w:vAlign w:val="bottom"/>
            <w:hideMark/>
          </w:tcPr>
          <w:p w14:paraId="3DE0087D" w14:textId="4E287EE4" w:rsidR="009B7193" w:rsidRPr="006E1AF7" w:rsidRDefault="009B7193" w:rsidP="009B7193">
            <w:pPr>
              <w:jc w:val="right"/>
              <w:rPr>
                <w:rFonts w:ascii="Arial" w:hAnsi="Arial" w:cs="Arial"/>
                <w:sz w:val="18"/>
              </w:rPr>
            </w:pPr>
            <w:r w:rsidRPr="006E1AF7">
              <w:rPr>
                <w:rFonts w:ascii="Arial" w:hAnsi="Arial" w:cs="Arial"/>
                <w:sz w:val="18"/>
              </w:rPr>
              <w:t xml:space="preserve">2.560 </w:t>
            </w:r>
          </w:p>
        </w:tc>
      </w:tr>
      <w:tr w:rsidR="009B7193" w:rsidRPr="00AE0907" w14:paraId="10174E09" w14:textId="77777777" w:rsidTr="006E1AF7">
        <w:trPr>
          <w:trHeight w:val="255"/>
        </w:trPr>
        <w:tc>
          <w:tcPr>
            <w:tcW w:w="4962" w:type="dxa"/>
            <w:shd w:val="clear" w:color="auto" w:fill="auto"/>
            <w:noWrap/>
            <w:vAlign w:val="bottom"/>
            <w:hideMark/>
          </w:tcPr>
          <w:p w14:paraId="6F5B2C51" w14:textId="77777777" w:rsidR="009B7193" w:rsidRPr="006E1AF7" w:rsidRDefault="009B7193" w:rsidP="009B7193">
            <w:pPr>
              <w:jc w:val="both"/>
              <w:rPr>
                <w:rFonts w:ascii="Arial" w:hAnsi="Arial" w:cs="Arial"/>
                <w:sz w:val="18"/>
              </w:rPr>
            </w:pPr>
            <w:r w:rsidRPr="006E1AF7">
              <w:rPr>
                <w:rFonts w:ascii="Arial" w:hAnsi="Arial" w:cs="Arial"/>
                <w:sz w:val="18"/>
              </w:rPr>
              <w:t>Títulos de deuda de fideicomisos financieros</w:t>
            </w:r>
          </w:p>
        </w:tc>
        <w:tc>
          <w:tcPr>
            <w:tcW w:w="1275" w:type="dxa"/>
            <w:shd w:val="clear" w:color="auto" w:fill="auto"/>
            <w:noWrap/>
            <w:vAlign w:val="bottom"/>
          </w:tcPr>
          <w:p w14:paraId="17C014B1" w14:textId="6F6ED20B" w:rsidR="009B7193" w:rsidRPr="006E1AF7" w:rsidRDefault="009B7193" w:rsidP="009B7193">
            <w:pPr>
              <w:jc w:val="right"/>
              <w:rPr>
                <w:rFonts w:ascii="Arial" w:hAnsi="Arial" w:cs="Arial"/>
                <w:sz w:val="18"/>
              </w:rPr>
            </w:pPr>
            <w:r w:rsidRPr="006E1AF7">
              <w:rPr>
                <w:rFonts w:ascii="Arial" w:hAnsi="Arial" w:cs="Arial"/>
                <w:color w:val="000000"/>
                <w:sz w:val="18"/>
              </w:rPr>
              <w:t xml:space="preserve">- </w:t>
            </w:r>
          </w:p>
        </w:tc>
        <w:tc>
          <w:tcPr>
            <w:tcW w:w="1418" w:type="dxa"/>
            <w:shd w:val="clear" w:color="auto" w:fill="auto"/>
            <w:noWrap/>
            <w:vAlign w:val="bottom"/>
            <w:hideMark/>
          </w:tcPr>
          <w:p w14:paraId="3EE6881E" w14:textId="3A3C5873" w:rsidR="009B7193" w:rsidRPr="006E1AF7" w:rsidRDefault="009B7193" w:rsidP="009B7193">
            <w:pPr>
              <w:jc w:val="right"/>
              <w:rPr>
                <w:rFonts w:ascii="Arial" w:hAnsi="Arial" w:cs="Arial"/>
                <w:sz w:val="18"/>
              </w:rPr>
            </w:pPr>
            <w:r w:rsidRPr="006E1AF7">
              <w:rPr>
                <w:rFonts w:ascii="Arial" w:hAnsi="Arial" w:cs="Arial"/>
                <w:sz w:val="18"/>
              </w:rPr>
              <w:t xml:space="preserve">1.211 </w:t>
            </w:r>
          </w:p>
        </w:tc>
      </w:tr>
      <w:tr w:rsidR="009B7193" w:rsidRPr="00AE0907" w14:paraId="5C9C1F1E" w14:textId="77777777" w:rsidTr="006E1AF7">
        <w:trPr>
          <w:trHeight w:val="255"/>
        </w:trPr>
        <w:tc>
          <w:tcPr>
            <w:tcW w:w="4962" w:type="dxa"/>
            <w:shd w:val="clear" w:color="auto" w:fill="auto"/>
            <w:noWrap/>
            <w:vAlign w:val="bottom"/>
            <w:hideMark/>
          </w:tcPr>
          <w:p w14:paraId="69196477" w14:textId="77777777" w:rsidR="009B7193" w:rsidRPr="006E1AF7" w:rsidRDefault="009B7193" w:rsidP="009B7193">
            <w:pPr>
              <w:jc w:val="both"/>
              <w:rPr>
                <w:rFonts w:ascii="Arial" w:hAnsi="Arial" w:cs="Arial"/>
                <w:sz w:val="18"/>
              </w:rPr>
            </w:pPr>
            <w:r w:rsidRPr="006E1AF7">
              <w:rPr>
                <w:rFonts w:ascii="Arial" w:hAnsi="Arial" w:cs="Arial"/>
                <w:sz w:val="18"/>
              </w:rPr>
              <w:t>Títulos públicos</w:t>
            </w:r>
          </w:p>
        </w:tc>
        <w:tc>
          <w:tcPr>
            <w:tcW w:w="1275" w:type="dxa"/>
            <w:shd w:val="clear" w:color="auto" w:fill="auto"/>
            <w:noWrap/>
            <w:vAlign w:val="bottom"/>
          </w:tcPr>
          <w:p w14:paraId="0E302816" w14:textId="6057A6BF" w:rsidR="009B7193" w:rsidRPr="006E1AF7" w:rsidRDefault="009B7193" w:rsidP="009B7193">
            <w:pPr>
              <w:jc w:val="right"/>
              <w:rPr>
                <w:rFonts w:ascii="Arial" w:hAnsi="Arial" w:cs="Arial"/>
                <w:sz w:val="18"/>
              </w:rPr>
            </w:pPr>
            <w:r w:rsidRPr="006E1AF7">
              <w:rPr>
                <w:rFonts w:ascii="Arial" w:hAnsi="Arial" w:cs="Arial"/>
                <w:color w:val="000000"/>
                <w:sz w:val="18"/>
              </w:rPr>
              <w:t xml:space="preserve">3.086.572 </w:t>
            </w:r>
          </w:p>
        </w:tc>
        <w:tc>
          <w:tcPr>
            <w:tcW w:w="1418" w:type="dxa"/>
            <w:shd w:val="clear" w:color="auto" w:fill="auto"/>
            <w:noWrap/>
            <w:vAlign w:val="bottom"/>
            <w:hideMark/>
          </w:tcPr>
          <w:p w14:paraId="687E9B52" w14:textId="59B498A4" w:rsidR="009B7193" w:rsidRPr="006E1AF7" w:rsidRDefault="009B7193" w:rsidP="009B7193">
            <w:pPr>
              <w:jc w:val="right"/>
              <w:rPr>
                <w:rFonts w:ascii="Arial" w:hAnsi="Arial" w:cs="Arial"/>
                <w:sz w:val="18"/>
              </w:rPr>
            </w:pPr>
            <w:r w:rsidRPr="006E1AF7">
              <w:rPr>
                <w:rFonts w:ascii="Arial" w:hAnsi="Arial" w:cs="Arial"/>
                <w:sz w:val="18"/>
              </w:rPr>
              <w:t xml:space="preserve">4.130.690 </w:t>
            </w:r>
          </w:p>
        </w:tc>
      </w:tr>
      <w:tr w:rsidR="009B7193" w:rsidRPr="00AE0907" w14:paraId="40B77E1E" w14:textId="77777777" w:rsidTr="006E1AF7">
        <w:trPr>
          <w:trHeight w:val="255"/>
        </w:trPr>
        <w:tc>
          <w:tcPr>
            <w:tcW w:w="4962" w:type="dxa"/>
            <w:shd w:val="clear" w:color="auto" w:fill="auto"/>
            <w:noWrap/>
            <w:vAlign w:val="bottom"/>
          </w:tcPr>
          <w:p w14:paraId="4957AAB2" w14:textId="6CE64D77" w:rsidR="009B7193" w:rsidRPr="006E1AF7" w:rsidRDefault="009B7193" w:rsidP="009B7193">
            <w:pPr>
              <w:jc w:val="both"/>
              <w:rPr>
                <w:rFonts w:ascii="Arial" w:hAnsi="Arial" w:cs="Arial"/>
                <w:color w:val="000000"/>
                <w:sz w:val="18"/>
                <w:lang w:eastAsia="es-AR"/>
              </w:rPr>
            </w:pPr>
            <w:r w:rsidRPr="006E1AF7">
              <w:rPr>
                <w:rFonts w:ascii="Arial" w:hAnsi="Arial" w:cs="Arial"/>
                <w:color w:val="000000"/>
                <w:sz w:val="18"/>
              </w:rPr>
              <w:t xml:space="preserve">Letras </w:t>
            </w:r>
            <w:r w:rsidR="002C509D" w:rsidRPr="006E1AF7">
              <w:rPr>
                <w:rFonts w:ascii="Arial" w:hAnsi="Arial" w:cs="Arial"/>
                <w:color w:val="000000"/>
                <w:sz w:val="18"/>
              </w:rPr>
              <w:t xml:space="preserve">de líquidez </w:t>
            </w:r>
            <w:r w:rsidRPr="006E1AF7">
              <w:rPr>
                <w:rFonts w:ascii="Arial" w:hAnsi="Arial" w:cs="Arial"/>
                <w:color w:val="000000"/>
                <w:sz w:val="18"/>
              </w:rPr>
              <w:t>del BCRA</w:t>
            </w:r>
          </w:p>
        </w:tc>
        <w:tc>
          <w:tcPr>
            <w:tcW w:w="1275" w:type="dxa"/>
            <w:shd w:val="clear" w:color="auto" w:fill="auto"/>
            <w:noWrap/>
            <w:vAlign w:val="bottom"/>
          </w:tcPr>
          <w:p w14:paraId="433C5012" w14:textId="1DA4C7C1" w:rsidR="009B7193" w:rsidRPr="006E1AF7" w:rsidRDefault="009B7193" w:rsidP="009B7193">
            <w:pPr>
              <w:jc w:val="right"/>
              <w:rPr>
                <w:rFonts w:ascii="Arial" w:hAnsi="Arial" w:cs="Arial"/>
                <w:sz w:val="18"/>
              </w:rPr>
            </w:pPr>
            <w:r w:rsidRPr="006E1AF7">
              <w:rPr>
                <w:rFonts w:ascii="Arial" w:hAnsi="Arial" w:cs="Arial"/>
                <w:color w:val="000000"/>
                <w:sz w:val="18"/>
              </w:rPr>
              <w:t xml:space="preserve">7.171.139 </w:t>
            </w:r>
          </w:p>
        </w:tc>
        <w:tc>
          <w:tcPr>
            <w:tcW w:w="1418" w:type="dxa"/>
            <w:shd w:val="clear" w:color="auto" w:fill="auto"/>
            <w:noWrap/>
            <w:vAlign w:val="bottom"/>
          </w:tcPr>
          <w:p w14:paraId="7BD8A178" w14:textId="564128DF" w:rsidR="009B7193" w:rsidRPr="006E1AF7" w:rsidRDefault="002C509D" w:rsidP="009B7193">
            <w:pPr>
              <w:jc w:val="right"/>
              <w:rPr>
                <w:rFonts w:ascii="Arial" w:hAnsi="Arial" w:cs="Arial"/>
                <w:sz w:val="18"/>
              </w:rPr>
            </w:pPr>
            <w:r w:rsidRPr="006E1AF7">
              <w:rPr>
                <w:rFonts w:ascii="Arial" w:hAnsi="Arial" w:cs="Arial"/>
                <w:sz w:val="18"/>
              </w:rPr>
              <w:t>-</w:t>
            </w:r>
          </w:p>
        </w:tc>
      </w:tr>
      <w:tr w:rsidR="009B7193" w:rsidRPr="00AE0907" w14:paraId="1F5952E0" w14:textId="77777777" w:rsidTr="006E1AF7">
        <w:trPr>
          <w:trHeight w:val="255"/>
        </w:trPr>
        <w:tc>
          <w:tcPr>
            <w:tcW w:w="4962" w:type="dxa"/>
            <w:shd w:val="clear" w:color="auto" w:fill="auto"/>
            <w:noWrap/>
            <w:vAlign w:val="bottom"/>
            <w:hideMark/>
          </w:tcPr>
          <w:p w14:paraId="6C62A6AD" w14:textId="77777777" w:rsidR="009B7193" w:rsidRPr="006E1AF7" w:rsidRDefault="009B7193" w:rsidP="009B7193">
            <w:pPr>
              <w:jc w:val="both"/>
              <w:rPr>
                <w:rFonts w:ascii="Arial" w:hAnsi="Arial" w:cs="Arial"/>
                <w:sz w:val="18"/>
              </w:rPr>
            </w:pPr>
            <w:r w:rsidRPr="006E1AF7">
              <w:rPr>
                <w:rFonts w:ascii="Arial" w:hAnsi="Arial" w:cs="Arial"/>
                <w:sz w:val="18"/>
              </w:rPr>
              <w:t>Otros</w:t>
            </w:r>
          </w:p>
        </w:tc>
        <w:tc>
          <w:tcPr>
            <w:tcW w:w="1275" w:type="dxa"/>
            <w:shd w:val="clear" w:color="auto" w:fill="auto"/>
            <w:noWrap/>
            <w:vAlign w:val="bottom"/>
          </w:tcPr>
          <w:p w14:paraId="1FA12074" w14:textId="558FECD6" w:rsidR="009B7193" w:rsidRPr="006E1AF7" w:rsidRDefault="009B7193" w:rsidP="009B7193">
            <w:pPr>
              <w:jc w:val="right"/>
              <w:rPr>
                <w:rFonts w:ascii="Arial" w:hAnsi="Arial" w:cs="Arial"/>
                <w:sz w:val="18"/>
              </w:rPr>
            </w:pPr>
            <w:r w:rsidRPr="006E1AF7">
              <w:rPr>
                <w:rFonts w:ascii="Arial" w:hAnsi="Arial" w:cs="Arial"/>
                <w:color w:val="000000"/>
                <w:sz w:val="18"/>
              </w:rPr>
              <w:t xml:space="preserve">73 </w:t>
            </w:r>
          </w:p>
        </w:tc>
        <w:tc>
          <w:tcPr>
            <w:tcW w:w="1418" w:type="dxa"/>
            <w:shd w:val="clear" w:color="auto" w:fill="auto"/>
            <w:noWrap/>
            <w:vAlign w:val="bottom"/>
            <w:hideMark/>
          </w:tcPr>
          <w:p w14:paraId="0366C14F" w14:textId="34EEBD1E" w:rsidR="009B7193" w:rsidRPr="006E1AF7" w:rsidRDefault="009B7193" w:rsidP="009B7193">
            <w:pPr>
              <w:jc w:val="right"/>
              <w:rPr>
                <w:rFonts w:ascii="Arial" w:hAnsi="Arial" w:cs="Arial"/>
                <w:sz w:val="18"/>
              </w:rPr>
            </w:pPr>
            <w:r w:rsidRPr="006E1AF7">
              <w:rPr>
                <w:rFonts w:ascii="Arial" w:hAnsi="Arial" w:cs="Arial"/>
                <w:sz w:val="18"/>
              </w:rPr>
              <w:t xml:space="preserve">32 </w:t>
            </w:r>
          </w:p>
        </w:tc>
      </w:tr>
      <w:tr w:rsidR="00E33D8E" w:rsidRPr="00481A30" w14:paraId="2DF6355F" w14:textId="77777777" w:rsidTr="006E1AF7">
        <w:trPr>
          <w:trHeight w:val="56"/>
        </w:trPr>
        <w:tc>
          <w:tcPr>
            <w:tcW w:w="4962" w:type="dxa"/>
            <w:shd w:val="clear" w:color="auto" w:fill="auto"/>
            <w:noWrap/>
            <w:vAlign w:val="bottom"/>
            <w:hideMark/>
          </w:tcPr>
          <w:p w14:paraId="40CD1751" w14:textId="77777777" w:rsidR="00E33D8E" w:rsidRPr="006E1AF7" w:rsidRDefault="00E33D8E" w:rsidP="00E33D8E">
            <w:pPr>
              <w:jc w:val="both"/>
              <w:rPr>
                <w:rFonts w:ascii="Arial" w:hAnsi="Arial" w:cs="Arial"/>
                <w:b/>
                <w:sz w:val="18"/>
              </w:rPr>
            </w:pPr>
            <w:r w:rsidRPr="006E1AF7">
              <w:rPr>
                <w:rFonts w:ascii="Arial" w:hAnsi="Arial" w:cs="Arial"/>
                <w:b/>
                <w:sz w:val="18"/>
              </w:rPr>
              <w:t>Total</w:t>
            </w:r>
          </w:p>
        </w:tc>
        <w:tc>
          <w:tcPr>
            <w:tcW w:w="1275" w:type="dxa"/>
            <w:shd w:val="clear" w:color="auto" w:fill="auto"/>
            <w:noWrap/>
            <w:vAlign w:val="bottom"/>
          </w:tcPr>
          <w:p w14:paraId="17046442" w14:textId="488BCE0E" w:rsidR="00E33D8E" w:rsidRPr="006E1AF7" w:rsidRDefault="009B7193" w:rsidP="00E33D8E">
            <w:pPr>
              <w:jc w:val="right"/>
              <w:rPr>
                <w:rFonts w:ascii="Arial" w:hAnsi="Arial" w:cs="Arial"/>
                <w:b/>
                <w:bCs/>
                <w:sz w:val="18"/>
              </w:rPr>
            </w:pPr>
            <w:r w:rsidRPr="006E1AF7">
              <w:rPr>
                <w:rFonts w:ascii="Arial" w:hAnsi="Arial" w:cs="Arial"/>
                <w:b/>
                <w:bCs/>
                <w:sz w:val="18"/>
              </w:rPr>
              <w:t>10.257.784</w:t>
            </w:r>
          </w:p>
        </w:tc>
        <w:tc>
          <w:tcPr>
            <w:tcW w:w="1418" w:type="dxa"/>
            <w:shd w:val="clear" w:color="auto" w:fill="auto"/>
            <w:noWrap/>
            <w:vAlign w:val="bottom"/>
            <w:hideMark/>
          </w:tcPr>
          <w:p w14:paraId="1E86E5AF" w14:textId="543195DE" w:rsidR="00E33D8E" w:rsidRPr="006E1AF7" w:rsidRDefault="00E33D8E" w:rsidP="00E33D8E">
            <w:pPr>
              <w:jc w:val="right"/>
              <w:rPr>
                <w:rFonts w:ascii="Arial" w:hAnsi="Arial" w:cs="Arial"/>
                <w:b/>
                <w:sz w:val="18"/>
              </w:rPr>
            </w:pPr>
            <w:r w:rsidRPr="006E1AF7">
              <w:rPr>
                <w:rFonts w:ascii="Arial" w:hAnsi="Arial" w:cs="Arial"/>
                <w:b/>
                <w:sz w:val="18"/>
              </w:rPr>
              <w:t>4.134.493</w:t>
            </w:r>
          </w:p>
        </w:tc>
      </w:tr>
    </w:tbl>
    <w:p w14:paraId="596A5540" w14:textId="77777777" w:rsidR="00AE0907" w:rsidRPr="00AE0907" w:rsidRDefault="00AE0907" w:rsidP="00AE0907">
      <w:pPr>
        <w:jc w:val="both"/>
        <w:rPr>
          <w:rFonts w:ascii="Arial" w:eastAsiaTheme="minorHAnsi" w:hAnsi="Arial" w:cs="Arial"/>
          <w:sz w:val="20"/>
        </w:rPr>
      </w:pPr>
    </w:p>
    <w:p w14:paraId="5F556CFD" w14:textId="141E1AAD"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w:t>
      </w:r>
      <w:r w:rsidR="008F1163">
        <w:rPr>
          <w:rFonts w:ascii="Arial" w:hAnsi="Arial" w:cs="Arial"/>
          <w:sz w:val="20"/>
        </w:rPr>
        <w:t>6</w:t>
      </w:r>
      <w:r w:rsidR="00AE0907" w:rsidRPr="00AE0907">
        <w:rPr>
          <w:rFonts w:ascii="Arial" w:hAnsi="Arial" w:cs="Arial"/>
          <w:sz w:val="20"/>
        </w:rPr>
        <w:t xml:space="preserve"> Activos financieros entregados en garantía</w:t>
      </w:r>
    </w:p>
    <w:p w14:paraId="6B42FF99" w14:textId="77777777" w:rsidR="00AE0907" w:rsidRPr="00AE0907" w:rsidRDefault="00AE0907" w:rsidP="00AE0907">
      <w:pPr>
        <w:jc w:val="both"/>
        <w:rPr>
          <w:rFonts w:ascii="Arial" w:hAnsi="Arial" w:cs="Arial"/>
          <w:sz w:val="20"/>
        </w:rPr>
      </w:pPr>
    </w:p>
    <w:p w14:paraId="04547AAF" w14:textId="36D3554F" w:rsidR="00AE0907" w:rsidRDefault="00AE0907" w:rsidP="00AE0907">
      <w:pPr>
        <w:jc w:val="both"/>
        <w:rPr>
          <w:rFonts w:ascii="Arial" w:eastAsiaTheme="minorHAnsi" w:hAnsi="Arial" w:cs="Arial"/>
          <w:sz w:val="20"/>
        </w:rPr>
      </w:pPr>
      <w:r w:rsidRPr="00AE0907">
        <w:rPr>
          <w:rFonts w:ascii="Arial" w:eastAsiaTheme="minorHAnsi" w:hAnsi="Arial" w:cs="Arial"/>
          <w:sz w:val="20"/>
        </w:rPr>
        <w:t>Los principales componentes del rubro activos financieros entregados en garantía al 31 de diciembre de 201</w:t>
      </w:r>
      <w:r w:rsidR="00481A30">
        <w:rPr>
          <w:rFonts w:ascii="Arial" w:eastAsiaTheme="minorHAnsi" w:hAnsi="Arial" w:cs="Arial"/>
          <w:sz w:val="20"/>
        </w:rPr>
        <w:t>9</w:t>
      </w:r>
      <w:r w:rsidRPr="00AE0907">
        <w:rPr>
          <w:rFonts w:ascii="Arial" w:eastAsiaTheme="minorHAnsi" w:hAnsi="Arial" w:cs="Arial"/>
          <w:sz w:val="20"/>
        </w:rPr>
        <w:t xml:space="preserve"> y 201</w:t>
      </w:r>
      <w:r w:rsidR="00481A30">
        <w:rPr>
          <w:rFonts w:ascii="Arial" w:eastAsiaTheme="minorHAnsi" w:hAnsi="Arial" w:cs="Arial"/>
          <w:sz w:val="20"/>
        </w:rPr>
        <w:t>8</w:t>
      </w:r>
      <w:r w:rsidRPr="00AE0907">
        <w:rPr>
          <w:rFonts w:ascii="Arial" w:eastAsiaTheme="minorHAnsi" w:hAnsi="Arial" w:cs="Arial"/>
          <w:sz w:val="20"/>
        </w:rPr>
        <w:t xml:space="preserve"> son los siguientes:</w:t>
      </w:r>
    </w:p>
    <w:p w14:paraId="6AF7BD48" w14:textId="77777777" w:rsidR="005232A7" w:rsidRPr="00AE0907" w:rsidRDefault="005232A7" w:rsidP="00AE0907">
      <w:pPr>
        <w:jc w:val="both"/>
        <w:rPr>
          <w:rFonts w:ascii="Arial" w:eastAsiaTheme="minorHAnsi" w:hAnsi="Arial" w:cs="Arial"/>
          <w:sz w:val="20"/>
        </w:rPr>
      </w:pPr>
    </w:p>
    <w:tbl>
      <w:tblPr>
        <w:tblW w:w="7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44"/>
        <w:gridCol w:w="1261"/>
        <w:gridCol w:w="1401"/>
      </w:tblGrid>
      <w:tr w:rsidR="005232A7" w:rsidRPr="00A90823" w14:paraId="7DC081AF" w14:textId="77777777" w:rsidTr="00037C01">
        <w:trPr>
          <w:trHeight w:val="258"/>
          <w:tblHeader/>
        </w:trPr>
        <w:tc>
          <w:tcPr>
            <w:tcW w:w="5044" w:type="dxa"/>
            <w:shd w:val="clear" w:color="auto" w:fill="auto"/>
            <w:noWrap/>
            <w:vAlign w:val="bottom"/>
            <w:hideMark/>
          </w:tcPr>
          <w:p w14:paraId="37F346D8" w14:textId="77777777" w:rsidR="005232A7" w:rsidRPr="006E1AF7" w:rsidRDefault="005232A7" w:rsidP="00AE0907">
            <w:pPr>
              <w:jc w:val="both"/>
              <w:rPr>
                <w:rFonts w:ascii="Arial" w:hAnsi="Arial" w:cs="Arial"/>
                <w:sz w:val="18"/>
              </w:rPr>
            </w:pPr>
          </w:p>
        </w:tc>
        <w:tc>
          <w:tcPr>
            <w:tcW w:w="1261" w:type="dxa"/>
            <w:shd w:val="clear" w:color="auto" w:fill="auto"/>
            <w:noWrap/>
            <w:vAlign w:val="bottom"/>
            <w:hideMark/>
          </w:tcPr>
          <w:p w14:paraId="0AF199F3" w14:textId="41CA2888" w:rsidR="005232A7" w:rsidRPr="006E1AF7" w:rsidRDefault="005232A7" w:rsidP="00481A30">
            <w:pPr>
              <w:jc w:val="center"/>
              <w:rPr>
                <w:rFonts w:ascii="Arial" w:hAnsi="Arial" w:cs="Arial"/>
                <w:b/>
                <w:sz w:val="18"/>
              </w:rPr>
            </w:pPr>
            <w:r w:rsidRPr="006E1AF7">
              <w:rPr>
                <w:rFonts w:ascii="Arial" w:hAnsi="Arial" w:cs="Arial"/>
                <w:b/>
                <w:sz w:val="18"/>
              </w:rPr>
              <w:t>31/12/201</w:t>
            </w:r>
            <w:r w:rsidR="00481A30" w:rsidRPr="006E1AF7">
              <w:rPr>
                <w:rFonts w:ascii="Arial" w:hAnsi="Arial" w:cs="Arial"/>
                <w:b/>
                <w:sz w:val="18"/>
              </w:rPr>
              <w:t>9</w:t>
            </w:r>
          </w:p>
        </w:tc>
        <w:tc>
          <w:tcPr>
            <w:tcW w:w="1401" w:type="dxa"/>
            <w:shd w:val="clear" w:color="auto" w:fill="auto"/>
            <w:noWrap/>
            <w:vAlign w:val="bottom"/>
            <w:hideMark/>
          </w:tcPr>
          <w:p w14:paraId="71ABABB5" w14:textId="1888471A" w:rsidR="005232A7" w:rsidRPr="006E1AF7" w:rsidRDefault="005232A7" w:rsidP="00481A30">
            <w:pPr>
              <w:jc w:val="center"/>
              <w:rPr>
                <w:rFonts w:ascii="Arial" w:hAnsi="Arial" w:cs="Arial"/>
                <w:b/>
                <w:sz w:val="18"/>
              </w:rPr>
            </w:pPr>
            <w:r w:rsidRPr="006E1AF7">
              <w:rPr>
                <w:rFonts w:ascii="Arial" w:hAnsi="Arial" w:cs="Arial"/>
                <w:b/>
                <w:sz w:val="18"/>
              </w:rPr>
              <w:t>31/12/201</w:t>
            </w:r>
            <w:r w:rsidR="00481A30" w:rsidRPr="006E1AF7">
              <w:rPr>
                <w:rFonts w:ascii="Arial" w:hAnsi="Arial" w:cs="Arial"/>
                <w:b/>
                <w:sz w:val="18"/>
              </w:rPr>
              <w:t>8</w:t>
            </w:r>
          </w:p>
        </w:tc>
      </w:tr>
      <w:tr w:rsidR="009B7193" w:rsidRPr="00A90823" w14:paraId="1D7D25B8" w14:textId="77777777" w:rsidTr="00037C01">
        <w:trPr>
          <w:trHeight w:val="258"/>
        </w:trPr>
        <w:tc>
          <w:tcPr>
            <w:tcW w:w="5044" w:type="dxa"/>
            <w:shd w:val="clear" w:color="auto" w:fill="auto"/>
            <w:noWrap/>
            <w:vAlign w:val="bottom"/>
            <w:hideMark/>
          </w:tcPr>
          <w:p w14:paraId="6917558B" w14:textId="77777777" w:rsidR="009B7193" w:rsidRPr="006E1AF7" w:rsidRDefault="009B7193" w:rsidP="009B7193">
            <w:pPr>
              <w:jc w:val="both"/>
              <w:rPr>
                <w:rFonts w:ascii="Arial" w:hAnsi="Arial" w:cs="Arial"/>
                <w:sz w:val="18"/>
              </w:rPr>
            </w:pPr>
            <w:r w:rsidRPr="006E1AF7">
              <w:rPr>
                <w:rFonts w:ascii="Arial" w:hAnsi="Arial" w:cs="Arial"/>
                <w:sz w:val="18"/>
              </w:rPr>
              <w:t>BCRA Cuentas especiales de garantías.</w:t>
            </w:r>
          </w:p>
        </w:tc>
        <w:tc>
          <w:tcPr>
            <w:tcW w:w="1261" w:type="dxa"/>
            <w:shd w:val="clear" w:color="auto" w:fill="auto"/>
            <w:noWrap/>
            <w:vAlign w:val="bottom"/>
          </w:tcPr>
          <w:p w14:paraId="3F39A60A" w14:textId="529D933A" w:rsidR="009B7193" w:rsidRPr="006E1AF7" w:rsidRDefault="009B7193" w:rsidP="009B7193">
            <w:pPr>
              <w:jc w:val="right"/>
              <w:rPr>
                <w:rFonts w:ascii="Arial" w:hAnsi="Arial" w:cs="Arial"/>
                <w:sz w:val="18"/>
              </w:rPr>
            </w:pPr>
            <w:r w:rsidRPr="006E1AF7">
              <w:rPr>
                <w:rFonts w:ascii="Arial" w:hAnsi="Arial" w:cs="Arial"/>
                <w:color w:val="000000"/>
                <w:sz w:val="18"/>
              </w:rPr>
              <w:t xml:space="preserve">2.120.732 </w:t>
            </w:r>
          </w:p>
        </w:tc>
        <w:tc>
          <w:tcPr>
            <w:tcW w:w="1401" w:type="dxa"/>
            <w:shd w:val="clear" w:color="auto" w:fill="auto"/>
            <w:noWrap/>
            <w:vAlign w:val="bottom"/>
            <w:hideMark/>
          </w:tcPr>
          <w:p w14:paraId="21A3A0BB" w14:textId="256476B4" w:rsidR="009B7193" w:rsidRPr="006E1AF7" w:rsidRDefault="009B7193" w:rsidP="009B7193">
            <w:pPr>
              <w:jc w:val="right"/>
              <w:rPr>
                <w:rFonts w:ascii="Arial" w:hAnsi="Arial" w:cs="Arial"/>
                <w:sz w:val="18"/>
              </w:rPr>
            </w:pPr>
            <w:r w:rsidRPr="006E1AF7">
              <w:rPr>
                <w:rFonts w:ascii="Arial" w:hAnsi="Arial" w:cs="Arial"/>
                <w:sz w:val="18"/>
              </w:rPr>
              <w:t xml:space="preserve">1.357.904 </w:t>
            </w:r>
          </w:p>
        </w:tc>
      </w:tr>
      <w:tr w:rsidR="009B7193" w:rsidRPr="00A90823" w14:paraId="57087640" w14:textId="77777777" w:rsidTr="00037C01">
        <w:trPr>
          <w:trHeight w:val="258"/>
        </w:trPr>
        <w:tc>
          <w:tcPr>
            <w:tcW w:w="5044" w:type="dxa"/>
            <w:shd w:val="clear" w:color="auto" w:fill="auto"/>
            <w:noWrap/>
            <w:vAlign w:val="bottom"/>
            <w:hideMark/>
          </w:tcPr>
          <w:p w14:paraId="651CD6B6" w14:textId="77777777" w:rsidR="009B7193" w:rsidRPr="006E1AF7" w:rsidRDefault="009B7193" w:rsidP="009B7193">
            <w:pPr>
              <w:jc w:val="both"/>
              <w:rPr>
                <w:rFonts w:ascii="Arial" w:hAnsi="Arial" w:cs="Arial"/>
                <w:sz w:val="18"/>
              </w:rPr>
            </w:pPr>
            <w:r w:rsidRPr="006E1AF7">
              <w:rPr>
                <w:rFonts w:ascii="Arial" w:hAnsi="Arial" w:cs="Arial"/>
                <w:sz w:val="18"/>
              </w:rPr>
              <w:t>Depósitos en garantía</w:t>
            </w:r>
          </w:p>
        </w:tc>
        <w:tc>
          <w:tcPr>
            <w:tcW w:w="1261" w:type="dxa"/>
            <w:shd w:val="clear" w:color="auto" w:fill="auto"/>
            <w:noWrap/>
            <w:vAlign w:val="bottom"/>
          </w:tcPr>
          <w:p w14:paraId="1E660047" w14:textId="0225EB9F" w:rsidR="009B7193" w:rsidRPr="006E1AF7" w:rsidRDefault="009B7193" w:rsidP="009B7193">
            <w:pPr>
              <w:jc w:val="right"/>
              <w:rPr>
                <w:rFonts w:ascii="Arial" w:hAnsi="Arial" w:cs="Arial"/>
                <w:sz w:val="18"/>
              </w:rPr>
            </w:pPr>
            <w:r w:rsidRPr="006E1AF7">
              <w:rPr>
                <w:rFonts w:ascii="Arial" w:hAnsi="Arial" w:cs="Arial"/>
                <w:color w:val="000000"/>
                <w:sz w:val="18"/>
              </w:rPr>
              <w:t xml:space="preserve">3.206.217 </w:t>
            </w:r>
          </w:p>
        </w:tc>
        <w:tc>
          <w:tcPr>
            <w:tcW w:w="1401" w:type="dxa"/>
            <w:shd w:val="clear" w:color="auto" w:fill="auto"/>
            <w:noWrap/>
            <w:vAlign w:val="bottom"/>
            <w:hideMark/>
          </w:tcPr>
          <w:p w14:paraId="4A255672" w14:textId="7065928E" w:rsidR="009B7193" w:rsidRPr="006E1AF7" w:rsidRDefault="009B7193" w:rsidP="009B7193">
            <w:pPr>
              <w:jc w:val="right"/>
              <w:rPr>
                <w:rFonts w:ascii="Arial" w:hAnsi="Arial" w:cs="Arial"/>
                <w:sz w:val="18"/>
              </w:rPr>
            </w:pPr>
            <w:r w:rsidRPr="006E1AF7">
              <w:rPr>
                <w:rFonts w:ascii="Arial" w:hAnsi="Arial" w:cs="Arial"/>
                <w:sz w:val="18"/>
              </w:rPr>
              <w:t xml:space="preserve">643.861 </w:t>
            </w:r>
          </w:p>
        </w:tc>
      </w:tr>
      <w:tr w:rsidR="00481A30" w:rsidRPr="00A90823" w14:paraId="6AC232E9" w14:textId="77777777" w:rsidTr="00037C01">
        <w:trPr>
          <w:trHeight w:val="273"/>
        </w:trPr>
        <w:tc>
          <w:tcPr>
            <w:tcW w:w="5044" w:type="dxa"/>
            <w:shd w:val="clear" w:color="auto" w:fill="auto"/>
            <w:noWrap/>
            <w:vAlign w:val="bottom"/>
            <w:hideMark/>
          </w:tcPr>
          <w:p w14:paraId="7AAD65B7" w14:textId="77777777" w:rsidR="00481A30" w:rsidRPr="006E1AF7" w:rsidRDefault="00481A30" w:rsidP="00481A30">
            <w:pPr>
              <w:jc w:val="both"/>
              <w:rPr>
                <w:rFonts w:ascii="Arial" w:hAnsi="Arial" w:cs="Arial"/>
                <w:b/>
                <w:sz w:val="18"/>
              </w:rPr>
            </w:pPr>
            <w:r w:rsidRPr="006E1AF7">
              <w:rPr>
                <w:rFonts w:ascii="Arial" w:hAnsi="Arial" w:cs="Arial"/>
                <w:b/>
                <w:sz w:val="18"/>
              </w:rPr>
              <w:t>Total</w:t>
            </w:r>
          </w:p>
        </w:tc>
        <w:tc>
          <w:tcPr>
            <w:tcW w:w="1261" w:type="dxa"/>
            <w:shd w:val="clear" w:color="auto" w:fill="auto"/>
            <w:noWrap/>
            <w:vAlign w:val="bottom"/>
          </w:tcPr>
          <w:p w14:paraId="69240FF8" w14:textId="024531D4" w:rsidR="00481A30" w:rsidRPr="006E1AF7" w:rsidRDefault="009B7193" w:rsidP="00481A30">
            <w:pPr>
              <w:jc w:val="right"/>
              <w:rPr>
                <w:rFonts w:ascii="Arial" w:hAnsi="Arial" w:cs="Arial"/>
                <w:b/>
                <w:sz w:val="18"/>
              </w:rPr>
            </w:pPr>
            <w:r w:rsidRPr="006E1AF7">
              <w:rPr>
                <w:rFonts w:ascii="Arial" w:hAnsi="Arial" w:cs="Arial"/>
                <w:b/>
                <w:sz w:val="18"/>
              </w:rPr>
              <w:t>5.326.949</w:t>
            </w:r>
          </w:p>
        </w:tc>
        <w:tc>
          <w:tcPr>
            <w:tcW w:w="1401" w:type="dxa"/>
            <w:shd w:val="clear" w:color="auto" w:fill="auto"/>
            <w:noWrap/>
            <w:vAlign w:val="bottom"/>
            <w:hideMark/>
          </w:tcPr>
          <w:p w14:paraId="27858BEA" w14:textId="3584DD38" w:rsidR="00481A30" w:rsidRPr="006E1AF7" w:rsidRDefault="00481A30" w:rsidP="00481A30">
            <w:pPr>
              <w:jc w:val="right"/>
              <w:rPr>
                <w:rFonts w:ascii="Arial" w:hAnsi="Arial" w:cs="Arial"/>
                <w:b/>
                <w:sz w:val="18"/>
              </w:rPr>
            </w:pPr>
            <w:r w:rsidRPr="006E1AF7">
              <w:rPr>
                <w:rFonts w:ascii="Arial" w:hAnsi="Arial" w:cs="Arial"/>
                <w:b/>
                <w:sz w:val="18"/>
              </w:rPr>
              <w:t>2.001.765</w:t>
            </w:r>
          </w:p>
        </w:tc>
      </w:tr>
    </w:tbl>
    <w:p w14:paraId="3727FF0B" w14:textId="77777777" w:rsidR="00AE0907" w:rsidRPr="006E1AF7" w:rsidRDefault="00AE0907" w:rsidP="00AE0907">
      <w:pPr>
        <w:jc w:val="both"/>
        <w:rPr>
          <w:rFonts w:ascii="Arial" w:eastAsiaTheme="minorHAnsi" w:hAnsi="Arial" w:cs="Arial"/>
          <w:sz w:val="18"/>
        </w:rPr>
      </w:pPr>
    </w:p>
    <w:p w14:paraId="14702024" w14:textId="45A11982"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w:t>
      </w:r>
      <w:r w:rsidR="008F1163">
        <w:rPr>
          <w:rFonts w:ascii="Arial" w:hAnsi="Arial" w:cs="Arial"/>
          <w:sz w:val="20"/>
        </w:rPr>
        <w:t>7</w:t>
      </w:r>
      <w:r w:rsidR="00AE0907" w:rsidRPr="00AE0907">
        <w:rPr>
          <w:rFonts w:ascii="Arial" w:hAnsi="Arial" w:cs="Arial"/>
          <w:sz w:val="20"/>
        </w:rPr>
        <w:t xml:space="preserve"> Inversión en subsidiarias, asociadas y negocios conjuntos</w:t>
      </w:r>
    </w:p>
    <w:p w14:paraId="2C8DC212" w14:textId="77777777" w:rsidR="00AE0907" w:rsidRPr="00AE0907" w:rsidRDefault="00AE0907" w:rsidP="00AE0907">
      <w:pPr>
        <w:jc w:val="both"/>
        <w:rPr>
          <w:rFonts w:ascii="Arial" w:hAnsi="Arial" w:cs="Arial"/>
          <w:sz w:val="20"/>
        </w:rPr>
      </w:pPr>
    </w:p>
    <w:p w14:paraId="555B00D5" w14:textId="7DCBA099" w:rsidR="00AE0907" w:rsidRPr="00AE0907" w:rsidRDefault="00AE0907" w:rsidP="00AE0907">
      <w:pPr>
        <w:jc w:val="both"/>
        <w:rPr>
          <w:rFonts w:ascii="Arial" w:hAnsi="Arial" w:cs="Arial"/>
          <w:sz w:val="20"/>
        </w:rPr>
      </w:pPr>
      <w:r w:rsidRPr="00AE0907">
        <w:rPr>
          <w:rFonts w:ascii="Arial" w:eastAsiaTheme="minorHAnsi" w:hAnsi="Arial" w:cs="Arial"/>
          <w:sz w:val="20"/>
        </w:rPr>
        <w:t>Los principales componentes del rubro inversión en subsidiarias, asociadas y negocios conjuntos al 31 de diciembre de 201</w:t>
      </w:r>
      <w:r w:rsidR="00481A30">
        <w:rPr>
          <w:rFonts w:ascii="Arial" w:eastAsiaTheme="minorHAnsi" w:hAnsi="Arial" w:cs="Arial"/>
          <w:sz w:val="20"/>
        </w:rPr>
        <w:t>9</w:t>
      </w:r>
      <w:r w:rsidRPr="00AE0907">
        <w:rPr>
          <w:rFonts w:ascii="Arial" w:eastAsiaTheme="minorHAnsi" w:hAnsi="Arial" w:cs="Arial"/>
          <w:sz w:val="20"/>
        </w:rPr>
        <w:t xml:space="preserve"> y 201</w:t>
      </w:r>
      <w:r w:rsidR="00481A30">
        <w:rPr>
          <w:rFonts w:ascii="Arial" w:eastAsiaTheme="minorHAnsi" w:hAnsi="Arial" w:cs="Arial"/>
          <w:sz w:val="20"/>
        </w:rPr>
        <w:t>8</w:t>
      </w:r>
      <w:r w:rsidRPr="00AE0907">
        <w:rPr>
          <w:rFonts w:ascii="Arial" w:eastAsiaTheme="minorHAnsi" w:hAnsi="Arial" w:cs="Arial"/>
          <w:sz w:val="20"/>
        </w:rPr>
        <w:t xml:space="preserve"> son los siguientes:</w:t>
      </w:r>
    </w:p>
    <w:p w14:paraId="1F3BD27C" w14:textId="77777777" w:rsidR="00AE0907" w:rsidRPr="00AE0907" w:rsidRDefault="00AE0907" w:rsidP="00AE0907">
      <w:pPr>
        <w:jc w:val="both"/>
        <w:rPr>
          <w:rFonts w:ascii="Arial" w:hAnsi="Arial" w:cs="Arial"/>
          <w:sz w:val="20"/>
        </w:rPr>
      </w:pPr>
    </w:p>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03"/>
        <w:gridCol w:w="1276"/>
        <w:gridCol w:w="1418"/>
      </w:tblGrid>
      <w:tr w:rsidR="005232A7" w:rsidRPr="00AE0907" w14:paraId="7F4DCC28" w14:textId="77777777" w:rsidTr="005232A7">
        <w:trPr>
          <w:trHeight w:val="255"/>
          <w:tblHeader/>
        </w:trPr>
        <w:tc>
          <w:tcPr>
            <w:tcW w:w="5103" w:type="dxa"/>
            <w:shd w:val="clear" w:color="auto" w:fill="auto"/>
            <w:noWrap/>
            <w:vAlign w:val="bottom"/>
            <w:hideMark/>
          </w:tcPr>
          <w:p w14:paraId="55069020" w14:textId="77777777" w:rsidR="005232A7" w:rsidRPr="006E1AF7" w:rsidRDefault="005232A7" w:rsidP="00AE0907">
            <w:pPr>
              <w:jc w:val="both"/>
              <w:rPr>
                <w:rFonts w:ascii="Arial" w:hAnsi="Arial" w:cs="Arial"/>
                <w:sz w:val="18"/>
              </w:rPr>
            </w:pPr>
          </w:p>
        </w:tc>
        <w:tc>
          <w:tcPr>
            <w:tcW w:w="1276" w:type="dxa"/>
            <w:shd w:val="clear" w:color="auto" w:fill="auto"/>
            <w:noWrap/>
            <w:vAlign w:val="bottom"/>
            <w:hideMark/>
          </w:tcPr>
          <w:p w14:paraId="77D3F47D" w14:textId="3F95CD3E" w:rsidR="005232A7" w:rsidRPr="006E1AF7" w:rsidRDefault="005232A7" w:rsidP="00481A30">
            <w:pPr>
              <w:jc w:val="center"/>
              <w:rPr>
                <w:rFonts w:ascii="Arial" w:hAnsi="Arial" w:cs="Arial"/>
                <w:b/>
                <w:sz w:val="18"/>
              </w:rPr>
            </w:pPr>
            <w:r w:rsidRPr="006E1AF7">
              <w:rPr>
                <w:rFonts w:ascii="Arial" w:hAnsi="Arial" w:cs="Arial"/>
                <w:b/>
                <w:sz w:val="18"/>
              </w:rPr>
              <w:t>31/12/201</w:t>
            </w:r>
            <w:r w:rsidR="00481A30" w:rsidRPr="006E1AF7">
              <w:rPr>
                <w:rFonts w:ascii="Arial" w:hAnsi="Arial" w:cs="Arial"/>
                <w:b/>
                <w:sz w:val="18"/>
              </w:rPr>
              <w:t>9</w:t>
            </w:r>
          </w:p>
        </w:tc>
        <w:tc>
          <w:tcPr>
            <w:tcW w:w="1418" w:type="dxa"/>
            <w:shd w:val="clear" w:color="auto" w:fill="auto"/>
            <w:noWrap/>
            <w:vAlign w:val="bottom"/>
            <w:hideMark/>
          </w:tcPr>
          <w:p w14:paraId="19574996" w14:textId="07651CA0" w:rsidR="005232A7" w:rsidRPr="006E1AF7" w:rsidRDefault="005232A7" w:rsidP="00481A30">
            <w:pPr>
              <w:jc w:val="center"/>
              <w:rPr>
                <w:rFonts w:ascii="Arial" w:hAnsi="Arial" w:cs="Arial"/>
                <w:b/>
                <w:sz w:val="18"/>
              </w:rPr>
            </w:pPr>
            <w:r w:rsidRPr="006E1AF7">
              <w:rPr>
                <w:rFonts w:ascii="Arial" w:hAnsi="Arial" w:cs="Arial"/>
                <w:b/>
                <w:sz w:val="18"/>
              </w:rPr>
              <w:t>31/12/201</w:t>
            </w:r>
            <w:r w:rsidR="00481A30" w:rsidRPr="006E1AF7">
              <w:rPr>
                <w:rFonts w:ascii="Arial" w:hAnsi="Arial" w:cs="Arial"/>
                <w:b/>
                <w:sz w:val="18"/>
              </w:rPr>
              <w:t>8</w:t>
            </w:r>
          </w:p>
        </w:tc>
      </w:tr>
      <w:tr w:rsidR="009B7193" w:rsidRPr="00AE0907" w14:paraId="227CF140" w14:textId="77777777" w:rsidTr="001A3619">
        <w:trPr>
          <w:trHeight w:val="255"/>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9E0FF1" w14:textId="77777777" w:rsidR="009B7193" w:rsidRPr="006E1AF7" w:rsidRDefault="009B7193" w:rsidP="009B7193">
            <w:pPr>
              <w:jc w:val="both"/>
              <w:rPr>
                <w:rFonts w:ascii="Arial" w:hAnsi="Arial" w:cs="Arial"/>
                <w:sz w:val="18"/>
              </w:rPr>
            </w:pPr>
            <w:r w:rsidRPr="006E1AF7">
              <w:rPr>
                <w:rFonts w:ascii="Arial" w:hAnsi="Arial" w:cs="Arial"/>
                <w:sz w:val="18"/>
              </w:rPr>
              <w:t>Tarjeta Automática S.A.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682AA" w14:textId="6D44CE74" w:rsidR="009B7193" w:rsidRPr="006E1AF7" w:rsidRDefault="009B7193" w:rsidP="009B7193">
            <w:pPr>
              <w:jc w:val="right"/>
              <w:rPr>
                <w:rFonts w:ascii="Arial" w:hAnsi="Arial" w:cs="Arial"/>
                <w:sz w:val="18"/>
              </w:rPr>
            </w:pPr>
            <w:r w:rsidRPr="006E1AF7">
              <w:rPr>
                <w:rFonts w:ascii="Arial" w:hAnsi="Arial" w:cs="Arial"/>
                <w:color w:val="000000"/>
                <w:sz w:val="18"/>
              </w:rPr>
              <w:t xml:space="preserve">41.944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5FA619" w14:textId="41B7DA2C" w:rsidR="009B7193" w:rsidRPr="006E1AF7" w:rsidRDefault="009B7193" w:rsidP="009B7193">
            <w:pPr>
              <w:jc w:val="right"/>
              <w:rPr>
                <w:rFonts w:ascii="Arial" w:hAnsi="Arial" w:cs="Arial"/>
                <w:sz w:val="18"/>
              </w:rPr>
            </w:pPr>
            <w:r w:rsidRPr="006E1AF7">
              <w:rPr>
                <w:rFonts w:ascii="Arial" w:hAnsi="Arial" w:cs="Arial"/>
                <w:sz w:val="18"/>
              </w:rPr>
              <w:t>48.878</w:t>
            </w:r>
          </w:p>
        </w:tc>
      </w:tr>
      <w:tr w:rsidR="009B7193" w:rsidRPr="00AE0907" w14:paraId="4AC850E9" w14:textId="77777777" w:rsidTr="001A3619">
        <w:trPr>
          <w:trHeight w:val="255"/>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8F8C42" w14:textId="5367FADB" w:rsidR="009B7193" w:rsidRPr="006E1AF7" w:rsidRDefault="009B7193" w:rsidP="009B7193">
            <w:pPr>
              <w:jc w:val="both"/>
              <w:rPr>
                <w:rFonts w:ascii="Arial" w:hAnsi="Arial" w:cs="Arial"/>
                <w:sz w:val="18"/>
              </w:rPr>
            </w:pPr>
            <w:r w:rsidRPr="006E1AF7">
              <w:rPr>
                <w:rFonts w:ascii="Arial" w:hAnsi="Arial" w:cs="Arial"/>
                <w:sz w:val="18"/>
              </w:rPr>
              <w:t>Otros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04B803" w14:textId="03B12757" w:rsidR="009B7193" w:rsidRPr="006E1AF7" w:rsidRDefault="009B7193" w:rsidP="009B7193">
            <w:pPr>
              <w:jc w:val="right"/>
              <w:rPr>
                <w:rFonts w:ascii="Arial" w:hAnsi="Arial" w:cs="Arial"/>
                <w:sz w:val="18"/>
              </w:rPr>
            </w:pPr>
            <w:r w:rsidRPr="006E1AF7">
              <w:rPr>
                <w:rFonts w:ascii="Arial" w:hAnsi="Arial" w:cs="Arial"/>
                <w:color w:val="000000"/>
                <w:sz w:val="18"/>
              </w:rPr>
              <w:t xml:space="preserve">839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4247B" w14:textId="5A36D10E" w:rsidR="009B7193" w:rsidRPr="006E1AF7" w:rsidRDefault="002C509D" w:rsidP="009B7193">
            <w:pPr>
              <w:jc w:val="right"/>
              <w:rPr>
                <w:rFonts w:ascii="Arial" w:hAnsi="Arial" w:cs="Arial"/>
                <w:sz w:val="18"/>
              </w:rPr>
            </w:pPr>
            <w:r w:rsidRPr="006E1AF7">
              <w:rPr>
                <w:rFonts w:ascii="Arial" w:hAnsi="Arial" w:cs="Arial"/>
                <w:sz w:val="18"/>
              </w:rPr>
              <w:t>-</w:t>
            </w:r>
          </w:p>
        </w:tc>
      </w:tr>
      <w:tr w:rsidR="00481A30" w:rsidRPr="00AE0907" w14:paraId="24FEE3D0" w14:textId="77777777" w:rsidTr="001A3619">
        <w:trPr>
          <w:trHeight w:val="270"/>
        </w:trPr>
        <w:tc>
          <w:tcPr>
            <w:tcW w:w="5103" w:type="dxa"/>
            <w:shd w:val="clear" w:color="auto" w:fill="auto"/>
            <w:noWrap/>
            <w:vAlign w:val="bottom"/>
            <w:hideMark/>
          </w:tcPr>
          <w:p w14:paraId="2E3FF9E5" w14:textId="77777777" w:rsidR="00481A30" w:rsidRPr="006E1AF7" w:rsidRDefault="00481A30" w:rsidP="00481A30">
            <w:pPr>
              <w:jc w:val="both"/>
              <w:rPr>
                <w:rFonts w:ascii="Arial" w:hAnsi="Arial" w:cs="Arial"/>
                <w:b/>
                <w:sz w:val="18"/>
              </w:rPr>
            </w:pPr>
            <w:r w:rsidRPr="006E1AF7">
              <w:rPr>
                <w:rFonts w:ascii="Arial" w:hAnsi="Arial" w:cs="Arial"/>
                <w:b/>
                <w:sz w:val="18"/>
              </w:rPr>
              <w:t>Total</w:t>
            </w:r>
          </w:p>
        </w:tc>
        <w:tc>
          <w:tcPr>
            <w:tcW w:w="1276" w:type="dxa"/>
            <w:shd w:val="clear" w:color="auto" w:fill="auto"/>
            <w:noWrap/>
            <w:vAlign w:val="bottom"/>
          </w:tcPr>
          <w:p w14:paraId="67629144" w14:textId="55BEE55E" w:rsidR="00481A30" w:rsidRPr="006E1AF7" w:rsidRDefault="009B7193" w:rsidP="00481A30">
            <w:pPr>
              <w:jc w:val="right"/>
              <w:rPr>
                <w:rFonts w:ascii="Arial" w:hAnsi="Arial" w:cs="Arial"/>
                <w:b/>
                <w:sz w:val="18"/>
              </w:rPr>
            </w:pPr>
            <w:r w:rsidRPr="006E1AF7">
              <w:rPr>
                <w:rFonts w:ascii="Arial" w:hAnsi="Arial" w:cs="Arial"/>
                <w:b/>
                <w:sz w:val="18"/>
              </w:rPr>
              <w:t>42.783</w:t>
            </w:r>
          </w:p>
        </w:tc>
        <w:tc>
          <w:tcPr>
            <w:tcW w:w="1418" w:type="dxa"/>
            <w:shd w:val="clear" w:color="auto" w:fill="auto"/>
            <w:noWrap/>
            <w:vAlign w:val="bottom"/>
            <w:hideMark/>
          </w:tcPr>
          <w:p w14:paraId="4B6BDE0E" w14:textId="5085195B" w:rsidR="00481A30" w:rsidRPr="006E1AF7" w:rsidRDefault="00481A30" w:rsidP="00481A30">
            <w:pPr>
              <w:jc w:val="right"/>
              <w:rPr>
                <w:rFonts w:ascii="Arial" w:hAnsi="Arial" w:cs="Arial"/>
                <w:b/>
                <w:sz w:val="18"/>
              </w:rPr>
            </w:pPr>
            <w:r w:rsidRPr="006E1AF7">
              <w:rPr>
                <w:rFonts w:ascii="Arial" w:hAnsi="Arial" w:cs="Arial"/>
                <w:b/>
                <w:sz w:val="18"/>
              </w:rPr>
              <w:t>48.878</w:t>
            </w:r>
          </w:p>
        </w:tc>
      </w:tr>
    </w:tbl>
    <w:p w14:paraId="61767189" w14:textId="77777777" w:rsidR="00AE0907" w:rsidRPr="00AE0907" w:rsidRDefault="00AE0907" w:rsidP="00AE0907">
      <w:pPr>
        <w:jc w:val="both"/>
        <w:rPr>
          <w:rFonts w:ascii="Arial" w:hAnsi="Arial" w:cs="Arial"/>
          <w:sz w:val="20"/>
        </w:rPr>
      </w:pPr>
    </w:p>
    <w:p w14:paraId="17EE7FD8" w14:textId="02F3B026"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w:t>
      </w:r>
      <w:r w:rsidR="008F1163">
        <w:rPr>
          <w:rFonts w:ascii="Arial" w:hAnsi="Arial" w:cs="Arial"/>
          <w:sz w:val="20"/>
        </w:rPr>
        <w:t>8</w:t>
      </w:r>
      <w:r w:rsidR="00AE0907" w:rsidRPr="00AE0907">
        <w:rPr>
          <w:rFonts w:ascii="Arial" w:hAnsi="Arial" w:cs="Arial"/>
          <w:sz w:val="20"/>
        </w:rPr>
        <w:t xml:space="preserve"> Otros activos no financieros</w:t>
      </w:r>
    </w:p>
    <w:p w14:paraId="33AB4A9A" w14:textId="77777777" w:rsidR="00AE0907" w:rsidRPr="00AE0907" w:rsidRDefault="00AE0907" w:rsidP="00AE0907">
      <w:pPr>
        <w:jc w:val="both"/>
        <w:rPr>
          <w:rFonts w:ascii="Arial" w:hAnsi="Arial" w:cs="Arial"/>
          <w:sz w:val="20"/>
        </w:rPr>
      </w:pPr>
    </w:p>
    <w:p w14:paraId="4D59B436" w14:textId="1E28F099" w:rsidR="00AE0907" w:rsidRPr="00AE0907" w:rsidRDefault="00AE0907" w:rsidP="00AE0907">
      <w:pPr>
        <w:jc w:val="both"/>
        <w:rPr>
          <w:rFonts w:ascii="Arial" w:hAnsi="Arial" w:cs="Arial"/>
          <w:sz w:val="20"/>
        </w:rPr>
      </w:pPr>
      <w:r w:rsidRPr="00AE0907">
        <w:rPr>
          <w:rFonts w:ascii="Arial" w:eastAsiaTheme="minorHAnsi" w:hAnsi="Arial" w:cs="Arial"/>
          <w:sz w:val="20"/>
        </w:rPr>
        <w:t>Los principales componentes del rubro otros activos no financieros al 31 de diciembre de 201</w:t>
      </w:r>
      <w:r w:rsidR="00481A30">
        <w:rPr>
          <w:rFonts w:ascii="Arial" w:eastAsiaTheme="minorHAnsi" w:hAnsi="Arial" w:cs="Arial"/>
          <w:sz w:val="20"/>
        </w:rPr>
        <w:t>9</w:t>
      </w:r>
      <w:r w:rsidRPr="00AE0907">
        <w:rPr>
          <w:rFonts w:ascii="Arial" w:eastAsiaTheme="minorHAnsi" w:hAnsi="Arial" w:cs="Arial"/>
          <w:sz w:val="20"/>
        </w:rPr>
        <w:t xml:space="preserve"> y 201</w:t>
      </w:r>
      <w:r w:rsidR="00481A30">
        <w:rPr>
          <w:rFonts w:ascii="Arial" w:eastAsiaTheme="minorHAnsi" w:hAnsi="Arial" w:cs="Arial"/>
          <w:sz w:val="20"/>
        </w:rPr>
        <w:t>8</w:t>
      </w:r>
      <w:r w:rsidRPr="00AE0907">
        <w:rPr>
          <w:rFonts w:ascii="Arial" w:eastAsiaTheme="minorHAnsi" w:hAnsi="Arial" w:cs="Arial"/>
          <w:sz w:val="20"/>
        </w:rPr>
        <w:t xml:space="preserve"> son los siguientes:</w:t>
      </w:r>
    </w:p>
    <w:p w14:paraId="0563534A" w14:textId="77777777" w:rsidR="00AE0907" w:rsidRPr="00AE0907" w:rsidRDefault="00AE0907" w:rsidP="00AE0907">
      <w:pPr>
        <w:jc w:val="both"/>
        <w:rPr>
          <w:rFonts w:ascii="Arial" w:hAnsi="Arial" w:cs="Arial"/>
          <w:sz w:val="20"/>
        </w:rPr>
      </w:pPr>
    </w:p>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03"/>
        <w:gridCol w:w="1276"/>
        <w:gridCol w:w="1418"/>
      </w:tblGrid>
      <w:tr w:rsidR="005232A7" w:rsidRPr="00AE0907" w14:paraId="640749E7" w14:textId="77777777" w:rsidTr="005232A7">
        <w:trPr>
          <w:trHeight w:val="255"/>
          <w:tblHeader/>
        </w:trPr>
        <w:tc>
          <w:tcPr>
            <w:tcW w:w="5103" w:type="dxa"/>
            <w:shd w:val="clear" w:color="auto" w:fill="auto"/>
            <w:noWrap/>
            <w:vAlign w:val="bottom"/>
            <w:hideMark/>
          </w:tcPr>
          <w:p w14:paraId="4E7EDEED" w14:textId="77777777" w:rsidR="005232A7" w:rsidRPr="00AE0907" w:rsidRDefault="005232A7" w:rsidP="00AE0907">
            <w:pPr>
              <w:jc w:val="both"/>
              <w:rPr>
                <w:rFonts w:ascii="Arial" w:hAnsi="Arial" w:cs="Arial"/>
                <w:sz w:val="20"/>
              </w:rPr>
            </w:pPr>
          </w:p>
        </w:tc>
        <w:tc>
          <w:tcPr>
            <w:tcW w:w="1276" w:type="dxa"/>
            <w:shd w:val="clear" w:color="auto" w:fill="auto"/>
            <w:noWrap/>
            <w:vAlign w:val="bottom"/>
            <w:hideMark/>
          </w:tcPr>
          <w:p w14:paraId="743B07E8" w14:textId="5EF819FB" w:rsidR="005232A7" w:rsidRPr="00481A30" w:rsidRDefault="005232A7" w:rsidP="00481A30">
            <w:pPr>
              <w:jc w:val="center"/>
              <w:rPr>
                <w:rFonts w:ascii="Arial" w:hAnsi="Arial" w:cs="Arial"/>
                <w:b/>
                <w:sz w:val="20"/>
              </w:rPr>
            </w:pPr>
            <w:r w:rsidRPr="00481A30">
              <w:rPr>
                <w:rFonts w:ascii="Arial" w:hAnsi="Arial" w:cs="Arial"/>
                <w:b/>
                <w:sz w:val="20"/>
              </w:rPr>
              <w:t>31/12/201</w:t>
            </w:r>
            <w:r w:rsidR="00481A30">
              <w:rPr>
                <w:rFonts w:ascii="Arial" w:hAnsi="Arial" w:cs="Arial"/>
                <w:b/>
                <w:sz w:val="20"/>
              </w:rPr>
              <w:t>9</w:t>
            </w:r>
          </w:p>
        </w:tc>
        <w:tc>
          <w:tcPr>
            <w:tcW w:w="1418" w:type="dxa"/>
            <w:shd w:val="clear" w:color="auto" w:fill="auto"/>
            <w:noWrap/>
            <w:vAlign w:val="bottom"/>
            <w:hideMark/>
          </w:tcPr>
          <w:p w14:paraId="17AB3902" w14:textId="30BB823C" w:rsidR="005232A7" w:rsidRPr="00481A30" w:rsidRDefault="005232A7" w:rsidP="00481A30">
            <w:pPr>
              <w:jc w:val="center"/>
              <w:rPr>
                <w:rFonts w:ascii="Arial" w:hAnsi="Arial" w:cs="Arial"/>
                <w:b/>
                <w:sz w:val="20"/>
              </w:rPr>
            </w:pPr>
            <w:r w:rsidRPr="00481A30">
              <w:rPr>
                <w:rFonts w:ascii="Arial" w:hAnsi="Arial" w:cs="Arial"/>
                <w:b/>
                <w:sz w:val="20"/>
              </w:rPr>
              <w:t>31/12/201</w:t>
            </w:r>
            <w:r w:rsidR="00481A30">
              <w:rPr>
                <w:rFonts w:ascii="Arial" w:hAnsi="Arial" w:cs="Arial"/>
                <w:b/>
                <w:sz w:val="20"/>
              </w:rPr>
              <w:t>8</w:t>
            </w:r>
          </w:p>
        </w:tc>
      </w:tr>
      <w:tr w:rsidR="009B7193" w:rsidRPr="00AE0907" w14:paraId="473DF1AC" w14:textId="77777777" w:rsidTr="005232A7">
        <w:trPr>
          <w:trHeight w:val="255"/>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AB1616" w14:textId="77777777" w:rsidR="009B7193" w:rsidRPr="00AE0907" w:rsidRDefault="009B7193" w:rsidP="009B7193">
            <w:pPr>
              <w:jc w:val="both"/>
              <w:rPr>
                <w:rFonts w:ascii="Arial" w:hAnsi="Arial" w:cs="Arial"/>
                <w:sz w:val="20"/>
              </w:rPr>
            </w:pPr>
            <w:r w:rsidRPr="00AE0907">
              <w:rPr>
                <w:rFonts w:ascii="Arial" w:hAnsi="Arial" w:cs="Arial"/>
                <w:sz w:val="20"/>
              </w:rPr>
              <w:t>Otros Bienes Diversos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7B046F" w14:textId="06F61C22" w:rsidR="009B7193" w:rsidRPr="00AE0907" w:rsidRDefault="009B7193" w:rsidP="009B7193">
            <w:pPr>
              <w:jc w:val="right"/>
              <w:rPr>
                <w:rFonts w:ascii="Arial" w:hAnsi="Arial" w:cs="Arial"/>
                <w:sz w:val="20"/>
              </w:rPr>
            </w:pPr>
            <w:r>
              <w:rPr>
                <w:rFonts w:ascii="Arial" w:hAnsi="Arial" w:cs="Arial"/>
                <w:color w:val="000000"/>
                <w:sz w:val="20"/>
              </w:rPr>
              <w:t xml:space="preserve">565.221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660A3D" w14:textId="45BC16E9" w:rsidR="009B7193" w:rsidRPr="00AE0907" w:rsidRDefault="009B7193" w:rsidP="009B7193">
            <w:pPr>
              <w:jc w:val="right"/>
              <w:rPr>
                <w:rFonts w:ascii="Arial" w:hAnsi="Arial" w:cs="Arial"/>
                <w:sz w:val="20"/>
              </w:rPr>
            </w:pPr>
            <w:r w:rsidRPr="00AE0907">
              <w:rPr>
                <w:rFonts w:ascii="Arial" w:hAnsi="Arial" w:cs="Arial"/>
                <w:sz w:val="20"/>
              </w:rPr>
              <w:t xml:space="preserve">427.184 </w:t>
            </w:r>
          </w:p>
        </w:tc>
      </w:tr>
      <w:tr w:rsidR="009B7193" w:rsidRPr="00AE0907" w14:paraId="68CDA83E" w14:textId="77777777" w:rsidTr="005232A7">
        <w:trPr>
          <w:trHeight w:val="255"/>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6D2CE0" w14:textId="77777777" w:rsidR="009B7193" w:rsidRPr="00AE0907" w:rsidRDefault="009B7193" w:rsidP="009B7193">
            <w:pPr>
              <w:jc w:val="both"/>
              <w:rPr>
                <w:rFonts w:ascii="Arial" w:hAnsi="Arial" w:cs="Arial"/>
                <w:sz w:val="20"/>
              </w:rPr>
            </w:pPr>
            <w:r w:rsidRPr="00AE0907">
              <w:rPr>
                <w:rFonts w:ascii="Arial" w:hAnsi="Arial" w:cs="Arial"/>
                <w:sz w:val="20"/>
              </w:rPr>
              <w:t>Anticipos al personal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5F5B9A" w14:textId="2AA206AA" w:rsidR="009B7193" w:rsidRPr="00AE0907" w:rsidRDefault="009B7193" w:rsidP="009B7193">
            <w:pPr>
              <w:jc w:val="right"/>
              <w:rPr>
                <w:rFonts w:ascii="Arial" w:hAnsi="Arial" w:cs="Arial"/>
                <w:sz w:val="20"/>
              </w:rPr>
            </w:pPr>
            <w:r>
              <w:rPr>
                <w:rFonts w:ascii="Arial" w:hAnsi="Arial" w:cs="Arial"/>
                <w:color w:val="000000"/>
                <w:sz w:val="20"/>
              </w:rPr>
              <w:t xml:space="preserve">240.697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9EEB3" w14:textId="1B402C6B" w:rsidR="009B7193" w:rsidRPr="00AE0907" w:rsidRDefault="009B7193" w:rsidP="009B7193">
            <w:pPr>
              <w:jc w:val="right"/>
              <w:rPr>
                <w:rFonts w:ascii="Arial" w:hAnsi="Arial" w:cs="Arial"/>
                <w:sz w:val="20"/>
              </w:rPr>
            </w:pPr>
            <w:r w:rsidRPr="00AE0907">
              <w:rPr>
                <w:rFonts w:ascii="Arial" w:hAnsi="Arial" w:cs="Arial"/>
                <w:sz w:val="20"/>
              </w:rPr>
              <w:t xml:space="preserve">156.587 </w:t>
            </w:r>
          </w:p>
        </w:tc>
      </w:tr>
      <w:tr w:rsidR="009B7193" w:rsidRPr="00AE0907" w14:paraId="4100F35A" w14:textId="77777777" w:rsidTr="005232A7">
        <w:trPr>
          <w:trHeight w:val="255"/>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C4D68" w14:textId="77777777" w:rsidR="009B7193" w:rsidRPr="00AE0907" w:rsidRDefault="009B7193" w:rsidP="009B7193">
            <w:pPr>
              <w:jc w:val="both"/>
              <w:rPr>
                <w:rFonts w:ascii="Arial" w:hAnsi="Arial" w:cs="Arial"/>
                <w:sz w:val="20"/>
              </w:rPr>
            </w:pPr>
            <w:r w:rsidRPr="00AE0907">
              <w:rPr>
                <w:rFonts w:ascii="Arial" w:hAnsi="Arial" w:cs="Arial"/>
                <w:sz w:val="20"/>
              </w:rPr>
              <w:t>Propiedades de inversión - Bienes alquilados (Anexo F)</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F2646D" w14:textId="24E67815" w:rsidR="009B7193" w:rsidRPr="00AE0907" w:rsidRDefault="009B7193" w:rsidP="009B7193">
            <w:pPr>
              <w:jc w:val="right"/>
              <w:rPr>
                <w:rFonts w:ascii="Arial" w:hAnsi="Arial" w:cs="Arial"/>
                <w:sz w:val="20"/>
              </w:rPr>
            </w:pPr>
            <w:r>
              <w:rPr>
                <w:rFonts w:ascii="Arial" w:hAnsi="Arial" w:cs="Arial"/>
                <w:color w:val="000000"/>
                <w:sz w:val="20"/>
              </w:rPr>
              <w:t xml:space="preserve">3.877.642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374AE" w14:textId="530617DB" w:rsidR="009B7193" w:rsidRPr="00AE0907" w:rsidRDefault="009B7193" w:rsidP="009B7193">
            <w:pPr>
              <w:jc w:val="right"/>
              <w:rPr>
                <w:rFonts w:ascii="Arial" w:hAnsi="Arial" w:cs="Arial"/>
                <w:sz w:val="20"/>
              </w:rPr>
            </w:pPr>
            <w:r w:rsidRPr="00AE0907">
              <w:rPr>
                <w:rFonts w:ascii="Arial" w:hAnsi="Arial" w:cs="Arial"/>
                <w:sz w:val="20"/>
              </w:rPr>
              <w:t xml:space="preserve">412.822 </w:t>
            </w:r>
          </w:p>
        </w:tc>
      </w:tr>
      <w:tr w:rsidR="009B7193" w:rsidRPr="00AE0907" w14:paraId="50B973BE" w14:textId="77777777" w:rsidTr="005232A7">
        <w:trPr>
          <w:trHeight w:val="255"/>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494D7" w14:textId="77777777" w:rsidR="009B7193" w:rsidRPr="00AE0907" w:rsidRDefault="009B7193" w:rsidP="009B7193">
            <w:pPr>
              <w:jc w:val="both"/>
              <w:rPr>
                <w:rFonts w:ascii="Arial" w:hAnsi="Arial" w:cs="Arial"/>
                <w:sz w:val="20"/>
              </w:rPr>
            </w:pPr>
            <w:r w:rsidRPr="00AE0907">
              <w:rPr>
                <w:rFonts w:ascii="Arial" w:hAnsi="Arial" w:cs="Arial"/>
                <w:sz w:val="20"/>
              </w:rPr>
              <w:t>Pagos efectuados por adelantado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EF171" w14:textId="75B6BAE3" w:rsidR="009B7193" w:rsidRPr="00AE0907" w:rsidRDefault="009B7193" w:rsidP="009B7193">
            <w:pPr>
              <w:jc w:val="right"/>
              <w:rPr>
                <w:rFonts w:ascii="Arial" w:hAnsi="Arial" w:cs="Arial"/>
                <w:sz w:val="20"/>
              </w:rPr>
            </w:pPr>
            <w:r>
              <w:rPr>
                <w:rFonts w:ascii="Arial" w:hAnsi="Arial" w:cs="Arial"/>
                <w:color w:val="000000"/>
                <w:sz w:val="20"/>
              </w:rPr>
              <w:t xml:space="preserve">11.388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916720" w14:textId="1B1D1A1E" w:rsidR="009B7193" w:rsidRPr="00AE0907" w:rsidRDefault="009B7193" w:rsidP="009B7193">
            <w:pPr>
              <w:jc w:val="right"/>
              <w:rPr>
                <w:rFonts w:ascii="Arial" w:hAnsi="Arial" w:cs="Arial"/>
                <w:sz w:val="20"/>
              </w:rPr>
            </w:pPr>
            <w:r w:rsidRPr="00AE0907">
              <w:rPr>
                <w:rFonts w:ascii="Arial" w:hAnsi="Arial" w:cs="Arial"/>
                <w:sz w:val="20"/>
              </w:rPr>
              <w:t xml:space="preserve">1.229 </w:t>
            </w:r>
          </w:p>
        </w:tc>
      </w:tr>
      <w:tr w:rsidR="009B7193" w:rsidRPr="00AE0907" w14:paraId="33B95B51" w14:textId="77777777" w:rsidTr="005232A7">
        <w:trPr>
          <w:trHeight w:val="255"/>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A17B0" w14:textId="77777777" w:rsidR="009B7193" w:rsidRPr="00AE0907" w:rsidRDefault="009B7193" w:rsidP="009B7193">
            <w:pPr>
              <w:jc w:val="both"/>
              <w:rPr>
                <w:rFonts w:ascii="Arial" w:hAnsi="Arial" w:cs="Arial"/>
                <w:sz w:val="20"/>
              </w:rPr>
            </w:pPr>
            <w:r w:rsidRPr="00AE0907">
              <w:rPr>
                <w:rFonts w:ascii="Arial" w:hAnsi="Arial" w:cs="Arial"/>
                <w:sz w:val="20"/>
              </w:rPr>
              <w:t>Obras de arte y piezas de colección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8BA8B5" w14:textId="7E2C81D5" w:rsidR="009B7193" w:rsidRPr="00AE0907" w:rsidRDefault="009B7193" w:rsidP="009B7193">
            <w:pPr>
              <w:jc w:val="right"/>
              <w:rPr>
                <w:rFonts w:ascii="Arial" w:hAnsi="Arial" w:cs="Arial"/>
                <w:sz w:val="20"/>
              </w:rPr>
            </w:pPr>
            <w:r>
              <w:rPr>
                <w:rFonts w:ascii="Arial" w:hAnsi="Arial" w:cs="Arial"/>
                <w:color w:val="000000"/>
                <w:sz w:val="20"/>
              </w:rPr>
              <w:t xml:space="preserve">4.512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405A4" w14:textId="28F47282" w:rsidR="009B7193" w:rsidRPr="00AE0907" w:rsidRDefault="009B7193" w:rsidP="009B7193">
            <w:pPr>
              <w:jc w:val="right"/>
              <w:rPr>
                <w:rFonts w:ascii="Arial" w:hAnsi="Arial" w:cs="Arial"/>
                <w:sz w:val="20"/>
              </w:rPr>
            </w:pPr>
            <w:r w:rsidRPr="00AE0907">
              <w:rPr>
                <w:rFonts w:ascii="Arial" w:hAnsi="Arial" w:cs="Arial"/>
                <w:sz w:val="20"/>
              </w:rPr>
              <w:t xml:space="preserve">4.483 </w:t>
            </w:r>
          </w:p>
        </w:tc>
      </w:tr>
      <w:tr w:rsidR="00481A30" w:rsidRPr="00481A30" w14:paraId="0C20B0BA" w14:textId="77777777" w:rsidTr="005232A7">
        <w:trPr>
          <w:trHeight w:val="270"/>
        </w:trPr>
        <w:tc>
          <w:tcPr>
            <w:tcW w:w="5103" w:type="dxa"/>
            <w:shd w:val="clear" w:color="auto" w:fill="auto"/>
            <w:noWrap/>
            <w:vAlign w:val="bottom"/>
            <w:hideMark/>
          </w:tcPr>
          <w:p w14:paraId="68F0EE84" w14:textId="77777777" w:rsidR="00481A30" w:rsidRPr="00481A30" w:rsidRDefault="00481A30" w:rsidP="00481A30">
            <w:pPr>
              <w:jc w:val="both"/>
              <w:rPr>
                <w:rFonts w:ascii="Arial" w:hAnsi="Arial" w:cs="Arial"/>
                <w:b/>
                <w:sz w:val="20"/>
              </w:rPr>
            </w:pPr>
            <w:r w:rsidRPr="00481A30">
              <w:rPr>
                <w:rFonts w:ascii="Arial" w:hAnsi="Arial" w:cs="Arial"/>
                <w:b/>
                <w:sz w:val="20"/>
              </w:rPr>
              <w:t>Total</w:t>
            </w:r>
          </w:p>
        </w:tc>
        <w:tc>
          <w:tcPr>
            <w:tcW w:w="1276" w:type="dxa"/>
            <w:shd w:val="clear" w:color="auto" w:fill="auto"/>
            <w:noWrap/>
            <w:vAlign w:val="bottom"/>
          </w:tcPr>
          <w:p w14:paraId="7DFB31B7" w14:textId="37EE48EA" w:rsidR="00481A30" w:rsidRPr="00481A30" w:rsidRDefault="006311C5" w:rsidP="00481A30">
            <w:pPr>
              <w:jc w:val="right"/>
              <w:rPr>
                <w:rFonts w:ascii="Arial" w:hAnsi="Arial" w:cs="Arial"/>
                <w:b/>
                <w:sz w:val="20"/>
              </w:rPr>
            </w:pPr>
            <w:r w:rsidRPr="006311C5">
              <w:rPr>
                <w:rFonts w:ascii="Arial" w:hAnsi="Arial" w:cs="Arial"/>
                <w:b/>
                <w:sz w:val="20"/>
              </w:rPr>
              <w:t>4.699.460</w:t>
            </w:r>
          </w:p>
        </w:tc>
        <w:tc>
          <w:tcPr>
            <w:tcW w:w="1418" w:type="dxa"/>
            <w:shd w:val="clear" w:color="auto" w:fill="auto"/>
            <w:noWrap/>
            <w:vAlign w:val="bottom"/>
            <w:hideMark/>
          </w:tcPr>
          <w:p w14:paraId="28AF2BAC" w14:textId="6C4251DC" w:rsidR="00481A30" w:rsidRPr="00481A30" w:rsidRDefault="00481A30" w:rsidP="00481A30">
            <w:pPr>
              <w:jc w:val="right"/>
              <w:rPr>
                <w:rFonts w:ascii="Arial" w:hAnsi="Arial" w:cs="Arial"/>
                <w:b/>
                <w:sz w:val="20"/>
              </w:rPr>
            </w:pPr>
            <w:r w:rsidRPr="00481A30">
              <w:rPr>
                <w:rFonts w:ascii="Arial" w:hAnsi="Arial" w:cs="Arial"/>
                <w:b/>
                <w:sz w:val="20"/>
              </w:rPr>
              <w:t>1.002.305</w:t>
            </w:r>
          </w:p>
        </w:tc>
      </w:tr>
    </w:tbl>
    <w:p w14:paraId="5D287E19" w14:textId="77777777" w:rsidR="00AE0907" w:rsidRPr="00AE0907" w:rsidRDefault="00AE0907" w:rsidP="00AE0907">
      <w:pPr>
        <w:jc w:val="both"/>
        <w:rPr>
          <w:rFonts w:ascii="Arial" w:hAnsi="Arial" w:cs="Arial"/>
          <w:sz w:val="20"/>
        </w:rPr>
      </w:pPr>
    </w:p>
    <w:p w14:paraId="757A7D90" w14:textId="09E9D417"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w:t>
      </w:r>
      <w:r w:rsidR="008F1163">
        <w:rPr>
          <w:rFonts w:ascii="Arial" w:hAnsi="Arial" w:cs="Arial"/>
          <w:sz w:val="20"/>
        </w:rPr>
        <w:t>9</w:t>
      </w:r>
      <w:r w:rsidR="00AE0907" w:rsidRPr="00AE0907">
        <w:rPr>
          <w:rFonts w:ascii="Arial" w:hAnsi="Arial" w:cs="Arial"/>
          <w:sz w:val="20"/>
        </w:rPr>
        <w:t xml:space="preserve"> Depósitos</w:t>
      </w:r>
    </w:p>
    <w:p w14:paraId="77300082" w14:textId="77777777" w:rsidR="00AE0907" w:rsidRPr="00AE0907" w:rsidRDefault="00AE0907" w:rsidP="00AE0907">
      <w:pPr>
        <w:jc w:val="both"/>
        <w:rPr>
          <w:rFonts w:ascii="Arial" w:hAnsi="Arial" w:cs="Arial"/>
          <w:sz w:val="20"/>
        </w:rPr>
      </w:pPr>
    </w:p>
    <w:p w14:paraId="07907D88" w14:textId="09BDC3E5" w:rsidR="00AE0907" w:rsidRDefault="00AE0907" w:rsidP="00AE0907">
      <w:pPr>
        <w:jc w:val="both"/>
        <w:rPr>
          <w:rFonts w:ascii="Arial" w:eastAsiaTheme="minorHAnsi" w:hAnsi="Arial" w:cs="Arial"/>
          <w:sz w:val="20"/>
        </w:rPr>
      </w:pPr>
      <w:r w:rsidRPr="00AE0907">
        <w:rPr>
          <w:rFonts w:ascii="Arial" w:eastAsiaTheme="minorHAnsi" w:hAnsi="Arial" w:cs="Arial"/>
          <w:sz w:val="20"/>
        </w:rPr>
        <w:t>Los principales componentes del rubro depósitos al 31 de diciembre de 201</w:t>
      </w:r>
      <w:r w:rsidR="00481A30">
        <w:rPr>
          <w:rFonts w:ascii="Arial" w:eastAsiaTheme="minorHAnsi" w:hAnsi="Arial" w:cs="Arial"/>
          <w:sz w:val="20"/>
        </w:rPr>
        <w:t>9</w:t>
      </w:r>
      <w:r w:rsidRPr="00AE0907">
        <w:rPr>
          <w:rFonts w:ascii="Arial" w:eastAsiaTheme="minorHAnsi" w:hAnsi="Arial" w:cs="Arial"/>
          <w:sz w:val="20"/>
        </w:rPr>
        <w:t xml:space="preserve"> y 201</w:t>
      </w:r>
      <w:r w:rsidR="00481A30">
        <w:rPr>
          <w:rFonts w:ascii="Arial" w:eastAsiaTheme="minorHAnsi" w:hAnsi="Arial" w:cs="Arial"/>
          <w:sz w:val="20"/>
        </w:rPr>
        <w:t>8</w:t>
      </w:r>
      <w:r w:rsidRPr="00AE0907">
        <w:rPr>
          <w:rFonts w:ascii="Arial" w:eastAsiaTheme="minorHAnsi" w:hAnsi="Arial" w:cs="Arial"/>
          <w:sz w:val="20"/>
        </w:rPr>
        <w:t xml:space="preserve"> son los siguientes:</w:t>
      </w:r>
    </w:p>
    <w:p w14:paraId="3CB02AC7" w14:textId="2930EC50" w:rsidR="000B1093" w:rsidRDefault="000B1093">
      <w:pPr>
        <w:rPr>
          <w:rFonts w:ascii="Arial" w:eastAsiaTheme="minorHAnsi" w:hAnsi="Arial" w:cs="Arial"/>
          <w:sz w:val="20"/>
        </w:rPr>
      </w:pPr>
      <w:r>
        <w:rPr>
          <w:rFonts w:ascii="Arial" w:eastAsiaTheme="minorHAnsi" w:hAnsi="Arial" w:cs="Arial"/>
          <w:sz w:val="20"/>
        </w:rPr>
        <w:br w:type="page"/>
      </w:r>
    </w:p>
    <w:p w14:paraId="54E68557" w14:textId="77777777" w:rsidR="00481A30" w:rsidRPr="00AE0907" w:rsidRDefault="00481A30" w:rsidP="00AE0907">
      <w:pPr>
        <w:jc w:val="both"/>
        <w:rPr>
          <w:rFonts w:ascii="Arial" w:eastAsiaTheme="minorHAnsi" w:hAnsi="Arial" w:cs="Arial"/>
          <w:sz w:val="20"/>
        </w:rPr>
      </w:pP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7"/>
        <w:gridCol w:w="1276"/>
        <w:gridCol w:w="1275"/>
      </w:tblGrid>
      <w:tr w:rsidR="00481A30" w:rsidRPr="00481A30" w14:paraId="3D572A97" w14:textId="77777777" w:rsidTr="00481A30">
        <w:trPr>
          <w:trHeight w:val="255"/>
        </w:trPr>
        <w:tc>
          <w:tcPr>
            <w:tcW w:w="5387" w:type="dxa"/>
            <w:shd w:val="clear" w:color="auto" w:fill="auto"/>
            <w:noWrap/>
            <w:vAlign w:val="bottom"/>
            <w:hideMark/>
          </w:tcPr>
          <w:p w14:paraId="4D2C7916" w14:textId="77777777" w:rsidR="00481A30" w:rsidRPr="00481A30" w:rsidRDefault="00481A30" w:rsidP="00481A30">
            <w:pPr>
              <w:jc w:val="center"/>
              <w:rPr>
                <w:rFonts w:ascii="Arial" w:hAnsi="Arial" w:cs="Arial"/>
                <w:b/>
                <w:sz w:val="20"/>
              </w:rPr>
            </w:pPr>
          </w:p>
        </w:tc>
        <w:tc>
          <w:tcPr>
            <w:tcW w:w="1276" w:type="dxa"/>
            <w:shd w:val="clear" w:color="auto" w:fill="auto"/>
            <w:noWrap/>
            <w:vAlign w:val="bottom"/>
            <w:hideMark/>
          </w:tcPr>
          <w:p w14:paraId="3E2E210D" w14:textId="43F3833C" w:rsidR="00481A30" w:rsidRPr="00481A30" w:rsidRDefault="00481A30" w:rsidP="00481A30">
            <w:pPr>
              <w:jc w:val="center"/>
              <w:rPr>
                <w:rFonts w:ascii="Arial" w:hAnsi="Arial" w:cs="Arial"/>
                <w:b/>
                <w:sz w:val="20"/>
              </w:rPr>
            </w:pPr>
            <w:r w:rsidRPr="00481A30">
              <w:rPr>
                <w:rFonts w:ascii="Arial" w:hAnsi="Arial" w:cs="Arial"/>
                <w:b/>
                <w:sz w:val="20"/>
              </w:rPr>
              <w:t>31/12/201</w:t>
            </w:r>
            <w:r>
              <w:rPr>
                <w:rFonts w:ascii="Arial" w:hAnsi="Arial" w:cs="Arial"/>
                <w:b/>
                <w:sz w:val="20"/>
              </w:rPr>
              <w:t>9</w:t>
            </w:r>
          </w:p>
        </w:tc>
        <w:tc>
          <w:tcPr>
            <w:tcW w:w="1275" w:type="dxa"/>
            <w:shd w:val="clear" w:color="auto" w:fill="auto"/>
            <w:noWrap/>
            <w:vAlign w:val="bottom"/>
            <w:hideMark/>
          </w:tcPr>
          <w:p w14:paraId="0AB6C452" w14:textId="6024B0E0" w:rsidR="00481A30" w:rsidRPr="00481A30" w:rsidRDefault="00481A30" w:rsidP="00481A30">
            <w:pPr>
              <w:jc w:val="center"/>
              <w:rPr>
                <w:rFonts w:ascii="Arial" w:hAnsi="Arial" w:cs="Arial"/>
                <w:b/>
                <w:sz w:val="20"/>
              </w:rPr>
            </w:pPr>
            <w:r w:rsidRPr="00481A30">
              <w:rPr>
                <w:rFonts w:ascii="Arial" w:hAnsi="Arial" w:cs="Arial"/>
                <w:b/>
                <w:sz w:val="20"/>
              </w:rPr>
              <w:t>31/12/201</w:t>
            </w:r>
            <w:r>
              <w:rPr>
                <w:rFonts w:ascii="Arial" w:hAnsi="Arial" w:cs="Arial"/>
                <w:b/>
                <w:sz w:val="20"/>
              </w:rPr>
              <w:t>8</w:t>
            </w:r>
          </w:p>
        </w:tc>
      </w:tr>
      <w:tr w:rsidR="00DC2191" w:rsidRPr="00AE0907" w14:paraId="74D8DD99" w14:textId="77777777" w:rsidTr="00481A30">
        <w:trPr>
          <w:trHeight w:val="255"/>
        </w:trPr>
        <w:tc>
          <w:tcPr>
            <w:tcW w:w="5387" w:type="dxa"/>
            <w:shd w:val="clear" w:color="auto" w:fill="auto"/>
            <w:noWrap/>
            <w:vAlign w:val="bottom"/>
            <w:hideMark/>
          </w:tcPr>
          <w:p w14:paraId="5409BD38" w14:textId="77777777" w:rsidR="00DC2191" w:rsidRPr="00AE0907" w:rsidRDefault="00DC2191" w:rsidP="00DC2191">
            <w:pPr>
              <w:jc w:val="both"/>
              <w:rPr>
                <w:rFonts w:ascii="Arial" w:hAnsi="Arial" w:cs="Arial"/>
                <w:sz w:val="20"/>
              </w:rPr>
            </w:pPr>
            <w:r w:rsidRPr="00AE0907">
              <w:rPr>
                <w:rFonts w:ascii="Arial" w:hAnsi="Arial" w:cs="Arial"/>
                <w:sz w:val="20"/>
              </w:rPr>
              <w:t>Sector público</w:t>
            </w:r>
          </w:p>
        </w:tc>
        <w:tc>
          <w:tcPr>
            <w:tcW w:w="1276" w:type="dxa"/>
            <w:shd w:val="clear" w:color="auto" w:fill="auto"/>
            <w:noWrap/>
            <w:vAlign w:val="bottom"/>
          </w:tcPr>
          <w:p w14:paraId="14ACE96F" w14:textId="1FA5673E" w:rsidR="00DC2191" w:rsidRPr="00AE0907" w:rsidRDefault="00DC2191" w:rsidP="00DC2191">
            <w:pPr>
              <w:jc w:val="right"/>
              <w:rPr>
                <w:rFonts w:ascii="Arial" w:hAnsi="Arial" w:cs="Arial"/>
                <w:sz w:val="20"/>
              </w:rPr>
            </w:pPr>
            <w:r>
              <w:rPr>
                <w:rFonts w:ascii="Arial" w:hAnsi="Arial" w:cs="Arial"/>
                <w:color w:val="000000"/>
                <w:sz w:val="20"/>
              </w:rPr>
              <w:t xml:space="preserve">5.470.177 </w:t>
            </w:r>
          </w:p>
        </w:tc>
        <w:tc>
          <w:tcPr>
            <w:tcW w:w="1275" w:type="dxa"/>
            <w:shd w:val="clear" w:color="auto" w:fill="auto"/>
            <w:noWrap/>
            <w:vAlign w:val="bottom"/>
            <w:hideMark/>
          </w:tcPr>
          <w:p w14:paraId="488403DE" w14:textId="14CBCD6F" w:rsidR="00DC2191" w:rsidRPr="00AE0907" w:rsidRDefault="00DC2191" w:rsidP="00DC2191">
            <w:pPr>
              <w:jc w:val="right"/>
              <w:rPr>
                <w:rFonts w:ascii="Arial" w:hAnsi="Arial" w:cs="Arial"/>
                <w:sz w:val="20"/>
              </w:rPr>
            </w:pPr>
            <w:r w:rsidRPr="00AE0907">
              <w:rPr>
                <w:rFonts w:ascii="Arial" w:hAnsi="Arial" w:cs="Arial"/>
                <w:sz w:val="20"/>
              </w:rPr>
              <w:t xml:space="preserve">11.105.477 </w:t>
            </w:r>
          </w:p>
        </w:tc>
      </w:tr>
      <w:tr w:rsidR="00DC2191" w:rsidRPr="00AE0907" w14:paraId="405E0F1F" w14:textId="77777777" w:rsidTr="00481A30">
        <w:trPr>
          <w:trHeight w:val="255"/>
        </w:trPr>
        <w:tc>
          <w:tcPr>
            <w:tcW w:w="5387" w:type="dxa"/>
            <w:shd w:val="clear" w:color="auto" w:fill="auto"/>
            <w:noWrap/>
            <w:vAlign w:val="bottom"/>
            <w:hideMark/>
          </w:tcPr>
          <w:p w14:paraId="3EBA3224" w14:textId="77777777" w:rsidR="00DC2191" w:rsidRPr="00AE0907" w:rsidRDefault="00DC2191" w:rsidP="00DC2191">
            <w:pPr>
              <w:jc w:val="both"/>
              <w:rPr>
                <w:rFonts w:ascii="Arial" w:hAnsi="Arial" w:cs="Arial"/>
                <w:sz w:val="20"/>
              </w:rPr>
            </w:pPr>
            <w:r w:rsidRPr="00AE0907">
              <w:rPr>
                <w:rFonts w:ascii="Arial" w:hAnsi="Arial" w:cs="Arial"/>
                <w:sz w:val="20"/>
              </w:rPr>
              <w:t>Sector financiero</w:t>
            </w:r>
          </w:p>
        </w:tc>
        <w:tc>
          <w:tcPr>
            <w:tcW w:w="1276" w:type="dxa"/>
            <w:shd w:val="clear" w:color="auto" w:fill="auto"/>
            <w:noWrap/>
            <w:vAlign w:val="bottom"/>
          </w:tcPr>
          <w:p w14:paraId="082256CA" w14:textId="27766B19" w:rsidR="00DC2191" w:rsidRPr="00AE0907" w:rsidRDefault="00DC2191" w:rsidP="00DC2191">
            <w:pPr>
              <w:jc w:val="right"/>
              <w:rPr>
                <w:rFonts w:ascii="Arial" w:hAnsi="Arial" w:cs="Arial"/>
                <w:sz w:val="20"/>
              </w:rPr>
            </w:pPr>
            <w:r>
              <w:rPr>
                <w:rFonts w:ascii="Arial" w:hAnsi="Arial" w:cs="Arial"/>
                <w:color w:val="000000"/>
                <w:sz w:val="20"/>
              </w:rPr>
              <w:t xml:space="preserve">28.098 </w:t>
            </w:r>
          </w:p>
        </w:tc>
        <w:tc>
          <w:tcPr>
            <w:tcW w:w="1275" w:type="dxa"/>
            <w:shd w:val="clear" w:color="auto" w:fill="auto"/>
            <w:noWrap/>
            <w:vAlign w:val="bottom"/>
            <w:hideMark/>
          </w:tcPr>
          <w:p w14:paraId="28683057" w14:textId="10550E8B" w:rsidR="00DC2191" w:rsidRPr="00AE0907" w:rsidRDefault="00DC2191" w:rsidP="00DC2191">
            <w:pPr>
              <w:jc w:val="right"/>
              <w:rPr>
                <w:rFonts w:ascii="Arial" w:hAnsi="Arial" w:cs="Arial"/>
                <w:sz w:val="20"/>
              </w:rPr>
            </w:pPr>
            <w:r w:rsidRPr="00AE0907">
              <w:rPr>
                <w:rFonts w:ascii="Arial" w:hAnsi="Arial" w:cs="Arial"/>
                <w:sz w:val="20"/>
              </w:rPr>
              <w:t xml:space="preserve">25.236 </w:t>
            </w:r>
          </w:p>
        </w:tc>
      </w:tr>
      <w:tr w:rsidR="00DC2191" w:rsidRPr="00AE0907" w14:paraId="7B16CD24" w14:textId="77777777" w:rsidTr="00481A30">
        <w:trPr>
          <w:trHeight w:val="255"/>
        </w:trPr>
        <w:tc>
          <w:tcPr>
            <w:tcW w:w="5387" w:type="dxa"/>
            <w:shd w:val="clear" w:color="auto" w:fill="auto"/>
            <w:noWrap/>
            <w:vAlign w:val="bottom"/>
            <w:hideMark/>
          </w:tcPr>
          <w:p w14:paraId="7376EC41" w14:textId="77777777" w:rsidR="00DC2191" w:rsidRPr="00AE0907" w:rsidRDefault="00DC2191" w:rsidP="00DC2191">
            <w:pPr>
              <w:jc w:val="both"/>
              <w:rPr>
                <w:rFonts w:ascii="Arial" w:hAnsi="Arial" w:cs="Arial"/>
                <w:sz w:val="20"/>
              </w:rPr>
            </w:pPr>
            <w:r w:rsidRPr="00AE0907">
              <w:rPr>
                <w:rFonts w:ascii="Arial" w:hAnsi="Arial" w:cs="Arial"/>
                <w:sz w:val="20"/>
              </w:rPr>
              <w:t>Cuentas corrientes</w:t>
            </w:r>
          </w:p>
        </w:tc>
        <w:tc>
          <w:tcPr>
            <w:tcW w:w="1276" w:type="dxa"/>
            <w:shd w:val="clear" w:color="auto" w:fill="auto"/>
            <w:noWrap/>
            <w:vAlign w:val="bottom"/>
          </w:tcPr>
          <w:p w14:paraId="34526B35" w14:textId="04F7730E" w:rsidR="00DC2191" w:rsidRPr="00AE0907" w:rsidRDefault="00DC2191" w:rsidP="00DC2191">
            <w:pPr>
              <w:jc w:val="right"/>
              <w:rPr>
                <w:rFonts w:ascii="Arial" w:hAnsi="Arial" w:cs="Arial"/>
                <w:sz w:val="20"/>
              </w:rPr>
            </w:pPr>
            <w:r>
              <w:rPr>
                <w:rFonts w:ascii="Arial" w:hAnsi="Arial" w:cs="Arial"/>
                <w:color w:val="000000"/>
                <w:sz w:val="20"/>
              </w:rPr>
              <w:t xml:space="preserve">12.936.130 </w:t>
            </w:r>
          </w:p>
        </w:tc>
        <w:tc>
          <w:tcPr>
            <w:tcW w:w="1275" w:type="dxa"/>
            <w:shd w:val="clear" w:color="auto" w:fill="auto"/>
            <w:noWrap/>
            <w:vAlign w:val="bottom"/>
            <w:hideMark/>
          </w:tcPr>
          <w:p w14:paraId="58E791D1" w14:textId="00A7C9B6" w:rsidR="00DC2191" w:rsidRPr="00AE0907" w:rsidRDefault="00DC2191" w:rsidP="00DC2191">
            <w:pPr>
              <w:jc w:val="right"/>
              <w:rPr>
                <w:rFonts w:ascii="Arial" w:hAnsi="Arial" w:cs="Arial"/>
                <w:sz w:val="20"/>
              </w:rPr>
            </w:pPr>
            <w:r w:rsidRPr="00AE0907">
              <w:rPr>
                <w:rFonts w:ascii="Arial" w:hAnsi="Arial" w:cs="Arial"/>
                <w:sz w:val="20"/>
              </w:rPr>
              <w:t xml:space="preserve">6.681.978 </w:t>
            </w:r>
          </w:p>
        </w:tc>
      </w:tr>
      <w:tr w:rsidR="00DC2191" w:rsidRPr="00AE0907" w14:paraId="0697AE4B" w14:textId="77777777" w:rsidTr="00481A30">
        <w:trPr>
          <w:trHeight w:val="255"/>
        </w:trPr>
        <w:tc>
          <w:tcPr>
            <w:tcW w:w="5387" w:type="dxa"/>
            <w:shd w:val="clear" w:color="auto" w:fill="auto"/>
            <w:noWrap/>
            <w:vAlign w:val="bottom"/>
            <w:hideMark/>
          </w:tcPr>
          <w:p w14:paraId="34C8CC60" w14:textId="77777777" w:rsidR="00DC2191" w:rsidRPr="00AE0907" w:rsidRDefault="00DC2191" w:rsidP="00DC2191">
            <w:pPr>
              <w:jc w:val="both"/>
              <w:rPr>
                <w:rFonts w:ascii="Arial" w:hAnsi="Arial" w:cs="Arial"/>
                <w:sz w:val="20"/>
              </w:rPr>
            </w:pPr>
            <w:r w:rsidRPr="00AE0907">
              <w:rPr>
                <w:rFonts w:ascii="Arial" w:hAnsi="Arial" w:cs="Arial"/>
                <w:sz w:val="20"/>
              </w:rPr>
              <w:t>Caja de ahorros</w:t>
            </w:r>
          </w:p>
        </w:tc>
        <w:tc>
          <w:tcPr>
            <w:tcW w:w="1276" w:type="dxa"/>
            <w:shd w:val="clear" w:color="auto" w:fill="auto"/>
            <w:noWrap/>
            <w:vAlign w:val="bottom"/>
          </w:tcPr>
          <w:p w14:paraId="165540BD" w14:textId="240592D0" w:rsidR="00DC2191" w:rsidRPr="00AE0907" w:rsidRDefault="00DC2191" w:rsidP="00DC2191">
            <w:pPr>
              <w:jc w:val="right"/>
              <w:rPr>
                <w:rFonts w:ascii="Arial" w:hAnsi="Arial" w:cs="Arial"/>
                <w:sz w:val="20"/>
              </w:rPr>
            </w:pPr>
            <w:r>
              <w:rPr>
                <w:rFonts w:ascii="Arial" w:hAnsi="Arial" w:cs="Arial"/>
                <w:color w:val="000000"/>
                <w:sz w:val="20"/>
              </w:rPr>
              <w:t xml:space="preserve">39.992.352 </w:t>
            </w:r>
          </w:p>
        </w:tc>
        <w:tc>
          <w:tcPr>
            <w:tcW w:w="1275" w:type="dxa"/>
            <w:shd w:val="clear" w:color="auto" w:fill="auto"/>
            <w:noWrap/>
            <w:vAlign w:val="bottom"/>
            <w:hideMark/>
          </w:tcPr>
          <w:p w14:paraId="5FA15F89" w14:textId="40A44BB2" w:rsidR="00DC2191" w:rsidRPr="00AE0907" w:rsidRDefault="00DC2191" w:rsidP="00DC2191">
            <w:pPr>
              <w:jc w:val="right"/>
              <w:rPr>
                <w:rFonts w:ascii="Arial" w:hAnsi="Arial" w:cs="Arial"/>
                <w:sz w:val="20"/>
              </w:rPr>
            </w:pPr>
            <w:r w:rsidRPr="00AE0907">
              <w:rPr>
                <w:rFonts w:ascii="Arial" w:hAnsi="Arial" w:cs="Arial"/>
                <w:sz w:val="20"/>
              </w:rPr>
              <w:t xml:space="preserve">47.345.633 </w:t>
            </w:r>
          </w:p>
        </w:tc>
      </w:tr>
      <w:tr w:rsidR="00DC2191" w:rsidRPr="00AE0907" w14:paraId="09149815" w14:textId="77777777" w:rsidTr="00481A30">
        <w:trPr>
          <w:trHeight w:val="255"/>
        </w:trPr>
        <w:tc>
          <w:tcPr>
            <w:tcW w:w="5387" w:type="dxa"/>
            <w:shd w:val="clear" w:color="auto" w:fill="auto"/>
            <w:noWrap/>
            <w:vAlign w:val="bottom"/>
            <w:hideMark/>
          </w:tcPr>
          <w:p w14:paraId="04062707" w14:textId="77777777" w:rsidR="00DC2191" w:rsidRPr="00AE0907" w:rsidRDefault="00DC2191" w:rsidP="00DC2191">
            <w:pPr>
              <w:jc w:val="both"/>
              <w:rPr>
                <w:rFonts w:ascii="Arial" w:hAnsi="Arial" w:cs="Arial"/>
                <w:sz w:val="20"/>
              </w:rPr>
            </w:pPr>
            <w:r w:rsidRPr="00AE0907">
              <w:rPr>
                <w:rFonts w:ascii="Arial" w:hAnsi="Arial" w:cs="Arial"/>
                <w:sz w:val="20"/>
              </w:rPr>
              <w:t>Plazo fijo e inversiones a plazo</w:t>
            </w:r>
          </w:p>
        </w:tc>
        <w:tc>
          <w:tcPr>
            <w:tcW w:w="1276" w:type="dxa"/>
            <w:shd w:val="clear" w:color="auto" w:fill="auto"/>
            <w:noWrap/>
            <w:vAlign w:val="bottom"/>
          </w:tcPr>
          <w:p w14:paraId="7B13D85C" w14:textId="04DE0E48" w:rsidR="00DC2191" w:rsidRPr="00AE0907" w:rsidRDefault="00DC2191" w:rsidP="00DC2191">
            <w:pPr>
              <w:jc w:val="right"/>
              <w:rPr>
                <w:rFonts w:ascii="Arial" w:hAnsi="Arial" w:cs="Arial"/>
                <w:sz w:val="20"/>
              </w:rPr>
            </w:pPr>
            <w:r>
              <w:rPr>
                <w:rFonts w:ascii="Arial" w:hAnsi="Arial" w:cs="Arial"/>
                <w:color w:val="000000"/>
                <w:sz w:val="20"/>
              </w:rPr>
              <w:t xml:space="preserve">30.073.630 </w:t>
            </w:r>
          </w:p>
        </w:tc>
        <w:tc>
          <w:tcPr>
            <w:tcW w:w="1275" w:type="dxa"/>
            <w:shd w:val="clear" w:color="auto" w:fill="auto"/>
            <w:noWrap/>
            <w:vAlign w:val="bottom"/>
            <w:hideMark/>
          </w:tcPr>
          <w:p w14:paraId="436030B1" w14:textId="574ABCB5" w:rsidR="00DC2191" w:rsidRPr="00AE0907" w:rsidRDefault="00DC2191" w:rsidP="00DC2191">
            <w:pPr>
              <w:jc w:val="right"/>
              <w:rPr>
                <w:rFonts w:ascii="Arial" w:hAnsi="Arial" w:cs="Arial"/>
                <w:sz w:val="20"/>
              </w:rPr>
            </w:pPr>
            <w:r w:rsidRPr="00AE0907">
              <w:rPr>
                <w:rFonts w:ascii="Arial" w:hAnsi="Arial" w:cs="Arial"/>
                <w:sz w:val="20"/>
              </w:rPr>
              <w:t xml:space="preserve">28.798.288 </w:t>
            </w:r>
          </w:p>
        </w:tc>
      </w:tr>
      <w:tr w:rsidR="00DC2191" w:rsidRPr="00AE0907" w14:paraId="18E0DAD9" w14:textId="77777777" w:rsidTr="00481A30">
        <w:trPr>
          <w:trHeight w:val="255"/>
        </w:trPr>
        <w:tc>
          <w:tcPr>
            <w:tcW w:w="5387" w:type="dxa"/>
            <w:shd w:val="clear" w:color="auto" w:fill="auto"/>
            <w:noWrap/>
            <w:vAlign w:val="bottom"/>
            <w:hideMark/>
          </w:tcPr>
          <w:p w14:paraId="761B1FCA" w14:textId="77777777" w:rsidR="00DC2191" w:rsidRPr="00AE0907" w:rsidRDefault="00DC2191" w:rsidP="00DC2191">
            <w:pPr>
              <w:jc w:val="both"/>
              <w:rPr>
                <w:rFonts w:ascii="Arial" w:hAnsi="Arial" w:cs="Arial"/>
                <w:sz w:val="20"/>
              </w:rPr>
            </w:pPr>
            <w:r w:rsidRPr="00AE0907">
              <w:rPr>
                <w:rFonts w:ascii="Arial" w:hAnsi="Arial" w:cs="Arial"/>
                <w:sz w:val="20"/>
              </w:rPr>
              <w:t>Otros</w:t>
            </w:r>
          </w:p>
        </w:tc>
        <w:tc>
          <w:tcPr>
            <w:tcW w:w="1276" w:type="dxa"/>
            <w:shd w:val="clear" w:color="auto" w:fill="auto"/>
            <w:noWrap/>
            <w:vAlign w:val="bottom"/>
          </w:tcPr>
          <w:p w14:paraId="099F7123" w14:textId="55D69607" w:rsidR="00DC2191" w:rsidRPr="00AE0907" w:rsidRDefault="00DC2191" w:rsidP="00DC2191">
            <w:pPr>
              <w:jc w:val="right"/>
              <w:rPr>
                <w:rFonts w:ascii="Arial" w:hAnsi="Arial" w:cs="Arial"/>
                <w:sz w:val="20"/>
              </w:rPr>
            </w:pPr>
            <w:r>
              <w:rPr>
                <w:rFonts w:ascii="Arial" w:hAnsi="Arial" w:cs="Arial"/>
                <w:color w:val="000000"/>
                <w:sz w:val="20"/>
              </w:rPr>
              <w:t xml:space="preserve">2.977.079 </w:t>
            </w:r>
          </w:p>
        </w:tc>
        <w:tc>
          <w:tcPr>
            <w:tcW w:w="1275" w:type="dxa"/>
            <w:shd w:val="clear" w:color="auto" w:fill="auto"/>
            <w:noWrap/>
            <w:vAlign w:val="bottom"/>
            <w:hideMark/>
          </w:tcPr>
          <w:p w14:paraId="44C3FCCB" w14:textId="63C216C0" w:rsidR="00DC2191" w:rsidRPr="00AE0907" w:rsidRDefault="00DC2191" w:rsidP="00DC2191">
            <w:pPr>
              <w:jc w:val="right"/>
              <w:rPr>
                <w:rFonts w:ascii="Arial" w:hAnsi="Arial" w:cs="Arial"/>
                <w:sz w:val="20"/>
              </w:rPr>
            </w:pPr>
            <w:r w:rsidRPr="00AE0907">
              <w:rPr>
                <w:rFonts w:ascii="Arial" w:hAnsi="Arial" w:cs="Arial"/>
                <w:sz w:val="20"/>
              </w:rPr>
              <w:t xml:space="preserve">1.709.859 </w:t>
            </w:r>
          </w:p>
        </w:tc>
      </w:tr>
      <w:tr w:rsidR="00481A30" w:rsidRPr="00481A30" w14:paraId="094E9DE4" w14:textId="77777777" w:rsidTr="00481A30">
        <w:trPr>
          <w:trHeight w:val="270"/>
        </w:trPr>
        <w:tc>
          <w:tcPr>
            <w:tcW w:w="5387" w:type="dxa"/>
            <w:shd w:val="clear" w:color="auto" w:fill="auto"/>
            <w:noWrap/>
            <w:vAlign w:val="bottom"/>
            <w:hideMark/>
          </w:tcPr>
          <w:p w14:paraId="05387913" w14:textId="77777777" w:rsidR="00481A30" w:rsidRPr="00481A30" w:rsidRDefault="00481A30" w:rsidP="00481A30">
            <w:pPr>
              <w:jc w:val="both"/>
              <w:rPr>
                <w:rFonts w:ascii="Arial" w:hAnsi="Arial" w:cs="Arial"/>
                <w:b/>
                <w:sz w:val="20"/>
              </w:rPr>
            </w:pPr>
            <w:r w:rsidRPr="00481A30">
              <w:rPr>
                <w:rFonts w:ascii="Arial" w:hAnsi="Arial" w:cs="Arial"/>
                <w:b/>
                <w:sz w:val="20"/>
              </w:rPr>
              <w:t>Total</w:t>
            </w:r>
          </w:p>
        </w:tc>
        <w:tc>
          <w:tcPr>
            <w:tcW w:w="1276" w:type="dxa"/>
            <w:shd w:val="clear" w:color="auto" w:fill="auto"/>
            <w:noWrap/>
            <w:vAlign w:val="bottom"/>
          </w:tcPr>
          <w:p w14:paraId="628970E4" w14:textId="1FB00EC2" w:rsidR="00481A30" w:rsidRPr="00481A30" w:rsidRDefault="00DC2191" w:rsidP="00481A30">
            <w:pPr>
              <w:jc w:val="right"/>
              <w:rPr>
                <w:rFonts w:ascii="Arial" w:hAnsi="Arial" w:cs="Arial"/>
                <w:b/>
                <w:sz w:val="20"/>
              </w:rPr>
            </w:pPr>
            <w:r>
              <w:rPr>
                <w:rFonts w:ascii="Arial" w:hAnsi="Arial" w:cs="Arial"/>
                <w:b/>
                <w:sz w:val="20"/>
              </w:rPr>
              <w:t>91.477.466</w:t>
            </w:r>
          </w:p>
        </w:tc>
        <w:tc>
          <w:tcPr>
            <w:tcW w:w="1275" w:type="dxa"/>
            <w:shd w:val="clear" w:color="auto" w:fill="auto"/>
            <w:noWrap/>
            <w:vAlign w:val="bottom"/>
            <w:hideMark/>
          </w:tcPr>
          <w:p w14:paraId="4DBCD45C" w14:textId="2F01B594" w:rsidR="00481A30" w:rsidRPr="00481A30" w:rsidRDefault="00481A30" w:rsidP="00481A30">
            <w:pPr>
              <w:jc w:val="right"/>
              <w:rPr>
                <w:rFonts w:ascii="Arial" w:hAnsi="Arial" w:cs="Arial"/>
                <w:b/>
                <w:sz w:val="20"/>
              </w:rPr>
            </w:pPr>
            <w:r w:rsidRPr="00481A30">
              <w:rPr>
                <w:rFonts w:ascii="Arial" w:hAnsi="Arial" w:cs="Arial"/>
                <w:b/>
                <w:sz w:val="20"/>
              </w:rPr>
              <w:t>95.666.471</w:t>
            </w:r>
          </w:p>
        </w:tc>
      </w:tr>
    </w:tbl>
    <w:p w14:paraId="280BE0B6" w14:textId="77777777" w:rsidR="00AE0907" w:rsidRPr="00AE0907" w:rsidRDefault="00AE0907" w:rsidP="00AE0907">
      <w:pPr>
        <w:jc w:val="both"/>
        <w:rPr>
          <w:rFonts w:ascii="Arial" w:eastAsiaTheme="minorHAnsi" w:hAnsi="Arial" w:cs="Arial"/>
          <w:sz w:val="20"/>
        </w:rPr>
      </w:pPr>
    </w:p>
    <w:p w14:paraId="6AB87863" w14:textId="1A61E86E"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.1</w:t>
      </w:r>
      <w:r w:rsidR="008F1163">
        <w:rPr>
          <w:rFonts w:ascii="Arial" w:hAnsi="Arial" w:cs="Arial"/>
          <w:sz w:val="20"/>
        </w:rPr>
        <w:t>0</w:t>
      </w:r>
      <w:r w:rsidR="00AE0907" w:rsidRPr="00AE0907">
        <w:rPr>
          <w:rFonts w:ascii="Arial" w:hAnsi="Arial" w:cs="Arial"/>
          <w:sz w:val="20"/>
        </w:rPr>
        <w:t xml:space="preserve"> Pasivos a valor razonable con cambios en resultados </w:t>
      </w:r>
    </w:p>
    <w:p w14:paraId="41EF58BD" w14:textId="77777777" w:rsidR="00AE0907" w:rsidRPr="00AE0907" w:rsidRDefault="00AE0907" w:rsidP="00AE0907">
      <w:pPr>
        <w:jc w:val="both"/>
        <w:rPr>
          <w:rFonts w:ascii="Arial" w:hAnsi="Arial" w:cs="Arial"/>
          <w:sz w:val="20"/>
        </w:rPr>
      </w:pPr>
    </w:p>
    <w:p w14:paraId="162C1E48" w14:textId="1A950634" w:rsidR="00AE0907" w:rsidRPr="00AE0907" w:rsidRDefault="00AE0907" w:rsidP="00AE0907">
      <w:pPr>
        <w:jc w:val="both"/>
        <w:rPr>
          <w:rFonts w:ascii="Arial" w:eastAsiaTheme="minorHAnsi" w:hAnsi="Arial" w:cs="Arial"/>
          <w:sz w:val="20"/>
        </w:rPr>
      </w:pPr>
      <w:r w:rsidRPr="00AE0907">
        <w:rPr>
          <w:rFonts w:ascii="Arial" w:eastAsiaTheme="minorHAnsi" w:hAnsi="Arial" w:cs="Arial"/>
          <w:sz w:val="20"/>
        </w:rPr>
        <w:t>Los principales componentes del rubro pasivos a valor razonable con cambios en resultados al 31 de diciembre de 201</w:t>
      </w:r>
      <w:r w:rsidR="00481A30">
        <w:rPr>
          <w:rFonts w:ascii="Arial" w:eastAsiaTheme="minorHAnsi" w:hAnsi="Arial" w:cs="Arial"/>
          <w:sz w:val="20"/>
        </w:rPr>
        <w:t>9</w:t>
      </w:r>
      <w:r w:rsidRPr="00AE0907">
        <w:rPr>
          <w:rFonts w:ascii="Arial" w:eastAsiaTheme="minorHAnsi" w:hAnsi="Arial" w:cs="Arial"/>
          <w:sz w:val="20"/>
        </w:rPr>
        <w:t xml:space="preserve"> y 201</w:t>
      </w:r>
      <w:r w:rsidR="00481A30">
        <w:rPr>
          <w:rFonts w:ascii="Arial" w:eastAsiaTheme="minorHAnsi" w:hAnsi="Arial" w:cs="Arial"/>
          <w:sz w:val="20"/>
        </w:rPr>
        <w:t>8</w:t>
      </w:r>
      <w:r w:rsidRPr="00AE0907">
        <w:rPr>
          <w:rFonts w:ascii="Arial" w:eastAsiaTheme="minorHAnsi" w:hAnsi="Arial" w:cs="Arial"/>
          <w:sz w:val="20"/>
        </w:rPr>
        <w:t xml:space="preserve"> son los siguientes:</w:t>
      </w:r>
    </w:p>
    <w:p w14:paraId="35927EE8" w14:textId="77777777" w:rsidR="00AE0907" w:rsidRPr="00AE0907" w:rsidRDefault="00AE0907" w:rsidP="00AE0907">
      <w:pPr>
        <w:jc w:val="both"/>
        <w:rPr>
          <w:rFonts w:ascii="Arial" w:hAnsi="Arial" w:cs="Arial"/>
          <w:sz w:val="20"/>
        </w:rPr>
      </w:pPr>
    </w:p>
    <w:tbl>
      <w:tblPr>
        <w:tblW w:w="80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5"/>
        <w:gridCol w:w="1364"/>
        <w:gridCol w:w="1141"/>
      </w:tblGrid>
      <w:tr w:rsidR="00481A30" w:rsidRPr="00481A30" w14:paraId="42904BED" w14:textId="77777777" w:rsidTr="00481A30">
        <w:trPr>
          <w:trHeight w:val="255"/>
        </w:trPr>
        <w:tc>
          <w:tcPr>
            <w:tcW w:w="5505" w:type="dxa"/>
            <w:shd w:val="clear" w:color="auto" w:fill="auto"/>
            <w:noWrap/>
            <w:vAlign w:val="bottom"/>
            <w:hideMark/>
          </w:tcPr>
          <w:p w14:paraId="501B6073" w14:textId="77777777" w:rsidR="00481A30" w:rsidRPr="00481A30" w:rsidRDefault="00481A30" w:rsidP="00481A30">
            <w:pPr>
              <w:jc w:val="center"/>
              <w:rPr>
                <w:rFonts w:ascii="Arial" w:hAnsi="Arial" w:cs="Arial"/>
                <w:b/>
                <w:sz w:val="20"/>
              </w:rPr>
            </w:pPr>
          </w:p>
        </w:tc>
        <w:tc>
          <w:tcPr>
            <w:tcW w:w="1364" w:type="dxa"/>
            <w:shd w:val="clear" w:color="auto" w:fill="auto"/>
            <w:noWrap/>
            <w:vAlign w:val="bottom"/>
            <w:hideMark/>
          </w:tcPr>
          <w:p w14:paraId="454FF145" w14:textId="5CE0EA9A" w:rsidR="00481A30" w:rsidRPr="00481A30" w:rsidRDefault="00481A30" w:rsidP="00481A30">
            <w:pPr>
              <w:jc w:val="center"/>
              <w:rPr>
                <w:rFonts w:ascii="Arial" w:hAnsi="Arial" w:cs="Arial"/>
                <w:b/>
                <w:sz w:val="20"/>
              </w:rPr>
            </w:pPr>
            <w:r w:rsidRPr="00481A30">
              <w:rPr>
                <w:rFonts w:ascii="Arial" w:hAnsi="Arial" w:cs="Arial"/>
                <w:b/>
                <w:sz w:val="20"/>
              </w:rPr>
              <w:t>31/12/2019</w:t>
            </w:r>
          </w:p>
        </w:tc>
        <w:tc>
          <w:tcPr>
            <w:tcW w:w="1141" w:type="dxa"/>
            <w:shd w:val="clear" w:color="auto" w:fill="auto"/>
            <w:noWrap/>
            <w:vAlign w:val="bottom"/>
            <w:hideMark/>
          </w:tcPr>
          <w:p w14:paraId="26E7C793" w14:textId="5BFC20F9" w:rsidR="00481A30" w:rsidRPr="00481A30" w:rsidRDefault="00481A30" w:rsidP="00481A30">
            <w:pPr>
              <w:jc w:val="center"/>
              <w:rPr>
                <w:rFonts w:ascii="Arial" w:hAnsi="Arial" w:cs="Arial"/>
                <w:b/>
                <w:sz w:val="20"/>
              </w:rPr>
            </w:pPr>
            <w:r w:rsidRPr="00481A30">
              <w:rPr>
                <w:rFonts w:ascii="Arial" w:hAnsi="Arial" w:cs="Arial"/>
                <w:b/>
                <w:sz w:val="20"/>
              </w:rPr>
              <w:t>31/12/2018</w:t>
            </w:r>
          </w:p>
        </w:tc>
      </w:tr>
      <w:tr w:rsidR="00481A30" w:rsidRPr="00AE0907" w14:paraId="7D737C84" w14:textId="77777777" w:rsidTr="00481A30">
        <w:trPr>
          <w:trHeight w:val="255"/>
        </w:trPr>
        <w:tc>
          <w:tcPr>
            <w:tcW w:w="5505" w:type="dxa"/>
            <w:shd w:val="clear" w:color="auto" w:fill="auto"/>
            <w:noWrap/>
            <w:hideMark/>
          </w:tcPr>
          <w:p w14:paraId="34BD9B4A" w14:textId="77777777" w:rsidR="00481A30" w:rsidRPr="00AE0907" w:rsidRDefault="00481A30" w:rsidP="00481A30">
            <w:pPr>
              <w:jc w:val="both"/>
              <w:rPr>
                <w:rFonts w:ascii="Arial" w:eastAsiaTheme="minorHAnsi" w:hAnsi="Arial" w:cs="Arial"/>
                <w:sz w:val="20"/>
              </w:rPr>
            </w:pPr>
            <w:r w:rsidRPr="00AE0907">
              <w:rPr>
                <w:rFonts w:ascii="Arial" w:eastAsiaTheme="minorHAnsi" w:hAnsi="Arial" w:cs="Arial"/>
                <w:sz w:val="20"/>
              </w:rPr>
              <w:t>Obligaciones por operaciones con títulos de terceros en pesos</w:t>
            </w:r>
          </w:p>
        </w:tc>
        <w:tc>
          <w:tcPr>
            <w:tcW w:w="1364" w:type="dxa"/>
            <w:shd w:val="clear" w:color="auto" w:fill="auto"/>
            <w:noWrap/>
            <w:vAlign w:val="bottom"/>
          </w:tcPr>
          <w:p w14:paraId="68FB37B4" w14:textId="3E90CFFB" w:rsidR="00481A30" w:rsidRPr="00AE0907" w:rsidRDefault="009B7193" w:rsidP="00481A30">
            <w:pPr>
              <w:jc w:val="right"/>
              <w:rPr>
                <w:rFonts w:ascii="Arial" w:hAnsi="Arial" w:cs="Arial"/>
                <w:sz w:val="20"/>
              </w:rPr>
            </w:pPr>
            <w:r>
              <w:rPr>
                <w:rFonts w:ascii="Arial" w:hAnsi="Arial" w:cs="Arial"/>
                <w:sz w:val="20"/>
              </w:rPr>
              <w:t>189.554</w:t>
            </w:r>
          </w:p>
        </w:tc>
        <w:tc>
          <w:tcPr>
            <w:tcW w:w="1141" w:type="dxa"/>
            <w:shd w:val="clear" w:color="auto" w:fill="auto"/>
            <w:noWrap/>
            <w:vAlign w:val="bottom"/>
            <w:hideMark/>
          </w:tcPr>
          <w:p w14:paraId="0894DBB8" w14:textId="6C433EC6" w:rsidR="00481A30" w:rsidRPr="00AE0907" w:rsidRDefault="00481A30" w:rsidP="00481A30">
            <w:pPr>
              <w:jc w:val="right"/>
              <w:rPr>
                <w:rFonts w:ascii="Arial" w:hAnsi="Arial" w:cs="Arial"/>
                <w:sz w:val="20"/>
              </w:rPr>
            </w:pPr>
            <w:r w:rsidRPr="00AE0907">
              <w:rPr>
                <w:rFonts w:ascii="Arial" w:hAnsi="Arial" w:cs="Arial"/>
                <w:sz w:val="20"/>
              </w:rPr>
              <w:t xml:space="preserve">944.147 </w:t>
            </w:r>
          </w:p>
        </w:tc>
      </w:tr>
      <w:tr w:rsidR="00481A30" w:rsidRPr="00AE0907" w14:paraId="514EE367" w14:textId="77777777" w:rsidTr="00481A30">
        <w:trPr>
          <w:trHeight w:val="255"/>
        </w:trPr>
        <w:tc>
          <w:tcPr>
            <w:tcW w:w="5505" w:type="dxa"/>
            <w:shd w:val="clear" w:color="auto" w:fill="auto"/>
            <w:noWrap/>
            <w:hideMark/>
          </w:tcPr>
          <w:p w14:paraId="527CBF40" w14:textId="77777777" w:rsidR="00481A30" w:rsidRPr="00AE0907" w:rsidRDefault="00481A30" w:rsidP="00481A30">
            <w:pPr>
              <w:jc w:val="both"/>
              <w:rPr>
                <w:rFonts w:ascii="Arial" w:eastAsiaTheme="minorHAnsi" w:hAnsi="Arial" w:cs="Arial"/>
                <w:sz w:val="20"/>
              </w:rPr>
            </w:pPr>
            <w:r w:rsidRPr="00AE0907">
              <w:rPr>
                <w:rFonts w:ascii="Arial" w:eastAsiaTheme="minorHAnsi" w:hAnsi="Arial" w:cs="Arial"/>
                <w:sz w:val="20"/>
              </w:rPr>
              <w:t>Obligaciones por operaciones con títulos de terceros en moneda extranjera</w:t>
            </w:r>
          </w:p>
        </w:tc>
        <w:tc>
          <w:tcPr>
            <w:tcW w:w="1364" w:type="dxa"/>
            <w:shd w:val="clear" w:color="auto" w:fill="auto"/>
            <w:noWrap/>
            <w:vAlign w:val="bottom"/>
          </w:tcPr>
          <w:p w14:paraId="16C1D84A" w14:textId="64BBCEF0" w:rsidR="00481A30" w:rsidRPr="00AE0907" w:rsidRDefault="002C509D" w:rsidP="00481A30">
            <w:pPr>
              <w:jc w:val="right"/>
              <w:rPr>
                <w:rFonts w:ascii="Arial" w:hAnsi="Arial" w:cs="Arial"/>
                <w:sz w:val="20"/>
              </w:rPr>
            </w:pPr>
            <w:r>
              <w:rPr>
                <w:rFonts w:ascii="Arial" w:hAnsi="Arial" w:cs="Arial"/>
                <w:sz w:val="20"/>
              </w:rPr>
              <w:t>-</w:t>
            </w:r>
          </w:p>
        </w:tc>
        <w:tc>
          <w:tcPr>
            <w:tcW w:w="1141" w:type="dxa"/>
            <w:shd w:val="clear" w:color="auto" w:fill="auto"/>
            <w:noWrap/>
            <w:vAlign w:val="bottom"/>
            <w:hideMark/>
          </w:tcPr>
          <w:p w14:paraId="259340C9" w14:textId="34E028CB" w:rsidR="00481A30" w:rsidRPr="00AE0907" w:rsidRDefault="00481A30" w:rsidP="00481A30">
            <w:pPr>
              <w:jc w:val="right"/>
              <w:rPr>
                <w:rFonts w:ascii="Arial" w:hAnsi="Arial" w:cs="Arial"/>
                <w:sz w:val="20"/>
              </w:rPr>
            </w:pPr>
            <w:r w:rsidRPr="00AE0907">
              <w:rPr>
                <w:rFonts w:ascii="Arial" w:hAnsi="Arial" w:cs="Arial"/>
                <w:sz w:val="20"/>
              </w:rPr>
              <w:t xml:space="preserve">152.886 </w:t>
            </w:r>
          </w:p>
        </w:tc>
      </w:tr>
      <w:tr w:rsidR="00481A30" w:rsidRPr="00481A30" w14:paraId="2235D392" w14:textId="77777777" w:rsidTr="00481A30">
        <w:trPr>
          <w:trHeight w:val="270"/>
        </w:trPr>
        <w:tc>
          <w:tcPr>
            <w:tcW w:w="5505" w:type="dxa"/>
            <w:shd w:val="clear" w:color="auto" w:fill="auto"/>
            <w:noWrap/>
            <w:vAlign w:val="bottom"/>
            <w:hideMark/>
          </w:tcPr>
          <w:p w14:paraId="5A76D323" w14:textId="77777777" w:rsidR="00481A30" w:rsidRPr="00481A30" w:rsidRDefault="00481A30" w:rsidP="00481A30">
            <w:pPr>
              <w:jc w:val="both"/>
              <w:rPr>
                <w:rFonts w:ascii="Arial" w:hAnsi="Arial" w:cs="Arial"/>
                <w:b/>
                <w:sz w:val="20"/>
              </w:rPr>
            </w:pPr>
            <w:r w:rsidRPr="00481A30">
              <w:rPr>
                <w:rFonts w:ascii="Arial" w:hAnsi="Arial" w:cs="Arial"/>
                <w:b/>
                <w:sz w:val="20"/>
              </w:rPr>
              <w:t>Total</w:t>
            </w:r>
          </w:p>
        </w:tc>
        <w:tc>
          <w:tcPr>
            <w:tcW w:w="1364" w:type="dxa"/>
            <w:shd w:val="clear" w:color="auto" w:fill="auto"/>
            <w:noWrap/>
            <w:vAlign w:val="bottom"/>
          </w:tcPr>
          <w:p w14:paraId="1B8ED510" w14:textId="3F352889" w:rsidR="00481A30" w:rsidRPr="00481A30" w:rsidRDefault="009B7193" w:rsidP="00481A30">
            <w:pPr>
              <w:jc w:val="right"/>
              <w:rPr>
                <w:rFonts w:ascii="Arial" w:hAnsi="Arial" w:cs="Arial"/>
                <w:b/>
                <w:sz w:val="20"/>
              </w:rPr>
            </w:pPr>
            <w:r>
              <w:rPr>
                <w:rFonts w:ascii="Arial" w:hAnsi="Arial" w:cs="Arial"/>
                <w:b/>
                <w:sz w:val="20"/>
              </w:rPr>
              <w:t>189.554</w:t>
            </w:r>
          </w:p>
        </w:tc>
        <w:tc>
          <w:tcPr>
            <w:tcW w:w="1141" w:type="dxa"/>
            <w:shd w:val="clear" w:color="auto" w:fill="auto"/>
            <w:noWrap/>
            <w:vAlign w:val="bottom"/>
          </w:tcPr>
          <w:p w14:paraId="51907724" w14:textId="3BF1EF95" w:rsidR="00481A30" w:rsidRPr="00481A30" w:rsidRDefault="00481A30" w:rsidP="00481A30">
            <w:pPr>
              <w:jc w:val="right"/>
              <w:rPr>
                <w:rFonts w:ascii="Arial" w:hAnsi="Arial" w:cs="Arial"/>
                <w:b/>
                <w:sz w:val="20"/>
              </w:rPr>
            </w:pPr>
            <w:r w:rsidRPr="00481A30">
              <w:rPr>
                <w:rFonts w:ascii="Arial" w:hAnsi="Arial" w:cs="Arial"/>
                <w:b/>
                <w:sz w:val="20"/>
              </w:rPr>
              <w:t>1.097.033</w:t>
            </w:r>
          </w:p>
        </w:tc>
      </w:tr>
    </w:tbl>
    <w:p w14:paraId="06024688" w14:textId="77777777" w:rsidR="00AE0907" w:rsidRPr="00AE0907" w:rsidRDefault="00AE0907" w:rsidP="00AE0907">
      <w:pPr>
        <w:jc w:val="both"/>
        <w:rPr>
          <w:rFonts w:ascii="Arial" w:hAnsi="Arial" w:cs="Arial"/>
          <w:sz w:val="20"/>
        </w:rPr>
      </w:pPr>
    </w:p>
    <w:p w14:paraId="03F653BD" w14:textId="32B6C87B" w:rsidR="008F1163" w:rsidRPr="00AE0907" w:rsidRDefault="008F1163" w:rsidP="008F1163">
      <w:pPr>
        <w:jc w:val="both"/>
        <w:rPr>
          <w:rFonts w:ascii="Arial" w:hAnsi="Arial" w:cs="Arial"/>
          <w:sz w:val="20"/>
        </w:rPr>
      </w:pPr>
      <w:r>
        <w:rPr>
          <w:rFonts w:ascii="Arial" w:hAnsi="Arial" w:cs="Arial"/>
          <w:sz w:val="20"/>
        </w:rPr>
        <w:t>6</w:t>
      </w:r>
      <w:r w:rsidRPr="00AE0907">
        <w:rPr>
          <w:rFonts w:ascii="Arial" w:hAnsi="Arial" w:cs="Arial"/>
          <w:sz w:val="20"/>
        </w:rPr>
        <w:t>.</w:t>
      </w:r>
      <w:r>
        <w:rPr>
          <w:rFonts w:ascii="Arial" w:hAnsi="Arial" w:cs="Arial"/>
          <w:sz w:val="20"/>
        </w:rPr>
        <w:t>11</w:t>
      </w:r>
      <w:r w:rsidRPr="00AE0907">
        <w:rPr>
          <w:rFonts w:ascii="Arial" w:hAnsi="Arial" w:cs="Arial"/>
          <w:sz w:val="20"/>
        </w:rPr>
        <w:t xml:space="preserve"> Operaciones de Pases Activos y Pasivos:</w:t>
      </w:r>
    </w:p>
    <w:p w14:paraId="1BF73D66" w14:textId="77777777" w:rsidR="008F1163" w:rsidRPr="00AE0907" w:rsidRDefault="008F1163" w:rsidP="008F1163">
      <w:pPr>
        <w:jc w:val="both"/>
        <w:rPr>
          <w:rFonts w:ascii="Arial" w:hAnsi="Arial" w:cs="Arial"/>
          <w:sz w:val="20"/>
        </w:rPr>
      </w:pPr>
    </w:p>
    <w:p w14:paraId="76FB2D52" w14:textId="77777777" w:rsidR="008F1163" w:rsidRPr="00AE0907" w:rsidRDefault="008F1163" w:rsidP="008F1163">
      <w:pPr>
        <w:jc w:val="both"/>
        <w:rPr>
          <w:rFonts w:ascii="Arial" w:hAnsi="Arial" w:cs="Arial"/>
          <w:sz w:val="20"/>
        </w:rPr>
      </w:pPr>
      <w:r w:rsidRPr="00AE0907">
        <w:rPr>
          <w:rFonts w:ascii="Arial" w:hAnsi="Arial" w:cs="Arial"/>
          <w:sz w:val="20"/>
        </w:rPr>
        <w:t>La Entidad mantiene operaciones de pase, por las cuales realiza operaciones de compra y venta al contado de un título valor con la correspondiente concertación de la operación a término del mismo, reteniendo de esta manera sustancialmente todos los riesgos y beneficios asociados a los instrumentos.</w:t>
      </w:r>
    </w:p>
    <w:p w14:paraId="1D0696A1" w14:textId="77777777" w:rsidR="008F1163" w:rsidRPr="00AE0907" w:rsidRDefault="008F1163" w:rsidP="008F1163">
      <w:pPr>
        <w:jc w:val="both"/>
        <w:rPr>
          <w:rFonts w:ascii="Arial" w:hAnsi="Arial" w:cs="Arial"/>
          <w:sz w:val="20"/>
        </w:rPr>
      </w:pPr>
    </w:p>
    <w:p w14:paraId="20CD7170" w14:textId="77777777" w:rsidR="008F1163" w:rsidRPr="00AE0907" w:rsidRDefault="008F1163" w:rsidP="008F1163">
      <w:pPr>
        <w:jc w:val="both"/>
        <w:rPr>
          <w:rFonts w:ascii="Arial" w:hAnsi="Arial" w:cs="Arial"/>
          <w:sz w:val="20"/>
        </w:rPr>
      </w:pPr>
      <w:r w:rsidRPr="00AE0907">
        <w:rPr>
          <w:rFonts w:ascii="Arial" w:hAnsi="Arial" w:cs="Arial"/>
          <w:sz w:val="20"/>
        </w:rPr>
        <w:t>Los precios de las operaciones a término son valuados de acuerdo a la cotización de los títulos valores a la fecha de cierre, correspondiendo la diferencia entre el precio de concertación y el de cierre a la prima devengada, a favor o en contra según corresponda.</w:t>
      </w:r>
    </w:p>
    <w:p w14:paraId="5A127077" w14:textId="77777777" w:rsidR="006F2149" w:rsidRDefault="006F2149" w:rsidP="008F1163">
      <w:pPr>
        <w:jc w:val="both"/>
        <w:rPr>
          <w:rFonts w:ascii="Arial" w:eastAsiaTheme="minorHAnsi" w:hAnsi="Arial" w:cs="Arial"/>
          <w:sz w:val="20"/>
        </w:rPr>
      </w:pPr>
    </w:p>
    <w:p w14:paraId="21D37172" w14:textId="1ECCC52C" w:rsidR="008F1163" w:rsidRPr="00543EF5" w:rsidRDefault="006F2149" w:rsidP="008F1163">
      <w:pPr>
        <w:jc w:val="both"/>
        <w:rPr>
          <w:rFonts w:ascii="Arial" w:hAnsi="Arial" w:cs="Arial"/>
          <w:sz w:val="20"/>
          <w:highlight w:val="yellow"/>
        </w:rPr>
      </w:pPr>
      <w:r w:rsidRPr="00AE0907">
        <w:rPr>
          <w:rFonts w:ascii="Arial" w:eastAsiaTheme="minorHAnsi" w:hAnsi="Arial" w:cs="Arial"/>
          <w:sz w:val="20"/>
        </w:rPr>
        <w:t xml:space="preserve">Los principales componentes del rubro </w:t>
      </w:r>
      <w:r>
        <w:rPr>
          <w:rFonts w:ascii="Arial" w:eastAsiaTheme="minorHAnsi" w:hAnsi="Arial" w:cs="Arial"/>
          <w:sz w:val="20"/>
        </w:rPr>
        <w:t>operaciones de pases</w:t>
      </w:r>
      <w:r w:rsidRPr="00AE0907">
        <w:rPr>
          <w:rFonts w:ascii="Arial" w:eastAsiaTheme="minorHAnsi" w:hAnsi="Arial" w:cs="Arial"/>
          <w:sz w:val="20"/>
        </w:rPr>
        <w:t xml:space="preserve"> al 31 de diciembre de 201</w:t>
      </w:r>
      <w:r>
        <w:rPr>
          <w:rFonts w:ascii="Arial" w:eastAsiaTheme="minorHAnsi" w:hAnsi="Arial" w:cs="Arial"/>
          <w:sz w:val="20"/>
        </w:rPr>
        <w:t>9</w:t>
      </w:r>
      <w:r w:rsidRPr="00AE0907">
        <w:rPr>
          <w:rFonts w:ascii="Arial" w:eastAsiaTheme="minorHAnsi" w:hAnsi="Arial" w:cs="Arial"/>
          <w:sz w:val="20"/>
        </w:rPr>
        <w:t xml:space="preserve"> y 201</w:t>
      </w:r>
      <w:r>
        <w:rPr>
          <w:rFonts w:ascii="Arial" w:eastAsiaTheme="minorHAnsi" w:hAnsi="Arial" w:cs="Arial"/>
          <w:sz w:val="20"/>
        </w:rPr>
        <w:t>8</w:t>
      </w:r>
      <w:r w:rsidRPr="00AE0907">
        <w:rPr>
          <w:rFonts w:ascii="Arial" w:eastAsiaTheme="minorHAnsi" w:hAnsi="Arial" w:cs="Arial"/>
          <w:sz w:val="20"/>
        </w:rPr>
        <w:t xml:space="preserve"> son los siguientes:</w:t>
      </w:r>
    </w:p>
    <w:p w14:paraId="528D6F75" w14:textId="77777777" w:rsidR="006F2149" w:rsidRDefault="006F2149" w:rsidP="008F1163">
      <w:pPr>
        <w:jc w:val="both"/>
        <w:rPr>
          <w:rFonts w:ascii="Arial" w:hAnsi="Arial" w:cs="Arial"/>
          <w:sz w:val="20"/>
        </w:rPr>
      </w:pPr>
    </w:p>
    <w:p w14:paraId="47B3E27A" w14:textId="4E905ABB" w:rsidR="008F1163" w:rsidRDefault="008F1163" w:rsidP="008F1163">
      <w:pPr>
        <w:jc w:val="both"/>
        <w:rPr>
          <w:rFonts w:ascii="Arial" w:hAnsi="Arial" w:cs="Arial"/>
          <w:sz w:val="20"/>
        </w:rPr>
      </w:pPr>
      <w:r w:rsidRPr="002E4ACC">
        <w:rPr>
          <w:rFonts w:ascii="Arial" w:hAnsi="Arial" w:cs="Arial"/>
          <w:sz w:val="20"/>
        </w:rPr>
        <w:t>Operaciones de pases pasivos:</w:t>
      </w:r>
    </w:p>
    <w:p w14:paraId="12F59D04" w14:textId="2A963100" w:rsidR="000B1093" w:rsidRDefault="000B1093">
      <w:pPr>
        <w:rPr>
          <w:rFonts w:ascii="Arial" w:hAnsi="Arial" w:cs="Arial"/>
          <w:sz w:val="20"/>
        </w:rPr>
      </w:pPr>
      <w:r>
        <w:rPr>
          <w:rFonts w:ascii="Arial" w:hAnsi="Arial" w:cs="Arial"/>
          <w:sz w:val="20"/>
        </w:rPr>
        <w:br w:type="page"/>
      </w:r>
    </w:p>
    <w:p w14:paraId="5EE29109" w14:textId="77777777" w:rsidR="006F2149" w:rsidRPr="002E4ACC" w:rsidRDefault="006F2149" w:rsidP="008F1163">
      <w:pPr>
        <w:jc w:val="both"/>
        <w:rPr>
          <w:rFonts w:ascii="Arial" w:hAnsi="Arial" w:cs="Arial"/>
          <w:sz w:val="20"/>
        </w:rPr>
      </w:pPr>
    </w:p>
    <w:tbl>
      <w:tblPr>
        <w:tblW w:w="80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0"/>
        <w:gridCol w:w="1404"/>
        <w:gridCol w:w="1276"/>
      </w:tblGrid>
      <w:tr w:rsidR="006F2149" w:rsidRPr="00481A30" w14:paraId="125B542E" w14:textId="77777777" w:rsidTr="00A059FB">
        <w:trPr>
          <w:trHeight w:val="246"/>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6BE82F5" w14:textId="77777777" w:rsidR="006F2149" w:rsidRPr="00481A30" w:rsidRDefault="006F2149" w:rsidP="008B109C">
            <w:pPr>
              <w:jc w:val="center"/>
              <w:rPr>
                <w:rFonts w:ascii="Arial" w:hAnsi="Arial" w:cs="Arial"/>
                <w:b/>
                <w:sz w:val="20"/>
              </w:rPr>
            </w:pPr>
          </w:p>
        </w:tc>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25B2B51E" w14:textId="77777777" w:rsidR="006F2149" w:rsidRPr="00481A30" w:rsidRDefault="006F2149" w:rsidP="008B109C">
            <w:pPr>
              <w:jc w:val="center"/>
              <w:rPr>
                <w:rFonts w:ascii="Arial" w:hAnsi="Arial" w:cs="Arial"/>
                <w:b/>
                <w:sz w:val="20"/>
              </w:rPr>
            </w:pPr>
            <w:r w:rsidRPr="00481A30">
              <w:rPr>
                <w:rFonts w:ascii="Arial" w:hAnsi="Arial" w:cs="Arial"/>
                <w:b/>
                <w:sz w:val="20"/>
              </w:rPr>
              <w:t>31/12/2019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DAF7A5" w14:textId="77777777" w:rsidR="006F2149" w:rsidRPr="00481A30" w:rsidRDefault="006F2149" w:rsidP="008B109C">
            <w:pPr>
              <w:jc w:val="center"/>
              <w:rPr>
                <w:rFonts w:ascii="Arial" w:hAnsi="Arial" w:cs="Arial"/>
                <w:b/>
                <w:sz w:val="20"/>
              </w:rPr>
            </w:pPr>
            <w:r w:rsidRPr="00481A30">
              <w:rPr>
                <w:rFonts w:ascii="Arial" w:hAnsi="Arial" w:cs="Arial"/>
                <w:b/>
                <w:sz w:val="20"/>
              </w:rPr>
              <w:t>31/12/2018</w:t>
            </w:r>
          </w:p>
        </w:tc>
      </w:tr>
      <w:tr w:rsidR="006F2149" w:rsidRPr="006F2149" w14:paraId="33CEAA8C" w14:textId="77777777" w:rsidTr="00A059FB">
        <w:trPr>
          <w:trHeight w:val="246"/>
        </w:trPr>
        <w:tc>
          <w:tcPr>
            <w:tcW w:w="5400" w:type="dxa"/>
            <w:tcBorders>
              <w:top w:val="single" w:sz="4" w:space="0" w:color="auto"/>
              <w:left w:val="single" w:sz="4" w:space="0" w:color="auto"/>
              <w:bottom w:val="single" w:sz="4" w:space="0" w:color="auto"/>
              <w:right w:val="single" w:sz="4" w:space="0" w:color="auto"/>
            </w:tcBorders>
            <w:shd w:val="clear" w:color="auto" w:fill="auto"/>
            <w:vAlign w:val="bottom"/>
          </w:tcPr>
          <w:p w14:paraId="54B91704" w14:textId="10217386" w:rsidR="006F2149" w:rsidRPr="006E1AF7" w:rsidRDefault="006F2149" w:rsidP="006E1AF7">
            <w:pPr>
              <w:rPr>
                <w:rFonts w:ascii="Arial" w:hAnsi="Arial" w:cs="Arial"/>
                <w:sz w:val="20"/>
              </w:rPr>
            </w:pPr>
            <w:r>
              <w:rPr>
                <w:rFonts w:ascii="Arial" w:hAnsi="Arial" w:cs="Arial"/>
                <w:color w:val="000000"/>
                <w:sz w:val="20"/>
              </w:rPr>
              <w:t>Acreedores no financieros por pases pasivos de títulos públicos </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bottom"/>
          </w:tcPr>
          <w:p w14:paraId="5BB4D808" w14:textId="00005EBD" w:rsidR="006F2149" w:rsidRPr="006E1AF7" w:rsidRDefault="006F2149" w:rsidP="006E1AF7">
            <w:pPr>
              <w:jc w:val="right"/>
              <w:rPr>
                <w:rFonts w:ascii="Arial" w:hAnsi="Arial" w:cs="Arial"/>
                <w:sz w:val="20"/>
              </w:rPr>
            </w:pPr>
            <w:r>
              <w:rPr>
                <w:rFonts w:ascii="Arial" w:hAnsi="Arial" w:cs="Arial"/>
                <w:color w:val="000000"/>
                <w:sz w:val="20"/>
              </w:rPr>
              <w:t xml:space="preserve">295.087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D0941B" w14:textId="665378BC" w:rsidR="006F2149" w:rsidRPr="006E1AF7" w:rsidRDefault="006F2149" w:rsidP="006E1AF7">
            <w:pPr>
              <w:jc w:val="right"/>
              <w:rPr>
                <w:rFonts w:ascii="Arial" w:hAnsi="Arial" w:cs="Arial"/>
                <w:sz w:val="20"/>
              </w:rPr>
            </w:pPr>
            <w:r>
              <w:rPr>
                <w:rFonts w:ascii="Arial" w:hAnsi="Arial" w:cs="Arial"/>
                <w:sz w:val="20"/>
              </w:rPr>
              <w:t>-</w:t>
            </w:r>
          </w:p>
        </w:tc>
      </w:tr>
      <w:tr w:rsidR="006F2149" w:rsidRPr="006F2149" w14:paraId="69490AA7" w14:textId="77777777" w:rsidTr="00A059FB">
        <w:trPr>
          <w:trHeight w:val="246"/>
        </w:trPr>
        <w:tc>
          <w:tcPr>
            <w:tcW w:w="5400" w:type="dxa"/>
            <w:tcBorders>
              <w:top w:val="single" w:sz="4" w:space="0" w:color="auto"/>
              <w:left w:val="single" w:sz="4" w:space="0" w:color="auto"/>
              <w:bottom w:val="single" w:sz="4" w:space="0" w:color="auto"/>
              <w:right w:val="single" w:sz="4" w:space="0" w:color="auto"/>
            </w:tcBorders>
            <w:shd w:val="clear" w:color="auto" w:fill="auto"/>
            <w:vAlign w:val="bottom"/>
          </w:tcPr>
          <w:p w14:paraId="3197CBC5" w14:textId="293F2073" w:rsidR="006F2149" w:rsidRPr="006F2149" w:rsidRDefault="006F2149" w:rsidP="006E1AF7">
            <w:pPr>
              <w:rPr>
                <w:rFonts w:ascii="Arial" w:hAnsi="Arial" w:cs="Arial"/>
                <w:sz w:val="20"/>
              </w:rPr>
            </w:pPr>
            <w:r>
              <w:rPr>
                <w:rFonts w:ascii="Arial" w:hAnsi="Arial" w:cs="Arial"/>
                <w:color w:val="000000"/>
                <w:sz w:val="20"/>
              </w:rPr>
              <w:t>Acreedores  financieros  por  pases  pasivos  de  títulos públicos</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bottom"/>
          </w:tcPr>
          <w:p w14:paraId="27711A36" w14:textId="75CCA08F" w:rsidR="006F2149" w:rsidRPr="006F2149" w:rsidRDefault="006F2149" w:rsidP="006E1AF7">
            <w:pPr>
              <w:jc w:val="right"/>
              <w:rPr>
                <w:rFonts w:ascii="Arial" w:hAnsi="Arial" w:cs="Arial"/>
                <w:sz w:val="20"/>
              </w:rPr>
            </w:pPr>
            <w:r>
              <w:rPr>
                <w:rFonts w:ascii="Arial" w:hAnsi="Arial" w:cs="Arial"/>
                <w:color w:val="000000"/>
                <w:sz w:val="20"/>
              </w:rPr>
              <w:t xml:space="preserve">23.880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0754B2" w14:textId="2B4BC028" w:rsidR="006F2149" w:rsidRPr="006F2149" w:rsidRDefault="006F2149" w:rsidP="006E1AF7">
            <w:pPr>
              <w:jc w:val="right"/>
              <w:rPr>
                <w:rFonts w:ascii="Arial" w:hAnsi="Arial" w:cs="Arial"/>
                <w:sz w:val="20"/>
              </w:rPr>
            </w:pPr>
            <w:r>
              <w:rPr>
                <w:rFonts w:ascii="Arial" w:hAnsi="Arial" w:cs="Arial"/>
                <w:sz w:val="20"/>
              </w:rPr>
              <w:t>-</w:t>
            </w:r>
          </w:p>
        </w:tc>
      </w:tr>
      <w:tr w:rsidR="006F2149" w:rsidRPr="006F2149" w14:paraId="7998B1A5" w14:textId="77777777" w:rsidTr="00A059FB">
        <w:trPr>
          <w:trHeight w:val="246"/>
        </w:trPr>
        <w:tc>
          <w:tcPr>
            <w:tcW w:w="5400" w:type="dxa"/>
            <w:tcBorders>
              <w:top w:val="single" w:sz="4" w:space="0" w:color="auto"/>
              <w:left w:val="single" w:sz="4" w:space="0" w:color="auto"/>
              <w:bottom w:val="single" w:sz="4" w:space="0" w:color="auto"/>
              <w:right w:val="single" w:sz="4" w:space="0" w:color="auto"/>
            </w:tcBorders>
            <w:shd w:val="clear" w:color="auto" w:fill="auto"/>
            <w:vAlign w:val="bottom"/>
          </w:tcPr>
          <w:p w14:paraId="1A71956D" w14:textId="4E252A76" w:rsidR="006F2149" w:rsidRPr="006E1AF7" w:rsidRDefault="006F2149" w:rsidP="006E1AF7">
            <w:pPr>
              <w:rPr>
                <w:rFonts w:ascii="Arial" w:hAnsi="Arial" w:cs="Arial"/>
                <w:sz w:val="20"/>
              </w:rPr>
            </w:pPr>
            <w:r>
              <w:rPr>
                <w:rFonts w:ascii="Arial" w:hAnsi="Arial" w:cs="Arial"/>
                <w:color w:val="000000"/>
                <w:sz w:val="20"/>
              </w:rPr>
              <w:t>Intereses devengados a pagar por pases pasivos</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bottom"/>
          </w:tcPr>
          <w:p w14:paraId="127E44E7" w14:textId="1F4BE2AC" w:rsidR="006F2149" w:rsidRPr="006E1AF7" w:rsidRDefault="006F2149" w:rsidP="006E1AF7">
            <w:pPr>
              <w:jc w:val="right"/>
              <w:rPr>
                <w:rFonts w:ascii="Arial" w:hAnsi="Arial" w:cs="Arial"/>
                <w:sz w:val="20"/>
              </w:rPr>
            </w:pPr>
            <w:r>
              <w:rPr>
                <w:rFonts w:ascii="Arial" w:hAnsi="Arial" w:cs="Arial"/>
                <w:color w:val="000000"/>
                <w:sz w:val="20"/>
              </w:rPr>
              <w:t xml:space="preserve">850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25FE47" w14:textId="3EA3B6EE" w:rsidR="006F2149" w:rsidRPr="006E1AF7" w:rsidRDefault="006F2149" w:rsidP="006E1AF7">
            <w:pPr>
              <w:jc w:val="right"/>
              <w:rPr>
                <w:rFonts w:ascii="Arial" w:hAnsi="Arial" w:cs="Arial"/>
                <w:sz w:val="20"/>
              </w:rPr>
            </w:pPr>
            <w:r>
              <w:rPr>
                <w:rFonts w:ascii="Arial" w:hAnsi="Arial" w:cs="Arial"/>
                <w:sz w:val="20"/>
              </w:rPr>
              <w:t>-</w:t>
            </w:r>
          </w:p>
        </w:tc>
      </w:tr>
      <w:tr w:rsidR="006F2149" w:rsidRPr="00481A30" w14:paraId="77C7FF0C" w14:textId="77777777" w:rsidTr="00A059FB">
        <w:trPr>
          <w:trHeight w:val="246"/>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71E40E8F" w14:textId="77777777" w:rsidR="006F2149" w:rsidRPr="00481A30" w:rsidRDefault="006F2149" w:rsidP="006E1AF7">
            <w:pPr>
              <w:rPr>
                <w:rFonts w:ascii="Arial" w:hAnsi="Arial" w:cs="Arial"/>
                <w:b/>
                <w:sz w:val="20"/>
              </w:rPr>
            </w:pPr>
            <w:r w:rsidRPr="00481A30">
              <w:rPr>
                <w:rFonts w:ascii="Arial" w:hAnsi="Arial" w:cs="Arial"/>
                <w:b/>
                <w:sz w:val="20"/>
              </w:rPr>
              <w:t>Total</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550F7B75" w14:textId="3B62D023" w:rsidR="006F2149" w:rsidRPr="006E1AF7" w:rsidRDefault="006F2149" w:rsidP="006E1AF7">
            <w:pPr>
              <w:jc w:val="right"/>
              <w:rPr>
                <w:rFonts w:ascii="Arial" w:hAnsi="Arial" w:cs="Arial"/>
                <w:b/>
                <w:color w:val="000000"/>
                <w:sz w:val="20"/>
                <w:lang w:eastAsia="es-AR"/>
              </w:rPr>
            </w:pPr>
            <w:r w:rsidRPr="006E1AF7">
              <w:rPr>
                <w:rFonts w:ascii="Arial" w:hAnsi="Arial" w:cs="Arial"/>
                <w:b/>
                <w:color w:val="000000"/>
                <w:sz w:val="20"/>
              </w:rPr>
              <w:t xml:space="preserve">319.817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E002CEA" w14:textId="6413E523" w:rsidR="006F2149" w:rsidRPr="006F2149" w:rsidRDefault="006F2149" w:rsidP="006E1AF7">
            <w:pPr>
              <w:jc w:val="right"/>
              <w:rPr>
                <w:rFonts w:ascii="Arial" w:hAnsi="Arial" w:cs="Arial"/>
                <w:b/>
                <w:sz w:val="20"/>
              </w:rPr>
            </w:pPr>
            <w:r w:rsidRPr="006F2149">
              <w:rPr>
                <w:rFonts w:ascii="Arial" w:hAnsi="Arial" w:cs="Arial"/>
                <w:b/>
                <w:sz w:val="20"/>
              </w:rPr>
              <w:t>-</w:t>
            </w:r>
          </w:p>
        </w:tc>
      </w:tr>
    </w:tbl>
    <w:p w14:paraId="40BC66BF" w14:textId="77777777" w:rsidR="006F2149" w:rsidRDefault="006F2149" w:rsidP="006E1AF7">
      <w:pPr>
        <w:rPr>
          <w:rFonts w:ascii="Arial" w:hAnsi="Arial" w:cs="Arial"/>
          <w:sz w:val="20"/>
        </w:rPr>
      </w:pPr>
    </w:p>
    <w:p w14:paraId="01708972" w14:textId="4E0213BF"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.12 Otros pasivos financieros</w:t>
      </w:r>
    </w:p>
    <w:p w14:paraId="555592FC" w14:textId="77777777" w:rsidR="00AE0907" w:rsidRPr="00AE0907" w:rsidRDefault="00AE0907" w:rsidP="00AE0907">
      <w:pPr>
        <w:jc w:val="both"/>
        <w:rPr>
          <w:rFonts w:ascii="Arial" w:hAnsi="Arial" w:cs="Arial"/>
          <w:sz w:val="20"/>
        </w:rPr>
      </w:pPr>
    </w:p>
    <w:p w14:paraId="4EF4ACB5" w14:textId="6A1614BE" w:rsidR="00AE0907" w:rsidRDefault="00AE0907" w:rsidP="00AE0907">
      <w:pPr>
        <w:jc w:val="both"/>
        <w:rPr>
          <w:rFonts w:ascii="Arial" w:eastAsiaTheme="minorHAnsi" w:hAnsi="Arial" w:cs="Arial"/>
          <w:sz w:val="20"/>
        </w:rPr>
      </w:pPr>
      <w:r w:rsidRPr="00AE0907">
        <w:rPr>
          <w:rFonts w:ascii="Arial" w:eastAsiaTheme="minorHAnsi" w:hAnsi="Arial" w:cs="Arial"/>
          <w:sz w:val="20"/>
        </w:rPr>
        <w:t>Los principales componentes del rubro otros pasivos financieros al 31 de diciembre de 201</w:t>
      </w:r>
      <w:r w:rsidR="00481A30">
        <w:rPr>
          <w:rFonts w:ascii="Arial" w:eastAsiaTheme="minorHAnsi" w:hAnsi="Arial" w:cs="Arial"/>
          <w:sz w:val="20"/>
        </w:rPr>
        <w:t>9</w:t>
      </w:r>
      <w:r w:rsidRPr="00AE0907">
        <w:rPr>
          <w:rFonts w:ascii="Arial" w:eastAsiaTheme="minorHAnsi" w:hAnsi="Arial" w:cs="Arial"/>
          <w:sz w:val="20"/>
        </w:rPr>
        <w:t xml:space="preserve"> y 201</w:t>
      </w:r>
      <w:r w:rsidR="00481A30">
        <w:rPr>
          <w:rFonts w:ascii="Arial" w:eastAsiaTheme="minorHAnsi" w:hAnsi="Arial" w:cs="Arial"/>
          <w:sz w:val="20"/>
        </w:rPr>
        <w:t>8</w:t>
      </w:r>
      <w:r w:rsidRPr="00AE0907">
        <w:rPr>
          <w:rFonts w:ascii="Arial" w:eastAsiaTheme="minorHAnsi" w:hAnsi="Arial" w:cs="Arial"/>
          <w:sz w:val="20"/>
        </w:rPr>
        <w:t xml:space="preserve"> son los siguientes:</w:t>
      </w:r>
    </w:p>
    <w:p w14:paraId="6881726B" w14:textId="77777777" w:rsidR="00481A30" w:rsidRPr="00AE0907" w:rsidRDefault="00481A30" w:rsidP="00AE0907">
      <w:pPr>
        <w:jc w:val="both"/>
        <w:rPr>
          <w:rFonts w:ascii="Arial" w:eastAsiaTheme="minorHAnsi" w:hAnsi="Arial" w:cs="Arial"/>
          <w:sz w:val="20"/>
        </w:rPr>
      </w:pPr>
    </w:p>
    <w:tbl>
      <w:tblPr>
        <w:tblW w:w="80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5"/>
        <w:gridCol w:w="1364"/>
        <w:gridCol w:w="1141"/>
      </w:tblGrid>
      <w:tr w:rsidR="00481A30" w:rsidRPr="00481A30" w14:paraId="138EE58C" w14:textId="77777777" w:rsidTr="00BF133A">
        <w:trPr>
          <w:trHeight w:val="255"/>
          <w:tblHeader/>
        </w:trPr>
        <w:tc>
          <w:tcPr>
            <w:tcW w:w="5505" w:type="dxa"/>
            <w:shd w:val="clear" w:color="auto" w:fill="auto"/>
            <w:noWrap/>
            <w:vAlign w:val="bottom"/>
            <w:hideMark/>
          </w:tcPr>
          <w:p w14:paraId="1B9274EC" w14:textId="77777777" w:rsidR="00481A30" w:rsidRPr="00481A30" w:rsidRDefault="00481A30" w:rsidP="00481A30">
            <w:pPr>
              <w:jc w:val="center"/>
              <w:rPr>
                <w:rFonts w:ascii="Arial" w:hAnsi="Arial" w:cs="Arial"/>
                <w:b/>
                <w:sz w:val="20"/>
              </w:rPr>
            </w:pPr>
          </w:p>
        </w:tc>
        <w:tc>
          <w:tcPr>
            <w:tcW w:w="1364" w:type="dxa"/>
            <w:shd w:val="clear" w:color="auto" w:fill="auto"/>
            <w:noWrap/>
            <w:vAlign w:val="bottom"/>
            <w:hideMark/>
          </w:tcPr>
          <w:p w14:paraId="5C9C3B0E" w14:textId="2325438A" w:rsidR="00481A30" w:rsidRPr="00481A30" w:rsidRDefault="00481A30" w:rsidP="00481A30">
            <w:pPr>
              <w:jc w:val="center"/>
              <w:rPr>
                <w:rFonts w:ascii="Arial" w:hAnsi="Arial" w:cs="Arial"/>
                <w:b/>
                <w:sz w:val="20"/>
              </w:rPr>
            </w:pPr>
            <w:r w:rsidRPr="00481A30">
              <w:rPr>
                <w:rFonts w:ascii="Arial" w:hAnsi="Arial" w:cs="Arial"/>
                <w:b/>
                <w:sz w:val="20"/>
              </w:rPr>
              <w:t>31/12/201</w:t>
            </w:r>
            <w:r>
              <w:rPr>
                <w:rFonts w:ascii="Arial" w:hAnsi="Arial" w:cs="Arial"/>
                <w:b/>
                <w:sz w:val="20"/>
              </w:rPr>
              <w:t>9</w:t>
            </w:r>
          </w:p>
        </w:tc>
        <w:tc>
          <w:tcPr>
            <w:tcW w:w="1141" w:type="dxa"/>
            <w:shd w:val="clear" w:color="auto" w:fill="auto"/>
            <w:noWrap/>
            <w:vAlign w:val="bottom"/>
            <w:hideMark/>
          </w:tcPr>
          <w:p w14:paraId="70926033" w14:textId="06BE582B" w:rsidR="00481A30" w:rsidRPr="00481A30" w:rsidRDefault="00481A30" w:rsidP="00481A30">
            <w:pPr>
              <w:jc w:val="center"/>
              <w:rPr>
                <w:rFonts w:ascii="Arial" w:hAnsi="Arial" w:cs="Arial"/>
                <w:b/>
                <w:sz w:val="20"/>
              </w:rPr>
            </w:pPr>
            <w:r w:rsidRPr="00481A30">
              <w:rPr>
                <w:rFonts w:ascii="Arial" w:hAnsi="Arial" w:cs="Arial"/>
                <w:b/>
                <w:sz w:val="20"/>
              </w:rPr>
              <w:t>31/12/201</w:t>
            </w:r>
            <w:r>
              <w:rPr>
                <w:rFonts w:ascii="Arial" w:hAnsi="Arial" w:cs="Arial"/>
                <w:b/>
                <w:sz w:val="20"/>
              </w:rPr>
              <w:t>8</w:t>
            </w:r>
          </w:p>
        </w:tc>
      </w:tr>
      <w:tr w:rsidR="009B7193" w:rsidRPr="00AE0907" w14:paraId="25EE7C6A" w14:textId="77777777" w:rsidTr="00481A30">
        <w:trPr>
          <w:trHeight w:val="255"/>
        </w:trPr>
        <w:tc>
          <w:tcPr>
            <w:tcW w:w="5505" w:type="dxa"/>
            <w:shd w:val="clear" w:color="auto" w:fill="auto"/>
            <w:noWrap/>
            <w:vAlign w:val="bottom"/>
            <w:hideMark/>
          </w:tcPr>
          <w:p w14:paraId="6C08F86F" w14:textId="77777777" w:rsidR="009B7193" w:rsidRPr="00AE0907" w:rsidRDefault="009B7193" w:rsidP="009B7193">
            <w:pPr>
              <w:jc w:val="both"/>
              <w:rPr>
                <w:rFonts w:ascii="Arial" w:hAnsi="Arial" w:cs="Arial"/>
                <w:sz w:val="20"/>
              </w:rPr>
            </w:pPr>
            <w:r w:rsidRPr="00AE0907">
              <w:rPr>
                <w:rFonts w:ascii="Arial" w:hAnsi="Arial" w:cs="Arial"/>
                <w:sz w:val="20"/>
              </w:rPr>
              <w:t>Acreedores por operaciones contado a liquidar</w:t>
            </w:r>
          </w:p>
        </w:tc>
        <w:tc>
          <w:tcPr>
            <w:tcW w:w="1364" w:type="dxa"/>
            <w:shd w:val="clear" w:color="auto" w:fill="auto"/>
            <w:noWrap/>
            <w:vAlign w:val="bottom"/>
          </w:tcPr>
          <w:p w14:paraId="2F2FAC97" w14:textId="1C0C6AA5" w:rsidR="009B7193" w:rsidRPr="00AE0907" w:rsidRDefault="009B7193" w:rsidP="009B7193">
            <w:pPr>
              <w:jc w:val="right"/>
              <w:rPr>
                <w:rFonts w:ascii="Arial" w:hAnsi="Arial" w:cs="Arial"/>
                <w:sz w:val="20"/>
              </w:rPr>
            </w:pPr>
            <w:r>
              <w:rPr>
                <w:rFonts w:ascii="Arial" w:hAnsi="Arial" w:cs="Arial"/>
                <w:color w:val="000000"/>
                <w:sz w:val="20"/>
              </w:rPr>
              <w:t xml:space="preserve">15.076 </w:t>
            </w:r>
          </w:p>
        </w:tc>
        <w:tc>
          <w:tcPr>
            <w:tcW w:w="1141" w:type="dxa"/>
            <w:shd w:val="clear" w:color="auto" w:fill="auto"/>
            <w:noWrap/>
            <w:vAlign w:val="bottom"/>
            <w:hideMark/>
          </w:tcPr>
          <w:p w14:paraId="52FCF6D8" w14:textId="37F8BE9B" w:rsidR="009B7193" w:rsidRPr="00AE0907" w:rsidRDefault="009B7193" w:rsidP="009B7193">
            <w:pPr>
              <w:jc w:val="right"/>
              <w:rPr>
                <w:rFonts w:ascii="Arial" w:hAnsi="Arial" w:cs="Arial"/>
                <w:sz w:val="20"/>
              </w:rPr>
            </w:pPr>
            <w:r w:rsidRPr="00AE0907">
              <w:rPr>
                <w:rFonts w:ascii="Arial" w:hAnsi="Arial" w:cs="Arial"/>
                <w:sz w:val="20"/>
              </w:rPr>
              <w:t xml:space="preserve">4.015 </w:t>
            </w:r>
          </w:p>
        </w:tc>
      </w:tr>
      <w:tr w:rsidR="009B7193" w:rsidRPr="00AE0907" w14:paraId="29F0B1DB" w14:textId="77777777" w:rsidTr="00481A30">
        <w:trPr>
          <w:trHeight w:val="255"/>
        </w:trPr>
        <w:tc>
          <w:tcPr>
            <w:tcW w:w="5505" w:type="dxa"/>
            <w:shd w:val="clear" w:color="auto" w:fill="auto"/>
            <w:noWrap/>
            <w:vAlign w:val="bottom"/>
            <w:hideMark/>
          </w:tcPr>
          <w:p w14:paraId="4927BD7B" w14:textId="77777777" w:rsidR="009B7193" w:rsidRPr="00AE0907" w:rsidRDefault="009B7193" w:rsidP="009B7193">
            <w:pPr>
              <w:jc w:val="both"/>
              <w:rPr>
                <w:rFonts w:ascii="Arial" w:hAnsi="Arial" w:cs="Arial"/>
                <w:sz w:val="20"/>
              </w:rPr>
            </w:pPr>
            <w:r w:rsidRPr="00AE0907">
              <w:rPr>
                <w:rFonts w:ascii="Arial" w:hAnsi="Arial" w:cs="Arial"/>
                <w:sz w:val="20"/>
              </w:rPr>
              <w:t>Cobranzas por cuenta de terceros</w:t>
            </w:r>
          </w:p>
        </w:tc>
        <w:tc>
          <w:tcPr>
            <w:tcW w:w="1364" w:type="dxa"/>
            <w:shd w:val="clear" w:color="auto" w:fill="auto"/>
            <w:noWrap/>
            <w:vAlign w:val="bottom"/>
          </w:tcPr>
          <w:p w14:paraId="149D02C2" w14:textId="617A31DE" w:rsidR="009B7193" w:rsidRPr="00AE0907" w:rsidRDefault="009B7193" w:rsidP="009B7193">
            <w:pPr>
              <w:jc w:val="right"/>
              <w:rPr>
                <w:rFonts w:ascii="Arial" w:hAnsi="Arial" w:cs="Arial"/>
                <w:sz w:val="20"/>
              </w:rPr>
            </w:pPr>
            <w:r>
              <w:rPr>
                <w:rFonts w:ascii="Arial" w:hAnsi="Arial" w:cs="Arial"/>
                <w:color w:val="000000"/>
                <w:sz w:val="20"/>
              </w:rPr>
              <w:t>5.</w:t>
            </w:r>
            <w:r w:rsidR="00F05C2A">
              <w:rPr>
                <w:rFonts w:ascii="Arial" w:hAnsi="Arial" w:cs="Arial"/>
                <w:color w:val="000000"/>
                <w:sz w:val="20"/>
              </w:rPr>
              <w:t>214</w:t>
            </w:r>
            <w:r>
              <w:rPr>
                <w:rFonts w:ascii="Arial" w:hAnsi="Arial" w:cs="Arial"/>
                <w:color w:val="000000"/>
                <w:sz w:val="20"/>
              </w:rPr>
              <w:t>.</w:t>
            </w:r>
            <w:r w:rsidR="00DC2191">
              <w:rPr>
                <w:rFonts w:ascii="Arial" w:hAnsi="Arial" w:cs="Arial"/>
                <w:color w:val="000000"/>
                <w:sz w:val="20"/>
              </w:rPr>
              <w:t>83</w:t>
            </w:r>
            <w:r>
              <w:rPr>
                <w:rFonts w:ascii="Arial" w:hAnsi="Arial" w:cs="Arial"/>
                <w:color w:val="000000"/>
                <w:sz w:val="20"/>
              </w:rPr>
              <w:t xml:space="preserve">3 </w:t>
            </w:r>
          </w:p>
        </w:tc>
        <w:tc>
          <w:tcPr>
            <w:tcW w:w="1141" w:type="dxa"/>
            <w:shd w:val="clear" w:color="auto" w:fill="auto"/>
            <w:noWrap/>
            <w:vAlign w:val="bottom"/>
            <w:hideMark/>
          </w:tcPr>
          <w:p w14:paraId="667F959B" w14:textId="26C24321" w:rsidR="009B7193" w:rsidRPr="00AE0907" w:rsidRDefault="009B7193" w:rsidP="009B7193">
            <w:pPr>
              <w:jc w:val="right"/>
              <w:rPr>
                <w:rFonts w:ascii="Arial" w:hAnsi="Arial" w:cs="Arial"/>
                <w:sz w:val="20"/>
              </w:rPr>
            </w:pPr>
            <w:r w:rsidRPr="00AE0907">
              <w:rPr>
                <w:rFonts w:ascii="Arial" w:hAnsi="Arial" w:cs="Arial"/>
                <w:sz w:val="20"/>
              </w:rPr>
              <w:t xml:space="preserve">3.195.309 </w:t>
            </w:r>
          </w:p>
        </w:tc>
      </w:tr>
      <w:tr w:rsidR="009B7193" w:rsidRPr="00AE0907" w14:paraId="65970F11" w14:textId="77777777" w:rsidTr="00481A30">
        <w:trPr>
          <w:trHeight w:val="255"/>
        </w:trPr>
        <w:tc>
          <w:tcPr>
            <w:tcW w:w="5505" w:type="dxa"/>
            <w:shd w:val="clear" w:color="auto" w:fill="auto"/>
            <w:noWrap/>
            <w:vAlign w:val="bottom"/>
            <w:hideMark/>
          </w:tcPr>
          <w:p w14:paraId="11E3E5F8" w14:textId="77777777" w:rsidR="009B7193" w:rsidRPr="00AE0907" w:rsidRDefault="009B7193" w:rsidP="009B7193">
            <w:pPr>
              <w:jc w:val="both"/>
              <w:rPr>
                <w:rFonts w:ascii="Arial" w:hAnsi="Arial" w:cs="Arial"/>
                <w:sz w:val="20"/>
              </w:rPr>
            </w:pPr>
            <w:r w:rsidRPr="00AE0907">
              <w:rPr>
                <w:rFonts w:ascii="Arial" w:hAnsi="Arial" w:cs="Arial"/>
                <w:sz w:val="20"/>
              </w:rPr>
              <w:t>Comisiones devengadas a pagar</w:t>
            </w:r>
          </w:p>
        </w:tc>
        <w:tc>
          <w:tcPr>
            <w:tcW w:w="1364" w:type="dxa"/>
            <w:shd w:val="clear" w:color="auto" w:fill="auto"/>
            <w:noWrap/>
            <w:vAlign w:val="bottom"/>
          </w:tcPr>
          <w:p w14:paraId="6EFA128A" w14:textId="506DF94B" w:rsidR="009B7193" w:rsidRPr="00AE0907" w:rsidRDefault="009B7193" w:rsidP="009B7193">
            <w:pPr>
              <w:jc w:val="right"/>
              <w:rPr>
                <w:rFonts w:ascii="Arial" w:hAnsi="Arial" w:cs="Arial"/>
                <w:sz w:val="20"/>
              </w:rPr>
            </w:pPr>
            <w:r>
              <w:rPr>
                <w:rFonts w:ascii="Arial" w:hAnsi="Arial" w:cs="Arial"/>
                <w:color w:val="000000"/>
                <w:sz w:val="20"/>
              </w:rPr>
              <w:t xml:space="preserve">269 </w:t>
            </w:r>
          </w:p>
        </w:tc>
        <w:tc>
          <w:tcPr>
            <w:tcW w:w="1141" w:type="dxa"/>
            <w:shd w:val="clear" w:color="auto" w:fill="auto"/>
            <w:noWrap/>
            <w:vAlign w:val="bottom"/>
            <w:hideMark/>
          </w:tcPr>
          <w:p w14:paraId="0AA621DC" w14:textId="6B3BD6C3" w:rsidR="009B7193" w:rsidRPr="00AE0907" w:rsidRDefault="009B7193" w:rsidP="009B7193">
            <w:pPr>
              <w:jc w:val="right"/>
              <w:rPr>
                <w:rFonts w:ascii="Arial" w:hAnsi="Arial" w:cs="Arial"/>
                <w:sz w:val="20"/>
              </w:rPr>
            </w:pPr>
            <w:r w:rsidRPr="00AE0907">
              <w:rPr>
                <w:rFonts w:ascii="Arial" w:hAnsi="Arial" w:cs="Arial"/>
                <w:sz w:val="20"/>
              </w:rPr>
              <w:t xml:space="preserve">36.460 </w:t>
            </w:r>
          </w:p>
        </w:tc>
      </w:tr>
      <w:tr w:rsidR="009B7193" w:rsidRPr="00AE0907" w14:paraId="7AAB71AE" w14:textId="77777777" w:rsidTr="00481A30">
        <w:trPr>
          <w:trHeight w:val="255"/>
        </w:trPr>
        <w:tc>
          <w:tcPr>
            <w:tcW w:w="5505" w:type="dxa"/>
            <w:shd w:val="clear" w:color="auto" w:fill="auto"/>
            <w:noWrap/>
            <w:vAlign w:val="bottom"/>
            <w:hideMark/>
          </w:tcPr>
          <w:p w14:paraId="6F29F257" w14:textId="77777777" w:rsidR="009B7193" w:rsidRPr="00AE0907" w:rsidRDefault="009B7193" w:rsidP="009B7193">
            <w:pPr>
              <w:jc w:val="both"/>
              <w:rPr>
                <w:rFonts w:ascii="Arial" w:hAnsi="Arial" w:cs="Arial"/>
                <w:sz w:val="20"/>
              </w:rPr>
            </w:pPr>
            <w:r w:rsidRPr="00AE0907">
              <w:rPr>
                <w:rFonts w:ascii="Arial" w:hAnsi="Arial" w:cs="Arial"/>
                <w:sz w:val="20"/>
              </w:rPr>
              <w:t>Contratos de garantía financiera</w:t>
            </w:r>
          </w:p>
        </w:tc>
        <w:tc>
          <w:tcPr>
            <w:tcW w:w="1364" w:type="dxa"/>
            <w:shd w:val="clear" w:color="auto" w:fill="auto"/>
            <w:noWrap/>
            <w:vAlign w:val="bottom"/>
          </w:tcPr>
          <w:p w14:paraId="3742D46A" w14:textId="2601A2B7" w:rsidR="009B7193" w:rsidRPr="00AE0907" w:rsidRDefault="009B7193" w:rsidP="009B7193">
            <w:pPr>
              <w:jc w:val="right"/>
              <w:rPr>
                <w:rFonts w:ascii="Arial" w:hAnsi="Arial" w:cs="Arial"/>
                <w:sz w:val="20"/>
              </w:rPr>
            </w:pPr>
            <w:r>
              <w:rPr>
                <w:rFonts w:ascii="Arial" w:hAnsi="Arial" w:cs="Arial"/>
                <w:color w:val="000000"/>
                <w:sz w:val="20"/>
              </w:rPr>
              <w:t xml:space="preserve">15.268 </w:t>
            </w:r>
          </w:p>
        </w:tc>
        <w:tc>
          <w:tcPr>
            <w:tcW w:w="1141" w:type="dxa"/>
            <w:shd w:val="clear" w:color="auto" w:fill="auto"/>
            <w:noWrap/>
            <w:vAlign w:val="bottom"/>
            <w:hideMark/>
          </w:tcPr>
          <w:p w14:paraId="19DBB410" w14:textId="470AD05C" w:rsidR="009B7193" w:rsidRPr="00AE0907" w:rsidRDefault="009B7193" w:rsidP="009B7193">
            <w:pPr>
              <w:jc w:val="right"/>
              <w:rPr>
                <w:rFonts w:ascii="Arial" w:hAnsi="Arial" w:cs="Arial"/>
                <w:sz w:val="20"/>
              </w:rPr>
            </w:pPr>
            <w:r w:rsidRPr="00AE0907">
              <w:rPr>
                <w:rFonts w:ascii="Arial" w:hAnsi="Arial" w:cs="Arial"/>
                <w:sz w:val="20"/>
              </w:rPr>
              <w:t xml:space="preserve">36.572 </w:t>
            </w:r>
          </w:p>
        </w:tc>
      </w:tr>
      <w:tr w:rsidR="009B7193" w:rsidRPr="00AE0907" w14:paraId="20CD6410" w14:textId="77777777" w:rsidTr="00481A30">
        <w:trPr>
          <w:trHeight w:val="255"/>
        </w:trPr>
        <w:tc>
          <w:tcPr>
            <w:tcW w:w="5505" w:type="dxa"/>
            <w:shd w:val="clear" w:color="auto" w:fill="auto"/>
            <w:noWrap/>
            <w:vAlign w:val="bottom"/>
            <w:hideMark/>
          </w:tcPr>
          <w:p w14:paraId="1E352416" w14:textId="77777777" w:rsidR="009B7193" w:rsidRPr="00AE0907" w:rsidRDefault="009B7193" w:rsidP="009B7193">
            <w:pPr>
              <w:jc w:val="both"/>
              <w:rPr>
                <w:rFonts w:ascii="Arial" w:hAnsi="Arial" w:cs="Arial"/>
                <w:sz w:val="20"/>
              </w:rPr>
            </w:pPr>
            <w:r w:rsidRPr="00AE0907">
              <w:rPr>
                <w:rFonts w:ascii="Arial" w:hAnsi="Arial" w:cs="Arial"/>
                <w:sz w:val="20"/>
              </w:rPr>
              <w:t>Pasivos asociados a la transferencia de activos financieros no dados de baja</w:t>
            </w:r>
          </w:p>
        </w:tc>
        <w:tc>
          <w:tcPr>
            <w:tcW w:w="1364" w:type="dxa"/>
            <w:shd w:val="clear" w:color="auto" w:fill="auto"/>
            <w:noWrap/>
            <w:vAlign w:val="bottom"/>
          </w:tcPr>
          <w:p w14:paraId="77B62DD7" w14:textId="27CC129C" w:rsidR="009B7193" w:rsidRPr="00AE0907" w:rsidRDefault="009B7193" w:rsidP="009B7193">
            <w:pPr>
              <w:jc w:val="right"/>
              <w:rPr>
                <w:rFonts w:ascii="Arial" w:hAnsi="Arial" w:cs="Arial"/>
                <w:sz w:val="20"/>
              </w:rPr>
            </w:pPr>
            <w:r>
              <w:rPr>
                <w:rFonts w:ascii="Arial" w:hAnsi="Arial" w:cs="Arial"/>
                <w:color w:val="000000"/>
                <w:sz w:val="20"/>
              </w:rPr>
              <w:t xml:space="preserve">713.177 </w:t>
            </w:r>
          </w:p>
        </w:tc>
        <w:tc>
          <w:tcPr>
            <w:tcW w:w="1141" w:type="dxa"/>
            <w:shd w:val="clear" w:color="auto" w:fill="auto"/>
            <w:noWrap/>
            <w:vAlign w:val="bottom"/>
            <w:hideMark/>
          </w:tcPr>
          <w:p w14:paraId="230986BF" w14:textId="5CCF4E51" w:rsidR="009B7193" w:rsidRPr="00AE0907" w:rsidRDefault="009B7193" w:rsidP="009B7193">
            <w:pPr>
              <w:jc w:val="right"/>
              <w:rPr>
                <w:rFonts w:ascii="Arial" w:hAnsi="Arial" w:cs="Arial"/>
                <w:sz w:val="20"/>
              </w:rPr>
            </w:pPr>
            <w:r w:rsidRPr="00AE0907">
              <w:rPr>
                <w:rFonts w:ascii="Arial" w:hAnsi="Arial" w:cs="Arial"/>
                <w:sz w:val="20"/>
              </w:rPr>
              <w:t xml:space="preserve">72.840 </w:t>
            </w:r>
          </w:p>
        </w:tc>
      </w:tr>
      <w:tr w:rsidR="009B7193" w:rsidRPr="00AE0907" w14:paraId="7EA36441" w14:textId="77777777" w:rsidTr="00481A30">
        <w:trPr>
          <w:trHeight w:val="255"/>
        </w:trPr>
        <w:tc>
          <w:tcPr>
            <w:tcW w:w="5505" w:type="dxa"/>
            <w:shd w:val="clear" w:color="auto" w:fill="auto"/>
            <w:noWrap/>
            <w:vAlign w:val="bottom"/>
          </w:tcPr>
          <w:p w14:paraId="1F385183" w14:textId="61F18221" w:rsidR="009B7193" w:rsidRPr="009B7193" w:rsidRDefault="009B7193" w:rsidP="009B7193">
            <w:pPr>
              <w:jc w:val="both"/>
              <w:rPr>
                <w:rFonts w:ascii="Arial" w:hAnsi="Arial" w:cs="Arial"/>
                <w:color w:val="000000"/>
                <w:sz w:val="20"/>
                <w:lang w:eastAsia="es-AR"/>
              </w:rPr>
            </w:pPr>
            <w:r>
              <w:rPr>
                <w:rFonts w:ascii="Arial" w:hAnsi="Arial" w:cs="Arial"/>
                <w:color w:val="000000"/>
                <w:sz w:val="20"/>
              </w:rPr>
              <w:t xml:space="preserve">Arrendamientos financieros </w:t>
            </w:r>
            <w:r w:rsidR="002C509D">
              <w:rPr>
                <w:rFonts w:ascii="Arial" w:hAnsi="Arial" w:cs="Arial"/>
                <w:color w:val="000000"/>
                <w:sz w:val="20"/>
              </w:rPr>
              <w:t>por</w:t>
            </w:r>
            <w:r>
              <w:rPr>
                <w:rFonts w:ascii="Arial" w:hAnsi="Arial" w:cs="Arial"/>
                <w:color w:val="000000"/>
                <w:sz w:val="20"/>
              </w:rPr>
              <w:t xml:space="preserve"> pagar</w:t>
            </w:r>
          </w:p>
        </w:tc>
        <w:tc>
          <w:tcPr>
            <w:tcW w:w="1364" w:type="dxa"/>
            <w:shd w:val="clear" w:color="auto" w:fill="auto"/>
            <w:noWrap/>
            <w:vAlign w:val="bottom"/>
          </w:tcPr>
          <w:p w14:paraId="4E9BC836" w14:textId="2326D86D" w:rsidR="009B7193" w:rsidRPr="00AE0907" w:rsidRDefault="009B7193" w:rsidP="009B7193">
            <w:pPr>
              <w:jc w:val="right"/>
              <w:rPr>
                <w:rFonts w:ascii="Arial" w:hAnsi="Arial" w:cs="Arial"/>
                <w:sz w:val="20"/>
              </w:rPr>
            </w:pPr>
            <w:r>
              <w:rPr>
                <w:rFonts w:ascii="Arial" w:hAnsi="Arial" w:cs="Arial"/>
                <w:color w:val="000000"/>
                <w:sz w:val="20"/>
              </w:rPr>
              <w:t>9</w:t>
            </w:r>
            <w:r w:rsidR="00AE7B9F">
              <w:rPr>
                <w:rFonts w:ascii="Arial" w:hAnsi="Arial" w:cs="Arial"/>
                <w:color w:val="000000"/>
                <w:sz w:val="20"/>
              </w:rPr>
              <w:t>46</w:t>
            </w:r>
            <w:r>
              <w:rPr>
                <w:rFonts w:ascii="Arial" w:hAnsi="Arial" w:cs="Arial"/>
                <w:color w:val="000000"/>
                <w:sz w:val="20"/>
              </w:rPr>
              <w:t>.</w:t>
            </w:r>
            <w:r w:rsidR="00AE7B9F">
              <w:rPr>
                <w:rFonts w:ascii="Arial" w:hAnsi="Arial" w:cs="Arial"/>
                <w:color w:val="000000"/>
                <w:sz w:val="20"/>
              </w:rPr>
              <w:t>389</w:t>
            </w:r>
            <w:r>
              <w:rPr>
                <w:rFonts w:ascii="Arial" w:hAnsi="Arial" w:cs="Arial"/>
                <w:color w:val="000000"/>
                <w:sz w:val="20"/>
              </w:rPr>
              <w:t xml:space="preserve"> </w:t>
            </w:r>
          </w:p>
        </w:tc>
        <w:tc>
          <w:tcPr>
            <w:tcW w:w="1141" w:type="dxa"/>
            <w:shd w:val="clear" w:color="auto" w:fill="auto"/>
            <w:noWrap/>
            <w:vAlign w:val="bottom"/>
          </w:tcPr>
          <w:p w14:paraId="495C8D3E" w14:textId="13FEC6A6" w:rsidR="009B7193" w:rsidRPr="00AE0907" w:rsidRDefault="002C509D" w:rsidP="009B7193">
            <w:pPr>
              <w:jc w:val="right"/>
              <w:rPr>
                <w:rFonts w:ascii="Arial" w:hAnsi="Arial" w:cs="Arial"/>
                <w:sz w:val="20"/>
              </w:rPr>
            </w:pPr>
            <w:r>
              <w:rPr>
                <w:rFonts w:ascii="Arial" w:hAnsi="Arial" w:cs="Arial"/>
                <w:sz w:val="20"/>
              </w:rPr>
              <w:t>-</w:t>
            </w:r>
          </w:p>
        </w:tc>
      </w:tr>
      <w:tr w:rsidR="009B7193" w:rsidRPr="00AE0907" w14:paraId="1E0A3456" w14:textId="77777777" w:rsidTr="00481A30">
        <w:trPr>
          <w:trHeight w:val="255"/>
        </w:trPr>
        <w:tc>
          <w:tcPr>
            <w:tcW w:w="5505" w:type="dxa"/>
            <w:shd w:val="clear" w:color="auto" w:fill="auto"/>
            <w:noWrap/>
            <w:vAlign w:val="bottom"/>
          </w:tcPr>
          <w:p w14:paraId="02847157" w14:textId="77777777" w:rsidR="009B7193" w:rsidRPr="00AE0907" w:rsidRDefault="009B7193" w:rsidP="009B7193">
            <w:pPr>
              <w:jc w:val="both"/>
              <w:rPr>
                <w:rFonts w:ascii="Arial" w:hAnsi="Arial" w:cs="Arial"/>
                <w:sz w:val="20"/>
              </w:rPr>
            </w:pPr>
            <w:r w:rsidRPr="00AE0907">
              <w:rPr>
                <w:rFonts w:ascii="Arial" w:hAnsi="Arial" w:cs="Arial"/>
                <w:sz w:val="20"/>
              </w:rPr>
              <w:t>Préstamo BID</w:t>
            </w:r>
          </w:p>
        </w:tc>
        <w:tc>
          <w:tcPr>
            <w:tcW w:w="1364" w:type="dxa"/>
            <w:shd w:val="clear" w:color="auto" w:fill="auto"/>
            <w:noWrap/>
            <w:vAlign w:val="bottom"/>
          </w:tcPr>
          <w:p w14:paraId="2DFCBA93" w14:textId="2BCEC544" w:rsidR="009B7193" w:rsidRPr="00AE0907" w:rsidRDefault="009B7193" w:rsidP="009B7193">
            <w:pPr>
              <w:jc w:val="right"/>
              <w:rPr>
                <w:rFonts w:ascii="Arial" w:hAnsi="Arial" w:cs="Arial"/>
                <w:sz w:val="20"/>
              </w:rPr>
            </w:pPr>
            <w:r>
              <w:rPr>
                <w:rFonts w:ascii="Arial" w:hAnsi="Arial" w:cs="Arial"/>
                <w:color w:val="000000"/>
                <w:sz w:val="20"/>
              </w:rPr>
              <w:t xml:space="preserve">13.539 </w:t>
            </w:r>
          </w:p>
        </w:tc>
        <w:tc>
          <w:tcPr>
            <w:tcW w:w="1141" w:type="dxa"/>
            <w:shd w:val="clear" w:color="auto" w:fill="auto"/>
            <w:noWrap/>
            <w:vAlign w:val="bottom"/>
          </w:tcPr>
          <w:p w14:paraId="538E5413" w14:textId="4AADB45A" w:rsidR="009B7193" w:rsidRPr="00AE0907" w:rsidRDefault="009B7193" w:rsidP="009B7193">
            <w:pPr>
              <w:jc w:val="right"/>
              <w:rPr>
                <w:rFonts w:ascii="Arial" w:hAnsi="Arial" w:cs="Arial"/>
                <w:sz w:val="20"/>
              </w:rPr>
            </w:pPr>
            <w:r w:rsidRPr="00AE0907">
              <w:rPr>
                <w:rFonts w:ascii="Arial" w:hAnsi="Arial" w:cs="Arial"/>
                <w:sz w:val="20"/>
              </w:rPr>
              <w:t xml:space="preserve">24.327 </w:t>
            </w:r>
          </w:p>
        </w:tc>
      </w:tr>
      <w:tr w:rsidR="00481A30" w:rsidRPr="00481A30" w14:paraId="579932E6" w14:textId="77777777" w:rsidTr="00481A30">
        <w:trPr>
          <w:trHeight w:val="270"/>
        </w:trPr>
        <w:tc>
          <w:tcPr>
            <w:tcW w:w="5505" w:type="dxa"/>
            <w:shd w:val="clear" w:color="auto" w:fill="auto"/>
            <w:noWrap/>
            <w:vAlign w:val="bottom"/>
            <w:hideMark/>
          </w:tcPr>
          <w:p w14:paraId="088693E6" w14:textId="77777777" w:rsidR="00481A30" w:rsidRPr="00481A30" w:rsidRDefault="00481A30" w:rsidP="00481A30">
            <w:pPr>
              <w:jc w:val="both"/>
              <w:rPr>
                <w:rFonts w:ascii="Arial" w:hAnsi="Arial" w:cs="Arial"/>
                <w:b/>
                <w:sz w:val="20"/>
              </w:rPr>
            </w:pPr>
            <w:r w:rsidRPr="00481A30">
              <w:rPr>
                <w:rFonts w:ascii="Arial" w:hAnsi="Arial" w:cs="Arial"/>
                <w:b/>
                <w:sz w:val="20"/>
              </w:rPr>
              <w:t>Total</w:t>
            </w:r>
          </w:p>
        </w:tc>
        <w:tc>
          <w:tcPr>
            <w:tcW w:w="1364" w:type="dxa"/>
            <w:shd w:val="clear" w:color="auto" w:fill="auto"/>
            <w:noWrap/>
            <w:vAlign w:val="bottom"/>
          </w:tcPr>
          <w:p w14:paraId="2DE48B10" w14:textId="5CFABAD6" w:rsidR="00481A30" w:rsidRPr="00481A30" w:rsidRDefault="009B7193" w:rsidP="009B7193">
            <w:pPr>
              <w:jc w:val="right"/>
              <w:rPr>
                <w:rFonts w:ascii="Arial" w:hAnsi="Arial" w:cs="Arial"/>
                <w:b/>
                <w:sz w:val="20"/>
              </w:rPr>
            </w:pPr>
            <w:r>
              <w:rPr>
                <w:rFonts w:ascii="Arial" w:hAnsi="Arial" w:cs="Arial"/>
                <w:b/>
                <w:sz w:val="20"/>
              </w:rPr>
              <w:t>6.</w:t>
            </w:r>
            <w:r w:rsidR="00AE7B9F">
              <w:rPr>
                <w:rFonts w:ascii="Arial" w:hAnsi="Arial" w:cs="Arial"/>
                <w:b/>
                <w:sz w:val="20"/>
              </w:rPr>
              <w:t>918</w:t>
            </w:r>
            <w:r>
              <w:rPr>
                <w:rFonts w:ascii="Arial" w:hAnsi="Arial" w:cs="Arial"/>
                <w:b/>
                <w:sz w:val="20"/>
              </w:rPr>
              <w:t>.</w:t>
            </w:r>
            <w:r w:rsidR="00AE7B9F">
              <w:rPr>
                <w:rFonts w:ascii="Arial" w:hAnsi="Arial" w:cs="Arial"/>
                <w:b/>
                <w:sz w:val="20"/>
              </w:rPr>
              <w:t>551</w:t>
            </w:r>
          </w:p>
        </w:tc>
        <w:tc>
          <w:tcPr>
            <w:tcW w:w="1141" w:type="dxa"/>
            <w:shd w:val="clear" w:color="auto" w:fill="auto"/>
            <w:noWrap/>
            <w:vAlign w:val="bottom"/>
            <w:hideMark/>
          </w:tcPr>
          <w:p w14:paraId="33B7BA9B" w14:textId="086C6F11" w:rsidR="00481A30" w:rsidRPr="00481A30" w:rsidRDefault="00481A30" w:rsidP="00481A30">
            <w:pPr>
              <w:jc w:val="right"/>
              <w:rPr>
                <w:rFonts w:ascii="Arial" w:hAnsi="Arial" w:cs="Arial"/>
                <w:b/>
                <w:sz w:val="20"/>
              </w:rPr>
            </w:pPr>
            <w:r w:rsidRPr="00481A30">
              <w:rPr>
                <w:rFonts w:ascii="Arial" w:hAnsi="Arial" w:cs="Arial"/>
                <w:b/>
                <w:sz w:val="20"/>
              </w:rPr>
              <w:t>3.369.523</w:t>
            </w:r>
          </w:p>
        </w:tc>
      </w:tr>
    </w:tbl>
    <w:p w14:paraId="2B4281EA" w14:textId="77777777" w:rsidR="00AE0907" w:rsidRPr="00AE0907" w:rsidRDefault="00AE0907" w:rsidP="00AE0907">
      <w:pPr>
        <w:jc w:val="both"/>
        <w:rPr>
          <w:rFonts w:ascii="Arial" w:hAnsi="Arial" w:cs="Arial"/>
          <w:sz w:val="20"/>
        </w:rPr>
      </w:pPr>
    </w:p>
    <w:p w14:paraId="317EB81D" w14:textId="2F1A229A" w:rsidR="00AE0907" w:rsidRPr="00AE0907" w:rsidRDefault="00481A30" w:rsidP="00AE0907">
      <w:pPr>
        <w:jc w:val="both"/>
        <w:rPr>
          <w:rFonts w:ascii="Arial" w:hAnsi="Arial" w:cs="Arial"/>
          <w:sz w:val="20"/>
        </w:rPr>
      </w:pPr>
      <w:r>
        <w:rPr>
          <w:rFonts w:ascii="Arial" w:hAnsi="Arial" w:cs="Arial"/>
          <w:sz w:val="20"/>
        </w:rPr>
        <w:t>6</w:t>
      </w:r>
      <w:r w:rsidR="00AE0907" w:rsidRPr="00AE0907">
        <w:rPr>
          <w:rFonts w:ascii="Arial" w:hAnsi="Arial" w:cs="Arial"/>
          <w:sz w:val="20"/>
        </w:rPr>
        <w:t>.13 Financiaciones recibidas del BCRA y otras instituciones financieras</w:t>
      </w:r>
    </w:p>
    <w:p w14:paraId="6569FCA9" w14:textId="77777777" w:rsidR="00AE0907" w:rsidRPr="00AE0907" w:rsidRDefault="00AE0907" w:rsidP="00AE0907">
      <w:pPr>
        <w:jc w:val="both"/>
        <w:rPr>
          <w:rFonts w:ascii="Arial" w:hAnsi="Arial" w:cs="Arial"/>
          <w:sz w:val="20"/>
        </w:rPr>
      </w:pPr>
    </w:p>
    <w:p w14:paraId="2E0ECE37" w14:textId="6E8891A2" w:rsidR="00AE0907" w:rsidRPr="00AE0907" w:rsidRDefault="00AE0907" w:rsidP="00AE0907">
      <w:pPr>
        <w:jc w:val="both"/>
        <w:rPr>
          <w:rFonts w:ascii="Arial" w:eastAsiaTheme="minorHAnsi" w:hAnsi="Arial" w:cs="Arial"/>
          <w:sz w:val="20"/>
        </w:rPr>
      </w:pPr>
      <w:r w:rsidRPr="00AE0907">
        <w:rPr>
          <w:rFonts w:ascii="Arial" w:eastAsiaTheme="minorHAnsi" w:hAnsi="Arial" w:cs="Arial"/>
          <w:sz w:val="20"/>
        </w:rPr>
        <w:t xml:space="preserve">Los principales componentes del rubro </w:t>
      </w:r>
      <w:r w:rsidRPr="00AE0907">
        <w:rPr>
          <w:rFonts w:ascii="Arial" w:hAnsi="Arial" w:cs="Arial"/>
          <w:sz w:val="20"/>
        </w:rPr>
        <w:t xml:space="preserve">Financiaciones recibidas del BCRA y otras instituciones financieras </w:t>
      </w:r>
      <w:r w:rsidRPr="00AE0907">
        <w:rPr>
          <w:rFonts w:ascii="Arial" w:eastAsiaTheme="minorHAnsi" w:hAnsi="Arial" w:cs="Arial"/>
          <w:sz w:val="20"/>
        </w:rPr>
        <w:t>al 31 de diciembre de 201</w:t>
      </w:r>
      <w:r w:rsidR="006E092C">
        <w:rPr>
          <w:rFonts w:ascii="Arial" w:eastAsiaTheme="minorHAnsi" w:hAnsi="Arial" w:cs="Arial"/>
          <w:sz w:val="20"/>
        </w:rPr>
        <w:t>9</w:t>
      </w:r>
      <w:r w:rsidRPr="00AE0907">
        <w:rPr>
          <w:rFonts w:ascii="Arial" w:eastAsiaTheme="minorHAnsi" w:hAnsi="Arial" w:cs="Arial"/>
          <w:sz w:val="20"/>
        </w:rPr>
        <w:t xml:space="preserve"> y </w:t>
      </w:r>
      <w:r w:rsidR="006E092C">
        <w:rPr>
          <w:rFonts w:ascii="Arial" w:eastAsiaTheme="minorHAnsi" w:hAnsi="Arial" w:cs="Arial"/>
          <w:sz w:val="20"/>
        </w:rPr>
        <w:t>2018</w:t>
      </w:r>
      <w:r w:rsidRPr="00AE0907">
        <w:rPr>
          <w:rFonts w:ascii="Arial" w:eastAsiaTheme="minorHAnsi" w:hAnsi="Arial" w:cs="Arial"/>
          <w:sz w:val="20"/>
        </w:rPr>
        <w:t xml:space="preserve"> son los siguientes:</w:t>
      </w:r>
    </w:p>
    <w:p w14:paraId="0909E043" w14:textId="77777777" w:rsidR="00AE0907" w:rsidRPr="00AE0907" w:rsidRDefault="00AE0907" w:rsidP="00AE0907">
      <w:pPr>
        <w:jc w:val="both"/>
        <w:rPr>
          <w:rFonts w:ascii="Arial" w:eastAsiaTheme="minorHAnsi" w:hAnsi="Arial" w:cs="Arial"/>
          <w:sz w:val="20"/>
        </w:rPr>
      </w:pPr>
    </w:p>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7"/>
        <w:gridCol w:w="1276"/>
        <w:gridCol w:w="1417"/>
      </w:tblGrid>
      <w:tr w:rsidR="006E092C" w:rsidRPr="006E092C" w14:paraId="4CA20A5A" w14:textId="77777777" w:rsidTr="006E092C">
        <w:trPr>
          <w:trHeight w:val="229"/>
        </w:trPr>
        <w:tc>
          <w:tcPr>
            <w:tcW w:w="5387" w:type="dxa"/>
            <w:shd w:val="clear" w:color="auto" w:fill="auto"/>
            <w:noWrap/>
            <w:vAlign w:val="bottom"/>
            <w:hideMark/>
          </w:tcPr>
          <w:p w14:paraId="5AED1A5E" w14:textId="77777777" w:rsidR="006E092C" w:rsidRPr="006E092C" w:rsidRDefault="006E092C" w:rsidP="006E092C">
            <w:pPr>
              <w:jc w:val="center"/>
              <w:rPr>
                <w:rFonts w:ascii="Arial" w:hAnsi="Arial" w:cs="Arial"/>
                <w:b/>
                <w:sz w:val="20"/>
              </w:rPr>
            </w:pPr>
          </w:p>
        </w:tc>
        <w:tc>
          <w:tcPr>
            <w:tcW w:w="1276" w:type="dxa"/>
            <w:shd w:val="clear" w:color="auto" w:fill="auto"/>
            <w:noWrap/>
            <w:vAlign w:val="bottom"/>
            <w:hideMark/>
          </w:tcPr>
          <w:p w14:paraId="5519728C" w14:textId="3198B358" w:rsidR="006E092C" w:rsidRPr="006E092C" w:rsidRDefault="006E092C" w:rsidP="006E092C">
            <w:pPr>
              <w:jc w:val="center"/>
              <w:rPr>
                <w:rFonts w:ascii="Arial" w:hAnsi="Arial" w:cs="Arial"/>
                <w:b/>
                <w:sz w:val="20"/>
              </w:rPr>
            </w:pPr>
            <w:r w:rsidRPr="006E092C">
              <w:rPr>
                <w:rFonts w:ascii="Arial" w:hAnsi="Arial" w:cs="Arial"/>
                <w:b/>
                <w:sz w:val="20"/>
              </w:rPr>
              <w:t>31/12/2019</w:t>
            </w:r>
          </w:p>
        </w:tc>
        <w:tc>
          <w:tcPr>
            <w:tcW w:w="1417" w:type="dxa"/>
            <w:vAlign w:val="bottom"/>
          </w:tcPr>
          <w:p w14:paraId="292F7D4C" w14:textId="65400D26" w:rsidR="006E092C" w:rsidRPr="006E092C" w:rsidRDefault="006E092C" w:rsidP="006E092C">
            <w:pPr>
              <w:jc w:val="center"/>
              <w:rPr>
                <w:rFonts w:ascii="Arial" w:hAnsi="Arial" w:cs="Arial"/>
                <w:b/>
                <w:sz w:val="20"/>
              </w:rPr>
            </w:pPr>
            <w:r w:rsidRPr="006E092C">
              <w:rPr>
                <w:rFonts w:ascii="Arial" w:hAnsi="Arial" w:cs="Arial"/>
                <w:b/>
                <w:sz w:val="20"/>
              </w:rPr>
              <w:t>31/12/2018</w:t>
            </w:r>
          </w:p>
        </w:tc>
      </w:tr>
      <w:tr w:rsidR="00BF133A" w:rsidRPr="00AE0907" w14:paraId="081CA7C1" w14:textId="77777777" w:rsidTr="00BF133A">
        <w:trPr>
          <w:trHeight w:val="229"/>
        </w:trPr>
        <w:tc>
          <w:tcPr>
            <w:tcW w:w="5387" w:type="dxa"/>
            <w:shd w:val="clear" w:color="auto" w:fill="auto"/>
            <w:noWrap/>
            <w:vAlign w:val="bottom"/>
            <w:hideMark/>
          </w:tcPr>
          <w:p w14:paraId="7F7405CB" w14:textId="77777777" w:rsidR="00BF133A" w:rsidRPr="00AE0907" w:rsidRDefault="00BF133A" w:rsidP="00BF133A">
            <w:pPr>
              <w:jc w:val="both"/>
              <w:rPr>
                <w:rFonts w:ascii="Arial" w:hAnsi="Arial" w:cs="Arial"/>
                <w:sz w:val="20"/>
              </w:rPr>
            </w:pPr>
            <w:r w:rsidRPr="00AE0907">
              <w:rPr>
                <w:rFonts w:ascii="Arial" w:hAnsi="Arial" w:cs="Arial"/>
                <w:sz w:val="20"/>
              </w:rPr>
              <w:t>Financiaciones recibidas de entidades financieras locales</w:t>
            </w:r>
          </w:p>
        </w:tc>
        <w:tc>
          <w:tcPr>
            <w:tcW w:w="1276" w:type="dxa"/>
            <w:shd w:val="clear" w:color="auto" w:fill="auto"/>
            <w:noWrap/>
          </w:tcPr>
          <w:p w14:paraId="210F3A8E" w14:textId="25ED53E9" w:rsidR="00BF133A" w:rsidRPr="00BF133A" w:rsidRDefault="00BF133A" w:rsidP="00BF133A">
            <w:pPr>
              <w:jc w:val="right"/>
              <w:rPr>
                <w:rFonts w:ascii="Arial" w:hAnsi="Arial" w:cs="Arial"/>
                <w:sz w:val="20"/>
              </w:rPr>
            </w:pPr>
            <w:r w:rsidRPr="00BF133A">
              <w:rPr>
                <w:rFonts w:ascii="Arial" w:hAnsi="Arial" w:cs="Arial"/>
                <w:sz w:val="20"/>
              </w:rPr>
              <w:t>939.136</w:t>
            </w:r>
          </w:p>
        </w:tc>
        <w:tc>
          <w:tcPr>
            <w:tcW w:w="1417" w:type="dxa"/>
            <w:vAlign w:val="bottom"/>
          </w:tcPr>
          <w:p w14:paraId="2F53B796" w14:textId="65454671" w:rsidR="00BF133A" w:rsidRPr="00AE0907" w:rsidRDefault="00BF133A" w:rsidP="00BF133A">
            <w:pPr>
              <w:jc w:val="right"/>
              <w:rPr>
                <w:rFonts w:ascii="Arial" w:hAnsi="Arial" w:cs="Arial"/>
                <w:sz w:val="20"/>
              </w:rPr>
            </w:pPr>
            <w:r w:rsidRPr="00AE0907">
              <w:rPr>
                <w:rFonts w:ascii="Arial" w:hAnsi="Arial" w:cs="Arial"/>
                <w:sz w:val="20"/>
              </w:rPr>
              <w:t xml:space="preserve">1.230.147 </w:t>
            </w:r>
          </w:p>
        </w:tc>
      </w:tr>
      <w:tr w:rsidR="00BF133A" w:rsidRPr="00AE0907" w14:paraId="779BEC02" w14:textId="77777777" w:rsidTr="00BF133A">
        <w:trPr>
          <w:trHeight w:val="229"/>
        </w:trPr>
        <w:tc>
          <w:tcPr>
            <w:tcW w:w="5387" w:type="dxa"/>
            <w:shd w:val="clear" w:color="auto" w:fill="auto"/>
            <w:noWrap/>
            <w:vAlign w:val="bottom"/>
            <w:hideMark/>
          </w:tcPr>
          <w:p w14:paraId="4E5C3A8E" w14:textId="77777777" w:rsidR="00BF133A" w:rsidRPr="00AE0907" w:rsidRDefault="00BF133A" w:rsidP="00BF133A">
            <w:pPr>
              <w:jc w:val="both"/>
              <w:rPr>
                <w:rFonts w:ascii="Arial" w:hAnsi="Arial" w:cs="Arial"/>
                <w:sz w:val="20"/>
              </w:rPr>
            </w:pPr>
            <w:r w:rsidRPr="00AE0907">
              <w:rPr>
                <w:rFonts w:ascii="Arial" w:hAnsi="Arial" w:cs="Arial"/>
                <w:sz w:val="20"/>
              </w:rPr>
              <w:t>Otras financiaciones de organismos internacionales</w:t>
            </w:r>
          </w:p>
        </w:tc>
        <w:tc>
          <w:tcPr>
            <w:tcW w:w="1276" w:type="dxa"/>
            <w:shd w:val="clear" w:color="auto" w:fill="auto"/>
            <w:noWrap/>
          </w:tcPr>
          <w:p w14:paraId="433F3034" w14:textId="1CB8C68C" w:rsidR="00BF133A" w:rsidRPr="00BF133A" w:rsidRDefault="00BF133A" w:rsidP="00BF133A">
            <w:pPr>
              <w:jc w:val="right"/>
              <w:rPr>
                <w:rFonts w:ascii="Arial" w:hAnsi="Arial" w:cs="Arial"/>
                <w:sz w:val="20"/>
              </w:rPr>
            </w:pPr>
            <w:r w:rsidRPr="00BF133A">
              <w:rPr>
                <w:rFonts w:ascii="Arial" w:hAnsi="Arial" w:cs="Arial"/>
                <w:sz w:val="20"/>
              </w:rPr>
              <w:t>8.075.472</w:t>
            </w:r>
          </w:p>
        </w:tc>
        <w:tc>
          <w:tcPr>
            <w:tcW w:w="1417" w:type="dxa"/>
            <w:vAlign w:val="bottom"/>
          </w:tcPr>
          <w:p w14:paraId="34E3A590" w14:textId="2DAC3C83" w:rsidR="00BF133A" w:rsidRPr="00AE0907" w:rsidRDefault="00BF133A" w:rsidP="00BF133A">
            <w:pPr>
              <w:jc w:val="right"/>
              <w:rPr>
                <w:rFonts w:ascii="Arial" w:hAnsi="Arial" w:cs="Arial"/>
                <w:sz w:val="20"/>
              </w:rPr>
            </w:pPr>
            <w:r w:rsidRPr="00AE0907">
              <w:rPr>
                <w:rFonts w:ascii="Arial" w:hAnsi="Arial" w:cs="Arial"/>
                <w:sz w:val="20"/>
              </w:rPr>
              <w:t xml:space="preserve">6.785.958 </w:t>
            </w:r>
          </w:p>
        </w:tc>
      </w:tr>
      <w:tr w:rsidR="006E092C" w:rsidRPr="006E092C" w14:paraId="08788649" w14:textId="77777777" w:rsidTr="006E092C">
        <w:trPr>
          <w:trHeight w:val="242"/>
        </w:trPr>
        <w:tc>
          <w:tcPr>
            <w:tcW w:w="5387" w:type="dxa"/>
            <w:shd w:val="clear" w:color="auto" w:fill="auto"/>
            <w:noWrap/>
            <w:vAlign w:val="bottom"/>
            <w:hideMark/>
          </w:tcPr>
          <w:p w14:paraId="33B9F8D2" w14:textId="77777777" w:rsidR="006E092C" w:rsidRPr="006E092C" w:rsidRDefault="006E092C" w:rsidP="006E092C">
            <w:pPr>
              <w:jc w:val="both"/>
              <w:rPr>
                <w:rFonts w:ascii="Arial" w:hAnsi="Arial" w:cs="Arial"/>
                <w:b/>
                <w:sz w:val="20"/>
              </w:rPr>
            </w:pPr>
            <w:r w:rsidRPr="006E092C">
              <w:rPr>
                <w:rFonts w:ascii="Arial" w:hAnsi="Arial" w:cs="Arial"/>
                <w:b/>
                <w:sz w:val="20"/>
              </w:rPr>
              <w:t>Total</w:t>
            </w:r>
          </w:p>
        </w:tc>
        <w:tc>
          <w:tcPr>
            <w:tcW w:w="1276" w:type="dxa"/>
            <w:shd w:val="clear" w:color="auto" w:fill="auto"/>
            <w:noWrap/>
            <w:vAlign w:val="bottom"/>
          </w:tcPr>
          <w:p w14:paraId="008B5FF1" w14:textId="5B29474E" w:rsidR="006E092C" w:rsidRPr="006E092C" w:rsidRDefault="00E06D50" w:rsidP="006E092C">
            <w:pPr>
              <w:jc w:val="right"/>
              <w:rPr>
                <w:rFonts w:ascii="Arial" w:hAnsi="Arial" w:cs="Arial"/>
                <w:b/>
                <w:sz w:val="20"/>
              </w:rPr>
            </w:pPr>
            <w:r>
              <w:rPr>
                <w:rFonts w:ascii="Arial" w:hAnsi="Arial" w:cs="Arial"/>
                <w:b/>
                <w:sz w:val="20"/>
              </w:rPr>
              <w:t>9.014.608</w:t>
            </w:r>
          </w:p>
        </w:tc>
        <w:tc>
          <w:tcPr>
            <w:tcW w:w="1417" w:type="dxa"/>
            <w:vAlign w:val="bottom"/>
          </w:tcPr>
          <w:p w14:paraId="418AF9FA" w14:textId="439A30CD" w:rsidR="006E092C" w:rsidRPr="006E092C" w:rsidRDefault="006E092C" w:rsidP="006E092C">
            <w:pPr>
              <w:jc w:val="right"/>
              <w:rPr>
                <w:rFonts w:ascii="Arial" w:hAnsi="Arial" w:cs="Arial"/>
                <w:b/>
                <w:sz w:val="20"/>
              </w:rPr>
            </w:pPr>
            <w:r w:rsidRPr="006E092C">
              <w:rPr>
                <w:rFonts w:ascii="Arial" w:hAnsi="Arial" w:cs="Arial"/>
                <w:b/>
                <w:sz w:val="20"/>
              </w:rPr>
              <w:t>8.016.105</w:t>
            </w:r>
          </w:p>
        </w:tc>
      </w:tr>
    </w:tbl>
    <w:p w14:paraId="12C45C7D" w14:textId="77777777" w:rsidR="00AE0907" w:rsidRPr="00AE0907" w:rsidRDefault="00AE0907" w:rsidP="00AE0907">
      <w:pPr>
        <w:jc w:val="both"/>
        <w:rPr>
          <w:rFonts w:ascii="Arial" w:eastAsia="Calibri" w:hAnsi="Arial" w:cs="Arial"/>
          <w:sz w:val="20"/>
        </w:rPr>
      </w:pPr>
    </w:p>
    <w:p w14:paraId="121CE335" w14:textId="3BC2F808" w:rsidR="00AE0907" w:rsidRDefault="006E092C" w:rsidP="00AE0907">
      <w:pPr>
        <w:jc w:val="both"/>
        <w:rPr>
          <w:rFonts w:ascii="Arial" w:eastAsia="Calibri" w:hAnsi="Arial" w:cs="Arial"/>
          <w:sz w:val="20"/>
        </w:rPr>
      </w:pPr>
      <w:r>
        <w:rPr>
          <w:rFonts w:ascii="Arial" w:eastAsia="Calibri" w:hAnsi="Arial" w:cs="Arial"/>
          <w:sz w:val="20"/>
        </w:rPr>
        <w:t>6</w:t>
      </w:r>
      <w:r w:rsidR="00AE0907" w:rsidRPr="00AE0907">
        <w:rPr>
          <w:rFonts w:ascii="Arial" w:eastAsia="Calibri" w:hAnsi="Arial" w:cs="Arial"/>
          <w:sz w:val="20"/>
        </w:rPr>
        <w:t>.14 Provisiones</w:t>
      </w:r>
    </w:p>
    <w:p w14:paraId="1AE6DA24" w14:textId="77777777" w:rsidR="006E092C" w:rsidRPr="00AE0907" w:rsidRDefault="006E092C" w:rsidP="00AE0907">
      <w:pPr>
        <w:jc w:val="both"/>
        <w:rPr>
          <w:rFonts w:ascii="Arial" w:eastAsia="Calibri" w:hAnsi="Arial" w:cs="Arial"/>
          <w:sz w:val="20"/>
        </w:rPr>
      </w:pPr>
    </w:p>
    <w:p w14:paraId="794519C7" w14:textId="287BEC4E" w:rsidR="00AE0907" w:rsidRDefault="00AE0907" w:rsidP="00AE0907">
      <w:pPr>
        <w:jc w:val="both"/>
        <w:rPr>
          <w:rFonts w:ascii="Arial" w:eastAsiaTheme="minorHAnsi" w:hAnsi="Arial" w:cs="Arial"/>
          <w:sz w:val="20"/>
        </w:rPr>
      </w:pPr>
      <w:r w:rsidRPr="00AE0907">
        <w:rPr>
          <w:rFonts w:ascii="Arial" w:eastAsiaTheme="minorHAnsi" w:hAnsi="Arial" w:cs="Arial"/>
          <w:sz w:val="20"/>
        </w:rPr>
        <w:t xml:space="preserve">Los principales componentes del rubro </w:t>
      </w:r>
      <w:r w:rsidRPr="00AE0907">
        <w:rPr>
          <w:rFonts w:ascii="Arial" w:hAnsi="Arial" w:cs="Arial"/>
          <w:sz w:val="20"/>
        </w:rPr>
        <w:t xml:space="preserve">provisiones </w:t>
      </w:r>
      <w:r w:rsidRPr="00AE0907">
        <w:rPr>
          <w:rFonts w:ascii="Arial" w:eastAsiaTheme="minorHAnsi" w:hAnsi="Arial" w:cs="Arial"/>
          <w:sz w:val="20"/>
        </w:rPr>
        <w:t>al 31 de diciembre de 201</w:t>
      </w:r>
      <w:r w:rsidR="006E092C">
        <w:rPr>
          <w:rFonts w:ascii="Arial" w:eastAsiaTheme="minorHAnsi" w:hAnsi="Arial" w:cs="Arial"/>
          <w:sz w:val="20"/>
        </w:rPr>
        <w:t>9</w:t>
      </w:r>
      <w:r w:rsidRPr="00AE0907">
        <w:rPr>
          <w:rFonts w:ascii="Arial" w:eastAsiaTheme="minorHAnsi" w:hAnsi="Arial" w:cs="Arial"/>
          <w:sz w:val="20"/>
        </w:rPr>
        <w:t xml:space="preserve"> y 201</w:t>
      </w:r>
      <w:r w:rsidR="006E092C">
        <w:rPr>
          <w:rFonts w:ascii="Arial" w:eastAsiaTheme="minorHAnsi" w:hAnsi="Arial" w:cs="Arial"/>
          <w:sz w:val="20"/>
        </w:rPr>
        <w:t>8</w:t>
      </w:r>
      <w:r w:rsidRPr="00AE0907">
        <w:rPr>
          <w:rFonts w:ascii="Arial" w:eastAsiaTheme="minorHAnsi" w:hAnsi="Arial" w:cs="Arial"/>
          <w:sz w:val="20"/>
        </w:rPr>
        <w:t xml:space="preserve"> son los siguientes:</w:t>
      </w:r>
    </w:p>
    <w:p w14:paraId="58B0CAA1" w14:textId="77777777" w:rsidR="006E092C" w:rsidRPr="00AE0907" w:rsidRDefault="006E092C" w:rsidP="00AE0907">
      <w:pPr>
        <w:jc w:val="both"/>
        <w:rPr>
          <w:rFonts w:ascii="Arial" w:eastAsia="Calibri" w:hAnsi="Arial" w:cs="Arial"/>
          <w:sz w:val="20"/>
        </w:rPr>
      </w:pPr>
    </w:p>
    <w:tbl>
      <w:tblPr>
        <w:tblW w:w="810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54"/>
        <w:gridCol w:w="1302"/>
        <w:gridCol w:w="1446"/>
      </w:tblGrid>
      <w:tr w:rsidR="006E092C" w:rsidRPr="006E092C" w14:paraId="4AB19399" w14:textId="77777777" w:rsidTr="00037C01">
        <w:trPr>
          <w:trHeight w:val="283"/>
        </w:trPr>
        <w:tc>
          <w:tcPr>
            <w:tcW w:w="5354" w:type="dxa"/>
            <w:shd w:val="clear" w:color="auto" w:fill="auto"/>
            <w:noWrap/>
            <w:vAlign w:val="bottom"/>
            <w:hideMark/>
          </w:tcPr>
          <w:p w14:paraId="6AFAE9F7" w14:textId="77777777" w:rsidR="006E092C" w:rsidRPr="006E092C" w:rsidRDefault="006E092C" w:rsidP="006E092C">
            <w:pPr>
              <w:jc w:val="center"/>
              <w:rPr>
                <w:rFonts w:ascii="Arial" w:hAnsi="Arial" w:cs="Arial"/>
                <w:b/>
                <w:sz w:val="20"/>
              </w:rPr>
            </w:pPr>
          </w:p>
        </w:tc>
        <w:tc>
          <w:tcPr>
            <w:tcW w:w="1302" w:type="dxa"/>
            <w:shd w:val="clear" w:color="auto" w:fill="auto"/>
            <w:noWrap/>
            <w:vAlign w:val="bottom"/>
            <w:hideMark/>
          </w:tcPr>
          <w:p w14:paraId="36EEA08B" w14:textId="0E0BD7BE" w:rsidR="006E092C" w:rsidRPr="006E092C" w:rsidRDefault="006E092C" w:rsidP="006E092C">
            <w:pPr>
              <w:jc w:val="center"/>
              <w:rPr>
                <w:rFonts w:ascii="Arial" w:hAnsi="Arial" w:cs="Arial"/>
                <w:b/>
                <w:sz w:val="20"/>
              </w:rPr>
            </w:pPr>
            <w:r w:rsidRPr="006E092C">
              <w:rPr>
                <w:rFonts w:ascii="Arial" w:hAnsi="Arial" w:cs="Arial"/>
                <w:b/>
                <w:sz w:val="20"/>
              </w:rPr>
              <w:t>31/12/201</w:t>
            </w:r>
            <w:r>
              <w:rPr>
                <w:rFonts w:ascii="Arial" w:hAnsi="Arial" w:cs="Arial"/>
                <w:b/>
                <w:sz w:val="20"/>
              </w:rPr>
              <w:t>9</w:t>
            </w:r>
          </w:p>
        </w:tc>
        <w:tc>
          <w:tcPr>
            <w:tcW w:w="1446" w:type="dxa"/>
            <w:shd w:val="clear" w:color="auto" w:fill="auto"/>
            <w:noWrap/>
            <w:vAlign w:val="bottom"/>
            <w:hideMark/>
          </w:tcPr>
          <w:p w14:paraId="7B91B90D" w14:textId="42423B14" w:rsidR="006E092C" w:rsidRPr="006E092C" w:rsidRDefault="006E092C" w:rsidP="006E092C">
            <w:pPr>
              <w:jc w:val="center"/>
              <w:rPr>
                <w:rFonts w:ascii="Arial" w:hAnsi="Arial" w:cs="Arial"/>
                <w:b/>
                <w:sz w:val="20"/>
              </w:rPr>
            </w:pPr>
            <w:r w:rsidRPr="006E092C">
              <w:rPr>
                <w:rFonts w:ascii="Arial" w:hAnsi="Arial" w:cs="Arial"/>
                <w:b/>
                <w:sz w:val="20"/>
              </w:rPr>
              <w:t>31/12/201</w:t>
            </w:r>
            <w:r>
              <w:rPr>
                <w:rFonts w:ascii="Arial" w:hAnsi="Arial" w:cs="Arial"/>
                <w:b/>
                <w:sz w:val="20"/>
              </w:rPr>
              <w:t>8</w:t>
            </w:r>
          </w:p>
        </w:tc>
      </w:tr>
      <w:tr w:rsidR="00E06D50" w:rsidRPr="00AE0907" w14:paraId="37FB541D" w14:textId="77777777" w:rsidTr="008907DF">
        <w:trPr>
          <w:trHeight w:val="283"/>
        </w:trPr>
        <w:tc>
          <w:tcPr>
            <w:tcW w:w="5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783970" w14:textId="77777777" w:rsidR="00E06D50" w:rsidRPr="00AE0907" w:rsidRDefault="00E06D50" w:rsidP="00E06D50">
            <w:pPr>
              <w:jc w:val="both"/>
              <w:rPr>
                <w:rFonts w:ascii="Arial" w:hAnsi="Arial" w:cs="Arial"/>
                <w:sz w:val="20"/>
              </w:rPr>
            </w:pPr>
            <w:r w:rsidRPr="00AE0907">
              <w:rPr>
                <w:rFonts w:ascii="Arial" w:hAnsi="Arial" w:cs="Arial"/>
                <w:sz w:val="20"/>
              </w:rPr>
              <w:t>Otras contingencias</w:t>
            </w: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043E5" w14:textId="5527FF1E" w:rsidR="00E06D50" w:rsidRPr="00AE0907" w:rsidRDefault="00E06D50" w:rsidP="00E06D50">
            <w:pPr>
              <w:jc w:val="right"/>
              <w:rPr>
                <w:rFonts w:ascii="Arial" w:hAnsi="Arial" w:cs="Arial"/>
                <w:sz w:val="20"/>
              </w:rPr>
            </w:pPr>
            <w:r>
              <w:rPr>
                <w:rFonts w:ascii="Arial" w:hAnsi="Arial" w:cs="Arial"/>
                <w:color w:val="000000"/>
                <w:sz w:val="20"/>
              </w:rPr>
              <w:t xml:space="preserve">154.931 </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9899A" w14:textId="374997CA" w:rsidR="00E06D50" w:rsidRPr="00AE0907" w:rsidRDefault="00E06D50" w:rsidP="00E06D50">
            <w:pPr>
              <w:jc w:val="right"/>
              <w:rPr>
                <w:rFonts w:ascii="Arial" w:hAnsi="Arial" w:cs="Arial"/>
                <w:sz w:val="20"/>
              </w:rPr>
            </w:pPr>
            <w:r w:rsidRPr="00AE0907">
              <w:rPr>
                <w:rFonts w:ascii="Arial" w:hAnsi="Arial" w:cs="Arial"/>
                <w:sz w:val="20"/>
              </w:rPr>
              <w:t xml:space="preserve">71.367 </w:t>
            </w:r>
          </w:p>
        </w:tc>
      </w:tr>
      <w:tr w:rsidR="00E06D50" w:rsidRPr="00AE0907" w14:paraId="4B825069" w14:textId="77777777" w:rsidTr="008907DF">
        <w:trPr>
          <w:trHeight w:val="283"/>
        </w:trPr>
        <w:tc>
          <w:tcPr>
            <w:tcW w:w="5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8B060" w14:textId="454674C8" w:rsidR="00E06D50" w:rsidRPr="00E06D50" w:rsidRDefault="00E06D50" w:rsidP="00E06D50">
            <w:pPr>
              <w:jc w:val="both"/>
              <w:rPr>
                <w:rFonts w:ascii="Arial" w:hAnsi="Arial" w:cs="Arial"/>
                <w:color w:val="000000"/>
                <w:sz w:val="20"/>
                <w:lang w:eastAsia="es-AR"/>
              </w:rPr>
            </w:pPr>
            <w:r>
              <w:rPr>
                <w:rFonts w:ascii="Arial" w:hAnsi="Arial" w:cs="Arial"/>
                <w:color w:val="000000"/>
                <w:sz w:val="20"/>
              </w:rPr>
              <w:t>Pr</w:t>
            </w:r>
            <w:r w:rsidR="00F85A85">
              <w:rPr>
                <w:rFonts w:ascii="Arial" w:hAnsi="Arial" w:cs="Arial"/>
                <w:color w:val="000000"/>
                <w:sz w:val="20"/>
              </w:rPr>
              <w:t>o</w:t>
            </w:r>
            <w:r>
              <w:rPr>
                <w:rFonts w:ascii="Arial" w:hAnsi="Arial" w:cs="Arial"/>
                <w:color w:val="000000"/>
                <w:sz w:val="20"/>
              </w:rPr>
              <w:t xml:space="preserve">visión por </w:t>
            </w:r>
            <w:r w:rsidR="001C3DEB">
              <w:rPr>
                <w:rFonts w:ascii="Arial" w:hAnsi="Arial" w:cs="Arial"/>
                <w:color w:val="000000"/>
                <w:sz w:val="20"/>
              </w:rPr>
              <w:t>gastos de reorganización</w:t>
            </w: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31D0E" w14:textId="7A72FA9C" w:rsidR="00E06D50" w:rsidRPr="00AE0907" w:rsidRDefault="00E06D50" w:rsidP="00E06D50">
            <w:pPr>
              <w:jc w:val="right"/>
              <w:rPr>
                <w:rFonts w:ascii="Arial" w:hAnsi="Arial" w:cs="Arial"/>
                <w:sz w:val="20"/>
              </w:rPr>
            </w:pPr>
            <w:r>
              <w:rPr>
                <w:rFonts w:ascii="Arial" w:hAnsi="Arial" w:cs="Arial"/>
                <w:color w:val="000000"/>
                <w:sz w:val="20"/>
              </w:rPr>
              <w:t xml:space="preserve">500.000 </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E752F" w14:textId="091A0502" w:rsidR="00E06D50" w:rsidRPr="00AE0907" w:rsidRDefault="002C509D" w:rsidP="00E06D50">
            <w:pPr>
              <w:jc w:val="right"/>
              <w:rPr>
                <w:rFonts w:ascii="Arial" w:hAnsi="Arial" w:cs="Arial"/>
                <w:sz w:val="20"/>
              </w:rPr>
            </w:pPr>
            <w:r>
              <w:rPr>
                <w:rFonts w:ascii="Arial" w:hAnsi="Arial" w:cs="Arial"/>
                <w:sz w:val="20"/>
              </w:rPr>
              <w:t>-</w:t>
            </w:r>
          </w:p>
        </w:tc>
      </w:tr>
      <w:tr w:rsidR="00E06D50" w:rsidRPr="00AE0907" w14:paraId="79793808" w14:textId="77777777" w:rsidTr="008907DF">
        <w:trPr>
          <w:trHeight w:val="283"/>
        </w:trPr>
        <w:tc>
          <w:tcPr>
            <w:tcW w:w="5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D6AA63" w14:textId="77777777" w:rsidR="00E06D50" w:rsidRPr="00AE0907" w:rsidRDefault="00E06D50" w:rsidP="00E06D50">
            <w:pPr>
              <w:jc w:val="both"/>
              <w:rPr>
                <w:rFonts w:ascii="Arial" w:hAnsi="Arial" w:cs="Arial"/>
                <w:sz w:val="20"/>
              </w:rPr>
            </w:pPr>
            <w:r w:rsidRPr="00AE0907">
              <w:rPr>
                <w:rFonts w:ascii="Arial" w:hAnsi="Arial" w:cs="Arial"/>
                <w:sz w:val="20"/>
              </w:rPr>
              <w:t>Previsión por compromisos eventuales</w:t>
            </w: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53673E" w14:textId="28053546" w:rsidR="00E06D50" w:rsidRPr="00AE0907" w:rsidRDefault="00E06D50" w:rsidP="00E06D50">
            <w:pPr>
              <w:jc w:val="right"/>
              <w:rPr>
                <w:rFonts w:ascii="Arial" w:hAnsi="Arial" w:cs="Arial"/>
                <w:sz w:val="20"/>
              </w:rPr>
            </w:pPr>
            <w:r>
              <w:rPr>
                <w:rFonts w:ascii="Arial" w:hAnsi="Arial" w:cs="Arial"/>
                <w:color w:val="000000"/>
                <w:sz w:val="20"/>
              </w:rPr>
              <w:t xml:space="preserve">367 </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C6FBD" w14:textId="4631D32A" w:rsidR="00E06D50" w:rsidRPr="00AE0907" w:rsidRDefault="00E06D50" w:rsidP="00E06D50">
            <w:pPr>
              <w:jc w:val="right"/>
              <w:rPr>
                <w:rFonts w:ascii="Arial" w:hAnsi="Arial" w:cs="Arial"/>
                <w:sz w:val="20"/>
              </w:rPr>
            </w:pPr>
            <w:r w:rsidRPr="00AE0907">
              <w:rPr>
                <w:rFonts w:ascii="Arial" w:hAnsi="Arial" w:cs="Arial"/>
                <w:sz w:val="20"/>
              </w:rPr>
              <w:t xml:space="preserve">1.196 </w:t>
            </w:r>
          </w:p>
        </w:tc>
      </w:tr>
      <w:tr w:rsidR="006E092C" w:rsidRPr="006E092C" w14:paraId="719735F7" w14:textId="77777777" w:rsidTr="00037C01">
        <w:trPr>
          <w:trHeight w:val="300"/>
        </w:trPr>
        <w:tc>
          <w:tcPr>
            <w:tcW w:w="5354" w:type="dxa"/>
            <w:shd w:val="clear" w:color="auto" w:fill="auto"/>
            <w:noWrap/>
            <w:vAlign w:val="bottom"/>
            <w:hideMark/>
          </w:tcPr>
          <w:p w14:paraId="3A677ADA" w14:textId="77777777" w:rsidR="006E092C" w:rsidRPr="006E092C" w:rsidRDefault="006E092C" w:rsidP="006E092C">
            <w:pPr>
              <w:jc w:val="both"/>
              <w:rPr>
                <w:rFonts w:ascii="Arial" w:hAnsi="Arial" w:cs="Arial"/>
                <w:b/>
                <w:sz w:val="20"/>
              </w:rPr>
            </w:pPr>
            <w:r w:rsidRPr="006E092C">
              <w:rPr>
                <w:rFonts w:ascii="Arial" w:hAnsi="Arial" w:cs="Arial"/>
                <w:b/>
                <w:sz w:val="20"/>
              </w:rPr>
              <w:t>Total</w:t>
            </w:r>
          </w:p>
        </w:tc>
        <w:tc>
          <w:tcPr>
            <w:tcW w:w="1302" w:type="dxa"/>
            <w:shd w:val="clear" w:color="auto" w:fill="auto"/>
            <w:noWrap/>
            <w:vAlign w:val="bottom"/>
          </w:tcPr>
          <w:p w14:paraId="2EE0BF0F" w14:textId="53E959FE" w:rsidR="006E092C" w:rsidRPr="006E092C" w:rsidRDefault="00E06D50" w:rsidP="00E06D50">
            <w:pPr>
              <w:jc w:val="right"/>
              <w:rPr>
                <w:rFonts w:ascii="Arial" w:hAnsi="Arial" w:cs="Arial"/>
                <w:b/>
                <w:sz w:val="20"/>
              </w:rPr>
            </w:pPr>
            <w:r>
              <w:rPr>
                <w:rFonts w:ascii="Arial" w:hAnsi="Arial" w:cs="Arial"/>
                <w:b/>
                <w:sz w:val="20"/>
              </w:rPr>
              <w:t>655.298</w:t>
            </w:r>
          </w:p>
        </w:tc>
        <w:tc>
          <w:tcPr>
            <w:tcW w:w="1446" w:type="dxa"/>
            <w:shd w:val="clear" w:color="auto" w:fill="auto"/>
            <w:noWrap/>
            <w:vAlign w:val="bottom"/>
            <w:hideMark/>
          </w:tcPr>
          <w:p w14:paraId="7F0E6F52" w14:textId="1B320F37" w:rsidR="006E092C" w:rsidRPr="006E092C" w:rsidRDefault="006E092C" w:rsidP="006E092C">
            <w:pPr>
              <w:jc w:val="right"/>
              <w:rPr>
                <w:rFonts w:ascii="Arial" w:hAnsi="Arial" w:cs="Arial"/>
                <w:b/>
                <w:sz w:val="20"/>
              </w:rPr>
            </w:pPr>
            <w:r w:rsidRPr="006E092C">
              <w:rPr>
                <w:rFonts w:ascii="Arial" w:hAnsi="Arial" w:cs="Arial"/>
                <w:b/>
                <w:sz w:val="20"/>
              </w:rPr>
              <w:t xml:space="preserve">72.563 </w:t>
            </w:r>
          </w:p>
        </w:tc>
      </w:tr>
    </w:tbl>
    <w:p w14:paraId="50FE25D6" w14:textId="77777777" w:rsidR="00AE0907" w:rsidRPr="00AE0907" w:rsidRDefault="00AE0907" w:rsidP="00AE0907">
      <w:pPr>
        <w:jc w:val="both"/>
        <w:rPr>
          <w:rFonts w:ascii="Arial" w:eastAsia="Calibri" w:hAnsi="Arial" w:cs="Arial"/>
          <w:sz w:val="20"/>
        </w:rPr>
      </w:pPr>
    </w:p>
    <w:p w14:paraId="40FE6C2B" w14:textId="54624132" w:rsidR="00AE0907" w:rsidRPr="00AE0907" w:rsidRDefault="006E092C" w:rsidP="00AE0907">
      <w:pPr>
        <w:jc w:val="both"/>
        <w:rPr>
          <w:rFonts w:ascii="Arial" w:hAnsi="Arial" w:cs="Arial"/>
          <w:sz w:val="20"/>
        </w:rPr>
      </w:pPr>
      <w:r>
        <w:rPr>
          <w:rFonts w:ascii="Arial" w:hAnsi="Arial" w:cs="Arial"/>
          <w:sz w:val="20"/>
        </w:rPr>
        <w:t>6</w:t>
      </w:r>
      <w:r w:rsidR="00AE0907" w:rsidRPr="00AE0907">
        <w:rPr>
          <w:rFonts w:ascii="Arial" w:hAnsi="Arial" w:cs="Arial"/>
          <w:sz w:val="20"/>
        </w:rPr>
        <w:t>.15 Otros pasivos no financieros.</w:t>
      </w:r>
    </w:p>
    <w:p w14:paraId="7B8876E6" w14:textId="77777777" w:rsidR="00AE0907" w:rsidRPr="00AE0907" w:rsidRDefault="00AE0907" w:rsidP="00AE0907">
      <w:pPr>
        <w:jc w:val="both"/>
        <w:rPr>
          <w:rFonts w:ascii="Arial" w:hAnsi="Arial" w:cs="Arial"/>
          <w:sz w:val="20"/>
        </w:rPr>
      </w:pPr>
    </w:p>
    <w:p w14:paraId="3D46481F" w14:textId="378512B9" w:rsidR="00AE0907" w:rsidRPr="00AE0907" w:rsidRDefault="00AE0907" w:rsidP="00AE0907">
      <w:pPr>
        <w:jc w:val="both"/>
        <w:rPr>
          <w:rFonts w:ascii="Arial" w:eastAsiaTheme="minorHAnsi" w:hAnsi="Arial" w:cs="Arial"/>
          <w:sz w:val="20"/>
        </w:rPr>
      </w:pPr>
      <w:r w:rsidRPr="00AE0907">
        <w:rPr>
          <w:rFonts w:ascii="Arial" w:eastAsiaTheme="minorHAnsi" w:hAnsi="Arial" w:cs="Arial"/>
          <w:sz w:val="20"/>
        </w:rPr>
        <w:t xml:space="preserve">Los principales componentes del rubro </w:t>
      </w:r>
      <w:r w:rsidRPr="00AE0907">
        <w:rPr>
          <w:rFonts w:ascii="Arial" w:hAnsi="Arial" w:cs="Arial"/>
          <w:sz w:val="20"/>
        </w:rPr>
        <w:t xml:space="preserve">otros pasivos no financieros </w:t>
      </w:r>
      <w:r w:rsidR="006E092C" w:rsidRPr="00AE0907">
        <w:rPr>
          <w:rFonts w:ascii="Arial" w:eastAsiaTheme="minorHAnsi" w:hAnsi="Arial" w:cs="Arial"/>
          <w:sz w:val="20"/>
        </w:rPr>
        <w:t>31 de diciembre de 201</w:t>
      </w:r>
      <w:r w:rsidR="006E092C">
        <w:rPr>
          <w:rFonts w:ascii="Arial" w:eastAsiaTheme="minorHAnsi" w:hAnsi="Arial" w:cs="Arial"/>
          <w:sz w:val="20"/>
        </w:rPr>
        <w:t>9</w:t>
      </w:r>
      <w:r w:rsidR="006E092C" w:rsidRPr="00AE0907">
        <w:rPr>
          <w:rFonts w:ascii="Arial" w:eastAsiaTheme="minorHAnsi" w:hAnsi="Arial" w:cs="Arial"/>
          <w:sz w:val="20"/>
        </w:rPr>
        <w:t xml:space="preserve"> y 201</w:t>
      </w:r>
      <w:r w:rsidR="006E092C">
        <w:rPr>
          <w:rFonts w:ascii="Arial" w:eastAsiaTheme="minorHAnsi" w:hAnsi="Arial" w:cs="Arial"/>
          <w:sz w:val="20"/>
        </w:rPr>
        <w:t>8</w:t>
      </w:r>
      <w:r w:rsidR="006E092C" w:rsidRPr="00AE0907">
        <w:rPr>
          <w:rFonts w:ascii="Arial" w:eastAsiaTheme="minorHAnsi" w:hAnsi="Arial" w:cs="Arial"/>
          <w:sz w:val="20"/>
        </w:rPr>
        <w:t xml:space="preserve"> </w:t>
      </w:r>
      <w:r w:rsidRPr="00AE0907">
        <w:rPr>
          <w:rFonts w:ascii="Arial" w:eastAsiaTheme="minorHAnsi" w:hAnsi="Arial" w:cs="Arial"/>
          <w:sz w:val="20"/>
        </w:rPr>
        <w:t>son los siguientes:</w:t>
      </w:r>
    </w:p>
    <w:p w14:paraId="4C499CC3" w14:textId="77777777" w:rsidR="00AE0907" w:rsidRPr="00AE0907" w:rsidRDefault="00AE0907" w:rsidP="00AE0907">
      <w:pPr>
        <w:jc w:val="both"/>
        <w:rPr>
          <w:rFonts w:ascii="Arial" w:eastAsia="Calibri" w:hAnsi="Arial" w:cs="Arial"/>
          <w:sz w:val="20"/>
        </w:rPr>
      </w:pPr>
    </w:p>
    <w:tbl>
      <w:tblPr>
        <w:tblW w:w="82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63"/>
        <w:gridCol w:w="1329"/>
        <w:gridCol w:w="1475"/>
      </w:tblGrid>
      <w:tr w:rsidR="006E092C" w:rsidRPr="00AE0907" w14:paraId="3ACEAEFD" w14:textId="77777777" w:rsidTr="00037C01">
        <w:trPr>
          <w:trHeight w:val="256"/>
        </w:trPr>
        <w:tc>
          <w:tcPr>
            <w:tcW w:w="5463" w:type="dxa"/>
            <w:shd w:val="clear" w:color="auto" w:fill="auto"/>
            <w:noWrap/>
            <w:vAlign w:val="bottom"/>
            <w:hideMark/>
          </w:tcPr>
          <w:p w14:paraId="3F0FB3F7" w14:textId="77777777" w:rsidR="006E092C" w:rsidRPr="00AE0907" w:rsidRDefault="006E092C" w:rsidP="006E092C">
            <w:pPr>
              <w:jc w:val="both"/>
              <w:rPr>
                <w:rFonts w:ascii="Arial" w:hAnsi="Arial" w:cs="Arial"/>
                <w:sz w:val="20"/>
              </w:rPr>
            </w:pPr>
          </w:p>
        </w:tc>
        <w:tc>
          <w:tcPr>
            <w:tcW w:w="1329" w:type="dxa"/>
            <w:shd w:val="clear" w:color="auto" w:fill="auto"/>
            <w:noWrap/>
            <w:vAlign w:val="bottom"/>
            <w:hideMark/>
          </w:tcPr>
          <w:p w14:paraId="5877DD60" w14:textId="72A58CE0" w:rsidR="006E092C" w:rsidRPr="00AE0907" w:rsidRDefault="006E092C" w:rsidP="006E092C">
            <w:pPr>
              <w:jc w:val="center"/>
              <w:rPr>
                <w:rFonts w:ascii="Arial" w:hAnsi="Arial" w:cs="Arial"/>
                <w:sz w:val="20"/>
              </w:rPr>
            </w:pPr>
            <w:r w:rsidRPr="006E092C">
              <w:rPr>
                <w:rFonts w:ascii="Arial" w:hAnsi="Arial" w:cs="Arial"/>
                <w:b/>
                <w:sz w:val="20"/>
              </w:rPr>
              <w:t>31/12/201</w:t>
            </w:r>
            <w:r>
              <w:rPr>
                <w:rFonts w:ascii="Arial" w:hAnsi="Arial" w:cs="Arial"/>
                <w:b/>
                <w:sz w:val="20"/>
              </w:rPr>
              <w:t>9</w:t>
            </w:r>
          </w:p>
        </w:tc>
        <w:tc>
          <w:tcPr>
            <w:tcW w:w="1475" w:type="dxa"/>
            <w:shd w:val="clear" w:color="auto" w:fill="auto"/>
            <w:noWrap/>
            <w:vAlign w:val="bottom"/>
            <w:hideMark/>
          </w:tcPr>
          <w:p w14:paraId="09749321" w14:textId="15A57009" w:rsidR="006E092C" w:rsidRPr="00AE0907" w:rsidRDefault="006E092C" w:rsidP="006E092C">
            <w:pPr>
              <w:jc w:val="center"/>
              <w:rPr>
                <w:rFonts w:ascii="Arial" w:hAnsi="Arial" w:cs="Arial"/>
                <w:sz w:val="20"/>
              </w:rPr>
            </w:pPr>
            <w:r w:rsidRPr="006E092C">
              <w:rPr>
                <w:rFonts w:ascii="Arial" w:hAnsi="Arial" w:cs="Arial"/>
                <w:b/>
                <w:sz w:val="20"/>
              </w:rPr>
              <w:t>31/12/201</w:t>
            </w:r>
            <w:r>
              <w:rPr>
                <w:rFonts w:ascii="Arial" w:hAnsi="Arial" w:cs="Arial"/>
                <w:b/>
                <w:sz w:val="20"/>
              </w:rPr>
              <w:t>8</w:t>
            </w:r>
          </w:p>
        </w:tc>
      </w:tr>
      <w:tr w:rsidR="002C509D" w:rsidRPr="00AE0907" w14:paraId="3C3887A7" w14:textId="77777777" w:rsidTr="00037C01">
        <w:trPr>
          <w:trHeight w:val="256"/>
        </w:trPr>
        <w:tc>
          <w:tcPr>
            <w:tcW w:w="54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1BE479" w14:textId="5D3B4325" w:rsidR="002C509D" w:rsidRPr="00AE0907" w:rsidRDefault="002C509D" w:rsidP="002C509D">
            <w:pPr>
              <w:jc w:val="both"/>
              <w:rPr>
                <w:rFonts w:ascii="Arial" w:hAnsi="Arial" w:cs="Arial"/>
                <w:sz w:val="20"/>
              </w:rPr>
            </w:pPr>
            <w:r w:rsidRPr="00AE0907">
              <w:rPr>
                <w:rFonts w:ascii="Arial" w:hAnsi="Arial" w:cs="Arial"/>
                <w:sz w:val="20"/>
              </w:rPr>
              <w:t xml:space="preserve">Remuneraciones y cargas sociales </w:t>
            </w:r>
            <w:r>
              <w:rPr>
                <w:rFonts w:ascii="Arial" w:hAnsi="Arial" w:cs="Arial"/>
                <w:sz w:val="20"/>
              </w:rPr>
              <w:t>por</w:t>
            </w:r>
            <w:r w:rsidRPr="00AE0907">
              <w:rPr>
                <w:rFonts w:ascii="Arial" w:hAnsi="Arial" w:cs="Arial"/>
                <w:sz w:val="20"/>
              </w:rPr>
              <w:t xml:space="preserve"> pagar</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8B127" w14:textId="5A7892C1" w:rsidR="002C509D" w:rsidRPr="00AE0907" w:rsidRDefault="002C509D" w:rsidP="002C509D">
            <w:pPr>
              <w:jc w:val="right"/>
              <w:rPr>
                <w:rFonts w:ascii="Arial" w:hAnsi="Arial" w:cs="Arial"/>
                <w:sz w:val="20"/>
              </w:rPr>
            </w:pPr>
            <w:r>
              <w:rPr>
                <w:rFonts w:ascii="Arial" w:hAnsi="Arial" w:cs="Arial"/>
                <w:color w:val="000000"/>
                <w:sz w:val="20"/>
              </w:rPr>
              <w:t>3.748.855</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50EBAD" w14:textId="4638E5A5" w:rsidR="002C509D" w:rsidRPr="00AE0907" w:rsidRDefault="002C509D" w:rsidP="002C509D">
            <w:pPr>
              <w:jc w:val="right"/>
              <w:rPr>
                <w:rFonts w:ascii="Arial" w:hAnsi="Arial" w:cs="Arial"/>
                <w:sz w:val="20"/>
              </w:rPr>
            </w:pPr>
            <w:r w:rsidRPr="00AE0907">
              <w:rPr>
                <w:rFonts w:ascii="Arial" w:hAnsi="Arial" w:cs="Arial"/>
                <w:sz w:val="20"/>
              </w:rPr>
              <w:t xml:space="preserve">2.027.911 </w:t>
            </w:r>
          </w:p>
        </w:tc>
      </w:tr>
      <w:tr w:rsidR="002C509D" w:rsidRPr="00AE0907" w14:paraId="697A707B" w14:textId="77777777" w:rsidTr="00037C01">
        <w:trPr>
          <w:trHeight w:val="256"/>
        </w:trPr>
        <w:tc>
          <w:tcPr>
            <w:tcW w:w="54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B8F253" w14:textId="77777777" w:rsidR="002C509D" w:rsidRPr="00AE0907" w:rsidRDefault="002C509D" w:rsidP="002C509D">
            <w:pPr>
              <w:jc w:val="both"/>
              <w:rPr>
                <w:rFonts w:ascii="Arial" w:hAnsi="Arial" w:cs="Arial"/>
                <w:sz w:val="20"/>
              </w:rPr>
            </w:pPr>
            <w:r w:rsidRPr="00AE0907">
              <w:rPr>
                <w:rFonts w:ascii="Arial" w:hAnsi="Arial" w:cs="Arial"/>
                <w:sz w:val="20"/>
              </w:rPr>
              <w:t>Acreedores varios</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354021" w14:textId="5EA2DDE3" w:rsidR="002C509D" w:rsidRPr="00AE0907" w:rsidRDefault="002C509D" w:rsidP="002C509D">
            <w:pPr>
              <w:jc w:val="right"/>
              <w:rPr>
                <w:rFonts w:ascii="Arial" w:hAnsi="Arial" w:cs="Arial"/>
                <w:sz w:val="20"/>
              </w:rPr>
            </w:pPr>
            <w:r>
              <w:rPr>
                <w:rFonts w:ascii="Arial" w:hAnsi="Arial" w:cs="Arial"/>
                <w:color w:val="000000"/>
                <w:sz w:val="20"/>
              </w:rPr>
              <w:t>1.511.015</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EA13FE" w14:textId="07E4BAEA" w:rsidR="002C509D" w:rsidRPr="00AE0907" w:rsidRDefault="002C509D" w:rsidP="002C509D">
            <w:pPr>
              <w:jc w:val="right"/>
              <w:rPr>
                <w:rFonts w:ascii="Arial" w:hAnsi="Arial" w:cs="Arial"/>
                <w:sz w:val="20"/>
              </w:rPr>
            </w:pPr>
            <w:r w:rsidRPr="00AE0907">
              <w:rPr>
                <w:rFonts w:ascii="Arial" w:hAnsi="Arial" w:cs="Arial"/>
                <w:sz w:val="20"/>
              </w:rPr>
              <w:t xml:space="preserve">1.163.351 </w:t>
            </w:r>
          </w:p>
        </w:tc>
      </w:tr>
      <w:tr w:rsidR="002C509D" w:rsidRPr="00AE0907" w14:paraId="70DC7552" w14:textId="77777777" w:rsidTr="00037C01">
        <w:trPr>
          <w:trHeight w:val="256"/>
        </w:trPr>
        <w:tc>
          <w:tcPr>
            <w:tcW w:w="54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3A1CB7" w14:textId="1520BDF9" w:rsidR="002C509D" w:rsidRPr="00AE0907" w:rsidRDefault="002C509D" w:rsidP="002C509D">
            <w:pPr>
              <w:jc w:val="both"/>
              <w:rPr>
                <w:rFonts w:ascii="Arial" w:hAnsi="Arial" w:cs="Arial"/>
                <w:sz w:val="20"/>
              </w:rPr>
            </w:pPr>
            <w:r w:rsidRPr="00AE0907">
              <w:rPr>
                <w:rFonts w:ascii="Arial" w:hAnsi="Arial" w:cs="Arial"/>
                <w:sz w:val="20"/>
              </w:rPr>
              <w:t xml:space="preserve">Ingreso </w:t>
            </w:r>
            <w:r w:rsidR="009E1B15">
              <w:rPr>
                <w:rFonts w:ascii="Arial" w:hAnsi="Arial" w:cs="Arial"/>
                <w:sz w:val="20"/>
              </w:rPr>
              <w:t>diferido por</w:t>
            </w:r>
            <w:r w:rsidR="009E1B15" w:rsidRPr="00AE0907">
              <w:rPr>
                <w:rFonts w:ascii="Arial" w:hAnsi="Arial" w:cs="Arial"/>
                <w:sz w:val="20"/>
              </w:rPr>
              <w:t xml:space="preserve"> </w:t>
            </w:r>
            <w:r w:rsidRPr="00AE0907">
              <w:rPr>
                <w:rFonts w:ascii="Arial" w:hAnsi="Arial" w:cs="Arial"/>
                <w:sz w:val="20"/>
              </w:rPr>
              <w:t>actividades ordinarias procedentes de contratos con clientes</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C5FE3" w14:textId="29273D42" w:rsidR="002C509D" w:rsidRPr="00AE0907" w:rsidRDefault="002C509D" w:rsidP="002C509D">
            <w:pPr>
              <w:jc w:val="right"/>
              <w:rPr>
                <w:rFonts w:ascii="Arial" w:hAnsi="Arial" w:cs="Arial"/>
                <w:sz w:val="20"/>
              </w:rPr>
            </w:pPr>
            <w:r>
              <w:rPr>
                <w:rFonts w:ascii="Arial" w:hAnsi="Arial" w:cs="Arial"/>
                <w:color w:val="000000"/>
                <w:sz w:val="20"/>
              </w:rPr>
              <w:t>192.499</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76547" w14:textId="66EA16B1" w:rsidR="002C509D" w:rsidRPr="00AE0907" w:rsidRDefault="002C509D" w:rsidP="002C509D">
            <w:pPr>
              <w:jc w:val="right"/>
              <w:rPr>
                <w:rFonts w:ascii="Arial" w:hAnsi="Arial" w:cs="Arial"/>
                <w:sz w:val="20"/>
              </w:rPr>
            </w:pPr>
            <w:r w:rsidRPr="00AE0907">
              <w:rPr>
                <w:rFonts w:ascii="Arial" w:hAnsi="Arial" w:cs="Arial"/>
                <w:sz w:val="20"/>
              </w:rPr>
              <w:t xml:space="preserve">124.407 </w:t>
            </w:r>
          </w:p>
        </w:tc>
      </w:tr>
      <w:tr w:rsidR="002C509D" w:rsidRPr="00AE0907" w14:paraId="0B7F06AC" w14:textId="77777777" w:rsidTr="00037C01">
        <w:trPr>
          <w:trHeight w:val="256"/>
        </w:trPr>
        <w:tc>
          <w:tcPr>
            <w:tcW w:w="54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8DAD05" w14:textId="77777777" w:rsidR="002C509D" w:rsidRPr="00AE0907" w:rsidRDefault="002C509D" w:rsidP="002C509D">
            <w:pPr>
              <w:jc w:val="both"/>
              <w:rPr>
                <w:rFonts w:ascii="Arial" w:hAnsi="Arial" w:cs="Arial"/>
                <w:sz w:val="20"/>
              </w:rPr>
            </w:pPr>
            <w:r w:rsidRPr="00AE0907">
              <w:rPr>
                <w:rFonts w:ascii="Arial" w:hAnsi="Arial" w:cs="Arial"/>
                <w:sz w:val="20"/>
              </w:rPr>
              <w:t>Impuestos a pagar</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3377C0" w14:textId="6165E71D" w:rsidR="002C509D" w:rsidRPr="00AE0907" w:rsidRDefault="002C509D" w:rsidP="002C509D">
            <w:pPr>
              <w:jc w:val="right"/>
              <w:rPr>
                <w:rFonts w:ascii="Arial" w:hAnsi="Arial" w:cs="Arial"/>
                <w:sz w:val="20"/>
              </w:rPr>
            </w:pPr>
            <w:r>
              <w:rPr>
                <w:rFonts w:ascii="Arial" w:hAnsi="Arial" w:cs="Arial"/>
                <w:color w:val="000000"/>
                <w:sz w:val="20"/>
              </w:rPr>
              <w:t>1.373.324</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85DFEA" w14:textId="5FF61FB5" w:rsidR="002C509D" w:rsidRPr="00AE0907" w:rsidRDefault="002C509D" w:rsidP="002C509D">
            <w:pPr>
              <w:jc w:val="right"/>
              <w:rPr>
                <w:rFonts w:ascii="Arial" w:hAnsi="Arial" w:cs="Arial"/>
                <w:sz w:val="20"/>
              </w:rPr>
            </w:pPr>
            <w:r w:rsidRPr="00AE0907">
              <w:rPr>
                <w:rFonts w:ascii="Arial" w:hAnsi="Arial" w:cs="Arial"/>
                <w:sz w:val="20"/>
              </w:rPr>
              <w:t xml:space="preserve">1.097.719 </w:t>
            </w:r>
          </w:p>
        </w:tc>
      </w:tr>
      <w:tr w:rsidR="002C509D" w:rsidRPr="00AE0907" w14:paraId="3E3B8A47" w14:textId="77777777" w:rsidTr="00037C01">
        <w:trPr>
          <w:trHeight w:val="256"/>
        </w:trPr>
        <w:tc>
          <w:tcPr>
            <w:tcW w:w="54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2FB6F3" w14:textId="77777777" w:rsidR="002C509D" w:rsidRPr="00AE0907" w:rsidRDefault="002C509D" w:rsidP="002C509D">
            <w:pPr>
              <w:jc w:val="both"/>
              <w:rPr>
                <w:rFonts w:ascii="Arial" w:hAnsi="Arial" w:cs="Arial"/>
                <w:sz w:val="20"/>
              </w:rPr>
            </w:pPr>
            <w:r w:rsidRPr="00AE0907">
              <w:rPr>
                <w:rFonts w:ascii="Arial" w:hAnsi="Arial" w:cs="Arial"/>
                <w:sz w:val="20"/>
              </w:rPr>
              <w:t>Ordenes de pago previsionales pendientes de liquidación</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A402C" w14:textId="1D603115" w:rsidR="002C509D" w:rsidRPr="00AE0907" w:rsidRDefault="002C509D" w:rsidP="002C509D">
            <w:pPr>
              <w:jc w:val="right"/>
              <w:rPr>
                <w:rFonts w:ascii="Arial" w:hAnsi="Arial" w:cs="Arial"/>
                <w:sz w:val="20"/>
              </w:rPr>
            </w:pPr>
            <w:r>
              <w:rPr>
                <w:rFonts w:ascii="Arial" w:hAnsi="Arial" w:cs="Arial"/>
                <w:color w:val="000000"/>
                <w:sz w:val="20"/>
              </w:rPr>
              <w:t>218.486</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CC527" w14:textId="17641203" w:rsidR="002C509D" w:rsidRPr="00AE0907" w:rsidRDefault="002C509D" w:rsidP="002C509D">
            <w:pPr>
              <w:jc w:val="right"/>
              <w:rPr>
                <w:rFonts w:ascii="Arial" w:hAnsi="Arial" w:cs="Arial"/>
                <w:sz w:val="20"/>
              </w:rPr>
            </w:pPr>
            <w:r w:rsidRPr="00AE0907">
              <w:rPr>
                <w:rFonts w:ascii="Arial" w:hAnsi="Arial" w:cs="Arial"/>
                <w:sz w:val="20"/>
              </w:rPr>
              <w:t xml:space="preserve">221.797 </w:t>
            </w:r>
          </w:p>
        </w:tc>
      </w:tr>
      <w:tr w:rsidR="002C509D" w:rsidRPr="00AE0907" w14:paraId="656229EF" w14:textId="77777777" w:rsidTr="00037C01">
        <w:trPr>
          <w:trHeight w:val="256"/>
        </w:trPr>
        <w:tc>
          <w:tcPr>
            <w:tcW w:w="54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34AACD" w14:textId="77777777" w:rsidR="002C509D" w:rsidRPr="00AE0907" w:rsidRDefault="002C509D" w:rsidP="002C509D">
            <w:pPr>
              <w:jc w:val="both"/>
              <w:rPr>
                <w:rFonts w:ascii="Arial" w:hAnsi="Arial" w:cs="Arial"/>
                <w:sz w:val="20"/>
              </w:rPr>
            </w:pPr>
            <w:r w:rsidRPr="00AE0907">
              <w:rPr>
                <w:rFonts w:ascii="Arial" w:hAnsi="Arial" w:cs="Arial"/>
                <w:sz w:val="20"/>
              </w:rPr>
              <w:t>Aporte al fondo de garantia de los depositos a pagar</w:t>
            </w:r>
          </w:p>
        </w:tc>
        <w:tc>
          <w:tcPr>
            <w:tcW w:w="13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92841" w14:textId="0E47BB8A" w:rsidR="002C509D" w:rsidRPr="00AE0907" w:rsidRDefault="002C509D" w:rsidP="002C509D">
            <w:pPr>
              <w:jc w:val="right"/>
              <w:rPr>
                <w:rFonts w:ascii="Arial" w:hAnsi="Arial" w:cs="Arial"/>
                <w:sz w:val="20"/>
              </w:rPr>
            </w:pPr>
            <w:r>
              <w:rPr>
                <w:rFonts w:ascii="Arial" w:hAnsi="Arial" w:cs="Arial"/>
                <w:color w:val="000000"/>
                <w:sz w:val="20"/>
              </w:rPr>
              <w:t>16.150</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DA1EC8" w14:textId="3AFB04CF" w:rsidR="002C509D" w:rsidRPr="00AE0907" w:rsidRDefault="002C509D" w:rsidP="002C509D">
            <w:pPr>
              <w:jc w:val="right"/>
              <w:rPr>
                <w:rFonts w:ascii="Arial" w:hAnsi="Arial" w:cs="Arial"/>
                <w:sz w:val="20"/>
              </w:rPr>
            </w:pPr>
            <w:r w:rsidRPr="00AE0907">
              <w:rPr>
                <w:rFonts w:ascii="Arial" w:hAnsi="Arial" w:cs="Arial"/>
                <w:sz w:val="20"/>
              </w:rPr>
              <w:t>13.38</w:t>
            </w:r>
            <w:r w:rsidR="00AB57F7">
              <w:rPr>
                <w:rFonts w:ascii="Arial" w:hAnsi="Arial" w:cs="Arial"/>
                <w:sz w:val="20"/>
              </w:rPr>
              <w:t>7</w:t>
            </w:r>
            <w:r w:rsidRPr="00AE0907">
              <w:rPr>
                <w:rFonts w:ascii="Arial" w:hAnsi="Arial" w:cs="Arial"/>
                <w:sz w:val="20"/>
              </w:rPr>
              <w:t xml:space="preserve"> </w:t>
            </w:r>
          </w:p>
        </w:tc>
      </w:tr>
      <w:tr w:rsidR="006E092C" w:rsidRPr="006E092C" w14:paraId="5F8FA95D" w14:textId="77777777" w:rsidTr="00037C01">
        <w:trPr>
          <w:trHeight w:val="271"/>
        </w:trPr>
        <w:tc>
          <w:tcPr>
            <w:tcW w:w="5463" w:type="dxa"/>
            <w:shd w:val="clear" w:color="auto" w:fill="auto"/>
            <w:noWrap/>
            <w:vAlign w:val="bottom"/>
            <w:hideMark/>
          </w:tcPr>
          <w:p w14:paraId="01EFB282" w14:textId="77777777" w:rsidR="006E092C" w:rsidRPr="006E092C" w:rsidRDefault="006E092C" w:rsidP="006E092C">
            <w:pPr>
              <w:jc w:val="both"/>
              <w:rPr>
                <w:rFonts w:ascii="Arial" w:hAnsi="Arial" w:cs="Arial"/>
                <w:b/>
                <w:sz w:val="20"/>
              </w:rPr>
            </w:pPr>
            <w:r w:rsidRPr="006E092C">
              <w:rPr>
                <w:rFonts w:ascii="Arial" w:hAnsi="Arial" w:cs="Arial"/>
                <w:b/>
                <w:sz w:val="20"/>
              </w:rPr>
              <w:t>Total</w:t>
            </w:r>
          </w:p>
        </w:tc>
        <w:tc>
          <w:tcPr>
            <w:tcW w:w="1329" w:type="dxa"/>
            <w:shd w:val="clear" w:color="auto" w:fill="auto"/>
            <w:noWrap/>
            <w:vAlign w:val="bottom"/>
          </w:tcPr>
          <w:p w14:paraId="639FE24B" w14:textId="19B89D55" w:rsidR="006E092C" w:rsidRPr="002C509D" w:rsidRDefault="002C509D" w:rsidP="002C509D">
            <w:pPr>
              <w:jc w:val="right"/>
              <w:rPr>
                <w:rFonts w:ascii="Arial" w:hAnsi="Arial" w:cs="Arial"/>
                <w:b/>
                <w:color w:val="000000"/>
                <w:sz w:val="20"/>
                <w:lang w:eastAsia="es-AR"/>
              </w:rPr>
            </w:pPr>
            <w:r w:rsidRPr="002C509D">
              <w:rPr>
                <w:rFonts w:ascii="Arial" w:hAnsi="Arial" w:cs="Arial"/>
                <w:b/>
                <w:color w:val="000000"/>
                <w:sz w:val="20"/>
              </w:rPr>
              <w:t>7.060.329</w:t>
            </w:r>
          </w:p>
        </w:tc>
        <w:tc>
          <w:tcPr>
            <w:tcW w:w="1475" w:type="dxa"/>
            <w:shd w:val="clear" w:color="auto" w:fill="auto"/>
            <w:noWrap/>
            <w:vAlign w:val="bottom"/>
            <w:hideMark/>
          </w:tcPr>
          <w:p w14:paraId="07B93284" w14:textId="4AF43F1B" w:rsidR="006E092C" w:rsidRPr="006E092C" w:rsidRDefault="006E092C" w:rsidP="006E092C">
            <w:pPr>
              <w:jc w:val="right"/>
              <w:rPr>
                <w:rFonts w:ascii="Arial" w:hAnsi="Arial" w:cs="Arial"/>
                <w:b/>
                <w:sz w:val="20"/>
              </w:rPr>
            </w:pPr>
            <w:r w:rsidRPr="006E092C">
              <w:rPr>
                <w:rFonts w:ascii="Arial" w:hAnsi="Arial" w:cs="Arial"/>
                <w:b/>
                <w:sz w:val="20"/>
              </w:rPr>
              <w:t>4.648.57</w:t>
            </w:r>
            <w:r w:rsidR="00AB57F7">
              <w:rPr>
                <w:rFonts w:ascii="Arial" w:hAnsi="Arial" w:cs="Arial"/>
                <w:b/>
                <w:sz w:val="20"/>
              </w:rPr>
              <w:t>2</w:t>
            </w:r>
          </w:p>
        </w:tc>
      </w:tr>
    </w:tbl>
    <w:p w14:paraId="25615151" w14:textId="77777777" w:rsidR="00AE0907" w:rsidRPr="00AE0907" w:rsidRDefault="00AE0907" w:rsidP="00AE0907">
      <w:pPr>
        <w:jc w:val="both"/>
        <w:rPr>
          <w:rFonts w:ascii="Arial" w:eastAsia="Calibri" w:hAnsi="Arial" w:cs="Arial"/>
          <w:sz w:val="20"/>
        </w:rPr>
      </w:pPr>
    </w:p>
    <w:p w14:paraId="61D6F2E9" w14:textId="4F767B06" w:rsidR="006E092C" w:rsidRDefault="00AE0907" w:rsidP="00AE0907">
      <w:pPr>
        <w:jc w:val="both"/>
        <w:rPr>
          <w:rFonts w:ascii="Arial" w:hAnsi="Arial" w:cs="Arial"/>
          <w:sz w:val="20"/>
        </w:rPr>
      </w:pPr>
      <w:r w:rsidRPr="00AE0907">
        <w:rPr>
          <w:rFonts w:ascii="Arial" w:hAnsi="Arial" w:cs="Arial"/>
          <w:sz w:val="20"/>
        </w:rPr>
        <w:t>Los ingresos diferidos asociados por contratos con clientes incluyen el pasivo por el programa de fidelización de clientes. El Banco estima el valor de los puntos asignados a los clientes en los Programas Club Supervielle y Club Mis Puntos, mediante la aplicación de un modelo matemático que considera supuestos sobre porcentajes de canje, valor razonable de puntos canjeados en función a la combinación de productos disponibles y preferencias de los clientes, así como la caducidad de los puntos no utilizados</w:t>
      </w:r>
      <w:r w:rsidRPr="008F1163">
        <w:rPr>
          <w:rFonts w:ascii="Arial" w:hAnsi="Arial" w:cs="Arial"/>
          <w:sz w:val="20"/>
        </w:rPr>
        <w:t>. Al 31 de diciembre de 201</w:t>
      </w:r>
      <w:r w:rsidR="006E092C" w:rsidRPr="008F1163">
        <w:rPr>
          <w:rFonts w:ascii="Arial" w:hAnsi="Arial" w:cs="Arial"/>
          <w:sz w:val="20"/>
        </w:rPr>
        <w:t>9 y</w:t>
      </w:r>
      <w:r w:rsidRPr="008F1163">
        <w:rPr>
          <w:rFonts w:ascii="Arial" w:hAnsi="Arial" w:cs="Arial"/>
          <w:sz w:val="20"/>
        </w:rPr>
        <w:t xml:space="preserve"> 201</w:t>
      </w:r>
      <w:r w:rsidR="006E092C" w:rsidRPr="008F1163">
        <w:rPr>
          <w:rFonts w:ascii="Arial" w:hAnsi="Arial" w:cs="Arial"/>
          <w:sz w:val="20"/>
        </w:rPr>
        <w:t>8</w:t>
      </w:r>
      <w:r w:rsidRPr="008F1163">
        <w:rPr>
          <w:rFonts w:ascii="Arial" w:hAnsi="Arial" w:cs="Arial"/>
          <w:sz w:val="20"/>
        </w:rPr>
        <w:t xml:space="preserve"> se han registrado, por los puntos no canjeados, la suma de $ </w:t>
      </w:r>
      <w:r w:rsidR="008F1163" w:rsidRPr="008F1163">
        <w:rPr>
          <w:rFonts w:ascii="Arial" w:hAnsi="Arial" w:cs="Arial"/>
          <w:sz w:val="20"/>
        </w:rPr>
        <w:t>192.499</w:t>
      </w:r>
      <w:r w:rsidR="006E092C" w:rsidRPr="008F1163">
        <w:rPr>
          <w:rFonts w:ascii="Arial" w:hAnsi="Arial" w:cs="Arial"/>
          <w:sz w:val="20"/>
        </w:rPr>
        <w:t xml:space="preserve"> y</w:t>
      </w:r>
      <w:r w:rsidRPr="008F1163">
        <w:rPr>
          <w:rFonts w:ascii="Arial" w:hAnsi="Arial" w:cs="Arial"/>
          <w:sz w:val="20"/>
        </w:rPr>
        <w:t xml:space="preserve"> $ </w:t>
      </w:r>
      <w:r w:rsidR="008F1163" w:rsidRPr="008F1163">
        <w:rPr>
          <w:rFonts w:ascii="Arial" w:hAnsi="Arial" w:cs="Arial"/>
          <w:sz w:val="20"/>
        </w:rPr>
        <w:t>124.407</w:t>
      </w:r>
      <w:r w:rsidRPr="008F1163">
        <w:rPr>
          <w:rFonts w:ascii="Arial" w:hAnsi="Arial" w:cs="Arial"/>
          <w:sz w:val="20"/>
        </w:rPr>
        <w:t>,</w:t>
      </w:r>
      <w:r w:rsidRPr="00AE0907">
        <w:rPr>
          <w:rFonts w:ascii="Arial" w:hAnsi="Arial" w:cs="Arial"/>
          <w:sz w:val="20"/>
        </w:rPr>
        <w:t xml:space="preserve"> respectivamente. </w:t>
      </w:r>
    </w:p>
    <w:p w14:paraId="24E286FE" w14:textId="77777777" w:rsidR="006E092C" w:rsidRDefault="006E092C" w:rsidP="00AE0907">
      <w:pPr>
        <w:jc w:val="both"/>
        <w:rPr>
          <w:rFonts w:ascii="Arial" w:hAnsi="Arial" w:cs="Arial"/>
          <w:sz w:val="20"/>
        </w:rPr>
      </w:pPr>
    </w:p>
    <w:p w14:paraId="217965EC" w14:textId="0E31BB13" w:rsidR="00AE0907" w:rsidRPr="00AE0907" w:rsidRDefault="00AE0907" w:rsidP="00AE0907">
      <w:pPr>
        <w:jc w:val="both"/>
        <w:rPr>
          <w:rFonts w:ascii="Arial" w:hAnsi="Arial" w:cs="Arial"/>
          <w:sz w:val="20"/>
        </w:rPr>
      </w:pPr>
      <w:r w:rsidRPr="00AE0907">
        <w:rPr>
          <w:rFonts w:ascii="Arial" w:hAnsi="Arial" w:cs="Arial"/>
          <w:sz w:val="20"/>
        </w:rPr>
        <w:t xml:space="preserve">La estimación del consumo del pasivo registrado al cierre del presente ejercicio se muestra en el siguiente cuadro: </w:t>
      </w:r>
    </w:p>
    <w:p w14:paraId="4947CBE0" w14:textId="77777777" w:rsidR="00AE0907" w:rsidRPr="00AE0907" w:rsidRDefault="00AE0907" w:rsidP="00AE0907">
      <w:pPr>
        <w:jc w:val="both"/>
        <w:rPr>
          <w:rFonts w:ascii="Arial" w:hAnsi="Arial" w:cs="Arial"/>
          <w:sz w:val="20"/>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304"/>
        <w:gridCol w:w="1304"/>
        <w:gridCol w:w="1396"/>
        <w:gridCol w:w="1534"/>
      </w:tblGrid>
      <w:tr w:rsidR="00AE0907" w:rsidRPr="00AE0907" w14:paraId="1BDA1D63" w14:textId="77777777" w:rsidTr="00037C01">
        <w:trPr>
          <w:trHeight w:val="15"/>
        </w:trPr>
        <w:tc>
          <w:tcPr>
            <w:tcW w:w="1750" w:type="pct"/>
            <w:vMerge w:val="restart"/>
            <w:tcMar>
              <w:top w:w="0" w:type="dxa"/>
              <w:left w:w="60" w:type="dxa"/>
              <w:bottom w:w="0" w:type="dxa"/>
              <w:right w:w="60" w:type="dxa"/>
            </w:tcMar>
            <w:vAlign w:val="center"/>
            <w:hideMark/>
          </w:tcPr>
          <w:p w14:paraId="6265329B" w14:textId="77777777" w:rsidR="00AE0907" w:rsidRPr="00433B18" w:rsidRDefault="00AE0907" w:rsidP="00433B18">
            <w:pPr>
              <w:jc w:val="center"/>
              <w:rPr>
                <w:rFonts w:ascii="Arial" w:hAnsi="Arial" w:cs="Arial"/>
                <w:b/>
                <w:sz w:val="20"/>
              </w:rPr>
            </w:pPr>
            <w:r w:rsidRPr="00433B18">
              <w:rPr>
                <w:rFonts w:ascii="Arial" w:hAnsi="Arial" w:cs="Arial"/>
                <w:b/>
                <w:sz w:val="20"/>
              </w:rPr>
              <w:t>Concepto</w:t>
            </w:r>
          </w:p>
        </w:tc>
        <w:tc>
          <w:tcPr>
            <w:tcW w:w="0" w:type="auto"/>
            <w:gridSpan w:val="3"/>
            <w:tcMar>
              <w:top w:w="0" w:type="dxa"/>
              <w:left w:w="60" w:type="dxa"/>
              <w:bottom w:w="0" w:type="dxa"/>
              <w:right w:w="60" w:type="dxa"/>
            </w:tcMar>
            <w:vAlign w:val="center"/>
            <w:hideMark/>
          </w:tcPr>
          <w:p w14:paraId="5F53432B" w14:textId="77777777" w:rsidR="00AE0907" w:rsidRPr="00433B18" w:rsidRDefault="00AE0907" w:rsidP="00433B18">
            <w:pPr>
              <w:jc w:val="center"/>
              <w:rPr>
                <w:rFonts w:ascii="Arial" w:hAnsi="Arial" w:cs="Arial"/>
                <w:b/>
                <w:sz w:val="20"/>
              </w:rPr>
            </w:pPr>
            <w:r w:rsidRPr="00433B18">
              <w:rPr>
                <w:rFonts w:ascii="Arial" w:hAnsi="Arial" w:cs="Arial"/>
                <w:b/>
                <w:sz w:val="20"/>
              </w:rPr>
              <w:t>Plazos</w:t>
            </w:r>
          </w:p>
        </w:tc>
        <w:tc>
          <w:tcPr>
            <w:tcW w:w="900" w:type="pct"/>
            <w:vMerge w:val="restart"/>
            <w:tcMar>
              <w:top w:w="0" w:type="dxa"/>
              <w:left w:w="60" w:type="dxa"/>
              <w:bottom w:w="0" w:type="dxa"/>
              <w:right w:w="60" w:type="dxa"/>
            </w:tcMar>
            <w:vAlign w:val="center"/>
            <w:hideMark/>
          </w:tcPr>
          <w:p w14:paraId="1844A0D0" w14:textId="77777777" w:rsidR="00AE0907" w:rsidRPr="00433B18" w:rsidRDefault="00AE0907" w:rsidP="00433B18">
            <w:pPr>
              <w:jc w:val="center"/>
              <w:rPr>
                <w:rFonts w:ascii="Arial" w:hAnsi="Arial" w:cs="Arial"/>
                <w:b/>
                <w:sz w:val="20"/>
              </w:rPr>
            </w:pPr>
            <w:r w:rsidRPr="00433B18">
              <w:rPr>
                <w:rFonts w:ascii="Arial" w:hAnsi="Arial" w:cs="Arial"/>
                <w:b/>
                <w:sz w:val="20"/>
              </w:rPr>
              <w:t>Total</w:t>
            </w:r>
          </w:p>
        </w:tc>
      </w:tr>
      <w:tr w:rsidR="00AE0907" w:rsidRPr="00AE0907" w14:paraId="335B0EC7" w14:textId="77777777" w:rsidTr="00037C01">
        <w:trPr>
          <w:trHeight w:val="15"/>
        </w:trPr>
        <w:tc>
          <w:tcPr>
            <w:tcW w:w="0" w:type="auto"/>
            <w:vMerge/>
            <w:vAlign w:val="center"/>
            <w:hideMark/>
          </w:tcPr>
          <w:p w14:paraId="19A61FEE" w14:textId="77777777" w:rsidR="00AE0907" w:rsidRPr="00AE0907" w:rsidRDefault="00AE0907" w:rsidP="00AE0907">
            <w:pPr>
              <w:jc w:val="both"/>
              <w:rPr>
                <w:rFonts w:ascii="Arial" w:hAnsi="Arial" w:cs="Arial"/>
                <w:sz w:val="20"/>
              </w:rPr>
            </w:pPr>
          </w:p>
        </w:tc>
        <w:tc>
          <w:tcPr>
            <w:tcW w:w="0" w:type="auto"/>
            <w:tcMar>
              <w:top w:w="0" w:type="dxa"/>
              <w:left w:w="60" w:type="dxa"/>
              <w:bottom w:w="0" w:type="dxa"/>
              <w:right w:w="60" w:type="dxa"/>
            </w:tcMar>
            <w:vAlign w:val="center"/>
            <w:hideMark/>
          </w:tcPr>
          <w:p w14:paraId="1523B372" w14:textId="77777777" w:rsidR="00AE0907" w:rsidRPr="00433B18" w:rsidRDefault="00AE0907" w:rsidP="00433B18">
            <w:pPr>
              <w:jc w:val="center"/>
              <w:rPr>
                <w:rFonts w:ascii="Arial" w:hAnsi="Arial" w:cs="Arial"/>
                <w:b/>
                <w:sz w:val="20"/>
              </w:rPr>
            </w:pPr>
            <w:r w:rsidRPr="00433B18">
              <w:rPr>
                <w:rFonts w:ascii="Arial" w:hAnsi="Arial" w:cs="Arial"/>
                <w:b/>
                <w:sz w:val="20"/>
              </w:rPr>
              <w:t>Hasta 12 meses</w:t>
            </w:r>
          </w:p>
        </w:tc>
        <w:tc>
          <w:tcPr>
            <w:tcW w:w="0" w:type="auto"/>
            <w:tcMar>
              <w:top w:w="0" w:type="dxa"/>
              <w:left w:w="60" w:type="dxa"/>
              <w:bottom w:w="0" w:type="dxa"/>
              <w:right w:w="60" w:type="dxa"/>
            </w:tcMar>
            <w:vAlign w:val="center"/>
            <w:hideMark/>
          </w:tcPr>
          <w:p w14:paraId="15A7E8EB" w14:textId="77777777" w:rsidR="00AE0907" w:rsidRPr="00433B18" w:rsidRDefault="00AE0907" w:rsidP="00433B18">
            <w:pPr>
              <w:jc w:val="center"/>
              <w:rPr>
                <w:rFonts w:ascii="Arial" w:hAnsi="Arial" w:cs="Arial"/>
                <w:b/>
                <w:sz w:val="20"/>
              </w:rPr>
            </w:pPr>
            <w:r w:rsidRPr="00433B18">
              <w:rPr>
                <w:rFonts w:ascii="Arial" w:hAnsi="Arial" w:cs="Arial"/>
                <w:b/>
                <w:sz w:val="20"/>
              </w:rPr>
              <w:t>Hasta 24 meses</w:t>
            </w:r>
          </w:p>
        </w:tc>
        <w:tc>
          <w:tcPr>
            <w:tcW w:w="0" w:type="auto"/>
            <w:tcMar>
              <w:top w:w="0" w:type="dxa"/>
              <w:left w:w="60" w:type="dxa"/>
              <w:bottom w:w="0" w:type="dxa"/>
              <w:right w:w="60" w:type="dxa"/>
            </w:tcMar>
            <w:vAlign w:val="center"/>
            <w:hideMark/>
          </w:tcPr>
          <w:p w14:paraId="659F444E" w14:textId="77777777" w:rsidR="00AE0907" w:rsidRPr="00433B18" w:rsidRDefault="00AE0907" w:rsidP="00433B18">
            <w:pPr>
              <w:jc w:val="center"/>
              <w:rPr>
                <w:rFonts w:ascii="Arial" w:hAnsi="Arial" w:cs="Arial"/>
                <w:b/>
                <w:sz w:val="20"/>
              </w:rPr>
            </w:pPr>
            <w:r w:rsidRPr="00433B18">
              <w:rPr>
                <w:rFonts w:ascii="Arial" w:hAnsi="Arial" w:cs="Arial"/>
                <w:b/>
                <w:sz w:val="20"/>
              </w:rPr>
              <w:t>más de 24 meses</w:t>
            </w:r>
          </w:p>
        </w:tc>
        <w:tc>
          <w:tcPr>
            <w:tcW w:w="0" w:type="auto"/>
            <w:vMerge/>
            <w:vAlign w:val="center"/>
            <w:hideMark/>
          </w:tcPr>
          <w:p w14:paraId="2A0C425F" w14:textId="77777777" w:rsidR="00AE0907" w:rsidRPr="00AE0907" w:rsidRDefault="00AE0907" w:rsidP="00AE0907">
            <w:pPr>
              <w:jc w:val="both"/>
              <w:rPr>
                <w:rFonts w:ascii="Arial" w:hAnsi="Arial" w:cs="Arial"/>
                <w:sz w:val="20"/>
              </w:rPr>
            </w:pPr>
          </w:p>
        </w:tc>
      </w:tr>
      <w:tr w:rsidR="00AB7D08" w:rsidRPr="00AE0907" w14:paraId="4B0EFDCA" w14:textId="77777777" w:rsidTr="006E1AF7">
        <w:trPr>
          <w:trHeight w:val="15"/>
        </w:trPr>
        <w:tc>
          <w:tcPr>
            <w:tcW w:w="0" w:type="auto"/>
            <w:tcMar>
              <w:top w:w="0" w:type="dxa"/>
              <w:left w:w="60" w:type="dxa"/>
              <w:bottom w:w="0" w:type="dxa"/>
              <w:right w:w="60" w:type="dxa"/>
            </w:tcMar>
            <w:vAlign w:val="center"/>
            <w:hideMark/>
          </w:tcPr>
          <w:p w14:paraId="4752C115" w14:textId="77777777" w:rsidR="00AB7D08" w:rsidRPr="00AE0907" w:rsidRDefault="00AB7D08" w:rsidP="00AB7D08">
            <w:pPr>
              <w:jc w:val="both"/>
              <w:rPr>
                <w:rFonts w:ascii="Arial" w:hAnsi="Arial" w:cs="Arial"/>
                <w:sz w:val="20"/>
              </w:rPr>
            </w:pPr>
            <w:r w:rsidRPr="00AE0907">
              <w:rPr>
                <w:rFonts w:ascii="Arial" w:hAnsi="Arial" w:cs="Arial"/>
                <w:sz w:val="20"/>
              </w:rPr>
              <w:t xml:space="preserve">Pasivo programa de fidelización de clientes </w:t>
            </w:r>
          </w:p>
        </w:tc>
        <w:tc>
          <w:tcPr>
            <w:tcW w:w="0" w:type="auto"/>
            <w:tcMar>
              <w:top w:w="0" w:type="dxa"/>
              <w:left w:w="60" w:type="dxa"/>
              <w:bottom w:w="0" w:type="dxa"/>
              <w:right w:w="60" w:type="dxa"/>
            </w:tcMar>
            <w:vAlign w:val="center"/>
          </w:tcPr>
          <w:p w14:paraId="4CC625D5" w14:textId="07A7F20B" w:rsidR="00AB7D08" w:rsidRPr="00AB7D08" w:rsidRDefault="00AB7D08">
            <w:pPr>
              <w:jc w:val="right"/>
              <w:rPr>
                <w:rFonts w:ascii="Arial" w:hAnsi="Arial" w:cs="Arial"/>
                <w:sz w:val="20"/>
              </w:rPr>
            </w:pPr>
            <w:r w:rsidRPr="006E1AF7">
              <w:rPr>
                <w:rFonts w:ascii="Arial" w:hAnsi="Arial" w:cs="Arial"/>
                <w:sz w:val="20"/>
              </w:rPr>
              <w:t>93.466</w:t>
            </w:r>
          </w:p>
        </w:tc>
        <w:tc>
          <w:tcPr>
            <w:tcW w:w="0" w:type="auto"/>
            <w:tcMar>
              <w:top w:w="0" w:type="dxa"/>
              <w:left w:w="60" w:type="dxa"/>
              <w:bottom w:w="0" w:type="dxa"/>
              <w:right w:w="60" w:type="dxa"/>
            </w:tcMar>
            <w:vAlign w:val="center"/>
          </w:tcPr>
          <w:p w14:paraId="68A64919" w14:textId="209EF8C9" w:rsidR="00AB7D08" w:rsidRPr="00AB7D08" w:rsidRDefault="00AB7D08">
            <w:pPr>
              <w:jc w:val="right"/>
              <w:rPr>
                <w:rFonts w:ascii="Arial" w:hAnsi="Arial" w:cs="Arial"/>
                <w:sz w:val="20"/>
              </w:rPr>
            </w:pPr>
            <w:r w:rsidRPr="006E1AF7">
              <w:rPr>
                <w:rFonts w:ascii="Arial" w:hAnsi="Arial" w:cs="Arial"/>
                <w:sz w:val="20"/>
              </w:rPr>
              <w:t>47.952</w:t>
            </w:r>
          </w:p>
        </w:tc>
        <w:tc>
          <w:tcPr>
            <w:tcW w:w="0" w:type="auto"/>
            <w:tcMar>
              <w:top w:w="0" w:type="dxa"/>
              <w:left w:w="60" w:type="dxa"/>
              <w:bottom w:w="0" w:type="dxa"/>
              <w:right w:w="60" w:type="dxa"/>
            </w:tcMar>
            <w:vAlign w:val="center"/>
          </w:tcPr>
          <w:p w14:paraId="4E4F336D" w14:textId="1725DAB5" w:rsidR="00AB7D08" w:rsidRPr="00AB7D08" w:rsidRDefault="00AB7D08">
            <w:pPr>
              <w:jc w:val="right"/>
              <w:rPr>
                <w:rFonts w:ascii="Arial" w:hAnsi="Arial" w:cs="Arial"/>
                <w:sz w:val="20"/>
              </w:rPr>
            </w:pPr>
            <w:r w:rsidRPr="006E1AF7">
              <w:rPr>
                <w:rFonts w:ascii="Arial" w:hAnsi="Arial" w:cs="Arial"/>
                <w:sz w:val="20"/>
              </w:rPr>
              <w:t>51.08</w:t>
            </w:r>
            <w:r w:rsidR="004D6AF3">
              <w:rPr>
                <w:rFonts w:ascii="Arial" w:hAnsi="Arial" w:cs="Arial"/>
                <w:sz w:val="20"/>
              </w:rPr>
              <w:t>1</w:t>
            </w:r>
          </w:p>
        </w:tc>
        <w:tc>
          <w:tcPr>
            <w:tcW w:w="0" w:type="auto"/>
            <w:tcMar>
              <w:top w:w="0" w:type="dxa"/>
              <w:left w:w="60" w:type="dxa"/>
              <w:bottom w:w="0" w:type="dxa"/>
              <w:right w:w="60" w:type="dxa"/>
            </w:tcMar>
            <w:vAlign w:val="center"/>
          </w:tcPr>
          <w:p w14:paraId="4F74B34A" w14:textId="71BE591C" w:rsidR="00AB7D08" w:rsidRPr="00AB7D08" w:rsidRDefault="00AB7D08">
            <w:pPr>
              <w:jc w:val="right"/>
              <w:rPr>
                <w:rFonts w:ascii="Arial" w:hAnsi="Arial" w:cs="Arial"/>
                <w:sz w:val="20"/>
              </w:rPr>
            </w:pPr>
            <w:r w:rsidRPr="006E1AF7">
              <w:rPr>
                <w:rFonts w:ascii="Arial" w:hAnsi="Arial" w:cs="Arial"/>
                <w:sz w:val="20"/>
              </w:rPr>
              <w:t>192.499</w:t>
            </w:r>
          </w:p>
        </w:tc>
      </w:tr>
    </w:tbl>
    <w:p w14:paraId="192B1B68" w14:textId="77777777" w:rsidR="00AE0907" w:rsidRPr="00AE0907" w:rsidRDefault="00AE0907" w:rsidP="00AE0907">
      <w:pPr>
        <w:jc w:val="both"/>
        <w:rPr>
          <w:rFonts w:ascii="Arial" w:eastAsia="Calibri" w:hAnsi="Arial" w:cs="Arial"/>
          <w:sz w:val="20"/>
        </w:rPr>
      </w:pPr>
    </w:p>
    <w:p w14:paraId="18566164" w14:textId="77777777" w:rsidR="000B1093" w:rsidRDefault="000B1093">
      <w:pPr>
        <w:rPr>
          <w:rFonts w:ascii="Arial" w:hAnsi="Arial" w:cs="Arial"/>
          <w:sz w:val="20"/>
        </w:rPr>
      </w:pPr>
      <w:r>
        <w:rPr>
          <w:rFonts w:ascii="Arial" w:hAnsi="Arial" w:cs="Arial"/>
          <w:sz w:val="20"/>
        </w:rPr>
        <w:br w:type="page"/>
      </w:r>
    </w:p>
    <w:p w14:paraId="25C72346" w14:textId="46E34838" w:rsidR="00AE0907" w:rsidRPr="00AE0907" w:rsidRDefault="00433B18" w:rsidP="00AE0907">
      <w:pPr>
        <w:jc w:val="both"/>
        <w:rPr>
          <w:rFonts w:ascii="Arial" w:hAnsi="Arial" w:cs="Arial"/>
          <w:sz w:val="20"/>
        </w:rPr>
      </w:pPr>
      <w:r>
        <w:rPr>
          <w:rFonts w:ascii="Arial" w:hAnsi="Arial" w:cs="Arial"/>
          <w:sz w:val="20"/>
        </w:rPr>
        <w:t>6</w:t>
      </w:r>
      <w:r w:rsidR="00AE0907" w:rsidRPr="00AE0907">
        <w:rPr>
          <w:rFonts w:ascii="Arial" w:hAnsi="Arial" w:cs="Arial"/>
          <w:sz w:val="20"/>
        </w:rPr>
        <w:t>.16 Ingresos por intereses</w:t>
      </w:r>
    </w:p>
    <w:p w14:paraId="63A0FAA3" w14:textId="77777777" w:rsidR="00AE0907" w:rsidRPr="00AE0907" w:rsidRDefault="00AE0907" w:rsidP="00AE0907">
      <w:pPr>
        <w:jc w:val="both"/>
        <w:rPr>
          <w:rFonts w:ascii="Arial" w:hAnsi="Arial" w:cs="Arial"/>
          <w:sz w:val="20"/>
        </w:rPr>
      </w:pPr>
    </w:p>
    <w:p w14:paraId="31BC209F" w14:textId="53C47E3D" w:rsidR="00AE0907" w:rsidRPr="00AE0907" w:rsidRDefault="00AE0907" w:rsidP="00AE0907">
      <w:pPr>
        <w:jc w:val="both"/>
        <w:rPr>
          <w:rFonts w:ascii="Arial" w:hAnsi="Arial" w:cs="Arial"/>
          <w:sz w:val="20"/>
        </w:rPr>
      </w:pPr>
      <w:r w:rsidRPr="00AE0907">
        <w:rPr>
          <w:rFonts w:ascii="Arial" w:eastAsiaTheme="minorHAnsi" w:hAnsi="Arial" w:cs="Arial"/>
          <w:sz w:val="20"/>
        </w:rPr>
        <w:t>Se detallan a continuación los principales componentes de los ingresos por intereses por los ejercicios económicos finalizados el 31 de diciembre de 201</w:t>
      </w:r>
      <w:r w:rsidR="00433B18">
        <w:rPr>
          <w:rFonts w:ascii="Arial" w:eastAsiaTheme="minorHAnsi" w:hAnsi="Arial" w:cs="Arial"/>
          <w:sz w:val="20"/>
        </w:rPr>
        <w:t>9</w:t>
      </w:r>
      <w:r w:rsidRPr="00AE0907">
        <w:rPr>
          <w:rFonts w:ascii="Arial" w:eastAsiaTheme="minorHAnsi" w:hAnsi="Arial" w:cs="Arial"/>
          <w:sz w:val="20"/>
        </w:rPr>
        <w:t xml:space="preserve"> y 201</w:t>
      </w:r>
      <w:r w:rsidR="00433B18">
        <w:rPr>
          <w:rFonts w:ascii="Arial" w:eastAsiaTheme="minorHAnsi" w:hAnsi="Arial" w:cs="Arial"/>
          <w:sz w:val="20"/>
        </w:rPr>
        <w:t>8</w:t>
      </w:r>
      <w:r w:rsidRPr="00AE0907">
        <w:rPr>
          <w:rFonts w:ascii="Arial" w:eastAsiaTheme="minorHAnsi" w:hAnsi="Arial" w:cs="Arial"/>
          <w:sz w:val="20"/>
        </w:rPr>
        <w:t>:</w:t>
      </w:r>
    </w:p>
    <w:p w14:paraId="193C52B3" w14:textId="77777777" w:rsidR="00AE0907" w:rsidRPr="00AE0907" w:rsidRDefault="00AE0907" w:rsidP="00AE0907">
      <w:pPr>
        <w:jc w:val="both"/>
        <w:rPr>
          <w:rFonts w:ascii="Arial" w:hAnsi="Arial" w:cs="Arial"/>
          <w:sz w:val="20"/>
        </w:rPr>
      </w:pPr>
    </w:p>
    <w:tbl>
      <w:tblPr>
        <w:tblW w:w="8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2"/>
        <w:gridCol w:w="1498"/>
        <w:gridCol w:w="1362"/>
      </w:tblGrid>
      <w:tr w:rsidR="00433B18" w:rsidRPr="00AE0907" w14:paraId="30C1D484" w14:textId="77777777" w:rsidTr="00037C01">
        <w:trPr>
          <w:trHeight w:val="165"/>
          <w:tblHeader/>
        </w:trPr>
        <w:tc>
          <w:tcPr>
            <w:tcW w:w="5722" w:type="dxa"/>
            <w:shd w:val="clear" w:color="auto" w:fill="auto"/>
          </w:tcPr>
          <w:p w14:paraId="3A3D55D3" w14:textId="77777777" w:rsidR="00433B18" w:rsidRPr="00037C01" w:rsidRDefault="00433B18" w:rsidP="00433B18">
            <w:pPr>
              <w:jc w:val="both"/>
              <w:rPr>
                <w:rFonts w:ascii="Arial" w:hAnsi="Arial" w:cs="Arial"/>
                <w:sz w:val="18"/>
              </w:rPr>
            </w:pPr>
          </w:p>
        </w:tc>
        <w:tc>
          <w:tcPr>
            <w:tcW w:w="1498" w:type="dxa"/>
            <w:vAlign w:val="bottom"/>
          </w:tcPr>
          <w:p w14:paraId="5E124D5A" w14:textId="5EF43E21" w:rsidR="00433B18" w:rsidRPr="00037C01" w:rsidRDefault="00433B18" w:rsidP="00433B18">
            <w:pPr>
              <w:jc w:val="center"/>
              <w:rPr>
                <w:rFonts w:ascii="Arial" w:hAnsi="Arial" w:cs="Arial"/>
                <w:sz w:val="18"/>
              </w:rPr>
            </w:pPr>
            <w:r w:rsidRPr="00037C01">
              <w:rPr>
                <w:rFonts w:ascii="Arial" w:hAnsi="Arial" w:cs="Arial"/>
                <w:b/>
                <w:sz w:val="18"/>
              </w:rPr>
              <w:t>31/12/2019</w:t>
            </w:r>
          </w:p>
        </w:tc>
        <w:tc>
          <w:tcPr>
            <w:tcW w:w="1362" w:type="dxa"/>
            <w:shd w:val="clear" w:color="auto" w:fill="auto"/>
            <w:vAlign w:val="bottom"/>
          </w:tcPr>
          <w:p w14:paraId="7F2E5D64" w14:textId="3804F008" w:rsidR="00433B18" w:rsidRPr="00037C01" w:rsidRDefault="00433B18" w:rsidP="00433B18">
            <w:pPr>
              <w:jc w:val="center"/>
              <w:rPr>
                <w:rFonts w:ascii="Arial" w:hAnsi="Arial" w:cs="Arial"/>
                <w:sz w:val="18"/>
              </w:rPr>
            </w:pPr>
            <w:r w:rsidRPr="00037C01">
              <w:rPr>
                <w:rFonts w:ascii="Arial" w:hAnsi="Arial" w:cs="Arial"/>
                <w:b/>
                <w:sz w:val="18"/>
              </w:rPr>
              <w:t>31/12/2018</w:t>
            </w:r>
          </w:p>
        </w:tc>
      </w:tr>
      <w:tr w:rsidR="00433B18" w:rsidRPr="00AE0907" w14:paraId="4AF4DCBB" w14:textId="77777777" w:rsidTr="00037C01">
        <w:trPr>
          <w:trHeight w:val="268"/>
        </w:trPr>
        <w:tc>
          <w:tcPr>
            <w:tcW w:w="5722" w:type="dxa"/>
          </w:tcPr>
          <w:p w14:paraId="1702AA4A" w14:textId="77777777" w:rsidR="00433B18" w:rsidRPr="00037C01" w:rsidRDefault="00433B18" w:rsidP="00433B18">
            <w:pPr>
              <w:jc w:val="both"/>
              <w:rPr>
                <w:rFonts w:ascii="Arial" w:hAnsi="Arial" w:cs="Arial"/>
                <w:sz w:val="18"/>
              </w:rPr>
            </w:pPr>
            <w:r w:rsidRPr="00037C01">
              <w:rPr>
                <w:rFonts w:ascii="Arial" w:hAnsi="Arial" w:cs="Arial"/>
                <w:sz w:val="18"/>
              </w:rPr>
              <w:t>Por efectivo y depósitos en bancos</w:t>
            </w:r>
          </w:p>
        </w:tc>
        <w:tc>
          <w:tcPr>
            <w:tcW w:w="1498" w:type="dxa"/>
          </w:tcPr>
          <w:p w14:paraId="5C4BA6A8" w14:textId="4B3F595A" w:rsidR="00433B18" w:rsidRPr="00037C01" w:rsidRDefault="00CA014A" w:rsidP="00433B18">
            <w:pPr>
              <w:jc w:val="right"/>
              <w:rPr>
                <w:rFonts w:ascii="Arial" w:hAnsi="Arial" w:cs="Arial"/>
                <w:sz w:val="18"/>
              </w:rPr>
            </w:pPr>
            <w:r>
              <w:rPr>
                <w:rFonts w:ascii="Arial" w:hAnsi="Arial" w:cs="Arial"/>
                <w:sz w:val="18"/>
              </w:rPr>
              <w:t>2.749</w:t>
            </w:r>
          </w:p>
        </w:tc>
        <w:tc>
          <w:tcPr>
            <w:tcW w:w="1362" w:type="dxa"/>
          </w:tcPr>
          <w:p w14:paraId="5D4569B3" w14:textId="17329E76" w:rsidR="00433B18" w:rsidRPr="00037C01" w:rsidRDefault="00433B18" w:rsidP="00433B18">
            <w:pPr>
              <w:jc w:val="right"/>
              <w:rPr>
                <w:rFonts w:ascii="Arial" w:hAnsi="Arial" w:cs="Arial"/>
                <w:sz w:val="18"/>
              </w:rPr>
            </w:pPr>
            <w:r w:rsidRPr="00037C01">
              <w:rPr>
                <w:rFonts w:ascii="Arial" w:hAnsi="Arial" w:cs="Arial"/>
                <w:sz w:val="18"/>
              </w:rPr>
              <w:t>1.091</w:t>
            </w:r>
          </w:p>
        </w:tc>
      </w:tr>
      <w:tr w:rsidR="00433B18" w:rsidRPr="00AE0907" w14:paraId="0E7DF373" w14:textId="77777777" w:rsidTr="00037C01">
        <w:trPr>
          <w:trHeight w:val="268"/>
        </w:trPr>
        <w:tc>
          <w:tcPr>
            <w:tcW w:w="5722" w:type="dxa"/>
          </w:tcPr>
          <w:p w14:paraId="2EC4D092" w14:textId="77777777" w:rsidR="00433B18" w:rsidRPr="00037C01" w:rsidRDefault="00433B18" w:rsidP="00433B18">
            <w:pPr>
              <w:jc w:val="both"/>
              <w:rPr>
                <w:rFonts w:ascii="Arial" w:hAnsi="Arial" w:cs="Arial"/>
                <w:sz w:val="18"/>
              </w:rPr>
            </w:pPr>
            <w:r w:rsidRPr="00037C01">
              <w:rPr>
                <w:rFonts w:ascii="Arial" w:hAnsi="Arial" w:cs="Arial"/>
                <w:sz w:val="18"/>
              </w:rPr>
              <w:t>Por títulos públicos y privados</w:t>
            </w:r>
          </w:p>
        </w:tc>
        <w:tc>
          <w:tcPr>
            <w:tcW w:w="1498" w:type="dxa"/>
          </w:tcPr>
          <w:p w14:paraId="4F823453" w14:textId="70872295" w:rsidR="00433B18" w:rsidRPr="00037C01" w:rsidRDefault="00752C80" w:rsidP="00433B18">
            <w:pPr>
              <w:jc w:val="right"/>
              <w:rPr>
                <w:rFonts w:ascii="Arial" w:hAnsi="Arial" w:cs="Arial"/>
                <w:sz w:val="18"/>
              </w:rPr>
            </w:pPr>
            <w:r>
              <w:rPr>
                <w:rFonts w:ascii="Arial" w:hAnsi="Arial" w:cs="Arial"/>
                <w:sz w:val="18"/>
              </w:rPr>
              <w:t>1.999.436</w:t>
            </w:r>
          </w:p>
        </w:tc>
        <w:tc>
          <w:tcPr>
            <w:tcW w:w="1362" w:type="dxa"/>
          </w:tcPr>
          <w:p w14:paraId="511E3256" w14:textId="6F0DE9E6" w:rsidR="00433B18" w:rsidRPr="00037C01" w:rsidRDefault="00433B18" w:rsidP="00433B18">
            <w:pPr>
              <w:jc w:val="right"/>
              <w:rPr>
                <w:rFonts w:ascii="Arial" w:hAnsi="Arial" w:cs="Arial"/>
                <w:sz w:val="18"/>
              </w:rPr>
            </w:pPr>
            <w:r w:rsidRPr="00037C01">
              <w:rPr>
                <w:rFonts w:ascii="Arial" w:hAnsi="Arial" w:cs="Arial"/>
                <w:sz w:val="18"/>
              </w:rPr>
              <w:t>679.688</w:t>
            </w:r>
          </w:p>
        </w:tc>
      </w:tr>
      <w:tr w:rsidR="00433B18" w:rsidRPr="00AE0907" w14:paraId="47E239BA" w14:textId="77777777" w:rsidTr="00037C01">
        <w:trPr>
          <w:trHeight w:val="268"/>
        </w:trPr>
        <w:tc>
          <w:tcPr>
            <w:tcW w:w="5722" w:type="dxa"/>
          </w:tcPr>
          <w:p w14:paraId="10F12CF7" w14:textId="77777777" w:rsidR="00433B18" w:rsidRPr="00037C01" w:rsidRDefault="00433B18" w:rsidP="00433B18">
            <w:pPr>
              <w:jc w:val="both"/>
              <w:rPr>
                <w:rFonts w:ascii="Arial" w:hAnsi="Arial" w:cs="Arial"/>
                <w:sz w:val="18"/>
              </w:rPr>
            </w:pPr>
            <w:r w:rsidRPr="00037C01">
              <w:rPr>
                <w:rFonts w:ascii="Arial" w:hAnsi="Arial" w:cs="Arial"/>
                <w:sz w:val="18"/>
              </w:rPr>
              <w:t>Por otros activos financieros</w:t>
            </w:r>
          </w:p>
        </w:tc>
        <w:tc>
          <w:tcPr>
            <w:tcW w:w="1498" w:type="dxa"/>
          </w:tcPr>
          <w:p w14:paraId="0F56BD53" w14:textId="75E6A506" w:rsidR="00433B18" w:rsidRPr="00037C01" w:rsidRDefault="00752C80" w:rsidP="00433B18">
            <w:pPr>
              <w:jc w:val="right"/>
              <w:rPr>
                <w:rFonts w:ascii="Arial" w:hAnsi="Arial" w:cs="Arial"/>
                <w:sz w:val="18"/>
              </w:rPr>
            </w:pPr>
            <w:r>
              <w:rPr>
                <w:rFonts w:ascii="Arial" w:hAnsi="Arial" w:cs="Arial"/>
                <w:sz w:val="18"/>
              </w:rPr>
              <w:t>170</w:t>
            </w:r>
          </w:p>
        </w:tc>
        <w:tc>
          <w:tcPr>
            <w:tcW w:w="1362" w:type="dxa"/>
          </w:tcPr>
          <w:p w14:paraId="0DA9D878" w14:textId="506E44FD" w:rsidR="00433B18" w:rsidRPr="00037C01" w:rsidRDefault="00433B18" w:rsidP="00433B18">
            <w:pPr>
              <w:jc w:val="right"/>
              <w:rPr>
                <w:rFonts w:ascii="Arial" w:hAnsi="Arial" w:cs="Arial"/>
                <w:sz w:val="18"/>
              </w:rPr>
            </w:pPr>
            <w:r w:rsidRPr="00037C01">
              <w:rPr>
                <w:rFonts w:ascii="Arial" w:hAnsi="Arial" w:cs="Arial"/>
                <w:sz w:val="18"/>
              </w:rPr>
              <w:t>1.205</w:t>
            </w:r>
          </w:p>
        </w:tc>
      </w:tr>
      <w:tr w:rsidR="00433B18" w:rsidRPr="00AE0907" w14:paraId="5B5FED46" w14:textId="77777777" w:rsidTr="00037C01">
        <w:trPr>
          <w:trHeight w:val="268"/>
        </w:trPr>
        <w:tc>
          <w:tcPr>
            <w:tcW w:w="5722" w:type="dxa"/>
          </w:tcPr>
          <w:p w14:paraId="4CCD6F02" w14:textId="77777777" w:rsidR="00433B18" w:rsidRPr="00037C01" w:rsidRDefault="00433B18" w:rsidP="00433B18">
            <w:pPr>
              <w:jc w:val="both"/>
              <w:rPr>
                <w:rFonts w:ascii="Arial" w:hAnsi="Arial" w:cs="Arial"/>
                <w:sz w:val="18"/>
              </w:rPr>
            </w:pPr>
            <w:r w:rsidRPr="00037C01">
              <w:rPr>
                <w:rFonts w:ascii="Arial" w:hAnsi="Arial" w:cs="Arial"/>
                <w:sz w:val="18"/>
              </w:rPr>
              <w:t>Al sector financiero</w:t>
            </w:r>
          </w:p>
        </w:tc>
        <w:tc>
          <w:tcPr>
            <w:tcW w:w="1498" w:type="dxa"/>
          </w:tcPr>
          <w:p w14:paraId="002882C9" w14:textId="2D317E9C" w:rsidR="00433B18" w:rsidRPr="00037C01" w:rsidRDefault="00752C80" w:rsidP="00433B18">
            <w:pPr>
              <w:jc w:val="right"/>
              <w:rPr>
                <w:rFonts w:ascii="Arial" w:hAnsi="Arial" w:cs="Arial"/>
                <w:sz w:val="18"/>
              </w:rPr>
            </w:pPr>
            <w:r>
              <w:rPr>
                <w:rFonts w:ascii="Arial" w:hAnsi="Arial" w:cs="Arial"/>
                <w:sz w:val="18"/>
              </w:rPr>
              <w:t>126.444</w:t>
            </w:r>
          </w:p>
        </w:tc>
        <w:tc>
          <w:tcPr>
            <w:tcW w:w="1362" w:type="dxa"/>
          </w:tcPr>
          <w:p w14:paraId="2D2E1171" w14:textId="5050F28D" w:rsidR="00433B18" w:rsidRPr="00037C01" w:rsidRDefault="00433B18" w:rsidP="00433B18">
            <w:pPr>
              <w:jc w:val="right"/>
              <w:rPr>
                <w:rFonts w:ascii="Arial" w:hAnsi="Arial" w:cs="Arial"/>
                <w:sz w:val="18"/>
              </w:rPr>
            </w:pPr>
            <w:r w:rsidRPr="00037C01">
              <w:rPr>
                <w:rFonts w:ascii="Arial" w:hAnsi="Arial" w:cs="Arial"/>
                <w:sz w:val="18"/>
              </w:rPr>
              <w:t>189.795</w:t>
            </w:r>
          </w:p>
        </w:tc>
      </w:tr>
      <w:tr w:rsidR="00433B18" w:rsidRPr="00AE0907" w14:paraId="63163155" w14:textId="77777777" w:rsidTr="00037C01">
        <w:trPr>
          <w:trHeight w:val="268"/>
        </w:trPr>
        <w:tc>
          <w:tcPr>
            <w:tcW w:w="5722" w:type="dxa"/>
          </w:tcPr>
          <w:p w14:paraId="0A1E7AC3" w14:textId="77777777" w:rsidR="00433B18" w:rsidRPr="00037C01" w:rsidRDefault="00433B18" w:rsidP="00433B18">
            <w:pPr>
              <w:jc w:val="both"/>
              <w:rPr>
                <w:rFonts w:ascii="Arial" w:hAnsi="Arial" w:cs="Arial"/>
                <w:sz w:val="18"/>
              </w:rPr>
            </w:pPr>
            <w:r w:rsidRPr="00037C01">
              <w:rPr>
                <w:rFonts w:ascii="Arial" w:hAnsi="Arial" w:cs="Arial"/>
                <w:sz w:val="18"/>
              </w:rPr>
              <w:t>Adelantos</w:t>
            </w:r>
          </w:p>
        </w:tc>
        <w:tc>
          <w:tcPr>
            <w:tcW w:w="1498" w:type="dxa"/>
          </w:tcPr>
          <w:p w14:paraId="4E5846A2" w14:textId="54D290A7" w:rsidR="00433B18" w:rsidRPr="00037C01" w:rsidRDefault="00752C80" w:rsidP="00433B18">
            <w:pPr>
              <w:jc w:val="right"/>
              <w:rPr>
                <w:rFonts w:ascii="Arial" w:hAnsi="Arial" w:cs="Arial"/>
                <w:sz w:val="18"/>
              </w:rPr>
            </w:pPr>
            <w:r>
              <w:rPr>
                <w:rFonts w:ascii="Arial" w:hAnsi="Arial" w:cs="Arial"/>
                <w:sz w:val="18"/>
              </w:rPr>
              <w:t>3.789.259</w:t>
            </w:r>
          </w:p>
        </w:tc>
        <w:tc>
          <w:tcPr>
            <w:tcW w:w="1362" w:type="dxa"/>
          </w:tcPr>
          <w:p w14:paraId="2B9A8CBE" w14:textId="626E4225" w:rsidR="00433B18" w:rsidRPr="00037C01" w:rsidRDefault="00433B18" w:rsidP="00433B18">
            <w:pPr>
              <w:jc w:val="right"/>
              <w:rPr>
                <w:rFonts w:ascii="Arial" w:hAnsi="Arial" w:cs="Arial"/>
                <w:sz w:val="18"/>
              </w:rPr>
            </w:pPr>
            <w:r w:rsidRPr="00037C01">
              <w:rPr>
                <w:rFonts w:ascii="Arial" w:hAnsi="Arial" w:cs="Arial"/>
                <w:sz w:val="18"/>
              </w:rPr>
              <w:t>2.796.104</w:t>
            </w:r>
          </w:p>
        </w:tc>
      </w:tr>
      <w:tr w:rsidR="00433B18" w:rsidRPr="00AE0907" w14:paraId="4F273F4D" w14:textId="77777777" w:rsidTr="00037C01">
        <w:trPr>
          <w:trHeight w:val="268"/>
        </w:trPr>
        <w:tc>
          <w:tcPr>
            <w:tcW w:w="5722" w:type="dxa"/>
          </w:tcPr>
          <w:p w14:paraId="656F81B0" w14:textId="77777777" w:rsidR="00433B18" w:rsidRPr="00037C01" w:rsidRDefault="00433B18" w:rsidP="00433B18">
            <w:pPr>
              <w:jc w:val="both"/>
              <w:rPr>
                <w:rFonts w:ascii="Arial" w:hAnsi="Arial" w:cs="Arial"/>
                <w:sz w:val="18"/>
              </w:rPr>
            </w:pPr>
            <w:r w:rsidRPr="00037C01">
              <w:rPr>
                <w:rFonts w:ascii="Arial" w:hAnsi="Arial" w:cs="Arial"/>
                <w:sz w:val="18"/>
              </w:rPr>
              <w:t>Documentos</w:t>
            </w:r>
          </w:p>
        </w:tc>
        <w:tc>
          <w:tcPr>
            <w:tcW w:w="1498" w:type="dxa"/>
          </w:tcPr>
          <w:p w14:paraId="01CF27CA" w14:textId="3D72309C" w:rsidR="00433B18" w:rsidRPr="00037C01" w:rsidRDefault="00752C80" w:rsidP="00433B18">
            <w:pPr>
              <w:jc w:val="right"/>
              <w:rPr>
                <w:rFonts w:ascii="Arial" w:hAnsi="Arial" w:cs="Arial"/>
                <w:sz w:val="18"/>
              </w:rPr>
            </w:pPr>
            <w:r>
              <w:rPr>
                <w:rFonts w:ascii="Arial" w:hAnsi="Arial" w:cs="Arial"/>
                <w:sz w:val="18"/>
              </w:rPr>
              <w:t>8.850.013</w:t>
            </w:r>
          </w:p>
        </w:tc>
        <w:tc>
          <w:tcPr>
            <w:tcW w:w="1362" w:type="dxa"/>
          </w:tcPr>
          <w:p w14:paraId="0336249D" w14:textId="1D3A8EDA" w:rsidR="00433B18" w:rsidRPr="00037C01" w:rsidRDefault="00433B18" w:rsidP="00433B18">
            <w:pPr>
              <w:jc w:val="right"/>
              <w:rPr>
                <w:rFonts w:ascii="Arial" w:hAnsi="Arial" w:cs="Arial"/>
                <w:sz w:val="18"/>
              </w:rPr>
            </w:pPr>
            <w:r w:rsidRPr="00037C01">
              <w:rPr>
                <w:rFonts w:ascii="Arial" w:hAnsi="Arial" w:cs="Arial"/>
                <w:sz w:val="18"/>
              </w:rPr>
              <w:t>5.902.329</w:t>
            </w:r>
          </w:p>
        </w:tc>
      </w:tr>
      <w:tr w:rsidR="00433B18" w:rsidRPr="00AE0907" w14:paraId="1FF98A20" w14:textId="77777777" w:rsidTr="00037C01">
        <w:trPr>
          <w:trHeight w:val="268"/>
        </w:trPr>
        <w:tc>
          <w:tcPr>
            <w:tcW w:w="5722" w:type="dxa"/>
          </w:tcPr>
          <w:p w14:paraId="2FB45A84" w14:textId="77777777" w:rsidR="00433B18" w:rsidRPr="00037C01" w:rsidRDefault="00433B18" w:rsidP="00433B18">
            <w:pPr>
              <w:jc w:val="both"/>
              <w:rPr>
                <w:rFonts w:ascii="Arial" w:hAnsi="Arial" w:cs="Arial"/>
                <w:sz w:val="18"/>
              </w:rPr>
            </w:pPr>
            <w:r w:rsidRPr="00037C01">
              <w:rPr>
                <w:rFonts w:ascii="Arial" w:hAnsi="Arial" w:cs="Arial"/>
                <w:sz w:val="18"/>
              </w:rPr>
              <w:t>Hipotecarios</w:t>
            </w:r>
          </w:p>
        </w:tc>
        <w:tc>
          <w:tcPr>
            <w:tcW w:w="1498" w:type="dxa"/>
          </w:tcPr>
          <w:p w14:paraId="35013B37" w14:textId="6B17462B" w:rsidR="00433B18" w:rsidRPr="00037C01" w:rsidRDefault="00752C80" w:rsidP="00433B18">
            <w:pPr>
              <w:jc w:val="right"/>
              <w:rPr>
                <w:rFonts w:ascii="Arial" w:hAnsi="Arial" w:cs="Arial"/>
                <w:sz w:val="18"/>
              </w:rPr>
            </w:pPr>
            <w:r>
              <w:rPr>
                <w:rFonts w:ascii="Arial" w:hAnsi="Arial" w:cs="Arial"/>
                <w:sz w:val="18"/>
              </w:rPr>
              <w:t>391.235</w:t>
            </w:r>
          </w:p>
        </w:tc>
        <w:tc>
          <w:tcPr>
            <w:tcW w:w="1362" w:type="dxa"/>
          </w:tcPr>
          <w:p w14:paraId="0B498ED7" w14:textId="572B933B" w:rsidR="00433B18" w:rsidRPr="00037C01" w:rsidRDefault="00433B18" w:rsidP="00433B18">
            <w:pPr>
              <w:jc w:val="right"/>
              <w:rPr>
                <w:rFonts w:ascii="Arial" w:hAnsi="Arial" w:cs="Arial"/>
                <w:sz w:val="18"/>
              </w:rPr>
            </w:pPr>
            <w:r w:rsidRPr="00037C01">
              <w:rPr>
                <w:rFonts w:ascii="Arial" w:hAnsi="Arial" w:cs="Arial"/>
                <w:sz w:val="18"/>
              </w:rPr>
              <w:t>205.716</w:t>
            </w:r>
          </w:p>
        </w:tc>
      </w:tr>
      <w:tr w:rsidR="00433B18" w:rsidRPr="00AE0907" w14:paraId="06E9F469" w14:textId="77777777" w:rsidTr="00037C01">
        <w:trPr>
          <w:trHeight w:val="268"/>
        </w:trPr>
        <w:tc>
          <w:tcPr>
            <w:tcW w:w="5722" w:type="dxa"/>
          </w:tcPr>
          <w:p w14:paraId="4334B40F" w14:textId="77777777" w:rsidR="00433B18" w:rsidRPr="00037C01" w:rsidRDefault="00433B18" w:rsidP="00433B18">
            <w:pPr>
              <w:jc w:val="both"/>
              <w:rPr>
                <w:rFonts w:ascii="Arial" w:hAnsi="Arial" w:cs="Arial"/>
                <w:sz w:val="18"/>
              </w:rPr>
            </w:pPr>
            <w:r w:rsidRPr="00037C01">
              <w:rPr>
                <w:rFonts w:ascii="Arial" w:hAnsi="Arial" w:cs="Arial"/>
                <w:sz w:val="18"/>
              </w:rPr>
              <w:t>Prendarios</w:t>
            </w:r>
          </w:p>
        </w:tc>
        <w:tc>
          <w:tcPr>
            <w:tcW w:w="1498" w:type="dxa"/>
          </w:tcPr>
          <w:p w14:paraId="57EC7366" w14:textId="0C505AFA" w:rsidR="00433B18" w:rsidRPr="00037C01" w:rsidRDefault="00752C80" w:rsidP="00433B18">
            <w:pPr>
              <w:jc w:val="right"/>
              <w:rPr>
                <w:rFonts w:ascii="Arial" w:hAnsi="Arial" w:cs="Arial"/>
                <w:sz w:val="18"/>
              </w:rPr>
            </w:pPr>
            <w:r>
              <w:rPr>
                <w:rFonts w:ascii="Arial" w:hAnsi="Arial" w:cs="Arial"/>
                <w:sz w:val="18"/>
              </w:rPr>
              <w:t>413.675</w:t>
            </w:r>
          </w:p>
        </w:tc>
        <w:tc>
          <w:tcPr>
            <w:tcW w:w="1362" w:type="dxa"/>
          </w:tcPr>
          <w:p w14:paraId="2513E2A1" w14:textId="774C00F3" w:rsidR="00433B18" w:rsidRPr="00037C01" w:rsidRDefault="00433B18" w:rsidP="00433B18">
            <w:pPr>
              <w:jc w:val="right"/>
              <w:rPr>
                <w:rFonts w:ascii="Arial" w:hAnsi="Arial" w:cs="Arial"/>
                <w:sz w:val="18"/>
              </w:rPr>
            </w:pPr>
            <w:r w:rsidRPr="00037C01">
              <w:rPr>
                <w:rFonts w:ascii="Arial" w:hAnsi="Arial" w:cs="Arial"/>
                <w:sz w:val="18"/>
              </w:rPr>
              <w:t>176.136</w:t>
            </w:r>
          </w:p>
        </w:tc>
      </w:tr>
      <w:tr w:rsidR="00433B18" w:rsidRPr="00AE0907" w14:paraId="00765017" w14:textId="77777777" w:rsidTr="00037C01">
        <w:trPr>
          <w:trHeight w:val="268"/>
        </w:trPr>
        <w:tc>
          <w:tcPr>
            <w:tcW w:w="5722" w:type="dxa"/>
          </w:tcPr>
          <w:p w14:paraId="58522347" w14:textId="77777777" w:rsidR="00433B18" w:rsidRPr="00037C01" w:rsidRDefault="00433B18" w:rsidP="00433B18">
            <w:pPr>
              <w:jc w:val="both"/>
              <w:rPr>
                <w:rFonts w:ascii="Arial" w:hAnsi="Arial" w:cs="Arial"/>
                <w:sz w:val="18"/>
              </w:rPr>
            </w:pPr>
            <w:r w:rsidRPr="00037C01">
              <w:rPr>
                <w:rFonts w:ascii="Arial" w:hAnsi="Arial" w:cs="Arial"/>
                <w:sz w:val="18"/>
              </w:rPr>
              <w:t>Personales</w:t>
            </w:r>
          </w:p>
        </w:tc>
        <w:tc>
          <w:tcPr>
            <w:tcW w:w="1498" w:type="dxa"/>
          </w:tcPr>
          <w:p w14:paraId="62205167" w14:textId="5813E6F9" w:rsidR="00433B18" w:rsidRPr="00037C01" w:rsidRDefault="00752C80" w:rsidP="00433B18">
            <w:pPr>
              <w:jc w:val="right"/>
              <w:rPr>
                <w:rFonts w:ascii="Arial" w:hAnsi="Arial" w:cs="Arial"/>
                <w:sz w:val="18"/>
              </w:rPr>
            </w:pPr>
            <w:r>
              <w:rPr>
                <w:rFonts w:ascii="Arial" w:hAnsi="Arial" w:cs="Arial"/>
                <w:sz w:val="18"/>
              </w:rPr>
              <w:t>8.358.726</w:t>
            </w:r>
          </w:p>
        </w:tc>
        <w:tc>
          <w:tcPr>
            <w:tcW w:w="1362" w:type="dxa"/>
          </w:tcPr>
          <w:p w14:paraId="0CDFCADE" w14:textId="1472D0C9" w:rsidR="00433B18" w:rsidRPr="00037C01" w:rsidRDefault="00433B18" w:rsidP="00433B18">
            <w:pPr>
              <w:jc w:val="right"/>
              <w:rPr>
                <w:rFonts w:ascii="Arial" w:hAnsi="Arial" w:cs="Arial"/>
                <w:sz w:val="18"/>
              </w:rPr>
            </w:pPr>
            <w:r w:rsidRPr="00037C01">
              <w:rPr>
                <w:rFonts w:ascii="Arial" w:hAnsi="Arial" w:cs="Arial"/>
                <w:sz w:val="18"/>
              </w:rPr>
              <w:t>5.919.520</w:t>
            </w:r>
          </w:p>
        </w:tc>
      </w:tr>
      <w:tr w:rsidR="00433B18" w:rsidRPr="00AE0907" w14:paraId="7CBDD396" w14:textId="77777777" w:rsidTr="00037C01">
        <w:trPr>
          <w:trHeight w:val="268"/>
        </w:trPr>
        <w:tc>
          <w:tcPr>
            <w:tcW w:w="5722" w:type="dxa"/>
          </w:tcPr>
          <w:p w14:paraId="55EB20A0" w14:textId="77777777" w:rsidR="00433B18" w:rsidRPr="00037C01" w:rsidRDefault="00433B18" w:rsidP="00433B18">
            <w:pPr>
              <w:jc w:val="both"/>
              <w:rPr>
                <w:rFonts w:ascii="Arial" w:hAnsi="Arial" w:cs="Arial"/>
                <w:sz w:val="18"/>
              </w:rPr>
            </w:pPr>
            <w:r w:rsidRPr="00037C01">
              <w:rPr>
                <w:rFonts w:ascii="Arial" w:hAnsi="Arial" w:cs="Arial"/>
                <w:sz w:val="18"/>
              </w:rPr>
              <w:t>Tarjetas de crédito</w:t>
            </w:r>
          </w:p>
        </w:tc>
        <w:tc>
          <w:tcPr>
            <w:tcW w:w="1498" w:type="dxa"/>
          </w:tcPr>
          <w:p w14:paraId="384F82A7" w14:textId="32481F62" w:rsidR="00433B18" w:rsidRPr="00037C01" w:rsidRDefault="00752C80" w:rsidP="00433B18">
            <w:pPr>
              <w:jc w:val="right"/>
              <w:rPr>
                <w:rFonts w:ascii="Arial" w:hAnsi="Arial" w:cs="Arial"/>
                <w:sz w:val="18"/>
              </w:rPr>
            </w:pPr>
            <w:r>
              <w:rPr>
                <w:rFonts w:ascii="Arial" w:hAnsi="Arial" w:cs="Arial"/>
                <w:sz w:val="18"/>
              </w:rPr>
              <w:t>3.892.710</w:t>
            </w:r>
          </w:p>
        </w:tc>
        <w:tc>
          <w:tcPr>
            <w:tcW w:w="1362" w:type="dxa"/>
          </w:tcPr>
          <w:p w14:paraId="5D540E84" w14:textId="59BCEF35" w:rsidR="00433B18" w:rsidRPr="00037C01" w:rsidRDefault="00433B18" w:rsidP="00433B18">
            <w:pPr>
              <w:jc w:val="right"/>
              <w:rPr>
                <w:rFonts w:ascii="Arial" w:hAnsi="Arial" w:cs="Arial"/>
                <w:sz w:val="18"/>
              </w:rPr>
            </w:pPr>
            <w:r w:rsidRPr="00037C01">
              <w:rPr>
                <w:rFonts w:ascii="Arial" w:hAnsi="Arial" w:cs="Arial"/>
                <w:sz w:val="18"/>
              </w:rPr>
              <w:t>2.830.995</w:t>
            </w:r>
          </w:p>
        </w:tc>
      </w:tr>
      <w:tr w:rsidR="00433B18" w:rsidRPr="00AE0907" w14:paraId="3C689038" w14:textId="77777777" w:rsidTr="00037C01">
        <w:trPr>
          <w:trHeight w:val="268"/>
        </w:trPr>
        <w:tc>
          <w:tcPr>
            <w:tcW w:w="5722" w:type="dxa"/>
          </w:tcPr>
          <w:p w14:paraId="196B2871" w14:textId="77777777" w:rsidR="00433B18" w:rsidRPr="00037C01" w:rsidRDefault="00433B18" w:rsidP="00433B18">
            <w:pPr>
              <w:jc w:val="both"/>
              <w:rPr>
                <w:rFonts w:ascii="Arial" w:hAnsi="Arial" w:cs="Arial"/>
                <w:sz w:val="18"/>
              </w:rPr>
            </w:pPr>
            <w:r w:rsidRPr="00037C01">
              <w:rPr>
                <w:rFonts w:ascii="Arial" w:hAnsi="Arial" w:cs="Arial"/>
                <w:sz w:val="18"/>
              </w:rPr>
              <w:t>Arrendamientos Financieros</w:t>
            </w:r>
          </w:p>
        </w:tc>
        <w:tc>
          <w:tcPr>
            <w:tcW w:w="1498" w:type="dxa"/>
          </w:tcPr>
          <w:p w14:paraId="3EFB2FC6" w14:textId="34B1710C" w:rsidR="00433B18" w:rsidRPr="00037C01" w:rsidRDefault="00752C80" w:rsidP="00433B18">
            <w:pPr>
              <w:jc w:val="right"/>
              <w:rPr>
                <w:rFonts w:ascii="Arial" w:hAnsi="Arial" w:cs="Arial"/>
                <w:sz w:val="18"/>
              </w:rPr>
            </w:pPr>
            <w:r>
              <w:rPr>
                <w:rFonts w:ascii="Arial" w:hAnsi="Arial" w:cs="Arial"/>
                <w:sz w:val="18"/>
              </w:rPr>
              <w:t>878.057</w:t>
            </w:r>
          </w:p>
        </w:tc>
        <w:tc>
          <w:tcPr>
            <w:tcW w:w="1362" w:type="dxa"/>
          </w:tcPr>
          <w:p w14:paraId="456485A9" w14:textId="4DEC0977" w:rsidR="00433B18" w:rsidRPr="00037C01" w:rsidRDefault="00433B18" w:rsidP="00433B18">
            <w:pPr>
              <w:jc w:val="right"/>
              <w:rPr>
                <w:rFonts w:ascii="Arial" w:hAnsi="Arial" w:cs="Arial"/>
                <w:sz w:val="18"/>
              </w:rPr>
            </w:pPr>
            <w:r w:rsidRPr="00037C01">
              <w:rPr>
                <w:rFonts w:ascii="Arial" w:hAnsi="Arial" w:cs="Arial"/>
                <w:sz w:val="18"/>
              </w:rPr>
              <w:t>704.274</w:t>
            </w:r>
          </w:p>
        </w:tc>
      </w:tr>
      <w:tr w:rsidR="00433B18" w:rsidRPr="00AE0907" w14:paraId="38B76A3E" w14:textId="77777777" w:rsidTr="00037C01">
        <w:trPr>
          <w:trHeight w:val="268"/>
        </w:trPr>
        <w:tc>
          <w:tcPr>
            <w:tcW w:w="5722" w:type="dxa"/>
          </w:tcPr>
          <w:p w14:paraId="1271766F" w14:textId="77777777" w:rsidR="00433B18" w:rsidRPr="00037C01" w:rsidRDefault="00433B18" w:rsidP="00433B18">
            <w:pPr>
              <w:jc w:val="both"/>
              <w:rPr>
                <w:rFonts w:ascii="Arial" w:hAnsi="Arial" w:cs="Arial"/>
                <w:sz w:val="18"/>
              </w:rPr>
            </w:pPr>
            <w:r w:rsidRPr="00037C01">
              <w:rPr>
                <w:rFonts w:ascii="Arial" w:hAnsi="Arial" w:cs="Arial"/>
                <w:sz w:val="18"/>
              </w:rPr>
              <w:t>Otros</w:t>
            </w:r>
          </w:p>
        </w:tc>
        <w:tc>
          <w:tcPr>
            <w:tcW w:w="1498" w:type="dxa"/>
          </w:tcPr>
          <w:p w14:paraId="25D93BBF" w14:textId="001F62EB" w:rsidR="00433B18" w:rsidRPr="00037C01" w:rsidRDefault="00752C80" w:rsidP="00433B18">
            <w:pPr>
              <w:jc w:val="right"/>
              <w:rPr>
                <w:rFonts w:ascii="Arial" w:hAnsi="Arial" w:cs="Arial"/>
                <w:sz w:val="18"/>
              </w:rPr>
            </w:pPr>
            <w:r>
              <w:rPr>
                <w:rFonts w:ascii="Arial" w:hAnsi="Arial" w:cs="Arial"/>
                <w:sz w:val="18"/>
              </w:rPr>
              <w:t>7.336.247</w:t>
            </w:r>
          </w:p>
        </w:tc>
        <w:tc>
          <w:tcPr>
            <w:tcW w:w="1362" w:type="dxa"/>
          </w:tcPr>
          <w:p w14:paraId="19D5C370" w14:textId="292A5F1A" w:rsidR="00433B18" w:rsidRPr="00037C01" w:rsidRDefault="00433B18" w:rsidP="00433B18">
            <w:pPr>
              <w:jc w:val="right"/>
              <w:rPr>
                <w:rFonts w:ascii="Arial" w:hAnsi="Arial" w:cs="Arial"/>
                <w:sz w:val="18"/>
              </w:rPr>
            </w:pPr>
            <w:r w:rsidRPr="00037C01">
              <w:rPr>
                <w:rFonts w:ascii="Arial" w:hAnsi="Arial" w:cs="Arial"/>
                <w:sz w:val="18"/>
              </w:rPr>
              <w:t>5.337.723</w:t>
            </w:r>
          </w:p>
        </w:tc>
      </w:tr>
      <w:tr w:rsidR="00433B18" w:rsidRPr="00AE0907" w14:paraId="143B1783" w14:textId="77777777" w:rsidTr="00037C01">
        <w:trPr>
          <w:trHeight w:val="268"/>
        </w:trPr>
        <w:tc>
          <w:tcPr>
            <w:tcW w:w="5722" w:type="dxa"/>
          </w:tcPr>
          <w:p w14:paraId="6F739C18" w14:textId="77777777" w:rsidR="00433B18" w:rsidRPr="00037C01" w:rsidRDefault="00433B18" w:rsidP="00433B18">
            <w:pPr>
              <w:jc w:val="both"/>
              <w:rPr>
                <w:rFonts w:ascii="Arial" w:hAnsi="Arial" w:cs="Arial"/>
                <w:sz w:val="18"/>
              </w:rPr>
            </w:pPr>
            <w:r w:rsidRPr="00037C01">
              <w:rPr>
                <w:rFonts w:ascii="Arial" w:hAnsi="Arial" w:cs="Arial"/>
                <w:sz w:val="18"/>
              </w:rPr>
              <w:t>Por operaciones de pase con otras entidades  financieras</w:t>
            </w:r>
          </w:p>
        </w:tc>
        <w:tc>
          <w:tcPr>
            <w:tcW w:w="1498" w:type="dxa"/>
          </w:tcPr>
          <w:p w14:paraId="4138412D" w14:textId="20689E76" w:rsidR="00433B18" w:rsidRPr="00037C01" w:rsidRDefault="00752C80" w:rsidP="00433B18">
            <w:pPr>
              <w:jc w:val="right"/>
              <w:rPr>
                <w:rFonts w:ascii="Arial" w:hAnsi="Arial" w:cs="Arial"/>
                <w:sz w:val="18"/>
              </w:rPr>
            </w:pPr>
            <w:r>
              <w:rPr>
                <w:rFonts w:ascii="Arial" w:hAnsi="Arial" w:cs="Arial"/>
                <w:sz w:val="18"/>
              </w:rPr>
              <w:t>497.025</w:t>
            </w:r>
          </w:p>
        </w:tc>
        <w:tc>
          <w:tcPr>
            <w:tcW w:w="1362" w:type="dxa"/>
          </w:tcPr>
          <w:p w14:paraId="262929F3" w14:textId="67F47BEE" w:rsidR="00433B18" w:rsidRPr="00037C01" w:rsidRDefault="00433B18" w:rsidP="00433B18">
            <w:pPr>
              <w:jc w:val="right"/>
              <w:rPr>
                <w:rFonts w:ascii="Arial" w:hAnsi="Arial" w:cs="Arial"/>
                <w:sz w:val="18"/>
              </w:rPr>
            </w:pPr>
            <w:r w:rsidRPr="00037C01">
              <w:rPr>
                <w:rFonts w:ascii="Arial" w:hAnsi="Arial" w:cs="Arial"/>
                <w:sz w:val="18"/>
              </w:rPr>
              <w:t>40.407</w:t>
            </w:r>
          </w:p>
        </w:tc>
      </w:tr>
      <w:tr w:rsidR="00433B18" w:rsidRPr="00433B18" w14:paraId="5F463E8D" w14:textId="77777777" w:rsidTr="00037C01">
        <w:trPr>
          <w:trHeight w:val="268"/>
        </w:trPr>
        <w:tc>
          <w:tcPr>
            <w:tcW w:w="5722" w:type="dxa"/>
            <w:shd w:val="clear" w:color="auto" w:fill="auto"/>
          </w:tcPr>
          <w:p w14:paraId="3A01B3F6" w14:textId="77777777" w:rsidR="00433B18" w:rsidRPr="00037C01" w:rsidRDefault="00433B18" w:rsidP="00433B18">
            <w:pPr>
              <w:jc w:val="both"/>
              <w:rPr>
                <w:rFonts w:ascii="Arial" w:hAnsi="Arial" w:cs="Arial"/>
                <w:b/>
                <w:sz w:val="18"/>
              </w:rPr>
            </w:pPr>
            <w:r w:rsidRPr="00037C01">
              <w:rPr>
                <w:rFonts w:ascii="Arial" w:hAnsi="Arial" w:cs="Arial"/>
                <w:b/>
                <w:sz w:val="18"/>
              </w:rPr>
              <w:t>Total</w:t>
            </w:r>
          </w:p>
        </w:tc>
        <w:tc>
          <w:tcPr>
            <w:tcW w:w="1498" w:type="dxa"/>
          </w:tcPr>
          <w:p w14:paraId="6E61C71F" w14:textId="16A7ABD2" w:rsidR="00433B18" w:rsidRPr="00037C01" w:rsidRDefault="00752C80" w:rsidP="00433B18">
            <w:pPr>
              <w:jc w:val="right"/>
              <w:rPr>
                <w:rFonts w:ascii="Arial" w:hAnsi="Arial" w:cs="Arial"/>
                <w:b/>
                <w:sz w:val="18"/>
              </w:rPr>
            </w:pPr>
            <w:r>
              <w:rPr>
                <w:rFonts w:ascii="Arial" w:hAnsi="Arial" w:cs="Arial"/>
                <w:b/>
                <w:sz w:val="18"/>
              </w:rPr>
              <w:t>36.535.746</w:t>
            </w:r>
          </w:p>
        </w:tc>
        <w:tc>
          <w:tcPr>
            <w:tcW w:w="1362" w:type="dxa"/>
            <w:shd w:val="clear" w:color="auto" w:fill="auto"/>
          </w:tcPr>
          <w:p w14:paraId="3820D989" w14:textId="16862F6F" w:rsidR="00433B18" w:rsidRPr="00037C01" w:rsidRDefault="00433B18" w:rsidP="00433B18">
            <w:pPr>
              <w:jc w:val="right"/>
              <w:rPr>
                <w:rFonts w:ascii="Arial" w:hAnsi="Arial" w:cs="Arial"/>
                <w:b/>
                <w:sz w:val="18"/>
              </w:rPr>
            </w:pPr>
            <w:r w:rsidRPr="00037C01">
              <w:rPr>
                <w:rFonts w:ascii="Arial" w:hAnsi="Arial" w:cs="Arial"/>
                <w:b/>
                <w:sz w:val="18"/>
              </w:rPr>
              <w:t>24.784.983</w:t>
            </w:r>
          </w:p>
        </w:tc>
      </w:tr>
    </w:tbl>
    <w:p w14:paraId="24DA82A3" w14:textId="77777777" w:rsidR="00AE0907" w:rsidRPr="00AE0907" w:rsidRDefault="00AE0907" w:rsidP="00AE0907">
      <w:pPr>
        <w:jc w:val="both"/>
        <w:rPr>
          <w:rFonts w:ascii="Arial" w:hAnsi="Arial" w:cs="Arial"/>
          <w:sz w:val="20"/>
        </w:rPr>
      </w:pPr>
    </w:p>
    <w:p w14:paraId="6DD271C4" w14:textId="4017ADDC" w:rsidR="00AE0907" w:rsidRPr="00AE0907" w:rsidRDefault="000E0573" w:rsidP="00AE0907">
      <w:pPr>
        <w:jc w:val="both"/>
        <w:rPr>
          <w:rFonts w:ascii="Arial" w:hAnsi="Arial" w:cs="Arial"/>
          <w:sz w:val="20"/>
        </w:rPr>
      </w:pPr>
      <w:r>
        <w:rPr>
          <w:rFonts w:ascii="Arial" w:hAnsi="Arial" w:cs="Arial"/>
          <w:sz w:val="20"/>
        </w:rPr>
        <w:t>6</w:t>
      </w:r>
      <w:r w:rsidR="00AE0907" w:rsidRPr="00AE0907">
        <w:rPr>
          <w:rFonts w:ascii="Arial" w:hAnsi="Arial" w:cs="Arial"/>
          <w:sz w:val="20"/>
        </w:rPr>
        <w:t>.17 Ingresos por comisiones</w:t>
      </w:r>
    </w:p>
    <w:p w14:paraId="3D636224" w14:textId="77777777" w:rsidR="00AE0907" w:rsidRPr="00AE0907" w:rsidRDefault="00AE0907" w:rsidP="00AE0907">
      <w:pPr>
        <w:jc w:val="both"/>
        <w:rPr>
          <w:rFonts w:ascii="Arial" w:hAnsi="Arial" w:cs="Arial"/>
          <w:sz w:val="20"/>
        </w:rPr>
      </w:pPr>
    </w:p>
    <w:p w14:paraId="28B8D553" w14:textId="630C04F2" w:rsidR="00AE0907" w:rsidRPr="00AE0907" w:rsidRDefault="00AE0907" w:rsidP="00AE0907">
      <w:pPr>
        <w:jc w:val="both"/>
        <w:rPr>
          <w:rFonts w:ascii="Arial" w:hAnsi="Arial" w:cs="Arial"/>
          <w:sz w:val="20"/>
        </w:rPr>
      </w:pPr>
      <w:r w:rsidRPr="00AE0907">
        <w:rPr>
          <w:rFonts w:ascii="Arial" w:eastAsiaTheme="minorHAnsi" w:hAnsi="Arial" w:cs="Arial"/>
          <w:sz w:val="20"/>
        </w:rPr>
        <w:t>Se detallan a continuación los principales componentes de los ingresos por comisiones por los ejercicios económicos finalizados el 31 de diciembre de 201</w:t>
      </w:r>
      <w:r w:rsidR="000E0573">
        <w:rPr>
          <w:rFonts w:ascii="Arial" w:eastAsiaTheme="minorHAnsi" w:hAnsi="Arial" w:cs="Arial"/>
          <w:sz w:val="20"/>
        </w:rPr>
        <w:t>9</w:t>
      </w:r>
      <w:r w:rsidRPr="00AE0907">
        <w:rPr>
          <w:rFonts w:ascii="Arial" w:eastAsiaTheme="minorHAnsi" w:hAnsi="Arial" w:cs="Arial"/>
          <w:sz w:val="20"/>
        </w:rPr>
        <w:t xml:space="preserve"> y 201</w:t>
      </w:r>
      <w:r w:rsidR="000E0573">
        <w:rPr>
          <w:rFonts w:ascii="Arial" w:eastAsiaTheme="minorHAnsi" w:hAnsi="Arial" w:cs="Arial"/>
          <w:sz w:val="20"/>
        </w:rPr>
        <w:t>8</w:t>
      </w:r>
      <w:r w:rsidRPr="00AE0907">
        <w:rPr>
          <w:rFonts w:ascii="Arial" w:eastAsiaTheme="minorHAnsi" w:hAnsi="Arial" w:cs="Arial"/>
          <w:sz w:val="20"/>
        </w:rPr>
        <w:t>:</w:t>
      </w:r>
    </w:p>
    <w:p w14:paraId="55DC8740" w14:textId="77777777" w:rsidR="00AE0907" w:rsidRPr="00AE0907" w:rsidRDefault="00AE0907" w:rsidP="00AE0907">
      <w:pPr>
        <w:jc w:val="both"/>
        <w:rPr>
          <w:rFonts w:ascii="Arial" w:hAnsi="Arial" w:cs="Arial"/>
          <w:sz w:val="20"/>
        </w:rPr>
      </w:pPr>
    </w:p>
    <w:tbl>
      <w:tblPr>
        <w:tblW w:w="8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3"/>
        <w:gridCol w:w="1506"/>
        <w:gridCol w:w="1370"/>
      </w:tblGrid>
      <w:tr w:rsidR="000E0573" w:rsidRPr="00AE0907" w14:paraId="5756CF0E" w14:textId="77777777" w:rsidTr="00037C01">
        <w:trPr>
          <w:trHeight w:val="245"/>
          <w:tblHeader/>
        </w:trPr>
        <w:tc>
          <w:tcPr>
            <w:tcW w:w="5753" w:type="dxa"/>
            <w:shd w:val="clear" w:color="auto" w:fill="auto"/>
          </w:tcPr>
          <w:p w14:paraId="083D81A3" w14:textId="77777777" w:rsidR="000E0573" w:rsidRPr="00037C01" w:rsidRDefault="000E0573" w:rsidP="000E0573">
            <w:pPr>
              <w:jc w:val="both"/>
              <w:rPr>
                <w:rFonts w:ascii="Arial" w:hAnsi="Arial" w:cs="Arial"/>
                <w:sz w:val="18"/>
              </w:rPr>
            </w:pPr>
          </w:p>
        </w:tc>
        <w:tc>
          <w:tcPr>
            <w:tcW w:w="1506" w:type="dxa"/>
          </w:tcPr>
          <w:p w14:paraId="3AA30675" w14:textId="666A022F" w:rsidR="000E0573" w:rsidRPr="00037C01" w:rsidRDefault="000E0573" w:rsidP="000E0573">
            <w:pPr>
              <w:jc w:val="center"/>
              <w:rPr>
                <w:rFonts w:ascii="Arial" w:hAnsi="Arial" w:cs="Arial"/>
                <w:b/>
                <w:sz w:val="18"/>
              </w:rPr>
            </w:pPr>
            <w:r w:rsidRPr="00037C01">
              <w:rPr>
                <w:rFonts w:ascii="Arial" w:hAnsi="Arial" w:cs="Arial"/>
                <w:b/>
                <w:sz w:val="18"/>
              </w:rPr>
              <w:t>31/12/2019</w:t>
            </w:r>
          </w:p>
        </w:tc>
        <w:tc>
          <w:tcPr>
            <w:tcW w:w="1370" w:type="dxa"/>
          </w:tcPr>
          <w:p w14:paraId="4A8D242A" w14:textId="0F7FA031" w:rsidR="000E0573" w:rsidRPr="00037C01" w:rsidRDefault="000E0573" w:rsidP="000E0573">
            <w:pPr>
              <w:jc w:val="center"/>
              <w:rPr>
                <w:rFonts w:ascii="Arial" w:hAnsi="Arial" w:cs="Arial"/>
                <w:b/>
                <w:sz w:val="18"/>
              </w:rPr>
            </w:pPr>
            <w:r w:rsidRPr="00037C01">
              <w:rPr>
                <w:rFonts w:ascii="Arial" w:hAnsi="Arial" w:cs="Arial"/>
                <w:b/>
                <w:sz w:val="18"/>
              </w:rPr>
              <w:t>31/12/2018</w:t>
            </w:r>
          </w:p>
        </w:tc>
      </w:tr>
      <w:tr w:rsidR="000E0573" w:rsidRPr="00AE0907" w14:paraId="6D4E709A" w14:textId="77777777" w:rsidTr="00037C01">
        <w:trPr>
          <w:trHeight w:val="245"/>
        </w:trPr>
        <w:tc>
          <w:tcPr>
            <w:tcW w:w="5753" w:type="dxa"/>
          </w:tcPr>
          <w:p w14:paraId="38521FC8" w14:textId="77777777" w:rsidR="000E0573" w:rsidRPr="00037C01" w:rsidRDefault="000E0573" w:rsidP="000E0573">
            <w:pPr>
              <w:jc w:val="both"/>
              <w:rPr>
                <w:rFonts w:ascii="Arial" w:hAnsi="Arial" w:cs="Arial"/>
                <w:sz w:val="18"/>
              </w:rPr>
            </w:pPr>
            <w:r w:rsidRPr="00037C01">
              <w:rPr>
                <w:rFonts w:ascii="Arial" w:hAnsi="Arial" w:cs="Arial"/>
                <w:sz w:val="18"/>
              </w:rPr>
              <w:t>Comisiones vinculadas con obligaciones</w:t>
            </w:r>
          </w:p>
        </w:tc>
        <w:tc>
          <w:tcPr>
            <w:tcW w:w="1506" w:type="dxa"/>
            <w:vAlign w:val="bottom"/>
          </w:tcPr>
          <w:p w14:paraId="419A1160" w14:textId="2E9D1DF7" w:rsidR="000E0573" w:rsidRPr="00037C01" w:rsidRDefault="00752C80" w:rsidP="000E0573">
            <w:pPr>
              <w:jc w:val="right"/>
              <w:rPr>
                <w:rFonts w:ascii="Arial" w:hAnsi="Arial" w:cs="Arial"/>
                <w:sz w:val="18"/>
              </w:rPr>
            </w:pPr>
            <w:r>
              <w:rPr>
                <w:rFonts w:ascii="Arial" w:hAnsi="Arial" w:cs="Arial"/>
                <w:sz w:val="18"/>
              </w:rPr>
              <w:t>2.839.517</w:t>
            </w:r>
          </w:p>
        </w:tc>
        <w:tc>
          <w:tcPr>
            <w:tcW w:w="1370" w:type="dxa"/>
            <w:vAlign w:val="bottom"/>
          </w:tcPr>
          <w:p w14:paraId="63DC43BD" w14:textId="2E3141E8" w:rsidR="000E0573" w:rsidRPr="00037C01" w:rsidRDefault="000E0573" w:rsidP="000E0573">
            <w:pPr>
              <w:jc w:val="right"/>
              <w:rPr>
                <w:rFonts w:ascii="Arial" w:hAnsi="Arial" w:cs="Arial"/>
                <w:sz w:val="18"/>
              </w:rPr>
            </w:pPr>
            <w:r w:rsidRPr="00037C01">
              <w:rPr>
                <w:rFonts w:ascii="Arial" w:hAnsi="Arial" w:cs="Arial"/>
                <w:sz w:val="18"/>
              </w:rPr>
              <w:t>1.962.033</w:t>
            </w:r>
          </w:p>
        </w:tc>
      </w:tr>
      <w:tr w:rsidR="000E0573" w:rsidRPr="00AE0907" w14:paraId="212552EB" w14:textId="77777777" w:rsidTr="00037C01">
        <w:trPr>
          <w:trHeight w:val="245"/>
        </w:trPr>
        <w:tc>
          <w:tcPr>
            <w:tcW w:w="5753" w:type="dxa"/>
          </w:tcPr>
          <w:p w14:paraId="7542A3ED" w14:textId="77777777" w:rsidR="000E0573" w:rsidRPr="00037C01" w:rsidRDefault="000E0573" w:rsidP="000E0573">
            <w:pPr>
              <w:jc w:val="both"/>
              <w:rPr>
                <w:rFonts w:ascii="Arial" w:hAnsi="Arial" w:cs="Arial"/>
                <w:sz w:val="18"/>
              </w:rPr>
            </w:pPr>
            <w:r w:rsidRPr="00037C01">
              <w:rPr>
                <w:rFonts w:ascii="Arial" w:hAnsi="Arial" w:cs="Arial"/>
                <w:sz w:val="18"/>
              </w:rPr>
              <w:t>Comisiones vinculadas con créditos</w:t>
            </w:r>
          </w:p>
        </w:tc>
        <w:tc>
          <w:tcPr>
            <w:tcW w:w="1506" w:type="dxa"/>
            <w:vAlign w:val="bottom"/>
          </w:tcPr>
          <w:p w14:paraId="1897AF2A" w14:textId="7B5A2BB1" w:rsidR="000E0573" w:rsidRPr="00037C01" w:rsidRDefault="00752C80" w:rsidP="000E0573">
            <w:pPr>
              <w:jc w:val="right"/>
              <w:rPr>
                <w:rFonts w:ascii="Arial" w:hAnsi="Arial" w:cs="Arial"/>
                <w:sz w:val="18"/>
              </w:rPr>
            </w:pPr>
            <w:r>
              <w:rPr>
                <w:rFonts w:ascii="Arial" w:hAnsi="Arial" w:cs="Arial"/>
                <w:sz w:val="18"/>
              </w:rPr>
              <w:t>2.714.852</w:t>
            </w:r>
          </w:p>
        </w:tc>
        <w:tc>
          <w:tcPr>
            <w:tcW w:w="1370" w:type="dxa"/>
            <w:vAlign w:val="bottom"/>
          </w:tcPr>
          <w:p w14:paraId="1C40466B" w14:textId="32BA2D69" w:rsidR="000E0573" w:rsidRPr="00037C01" w:rsidRDefault="000E0573" w:rsidP="000E0573">
            <w:pPr>
              <w:jc w:val="right"/>
              <w:rPr>
                <w:rFonts w:ascii="Arial" w:hAnsi="Arial" w:cs="Arial"/>
                <w:sz w:val="18"/>
              </w:rPr>
            </w:pPr>
            <w:r w:rsidRPr="00037C01">
              <w:rPr>
                <w:rFonts w:ascii="Arial" w:hAnsi="Arial" w:cs="Arial"/>
                <w:sz w:val="18"/>
              </w:rPr>
              <w:t>2.149.506</w:t>
            </w:r>
          </w:p>
        </w:tc>
      </w:tr>
      <w:tr w:rsidR="000E0573" w:rsidRPr="00AE0907" w14:paraId="6B188CA6" w14:textId="77777777" w:rsidTr="00037C01">
        <w:trPr>
          <w:trHeight w:val="245"/>
        </w:trPr>
        <w:tc>
          <w:tcPr>
            <w:tcW w:w="5753" w:type="dxa"/>
          </w:tcPr>
          <w:p w14:paraId="2FEAB526" w14:textId="77777777" w:rsidR="000E0573" w:rsidRPr="00037C01" w:rsidRDefault="000E0573" w:rsidP="000E0573">
            <w:pPr>
              <w:jc w:val="both"/>
              <w:rPr>
                <w:rFonts w:ascii="Arial" w:hAnsi="Arial" w:cs="Arial"/>
                <w:sz w:val="18"/>
              </w:rPr>
            </w:pPr>
            <w:r w:rsidRPr="00037C01">
              <w:rPr>
                <w:rFonts w:ascii="Arial" w:hAnsi="Arial" w:cs="Arial"/>
                <w:sz w:val="18"/>
              </w:rPr>
              <w:t>Comisiones vinculadas con compromisos eventuales y garantías financieras</w:t>
            </w:r>
          </w:p>
        </w:tc>
        <w:tc>
          <w:tcPr>
            <w:tcW w:w="1506" w:type="dxa"/>
            <w:vAlign w:val="bottom"/>
          </w:tcPr>
          <w:p w14:paraId="5A3439FC" w14:textId="6BE3411B" w:rsidR="000E0573" w:rsidRPr="00037C01" w:rsidRDefault="00752C80" w:rsidP="000E0573">
            <w:pPr>
              <w:jc w:val="right"/>
              <w:rPr>
                <w:rFonts w:ascii="Arial" w:hAnsi="Arial" w:cs="Arial"/>
                <w:sz w:val="18"/>
              </w:rPr>
            </w:pPr>
            <w:r>
              <w:rPr>
                <w:rFonts w:ascii="Arial" w:hAnsi="Arial" w:cs="Arial"/>
                <w:sz w:val="18"/>
              </w:rPr>
              <w:t>17.194</w:t>
            </w:r>
          </w:p>
        </w:tc>
        <w:tc>
          <w:tcPr>
            <w:tcW w:w="1370" w:type="dxa"/>
            <w:vAlign w:val="bottom"/>
          </w:tcPr>
          <w:p w14:paraId="1768E98C" w14:textId="2B6CDD9A" w:rsidR="000E0573" w:rsidRPr="00037C01" w:rsidRDefault="000E0573" w:rsidP="000E0573">
            <w:pPr>
              <w:jc w:val="right"/>
              <w:rPr>
                <w:rFonts w:ascii="Arial" w:hAnsi="Arial" w:cs="Arial"/>
                <w:sz w:val="18"/>
              </w:rPr>
            </w:pPr>
            <w:r w:rsidRPr="00037C01">
              <w:rPr>
                <w:rFonts w:ascii="Arial" w:hAnsi="Arial" w:cs="Arial"/>
                <w:sz w:val="18"/>
              </w:rPr>
              <w:t>26.172</w:t>
            </w:r>
          </w:p>
        </w:tc>
      </w:tr>
      <w:tr w:rsidR="000E0573" w:rsidRPr="00AE0907" w14:paraId="7E0517C9" w14:textId="77777777" w:rsidTr="00037C01">
        <w:trPr>
          <w:trHeight w:val="245"/>
        </w:trPr>
        <w:tc>
          <w:tcPr>
            <w:tcW w:w="5753" w:type="dxa"/>
          </w:tcPr>
          <w:p w14:paraId="27D8A056" w14:textId="77777777" w:rsidR="000E0573" w:rsidRPr="00037C01" w:rsidRDefault="000E0573" w:rsidP="000E0573">
            <w:pPr>
              <w:jc w:val="both"/>
              <w:rPr>
                <w:rFonts w:ascii="Arial" w:hAnsi="Arial" w:cs="Arial"/>
                <w:sz w:val="18"/>
              </w:rPr>
            </w:pPr>
            <w:r w:rsidRPr="00037C01">
              <w:rPr>
                <w:rFonts w:ascii="Arial" w:hAnsi="Arial" w:cs="Arial"/>
                <w:sz w:val="18"/>
              </w:rPr>
              <w:t>Comisiones vinculadas con valores mobiliarios</w:t>
            </w:r>
          </w:p>
        </w:tc>
        <w:tc>
          <w:tcPr>
            <w:tcW w:w="1506" w:type="dxa"/>
            <w:vAlign w:val="bottom"/>
          </w:tcPr>
          <w:p w14:paraId="3C8BC99A" w14:textId="65E5AF14" w:rsidR="000E0573" w:rsidRPr="00037C01" w:rsidRDefault="00752C80" w:rsidP="000E0573">
            <w:pPr>
              <w:jc w:val="right"/>
              <w:rPr>
                <w:rFonts w:ascii="Arial" w:hAnsi="Arial" w:cs="Arial"/>
                <w:sz w:val="18"/>
              </w:rPr>
            </w:pPr>
            <w:r>
              <w:rPr>
                <w:rFonts w:ascii="Arial" w:hAnsi="Arial" w:cs="Arial"/>
                <w:sz w:val="18"/>
              </w:rPr>
              <w:t>7.992</w:t>
            </w:r>
          </w:p>
        </w:tc>
        <w:tc>
          <w:tcPr>
            <w:tcW w:w="1370" w:type="dxa"/>
            <w:vAlign w:val="bottom"/>
          </w:tcPr>
          <w:p w14:paraId="22B33A3C" w14:textId="0A7E293A" w:rsidR="000E0573" w:rsidRPr="00037C01" w:rsidRDefault="000E0573" w:rsidP="000E0573">
            <w:pPr>
              <w:jc w:val="right"/>
              <w:rPr>
                <w:rFonts w:ascii="Arial" w:hAnsi="Arial" w:cs="Arial"/>
                <w:sz w:val="18"/>
              </w:rPr>
            </w:pPr>
            <w:r w:rsidRPr="00037C01">
              <w:rPr>
                <w:rFonts w:ascii="Arial" w:hAnsi="Arial" w:cs="Arial"/>
                <w:sz w:val="18"/>
              </w:rPr>
              <w:t>10.861</w:t>
            </w:r>
          </w:p>
        </w:tc>
      </w:tr>
      <w:tr w:rsidR="000E0573" w:rsidRPr="00AE0907" w14:paraId="4FF28723" w14:textId="77777777" w:rsidTr="00037C01">
        <w:trPr>
          <w:trHeight w:val="245"/>
        </w:trPr>
        <w:tc>
          <w:tcPr>
            <w:tcW w:w="5753" w:type="dxa"/>
          </w:tcPr>
          <w:p w14:paraId="246E804B" w14:textId="77777777" w:rsidR="000E0573" w:rsidRPr="00037C01" w:rsidRDefault="000E0573" w:rsidP="000E0573">
            <w:pPr>
              <w:jc w:val="both"/>
              <w:rPr>
                <w:rFonts w:ascii="Arial" w:hAnsi="Arial" w:cs="Arial"/>
                <w:sz w:val="18"/>
              </w:rPr>
            </w:pPr>
            <w:r w:rsidRPr="00037C01">
              <w:rPr>
                <w:rFonts w:ascii="Arial" w:hAnsi="Arial" w:cs="Arial"/>
                <w:sz w:val="18"/>
              </w:rPr>
              <w:t>Comisiones por operaciones  exterior y cambio</w:t>
            </w:r>
          </w:p>
        </w:tc>
        <w:tc>
          <w:tcPr>
            <w:tcW w:w="1506" w:type="dxa"/>
            <w:vAlign w:val="bottom"/>
          </w:tcPr>
          <w:p w14:paraId="3E3C83E7" w14:textId="26551CD9" w:rsidR="000E0573" w:rsidRPr="00037C01" w:rsidRDefault="00752C80" w:rsidP="000E0573">
            <w:pPr>
              <w:jc w:val="right"/>
              <w:rPr>
                <w:rFonts w:ascii="Arial" w:hAnsi="Arial" w:cs="Arial"/>
                <w:sz w:val="18"/>
              </w:rPr>
            </w:pPr>
            <w:r>
              <w:rPr>
                <w:rFonts w:ascii="Arial" w:hAnsi="Arial" w:cs="Arial"/>
                <w:sz w:val="18"/>
              </w:rPr>
              <w:t>284.117</w:t>
            </w:r>
          </w:p>
        </w:tc>
        <w:tc>
          <w:tcPr>
            <w:tcW w:w="1370" w:type="dxa"/>
            <w:vAlign w:val="bottom"/>
          </w:tcPr>
          <w:p w14:paraId="04301EEB" w14:textId="2500461A" w:rsidR="000E0573" w:rsidRPr="00037C01" w:rsidRDefault="000E0573" w:rsidP="000E0573">
            <w:pPr>
              <w:jc w:val="right"/>
              <w:rPr>
                <w:rFonts w:ascii="Arial" w:hAnsi="Arial" w:cs="Arial"/>
                <w:sz w:val="18"/>
              </w:rPr>
            </w:pPr>
            <w:r w:rsidRPr="00037C01">
              <w:rPr>
                <w:rFonts w:ascii="Arial" w:hAnsi="Arial" w:cs="Arial"/>
                <w:sz w:val="18"/>
              </w:rPr>
              <w:t>173.429</w:t>
            </w:r>
          </w:p>
        </w:tc>
      </w:tr>
      <w:tr w:rsidR="00752C80" w:rsidRPr="00AE0907" w14:paraId="3991ABD0" w14:textId="77777777" w:rsidTr="00037C01">
        <w:trPr>
          <w:trHeight w:val="245"/>
        </w:trPr>
        <w:tc>
          <w:tcPr>
            <w:tcW w:w="5753" w:type="dxa"/>
          </w:tcPr>
          <w:p w14:paraId="2BD2BD75" w14:textId="32D18AFE" w:rsidR="00752C80" w:rsidRPr="00037C01" w:rsidRDefault="00752C80" w:rsidP="000E0573">
            <w:pPr>
              <w:jc w:val="both"/>
              <w:rPr>
                <w:rFonts w:ascii="Arial" w:hAnsi="Arial" w:cs="Arial"/>
                <w:sz w:val="18"/>
              </w:rPr>
            </w:pPr>
            <w:r>
              <w:rPr>
                <w:rFonts w:ascii="Arial" w:hAnsi="Arial" w:cs="Arial"/>
                <w:sz w:val="18"/>
              </w:rPr>
              <w:t>Otros</w:t>
            </w:r>
          </w:p>
        </w:tc>
        <w:tc>
          <w:tcPr>
            <w:tcW w:w="1506" w:type="dxa"/>
            <w:vAlign w:val="bottom"/>
          </w:tcPr>
          <w:p w14:paraId="4EBB0965" w14:textId="043B1536" w:rsidR="00752C80" w:rsidRDefault="00752C80" w:rsidP="000E0573">
            <w:pPr>
              <w:jc w:val="right"/>
              <w:rPr>
                <w:rFonts w:ascii="Arial" w:hAnsi="Arial" w:cs="Arial"/>
                <w:sz w:val="18"/>
              </w:rPr>
            </w:pPr>
            <w:r>
              <w:rPr>
                <w:rFonts w:ascii="Arial" w:hAnsi="Arial" w:cs="Arial"/>
                <w:sz w:val="18"/>
              </w:rPr>
              <w:t>400.497</w:t>
            </w:r>
          </w:p>
        </w:tc>
        <w:tc>
          <w:tcPr>
            <w:tcW w:w="1370" w:type="dxa"/>
            <w:vAlign w:val="bottom"/>
          </w:tcPr>
          <w:p w14:paraId="78644400" w14:textId="69A976A8" w:rsidR="00752C80" w:rsidRPr="00037C01" w:rsidRDefault="00752C80" w:rsidP="000E0573">
            <w:pPr>
              <w:jc w:val="right"/>
              <w:rPr>
                <w:rFonts w:ascii="Arial" w:hAnsi="Arial" w:cs="Arial"/>
                <w:sz w:val="18"/>
              </w:rPr>
            </w:pPr>
            <w:r>
              <w:rPr>
                <w:rFonts w:ascii="Arial" w:hAnsi="Arial" w:cs="Arial"/>
                <w:sz w:val="18"/>
              </w:rPr>
              <w:t>-</w:t>
            </w:r>
          </w:p>
        </w:tc>
      </w:tr>
      <w:tr w:rsidR="000E0573" w:rsidRPr="000E0573" w14:paraId="6C2D81DA" w14:textId="77777777" w:rsidTr="00037C01">
        <w:trPr>
          <w:trHeight w:val="245"/>
        </w:trPr>
        <w:tc>
          <w:tcPr>
            <w:tcW w:w="5753" w:type="dxa"/>
            <w:shd w:val="clear" w:color="auto" w:fill="auto"/>
          </w:tcPr>
          <w:p w14:paraId="26372B20" w14:textId="77777777" w:rsidR="000E0573" w:rsidRPr="00037C01" w:rsidRDefault="000E0573" w:rsidP="000E0573">
            <w:pPr>
              <w:jc w:val="both"/>
              <w:rPr>
                <w:rFonts w:ascii="Arial" w:hAnsi="Arial" w:cs="Arial"/>
                <w:b/>
                <w:sz w:val="18"/>
              </w:rPr>
            </w:pPr>
            <w:r w:rsidRPr="00037C01">
              <w:rPr>
                <w:rFonts w:ascii="Arial" w:hAnsi="Arial" w:cs="Arial"/>
                <w:b/>
                <w:sz w:val="18"/>
              </w:rPr>
              <w:t>Total</w:t>
            </w:r>
          </w:p>
        </w:tc>
        <w:tc>
          <w:tcPr>
            <w:tcW w:w="1506" w:type="dxa"/>
          </w:tcPr>
          <w:p w14:paraId="2D7E2333" w14:textId="2D1DFB6E" w:rsidR="000E0573" w:rsidRPr="00037C01" w:rsidRDefault="00752C80" w:rsidP="000E0573">
            <w:pPr>
              <w:jc w:val="right"/>
              <w:rPr>
                <w:rFonts w:ascii="Arial" w:hAnsi="Arial" w:cs="Arial"/>
                <w:b/>
                <w:sz w:val="18"/>
              </w:rPr>
            </w:pPr>
            <w:r>
              <w:rPr>
                <w:rFonts w:ascii="Arial" w:hAnsi="Arial" w:cs="Arial"/>
                <w:b/>
                <w:sz w:val="18"/>
              </w:rPr>
              <w:t>6.264.169</w:t>
            </w:r>
          </w:p>
        </w:tc>
        <w:tc>
          <w:tcPr>
            <w:tcW w:w="1370" w:type="dxa"/>
          </w:tcPr>
          <w:p w14:paraId="4CC5A968" w14:textId="168E177C" w:rsidR="000E0573" w:rsidRPr="00037C01" w:rsidRDefault="000E0573" w:rsidP="000E0573">
            <w:pPr>
              <w:jc w:val="right"/>
              <w:rPr>
                <w:rFonts w:ascii="Arial" w:hAnsi="Arial" w:cs="Arial"/>
                <w:b/>
                <w:sz w:val="18"/>
              </w:rPr>
            </w:pPr>
            <w:r w:rsidRPr="00037C01">
              <w:rPr>
                <w:rFonts w:ascii="Arial" w:hAnsi="Arial" w:cs="Arial"/>
                <w:b/>
                <w:sz w:val="18"/>
              </w:rPr>
              <w:t>4.322.001</w:t>
            </w:r>
          </w:p>
        </w:tc>
      </w:tr>
    </w:tbl>
    <w:p w14:paraId="28DB6FE6" w14:textId="77777777" w:rsidR="00AE0907" w:rsidRPr="00AE0907" w:rsidRDefault="00AE0907" w:rsidP="00AE0907">
      <w:pPr>
        <w:jc w:val="both"/>
        <w:rPr>
          <w:rFonts w:ascii="Arial" w:hAnsi="Arial" w:cs="Arial"/>
          <w:sz w:val="20"/>
        </w:rPr>
      </w:pPr>
    </w:p>
    <w:p w14:paraId="519201C6" w14:textId="77777777" w:rsidR="000B1093" w:rsidRDefault="000B1093">
      <w:pPr>
        <w:rPr>
          <w:rFonts w:ascii="Arial" w:hAnsi="Arial" w:cs="Arial"/>
          <w:sz w:val="20"/>
        </w:rPr>
      </w:pPr>
      <w:r>
        <w:rPr>
          <w:rFonts w:ascii="Arial" w:hAnsi="Arial" w:cs="Arial"/>
          <w:sz w:val="20"/>
        </w:rPr>
        <w:br w:type="page"/>
      </w:r>
    </w:p>
    <w:p w14:paraId="05608D05" w14:textId="44E2F306" w:rsidR="00AE0907" w:rsidRPr="00AE0907" w:rsidRDefault="000E0573" w:rsidP="00AE0907">
      <w:pPr>
        <w:jc w:val="both"/>
        <w:rPr>
          <w:rFonts w:ascii="Arial" w:hAnsi="Arial" w:cs="Arial"/>
          <w:sz w:val="20"/>
        </w:rPr>
      </w:pPr>
      <w:r>
        <w:rPr>
          <w:rFonts w:ascii="Arial" w:hAnsi="Arial" w:cs="Arial"/>
          <w:sz w:val="20"/>
        </w:rPr>
        <w:t>6</w:t>
      </w:r>
      <w:r w:rsidR="00AE0907" w:rsidRPr="00AE0907">
        <w:rPr>
          <w:rFonts w:ascii="Arial" w:hAnsi="Arial" w:cs="Arial"/>
          <w:sz w:val="20"/>
        </w:rPr>
        <w:t>.18 Egresos por intereses</w:t>
      </w:r>
    </w:p>
    <w:p w14:paraId="640EB0B6" w14:textId="77777777" w:rsidR="00AE0907" w:rsidRPr="00AE0907" w:rsidRDefault="00AE0907" w:rsidP="00AE0907">
      <w:pPr>
        <w:jc w:val="both"/>
        <w:rPr>
          <w:rFonts w:ascii="Arial" w:hAnsi="Arial" w:cs="Arial"/>
          <w:sz w:val="20"/>
        </w:rPr>
      </w:pPr>
    </w:p>
    <w:p w14:paraId="229E234A" w14:textId="2E32715E" w:rsidR="00AE0907" w:rsidRPr="00AE0907" w:rsidRDefault="00AE0907" w:rsidP="00AE0907">
      <w:pPr>
        <w:jc w:val="both"/>
        <w:rPr>
          <w:rFonts w:ascii="Arial" w:hAnsi="Arial" w:cs="Arial"/>
          <w:sz w:val="20"/>
        </w:rPr>
      </w:pPr>
      <w:r w:rsidRPr="00AE0907">
        <w:rPr>
          <w:rFonts w:ascii="Arial" w:eastAsiaTheme="minorHAnsi" w:hAnsi="Arial" w:cs="Arial"/>
          <w:sz w:val="20"/>
        </w:rPr>
        <w:t xml:space="preserve">Se detallan a continuación los principales componentes de los egresos por intereres por los ejercicios económicos finalizados el </w:t>
      </w:r>
      <w:r w:rsidR="000E0573" w:rsidRPr="00AE0907">
        <w:rPr>
          <w:rFonts w:ascii="Arial" w:eastAsiaTheme="minorHAnsi" w:hAnsi="Arial" w:cs="Arial"/>
          <w:sz w:val="20"/>
        </w:rPr>
        <w:t>31 de diciembre de 201</w:t>
      </w:r>
      <w:r w:rsidR="000E0573">
        <w:rPr>
          <w:rFonts w:ascii="Arial" w:eastAsiaTheme="minorHAnsi" w:hAnsi="Arial" w:cs="Arial"/>
          <w:sz w:val="20"/>
        </w:rPr>
        <w:t>9</w:t>
      </w:r>
      <w:r w:rsidR="000E0573" w:rsidRPr="00AE0907">
        <w:rPr>
          <w:rFonts w:ascii="Arial" w:eastAsiaTheme="minorHAnsi" w:hAnsi="Arial" w:cs="Arial"/>
          <w:sz w:val="20"/>
        </w:rPr>
        <w:t xml:space="preserve"> y 201</w:t>
      </w:r>
      <w:r w:rsidR="000E0573">
        <w:rPr>
          <w:rFonts w:ascii="Arial" w:eastAsiaTheme="minorHAnsi" w:hAnsi="Arial" w:cs="Arial"/>
          <w:sz w:val="20"/>
        </w:rPr>
        <w:t>8</w:t>
      </w:r>
      <w:r w:rsidRPr="00AE0907">
        <w:rPr>
          <w:rFonts w:ascii="Arial" w:eastAsiaTheme="minorHAnsi" w:hAnsi="Arial" w:cs="Arial"/>
          <w:sz w:val="20"/>
        </w:rPr>
        <w:t>:</w:t>
      </w:r>
    </w:p>
    <w:p w14:paraId="27BC9A50" w14:textId="77777777" w:rsidR="00AE0907" w:rsidRPr="00AE0907" w:rsidRDefault="00AE0907" w:rsidP="00AE0907">
      <w:pPr>
        <w:jc w:val="both"/>
        <w:rPr>
          <w:rFonts w:ascii="Arial" w:hAnsi="Arial" w:cs="Arial"/>
          <w:sz w:val="20"/>
        </w:rPr>
      </w:pPr>
    </w:p>
    <w:tbl>
      <w:tblPr>
        <w:tblW w:w="8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43"/>
        <w:gridCol w:w="1503"/>
        <w:gridCol w:w="1367"/>
      </w:tblGrid>
      <w:tr w:rsidR="000E0573" w:rsidRPr="00037C01" w14:paraId="37CEF860" w14:textId="77777777" w:rsidTr="00037C01">
        <w:trPr>
          <w:trHeight w:val="253"/>
          <w:tblHeader/>
        </w:trPr>
        <w:tc>
          <w:tcPr>
            <w:tcW w:w="5743" w:type="dxa"/>
            <w:shd w:val="clear" w:color="auto" w:fill="auto"/>
          </w:tcPr>
          <w:p w14:paraId="529E1774" w14:textId="77777777" w:rsidR="000E0573" w:rsidRPr="00037C01" w:rsidRDefault="000E0573" w:rsidP="001A3619">
            <w:pPr>
              <w:jc w:val="both"/>
              <w:rPr>
                <w:rFonts w:ascii="Arial" w:hAnsi="Arial" w:cs="Arial"/>
                <w:sz w:val="18"/>
              </w:rPr>
            </w:pPr>
          </w:p>
        </w:tc>
        <w:tc>
          <w:tcPr>
            <w:tcW w:w="1503" w:type="dxa"/>
          </w:tcPr>
          <w:p w14:paraId="15F69F99" w14:textId="77777777" w:rsidR="000E0573" w:rsidRPr="00037C01" w:rsidRDefault="000E0573" w:rsidP="001A3619">
            <w:pPr>
              <w:jc w:val="center"/>
              <w:rPr>
                <w:rFonts w:ascii="Arial" w:hAnsi="Arial" w:cs="Arial"/>
                <w:b/>
                <w:sz w:val="18"/>
              </w:rPr>
            </w:pPr>
            <w:r w:rsidRPr="00037C01">
              <w:rPr>
                <w:rFonts w:ascii="Arial" w:hAnsi="Arial" w:cs="Arial"/>
                <w:b/>
                <w:sz w:val="18"/>
              </w:rPr>
              <w:t>31/12/2019</w:t>
            </w:r>
          </w:p>
        </w:tc>
        <w:tc>
          <w:tcPr>
            <w:tcW w:w="1367" w:type="dxa"/>
          </w:tcPr>
          <w:p w14:paraId="31557DFC" w14:textId="77777777" w:rsidR="000E0573" w:rsidRPr="00037C01" w:rsidRDefault="000E0573" w:rsidP="001A3619">
            <w:pPr>
              <w:jc w:val="center"/>
              <w:rPr>
                <w:rFonts w:ascii="Arial" w:hAnsi="Arial" w:cs="Arial"/>
                <w:b/>
                <w:sz w:val="18"/>
              </w:rPr>
            </w:pPr>
            <w:r w:rsidRPr="00037C01">
              <w:rPr>
                <w:rFonts w:ascii="Arial" w:hAnsi="Arial" w:cs="Arial"/>
                <w:b/>
                <w:sz w:val="18"/>
              </w:rPr>
              <w:t>31/12/2018</w:t>
            </w:r>
          </w:p>
        </w:tc>
      </w:tr>
      <w:tr w:rsidR="000E0573" w:rsidRPr="00037C01" w14:paraId="50A39D9D" w14:textId="77777777" w:rsidTr="00990736">
        <w:trPr>
          <w:trHeight w:val="253"/>
        </w:trPr>
        <w:tc>
          <w:tcPr>
            <w:tcW w:w="5743" w:type="dxa"/>
          </w:tcPr>
          <w:p w14:paraId="0B6F2EE5" w14:textId="77777777" w:rsidR="000E0573" w:rsidRPr="00037C01" w:rsidRDefault="000E0573" w:rsidP="000E0573">
            <w:pPr>
              <w:jc w:val="both"/>
              <w:rPr>
                <w:rFonts w:ascii="Arial" w:hAnsi="Arial" w:cs="Arial"/>
                <w:sz w:val="18"/>
              </w:rPr>
            </w:pPr>
            <w:r w:rsidRPr="00037C01">
              <w:rPr>
                <w:rFonts w:ascii="Arial" w:hAnsi="Arial" w:cs="Arial"/>
                <w:sz w:val="18"/>
              </w:rPr>
              <w:t>Cuentas corrientes</w:t>
            </w:r>
          </w:p>
        </w:tc>
        <w:tc>
          <w:tcPr>
            <w:tcW w:w="1503" w:type="dxa"/>
            <w:vAlign w:val="center"/>
          </w:tcPr>
          <w:p w14:paraId="4366C78F" w14:textId="203F87D8" w:rsidR="000E0573" w:rsidRPr="00037C01" w:rsidRDefault="00990736" w:rsidP="00990736">
            <w:pPr>
              <w:jc w:val="right"/>
              <w:rPr>
                <w:rFonts w:ascii="Arial" w:hAnsi="Arial" w:cs="Arial"/>
                <w:sz w:val="18"/>
              </w:rPr>
            </w:pPr>
            <w:r>
              <w:rPr>
                <w:rFonts w:ascii="Arial" w:hAnsi="Arial" w:cs="Arial"/>
                <w:sz w:val="18"/>
              </w:rPr>
              <w:t>5.158.143</w:t>
            </w:r>
          </w:p>
        </w:tc>
        <w:tc>
          <w:tcPr>
            <w:tcW w:w="1367" w:type="dxa"/>
          </w:tcPr>
          <w:p w14:paraId="5902848B" w14:textId="46266B7F" w:rsidR="000E0573" w:rsidRPr="00037C01" w:rsidRDefault="000E0573" w:rsidP="000E0573">
            <w:pPr>
              <w:jc w:val="right"/>
              <w:rPr>
                <w:rFonts w:ascii="Arial" w:hAnsi="Arial" w:cs="Arial"/>
                <w:sz w:val="18"/>
              </w:rPr>
            </w:pPr>
            <w:r w:rsidRPr="00037C01">
              <w:rPr>
                <w:rFonts w:ascii="Arial" w:hAnsi="Arial" w:cs="Arial"/>
                <w:sz w:val="18"/>
              </w:rPr>
              <w:t>4.520.100</w:t>
            </w:r>
          </w:p>
        </w:tc>
      </w:tr>
      <w:tr w:rsidR="000E0573" w:rsidRPr="00037C01" w14:paraId="306770AA" w14:textId="77777777" w:rsidTr="00990736">
        <w:trPr>
          <w:trHeight w:val="253"/>
        </w:trPr>
        <w:tc>
          <w:tcPr>
            <w:tcW w:w="5743" w:type="dxa"/>
          </w:tcPr>
          <w:p w14:paraId="2FE27710" w14:textId="77777777" w:rsidR="000E0573" w:rsidRPr="00037C01" w:rsidRDefault="000E0573" w:rsidP="000E0573">
            <w:pPr>
              <w:jc w:val="both"/>
              <w:rPr>
                <w:rFonts w:ascii="Arial" w:hAnsi="Arial" w:cs="Arial"/>
                <w:sz w:val="18"/>
              </w:rPr>
            </w:pPr>
            <w:r w:rsidRPr="00037C01">
              <w:rPr>
                <w:rFonts w:ascii="Arial" w:hAnsi="Arial" w:cs="Arial"/>
                <w:sz w:val="18"/>
              </w:rPr>
              <w:t>Cajas de ahorro</w:t>
            </w:r>
          </w:p>
        </w:tc>
        <w:tc>
          <w:tcPr>
            <w:tcW w:w="1503" w:type="dxa"/>
            <w:vAlign w:val="center"/>
          </w:tcPr>
          <w:p w14:paraId="1DFE714A" w14:textId="5117C5A7" w:rsidR="000E0573" w:rsidRPr="00037C01" w:rsidRDefault="00990736" w:rsidP="00990736">
            <w:pPr>
              <w:jc w:val="right"/>
              <w:rPr>
                <w:rFonts w:ascii="Arial" w:hAnsi="Arial" w:cs="Arial"/>
                <w:sz w:val="18"/>
              </w:rPr>
            </w:pPr>
            <w:r>
              <w:rPr>
                <w:rFonts w:ascii="Arial" w:hAnsi="Arial" w:cs="Arial"/>
                <w:sz w:val="18"/>
              </w:rPr>
              <w:t>7.298</w:t>
            </w:r>
          </w:p>
        </w:tc>
        <w:tc>
          <w:tcPr>
            <w:tcW w:w="1367" w:type="dxa"/>
          </w:tcPr>
          <w:p w14:paraId="454CDA81" w14:textId="757E9DB3" w:rsidR="000E0573" w:rsidRPr="00037C01" w:rsidRDefault="000E0573" w:rsidP="000E0573">
            <w:pPr>
              <w:jc w:val="right"/>
              <w:rPr>
                <w:rFonts w:ascii="Arial" w:hAnsi="Arial" w:cs="Arial"/>
                <w:sz w:val="18"/>
              </w:rPr>
            </w:pPr>
            <w:r w:rsidRPr="00037C01">
              <w:rPr>
                <w:rFonts w:ascii="Arial" w:hAnsi="Arial" w:cs="Arial"/>
                <w:sz w:val="18"/>
              </w:rPr>
              <w:t>5.582</w:t>
            </w:r>
          </w:p>
        </w:tc>
      </w:tr>
      <w:tr w:rsidR="000E0573" w:rsidRPr="00037C01" w14:paraId="10F5DF40" w14:textId="77777777" w:rsidTr="00990736">
        <w:trPr>
          <w:trHeight w:val="253"/>
        </w:trPr>
        <w:tc>
          <w:tcPr>
            <w:tcW w:w="5743" w:type="dxa"/>
          </w:tcPr>
          <w:p w14:paraId="0B59EF85" w14:textId="77777777" w:rsidR="000E0573" w:rsidRPr="00037C01" w:rsidRDefault="000E0573" w:rsidP="000E0573">
            <w:pPr>
              <w:jc w:val="both"/>
              <w:rPr>
                <w:rFonts w:ascii="Arial" w:hAnsi="Arial" w:cs="Arial"/>
                <w:sz w:val="18"/>
              </w:rPr>
            </w:pPr>
            <w:r w:rsidRPr="00037C01">
              <w:rPr>
                <w:rFonts w:ascii="Arial" w:hAnsi="Arial" w:cs="Arial"/>
                <w:sz w:val="18"/>
              </w:rPr>
              <w:t>Plazo fijo e inversiones a plazo</w:t>
            </w:r>
          </w:p>
        </w:tc>
        <w:tc>
          <w:tcPr>
            <w:tcW w:w="1503" w:type="dxa"/>
            <w:vAlign w:val="center"/>
          </w:tcPr>
          <w:p w14:paraId="144678EB" w14:textId="7379216E" w:rsidR="000E0573" w:rsidRPr="00037C01" w:rsidRDefault="00990736" w:rsidP="00990736">
            <w:pPr>
              <w:jc w:val="right"/>
              <w:rPr>
                <w:rFonts w:ascii="Arial" w:hAnsi="Arial" w:cs="Arial"/>
                <w:sz w:val="18"/>
              </w:rPr>
            </w:pPr>
            <w:r>
              <w:rPr>
                <w:rFonts w:ascii="Arial" w:hAnsi="Arial" w:cs="Arial"/>
                <w:sz w:val="18"/>
              </w:rPr>
              <w:t>13.625.988</w:t>
            </w:r>
          </w:p>
        </w:tc>
        <w:tc>
          <w:tcPr>
            <w:tcW w:w="1367" w:type="dxa"/>
          </w:tcPr>
          <w:p w14:paraId="6E997A4D" w14:textId="3CECEF4E" w:rsidR="000E0573" w:rsidRPr="00037C01" w:rsidRDefault="000E0573" w:rsidP="000E0573">
            <w:pPr>
              <w:jc w:val="right"/>
              <w:rPr>
                <w:rFonts w:ascii="Arial" w:hAnsi="Arial" w:cs="Arial"/>
                <w:sz w:val="18"/>
              </w:rPr>
            </w:pPr>
            <w:r w:rsidRPr="00037C01">
              <w:rPr>
                <w:rFonts w:ascii="Arial" w:hAnsi="Arial" w:cs="Arial"/>
                <w:sz w:val="18"/>
              </w:rPr>
              <w:t>4.935.916</w:t>
            </w:r>
          </w:p>
        </w:tc>
      </w:tr>
      <w:tr w:rsidR="000E0573" w:rsidRPr="00037C01" w14:paraId="4885A8A4" w14:textId="77777777" w:rsidTr="00990736">
        <w:trPr>
          <w:trHeight w:val="253"/>
        </w:trPr>
        <w:tc>
          <w:tcPr>
            <w:tcW w:w="5743" w:type="dxa"/>
          </w:tcPr>
          <w:p w14:paraId="438256B8" w14:textId="77777777" w:rsidR="000E0573" w:rsidRPr="00037C01" w:rsidRDefault="000E0573" w:rsidP="000E0573">
            <w:pPr>
              <w:jc w:val="both"/>
              <w:rPr>
                <w:rFonts w:ascii="Arial" w:hAnsi="Arial" w:cs="Arial"/>
                <w:sz w:val="18"/>
              </w:rPr>
            </w:pPr>
            <w:r w:rsidRPr="00037C01">
              <w:rPr>
                <w:rFonts w:ascii="Arial" w:hAnsi="Arial" w:cs="Arial"/>
                <w:sz w:val="18"/>
              </w:rPr>
              <w:t>Otros</w:t>
            </w:r>
          </w:p>
        </w:tc>
        <w:tc>
          <w:tcPr>
            <w:tcW w:w="1503" w:type="dxa"/>
            <w:vAlign w:val="center"/>
          </w:tcPr>
          <w:p w14:paraId="7A459AB8" w14:textId="0199AE88" w:rsidR="000E0573" w:rsidRPr="00037C01" w:rsidRDefault="00990736" w:rsidP="00990736">
            <w:pPr>
              <w:jc w:val="right"/>
              <w:rPr>
                <w:rFonts w:ascii="Arial" w:hAnsi="Arial" w:cs="Arial"/>
                <w:sz w:val="18"/>
              </w:rPr>
            </w:pPr>
            <w:r>
              <w:rPr>
                <w:rFonts w:ascii="Arial" w:hAnsi="Arial" w:cs="Arial"/>
                <w:sz w:val="18"/>
              </w:rPr>
              <w:t>2.734.101</w:t>
            </w:r>
          </w:p>
        </w:tc>
        <w:tc>
          <w:tcPr>
            <w:tcW w:w="1367" w:type="dxa"/>
          </w:tcPr>
          <w:p w14:paraId="5B4D88CB" w14:textId="2A33C1B0" w:rsidR="000E0573" w:rsidRPr="00037C01" w:rsidRDefault="000E0573" w:rsidP="000E0573">
            <w:pPr>
              <w:jc w:val="right"/>
              <w:rPr>
                <w:rFonts w:ascii="Arial" w:hAnsi="Arial" w:cs="Arial"/>
                <w:sz w:val="18"/>
              </w:rPr>
            </w:pPr>
            <w:r w:rsidRPr="00037C01">
              <w:rPr>
                <w:rFonts w:ascii="Arial" w:hAnsi="Arial" w:cs="Arial"/>
                <w:sz w:val="18"/>
              </w:rPr>
              <w:t>914.234</w:t>
            </w:r>
          </w:p>
        </w:tc>
      </w:tr>
      <w:tr w:rsidR="000E0573" w:rsidRPr="00037C01" w14:paraId="7696D9F4" w14:textId="77777777" w:rsidTr="00990736">
        <w:trPr>
          <w:trHeight w:val="253"/>
        </w:trPr>
        <w:tc>
          <w:tcPr>
            <w:tcW w:w="5743" w:type="dxa"/>
          </w:tcPr>
          <w:p w14:paraId="4AA36DB3" w14:textId="77777777" w:rsidR="000E0573" w:rsidRPr="00037C01" w:rsidRDefault="000E0573" w:rsidP="000E0573">
            <w:pPr>
              <w:jc w:val="both"/>
              <w:rPr>
                <w:rFonts w:ascii="Arial" w:hAnsi="Arial" w:cs="Arial"/>
                <w:sz w:val="18"/>
              </w:rPr>
            </w:pPr>
            <w:r w:rsidRPr="00037C01">
              <w:rPr>
                <w:rFonts w:ascii="Arial" w:hAnsi="Arial" w:cs="Arial"/>
                <w:sz w:val="18"/>
              </w:rPr>
              <w:t>Por financiaciones recibidas del BCRA y otras instituciones financieras</w:t>
            </w:r>
          </w:p>
        </w:tc>
        <w:tc>
          <w:tcPr>
            <w:tcW w:w="1503" w:type="dxa"/>
            <w:vAlign w:val="center"/>
          </w:tcPr>
          <w:p w14:paraId="7AB448DC" w14:textId="75A38C70" w:rsidR="000E0573" w:rsidRPr="00037C01" w:rsidRDefault="00990736" w:rsidP="00990736">
            <w:pPr>
              <w:jc w:val="right"/>
              <w:rPr>
                <w:rFonts w:ascii="Arial" w:hAnsi="Arial" w:cs="Arial"/>
                <w:sz w:val="18"/>
              </w:rPr>
            </w:pPr>
            <w:r>
              <w:rPr>
                <w:rFonts w:ascii="Arial" w:hAnsi="Arial" w:cs="Arial"/>
                <w:sz w:val="18"/>
              </w:rPr>
              <w:t>646.168</w:t>
            </w:r>
          </w:p>
        </w:tc>
        <w:tc>
          <w:tcPr>
            <w:tcW w:w="1367" w:type="dxa"/>
          </w:tcPr>
          <w:p w14:paraId="715C2225" w14:textId="1D5137E5" w:rsidR="000E0573" w:rsidRPr="00037C01" w:rsidRDefault="000E0573" w:rsidP="000E0573">
            <w:pPr>
              <w:jc w:val="right"/>
              <w:rPr>
                <w:rFonts w:ascii="Arial" w:hAnsi="Arial" w:cs="Arial"/>
                <w:sz w:val="18"/>
              </w:rPr>
            </w:pPr>
            <w:r w:rsidRPr="00037C01">
              <w:rPr>
                <w:rFonts w:ascii="Arial" w:hAnsi="Arial" w:cs="Arial"/>
                <w:sz w:val="18"/>
              </w:rPr>
              <w:t>432.393</w:t>
            </w:r>
          </w:p>
        </w:tc>
      </w:tr>
      <w:tr w:rsidR="000E0573" w:rsidRPr="00037C01" w14:paraId="0E9AA9F0" w14:textId="77777777" w:rsidTr="00990736">
        <w:trPr>
          <w:trHeight w:val="253"/>
        </w:trPr>
        <w:tc>
          <w:tcPr>
            <w:tcW w:w="5743" w:type="dxa"/>
          </w:tcPr>
          <w:p w14:paraId="143450DE" w14:textId="77777777" w:rsidR="000E0573" w:rsidRPr="00037C01" w:rsidRDefault="000E0573" w:rsidP="000E0573">
            <w:pPr>
              <w:jc w:val="both"/>
              <w:rPr>
                <w:rFonts w:ascii="Arial" w:hAnsi="Arial" w:cs="Arial"/>
                <w:sz w:val="18"/>
              </w:rPr>
            </w:pPr>
            <w:r w:rsidRPr="00037C01">
              <w:rPr>
                <w:rFonts w:ascii="Arial" w:hAnsi="Arial" w:cs="Arial"/>
                <w:sz w:val="18"/>
              </w:rPr>
              <w:t>Por operaciones de pase</w:t>
            </w:r>
          </w:p>
        </w:tc>
        <w:tc>
          <w:tcPr>
            <w:tcW w:w="1503" w:type="dxa"/>
            <w:vAlign w:val="center"/>
          </w:tcPr>
          <w:p w14:paraId="360F056D" w14:textId="11CF9236" w:rsidR="000E0573" w:rsidRPr="00037C01" w:rsidRDefault="00990736" w:rsidP="00990736">
            <w:pPr>
              <w:jc w:val="right"/>
              <w:rPr>
                <w:rFonts w:ascii="Arial" w:hAnsi="Arial" w:cs="Arial"/>
                <w:sz w:val="18"/>
              </w:rPr>
            </w:pPr>
            <w:r>
              <w:rPr>
                <w:rFonts w:ascii="Arial" w:hAnsi="Arial" w:cs="Arial"/>
                <w:sz w:val="18"/>
              </w:rPr>
              <w:t>492.024</w:t>
            </w:r>
          </w:p>
        </w:tc>
        <w:tc>
          <w:tcPr>
            <w:tcW w:w="1367" w:type="dxa"/>
          </w:tcPr>
          <w:p w14:paraId="795009F3" w14:textId="7DB2C0EE" w:rsidR="000E0573" w:rsidRPr="00037C01" w:rsidRDefault="000E0573" w:rsidP="000E0573">
            <w:pPr>
              <w:jc w:val="right"/>
              <w:rPr>
                <w:rFonts w:ascii="Arial" w:hAnsi="Arial" w:cs="Arial"/>
                <w:sz w:val="18"/>
              </w:rPr>
            </w:pPr>
            <w:r w:rsidRPr="00037C01">
              <w:rPr>
                <w:rFonts w:ascii="Arial" w:hAnsi="Arial" w:cs="Arial"/>
                <w:sz w:val="18"/>
              </w:rPr>
              <w:t>172.527</w:t>
            </w:r>
          </w:p>
        </w:tc>
      </w:tr>
      <w:tr w:rsidR="000E0573" w:rsidRPr="00037C01" w14:paraId="16E61E17" w14:textId="77777777" w:rsidTr="00990736">
        <w:trPr>
          <w:trHeight w:val="253"/>
        </w:trPr>
        <w:tc>
          <w:tcPr>
            <w:tcW w:w="5743" w:type="dxa"/>
          </w:tcPr>
          <w:p w14:paraId="5E761D00" w14:textId="77777777" w:rsidR="000E0573" w:rsidRPr="00037C01" w:rsidRDefault="000E0573" w:rsidP="000E0573">
            <w:pPr>
              <w:jc w:val="both"/>
              <w:rPr>
                <w:rFonts w:ascii="Arial" w:hAnsi="Arial" w:cs="Arial"/>
                <w:sz w:val="18"/>
              </w:rPr>
            </w:pPr>
            <w:r w:rsidRPr="00037C01">
              <w:rPr>
                <w:rFonts w:ascii="Arial" w:hAnsi="Arial" w:cs="Arial"/>
                <w:sz w:val="18"/>
              </w:rPr>
              <w:t>Por otros pasivos financieros</w:t>
            </w:r>
          </w:p>
        </w:tc>
        <w:tc>
          <w:tcPr>
            <w:tcW w:w="1503" w:type="dxa"/>
            <w:vAlign w:val="center"/>
          </w:tcPr>
          <w:p w14:paraId="74436768" w14:textId="561FAD8B" w:rsidR="000E0573" w:rsidRPr="00037C01" w:rsidRDefault="00990736" w:rsidP="00990736">
            <w:pPr>
              <w:jc w:val="right"/>
              <w:rPr>
                <w:rFonts w:ascii="Arial" w:hAnsi="Arial" w:cs="Arial"/>
                <w:sz w:val="18"/>
              </w:rPr>
            </w:pPr>
            <w:r>
              <w:rPr>
                <w:rFonts w:ascii="Arial" w:hAnsi="Arial" w:cs="Arial"/>
                <w:sz w:val="18"/>
              </w:rPr>
              <w:t>5.719.777</w:t>
            </w:r>
          </w:p>
        </w:tc>
        <w:tc>
          <w:tcPr>
            <w:tcW w:w="1367" w:type="dxa"/>
          </w:tcPr>
          <w:p w14:paraId="58E2FBE3" w14:textId="1DA77367" w:rsidR="000E0573" w:rsidRPr="00037C01" w:rsidRDefault="000E0573" w:rsidP="000E0573">
            <w:pPr>
              <w:jc w:val="right"/>
              <w:rPr>
                <w:rFonts w:ascii="Arial" w:hAnsi="Arial" w:cs="Arial"/>
                <w:sz w:val="18"/>
              </w:rPr>
            </w:pPr>
            <w:r w:rsidRPr="00037C01">
              <w:rPr>
                <w:rFonts w:ascii="Arial" w:hAnsi="Arial" w:cs="Arial"/>
                <w:sz w:val="18"/>
              </w:rPr>
              <w:t>3.814.426</w:t>
            </w:r>
          </w:p>
        </w:tc>
      </w:tr>
      <w:tr w:rsidR="000E0573" w:rsidRPr="00037C01" w14:paraId="4EFC0008" w14:textId="77777777" w:rsidTr="00990736">
        <w:trPr>
          <w:trHeight w:val="253"/>
        </w:trPr>
        <w:tc>
          <w:tcPr>
            <w:tcW w:w="5743" w:type="dxa"/>
          </w:tcPr>
          <w:p w14:paraId="151D1E0B" w14:textId="77777777" w:rsidR="000E0573" w:rsidRPr="00037C01" w:rsidRDefault="000E0573" w:rsidP="000E0573">
            <w:pPr>
              <w:jc w:val="both"/>
              <w:rPr>
                <w:rFonts w:ascii="Arial" w:hAnsi="Arial" w:cs="Arial"/>
                <w:sz w:val="18"/>
              </w:rPr>
            </w:pPr>
            <w:r w:rsidRPr="00037C01">
              <w:rPr>
                <w:rFonts w:ascii="Arial" w:hAnsi="Arial" w:cs="Arial"/>
                <w:sz w:val="18"/>
              </w:rPr>
              <w:t>Por otras obligaciones negociables subordinadas</w:t>
            </w:r>
          </w:p>
        </w:tc>
        <w:tc>
          <w:tcPr>
            <w:tcW w:w="1503" w:type="dxa"/>
            <w:vAlign w:val="center"/>
          </w:tcPr>
          <w:p w14:paraId="19163CA1" w14:textId="66D431B5" w:rsidR="000E0573" w:rsidRPr="00037C01" w:rsidRDefault="00990736" w:rsidP="00990736">
            <w:pPr>
              <w:jc w:val="right"/>
              <w:rPr>
                <w:rFonts w:ascii="Arial" w:hAnsi="Arial" w:cs="Arial"/>
                <w:sz w:val="18"/>
              </w:rPr>
            </w:pPr>
            <w:r>
              <w:rPr>
                <w:rFonts w:ascii="Arial" w:hAnsi="Arial" w:cs="Arial"/>
                <w:sz w:val="18"/>
              </w:rPr>
              <w:t>111.198</w:t>
            </w:r>
          </w:p>
        </w:tc>
        <w:tc>
          <w:tcPr>
            <w:tcW w:w="1367" w:type="dxa"/>
          </w:tcPr>
          <w:p w14:paraId="05209B8C" w14:textId="57E4DB93" w:rsidR="000E0573" w:rsidRPr="00037C01" w:rsidRDefault="000E0573" w:rsidP="000E0573">
            <w:pPr>
              <w:jc w:val="right"/>
              <w:rPr>
                <w:rFonts w:ascii="Arial" w:hAnsi="Arial" w:cs="Arial"/>
                <w:sz w:val="18"/>
              </w:rPr>
            </w:pPr>
            <w:r w:rsidRPr="00037C01">
              <w:rPr>
                <w:rFonts w:ascii="Arial" w:hAnsi="Arial" w:cs="Arial"/>
                <w:sz w:val="18"/>
              </w:rPr>
              <w:t>72.528</w:t>
            </w:r>
          </w:p>
        </w:tc>
      </w:tr>
      <w:tr w:rsidR="000E0573" w:rsidRPr="00037C01" w14:paraId="535A0531" w14:textId="77777777" w:rsidTr="00990736">
        <w:trPr>
          <w:trHeight w:val="253"/>
        </w:trPr>
        <w:tc>
          <w:tcPr>
            <w:tcW w:w="5743" w:type="dxa"/>
            <w:shd w:val="clear" w:color="auto" w:fill="auto"/>
          </w:tcPr>
          <w:p w14:paraId="349A1942" w14:textId="77777777" w:rsidR="000E0573" w:rsidRPr="00037C01" w:rsidRDefault="000E0573" w:rsidP="000E0573">
            <w:pPr>
              <w:jc w:val="both"/>
              <w:rPr>
                <w:rFonts w:ascii="Arial" w:hAnsi="Arial" w:cs="Arial"/>
                <w:b/>
                <w:sz w:val="18"/>
              </w:rPr>
            </w:pPr>
            <w:r w:rsidRPr="00037C01">
              <w:rPr>
                <w:rFonts w:ascii="Arial" w:hAnsi="Arial" w:cs="Arial"/>
                <w:b/>
                <w:sz w:val="18"/>
              </w:rPr>
              <w:t>Total</w:t>
            </w:r>
          </w:p>
        </w:tc>
        <w:tc>
          <w:tcPr>
            <w:tcW w:w="1503" w:type="dxa"/>
            <w:vAlign w:val="center"/>
          </w:tcPr>
          <w:p w14:paraId="16C7D777" w14:textId="5FD6FCF3" w:rsidR="000E0573" w:rsidRPr="00037C01" w:rsidRDefault="00990736" w:rsidP="00990736">
            <w:pPr>
              <w:jc w:val="right"/>
              <w:rPr>
                <w:rFonts w:ascii="Arial" w:hAnsi="Arial" w:cs="Arial"/>
                <w:b/>
                <w:sz w:val="18"/>
              </w:rPr>
            </w:pPr>
            <w:r>
              <w:rPr>
                <w:rFonts w:ascii="Arial" w:hAnsi="Arial" w:cs="Arial"/>
                <w:b/>
                <w:sz w:val="18"/>
              </w:rPr>
              <w:t>28.494.697</w:t>
            </w:r>
          </w:p>
        </w:tc>
        <w:tc>
          <w:tcPr>
            <w:tcW w:w="1367" w:type="dxa"/>
            <w:shd w:val="clear" w:color="auto" w:fill="auto"/>
          </w:tcPr>
          <w:p w14:paraId="0BA1A595" w14:textId="06077857" w:rsidR="000E0573" w:rsidRPr="00037C01" w:rsidRDefault="000E0573" w:rsidP="000E0573">
            <w:pPr>
              <w:jc w:val="right"/>
              <w:rPr>
                <w:rFonts w:ascii="Arial" w:hAnsi="Arial" w:cs="Arial"/>
                <w:b/>
                <w:sz w:val="18"/>
              </w:rPr>
            </w:pPr>
            <w:r w:rsidRPr="00037C01">
              <w:rPr>
                <w:rFonts w:ascii="Arial" w:hAnsi="Arial" w:cs="Arial"/>
                <w:b/>
                <w:sz w:val="18"/>
              </w:rPr>
              <w:t>14.867.706</w:t>
            </w:r>
          </w:p>
        </w:tc>
      </w:tr>
    </w:tbl>
    <w:p w14:paraId="3F860E41" w14:textId="4CD90671" w:rsidR="00AE0907" w:rsidRDefault="00AE0907" w:rsidP="00AE0907">
      <w:pPr>
        <w:jc w:val="both"/>
        <w:rPr>
          <w:rFonts w:ascii="Arial" w:hAnsi="Arial" w:cs="Arial"/>
          <w:sz w:val="20"/>
        </w:rPr>
      </w:pPr>
    </w:p>
    <w:p w14:paraId="14DDAB35" w14:textId="605CB080" w:rsidR="00AE0907" w:rsidRPr="00AE0907" w:rsidRDefault="000E0573" w:rsidP="00AE0907">
      <w:pPr>
        <w:jc w:val="both"/>
        <w:rPr>
          <w:rFonts w:ascii="Arial" w:hAnsi="Arial" w:cs="Arial"/>
          <w:sz w:val="20"/>
        </w:rPr>
      </w:pPr>
      <w:r>
        <w:rPr>
          <w:rFonts w:ascii="Arial" w:hAnsi="Arial" w:cs="Arial"/>
          <w:sz w:val="20"/>
        </w:rPr>
        <w:t>6</w:t>
      </w:r>
      <w:r w:rsidR="00AE0907" w:rsidRPr="00AE0907">
        <w:rPr>
          <w:rFonts w:ascii="Arial" w:hAnsi="Arial" w:cs="Arial"/>
          <w:sz w:val="20"/>
        </w:rPr>
        <w:t>.19 Egresos por comisiones</w:t>
      </w:r>
    </w:p>
    <w:p w14:paraId="16FDD0B2" w14:textId="77777777" w:rsidR="00AE0907" w:rsidRPr="00AE0907" w:rsidRDefault="00AE0907" w:rsidP="00AE0907">
      <w:pPr>
        <w:jc w:val="both"/>
        <w:rPr>
          <w:rFonts w:ascii="Arial" w:hAnsi="Arial" w:cs="Arial"/>
          <w:sz w:val="20"/>
        </w:rPr>
      </w:pPr>
    </w:p>
    <w:p w14:paraId="223BF83C" w14:textId="43C29B80" w:rsidR="00AE0907" w:rsidRPr="00AE0907" w:rsidRDefault="00AE0907" w:rsidP="00AE0907">
      <w:pPr>
        <w:jc w:val="both"/>
        <w:rPr>
          <w:rFonts w:ascii="Arial" w:hAnsi="Arial" w:cs="Arial"/>
          <w:sz w:val="20"/>
        </w:rPr>
      </w:pPr>
      <w:r w:rsidRPr="00AE0907">
        <w:rPr>
          <w:rFonts w:ascii="Arial" w:eastAsiaTheme="minorHAnsi" w:hAnsi="Arial" w:cs="Arial"/>
          <w:sz w:val="20"/>
        </w:rPr>
        <w:t xml:space="preserve">Se detallan a continuación los principales componentes de los egresos por comisiones por los ejercicios económicos finalizados el </w:t>
      </w:r>
      <w:r w:rsidR="000E0573" w:rsidRPr="00AE0907">
        <w:rPr>
          <w:rFonts w:ascii="Arial" w:eastAsiaTheme="minorHAnsi" w:hAnsi="Arial" w:cs="Arial"/>
          <w:sz w:val="20"/>
        </w:rPr>
        <w:t>31 de diciembre de 201</w:t>
      </w:r>
      <w:r w:rsidR="000E0573">
        <w:rPr>
          <w:rFonts w:ascii="Arial" w:eastAsiaTheme="minorHAnsi" w:hAnsi="Arial" w:cs="Arial"/>
          <w:sz w:val="20"/>
        </w:rPr>
        <w:t>9</w:t>
      </w:r>
      <w:r w:rsidR="000E0573" w:rsidRPr="00AE0907">
        <w:rPr>
          <w:rFonts w:ascii="Arial" w:eastAsiaTheme="minorHAnsi" w:hAnsi="Arial" w:cs="Arial"/>
          <w:sz w:val="20"/>
        </w:rPr>
        <w:t xml:space="preserve"> y 201</w:t>
      </w:r>
      <w:r w:rsidR="000E0573">
        <w:rPr>
          <w:rFonts w:ascii="Arial" w:eastAsiaTheme="minorHAnsi" w:hAnsi="Arial" w:cs="Arial"/>
          <w:sz w:val="20"/>
        </w:rPr>
        <w:t>8</w:t>
      </w:r>
      <w:r w:rsidRPr="00AE0907">
        <w:rPr>
          <w:rFonts w:ascii="Arial" w:eastAsiaTheme="minorHAnsi" w:hAnsi="Arial" w:cs="Arial"/>
          <w:sz w:val="20"/>
        </w:rPr>
        <w:t>:</w:t>
      </w:r>
    </w:p>
    <w:p w14:paraId="71AED8C8" w14:textId="77777777" w:rsidR="00AE0907" w:rsidRPr="00AE0907" w:rsidRDefault="00AE0907" w:rsidP="00AE0907">
      <w:pPr>
        <w:jc w:val="both"/>
        <w:rPr>
          <w:rFonts w:ascii="Arial" w:hAnsi="Arial" w:cs="Arial"/>
          <w:sz w:val="20"/>
        </w:rPr>
      </w:pPr>
    </w:p>
    <w:tbl>
      <w:tblPr>
        <w:tblW w:w="8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8"/>
        <w:gridCol w:w="1489"/>
        <w:gridCol w:w="1489"/>
      </w:tblGrid>
      <w:tr w:rsidR="000E0573" w:rsidRPr="00037C01" w14:paraId="69165A1E" w14:textId="77777777" w:rsidTr="00037C01">
        <w:trPr>
          <w:trHeight w:val="259"/>
          <w:tblHeader/>
        </w:trPr>
        <w:tc>
          <w:tcPr>
            <w:tcW w:w="5688" w:type="dxa"/>
            <w:shd w:val="clear" w:color="auto" w:fill="auto"/>
          </w:tcPr>
          <w:p w14:paraId="5BBF5954" w14:textId="77777777" w:rsidR="000E0573" w:rsidRPr="00037C01" w:rsidRDefault="000E0573" w:rsidP="000E0573">
            <w:pPr>
              <w:jc w:val="center"/>
              <w:rPr>
                <w:rFonts w:ascii="Arial" w:hAnsi="Arial" w:cs="Arial"/>
                <w:sz w:val="18"/>
              </w:rPr>
            </w:pPr>
          </w:p>
        </w:tc>
        <w:tc>
          <w:tcPr>
            <w:tcW w:w="1489" w:type="dxa"/>
          </w:tcPr>
          <w:p w14:paraId="56D2E247" w14:textId="424F151C" w:rsidR="000E0573" w:rsidRPr="00037C01" w:rsidRDefault="000E0573" w:rsidP="000E0573">
            <w:pPr>
              <w:jc w:val="center"/>
              <w:rPr>
                <w:rFonts w:ascii="Arial" w:hAnsi="Arial" w:cs="Arial"/>
                <w:sz w:val="18"/>
              </w:rPr>
            </w:pPr>
            <w:r w:rsidRPr="00037C01">
              <w:rPr>
                <w:rFonts w:ascii="Arial" w:hAnsi="Arial" w:cs="Arial"/>
                <w:b/>
                <w:sz w:val="18"/>
              </w:rPr>
              <w:t>31/12/2019</w:t>
            </w:r>
          </w:p>
        </w:tc>
        <w:tc>
          <w:tcPr>
            <w:tcW w:w="1489" w:type="dxa"/>
            <w:shd w:val="clear" w:color="auto" w:fill="auto"/>
          </w:tcPr>
          <w:p w14:paraId="733F93CF" w14:textId="13EFF12A" w:rsidR="000E0573" w:rsidRPr="00037C01" w:rsidRDefault="000E0573" w:rsidP="000E0573">
            <w:pPr>
              <w:jc w:val="center"/>
              <w:rPr>
                <w:rFonts w:ascii="Arial" w:hAnsi="Arial" w:cs="Arial"/>
                <w:sz w:val="18"/>
              </w:rPr>
            </w:pPr>
            <w:r w:rsidRPr="00037C01">
              <w:rPr>
                <w:rFonts w:ascii="Arial" w:hAnsi="Arial" w:cs="Arial"/>
                <w:b/>
                <w:sz w:val="18"/>
              </w:rPr>
              <w:t>31/12/2018</w:t>
            </w:r>
          </w:p>
        </w:tc>
      </w:tr>
      <w:tr w:rsidR="000E0573" w:rsidRPr="00037C01" w14:paraId="0B9F49F6" w14:textId="77777777" w:rsidTr="00990736">
        <w:trPr>
          <w:trHeight w:val="259"/>
        </w:trPr>
        <w:tc>
          <w:tcPr>
            <w:tcW w:w="5688" w:type="dxa"/>
            <w:shd w:val="clear" w:color="auto" w:fill="auto"/>
          </w:tcPr>
          <w:p w14:paraId="198C1CB9" w14:textId="77777777" w:rsidR="000E0573" w:rsidRPr="00037C01" w:rsidRDefault="000E0573" w:rsidP="000E0573">
            <w:pPr>
              <w:jc w:val="both"/>
              <w:rPr>
                <w:rFonts w:ascii="Arial" w:hAnsi="Arial" w:cs="Arial"/>
                <w:sz w:val="18"/>
              </w:rPr>
            </w:pPr>
            <w:r w:rsidRPr="00037C01">
              <w:rPr>
                <w:rFonts w:ascii="Arial" w:hAnsi="Arial" w:cs="Arial"/>
                <w:sz w:val="18"/>
              </w:rPr>
              <w:t>Comisiones vinculadas con operaciones con títulos valores</w:t>
            </w:r>
          </w:p>
        </w:tc>
        <w:tc>
          <w:tcPr>
            <w:tcW w:w="1489" w:type="dxa"/>
            <w:vAlign w:val="center"/>
          </w:tcPr>
          <w:p w14:paraId="2F36A74C" w14:textId="7FA82F30" w:rsidR="000E0573" w:rsidRPr="00037C01" w:rsidRDefault="00990736" w:rsidP="00990736">
            <w:pPr>
              <w:jc w:val="right"/>
              <w:rPr>
                <w:rFonts w:ascii="Arial" w:hAnsi="Arial" w:cs="Arial"/>
                <w:sz w:val="18"/>
              </w:rPr>
            </w:pPr>
            <w:r>
              <w:rPr>
                <w:rFonts w:ascii="Arial" w:hAnsi="Arial" w:cs="Arial"/>
                <w:sz w:val="18"/>
              </w:rPr>
              <w:t>19.763</w:t>
            </w:r>
          </w:p>
        </w:tc>
        <w:tc>
          <w:tcPr>
            <w:tcW w:w="1489" w:type="dxa"/>
            <w:shd w:val="clear" w:color="auto" w:fill="auto"/>
            <w:vAlign w:val="center"/>
          </w:tcPr>
          <w:p w14:paraId="5EBCCA07" w14:textId="714EF00C" w:rsidR="000E0573" w:rsidRPr="00037C01" w:rsidRDefault="000E0573" w:rsidP="000E0573">
            <w:pPr>
              <w:jc w:val="right"/>
              <w:rPr>
                <w:rFonts w:ascii="Arial" w:hAnsi="Arial" w:cs="Arial"/>
                <w:sz w:val="18"/>
              </w:rPr>
            </w:pPr>
            <w:r w:rsidRPr="00037C01">
              <w:rPr>
                <w:rFonts w:ascii="Arial" w:hAnsi="Arial" w:cs="Arial"/>
                <w:sz w:val="18"/>
              </w:rPr>
              <w:t>15.386</w:t>
            </w:r>
          </w:p>
        </w:tc>
      </w:tr>
      <w:tr w:rsidR="000E0573" w:rsidRPr="00037C01" w14:paraId="2BF53F33" w14:textId="77777777" w:rsidTr="00990736">
        <w:trPr>
          <w:trHeight w:val="259"/>
        </w:trPr>
        <w:tc>
          <w:tcPr>
            <w:tcW w:w="5688" w:type="dxa"/>
          </w:tcPr>
          <w:p w14:paraId="78E5068E" w14:textId="77777777" w:rsidR="000E0573" w:rsidRPr="00037C01" w:rsidRDefault="000E0573" w:rsidP="000E0573">
            <w:pPr>
              <w:jc w:val="both"/>
              <w:rPr>
                <w:rFonts w:ascii="Arial" w:hAnsi="Arial" w:cs="Arial"/>
                <w:sz w:val="18"/>
              </w:rPr>
            </w:pPr>
            <w:r w:rsidRPr="00037C01">
              <w:rPr>
                <w:rFonts w:ascii="Arial" w:hAnsi="Arial" w:cs="Arial"/>
                <w:sz w:val="18"/>
              </w:rPr>
              <w:t>Comisiones bancarias</w:t>
            </w:r>
          </w:p>
        </w:tc>
        <w:tc>
          <w:tcPr>
            <w:tcW w:w="1489" w:type="dxa"/>
            <w:vAlign w:val="center"/>
          </w:tcPr>
          <w:p w14:paraId="05396B87" w14:textId="2DE73D9D" w:rsidR="000E0573" w:rsidRPr="00037C01" w:rsidRDefault="00990736" w:rsidP="00990736">
            <w:pPr>
              <w:jc w:val="right"/>
              <w:rPr>
                <w:rFonts w:ascii="Arial" w:hAnsi="Arial" w:cs="Arial"/>
                <w:sz w:val="18"/>
              </w:rPr>
            </w:pPr>
            <w:r>
              <w:rPr>
                <w:rFonts w:ascii="Arial" w:hAnsi="Arial" w:cs="Arial"/>
                <w:sz w:val="18"/>
              </w:rPr>
              <w:t>4.440</w:t>
            </w:r>
          </w:p>
        </w:tc>
        <w:tc>
          <w:tcPr>
            <w:tcW w:w="1489" w:type="dxa"/>
            <w:vAlign w:val="center"/>
          </w:tcPr>
          <w:p w14:paraId="06DEC9ED" w14:textId="6CFB3467" w:rsidR="000E0573" w:rsidRPr="00037C01" w:rsidRDefault="000E0573" w:rsidP="000E0573">
            <w:pPr>
              <w:jc w:val="right"/>
              <w:rPr>
                <w:rFonts w:ascii="Arial" w:hAnsi="Arial" w:cs="Arial"/>
                <w:sz w:val="18"/>
              </w:rPr>
            </w:pPr>
            <w:r w:rsidRPr="00037C01">
              <w:rPr>
                <w:rFonts w:ascii="Arial" w:hAnsi="Arial" w:cs="Arial"/>
                <w:sz w:val="18"/>
              </w:rPr>
              <w:t>3.279</w:t>
            </w:r>
          </w:p>
        </w:tc>
      </w:tr>
      <w:tr w:rsidR="000E0573" w:rsidRPr="00037C01" w14:paraId="3AC759A0" w14:textId="77777777" w:rsidTr="00990736">
        <w:trPr>
          <w:trHeight w:val="259"/>
        </w:trPr>
        <w:tc>
          <w:tcPr>
            <w:tcW w:w="5688" w:type="dxa"/>
          </w:tcPr>
          <w:p w14:paraId="7A86408B" w14:textId="77777777" w:rsidR="000E0573" w:rsidRPr="00037C01" w:rsidRDefault="000E0573" w:rsidP="000E0573">
            <w:pPr>
              <w:jc w:val="both"/>
              <w:rPr>
                <w:rFonts w:ascii="Arial" w:hAnsi="Arial" w:cs="Arial"/>
                <w:sz w:val="18"/>
              </w:rPr>
            </w:pPr>
            <w:r w:rsidRPr="00037C01">
              <w:rPr>
                <w:rFonts w:ascii="Arial" w:hAnsi="Arial" w:cs="Arial"/>
                <w:sz w:val="18"/>
              </w:rPr>
              <w:t>Seguros</w:t>
            </w:r>
          </w:p>
        </w:tc>
        <w:tc>
          <w:tcPr>
            <w:tcW w:w="1489" w:type="dxa"/>
            <w:vAlign w:val="center"/>
          </w:tcPr>
          <w:p w14:paraId="0B671D78" w14:textId="47B5C2C5" w:rsidR="000E0573" w:rsidRPr="00037C01" w:rsidRDefault="00990736" w:rsidP="00990736">
            <w:pPr>
              <w:jc w:val="right"/>
              <w:rPr>
                <w:rFonts w:ascii="Arial" w:hAnsi="Arial" w:cs="Arial"/>
                <w:sz w:val="18"/>
              </w:rPr>
            </w:pPr>
            <w:r>
              <w:rPr>
                <w:rFonts w:ascii="Arial" w:hAnsi="Arial" w:cs="Arial"/>
                <w:sz w:val="18"/>
              </w:rPr>
              <w:t>32.849</w:t>
            </w:r>
          </w:p>
        </w:tc>
        <w:tc>
          <w:tcPr>
            <w:tcW w:w="1489" w:type="dxa"/>
            <w:vAlign w:val="center"/>
          </w:tcPr>
          <w:p w14:paraId="0DE23992" w14:textId="7E8A5867" w:rsidR="000E0573" w:rsidRPr="00037C01" w:rsidRDefault="000E0573" w:rsidP="000E0573">
            <w:pPr>
              <w:jc w:val="right"/>
              <w:rPr>
                <w:rFonts w:ascii="Arial" w:hAnsi="Arial" w:cs="Arial"/>
                <w:sz w:val="18"/>
              </w:rPr>
            </w:pPr>
            <w:r w:rsidRPr="00037C01">
              <w:rPr>
                <w:rFonts w:ascii="Arial" w:hAnsi="Arial" w:cs="Arial"/>
                <w:sz w:val="18"/>
              </w:rPr>
              <w:t>5.113</w:t>
            </w:r>
          </w:p>
        </w:tc>
      </w:tr>
      <w:tr w:rsidR="000E0573" w:rsidRPr="00037C01" w14:paraId="2F304FCD" w14:textId="77777777" w:rsidTr="00990736">
        <w:trPr>
          <w:trHeight w:val="259"/>
        </w:trPr>
        <w:tc>
          <w:tcPr>
            <w:tcW w:w="5688" w:type="dxa"/>
          </w:tcPr>
          <w:p w14:paraId="0CC622D3" w14:textId="77777777" w:rsidR="000E0573" w:rsidRPr="00037C01" w:rsidRDefault="000E0573" w:rsidP="000E0573">
            <w:pPr>
              <w:jc w:val="both"/>
              <w:rPr>
                <w:rFonts w:ascii="Arial" w:hAnsi="Arial" w:cs="Arial"/>
                <w:sz w:val="18"/>
              </w:rPr>
            </w:pPr>
            <w:r w:rsidRPr="00037C01">
              <w:rPr>
                <w:rFonts w:ascii="Arial" w:hAnsi="Arial" w:cs="Arial"/>
                <w:sz w:val="18"/>
              </w:rPr>
              <w:t>Servicios de marketing</w:t>
            </w:r>
          </w:p>
        </w:tc>
        <w:tc>
          <w:tcPr>
            <w:tcW w:w="1489" w:type="dxa"/>
            <w:vAlign w:val="center"/>
          </w:tcPr>
          <w:p w14:paraId="2832A802" w14:textId="6431E14C" w:rsidR="000E0573" w:rsidRPr="00037C01" w:rsidRDefault="00990736" w:rsidP="00990736">
            <w:pPr>
              <w:jc w:val="right"/>
              <w:rPr>
                <w:rFonts w:ascii="Arial" w:hAnsi="Arial" w:cs="Arial"/>
                <w:sz w:val="18"/>
              </w:rPr>
            </w:pPr>
            <w:r>
              <w:rPr>
                <w:rFonts w:ascii="Arial" w:hAnsi="Arial" w:cs="Arial"/>
                <w:sz w:val="18"/>
              </w:rPr>
              <w:t>58.548</w:t>
            </w:r>
          </w:p>
        </w:tc>
        <w:tc>
          <w:tcPr>
            <w:tcW w:w="1489" w:type="dxa"/>
            <w:vAlign w:val="center"/>
          </w:tcPr>
          <w:p w14:paraId="3A6426C6" w14:textId="52DA8CE3" w:rsidR="000E0573" w:rsidRPr="00037C01" w:rsidRDefault="000E0573" w:rsidP="000E0573">
            <w:pPr>
              <w:jc w:val="right"/>
              <w:rPr>
                <w:rFonts w:ascii="Arial" w:hAnsi="Arial" w:cs="Arial"/>
                <w:sz w:val="18"/>
              </w:rPr>
            </w:pPr>
            <w:r w:rsidRPr="00037C01">
              <w:rPr>
                <w:rFonts w:ascii="Arial" w:hAnsi="Arial" w:cs="Arial"/>
                <w:sz w:val="18"/>
              </w:rPr>
              <w:t>69.846</w:t>
            </w:r>
          </w:p>
        </w:tc>
      </w:tr>
      <w:tr w:rsidR="000E0573" w:rsidRPr="00037C01" w14:paraId="0C505EFA" w14:textId="77777777" w:rsidTr="00990736">
        <w:trPr>
          <w:trHeight w:val="259"/>
        </w:trPr>
        <w:tc>
          <w:tcPr>
            <w:tcW w:w="5688" w:type="dxa"/>
          </w:tcPr>
          <w:p w14:paraId="6B722517" w14:textId="77777777" w:rsidR="000E0573" w:rsidRPr="00037C01" w:rsidRDefault="000E0573" w:rsidP="000E0573">
            <w:pPr>
              <w:jc w:val="both"/>
              <w:rPr>
                <w:rFonts w:ascii="Arial" w:hAnsi="Arial" w:cs="Arial"/>
                <w:sz w:val="18"/>
              </w:rPr>
            </w:pPr>
            <w:r w:rsidRPr="00037C01">
              <w:rPr>
                <w:rFonts w:ascii="Arial" w:hAnsi="Arial" w:cs="Arial"/>
                <w:sz w:val="18"/>
              </w:rPr>
              <w:t>Financiaciones y consumo de tarjeta de crédito</w:t>
            </w:r>
          </w:p>
        </w:tc>
        <w:tc>
          <w:tcPr>
            <w:tcW w:w="1489" w:type="dxa"/>
            <w:vAlign w:val="center"/>
          </w:tcPr>
          <w:p w14:paraId="1505D759" w14:textId="4A7F0E12" w:rsidR="000E0573" w:rsidRPr="00037C01" w:rsidRDefault="00990736" w:rsidP="00990736">
            <w:pPr>
              <w:jc w:val="right"/>
              <w:rPr>
                <w:rFonts w:ascii="Arial" w:hAnsi="Arial" w:cs="Arial"/>
                <w:sz w:val="18"/>
              </w:rPr>
            </w:pPr>
            <w:r>
              <w:rPr>
                <w:rFonts w:ascii="Arial" w:hAnsi="Arial" w:cs="Arial"/>
                <w:sz w:val="18"/>
              </w:rPr>
              <w:t>1.230.264</w:t>
            </w:r>
          </w:p>
        </w:tc>
        <w:tc>
          <w:tcPr>
            <w:tcW w:w="1489" w:type="dxa"/>
            <w:vAlign w:val="center"/>
          </w:tcPr>
          <w:p w14:paraId="1C232BB4" w14:textId="4BF5A946" w:rsidR="000E0573" w:rsidRPr="00037C01" w:rsidRDefault="000E0573" w:rsidP="000E0573">
            <w:pPr>
              <w:jc w:val="right"/>
              <w:rPr>
                <w:rFonts w:ascii="Arial" w:hAnsi="Arial" w:cs="Arial"/>
                <w:sz w:val="18"/>
              </w:rPr>
            </w:pPr>
            <w:r w:rsidRPr="00037C01">
              <w:rPr>
                <w:rFonts w:ascii="Arial" w:hAnsi="Arial" w:cs="Arial"/>
                <w:sz w:val="18"/>
              </w:rPr>
              <w:t>732.344</w:t>
            </w:r>
          </w:p>
        </w:tc>
      </w:tr>
      <w:tr w:rsidR="000E0573" w:rsidRPr="00037C01" w14:paraId="515F2F09" w14:textId="77777777" w:rsidTr="00990736">
        <w:trPr>
          <w:trHeight w:val="259"/>
        </w:trPr>
        <w:tc>
          <w:tcPr>
            <w:tcW w:w="5688" w:type="dxa"/>
          </w:tcPr>
          <w:p w14:paraId="02585459" w14:textId="77777777" w:rsidR="000E0573" w:rsidRPr="00037C01" w:rsidRDefault="000E0573" w:rsidP="000E0573">
            <w:pPr>
              <w:jc w:val="both"/>
              <w:rPr>
                <w:rFonts w:ascii="Arial" w:hAnsi="Arial" w:cs="Arial"/>
                <w:sz w:val="18"/>
              </w:rPr>
            </w:pPr>
            <w:r w:rsidRPr="00037C01">
              <w:rPr>
                <w:rFonts w:ascii="Arial" w:hAnsi="Arial" w:cs="Arial"/>
                <w:sz w:val="18"/>
              </w:rPr>
              <w:t>Servicios de Comercializadora y Recaudación</w:t>
            </w:r>
          </w:p>
        </w:tc>
        <w:tc>
          <w:tcPr>
            <w:tcW w:w="1489" w:type="dxa"/>
            <w:vAlign w:val="center"/>
          </w:tcPr>
          <w:p w14:paraId="11A87E4D" w14:textId="4E45F9B6" w:rsidR="000E0573" w:rsidRPr="00037C01" w:rsidRDefault="00990736" w:rsidP="00990736">
            <w:pPr>
              <w:jc w:val="right"/>
              <w:rPr>
                <w:rFonts w:ascii="Arial" w:hAnsi="Arial" w:cs="Arial"/>
                <w:sz w:val="18"/>
              </w:rPr>
            </w:pPr>
            <w:r>
              <w:rPr>
                <w:rFonts w:ascii="Arial" w:hAnsi="Arial" w:cs="Arial"/>
                <w:sz w:val="18"/>
              </w:rPr>
              <w:t>389.319</w:t>
            </w:r>
          </w:p>
        </w:tc>
        <w:tc>
          <w:tcPr>
            <w:tcW w:w="1489" w:type="dxa"/>
            <w:vAlign w:val="center"/>
          </w:tcPr>
          <w:p w14:paraId="08020AA6" w14:textId="028CCFF5" w:rsidR="000E0573" w:rsidRPr="00037C01" w:rsidRDefault="000E0573" w:rsidP="000E0573">
            <w:pPr>
              <w:jc w:val="right"/>
              <w:rPr>
                <w:rFonts w:ascii="Arial" w:hAnsi="Arial" w:cs="Arial"/>
                <w:sz w:val="18"/>
              </w:rPr>
            </w:pPr>
            <w:r w:rsidRPr="00037C01">
              <w:rPr>
                <w:rFonts w:ascii="Arial" w:hAnsi="Arial" w:cs="Arial"/>
                <w:sz w:val="18"/>
              </w:rPr>
              <w:t>456.601</w:t>
            </w:r>
          </w:p>
        </w:tc>
      </w:tr>
      <w:tr w:rsidR="000E0573" w:rsidRPr="00037C01" w14:paraId="6626F7C4" w14:textId="77777777" w:rsidTr="00990736">
        <w:trPr>
          <w:trHeight w:val="259"/>
        </w:trPr>
        <w:tc>
          <w:tcPr>
            <w:tcW w:w="5688" w:type="dxa"/>
          </w:tcPr>
          <w:p w14:paraId="4B9C56F8" w14:textId="77777777" w:rsidR="000E0573" w:rsidRPr="00037C01" w:rsidRDefault="000E0573" w:rsidP="000E0573">
            <w:pPr>
              <w:jc w:val="both"/>
              <w:rPr>
                <w:rFonts w:ascii="Arial" w:hAnsi="Arial" w:cs="Arial"/>
                <w:sz w:val="18"/>
              </w:rPr>
            </w:pPr>
            <w:r w:rsidRPr="00037C01">
              <w:rPr>
                <w:rFonts w:ascii="Arial" w:hAnsi="Arial" w:cs="Arial"/>
                <w:sz w:val="18"/>
              </w:rPr>
              <w:t>Otros</w:t>
            </w:r>
          </w:p>
        </w:tc>
        <w:tc>
          <w:tcPr>
            <w:tcW w:w="1489" w:type="dxa"/>
            <w:vAlign w:val="center"/>
          </w:tcPr>
          <w:p w14:paraId="47C134BF" w14:textId="61060A26" w:rsidR="000E0573" w:rsidRPr="00037C01" w:rsidRDefault="00990736" w:rsidP="00990736">
            <w:pPr>
              <w:jc w:val="right"/>
              <w:rPr>
                <w:rFonts w:ascii="Arial" w:hAnsi="Arial" w:cs="Arial"/>
                <w:sz w:val="18"/>
              </w:rPr>
            </w:pPr>
            <w:r>
              <w:rPr>
                <w:rFonts w:ascii="Arial" w:hAnsi="Arial" w:cs="Arial"/>
                <w:sz w:val="18"/>
              </w:rPr>
              <w:t>329.616</w:t>
            </w:r>
          </w:p>
        </w:tc>
        <w:tc>
          <w:tcPr>
            <w:tcW w:w="1489" w:type="dxa"/>
            <w:vAlign w:val="center"/>
          </w:tcPr>
          <w:p w14:paraId="5A115642" w14:textId="38446874" w:rsidR="000E0573" w:rsidRPr="00037C01" w:rsidRDefault="000E0573" w:rsidP="000E0573">
            <w:pPr>
              <w:jc w:val="right"/>
              <w:rPr>
                <w:rFonts w:ascii="Arial" w:hAnsi="Arial" w:cs="Arial"/>
                <w:sz w:val="18"/>
              </w:rPr>
            </w:pPr>
            <w:r w:rsidRPr="00037C01">
              <w:rPr>
                <w:rFonts w:ascii="Arial" w:hAnsi="Arial" w:cs="Arial"/>
                <w:sz w:val="18"/>
              </w:rPr>
              <w:t>93.007</w:t>
            </w:r>
          </w:p>
        </w:tc>
      </w:tr>
      <w:tr w:rsidR="000E0573" w:rsidRPr="00037C01" w14:paraId="4A2E6D45" w14:textId="77777777" w:rsidTr="00990736">
        <w:trPr>
          <w:trHeight w:val="259"/>
        </w:trPr>
        <w:tc>
          <w:tcPr>
            <w:tcW w:w="5688" w:type="dxa"/>
            <w:shd w:val="clear" w:color="auto" w:fill="auto"/>
          </w:tcPr>
          <w:p w14:paraId="7FFC1994" w14:textId="77777777" w:rsidR="000E0573" w:rsidRPr="00037C01" w:rsidRDefault="000E0573" w:rsidP="000E0573">
            <w:pPr>
              <w:jc w:val="both"/>
              <w:rPr>
                <w:rFonts w:ascii="Arial" w:hAnsi="Arial" w:cs="Arial"/>
                <w:b/>
                <w:sz w:val="18"/>
              </w:rPr>
            </w:pPr>
            <w:r w:rsidRPr="00037C01">
              <w:rPr>
                <w:rFonts w:ascii="Arial" w:hAnsi="Arial" w:cs="Arial"/>
                <w:b/>
                <w:sz w:val="18"/>
              </w:rPr>
              <w:t>Total</w:t>
            </w:r>
          </w:p>
        </w:tc>
        <w:tc>
          <w:tcPr>
            <w:tcW w:w="1489" w:type="dxa"/>
            <w:vAlign w:val="center"/>
          </w:tcPr>
          <w:p w14:paraId="056E3AE1" w14:textId="25DC63B3" w:rsidR="000E0573" w:rsidRPr="00037C01" w:rsidRDefault="00990736" w:rsidP="00990736">
            <w:pPr>
              <w:jc w:val="right"/>
              <w:rPr>
                <w:rFonts w:ascii="Arial" w:hAnsi="Arial" w:cs="Arial"/>
                <w:b/>
                <w:sz w:val="18"/>
              </w:rPr>
            </w:pPr>
            <w:r>
              <w:rPr>
                <w:rFonts w:ascii="Arial" w:hAnsi="Arial" w:cs="Arial"/>
                <w:b/>
                <w:sz w:val="18"/>
              </w:rPr>
              <w:t>2.064.799</w:t>
            </w:r>
          </w:p>
        </w:tc>
        <w:tc>
          <w:tcPr>
            <w:tcW w:w="1489" w:type="dxa"/>
            <w:shd w:val="clear" w:color="auto" w:fill="auto"/>
            <w:vAlign w:val="center"/>
          </w:tcPr>
          <w:p w14:paraId="70D583CE" w14:textId="377C10B8" w:rsidR="000E0573" w:rsidRPr="00037C01" w:rsidRDefault="000E0573" w:rsidP="000E0573">
            <w:pPr>
              <w:jc w:val="right"/>
              <w:rPr>
                <w:rFonts w:ascii="Arial" w:hAnsi="Arial" w:cs="Arial"/>
                <w:b/>
                <w:sz w:val="18"/>
              </w:rPr>
            </w:pPr>
            <w:r w:rsidRPr="00037C01">
              <w:rPr>
                <w:rFonts w:ascii="Arial" w:hAnsi="Arial" w:cs="Arial"/>
                <w:b/>
                <w:sz w:val="18"/>
              </w:rPr>
              <w:t>1.375.576</w:t>
            </w:r>
          </w:p>
        </w:tc>
      </w:tr>
    </w:tbl>
    <w:p w14:paraId="7222DE95" w14:textId="77777777" w:rsidR="00AE0907" w:rsidRPr="00AE0907" w:rsidRDefault="00AE0907" w:rsidP="00AE0907">
      <w:pPr>
        <w:jc w:val="both"/>
        <w:rPr>
          <w:rFonts w:ascii="Arial" w:hAnsi="Arial" w:cs="Arial"/>
          <w:sz w:val="20"/>
        </w:rPr>
      </w:pPr>
    </w:p>
    <w:p w14:paraId="3EC1F742" w14:textId="20D06EAE" w:rsidR="00AE0907" w:rsidRPr="00AE0907" w:rsidRDefault="000E0573" w:rsidP="00AE0907">
      <w:pPr>
        <w:jc w:val="both"/>
        <w:rPr>
          <w:rFonts w:ascii="Arial" w:hAnsi="Arial" w:cs="Arial"/>
          <w:sz w:val="20"/>
        </w:rPr>
      </w:pPr>
      <w:r>
        <w:rPr>
          <w:rFonts w:ascii="Arial" w:hAnsi="Arial" w:cs="Arial"/>
          <w:sz w:val="20"/>
        </w:rPr>
        <w:t>6</w:t>
      </w:r>
      <w:r w:rsidR="00AE0907" w:rsidRPr="00AE0907">
        <w:rPr>
          <w:rFonts w:ascii="Arial" w:hAnsi="Arial" w:cs="Arial"/>
          <w:sz w:val="20"/>
        </w:rPr>
        <w:t>.20 Resultado neto por medición de instrumentos financieros a valor razonable con cambios en resultados</w:t>
      </w:r>
    </w:p>
    <w:p w14:paraId="32378601" w14:textId="77777777" w:rsidR="00AE0907" w:rsidRPr="00AE0907" w:rsidRDefault="00AE0907" w:rsidP="00AE0907">
      <w:pPr>
        <w:jc w:val="both"/>
        <w:rPr>
          <w:rFonts w:ascii="Arial" w:hAnsi="Arial" w:cs="Arial"/>
          <w:sz w:val="20"/>
        </w:rPr>
      </w:pPr>
    </w:p>
    <w:p w14:paraId="171CA4D7" w14:textId="39759551" w:rsidR="00AE0907" w:rsidRPr="00AE0907" w:rsidRDefault="00AE0907" w:rsidP="00AE0907">
      <w:pPr>
        <w:jc w:val="both"/>
        <w:rPr>
          <w:rFonts w:ascii="Arial" w:hAnsi="Arial" w:cs="Arial"/>
          <w:sz w:val="20"/>
        </w:rPr>
      </w:pPr>
      <w:r w:rsidRPr="00AE0907">
        <w:rPr>
          <w:rFonts w:ascii="Arial" w:eastAsiaTheme="minorHAnsi" w:hAnsi="Arial" w:cs="Arial"/>
          <w:sz w:val="20"/>
        </w:rPr>
        <w:t xml:space="preserve">Se detallan a continuación los principales componentes del rubro resultado neto por medición de instrumentos financieros a valor razonable con cambios en resultados por los ejercicios económicos finalizados el </w:t>
      </w:r>
      <w:r w:rsidR="000E0573" w:rsidRPr="00AE0907">
        <w:rPr>
          <w:rFonts w:ascii="Arial" w:eastAsiaTheme="minorHAnsi" w:hAnsi="Arial" w:cs="Arial"/>
          <w:sz w:val="20"/>
        </w:rPr>
        <w:t>31 de diciembre de 201</w:t>
      </w:r>
      <w:r w:rsidR="000E0573">
        <w:rPr>
          <w:rFonts w:ascii="Arial" w:eastAsiaTheme="minorHAnsi" w:hAnsi="Arial" w:cs="Arial"/>
          <w:sz w:val="20"/>
        </w:rPr>
        <w:t>9</w:t>
      </w:r>
      <w:r w:rsidR="000E0573" w:rsidRPr="00AE0907">
        <w:rPr>
          <w:rFonts w:ascii="Arial" w:eastAsiaTheme="minorHAnsi" w:hAnsi="Arial" w:cs="Arial"/>
          <w:sz w:val="20"/>
        </w:rPr>
        <w:t xml:space="preserve"> y 201</w:t>
      </w:r>
      <w:r w:rsidR="000E0573">
        <w:rPr>
          <w:rFonts w:ascii="Arial" w:eastAsiaTheme="minorHAnsi" w:hAnsi="Arial" w:cs="Arial"/>
          <w:sz w:val="20"/>
        </w:rPr>
        <w:t>8</w:t>
      </w:r>
      <w:r w:rsidRPr="00AE0907">
        <w:rPr>
          <w:rFonts w:ascii="Arial" w:eastAsiaTheme="minorHAnsi" w:hAnsi="Arial" w:cs="Arial"/>
          <w:sz w:val="20"/>
        </w:rPr>
        <w:t>:</w:t>
      </w:r>
    </w:p>
    <w:p w14:paraId="40EC82BA" w14:textId="695AE58A" w:rsidR="00AE0907" w:rsidRDefault="00AE0907" w:rsidP="00AE0907">
      <w:pPr>
        <w:jc w:val="both"/>
        <w:rPr>
          <w:rFonts w:ascii="Arial" w:hAnsi="Arial" w:cs="Arial"/>
          <w:sz w:val="20"/>
        </w:rPr>
      </w:pPr>
    </w:p>
    <w:p w14:paraId="5F24CC74" w14:textId="77777777" w:rsidR="000B1093" w:rsidRPr="00AE0907" w:rsidRDefault="000B1093" w:rsidP="00AE0907">
      <w:pPr>
        <w:jc w:val="both"/>
        <w:rPr>
          <w:rFonts w:ascii="Arial" w:hAnsi="Arial" w:cs="Arial"/>
          <w:sz w:val="20"/>
        </w:rPr>
      </w:pPr>
    </w:p>
    <w:tbl>
      <w:tblPr>
        <w:tblW w:w="87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2"/>
        <w:gridCol w:w="1378"/>
        <w:gridCol w:w="1389"/>
      </w:tblGrid>
      <w:tr w:rsidR="000E0573" w:rsidRPr="00037C01" w14:paraId="1440BFD8" w14:textId="77777777" w:rsidTr="00037C01">
        <w:trPr>
          <w:trHeight w:val="256"/>
        </w:trPr>
        <w:tc>
          <w:tcPr>
            <w:tcW w:w="5942" w:type="dxa"/>
            <w:shd w:val="clear" w:color="auto" w:fill="auto"/>
            <w:noWrap/>
            <w:hideMark/>
          </w:tcPr>
          <w:p w14:paraId="4C60035E" w14:textId="77777777" w:rsidR="000E0573" w:rsidRPr="00037C01" w:rsidRDefault="000E0573" w:rsidP="000E0573">
            <w:pPr>
              <w:jc w:val="center"/>
              <w:rPr>
                <w:rFonts w:ascii="Arial" w:hAnsi="Arial" w:cs="Arial"/>
                <w:sz w:val="18"/>
              </w:rPr>
            </w:pPr>
          </w:p>
        </w:tc>
        <w:tc>
          <w:tcPr>
            <w:tcW w:w="1378" w:type="dxa"/>
            <w:shd w:val="clear" w:color="auto" w:fill="auto"/>
            <w:noWrap/>
            <w:hideMark/>
          </w:tcPr>
          <w:p w14:paraId="1A6E1946" w14:textId="17689998" w:rsidR="000E0573" w:rsidRPr="00037C01" w:rsidRDefault="000E0573" w:rsidP="000E0573">
            <w:pPr>
              <w:jc w:val="center"/>
              <w:rPr>
                <w:rFonts w:ascii="Arial" w:hAnsi="Arial" w:cs="Arial"/>
                <w:sz w:val="18"/>
              </w:rPr>
            </w:pPr>
            <w:r w:rsidRPr="00037C01">
              <w:rPr>
                <w:rFonts w:ascii="Arial" w:hAnsi="Arial" w:cs="Arial"/>
                <w:b/>
                <w:sz w:val="18"/>
              </w:rPr>
              <w:t>31/12/2019</w:t>
            </w:r>
          </w:p>
        </w:tc>
        <w:tc>
          <w:tcPr>
            <w:tcW w:w="1389" w:type="dxa"/>
          </w:tcPr>
          <w:p w14:paraId="0CCC4A08" w14:textId="7F554DA3" w:rsidR="000E0573" w:rsidRPr="00037C01" w:rsidRDefault="000E0573" w:rsidP="000E0573">
            <w:pPr>
              <w:jc w:val="center"/>
              <w:rPr>
                <w:rFonts w:ascii="Arial" w:hAnsi="Arial" w:cs="Arial"/>
                <w:sz w:val="18"/>
              </w:rPr>
            </w:pPr>
            <w:r w:rsidRPr="00037C01">
              <w:rPr>
                <w:rFonts w:ascii="Arial" w:hAnsi="Arial" w:cs="Arial"/>
                <w:b/>
                <w:sz w:val="18"/>
              </w:rPr>
              <w:t>31/12/2018</w:t>
            </w:r>
          </w:p>
        </w:tc>
      </w:tr>
      <w:tr w:rsidR="000E0573" w:rsidRPr="00037C01" w14:paraId="33776CA4" w14:textId="77777777" w:rsidTr="00037C01">
        <w:trPr>
          <w:trHeight w:val="256"/>
        </w:trPr>
        <w:tc>
          <w:tcPr>
            <w:tcW w:w="59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C7805" w14:textId="77777777" w:rsidR="000E0573" w:rsidRPr="00037C01" w:rsidRDefault="000E0573" w:rsidP="000E0573">
            <w:pPr>
              <w:jc w:val="both"/>
              <w:rPr>
                <w:rFonts w:ascii="Arial" w:hAnsi="Arial" w:cs="Arial"/>
                <w:sz w:val="18"/>
              </w:rPr>
            </w:pPr>
            <w:r w:rsidRPr="00037C01">
              <w:rPr>
                <w:rFonts w:ascii="Arial" w:hAnsi="Arial" w:cs="Arial"/>
                <w:sz w:val="18"/>
              </w:rPr>
              <w:t>Resultado de títulos públicos</w:t>
            </w:r>
          </w:p>
        </w:tc>
        <w:tc>
          <w:tcPr>
            <w:tcW w:w="13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651448" w14:textId="48A7B2B6" w:rsidR="000E0573" w:rsidRPr="00037C01" w:rsidRDefault="00990736" w:rsidP="00543EF5">
            <w:pPr>
              <w:jc w:val="right"/>
              <w:rPr>
                <w:rFonts w:ascii="Arial" w:hAnsi="Arial" w:cs="Arial"/>
                <w:sz w:val="18"/>
              </w:rPr>
            </w:pPr>
            <w:r>
              <w:rPr>
                <w:rFonts w:ascii="Arial" w:hAnsi="Arial" w:cs="Arial"/>
                <w:sz w:val="18"/>
              </w:rPr>
              <w:t>15.483.186</w:t>
            </w:r>
          </w:p>
        </w:tc>
        <w:tc>
          <w:tcPr>
            <w:tcW w:w="1389" w:type="dxa"/>
            <w:tcBorders>
              <w:top w:val="single" w:sz="4" w:space="0" w:color="auto"/>
              <w:left w:val="single" w:sz="4" w:space="0" w:color="auto"/>
              <w:bottom w:val="single" w:sz="4" w:space="0" w:color="auto"/>
              <w:right w:val="single" w:sz="4" w:space="0" w:color="auto"/>
            </w:tcBorders>
            <w:vAlign w:val="bottom"/>
          </w:tcPr>
          <w:p w14:paraId="20C7FE67" w14:textId="5A28A109" w:rsidR="000E0573" w:rsidRPr="00037C01" w:rsidRDefault="000E0573" w:rsidP="000E0573">
            <w:pPr>
              <w:jc w:val="right"/>
              <w:rPr>
                <w:rFonts w:ascii="Arial" w:hAnsi="Arial" w:cs="Arial"/>
                <w:sz w:val="18"/>
              </w:rPr>
            </w:pPr>
            <w:r w:rsidRPr="00037C01">
              <w:rPr>
                <w:rFonts w:ascii="Arial" w:hAnsi="Arial" w:cs="Arial"/>
                <w:sz w:val="18"/>
              </w:rPr>
              <w:t>5.899.700</w:t>
            </w:r>
          </w:p>
        </w:tc>
      </w:tr>
      <w:tr w:rsidR="000E0573" w:rsidRPr="00037C01" w14:paraId="028F251C" w14:textId="77777777" w:rsidTr="00037C01">
        <w:trPr>
          <w:trHeight w:val="256"/>
        </w:trPr>
        <w:tc>
          <w:tcPr>
            <w:tcW w:w="5942" w:type="dxa"/>
            <w:shd w:val="clear" w:color="auto" w:fill="auto"/>
            <w:noWrap/>
            <w:vAlign w:val="center"/>
          </w:tcPr>
          <w:p w14:paraId="078FA467" w14:textId="77777777" w:rsidR="000E0573" w:rsidRPr="00037C01" w:rsidRDefault="000E0573" w:rsidP="000E0573">
            <w:pPr>
              <w:jc w:val="both"/>
              <w:rPr>
                <w:rFonts w:ascii="Arial" w:hAnsi="Arial" w:cs="Arial"/>
                <w:sz w:val="18"/>
              </w:rPr>
            </w:pPr>
            <w:r w:rsidRPr="00037C01">
              <w:rPr>
                <w:rFonts w:ascii="Arial" w:hAnsi="Arial" w:cs="Arial"/>
                <w:sz w:val="18"/>
              </w:rPr>
              <w:t>Resultado de títulos privados</w:t>
            </w:r>
          </w:p>
        </w:tc>
        <w:tc>
          <w:tcPr>
            <w:tcW w:w="1378" w:type="dxa"/>
            <w:shd w:val="clear" w:color="auto" w:fill="auto"/>
            <w:noWrap/>
            <w:vAlign w:val="bottom"/>
          </w:tcPr>
          <w:p w14:paraId="2CA2A836" w14:textId="05EA448A" w:rsidR="000E0573" w:rsidRPr="00037C01" w:rsidRDefault="00990736" w:rsidP="00543EF5">
            <w:pPr>
              <w:jc w:val="right"/>
              <w:rPr>
                <w:rFonts w:ascii="Arial" w:hAnsi="Arial" w:cs="Arial"/>
                <w:sz w:val="18"/>
              </w:rPr>
            </w:pPr>
            <w:r>
              <w:rPr>
                <w:rFonts w:ascii="Arial" w:hAnsi="Arial" w:cs="Arial"/>
                <w:sz w:val="18"/>
              </w:rPr>
              <w:t>18.377</w:t>
            </w:r>
          </w:p>
        </w:tc>
        <w:tc>
          <w:tcPr>
            <w:tcW w:w="1389" w:type="dxa"/>
            <w:vAlign w:val="bottom"/>
          </w:tcPr>
          <w:p w14:paraId="771BDA35" w14:textId="72DF7038" w:rsidR="000E0573" w:rsidRPr="00037C01" w:rsidRDefault="000E0573" w:rsidP="000E0573">
            <w:pPr>
              <w:jc w:val="right"/>
              <w:rPr>
                <w:rFonts w:ascii="Arial" w:hAnsi="Arial" w:cs="Arial"/>
                <w:sz w:val="18"/>
              </w:rPr>
            </w:pPr>
            <w:r w:rsidRPr="00037C01">
              <w:rPr>
                <w:rFonts w:ascii="Arial" w:hAnsi="Arial" w:cs="Arial"/>
                <w:sz w:val="18"/>
              </w:rPr>
              <w:t>60.826</w:t>
            </w:r>
          </w:p>
        </w:tc>
      </w:tr>
      <w:tr w:rsidR="000E0573" w:rsidRPr="00037C01" w14:paraId="08259ED7" w14:textId="77777777" w:rsidTr="00037C01">
        <w:trPr>
          <w:trHeight w:val="256"/>
        </w:trPr>
        <w:tc>
          <w:tcPr>
            <w:tcW w:w="5942" w:type="dxa"/>
            <w:shd w:val="clear" w:color="auto" w:fill="auto"/>
            <w:noWrap/>
            <w:vAlign w:val="center"/>
          </w:tcPr>
          <w:p w14:paraId="488F4E68" w14:textId="77777777" w:rsidR="000E0573" w:rsidRPr="00037C01" w:rsidRDefault="000E0573" w:rsidP="000E0573">
            <w:pPr>
              <w:jc w:val="both"/>
              <w:rPr>
                <w:rFonts w:ascii="Arial" w:hAnsi="Arial" w:cs="Arial"/>
                <w:sz w:val="18"/>
              </w:rPr>
            </w:pPr>
            <w:r w:rsidRPr="00037C01">
              <w:rPr>
                <w:rFonts w:ascii="Arial" w:hAnsi="Arial" w:cs="Arial"/>
                <w:sz w:val="18"/>
              </w:rPr>
              <w:t>Operaciones a término</w:t>
            </w:r>
          </w:p>
        </w:tc>
        <w:tc>
          <w:tcPr>
            <w:tcW w:w="1378" w:type="dxa"/>
            <w:shd w:val="clear" w:color="auto" w:fill="auto"/>
            <w:noWrap/>
            <w:vAlign w:val="bottom"/>
          </w:tcPr>
          <w:p w14:paraId="3CBFBE35" w14:textId="365F788C" w:rsidR="000E0573" w:rsidRPr="00037C01" w:rsidRDefault="003D4133" w:rsidP="00543EF5">
            <w:pPr>
              <w:jc w:val="right"/>
              <w:rPr>
                <w:rFonts w:ascii="Arial" w:hAnsi="Arial" w:cs="Arial"/>
                <w:sz w:val="18"/>
              </w:rPr>
            </w:pPr>
            <w:r>
              <w:rPr>
                <w:rFonts w:ascii="Arial" w:hAnsi="Arial" w:cs="Arial"/>
                <w:sz w:val="18"/>
              </w:rPr>
              <w:t>614.343</w:t>
            </w:r>
          </w:p>
        </w:tc>
        <w:tc>
          <w:tcPr>
            <w:tcW w:w="1389" w:type="dxa"/>
            <w:vAlign w:val="bottom"/>
          </w:tcPr>
          <w:p w14:paraId="22F0BA3E" w14:textId="55C151E6" w:rsidR="000E0573" w:rsidRPr="00037C01" w:rsidRDefault="000E0573" w:rsidP="000E0573">
            <w:pPr>
              <w:jc w:val="right"/>
              <w:rPr>
                <w:rFonts w:ascii="Arial" w:hAnsi="Arial" w:cs="Arial"/>
                <w:sz w:val="18"/>
              </w:rPr>
            </w:pPr>
            <w:r w:rsidRPr="00037C01">
              <w:rPr>
                <w:rFonts w:ascii="Arial" w:hAnsi="Arial" w:cs="Arial"/>
                <w:sz w:val="18"/>
              </w:rPr>
              <w:t>-1.296.437</w:t>
            </w:r>
          </w:p>
        </w:tc>
      </w:tr>
      <w:tr w:rsidR="000E0573" w:rsidRPr="00037C01" w14:paraId="045571C3" w14:textId="77777777" w:rsidTr="00037C01">
        <w:trPr>
          <w:trHeight w:val="256"/>
        </w:trPr>
        <w:tc>
          <w:tcPr>
            <w:tcW w:w="5942" w:type="dxa"/>
            <w:shd w:val="clear" w:color="auto" w:fill="auto"/>
            <w:noWrap/>
            <w:vAlign w:val="center"/>
            <w:hideMark/>
          </w:tcPr>
          <w:p w14:paraId="264B4811" w14:textId="77777777" w:rsidR="000E0573" w:rsidRPr="00037C01" w:rsidRDefault="000E0573" w:rsidP="000E0573">
            <w:pPr>
              <w:jc w:val="both"/>
              <w:rPr>
                <w:rFonts w:ascii="Arial" w:hAnsi="Arial" w:cs="Arial"/>
                <w:sz w:val="18"/>
              </w:rPr>
            </w:pPr>
            <w:r w:rsidRPr="00037C01">
              <w:rPr>
                <w:rFonts w:ascii="Arial" w:hAnsi="Arial" w:cs="Arial"/>
                <w:sz w:val="18"/>
              </w:rPr>
              <w:t>Opciones</w:t>
            </w:r>
          </w:p>
        </w:tc>
        <w:tc>
          <w:tcPr>
            <w:tcW w:w="1378" w:type="dxa"/>
            <w:shd w:val="clear" w:color="auto" w:fill="auto"/>
            <w:noWrap/>
            <w:vAlign w:val="bottom"/>
          </w:tcPr>
          <w:p w14:paraId="3118833A" w14:textId="07A05F84" w:rsidR="000E0573" w:rsidRPr="00037C01" w:rsidRDefault="003D4133" w:rsidP="00543EF5">
            <w:pPr>
              <w:jc w:val="right"/>
              <w:rPr>
                <w:rFonts w:ascii="Arial" w:hAnsi="Arial" w:cs="Arial"/>
                <w:sz w:val="18"/>
              </w:rPr>
            </w:pPr>
            <w:r>
              <w:rPr>
                <w:rFonts w:ascii="Arial" w:hAnsi="Arial" w:cs="Arial"/>
                <w:sz w:val="18"/>
              </w:rPr>
              <w:t>-</w:t>
            </w:r>
          </w:p>
        </w:tc>
        <w:tc>
          <w:tcPr>
            <w:tcW w:w="1389" w:type="dxa"/>
            <w:vAlign w:val="bottom"/>
          </w:tcPr>
          <w:p w14:paraId="146F13C0" w14:textId="7F4F55A8" w:rsidR="000E0573" w:rsidRPr="00037C01" w:rsidRDefault="000E0573" w:rsidP="000E0573">
            <w:pPr>
              <w:jc w:val="right"/>
              <w:rPr>
                <w:rFonts w:ascii="Arial" w:hAnsi="Arial" w:cs="Arial"/>
                <w:sz w:val="18"/>
              </w:rPr>
            </w:pPr>
            <w:r w:rsidRPr="00037C01">
              <w:rPr>
                <w:rFonts w:ascii="Arial" w:hAnsi="Arial" w:cs="Arial"/>
                <w:sz w:val="18"/>
              </w:rPr>
              <w:t>19</w:t>
            </w:r>
          </w:p>
        </w:tc>
      </w:tr>
      <w:tr w:rsidR="000E0573" w:rsidRPr="00037C01" w14:paraId="2704108C" w14:textId="77777777" w:rsidTr="00037C01">
        <w:trPr>
          <w:trHeight w:val="272"/>
        </w:trPr>
        <w:tc>
          <w:tcPr>
            <w:tcW w:w="5942" w:type="dxa"/>
            <w:shd w:val="clear" w:color="auto" w:fill="auto"/>
            <w:noWrap/>
            <w:vAlign w:val="center"/>
          </w:tcPr>
          <w:p w14:paraId="5CFA047A" w14:textId="77777777" w:rsidR="000E0573" w:rsidRPr="00037C01" w:rsidRDefault="000E0573" w:rsidP="000E0573">
            <w:pPr>
              <w:jc w:val="both"/>
              <w:rPr>
                <w:rFonts w:ascii="Arial" w:hAnsi="Arial" w:cs="Arial"/>
                <w:sz w:val="18"/>
              </w:rPr>
            </w:pPr>
            <w:r w:rsidRPr="00037C01">
              <w:rPr>
                <w:rFonts w:ascii="Arial" w:hAnsi="Arial" w:cs="Arial"/>
                <w:sz w:val="18"/>
              </w:rPr>
              <w:t>Resultado de otros activos financieros</w:t>
            </w:r>
          </w:p>
        </w:tc>
        <w:tc>
          <w:tcPr>
            <w:tcW w:w="1378" w:type="dxa"/>
            <w:shd w:val="clear" w:color="auto" w:fill="auto"/>
            <w:noWrap/>
            <w:vAlign w:val="bottom"/>
          </w:tcPr>
          <w:p w14:paraId="7E8AB6D3" w14:textId="4B100B30" w:rsidR="000E0573" w:rsidRPr="00037C01" w:rsidRDefault="003D4133" w:rsidP="00543EF5">
            <w:pPr>
              <w:jc w:val="right"/>
              <w:rPr>
                <w:rFonts w:ascii="Arial" w:hAnsi="Arial" w:cs="Arial"/>
                <w:sz w:val="18"/>
              </w:rPr>
            </w:pPr>
            <w:r>
              <w:rPr>
                <w:rFonts w:ascii="Arial" w:hAnsi="Arial" w:cs="Arial"/>
                <w:sz w:val="18"/>
              </w:rPr>
              <w:t>9.948</w:t>
            </w:r>
          </w:p>
        </w:tc>
        <w:tc>
          <w:tcPr>
            <w:tcW w:w="1389" w:type="dxa"/>
            <w:vAlign w:val="bottom"/>
          </w:tcPr>
          <w:p w14:paraId="2A94BC2F" w14:textId="16B24E45" w:rsidR="000E0573" w:rsidRPr="00037C01" w:rsidRDefault="000E0573" w:rsidP="000E0573">
            <w:pPr>
              <w:jc w:val="right"/>
              <w:rPr>
                <w:rFonts w:ascii="Arial" w:hAnsi="Arial" w:cs="Arial"/>
                <w:sz w:val="18"/>
              </w:rPr>
            </w:pPr>
            <w:r w:rsidRPr="00037C01">
              <w:rPr>
                <w:rFonts w:ascii="Arial" w:hAnsi="Arial" w:cs="Arial"/>
                <w:sz w:val="18"/>
              </w:rPr>
              <w:t>-</w:t>
            </w:r>
          </w:p>
        </w:tc>
      </w:tr>
      <w:tr w:rsidR="000E0573" w:rsidRPr="00037C01" w14:paraId="7D42F454" w14:textId="77777777" w:rsidTr="00037C01">
        <w:trPr>
          <w:trHeight w:val="272"/>
        </w:trPr>
        <w:tc>
          <w:tcPr>
            <w:tcW w:w="5942" w:type="dxa"/>
            <w:shd w:val="clear" w:color="auto" w:fill="auto"/>
            <w:noWrap/>
            <w:vAlign w:val="center"/>
            <w:hideMark/>
          </w:tcPr>
          <w:p w14:paraId="61FB8A8C" w14:textId="77777777" w:rsidR="000E0573" w:rsidRPr="00037C01" w:rsidRDefault="000E0573" w:rsidP="000E0573">
            <w:pPr>
              <w:jc w:val="both"/>
              <w:rPr>
                <w:rFonts w:ascii="Arial" w:hAnsi="Arial" w:cs="Arial"/>
                <w:b/>
                <w:sz w:val="18"/>
              </w:rPr>
            </w:pPr>
            <w:r w:rsidRPr="00037C01">
              <w:rPr>
                <w:rFonts w:ascii="Arial" w:hAnsi="Arial" w:cs="Arial"/>
                <w:b/>
                <w:sz w:val="18"/>
              </w:rPr>
              <w:t>Total</w:t>
            </w:r>
          </w:p>
        </w:tc>
        <w:tc>
          <w:tcPr>
            <w:tcW w:w="1378" w:type="dxa"/>
            <w:shd w:val="clear" w:color="auto" w:fill="auto"/>
            <w:noWrap/>
            <w:vAlign w:val="bottom"/>
          </w:tcPr>
          <w:p w14:paraId="09FF05D6" w14:textId="2F9EC582" w:rsidR="000E0573" w:rsidRPr="00037C01" w:rsidRDefault="003D4133" w:rsidP="00543EF5">
            <w:pPr>
              <w:jc w:val="right"/>
              <w:rPr>
                <w:rFonts w:ascii="Arial" w:hAnsi="Arial" w:cs="Arial"/>
                <w:b/>
                <w:sz w:val="18"/>
              </w:rPr>
            </w:pPr>
            <w:r>
              <w:rPr>
                <w:rFonts w:ascii="Arial" w:hAnsi="Arial" w:cs="Arial"/>
                <w:b/>
                <w:sz w:val="18"/>
              </w:rPr>
              <w:t>16.125.854</w:t>
            </w:r>
          </w:p>
        </w:tc>
        <w:tc>
          <w:tcPr>
            <w:tcW w:w="1389" w:type="dxa"/>
            <w:vAlign w:val="bottom"/>
          </w:tcPr>
          <w:p w14:paraId="178FA894" w14:textId="049D312A" w:rsidR="000E0573" w:rsidRPr="00037C01" w:rsidRDefault="000E0573" w:rsidP="000E0573">
            <w:pPr>
              <w:jc w:val="right"/>
              <w:rPr>
                <w:rFonts w:ascii="Arial" w:hAnsi="Arial" w:cs="Arial"/>
                <w:b/>
                <w:sz w:val="18"/>
              </w:rPr>
            </w:pPr>
            <w:r w:rsidRPr="00037C01">
              <w:rPr>
                <w:rFonts w:ascii="Arial" w:hAnsi="Arial" w:cs="Arial"/>
                <w:b/>
                <w:sz w:val="18"/>
              </w:rPr>
              <w:t>4.664.108</w:t>
            </w:r>
          </w:p>
        </w:tc>
      </w:tr>
    </w:tbl>
    <w:p w14:paraId="0CA42E0F" w14:textId="77777777" w:rsidR="00AE0907" w:rsidRPr="00AE0907" w:rsidRDefault="00AE0907" w:rsidP="00AE0907">
      <w:pPr>
        <w:jc w:val="both"/>
        <w:rPr>
          <w:rFonts w:ascii="Arial" w:hAnsi="Arial" w:cs="Arial"/>
          <w:sz w:val="20"/>
        </w:rPr>
      </w:pPr>
    </w:p>
    <w:p w14:paraId="1187AC86" w14:textId="73DEB6AE" w:rsidR="00AE0907" w:rsidRPr="00AE0907" w:rsidRDefault="000E0573" w:rsidP="00AE0907">
      <w:pPr>
        <w:jc w:val="both"/>
        <w:rPr>
          <w:rFonts w:ascii="Arial" w:hAnsi="Arial" w:cs="Arial"/>
          <w:sz w:val="20"/>
        </w:rPr>
      </w:pPr>
      <w:r>
        <w:rPr>
          <w:rFonts w:ascii="Arial" w:hAnsi="Arial" w:cs="Arial"/>
          <w:sz w:val="20"/>
        </w:rPr>
        <w:t>6</w:t>
      </w:r>
      <w:r w:rsidR="00AE0907" w:rsidRPr="00AE0907">
        <w:rPr>
          <w:rFonts w:ascii="Arial" w:hAnsi="Arial" w:cs="Arial"/>
          <w:sz w:val="20"/>
        </w:rPr>
        <w:t>.21 Otros ingresos operativos.</w:t>
      </w:r>
    </w:p>
    <w:p w14:paraId="1CF25790" w14:textId="77777777" w:rsidR="00AE0907" w:rsidRPr="00AE0907" w:rsidRDefault="00AE0907" w:rsidP="00AE0907">
      <w:pPr>
        <w:jc w:val="both"/>
        <w:rPr>
          <w:rFonts w:ascii="Arial" w:hAnsi="Arial" w:cs="Arial"/>
          <w:sz w:val="20"/>
        </w:rPr>
      </w:pPr>
    </w:p>
    <w:p w14:paraId="181602B6" w14:textId="3EB8B7A3" w:rsidR="00AE0907" w:rsidRPr="00AE0907" w:rsidRDefault="00AE0907" w:rsidP="00AE0907">
      <w:pPr>
        <w:jc w:val="both"/>
        <w:rPr>
          <w:rFonts w:ascii="Arial" w:hAnsi="Arial" w:cs="Arial"/>
          <w:sz w:val="20"/>
        </w:rPr>
      </w:pPr>
      <w:r w:rsidRPr="00AE0907">
        <w:rPr>
          <w:rFonts w:ascii="Arial" w:eastAsiaTheme="minorHAnsi" w:hAnsi="Arial" w:cs="Arial"/>
          <w:sz w:val="20"/>
        </w:rPr>
        <w:t xml:space="preserve">Se detallan a continuación los principales componentes de los otros ingresos operativos por los ejercicios económicos finalizados el </w:t>
      </w:r>
      <w:r w:rsidR="000E0573" w:rsidRPr="00AE0907">
        <w:rPr>
          <w:rFonts w:ascii="Arial" w:eastAsiaTheme="minorHAnsi" w:hAnsi="Arial" w:cs="Arial"/>
          <w:sz w:val="20"/>
        </w:rPr>
        <w:t>31 de diciembre de 201</w:t>
      </w:r>
      <w:r w:rsidR="000E0573">
        <w:rPr>
          <w:rFonts w:ascii="Arial" w:eastAsiaTheme="minorHAnsi" w:hAnsi="Arial" w:cs="Arial"/>
          <w:sz w:val="20"/>
        </w:rPr>
        <w:t>9</w:t>
      </w:r>
      <w:r w:rsidR="000E0573" w:rsidRPr="00AE0907">
        <w:rPr>
          <w:rFonts w:ascii="Arial" w:eastAsiaTheme="minorHAnsi" w:hAnsi="Arial" w:cs="Arial"/>
          <w:sz w:val="20"/>
        </w:rPr>
        <w:t xml:space="preserve"> y 201</w:t>
      </w:r>
      <w:r w:rsidR="000E0573">
        <w:rPr>
          <w:rFonts w:ascii="Arial" w:eastAsiaTheme="minorHAnsi" w:hAnsi="Arial" w:cs="Arial"/>
          <w:sz w:val="20"/>
        </w:rPr>
        <w:t>8</w:t>
      </w:r>
      <w:r w:rsidRPr="00AE0907">
        <w:rPr>
          <w:rFonts w:ascii="Arial" w:eastAsiaTheme="minorHAnsi" w:hAnsi="Arial" w:cs="Arial"/>
          <w:sz w:val="20"/>
        </w:rPr>
        <w:t>:</w:t>
      </w:r>
    </w:p>
    <w:p w14:paraId="1F72B9F7" w14:textId="77777777" w:rsidR="00AE0907" w:rsidRPr="00AE0907" w:rsidRDefault="00AE0907" w:rsidP="00AE0907">
      <w:pPr>
        <w:jc w:val="both"/>
        <w:rPr>
          <w:rFonts w:ascii="Arial" w:hAnsi="Arial" w:cs="Arial"/>
          <w:sz w:val="20"/>
        </w:rPr>
      </w:pPr>
    </w:p>
    <w:tbl>
      <w:tblPr>
        <w:tblW w:w="87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6"/>
        <w:gridCol w:w="1559"/>
        <w:gridCol w:w="1141"/>
      </w:tblGrid>
      <w:tr w:rsidR="000E0573" w:rsidRPr="00AE0907" w14:paraId="25A29828" w14:textId="77777777" w:rsidTr="00BF133A">
        <w:trPr>
          <w:trHeight w:val="255"/>
          <w:tblHeader/>
        </w:trPr>
        <w:tc>
          <w:tcPr>
            <w:tcW w:w="6096" w:type="dxa"/>
            <w:shd w:val="clear" w:color="auto" w:fill="auto"/>
            <w:noWrap/>
            <w:hideMark/>
          </w:tcPr>
          <w:p w14:paraId="0F54F4E7" w14:textId="77777777" w:rsidR="000E0573" w:rsidRPr="00037C01" w:rsidRDefault="000E0573" w:rsidP="000E0573">
            <w:pPr>
              <w:jc w:val="both"/>
              <w:rPr>
                <w:rFonts w:ascii="Arial" w:hAnsi="Arial" w:cs="Arial"/>
                <w:sz w:val="18"/>
              </w:rPr>
            </w:pPr>
          </w:p>
        </w:tc>
        <w:tc>
          <w:tcPr>
            <w:tcW w:w="1559" w:type="dxa"/>
            <w:shd w:val="clear" w:color="auto" w:fill="auto"/>
            <w:noWrap/>
            <w:hideMark/>
          </w:tcPr>
          <w:p w14:paraId="4943EFEC" w14:textId="001DAB28" w:rsidR="000E0573" w:rsidRPr="00037C01" w:rsidRDefault="000E0573" w:rsidP="003D4133">
            <w:pPr>
              <w:jc w:val="center"/>
              <w:rPr>
                <w:rFonts w:ascii="Arial" w:hAnsi="Arial" w:cs="Arial"/>
                <w:sz w:val="18"/>
              </w:rPr>
            </w:pPr>
            <w:r w:rsidRPr="00037C01">
              <w:rPr>
                <w:rFonts w:ascii="Arial" w:hAnsi="Arial" w:cs="Arial"/>
                <w:b/>
                <w:sz w:val="18"/>
              </w:rPr>
              <w:t>31/12/2019</w:t>
            </w:r>
          </w:p>
        </w:tc>
        <w:tc>
          <w:tcPr>
            <w:tcW w:w="1141" w:type="dxa"/>
          </w:tcPr>
          <w:p w14:paraId="4E581ECE" w14:textId="4B9FE1F5" w:rsidR="000E0573" w:rsidRPr="00037C01" w:rsidRDefault="000E0573" w:rsidP="000E0573">
            <w:pPr>
              <w:jc w:val="both"/>
              <w:rPr>
                <w:rFonts w:ascii="Arial" w:hAnsi="Arial" w:cs="Arial"/>
                <w:sz w:val="18"/>
              </w:rPr>
            </w:pPr>
            <w:r w:rsidRPr="00037C01">
              <w:rPr>
                <w:rFonts w:ascii="Arial" w:hAnsi="Arial" w:cs="Arial"/>
                <w:b/>
                <w:sz w:val="18"/>
              </w:rPr>
              <w:t>31/12/2018</w:t>
            </w:r>
          </w:p>
        </w:tc>
      </w:tr>
      <w:tr w:rsidR="000E0573" w:rsidRPr="00AE0907" w14:paraId="6B6643D5" w14:textId="77777777" w:rsidTr="00AE0907">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40FC5" w14:textId="77777777" w:rsidR="000E0573" w:rsidRPr="00037C01" w:rsidRDefault="000E0573" w:rsidP="000E0573">
            <w:pPr>
              <w:jc w:val="both"/>
              <w:rPr>
                <w:rFonts w:ascii="Arial" w:hAnsi="Arial" w:cs="Arial"/>
                <w:sz w:val="18"/>
              </w:rPr>
            </w:pPr>
            <w:r w:rsidRPr="00037C01">
              <w:rPr>
                <w:rFonts w:ascii="Arial" w:hAnsi="Arial" w:cs="Arial"/>
                <w:sz w:val="18"/>
              </w:rPr>
              <w:t>Alquiler de cajas de seguridad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CDDF38" w14:textId="46E1AF7C" w:rsidR="000E0573" w:rsidRPr="00037C01" w:rsidRDefault="003D4133" w:rsidP="00543EF5">
            <w:pPr>
              <w:jc w:val="right"/>
              <w:rPr>
                <w:rFonts w:ascii="Arial" w:hAnsi="Arial" w:cs="Arial"/>
                <w:sz w:val="18"/>
              </w:rPr>
            </w:pPr>
            <w:r>
              <w:rPr>
                <w:rFonts w:ascii="Arial" w:hAnsi="Arial" w:cs="Arial"/>
                <w:sz w:val="18"/>
              </w:rPr>
              <w:t>234.726</w:t>
            </w:r>
          </w:p>
        </w:tc>
        <w:tc>
          <w:tcPr>
            <w:tcW w:w="1141" w:type="dxa"/>
            <w:tcBorders>
              <w:top w:val="single" w:sz="4" w:space="0" w:color="auto"/>
              <w:left w:val="single" w:sz="4" w:space="0" w:color="auto"/>
              <w:bottom w:val="single" w:sz="4" w:space="0" w:color="auto"/>
              <w:right w:val="single" w:sz="4" w:space="0" w:color="auto"/>
            </w:tcBorders>
            <w:vAlign w:val="bottom"/>
          </w:tcPr>
          <w:p w14:paraId="63F93B56" w14:textId="151CA220" w:rsidR="000E0573" w:rsidRPr="00037C01" w:rsidRDefault="000E0573" w:rsidP="000E0573">
            <w:pPr>
              <w:jc w:val="right"/>
              <w:rPr>
                <w:rFonts w:ascii="Arial" w:hAnsi="Arial" w:cs="Arial"/>
                <w:sz w:val="18"/>
              </w:rPr>
            </w:pPr>
            <w:r w:rsidRPr="00037C01">
              <w:rPr>
                <w:rFonts w:ascii="Arial" w:hAnsi="Arial" w:cs="Arial"/>
                <w:sz w:val="18"/>
              </w:rPr>
              <w:t>162.817</w:t>
            </w:r>
          </w:p>
        </w:tc>
      </w:tr>
      <w:tr w:rsidR="000E0573" w:rsidRPr="00AE0907" w14:paraId="130BD8DC" w14:textId="77777777" w:rsidTr="00AE0907">
        <w:trPr>
          <w:trHeight w:val="255"/>
        </w:trPr>
        <w:tc>
          <w:tcPr>
            <w:tcW w:w="6096" w:type="dxa"/>
            <w:shd w:val="clear" w:color="auto" w:fill="auto"/>
            <w:noWrap/>
            <w:vAlign w:val="center"/>
          </w:tcPr>
          <w:p w14:paraId="4D452A4E" w14:textId="77777777" w:rsidR="000E0573" w:rsidRPr="00037C01" w:rsidRDefault="000E0573" w:rsidP="000E0573">
            <w:pPr>
              <w:jc w:val="both"/>
              <w:rPr>
                <w:rFonts w:ascii="Arial" w:hAnsi="Arial" w:cs="Arial"/>
                <w:sz w:val="18"/>
              </w:rPr>
            </w:pPr>
            <w:r w:rsidRPr="00037C01">
              <w:rPr>
                <w:rFonts w:ascii="Arial" w:hAnsi="Arial" w:cs="Arial"/>
                <w:sz w:val="18"/>
              </w:rPr>
              <w:t>Previsiones desafectadas y créditos recuperados</w:t>
            </w:r>
          </w:p>
        </w:tc>
        <w:tc>
          <w:tcPr>
            <w:tcW w:w="1559" w:type="dxa"/>
            <w:shd w:val="clear" w:color="auto" w:fill="auto"/>
            <w:noWrap/>
            <w:vAlign w:val="bottom"/>
          </w:tcPr>
          <w:p w14:paraId="7174C9C6" w14:textId="721F95CB" w:rsidR="000E0573" w:rsidRPr="00037C01" w:rsidRDefault="003D4133" w:rsidP="00543EF5">
            <w:pPr>
              <w:jc w:val="right"/>
              <w:rPr>
                <w:rFonts w:ascii="Arial" w:hAnsi="Arial" w:cs="Arial"/>
                <w:sz w:val="18"/>
              </w:rPr>
            </w:pPr>
            <w:r>
              <w:rPr>
                <w:rFonts w:ascii="Arial" w:hAnsi="Arial" w:cs="Arial"/>
                <w:sz w:val="18"/>
              </w:rPr>
              <w:t>380.974</w:t>
            </w:r>
          </w:p>
        </w:tc>
        <w:tc>
          <w:tcPr>
            <w:tcW w:w="1141" w:type="dxa"/>
            <w:vAlign w:val="bottom"/>
          </w:tcPr>
          <w:p w14:paraId="286DB029" w14:textId="1CE27D10" w:rsidR="000E0573" w:rsidRPr="00037C01" w:rsidRDefault="000E0573" w:rsidP="000E0573">
            <w:pPr>
              <w:jc w:val="right"/>
              <w:rPr>
                <w:rFonts w:ascii="Arial" w:hAnsi="Arial" w:cs="Arial"/>
                <w:sz w:val="18"/>
              </w:rPr>
            </w:pPr>
            <w:r w:rsidRPr="00037C01">
              <w:rPr>
                <w:rFonts w:ascii="Arial" w:hAnsi="Arial" w:cs="Arial"/>
                <w:sz w:val="18"/>
              </w:rPr>
              <w:t>181.033</w:t>
            </w:r>
          </w:p>
        </w:tc>
      </w:tr>
      <w:tr w:rsidR="000E0573" w:rsidRPr="00AE0907" w14:paraId="402A3270" w14:textId="77777777" w:rsidTr="00AE0907">
        <w:trPr>
          <w:trHeight w:val="255"/>
        </w:trPr>
        <w:tc>
          <w:tcPr>
            <w:tcW w:w="6096" w:type="dxa"/>
            <w:shd w:val="clear" w:color="auto" w:fill="auto"/>
            <w:noWrap/>
            <w:vAlign w:val="center"/>
          </w:tcPr>
          <w:p w14:paraId="488B19BB" w14:textId="77777777" w:rsidR="000E0573" w:rsidRPr="00037C01" w:rsidRDefault="000E0573" w:rsidP="000E0573">
            <w:pPr>
              <w:jc w:val="both"/>
              <w:rPr>
                <w:rFonts w:ascii="Arial" w:hAnsi="Arial" w:cs="Arial"/>
                <w:sz w:val="18"/>
              </w:rPr>
            </w:pPr>
            <w:r w:rsidRPr="00037C01">
              <w:rPr>
                <w:rFonts w:ascii="Arial" w:hAnsi="Arial" w:cs="Arial"/>
                <w:sz w:val="18"/>
              </w:rPr>
              <w:t>Intereses punitorios cobrados</w:t>
            </w:r>
          </w:p>
        </w:tc>
        <w:tc>
          <w:tcPr>
            <w:tcW w:w="1559" w:type="dxa"/>
            <w:shd w:val="clear" w:color="auto" w:fill="auto"/>
            <w:noWrap/>
            <w:vAlign w:val="bottom"/>
          </w:tcPr>
          <w:p w14:paraId="1B67026A" w14:textId="21466ED2" w:rsidR="000E0573" w:rsidRPr="00037C01" w:rsidRDefault="003D4133" w:rsidP="00543EF5">
            <w:pPr>
              <w:jc w:val="right"/>
              <w:rPr>
                <w:rFonts w:ascii="Arial" w:hAnsi="Arial" w:cs="Arial"/>
                <w:sz w:val="18"/>
              </w:rPr>
            </w:pPr>
            <w:r>
              <w:rPr>
                <w:rFonts w:ascii="Arial" w:hAnsi="Arial" w:cs="Arial"/>
                <w:sz w:val="18"/>
              </w:rPr>
              <w:t>327.813</w:t>
            </w:r>
          </w:p>
        </w:tc>
        <w:tc>
          <w:tcPr>
            <w:tcW w:w="1141" w:type="dxa"/>
            <w:vAlign w:val="bottom"/>
          </w:tcPr>
          <w:p w14:paraId="59D44A10" w14:textId="54C03E8B" w:rsidR="000E0573" w:rsidRPr="00037C01" w:rsidRDefault="000E0573" w:rsidP="000E0573">
            <w:pPr>
              <w:jc w:val="right"/>
              <w:rPr>
                <w:rFonts w:ascii="Arial" w:hAnsi="Arial" w:cs="Arial"/>
                <w:sz w:val="18"/>
              </w:rPr>
            </w:pPr>
            <w:r w:rsidRPr="00037C01">
              <w:rPr>
                <w:rFonts w:ascii="Arial" w:hAnsi="Arial" w:cs="Arial"/>
                <w:sz w:val="18"/>
              </w:rPr>
              <w:t>163.159</w:t>
            </w:r>
          </w:p>
        </w:tc>
      </w:tr>
      <w:tr w:rsidR="000E0573" w:rsidRPr="00AE0907" w14:paraId="73606BB1" w14:textId="77777777" w:rsidTr="00AE0907">
        <w:trPr>
          <w:trHeight w:val="255"/>
        </w:trPr>
        <w:tc>
          <w:tcPr>
            <w:tcW w:w="6096" w:type="dxa"/>
            <w:shd w:val="clear" w:color="auto" w:fill="auto"/>
            <w:noWrap/>
            <w:vAlign w:val="center"/>
          </w:tcPr>
          <w:p w14:paraId="2DDDB85F" w14:textId="77777777" w:rsidR="000E0573" w:rsidRPr="00037C01" w:rsidRDefault="000E0573" w:rsidP="000E0573">
            <w:pPr>
              <w:jc w:val="both"/>
              <w:rPr>
                <w:rFonts w:ascii="Arial" w:hAnsi="Arial" w:cs="Arial"/>
                <w:sz w:val="18"/>
              </w:rPr>
            </w:pPr>
            <w:r w:rsidRPr="00037C01">
              <w:rPr>
                <w:rFonts w:ascii="Arial" w:hAnsi="Arial" w:cs="Arial"/>
                <w:sz w:val="18"/>
              </w:rPr>
              <w:t>Rendimiento fondo de riesgo S.G.R</w:t>
            </w:r>
          </w:p>
        </w:tc>
        <w:tc>
          <w:tcPr>
            <w:tcW w:w="1559" w:type="dxa"/>
            <w:shd w:val="clear" w:color="auto" w:fill="auto"/>
            <w:noWrap/>
            <w:vAlign w:val="bottom"/>
          </w:tcPr>
          <w:p w14:paraId="2DF6EB81" w14:textId="6F6009FB" w:rsidR="000E0573" w:rsidRPr="00037C01" w:rsidRDefault="003D4133" w:rsidP="00543EF5">
            <w:pPr>
              <w:jc w:val="right"/>
              <w:rPr>
                <w:rFonts w:ascii="Arial" w:hAnsi="Arial" w:cs="Arial"/>
                <w:sz w:val="18"/>
              </w:rPr>
            </w:pPr>
            <w:r>
              <w:rPr>
                <w:rFonts w:ascii="Arial" w:hAnsi="Arial" w:cs="Arial"/>
                <w:sz w:val="18"/>
              </w:rPr>
              <w:t>108.550</w:t>
            </w:r>
          </w:p>
        </w:tc>
        <w:tc>
          <w:tcPr>
            <w:tcW w:w="1141" w:type="dxa"/>
            <w:vAlign w:val="bottom"/>
          </w:tcPr>
          <w:p w14:paraId="74B58947" w14:textId="34A94D55" w:rsidR="000E0573" w:rsidRPr="00037C01" w:rsidRDefault="000E0573" w:rsidP="000E0573">
            <w:pPr>
              <w:jc w:val="right"/>
              <w:rPr>
                <w:rFonts w:ascii="Arial" w:hAnsi="Arial" w:cs="Arial"/>
                <w:sz w:val="18"/>
              </w:rPr>
            </w:pPr>
            <w:r w:rsidRPr="00037C01">
              <w:rPr>
                <w:rFonts w:ascii="Arial" w:hAnsi="Arial" w:cs="Arial"/>
                <w:sz w:val="18"/>
              </w:rPr>
              <w:t>211.139</w:t>
            </w:r>
          </w:p>
        </w:tc>
      </w:tr>
      <w:tr w:rsidR="000E0573" w:rsidRPr="00AE0907" w14:paraId="03D9A36A" w14:textId="77777777" w:rsidTr="00AE0907">
        <w:trPr>
          <w:trHeight w:val="255"/>
        </w:trPr>
        <w:tc>
          <w:tcPr>
            <w:tcW w:w="6096" w:type="dxa"/>
            <w:shd w:val="clear" w:color="auto" w:fill="auto"/>
            <w:noWrap/>
            <w:vAlign w:val="center"/>
            <w:hideMark/>
          </w:tcPr>
          <w:p w14:paraId="55104BBA" w14:textId="77777777" w:rsidR="000E0573" w:rsidRPr="00037C01" w:rsidRDefault="000E0573" w:rsidP="000E0573">
            <w:pPr>
              <w:jc w:val="both"/>
              <w:rPr>
                <w:rFonts w:ascii="Arial" w:hAnsi="Arial" w:cs="Arial"/>
                <w:sz w:val="18"/>
              </w:rPr>
            </w:pPr>
            <w:r w:rsidRPr="00037C01">
              <w:rPr>
                <w:rFonts w:ascii="Arial" w:hAnsi="Arial" w:cs="Arial"/>
                <w:sz w:val="18"/>
              </w:rPr>
              <w:t>Alquileres ganados</w:t>
            </w:r>
          </w:p>
        </w:tc>
        <w:tc>
          <w:tcPr>
            <w:tcW w:w="1559" w:type="dxa"/>
            <w:shd w:val="clear" w:color="auto" w:fill="auto"/>
            <w:noWrap/>
            <w:vAlign w:val="bottom"/>
          </w:tcPr>
          <w:p w14:paraId="6D360419" w14:textId="1B54995C" w:rsidR="000E0573" w:rsidRPr="00037C01" w:rsidRDefault="003D4133" w:rsidP="00543EF5">
            <w:pPr>
              <w:jc w:val="right"/>
              <w:rPr>
                <w:rFonts w:ascii="Arial" w:hAnsi="Arial" w:cs="Arial"/>
                <w:sz w:val="18"/>
              </w:rPr>
            </w:pPr>
            <w:r>
              <w:rPr>
                <w:rFonts w:ascii="Arial" w:hAnsi="Arial" w:cs="Arial"/>
                <w:sz w:val="18"/>
              </w:rPr>
              <w:t>25.328</w:t>
            </w:r>
          </w:p>
        </w:tc>
        <w:tc>
          <w:tcPr>
            <w:tcW w:w="1141" w:type="dxa"/>
            <w:vAlign w:val="bottom"/>
          </w:tcPr>
          <w:p w14:paraId="4C4811A4" w14:textId="0847E57D" w:rsidR="000E0573" w:rsidRPr="00037C01" w:rsidRDefault="000E0573" w:rsidP="000E0573">
            <w:pPr>
              <w:jc w:val="right"/>
              <w:rPr>
                <w:rFonts w:ascii="Arial" w:hAnsi="Arial" w:cs="Arial"/>
                <w:sz w:val="18"/>
              </w:rPr>
            </w:pPr>
            <w:r w:rsidRPr="00037C01">
              <w:rPr>
                <w:rFonts w:ascii="Arial" w:hAnsi="Arial" w:cs="Arial"/>
                <w:sz w:val="18"/>
              </w:rPr>
              <w:t>9.239</w:t>
            </w:r>
          </w:p>
        </w:tc>
      </w:tr>
      <w:tr w:rsidR="000E0573" w:rsidRPr="00AE0907" w14:paraId="78616155" w14:textId="77777777" w:rsidTr="00AE0907">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EBD06" w14:textId="77777777" w:rsidR="000E0573" w:rsidRPr="00037C01" w:rsidRDefault="000E0573" w:rsidP="000E0573">
            <w:pPr>
              <w:jc w:val="both"/>
              <w:rPr>
                <w:rFonts w:ascii="Arial" w:hAnsi="Arial" w:cs="Arial"/>
                <w:sz w:val="18"/>
              </w:rPr>
            </w:pPr>
            <w:r w:rsidRPr="00037C01">
              <w:rPr>
                <w:rFonts w:ascii="Arial" w:hAnsi="Arial" w:cs="Arial"/>
                <w:sz w:val="18"/>
              </w:rPr>
              <w:t>Ajustes e intereses de créditos diversos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866CC5" w14:textId="1E2B8E7B" w:rsidR="000E0573" w:rsidRPr="00037C01" w:rsidRDefault="003D4133" w:rsidP="00543EF5">
            <w:pPr>
              <w:jc w:val="right"/>
              <w:rPr>
                <w:rFonts w:ascii="Arial" w:hAnsi="Arial" w:cs="Arial"/>
                <w:sz w:val="18"/>
              </w:rPr>
            </w:pPr>
            <w:r>
              <w:rPr>
                <w:rFonts w:ascii="Arial" w:hAnsi="Arial" w:cs="Arial"/>
                <w:sz w:val="18"/>
              </w:rPr>
              <w:t>151.657</w:t>
            </w:r>
          </w:p>
        </w:tc>
        <w:tc>
          <w:tcPr>
            <w:tcW w:w="1141" w:type="dxa"/>
            <w:tcBorders>
              <w:top w:val="single" w:sz="4" w:space="0" w:color="auto"/>
              <w:left w:val="single" w:sz="4" w:space="0" w:color="auto"/>
              <w:bottom w:val="single" w:sz="4" w:space="0" w:color="auto"/>
              <w:right w:val="single" w:sz="4" w:space="0" w:color="auto"/>
            </w:tcBorders>
            <w:vAlign w:val="bottom"/>
          </w:tcPr>
          <w:p w14:paraId="40077006" w14:textId="0D15F44C" w:rsidR="000E0573" w:rsidRPr="00037C01" w:rsidRDefault="000E0573" w:rsidP="000E0573">
            <w:pPr>
              <w:jc w:val="right"/>
              <w:rPr>
                <w:rFonts w:ascii="Arial" w:hAnsi="Arial" w:cs="Arial"/>
                <w:sz w:val="18"/>
              </w:rPr>
            </w:pPr>
            <w:r w:rsidRPr="00037C01">
              <w:rPr>
                <w:rFonts w:ascii="Arial" w:hAnsi="Arial" w:cs="Arial"/>
                <w:sz w:val="18"/>
              </w:rPr>
              <w:t>90.117</w:t>
            </w:r>
          </w:p>
        </w:tc>
      </w:tr>
      <w:tr w:rsidR="000E0573" w:rsidRPr="00AE0907" w14:paraId="6AD03A5E" w14:textId="77777777" w:rsidTr="00AE0907">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FE64D" w14:textId="2424C74F" w:rsidR="000E0573" w:rsidRPr="00037C01" w:rsidRDefault="000E0573" w:rsidP="000E0573">
            <w:pPr>
              <w:jc w:val="both"/>
              <w:rPr>
                <w:rFonts w:ascii="Arial" w:hAnsi="Arial" w:cs="Arial"/>
                <w:sz w:val="18"/>
              </w:rPr>
            </w:pPr>
            <w:r w:rsidRPr="00037C01">
              <w:rPr>
                <w:rFonts w:ascii="Arial" w:hAnsi="Arial" w:cs="Arial"/>
                <w:sz w:val="18"/>
              </w:rPr>
              <w:t>Reval</w:t>
            </w:r>
            <w:r w:rsidR="006F2149">
              <w:rPr>
                <w:rFonts w:ascii="Arial" w:hAnsi="Arial" w:cs="Arial"/>
                <w:sz w:val="18"/>
              </w:rPr>
              <w:t>ú</w:t>
            </w:r>
            <w:r w:rsidRPr="00037C01">
              <w:rPr>
                <w:rFonts w:ascii="Arial" w:hAnsi="Arial" w:cs="Arial"/>
                <w:sz w:val="18"/>
              </w:rPr>
              <w:t>o de propiedades de inversión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2EB85" w14:textId="43D8160C" w:rsidR="000E0573" w:rsidRPr="00037C01" w:rsidRDefault="003D4133" w:rsidP="00543EF5">
            <w:pPr>
              <w:jc w:val="right"/>
              <w:rPr>
                <w:rFonts w:ascii="Arial" w:hAnsi="Arial" w:cs="Arial"/>
                <w:sz w:val="18"/>
              </w:rPr>
            </w:pPr>
            <w:r>
              <w:rPr>
                <w:rFonts w:ascii="Arial" w:hAnsi="Arial" w:cs="Arial"/>
                <w:sz w:val="18"/>
              </w:rPr>
              <w:t>428.468</w:t>
            </w:r>
          </w:p>
        </w:tc>
        <w:tc>
          <w:tcPr>
            <w:tcW w:w="1141" w:type="dxa"/>
            <w:tcBorders>
              <w:top w:val="single" w:sz="4" w:space="0" w:color="auto"/>
              <w:left w:val="single" w:sz="4" w:space="0" w:color="auto"/>
              <w:bottom w:val="single" w:sz="4" w:space="0" w:color="auto"/>
              <w:right w:val="single" w:sz="4" w:space="0" w:color="auto"/>
            </w:tcBorders>
            <w:vAlign w:val="bottom"/>
          </w:tcPr>
          <w:p w14:paraId="41621519" w14:textId="10BFE875" w:rsidR="000E0573" w:rsidRPr="00037C01" w:rsidRDefault="000E0573" w:rsidP="000E0573">
            <w:pPr>
              <w:jc w:val="right"/>
              <w:rPr>
                <w:rFonts w:ascii="Arial" w:hAnsi="Arial" w:cs="Arial"/>
                <w:sz w:val="18"/>
              </w:rPr>
            </w:pPr>
            <w:r w:rsidRPr="00037C01">
              <w:rPr>
                <w:rFonts w:ascii="Arial" w:hAnsi="Arial" w:cs="Arial"/>
                <w:sz w:val="18"/>
              </w:rPr>
              <w:t>208.983</w:t>
            </w:r>
          </w:p>
        </w:tc>
      </w:tr>
      <w:tr w:rsidR="000E0573" w:rsidRPr="00AE0907" w14:paraId="16E69896" w14:textId="77777777" w:rsidTr="00AE0907">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C23A1" w14:textId="77777777" w:rsidR="000E0573" w:rsidRPr="00037C01" w:rsidRDefault="000E0573" w:rsidP="000E0573">
            <w:pPr>
              <w:jc w:val="both"/>
              <w:rPr>
                <w:rFonts w:ascii="Arial" w:hAnsi="Arial" w:cs="Arial"/>
                <w:sz w:val="18"/>
              </w:rPr>
            </w:pPr>
            <w:r w:rsidRPr="00037C01">
              <w:rPr>
                <w:rFonts w:ascii="Arial" w:hAnsi="Arial" w:cs="Arial"/>
                <w:sz w:val="18"/>
              </w:rPr>
              <w:t>Seguros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CFBE83" w14:textId="5386DB38" w:rsidR="000E0573" w:rsidRPr="00037C01" w:rsidRDefault="003D4133" w:rsidP="00543EF5">
            <w:pPr>
              <w:jc w:val="right"/>
              <w:rPr>
                <w:rFonts w:ascii="Arial" w:hAnsi="Arial" w:cs="Arial"/>
                <w:sz w:val="18"/>
              </w:rPr>
            </w:pPr>
            <w:r>
              <w:rPr>
                <w:rFonts w:ascii="Arial" w:hAnsi="Arial" w:cs="Arial"/>
                <w:sz w:val="18"/>
              </w:rPr>
              <w:t>982</w:t>
            </w:r>
          </w:p>
        </w:tc>
        <w:tc>
          <w:tcPr>
            <w:tcW w:w="1141" w:type="dxa"/>
            <w:tcBorders>
              <w:top w:val="single" w:sz="4" w:space="0" w:color="auto"/>
              <w:left w:val="single" w:sz="4" w:space="0" w:color="auto"/>
              <w:bottom w:val="single" w:sz="4" w:space="0" w:color="auto"/>
              <w:right w:val="single" w:sz="4" w:space="0" w:color="auto"/>
            </w:tcBorders>
            <w:vAlign w:val="bottom"/>
          </w:tcPr>
          <w:p w14:paraId="7ACC9E6C" w14:textId="42C84ED4" w:rsidR="000E0573" w:rsidRPr="00037C01" w:rsidRDefault="000E0573" w:rsidP="000E0573">
            <w:pPr>
              <w:jc w:val="right"/>
              <w:rPr>
                <w:rFonts w:ascii="Arial" w:hAnsi="Arial" w:cs="Arial"/>
                <w:sz w:val="18"/>
              </w:rPr>
            </w:pPr>
            <w:r w:rsidRPr="00037C01">
              <w:rPr>
                <w:rFonts w:ascii="Arial" w:hAnsi="Arial" w:cs="Arial"/>
                <w:sz w:val="18"/>
              </w:rPr>
              <w:t>1</w:t>
            </w:r>
            <w:r w:rsidR="00024A2E">
              <w:rPr>
                <w:rFonts w:ascii="Arial" w:hAnsi="Arial" w:cs="Arial"/>
                <w:sz w:val="18"/>
              </w:rPr>
              <w:t>74</w:t>
            </w:r>
            <w:r w:rsidRPr="00037C01">
              <w:rPr>
                <w:rFonts w:ascii="Arial" w:hAnsi="Arial" w:cs="Arial"/>
                <w:sz w:val="18"/>
              </w:rPr>
              <w:t>.</w:t>
            </w:r>
            <w:r w:rsidR="00024A2E">
              <w:rPr>
                <w:rFonts w:ascii="Arial" w:hAnsi="Arial" w:cs="Arial"/>
                <w:sz w:val="18"/>
              </w:rPr>
              <w:t>889</w:t>
            </w:r>
          </w:p>
        </w:tc>
      </w:tr>
      <w:tr w:rsidR="000E0573" w:rsidRPr="00AE0907" w14:paraId="186404D7" w14:textId="77777777" w:rsidTr="00AE0907">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87601" w14:textId="77777777" w:rsidR="000E0573" w:rsidRPr="00037C01" w:rsidRDefault="000E0573" w:rsidP="000E0573">
            <w:pPr>
              <w:jc w:val="both"/>
              <w:rPr>
                <w:rFonts w:ascii="Arial" w:hAnsi="Arial" w:cs="Arial"/>
                <w:sz w:val="18"/>
              </w:rPr>
            </w:pPr>
            <w:r w:rsidRPr="00037C01">
              <w:rPr>
                <w:rFonts w:ascii="Arial" w:hAnsi="Arial" w:cs="Arial"/>
                <w:sz w:val="18"/>
              </w:rPr>
              <w:t>Resultado por venta de cartera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3D117" w14:textId="6F703055" w:rsidR="000E0573" w:rsidRPr="00037C01" w:rsidRDefault="003D4133" w:rsidP="00543EF5">
            <w:pPr>
              <w:jc w:val="right"/>
              <w:rPr>
                <w:rFonts w:ascii="Arial" w:hAnsi="Arial" w:cs="Arial"/>
                <w:sz w:val="18"/>
              </w:rPr>
            </w:pPr>
            <w:r>
              <w:rPr>
                <w:rFonts w:ascii="Arial" w:hAnsi="Arial" w:cs="Arial"/>
                <w:sz w:val="18"/>
              </w:rPr>
              <w:t>10.227</w:t>
            </w:r>
          </w:p>
        </w:tc>
        <w:tc>
          <w:tcPr>
            <w:tcW w:w="1141" w:type="dxa"/>
            <w:tcBorders>
              <w:top w:val="single" w:sz="4" w:space="0" w:color="auto"/>
              <w:left w:val="single" w:sz="4" w:space="0" w:color="auto"/>
              <w:bottom w:val="single" w:sz="4" w:space="0" w:color="auto"/>
              <w:right w:val="single" w:sz="4" w:space="0" w:color="auto"/>
            </w:tcBorders>
            <w:vAlign w:val="bottom"/>
          </w:tcPr>
          <w:p w14:paraId="51893932" w14:textId="7BCF7E2C" w:rsidR="000E0573" w:rsidRPr="00037C01" w:rsidRDefault="000E0573" w:rsidP="000E0573">
            <w:pPr>
              <w:jc w:val="right"/>
              <w:rPr>
                <w:rFonts w:ascii="Arial" w:hAnsi="Arial" w:cs="Arial"/>
                <w:sz w:val="18"/>
              </w:rPr>
            </w:pPr>
            <w:r w:rsidRPr="00037C01">
              <w:rPr>
                <w:rFonts w:ascii="Arial" w:hAnsi="Arial" w:cs="Arial"/>
                <w:sz w:val="18"/>
              </w:rPr>
              <w:t>48.626</w:t>
            </w:r>
          </w:p>
        </w:tc>
      </w:tr>
      <w:tr w:rsidR="000E0573" w:rsidRPr="00AE0907" w14:paraId="3162A04B" w14:textId="77777777" w:rsidTr="00AE0907">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A5F22" w14:textId="77777777" w:rsidR="000E0573" w:rsidRPr="00037C01" w:rsidRDefault="000E0573" w:rsidP="000E0573">
            <w:pPr>
              <w:jc w:val="both"/>
              <w:rPr>
                <w:rFonts w:ascii="Arial" w:hAnsi="Arial" w:cs="Arial"/>
                <w:sz w:val="18"/>
              </w:rPr>
            </w:pPr>
            <w:r w:rsidRPr="00037C01">
              <w:rPr>
                <w:rFonts w:ascii="Arial" w:hAnsi="Arial" w:cs="Arial"/>
                <w:sz w:val="18"/>
              </w:rPr>
              <w:t>Comisión por administración de cartera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C06994" w14:textId="6C21301C" w:rsidR="000E0573" w:rsidRPr="00037C01" w:rsidRDefault="003D4133" w:rsidP="00543EF5">
            <w:pPr>
              <w:jc w:val="right"/>
              <w:rPr>
                <w:rFonts w:ascii="Arial" w:hAnsi="Arial" w:cs="Arial"/>
                <w:sz w:val="18"/>
              </w:rPr>
            </w:pPr>
            <w:r>
              <w:rPr>
                <w:rFonts w:ascii="Arial" w:hAnsi="Arial" w:cs="Arial"/>
                <w:sz w:val="18"/>
              </w:rPr>
              <w:t>12.711</w:t>
            </w:r>
          </w:p>
        </w:tc>
        <w:tc>
          <w:tcPr>
            <w:tcW w:w="1141" w:type="dxa"/>
            <w:tcBorders>
              <w:top w:val="single" w:sz="4" w:space="0" w:color="auto"/>
              <w:left w:val="single" w:sz="4" w:space="0" w:color="auto"/>
              <w:bottom w:val="single" w:sz="4" w:space="0" w:color="auto"/>
              <w:right w:val="single" w:sz="4" w:space="0" w:color="auto"/>
            </w:tcBorders>
            <w:vAlign w:val="bottom"/>
          </w:tcPr>
          <w:p w14:paraId="569F1E84" w14:textId="54CBFAA8" w:rsidR="000E0573" w:rsidRPr="00037C01" w:rsidRDefault="00024A2E" w:rsidP="000E0573">
            <w:pPr>
              <w:jc w:val="right"/>
              <w:rPr>
                <w:rFonts w:ascii="Arial" w:hAnsi="Arial" w:cs="Arial"/>
                <w:sz w:val="18"/>
              </w:rPr>
            </w:pPr>
            <w:r>
              <w:rPr>
                <w:rFonts w:ascii="Arial" w:hAnsi="Arial" w:cs="Arial"/>
                <w:sz w:val="18"/>
              </w:rPr>
              <w:t>23</w:t>
            </w:r>
            <w:r w:rsidR="000E0573" w:rsidRPr="00037C01">
              <w:rPr>
                <w:rFonts w:ascii="Arial" w:hAnsi="Arial" w:cs="Arial"/>
                <w:sz w:val="18"/>
              </w:rPr>
              <w:t>.</w:t>
            </w:r>
            <w:r w:rsidR="009A3CF0">
              <w:rPr>
                <w:rFonts w:ascii="Arial" w:hAnsi="Arial" w:cs="Arial"/>
                <w:sz w:val="18"/>
              </w:rPr>
              <w:t>649</w:t>
            </w:r>
          </w:p>
        </w:tc>
      </w:tr>
      <w:tr w:rsidR="00532FAF" w:rsidRPr="00AE0907" w14:paraId="6DC809F4" w14:textId="77777777" w:rsidTr="00AE0907">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67C29" w14:textId="58305476" w:rsidR="00532FAF" w:rsidRPr="00037C01" w:rsidRDefault="00532FAF" w:rsidP="000E0573">
            <w:pPr>
              <w:jc w:val="both"/>
              <w:rPr>
                <w:rFonts w:ascii="Arial" w:hAnsi="Arial" w:cs="Arial"/>
                <w:sz w:val="18"/>
              </w:rPr>
            </w:pPr>
            <w:r w:rsidRPr="00037C01">
              <w:rPr>
                <w:rFonts w:ascii="Arial" w:hAnsi="Arial" w:cs="Arial"/>
                <w:sz w:val="18"/>
              </w:rPr>
              <w:t xml:space="preserve">Comisión por </w:t>
            </w:r>
            <w:r>
              <w:rPr>
                <w:rFonts w:ascii="Arial" w:hAnsi="Arial" w:cs="Arial"/>
                <w:sz w:val="18"/>
              </w:rPr>
              <w:t>arrendamiento financiero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61094" w14:textId="052FDDFF" w:rsidR="00532FAF" w:rsidRDefault="00024A2E" w:rsidP="00543EF5">
            <w:pPr>
              <w:jc w:val="right"/>
              <w:rPr>
                <w:rFonts w:ascii="Arial" w:hAnsi="Arial" w:cs="Arial"/>
                <w:sz w:val="18"/>
              </w:rPr>
            </w:pPr>
            <w:r>
              <w:rPr>
                <w:rFonts w:ascii="Arial" w:hAnsi="Arial" w:cs="Arial"/>
                <w:sz w:val="18"/>
              </w:rPr>
              <w:t>6.896</w:t>
            </w:r>
          </w:p>
        </w:tc>
        <w:tc>
          <w:tcPr>
            <w:tcW w:w="1141" w:type="dxa"/>
            <w:tcBorders>
              <w:top w:val="single" w:sz="4" w:space="0" w:color="auto"/>
              <w:left w:val="single" w:sz="4" w:space="0" w:color="auto"/>
              <w:bottom w:val="single" w:sz="4" w:space="0" w:color="auto"/>
              <w:right w:val="single" w:sz="4" w:space="0" w:color="auto"/>
            </w:tcBorders>
            <w:vAlign w:val="bottom"/>
          </w:tcPr>
          <w:p w14:paraId="3686D5E2" w14:textId="768814E1" w:rsidR="00532FAF" w:rsidRPr="00037C01" w:rsidRDefault="00D128FA" w:rsidP="000E0573">
            <w:pPr>
              <w:jc w:val="right"/>
              <w:rPr>
                <w:rFonts w:ascii="Arial" w:hAnsi="Arial" w:cs="Arial"/>
                <w:sz w:val="18"/>
              </w:rPr>
            </w:pPr>
            <w:r>
              <w:rPr>
                <w:rFonts w:ascii="Arial" w:hAnsi="Arial" w:cs="Arial"/>
                <w:sz w:val="18"/>
              </w:rPr>
              <w:t>1.551</w:t>
            </w:r>
          </w:p>
        </w:tc>
      </w:tr>
      <w:tr w:rsidR="00532FAF" w:rsidRPr="00AE0907" w14:paraId="52243DCA" w14:textId="77777777" w:rsidTr="00AE0907">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3B5A5" w14:textId="685C9583" w:rsidR="00532FAF" w:rsidRPr="00037C01" w:rsidRDefault="00532FAF" w:rsidP="000E0573">
            <w:pPr>
              <w:jc w:val="both"/>
              <w:rPr>
                <w:rFonts w:ascii="Arial" w:hAnsi="Arial" w:cs="Arial"/>
                <w:sz w:val="18"/>
              </w:rPr>
            </w:pPr>
            <w:r w:rsidRPr="00037C01">
              <w:rPr>
                <w:rFonts w:ascii="Arial" w:hAnsi="Arial" w:cs="Arial"/>
                <w:sz w:val="18"/>
              </w:rPr>
              <w:t xml:space="preserve">Comisión por </w:t>
            </w:r>
            <w:r>
              <w:rPr>
                <w:rFonts w:ascii="Arial" w:hAnsi="Arial" w:cs="Arial"/>
                <w:sz w:val="18"/>
              </w:rPr>
              <w:t>gestión de cuenta corriente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C4B44" w14:textId="0EF00792" w:rsidR="00532FAF" w:rsidRDefault="00024A2E" w:rsidP="00543EF5">
            <w:pPr>
              <w:jc w:val="right"/>
              <w:rPr>
                <w:rFonts w:ascii="Arial" w:hAnsi="Arial" w:cs="Arial"/>
                <w:sz w:val="18"/>
              </w:rPr>
            </w:pPr>
            <w:r>
              <w:rPr>
                <w:rFonts w:ascii="Arial" w:hAnsi="Arial" w:cs="Arial"/>
                <w:sz w:val="18"/>
              </w:rPr>
              <w:t>119</w:t>
            </w:r>
            <w:r w:rsidR="00532FAF">
              <w:rPr>
                <w:rFonts w:ascii="Arial" w:hAnsi="Arial" w:cs="Arial"/>
                <w:sz w:val="18"/>
              </w:rPr>
              <w:t>.</w:t>
            </w:r>
            <w:r>
              <w:rPr>
                <w:rFonts w:ascii="Arial" w:hAnsi="Arial" w:cs="Arial"/>
                <w:sz w:val="18"/>
              </w:rPr>
              <w:t>526</w:t>
            </w:r>
          </w:p>
        </w:tc>
        <w:tc>
          <w:tcPr>
            <w:tcW w:w="1141" w:type="dxa"/>
            <w:tcBorders>
              <w:top w:val="single" w:sz="4" w:space="0" w:color="auto"/>
              <w:left w:val="single" w:sz="4" w:space="0" w:color="auto"/>
              <w:bottom w:val="single" w:sz="4" w:space="0" w:color="auto"/>
              <w:right w:val="single" w:sz="4" w:space="0" w:color="auto"/>
            </w:tcBorders>
            <w:vAlign w:val="bottom"/>
          </w:tcPr>
          <w:p w14:paraId="29703EC1" w14:textId="4F1D8D36" w:rsidR="00532FAF" w:rsidRPr="00037C01" w:rsidRDefault="009A3CF0" w:rsidP="000E0573">
            <w:pPr>
              <w:jc w:val="right"/>
              <w:rPr>
                <w:rFonts w:ascii="Arial" w:hAnsi="Arial" w:cs="Arial"/>
                <w:sz w:val="18"/>
              </w:rPr>
            </w:pPr>
            <w:r>
              <w:rPr>
                <w:rFonts w:ascii="Arial" w:hAnsi="Arial" w:cs="Arial"/>
                <w:sz w:val="18"/>
              </w:rPr>
              <w:t>79.965</w:t>
            </w:r>
          </w:p>
        </w:tc>
      </w:tr>
      <w:tr w:rsidR="000E0573" w:rsidRPr="00AE0907" w14:paraId="74BAF229" w14:textId="77777777" w:rsidTr="00AE0907">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C3E21" w14:textId="77777777" w:rsidR="000E0573" w:rsidRPr="00037C01" w:rsidRDefault="000E0573" w:rsidP="000E0573">
            <w:pPr>
              <w:jc w:val="both"/>
              <w:rPr>
                <w:rFonts w:ascii="Arial" w:hAnsi="Arial" w:cs="Arial"/>
                <w:sz w:val="18"/>
              </w:rPr>
            </w:pPr>
            <w:r w:rsidRPr="00037C01">
              <w:rPr>
                <w:rFonts w:ascii="Arial" w:hAnsi="Arial" w:cs="Arial"/>
                <w:sz w:val="18"/>
              </w:rPr>
              <w:t>Comisiones por administración de cheques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D84C81" w14:textId="1BE56552" w:rsidR="000E0573" w:rsidRPr="00037C01" w:rsidRDefault="003D4133" w:rsidP="00543EF5">
            <w:pPr>
              <w:jc w:val="right"/>
              <w:rPr>
                <w:rFonts w:ascii="Arial" w:hAnsi="Arial" w:cs="Arial"/>
                <w:sz w:val="18"/>
              </w:rPr>
            </w:pPr>
            <w:r>
              <w:rPr>
                <w:rFonts w:ascii="Arial" w:hAnsi="Arial" w:cs="Arial"/>
                <w:sz w:val="18"/>
              </w:rPr>
              <w:t>107.399</w:t>
            </w:r>
          </w:p>
        </w:tc>
        <w:tc>
          <w:tcPr>
            <w:tcW w:w="1141" w:type="dxa"/>
            <w:tcBorders>
              <w:top w:val="single" w:sz="4" w:space="0" w:color="auto"/>
              <w:left w:val="single" w:sz="4" w:space="0" w:color="auto"/>
              <w:bottom w:val="single" w:sz="4" w:space="0" w:color="auto"/>
              <w:right w:val="single" w:sz="4" w:space="0" w:color="auto"/>
            </w:tcBorders>
            <w:vAlign w:val="bottom"/>
          </w:tcPr>
          <w:p w14:paraId="6DFBECDE" w14:textId="65E65560" w:rsidR="000E0573" w:rsidRPr="00037C01" w:rsidRDefault="009A3CF0" w:rsidP="000E0573">
            <w:pPr>
              <w:jc w:val="right"/>
              <w:rPr>
                <w:rFonts w:ascii="Arial" w:hAnsi="Arial" w:cs="Arial"/>
                <w:sz w:val="18"/>
              </w:rPr>
            </w:pPr>
            <w:r>
              <w:rPr>
                <w:rFonts w:ascii="Arial" w:hAnsi="Arial" w:cs="Arial"/>
                <w:sz w:val="18"/>
              </w:rPr>
              <w:t>261</w:t>
            </w:r>
          </w:p>
        </w:tc>
      </w:tr>
      <w:tr w:rsidR="000E0573" w:rsidRPr="00AE0907" w14:paraId="01058C73" w14:textId="77777777" w:rsidTr="00AE0907">
        <w:trPr>
          <w:trHeight w:val="255"/>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9164A" w14:textId="77777777" w:rsidR="000E0573" w:rsidRPr="00037C01" w:rsidRDefault="000E0573" w:rsidP="000E0573">
            <w:pPr>
              <w:jc w:val="both"/>
              <w:rPr>
                <w:rFonts w:ascii="Arial" w:hAnsi="Arial" w:cs="Arial"/>
                <w:sz w:val="18"/>
              </w:rPr>
            </w:pPr>
            <w:r w:rsidRPr="00037C01">
              <w:rPr>
                <w:rFonts w:ascii="Arial" w:hAnsi="Arial" w:cs="Arial"/>
                <w:sz w:val="18"/>
              </w:rPr>
              <w:t>Otros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8F76B" w14:textId="691F24B3" w:rsidR="000E0573" w:rsidRPr="00037C01" w:rsidRDefault="00532FAF" w:rsidP="00543EF5">
            <w:pPr>
              <w:jc w:val="right"/>
              <w:rPr>
                <w:rFonts w:ascii="Arial" w:hAnsi="Arial" w:cs="Arial"/>
                <w:sz w:val="18"/>
              </w:rPr>
            </w:pPr>
            <w:r>
              <w:rPr>
                <w:rFonts w:ascii="Arial" w:hAnsi="Arial" w:cs="Arial"/>
                <w:sz w:val="18"/>
              </w:rPr>
              <w:t>45</w:t>
            </w:r>
            <w:r w:rsidR="00024A2E">
              <w:rPr>
                <w:rFonts w:ascii="Arial" w:hAnsi="Arial" w:cs="Arial"/>
                <w:sz w:val="18"/>
              </w:rPr>
              <w:t>6</w:t>
            </w:r>
            <w:r>
              <w:rPr>
                <w:rFonts w:ascii="Arial" w:hAnsi="Arial" w:cs="Arial"/>
                <w:sz w:val="18"/>
              </w:rPr>
              <w:t>.</w:t>
            </w:r>
            <w:r w:rsidR="00024A2E">
              <w:rPr>
                <w:rFonts w:ascii="Arial" w:hAnsi="Arial" w:cs="Arial"/>
                <w:sz w:val="18"/>
              </w:rPr>
              <w:t>191</w:t>
            </w:r>
          </w:p>
        </w:tc>
        <w:tc>
          <w:tcPr>
            <w:tcW w:w="1141" w:type="dxa"/>
            <w:tcBorders>
              <w:top w:val="single" w:sz="4" w:space="0" w:color="auto"/>
              <w:left w:val="single" w:sz="4" w:space="0" w:color="auto"/>
              <w:bottom w:val="single" w:sz="4" w:space="0" w:color="auto"/>
              <w:right w:val="single" w:sz="4" w:space="0" w:color="auto"/>
            </w:tcBorders>
            <w:vAlign w:val="bottom"/>
          </w:tcPr>
          <w:p w14:paraId="0A0871E1" w14:textId="289EC170" w:rsidR="000E0573" w:rsidRPr="00037C01" w:rsidRDefault="009A3CF0" w:rsidP="000E0573">
            <w:pPr>
              <w:jc w:val="right"/>
              <w:rPr>
                <w:rFonts w:ascii="Arial" w:hAnsi="Arial" w:cs="Arial"/>
                <w:sz w:val="18"/>
              </w:rPr>
            </w:pPr>
            <w:r>
              <w:rPr>
                <w:rFonts w:ascii="Arial" w:hAnsi="Arial" w:cs="Arial"/>
                <w:sz w:val="18"/>
              </w:rPr>
              <w:t>482.</w:t>
            </w:r>
            <w:r w:rsidR="00D128FA">
              <w:rPr>
                <w:rFonts w:ascii="Arial" w:hAnsi="Arial" w:cs="Arial"/>
                <w:sz w:val="18"/>
              </w:rPr>
              <w:t>222</w:t>
            </w:r>
          </w:p>
        </w:tc>
      </w:tr>
      <w:tr w:rsidR="000E0573" w:rsidRPr="000E0573" w14:paraId="16FF86A7" w14:textId="77777777" w:rsidTr="00AE0907">
        <w:trPr>
          <w:trHeight w:val="270"/>
        </w:trPr>
        <w:tc>
          <w:tcPr>
            <w:tcW w:w="6096" w:type="dxa"/>
            <w:shd w:val="clear" w:color="auto" w:fill="auto"/>
            <w:noWrap/>
            <w:vAlign w:val="center"/>
            <w:hideMark/>
          </w:tcPr>
          <w:p w14:paraId="4CE9DBBA" w14:textId="77777777" w:rsidR="000E0573" w:rsidRPr="00037C01" w:rsidRDefault="000E0573" w:rsidP="000E0573">
            <w:pPr>
              <w:jc w:val="both"/>
              <w:rPr>
                <w:rFonts w:ascii="Arial" w:hAnsi="Arial" w:cs="Arial"/>
                <w:b/>
                <w:sz w:val="18"/>
              </w:rPr>
            </w:pPr>
            <w:r w:rsidRPr="00037C01">
              <w:rPr>
                <w:rFonts w:ascii="Arial" w:hAnsi="Arial" w:cs="Arial"/>
                <w:b/>
                <w:sz w:val="18"/>
              </w:rPr>
              <w:t>Total</w:t>
            </w:r>
          </w:p>
        </w:tc>
        <w:tc>
          <w:tcPr>
            <w:tcW w:w="1559" w:type="dxa"/>
            <w:shd w:val="clear" w:color="auto" w:fill="auto"/>
            <w:noWrap/>
            <w:vAlign w:val="bottom"/>
          </w:tcPr>
          <w:p w14:paraId="429F55DA" w14:textId="42A36771" w:rsidR="000E0573" w:rsidRPr="00037C01" w:rsidRDefault="00532FAF" w:rsidP="00543EF5">
            <w:pPr>
              <w:jc w:val="right"/>
              <w:rPr>
                <w:rFonts w:ascii="Arial" w:hAnsi="Arial" w:cs="Arial"/>
                <w:b/>
                <w:sz w:val="18"/>
              </w:rPr>
            </w:pPr>
            <w:r>
              <w:rPr>
                <w:rFonts w:ascii="Arial" w:hAnsi="Arial" w:cs="Arial"/>
                <w:b/>
                <w:sz w:val="18"/>
              </w:rPr>
              <w:t>2.371.448</w:t>
            </w:r>
          </w:p>
        </w:tc>
        <w:tc>
          <w:tcPr>
            <w:tcW w:w="1141" w:type="dxa"/>
            <w:vAlign w:val="bottom"/>
          </w:tcPr>
          <w:p w14:paraId="75AD5E17" w14:textId="6CE05B0E" w:rsidR="000E0573" w:rsidRPr="00037C01" w:rsidRDefault="000E0573" w:rsidP="000E0573">
            <w:pPr>
              <w:jc w:val="right"/>
              <w:rPr>
                <w:rFonts w:ascii="Arial" w:hAnsi="Arial" w:cs="Arial"/>
                <w:b/>
                <w:sz w:val="18"/>
              </w:rPr>
            </w:pPr>
            <w:r w:rsidRPr="00037C01">
              <w:rPr>
                <w:rFonts w:ascii="Arial" w:hAnsi="Arial" w:cs="Arial"/>
                <w:b/>
                <w:sz w:val="18"/>
              </w:rPr>
              <w:t>1.837.650</w:t>
            </w:r>
          </w:p>
        </w:tc>
      </w:tr>
    </w:tbl>
    <w:p w14:paraId="63DD7687" w14:textId="77777777" w:rsidR="00AE0907" w:rsidRPr="00AE0907" w:rsidRDefault="00AE0907" w:rsidP="00AE0907">
      <w:pPr>
        <w:jc w:val="both"/>
        <w:rPr>
          <w:rFonts w:ascii="Arial" w:hAnsi="Arial" w:cs="Arial"/>
          <w:sz w:val="20"/>
        </w:rPr>
      </w:pPr>
      <w:r w:rsidRPr="00AE0907">
        <w:rPr>
          <w:rFonts w:ascii="Arial" w:hAnsi="Arial" w:cs="Arial"/>
          <w:sz w:val="20"/>
        </w:rPr>
        <w:tab/>
      </w:r>
    </w:p>
    <w:p w14:paraId="42190C48" w14:textId="73619803" w:rsidR="00AE0907" w:rsidRPr="00AE0907" w:rsidRDefault="000E0573" w:rsidP="00AE0907">
      <w:pPr>
        <w:jc w:val="both"/>
        <w:rPr>
          <w:rFonts w:ascii="Arial" w:hAnsi="Arial" w:cs="Arial"/>
          <w:sz w:val="20"/>
        </w:rPr>
      </w:pPr>
      <w:r>
        <w:rPr>
          <w:rFonts w:ascii="Arial" w:hAnsi="Arial" w:cs="Arial"/>
          <w:sz w:val="20"/>
        </w:rPr>
        <w:t>6</w:t>
      </w:r>
      <w:r w:rsidR="00AE0907" w:rsidRPr="00AE0907">
        <w:rPr>
          <w:rFonts w:ascii="Arial" w:hAnsi="Arial" w:cs="Arial"/>
          <w:sz w:val="20"/>
        </w:rPr>
        <w:t>.22 Beneficios al personal</w:t>
      </w:r>
    </w:p>
    <w:p w14:paraId="55F90DEE" w14:textId="77777777" w:rsidR="00AE0907" w:rsidRPr="00AE0907" w:rsidRDefault="00AE0907" w:rsidP="00AE0907">
      <w:pPr>
        <w:jc w:val="both"/>
        <w:rPr>
          <w:rFonts w:ascii="Arial" w:hAnsi="Arial" w:cs="Arial"/>
          <w:sz w:val="20"/>
        </w:rPr>
      </w:pPr>
    </w:p>
    <w:p w14:paraId="4E985341" w14:textId="2557FB01" w:rsidR="00AE0907" w:rsidRPr="00AE0907" w:rsidRDefault="00AE0907" w:rsidP="00AE0907">
      <w:pPr>
        <w:jc w:val="both"/>
        <w:rPr>
          <w:rFonts w:ascii="Arial" w:hAnsi="Arial" w:cs="Arial"/>
          <w:sz w:val="20"/>
        </w:rPr>
      </w:pPr>
      <w:r w:rsidRPr="00AE0907">
        <w:rPr>
          <w:rFonts w:ascii="Arial" w:eastAsiaTheme="minorHAnsi" w:hAnsi="Arial" w:cs="Arial"/>
          <w:sz w:val="20"/>
        </w:rPr>
        <w:t xml:space="preserve">Se detallan a continuación los principales componentes de beneficios al personal por los ejercicios económicos finalizados el </w:t>
      </w:r>
      <w:r w:rsidR="000E0573" w:rsidRPr="00AE0907">
        <w:rPr>
          <w:rFonts w:ascii="Arial" w:eastAsiaTheme="minorHAnsi" w:hAnsi="Arial" w:cs="Arial"/>
          <w:sz w:val="20"/>
        </w:rPr>
        <w:t>31 de diciembre de 201</w:t>
      </w:r>
      <w:r w:rsidR="000E0573">
        <w:rPr>
          <w:rFonts w:ascii="Arial" w:eastAsiaTheme="minorHAnsi" w:hAnsi="Arial" w:cs="Arial"/>
          <w:sz w:val="20"/>
        </w:rPr>
        <w:t>9</w:t>
      </w:r>
      <w:r w:rsidR="000E0573" w:rsidRPr="00AE0907">
        <w:rPr>
          <w:rFonts w:ascii="Arial" w:eastAsiaTheme="minorHAnsi" w:hAnsi="Arial" w:cs="Arial"/>
          <w:sz w:val="20"/>
        </w:rPr>
        <w:t xml:space="preserve"> y 201</w:t>
      </w:r>
      <w:r w:rsidR="000E0573">
        <w:rPr>
          <w:rFonts w:ascii="Arial" w:eastAsiaTheme="minorHAnsi" w:hAnsi="Arial" w:cs="Arial"/>
          <w:sz w:val="20"/>
        </w:rPr>
        <w:t>8</w:t>
      </w:r>
      <w:r w:rsidRPr="00AE0907">
        <w:rPr>
          <w:rFonts w:ascii="Arial" w:eastAsiaTheme="minorHAnsi" w:hAnsi="Arial" w:cs="Arial"/>
          <w:sz w:val="20"/>
        </w:rPr>
        <w:t>:</w:t>
      </w:r>
    </w:p>
    <w:p w14:paraId="44BEBEC1" w14:textId="21C45882" w:rsidR="000B1093" w:rsidRDefault="000B1093">
      <w:pPr>
        <w:rPr>
          <w:rFonts w:ascii="Arial" w:hAnsi="Arial" w:cs="Arial"/>
          <w:sz w:val="20"/>
        </w:rPr>
      </w:pPr>
      <w:r>
        <w:rPr>
          <w:rFonts w:ascii="Arial" w:hAnsi="Arial" w:cs="Arial"/>
          <w:sz w:val="20"/>
        </w:rPr>
        <w:br w:type="page"/>
      </w:r>
    </w:p>
    <w:p w14:paraId="048428F4" w14:textId="77777777" w:rsidR="00AE0907" w:rsidRPr="00AE0907" w:rsidRDefault="00AE0907" w:rsidP="00AE0907">
      <w:pPr>
        <w:jc w:val="both"/>
        <w:rPr>
          <w:rFonts w:ascii="Arial" w:hAnsi="Arial" w:cs="Arial"/>
          <w:sz w:val="20"/>
        </w:rPr>
      </w:pPr>
    </w:p>
    <w:tbl>
      <w:tblPr>
        <w:tblW w:w="87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55"/>
        <w:gridCol w:w="1303"/>
        <w:gridCol w:w="1265"/>
      </w:tblGrid>
      <w:tr w:rsidR="000E0573" w:rsidRPr="00037C01" w14:paraId="01B1D4E2" w14:textId="77777777" w:rsidTr="00A059FB">
        <w:trPr>
          <w:trHeight w:val="258"/>
        </w:trPr>
        <w:tc>
          <w:tcPr>
            <w:tcW w:w="6155" w:type="dxa"/>
            <w:shd w:val="clear" w:color="auto" w:fill="auto"/>
            <w:noWrap/>
            <w:hideMark/>
          </w:tcPr>
          <w:p w14:paraId="64A8B94B" w14:textId="77777777" w:rsidR="000E0573" w:rsidRPr="00037C01" w:rsidRDefault="000E0573" w:rsidP="000E0573">
            <w:pPr>
              <w:jc w:val="both"/>
              <w:rPr>
                <w:rFonts w:ascii="Arial" w:hAnsi="Arial" w:cs="Arial"/>
                <w:sz w:val="18"/>
              </w:rPr>
            </w:pPr>
          </w:p>
        </w:tc>
        <w:tc>
          <w:tcPr>
            <w:tcW w:w="1303" w:type="dxa"/>
            <w:shd w:val="clear" w:color="auto" w:fill="auto"/>
            <w:noWrap/>
            <w:vAlign w:val="center"/>
            <w:hideMark/>
          </w:tcPr>
          <w:p w14:paraId="37D96184" w14:textId="20F954DE" w:rsidR="000E0573" w:rsidRPr="00037C01" w:rsidRDefault="000E0573" w:rsidP="00A059FB">
            <w:pPr>
              <w:jc w:val="center"/>
              <w:rPr>
                <w:rFonts w:ascii="Arial" w:hAnsi="Arial" w:cs="Arial"/>
                <w:sz w:val="18"/>
              </w:rPr>
            </w:pPr>
            <w:r w:rsidRPr="00037C01">
              <w:rPr>
                <w:rFonts w:ascii="Arial" w:hAnsi="Arial" w:cs="Arial"/>
                <w:b/>
                <w:sz w:val="18"/>
              </w:rPr>
              <w:t>31/12/2019</w:t>
            </w:r>
          </w:p>
        </w:tc>
        <w:tc>
          <w:tcPr>
            <w:tcW w:w="1265" w:type="dxa"/>
            <w:vAlign w:val="center"/>
          </w:tcPr>
          <w:p w14:paraId="297ED4AE" w14:textId="74EAB4CA" w:rsidR="000E0573" w:rsidRPr="00037C01" w:rsidRDefault="000E0573" w:rsidP="00A059FB">
            <w:pPr>
              <w:jc w:val="center"/>
              <w:rPr>
                <w:rFonts w:ascii="Arial" w:hAnsi="Arial" w:cs="Arial"/>
                <w:sz w:val="18"/>
              </w:rPr>
            </w:pPr>
            <w:r w:rsidRPr="00037C01">
              <w:rPr>
                <w:rFonts w:ascii="Arial" w:hAnsi="Arial" w:cs="Arial"/>
                <w:b/>
                <w:sz w:val="18"/>
              </w:rPr>
              <w:t>31/12/2018</w:t>
            </w:r>
          </w:p>
        </w:tc>
      </w:tr>
      <w:tr w:rsidR="000E0573" w:rsidRPr="00037C01" w14:paraId="41EC7ADE" w14:textId="77777777" w:rsidTr="00037C01">
        <w:trPr>
          <w:trHeight w:val="258"/>
        </w:trPr>
        <w:tc>
          <w:tcPr>
            <w:tcW w:w="6155" w:type="dxa"/>
            <w:shd w:val="clear" w:color="auto" w:fill="auto"/>
            <w:noWrap/>
            <w:vAlign w:val="bottom"/>
            <w:hideMark/>
          </w:tcPr>
          <w:p w14:paraId="1E408206" w14:textId="77777777" w:rsidR="000E0573" w:rsidRPr="00037C01" w:rsidRDefault="000E0573" w:rsidP="000E0573">
            <w:pPr>
              <w:jc w:val="both"/>
              <w:rPr>
                <w:rFonts w:ascii="Arial" w:hAnsi="Arial" w:cs="Arial"/>
                <w:sz w:val="18"/>
              </w:rPr>
            </w:pPr>
            <w:r w:rsidRPr="00037C01">
              <w:rPr>
                <w:rFonts w:ascii="Arial" w:hAnsi="Arial" w:cs="Arial"/>
                <w:sz w:val="18"/>
              </w:rPr>
              <w:t>Gastos de personal</w:t>
            </w:r>
          </w:p>
        </w:tc>
        <w:tc>
          <w:tcPr>
            <w:tcW w:w="1303" w:type="dxa"/>
            <w:shd w:val="clear" w:color="auto" w:fill="auto"/>
            <w:noWrap/>
            <w:vAlign w:val="bottom"/>
          </w:tcPr>
          <w:p w14:paraId="2BC8E232" w14:textId="1E1F19AE" w:rsidR="000E0573" w:rsidRPr="00037C01" w:rsidRDefault="00D128FA" w:rsidP="00543EF5">
            <w:pPr>
              <w:jc w:val="right"/>
              <w:rPr>
                <w:rFonts w:ascii="Arial" w:hAnsi="Arial" w:cs="Arial"/>
                <w:sz w:val="18"/>
              </w:rPr>
            </w:pPr>
            <w:r>
              <w:rPr>
                <w:rFonts w:ascii="Arial" w:hAnsi="Arial" w:cs="Arial"/>
                <w:sz w:val="18"/>
              </w:rPr>
              <w:t>2.053.951</w:t>
            </w:r>
          </w:p>
        </w:tc>
        <w:tc>
          <w:tcPr>
            <w:tcW w:w="1265" w:type="dxa"/>
            <w:vAlign w:val="bottom"/>
          </w:tcPr>
          <w:p w14:paraId="549A639E" w14:textId="26D3AE51" w:rsidR="000E0573" w:rsidRPr="00037C01" w:rsidRDefault="000E0573" w:rsidP="000E0573">
            <w:pPr>
              <w:jc w:val="right"/>
              <w:rPr>
                <w:rFonts w:ascii="Arial" w:hAnsi="Arial" w:cs="Arial"/>
                <w:sz w:val="18"/>
              </w:rPr>
            </w:pPr>
            <w:r w:rsidRPr="00037C01">
              <w:rPr>
                <w:rFonts w:ascii="Arial" w:hAnsi="Arial" w:cs="Arial"/>
                <w:sz w:val="18"/>
              </w:rPr>
              <w:t>902.561</w:t>
            </w:r>
          </w:p>
        </w:tc>
      </w:tr>
      <w:tr w:rsidR="000E0573" w:rsidRPr="00037C01" w14:paraId="0D0C0DE6" w14:textId="77777777" w:rsidTr="00037C01">
        <w:trPr>
          <w:trHeight w:val="258"/>
        </w:trPr>
        <w:tc>
          <w:tcPr>
            <w:tcW w:w="61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261A7" w14:textId="77777777" w:rsidR="000E0573" w:rsidRPr="00037C01" w:rsidRDefault="000E0573" w:rsidP="000E0573">
            <w:pPr>
              <w:jc w:val="both"/>
              <w:rPr>
                <w:rFonts w:ascii="Arial" w:hAnsi="Arial" w:cs="Arial"/>
                <w:sz w:val="18"/>
              </w:rPr>
            </w:pPr>
            <w:r w:rsidRPr="00037C01">
              <w:rPr>
                <w:rFonts w:ascii="Arial" w:hAnsi="Arial" w:cs="Arial"/>
                <w:sz w:val="18"/>
              </w:rPr>
              <w:t>Remuneraciones y cargas sociales</w:t>
            </w:r>
          </w:p>
        </w:tc>
        <w:tc>
          <w:tcPr>
            <w:tcW w:w="13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916B1" w14:textId="66BC320B" w:rsidR="000E0573" w:rsidRPr="00037C01" w:rsidRDefault="00D128FA" w:rsidP="00543EF5">
            <w:pPr>
              <w:jc w:val="right"/>
              <w:rPr>
                <w:rFonts w:ascii="Arial" w:hAnsi="Arial" w:cs="Arial"/>
                <w:sz w:val="18"/>
              </w:rPr>
            </w:pPr>
            <w:r>
              <w:rPr>
                <w:rFonts w:ascii="Arial" w:hAnsi="Arial" w:cs="Arial"/>
                <w:sz w:val="18"/>
              </w:rPr>
              <w:t>8.596.850</w:t>
            </w:r>
          </w:p>
        </w:tc>
        <w:tc>
          <w:tcPr>
            <w:tcW w:w="1265" w:type="dxa"/>
            <w:tcBorders>
              <w:top w:val="single" w:sz="4" w:space="0" w:color="auto"/>
              <w:left w:val="single" w:sz="4" w:space="0" w:color="auto"/>
              <w:bottom w:val="single" w:sz="4" w:space="0" w:color="auto"/>
              <w:right w:val="single" w:sz="4" w:space="0" w:color="auto"/>
            </w:tcBorders>
            <w:vAlign w:val="bottom"/>
          </w:tcPr>
          <w:p w14:paraId="364841AB" w14:textId="3A045BAF" w:rsidR="000E0573" w:rsidRPr="00037C01" w:rsidRDefault="000E0573" w:rsidP="000E0573">
            <w:pPr>
              <w:jc w:val="right"/>
              <w:rPr>
                <w:rFonts w:ascii="Arial" w:hAnsi="Arial" w:cs="Arial"/>
                <w:sz w:val="18"/>
              </w:rPr>
            </w:pPr>
            <w:r w:rsidRPr="00037C01">
              <w:rPr>
                <w:rFonts w:ascii="Arial" w:hAnsi="Arial" w:cs="Arial"/>
                <w:sz w:val="18"/>
              </w:rPr>
              <w:t>5.428.136</w:t>
            </w:r>
          </w:p>
        </w:tc>
      </w:tr>
      <w:tr w:rsidR="000E0573" w:rsidRPr="00037C01" w14:paraId="6C2A3BE2" w14:textId="77777777" w:rsidTr="00037C01">
        <w:trPr>
          <w:trHeight w:val="273"/>
        </w:trPr>
        <w:tc>
          <w:tcPr>
            <w:tcW w:w="6155" w:type="dxa"/>
            <w:shd w:val="clear" w:color="auto" w:fill="auto"/>
            <w:noWrap/>
            <w:vAlign w:val="bottom"/>
            <w:hideMark/>
          </w:tcPr>
          <w:p w14:paraId="227DDCB1" w14:textId="77777777" w:rsidR="000E0573" w:rsidRPr="00037C01" w:rsidRDefault="000E0573" w:rsidP="000E0573">
            <w:pPr>
              <w:jc w:val="both"/>
              <w:rPr>
                <w:rFonts w:ascii="Arial" w:hAnsi="Arial" w:cs="Arial"/>
                <w:b/>
                <w:sz w:val="18"/>
              </w:rPr>
            </w:pPr>
            <w:r w:rsidRPr="00037C01">
              <w:rPr>
                <w:rFonts w:ascii="Arial" w:hAnsi="Arial" w:cs="Arial"/>
                <w:b/>
                <w:sz w:val="18"/>
              </w:rPr>
              <w:t>Total</w:t>
            </w:r>
          </w:p>
        </w:tc>
        <w:tc>
          <w:tcPr>
            <w:tcW w:w="1303" w:type="dxa"/>
            <w:shd w:val="clear" w:color="auto" w:fill="auto"/>
            <w:noWrap/>
            <w:vAlign w:val="bottom"/>
          </w:tcPr>
          <w:p w14:paraId="51882540" w14:textId="133EF202" w:rsidR="000E0573" w:rsidRPr="00037C01" w:rsidRDefault="00D128FA" w:rsidP="00543EF5">
            <w:pPr>
              <w:jc w:val="right"/>
              <w:rPr>
                <w:rFonts w:ascii="Arial" w:hAnsi="Arial" w:cs="Arial"/>
                <w:b/>
                <w:sz w:val="18"/>
              </w:rPr>
            </w:pPr>
            <w:r>
              <w:rPr>
                <w:rFonts w:ascii="Arial" w:hAnsi="Arial" w:cs="Arial"/>
                <w:b/>
                <w:sz w:val="18"/>
              </w:rPr>
              <w:t>10.650.801</w:t>
            </w:r>
          </w:p>
        </w:tc>
        <w:tc>
          <w:tcPr>
            <w:tcW w:w="1265" w:type="dxa"/>
            <w:vAlign w:val="bottom"/>
          </w:tcPr>
          <w:p w14:paraId="6F09F5DE" w14:textId="6D707D0D" w:rsidR="000E0573" w:rsidRPr="00037C01" w:rsidRDefault="000E0573" w:rsidP="000E0573">
            <w:pPr>
              <w:jc w:val="right"/>
              <w:rPr>
                <w:rFonts w:ascii="Arial" w:hAnsi="Arial" w:cs="Arial"/>
                <w:b/>
                <w:sz w:val="18"/>
              </w:rPr>
            </w:pPr>
            <w:r w:rsidRPr="00037C01">
              <w:rPr>
                <w:rFonts w:ascii="Arial" w:hAnsi="Arial" w:cs="Arial"/>
                <w:b/>
                <w:sz w:val="18"/>
              </w:rPr>
              <w:t>6.330.697</w:t>
            </w:r>
          </w:p>
        </w:tc>
      </w:tr>
    </w:tbl>
    <w:p w14:paraId="2B483F38" w14:textId="77777777" w:rsidR="00AE0907" w:rsidRPr="00037C01" w:rsidRDefault="00AE0907" w:rsidP="00AE0907">
      <w:pPr>
        <w:jc w:val="both"/>
        <w:rPr>
          <w:rFonts w:ascii="Arial" w:hAnsi="Arial" w:cs="Arial"/>
          <w:sz w:val="18"/>
        </w:rPr>
      </w:pPr>
    </w:p>
    <w:p w14:paraId="0DAE1366" w14:textId="7B554905" w:rsidR="00AE0907" w:rsidRPr="00AE0907" w:rsidRDefault="000E0573" w:rsidP="00AE0907">
      <w:pPr>
        <w:jc w:val="both"/>
        <w:rPr>
          <w:rFonts w:ascii="Arial" w:hAnsi="Arial" w:cs="Arial"/>
          <w:sz w:val="20"/>
        </w:rPr>
      </w:pPr>
      <w:r>
        <w:rPr>
          <w:rFonts w:ascii="Arial" w:hAnsi="Arial" w:cs="Arial"/>
          <w:sz w:val="20"/>
        </w:rPr>
        <w:t>6</w:t>
      </w:r>
      <w:r w:rsidR="00AE0907" w:rsidRPr="00AE0907">
        <w:rPr>
          <w:rFonts w:ascii="Arial" w:hAnsi="Arial" w:cs="Arial"/>
          <w:sz w:val="20"/>
        </w:rPr>
        <w:t>.23 Gastos de Administración</w:t>
      </w:r>
    </w:p>
    <w:p w14:paraId="6A2AF18A" w14:textId="77777777" w:rsidR="00AE0907" w:rsidRPr="00AE0907" w:rsidRDefault="00AE0907" w:rsidP="00AE0907">
      <w:pPr>
        <w:jc w:val="both"/>
        <w:rPr>
          <w:rFonts w:ascii="Arial" w:hAnsi="Arial" w:cs="Arial"/>
          <w:sz w:val="20"/>
        </w:rPr>
      </w:pPr>
    </w:p>
    <w:p w14:paraId="0C8131E6" w14:textId="651D12FF" w:rsidR="00AE0907" w:rsidRPr="00AE0907" w:rsidRDefault="00AE0907" w:rsidP="00AE0907">
      <w:pPr>
        <w:jc w:val="both"/>
        <w:rPr>
          <w:rFonts w:ascii="Arial" w:hAnsi="Arial" w:cs="Arial"/>
          <w:sz w:val="20"/>
        </w:rPr>
      </w:pPr>
      <w:r w:rsidRPr="00AE0907">
        <w:rPr>
          <w:rFonts w:ascii="Arial" w:eastAsiaTheme="minorHAnsi" w:hAnsi="Arial" w:cs="Arial"/>
          <w:sz w:val="20"/>
        </w:rPr>
        <w:t xml:space="preserve">Se detallan a continuación los principales componentes de gastos de administración por los ejercicios económicos finalizados el </w:t>
      </w:r>
      <w:r w:rsidR="000E0573" w:rsidRPr="00AE0907">
        <w:rPr>
          <w:rFonts w:ascii="Arial" w:eastAsiaTheme="minorHAnsi" w:hAnsi="Arial" w:cs="Arial"/>
          <w:sz w:val="20"/>
        </w:rPr>
        <w:t>31 de diciembre de 201</w:t>
      </w:r>
      <w:r w:rsidR="000E0573">
        <w:rPr>
          <w:rFonts w:ascii="Arial" w:eastAsiaTheme="minorHAnsi" w:hAnsi="Arial" w:cs="Arial"/>
          <w:sz w:val="20"/>
        </w:rPr>
        <w:t>9</w:t>
      </w:r>
      <w:r w:rsidR="000E0573" w:rsidRPr="00AE0907">
        <w:rPr>
          <w:rFonts w:ascii="Arial" w:eastAsiaTheme="minorHAnsi" w:hAnsi="Arial" w:cs="Arial"/>
          <w:sz w:val="20"/>
        </w:rPr>
        <w:t xml:space="preserve"> y 201</w:t>
      </w:r>
      <w:r w:rsidR="000E0573">
        <w:rPr>
          <w:rFonts w:ascii="Arial" w:eastAsiaTheme="minorHAnsi" w:hAnsi="Arial" w:cs="Arial"/>
          <w:sz w:val="20"/>
        </w:rPr>
        <w:t>8</w:t>
      </w:r>
      <w:r w:rsidRPr="00AE0907">
        <w:rPr>
          <w:rFonts w:ascii="Arial" w:eastAsiaTheme="minorHAnsi" w:hAnsi="Arial" w:cs="Arial"/>
          <w:sz w:val="20"/>
        </w:rPr>
        <w:t>:</w:t>
      </w:r>
    </w:p>
    <w:p w14:paraId="5363F435" w14:textId="77777777" w:rsidR="00AE0907" w:rsidRPr="00AE0907" w:rsidRDefault="00AE0907" w:rsidP="00AE0907">
      <w:pPr>
        <w:jc w:val="both"/>
        <w:rPr>
          <w:rFonts w:ascii="Arial" w:hAnsi="Arial" w:cs="Arial"/>
          <w:sz w:val="20"/>
        </w:rPr>
      </w:pPr>
    </w:p>
    <w:tbl>
      <w:tblPr>
        <w:tblW w:w="87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21"/>
        <w:gridCol w:w="1272"/>
        <w:gridCol w:w="1272"/>
      </w:tblGrid>
      <w:tr w:rsidR="000E0573" w:rsidRPr="00AE0907" w14:paraId="60B21D69" w14:textId="77777777" w:rsidTr="00037C01">
        <w:trPr>
          <w:trHeight w:val="264"/>
          <w:tblHeader/>
        </w:trPr>
        <w:tc>
          <w:tcPr>
            <w:tcW w:w="6221" w:type="dxa"/>
            <w:shd w:val="clear" w:color="auto" w:fill="auto"/>
            <w:noWrap/>
            <w:hideMark/>
          </w:tcPr>
          <w:p w14:paraId="3C9C832D" w14:textId="77777777" w:rsidR="000E0573" w:rsidRPr="00037C01" w:rsidRDefault="000E0573" w:rsidP="000E0573">
            <w:pPr>
              <w:jc w:val="center"/>
              <w:rPr>
                <w:rFonts w:ascii="Arial" w:hAnsi="Arial" w:cs="Arial"/>
                <w:sz w:val="18"/>
              </w:rPr>
            </w:pPr>
          </w:p>
        </w:tc>
        <w:tc>
          <w:tcPr>
            <w:tcW w:w="1272" w:type="dxa"/>
            <w:shd w:val="clear" w:color="auto" w:fill="auto"/>
            <w:noWrap/>
            <w:hideMark/>
          </w:tcPr>
          <w:p w14:paraId="5B611ABB" w14:textId="58BEA262" w:rsidR="000E0573" w:rsidRPr="00037C01" w:rsidRDefault="000E0573" w:rsidP="000E0573">
            <w:pPr>
              <w:jc w:val="center"/>
              <w:rPr>
                <w:rFonts w:ascii="Arial" w:hAnsi="Arial" w:cs="Arial"/>
                <w:sz w:val="18"/>
              </w:rPr>
            </w:pPr>
            <w:r w:rsidRPr="00037C01">
              <w:rPr>
                <w:rFonts w:ascii="Arial" w:hAnsi="Arial" w:cs="Arial"/>
                <w:b/>
                <w:sz w:val="18"/>
              </w:rPr>
              <w:t>31/12/2019</w:t>
            </w:r>
          </w:p>
        </w:tc>
        <w:tc>
          <w:tcPr>
            <w:tcW w:w="1272" w:type="dxa"/>
          </w:tcPr>
          <w:p w14:paraId="374B596B" w14:textId="53543C61" w:rsidR="000E0573" w:rsidRPr="00037C01" w:rsidRDefault="000E0573" w:rsidP="000E0573">
            <w:pPr>
              <w:jc w:val="center"/>
              <w:rPr>
                <w:rFonts w:ascii="Arial" w:hAnsi="Arial" w:cs="Arial"/>
                <w:sz w:val="18"/>
              </w:rPr>
            </w:pPr>
            <w:r w:rsidRPr="00037C01">
              <w:rPr>
                <w:rFonts w:ascii="Arial" w:hAnsi="Arial" w:cs="Arial"/>
                <w:b/>
                <w:sz w:val="18"/>
              </w:rPr>
              <w:t>31/12/2018</w:t>
            </w:r>
          </w:p>
        </w:tc>
      </w:tr>
      <w:tr w:rsidR="000E0573" w:rsidRPr="00AE0907" w14:paraId="1176B9C5" w14:textId="77777777" w:rsidTr="00037C01">
        <w:trPr>
          <w:trHeight w:val="264"/>
        </w:trPr>
        <w:tc>
          <w:tcPr>
            <w:tcW w:w="6221" w:type="dxa"/>
            <w:shd w:val="clear" w:color="auto" w:fill="auto"/>
            <w:noWrap/>
            <w:vAlign w:val="bottom"/>
            <w:hideMark/>
          </w:tcPr>
          <w:p w14:paraId="2C1F202F" w14:textId="77777777" w:rsidR="000E0573" w:rsidRPr="00037C01" w:rsidRDefault="000E0573" w:rsidP="000E0573">
            <w:pPr>
              <w:jc w:val="both"/>
              <w:rPr>
                <w:rFonts w:ascii="Arial" w:hAnsi="Arial" w:cs="Arial"/>
                <w:sz w:val="18"/>
              </w:rPr>
            </w:pPr>
            <w:r w:rsidRPr="00037C01">
              <w:rPr>
                <w:rFonts w:ascii="Arial" w:hAnsi="Arial" w:cs="Arial"/>
                <w:sz w:val="18"/>
              </w:rPr>
              <w:t>Alquileres pagados</w:t>
            </w:r>
          </w:p>
        </w:tc>
        <w:tc>
          <w:tcPr>
            <w:tcW w:w="1272" w:type="dxa"/>
            <w:shd w:val="clear" w:color="auto" w:fill="auto"/>
            <w:noWrap/>
            <w:vAlign w:val="bottom"/>
          </w:tcPr>
          <w:p w14:paraId="41227926" w14:textId="120AD40F" w:rsidR="000E0573" w:rsidRPr="00037C01" w:rsidRDefault="00D128FA" w:rsidP="00543EF5">
            <w:pPr>
              <w:jc w:val="right"/>
              <w:rPr>
                <w:rFonts w:ascii="Arial" w:hAnsi="Arial" w:cs="Arial"/>
                <w:sz w:val="18"/>
              </w:rPr>
            </w:pPr>
            <w:r>
              <w:rPr>
                <w:rFonts w:ascii="Arial" w:hAnsi="Arial" w:cs="Arial"/>
                <w:sz w:val="18"/>
              </w:rPr>
              <w:t>19.920</w:t>
            </w:r>
          </w:p>
        </w:tc>
        <w:tc>
          <w:tcPr>
            <w:tcW w:w="1272" w:type="dxa"/>
            <w:vAlign w:val="bottom"/>
          </w:tcPr>
          <w:p w14:paraId="628E8AFB" w14:textId="6E7B18CA" w:rsidR="000E0573" w:rsidRPr="00037C01" w:rsidRDefault="000E0573" w:rsidP="000E0573">
            <w:pPr>
              <w:jc w:val="right"/>
              <w:rPr>
                <w:rFonts w:ascii="Arial" w:hAnsi="Arial" w:cs="Arial"/>
                <w:sz w:val="18"/>
              </w:rPr>
            </w:pPr>
            <w:r w:rsidRPr="00037C01">
              <w:rPr>
                <w:rFonts w:ascii="Arial" w:hAnsi="Arial" w:cs="Arial"/>
                <w:sz w:val="18"/>
              </w:rPr>
              <w:t>366.495</w:t>
            </w:r>
          </w:p>
        </w:tc>
      </w:tr>
      <w:tr w:rsidR="000E0573" w:rsidRPr="00AE0907" w14:paraId="1E084ADA" w14:textId="77777777" w:rsidTr="00037C01">
        <w:trPr>
          <w:trHeight w:val="264"/>
        </w:trPr>
        <w:tc>
          <w:tcPr>
            <w:tcW w:w="62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C17457" w14:textId="77777777" w:rsidR="000E0573" w:rsidRPr="00037C01" w:rsidRDefault="000E0573" w:rsidP="000E0573">
            <w:pPr>
              <w:jc w:val="both"/>
              <w:rPr>
                <w:rFonts w:ascii="Arial" w:hAnsi="Arial" w:cs="Arial"/>
                <w:sz w:val="18"/>
              </w:rPr>
            </w:pPr>
            <w:r w:rsidRPr="00037C01">
              <w:rPr>
                <w:rFonts w:ascii="Arial" w:hAnsi="Arial" w:cs="Arial"/>
                <w:sz w:val="18"/>
              </w:rPr>
              <w:t>Honorarios y retribuciones por servicios</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8E2CF" w14:textId="6CD0E2C0" w:rsidR="000E0573" w:rsidRPr="00037C01" w:rsidRDefault="00D128FA" w:rsidP="00543EF5">
            <w:pPr>
              <w:jc w:val="right"/>
              <w:rPr>
                <w:rFonts w:ascii="Arial" w:hAnsi="Arial" w:cs="Arial"/>
                <w:sz w:val="18"/>
              </w:rPr>
            </w:pPr>
            <w:r>
              <w:rPr>
                <w:rFonts w:ascii="Arial" w:hAnsi="Arial" w:cs="Arial"/>
                <w:sz w:val="18"/>
              </w:rPr>
              <w:t>2.091.149</w:t>
            </w:r>
          </w:p>
        </w:tc>
        <w:tc>
          <w:tcPr>
            <w:tcW w:w="1272" w:type="dxa"/>
            <w:tcBorders>
              <w:top w:val="single" w:sz="4" w:space="0" w:color="auto"/>
              <w:left w:val="single" w:sz="4" w:space="0" w:color="auto"/>
              <w:bottom w:val="single" w:sz="4" w:space="0" w:color="auto"/>
              <w:right w:val="single" w:sz="4" w:space="0" w:color="auto"/>
            </w:tcBorders>
            <w:vAlign w:val="bottom"/>
          </w:tcPr>
          <w:p w14:paraId="5E41D153" w14:textId="6BF8E683" w:rsidR="000E0573" w:rsidRPr="00037C01" w:rsidRDefault="000E0573" w:rsidP="000E0573">
            <w:pPr>
              <w:jc w:val="right"/>
              <w:rPr>
                <w:rFonts w:ascii="Arial" w:hAnsi="Arial" w:cs="Arial"/>
                <w:sz w:val="18"/>
              </w:rPr>
            </w:pPr>
            <w:r w:rsidRPr="00037C01">
              <w:rPr>
                <w:rFonts w:ascii="Arial" w:hAnsi="Arial" w:cs="Arial"/>
                <w:sz w:val="18"/>
              </w:rPr>
              <w:t>1.457.524</w:t>
            </w:r>
          </w:p>
        </w:tc>
      </w:tr>
      <w:tr w:rsidR="000E0573" w:rsidRPr="00AE0907" w14:paraId="7E6856D8" w14:textId="77777777" w:rsidTr="00037C01">
        <w:trPr>
          <w:trHeight w:val="264"/>
        </w:trPr>
        <w:tc>
          <w:tcPr>
            <w:tcW w:w="62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C3DAD" w14:textId="77777777" w:rsidR="000E0573" w:rsidRPr="00037C01" w:rsidRDefault="000E0573" w:rsidP="000E0573">
            <w:pPr>
              <w:jc w:val="both"/>
              <w:rPr>
                <w:rFonts w:ascii="Arial" w:hAnsi="Arial" w:cs="Arial"/>
                <w:sz w:val="18"/>
              </w:rPr>
            </w:pPr>
            <w:r w:rsidRPr="00037C01">
              <w:rPr>
                <w:rFonts w:ascii="Arial" w:hAnsi="Arial" w:cs="Arial"/>
                <w:sz w:val="18"/>
              </w:rPr>
              <w:t>Impuestos y tasas</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6DD55" w14:textId="562EFE9C" w:rsidR="000E0573" w:rsidRPr="00037C01" w:rsidRDefault="00D128FA" w:rsidP="00543EF5">
            <w:pPr>
              <w:jc w:val="right"/>
              <w:rPr>
                <w:rFonts w:ascii="Arial" w:hAnsi="Arial" w:cs="Arial"/>
                <w:sz w:val="18"/>
              </w:rPr>
            </w:pPr>
            <w:r>
              <w:rPr>
                <w:rFonts w:ascii="Arial" w:hAnsi="Arial" w:cs="Arial"/>
                <w:sz w:val="18"/>
              </w:rPr>
              <w:t>1.052.715</w:t>
            </w:r>
          </w:p>
        </w:tc>
        <w:tc>
          <w:tcPr>
            <w:tcW w:w="1272" w:type="dxa"/>
            <w:tcBorders>
              <w:top w:val="single" w:sz="4" w:space="0" w:color="auto"/>
              <w:left w:val="single" w:sz="4" w:space="0" w:color="auto"/>
              <w:bottom w:val="single" w:sz="4" w:space="0" w:color="auto"/>
              <w:right w:val="single" w:sz="4" w:space="0" w:color="auto"/>
            </w:tcBorders>
            <w:vAlign w:val="bottom"/>
          </w:tcPr>
          <w:p w14:paraId="7CA5C44A" w14:textId="6E12887E" w:rsidR="000E0573" w:rsidRPr="00037C01" w:rsidRDefault="000E0573" w:rsidP="000E0573">
            <w:pPr>
              <w:jc w:val="right"/>
              <w:rPr>
                <w:rFonts w:ascii="Arial" w:hAnsi="Arial" w:cs="Arial"/>
                <w:sz w:val="18"/>
              </w:rPr>
            </w:pPr>
            <w:r w:rsidRPr="00037C01">
              <w:rPr>
                <w:rFonts w:ascii="Arial" w:hAnsi="Arial" w:cs="Arial"/>
                <w:sz w:val="18"/>
              </w:rPr>
              <w:t>743.047</w:t>
            </w:r>
          </w:p>
        </w:tc>
      </w:tr>
      <w:tr w:rsidR="000E0573" w:rsidRPr="00AE0907" w14:paraId="4659F47B" w14:textId="77777777" w:rsidTr="00037C01">
        <w:trPr>
          <w:trHeight w:val="264"/>
        </w:trPr>
        <w:tc>
          <w:tcPr>
            <w:tcW w:w="62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D8A85D" w14:textId="77777777" w:rsidR="000E0573" w:rsidRPr="00037C01" w:rsidRDefault="000E0573" w:rsidP="000E0573">
            <w:pPr>
              <w:jc w:val="both"/>
              <w:rPr>
                <w:rFonts w:ascii="Arial" w:hAnsi="Arial" w:cs="Arial"/>
                <w:sz w:val="18"/>
              </w:rPr>
            </w:pPr>
            <w:r w:rsidRPr="00037C01">
              <w:rPr>
                <w:rFonts w:ascii="Arial" w:hAnsi="Arial" w:cs="Arial"/>
                <w:sz w:val="18"/>
              </w:rPr>
              <w:t>Mantenimiento y reparaciones</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BFB00F" w14:textId="4A25B79A" w:rsidR="000E0573" w:rsidRPr="00037C01" w:rsidRDefault="00D128FA" w:rsidP="00543EF5">
            <w:pPr>
              <w:jc w:val="right"/>
              <w:rPr>
                <w:rFonts w:ascii="Arial" w:hAnsi="Arial" w:cs="Arial"/>
                <w:sz w:val="18"/>
              </w:rPr>
            </w:pPr>
            <w:r>
              <w:rPr>
                <w:rFonts w:ascii="Arial" w:hAnsi="Arial" w:cs="Arial"/>
                <w:sz w:val="18"/>
              </w:rPr>
              <w:t>696.425</w:t>
            </w:r>
          </w:p>
        </w:tc>
        <w:tc>
          <w:tcPr>
            <w:tcW w:w="1272" w:type="dxa"/>
            <w:tcBorders>
              <w:top w:val="single" w:sz="4" w:space="0" w:color="auto"/>
              <w:left w:val="single" w:sz="4" w:space="0" w:color="auto"/>
              <w:bottom w:val="single" w:sz="4" w:space="0" w:color="auto"/>
              <w:right w:val="single" w:sz="4" w:space="0" w:color="auto"/>
            </w:tcBorders>
            <w:vAlign w:val="bottom"/>
          </w:tcPr>
          <w:p w14:paraId="39D1F2BC" w14:textId="3FACA0FC" w:rsidR="000E0573" w:rsidRPr="00037C01" w:rsidRDefault="000E0573" w:rsidP="000E0573">
            <w:pPr>
              <w:jc w:val="right"/>
              <w:rPr>
                <w:rFonts w:ascii="Arial" w:hAnsi="Arial" w:cs="Arial"/>
                <w:sz w:val="18"/>
              </w:rPr>
            </w:pPr>
            <w:r w:rsidRPr="00037C01">
              <w:rPr>
                <w:rFonts w:ascii="Arial" w:hAnsi="Arial" w:cs="Arial"/>
                <w:sz w:val="18"/>
              </w:rPr>
              <w:t>442.221</w:t>
            </w:r>
          </w:p>
        </w:tc>
      </w:tr>
      <w:tr w:rsidR="000E0573" w:rsidRPr="00AE0907" w14:paraId="1DB03BAD" w14:textId="77777777" w:rsidTr="00037C01">
        <w:trPr>
          <w:trHeight w:val="264"/>
        </w:trPr>
        <w:tc>
          <w:tcPr>
            <w:tcW w:w="62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4F8E4" w14:textId="77777777" w:rsidR="000E0573" w:rsidRPr="00037C01" w:rsidRDefault="000E0573" w:rsidP="000E0573">
            <w:pPr>
              <w:jc w:val="both"/>
              <w:rPr>
                <w:rFonts w:ascii="Arial" w:hAnsi="Arial" w:cs="Arial"/>
                <w:sz w:val="18"/>
              </w:rPr>
            </w:pPr>
            <w:r w:rsidRPr="00037C01">
              <w:rPr>
                <w:rFonts w:ascii="Arial" w:hAnsi="Arial" w:cs="Arial"/>
                <w:sz w:val="18"/>
              </w:rPr>
              <w:t>Energía eléctrica, gas  y teléfono</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CCED03" w14:textId="7AEF0380" w:rsidR="000E0573" w:rsidRPr="00037C01" w:rsidRDefault="00D128FA" w:rsidP="00543EF5">
            <w:pPr>
              <w:jc w:val="right"/>
              <w:rPr>
                <w:rFonts w:ascii="Arial" w:hAnsi="Arial" w:cs="Arial"/>
                <w:sz w:val="18"/>
              </w:rPr>
            </w:pPr>
            <w:r>
              <w:rPr>
                <w:rFonts w:ascii="Arial" w:hAnsi="Arial" w:cs="Arial"/>
                <w:sz w:val="18"/>
              </w:rPr>
              <w:t>361.129</w:t>
            </w:r>
          </w:p>
        </w:tc>
        <w:tc>
          <w:tcPr>
            <w:tcW w:w="1272" w:type="dxa"/>
            <w:tcBorders>
              <w:top w:val="single" w:sz="4" w:space="0" w:color="auto"/>
              <w:left w:val="single" w:sz="4" w:space="0" w:color="auto"/>
              <w:bottom w:val="single" w:sz="4" w:space="0" w:color="auto"/>
              <w:right w:val="single" w:sz="4" w:space="0" w:color="auto"/>
            </w:tcBorders>
            <w:vAlign w:val="bottom"/>
          </w:tcPr>
          <w:p w14:paraId="49AD700B" w14:textId="507370C4" w:rsidR="000E0573" w:rsidRPr="00037C01" w:rsidRDefault="000E0573" w:rsidP="000E0573">
            <w:pPr>
              <w:jc w:val="right"/>
              <w:rPr>
                <w:rFonts w:ascii="Arial" w:hAnsi="Arial" w:cs="Arial"/>
                <w:sz w:val="18"/>
              </w:rPr>
            </w:pPr>
            <w:r w:rsidRPr="00037C01">
              <w:rPr>
                <w:rFonts w:ascii="Arial" w:hAnsi="Arial" w:cs="Arial"/>
                <w:sz w:val="18"/>
              </w:rPr>
              <w:t>257.694</w:t>
            </w:r>
          </w:p>
        </w:tc>
      </w:tr>
      <w:tr w:rsidR="000E0573" w:rsidRPr="00AE0907" w14:paraId="4D6F62B6" w14:textId="77777777" w:rsidTr="00037C01">
        <w:trPr>
          <w:trHeight w:val="264"/>
        </w:trPr>
        <w:tc>
          <w:tcPr>
            <w:tcW w:w="62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EE21FC" w14:textId="77777777" w:rsidR="000E0573" w:rsidRPr="00037C01" w:rsidRDefault="000E0573" w:rsidP="000E0573">
            <w:pPr>
              <w:jc w:val="both"/>
              <w:rPr>
                <w:rFonts w:ascii="Arial" w:hAnsi="Arial" w:cs="Arial"/>
                <w:sz w:val="18"/>
              </w:rPr>
            </w:pPr>
            <w:r w:rsidRPr="00037C01">
              <w:rPr>
                <w:rFonts w:ascii="Arial" w:hAnsi="Arial" w:cs="Arial"/>
                <w:sz w:val="18"/>
              </w:rPr>
              <w:t>Gastos de publicidad, promoción e investigación</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A74A0" w14:textId="66CFAF8C" w:rsidR="000E0573" w:rsidRPr="00037C01" w:rsidRDefault="00D128FA" w:rsidP="00543EF5">
            <w:pPr>
              <w:jc w:val="right"/>
              <w:rPr>
                <w:rFonts w:ascii="Arial" w:hAnsi="Arial" w:cs="Arial"/>
                <w:sz w:val="18"/>
              </w:rPr>
            </w:pPr>
            <w:r>
              <w:rPr>
                <w:rFonts w:ascii="Arial" w:hAnsi="Arial" w:cs="Arial"/>
                <w:sz w:val="18"/>
              </w:rPr>
              <w:t>389.550</w:t>
            </w:r>
          </w:p>
        </w:tc>
        <w:tc>
          <w:tcPr>
            <w:tcW w:w="1272" w:type="dxa"/>
            <w:tcBorders>
              <w:top w:val="single" w:sz="4" w:space="0" w:color="auto"/>
              <w:left w:val="single" w:sz="4" w:space="0" w:color="auto"/>
              <w:bottom w:val="single" w:sz="4" w:space="0" w:color="auto"/>
              <w:right w:val="single" w:sz="4" w:space="0" w:color="auto"/>
            </w:tcBorders>
            <w:vAlign w:val="bottom"/>
          </w:tcPr>
          <w:p w14:paraId="0E78DAD2" w14:textId="32BAF655" w:rsidR="000E0573" w:rsidRPr="00037C01" w:rsidRDefault="000E0573" w:rsidP="000E0573">
            <w:pPr>
              <w:jc w:val="right"/>
              <w:rPr>
                <w:rFonts w:ascii="Arial" w:hAnsi="Arial" w:cs="Arial"/>
                <w:sz w:val="18"/>
              </w:rPr>
            </w:pPr>
            <w:r w:rsidRPr="00037C01">
              <w:rPr>
                <w:rFonts w:ascii="Arial" w:hAnsi="Arial" w:cs="Arial"/>
                <w:sz w:val="18"/>
              </w:rPr>
              <w:t>317.845</w:t>
            </w:r>
          </w:p>
        </w:tc>
      </w:tr>
      <w:tr w:rsidR="000E0573" w:rsidRPr="00AE0907" w14:paraId="56F13E11" w14:textId="77777777" w:rsidTr="00037C01">
        <w:trPr>
          <w:trHeight w:val="264"/>
        </w:trPr>
        <w:tc>
          <w:tcPr>
            <w:tcW w:w="62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2AB157" w14:textId="77777777" w:rsidR="000E0573" w:rsidRPr="00037C01" w:rsidRDefault="000E0573" w:rsidP="000E0573">
            <w:pPr>
              <w:jc w:val="both"/>
              <w:rPr>
                <w:rFonts w:ascii="Arial" w:hAnsi="Arial" w:cs="Arial"/>
                <w:sz w:val="18"/>
              </w:rPr>
            </w:pPr>
            <w:r w:rsidRPr="00037C01">
              <w:rPr>
                <w:rFonts w:ascii="Arial" w:hAnsi="Arial" w:cs="Arial"/>
                <w:sz w:val="18"/>
              </w:rPr>
              <w:t>Gastos de representación y movilidad</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22C8D" w14:textId="325C80BD" w:rsidR="000E0573" w:rsidRPr="00037C01" w:rsidRDefault="00D128FA" w:rsidP="00543EF5">
            <w:pPr>
              <w:jc w:val="right"/>
              <w:rPr>
                <w:rFonts w:ascii="Arial" w:hAnsi="Arial" w:cs="Arial"/>
                <w:sz w:val="18"/>
              </w:rPr>
            </w:pPr>
            <w:r>
              <w:rPr>
                <w:rFonts w:ascii="Arial" w:hAnsi="Arial" w:cs="Arial"/>
                <w:sz w:val="18"/>
              </w:rPr>
              <w:t>82.010</w:t>
            </w:r>
          </w:p>
        </w:tc>
        <w:tc>
          <w:tcPr>
            <w:tcW w:w="1272" w:type="dxa"/>
            <w:tcBorders>
              <w:top w:val="single" w:sz="4" w:space="0" w:color="auto"/>
              <w:left w:val="single" w:sz="4" w:space="0" w:color="auto"/>
              <w:bottom w:val="single" w:sz="4" w:space="0" w:color="auto"/>
              <w:right w:val="single" w:sz="4" w:space="0" w:color="auto"/>
            </w:tcBorders>
            <w:vAlign w:val="bottom"/>
          </w:tcPr>
          <w:p w14:paraId="2CD3DDD0" w14:textId="248E9AA0" w:rsidR="000E0573" w:rsidRPr="00037C01" w:rsidRDefault="000E0573" w:rsidP="000E0573">
            <w:pPr>
              <w:jc w:val="right"/>
              <w:rPr>
                <w:rFonts w:ascii="Arial" w:hAnsi="Arial" w:cs="Arial"/>
                <w:sz w:val="18"/>
              </w:rPr>
            </w:pPr>
            <w:r w:rsidRPr="00037C01">
              <w:rPr>
                <w:rFonts w:ascii="Arial" w:hAnsi="Arial" w:cs="Arial"/>
                <w:sz w:val="18"/>
              </w:rPr>
              <w:t>78.180</w:t>
            </w:r>
          </w:p>
        </w:tc>
      </w:tr>
      <w:tr w:rsidR="000E0573" w:rsidRPr="00AE0907" w14:paraId="354C3B38" w14:textId="77777777" w:rsidTr="00037C01">
        <w:trPr>
          <w:trHeight w:val="264"/>
        </w:trPr>
        <w:tc>
          <w:tcPr>
            <w:tcW w:w="62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E6F347" w14:textId="77777777" w:rsidR="000E0573" w:rsidRPr="00037C01" w:rsidRDefault="000E0573" w:rsidP="000E0573">
            <w:pPr>
              <w:jc w:val="both"/>
              <w:rPr>
                <w:rFonts w:ascii="Arial" w:hAnsi="Arial" w:cs="Arial"/>
                <w:sz w:val="18"/>
              </w:rPr>
            </w:pPr>
            <w:r w:rsidRPr="00037C01">
              <w:rPr>
                <w:rFonts w:ascii="Arial" w:hAnsi="Arial" w:cs="Arial"/>
                <w:sz w:val="18"/>
              </w:rPr>
              <w:t>Honorarios al Directorio</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0FFA94" w14:textId="573D568D" w:rsidR="000E0573" w:rsidRPr="00037C01" w:rsidRDefault="00D128FA" w:rsidP="00543EF5">
            <w:pPr>
              <w:jc w:val="right"/>
              <w:rPr>
                <w:rFonts w:ascii="Arial" w:hAnsi="Arial" w:cs="Arial"/>
                <w:sz w:val="18"/>
              </w:rPr>
            </w:pPr>
            <w:r>
              <w:rPr>
                <w:rFonts w:ascii="Arial" w:hAnsi="Arial" w:cs="Arial"/>
                <w:sz w:val="18"/>
              </w:rPr>
              <w:t>158.534</w:t>
            </w:r>
          </w:p>
        </w:tc>
        <w:tc>
          <w:tcPr>
            <w:tcW w:w="1272" w:type="dxa"/>
            <w:tcBorders>
              <w:top w:val="single" w:sz="4" w:space="0" w:color="auto"/>
              <w:left w:val="single" w:sz="4" w:space="0" w:color="auto"/>
              <w:bottom w:val="single" w:sz="4" w:space="0" w:color="auto"/>
              <w:right w:val="single" w:sz="4" w:space="0" w:color="auto"/>
            </w:tcBorders>
            <w:vAlign w:val="bottom"/>
          </w:tcPr>
          <w:p w14:paraId="320CEF7C" w14:textId="4AF5E6CE" w:rsidR="000E0573" w:rsidRPr="00037C01" w:rsidRDefault="000E0573" w:rsidP="000E0573">
            <w:pPr>
              <w:jc w:val="right"/>
              <w:rPr>
                <w:rFonts w:ascii="Arial" w:hAnsi="Arial" w:cs="Arial"/>
                <w:sz w:val="18"/>
              </w:rPr>
            </w:pPr>
            <w:r w:rsidRPr="00037C01">
              <w:rPr>
                <w:rFonts w:ascii="Arial" w:hAnsi="Arial" w:cs="Arial"/>
                <w:sz w:val="18"/>
              </w:rPr>
              <w:t>114.419</w:t>
            </w:r>
          </w:p>
        </w:tc>
      </w:tr>
      <w:tr w:rsidR="000E0573" w:rsidRPr="00AE0907" w14:paraId="7A0D8E2E" w14:textId="77777777" w:rsidTr="00037C01">
        <w:trPr>
          <w:trHeight w:val="279"/>
        </w:trPr>
        <w:tc>
          <w:tcPr>
            <w:tcW w:w="6221" w:type="dxa"/>
            <w:shd w:val="clear" w:color="auto" w:fill="auto"/>
            <w:noWrap/>
            <w:vAlign w:val="center"/>
          </w:tcPr>
          <w:p w14:paraId="48889EA6" w14:textId="77777777" w:rsidR="000E0573" w:rsidRPr="00037C01" w:rsidRDefault="000E0573" w:rsidP="000E0573">
            <w:pPr>
              <w:jc w:val="both"/>
              <w:rPr>
                <w:rFonts w:ascii="Arial" w:hAnsi="Arial" w:cs="Arial"/>
                <w:sz w:val="18"/>
              </w:rPr>
            </w:pPr>
            <w:r w:rsidRPr="00037C01">
              <w:rPr>
                <w:rFonts w:ascii="Arial" w:hAnsi="Arial" w:cs="Arial"/>
                <w:sz w:val="18"/>
              </w:rPr>
              <w:t>Utiles de oficina</w:t>
            </w:r>
          </w:p>
        </w:tc>
        <w:tc>
          <w:tcPr>
            <w:tcW w:w="1272" w:type="dxa"/>
            <w:shd w:val="clear" w:color="auto" w:fill="auto"/>
            <w:noWrap/>
            <w:vAlign w:val="bottom"/>
          </w:tcPr>
          <w:p w14:paraId="3C3B0ED6" w14:textId="2E6AE703" w:rsidR="000E0573" w:rsidRPr="00037C01" w:rsidRDefault="00D128FA" w:rsidP="00543EF5">
            <w:pPr>
              <w:jc w:val="right"/>
              <w:rPr>
                <w:rFonts w:ascii="Arial" w:hAnsi="Arial" w:cs="Arial"/>
                <w:sz w:val="18"/>
              </w:rPr>
            </w:pPr>
            <w:r>
              <w:rPr>
                <w:rFonts w:ascii="Arial" w:hAnsi="Arial" w:cs="Arial"/>
                <w:sz w:val="18"/>
              </w:rPr>
              <w:t>151.620</w:t>
            </w:r>
          </w:p>
        </w:tc>
        <w:tc>
          <w:tcPr>
            <w:tcW w:w="1272" w:type="dxa"/>
            <w:vAlign w:val="bottom"/>
          </w:tcPr>
          <w:p w14:paraId="40B4FAFD" w14:textId="7A010C72" w:rsidR="000E0573" w:rsidRPr="00037C01" w:rsidRDefault="000E0573" w:rsidP="000E0573">
            <w:pPr>
              <w:jc w:val="right"/>
              <w:rPr>
                <w:rFonts w:ascii="Arial" w:hAnsi="Arial" w:cs="Arial"/>
                <w:sz w:val="18"/>
              </w:rPr>
            </w:pPr>
            <w:r w:rsidRPr="00037C01">
              <w:rPr>
                <w:rFonts w:ascii="Arial" w:hAnsi="Arial" w:cs="Arial"/>
                <w:sz w:val="18"/>
              </w:rPr>
              <w:t>55.146</w:t>
            </w:r>
          </w:p>
        </w:tc>
      </w:tr>
      <w:tr w:rsidR="000E0573" w:rsidRPr="00AE0907" w14:paraId="258021F1" w14:textId="77777777" w:rsidTr="00037C01">
        <w:trPr>
          <w:trHeight w:val="264"/>
        </w:trPr>
        <w:tc>
          <w:tcPr>
            <w:tcW w:w="62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14657B" w14:textId="77777777" w:rsidR="000E0573" w:rsidRPr="00037C01" w:rsidRDefault="000E0573" w:rsidP="000E0573">
            <w:pPr>
              <w:jc w:val="both"/>
              <w:rPr>
                <w:rFonts w:ascii="Arial" w:hAnsi="Arial" w:cs="Arial"/>
                <w:sz w:val="18"/>
              </w:rPr>
            </w:pPr>
            <w:r w:rsidRPr="00037C01">
              <w:rPr>
                <w:rFonts w:ascii="Arial" w:hAnsi="Arial" w:cs="Arial"/>
                <w:sz w:val="18"/>
              </w:rPr>
              <w:t>Diversos</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8619BE" w14:textId="75CE9ED9" w:rsidR="000E0573" w:rsidRPr="00037C01" w:rsidRDefault="00D128FA" w:rsidP="00543EF5">
            <w:pPr>
              <w:jc w:val="right"/>
              <w:rPr>
                <w:rFonts w:ascii="Arial" w:hAnsi="Arial" w:cs="Arial"/>
                <w:sz w:val="18"/>
              </w:rPr>
            </w:pPr>
            <w:r>
              <w:rPr>
                <w:rFonts w:ascii="Arial" w:hAnsi="Arial" w:cs="Arial"/>
                <w:sz w:val="18"/>
              </w:rPr>
              <w:t>394.958</w:t>
            </w:r>
          </w:p>
        </w:tc>
        <w:tc>
          <w:tcPr>
            <w:tcW w:w="1272" w:type="dxa"/>
            <w:tcBorders>
              <w:top w:val="single" w:sz="4" w:space="0" w:color="auto"/>
              <w:left w:val="single" w:sz="4" w:space="0" w:color="auto"/>
              <w:bottom w:val="single" w:sz="4" w:space="0" w:color="auto"/>
              <w:right w:val="single" w:sz="4" w:space="0" w:color="auto"/>
            </w:tcBorders>
            <w:vAlign w:val="bottom"/>
          </w:tcPr>
          <w:p w14:paraId="759663D0" w14:textId="6D1E7756" w:rsidR="000E0573" w:rsidRPr="00037C01" w:rsidRDefault="000E0573" w:rsidP="000E0573">
            <w:pPr>
              <w:jc w:val="right"/>
              <w:rPr>
                <w:rFonts w:ascii="Arial" w:hAnsi="Arial" w:cs="Arial"/>
                <w:sz w:val="18"/>
              </w:rPr>
            </w:pPr>
            <w:r w:rsidRPr="00037C01">
              <w:rPr>
                <w:rFonts w:ascii="Arial" w:hAnsi="Arial" w:cs="Arial"/>
                <w:sz w:val="18"/>
              </w:rPr>
              <w:t>270.369</w:t>
            </w:r>
          </w:p>
        </w:tc>
      </w:tr>
      <w:tr w:rsidR="000E0573" w:rsidRPr="000E0573" w14:paraId="1D844BA8" w14:textId="77777777" w:rsidTr="00037C01">
        <w:trPr>
          <w:trHeight w:val="279"/>
        </w:trPr>
        <w:tc>
          <w:tcPr>
            <w:tcW w:w="6221" w:type="dxa"/>
            <w:shd w:val="clear" w:color="auto" w:fill="auto"/>
            <w:noWrap/>
            <w:vAlign w:val="bottom"/>
            <w:hideMark/>
          </w:tcPr>
          <w:p w14:paraId="3FA2EC4C" w14:textId="77777777" w:rsidR="000E0573" w:rsidRPr="00037C01" w:rsidRDefault="000E0573" w:rsidP="000E0573">
            <w:pPr>
              <w:jc w:val="both"/>
              <w:rPr>
                <w:rFonts w:ascii="Arial" w:hAnsi="Arial" w:cs="Arial"/>
                <w:b/>
                <w:sz w:val="18"/>
              </w:rPr>
            </w:pPr>
            <w:r w:rsidRPr="00037C01">
              <w:rPr>
                <w:rFonts w:ascii="Arial" w:hAnsi="Arial" w:cs="Arial"/>
                <w:b/>
                <w:sz w:val="18"/>
              </w:rPr>
              <w:t>Total</w:t>
            </w:r>
          </w:p>
        </w:tc>
        <w:tc>
          <w:tcPr>
            <w:tcW w:w="1272" w:type="dxa"/>
            <w:shd w:val="clear" w:color="auto" w:fill="auto"/>
            <w:noWrap/>
            <w:vAlign w:val="bottom"/>
          </w:tcPr>
          <w:p w14:paraId="684FFFF7" w14:textId="32759DE5" w:rsidR="000E0573" w:rsidRPr="00037C01" w:rsidRDefault="00D128FA" w:rsidP="00543EF5">
            <w:pPr>
              <w:jc w:val="right"/>
              <w:rPr>
                <w:rFonts w:ascii="Arial" w:hAnsi="Arial" w:cs="Arial"/>
                <w:b/>
                <w:sz w:val="18"/>
              </w:rPr>
            </w:pPr>
            <w:r>
              <w:rPr>
                <w:rFonts w:ascii="Arial" w:hAnsi="Arial" w:cs="Arial"/>
                <w:b/>
                <w:sz w:val="18"/>
              </w:rPr>
              <w:t>5.398.010</w:t>
            </w:r>
          </w:p>
        </w:tc>
        <w:tc>
          <w:tcPr>
            <w:tcW w:w="1272" w:type="dxa"/>
            <w:vAlign w:val="bottom"/>
          </w:tcPr>
          <w:p w14:paraId="601B9732" w14:textId="3F45A9DA" w:rsidR="000E0573" w:rsidRPr="00037C01" w:rsidRDefault="000E0573" w:rsidP="000E0573">
            <w:pPr>
              <w:jc w:val="right"/>
              <w:rPr>
                <w:rFonts w:ascii="Arial" w:hAnsi="Arial" w:cs="Arial"/>
                <w:b/>
                <w:sz w:val="18"/>
              </w:rPr>
            </w:pPr>
            <w:r w:rsidRPr="00037C01">
              <w:rPr>
                <w:rFonts w:ascii="Arial" w:hAnsi="Arial" w:cs="Arial"/>
                <w:b/>
                <w:sz w:val="18"/>
              </w:rPr>
              <w:t>4.102.940</w:t>
            </w:r>
          </w:p>
        </w:tc>
      </w:tr>
    </w:tbl>
    <w:p w14:paraId="7757347C" w14:textId="77777777" w:rsidR="00AE0907" w:rsidRPr="00AE0907" w:rsidRDefault="00AE0907" w:rsidP="00AE0907">
      <w:pPr>
        <w:jc w:val="both"/>
        <w:rPr>
          <w:rFonts w:ascii="Arial" w:hAnsi="Arial" w:cs="Arial"/>
          <w:sz w:val="20"/>
        </w:rPr>
      </w:pPr>
    </w:p>
    <w:p w14:paraId="67856BAF" w14:textId="7089B8E5" w:rsidR="00AE0907" w:rsidRPr="00AE0907" w:rsidRDefault="000E0573" w:rsidP="00AE0907">
      <w:pPr>
        <w:jc w:val="both"/>
        <w:rPr>
          <w:rFonts w:ascii="Arial" w:hAnsi="Arial" w:cs="Arial"/>
          <w:sz w:val="20"/>
        </w:rPr>
      </w:pPr>
      <w:r>
        <w:rPr>
          <w:rFonts w:ascii="Arial" w:hAnsi="Arial" w:cs="Arial"/>
          <w:sz w:val="20"/>
        </w:rPr>
        <w:t>6</w:t>
      </w:r>
      <w:r w:rsidR="00AE0907" w:rsidRPr="00AE0907">
        <w:rPr>
          <w:rFonts w:ascii="Arial" w:hAnsi="Arial" w:cs="Arial"/>
          <w:sz w:val="20"/>
        </w:rPr>
        <w:t>.24 Otros gastos operativos.</w:t>
      </w:r>
    </w:p>
    <w:p w14:paraId="0481157C" w14:textId="77777777" w:rsidR="00AE0907" w:rsidRPr="00AE0907" w:rsidRDefault="00AE0907" w:rsidP="00AE0907">
      <w:pPr>
        <w:jc w:val="both"/>
        <w:rPr>
          <w:rFonts w:ascii="Arial" w:hAnsi="Arial" w:cs="Arial"/>
          <w:sz w:val="20"/>
        </w:rPr>
      </w:pPr>
    </w:p>
    <w:p w14:paraId="6721E1A7" w14:textId="5B95F00E" w:rsidR="00AE0907" w:rsidRPr="00AE0907" w:rsidRDefault="00AE0907" w:rsidP="00AE0907">
      <w:pPr>
        <w:jc w:val="both"/>
        <w:rPr>
          <w:rFonts w:ascii="Arial" w:hAnsi="Arial" w:cs="Arial"/>
          <w:sz w:val="20"/>
        </w:rPr>
      </w:pPr>
      <w:r w:rsidRPr="00AE0907">
        <w:rPr>
          <w:rFonts w:ascii="Arial" w:eastAsiaTheme="minorHAnsi" w:hAnsi="Arial" w:cs="Arial"/>
          <w:sz w:val="20"/>
        </w:rPr>
        <w:t xml:space="preserve">Se detallan a continuación los principales componentes de otros gastos operativos por los ejercicios económicos finalizados el </w:t>
      </w:r>
      <w:r w:rsidR="000E0573" w:rsidRPr="00AE0907">
        <w:rPr>
          <w:rFonts w:ascii="Arial" w:eastAsiaTheme="minorHAnsi" w:hAnsi="Arial" w:cs="Arial"/>
          <w:sz w:val="20"/>
        </w:rPr>
        <w:t>31 de diciembre de 201</w:t>
      </w:r>
      <w:r w:rsidR="000E0573">
        <w:rPr>
          <w:rFonts w:ascii="Arial" w:eastAsiaTheme="minorHAnsi" w:hAnsi="Arial" w:cs="Arial"/>
          <w:sz w:val="20"/>
        </w:rPr>
        <w:t>9</w:t>
      </w:r>
      <w:r w:rsidR="000E0573" w:rsidRPr="00AE0907">
        <w:rPr>
          <w:rFonts w:ascii="Arial" w:eastAsiaTheme="minorHAnsi" w:hAnsi="Arial" w:cs="Arial"/>
          <w:sz w:val="20"/>
        </w:rPr>
        <w:t xml:space="preserve"> y 201</w:t>
      </w:r>
      <w:r w:rsidR="000E0573">
        <w:rPr>
          <w:rFonts w:ascii="Arial" w:eastAsiaTheme="minorHAnsi" w:hAnsi="Arial" w:cs="Arial"/>
          <w:sz w:val="20"/>
        </w:rPr>
        <w:t>8</w:t>
      </w:r>
      <w:r w:rsidRPr="00AE0907">
        <w:rPr>
          <w:rFonts w:ascii="Arial" w:eastAsiaTheme="minorHAnsi" w:hAnsi="Arial" w:cs="Arial"/>
          <w:sz w:val="20"/>
        </w:rPr>
        <w:t>:</w:t>
      </w:r>
    </w:p>
    <w:p w14:paraId="19DAB8EF" w14:textId="77777777" w:rsidR="00AE0907" w:rsidRPr="00AE0907" w:rsidRDefault="00AE0907" w:rsidP="00AE0907">
      <w:pPr>
        <w:jc w:val="both"/>
        <w:rPr>
          <w:rFonts w:ascii="Arial" w:hAnsi="Arial" w:cs="Arial"/>
          <w:sz w:val="20"/>
        </w:rPr>
      </w:pPr>
    </w:p>
    <w:tbl>
      <w:tblPr>
        <w:tblW w:w="8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36"/>
        <w:gridCol w:w="1161"/>
        <w:gridCol w:w="1443"/>
      </w:tblGrid>
      <w:tr w:rsidR="000E0573" w:rsidRPr="00037C01" w14:paraId="4C64FCC1" w14:textId="77777777" w:rsidTr="00A059FB">
        <w:trPr>
          <w:trHeight w:val="249"/>
          <w:tblHeader/>
        </w:trPr>
        <w:tc>
          <w:tcPr>
            <w:tcW w:w="5936" w:type="dxa"/>
            <w:shd w:val="clear" w:color="auto" w:fill="auto"/>
            <w:noWrap/>
            <w:hideMark/>
          </w:tcPr>
          <w:p w14:paraId="76F56690" w14:textId="77777777" w:rsidR="000E0573" w:rsidRPr="00037C01" w:rsidRDefault="000E0573" w:rsidP="000E0573">
            <w:pPr>
              <w:jc w:val="both"/>
              <w:rPr>
                <w:rFonts w:ascii="Arial" w:hAnsi="Arial" w:cs="Arial"/>
                <w:sz w:val="18"/>
              </w:rPr>
            </w:pPr>
          </w:p>
        </w:tc>
        <w:tc>
          <w:tcPr>
            <w:tcW w:w="1161" w:type="dxa"/>
            <w:shd w:val="clear" w:color="auto" w:fill="auto"/>
            <w:noWrap/>
            <w:vAlign w:val="center"/>
            <w:hideMark/>
          </w:tcPr>
          <w:p w14:paraId="3F6C95ED" w14:textId="507BE371" w:rsidR="000E0573" w:rsidRPr="00037C01" w:rsidRDefault="000E0573">
            <w:pPr>
              <w:jc w:val="center"/>
              <w:rPr>
                <w:rFonts w:ascii="Arial" w:hAnsi="Arial" w:cs="Arial"/>
                <w:sz w:val="18"/>
              </w:rPr>
            </w:pPr>
            <w:r w:rsidRPr="00037C01">
              <w:rPr>
                <w:rFonts w:ascii="Arial" w:hAnsi="Arial" w:cs="Arial"/>
                <w:b/>
                <w:sz w:val="18"/>
              </w:rPr>
              <w:t>31/12/2019</w:t>
            </w:r>
          </w:p>
        </w:tc>
        <w:tc>
          <w:tcPr>
            <w:tcW w:w="1443" w:type="dxa"/>
            <w:vAlign w:val="center"/>
          </w:tcPr>
          <w:p w14:paraId="43C0896D" w14:textId="68D439BC" w:rsidR="000E0573" w:rsidRPr="00037C01" w:rsidRDefault="000E0573" w:rsidP="00A059FB">
            <w:pPr>
              <w:jc w:val="center"/>
              <w:rPr>
                <w:rFonts w:ascii="Arial" w:hAnsi="Arial" w:cs="Arial"/>
                <w:sz w:val="18"/>
              </w:rPr>
            </w:pPr>
            <w:r w:rsidRPr="00037C01">
              <w:rPr>
                <w:rFonts w:ascii="Arial" w:hAnsi="Arial" w:cs="Arial"/>
                <w:b/>
                <w:sz w:val="18"/>
              </w:rPr>
              <w:t>31/12/2018</w:t>
            </w:r>
          </w:p>
        </w:tc>
      </w:tr>
      <w:tr w:rsidR="000E0573" w:rsidRPr="00037C01" w14:paraId="42D65018" w14:textId="77777777" w:rsidTr="00037C01">
        <w:trPr>
          <w:trHeight w:val="249"/>
        </w:trPr>
        <w:tc>
          <w:tcPr>
            <w:tcW w:w="5936" w:type="dxa"/>
            <w:shd w:val="clear" w:color="auto" w:fill="auto"/>
            <w:noWrap/>
            <w:vAlign w:val="bottom"/>
          </w:tcPr>
          <w:p w14:paraId="59415001" w14:textId="77777777" w:rsidR="000E0573" w:rsidRPr="00037C01" w:rsidRDefault="000E0573" w:rsidP="000E0573">
            <w:pPr>
              <w:jc w:val="both"/>
              <w:rPr>
                <w:rFonts w:ascii="Arial" w:hAnsi="Arial" w:cs="Arial"/>
                <w:sz w:val="18"/>
              </w:rPr>
            </w:pPr>
            <w:r w:rsidRPr="00037C01">
              <w:rPr>
                <w:rFonts w:ascii="Arial" w:hAnsi="Arial" w:cs="Arial"/>
                <w:sz w:val="18"/>
              </w:rPr>
              <w:t>Ingresos brutos</w:t>
            </w:r>
          </w:p>
        </w:tc>
        <w:tc>
          <w:tcPr>
            <w:tcW w:w="1161" w:type="dxa"/>
            <w:shd w:val="clear" w:color="auto" w:fill="auto"/>
            <w:noWrap/>
            <w:vAlign w:val="bottom"/>
          </w:tcPr>
          <w:p w14:paraId="39A712AD" w14:textId="418EB1CD" w:rsidR="000E0573" w:rsidRPr="00037C01" w:rsidRDefault="002C209A" w:rsidP="00543EF5">
            <w:pPr>
              <w:jc w:val="right"/>
              <w:rPr>
                <w:rFonts w:ascii="Arial" w:hAnsi="Arial" w:cs="Arial"/>
                <w:sz w:val="18"/>
              </w:rPr>
            </w:pPr>
            <w:r>
              <w:rPr>
                <w:rFonts w:ascii="Arial" w:hAnsi="Arial" w:cs="Arial"/>
                <w:sz w:val="18"/>
              </w:rPr>
              <w:t>2.987.860</w:t>
            </w:r>
          </w:p>
        </w:tc>
        <w:tc>
          <w:tcPr>
            <w:tcW w:w="1443" w:type="dxa"/>
            <w:vAlign w:val="bottom"/>
          </w:tcPr>
          <w:p w14:paraId="5984484B" w14:textId="2F86817C" w:rsidR="000E0573" w:rsidRPr="00037C01" w:rsidRDefault="000E0573" w:rsidP="000E0573">
            <w:pPr>
              <w:jc w:val="right"/>
              <w:rPr>
                <w:rFonts w:ascii="Arial" w:hAnsi="Arial" w:cs="Arial"/>
                <w:sz w:val="18"/>
              </w:rPr>
            </w:pPr>
            <w:r w:rsidRPr="00037C01">
              <w:rPr>
                <w:rFonts w:ascii="Arial" w:hAnsi="Arial" w:cs="Arial"/>
                <w:sz w:val="18"/>
              </w:rPr>
              <w:t>2.231.958</w:t>
            </w:r>
          </w:p>
        </w:tc>
      </w:tr>
      <w:tr w:rsidR="000E0573" w:rsidRPr="00037C01" w14:paraId="42FEA26C" w14:textId="77777777" w:rsidTr="00037C01">
        <w:trPr>
          <w:trHeight w:val="249"/>
        </w:trPr>
        <w:tc>
          <w:tcPr>
            <w:tcW w:w="5936" w:type="dxa"/>
            <w:shd w:val="clear" w:color="auto" w:fill="auto"/>
            <w:noWrap/>
            <w:vAlign w:val="center"/>
          </w:tcPr>
          <w:p w14:paraId="32CB834F" w14:textId="77777777" w:rsidR="000E0573" w:rsidRPr="00037C01" w:rsidRDefault="000E0573" w:rsidP="000E0573">
            <w:pPr>
              <w:jc w:val="both"/>
              <w:rPr>
                <w:rFonts w:ascii="Arial" w:hAnsi="Arial" w:cs="Arial"/>
                <w:sz w:val="18"/>
              </w:rPr>
            </w:pPr>
            <w:r w:rsidRPr="00037C01">
              <w:rPr>
                <w:rFonts w:ascii="Arial" w:hAnsi="Arial" w:cs="Arial"/>
                <w:sz w:val="18"/>
              </w:rPr>
              <w:t>Ajuste inicial a valor razonable de financiaciones a tasas inferiores a las de mercado</w:t>
            </w:r>
          </w:p>
        </w:tc>
        <w:tc>
          <w:tcPr>
            <w:tcW w:w="1161" w:type="dxa"/>
            <w:shd w:val="clear" w:color="auto" w:fill="auto"/>
            <w:noWrap/>
            <w:vAlign w:val="bottom"/>
          </w:tcPr>
          <w:p w14:paraId="44793854" w14:textId="71A7CAA4" w:rsidR="000E0573" w:rsidRPr="00037C01" w:rsidRDefault="00A001C7" w:rsidP="00543EF5">
            <w:pPr>
              <w:jc w:val="right"/>
              <w:rPr>
                <w:rFonts w:ascii="Arial" w:hAnsi="Arial" w:cs="Arial"/>
                <w:sz w:val="18"/>
              </w:rPr>
            </w:pPr>
            <w:r>
              <w:rPr>
                <w:rFonts w:ascii="Arial" w:hAnsi="Arial" w:cs="Arial"/>
                <w:sz w:val="18"/>
              </w:rPr>
              <w:t>163.009</w:t>
            </w:r>
          </w:p>
        </w:tc>
        <w:tc>
          <w:tcPr>
            <w:tcW w:w="1443" w:type="dxa"/>
            <w:vAlign w:val="bottom"/>
          </w:tcPr>
          <w:p w14:paraId="7972C50E" w14:textId="7B4AA634" w:rsidR="000E0573" w:rsidRPr="00037C01" w:rsidRDefault="000E0573" w:rsidP="000E0573">
            <w:pPr>
              <w:jc w:val="right"/>
              <w:rPr>
                <w:rFonts w:ascii="Arial" w:hAnsi="Arial" w:cs="Arial"/>
                <w:sz w:val="18"/>
              </w:rPr>
            </w:pPr>
            <w:r w:rsidRPr="00037C01">
              <w:rPr>
                <w:rFonts w:ascii="Arial" w:hAnsi="Arial" w:cs="Arial"/>
                <w:sz w:val="18"/>
              </w:rPr>
              <w:t>305.421</w:t>
            </w:r>
          </w:p>
        </w:tc>
      </w:tr>
      <w:tr w:rsidR="000E0573" w:rsidRPr="00037C01" w14:paraId="75A165C5" w14:textId="77777777" w:rsidTr="00037C01">
        <w:trPr>
          <w:trHeight w:val="249"/>
        </w:trPr>
        <w:tc>
          <w:tcPr>
            <w:tcW w:w="5936" w:type="dxa"/>
            <w:shd w:val="clear" w:color="auto" w:fill="auto"/>
            <w:noWrap/>
            <w:vAlign w:val="bottom"/>
            <w:hideMark/>
          </w:tcPr>
          <w:p w14:paraId="3DA9D849" w14:textId="77777777" w:rsidR="000E0573" w:rsidRPr="00037C01" w:rsidRDefault="000E0573" w:rsidP="000E0573">
            <w:pPr>
              <w:jc w:val="both"/>
              <w:rPr>
                <w:rFonts w:ascii="Arial" w:hAnsi="Arial" w:cs="Arial"/>
                <w:sz w:val="18"/>
              </w:rPr>
            </w:pPr>
            <w:r w:rsidRPr="00037C01">
              <w:rPr>
                <w:rFonts w:ascii="Arial" w:hAnsi="Arial" w:cs="Arial"/>
                <w:sz w:val="18"/>
              </w:rPr>
              <w:t>Donaciones</w:t>
            </w:r>
          </w:p>
        </w:tc>
        <w:tc>
          <w:tcPr>
            <w:tcW w:w="1161" w:type="dxa"/>
            <w:shd w:val="clear" w:color="auto" w:fill="auto"/>
            <w:noWrap/>
            <w:vAlign w:val="bottom"/>
          </w:tcPr>
          <w:p w14:paraId="37DB3433" w14:textId="14E6DD22" w:rsidR="000E0573" w:rsidRPr="00037C01" w:rsidRDefault="00A001C7" w:rsidP="00543EF5">
            <w:pPr>
              <w:jc w:val="right"/>
              <w:rPr>
                <w:rFonts w:ascii="Arial" w:hAnsi="Arial" w:cs="Arial"/>
                <w:sz w:val="18"/>
              </w:rPr>
            </w:pPr>
            <w:r>
              <w:rPr>
                <w:rFonts w:ascii="Arial" w:hAnsi="Arial" w:cs="Arial"/>
                <w:sz w:val="18"/>
              </w:rPr>
              <w:t>13.732</w:t>
            </w:r>
          </w:p>
        </w:tc>
        <w:tc>
          <w:tcPr>
            <w:tcW w:w="1443" w:type="dxa"/>
            <w:vAlign w:val="bottom"/>
          </w:tcPr>
          <w:p w14:paraId="6F6E4D89" w14:textId="4CE1B458" w:rsidR="000E0573" w:rsidRPr="00037C01" w:rsidRDefault="000E0573" w:rsidP="000E0573">
            <w:pPr>
              <w:jc w:val="right"/>
              <w:rPr>
                <w:rFonts w:ascii="Arial" w:hAnsi="Arial" w:cs="Arial"/>
                <w:sz w:val="18"/>
              </w:rPr>
            </w:pPr>
            <w:r w:rsidRPr="00037C01">
              <w:rPr>
                <w:rFonts w:ascii="Arial" w:hAnsi="Arial" w:cs="Arial"/>
                <w:sz w:val="18"/>
              </w:rPr>
              <w:t>17.076</w:t>
            </w:r>
          </w:p>
        </w:tc>
      </w:tr>
      <w:tr w:rsidR="000E0573" w:rsidRPr="00037C01" w14:paraId="1FE7CFEE" w14:textId="77777777" w:rsidTr="00037C01">
        <w:trPr>
          <w:trHeight w:val="249"/>
        </w:trPr>
        <w:tc>
          <w:tcPr>
            <w:tcW w:w="59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A3113" w14:textId="77777777" w:rsidR="000E0573" w:rsidRPr="00037C01" w:rsidRDefault="000E0573" w:rsidP="000E0573">
            <w:pPr>
              <w:jc w:val="both"/>
              <w:rPr>
                <w:rFonts w:ascii="Arial" w:hAnsi="Arial" w:cs="Arial"/>
                <w:sz w:val="18"/>
              </w:rPr>
            </w:pPr>
            <w:r w:rsidRPr="00037C01">
              <w:rPr>
                <w:rFonts w:ascii="Arial" w:hAnsi="Arial" w:cs="Arial"/>
                <w:sz w:val="18"/>
              </w:rPr>
              <w:t>Fondo de garantía de los depósitos</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97F25" w14:textId="60FB49F6" w:rsidR="000E0573" w:rsidRPr="00037C01" w:rsidRDefault="00A001C7" w:rsidP="00543EF5">
            <w:pPr>
              <w:jc w:val="right"/>
              <w:rPr>
                <w:rFonts w:ascii="Arial" w:hAnsi="Arial" w:cs="Arial"/>
                <w:sz w:val="18"/>
              </w:rPr>
            </w:pPr>
            <w:r>
              <w:rPr>
                <w:rFonts w:ascii="Arial" w:hAnsi="Arial" w:cs="Arial"/>
                <w:sz w:val="18"/>
              </w:rPr>
              <w:t>198.561</w:t>
            </w:r>
          </w:p>
        </w:tc>
        <w:tc>
          <w:tcPr>
            <w:tcW w:w="1443" w:type="dxa"/>
            <w:tcBorders>
              <w:top w:val="single" w:sz="4" w:space="0" w:color="auto"/>
              <w:left w:val="single" w:sz="4" w:space="0" w:color="auto"/>
              <w:bottom w:val="single" w:sz="4" w:space="0" w:color="auto"/>
              <w:right w:val="single" w:sz="4" w:space="0" w:color="auto"/>
            </w:tcBorders>
            <w:vAlign w:val="bottom"/>
          </w:tcPr>
          <w:p w14:paraId="1B1F6EBC" w14:textId="1BAFB445" w:rsidR="000E0573" w:rsidRPr="00037C01" w:rsidRDefault="000E0573" w:rsidP="000E0573">
            <w:pPr>
              <w:jc w:val="right"/>
              <w:rPr>
                <w:rFonts w:ascii="Arial" w:hAnsi="Arial" w:cs="Arial"/>
                <w:sz w:val="18"/>
              </w:rPr>
            </w:pPr>
            <w:r w:rsidRPr="00037C01">
              <w:rPr>
                <w:rFonts w:ascii="Arial" w:hAnsi="Arial" w:cs="Arial"/>
                <w:sz w:val="18"/>
              </w:rPr>
              <w:t>128.452</w:t>
            </w:r>
          </w:p>
        </w:tc>
      </w:tr>
      <w:tr w:rsidR="000E0573" w:rsidRPr="00037C01" w14:paraId="1A5AE091" w14:textId="77777777" w:rsidTr="00037C01">
        <w:trPr>
          <w:trHeight w:val="249"/>
        </w:trPr>
        <w:tc>
          <w:tcPr>
            <w:tcW w:w="5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0A8B1" w14:textId="77777777" w:rsidR="000E0573" w:rsidRPr="00037C01" w:rsidRDefault="000E0573" w:rsidP="000E0573">
            <w:pPr>
              <w:jc w:val="both"/>
              <w:rPr>
                <w:rFonts w:ascii="Arial" w:hAnsi="Arial" w:cs="Arial"/>
                <w:sz w:val="18"/>
              </w:rPr>
            </w:pPr>
            <w:r w:rsidRPr="00037C01">
              <w:rPr>
                <w:rFonts w:ascii="Arial" w:hAnsi="Arial" w:cs="Arial"/>
                <w:sz w:val="18"/>
              </w:rPr>
              <w:t>Obligaciones diversas</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F44FDD" w14:textId="671742E3" w:rsidR="000E0573" w:rsidRPr="00037C01" w:rsidRDefault="00A001C7" w:rsidP="00543EF5">
            <w:pPr>
              <w:jc w:val="right"/>
              <w:rPr>
                <w:rFonts w:ascii="Arial" w:hAnsi="Arial" w:cs="Arial"/>
                <w:sz w:val="18"/>
              </w:rPr>
            </w:pPr>
            <w:r>
              <w:rPr>
                <w:rFonts w:ascii="Arial" w:hAnsi="Arial" w:cs="Arial"/>
                <w:sz w:val="18"/>
              </w:rPr>
              <w:t>6.792</w:t>
            </w:r>
          </w:p>
        </w:tc>
        <w:tc>
          <w:tcPr>
            <w:tcW w:w="1443" w:type="dxa"/>
            <w:tcBorders>
              <w:top w:val="single" w:sz="4" w:space="0" w:color="auto"/>
              <w:left w:val="single" w:sz="4" w:space="0" w:color="auto"/>
              <w:bottom w:val="single" w:sz="4" w:space="0" w:color="auto"/>
              <w:right w:val="single" w:sz="4" w:space="0" w:color="auto"/>
            </w:tcBorders>
            <w:vAlign w:val="bottom"/>
          </w:tcPr>
          <w:p w14:paraId="0DA8A8A8" w14:textId="228371C0" w:rsidR="000E0573" w:rsidRPr="00037C01" w:rsidRDefault="000E0573" w:rsidP="000E0573">
            <w:pPr>
              <w:jc w:val="right"/>
              <w:rPr>
                <w:rFonts w:ascii="Arial" w:hAnsi="Arial" w:cs="Arial"/>
                <w:sz w:val="18"/>
              </w:rPr>
            </w:pPr>
            <w:r w:rsidRPr="00037C01">
              <w:rPr>
                <w:rFonts w:ascii="Arial" w:hAnsi="Arial" w:cs="Arial"/>
                <w:sz w:val="18"/>
              </w:rPr>
              <w:t>5.113</w:t>
            </w:r>
          </w:p>
        </w:tc>
      </w:tr>
      <w:tr w:rsidR="000E0573" w:rsidRPr="00037C01" w14:paraId="7ABF41DD" w14:textId="77777777" w:rsidTr="00037C01">
        <w:trPr>
          <w:trHeight w:val="249"/>
        </w:trPr>
        <w:tc>
          <w:tcPr>
            <w:tcW w:w="59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65E29C" w14:textId="77777777" w:rsidR="000E0573" w:rsidRPr="00037C01" w:rsidRDefault="000E0573" w:rsidP="000E0573">
            <w:pPr>
              <w:jc w:val="both"/>
              <w:rPr>
                <w:rFonts w:ascii="Arial" w:hAnsi="Arial" w:cs="Arial"/>
                <w:sz w:val="18"/>
              </w:rPr>
            </w:pPr>
            <w:r w:rsidRPr="00037C01">
              <w:rPr>
                <w:rFonts w:ascii="Arial" w:hAnsi="Arial" w:cs="Arial"/>
                <w:sz w:val="18"/>
              </w:rPr>
              <w:t>Otras provisiones</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33C88" w14:textId="1FA9792F" w:rsidR="000E0573" w:rsidRPr="00037C01" w:rsidRDefault="00A001C7" w:rsidP="00543EF5">
            <w:pPr>
              <w:jc w:val="right"/>
              <w:rPr>
                <w:rFonts w:ascii="Arial" w:hAnsi="Arial" w:cs="Arial"/>
                <w:sz w:val="18"/>
              </w:rPr>
            </w:pPr>
            <w:r>
              <w:rPr>
                <w:rFonts w:ascii="Arial" w:hAnsi="Arial" w:cs="Arial"/>
                <w:sz w:val="18"/>
              </w:rPr>
              <w:t>96.409</w:t>
            </w:r>
          </w:p>
        </w:tc>
        <w:tc>
          <w:tcPr>
            <w:tcW w:w="1443" w:type="dxa"/>
            <w:tcBorders>
              <w:top w:val="single" w:sz="4" w:space="0" w:color="auto"/>
              <w:left w:val="single" w:sz="4" w:space="0" w:color="auto"/>
              <w:bottom w:val="single" w:sz="4" w:space="0" w:color="auto"/>
              <w:right w:val="single" w:sz="4" w:space="0" w:color="auto"/>
            </w:tcBorders>
            <w:vAlign w:val="bottom"/>
          </w:tcPr>
          <w:p w14:paraId="3D2620A5" w14:textId="1812BED3" w:rsidR="000E0573" w:rsidRPr="00037C01" w:rsidRDefault="000E0573" w:rsidP="000E0573">
            <w:pPr>
              <w:jc w:val="right"/>
              <w:rPr>
                <w:rFonts w:ascii="Arial" w:hAnsi="Arial" w:cs="Arial"/>
                <w:sz w:val="18"/>
              </w:rPr>
            </w:pPr>
            <w:r w:rsidRPr="00037C01">
              <w:rPr>
                <w:rFonts w:ascii="Arial" w:hAnsi="Arial" w:cs="Arial"/>
                <w:sz w:val="18"/>
              </w:rPr>
              <w:t>24.442</w:t>
            </w:r>
          </w:p>
        </w:tc>
      </w:tr>
      <w:tr w:rsidR="000E0573" w:rsidRPr="00037C01" w14:paraId="1BEE0A22" w14:textId="77777777" w:rsidTr="00037C01">
        <w:trPr>
          <w:trHeight w:val="249"/>
        </w:trPr>
        <w:tc>
          <w:tcPr>
            <w:tcW w:w="5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EB905" w14:textId="77777777" w:rsidR="000E0573" w:rsidRPr="00037C01" w:rsidRDefault="000E0573" w:rsidP="000E0573">
            <w:pPr>
              <w:jc w:val="both"/>
              <w:rPr>
                <w:rFonts w:ascii="Arial" w:hAnsi="Arial" w:cs="Arial"/>
                <w:sz w:val="18"/>
              </w:rPr>
            </w:pPr>
            <w:r w:rsidRPr="00037C01">
              <w:rPr>
                <w:rFonts w:ascii="Arial" w:hAnsi="Arial" w:cs="Arial"/>
                <w:sz w:val="18"/>
              </w:rPr>
              <w:t>Promociones por tarjetas de crédito</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1CA07F" w14:textId="1C6F610B" w:rsidR="000E0573" w:rsidRPr="00037C01" w:rsidRDefault="00A001C7" w:rsidP="00543EF5">
            <w:pPr>
              <w:jc w:val="right"/>
              <w:rPr>
                <w:rFonts w:ascii="Arial" w:hAnsi="Arial" w:cs="Arial"/>
                <w:sz w:val="18"/>
              </w:rPr>
            </w:pPr>
            <w:r>
              <w:rPr>
                <w:rFonts w:ascii="Arial" w:hAnsi="Arial" w:cs="Arial"/>
                <w:sz w:val="18"/>
              </w:rPr>
              <w:t>4</w:t>
            </w:r>
            <w:r w:rsidR="00EF56BF">
              <w:rPr>
                <w:rFonts w:ascii="Arial" w:hAnsi="Arial" w:cs="Arial"/>
                <w:sz w:val="18"/>
              </w:rPr>
              <w:t>21</w:t>
            </w:r>
            <w:r>
              <w:rPr>
                <w:rFonts w:ascii="Arial" w:hAnsi="Arial" w:cs="Arial"/>
                <w:sz w:val="18"/>
              </w:rPr>
              <w:t>.</w:t>
            </w:r>
            <w:r w:rsidR="00EF56BF">
              <w:rPr>
                <w:rFonts w:ascii="Arial" w:hAnsi="Arial" w:cs="Arial"/>
                <w:sz w:val="18"/>
              </w:rPr>
              <w:t>290</w:t>
            </w:r>
          </w:p>
        </w:tc>
        <w:tc>
          <w:tcPr>
            <w:tcW w:w="1443" w:type="dxa"/>
            <w:tcBorders>
              <w:top w:val="single" w:sz="4" w:space="0" w:color="auto"/>
              <w:left w:val="single" w:sz="4" w:space="0" w:color="auto"/>
              <w:bottom w:val="single" w:sz="4" w:space="0" w:color="auto"/>
              <w:right w:val="single" w:sz="4" w:space="0" w:color="auto"/>
            </w:tcBorders>
            <w:vAlign w:val="bottom"/>
          </w:tcPr>
          <w:p w14:paraId="1646245F" w14:textId="7EAF0234" w:rsidR="000E0573" w:rsidRPr="00037C01" w:rsidRDefault="007F738F" w:rsidP="000E0573">
            <w:pPr>
              <w:jc w:val="right"/>
              <w:rPr>
                <w:rFonts w:ascii="Arial" w:hAnsi="Arial" w:cs="Arial"/>
                <w:sz w:val="18"/>
              </w:rPr>
            </w:pPr>
            <w:r>
              <w:rPr>
                <w:rFonts w:ascii="Arial" w:hAnsi="Arial" w:cs="Arial"/>
                <w:sz w:val="18"/>
              </w:rPr>
              <w:t>336</w:t>
            </w:r>
            <w:r w:rsidR="000E0573" w:rsidRPr="00037C01">
              <w:rPr>
                <w:rFonts w:ascii="Arial" w:hAnsi="Arial" w:cs="Arial"/>
                <w:sz w:val="18"/>
              </w:rPr>
              <w:t>.</w:t>
            </w:r>
            <w:r>
              <w:rPr>
                <w:rFonts w:ascii="Arial" w:hAnsi="Arial" w:cs="Arial"/>
                <w:sz w:val="18"/>
              </w:rPr>
              <w:t>839</w:t>
            </w:r>
          </w:p>
        </w:tc>
      </w:tr>
      <w:tr w:rsidR="00A001C7" w:rsidRPr="00037C01" w14:paraId="4E5115FB" w14:textId="77777777" w:rsidTr="00037C01">
        <w:trPr>
          <w:trHeight w:val="249"/>
        </w:trPr>
        <w:tc>
          <w:tcPr>
            <w:tcW w:w="5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53800" w14:textId="000E1C13" w:rsidR="00A001C7" w:rsidRPr="00037C01" w:rsidRDefault="00A001C7" w:rsidP="000E0573">
            <w:pPr>
              <w:jc w:val="both"/>
              <w:rPr>
                <w:rFonts w:ascii="Arial" w:hAnsi="Arial" w:cs="Arial"/>
                <w:sz w:val="18"/>
              </w:rPr>
            </w:pPr>
            <w:r>
              <w:rPr>
                <w:rFonts w:ascii="Arial" w:hAnsi="Arial" w:cs="Arial"/>
                <w:sz w:val="18"/>
              </w:rPr>
              <w:t>Gastos por arrendamiento financiero</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E218F7" w14:textId="22441AD0" w:rsidR="00A001C7" w:rsidRPr="00037C01" w:rsidRDefault="0042374A" w:rsidP="00543EF5">
            <w:pPr>
              <w:jc w:val="right"/>
              <w:rPr>
                <w:rFonts w:ascii="Arial" w:hAnsi="Arial" w:cs="Arial"/>
                <w:sz w:val="18"/>
              </w:rPr>
            </w:pPr>
            <w:r>
              <w:rPr>
                <w:rFonts w:ascii="Arial" w:hAnsi="Arial" w:cs="Arial"/>
                <w:sz w:val="18"/>
              </w:rPr>
              <w:t>173.964</w:t>
            </w:r>
          </w:p>
        </w:tc>
        <w:tc>
          <w:tcPr>
            <w:tcW w:w="1443" w:type="dxa"/>
            <w:tcBorders>
              <w:top w:val="single" w:sz="4" w:space="0" w:color="auto"/>
              <w:left w:val="single" w:sz="4" w:space="0" w:color="auto"/>
              <w:bottom w:val="single" w:sz="4" w:space="0" w:color="auto"/>
              <w:right w:val="single" w:sz="4" w:space="0" w:color="auto"/>
            </w:tcBorders>
            <w:vAlign w:val="bottom"/>
          </w:tcPr>
          <w:p w14:paraId="79E481B6" w14:textId="55C37DF3" w:rsidR="00A001C7" w:rsidRPr="00037C01" w:rsidRDefault="00A001C7" w:rsidP="000E0573">
            <w:pPr>
              <w:jc w:val="right"/>
              <w:rPr>
                <w:rFonts w:ascii="Arial" w:hAnsi="Arial" w:cs="Arial"/>
                <w:sz w:val="18"/>
              </w:rPr>
            </w:pPr>
            <w:r>
              <w:rPr>
                <w:rFonts w:ascii="Arial" w:hAnsi="Arial" w:cs="Arial"/>
                <w:sz w:val="18"/>
              </w:rPr>
              <w:t>-</w:t>
            </w:r>
          </w:p>
        </w:tc>
      </w:tr>
      <w:tr w:rsidR="000E0573" w:rsidRPr="00037C01" w14:paraId="06E55783" w14:textId="77777777" w:rsidTr="00037C01">
        <w:trPr>
          <w:trHeight w:val="249"/>
        </w:trPr>
        <w:tc>
          <w:tcPr>
            <w:tcW w:w="59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787FB" w14:textId="77777777" w:rsidR="000E0573" w:rsidRPr="00037C01" w:rsidRDefault="000E0573" w:rsidP="000E0573">
            <w:pPr>
              <w:jc w:val="both"/>
              <w:rPr>
                <w:rFonts w:ascii="Arial" w:hAnsi="Arial" w:cs="Arial"/>
                <w:sz w:val="18"/>
              </w:rPr>
            </w:pPr>
            <w:r w:rsidRPr="00037C01">
              <w:rPr>
                <w:rFonts w:ascii="Arial" w:hAnsi="Arial" w:cs="Arial"/>
                <w:sz w:val="18"/>
              </w:rPr>
              <w:t>Otros</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F8628E" w14:textId="7E61C8B4" w:rsidR="000E0573" w:rsidRPr="00037C01" w:rsidRDefault="00A001C7" w:rsidP="00543EF5">
            <w:pPr>
              <w:jc w:val="right"/>
              <w:rPr>
                <w:rFonts w:ascii="Arial" w:hAnsi="Arial" w:cs="Arial"/>
                <w:sz w:val="18"/>
              </w:rPr>
            </w:pPr>
            <w:r>
              <w:rPr>
                <w:rFonts w:ascii="Arial" w:hAnsi="Arial" w:cs="Arial"/>
                <w:sz w:val="18"/>
              </w:rPr>
              <w:t>9</w:t>
            </w:r>
            <w:r w:rsidR="00EF56BF">
              <w:rPr>
                <w:rFonts w:ascii="Arial" w:hAnsi="Arial" w:cs="Arial"/>
                <w:sz w:val="18"/>
              </w:rPr>
              <w:t>74</w:t>
            </w:r>
            <w:r>
              <w:rPr>
                <w:rFonts w:ascii="Arial" w:hAnsi="Arial" w:cs="Arial"/>
                <w:sz w:val="18"/>
              </w:rPr>
              <w:t>.</w:t>
            </w:r>
            <w:r w:rsidR="00EF56BF">
              <w:rPr>
                <w:rFonts w:ascii="Arial" w:hAnsi="Arial" w:cs="Arial"/>
                <w:sz w:val="18"/>
              </w:rPr>
              <w:t>48</w:t>
            </w:r>
            <w:r w:rsidR="00B57203">
              <w:rPr>
                <w:rFonts w:ascii="Arial" w:hAnsi="Arial" w:cs="Arial"/>
                <w:sz w:val="18"/>
              </w:rPr>
              <w:t>4</w:t>
            </w:r>
          </w:p>
        </w:tc>
        <w:tc>
          <w:tcPr>
            <w:tcW w:w="1443" w:type="dxa"/>
            <w:tcBorders>
              <w:top w:val="single" w:sz="4" w:space="0" w:color="auto"/>
              <w:left w:val="single" w:sz="4" w:space="0" w:color="auto"/>
              <w:bottom w:val="single" w:sz="4" w:space="0" w:color="auto"/>
              <w:right w:val="single" w:sz="4" w:space="0" w:color="auto"/>
            </w:tcBorders>
            <w:vAlign w:val="bottom"/>
          </w:tcPr>
          <w:p w14:paraId="08E9A82C" w14:textId="60965045" w:rsidR="000E0573" w:rsidRPr="00037C01" w:rsidRDefault="007F738F" w:rsidP="000E0573">
            <w:pPr>
              <w:jc w:val="right"/>
              <w:rPr>
                <w:rFonts w:ascii="Arial" w:hAnsi="Arial" w:cs="Arial"/>
                <w:sz w:val="18"/>
              </w:rPr>
            </w:pPr>
            <w:r>
              <w:rPr>
                <w:rFonts w:ascii="Arial" w:hAnsi="Arial" w:cs="Arial"/>
                <w:sz w:val="18"/>
              </w:rPr>
              <w:t>382.317</w:t>
            </w:r>
          </w:p>
        </w:tc>
      </w:tr>
      <w:tr w:rsidR="000E0573" w:rsidRPr="00037C01" w14:paraId="25CF59F6" w14:textId="77777777" w:rsidTr="00037C01">
        <w:trPr>
          <w:trHeight w:val="263"/>
        </w:trPr>
        <w:tc>
          <w:tcPr>
            <w:tcW w:w="5936" w:type="dxa"/>
            <w:shd w:val="clear" w:color="auto" w:fill="auto"/>
            <w:noWrap/>
            <w:vAlign w:val="bottom"/>
            <w:hideMark/>
          </w:tcPr>
          <w:p w14:paraId="275AE08F" w14:textId="77777777" w:rsidR="000E0573" w:rsidRPr="00037C01" w:rsidRDefault="000E0573" w:rsidP="000E0573">
            <w:pPr>
              <w:jc w:val="both"/>
              <w:rPr>
                <w:rFonts w:ascii="Arial" w:hAnsi="Arial" w:cs="Arial"/>
                <w:b/>
                <w:sz w:val="18"/>
              </w:rPr>
            </w:pPr>
            <w:r w:rsidRPr="00037C01">
              <w:rPr>
                <w:rFonts w:ascii="Arial" w:hAnsi="Arial" w:cs="Arial"/>
                <w:b/>
                <w:sz w:val="18"/>
              </w:rPr>
              <w:t>Total</w:t>
            </w:r>
          </w:p>
        </w:tc>
        <w:tc>
          <w:tcPr>
            <w:tcW w:w="1161" w:type="dxa"/>
            <w:shd w:val="clear" w:color="auto" w:fill="auto"/>
            <w:noWrap/>
            <w:vAlign w:val="bottom"/>
          </w:tcPr>
          <w:p w14:paraId="6465889E" w14:textId="08A031E7" w:rsidR="000E0573" w:rsidRPr="00037C01" w:rsidRDefault="00A001C7" w:rsidP="00543EF5">
            <w:pPr>
              <w:jc w:val="right"/>
              <w:rPr>
                <w:rFonts w:ascii="Arial" w:hAnsi="Arial" w:cs="Arial"/>
                <w:b/>
                <w:sz w:val="18"/>
              </w:rPr>
            </w:pPr>
            <w:r>
              <w:rPr>
                <w:rFonts w:ascii="Arial" w:hAnsi="Arial" w:cs="Arial"/>
                <w:b/>
                <w:sz w:val="18"/>
              </w:rPr>
              <w:t>5.0</w:t>
            </w:r>
            <w:r w:rsidR="00B57203">
              <w:rPr>
                <w:rFonts w:ascii="Arial" w:hAnsi="Arial" w:cs="Arial"/>
                <w:b/>
                <w:sz w:val="18"/>
              </w:rPr>
              <w:t>36</w:t>
            </w:r>
            <w:r>
              <w:rPr>
                <w:rFonts w:ascii="Arial" w:hAnsi="Arial" w:cs="Arial"/>
                <w:b/>
                <w:sz w:val="18"/>
              </w:rPr>
              <w:t>.</w:t>
            </w:r>
            <w:r w:rsidR="00B57203">
              <w:rPr>
                <w:rFonts w:ascii="Arial" w:hAnsi="Arial" w:cs="Arial"/>
                <w:b/>
                <w:sz w:val="18"/>
              </w:rPr>
              <w:t>101</w:t>
            </w:r>
          </w:p>
        </w:tc>
        <w:tc>
          <w:tcPr>
            <w:tcW w:w="1443" w:type="dxa"/>
            <w:vAlign w:val="bottom"/>
          </w:tcPr>
          <w:p w14:paraId="2636F7DB" w14:textId="5A64D27B" w:rsidR="000E0573" w:rsidRPr="00037C01" w:rsidRDefault="000E0573" w:rsidP="000E0573">
            <w:pPr>
              <w:jc w:val="right"/>
              <w:rPr>
                <w:rFonts w:ascii="Arial" w:hAnsi="Arial" w:cs="Arial"/>
                <w:b/>
                <w:sz w:val="18"/>
              </w:rPr>
            </w:pPr>
            <w:r w:rsidRPr="00037C01">
              <w:rPr>
                <w:rFonts w:ascii="Arial" w:hAnsi="Arial" w:cs="Arial"/>
                <w:b/>
                <w:sz w:val="18"/>
              </w:rPr>
              <w:t>3.431.618</w:t>
            </w:r>
          </w:p>
        </w:tc>
      </w:tr>
    </w:tbl>
    <w:p w14:paraId="1EBAFE32" w14:textId="77777777" w:rsidR="00AE0907" w:rsidRPr="00AE0907" w:rsidRDefault="00AE0907" w:rsidP="00AE0907">
      <w:pPr>
        <w:jc w:val="both"/>
        <w:rPr>
          <w:rFonts w:ascii="Arial" w:hAnsi="Arial" w:cs="Arial"/>
          <w:sz w:val="20"/>
        </w:rPr>
      </w:pPr>
    </w:p>
    <w:p w14:paraId="06B6971D" w14:textId="31ED9E81" w:rsidR="00AE0907" w:rsidRPr="00AE0907" w:rsidRDefault="000E0573" w:rsidP="00AE0907">
      <w:pPr>
        <w:jc w:val="both"/>
        <w:rPr>
          <w:rFonts w:ascii="Arial" w:hAnsi="Arial" w:cs="Arial"/>
          <w:sz w:val="20"/>
        </w:rPr>
      </w:pPr>
      <w:r>
        <w:rPr>
          <w:rFonts w:ascii="Arial" w:hAnsi="Arial" w:cs="Arial"/>
          <w:sz w:val="20"/>
        </w:rPr>
        <w:t>6</w:t>
      </w:r>
      <w:r w:rsidR="00AE0907" w:rsidRPr="00AE0907">
        <w:rPr>
          <w:rFonts w:ascii="Arial" w:hAnsi="Arial" w:cs="Arial"/>
          <w:sz w:val="20"/>
        </w:rPr>
        <w:t>.25 Depreciaciones y desvalorizaciones de bienes</w:t>
      </w:r>
    </w:p>
    <w:p w14:paraId="25CFE9EF" w14:textId="77777777" w:rsidR="00AE0907" w:rsidRPr="00AE0907" w:rsidRDefault="00AE0907" w:rsidP="00AE0907">
      <w:pPr>
        <w:jc w:val="both"/>
        <w:rPr>
          <w:rFonts w:ascii="Arial" w:hAnsi="Arial" w:cs="Arial"/>
          <w:sz w:val="20"/>
        </w:rPr>
      </w:pPr>
    </w:p>
    <w:p w14:paraId="344E4AB8" w14:textId="56F73BC8" w:rsidR="00AE0907" w:rsidRPr="00AE0907" w:rsidRDefault="00AE0907" w:rsidP="00AE0907">
      <w:pPr>
        <w:jc w:val="both"/>
        <w:rPr>
          <w:rFonts w:ascii="Arial" w:hAnsi="Arial" w:cs="Arial"/>
          <w:sz w:val="20"/>
        </w:rPr>
      </w:pPr>
      <w:r w:rsidRPr="00AE0907">
        <w:rPr>
          <w:rFonts w:ascii="Arial" w:eastAsiaTheme="minorHAnsi" w:hAnsi="Arial" w:cs="Arial"/>
          <w:sz w:val="20"/>
        </w:rPr>
        <w:t xml:space="preserve">Se detallan a continuación los principales componentes de las depreciaciones y desvalorizaciones de bienes por los ejercicios económicos finalizados el </w:t>
      </w:r>
      <w:r w:rsidR="000E0573" w:rsidRPr="00AE0907">
        <w:rPr>
          <w:rFonts w:ascii="Arial" w:eastAsiaTheme="minorHAnsi" w:hAnsi="Arial" w:cs="Arial"/>
          <w:sz w:val="20"/>
        </w:rPr>
        <w:t>31 de diciembre de 201</w:t>
      </w:r>
      <w:r w:rsidR="000E0573">
        <w:rPr>
          <w:rFonts w:ascii="Arial" w:eastAsiaTheme="minorHAnsi" w:hAnsi="Arial" w:cs="Arial"/>
          <w:sz w:val="20"/>
        </w:rPr>
        <w:t>9</w:t>
      </w:r>
      <w:r w:rsidR="000E0573" w:rsidRPr="00AE0907">
        <w:rPr>
          <w:rFonts w:ascii="Arial" w:eastAsiaTheme="minorHAnsi" w:hAnsi="Arial" w:cs="Arial"/>
          <w:sz w:val="20"/>
        </w:rPr>
        <w:t xml:space="preserve"> y 201</w:t>
      </w:r>
      <w:r w:rsidR="000E0573">
        <w:rPr>
          <w:rFonts w:ascii="Arial" w:eastAsiaTheme="minorHAnsi" w:hAnsi="Arial" w:cs="Arial"/>
          <w:sz w:val="20"/>
        </w:rPr>
        <w:t>8</w:t>
      </w:r>
      <w:r w:rsidRPr="00AE0907">
        <w:rPr>
          <w:rFonts w:ascii="Arial" w:eastAsiaTheme="minorHAnsi" w:hAnsi="Arial" w:cs="Arial"/>
          <w:sz w:val="20"/>
        </w:rPr>
        <w:t>:</w:t>
      </w:r>
    </w:p>
    <w:p w14:paraId="3A9546F7" w14:textId="77777777" w:rsidR="00AE0907" w:rsidRPr="00AE0907" w:rsidRDefault="00AE0907" w:rsidP="00AE0907">
      <w:pPr>
        <w:jc w:val="both"/>
        <w:rPr>
          <w:rFonts w:ascii="Arial" w:hAnsi="Arial" w:cs="Arial"/>
          <w:sz w:val="20"/>
        </w:rPr>
      </w:pPr>
    </w:p>
    <w:tbl>
      <w:tblPr>
        <w:tblStyle w:val="Tablaconcuadrcula"/>
        <w:tblW w:w="8590" w:type="dxa"/>
        <w:tblInd w:w="108" w:type="dxa"/>
        <w:tblLook w:val="04A0" w:firstRow="1" w:lastRow="0" w:firstColumn="1" w:lastColumn="0" w:noHBand="0" w:noVBand="1"/>
      </w:tblPr>
      <w:tblGrid>
        <w:gridCol w:w="5208"/>
        <w:gridCol w:w="1751"/>
        <w:gridCol w:w="1631"/>
      </w:tblGrid>
      <w:tr w:rsidR="000E0573" w:rsidRPr="00037C01" w14:paraId="718B4D8F" w14:textId="77777777" w:rsidTr="00037C01">
        <w:trPr>
          <w:trHeight w:val="252"/>
        </w:trPr>
        <w:tc>
          <w:tcPr>
            <w:tcW w:w="5208" w:type="dxa"/>
          </w:tcPr>
          <w:p w14:paraId="0BD04E92" w14:textId="77777777" w:rsidR="000E0573" w:rsidRPr="00037C01" w:rsidRDefault="000E0573" w:rsidP="000E0573">
            <w:pPr>
              <w:jc w:val="center"/>
              <w:rPr>
                <w:rFonts w:ascii="Arial" w:hAnsi="Arial" w:cs="Arial"/>
                <w:sz w:val="18"/>
              </w:rPr>
            </w:pPr>
          </w:p>
        </w:tc>
        <w:tc>
          <w:tcPr>
            <w:tcW w:w="1751" w:type="dxa"/>
          </w:tcPr>
          <w:p w14:paraId="5162EC8A" w14:textId="68B304A7" w:rsidR="000E0573" w:rsidRPr="00037C01" w:rsidRDefault="000E0573" w:rsidP="000E0573">
            <w:pPr>
              <w:jc w:val="center"/>
              <w:rPr>
                <w:rFonts w:ascii="Arial" w:hAnsi="Arial" w:cs="Arial"/>
                <w:sz w:val="18"/>
              </w:rPr>
            </w:pPr>
            <w:r w:rsidRPr="00037C01">
              <w:rPr>
                <w:rFonts w:ascii="Arial" w:hAnsi="Arial" w:cs="Arial"/>
                <w:b/>
                <w:sz w:val="18"/>
              </w:rPr>
              <w:t>31/12/2019</w:t>
            </w:r>
          </w:p>
        </w:tc>
        <w:tc>
          <w:tcPr>
            <w:tcW w:w="1631" w:type="dxa"/>
          </w:tcPr>
          <w:p w14:paraId="5B193822" w14:textId="75BB21D2" w:rsidR="000E0573" w:rsidRPr="00037C01" w:rsidRDefault="000E0573" w:rsidP="000E0573">
            <w:pPr>
              <w:jc w:val="center"/>
              <w:rPr>
                <w:rFonts w:ascii="Arial" w:hAnsi="Arial" w:cs="Arial"/>
                <w:sz w:val="18"/>
              </w:rPr>
            </w:pPr>
            <w:r w:rsidRPr="00037C01">
              <w:rPr>
                <w:rFonts w:ascii="Arial" w:hAnsi="Arial" w:cs="Arial"/>
                <w:b/>
                <w:sz w:val="18"/>
              </w:rPr>
              <w:t>31/12/2018</w:t>
            </w:r>
          </w:p>
        </w:tc>
      </w:tr>
      <w:tr w:rsidR="000E0573" w:rsidRPr="00037C01" w14:paraId="6D11DD32" w14:textId="77777777" w:rsidTr="00037C01">
        <w:trPr>
          <w:trHeight w:val="252"/>
        </w:trPr>
        <w:tc>
          <w:tcPr>
            <w:tcW w:w="5208" w:type="dxa"/>
          </w:tcPr>
          <w:p w14:paraId="082B65A8" w14:textId="77777777" w:rsidR="000E0573" w:rsidRPr="00037C01" w:rsidRDefault="000E0573" w:rsidP="000E0573">
            <w:pPr>
              <w:jc w:val="both"/>
              <w:rPr>
                <w:rFonts w:ascii="Arial" w:hAnsi="Arial" w:cs="Arial"/>
                <w:sz w:val="18"/>
              </w:rPr>
            </w:pPr>
            <w:r w:rsidRPr="00037C01">
              <w:rPr>
                <w:rFonts w:ascii="Arial" w:hAnsi="Arial" w:cs="Arial"/>
                <w:sz w:val="18"/>
              </w:rPr>
              <w:t>Depreciación de bienes de uso (Anexo F)</w:t>
            </w:r>
          </w:p>
        </w:tc>
        <w:tc>
          <w:tcPr>
            <w:tcW w:w="1751" w:type="dxa"/>
          </w:tcPr>
          <w:p w14:paraId="03E79781" w14:textId="1C479F25" w:rsidR="000E0573" w:rsidRPr="00037C01" w:rsidRDefault="00A76768" w:rsidP="00543EF5">
            <w:pPr>
              <w:jc w:val="right"/>
              <w:rPr>
                <w:rFonts w:ascii="Arial" w:hAnsi="Arial" w:cs="Arial"/>
                <w:sz w:val="18"/>
              </w:rPr>
            </w:pPr>
            <w:r>
              <w:rPr>
                <w:rFonts w:ascii="Arial" w:hAnsi="Arial" w:cs="Arial"/>
                <w:sz w:val="18"/>
              </w:rPr>
              <w:t>184.605</w:t>
            </w:r>
          </w:p>
        </w:tc>
        <w:tc>
          <w:tcPr>
            <w:tcW w:w="1631" w:type="dxa"/>
          </w:tcPr>
          <w:p w14:paraId="66ABEF8D" w14:textId="481A9374" w:rsidR="000E0573" w:rsidRPr="00037C01" w:rsidRDefault="000E0573" w:rsidP="000E0573">
            <w:pPr>
              <w:jc w:val="right"/>
              <w:rPr>
                <w:rFonts w:ascii="Arial" w:hAnsi="Arial" w:cs="Arial"/>
                <w:sz w:val="18"/>
              </w:rPr>
            </w:pPr>
            <w:r w:rsidRPr="00037C01">
              <w:rPr>
                <w:rFonts w:ascii="Arial" w:hAnsi="Arial" w:cs="Arial"/>
                <w:sz w:val="18"/>
              </w:rPr>
              <w:t>159.690</w:t>
            </w:r>
          </w:p>
        </w:tc>
      </w:tr>
      <w:tr w:rsidR="000E0573" w:rsidRPr="00037C01" w14:paraId="5AAFEA4C" w14:textId="77777777" w:rsidTr="00037C01">
        <w:trPr>
          <w:trHeight w:val="252"/>
        </w:trPr>
        <w:tc>
          <w:tcPr>
            <w:tcW w:w="5208" w:type="dxa"/>
          </w:tcPr>
          <w:p w14:paraId="615FB35C" w14:textId="77777777" w:rsidR="000E0573" w:rsidRPr="00037C01" w:rsidRDefault="000E0573" w:rsidP="000E0573">
            <w:pPr>
              <w:jc w:val="both"/>
              <w:rPr>
                <w:rFonts w:ascii="Arial" w:hAnsi="Arial" w:cs="Arial"/>
                <w:sz w:val="18"/>
              </w:rPr>
            </w:pPr>
            <w:r w:rsidRPr="00037C01">
              <w:rPr>
                <w:rFonts w:ascii="Arial" w:hAnsi="Arial" w:cs="Arial"/>
                <w:sz w:val="18"/>
              </w:rPr>
              <w:t>Depreciación de bienes diversos</w:t>
            </w:r>
          </w:p>
        </w:tc>
        <w:tc>
          <w:tcPr>
            <w:tcW w:w="1751" w:type="dxa"/>
          </w:tcPr>
          <w:p w14:paraId="2F70B55A" w14:textId="2802A54C" w:rsidR="000E0573" w:rsidRPr="00037C01" w:rsidRDefault="00A76768" w:rsidP="00543EF5">
            <w:pPr>
              <w:jc w:val="right"/>
              <w:rPr>
                <w:rFonts w:ascii="Arial" w:hAnsi="Arial" w:cs="Arial"/>
                <w:sz w:val="18"/>
              </w:rPr>
            </w:pPr>
            <w:r>
              <w:rPr>
                <w:rFonts w:ascii="Arial" w:hAnsi="Arial" w:cs="Arial"/>
                <w:sz w:val="18"/>
              </w:rPr>
              <w:t>80.657</w:t>
            </w:r>
          </w:p>
        </w:tc>
        <w:tc>
          <w:tcPr>
            <w:tcW w:w="1631" w:type="dxa"/>
          </w:tcPr>
          <w:p w14:paraId="11EA0AE0" w14:textId="593A9587" w:rsidR="000E0573" w:rsidRPr="00037C01" w:rsidRDefault="000E0573" w:rsidP="000E0573">
            <w:pPr>
              <w:jc w:val="right"/>
              <w:rPr>
                <w:rFonts w:ascii="Arial" w:hAnsi="Arial" w:cs="Arial"/>
                <w:sz w:val="18"/>
              </w:rPr>
            </w:pPr>
            <w:r w:rsidRPr="00037C01">
              <w:rPr>
                <w:rFonts w:ascii="Arial" w:hAnsi="Arial" w:cs="Arial"/>
                <w:sz w:val="18"/>
              </w:rPr>
              <w:t>62.078</w:t>
            </w:r>
          </w:p>
        </w:tc>
      </w:tr>
      <w:tr w:rsidR="000E0573" w:rsidRPr="00037C01" w14:paraId="58F82FA6" w14:textId="77777777" w:rsidTr="00037C01">
        <w:trPr>
          <w:trHeight w:val="252"/>
        </w:trPr>
        <w:tc>
          <w:tcPr>
            <w:tcW w:w="5208" w:type="dxa"/>
          </w:tcPr>
          <w:p w14:paraId="29BC44EB" w14:textId="77777777" w:rsidR="000E0573" w:rsidRPr="00037C01" w:rsidRDefault="000E0573" w:rsidP="000E0573">
            <w:pPr>
              <w:jc w:val="both"/>
              <w:rPr>
                <w:rFonts w:ascii="Arial" w:hAnsi="Arial" w:cs="Arial"/>
                <w:sz w:val="18"/>
              </w:rPr>
            </w:pPr>
            <w:r w:rsidRPr="00037C01">
              <w:rPr>
                <w:rFonts w:ascii="Arial" w:hAnsi="Arial" w:cs="Arial"/>
                <w:sz w:val="18"/>
              </w:rPr>
              <w:t>Amortización de bienes intangibles (Anexo G)</w:t>
            </w:r>
          </w:p>
        </w:tc>
        <w:tc>
          <w:tcPr>
            <w:tcW w:w="1751" w:type="dxa"/>
          </w:tcPr>
          <w:p w14:paraId="36ACC702" w14:textId="459840B4" w:rsidR="000E0573" w:rsidRPr="00037C01" w:rsidRDefault="00A76768" w:rsidP="00543EF5">
            <w:pPr>
              <w:jc w:val="right"/>
              <w:rPr>
                <w:rFonts w:ascii="Arial" w:hAnsi="Arial" w:cs="Arial"/>
                <w:sz w:val="18"/>
              </w:rPr>
            </w:pPr>
            <w:r>
              <w:rPr>
                <w:rFonts w:ascii="Arial" w:hAnsi="Arial" w:cs="Arial"/>
                <w:sz w:val="18"/>
              </w:rPr>
              <w:t>216.328</w:t>
            </w:r>
          </w:p>
        </w:tc>
        <w:tc>
          <w:tcPr>
            <w:tcW w:w="1631" w:type="dxa"/>
          </w:tcPr>
          <w:p w14:paraId="1D5B7730" w14:textId="5C21CEA1" w:rsidR="000E0573" w:rsidRPr="00037C01" w:rsidRDefault="000E0573" w:rsidP="000E0573">
            <w:pPr>
              <w:jc w:val="right"/>
              <w:rPr>
                <w:rFonts w:ascii="Arial" w:hAnsi="Arial" w:cs="Arial"/>
                <w:sz w:val="18"/>
              </w:rPr>
            </w:pPr>
            <w:r w:rsidRPr="00037C01">
              <w:rPr>
                <w:rFonts w:ascii="Arial" w:hAnsi="Arial" w:cs="Arial"/>
                <w:sz w:val="18"/>
              </w:rPr>
              <w:t>103.274</w:t>
            </w:r>
          </w:p>
        </w:tc>
      </w:tr>
      <w:tr w:rsidR="000E0573" w:rsidRPr="00037C01" w14:paraId="69EE2E39" w14:textId="77777777" w:rsidTr="00037C01">
        <w:trPr>
          <w:trHeight w:val="252"/>
        </w:trPr>
        <w:tc>
          <w:tcPr>
            <w:tcW w:w="5208" w:type="dxa"/>
          </w:tcPr>
          <w:p w14:paraId="4448CA85" w14:textId="4AE278F5" w:rsidR="000E0573" w:rsidRPr="00037C01" w:rsidRDefault="006F2149" w:rsidP="000E0573">
            <w:pPr>
              <w:jc w:val="both"/>
              <w:rPr>
                <w:rFonts w:ascii="Arial" w:hAnsi="Arial" w:cs="Arial"/>
                <w:sz w:val="18"/>
              </w:rPr>
            </w:pPr>
            <w:r>
              <w:rPr>
                <w:rFonts w:ascii="Arial" w:hAnsi="Arial" w:cs="Arial"/>
                <w:sz w:val="18"/>
              </w:rPr>
              <w:t>Amortización</w:t>
            </w:r>
            <w:r w:rsidRPr="00037C01">
              <w:rPr>
                <w:rFonts w:ascii="Arial" w:hAnsi="Arial" w:cs="Arial"/>
                <w:sz w:val="18"/>
              </w:rPr>
              <w:t xml:space="preserve"> </w:t>
            </w:r>
            <w:r w:rsidR="00C572E8">
              <w:rPr>
                <w:rFonts w:ascii="Arial" w:hAnsi="Arial" w:cs="Arial"/>
                <w:sz w:val="18"/>
              </w:rPr>
              <w:t xml:space="preserve">de </w:t>
            </w:r>
            <w:r w:rsidR="00A76768">
              <w:rPr>
                <w:rFonts w:ascii="Arial" w:hAnsi="Arial" w:cs="Arial"/>
                <w:sz w:val="18"/>
              </w:rPr>
              <w:t>activo por derecho de uso</w:t>
            </w:r>
            <w:r w:rsidR="00E05192">
              <w:rPr>
                <w:rFonts w:ascii="Arial" w:hAnsi="Arial" w:cs="Arial"/>
                <w:sz w:val="18"/>
              </w:rPr>
              <w:t xml:space="preserve"> (Anexo F)</w:t>
            </w:r>
          </w:p>
        </w:tc>
        <w:tc>
          <w:tcPr>
            <w:tcW w:w="1751" w:type="dxa"/>
          </w:tcPr>
          <w:p w14:paraId="378E3AA4" w14:textId="1C6AE1AA" w:rsidR="000E0573" w:rsidRPr="00037C01" w:rsidRDefault="00A76768" w:rsidP="00543EF5">
            <w:pPr>
              <w:jc w:val="right"/>
              <w:rPr>
                <w:rFonts w:ascii="Arial" w:hAnsi="Arial" w:cs="Arial"/>
                <w:sz w:val="18"/>
              </w:rPr>
            </w:pPr>
            <w:r>
              <w:rPr>
                <w:rFonts w:ascii="Arial" w:hAnsi="Arial" w:cs="Arial"/>
                <w:sz w:val="18"/>
              </w:rPr>
              <w:t>36</w:t>
            </w:r>
            <w:r w:rsidR="00301D37">
              <w:rPr>
                <w:rFonts w:ascii="Arial" w:hAnsi="Arial" w:cs="Arial"/>
                <w:sz w:val="18"/>
              </w:rPr>
              <w:t>8.301</w:t>
            </w:r>
          </w:p>
        </w:tc>
        <w:tc>
          <w:tcPr>
            <w:tcW w:w="1631" w:type="dxa"/>
          </w:tcPr>
          <w:p w14:paraId="666C75C0" w14:textId="75E28E8B" w:rsidR="000E0573" w:rsidRPr="00037C01" w:rsidRDefault="000E0573" w:rsidP="000E0573">
            <w:pPr>
              <w:jc w:val="right"/>
              <w:rPr>
                <w:rFonts w:ascii="Arial" w:hAnsi="Arial" w:cs="Arial"/>
                <w:sz w:val="18"/>
              </w:rPr>
            </w:pPr>
            <w:r w:rsidRPr="00037C01">
              <w:rPr>
                <w:rFonts w:ascii="Arial" w:hAnsi="Arial" w:cs="Arial"/>
                <w:sz w:val="18"/>
              </w:rPr>
              <w:t>-</w:t>
            </w:r>
          </w:p>
        </w:tc>
      </w:tr>
      <w:tr w:rsidR="000E0573" w:rsidRPr="00037C01" w14:paraId="2795A814" w14:textId="77777777" w:rsidTr="00037C01">
        <w:trPr>
          <w:trHeight w:val="252"/>
        </w:trPr>
        <w:tc>
          <w:tcPr>
            <w:tcW w:w="5208" w:type="dxa"/>
          </w:tcPr>
          <w:p w14:paraId="71703AFD" w14:textId="77777777" w:rsidR="000E0573" w:rsidRPr="00037C01" w:rsidRDefault="000E0573" w:rsidP="000E0573">
            <w:pPr>
              <w:jc w:val="both"/>
              <w:rPr>
                <w:rFonts w:ascii="Arial" w:hAnsi="Arial" w:cs="Arial"/>
                <w:b/>
                <w:sz w:val="18"/>
              </w:rPr>
            </w:pPr>
            <w:r w:rsidRPr="00037C01">
              <w:rPr>
                <w:rFonts w:ascii="Arial" w:hAnsi="Arial" w:cs="Arial"/>
                <w:b/>
                <w:sz w:val="18"/>
              </w:rPr>
              <w:t>Total</w:t>
            </w:r>
          </w:p>
        </w:tc>
        <w:tc>
          <w:tcPr>
            <w:tcW w:w="1751" w:type="dxa"/>
          </w:tcPr>
          <w:p w14:paraId="7993E688" w14:textId="4B5FFC4A" w:rsidR="000E0573" w:rsidRPr="00037C01" w:rsidRDefault="00A76768" w:rsidP="00543EF5">
            <w:pPr>
              <w:jc w:val="right"/>
              <w:rPr>
                <w:rFonts w:ascii="Arial" w:hAnsi="Arial" w:cs="Arial"/>
                <w:b/>
                <w:sz w:val="18"/>
              </w:rPr>
            </w:pPr>
            <w:r>
              <w:rPr>
                <w:rFonts w:ascii="Arial" w:hAnsi="Arial" w:cs="Arial"/>
                <w:b/>
                <w:sz w:val="18"/>
              </w:rPr>
              <w:t>84</w:t>
            </w:r>
            <w:r w:rsidR="00301D37">
              <w:rPr>
                <w:rFonts w:ascii="Arial" w:hAnsi="Arial" w:cs="Arial"/>
                <w:b/>
                <w:sz w:val="18"/>
              </w:rPr>
              <w:t>9.891</w:t>
            </w:r>
          </w:p>
        </w:tc>
        <w:tc>
          <w:tcPr>
            <w:tcW w:w="1631" w:type="dxa"/>
          </w:tcPr>
          <w:p w14:paraId="39FFDB87" w14:textId="3C2BCE9B" w:rsidR="000E0573" w:rsidRPr="00037C01" w:rsidRDefault="000E0573" w:rsidP="000E0573">
            <w:pPr>
              <w:jc w:val="right"/>
              <w:rPr>
                <w:rFonts w:ascii="Arial" w:hAnsi="Arial" w:cs="Arial"/>
                <w:b/>
                <w:sz w:val="18"/>
              </w:rPr>
            </w:pPr>
            <w:r w:rsidRPr="00037C01">
              <w:rPr>
                <w:rFonts w:ascii="Arial" w:hAnsi="Arial" w:cs="Arial"/>
                <w:b/>
                <w:sz w:val="18"/>
              </w:rPr>
              <w:t>325.042</w:t>
            </w:r>
          </w:p>
        </w:tc>
      </w:tr>
    </w:tbl>
    <w:p w14:paraId="335DDF88" w14:textId="77777777" w:rsidR="00AE0907" w:rsidRPr="00AE0907" w:rsidRDefault="00AE0907" w:rsidP="00AE0907">
      <w:pPr>
        <w:jc w:val="both"/>
        <w:rPr>
          <w:rFonts w:ascii="Arial" w:eastAsia="Calibri" w:hAnsi="Arial" w:cs="Arial"/>
          <w:sz w:val="20"/>
        </w:rPr>
      </w:pPr>
    </w:p>
    <w:p w14:paraId="61C1ED68" w14:textId="20C509F1" w:rsidR="009B43B3" w:rsidRPr="00701F32" w:rsidRDefault="009B43B3" w:rsidP="009B43B3">
      <w:pPr>
        <w:spacing w:after="160" w:line="259" w:lineRule="auto"/>
        <w:jc w:val="both"/>
        <w:rPr>
          <w:rFonts w:ascii="Arial" w:eastAsia="Calibri" w:hAnsi="Arial" w:cs="Arial"/>
          <w:b/>
          <w:color w:val="FF0000"/>
          <w:sz w:val="20"/>
        </w:rPr>
      </w:pPr>
      <w:r>
        <w:rPr>
          <w:rFonts w:ascii="Arial" w:eastAsia="Calibri" w:hAnsi="Arial" w:cs="Arial"/>
          <w:b/>
          <w:sz w:val="20"/>
        </w:rPr>
        <w:t>7</w:t>
      </w:r>
      <w:r w:rsidRPr="00701F32">
        <w:rPr>
          <w:rFonts w:ascii="Arial" w:eastAsia="Calibri" w:hAnsi="Arial" w:cs="Arial"/>
          <w:b/>
          <w:sz w:val="20"/>
        </w:rPr>
        <w:t>. UTILIDAD POR ACCION</w:t>
      </w:r>
    </w:p>
    <w:p w14:paraId="67BDA1F2" w14:textId="131F71A3" w:rsidR="009B43B3" w:rsidRPr="00701F32" w:rsidRDefault="009B43B3" w:rsidP="009B43B3">
      <w:pPr>
        <w:pStyle w:val="Textoindependiente2"/>
        <w:jc w:val="both"/>
        <w:rPr>
          <w:rFonts w:ascii="Arial" w:hAnsi="Arial" w:cs="Arial"/>
          <w:b w:val="0"/>
          <w:sz w:val="20"/>
        </w:rPr>
      </w:pPr>
      <w:r w:rsidRPr="00701F32">
        <w:rPr>
          <w:rFonts w:ascii="Arial" w:hAnsi="Arial" w:cs="Arial"/>
          <w:b w:val="0"/>
          <w:sz w:val="20"/>
        </w:rPr>
        <w:t xml:space="preserve">La utilidad por acción se calcula dividiendo la utilidad atribuible a los accionistas del Banco entre el promedio ponderado de las acciones ordinarias en circulación en el año. Dado que la Entidad no posee </w:t>
      </w:r>
      <w:r w:rsidR="001C1547">
        <w:rPr>
          <w:rFonts w:ascii="Arial" w:hAnsi="Arial" w:cs="Arial"/>
          <w:b w:val="0"/>
          <w:sz w:val="20"/>
        </w:rPr>
        <w:t>instrumentos con efectos dilutivos</w:t>
      </w:r>
      <w:r w:rsidRPr="00701F32">
        <w:rPr>
          <w:rFonts w:ascii="Arial" w:hAnsi="Arial" w:cs="Arial"/>
          <w:b w:val="0"/>
          <w:sz w:val="20"/>
        </w:rPr>
        <w:t>, la utilidad básica y diluida por acción son iguales.</w:t>
      </w:r>
    </w:p>
    <w:p w14:paraId="70FAA1B8" w14:textId="77777777" w:rsidR="009B43B3" w:rsidRPr="00701F32" w:rsidRDefault="009B43B3" w:rsidP="009B43B3">
      <w:pPr>
        <w:pStyle w:val="Textoindependiente2"/>
        <w:rPr>
          <w:rFonts w:ascii="Arial" w:hAnsi="Arial" w:cs="Arial"/>
          <w:sz w:val="20"/>
        </w:rPr>
      </w:pPr>
    </w:p>
    <w:tbl>
      <w:tblPr>
        <w:tblW w:w="7887" w:type="dxa"/>
        <w:jc w:val="center"/>
        <w:tblCellMar>
          <w:left w:w="70" w:type="dxa"/>
          <w:right w:w="70" w:type="dxa"/>
        </w:tblCellMar>
        <w:tblLook w:val="04A0" w:firstRow="1" w:lastRow="0" w:firstColumn="1" w:lastColumn="0" w:noHBand="0" w:noVBand="1"/>
      </w:tblPr>
      <w:tblGrid>
        <w:gridCol w:w="4759"/>
        <w:gridCol w:w="1671"/>
        <w:gridCol w:w="1457"/>
      </w:tblGrid>
      <w:tr w:rsidR="009B43B3" w:rsidRPr="00701F32" w14:paraId="5884F478" w14:textId="77777777" w:rsidTr="006E1AF7">
        <w:trPr>
          <w:trHeight w:val="228"/>
          <w:jc w:val="center"/>
        </w:trPr>
        <w:tc>
          <w:tcPr>
            <w:tcW w:w="47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B03C2" w14:textId="77777777" w:rsidR="009B43B3" w:rsidRPr="00701F32" w:rsidRDefault="009B43B3" w:rsidP="009B43B3">
            <w:pPr>
              <w:pStyle w:val="Textoindependiente2"/>
              <w:jc w:val="both"/>
              <w:rPr>
                <w:rFonts w:ascii="Arial" w:hAnsi="Arial" w:cs="Arial"/>
                <w:sz w:val="18"/>
              </w:rPr>
            </w:pPr>
            <w:r w:rsidRPr="00701F32">
              <w:rPr>
                <w:rFonts w:ascii="Arial" w:hAnsi="Arial" w:cs="Arial"/>
                <w:sz w:val="18"/>
              </w:rPr>
              <w:t> </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C0350" w14:textId="285E5C1C" w:rsidR="009B43B3" w:rsidRPr="00701F32" w:rsidRDefault="009B43B3" w:rsidP="009B43B3">
            <w:pPr>
              <w:pStyle w:val="Textoindependiente2"/>
              <w:jc w:val="center"/>
              <w:rPr>
                <w:rFonts w:ascii="Arial" w:hAnsi="Arial" w:cs="Arial"/>
                <w:sz w:val="18"/>
              </w:rPr>
            </w:pPr>
            <w:r w:rsidRPr="00701F32">
              <w:rPr>
                <w:rFonts w:ascii="Arial" w:hAnsi="Arial" w:cs="Arial"/>
                <w:sz w:val="18"/>
              </w:rPr>
              <w:t>3</w:t>
            </w:r>
            <w:r>
              <w:rPr>
                <w:rFonts w:ascii="Arial" w:hAnsi="Arial" w:cs="Arial"/>
                <w:sz w:val="18"/>
              </w:rPr>
              <w:t>1</w:t>
            </w:r>
            <w:r w:rsidRPr="00701F32">
              <w:rPr>
                <w:rFonts w:ascii="Arial" w:hAnsi="Arial" w:cs="Arial"/>
                <w:sz w:val="18"/>
              </w:rPr>
              <w:t>/</w:t>
            </w:r>
            <w:r>
              <w:rPr>
                <w:rFonts w:ascii="Arial" w:hAnsi="Arial" w:cs="Arial"/>
                <w:sz w:val="18"/>
              </w:rPr>
              <w:t>12</w:t>
            </w:r>
            <w:r w:rsidRPr="00701F32">
              <w:rPr>
                <w:rFonts w:ascii="Arial" w:hAnsi="Arial" w:cs="Arial"/>
                <w:sz w:val="18"/>
              </w:rPr>
              <w:t>/201</w:t>
            </w:r>
            <w:r>
              <w:rPr>
                <w:rFonts w:ascii="Arial" w:hAnsi="Arial" w:cs="Arial"/>
                <w:sz w:val="18"/>
              </w:rPr>
              <w:t>9</w:t>
            </w:r>
          </w:p>
        </w:tc>
        <w:tc>
          <w:tcPr>
            <w:tcW w:w="1457" w:type="dxa"/>
            <w:tcBorders>
              <w:top w:val="single" w:sz="4" w:space="0" w:color="auto"/>
              <w:left w:val="nil"/>
              <w:bottom w:val="single" w:sz="4" w:space="0" w:color="auto"/>
              <w:right w:val="single" w:sz="4" w:space="0" w:color="auto"/>
            </w:tcBorders>
            <w:vAlign w:val="bottom"/>
          </w:tcPr>
          <w:p w14:paraId="460FD5BB" w14:textId="7B02028F" w:rsidR="009B43B3" w:rsidRPr="00701F32" w:rsidRDefault="009B43B3" w:rsidP="009B43B3">
            <w:pPr>
              <w:pStyle w:val="Textoindependiente2"/>
              <w:jc w:val="center"/>
              <w:rPr>
                <w:rFonts w:ascii="Arial" w:hAnsi="Arial" w:cs="Arial"/>
                <w:sz w:val="18"/>
              </w:rPr>
            </w:pPr>
            <w:r w:rsidRPr="00701F32">
              <w:rPr>
                <w:rFonts w:ascii="Arial" w:hAnsi="Arial" w:cs="Arial"/>
                <w:sz w:val="18"/>
              </w:rPr>
              <w:t>3</w:t>
            </w:r>
            <w:r>
              <w:rPr>
                <w:rFonts w:ascii="Arial" w:hAnsi="Arial" w:cs="Arial"/>
                <w:sz w:val="18"/>
              </w:rPr>
              <w:t>1</w:t>
            </w:r>
            <w:r w:rsidRPr="00701F32">
              <w:rPr>
                <w:rFonts w:ascii="Arial" w:hAnsi="Arial" w:cs="Arial"/>
                <w:sz w:val="18"/>
              </w:rPr>
              <w:t>/</w:t>
            </w:r>
            <w:r>
              <w:rPr>
                <w:rFonts w:ascii="Arial" w:hAnsi="Arial" w:cs="Arial"/>
                <w:sz w:val="18"/>
              </w:rPr>
              <w:t>12</w:t>
            </w:r>
            <w:r w:rsidRPr="00701F32">
              <w:rPr>
                <w:rFonts w:ascii="Arial" w:hAnsi="Arial" w:cs="Arial"/>
                <w:sz w:val="18"/>
              </w:rPr>
              <w:t>/2018</w:t>
            </w:r>
          </w:p>
        </w:tc>
      </w:tr>
      <w:tr w:rsidR="009B43B3" w:rsidRPr="00701F32" w14:paraId="6F290B06" w14:textId="77777777" w:rsidTr="006E1AF7">
        <w:trPr>
          <w:trHeight w:val="228"/>
          <w:jc w:val="center"/>
        </w:trPr>
        <w:tc>
          <w:tcPr>
            <w:tcW w:w="47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3942E" w14:textId="77777777" w:rsidR="009B43B3" w:rsidRPr="00701F32" w:rsidRDefault="009B43B3" w:rsidP="009B43B3">
            <w:pPr>
              <w:pStyle w:val="Textoindependiente2"/>
              <w:jc w:val="both"/>
              <w:rPr>
                <w:rFonts w:ascii="Arial" w:hAnsi="Arial" w:cs="Arial"/>
                <w:b w:val="0"/>
                <w:sz w:val="18"/>
              </w:rPr>
            </w:pPr>
            <w:r w:rsidRPr="00701F32">
              <w:rPr>
                <w:rFonts w:ascii="Arial" w:hAnsi="Arial" w:cs="Arial"/>
                <w:b w:val="0"/>
                <w:sz w:val="18"/>
              </w:rPr>
              <w:t>Utilidad atribuible a los accionistas de la entidad</w:t>
            </w:r>
          </w:p>
        </w:tc>
        <w:tc>
          <w:tcPr>
            <w:tcW w:w="1671" w:type="dxa"/>
            <w:tcBorders>
              <w:top w:val="nil"/>
              <w:left w:val="nil"/>
              <w:bottom w:val="single" w:sz="4" w:space="0" w:color="auto"/>
              <w:right w:val="single" w:sz="4" w:space="0" w:color="auto"/>
            </w:tcBorders>
            <w:shd w:val="clear" w:color="auto" w:fill="auto"/>
            <w:noWrap/>
            <w:vAlign w:val="bottom"/>
          </w:tcPr>
          <w:p w14:paraId="41789AD4" w14:textId="03CB6D9D" w:rsidR="009B43B3" w:rsidRPr="00701F32" w:rsidRDefault="00E05037" w:rsidP="009B43B3">
            <w:pPr>
              <w:pStyle w:val="Textoindependiente2"/>
              <w:jc w:val="right"/>
              <w:rPr>
                <w:rFonts w:ascii="Arial" w:hAnsi="Arial" w:cs="Arial"/>
                <w:b w:val="0"/>
                <w:sz w:val="18"/>
              </w:rPr>
            </w:pPr>
            <w:r>
              <w:rPr>
                <w:rFonts w:ascii="Arial" w:hAnsi="Arial" w:cs="Arial"/>
                <w:b w:val="0"/>
                <w:sz w:val="18"/>
              </w:rPr>
              <w:t>3.</w:t>
            </w:r>
            <w:r w:rsidR="000966C6">
              <w:rPr>
                <w:rFonts w:ascii="Arial" w:hAnsi="Arial" w:cs="Arial"/>
                <w:b w:val="0"/>
                <w:sz w:val="18"/>
              </w:rPr>
              <w:t>320.416</w:t>
            </w:r>
          </w:p>
        </w:tc>
        <w:tc>
          <w:tcPr>
            <w:tcW w:w="1457" w:type="dxa"/>
            <w:tcBorders>
              <w:top w:val="single" w:sz="4" w:space="0" w:color="auto"/>
              <w:left w:val="nil"/>
              <w:bottom w:val="single" w:sz="4" w:space="0" w:color="auto"/>
              <w:right w:val="single" w:sz="4" w:space="0" w:color="auto"/>
            </w:tcBorders>
            <w:vAlign w:val="bottom"/>
          </w:tcPr>
          <w:p w14:paraId="28BE32BD" w14:textId="1729309F" w:rsidR="009B43B3" w:rsidRPr="00F24EA6" w:rsidRDefault="009B43B3" w:rsidP="009B43B3">
            <w:pPr>
              <w:pStyle w:val="Textoindependiente2"/>
              <w:jc w:val="right"/>
              <w:rPr>
                <w:rFonts w:ascii="Arial" w:hAnsi="Arial" w:cs="Arial"/>
                <w:b w:val="0"/>
                <w:sz w:val="18"/>
              </w:rPr>
            </w:pPr>
            <w:r>
              <w:rPr>
                <w:rFonts w:ascii="Arial" w:hAnsi="Arial" w:cs="Arial"/>
                <w:b w:val="0"/>
                <w:sz w:val="18"/>
              </w:rPr>
              <w:t>1.670.515</w:t>
            </w:r>
          </w:p>
        </w:tc>
      </w:tr>
      <w:tr w:rsidR="009B43B3" w:rsidRPr="00701F32" w14:paraId="26DB36DC" w14:textId="77777777" w:rsidTr="006E1AF7">
        <w:trPr>
          <w:trHeight w:val="228"/>
          <w:jc w:val="center"/>
        </w:trPr>
        <w:tc>
          <w:tcPr>
            <w:tcW w:w="4759" w:type="dxa"/>
            <w:tcBorders>
              <w:top w:val="nil"/>
              <w:left w:val="single" w:sz="4" w:space="0" w:color="auto"/>
              <w:bottom w:val="single" w:sz="4" w:space="0" w:color="auto"/>
              <w:right w:val="single" w:sz="4" w:space="0" w:color="auto"/>
            </w:tcBorders>
            <w:shd w:val="clear" w:color="auto" w:fill="auto"/>
            <w:noWrap/>
            <w:vAlign w:val="bottom"/>
            <w:hideMark/>
          </w:tcPr>
          <w:p w14:paraId="1498DBF2" w14:textId="77777777" w:rsidR="009B43B3" w:rsidRPr="00701F32" w:rsidRDefault="009B43B3" w:rsidP="009B43B3">
            <w:pPr>
              <w:pStyle w:val="Textoindependiente2"/>
              <w:jc w:val="both"/>
              <w:rPr>
                <w:rFonts w:ascii="Arial" w:hAnsi="Arial" w:cs="Arial"/>
                <w:b w:val="0"/>
                <w:sz w:val="18"/>
              </w:rPr>
            </w:pPr>
            <w:r w:rsidRPr="00701F32">
              <w:rPr>
                <w:rFonts w:ascii="Arial" w:hAnsi="Arial" w:cs="Arial"/>
                <w:b w:val="0"/>
                <w:sz w:val="18"/>
              </w:rPr>
              <w:t>Promedio ponderado de acciones en circulación (miles)</w:t>
            </w:r>
          </w:p>
        </w:tc>
        <w:tc>
          <w:tcPr>
            <w:tcW w:w="1671" w:type="dxa"/>
            <w:tcBorders>
              <w:top w:val="nil"/>
              <w:left w:val="nil"/>
              <w:bottom w:val="single" w:sz="4" w:space="0" w:color="auto"/>
              <w:right w:val="single" w:sz="4" w:space="0" w:color="auto"/>
            </w:tcBorders>
            <w:shd w:val="clear" w:color="auto" w:fill="auto"/>
            <w:noWrap/>
            <w:vAlign w:val="bottom"/>
          </w:tcPr>
          <w:p w14:paraId="473A82A5" w14:textId="13FFB015" w:rsidR="009B43B3" w:rsidRPr="00701F32" w:rsidRDefault="00E05037" w:rsidP="009B43B3">
            <w:pPr>
              <w:pStyle w:val="Textoindependiente2"/>
              <w:jc w:val="right"/>
              <w:rPr>
                <w:rFonts w:ascii="Arial" w:hAnsi="Arial" w:cs="Arial"/>
                <w:b w:val="0"/>
                <w:sz w:val="18"/>
              </w:rPr>
            </w:pPr>
            <w:r>
              <w:rPr>
                <w:rFonts w:ascii="Arial" w:hAnsi="Arial" w:cs="Arial"/>
                <w:b w:val="0"/>
                <w:sz w:val="18"/>
              </w:rPr>
              <w:t>818.782</w:t>
            </w:r>
          </w:p>
        </w:tc>
        <w:tc>
          <w:tcPr>
            <w:tcW w:w="1457" w:type="dxa"/>
            <w:tcBorders>
              <w:top w:val="single" w:sz="4" w:space="0" w:color="auto"/>
              <w:left w:val="nil"/>
              <w:bottom w:val="single" w:sz="4" w:space="0" w:color="auto"/>
              <w:right w:val="single" w:sz="4" w:space="0" w:color="auto"/>
            </w:tcBorders>
            <w:vAlign w:val="bottom"/>
          </w:tcPr>
          <w:p w14:paraId="4BA88080" w14:textId="223B033A" w:rsidR="009B43B3" w:rsidRPr="00F24EA6" w:rsidRDefault="009B43B3" w:rsidP="009B43B3">
            <w:pPr>
              <w:pStyle w:val="Textoindependiente2"/>
              <w:jc w:val="right"/>
              <w:rPr>
                <w:rFonts w:ascii="Arial" w:hAnsi="Arial" w:cs="Arial"/>
                <w:b w:val="0"/>
                <w:sz w:val="18"/>
              </w:rPr>
            </w:pPr>
            <w:r>
              <w:rPr>
                <w:rFonts w:ascii="Arial" w:hAnsi="Arial" w:cs="Arial"/>
                <w:b w:val="0"/>
                <w:sz w:val="18"/>
              </w:rPr>
              <w:t>767.948</w:t>
            </w:r>
          </w:p>
        </w:tc>
      </w:tr>
      <w:tr w:rsidR="009B43B3" w:rsidRPr="00701F32" w14:paraId="25A1E04A" w14:textId="77777777" w:rsidTr="006E1AF7">
        <w:trPr>
          <w:trHeight w:val="228"/>
          <w:jc w:val="center"/>
        </w:trPr>
        <w:tc>
          <w:tcPr>
            <w:tcW w:w="4759" w:type="dxa"/>
            <w:tcBorders>
              <w:top w:val="nil"/>
              <w:left w:val="single" w:sz="4" w:space="0" w:color="auto"/>
              <w:bottom w:val="single" w:sz="4" w:space="0" w:color="auto"/>
              <w:right w:val="single" w:sz="4" w:space="0" w:color="auto"/>
            </w:tcBorders>
            <w:shd w:val="clear" w:color="auto" w:fill="auto"/>
            <w:noWrap/>
            <w:vAlign w:val="bottom"/>
            <w:hideMark/>
          </w:tcPr>
          <w:p w14:paraId="42D4516A" w14:textId="77777777" w:rsidR="009B43B3" w:rsidRPr="00701F32" w:rsidRDefault="009B43B3" w:rsidP="009B43B3">
            <w:pPr>
              <w:pStyle w:val="Textoindependiente2"/>
              <w:jc w:val="both"/>
              <w:rPr>
                <w:rFonts w:ascii="Arial" w:hAnsi="Arial" w:cs="Arial"/>
                <w:b w:val="0"/>
                <w:bCs/>
                <w:sz w:val="18"/>
              </w:rPr>
            </w:pPr>
            <w:r w:rsidRPr="00701F32">
              <w:rPr>
                <w:rFonts w:ascii="Arial" w:hAnsi="Arial" w:cs="Arial"/>
                <w:b w:val="0"/>
                <w:bCs/>
                <w:sz w:val="18"/>
              </w:rPr>
              <w:t>Utilidad por Acción</w:t>
            </w:r>
          </w:p>
        </w:tc>
        <w:tc>
          <w:tcPr>
            <w:tcW w:w="1671" w:type="dxa"/>
            <w:tcBorders>
              <w:top w:val="nil"/>
              <w:left w:val="nil"/>
              <w:bottom w:val="single" w:sz="4" w:space="0" w:color="auto"/>
              <w:right w:val="single" w:sz="4" w:space="0" w:color="auto"/>
            </w:tcBorders>
            <w:shd w:val="clear" w:color="auto" w:fill="auto"/>
            <w:noWrap/>
            <w:vAlign w:val="bottom"/>
          </w:tcPr>
          <w:p w14:paraId="664431E3" w14:textId="2E38DB01" w:rsidR="009B43B3" w:rsidRPr="00701F32" w:rsidRDefault="00E05037" w:rsidP="009B43B3">
            <w:pPr>
              <w:pStyle w:val="Textoindependiente2"/>
              <w:jc w:val="right"/>
              <w:rPr>
                <w:rFonts w:ascii="Arial" w:hAnsi="Arial" w:cs="Arial"/>
                <w:b w:val="0"/>
                <w:bCs/>
                <w:sz w:val="18"/>
              </w:rPr>
            </w:pPr>
            <w:r>
              <w:rPr>
                <w:rFonts w:ascii="Arial" w:hAnsi="Arial" w:cs="Arial"/>
                <w:b w:val="0"/>
                <w:bCs/>
                <w:sz w:val="18"/>
              </w:rPr>
              <w:t>4</w:t>
            </w:r>
            <w:r w:rsidR="00A7230B">
              <w:rPr>
                <w:rFonts w:ascii="Arial" w:hAnsi="Arial" w:cs="Arial"/>
                <w:b w:val="0"/>
                <w:bCs/>
                <w:sz w:val="18"/>
              </w:rPr>
              <w:t>,0</w:t>
            </w:r>
            <w:r w:rsidR="000966C6">
              <w:rPr>
                <w:rFonts w:ascii="Arial" w:hAnsi="Arial" w:cs="Arial"/>
                <w:b w:val="0"/>
                <w:bCs/>
                <w:sz w:val="18"/>
              </w:rPr>
              <w:t>6</w:t>
            </w:r>
          </w:p>
        </w:tc>
        <w:tc>
          <w:tcPr>
            <w:tcW w:w="1457" w:type="dxa"/>
            <w:tcBorders>
              <w:top w:val="single" w:sz="4" w:space="0" w:color="auto"/>
              <w:left w:val="nil"/>
              <w:bottom w:val="single" w:sz="4" w:space="0" w:color="auto"/>
              <w:right w:val="single" w:sz="4" w:space="0" w:color="auto"/>
            </w:tcBorders>
            <w:vAlign w:val="bottom"/>
          </w:tcPr>
          <w:p w14:paraId="04464874" w14:textId="6544D162" w:rsidR="009B43B3" w:rsidRPr="00F24EA6" w:rsidRDefault="009B43B3" w:rsidP="009B43B3">
            <w:pPr>
              <w:pStyle w:val="Textoindependiente2"/>
              <w:jc w:val="right"/>
              <w:rPr>
                <w:rFonts w:ascii="Arial" w:hAnsi="Arial" w:cs="Arial"/>
                <w:b w:val="0"/>
                <w:sz w:val="18"/>
              </w:rPr>
            </w:pPr>
            <w:r>
              <w:rPr>
                <w:rFonts w:ascii="Arial" w:hAnsi="Arial" w:cs="Arial"/>
                <w:b w:val="0"/>
                <w:bCs/>
                <w:sz w:val="18"/>
              </w:rPr>
              <w:t>2,1</w:t>
            </w:r>
            <w:r w:rsidR="00A7230B">
              <w:rPr>
                <w:rFonts w:ascii="Arial" w:hAnsi="Arial" w:cs="Arial"/>
                <w:b w:val="0"/>
                <w:bCs/>
                <w:sz w:val="18"/>
              </w:rPr>
              <w:t>8</w:t>
            </w:r>
          </w:p>
        </w:tc>
      </w:tr>
    </w:tbl>
    <w:p w14:paraId="4E264974" w14:textId="77777777" w:rsidR="009B43B3" w:rsidRPr="00701F32" w:rsidRDefault="009B43B3" w:rsidP="009B43B3">
      <w:pPr>
        <w:spacing w:after="160" w:line="259" w:lineRule="auto"/>
        <w:jc w:val="both"/>
        <w:rPr>
          <w:rFonts w:ascii="Arial" w:eastAsia="Calibri" w:hAnsi="Arial" w:cs="Arial"/>
          <w:b/>
          <w:sz w:val="20"/>
        </w:rPr>
      </w:pPr>
    </w:p>
    <w:p w14:paraId="781E5E15" w14:textId="61C3D446" w:rsidR="00543EF5" w:rsidRPr="00701F32" w:rsidRDefault="00543EF5" w:rsidP="00543EF5">
      <w:pPr>
        <w:spacing w:after="160" w:line="259" w:lineRule="auto"/>
        <w:jc w:val="both"/>
        <w:rPr>
          <w:rFonts w:ascii="Arial" w:eastAsia="Calibri" w:hAnsi="Arial" w:cs="Arial"/>
          <w:b/>
          <w:sz w:val="20"/>
        </w:rPr>
      </w:pPr>
      <w:r>
        <w:rPr>
          <w:rFonts w:ascii="Arial" w:eastAsia="Calibri" w:hAnsi="Arial" w:cs="Arial"/>
          <w:b/>
          <w:sz w:val="20"/>
        </w:rPr>
        <w:t>8</w:t>
      </w:r>
      <w:r w:rsidRPr="00701F32">
        <w:rPr>
          <w:rFonts w:ascii="Arial" w:eastAsia="Calibri" w:hAnsi="Arial" w:cs="Arial"/>
          <w:b/>
          <w:sz w:val="20"/>
        </w:rPr>
        <w:t>. PROPIEDAD, PLANTA Y EQUIPOS Y PROPIEDADES DE INVERSION</w:t>
      </w:r>
    </w:p>
    <w:p w14:paraId="400C39C6" w14:textId="6B6DDB7D" w:rsidR="00543EF5" w:rsidRDefault="00543EF5" w:rsidP="00543EF5">
      <w:pPr>
        <w:spacing w:after="160"/>
        <w:jc w:val="both"/>
        <w:rPr>
          <w:rFonts w:ascii="Arial" w:eastAsia="Calibri" w:hAnsi="Arial" w:cs="Arial"/>
          <w:sz w:val="20"/>
        </w:rPr>
      </w:pPr>
      <w:r w:rsidRPr="00701F32">
        <w:rPr>
          <w:rFonts w:ascii="Arial" w:eastAsia="Calibri" w:hAnsi="Arial" w:cs="Arial"/>
          <w:sz w:val="20"/>
        </w:rPr>
        <w:t xml:space="preserve">Los movimientos en propiedad, planta y equipos y propiedades de inversión para el </w:t>
      </w:r>
      <w:r>
        <w:rPr>
          <w:rFonts w:ascii="Arial" w:eastAsia="Calibri" w:hAnsi="Arial" w:cs="Arial"/>
          <w:sz w:val="20"/>
        </w:rPr>
        <w:t>ejercicio finalizado el 31</w:t>
      </w:r>
      <w:r w:rsidRPr="00701F32">
        <w:rPr>
          <w:rFonts w:ascii="Arial" w:eastAsia="Calibri" w:hAnsi="Arial" w:cs="Arial"/>
          <w:sz w:val="20"/>
        </w:rPr>
        <w:t xml:space="preserve"> de </w:t>
      </w:r>
      <w:r>
        <w:rPr>
          <w:rFonts w:ascii="Arial" w:eastAsia="Calibri" w:hAnsi="Arial" w:cs="Arial"/>
          <w:sz w:val="20"/>
        </w:rPr>
        <w:t>diciembre</w:t>
      </w:r>
      <w:r w:rsidRPr="00701F32">
        <w:rPr>
          <w:rFonts w:ascii="Arial" w:eastAsia="Calibri" w:hAnsi="Arial" w:cs="Arial"/>
          <w:sz w:val="20"/>
        </w:rPr>
        <w:t xml:space="preserve"> de 201</w:t>
      </w:r>
      <w:r>
        <w:rPr>
          <w:rFonts w:ascii="Arial" w:eastAsia="Calibri" w:hAnsi="Arial" w:cs="Arial"/>
          <w:sz w:val="20"/>
        </w:rPr>
        <w:t>9</w:t>
      </w:r>
      <w:r w:rsidRPr="00701F32">
        <w:rPr>
          <w:rFonts w:ascii="Arial" w:eastAsia="Calibri" w:hAnsi="Arial" w:cs="Arial"/>
          <w:sz w:val="20"/>
        </w:rPr>
        <w:t xml:space="preserve"> se detallan en el Anexo F adjunto a estos estados financieros consolidados.</w:t>
      </w:r>
    </w:p>
    <w:p w14:paraId="71E1245E" w14:textId="5D23D52E" w:rsidR="00FF569F" w:rsidRDefault="00543EF5" w:rsidP="00FF569F">
      <w:pPr>
        <w:spacing w:after="160" w:line="259" w:lineRule="auto"/>
        <w:jc w:val="both"/>
        <w:rPr>
          <w:rFonts w:ascii="Arial" w:eastAsia="Calibri" w:hAnsi="Arial" w:cs="Arial"/>
          <w:sz w:val="20"/>
        </w:rPr>
      </w:pPr>
      <w:r w:rsidRPr="00701F32">
        <w:rPr>
          <w:rFonts w:ascii="Arial" w:eastAsia="Calibri" w:hAnsi="Arial" w:cs="Arial"/>
          <w:sz w:val="20"/>
        </w:rPr>
        <w:t>Los movimientos en propiedad, planta y equipo para el ejercicio finalizado el 31 de diciembre 201</w:t>
      </w:r>
      <w:r w:rsidR="00995C31">
        <w:rPr>
          <w:rFonts w:ascii="Arial" w:eastAsia="Calibri" w:hAnsi="Arial" w:cs="Arial"/>
          <w:sz w:val="20"/>
        </w:rPr>
        <w:t>8</w:t>
      </w:r>
      <w:r w:rsidRPr="00701F32">
        <w:rPr>
          <w:rFonts w:ascii="Arial" w:eastAsia="Calibri" w:hAnsi="Arial" w:cs="Arial"/>
          <w:sz w:val="20"/>
        </w:rPr>
        <w:t xml:space="preserve"> fueron los siguientes:</w:t>
      </w:r>
    </w:p>
    <w:p w14:paraId="42B63CEC" w14:textId="644C0332" w:rsidR="000B1093" w:rsidRDefault="000B1093" w:rsidP="00FF569F">
      <w:pPr>
        <w:spacing w:after="160" w:line="259" w:lineRule="auto"/>
        <w:jc w:val="both"/>
        <w:rPr>
          <w:rFonts w:ascii="Arial" w:eastAsia="Calibri" w:hAnsi="Arial" w:cs="Arial"/>
          <w:sz w:val="20"/>
        </w:rPr>
      </w:pPr>
    </w:p>
    <w:p w14:paraId="532390B8" w14:textId="77777777" w:rsidR="000B1093" w:rsidRDefault="000B1093" w:rsidP="00FF569F">
      <w:pPr>
        <w:spacing w:after="160" w:line="259" w:lineRule="auto"/>
        <w:jc w:val="both"/>
        <w:rPr>
          <w:rFonts w:ascii="Arial" w:eastAsia="Calibri" w:hAnsi="Arial" w:cs="Arial"/>
          <w:sz w:val="20"/>
        </w:rPr>
      </w:pPr>
    </w:p>
    <w:tbl>
      <w:tblPr>
        <w:tblW w:w="9845" w:type="dxa"/>
        <w:tblLayout w:type="fixed"/>
        <w:tblCellMar>
          <w:left w:w="70" w:type="dxa"/>
          <w:right w:w="70" w:type="dxa"/>
        </w:tblCellMar>
        <w:tblLook w:val="04A0" w:firstRow="1" w:lastRow="0" w:firstColumn="1" w:lastColumn="0" w:noHBand="0" w:noVBand="1"/>
      </w:tblPr>
      <w:tblGrid>
        <w:gridCol w:w="1346"/>
        <w:gridCol w:w="851"/>
        <w:gridCol w:w="850"/>
        <w:gridCol w:w="992"/>
        <w:gridCol w:w="841"/>
        <w:gridCol w:w="851"/>
        <w:gridCol w:w="968"/>
        <w:gridCol w:w="591"/>
        <w:gridCol w:w="850"/>
        <w:gridCol w:w="861"/>
        <w:gridCol w:w="844"/>
      </w:tblGrid>
      <w:tr w:rsidR="00EA13E3" w:rsidRPr="00FF569F" w14:paraId="2A9A296F" w14:textId="77777777" w:rsidTr="00DE7C62">
        <w:trPr>
          <w:trHeight w:val="288"/>
        </w:trPr>
        <w:tc>
          <w:tcPr>
            <w:tcW w:w="13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68F496" w14:textId="77777777"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Concepto</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7C0717" w14:textId="77777777"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Valor de origen al inicio del ejercicio</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28ED13" w14:textId="77777777"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Vida Útil total estimada en años</w:t>
            </w:r>
          </w:p>
        </w:tc>
        <w:tc>
          <w:tcPr>
            <w:tcW w:w="992" w:type="dxa"/>
            <w:tcBorders>
              <w:top w:val="single" w:sz="4" w:space="0" w:color="auto"/>
              <w:left w:val="nil"/>
              <w:bottom w:val="nil"/>
              <w:right w:val="nil"/>
            </w:tcBorders>
            <w:shd w:val="clear" w:color="auto" w:fill="auto"/>
            <w:vAlign w:val="center"/>
            <w:hideMark/>
          </w:tcPr>
          <w:p w14:paraId="7D1BC512" w14:textId="77777777"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Revaluación</w:t>
            </w:r>
          </w:p>
        </w:tc>
        <w:tc>
          <w:tcPr>
            <w:tcW w:w="8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643535" w14:textId="77777777"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Altas</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59FADB" w14:textId="77777777"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Bajas</w:t>
            </w:r>
          </w:p>
        </w:tc>
        <w:tc>
          <w:tcPr>
            <w:tcW w:w="3270" w:type="dxa"/>
            <w:gridSpan w:val="4"/>
            <w:tcBorders>
              <w:top w:val="single" w:sz="4" w:space="0" w:color="auto"/>
              <w:left w:val="nil"/>
              <w:bottom w:val="single" w:sz="4" w:space="0" w:color="auto"/>
              <w:right w:val="single" w:sz="4" w:space="0" w:color="auto"/>
            </w:tcBorders>
            <w:shd w:val="clear" w:color="auto" w:fill="auto"/>
            <w:vAlign w:val="center"/>
            <w:hideMark/>
          </w:tcPr>
          <w:p w14:paraId="2EF9A423" w14:textId="77777777"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Depreciación</w:t>
            </w:r>
          </w:p>
        </w:tc>
        <w:tc>
          <w:tcPr>
            <w:tcW w:w="8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1AA0DE" w14:textId="05D8B2CD"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 xml:space="preserve">Valor residual al cierre del </w:t>
            </w:r>
            <w:r w:rsidR="00995C31">
              <w:rPr>
                <w:rFonts w:ascii="Arial" w:hAnsi="Arial" w:cs="Arial"/>
                <w:b/>
                <w:bCs/>
                <w:color w:val="000000"/>
                <w:sz w:val="14"/>
                <w:szCs w:val="14"/>
                <w:lang w:eastAsia="es-AR"/>
              </w:rPr>
              <w:t>ejercicio</w:t>
            </w:r>
          </w:p>
        </w:tc>
      </w:tr>
      <w:tr w:rsidR="00EA13E3" w:rsidRPr="00FF569F" w14:paraId="74F55154" w14:textId="77777777" w:rsidTr="00DE7C62">
        <w:trPr>
          <w:trHeight w:val="288"/>
        </w:trPr>
        <w:tc>
          <w:tcPr>
            <w:tcW w:w="1346" w:type="dxa"/>
            <w:vMerge/>
            <w:tcBorders>
              <w:top w:val="single" w:sz="4" w:space="0" w:color="auto"/>
              <w:left w:val="single" w:sz="4" w:space="0" w:color="auto"/>
              <w:bottom w:val="single" w:sz="4" w:space="0" w:color="000000"/>
              <w:right w:val="single" w:sz="4" w:space="0" w:color="auto"/>
            </w:tcBorders>
            <w:vAlign w:val="center"/>
            <w:hideMark/>
          </w:tcPr>
          <w:p w14:paraId="7734576B" w14:textId="77777777" w:rsidR="00FF569F" w:rsidRPr="00FF569F" w:rsidRDefault="00FF569F" w:rsidP="00FF569F">
            <w:pPr>
              <w:rPr>
                <w:rFonts w:ascii="Arial" w:hAnsi="Arial" w:cs="Arial"/>
                <w:b/>
                <w:bCs/>
                <w:color w:val="000000"/>
                <w:sz w:val="14"/>
                <w:szCs w:val="14"/>
                <w:lang w:eastAsia="es-AR"/>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E0AAABE" w14:textId="77777777" w:rsidR="00FF569F" w:rsidRPr="00FF569F" w:rsidRDefault="00FF569F" w:rsidP="00FF569F">
            <w:pPr>
              <w:rPr>
                <w:rFonts w:ascii="Arial" w:hAnsi="Arial" w:cs="Arial"/>
                <w:b/>
                <w:bCs/>
                <w:color w:val="000000"/>
                <w:sz w:val="14"/>
                <w:szCs w:val="14"/>
                <w:lang w:eastAsia="es-AR"/>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6A451310" w14:textId="77777777" w:rsidR="00FF569F" w:rsidRPr="00FF569F" w:rsidRDefault="00FF569F" w:rsidP="00FF569F">
            <w:pPr>
              <w:rPr>
                <w:rFonts w:ascii="Arial" w:hAnsi="Arial" w:cs="Arial"/>
                <w:b/>
                <w:bCs/>
                <w:color w:val="000000"/>
                <w:sz w:val="14"/>
                <w:szCs w:val="14"/>
                <w:lang w:eastAsia="es-AR"/>
              </w:rPr>
            </w:pPr>
          </w:p>
        </w:tc>
        <w:tc>
          <w:tcPr>
            <w:tcW w:w="992" w:type="dxa"/>
            <w:tcBorders>
              <w:top w:val="nil"/>
              <w:left w:val="nil"/>
              <w:bottom w:val="single" w:sz="4" w:space="0" w:color="auto"/>
              <w:right w:val="single" w:sz="4" w:space="0" w:color="auto"/>
            </w:tcBorders>
            <w:shd w:val="clear" w:color="auto" w:fill="auto"/>
            <w:vAlign w:val="center"/>
            <w:hideMark/>
          </w:tcPr>
          <w:p w14:paraId="76F9370F" w14:textId="6B150288" w:rsidR="00FF569F" w:rsidRPr="00FF569F" w:rsidRDefault="00FF569F" w:rsidP="00FF569F">
            <w:pPr>
              <w:jc w:val="center"/>
              <w:rPr>
                <w:rFonts w:ascii="Arial" w:hAnsi="Arial" w:cs="Arial"/>
                <w:b/>
                <w:bCs/>
                <w:color w:val="000000"/>
                <w:sz w:val="14"/>
                <w:szCs w:val="14"/>
                <w:lang w:eastAsia="es-AR"/>
              </w:rPr>
            </w:pPr>
          </w:p>
        </w:tc>
        <w:tc>
          <w:tcPr>
            <w:tcW w:w="841" w:type="dxa"/>
            <w:vMerge/>
            <w:tcBorders>
              <w:top w:val="single" w:sz="4" w:space="0" w:color="auto"/>
              <w:left w:val="single" w:sz="4" w:space="0" w:color="auto"/>
              <w:bottom w:val="single" w:sz="4" w:space="0" w:color="000000"/>
              <w:right w:val="single" w:sz="4" w:space="0" w:color="auto"/>
            </w:tcBorders>
            <w:vAlign w:val="center"/>
            <w:hideMark/>
          </w:tcPr>
          <w:p w14:paraId="51C22A04" w14:textId="77777777" w:rsidR="00FF569F" w:rsidRPr="00FF569F" w:rsidRDefault="00FF569F" w:rsidP="00FF569F">
            <w:pPr>
              <w:rPr>
                <w:rFonts w:ascii="Arial" w:hAnsi="Arial" w:cs="Arial"/>
                <w:b/>
                <w:bCs/>
                <w:color w:val="000000"/>
                <w:sz w:val="14"/>
                <w:szCs w:val="14"/>
                <w:lang w:eastAsia="es-AR"/>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0D2C721" w14:textId="77777777" w:rsidR="00FF569F" w:rsidRPr="00FF569F" w:rsidRDefault="00FF569F" w:rsidP="00FF569F">
            <w:pPr>
              <w:rPr>
                <w:rFonts w:ascii="Arial" w:hAnsi="Arial" w:cs="Arial"/>
                <w:b/>
                <w:bCs/>
                <w:color w:val="000000"/>
                <w:sz w:val="14"/>
                <w:szCs w:val="14"/>
                <w:lang w:eastAsia="es-AR"/>
              </w:rPr>
            </w:pPr>
          </w:p>
        </w:tc>
        <w:tc>
          <w:tcPr>
            <w:tcW w:w="968" w:type="dxa"/>
            <w:tcBorders>
              <w:top w:val="nil"/>
              <w:left w:val="nil"/>
              <w:bottom w:val="single" w:sz="4" w:space="0" w:color="auto"/>
              <w:right w:val="single" w:sz="4" w:space="0" w:color="auto"/>
            </w:tcBorders>
            <w:shd w:val="clear" w:color="auto" w:fill="auto"/>
            <w:vAlign w:val="center"/>
            <w:hideMark/>
          </w:tcPr>
          <w:p w14:paraId="512DF123" w14:textId="77777777"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Acumulada</w:t>
            </w:r>
          </w:p>
        </w:tc>
        <w:tc>
          <w:tcPr>
            <w:tcW w:w="591" w:type="dxa"/>
            <w:tcBorders>
              <w:top w:val="nil"/>
              <w:left w:val="nil"/>
              <w:bottom w:val="single" w:sz="4" w:space="0" w:color="auto"/>
              <w:right w:val="single" w:sz="4" w:space="0" w:color="auto"/>
            </w:tcBorders>
            <w:shd w:val="clear" w:color="auto" w:fill="auto"/>
            <w:vAlign w:val="center"/>
            <w:hideMark/>
          </w:tcPr>
          <w:p w14:paraId="6A88B5BC" w14:textId="77777777"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Bajas</w:t>
            </w:r>
          </w:p>
        </w:tc>
        <w:tc>
          <w:tcPr>
            <w:tcW w:w="850" w:type="dxa"/>
            <w:tcBorders>
              <w:top w:val="nil"/>
              <w:left w:val="nil"/>
              <w:bottom w:val="single" w:sz="4" w:space="0" w:color="auto"/>
              <w:right w:val="single" w:sz="4" w:space="0" w:color="auto"/>
            </w:tcBorders>
            <w:shd w:val="clear" w:color="auto" w:fill="auto"/>
            <w:vAlign w:val="center"/>
            <w:hideMark/>
          </w:tcPr>
          <w:p w14:paraId="19B0EE53" w14:textId="6550096F"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 xml:space="preserve">Del </w:t>
            </w:r>
            <w:r w:rsidR="00995C31">
              <w:rPr>
                <w:rFonts w:ascii="Arial" w:hAnsi="Arial" w:cs="Arial"/>
                <w:b/>
                <w:bCs/>
                <w:color w:val="000000"/>
                <w:sz w:val="14"/>
                <w:szCs w:val="14"/>
                <w:lang w:eastAsia="es-AR"/>
              </w:rPr>
              <w:t>ejercicio</w:t>
            </w:r>
          </w:p>
        </w:tc>
        <w:tc>
          <w:tcPr>
            <w:tcW w:w="861" w:type="dxa"/>
            <w:tcBorders>
              <w:top w:val="nil"/>
              <w:left w:val="nil"/>
              <w:bottom w:val="single" w:sz="4" w:space="0" w:color="auto"/>
              <w:right w:val="single" w:sz="4" w:space="0" w:color="auto"/>
            </w:tcBorders>
            <w:shd w:val="clear" w:color="auto" w:fill="auto"/>
            <w:vAlign w:val="center"/>
            <w:hideMark/>
          </w:tcPr>
          <w:p w14:paraId="33B3B7C0" w14:textId="77777777" w:rsidR="00FF569F" w:rsidRPr="00FF569F" w:rsidRDefault="00FF569F" w:rsidP="00FF569F">
            <w:pPr>
              <w:jc w:val="center"/>
              <w:rPr>
                <w:rFonts w:ascii="Arial" w:hAnsi="Arial" w:cs="Arial"/>
                <w:b/>
                <w:bCs/>
                <w:color w:val="000000"/>
                <w:sz w:val="14"/>
                <w:szCs w:val="14"/>
                <w:lang w:eastAsia="es-AR"/>
              </w:rPr>
            </w:pPr>
            <w:r w:rsidRPr="00FF569F">
              <w:rPr>
                <w:rFonts w:ascii="Arial" w:hAnsi="Arial" w:cs="Arial"/>
                <w:b/>
                <w:bCs/>
                <w:color w:val="000000"/>
                <w:sz w:val="14"/>
                <w:szCs w:val="14"/>
                <w:lang w:eastAsia="es-AR"/>
              </w:rPr>
              <w:t>Al cierre</w:t>
            </w:r>
          </w:p>
        </w:tc>
        <w:tc>
          <w:tcPr>
            <w:tcW w:w="844" w:type="dxa"/>
            <w:vMerge/>
            <w:tcBorders>
              <w:top w:val="single" w:sz="4" w:space="0" w:color="auto"/>
              <w:left w:val="single" w:sz="4" w:space="0" w:color="auto"/>
              <w:bottom w:val="single" w:sz="4" w:space="0" w:color="000000"/>
              <w:right w:val="single" w:sz="4" w:space="0" w:color="auto"/>
            </w:tcBorders>
            <w:vAlign w:val="center"/>
            <w:hideMark/>
          </w:tcPr>
          <w:p w14:paraId="109D132D" w14:textId="77777777" w:rsidR="00FF569F" w:rsidRPr="00FF569F" w:rsidRDefault="00FF569F" w:rsidP="00FF569F">
            <w:pPr>
              <w:rPr>
                <w:rFonts w:ascii="Arial" w:hAnsi="Arial" w:cs="Arial"/>
                <w:b/>
                <w:bCs/>
                <w:color w:val="000000"/>
                <w:sz w:val="14"/>
                <w:szCs w:val="14"/>
                <w:lang w:eastAsia="es-AR"/>
              </w:rPr>
            </w:pPr>
          </w:p>
        </w:tc>
      </w:tr>
      <w:tr w:rsidR="00FF569F" w:rsidRPr="00FF569F" w14:paraId="1DF6B4A1" w14:textId="77777777" w:rsidTr="00DE7C62">
        <w:trPr>
          <w:trHeight w:val="288"/>
        </w:trPr>
        <w:tc>
          <w:tcPr>
            <w:tcW w:w="984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23DF543"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Medición a costo</w:t>
            </w:r>
          </w:p>
        </w:tc>
      </w:tr>
      <w:tr w:rsidR="007A3E3C" w:rsidRPr="00FF569F" w14:paraId="7CB4B4BB" w14:textId="77777777" w:rsidTr="00DE7C62">
        <w:trPr>
          <w:trHeight w:val="288"/>
        </w:trPr>
        <w:tc>
          <w:tcPr>
            <w:tcW w:w="1346" w:type="dxa"/>
            <w:tcBorders>
              <w:top w:val="nil"/>
              <w:left w:val="single" w:sz="4" w:space="0" w:color="auto"/>
              <w:bottom w:val="single" w:sz="4" w:space="0" w:color="auto"/>
              <w:right w:val="single" w:sz="4" w:space="0" w:color="auto"/>
            </w:tcBorders>
            <w:shd w:val="clear" w:color="auto" w:fill="auto"/>
            <w:vAlign w:val="center"/>
            <w:hideMark/>
          </w:tcPr>
          <w:p w14:paraId="1C7C3B31" w14:textId="77777777" w:rsidR="007A3E3C" w:rsidRPr="00FF569F" w:rsidRDefault="007A3E3C" w:rsidP="007A3E3C">
            <w:pPr>
              <w:rPr>
                <w:rFonts w:ascii="Arial" w:hAnsi="Arial" w:cs="Arial"/>
                <w:color w:val="000000"/>
                <w:sz w:val="14"/>
                <w:szCs w:val="14"/>
                <w:lang w:eastAsia="es-AR"/>
              </w:rPr>
            </w:pPr>
            <w:r w:rsidRPr="00FF569F">
              <w:rPr>
                <w:rFonts w:ascii="Arial" w:hAnsi="Arial" w:cs="Arial"/>
                <w:color w:val="000000"/>
                <w:sz w:val="14"/>
                <w:szCs w:val="14"/>
                <w:lang w:eastAsia="es-AR"/>
              </w:rPr>
              <w:t>- Mobiliario e Instalaciones</w:t>
            </w:r>
          </w:p>
        </w:tc>
        <w:tc>
          <w:tcPr>
            <w:tcW w:w="851" w:type="dxa"/>
            <w:tcBorders>
              <w:top w:val="nil"/>
              <w:left w:val="nil"/>
              <w:bottom w:val="single" w:sz="4" w:space="0" w:color="auto"/>
              <w:right w:val="single" w:sz="4" w:space="0" w:color="auto"/>
            </w:tcBorders>
            <w:shd w:val="clear" w:color="auto" w:fill="auto"/>
            <w:noWrap/>
            <w:vAlign w:val="center"/>
            <w:hideMark/>
          </w:tcPr>
          <w:p w14:paraId="64F781D8" w14:textId="4A86D28C" w:rsidR="007A3E3C" w:rsidRPr="00FF569F" w:rsidRDefault="007A3E3C" w:rsidP="007A3E3C">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1</w:t>
            </w:r>
            <w:r w:rsidR="006007F3">
              <w:rPr>
                <w:rFonts w:ascii="Arial" w:hAnsi="Arial" w:cs="Arial"/>
                <w:b/>
                <w:bCs/>
                <w:color w:val="000000"/>
                <w:sz w:val="14"/>
                <w:szCs w:val="14"/>
                <w:lang w:eastAsia="es-AR"/>
              </w:rPr>
              <w:t>19.609</w:t>
            </w:r>
            <w:r w:rsidRPr="00FF569F">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63D1A68" w14:textId="77777777" w:rsidR="007A3E3C" w:rsidRPr="00FF569F" w:rsidRDefault="007A3E3C" w:rsidP="007A3E3C">
            <w:pPr>
              <w:jc w:val="center"/>
              <w:rPr>
                <w:rFonts w:ascii="Arial" w:hAnsi="Arial" w:cs="Arial"/>
                <w:color w:val="000000"/>
                <w:sz w:val="14"/>
                <w:szCs w:val="14"/>
                <w:lang w:eastAsia="es-AR"/>
              </w:rPr>
            </w:pPr>
            <w:r w:rsidRPr="00FF569F">
              <w:rPr>
                <w:rFonts w:ascii="Arial" w:hAnsi="Arial" w:cs="Arial"/>
                <w:color w:val="000000"/>
                <w:sz w:val="14"/>
                <w:szCs w:val="14"/>
                <w:lang w:eastAsia="es-AR"/>
              </w:rPr>
              <w:t xml:space="preserve">10 </w:t>
            </w:r>
          </w:p>
        </w:tc>
        <w:tc>
          <w:tcPr>
            <w:tcW w:w="992" w:type="dxa"/>
            <w:tcBorders>
              <w:top w:val="nil"/>
              <w:left w:val="nil"/>
              <w:bottom w:val="single" w:sz="4" w:space="0" w:color="auto"/>
              <w:right w:val="single" w:sz="4" w:space="0" w:color="auto"/>
            </w:tcBorders>
            <w:shd w:val="clear" w:color="auto" w:fill="auto"/>
            <w:vAlign w:val="center"/>
            <w:hideMark/>
          </w:tcPr>
          <w:p w14:paraId="712AC093" w14:textId="1659B653" w:rsidR="007A3E3C" w:rsidRPr="00FF569F" w:rsidRDefault="007A3E3C" w:rsidP="007A3E3C">
            <w:pPr>
              <w:jc w:val="center"/>
              <w:rPr>
                <w:color w:val="000000"/>
                <w:sz w:val="20"/>
                <w:lang w:eastAsia="es-AR"/>
              </w:rPr>
            </w:pPr>
            <w:r w:rsidRPr="00A0000C">
              <w:rPr>
                <w:rFonts w:ascii="Arial" w:hAnsi="Arial" w:cs="Arial"/>
                <w:color w:val="000000"/>
                <w:sz w:val="14"/>
                <w:szCs w:val="14"/>
                <w:lang w:eastAsia="es-AR"/>
              </w:rPr>
              <w:t>-</w:t>
            </w:r>
          </w:p>
        </w:tc>
        <w:tc>
          <w:tcPr>
            <w:tcW w:w="841" w:type="dxa"/>
            <w:tcBorders>
              <w:top w:val="nil"/>
              <w:left w:val="nil"/>
              <w:bottom w:val="single" w:sz="4" w:space="0" w:color="auto"/>
              <w:right w:val="single" w:sz="4" w:space="0" w:color="auto"/>
            </w:tcBorders>
            <w:shd w:val="clear" w:color="auto" w:fill="auto"/>
            <w:noWrap/>
            <w:vAlign w:val="center"/>
            <w:hideMark/>
          </w:tcPr>
          <w:p w14:paraId="102ABB78" w14:textId="31481BED" w:rsidR="007A3E3C" w:rsidRPr="00FF569F" w:rsidRDefault="006007F3" w:rsidP="007A3E3C">
            <w:pPr>
              <w:jc w:val="right"/>
              <w:rPr>
                <w:rFonts w:ascii="Arial" w:hAnsi="Arial" w:cs="Arial"/>
                <w:color w:val="000000"/>
                <w:sz w:val="14"/>
                <w:szCs w:val="14"/>
                <w:lang w:eastAsia="es-AR"/>
              </w:rPr>
            </w:pPr>
            <w:r>
              <w:rPr>
                <w:rFonts w:ascii="Arial" w:hAnsi="Arial" w:cs="Arial"/>
                <w:color w:val="000000"/>
                <w:sz w:val="14"/>
                <w:szCs w:val="14"/>
                <w:lang w:eastAsia="es-AR"/>
              </w:rPr>
              <w:t>33.576</w:t>
            </w:r>
            <w:r w:rsidR="007A3E3C" w:rsidRPr="00FF569F">
              <w:rPr>
                <w:rFonts w:ascii="Arial" w:hAnsi="Arial" w:cs="Arial"/>
                <w:color w:val="000000"/>
                <w:sz w:val="14"/>
                <w:szCs w:val="14"/>
                <w:lang w:eastAsia="es-AR"/>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5266AC01" w14:textId="36642F7C" w:rsidR="007A3E3C" w:rsidRPr="00FF569F" w:rsidRDefault="006007F3" w:rsidP="007A3E3C">
            <w:pPr>
              <w:jc w:val="right"/>
              <w:rPr>
                <w:rFonts w:ascii="Arial" w:hAnsi="Arial" w:cs="Arial"/>
                <w:color w:val="000000"/>
                <w:sz w:val="14"/>
                <w:szCs w:val="14"/>
                <w:lang w:eastAsia="es-AR"/>
              </w:rPr>
            </w:pPr>
            <w:r>
              <w:rPr>
                <w:rFonts w:ascii="Arial" w:hAnsi="Arial" w:cs="Arial"/>
                <w:color w:val="000000"/>
                <w:sz w:val="14"/>
                <w:szCs w:val="14"/>
                <w:lang w:eastAsia="es-AR"/>
              </w:rPr>
              <w:t>(317)</w:t>
            </w:r>
          </w:p>
        </w:tc>
        <w:tc>
          <w:tcPr>
            <w:tcW w:w="968" w:type="dxa"/>
            <w:tcBorders>
              <w:top w:val="nil"/>
              <w:left w:val="nil"/>
              <w:bottom w:val="single" w:sz="4" w:space="0" w:color="auto"/>
              <w:right w:val="single" w:sz="4" w:space="0" w:color="auto"/>
            </w:tcBorders>
            <w:shd w:val="clear" w:color="auto" w:fill="auto"/>
            <w:noWrap/>
            <w:vAlign w:val="center"/>
            <w:hideMark/>
          </w:tcPr>
          <w:p w14:paraId="47E19228" w14:textId="3C7E8076"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w:t>
            </w:r>
            <w:r w:rsidR="00761631">
              <w:rPr>
                <w:rFonts w:ascii="Arial" w:hAnsi="Arial" w:cs="Arial"/>
                <w:color w:val="000000"/>
                <w:sz w:val="14"/>
                <w:szCs w:val="14"/>
                <w:lang w:eastAsia="es-AR"/>
              </w:rPr>
              <w:t>62.371</w:t>
            </w:r>
            <w:r w:rsidRPr="00FF569F">
              <w:rPr>
                <w:rFonts w:ascii="Arial" w:hAnsi="Arial" w:cs="Arial"/>
                <w:color w:val="000000"/>
                <w:sz w:val="14"/>
                <w:szCs w:val="14"/>
                <w:lang w:eastAsia="es-AR"/>
              </w:rPr>
              <w:t>)</w:t>
            </w:r>
          </w:p>
        </w:tc>
        <w:tc>
          <w:tcPr>
            <w:tcW w:w="591" w:type="dxa"/>
            <w:tcBorders>
              <w:top w:val="nil"/>
              <w:left w:val="nil"/>
              <w:bottom w:val="single" w:sz="4" w:space="0" w:color="auto"/>
              <w:right w:val="single" w:sz="4" w:space="0" w:color="auto"/>
            </w:tcBorders>
            <w:shd w:val="clear" w:color="auto" w:fill="auto"/>
            <w:noWrap/>
            <w:vAlign w:val="center"/>
            <w:hideMark/>
          </w:tcPr>
          <w:p w14:paraId="33B0E2AC" w14:textId="7F38A8B0" w:rsidR="007A3E3C" w:rsidRPr="00FF569F" w:rsidRDefault="007A3E3C" w:rsidP="007A3E3C">
            <w:pPr>
              <w:jc w:val="right"/>
              <w:rPr>
                <w:rFonts w:ascii="Arial" w:hAnsi="Arial" w:cs="Arial"/>
                <w:color w:val="000000"/>
                <w:sz w:val="14"/>
                <w:szCs w:val="14"/>
                <w:lang w:eastAsia="es-AR"/>
              </w:rPr>
            </w:pPr>
            <w:r>
              <w:rPr>
                <w:rFonts w:ascii="Arial" w:hAnsi="Arial" w:cs="Arial"/>
                <w:color w:val="000000"/>
                <w:sz w:val="14"/>
                <w:szCs w:val="14"/>
                <w:lang w:eastAsia="es-AR"/>
              </w:rPr>
              <w:t>-</w:t>
            </w:r>
            <w:r w:rsidRPr="00FF569F">
              <w:rPr>
                <w:rFonts w:ascii="Arial" w:hAnsi="Arial" w:cs="Arial"/>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3F4A7AB" w14:textId="5C131598"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(1</w:t>
            </w:r>
            <w:r w:rsidR="00761631">
              <w:rPr>
                <w:rFonts w:ascii="Arial" w:hAnsi="Arial" w:cs="Arial"/>
                <w:color w:val="000000"/>
                <w:sz w:val="14"/>
                <w:szCs w:val="14"/>
                <w:lang w:eastAsia="es-AR"/>
              </w:rPr>
              <w:t>3.189</w:t>
            </w:r>
            <w:r w:rsidRPr="00FF569F">
              <w:rPr>
                <w:rFonts w:ascii="Arial" w:hAnsi="Arial" w:cs="Arial"/>
                <w:color w:val="000000"/>
                <w:sz w:val="14"/>
                <w:szCs w:val="14"/>
                <w:lang w:eastAsia="es-AR"/>
              </w:rPr>
              <w:t>)</w:t>
            </w:r>
          </w:p>
        </w:tc>
        <w:tc>
          <w:tcPr>
            <w:tcW w:w="861" w:type="dxa"/>
            <w:tcBorders>
              <w:top w:val="nil"/>
              <w:left w:val="nil"/>
              <w:bottom w:val="single" w:sz="4" w:space="0" w:color="auto"/>
              <w:right w:val="single" w:sz="4" w:space="0" w:color="auto"/>
            </w:tcBorders>
            <w:shd w:val="clear" w:color="auto" w:fill="auto"/>
            <w:noWrap/>
            <w:vAlign w:val="center"/>
            <w:hideMark/>
          </w:tcPr>
          <w:p w14:paraId="7BD11406" w14:textId="6330432E"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w:t>
            </w:r>
            <w:r w:rsidR="00761631">
              <w:rPr>
                <w:rFonts w:ascii="Arial" w:hAnsi="Arial" w:cs="Arial"/>
                <w:color w:val="000000"/>
                <w:sz w:val="14"/>
                <w:szCs w:val="14"/>
                <w:lang w:eastAsia="es-AR"/>
              </w:rPr>
              <w:t>75.560</w:t>
            </w:r>
            <w:r w:rsidRPr="00FF569F">
              <w:rPr>
                <w:rFonts w:ascii="Arial" w:hAnsi="Arial" w:cs="Arial"/>
                <w:color w:val="000000"/>
                <w:sz w:val="14"/>
                <w:szCs w:val="14"/>
                <w:lang w:eastAsia="es-AR"/>
              </w:rPr>
              <w:t>)</w:t>
            </w:r>
          </w:p>
        </w:tc>
        <w:tc>
          <w:tcPr>
            <w:tcW w:w="844" w:type="dxa"/>
            <w:tcBorders>
              <w:top w:val="nil"/>
              <w:left w:val="nil"/>
              <w:bottom w:val="single" w:sz="4" w:space="0" w:color="auto"/>
              <w:right w:val="single" w:sz="4" w:space="0" w:color="auto"/>
            </w:tcBorders>
            <w:shd w:val="clear" w:color="auto" w:fill="auto"/>
            <w:noWrap/>
            <w:vAlign w:val="center"/>
            <w:hideMark/>
          </w:tcPr>
          <w:p w14:paraId="1EFA2045" w14:textId="4D8E292E" w:rsidR="007A3E3C" w:rsidRPr="00FF569F" w:rsidRDefault="007A3E3C" w:rsidP="007A3E3C">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7</w:t>
            </w:r>
            <w:r w:rsidR="00761631">
              <w:rPr>
                <w:rFonts w:ascii="Arial" w:hAnsi="Arial" w:cs="Arial"/>
                <w:b/>
                <w:bCs/>
                <w:color w:val="000000"/>
                <w:sz w:val="14"/>
                <w:szCs w:val="14"/>
                <w:lang w:eastAsia="es-AR"/>
              </w:rPr>
              <w:t>7.308</w:t>
            </w:r>
            <w:r w:rsidRPr="00FF569F">
              <w:rPr>
                <w:rFonts w:ascii="Arial" w:hAnsi="Arial" w:cs="Arial"/>
                <w:b/>
                <w:bCs/>
                <w:color w:val="000000"/>
                <w:sz w:val="14"/>
                <w:szCs w:val="14"/>
                <w:lang w:eastAsia="es-AR"/>
              </w:rPr>
              <w:t xml:space="preserve"> </w:t>
            </w:r>
          </w:p>
        </w:tc>
      </w:tr>
      <w:tr w:rsidR="007A3E3C" w:rsidRPr="00FF569F" w14:paraId="193FCC5B" w14:textId="77777777" w:rsidTr="00DE7C62">
        <w:trPr>
          <w:trHeight w:val="288"/>
        </w:trPr>
        <w:tc>
          <w:tcPr>
            <w:tcW w:w="1346" w:type="dxa"/>
            <w:tcBorders>
              <w:top w:val="nil"/>
              <w:left w:val="single" w:sz="4" w:space="0" w:color="auto"/>
              <w:bottom w:val="single" w:sz="4" w:space="0" w:color="auto"/>
              <w:right w:val="single" w:sz="4" w:space="0" w:color="auto"/>
            </w:tcBorders>
            <w:shd w:val="clear" w:color="auto" w:fill="auto"/>
            <w:vAlign w:val="center"/>
            <w:hideMark/>
          </w:tcPr>
          <w:p w14:paraId="3B865695" w14:textId="77777777" w:rsidR="007A3E3C" w:rsidRPr="00FF569F" w:rsidRDefault="007A3E3C" w:rsidP="007A3E3C">
            <w:pPr>
              <w:rPr>
                <w:rFonts w:ascii="Arial" w:hAnsi="Arial" w:cs="Arial"/>
                <w:color w:val="000000"/>
                <w:sz w:val="14"/>
                <w:szCs w:val="14"/>
                <w:lang w:eastAsia="es-AR"/>
              </w:rPr>
            </w:pPr>
            <w:r w:rsidRPr="00FF569F">
              <w:rPr>
                <w:rFonts w:ascii="Arial" w:hAnsi="Arial" w:cs="Arial"/>
                <w:color w:val="000000"/>
                <w:sz w:val="14"/>
                <w:szCs w:val="14"/>
                <w:lang w:eastAsia="es-AR"/>
              </w:rPr>
              <w:t>- Máquinas y equipos</w:t>
            </w:r>
          </w:p>
        </w:tc>
        <w:tc>
          <w:tcPr>
            <w:tcW w:w="851" w:type="dxa"/>
            <w:tcBorders>
              <w:top w:val="nil"/>
              <w:left w:val="nil"/>
              <w:bottom w:val="single" w:sz="4" w:space="0" w:color="auto"/>
              <w:right w:val="single" w:sz="4" w:space="0" w:color="auto"/>
            </w:tcBorders>
            <w:shd w:val="clear" w:color="auto" w:fill="auto"/>
            <w:noWrap/>
            <w:vAlign w:val="center"/>
            <w:hideMark/>
          </w:tcPr>
          <w:p w14:paraId="2BB4544B" w14:textId="61CEB202" w:rsidR="007A3E3C" w:rsidRPr="00FF569F" w:rsidRDefault="006007F3" w:rsidP="007A3E3C">
            <w:pPr>
              <w:jc w:val="right"/>
              <w:rPr>
                <w:rFonts w:ascii="Arial" w:hAnsi="Arial" w:cs="Arial"/>
                <w:b/>
                <w:bCs/>
                <w:color w:val="000000"/>
                <w:sz w:val="14"/>
                <w:szCs w:val="14"/>
                <w:lang w:eastAsia="es-AR"/>
              </w:rPr>
            </w:pPr>
            <w:r>
              <w:rPr>
                <w:rFonts w:ascii="Arial" w:hAnsi="Arial" w:cs="Arial"/>
                <w:b/>
                <w:bCs/>
                <w:color w:val="000000"/>
                <w:sz w:val="14"/>
                <w:szCs w:val="14"/>
                <w:lang w:eastAsia="es-AR"/>
              </w:rPr>
              <w:t>564.912</w:t>
            </w:r>
            <w:r w:rsidR="007A3E3C" w:rsidRPr="00FF569F">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01283A2" w14:textId="77777777" w:rsidR="007A3E3C" w:rsidRPr="00FF569F" w:rsidRDefault="007A3E3C" w:rsidP="007A3E3C">
            <w:pPr>
              <w:jc w:val="center"/>
              <w:rPr>
                <w:rFonts w:ascii="Arial" w:hAnsi="Arial" w:cs="Arial"/>
                <w:color w:val="000000"/>
                <w:sz w:val="14"/>
                <w:szCs w:val="14"/>
                <w:lang w:eastAsia="es-AR"/>
              </w:rPr>
            </w:pPr>
            <w:r w:rsidRPr="00FF569F">
              <w:rPr>
                <w:rFonts w:ascii="Arial" w:hAnsi="Arial" w:cs="Arial"/>
                <w:color w:val="000000"/>
                <w:sz w:val="14"/>
                <w:szCs w:val="14"/>
                <w:lang w:eastAsia="es-AR"/>
              </w:rPr>
              <w:t xml:space="preserve">5 </w:t>
            </w:r>
          </w:p>
        </w:tc>
        <w:tc>
          <w:tcPr>
            <w:tcW w:w="992" w:type="dxa"/>
            <w:tcBorders>
              <w:top w:val="nil"/>
              <w:left w:val="nil"/>
              <w:bottom w:val="single" w:sz="4" w:space="0" w:color="auto"/>
              <w:right w:val="single" w:sz="4" w:space="0" w:color="auto"/>
            </w:tcBorders>
            <w:shd w:val="clear" w:color="auto" w:fill="auto"/>
            <w:vAlign w:val="center"/>
            <w:hideMark/>
          </w:tcPr>
          <w:p w14:paraId="2150B525" w14:textId="0AB43BB6" w:rsidR="007A3E3C" w:rsidRPr="00FF569F" w:rsidRDefault="007A3E3C" w:rsidP="007A3E3C">
            <w:pPr>
              <w:jc w:val="center"/>
              <w:rPr>
                <w:color w:val="000000"/>
                <w:sz w:val="20"/>
                <w:lang w:eastAsia="es-AR"/>
              </w:rPr>
            </w:pPr>
            <w:r w:rsidRPr="00A0000C">
              <w:rPr>
                <w:rFonts w:ascii="Arial" w:hAnsi="Arial" w:cs="Arial"/>
                <w:color w:val="000000"/>
                <w:sz w:val="14"/>
                <w:szCs w:val="14"/>
                <w:lang w:eastAsia="es-AR"/>
              </w:rPr>
              <w:t>-</w:t>
            </w:r>
          </w:p>
        </w:tc>
        <w:tc>
          <w:tcPr>
            <w:tcW w:w="841" w:type="dxa"/>
            <w:tcBorders>
              <w:top w:val="nil"/>
              <w:left w:val="nil"/>
              <w:bottom w:val="single" w:sz="4" w:space="0" w:color="auto"/>
              <w:right w:val="single" w:sz="4" w:space="0" w:color="auto"/>
            </w:tcBorders>
            <w:shd w:val="clear" w:color="auto" w:fill="auto"/>
            <w:noWrap/>
            <w:vAlign w:val="center"/>
            <w:hideMark/>
          </w:tcPr>
          <w:p w14:paraId="3042175F" w14:textId="518FF0EF" w:rsidR="007A3E3C" w:rsidRPr="00FF569F" w:rsidRDefault="006007F3" w:rsidP="007A3E3C">
            <w:pPr>
              <w:jc w:val="right"/>
              <w:rPr>
                <w:rFonts w:ascii="Arial" w:hAnsi="Arial" w:cs="Arial"/>
                <w:color w:val="000000"/>
                <w:sz w:val="14"/>
                <w:szCs w:val="14"/>
                <w:lang w:eastAsia="es-AR"/>
              </w:rPr>
            </w:pPr>
            <w:r>
              <w:rPr>
                <w:rFonts w:ascii="Arial" w:hAnsi="Arial" w:cs="Arial"/>
                <w:color w:val="000000"/>
                <w:sz w:val="14"/>
                <w:szCs w:val="14"/>
                <w:lang w:eastAsia="es-AR"/>
              </w:rPr>
              <w:t>148.250</w:t>
            </w:r>
            <w:r w:rsidR="007A3E3C" w:rsidRPr="00FF569F">
              <w:rPr>
                <w:rFonts w:ascii="Arial" w:hAnsi="Arial" w:cs="Arial"/>
                <w:color w:val="000000"/>
                <w:sz w:val="14"/>
                <w:szCs w:val="14"/>
                <w:lang w:eastAsia="es-AR"/>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72876390" w14:textId="1A1AE47B"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w:t>
            </w:r>
            <w:r w:rsidR="006007F3">
              <w:rPr>
                <w:rFonts w:ascii="Arial" w:hAnsi="Arial" w:cs="Arial"/>
                <w:color w:val="000000"/>
                <w:sz w:val="14"/>
                <w:szCs w:val="14"/>
                <w:lang w:eastAsia="es-AR"/>
              </w:rPr>
              <w:t>11.162)</w:t>
            </w:r>
          </w:p>
        </w:tc>
        <w:tc>
          <w:tcPr>
            <w:tcW w:w="968" w:type="dxa"/>
            <w:tcBorders>
              <w:top w:val="nil"/>
              <w:left w:val="nil"/>
              <w:bottom w:val="single" w:sz="4" w:space="0" w:color="auto"/>
              <w:right w:val="single" w:sz="4" w:space="0" w:color="auto"/>
            </w:tcBorders>
            <w:shd w:val="clear" w:color="auto" w:fill="auto"/>
            <w:noWrap/>
            <w:vAlign w:val="center"/>
            <w:hideMark/>
          </w:tcPr>
          <w:p w14:paraId="4F03732A" w14:textId="14BC0C7E"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w:t>
            </w:r>
            <w:r w:rsidR="00761631">
              <w:rPr>
                <w:rFonts w:ascii="Arial" w:hAnsi="Arial" w:cs="Arial"/>
                <w:color w:val="000000"/>
                <w:sz w:val="14"/>
                <w:szCs w:val="14"/>
                <w:lang w:eastAsia="es-AR"/>
              </w:rPr>
              <w:t>321.015</w:t>
            </w:r>
            <w:r w:rsidRPr="00FF569F">
              <w:rPr>
                <w:rFonts w:ascii="Arial" w:hAnsi="Arial" w:cs="Arial"/>
                <w:color w:val="000000"/>
                <w:sz w:val="14"/>
                <w:szCs w:val="14"/>
                <w:lang w:eastAsia="es-AR"/>
              </w:rPr>
              <w:t>)</w:t>
            </w:r>
          </w:p>
        </w:tc>
        <w:tc>
          <w:tcPr>
            <w:tcW w:w="591" w:type="dxa"/>
            <w:tcBorders>
              <w:top w:val="nil"/>
              <w:left w:val="nil"/>
              <w:bottom w:val="single" w:sz="4" w:space="0" w:color="auto"/>
              <w:right w:val="single" w:sz="4" w:space="0" w:color="auto"/>
            </w:tcBorders>
            <w:shd w:val="clear" w:color="auto" w:fill="auto"/>
            <w:noWrap/>
            <w:vAlign w:val="center"/>
            <w:hideMark/>
          </w:tcPr>
          <w:p w14:paraId="5265E2CE" w14:textId="0D37EE08" w:rsidR="007A3E3C" w:rsidRPr="00FF569F" w:rsidRDefault="00761631" w:rsidP="007A3E3C">
            <w:pPr>
              <w:jc w:val="right"/>
              <w:rPr>
                <w:rFonts w:ascii="Arial" w:hAnsi="Arial" w:cs="Arial"/>
                <w:color w:val="000000"/>
                <w:sz w:val="14"/>
                <w:szCs w:val="14"/>
                <w:lang w:eastAsia="es-AR"/>
              </w:rPr>
            </w:pPr>
            <w:r>
              <w:rPr>
                <w:rFonts w:ascii="Arial" w:hAnsi="Arial" w:cs="Arial"/>
                <w:color w:val="000000"/>
                <w:sz w:val="14"/>
                <w:szCs w:val="14"/>
                <w:lang w:eastAsia="es-AR"/>
              </w:rPr>
              <w:t>8.930</w:t>
            </w:r>
            <w:r w:rsidR="007A3E3C" w:rsidRPr="00FF569F">
              <w:rPr>
                <w:rFonts w:ascii="Arial" w:hAnsi="Arial" w:cs="Arial"/>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9BADCCB" w14:textId="35B35B7C"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(1</w:t>
            </w:r>
            <w:r w:rsidR="00761631">
              <w:rPr>
                <w:rFonts w:ascii="Arial" w:hAnsi="Arial" w:cs="Arial"/>
                <w:color w:val="000000"/>
                <w:sz w:val="14"/>
                <w:szCs w:val="14"/>
                <w:lang w:eastAsia="es-AR"/>
              </w:rPr>
              <w:t>21.380</w:t>
            </w:r>
            <w:r w:rsidRPr="00FF569F">
              <w:rPr>
                <w:rFonts w:ascii="Arial" w:hAnsi="Arial" w:cs="Arial"/>
                <w:color w:val="000000"/>
                <w:sz w:val="14"/>
                <w:szCs w:val="14"/>
                <w:lang w:eastAsia="es-AR"/>
              </w:rPr>
              <w:t>)</w:t>
            </w:r>
          </w:p>
        </w:tc>
        <w:tc>
          <w:tcPr>
            <w:tcW w:w="861" w:type="dxa"/>
            <w:tcBorders>
              <w:top w:val="nil"/>
              <w:left w:val="nil"/>
              <w:bottom w:val="single" w:sz="4" w:space="0" w:color="auto"/>
              <w:right w:val="single" w:sz="4" w:space="0" w:color="auto"/>
            </w:tcBorders>
            <w:shd w:val="clear" w:color="auto" w:fill="auto"/>
            <w:noWrap/>
            <w:vAlign w:val="center"/>
            <w:hideMark/>
          </w:tcPr>
          <w:p w14:paraId="00B51711" w14:textId="3CC96ED3"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w:t>
            </w:r>
            <w:r w:rsidR="00761631">
              <w:rPr>
                <w:rFonts w:ascii="Arial" w:hAnsi="Arial" w:cs="Arial"/>
                <w:color w:val="000000"/>
                <w:sz w:val="14"/>
                <w:szCs w:val="14"/>
                <w:lang w:eastAsia="es-AR"/>
              </w:rPr>
              <w:t>433.465</w:t>
            </w:r>
            <w:r w:rsidRPr="00FF569F">
              <w:rPr>
                <w:rFonts w:ascii="Arial" w:hAnsi="Arial" w:cs="Arial"/>
                <w:color w:val="000000"/>
                <w:sz w:val="14"/>
                <w:szCs w:val="14"/>
                <w:lang w:eastAsia="es-AR"/>
              </w:rPr>
              <w:t>)</w:t>
            </w:r>
          </w:p>
        </w:tc>
        <w:tc>
          <w:tcPr>
            <w:tcW w:w="844" w:type="dxa"/>
            <w:tcBorders>
              <w:top w:val="nil"/>
              <w:left w:val="nil"/>
              <w:bottom w:val="single" w:sz="4" w:space="0" w:color="auto"/>
              <w:right w:val="single" w:sz="4" w:space="0" w:color="auto"/>
            </w:tcBorders>
            <w:shd w:val="clear" w:color="auto" w:fill="auto"/>
            <w:noWrap/>
            <w:vAlign w:val="center"/>
            <w:hideMark/>
          </w:tcPr>
          <w:p w14:paraId="3E4286F2" w14:textId="16AD7922" w:rsidR="007A3E3C" w:rsidRPr="00FF569F" w:rsidRDefault="007A3E3C" w:rsidP="007A3E3C">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2</w:t>
            </w:r>
            <w:r w:rsidR="00761631">
              <w:rPr>
                <w:rFonts w:ascii="Arial" w:hAnsi="Arial" w:cs="Arial"/>
                <w:b/>
                <w:bCs/>
                <w:color w:val="000000"/>
                <w:sz w:val="14"/>
                <w:szCs w:val="14"/>
                <w:lang w:eastAsia="es-AR"/>
              </w:rPr>
              <w:t>68.535</w:t>
            </w:r>
            <w:r w:rsidRPr="00FF569F">
              <w:rPr>
                <w:rFonts w:ascii="Arial" w:hAnsi="Arial" w:cs="Arial"/>
                <w:b/>
                <w:bCs/>
                <w:color w:val="000000"/>
                <w:sz w:val="14"/>
                <w:szCs w:val="14"/>
                <w:lang w:eastAsia="es-AR"/>
              </w:rPr>
              <w:t xml:space="preserve"> </w:t>
            </w:r>
          </w:p>
        </w:tc>
      </w:tr>
      <w:tr w:rsidR="007A3E3C" w:rsidRPr="00FF569F" w14:paraId="3FE35563" w14:textId="77777777" w:rsidTr="00DE7C62">
        <w:trPr>
          <w:trHeight w:val="288"/>
        </w:trPr>
        <w:tc>
          <w:tcPr>
            <w:tcW w:w="1346" w:type="dxa"/>
            <w:tcBorders>
              <w:top w:val="nil"/>
              <w:left w:val="single" w:sz="4" w:space="0" w:color="auto"/>
              <w:bottom w:val="single" w:sz="4" w:space="0" w:color="auto"/>
              <w:right w:val="single" w:sz="4" w:space="0" w:color="auto"/>
            </w:tcBorders>
            <w:shd w:val="clear" w:color="auto" w:fill="auto"/>
            <w:vAlign w:val="center"/>
            <w:hideMark/>
          </w:tcPr>
          <w:p w14:paraId="3F8F8737" w14:textId="77777777" w:rsidR="007A3E3C" w:rsidRPr="00FF569F" w:rsidRDefault="007A3E3C" w:rsidP="007A3E3C">
            <w:pPr>
              <w:rPr>
                <w:rFonts w:ascii="Arial" w:hAnsi="Arial" w:cs="Arial"/>
                <w:color w:val="000000"/>
                <w:sz w:val="14"/>
                <w:szCs w:val="14"/>
                <w:lang w:eastAsia="es-AR"/>
              </w:rPr>
            </w:pPr>
            <w:r w:rsidRPr="00FF569F">
              <w:rPr>
                <w:rFonts w:ascii="Arial" w:hAnsi="Arial" w:cs="Arial"/>
                <w:color w:val="000000"/>
                <w:sz w:val="14"/>
                <w:szCs w:val="14"/>
                <w:lang w:eastAsia="es-AR"/>
              </w:rPr>
              <w:t>- Vehículos</w:t>
            </w:r>
          </w:p>
        </w:tc>
        <w:tc>
          <w:tcPr>
            <w:tcW w:w="851" w:type="dxa"/>
            <w:tcBorders>
              <w:top w:val="nil"/>
              <w:left w:val="nil"/>
              <w:bottom w:val="single" w:sz="4" w:space="0" w:color="auto"/>
              <w:right w:val="single" w:sz="4" w:space="0" w:color="auto"/>
            </w:tcBorders>
            <w:shd w:val="clear" w:color="auto" w:fill="auto"/>
            <w:noWrap/>
            <w:vAlign w:val="center"/>
            <w:hideMark/>
          </w:tcPr>
          <w:p w14:paraId="00431FC0" w14:textId="180CD715" w:rsidR="007A3E3C" w:rsidRPr="00FF569F" w:rsidRDefault="006007F3" w:rsidP="007A3E3C">
            <w:pPr>
              <w:jc w:val="right"/>
              <w:rPr>
                <w:rFonts w:ascii="Arial" w:hAnsi="Arial" w:cs="Arial"/>
                <w:b/>
                <w:bCs/>
                <w:color w:val="000000"/>
                <w:sz w:val="14"/>
                <w:szCs w:val="14"/>
                <w:lang w:eastAsia="es-AR"/>
              </w:rPr>
            </w:pPr>
            <w:r>
              <w:rPr>
                <w:rFonts w:ascii="Arial" w:hAnsi="Arial" w:cs="Arial"/>
                <w:b/>
                <w:bCs/>
                <w:color w:val="000000"/>
                <w:sz w:val="14"/>
                <w:szCs w:val="14"/>
                <w:lang w:eastAsia="es-AR"/>
              </w:rPr>
              <w:t>40.690</w:t>
            </w:r>
            <w:r w:rsidR="007A3E3C" w:rsidRPr="00FF569F">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2A25C944" w14:textId="77777777" w:rsidR="007A3E3C" w:rsidRPr="00FF569F" w:rsidRDefault="007A3E3C" w:rsidP="007A3E3C">
            <w:pPr>
              <w:jc w:val="center"/>
              <w:rPr>
                <w:rFonts w:ascii="Arial" w:hAnsi="Arial" w:cs="Arial"/>
                <w:color w:val="000000"/>
                <w:sz w:val="14"/>
                <w:szCs w:val="14"/>
                <w:lang w:eastAsia="es-AR"/>
              </w:rPr>
            </w:pPr>
            <w:r w:rsidRPr="00FF569F">
              <w:rPr>
                <w:rFonts w:ascii="Arial" w:hAnsi="Arial" w:cs="Arial"/>
                <w:color w:val="000000"/>
                <w:sz w:val="14"/>
                <w:szCs w:val="14"/>
                <w:lang w:eastAsia="es-AR"/>
              </w:rPr>
              <w:t xml:space="preserve">5 </w:t>
            </w:r>
          </w:p>
        </w:tc>
        <w:tc>
          <w:tcPr>
            <w:tcW w:w="992" w:type="dxa"/>
            <w:tcBorders>
              <w:top w:val="nil"/>
              <w:left w:val="nil"/>
              <w:bottom w:val="single" w:sz="4" w:space="0" w:color="auto"/>
              <w:right w:val="single" w:sz="4" w:space="0" w:color="auto"/>
            </w:tcBorders>
            <w:shd w:val="clear" w:color="auto" w:fill="auto"/>
            <w:vAlign w:val="center"/>
            <w:hideMark/>
          </w:tcPr>
          <w:p w14:paraId="06A6F83F" w14:textId="3F637961" w:rsidR="007A3E3C" w:rsidRPr="00FF569F" w:rsidRDefault="007A3E3C" w:rsidP="007A3E3C">
            <w:pPr>
              <w:jc w:val="center"/>
              <w:rPr>
                <w:color w:val="000000"/>
                <w:sz w:val="20"/>
                <w:lang w:eastAsia="es-AR"/>
              </w:rPr>
            </w:pPr>
            <w:r w:rsidRPr="00A0000C">
              <w:rPr>
                <w:rFonts w:ascii="Arial" w:hAnsi="Arial" w:cs="Arial"/>
                <w:color w:val="000000"/>
                <w:sz w:val="14"/>
                <w:szCs w:val="14"/>
                <w:lang w:eastAsia="es-AR"/>
              </w:rPr>
              <w:t>-</w:t>
            </w:r>
          </w:p>
        </w:tc>
        <w:tc>
          <w:tcPr>
            <w:tcW w:w="841" w:type="dxa"/>
            <w:tcBorders>
              <w:top w:val="nil"/>
              <w:left w:val="nil"/>
              <w:bottom w:val="single" w:sz="4" w:space="0" w:color="auto"/>
              <w:right w:val="single" w:sz="4" w:space="0" w:color="auto"/>
            </w:tcBorders>
            <w:shd w:val="clear" w:color="auto" w:fill="auto"/>
            <w:noWrap/>
            <w:vAlign w:val="center"/>
            <w:hideMark/>
          </w:tcPr>
          <w:p w14:paraId="4E8E2FC6" w14:textId="3FA41047" w:rsidR="007A3E3C" w:rsidRPr="00FF569F" w:rsidRDefault="006007F3" w:rsidP="007A3E3C">
            <w:pPr>
              <w:jc w:val="right"/>
              <w:rPr>
                <w:rFonts w:ascii="Arial" w:hAnsi="Arial" w:cs="Arial"/>
                <w:color w:val="000000"/>
                <w:sz w:val="14"/>
                <w:szCs w:val="14"/>
                <w:lang w:eastAsia="es-AR"/>
              </w:rPr>
            </w:pPr>
            <w:r>
              <w:rPr>
                <w:rFonts w:ascii="Arial" w:hAnsi="Arial" w:cs="Arial"/>
                <w:color w:val="000000"/>
                <w:sz w:val="14"/>
                <w:szCs w:val="14"/>
                <w:lang w:eastAsia="es-AR"/>
              </w:rPr>
              <w:t>34.382</w:t>
            </w:r>
            <w:r w:rsidR="007A3E3C" w:rsidRPr="00FF569F">
              <w:rPr>
                <w:rFonts w:ascii="Arial" w:hAnsi="Arial" w:cs="Arial"/>
                <w:color w:val="000000"/>
                <w:sz w:val="14"/>
                <w:szCs w:val="14"/>
                <w:lang w:eastAsia="es-AR"/>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3FCBA32F" w14:textId="141150DB"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(1</w:t>
            </w:r>
            <w:r w:rsidR="006007F3">
              <w:rPr>
                <w:rFonts w:ascii="Arial" w:hAnsi="Arial" w:cs="Arial"/>
                <w:color w:val="000000"/>
                <w:sz w:val="14"/>
                <w:szCs w:val="14"/>
                <w:lang w:eastAsia="es-AR"/>
              </w:rPr>
              <w:t>1.804)</w:t>
            </w:r>
          </w:p>
        </w:tc>
        <w:tc>
          <w:tcPr>
            <w:tcW w:w="968" w:type="dxa"/>
            <w:tcBorders>
              <w:top w:val="nil"/>
              <w:left w:val="nil"/>
              <w:bottom w:val="single" w:sz="4" w:space="0" w:color="auto"/>
              <w:right w:val="single" w:sz="4" w:space="0" w:color="auto"/>
            </w:tcBorders>
            <w:shd w:val="clear" w:color="auto" w:fill="auto"/>
            <w:noWrap/>
            <w:vAlign w:val="center"/>
            <w:hideMark/>
          </w:tcPr>
          <w:p w14:paraId="02401D44" w14:textId="7757ABF6"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(1</w:t>
            </w:r>
            <w:r w:rsidR="00761631">
              <w:rPr>
                <w:rFonts w:ascii="Arial" w:hAnsi="Arial" w:cs="Arial"/>
                <w:color w:val="000000"/>
                <w:sz w:val="14"/>
                <w:szCs w:val="14"/>
                <w:lang w:eastAsia="es-AR"/>
              </w:rPr>
              <w:t>4.242</w:t>
            </w:r>
            <w:r w:rsidRPr="00FF569F">
              <w:rPr>
                <w:rFonts w:ascii="Arial" w:hAnsi="Arial" w:cs="Arial"/>
                <w:color w:val="000000"/>
                <w:sz w:val="14"/>
                <w:szCs w:val="14"/>
                <w:lang w:eastAsia="es-AR"/>
              </w:rPr>
              <w:t>)</w:t>
            </w:r>
          </w:p>
        </w:tc>
        <w:tc>
          <w:tcPr>
            <w:tcW w:w="591" w:type="dxa"/>
            <w:tcBorders>
              <w:top w:val="nil"/>
              <w:left w:val="nil"/>
              <w:bottom w:val="single" w:sz="4" w:space="0" w:color="auto"/>
              <w:right w:val="single" w:sz="4" w:space="0" w:color="auto"/>
            </w:tcBorders>
            <w:shd w:val="clear" w:color="auto" w:fill="auto"/>
            <w:noWrap/>
            <w:vAlign w:val="center"/>
            <w:hideMark/>
          </w:tcPr>
          <w:p w14:paraId="70AF6F59" w14:textId="796CE45D" w:rsidR="007A3E3C" w:rsidRPr="00FF569F" w:rsidRDefault="00761631" w:rsidP="007A3E3C">
            <w:pPr>
              <w:jc w:val="right"/>
              <w:rPr>
                <w:rFonts w:ascii="Arial" w:hAnsi="Arial" w:cs="Arial"/>
                <w:color w:val="000000"/>
                <w:sz w:val="14"/>
                <w:szCs w:val="14"/>
                <w:lang w:eastAsia="es-AR"/>
              </w:rPr>
            </w:pPr>
            <w:r>
              <w:rPr>
                <w:rFonts w:ascii="Arial" w:hAnsi="Arial" w:cs="Arial"/>
                <w:color w:val="000000"/>
                <w:sz w:val="14"/>
                <w:szCs w:val="14"/>
                <w:lang w:eastAsia="es-AR"/>
              </w:rPr>
              <w:t>6.913</w:t>
            </w:r>
            <w:r w:rsidR="007A3E3C" w:rsidRPr="00FF569F">
              <w:rPr>
                <w:rFonts w:ascii="Arial" w:hAnsi="Arial" w:cs="Arial"/>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54FABA3" w14:textId="6181C87B"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(1</w:t>
            </w:r>
            <w:r w:rsidR="00761631">
              <w:rPr>
                <w:rFonts w:ascii="Arial" w:hAnsi="Arial" w:cs="Arial"/>
                <w:color w:val="000000"/>
                <w:sz w:val="14"/>
                <w:szCs w:val="14"/>
                <w:lang w:eastAsia="es-AR"/>
              </w:rPr>
              <w:t>1.369</w:t>
            </w:r>
            <w:r w:rsidRPr="00FF569F">
              <w:rPr>
                <w:rFonts w:ascii="Arial" w:hAnsi="Arial" w:cs="Arial"/>
                <w:color w:val="000000"/>
                <w:sz w:val="14"/>
                <w:szCs w:val="14"/>
                <w:lang w:eastAsia="es-AR"/>
              </w:rPr>
              <w:t>)</w:t>
            </w:r>
          </w:p>
        </w:tc>
        <w:tc>
          <w:tcPr>
            <w:tcW w:w="861" w:type="dxa"/>
            <w:tcBorders>
              <w:top w:val="nil"/>
              <w:left w:val="nil"/>
              <w:bottom w:val="single" w:sz="4" w:space="0" w:color="auto"/>
              <w:right w:val="single" w:sz="4" w:space="0" w:color="auto"/>
            </w:tcBorders>
            <w:shd w:val="clear" w:color="auto" w:fill="auto"/>
            <w:noWrap/>
            <w:vAlign w:val="center"/>
            <w:hideMark/>
          </w:tcPr>
          <w:p w14:paraId="2C7851D3" w14:textId="4AF50AE6"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w:t>
            </w:r>
            <w:r w:rsidR="00761631">
              <w:rPr>
                <w:rFonts w:ascii="Arial" w:hAnsi="Arial" w:cs="Arial"/>
                <w:color w:val="000000"/>
                <w:sz w:val="14"/>
                <w:szCs w:val="14"/>
                <w:lang w:eastAsia="es-AR"/>
              </w:rPr>
              <w:t>18.698</w:t>
            </w:r>
            <w:r w:rsidRPr="00FF569F">
              <w:rPr>
                <w:rFonts w:ascii="Arial" w:hAnsi="Arial" w:cs="Arial"/>
                <w:color w:val="000000"/>
                <w:sz w:val="14"/>
                <w:szCs w:val="14"/>
                <w:lang w:eastAsia="es-AR"/>
              </w:rPr>
              <w:t>)</w:t>
            </w:r>
          </w:p>
        </w:tc>
        <w:tc>
          <w:tcPr>
            <w:tcW w:w="844" w:type="dxa"/>
            <w:tcBorders>
              <w:top w:val="nil"/>
              <w:left w:val="nil"/>
              <w:bottom w:val="single" w:sz="4" w:space="0" w:color="auto"/>
              <w:right w:val="single" w:sz="4" w:space="0" w:color="auto"/>
            </w:tcBorders>
            <w:shd w:val="clear" w:color="auto" w:fill="auto"/>
            <w:noWrap/>
            <w:vAlign w:val="center"/>
            <w:hideMark/>
          </w:tcPr>
          <w:p w14:paraId="1EE7DBAE" w14:textId="35AFE8D4" w:rsidR="007A3E3C" w:rsidRPr="00FF569F" w:rsidRDefault="00761631" w:rsidP="007A3E3C">
            <w:pPr>
              <w:jc w:val="right"/>
              <w:rPr>
                <w:rFonts w:ascii="Arial" w:hAnsi="Arial" w:cs="Arial"/>
                <w:b/>
                <w:bCs/>
                <w:color w:val="000000"/>
                <w:sz w:val="14"/>
                <w:szCs w:val="14"/>
                <w:lang w:eastAsia="es-AR"/>
              </w:rPr>
            </w:pPr>
            <w:r>
              <w:rPr>
                <w:rFonts w:ascii="Arial" w:hAnsi="Arial" w:cs="Arial"/>
                <w:b/>
                <w:bCs/>
                <w:color w:val="000000"/>
                <w:sz w:val="14"/>
                <w:szCs w:val="14"/>
                <w:lang w:eastAsia="es-AR"/>
              </w:rPr>
              <w:t>44.570</w:t>
            </w:r>
            <w:r w:rsidR="007A3E3C" w:rsidRPr="00FF569F">
              <w:rPr>
                <w:rFonts w:ascii="Arial" w:hAnsi="Arial" w:cs="Arial"/>
                <w:b/>
                <w:bCs/>
                <w:color w:val="000000"/>
                <w:sz w:val="14"/>
                <w:szCs w:val="14"/>
                <w:lang w:eastAsia="es-AR"/>
              </w:rPr>
              <w:t xml:space="preserve"> </w:t>
            </w:r>
          </w:p>
        </w:tc>
      </w:tr>
      <w:tr w:rsidR="007A3E3C" w:rsidRPr="00FF569F" w14:paraId="26C0A3E8" w14:textId="77777777" w:rsidTr="00DE7C62">
        <w:trPr>
          <w:trHeight w:val="288"/>
        </w:trPr>
        <w:tc>
          <w:tcPr>
            <w:tcW w:w="1346" w:type="dxa"/>
            <w:tcBorders>
              <w:top w:val="nil"/>
              <w:left w:val="single" w:sz="4" w:space="0" w:color="auto"/>
              <w:bottom w:val="single" w:sz="4" w:space="0" w:color="auto"/>
              <w:right w:val="single" w:sz="4" w:space="0" w:color="auto"/>
            </w:tcBorders>
            <w:shd w:val="clear" w:color="auto" w:fill="auto"/>
            <w:vAlign w:val="center"/>
            <w:hideMark/>
          </w:tcPr>
          <w:p w14:paraId="0F4F9321" w14:textId="77777777" w:rsidR="007A3E3C" w:rsidRPr="00FF569F" w:rsidRDefault="007A3E3C" w:rsidP="007A3E3C">
            <w:pPr>
              <w:rPr>
                <w:rFonts w:ascii="Arial" w:hAnsi="Arial" w:cs="Arial"/>
                <w:color w:val="000000"/>
                <w:sz w:val="14"/>
                <w:szCs w:val="14"/>
                <w:lang w:eastAsia="es-AR"/>
              </w:rPr>
            </w:pPr>
            <w:r w:rsidRPr="00FF569F">
              <w:rPr>
                <w:rFonts w:ascii="Arial" w:hAnsi="Arial" w:cs="Arial"/>
                <w:color w:val="000000"/>
                <w:sz w:val="14"/>
                <w:szCs w:val="14"/>
                <w:lang w:eastAsia="es-AR"/>
              </w:rPr>
              <w:t>- Diversos</w:t>
            </w:r>
          </w:p>
        </w:tc>
        <w:tc>
          <w:tcPr>
            <w:tcW w:w="851" w:type="dxa"/>
            <w:tcBorders>
              <w:top w:val="nil"/>
              <w:left w:val="nil"/>
              <w:bottom w:val="single" w:sz="4" w:space="0" w:color="auto"/>
              <w:right w:val="single" w:sz="4" w:space="0" w:color="auto"/>
            </w:tcBorders>
            <w:shd w:val="clear" w:color="auto" w:fill="auto"/>
            <w:noWrap/>
            <w:vAlign w:val="center"/>
            <w:hideMark/>
          </w:tcPr>
          <w:p w14:paraId="7ACC1C7F" w14:textId="77777777" w:rsidR="007A3E3C" w:rsidRPr="00FF569F" w:rsidRDefault="007A3E3C" w:rsidP="007A3E3C">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 xml:space="preserve">304 </w:t>
            </w:r>
          </w:p>
        </w:tc>
        <w:tc>
          <w:tcPr>
            <w:tcW w:w="850" w:type="dxa"/>
            <w:tcBorders>
              <w:top w:val="nil"/>
              <w:left w:val="nil"/>
              <w:bottom w:val="single" w:sz="4" w:space="0" w:color="auto"/>
              <w:right w:val="single" w:sz="4" w:space="0" w:color="auto"/>
            </w:tcBorders>
            <w:shd w:val="clear" w:color="auto" w:fill="auto"/>
            <w:noWrap/>
            <w:vAlign w:val="center"/>
            <w:hideMark/>
          </w:tcPr>
          <w:p w14:paraId="036E273B" w14:textId="711F22AA" w:rsidR="007A3E3C" w:rsidRPr="00FF569F" w:rsidRDefault="007A3E3C" w:rsidP="007A3E3C">
            <w:pPr>
              <w:jc w:val="center"/>
              <w:rPr>
                <w:rFonts w:ascii="Arial" w:hAnsi="Arial" w:cs="Arial"/>
                <w:color w:val="000000"/>
                <w:sz w:val="14"/>
                <w:szCs w:val="14"/>
                <w:lang w:eastAsia="es-AR"/>
              </w:rPr>
            </w:pPr>
            <w:r w:rsidRPr="004F5C39">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vAlign w:val="center"/>
            <w:hideMark/>
          </w:tcPr>
          <w:p w14:paraId="33E3B5E9" w14:textId="663443EB" w:rsidR="007A3E3C" w:rsidRPr="00FF569F" w:rsidRDefault="007A3E3C" w:rsidP="007A3E3C">
            <w:pPr>
              <w:jc w:val="center"/>
              <w:rPr>
                <w:color w:val="000000"/>
                <w:sz w:val="20"/>
                <w:lang w:eastAsia="es-AR"/>
              </w:rPr>
            </w:pPr>
            <w:r w:rsidRPr="00A0000C">
              <w:rPr>
                <w:rFonts w:ascii="Arial" w:hAnsi="Arial" w:cs="Arial"/>
                <w:color w:val="000000"/>
                <w:sz w:val="14"/>
                <w:szCs w:val="14"/>
                <w:lang w:eastAsia="es-AR"/>
              </w:rPr>
              <w:t>-</w:t>
            </w:r>
          </w:p>
        </w:tc>
        <w:tc>
          <w:tcPr>
            <w:tcW w:w="841" w:type="dxa"/>
            <w:tcBorders>
              <w:top w:val="nil"/>
              <w:left w:val="nil"/>
              <w:bottom w:val="single" w:sz="4" w:space="0" w:color="auto"/>
              <w:right w:val="single" w:sz="4" w:space="0" w:color="auto"/>
            </w:tcBorders>
            <w:shd w:val="clear" w:color="auto" w:fill="auto"/>
            <w:noWrap/>
            <w:vAlign w:val="center"/>
            <w:hideMark/>
          </w:tcPr>
          <w:p w14:paraId="41C67D51" w14:textId="5A0A7281" w:rsidR="007A3E3C" w:rsidRPr="00FF569F" w:rsidRDefault="007A3E3C" w:rsidP="007A3E3C">
            <w:pPr>
              <w:jc w:val="right"/>
              <w:rPr>
                <w:rFonts w:ascii="Arial" w:hAnsi="Arial" w:cs="Arial"/>
                <w:color w:val="000000"/>
                <w:sz w:val="14"/>
                <w:szCs w:val="14"/>
                <w:lang w:eastAsia="es-AR"/>
              </w:rPr>
            </w:pPr>
            <w:r w:rsidRPr="00C50672">
              <w:rPr>
                <w:rFonts w:ascii="Arial" w:hAnsi="Arial" w:cs="Arial"/>
                <w:color w:val="000000"/>
                <w:sz w:val="14"/>
                <w:szCs w:val="14"/>
                <w:lang w:eastAsia="es-AR"/>
              </w:rPr>
              <w:t>-</w:t>
            </w:r>
          </w:p>
        </w:tc>
        <w:tc>
          <w:tcPr>
            <w:tcW w:w="851" w:type="dxa"/>
            <w:tcBorders>
              <w:top w:val="nil"/>
              <w:left w:val="nil"/>
              <w:bottom w:val="single" w:sz="4" w:space="0" w:color="auto"/>
              <w:right w:val="single" w:sz="4" w:space="0" w:color="auto"/>
            </w:tcBorders>
            <w:shd w:val="clear" w:color="auto" w:fill="auto"/>
            <w:noWrap/>
            <w:vAlign w:val="center"/>
            <w:hideMark/>
          </w:tcPr>
          <w:p w14:paraId="76C265D0" w14:textId="376B10A0" w:rsidR="007A3E3C" w:rsidRPr="00FF569F" w:rsidRDefault="007A3E3C" w:rsidP="007A3E3C">
            <w:pPr>
              <w:jc w:val="right"/>
              <w:rPr>
                <w:rFonts w:ascii="Arial" w:hAnsi="Arial" w:cs="Arial"/>
                <w:color w:val="000000"/>
                <w:sz w:val="14"/>
                <w:szCs w:val="14"/>
                <w:lang w:eastAsia="es-AR"/>
              </w:rPr>
            </w:pPr>
            <w:r w:rsidRPr="00C50672">
              <w:rPr>
                <w:rFonts w:ascii="Arial" w:hAnsi="Arial" w:cs="Arial"/>
                <w:color w:val="000000"/>
                <w:sz w:val="14"/>
                <w:szCs w:val="14"/>
                <w:lang w:eastAsia="es-AR"/>
              </w:rPr>
              <w:t>-</w:t>
            </w:r>
          </w:p>
        </w:tc>
        <w:tc>
          <w:tcPr>
            <w:tcW w:w="968" w:type="dxa"/>
            <w:tcBorders>
              <w:top w:val="nil"/>
              <w:left w:val="nil"/>
              <w:bottom w:val="single" w:sz="4" w:space="0" w:color="auto"/>
              <w:right w:val="single" w:sz="4" w:space="0" w:color="auto"/>
            </w:tcBorders>
            <w:shd w:val="clear" w:color="auto" w:fill="auto"/>
            <w:noWrap/>
            <w:vAlign w:val="center"/>
            <w:hideMark/>
          </w:tcPr>
          <w:p w14:paraId="1AC8D127" w14:textId="77777777"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(304)</w:t>
            </w:r>
          </w:p>
        </w:tc>
        <w:tc>
          <w:tcPr>
            <w:tcW w:w="591" w:type="dxa"/>
            <w:tcBorders>
              <w:top w:val="nil"/>
              <w:left w:val="nil"/>
              <w:bottom w:val="single" w:sz="4" w:space="0" w:color="auto"/>
              <w:right w:val="single" w:sz="4" w:space="0" w:color="auto"/>
            </w:tcBorders>
            <w:shd w:val="clear" w:color="auto" w:fill="auto"/>
            <w:noWrap/>
            <w:vAlign w:val="center"/>
            <w:hideMark/>
          </w:tcPr>
          <w:p w14:paraId="250C90EC" w14:textId="5E8B598C" w:rsidR="007A3E3C" w:rsidRPr="00FF569F" w:rsidRDefault="007A3E3C" w:rsidP="007A3E3C">
            <w:pPr>
              <w:jc w:val="right"/>
              <w:rPr>
                <w:rFonts w:ascii="Arial" w:hAnsi="Arial" w:cs="Arial"/>
                <w:color w:val="000000"/>
                <w:sz w:val="14"/>
                <w:szCs w:val="14"/>
                <w:lang w:eastAsia="es-AR"/>
              </w:rPr>
            </w:pPr>
            <w:r>
              <w:rPr>
                <w:rFonts w:ascii="Arial" w:hAnsi="Arial" w:cs="Arial"/>
                <w:color w:val="000000"/>
                <w:sz w:val="14"/>
                <w:szCs w:val="14"/>
                <w:lang w:eastAsia="es-AR"/>
              </w:rPr>
              <w:t>-</w:t>
            </w:r>
            <w:r w:rsidRPr="00FF569F">
              <w:rPr>
                <w:rFonts w:ascii="Arial" w:hAnsi="Arial" w:cs="Arial"/>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E2079B6" w14:textId="01ED2856" w:rsidR="007A3E3C" w:rsidRPr="00FF569F" w:rsidRDefault="007A3E3C" w:rsidP="007A3E3C">
            <w:pPr>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861" w:type="dxa"/>
            <w:tcBorders>
              <w:top w:val="nil"/>
              <w:left w:val="nil"/>
              <w:bottom w:val="single" w:sz="4" w:space="0" w:color="auto"/>
              <w:right w:val="single" w:sz="4" w:space="0" w:color="auto"/>
            </w:tcBorders>
            <w:shd w:val="clear" w:color="auto" w:fill="auto"/>
            <w:noWrap/>
            <w:vAlign w:val="center"/>
            <w:hideMark/>
          </w:tcPr>
          <w:p w14:paraId="6EEA1BFF" w14:textId="77777777"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(304)</w:t>
            </w:r>
          </w:p>
        </w:tc>
        <w:tc>
          <w:tcPr>
            <w:tcW w:w="844" w:type="dxa"/>
            <w:tcBorders>
              <w:top w:val="nil"/>
              <w:left w:val="nil"/>
              <w:bottom w:val="single" w:sz="4" w:space="0" w:color="auto"/>
              <w:right w:val="single" w:sz="4" w:space="0" w:color="auto"/>
            </w:tcBorders>
            <w:shd w:val="clear" w:color="auto" w:fill="auto"/>
            <w:noWrap/>
            <w:vAlign w:val="center"/>
            <w:hideMark/>
          </w:tcPr>
          <w:p w14:paraId="26410099" w14:textId="453D2EEF" w:rsidR="007A3E3C" w:rsidRPr="00FF569F" w:rsidRDefault="007A3E3C" w:rsidP="007A3E3C">
            <w:pPr>
              <w:jc w:val="right"/>
              <w:rPr>
                <w:rFonts w:ascii="Arial" w:hAnsi="Arial" w:cs="Arial"/>
                <w:b/>
                <w:bCs/>
                <w:color w:val="000000"/>
                <w:sz w:val="14"/>
                <w:szCs w:val="14"/>
                <w:lang w:eastAsia="es-AR"/>
              </w:rPr>
            </w:pPr>
            <w:r>
              <w:rPr>
                <w:rFonts w:ascii="Arial" w:hAnsi="Arial" w:cs="Arial"/>
                <w:color w:val="000000"/>
                <w:sz w:val="14"/>
                <w:szCs w:val="14"/>
                <w:lang w:eastAsia="es-AR"/>
              </w:rPr>
              <w:t>-</w:t>
            </w:r>
            <w:r w:rsidRPr="00FF569F">
              <w:rPr>
                <w:rFonts w:ascii="Arial" w:hAnsi="Arial" w:cs="Arial"/>
                <w:b/>
                <w:bCs/>
                <w:color w:val="000000"/>
                <w:sz w:val="14"/>
                <w:szCs w:val="14"/>
                <w:lang w:eastAsia="es-AR"/>
              </w:rPr>
              <w:t xml:space="preserve"> </w:t>
            </w:r>
          </w:p>
        </w:tc>
      </w:tr>
      <w:tr w:rsidR="007A3E3C" w:rsidRPr="00FF569F" w14:paraId="4255BC63" w14:textId="77777777" w:rsidTr="00DE7C62">
        <w:trPr>
          <w:trHeight w:val="288"/>
        </w:trPr>
        <w:tc>
          <w:tcPr>
            <w:tcW w:w="1346" w:type="dxa"/>
            <w:tcBorders>
              <w:top w:val="nil"/>
              <w:left w:val="single" w:sz="4" w:space="0" w:color="auto"/>
              <w:bottom w:val="single" w:sz="4" w:space="0" w:color="auto"/>
              <w:right w:val="single" w:sz="4" w:space="0" w:color="auto"/>
            </w:tcBorders>
            <w:shd w:val="clear" w:color="auto" w:fill="auto"/>
            <w:vAlign w:val="center"/>
            <w:hideMark/>
          </w:tcPr>
          <w:p w14:paraId="475CC935" w14:textId="77777777" w:rsidR="007A3E3C" w:rsidRPr="00FF569F" w:rsidRDefault="007A3E3C" w:rsidP="007A3E3C">
            <w:pPr>
              <w:rPr>
                <w:rFonts w:ascii="Arial" w:hAnsi="Arial" w:cs="Arial"/>
                <w:color w:val="000000"/>
                <w:sz w:val="14"/>
                <w:szCs w:val="14"/>
                <w:lang w:eastAsia="es-AR"/>
              </w:rPr>
            </w:pPr>
            <w:r w:rsidRPr="00FF569F">
              <w:rPr>
                <w:rFonts w:ascii="Arial" w:hAnsi="Arial" w:cs="Arial"/>
                <w:color w:val="000000"/>
                <w:sz w:val="14"/>
                <w:szCs w:val="14"/>
                <w:lang w:eastAsia="es-AR"/>
              </w:rPr>
              <w:t>- Obras en curso</w:t>
            </w:r>
          </w:p>
        </w:tc>
        <w:tc>
          <w:tcPr>
            <w:tcW w:w="851" w:type="dxa"/>
            <w:tcBorders>
              <w:top w:val="nil"/>
              <w:left w:val="nil"/>
              <w:bottom w:val="single" w:sz="4" w:space="0" w:color="auto"/>
              <w:right w:val="single" w:sz="4" w:space="0" w:color="auto"/>
            </w:tcBorders>
            <w:shd w:val="clear" w:color="auto" w:fill="auto"/>
            <w:noWrap/>
            <w:vAlign w:val="center"/>
            <w:hideMark/>
          </w:tcPr>
          <w:p w14:paraId="4D9FCC7F" w14:textId="3883ED99" w:rsidR="007A3E3C" w:rsidRPr="00FF569F" w:rsidRDefault="007A3E3C" w:rsidP="007A3E3C">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2</w:t>
            </w:r>
            <w:r w:rsidR="006007F3">
              <w:rPr>
                <w:rFonts w:ascii="Arial" w:hAnsi="Arial" w:cs="Arial"/>
                <w:b/>
                <w:bCs/>
                <w:color w:val="000000"/>
                <w:sz w:val="14"/>
                <w:szCs w:val="14"/>
                <w:lang w:eastAsia="es-AR"/>
              </w:rPr>
              <w:t>79.658</w:t>
            </w:r>
            <w:r w:rsidRPr="00FF569F">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0675009A" w14:textId="560FBFC2" w:rsidR="007A3E3C" w:rsidRPr="00FF569F" w:rsidRDefault="007A3E3C" w:rsidP="007A3E3C">
            <w:pPr>
              <w:jc w:val="center"/>
              <w:rPr>
                <w:rFonts w:ascii="Arial" w:hAnsi="Arial" w:cs="Arial"/>
                <w:color w:val="000000"/>
                <w:sz w:val="14"/>
                <w:szCs w:val="14"/>
                <w:lang w:eastAsia="es-AR"/>
              </w:rPr>
            </w:pPr>
            <w:r w:rsidRPr="004F5C39">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vAlign w:val="center"/>
            <w:hideMark/>
          </w:tcPr>
          <w:p w14:paraId="51A4CCF7" w14:textId="7E1E8BB9" w:rsidR="007A3E3C" w:rsidRPr="00FF569F" w:rsidRDefault="007A3E3C" w:rsidP="007A3E3C">
            <w:pPr>
              <w:jc w:val="center"/>
              <w:rPr>
                <w:color w:val="000000"/>
                <w:sz w:val="20"/>
                <w:lang w:eastAsia="es-AR"/>
              </w:rPr>
            </w:pPr>
            <w:r w:rsidRPr="00A0000C">
              <w:rPr>
                <w:rFonts w:ascii="Arial" w:hAnsi="Arial" w:cs="Arial"/>
                <w:color w:val="000000"/>
                <w:sz w:val="14"/>
                <w:szCs w:val="14"/>
                <w:lang w:eastAsia="es-AR"/>
              </w:rPr>
              <w:t>-</w:t>
            </w:r>
          </w:p>
        </w:tc>
        <w:tc>
          <w:tcPr>
            <w:tcW w:w="841" w:type="dxa"/>
            <w:tcBorders>
              <w:top w:val="nil"/>
              <w:left w:val="nil"/>
              <w:bottom w:val="single" w:sz="4" w:space="0" w:color="auto"/>
              <w:right w:val="single" w:sz="4" w:space="0" w:color="auto"/>
            </w:tcBorders>
            <w:shd w:val="clear" w:color="auto" w:fill="auto"/>
            <w:noWrap/>
            <w:vAlign w:val="center"/>
            <w:hideMark/>
          </w:tcPr>
          <w:p w14:paraId="3A580256" w14:textId="383EE598" w:rsidR="007A3E3C" w:rsidRPr="00FF569F" w:rsidRDefault="006007F3" w:rsidP="007A3E3C">
            <w:pPr>
              <w:jc w:val="right"/>
              <w:rPr>
                <w:rFonts w:ascii="Arial" w:hAnsi="Arial" w:cs="Arial"/>
                <w:color w:val="000000"/>
                <w:sz w:val="14"/>
                <w:szCs w:val="14"/>
                <w:lang w:eastAsia="es-AR"/>
              </w:rPr>
            </w:pPr>
            <w:r>
              <w:rPr>
                <w:rFonts w:ascii="Arial" w:hAnsi="Arial" w:cs="Arial"/>
                <w:color w:val="000000"/>
                <w:sz w:val="14"/>
                <w:szCs w:val="14"/>
                <w:lang w:eastAsia="es-AR"/>
              </w:rPr>
              <w:t>103.280</w:t>
            </w:r>
            <w:r w:rsidR="007A3E3C" w:rsidRPr="00FF569F">
              <w:rPr>
                <w:rFonts w:ascii="Arial" w:hAnsi="Arial" w:cs="Arial"/>
                <w:color w:val="000000"/>
                <w:sz w:val="14"/>
                <w:szCs w:val="14"/>
                <w:lang w:eastAsia="es-AR"/>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5D5E7894" w14:textId="5FFAB7FB" w:rsidR="007A3E3C" w:rsidRPr="00FF569F" w:rsidRDefault="007A3E3C" w:rsidP="007A3E3C">
            <w:pPr>
              <w:jc w:val="right"/>
              <w:rPr>
                <w:rFonts w:ascii="Arial" w:hAnsi="Arial" w:cs="Arial"/>
                <w:color w:val="000000"/>
                <w:sz w:val="14"/>
                <w:szCs w:val="14"/>
                <w:lang w:eastAsia="es-AR"/>
              </w:rPr>
            </w:pPr>
            <w:r w:rsidRPr="00FF569F">
              <w:rPr>
                <w:rFonts w:ascii="Arial" w:hAnsi="Arial" w:cs="Arial"/>
                <w:color w:val="000000"/>
                <w:sz w:val="14"/>
                <w:szCs w:val="14"/>
                <w:lang w:eastAsia="es-AR"/>
              </w:rPr>
              <w:t>(1</w:t>
            </w:r>
            <w:r w:rsidR="006007F3">
              <w:rPr>
                <w:rFonts w:ascii="Arial" w:hAnsi="Arial" w:cs="Arial"/>
                <w:color w:val="000000"/>
                <w:sz w:val="14"/>
                <w:szCs w:val="14"/>
                <w:lang w:eastAsia="es-AR"/>
              </w:rPr>
              <w:t>31.675)</w:t>
            </w:r>
          </w:p>
        </w:tc>
        <w:tc>
          <w:tcPr>
            <w:tcW w:w="968" w:type="dxa"/>
            <w:tcBorders>
              <w:top w:val="nil"/>
              <w:left w:val="nil"/>
              <w:bottom w:val="single" w:sz="4" w:space="0" w:color="auto"/>
              <w:right w:val="single" w:sz="4" w:space="0" w:color="auto"/>
            </w:tcBorders>
            <w:shd w:val="clear" w:color="auto" w:fill="auto"/>
            <w:noWrap/>
            <w:vAlign w:val="center"/>
            <w:hideMark/>
          </w:tcPr>
          <w:p w14:paraId="0C44AFB8" w14:textId="606CD23F" w:rsidR="007A3E3C" w:rsidRPr="00FF569F" w:rsidRDefault="007A3E3C" w:rsidP="007A3E3C">
            <w:pPr>
              <w:jc w:val="right"/>
              <w:rPr>
                <w:rFonts w:ascii="Arial" w:hAnsi="Arial" w:cs="Arial"/>
                <w:color w:val="000000"/>
                <w:sz w:val="14"/>
                <w:szCs w:val="14"/>
                <w:lang w:eastAsia="es-AR"/>
              </w:rPr>
            </w:pPr>
            <w:r w:rsidRPr="004B2003">
              <w:rPr>
                <w:rFonts w:ascii="Arial" w:hAnsi="Arial" w:cs="Arial"/>
                <w:color w:val="000000"/>
                <w:sz w:val="14"/>
                <w:szCs w:val="14"/>
                <w:lang w:eastAsia="es-AR"/>
              </w:rPr>
              <w:t>-</w:t>
            </w:r>
          </w:p>
        </w:tc>
        <w:tc>
          <w:tcPr>
            <w:tcW w:w="591" w:type="dxa"/>
            <w:tcBorders>
              <w:top w:val="nil"/>
              <w:left w:val="nil"/>
              <w:bottom w:val="single" w:sz="4" w:space="0" w:color="auto"/>
              <w:right w:val="single" w:sz="4" w:space="0" w:color="auto"/>
            </w:tcBorders>
            <w:shd w:val="clear" w:color="auto" w:fill="auto"/>
            <w:noWrap/>
            <w:vAlign w:val="center"/>
            <w:hideMark/>
          </w:tcPr>
          <w:p w14:paraId="4215D32D" w14:textId="7CE647A9" w:rsidR="007A3E3C" w:rsidRPr="00FF569F" w:rsidRDefault="007A3E3C" w:rsidP="007A3E3C">
            <w:pPr>
              <w:jc w:val="right"/>
              <w:rPr>
                <w:rFonts w:ascii="Arial" w:hAnsi="Arial" w:cs="Arial"/>
                <w:color w:val="000000"/>
                <w:sz w:val="14"/>
                <w:szCs w:val="14"/>
                <w:lang w:eastAsia="es-AR"/>
              </w:rPr>
            </w:pPr>
            <w:r w:rsidRPr="004B2003">
              <w:rPr>
                <w:rFonts w:ascii="Arial" w:hAnsi="Arial" w:cs="Arial"/>
                <w:color w:val="000000"/>
                <w:sz w:val="14"/>
                <w:szCs w:val="14"/>
                <w:lang w:eastAsia="es-AR"/>
              </w:rPr>
              <w:t>-</w:t>
            </w:r>
          </w:p>
        </w:tc>
        <w:tc>
          <w:tcPr>
            <w:tcW w:w="850" w:type="dxa"/>
            <w:tcBorders>
              <w:top w:val="nil"/>
              <w:left w:val="nil"/>
              <w:bottom w:val="single" w:sz="4" w:space="0" w:color="auto"/>
              <w:right w:val="single" w:sz="4" w:space="0" w:color="auto"/>
            </w:tcBorders>
            <w:shd w:val="clear" w:color="auto" w:fill="auto"/>
            <w:noWrap/>
            <w:vAlign w:val="center"/>
            <w:hideMark/>
          </w:tcPr>
          <w:p w14:paraId="5A533B10" w14:textId="32EE58AD" w:rsidR="007A3E3C" w:rsidRPr="00FF569F" w:rsidRDefault="007A3E3C" w:rsidP="007A3E3C">
            <w:pPr>
              <w:jc w:val="right"/>
              <w:rPr>
                <w:rFonts w:ascii="Arial" w:hAnsi="Arial" w:cs="Arial"/>
                <w:color w:val="000000"/>
                <w:sz w:val="14"/>
                <w:szCs w:val="14"/>
                <w:lang w:eastAsia="es-AR"/>
              </w:rPr>
            </w:pPr>
            <w:r w:rsidRPr="004B2003">
              <w:rPr>
                <w:rFonts w:ascii="Arial" w:hAnsi="Arial" w:cs="Arial"/>
                <w:color w:val="000000"/>
                <w:sz w:val="14"/>
                <w:szCs w:val="14"/>
                <w:lang w:eastAsia="es-AR"/>
              </w:rPr>
              <w:t>-</w:t>
            </w:r>
          </w:p>
        </w:tc>
        <w:tc>
          <w:tcPr>
            <w:tcW w:w="861" w:type="dxa"/>
            <w:tcBorders>
              <w:top w:val="nil"/>
              <w:left w:val="nil"/>
              <w:bottom w:val="single" w:sz="4" w:space="0" w:color="auto"/>
              <w:right w:val="single" w:sz="4" w:space="0" w:color="auto"/>
            </w:tcBorders>
            <w:shd w:val="clear" w:color="auto" w:fill="auto"/>
            <w:noWrap/>
            <w:vAlign w:val="center"/>
            <w:hideMark/>
          </w:tcPr>
          <w:p w14:paraId="460DCD39" w14:textId="520A8228" w:rsidR="007A3E3C" w:rsidRPr="00FF569F" w:rsidRDefault="007A3E3C" w:rsidP="007A3E3C">
            <w:pPr>
              <w:jc w:val="right"/>
              <w:rPr>
                <w:rFonts w:ascii="Arial" w:hAnsi="Arial" w:cs="Arial"/>
                <w:color w:val="000000"/>
                <w:sz w:val="14"/>
                <w:szCs w:val="14"/>
                <w:lang w:eastAsia="es-AR"/>
              </w:rPr>
            </w:pPr>
            <w:r w:rsidRPr="004B2003">
              <w:rPr>
                <w:rFonts w:ascii="Arial" w:hAnsi="Arial" w:cs="Arial"/>
                <w:color w:val="000000"/>
                <w:sz w:val="14"/>
                <w:szCs w:val="14"/>
                <w:lang w:eastAsia="es-AR"/>
              </w:rPr>
              <w:t>-</w:t>
            </w:r>
          </w:p>
        </w:tc>
        <w:tc>
          <w:tcPr>
            <w:tcW w:w="844" w:type="dxa"/>
            <w:tcBorders>
              <w:top w:val="nil"/>
              <w:left w:val="nil"/>
              <w:bottom w:val="single" w:sz="4" w:space="0" w:color="auto"/>
              <w:right w:val="single" w:sz="4" w:space="0" w:color="auto"/>
            </w:tcBorders>
            <w:shd w:val="clear" w:color="auto" w:fill="auto"/>
            <w:noWrap/>
            <w:vAlign w:val="center"/>
            <w:hideMark/>
          </w:tcPr>
          <w:p w14:paraId="1A86D994" w14:textId="30710821" w:rsidR="007A3E3C" w:rsidRPr="00FF569F" w:rsidRDefault="007A3E3C" w:rsidP="007A3E3C">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2</w:t>
            </w:r>
            <w:r w:rsidR="00761631">
              <w:rPr>
                <w:rFonts w:ascii="Arial" w:hAnsi="Arial" w:cs="Arial"/>
                <w:b/>
                <w:bCs/>
                <w:color w:val="000000"/>
                <w:sz w:val="14"/>
                <w:szCs w:val="14"/>
                <w:lang w:eastAsia="es-AR"/>
              </w:rPr>
              <w:t>51.263</w:t>
            </w:r>
            <w:r w:rsidRPr="00FF569F">
              <w:rPr>
                <w:rFonts w:ascii="Arial" w:hAnsi="Arial" w:cs="Arial"/>
                <w:b/>
                <w:bCs/>
                <w:color w:val="000000"/>
                <w:sz w:val="14"/>
                <w:szCs w:val="14"/>
                <w:lang w:eastAsia="es-AR"/>
              </w:rPr>
              <w:t xml:space="preserve"> </w:t>
            </w:r>
          </w:p>
        </w:tc>
      </w:tr>
      <w:tr w:rsidR="00EA13E3" w:rsidRPr="00FF569F" w14:paraId="00A551C8" w14:textId="77777777" w:rsidTr="00DE7C62">
        <w:trPr>
          <w:trHeight w:val="288"/>
        </w:trPr>
        <w:tc>
          <w:tcPr>
            <w:tcW w:w="1346" w:type="dxa"/>
            <w:tcBorders>
              <w:top w:val="nil"/>
              <w:left w:val="single" w:sz="4" w:space="0" w:color="auto"/>
              <w:bottom w:val="single" w:sz="4" w:space="0" w:color="auto"/>
              <w:right w:val="nil"/>
            </w:tcBorders>
            <w:shd w:val="clear" w:color="auto" w:fill="auto"/>
            <w:vAlign w:val="center"/>
            <w:hideMark/>
          </w:tcPr>
          <w:p w14:paraId="6E28EF97"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Modelo de revaluación</w:t>
            </w:r>
          </w:p>
        </w:tc>
        <w:tc>
          <w:tcPr>
            <w:tcW w:w="851" w:type="dxa"/>
            <w:tcBorders>
              <w:top w:val="nil"/>
              <w:left w:val="nil"/>
              <w:bottom w:val="single" w:sz="4" w:space="0" w:color="auto"/>
              <w:right w:val="nil"/>
            </w:tcBorders>
            <w:shd w:val="clear" w:color="auto" w:fill="auto"/>
            <w:vAlign w:val="center"/>
            <w:hideMark/>
          </w:tcPr>
          <w:p w14:paraId="337C5497"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 </w:t>
            </w:r>
          </w:p>
        </w:tc>
        <w:tc>
          <w:tcPr>
            <w:tcW w:w="850" w:type="dxa"/>
            <w:tcBorders>
              <w:top w:val="nil"/>
              <w:left w:val="nil"/>
              <w:bottom w:val="single" w:sz="4" w:space="0" w:color="auto"/>
              <w:right w:val="nil"/>
            </w:tcBorders>
            <w:shd w:val="clear" w:color="auto" w:fill="auto"/>
            <w:vAlign w:val="center"/>
            <w:hideMark/>
          </w:tcPr>
          <w:p w14:paraId="43C5EB83"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 </w:t>
            </w:r>
          </w:p>
        </w:tc>
        <w:tc>
          <w:tcPr>
            <w:tcW w:w="992" w:type="dxa"/>
            <w:tcBorders>
              <w:top w:val="nil"/>
              <w:left w:val="nil"/>
              <w:bottom w:val="single" w:sz="4" w:space="0" w:color="auto"/>
              <w:right w:val="nil"/>
            </w:tcBorders>
            <w:shd w:val="clear" w:color="auto" w:fill="auto"/>
            <w:vAlign w:val="center"/>
            <w:hideMark/>
          </w:tcPr>
          <w:p w14:paraId="1AE8E572"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 </w:t>
            </w:r>
          </w:p>
        </w:tc>
        <w:tc>
          <w:tcPr>
            <w:tcW w:w="841" w:type="dxa"/>
            <w:tcBorders>
              <w:top w:val="nil"/>
              <w:left w:val="nil"/>
              <w:bottom w:val="single" w:sz="4" w:space="0" w:color="auto"/>
              <w:right w:val="nil"/>
            </w:tcBorders>
            <w:shd w:val="clear" w:color="auto" w:fill="auto"/>
            <w:vAlign w:val="center"/>
            <w:hideMark/>
          </w:tcPr>
          <w:p w14:paraId="73B70C9E"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 </w:t>
            </w:r>
          </w:p>
        </w:tc>
        <w:tc>
          <w:tcPr>
            <w:tcW w:w="851" w:type="dxa"/>
            <w:tcBorders>
              <w:top w:val="nil"/>
              <w:left w:val="nil"/>
              <w:bottom w:val="single" w:sz="4" w:space="0" w:color="auto"/>
              <w:right w:val="nil"/>
            </w:tcBorders>
            <w:shd w:val="clear" w:color="auto" w:fill="auto"/>
            <w:vAlign w:val="center"/>
            <w:hideMark/>
          </w:tcPr>
          <w:p w14:paraId="506C112B"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 </w:t>
            </w:r>
          </w:p>
        </w:tc>
        <w:tc>
          <w:tcPr>
            <w:tcW w:w="968" w:type="dxa"/>
            <w:tcBorders>
              <w:top w:val="nil"/>
              <w:left w:val="nil"/>
              <w:bottom w:val="single" w:sz="4" w:space="0" w:color="auto"/>
              <w:right w:val="nil"/>
            </w:tcBorders>
            <w:shd w:val="clear" w:color="auto" w:fill="auto"/>
            <w:vAlign w:val="center"/>
            <w:hideMark/>
          </w:tcPr>
          <w:p w14:paraId="5CDB7D8E"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 </w:t>
            </w:r>
          </w:p>
        </w:tc>
        <w:tc>
          <w:tcPr>
            <w:tcW w:w="591" w:type="dxa"/>
            <w:tcBorders>
              <w:top w:val="nil"/>
              <w:left w:val="nil"/>
              <w:bottom w:val="single" w:sz="4" w:space="0" w:color="auto"/>
              <w:right w:val="nil"/>
            </w:tcBorders>
            <w:shd w:val="clear" w:color="auto" w:fill="auto"/>
            <w:vAlign w:val="center"/>
            <w:hideMark/>
          </w:tcPr>
          <w:p w14:paraId="6B6C8FBE"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 </w:t>
            </w:r>
          </w:p>
        </w:tc>
        <w:tc>
          <w:tcPr>
            <w:tcW w:w="850" w:type="dxa"/>
            <w:tcBorders>
              <w:top w:val="nil"/>
              <w:left w:val="nil"/>
              <w:bottom w:val="single" w:sz="4" w:space="0" w:color="auto"/>
              <w:right w:val="nil"/>
            </w:tcBorders>
            <w:shd w:val="clear" w:color="auto" w:fill="auto"/>
            <w:vAlign w:val="center"/>
            <w:hideMark/>
          </w:tcPr>
          <w:p w14:paraId="3ED36016"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 </w:t>
            </w:r>
          </w:p>
        </w:tc>
        <w:tc>
          <w:tcPr>
            <w:tcW w:w="861" w:type="dxa"/>
            <w:tcBorders>
              <w:top w:val="nil"/>
              <w:left w:val="nil"/>
              <w:bottom w:val="single" w:sz="4" w:space="0" w:color="auto"/>
              <w:right w:val="nil"/>
            </w:tcBorders>
            <w:shd w:val="clear" w:color="auto" w:fill="auto"/>
            <w:vAlign w:val="center"/>
            <w:hideMark/>
          </w:tcPr>
          <w:p w14:paraId="4E1A13C4"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 </w:t>
            </w:r>
          </w:p>
        </w:tc>
        <w:tc>
          <w:tcPr>
            <w:tcW w:w="844" w:type="dxa"/>
            <w:tcBorders>
              <w:top w:val="nil"/>
              <w:left w:val="nil"/>
              <w:bottom w:val="single" w:sz="4" w:space="0" w:color="auto"/>
              <w:right w:val="single" w:sz="4" w:space="0" w:color="auto"/>
            </w:tcBorders>
            <w:shd w:val="clear" w:color="auto" w:fill="auto"/>
            <w:vAlign w:val="center"/>
            <w:hideMark/>
          </w:tcPr>
          <w:p w14:paraId="597535FF"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 </w:t>
            </w:r>
          </w:p>
        </w:tc>
      </w:tr>
      <w:tr w:rsidR="00EA13E3" w:rsidRPr="00FF569F" w14:paraId="72048F5E" w14:textId="77777777" w:rsidTr="00DE7C62">
        <w:trPr>
          <w:trHeight w:val="288"/>
        </w:trPr>
        <w:tc>
          <w:tcPr>
            <w:tcW w:w="1346" w:type="dxa"/>
            <w:tcBorders>
              <w:top w:val="nil"/>
              <w:left w:val="single" w:sz="4" w:space="0" w:color="auto"/>
              <w:bottom w:val="single" w:sz="4" w:space="0" w:color="auto"/>
              <w:right w:val="single" w:sz="4" w:space="0" w:color="auto"/>
            </w:tcBorders>
            <w:shd w:val="clear" w:color="auto" w:fill="auto"/>
            <w:vAlign w:val="center"/>
            <w:hideMark/>
          </w:tcPr>
          <w:p w14:paraId="613F0679" w14:textId="77777777" w:rsidR="00FF569F" w:rsidRPr="00FF569F" w:rsidRDefault="00FF569F" w:rsidP="00FF569F">
            <w:pPr>
              <w:rPr>
                <w:rFonts w:ascii="Arial" w:hAnsi="Arial" w:cs="Arial"/>
                <w:color w:val="000000"/>
                <w:sz w:val="14"/>
                <w:szCs w:val="14"/>
                <w:lang w:eastAsia="es-AR"/>
              </w:rPr>
            </w:pPr>
            <w:r w:rsidRPr="00FF569F">
              <w:rPr>
                <w:rFonts w:ascii="Arial" w:hAnsi="Arial" w:cs="Arial"/>
                <w:color w:val="000000"/>
                <w:sz w:val="14"/>
                <w:szCs w:val="14"/>
                <w:lang w:eastAsia="es-AR"/>
              </w:rPr>
              <w:t>- Inmuebles</w:t>
            </w:r>
          </w:p>
        </w:tc>
        <w:tc>
          <w:tcPr>
            <w:tcW w:w="851" w:type="dxa"/>
            <w:tcBorders>
              <w:top w:val="nil"/>
              <w:left w:val="nil"/>
              <w:bottom w:val="single" w:sz="4" w:space="0" w:color="auto"/>
              <w:right w:val="single" w:sz="4" w:space="0" w:color="auto"/>
            </w:tcBorders>
            <w:shd w:val="clear" w:color="auto" w:fill="auto"/>
            <w:noWrap/>
            <w:vAlign w:val="center"/>
            <w:hideMark/>
          </w:tcPr>
          <w:p w14:paraId="49E83F3A" w14:textId="7B519BB2" w:rsidR="00FF569F" w:rsidRPr="00FF569F" w:rsidRDefault="006007F3" w:rsidP="00FF569F">
            <w:pPr>
              <w:jc w:val="right"/>
              <w:rPr>
                <w:rFonts w:ascii="Arial" w:hAnsi="Arial" w:cs="Arial"/>
                <w:b/>
                <w:bCs/>
                <w:color w:val="000000"/>
                <w:sz w:val="14"/>
                <w:szCs w:val="14"/>
                <w:lang w:eastAsia="es-AR"/>
              </w:rPr>
            </w:pPr>
            <w:r>
              <w:rPr>
                <w:rFonts w:ascii="Arial" w:hAnsi="Arial" w:cs="Arial"/>
                <w:b/>
                <w:bCs/>
                <w:color w:val="000000"/>
                <w:sz w:val="14"/>
                <w:szCs w:val="14"/>
                <w:lang w:eastAsia="es-AR"/>
              </w:rPr>
              <w:t>570.643</w:t>
            </w:r>
            <w:r w:rsidR="00FF569F" w:rsidRPr="00FF569F">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DCE6F41" w14:textId="77777777" w:rsidR="00FF569F" w:rsidRPr="00FF569F" w:rsidRDefault="00FF569F" w:rsidP="00FF569F">
            <w:pPr>
              <w:jc w:val="center"/>
              <w:rPr>
                <w:rFonts w:ascii="Arial" w:hAnsi="Arial" w:cs="Arial"/>
                <w:color w:val="000000"/>
                <w:sz w:val="14"/>
                <w:szCs w:val="14"/>
                <w:lang w:eastAsia="es-AR"/>
              </w:rPr>
            </w:pPr>
            <w:r w:rsidRPr="00FF569F">
              <w:rPr>
                <w:rFonts w:ascii="Arial" w:hAnsi="Arial" w:cs="Arial"/>
                <w:color w:val="000000"/>
                <w:sz w:val="14"/>
                <w:szCs w:val="14"/>
                <w:lang w:eastAsia="es-AR"/>
              </w:rPr>
              <w:t xml:space="preserve">50 </w:t>
            </w:r>
          </w:p>
        </w:tc>
        <w:tc>
          <w:tcPr>
            <w:tcW w:w="992" w:type="dxa"/>
            <w:tcBorders>
              <w:top w:val="nil"/>
              <w:left w:val="nil"/>
              <w:bottom w:val="single" w:sz="4" w:space="0" w:color="auto"/>
              <w:right w:val="single" w:sz="4" w:space="0" w:color="auto"/>
            </w:tcBorders>
            <w:shd w:val="clear" w:color="auto" w:fill="auto"/>
            <w:noWrap/>
            <w:vAlign w:val="center"/>
            <w:hideMark/>
          </w:tcPr>
          <w:p w14:paraId="238F12FE" w14:textId="04CF0756" w:rsidR="00FF569F" w:rsidRPr="00FF569F" w:rsidRDefault="00FF569F" w:rsidP="00FF569F">
            <w:pPr>
              <w:jc w:val="right"/>
              <w:rPr>
                <w:rFonts w:ascii="Arial" w:hAnsi="Arial" w:cs="Arial"/>
                <w:color w:val="000000"/>
                <w:sz w:val="14"/>
                <w:szCs w:val="14"/>
                <w:lang w:eastAsia="es-AR"/>
              </w:rPr>
            </w:pPr>
            <w:r w:rsidRPr="00FF569F">
              <w:rPr>
                <w:rFonts w:ascii="Arial" w:hAnsi="Arial" w:cs="Arial"/>
                <w:color w:val="000000"/>
                <w:sz w:val="14"/>
                <w:szCs w:val="14"/>
                <w:lang w:eastAsia="es-AR"/>
              </w:rPr>
              <w:t>5</w:t>
            </w:r>
            <w:r w:rsidR="00F72727">
              <w:rPr>
                <w:rFonts w:ascii="Arial" w:hAnsi="Arial" w:cs="Arial"/>
                <w:color w:val="000000"/>
                <w:sz w:val="14"/>
                <w:szCs w:val="14"/>
                <w:lang w:eastAsia="es-AR"/>
              </w:rPr>
              <w:t>7</w:t>
            </w:r>
            <w:r w:rsidR="006007F3">
              <w:rPr>
                <w:rFonts w:ascii="Arial" w:hAnsi="Arial" w:cs="Arial"/>
                <w:color w:val="000000"/>
                <w:sz w:val="14"/>
                <w:szCs w:val="14"/>
                <w:lang w:eastAsia="es-AR"/>
              </w:rPr>
              <w:t>5.402</w:t>
            </w:r>
            <w:r w:rsidRPr="00FF569F">
              <w:rPr>
                <w:rFonts w:ascii="Arial" w:hAnsi="Arial" w:cs="Arial"/>
                <w:color w:val="000000"/>
                <w:sz w:val="14"/>
                <w:szCs w:val="14"/>
                <w:lang w:eastAsia="es-AR"/>
              </w:rPr>
              <w:t xml:space="preserve"> </w:t>
            </w:r>
          </w:p>
        </w:tc>
        <w:tc>
          <w:tcPr>
            <w:tcW w:w="841" w:type="dxa"/>
            <w:tcBorders>
              <w:top w:val="nil"/>
              <w:left w:val="nil"/>
              <w:bottom w:val="single" w:sz="4" w:space="0" w:color="auto"/>
              <w:right w:val="single" w:sz="4" w:space="0" w:color="auto"/>
            </w:tcBorders>
            <w:shd w:val="clear" w:color="auto" w:fill="auto"/>
            <w:noWrap/>
            <w:vAlign w:val="center"/>
            <w:hideMark/>
          </w:tcPr>
          <w:p w14:paraId="42D84FD9" w14:textId="4B4E4D72" w:rsidR="00FF569F" w:rsidRPr="00FF569F" w:rsidRDefault="007A3E3C" w:rsidP="00FF569F">
            <w:pPr>
              <w:jc w:val="right"/>
              <w:rPr>
                <w:rFonts w:ascii="Arial" w:hAnsi="Arial" w:cs="Arial"/>
                <w:color w:val="000000"/>
                <w:sz w:val="14"/>
                <w:szCs w:val="14"/>
                <w:lang w:eastAsia="es-AR"/>
              </w:rPr>
            </w:pPr>
            <w:r>
              <w:rPr>
                <w:rFonts w:ascii="Arial" w:hAnsi="Arial" w:cs="Arial"/>
                <w:color w:val="000000"/>
                <w:sz w:val="14"/>
                <w:szCs w:val="14"/>
                <w:lang w:eastAsia="es-AR"/>
              </w:rPr>
              <w:t>-</w:t>
            </w:r>
            <w:r w:rsidR="00FF569F" w:rsidRPr="00FF569F">
              <w:rPr>
                <w:rFonts w:ascii="Arial" w:hAnsi="Arial" w:cs="Arial"/>
                <w:color w:val="000000"/>
                <w:sz w:val="14"/>
                <w:szCs w:val="14"/>
                <w:lang w:eastAsia="es-AR"/>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7F7C0CCC" w14:textId="15591189" w:rsidR="00FF569F" w:rsidRPr="00FF569F" w:rsidRDefault="006007F3" w:rsidP="00FF569F">
            <w:pPr>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968" w:type="dxa"/>
            <w:tcBorders>
              <w:top w:val="nil"/>
              <w:left w:val="nil"/>
              <w:bottom w:val="single" w:sz="4" w:space="0" w:color="auto"/>
              <w:right w:val="single" w:sz="4" w:space="0" w:color="auto"/>
            </w:tcBorders>
            <w:shd w:val="clear" w:color="auto" w:fill="auto"/>
            <w:noWrap/>
            <w:vAlign w:val="center"/>
            <w:hideMark/>
          </w:tcPr>
          <w:p w14:paraId="5503ED90" w14:textId="15027D74" w:rsidR="00FF569F" w:rsidRPr="00FF569F" w:rsidRDefault="00FF569F" w:rsidP="00FF569F">
            <w:pPr>
              <w:jc w:val="right"/>
              <w:rPr>
                <w:rFonts w:ascii="Arial" w:hAnsi="Arial" w:cs="Arial"/>
                <w:color w:val="000000"/>
                <w:sz w:val="14"/>
                <w:szCs w:val="14"/>
                <w:lang w:eastAsia="es-AR"/>
              </w:rPr>
            </w:pPr>
            <w:r w:rsidRPr="00FF569F">
              <w:rPr>
                <w:rFonts w:ascii="Arial" w:hAnsi="Arial" w:cs="Arial"/>
                <w:color w:val="000000"/>
                <w:sz w:val="14"/>
                <w:szCs w:val="14"/>
                <w:lang w:eastAsia="es-AR"/>
              </w:rPr>
              <w:t>(</w:t>
            </w:r>
            <w:r w:rsidR="00761631">
              <w:rPr>
                <w:rFonts w:ascii="Arial" w:hAnsi="Arial" w:cs="Arial"/>
                <w:color w:val="000000"/>
                <w:sz w:val="14"/>
                <w:szCs w:val="14"/>
                <w:lang w:eastAsia="es-AR"/>
              </w:rPr>
              <w:t>44.791</w:t>
            </w:r>
            <w:r w:rsidRPr="00FF569F">
              <w:rPr>
                <w:rFonts w:ascii="Arial" w:hAnsi="Arial" w:cs="Arial"/>
                <w:color w:val="000000"/>
                <w:sz w:val="14"/>
                <w:szCs w:val="14"/>
                <w:lang w:eastAsia="es-AR"/>
              </w:rPr>
              <w:t>)</w:t>
            </w:r>
          </w:p>
        </w:tc>
        <w:tc>
          <w:tcPr>
            <w:tcW w:w="591" w:type="dxa"/>
            <w:tcBorders>
              <w:top w:val="nil"/>
              <w:left w:val="nil"/>
              <w:bottom w:val="single" w:sz="4" w:space="0" w:color="auto"/>
              <w:right w:val="single" w:sz="4" w:space="0" w:color="auto"/>
            </w:tcBorders>
            <w:shd w:val="clear" w:color="auto" w:fill="auto"/>
            <w:noWrap/>
            <w:vAlign w:val="center"/>
            <w:hideMark/>
          </w:tcPr>
          <w:p w14:paraId="12BD861B" w14:textId="4AA6C18F" w:rsidR="00FF569F" w:rsidRPr="00FF569F" w:rsidRDefault="007A3E3C" w:rsidP="00FF569F">
            <w:pPr>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850" w:type="dxa"/>
            <w:tcBorders>
              <w:top w:val="nil"/>
              <w:left w:val="nil"/>
              <w:bottom w:val="single" w:sz="4" w:space="0" w:color="auto"/>
              <w:right w:val="single" w:sz="4" w:space="0" w:color="auto"/>
            </w:tcBorders>
            <w:shd w:val="clear" w:color="auto" w:fill="auto"/>
            <w:noWrap/>
            <w:vAlign w:val="center"/>
            <w:hideMark/>
          </w:tcPr>
          <w:p w14:paraId="0BCE76A7" w14:textId="1B9385F6" w:rsidR="00FF569F" w:rsidRPr="00FF569F" w:rsidRDefault="00FF569F" w:rsidP="00FF569F">
            <w:pPr>
              <w:jc w:val="right"/>
              <w:rPr>
                <w:rFonts w:ascii="Arial" w:hAnsi="Arial" w:cs="Arial"/>
                <w:color w:val="000000"/>
                <w:sz w:val="14"/>
                <w:szCs w:val="14"/>
                <w:lang w:eastAsia="es-AR"/>
              </w:rPr>
            </w:pPr>
            <w:r w:rsidRPr="00FF569F">
              <w:rPr>
                <w:rFonts w:ascii="Arial" w:hAnsi="Arial" w:cs="Arial"/>
                <w:color w:val="000000"/>
                <w:sz w:val="14"/>
                <w:szCs w:val="14"/>
                <w:lang w:eastAsia="es-AR"/>
              </w:rPr>
              <w:t>(</w:t>
            </w:r>
            <w:r w:rsidR="00761631">
              <w:rPr>
                <w:rFonts w:ascii="Arial" w:hAnsi="Arial" w:cs="Arial"/>
                <w:color w:val="000000"/>
                <w:sz w:val="14"/>
                <w:szCs w:val="14"/>
                <w:lang w:eastAsia="es-AR"/>
              </w:rPr>
              <w:t>13.752</w:t>
            </w:r>
            <w:r w:rsidRPr="00FF569F">
              <w:rPr>
                <w:rFonts w:ascii="Arial" w:hAnsi="Arial" w:cs="Arial"/>
                <w:color w:val="000000"/>
                <w:sz w:val="14"/>
                <w:szCs w:val="14"/>
                <w:lang w:eastAsia="es-AR"/>
              </w:rPr>
              <w:t>)</w:t>
            </w:r>
          </w:p>
        </w:tc>
        <w:tc>
          <w:tcPr>
            <w:tcW w:w="861" w:type="dxa"/>
            <w:tcBorders>
              <w:top w:val="nil"/>
              <w:left w:val="nil"/>
              <w:bottom w:val="single" w:sz="4" w:space="0" w:color="auto"/>
              <w:right w:val="single" w:sz="4" w:space="0" w:color="auto"/>
            </w:tcBorders>
            <w:shd w:val="clear" w:color="auto" w:fill="auto"/>
            <w:noWrap/>
            <w:vAlign w:val="center"/>
            <w:hideMark/>
          </w:tcPr>
          <w:p w14:paraId="0AAAAB07" w14:textId="0586F866" w:rsidR="00FF569F" w:rsidRPr="00FF569F" w:rsidRDefault="00FF569F" w:rsidP="00FF569F">
            <w:pPr>
              <w:jc w:val="right"/>
              <w:rPr>
                <w:rFonts w:ascii="Arial" w:hAnsi="Arial" w:cs="Arial"/>
                <w:color w:val="000000"/>
                <w:sz w:val="14"/>
                <w:szCs w:val="14"/>
                <w:lang w:eastAsia="es-AR"/>
              </w:rPr>
            </w:pPr>
            <w:r w:rsidRPr="00FF569F">
              <w:rPr>
                <w:rFonts w:ascii="Arial" w:hAnsi="Arial" w:cs="Arial"/>
                <w:color w:val="000000"/>
                <w:sz w:val="14"/>
                <w:szCs w:val="14"/>
                <w:lang w:eastAsia="es-AR"/>
              </w:rPr>
              <w:t>(</w:t>
            </w:r>
            <w:r w:rsidR="00761631">
              <w:rPr>
                <w:rFonts w:ascii="Arial" w:hAnsi="Arial" w:cs="Arial"/>
                <w:color w:val="000000"/>
                <w:sz w:val="14"/>
                <w:szCs w:val="14"/>
                <w:lang w:eastAsia="es-AR"/>
              </w:rPr>
              <w:t>58.543</w:t>
            </w:r>
            <w:r w:rsidRPr="00FF569F">
              <w:rPr>
                <w:rFonts w:ascii="Arial" w:hAnsi="Arial" w:cs="Arial"/>
                <w:color w:val="000000"/>
                <w:sz w:val="14"/>
                <w:szCs w:val="14"/>
                <w:lang w:eastAsia="es-AR"/>
              </w:rPr>
              <w:t>)</w:t>
            </w:r>
          </w:p>
        </w:tc>
        <w:tc>
          <w:tcPr>
            <w:tcW w:w="844" w:type="dxa"/>
            <w:tcBorders>
              <w:top w:val="nil"/>
              <w:left w:val="nil"/>
              <w:bottom w:val="single" w:sz="4" w:space="0" w:color="auto"/>
              <w:right w:val="single" w:sz="4" w:space="0" w:color="auto"/>
            </w:tcBorders>
            <w:shd w:val="clear" w:color="auto" w:fill="auto"/>
            <w:noWrap/>
            <w:vAlign w:val="center"/>
            <w:hideMark/>
          </w:tcPr>
          <w:p w14:paraId="506FF486" w14:textId="25F42637" w:rsidR="00FF569F" w:rsidRPr="00FF569F" w:rsidRDefault="00FF569F" w:rsidP="00FF569F">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1.</w:t>
            </w:r>
            <w:r w:rsidR="00761631">
              <w:rPr>
                <w:rFonts w:ascii="Arial" w:hAnsi="Arial" w:cs="Arial"/>
                <w:b/>
                <w:bCs/>
                <w:color w:val="000000"/>
                <w:sz w:val="14"/>
                <w:szCs w:val="14"/>
                <w:lang w:eastAsia="es-AR"/>
              </w:rPr>
              <w:t>087.502</w:t>
            </w:r>
            <w:r w:rsidRPr="00FF569F">
              <w:rPr>
                <w:rFonts w:ascii="Arial" w:hAnsi="Arial" w:cs="Arial"/>
                <w:b/>
                <w:bCs/>
                <w:color w:val="000000"/>
                <w:sz w:val="14"/>
                <w:szCs w:val="14"/>
                <w:lang w:eastAsia="es-AR"/>
              </w:rPr>
              <w:t xml:space="preserve"> </w:t>
            </w:r>
          </w:p>
        </w:tc>
      </w:tr>
      <w:tr w:rsidR="00EA13E3" w:rsidRPr="00FF569F" w14:paraId="121B49DB" w14:textId="77777777" w:rsidTr="00DE7C62">
        <w:trPr>
          <w:trHeight w:val="384"/>
        </w:trPr>
        <w:tc>
          <w:tcPr>
            <w:tcW w:w="1346" w:type="dxa"/>
            <w:tcBorders>
              <w:top w:val="nil"/>
              <w:left w:val="single" w:sz="4" w:space="0" w:color="auto"/>
              <w:bottom w:val="single" w:sz="4" w:space="0" w:color="auto"/>
              <w:right w:val="single" w:sz="4" w:space="0" w:color="auto"/>
            </w:tcBorders>
            <w:shd w:val="clear" w:color="auto" w:fill="auto"/>
            <w:vAlign w:val="center"/>
            <w:hideMark/>
          </w:tcPr>
          <w:p w14:paraId="33FD0F6C" w14:textId="77777777" w:rsidR="00FF569F" w:rsidRPr="00FF569F" w:rsidRDefault="00FF569F" w:rsidP="00FF569F">
            <w:pPr>
              <w:rPr>
                <w:rFonts w:ascii="Arial" w:hAnsi="Arial" w:cs="Arial"/>
                <w:b/>
                <w:bCs/>
                <w:color w:val="000000"/>
                <w:sz w:val="14"/>
                <w:szCs w:val="14"/>
                <w:lang w:eastAsia="es-AR"/>
              </w:rPr>
            </w:pPr>
            <w:r w:rsidRPr="00FF569F">
              <w:rPr>
                <w:rFonts w:ascii="Arial" w:hAnsi="Arial" w:cs="Arial"/>
                <w:b/>
                <w:bCs/>
                <w:color w:val="000000"/>
                <w:sz w:val="14"/>
                <w:szCs w:val="14"/>
                <w:lang w:eastAsia="es-AR"/>
              </w:rPr>
              <w:t>TOTAL PROPIEDAD PLANTA Y EQUIPO</w:t>
            </w:r>
          </w:p>
        </w:tc>
        <w:tc>
          <w:tcPr>
            <w:tcW w:w="851" w:type="dxa"/>
            <w:tcBorders>
              <w:top w:val="nil"/>
              <w:left w:val="nil"/>
              <w:bottom w:val="single" w:sz="4" w:space="0" w:color="auto"/>
              <w:right w:val="single" w:sz="4" w:space="0" w:color="auto"/>
            </w:tcBorders>
            <w:shd w:val="clear" w:color="auto" w:fill="auto"/>
            <w:noWrap/>
            <w:vAlign w:val="center"/>
            <w:hideMark/>
          </w:tcPr>
          <w:p w14:paraId="0E4568E5" w14:textId="226AD88F" w:rsidR="00FF569F" w:rsidRPr="00FF569F" w:rsidRDefault="006007F3" w:rsidP="00FF569F">
            <w:pPr>
              <w:jc w:val="right"/>
              <w:rPr>
                <w:rFonts w:ascii="Arial" w:hAnsi="Arial" w:cs="Arial"/>
                <w:b/>
                <w:bCs/>
                <w:color w:val="000000"/>
                <w:sz w:val="14"/>
                <w:szCs w:val="14"/>
                <w:lang w:eastAsia="es-AR"/>
              </w:rPr>
            </w:pPr>
            <w:r>
              <w:rPr>
                <w:rFonts w:ascii="Arial" w:hAnsi="Arial" w:cs="Arial"/>
                <w:b/>
                <w:bCs/>
                <w:color w:val="000000"/>
                <w:sz w:val="14"/>
                <w:szCs w:val="14"/>
                <w:lang w:eastAsia="es-AR"/>
              </w:rPr>
              <w:t>1.575.816</w:t>
            </w:r>
            <w:r w:rsidR="00FF569F" w:rsidRPr="00FF569F">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7D5D7AF" w14:textId="77777777" w:rsidR="00FF569F" w:rsidRPr="00FF569F" w:rsidRDefault="00FF569F" w:rsidP="00FF569F">
            <w:pPr>
              <w:rPr>
                <w:color w:val="000000"/>
                <w:sz w:val="20"/>
                <w:lang w:eastAsia="es-AR"/>
              </w:rPr>
            </w:pPr>
            <w:r w:rsidRPr="00FF569F">
              <w:rPr>
                <w:color w:val="000000"/>
                <w:sz w:val="20"/>
                <w:lang w:eastAsia="es-AR"/>
              </w:rPr>
              <w:t> </w:t>
            </w:r>
          </w:p>
        </w:tc>
        <w:tc>
          <w:tcPr>
            <w:tcW w:w="992" w:type="dxa"/>
            <w:tcBorders>
              <w:top w:val="nil"/>
              <w:left w:val="nil"/>
              <w:bottom w:val="single" w:sz="4" w:space="0" w:color="auto"/>
              <w:right w:val="single" w:sz="4" w:space="0" w:color="auto"/>
            </w:tcBorders>
            <w:shd w:val="clear" w:color="auto" w:fill="auto"/>
            <w:noWrap/>
            <w:vAlign w:val="center"/>
            <w:hideMark/>
          </w:tcPr>
          <w:p w14:paraId="01C01AC9" w14:textId="7802B1D9" w:rsidR="00FF569F" w:rsidRPr="00FF569F" w:rsidRDefault="00FF569F" w:rsidP="00FF569F">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5</w:t>
            </w:r>
            <w:r w:rsidR="006007F3">
              <w:rPr>
                <w:rFonts w:ascii="Arial" w:hAnsi="Arial" w:cs="Arial"/>
                <w:b/>
                <w:bCs/>
                <w:color w:val="000000"/>
                <w:sz w:val="14"/>
                <w:szCs w:val="14"/>
                <w:lang w:eastAsia="es-AR"/>
              </w:rPr>
              <w:t>75.402</w:t>
            </w:r>
            <w:r w:rsidRPr="00FF569F">
              <w:rPr>
                <w:rFonts w:ascii="Arial" w:hAnsi="Arial" w:cs="Arial"/>
                <w:b/>
                <w:bCs/>
                <w:color w:val="000000"/>
                <w:sz w:val="14"/>
                <w:szCs w:val="14"/>
                <w:lang w:eastAsia="es-AR"/>
              </w:rPr>
              <w:t xml:space="preserve"> </w:t>
            </w:r>
          </w:p>
        </w:tc>
        <w:tc>
          <w:tcPr>
            <w:tcW w:w="841" w:type="dxa"/>
            <w:tcBorders>
              <w:top w:val="nil"/>
              <w:left w:val="nil"/>
              <w:bottom w:val="single" w:sz="4" w:space="0" w:color="auto"/>
              <w:right w:val="single" w:sz="4" w:space="0" w:color="auto"/>
            </w:tcBorders>
            <w:shd w:val="clear" w:color="auto" w:fill="auto"/>
            <w:noWrap/>
            <w:vAlign w:val="center"/>
            <w:hideMark/>
          </w:tcPr>
          <w:p w14:paraId="41D04C10" w14:textId="022254D1" w:rsidR="00FF569F" w:rsidRPr="00FF569F" w:rsidRDefault="006007F3" w:rsidP="00FF569F">
            <w:pPr>
              <w:jc w:val="right"/>
              <w:rPr>
                <w:rFonts w:ascii="Arial" w:hAnsi="Arial" w:cs="Arial"/>
                <w:b/>
                <w:bCs/>
                <w:color w:val="000000"/>
                <w:sz w:val="14"/>
                <w:szCs w:val="14"/>
                <w:lang w:eastAsia="es-AR"/>
              </w:rPr>
            </w:pPr>
            <w:r>
              <w:rPr>
                <w:rFonts w:ascii="Arial" w:hAnsi="Arial" w:cs="Arial"/>
                <w:b/>
                <w:bCs/>
                <w:color w:val="000000"/>
                <w:sz w:val="14"/>
                <w:szCs w:val="14"/>
                <w:lang w:eastAsia="es-AR"/>
              </w:rPr>
              <w:t>319.488</w:t>
            </w:r>
          </w:p>
        </w:tc>
        <w:tc>
          <w:tcPr>
            <w:tcW w:w="851" w:type="dxa"/>
            <w:tcBorders>
              <w:top w:val="nil"/>
              <w:left w:val="nil"/>
              <w:bottom w:val="single" w:sz="4" w:space="0" w:color="auto"/>
              <w:right w:val="single" w:sz="4" w:space="0" w:color="auto"/>
            </w:tcBorders>
            <w:shd w:val="clear" w:color="auto" w:fill="auto"/>
            <w:noWrap/>
            <w:vAlign w:val="center"/>
            <w:hideMark/>
          </w:tcPr>
          <w:p w14:paraId="6F02E0BF" w14:textId="7A1C84D4" w:rsidR="00FF569F" w:rsidRPr="00FF569F" w:rsidRDefault="00FF569F" w:rsidP="00FF569F">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(1</w:t>
            </w:r>
            <w:r w:rsidR="006007F3">
              <w:rPr>
                <w:rFonts w:ascii="Arial" w:hAnsi="Arial" w:cs="Arial"/>
                <w:b/>
                <w:bCs/>
                <w:color w:val="000000"/>
                <w:sz w:val="14"/>
                <w:szCs w:val="14"/>
                <w:lang w:eastAsia="es-AR"/>
              </w:rPr>
              <w:t>54.958</w:t>
            </w:r>
            <w:r w:rsidRPr="00FF569F">
              <w:rPr>
                <w:rFonts w:ascii="Arial" w:hAnsi="Arial" w:cs="Arial"/>
                <w:b/>
                <w:bCs/>
                <w:color w:val="000000"/>
                <w:sz w:val="14"/>
                <w:szCs w:val="14"/>
                <w:lang w:eastAsia="es-AR"/>
              </w:rPr>
              <w:t>)</w:t>
            </w:r>
          </w:p>
        </w:tc>
        <w:tc>
          <w:tcPr>
            <w:tcW w:w="968" w:type="dxa"/>
            <w:tcBorders>
              <w:top w:val="nil"/>
              <w:left w:val="nil"/>
              <w:bottom w:val="single" w:sz="4" w:space="0" w:color="auto"/>
              <w:right w:val="single" w:sz="4" w:space="0" w:color="auto"/>
            </w:tcBorders>
            <w:shd w:val="clear" w:color="auto" w:fill="auto"/>
            <w:noWrap/>
            <w:vAlign w:val="center"/>
            <w:hideMark/>
          </w:tcPr>
          <w:p w14:paraId="5C74F58C" w14:textId="3320ADFB" w:rsidR="00FF569F" w:rsidRPr="00FF569F" w:rsidRDefault="00FF569F" w:rsidP="00FF569F">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w:t>
            </w:r>
            <w:r w:rsidR="00761631">
              <w:rPr>
                <w:rFonts w:ascii="Arial" w:hAnsi="Arial" w:cs="Arial"/>
                <w:b/>
                <w:bCs/>
                <w:color w:val="000000"/>
                <w:sz w:val="14"/>
                <w:szCs w:val="14"/>
                <w:lang w:eastAsia="es-AR"/>
              </w:rPr>
              <w:t>442.723</w:t>
            </w:r>
            <w:r w:rsidRPr="00FF569F">
              <w:rPr>
                <w:rFonts w:ascii="Arial" w:hAnsi="Arial" w:cs="Arial"/>
                <w:b/>
                <w:bCs/>
                <w:color w:val="000000"/>
                <w:sz w:val="14"/>
                <w:szCs w:val="14"/>
                <w:lang w:eastAsia="es-AR"/>
              </w:rPr>
              <w:t>)</w:t>
            </w:r>
          </w:p>
        </w:tc>
        <w:tc>
          <w:tcPr>
            <w:tcW w:w="591" w:type="dxa"/>
            <w:tcBorders>
              <w:top w:val="nil"/>
              <w:left w:val="nil"/>
              <w:bottom w:val="single" w:sz="4" w:space="0" w:color="auto"/>
              <w:right w:val="single" w:sz="4" w:space="0" w:color="auto"/>
            </w:tcBorders>
            <w:shd w:val="clear" w:color="auto" w:fill="auto"/>
            <w:noWrap/>
            <w:vAlign w:val="center"/>
            <w:hideMark/>
          </w:tcPr>
          <w:p w14:paraId="0DFCE6EF" w14:textId="523CBE8A" w:rsidR="00FF569F" w:rsidRPr="00FF569F" w:rsidRDefault="00761631" w:rsidP="00FF569F">
            <w:pPr>
              <w:jc w:val="right"/>
              <w:rPr>
                <w:rFonts w:ascii="Arial" w:hAnsi="Arial" w:cs="Arial"/>
                <w:b/>
                <w:bCs/>
                <w:color w:val="000000"/>
                <w:sz w:val="14"/>
                <w:szCs w:val="14"/>
                <w:lang w:eastAsia="es-AR"/>
              </w:rPr>
            </w:pPr>
            <w:r>
              <w:rPr>
                <w:rFonts w:ascii="Arial" w:hAnsi="Arial" w:cs="Arial"/>
                <w:b/>
                <w:bCs/>
                <w:color w:val="000000"/>
                <w:sz w:val="14"/>
                <w:szCs w:val="14"/>
                <w:lang w:eastAsia="es-AR"/>
              </w:rPr>
              <w:t>15.843</w:t>
            </w:r>
            <w:r w:rsidR="00FF569F" w:rsidRPr="00FF569F">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A3427F4" w14:textId="7F6697B5" w:rsidR="00FF569F" w:rsidRPr="00FF569F" w:rsidRDefault="00FF569F" w:rsidP="00FF569F">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w:t>
            </w:r>
            <w:r w:rsidR="00761631">
              <w:rPr>
                <w:rFonts w:ascii="Arial" w:hAnsi="Arial" w:cs="Arial"/>
                <w:b/>
                <w:bCs/>
                <w:color w:val="000000"/>
                <w:sz w:val="14"/>
                <w:szCs w:val="14"/>
                <w:lang w:eastAsia="es-AR"/>
              </w:rPr>
              <w:t>159.690</w:t>
            </w:r>
            <w:r w:rsidRPr="00FF569F">
              <w:rPr>
                <w:rFonts w:ascii="Arial" w:hAnsi="Arial" w:cs="Arial"/>
                <w:b/>
                <w:bCs/>
                <w:color w:val="000000"/>
                <w:sz w:val="14"/>
                <w:szCs w:val="14"/>
                <w:lang w:eastAsia="es-AR"/>
              </w:rPr>
              <w:t>)</w:t>
            </w:r>
          </w:p>
        </w:tc>
        <w:tc>
          <w:tcPr>
            <w:tcW w:w="861" w:type="dxa"/>
            <w:tcBorders>
              <w:top w:val="nil"/>
              <w:left w:val="nil"/>
              <w:bottom w:val="single" w:sz="4" w:space="0" w:color="auto"/>
              <w:right w:val="single" w:sz="4" w:space="0" w:color="auto"/>
            </w:tcBorders>
            <w:shd w:val="clear" w:color="auto" w:fill="auto"/>
            <w:noWrap/>
            <w:vAlign w:val="center"/>
            <w:hideMark/>
          </w:tcPr>
          <w:p w14:paraId="7DEDA044" w14:textId="1DD70A52" w:rsidR="00FF569F" w:rsidRPr="00FF569F" w:rsidRDefault="00FF569F" w:rsidP="00FF569F">
            <w:pPr>
              <w:jc w:val="right"/>
              <w:rPr>
                <w:rFonts w:ascii="Arial" w:hAnsi="Arial" w:cs="Arial"/>
                <w:b/>
                <w:bCs/>
                <w:color w:val="000000"/>
                <w:sz w:val="14"/>
                <w:szCs w:val="14"/>
                <w:lang w:eastAsia="es-AR"/>
              </w:rPr>
            </w:pPr>
            <w:r w:rsidRPr="00FF569F">
              <w:rPr>
                <w:rFonts w:ascii="Arial" w:hAnsi="Arial" w:cs="Arial"/>
                <w:b/>
                <w:bCs/>
                <w:color w:val="000000"/>
                <w:sz w:val="14"/>
                <w:szCs w:val="14"/>
                <w:lang w:eastAsia="es-AR"/>
              </w:rPr>
              <w:t>(</w:t>
            </w:r>
            <w:r w:rsidR="00761631">
              <w:rPr>
                <w:rFonts w:ascii="Arial" w:hAnsi="Arial" w:cs="Arial"/>
                <w:b/>
                <w:bCs/>
                <w:color w:val="000000"/>
                <w:sz w:val="14"/>
                <w:szCs w:val="14"/>
                <w:lang w:eastAsia="es-AR"/>
              </w:rPr>
              <w:t>586.570</w:t>
            </w:r>
            <w:r w:rsidRPr="00FF569F">
              <w:rPr>
                <w:rFonts w:ascii="Arial" w:hAnsi="Arial" w:cs="Arial"/>
                <w:b/>
                <w:bCs/>
                <w:color w:val="000000"/>
                <w:sz w:val="14"/>
                <w:szCs w:val="14"/>
                <w:lang w:eastAsia="es-AR"/>
              </w:rPr>
              <w:t>)</w:t>
            </w:r>
          </w:p>
        </w:tc>
        <w:tc>
          <w:tcPr>
            <w:tcW w:w="844" w:type="dxa"/>
            <w:tcBorders>
              <w:top w:val="nil"/>
              <w:left w:val="nil"/>
              <w:bottom w:val="single" w:sz="4" w:space="0" w:color="auto"/>
              <w:right w:val="single" w:sz="4" w:space="0" w:color="auto"/>
            </w:tcBorders>
            <w:shd w:val="clear" w:color="auto" w:fill="auto"/>
            <w:noWrap/>
            <w:vAlign w:val="center"/>
            <w:hideMark/>
          </w:tcPr>
          <w:p w14:paraId="202A4EBC" w14:textId="4F1443D3" w:rsidR="00FF569F" w:rsidRPr="00FF569F" w:rsidRDefault="00761631" w:rsidP="00FF569F">
            <w:pPr>
              <w:jc w:val="right"/>
              <w:rPr>
                <w:rFonts w:ascii="Arial" w:hAnsi="Arial" w:cs="Arial"/>
                <w:b/>
                <w:bCs/>
                <w:color w:val="000000"/>
                <w:sz w:val="14"/>
                <w:szCs w:val="14"/>
                <w:lang w:eastAsia="es-AR"/>
              </w:rPr>
            </w:pPr>
            <w:r>
              <w:rPr>
                <w:rFonts w:ascii="Arial" w:hAnsi="Arial" w:cs="Arial"/>
                <w:b/>
                <w:bCs/>
                <w:color w:val="000000"/>
                <w:sz w:val="14"/>
                <w:szCs w:val="14"/>
                <w:lang w:eastAsia="es-AR"/>
              </w:rPr>
              <w:t>1.729.178</w:t>
            </w:r>
            <w:r w:rsidR="00FF569F" w:rsidRPr="00FF569F">
              <w:rPr>
                <w:rFonts w:ascii="Arial" w:hAnsi="Arial" w:cs="Arial"/>
                <w:b/>
                <w:bCs/>
                <w:color w:val="000000"/>
                <w:sz w:val="14"/>
                <w:szCs w:val="14"/>
                <w:lang w:eastAsia="es-AR"/>
              </w:rPr>
              <w:t xml:space="preserve"> </w:t>
            </w:r>
          </w:p>
        </w:tc>
      </w:tr>
    </w:tbl>
    <w:p w14:paraId="5DBBB0C5" w14:textId="3A628DA7" w:rsidR="00543EF5" w:rsidRPr="00701F32" w:rsidRDefault="00FF569F" w:rsidP="00FF569F">
      <w:pPr>
        <w:spacing w:after="160" w:line="259" w:lineRule="auto"/>
        <w:jc w:val="both"/>
        <w:rPr>
          <w:rFonts w:ascii="Arial" w:eastAsia="Calibri" w:hAnsi="Arial" w:cs="Arial"/>
          <w:sz w:val="20"/>
        </w:rPr>
      </w:pPr>
      <w:r w:rsidRPr="00701F32">
        <w:rPr>
          <w:rFonts w:ascii="Arial" w:eastAsia="Calibri" w:hAnsi="Arial" w:cs="Arial"/>
          <w:sz w:val="20"/>
        </w:rPr>
        <w:t xml:space="preserve"> </w:t>
      </w:r>
    </w:p>
    <w:p w14:paraId="73EC330A" w14:textId="577AC3F4" w:rsidR="00094CB3" w:rsidRDefault="00543EF5" w:rsidP="00094CB3">
      <w:pPr>
        <w:spacing w:after="160" w:line="259" w:lineRule="auto"/>
        <w:jc w:val="both"/>
        <w:rPr>
          <w:rFonts w:ascii="Arial" w:eastAsia="Calibri" w:hAnsi="Arial" w:cs="Arial"/>
          <w:sz w:val="20"/>
        </w:rPr>
      </w:pPr>
      <w:r w:rsidRPr="00701F32">
        <w:rPr>
          <w:rFonts w:ascii="Arial" w:eastAsia="Calibri" w:hAnsi="Arial" w:cs="Arial"/>
          <w:sz w:val="20"/>
        </w:rPr>
        <w:t>Los movimientos en propiedades de inversión para el ejercicio finalizado el 31 de diciembre 201</w:t>
      </w:r>
      <w:r w:rsidR="00995C31">
        <w:rPr>
          <w:rFonts w:ascii="Arial" w:eastAsia="Calibri" w:hAnsi="Arial" w:cs="Arial"/>
          <w:sz w:val="20"/>
        </w:rPr>
        <w:t>8</w:t>
      </w:r>
      <w:r w:rsidRPr="00701F32">
        <w:rPr>
          <w:rFonts w:ascii="Arial" w:eastAsia="Calibri" w:hAnsi="Arial" w:cs="Arial"/>
          <w:sz w:val="20"/>
        </w:rPr>
        <w:t xml:space="preserve"> fueron los siguientes:</w:t>
      </w:r>
    </w:p>
    <w:tbl>
      <w:tblPr>
        <w:tblW w:w="9851" w:type="dxa"/>
        <w:tblLayout w:type="fixed"/>
        <w:tblCellMar>
          <w:left w:w="70" w:type="dxa"/>
          <w:right w:w="70" w:type="dxa"/>
        </w:tblCellMar>
        <w:tblLook w:val="04A0" w:firstRow="1" w:lastRow="0" w:firstColumn="1" w:lastColumn="0" w:noHBand="0" w:noVBand="1"/>
      </w:tblPr>
      <w:tblGrid>
        <w:gridCol w:w="1771"/>
        <w:gridCol w:w="922"/>
        <w:gridCol w:w="840"/>
        <w:gridCol w:w="1073"/>
        <w:gridCol w:w="856"/>
        <w:gridCol w:w="735"/>
        <w:gridCol w:w="1006"/>
        <w:gridCol w:w="798"/>
        <w:gridCol w:w="801"/>
        <w:gridCol w:w="1049"/>
      </w:tblGrid>
      <w:tr w:rsidR="00995C31" w:rsidRPr="00995C31" w14:paraId="22FB7AA1" w14:textId="77777777" w:rsidTr="00A059FB">
        <w:trPr>
          <w:trHeight w:val="334"/>
        </w:trPr>
        <w:tc>
          <w:tcPr>
            <w:tcW w:w="17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A054BD" w14:textId="77777777" w:rsidR="00094CB3" w:rsidRPr="006E1AF7" w:rsidRDefault="00094CB3" w:rsidP="00094CB3">
            <w:pPr>
              <w:jc w:val="center"/>
              <w:rPr>
                <w:rFonts w:ascii="Arial" w:hAnsi="Arial" w:cs="Arial"/>
                <w:b/>
                <w:bCs/>
                <w:sz w:val="14"/>
                <w:szCs w:val="14"/>
                <w:lang w:eastAsia="es-AR"/>
              </w:rPr>
            </w:pPr>
            <w:bookmarkStart w:id="14" w:name="_Hlk30785675"/>
            <w:r w:rsidRPr="006E1AF7">
              <w:rPr>
                <w:rFonts w:ascii="Arial" w:hAnsi="Arial" w:cs="Arial"/>
                <w:b/>
                <w:bCs/>
                <w:sz w:val="14"/>
                <w:szCs w:val="14"/>
                <w:lang w:eastAsia="es-AR"/>
              </w:rPr>
              <w:t>Concepto</w:t>
            </w:r>
          </w:p>
        </w:tc>
        <w:tc>
          <w:tcPr>
            <w:tcW w:w="922"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50DFDE81" w14:textId="77777777" w:rsidR="00094CB3" w:rsidRPr="00995C31" w:rsidRDefault="00094CB3" w:rsidP="00094CB3">
            <w:pPr>
              <w:jc w:val="center"/>
              <w:rPr>
                <w:rFonts w:ascii="Arial" w:hAnsi="Arial" w:cs="Arial"/>
                <w:b/>
                <w:bCs/>
                <w:sz w:val="14"/>
                <w:szCs w:val="14"/>
                <w:lang w:eastAsia="es-AR"/>
              </w:rPr>
            </w:pPr>
            <w:r w:rsidRPr="006E1AF7">
              <w:rPr>
                <w:rFonts w:ascii="Arial" w:hAnsi="Arial" w:cs="Arial"/>
                <w:b/>
                <w:bCs/>
                <w:sz w:val="14"/>
                <w:szCs w:val="14"/>
                <w:lang w:eastAsia="es-AR"/>
              </w:rPr>
              <w:t>Valor de origen al inicio del ejercicio</w:t>
            </w:r>
          </w:p>
        </w:tc>
        <w:tc>
          <w:tcPr>
            <w:tcW w:w="840"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3767E0D7" w14:textId="77777777" w:rsidR="00094CB3" w:rsidRPr="00995C31" w:rsidRDefault="00094CB3" w:rsidP="00094CB3">
            <w:pPr>
              <w:jc w:val="center"/>
              <w:rPr>
                <w:rFonts w:ascii="Arial" w:hAnsi="Arial" w:cs="Arial"/>
                <w:b/>
                <w:bCs/>
                <w:sz w:val="14"/>
                <w:szCs w:val="14"/>
                <w:lang w:eastAsia="es-AR"/>
              </w:rPr>
            </w:pPr>
            <w:r w:rsidRPr="006E1AF7">
              <w:rPr>
                <w:rFonts w:ascii="Arial" w:hAnsi="Arial" w:cs="Arial"/>
                <w:b/>
                <w:bCs/>
                <w:sz w:val="14"/>
                <w:szCs w:val="14"/>
                <w:lang w:eastAsia="es-AR"/>
              </w:rPr>
              <w:t>Vida Útil total estimada en años</w:t>
            </w:r>
          </w:p>
        </w:tc>
        <w:tc>
          <w:tcPr>
            <w:tcW w:w="1073" w:type="dxa"/>
            <w:vMerge w:val="restart"/>
            <w:tcBorders>
              <w:top w:val="single" w:sz="4" w:space="0" w:color="363639"/>
              <w:left w:val="single" w:sz="4" w:space="0" w:color="363639"/>
              <w:bottom w:val="single" w:sz="4" w:space="0" w:color="363639"/>
              <w:right w:val="single" w:sz="4" w:space="0" w:color="363639"/>
            </w:tcBorders>
            <w:shd w:val="clear" w:color="auto" w:fill="auto"/>
            <w:hideMark/>
          </w:tcPr>
          <w:p w14:paraId="27297A1D" w14:textId="77777777" w:rsidR="00094CB3" w:rsidRPr="00995C31" w:rsidRDefault="00094CB3" w:rsidP="00094CB3">
            <w:pPr>
              <w:jc w:val="center"/>
              <w:rPr>
                <w:rFonts w:ascii="Arial" w:hAnsi="Arial" w:cs="Arial"/>
                <w:b/>
                <w:bCs/>
                <w:sz w:val="14"/>
                <w:szCs w:val="14"/>
                <w:lang w:eastAsia="es-AR"/>
              </w:rPr>
            </w:pPr>
            <w:r w:rsidRPr="006E1AF7">
              <w:rPr>
                <w:rFonts w:ascii="Arial" w:hAnsi="Arial" w:cs="Arial"/>
                <w:b/>
                <w:bCs/>
                <w:sz w:val="14"/>
                <w:szCs w:val="14"/>
                <w:lang w:eastAsia="es-AR"/>
              </w:rPr>
              <w:t>Pérdida/ Ganancia Neta por medición a VR</w:t>
            </w:r>
          </w:p>
        </w:tc>
        <w:tc>
          <w:tcPr>
            <w:tcW w:w="856"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7D3E747C" w14:textId="77777777" w:rsidR="00094CB3" w:rsidRPr="00995C31" w:rsidRDefault="00094CB3" w:rsidP="00094CB3">
            <w:pPr>
              <w:jc w:val="center"/>
              <w:rPr>
                <w:rFonts w:ascii="Arial" w:hAnsi="Arial" w:cs="Arial"/>
                <w:b/>
                <w:bCs/>
                <w:sz w:val="14"/>
                <w:szCs w:val="14"/>
                <w:lang w:eastAsia="es-AR"/>
              </w:rPr>
            </w:pPr>
            <w:r w:rsidRPr="006E1AF7">
              <w:rPr>
                <w:rFonts w:ascii="Arial" w:hAnsi="Arial" w:cs="Arial"/>
                <w:b/>
                <w:bCs/>
                <w:sz w:val="14"/>
                <w:szCs w:val="14"/>
                <w:lang w:eastAsia="es-AR"/>
              </w:rPr>
              <w:t>Altas</w:t>
            </w:r>
          </w:p>
        </w:tc>
        <w:tc>
          <w:tcPr>
            <w:tcW w:w="735"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6007C3F6" w14:textId="77777777" w:rsidR="00094CB3" w:rsidRPr="00995C31" w:rsidRDefault="00094CB3" w:rsidP="00094CB3">
            <w:pPr>
              <w:jc w:val="center"/>
              <w:rPr>
                <w:rFonts w:ascii="Arial" w:hAnsi="Arial" w:cs="Arial"/>
                <w:b/>
                <w:bCs/>
                <w:sz w:val="14"/>
                <w:szCs w:val="14"/>
                <w:lang w:eastAsia="es-AR"/>
              </w:rPr>
            </w:pPr>
            <w:r w:rsidRPr="006E1AF7">
              <w:rPr>
                <w:rFonts w:ascii="Arial" w:hAnsi="Arial" w:cs="Arial"/>
                <w:b/>
                <w:bCs/>
                <w:sz w:val="14"/>
                <w:szCs w:val="14"/>
                <w:lang w:eastAsia="es-AR"/>
              </w:rPr>
              <w:t>Bajas</w:t>
            </w:r>
          </w:p>
        </w:tc>
        <w:tc>
          <w:tcPr>
            <w:tcW w:w="2605" w:type="dxa"/>
            <w:gridSpan w:val="3"/>
            <w:tcBorders>
              <w:top w:val="single" w:sz="4" w:space="0" w:color="363639"/>
              <w:left w:val="nil"/>
              <w:bottom w:val="single" w:sz="4" w:space="0" w:color="363639"/>
              <w:right w:val="single" w:sz="4" w:space="0" w:color="363639"/>
            </w:tcBorders>
            <w:shd w:val="clear" w:color="auto" w:fill="auto"/>
            <w:hideMark/>
          </w:tcPr>
          <w:p w14:paraId="24F5AB94" w14:textId="77777777" w:rsidR="00094CB3" w:rsidRPr="00995C31" w:rsidRDefault="00094CB3" w:rsidP="00094CB3">
            <w:pPr>
              <w:jc w:val="center"/>
              <w:rPr>
                <w:rFonts w:ascii="Arial" w:hAnsi="Arial" w:cs="Arial"/>
                <w:b/>
                <w:bCs/>
                <w:sz w:val="14"/>
                <w:szCs w:val="14"/>
                <w:lang w:eastAsia="es-AR"/>
              </w:rPr>
            </w:pPr>
            <w:r w:rsidRPr="006E1AF7">
              <w:rPr>
                <w:rFonts w:ascii="Arial" w:hAnsi="Arial" w:cs="Arial"/>
                <w:b/>
                <w:bCs/>
                <w:sz w:val="14"/>
                <w:szCs w:val="14"/>
                <w:lang w:eastAsia="es-AR"/>
              </w:rPr>
              <w:t>Depreciación</w:t>
            </w:r>
          </w:p>
        </w:tc>
        <w:tc>
          <w:tcPr>
            <w:tcW w:w="1049" w:type="dxa"/>
            <w:vMerge w:val="restart"/>
            <w:tcBorders>
              <w:top w:val="single" w:sz="4" w:space="0" w:color="363639"/>
              <w:left w:val="single" w:sz="4" w:space="0" w:color="363639"/>
              <w:bottom w:val="single" w:sz="4" w:space="0" w:color="363639"/>
              <w:right w:val="single" w:sz="4" w:space="0" w:color="auto"/>
            </w:tcBorders>
            <w:shd w:val="clear" w:color="auto" w:fill="auto"/>
            <w:hideMark/>
          </w:tcPr>
          <w:p w14:paraId="1793EB1D" w14:textId="77777777" w:rsidR="00094CB3" w:rsidRPr="006E1AF7" w:rsidRDefault="00094CB3" w:rsidP="00094CB3">
            <w:pPr>
              <w:jc w:val="center"/>
              <w:rPr>
                <w:rFonts w:ascii="Arial" w:hAnsi="Arial" w:cs="Arial"/>
                <w:b/>
                <w:bCs/>
                <w:sz w:val="14"/>
                <w:szCs w:val="14"/>
                <w:lang w:eastAsia="es-AR"/>
              </w:rPr>
            </w:pPr>
            <w:r w:rsidRPr="006E1AF7">
              <w:rPr>
                <w:rFonts w:ascii="Arial" w:hAnsi="Arial" w:cs="Arial"/>
                <w:b/>
                <w:bCs/>
                <w:sz w:val="14"/>
                <w:szCs w:val="14"/>
                <w:lang w:eastAsia="es-AR"/>
              </w:rPr>
              <w:t xml:space="preserve">Valor </w:t>
            </w:r>
          </w:p>
          <w:p w14:paraId="7FC4263A" w14:textId="1BBC3A5D" w:rsidR="00094CB3" w:rsidRPr="00995C31" w:rsidRDefault="00094CB3" w:rsidP="00094CB3">
            <w:pPr>
              <w:jc w:val="center"/>
              <w:rPr>
                <w:rFonts w:ascii="Arial" w:hAnsi="Arial" w:cs="Arial"/>
                <w:b/>
                <w:bCs/>
                <w:sz w:val="14"/>
                <w:szCs w:val="14"/>
                <w:lang w:eastAsia="es-AR"/>
              </w:rPr>
            </w:pPr>
            <w:r w:rsidRPr="006E1AF7">
              <w:rPr>
                <w:rFonts w:ascii="Arial" w:hAnsi="Arial" w:cs="Arial"/>
                <w:b/>
                <w:bCs/>
                <w:sz w:val="14"/>
                <w:szCs w:val="14"/>
                <w:lang w:eastAsia="es-AR"/>
              </w:rPr>
              <w:t xml:space="preserve">residual al cierre del </w:t>
            </w:r>
            <w:r w:rsidR="00995C31">
              <w:rPr>
                <w:rFonts w:ascii="Arial" w:hAnsi="Arial" w:cs="Arial"/>
                <w:b/>
                <w:bCs/>
                <w:sz w:val="14"/>
                <w:szCs w:val="14"/>
                <w:lang w:eastAsia="es-AR"/>
              </w:rPr>
              <w:t>ejercicio</w:t>
            </w:r>
          </w:p>
        </w:tc>
      </w:tr>
      <w:tr w:rsidR="00995C31" w:rsidRPr="00995C31" w14:paraId="69150596" w14:textId="77777777" w:rsidTr="00A059FB">
        <w:trPr>
          <w:trHeight w:val="334"/>
        </w:trPr>
        <w:tc>
          <w:tcPr>
            <w:tcW w:w="1771" w:type="dxa"/>
            <w:vMerge/>
            <w:tcBorders>
              <w:top w:val="single" w:sz="4" w:space="0" w:color="auto"/>
              <w:left w:val="single" w:sz="4" w:space="0" w:color="auto"/>
              <w:bottom w:val="single" w:sz="4" w:space="0" w:color="auto"/>
              <w:right w:val="single" w:sz="4" w:space="0" w:color="auto"/>
            </w:tcBorders>
            <w:vAlign w:val="center"/>
            <w:hideMark/>
          </w:tcPr>
          <w:p w14:paraId="249C3A32" w14:textId="77777777" w:rsidR="00094CB3" w:rsidRPr="006E1AF7" w:rsidRDefault="00094CB3" w:rsidP="00094CB3">
            <w:pPr>
              <w:rPr>
                <w:rFonts w:ascii="Arial" w:hAnsi="Arial" w:cs="Arial"/>
                <w:b/>
                <w:bCs/>
                <w:sz w:val="14"/>
                <w:szCs w:val="14"/>
                <w:lang w:eastAsia="es-AR"/>
              </w:rPr>
            </w:pPr>
          </w:p>
        </w:tc>
        <w:tc>
          <w:tcPr>
            <w:tcW w:w="922" w:type="dxa"/>
            <w:vMerge/>
            <w:tcBorders>
              <w:top w:val="single" w:sz="4" w:space="0" w:color="363639"/>
              <w:left w:val="single" w:sz="4" w:space="0" w:color="363639"/>
              <w:bottom w:val="single" w:sz="4" w:space="0" w:color="363639"/>
              <w:right w:val="single" w:sz="4" w:space="0" w:color="363639"/>
            </w:tcBorders>
            <w:vAlign w:val="center"/>
            <w:hideMark/>
          </w:tcPr>
          <w:p w14:paraId="1871637D" w14:textId="77777777" w:rsidR="00094CB3" w:rsidRPr="00995C31" w:rsidRDefault="00094CB3" w:rsidP="00094CB3">
            <w:pPr>
              <w:rPr>
                <w:rFonts w:ascii="Arial" w:hAnsi="Arial" w:cs="Arial"/>
                <w:b/>
                <w:bCs/>
                <w:sz w:val="14"/>
                <w:szCs w:val="14"/>
                <w:lang w:eastAsia="es-AR"/>
              </w:rPr>
            </w:pPr>
          </w:p>
        </w:tc>
        <w:tc>
          <w:tcPr>
            <w:tcW w:w="840" w:type="dxa"/>
            <w:vMerge/>
            <w:tcBorders>
              <w:top w:val="single" w:sz="4" w:space="0" w:color="363639"/>
              <w:left w:val="single" w:sz="4" w:space="0" w:color="363639"/>
              <w:bottom w:val="single" w:sz="4" w:space="0" w:color="363639"/>
              <w:right w:val="single" w:sz="4" w:space="0" w:color="363639"/>
            </w:tcBorders>
            <w:vAlign w:val="center"/>
            <w:hideMark/>
          </w:tcPr>
          <w:p w14:paraId="51026549" w14:textId="77777777" w:rsidR="00094CB3" w:rsidRPr="00995C31" w:rsidRDefault="00094CB3" w:rsidP="00094CB3">
            <w:pPr>
              <w:rPr>
                <w:rFonts w:ascii="Arial" w:hAnsi="Arial" w:cs="Arial"/>
                <w:b/>
                <w:bCs/>
                <w:sz w:val="14"/>
                <w:szCs w:val="14"/>
                <w:lang w:eastAsia="es-AR"/>
              </w:rPr>
            </w:pPr>
          </w:p>
        </w:tc>
        <w:tc>
          <w:tcPr>
            <w:tcW w:w="1073" w:type="dxa"/>
            <w:vMerge/>
            <w:tcBorders>
              <w:top w:val="single" w:sz="4" w:space="0" w:color="363639"/>
              <w:left w:val="single" w:sz="4" w:space="0" w:color="363639"/>
              <w:bottom w:val="single" w:sz="4" w:space="0" w:color="363639"/>
              <w:right w:val="single" w:sz="4" w:space="0" w:color="363639"/>
            </w:tcBorders>
            <w:vAlign w:val="center"/>
            <w:hideMark/>
          </w:tcPr>
          <w:p w14:paraId="63F4882B" w14:textId="77777777" w:rsidR="00094CB3" w:rsidRPr="00995C31" w:rsidRDefault="00094CB3" w:rsidP="00094CB3">
            <w:pPr>
              <w:rPr>
                <w:rFonts w:ascii="Arial" w:hAnsi="Arial" w:cs="Arial"/>
                <w:b/>
                <w:bCs/>
                <w:sz w:val="14"/>
                <w:szCs w:val="14"/>
                <w:lang w:eastAsia="es-AR"/>
              </w:rPr>
            </w:pPr>
          </w:p>
        </w:tc>
        <w:tc>
          <w:tcPr>
            <w:tcW w:w="856" w:type="dxa"/>
            <w:vMerge/>
            <w:tcBorders>
              <w:top w:val="single" w:sz="4" w:space="0" w:color="363639"/>
              <w:left w:val="single" w:sz="4" w:space="0" w:color="363639"/>
              <w:bottom w:val="single" w:sz="4" w:space="0" w:color="363639"/>
              <w:right w:val="single" w:sz="4" w:space="0" w:color="363639"/>
            </w:tcBorders>
            <w:vAlign w:val="center"/>
            <w:hideMark/>
          </w:tcPr>
          <w:p w14:paraId="3718D3FB" w14:textId="77777777" w:rsidR="00094CB3" w:rsidRPr="00995C31" w:rsidRDefault="00094CB3" w:rsidP="00094CB3">
            <w:pPr>
              <w:rPr>
                <w:rFonts w:ascii="Arial" w:hAnsi="Arial" w:cs="Arial"/>
                <w:b/>
                <w:bCs/>
                <w:sz w:val="14"/>
                <w:szCs w:val="14"/>
                <w:lang w:eastAsia="es-AR"/>
              </w:rPr>
            </w:pPr>
          </w:p>
        </w:tc>
        <w:tc>
          <w:tcPr>
            <w:tcW w:w="735" w:type="dxa"/>
            <w:vMerge/>
            <w:tcBorders>
              <w:top w:val="single" w:sz="4" w:space="0" w:color="363639"/>
              <w:left w:val="single" w:sz="4" w:space="0" w:color="363639"/>
              <w:bottom w:val="single" w:sz="4" w:space="0" w:color="363639"/>
              <w:right w:val="single" w:sz="4" w:space="0" w:color="363639"/>
            </w:tcBorders>
            <w:vAlign w:val="center"/>
            <w:hideMark/>
          </w:tcPr>
          <w:p w14:paraId="4E890F69" w14:textId="77777777" w:rsidR="00094CB3" w:rsidRPr="00995C31" w:rsidRDefault="00094CB3" w:rsidP="00094CB3">
            <w:pPr>
              <w:rPr>
                <w:rFonts w:ascii="Arial" w:hAnsi="Arial" w:cs="Arial"/>
                <w:b/>
                <w:bCs/>
                <w:sz w:val="14"/>
                <w:szCs w:val="14"/>
                <w:lang w:eastAsia="es-AR"/>
              </w:rPr>
            </w:pPr>
          </w:p>
        </w:tc>
        <w:tc>
          <w:tcPr>
            <w:tcW w:w="1006" w:type="dxa"/>
            <w:tcBorders>
              <w:top w:val="nil"/>
              <w:left w:val="nil"/>
              <w:bottom w:val="single" w:sz="4" w:space="0" w:color="363639"/>
              <w:right w:val="single" w:sz="4" w:space="0" w:color="363639"/>
            </w:tcBorders>
            <w:shd w:val="clear" w:color="auto" w:fill="auto"/>
            <w:vAlign w:val="center"/>
            <w:hideMark/>
          </w:tcPr>
          <w:p w14:paraId="7B211711" w14:textId="1F17C9A5" w:rsidR="00094CB3" w:rsidRPr="00995C31" w:rsidRDefault="00033CB1" w:rsidP="00094CB3">
            <w:pPr>
              <w:jc w:val="center"/>
              <w:rPr>
                <w:rFonts w:ascii="Arial" w:hAnsi="Arial" w:cs="Arial"/>
                <w:b/>
                <w:bCs/>
                <w:sz w:val="14"/>
                <w:szCs w:val="14"/>
                <w:lang w:eastAsia="es-AR"/>
              </w:rPr>
            </w:pPr>
            <w:r>
              <w:rPr>
                <w:rFonts w:ascii="Arial" w:hAnsi="Arial" w:cs="Arial"/>
                <w:b/>
                <w:bCs/>
                <w:sz w:val="14"/>
                <w:szCs w:val="14"/>
                <w:lang w:eastAsia="es-AR"/>
              </w:rPr>
              <w:t>Baja</w:t>
            </w:r>
          </w:p>
        </w:tc>
        <w:tc>
          <w:tcPr>
            <w:tcW w:w="798" w:type="dxa"/>
            <w:tcBorders>
              <w:top w:val="nil"/>
              <w:left w:val="nil"/>
              <w:bottom w:val="single" w:sz="4" w:space="0" w:color="363639"/>
              <w:right w:val="single" w:sz="4" w:space="0" w:color="363639"/>
            </w:tcBorders>
            <w:shd w:val="clear" w:color="auto" w:fill="auto"/>
            <w:vAlign w:val="center"/>
            <w:hideMark/>
          </w:tcPr>
          <w:p w14:paraId="3F7EE4E8" w14:textId="6E9F79D5" w:rsidR="00094CB3" w:rsidRPr="00995C31" w:rsidRDefault="00094CB3" w:rsidP="00094CB3">
            <w:pPr>
              <w:jc w:val="center"/>
              <w:rPr>
                <w:rFonts w:ascii="Arial" w:hAnsi="Arial" w:cs="Arial"/>
                <w:b/>
                <w:bCs/>
                <w:sz w:val="14"/>
                <w:szCs w:val="14"/>
                <w:lang w:eastAsia="es-AR"/>
              </w:rPr>
            </w:pPr>
            <w:r w:rsidRPr="006E1AF7">
              <w:rPr>
                <w:rFonts w:ascii="Arial" w:hAnsi="Arial" w:cs="Arial"/>
                <w:b/>
                <w:bCs/>
                <w:sz w:val="14"/>
                <w:szCs w:val="14"/>
                <w:lang w:eastAsia="es-AR"/>
              </w:rPr>
              <w:t xml:space="preserve">Del </w:t>
            </w:r>
            <w:r w:rsidR="00995C31">
              <w:rPr>
                <w:rFonts w:ascii="Arial" w:hAnsi="Arial" w:cs="Arial"/>
                <w:b/>
                <w:bCs/>
                <w:sz w:val="14"/>
                <w:szCs w:val="14"/>
                <w:lang w:eastAsia="es-AR"/>
              </w:rPr>
              <w:t>ejercicio</w:t>
            </w:r>
          </w:p>
        </w:tc>
        <w:tc>
          <w:tcPr>
            <w:tcW w:w="801" w:type="dxa"/>
            <w:tcBorders>
              <w:top w:val="nil"/>
              <w:left w:val="nil"/>
              <w:bottom w:val="single" w:sz="4" w:space="0" w:color="363639"/>
              <w:right w:val="single" w:sz="4" w:space="0" w:color="363639"/>
            </w:tcBorders>
            <w:shd w:val="clear" w:color="auto" w:fill="auto"/>
            <w:vAlign w:val="center"/>
            <w:hideMark/>
          </w:tcPr>
          <w:p w14:paraId="02206A55" w14:textId="77777777" w:rsidR="00094CB3" w:rsidRPr="00995C31" w:rsidRDefault="00094CB3" w:rsidP="00094CB3">
            <w:pPr>
              <w:jc w:val="center"/>
              <w:rPr>
                <w:rFonts w:ascii="Arial" w:hAnsi="Arial" w:cs="Arial"/>
                <w:b/>
                <w:bCs/>
                <w:sz w:val="14"/>
                <w:szCs w:val="14"/>
                <w:lang w:eastAsia="es-AR"/>
              </w:rPr>
            </w:pPr>
            <w:r w:rsidRPr="006E1AF7">
              <w:rPr>
                <w:rFonts w:ascii="Arial" w:hAnsi="Arial" w:cs="Arial"/>
                <w:b/>
                <w:bCs/>
                <w:sz w:val="14"/>
                <w:szCs w:val="14"/>
                <w:lang w:eastAsia="es-AR"/>
              </w:rPr>
              <w:t>Al cierre</w:t>
            </w:r>
          </w:p>
        </w:tc>
        <w:tc>
          <w:tcPr>
            <w:tcW w:w="1049" w:type="dxa"/>
            <w:vMerge/>
            <w:tcBorders>
              <w:top w:val="single" w:sz="4" w:space="0" w:color="363639"/>
              <w:left w:val="single" w:sz="4" w:space="0" w:color="363639"/>
              <w:bottom w:val="single" w:sz="4" w:space="0" w:color="363639"/>
              <w:right w:val="single" w:sz="4" w:space="0" w:color="auto"/>
            </w:tcBorders>
            <w:vAlign w:val="center"/>
            <w:hideMark/>
          </w:tcPr>
          <w:p w14:paraId="309BEE62" w14:textId="77777777" w:rsidR="00094CB3" w:rsidRPr="00995C31" w:rsidRDefault="00094CB3" w:rsidP="00094CB3">
            <w:pPr>
              <w:rPr>
                <w:rFonts w:ascii="Arial" w:hAnsi="Arial" w:cs="Arial"/>
                <w:b/>
                <w:bCs/>
                <w:sz w:val="14"/>
                <w:szCs w:val="14"/>
                <w:lang w:eastAsia="es-AR"/>
              </w:rPr>
            </w:pPr>
          </w:p>
        </w:tc>
      </w:tr>
      <w:tr w:rsidR="00995C31" w:rsidRPr="00995C31" w14:paraId="7836ECED" w14:textId="77777777" w:rsidTr="00A059FB">
        <w:trPr>
          <w:trHeight w:val="307"/>
        </w:trPr>
        <w:tc>
          <w:tcPr>
            <w:tcW w:w="9851" w:type="dxa"/>
            <w:gridSpan w:val="10"/>
            <w:tcBorders>
              <w:top w:val="nil"/>
              <w:left w:val="single" w:sz="4" w:space="0" w:color="363639"/>
              <w:bottom w:val="single" w:sz="4" w:space="0" w:color="363639"/>
              <w:right w:val="single" w:sz="4" w:space="0" w:color="000000"/>
            </w:tcBorders>
            <w:shd w:val="clear" w:color="auto" w:fill="auto"/>
            <w:hideMark/>
          </w:tcPr>
          <w:p w14:paraId="6684301E" w14:textId="77777777" w:rsidR="00094CB3" w:rsidRPr="00995C31" w:rsidRDefault="00094CB3" w:rsidP="00094CB3">
            <w:pPr>
              <w:rPr>
                <w:rFonts w:ascii="Arial" w:hAnsi="Arial" w:cs="Arial"/>
                <w:b/>
                <w:bCs/>
                <w:sz w:val="14"/>
                <w:szCs w:val="14"/>
                <w:lang w:eastAsia="es-AR"/>
              </w:rPr>
            </w:pPr>
            <w:r w:rsidRPr="006E1AF7">
              <w:rPr>
                <w:rFonts w:ascii="Arial" w:hAnsi="Arial" w:cs="Arial"/>
                <w:b/>
                <w:bCs/>
                <w:sz w:val="14"/>
                <w:szCs w:val="14"/>
                <w:lang w:eastAsia="es-AR"/>
              </w:rPr>
              <w:t>Medición al costo</w:t>
            </w:r>
          </w:p>
        </w:tc>
      </w:tr>
      <w:tr w:rsidR="00995C31" w:rsidRPr="00995C31" w14:paraId="1FD22F17" w14:textId="77777777" w:rsidTr="00A059FB">
        <w:trPr>
          <w:trHeight w:val="279"/>
        </w:trPr>
        <w:tc>
          <w:tcPr>
            <w:tcW w:w="1771" w:type="dxa"/>
            <w:tcBorders>
              <w:top w:val="single" w:sz="4" w:space="0" w:color="AC9F9B"/>
              <w:left w:val="single" w:sz="4" w:space="0" w:color="363639"/>
              <w:bottom w:val="single" w:sz="4" w:space="0" w:color="363639"/>
              <w:right w:val="single" w:sz="4" w:space="0" w:color="363639"/>
            </w:tcBorders>
            <w:shd w:val="clear" w:color="auto" w:fill="auto"/>
            <w:hideMark/>
          </w:tcPr>
          <w:p w14:paraId="6E2C2DDD" w14:textId="77777777" w:rsidR="00094CB3" w:rsidRPr="00995C31" w:rsidRDefault="00094CB3" w:rsidP="00094CB3">
            <w:pPr>
              <w:rPr>
                <w:rFonts w:ascii="Arial" w:hAnsi="Arial" w:cs="Arial"/>
                <w:sz w:val="14"/>
                <w:szCs w:val="14"/>
                <w:lang w:eastAsia="es-AR"/>
              </w:rPr>
            </w:pPr>
            <w:r w:rsidRPr="006E1AF7">
              <w:rPr>
                <w:rFonts w:ascii="Arial" w:hAnsi="Arial" w:cs="Arial"/>
                <w:sz w:val="14"/>
                <w:szCs w:val="14"/>
                <w:lang w:eastAsia="es-AR"/>
              </w:rPr>
              <w:t>Inmuebles alquilados</w:t>
            </w:r>
          </w:p>
        </w:tc>
        <w:tc>
          <w:tcPr>
            <w:tcW w:w="922" w:type="dxa"/>
            <w:tcBorders>
              <w:top w:val="nil"/>
              <w:left w:val="nil"/>
              <w:bottom w:val="single" w:sz="4" w:space="0" w:color="auto"/>
              <w:right w:val="single" w:sz="4" w:space="0" w:color="363639"/>
            </w:tcBorders>
            <w:shd w:val="clear" w:color="auto" w:fill="auto"/>
            <w:noWrap/>
            <w:vAlign w:val="bottom"/>
            <w:hideMark/>
          </w:tcPr>
          <w:p w14:paraId="2FE87B89" w14:textId="7711D7BD" w:rsidR="00094CB3" w:rsidRPr="00995C31" w:rsidRDefault="00033CB1" w:rsidP="00094CB3">
            <w:pPr>
              <w:jc w:val="right"/>
              <w:rPr>
                <w:rFonts w:ascii="Arial" w:hAnsi="Arial" w:cs="Arial"/>
                <w:b/>
                <w:sz w:val="14"/>
                <w:szCs w:val="14"/>
                <w:lang w:eastAsia="es-AR"/>
              </w:rPr>
            </w:pPr>
            <w:r>
              <w:rPr>
                <w:rFonts w:ascii="Arial" w:hAnsi="Arial" w:cs="Arial"/>
                <w:b/>
                <w:sz w:val="14"/>
                <w:szCs w:val="14"/>
                <w:lang w:eastAsia="es-AR"/>
              </w:rPr>
              <w:t>0</w:t>
            </w:r>
          </w:p>
        </w:tc>
        <w:tc>
          <w:tcPr>
            <w:tcW w:w="840" w:type="dxa"/>
            <w:tcBorders>
              <w:top w:val="nil"/>
              <w:left w:val="nil"/>
              <w:bottom w:val="single" w:sz="4" w:space="0" w:color="auto"/>
              <w:right w:val="single" w:sz="4" w:space="0" w:color="363639"/>
            </w:tcBorders>
            <w:shd w:val="clear" w:color="auto" w:fill="auto"/>
            <w:noWrap/>
            <w:vAlign w:val="bottom"/>
            <w:hideMark/>
          </w:tcPr>
          <w:p w14:paraId="04D8012D" w14:textId="77777777" w:rsidR="00094CB3" w:rsidRPr="00995C31" w:rsidRDefault="00094CB3" w:rsidP="00094CB3">
            <w:pPr>
              <w:jc w:val="right"/>
              <w:rPr>
                <w:rFonts w:ascii="Arial" w:hAnsi="Arial" w:cs="Arial"/>
                <w:sz w:val="14"/>
                <w:szCs w:val="14"/>
                <w:lang w:eastAsia="es-AR"/>
              </w:rPr>
            </w:pPr>
            <w:r w:rsidRPr="00995C31">
              <w:rPr>
                <w:rFonts w:ascii="Arial" w:hAnsi="Arial" w:cs="Arial"/>
                <w:sz w:val="14"/>
                <w:szCs w:val="14"/>
                <w:lang w:eastAsia="es-AR"/>
              </w:rPr>
              <w:t xml:space="preserve">5 </w:t>
            </w:r>
          </w:p>
        </w:tc>
        <w:tc>
          <w:tcPr>
            <w:tcW w:w="1073" w:type="dxa"/>
            <w:tcBorders>
              <w:top w:val="nil"/>
              <w:left w:val="nil"/>
              <w:bottom w:val="single" w:sz="4" w:space="0" w:color="363639"/>
              <w:right w:val="single" w:sz="4" w:space="0" w:color="363639"/>
            </w:tcBorders>
            <w:shd w:val="clear" w:color="auto" w:fill="auto"/>
            <w:vAlign w:val="bottom"/>
            <w:hideMark/>
          </w:tcPr>
          <w:p w14:paraId="6DB1DCFB" w14:textId="2647C8D7" w:rsidR="00094CB3" w:rsidRPr="00995C31" w:rsidRDefault="007A3E3C" w:rsidP="007A3E3C">
            <w:pPr>
              <w:jc w:val="right"/>
              <w:rPr>
                <w:rFonts w:ascii="Calibri" w:hAnsi="Calibri" w:cs="Calibri"/>
                <w:sz w:val="14"/>
                <w:szCs w:val="14"/>
                <w:lang w:eastAsia="es-AR"/>
              </w:rPr>
            </w:pPr>
            <w:r w:rsidRPr="006E1AF7">
              <w:rPr>
                <w:rFonts w:ascii="Arial" w:hAnsi="Arial" w:cs="Arial"/>
                <w:sz w:val="14"/>
                <w:szCs w:val="14"/>
                <w:lang w:eastAsia="es-AR"/>
              </w:rPr>
              <w:t>-</w:t>
            </w:r>
          </w:p>
        </w:tc>
        <w:tc>
          <w:tcPr>
            <w:tcW w:w="856" w:type="dxa"/>
            <w:tcBorders>
              <w:top w:val="nil"/>
              <w:left w:val="nil"/>
              <w:bottom w:val="single" w:sz="4" w:space="0" w:color="auto"/>
              <w:right w:val="single" w:sz="4" w:space="0" w:color="363639"/>
            </w:tcBorders>
            <w:shd w:val="clear" w:color="auto" w:fill="auto"/>
            <w:noWrap/>
            <w:vAlign w:val="bottom"/>
            <w:hideMark/>
          </w:tcPr>
          <w:p w14:paraId="5B778DE1" w14:textId="028E5524" w:rsidR="00094CB3" w:rsidRPr="00995C31" w:rsidRDefault="00033CB1" w:rsidP="00094CB3">
            <w:pPr>
              <w:jc w:val="right"/>
              <w:rPr>
                <w:rFonts w:ascii="Arial" w:hAnsi="Arial" w:cs="Arial"/>
                <w:sz w:val="14"/>
                <w:szCs w:val="14"/>
                <w:lang w:eastAsia="es-AR"/>
              </w:rPr>
            </w:pPr>
            <w:r>
              <w:rPr>
                <w:rFonts w:ascii="Arial" w:hAnsi="Arial" w:cs="Arial"/>
                <w:sz w:val="14"/>
                <w:szCs w:val="14"/>
                <w:lang w:eastAsia="es-AR"/>
              </w:rPr>
              <w:t>5.995</w:t>
            </w:r>
            <w:r w:rsidR="00094CB3" w:rsidRPr="00995C31">
              <w:rPr>
                <w:rFonts w:ascii="Arial" w:hAnsi="Arial" w:cs="Arial"/>
                <w:sz w:val="14"/>
                <w:szCs w:val="14"/>
                <w:lang w:eastAsia="es-AR"/>
              </w:rPr>
              <w:t xml:space="preserve"> </w:t>
            </w:r>
          </w:p>
        </w:tc>
        <w:tc>
          <w:tcPr>
            <w:tcW w:w="735" w:type="dxa"/>
            <w:tcBorders>
              <w:top w:val="nil"/>
              <w:left w:val="nil"/>
              <w:bottom w:val="single" w:sz="4" w:space="0" w:color="auto"/>
              <w:right w:val="single" w:sz="4" w:space="0" w:color="363639"/>
            </w:tcBorders>
            <w:shd w:val="clear" w:color="auto" w:fill="auto"/>
            <w:noWrap/>
            <w:vAlign w:val="bottom"/>
            <w:hideMark/>
          </w:tcPr>
          <w:p w14:paraId="148AE4F4" w14:textId="578095F5" w:rsidR="00094CB3" w:rsidRPr="00995C31" w:rsidRDefault="00094CB3" w:rsidP="007A3E3C">
            <w:pPr>
              <w:jc w:val="right"/>
              <w:rPr>
                <w:rFonts w:ascii="Arial" w:hAnsi="Arial" w:cs="Arial"/>
                <w:sz w:val="14"/>
                <w:szCs w:val="14"/>
                <w:lang w:eastAsia="es-AR"/>
              </w:rPr>
            </w:pPr>
            <w:r w:rsidRPr="00995C31">
              <w:rPr>
                <w:rFonts w:ascii="Arial" w:hAnsi="Arial" w:cs="Arial"/>
                <w:sz w:val="14"/>
                <w:szCs w:val="14"/>
                <w:lang w:eastAsia="es-AR"/>
              </w:rPr>
              <w:t> </w:t>
            </w:r>
            <w:r w:rsidR="007A3E3C" w:rsidRPr="006E1AF7">
              <w:rPr>
                <w:rFonts w:ascii="Arial" w:hAnsi="Arial" w:cs="Arial"/>
                <w:sz w:val="14"/>
                <w:szCs w:val="14"/>
                <w:lang w:eastAsia="es-AR"/>
              </w:rPr>
              <w:t>-</w:t>
            </w:r>
          </w:p>
        </w:tc>
        <w:tc>
          <w:tcPr>
            <w:tcW w:w="1006" w:type="dxa"/>
            <w:tcBorders>
              <w:top w:val="nil"/>
              <w:left w:val="nil"/>
              <w:bottom w:val="single" w:sz="4" w:space="0" w:color="auto"/>
              <w:right w:val="single" w:sz="4" w:space="0" w:color="363639"/>
            </w:tcBorders>
            <w:shd w:val="clear" w:color="auto" w:fill="auto"/>
            <w:noWrap/>
            <w:vAlign w:val="bottom"/>
            <w:hideMark/>
          </w:tcPr>
          <w:p w14:paraId="2F7E33EB" w14:textId="20E6585A" w:rsidR="00094CB3" w:rsidRPr="00995C31" w:rsidRDefault="00033CB1" w:rsidP="00094CB3">
            <w:pPr>
              <w:jc w:val="right"/>
              <w:rPr>
                <w:rFonts w:ascii="Arial" w:hAnsi="Arial" w:cs="Arial"/>
                <w:sz w:val="14"/>
                <w:szCs w:val="14"/>
                <w:lang w:eastAsia="es-AR"/>
              </w:rPr>
            </w:pPr>
            <w:r>
              <w:rPr>
                <w:rFonts w:ascii="Arial" w:hAnsi="Arial" w:cs="Arial"/>
                <w:sz w:val="14"/>
                <w:szCs w:val="14"/>
                <w:lang w:eastAsia="es-AR"/>
              </w:rPr>
              <w:t>(67)</w:t>
            </w:r>
          </w:p>
        </w:tc>
        <w:tc>
          <w:tcPr>
            <w:tcW w:w="798" w:type="dxa"/>
            <w:tcBorders>
              <w:top w:val="nil"/>
              <w:left w:val="nil"/>
              <w:bottom w:val="single" w:sz="4" w:space="0" w:color="auto"/>
              <w:right w:val="single" w:sz="4" w:space="0" w:color="363639"/>
            </w:tcBorders>
            <w:shd w:val="clear" w:color="auto" w:fill="auto"/>
            <w:noWrap/>
            <w:vAlign w:val="bottom"/>
            <w:hideMark/>
          </w:tcPr>
          <w:p w14:paraId="179A7898" w14:textId="3FD826E6" w:rsidR="00094CB3" w:rsidRPr="00995C31" w:rsidRDefault="00094CB3" w:rsidP="00094CB3">
            <w:pPr>
              <w:jc w:val="right"/>
              <w:rPr>
                <w:rFonts w:ascii="Arial" w:hAnsi="Arial" w:cs="Arial"/>
                <w:sz w:val="14"/>
                <w:szCs w:val="14"/>
                <w:lang w:eastAsia="es-AR"/>
              </w:rPr>
            </w:pPr>
            <w:r w:rsidRPr="00995C31">
              <w:rPr>
                <w:rFonts w:ascii="Arial" w:hAnsi="Arial" w:cs="Arial"/>
                <w:sz w:val="14"/>
                <w:szCs w:val="14"/>
                <w:lang w:eastAsia="es-AR"/>
              </w:rPr>
              <w:t>(</w:t>
            </w:r>
            <w:r w:rsidR="00033CB1">
              <w:rPr>
                <w:rFonts w:ascii="Arial" w:hAnsi="Arial" w:cs="Arial"/>
                <w:sz w:val="14"/>
                <w:szCs w:val="14"/>
                <w:lang w:eastAsia="es-AR"/>
              </w:rPr>
              <w:t>406</w:t>
            </w:r>
            <w:r w:rsidRPr="00995C31">
              <w:rPr>
                <w:rFonts w:ascii="Arial" w:hAnsi="Arial" w:cs="Arial"/>
                <w:sz w:val="14"/>
                <w:szCs w:val="14"/>
                <w:lang w:eastAsia="es-AR"/>
              </w:rPr>
              <w:t>)</w:t>
            </w:r>
          </w:p>
        </w:tc>
        <w:tc>
          <w:tcPr>
            <w:tcW w:w="801" w:type="dxa"/>
            <w:tcBorders>
              <w:top w:val="nil"/>
              <w:left w:val="nil"/>
              <w:bottom w:val="single" w:sz="4" w:space="0" w:color="auto"/>
              <w:right w:val="single" w:sz="4" w:space="0" w:color="363639"/>
            </w:tcBorders>
            <w:shd w:val="clear" w:color="auto" w:fill="auto"/>
            <w:noWrap/>
            <w:vAlign w:val="bottom"/>
            <w:hideMark/>
          </w:tcPr>
          <w:p w14:paraId="1C1117DE" w14:textId="625913DA" w:rsidR="00094CB3" w:rsidRPr="00995C31" w:rsidRDefault="00094CB3" w:rsidP="00094CB3">
            <w:pPr>
              <w:jc w:val="right"/>
              <w:rPr>
                <w:rFonts w:ascii="Arial" w:hAnsi="Arial" w:cs="Arial"/>
                <w:sz w:val="14"/>
                <w:szCs w:val="14"/>
                <w:lang w:eastAsia="es-AR"/>
              </w:rPr>
            </w:pPr>
            <w:r w:rsidRPr="00995C31">
              <w:rPr>
                <w:rFonts w:ascii="Arial" w:hAnsi="Arial" w:cs="Arial"/>
                <w:sz w:val="14"/>
                <w:szCs w:val="14"/>
                <w:lang w:eastAsia="es-AR"/>
              </w:rPr>
              <w:t>(</w:t>
            </w:r>
            <w:r w:rsidR="00033CB1">
              <w:rPr>
                <w:rFonts w:ascii="Arial" w:hAnsi="Arial" w:cs="Arial"/>
                <w:sz w:val="14"/>
                <w:szCs w:val="14"/>
                <w:lang w:eastAsia="es-AR"/>
              </w:rPr>
              <w:t>473</w:t>
            </w:r>
            <w:r w:rsidRPr="00995C31">
              <w:rPr>
                <w:rFonts w:ascii="Arial" w:hAnsi="Arial" w:cs="Arial"/>
                <w:sz w:val="14"/>
                <w:szCs w:val="14"/>
                <w:lang w:eastAsia="es-AR"/>
              </w:rPr>
              <w:t>)</w:t>
            </w:r>
          </w:p>
        </w:tc>
        <w:tc>
          <w:tcPr>
            <w:tcW w:w="1049" w:type="dxa"/>
            <w:tcBorders>
              <w:top w:val="nil"/>
              <w:left w:val="nil"/>
              <w:bottom w:val="single" w:sz="4" w:space="0" w:color="auto"/>
              <w:right w:val="single" w:sz="4" w:space="0" w:color="auto"/>
            </w:tcBorders>
            <w:shd w:val="clear" w:color="auto" w:fill="auto"/>
            <w:noWrap/>
            <w:vAlign w:val="bottom"/>
            <w:hideMark/>
          </w:tcPr>
          <w:p w14:paraId="56CD5F69" w14:textId="0E5B8B48" w:rsidR="00094CB3" w:rsidRPr="00995C31" w:rsidRDefault="00033CB1" w:rsidP="00094CB3">
            <w:pPr>
              <w:jc w:val="right"/>
              <w:rPr>
                <w:rFonts w:ascii="Arial" w:hAnsi="Arial" w:cs="Arial"/>
                <w:b/>
                <w:sz w:val="14"/>
                <w:szCs w:val="14"/>
                <w:lang w:eastAsia="es-AR"/>
              </w:rPr>
            </w:pPr>
            <w:r>
              <w:rPr>
                <w:rFonts w:ascii="Arial" w:hAnsi="Arial" w:cs="Arial"/>
                <w:b/>
                <w:sz w:val="14"/>
                <w:szCs w:val="14"/>
                <w:lang w:eastAsia="es-AR"/>
              </w:rPr>
              <w:t>5.522</w:t>
            </w:r>
            <w:r w:rsidR="00094CB3" w:rsidRPr="00995C31">
              <w:rPr>
                <w:rFonts w:ascii="Arial" w:hAnsi="Arial" w:cs="Arial"/>
                <w:b/>
                <w:sz w:val="14"/>
                <w:szCs w:val="14"/>
                <w:lang w:eastAsia="es-AR"/>
              </w:rPr>
              <w:t xml:space="preserve"> </w:t>
            </w:r>
          </w:p>
        </w:tc>
      </w:tr>
      <w:tr w:rsidR="00995C31" w:rsidRPr="00995C31" w14:paraId="11643C7B" w14:textId="77777777" w:rsidTr="00A059FB">
        <w:trPr>
          <w:trHeight w:val="321"/>
        </w:trPr>
        <w:tc>
          <w:tcPr>
            <w:tcW w:w="9851" w:type="dxa"/>
            <w:gridSpan w:val="10"/>
            <w:tcBorders>
              <w:top w:val="nil"/>
              <w:left w:val="single" w:sz="4" w:space="0" w:color="363639"/>
              <w:bottom w:val="nil"/>
              <w:right w:val="single" w:sz="4" w:space="0" w:color="000000"/>
            </w:tcBorders>
            <w:shd w:val="clear" w:color="auto" w:fill="auto"/>
            <w:hideMark/>
          </w:tcPr>
          <w:p w14:paraId="5D654711" w14:textId="77777777" w:rsidR="00094CB3" w:rsidRPr="00995C31" w:rsidRDefault="00094CB3" w:rsidP="00094CB3">
            <w:pPr>
              <w:rPr>
                <w:rFonts w:ascii="Arial" w:hAnsi="Arial" w:cs="Arial"/>
                <w:b/>
                <w:bCs/>
                <w:sz w:val="14"/>
                <w:szCs w:val="14"/>
                <w:lang w:eastAsia="es-AR"/>
              </w:rPr>
            </w:pPr>
            <w:r w:rsidRPr="006E1AF7">
              <w:rPr>
                <w:rFonts w:ascii="Arial" w:hAnsi="Arial" w:cs="Arial"/>
                <w:b/>
                <w:bCs/>
                <w:sz w:val="14"/>
                <w:szCs w:val="14"/>
                <w:lang w:eastAsia="es-AR"/>
              </w:rPr>
              <w:t>Medición al valor razonable</w:t>
            </w:r>
          </w:p>
        </w:tc>
      </w:tr>
      <w:tr w:rsidR="00995C31" w:rsidRPr="00995C31" w14:paraId="2F5F0AC0" w14:textId="77777777" w:rsidTr="00A059FB">
        <w:trPr>
          <w:trHeight w:val="217"/>
        </w:trPr>
        <w:tc>
          <w:tcPr>
            <w:tcW w:w="1771" w:type="dxa"/>
            <w:tcBorders>
              <w:top w:val="single" w:sz="4" w:space="0" w:color="AC9F9B"/>
              <w:left w:val="single" w:sz="4" w:space="0" w:color="363639"/>
              <w:bottom w:val="single" w:sz="4" w:space="0" w:color="363639"/>
              <w:right w:val="single" w:sz="4" w:space="0" w:color="363639"/>
            </w:tcBorders>
            <w:shd w:val="clear" w:color="auto" w:fill="auto"/>
            <w:hideMark/>
          </w:tcPr>
          <w:p w14:paraId="4D710456" w14:textId="77777777" w:rsidR="007A3E3C" w:rsidRPr="00995C31" w:rsidRDefault="007A3E3C" w:rsidP="007A3E3C">
            <w:pPr>
              <w:rPr>
                <w:rFonts w:ascii="Arial" w:hAnsi="Arial" w:cs="Arial"/>
                <w:sz w:val="14"/>
                <w:szCs w:val="14"/>
                <w:lang w:eastAsia="es-AR"/>
              </w:rPr>
            </w:pPr>
            <w:r w:rsidRPr="006E1AF7">
              <w:rPr>
                <w:rFonts w:ascii="Arial" w:hAnsi="Arial" w:cs="Arial"/>
                <w:sz w:val="14"/>
                <w:szCs w:val="14"/>
                <w:lang w:eastAsia="es-AR"/>
              </w:rPr>
              <w:t>Inmuebles alquilados</w:t>
            </w:r>
          </w:p>
        </w:tc>
        <w:tc>
          <w:tcPr>
            <w:tcW w:w="922" w:type="dxa"/>
            <w:tcBorders>
              <w:top w:val="single" w:sz="4" w:space="0" w:color="363639"/>
              <w:left w:val="nil"/>
              <w:bottom w:val="single" w:sz="4" w:space="0" w:color="auto"/>
              <w:right w:val="single" w:sz="4" w:space="0" w:color="363639"/>
            </w:tcBorders>
            <w:shd w:val="clear" w:color="auto" w:fill="auto"/>
            <w:noWrap/>
            <w:vAlign w:val="bottom"/>
            <w:hideMark/>
          </w:tcPr>
          <w:p w14:paraId="03C0464A" w14:textId="68FB1103" w:rsidR="007A3E3C" w:rsidRPr="00995C31" w:rsidRDefault="00033CB1" w:rsidP="007A3E3C">
            <w:pPr>
              <w:jc w:val="right"/>
              <w:rPr>
                <w:rFonts w:ascii="Arial" w:hAnsi="Arial" w:cs="Arial"/>
                <w:b/>
                <w:sz w:val="14"/>
                <w:szCs w:val="14"/>
                <w:lang w:eastAsia="es-AR"/>
              </w:rPr>
            </w:pPr>
            <w:r>
              <w:rPr>
                <w:rFonts w:ascii="Arial" w:hAnsi="Arial" w:cs="Arial"/>
                <w:b/>
                <w:sz w:val="14"/>
                <w:szCs w:val="14"/>
                <w:lang w:eastAsia="es-AR"/>
              </w:rPr>
              <w:t>198.371</w:t>
            </w:r>
            <w:r w:rsidR="007A3E3C" w:rsidRPr="00995C31">
              <w:rPr>
                <w:rFonts w:ascii="Arial" w:hAnsi="Arial" w:cs="Arial"/>
                <w:b/>
                <w:sz w:val="14"/>
                <w:szCs w:val="14"/>
                <w:lang w:eastAsia="es-AR"/>
              </w:rPr>
              <w:t xml:space="preserve"> </w:t>
            </w:r>
          </w:p>
        </w:tc>
        <w:tc>
          <w:tcPr>
            <w:tcW w:w="840" w:type="dxa"/>
            <w:tcBorders>
              <w:top w:val="single" w:sz="4" w:space="0" w:color="363639"/>
              <w:left w:val="nil"/>
              <w:bottom w:val="single" w:sz="4" w:space="0" w:color="auto"/>
              <w:right w:val="single" w:sz="4" w:space="0" w:color="363639"/>
            </w:tcBorders>
            <w:shd w:val="clear" w:color="auto" w:fill="auto"/>
            <w:noWrap/>
            <w:vAlign w:val="bottom"/>
            <w:hideMark/>
          </w:tcPr>
          <w:p w14:paraId="02553FB5" w14:textId="77777777" w:rsidR="007A3E3C" w:rsidRPr="00995C31" w:rsidRDefault="007A3E3C" w:rsidP="007A3E3C">
            <w:pPr>
              <w:jc w:val="right"/>
              <w:rPr>
                <w:rFonts w:ascii="Arial" w:hAnsi="Arial" w:cs="Arial"/>
                <w:sz w:val="14"/>
                <w:szCs w:val="14"/>
                <w:lang w:eastAsia="es-AR"/>
              </w:rPr>
            </w:pPr>
            <w:r w:rsidRPr="00995C31">
              <w:rPr>
                <w:rFonts w:ascii="Arial" w:hAnsi="Arial" w:cs="Arial"/>
                <w:sz w:val="14"/>
                <w:szCs w:val="14"/>
                <w:lang w:eastAsia="es-AR"/>
              </w:rPr>
              <w:t xml:space="preserve">50 </w:t>
            </w:r>
          </w:p>
        </w:tc>
        <w:tc>
          <w:tcPr>
            <w:tcW w:w="1073" w:type="dxa"/>
            <w:tcBorders>
              <w:top w:val="single" w:sz="4" w:space="0" w:color="auto"/>
              <w:left w:val="nil"/>
              <w:bottom w:val="single" w:sz="4" w:space="0" w:color="auto"/>
              <w:right w:val="single" w:sz="4" w:space="0" w:color="363639"/>
            </w:tcBorders>
            <w:shd w:val="clear" w:color="auto" w:fill="auto"/>
            <w:noWrap/>
            <w:vAlign w:val="bottom"/>
            <w:hideMark/>
          </w:tcPr>
          <w:p w14:paraId="1B79A66C" w14:textId="02C8815A" w:rsidR="007A3E3C" w:rsidRPr="00995C31" w:rsidRDefault="00033CB1" w:rsidP="007A3E3C">
            <w:pPr>
              <w:jc w:val="right"/>
              <w:rPr>
                <w:rFonts w:ascii="Arial" w:hAnsi="Arial" w:cs="Arial"/>
                <w:sz w:val="14"/>
                <w:szCs w:val="14"/>
                <w:lang w:eastAsia="es-AR"/>
              </w:rPr>
            </w:pPr>
            <w:r>
              <w:rPr>
                <w:rFonts w:ascii="Arial" w:hAnsi="Arial" w:cs="Arial"/>
                <w:sz w:val="14"/>
                <w:szCs w:val="14"/>
                <w:lang w:eastAsia="es-AR"/>
              </w:rPr>
              <w:t>208.983</w:t>
            </w:r>
          </w:p>
        </w:tc>
        <w:tc>
          <w:tcPr>
            <w:tcW w:w="856" w:type="dxa"/>
            <w:tcBorders>
              <w:top w:val="single" w:sz="4" w:space="0" w:color="auto"/>
              <w:left w:val="nil"/>
              <w:bottom w:val="single" w:sz="4" w:space="0" w:color="auto"/>
              <w:right w:val="single" w:sz="4" w:space="0" w:color="363639"/>
            </w:tcBorders>
            <w:shd w:val="clear" w:color="auto" w:fill="auto"/>
            <w:noWrap/>
            <w:vAlign w:val="bottom"/>
            <w:hideMark/>
          </w:tcPr>
          <w:p w14:paraId="24F24266" w14:textId="61170454" w:rsidR="007A3E3C" w:rsidRPr="00995C31" w:rsidRDefault="00033CB1" w:rsidP="007A3E3C">
            <w:pPr>
              <w:jc w:val="right"/>
              <w:rPr>
                <w:rFonts w:ascii="Arial" w:hAnsi="Arial" w:cs="Arial"/>
                <w:sz w:val="14"/>
                <w:szCs w:val="14"/>
                <w:lang w:eastAsia="es-AR"/>
              </w:rPr>
            </w:pPr>
            <w:r>
              <w:rPr>
                <w:rFonts w:ascii="Arial" w:hAnsi="Arial" w:cs="Arial"/>
                <w:sz w:val="14"/>
                <w:szCs w:val="14"/>
                <w:lang w:eastAsia="es-AR"/>
              </w:rPr>
              <w:t>0</w:t>
            </w:r>
            <w:r w:rsidR="007A3E3C" w:rsidRPr="00995C31">
              <w:rPr>
                <w:rFonts w:ascii="Arial" w:hAnsi="Arial" w:cs="Arial"/>
                <w:sz w:val="14"/>
                <w:szCs w:val="14"/>
                <w:lang w:eastAsia="es-AR"/>
              </w:rPr>
              <w:t xml:space="preserve"> </w:t>
            </w:r>
          </w:p>
        </w:tc>
        <w:tc>
          <w:tcPr>
            <w:tcW w:w="735" w:type="dxa"/>
            <w:tcBorders>
              <w:top w:val="single" w:sz="4" w:space="0" w:color="auto"/>
              <w:left w:val="nil"/>
              <w:bottom w:val="single" w:sz="4" w:space="0" w:color="auto"/>
              <w:right w:val="single" w:sz="4" w:space="0" w:color="363639"/>
            </w:tcBorders>
            <w:shd w:val="clear" w:color="auto" w:fill="auto"/>
            <w:noWrap/>
            <w:vAlign w:val="bottom"/>
            <w:hideMark/>
          </w:tcPr>
          <w:p w14:paraId="7CEA0045" w14:textId="4B0DF1EB" w:rsidR="007A3E3C" w:rsidRPr="00995C31" w:rsidRDefault="007A3E3C" w:rsidP="007A3E3C">
            <w:pPr>
              <w:jc w:val="right"/>
              <w:rPr>
                <w:rFonts w:ascii="Arial" w:hAnsi="Arial" w:cs="Arial"/>
                <w:sz w:val="14"/>
                <w:szCs w:val="14"/>
                <w:lang w:eastAsia="es-AR"/>
              </w:rPr>
            </w:pPr>
            <w:r w:rsidRPr="00995C31">
              <w:rPr>
                <w:rFonts w:ascii="Arial" w:hAnsi="Arial" w:cs="Arial"/>
                <w:sz w:val="14"/>
                <w:szCs w:val="14"/>
                <w:lang w:eastAsia="es-AR"/>
              </w:rPr>
              <w:t>(</w:t>
            </w:r>
            <w:r w:rsidR="00033CB1">
              <w:rPr>
                <w:rFonts w:ascii="Arial" w:hAnsi="Arial" w:cs="Arial"/>
                <w:sz w:val="14"/>
                <w:szCs w:val="14"/>
                <w:lang w:eastAsia="es-AR"/>
              </w:rPr>
              <w:t>54</w:t>
            </w:r>
            <w:r w:rsidRPr="00995C31">
              <w:rPr>
                <w:rFonts w:ascii="Arial" w:hAnsi="Arial" w:cs="Arial"/>
                <w:sz w:val="14"/>
                <w:szCs w:val="14"/>
                <w:lang w:eastAsia="es-AR"/>
              </w:rPr>
              <w:t>)</w:t>
            </w:r>
          </w:p>
        </w:tc>
        <w:tc>
          <w:tcPr>
            <w:tcW w:w="1006" w:type="dxa"/>
            <w:tcBorders>
              <w:top w:val="single" w:sz="4" w:space="0" w:color="363639"/>
              <w:left w:val="nil"/>
              <w:bottom w:val="single" w:sz="4" w:space="0" w:color="363639"/>
              <w:right w:val="single" w:sz="4" w:space="0" w:color="363639"/>
            </w:tcBorders>
            <w:shd w:val="clear" w:color="auto" w:fill="auto"/>
            <w:vAlign w:val="bottom"/>
            <w:hideMark/>
          </w:tcPr>
          <w:p w14:paraId="38194044" w14:textId="10AC1FE6" w:rsidR="007A3E3C" w:rsidRPr="00995C31" w:rsidRDefault="007A3E3C" w:rsidP="007A3E3C">
            <w:pPr>
              <w:jc w:val="right"/>
              <w:rPr>
                <w:rFonts w:ascii="Calibri" w:hAnsi="Calibri" w:cs="Calibri"/>
                <w:sz w:val="14"/>
                <w:szCs w:val="14"/>
                <w:lang w:eastAsia="es-AR"/>
              </w:rPr>
            </w:pPr>
            <w:r w:rsidRPr="006E1AF7">
              <w:rPr>
                <w:rFonts w:ascii="Arial" w:hAnsi="Arial" w:cs="Arial"/>
                <w:sz w:val="14"/>
                <w:szCs w:val="14"/>
                <w:lang w:eastAsia="es-AR"/>
              </w:rPr>
              <w:t>-</w:t>
            </w:r>
          </w:p>
        </w:tc>
        <w:tc>
          <w:tcPr>
            <w:tcW w:w="798" w:type="dxa"/>
            <w:tcBorders>
              <w:top w:val="single" w:sz="4" w:space="0" w:color="363639"/>
              <w:left w:val="nil"/>
              <w:bottom w:val="single" w:sz="4" w:space="0" w:color="363639"/>
              <w:right w:val="single" w:sz="4" w:space="0" w:color="363639"/>
            </w:tcBorders>
            <w:shd w:val="clear" w:color="auto" w:fill="auto"/>
            <w:vAlign w:val="bottom"/>
            <w:hideMark/>
          </w:tcPr>
          <w:p w14:paraId="3BC34B71" w14:textId="48EFDFAE" w:rsidR="007A3E3C" w:rsidRPr="00995C31" w:rsidRDefault="007A3E3C" w:rsidP="007A3E3C">
            <w:pPr>
              <w:jc w:val="right"/>
              <w:rPr>
                <w:rFonts w:ascii="Calibri" w:hAnsi="Calibri" w:cs="Calibri"/>
                <w:sz w:val="14"/>
                <w:szCs w:val="14"/>
                <w:lang w:eastAsia="es-AR"/>
              </w:rPr>
            </w:pPr>
            <w:r w:rsidRPr="006E1AF7">
              <w:rPr>
                <w:rFonts w:ascii="Arial" w:hAnsi="Arial" w:cs="Arial"/>
                <w:sz w:val="14"/>
                <w:szCs w:val="14"/>
                <w:lang w:eastAsia="es-AR"/>
              </w:rPr>
              <w:t>-</w:t>
            </w:r>
          </w:p>
        </w:tc>
        <w:tc>
          <w:tcPr>
            <w:tcW w:w="801" w:type="dxa"/>
            <w:tcBorders>
              <w:top w:val="single" w:sz="4" w:space="0" w:color="363639"/>
              <w:left w:val="nil"/>
              <w:bottom w:val="single" w:sz="4" w:space="0" w:color="363639"/>
              <w:right w:val="single" w:sz="4" w:space="0" w:color="363639"/>
            </w:tcBorders>
            <w:shd w:val="clear" w:color="auto" w:fill="auto"/>
            <w:vAlign w:val="bottom"/>
            <w:hideMark/>
          </w:tcPr>
          <w:p w14:paraId="4E32069E" w14:textId="7A4ECBEE" w:rsidR="007A3E3C" w:rsidRPr="00995C31" w:rsidRDefault="007A3E3C" w:rsidP="007A3E3C">
            <w:pPr>
              <w:jc w:val="right"/>
              <w:rPr>
                <w:rFonts w:ascii="Calibri" w:hAnsi="Calibri" w:cs="Calibri"/>
                <w:sz w:val="14"/>
                <w:szCs w:val="14"/>
                <w:lang w:eastAsia="es-AR"/>
              </w:rPr>
            </w:pPr>
            <w:r w:rsidRPr="006E1AF7">
              <w:rPr>
                <w:rFonts w:ascii="Arial" w:hAnsi="Arial" w:cs="Arial"/>
                <w:sz w:val="14"/>
                <w:szCs w:val="14"/>
                <w:lang w:eastAsia="es-AR"/>
              </w:rPr>
              <w:t>-</w:t>
            </w:r>
          </w:p>
        </w:tc>
        <w:tc>
          <w:tcPr>
            <w:tcW w:w="1049" w:type="dxa"/>
            <w:tcBorders>
              <w:top w:val="single" w:sz="4" w:space="0" w:color="363639"/>
              <w:left w:val="nil"/>
              <w:bottom w:val="single" w:sz="4" w:space="0" w:color="auto"/>
              <w:right w:val="single" w:sz="4" w:space="0" w:color="auto"/>
            </w:tcBorders>
            <w:shd w:val="clear" w:color="auto" w:fill="auto"/>
            <w:noWrap/>
            <w:vAlign w:val="bottom"/>
            <w:hideMark/>
          </w:tcPr>
          <w:p w14:paraId="7034A9B2" w14:textId="7106A853" w:rsidR="007A3E3C" w:rsidRPr="00995C31" w:rsidRDefault="00033CB1" w:rsidP="007A3E3C">
            <w:pPr>
              <w:jc w:val="right"/>
              <w:rPr>
                <w:rFonts w:ascii="Arial" w:hAnsi="Arial" w:cs="Arial"/>
                <w:b/>
                <w:sz w:val="14"/>
                <w:szCs w:val="14"/>
                <w:lang w:eastAsia="es-AR"/>
              </w:rPr>
            </w:pPr>
            <w:r>
              <w:rPr>
                <w:rFonts w:ascii="Arial" w:hAnsi="Arial" w:cs="Arial"/>
                <w:b/>
                <w:sz w:val="14"/>
                <w:szCs w:val="14"/>
                <w:lang w:eastAsia="es-AR"/>
              </w:rPr>
              <w:t>407.300</w:t>
            </w:r>
            <w:r w:rsidR="007A3E3C" w:rsidRPr="00995C31">
              <w:rPr>
                <w:rFonts w:ascii="Arial" w:hAnsi="Arial" w:cs="Arial"/>
                <w:b/>
                <w:sz w:val="14"/>
                <w:szCs w:val="14"/>
                <w:lang w:eastAsia="es-AR"/>
              </w:rPr>
              <w:t xml:space="preserve"> </w:t>
            </w:r>
          </w:p>
        </w:tc>
      </w:tr>
      <w:tr w:rsidR="00995C31" w:rsidRPr="00995C31" w14:paraId="14E04A68" w14:textId="77777777" w:rsidTr="00A059FB">
        <w:trPr>
          <w:trHeight w:val="277"/>
        </w:trPr>
        <w:tc>
          <w:tcPr>
            <w:tcW w:w="1771" w:type="dxa"/>
            <w:tcBorders>
              <w:top w:val="nil"/>
              <w:left w:val="single" w:sz="4" w:space="0" w:color="363639"/>
              <w:bottom w:val="single" w:sz="4" w:space="0" w:color="363639"/>
              <w:right w:val="single" w:sz="4" w:space="0" w:color="363639"/>
            </w:tcBorders>
            <w:shd w:val="clear" w:color="auto" w:fill="auto"/>
            <w:hideMark/>
          </w:tcPr>
          <w:p w14:paraId="6C2C2F9B" w14:textId="77777777" w:rsidR="00094CB3" w:rsidRPr="00995C31" w:rsidRDefault="00094CB3" w:rsidP="00094CB3">
            <w:pPr>
              <w:rPr>
                <w:rFonts w:ascii="Arial" w:hAnsi="Arial" w:cs="Arial"/>
                <w:b/>
                <w:bCs/>
                <w:sz w:val="14"/>
                <w:szCs w:val="14"/>
                <w:lang w:eastAsia="es-AR"/>
              </w:rPr>
            </w:pPr>
            <w:r w:rsidRPr="006E1AF7">
              <w:rPr>
                <w:rFonts w:ascii="Arial" w:hAnsi="Arial" w:cs="Arial"/>
                <w:b/>
                <w:bCs/>
                <w:sz w:val="14"/>
                <w:szCs w:val="14"/>
                <w:lang w:eastAsia="es-AR"/>
              </w:rPr>
              <w:t>TOTAL PROPIEDADES DE INVERSIÓN</w:t>
            </w:r>
          </w:p>
        </w:tc>
        <w:tc>
          <w:tcPr>
            <w:tcW w:w="922" w:type="dxa"/>
            <w:tcBorders>
              <w:top w:val="nil"/>
              <w:left w:val="nil"/>
              <w:bottom w:val="single" w:sz="4" w:space="0" w:color="auto"/>
              <w:right w:val="single" w:sz="4" w:space="0" w:color="363639"/>
            </w:tcBorders>
            <w:shd w:val="clear" w:color="auto" w:fill="auto"/>
            <w:noWrap/>
            <w:vAlign w:val="bottom"/>
            <w:hideMark/>
          </w:tcPr>
          <w:p w14:paraId="762B2E90" w14:textId="27745DD5" w:rsidR="00094CB3" w:rsidRPr="00995C31" w:rsidRDefault="00033CB1" w:rsidP="00094CB3">
            <w:pPr>
              <w:jc w:val="right"/>
              <w:rPr>
                <w:rFonts w:ascii="Arial" w:hAnsi="Arial" w:cs="Arial"/>
                <w:b/>
                <w:sz w:val="14"/>
                <w:szCs w:val="14"/>
                <w:lang w:eastAsia="es-AR"/>
              </w:rPr>
            </w:pPr>
            <w:r>
              <w:rPr>
                <w:rFonts w:ascii="Arial" w:hAnsi="Arial" w:cs="Arial"/>
                <w:b/>
                <w:sz w:val="14"/>
                <w:szCs w:val="14"/>
                <w:lang w:eastAsia="es-AR"/>
              </w:rPr>
              <w:t>198.371</w:t>
            </w:r>
            <w:r w:rsidR="00094CB3" w:rsidRPr="00995C31">
              <w:rPr>
                <w:rFonts w:ascii="Arial" w:hAnsi="Arial" w:cs="Arial"/>
                <w:b/>
                <w:sz w:val="14"/>
                <w:szCs w:val="14"/>
                <w:lang w:eastAsia="es-AR"/>
              </w:rPr>
              <w:t xml:space="preserve"> </w:t>
            </w:r>
          </w:p>
        </w:tc>
        <w:tc>
          <w:tcPr>
            <w:tcW w:w="840" w:type="dxa"/>
            <w:tcBorders>
              <w:top w:val="nil"/>
              <w:left w:val="nil"/>
              <w:bottom w:val="single" w:sz="4" w:space="0" w:color="auto"/>
              <w:right w:val="single" w:sz="4" w:space="0" w:color="363639"/>
            </w:tcBorders>
            <w:shd w:val="clear" w:color="auto" w:fill="auto"/>
            <w:noWrap/>
            <w:vAlign w:val="bottom"/>
            <w:hideMark/>
          </w:tcPr>
          <w:p w14:paraId="71A641D2" w14:textId="439D59ED" w:rsidR="00094CB3" w:rsidRPr="00995C31" w:rsidRDefault="00094CB3" w:rsidP="00094CB3">
            <w:pPr>
              <w:jc w:val="right"/>
              <w:rPr>
                <w:rFonts w:ascii="Arial" w:hAnsi="Arial" w:cs="Arial"/>
                <w:b/>
                <w:sz w:val="14"/>
                <w:szCs w:val="14"/>
                <w:lang w:eastAsia="es-AR"/>
              </w:rPr>
            </w:pPr>
          </w:p>
        </w:tc>
        <w:tc>
          <w:tcPr>
            <w:tcW w:w="1073" w:type="dxa"/>
            <w:tcBorders>
              <w:top w:val="nil"/>
              <w:left w:val="nil"/>
              <w:bottom w:val="single" w:sz="4" w:space="0" w:color="auto"/>
              <w:right w:val="single" w:sz="4" w:space="0" w:color="363639"/>
            </w:tcBorders>
            <w:shd w:val="clear" w:color="auto" w:fill="auto"/>
            <w:noWrap/>
            <w:vAlign w:val="bottom"/>
            <w:hideMark/>
          </w:tcPr>
          <w:p w14:paraId="12380AB4" w14:textId="36407A96" w:rsidR="00094CB3" w:rsidRPr="00995C31" w:rsidRDefault="00033CB1" w:rsidP="00094CB3">
            <w:pPr>
              <w:jc w:val="right"/>
              <w:rPr>
                <w:rFonts w:ascii="Arial" w:hAnsi="Arial" w:cs="Arial"/>
                <w:b/>
                <w:sz w:val="14"/>
                <w:szCs w:val="14"/>
                <w:lang w:eastAsia="es-AR"/>
              </w:rPr>
            </w:pPr>
            <w:r>
              <w:rPr>
                <w:rFonts w:ascii="Arial" w:hAnsi="Arial" w:cs="Arial"/>
                <w:b/>
                <w:sz w:val="14"/>
                <w:szCs w:val="14"/>
                <w:lang w:eastAsia="es-AR"/>
              </w:rPr>
              <w:t>208.983</w:t>
            </w:r>
          </w:p>
        </w:tc>
        <w:tc>
          <w:tcPr>
            <w:tcW w:w="856" w:type="dxa"/>
            <w:tcBorders>
              <w:top w:val="nil"/>
              <w:left w:val="nil"/>
              <w:bottom w:val="single" w:sz="4" w:space="0" w:color="auto"/>
              <w:right w:val="single" w:sz="4" w:space="0" w:color="363639"/>
            </w:tcBorders>
            <w:shd w:val="clear" w:color="auto" w:fill="auto"/>
            <w:noWrap/>
            <w:vAlign w:val="bottom"/>
            <w:hideMark/>
          </w:tcPr>
          <w:p w14:paraId="0AFF6726" w14:textId="62ABADE6" w:rsidR="00094CB3" w:rsidRPr="00995C31" w:rsidRDefault="00033CB1" w:rsidP="00094CB3">
            <w:pPr>
              <w:jc w:val="right"/>
              <w:rPr>
                <w:rFonts w:ascii="Arial" w:hAnsi="Arial" w:cs="Arial"/>
                <w:b/>
                <w:sz w:val="14"/>
                <w:szCs w:val="14"/>
                <w:lang w:eastAsia="es-AR"/>
              </w:rPr>
            </w:pPr>
            <w:r>
              <w:rPr>
                <w:rFonts w:ascii="Arial" w:hAnsi="Arial" w:cs="Arial"/>
                <w:b/>
                <w:sz w:val="14"/>
                <w:szCs w:val="14"/>
                <w:lang w:eastAsia="es-AR"/>
              </w:rPr>
              <w:t>5.995</w:t>
            </w:r>
          </w:p>
        </w:tc>
        <w:tc>
          <w:tcPr>
            <w:tcW w:w="735" w:type="dxa"/>
            <w:tcBorders>
              <w:top w:val="nil"/>
              <w:left w:val="nil"/>
              <w:bottom w:val="single" w:sz="4" w:space="0" w:color="auto"/>
              <w:right w:val="single" w:sz="4" w:space="0" w:color="363639"/>
            </w:tcBorders>
            <w:shd w:val="clear" w:color="auto" w:fill="auto"/>
            <w:noWrap/>
            <w:vAlign w:val="bottom"/>
            <w:hideMark/>
          </w:tcPr>
          <w:p w14:paraId="0324C26C" w14:textId="6F3B2F7C" w:rsidR="00094CB3" w:rsidRPr="00995C31" w:rsidRDefault="00094CB3" w:rsidP="00094CB3">
            <w:pPr>
              <w:jc w:val="right"/>
              <w:rPr>
                <w:rFonts w:ascii="Arial" w:hAnsi="Arial" w:cs="Arial"/>
                <w:b/>
                <w:sz w:val="14"/>
                <w:szCs w:val="14"/>
                <w:lang w:eastAsia="es-AR"/>
              </w:rPr>
            </w:pPr>
            <w:r w:rsidRPr="00995C31">
              <w:rPr>
                <w:rFonts w:ascii="Arial" w:hAnsi="Arial" w:cs="Arial"/>
                <w:b/>
                <w:sz w:val="14"/>
                <w:szCs w:val="14"/>
                <w:lang w:eastAsia="es-AR"/>
              </w:rPr>
              <w:t>(</w:t>
            </w:r>
            <w:r w:rsidR="00033CB1">
              <w:rPr>
                <w:rFonts w:ascii="Arial" w:hAnsi="Arial" w:cs="Arial"/>
                <w:b/>
                <w:sz w:val="14"/>
                <w:szCs w:val="14"/>
                <w:lang w:eastAsia="es-AR"/>
              </w:rPr>
              <w:t>54</w:t>
            </w:r>
            <w:r w:rsidRPr="00995C31">
              <w:rPr>
                <w:rFonts w:ascii="Arial" w:hAnsi="Arial" w:cs="Arial"/>
                <w:b/>
                <w:sz w:val="14"/>
                <w:szCs w:val="14"/>
                <w:lang w:eastAsia="es-AR"/>
              </w:rPr>
              <w:t>)</w:t>
            </w:r>
          </w:p>
        </w:tc>
        <w:tc>
          <w:tcPr>
            <w:tcW w:w="1006" w:type="dxa"/>
            <w:tcBorders>
              <w:top w:val="single" w:sz="4" w:space="0" w:color="auto"/>
              <w:left w:val="nil"/>
              <w:bottom w:val="single" w:sz="4" w:space="0" w:color="auto"/>
              <w:right w:val="single" w:sz="4" w:space="0" w:color="363639"/>
            </w:tcBorders>
            <w:shd w:val="clear" w:color="auto" w:fill="auto"/>
            <w:noWrap/>
            <w:vAlign w:val="bottom"/>
            <w:hideMark/>
          </w:tcPr>
          <w:p w14:paraId="344363C1" w14:textId="4C99AD92" w:rsidR="00094CB3" w:rsidRPr="00995C31" w:rsidRDefault="00094CB3" w:rsidP="00094CB3">
            <w:pPr>
              <w:jc w:val="right"/>
              <w:rPr>
                <w:rFonts w:ascii="Arial" w:hAnsi="Arial" w:cs="Arial"/>
                <w:b/>
                <w:sz w:val="14"/>
                <w:szCs w:val="14"/>
                <w:lang w:eastAsia="es-AR"/>
              </w:rPr>
            </w:pPr>
            <w:r w:rsidRPr="00995C31">
              <w:rPr>
                <w:rFonts w:ascii="Arial" w:hAnsi="Arial" w:cs="Arial"/>
                <w:b/>
                <w:sz w:val="14"/>
                <w:szCs w:val="14"/>
                <w:lang w:eastAsia="es-AR"/>
              </w:rPr>
              <w:t>(</w:t>
            </w:r>
            <w:r w:rsidR="00033CB1">
              <w:rPr>
                <w:rFonts w:ascii="Arial" w:hAnsi="Arial" w:cs="Arial"/>
                <w:b/>
                <w:sz w:val="14"/>
                <w:szCs w:val="14"/>
                <w:lang w:eastAsia="es-AR"/>
              </w:rPr>
              <w:t>67</w:t>
            </w:r>
            <w:r w:rsidRPr="00995C31">
              <w:rPr>
                <w:rFonts w:ascii="Arial" w:hAnsi="Arial" w:cs="Arial"/>
                <w:b/>
                <w:sz w:val="14"/>
                <w:szCs w:val="14"/>
                <w:lang w:eastAsia="es-AR"/>
              </w:rPr>
              <w:t>)</w:t>
            </w:r>
          </w:p>
        </w:tc>
        <w:tc>
          <w:tcPr>
            <w:tcW w:w="798" w:type="dxa"/>
            <w:tcBorders>
              <w:top w:val="single" w:sz="4" w:space="0" w:color="auto"/>
              <w:left w:val="nil"/>
              <w:bottom w:val="single" w:sz="4" w:space="0" w:color="auto"/>
              <w:right w:val="single" w:sz="4" w:space="0" w:color="363639"/>
            </w:tcBorders>
            <w:shd w:val="clear" w:color="auto" w:fill="auto"/>
            <w:noWrap/>
            <w:vAlign w:val="bottom"/>
            <w:hideMark/>
          </w:tcPr>
          <w:p w14:paraId="1856B7A3" w14:textId="3EA487E4" w:rsidR="00094CB3" w:rsidRPr="00995C31" w:rsidRDefault="00094CB3" w:rsidP="00094CB3">
            <w:pPr>
              <w:jc w:val="right"/>
              <w:rPr>
                <w:rFonts w:ascii="Arial" w:hAnsi="Arial" w:cs="Arial"/>
                <w:b/>
                <w:sz w:val="14"/>
                <w:szCs w:val="14"/>
                <w:lang w:eastAsia="es-AR"/>
              </w:rPr>
            </w:pPr>
            <w:r w:rsidRPr="00995C31">
              <w:rPr>
                <w:rFonts w:ascii="Arial" w:hAnsi="Arial" w:cs="Arial"/>
                <w:b/>
                <w:sz w:val="14"/>
                <w:szCs w:val="14"/>
                <w:lang w:eastAsia="es-AR"/>
              </w:rPr>
              <w:t>(</w:t>
            </w:r>
            <w:r w:rsidR="00033CB1">
              <w:rPr>
                <w:rFonts w:ascii="Arial" w:hAnsi="Arial" w:cs="Arial"/>
                <w:b/>
                <w:sz w:val="14"/>
                <w:szCs w:val="14"/>
                <w:lang w:eastAsia="es-AR"/>
              </w:rPr>
              <w:t>406</w:t>
            </w:r>
            <w:r w:rsidRPr="00995C31">
              <w:rPr>
                <w:rFonts w:ascii="Arial" w:hAnsi="Arial" w:cs="Arial"/>
                <w:b/>
                <w:sz w:val="14"/>
                <w:szCs w:val="14"/>
                <w:lang w:eastAsia="es-AR"/>
              </w:rPr>
              <w:t>)</w:t>
            </w:r>
          </w:p>
        </w:tc>
        <w:tc>
          <w:tcPr>
            <w:tcW w:w="801" w:type="dxa"/>
            <w:tcBorders>
              <w:top w:val="single" w:sz="4" w:space="0" w:color="auto"/>
              <w:left w:val="nil"/>
              <w:bottom w:val="single" w:sz="4" w:space="0" w:color="auto"/>
              <w:right w:val="single" w:sz="4" w:space="0" w:color="363639"/>
            </w:tcBorders>
            <w:shd w:val="clear" w:color="auto" w:fill="auto"/>
            <w:noWrap/>
            <w:vAlign w:val="bottom"/>
            <w:hideMark/>
          </w:tcPr>
          <w:p w14:paraId="51CFAE7F" w14:textId="48FE051A" w:rsidR="00094CB3" w:rsidRPr="00995C31" w:rsidRDefault="00094CB3" w:rsidP="00094CB3">
            <w:pPr>
              <w:jc w:val="right"/>
              <w:rPr>
                <w:rFonts w:ascii="Arial" w:hAnsi="Arial" w:cs="Arial"/>
                <w:b/>
                <w:sz w:val="14"/>
                <w:szCs w:val="14"/>
                <w:lang w:eastAsia="es-AR"/>
              </w:rPr>
            </w:pPr>
            <w:r w:rsidRPr="00995C31">
              <w:rPr>
                <w:rFonts w:ascii="Arial" w:hAnsi="Arial" w:cs="Arial"/>
                <w:b/>
                <w:sz w:val="14"/>
                <w:szCs w:val="14"/>
                <w:lang w:eastAsia="es-AR"/>
              </w:rPr>
              <w:t>(</w:t>
            </w:r>
            <w:r w:rsidR="00033CB1">
              <w:rPr>
                <w:rFonts w:ascii="Arial" w:hAnsi="Arial" w:cs="Arial"/>
                <w:b/>
                <w:sz w:val="14"/>
                <w:szCs w:val="14"/>
                <w:lang w:eastAsia="es-AR"/>
              </w:rPr>
              <w:t>473</w:t>
            </w:r>
            <w:r w:rsidRPr="00995C31">
              <w:rPr>
                <w:rFonts w:ascii="Arial" w:hAnsi="Arial" w:cs="Arial"/>
                <w:b/>
                <w:sz w:val="14"/>
                <w:szCs w:val="14"/>
                <w:lang w:eastAsia="es-AR"/>
              </w:rPr>
              <w:t>)</w:t>
            </w:r>
          </w:p>
        </w:tc>
        <w:tc>
          <w:tcPr>
            <w:tcW w:w="1049" w:type="dxa"/>
            <w:tcBorders>
              <w:top w:val="nil"/>
              <w:left w:val="nil"/>
              <w:bottom w:val="single" w:sz="4" w:space="0" w:color="auto"/>
              <w:right w:val="single" w:sz="4" w:space="0" w:color="363639"/>
            </w:tcBorders>
            <w:shd w:val="clear" w:color="auto" w:fill="auto"/>
            <w:noWrap/>
            <w:vAlign w:val="bottom"/>
            <w:hideMark/>
          </w:tcPr>
          <w:p w14:paraId="27662683" w14:textId="54169707" w:rsidR="00094CB3" w:rsidRPr="00995C31" w:rsidRDefault="00033CB1" w:rsidP="00094CB3">
            <w:pPr>
              <w:jc w:val="right"/>
              <w:rPr>
                <w:rFonts w:ascii="Arial" w:hAnsi="Arial" w:cs="Arial"/>
                <w:b/>
                <w:sz w:val="14"/>
                <w:szCs w:val="14"/>
                <w:lang w:eastAsia="es-AR"/>
              </w:rPr>
            </w:pPr>
            <w:r>
              <w:rPr>
                <w:rFonts w:ascii="Arial" w:hAnsi="Arial" w:cs="Arial"/>
                <w:b/>
                <w:sz w:val="14"/>
                <w:szCs w:val="14"/>
                <w:lang w:eastAsia="es-AR"/>
              </w:rPr>
              <w:t>412.822</w:t>
            </w:r>
            <w:r w:rsidR="00094CB3" w:rsidRPr="00995C31">
              <w:rPr>
                <w:rFonts w:ascii="Arial" w:hAnsi="Arial" w:cs="Arial"/>
                <w:b/>
                <w:sz w:val="14"/>
                <w:szCs w:val="14"/>
                <w:lang w:eastAsia="es-AR"/>
              </w:rPr>
              <w:t xml:space="preserve"> </w:t>
            </w:r>
          </w:p>
        </w:tc>
      </w:tr>
      <w:bookmarkEnd w:id="14"/>
    </w:tbl>
    <w:p w14:paraId="52556D2C" w14:textId="77777777" w:rsidR="00094CB3" w:rsidRDefault="00094CB3" w:rsidP="00094CB3">
      <w:pPr>
        <w:spacing w:after="160" w:line="259" w:lineRule="auto"/>
        <w:jc w:val="both"/>
        <w:rPr>
          <w:rFonts w:ascii="Arial" w:eastAsia="Calibri" w:hAnsi="Arial" w:cs="Arial"/>
          <w:sz w:val="20"/>
        </w:rPr>
      </w:pPr>
    </w:p>
    <w:p w14:paraId="600446D7" w14:textId="4A25DC66" w:rsidR="00543EF5" w:rsidRPr="001B2F17" w:rsidRDefault="00543EF5" w:rsidP="00543EF5">
      <w:pPr>
        <w:spacing w:after="160" w:line="259" w:lineRule="auto"/>
        <w:jc w:val="both"/>
        <w:rPr>
          <w:rFonts w:ascii="Arial" w:eastAsia="Calibri" w:hAnsi="Arial" w:cs="Arial"/>
          <w:b/>
          <w:sz w:val="20"/>
        </w:rPr>
      </w:pPr>
      <w:r>
        <w:rPr>
          <w:rFonts w:ascii="Arial" w:eastAsia="Calibri" w:hAnsi="Arial" w:cs="Arial"/>
          <w:b/>
          <w:sz w:val="20"/>
        </w:rPr>
        <w:t>9</w:t>
      </w:r>
      <w:r w:rsidRPr="00701F32">
        <w:rPr>
          <w:rFonts w:ascii="Arial" w:eastAsia="Calibri" w:hAnsi="Arial" w:cs="Arial"/>
          <w:b/>
          <w:sz w:val="20"/>
        </w:rPr>
        <w:t>. ACTIVOS INTANGIBLES</w:t>
      </w:r>
    </w:p>
    <w:p w14:paraId="1F1E8DF5" w14:textId="34F94782" w:rsidR="00543EF5" w:rsidRDefault="00543EF5" w:rsidP="00543EF5">
      <w:pPr>
        <w:spacing w:after="160" w:line="259" w:lineRule="auto"/>
        <w:jc w:val="both"/>
        <w:rPr>
          <w:rFonts w:ascii="Arial" w:eastAsia="Calibri" w:hAnsi="Arial" w:cs="Arial"/>
          <w:sz w:val="20"/>
        </w:rPr>
      </w:pPr>
      <w:r w:rsidRPr="001B2F17">
        <w:rPr>
          <w:rFonts w:ascii="Arial" w:eastAsia="Calibri" w:hAnsi="Arial" w:cs="Arial"/>
          <w:sz w:val="20"/>
        </w:rPr>
        <w:t>Los movimientos en activos i</w:t>
      </w:r>
      <w:r w:rsidRPr="00701F32">
        <w:rPr>
          <w:rFonts w:ascii="Arial" w:eastAsia="Calibri" w:hAnsi="Arial" w:cs="Arial"/>
          <w:sz w:val="20"/>
        </w:rPr>
        <w:t xml:space="preserve">ntangibles para el </w:t>
      </w:r>
      <w:r>
        <w:rPr>
          <w:rFonts w:ascii="Arial" w:eastAsia="Calibri" w:hAnsi="Arial" w:cs="Arial"/>
          <w:sz w:val="20"/>
        </w:rPr>
        <w:t>ejercicio</w:t>
      </w:r>
      <w:r w:rsidRPr="00701F32">
        <w:rPr>
          <w:rFonts w:ascii="Arial" w:eastAsia="Calibri" w:hAnsi="Arial" w:cs="Arial"/>
          <w:sz w:val="20"/>
        </w:rPr>
        <w:t xml:space="preserve"> finalizado el 3</w:t>
      </w:r>
      <w:r>
        <w:rPr>
          <w:rFonts w:ascii="Arial" w:eastAsia="Calibri" w:hAnsi="Arial" w:cs="Arial"/>
          <w:sz w:val="20"/>
        </w:rPr>
        <w:t>1</w:t>
      </w:r>
      <w:r w:rsidRPr="00701F32">
        <w:rPr>
          <w:rFonts w:ascii="Arial" w:eastAsia="Calibri" w:hAnsi="Arial" w:cs="Arial"/>
          <w:sz w:val="20"/>
        </w:rPr>
        <w:t xml:space="preserve"> de </w:t>
      </w:r>
      <w:r>
        <w:rPr>
          <w:rFonts w:ascii="Arial" w:eastAsia="Calibri" w:hAnsi="Arial" w:cs="Arial"/>
          <w:sz w:val="20"/>
        </w:rPr>
        <w:t>diciembre</w:t>
      </w:r>
      <w:r w:rsidRPr="00701F32">
        <w:rPr>
          <w:rFonts w:ascii="Arial" w:eastAsia="Calibri" w:hAnsi="Arial" w:cs="Arial"/>
          <w:sz w:val="20"/>
        </w:rPr>
        <w:t xml:space="preserve"> de 201</w:t>
      </w:r>
      <w:r>
        <w:rPr>
          <w:rFonts w:ascii="Arial" w:eastAsia="Calibri" w:hAnsi="Arial" w:cs="Arial"/>
          <w:sz w:val="20"/>
        </w:rPr>
        <w:t>9</w:t>
      </w:r>
      <w:r w:rsidRPr="00701F32">
        <w:rPr>
          <w:rFonts w:ascii="Arial" w:eastAsia="Calibri" w:hAnsi="Arial" w:cs="Arial"/>
          <w:sz w:val="20"/>
        </w:rPr>
        <w:t xml:space="preserve"> se detallan en el Anexo</w:t>
      </w:r>
      <w:r w:rsidRPr="00701F32" w:rsidDel="00E72000">
        <w:rPr>
          <w:rFonts w:ascii="Arial" w:eastAsia="Calibri" w:hAnsi="Arial" w:cs="Arial"/>
          <w:sz w:val="20"/>
        </w:rPr>
        <w:t xml:space="preserve"> </w:t>
      </w:r>
      <w:r w:rsidRPr="00701F32">
        <w:rPr>
          <w:rFonts w:ascii="Arial" w:eastAsia="Calibri" w:hAnsi="Arial" w:cs="Arial"/>
          <w:sz w:val="20"/>
        </w:rPr>
        <w:t>G adjunto a estos estados financieros consolidados.</w:t>
      </w:r>
    </w:p>
    <w:p w14:paraId="7238C066" w14:textId="7F8FAC98" w:rsidR="00543EF5" w:rsidRDefault="00543EF5" w:rsidP="00543EF5">
      <w:pPr>
        <w:spacing w:after="160" w:line="259" w:lineRule="auto"/>
        <w:jc w:val="both"/>
        <w:rPr>
          <w:rFonts w:ascii="Arial" w:eastAsia="Calibri" w:hAnsi="Arial" w:cs="Arial"/>
          <w:sz w:val="20"/>
        </w:rPr>
      </w:pPr>
      <w:r w:rsidRPr="00701F32">
        <w:rPr>
          <w:rFonts w:ascii="Arial" w:eastAsia="Calibri" w:hAnsi="Arial" w:cs="Arial"/>
          <w:sz w:val="20"/>
        </w:rPr>
        <w:t>Los movimientos en activos intangibles para el ejercicio finalizado el 31 de diciembre 201</w:t>
      </w:r>
      <w:r w:rsidR="00995C31">
        <w:rPr>
          <w:rFonts w:ascii="Arial" w:eastAsia="Calibri" w:hAnsi="Arial" w:cs="Arial"/>
          <w:sz w:val="20"/>
        </w:rPr>
        <w:t>8</w:t>
      </w:r>
      <w:r w:rsidRPr="00701F32">
        <w:rPr>
          <w:rFonts w:ascii="Arial" w:eastAsia="Calibri" w:hAnsi="Arial" w:cs="Arial"/>
          <w:sz w:val="20"/>
        </w:rPr>
        <w:t xml:space="preserve"> fueron los siguientes:</w:t>
      </w:r>
    </w:p>
    <w:p w14:paraId="45DD4E96" w14:textId="77777777" w:rsidR="000B1093" w:rsidRDefault="000B1093" w:rsidP="00543EF5">
      <w:pPr>
        <w:spacing w:after="160" w:line="259" w:lineRule="auto"/>
        <w:jc w:val="both"/>
        <w:rPr>
          <w:rFonts w:ascii="Arial" w:eastAsia="Calibri" w:hAnsi="Arial" w:cs="Arial"/>
          <w:sz w:val="20"/>
        </w:rPr>
      </w:pPr>
    </w:p>
    <w:tbl>
      <w:tblPr>
        <w:tblW w:w="9250" w:type="dxa"/>
        <w:tblLayout w:type="fixed"/>
        <w:tblCellMar>
          <w:left w:w="70" w:type="dxa"/>
          <w:right w:w="70" w:type="dxa"/>
        </w:tblCellMar>
        <w:tblLook w:val="04A0" w:firstRow="1" w:lastRow="0" w:firstColumn="1" w:lastColumn="0" w:noHBand="0" w:noVBand="1"/>
      </w:tblPr>
      <w:tblGrid>
        <w:gridCol w:w="1488"/>
        <w:gridCol w:w="932"/>
        <w:gridCol w:w="822"/>
        <w:gridCol w:w="932"/>
        <w:gridCol w:w="761"/>
        <w:gridCol w:w="1004"/>
        <w:gridCol w:w="548"/>
        <w:gridCol w:w="827"/>
        <w:gridCol w:w="1004"/>
        <w:gridCol w:w="932"/>
      </w:tblGrid>
      <w:tr w:rsidR="00033CB1" w:rsidRPr="00024E76" w14:paraId="46B99B20" w14:textId="77777777" w:rsidTr="006E1AF7">
        <w:trPr>
          <w:trHeight w:val="329"/>
        </w:trPr>
        <w:tc>
          <w:tcPr>
            <w:tcW w:w="14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5E0530" w14:textId="77777777" w:rsidR="00024E76" w:rsidRPr="00024E76" w:rsidRDefault="00024E76" w:rsidP="00024E76">
            <w:pPr>
              <w:jc w:val="center"/>
              <w:rPr>
                <w:rFonts w:ascii="Arial" w:hAnsi="Arial" w:cs="Arial"/>
                <w:b/>
                <w:bCs/>
                <w:color w:val="000000"/>
                <w:sz w:val="14"/>
                <w:szCs w:val="14"/>
                <w:lang w:eastAsia="es-AR"/>
              </w:rPr>
            </w:pPr>
            <w:r w:rsidRPr="00024E76">
              <w:rPr>
                <w:rFonts w:ascii="Arial" w:hAnsi="Arial" w:cs="Arial"/>
                <w:b/>
                <w:bCs/>
                <w:color w:val="000000"/>
                <w:sz w:val="14"/>
                <w:szCs w:val="14"/>
                <w:lang w:eastAsia="es-AR"/>
              </w:rPr>
              <w:t>Concepto</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F9EA5D" w14:textId="77777777" w:rsidR="00024E76" w:rsidRPr="00024E76" w:rsidRDefault="00024E76" w:rsidP="00024E76">
            <w:pPr>
              <w:jc w:val="center"/>
              <w:rPr>
                <w:rFonts w:ascii="Arial" w:hAnsi="Arial" w:cs="Arial"/>
                <w:b/>
                <w:bCs/>
                <w:color w:val="000000"/>
                <w:sz w:val="14"/>
                <w:szCs w:val="14"/>
                <w:lang w:eastAsia="es-AR"/>
              </w:rPr>
            </w:pPr>
            <w:r w:rsidRPr="00024E76">
              <w:rPr>
                <w:rFonts w:ascii="Arial" w:hAnsi="Arial" w:cs="Arial"/>
                <w:b/>
                <w:bCs/>
                <w:color w:val="000000"/>
                <w:sz w:val="14"/>
                <w:szCs w:val="14"/>
                <w:lang w:eastAsia="es-AR"/>
              </w:rPr>
              <w:t>Valor de origen al inicio del ejercicio</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A0C93A" w14:textId="77777777" w:rsidR="00024E76" w:rsidRPr="00024E76" w:rsidRDefault="00024E76" w:rsidP="00024E76">
            <w:pPr>
              <w:jc w:val="center"/>
              <w:rPr>
                <w:rFonts w:ascii="Arial" w:hAnsi="Arial" w:cs="Arial"/>
                <w:b/>
                <w:bCs/>
                <w:color w:val="000000"/>
                <w:sz w:val="14"/>
                <w:szCs w:val="14"/>
                <w:lang w:eastAsia="es-AR"/>
              </w:rPr>
            </w:pPr>
            <w:r w:rsidRPr="00024E76">
              <w:rPr>
                <w:rFonts w:ascii="Arial" w:hAnsi="Arial" w:cs="Arial"/>
                <w:b/>
                <w:bCs/>
                <w:color w:val="000000"/>
                <w:sz w:val="14"/>
                <w:szCs w:val="14"/>
                <w:lang w:eastAsia="es-AR"/>
              </w:rPr>
              <w:t>Vida Útil total estimada en años</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548EEF" w14:textId="77777777" w:rsidR="00024E76" w:rsidRPr="00024E76" w:rsidRDefault="00024E76" w:rsidP="00024E76">
            <w:pPr>
              <w:jc w:val="center"/>
              <w:rPr>
                <w:rFonts w:ascii="Arial" w:hAnsi="Arial" w:cs="Arial"/>
                <w:b/>
                <w:bCs/>
                <w:color w:val="000000"/>
                <w:sz w:val="14"/>
                <w:szCs w:val="14"/>
                <w:lang w:eastAsia="es-AR"/>
              </w:rPr>
            </w:pPr>
            <w:r w:rsidRPr="00024E76">
              <w:rPr>
                <w:rFonts w:ascii="Arial" w:hAnsi="Arial" w:cs="Arial"/>
                <w:b/>
                <w:bCs/>
                <w:color w:val="000000"/>
                <w:sz w:val="14"/>
                <w:szCs w:val="14"/>
                <w:lang w:eastAsia="es-AR"/>
              </w:rPr>
              <w:t>Altas</w:t>
            </w:r>
          </w:p>
        </w:tc>
        <w:tc>
          <w:tcPr>
            <w:tcW w:w="7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FC5100" w14:textId="77777777" w:rsidR="00024E76" w:rsidRPr="00024E76" w:rsidRDefault="00024E76" w:rsidP="00024E76">
            <w:pPr>
              <w:jc w:val="center"/>
              <w:rPr>
                <w:rFonts w:ascii="Arial" w:hAnsi="Arial" w:cs="Arial"/>
                <w:b/>
                <w:bCs/>
                <w:color w:val="000000"/>
                <w:sz w:val="14"/>
                <w:szCs w:val="14"/>
                <w:lang w:eastAsia="es-AR"/>
              </w:rPr>
            </w:pPr>
            <w:r w:rsidRPr="00024E76">
              <w:rPr>
                <w:rFonts w:ascii="Arial" w:hAnsi="Arial" w:cs="Arial"/>
                <w:b/>
                <w:bCs/>
                <w:color w:val="000000"/>
                <w:sz w:val="14"/>
                <w:szCs w:val="14"/>
                <w:lang w:eastAsia="es-AR"/>
              </w:rPr>
              <w:t>Bajas</w:t>
            </w:r>
          </w:p>
        </w:tc>
        <w:tc>
          <w:tcPr>
            <w:tcW w:w="3383" w:type="dxa"/>
            <w:gridSpan w:val="4"/>
            <w:tcBorders>
              <w:top w:val="single" w:sz="4" w:space="0" w:color="auto"/>
              <w:left w:val="nil"/>
              <w:bottom w:val="single" w:sz="4" w:space="0" w:color="auto"/>
              <w:right w:val="single" w:sz="4" w:space="0" w:color="auto"/>
            </w:tcBorders>
            <w:shd w:val="clear" w:color="auto" w:fill="auto"/>
            <w:vAlign w:val="center"/>
            <w:hideMark/>
          </w:tcPr>
          <w:p w14:paraId="00BC2F3E" w14:textId="77777777" w:rsidR="00024E76" w:rsidRPr="00024E76" w:rsidRDefault="00024E76" w:rsidP="00024E76">
            <w:pPr>
              <w:jc w:val="center"/>
              <w:rPr>
                <w:rFonts w:ascii="Arial" w:hAnsi="Arial" w:cs="Arial"/>
                <w:b/>
                <w:bCs/>
                <w:color w:val="000000"/>
                <w:sz w:val="14"/>
                <w:szCs w:val="14"/>
                <w:lang w:eastAsia="es-AR"/>
              </w:rPr>
            </w:pPr>
            <w:r w:rsidRPr="00024E76">
              <w:rPr>
                <w:rFonts w:ascii="Arial" w:hAnsi="Arial" w:cs="Arial"/>
                <w:b/>
                <w:bCs/>
                <w:color w:val="000000"/>
                <w:sz w:val="14"/>
                <w:szCs w:val="14"/>
                <w:lang w:eastAsia="es-AR"/>
              </w:rPr>
              <w:t>Depreciación</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6D0084" w14:textId="5CEBF9B5" w:rsidR="00024E76" w:rsidRPr="00024E76" w:rsidRDefault="00024E76" w:rsidP="00024E76">
            <w:pPr>
              <w:jc w:val="center"/>
              <w:rPr>
                <w:rFonts w:ascii="Arial" w:hAnsi="Arial" w:cs="Arial"/>
                <w:b/>
                <w:bCs/>
                <w:color w:val="000000"/>
                <w:sz w:val="14"/>
                <w:szCs w:val="14"/>
                <w:lang w:eastAsia="es-AR"/>
              </w:rPr>
            </w:pPr>
            <w:r w:rsidRPr="00024E76">
              <w:rPr>
                <w:rFonts w:ascii="Arial" w:hAnsi="Arial" w:cs="Arial"/>
                <w:b/>
                <w:bCs/>
                <w:color w:val="000000"/>
                <w:sz w:val="14"/>
                <w:szCs w:val="14"/>
                <w:lang w:eastAsia="es-AR"/>
              </w:rPr>
              <w:t xml:space="preserve">Valor residual al cierre del </w:t>
            </w:r>
            <w:r w:rsidR="00995C31">
              <w:rPr>
                <w:rFonts w:ascii="Arial" w:hAnsi="Arial" w:cs="Arial"/>
                <w:b/>
                <w:bCs/>
                <w:color w:val="000000"/>
                <w:sz w:val="14"/>
                <w:szCs w:val="14"/>
                <w:lang w:eastAsia="es-AR"/>
              </w:rPr>
              <w:t>ejercici</w:t>
            </w:r>
          </w:p>
        </w:tc>
      </w:tr>
      <w:tr w:rsidR="00033CB1" w:rsidRPr="00024E76" w14:paraId="71A41AE9" w14:textId="77777777" w:rsidTr="006E1AF7">
        <w:trPr>
          <w:trHeight w:val="439"/>
        </w:trPr>
        <w:tc>
          <w:tcPr>
            <w:tcW w:w="1488" w:type="dxa"/>
            <w:vMerge/>
            <w:tcBorders>
              <w:top w:val="single" w:sz="4" w:space="0" w:color="auto"/>
              <w:left w:val="single" w:sz="4" w:space="0" w:color="auto"/>
              <w:bottom w:val="single" w:sz="4" w:space="0" w:color="auto"/>
              <w:right w:val="single" w:sz="4" w:space="0" w:color="auto"/>
            </w:tcBorders>
            <w:vAlign w:val="center"/>
            <w:hideMark/>
          </w:tcPr>
          <w:p w14:paraId="5980F164" w14:textId="77777777" w:rsidR="00024E76" w:rsidRPr="00024E76" w:rsidRDefault="00024E76" w:rsidP="00024E76">
            <w:pPr>
              <w:rPr>
                <w:rFonts w:ascii="Arial" w:hAnsi="Arial" w:cs="Arial"/>
                <w:b/>
                <w:bCs/>
                <w:color w:val="000000"/>
                <w:sz w:val="14"/>
                <w:szCs w:val="14"/>
                <w:lang w:eastAsia="es-AR"/>
              </w:rPr>
            </w:pPr>
          </w:p>
        </w:tc>
        <w:tc>
          <w:tcPr>
            <w:tcW w:w="932" w:type="dxa"/>
            <w:vMerge/>
            <w:tcBorders>
              <w:top w:val="single" w:sz="4" w:space="0" w:color="auto"/>
              <w:left w:val="single" w:sz="4" w:space="0" w:color="auto"/>
              <w:bottom w:val="single" w:sz="4" w:space="0" w:color="auto"/>
              <w:right w:val="single" w:sz="4" w:space="0" w:color="auto"/>
            </w:tcBorders>
            <w:vAlign w:val="center"/>
            <w:hideMark/>
          </w:tcPr>
          <w:p w14:paraId="42B97034" w14:textId="77777777" w:rsidR="00024E76" w:rsidRPr="00024E76" w:rsidRDefault="00024E76" w:rsidP="00024E76">
            <w:pPr>
              <w:rPr>
                <w:rFonts w:ascii="Arial" w:hAnsi="Arial" w:cs="Arial"/>
                <w:b/>
                <w:bCs/>
                <w:color w:val="000000"/>
                <w:sz w:val="14"/>
                <w:szCs w:val="14"/>
                <w:lang w:eastAsia="es-AR"/>
              </w:rPr>
            </w:pPr>
          </w:p>
        </w:tc>
        <w:tc>
          <w:tcPr>
            <w:tcW w:w="822" w:type="dxa"/>
            <w:vMerge/>
            <w:tcBorders>
              <w:top w:val="single" w:sz="4" w:space="0" w:color="auto"/>
              <w:left w:val="single" w:sz="4" w:space="0" w:color="auto"/>
              <w:bottom w:val="single" w:sz="4" w:space="0" w:color="auto"/>
              <w:right w:val="single" w:sz="4" w:space="0" w:color="auto"/>
            </w:tcBorders>
            <w:vAlign w:val="center"/>
            <w:hideMark/>
          </w:tcPr>
          <w:p w14:paraId="5F1263CA" w14:textId="77777777" w:rsidR="00024E76" w:rsidRPr="00024E76" w:rsidRDefault="00024E76" w:rsidP="00024E76">
            <w:pPr>
              <w:rPr>
                <w:rFonts w:ascii="Arial" w:hAnsi="Arial" w:cs="Arial"/>
                <w:b/>
                <w:bCs/>
                <w:color w:val="000000"/>
                <w:sz w:val="14"/>
                <w:szCs w:val="14"/>
                <w:lang w:eastAsia="es-AR"/>
              </w:rPr>
            </w:pPr>
          </w:p>
        </w:tc>
        <w:tc>
          <w:tcPr>
            <w:tcW w:w="932" w:type="dxa"/>
            <w:vMerge/>
            <w:tcBorders>
              <w:top w:val="single" w:sz="4" w:space="0" w:color="auto"/>
              <w:left w:val="single" w:sz="4" w:space="0" w:color="auto"/>
              <w:bottom w:val="single" w:sz="4" w:space="0" w:color="auto"/>
              <w:right w:val="single" w:sz="4" w:space="0" w:color="auto"/>
            </w:tcBorders>
            <w:vAlign w:val="center"/>
            <w:hideMark/>
          </w:tcPr>
          <w:p w14:paraId="5F8B219C" w14:textId="77777777" w:rsidR="00024E76" w:rsidRPr="00024E76" w:rsidRDefault="00024E76" w:rsidP="00024E76">
            <w:pPr>
              <w:rPr>
                <w:rFonts w:ascii="Arial" w:hAnsi="Arial" w:cs="Arial"/>
                <w:b/>
                <w:bCs/>
                <w:color w:val="000000"/>
                <w:sz w:val="14"/>
                <w:szCs w:val="14"/>
                <w:lang w:eastAsia="es-AR"/>
              </w:rPr>
            </w:pPr>
          </w:p>
        </w:tc>
        <w:tc>
          <w:tcPr>
            <w:tcW w:w="761" w:type="dxa"/>
            <w:vMerge/>
            <w:tcBorders>
              <w:top w:val="single" w:sz="4" w:space="0" w:color="auto"/>
              <w:left w:val="single" w:sz="4" w:space="0" w:color="auto"/>
              <w:bottom w:val="single" w:sz="4" w:space="0" w:color="auto"/>
              <w:right w:val="single" w:sz="4" w:space="0" w:color="auto"/>
            </w:tcBorders>
            <w:vAlign w:val="center"/>
            <w:hideMark/>
          </w:tcPr>
          <w:p w14:paraId="779546B8" w14:textId="77777777" w:rsidR="00024E76" w:rsidRPr="00024E76" w:rsidRDefault="00024E76" w:rsidP="00024E76">
            <w:pPr>
              <w:rPr>
                <w:rFonts w:ascii="Arial" w:hAnsi="Arial" w:cs="Arial"/>
                <w:b/>
                <w:bCs/>
                <w:color w:val="000000"/>
                <w:sz w:val="14"/>
                <w:szCs w:val="14"/>
                <w:lang w:eastAsia="es-AR"/>
              </w:rPr>
            </w:pPr>
          </w:p>
        </w:tc>
        <w:tc>
          <w:tcPr>
            <w:tcW w:w="1004" w:type="dxa"/>
            <w:tcBorders>
              <w:top w:val="nil"/>
              <w:left w:val="nil"/>
              <w:bottom w:val="single" w:sz="4" w:space="0" w:color="auto"/>
              <w:right w:val="single" w:sz="4" w:space="0" w:color="auto"/>
            </w:tcBorders>
            <w:shd w:val="clear" w:color="auto" w:fill="auto"/>
            <w:vAlign w:val="center"/>
            <w:hideMark/>
          </w:tcPr>
          <w:p w14:paraId="34C6F402" w14:textId="77777777" w:rsidR="00024E76" w:rsidRPr="00024E76" w:rsidRDefault="00024E76" w:rsidP="00024E76">
            <w:pPr>
              <w:jc w:val="right"/>
              <w:rPr>
                <w:rFonts w:ascii="Arial" w:hAnsi="Arial" w:cs="Arial"/>
                <w:b/>
                <w:bCs/>
                <w:color w:val="000000"/>
                <w:sz w:val="14"/>
                <w:szCs w:val="14"/>
                <w:lang w:eastAsia="es-AR"/>
              </w:rPr>
            </w:pPr>
            <w:r w:rsidRPr="00024E76">
              <w:rPr>
                <w:rFonts w:ascii="Arial" w:hAnsi="Arial" w:cs="Arial"/>
                <w:b/>
                <w:bCs/>
                <w:color w:val="000000"/>
                <w:sz w:val="14"/>
                <w:szCs w:val="14"/>
                <w:lang w:eastAsia="es-AR"/>
              </w:rPr>
              <w:t>Acumulada</w:t>
            </w:r>
          </w:p>
        </w:tc>
        <w:tc>
          <w:tcPr>
            <w:tcW w:w="548" w:type="dxa"/>
            <w:tcBorders>
              <w:top w:val="nil"/>
              <w:left w:val="nil"/>
              <w:bottom w:val="single" w:sz="4" w:space="0" w:color="auto"/>
              <w:right w:val="single" w:sz="4" w:space="0" w:color="auto"/>
            </w:tcBorders>
            <w:shd w:val="clear" w:color="auto" w:fill="auto"/>
            <w:vAlign w:val="center"/>
            <w:hideMark/>
          </w:tcPr>
          <w:p w14:paraId="4F8BD19C" w14:textId="77777777" w:rsidR="00024E76" w:rsidRPr="00024E76" w:rsidRDefault="00024E76" w:rsidP="00024E76">
            <w:pPr>
              <w:jc w:val="right"/>
              <w:rPr>
                <w:rFonts w:ascii="Arial" w:hAnsi="Arial" w:cs="Arial"/>
                <w:b/>
                <w:bCs/>
                <w:color w:val="000000"/>
                <w:sz w:val="14"/>
                <w:szCs w:val="14"/>
                <w:lang w:eastAsia="es-AR"/>
              </w:rPr>
            </w:pPr>
            <w:r w:rsidRPr="00024E76">
              <w:rPr>
                <w:rFonts w:ascii="Arial" w:hAnsi="Arial" w:cs="Arial"/>
                <w:b/>
                <w:bCs/>
                <w:color w:val="000000"/>
                <w:sz w:val="14"/>
                <w:szCs w:val="14"/>
                <w:lang w:eastAsia="es-AR"/>
              </w:rPr>
              <w:t>Baja</w:t>
            </w:r>
          </w:p>
        </w:tc>
        <w:tc>
          <w:tcPr>
            <w:tcW w:w="827" w:type="dxa"/>
            <w:tcBorders>
              <w:top w:val="nil"/>
              <w:left w:val="nil"/>
              <w:bottom w:val="single" w:sz="4" w:space="0" w:color="auto"/>
              <w:right w:val="single" w:sz="4" w:space="0" w:color="auto"/>
            </w:tcBorders>
            <w:shd w:val="clear" w:color="auto" w:fill="auto"/>
            <w:vAlign w:val="center"/>
            <w:hideMark/>
          </w:tcPr>
          <w:p w14:paraId="41F52231" w14:textId="63D783B9" w:rsidR="00024E76" w:rsidRPr="00024E76" w:rsidRDefault="00024E76" w:rsidP="00024E76">
            <w:pPr>
              <w:jc w:val="center"/>
              <w:rPr>
                <w:rFonts w:ascii="Arial" w:hAnsi="Arial" w:cs="Arial"/>
                <w:b/>
                <w:bCs/>
                <w:color w:val="000000"/>
                <w:sz w:val="14"/>
                <w:szCs w:val="14"/>
                <w:lang w:eastAsia="es-AR"/>
              </w:rPr>
            </w:pPr>
            <w:r w:rsidRPr="00024E76">
              <w:rPr>
                <w:rFonts w:ascii="Arial" w:hAnsi="Arial" w:cs="Arial"/>
                <w:b/>
                <w:bCs/>
                <w:color w:val="000000"/>
                <w:sz w:val="14"/>
                <w:szCs w:val="14"/>
                <w:lang w:eastAsia="es-AR"/>
              </w:rPr>
              <w:t xml:space="preserve">Del </w:t>
            </w:r>
            <w:r w:rsidR="00995C31">
              <w:rPr>
                <w:rFonts w:ascii="Arial" w:hAnsi="Arial" w:cs="Arial"/>
                <w:b/>
                <w:bCs/>
                <w:color w:val="000000"/>
                <w:sz w:val="14"/>
                <w:szCs w:val="14"/>
                <w:lang w:eastAsia="es-AR"/>
              </w:rPr>
              <w:t>ejercicio</w:t>
            </w:r>
          </w:p>
        </w:tc>
        <w:tc>
          <w:tcPr>
            <w:tcW w:w="1004" w:type="dxa"/>
            <w:tcBorders>
              <w:top w:val="nil"/>
              <w:left w:val="nil"/>
              <w:bottom w:val="single" w:sz="4" w:space="0" w:color="auto"/>
              <w:right w:val="single" w:sz="4" w:space="0" w:color="auto"/>
            </w:tcBorders>
            <w:shd w:val="clear" w:color="auto" w:fill="auto"/>
            <w:vAlign w:val="center"/>
            <w:hideMark/>
          </w:tcPr>
          <w:p w14:paraId="742D8771" w14:textId="77777777" w:rsidR="00024E76" w:rsidRPr="00024E76" w:rsidRDefault="00024E76" w:rsidP="00024E76">
            <w:pPr>
              <w:jc w:val="center"/>
              <w:rPr>
                <w:rFonts w:ascii="Arial" w:hAnsi="Arial" w:cs="Arial"/>
                <w:b/>
                <w:bCs/>
                <w:color w:val="000000"/>
                <w:sz w:val="14"/>
                <w:szCs w:val="14"/>
                <w:lang w:eastAsia="es-AR"/>
              </w:rPr>
            </w:pPr>
            <w:r w:rsidRPr="00024E76">
              <w:rPr>
                <w:rFonts w:ascii="Arial" w:hAnsi="Arial" w:cs="Arial"/>
                <w:b/>
                <w:bCs/>
                <w:color w:val="000000"/>
                <w:sz w:val="14"/>
                <w:szCs w:val="14"/>
                <w:lang w:eastAsia="es-AR"/>
              </w:rPr>
              <w:t>Al cierre</w:t>
            </w:r>
          </w:p>
        </w:tc>
        <w:tc>
          <w:tcPr>
            <w:tcW w:w="932" w:type="dxa"/>
            <w:vMerge/>
            <w:tcBorders>
              <w:top w:val="single" w:sz="4" w:space="0" w:color="auto"/>
              <w:left w:val="single" w:sz="4" w:space="0" w:color="auto"/>
              <w:bottom w:val="single" w:sz="4" w:space="0" w:color="auto"/>
              <w:right w:val="single" w:sz="4" w:space="0" w:color="auto"/>
            </w:tcBorders>
            <w:vAlign w:val="center"/>
            <w:hideMark/>
          </w:tcPr>
          <w:p w14:paraId="11B1EB7F" w14:textId="77777777" w:rsidR="00024E76" w:rsidRPr="00024E76" w:rsidRDefault="00024E76" w:rsidP="00024E76">
            <w:pPr>
              <w:rPr>
                <w:rFonts w:ascii="Arial" w:hAnsi="Arial" w:cs="Arial"/>
                <w:b/>
                <w:bCs/>
                <w:color w:val="000000"/>
                <w:sz w:val="14"/>
                <w:szCs w:val="14"/>
                <w:lang w:eastAsia="es-AR"/>
              </w:rPr>
            </w:pPr>
          </w:p>
        </w:tc>
      </w:tr>
      <w:tr w:rsidR="00033CB1" w:rsidRPr="00024E76" w14:paraId="24950D59" w14:textId="77777777" w:rsidTr="006E1AF7">
        <w:trPr>
          <w:trHeight w:val="329"/>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3FA94A31" w14:textId="77777777" w:rsidR="007A3E3C" w:rsidRPr="00024E76" w:rsidRDefault="007A3E3C" w:rsidP="007A3E3C">
            <w:pPr>
              <w:rPr>
                <w:rFonts w:ascii="Arial" w:hAnsi="Arial" w:cs="Arial"/>
                <w:color w:val="000000"/>
                <w:sz w:val="14"/>
                <w:szCs w:val="14"/>
                <w:lang w:eastAsia="es-AR"/>
              </w:rPr>
            </w:pPr>
            <w:r w:rsidRPr="00024E76">
              <w:rPr>
                <w:rFonts w:ascii="Arial" w:hAnsi="Arial" w:cs="Arial"/>
                <w:color w:val="000000"/>
                <w:sz w:val="14"/>
                <w:szCs w:val="14"/>
                <w:lang w:eastAsia="es-AR"/>
              </w:rPr>
              <w:t>Llave de negocio- Combinación de negocios</w:t>
            </w:r>
          </w:p>
        </w:tc>
        <w:tc>
          <w:tcPr>
            <w:tcW w:w="932" w:type="dxa"/>
            <w:tcBorders>
              <w:top w:val="nil"/>
              <w:left w:val="nil"/>
              <w:bottom w:val="single" w:sz="4" w:space="0" w:color="auto"/>
              <w:right w:val="single" w:sz="4" w:space="0" w:color="auto"/>
            </w:tcBorders>
            <w:shd w:val="clear" w:color="auto" w:fill="auto"/>
            <w:noWrap/>
            <w:vAlign w:val="center"/>
            <w:hideMark/>
          </w:tcPr>
          <w:p w14:paraId="5C9002DB" w14:textId="77777777" w:rsidR="007A3E3C" w:rsidRPr="00024E76" w:rsidRDefault="007A3E3C" w:rsidP="007A3E3C">
            <w:pPr>
              <w:jc w:val="right"/>
              <w:rPr>
                <w:rFonts w:ascii="Arial" w:hAnsi="Arial" w:cs="Arial"/>
                <w:b/>
                <w:bCs/>
                <w:color w:val="000000"/>
                <w:sz w:val="14"/>
                <w:szCs w:val="14"/>
                <w:lang w:eastAsia="es-AR"/>
              </w:rPr>
            </w:pPr>
            <w:r w:rsidRPr="00024E76">
              <w:rPr>
                <w:rFonts w:ascii="Arial" w:hAnsi="Arial" w:cs="Arial"/>
                <w:b/>
                <w:bCs/>
                <w:color w:val="000000"/>
                <w:sz w:val="14"/>
                <w:szCs w:val="14"/>
                <w:lang w:eastAsia="es-AR"/>
              </w:rPr>
              <w:t xml:space="preserve">30.983 </w:t>
            </w:r>
          </w:p>
        </w:tc>
        <w:tc>
          <w:tcPr>
            <w:tcW w:w="822" w:type="dxa"/>
            <w:tcBorders>
              <w:top w:val="nil"/>
              <w:left w:val="nil"/>
              <w:bottom w:val="single" w:sz="4" w:space="0" w:color="auto"/>
              <w:right w:val="single" w:sz="4" w:space="0" w:color="auto"/>
            </w:tcBorders>
            <w:shd w:val="clear" w:color="auto" w:fill="auto"/>
            <w:noWrap/>
            <w:vAlign w:val="center"/>
            <w:hideMark/>
          </w:tcPr>
          <w:p w14:paraId="1BCA6939" w14:textId="77777777" w:rsidR="007A3E3C" w:rsidRPr="00024E76" w:rsidRDefault="007A3E3C" w:rsidP="007A3E3C">
            <w:pPr>
              <w:rPr>
                <w:color w:val="000000"/>
                <w:sz w:val="20"/>
                <w:lang w:eastAsia="es-AR"/>
              </w:rPr>
            </w:pPr>
            <w:r w:rsidRPr="00024E76">
              <w:rPr>
                <w:color w:val="000000"/>
                <w:sz w:val="20"/>
                <w:lang w:eastAsia="es-AR"/>
              </w:rPr>
              <w:t> </w:t>
            </w:r>
          </w:p>
        </w:tc>
        <w:tc>
          <w:tcPr>
            <w:tcW w:w="932" w:type="dxa"/>
            <w:tcBorders>
              <w:top w:val="nil"/>
              <w:left w:val="nil"/>
              <w:bottom w:val="single" w:sz="4" w:space="0" w:color="auto"/>
              <w:right w:val="single" w:sz="4" w:space="0" w:color="auto"/>
            </w:tcBorders>
            <w:shd w:val="clear" w:color="auto" w:fill="auto"/>
            <w:noWrap/>
            <w:vAlign w:val="bottom"/>
            <w:hideMark/>
          </w:tcPr>
          <w:p w14:paraId="3F336522" w14:textId="3AAE5185" w:rsidR="007A3E3C" w:rsidRPr="00024E76" w:rsidRDefault="007A3E3C" w:rsidP="007A3E3C">
            <w:pPr>
              <w:jc w:val="right"/>
              <w:rPr>
                <w:rFonts w:ascii="Arial" w:hAnsi="Arial" w:cs="Arial"/>
                <w:color w:val="000000"/>
                <w:sz w:val="14"/>
                <w:szCs w:val="14"/>
                <w:lang w:eastAsia="es-AR"/>
              </w:rPr>
            </w:pPr>
            <w:r w:rsidRPr="0072130F">
              <w:rPr>
                <w:rFonts w:ascii="Arial" w:hAnsi="Arial" w:cs="Arial"/>
                <w:color w:val="000000"/>
                <w:sz w:val="14"/>
                <w:szCs w:val="14"/>
                <w:lang w:eastAsia="es-AR"/>
              </w:rPr>
              <w:t>-</w:t>
            </w:r>
          </w:p>
        </w:tc>
        <w:tc>
          <w:tcPr>
            <w:tcW w:w="761" w:type="dxa"/>
            <w:tcBorders>
              <w:top w:val="nil"/>
              <w:left w:val="nil"/>
              <w:bottom w:val="single" w:sz="4" w:space="0" w:color="auto"/>
              <w:right w:val="single" w:sz="4" w:space="0" w:color="auto"/>
            </w:tcBorders>
            <w:shd w:val="clear" w:color="auto" w:fill="auto"/>
            <w:noWrap/>
            <w:vAlign w:val="bottom"/>
            <w:hideMark/>
          </w:tcPr>
          <w:p w14:paraId="31BB9063" w14:textId="051FCAAF" w:rsidR="007A3E3C" w:rsidRPr="00024E76" w:rsidRDefault="007A3E3C" w:rsidP="007A3E3C">
            <w:pPr>
              <w:jc w:val="right"/>
              <w:rPr>
                <w:rFonts w:ascii="Arial" w:hAnsi="Arial" w:cs="Arial"/>
                <w:color w:val="000000"/>
                <w:sz w:val="14"/>
                <w:szCs w:val="14"/>
                <w:lang w:eastAsia="es-AR"/>
              </w:rPr>
            </w:pPr>
            <w:r w:rsidRPr="0072130F">
              <w:rPr>
                <w:rFonts w:ascii="Arial" w:hAnsi="Arial" w:cs="Arial"/>
                <w:color w:val="000000"/>
                <w:sz w:val="14"/>
                <w:szCs w:val="14"/>
                <w:lang w:eastAsia="es-AR"/>
              </w:rPr>
              <w:t>-</w:t>
            </w:r>
          </w:p>
        </w:tc>
        <w:tc>
          <w:tcPr>
            <w:tcW w:w="1004" w:type="dxa"/>
            <w:tcBorders>
              <w:top w:val="nil"/>
              <w:left w:val="nil"/>
              <w:bottom w:val="single" w:sz="4" w:space="0" w:color="auto"/>
              <w:right w:val="single" w:sz="4" w:space="0" w:color="auto"/>
            </w:tcBorders>
            <w:shd w:val="clear" w:color="auto" w:fill="auto"/>
            <w:noWrap/>
            <w:vAlign w:val="bottom"/>
            <w:hideMark/>
          </w:tcPr>
          <w:p w14:paraId="039EE0F0" w14:textId="7455CD6F" w:rsidR="007A3E3C" w:rsidRPr="00024E76" w:rsidRDefault="007A3E3C" w:rsidP="007A3E3C">
            <w:pPr>
              <w:jc w:val="right"/>
              <w:rPr>
                <w:rFonts w:ascii="Arial" w:hAnsi="Arial" w:cs="Arial"/>
                <w:color w:val="000000"/>
                <w:sz w:val="14"/>
                <w:szCs w:val="14"/>
                <w:lang w:eastAsia="es-AR"/>
              </w:rPr>
            </w:pPr>
            <w:r w:rsidRPr="0072130F">
              <w:rPr>
                <w:rFonts w:ascii="Arial" w:hAnsi="Arial" w:cs="Arial"/>
                <w:color w:val="000000"/>
                <w:sz w:val="14"/>
                <w:szCs w:val="14"/>
                <w:lang w:eastAsia="es-AR"/>
              </w:rPr>
              <w:t>-</w:t>
            </w:r>
          </w:p>
        </w:tc>
        <w:tc>
          <w:tcPr>
            <w:tcW w:w="548" w:type="dxa"/>
            <w:tcBorders>
              <w:top w:val="nil"/>
              <w:left w:val="nil"/>
              <w:bottom w:val="single" w:sz="4" w:space="0" w:color="auto"/>
              <w:right w:val="single" w:sz="4" w:space="0" w:color="auto"/>
            </w:tcBorders>
            <w:shd w:val="clear" w:color="auto" w:fill="auto"/>
            <w:noWrap/>
            <w:vAlign w:val="bottom"/>
            <w:hideMark/>
          </w:tcPr>
          <w:p w14:paraId="012808CB" w14:textId="7C070E9D" w:rsidR="007A3E3C" w:rsidRPr="00024E76" w:rsidRDefault="007A3E3C" w:rsidP="007A3E3C">
            <w:pPr>
              <w:jc w:val="right"/>
              <w:rPr>
                <w:rFonts w:ascii="Arial" w:hAnsi="Arial" w:cs="Arial"/>
                <w:color w:val="000000"/>
                <w:sz w:val="14"/>
                <w:szCs w:val="14"/>
                <w:lang w:eastAsia="es-AR"/>
              </w:rPr>
            </w:pPr>
            <w:r w:rsidRPr="0072130F">
              <w:rPr>
                <w:rFonts w:ascii="Arial" w:hAnsi="Arial" w:cs="Arial"/>
                <w:color w:val="000000"/>
                <w:sz w:val="14"/>
                <w:szCs w:val="14"/>
                <w:lang w:eastAsia="es-AR"/>
              </w:rPr>
              <w:t>-</w:t>
            </w:r>
          </w:p>
        </w:tc>
        <w:tc>
          <w:tcPr>
            <w:tcW w:w="827" w:type="dxa"/>
            <w:tcBorders>
              <w:top w:val="nil"/>
              <w:left w:val="nil"/>
              <w:bottom w:val="single" w:sz="4" w:space="0" w:color="auto"/>
              <w:right w:val="single" w:sz="4" w:space="0" w:color="auto"/>
            </w:tcBorders>
            <w:shd w:val="clear" w:color="auto" w:fill="auto"/>
            <w:noWrap/>
            <w:vAlign w:val="bottom"/>
            <w:hideMark/>
          </w:tcPr>
          <w:p w14:paraId="77E610A9" w14:textId="6BDAA3C4" w:rsidR="007A3E3C" w:rsidRPr="00024E76" w:rsidRDefault="007A3E3C" w:rsidP="007A3E3C">
            <w:pPr>
              <w:jc w:val="right"/>
              <w:rPr>
                <w:rFonts w:ascii="Arial" w:hAnsi="Arial" w:cs="Arial"/>
                <w:color w:val="000000"/>
                <w:sz w:val="14"/>
                <w:szCs w:val="14"/>
                <w:lang w:eastAsia="es-AR"/>
              </w:rPr>
            </w:pPr>
            <w:r w:rsidRPr="0072130F">
              <w:rPr>
                <w:rFonts w:ascii="Arial" w:hAnsi="Arial" w:cs="Arial"/>
                <w:color w:val="000000"/>
                <w:sz w:val="14"/>
                <w:szCs w:val="14"/>
                <w:lang w:eastAsia="es-AR"/>
              </w:rPr>
              <w:t>-</w:t>
            </w:r>
          </w:p>
        </w:tc>
        <w:tc>
          <w:tcPr>
            <w:tcW w:w="1004" w:type="dxa"/>
            <w:tcBorders>
              <w:top w:val="nil"/>
              <w:left w:val="nil"/>
              <w:bottom w:val="single" w:sz="4" w:space="0" w:color="auto"/>
              <w:right w:val="single" w:sz="4" w:space="0" w:color="auto"/>
            </w:tcBorders>
            <w:shd w:val="clear" w:color="auto" w:fill="auto"/>
            <w:noWrap/>
            <w:vAlign w:val="bottom"/>
            <w:hideMark/>
          </w:tcPr>
          <w:p w14:paraId="501A1716" w14:textId="75BC3238" w:rsidR="007A3E3C" w:rsidRPr="00024E76" w:rsidRDefault="007A3E3C" w:rsidP="007A3E3C">
            <w:pPr>
              <w:jc w:val="right"/>
              <w:rPr>
                <w:rFonts w:ascii="Arial" w:hAnsi="Arial" w:cs="Arial"/>
                <w:color w:val="000000"/>
                <w:sz w:val="14"/>
                <w:szCs w:val="14"/>
                <w:lang w:eastAsia="es-AR"/>
              </w:rPr>
            </w:pPr>
            <w:r w:rsidRPr="0072130F">
              <w:rPr>
                <w:rFonts w:ascii="Arial" w:hAnsi="Arial" w:cs="Arial"/>
                <w:color w:val="000000"/>
                <w:sz w:val="14"/>
                <w:szCs w:val="14"/>
                <w:lang w:eastAsia="es-AR"/>
              </w:rPr>
              <w:t>-</w:t>
            </w:r>
          </w:p>
        </w:tc>
        <w:tc>
          <w:tcPr>
            <w:tcW w:w="932" w:type="dxa"/>
            <w:tcBorders>
              <w:top w:val="nil"/>
              <w:left w:val="nil"/>
              <w:bottom w:val="single" w:sz="4" w:space="0" w:color="auto"/>
              <w:right w:val="single" w:sz="4" w:space="0" w:color="auto"/>
            </w:tcBorders>
            <w:shd w:val="clear" w:color="auto" w:fill="auto"/>
            <w:noWrap/>
            <w:vAlign w:val="center"/>
            <w:hideMark/>
          </w:tcPr>
          <w:p w14:paraId="13F47765" w14:textId="77777777" w:rsidR="007A3E3C" w:rsidRPr="00024E76" w:rsidRDefault="007A3E3C" w:rsidP="007A3E3C">
            <w:pPr>
              <w:jc w:val="right"/>
              <w:rPr>
                <w:rFonts w:ascii="Arial" w:hAnsi="Arial" w:cs="Arial"/>
                <w:b/>
                <w:bCs/>
                <w:color w:val="000000"/>
                <w:sz w:val="14"/>
                <w:szCs w:val="14"/>
                <w:lang w:eastAsia="es-AR"/>
              </w:rPr>
            </w:pPr>
            <w:r w:rsidRPr="00024E76">
              <w:rPr>
                <w:rFonts w:ascii="Arial" w:hAnsi="Arial" w:cs="Arial"/>
                <w:b/>
                <w:bCs/>
                <w:color w:val="000000"/>
                <w:sz w:val="14"/>
                <w:szCs w:val="14"/>
                <w:lang w:eastAsia="es-AR"/>
              </w:rPr>
              <w:t xml:space="preserve">30.983 </w:t>
            </w:r>
          </w:p>
        </w:tc>
      </w:tr>
      <w:tr w:rsidR="00033CB1" w:rsidRPr="00024E76" w14:paraId="19FBDC63" w14:textId="77777777" w:rsidTr="006E1AF7">
        <w:trPr>
          <w:trHeight w:val="329"/>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052DD6E4" w14:textId="77777777" w:rsidR="00024E76" w:rsidRPr="00024E76" w:rsidRDefault="00024E76" w:rsidP="00024E76">
            <w:pPr>
              <w:rPr>
                <w:rFonts w:ascii="Arial" w:hAnsi="Arial" w:cs="Arial"/>
                <w:color w:val="000000"/>
                <w:sz w:val="14"/>
                <w:szCs w:val="14"/>
                <w:lang w:eastAsia="es-AR"/>
              </w:rPr>
            </w:pPr>
            <w:r w:rsidRPr="00024E76">
              <w:rPr>
                <w:rFonts w:ascii="Arial" w:hAnsi="Arial" w:cs="Arial"/>
                <w:color w:val="000000"/>
                <w:sz w:val="14"/>
                <w:szCs w:val="14"/>
                <w:lang w:eastAsia="es-AR"/>
              </w:rPr>
              <w:t>Otros activos intangibles</w:t>
            </w:r>
          </w:p>
        </w:tc>
        <w:tc>
          <w:tcPr>
            <w:tcW w:w="932" w:type="dxa"/>
            <w:tcBorders>
              <w:top w:val="nil"/>
              <w:left w:val="nil"/>
              <w:bottom w:val="single" w:sz="4" w:space="0" w:color="auto"/>
              <w:right w:val="single" w:sz="4" w:space="0" w:color="auto"/>
            </w:tcBorders>
            <w:shd w:val="clear" w:color="auto" w:fill="auto"/>
            <w:noWrap/>
            <w:vAlign w:val="center"/>
            <w:hideMark/>
          </w:tcPr>
          <w:p w14:paraId="4A99AE36" w14:textId="5DE52A6B" w:rsidR="00024E76" w:rsidRPr="00024E76" w:rsidRDefault="00DB6A3C" w:rsidP="00024E76">
            <w:pPr>
              <w:jc w:val="right"/>
              <w:rPr>
                <w:rFonts w:ascii="Arial" w:hAnsi="Arial" w:cs="Arial"/>
                <w:b/>
                <w:bCs/>
                <w:color w:val="000000"/>
                <w:sz w:val="14"/>
                <w:szCs w:val="14"/>
                <w:lang w:eastAsia="es-AR"/>
              </w:rPr>
            </w:pPr>
            <w:r>
              <w:rPr>
                <w:rFonts w:ascii="Arial" w:hAnsi="Arial" w:cs="Arial"/>
                <w:b/>
                <w:bCs/>
                <w:color w:val="000000"/>
                <w:sz w:val="14"/>
                <w:szCs w:val="14"/>
                <w:lang w:eastAsia="es-AR"/>
              </w:rPr>
              <w:t>261.627</w:t>
            </w:r>
            <w:r w:rsidR="00024E76" w:rsidRPr="00024E76">
              <w:rPr>
                <w:rFonts w:ascii="Arial" w:hAnsi="Arial" w:cs="Arial"/>
                <w:b/>
                <w:bCs/>
                <w:color w:val="000000"/>
                <w:sz w:val="14"/>
                <w:szCs w:val="14"/>
                <w:lang w:eastAsia="es-AR"/>
              </w:rPr>
              <w:t xml:space="preserve"> </w:t>
            </w:r>
          </w:p>
        </w:tc>
        <w:tc>
          <w:tcPr>
            <w:tcW w:w="822" w:type="dxa"/>
            <w:tcBorders>
              <w:top w:val="nil"/>
              <w:left w:val="nil"/>
              <w:bottom w:val="single" w:sz="4" w:space="0" w:color="auto"/>
              <w:right w:val="single" w:sz="4" w:space="0" w:color="auto"/>
            </w:tcBorders>
            <w:shd w:val="clear" w:color="auto" w:fill="auto"/>
            <w:noWrap/>
            <w:vAlign w:val="center"/>
            <w:hideMark/>
          </w:tcPr>
          <w:p w14:paraId="04BD2F1A" w14:textId="77777777" w:rsidR="00024E76" w:rsidRPr="00024E76" w:rsidRDefault="00024E76" w:rsidP="00024E76">
            <w:pPr>
              <w:jc w:val="center"/>
              <w:rPr>
                <w:rFonts w:ascii="Arial" w:hAnsi="Arial" w:cs="Arial"/>
                <w:color w:val="000000"/>
                <w:sz w:val="14"/>
                <w:szCs w:val="14"/>
                <w:lang w:eastAsia="es-AR"/>
              </w:rPr>
            </w:pPr>
            <w:r w:rsidRPr="00024E76">
              <w:rPr>
                <w:rFonts w:ascii="Arial" w:hAnsi="Arial" w:cs="Arial"/>
                <w:color w:val="000000"/>
                <w:sz w:val="14"/>
                <w:szCs w:val="14"/>
                <w:lang w:eastAsia="es-AR"/>
              </w:rPr>
              <w:t xml:space="preserve">3 </w:t>
            </w:r>
          </w:p>
        </w:tc>
        <w:tc>
          <w:tcPr>
            <w:tcW w:w="932" w:type="dxa"/>
            <w:tcBorders>
              <w:top w:val="nil"/>
              <w:left w:val="nil"/>
              <w:bottom w:val="single" w:sz="4" w:space="0" w:color="auto"/>
              <w:right w:val="single" w:sz="4" w:space="0" w:color="auto"/>
            </w:tcBorders>
            <w:shd w:val="clear" w:color="auto" w:fill="auto"/>
            <w:noWrap/>
            <w:vAlign w:val="center"/>
            <w:hideMark/>
          </w:tcPr>
          <w:p w14:paraId="68C4B7FB" w14:textId="3B993F63" w:rsidR="00024E76" w:rsidRPr="00024E76" w:rsidRDefault="00DB6A3C" w:rsidP="00024E76">
            <w:pPr>
              <w:jc w:val="right"/>
              <w:rPr>
                <w:rFonts w:ascii="Arial" w:hAnsi="Arial" w:cs="Arial"/>
                <w:color w:val="000000"/>
                <w:sz w:val="14"/>
                <w:szCs w:val="14"/>
                <w:lang w:eastAsia="es-AR"/>
              </w:rPr>
            </w:pPr>
            <w:r>
              <w:rPr>
                <w:rFonts w:ascii="Arial" w:hAnsi="Arial" w:cs="Arial"/>
                <w:color w:val="000000"/>
                <w:sz w:val="14"/>
                <w:szCs w:val="14"/>
                <w:lang w:eastAsia="es-AR"/>
              </w:rPr>
              <w:t>338.506</w:t>
            </w:r>
            <w:r w:rsidR="00024E76" w:rsidRPr="00024E76">
              <w:rPr>
                <w:rFonts w:ascii="Arial" w:hAnsi="Arial" w:cs="Arial"/>
                <w:color w:val="000000"/>
                <w:sz w:val="14"/>
                <w:szCs w:val="14"/>
                <w:lang w:eastAsia="es-AR"/>
              </w:rPr>
              <w:t xml:space="preserve"> </w:t>
            </w:r>
          </w:p>
        </w:tc>
        <w:tc>
          <w:tcPr>
            <w:tcW w:w="761" w:type="dxa"/>
            <w:tcBorders>
              <w:top w:val="nil"/>
              <w:left w:val="nil"/>
              <w:bottom w:val="single" w:sz="4" w:space="0" w:color="auto"/>
              <w:right w:val="single" w:sz="4" w:space="0" w:color="auto"/>
            </w:tcBorders>
            <w:shd w:val="clear" w:color="auto" w:fill="auto"/>
            <w:noWrap/>
            <w:vAlign w:val="center"/>
            <w:hideMark/>
          </w:tcPr>
          <w:p w14:paraId="5DD31995" w14:textId="01217DC1" w:rsidR="00024E76" w:rsidRPr="00024E76" w:rsidRDefault="00024E76" w:rsidP="00024E76">
            <w:pPr>
              <w:jc w:val="right"/>
              <w:rPr>
                <w:rFonts w:ascii="Arial" w:hAnsi="Arial" w:cs="Arial"/>
                <w:color w:val="000000"/>
                <w:sz w:val="14"/>
                <w:szCs w:val="14"/>
                <w:lang w:eastAsia="es-AR"/>
              </w:rPr>
            </w:pPr>
            <w:r w:rsidRPr="00024E76">
              <w:rPr>
                <w:rFonts w:ascii="Arial" w:hAnsi="Arial" w:cs="Arial"/>
                <w:color w:val="000000"/>
                <w:sz w:val="14"/>
                <w:szCs w:val="14"/>
                <w:lang w:eastAsia="es-AR"/>
              </w:rPr>
              <w:t>(</w:t>
            </w:r>
            <w:r w:rsidR="00962E45">
              <w:rPr>
                <w:rFonts w:ascii="Arial" w:hAnsi="Arial" w:cs="Arial"/>
                <w:color w:val="000000"/>
                <w:sz w:val="14"/>
                <w:szCs w:val="14"/>
                <w:lang w:eastAsia="es-AR"/>
              </w:rPr>
              <w:t>5.524</w:t>
            </w:r>
            <w:r w:rsidRPr="00024E76">
              <w:rPr>
                <w:rFonts w:ascii="Arial" w:hAnsi="Arial" w:cs="Arial"/>
                <w:color w:val="000000"/>
                <w:sz w:val="14"/>
                <w:szCs w:val="14"/>
                <w:lang w:eastAsia="es-AR"/>
              </w:rPr>
              <w:t>)</w:t>
            </w:r>
          </w:p>
        </w:tc>
        <w:tc>
          <w:tcPr>
            <w:tcW w:w="1004" w:type="dxa"/>
            <w:tcBorders>
              <w:top w:val="nil"/>
              <w:left w:val="nil"/>
              <w:bottom w:val="single" w:sz="4" w:space="0" w:color="auto"/>
              <w:right w:val="single" w:sz="4" w:space="0" w:color="auto"/>
            </w:tcBorders>
            <w:shd w:val="clear" w:color="auto" w:fill="auto"/>
            <w:noWrap/>
            <w:vAlign w:val="center"/>
            <w:hideMark/>
          </w:tcPr>
          <w:p w14:paraId="06895D92" w14:textId="7CE1FED8" w:rsidR="00024E76" w:rsidRPr="00024E76" w:rsidRDefault="00024E76" w:rsidP="00024E76">
            <w:pPr>
              <w:jc w:val="right"/>
              <w:rPr>
                <w:rFonts w:ascii="Arial" w:hAnsi="Arial" w:cs="Arial"/>
                <w:color w:val="000000"/>
                <w:sz w:val="14"/>
                <w:szCs w:val="14"/>
                <w:lang w:eastAsia="es-AR"/>
              </w:rPr>
            </w:pPr>
            <w:r w:rsidRPr="00024E76">
              <w:rPr>
                <w:rFonts w:ascii="Arial" w:hAnsi="Arial" w:cs="Arial"/>
                <w:color w:val="000000"/>
                <w:sz w:val="14"/>
                <w:szCs w:val="14"/>
                <w:lang w:eastAsia="es-AR"/>
              </w:rPr>
              <w:t>(</w:t>
            </w:r>
            <w:r w:rsidR="00962E45">
              <w:rPr>
                <w:rFonts w:ascii="Arial" w:hAnsi="Arial" w:cs="Arial"/>
                <w:color w:val="000000"/>
                <w:sz w:val="14"/>
                <w:szCs w:val="14"/>
                <w:lang w:eastAsia="es-AR"/>
              </w:rPr>
              <w:t>115.858</w:t>
            </w:r>
            <w:r w:rsidRPr="00024E76">
              <w:rPr>
                <w:rFonts w:ascii="Arial" w:hAnsi="Arial" w:cs="Arial"/>
                <w:color w:val="000000"/>
                <w:sz w:val="14"/>
                <w:szCs w:val="14"/>
                <w:lang w:eastAsia="es-AR"/>
              </w:rPr>
              <w:t>)</w:t>
            </w:r>
          </w:p>
        </w:tc>
        <w:tc>
          <w:tcPr>
            <w:tcW w:w="548" w:type="dxa"/>
            <w:tcBorders>
              <w:top w:val="nil"/>
              <w:left w:val="nil"/>
              <w:bottom w:val="single" w:sz="4" w:space="0" w:color="auto"/>
              <w:right w:val="single" w:sz="4" w:space="0" w:color="auto"/>
            </w:tcBorders>
            <w:shd w:val="clear" w:color="auto" w:fill="auto"/>
            <w:noWrap/>
            <w:vAlign w:val="center"/>
            <w:hideMark/>
          </w:tcPr>
          <w:p w14:paraId="5ED767DA" w14:textId="04FAAB58" w:rsidR="00024E76" w:rsidRPr="00024E76" w:rsidRDefault="00962E45" w:rsidP="00024E76">
            <w:pPr>
              <w:jc w:val="right"/>
              <w:rPr>
                <w:rFonts w:ascii="Arial" w:hAnsi="Arial" w:cs="Arial"/>
                <w:color w:val="000000"/>
                <w:sz w:val="14"/>
                <w:szCs w:val="14"/>
                <w:lang w:eastAsia="es-AR"/>
              </w:rPr>
            </w:pPr>
            <w:r>
              <w:rPr>
                <w:rFonts w:ascii="Arial" w:hAnsi="Arial" w:cs="Arial"/>
                <w:color w:val="000000"/>
                <w:sz w:val="14"/>
                <w:szCs w:val="14"/>
                <w:lang w:eastAsia="es-AR"/>
              </w:rPr>
              <w:t>-</w:t>
            </w:r>
            <w:r w:rsidRPr="00024E76">
              <w:rPr>
                <w:rFonts w:ascii="Arial" w:hAnsi="Arial" w:cs="Arial"/>
                <w:color w:val="000000"/>
                <w:sz w:val="14"/>
                <w:szCs w:val="14"/>
                <w:lang w:eastAsia="es-AR"/>
              </w:rPr>
              <w:t xml:space="preserve"> </w:t>
            </w:r>
          </w:p>
        </w:tc>
        <w:tc>
          <w:tcPr>
            <w:tcW w:w="827" w:type="dxa"/>
            <w:tcBorders>
              <w:top w:val="nil"/>
              <w:left w:val="nil"/>
              <w:bottom w:val="single" w:sz="4" w:space="0" w:color="auto"/>
              <w:right w:val="single" w:sz="4" w:space="0" w:color="auto"/>
            </w:tcBorders>
            <w:shd w:val="clear" w:color="auto" w:fill="auto"/>
            <w:noWrap/>
            <w:vAlign w:val="center"/>
            <w:hideMark/>
          </w:tcPr>
          <w:p w14:paraId="08B810C8" w14:textId="1F8C0C30" w:rsidR="00024E76" w:rsidRPr="00024E76" w:rsidRDefault="00024E76" w:rsidP="00024E76">
            <w:pPr>
              <w:jc w:val="right"/>
              <w:rPr>
                <w:rFonts w:ascii="Arial" w:hAnsi="Arial" w:cs="Arial"/>
                <w:color w:val="000000"/>
                <w:sz w:val="14"/>
                <w:szCs w:val="14"/>
                <w:lang w:eastAsia="es-AR"/>
              </w:rPr>
            </w:pPr>
            <w:r w:rsidRPr="00024E76">
              <w:rPr>
                <w:rFonts w:ascii="Arial" w:hAnsi="Arial" w:cs="Arial"/>
                <w:color w:val="000000"/>
                <w:sz w:val="14"/>
                <w:szCs w:val="14"/>
                <w:lang w:eastAsia="es-AR"/>
              </w:rPr>
              <w:t>(</w:t>
            </w:r>
            <w:r w:rsidR="00962E45">
              <w:rPr>
                <w:rFonts w:ascii="Arial" w:hAnsi="Arial" w:cs="Arial"/>
                <w:color w:val="000000"/>
                <w:sz w:val="14"/>
                <w:szCs w:val="14"/>
                <w:lang w:eastAsia="es-AR"/>
              </w:rPr>
              <w:t>103.274</w:t>
            </w:r>
            <w:r w:rsidRPr="00024E76">
              <w:rPr>
                <w:rFonts w:ascii="Arial" w:hAnsi="Arial" w:cs="Arial"/>
                <w:color w:val="000000"/>
                <w:sz w:val="14"/>
                <w:szCs w:val="14"/>
                <w:lang w:eastAsia="es-AR"/>
              </w:rPr>
              <w:t>)</w:t>
            </w:r>
          </w:p>
        </w:tc>
        <w:tc>
          <w:tcPr>
            <w:tcW w:w="1004" w:type="dxa"/>
            <w:tcBorders>
              <w:top w:val="nil"/>
              <w:left w:val="nil"/>
              <w:bottom w:val="single" w:sz="4" w:space="0" w:color="auto"/>
              <w:right w:val="single" w:sz="4" w:space="0" w:color="auto"/>
            </w:tcBorders>
            <w:shd w:val="clear" w:color="auto" w:fill="auto"/>
            <w:noWrap/>
            <w:vAlign w:val="center"/>
            <w:hideMark/>
          </w:tcPr>
          <w:p w14:paraId="1868826E" w14:textId="5ABC5046" w:rsidR="00024E76" w:rsidRPr="00024E76" w:rsidRDefault="00024E76" w:rsidP="00024E76">
            <w:pPr>
              <w:jc w:val="right"/>
              <w:rPr>
                <w:rFonts w:ascii="Arial" w:hAnsi="Arial" w:cs="Arial"/>
                <w:color w:val="000000"/>
                <w:sz w:val="14"/>
                <w:szCs w:val="14"/>
                <w:lang w:eastAsia="es-AR"/>
              </w:rPr>
            </w:pPr>
            <w:r w:rsidRPr="00024E76">
              <w:rPr>
                <w:rFonts w:ascii="Arial" w:hAnsi="Arial" w:cs="Arial"/>
                <w:color w:val="000000"/>
                <w:sz w:val="14"/>
                <w:szCs w:val="14"/>
                <w:lang w:eastAsia="es-AR"/>
              </w:rPr>
              <w:t>(</w:t>
            </w:r>
            <w:r w:rsidR="00033CB1">
              <w:rPr>
                <w:rFonts w:ascii="Arial" w:hAnsi="Arial" w:cs="Arial"/>
                <w:color w:val="000000"/>
                <w:sz w:val="14"/>
                <w:szCs w:val="14"/>
                <w:lang w:eastAsia="es-AR"/>
              </w:rPr>
              <w:t>219.132</w:t>
            </w:r>
            <w:r w:rsidRPr="00024E76">
              <w:rPr>
                <w:rFonts w:ascii="Arial" w:hAnsi="Arial" w:cs="Arial"/>
                <w:color w:val="000000"/>
                <w:sz w:val="14"/>
                <w:szCs w:val="14"/>
                <w:lang w:eastAsia="es-AR"/>
              </w:rPr>
              <w:t>)</w:t>
            </w:r>
          </w:p>
        </w:tc>
        <w:tc>
          <w:tcPr>
            <w:tcW w:w="932" w:type="dxa"/>
            <w:tcBorders>
              <w:top w:val="nil"/>
              <w:left w:val="nil"/>
              <w:bottom w:val="single" w:sz="4" w:space="0" w:color="auto"/>
              <w:right w:val="single" w:sz="4" w:space="0" w:color="auto"/>
            </w:tcBorders>
            <w:shd w:val="clear" w:color="auto" w:fill="auto"/>
            <w:noWrap/>
            <w:vAlign w:val="center"/>
            <w:hideMark/>
          </w:tcPr>
          <w:p w14:paraId="7C606B28" w14:textId="0560682C" w:rsidR="00024E76" w:rsidRPr="00024E76" w:rsidRDefault="00033CB1" w:rsidP="00024E76">
            <w:pPr>
              <w:jc w:val="right"/>
              <w:rPr>
                <w:rFonts w:ascii="Arial" w:hAnsi="Arial" w:cs="Arial"/>
                <w:b/>
                <w:bCs/>
                <w:color w:val="000000"/>
                <w:sz w:val="14"/>
                <w:szCs w:val="14"/>
                <w:lang w:eastAsia="es-AR"/>
              </w:rPr>
            </w:pPr>
            <w:r>
              <w:rPr>
                <w:rFonts w:ascii="Arial" w:hAnsi="Arial" w:cs="Arial"/>
                <w:b/>
                <w:bCs/>
                <w:color w:val="000000"/>
                <w:sz w:val="14"/>
                <w:szCs w:val="14"/>
                <w:lang w:eastAsia="es-AR"/>
              </w:rPr>
              <w:t>375.477</w:t>
            </w:r>
            <w:r w:rsidR="00024E76" w:rsidRPr="00024E76">
              <w:rPr>
                <w:rFonts w:ascii="Arial" w:hAnsi="Arial" w:cs="Arial"/>
                <w:b/>
                <w:bCs/>
                <w:color w:val="000000"/>
                <w:sz w:val="14"/>
                <w:szCs w:val="14"/>
                <w:lang w:eastAsia="es-AR"/>
              </w:rPr>
              <w:t xml:space="preserve"> </w:t>
            </w:r>
          </w:p>
        </w:tc>
      </w:tr>
      <w:tr w:rsidR="00033CB1" w:rsidRPr="00024E76" w14:paraId="313877BA" w14:textId="77777777" w:rsidTr="006E1AF7">
        <w:trPr>
          <w:trHeight w:val="329"/>
        </w:trPr>
        <w:tc>
          <w:tcPr>
            <w:tcW w:w="1488" w:type="dxa"/>
            <w:tcBorders>
              <w:top w:val="nil"/>
              <w:left w:val="single" w:sz="4" w:space="0" w:color="auto"/>
              <w:bottom w:val="single" w:sz="4" w:space="0" w:color="auto"/>
              <w:right w:val="single" w:sz="4" w:space="0" w:color="auto"/>
            </w:tcBorders>
            <w:shd w:val="clear" w:color="auto" w:fill="auto"/>
            <w:vAlign w:val="center"/>
            <w:hideMark/>
          </w:tcPr>
          <w:p w14:paraId="6E42895E" w14:textId="77777777" w:rsidR="00024E76" w:rsidRPr="00024E76" w:rsidRDefault="00024E76" w:rsidP="00024E76">
            <w:pPr>
              <w:rPr>
                <w:rFonts w:ascii="Arial" w:hAnsi="Arial" w:cs="Arial"/>
                <w:b/>
                <w:bCs/>
                <w:color w:val="000000"/>
                <w:sz w:val="14"/>
                <w:szCs w:val="14"/>
                <w:lang w:eastAsia="es-AR"/>
              </w:rPr>
            </w:pPr>
            <w:r w:rsidRPr="00024E76">
              <w:rPr>
                <w:rFonts w:ascii="Arial" w:hAnsi="Arial" w:cs="Arial"/>
                <w:b/>
                <w:bCs/>
                <w:color w:val="000000"/>
                <w:sz w:val="14"/>
                <w:szCs w:val="14"/>
                <w:lang w:eastAsia="es-AR"/>
              </w:rPr>
              <w:t>TOTAL ACTIVOS INTANGIBLES</w:t>
            </w:r>
          </w:p>
        </w:tc>
        <w:tc>
          <w:tcPr>
            <w:tcW w:w="932" w:type="dxa"/>
            <w:tcBorders>
              <w:top w:val="nil"/>
              <w:left w:val="nil"/>
              <w:bottom w:val="single" w:sz="4" w:space="0" w:color="auto"/>
              <w:right w:val="single" w:sz="4" w:space="0" w:color="auto"/>
            </w:tcBorders>
            <w:shd w:val="clear" w:color="auto" w:fill="auto"/>
            <w:noWrap/>
            <w:vAlign w:val="center"/>
            <w:hideMark/>
          </w:tcPr>
          <w:p w14:paraId="099CDF53" w14:textId="5E89122F" w:rsidR="00024E76" w:rsidRPr="00024E76" w:rsidRDefault="00DB6A3C" w:rsidP="00024E76">
            <w:pPr>
              <w:jc w:val="right"/>
              <w:rPr>
                <w:rFonts w:ascii="Arial" w:hAnsi="Arial" w:cs="Arial"/>
                <w:b/>
                <w:bCs/>
                <w:color w:val="000000"/>
                <w:sz w:val="14"/>
                <w:szCs w:val="14"/>
                <w:lang w:eastAsia="es-AR"/>
              </w:rPr>
            </w:pPr>
            <w:r>
              <w:rPr>
                <w:rFonts w:ascii="Arial" w:hAnsi="Arial" w:cs="Arial"/>
                <w:b/>
                <w:bCs/>
                <w:color w:val="000000"/>
                <w:sz w:val="14"/>
                <w:szCs w:val="14"/>
                <w:lang w:eastAsia="es-AR"/>
              </w:rPr>
              <w:t>292.610</w:t>
            </w:r>
            <w:r w:rsidR="00024E76" w:rsidRPr="00024E76">
              <w:rPr>
                <w:rFonts w:ascii="Arial" w:hAnsi="Arial" w:cs="Arial"/>
                <w:b/>
                <w:bCs/>
                <w:color w:val="000000"/>
                <w:sz w:val="14"/>
                <w:szCs w:val="14"/>
                <w:lang w:eastAsia="es-AR"/>
              </w:rPr>
              <w:t xml:space="preserve"> </w:t>
            </w:r>
          </w:p>
        </w:tc>
        <w:tc>
          <w:tcPr>
            <w:tcW w:w="822" w:type="dxa"/>
            <w:tcBorders>
              <w:top w:val="nil"/>
              <w:left w:val="nil"/>
              <w:bottom w:val="single" w:sz="4" w:space="0" w:color="auto"/>
              <w:right w:val="single" w:sz="4" w:space="0" w:color="auto"/>
            </w:tcBorders>
            <w:shd w:val="clear" w:color="auto" w:fill="auto"/>
            <w:vAlign w:val="center"/>
            <w:hideMark/>
          </w:tcPr>
          <w:p w14:paraId="62303683" w14:textId="77777777" w:rsidR="00024E76" w:rsidRPr="00024E76" w:rsidRDefault="00024E76" w:rsidP="00024E76">
            <w:pPr>
              <w:rPr>
                <w:color w:val="000000"/>
                <w:sz w:val="20"/>
                <w:lang w:eastAsia="es-AR"/>
              </w:rPr>
            </w:pPr>
            <w:r w:rsidRPr="00024E76">
              <w:rPr>
                <w:color w:val="000000"/>
                <w:sz w:val="20"/>
                <w:lang w:eastAsia="es-AR"/>
              </w:rPr>
              <w:t> </w:t>
            </w:r>
          </w:p>
        </w:tc>
        <w:tc>
          <w:tcPr>
            <w:tcW w:w="932" w:type="dxa"/>
            <w:tcBorders>
              <w:top w:val="nil"/>
              <w:left w:val="nil"/>
              <w:bottom w:val="single" w:sz="4" w:space="0" w:color="auto"/>
              <w:right w:val="single" w:sz="4" w:space="0" w:color="auto"/>
            </w:tcBorders>
            <w:shd w:val="clear" w:color="auto" w:fill="auto"/>
            <w:noWrap/>
            <w:vAlign w:val="center"/>
            <w:hideMark/>
          </w:tcPr>
          <w:p w14:paraId="6EA824BE" w14:textId="4B8B89BD" w:rsidR="00024E76" w:rsidRPr="00024E76" w:rsidRDefault="00962E45" w:rsidP="00024E76">
            <w:pPr>
              <w:jc w:val="right"/>
              <w:rPr>
                <w:rFonts w:ascii="Arial" w:hAnsi="Arial" w:cs="Arial"/>
                <w:b/>
                <w:bCs/>
                <w:color w:val="000000"/>
                <w:sz w:val="14"/>
                <w:szCs w:val="14"/>
                <w:lang w:eastAsia="es-AR"/>
              </w:rPr>
            </w:pPr>
            <w:r>
              <w:rPr>
                <w:rFonts w:ascii="Arial" w:hAnsi="Arial" w:cs="Arial"/>
                <w:b/>
                <w:bCs/>
                <w:color w:val="000000"/>
                <w:sz w:val="14"/>
                <w:szCs w:val="14"/>
                <w:lang w:eastAsia="es-AR"/>
              </w:rPr>
              <w:t>338.506</w:t>
            </w:r>
            <w:r w:rsidR="00024E76" w:rsidRPr="00024E76">
              <w:rPr>
                <w:rFonts w:ascii="Arial" w:hAnsi="Arial" w:cs="Arial"/>
                <w:b/>
                <w:bCs/>
                <w:color w:val="000000"/>
                <w:sz w:val="14"/>
                <w:szCs w:val="14"/>
                <w:lang w:eastAsia="es-AR"/>
              </w:rPr>
              <w:t xml:space="preserve"> </w:t>
            </w:r>
          </w:p>
        </w:tc>
        <w:tc>
          <w:tcPr>
            <w:tcW w:w="761" w:type="dxa"/>
            <w:tcBorders>
              <w:top w:val="nil"/>
              <w:left w:val="nil"/>
              <w:bottom w:val="single" w:sz="4" w:space="0" w:color="auto"/>
              <w:right w:val="single" w:sz="4" w:space="0" w:color="auto"/>
            </w:tcBorders>
            <w:shd w:val="clear" w:color="auto" w:fill="auto"/>
            <w:noWrap/>
            <w:vAlign w:val="center"/>
            <w:hideMark/>
          </w:tcPr>
          <w:p w14:paraId="43966F1B" w14:textId="432FEA62" w:rsidR="00024E76" w:rsidRPr="00024E76" w:rsidRDefault="00024E76" w:rsidP="00024E76">
            <w:pPr>
              <w:jc w:val="right"/>
              <w:rPr>
                <w:rFonts w:ascii="Arial" w:hAnsi="Arial" w:cs="Arial"/>
                <w:b/>
                <w:bCs/>
                <w:color w:val="000000"/>
                <w:sz w:val="14"/>
                <w:szCs w:val="14"/>
                <w:lang w:eastAsia="es-AR"/>
              </w:rPr>
            </w:pPr>
            <w:r w:rsidRPr="00024E76">
              <w:rPr>
                <w:rFonts w:ascii="Arial" w:hAnsi="Arial" w:cs="Arial"/>
                <w:b/>
                <w:bCs/>
                <w:color w:val="000000"/>
                <w:sz w:val="14"/>
                <w:szCs w:val="14"/>
                <w:lang w:eastAsia="es-AR"/>
              </w:rPr>
              <w:t>(</w:t>
            </w:r>
            <w:r w:rsidR="00962E45">
              <w:rPr>
                <w:rFonts w:ascii="Arial" w:hAnsi="Arial" w:cs="Arial"/>
                <w:b/>
                <w:bCs/>
                <w:color w:val="000000"/>
                <w:sz w:val="14"/>
                <w:szCs w:val="14"/>
                <w:lang w:eastAsia="es-AR"/>
              </w:rPr>
              <w:t>5.524</w:t>
            </w:r>
            <w:r w:rsidRPr="00024E76">
              <w:rPr>
                <w:rFonts w:ascii="Arial" w:hAnsi="Arial" w:cs="Arial"/>
                <w:b/>
                <w:bCs/>
                <w:color w:val="000000"/>
                <w:sz w:val="14"/>
                <w:szCs w:val="14"/>
                <w:lang w:eastAsia="es-AR"/>
              </w:rPr>
              <w:t>)</w:t>
            </w:r>
          </w:p>
        </w:tc>
        <w:tc>
          <w:tcPr>
            <w:tcW w:w="1004" w:type="dxa"/>
            <w:tcBorders>
              <w:top w:val="nil"/>
              <w:left w:val="nil"/>
              <w:bottom w:val="single" w:sz="4" w:space="0" w:color="auto"/>
              <w:right w:val="single" w:sz="4" w:space="0" w:color="auto"/>
            </w:tcBorders>
            <w:shd w:val="clear" w:color="auto" w:fill="auto"/>
            <w:noWrap/>
            <w:vAlign w:val="center"/>
            <w:hideMark/>
          </w:tcPr>
          <w:p w14:paraId="7D312FCD" w14:textId="203F7976" w:rsidR="00024E76" w:rsidRPr="00024E76" w:rsidRDefault="00024E76" w:rsidP="00024E76">
            <w:pPr>
              <w:jc w:val="right"/>
              <w:rPr>
                <w:rFonts w:ascii="Arial" w:hAnsi="Arial" w:cs="Arial"/>
                <w:b/>
                <w:bCs/>
                <w:color w:val="000000"/>
                <w:sz w:val="14"/>
                <w:szCs w:val="14"/>
                <w:lang w:eastAsia="es-AR"/>
              </w:rPr>
            </w:pPr>
            <w:r w:rsidRPr="00024E76">
              <w:rPr>
                <w:rFonts w:ascii="Arial" w:hAnsi="Arial" w:cs="Arial"/>
                <w:b/>
                <w:bCs/>
                <w:color w:val="000000"/>
                <w:sz w:val="14"/>
                <w:szCs w:val="14"/>
                <w:lang w:eastAsia="es-AR"/>
              </w:rPr>
              <w:t>(</w:t>
            </w:r>
            <w:r w:rsidR="00962E45">
              <w:rPr>
                <w:rFonts w:ascii="Arial" w:hAnsi="Arial" w:cs="Arial"/>
                <w:b/>
                <w:bCs/>
                <w:color w:val="000000"/>
                <w:sz w:val="14"/>
                <w:szCs w:val="14"/>
                <w:lang w:eastAsia="es-AR"/>
              </w:rPr>
              <w:t>115.858</w:t>
            </w:r>
            <w:r w:rsidRPr="00024E76">
              <w:rPr>
                <w:rFonts w:ascii="Arial" w:hAnsi="Arial" w:cs="Arial"/>
                <w:b/>
                <w:bCs/>
                <w:color w:val="000000"/>
                <w:sz w:val="14"/>
                <w:szCs w:val="14"/>
                <w:lang w:eastAsia="es-AR"/>
              </w:rPr>
              <w:t>)</w:t>
            </w:r>
          </w:p>
        </w:tc>
        <w:tc>
          <w:tcPr>
            <w:tcW w:w="548" w:type="dxa"/>
            <w:tcBorders>
              <w:top w:val="nil"/>
              <w:left w:val="nil"/>
              <w:bottom w:val="single" w:sz="4" w:space="0" w:color="auto"/>
              <w:right w:val="single" w:sz="4" w:space="0" w:color="auto"/>
            </w:tcBorders>
            <w:shd w:val="clear" w:color="auto" w:fill="auto"/>
            <w:noWrap/>
            <w:vAlign w:val="center"/>
            <w:hideMark/>
          </w:tcPr>
          <w:p w14:paraId="6303D93C" w14:textId="3E235EC3" w:rsidR="00024E76" w:rsidRPr="00024E76" w:rsidRDefault="00962E45" w:rsidP="00024E76">
            <w:pPr>
              <w:jc w:val="right"/>
              <w:rPr>
                <w:rFonts w:ascii="Arial" w:hAnsi="Arial" w:cs="Arial"/>
                <w:b/>
                <w:bCs/>
                <w:color w:val="000000"/>
                <w:sz w:val="14"/>
                <w:szCs w:val="14"/>
                <w:lang w:eastAsia="es-AR"/>
              </w:rPr>
            </w:pPr>
            <w:r>
              <w:rPr>
                <w:rFonts w:ascii="Arial" w:hAnsi="Arial" w:cs="Arial"/>
                <w:b/>
                <w:bCs/>
                <w:color w:val="000000"/>
                <w:sz w:val="14"/>
                <w:szCs w:val="14"/>
                <w:lang w:eastAsia="es-AR"/>
              </w:rPr>
              <w:t>-</w:t>
            </w:r>
          </w:p>
        </w:tc>
        <w:tc>
          <w:tcPr>
            <w:tcW w:w="827" w:type="dxa"/>
            <w:tcBorders>
              <w:top w:val="nil"/>
              <w:left w:val="nil"/>
              <w:bottom w:val="single" w:sz="4" w:space="0" w:color="auto"/>
              <w:right w:val="single" w:sz="4" w:space="0" w:color="auto"/>
            </w:tcBorders>
            <w:shd w:val="clear" w:color="auto" w:fill="auto"/>
            <w:noWrap/>
            <w:vAlign w:val="center"/>
            <w:hideMark/>
          </w:tcPr>
          <w:p w14:paraId="25B1C61D" w14:textId="6DF72FD6" w:rsidR="00024E76" w:rsidRPr="00024E76" w:rsidRDefault="00024E76" w:rsidP="00024E76">
            <w:pPr>
              <w:jc w:val="right"/>
              <w:rPr>
                <w:rFonts w:ascii="Arial" w:hAnsi="Arial" w:cs="Arial"/>
                <w:b/>
                <w:bCs/>
                <w:color w:val="000000"/>
                <w:sz w:val="14"/>
                <w:szCs w:val="14"/>
                <w:lang w:eastAsia="es-AR"/>
              </w:rPr>
            </w:pPr>
            <w:r w:rsidRPr="00024E76">
              <w:rPr>
                <w:rFonts w:ascii="Arial" w:hAnsi="Arial" w:cs="Arial"/>
                <w:b/>
                <w:bCs/>
                <w:color w:val="000000"/>
                <w:sz w:val="14"/>
                <w:szCs w:val="14"/>
                <w:lang w:eastAsia="es-AR"/>
              </w:rPr>
              <w:t>(</w:t>
            </w:r>
            <w:r w:rsidR="00962E45">
              <w:rPr>
                <w:rFonts w:ascii="Arial" w:hAnsi="Arial" w:cs="Arial"/>
                <w:b/>
                <w:bCs/>
                <w:color w:val="000000"/>
                <w:sz w:val="14"/>
                <w:szCs w:val="14"/>
                <w:lang w:eastAsia="es-AR"/>
              </w:rPr>
              <w:t>103.274</w:t>
            </w:r>
            <w:r w:rsidRPr="00024E76">
              <w:rPr>
                <w:rFonts w:ascii="Arial" w:hAnsi="Arial" w:cs="Arial"/>
                <w:b/>
                <w:bCs/>
                <w:color w:val="000000"/>
                <w:sz w:val="14"/>
                <w:szCs w:val="14"/>
                <w:lang w:eastAsia="es-AR"/>
              </w:rPr>
              <w:t>)</w:t>
            </w:r>
          </w:p>
        </w:tc>
        <w:tc>
          <w:tcPr>
            <w:tcW w:w="1004" w:type="dxa"/>
            <w:tcBorders>
              <w:top w:val="nil"/>
              <w:left w:val="nil"/>
              <w:bottom w:val="single" w:sz="4" w:space="0" w:color="auto"/>
              <w:right w:val="single" w:sz="4" w:space="0" w:color="auto"/>
            </w:tcBorders>
            <w:shd w:val="clear" w:color="auto" w:fill="auto"/>
            <w:noWrap/>
            <w:vAlign w:val="center"/>
            <w:hideMark/>
          </w:tcPr>
          <w:p w14:paraId="300A0EEB" w14:textId="3EF30C25" w:rsidR="00024E76" w:rsidRPr="00024E76" w:rsidRDefault="00024E76" w:rsidP="00024E76">
            <w:pPr>
              <w:jc w:val="right"/>
              <w:rPr>
                <w:rFonts w:ascii="Arial" w:hAnsi="Arial" w:cs="Arial"/>
                <w:b/>
                <w:bCs/>
                <w:color w:val="000000"/>
                <w:sz w:val="14"/>
                <w:szCs w:val="14"/>
                <w:lang w:eastAsia="es-AR"/>
              </w:rPr>
            </w:pPr>
            <w:r w:rsidRPr="00024E76">
              <w:rPr>
                <w:rFonts w:ascii="Arial" w:hAnsi="Arial" w:cs="Arial"/>
                <w:b/>
                <w:bCs/>
                <w:color w:val="000000"/>
                <w:sz w:val="14"/>
                <w:szCs w:val="14"/>
                <w:lang w:eastAsia="es-AR"/>
              </w:rPr>
              <w:t>(</w:t>
            </w:r>
            <w:r w:rsidR="00033CB1">
              <w:rPr>
                <w:rFonts w:ascii="Arial" w:hAnsi="Arial" w:cs="Arial"/>
                <w:b/>
                <w:bCs/>
                <w:color w:val="000000"/>
                <w:sz w:val="14"/>
                <w:szCs w:val="14"/>
                <w:lang w:eastAsia="es-AR"/>
              </w:rPr>
              <w:t>219.132</w:t>
            </w:r>
            <w:r w:rsidRPr="00024E76">
              <w:rPr>
                <w:rFonts w:ascii="Arial" w:hAnsi="Arial" w:cs="Arial"/>
                <w:b/>
                <w:bCs/>
                <w:color w:val="000000"/>
                <w:sz w:val="14"/>
                <w:szCs w:val="14"/>
                <w:lang w:eastAsia="es-AR"/>
              </w:rPr>
              <w:t>)</w:t>
            </w:r>
          </w:p>
        </w:tc>
        <w:tc>
          <w:tcPr>
            <w:tcW w:w="932" w:type="dxa"/>
            <w:tcBorders>
              <w:top w:val="nil"/>
              <w:left w:val="nil"/>
              <w:bottom w:val="single" w:sz="4" w:space="0" w:color="auto"/>
              <w:right w:val="single" w:sz="4" w:space="0" w:color="auto"/>
            </w:tcBorders>
            <w:shd w:val="clear" w:color="auto" w:fill="auto"/>
            <w:noWrap/>
            <w:vAlign w:val="center"/>
            <w:hideMark/>
          </w:tcPr>
          <w:p w14:paraId="0CEB12AF" w14:textId="0D25B465" w:rsidR="00024E76" w:rsidRPr="00024E76" w:rsidRDefault="00033CB1" w:rsidP="00024E76">
            <w:pPr>
              <w:jc w:val="right"/>
              <w:rPr>
                <w:rFonts w:ascii="Arial" w:hAnsi="Arial" w:cs="Arial"/>
                <w:b/>
                <w:bCs/>
                <w:color w:val="000000"/>
                <w:sz w:val="14"/>
                <w:szCs w:val="14"/>
                <w:lang w:eastAsia="es-AR"/>
              </w:rPr>
            </w:pPr>
            <w:r>
              <w:rPr>
                <w:rFonts w:ascii="Arial" w:hAnsi="Arial" w:cs="Arial"/>
                <w:b/>
                <w:bCs/>
                <w:color w:val="000000"/>
                <w:sz w:val="14"/>
                <w:szCs w:val="14"/>
                <w:lang w:eastAsia="es-AR"/>
              </w:rPr>
              <w:t>406.460</w:t>
            </w:r>
            <w:r w:rsidR="00024E76" w:rsidRPr="00024E76">
              <w:rPr>
                <w:rFonts w:ascii="Arial" w:hAnsi="Arial" w:cs="Arial"/>
                <w:b/>
                <w:bCs/>
                <w:color w:val="000000"/>
                <w:sz w:val="14"/>
                <w:szCs w:val="14"/>
                <w:lang w:eastAsia="es-AR"/>
              </w:rPr>
              <w:t xml:space="preserve"> </w:t>
            </w:r>
          </w:p>
        </w:tc>
      </w:tr>
    </w:tbl>
    <w:p w14:paraId="0A32B6ED" w14:textId="77777777" w:rsidR="00024E76" w:rsidRPr="00701F32" w:rsidRDefault="00024E76" w:rsidP="00543EF5">
      <w:pPr>
        <w:spacing w:after="160" w:line="259" w:lineRule="auto"/>
        <w:jc w:val="both"/>
        <w:rPr>
          <w:rFonts w:ascii="Arial" w:eastAsia="Calibri" w:hAnsi="Arial" w:cs="Arial"/>
          <w:sz w:val="20"/>
        </w:rPr>
      </w:pPr>
    </w:p>
    <w:p w14:paraId="2105CFA9" w14:textId="77777777" w:rsidR="00543EF5" w:rsidRPr="00E446C3" w:rsidRDefault="00543EF5" w:rsidP="00543EF5">
      <w:pPr>
        <w:jc w:val="both"/>
        <w:rPr>
          <w:rFonts w:ascii="Arial" w:eastAsia="Calibri" w:hAnsi="Arial" w:cs="Arial"/>
          <w:b/>
          <w:sz w:val="20"/>
          <w:u w:val="single"/>
        </w:rPr>
      </w:pPr>
      <w:r w:rsidRPr="00E446C3">
        <w:rPr>
          <w:rFonts w:ascii="Arial" w:eastAsia="Calibri" w:hAnsi="Arial" w:cs="Arial"/>
          <w:b/>
          <w:sz w:val="20"/>
          <w:u w:val="single"/>
        </w:rPr>
        <w:t>Prueba de recuperabilidad de valores llaves</w:t>
      </w:r>
    </w:p>
    <w:p w14:paraId="76FC3BBE" w14:textId="77777777" w:rsidR="00543EF5" w:rsidRPr="00E446C3" w:rsidRDefault="00543EF5" w:rsidP="00543EF5">
      <w:pPr>
        <w:jc w:val="both"/>
        <w:rPr>
          <w:rFonts w:ascii="Arial" w:eastAsia="Calibri" w:hAnsi="Arial" w:cs="Arial"/>
          <w:sz w:val="20"/>
        </w:rPr>
      </w:pPr>
    </w:p>
    <w:p w14:paraId="458CCE73" w14:textId="7A864F12" w:rsidR="00543EF5" w:rsidRPr="00E446C3" w:rsidRDefault="00543EF5" w:rsidP="00543EF5">
      <w:pPr>
        <w:jc w:val="both"/>
        <w:rPr>
          <w:rFonts w:ascii="Arial" w:eastAsia="Calibri" w:hAnsi="Arial" w:cs="Arial"/>
          <w:sz w:val="20"/>
        </w:rPr>
      </w:pPr>
      <w:r w:rsidRPr="00E446C3">
        <w:rPr>
          <w:rFonts w:ascii="Arial" w:eastAsia="Calibri" w:hAnsi="Arial" w:cs="Arial"/>
          <w:sz w:val="20"/>
        </w:rPr>
        <w:t xml:space="preserve">Los valores llaves se asignan a las unidades generadoras de efectivo </w:t>
      </w:r>
      <w:r w:rsidR="001C1547">
        <w:rPr>
          <w:rFonts w:ascii="Arial" w:eastAsia="Calibri" w:hAnsi="Arial" w:cs="Arial"/>
          <w:sz w:val="20"/>
        </w:rPr>
        <w:t xml:space="preserve">(“UGE”) </w:t>
      </w:r>
      <w:r w:rsidRPr="00E446C3">
        <w:rPr>
          <w:rFonts w:ascii="Arial" w:eastAsia="Calibri" w:hAnsi="Arial" w:cs="Arial"/>
          <w:sz w:val="20"/>
        </w:rPr>
        <w:t xml:space="preserve">del </w:t>
      </w:r>
      <w:r w:rsidR="00A96E66">
        <w:rPr>
          <w:rFonts w:ascii="Arial" w:eastAsia="Calibri" w:hAnsi="Arial" w:cs="Arial"/>
          <w:sz w:val="20"/>
        </w:rPr>
        <w:t>Banco</w:t>
      </w:r>
      <w:r w:rsidRPr="00E446C3">
        <w:rPr>
          <w:rFonts w:ascii="Arial" w:eastAsia="Calibri" w:hAnsi="Arial" w:cs="Arial"/>
          <w:sz w:val="20"/>
        </w:rPr>
        <w:t xml:space="preserve"> sobre la base de los segmentos operativos.</w:t>
      </w:r>
    </w:p>
    <w:p w14:paraId="45D8F74E" w14:textId="77777777" w:rsidR="00543EF5" w:rsidRPr="00E446C3" w:rsidRDefault="00543EF5" w:rsidP="00543EF5">
      <w:pPr>
        <w:jc w:val="both"/>
        <w:rPr>
          <w:rFonts w:ascii="Arial" w:eastAsia="Calibri" w:hAnsi="Arial" w:cs="Arial"/>
          <w:sz w:val="20"/>
        </w:rPr>
      </w:pPr>
    </w:p>
    <w:tbl>
      <w:tblPr>
        <w:tblW w:w="43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53"/>
        <w:gridCol w:w="1217"/>
        <w:gridCol w:w="1217"/>
      </w:tblGrid>
      <w:tr w:rsidR="00543EF5" w:rsidRPr="008348C4" w14:paraId="09FC7A42" w14:textId="77777777" w:rsidTr="00A45C21">
        <w:trPr>
          <w:trHeight w:val="64"/>
          <w:jc w:val="center"/>
        </w:trPr>
        <w:tc>
          <w:tcPr>
            <w:tcW w:w="3396" w:type="pct"/>
            <w:tcMar>
              <w:top w:w="0" w:type="dxa"/>
              <w:left w:w="108" w:type="dxa"/>
              <w:bottom w:w="0" w:type="dxa"/>
              <w:right w:w="108" w:type="dxa"/>
            </w:tcMar>
            <w:hideMark/>
          </w:tcPr>
          <w:p w14:paraId="2F9449E6" w14:textId="77777777" w:rsidR="00543EF5" w:rsidRPr="00037C01" w:rsidRDefault="00543EF5" w:rsidP="007B6F7B">
            <w:pPr>
              <w:pStyle w:val="NormalWeb"/>
              <w:spacing w:before="0" w:beforeAutospacing="0" w:after="0" w:afterAutospacing="0"/>
              <w:jc w:val="both"/>
              <w:rPr>
                <w:rFonts w:ascii="Arial" w:eastAsia="Calibri" w:hAnsi="Arial" w:cs="Arial"/>
                <w:sz w:val="18"/>
                <w:szCs w:val="20"/>
                <w:lang w:val="es-AR" w:eastAsia="en-US"/>
              </w:rPr>
            </w:pPr>
            <w:r w:rsidRPr="00037C01">
              <w:rPr>
                <w:rFonts w:ascii="Arial" w:eastAsia="Calibri" w:hAnsi="Arial" w:cs="Arial"/>
                <w:sz w:val="18"/>
                <w:szCs w:val="20"/>
                <w:lang w:val="es-AR" w:eastAsia="en-US"/>
              </w:rPr>
              <w:t> </w:t>
            </w:r>
          </w:p>
        </w:tc>
        <w:tc>
          <w:tcPr>
            <w:tcW w:w="802" w:type="pct"/>
            <w:tcMar>
              <w:top w:w="0" w:type="dxa"/>
              <w:left w:w="108" w:type="dxa"/>
              <w:bottom w:w="0" w:type="dxa"/>
              <w:right w:w="108" w:type="dxa"/>
            </w:tcMar>
            <w:vAlign w:val="center"/>
            <w:hideMark/>
          </w:tcPr>
          <w:p w14:paraId="66E3B8DF" w14:textId="386542D4" w:rsidR="00543EF5" w:rsidRPr="00037C01" w:rsidRDefault="00543EF5" w:rsidP="007B6F7B">
            <w:pPr>
              <w:pStyle w:val="NormalWeb"/>
              <w:spacing w:before="0" w:beforeAutospacing="0" w:after="0" w:afterAutospacing="0"/>
              <w:jc w:val="center"/>
              <w:rPr>
                <w:rFonts w:ascii="Arial" w:eastAsia="Calibri" w:hAnsi="Arial" w:cs="Arial"/>
                <w:b/>
                <w:bCs/>
                <w:sz w:val="18"/>
                <w:szCs w:val="20"/>
                <w:lang w:val="es-AR" w:eastAsia="en-US"/>
              </w:rPr>
            </w:pPr>
            <w:r w:rsidRPr="00037C01">
              <w:rPr>
                <w:rFonts w:ascii="Arial" w:eastAsia="Calibri" w:hAnsi="Arial" w:cs="Arial"/>
                <w:b/>
                <w:bCs/>
                <w:sz w:val="18"/>
                <w:szCs w:val="20"/>
                <w:lang w:val="es-AR" w:eastAsia="en-US"/>
              </w:rPr>
              <w:t>31/12/2019</w:t>
            </w:r>
          </w:p>
        </w:tc>
        <w:tc>
          <w:tcPr>
            <w:tcW w:w="802" w:type="pct"/>
            <w:tcMar>
              <w:top w:w="0" w:type="dxa"/>
              <w:left w:w="108" w:type="dxa"/>
              <w:bottom w:w="0" w:type="dxa"/>
              <w:right w:w="108" w:type="dxa"/>
            </w:tcMar>
            <w:vAlign w:val="center"/>
            <w:hideMark/>
          </w:tcPr>
          <w:p w14:paraId="49382551" w14:textId="6079AF0A" w:rsidR="00543EF5" w:rsidRPr="00037C01" w:rsidRDefault="00543EF5" w:rsidP="007B6F7B">
            <w:pPr>
              <w:pStyle w:val="NormalWeb"/>
              <w:spacing w:before="0" w:beforeAutospacing="0" w:after="0" w:afterAutospacing="0"/>
              <w:jc w:val="center"/>
              <w:rPr>
                <w:rFonts w:ascii="Arial" w:eastAsia="Calibri" w:hAnsi="Arial" w:cs="Arial"/>
                <w:sz w:val="18"/>
                <w:szCs w:val="20"/>
                <w:lang w:val="es-AR" w:eastAsia="en-US"/>
              </w:rPr>
            </w:pPr>
            <w:r w:rsidRPr="00037C01">
              <w:rPr>
                <w:rFonts w:ascii="Arial" w:eastAsia="Calibri" w:hAnsi="Arial" w:cs="Arial"/>
                <w:b/>
                <w:bCs/>
                <w:sz w:val="18"/>
                <w:szCs w:val="20"/>
                <w:lang w:val="es-AR" w:eastAsia="en-US"/>
              </w:rPr>
              <w:t>31/12/2018</w:t>
            </w:r>
          </w:p>
        </w:tc>
      </w:tr>
      <w:tr w:rsidR="00543EF5" w:rsidRPr="008348C4" w14:paraId="46CE4B41" w14:textId="77777777" w:rsidTr="00A45C21">
        <w:trPr>
          <w:jc w:val="center"/>
        </w:trPr>
        <w:tc>
          <w:tcPr>
            <w:tcW w:w="3396" w:type="pct"/>
            <w:tcMar>
              <w:top w:w="0" w:type="dxa"/>
              <w:left w:w="108" w:type="dxa"/>
              <w:bottom w:w="0" w:type="dxa"/>
              <w:right w:w="108" w:type="dxa"/>
            </w:tcMar>
            <w:vAlign w:val="center"/>
            <w:hideMark/>
          </w:tcPr>
          <w:p w14:paraId="35EAE3AF" w14:textId="77777777" w:rsidR="00543EF5" w:rsidRPr="00037C01" w:rsidRDefault="00543EF5" w:rsidP="00543EF5">
            <w:pPr>
              <w:pStyle w:val="NormalWeb"/>
              <w:spacing w:before="0" w:beforeAutospacing="0" w:after="0" w:afterAutospacing="0"/>
              <w:rPr>
                <w:rFonts w:ascii="Arial" w:eastAsia="Calibri" w:hAnsi="Arial" w:cs="Arial"/>
                <w:sz w:val="18"/>
                <w:szCs w:val="20"/>
                <w:lang w:val="es-AR" w:eastAsia="en-US"/>
              </w:rPr>
            </w:pPr>
            <w:r w:rsidRPr="00037C01">
              <w:rPr>
                <w:rFonts w:ascii="Arial" w:eastAsia="Calibri" w:hAnsi="Arial" w:cs="Arial"/>
                <w:sz w:val="18"/>
                <w:szCs w:val="20"/>
                <w:lang w:val="es-AR" w:eastAsia="en-US"/>
              </w:rPr>
              <w:t>Cordial Compañía Financiera S.A.</w:t>
            </w:r>
          </w:p>
        </w:tc>
        <w:tc>
          <w:tcPr>
            <w:tcW w:w="802" w:type="pct"/>
            <w:tcMar>
              <w:top w:w="0" w:type="dxa"/>
              <w:left w:w="108" w:type="dxa"/>
              <w:bottom w:w="0" w:type="dxa"/>
              <w:right w:w="108" w:type="dxa"/>
            </w:tcMar>
            <w:vAlign w:val="center"/>
          </w:tcPr>
          <w:p w14:paraId="0F2D82C6" w14:textId="0910BF71" w:rsidR="00543EF5" w:rsidRPr="00037C01" w:rsidRDefault="00024E76" w:rsidP="00543EF5">
            <w:pPr>
              <w:pStyle w:val="NormalWeb"/>
              <w:spacing w:before="0" w:beforeAutospacing="0" w:after="0" w:afterAutospacing="0"/>
              <w:jc w:val="right"/>
              <w:rPr>
                <w:rFonts w:ascii="Arial" w:eastAsia="Calibri" w:hAnsi="Arial" w:cs="Arial"/>
                <w:sz w:val="18"/>
                <w:szCs w:val="20"/>
                <w:lang w:val="es-AR" w:eastAsia="en-US"/>
              </w:rPr>
            </w:pPr>
            <w:r>
              <w:rPr>
                <w:rFonts w:ascii="Arial" w:eastAsia="Calibri" w:hAnsi="Arial" w:cs="Arial"/>
                <w:sz w:val="18"/>
                <w:szCs w:val="20"/>
                <w:lang w:val="es-AR" w:eastAsia="en-US"/>
              </w:rPr>
              <w:t>22.541</w:t>
            </w:r>
          </w:p>
        </w:tc>
        <w:tc>
          <w:tcPr>
            <w:tcW w:w="802" w:type="pct"/>
            <w:tcMar>
              <w:top w:w="0" w:type="dxa"/>
              <w:left w:w="108" w:type="dxa"/>
              <w:bottom w:w="0" w:type="dxa"/>
              <w:right w:w="108" w:type="dxa"/>
            </w:tcMar>
            <w:vAlign w:val="center"/>
            <w:hideMark/>
          </w:tcPr>
          <w:p w14:paraId="5FFEA35F" w14:textId="68268D59" w:rsidR="00543EF5" w:rsidRPr="00037C01" w:rsidRDefault="00543EF5" w:rsidP="00543EF5">
            <w:pPr>
              <w:pStyle w:val="NormalWeb"/>
              <w:spacing w:before="0" w:beforeAutospacing="0" w:after="0" w:afterAutospacing="0"/>
              <w:jc w:val="right"/>
              <w:rPr>
                <w:rFonts w:ascii="Arial" w:eastAsia="Calibri" w:hAnsi="Arial" w:cs="Arial"/>
                <w:sz w:val="18"/>
                <w:szCs w:val="20"/>
                <w:lang w:val="es-AR" w:eastAsia="en-US"/>
              </w:rPr>
            </w:pPr>
            <w:r w:rsidRPr="00037C01">
              <w:rPr>
                <w:rFonts w:ascii="Arial" w:eastAsia="Calibri" w:hAnsi="Arial" w:cs="Arial"/>
                <w:sz w:val="18"/>
                <w:szCs w:val="20"/>
                <w:lang w:val="es-AR" w:eastAsia="en-US"/>
              </w:rPr>
              <w:t xml:space="preserve">22.541 </w:t>
            </w:r>
          </w:p>
        </w:tc>
      </w:tr>
      <w:tr w:rsidR="00543EF5" w:rsidRPr="008348C4" w14:paraId="7E8BFCB6" w14:textId="77777777" w:rsidTr="00A45C21">
        <w:trPr>
          <w:jc w:val="center"/>
        </w:trPr>
        <w:tc>
          <w:tcPr>
            <w:tcW w:w="3396" w:type="pct"/>
            <w:tcMar>
              <w:top w:w="0" w:type="dxa"/>
              <w:left w:w="108" w:type="dxa"/>
              <w:bottom w:w="0" w:type="dxa"/>
              <w:right w:w="108" w:type="dxa"/>
            </w:tcMar>
            <w:vAlign w:val="center"/>
            <w:hideMark/>
          </w:tcPr>
          <w:p w14:paraId="7329CAFC" w14:textId="77777777" w:rsidR="00543EF5" w:rsidRPr="00037C01" w:rsidRDefault="00543EF5" w:rsidP="00543EF5">
            <w:pPr>
              <w:pStyle w:val="NormalWeb"/>
              <w:spacing w:before="0" w:beforeAutospacing="0" w:after="0" w:afterAutospacing="0"/>
              <w:rPr>
                <w:rFonts w:ascii="Arial" w:eastAsia="Calibri" w:hAnsi="Arial" w:cs="Arial"/>
                <w:sz w:val="18"/>
                <w:szCs w:val="20"/>
                <w:lang w:val="es-AR" w:eastAsia="en-US"/>
              </w:rPr>
            </w:pPr>
            <w:r w:rsidRPr="00037C01">
              <w:rPr>
                <w:rFonts w:ascii="Arial" w:eastAsia="Calibri" w:hAnsi="Arial" w:cs="Arial"/>
                <w:sz w:val="18"/>
                <w:szCs w:val="20"/>
                <w:lang w:val="es-AR" w:eastAsia="en-US"/>
              </w:rPr>
              <w:t>Banco Regional de Cuyo S.A.</w:t>
            </w:r>
          </w:p>
        </w:tc>
        <w:tc>
          <w:tcPr>
            <w:tcW w:w="802" w:type="pct"/>
            <w:tcMar>
              <w:top w:w="0" w:type="dxa"/>
              <w:left w:w="108" w:type="dxa"/>
              <w:bottom w:w="0" w:type="dxa"/>
              <w:right w:w="108" w:type="dxa"/>
            </w:tcMar>
            <w:vAlign w:val="center"/>
          </w:tcPr>
          <w:p w14:paraId="255D259A" w14:textId="0D945137" w:rsidR="00543EF5" w:rsidRPr="00037C01" w:rsidRDefault="00F05C2A" w:rsidP="00543EF5">
            <w:pPr>
              <w:pStyle w:val="NormalWeb"/>
              <w:spacing w:before="0" w:beforeAutospacing="0" w:after="0" w:afterAutospacing="0"/>
              <w:jc w:val="right"/>
              <w:rPr>
                <w:rFonts w:ascii="Arial" w:eastAsia="Calibri" w:hAnsi="Arial" w:cs="Arial"/>
                <w:sz w:val="18"/>
                <w:szCs w:val="20"/>
                <w:lang w:val="es-AR" w:eastAsia="en-US"/>
              </w:rPr>
            </w:pPr>
            <w:r w:rsidRPr="00037C01">
              <w:rPr>
                <w:rFonts w:ascii="Arial" w:eastAsia="Calibri" w:hAnsi="Arial" w:cs="Arial"/>
                <w:sz w:val="18"/>
                <w:szCs w:val="20"/>
                <w:lang w:val="es-AR" w:eastAsia="en-US"/>
              </w:rPr>
              <w:t>6.391</w:t>
            </w:r>
          </w:p>
        </w:tc>
        <w:tc>
          <w:tcPr>
            <w:tcW w:w="802" w:type="pct"/>
            <w:tcMar>
              <w:top w:w="0" w:type="dxa"/>
              <w:left w:w="108" w:type="dxa"/>
              <w:bottom w:w="0" w:type="dxa"/>
              <w:right w:w="108" w:type="dxa"/>
            </w:tcMar>
            <w:vAlign w:val="center"/>
            <w:hideMark/>
          </w:tcPr>
          <w:p w14:paraId="017848C2" w14:textId="4681C9BE" w:rsidR="00543EF5" w:rsidRPr="00037C01" w:rsidRDefault="00543EF5" w:rsidP="00543EF5">
            <w:pPr>
              <w:pStyle w:val="NormalWeb"/>
              <w:spacing w:before="0" w:beforeAutospacing="0" w:after="0" w:afterAutospacing="0"/>
              <w:jc w:val="right"/>
              <w:rPr>
                <w:rFonts w:ascii="Arial" w:eastAsia="Calibri" w:hAnsi="Arial" w:cs="Arial"/>
                <w:sz w:val="18"/>
                <w:szCs w:val="20"/>
                <w:lang w:val="es-AR" w:eastAsia="en-US"/>
              </w:rPr>
            </w:pPr>
            <w:r w:rsidRPr="00037C01">
              <w:rPr>
                <w:rFonts w:ascii="Arial" w:eastAsia="Calibri" w:hAnsi="Arial" w:cs="Arial"/>
                <w:sz w:val="18"/>
                <w:szCs w:val="20"/>
                <w:lang w:val="es-AR" w:eastAsia="en-US"/>
              </w:rPr>
              <w:t xml:space="preserve">6.391 </w:t>
            </w:r>
          </w:p>
        </w:tc>
      </w:tr>
      <w:tr w:rsidR="00543EF5" w:rsidRPr="008348C4" w14:paraId="343697A6" w14:textId="77777777" w:rsidTr="00A45C21">
        <w:trPr>
          <w:jc w:val="center"/>
        </w:trPr>
        <w:tc>
          <w:tcPr>
            <w:tcW w:w="3396" w:type="pct"/>
            <w:tcMar>
              <w:top w:w="0" w:type="dxa"/>
              <w:left w:w="108" w:type="dxa"/>
              <w:bottom w:w="0" w:type="dxa"/>
              <w:right w:w="108" w:type="dxa"/>
            </w:tcMar>
            <w:vAlign w:val="center"/>
            <w:hideMark/>
          </w:tcPr>
          <w:p w14:paraId="5B6AC1D6" w14:textId="77777777" w:rsidR="00543EF5" w:rsidRPr="00037C01" w:rsidRDefault="00543EF5" w:rsidP="00543EF5">
            <w:pPr>
              <w:pStyle w:val="NormalWeb"/>
              <w:spacing w:before="0" w:beforeAutospacing="0" w:after="0" w:afterAutospacing="0"/>
              <w:rPr>
                <w:rFonts w:ascii="Arial" w:eastAsia="Calibri" w:hAnsi="Arial" w:cs="Arial"/>
                <w:sz w:val="18"/>
                <w:szCs w:val="20"/>
                <w:lang w:val="es-AR" w:eastAsia="en-US"/>
              </w:rPr>
            </w:pPr>
            <w:r w:rsidRPr="00037C01">
              <w:rPr>
                <w:rFonts w:ascii="Arial" w:eastAsia="Calibri" w:hAnsi="Arial" w:cs="Arial"/>
                <w:sz w:val="18"/>
                <w:szCs w:val="20"/>
                <w:lang w:val="es-AR" w:eastAsia="en-US"/>
              </w:rPr>
              <w:t>Tarjeta Automática S.A.</w:t>
            </w:r>
          </w:p>
        </w:tc>
        <w:tc>
          <w:tcPr>
            <w:tcW w:w="802" w:type="pct"/>
            <w:tcMar>
              <w:top w:w="0" w:type="dxa"/>
              <w:left w:w="108" w:type="dxa"/>
              <w:bottom w:w="0" w:type="dxa"/>
              <w:right w:w="108" w:type="dxa"/>
            </w:tcMar>
            <w:vAlign w:val="center"/>
          </w:tcPr>
          <w:p w14:paraId="299B0D87" w14:textId="114A473C" w:rsidR="00543EF5" w:rsidRPr="00037C01" w:rsidRDefault="00024E76" w:rsidP="00543EF5">
            <w:pPr>
              <w:pStyle w:val="NormalWeb"/>
              <w:spacing w:before="0" w:beforeAutospacing="0" w:after="0" w:afterAutospacing="0"/>
              <w:jc w:val="right"/>
              <w:rPr>
                <w:rFonts w:ascii="Arial" w:eastAsia="Calibri" w:hAnsi="Arial" w:cs="Arial"/>
                <w:sz w:val="18"/>
                <w:szCs w:val="20"/>
                <w:lang w:val="es-AR" w:eastAsia="en-US"/>
              </w:rPr>
            </w:pPr>
            <w:r>
              <w:rPr>
                <w:rFonts w:ascii="Arial" w:eastAsia="Calibri" w:hAnsi="Arial" w:cs="Arial"/>
                <w:sz w:val="18"/>
                <w:szCs w:val="20"/>
                <w:lang w:val="es-AR" w:eastAsia="en-US"/>
              </w:rPr>
              <w:t>2.003</w:t>
            </w:r>
          </w:p>
        </w:tc>
        <w:tc>
          <w:tcPr>
            <w:tcW w:w="802" w:type="pct"/>
            <w:tcMar>
              <w:top w:w="0" w:type="dxa"/>
              <w:left w:w="108" w:type="dxa"/>
              <w:bottom w:w="0" w:type="dxa"/>
              <w:right w:w="108" w:type="dxa"/>
            </w:tcMar>
            <w:vAlign w:val="center"/>
            <w:hideMark/>
          </w:tcPr>
          <w:p w14:paraId="3C62C544" w14:textId="3F1E912A" w:rsidR="00543EF5" w:rsidRPr="00037C01" w:rsidRDefault="00543EF5" w:rsidP="00543EF5">
            <w:pPr>
              <w:pStyle w:val="NormalWeb"/>
              <w:spacing w:before="0" w:beforeAutospacing="0" w:after="0" w:afterAutospacing="0"/>
              <w:jc w:val="right"/>
              <w:rPr>
                <w:rFonts w:ascii="Arial" w:eastAsia="Calibri" w:hAnsi="Arial" w:cs="Arial"/>
                <w:sz w:val="18"/>
                <w:szCs w:val="20"/>
                <w:lang w:eastAsia="en-US"/>
              </w:rPr>
            </w:pPr>
            <w:r w:rsidRPr="00037C01">
              <w:rPr>
                <w:rFonts w:ascii="Arial" w:eastAsia="Calibri" w:hAnsi="Arial" w:cs="Arial"/>
                <w:sz w:val="18"/>
                <w:szCs w:val="20"/>
                <w:lang w:val="es-AR" w:eastAsia="en-US"/>
              </w:rPr>
              <w:t xml:space="preserve">2.003 </w:t>
            </w:r>
          </w:p>
        </w:tc>
      </w:tr>
      <w:tr w:rsidR="00543EF5" w:rsidRPr="008348C4" w14:paraId="1FB278FF" w14:textId="77777777" w:rsidTr="00A45C21">
        <w:trPr>
          <w:jc w:val="center"/>
        </w:trPr>
        <w:tc>
          <w:tcPr>
            <w:tcW w:w="3396" w:type="pct"/>
            <w:tcMar>
              <w:top w:w="0" w:type="dxa"/>
              <w:left w:w="108" w:type="dxa"/>
              <w:bottom w:w="0" w:type="dxa"/>
              <w:right w:w="108" w:type="dxa"/>
            </w:tcMar>
            <w:vAlign w:val="center"/>
          </w:tcPr>
          <w:p w14:paraId="2D647BE5" w14:textId="77777777" w:rsidR="00543EF5" w:rsidRPr="00037C01" w:rsidRDefault="00543EF5" w:rsidP="00543EF5">
            <w:pPr>
              <w:pStyle w:val="NormalWeb"/>
              <w:spacing w:before="0" w:beforeAutospacing="0" w:after="0" w:afterAutospacing="0"/>
              <w:rPr>
                <w:rFonts w:ascii="Arial" w:eastAsia="Calibri" w:hAnsi="Arial" w:cs="Arial"/>
                <w:sz w:val="18"/>
                <w:szCs w:val="20"/>
                <w:lang w:val="es-AR" w:eastAsia="en-US"/>
              </w:rPr>
            </w:pPr>
            <w:r w:rsidRPr="00037C01">
              <w:rPr>
                <w:rFonts w:ascii="Arial" w:eastAsia="Calibri" w:hAnsi="Arial" w:cs="Arial"/>
                <w:sz w:val="18"/>
                <w:szCs w:val="20"/>
                <w:lang w:val="es-AR" w:eastAsia="en-US"/>
              </w:rPr>
              <w:t>Otros</w:t>
            </w:r>
          </w:p>
        </w:tc>
        <w:tc>
          <w:tcPr>
            <w:tcW w:w="802" w:type="pct"/>
            <w:tcMar>
              <w:top w:w="0" w:type="dxa"/>
              <w:left w:w="108" w:type="dxa"/>
              <w:bottom w:w="0" w:type="dxa"/>
              <w:right w:w="108" w:type="dxa"/>
            </w:tcMar>
            <w:vAlign w:val="center"/>
          </w:tcPr>
          <w:p w14:paraId="02F1C9B3" w14:textId="0CF70B4D" w:rsidR="00543EF5" w:rsidRPr="00037C01" w:rsidRDefault="00024E76" w:rsidP="00543EF5">
            <w:pPr>
              <w:pStyle w:val="NormalWeb"/>
              <w:spacing w:before="0" w:beforeAutospacing="0" w:after="0" w:afterAutospacing="0"/>
              <w:jc w:val="right"/>
              <w:rPr>
                <w:rFonts w:ascii="Arial" w:eastAsia="Calibri" w:hAnsi="Arial" w:cs="Arial"/>
                <w:sz w:val="18"/>
                <w:szCs w:val="20"/>
                <w:lang w:val="es-AR" w:eastAsia="en-US"/>
              </w:rPr>
            </w:pPr>
            <w:r>
              <w:rPr>
                <w:rFonts w:ascii="Arial" w:eastAsia="Calibri" w:hAnsi="Arial" w:cs="Arial"/>
                <w:sz w:val="18"/>
                <w:szCs w:val="20"/>
                <w:lang w:val="es-AR" w:eastAsia="en-US"/>
              </w:rPr>
              <w:t>48</w:t>
            </w:r>
          </w:p>
        </w:tc>
        <w:tc>
          <w:tcPr>
            <w:tcW w:w="802" w:type="pct"/>
            <w:tcMar>
              <w:top w:w="0" w:type="dxa"/>
              <w:left w:w="108" w:type="dxa"/>
              <w:bottom w:w="0" w:type="dxa"/>
              <w:right w:w="108" w:type="dxa"/>
            </w:tcMar>
            <w:vAlign w:val="center"/>
          </w:tcPr>
          <w:p w14:paraId="10D392C6" w14:textId="186A50EE" w:rsidR="00543EF5" w:rsidRPr="00037C01" w:rsidRDefault="00543EF5" w:rsidP="00543EF5">
            <w:pPr>
              <w:pStyle w:val="NormalWeb"/>
              <w:spacing w:before="0" w:beforeAutospacing="0" w:after="0" w:afterAutospacing="0"/>
              <w:jc w:val="right"/>
              <w:rPr>
                <w:rFonts w:ascii="Arial" w:eastAsia="Calibri" w:hAnsi="Arial" w:cs="Arial"/>
                <w:sz w:val="18"/>
                <w:szCs w:val="20"/>
                <w:lang w:val="es-AR" w:eastAsia="en-US"/>
              </w:rPr>
            </w:pPr>
            <w:r w:rsidRPr="00037C01">
              <w:rPr>
                <w:rFonts w:ascii="Arial" w:eastAsia="Calibri" w:hAnsi="Arial" w:cs="Arial"/>
                <w:sz w:val="18"/>
                <w:szCs w:val="20"/>
                <w:lang w:val="es-AR" w:eastAsia="en-US"/>
              </w:rPr>
              <w:t>48</w:t>
            </w:r>
          </w:p>
        </w:tc>
      </w:tr>
      <w:tr w:rsidR="00543EF5" w:rsidRPr="008348C4" w14:paraId="41985F9B" w14:textId="77777777" w:rsidTr="00A45C21">
        <w:trPr>
          <w:jc w:val="center"/>
        </w:trPr>
        <w:tc>
          <w:tcPr>
            <w:tcW w:w="3396" w:type="pct"/>
            <w:tcMar>
              <w:top w:w="0" w:type="dxa"/>
              <w:left w:w="108" w:type="dxa"/>
              <w:bottom w:w="0" w:type="dxa"/>
              <w:right w:w="108" w:type="dxa"/>
            </w:tcMar>
            <w:vAlign w:val="center"/>
            <w:hideMark/>
          </w:tcPr>
          <w:p w14:paraId="1CD8888F" w14:textId="77777777" w:rsidR="00543EF5" w:rsidRPr="00037C01" w:rsidRDefault="00543EF5" w:rsidP="00543EF5">
            <w:pPr>
              <w:pStyle w:val="NormalWeb"/>
              <w:spacing w:before="0" w:beforeAutospacing="0" w:after="0" w:afterAutospacing="0"/>
              <w:rPr>
                <w:rFonts w:ascii="Arial" w:eastAsia="Calibri" w:hAnsi="Arial" w:cs="Arial"/>
                <w:b/>
                <w:sz w:val="18"/>
                <w:szCs w:val="20"/>
                <w:lang w:val="es-AR" w:eastAsia="en-US"/>
              </w:rPr>
            </w:pPr>
            <w:r w:rsidRPr="00037C01">
              <w:rPr>
                <w:rFonts w:ascii="Arial" w:eastAsia="Calibri" w:hAnsi="Arial" w:cs="Arial"/>
                <w:b/>
                <w:sz w:val="18"/>
                <w:szCs w:val="20"/>
                <w:lang w:val="es-AR" w:eastAsia="en-US"/>
              </w:rPr>
              <w:t> TOTAL</w:t>
            </w:r>
          </w:p>
        </w:tc>
        <w:tc>
          <w:tcPr>
            <w:tcW w:w="802" w:type="pct"/>
            <w:tcMar>
              <w:top w:w="0" w:type="dxa"/>
              <w:left w:w="108" w:type="dxa"/>
              <w:bottom w:w="0" w:type="dxa"/>
              <w:right w:w="108" w:type="dxa"/>
            </w:tcMar>
            <w:vAlign w:val="center"/>
          </w:tcPr>
          <w:p w14:paraId="39FB9916" w14:textId="4EF2E76B" w:rsidR="00543EF5" w:rsidRPr="00037C01" w:rsidRDefault="00024E76" w:rsidP="00543EF5">
            <w:pPr>
              <w:pStyle w:val="NormalWeb"/>
              <w:spacing w:before="0" w:beforeAutospacing="0" w:after="0" w:afterAutospacing="0"/>
              <w:jc w:val="right"/>
              <w:rPr>
                <w:rFonts w:ascii="Arial" w:eastAsia="Calibri" w:hAnsi="Arial" w:cs="Arial"/>
                <w:b/>
                <w:sz w:val="18"/>
                <w:szCs w:val="20"/>
                <w:lang w:val="es-AR" w:eastAsia="en-US"/>
              </w:rPr>
            </w:pPr>
            <w:r>
              <w:rPr>
                <w:rFonts w:ascii="Arial" w:eastAsia="Calibri" w:hAnsi="Arial" w:cs="Arial"/>
                <w:b/>
                <w:sz w:val="18"/>
                <w:szCs w:val="20"/>
                <w:lang w:val="es-AR" w:eastAsia="en-US"/>
              </w:rPr>
              <w:t>30.983</w:t>
            </w:r>
          </w:p>
        </w:tc>
        <w:tc>
          <w:tcPr>
            <w:tcW w:w="802" w:type="pct"/>
            <w:tcMar>
              <w:top w:w="0" w:type="dxa"/>
              <w:left w:w="108" w:type="dxa"/>
              <w:bottom w:w="0" w:type="dxa"/>
              <w:right w:w="108" w:type="dxa"/>
            </w:tcMar>
            <w:vAlign w:val="center"/>
            <w:hideMark/>
          </w:tcPr>
          <w:p w14:paraId="042CB13F" w14:textId="0116AD81" w:rsidR="00543EF5" w:rsidRPr="00037C01" w:rsidRDefault="00543EF5" w:rsidP="00543EF5">
            <w:pPr>
              <w:pStyle w:val="NormalWeb"/>
              <w:spacing w:before="0" w:beforeAutospacing="0" w:after="0" w:afterAutospacing="0"/>
              <w:jc w:val="right"/>
              <w:rPr>
                <w:rFonts w:ascii="Arial" w:eastAsia="Calibri" w:hAnsi="Arial" w:cs="Arial"/>
                <w:b/>
                <w:sz w:val="18"/>
                <w:szCs w:val="20"/>
                <w:lang w:val="es-AR" w:eastAsia="en-US"/>
              </w:rPr>
            </w:pPr>
            <w:r w:rsidRPr="00037C01">
              <w:rPr>
                <w:rFonts w:ascii="Arial" w:eastAsia="Calibri" w:hAnsi="Arial" w:cs="Arial"/>
                <w:b/>
                <w:sz w:val="18"/>
                <w:szCs w:val="20"/>
                <w:lang w:val="es-AR" w:eastAsia="en-US"/>
              </w:rPr>
              <w:t xml:space="preserve">30.983 </w:t>
            </w:r>
          </w:p>
        </w:tc>
      </w:tr>
    </w:tbl>
    <w:p w14:paraId="0D988D1C" w14:textId="77777777" w:rsidR="00543EF5" w:rsidRPr="00E446C3" w:rsidRDefault="00543EF5" w:rsidP="00543EF5">
      <w:pPr>
        <w:pStyle w:val="Style1"/>
        <w:jc w:val="both"/>
        <w:rPr>
          <w:rFonts w:ascii="Arial" w:eastAsia="Calibri" w:hAnsi="Arial" w:cs="Arial"/>
          <w:noProof w:val="0"/>
          <w:szCs w:val="20"/>
        </w:rPr>
      </w:pPr>
    </w:p>
    <w:p w14:paraId="306A2FCF" w14:textId="31359CC3" w:rsidR="00543EF5" w:rsidRDefault="00543EF5" w:rsidP="00543EF5">
      <w:pPr>
        <w:spacing w:after="160" w:line="259" w:lineRule="auto"/>
        <w:jc w:val="both"/>
        <w:rPr>
          <w:rFonts w:ascii="Arial" w:eastAsia="Calibri" w:hAnsi="Arial" w:cs="Arial"/>
          <w:sz w:val="20"/>
        </w:rPr>
      </w:pPr>
      <w:r w:rsidRPr="00E446C3">
        <w:rPr>
          <w:rFonts w:ascii="Arial" w:eastAsia="Calibri" w:hAnsi="Arial" w:cs="Arial"/>
          <w:sz w:val="20"/>
        </w:rPr>
        <w:t>Los valores llaves registrados al 31 de diciembre de 201</w:t>
      </w:r>
      <w:r>
        <w:rPr>
          <w:rFonts w:ascii="Arial" w:eastAsia="Calibri" w:hAnsi="Arial" w:cs="Arial"/>
          <w:sz w:val="20"/>
        </w:rPr>
        <w:t>9</w:t>
      </w:r>
      <w:r w:rsidRPr="00E446C3">
        <w:rPr>
          <w:rFonts w:ascii="Arial" w:eastAsia="Calibri" w:hAnsi="Arial" w:cs="Arial"/>
          <w:sz w:val="20"/>
        </w:rPr>
        <w:t xml:space="preserve"> y 201</w:t>
      </w:r>
      <w:r>
        <w:rPr>
          <w:rFonts w:ascii="Arial" w:eastAsia="Calibri" w:hAnsi="Arial" w:cs="Arial"/>
          <w:sz w:val="20"/>
        </w:rPr>
        <w:t>8</w:t>
      </w:r>
      <w:r w:rsidRPr="00E446C3">
        <w:rPr>
          <w:rFonts w:ascii="Arial" w:eastAsia="Calibri" w:hAnsi="Arial" w:cs="Arial"/>
          <w:sz w:val="20"/>
        </w:rPr>
        <w:t>, han sido testeados a la fecha de los estados financieros y no se han determinado ajustes por desvalorización como consecuencia de los análisis realizados.</w:t>
      </w:r>
    </w:p>
    <w:p w14:paraId="6BA03D01" w14:textId="0645E129" w:rsidR="00A06BE9" w:rsidRPr="00701F32" w:rsidRDefault="00543EF5" w:rsidP="00A06BE9">
      <w:pPr>
        <w:autoSpaceDE w:val="0"/>
        <w:autoSpaceDN w:val="0"/>
        <w:adjustRightInd w:val="0"/>
        <w:jc w:val="both"/>
        <w:rPr>
          <w:rFonts w:ascii="Arial" w:eastAsia="Arial" w:hAnsi="Arial" w:cs="Arial"/>
          <w:b/>
          <w:bCs/>
          <w:i/>
          <w:noProof/>
          <w:sz w:val="20"/>
        </w:rPr>
      </w:pPr>
      <w:r>
        <w:rPr>
          <w:rFonts w:ascii="Arial" w:eastAsia="Arial" w:hAnsi="Arial" w:cs="Arial"/>
          <w:b/>
          <w:bCs/>
          <w:noProof/>
          <w:sz w:val="20"/>
        </w:rPr>
        <w:t>10</w:t>
      </w:r>
      <w:r w:rsidR="00A06BE9" w:rsidRPr="00701F32">
        <w:rPr>
          <w:rFonts w:ascii="Arial" w:eastAsia="Arial" w:hAnsi="Arial" w:cs="Arial"/>
          <w:b/>
          <w:bCs/>
          <w:noProof/>
          <w:sz w:val="20"/>
        </w:rPr>
        <w:t xml:space="preserve">. </w:t>
      </w:r>
      <w:r w:rsidR="006D7FAF" w:rsidRPr="00701F32">
        <w:rPr>
          <w:rFonts w:ascii="Arial" w:eastAsia="Arial" w:hAnsi="Arial" w:cs="Arial"/>
          <w:b/>
          <w:bCs/>
          <w:noProof/>
          <w:sz w:val="20"/>
        </w:rPr>
        <w:t>DISTRIBUCIÓN DE RESULTADOS</w:t>
      </w:r>
    </w:p>
    <w:p w14:paraId="7D514885" w14:textId="77777777" w:rsidR="00A06BE9" w:rsidRPr="001B2F17" w:rsidRDefault="00A06BE9" w:rsidP="00A06BE9">
      <w:pPr>
        <w:autoSpaceDE w:val="0"/>
        <w:autoSpaceDN w:val="0"/>
        <w:adjustRightInd w:val="0"/>
        <w:jc w:val="both"/>
        <w:rPr>
          <w:rFonts w:ascii="Arial" w:eastAsia="Arial" w:hAnsi="Arial" w:cs="Arial"/>
          <w:b/>
          <w:bCs/>
          <w:i/>
          <w:noProof/>
          <w:sz w:val="20"/>
        </w:rPr>
      </w:pPr>
    </w:p>
    <w:p w14:paraId="705424CD" w14:textId="5B79E189" w:rsidR="00E0369E" w:rsidRPr="00701F32" w:rsidRDefault="00E0369E" w:rsidP="00E0369E">
      <w:pPr>
        <w:jc w:val="both"/>
        <w:rPr>
          <w:rFonts w:ascii="Arial" w:eastAsia="Calibri" w:hAnsi="Arial" w:cs="Arial"/>
          <w:noProof/>
          <w:color w:val="000000"/>
          <w:sz w:val="20"/>
          <w:lang w:eastAsia="es-AR"/>
        </w:rPr>
      </w:pPr>
      <w:r w:rsidRPr="00701F32">
        <w:rPr>
          <w:rFonts w:ascii="Arial" w:eastAsia="Calibri" w:hAnsi="Arial" w:cs="Arial"/>
          <w:noProof/>
          <w:color w:val="000000"/>
          <w:sz w:val="20"/>
          <w:lang w:eastAsia="es-AR"/>
        </w:rPr>
        <w:t>La Asamblea Anual Ordinaria de Accionistas celebrada el 1</w:t>
      </w:r>
      <w:r w:rsidR="002F3D8F">
        <w:rPr>
          <w:rFonts w:ascii="Arial" w:eastAsia="Calibri" w:hAnsi="Arial" w:cs="Arial"/>
          <w:noProof/>
          <w:color w:val="000000"/>
          <w:sz w:val="20"/>
          <w:lang w:eastAsia="es-AR"/>
        </w:rPr>
        <w:t>2</w:t>
      </w:r>
      <w:r w:rsidRPr="00701F32">
        <w:rPr>
          <w:rFonts w:ascii="Arial" w:eastAsia="Calibri" w:hAnsi="Arial" w:cs="Arial"/>
          <w:noProof/>
          <w:color w:val="000000"/>
          <w:sz w:val="20"/>
          <w:lang w:eastAsia="es-AR"/>
        </w:rPr>
        <w:t xml:space="preserve"> de abril de 201</w:t>
      </w:r>
      <w:r w:rsidR="002F3D8F">
        <w:rPr>
          <w:rFonts w:ascii="Arial" w:eastAsia="Calibri" w:hAnsi="Arial" w:cs="Arial"/>
          <w:noProof/>
          <w:color w:val="000000"/>
          <w:sz w:val="20"/>
          <w:lang w:eastAsia="es-AR"/>
        </w:rPr>
        <w:t>9</w:t>
      </w:r>
      <w:r w:rsidRPr="00701F32">
        <w:rPr>
          <w:rFonts w:ascii="Arial" w:eastAsia="Calibri" w:hAnsi="Arial" w:cs="Arial"/>
          <w:noProof/>
          <w:color w:val="000000"/>
          <w:sz w:val="20"/>
          <w:lang w:eastAsia="es-AR"/>
        </w:rPr>
        <w:t xml:space="preserve"> aprobó los estados contables al 31 de diciembre de </w:t>
      </w:r>
      <w:r w:rsidR="002F3D8F" w:rsidRPr="00701F32">
        <w:rPr>
          <w:rFonts w:ascii="Arial" w:eastAsia="Calibri" w:hAnsi="Arial" w:cs="Arial"/>
          <w:noProof/>
          <w:color w:val="000000"/>
          <w:sz w:val="20"/>
          <w:lang w:eastAsia="es-AR"/>
        </w:rPr>
        <w:t>201</w:t>
      </w:r>
      <w:r w:rsidR="002F3D8F">
        <w:rPr>
          <w:rFonts w:ascii="Arial" w:eastAsia="Calibri" w:hAnsi="Arial" w:cs="Arial"/>
          <w:noProof/>
          <w:color w:val="000000"/>
          <w:sz w:val="20"/>
          <w:lang w:eastAsia="es-AR"/>
        </w:rPr>
        <w:t>8</w:t>
      </w:r>
      <w:r w:rsidR="002F3D8F" w:rsidRPr="00701F32">
        <w:rPr>
          <w:rFonts w:ascii="Arial" w:eastAsia="Calibri" w:hAnsi="Arial" w:cs="Arial"/>
          <w:noProof/>
          <w:color w:val="000000"/>
          <w:sz w:val="20"/>
          <w:lang w:eastAsia="es-AR"/>
        </w:rPr>
        <w:t xml:space="preserve"> </w:t>
      </w:r>
      <w:r w:rsidRPr="00701F32">
        <w:rPr>
          <w:rFonts w:ascii="Arial" w:eastAsia="Calibri" w:hAnsi="Arial" w:cs="Arial"/>
          <w:noProof/>
          <w:color w:val="000000"/>
          <w:sz w:val="20"/>
          <w:lang w:eastAsia="es-AR"/>
        </w:rPr>
        <w:t>y el tratamiento de los resultados correspondientes al ejercicio finalizado en esa fecha. Se dispuso, de acuerdo a la normativa vigente, el siguiente destino de los resultados no asignados al 31 de diciembre de 201</w:t>
      </w:r>
      <w:r w:rsidR="002F3D8F">
        <w:rPr>
          <w:rFonts w:ascii="Arial" w:eastAsia="Calibri" w:hAnsi="Arial" w:cs="Arial"/>
          <w:noProof/>
          <w:color w:val="000000"/>
          <w:sz w:val="20"/>
          <w:lang w:eastAsia="es-AR"/>
        </w:rPr>
        <w:t>8</w:t>
      </w:r>
      <w:r w:rsidRPr="00701F32">
        <w:rPr>
          <w:rFonts w:ascii="Arial" w:eastAsia="Calibri" w:hAnsi="Arial" w:cs="Arial"/>
          <w:noProof/>
          <w:color w:val="000000"/>
          <w:sz w:val="20"/>
          <w:lang w:eastAsia="es-AR"/>
        </w:rPr>
        <w:t>:</w:t>
      </w:r>
    </w:p>
    <w:p w14:paraId="6714D105" w14:textId="77777777" w:rsidR="00E0369E" w:rsidRPr="00701F32" w:rsidRDefault="00E0369E" w:rsidP="00E0369E">
      <w:pPr>
        <w:jc w:val="both"/>
        <w:rPr>
          <w:rFonts w:ascii="Arial" w:eastAsia="Calibri" w:hAnsi="Arial" w:cs="Arial"/>
          <w:noProof/>
          <w:color w:val="000000"/>
          <w:sz w:val="20"/>
          <w:lang w:eastAsia="es-AR"/>
        </w:rPr>
      </w:pPr>
    </w:p>
    <w:p w14:paraId="24A39318" w14:textId="195922C0" w:rsidR="00E0369E" w:rsidRPr="00701F32" w:rsidRDefault="00E0369E" w:rsidP="00627289">
      <w:pPr>
        <w:numPr>
          <w:ilvl w:val="0"/>
          <w:numId w:val="28"/>
        </w:numPr>
        <w:spacing w:after="160"/>
        <w:jc w:val="both"/>
        <w:rPr>
          <w:rFonts w:ascii="Arial" w:eastAsia="Calibri" w:hAnsi="Arial" w:cs="Arial"/>
          <w:noProof/>
          <w:color w:val="000000"/>
          <w:sz w:val="20"/>
          <w:lang w:eastAsia="es-AR"/>
        </w:rPr>
      </w:pPr>
      <w:r w:rsidRPr="00701F32">
        <w:rPr>
          <w:rFonts w:ascii="Arial" w:eastAsia="Calibri" w:hAnsi="Arial" w:cs="Arial"/>
          <w:noProof/>
          <w:color w:val="000000"/>
          <w:sz w:val="20"/>
          <w:lang w:eastAsia="es-AR"/>
        </w:rPr>
        <w:t xml:space="preserve">A reserva legal: </w:t>
      </w:r>
      <w:r w:rsidR="002F3D8F">
        <w:rPr>
          <w:rFonts w:ascii="Arial" w:eastAsia="Calibri" w:hAnsi="Arial" w:cs="Arial"/>
          <w:noProof/>
          <w:color w:val="000000"/>
          <w:sz w:val="20"/>
          <w:lang w:eastAsia="es-AR"/>
        </w:rPr>
        <w:t>148.059</w:t>
      </w:r>
    </w:p>
    <w:p w14:paraId="4755B0BD" w14:textId="004A1F02" w:rsidR="00584F49" w:rsidRPr="00A059FB" w:rsidRDefault="00E0369E" w:rsidP="00627289">
      <w:pPr>
        <w:numPr>
          <w:ilvl w:val="0"/>
          <w:numId w:val="28"/>
        </w:numPr>
        <w:spacing w:after="160"/>
        <w:jc w:val="both"/>
        <w:rPr>
          <w:rFonts w:ascii="Arial" w:eastAsia="Arial" w:hAnsi="Arial" w:cs="Arial"/>
          <w:b/>
          <w:sz w:val="20"/>
        </w:rPr>
      </w:pPr>
      <w:r w:rsidRPr="00701F32">
        <w:rPr>
          <w:rFonts w:ascii="Arial" w:eastAsia="Calibri" w:hAnsi="Arial" w:cs="Arial"/>
          <w:noProof/>
          <w:color w:val="000000"/>
          <w:sz w:val="20"/>
          <w:lang w:eastAsia="es-AR"/>
        </w:rPr>
        <w:t xml:space="preserve">A reserva facultativa: </w:t>
      </w:r>
      <w:r w:rsidR="002F3D8F">
        <w:rPr>
          <w:rFonts w:ascii="Arial" w:eastAsia="Calibri" w:hAnsi="Arial" w:cs="Arial"/>
          <w:noProof/>
          <w:color w:val="000000"/>
          <w:sz w:val="20"/>
          <w:lang w:eastAsia="es-AR"/>
        </w:rPr>
        <w:t>592.23</w:t>
      </w:r>
      <w:r w:rsidR="008D7556">
        <w:rPr>
          <w:rFonts w:ascii="Arial" w:eastAsia="Calibri" w:hAnsi="Arial" w:cs="Arial"/>
          <w:noProof/>
          <w:color w:val="000000"/>
          <w:sz w:val="20"/>
          <w:lang w:eastAsia="es-AR"/>
        </w:rPr>
        <w:t>4</w:t>
      </w:r>
    </w:p>
    <w:p w14:paraId="36944E38" w14:textId="6A31A91A" w:rsidR="00125A32" w:rsidRDefault="00125A32" w:rsidP="00125A32">
      <w:pPr>
        <w:spacing w:after="160"/>
        <w:jc w:val="both"/>
        <w:rPr>
          <w:rFonts w:ascii="Arial" w:eastAsia="Calibri" w:hAnsi="Arial" w:cs="Arial"/>
          <w:noProof/>
          <w:color w:val="000000"/>
          <w:sz w:val="20"/>
          <w:lang w:eastAsia="es-AR"/>
        </w:rPr>
      </w:pPr>
      <w:r>
        <w:rPr>
          <w:rFonts w:ascii="Arial" w:eastAsia="Calibri" w:hAnsi="Arial" w:cs="Arial"/>
          <w:noProof/>
          <w:color w:val="000000"/>
          <w:sz w:val="20"/>
          <w:lang w:eastAsia="es-AR"/>
        </w:rPr>
        <w:t>Ver restricción para la distribución de utilidades en nota 14.9.</w:t>
      </w:r>
    </w:p>
    <w:p w14:paraId="0E31276F" w14:textId="77777777" w:rsidR="00125A32" w:rsidRPr="007228CD" w:rsidRDefault="00125A32" w:rsidP="00A059FB">
      <w:pPr>
        <w:spacing w:after="160"/>
        <w:jc w:val="both"/>
        <w:rPr>
          <w:rFonts w:ascii="Arial" w:eastAsia="Arial" w:hAnsi="Arial" w:cs="Arial"/>
          <w:b/>
          <w:sz w:val="20"/>
        </w:rPr>
      </w:pPr>
    </w:p>
    <w:p w14:paraId="4F3627D9" w14:textId="77777777" w:rsidR="000B1093" w:rsidRDefault="000B1093">
      <w:pPr>
        <w:rPr>
          <w:rFonts w:ascii="Arial" w:eastAsia="Arial" w:hAnsi="Arial" w:cs="Arial"/>
          <w:b/>
          <w:sz w:val="20"/>
        </w:rPr>
      </w:pPr>
      <w:r>
        <w:rPr>
          <w:rFonts w:ascii="Arial" w:eastAsia="Arial" w:hAnsi="Arial" w:cs="Arial"/>
          <w:b/>
          <w:sz w:val="20"/>
        </w:rPr>
        <w:br w:type="page"/>
      </w:r>
    </w:p>
    <w:p w14:paraId="084C67B1" w14:textId="1D9A9AED" w:rsidR="00A06BE9" w:rsidRPr="001B2F17" w:rsidRDefault="00543EF5" w:rsidP="00A06BE9">
      <w:pPr>
        <w:spacing w:after="160" w:line="259" w:lineRule="auto"/>
        <w:jc w:val="both"/>
        <w:rPr>
          <w:rFonts w:ascii="Arial" w:eastAsia="Arial" w:hAnsi="Arial" w:cs="Arial"/>
          <w:b/>
          <w:sz w:val="20"/>
        </w:rPr>
      </w:pPr>
      <w:r>
        <w:rPr>
          <w:rFonts w:ascii="Arial" w:eastAsia="Arial" w:hAnsi="Arial" w:cs="Arial"/>
          <w:b/>
          <w:sz w:val="20"/>
        </w:rPr>
        <w:t>11</w:t>
      </w:r>
      <w:r w:rsidR="00A06BE9" w:rsidRPr="001B2F17">
        <w:rPr>
          <w:rFonts w:ascii="Arial" w:eastAsia="Arial" w:hAnsi="Arial" w:cs="Arial"/>
          <w:b/>
          <w:sz w:val="20"/>
        </w:rPr>
        <w:t xml:space="preserve">. </w:t>
      </w:r>
      <w:r w:rsidR="00582EAB" w:rsidRPr="001B2F17">
        <w:rPr>
          <w:rFonts w:ascii="Arial" w:eastAsia="Arial" w:hAnsi="Arial" w:cs="Arial"/>
          <w:b/>
          <w:sz w:val="20"/>
        </w:rPr>
        <w:t>COMPROMISOS Y CONTINGENCIAS</w:t>
      </w:r>
    </w:p>
    <w:p w14:paraId="75B5FA98" w14:textId="70EE86E1" w:rsidR="005474B7" w:rsidRDefault="005474B7" w:rsidP="00A06BE9">
      <w:pPr>
        <w:spacing w:after="160" w:line="259" w:lineRule="auto"/>
        <w:jc w:val="both"/>
        <w:rPr>
          <w:rFonts w:ascii="Arial" w:eastAsia="Arial" w:hAnsi="Arial" w:cs="Arial"/>
          <w:sz w:val="20"/>
          <w:u w:val="single"/>
        </w:rPr>
      </w:pPr>
      <w:r w:rsidRPr="00701F32">
        <w:rPr>
          <w:rFonts w:ascii="Arial" w:eastAsia="Arial" w:hAnsi="Arial" w:cs="Arial"/>
          <w:sz w:val="20"/>
        </w:rPr>
        <w:t>Las Normas Internacionales de Información Financiera establecen que un pasivo contingente consiste en (i) una obligación posible, surgida en función de sucesos pasados, cuya existencia ha de ser confirmada por la ocurrencia de uno o más hecho</w:t>
      </w:r>
      <w:r w:rsidR="008F0913">
        <w:rPr>
          <w:rFonts w:ascii="Arial" w:eastAsia="Arial" w:hAnsi="Arial" w:cs="Arial"/>
          <w:sz w:val="20"/>
        </w:rPr>
        <w:t>s</w:t>
      </w:r>
      <w:r w:rsidRPr="00701F32">
        <w:rPr>
          <w:rFonts w:ascii="Arial" w:eastAsia="Arial" w:hAnsi="Arial" w:cs="Arial"/>
          <w:sz w:val="20"/>
        </w:rPr>
        <w:t xml:space="preserve"> futuros de naturaleza incierta, las cuales no se hayan bajo el control de la Entidad o (ii) una obligación presente que no resulta probable o cuyo importe no ha de ser posible de medición o estimación con suficiente fiabilidad.</w:t>
      </w:r>
    </w:p>
    <w:p w14:paraId="18996D67" w14:textId="61E1F062" w:rsidR="00AF4A0D" w:rsidRDefault="00AF4A0D" w:rsidP="00A06BE9">
      <w:pPr>
        <w:spacing w:after="160" w:line="259" w:lineRule="auto"/>
        <w:jc w:val="both"/>
        <w:rPr>
          <w:rFonts w:ascii="Arial" w:eastAsia="Arial" w:hAnsi="Arial" w:cs="Arial"/>
          <w:sz w:val="20"/>
        </w:rPr>
      </w:pPr>
      <w:r>
        <w:rPr>
          <w:rFonts w:ascii="Arial" w:eastAsia="Arial" w:hAnsi="Arial" w:cs="Arial"/>
          <w:sz w:val="20"/>
        </w:rPr>
        <w:t xml:space="preserve">Se detallan a continuación las provisiones registradas: </w:t>
      </w:r>
    </w:p>
    <w:tbl>
      <w:tblPr>
        <w:tblW w:w="4840" w:type="dxa"/>
        <w:jc w:val="center"/>
        <w:tblCellMar>
          <w:left w:w="70" w:type="dxa"/>
          <w:right w:w="70" w:type="dxa"/>
        </w:tblCellMar>
        <w:tblLook w:val="04A0" w:firstRow="1" w:lastRow="0" w:firstColumn="1" w:lastColumn="0" w:noHBand="0" w:noVBand="1"/>
      </w:tblPr>
      <w:tblGrid>
        <w:gridCol w:w="2440"/>
        <w:gridCol w:w="1200"/>
        <w:gridCol w:w="1200"/>
      </w:tblGrid>
      <w:tr w:rsidR="00AF4A0D" w:rsidRPr="00AF4A0D" w14:paraId="642273D4" w14:textId="77777777" w:rsidTr="006E1AF7">
        <w:trPr>
          <w:trHeight w:val="300"/>
          <w:tblHeader/>
          <w:jc w:val="center"/>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F02B1"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AB7005C" w14:textId="77777777" w:rsidR="00AF4A0D" w:rsidRPr="00AF4A0D" w:rsidRDefault="00AF4A0D" w:rsidP="00AF4A0D">
            <w:pPr>
              <w:jc w:val="center"/>
              <w:rPr>
                <w:rFonts w:ascii="Arial" w:hAnsi="Arial" w:cs="Arial"/>
                <w:b/>
                <w:bCs/>
                <w:color w:val="000000"/>
                <w:sz w:val="18"/>
                <w:szCs w:val="18"/>
                <w:lang w:eastAsia="es-AR"/>
              </w:rPr>
            </w:pPr>
            <w:r w:rsidRPr="00AF4A0D">
              <w:rPr>
                <w:rFonts w:ascii="Arial" w:hAnsi="Arial" w:cs="Arial"/>
                <w:b/>
                <w:bCs/>
                <w:color w:val="000000"/>
                <w:sz w:val="18"/>
                <w:szCs w:val="18"/>
                <w:lang w:eastAsia="es-AR"/>
              </w:rPr>
              <w:t>31/12/2019</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995D53D" w14:textId="77777777" w:rsidR="00AF4A0D" w:rsidRPr="00AF4A0D" w:rsidRDefault="00AF4A0D" w:rsidP="00AF4A0D">
            <w:pPr>
              <w:jc w:val="center"/>
              <w:rPr>
                <w:rFonts w:ascii="Arial" w:hAnsi="Arial" w:cs="Arial"/>
                <w:b/>
                <w:bCs/>
                <w:color w:val="000000"/>
                <w:sz w:val="18"/>
                <w:szCs w:val="18"/>
                <w:lang w:eastAsia="es-AR"/>
              </w:rPr>
            </w:pPr>
            <w:r w:rsidRPr="00AF4A0D">
              <w:rPr>
                <w:rFonts w:ascii="Arial" w:hAnsi="Arial" w:cs="Arial"/>
                <w:b/>
                <w:bCs/>
                <w:color w:val="000000"/>
                <w:sz w:val="18"/>
                <w:szCs w:val="18"/>
                <w:lang w:eastAsia="es-AR"/>
              </w:rPr>
              <w:t>31/12/2018</w:t>
            </w:r>
          </w:p>
        </w:tc>
      </w:tr>
      <w:tr w:rsidR="00AF4A0D" w:rsidRPr="00AF4A0D" w14:paraId="4746BE6E"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8C270B9"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Asuntos legales</w:t>
            </w:r>
          </w:p>
        </w:tc>
        <w:tc>
          <w:tcPr>
            <w:tcW w:w="1200" w:type="dxa"/>
            <w:tcBorders>
              <w:top w:val="nil"/>
              <w:left w:val="nil"/>
              <w:bottom w:val="single" w:sz="4" w:space="0" w:color="auto"/>
              <w:right w:val="single" w:sz="4" w:space="0" w:color="auto"/>
            </w:tcBorders>
            <w:shd w:val="clear" w:color="auto" w:fill="auto"/>
            <w:noWrap/>
            <w:vAlign w:val="bottom"/>
            <w:hideMark/>
          </w:tcPr>
          <w:p w14:paraId="766B217A" w14:textId="2051C6FB"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33.049</w:t>
            </w:r>
          </w:p>
        </w:tc>
        <w:tc>
          <w:tcPr>
            <w:tcW w:w="1200" w:type="dxa"/>
            <w:tcBorders>
              <w:top w:val="nil"/>
              <w:left w:val="nil"/>
              <w:bottom w:val="single" w:sz="4" w:space="0" w:color="auto"/>
              <w:right w:val="single" w:sz="4" w:space="0" w:color="auto"/>
            </w:tcBorders>
            <w:shd w:val="clear" w:color="auto" w:fill="auto"/>
            <w:noWrap/>
            <w:vAlign w:val="bottom"/>
            <w:hideMark/>
          </w:tcPr>
          <w:p w14:paraId="06F02EF9" w14:textId="70338E18"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30.482</w:t>
            </w:r>
          </w:p>
        </w:tc>
      </w:tr>
      <w:tr w:rsidR="00AF4A0D" w:rsidRPr="00AF4A0D" w14:paraId="70F3CBD1"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0044FBE"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Juicios Laborales</w:t>
            </w:r>
          </w:p>
        </w:tc>
        <w:tc>
          <w:tcPr>
            <w:tcW w:w="1200" w:type="dxa"/>
            <w:tcBorders>
              <w:top w:val="nil"/>
              <w:left w:val="nil"/>
              <w:bottom w:val="single" w:sz="4" w:space="0" w:color="auto"/>
              <w:right w:val="single" w:sz="4" w:space="0" w:color="auto"/>
            </w:tcBorders>
            <w:shd w:val="clear" w:color="auto" w:fill="auto"/>
            <w:noWrap/>
            <w:vAlign w:val="bottom"/>
            <w:hideMark/>
          </w:tcPr>
          <w:p w14:paraId="4073CDF7" w14:textId="00B06A24"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28.023</w:t>
            </w:r>
          </w:p>
        </w:tc>
        <w:tc>
          <w:tcPr>
            <w:tcW w:w="1200" w:type="dxa"/>
            <w:tcBorders>
              <w:top w:val="nil"/>
              <w:left w:val="nil"/>
              <w:bottom w:val="single" w:sz="4" w:space="0" w:color="auto"/>
              <w:right w:val="single" w:sz="4" w:space="0" w:color="auto"/>
            </w:tcBorders>
            <w:shd w:val="clear" w:color="auto" w:fill="auto"/>
            <w:noWrap/>
            <w:vAlign w:val="bottom"/>
            <w:hideMark/>
          </w:tcPr>
          <w:p w14:paraId="35B16170" w14:textId="7F40A8CC"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17.156</w:t>
            </w:r>
          </w:p>
        </w:tc>
      </w:tr>
      <w:tr w:rsidR="00AF4A0D" w:rsidRPr="00AF4A0D" w14:paraId="71C644C1"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3DF11BA"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Impositivos</w:t>
            </w:r>
          </w:p>
        </w:tc>
        <w:tc>
          <w:tcPr>
            <w:tcW w:w="1200" w:type="dxa"/>
            <w:tcBorders>
              <w:top w:val="nil"/>
              <w:left w:val="nil"/>
              <w:bottom w:val="single" w:sz="4" w:space="0" w:color="auto"/>
              <w:right w:val="single" w:sz="4" w:space="0" w:color="auto"/>
            </w:tcBorders>
            <w:shd w:val="clear" w:color="auto" w:fill="auto"/>
            <w:noWrap/>
            <w:vAlign w:val="bottom"/>
            <w:hideMark/>
          </w:tcPr>
          <w:p w14:paraId="2FB7EFB4" w14:textId="70D06069"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77.882</w:t>
            </w:r>
          </w:p>
        </w:tc>
        <w:tc>
          <w:tcPr>
            <w:tcW w:w="1200" w:type="dxa"/>
            <w:tcBorders>
              <w:top w:val="nil"/>
              <w:left w:val="nil"/>
              <w:bottom w:val="single" w:sz="4" w:space="0" w:color="auto"/>
              <w:right w:val="single" w:sz="4" w:space="0" w:color="auto"/>
            </w:tcBorders>
            <w:shd w:val="clear" w:color="auto" w:fill="auto"/>
            <w:noWrap/>
            <w:vAlign w:val="bottom"/>
            <w:hideMark/>
          </w:tcPr>
          <w:p w14:paraId="3E738BC8" w14:textId="400275B4"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13.255</w:t>
            </w:r>
          </w:p>
        </w:tc>
      </w:tr>
      <w:tr w:rsidR="00AF4A0D" w:rsidRPr="00AF4A0D" w14:paraId="3E97EBA7"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E489CCB"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Otros</w:t>
            </w:r>
          </w:p>
        </w:tc>
        <w:tc>
          <w:tcPr>
            <w:tcW w:w="1200" w:type="dxa"/>
            <w:tcBorders>
              <w:top w:val="nil"/>
              <w:left w:val="nil"/>
              <w:bottom w:val="single" w:sz="4" w:space="0" w:color="auto"/>
              <w:right w:val="single" w:sz="4" w:space="0" w:color="auto"/>
            </w:tcBorders>
            <w:shd w:val="clear" w:color="auto" w:fill="auto"/>
            <w:noWrap/>
            <w:vAlign w:val="bottom"/>
            <w:hideMark/>
          </w:tcPr>
          <w:p w14:paraId="22B3FB2E" w14:textId="3FC0C683"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210</w:t>
            </w:r>
          </w:p>
        </w:tc>
        <w:tc>
          <w:tcPr>
            <w:tcW w:w="1200" w:type="dxa"/>
            <w:tcBorders>
              <w:top w:val="nil"/>
              <w:left w:val="nil"/>
              <w:bottom w:val="single" w:sz="4" w:space="0" w:color="auto"/>
              <w:right w:val="single" w:sz="4" w:space="0" w:color="auto"/>
            </w:tcBorders>
            <w:shd w:val="clear" w:color="auto" w:fill="auto"/>
            <w:noWrap/>
            <w:vAlign w:val="bottom"/>
            <w:hideMark/>
          </w:tcPr>
          <w:p w14:paraId="6DB7C89C" w14:textId="5FE3F318"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661</w:t>
            </w:r>
          </w:p>
        </w:tc>
      </w:tr>
      <w:tr w:rsidR="00AF4A0D" w:rsidRPr="00AF4A0D" w14:paraId="5C49E3DE"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5383D8F"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Depósitos Judiciales</w:t>
            </w:r>
          </w:p>
        </w:tc>
        <w:tc>
          <w:tcPr>
            <w:tcW w:w="1200" w:type="dxa"/>
            <w:tcBorders>
              <w:top w:val="nil"/>
              <w:left w:val="nil"/>
              <w:bottom w:val="single" w:sz="4" w:space="0" w:color="auto"/>
              <w:right w:val="single" w:sz="4" w:space="0" w:color="auto"/>
            </w:tcBorders>
            <w:shd w:val="clear" w:color="auto" w:fill="auto"/>
            <w:noWrap/>
            <w:vAlign w:val="bottom"/>
            <w:hideMark/>
          </w:tcPr>
          <w:p w14:paraId="399E7343" w14:textId="422097DB"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15.767</w:t>
            </w:r>
          </w:p>
        </w:tc>
        <w:tc>
          <w:tcPr>
            <w:tcW w:w="1200" w:type="dxa"/>
            <w:tcBorders>
              <w:top w:val="nil"/>
              <w:left w:val="nil"/>
              <w:bottom w:val="single" w:sz="4" w:space="0" w:color="auto"/>
              <w:right w:val="single" w:sz="4" w:space="0" w:color="auto"/>
            </w:tcBorders>
            <w:shd w:val="clear" w:color="auto" w:fill="auto"/>
            <w:noWrap/>
            <w:vAlign w:val="bottom"/>
            <w:hideMark/>
          </w:tcPr>
          <w:p w14:paraId="0EB8A2CA" w14:textId="6446BE52"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9.814</w:t>
            </w:r>
          </w:p>
        </w:tc>
      </w:tr>
      <w:tr w:rsidR="00AF4A0D" w:rsidRPr="00AF4A0D" w14:paraId="768EF111"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9B7963D"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Compromisos eventuales</w:t>
            </w:r>
          </w:p>
        </w:tc>
        <w:tc>
          <w:tcPr>
            <w:tcW w:w="1200" w:type="dxa"/>
            <w:tcBorders>
              <w:top w:val="nil"/>
              <w:left w:val="nil"/>
              <w:bottom w:val="single" w:sz="4" w:space="0" w:color="auto"/>
              <w:right w:val="single" w:sz="4" w:space="0" w:color="auto"/>
            </w:tcBorders>
            <w:shd w:val="clear" w:color="auto" w:fill="auto"/>
            <w:noWrap/>
            <w:vAlign w:val="bottom"/>
            <w:hideMark/>
          </w:tcPr>
          <w:p w14:paraId="330B6CCA" w14:textId="6BA21999"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367</w:t>
            </w:r>
          </w:p>
        </w:tc>
        <w:tc>
          <w:tcPr>
            <w:tcW w:w="1200" w:type="dxa"/>
            <w:tcBorders>
              <w:top w:val="nil"/>
              <w:left w:val="nil"/>
              <w:bottom w:val="single" w:sz="4" w:space="0" w:color="auto"/>
              <w:right w:val="single" w:sz="4" w:space="0" w:color="auto"/>
            </w:tcBorders>
            <w:shd w:val="clear" w:color="auto" w:fill="auto"/>
            <w:noWrap/>
            <w:vAlign w:val="bottom"/>
            <w:hideMark/>
          </w:tcPr>
          <w:p w14:paraId="585957ED" w14:textId="214BF457"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1.196</w:t>
            </w:r>
          </w:p>
        </w:tc>
      </w:tr>
      <w:tr w:rsidR="00AF4A0D" w:rsidRPr="00AF4A0D" w14:paraId="3D842EC8"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4C30E70"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Gastos por reorganización</w:t>
            </w:r>
          </w:p>
        </w:tc>
        <w:tc>
          <w:tcPr>
            <w:tcW w:w="1200" w:type="dxa"/>
            <w:tcBorders>
              <w:top w:val="nil"/>
              <w:left w:val="nil"/>
              <w:bottom w:val="single" w:sz="4" w:space="0" w:color="auto"/>
              <w:right w:val="single" w:sz="4" w:space="0" w:color="auto"/>
            </w:tcBorders>
            <w:shd w:val="clear" w:color="auto" w:fill="auto"/>
            <w:noWrap/>
            <w:vAlign w:val="bottom"/>
            <w:hideMark/>
          </w:tcPr>
          <w:p w14:paraId="2A0DC2DE" w14:textId="09ED8C6A"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500.000</w:t>
            </w:r>
          </w:p>
        </w:tc>
        <w:tc>
          <w:tcPr>
            <w:tcW w:w="1200" w:type="dxa"/>
            <w:tcBorders>
              <w:top w:val="nil"/>
              <w:left w:val="nil"/>
              <w:bottom w:val="single" w:sz="4" w:space="0" w:color="auto"/>
              <w:right w:val="single" w:sz="4" w:space="0" w:color="auto"/>
            </w:tcBorders>
            <w:shd w:val="clear" w:color="auto" w:fill="auto"/>
            <w:noWrap/>
            <w:vAlign w:val="bottom"/>
            <w:hideMark/>
          </w:tcPr>
          <w:p w14:paraId="6CF992DE" w14:textId="55158540"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w:t>
            </w:r>
          </w:p>
        </w:tc>
      </w:tr>
      <w:tr w:rsidR="00AF4A0D" w:rsidRPr="00AF4A0D" w14:paraId="3BB6A2F3"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3038A4C" w14:textId="3407FC77" w:rsidR="00AF4A0D" w:rsidRPr="00AF4A0D" w:rsidRDefault="00AF4A0D" w:rsidP="00AF4A0D">
            <w:pPr>
              <w:rPr>
                <w:rFonts w:ascii="Arial" w:hAnsi="Arial" w:cs="Arial"/>
                <w:b/>
                <w:bCs/>
                <w:color w:val="000000"/>
                <w:sz w:val="18"/>
                <w:szCs w:val="18"/>
                <w:lang w:eastAsia="es-AR"/>
              </w:rPr>
            </w:pPr>
            <w:r w:rsidRPr="00AF4A0D">
              <w:rPr>
                <w:rFonts w:ascii="Arial" w:hAnsi="Arial" w:cs="Arial"/>
                <w:b/>
                <w:bCs/>
                <w:color w:val="000000"/>
                <w:sz w:val="18"/>
                <w:szCs w:val="18"/>
                <w:lang w:eastAsia="es-AR"/>
              </w:rPr>
              <w:t>Total</w:t>
            </w:r>
            <w:r>
              <w:rPr>
                <w:rFonts w:ascii="Arial" w:hAnsi="Arial" w:cs="Arial"/>
                <w:b/>
                <w:bCs/>
                <w:color w:val="000000"/>
                <w:sz w:val="18"/>
                <w:szCs w:val="18"/>
                <w:lang w:eastAsia="es-AR"/>
              </w:rPr>
              <w:t xml:space="preserve"> Provisiones</w:t>
            </w:r>
          </w:p>
        </w:tc>
        <w:tc>
          <w:tcPr>
            <w:tcW w:w="1200" w:type="dxa"/>
            <w:tcBorders>
              <w:top w:val="nil"/>
              <w:left w:val="nil"/>
              <w:bottom w:val="single" w:sz="4" w:space="0" w:color="auto"/>
              <w:right w:val="single" w:sz="4" w:space="0" w:color="auto"/>
            </w:tcBorders>
            <w:shd w:val="clear" w:color="auto" w:fill="auto"/>
            <w:noWrap/>
            <w:vAlign w:val="bottom"/>
            <w:hideMark/>
          </w:tcPr>
          <w:p w14:paraId="09DD3EB5" w14:textId="32AC42AF" w:rsidR="00AF4A0D" w:rsidRPr="00AF4A0D" w:rsidRDefault="00AF4A0D" w:rsidP="006E1AF7">
            <w:pPr>
              <w:jc w:val="right"/>
              <w:rPr>
                <w:rFonts w:ascii="Arial" w:hAnsi="Arial" w:cs="Arial"/>
                <w:b/>
                <w:bCs/>
                <w:color w:val="000000"/>
                <w:sz w:val="18"/>
                <w:szCs w:val="18"/>
                <w:lang w:eastAsia="es-AR"/>
              </w:rPr>
            </w:pPr>
            <w:r w:rsidRPr="00AF4A0D">
              <w:rPr>
                <w:rFonts w:ascii="Arial" w:hAnsi="Arial" w:cs="Arial"/>
                <w:b/>
                <w:bCs/>
                <w:color w:val="000000"/>
                <w:sz w:val="18"/>
                <w:szCs w:val="18"/>
                <w:lang w:eastAsia="es-AR"/>
              </w:rPr>
              <w:t>655.298</w:t>
            </w:r>
          </w:p>
        </w:tc>
        <w:tc>
          <w:tcPr>
            <w:tcW w:w="1200" w:type="dxa"/>
            <w:tcBorders>
              <w:top w:val="nil"/>
              <w:left w:val="nil"/>
              <w:bottom w:val="single" w:sz="4" w:space="0" w:color="auto"/>
              <w:right w:val="single" w:sz="4" w:space="0" w:color="auto"/>
            </w:tcBorders>
            <w:shd w:val="clear" w:color="auto" w:fill="auto"/>
            <w:noWrap/>
            <w:vAlign w:val="bottom"/>
            <w:hideMark/>
          </w:tcPr>
          <w:p w14:paraId="07BB68F8" w14:textId="7845B6BF" w:rsidR="00AF4A0D" w:rsidRPr="00AF4A0D" w:rsidRDefault="00AF4A0D" w:rsidP="006E1AF7">
            <w:pPr>
              <w:jc w:val="right"/>
              <w:rPr>
                <w:rFonts w:ascii="Arial" w:hAnsi="Arial" w:cs="Arial"/>
                <w:b/>
                <w:bCs/>
                <w:color w:val="000000"/>
                <w:sz w:val="18"/>
                <w:szCs w:val="18"/>
                <w:lang w:eastAsia="es-AR"/>
              </w:rPr>
            </w:pPr>
            <w:r w:rsidRPr="00AF4A0D">
              <w:rPr>
                <w:rFonts w:ascii="Arial" w:hAnsi="Arial" w:cs="Arial"/>
                <w:b/>
                <w:bCs/>
                <w:color w:val="000000"/>
                <w:sz w:val="18"/>
                <w:szCs w:val="18"/>
                <w:lang w:eastAsia="es-AR"/>
              </w:rPr>
              <w:t>72.563</w:t>
            </w:r>
          </w:p>
        </w:tc>
      </w:tr>
    </w:tbl>
    <w:p w14:paraId="6371BEC9" w14:textId="5E0A32A5" w:rsidR="00584F49" w:rsidRDefault="00584F49" w:rsidP="0023020F">
      <w:pPr>
        <w:jc w:val="both"/>
        <w:rPr>
          <w:rFonts w:ascii="Arial" w:hAnsi="Arial" w:cs="Arial"/>
          <w:b/>
          <w:bCs/>
          <w:noProof/>
          <w:sz w:val="20"/>
        </w:rPr>
      </w:pPr>
    </w:p>
    <w:p w14:paraId="191AF6DE" w14:textId="41D2DBA5" w:rsidR="00A06BE9" w:rsidRPr="00701F32" w:rsidRDefault="00543EF5" w:rsidP="00A06BE9">
      <w:pPr>
        <w:keepNext/>
        <w:keepLines/>
        <w:jc w:val="both"/>
        <w:outlineLvl w:val="1"/>
        <w:rPr>
          <w:rFonts w:ascii="Arial" w:hAnsi="Arial" w:cs="Arial"/>
          <w:b/>
          <w:bCs/>
          <w:noProof/>
          <w:sz w:val="20"/>
        </w:rPr>
      </w:pPr>
      <w:r>
        <w:rPr>
          <w:rFonts w:ascii="Arial" w:hAnsi="Arial" w:cs="Arial"/>
          <w:b/>
          <w:bCs/>
          <w:noProof/>
          <w:sz w:val="20"/>
        </w:rPr>
        <w:t>12</w:t>
      </w:r>
      <w:r w:rsidR="00A06BE9" w:rsidRPr="00701F32">
        <w:rPr>
          <w:rFonts w:ascii="Arial" w:hAnsi="Arial" w:cs="Arial"/>
          <w:b/>
          <w:bCs/>
          <w:noProof/>
          <w:sz w:val="20"/>
        </w:rPr>
        <w:t xml:space="preserve">. TRANSACCIONES Y SALDOS ENTRE PARTES RELACIONADAS </w:t>
      </w:r>
    </w:p>
    <w:p w14:paraId="3A7D53E1" w14:textId="77777777" w:rsidR="00A06BE9" w:rsidRPr="00701F32" w:rsidRDefault="00A06BE9" w:rsidP="00A06BE9">
      <w:pPr>
        <w:jc w:val="both"/>
        <w:rPr>
          <w:rFonts w:ascii="Arial" w:eastAsia="Calibri" w:hAnsi="Arial" w:cs="Arial"/>
          <w:b/>
          <w:noProof/>
          <w:sz w:val="20"/>
        </w:rPr>
      </w:pPr>
    </w:p>
    <w:p w14:paraId="75079F2C" w14:textId="77777777" w:rsidR="00A06BE9" w:rsidRPr="00701F32" w:rsidRDefault="00A06BE9" w:rsidP="00A06BE9">
      <w:pPr>
        <w:contextualSpacing/>
        <w:jc w:val="both"/>
        <w:rPr>
          <w:rFonts w:ascii="Arial" w:eastAsia="Arial" w:hAnsi="Arial" w:cs="Arial"/>
          <w:sz w:val="20"/>
        </w:rPr>
      </w:pPr>
      <w:r w:rsidRPr="00701F32">
        <w:rPr>
          <w:rFonts w:ascii="Arial" w:eastAsia="Arial" w:hAnsi="Arial" w:cs="Arial"/>
          <w:sz w:val="20"/>
        </w:rPr>
        <w:t xml:space="preserve">Se consideran partes relacionadas todas aquellas entidades que poseen directa, o indirectamente a través de otras entidades, control sobre otra, se encuentren bajo el mismo control o pueda ejercer influencia significativa sobre las decisiones financieras u operacionales de otra entidad.  </w:t>
      </w:r>
    </w:p>
    <w:p w14:paraId="40726347" w14:textId="77777777" w:rsidR="00A06BE9" w:rsidRPr="00701F32" w:rsidRDefault="00A06BE9" w:rsidP="00A06BE9">
      <w:pPr>
        <w:contextualSpacing/>
        <w:jc w:val="both"/>
        <w:rPr>
          <w:rFonts w:ascii="Arial" w:eastAsia="Arial" w:hAnsi="Arial" w:cs="Arial"/>
          <w:sz w:val="20"/>
        </w:rPr>
      </w:pPr>
    </w:p>
    <w:p w14:paraId="7F578437" w14:textId="77777777" w:rsidR="00A06BE9" w:rsidRPr="00701F32" w:rsidRDefault="00A06BE9" w:rsidP="00A06BE9">
      <w:pPr>
        <w:contextualSpacing/>
        <w:jc w:val="both"/>
        <w:rPr>
          <w:rFonts w:ascii="Arial" w:eastAsia="Arial" w:hAnsi="Arial" w:cs="Arial"/>
          <w:sz w:val="20"/>
        </w:rPr>
      </w:pPr>
      <w:r w:rsidRPr="00701F32">
        <w:rPr>
          <w:rFonts w:ascii="Arial" w:eastAsia="Arial" w:hAnsi="Arial" w:cs="Arial"/>
          <w:sz w:val="20"/>
        </w:rPr>
        <w:t>La Entidad controla otra entidad cuando tiene el poder sobre las decisiones financieras y operativas de otras entidades y a su vez obtiene beneficios de la misma.</w:t>
      </w:r>
    </w:p>
    <w:p w14:paraId="5B78219F" w14:textId="77777777" w:rsidR="00A06BE9" w:rsidRPr="00701F32" w:rsidRDefault="00A06BE9" w:rsidP="00A06BE9">
      <w:pPr>
        <w:contextualSpacing/>
        <w:jc w:val="both"/>
        <w:rPr>
          <w:rFonts w:ascii="Arial" w:eastAsia="Arial" w:hAnsi="Arial" w:cs="Arial"/>
          <w:sz w:val="20"/>
        </w:rPr>
      </w:pPr>
    </w:p>
    <w:p w14:paraId="2AAEC37B" w14:textId="77777777" w:rsidR="00A06BE9" w:rsidRPr="00701F32" w:rsidRDefault="00A06BE9" w:rsidP="00A06BE9">
      <w:pPr>
        <w:contextualSpacing/>
        <w:jc w:val="both"/>
        <w:rPr>
          <w:rFonts w:ascii="Arial" w:eastAsia="Arial" w:hAnsi="Arial" w:cs="Arial"/>
          <w:sz w:val="20"/>
        </w:rPr>
      </w:pPr>
      <w:r w:rsidRPr="00701F32">
        <w:rPr>
          <w:rFonts w:ascii="Arial" w:eastAsia="Arial" w:hAnsi="Arial" w:cs="Arial"/>
          <w:sz w:val="20"/>
        </w:rPr>
        <w:t xml:space="preserve">Por otro lado, </w:t>
      </w:r>
      <w:r w:rsidR="002309A7" w:rsidRPr="00701F32">
        <w:rPr>
          <w:rFonts w:ascii="Arial" w:eastAsia="Arial" w:hAnsi="Arial" w:cs="Arial"/>
          <w:sz w:val="20"/>
        </w:rPr>
        <w:t>l</w:t>
      </w:r>
      <w:r w:rsidRPr="00701F32">
        <w:rPr>
          <w:rFonts w:ascii="Arial" w:eastAsia="Arial" w:hAnsi="Arial" w:cs="Arial"/>
          <w:sz w:val="20"/>
        </w:rPr>
        <w:t>a Entidad considera que tiene control conjunto cuando existe un acuerdo entre partes sobre el control de una actividad económica en común.</w:t>
      </w:r>
    </w:p>
    <w:p w14:paraId="0D8DFCAF" w14:textId="77777777" w:rsidR="00A06BE9" w:rsidRPr="00701F32" w:rsidRDefault="00A06BE9" w:rsidP="00A06BE9">
      <w:pPr>
        <w:contextualSpacing/>
        <w:jc w:val="both"/>
        <w:rPr>
          <w:rFonts w:ascii="Arial" w:eastAsia="Arial" w:hAnsi="Arial" w:cs="Arial"/>
          <w:sz w:val="20"/>
        </w:rPr>
      </w:pPr>
    </w:p>
    <w:p w14:paraId="1B23857E" w14:textId="77777777" w:rsidR="00A06BE9" w:rsidRPr="00701F32" w:rsidRDefault="00A06BE9" w:rsidP="00A06BE9">
      <w:pPr>
        <w:contextualSpacing/>
        <w:jc w:val="both"/>
        <w:rPr>
          <w:rFonts w:ascii="Arial" w:eastAsia="Arial" w:hAnsi="Arial" w:cs="Arial"/>
          <w:sz w:val="20"/>
        </w:rPr>
      </w:pPr>
      <w:r w:rsidRPr="00701F32">
        <w:rPr>
          <w:rFonts w:ascii="Arial" w:eastAsia="Arial" w:hAnsi="Arial" w:cs="Arial"/>
          <w:sz w:val="20"/>
        </w:rPr>
        <w:t xml:space="preserve">Por último, aquellos casos en los que </w:t>
      </w:r>
      <w:r w:rsidR="002309A7" w:rsidRPr="00701F32">
        <w:rPr>
          <w:rFonts w:ascii="Arial" w:eastAsia="Arial" w:hAnsi="Arial" w:cs="Arial"/>
          <w:sz w:val="20"/>
        </w:rPr>
        <w:t>l</w:t>
      </w:r>
      <w:r w:rsidRPr="00701F32">
        <w:rPr>
          <w:rFonts w:ascii="Arial" w:eastAsia="Arial" w:hAnsi="Arial" w:cs="Arial"/>
          <w:sz w:val="20"/>
        </w:rPr>
        <w:t>a Entidad posea influencia significativa es debido al poder de influir sobre las decisiones financieras y operativas de otra entidad pero no poder ejercer el control sobre las mismas.</w:t>
      </w:r>
    </w:p>
    <w:p w14:paraId="3CC4E3ED" w14:textId="77777777" w:rsidR="00A06BE9" w:rsidRPr="00701F32" w:rsidRDefault="00A06BE9" w:rsidP="00A06BE9">
      <w:pPr>
        <w:contextualSpacing/>
        <w:jc w:val="both"/>
        <w:rPr>
          <w:rFonts w:ascii="Arial" w:eastAsia="Arial" w:hAnsi="Arial" w:cs="Arial"/>
          <w:sz w:val="20"/>
        </w:rPr>
      </w:pPr>
    </w:p>
    <w:p w14:paraId="0372E5DC" w14:textId="489C3E50" w:rsidR="00067378" w:rsidRPr="00701F32" w:rsidRDefault="00A06BE9" w:rsidP="00A06BE9">
      <w:pPr>
        <w:contextualSpacing/>
        <w:jc w:val="both"/>
        <w:rPr>
          <w:rFonts w:ascii="Arial" w:eastAsia="Arial" w:hAnsi="Arial" w:cs="Arial"/>
          <w:sz w:val="20"/>
        </w:rPr>
      </w:pPr>
      <w:r w:rsidRPr="00701F32">
        <w:rPr>
          <w:rFonts w:ascii="Arial" w:eastAsia="Arial" w:hAnsi="Arial" w:cs="Arial"/>
          <w:sz w:val="20"/>
        </w:rPr>
        <w:t>Para la determinación de dichas situaciones, no solamente se observan los aspectos legales sino además la naturaleza y sustanciación de la relación.</w:t>
      </w:r>
    </w:p>
    <w:p w14:paraId="69E8DA26" w14:textId="063901F3" w:rsidR="00067378" w:rsidRDefault="00067378" w:rsidP="00A06BE9">
      <w:pPr>
        <w:contextualSpacing/>
        <w:jc w:val="both"/>
        <w:rPr>
          <w:rFonts w:ascii="Arial" w:eastAsia="Arial" w:hAnsi="Arial" w:cs="Arial"/>
          <w:sz w:val="20"/>
        </w:rPr>
      </w:pPr>
    </w:p>
    <w:p w14:paraId="540C6D91" w14:textId="7C68D506" w:rsidR="00107CA1" w:rsidRDefault="00107CA1" w:rsidP="00A06BE9">
      <w:pPr>
        <w:contextualSpacing/>
        <w:jc w:val="both"/>
        <w:rPr>
          <w:rFonts w:ascii="Arial" w:eastAsia="Arial" w:hAnsi="Arial" w:cs="Arial"/>
          <w:sz w:val="20"/>
        </w:rPr>
      </w:pPr>
      <w:r w:rsidRPr="00107CA1">
        <w:rPr>
          <w:rFonts w:ascii="Arial" w:eastAsia="Arial" w:hAnsi="Arial" w:cs="Arial"/>
          <w:sz w:val="20"/>
        </w:rPr>
        <w:t xml:space="preserve">Adicionalmente, se consideran partes relacionadas, el personal clave de la Dirección del </w:t>
      </w:r>
      <w:r>
        <w:rPr>
          <w:rFonts w:ascii="Arial" w:eastAsia="Arial" w:hAnsi="Arial" w:cs="Arial"/>
          <w:sz w:val="20"/>
        </w:rPr>
        <w:t>Banco</w:t>
      </w:r>
      <w:r w:rsidRPr="00107CA1">
        <w:rPr>
          <w:rFonts w:ascii="Arial" w:eastAsia="Arial" w:hAnsi="Arial" w:cs="Arial"/>
          <w:sz w:val="20"/>
        </w:rPr>
        <w:t xml:space="preserve"> (miembros del Directorio y gerentes del </w:t>
      </w:r>
      <w:r>
        <w:rPr>
          <w:rFonts w:ascii="Arial" w:eastAsia="Arial" w:hAnsi="Arial" w:cs="Arial"/>
          <w:sz w:val="20"/>
        </w:rPr>
        <w:t>Banco</w:t>
      </w:r>
      <w:r w:rsidRPr="00107CA1">
        <w:rPr>
          <w:rFonts w:ascii="Arial" w:eastAsia="Arial" w:hAnsi="Arial" w:cs="Arial"/>
          <w:sz w:val="20"/>
        </w:rPr>
        <w:t xml:space="preserve"> y sus subsidiarias), asi como las entidades sobre las que el personal clave puede ejercer influencia signitificativa o control.</w:t>
      </w:r>
    </w:p>
    <w:p w14:paraId="5B81D125" w14:textId="77777777" w:rsidR="00107CA1" w:rsidRPr="00701F32" w:rsidRDefault="00107CA1" w:rsidP="00A06BE9">
      <w:pPr>
        <w:contextualSpacing/>
        <w:jc w:val="both"/>
        <w:rPr>
          <w:rFonts w:ascii="Arial" w:eastAsia="Arial" w:hAnsi="Arial" w:cs="Arial"/>
          <w:sz w:val="20"/>
        </w:rPr>
      </w:pPr>
    </w:p>
    <w:p w14:paraId="103DF483" w14:textId="77777777" w:rsidR="00A06BE9" w:rsidRPr="00701F32" w:rsidRDefault="00A06BE9" w:rsidP="00A06BE9">
      <w:pPr>
        <w:contextualSpacing/>
        <w:jc w:val="both"/>
        <w:rPr>
          <w:rFonts w:ascii="Arial" w:eastAsia="Arial" w:hAnsi="Arial" w:cs="Arial"/>
          <w:sz w:val="20"/>
          <w:u w:val="single"/>
        </w:rPr>
      </w:pPr>
      <w:r w:rsidRPr="00701F32">
        <w:rPr>
          <w:rFonts w:ascii="Arial" w:eastAsia="Arial" w:hAnsi="Arial" w:cs="Arial"/>
          <w:sz w:val="20"/>
          <w:u w:val="single"/>
        </w:rPr>
        <w:t>Entidades controladoras</w:t>
      </w:r>
    </w:p>
    <w:p w14:paraId="33DA0428" w14:textId="77777777" w:rsidR="00A06BE9" w:rsidRPr="00701F32" w:rsidRDefault="00A06BE9" w:rsidP="00A06BE9">
      <w:pPr>
        <w:contextualSpacing/>
        <w:jc w:val="both"/>
        <w:rPr>
          <w:rFonts w:ascii="Arial" w:eastAsia="Arial" w:hAnsi="Arial" w:cs="Arial"/>
          <w:sz w:val="20"/>
        </w:rPr>
      </w:pPr>
    </w:p>
    <w:p w14:paraId="4DDE3FB5" w14:textId="77777777" w:rsidR="00A06BE9" w:rsidRPr="00701F32" w:rsidRDefault="00490101" w:rsidP="00A06BE9">
      <w:pPr>
        <w:contextualSpacing/>
        <w:jc w:val="both"/>
        <w:rPr>
          <w:rFonts w:ascii="Arial" w:eastAsia="Arial" w:hAnsi="Arial" w:cs="Arial"/>
          <w:sz w:val="20"/>
        </w:rPr>
      </w:pPr>
      <w:r w:rsidRPr="00701F32">
        <w:rPr>
          <w:rFonts w:ascii="Arial" w:eastAsia="Arial" w:hAnsi="Arial" w:cs="Arial"/>
          <w:sz w:val="20"/>
        </w:rPr>
        <w:t xml:space="preserve">La </w:t>
      </w:r>
      <w:r w:rsidR="00A06BE9" w:rsidRPr="00701F32">
        <w:rPr>
          <w:rFonts w:ascii="Arial" w:eastAsia="Arial" w:hAnsi="Arial" w:cs="Arial"/>
          <w:sz w:val="20"/>
        </w:rPr>
        <w:t>Entidad es controlada por la siguiente entidad:</w:t>
      </w:r>
    </w:p>
    <w:p w14:paraId="623EE00A" w14:textId="77777777" w:rsidR="00A06BE9" w:rsidRPr="00701F32" w:rsidRDefault="00A06BE9" w:rsidP="00A06BE9">
      <w:pPr>
        <w:contextualSpacing/>
        <w:jc w:val="both"/>
        <w:rPr>
          <w:rFonts w:ascii="Calibri Light" w:eastAsia="Calibri" w:hAnsi="Calibri Light" w:cs="Calibri"/>
          <w:noProof/>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453"/>
        <w:gridCol w:w="1453"/>
        <w:gridCol w:w="1453"/>
        <w:gridCol w:w="1453"/>
        <w:gridCol w:w="1455"/>
      </w:tblGrid>
      <w:tr w:rsidR="00A06BE9" w:rsidRPr="00701F32" w14:paraId="2FE49A32" w14:textId="77777777" w:rsidTr="00464C0F">
        <w:tc>
          <w:tcPr>
            <w:tcW w:w="833" w:type="pct"/>
            <w:vMerge w:val="restart"/>
            <w:vAlign w:val="center"/>
          </w:tcPr>
          <w:p w14:paraId="2125BEF2" w14:textId="77777777" w:rsidR="00A06BE9" w:rsidRPr="00701F32" w:rsidRDefault="00A06BE9" w:rsidP="00464C0F">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Nombre</w:t>
            </w:r>
          </w:p>
        </w:tc>
        <w:tc>
          <w:tcPr>
            <w:tcW w:w="833" w:type="pct"/>
            <w:vMerge w:val="restart"/>
            <w:vAlign w:val="center"/>
          </w:tcPr>
          <w:p w14:paraId="401AFF30" w14:textId="77777777" w:rsidR="00A06BE9" w:rsidRPr="00701F32" w:rsidRDefault="00A06BE9">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Naturaleza</w:t>
            </w:r>
          </w:p>
        </w:tc>
        <w:tc>
          <w:tcPr>
            <w:tcW w:w="833" w:type="pct"/>
            <w:vMerge w:val="restart"/>
            <w:vAlign w:val="center"/>
          </w:tcPr>
          <w:p w14:paraId="66BCB3E5" w14:textId="77777777" w:rsidR="00A06BE9" w:rsidRPr="00701F32" w:rsidRDefault="00A06BE9" w:rsidP="00464C0F">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Actividad principal</w:t>
            </w:r>
          </w:p>
        </w:tc>
        <w:tc>
          <w:tcPr>
            <w:tcW w:w="833" w:type="pct"/>
            <w:vMerge w:val="restart"/>
            <w:vAlign w:val="center"/>
          </w:tcPr>
          <w:p w14:paraId="704E41C3" w14:textId="77777777" w:rsidR="00A06BE9" w:rsidRPr="00701F32" w:rsidRDefault="00A06BE9" w:rsidP="00464C0F">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Lugar de radicación</w:t>
            </w:r>
          </w:p>
        </w:tc>
        <w:tc>
          <w:tcPr>
            <w:tcW w:w="1667" w:type="pct"/>
            <w:gridSpan w:val="2"/>
            <w:vAlign w:val="center"/>
          </w:tcPr>
          <w:p w14:paraId="053DD36C" w14:textId="77777777" w:rsidR="00A06BE9" w:rsidRPr="00701F32" w:rsidRDefault="00A06BE9" w:rsidP="00464C0F">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Porcentaje de participación</w:t>
            </w:r>
          </w:p>
        </w:tc>
      </w:tr>
      <w:tr w:rsidR="00A06BE9" w:rsidRPr="00701F32" w14:paraId="57482153" w14:textId="77777777" w:rsidTr="00464C0F">
        <w:tc>
          <w:tcPr>
            <w:tcW w:w="833" w:type="pct"/>
            <w:vMerge/>
            <w:vAlign w:val="center"/>
          </w:tcPr>
          <w:p w14:paraId="6FFC4056" w14:textId="77777777" w:rsidR="00A06BE9" w:rsidRPr="00701F32" w:rsidRDefault="00A06BE9" w:rsidP="00464C0F">
            <w:pPr>
              <w:spacing w:after="160" w:line="259" w:lineRule="auto"/>
              <w:contextualSpacing/>
              <w:jc w:val="center"/>
              <w:rPr>
                <w:rFonts w:ascii="Arial" w:eastAsia="Calibri" w:hAnsi="Arial" w:cs="Arial"/>
                <w:b/>
                <w:noProof/>
                <w:sz w:val="18"/>
              </w:rPr>
            </w:pPr>
          </w:p>
        </w:tc>
        <w:tc>
          <w:tcPr>
            <w:tcW w:w="833" w:type="pct"/>
            <w:vMerge/>
            <w:vAlign w:val="center"/>
          </w:tcPr>
          <w:p w14:paraId="3B3D0AB8" w14:textId="77777777" w:rsidR="00A06BE9" w:rsidRPr="00701F32" w:rsidRDefault="00A06BE9" w:rsidP="00464C0F">
            <w:pPr>
              <w:spacing w:after="160" w:line="259" w:lineRule="auto"/>
              <w:contextualSpacing/>
              <w:jc w:val="center"/>
              <w:rPr>
                <w:rFonts w:ascii="Arial" w:eastAsia="Calibri" w:hAnsi="Arial" w:cs="Arial"/>
                <w:b/>
                <w:noProof/>
                <w:sz w:val="18"/>
              </w:rPr>
            </w:pPr>
          </w:p>
        </w:tc>
        <w:tc>
          <w:tcPr>
            <w:tcW w:w="833" w:type="pct"/>
            <w:vMerge/>
            <w:vAlign w:val="center"/>
          </w:tcPr>
          <w:p w14:paraId="2FD108D7" w14:textId="77777777" w:rsidR="00A06BE9" w:rsidRPr="00701F32" w:rsidRDefault="00A06BE9" w:rsidP="00464C0F">
            <w:pPr>
              <w:spacing w:after="160" w:line="259" w:lineRule="auto"/>
              <w:contextualSpacing/>
              <w:jc w:val="center"/>
              <w:rPr>
                <w:rFonts w:ascii="Arial" w:eastAsia="Calibri" w:hAnsi="Arial" w:cs="Arial"/>
                <w:b/>
                <w:noProof/>
                <w:sz w:val="18"/>
              </w:rPr>
            </w:pPr>
          </w:p>
        </w:tc>
        <w:tc>
          <w:tcPr>
            <w:tcW w:w="833" w:type="pct"/>
            <w:vMerge/>
            <w:vAlign w:val="center"/>
          </w:tcPr>
          <w:p w14:paraId="014CEB56" w14:textId="77777777" w:rsidR="00A06BE9" w:rsidRPr="00701F32" w:rsidRDefault="00A06BE9" w:rsidP="00464C0F">
            <w:pPr>
              <w:spacing w:after="160" w:line="259" w:lineRule="auto"/>
              <w:contextualSpacing/>
              <w:jc w:val="center"/>
              <w:rPr>
                <w:rFonts w:ascii="Arial" w:eastAsia="Calibri" w:hAnsi="Arial" w:cs="Arial"/>
                <w:b/>
                <w:noProof/>
                <w:sz w:val="18"/>
              </w:rPr>
            </w:pPr>
          </w:p>
        </w:tc>
        <w:tc>
          <w:tcPr>
            <w:tcW w:w="833" w:type="pct"/>
            <w:vAlign w:val="center"/>
          </w:tcPr>
          <w:p w14:paraId="7EED03CD" w14:textId="15F73940" w:rsidR="00A06BE9" w:rsidRPr="00701F32" w:rsidRDefault="00A06BE9">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201</w:t>
            </w:r>
            <w:r w:rsidR="00910C22">
              <w:rPr>
                <w:rFonts w:ascii="Arial" w:eastAsia="Calibri" w:hAnsi="Arial" w:cs="Arial"/>
                <w:b/>
                <w:noProof/>
                <w:sz w:val="18"/>
              </w:rPr>
              <w:t>9</w:t>
            </w:r>
          </w:p>
        </w:tc>
        <w:tc>
          <w:tcPr>
            <w:tcW w:w="834" w:type="pct"/>
            <w:vAlign w:val="center"/>
          </w:tcPr>
          <w:p w14:paraId="65B7CD34" w14:textId="485C04BF" w:rsidR="00A06BE9" w:rsidRPr="00701F32" w:rsidRDefault="00A06BE9">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201</w:t>
            </w:r>
            <w:r w:rsidR="00910C22">
              <w:rPr>
                <w:rFonts w:ascii="Arial" w:eastAsia="Calibri" w:hAnsi="Arial" w:cs="Arial"/>
                <w:b/>
                <w:noProof/>
                <w:sz w:val="18"/>
              </w:rPr>
              <w:t>8</w:t>
            </w:r>
          </w:p>
        </w:tc>
      </w:tr>
      <w:tr w:rsidR="00A06BE9" w:rsidRPr="00701F32" w14:paraId="2777BF0E" w14:textId="77777777" w:rsidTr="0086282C">
        <w:trPr>
          <w:trHeight w:val="221"/>
        </w:trPr>
        <w:tc>
          <w:tcPr>
            <w:tcW w:w="833" w:type="pct"/>
          </w:tcPr>
          <w:p w14:paraId="05335A67" w14:textId="77777777" w:rsidR="00A06BE9" w:rsidRPr="00701F32" w:rsidRDefault="00A06BE9" w:rsidP="00464C0F">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Grupo Supervielle S.A.</w:t>
            </w:r>
          </w:p>
        </w:tc>
        <w:tc>
          <w:tcPr>
            <w:tcW w:w="833" w:type="pct"/>
          </w:tcPr>
          <w:p w14:paraId="1E1FCE74" w14:textId="367BDC4D" w:rsidR="00A06BE9" w:rsidRPr="00701F32" w:rsidRDefault="00A06BE9">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9</w:t>
            </w:r>
            <w:r w:rsidR="00CB0A40">
              <w:rPr>
                <w:rFonts w:ascii="Arial" w:eastAsia="Calibri" w:hAnsi="Arial" w:cs="Arial"/>
                <w:noProof/>
                <w:sz w:val="18"/>
              </w:rPr>
              <w:t>7</w:t>
            </w:r>
            <w:r w:rsidRPr="00701F32">
              <w:rPr>
                <w:rFonts w:ascii="Arial" w:eastAsia="Calibri" w:hAnsi="Arial" w:cs="Arial"/>
                <w:noProof/>
                <w:sz w:val="18"/>
              </w:rPr>
              <w:t>,</w:t>
            </w:r>
            <w:r w:rsidR="00CB0A40">
              <w:rPr>
                <w:rFonts w:ascii="Arial" w:eastAsia="Calibri" w:hAnsi="Arial" w:cs="Arial"/>
                <w:noProof/>
                <w:sz w:val="18"/>
              </w:rPr>
              <w:t>07</w:t>
            </w:r>
            <w:r w:rsidRPr="00701F32">
              <w:rPr>
                <w:rFonts w:ascii="Arial" w:eastAsia="Calibri" w:hAnsi="Arial" w:cs="Arial"/>
                <w:noProof/>
                <w:sz w:val="18"/>
              </w:rPr>
              <w:t>% de derecho a votos</w:t>
            </w:r>
          </w:p>
        </w:tc>
        <w:tc>
          <w:tcPr>
            <w:tcW w:w="833" w:type="pct"/>
          </w:tcPr>
          <w:p w14:paraId="453FF1FC" w14:textId="77777777" w:rsidR="00A06BE9" w:rsidRPr="00701F32" w:rsidRDefault="00A06BE9" w:rsidP="00464C0F">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Financiera y de Inversion</w:t>
            </w:r>
          </w:p>
        </w:tc>
        <w:tc>
          <w:tcPr>
            <w:tcW w:w="833" w:type="pct"/>
          </w:tcPr>
          <w:p w14:paraId="41333314" w14:textId="77777777" w:rsidR="00A06BE9" w:rsidRPr="00701F32" w:rsidRDefault="00A06BE9" w:rsidP="00464C0F">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Bme Mitre 434 5to Piso. CABA</w:t>
            </w:r>
          </w:p>
        </w:tc>
        <w:tc>
          <w:tcPr>
            <w:tcW w:w="833" w:type="pct"/>
            <w:vAlign w:val="center"/>
          </w:tcPr>
          <w:p w14:paraId="643B5AA2" w14:textId="6CA82447" w:rsidR="00A06BE9" w:rsidRPr="00701F32" w:rsidRDefault="00A06BE9">
            <w:pPr>
              <w:spacing w:after="160" w:line="259" w:lineRule="auto"/>
              <w:contextualSpacing/>
              <w:jc w:val="right"/>
              <w:rPr>
                <w:rFonts w:ascii="Arial" w:eastAsia="Calibri" w:hAnsi="Arial" w:cs="Arial"/>
                <w:noProof/>
                <w:sz w:val="18"/>
                <w:lang w:val="es-ES_tradnl"/>
              </w:rPr>
            </w:pPr>
            <w:r w:rsidRPr="00701F32">
              <w:rPr>
                <w:rFonts w:ascii="Arial" w:eastAsia="Calibri" w:hAnsi="Arial" w:cs="Arial"/>
                <w:noProof/>
                <w:sz w:val="18"/>
              </w:rPr>
              <w:t>9</w:t>
            </w:r>
            <w:r w:rsidR="00910C22">
              <w:rPr>
                <w:rFonts w:ascii="Arial" w:eastAsia="Calibri" w:hAnsi="Arial" w:cs="Arial"/>
                <w:noProof/>
                <w:sz w:val="18"/>
              </w:rPr>
              <w:t>7</w:t>
            </w:r>
            <w:r w:rsidRPr="00701F32">
              <w:rPr>
                <w:rFonts w:ascii="Arial" w:eastAsia="Calibri" w:hAnsi="Arial" w:cs="Arial"/>
                <w:noProof/>
                <w:sz w:val="18"/>
              </w:rPr>
              <w:t>,</w:t>
            </w:r>
            <w:r w:rsidR="00CB0A40">
              <w:rPr>
                <w:rFonts w:ascii="Arial" w:eastAsia="Calibri" w:hAnsi="Arial" w:cs="Arial"/>
                <w:noProof/>
                <w:sz w:val="18"/>
              </w:rPr>
              <w:t>1</w:t>
            </w:r>
            <w:r w:rsidR="00910C22">
              <w:rPr>
                <w:rFonts w:ascii="Arial" w:eastAsia="Calibri" w:hAnsi="Arial" w:cs="Arial"/>
                <w:noProof/>
                <w:sz w:val="18"/>
              </w:rPr>
              <w:t>0</w:t>
            </w:r>
            <w:r w:rsidRPr="00701F32">
              <w:rPr>
                <w:rFonts w:ascii="Arial" w:eastAsia="Calibri" w:hAnsi="Arial" w:cs="Arial"/>
                <w:noProof/>
                <w:sz w:val="18"/>
              </w:rPr>
              <w:t>%</w:t>
            </w:r>
          </w:p>
        </w:tc>
        <w:tc>
          <w:tcPr>
            <w:tcW w:w="834" w:type="pct"/>
            <w:vAlign w:val="center"/>
          </w:tcPr>
          <w:p w14:paraId="5410E6EC" w14:textId="37AC4946" w:rsidR="00A06BE9" w:rsidRPr="00701F32" w:rsidRDefault="00A06BE9">
            <w:pPr>
              <w:spacing w:after="160" w:line="259" w:lineRule="auto"/>
              <w:contextualSpacing/>
              <w:jc w:val="right"/>
              <w:rPr>
                <w:rFonts w:ascii="Arial" w:eastAsia="Calibri" w:hAnsi="Arial" w:cs="Arial"/>
                <w:noProof/>
                <w:sz w:val="18"/>
                <w:lang w:val="es-ES_tradnl"/>
              </w:rPr>
            </w:pPr>
            <w:r w:rsidRPr="00701F32">
              <w:rPr>
                <w:rFonts w:ascii="Arial" w:eastAsia="Calibri" w:hAnsi="Arial" w:cs="Arial"/>
                <w:noProof/>
                <w:sz w:val="18"/>
              </w:rPr>
              <w:t>96,</w:t>
            </w:r>
            <w:r w:rsidR="00910C22">
              <w:rPr>
                <w:rFonts w:ascii="Arial" w:eastAsia="Calibri" w:hAnsi="Arial" w:cs="Arial"/>
                <w:noProof/>
                <w:sz w:val="18"/>
              </w:rPr>
              <w:t>89</w:t>
            </w:r>
            <w:r w:rsidRPr="00701F32">
              <w:rPr>
                <w:rFonts w:ascii="Arial" w:eastAsia="Calibri" w:hAnsi="Arial" w:cs="Arial"/>
                <w:noProof/>
                <w:sz w:val="18"/>
              </w:rPr>
              <w:t>%</w:t>
            </w:r>
          </w:p>
        </w:tc>
      </w:tr>
    </w:tbl>
    <w:p w14:paraId="37E95554" w14:textId="77777777" w:rsidR="00A06BE9" w:rsidRPr="00701F32" w:rsidRDefault="00A06BE9" w:rsidP="00A06BE9">
      <w:pPr>
        <w:contextualSpacing/>
        <w:jc w:val="both"/>
        <w:rPr>
          <w:rFonts w:ascii="Arial" w:eastAsia="Arial" w:hAnsi="Arial" w:cs="Arial"/>
          <w:sz w:val="20"/>
          <w:u w:val="single"/>
        </w:rPr>
      </w:pPr>
    </w:p>
    <w:p w14:paraId="4B18ADD5" w14:textId="77777777" w:rsidR="00A06BE9" w:rsidRPr="00701F32" w:rsidRDefault="00614C70" w:rsidP="00A06BE9">
      <w:pPr>
        <w:contextualSpacing/>
        <w:jc w:val="both"/>
        <w:rPr>
          <w:rFonts w:ascii="Arial" w:eastAsia="Arial" w:hAnsi="Arial" w:cs="Arial"/>
          <w:sz w:val="20"/>
          <w:u w:val="single"/>
        </w:rPr>
      </w:pPr>
      <w:r w:rsidRPr="00701F32">
        <w:rPr>
          <w:rFonts w:ascii="Arial" w:eastAsia="Arial" w:hAnsi="Arial" w:cs="Arial"/>
          <w:sz w:val="20"/>
          <w:u w:val="single"/>
        </w:rPr>
        <w:t>S</w:t>
      </w:r>
      <w:r w:rsidR="00A06BE9" w:rsidRPr="00701F32">
        <w:rPr>
          <w:rFonts w:ascii="Arial" w:eastAsia="Arial" w:hAnsi="Arial" w:cs="Arial"/>
          <w:sz w:val="20"/>
          <w:u w:val="single"/>
        </w:rPr>
        <w:t xml:space="preserve">ubsidiarias </w:t>
      </w:r>
    </w:p>
    <w:p w14:paraId="0CD18F9C" w14:textId="77777777" w:rsidR="00A06BE9" w:rsidRPr="00701F32" w:rsidRDefault="00A06BE9" w:rsidP="00A06BE9">
      <w:pPr>
        <w:contextualSpacing/>
        <w:jc w:val="both"/>
        <w:rPr>
          <w:rFonts w:ascii="Arial" w:eastAsia="Arial" w:hAnsi="Arial" w:cs="Arial"/>
          <w:sz w:val="20"/>
        </w:rPr>
      </w:pPr>
    </w:p>
    <w:p w14:paraId="5E7F153C" w14:textId="2279BDD7" w:rsidR="00A06BE9" w:rsidRDefault="00A06BE9" w:rsidP="00A06BE9">
      <w:pPr>
        <w:contextualSpacing/>
        <w:jc w:val="both"/>
        <w:rPr>
          <w:rFonts w:ascii="Arial" w:eastAsia="Arial" w:hAnsi="Arial" w:cs="Arial"/>
          <w:sz w:val="20"/>
        </w:rPr>
      </w:pPr>
      <w:r w:rsidRPr="00701F32">
        <w:rPr>
          <w:rFonts w:ascii="Arial" w:eastAsia="Arial" w:hAnsi="Arial" w:cs="Arial"/>
          <w:sz w:val="20"/>
        </w:rPr>
        <w:t xml:space="preserve">Las partes relacionadas al </w:t>
      </w:r>
      <w:r w:rsidR="008F0913">
        <w:rPr>
          <w:rFonts w:ascii="Arial" w:eastAsia="Arial" w:hAnsi="Arial" w:cs="Arial"/>
          <w:sz w:val="20"/>
        </w:rPr>
        <w:t xml:space="preserve">31 de diciembre de </w:t>
      </w:r>
      <w:r w:rsidR="00543EF5">
        <w:rPr>
          <w:rFonts w:ascii="Arial" w:eastAsia="Arial" w:hAnsi="Arial" w:cs="Arial"/>
          <w:sz w:val="20"/>
        </w:rPr>
        <w:t xml:space="preserve">2019 y </w:t>
      </w:r>
      <w:r w:rsidR="008F0913">
        <w:rPr>
          <w:rFonts w:ascii="Arial" w:eastAsia="Arial" w:hAnsi="Arial" w:cs="Arial"/>
          <w:sz w:val="20"/>
        </w:rPr>
        <w:t xml:space="preserve">2018 </w:t>
      </w:r>
      <w:r w:rsidRPr="00701F32">
        <w:rPr>
          <w:rFonts w:ascii="Arial" w:eastAsia="Arial" w:hAnsi="Arial" w:cs="Arial"/>
          <w:sz w:val="20"/>
        </w:rPr>
        <w:t>y el detalle de la naturaleza de su relación es la siguiente:</w:t>
      </w:r>
    </w:p>
    <w:p w14:paraId="1DF6F031" w14:textId="77777777" w:rsidR="00AF05CB" w:rsidRPr="00701F32" w:rsidRDefault="00AF05CB" w:rsidP="00A06BE9">
      <w:pPr>
        <w:contextualSpacing/>
        <w:jc w:val="both"/>
        <w:rPr>
          <w:rFonts w:ascii="Calibri Light" w:eastAsia="Calibri" w:hAnsi="Calibri Light" w:cs="Calibri"/>
          <w:noProof/>
          <w:sz w:val="20"/>
        </w:rPr>
      </w:pP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1744"/>
        <w:gridCol w:w="1744"/>
        <w:gridCol w:w="1743"/>
        <w:gridCol w:w="1745"/>
      </w:tblGrid>
      <w:tr w:rsidR="00A06BE9" w:rsidRPr="00701F32" w14:paraId="7E04B7FE" w14:textId="77777777" w:rsidTr="00464C0F">
        <w:tc>
          <w:tcPr>
            <w:tcW w:w="950" w:type="pct"/>
            <w:vMerge w:val="restart"/>
            <w:vAlign w:val="center"/>
          </w:tcPr>
          <w:p w14:paraId="5EE7FB27" w14:textId="77777777" w:rsidR="00A06BE9" w:rsidRPr="00701F32" w:rsidRDefault="00A06BE9" w:rsidP="00464C0F">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Nombre</w:t>
            </w:r>
          </w:p>
        </w:tc>
        <w:tc>
          <w:tcPr>
            <w:tcW w:w="1012" w:type="pct"/>
            <w:vMerge w:val="restart"/>
            <w:vAlign w:val="center"/>
          </w:tcPr>
          <w:p w14:paraId="049AF577" w14:textId="77777777" w:rsidR="00A06BE9" w:rsidRPr="00701F32" w:rsidRDefault="00A06BE9">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Naturaleza</w:t>
            </w:r>
          </w:p>
        </w:tc>
        <w:tc>
          <w:tcPr>
            <w:tcW w:w="1012" w:type="pct"/>
            <w:vMerge w:val="restart"/>
            <w:vAlign w:val="center"/>
          </w:tcPr>
          <w:p w14:paraId="47C79818" w14:textId="77777777" w:rsidR="00A06BE9" w:rsidRPr="00701F32" w:rsidRDefault="00A06BE9" w:rsidP="00464C0F">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Lugar de radicación</w:t>
            </w:r>
          </w:p>
        </w:tc>
        <w:tc>
          <w:tcPr>
            <w:tcW w:w="2025" w:type="pct"/>
            <w:gridSpan w:val="2"/>
            <w:vAlign w:val="center"/>
          </w:tcPr>
          <w:p w14:paraId="4F229D98" w14:textId="77777777" w:rsidR="00A06BE9" w:rsidRPr="00701F32" w:rsidRDefault="00A06BE9" w:rsidP="00464C0F">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Porcentaje de participación</w:t>
            </w:r>
          </w:p>
        </w:tc>
      </w:tr>
      <w:tr w:rsidR="00A06BE9" w:rsidRPr="00701F32" w14:paraId="7F527070" w14:textId="77777777" w:rsidTr="00490101">
        <w:tc>
          <w:tcPr>
            <w:tcW w:w="950" w:type="pct"/>
            <w:vMerge/>
            <w:vAlign w:val="center"/>
          </w:tcPr>
          <w:p w14:paraId="16137B12" w14:textId="77777777" w:rsidR="00A06BE9" w:rsidRPr="00701F32" w:rsidRDefault="00A06BE9" w:rsidP="00464C0F">
            <w:pPr>
              <w:spacing w:after="160" w:line="259" w:lineRule="auto"/>
              <w:contextualSpacing/>
              <w:jc w:val="center"/>
              <w:rPr>
                <w:rFonts w:ascii="Arial" w:eastAsia="Calibri" w:hAnsi="Arial" w:cs="Arial"/>
                <w:b/>
                <w:noProof/>
                <w:sz w:val="18"/>
                <w:szCs w:val="18"/>
              </w:rPr>
            </w:pPr>
          </w:p>
        </w:tc>
        <w:tc>
          <w:tcPr>
            <w:tcW w:w="1012" w:type="pct"/>
            <w:vMerge/>
            <w:vAlign w:val="center"/>
          </w:tcPr>
          <w:p w14:paraId="04651552" w14:textId="77777777" w:rsidR="00A06BE9" w:rsidRPr="00701F32" w:rsidRDefault="00A06BE9" w:rsidP="00464C0F">
            <w:pPr>
              <w:spacing w:after="160" w:line="259" w:lineRule="auto"/>
              <w:contextualSpacing/>
              <w:jc w:val="center"/>
              <w:rPr>
                <w:rFonts w:ascii="Arial" w:eastAsia="Calibri" w:hAnsi="Arial" w:cs="Arial"/>
                <w:b/>
                <w:noProof/>
                <w:sz w:val="18"/>
                <w:szCs w:val="18"/>
              </w:rPr>
            </w:pPr>
          </w:p>
        </w:tc>
        <w:tc>
          <w:tcPr>
            <w:tcW w:w="1012" w:type="pct"/>
            <w:vMerge/>
            <w:vAlign w:val="center"/>
          </w:tcPr>
          <w:p w14:paraId="34EF8B9C" w14:textId="77777777" w:rsidR="00A06BE9" w:rsidRPr="00701F32" w:rsidRDefault="00A06BE9" w:rsidP="00464C0F">
            <w:pPr>
              <w:spacing w:after="160" w:line="259" w:lineRule="auto"/>
              <w:contextualSpacing/>
              <w:jc w:val="center"/>
              <w:rPr>
                <w:rFonts w:ascii="Arial" w:eastAsia="Calibri" w:hAnsi="Arial" w:cs="Arial"/>
                <w:b/>
                <w:noProof/>
                <w:sz w:val="18"/>
                <w:szCs w:val="18"/>
              </w:rPr>
            </w:pPr>
          </w:p>
        </w:tc>
        <w:tc>
          <w:tcPr>
            <w:tcW w:w="1012" w:type="pct"/>
            <w:vAlign w:val="center"/>
          </w:tcPr>
          <w:p w14:paraId="64CBA893" w14:textId="643E4D42" w:rsidR="00A06BE9" w:rsidRPr="00701F32" w:rsidRDefault="00A06BE9">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201</w:t>
            </w:r>
            <w:r w:rsidR="00910C22">
              <w:rPr>
                <w:rFonts w:ascii="Arial" w:eastAsia="Calibri" w:hAnsi="Arial" w:cs="Arial"/>
                <w:b/>
                <w:noProof/>
                <w:sz w:val="18"/>
                <w:szCs w:val="18"/>
              </w:rPr>
              <w:t>9</w:t>
            </w:r>
          </w:p>
        </w:tc>
        <w:tc>
          <w:tcPr>
            <w:tcW w:w="1013" w:type="pct"/>
            <w:vAlign w:val="center"/>
          </w:tcPr>
          <w:p w14:paraId="740F057D" w14:textId="4526D516" w:rsidR="00A06BE9" w:rsidRPr="00701F32" w:rsidRDefault="00A06BE9" w:rsidP="00464C0F">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201</w:t>
            </w:r>
            <w:r w:rsidR="00910C22">
              <w:rPr>
                <w:rFonts w:ascii="Arial" w:eastAsia="Calibri" w:hAnsi="Arial" w:cs="Arial"/>
                <w:b/>
                <w:noProof/>
                <w:sz w:val="18"/>
                <w:szCs w:val="18"/>
              </w:rPr>
              <w:t>8</w:t>
            </w:r>
          </w:p>
        </w:tc>
      </w:tr>
      <w:tr w:rsidR="002F0893" w:rsidRPr="00701F32" w14:paraId="5F4033C7" w14:textId="77777777" w:rsidTr="005819B2">
        <w:trPr>
          <w:trHeight w:val="221"/>
        </w:trPr>
        <w:tc>
          <w:tcPr>
            <w:tcW w:w="950" w:type="pct"/>
            <w:tcBorders>
              <w:top w:val="single" w:sz="4" w:space="0" w:color="auto"/>
              <w:left w:val="single" w:sz="4" w:space="0" w:color="auto"/>
              <w:bottom w:val="single" w:sz="4" w:space="0" w:color="auto"/>
              <w:right w:val="single" w:sz="4" w:space="0" w:color="auto"/>
            </w:tcBorders>
          </w:tcPr>
          <w:p w14:paraId="18B06569" w14:textId="77777777" w:rsidR="002F0893" w:rsidRPr="00701F32" w:rsidRDefault="002F0893" w:rsidP="002F0893">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Cordial Compañía Financiera S.A.</w:t>
            </w:r>
          </w:p>
        </w:tc>
        <w:tc>
          <w:tcPr>
            <w:tcW w:w="1012" w:type="pct"/>
            <w:tcBorders>
              <w:top w:val="single" w:sz="4" w:space="0" w:color="auto"/>
              <w:left w:val="single" w:sz="4" w:space="0" w:color="auto"/>
              <w:bottom w:val="single" w:sz="4" w:space="0" w:color="auto"/>
              <w:right w:val="single" w:sz="4" w:space="0" w:color="auto"/>
            </w:tcBorders>
          </w:tcPr>
          <w:p w14:paraId="422F3633" w14:textId="77777777" w:rsidR="002F0893" w:rsidRPr="00701F32" w:rsidRDefault="002F0893" w:rsidP="002F0893">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95 % del Capital Social y derecho a votos</w:t>
            </w:r>
          </w:p>
        </w:tc>
        <w:tc>
          <w:tcPr>
            <w:tcW w:w="1012" w:type="pct"/>
            <w:tcBorders>
              <w:top w:val="single" w:sz="4" w:space="0" w:color="auto"/>
              <w:left w:val="single" w:sz="4" w:space="0" w:color="auto"/>
              <w:bottom w:val="single" w:sz="4" w:space="0" w:color="auto"/>
              <w:right w:val="single" w:sz="4" w:space="0" w:color="auto"/>
            </w:tcBorders>
            <w:vAlign w:val="center"/>
          </w:tcPr>
          <w:p w14:paraId="283F2031" w14:textId="77777777" w:rsidR="002F0893" w:rsidRPr="00701F32" w:rsidRDefault="002F0893">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Reconquista 320 CABA</w:t>
            </w:r>
          </w:p>
        </w:tc>
        <w:tc>
          <w:tcPr>
            <w:tcW w:w="1012" w:type="pct"/>
            <w:tcBorders>
              <w:top w:val="single" w:sz="4" w:space="0" w:color="auto"/>
              <w:left w:val="single" w:sz="4" w:space="0" w:color="auto"/>
              <w:bottom w:val="single" w:sz="4" w:space="0" w:color="auto"/>
              <w:right w:val="single" w:sz="4" w:space="0" w:color="auto"/>
            </w:tcBorders>
            <w:vAlign w:val="center"/>
          </w:tcPr>
          <w:p w14:paraId="18C2AD3A" w14:textId="77777777" w:rsidR="002F0893" w:rsidRPr="00701F32" w:rsidRDefault="002F0893">
            <w:pPr>
              <w:spacing w:after="160" w:line="259" w:lineRule="auto"/>
              <w:contextualSpacing/>
              <w:jc w:val="right"/>
              <w:rPr>
                <w:rFonts w:ascii="Arial" w:eastAsia="Calibri" w:hAnsi="Arial" w:cs="Arial"/>
                <w:noProof/>
                <w:sz w:val="18"/>
                <w:szCs w:val="18"/>
              </w:rPr>
            </w:pPr>
            <w:r w:rsidRPr="00701F32">
              <w:rPr>
                <w:rFonts w:ascii="Arial" w:eastAsia="Calibri" w:hAnsi="Arial" w:cs="Arial"/>
                <w:noProof/>
                <w:sz w:val="18"/>
                <w:szCs w:val="18"/>
              </w:rPr>
              <w:t>95%</w:t>
            </w:r>
          </w:p>
        </w:tc>
        <w:tc>
          <w:tcPr>
            <w:tcW w:w="1013" w:type="pct"/>
            <w:tcBorders>
              <w:top w:val="single" w:sz="4" w:space="0" w:color="auto"/>
              <w:left w:val="single" w:sz="4" w:space="0" w:color="auto"/>
              <w:bottom w:val="single" w:sz="4" w:space="0" w:color="auto"/>
              <w:right w:val="single" w:sz="4" w:space="0" w:color="auto"/>
            </w:tcBorders>
            <w:vAlign w:val="center"/>
          </w:tcPr>
          <w:p w14:paraId="7F7C5119" w14:textId="77777777" w:rsidR="002F0893" w:rsidRPr="00701F32" w:rsidRDefault="002F0893">
            <w:pPr>
              <w:spacing w:after="160" w:line="259" w:lineRule="auto"/>
              <w:contextualSpacing/>
              <w:jc w:val="right"/>
              <w:rPr>
                <w:rFonts w:ascii="Arial" w:eastAsia="Calibri" w:hAnsi="Arial" w:cs="Arial"/>
                <w:noProof/>
                <w:sz w:val="18"/>
                <w:szCs w:val="18"/>
              </w:rPr>
            </w:pPr>
            <w:r w:rsidRPr="00701F32">
              <w:rPr>
                <w:rFonts w:ascii="Arial" w:eastAsia="Calibri" w:hAnsi="Arial" w:cs="Arial"/>
                <w:noProof/>
                <w:sz w:val="18"/>
                <w:szCs w:val="18"/>
              </w:rPr>
              <w:t>95%</w:t>
            </w:r>
          </w:p>
        </w:tc>
      </w:tr>
    </w:tbl>
    <w:p w14:paraId="2C3C17EE" w14:textId="7DC98D59" w:rsidR="00584F49" w:rsidRDefault="00584F49">
      <w:pPr>
        <w:rPr>
          <w:rFonts w:ascii="Arial" w:eastAsia="Calibri" w:hAnsi="Arial" w:cs="Arial"/>
          <w:sz w:val="20"/>
          <w:u w:val="single"/>
        </w:rPr>
      </w:pPr>
    </w:p>
    <w:p w14:paraId="0AE47421" w14:textId="1DB10C93" w:rsidR="00614C70" w:rsidRPr="00701F32" w:rsidRDefault="003A0C03" w:rsidP="005819B2">
      <w:pPr>
        <w:tabs>
          <w:tab w:val="left" w:pos="142"/>
        </w:tabs>
        <w:spacing w:after="160" w:line="259" w:lineRule="auto"/>
        <w:jc w:val="both"/>
        <w:rPr>
          <w:rFonts w:ascii="Arial" w:eastAsia="Arial" w:hAnsi="Arial" w:cs="Arial"/>
          <w:bCs/>
          <w:noProof/>
          <w:color w:val="000000"/>
          <w:sz w:val="20"/>
          <w:u w:val="single"/>
        </w:rPr>
      </w:pPr>
      <w:r w:rsidRPr="00701F32">
        <w:rPr>
          <w:rFonts w:ascii="Arial" w:eastAsia="Calibri" w:hAnsi="Arial" w:cs="Arial"/>
          <w:sz w:val="20"/>
          <w:u w:val="single"/>
        </w:rPr>
        <w:t>A</w:t>
      </w:r>
      <w:r w:rsidR="00C6108C" w:rsidRPr="00701F32">
        <w:rPr>
          <w:rFonts w:ascii="Arial" w:eastAsia="Calibri" w:hAnsi="Arial" w:cs="Arial"/>
          <w:sz w:val="20"/>
          <w:u w:val="single"/>
        </w:rPr>
        <w:t xml:space="preserve">sociadas </w:t>
      </w:r>
    </w:p>
    <w:p w14:paraId="7947DF31" w14:textId="472D192F" w:rsidR="00C6108C" w:rsidRDefault="00C6108C" w:rsidP="00C6108C">
      <w:pPr>
        <w:jc w:val="both"/>
        <w:rPr>
          <w:rFonts w:ascii="Arial" w:eastAsia="Calibri" w:hAnsi="Arial" w:cs="Arial"/>
          <w:sz w:val="20"/>
        </w:rPr>
      </w:pPr>
      <w:r w:rsidRPr="00701F32">
        <w:rPr>
          <w:rFonts w:ascii="Arial" w:eastAsia="Calibri" w:hAnsi="Arial" w:cs="Arial"/>
          <w:sz w:val="20"/>
        </w:rPr>
        <w:t>Al 3</w:t>
      </w:r>
      <w:r w:rsidR="00543EF5">
        <w:rPr>
          <w:rFonts w:ascii="Arial" w:eastAsia="Calibri" w:hAnsi="Arial" w:cs="Arial"/>
          <w:sz w:val="20"/>
        </w:rPr>
        <w:t>1</w:t>
      </w:r>
      <w:r w:rsidRPr="00701F32">
        <w:rPr>
          <w:rFonts w:ascii="Arial" w:eastAsia="Calibri" w:hAnsi="Arial" w:cs="Arial"/>
          <w:sz w:val="20"/>
        </w:rPr>
        <w:t xml:space="preserve"> de </w:t>
      </w:r>
      <w:r w:rsidR="00543EF5">
        <w:rPr>
          <w:rFonts w:ascii="Arial" w:eastAsia="Calibri" w:hAnsi="Arial" w:cs="Arial"/>
          <w:sz w:val="20"/>
        </w:rPr>
        <w:t>diciembre</w:t>
      </w:r>
      <w:r w:rsidR="006104DE" w:rsidRPr="00701F32">
        <w:rPr>
          <w:rFonts w:ascii="Arial" w:eastAsia="Calibri" w:hAnsi="Arial" w:cs="Arial"/>
          <w:sz w:val="20"/>
        </w:rPr>
        <w:t xml:space="preserve"> </w:t>
      </w:r>
      <w:r w:rsidRPr="00701F32">
        <w:rPr>
          <w:rFonts w:ascii="Arial" w:eastAsia="Calibri" w:hAnsi="Arial" w:cs="Arial"/>
          <w:sz w:val="20"/>
        </w:rPr>
        <w:t xml:space="preserve">de </w:t>
      </w:r>
      <w:r w:rsidR="006104DE" w:rsidRPr="00701F32">
        <w:rPr>
          <w:rFonts w:ascii="Arial" w:eastAsia="Calibri" w:hAnsi="Arial" w:cs="Arial"/>
          <w:sz w:val="20"/>
        </w:rPr>
        <w:t>201</w:t>
      </w:r>
      <w:r w:rsidR="006104DE">
        <w:rPr>
          <w:rFonts w:ascii="Arial" w:eastAsia="Calibri" w:hAnsi="Arial" w:cs="Arial"/>
          <w:sz w:val="20"/>
        </w:rPr>
        <w:t>9</w:t>
      </w:r>
      <w:r w:rsidR="006104DE" w:rsidRPr="00701F32">
        <w:rPr>
          <w:rFonts w:ascii="Arial" w:eastAsia="Calibri" w:hAnsi="Arial" w:cs="Arial"/>
          <w:sz w:val="20"/>
        </w:rPr>
        <w:t xml:space="preserve"> </w:t>
      </w:r>
      <w:r w:rsidRPr="00701F32">
        <w:rPr>
          <w:rFonts w:ascii="Arial" w:eastAsia="Calibri" w:hAnsi="Arial" w:cs="Arial"/>
          <w:sz w:val="20"/>
        </w:rPr>
        <w:t xml:space="preserve">la </w:t>
      </w:r>
      <w:r w:rsidR="00D376AD">
        <w:rPr>
          <w:rFonts w:ascii="Arial" w:eastAsia="Calibri" w:hAnsi="Arial" w:cs="Arial"/>
          <w:sz w:val="20"/>
        </w:rPr>
        <w:t>E</w:t>
      </w:r>
      <w:r w:rsidRPr="00701F32">
        <w:rPr>
          <w:rFonts w:ascii="Arial" w:eastAsia="Calibri" w:hAnsi="Arial" w:cs="Arial"/>
          <w:sz w:val="20"/>
        </w:rPr>
        <w:t>ntidad tenía una participación accionaria en Tarjeta Automática S.A.</w:t>
      </w:r>
      <w:r w:rsidR="00D376AD">
        <w:rPr>
          <w:rFonts w:ascii="Arial" w:eastAsia="Calibri" w:hAnsi="Arial" w:cs="Arial"/>
          <w:sz w:val="20"/>
        </w:rPr>
        <w:t>, la cual</w:t>
      </w:r>
      <w:r w:rsidRPr="00701F32">
        <w:rPr>
          <w:rFonts w:ascii="Arial" w:eastAsia="Calibri" w:hAnsi="Arial" w:cs="Arial"/>
          <w:sz w:val="20"/>
        </w:rPr>
        <w:t xml:space="preserve"> representa el </w:t>
      </w:r>
      <w:r w:rsidR="00E153A6" w:rsidRPr="007A6D9C">
        <w:rPr>
          <w:rFonts w:ascii="Arial" w:eastAsia="Calibri" w:hAnsi="Arial" w:cs="Arial"/>
          <w:sz w:val="20"/>
        </w:rPr>
        <w:t>1</w:t>
      </w:r>
      <w:r w:rsidR="007A6D9C">
        <w:rPr>
          <w:rFonts w:ascii="Arial" w:eastAsia="Calibri" w:hAnsi="Arial" w:cs="Arial"/>
          <w:sz w:val="20"/>
        </w:rPr>
        <w:t>2,375</w:t>
      </w:r>
      <w:r w:rsidRPr="00701F32">
        <w:rPr>
          <w:rFonts w:ascii="Arial" w:eastAsia="Calibri" w:hAnsi="Arial" w:cs="Arial"/>
          <w:sz w:val="20"/>
        </w:rPr>
        <w:t xml:space="preserve"> % del capital social y de los votos y se encuentra registrada en el rubro Inversión en subsidiarias, asociadas y negocios conjuntos </w:t>
      </w:r>
      <w:r w:rsidRPr="00C43BF8">
        <w:rPr>
          <w:rFonts w:ascii="Arial" w:eastAsia="Calibri" w:hAnsi="Arial" w:cs="Arial"/>
          <w:sz w:val="20"/>
        </w:rPr>
        <w:t xml:space="preserve">por </w:t>
      </w:r>
      <w:r w:rsidR="008F0913">
        <w:rPr>
          <w:rFonts w:ascii="Arial" w:eastAsia="Calibri" w:hAnsi="Arial" w:cs="Arial"/>
          <w:sz w:val="20"/>
        </w:rPr>
        <w:t xml:space="preserve">$ </w:t>
      </w:r>
      <w:r w:rsidR="00E05037">
        <w:rPr>
          <w:rFonts w:ascii="Arial" w:eastAsia="Calibri" w:hAnsi="Arial" w:cs="Arial"/>
          <w:sz w:val="20"/>
        </w:rPr>
        <w:t>41.944</w:t>
      </w:r>
      <w:r w:rsidR="00FF003D" w:rsidRPr="00C43BF8">
        <w:rPr>
          <w:rFonts w:ascii="Arial" w:eastAsia="Calibri" w:hAnsi="Arial" w:cs="Arial"/>
          <w:sz w:val="20"/>
        </w:rPr>
        <w:t>.</w:t>
      </w:r>
    </w:p>
    <w:p w14:paraId="282C0D52" w14:textId="3D07D62F" w:rsidR="001C1547" w:rsidRDefault="001C1547" w:rsidP="00C6108C">
      <w:pPr>
        <w:jc w:val="both"/>
        <w:rPr>
          <w:rFonts w:ascii="Arial" w:eastAsia="Calibri" w:hAnsi="Arial" w:cs="Arial"/>
          <w:sz w:val="20"/>
        </w:rPr>
      </w:pPr>
    </w:p>
    <w:p w14:paraId="70B0A948" w14:textId="6F85B020" w:rsidR="001C1547" w:rsidRDefault="001C1547" w:rsidP="00C6108C">
      <w:pPr>
        <w:jc w:val="both"/>
        <w:rPr>
          <w:rFonts w:ascii="Arial" w:eastAsia="Calibri" w:hAnsi="Arial" w:cs="Arial"/>
          <w:sz w:val="20"/>
        </w:rPr>
      </w:pPr>
      <w:r>
        <w:rPr>
          <w:rFonts w:ascii="Arial" w:eastAsia="Calibri" w:hAnsi="Arial" w:cs="Arial"/>
          <w:sz w:val="20"/>
        </w:rPr>
        <w:t xml:space="preserve">Los activos, pasivos, patrimonio neto y resultados de Tarjeta Automática son los siguientes: </w:t>
      </w:r>
    </w:p>
    <w:p w14:paraId="76C2BC0D" w14:textId="27B52573" w:rsidR="001C1547" w:rsidRDefault="001C1547" w:rsidP="00C6108C">
      <w:pPr>
        <w:jc w:val="both"/>
        <w:rPr>
          <w:rFonts w:ascii="Arial" w:eastAsia="Calibri" w:hAnsi="Arial" w:cs="Arial"/>
          <w:sz w:val="20"/>
        </w:rPr>
      </w:pPr>
    </w:p>
    <w:tbl>
      <w:tblPr>
        <w:tblStyle w:val="Tablaconcuadrcula"/>
        <w:tblW w:w="0" w:type="auto"/>
        <w:jc w:val="center"/>
        <w:tblLook w:val="04A0" w:firstRow="1" w:lastRow="0" w:firstColumn="1" w:lastColumn="0" w:noHBand="0" w:noVBand="1"/>
      </w:tblPr>
      <w:tblGrid>
        <w:gridCol w:w="2881"/>
        <w:gridCol w:w="2189"/>
        <w:gridCol w:w="2409"/>
      </w:tblGrid>
      <w:tr w:rsidR="009D07F3" w:rsidRPr="007B5662" w14:paraId="3C9C36FE" w14:textId="77777777" w:rsidTr="005B1191">
        <w:trPr>
          <w:jc w:val="center"/>
        </w:trPr>
        <w:tc>
          <w:tcPr>
            <w:tcW w:w="2881" w:type="dxa"/>
          </w:tcPr>
          <w:p w14:paraId="5CABFC91" w14:textId="77777777" w:rsidR="009D07F3" w:rsidRPr="007B5662" w:rsidRDefault="009D07F3" w:rsidP="005B1191">
            <w:pPr>
              <w:jc w:val="both"/>
              <w:rPr>
                <w:rFonts w:ascii="Arial" w:eastAsia="Calibri" w:hAnsi="Arial" w:cs="Arial"/>
                <w:sz w:val="18"/>
                <w:szCs w:val="18"/>
              </w:rPr>
            </w:pPr>
          </w:p>
        </w:tc>
        <w:tc>
          <w:tcPr>
            <w:tcW w:w="2189" w:type="dxa"/>
          </w:tcPr>
          <w:p w14:paraId="4D0534BF" w14:textId="77777777" w:rsidR="009D07F3" w:rsidRPr="007B5662" w:rsidRDefault="009D07F3" w:rsidP="005B1191">
            <w:pPr>
              <w:jc w:val="center"/>
              <w:rPr>
                <w:rFonts w:ascii="Arial" w:eastAsia="Calibri" w:hAnsi="Arial" w:cs="Arial"/>
                <w:b/>
                <w:sz w:val="18"/>
                <w:szCs w:val="18"/>
              </w:rPr>
            </w:pPr>
            <w:r w:rsidRPr="007B5662">
              <w:rPr>
                <w:rFonts w:ascii="Arial" w:eastAsia="Calibri" w:hAnsi="Arial" w:cs="Arial"/>
                <w:b/>
                <w:sz w:val="18"/>
                <w:szCs w:val="18"/>
              </w:rPr>
              <w:t>31/12/2019</w:t>
            </w:r>
          </w:p>
        </w:tc>
        <w:tc>
          <w:tcPr>
            <w:tcW w:w="2409" w:type="dxa"/>
          </w:tcPr>
          <w:p w14:paraId="5BC556B5" w14:textId="77777777" w:rsidR="009D07F3" w:rsidRPr="007B5662" w:rsidRDefault="009D07F3" w:rsidP="005B1191">
            <w:pPr>
              <w:jc w:val="center"/>
              <w:rPr>
                <w:rFonts w:ascii="Arial" w:eastAsia="Calibri" w:hAnsi="Arial" w:cs="Arial"/>
                <w:b/>
                <w:sz w:val="18"/>
                <w:szCs w:val="18"/>
              </w:rPr>
            </w:pPr>
            <w:r w:rsidRPr="007B5662">
              <w:rPr>
                <w:rFonts w:ascii="Arial" w:eastAsia="Calibri" w:hAnsi="Arial" w:cs="Arial"/>
                <w:b/>
                <w:sz w:val="18"/>
                <w:szCs w:val="18"/>
              </w:rPr>
              <w:t>31/12/2018</w:t>
            </w:r>
          </w:p>
        </w:tc>
      </w:tr>
      <w:tr w:rsidR="009D07F3" w:rsidRPr="007B5662" w14:paraId="40351ED7" w14:textId="77777777" w:rsidTr="005B1191">
        <w:trPr>
          <w:jc w:val="center"/>
        </w:trPr>
        <w:tc>
          <w:tcPr>
            <w:tcW w:w="2881" w:type="dxa"/>
          </w:tcPr>
          <w:p w14:paraId="4FF694ED" w14:textId="77777777" w:rsidR="009D07F3" w:rsidRPr="007B5662" w:rsidRDefault="009D07F3" w:rsidP="005B1191">
            <w:pPr>
              <w:jc w:val="both"/>
              <w:rPr>
                <w:rFonts w:ascii="Arial" w:eastAsia="Calibri" w:hAnsi="Arial" w:cs="Arial"/>
                <w:sz w:val="18"/>
                <w:szCs w:val="18"/>
              </w:rPr>
            </w:pPr>
            <w:r w:rsidRPr="007B5662">
              <w:rPr>
                <w:rFonts w:ascii="Arial" w:eastAsia="Calibri" w:hAnsi="Arial" w:cs="Arial"/>
                <w:sz w:val="18"/>
                <w:szCs w:val="18"/>
              </w:rPr>
              <w:t>Activo</w:t>
            </w:r>
          </w:p>
        </w:tc>
        <w:tc>
          <w:tcPr>
            <w:tcW w:w="2189" w:type="dxa"/>
          </w:tcPr>
          <w:p w14:paraId="41BC1C18" w14:textId="77777777" w:rsidR="009D07F3" w:rsidRPr="007B5662" w:rsidRDefault="009D07F3" w:rsidP="005B1191">
            <w:pPr>
              <w:jc w:val="right"/>
              <w:rPr>
                <w:rFonts w:ascii="Arial" w:hAnsi="Arial" w:cs="Arial"/>
                <w:bCs/>
                <w:sz w:val="18"/>
                <w:szCs w:val="18"/>
                <w:lang w:eastAsia="es-AR"/>
              </w:rPr>
            </w:pPr>
            <w:r w:rsidRPr="007B5662">
              <w:rPr>
                <w:rFonts w:ascii="Arial" w:hAnsi="Arial" w:cs="Arial"/>
                <w:bCs/>
                <w:sz w:val="18"/>
                <w:szCs w:val="18"/>
              </w:rPr>
              <w:t>443.484</w:t>
            </w:r>
          </w:p>
        </w:tc>
        <w:tc>
          <w:tcPr>
            <w:tcW w:w="2409" w:type="dxa"/>
          </w:tcPr>
          <w:p w14:paraId="688E8FF2" w14:textId="77777777" w:rsidR="009D07F3" w:rsidRPr="007B5662" w:rsidRDefault="009D07F3" w:rsidP="005B1191">
            <w:pPr>
              <w:jc w:val="right"/>
              <w:rPr>
                <w:rFonts w:ascii="Arial" w:hAnsi="Arial" w:cs="Arial"/>
                <w:bCs/>
                <w:sz w:val="18"/>
                <w:szCs w:val="18"/>
              </w:rPr>
            </w:pPr>
            <w:r w:rsidRPr="007B5662">
              <w:rPr>
                <w:rFonts w:ascii="Arial" w:hAnsi="Arial" w:cs="Arial"/>
                <w:bCs/>
                <w:sz w:val="18"/>
                <w:szCs w:val="18"/>
              </w:rPr>
              <w:t>495.203</w:t>
            </w:r>
          </w:p>
        </w:tc>
      </w:tr>
      <w:tr w:rsidR="009D07F3" w:rsidRPr="007B5662" w14:paraId="5422CCA2" w14:textId="77777777" w:rsidTr="005B1191">
        <w:trPr>
          <w:jc w:val="center"/>
        </w:trPr>
        <w:tc>
          <w:tcPr>
            <w:tcW w:w="2881" w:type="dxa"/>
          </w:tcPr>
          <w:p w14:paraId="50ECF579" w14:textId="77777777" w:rsidR="009D07F3" w:rsidRPr="007B5662" w:rsidRDefault="009D07F3" w:rsidP="005B1191">
            <w:pPr>
              <w:jc w:val="both"/>
              <w:rPr>
                <w:rFonts w:ascii="Arial" w:eastAsia="Calibri" w:hAnsi="Arial" w:cs="Arial"/>
                <w:sz w:val="18"/>
                <w:szCs w:val="18"/>
              </w:rPr>
            </w:pPr>
            <w:r w:rsidRPr="007B5662">
              <w:rPr>
                <w:rFonts w:ascii="Arial" w:eastAsia="Calibri" w:hAnsi="Arial" w:cs="Arial"/>
                <w:sz w:val="18"/>
                <w:szCs w:val="18"/>
              </w:rPr>
              <w:t>Pasivo</w:t>
            </w:r>
          </w:p>
        </w:tc>
        <w:tc>
          <w:tcPr>
            <w:tcW w:w="2189" w:type="dxa"/>
          </w:tcPr>
          <w:p w14:paraId="2D91F4DB" w14:textId="77777777" w:rsidR="009D07F3" w:rsidRPr="007B5662" w:rsidRDefault="009D07F3" w:rsidP="005B1191">
            <w:pPr>
              <w:jc w:val="right"/>
              <w:rPr>
                <w:rFonts w:ascii="Arial" w:hAnsi="Arial" w:cs="Arial"/>
                <w:bCs/>
                <w:sz w:val="18"/>
                <w:szCs w:val="18"/>
                <w:lang w:eastAsia="es-AR"/>
              </w:rPr>
            </w:pPr>
            <w:r w:rsidRPr="007B5662">
              <w:rPr>
                <w:rFonts w:ascii="Arial" w:hAnsi="Arial" w:cs="Arial"/>
                <w:bCs/>
                <w:sz w:val="18"/>
                <w:szCs w:val="18"/>
              </w:rPr>
              <w:t>108.654</w:t>
            </w:r>
          </w:p>
        </w:tc>
        <w:tc>
          <w:tcPr>
            <w:tcW w:w="2409" w:type="dxa"/>
          </w:tcPr>
          <w:p w14:paraId="536B3D7D" w14:textId="77777777" w:rsidR="009D07F3" w:rsidRPr="007B5662" w:rsidRDefault="009D07F3" w:rsidP="005B1191">
            <w:pPr>
              <w:jc w:val="right"/>
              <w:rPr>
                <w:rFonts w:ascii="Arial" w:hAnsi="Arial" w:cs="Arial"/>
                <w:bCs/>
                <w:sz w:val="18"/>
                <w:szCs w:val="18"/>
              </w:rPr>
            </w:pPr>
            <w:r w:rsidRPr="007B5662">
              <w:rPr>
                <w:rFonts w:ascii="Arial" w:hAnsi="Arial" w:cs="Arial"/>
                <w:bCs/>
                <w:sz w:val="18"/>
                <w:szCs w:val="18"/>
              </w:rPr>
              <w:t>104.740</w:t>
            </w:r>
          </w:p>
        </w:tc>
      </w:tr>
      <w:tr w:rsidR="009D07F3" w:rsidRPr="007B5662" w14:paraId="2BDEE7CC" w14:textId="77777777" w:rsidTr="005B1191">
        <w:trPr>
          <w:jc w:val="center"/>
        </w:trPr>
        <w:tc>
          <w:tcPr>
            <w:tcW w:w="2881" w:type="dxa"/>
          </w:tcPr>
          <w:p w14:paraId="56115617" w14:textId="77777777" w:rsidR="009D07F3" w:rsidRPr="007B5662" w:rsidRDefault="009D07F3" w:rsidP="005B1191">
            <w:pPr>
              <w:jc w:val="both"/>
              <w:rPr>
                <w:rFonts w:ascii="Arial" w:eastAsia="Calibri" w:hAnsi="Arial" w:cs="Arial"/>
                <w:sz w:val="18"/>
                <w:szCs w:val="18"/>
              </w:rPr>
            </w:pPr>
            <w:r w:rsidRPr="007B5662">
              <w:rPr>
                <w:rFonts w:ascii="Arial" w:eastAsia="Calibri" w:hAnsi="Arial" w:cs="Arial"/>
                <w:sz w:val="18"/>
                <w:szCs w:val="18"/>
              </w:rPr>
              <w:t>Patrimonio Neto</w:t>
            </w:r>
          </w:p>
        </w:tc>
        <w:tc>
          <w:tcPr>
            <w:tcW w:w="2189" w:type="dxa"/>
          </w:tcPr>
          <w:p w14:paraId="72209821" w14:textId="77777777" w:rsidR="009D07F3" w:rsidRPr="007B5662" w:rsidRDefault="009D07F3" w:rsidP="005B1191">
            <w:pPr>
              <w:jc w:val="right"/>
              <w:rPr>
                <w:rFonts w:ascii="Arial" w:hAnsi="Arial" w:cs="Arial"/>
                <w:bCs/>
                <w:sz w:val="18"/>
                <w:szCs w:val="18"/>
                <w:lang w:eastAsia="es-AR"/>
              </w:rPr>
            </w:pPr>
            <w:r w:rsidRPr="007B5662">
              <w:rPr>
                <w:rFonts w:ascii="Arial" w:hAnsi="Arial" w:cs="Arial"/>
                <w:bCs/>
                <w:sz w:val="18"/>
                <w:szCs w:val="18"/>
              </w:rPr>
              <w:t>334.830</w:t>
            </w:r>
          </w:p>
        </w:tc>
        <w:tc>
          <w:tcPr>
            <w:tcW w:w="2409" w:type="dxa"/>
          </w:tcPr>
          <w:p w14:paraId="677919C7" w14:textId="77777777" w:rsidR="009D07F3" w:rsidRPr="007B5662" w:rsidRDefault="009D07F3" w:rsidP="005B1191">
            <w:pPr>
              <w:jc w:val="right"/>
              <w:rPr>
                <w:rFonts w:ascii="Arial" w:hAnsi="Arial" w:cs="Arial"/>
                <w:bCs/>
                <w:sz w:val="18"/>
                <w:szCs w:val="18"/>
              </w:rPr>
            </w:pPr>
            <w:r w:rsidRPr="007B5662">
              <w:rPr>
                <w:rFonts w:ascii="Arial" w:hAnsi="Arial" w:cs="Arial"/>
                <w:bCs/>
                <w:sz w:val="18"/>
                <w:szCs w:val="18"/>
              </w:rPr>
              <w:t>390.463</w:t>
            </w:r>
          </w:p>
        </w:tc>
      </w:tr>
      <w:tr w:rsidR="009D07F3" w:rsidRPr="007B5662" w14:paraId="5256C3DB" w14:textId="77777777" w:rsidTr="005B1191">
        <w:trPr>
          <w:jc w:val="center"/>
        </w:trPr>
        <w:tc>
          <w:tcPr>
            <w:tcW w:w="2881" w:type="dxa"/>
          </w:tcPr>
          <w:p w14:paraId="216F444B" w14:textId="77777777" w:rsidR="009D07F3" w:rsidRPr="007B5662" w:rsidRDefault="009D07F3" w:rsidP="005B1191">
            <w:pPr>
              <w:jc w:val="both"/>
              <w:rPr>
                <w:rFonts w:ascii="Arial" w:eastAsia="Calibri" w:hAnsi="Arial" w:cs="Arial"/>
                <w:sz w:val="18"/>
                <w:szCs w:val="18"/>
              </w:rPr>
            </w:pPr>
            <w:r w:rsidRPr="007B5662">
              <w:rPr>
                <w:rFonts w:ascii="Arial" w:eastAsia="Calibri" w:hAnsi="Arial" w:cs="Arial"/>
                <w:sz w:val="18"/>
                <w:szCs w:val="18"/>
              </w:rPr>
              <w:t>Resultado</w:t>
            </w:r>
          </w:p>
        </w:tc>
        <w:tc>
          <w:tcPr>
            <w:tcW w:w="2189" w:type="dxa"/>
          </w:tcPr>
          <w:p w14:paraId="449BBA27" w14:textId="77777777" w:rsidR="009D07F3" w:rsidRPr="007B5662" w:rsidRDefault="009D07F3" w:rsidP="005B1191">
            <w:pPr>
              <w:jc w:val="right"/>
              <w:rPr>
                <w:rFonts w:ascii="Arial" w:hAnsi="Arial" w:cs="Arial"/>
                <w:bCs/>
                <w:sz w:val="18"/>
                <w:szCs w:val="18"/>
                <w:lang w:eastAsia="es-AR"/>
              </w:rPr>
            </w:pPr>
            <w:r w:rsidRPr="007B5662">
              <w:rPr>
                <w:rFonts w:ascii="Arial" w:hAnsi="Arial" w:cs="Arial"/>
                <w:bCs/>
                <w:sz w:val="18"/>
                <w:szCs w:val="18"/>
              </w:rPr>
              <w:t>-55.635</w:t>
            </w:r>
          </w:p>
        </w:tc>
        <w:tc>
          <w:tcPr>
            <w:tcW w:w="2409" w:type="dxa"/>
          </w:tcPr>
          <w:p w14:paraId="254139E5" w14:textId="77777777" w:rsidR="009D07F3" w:rsidRPr="007B5662" w:rsidRDefault="009D07F3" w:rsidP="005B1191">
            <w:pPr>
              <w:jc w:val="right"/>
              <w:rPr>
                <w:rFonts w:ascii="Arial" w:hAnsi="Arial" w:cs="Arial"/>
                <w:bCs/>
                <w:sz w:val="18"/>
                <w:szCs w:val="18"/>
              </w:rPr>
            </w:pPr>
            <w:r w:rsidRPr="007B5662">
              <w:rPr>
                <w:rFonts w:ascii="Arial" w:hAnsi="Arial" w:cs="Arial"/>
                <w:bCs/>
                <w:sz w:val="18"/>
                <w:szCs w:val="18"/>
              </w:rPr>
              <w:t>-90.911</w:t>
            </w:r>
          </w:p>
        </w:tc>
      </w:tr>
    </w:tbl>
    <w:p w14:paraId="6B6A87D0" w14:textId="77777777" w:rsidR="001C1547" w:rsidRPr="00701F32" w:rsidRDefault="001C1547" w:rsidP="00C6108C">
      <w:pPr>
        <w:jc w:val="both"/>
        <w:rPr>
          <w:rFonts w:ascii="Arial" w:eastAsia="Calibri" w:hAnsi="Arial" w:cs="Arial"/>
          <w:sz w:val="20"/>
        </w:rPr>
      </w:pPr>
    </w:p>
    <w:p w14:paraId="1A92A2DD" w14:textId="10747859" w:rsidR="00A06BE9" w:rsidRPr="00701F32" w:rsidRDefault="00A06BE9" w:rsidP="00A06BE9">
      <w:pPr>
        <w:tabs>
          <w:tab w:val="left" w:pos="142"/>
        </w:tabs>
        <w:spacing w:after="200" w:line="276" w:lineRule="auto"/>
        <w:contextualSpacing/>
        <w:jc w:val="both"/>
        <w:rPr>
          <w:rFonts w:ascii="Arial" w:eastAsia="Calibri" w:hAnsi="Arial" w:cs="Arial"/>
          <w:bCs/>
          <w:sz w:val="20"/>
          <w:lang w:eastAsia="es-AR"/>
        </w:rPr>
      </w:pPr>
      <w:r w:rsidRPr="00701F32">
        <w:rPr>
          <w:rFonts w:ascii="Arial" w:eastAsia="Calibri" w:hAnsi="Arial" w:cs="Arial"/>
          <w:sz w:val="20"/>
          <w:u w:val="single"/>
          <w:lang w:eastAsia="es-AR"/>
        </w:rPr>
        <w:t>Sociedades vinculadas</w:t>
      </w:r>
    </w:p>
    <w:p w14:paraId="067EA70B" w14:textId="77777777" w:rsidR="00A06BE9" w:rsidRPr="00701F32" w:rsidRDefault="00A06BE9" w:rsidP="00A06BE9">
      <w:pPr>
        <w:tabs>
          <w:tab w:val="left" w:pos="142"/>
        </w:tabs>
        <w:spacing w:after="200" w:line="276" w:lineRule="auto"/>
        <w:contextualSpacing/>
        <w:jc w:val="both"/>
        <w:rPr>
          <w:rFonts w:ascii="Arial" w:eastAsia="Calibri" w:hAnsi="Arial" w:cs="Arial"/>
          <w:bCs/>
          <w:sz w:val="20"/>
          <w:lang w:eastAsia="es-AR"/>
        </w:rPr>
      </w:pPr>
    </w:p>
    <w:p w14:paraId="43DB11A9" w14:textId="7894C1AA" w:rsidR="00A06BE9" w:rsidRPr="00701F32" w:rsidRDefault="00A06BE9" w:rsidP="00A06BE9">
      <w:pPr>
        <w:tabs>
          <w:tab w:val="left" w:pos="142"/>
        </w:tabs>
        <w:spacing w:after="160" w:line="259" w:lineRule="auto"/>
        <w:jc w:val="both"/>
        <w:rPr>
          <w:rFonts w:ascii="Arial" w:eastAsia="Calibri" w:hAnsi="Arial" w:cs="Arial"/>
          <w:sz w:val="20"/>
        </w:rPr>
      </w:pPr>
      <w:r w:rsidRPr="00701F32">
        <w:rPr>
          <w:rFonts w:ascii="Arial" w:eastAsia="Calibri" w:hAnsi="Arial" w:cs="Arial"/>
          <w:sz w:val="20"/>
        </w:rPr>
        <w:t>Banco Supervielle S.A. está vinculado a Sofital S.A.F.e I.I. Al 3</w:t>
      </w:r>
      <w:r w:rsidR="00543EF5">
        <w:rPr>
          <w:rFonts w:ascii="Arial" w:eastAsia="Calibri" w:hAnsi="Arial" w:cs="Arial"/>
          <w:sz w:val="20"/>
        </w:rPr>
        <w:t>1</w:t>
      </w:r>
      <w:r w:rsidRPr="00701F32">
        <w:rPr>
          <w:rFonts w:ascii="Arial" w:eastAsia="Calibri" w:hAnsi="Arial" w:cs="Arial"/>
          <w:sz w:val="20"/>
        </w:rPr>
        <w:t xml:space="preserve"> de </w:t>
      </w:r>
      <w:r w:rsidR="00543EF5">
        <w:rPr>
          <w:rFonts w:ascii="Arial" w:eastAsia="Calibri" w:hAnsi="Arial" w:cs="Arial"/>
          <w:sz w:val="20"/>
        </w:rPr>
        <w:t>diciembre</w:t>
      </w:r>
      <w:r w:rsidRPr="00701F32">
        <w:rPr>
          <w:rFonts w:ascii="Arial" w:eastAsia="Calibri" w:hAnsi="Arial" w:cs="Arial"/>
          <w:sz w:val="20"/>
        </w:rPr>
        <w:t xml:space="preserve"> de 201</w:t>
      </w:r>
      <w:r w:rsidR="00910C22">
        <w:rPr>
          <w:rFonts w:ascii="Arial" w:eastAsia="Calibri" w:hAnsi="Arial" w:cs="Arial"/>
          <w:sz w:val="20"/>
        </w:rPr>
        <w:t>9</w:t>
      </w:r>
      <w:r w:rsidRPr="00701F32">
        <w:rPr>
          <w:rFonts w:ascii="Arial" w:eastAsia="Calibri" w:hAnsi="Arial" w:cs="Arial"/>
          <w:sz w:val="20"/>
        </w:rPr>
        <w:t xml:space="preserve"> la participación accionaria de Sofital S.A.F.e I.I. en Banco Supervielle S.A. representa el </w:t>
      </w:r>
      <w:r w:rsidR="00910C22">
        <w:rPr>
          <w:rFonts w:ascii="Arial" w:eastAsia="Calibri" w:hAnsi="Arial" w:cs="Arial"/>
          <w:sz w:val="20"/>
        </w:rPr>
        <w:t>2</w:t>
      </w:r>
      <w:r w:rsidRPr="00701F32">
        <w:rPr>
          <w:rFonts w:ascii="Arial" w:eastAsia="Calibri" w:hAnsi="Arial" w:cs="Arial"/>
          <w:sz w:val="20"/>
        </w:rPr>
        <w:t>,</w:t>
      </w:r>
      <w:r w:rsidR="00CB0A40">
        <w:rPr>
          <w:rFonts w:ascii="Arial" w:eastAsia="Calibri" w:hAnsi="Arial" w:cs="Arial"/>
          <w:sz w:val="20"/>
        </w:rPr>
        <w:t>79</w:t>
      </w:r>
      <w:r w:rsidRPr="00701F32">
        <w:rPr>
          <w:rFonts w:ascii="Arial" w:eastAsia="Calibri" w:hAnsi="Arial" w:cs="Arial"/>
          <w:sz w:val="20"/>
        </w:rPr>
        <w:t xml:space="preserve">% del capital social y el </w:t>
      </w:r>
      <w:r w:rsidR="00910C22">
        <w:rPr>
          <w:rFonts w:ascii="Arial" w:eastAsia="Calibri" w:hAnsi="Arial" w:cs="Arial"/>
          <w:sz w:val="20"/>
        </w:rPr>
        <w:t>2</w:t>
      </w:r>
      <w:r w:rsidRPr="00701F32">
        <w:rPr>
          <w:rFonts w:ascii="Arial" w:eastAsia="Calibri" w:hAnsi="Arial" w:cs="Arial"/>
          <w:sz w:val="20"/>
        </w:rPr>
        <w:t>,</w:t>
      </w:r>
      <w:r w:rsidR="00910C22">
        <w:rPr>
          <w:rFonts w:ascii="Arial" w:eastAsia="Calibri" w:hAnsi="Arial" w:cs="Arial"/>
          <w:sz w:val="20"/>
        </w:rPr>
        <w:t>8</w:t>
      </w:r>
      <w:r w:rsidR="00CB0A40">
        <w:rPr>
          <w:rFonts w:ascii="Arial" w:eastAsia="Calibri" w:hAnsi="Arial" w:cs="Arial"/>
          <w:sz w:val="20"/>
        </w:rPr>
        <w:t>1</w:t>
      </w:r>
      <w:r w:rsidRPr="00701F32">
        <w:rPr>
          <w:rFonts w:ascii="Arial" w:eastAsia="Calibri" w:hAnsi="Arial" w:cs="Arial"/>
          <w:sz w:val="20"/>
        </w:rPr>
        <w:t>% de los votos</w:t>
      </w:r>
      <w:r w:rsidR="002309A7" w:rsidRPr="00701F32">
        <w:rPr>
          <w:rFonts w:ascii="Arial" w:eastAsia="Calibri" w:hAnsi="Arial" w:cs="Arial"/>
          <w:sz w:val="20"/>
        </w:rPr>
        <w:t>. A</w:t>
      </w:r>
      <w:r w:rsidRPr="00701F32">
        <w:rPr>
          <w:rFonts w:ascii="Arial" w:eastAsia="Calibri" w:hAnsi="Arial" w:cs="Arial"/>
          <w:sz w:val="20"/>
        </w:rPr>
        <w:t>l 31 de diciembre de 201</w:t>
      </w:r>
      <w:r w:rsidR="00910C22">
        <w:rPr>
          <w:rFonts w:ascii="Arial" w:eastAsia="Calibri" w:hAnsi="Arial" w:cs="Arial"/>
          <w:sz w:val="20"/>
        </w:rPr>
        <w:t>8</w:t>
      </w:r>
      <w:r w:rsidRPr="00701F32">
        <w:rPr>
          <w:rFonts w:ascii="Arial" w:eastAsia="Calibri" w:hAnsi="Arial" w:cs="Arial"/>
          <w:sz w:val="20"/>
        </w:rPr>
        <w:t xml:space="preserve"> representaba el 3,11% del capital social y el 3,1</w:t>
      </w:r>
      <w:r w:rsidR="00910C22">
        <w:rPr>
          <w:rFonts w:ascii="Arial" w:eastAsia="Calibri" w:hAnsi="Arial" w:cs="Arial"/>
          <w:sz w:val="20"/>
        </w:rPr>
        <w:t>3</w:t>
      </w:r>
      <w:r w:rsidRPr="00701F32">
        <w:rPr>
          <w:rFonts w:ascii="Arial" w:eastAsia="Calibri" w:hAnsi="Arial" w:cs="Arial"/>
          <w:sz w:val="20"/>
        </w:rPr>
        <w:t>% de los votos</w:t>
      </w:r>
      <w:r w:rsidR="00910C22">
        <w:rPr>
          <w:rFonts w:ascii="Arial" w:eastAsia="Calibri" w:hAnsi="Arial" w:cs="Arial"/>
          <w:sz w:val="20"/>
        </w:rPr>
        <w:t>.</w:t>
      </w:r>
    </w:p>
    <w:p w14:paraId="464150DE" w14:textId="53559E67" w:rsidR="00A06BE9" w:rsidRPr="00701F32" w:rsidRDefault="00A06BE9" w:rsidP="00A06BE9">
      <w:pPr>
        <w:tabs>
          <w:tab w:val="left" w:pos="142"/>
        </w:tabs>
        <w:spacing w:after="160" w:line="259" w:lineRule="auto"/>
        <w:jc w:val="both"/>
        <w:rPr>
          <w:rFonts w:ascii="Arial" w:eastAsia="Calibri" w:hAnsi="Arial" w:cs="Arial"/>
          <w:sz w:val="20"/>
        </w:rPr>
      </w:pPr>
      <w:r w:rsidRPr="00701F32">
        <w:rPr>
          <w:rFonts w:ascii="Arial" w:eastAsia="Calibri" w:hAnsi="Arial" w:cs="Arial"/>
          <w:sz w:val="20"/>
        </w:rPr>
        <w:t>La Entidad se encuentra vinculada a las empresas Supervielle Asset Management S.A., Espacio Cordial de Servicios S.A.</w:t>
      </w:r>
      <w:r w:rsidR="00631036" w:rsidRPr="00701F32">
        <w:rPr>
          <w:rFonts w:ascii="Arial" w:eastAsia="Calibri" w:hAnsi="Arial" w:cs="Arial"/>
          <w:sz w:val="20"/>
        </w:rPr>
        <w:t>,</w:t>
      </w:r>
      <w:r w:rsidRPr="00701F32">
        <w:rPr>
          <w:rFonts w:ascii="Arial" w:eastAsia="Calibri" w:hAnsi="Arial" w:cs="Arial"/>
          <w:sz w:val="20"/>
        </w:rPr>
        <w:t xml:space="preserve"> Supervielle Seguros S.A.</w:t>
      </w:r>
      <w:r w:rsidR="00805B59" w:rsidRPr="00701F32">
        <w:rPr>
          <w:rFonts w:ascii="Arial" w:eastAsia="Calibri" w:hAnsi="Arial" w:cs="Arial"/>
          <w:sz w:val="20"/>
        </w:rPr>
        <w:t>,</w:t>
      </w:r>
      <w:r w:rsidR="00631036" w:rsidRPr="00701F32">
        <w:rPr>
          <w:rFonts w:ascii="Arial" w:eastAsia="Calibri" w:hAnsi="Arial" w:cs="Arial"/>
          <w:sz w:val="20"/>
        </w:rPr>
        <w:t xml:space="preserve"> Invertir OnLine S.A.</w:t>
      </w:r>
      <w:r w:rsidR="00E462C7">
        <w:rPr>
          <w:rFonts w:ascii="Arial" w:eastAsia="Calibri" w:hAnsi="Arial" w:cs="Arial"/>
          <w:sz w:val="20"/>
        </w:rPr>
        <w:t>U.</w:t>
      </w:r>
      <w:r w:rsidR="00805B59" w:rsidRPr="00701F32">
        <w:rPr>
          <w:rFonts w:ascii="Arial" w:eastAsia="Calibri" w:hAnsi="Arial" w:cs="Arial"/>
          <w:sz w:val="20"/>
        </w:rPr>
        <w:t>, InvertirOnline.Com Argentina S.A.</w:t>
      </w:r>
      <w:r w:rsidR="003638C3">
        <w:rPr>
          <w:rFonts w:ascii="Arial" w:eastAsia="Calibri" w:hAnsi="Arial" w:cs="Arial"/>
          <w:sz w:val="20"/>
        </w:rPr>
        <w:t>U.</w:t>
      </w:r>
      <w:r w:rsidR="00805B59" w:rsidRPr="00701F32">
        <w:rPr>
          <w:rFonts w:ascii="Arial" w:eastAsia="Calibri" w:hAnsi="Arial" w:cs="Arial"/>
          <w:sz w:val="20"/>
        </w:rPr>
        <w:t xml:space="preserve"> y Micro Lending S.A.</w:t>
      </w:r>
      <w:r w:rsidR="00E462C7">
        <w:rPr>
          <w:rFonts w:ascii="Arial" w:eastAsia="Calibri" w:hAnsi="Arial" w:cs="Arial"/>
          <w:sz w:val="20"/>
        </w:rPr>
        <w:t>U.</w:t>
      </w:r>
      <w:r w:rsidR="00631036" w:rsidRPr="00701F32">
        <w:rPr>
          <w:rFonts w:ascii="Arial" w:eastAsia="Calibri" w:hAnsi="Arial" w:cs="Arial"/>
          <w:sz w:val="20"/>
        </w:rPr>
        <w:t xml:space="preserve"> </w:t>
      </w:r>
      <w:r w:rsidRPr="00701F32">
        <w:rPr>
          <w:rFonts w:ascii="Arial" w:eastAsia="Calibri" w:hAnsi="Arial" w:cs="Arial"/>
          <w:sz w:val="20"/>
        </w:rPr>
        <w:t>por ser sociedades controladas por Grupo Supervielle S.A.</w:t>
      </w:r>
    </w:p>
    <w:p w14:paraId="06F1EBA8" w14:textId="77777777" w:rsidR="00107CA1" w:rsidRPr="006E1AF7" w:rsidRDefault="00107CA1" w:rsidP="00107CA1">
      <w:pPr>
        <w:pStyle w:val="Textoindependiente2"/>
        <w:rPr>
          <w:rFonts w:ascii="Arial" w:eastAsia="Calibri" w:hAnsi="Arial" w:cs="Arial"/>
          <w:b w:val="0"/>
          <w:sz w:val="20"/>
          <w:u w:val="single"/>
          <w:lang w:val="es-AR"/>
        </w:rPr>
      </w:pPr>
      <w:r w:rsidRPr="006E1AF7">
        <w:rPr>
          <w:rFonts w:ascii="Arial" w:eastAsia="Calibri" w:hAnsi="Arial" w:cs="Arial"/>
          <w:b w:val="0"/>
          <w:sz w:val="20"/>
          <w:u w:val="single"/>
          <w:lang w:val="es-AR"/>
        </w:rPr>
        <w:t>Remuneración del personal clave</w:t>
      </w:r>
    </w:p>
    <w:p w14:paraId="09EA352C" w14:textId="77777777" w:rsidR="00107CA1" w:rsidRPr="006E1AF7" w:rsidRDefault="00107CA1" w:rsidP="00107CA1">
      <w:pPr>
        <w:pStyle w:val="Textoindependiente2"/>
        <w:rPr>
          <w:rFonts w:ascii="Arial" w:eastAsia="Calibri" w:hAnsi="Arial" w:cs="Arial"/>
          <w:b w:val="0"/>
          <w:sz w:val="20"/>
          <w:lang w:val="es-AR"/>
        </w:rPr>
      </w:pPr>
    </w:p>
    <w:p w14:paraId="790681BE" w14:textId="22D5B482" w:rsidR="00107CA1" w:rsidRPr="006E1AF7" w:rsidRDefault="00107CA1" w:rsidP="006E1AF7">
      <w:pPr>
        <w:pStyle w:val="Textoindependiente2"/>
        <w:jc w:val="both"/>
        <w:rPr>
          <w:rFonts w:ascii="Arial" w:eastAsia="Calibri" w:hAnsi="Arial" w:cs="Arial"/>
          <w:b w:val="0"/>
          <w:sz w:val="20"/>
          <w:lang w:val="es-AR"/>
        </w:rPr>
      </w:pPr>
      <w:r w:rsidRPr="006E1AF7">
        <w:rPr>
          <w:rFonts w:ascii="Arial" w:eastAsia="Calibri" w:hAnsi="Arial" w:cs="Arial"/>
          <w:b w:val="0"/>
          <w:sz w:val="20"/>
          <w:lang w:val="es-AR"/>
        </w:rPr>
        <w:t>Las retribuciones percibidas por el personal clave del</w:t>
      </w:r>
      <w:r>
        <w:rPr>
          <w:rFonts w:ascii="Arial" w:eastAsia="Calibri" w:hAnsi="Arial" w:cs="Arial"/>
          <w:b w:val="0"/>
          <w:sz w:val="20"/>
          <w:lang w:val="es-AR"/>
        </w:rPr>
        <w:t xml:space="preserve"> Banco</w:t>
      </w:r>
      <w:r w:rsidRPr="006E1AF7">
        <w:rPr>
          <w:rFonts w:ascii="Arial" w:eastAsia="Calibri" w:hAnsi="Arial" w:cs="Arial"/>
          <w:b w:val="0"/>
          <w:sz w:val="20"/>
          <w:lang w:val="es-AR"/>
        </w:rPr>
        <w:t xml:space="preserve"> al 31 de diciembre de 2019 asciende</w:t>
      </w:r>
      <w:r w:rsidR="008E7CC6">
        <w:rPr>
          <w:rFonts w:ascii="Arial" w:eastAsia="Calibri" w:hAnsi="Arial" w:cs="Arial"/>
          <w:b w:val="0"/>
          <w:sz w:val="20"/>
          <w:lang w:val="es-AR"/>
        </w:rPr>
        <w:t>n</w:t>
      </w:r>
      <w:r w:rsidRPr="006E1AF7">
        <w:rPr>
          <w:rFonts w:ascii="Arial" w:eastAsia="Calibri" w:hAnsi="Arial" w:cs="Arial"/>
          <w:b w:val="0"/>
          <w:sz w:val="20"/>
          <w:lang w:val="es-AR"/>
        </w:rPr>
        <w:t xml:space="preserve"> a </w:t>
      </w:r>
      <w:r w:rsidR="008E7CC6">
        <w:rPr>
          <w:rFonts w:ascii="Arial" w:eastAsia="Calibri" w:hAnsi="Arial" w:cs="Arial"/>
          <w:b w:val="0"/>
          <w:sz w:val="20"/>
          <w:lang w:val="es-AR"/>
        </w:rPr>
        <w:t xml:space="preserve">$ </w:t>
      </w:r>
      <w:r w:rsidR="00A14F94">
        <w:rPr>
          <w:rFonts w:ascii="Arial" w:eastAsia="Calibri" w:hAnsi="Arial" w:cs="Arial"/>
          <w:b w:val="0"/>
          <w:sz w:val="20"/>
          <w:lang w:val="es-AR"/>
        </w:rPr>
        <w:t>505</w:t>
      </w:r>
      <w:r w:rsidRPr="006E1AF7">
        <w:rPr>
          <w:rFonts w:ascii="Arial" w:eastAsia="Calibri" w:hAnsi="Arial" w:cs="Arial"/>
          <w:b w:val="0"/>
          <w:sz w:val="20"/>
          <w:lang w:val="es-AR"/>
        </w:rPr>
        <w:t xml:space="preserve"> millones.</w:t>
      </w:r>
    </w:p>
    <w:p w14:paraId="09AC4F09" w14:textId="77777777" w:rsidR="00107CA1" w:rsidRPr="006E1AF7" w:rsidRDefault="00107CA1" w:rsidP="006E1AF7">
      <w:pPr>
        <w:pStyle w:val="Textoindependiente2"/>
        <w:jc w:val="both"/>
        <w:rPr>
          <w:rFonts w:ascii="Arial" w:eastAsia="Calibri" w:hAnsi="Arial" w:cs="Arial"/>
          <w:b w:val="0"/>
          <w:sz w:val="20"/>
          <w:lang w:val="es-AR"/>
        </w:rPr>
      </w:pPr>
    </w:p>
    <w:p w14:paraId="3260CD3C" w14:textId="77777777" w:rsidR="00107CA1" w:rsidRPr="006E1AF7" w:rsidRDefault="00107CA1" w:rsidP="00107CA1">
      <w:pPr>
        <w:pStyle w:val="Textoindependiente2"/>
        <w:rPr>
          <w:rFonts w:ascii="Arial" w:eastAsia="Calibri" w:hAnsi="Arial" w:cs="Arial"/>
          <w:b w:val="0"/>
          <w:sz w:val="20"/>
          <w:u w:val="single"/>
          <w:lang w:val="es-AR"/>
        </w:rPr>
      </w:pPr>
      <w:r w:rsidRPr="006E1AF7">
        <w:rPr>
          <w:rFonts w:ascii="Arial" w:eastAsia="Calibri" w:hAnsi="Arial" w:cs="Arial"/>
          <w:b w:val="0"/>
          <w:sz w:val="20"/>
          <w:u w:val="single"/>
          <w:lang w:val="es-AR"/>
        </w:rPr>
        <w:t>Transacciones con partes relacionadas</w:t>
      </w:r>
    </w:p>
    <w:p w14:paraId="26A4760D" w14:textId="77777777" w:rsidR="00107CA1" w:rsidRDefault="00107CA1" w:rsidP="00107CA1">
      <w:pPr>
        <w:pStyle w:val="Textoindependiente2"/>
        <w:rPr>
          <w:rFonts w:ascii="Arial" w:eastAsia="Calibri" w:hAnsi="Arial" w:cs="Arial"/>
          <w:b w:val="0"/>
          <w:sz w:val="20"/>
          <w:lang w:val="es-AR"/>
        </w:rPr>
      </w:pPr>
    </w:p>
    <w:p w14:paraId="46AE3CC8" w14:textId="05D5F9F4" w:rsidR="00107CA1" w:rsidRPr="006E1AF7" w:rsidRDefault="00107CA1" w:rsidP="006E1AF7">
      <w:pPr>
        <w:pStyle w:val="Textoindependiente2"/>
        <w:jc w:val="both"/>
        <w:rPr>
          <w:rFonts w:ascii="Arial" w:eastAsia="Calibri" w:hAnsi="Arial" w:cs="Arial"/>
          <w:b w:val="0"/>
          <w:sz w:val="20"/>
          <w:lang w:val="es-AR"/>
        </w:rPr>
      </w:pPr>
      <w:r w:rsidRPr="006E1AF7">
        <w:rPr>
          <w:rFonts w:ascii="Arial" w:eastAsia="Calibri" w:hAnsi="Arial" w:cs="Arial"/>
          <w:b w:val="0"/>
          <w:sz w:val="20"/>
          <w:lang w:val="es-AR"/>
        </w:rPr>
        <w:t xml:space="preserve">El siguiente cuadro muestra el total de asistencia crediticia otorgada por el </w:t>
      </w:r>
      <w:r>
        <w:rPr>
          <w:rFonts w:ascii="Arial" w:eastAsia="Calibri" w:hAnsi="Arial" w:cs="Arial"/>
          <w:b w:val="0"/>
          <w:sz w:val="20"/>
          <w:lang w:val="es-AR"/>
        </w:rPr>
        <w:t>Banco</w:t>
      </w:r>
      <w:r w:rsidRPr="006E1AF7">
        <w:rPr>
          <w:rFonts w:ascii="Arial" w:eastAsia="Calibri" w:hAnsi="Arial" w:cs="Arial"/>
          <w:b w:val="0"/>
          <w:sz w:val="20"/>
          <w:lang w:val="es-AR"/>
        </w:rPr>
        <w:t xml:space="preserve"> al personal clave, síndicos accionistas principales, sus familiares de hasta segundo grado de consanguinidad o primero de afinidad (según la definición de persona física vinculada del BCRA) y cualquier empresa vinculada a cualquiera de los anteriores cuya consolidación no sea reuqerida.</w:t>
      </w:r>
    </w:p>
    <w:p w14:paraId="37F396D4" w14:textId="77777777" w:rsidR="00107CA1" w:rsidRPr="006E1AF7" w:rsidRDefault="00107CA1" w:rsidP="006E1AF7">
      <w:pPr>
        <w:pStyle w:val="Textoindependiente2"/>
        <w:jc w:val="both"/>
        <w:rPr>
          <w:rFonts w:ascii="Arial" w:eastAsia="Calibri" w:hAnsi="Arial" w:cs="Arial"/>
          <w:b w:val="0"/>
          <w:sz w:val="20"/>
          <w:lang w:val="es-AR"/>
        </w:rPr>
      </w:pPr>
    </w:p>
    <w:tbl>
      <w:tblPr>
        <w:tblW w:w="3351" w:type="pct"/>
        <w:jc w:val="center"/>
        <w:tblCellMar>
          <w:left w:w="0" w:type="dxa"/>
          <w:right w:w="0" w:type="dxa"/>
        </w:tblCellMar>
        <w:tblLook w:val="04A0" w:firstRow="1" w:lastRow="0" w:firstColumn="1" w:lastColumn="0" w:noHBand="0" w:noVBand="1"/>
      </w:tblPr>
      <w:tblGrid>
        <w:gridCol w:w="3712"/>
        <w:gridCol w:w="1041"/>
        <w:gridCol w:w="1041"/>
      </w:tblGrid>
      <w:tr w:rsidR="00107CA1" w:rsidRPr="00107CA1" w14:paraId="14916F3C" w14:textId="77777777" w:rsidTr="000966C6">
        <w:trPr>
          <w:trHeight w:val="228"/>
          <w:jc w:val="center"/>
        </w:trPr>
        <w:tc>
          <w:tcPr>
            <w:tcW w:w="3203"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16EE210E" w14:textId="77777777" w:rsidR="00107CA1" w:rsidRPr="006E1AF7" w:rsidRDefault="00107CA1">
            <w:pPr>
              <w:spacing w:before="100" w:beforeAutospacing="1" w:after="100" w:afterAutospacing="1"/>
              <w:rPr>
                <w:rFonts w:ascii="Arial" w:eastAsia="Calibri" w:hAnsi="Arial" w:cs="Arial"/>
                <w:b/>
                <w:sz w:val="18"/>
                <w:szCs w:val="18"/>
              </w:rPr>
            </w:pPr>
          </w:p>
        </w:tc>
        <w:tc>
          <w:tcPr>
            <w:tcW w:w="898" w:type="pc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4876C7FD" w14:textId="77777777" w:rsidR="00107CA1" w:rsidRPr="006E1AF7" w:rsidRDefault="00107CA1">
            <w:pPr>
              <w:spacing w:before="100" w:beforeAutospacing="1" w:after="100" w:afterAutospacing="1"/>
              <w:jc w:val="center"/>
              <w:rPr>
                <w:rFonts w:ascii="Arial" w:eastAsia="Calibri" w:hAnsi="Arial" w:cs="Arial"/>
                <w:b/>
                <w:sz w:val="18"/>
                <w:szCs w:val="18"/>
              </w:rPr>
            </w:pPr>
            <w:r w:rsidRPr="006E1AF7">
              <w:rPr>
                <w:rFonts w:ascii="Arial" w:eastAsia="Calibri" w:hAnsi="Arial" w:cs="Arial"/>
                <w:b/>
                <w:sz w:val="18"/>
                <w:szCs w:val="18"/>
              </w:rPr>
              <w:t>31/12/2019</w:t>
            </w:r>
          </w:p>
        </w:tc>
        <w:tc>
          <w:tcPr>
            <w:tcW w:w="898" w:type="pct"/>
            <w:tcBorders>
              <w:top w:val="single" w:sz="8" w:space="0" w:color="auto"/>
              <w:left w:val="nil"/>
              <w:bottom w:val="single" w:sz="8" w:space="0" w:color="auto"/>
              <w:right w:val="nil"/>
            </w:tcBorders>
            <w:noWrap/>
            <w:tcMar>
              <w:top w:w="0" w:type="dxa"/>
              <w:left w:w="70" w:type="dxa"/>
              <w:bottom w:w="0" w:type="dxa"/>
              <w:right w:w="70" w:type="dxa"/>
            </w:tcMar>
            <w:vAlign w:val="center"/>
            <w:hideMark/>
          </w:tcPr>
          <w:p w14:paraId="0FE30DB4" w14:textId="77777777" w:rsidR="00107CA1" w:rsidRPr="006E1AF7" w:rsidRDefault="00107CA1">
            <w:pPr>
              <w:spacing w:before="100" w:beforeAutospacing="1" w:after="100" w:afterAutospacing="1"/>
              <w:jc w:val="center"/>
              <w:rPr>
                <w:rFonts w:ascii="Arial" w:eastAsia="Calibri" w:hAnsi="Arial" w:cs="Arial"/>
                <w:b/>
                <w:sz w:val="18"/>
                <w:szCs w:val="18"/>
              </w:rPr>
            </w:pPr>
            <w:r w:rsidRPr="006E1AF7">
              <w:rPr>
                <w:rFonts w:ascii="Arial" w:eastAsia="Calibri" w:hAnsi="Arial" w:cs="Arial"/>
                <w:b/>
                <w:sz w:val="18"/>
                <w:szCs w:val="18"/>
              </w:rPr>
              <w:t>31/12/2018</w:t>
            </w:r>
          </w:p>
        </w:tc>
      </w:tr>
      <w:tr w:rsidR="000966C6" w:rsidRPr="00107CA1" w14:paraId="224DF412" w14:textId="77777777" w:rsidTr="000966C6">
        <w:trPr>
          <w:trHeight w:val="228"/>
          <w:jc w:val="center"/>
        </w:trPr>
        <w:tc>
          <w:tcPr>
            <w:tcW w:w="3203" w:type="pct"/>
            <w:tcBorders>
              <w:top w:val="nil"/>
              <w:left w:val="nil"/>
              <w:bottom w:val="nil"/>
              <w:right w:val="single" w:sz="8" w:space="0" w:color="auto"/>
            </w:tcBorders>
            <w:noWrap/>
            <w:tcMar>
              <w:top w:w="0" w:type="dxa"/>
              <w:left w:w="70" w:type="dxa"/>
              <w:bottom w:w="0" w:type="dxa"/>
              <w:right w:w="70" w:type="dxa"/>
            </w:tcMar>
            <w:vAlign w:val="bottom"/>
            <w:hideMark/>
          </w:tcPr>
          <w:p w14:paraId="2A651728" w14:textId="77777777" w:rsidR="000966C6" w:rsidRPr="006E1AF7" w:rsidRDefault="000966C6" w:rsidP="000966C6">
            <w:pPr>
              <w:spacing w:before="100" w:beforeAutospacing="1" w:after="100" w:afterAutospacing="1"/>
              <w:rPr>
                <w:rFonts w:ascii="Arial" w:eastAsia="Calibri" w:hAnsi="Arial" w:cs="Arial"/>
                <w:sz w:val="18"/>
                <w:szCs w:val="18"/>
              </w:rPr>
            </w:pPr>
            <w:r w:rsidRPr="006E1AF7">
              <w:rPr>
                <w:rFonts w:ascii="Arial" w:eastAsia="Calibri" w:hAnsi="Arial" w:cs="Arial"/>
                <w:sz w:val="18"/>
                <w:szCs w:val="18"/>
              </w:rPr>
              <w:t>Exposición financiera total agregada</w:t>
            </w:r>
          </w:p>
        </w:tc>
        <w:tc>
          <w:tcPr>
            <w:tcW w:w="898" w:type="pct"/>
            <w:tcBorders>
              <w:top w:val="nil"/>
              <w:left w:val="nil"/>
              <w:bottom w:val="nil"/>
              <w:right w:val="single" w:sz="8" w:space="0" w:color="auto"/>
            </w:tcBorders>
            <w:noWrap/>
            <w:tcMar>
              <w:top w:w="0" w:type="dxa"/>
              <w:left w:w="70" w:type="dxa"/>
              <w:bottom w:w="0" w:type="dxa"/>
              <w:right w:w="70" w:type="dxa"/>
            </w:tcMar>
            <w:vAlign w:val="bottom"/>
          </w:tcPr>
          <w:p w14:paraId="03362284" w14:textId="60B8FCAC"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963.016</w:t>
            </w:r>
          </w:p>
        </w:tc>
        <w:tc>
          <w:tcPr>
            <w:tcW w:w="898" w:type="pct"/>
            <w:noWrap/>
            <w:tcMar>
              <w:top w:w="0" w:type="dxa"/>
              <w:left w:w="70" w:type="dxa"/>
              <w:bottom w:w="0" w:type="dxa"/>
              <w:right w:w="70" w:type="dxa"/>
            </w:tcMar>
            <w:vAlign w:val="bottom"/>
            <w:hideMark/>
          </w:tcPr>
          <w:p w14:paraId="4ED6D248" w14:textId="77777777"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eastAsia="Calibri" w:hAnsi="Arial" w:cs="Arial"/>
                <w:sz w:val="18"/>
                <w:szCs w:val="18"/>
              </w:rPr>
              <w:t>783.183</w:t>
            </w:r>
          </w:p>
        </w:tc>
      </w:tr>
      <w:tr w:rsidR="000966C6" w:rsidRPr="00107CA1" w14:paraId="317D8805" w14:textId="77777777" w:rsidTr="000966C6">
        <w:trPr>
          <w:trHeight w:val="228"/>
          <w:jc w:val="center"/>
        </w:trPr>
        <w:tc>
          <w:tcPr>
            <w:tcW w:w="3203" w:type="pct"/>
            <w:tcBorders>
              <w:top w:val="nil"/>
              <w:left w:val="nil"/>
              <w:bottom w:val="nil"/>
              <w:right w:val="single" w:sz="8" w:space="0" w:color="auto"/>
            </w:tcBorders>
            <w:noWrap/>
            <w:tcMar>
              <w:top w:w="0" w:type="dxa"/>
              <w:left w:w="70" w:type="dxa"/>
              <w:bottom w:w="0" w:type="dxa"/>
              <w:right w:w="70" w:type="dxa"/>
            </w:tcMar>
            <w:vAlign w:val="bottom"/>
            <w:hideMark/>
          </w:tcPr>
          <w:p w14:paraId="23990DD7" w14:textId="77777777" w:rsidR="000966C6" w:rsidRPr="006E1AF7" w:rsidRDefault="000966C6" w:rsidP="000966C6">
            <w:pPr>
              <w:spacing w:before="100" w:beforeAutospacing="1" w:after="100" w:afterAutospacing="1"/>
              <w:rPr>
                <w:rFonts w:ascii="Arial" w:eastAsia="Calibri" w:hAnsi="Arial" w:cs="Arial"/>
                <w:sz w:val="18"/>
                <w:szCs w:val="18"/>
              </w:rPr>
            </w:pPr>
            <w:r w:rsidRPr="006E1AF7">
              <w:rPr>
                <w:rFonts w:ascii="Arial" w:eastAsia="Calibri" w:hAnsi="Arial" w:cs="Arial"/>
                <w:sz w:val="18"/>
                <w:szCs w:val="18"/>
              </w:rPr>
              <w:t>Número de partes relacionadas beneficiarios</w:t>
            </w:r>
          </w:p>
        </w:tc>
        <w:tc>
          <w:tcPr>
            <w:tcW w:w="898" w:type="pct"/>
            <w:tcBorders>
              <w:top w:val="nil"/>
              <w:left w:val="nil"/>
              <w:bottom w:val="nil"/>
              <w:right w:val="single" w:sz="8" w:space="0" w:color="auto"/>
            </w:tcBorders>
            <w:noWrap/>
            <w:tcMar>
              <w:top w:w="0" w:type="dxa"/>
              <w:left w:w="70" w:type="dxa"/>
              <w:bottom w:w="0" w:type="dxa"/>
              <w:right w:w="70" w:type="dxa"/>
            </w:tcMar>
            <w:vAlign w:val="bottom"/>
          </w:tcPr>
          <w:p w14:paraId="41B4A688" w14:textId="33C23385"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70</w:t>
            </w:r>
          </w:p>
        </w:tc>
        <w:tc>
          <w:tcPr>
            <w:tcW w:w="898" w:type="pct"/>
            <w:noWrap/>
            <w:tcMar>
              <w:top w:w="0" w:type="dxa"/>
              <w:left w:w="70" w:type="dxa"/>
              <w:bottom w:w="0" w:type="dxa"/>
              <w:right w:w="70" w:type="dxa"/>
            </w:tcMar>
            <w:vAlign w:val="bottom"/>
            <w:hideMark/>
          </w:tcPr>
          <w:p w14:paraId="4A657670" w14:textId="77777777"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eastAsia="Calibri" w:hAnsi="Arial" w:cs="Arial"/>
                <w:sz w:val="18"/>
                <w:szCs w:val="18"/>
              </w:rPr>
              <w:t>75</w:t>
            </w:r>
          </w:p>
        </w:tc>
      </w:tr>
      <w:tr w:rsidR="000966C6" w:rsidRPr="00107CA1" w14:paraId="19B4AED1" w14:textId="77777777" w:rsidTr="000966C6">
        <w:trPr>
          <w:trHeight w:val="228"/>
          <w:jc w:val="center"/>
        </w:trPr>
        <w:tc>
          <w:tcPr>
            <w:tcW w:w="3203" w:type="pct"/>
            <w:tcBorders>
              <w:top w:val="nil"/>
              <w:left w:val="nil"/>
              <w:bottom w:val="nil"/>
              <w:right w:val="single" w:sz="8" w:space="0" w:color="auto"/>
            </w:tcBorders>
            <w:noWrap/>
            <w:tcMar>
              <w:top w:w="0" w:type="dxa"/>
              <w:left w:w="70" w:type="dxa"/>
              <w:bottom w:w="0" w:type="dxa"/>
              <w:right w:w="70" w:type="dxa"/>
            </w:tcMar>
            <w:vAlign w:val="bottom"/>
            <w:hideMark/>
          </w:tcPr>
          <w:p w14:paraId="37D7FFC8" w14:textId="77777777" w:rsidR="000966C6" w:rsidRPr="006E1AF7" w:rsidRDefault="000966C6" w:rsidP="000966C6">
            <w:pPr>
              <w:spacing w:before="100" w:beforeAutospacing="1" w:after="100" w:afterAutospacing="1"/>
              <w:rPr>
                <w:rFonts w:ascii="Arial" w:eastAsia="Calibri" w:hAnsi="Arial" w:cs="Arial"/>
                <w:sz w:val="18"/>
                <w:szCs w:val="18"/>
              </w:rPr>
            </w:pPr>
            <w:r w:rsidRPr="006E1AF7">
              <w:rPr>
                <w:rFonts w:ascii="Arial" w:eastAsia="Calibri" w:hAnsi="Arial" w:cs="Arial"/>
                <w:sz w:val="18"/>
                <w:szCs w:val="18"/>
              </w:rPr>
              <w:t>   (a) individuos</w:t>
            </w:r>
          </w:p>
        </w:tc>
        <w:tc>
          <w:tcPr>
            <w:tcW w:w="898" w:type="pct"/>
            <w:tcBorders>
              <w:top w:val="nil"/>
              <w:left w:val="nil"/>
              <w:bottom w:val="nil"/>
              <w:right w:val="single" w:sz="8" w:space="0" w:color="auto"/>
            </w:tcBorders>
            <w:noWrap/>
            <w:tcMar>
              <w:top w:w="0" w:type="dxa"/>
              <w:left w:w="70" w:type="dxa"/>
              <w:bottom w:w="0" w:type="dxa"/>
              <w:right w:w="70" w:type="dxa"/>
            </w:tcMar>
            <w:vAlign w:val="bottom"/>
          </w:tcPr>
          <w:p w14:paraId="747C7EEF" w14:textId="3C3F3169"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63</w:t>
            </w:r>
          </w:p>
        </w:tc>
        <w:tc>
          <w:tcPr>
            <w:tcW w:w="898" w:type="pct"/>
            <w:noWrap/>
            <w:tcMar>
              <w:top w:w="0" w:type="dxa"/>
              <w:left w:w="70" w:type="dxa"/>
              <w:bottom w:w="0" w:type="dxa"/>
              <w:right w:w="70" w:type="dxa"/>
            </w:tcMar>
            <w:vAlign w:val="bottom"/>
            <w:hideMark/>
          </w:tcPr>
          <w:p w14:paraId="671E8A83" w14:textId="77777777"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eastAsia="Calibri" w:hAnsi="Arial" w:cs="Arial"/>
                <w:sz w:val="18"/>
                <w:szCs w:val="18"/>
              </w:rPr>
              <w:t>68</w:t>
            </w:r>
          </w:p>
        </w:tc>
      </w:tr>
      <w:tr w:rsidR="000966C6" w:rsidRPr="00107CA1" w14:paraId="7EA3451B" w14:textId="77777777" w:rsidTr="000966C6">
        <w:trPr>
          <w:trHeight w:val="228"/>
          <w:jc w:val="center"/>
        </w:trPr>
        <w:tc>
          <w:tcPr>
            <w:tcW w:w="3203" w:type="pct"/>
            <w:tcBorders>
              <w:top w:val="nil"/>
              <w:left w:val="nil"/>
              <w:bottom w:val="nil"/>
              <w:right w:val="single" w:sz="8" w:space="0" w:color="auto"/>
            </w:tcBorders>
            <w:noWrap/>
            <w:tcMar>
              <w:top w:w="0" w:type="dxa"/>
              <w:left w:w="70" w:type="dxa"/>
              <w:bottom w:w="0" w:type="dxa"/>
              <w:right w:w="70" w:type="dxa"/>
            </w:tcMar>
            <w:vAlign w:val="bottom"/>
            <w:hideMark/>
          </w:tcPr>
          <w:p w14:paraId="43A338A1" w14:textId="77777777" w:rsidR="000966C6" w:rsidRPr="006E1AF7" w:rsidRDefault="000966C6" w:rsidP="000966C6">
            <w:pPr>
              <w:spacing w:before="100" w:beforeAutospacing="1" w:after="100" w:afterAutospacing="1"/>
              <w:rPr>
                <w:rFonts w:ascii="Arial" w:eastAsia="Calibri" w:hAnsi="Arial" w:cs="Arial"/>
                <w:sz w:val="18"/>
                <w:szCs w:val="18"/>
              </w:rPr>
            </w:pPr>
            <w:r w:rsidRPr="006E1AF7">
              <w:rPr>
                <w:rFonts w:ascii="Arial" w:eastAsia="Calibri" w:hAnsi="Arial" w:cs="Arial"/>
                <w:sz w:val="18"/>
                <w:szCs w:val="18"/>
              </w:rPr>
              <w:t>   (b) compañias</w:t>
            </w:r>
          </w:p>
        </w:tc>
        <w:tc>
          <w:tcPr>
            <w:tcW w:w="898" w:type="pct"/>
            <w:tcBorders>
              <w:top w:val="nil"/>
              <w:left w:val="nil"/>
              <w:bottom w:val="nil"/>
              <w:right w:val="single" w:sz="8" w:space="0" w:color="auto"/>
            </w:tcBorders>
            <w:noWrap/>
            <w:tcMar>
              <w:top w:w="0" w:type="dxa"/>
              <w:left w:w="70" w:type="dxa"/>
              <w:bottom w:w="0" w:type="dxa"/>
              <w:right w:w="70" w:type="dxa"/>
            </w:tcMar>
            <w:vAlign w:val="bottom"/>
          </w:tcPr>
          <w:p w14:paraId="67C054DF" w14:textId="5F57568B"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7</w:t>
            </w:r>
          </w:p>
        </w:tc>
        <w:tc>
          <w:tcPr>
            <w:tcW w:w="898" w:type="pct"/>
            <w:noWrap/>
            <w:tcMar>
              <w:top w:w="0" w:type="dxa"/>
              <w:left w:w="70" w:type="dxa"/>
              <w:bottom w:w="0" w:type="dxa"/>
              <w:right w:w="70" w:type="dxa"/>
            </w:tcMar>
            <w:vAlign w:val="bottom"/>
            <w:hideMark/>
          </w:tcPr>
          <w:p w14:paraId="5884EDCA" w14:textId="77777777"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eastAsia="Calibri" w:hAnsi="Arial" w:cs="Arial"/>
                <w:sz w:val="18"/>
                <w:szCs w:val="18"/>
              </w:rPr>
              <w:t>7</w:t>
            </w:r>
          </w:p>
        </w:tc>
      </w:tr>
      <w:tr w:rsidR="000966C6" w:rsidRPr="00107CA1" w14:paraId="7B71ABA1" w14:textId="77777777" w:rsidTr="000966C6">
        <w:trPr>
          <w:trHeight w:val="228"/>
          <w:jc w:val="center"/>
        </w:trPr>
        <w:tc>
          <w:tcPr>
            <w:tcW w:w="3203" w:type="pct"/>
            <w:tcBorders>
              <w:top w:val="nil"/>
              <w:left w:val="nil"/>
              <w:bottom w:val="nil"/>
              <w:right w:val="single" w:sz="8" w:space="0" w:color="auto"/>
            </w:tcBorders>
            <w:noWrap/>
            <w:tcMar>
              <w:top w:w="0" w:type="dxa"/>
              <w:left w:w="70" w:type="dxa"/>
              <w:bottom w:w="0" w:type="dxa"/>
              <w:right w:w="70" w:type="dxa"/>
            </w:tcMar>
            <w:vAlign w:val="bottom"/>
            <w:hideMark/>
          </w:tcPr>
          <w:p w14:paraId="589F1E22" w14:textId="77777777" w:rsidR="000966C6" w:rsidRPr="006E1AF7" w:rsidRDefault="000966C6" w:rsidP="000966C6">
            <w:pPr>
              <w:spacing w:before="100" w:beforeAutospacing="1" w:after="100" w:afterAutospacing="1"/>
              <w:rPr>
                <w:rFonts w:ascii="Arial" w:eastAsia="Calibri" w:hAnsi="Arial" w:cs="Arial"/>
                <w:sz w:val="18"/>
                <w:szCs w:val="18"/>
              </w:rPr>
            </w:pPr>
            <w:r w:rsidRPr="006E1AF7">
              <w:rPr>
                <w:rFonts w:ascii="Arial" w:eastAsia="Calibri" w:hAnsi="Arial" w:cs="Arial"/>
                <w:sz w:val="18"/>
                <w:szCs w:val="18"/>
              </w:rPr>
              <w:t>Exposición financiera total promedio</w:t>
            </w:r>
          </w:p>
        </w:tc>
        <w:tc>
          <w:tcPr>
            <w:tcW w:w="898" w:type="pct"/>
            <w:tcBorders>
              <w:top w:val="nil"/>
              <w:left w:val="nil"/>
              <w:bottom w:val="single" w:sz="8" w:space="0" w:color="auto"/>
              <w:right w:val="single" w:sz="8" w:space="0" w:color="auto"/>
            </w:tcBorders>
            <w:noWrap/>
            <w:tcMar>
              <w:top w:w="0" w:type="dxa"/>
              <w:left w:w="70" w:type="dxa"/>
              <w:bottom w:w="0" w:type="dxa"/>
              <w:right w:w="70" w:type="dxa"/>
            </w:tcMar>
            <w:vAlign w:val="bottom"/>
          </w:tcPr>
          <w:p w14:paraId="6B53EBF8" w14:textId="34A004B0"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13.757</w:t>
            </w:r>
          </w:p>
        </w:tc>
        <w:tc>
          <w:tcPr>
            <w:tcW w:w="898" w:type="pct"/>
            <w:tcBorders>
              <w:top w:val="nil"/>
              <w:left w:val="nil"/>
              <w:bottom w:val="single" w:sz="8" w:space="0" w:color="auto"/>
              <w:right w:val="nil"/>
            </w:tcBorders>
            <w:noWrap/>
            <w:tcMar>
              <w:top w:w="0" w:type="dxa"/>
              <w:left w:w="70" w:type="dxa"/>
              <w:bottom w:w="0" w:type="dxa"/>
              <w:right w:w="70" w:type="dxa"/>
            </w:tcMar>
            <w:vAlign w:val="bottom"/>
            <w:hideMark/>
          </w:tcPr>
          <w:p w14:paraId="0D907F56" w14:textId="77777777"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eastAsia="Calibri" w:hAnsi="Arial" w:cs="Arial"/>
                <w:sz w:val="18"/>
                <w:szCs w:val="18"/>
              </w:rPr>
              <w:t>10.442</w:t>
            </w:r>
          </w:p>
        </w:tc>
      </w:tr>
      <w:tr w:rsidR="000966C6" w:rsidRPr="00107CA1" w14:paraId="7B54A053" w14:textId="77777777" w:rsidTr="000966C6">
        <w:trPr>
          <w:trHeight w:val="228"/>
          <w:jc w:val="center"/>
        </w:trPr>
        <w:tc>
          <w:tcPr>
            <w:tcW w:w="3203"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D231D4" w14:textId="77777777" w:rsidR="000966C6" w:rsidRPr="006E1AF7" w:rsidRDefault="000966C6" w:rsidP="000966C6">
            <w:pPr>
              <w:spacing w:before="100" w:beforeAutospacing="1" w:after="100" w:afterAutospacing="1"/>
              <w:rPr>
                <w:rFonts w:ascii="Arial" w:eastAsia="Calibri" w:hAnsi="Arial" w:cs="Arial"/>
                <w:sz w:val="18"/>
                <w:szCs w:val="18"/>
              </w:rPr>
            </w:pPr>
            <w:r w:rsidRPr="006E1AF7">
              <w:rPr>
                <w:rFonts w:ascii="Arial" w:eastAsia="Calibri" w:hAnsi="Arial" w:cs="Arial"/>
                <w:sz w:val="18"/>
                <w:szCs w:val="18"/>
              </w:rPr>
              <w:t xml:space="preserve">Mayor exposición individual </w:t>
            </w:r>
          </w:p>
        </w:tc>
        <w:tc>
          <w:tcPr>
            <w:tcW w:w="898" w:type="pct"/>
            <w:tcBorders>
              <w:top w:val="nil"/>
              <w:left w:val="nil"/>
              <w:bottom w:val="single" w:sz="8" w:space="0" w:color="auto"/>
              <w:right w:val="single" w:sz="8" w:space="0" w:color="auto"/>
            </w:tcBorders>
            <w:noWrap/>
            <w:tcMar>
              <w:top w:w="0" w:type="dxa"/>
              <w:left w:w="70" w:type="dxa"/>
              <w:bottom w:w="0" w:type="dxa"/>
              <w:right w:w="70" w:type="dxa"/>
            </w:tcMar>
            <w:vAlign w:val="bottom"/>
          </w:tcPr>
          <w:p w14:paraId="64CE730C" w14:textId="79E0A6E1"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823.172</w:t>
            </w:r>
          </w:p>
        </w:tc>
        <w:tc>
          <w:tcPr>
            <w:tcW w:w="898" w:type="pct"/>
            <w:tcBorders>
              <w:top w:val="nil"/>
              <w:left w:val="nil"/>
              <w:bottom w:val="single" w:sz="8" w:space="0" w:color="auto"/>
              <w:right w:val="nil"/>
            </w:tcBorders>
            <w:noWrap/>
            <w:tcMar>
              <w:top w:w="0" w:type="dxa"/>
              <w:left w:w="70" w:type="dxa"/>
              <w:bottom w:w="0" w:type="dxa"/>
              <w:right w:w="70" w:type="dxa"/>
            </w:tcMar>
            <w:vAlign w:val="bottom"/>
            <w:hideMark/>
          </w:tcPr>
          <w:p w14:paraId="5F2075D0" w14:textId="77777777" w:rsidR="000966C6" w:rsidRPr="006E1AF7" w:rsidRDefault="000966C6" w:rsidP="000966C6">
            <w:pPr>
              <w:spacing w:before="100" w:beforeAutospacing="1" w:after="100" w:afterAutospacing="1"/>
              <w:jc w:val="right"/>
              <w:rPr>
                <w:rFonts w:ascii="Arial" w:eastAsia="Calibri" w:hAnsi="Arial" w:cs="Arial"/>
                <w:sz w:val="18"/>
                <w:szCs w:val="18"/>
              </w:rPr>
            </w:pPr>
            <w:r w:rsidRPr="006E1AF7">
              <w:rPr>
                <w:rFonts w:ascii="Arial" w:eastAsia="Calibri" w:hAnsi="Arial" w:cs="Arial"/>
                <w:sz w:val="18"/>
                <w:szCs w:val="18"/>
              </w:rPr>
              <w:t>659.556</w:t>
            </w:r>
          </w:p>
        </w:tc>
      </w:tr>
    </w:tbl>
    <w:p w14:paraId="78978257" w14:textId="77777777" w:rsidR="00107CA1" w:rsidRPr="006E1AF7" w:rsidRDefault="00107CA1" w:rsidP="00107CA1">
      <w:pPr>
        <w:pStyle w:val="Textoindependiente2"/>
        <w:rPr>
          <w:rFonts w:ascii="Arial" w:eastAsia="Calibri" w:hAnsi="Arial" w:cs="Arial"/>
          <w:b w:val="0"/>
          <w:sz w:val="20"/>
          <w:lang w:val="es-AR"/>
        </w:rPr>
      </w:pPr>
    </w:p>
    <w:p w14:paraId="67703CEA" w14:textId="77777777" w:rsidR="00107CA1" w:rsidRPr="006E1AF7" w:rsidRDefault="00107CA1" w:rsidP="006E1AF7">
      <w:pPr>
        <w:pStyle w:val="Textoindependiente2"/>
        <w:jc w:val="both"/>
        <w:rPr>
          <w:rFonts w:ascii="Arial" w:eastAsia="Calibri" w:hAnsi="Arial" w:cs="Arial"/>
          <w:b w:val="0"/>
          <w:sz w:val="20"/>
          <w:lang w:val="es-AR"/>
        </w:rPr>
      </w:pPr>
      <w:r w:rsidRPr="006E1AF7">
        <w:rPr>
          <w:rFonts w:ascii="Arial" w:eastAsia="Calibri" w:hAnsi="Arial" w:cs="Arial"/>
          <w:b w:val="0"/>
          <w:sz w:val="20"/>
          <w:lang w:val="es-AR"/>
        </w:rPr>
        <w:t xml:space="preserve">Las financiaciones, incluyendo las que fueron reestructuradas, fueron otorgadas en el curso normal de los negocios y sustancialmente  en los mismos términos, incluyendo tasas de interés y garantías, que los vigentes en su momento para otorgar crédito a no vinculados. Asimismo, no implicaron un riesgo de incobrabilidad mayor al normal ni presentaron otro tipo de condiciones desfavorables. </w:t>
      </w:r>
    </w:p>
    <w:p w14:paraId="3D4D76DE" w14:textId="77777777" w:rsidR="00107CA1" w:rsidRPr="006E1AF7" w:rsidRDefault="00107CA1" w:rsidP="00A06BE9">
      <w:pPr>
        <w:contextualSpacing/>
        <w:jc w:val="both"/>
        <w:rPr>
          <w:rFonts w:ascii="Arial" w:eastAsia="Calibri" w:hAnsi="Arial" w:cs="Arial"/>
          <w:sz w:val="20"/>
        </w:rPr>
      </w:pPr>
    </w:p>
    <w:p w14:paraId="52C831A2" w14:textId="370105EF" w:rsidR="00A06BE9" w:rsidRPr="00701F32" w:rsidRDefault="00A06BE9" w:rsidP="00A06BE9">
      <w:pPr>
        <w:contextualSpacing/>
        <w:jc w:val="both"/>
        <w:rPr>
          <w:rFonts w:ascii="Arial" w:eastAsia="Calibri" w:hAnsi="Arial" w:cs="Arial"/>
          <w:noProof/>
          <w:sz w:val="20"/>
          <w:u w:val="single"/>
        </w:rPr>
      </w:pPr>
      <w:r w:rsidRPr="00701F32">
        <w:rPr>
          <w:rFonts w:ascii="Arial" w:eastAsia="Calibri" w:hAnsi="Arial" w:cs="Arial"/>
          <w:noProof/>
          <w:sz w:val="20"/>
          <w:u w:val="single"/>
        </w:rPr>
        <w:t>A continuación se detallan los saldos y transacciones más significativas con partes relacionadas:</w:t>
      </w:r>
    </w:p>
    <w:p w14:paraId="6524FDA6" w14:textId="77777777" w:rsidR="00A06BE9" w:rsidRPr="00701F32" w:rsidRDefault="00A06BE9" w:rsidP="00A06BE9">
      <w:pPr>
        <w:widowControl w:val="0"/>
        <w:autoSpaceDE w:val="0"/>
        <w:autoSpaceDN w:val="0"/>
        <w:adjustRightInd w:val="0"/>
        <w:jc w:val="both"/>
        <w:rPr>
          <w:rFonts w:ascii="Arial" w:hAnsi="Arial" w:cs="Arial"/>
          <w:b/>
          <w:noProof/>
          <w:sz w:val="20"/>
        </w:rPr>
      </w:pPr>
    </w:p>
    <w:p w14:paraId="6CCEFCA5" w14:textId="4A3FE251" w:rsidR="001C765F" w:rsidRDefault="009C5DAE" w:rsidP="00A06BE9">
      <w:pPr>
        <w:widowControl w:val="0"/>
        <w:autoSpaceDE w:val="0"/>
        <w:autoSpaceDN w:val="0"/>
        <w:adjustRightInd w:val="0"/>
        <w:jc w:val="both"/>
        <w:rPr>
          <w:rFonts w:ascii="Arial" w:eastAsia="Calibri" w:hAnsi="Arial" w:cs="Arial"/>
          <w:color w:val="000000"/>
          <w:sz w:val="20"/>
        </w:rPr>
      </w:pPr>
      <w:r>
        <w:rPr>
          <w:rFonts w:ascii="Arial" w:eastAsia="Calibri" w:hAnsi="Arial" w:cs="Arial"/>
          <w:color w:val="000000"/>
          <w:sz w:val="20"/>
        </w:rPr>
        <w:t>Los saldos al 3</w:t>
      </w:r>
      <w:r w:rsidR="00543EF5">
        <w:rPr>
          <w:rFonts w:ascii="Arial" w:eastAsia="Calibri" w:hAnsi="Arial" w:cs="Arial"/>
          <w:color w:val="000000"/>
          <w:sz w:val="20"/>
        </w:rPr>
        <w:t>1</w:t>
      </w:r>
      <w:r w:rsidR="00A06BE9" w:rsidRPr="00701F32">
        <w:rPr>
          <w:rFonts w:ascii="Arial" w:eastAsia="Calibri" w:hAnsi="Arial" w:cs="Arial"/>
          <w:color w:val="000000"/>
          <w:sz w:val="20"/>
        </w:rPr>
        <w:t xml:space="preserve"> </w:t>
      </w:r>
      <w:r w:rsidR="006104DE">
        <w:rPr>
          <w:rFonts w:ascii="Arial" w:eastAsia="Calibri" w:hAnsi="Arial" w:cs="Arial"/>
          <w:color w:val="000000"/>
          <w:sz w:val="20"/>
        </w:rPr>
        <w:t xml:space="preserve">de </w:t>
      </w:r>
      <w:r w:rsidR="00543EF5">
        <w:rPr>
          <w:rFonts w:ascii="Arial" w:eastAsia="Calibri" w:hAnsi="Arial" w:cs="Arial"/>
          <w:color w:val="000000"/>
          <w:sz w:val="20"/>
        </w:rPr>
        <w:t>diciembre</w:t>
      </w:r>
      <w:r w:rsidR="006104DE" w:rsidRPr="00701F32">
        <w:rPr>
          <w:rFonts w:ascii="Arial" w:eastAsia="Calibri" w:hAnsi="Arial" w:cs="Arial"/>
          <w:color w:val="000000"/>
          <w:sz w:val="20"/>
        </w:rPr>
        <w:t xml:space="preserve"> </w:t>
      </w:r>
      <w:r w:rsidR="00A06BE9" w:rsidRPr="00701F32">
        <w:rPr>
          <w:rFonts w:ascii="Arial" w:eastAsia="Calibri" w:hAnsi="Arial" w:cs="Arial"/>
          <w:color w:val="000000"/>
          <w:sz w:val="20"/>
        </w:rPr>
        <w:t xml:space="preserve">de </w:t>
      </w:r>
      <w:r w:rsidR="006104DE">
        <w:rPr>
          <w:rFonts w:ascii="Arial" w:eastAsia="Calibri" w:hAnsi="Arial" w:cs="Arial"/>
          <w:color w:val="000000"/>
          <w:sz w:val="20"/>
        </w:rPr>
        <w:t>2019</w:t>
      </w:r>
      <w:r w:rsidR="00543EF5">
        <w:rPr>
          <w:rFonts w:ascii="Arial" w:eastAsia="Calibri" w:hAnsi="Arial" w:cs="Arial"/>
          <w:color w:val="000000"/>
          <w:sz w:val="20"/>
        </w:rPr>
        <w:t xml:space="preserve"> y 2018</w:t>
      </w:r>
      <w:r w:rsidR="00A06BE9" w:rsidRPr="00701F32">
        <w:rPr>
          <w:rFonts w:ascii="Arial" w:eastAsia="Calibri" w:hAnsi="Arial" w:cs="Arial"/>
          <w:color w:val="000000"/>
          <w:sz w:val="20"/>
        </w:rPr>
        <w:t>, con las sociedades indicadas son los siguientes:</w:t>
      </w:r>
    </w:p>
    <w:p w14:paraId="41B8CB0A" w14:textId="695216E5" w:rsidR="000B1093" w:rsidRDefault="000B1093">
      <w:pPr>
        <w:rPr>
          <w:rFonts w:ascii="Arial" w:eastAsia="Calibri" w:hAnsi="Arial" w:cs="Arial"/>
          <w:color w:val="000000"/>
          <w:sz w:val="20"/>
        </w:rPr>
      </w:pPr>
      <w:r>
        <w:rPr>
          <w:rFonts w:ascii="Arial" w:eastAsia="Calibri" w:hAnsi="Arial" w:cs="Arial"/>
          <w:color w:val="000000"/>
          <w:sz w:val="20"/>
        </w:rPr>
        <w:br w:type="page"/>
      </w:r>
    </w:p>
    <w:p w14:paraId="0D454E59" w14:textId="77777777" w:rsidR="000B1093" w:rsidRDefault="000B1093" w:rsidP="00534414">
      <w:pPr>
        <w:widowControl w:val="0"/>
        <w:autoSpaceDE w:val="0"/>
        <w:autoSpaceDN w:val="0"/>
        <w:adjustRightInd w:val="0"/>
        <w:jc w:val="both"/>
        <w:rPr>
          <w:rFonts w:ascii="Arial" w:eastAsia="Calibri" w:hAnsi="Arial" w:cs="Arial"/>
          <w:color w:val="000000"/>
          <w:sz w:val="20"/>
        </w:rPr>
      </w:pPr>
    </w:p>
    <w:tbl>
      <w:tblPr>
        <w:tblW w:w="965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725"/>
        <w:gridCol w:w="1596"/>
        <w:gridCol w:w="1277"/>
        <w:gridCol w:w="1418"/>
        <w:gridCol w:w="1346"/>
        <w:gridCol w:w="1277"/>
        <w:gridCol w:w="14"/>
      </w:tblGrid>
      <w:tr w:rsidR="00CF07C7" w:rsidRPr="001B2F17" w14:paraId="5DE5BE62" w14:textId="77777777" w:rsidTr="006E1AF7">
        <w:trPr>
          <w:trHeight w:val="151"/>
          <w:tblHeader/>
        </w:trPr>
        <w:tc>
          <w:tcPr>
            <w:tcW w:w="2725" w:type="dxa"/>
            <w:vMerge w:val="restart"/>
            <w:shd w:val="clear" w:color="auto" w:fill="auto"/>
            <w:vAlign w:val="center"/>
            <w:hideMark/>
          </w:tcPr>
          <w:p w14:paraId="31213E8D" w14:textId="77777777" w:rsidR="00CF07C7" w:rsidRPr="0085237C" w:rsidRDefault="00CF07C7" w:rsidP="00A50BF1">
            <w:pPr>
              <w:spacing w:after="160" w:line="259" w:lineRule="auto"/>
              <w:jc w:val="center"/>
              <w:rPr>
                <w:rFonts w:ascii="Arial" w:eastAsia="Calibri" w:hAnsi="Arial" w:cs="Arial"/>
                <w:b/>
                <w:color w:val="000000"/>
                <w:sz w:val="16"/>
                <w:szCs w:val="16"/>
              </w:rPr>
            </w:pPr>
            <w:r w:rsidRPr="0085237C">
              <w:rPr>
                <w:rFonts w:ascii="Arial" w:eastAsia="Calibri" w:hAnsi="Arial" w:cs="Arial"/>
                <w:b/>
                <w:color w:val="000000"/>
                <w:sz w:val="16"/>
                <w:szCs w:val="16"/>
              </w:rPr>
              <w:t>Sociedades</w:t>
            </w:r>
          </w:p>
        </w:tc>
        <w:tc>
          <w:tcPr>
            <w:tcW w:w="6928" w:type="dxa"/>
            <w:gridSpan w:val="6"/>
            <w:vAlign w:val="center"/>
          </w:tcPr>
          <w:p w14:paraId="636968C8" w14:textId="2E0C4668" w:rsidR="00CF07C7" w:rsidRPr="0085237C" w:rsidRDefault="00CF07C7" w:rsidP="009C5DAE">
            <w:pPr>
              <w:spacing w:after="160" w:line="259" w:lineRule="auto"/>
              <w:jc w:val="center"/>
              <w:rPr>
                <w:rFonts w:ascii="Arial" w:eastAsia="Calibri" w:hAnsi="Arial" w:cs="Arial"/>
                <w:b/>
                <w:color w:val="000000"/>
                <w:sz w:val="16"/>
                <w:szCs w:val="16"/>
                <w:lang w:eastAsia="es-AR"/>
              </w:rPr>
            </w:pPr>
            <w:r>
              <w:rPr>
                <w:rFonts w:ascii="Arial" w:eastAsia="Calibri" w:hAnsi="Arial" w:cs="Arial"/>
                <w:b/>
                <w:color w:val="000000"/>
                <w:sz w:val="16"/>
                <w:szCs w:val="16"/>
                <w:lang w:eastAsia="es-AR"/>
              </w:rPr>
              <w:t>31</w:t>
            </w:r>
            <w:r w:rsidRPr="0085237C">
              <w:rPr>
                <w:rFonts w:ascii="Arial" w:eastAsia="Calibri" w:hAnsi="Arial" w:cs="Arial"/>
                <w:b/>
                <w:color w:val="000000"/>
                <w:sz w:val="16"/>
                <w:szCs w:val="16"/>
                <w:lang w:eastAsia="es-AR"/>
              </w:rPr>
              <w:t>/</w:t>
            </w:r>
            <w:r>
              <w:rPr>
                <w:rFonts w:ascii="Arial" w:eastAsia="Calibri" w:hAnsi="Arial" w:cs="Arial"/>
                <w:b/>
                <w:color w:val="000000"/>
                <w:sz w:val="16"/>
                <w:szCs w:val="16"/>
                <w:lang w:eastAsia="es-AR"/>
              </w:rPr>
              <w:t>12</w:t>
            </w:r>
            <w:r w:rsidRPr="0085237C">
              <w:rPr>
                <w:rFonts w:ascii="Arial" w:eastAsia="Calibri" w:hAnsi="Arial" w:cs="Arial"/>
                <w:b/>
                <w:color w:val="000000"/>
                <w:sz w:val="16"/>
                <w:szCs w:val="16"/>
                <w:lang w:eastAsia="es-AR"/>
              </w:rPr>
              <w:t>/201</w:t>
            </w:r>
            <w:r>
              <w:rPr>
                <w:rFonts w:ascii="Arial" w:eastAsia="Calibri" w:hAnsi="Arial" w:cs="Arial"/>
                <w:b/>
                <w:color w:val="000000"/>
                <w:sz w:val="16"/>
                <w:szCs w:val="16"/>
                <w:lang w:eastAsia="es-AR"/>
              </w:rPr>
              <w:t>9</w:t>
            </w:r>
          </w:p>
        </w:tc>
      </w:tr>
      <w:tr w:rsidR="00C43BF8" w:rsidRPr="001B2F17" w14:paraId="136D9AA4" w14:textId="77777777" w:rsidTr="006E1AF7">
        <w:trPr>
          <w:gridAfter w:val="1"/>
          <w:wAfter w:w="14" w:type="dxa"/>
          <w:trHeight w:val="20"/>
          <w:tblHeader/>
        </w:trPr>
        <w:tc>
          <w:tcPr>
            <w:tcW w:w="2725" w:type="dxa"/>
            <w:vMerge/>
            <w:shd w:val="clear" w:color="auto" w:fill="auto"/>
            <w:vAlign w:val="bottom"/>
            <w:hideMark/>
          </w:tcPr>
          <w:p w14:paraId="51C5ADDC" w14:textId="77777777" w:rsidR="00C43BF8" w:rsidRPr="0085237C" w:rsidRDefault="00C43BF8" w:rsidP="00A50BF1">
            <w:pPr>
              <w:spacing w:after="160" w:line="259" w:lineRule="auto"/>
              <w:jc w:val="center"/>
              <w:rPr>
                <w:rFonts w:ascii="Arial" w:eastAsia="Calibri" w:hAnsi="Arial" w:cs="Arial"/>
                <w:color w:val="000000"/>
                <w:sz w:val="16"/>
                <w:szCs w:val="16"/>
              </w:rPr>
            </w:pPr>
          </w:p>
        </w:tc>
        <w:tc>
          <w:tcPr>
            <w:tcW w:w="1596" w:type="dxa"/>
            <w:vAlign w:val="center"/>
          </w:tcPr>
          <w:p w14:paraId="27ABBF38" w14:textId="77777777" w:rsidR="00C43BF8" w:rsidRPr="0085237C" w:rsidRDefault="00C43BF8" w:rsidP="00A50BF1">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Préstamos y Otras Financiaciones</w:t>
            </w:r>
          </w:p>
        </w:tc>
        <w:tc>
          <w:tcPr>
            <w:tcW w:w="1277" w:type="dxa"/>
            <w:shd w:val="clear" w:color="auto" w:fill="auto"/>
            <w:vAlign w:val="center"/>
            <w:hideMark/>
          </w:tcPr>
          <w:p w14:paraId="08438322" w14:textId="77777777" w:rsidR="00C43BF8" w:rsidRPr="0085237C" w:rsidRDefault="00C43BF8" w:rsidP="00A50BF1">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Otros Activos Financieros</w:t>
            </w:r>
          </w:p>
        </w:tc>
        <w:tc>
          <w:tcPr>
            <w:tcW w:w="1418" w:type="dxa"/>
            <w:shd w:val="clear" w:color="auto" w:fill="auto"/>
            <w:vAlign w:val="center"/>
            <w:hideMark/>
          </w:tcPr>
          <w:p w14:paraId="210A70C5" w14:textId="77777777" w:rsidR="00C43BF8" w:rsidRPr="0085237C" w:rsidRDefault="00C43BF8" w:rsidP="00A50BF1">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Depósitos</w:t>
            </w:r>
          </w:p>
        </w:tc>
        <w:tc>
          <w:tcPr>
            <w:tcW w:w="1346" w:type="dxa"/>
            <w:vAlign w:val="center"/>
          </w:tcPr>
          <w:p w14:paraId="2894EFA1" w14:textId="77777777" w:rsidR="00C43BF8" w:rsidRPr="0085237C" w:rsidRDefault="00C43BF8" w:rsidP="00A50BF1">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Otros Pasivos no Financieros</w:t>
            </w:r>
          </w:p>
        </w:tc>
        <w:tc>
          <w:tcPr>
            <w:tcW w:w="1277" w:type="dxa"/>
            <w:shd w:val="clear" w:color="auto" w:fill="auto"/>
            <w:vAlign w:val="center"/>
          </w:tcPr>
          <w:p w14:paraId="74B9B54F" w14:textId="561339D8" w:rsidR="00C43BF8" w:rsidRPr="0085237C" w:rsidRDefault="00C43BF8" w:rsidP="00A50BF1">
            <w:pPr>
              <w:spacing w:after="160" w:line="259" w:lineRule="auto"/>
              <w:jc w:val="center"/>
              <w:rPr>
                <w:rFonts w:ascii="Arial" w:eastAsia="Calibri" w:hAnsi="Arial" w:cs="Arial"/>
                <w:b/>
                <w:bCs/>
                <w:color w:val="000000"/>
                <w:sz w:val="16"/>
                <w:szCs w:val="16"/>
                <w:lang w:eastAsia="es-AR"/>
              </w:rPr>
            </w:pPr>
            <w:r>
              <w:rPr>
                <w:rFonts w:ascii="Arial" w:eastAsia="Calibri" w:hAnsi="Arial" w:cs="Arial"/>
                <w:b/>
                <w:bCs/>
                <w:color w:val="000000"/>
                <w:sz w:val="16"/>
                <w:szCs w:val="16"/>
                <w:lang w:eastAsia="es-AR"/>
              </w:rPr>
              <w:t xml:space="preserve">Otros </w:t>
            </w:r>
            <w:r w:rsidR="008F0913">
              <w:rPr>
                <w:rFonts w:ascii="Arial" w:eastAsia="Calibri" w:hAnsi="Arial" w:cs="Arial"/>
                <w:b/>
                <w:bCs/>
                <w:color w:val="000000"/>
                <w:sz w:val="16"/>
                <w:szCs w:val="16"/>
                <w:lang w:eastAsia="es-AR"/>
              </w:rPr>
              <w:t>P</w:t>
            </w:r>
            <w:r>
              <w:rPr>
                <w:rFonts w:ascii="Arial" w:eastAsia="Calibri" w:hAnsi="Arial" w:cs="Arial"/>
                <w:b/>
                <w:bCs/>
                <w:color w:val="000000"/>
                <w:sz w:val="16"/>
                <w:szCs w:val="16"/>
                <w:lang w:eastAsia="es-AR"/>
              </w:rPr>
              <w:t xml:space="preserve">asivos </w:t>
            </w:r>
            <w:r w:rsidR="008F0913">
              <w:rPr>
                <w:rFonts w:ascii="Arial" w:eastAsia="Calibri" w:hAnsi="Arial" w:cs="Arial"/>
                <w:b/>
                <w:bCs/>
                <w:color w:val="000000"/>
                <w:sz w:val="16"/>
                <w:szCs w:val="16"/>
                <w:lang w:eastAsia="es-AR"/>
              </w:rPr>
              <w:t>Financieros</w:t>
            </w:r>
          </w:p>
        </w:tc>
      </w:tr>
      <w:tr w:rsidR="00C43BF8" w:rsidRPr="001B2F17" w14:paraId="4537CEC9" w14:textId="77777777" w:rsidTr="006E1AF7">
        <w:trPr>
          <w:gridAfter w:val="1"/>
          <w:wAfter w:w="14" w:type="dxa"/>
          <w:trHeight w:val="20"/>
        </w:trPr>
        <w:tc>
          <w:tcPr>
            <w:tcW w:w="2725" w:type="dxa"/>
            <w:shd w:val="clear" w:color="auto" w:fill="auto"/>
            <w:vAlign w:val="center"/>
            <w:hideMark/>
          </w:tcPr>
          <w:p w14:paraId="6ED235E8" w14:textId="77777777" w:rsidR="00C43BF8" w:rsidRPr="0085237C" w:rsidRDefault="00C43BF8" w:rsidP="00A50BF1">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rPr>
              <w:t>Sofital S.A.F. e I.I.</w:t>
            </w:r>
          </w:p>
        </w:tc>
        <w:tc>
          <w:tcPr>
            <w:tcW w:w="1596" w:type="dxa"/>
            <w:vAlign w:val="bottom"/>
          </w:tcPr>
          <w:p w14:paraId="116AE531" w14:textId="54419DCE" w:rsidR="00C43BF8" w:rsidRPr="0085237C" w:rsidRDefault="009654E6"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c>
          <w:tcPr>
            <w:tcW w:w="1277" w:type="dxa"/>
            <w:shd w:val="clear" w:color="auto" w:fill="auto"/>
            <w:vAlign w:val="bottom"/>
          </w:tcPr>
          <w:p w14:paraId="60E0205B" w14:textId="744FC977" w:rsidR="00C43BF8" w:rsidRPr="0085237C" w:rsidRDefault="009654E6"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c>
          <w:tcPr>
            <w:tcW w:w="1418" w:type="dxa"/>
            <w:shd w:val="clear" w:color="auto" w:fill="auto"/>
            <w:vAlign w:val="bottom"/>
          </w:tcPr>
          <w:p w14:paraId="11462FA2" w14:textId="35DCE2F2" w:rsidR="00C43BF8" w:rsidRPr="0085237C" w:rsidRDefault="003D7E1E">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84</w:t>
            </w:r>
          </w:p>
        </w:tc>
        <w:tc>
          <w:tcPr>
            <w:tcW w:w="1346" w:type="dxa"/>
            <w:vAlign w:val="bottom"/>
          </w:tcPr>
          <w:p w14:paraId="4C9E14E5" w14:textId="33F0CE12" w:rsidR="00C43BF8" w:rsidRPr="0085237C" w:rsidRDefault="009654E6"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c>
          <w:tcPr>
            <w:tcW w:w="1277" w:type="dxa"/>
            <w:shd w:val="clear" w:color="auto" w:fill="auto"/>
            <w:vAlign w:val="bottom"/>
          </w:tcPr>
          <w:p w14:paraId="67947420" w14:textId="381E5B7C" w:rsidR="00C43BF8" w:rsidRPr="0085237C" w:rsidRDefault="009654E6"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r>
      <w:tr w:rsidR="00C43BF8" w:rsidRPr="001B2F17" w14:paraId="2B8605CD" w14:textId="77777777" w:rsidTr="006E1AF7">
        <w:trPr>
          <w:gridAfter w:val="1"/>
          <w:wAfter w:w="14" w:type="dxa"/>
          <w:trHeight w:val="20"/>
        </w:trPr>
        <w:tc>
          <w:tcPr>
            <w:tcW w:w="2725" w:type="dxa"/>
            <w:shd w:val="clear" w:color="auto" w:fill="auto"/>
            <w:vAlign w:val="center"/>
            <w:hideMark/>
          </w:tcPr>
          <w:p w14:paraId="0904C2B9" w14:textId="6FA003BF" w:rsidR="00C43BF8" w:rsidRPr="0085237C" w:rsidRDefault="00C43BF8" w:rsidP="00A50BF1">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lang w:eastAsia="es-AR"/>
              </w:rPr>
              <w:t>Espacio Cordial de Servicios S</w:t>
            </w:r>
            <w:r w:rsidR="0049795D">
              <w:rPr>
                <w:rFonts w:ascii="Arial" w:eastAsia="Calibri" w:hAnsi="Arial" w:cs="Arial"/>
                <w:color w:val="000000"/>
                <w:sz w:val="16"/>
                <w:szCs w:val="16"/>
                <w:lang w:eastAsia="es-AR"/>
              </w:rPr>
              <w:t>.</w:t>
            </w:r>
            <w:r w:rsidRPr="0085237C">
              <w:rPr>
                <w:rFonts w:ascii="Arial" w:eastAsia="Calibri" w:hAnsi="Arial" w:cs="Arial"/>
                <w:color w:val="000000"/>
                <w:sz w:val="16"/>
                <w:szCs w:val="16"/>
                <w:lang w:eastAsia="es-AR"/>
              </w:rPr>
              <w:t>A</w:t>
            </w:r>
            <w:r w:rsidR="0049795D">
              <w:rPr>
                <w:rFonts w:ascii="Arial" w:eastAsia="Calibri" w:hAnsi="Arial" w:cs="Arial"/>
                <w:color w:val="000000"/>
                <w:sz w:val="16"/>
                <w:szCs w:val="16"/>
                <w:lang w:eastAsia="es-AR"/>
              </w:rPr>
              <w:t>.</w:t>
            </w:r>
          </w:p>
        </w:tc>
        <w:tc>
          <w:tcPr>
            <w:tcW w:w="1596" w:type="dxa"/>
            <w:vAlign w:val="bottom"/>
          </w:tcPr>
          <w:p w14:paraId="16AEF48C" w14:textId="6AC7AAA1" w:rsidR="00C43BF8" w:rsidRPr="0085237C" w:rsidRDefault="009654E6"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2</w:t>
            </w:r>
          </w:p>
        </w:tc>
        <w:tc>
          <w:tcPr>
            <w:tcW w:w="1277" w:type="dxa"/>
            <w:shd w:val="clear" w:color="auto" w:fill="auto"/>
            <w:vAlign w:val="bottom"/>
          </w:tcPr>
          <w:p w14:paraId="7DEA650C" w14:textId="7FA880CE" w:rsidR="00C43BF8" w:rsidRPr="0085237C" w:rsidRDefault="009654E6">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c>
          <w:tcPr>
            <w:tcW w:w="1418" w:type="dxa"/>
            <w:shd w:val="clear" w:color="auto" w:fill="auto"/>
            <w:vAlign w:val="bottom"/>
          </w:tcPr>
          <w:p w14:paraId="24336A88" w14:textId="333705CF" w:rsidR="00C43BF8" w:rsidRPr="0085237C" w:rsidRDefault="009654E6">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259</w:t>
            </w:r>
          </w:p>
        </w:tc>
        <w:tc>
          <w:tcPr>
            <w:tcW w:w="1346" w:type="dxa"/>
            <w:vAlign w:val="bottom"/>
          </w:tcPr>
          <w:p w14:paraId="638AAFE8" w14:textId="33CFD338" w:rsidR="00C43BF8" w:rsidRPr="0085237C" w:rsidRDefault="00C43BF8" w:rsidP="00A50BF1">
            <w:pPr>
              <w:spacing w:after="160" w:line="259" w:lineRule="auto"/>
              <w:jc w:val="right"/>
              <w:rPr>
                <w:rFonts w:ascii="Arial" w:eastAsia="Calibri" w:hAnsi="Arial" w:cs="Arial"/>
                <w:color w:val="000000"/>
                <w:sz w:val="16"/>
                <w:szCs w:val="16"/>
                <w:lang w:val="es-ES_tradnl"/>
              </w:rPr>
            </w:pPr>
          </w:p>
        </w:tc>
        <w:tc>
          <w:tcPr>
            <w:tcW w:w="1277" w:type="dxa"/>
            <w:shd w:val="clear" w:color="auto" w:fill="auto"/>
            <w:vAlign w:val="bottom"/>
          </w:tcPr>
          <w:p w14:paraId="5A8B4294" w14:textId="46E6C93C" w:rsidR="00C43BF8" w:rsidRPr="0085237C" w:rsidRDefault="00CF07C7"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8.488</w:t>
            </w:r>
          </w:p>
        </w:tc>
      </w:tr>
      <w:tr w:rsidR="00C43BF8" w:rsidRPr="001B2F17" w14:paraId="06E1D396" w14:textId="77777777" w:rsidTr="006E1AF7">
        <w:trPr>
          <w:gridAfter w:val="1"/>
          <w:wAfter w:w="14" w:type="dxa"/>
          <w:trHeight w:val="20"/>
        </w:trPr>
        <w:tc>
          <w:tcPr>
            <w:tcW w:w="2725" w:type="dxa"/>
            <w:shd w:val="clear" w:color="auto" w:fill="auto"/>
            <w:vAlign w:val="center"/>
            <w:hideMark/>
          </w:tcPr>
          <w:p w14:paraId="4F9961BD" w14:textId="77777777" w:rsidR="00C43BF8" w:rsidRPr="0085237C" w:rsidRDefault="00C43BF8" w:rsidP="00A50BF1">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lang w:eastAsia="es-AR"/>
              </w:rPr>
              <w:t>Supervielle Seguros S.A.</w:t>
            </w:r>
          </w:p>
        </w:tc>
        <w:tc>
          <w:tcPr>
            <w:tcW w:w="1596" w:type="dxa"/>
            <w:vAlign w:val="bottom"/>
          </w:tcPr>
          <w:p w14:paraId="4A476873" w14:textId="3E9EAFD8" w:rsidR="00C43BF8" w:rsidRPr="0085237C" w:rsidRDefault="009654E6">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25.757</w:t>
            </w:r>
          </w:p>
        </w:tc>
        <w:tc>
          <w:tcPr>
            <w:tcW w:w="1277" w:type="dxa"/>
            <w:shd w:val="clear" w:color="auto" w:fill="auto"/>
            <w:vAlign w:val="bottom"/>
          </w:tcPr>
          <w:p w14:paraId="0F7017E8" w14:textId="5A69FA19" w:rsidR="00C43BF8" w:rsidRPr="0085237C" w:rsidRDefault="009654E6"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1.911</w:t>
            </w:r>
          </w:p>
        </w:tc>
        <w:tc>
          <w:tcPr>
            <w:tcW w:w="1418" w:type="dxa"/>
            <w:shd w:val="clear" w:color="auto" w:fill="auto"/>
            <w:vAlign w:val="bottom"/>
          </w:tcPr>
          <w:p w14:paraId="5A51E843" w14:textId="624C3999" w:rsidR="00C43BF8" w:rsidRPr="0085237C" w:rsidRDefault="009654E6">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2.793</w:t>
            </w:r>
          </w:p>
        </w:tc>
        <w:tc>
          <w:tcPr>
            <w:tcW w:w="1346" w:type="dxa"/>
            <w:vAlign w:val="bottom"/>
          </w:tcPr>
          <w:p w14:paraId="13482909" w14:textId="1EC2DDFD" w:rsidR="00C43BF8" w:rsidRPr="00CF07C7" w:rsidRDefault="003F5BD5">
            <w:pPr>
              <w:spacing w:after="160" w:line="259" w:lineRule="auto"/>
              <w:jc w:val="right"/>
              <w:rPr>
                <w:rFonts w:ascii="Arial" w:eastAsia="Calibri" w:hAnsi="Arial" w:cs="Arial"/>
                <w:color w:val="000000"/>
                <w:sz w:val="16"/>
                <w:szCs w:val="16"/>
                <w:lang w:val="es-ES_tradnl"/>
              </w:rPr>
            </w:pPr>
            <w:r w:rsidRPr="006E1AF7">
              <w:rPr>
                <w:rFonts w:ascii="Arial" w:eastAsia="Calibri" w:hAnsi="Arial" w:cs="Arial"/>
                <w:color w:val="000000"/>
                <w:sz w:val="16"/>
                <w:szCs w:val="16"/>
                <w:lang w:val="es-ES_tradnl"/>
              </w:rPr>
              <w:t>21.108</w:t>
            </w:r>
          </w:p>
        </w:tc>
        <w:tc>
          <w:tcPr>
            <w:tcW w:w="1277" w:type="dxa"/>
            <w:shd w:val="clear" w:color="auto" w:fill="auto"/>
            <w:vAlign w:val="bottom"/>
          </w:tcPr>
          <w:p w14:paraId="525AF7D0" w14:textId="34CAE88F" w:rsidR="00C43BF8" w:rsidRPr="0085237C" w:rsidRDefault="00CF07C7">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r>
      <w:tr w:rsidR="00C43BF8" w:rsidRPr="001B2F17" w14:paraId="76107971" w14:textId="77777777" w:rsidTr="006E1AF7">
        <w:trPr>
          <w:gridAfter w:val="1"/>
          <w:wAfter w:w="14" w:type="dxa"/>
          <w:trHeight w:val="20"/>
        </w:trPr>
        <w:tc>
          <w:tcPr>
            <w:tcW w:w="2725" w:type="dxa"/>
            <w:shd w:val="clear" w:color="auto" w:fill="auto"/>
            <w:vAlign w:val="center"/>
            <w:hideMark/>
          </w:tcPr>
          <w:p w14:paraId="207EDFFC" w14:textId="77777777" w:rsidR="00C43BF8" w:rsidRPr="0085237C" w:rsidRDefault="00C43BF8" w:rsidP="00A50BF1">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rPr>
              <w:t>Tarjeta Automática S.A.</w:t>
            </w:r>
          </w:p>
        </w:tc>
        <w:tc>
          <w:tcPr>
            <w:tcW w:w="1596" w:type="dxa"/>
            <w:vAlign w:val="bottom"/>
          </w:tcPr>
          <w:p w14:paraId="3E638CC1" w14:textId="3D670E2E" w:rsidR="00C43BF8" w:rsidRPr="0085237C" w:rsidRDefault="009654E6"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c>
          <w:tcPr>
            <w:tcW w:w="1277" w:type="dxa"/>
            <w:shd w:val="clear" w:color="auto" w:fill="auto"/>
            <w:vAlign w:val="bottom"/>
          </w:tcPr>
          <w:p w14:paraId="1C433241" w14:textId="1CEA3516" w:rsidR="00C43BF8" w:rsidRPr="0085237C" w:rsidRDefault="009654E6"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34</w:t>
            </w:r>
          </w:p>
        </w:tc>
        <w:tc>
          <w:tcPr>
            <w:tcW w:w="1418" w:type="dxa"/>
            <w:shd w:val="clear" w:color="auto" w:fill="auto"/>
            <w:vAlign w:val="bottom"/>
          </w:tcPr>
          <w:p w14:paraId="58EBA068" w14:textId="64B957FA" w:rsidR="00C43BF8" w:rsidRPr="0085237C" w:rsidRDefault="009654E6"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435</w:t>
            </w:r>
          </w:p>
        </w:tc>
        <w:tc>
          <w:tcPr>
            <w:tcW w:w="1346" w:type="dxa"/>
            <w:vAlign w:val="bottom"/>
          </w:tcPr>
          <w:p w14:paraId="6275A9D8" w14:textId="3570F04E" w:rsidR="00C43BF8" w:rsidRPr="0085237C" w:rsidRDefault="009654E6"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c>
          <w:tcPr>
            <w:tcW w:w="1277" w:type="dxa"/>
            <w:shd w:val="clear" w:color="auto" w:fill="auto"/>
            <w:vAlign w:val="bottom"/>
          </w:tcPr>
          <w:p w14:paraId="5701AB2B" w14:textId="48BFBC0C" w:rsidR="00C43BF8" w:rsidRPr="0085237C" w:rsidRDefault="009654E6"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r>
      <w:tr w:rsidR="00C43BF8" w:rsidRPr="003D7E1E" w14:paraId="1C5A936B" w14:textId="77777777" w:rsidTr="006E1AF7">
        <w:trPr>
          <w:gridAfter w:val="1"/>
          <w:wAfter w:w="14" w:type="dxa"/>
          <w:trHeight w:val="20"/>
        </w:trPr>
        <w:tc>
          <w:tcPr>
            <w:tcW w:w="2725" w:type="dxa"/>
            <w:shd w:val="clear" w:color="auto" w:fill="auto"/>
            <w:vAlign w:val="center"/>
            <w:hideMark/>
          </w:tcPr>
          <w:p w14:paraId="710FE8AC" w14:textId="77777777" w:rsidR="00C43BF8" w:rsidRPr="0085237C" w:rsidRDefault="00C43BF8" w:rsidP="00A50BF1">
            <w:pPr>
              <w:spacing w:after="160" w:line="259" w:lineRule="auto"/>
              <w:rPr>
                <w:rFonts w:ascii="Arial" w:eastAsia="Calibri" w:hAnsi="Arial" w:cs="Arial"/>
                <w:color w:val="000000"/>
                <w:sz w:val="16"/>
                <w:szCs w:val="16"/>
                <w:lang w:val="en-US" w:eastAsia="es-AR"/>
              </w:rPr>
            </w:pPr>
            <w:r w:rsidRPr="0085237C">
              <w:rPr>
                <w:rFonts w:ascii="Arial" w:eastAsia="Calibri" w:hAnsi="Arial" w:cs="Arial"/>
                <w:color w:val="000000"/>
                <w:sz w:val="16"/>
                <w:szCs w:val="16"/>
                <w:lang w:val="fr-FR"/>
              </w:rPr>
              <w:t>Supervielle Asset Management S.A.</w:t>
            </w:r>
          </w:p>
        </w:tc>
        <w:tc>
          <w:tcPr>
            <w:tcW w:w="1596" w:type="dxa"/>
            <w:vAlign w:val="bottom"/>
          </w:tcPr>
          <w:p w14:paraId="0A5DFBCF" w14:textId="7E9DFEC8" w:rsidR="00C43BF8" w:rsidRPr="00C7765D" w:rsidRDefault="009654E6" w:rsidP="00A50BF1">
            <w:pPr>
              <w:spacing w:after="160" w:line="259" w:lineRule="auto"/>
              <w:jc w:val="right"/>
              <w:rPr>
                <w:rFonts w:ascii="Arial" w:eastAsia="Calibri" w:hAnsi="Arial" w:cs="Arial"/>
                <w:color w:val="000000"/>
                <w:sz w:val="16"/>
                <w:szCs w:val="16"/>
                <w:lang w:val="en-US"/>
              </w:rPr>
            </w:pPr>
            <w:r>
              <w:rPr>
                <w:rFonts w:ascii="Arial" w:eastAsia="Calibri" w:hAnsi="Arial" w:cs="Arial"/>
                <w:color w:val="000000"/>
                <w:sz w:val="16"/>
                <w:szCs w:val="16"/>
                <w:lang w:val="en-US"/>
              </w:rPr>
              <w:t>-</w:t>
            </w:r>
          </w:p>
        </w:tc>
        <w:tc>
          <w:tcPr>
            <w:tcW w:w="1277" w:type="dxa"/>
            <w:shd w:val="clear" w:color="auto" w:fill="auto"/>
            <w:vAlign w:val="bottom"/>
          </w:tcPr>
          <w:p w14:paraId="4288A87C" w14:textId="0E444A7A" w:rsidR="00C43BF8" w:rsidRPr="00C7765D" w:rsidRDefault="009654E6" w:rsidP="00A50BF1">
            <w:pPr>
              <w:spacing w:after="160" w:line="259" w:lineRule="auto"/>
              <w:jc w:val="right"/>
              <w:rPr>
                <w:rFonts w:ascii="Arial" w:eastAsia="Calibri" w:hAnsi="Arial" w:cs="Arial"/>
                <w:color w:val="000000"/>
                <w:sz w:val="16"/>
                <w:szCs w:val="16"/>
                <w:lang w:val="en-US"/>
              </w:rPr>
            </w:pPr>
            <w:r>
              <w:rPr>
                <w:rFonts w:ascii="Arial" w:eastAsia="Calibri" w:hAnsi="Arial" w:cs="Arial"/>
                <w:color w:val="000000"/>
                <w:sz w:val="16"/>
                <w:szCs w:val="16"/>
                <w:lang w:val="en-US"/>
              </w:rPr>
              <w:t>-</w:t>
            </w:r>
          </w:p>
        </w:tc>
        <w:tc>
          <w:tcPr>
            <w:tcW w:w="1418" w:type="dxa"/>
            <w:shd w:val="clear" w:color="auto" w:fill="auto"/>
            <w:vAlign w:val="bottom"/>
          </w:tcPr>
          <w:p w14:paraId="0FB47BD6" w14:textId="05F4BBB3" w:rsidR="00C43BF8" w:rsidRPr="00C7765D" w:rsidRDefault="009654E6">
            <w:pPr>
              <w:spacing w:after="160" w:line="259" w:lineRule="auto"/>
              <w:jc w:val="right"/>
              <w:rPr>
                <w:rFonts w:ascii="Arial" w:eastAsia="Calibri" w:hAnsi="Arial" w:cs="Arial"/>
                <w:color w:val="000000"/>
                <w:sz w:val="16"/>
                <w:szCs w:val="16"/>
                <w:lang w:val="en-US"/>
              </w:rPr>
            </w:pPr>
            <w:r>
              <w:rPr>
                <w:rFonts w:ascii="Arial" w:eastAsia="Calibri" w:hAnsi="Arial" w:cs="Arial"/>
                <w:color w:val="000000"/>
                <w:sz w:val="16"/>
                <w:szCs w:val="16"/>
                <w:lang w:val="en-US"/>
              </w:rPr>
              <w:t>2.730</w:t>
            </w:r>
          </w:p>
        </w:tc>
        <w:tc>
          <w:tcPr>
            <w:tcW w:w="1346" w:type="dxa"/>
            <w:vAlign w:val="bottom"/>
          </w:tcPr>
          <w:p w14:paraId="19FF6B9B" w14:textId="18D169E4" w:rsidR="00C43BF8" w:rsidRPr="006E1AF7" w:rsidRDefault="009654E6" w:rsidP="00A50BF1">
            <w:pPr>
              <w:spacing w:after="160" w:line="259" w:lineRule="auto"/>
              <w:jc w:val="right"/>
              <w:rPr>
                <w:rFonts w:ascii="Arial" w:eastAsia="Calibri" w:hAnsi="Arial" w:cs="Arial"/>
                <w:color w:val="000000"/>
                <w:sz w:val="16"/>
                <w:szCs w:val="16"/>
                <w:lang w:val="es-ES_tradnl"/>
              </w:rPr>
            </w:pPr>
            <w:r w:rsidRPr="006E1AF7">
              <w:rPr>
                <w:rFonts w:ascii="Arial" w:eastAsia="Calibri" w:hAnsi="Arial" w:cs="Arial"/>
                <w:color w:val="000000"/>
                <w:sz w:val="16"/>
                <w:szCs w:val="16"/>
                <w:lang w:val="es-ES_tradnl"/>
              </w:rPr>
              <w:t>-</w:t>
            </w:r>
          </w:p>
        </w:tc>
        <w:tc>
          <w:tcPr>
            <w:tcW w:w="1277" w:type="dxa"/>
            <w:shd w:val="clear" w:color="auto" w:fill="auto"/>
            <w:vAlign w:val="bottom"/>
          </w:tcPr>
          <w:p w14:paraId="76CFC8E3" w14:textId="34D81B95" w:rsidR="00C43BF8" w:rsidRPr="006E1AF7" w:rsidRDefault="009654E6" w:rsidP="00A50BF1">
            <w:pPr>
              <w:spacing w:after="160" w:line="259" w:lineRule="auto"/>
              <w:jc w:val="right"/>
              <w:rPr>
                <w:rFonts w:ascii="Arial" w:eastAsia="Calibri" w:hAnsi="Arial" w:cs="Arial"/>
                <w:color w:val="000000"/>
                <w:sz w:val="16"/>
                <w:szCs w:val="16"/>
                <w:lang w:val="es-ES_tradnl"/>
              </w:rPr>
            </w:pPr>
            <w:r w:rsidRPr="006E1AF7">
              <w:rPr>
                <w:rFonts w:ascii="Arial" w:eastAsia="Calibri" w:hAnsi="Arial" w:cs="Arial"/>
                <w:color w:val="000000"/>
                <w:sz w:val="16"/>
                <w:szCs w:val="16"/>
                <w:lang w:val="es-ES_tradnl"/>
              </w:rPr>
              <w:t>-</w:t>
            </w:r>
          </w:p>
        </w:tc>
      </w:tr>
      <w:tr w:rsidR="00C43BF8" w:rsidRPr="003D7E1E" w14:paraId="06C1482A" w14:textId="77777777" w:rsidTr="006E1AF7">
        <w:trPr>
          <w:gridAfter w:val="1"/>
          <w:wAfter w:w="14" w:type="dxa"/>
          <w:trHeight w:val="20"/>
        </w:trPr>
        <w:tc>
          <w:tcPr>
            <w:tcW w:w="2725" w:type="dxa"/>
            <w:shd w:val="clear" w:color="auto" w:fill="auto"/>
            <w:vAlign w:val="center"/>
          </w:tcPr>
          <w:p w14:paraId="59D63986" w14:textId="3D4B3C88" w:rsidR="00C43BF8" w:rsidRPr="0023020F" w:rsidRDefault="00C43BF8" w:rsidP="00A50BF1">
            <w:pPr>
              <w:spacing w:after="160" w:line="259" w:lineRule="auto"/>
              <w:rPr>
                <w:rFonts w:ascii="Arial" w:eastAsia="Calibri" w:hAnsi="Arial" w:cs="Arial"/>
                <w:color w:val="000000"/>
                <w:sz w:val="16"/>
                <w:szCs w:val="16"/>
                <w:lang w:val="en-US"/>
              </w:rPr>
            </w:pPr>
            <w:r w:rsidRPr="0023020F">
              <w:rPr>
                <w:rFonts w:ascii="Arial" w:eastAsia="Calibri" w:hAnsi="Arial" w:cs="Arial"/>
                <w:color w:val="000000"/>
                <w:sz w:val="16"/>
                <w:szCs w:val="16"/>
                <w:lang w:val="en-US"/>
              </w:rPr>
              <w:t>Invertir OnLine S.A.</w:t>
            </w:r>
            <w:r w:rsidR="00E462C7" w:rsidRPr="0023020F">
              <w:rPr>
                <w:rFonts w:ascii="Arial" w:eastAsia="Calibri" w:hAnsi="Arial" w:cs="Arial"/>
                <w:color w:val="000000"/>
                <w:sz w:val="16"/>
                <w:szCs w:val="16"/>
                <w:lang w:val="en-US"/>
              </w:rPr>
              <w:t>U</w:t>
            </w:r>
            <w:r w:rsidR="00E462C7">
              <w:rPr>
                <w:rFonts w:ascii="Arial" w:eastAsia="Calibri" w:hAnsi="Arial" w:cs="Arial"/>
                <w:color w:val="000000"/>
                <w:sz w:val="16"/>
                <w:szCs w:val="16"/>
                <w:lang w:val="en-US"/>
              </w:rPr>
              <w:t>.</w:t>
            </w:r>
          </w:p>
        </w:tc>
        <w:tc>
          <w:tcPr>
            <w:tcW w:w="1596" w:type="dxa"/>
            <w:vAlign w:val="bottom"/>
          </w:tcPr>
          <w:p w14:paraId="0A69B8BA" w14:textId="61A6EF1B" w:rsidR="00C43BF8" w:rsidRPr="00C7765D" w:rsidRDefault="009654E6" w:rsidP="00A50BF1">
            <w:pPr>
              <w:spacing w:after="160" w:line="259" w:lineRule="auto"/>
              <w:jc w:val="right"/>
              <w:rPr>
                <w:rFonts w:ascii="Arial" w:eastAsia="Calibri" w:hAnsi="Arial" w:cs="Arial"/>
                <w:color w:val="000000"/>
                <w:sz w:val="16"/>
                <w:szCs w:val="16"/>
                <w:lang w:val="en-US"/>
              </w:rPr>
            </w:pPr>
            <w:r>
              <w:rPr>
                <w:rFonts w:ascii="Arial" w:eastAsia="Calibri" w:hAnsi="Arial" w:cs="Arial"/>
                <w:color w:val="000000"/>
                <w:sz w:val="16"/>
                <w:szCs w:val="16"/>
                <w:lang w:val="en-US"/>
              </w:rPr>
              <w:t>-</w:t>
            </w:r>
          </w:p>
        </w:tc>
        <w:tc>
          <w:tcPr>
            <w:tcW w:w="1277" w:type="dxa"/>
            <w:shd w:val="clear" w:color="auto" w:fill="auto"/>
            <w:vAlign w:val="bottom"/>
          </w:tcPr>
          <w:p w14:paraId="0191305D" w14:textId="5C2FBFB1" w:rsidR="00C43BF8" w:rsidRPr="00C7765D" w:rsidRDefault="009654E6" w:rsidP="00A50BF1">
            <w:pPr>
              <w:spacing w:after="160" w:line="259" w:lineRule="auto"/>
              <w:jc w:val="right"/>
              <w:rPr>
                <w:rFonts w:ascii="Arial" w:eastAsia="Calibri" w:hAnsi="Arial" w:cs="Arial"/>
                <w:color w:val="000000"/>
                <w:sz w:val="16"/>
                <w:szCs w:val="16"/>
                <w:lang w:val="en-US"/>
              </w:rPr>
            </w:pPr>
            <w:r>
              <w:rPr>
                <w:rFonts w:ascii="Arial" w:eastAsia="Calibri" w:hAnsi="Arial" w:cs="Arial"/>
                <w:color w:val="000000"/>
                <w:sz w:val="16"/>
                <w:szCs w:val="16"/>
                <w:lang w:val="en-US"/>
              </w:rPr>
              <w:t>-</w:t>
            </w:r>
          </w:p>
        </w:tc>
        <w:tc>
          <w:tcPr>
            <w:tcW w:w="1418" w:type="dxa"/>
            <w:shd w:val="clear" w:color="auto" w:fill="auto"/>
            <w:vAlign w:val="bottom"/>
          </w:tcPr>
          <w:p w14:paraId="39F8FE95" w14:textId="4B7D02B8" w:rsidR="00C43BF8" w:rsidRPr="00C7765D" w:rsidRDefault="00210921">
            <w:pPr>
              <w:spacing w:after="160" w:line="259" w:lineRule="auto"/>
              <w:jc w:val="right"/>
              <w:rPr>
                <w:rFonts w:ascii="Arial" w:eastAsia="Calibri" w:hAnsi="Arial" w:cs="Arial"/>
                <w:color w:val="000000"/>
                <w:sz w:val="16"/>
                <w:szCs w:val="16"/>
                <w:lang w:val="en-US"/>
              </w:rPr>
            </w:pPr>
            <w:r>
              <w:rPr>
                <w:rFonts w:ascii="Arial" w:eastAsia="Calibri" w:hAnsi="Arial" w:cs="Arial"/>
                <w:color w:val="000000"/>
                <w:sz w:val="16"/>
                <w:szCs w:val="16"/>
                <w:lang w:val="en-US"/>
              </w:rPr>
              <w:t>1.538.346</w:t>
            </w:r>
          </w:p>
        </w:tc>
        <w:tc>
          <w:tcPr>
            <w:tcW w:w="1346" w:type="dxa"/>
            <w:vAlign w:val="bottom"/>
          </w:tcPr>
          <w:p w14:paraId="204B66B6" w14:textId="15DE3A51" w:rsidR="00C43BF8" w:rsidRPr="006E1AF7" w:rsidRDefault="00210921" w:rsidP="00A50BF1">
            <w:pPr>
              <w:spacing w:after="160" w:line="259" w:lineRule="auto"/>
              <w:jc w:val="right"/>
              <w:rPr>
                <w:rFonts w:ascii="Arial" w:eastAsia="Calibri" w:hAnsi="Arial" w:cs="Arial"/>
                <w:color w:val="000000"/>
                <w:sz w:val="16"/>
                <w:szCs w:val="16"/>
                <w:lang w:val="es-ES_tradnl"/>
              </w:rPr>
            </w:pPr>
            <w:r w:rsidRPr="006E1AF7">
              <w:rPr>
                <w:rFonts w:ascii="Arial" w:eastAsia="Calibri" w:hAnsi="Arial" w:cs="Arial"/>
                <w:color w:val="000000"/>
                <w:sz w:val="16"/>
                <w:szCs w:val="16"/>
                <w:lang w:val="es-ES_tradnl"/>
              </w:rPr>
              <w:t>-</w:t>
            </w:r>
          </w:p>
        </w:tc>
        <w:tc>
          <w:tcPr>
            <w:tcW w:w="1277" w:type="dxa"/>
            <w:shd w:val="clear" w:color="auto" w:fill="auto"/>
            <w:vAlign w:val="bottom"/>
          </w:tcPr>
          <w:p w14:paraId="07B00520" w14:textId="096FF75E" w:rsidR="00C43BF8" w:rsidRPr="006E1AF7" w:rsidRDefault="00210921" w:rsidP="00A50BF1">
            <w:pPr>
              <w:spacing w:after="160" w:line="259" w:lineRule="auto"/>
              <w:jc w:val="right"/>
              <w:rPr>
                <w:rFonts w:ascii="Arial" w:eastAsia="Calibri" w:hAnsi="Arial" w:cs="Arial"/>
                <w:color w:val="000000"/>
                <w:sz w:val="16"/>
                <w:szCs w:val="16"/>
                <w:lang w:val="es-ES_tradnl"/>
              </w:rPr>
            </w:pPr>
            <w:r w:rsidRPr="006E1AF7">
              <w:rPr>
                <w:rFonts w:ascii="Arial" w:eastAsia="Calibri" w:hAnsi="Arial" w:cs="Arial"/>
                <w:color w:val="000000"/>
                <w:sz w:val="16"/>
                <w:szCs w:val="16"/>
                <w:lang w:val="es-ES_tradnl"/>
              </w:rPr>
              <w:t>-</w:t>
            </w:r>
          </w:p>
        </w:tc>
      </w:tr>
      <w:tr w:rsidR="00C43BF8" w:rsidRPr="001B2F17" w14:paraId="3F089CF2" w14:textId="77777777" w:rsidTr="006E1AF7">
        <w:trPr>
          <w:gridAfter w:val="1"/>
          <w:wAfter w:w="14" w:type="dxa"/>
          <w:trHeight w:val="20"/>
        </w:trPr>
        <w:tc>
          <w:tcPr>
            <w:tcW w:w="2725" w:type="dxa"/>
            <w:shd w:val="clear" w:color="auto" w:fill="auto"/>
            <w:vAlign w:val="center"/>
          </w:tcPr>
          <w:p w14:paraId="3FFA14D3" w14:textId="16AAC284" w:rsidR="00C43BF8" w:rsidRPr="0085237C" w:rsidRDefault="00C43BF8" w:rsidP="00A50BF1">
            <w:pPr>
              <w:spacing w:after="160" w:line="259" w:lineRule="auto"/>
              <w:rPr>
                <w:rFonts w:ascii="Arial" w:eastAsia="Calibri" w:hAnsi="Arial" w:cs="Arial"/>
                <w:color w:val="000000"/>
                <w:sz w:val="16"/>
                <w:szCs w:val="16"/>
              </w:rPr>
            </w:pPr>
            <w:r w:rsidRPr="0085237C">
              <w:rPr>
                <w:rFonts w:ascii="Arial" w:eastAsia="Calibri" w:hAnsi="Arial" w:cs="Arial"/>
                <w:color w:val="000000"/>
                <w:sz w:val="16"/>
                <w:szCs w:val="16"/>
              </w:rPr>
              <w:t>Invertir OnLine.com Argentina S.A.</w:t>
            </w:r>
            <w:r w:rsidR="00315310">
              <w:rPr>
                <w:rFonts w:ascii="Arial" w:eastAsia="Calibri" w:hAnsi="Arial" w:cs="Arial"/>
                <w:color w:val="000000"/>
                <w:sz w:val="16"/>
                <w:szCs w:val="16"/>
              </w:rPr>
              <w:t>U</w:t>
            </w:r>
            <w:r w:rsidR="003638C3">
              <w:rPr>
                <w:rFonts w:ascii="Arial" w:eastAsia="Calibri" w:hAnsi="Arial" w:cs="Arial"/>
                <w:color w:val="000000"/>
                <w:sz w:val="16"/>
                <w:szCs w:val="16"/>
              </w:rPr>
              <w:t>.</w:t>
            </w:r>
          </w:p>
        </w:tc>
        <w:tc>
          <w:tcPr>
            <w:tcW w:w="1596" w:type="dxa"/>
            <w:vAlign w:val="bottom"/>
          </w:tcPr>
          <w:p w14:paraId="77FDCAE0" w14:textId="27717EA2" w:rsidR="00C43BF8" w:rsidRPr="0085237C" w:rsidDel="00293759" w:rsidRDefault="00210921" w:rsidP="00A50BF1">
            <w:pPr>
              <w:spacing w:after="160" w:line="259" w:lineRule="auto"/>
              <w:jc w:val="right"/>
              <w:rPr>
                <w:rFonts w:ascii="Arial" w:eastAsia="Calibri" w:hAnsi="Arial" w:cs="Arial"/>
                <w:color w:val="000000"/>
                <w:sz w:val="16"/>
                <w:szCs w:val="16"/>
              </w:rPr>
            </w:pPr>
            <w:r>
              <w:rPr>
                <w:rFonts w:ascii="Arial" w:eastAsia="Calibri" w:hAnsi="Arial" w:cs="Arial"/>
                <w:color w:val="000000"/>
                <w:sz w:val="16"/>
                <w:szCs w:val="16"/>
              </w:rPr>
              <w:t>-</w:t>
            </w:r>
          </w:p>
        </w:tc>
        <w:tc>
          <w:tcPr>
            <w:tcW w:w="1277" w:type="dxa"/>
            <w:shd w:val="clear" w:color="auto" w:fill="auto"/>
            <w:vAlign w:val="bottom"/>
          </w:tcPr>
          <w:p w14:paraId="2D07FCF6" w14:textId="4813CA25" w:rsidR="00C43BF8" w:rsidRPr="0085237C" w:rsidRDefault="00210921" w:rsidP="00A50BF1">
            <w:pPr>
              <w:spacing w:after="160" w:line="259" w:lineRule="auto"/>
              <w:jc w:val="right"/>
              <w:rPr>
                <w:rFonts w:ascii="Arial" w:eastAsia="Calibri" w:hAnsi="Arial" w:cs="Arial"/>
                <w:color w:val="000000"/>
                <w:sz w:val="16"/>
                <w:szCs w:val="16"/>
              </w:rPr>
            </w:pPr>
            <w:r>
              <w:rPr>
                <w:rFonts w:ascii="Arial" w:eastAsia="Calibri" w:hAnsi="Arial" w:cs="Arial"/>
                <w:color w:val="000000"/>
                <w:sz w:val="16"/>
                <w:szCs w:val="16"/>
              </w:rPr>
              <w:t>-</w:t>
            </w:r>
          </w:p>
        </w:tc>
        <w:tc>
          <w:tcPr>
            <w:tcW w:w="1418" w:type="dxa"/>
            <w:shd w:val="clear" w:color="auto" w:fill="auto"/>
            <w:vAlign w:val="bottom"/>
          </w:tcPr>
          <w:p w14:paraId="268040BC" w14:textId="324EEF84" w:rsidR="00C43BF8" w:rsidRPr="0085237C" w:rsidDel="00293759" w:rsidRDefault="00210921" w:rsidP="00A50BF1">
            <w:pPr>
              <w:spacing w:after="160" w:line="259" w:lineRule="auto"/>
              <w:jc w:val="right"/>
              <w:rPr>
                <w:rFonts w:ascii="Arial" w:eastAsia="Calibri" w:hAnsi="Arial" w:cs="Arial"/>
                <w:color w:val="000000"/>
                <w:sz w:val="16"/>
                <w:szCs w:val="16"/>
              </w:rPr>
            </w:pPr>
            <w:r>
              <w:rPr>
                <w:rFonts w:ascii="Arial" w:eastAsia="Calibri" w:hAnsi="Arial" w:cs="Arial"/>
                <w:color w:val="000000"/>
                <w:sz w:val="16"/>
                <w:szCs w:val="16"/>
              </w:rPr>
              <w:t>2.435</w:t>
            </w:r>
          </w:p>
        </w:tc>
        <w:tc>
          <w:tcPr>
            <w:tcW w:w="1346" w:type="dxa"/>
            <w:vAlign w:val="bottom"/>
          </w:tcPr>
          <w:p w14:paraId="21403E32" w14:textId="194764AF" w:rsidR="00C43BF8" w:rsidRPr="006E1AF7" w:rsidRDefault="00210921" w:rsidP="00A50BF1">
            <w:pPr>
              <w:spacing w:after="160" w:line="259" w:lineRule="auto"/>
              <w:jc w:val="right"/>
              <w:rPr>
                <w:rFonts w:ascii="Arial" w:eastAsia="Calibri" w:hAnsi="Arial" w:cs="Arial"/>
                <w:color w:val="000000"/>
                <w:sz w:val="16"/>
                <w:szCs w:val="16"/>
                <w:lang w:val="es-ES_tradnl"/>
              </w:rPr>
            </w:pPr>
            <w:r w:rsidRPr="006E1AF7">
              <w:rPr>
                <w:rFonts w:ascii="Arial" w:eastAsia="Calibri" w:hAnsi="Arial" w:cs="Arial"/>
                <w:color w:val="000000"/>
                <w:sz w:val="16"/>
                <w:szCs w:val="16"/>
                <w:lang w:val="es-ES_tradnl"/>
              </w:rPr>
              <w:t>-</w:t>
            </w:r>
          </w:p>
        </w:tc>
        <w:tc>
          <w:tcPr>
            <w:tcW w:w="1277" w:type="dxa"/>
            <w:shd w:val="clear" w:color="auto" w:fill="auto"/>
            <w:vAlign w:val="bottom"/>
          </w:tcPr>
          <w:p w14:paraId="389ECC19" w14:textId="62EE5D39" w:rsidR="00C43BF8" w:rsidRPr="006E1AF7" w:rsidRDefault="00210921" w:rsidP="00A50BF1">
            <w:pPr>
              <w:spacing w:after="160" w:line="259" w:lineRule="auto"/>
              <w:jc w:val="right"/>
              <w:rPr>
                <w:rFonts w:ascii="Arial" w:eastAsia="Calibri" w:hAnsi="Arial" w:cs="Arial"/>
                <w:color w:val="000000"/>
                <w:sz w:val="16"/>
                <w:szCs w:val="16"/>
                <w:lang w:val="es-ES_tradnl"/>
              </w:rPr>
            </w:pPr>
            <w:r w:rsidRPr="006E1AF7">
              <w:rPr>
                <w:rFonts w:ascii="Arial" w:eastAsia="Calibri" w:hAnsi="Arial" w:cs="Arial"/>
                <w:color w:val="000000"/>
                <w:sz w:val="16"/>
                <w:szCs w:val="16"/>
                <w:lang w:val="es-ES_tradnl"/>
              </w:rPr>
              <w:t>-</w:t>
            </w:r>
          </w:p>
        </w:tc>
      </w:tr>
      <w:tr w:rsidR="00C43BF8" w:rsidRPr="003D7E1E" w14:paraId="73BF4742" w14:textId="77777777" w:rsidTr="006E1AF7">
        <w:trPr>
          <w:gridAfter w:val="1"/>
          <w:wAfter w:w="14" w:type="dxa"/>
          <w:trHeight w:val="20"/>
        </w:trPr>
        <w:tc>
          <w:tcPr>
            <w:tcW w:w="2725" w:type="dxa"/>
            <w:shd w:val="clear" w:color="auto" w:fill="auto"/>
            <w:vAlign w:val="center"/>
          </w:tcPr>
          <w:p w14:paraId="4879BCCA" w14:textId="54D2C75A" w:rsidR="00C43BF8" w:rsidRPr="0023020F" w:rsidRDefault="00C43BF8" w:rsidP="00A50BF1">
            <w:pPr>
              <w:spacing w:after="160" w:line="259" w:lineRule="auto"/>
              <w:rPr>
                <w:rFonts w:ascii="Arial" w:eastAsia="Calibri" w:hAnsi="Arial" w:cs="Arial"/>
                <w:color w:val="000000"/>
                <w:sz w:val="16"/>
                <w:szCs w:val="16"/>
                <w:lang w:val="en-US"/>
              </w:rPr>
            </w:pPr>
            <w:r w:rsidRPr="0023020F">
              <w:rPr>
                <w:rFonts w:ascii="Arial" w:eastAsia="Calibri" w:hAnsi="Arial" w:cs="Arial"/>
                <w:color w:val="000000"/>
                <w:sz w:val="16"/>
                <w:szCs w:val="16"/>
                <w:lang w:val="en-US"/>
              </w:rPr>
              <w:t>Micro Lending S.A.</w:t>
            </w:r>
            <w:r w:rsidR="00E462C7" w:rsidRPr="0023020F">
              <w:rPr>
                <w:rFonts w:ascii="Arial" w:eastAsia="Calibri" w:hAnsi="Arial" w:cs="Arial"/>
                <w:color w:val="000000"/>
                <w:sz w:val="16"/>
                <w:szCs w:val="16"/>
                <w:lang w:val="en-US"/>
              </w:rPr>
              <w:t>U.</w:t>
            </w:r>
          </w:p>
        </w:tc>
        <w:tc>
          <w:tcPr>
            <w:tcW w:w="1596" w:type="dxa"/>
            <w:vAlign w:val="bottom"/>
          </w:tcPr>
          <w:p w14:paraId="014C792A" w14:textId="340268C1" w:rsidR="00C43BF8" w:rsidRPr="00C7765D" w:rsidDel="00293759" w:rsidRDefault="00210921">
            <w:pPr>
              <w:spacing w:after="160" w:line="259" w:lineRule="auto"/>
              <w:jc w:val="right"/>
              <w:rPr>
                <w:rFonts w:ascii="Arial" w:eastAsia="Calibri" w:hAnsi="Arial" w:cs="Arial"/>
                <w:color w:val="000000"/>
                <w:sz w:val="16"/>
                <w:szCs w:val="16"/>
                <w:lang w:val="en-US"/>
              </w:rPr>
            </w:pPr>
            <w:r>
              <w:rPr>
                <w:rFonts w:ascii="Arial" w:eastAsia="Calibri" w:hAnsi="Arial" w:cs="Arial"/>
                <w:color w:val="000000"/>
                <w:sz w:val="16"/>
                <w:szCs w:val="16"/>
                <w:lang w:val="en-US"/>
              </w:rPr>
              <w:t>4.735</w:t>
            </w:r>
          </w:p>
        </w:tc>
        <w:tc>
          <w:tcPr>
            <w:tcW w:w="1277" w:type="dxa"/>
            <w:shd w:val="clear" w:color="auto" w:fill="auto"/>
            <w:vAlign w:val="bottom"/>
          </w:tcPr>
          <w:p w14:paraId="01ADC14C" w14:textId="6E216C7D" w:rsidR="00C43BF8" w:rsidRPr="00C7765D" w:rsidRDefault="00210921">
            <w:pPr>
              <w:spacing w:after="160" w:line="259" w:lineRule="auto"/>
              <w:jc w:val="right"/>
              <w:rPr>
                <w:rFonts w:ascii="Arial" w:eastAsia="Calibri" w:hAnsi="Arial" w:cs="Arial"/>
                <w:color w:val="000000"/>
                <w:sz w:val="16"/>
                <w:szCs w:val="16"/>
                <w:lang w:val="en-US"/>
              </w:rPr>
            </w:pPr>
            <w:r>
              <w:rPr>
                <w:rFonts w:ascii="Arial" w:eastAsia="Calibri" w:hAnsi="Arial" w:cs="Arial"/>
                <w:color w:val="000000"/>
                <w:sz w:val="16"/>
                <w:szCs w:val="16"/>
                <w:lang w:val="en-US"/>
              </w:rPr>
              <w:t>910</w:t>
            </w:r>
          </w:p>
        </w:tc>
        <w:tc>
          <w:tcPr>
            <w:tcW w:w="1418" w:type="dxa"/>
            <w:shd w:val="clear" w:color="auto" w:fill="auto"/>
            <w:vAlign w:val="bottom"/>
          </w:tcPr>
          <w:p w14:paraId="01DD2D0C" w14:textId="134BE2EF" w:rsidR="00C43BF8" w:rsidRPr="00C7765D" w:rsidDel="00293759" w:rsidRDefault="00210921" w:rsidP="00A50BF1">
            <w:pPr>
              <w:spacing w:after="160" w:line="259" w:lineRule="auto"/>
              <w:jc w:val="right"/>
              <w:rPr>
                <w:rFonts w:ascii="Arial" w:eastAsia="Calibri" w:hAnsi="Arial" w:cs="Arial"/>
                <w:color w:val="000000"/>
                <w:sz w:val="16"/>
                <w:szCs w:val="16"/>
                <w:lang w:val="en-US"/>
              </w:rPr>
            </w:pPr>
            <w:r>
              <w:rPr>
                <w:rFonts w:ascii="Arial" w:eastAsia="Calibri" w:hAnsi="Arial" w:cs="Arial"/>
                <w:color w:val="000000"/>
                <w:sz w:val="16"/>
                <w:szCs w:val="16"/>
                <w:lang w:val="en-US"/>
              </w:rPr>
              <w:t>-</w:t>
            </w:r>
          </w:p>
        </w:tc>
        <w:tc>
          <w:tcPr>
            <w:tcW w:w="1346" w:type="dxa"/>
            <w:vAlign w:val="bottom"/>
          </w:tcPr>
          <w:p w14:paraId="1D15CDD3" w14:textId="674891E2" w:rsidR="00C43BF8" w:rsidRPr="006E1AF7" w:rsidRDefault="00C43BF8" w:rsidP="00A50BF1">
            <w:pPr>
              <w:spacing w:after="160" w:line="259" w:lineRule="auto"/>
              <w:jc w:val="right"/>
              <w:rPr>
                <w:rFonts w:ascii="Arial" w:eastAsia="Calibri" w:hAnsi="Arial" w:cs="Arial"/>
                <w:color w:val="000000"/>
                <w:sz w:val="16"/>
                <w:szCs w:val="16"/>
                <w:lang w:val="es-ES_tradnl"/>
              </w:rPr>
            </w:pPr>
          </w:p>
        </w:tc>
        <w:tc>
          <w:tcPr>
            <w:tcW w:w="1277" w:type="dxa"/>
            <w:shd w:val="clear" w:color="auto" w:fill="auto"/>
            <w:vAlign w:val="bottom"/>
          </w:tcPr>
          <w:p w14:paraId="6885E56C" w14:textId="6611866E" w:rsidR="00C43BF8" w:rsidRPr="006E1AF7" w:rsidRDefault="00CF07C7" w:rsidP="00A50BF1">
            <w:pPr>
              <w:spacing w:after="160" w:line="259" w:lineRule="auto"/>
              <w:jc w:val="right"/>
              <w:rPr>
                <w:rFonts w:ascii="Arial" w:eastAsia="Calibri" w:hAnsi="Arial" w:cs="Arial"/>
                <w:color w:val="000000"/>
                <w:sz w:val="16"/>
                <w:szCs w:val="16"/>
                <w:lang w:val="es-ES_tradnl"/>
              </w:rPr>
            </w:pPr>
            <w:r w:rsidRPr="006E1AF7">
              <w:rPr>
                <w:rFonts w:ascii="Arial" w:eastAsia="Calibri" w:hAnsi="Arial" w:cs="Arial"/>
                <w:color w:val="000000"/>
                <w:sz w:val="16"/>
                <w:szCs w:val="16"/>
                <w:lang w:val="es-ES_tradnl"/>
              </w:rPr>
              <w:t>647</w:t>
            </w:r>
          </w:p>
        </w:tc>
      </w:tr>
      <w:tr w:rsidR="00C43BF8" w:rsidRPr="001B2F17" w14:paraId="45F0CF1A" w14:textId="77777777" w:rsidTr="006E1AF7">
        <w:trPr>
          <w:gridAfter w:val="1"/>
          <w:wAfter w:w="14" w:type="dxa"/>
          <w:trHeight w:val="20"/>
        </w:trPr>
        <w:tc>
          <w:tcPr>
            <w:tcW w:w="2725" w:type="dxa"/>
            <w:shd w:val="clear" w:color="auto" w:fill="auto"/>
            <w:vAlign w:val="center"/>
            <w:hideMark/>
          </w:tcPr>
          <w:p w14:paraId="0C1DA5D1" w14:textId="77777777" w:rsidR="00C43BF8" w:rsidRPr="0085237C" w:rsidRDefault="00C43BF8" w:rsidP="00A50BF1">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rPr>
              <w:t>Grupo Supervielle S.A.</w:t>
            </w:r>
          </w:p>
        </w:tc>
        <w:tc>
          <w:tcPr>
            <w:tcW w:w="1596" w:type="dxa"/>
            <w:vAlign w:val="bottom"/>
          </w:tcPr>
          <w:p w14:paraId="686EF9B2" w14:textId="26A1126B" w:rsidR="00C43BF8" w:rsidRPr="0085237C" w:rsidRDefault="0021092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c>
          <w:tcPr>
            <w:tcW w:w="1277" w:type="dxa"/>
            <w:shd w:val="clear" w:color="auto" w:fill="auto"/>
            <w:vAlign w:val="bottom"/>
          </w:tcPr>
          <w:p w14:paraId="0ED141F0" w14:textId="658F91DD" w:rsidR="00C43BF8" w:rsidRPr="0085237C" w:rsidRDefault="00210921"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68</w:t>
            </w:r>
          </w:p>
        </w:tc>
        <w:tc>
          <w:tcPr>
            <w:tcW w:w="1418" w:type="dxa"/>
            <w:shd w:val="clear" w:color="auto" w:fill="auto"/>
            <w:vAlign w:val="bottom"/>
          </w:tcPr>
          <w:p w14:paraId="0CDB4C89" w14:textId="33433C08" w:rsidR="00C43BF8" w:rsidRPr="0085237C" w:rsidRDefault="0021092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1.425</w:t>
            </w:r>
          </w:p>
        </w:tc>
        <w:tc>
          <w:tcPr>
            <w:tcW w:w="1346" w:type="dxa"/>
            <w:vAlign w:val="bottom"/>
          </w:tcPr>
          <w:p w14:paraId="5413EE06" w14:textId="3562C6FD" w:rsidR="00C43BF8" w:rsidRPr="0085237C" w:rsidRDefault="00210921" w:rsidP="00A50BF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c>
          <w:tcPr>
            <w:tcW w:w="1277" w:type="dxa"/>
            <w:shd w:val="clear" w:color="auto" w:fill="auto"/>
            <w:vAlign w:val="bottom"/>
          </w:tcPr>
          <w:p w14:paraId="1B9F363F" w14:textId="2978A7B6" w:rsidR="00C43BF8" w:rsidRPr="0085237C" w:rsidRDefault="00210921">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w:t>
            </w:r>
          </w:p>
        </w:tc>
      </w:tr>
      <w:tr w:rsidR="00C43BF8" w:rsidRPr="001B2F17" w14:paraId="117912B2" w14:textId="77777777" w:rsidTr="006E1AF7">
        <w:trPr>
          <w:gridAfter w:val="1"/>
          <w:wAfter w:w="14" w:type="dxa"/>
          <w:trHeight w:val="20"/>
        </w:trPr>
        <w:tc>
          <w:tcPr>
            <w:tcW w:w="2725" w:type="dxa"/>
            <w:shd w:val="clear" w:color="auto" w:fill="auto"/>
            <w:vAlign w:val="center"/>
            <w:hideMark/>
          </w:tcPr>
          <w:p w14:paraId="4245E579" w14:textId="77777777" w:rsidR="00C43BF8" w:rsidRPr="0085237C" w:rsidRDefault="00C43BF8" w:rsidP="00A50BF1">
            <w:pPr>
              <w:spacing w:after="160" w:line="259" w:lineRule="auto"/>
              <w:rPr>
                <w:rFonts w:ascii="Arial" w:eastAsia="Calibri" w:hAnsi="Arial" w:cs="Arial"/>
                <w:b/>
                <w:bCs/>
                <w:color w:val="000000"/>
                <w:sz w:val="16"/>
                <w:szCs w:val="16"/>
                <w:lang w:eastAsia="es-AR"/>
              </w:rPr>
            </w:pPr>
            <w:r w:rsidRPr="0085237C">
              <w:rPr>
                <w:rFonts w:ascii="Arial" w:eastAsia="Calibri" w:hAnsi="Arial" w:cs="Arial"/>
                <w:b/>
                <w:bCs/>
                <w:color w:val="000000"/>
                <w:sz w:val="16"/>
                <w:szCs w:val="16"/>
              </w:rPr>
              <w:t>TOTAL</w:t>
            </w:r>
          </w:p>
        </w:tc>
        <w:tc>
          <w:tcPr>
            <w:tcW w:w="1596" w:type="dxa"/>
            <w:vAlign w:val="bottom"/>
          </w:tcPr>
          <w:p w14:paraId="0E81224F" w14:textId="34EBCF4D" w:rsidR="00C43BF8" w:rsidRPr="0085237C" w:rsidRDefault="00210921">
            <w:pPr>
              <w:spacing w:after="160" w:line="259" w:lineRule="auto"/>
              <w:jc w:val="right"/>
              <w:rPr>
                <w:rFonts w:ascii="Arial" w:eastAsia="Calibri" w:hAnsi="Arial" w:cs="Arial"/>
                <w:b/>
                <w:color w:val="000000"/>
                <w:sz w:val="16"/>
                <w:szCs w:val="16"/>
              </w:rPr>
            </w:pPr>
            <w:r>
              <w:rPr>
                <w:rFonts w:ascii="Arial" w:eastAsia="Calibri" w:hAnsi="Arial" w:cs="Arial"/>
                <w:b/>
                <w:color w:val="000000"/>
                <w:sz w:val="16"/>
                <w:szCs w:val="16"/>
              </w:rPr>
              <w:t>30.494</w:t>
            </w:r>
          </w:p>
        </w:tc>
        <w:tc>
          <w:tcPr>
            <w:tcW w:w="1277" w:type="dxa"/>
            <w:shd w:val="clear" w:color="auto" w:fill="auto"/>
            <w:vAlign w:val="bottom"/>
          </w:tcPr>
          <w:p w14:paraId="31056C5B" w14:textId="6387B396" w:rsidR="00C43BF8" w:rsidRPr="0085237C" w:rsidRDefault="00210921">
            <w:pPr>
              <w:spacing w:after="160" w:line="259" w:lineRule="auto"/>
              <w:jc w:val="right"/>
              <w:rPr>
                <w:rFonts w:ascii="Arial" w:eastAsia="Calibri" w:hAnsi="Arial" w:cs="Arial"/>
                <w:b/>
                <w:color w:val="000000"/>
                <w:sz w:val="16"/>
                <w:szCs w:val="16"/>
              </w:rPr>
            </w:pPr>
            <w:r>
              <w:rPr>
                <w:rFonts w:ascii="Arial" w:eastAsia="Calibri" w:hAnsi="Arial" w:cs="Arial"/>
                <w:b/>
                <w:color w:val="000000"/>
                <w:sz w:val="16"/>
                <w:szCs w:val="16"/>
              </w:rPr>
              <w:t>2.923</w:t>
            </w:r>
          </w:p>
        </w:tc>
        <w:tc>
          <w:tcPr>
            <w:tcW w:w="1418" w:type="dxa"/>
            <w:shd w:val="clear" w:color="auto" w:fill="auto"/>
            <w:vAlign w:val="bottom"/>
          </w:tcPr>
          <w:p w14:paraId="381A9F33" w14:textId="249AC589" w:rsidR="00C43BF8" w:rsidRPr="0085237C" w:rsidRDefault="00210921">
            <w:pPr>
              <w:spacing w:after="160" w:line="259" w:lineRule="auto"/>
              <w:jc w:val="right"/>
              <w:rPr>
                <w:rFonts w:ascii="Arial" w:eastAsia="Calibri" w:hAnsi="Arial" w:cs="Arial"/>
                <w:b/>
                <w:color w:val="000000"/>
                <w:sz w:val="16"/>
                <w:szCs w:val="16"/>
              </w:rPr>
            </w:pPr>
            <w:r>
              <w:rPr>
                <w:rFonts w:ascii="Arial" w:eastAsia="Calibri" w:hAnsi="Arial" w:cs="Arial"/>
                <w:b/>
                <w:color w:val="000000"/>
                <w:sz w:val="16"/>
                <w:szCs w:val="16"/>
              </w:rPr>
              <w:t>1.548.507</w:t>
            </w:r>
          </w:p>
        </w:tc>
        <w:tc>
          <w:tcPr>
            <w:tcW w:w="1346" w:type="dxa"/>
            <w:vAlign w:val="center"/>
          </w:tcPr>
          <w:p w14:paraId="705A2D95" w14:textId="495F296A" w:rsidR="00C43BF8" w:rsidRPr="00CF07C7" w:rsidRDefault="003F5BD5">
            <w:pPr>
              <w:spacing w:after="160" w:line="259" w:lineRule="auto"/>
              <w:jc w:val="right"/>
              <w:rPr>
                <w:rFonts w:ascii="Arial" w:eastAsia="Calibri" w:hAnsi="Arial" w:cs="Arial"/>
                <w:b/>
                <w:color w:val="000000"/>
                <w:sz w:val="16"/>
                <w:szCs w:val="16"/>
              </w:rPr>
            </w:pPr>
            <w:r w:rsidRPr="006E1AF7">
              <w:rPr>
                <w:rFonts w:ascii="Arial" w:eastAsia="Calibri" w:hAnsi="Arial" w:cs="Arial"/>
                <w:b/>
                <w:color w:val="000000"/>
                <w:sz w:val="16"/>
                <w:szCs w:val="16"/>
              </w:rPr>
              <w:t>21.108</w:t>
            </w:r>
          </w:p>
        </w:tc>
        <w:tc>
          <w:tcPr>
            <w:tcW w:w="1277" w:type="dxa"/>
            <w:shd w:val="clear" w:color="auto" w:fill="auto"/>
            <w:vAlign w:val="center"/>
          </w:tcPr>
          <w:p w14:paraId="4E93A6F6" w14:textId="62C4A039" w:rsidR="00210921" w:rsidRPr="0085237C" w:rsidRDefault="00CF07C7">
            <w:pPr>
              <w:spacing w:after="160" w:line="259" w:lineRule="auto"/>
              <w:jc w:val="right"/>
              <w:rPr>
                <w:rFonts w:ascii="Arial" w:eastAsia="Calibri" w:hAnsi="Arial" w:cs="Arial"/>
                <w:b/>
                <w:color w:val="000000"/>
                <w:sz w:val="16"/>
                <w:szCs w:val="16"/>
              </w:rPr>
            </w:pPr>
            <w:r w:rsidRPr="006E1AF7">
              <w:rPr>
                <w:rFonts w:ascii="Arial" w:eastAsia="Calibri" w:hAnsi="Arial" w:cs="Arial"/>
                <w:b/>
                <w:color w:val="000000"/>
                <w:sz w:val="16"/>
                <w:szCs w:val="16"/>
              </w:rPr>
              <w:t>9.135</w:t>
            </w:r>
          </w:p>
        </w:tc>
      </w:tr>
    </w:tbl>
    <w:p w14:paraId="124974BD" w14:textId="27101FF3" w:rsidR="00CB4373" w:rsidRDefault="00CB4373" w:rsidP="00E311C9">
      <w:pPr>
        <w:rPr>
          <w:rFonts w:ascii="Arial" w:eastAsia="Calibri" w:hAnsi="Arial" w:cs="Arial"/>
          <w:color w:val="000000"/>
          <w:sz w:val="20"/>
        </w:rPr>
      </w:pPr>
    </w:p>
    <w:tbl>
      <w:tblPr>
        <w:tblW w:w="96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622"/>
        <w:gridCol w:w="1417"/>
        <w:gridCol w:w="936"/>
        <w:gridCol w:w="1090"/>
        <w:gridCol w:w="1106"/>
        <w:gridCol w:w="1162"/>
        <w:gridCol w:w="1311"/>
      </w:tblGrid>
      <w:tr w:rsidR="00CB4373" w:rsidRPr="001B2F17" w14:paraId="1DE86017" w14:textId="77777777" w:rsidTr="00CB4373">
        <w:trPr>
          <w:trHeight w:val="20"/>
          <w:tblHeader/>
        </w:trPr>
        <w:tc>
          <w:tcPr>
            <w:tcW w:w="2622" w:type="dxa"/>
            <w:vMerge w:val="restart"/>
            <w:shd w:val="clear" w:color="auto" w:fill="auto"/>
            <w:vAlign w:val="center"/>
            <w:hideMark/>
          </w:tcPr>
          <w:p w14:paraId="7A563839" w14:textId="77777777" w:rsidR="00CB4373" w:rsidRPr="0085237C" w:rsidRDefault="00CB4373" w:rsidP="00AC543A">
            <w:pPr>
              <w:spacing w:after="160" w:line="259" w:lineRule="auto"/>
              <w:jc w:val="center"/>
              <w:rPr>
                <w:rFonts w:ascii="Arial" w:eastAsia="Calibri" w:hAnsi="Arial" w:cs="Arial"/>
                <w:b/>
                <w:color w:val="000000"/>
                <w:sz w:val="16"/>
                <w:szCs w:val="16"/>
              </w:rPr>
            </w:pPr>
            <w:r w:rsidRPr="0085237C">
              <w:rPr>
                <w:rFonts w:ascii="Arial" w:eastAsia="Calibri" w:hAnsi="Arial" w:cs="Arial"/>
                <w:b/>
                <w:color w:val="000000"/>
                <w:sz w:val="16"/>
                <w:szCs w:val="16"/>
              </w:rPr>
              <w:t>Sociedades</w:t>
            </w:r>
          </w:p>
        </w:tc>
        <w:tc>
          <w:tcPr>
            <w:tcW w:w="7022" w:type="dxa"/>
            <w:gridSpan w:val="6"/>
            <w:vAlign w:val="center"/>
          </w:tcPr>
          <w:p w14:paraId="58B7CAB5" w14:textId="77777777" w:rsidR="00CB4373" w:rsidRPr="0085237C" w:rsidRDefault="00CB4373" w:rsidP="00AC543A">
            <w:pPr>
              <w:spacing w:after="160" w:line="259" w:lineRule="auto"/>
              <w:jc w:val="center"/>
              <w:rPr>
                <w:rFonts w:ascii="Arial" w:eastAsia="Calibri" w:hAnsi="Arial" w:cs="Arial"/>
                <w:b/>
                <w:color w:val="000000"/>
                <w:sz w:val="16"/>
                <w:szCs w:val="16"/>
                <w:lang w:eastAsia="es-AR"/>
              </w:rPr>
            </w:pPr>
            <w:r w:rsidRPr="0085237C">
              <w:rPr>
                <w:rFonts w:ascii="Arial" w:eastAsia="Calibri" w:hAnsi="Arial" w:cs="Arial"/>
                <w:b/>
                <w:color w:val="000000"/>
                <w:sz w:val="16"/>
                <w:szCs w:val="16"/>
                <w:lang w:eastAsia="es-AR"/>
              </w:rPr>
              <w:t>31/12/2018</w:t>
            </w:r>
          </w:p>
        </w:tc>
      </w:tr>
      <w:tr w:rsidR="00CB4373" w:rsidRPr="001B2F17" w14:paraId="087E7D9D" w14:textId="77777777" w:rsidTr="00CB4373">
        <w:trPr>
          <w:trHeight w:val="20"/>
          <w:tblHeader/>
        </w:trPr>
        <w:tc>
          <w:tcPr>
            <w:tcW w:w="2622" w:type="dxa"/>
            <w:vMerge/>
            <w:shd w:val="clear" w:color="auto" w:fill="auto"/>
            <w:vAlign w:val="bottom"/>
            <w:hideMark/>
          </w:tcPr>
          <w:p w14:paraId="76BB2021" w14:textId="77777777" w:rsidR="00CB4373" w:rsidRPr="0085237C" w:rsidRDefault="00CB4373" w:rsidP="00AC543A">
            <w:pPr>
              <w:spacing w:after="160" w:line="259" w:lineRule="auto"/>
              <w:jc w:val="center"/>
              <w:rPr>
                <w:rFonts w:ascii="Arial" w:eastAsia="Calibri" w:hAnsi="Arial" w:cs="Arial"/>
                <w:color w:val="000000"/>
                <w:sz w:val="16"/>
                <w:szCs w:val="16"/>
              </w:rPr>
            </w:pPr>
          </w:p>
        </w:tc>
        <w:tc>
          <w:tcPr>
            <w:tcW w:w="1417" w:type="dxa"/>
            <w:vAlign w:val="center"/>
          </w:tcPr>
          <w:p w14:paraId="03CC80A9" w14:textId="77777777" w:rsidR="00CB4373" w:rsidRPr="0085237C" w:rsidRDefault="00CB4373" w:rsidP="00AC543A">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Préstamos y Otras Financiaciones</w:t>
            </w:r>
          </w:p>
        </w:tc>
        <w:tc>
          <w:tcPr>
            <w:tcW w:w="936" w:type="dxa"/>
            <w:vAlign w:val="center"/>
          </w:tcPr>
          <w:p w14:paraId="577091CF" w14:textId="77777777" w:rsidR="00CB4373" w:rsidRPr="0085237C" w:rsidRDefault="00CB4373" w:rsidP="00AC543A">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Otros Títulos de Deuda</w:t>
            </w:r>
          </w:p>
        </w:tc>
        <w:tc>
          <w:tcPr>
            <w:tcW w:w="1090" w:type="dxa"/>
            <w:shd w:val="clear" w:color="auto" w:fill="auto"/>
            <w:vAlign w:val="center"/>
            <w:hideMark/>
          </w:tcPr>
          <w:p w14:paraId="149697CE" w14:textId="77777777" w:rsidR="00CB4373" w:rsidRPr="0085237C" w:rsidRDefault="00CB4373" w:rsidP="00AC543A">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Otros Activos Financieros</w:t>
            </w:r>
          </w:p>
        </w:tc>
        <w:tc>
          <w:tcPr>
            <w:tcW w:w="1106" w:type="dxa"/>
            <w:shd w:val="clear" w:color="auto" w:fill="auto"/>
            <w:vAlign w:val="center"/>
            <w:hideMark/>
          </w:tcPr>
          <w:p w14:paraId="704A78FF" w14:textId="77777777" w:rsidR="00CB4373" w:rsidRPr="0085237C" w:rsidRDefault="00CB4373" w:rsidP="00AC543A">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Depósitos</w:t>
            </w:r>
          </w:p>
        </w:tc>
        <w:tc>
          <w:tcPr>
            <w:tcW w:w="1162" w:type="dxa"/>
            <w:vAlign w:val="center"/>
          </w:tcPr>
          <w:p w14:paraId="7410D38F" w14:textId="77777777" w:rsidR="00CB4373" w:rsidRPr="0085237C" w:rsidRDefault="00CB4373" w:rsidP="00AC543A">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Otros Pasivos no Financieros</w:t>
            </w:r>
          </w:p>
        </w:tc>
        <w:tc>
          <w:tcPr>
            <w:tcW w:w="1311" w:type="dxa"/>
            <w:shd w:val="clear" w:color="auto" w:fill="auto"/>
            <w:vAlign w:val="center"/>
          </w:tcPr>
          <w:p w14:paraId="4490F7C8" w14:textId="77777777" w:rsidR="00CB4373" w:rsidRPr="0085237C" w:rsidRDefault="00CB4373" w:rsidP="00AC543A">
            <w:pPr>
              <w:spacing w:after="160" w:line="259" w:lineRule="auto"/>
              <w:jc w:val="center"/>
              <w:rPr>
                <w:rFonts w:ascii="Arial" w:eastAsia="Calibri" w:hAnsi="Arial" w:cs="Arial"/>
                <w:b/>
                <w:bCs/>
                <w:color w:val="000000"/>
                <w:sz w:val="16"/>
                <w:szCs w:val="16"/>
                <w:lang w:eastAsia="es-AR"/>
              </w:rPr>
            </w:pPr>
            <w:r w:rsidRPr="0085237C">
              <w:rPr>
                <w:rFonts w:ascii="Arial" w:eastAsia="Calibri" w:hAnsi="Arial" w:cs="Arial"/>
                <w:b/>
                <w:bCs/>
                <w:color w:val="000000"/>
                <w:sz w:val="16"/>
                <w:szCs w:val="16"/>
                <w:lang w:eastAsia="es-AR"/>
              </w:rPr>
              <w:t>Pasivos a valor razonable con cambios en Rdos</w:t>
            </w:r>
          </w:p>
        </w:tc>
      </w:tr>
      <w:tr w:rsidR="00CB4373" w:rsidRPr="001B2F17" w14:paraId="3AA3DF10" w14:textId="77777777" w:rsidTr="00CB4373">
        <w:trPr>
          <w:trHeight w:val="249"/>
        </w:trPr>
        <w:tc>
          <w:tcPr>
            <w:tcW w:w="2622" w:type="dxa"/>
            <w:shd w:val="clear" w:color="auto" w:fill="auto"/>
            <w:vAlign w:val="center"/>
            <w:hideMark/>
          </w:tcPr>
          <w:p w14:paraId="77A5AE39" w14:textId="77777777" w:rsidR="00CB4373" w:rsidRPr="0085237C" w:rsidRDefault="00CB4373" w:rsidP="00AC543A">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rPr>
              <w:t>Sofital S.A.F. e I.I.</w:t>
            </w:r>
          </w:p>
        </w:tc>
        <w:tc>
          <w:tcPr>
            <w:tcW w:w="1417" w:type="dxa"/>
            <w:vAlign w:val="bottom"/>
          </w:tcPr>
          <w:p w14:paraId="2A19B7C5"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936" w:type="dxa"/>
            <w:vAlign w:val="bottom"/>
          </w:tcPr>
          <w:p w14:paraId="37ABCC2B"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090" w:type="dxa"/>
            <w:shd w:val="clear" w:color="auto" w:fill="auto"/>
            <w:vAlign w:val="bottom"/>
          </w:tcPr>
          <w:p w14:paraId="54C47206"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106" w:type="dxa"/>
            <w:shd w:val="clear" w:color="auto" w:fill="auto"/>
            <w:vAlign w:val="bottom"/>
          </w:tcPr>
          <w:p w14:paraId="0F57394F"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62</w:t>
            </w:r>
          </w:p>
        </w:tc>
        <w:tc>
          <w:tcPr>
            <w:tcW w:w="1162" w:type="dxa"/>
            <w:vAlign w:val="bottom"/>
          </w:tcPr>
          <w:p w14:paraId="203E391C"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311" w:type="dxa"/>
            <w:shd w:val="clear" w:color="auto" w:fill="auto"/>
            <w:vAlign w:val="center"/>
          </w:tcPr>
          <w:p w14:paraId="0E219D80"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r>
      <w:tr w:rsidR="00CB4373" w:rsidRPr="001B2F17" w14:paraId="729BC1DE" w14:textId="77777777" w:rsidTr="00CB4373">
        <w:trPr>
          <w:trHeight w:val="20"/>
        </w:trPr>
        <w:tc>
          <w:tcPr>
            <w:tcW w:w="2622" w:type="dxa"/>
            <w:shd w:val="clear" w:color="auto" w:fill="auto"/>
            <w:vAlign w:val="center"/>
            <w:hideMark/>
          </w:tcPr>
          <w:p w14:paraId="3BB13F0E" w14:textId="77777777" w:rsidR="00CB4373" w:rsidRPr="0085237C" w:rsidRDefault="00CB4373" w:rsidP="00AC543A">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lang w:eastAsia="es-AR"/>
              </w:rPr>
              <w:t>Espacio Cordial de Servicios SA</w:t>
            </w:r>
          </w:p>
        </w:tc>
        <w:tc>
          <w:tcPr>
            <w:tcW w:w="1417" w:type="dxa"/>
            <w:vAlign w:val="bottom"/>
          </w:tcPr>
          <w:p w14:paraId="19CCD88D"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936" w:type="dxa"/>
            <w:vAlign w:val="bottom"/>
          </w:tcPr>
          <w:p w14:paraId="629C523E"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090" w:type="dxa"/>
            <w:shd w:val="clear" w:color="auto" w:fill="auto"/>
            <w:vAlign w:val="bottom"/>
          </w:tcPr>
          <w:p w14:paraId="220BF722"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lang w:val="es-ES_tradnl"/>
              </w:rPr>
              <w:t>135</w:t>
            </w:r>
          </w:p>
        </w:tc>
        <w:tc>
          <w:tcPr>
            <w:tcW w:w="1106" w:type="dxa"/>
            <w:shd w:val="clear" w:color="auto" w:fill="auto"/>
            <w:vAlign w:val="bottom"/>
          </w:tcPr>
          <w:p w14:paraId="40148854"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1</w:t>
            </w:r>
            <w:r w:rsidRPr="0085237C">
              <w:rPr>
                <w:rFonts w:ascii="Arial" w:eastAsia="Calibri" w:hAnsi="Arial" w:cs="Arial"/>
                <w:color w:val="000000"/>
                <w:sz w:val="16"/>
                <w:szCs w:val="16"/>
              </w:rPr>
              <w:t>.</w:t>
            </w:r>
            <w:r>
              <w:rPr>
                <w:rFonts w:ascii="Arial" w:eastAsia="Calibri" w:hAnsi="Arial" w:cs="Arial"/>
                <w:color w:val="000000"/>
                <w:sz w:val="16"/>
                <w:szCs w:val="16"/>
              </w:rPr>
              <w:t>158</w:t>
            </w:r>
          </w:p>
        </w:tc>
        <w:tc>
          <w:tcPr>
            <w:tcW w:w="1162" w:type="dxa"/>
            <w:vAlign w:val="bottom"/>
          </w:tcPr>
          <w:p w14:paraId="6EBEC219"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2.230</w:t>
            </w:r>
          </w:p>
        </w:tc>
        <w:tc>
          <w:tcPr>
            <w:tcW w:w="1311" w:type="dxa"/>
            <w:shd w:val="clear" w:color="auto" w:fill="auto"/>
            <w:vAlign w:val="center"/>
          </w:tcPr>
          <w:p w14:paraId="27293324"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r>
      <w:tr w:rsidR="00CB4373" w:rsidRPr="001B2F17" w14:paraId="111B0C23" w14:textId="77777777" w:rsidTr="00CB4373">
        <w:trPr>
          <w:trHeight w:val="20"/>
        </w:trPr>
        <w:tc>
          <w:tcPr>
            <w:tcW w:w="2622" w:type="dxa"/>
            <w:shd w:val="clear" w:color="auto" w:fill="auto"/>
            <w:vAlign w:val="center"/>
            <w:hideMark/>
          </w:tcPr>
          <w:p w14:paraId="5C696106" w14:textId="77777777" w:rsidR="00CB4373" w:rsidRPr="0085237C" w:rsidRDefault="00CB4373" w:rsidP="00AC543A">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lang w:eastAsia="es-AR"/>
              </w:rPr>
              <w:t>Supervielle Seguros S.A.</w:t>
            </w:r>
          </w:p>
        </w:tc>
        <w:tc>
          <w:tcPr>
            <w:tcW w:w="1417" w:type="dxa"/>
            <w:vAlign w:val="bottom"/>
          </w:tcPr>
          <w:p w14:paraId="51BC1B4A"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1</w:t>
            </w:r>
            <w:r>
              <w:rPr>
                <w:rFonts w:ascii="Arial" w:eastAsia="Calibri" w:hAnsi="Arial" w:cs="Arial"/>
                <w:color w:val="000000"/>
                <w:sz w:val="16"/>
                <w:szCs w:val="16"/>
              </w:rPr>
              <w:t>1</w:t>
            </w:r>
            <w:r w:rsidRPr="0085237C">
              <w:rPr>
                <w:rFonts w:ascii="Arial" w:eastAsia="Calibri" w:hAnsi="Arial" w:cs="Arial"/>
                <w:color w:val="000000"/>
                <w:sz w:val="16"/>
                <w:szCs w:val="16"/>
              </w:rPr>
              <w:t>.</w:t>
            </w:r>
            <w:r>
              <w:rPr>
                <w:rFonts w:ascii="Arial" w:eastAsia="Calibri" w:hAnsi="Arial" w:cs="Arial"/>
                <w:color w:val="000000"/>
                <w:sz w:val="16"/>
                <w:szCs w:val="16"/>
              </w:rPr>
              <w:t>137</w:t>
            </w:r>
          </w:p>
        </w:tc>
        <w:tc>
          <w:tcPr>
            <w:tcW w:w="936" w:type="dxa"/>
            <w:vAlign w:val="bottom"/>
          </w:tcPr>
          <w:p w14:paraId="386FC63E"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090" w:type="dxa"/>
            <w:shd w:val="clear" w:color="auto" w:fill="auto"/>
            <w:vAlign w:val="bottom"/>
          </w:tcPr>
          <w:p w14:paraId="331502A1"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5.986</w:t>
            </w:r>
          </w:p>
        </w:tc>
        <w:tc>
          <w:tcPr>
            <w:tcW w:w="1106" w:type="dxa"/>
            <w:shd w:val="clear" w:color="auto" w:fill="auto"/>
            <w:vAlign w:val="bottom"/>
          </w:tcPr>
          <w:p w14:paraId="4812A69E"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2</w:t>
            </w:r>
            <w:r w:rsidRPr="0085237C">
              <w:rPr>
                <w:rFonts w:ascii="Arial" w:eastAsia="Calibri" w:hAnsi="Arial" w:cs="Arial"/>
                <w:color w:val="000000"/>
                <w:sz w:val="16"/>
                <w:szCs w:val="16"/>
              </w:rPr>
              <w:t>.5</w:t>
            </w:r>
            <w:r>
              <w:rPr>
                <w:rFonts w:ascii="Arial" w:eastAsia="Calibri" w:hAnsi="Arial" w:cs="Arial"/>
                <w:color w:val="000000"/>
                <w:sz w:val="16"/>
                <w:szCs w:val="16"/>
              </w:rPr>
              <w:t>98</w:t>
            </w:r>
          </w:p>
        </w:tc>
        <w:tc>
          <w:tcPr>
            <w:tcW w:w="1162" w:type="dxa"/>
            <w:vAlign w:val="bottom"/>
          </w:tcPr>
          <w:p w14:paraId="0E8EC3DC"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4</w:t>
            </w:r>
            <w:r>
              <w:rPr>
                <w:rFonts w:ascii="Arial" w:eastAsia="Calibri" w:hAnsi="Arial" w:cs="Arial"/>
                <w:color w:val="000000"/>
                <w:sz w:val="16"/>
                <w:szCs w:val="16"/>
              </w:rPr>
              <w:t>6</w:t>
            </w:r>
            <w:r w:rsidRPr="0085237C">
              <w:rPr>
                <w:rFonts w:ascii="Arial" w:eastAsia="Calibri" w:hAnsi="Arial" w:cs="Arial"/>
                <w:color w:val="000000"/>
                <w:sz w:val="16"/>
                <w:szCs w:val="16"/>
              </w:rPr>
              <w:t>.</w:t>
            </w:r>
            <w:r>
              <w:rPr>
                <w:rFonts w:ascii="Arial" w:eastAsia="Calibri" w:hAnsi="Arial" w:cs="Arial"/>
                <w:color w:val="000000"/>
                <w:sz w:val="16"/>
                <w:szCs w:val="16"/>
              </w:rPr>
              <w:t>55</w:t>
            </w:r>
            <w:r w:rsidRPr="0085237C">
              <w:rPr>
                <w:rFonts w:ascii="Arial" w:eastAsia="Calibri" w:hAnsi="Arial" w:cs="Arial"/>
                <w:color w:val="000000"/>
                <w:sz w:val="16"/>
                <w:szCs w:val="16"/>
              </w:rPr>
              <w:t>3</w:t>
            </w:r>
          </w:p>
        </w:tc>
        <w:tc>
          <w:tcPr>
            <w:tcW w:w="1311" w:type="dxa"/>
            <w:shd w:val="clear" w:color="auto" w:fill="auto"/>
            <w:vAlign w:val="center"/>
          </w:tcPr>
          <w:p w14:paraId="15FC74D7"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r>
      <w:tr w:rsidR="00CB4373" w:rsidRPr="001B2F17" w14:paraId="042260D3" w14:textId="77777777" w:rsidTr="00CB4373">
        <w:trPr>
          <w:trHeight w:val="20"/>
        </w:trPr>
        <w:tc>
          <w:tcPr>
            <w:tcW w:w="2622" w:type="dxa"/>
            <w:shd w:val="clear" w:color="auto" w:fill="auto"/>
            <w:vAlign w:val="center"/>
            <w:hideMark/>
          </w:tcPr>
          <w:p w14:paraId="55AD5EC0" w14:textId="77777777" w:rsidR="00CB4373" w:rsidRPr="0085237C" w:rsidRDefault="00CB4373" w:rsidP="00AC543A">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rPr>
              <w:t>Tarjeta Automática S.A.</w:t>
            </w:r>
          </w:p>
        </w:tc>
        <w:tc>
          <w:tcPr>
            <w:tcW w:w="1417" w:type="dxa"/>
            <w:vAlign w:val="bottom"/>
          </w:tcPr>
          <w:p w14:paraId="7718C2E3"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364</w:t>
            </w:r>
          </w:p>
        </w:tc>
        <w:tc>
          <w:tcPr>
            <w:tcW w:w="936" w:type="dxa"/>
            <w:vAlign w:val="bottom"/>
          </w:tcPr>
          <w:p w14:paraId="0BF98830"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090" w:type="dxa"/>
            <w:shd w:val="clear" w:color="auto" w:fill="auto"/>
            <w:vAlign w:val="bottom"/>
          </w:tcPr>
          <w:p w14:paraId="7EEA4784"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106" w:type="dxa"/>
            <w:shd w:val="clear" w:color="auto" w:fill="auto"/>
            <w:vAlign w:val="bottom"/>
          </w:tcPr>
          <w:p w14:paraId="7CC687FD"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8</w:t>
            </w:r>
            <w:r w:rsidRPr="0085237C">
              <w:rPr>
                <w:rFonts w:ascii="Arial" w:eastAsia="Calibri" w:hAnsi="Arial" w:cs="Arial"/>
                <w:color w:val="000000"/>
                <w:sz w:val="16"/>
                <w:szCs w:val="16"/>
              </w:rPr>
              <w:t>1</w:t>
            </w:r>
            <w:r>
              <w:rPr>
                <w:rFonts w:ascii="Arial" w:eastAsia="Calibri" w:hAnsi="Arial" w:cs="Arial"/>
                <w:color w:val="000000"/>
                <w:sz w:val="16"/>
                <w:szCs w:val="16"/>
              </w:rPr>
              <w:t>2</w:t>
            </w:r>
          </w:p>
        </w:tc>
        <w:tc>
          <w:tcPr>
            <w:tcW w:w="1162" w:type="dxa"/>
            <w:vAlign w:val="bottom"/>
          </w:tcPr>
          <w:p w14:paraId="675BEA9F"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311" w:type="dxa"/>
            <w:shd w:val="clear" w:color="auto" w:fill="auto"/>
            <w:vAlign w:val="center"/>
          </w:tcPr>
          <w:p w14:paraId="4C44BD63"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r>
      <w:tr w:rsidR="00CB4373" w:rsidRPr="001B2F17" w14:paraId="099D1AC1" w14:textId="77777777" w:rsidTr="00CB4373">
        <w:trPr>
          <w:trHeight w:val="20"/>
        </w:trPr>
        <w:tc>
          <w:tcPr>
            <w:tcW w:w="2622" w:type="dxa"/>
            <w:shd w:val="clear" w:color="auto" w:fill="auto"/>
            <w:vAlign w:val="center"/>
            <w:hideMark/>
          </w:tcPr>
          <w:p w14:paraId="35E93AAC" w14:textId="77777777" w:rsidR="00CB4373" w:rsidRPr="0085237C" w:rsidRDefault="00CB4373" w:rsidP="00AC543A">
            <w:pPr>
              <w:spacing w:after="160" w:line="259" w:lineRule="auto"/>
              <w:rPr>
                <w:rFonts w:ascii="Arial" w:eastAsia="Calibri" w:hAnsi="Arial" w:cs="Arial"/>
                <w:color w:val="000000"/>
                <w:sz w:val="16"/>
                <w:szCs w:val="16"/>
                <w:lang w:val="en-US" w:eastAsia="es-AR"/>
              </w:rPr>
            </w:pPr>
            <w:r w:rsidRPr="0085237C">
              <w:rPr>
                <w:rFonts w:ascii="Arial" w:eastAsia="Calibri" w:hAnsi="Arial" w:cs="Arial"/>
                <w:color w:val="000000"/>
                <w:sz w:val="16"/>
                <w:szCs w:val="16"/>
                <w:lang w:val="fr-FR"/>
              </w:rPr>
              <w:t>Supervielle Asset Management S.A.</w:t>
            </w:r>
          </w:p>
        </w:tc>
        <w:tc>
          <w:tcPr>
            <w:tcW w:w="1417" w:type="dxa"/>
            <w:vAlign w:val="bottom"/>
          </w:tcPr>
          <w:p w14:paraId="4F7C9EEB"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936" w:type="dxa"/>
            <w:vAlign w:val="bottom"/>
          </w:tcPr>
          <w:p w14:paraId="7AE96D51"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090" w:type="dxa"/>
            <w:shd w:val="clear" w:color="auto" w:fill="auto"/>
            <w:vAlign w:val="bottom"/>
          </w:tcPr>
          <w:p w14:paraId="6813B55C"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106" w:type="dxa"/>
            <w:shd w:val="clear" w:color="auto" w:fill="auto"/>
            <w:vAlign w:val="bottom"/>
          </w:tcPr>
          <w:p w14:paraId="57216ADA"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700</w:t>
            </w:r>
          </w:p>
        </w:tc>
        <w:tc>
          <w:tcPr>
            <w:tcW w:w="1162" w:type="dxa"/>
            <w:vAlign w:val="bottom"/>
          </w:tcPr>
          <w:p w14:paraId="380D24A2"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311" w:type="dxa"/>
            <w:shd w:val="clear" w:color="auto" w:fill="auto"/>
            <w:vAlign w:val="center"/>
          </w:tcPr>
          <w:p w14:paraId="6B4322DB"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r>
      <w:tr w:rsidR="00CB4373" w:rsidRPr="001B2F17" w14:paraId="4F4DFDA8" w14:textId="77777777" w:rsidTr="00CB4373">
        <w:trPr>
          <w:trHeight w:val="20"/>
        </w:trPr>
        <w:tc>
          <w:tcPr>
            <w:tcW w:w="2622" w:type="dxa"/>
            <w:shd w:val="clear" w:color="auto" w:fill="auto"/>
            <w:vAlign w:val="center"/>
          </w:tcPr>
          <w:p w14:paraId="6B1826DE" w14:textId="77777777" w:rsidR="00CB4373" w:rsidRPr="0085237C" w:rsidRDefault="00CB4373" w:rsidP="00AC543A">
            <w:pPr>
              <w:spacing w:after="160" w:line="259" w:lineRule="auto"/>
              <w:rPr>
                <w:rFonts w:ascii="Arial" w:eastAsia="Calibri" w:hAnsi="Arial" w:cs="Arial"/>
                <w:color w:val="000000"/>
                <w:sz w:val="16"/>
                <w:szCs w:val="16"/>
              </w:rPr>
            </w:pPr>
            <w:r w:rsidRPr="0085237C">
              <w:rPr>
                <w:rFonts w:ascii="Arial" w:eastAsia="Calibri" w:hAnsi="Arial" w:cs="Arial"/>
                <w:color w:val="000000"/>
                <w:sz w:val="16"/>
                <w:szCs w:val="16"/>
              </w:rPr>
              <w:t>Invertir OnLine S.A.</w:t>
            </w:r>
          </w:p>
        </w:tc>
        <w:tc>
          <w:tcPr>
            <w:tcW w:w="1417" w:type="dxa"/>
            <w:vAlign w:val="bottom"/>
          </w:tcPr>
          <w:p w14:paraId="1897FACD"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1</w:t>
            </w:r>
          </w:p>
        </w:tc>
        <w:tc>
          <w:tcPr>
            <w:tcW w:w="936" w:type="dxa"/>
            <w:vAlign w:val="bottom"/>
          </w:tcPr>
          <w:p w14:paraId="197D5089"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090" w:type="dxa"/>
            <w:shd w:val="clear" w:color="auto" w:fill="auto"/>
            <w:vAlign w:val="bottom"/>
          </w:tcPr>
          <w:p w14:paraId="778744E0"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106" w:type="dxa"/>
            <w:shd w:val="clear" w:color="auto" w:fill="auto"/>
            <w:vAlign w:val="bottom"/>
          </w:tcPr>
          <w:p w14:paraId="1B6A2C8E"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489</w:t>
            </w:r>
            <w:r w:rsidRPr="0085237C">
              <w:rPr>
                <w:rFonts w:ascii="Arial" w:eastAsia="Calibri" w:hAnsi="Arial" w:cs="Arial"/>
                <w:color w:val="000000"/>
                <w:sz w:val="16"/>
                <w:szCs w:val="16"/>
              </w:rPr>
              <w:t>.</w:t>
            </w:r>
            <w:r>
              <w:rPr>
                <w:rFonts w:ascii="Arial" w:eastAsia="Calibri" w:hAnsi="Arial" w:cs="Arial"/>
                <w:color w:val="000000"/>
                <w:sz w:val="16"/>
                <w:szCs w:val="16"/>
              </w:rPr>
              <w:t>325</w:t>
            </w:r>
          </w:p>
        </w:tc>
        <w:tc>
          <w:tcPr>
            <w:tcW w:w="1162" w:type="dxa"/>
            <w:vAlign w:val="bottom"/>
          </w:tcPr>
          <w:p w14:paraId="533BFBB5"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311" w:type="dxa"/>
            <w:shd w:val="clear" w:color="auto" w:fill="auto"/>
            <w:vAlign w:val="center"/>
          </w:tcPr>
          <w:p w14:paraId="3F342A77"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r>
      <w:tr w:rsidR="00CB4373" w:rsidRPr="001B2F17" w14:paraId="425C0B94" w14:textId="77777777" w:rsidTr="00CB4373">
        <w:trPr>
          <w:trHeight w:val="20"/>
        </w:trPr>
        <w:tc>
          <w:tcPr>
            <w:tcW w:w="2622" w:type="dxa"/>
            <w:shd w:val="clear" w:color="auto" w:fill="auto"/>
            <w:vAlign w:val="center"/>
          </w:tcPr>
          <w:p w14:paraId="7E08FB7B" w14:textId="77777777" w:rsidR="00CB4373" w:rsidRPr="0085237C" w:rsidRDefault="00CB4373" w:rsidP="00AC543A">
            <w:pPr>
              <w:spacing w:after="160" w:line="259" w:lineRule="auto"/>
              <w:rPr>
                <w:rFonts w:ascii="Arial" w:eastAsia="Calibri" w:hAnsi="Arial" w:cs="Arial"/>
                <w:color w:val="000000"/>
                <w:sz w:val="16"/>
                <w:szCs w:val="16"/>
              </w:rPr>
            </w:pPr>
            <w:r w:rsidRPr="0085237C">
              <w:rPr>
                <w:rFonts w:ascii="Arial" w:eastAsia="Calibri" w:hAnsi="Arial" w:cs="Arial"/>
                <w:color w:val="000000"/>
                <w:sz w:val="16"/>
                <w:szCs w:val="16"/>
              </w:rPr>
              <w:t>Invertir OnLine.com Argentina S.A.</w:t>
            </w:r>
          </w:p>
        </w:tc>
        <w:tc>
          <w:tcPr>
            <w:tcW w:w="1417" w:type="dxa"/>
            <w:vAlign w:val="bottom"/>
          </w:tcPr>
          <w:p w14:paraId="39A49BA4" w14:textId="77777777" w:rsidR="00CB4373" w:rsidRPr="0085237C" w:rsidDel="00293759" w:rsidRDefault="00CB4373" w:rsidP="00AC543A">
            <w:pPr>
              <w:spacing w:after="160" w:line="259" w:lineRule="auto"/>
              <w:jc w:val="right"/>
              <w:rPr>
                <w:rFonts w:ascii="Arial" w:eastAsia="Calibri" w:hAnsi="Arial" w:cs="Arial"/>
                <w:color w:val="000000"/>
                <w:sz w:val="16"/>
                <w:szCs w:val="16"/>
              </w:rPr>
            </w:pPr>
            <w:r>
              <w:rPr>
                <w:rFonts w:ascii="Arial" w:eastAsia="Calibri" w:hAnsi="Arial" w:cs="Arial"/>
                <w:color w:val="000000"/>
                <w:sz w:val="16"/>
                <w:szCs w:val="16"/>
              </w:rPr>
              <w:t>-</w:t>
            </w:r>
          </w:p>
        </w:tc>
        <w:tc>
          <w:tcPr>
            <w:tcW w:w="936" w:type="dxa"/>
            <w:vAlign w:val="bottom"/>
          </w:tcPr>
          <w:p w14:paraId="7AF3A317" w14:textId="77777777" w:rsidR="00CB4373" w:rsidRPr="0085237C" w:rsidRDefault="00CB4373" w:rsidP="00AC543A">
            <w:pPr>
              <w:spacing w:after="160" w:line="259" w:lineRule="auto"/>
              <w:jc w:val="right"/>
              <w:rPr>
                <w:rFonts w:ascii="Arial" w:eastAsia="Calibri" w:hAnsi="Arial" w:cs="Arial"/>
                <w:color w:val="000000"/>
                <w:sz w:val="16"/>
                <w:szCs w:val="16"/>
              </w:rPr>
            </w:pPr>
            <w:r w:rsidRPr="0085237C">
              <w:rPr>
                <w:rFonts w:ascii="Arial" w:eastAsia="Calibri" w:hAnsi="Arial" w:cs="Arial"/>
                <w:color w:val="000000"/>
                <w:sz w:val="16"/>
                <w:szCs w:val="16"/>
              </w:rPr>
              <w:t>-</w:t>
            </w:r>
          </w:p>
        </w:tc>
        <w:tc>
          <w:tcPr>
            <w:tcW w:w="1090" w:type="dxa"/>
            <w:shd w:val="clear" w:color="auto" w:fill="auto"/>
            <w:vAlign w:val="bottom"/>
          </w:tcPr>
          <w:p w14:paraId="6FC49241" w14:textId="77777777" w:rsidR="00CB4373" w:rsidRPr="0085237C" w:rsidRDefault="00CB4373" w:rsidP="00AC543A">
            <w:pPr>
              <w:spacing w:after="160" w:line="259" w:lineRule="auto"/>
              <w:jc w:val="right"/>
              <w:rPr>
                <w:rFonts w:ascii="Arial" w:eastAsia="Calibri" w:hAnsi="Arial" w:cs="Arial"/>
                <w:color w:val="000000"/>
                <w:sz w:val="16"/>
                <w:szCs w:val="16"/>
              </w:rPr>
            </w:pPr>
            <w:r w:rsidRPr="0085237C">
              <w:rPr>
                <w:rFonts w:ascii="Arial" w:eastAsia="Calibri" w:hAnsi="Arial" w:cs="Arial"/>
                <w:color w:val="000000"/>
                <w:sz w:val="16"/>
                <w:szCs w:val="16"/>
              </w:rPr>
              <w:t>-</w:t>
            </w:r>
          </w:p>
        </w:tc>
        <w:tc>
          <w:tcPr>
            <w:tcW w:w="1106" w:type="dxa"/>
            <w:shd w:val="clear" w:color="auto" w:fill="auto"/>
            <w:vAlign w:val="bottom"/>
          </w:tcPr>
          <w:p w14:paraId="632BACD7" w14:textId="77777777" w:rsidR="00CB4373" w:rsidRPr="0085237C" w:rsidDel="00293759" w:rsidRDefault="00CB4373" w:rsidP="00AC543A">
            <w:pPr>
              <w:spacing w:after="160" w:line="259" w:lineRule="auto"/>
              <w:jc w:val="right"/>
              <w:rPr>
                <w:rFonts w:ascii="Arial" w:eastAsia="Calibri" w:hAnsi="Arial" w:cs="Arial"/>
                <w:color w:val="000000"/>
                <w:sz w:val="16"/>
                <w:szCs w:val="16"/>
              </w:rPr>
            </w:pPr>
            <w:r w:rsidRPr="0085237C">
              <w:rPr>
                <w:rFonts w:ascii="Arial" w:eastAsia="Calibri" w:hAnsi="Arial" w:cs="Arial"/>
                <w:color w:val="000000"/>
                <w:sz w:val="16"/>
                <w:szCs w:val="16"/>
              </w:rPr>
              <w:t>3.2</w:t>
            </w:r>
            <w:r>
              <w:rPr>
                <w:rFonts w:ascii="Arial" w:eastAsia="Calibri" w:hAnsi="Arial" w:cs="Arial"/>
                <w:color w:val="000000"/>
                <w:sz w:val="16"/>
                <w:szCs w:val="16"/>
              </w:rPr>
              <w:t>20</w:t>
            </w:r>
          </w:p>
        </w:tc>
        <w:tc>
          <w:tcPr>
            <w:tcW w:w="1162" w:type="dxa"/>
            <w:vAlign w:val="bottom"/>
          </w:tcPr>
          <w:p w14:paraId="1D929D3B" w14:textId="77777777" w:rsidR="00CB4373" w:rsidRPr="0085237C" w:rsidRDefault="00CB4373" w:rsidP="00AC543A">
            <w:pPr>
              <w:spacing w:after="160" w:line="259" w:lineRule="auto"/>
              <w:jc w:val="right"/>
              <w:rPr>
                <w:rFonts w:ascii="Arial" w:eastAsia="Calibri" w:hAnsi="Arial" w:cs="Arial"/>
                <w:color w:val="000000"/>
                <w:sz w:val="16"/>
                <w:szCs w:val="16"/>
              </w:rPr>
            </w:pPr>
            <w:r w:rsidRPr="0085237C">
              <w:rPr>
                <w:rFonts w:ascii="Arial" w:eastAsia="Calibri" w:hAnsi="Arial" w:cs="Arial"/>
                <w:color w:val="000000"/>
                <w:sz w:val="16"/>
                <w:szCs w:val="16"/>
              </w:rPr>
              <w:t>-</w:t>
            </w:r>
          </w:p>
        </w:tc>
        <w:tc>
          <w:tcPr>
            <w:tcW w:w="1311" w:type="dxa"/>
            <w:shd w:val="clear" w:color="auto" w:fill="auto"/>
            <w:vAlign w:val="center"/>
          </w:tcPr>
          <w:p w14:paraId="1CA6B435" w14:textId="77777777" w:rsidR="00CB4373" w:rsidRPr="0085237C" w:rsidRDefault="00CB4373" w:rsidP="00AC543A">
            <w:pPr>
              <w:spacing w:after="160" w:line="259" w:lineRule="auto"/>
              <w:jc w:val="right"/>
              <w:rPr>
                <w:rFonts w:ascii="Arial" w:eastAsia="Calibri" w:hAnsi="Arial" w:cs="Arial"/>
                <w:color w:val="000000"/>
                <w:sz w:val="16"/>
                <w:szCs w:val="16"/>
              </w:rPr>
            </w:pPr>
            <w:r w:rsidRPr="0085237C">
              <w:rPr>
                <w:rFonts w:ascii="Arial" w:eastAsia="Calibri" w:hAnsi="Arial" w:cs="Arial"/>
                <w:color w:val="000000"/>
                <w:sz w:val="16"/>
                <w:szCs w:val="16"/>
              </w:rPr>
              <w:t>-</w:t>
            </w:r>
          </w:p>
        </w:tc>
      </w:tr>
      <w:tr w:rsidR="00CB4373" w:rsidRPr="001B2F17" w14:paraId="2DA5254A" w14:textId="77777777" w:rsidTr="00CB4373">
        <w:trPr>
          <w:trHeight w:val="20"/>
        </w:trPr>
        <w:tc>
          <w:tcPr>
            <w:tcW w:w="2622" w:type="dxa"/>
            <w:shd w:val="clear" w:color="auto" w:fill="auto"/>
            <w:vAlign w:val="center"/>
          </w:tcPr>
          <w:p w14:paraId="6034FAB0" w14:textId="77777777" w:rsidR="00CB4373" w:rsidRPr="0085237C" w:rsidRDefault="00CB4373" w:rsidP="00AC543A">
            <w:pPr>
              <w:spacing w:after="160" w:line="259" w:lineRule="auto"/>
              <w:rPr>
                <w:rFonts w:ascii="Arial" w:eastAsia="Calibri" w:hAnsi="Arial" w:cs="Arial"/>
                <w:color w:val="000000"/>
                <w:sz w:val="16"/>
                <w:szCs w:val="16"/>
              </w:rPr>
            </w:pPr>
            <w:r w:rsidRPr="0085237C">
              <w:rPr>
                <w:rFonts w:ascii="Arial" w:eastAsia="Calibri" w:hAnsi="Arial" w:cs="Arial"/>
                <w:color w:val="000000"/>
                <w:sz w:val="16"/>
                <w:szCs w:val="16"/>
              </w:rPr>
              <w:t>Micro Lending S.A.</w:t>
            </w:r>
          </w:p>
        </w:tc>
        <w:tc>
          <w:tcPr>
            <w:tcW w:w="1417" w:type="dxa"/>
            <w:vAlign w:val="bottom"/>
          </w:tcPr>
          <w:p w14:paraId="6B822E8A" w14:textId="77777777" w:rsidR="00CB4373" w:rsidRPr="0085237C" w:rsidDel="00293759" w:rsidRDefault="00CB4373" w:rsidP="00AC543A">
            <w:pPr>
              <w:spacing w:after="160" w:line="259" w:lineRule="auto"/>
              <w:jc w:val="right"/>
              <w:rPr>
                <w:rFonts w:ascii="Arial" w:eastAsia="Calibri" w:hAnsi="Arial" w:cs="Arial"/>
                <w:color w:val="000000"/>
                <w:sz w:val="16"/>
                <w:szCs w:val="16"/>
              </w:rPr>
            </w:pPr>
            <w:r>
              <w:rPr>
                <w:rFonts w:ascii="Arial" w:eastAsia="Calibri" w:hAnsi="Arial" w:cs="Arial"/>
                <w:color w:val="000000"/>
                <w:sz w:val="16"/>
                <w:szCs w:val="16"/>
              </w:rPr>
              <w:t>67.876</w:t>
            </w:r>
          </w:p>
        </w:tc>
        <w:tc>
          <w:tcPr>
            <w:tcW w:w="936" w:type="dxa"/>
            <w:vAlign w:val="bottom"/>
          </w:tcPr>
          <w:p w14:paraId="7C4066F4" w14:textId="77777777" w:rsidR="00CB4373" w:rsidRPr="0085237C" w:rsidRDefault="00CB4373" w:rsidP="00AC543A">
            <w:pPr>
              <w:spacing w:after="160" w:line="259" w:lineRule="auto"/>
              <w:jc w:val="right"/>
              <w:rPr>
                <w:rFonts w:ascii="Arial" w:eastAsia="Calibri" w:hAnsi="Arial" w:cs="Arial"/>
                <w:color w:val="000000"/>
                <w:sz w:val="16"/>
                <w:szCs w:val="16"/>
              </w:rPr>
            </w:pPr>
            <w:r w:rsidRPr="0085237C">
              <w:rPr>
                <w:rFonts w:ascii="Arial" w:eastAsia="Calibri" w:hAnsi="Arial" w:cs="Arial"/>
                <w:color w:val="000000"/>
                <w:sz w:val="16"/>
                <w:szCs w:val="16"/>
              </w:rPr>
              <w:t>-</w:t>
            </w:r>
          </w:p>
        </w:tc>
        <w:tc>
          <w:tcPr>
            <w:tcW w:w="1090" w:type="dxa"/>
            <w:shd w:val="clear" w:color="auto" w:fill="auto"/>
            <w:vAlign w:val="bottom"/>
          </w:tcPr>
          <w:p w14:paraId="4DBAA489" w14:textId="77777777" w:rsidR="00CB4373" w:rsidRPr="0085237C" w:rsidRDefault="00CB4373" w:rsidP="00AC543A">
            <w:pPr>
              <w:spacing w:after="160" w:line="259" w:lineRule="auto"/>
              <w:jc w:val="right"/>
              <w:rPr>
                <w:rFonts w:ascii="Arial" w:eastAsia="Calibri" w:hAnsi="Arial" w:cs="Arial"/>
                <w:color w:val="000000"/>
                <w:sz w:val="16"/>
                <w:szCs w:val="16"/>
              </w:rPr>
            </w:pPr>
            <w:r w:rsidRPr="0085237C">
              <w:rPr>
                <w:rFonts w:ascii="Arial" w:eastAsia="Calibri" w:hAnsi="Arial" w:cs="Arial"/>
                <w:color w:val="000000"/>
                <w:sz w:val="16"/>
                <w:szCs w:val="16"/>
              </w:rPr>
              <w:t>2.</w:t>
            </w:r>
            <w:r>
              <w:rPr>
                <w:rFonts w:ascii="Arial" w:eastAsia="Calibri" w:hAnsi="Arial" w:cs="Arial"/>
                <w:color w:val="000000"/>
                <w:sz w:val="16"/>
                <w:szCs w:val="16"/>
              </w:rPr>
              <w:t>745</w:t>
            </w:r>
          </w:p>
        </w:tc>
        <w:tc>
          <w:tcPr>
            <w:tcW w:w="1106" w:type="dxa"/>
            <w:shd w:val="clear" w:color="auto" w:fill="auto"/>
            <w:vAlign w:val="bottom"/>
          </w:tcPr>
          <w:p w14:paraId="0C470C64" w14:textId="77777777" w:rsidR="00CB4373" w:rsidRPr="0085237C" w:rsidDel="00293759" w:rsidRDefault="00CB4373" w:rsidP="00AC543A">
            <w:pPr>
              <w:spacing w:after="160" w:line="259" w:lineRule="auto"/>
              <w:jc w:val="right"/>
              <w:rPr>
                <w:rFonts w:ascii="Arial" w:eastAsia="Calibri" w:hAnsi="Arial" w:cs="Arial"/>
                <w:color w:val="000000"/>
                <w:sz w:val="16"/>
                <w:szCs w:val="16"/>
              </w:rPr>
            </w:pPr>
            <w:r w:rsidRPr="0085237C">
              <w:rPr>
                <w:rFonts w:ascii="Arial" w:eastAsia="Calibri" w:hAnsi="Arial" w:cs="Arial"/>
                <w:color w:val="000000"/>
                <w:sz w:val="16"/>
                <w:szCs w:val="16"/>
              </w:rPr>
              <w:t>-</w:t>
            </w:r>
          </w:p>
        </w:tc>
        <w:tc>
          <w:tcPr>
            <w:tcW w:w="1162" w:type="dxa"/>
            <w:vAlign w:val="bottom"/>
          </w:tcPr>
          <w:p w14:paraId="1CB30C08" w14:textId="77777777" w:rsidR="00CB4373" w:rsidRPr="0085237C" w:rsidRDefault="00CB4373" w:rsidP="00AC543A">
            <w:pPr>
              <w:spacing w:after="160" w:line="259" w:lineRule="auto"/>
              <w:jc w:val="right"/>
              <w:rPr>
                <w:rFonts w:ascii="Arial" w:eastAsia="Calibri" w:hAnsi="Arial" w:cs="Arial"/>
                <w:color w:val="000000"/>
                <w:sz w:val="16"/>
                <w:szCs w:val="16"/>
              </w:rPr>
            </w:pPr>
            <w:r w:rsidRPr="0085237C">
              <w:rPr>
                <w:rFonts w:ascii="Arial" w:eastAsia="Calibri" w:hAnsi="Arial" w:cs="Arial"/>
                <w:color w:val="000000"/>
                <w:sz w:val="16"/>
                <w:szCs w:val="16"/>
              </w:rPr>
              <w:t>-</w:t>
            </w:r>
          </w:p>
        </w:tc>
        <w:tc>
          <w:tcPr>
            <w:tcW w:w="1311" w:type="dxa"/>
            <w:shd w:val="clear" w:color="auto" w:fill="auto"/>
            <w:vAlign w:val="center"/>
          </w:tcPr>
          <w:p w14:paraId="1BE14F1F" w14:textId="77777777" w:rsidR="00CB4373" w:rsidRPr="0085237C" w:rsidRDefault="00CB4373" w:rsidP="00AC543A">
            <w:pPr>
              <w:spacing w:after="160" w:line="259" w:lineRule="auto"/>
              <w:jc w:val="right"/>
              <w:rPr>
                <w:rFonts w:ascii="Arial" w:eastAsia="Calibri" w:hAnsi="Arial" w:cs="Arial"/>
                <w:color w:val="000000"/>
                <w:sz w:val="16"/>
                <w:szCs w:val="16"/>
              </w:rPr>
            </w:pPr>
            <w:r w:rsidRPr="0085237C">
              <w:rPr>
                <w:rFonts w:ascii="Arial" w:eastAsia="Calibri" w:hAnsi="Arial" w:cs="Arial"/>
                <w:color w:val="000000"/>
                <w:sz w:val="16"/>
                <w:szCs w:val="16"/>
              </w:rPr>
              <w:t>-</w:t>
            </w:r>
          </w:p>
        </w:tc>
      </w:tr>
      <w:tr w:rsidR="00CB4373" w:rsidRPr="001B2F17" w14:paraId="5031B759" w14:textId="77777777" w:rsidTr="00CB4373">
        <w:trPr>
          <w:trHeight w:val="20"/>
        </w:trPr>
        <w:tc>
          <w:tcPr>
            <w:tcW w:w="2622" w:type="dxa"/>
            <w:shd w:val="clear" w:color="auto" w:fill="auto"/>
            <w:vAlign w:val="center"/>
            <w:hideMark/>
          </w:tcPr>
          <w:p w14:paraId="3394573C" w14:textId="77777777" w:rsidR="00CB4373" w:rsidRPr="0085237C" w:rsidRDefault="00CB4373" w:rsidP="00AC543A">
            <w:pPr>
              <w:spacing w:after="160" w:line="259" w:lineRule="auto"/>
              <w:rPr>
                <w:rFonts w:ascii="Arial" w:eastAsia="Calibri" w:hAnsi="Arial" w:cs="Arial"/>
                <w:color w:val="000000"/>
                <w:sz w:val="16"/>
                <w:szCs w:val="16"/>
                <w:lang w:eastAsia="es-AR"/>
              </w:rPr>
            </w:pPr>
            <w:r w:rsidRPr="0085237C">
              <w:rPr>
                <w:rFonts w:ascii="Arial" w:eastAsia="Calibri" w:hAnsi="Arial" w:cs="Arial"/>
                <w:color w:val="000000"/>
                <w:sz w:val="16"/>
                <w:szCs w:val="16"/>
              </w:rPr>
              <w:t>Grupo Supervielle S.A.</w:t>
            </w:r>
          </w:p>
        </w:tc>
        <w:tc>
          <w:tcPr>
            <w:tcW w:w="1417" w:type="dxa"/>
            <w:vAlign w:val="bottom"/>
          </w:tcPr>
          <w:p w14:paraId="5CE359FC"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936" w:type="dxa"/>
            <w:vAlign w:val="bottom"/>
          </w:tcPr>
          <w:p w14:paraId="18FFF370"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c>
          <w:tcPr>
            <w:tcW w:w="1090" w:type="dxa"/>
            <w:shd w:val="clear" w:color="auto" w:fill="auto"/>
            <w:vAlign w:val="bottom"/>
          </w:tcPr>
          <w:p w14:paraId="2E2ACFD4"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1</w:t>
            </w:r>
            <w:r>
              <w:rPr>
                <w:rFonts w:ascii="Arial" w:eastAsia="Calibri" w:hAnsi="Arial" w:cs="Arial"/>
                <w:color w:val="000000"/>
                <w:sz w:val="16"/>
                <w:szCs w:val="16"/>
              </w:rPr>
              <w:t>70</w:t>
            </w:r>
          </w:p>
        </w:tc>
        <w:tc>
          <w:tcPr>
            <w:tcW w:w="1106" w:type="dxa"/>
            <w:shd w:val="clear" w:color="auto" w:fill="auto"/>
            <w:vAlign w:val="bottom"/>
          </w:tcPr>
          <w:p w14:paraId="3B73BE13"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677</w:t>
            </w:r>
          </w:p>
        </w:tc>
        <w:tc>
          <w:tcPr>
            <w:tcW w:w="1162" w:type="dxa"/>
            <w:vAlign w:val="bottom"/>
          </w:tcPr>
          <w:p w14:paraId="624FB25F"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Pr>
                <w:rFonts w:ascii="Arial" w:eastAsia="Calibri" w:hAnsi="Arial" w:cs="Arial"/>
                <w:color w:val="000000"/>
                <w:sz w:val="16"/>
                <w:szCs w:val="16"/>
              </w:rPr>
              <w:t>351.886</w:t>
            </w:r>
          </w:p>
        </w:tc>
        <w:tc>
          <w:tcPr>
            <w:tcW w:w="1311" w:type="dxa"/>
            <w:shd w:val="clear" w:color="auto" w:fill="auto"/>
            <w:vAlign w:val="center"/>
          </w:tcPr>
          <w:p w14:paraId="267ACDB1" w14:textId="77777777" w:rsidR="00CB4373" w:rsidRPr="0085237C" w:rsidRDefault="00CB4373" w:rsidP="00AC543A">
            <w:pPr>
              <w:spacing w:after="160" w:line="259" w:lineRule="auto"/>
              <w:jc w:val="right"/>
              <w:rPr>
                <w:rFonts w:ascii="Arial" w:eastAsia="Calibri" w:hAnsi="Arial" w:cs="Arial"/>
                <w:color w:val="000000"/>
                <w:sz w:val="16"/>
                <w:szCs w:val="16"/>
                <w:lang w:val="es-ES_tradnl"/>
              </w:rPr>
            </w:pPr>
            <w:r w:rsidRPr="0085237C">
              <w:rPr>
                <w:rFonts w:ascii="Arial" w:eastAsia="Calibri" w:hAnsi="Arial" w:cs="Arial"/>
                <w:color w:val="000000"/>
                <w:sz w:val="16"/>
                <w:szCs w:val="16"/>
              </w:rPr>
              <w:t>-</w:t>
            </w:r>
          </w:p>
        </w:tc>
      </w:tr>
      <w:tr w:rsidR="00CB4373" w:rsidRPr="001B2F17" w14:paraId="5A75DD3E" w14:textId="77777777" w:rsidTr="00CB4373">
        <w:trPr>
          <w:trHeight w:val="20"/>
        </w:trPr>
        <w:tc>
          <w:tcPr>
            <w:tcW w:w="2622" w:type="dxa"/>
            <w:shd w:val="clear" w:color="auto" w:fill="auto"/>
            <w:vAlign w:val="center"/>
            <w:hideMark/>
          </w:tcPr>
          <w:p w14:paraId="1E53A614" w14:textId="77777777" w:rsidR="00CB4373" w:rsidRPr="0085237C" w:rsidRDefault="00CB4373" w:rsidP="00AC543A">
            <w:pPr>
              <w:spacing w:after="160" w:line="259" w:lineRule="auto"/>
              <w:rPr>
                <w:rFonts w:ascii="Arial" w:eastAsia="Calibri" w:hAnsi="Arial" w:cs="Arial"/>
                <w:b/>
                <w:bCs/>
                <w:color w:val="000000"/>
                <w:sz w:val="16"/>
                <w:szCs w:val="16"/>
                <w:lang w:eastAsia="es-AR"/>
              </w:rPr>
            </w:pPr>
            <w:r w:rsidRPr="0085237C">
              <w:rPr>
                <w:rFonts w:ascii="Arial" w:eastAsia="Calibri" w:hAnsi="Arial" w:cs="Arial"/>
                <w:b/>
                <w:bCs/>
                <w:color w:val="000000"/>
                <w:sz w:val="16"/>
                <w:szCs w:val="16"/>
              </w:rPr>
              <w:t>TOTAL</w:t>
            </w:r>
          </w:p>
        </w:tc>
        <w:tc>
          <w:tcPr>
            <w:tcW w:w="1417" w:type="dxa"/>
            <w:vAlign w:val="bottom"/>
          </w:tcPr>
          <w:p w14:paraId="0A171174" w14:textId="77777777" w:rsidR="00CB4373" w:rsidRPr="0085237C" w:rsidRDefault="00CB4373" w:rsidP="00AC543A">
            <w:pPr>
              <w:spacing w:after="160" w:line="259" w:lineRule="auto"/>
              <w:jc w:val="right"/>
              <w:rPr>
                <w:rFonts w:ascii="Arial" w:eastAsia="Calibri" w:hAnsi="Arial" w:cs="Arial"/>
                <w:b/>
                <w:color w:val="000000"/>
                <w:sz w:val="16"/>
                <w:szCs w:val="16"/>
              </w:rPr>
            </w:pPr>
            <w:r>
              <w:rPr>
                <w:rFonts w:ascii="Arial" w:eastAsia="Calibri" w:hAnsi="Arial" w:cs="Arial"/>
                <w:b/>
                <w:color w:val="000000"/>
                <w:sz w:val="16"/>
                <w:szCs w:val="16"/>
              </w:rPr>
              <w:t>79</w:t>
            </w:r>
            <w:r w:rsidRPr="0085237C">
              <w:rPr>
                <w:rFonts w:ascii="Arial" w:eastAsia="Calibri" w:hAnsi="Arial" w:cs="Arial"/>
                <w:b/>
                <w:color w:val="000000"/>
                <w:sz w:val="16"/>
                <w:szCs w:val="16"/>
              </w:rPr>
              <w:t>.</w:t>
            </w:r>
            <w:r>
              <w:rPr>
                <w:rFonts w:ascii="Arial" w:eastAsia="Calibri" w:hAnsi="Arial" w:cs="Arial"/>
                <w:b/>
                <w:color w:val="000000"/>
                <w:sz w:val="16"/>
                <w:szCs w:val="16"/>
              </w:rPr>
              <w:t>378</w:t>
            </w:r>
            <w:r w:rsidRPr="0085237C">
              <w:rPr>
                <w:rFonts w:ascii="Arial" w:eastAsia="Calibri" w:hAnsi="Arial" w:cs="Arial"/>
                <w:b/>
                <w:color w:val="000000"/>
                <w:sz w:val="16"/>
                <w:szCs w:val="16"/>
              </w:rPr>
              <w:t xml:space="preserve"> </w:t>
            </w:r>
          </w:p>
        </w:tc>
        <w:tc>
          <w:tcPr>
            <w:tcW w:w="936" w:type="dxa"/>
            <w:vAlign w:val="bottom"/>
          </w:tcPr>
          <w:p w14:paraId="32054DDB" w14:textId="77777777" w:rsidR="00CB4373" w:rsidRPr="0085237C" w:rsidRDefault="00CB4373" w:rsidP="00AC543A">
            <w:pPr>
              <w:spacing w:after="160" w:line="259" w:lineRule="auto"/>
              <w:jc w:val="right"/>
              <w:rPr>
                <w:rFonts w:ascii="Arial" w:eastAsia="Calibri" w:hAnsi="Arial" w:cs="Arial"/>
                <w:b/>
                <w:color w:val="000000"/>
                <w:sz w:val="16"/>
                <w:szCs w:val="16"/>
              </w:rPr>
            </w:pPr>
            <w:r w:rsidRPr="0085237C">
              <w:rPr>
                <w:rFonts w:ascii="Arial" w:eastAsia="Calibri" w:hAnsi="Arial" w:cs="Arial"/>
                <w:b/>
                <w:color w:val="000000"/>
                <w:sz w:val="16"/>
                <w:szCs w:val="16"/>
              </w:rPr>
              <w:t xml:space="preserve"> -   </w:t>
            </w:r>
          </w:p>
        </w:tc>
        <w:tc>
          <w:tcPr>
            <w:tcW w:w="1090" w:type="dxa"/>
            <w:shd w:val="clear" w:color="auto" w:fill="auto"/>
            <w:vAlign w:val="bottom"/>
          </w:tcPr>
          <w:p w14:paraId="1088A5AD" w14:textId="77777777" w:rsidR="00CB4373" w:rsidRPr="0085237C" w:rsidRDefault="00CB4373" w:rsidP="00AC543A">
            <w:pPr>
              <w:spacing w:after="160" w:line="259" w:lineRule="auto"/>
              <w:jc w:val="right"/>
              <w:rPr>
                <w:rFonts w:ascii="Arial" w:eastAsia="Calibri" w:hAnsi="Arial" w:cs="Arial"/>
                <w:b/>
                <w:color w:val="000000"/>
                <w:sz w:val="16"/>
                <w:szCs w:val="16"/>
              </w:rPr>
            </w:pPr>
            <w:r w:rsidRPr="0085237C">
              <w:rPr>
                <w:rFonts w:ascii="Arial" w:eastAsia="Calibri" w:hAnsi="Arial" w:cs="Arial"/>
                <w:b/>
                <w:color w:val="000000"/>
                <w:sz w:val="16"/>
                <w:szCs w:val="16"/>
              </w:rPr>
              <w:t xml:space="preserve"> </w:t>
            </w:r>
            <w:r>
              <w:rPr>
                <w:rFonts w:ascii="Arial" w:eastAsia="Calibri" w:hAnsi="Arial" w:cs="Arial"/>
                <w:b/>
                <w:color w:val="000000"/>
                <w:sz w:val="16"/>
                <w:szCs w:val="16"/>
              </w:rPr>
              <w:t>9</w:t>
            </w:r>
            <w:r w:rsidRPr="0085237C">
              <w:rPr>
                <w:rFonts w:ascii="Arial" w:eastAsia="Calibri" w:hAnsi="Arial" w:cs="Arial"/>
                <w:b/>
                <w:color w:val="000000"/>
                <w:sz w:val="16"/>
                <w:szCs w:val="16"/>
              </w:rPr>
              <w:t>.0</w:t>
            </w:r>
            <w:r>
              <w:rPr>
                <w:rFonts w:ascii="Arial" w:eastAsia="Calibri" w:hAnsi="Arial" w:cs="Arial"/>
                <w:b/>
                <w:color w:val="000000"/>
                <w:sz w:val="16"/>
                <w:szCs w:val="16"/>
              </w:rPr>
              <w:t>36</w:t>
            </w:r>
            <w:r w:rsidRPr="0085237C">
              <w:rPr>
                <w:rFonts w:ascii="Arial" w:eastAsia="Calibri" w:hAnsi="Arial" w:cs="Arial"/>
                <w:b/>
                <w:color w:val="000000"/>
                <w:sz w:val="16"/>
                <w:szCs w:val="16"/>
              </w:rPr>
              <w:t xml:space="preserve"> </w:t>
            </w:r>
          </w:p>
        </w:tc>
        <w:tc>
          <w:tcPr>
            <w:tcW w:w="1106" w:type="dxa"/>
            <w:shd w:val="clear" w:color="auto" w:fill="auto"/>
            <w:vAlign w:val="bottom"/>
          </w:tcPr>
          <w:p w14:paraId="65488C87" w14:textId="77777777" w:rsidR="00CB4373" w:rsidRPr="0085237C" w:rsidRDefault="00CB4373" w:rsidP="00AC543A">
            <w:pPr>
              <w:spacing w:after="160" w:line="259" w:lineRule="auto"/>
              <w:jc w:val="right"/>
              <w:rPr>
                <w:rFonts w:ascii="Arial" w:eastAsia="Calibri" w:hAnsi="Arial" w:cs="Arial"/>
                <w:b/>
                <w:color w:val="000000"/>
                <w:sz w:val="16"/>
                <w:szCs w:val="16"/>
              </w:rPr>
            </w:pPr>
            <w:r w:rsidRPr="0085237C">
              <w:rPr>
                <w:rFonts w:ascii="Arial" w:eastAsia="Calibri" w:hAnsi="Arial" w:cs="Arial"/>
                <w:b/>
                <w:color w:val="000000"/>
                <w:sz w:val="16"/>
                <w:szCs w:val="16"/>
              </w:rPr>
              <w:t xml:space="preserve"> </w:t>
            </w:r>
            <w:r>
              <w:rPr>
                <w:rFonts w:ascii="Arial" w:eastAsia="Calibri" w:hAnsi="Arial" w:cs="Arial"/>
                <w:b/>
                <w:color w:val="000000"/>
                <w:sz w:val="16"/>
                <w:szCs w:val="16"/>
              </w:rPr>
              <w:t>498</w:t>
            </w:r>
            <w:r w:rsidRPr="0085237C">
              <w:rPr>
                <w:rFonts w:ascii="Arial" w:eastAsia="Calibri" w:hAnsi="Arial" w:cs="Arial"/>
                <w:b/>
                <w:color w:val="000000"/>
                <w:sz w:val="16"/>
                <w:szCs w:val="16"/>
              </w:rPr>
              <w:t>.</w:t>
            </w:r>
            <w:r>
              <w:rPr>
                <w:rFonts w:ascii="Arial" w:eastAsia="Calibri" w:hAnsi="Arial" w:cs="Arial"/>
                <w:b/>
                <w:color w:val="000000"/>
                <w:sz w:val="16"/>
                <w:szCs w:val="16"/>
              </w:rPr>
              <w:t>552</w:t>
            </w:r>
            <w:r w:rsidRPr="0085237C">
              <w:rPr>
                <w:rFonts w:ascii="Arial" w:eastAsia="Calibri" w:hAnsi="Arial" w:cs="Arial"/>
                <w:b/>
                <w:color w:val="000000"/>
                <w:sz w:val="16"/>
                <w:szCs w:val="16"/>
              </w:rPr>
              <w:t xml:space="preserve"> </w:t>
            </w:r>
          </w:p>
        </w:tc>
        <w:tc>
          <w:tcPr>
            <w:tcW w:w="1162" w:type="dxa"/>
            <w:vAlign w:val="bottom"/>
          </w:tcPr>
          <w:p w14:paraId="2B43F71A" w14:textId="77777777" w:rsidR="00CB4373" w:rsidRPr="0085237C" w:rsidRDefault="00CB4373" w:rsidP="00AC543A">
            <w:pPr>
              <w:spacing w:after="160" w:line="259" w:lineRule="auto"/>
              <w:jc w:val="right"/>
              <w:rPr>
                <w:rFonts w:ascii="Arial" w:eastAsia="Calibri" w:hAnsi="Arial" w:cs="Arial"/>
                <w:b/>
                <w:color w:val="000000"/>
                <w:sz w:val="16"/>
                <w:szCs w:val="16"/>
              </w:rPr>
            </w:pPr>
            <w:r w:rsidRPr="0085237C">
              <w:rPr>
                <w:rFonts w:ascii="Arial" w:eastAsia="Calibri" w:hAnsi="Arial" w:cs="Arial"/>
                <w:b/>
                <w:color w:val="000000"/>
                <w:sz w:val="16"/>
                <w:szCs w:val="16"/>
              </w:rPr>
              <w:t xml:space="preserve"> 4</w:t>
            </w:r>
            <w:r>
              <w:rPr>
                <w:rFonts w:ascii="Arial" w:eastAsia="Calibri" w:hAnsi="Arial" w:cs="Arial"/>
                <w:b/>
                <w:color w:val="000000"/>
                <w:sz w:val="16"/>
                <w:szCs w:val="16"/>
              </w:rPr>
              <w:t>00</w:t>
            </w:r>
            <w:r w:rsidRPr="0085237C">
              <w:rPr>
                <w:rFonts w:ascii="Arial" w:eastAsia="Calibri" w:hAnsi="Arial" w:cs="Arial"/>
                <w:b/>
                <w:color w:val="000000"/>
                <w:sz w:val="16"/>
                <w:szCs w:val="16"/>
              </w:rPr>
              <w:t>.</w:t>
            </w:r>
            <w:r>
              <w:rPr>
                <w:rFonts w:ascii="Arial" w:eastAsia="Calibri" w:hAnsi="Arial" w:cs="Arial"/>
                <w:b/>
                <w:color w:val="000000"/>
                <w:sz w:val="16"/>
                <w:szCs w:val="16"/>
              </w:rPr>
              <w:t>669</w:t>
            </w:r>
            <w:r w:rsidRPr="0085237C">
              <w:rPr>
                <w:rFonts w:ascii="Arial" w:eastAsia="Calibri" w:hAnsi="Arial" w:cs="Arial"/>
                <w:b/>
                <w:color w:val="000000"/>
                <w:sz w:val="16"/>
                <w:szCs w:val="16"/>
              </w:rPr>
              <w:t xml:space="preserve"> </w:t>
            </w:r>
          </w:p>
        </w:tc>
        <w:tc>
          <w:tcPr>
            <w:tcW w:w="1311" w:type="dxa"/>
            <w:shd w:val="clear" w:color="auto" w:fill="auto"/>
            <w:vAlign w:val="center"/>
          </w:tcPr>
          <w:p w14:paraId="696B750A" w14:textId="77777777" w:rsidR="00CB4373" w:rsidRPr="0085237C" w:rsidRDefault="00CB4373" w:rsidP="00AC543A">
            <w:pPr>
              <w:spacing w:after="160" w:line="259" w:lineRule="auto"/>
              <w:jc w:val="right"/>
              <w:rPr>
                <w:rFonts w:ascii="Arial" w:eastAsia="Calibri" w:hAnsi="Arial" w:cs="Arial"/>
                <w:b/>
                <w:color w:val="000000"/>
                <w:sz w:val="16"/>
                <w:szCs w:val="16"/>
              </w:rPr>
            </w:pPr>
            <w:r w:rsidRPr="0085237C">
              <w:rPr>
                <w:rFonts w:ascii="Arial" w:eastAsia="Calibri" w:hAnsi="Arial" w:cs="Arial"/>
                <w:b/>
                <w:color w:val="000000"/>
                <w:sz w:val="16"/>
                <w:szCs w:val="16"/>
              </w:rPr>
              <w:t xml:space="preserve"> -   </w:t>
            </w:r>
          </w:p>
        </w:tc>
      </w:tr>
    </w:tbl>
    <w:p w14:paraId="30A663FA" w14:textId="77777777" w:rsidR="00CB4373" w:rsidRDefault="00CB4373" w:rsidP="00E311C9">
      <w:pPr>
        <w:rPr>
          <w:rFonts w:ascii="Arial" w:eastAsia="Calibri" w:hAnsi="Arial" w:cs="Arial"/>
          <w:color w:val="000000"/>
          <w:sz w:val="20"/>
        </w:rPr>
      </w:pPr>
    </w:p>
    <w:p w14:paraId="456CED3D" w14:textId="36E9FE0B" w:rsidR="00A06BE9" w:rsidRDefault="00A06BE9" w:rsidP="00A06BE9">
      <w:pPr>
        <w:widowControl w:val="0"/>
        <w:autoSpaceDE w:val="0"/>
        <w:autoSpaceDN w:val="0"/>
        <w:adjustRightInd w:val="0"/>
        <w:jc w:val="both"/>
        <w:rPr>
          <w:rFonts w:ascii="Arial" w:eastAsia="Calibri" w:hAnsi="Arial" w:cs="Arial"/>
          <w:color w:val="000000"/>
          <w:sz w:val="20"/>
        </w:rPr>
      </w:pPr>
      <w:r w:rsidRPr="00701F32">
        <w:rPr>
          <w:rFonts w:ascii="Arial" w:eastAsia="Calibri" w:hAnsi="Arial" w:cs="Arial"/>
          <w:color w:val="000000"/>
          <w:sz w:val="20"/>
        </w:rPr>
        <w:t xml:space="preserve">Los resultados más significativos al </w:t>
      </w:r>
      <w:r w:rsidR="009C5DAE">
        <w:rPr>
          <w:rFonts w:ascii="Arial" w:eastAsia="Calibri" w:hAnsi="Arial" w:cs="Arial"/>
          <w:color w:val="000000"/>
          <w:sz w:val="20"/>
        </w:rPr>
        <w:t>3</w:t>
      </w:r>
      <w:r w:rsidR="00543EF5">
        <w:rPr>
          <w:rFonts w:ascii="Arial" w:eastAsia="Calibri" w:hAnsi="Arial" w:cs="Arial"/>
          <w:color w:val="000000"/>
          <w:sz w:val="20"/>
        </w:rPr>
        <w:t>1</w:t>
      </w:r>
      <w:r w:rsidR="00F22F87" w:rsidRPr="00701F32">
        <w:rPr>
          <w:rFonts w:ascii="Arial" w:eastAsia="Calibri" w:hAnsi="Arial" w:cs="Arial"/>
          <w:color w:val="000000"/>
          <w:sz w:val="20"/>
        </w:rPr>
        <w:t xml:space="preserve"> de </w:t>
      </w:r>
      <w:r w:rsidR="00543EF5">
        <w:rPr>
          <w:rFonts w:ascii="Arial" w:eastAsia="Calibri" w:hAnsi="Arial" w:cs="Arial"/>
          <w:color w:val="000000"/>
          <w:sz w:val="20"/>
        </w:rPr>
        <w:t>diciembre</w:t>
      </w:r>
      <w:r w:rsidR="006104DE">
        <w:rPr>
          <w:rFonts w:ascii="Arial" w:eastAsia="Calibri" w:hAnsi="Arial" w:cs="Arial"/>
          <w:color w:val="000000"/>
          <w:sz w:val="20"/>
        </w:rPr>
        <w:t xml:space="preserve"> </w:t>
      </w:r>
      <w:r w:rsidR="00475EFD">
        <w:rPr>
          <w:rFonts w:ascii="Arial" w:eastAsia="Calibri" w:hAnsi="Arial" w:cs="Arial"/>
          <w:color w:val="000000"/>
          <w:sz w:val="20"/>
        </w:rPr>
        <w:t xml:space="preserve">de </w:t>
      </w:r>
      <w:r w:rsidR="006104DE">
        <w:rPr>
          <w:rFonts w:ascii="Arial" w:eastAsia="Calibri" w:hAnsi="Arial" w:cs="Arial"/>
          <w:color w:val="000000"/>
          <w:sz w:val="20"/>
        </w:rPr>
        <w:t xml:space="preserve">2019 </w:t>
      </w:r>
      <w:r w:rsidR="00475EFD">
        <w:rPr>
          <w:rFonts w:ascii="Arial" w:eastAsia="Calibri" w:hAnsi="Arial" w:cs="Arial"/>
          <w:color w:val="000000"/>
          <w:sz w:val="20"/>
        </w:rPr>
        <w:t xml:space="preserve">y </w:t>
      </w:r>
      <w:r w:rsidR="006104DE">
        <w:rPr>
          <w:rFonts w:ascii="Arial" w:eastAsia="Calibri" w:hAnsi="Arial" w:cs="Arial"/>
          <w:color w:val="000000"/>
          <w:sz w:val="20"/>
        </w:rPr>
        <w:t xml:space="preserve">2018 </w:t>
      </w:r>
      <w:r w:rsidRPr="00701F32">
        <w:rPr>
          <w:rFonts w:ascii="Arial" w:eastAsia="Calibri" w:hAnsi="Arial" w:cs="Arial"/>
          <w:color w:val="000000"/>
          <w:sz w:val="20"/>
        </w:rPr>
        <w:t>son los siguientes</w:t>
      </w:r>
      <w:r w:rsidR="00D20EF9" w:rsidRPr="00701F32">
        <w:rPr>
          <w:rFonts w:ascii="Arial" w:eastAsia="Calibri" w:hAnsi="Arial" w:cs="Arial"/>
          <w:color w:val="000000"/>
          <w:sz w:val="20"/>
        </w:rPr>
        <w:t>:</w:t>
      </w:r>
    </w:p>
    <w:p w14:paraId="7ED61F63" w14:textId="77777777" w:rsidR="00A06BE9" w:rsidRPr="00701F32" w:rsidRDefault="00A06BE9" w:rsidP="00A06BE9">
      <w:pPr>
        <w:widowControl w:val="0"/>
        <w:autoSpaceDE w:val="0"/>
        <w:autoSpaceDN w:val="0"/>
        <w:adjustRightInd w:val="0"/>
        <w:jc w:val="both"/>
        <w:rPr>
          <w:rFonts w:ascii="Arial" w:eastAsia="Calibri" w:hAnsi="Arial" w:cs="Arial"/>
          <w:color w:val="000000"/>
          <w:sz w:val="16"/>
        </w:rPr>
      </w:pPr>
    </w:p>
    <w:tbl>
      <w:tblPr>
        <w:tblW w:w="97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396"/>
        <w:gridCol w:w="1145"/>
        <w:gridCol w:w="1068"/>
        <w:gridCol w:w="1202"/>
        <w:gridCol w:w="1201"/>
        <w:gridCol w:w="1422"/>
        <w:gridCol w:w="1268"/>
        <w:gridCol w:w="7"/>
      </w:tblGrid>
      <w:tr w:rsidR="00F53550" w:rsidRPr="00701F32" w14:paraId="78BC8520" w14:textId="77777777" w:rsidTr="00C43BF8">
        <w:trPr>
          <w:trHeight w:val="391"/>
          <w:tblHeader/>
        </w:trPr>
        <w:tc>
          <w:tcPr>
            <w:tcW w:w="2396" w:type="dxa"/>
            <w:vMerge w:val="restart"/>
            <w:shd w:val="clear" w:color="auto" w:fill="auto"/>
            <w:vAlign w:val="center"/>
            <w:hideMark/>
          </w:tcPr>
          <w:p w14:paraId="777F1E2F" w14:textId="77777777" w:rsidR="00F53550" w:rsidRPr="00701F32" w:rsidRDefault="00F53550" w:rsidP="00464C0F">
            <w:pPr>
              <w:tabs>
                <w:tab w:val="left" w:pos="142"/>
              </w:tabs>
              <w:spacing w:after="160" w:line="259" w:lineRule="auto"/>
              <w:jc w:val="center"/>
              <w:rPr>
                <w:rFonts w:ascii="Arial" w:eastAsia="Calibri" w:hAnsi="Arial" w:cs="Arial"/>
                <w:b/>
                <w:color w:val="000000"/>
                <w:sz w:val="16"/>
                <w:lang w:eastAsia="es-AR"/>
              </w:rPr>
            </w:pPr>
            <w:r w:rsidRPr="00701F32">
              <w:rPr>
                <w:rFonts w:ascii="Arial" w:eastAsia="Calibri" w:hAnsi="Arial" w:cs="Arial"/>
                <w:b/>
                <w:color w:val="000000"/>
                <w:sz w:val="16"/>
                <w:lang w:eastAsia="es-AR"/>
              </w:rPr>
              <w:t>Sociedades</w:t>
            </w:r>
          </w:p>
        </w:tc>
        <w:tc>
          <w:tcPr>
            <w:tcW w:w="7313" w:type="dxa"/>
            <w:gridSpan w:val="7"/>
            <w:vAlign w:val="center"/>
          </w:tcPr>
          <w:p w14:paraId="62B5EFC7" w14:textId="79A7C008" w:rsidR="00F53550" w:rsidRPr="00701F32" w:rsidRDefault="009C5DAE" w:rsidP="009C5DAE">
            <w:pPr>
              <w:spacing w:after="160" w:line="259" w:lineRule="auto"/>
              <w:jc w:val="center"/>
              <w:rPr>
                <w:rFonts w:ascii="Arial" w:eastAsia="Calibri" w:hAnsi="Arial" w:cs="Arial"/>
                <w:b/>
                <w:color w:val="000000"/>
                <w:sz w:val="16"/>
              </w:rPr>
            </w:pPr>
            <w:r>
              <w:rPr>
                <w:rFonts w:ascii="Arial" w:eastAsia="Calibri" w:hAnsi="Arial" w:cs="Arial"/>
                <w:b/>
                <w:color w:val="000000"/>
                <w:sz w:val="16"/>
              </w:rPr>
              <w:t>3</w:t>
            </w:r>
            <w:r w:rsidR="00543EF5">
              <w:rPr>
                <w:rFonts w:ascii="Arial" w:eastAsia="Calibri" w:hAnsi="Arial" w:cs="Arial"/>
                <w:b/>
                <w:color w:val="000000"/>
                <w:sz w:val="16"/>
              </w:rPr>
              <w:t>1</w:t>
            </w:r>
            <w:r w:rsidR="00F53550" w:rsidRPr="00701F32">
              <w:rPr>
                <w:rFonts w:ascii="Arial" w:eastAsia="Calibri" w:hAnsi="Arial" w:cs="Arial"/>
                <w:b/>
                <w:color w:val="000000"/>
                <w:sz w:val="16"/>
              </w:rPr>
              <w:t>/</w:t>
            </w:r>
            <w:r w:rsidR="00543EF5">
              <w:rPr>
                <w:rFonts w:ascii="Arial" w:eastAsia="Calibri" w:hAnsi="Arial" w:cs="Arial"/>
                <w:b/>
                <w:color w:val="000000"/>
                <w:sz w:val="16"/>
              </w:rPr>
              <w:t>12</w:t>
            </w:r>
            <w:r w:rsidR="00F53550" w:rsidRPr="00701F32">
              <w:rPr>
                <w:rFonts w:ascii="Arial" w:eastAsia="Calibri" w:hAnsi="Arial" w:cs="Arial"/>
                <w:b/>
                <w:color w:val="000000"/>
                <w:sz w:val="16"/>
              </w:rPr>
              <w:t>/201</w:t>
            </w:r>
            <w:r w:rsidR="0027557A">
              <w:rPr>
                <w:rFonts w:ascii="Arial" w:eastAsia="Calibri" w:hAnsi="Arial" w:cs="Arial"/>
                <w:b/>
                <w:color w:val="000000"/>
                <w:sz w:val="16"/>
              </w:rPr>
              <w:t>9</w:t>
            </w:r>
          </w:p>
        </w:tc>
      </w:tr>
      <w:tr w:rsidR="001B25DF" w:rsidRPr="00701F32" w14:paraId="1444FBDA" w14:textId="77777777" w:rsidTr="00C43BF8">
        <w:trPr>
          <w:gridAfter w:val="1"/>
          <w:wAfter w:w="7" w:type="dxa"/>
          <w:trHeight w:val="723"/>
          <w:tblHeader/>
        </w:trPr>
        <w:tc>
          <w:tcPr>
            <w:tcW w:w="2396" w:type="dxa"/>
            <w:vMerge/>
            <w:shd w:val="clear" w:color="auto" w:fill="auto"/>
            <w:vAlign w:val="center"/>
            <w:hideMark/>
          </w:tcPr>
          <w:p w14:paraId="734C02AD" w14:textId="77777777" w:rsidR="00A06BE9" w:rsidRPr="00701F32" w:rsidRDefault="00A06BE9" w:rsidP="00464C0F">
            <w:pPr>
              <w:tabs>
                <w:tab w:val="left" w:pos="142"/>
              </w:tabs>
              <w:spacing w:after="160" w:line="259" w:lineRule="auto"/>
              <w:jc w:val="center"/>
              <w:rPr>
                <w:rFonts w:ascii="Arial" w:eastAsia="Calibri" w:hAnsi="Arial" w:cs="Arial"/>
                <w:color w:val="000000"/>
                <w:sz w:val="16"/>
                <w:lang w:eastAsia="es-AR"/>
              </w:rPr>
            </w:pPr>
          </w:p>
        </w:tc>
        <w:tc>
          <w:tcPr>
            <w:tcW w:w="1145" w:type="dxa"/>
            <w:vAlign w:val="center"/>
          </w:tcPr>
          <w:p w14:paraId="460F8FF9" w14:textId="77777777"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Ingresos por Intereses</w:t>
            </w:r>
          </w:p>
        </w:tc>
        <w:tc>
          <w:tcPr>
            <w:tcW w:w="1068" w:type="dxa"/>
            <w:vAlign w:val="center"/>
          </w:tcPr>
          <w:p w14:paraId="5E13174D" w14:textId="77777777"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Egresos por intereses</w:t>
            </w:r>
          </w:p>
        </w:tc>
        <w:tc>
          <w:tcPr>
            <w:tcW w:w="1202" w:type="dxa"/>
            <w:shd w:val="clear" w:color="auto" w:fill="auto"/>
            <w:vAlign w:val="center"/>
          </w:tcPr>
          <w:p w14:paraId="1D71C8A1" w14:textId="77777777"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Ingresos por Comisiones</w:t>
            </w:r>
          </w:p>
        </w:tc>
        <w:tc>
          <w:tcPr>
            <w:tcW w:w="1201" w:type="dxa"/>
            <w:vAlign w:val="center"/>
          </w:tcPr>
          <w:p w14:paraId="312A924B" w14:textId="77777777"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Egresos por Comisiones</w:t>
            </w:r>
          </w:p>
        </w:tc>
        <w:tc>
          <w:tcPr>
            <w:tcW w:w="1422" w:type="dxa"/>
            <w:vAlign w:val="center"/>
          </w:tcPr>
          <w:p w14:paraId="493B1DDD" w14:textId="26057EF6"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Gastos de Administración</w:t>
            </w:r>
          </w:p>
        </w:tc>
        <w:tc>
          <w:tcPr>
            <w:tcW w:w="1268" w:type="dxa"/>
            <w:vAlign w:val="center"/>
          </w:tcPr>
          <w:p w14:paraId="7BF58039" w14:textId="77777777" w:rsidR="00A06BE9" w:rsidRPr="00701F32" w:rsidRDefault="00A06BE9" w:rsidP="00464C0F">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Otros Ingresos Operativos</w:t>
            </w:r>
          </w:p>
        </w:tc>
      </w:tr>
      <w:tr w:rsidR="001B25DF" w:rsidRPr="00701F32" w14:paraId="02011381" w14:textId="77777777" w:rsidTr="00C43BF8">
        <w:trPr>
          <w:gridAfter w:val="1"/>
          <w:wAfter w:w="7" w:type="dxa"/>
          <w:trHeight w:val="391"/>
        </w:trPr>
        <w:tc>
          <w:tcPr>
            <w:tcW w:w="2396" w:type="dxa"/>
            <w:shd w:val="clear" w:color="auto" w:fill="auto"/>
            <w:vAlign w:val="center"/>
            <w:hideMark/>
          </w:tcPr>
          <w:p w14:paraId="268490B0" w14:textId="77777777" w:rsidR="00A06BE9" w:rsidRPr="00701F32" w:rsidRDefault="00A06BE9" w:rsidP="006129EA">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Sofital S.A.F. e I.I.</w:t>
            </w:r>
          </w:p>
        </w:tc>
        <w:tc>
          <w:tcPr>
            <w:tcW w:w="1145" w:type="dxa"/>
            <w:vAlign w:val="bottom"/>
          </w:tcPr>
          <w:p w14:paraId="46AF7D7D" w14:textId="24B4D805"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068" w:type="dxa"/>
            <w:vAlign w:val="bottom"/>
          </w:tcPr>
          <w:p w14:paraId="556DFE2C" w14:textId="48CFF602"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02" w:type="dxa"/>
            <w:shd w:val="clear" w:color="auto" w:fill="auto"/>
            <w:vAlign w:val="bottom"/>
          </w:tcPr>
          <w:p w14:paraId="77BCCF0C" w14:textId="1F14D021"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34</w:t>
            </w:r>
          </w:p>
        </w:tc>
        <w:tc>
          <w:tcPr>
            <w:tcW w:w="1201" w:type="dxa"/>
            <w:vAlign w:val="bottom"/>
          </w:tcPr>
          <w:p w14:paraId="2160033C" w14:textId="7C81390F"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422" w:type="dxa"/>
            <w:vAlign w:val="bottom"/>
          </w:tcPr>
          <w:p w14:paraId="7B68E2A5" w14:textId="0476E1B3"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68" w:type="dxa"/>
            <w:vAlign w:val="bottom"/>
          </w:tcPr>
          <w:p w14:paraId="01CBC995" w14:textId="5FBD3D35"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1B25DF" w:rsidRPr="00701F32" w14:paraId="01068BFC" w14:textId="77777777" w:rsidTr="00C43BF8">
        <w:trPr>
          <w:gridAfter w:val="1"/>
          <w:wAfter w:w="7" w:type="dxa"/>
          <w:trHeight w:val="391"/>
        </w:trPr>
        <w:tc>
          <w:tcPr>
            <w:tcW w:w="2396" w:type="dxa"/>
            <w:shd w:val="clear" w:color="auto" w:fill="auto"/>
            <w:vAlign w:val="center"/>
            <w:hideMark/>
          </w:tcPr>
          <w:p w14:paraId="7E55DC15" w14:textId="77777777" w:rsidR="00A06BE9" w:rsidRPr="00701F32" w:rsidRDefault="00A06BE9" w:rsidP="006129EA">
            <w:pPr>
              <w:spacing w:after="160" w:line="259" w:lineRule="auto"/>
              <w:rPr>
                <w:rFonts w:ascii="Arial" w:eastAsia="Calibri" w:hAnsi="Arial" w:cs="Arial"/>
                <w:color w:val="000000"/>
                <w:sz w:val="16"/>
              </w:rPr>
            </w:pPr>
            <w:r w:rsidRPr="00701F32">
              <w:rPr>
                <w:rFonts w:ascii="Arial" w:eastAsia="Calibri" w:hAnsi="Arial" w:cs="Arial"/>
                <w:color w:val="000000"/>
                <w:sz w:val="16"/>
              </w:rPr>
              <w:t>Espacio Cordial S.A.</w:t>
            </w:r>
          </w:p>
        </w:tc>
        <w:tc>
          <w:tcPr>
            <w:tcW w:w="1145" w:type="dxa"/>
            <w:vAlign w:val="bottom"/>
          </w:tcPr>
          <w:p w14:paraId="3EE90683" w14:textId="2BE5042A"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446</w:t>
            </w:r>
          </w:p>
        </w:tc>
        <w:tc>
          <w:tcPr>
            <w:tcW w:w="1068" w:type="dxa"/>
            <w:vAlign w:val="bottom"/>
          </w:tcPr>
          <w:p w14:paraId="0CABAFBA" w14:textId="0BDD86F8"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02" w:type="dxa"/>
            <w:shd w:val="clear" w:color="auto" w:fill="auto"/>
            <w:vAlign w:val="bottom"/>
          </w:tcPr>
          <w:p w14:paraId="318127C5" w14:textId="6E93F004"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287</w:t>
            </w:r>
          </w:p>
        </w:tc>
        <w:tc>
          <w:tcPr>
            <w:tcW w:w="1201" w:type="dxa"/>
            <w:vAlign w:val="bottom"/>
          </w:tcPr>
          <w:p w14:paraId="42DF890F" w14:textId="3C6BC3D0"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422" w:type="dxa"/>
            <w:vAlign w:val="bottom"/>
          </w:tcPr>
          <w:p w14:paraId="1499CBC9" w14:textId="0D43CDDE"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68" w:type="dxa"/>
            <w:vAlign w:val="bottom"/>
          </w:tcPr>
          <w:p w14:paraId="6B2B8E7F" w14:textId="24E85A13"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13</w:t>
            </w:r>
          </w:p>
        </w:tc>
      </w:tr>
      <w:tr w:rsidR="001B25DF" w:rsidRPr="00701F32" w14:paraId="7F11B7F1" w14:textId="77777777" w:rsidTr="00C43BF8">
        <w:trPr>
          <w:gridAfter w:val="1"/>
          <w:wAfter w:w="7" w:type="dxa"/>
          <w:trHeight w:val="391"/>
        </w:trPr>
        <w:tc>
          <w:tcPr>
            <w:tcW w:w="2396" w:type="dxa"/>
            <w:shd w:val="clear" w:color="auto" w:fill="auto"/>
            <w:vAlign w:val="center"/>
          </w:tcPr>
          <w:p w14:paraId="7335011C" w14:textId="77777777" w:rsidR="00A06BE9" w:rsidRPr="00701F32" w:rsidRDefault="00A06BE9" w:rsidP="006129EA">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Supervielle Seguros S.A.</w:t>
            </w:r>
          </w:p>
        </w:tc>
        <w:tc>
          <w:tcPr>
            <w:tcW w:w="1145" w:type="dxa"/>
            <w:vAlign w:val="bottom"/>
          </w:tcPr>
          <w:p w14:paraId="537882B6" w14:textId="00D45A68"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068" w:type="dxa"/>
            <w:vAlign w:val="bottom"/>
          </w:tcPr>
          <w:p w14:paraId="513B68F1" w14:textId="6D9CF08A"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02" w:type="dxa"/>
            <w:shd w:val="clear" w:color="auto" w:fill="auto"/>
            <w:vAlign w:val="bottom"/>
          </w:tcPr>
          <w:p w14:paraId="6F35C3CF" w14:textId="52C97C34"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126.564</w:t>
            </w:r>
          </w:p>
        </w:tc>
        <w:tc>
          <w:tcPr>
            <w:tcW w:w="1201" w:type="dxa"/>
            <w:vAlign w:val="bottom"/>
          </w:tcPr>
          <w:p w14:paraId="7CA5C95E" w14:textId="16AEC3FD"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422" w:type="dxa"/>
            <w:vAlign w:val="bottom"/>
          </w:tcPr>
          <w:p w14:paraId="7F2B0E03" w14:textId="6FA21114"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6.061</w:t>
            </w:r>
          </w:p>
        </w:tc>
        <w:tc>
          <w:tcPr>
            <w:tcW w:w="1268" w:type="dxa"/>
            <w:vAlign w:val="bottom"/>
          </w:tcPr>
          <w:p w14:paraId="31C57477" w14:textId="79384384" w:rsidR="00A06BE9" w:rsidRPr="00701F32" w:rsidRDefault="00210921">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7.827</w:t>
            </w:r>
          </w:p>
        </w:tc>
      </w:tr>
      <w:tr w:rsidR="001B25DF" w:rsidRPr="00701F32" w14:paraId="5869E853" w14:textId="77777777" w:rsidTr="00C43BF8">
        <w:trPr>
          <w:gridAfter w:val="1"/>
          <w:wAfter w:w="7" w:type="dxa"/>
          <w:trHeight w:val="391"/>
        </w:trPr>
        <w:tc>
          <w:tcPr>
            <w:tcW w:w="2396" w:type="dxa"/>
            <w:shd w:val="clear" w:color="auto" w:fill="auto"/>
            <w:vAlign w:val="center"/>
            <w:hideMark/>
          </w:tcPr>
          <w:p w14:paraId="7B9BF05D" w14:textId="77777777" w:rsidR="00A06BE9" w:rsidRPr="00701F32" w:rsidRDefault="00A06BE9" w:rsidP="006129EA">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Tarjeta Automática S.A.</w:t>
            </w:r>
          </w:p>
        </w:tc>
        <w:tc>
          <w:tcPr>
            <w:tcW w:w="1145" w:type="dxa"/>
            <w:vAlign w:val="bottom"/>
          </w:tcPr>
          <w:p w14:paraId="286116FF" w14:textId="07A470C4"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218</w:t>
            </w:r>
          </w:p>
        </w:tc>
        <w:tc>
          <w:tcPr>
            <w:tcW w:w="1068" w:type="dxa"/>
            <w:vAlign w:val="bottom"/>
          </w:tcPr>
          <w:p w14:paraId="2FBC0E2D" w14:textId="4A86C2AE"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02" w:type="dxa"/>
            <w:shd w:val="clear" w:color="auto" w:fill="auto"/>
            <w:vAlign w:val="bottom"/>
          </w:tcPr>
          <w:p w14:paraId="5C78B082" w14:textId="3050F900"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703</w:t>
            </w:r>
          </w:p>
        </w:tc>
        <w:tc>
          <w:tcPr>
            <w:tcW w:w="1201" w:type="dxa"/>
            <w:vAlign w:val="bottom"/>
          </w:tcPr>
          <w:p w14:paraId="1D18551A" w14:textId="2D6D40C1"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422" w:type="dxa"/>
            <w:vAlign w:val="bottom"/>
          </w:tcPr>
          <w:p w14:paraId="4985932C" w14:textId="5359F817"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268" w:type="dxa"/>
            <w:vAlign w:val="bottom"/>
          </w:tcPr>
          <w:p w14:paraId="246BD8D3" w14:textId="3D8F6B3D"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1B25DF" w:rsidRPr="003D7E1E" w14:paraId="69D57BB3" w14:textId="77777777" w:rsidTr="00C43BF8">
        <w:trPr>
          <w:gridAfter w:val="1"/>
          <w:wAfter w:w="7" w:type="dxa"/>
          <w:trHeight w:val="391"/>
        </w:trPr>
        <w:tc>
          <w:tcPr>
            <w:tcW w:w="2396" w:type="dxa"/>
            <w:shd w:val="clear" w:color="auto" w:fill="auto"/>
            <w:vAlign w:val="center"/>
            <w:hideMark/>
          </w:tcPr>
          <w:p w14:paraId="7202918A" w14:textId="77777777" w:rsidR="00A06BE9" w:rsidRPr="00701F32" w:rsidRDefault="00A06BE9" w:rsidP="006129EA">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en-US" w:eastAsia="es-AR"/>
              </w:rPr>
              <w:t>Supervielle Asset Management S.A.</w:t>
            </w:r>
          </w:p>
        </w:tc>
        <w:tc>
          <w:tcPr>
            <w:tcW w:w="1145" w:type="dxa"/>
            <w:vAlign w:val="bottom"/>
          </w:tcPr>
          <w:p w14:paraId="67964FB8" w14:textId="418C03DB" w:rsidR="00A06BE9"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31</w:t>
            </w:r>
          </w:p>
        </w:tc>
        <w:tc>
          <w:tcPr>
            <w:tcW w:w="1068" w:type="dxa"/>
            <w:vAlign w:val="bottom"/>
          </w:tcPr>
          <w:p w14:paraId="0C7D37F7" w14:textId="337CB3A3" w:rsidR="00A06BE9"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202" w:type="dxa"/>
            <w:shd w:val="clear" w:color="auto" w:fill="auto"/>
            <w:vAlign w:val="bottom"/>
          </w:tcPr>
          <w:p w14:paraId="3AD8A458" w14:textId="47D4FFA6" w:rsidR="00A06BE9"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171</w:t>
            </w:r>
          </w:p>
        </w:tc>
        <w:tc>
          <w:tcPr>
            <w:tcW w:w="1201" w:type="dxa"/>
            <w:vAlign w:val="bottom"/>
          </w:tcPr>
          <w:p w14:paraId="2425A4DA" w14:textId="51605247" w:rsidR="00A06BE9"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422" w:type="dxa"/>
            <w:vAlign w:val="bottom"/>
          </w:tcPr>
          <w:p w14:paraId="533213B7" w14:textId="774158DD" w:rsidR="00A06BE9"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268" w:type="dxa"/>
            <w:vAlign w:val="bottom"/>
          </w:tcPr>
          <w:p w14:paraId="432B2920" w14:textId="13625A77" w:rsidR="00A06BE9"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2.929</w:t>
            </w:r>
          </w:p>
        </w:tc>
      </w:tr>
      <w:tr w:rsidR="001B25DF" w:rsidRPr="003D7E1E" w14:paraId="770D6B17" w14:textId="77777777" w:rsidTr="00C43BF8">
        <w:trPr>
          <w:gridAfter w:val="1"/>
          <w:wAfter w:w="7" w:type="dxa"/>
          <w:trHeight w:val="391"/>
        </w:trPr>
        <w:tc>
          <w:tcPr>
            <w:tcW w:w="2396" w:type="dxa"/>
            <w:shd w:val="clear" w:color="auto" w:fill="auto"/>
            <w:vAlign w:val="center"/>
          </w:tcPr>
          <w:p w14:paraId="3DF78261" w14:textId="0153A2E4" w:rsidR="00B660DC" w:rsidRPr="00701F32" w:rsidRDefault="00FE368C" w:rsidP="006129EA">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en-US" w:eastAsia="es-AR"/>
              </w:rPr>
              <w:t>Invertir OnLine S.A.</w:t>
            </w:r>
            <w:r w:rsidR="00E462C7">
              <w:rPr>
                <w:rFonts w:ascii="Arial" w:eastAsia="Calibri" w:hAnsi="Arial" w:cs="Arial"/>
                <w:color w:val="000000"/>
                <w:sz w:val="16"/>
                <w:lang w:val="en-US" w:eastAsia="es-AR"/>
              </w:rPr>
              <w:t>U.</w:t>
            </w:r>
          </w:p>
        </w:tc>
        <w:tc>
          <w:tcPr>
            <w:tcW w:w="1145" w:type="dxa"/>
            <w:vAlign w:val="bottom"/>
          </w:tcPr>
          <w:p w14:paraId="5B51A2D8" w14:textId="3F354A97" w:rsidR="00B660DC"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068" w:type="dxa"/>
            <w:vAlign w:val="bottom"/>
          </w:tcPr>
          <w:p w14:paraId="65E12FFA" w14:textId="00D43487" w:rsidR="00B660DC"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102.337</w:t>
            </w:r>
          </w:p>
        </w:tc>
        <w:tc>
          <w:tcPr>
            <w:tcW w:w="1202" w:type="dxa"/>
            <w:shd w:val="clear" w:color="auto" w:fill="auto"/>
            <w:vAlign w:val="bottom"/>
          </w:tcPr>
          <w:p w14:paraId="0AFA7F29" w14:textId="70280187" w:rsidR="00B660DC" w:rsidRPr="00C7765D" w:rsidDel="00B660DC"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1.403</w:t>
            </w:r>
          </w:p>
        </w:tc>
        <w:tc>
          <w:tcPr>
            <w:tcW w:w="1201" w:type="dxa"/>
            <w:vAlign w:val="bottom"/>
          </w:tcPr>
          <w:p w14:paraId="46ED0C9B" w14:textId="49CF86DD" w:rsidR="00B660DC"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422" w:type="dxa"/>
            <w:vAlign w:val="bottom"/>
          </w:tcPr>
          <w:p w14:paraId="0F095F71" w14:textId="397598A3" w:rsidR="00B660DC"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268" w:type="dxa"/>
            <w:vAlign w:val="bottom"/>
          </w:tcPr>
          <w:p w14:paraId="759F3050" w14:textId="573727AE" w:rsidR="00B660DC"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40</w:t>
            </w:r>
          </w:p>
        </w:tc>
      </w:tr>
      <w:tr w:rsidR="001B25DF" w:rsidRPr="00701F32" w14:paraId="18EC4903" w14:textId="77777777" w:rsidTr="00C43BF8">
        <w:trPr>
          <w:gridAfter w:val="1"/>
          <w:wAfter w:w="7" w:type="dxa"/>
          <w:trHeight w:val="391"/>
        </w:trPr>
        <w:tc>
          <w:tcPr>
            <w:tcW w:w="2396" w:type="dxa"/>
            <w:shd w:val="clear" w:color="auto" w:fill="auto"/>
            <w:vAlign w:val="center"/>
          </w:tcPr>
          <w:p w14:paraId="21DBEE85" w14:textId="2FF5076A" w:rsidR="00AA3E91" w:rsidRPr="00701F32" w:rsidRDefault="00AA3E91" w:rsidP="006129EA">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rPr>
              <w:t>Invertir OnLine.com Argentina S.A.</w:t>
            </w:r>
            <w:r w:rsidR="00315310">
              <w:rPr>
                <w:rFonts w:ascii="Arial" w:eastAsia="Calibri" w:hAnsi="Arial" w:cs="Arial"/>
                <w:color w:val="000000"/>
                <w:sz w:val="16"/>
              </w:rPr>
              <w:t>U</w:t>
            </w:r>
            <w:r w:rsidR="003638C3">
              <w:rPr>
                <w:rFonts w:ascii="Arial" w:eastAsia="Calibri" w:hAnsi="Arial" w:cs="Arial"/>
                <w:color w:val="000000"/>
                <w:sz w:val="16"/>
              </w:rPr>
              <w:t>.</w:t>
            </w:r>
          </w:p>
        </w:tc>
        <w:tc>
          <w:tcPr>
            <w:tcW w:w="1145" w:type="dxa"/>
            <w:vAlign w:val="bottom"/>
          </w:tcPr>
          <w:p w14:paraId="0D5A35D8" w14:textId="79FA15CD" w:rsidR="00AA3E91" w:rsidRPr="00701F32" w:rsidRDefault="00C67447">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c>
          <w:tcPr>
            <w:tcW w:w="1068" w:type="dxa"/>
            <w:vAlign w:val="bottom"/>
          </w:tcPr>
          <w:p w14:paraId="58D0448F" w14:textId="1D67EDD9" w:rsidR="00AA3E91" w:rsidRPr="00701F32" w:rsidDel="00AA3E91" w:rsidRDefault="00C67447">
            <w:pPr>
              <w:spacing w:after="160" w:line="259" w:lineRule="auto"/>
              <w:jc w:val="right"/>
              <w:rPr>
                <w:rFonts w:ascii="Arial" w:eastAsia="Calibri" w:hAnsi="Arial" w:cs="Arial"/>
                <w:color w:val="000000"/>
                <w:sz w:val="16"/>
              </w:rPr>
            </w:pPr>
            <w:r>
              <w:rPr>
                <w:rFonts w:ascii="Arial" w:eastAsia="Calibri" w:hAnsi="Arial" w:cs="Arial"/>
                <w:color w:val="000000"/>
                <w:sz w:val="16"/>
              </w:rPr>
              <w:t>1.502</w:t>
            </w:r>
          </w:p>
        </w:tc>
        <w:tc>
          <w:tcPr>
            <w:tcW w:w="1202" w:type="dxa"/>
            <w:shd w:val="clear" w:color="auto" w:fill="auto"/>
            <w:vAlign w:val="bottom"/>
          </w:tcPr>
          <w:p w14:paraId="48E2F86B" w14:textId="13FB6CCA" w:rsidR="00AA3E91" w:rsidRPr="00701F32" w:rsidDel="00AA3E91" w:rsidRDefault="00C67447" w:rsidP="00A259F2">
            <w:pPr>
              <w:spacing w:after="160" w:line="259" w:lineRule="auto"/>
              <w:jc w:val="right"/>
              <w:rPr>
                <w:rFonts w:ascii="Arial" w:eastAsia="Calibri" w:hAnsi="Arial" w:cs="Arial"/>
                <w:color w:val="000000"/>
                <w:sz w:val="16"/>
              </w:rPr>
            </w:pPr>
            <w:r>
              <w:rPr>
                <w:rFonts w:ascii="Arial" w:eastAsia="Calibri" w:hAnsi="Arial" w:cs="Arial"/>
                <w:color w:val="000000"/>
                <w:sz w:val="16"/>
              </w:rPr>
              <w:t>27.049</w:t>
            </w:r>
          </w:p>
        </w:tc>
        <w:tc>
          <w:tcPr>
            <w:tcW w:w="1201" w:type="dxa"/>
            <w:vAlign w:val="bottom"/>
          </w:tcPr>
          <w:p w14:paraId="4660EBE0" w14:textId="2F8941AC" w:rsidR="00AA3E91" w:rsidRPr="00701F32" w:rsidRDefault="00C67447">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c>
          <w:tcPr>
            <w:tcW w:w="1422" w:type="dxa"/>
            <w:vAlign w:val="bottom"/>
          </w:tcPr>
          <w:p w14:paraId="0F45C366" w14:textId="3FA9377B" w:rsidR="00AA3E91" w:rsidRPr="00701F32" w:rsidRDefault="00C67447">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c>
          <w:tcPr>
            <w:tcW w:w="1268" w:type="dxa"/>
            <w:vAlign w:val="bottom"/>
          </w:tcPr>
          <w:p w14:paraId="0265DD6D" w14:textId="59C234E9" w:rsidR="00AA3E91" w:rsidRPr="00701F32" w:rsidRDefault="00C67447">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r>
      <w:tr w:rsidR="001B25DF" w:rsidRPr="003D7E1E" w14:paraId="2DCB679E" w14:textId="77777777" w:rsidTr="00C43BF8">
        <w:trPr>
          <w:gridAfter w:val="1"/>
          <w:wAfter w:w="7" w:type="dxa"/>
          <w:trHeight w:val="391"/>
        </w:trPr>
        <w:tc>
          <w:tcPr>
            <w:tcW w:w="2396" w:type="dxa"/>
            <w:shd w:val="clear" w:color="auto" w:fill="auto"/>
            <w:vAlign w:val="center"/>
          </w:tcPr>
          <w:p w14:paraId="6ECB8C74" w14:textId="14F3158F" w:rsidR="00AA3E91" w:rsidRPr="00701F32" w:rsidRDefault="00AA3E91" w:rsidP="006129EA">
            <w:pPr>
              <w:tabs>
                <w:tab w:val="left" w:pos="142"/>
              </w:tabs>
              <w:spacing w:after="160" w:line="259" w:lineRule="auto"/>
              <w:rPr>
                <w:rFonts w:ascii="Arial" w:eastAsia="Calibri" w:hAnsi="Arial" w:cs="Arial"/>
                <w:color w:val="000000"/>
                <w:sz w:val="16"/>
                <w:lang w:val="en-US" w:eastAsia="es-AR"/>
              </w:rPr>
            </w:pPr>
            <w:r w:rsidRPr="0023020F">
              <w:rPr>
                <w:rFonts w:ascii="Arial" w:eastAsia="Calibri" w:hAnsi="Arial" w:cs="Arial"/>
                <w:color w:val="000000"/>
                <w:sz w:val="16"/>
                <w:lang w:val="en-US"/>
              </w:rPr>
              <w:t>Micro Lending S.A.</w:t>
            </w:r>
            <w:r w:rsidR="00E462C7" w:rsidRPr="0023020F">
              <w:rPr>
                <w:rFonts w:ascii="Arial" w:eastAsia="Calibri" w:hAnsi="Arial" w:cs="Arial"/>
                <w:color w:val="000000"/>
                <w:sz w:val="16"/>
                <w:lang w:val="en-US"/>
              </w:rPr>
              <w:t>U.</w:t>
            </w:r>
          </w:p>
        </w:tc>
        <w:tc>
          <w:tcPr>
            <w:tcW w:w="1145" w:type="dxa"/>
            <w:vAlign w:val="bottom"/>
          </w:tcPr>
          <w:p w14:paraId="11D84131" w14:textId="62782236" w:rsidR="00AA3E91"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54.696</w:t>
            </w:r>
          </w:p>
        </w:tc>
        <w:tc>
          <w:tcPr>
            <w:tcW w:w="1068" w:type="dxa"/>
            <w:vAlign w:val="bottom"/>
          </w:tcPr>
          <w:p w14:paraId="3049C2CD" w14:textId="35C55965" w:rsidR="00AA3E91" w:rsidRPr="00C7765D" w:rsidDel="00AA3E91"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202" w:type="dxa"/>
            <w:shd w:val="clear" w:color="auto" w:fill="auto"/>
            <w:vAlign w:val="bottom"/>
          </w:tcPr>
          <w:p w14:paraId="18C30FB0" w14:textId="6F03411E" w:rsidR="00AA3E91" w:rsidRPr="00C7765D" w:rsidDel="00AA3E91"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201" w:type="dxa"/>
            <w:vAlign w:val="bottom"/>
          </w:tcPr>
          <w:p w14:paraId="0E3D84EB" w14:textId="6AE61C66" w:rsidR="00AA3E91"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422" w:type="dxa"/>
            <w:vAlign w:val="bottom"/>
          </w:tcPr>
          <w:p w14:paraId="6920E4C4" w14:textId="0F88A2AF" w:rsidR="00AA3E91"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149</w:t>
            </w:r>
          </w:p>
        </w:tc>
        <w:tc>
          <w:tcPr>
            <w:tcW w:w="1268" w:type="dxa"/>
            <w:vAlign w:val="bottom"/>
          </w:tcPr>
          <w:p w14:paraId="2DF5124A" w14:textId="06A341FF" w:rsidR="00AA3E91" w:rsidRPr="00C7765D" w:rsidRDefault="00C67447">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33.856</w:t>
            </w:r>
          </w:p>
        </w:tc>
      </w:tr>
      <w:tr w:rsidR="001B25DF" w:rsidRPr="00701F32" w14:paraId="28FFEE0E" w14:textId="77777777" w:rsidTr="00C43BF8">
        <w:trPr>
          <w:gridAfter w:val="1"/>
          <w:wAfter w:w="7" w:type="dxa"/>
          <w:trHeight w:val="391"/>
        </w:trPr>
        <w:tc>
          <w:tcPr>
            <w:tcW w:w="2396" w:type="dxa"/>
            <w:shd w:val="clear" w:color="auto" w:fill="auto"/>
            <w:vAlign w:val="center"/>
            <w:hideMark/>
          </w:tcPr>
          <w:p w14:paraId="58D23F46" w14:textId="77777777" w:rsidR="00A06BE9" w:rsidRPr="00701F32" w:rsidRDefault="00A06BE9" w:rsidP="006129EA">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Grupo Supervielle S.A.</w:t>
            </w:r>
          </w:p>
        </w:tc>
        <w:tc>
          <w:tcPr>
            <w:tcW w:w="1145" w:type="dxa"/>
            <w:vAlign w:val="bottom"/>
          </w:tcPr>
          <w:p w14:paraId="14D24C41" w14:textId="402795CC"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1</w:t>
            </w:r>
          </w:p>
        </w:tc>
        <w:tc>
          <w:tcPr>
            <w:tcW w:w="1068" w:type="dxa"/>
            <w:vAlign w:val="bottom"/>
          </w:tcPr>
          <w:p w14:paraId="62C41BB3" w14:textId="312A1E37"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15</w:t>
            </w:r>
          </w:p>
        </w:tc>
        <w:tc>
          <w:tcPr>
            <w:tcW w:w="1202" w:type="dxa"/>
            <w:shd w:val="clear" w:color="auto" w:fill="auto"/>
            <w:vAlign w:val="bottom"/>
          </w:tcPr>
          <w:p w14:paraId="186783D0" w14:textId="7B609AB6"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2.279</w:t>
            </w:r>
          </w:p>
        </w:tc>
        <w:tc>
          <w:tcPr>
            <w:tcW w:w="1201" w:type="dxa"/>
            <w:vAlign w:val="bottom"/>
          </w:tcPr>
          <w:p w14:paraId="5638779C" w14:textId="2B4651D0"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3.053</w:t>
            </w:r>
          </w:p>
        </w:tc>
        <w:tc>
          <w:tcPr>
            <w:tcW w:w="1422" w:type="dxa"/>
            <w:vAlign w:val="bottom"/>
          </w:tcPr>
          <w:p w14:paraId="4F518C97" w14:textId="6B473172"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75.852</w:t>
            </w:r>
          </w:p>
        </w:tc>
        <w:tc>
          <w:tcPr>
            <w:tcW w:w="1268" w:type="dxa"/>
            <w:vAlign w:val="bottom"/>
          </w:tcPr>
          <w:p w14:paraId="068B4C6F" w14:textId="4D785F08" w:rsidR="00A06BE9" w:rsidRPr="00701F32" w:rsidRDefault="00C67447">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3.231</w:t>
            </w:r>
          </w:p>
        </w:tc>
      </w:tr>
      <w:tr w:rsidR="000501BB" w:rsidRPr="00701F32" w14:paraId="148D2F5E" w14:textId="77777777" w:rsidTr="00C43BF8">
        <w:trPr>
          <w:gridAfter w:val="1"/>
          <w:wAfter w:w="7" w:type="dxa"/>
          <w:trHeight w:val="391"/>
        </w:trPr>
        <w:tc>
          <w:tcPr>
            <w:tcW w:w="2396" w:type="dxa"/>
            <w:shd w:val="clear" w:color="auto" w:fill="auto"/>
            <w:vAlign w:val="center"/>
            <w:hideMark/>
          </w:tcPr>
          <w:p w14:paraId="7D5C5D9B" w14:textId="66A34BF6" w:rsidR="008D5AB2" w:rsidRPr="00701F32" w:rsidRDefault="008D5AB2" w:rsidP="006129EA">
            <w:pPr>
              <w:tabs>
                <w:tab w:val="left" w:pos="142"/>
              </w:tabs>
              <w:spacing w:after="160" w:line="259" w:lineRule="auto"/>
              <w:rPr>
                <w:rFonts w:ascii="Arial" w:eastAsia="Calibri" w:hAnsi="Arial" w:cs="Arial"/>
                <w:b/>
                <w:bCs/>
                <w:color w:val="000000"/>
                <w:sz w:val="16"/>
                <w:lang w:val="es-ES_tradnl" w:eastAsia="es-AR"/>
              </w:rPr>
            </w:pPr>
            <w:r w:rsidRPr="00701F32">
              <w:rPr>
                <w:rFonts w:ascii="Arial" w:eastAsia="Calibri" w:hAnsi="Arial" w:cs="Arial"/>
                <w:b/>
                <w:bCs/>
                <w:color w:val="000000"/>
                <w:sz w:val="16"/>
                <w:lang w:eastAsia="es-AR"/>
              </w:rPr>
              <w:t>TOTAL</w:t>
            </w:r>
          </w:p>
        </w:tc>
        <w:tc>
          <w:tcPr>
            <w:tcW w:w="1145" w:type="dxa"/>
            <w:vAlign w:val="center"/>
          </w:tcPr>
          <w:p w14:paraId="5B80114C" w14:textId="6D33A3BF" w:rsidR="008D5AB2" w:rsidRPr="00701F32" w:rsidRDefault="00C67447">
            <w:pPr>
              <w:spacing w:after="160" w:line="259" w:lineRule="auto"/>
              <w:jc w:val="right"/>
              <w:rPr>
                <w:rFonts w:ascii="Arial" w:eastAsia="Calibri" w:hAnsi="Arial" w:cs="Arial"/>
                <w:b/>
                <w:color w:val="000000"/>
                <w:sz w:val="16"/>
              </w:rPr>
            </w:pPr>
            <w:r>
              <w:rPr>
                <w:rFonts w:ascii="Arial" w:eastAsia="Calibri" w:hAnsi="Arial" w:cs="Arial"/>
                <w:b/>
                <w:color w:val="000000"/>
                <w:sz w:val="16"/>
              </w:rPr>
              <w:t>55.392</w:t>
            </w:r>
          </w:p>
        </w:tc>
        <w:tc>
          <w:tcPr>
            <w:tcW w:w="1068" w:type="dxa"/>
            <w:vAlign w:val="center"/>
          </w:tcPr>
          <w:p w14:paraId="5B24728A" w14:textId="4AA5DED7" w:rsidR="008D5AB2" w:rsidRPr="00701F32" w:rsidRDefault="00C67447">
            <w:pPr>
              <w:spacing w:after="160" w:line="259" w:lineRule="auto"/>
              <w:jc w:val="right"/>
              <w:rPr>
                <w:rFonts w:ascii="Arial" w:eastAsia="Calibri" w:hAnsi="Arial" w:cs="Arial"/>
                <w:b/>
                <w:color w:val="000000"/>
                <w:sz w:val="16"/>
              </w:rPr>
            </w:pPr>
            <w:r>
              <w:rPr>
                <w:rFonts w:ascii="Arial" w:eastAsia="Calibri" w:hAnsi="Arial" w:cs="Arial"/>
                <w:b/>
                <w:color w:val="000000"/>
                <w:sz w:val="16"/>
              </w:rPr>
              <w:t>103.854</w:t>
            </w:r>
          </w:p>
        </w:tc>
        <w:tc>
          <w:tcPr>
            <w:tcW w:w="1202" w:type="dxa"/>
            <w:shd w:val="clear" w:color="auto" w:fill="auto"/>
            <w:vAlign w:val="center"/>
          </w:tcPr>
          <w:p w14:paraId="204B017C" w14:textId="172A4161" w:rsidR="008D5AB2" w:rsidRPr="00701F32" w:rsidRDefault="00C67447">
            <w:pPr>
              <w:spacing w:after="160" w:line="259" w:lineRule="auto"/>
              <w:jc w:val="right"/>
              <w:rPr>
                <w:rFonts w:ascii="Arial" w:eastAsia="Calibri" w:hAnsi="Arial" w:cs="Arial"/>
                <w:b/>
                <w:color w:val="000000"/>
                <w:sz w:val="16"/>
              </w:rPr>
            </w:pPr>
            <w:r>
              <w:rPr>
                <w:rFonts w:ascii="Arial" w:eastAsia="Calibri" w:hAnsi="Arial" w:cs="Arial"/>
                <w:b/>
                <w:color w:val="000000"/>
                <w:sz w:val="16"/>
              </w:rPr>
              <w:t>158.490</w:t>
            </w:r>
          </w:p>
        </w:tc>
        <w:tc>
          <w:tcPr>
            <w:tcW w:w="1201" w:type="dxa"/>
            <w:vAlign w:val="center"/>
          </w:tcPr>
          <w:p w14:paraId="7884B45B" w14:textId="76DBD3E0" w:rsidR="008D5AB2" w:rsidRPr="00701F32" w:rsidRDefault="00C67447">
            <w:pPr>
              <w:spacing w:after="160" w:line="259" w:lineRule="auto"/>
              <w:jc w:val="right"/>
              <w:rPr>
                <w:rFonts w:ascii="Arial" w:eastAsia="Calibri" w:hAnsi="Arial" w:cs="Arial"/>
                <w:b/>
                <w:color w:val="000000"/>
                <w:sz w:val="16"/>
              </w:rPr>
            </w:pPr>
            <w:r>
              <w:rPr>
                <w:rFonts w:ascii="Arial" w:eastAsia="Calibri" w:hAnsi="Arial" w:cs="Arial"/>
                <w:b/>
                <w:color w:val="000000"/>
                <w:sz w:val="16"/>
              </w:rPr>
              <w:t>3.053</w:t>
            </w:r>
          </w:p>
        </w:tc>
        <w:tc>
          <w:tcPr>
            <w:tcW w:w="1422" w:type="dxa"/>
            <w:vAlign w:val="center"/>
          </w:tcPr>
          <w:p w14:paraId="1607FDBF" w14:textId="75172E61" w:rsidR="008D5AB2" w:rsidRPr="00701F32" w:rsidRDefault="00C67447">
            <w:pPr>
              <w:spacing w:after="160" w:line="259" w:lineRule="auto"/>
              <w:jc w:val="right"/>
              <w:rPr>
                <w:rFonts w:ascii="Arial" w:eastAsia="Calibri" w:hAnsi="Arial" w:cs="Arial"/>
                <w:b/>
                <w:color w:val="000000"/>
                <w:sz w:val="16"/>
              </w:rPr>
            </w:pPr>
            <w:r>
              <w:rPr>
                <w:rFonts w:ascii="Arial" w:eastAsia="Calibri" w:hAnsi="Arial" w:cs="Arial"/>
                <w:b/>
                <w:color w:val="000000"/>
                <w:sz w:val="16"/>
              </w:rPr>
              <w:t>82.062</w:t>
            </w:r>
          </w:p>
        </w:tc>
        <w:tc>
          <w:tcPr>
            <w:tcW w:w="1268" w:type="dxa"/>
            <w:vAlign w:val="center"/>
          </w:tcPr>
          <w:p w14:paraId="4B9E5770" w14:textId="7DB71E7E" w:rsidR="008D5AB2" w:rsidRPr="00701F32" w:rsidRDefault="00C67447">
            <w:pPr>
              <w:spacing w:after="160" w:line="259" w:lineRule="auto"/>
              <w:jc w:val="right"/>
              <w:rPr>
                <w:rFonts w:ascii="Arial" w:eastAsia="Calibri" w:hAnsi="Arial" w:cs="Arial"/>
                <w:b/>
                <w:color w:val="000000"/>
                <w:sz w:val="16"/>
              </w:rPr>
            </w:pPr>
            <w:r>
              <w:rPr>
                <w:rFonts w:ascii="Arial" w:eastAsia="Calibri" w:hAnsi="Arial" w:cs="Arial"/>
                <w:b/>
                <w:color w:val="000000"/>
                <w:sz w:val="16"/>
              </w:rPr>
              <w:t>47.896</w:t>
            </w:r>
          </w:p>
        </w:tc>
      </w:tr>
    </w:tbl>
    <w:p w14:paraId="075EEE29" w14:textId="36DB692D" w:rsidR="00A06BE9" w:rsidRDefault="00A06BE9" w:rsidP="00A06BE9">
      <w:pPr>
        <w:tabs>
          <w:tab w:val="left" w:pos="142"/>
        </w:tabs>
        <w:spacing w:after="160" w:line="259" w:lineRule="auto"/>
        <w:jc w:val="both"/>
        <w:rPr>
          <w:rFonts w:ascii="Arial" w:eastAsia="Calibri" w:hAnsi="Arial" w:cs="Arial"/>
          <w:color w:val="000000"/>
          <w:sz w:val="16"/>
        </w:rPr>
      </w:pPr>
    </w:p>
    <w:p w14:paraId="1A5EA9B5" w14:textId="77777777" w:rsidR="000B1093" w:rsidRDefault="000B1093" w:rsidP="00A06BE9">
      <w:pPr>
        <w:tabs>
          <w:tab w:val="left" w:pos="142"/>
        </w:tabs>
        <w:spacing w:after="160" w:line="259" w:lineRule="auto"/>
        <w:jc w:val="both"/>
        <w:rPr>
          <w:rFonts w:ascii="Arial" w:eastAsia="Calibri" w:hAnsi="Arial" w:cs="Arial"/>
          <w:color w:val="000000"/>
          <w:sz w:val="16"/>
        </w:rPr>
      </w:pPr>
    </w:p>
    <w:tbl>
      <w:tblPr>
        <w:tblW w:w="100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541"/>
        <w:gridCol w:w="1215"/>
        <w:gridCol w:w="1134"/>
        <w:gridCol w:w="1276"/>
        <w:gridCol w:w="1275"/>
        <w:gridCol w:w="1276"/>
        <w:gridCol w:w="1337"/>
      </w:tblGrid>
      <w:tr w:rsidR="00543EF5" w:rsidRPr="00701F32" w14:paraId="45D1922A" w14:textId="77777777" w:rsidTr="007B6F7B">
        <w:trPr>
          <w:trHeight w:val="455"/>
          <w:tblHeader/>
        </w:trPr>
        <w:tc>
          <w:tcPr>
            <w:tcW w:w="2541" w:type="dxa"/>
            <w:vMerge w:val="restart"/>
            <w:shd w:val="clear" w:color="auto" w:fill="auto"/>
            <w:vAlign w:val="center"/>
            <w:hideMark/>
          </w:tcPr>
          <w:p w14:paraId="3AC220FA" w14:textId="77777777" w:rsidR="00543EF5" w:rsidRPr="00701F32" w:rsidRDefault="00543EF5" w:rsidP="007B6F7B">
            <w:pPr>
              <w:tabs>
                <w:tab w:val="left" w:pos="142"/>
              </w:tabs>
              <w:spacing w:after="160" w:line="259" w:lineRule="auto"/>
              <w:jc w:val="center"/>
              <w:rPr>
                <w:rFonts w:ascii="Arial" w:eastAsia="Calibri" w:hAnsi="Arial" w:cs="Arial"/>
                <w:b/>
                <w:color w:val="000000"/>
                <w:sz w:val="16"/>
                <w:lang w:eastAsia="es-AR"/>
              </w:rPr>
            </w:pPr>
            <w:r w:rsidRPr="00701F32">
              <w:rPr>
                <w:rFonts w:ascii="Arial" w:eastAsia="Calibri" w:hAnsi="Arial" w:cs="Arial"/>
                <w:b/>
                <w:color w:val="000000"/>
                <w:sz w:val="16"/>
                <w:lang w:eastAsia="es-AR"/>
              </w:rPr>
              <w:t>Sociedades</w:t>
            </w:r>
          </w:p>
        </w:tc>
        <w:tc>
          <w:tcPr>
            <w:tcW w:w="7513" w:type="dxa"/>
            <w:gridSpan w:val="6"/>
            <w:vAlign w:val="center"/>
          </w:tcPr>
          <w:p w14:paraId="4477DFCD" w14:textId="77777777" w:rsidR="00543EF5" w:rsidRPr="00701F32" w:rsidRDefault="00543EF5" w:rsidP="007B6F7B">
            <w:pPr>
              <w:spacing w:after="160" w:line="259" w:lineRule="auto"/>
              <w:jc w:val="center"/>
              <w:rPr>
                <w:rFonts w:ascii="Arial" w:eastAsia="Calibri" w:hAnsi="Arial" w:cs="Arial"/>
                <w:b/>
                <w:color w:val="000000"/>
                <w:sz w:val="16"/>
              </w:rPr>
            </w:pPr>
            <w:r>
              <w:rPr>
                <w:rFonts w:ascii="Arial" w:eastAsia="Calibri" w:hAnsi="Arial" w:cs="Arial"/>
                <w:b/>
                <w:color w:val="000000"/>
                <w:sz w:val="16"/>
              </w:rPr>
              <w:t>31</w:t>
            </w:r>
            <w:r w:rsidRPr="00701F32">
              <w:rPr>
                <w:rFonts w:ascii="Arial" w:eastAsia="Calibri" w:hAnsi="Arial" w:cs="Arial"/>
                <w:b/>
                <w:color w:val="000000"/>
                <w:sz w:val="16"/>
              </w:rPr>
              <w:t>/</w:t>
            </w:r>
            <w:r>
              <w:rPr>
                <w:rFonts w:ascii="Arial" w:eastAsia="Calibri" w:hAnsi="Arial" w:cs="Arial"/>
                <w:b/>
                <w:color w:val="000000"/>
                <w:sz w:val="16"/>
              </w:rPr>
              <w:t>12</w:t>
            </w:r>
            <w:r w:rsidRPr="00701F32">
              <w:rPr>
                <w:rFonts w:ascii="Arial" w:eastAsia="Calibri" w:hAnsi="Arial" w:cs="Arial"/>
                <w:b/>
                <w:color w:val="000000"/>
                <w:sz w:val="16"/>
              </w:rPr>
              <w:t>/2018</w:t>
            </w:r>
          </w:p>
        </w:tc>
      </w:tr>
      <w:tr w:rsidR="00543EF5" w:rsidRPr="00701F32" w14:paraId="4667783A" w14:textId="77777777" w:rsidTr="007B6F7B">
        <w:trPr>
          <w:trHeight w:val="839"/>
          <w:tblHeader/>
        </w:trPr>
        <w:tc>
          <w:tcPr>
            <w:tcW w:w="2541" w:type="dxa"/>
            <w:vMerge/>
            <w:shd w:val="clear" w:color="auto" w:fill="auto"/>
            <w:vAlign w:val="center"/>
            <w:hideMark/>
          </w:tcPr>
          <w:p w14:paraId="13E1352B" w14:textId="77777777" w:rsidR="00543EF5" w:rsidRPr="00701F32" w:rsidRDefault="00543EF5" w:rsidP="007B6F7B">
            <w:pPr>
              <w:tabs>
                <w:tab w:val="left" w:pos="142"/>
              </w:tabs>
              <w:spacing w:after="160" w:line="259" w:lineRule="auto"/>
              <w:jc w:val="center"/>
              <w:rPr>
                <w:rFonts w:ascii="Arial" w:eastAsia="Calibri" w:hAnsi="Arial" w:cs="Arial"/>
                <w:color w:val="000000"/>
                <w:sz w:val="16"/>
                <w:lang w:eastAsia="es-AR"/>
              </w:rPr>
            </w:pPr>
          </w:p>
        </w:tc>
        <w:tc>
          <w:tcPr>
            <w:tcW w:w="1215" w:type="dxa"/>
            <w:vAlign w:val="center"/>
          </w:tcPr>
          <w:p w14:paraId="41C17947" w14:textId="77777777" w:rsidR="00543EF5" w:rsidRPr="00701F32" w:rsidRDefault="00543EF5" w:rsidP="007B6F7B">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Ingresos por Intereses</w:t>
            </w:r>
          </w:p>
        </w:tc>
        <w:tc>
          <w:tcPr>
            <w:tcW w:w="1134" w:type="dxa"/>
            <w:vAlign w:val="center"/>
          </w:tcPr>
          <w:p w14:paraId="36567DA6" w14:textId="77777777" w:rsidR="00543EF5" w:rsidRPr="00701F32" w:rsidRDefault="00543EF5" w:rsidP="007B6F7B">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Egresos por intereses</w:t>
            </w:r>
          </w:p>
        </w:tc>
        <w:tc>
          <w:tcPr>
            <w:tcW w:w="1276" w:type="dxa"/>
            <w:shd w:val="clear" w:color="auto" w:fill="auto"/>
            <w:vAlign w:val="center"/>
          </w:tcPr>
          <w:p w14:paraId="2F1F0F84" w14:textId="77777777" w:rsidR="00543EF5" w:rsidRPr="00701F32" w:rsidRDefault="00543EF5" w:rsidP="007B6F7B">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Ingresos por Comisiones</w:t>
            </w:r>
          </w:p>
        </w:tc>
        <w:tc>
          <w:tcPr>
            <w:tcW w:w="1275" w:type="dxa"/>
            <w:vAlign w:val="center"/>
          </w:tcPr>
          <w:p w14:paraId="55A2F5FF" w14:textId="77777777" w:rsidR="00543EF5" w:rsidRPr="00701F32" w:rsidRDefault="00543EF5" w:rsidP="007B6F7B">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Egresos por Comisiones</w:t>
            </w:r>
          </w:p>
        </w:tc>
        <w:tc>
          <w:tcPr>
            <w:tcW w:w="1276" w:type="dxa"/>
            <w:vAlign w:val="center"/>
          </w:tcPr>
          <w:p w14:paraId="67C41692" w14:textId="77777777" w:rsidR="00543EF5" w:rsidRPr="00701F32" w:rsidRDefault="00543EF5" w:rsidP="007B6F7B">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Gastos de Adminis-tración</w:t>
            </w:r>
          </w:p>
        </w:tc>
        <w:tc>
          <w:tcPr>
            <w:tcW w:w="1337" w:type="dxa"/>
            <w:vAlign w:val="center"/>
          </w:tcPr>
          <w:p w14:paraId="68A2BE32" w14:textId="77777777" w:rsidR="00543EF5" w:rsidRPr="00701F32" w:rsidRDefault="00543EF5" w:rsidP="007B6F7B">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Otros Ingresos Operativos</w:t>
            </w:r>
          </w:p>
        </w:tc>
      </w:tr>
      <w:tr w:rsidR="00543EF5" w:rsidRPr="00701F32" w14:paraId="27F1668D" w14:textId="77777777" w:rsidTr="007B6F7B">
        <w:trPr>
          <w:trHeight w:val="455"/>
        </w:trPr>
        <w:tc>
          <w:tcPr>
            <w:tcW w:w="2541" w:type="dxa"/>
            <w:shd w:val="clear" w:color="auto" w:fill="auto"/>
            <w:vAlign w:val="center"/>
            <w:hideMark/>
          </w:tcPr>
          <w:p w14:paraId="0A7C30C6" w14:textId="77777777" w:rsidR="00543EF5" w:rsidRPr="00701F32" w:rsidRDefault="00543EF5" w:rsidP="007B6F7B">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Sofital S.A.F. e I.I.</w:t>
            </w:r>
          </w:p>
        </w:tc>
        <w:tc>
          <w:tcPr>
            <w:tcW w:w="1215" w:type="dxa"/>
            <w:vAlign w:val="bottom"/>
          </w:tcPr>
          <w:p w14:paraId="5967DE64"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134" w:type="dxa"/>
            <w:vAlign w:val="bottom"/>
          </w:tcPr>
          <w:p w14:paraId="00CB8098"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 </w:t>
            </w:r>
          </w:p>
        </w:tc>
        <w:tc>
          <w:tcPr>
            <w:tcW w:w="1276" w:type="dxa"/>
            <w:shd w:val="clear" w:color="auto" w:fill="auto"/>
            <w:vAlign w:val="bottom"/>
          </w:tcPr>
          <w:p w14:paraId="1A10E7AA"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3</w:t>
            </w:r>
            <w:r>
              <w:rPr>
                <w:rFonts w:ascii="Arial" w:eastAsia="Calibri" w:hAnsi="Arial" w:cs="Arial"/>
                <w:color w:val="000000"/>
                <w:sz w:val="16"/>
              </w:rPr>
              <w:t>1</w:t>
            </w:r>
          </w:p>
        </w:tc>
        <w:tc>
          <w:tcPr>
            <w:tcW w:w="1275" w:type="dxa"/>
            <w:vAlign w:val="bottom"/>
          </w:tcPr>
          <w:p w14:paraId="15943130"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 </w:t>
            </w:r>
          </w:p>
        </w:tc>
        <w:tc>
          <w:tcPr>
            <w:tcW w:w="1276" w:type="dxa"/>
            <w:vAlign w:val="bottom"/>
          </w:tcPr>
          <w:p w14:paraId="712FC7E7"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337" w:type="dxa"/>
            <w:vAlign w:val="bottom"/>
          </w:tcPr>
          <w:p w14:paraId="5114D9B9"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 </w:t>
            </w:r>
          </w:p>
        </w:tc>
      </w:tr>
      <w:tr w:rsidR="00543EF5" w:rsidRPr="00701F32" w14:paraId="401F8A17" w14:textId="77777777" w:rsidTr="007B6F7B">
        <w:trPr>
          <w:trHeight w:val="455"/>
        </w:trPr>
        <w:tc>
          <w:tcPr>
            <w:tcW w:w="2541" w:type="dxa"/>
            <w:shd w:val="clear" w:color="auto" w:fill="auto"/>
            <w:vAlign w:val="center"/>
            <w:hideMark/>
          </w:tcPr>
          <w:p w14:paraId="72F7E89D" w14:textId="77777777" w:rsidR="00543EF5" w:rsidRPr="00701F32" w:rsidRDefault="00543EF5" w:rsidP="007B6F7B">
            <w:pPr>
              <w:spacing w:after="160" w:line="259" w:lineRule="auto"/>
              <w:rPr>
                <w:rFonts w:ascii="Arial" w:eastAsia="Calibri" w:hAnsi="Arial" w:cs="Arial"/>
                <w:color w:val="000000"/>
                <w:sz w:val="16"/>
              </w:rPr>
            </w:pPr>
            <w:r w:rsidRPr="00701F32">
              <w:rPr>
                <w:rFonts w:ascii="Arial" w:eastAsia="Calibri" w:hAnsi="Arial" w:cs="Arial"/>
                <w:color w:val="000000"/>
                <w:sz w:val="16"/>
              </w:rPr>
              <w:t>Espacio Cordial S.A.</w:t>
            </w:r>
          </w:p>
        </w:tc>
        <w:tc>
          <w:tcPr>
            <w:tcW w:w="1215" w:type="dxa"/>
            <w:vAlign w:val="bottom"/>
          </w:tcPr>
          <w:p w14:paraId="2BA3D47C"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28</w:t>
            </w:r>
          </w:p>
        </w:tc>
        <w:tc>
          <w:tcPr>
            <w:tcW w:w="1134" w:type="dxa"/>
            <w:vAlign w:val="bottom"/>
          </w:tcPr>
          <w:p w14:paraId="471B5FDB"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 </w:t>
            </w:r>
          </w:p>
        </w:tc>
        <w:tc>
          <w:tcPr>
            <w:tcW w:w="1276" w:type="dxa"/>
            <w:shd w:val="clear" w:color="auto" w:fill="auto"/>
            <w:vAlign w:val="bottom"/>
          </w:tcPr>
          <w:p w14:paraId="003920FD"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1</w:t>
            </w:r>
            <w:r>
              <w:rPr>
                <w:rFonts w:ascii="Arial" w:eastAsia="Calibri" w:hAnsi="Arial" w:cs="Arial"/>
                <w:color w:val="000000"/>
                <w:sz w:val="16"/>
              </w:rPr>
              <w:t>31</w:t>
            </w:r>
          </w:p>
        </w:tc>
        <w:tc>
          <w:tcPr>
            <w:tcW w:w="1275" w:type="dxa"/>
            <w:vAlign w:val="bottom"/>
          </w:tcPr>
          <w:p w14:paraId="2AB347E1"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276" w:type="dxa"/>
            <w:vAlign w:val="bottom"/>
          </w:tcPr>
          <w:p w14:paraId="3AD93E88"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337" w:type="dxa"/>
            <w:vAlign w:val="bottom"/>
          </w:tcPr>
          <w:p w14:paraId="3B40CDAF"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1</w:t>
            </w:r>
            <w:r>
              <w:rPr>
                <w:rFonts w:ascii="Arial" w:eastAsia="Calibri" w:hAnsi="Arial" w:cs="Arial"/>
                <w:color w:val="000000"/>
                <w:sz w:val="16"/>
              </w:rPr>
              <w:t>63</w:t>
            </w:r>
          </w:p>
        </w:tc>
      </w:tr>
      <w:tr w:rsidR="00543EF5" w:rsidRPr="00701F32" w14:paraId="1A99669A" w14:textId="77777777" w:rsidTr="007B6F7B">
        <w:trPr>
          <w:trHeight w:val="455"/>
        </w:trPr>
        <w:tc>
          <w:tcPr>
            <w:tcW w:w="2541" w:type="dxa"/>
            <w:shd w:val="clear" w:color="auto" w:fill="auto"/>
            <w:vAlign w:val="center"/>
          </w:tcPr>
          <w:p w14:paraId="15017431" w14:textId="77777777" w:rsidR="00543EF5" w:rsidRPr="00701F32" w:rsidRDefault="00543EF5" w:rsidP="007B6F7B">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Supervielle Seguros S.A.</w:t>
            </w:r>
          </w:p>
        </w:tc>
        <w:tc>
          <w:tcPr>
            <w:tcW w:w="1215" w:type="dxa"/>
            <w:vAlign w:val="bottom"/>
          </w:tcPr>
          <w:p w14:paraId="73D33B7D" w14:textId="77777777" w:rsidR="00543EF5" w:rsidRPr="00701F32" w:rsidRDefault="00543EF5" w:rsidP="007B6F7B">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134" w:type="dxa"/>
            <w:vAlign w:val="bottom"/>
          </w:tcPr>
          <w:p w14:paraId="099E1363"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 </w:t>
            </w:r>
          </w:p>
        </w:tc>
        <w:tc>
          <w:tcPr>
            <w:tcW w:w="1276" w:type="dxa"/>
            <w:shd w:val="clear" w:color="auto" w:fill="auto"/>
            <w:vAlign w:val="bottom"/>
          </w:tcPr>
          <w:p w14:paraId="105A82E0" w14:textId="77777777" w:rsidR="00543EF5" w:rsidRPr="00701F32" w:rsidRDefault="00543EF5" w:rsidP="007B6F7B">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117</w:t>
            </w:r>
            <w:r w:rsidRPr="00701F32">
              <w:rPr>
                <w:rFonts w:ascii="Arial" w:eastAsia="Calibri" w:hAnsi="Arial" w:cs="Arial"/>
                <w:color w:val="000000"/>
                <w:sz w:val="16"/>
              </w:rPr>
              <w:t>.</w:t>
            </w:r>
            <w:r>
              <w:rPr>
                <w:rFonts w:ascii="Arial" w:eastAsia="Calibri" w:hAnsi="Arial" w:cs="Arial"/>
                <w:color w:val="000000"/>
                <w:sz w:val="16"/>
              </w:rPr>
              <w:t>816</w:t>
            </w:r>
          </w:p>
        </w:tc>
        <w:tc>
          <w:tcPr>
            <w:tcW w:w="1275" w:type="dxa"/>
            <w:vAlign w:val="bottom"/>
          </w:tcPr>
          <w:p w14:paraId="7B5B90E8"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276" w:type="dxa"/>
            <w:vAlign w:val="bottom"/>
          </w:tcPr>
          <w:p w14:paraId="02D303B4" w14:textId="77777777" w:rsidR="00543EF5" w:rsidRPr="00701F32" w:rsidRDefault="00543EF5" w:rsidP="007B6F7B">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3</w:t>
            </w:r>
            <w:r w:rsidRPr="00701F32">
              <w:rPr>
                <w:rFonts w:ascii="Arial" w:eastAsia="Calibri" w:hAnsi="Arial" w:cs="Arial"/>
                <w:color w:val="000000"/>
                <w:sz w:val="16"/>
              </w:rPr>
              <w:t>.4</w:t>
            </w:r>
            <w:r>
              <w:rPr>
                <w:rFonts w:ascii="Arial" w:eastAsia="Calibri" w:hAnsi="Arial" w:cs="Arial"/>
                <w:color w:val="000000"/>
                <w:sz w:val="16"/>
              </w:rPr>
              <w:t>0</w:t>
            </w:r>
            <w:r w:rsidRPr="00701F32">
              <w:rPr>
                <w:rFonts w:ascii="Arial" w:eastAsia="Calibri" w:hAnsi="Arial" w:cs="Arial"/>
                <w:color w:val="000000"/>
                <w:sz w:val="16"/>
              </w:rPr>
              <w:t>8</w:t>
            </w:r>
          </w:p>
        </w:tc>
        <w:tc>
          <w:tcPr>
            <w:tcW w:w="1337" w:type="dxa"/>
            <w:vAlign w:val="bottom"/>
          </w:tcPr>
          <w:p w14:paraId="7441C7C3" w14:textId="77777777" w:rsidR="00543EF5" w:rsidRPr="00701F32" w:rsidRDefault="00543EF5" w:rsidP="007B6F7B">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10</w:t>
            </w:r>
          </w:p>
        </w:tc>
      </w:tr>
      <w:tr w:rsidR="00543EF5" w:rsidRPr="00701F32" w14:paraId="4358C701" w14:textId="77777777" w:rsidTr="007B6F7B">
        <w:trPr>
          <w:trHeight w:val="455"/>
        </w:trPr>
        <w:tc>
          <w:tcPr>
            <w:tcW w:w="2541" w:type="dxa"/>
            <w:shd w:val="clear" w:color="auto" w:fill="auto"/>
            <w:vAlign w:val="center"/>
            <w:hideMark/>
          </w:tcPr>
          <w:p w14:paraId="0A01D593" w14:textId="77777777" w:rsidR="00543EF5" w:rsidRPr="00701F32" w:rsidRDefault="00543EF5" w:rsidP="007B6F7B">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Tarjeta Automática S.A.</w:t>
            </w:r>
          </w:p>
        </w:tc>
        <w:tc>
          <w:tcPr>
            <w:tcW w:w="1215" w:type="dxa"/>
            <w:vAlign w:val="bottom"/>
          </w:tcPr>
          <w:p w14:paraId="036B21A7"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5.</w:t>
            </w:r>
            <w:r>
              <w:rPr>
                <w:rFonts w:ascii="Arial" w:eastAsia="Calibri" w:hAnsi="Arial" w:cs="Arial"/>
                <w:color w:val="000000"/>
                <w:sz w:val="16"/>
              </w:rPr>
              <w:t>4</w:t>
            </w:r>
            <w:r w:rsidRPr="00701F32">
              <w:rPr>
                <w:rFonts w:ascii="Arial" w:eastAsia="Calibri" w:hAnsi="Arial" w:cs="Arial"/>
                <w:color w:val="000000"/>
                <w:sz w:val="16"/>
              </w:rPr>
              <w:t>3</w:t>
            </w:r>
            <w:r>
              <w:rPr>
                <w:rFonts w:ascii="Arial" w:eastAsia="Calibri" w:hAnsi="Arial" w:cs="Arial"/>
                <w:color w:val="000000"/>
                <w:sz w:val="16"/>
              </w:rPr>
              <w:t>8</w:t>
            </w:r>
          </w:p>
        </w:tc>
        <w:tc>
          <w:tcPr>
            <w:tcW w:w="1134" w:type="dxa"/>
            <w:vAlign w:val="bottom"/>
          </w:tcPr>
          <w:p w14:paraId="3FF6AE74"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276" w:type="dxa"/>
            <w:shd w:val="clear" w:color="auto" w:fill="auto"/>
            <w:vAlign w:val="bottom"/>
          </w:tcPr>
          <w:p w14:paraId="758F671D" w14:textId="77777777" w:rsidR="00543EF5" w:rsidRPr="00701F32" w:rsidRDefault="00543EF5" w:rsidP="007B6F7B">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521</w:t>
            </w:r>
          </w:p>
        </w:tc>
        <w:tc>
          <w:tcPr>
            <w:tcW w:w="1275" w:type="dxa"/>
            <w:vAlign w:val="bottom"/>
          </w:tcPr>
          <w:p w14:paraId="1973AE9C"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 -</w:t>
            </w:r>
          </w:p>
        </w:tc>
        <w:tc>
          <w:tcPr>
            <w:tcW w:w="1276" w:type="dxa"/>
            <w:vAlign w:val="bottom"/>
          </w:tcPr>
          <w:p w14:paraId="05FE5FE1"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337" w:type="dxa"/>
            <w:vAlign w:val="bottom"/>
          </w:tcPr>
          <w:p w14:paraId="0AB0FFFA"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 -</w:t>
            </w:r>
          </w:p>
        </w:tc>
      </w:tr>
      <w:tr w:rsidR="00543EF5" w:rsidRPr="00701F32" w14:paraId="4B0CA5AB" w14:textId="77777777" w:rsidTr="007B6F7B">
        <w:trPr>
          <w:trHeight w:val="455"/>
        </w:trPr>
        <w:tc>
          <w:tcPr>
            <w:tcW w:w="2541" w:type="dxa"/>
            <w:shd w:val="clear" w:color="auto" w:fill="auto"/>
            <w:vAlign w:val="center"/>
            <w:hideMark/>
          </w:tcPr>
          <w:p w14:paraId="3FD73925" w14:textId="77777777" w:rsidR="00543EF5" w:rsidRPr="00701F32" w:rsidRDefault="00543EF5" w:rsidP="007B6F7B">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en-US" w:eastAsia="es-AR"/>
              </w:rPr>
              <w:t>Supervielle Asset Management S.A.</w:t>
            </w:r>
          </w:p>
        </w:tc>
        <w:tc>
          <w:tcPr>
            <w:tcW w:w="1215" w:type="dxa"/>
            <w:vAlign w:val="bottom"/>
          </w:tcPr>
          <w:p w14:paraId="3EB81ABB"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2</w:t>
            </w:r>
          </w:p>
        </w:tc>
        <w:tc>
          <w:tcPr>
            <w:tcW w:w="1134" w:type="dxa"/>
            <w:vAlign w:val="bottom"/>
          </w:tcPr>
          <w:p w14:paraId="37E64D0E"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276" w:type="dxa"/>
            <w:shd w:val="clear" w:color="auto" w:fill="auto"/>
            <w:vAlign w:val="bottom"/>
          </w:tcPr>
          <w:p w14:paraId="1926D2C0"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2</w:t>
            </w:r>
            <w:r>
              <w:rPr>
                <w:rFonts w:ascii="Arial" w:eastAsia="Calibri" w:hAnsi="Arial" w:cs="Arial"/>
                <w:color w:val="000000"/>
                <w:sz w:val="16"/>
              </w:rPr>
              <w:t>16</w:t>
            </w:r>
          </w:p>
        </w:tc>
        <w:tc>
          <w:tcPr>
            <w:tcW w:w="1275" w:type="dxa"/>
            <w:vAlign w:val="bottom"/>
          </w:tcPr>
          <w:p w14:paraId="016FE03A"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 -</w:t>
            </w:r>
          </w:p>
        </w:tc>
        <w:tc>
          <w:tcPr>
            <w:tcW w:w="1276" w:type="dxa"/>
            <w:vAlign w:val="bottom"/>
          </w:tcPr>
          <w:p w14:paraId="3BF9C7B2"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337" w:type="dxa"/>
            <w:vAlign w:val="bottom"/>
          </w:tcPr>
          <w:p w14:paraId="786EBB19" w14:textId="77777777" w:rsidR="00543EF5" w:rsidRPr="00701F32" w:rsidRDefault="00543EF5" w:rsidP="007B6F7B">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2</w:t>
            </w:r>
            <w:r w:rsidRPr="00701F32">
              <w:rPr>
                <w:rFonts w:ascii="Arial" w:eastAsia="Calibri" w:hAnsi="Arial" w:cs="Arial"/>
                <w:color w:val="000000"/>
                <w:sz w:val="16"/>
              </w:rPr>
              <w:t>.</w:t>
            </w:r>
            <w:r>
              <w:rPr>
                <w:rFonts w:ascii="Arial" w:eastAsia="Calibri" w:hAnsi="Arial" w:cs="Arial"/>
                <w:color w:val="000000"/>
                <w:sz w:val="16"/>
              </w:rPr>
              <w:t>045</w:t>
            </w:r>
          </w:p>
        </w:tc>
      </w:tr>
      <w:tr w:rsidR="00543EF5" w:rsidRPr="00701F32" w14:paraId="50B7BD95" w14:textId="77777777" w:rsidTr="007B6F7B">
        <w:trPr>
          <w:trHeight w:val="455"/>
        </w:trPr>
        <w:tc>
          <w:tcPr>
            <w:tcW w:w="2541" w:type="dxa"/>
            <w:shd w:val="clear" w:color="auto" w:fill="auto"/>
            <w:vAlign w:val="center"/>
          </w:tcPr>
          <w:p w14:paraId="3F3C6710" w14:textId="77777777" w:rsidR="00543EF5" w:rsidRPr="00701F32" w:rsidRDefault="00543EF5" w:rsidP="007B6F7B">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en-US" w:eastAsia="es-AR"/>
              </w:rPr>
              <w:t>Invertir OnLine S.A.</w:t>
            </w:r>
          </w:p>
        </w:tc>
        <w:tc>
          <w:tcPr>
            <w:tcW w:w="1215" w:type="dxa"/>
            <w:vAlign w:val="bottom"/>
          </w:tcPr>
          <w:p w14:paraId="0B4AB7C4"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134" w:type="dxa"/>
            <w:vAlign w:val="bottom"/>
          </w:tcPr>
          <w:p w14:paraId="4C78A3B5"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4</w:t>
            </w:r>
            <w:r>
              <w:rPr>
                <w:rFonts w:ascii="Arial" w:eastAsia="Calibri" w:hAnsi="Arial" w:cs="Arial"/>
                <w:color w:val="000000"/>
                <w:sz w:val="16"/>
              </w:rPr>
              <w:t>6</w:t>
            </w:r>
            <w:r w:rsidRPr="00701F32">
              <w:rPr>
                <w:rFonts w:ascii="Arial" w:eastAsia="Calibri" w:hAnsi="Arial" w:cs="Arial"/>
                <w:color w:val="000000"/>
                <w:sz w:val="16"/>
              </w:rPr>
              <w:t>.9</w:t>
            </w:r>
            <w:r>
              <w:rPr>
                <w:rFonts w:ascii="Arial" w:eastAsia="Calibri" w:hAnsi="Arial" w:cs="Arial"/>
                <w:color w:val="000000"/>
                <w:sz w:val="16"/>
              </w:rPr>
              <w:t>20</w:t>
            </w:r>
          </w:p>
        </w:tc>
        <w:tc>
          <w:tcPr>
            <w:tcW w:w="1276" w:type="dxa"/>
            <w:shd w:val="clear" w:color="auto" w:fill="auto"/>
            <w:vAlign w:val="bottom"/>
          </w:tcPr>
          <w:p w14:paraId="4B2D37DC" w14:textId="77777777" w:rsidR="00543EF5" w:rsidRPr="00701F32" w:rsidDel="00B660DC" w:rsidRDefault="00543EF5" w:rsidP="007B6F7B">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89</w:t>
            </w:r>
          </w:p>
        </w:tc>
        <w:tc>
          <w:tcPr>
            <w:tcW w:w="1275" w:type="dxa"/>
            <w:vAlign w:val="bottom"/>
          </w:tcPr>
          <w:p w14:paraId="20C4DC59"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276" w:type="dxa"/>
            <w:vAlign w:val="bottom"/>
          </w:tcPr>
          <w:p w14:paraId="3B460B9D"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337" w:type="dxa"/>
            <w:vAlign w:val="bottom"/>
          </w:tcPr>
          <w:p w14:paraId="0938523E"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r>
      <w:tr w:rsidR="00543EF5" w:rsidRPr="00701F32" w14:paraId="0FEEC69B" w14:textId="77777777" w:rsidTr="007B6F7B">
        <w:trPr>
          <w:trHeight w:val="455"/>
        </w:trPr>
        <w:tc>
          <w:tcPr>
            <w:tcW w:w="2541" w:type="dxa"/>
            <w:shd w:val="clear" w:color="auto" w:fill="auto"/>
            <w:vAlign w:val="center"/>
          </w:tcPr>
          <w:p w14:paraId="33F0EBA6" w14:textId="77777777" w:rsidR="00543EF5" w:rsidRPr="00701F32" w:rsidRDefault="00543EF5" w:rsidP="007B6F7B">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rPr>
              <w:t>Invertir OnLine.com Argentina S.A.</w:t>
            </w:r>
          </w:p>
        </w:tc>
        <w:tc>
          <w:tcPr>
            <w:tcW w:w="1215" w:type="dxa"/>
            <w:vAlign w:val="bottom"/>
          </w:tcPr>
          <w:p w14:paraId="3C8D1612" w14:textId="77777777" w:rsidR="00543EF5" w:rsidRPr="00701F32" w:rsidRDefault="00543EF5" w:rsidP="007B6F7B">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134" w:type="dxa"/>
            <w:vAlign w:val="bottom"/>
          </w:tcPr>
          <w:p w14:paraId="0B94976B" w14:textId="77777777" w:rsidR="00543EF5" w:rsidRPr="00701F32" w:rsidDel="00AA3E91" w:rsidRDefault="00543EF5" w:rsidP="007B6F7B">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1</w:t>
            </w:r>
            <w:r>
              <w:rPr>
                <w:rFonts w:ascii="Arial" w:eastAsia="Calibri" w:hAnsi="Arial" w:cs="Arial"/>
                <w:color w:val="000000"/>
                <w:sz w:val="16"/>
              </w:rPr>
              <w:t>98</w:t>
            </w:r>
          </w:p>
        </w:tc>
        <w:tc>
          <w:tcPr>
            <w:tcW w:w="1276" w:type="dxa"/>
            <w:shd w:val="clear" w:color="auto" w:fill="auto"/>
            <w:vAlign w:val="bottom"/>
          </w:tcPr>
          <w:p w14:paraId="5E81A668" w14:textId="77777777" w:rsidR="00543EF5" w:rsidRPr="00701F32" w:rsidDel="00AA3E91" w:rsidRDefault="00543EF5" w:rsidP="007B6F7B">
            <w:pPr>
              <w:spacing w:after="160" w:line="259" w:lineRule="auto"/>
              <w:jc w:val="right"/>
              <w:rPr>
                <w:rFonts w:ascii="Arial" w:eastAsia="Calibri" w:hAnsi="Arial" w:cs="Arial"/>
                <w:color w:val="000000"/>
                <w:sz w:val="16"/>
              </w:rPr>
            </w:pPr>
            <w:r>
              <w:rPr>
                <w:rFonts w:ascii="Arial" w:eastAsia="Calibri" w:hAnsi="Arial" w:cs="Arial"/>
                <w:color w:val="000000"/>
                <w:sz w:val="16"/>
              </w:rPr>
              <w:t>2</w:t>
            </w:r>
          </w:p>
        </w:tc>
        <w:tc>
          <w:tcPr>
            <w:tcW w:w="1275" w:type="dxa"/>
            <w:vAlign w:val="bottom"/>
          </w:tcPr>
          <w:p w14:paraId="2ED9C903" w14:textId="77777777" w:rsidR="00543EF5" w:rsidRPr="00701F32" w:rsidRDefault="00543EF5" w:rsidP="007B6F7B">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276" w:type="dxa"/>
            <w:vAlign w:val="bottom"/>
          </w:tcPr>
          <w:p w14:paraId="74013AC6" w14:textId="77777777" w:rsidR="00543EF5" w:rsidRPr="00701F32" w:rsidRDefault="00543EF5" w:rsidP="007B6F7B">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337" w:type="dxa"/>
            <w:vAlign w:val="bottom"/>
          </w:tcPr>
          <w:p w14:paraId="6E38B118" w14:textId="77777777" w:rsidR="00543EF5" w:rsidRPr="00701F32" w:rsidRDefault="00543EF5" w:rsidP="007B6F7B">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r>
      <w:tr w:rsidR="00543EF5" w:rsidRPr="00701F32" w14:paraId="0BB4F348" w14:textId="77777777" w:rsidTr="007B6F7B">
        <w:trPr>
          <w:trHeight w:val="455"/>
        </w:trPr>
        <w:tc>
          <w:tcPr>
            <w:tcW w:w="2541" w:type="dxa"/>
            <w:shd w:val="clear" w:color="auto" w:fill="auto"/>
            <w:vAlign w:val="center"/>
          </w:tcPr>
          <w:p w14:paraId="5645D68A" w14:textId="77777777" w:rsidR="00543EF5" w:rsidRPr="00701F32" w:rsidRDefault="00543EF5" w:rsidP="007B6F7B">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rPr>
              <w:t>Micro Lending S.A.</w:t>
            </w:r>
          </w:p>
        </w:tc>
        <w:tc>
          <w:tcPr>
            <w:tcW w:w="1215" w:type="dxa"/>
            <w:vAlign w:val="bottom"/>
          </w:tcPr>
          <w:p w14:paraId="504448BE" w14:textId="77777777" w:rsidR="00543EF5" w:rsidRPr="00701F32" w:rsidRDefault="00543EF5" w:rsidP="007B6F7B">
            <w:pPr>
              <w:spacing w:after="160" w:line="259" w:lineRule="auto"/>
              <w:jc w:val="right"/>
              <w:rPr>
                <w:rFonts w:ascii="Arial" w:eastAsia="Calibri" w:hAnsi="Arial" w:cs="Arial"/>
                <w:color w:val="000000"/>
                <w:sz w:val="16"/>
              </w:rPr>
            </w:pPr>
            <w:r>
              <w:rPr>
                <w:rFonts w:ascii="Arial" w:eastAsia="Calibri" w:hAnsi="Arial" w:cs="Arial"/>
                <w:color w:val="000000"/>
                <w:sz w:val="16"/>
              </w:rPr>
              <w:t>36</w:t>
            </w:r>
            <w:r w:rsidRPr="00701F32">
              <w:rPr>
                <w:rFonts w:ascii="Arial" w:eastAsia="Calibri" w:hAnsi="Arial" w:cs="Arial"/>
                <w:color w:val="000000"/>
                <w:sz w:val="16"/>
              </w:rPr>
              <w:t>.8</w:t>
            </w:r>
            <w:r>
              <w:rPr>
                <w:rFonts w:ascii="Arial" w:eastAsia="Calibri" w:hAnsi="Arial" w:cs="Arial"/>
                <w:color w:val="000000"/>
                <w:sz w:val="16"/>
              </w:rPr>
              <w:t>87</w:t>
            </w:r>
          </w:p>
        </w:tc>
        <w:tc>
          <w:tcPr>
            <w:tcW w:w="1134" w:type="dxa"/>
            <w:vAlign w:val="bottom"/>
          </w:tcPr>
          <w:p w14:paraId="66A78E57" w14:textId="77777777" w:rsidR="00543EF5" w:rsidRPr="00701F32" w:rsidDel="00AA3E91" w:rsidRDefault="00543EF5" w:rsidP="007B6F7B">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276" w:type="dxa"/>
            <w:shd w:val="clear" w:color="auto" w:fill="auto"/>
            <w:vAlign w:val="bottom"/>
          </w:tcPr>
          <w:p w14:paraId="450CA055" w14:textId="77777777" w:rsidR="00543EF5" w:rsidRPr="00701F32" w:rsidDel="00AA3E91" w:rsidRDefault="00543EF5" w:rsidP="007B6F7B">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275" w:type="dxa"/>
            <w:vAlign w:val="bottom"/>
          </w:tcPr>
          <w:p w14:paraId="106FB8F8" w14:textId="77777777" w:rsidR="00543EF5" w:rsidRPr="00701F32" w:rsidRDefault="00543EF5" w:rsidP="007B6F7B">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276" w:type="dxa"/>
            <w:vAlign w:val="bottom"/>
          </w:tcPr>
          <w:p w14:paraId="2917BEA3" w14:textId="77777777" w:rsidR="00543EF5" w:rsidRPr="00701F32" w:rsidRDefault="00543EF5" w:rsidP="007B6F7B">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2</w:t>
            </w:r>
            <w:r>
              <w:rPr>
                <w:rFonts w:ascii="Arial" w:eastAsia="Calibri" w:hAnsi="Arial" w:cs="Arial"/>
                <w:color w:val="000000"/>
                <w:sz w:val="16"/>
              </w:rPr>
              <w:t>97</w:t>
            </w:r>
          </w:p>
        </w:tc>
        <w:tc>
          <w:tcPr>
            <w:tcW w:w="1337" w:type="dxa"/>
            <w:vAlign w:val="bottom"/>
          </w:tcPr>
          <w:p w14:paraId="0EF94411" w14:textId="77777777" w:rsidR="00543EF5" w:rsidRPr="00701F32" w:rsidRDefault="00543EF5" w:rsidP="007B6F7B">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19</w:t>
            </w:r>
          </w:p>
        </w:tc>
      </w:tr>
      <w:tr w:rsidR="00543EF5" w:rsidRPr="00701F32" w14:paraId="6CAB6B76" w14:textId="77777777" w:rsidTr="007B6F7B">
        <w:trPr>
          <w:trHeight w:val="455"/>
        </w:trPr>
        <w:tc>
          <w:tcPr>
            <w:tcW w:w="2541" w:type="dxa"/>
            <w:shd w:val="clear" w:color="auto" w:fill="auto"/>
            <w:vAlign w:val="center"/>
            <w:hideMark/>
          </w:tcPr>
          <w:p w14:paraId="37E5BFFD" w14:textId="77777777" w:rsidR="00543EF5" w:rsidRPr="00701F32" w:rsidRDefault="00543EF5" w:rsidP="007B6F7B">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Grupo Supervielle S.A.</w:t>
            </w:r>
          </w:p>
        </w:tc>
        <w:tc>
          <w:tcPr>
            <w:tcW w:w="1215" w:type="dxa"/>
            <w:vAlign w:val="bottom"/>
          </w:tcPr>
          <w:p w14:paraId="0403148C"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134" w:type="dxa"/>
            <w:vAlign w:val="bottom"/>
          </w:tcPr>
          <w:p w14:paraId="0537E4DA"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45.2</w:t>
            </w:r>
            <w:r>
              <w:rPr>
                <w:rFonts w:ascii="Arial" w:eastAsia="Calibri" w:hAnsi="Arial" w:cs="Arial"/>
                <w:color w:val="000000"/>
                <w:sz w:val="16"/>
              </w:rPr>
              <w:t>1</w:t>
            </w:r>
            <w:r w:rsidRPr="00701F32">
              <w:rPr>
                <w:rFonts w:ascii="Arial" w:eastAsia="Calibri" w:hAnsi="Arial" w:cs="Arial"/>
                <w:color w:val="000000"/>
                <w:sz w:val="16"/>
              </w:rPr>
              <w:t>3</w:t>
            </w:r>
          </w:p>
        </w:tc>
        <w:tc>
          <w:tcPr>
            <w:tcW w:w="1276" w:type="dxa"/>
            <w:shd w:val="clear" w:color="auto" w:fill="auto"/>
            <w:vAlign w:val="bottom"/>
          </w:tcPr>
          <w:p w14:paraId="4C533631" w14:textId="77777777" w:rsidR="00543EF5" w:rsidRPr="00701F32" w:rsidRDefault="00543EF5" w:rsidP="007B6F7B">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3</w:t>
            </w:r>
            <w:r w:rsidRPr="00701F32">
              <w:rPr>
                <w:rFonts w:ascii="Arial" w:eastAsia="Calibri" w:hAnsi="Arial" w:cs="Arial"/>
                <w:color w:val="000000"/>
                <w:sz w:val="16"/>
              </w:rPr>
              <w:t>.</w:t>
            </w:r>
            <w:r>
              <w:rPr>
                <w:rFonts w:ascii="Arial" w:eastAsia="Calibri" w:hAnsi="Arial" w:cs="Arial"/>
                <w:color w:val="000000"/>
                <w:sz w:val="16"/>
              </w:rPr>
              <w:t>213</w:t>
            </w:r>
          </w:p>
        </w:tc>
        <w:tc>
          <w:tcPr>
            <w:tcW w:w="1275" w:type="dxa"/>
            <w:vAlign w:val="bottom"/>
          </w:tcPr>
          <w:p w14:paraId="2F52DC14"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1</w:t>
            </w:r>
            <w:r>
              <w:rPr>
                <w:rFonts w:ascii="Arial" w:eastAsia="Calibri" w:hAnsi="Arial" w:cs="Arial"/>
                <w:color w:val="000000"/>
                <w:sz w:val="16"/>
              </w:rPr>
              <w:t>5</w:t>
            </w:r>
            <w:r w:rsidRPr="00701F32">
              <w:rPr>
                <w:rFonts w:ascii="Arial" w:eastAsia="Calibri" w:hAnsi="Arial" w:cs="Arial"/>
                <w:color w:val="000000"/>
                <w:sz w:val="16"/>
              </w:rPr>
              <w:t>.</w:t>
            </w:r>
            <w:r>
              <w:rPr>
                <w:rFonts w:ascii="Arial" w:eastAsia="Calibri" w:hAnsi="Arial" w:cs="Arial"/>
                <w:color w:val="000000"/>
                <w:sz w:val="16"/>
              </w:rPr>
              <w:t>181</w:t>
            </w:r>
          </w:p>
        </w:tc>
        <w:tc>
          <w:tcPr>
            <w:tcW w:w="1276" w:type="dxa"/>
            <w:vAlign w:val="bottom"/>
          </w:tcPr>
          <w:p w14:paraId="18D1C2C9" w14:textId="77777777" w:rsidR="00543EF5" w:rsidRPr="00701F32" w:rsidRDefault="00543EF5" w:rsidP="007B6F7B">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58</w:t>
            </w:r>
            <w:r w:rsidRPr="00701F32">
              <w:rPr>
                <w:rFonts w:ascii="Arial" w:eastAsia="Calibri" w:hAnsi="Arial" w:cs="Arial"/>
                <w:color w:val="000000"/>
                <w:sz w:val="16"/>
              </w:rPr>
              <w:t>.</w:t>
            </w:r>
            <w:r>
              <w:rPr>
                <w:rFonts w:ascii="Arial" w:eastAsia="Calibri" w:hAnsi="Arial" w:cs="Arial"/>
                <w:color w:val="000000"/>
                <w:sz w:val="16"/>
              </w:rPr>
              <w:t>200</w:t>
            </w:r>
          </w:p>
        </w:tc>
        <w:tc>
          <w:tcPr>
            <w:tcW w:w="1337" w:type="dxa"/>
            <w:vAlign w:val="bottom"/>
          </w:tcPr>
          <w:p w14:paraId="422A527D" w14:textId="77777777" w:rsidR="00543EF5" w:rsidRPr="00701F32" w:rsidRDefault="00543EF5" w:rsidP="007B6F7B">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1.</w:t>
            </w:r>
            <w:r>
              <w:rPr>
                <w:rFonts w:ascii="Arial" w:eastAsia="Calibri" w:hAnsi="Arial" w:cs="Arial"/>
                <w:color w:val="000000"/>
                <w:sz w:val="16"/>
              </w:rPr>
              <w:t>79</w:t>
            </w:r>
            <w:r w:rsidRPr="00701F32">
              <w:rPr>
                <w:rFonts w:ascii="Arial" w:eastAsia="Calibri" w:hAnsi="Arial" w:cs="Arial"/>
                <w:color w:val="000000"/>
                <w:sz w:val="16"/>
              </w:rPr>
              <w:t>6</w:t>
            </w:r>
          </w:p>
        </w:tc>
      </w:tr>
      <w:tr w:rsidR="00543EF5" w:rsidRPr="00701F32" w14:paraId="2B4056D7" w14:textId="77777777" w:rsidTr="007B6F7B">
        <w:trPr>
          <w:trHeight w:val="455"/>
        </w:trPr>
        <w:tc>
          <w:tcPr>
            <w:tcW w:w="2541" w:type="dxa"/>
            <w:shd w:val="clear" w:color="auto" w:fill="auto"/>
            <w:vAlign w:val="center"/>
            <w:hideMark/>
          </w:tcPr>
          <w:p w14:paraId="074676D8" w14:textId="77777777" w:rsidR="00543EF5" w:rsidRPr="00701F32" w:rsidRDefault="00543EF5" w:rsidP="007B6F7B">
            <w:pPr>
              <w:tabs>
                <w:tab w:val="left" w:pos="142"/>
              </w:tabs>
              <w:spacing w:after="160" w:line="259" w:lineRule="auto"/>
              <w:rPr>
                <w:rFonts w:ascii="Arial" w:eastAsia="Calibri" w:hAnsi="Arial" w:cs="Arial"/>
                <w:b/>
                <w:bCs/>
                <w:color w:val="000000"/>
                <w:sz w:val="16"/>
                <w:lang w:val="es-ES_tradnl" w:eastAsia="es-AR"/>
              </w:rPr>
            </w:pPr>
            <w:r w:rsidRPr="00701F32">
              <w:rPr>
                <w:rFonts w:ascii="Arial" w:eastAsia="Calibri" w:hAnsi="Arial" w:cs="Arial"/>
                <w:b/>
                <w:bCs/>
                <w:color w:val="000000"/>
                <w:sz w:val="16"/>
                <w:lang w:eastAsia="es-AR"/>
              </w:rPr>
              <w:t>TOTAL</w:t>
            </w:r>
          </w:p>
        </w:tc>
        <w:tc>
          <w:tcPr>
            <w:tcW w:w="1215" w:type="dxa"/>
            <w:vAlign w:val="center"/>
          </w:tcPr>
          <w:p w14:paraId="354A0261" w14:textId="77777777" w:rsidR="00543EF5" w:rsidRPr="00701F32" w:rsidRDefault="00543EF5" w:rsidP="007B6F7B">
            <w:pPr>
              <w:spacing w:after="160" w:line="259" w:lineRule="auto"/>
              <w:jc w:val="right"/>
              <w:rPr>
                <w:rFonts w:ascii="Arial" w:eastAsia="Calibri" w:hAnsi="Arial" w:cs="Arial"/>
                <w:b/>
                <w:color w:val="000000"/>
                <w:sz w:val="16"/>
              </w:rPr>
            </w:pPr>
            <w:r>
              <w:rPr>
                <w:rFonts w:ascii="Arial" w:eastAsia="Calibri" w:hAnsi="Arial" w:cs="Arial"/>
                <w:b/>
                <w:color w:val="000000"/>
                <w:sz w:val="16"/>
              </w:rPr>
              <w:t>4</w:t>
            </w:r>
            <w:r w:rsidRPr="00701F32">
              <w:rPr>
                <w:rFonts w:ascii="Arial" w:eastAsia="Calibri" w:hAnsi="Arial" w:cs="Arial"/>
                <w:b/>
                <w:color w:val="000000"/>
                <w:sz w:val="16"/>
              </w:rPr>
              <w:t>2.</w:t>
            </w:r>
            <w:r>
              <w:rPr>
                <w:rFonts w:ascii="Arial" w:eastAsia="Calibri" w:hAnsi="Arial" w:cs="Arial"/>
                <w:b/>
                <w:color w:val="000000"/>
                <w:sz w:val="16"/>
              </w:rPr>
              <w:t>3</w:t>
            </w:r>
            <w:r w:rsidRPr="00701F32">
              <w:rPr>
                <w:rFonts w:ascii="Arial" w:eastAsia="Calibri" w:hAnsi="Arial" w:cs="Arial"/>
                <w:b/>
                <w:color w:val="000000"/>
                <w:sz w:val="16"/>
              </w:rPr>
              <w:t>55</w:t>
            </w:r>
          </w:p>
        </w:tc>
        <w:tc>
          <w:tcPr>
            <w:tcW w:w="1134" w:type="dxa"/>
            <w:vAlign w:val="center"/>
          </w:tcPr>
          <w:p w14:paraId="734A08C5" w14:textId="77777777" w:rsidR="00543EF5" w:rsidRPr="00701F32" w:rsidRDefault="00543EF5" w:rsidP="007B6F7B">
            <w:pPr>
              <w:spacing w:after="160" w:line="259" w:lineRule="auto"/>
              <w:jc w:val="right"/>
              <w:rPr>
                <w:rFonts w:ascii="Arial" w:eastAsia="Calibri" w:hAnsi="Arial" w:cs="Arial"/>
                <w:b/>
                <w:color w:val="000000"/>
                <w:sz w:val="16"/>
              </w:rPr>
            </w:pPr>
            <w:r>
              <w:rPr>
                <w:rFonts w:ascii="Arial" w:eastAsia="Calibri" w:hAnsi="Arial" w:cs="Arial"/>
                <w:b/>
                <w:color w:val="000000"/>
                <w:sz w:val="16"/>
              </w:rPr>
              <w:t>92</w:t>
            </w:r>
            <w:r w:rsidRPr="00701F32">
              <w:rPr>
                <w:rFonts w:ascii="Arial" w:eastAsia="Calibri" w:hAnsi="Arial" w:cs="Arial"/>
                <w:b/>
                <w:color w:val="000000"/>
                <w:sz w:val="16"/>
              </w:rPr>
              <w:t>.</w:t>
            </w:r>
            <w:r>
              <w:rPr>
                <w:rFonts w:ascii="Arial" w:eastAsia="Calibri" w:hAnsi="Arial" w:cs="Arial"/>
                <w:b/>
                <w:color w:val="000000"/>
                <w:sz w:val="16"/>
              </w:rPr>
              <w:t>331</w:t>
            </w:r>
          </w:p>
        </w:tc>
        <w:tc>
          <w:tcPr>
            <w:tcW w:w="1276" w:type="dxa"/>
            <w:shd w:val="clear" w:color="auto" w:fill="auto"/>
            <w:vAlign w:val="center"/>
          </w:tcPr>
          <w:p w14:paraId="7A3F5CFB" w14:textId="77777777" w:rsidR="00543EF5" w:rsidRPr="00701F32" w:rsidRDefault="00543EF5" w:rsidP="007B6F7B">
            <w:pPr>
              <w:spacing w:after="160" w:line="259" w:lineRule="auto"/>
              <w:jc w:val="right"/>
              <w:rPr>
                <w:rFonts w:ascii="Arial" w:eastAsia="Calibri" w:hAnsi="Arial" w:cs="Arial"/>
                <w:b/>
                <w:color w:val="000000"/>
                <w:sz w:val="16"/>
              </w:rPr>
            </w:pPr>
            <w:r>
              <w:rPr>
                <w:rFonts w:ascii="Arial" w:eastAsia="Calibri" w:hAnsi="Arial" w:cs="Arial"/>
                <w:b/>
                <w:color w:val="000000"/>
                <w:sz w:val="16"/>
              </w:rPr>
              <w:t>122</w:t>
            </w:r>
            <w:r w:rsidRPr="00701F32">
              <w:rPr>
                <w:rFonts w:ascii="Arial" w:eastAsia="Calibri" w:hAnsi="Arial" w:cs="Arial"/>
                <w:b/>
                <w:color w:val="000000"/>
                <w:sz w:val="16"/>
              </w:rPr>
              <w:t>.</w:t>
            </w:r>
            <w:r>
              <w:rPr>
                <w:rFonts w:ascii="Arial" w:eastAsia="Calibri" w:hAnsi="Arial" w:cs="Arial"/>
                <w:b/>
                <w:color w:val="000000"/>
                <w:sz w:val="16"/>
              </w:rPr>
              <w:t>019</w:t>
            </w:r>
          </w:p>
        </w:tc>
        <w:tc>
          <w:tcPr>
            <w:tcW w:w="1275" w:type="dxa"/>
            <w:vAlign w:val="center"/>
          </w:tcPr>
          <w:p w14:paraId="6BDF0D48" w14:textId="77777777" w:rsidR="00543EF5" w:rsidRPr="00701F32" w:rsidRDefault="00543EF5" w:rsidP="007B6F7B">
            <w:pPr>
              <w:spacing w:after="160" w:line="259" w:lineRule="auto"/>
              <w:jc w:val="right"/>
              <w:rPr>
                <w:rFonts w:ascii="Arial" w:eastAsia="Calibri" w:hAnsi="Arial" w:cs="Arial"/>
                <w:b/>
                <w:color w:val="000000"/>
                <w:sz w:val="16"/>
              </w:rPr>
            </w:pPr>
            <w:r w:rsidRPr="00701F32">
              <w:rPr>
                <w:rFonts w:ascii="Arial" w:eastAsia="Calibri" w:hAnsi="Arial" w:cs="Arial"/>
                <w:b/>
                <w:color w:val="000000"/>
                <w:sz w:val="16"/>
              </w:rPr>
              <w:t>1</w:t>
            </w:r>
            <w:r>
              <w:rPr>
                <w:rFonts w:ascii="Arial" w:eastAsia="Calibri" w:hAnsi="Arial" w:cs="Arial"/>
                <w:b/>
                <w:color w:val="000000"/>
                <w:sz w:val="16"/>
              </w:rPr>
              <w:t>5</w:t>
            </w:r>
            <w:r w:rsidRPr="00701F32">
              <w:rPr>
                <w:rFonts w:ascii="Arial" w:eastAsia="Calibri" w:hAnsi="Arial" w:cs="Arial"/>
                <w:b/>
                <w:color w:val="000000"/>
                <w:sz w:val="16"/>
              </w:rPr>
              <w:t>.</w:t>
            </w:r>
            <w:r>
              <w:rPr>
                <w:rFonts w:ascii="Arial" w:eastAsia="Calibri" w:hAnsi="Arial" w:cs="Arial"/>
                <w:b/>
                <w:color w:val="000000"/>
                <w:sz w:val="16"/>
              </w:rPr>
              <w:t>181</w:t>
            </w:r>
          </w:p>
        </w:tc>
        <w:tc>
          <w:tcPr>
            <w:tcW w:w="1276" w:type="dxa"/>
            <w:vAlign w:val="center"/>
          </w:tcPr>
          <w:p w14:paraId="670D65FC" w14:textId="77777777" w:rsidR="00543EF5" w:rsidRPr="00701F32" w:rsidRDefault="00543EF5" w:rsidP="007B6F7B">
            <w:pPr>
              <w:spacing w:after="160" w:line="259" w:lineRule="auto"/>
              <w:jc w:val="right"/>
              <w:rPr>
                <w:rFonts w:ascii="Arial" w:eastAsia="Calibri" w:hAnsi="Arial" w:cs="Arial"/>
                <w:b/>
                <w:color w:val="000000"/>
                <w:sz w:val="16"/>
              </w:rPr>
            </w:pPr>
            <w:r w:rsidRPr="00701F32">
              <w:rPr>
                <w:rFonts w:ascii="Arial" w:eastAsia="Calibri" w:hAnsi="Arial" w:cs="Arial"/>
                <w:b/>
                <w:color w:val="000000"/>
                <w:sz w:val="16"/>
              </w:rPr>
              <w:t>6</w:t>
            </w:r>
            <w:r>
              <w:rPr>
                <w:rFonts w:ascii="Arial" w:eastAsia="Calibri" w:hAnsi="Arial" w:cs="Arial"/>
                <w:b/>
                <w:color w:val="000000"/>
                <w:sz w:val="16"/>
              </w:rPr>
              <w:t>1</w:t>
            </w:r>
            <w:r w:rsidRPr="00701F32">
              <w:rPr>
                <w:rFonts w:ascii="Arial" w:eastAsia="Calibri" w:hAnsi="Arial" w:cs="Arial"/>
                <w:b/>
                <w:color w:val="000000"/>
                <w:sz w:val="16"/>
              </w:rPr>
              <w:t>.</w:t>
            </w:r>
            <w:r>
              <w:rPr>
                <w:rFonts w:ascii="Arial" w:eastAsia="Calibri" w:hAnsi="Arial" w:cs="Arial"/>
                <w:b/>
                <w:color w:val="000000"/>
                <w:sz w:val="16"/>
              </w:rPr>
              <w:t>905</w:t>
            </w:r>
          </w:p>
        </w:tc>
        <w:tc>
          <w:tcPr>
            <w:tcW w:w="1337" w:type="dxa"/>
            <w:vAlign w:val="center"/>
          </w:tcPr>
          <w:p w14:paraId="080E64DE" w14:textId="77777777" w:rsidR="00543EF5" w:rsidRPr="00701F32" w:rsidRDefault="00543EF5" w:rsidP="007B6F7B">
            <w:pPr>
              <w:spacing w:after="160" w:line="259" w:lineRule="auto"/>
              <w:jc w:val="right"/>
              <w:rPr>
                <w:rFonts w:ascii="Arial" w:eastAsia="Calibri" w:hAnsi="Arial" w:cs="Arial"/>
                <w:b/>
                <w:color w:val="000000"/>
                <w:sz w:val="16"/>
              </w:rPr>
            </w:pPr>
            <w:r>
              <w:rPr>
                <w:rFonts w:ascii="Arial" w:eastAsia="Calibri" w:hAnsi="Arial" w:cs="Arial"/>
                <w:b/>
                <w:color w:val="000000"/>
                <w:sz w:val="16"/>
              </w:rPr>
              <w:t>4</w:t>
            </w:r>
            <w:r w:rsidRPr="00701F32">
              <w:rPr>
                <w:rFonts w:ascii="Arial" w:eastAsia="Calibri" w:hAnsi="Arial" w:cs="Arial"/>
                <w:b/>
                <w:color w:val="000000"/>
                <w:sz w:val="16"/>
              </w:rPr>
              <w:t>.</w:t>
            </w:r>
            <w:r>
              <w:rPr>
                <w:rFonts w:ascii="Arial" w:eastAsia="Calibri" w:hAnsi="Arial" w:cs="Arial"/>
                <w:b/>
                <w:color w:val="000000"/>
                <w:sz w:val="16"/>
              </w:rPr>
              <w:t>033</w:t>
            </w:r>
          </w:p>
        </w:tc>
      </w:tr>
    </w:tbl>
    <w:p w14:paraId="46A81F35" w14:textId="77777777" w:rsidR="00543EF5" w:rsidRPr="00701F32" w:rsidRDefault="00543EF5" w:rsidP="00A06BE9">
      <w:pPr>
        <w:tabs>
          <w:tab w:val="left" w:pos="142"/>
        </w:tabs>
        <w:spacing w:after="160" w:line="259" w:lineRule="auto"/>
        <w:jc w:val="both"/>
        <w:rPr>
          <w:rFonts w:ascii="Arial" w:eastAsia="Calibri" w:hAnsi="Arial" w:cs="Arial"/>
          <w:color w:val="000000"/>
          <w:sz w:val="16"/>
        </w:rPr>
      </w:pPr>
    </w:p>
    <w:p w14:paraId="49224739" w14:textId="72BDAEDF" w:rsidR="00582EAB" w:rsidRPr="00701F32" w:rsidRDefault="00032EC8" w:rsidP="00582EAB">
      <w:pPr>
        <w:tabs>
          <w:tab w:val="left" w:pos="142"/>
        </w:tabs>
        <w:jc w:val="both"/>
        <w:rPr>
          <w:rFonts w:ascii="Arial" w:hAnsi="Arial" w:cs="Arial"/>
          <w:b/>
          <w:sz w:val="20"/>
        </w:rPr>
      </w:pPr>
      <w:r>
        <w:rPr>
          <w:rFonts w:ascii="Arial" w:hAnsi="Arial" w:cs="Arial"/>
          <w:b/>
          <w:sz w:val="20"/>
        </w:rPr>
        <w:t>13</w:t>
      </w:r>
      <w:r w:rsidR="00582EAB" w:rsidRPr="00701F32">
        <w:rPr>
          <w:rFonts w:ascii="Arial" w:hAnsi="Arial" w:cs="Arial"/>
          <w:b/>
          <w:sz w:val="20"/>
        </w:rPr>
        <w:t>. FONDOS COMUNES DE INVERSI</w:t>
      </w:r>
      <w:r w:rsidR="006B5772">
        <w:rPr>
          <w:rFonts w:ascii="Arial" w:hAnsi="Arial" w:cs="Arial"/>
          <w:b/>
          <w:sz w:val="20"/>
        </w:rPr>
        <w:t>Ó</w:t>
      </w:r>
      <w:r w:rsidR="00582EAB" w:rsidRPr="00701F32">
        <w:rPr>
          <w:rFonts w:ascii="Arial" w:hAnsi="Arial" w:cs="Arial"/>
          <w:b/>
          <w:sz w:val="20"/>
        </w:rPr>
        <w:t>N</w:t>
      </w:r>
    </w:p>
    <w:p w14:paraId="431335EA" w14:textId="77777777" w:rsidR="00582EAB" w:rsidRPr="00701F32" w:rsidRDefault="00582EAB" w:rsidP="00582EAB">
      <w:pPr>
        <w:tabs>
          <w:tab w:val="left" w:pos="142"/>
        </w:tabs>
        <w:jc w:val="both"/>
        <w:rPr>
          <w:rFonts w:ascii="Arial" w:hAnsi="Arial" w:cs="Arial"/>
          <w:b/>
          <w:sz w:val="20"/>
        </w:rPr>
      </w:pPr>
    </w:p>
    <w:p w14:paraId="5308348A" w14:textId="209F2BF3" w:rsidR="00582EAB" w:rsidRPr="00701F32" w:rsidRDefault="00582EAB" w:rsidP="00582EAB">
      <w:pPr>
        <w:tabs>
          <w:tab w:val="left" w:pos="142"/>
        </w:tabs>
        <w:jc w:val="both"/>
        <w:rPr>
          <w:rFonts w:ascii="Arial" w:hAnsi="Arial" w:cs="Arial"/>
          <w:sz w:val="20"/>
        </w:rPr>
      </w:pPr>
      <w:r w:rsidRPr="00701F32">
        <w:rPr>
          <w:rFonts w:ascii="Arial" w:hAnsi="Arial" w:cs="Arial"/>
          <w:sz w:val="20"/>
        </w:rPr>
        <w:t>A</w:t>
      </w:r>
      <w:r w:rsidR="009C5DAE">
        <w:rPr>
          <w:rFonts w:ascii="Arial" w:hAnsi="Arial" w:cs="Arial"/>
          <w:sz w:val="20"/>
        </w:rPr>
        <w:t xml:space="preserve">l </w:t>
      </w:r>
      <w:r w:rsidR="007A12E2">
        <w:rPr>
          <w:rFonts w:ascii="Arial" w:hAnsi="Arial" w:cs="Arial"/>
          <w:sz w:val="20"/>
        </w:rPr>
        <w:t>31 de</w:t>
      </w:r>
      <w:r w:rsidR="00E01808">
        <w:rPr>
          <w:rFonts w:ascii="Arial" w:hAnsi="Arial" w:cs="Arial"/>
          <w:sz w:val="20"/>
        </w:rPr>
        <w:t xml:space="preserve"> </w:t>
      </w:r>
      <w:r w:rsidRPr="00701F32">
        <w:rPr>
          <w:rFonts w:ascii="Arial" w:hAnsi="Arial" w:cs="Arial"/>
          <w:sz w:val="20"/>
        </w:rPr>
        <w:t xml:space="preserve">diciembre de </w:t>
      </w:r>
      <w:r w:rsidR="00543EF5">
        <w:rPr>
          <w:rFonts w:ascii="Arial" w:hAnsi="Arial" w:cs="Arial"/>
          <w:sz w:val="20"/>
        </w:rPr>
        <w:t xml:space="preserve">2019 y </w:t>
      </w:r>
      <w:r w:rsidR="00475EFD">
        <w:rPr>
          <w:rFonts w:ascii="Arial" w:hAnsi="Arial" w:cs="Arial"/>
          <w:sz w:val="20"/>
        </w:rPr>
        <w:t>2018</w:t>
      </w:r>
      <w:r w:rsidRPr="00701F32">
        <w:rPr>
          <w:rFonts w:ascii="Arial" w:hAnsi="Arial" w:cs="Arial"/>
          <w:sz w:val="20"/>
        </w:rPr>
        <w:t>, Banco Supervielle S.A. es la sociedad depositaria de los Fondos Comunes de Inversión que administra Supervielle Asset Management S.A. De acuerdo a lo requerido por la Resolución General N° 622/13 de la CNV, se detalla a continuación la cartera, patrimonio neto y cantidad de cuotapartes de los fondos comunes de inversión mencionados precedentemente.</w:t>
      </w:r>
    </w:p>
    <w:p w14:paraId="783FEBC0" w14:textId="77777777" w:rsidR="007A20B7" w:rsidRPr="00701F32" w:rsidRDefault="007A20B7" w:rsidP="00582EAB">
      <w:pPr>
        <w:tabs>
          <w:tab w:val="left" w:pos="142"/>
        </w:tabs>
        <w:jc w:val="both"/>
        <w:rPr>
          <w:rFonts w:ascii="Arial" w:hAnsi="Arial" w:cs="Arial"/>
          <w:sz w:val="20"/>
        </w:rPr>
      </w:pPr>
    </w:p>
    <w:tbl>
      <w:tblPr>
        <w:tblW w:w="9072" w:type="dxa"/>
        <w:tblInd w:w="70" w:type="dxa"/>
        <w:tblLayout w:type="fixed"/>
        <w:tblCellMar>
          <w:left w:w="70" w:type="dxa"/>
          <w:right w:w="70" w:type="dxa"/>
        </w:tblCellMar>
        <w:tblLook w:val="04A0" w:firstRow="1" w:lastRow="0" w:firstColumn="1" w:lastColumn="0" w:noHBand="0" w:noVBand="1"/>
      </w:tblPr>
      <w:tblGrid>
        <w:gridCol w:w="2413"/>
        <w:gridCol w:w="986"/>
        <w:gridCol w:w="1136"/>
        <w:gridCol w:w="993"/>
        <w:gridCol w:w="1070"/>
        <w:gridCol w:w="1199"/>
        <w:gridCol w:w="1275"/>
      </w:tblGrid>
      <w:tr w:rsidR="006F2033" w:rsidRPr="006F2033" w14:paraId="24CE5317" w14:textId="77777777" w:rsidTr="00CB4373">
        <w:trPr>
          <w:trHeight w:val="184"/>
          <w:tblHeader/>
        </w:trPr>
        <w:tc>
          <w:tcPr>
            <w:tcW w:w="24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27422B" w14:textId="77777777" w:rsidR="006F2033" w:rsidRPr="00E01808" w:rsidRDefault="006F2033" w:rsidP="006F2033">
            <w:pPr>
              <w:jc w:val="center"/>
              <w:rPr>
                <w:rFonts w:ascii="Arial" w:hAnsi="Arial" w:cs="Arial"/>
                <w:b/>
                <w:bCs/>
                <w:color w:val="000000"/>
                <w:sz w:val="16"/>
                <w:szCs w:val="16"/>
                <w:lang w:eastAsia="es-AR"/>
              </w:rPr>
            </w:pPr>
            <w:bookmarkStart w:id="15" w:name="_Hlk22903087"/>
            <w:r w:rsidRPr="00EC349E">
              <w:rPr>
                <w:rFonts w:ascii="Arial" w:hAnsi="Arial" w:cs="Arial"/>
                <w:b/>
                <w:bCs/>
                <w:color w:val="000000"/>
                <w:sz w:val="16"/>
                <w:szCs w:val="18"/>
                <w:lang w:eastAsia="es-AR"/>
              </w:rPr>
              <w:t>Fondo común de inversión</w:t>
            </w:r>
          </w:p>
        </w:tc>
        <w:tc>
          <w:tcPr>
            <w:tcW w:w="212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224FE0" w14:textId="77777777" w:rsidR="006F2033" w:rsidRPr="00EC349E" w:rsidRDefault="006F2033" w:rsidP="006F2033">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Activo</w:t>
            </w:r>
          </w:p>
        </w:tc>
        <w:tc>
          <w:tcPr>
            <w:tcW w:w="2063"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5F1F91" w14:textId="77777777" w:rsidR="006F2033" w:rsidRPr="00EC349E" w:rsidRDefault="006F2033" w:rsidP="006F2033">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Patrimonio Neto</w:t>
            </w:r>
          </w:p>
        </w:tc>
        <w:tc>
          <w:tcPr>
            <w:tcW w:w="247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4AB353" w14:textId="77777777" w:rsidR="006F2033" w:rsidRPr="00EC349E" w:rsidRDefault="006F2033" w:rsidP="006F2033">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Cantidad de Cuotapartes</w:t>
            </w:r>
          </w:p>
        </w:tc>
      </w:tr>
      <w:tr w:rsidR="00E01808" w:rsidRPr="006F2033" w14:paraId="35351588" w14:textId="77777777" w:rsidTr="00CB4373">
        <w:trPr>
          <w:trHeight w:val="184"/>
          <w:tblHeader/>
        </w:trPr>
        <w:tc>
          <w:tcPr>
            <w:tcW w:w="2413" w:type="dxa"/>
            <w:vMerge/>
            <w:tcBorders>
              <w:top w:val="single" w:sz="4" w:space="0" w:color="auto"/>
              <w:left w:val="single" w:sz="4" w:space="0" w:color="auto"/>
              <w:bottom w:val="single" w:sz="4" w:space="0" w:color="auto"/>
              <w:right w:val="single" w:sz="4" w:space="0" w:color="auto"/>
            </w:tcBorders>
            <w:vAlign w:val="center"/>
            <w:hideMark/>
          </w:tcPr>
          <w:p w14:paraId="1A566E54" w14:textId="77777777" w:rsidR="00E01808" w:rsidRPr="00EC349E" w:rsidRDefault="00E01808" w:rsidP="006F2033">
            <w:pPr>
              <w:rPr>
                <w:rFonts w:ascii="Arial" w:hAnsi="Arial" w:cs="Arial"/>
                <w:b/>
                <w:bCs/>
                <w:color w:val="000000"/>
                <w:sz w:val="16"/>
                <w:szCs w:val="18"/>
                <w:lang w:eastAsia="es-AR"/>
              </w:rPr>
            </w:pPr>
          </w:p>
        </w:tc>
        <w:tc>
          <w:tcPr>
            <w:tcW w:w="986" w:type="dxa"/>
            <w:tcBorders>
              <w:top w:val="nil"/>
              <w:left w:val="nil"/>
              <w:bottom w:val="single" w:sz="4" w:space="0" w:color="auto"/>
              <w:right w:val="single" w:sz="4" w:space="0" w:color="auto"/>
            </w:tcBorders>
            <w:shd w:val="clear" w:color="auto" w:fill="auto"/>
            <w:noWrap/>
          </w:tcPr>
          <w:p w14:paraId="00D33F3F" w14:textId="7ACCFB23" w:rsidR="00E01808" w:rsidRPr="001D2B86" w:rsidRDefault="009C5DAE" w:rsidP="009C5DAE">
            <w:pPr>
              <w:jc w:val="center"/>
              <w:rPr>
                <w:rFonts w:ascii="Arial" w:hAnsi="Arial" w:cs="Arial"/>
                <w:b/>
                <w:bCs/>
                <w:color w:val="000000"/>
                <w:sz w:val="16"/>
                <w:szCs w:val="16"/>
                <w:lang w:eastAsia="es-AR"/>
              </w:rPr>
            </w:pPr>
            <w:r>
              <w:rPr>
                <w:rFonts w:ascii="Arial" w:hAnsi="Arial" w:cs="Arial"/>
                <w:b/>
                <w:sz w:val="16"/>
                <w:szCs w:val="16"/>
              </w:rPr>
              <w:t>3</w:t>
            </w:r>
            <w:r w:rsidR="00032EC8">
              <w:rPr>
                <w:rFonts w:ascii="Arial" w:hAnsi="Arial" w:cs="Arial"/>
                <w:b/>
                <w:sz w:val="16"/>
                <w:szCs w:val="16"/>
              </w:rPr>
              <w:t>1</w:t>
            </w:r>
            <w:r w:rsidR="00E01808" w:rsidRPr="00534414">
              <w:rPr>
                <w:rFonts w:ascii="Arial" w:hAnsi="Arial" w:cs="Arial"/>
                <w:b/>
                <w:sz w:val="16"/>
                <w:szCs w:val="16"/>
              </w:rPr>
              <w:t>/</w:t>
            </w:r>
            <w:r w:rsidR="00032EC8">
              <w:rPr>
                <w:rFonts w:ascii="Arial" w:hAnsi="Arial" w:cs="Arial"/>
                <w:b/>
                <w:sz w:val="16"/>
                <w:szCs w:val="16"/>
              </w:rPr>
              <w:t>12</w:t>
            </w:r>
            <w:r w:rsidR="00E01808" w:rsidRPr="00534414">
              <w:rPr>
                <w:rFonts w:ascii="Arial" w:hAnsi="Arial" w:cs="Arial"/>
                <w:b/>
                <w:sz w:val="16"/>
                <w:szCs w:val="16"/>
              </w:rPr>
              <w:t>/2019</w:t>
            </w:r>
          </w:p>
        </w:tc>
        <w:tc>
          <w:tcPr>
            <w:tcW w:w="1136" w:type="dxa"/>
            <w:tcBorders>
              <w:top w:val="nil"/>
              <w:left w:val="nil"/>
              <w:bottom w:val="single" w:sz="4" w:space="0" w:color="auto"/>
              <w:right w:val="single" w:sz="4" w:space="0" w:color="auto"/>
            </w:tcBorders>
            <w:shd w:val="clear" w:color="auto" w:fill="auto"/>
            <w:noWrap/>
          </w:tcPr>
          <w:p w14:paraId="432E063D" w14:textId="3D296B50" w:rsidR="00E01808" w:rsidRPr="001D2B86" w:rsidRDefault="00E01808" w:rsidP="006F2033">
            <w:pPr>
              <w:jc w:val="center"/>
              <w:rPr>
                <w:rFonts w:ascii="Arial" w:hAnsi="Arial" w:cs="Arial"/>
                <w:b/>
                <w:bCs/>
                <w:color w:val="000000"/>
                <w:sz w:val="16"/>
                <w:szCs w:val="16"/>
                <w:lang w:eastAsia="es-AR"/>
              </w:rPr>
            </w:pPr>
            <w:r w:rsidRPr="00534414">
              <w:rPr>
                <w:rFonts w:ascii="Arial" w:hAnsi="Arial" w:cs="Arial"/>
                <w:b/>
                <w:sz w:val="16"/>
                <w:szCs w:val="16"/>
              </w:rPr>
              <w:t>31/12/2018</w:t>
            </w:r>
          </w:p>
        </w:tc>
        <w:tc>
          <w:tcPr>
            <w:tcW w:w="993" w:type="dxa"/>
            <w:tcBorders>
              <w:top w:val="nil"/>
              <w:left w:val="nil"/>
              <w:bottom w:val="single" w:sz="4" w:space="0" w:color="auto"/>
              <w:right w:val="single" w:sz="4" w:space="0" w:color="auto"/>
            </w:tcBorders>
            <w:shd w:val="clear" w:color="auto" w:fill="auto"/>
            <w:noWrap/>
          </w:tcPr>
          <w:p w14:paraId="57B22E66" w14:textId="0643B8AC" w:rsidR="00E01808" w:rsidRPr="001D2B86" w:rsidRDefault="009C5DAE" w:rsidP="009C5DAE">
            <w:pPr>
              <w:jc w:val="center"/>
              <w:rPr>
                <w:rFonts w:ascii="Arial" w:hAnsi="Arial" w:cs="Arial"/>
                <w:b/>
                <w:bCs/>
                <w:color w:val="000000"/>
                <w:sz w:val="16"/>
                <w:szCs w:val="16"/>
                <w:lang w:eastAsia="es-AR"/>
              </w:rPr>
            </w:pPr>
            <w:r>
              <w:rPr>
                <w:rFonts w:ascii="Arial" w:hAnsi="Arial" w:cs="Arial"/>
                <w:b/>
                <w:sz w:val="16"/>
                <w:szCs w:val="16"/>
              </w:rPr>
              <w:t>3</w:t>
            </w:r>
            <w:r w:rsidR="00032EC8">
              <w:rPr>
                <w:rFonts w:ascii="Arial" w:hAnsi="Arial" w:cs="Arial"/>
                <w:b/>
                <w:sz w:val="16"/>
                <w:szCs w:val="16"/>
              </w:rPr>
              <w:t>1</w:t>
            </w:r>
            <w:r w:rsidR="00E01808" w:rsidRPr="00534414">
              <w:rPr>
                <w:rFonts w:ascii="Arial" w:hAnsi="Arial" w:cs="Arial"/>
                <w:b/>
                <w:sz w:val="16"/>
                <w:szCs w:val="16"/>
              </w:rPr>
              <w:t>/</w:t>
            </w:r>
            <w:r w:rsidR="00032EC8">
              <w:rPr>
                <w:rFonts w:ascii="Arial" w:hAnsi="Arial" w:cs="Arial"/>
                <w:b/>
                <w:sz w:val="16"/>
                <w:szCs w:val="16"/>
              </w:rPr>
              <w:t>12</w:t>
            </w:r>
            <w:r w:rsidR="00E01808" w:rsidRPr="00534414">
              <w:rPr>
                <w:rFonts w:ascii="Arial" w:hAnsi="Arial" w:cs="Arial"/>
                <w:b/>
                <w:sz w:val="16"/>
                <w:szCs w:val="16"/>
              </w:rPr>
              <w:t>/2019</w:t>
            </w:r>
          </w:p>
        </w:tc>
        <w:tc>
          <w:tcPr>
            <w:tcW w:w="1070" w:type="dxa"/>
            <w:tcBorders>
              <w:top w:val="nil"/>
              <w:left w:val="nil"/>
              <w:bottom w:val="single" w:sz="4" w:space="0" w:color="auto"/>
              <w:right w:val="single" w:sz="4" w:space="0" w:color="auto"/>
            </w:tcBorders>
            <w:shd w:val="clear" w:color="auto" w:fill="auto"/>
            <w:noWrap/>
          </w:tcPr>
          <w:p w14:paraId="69AAD4FF" w14:textId="13435C29" w:rsidR="00E01808" w:rsidRPr="001D2B86" w:rsidRDefault="00E01808" w:rsidP="006F2033">
            <w:pPr>
              <w:jc w:val="center"/>
              <w:rPr>
                <w:rFonts w:ascii="Arial" w:hAnsi="Arial" w:cs="Arial"/>
                <w:b/>
                <w:bCs/>
                <w:color w:val="000000"/>
                <w:sz w:val="16"/>
                <w:szCs w:val="16"/>
                <w:lang w:eastAsia="es-AR"/>
              </w:rPr>
            </w:pPr>
            <w:r w:rsidRPr="00534414">
              <w:rPr>
                <w:rFonts w:ascii="Arial" w:hAnsi="Arial" w:cs="Arial"/>
                <w:b/>
                <w:sz w:val="16"/>
                <w:szCs w:val="16"/>
              </w:rPr>
              <w:t>31/12/2018</w:t>
            </w:r>
          </w:p>
        </w:tc>
        <w:tc>
          <w:tcPr>
            <w:tcW w:w="1199" w:type="dxa"/>
            <w:tcBorders>
              <w:top w:val="nil"/>
              <w:left w:val="nil"/>
              <w:bottom w:val="single" w:sz="4" w:space="0" w:color="auto"/>
              <w:right w:val="single" w:sz="4" w:space="0" w:color="auto"/>
            </w:tcBorders>
            <w:shd w:val="clear" w:color="auto" w:fill="auto"/>
            <w:noWrap/>
          </w:tcPr>
          <w:p w14:paraId="59BA2196" w14:textId="19A22906" w:rsidR="00E01808" w:rsidRPr="001D2B86" w:rsidRDefault="00E01808" w:rsidP="009C5DAE">
            <w:pPr>
              <w:jc w:val="center"/>
              <w:rPr>
                <w:rFonts w:ascii="Arial" w:hAnsi="Arial" w:cs="Arial"/>
                <w:b/>
                <w:bCs/>
                <w:color w:val="000000"/>
                <w:sz w:val="16"/>
                <w:szCs w:val="16"/>
                <w:lang w:eastAsia="es-AR"/>
              </w:rPr>
            </w:pPr>
            <w:r w:rsidRPr="00534414">
              <w:rPr>
                <w:rFonts w:ascii="Arial" w:hAnsi="Arial" w:cs="Arial"/>
                <w:b/>
                <w:sz w:val="16"/>
                <w:szCs w:val="16"/>
              </w:rPr>
              <w:t>3</w:t>
            </w:r>
            <w:r w:rsidR="00032EC8">
              <w:rPr>
                <w:rFonts w:ascii="Arial" w:hAnsi="Arial" w:cs="Arial"/>
                <w:b/>
                <w:sz w:val="16"/>
                <w:szCs w:val="16"/>
              </w:rPr>
              <w:t>1</w:t>
            </w:r>
            <w:r w:rsidRPr="00534414">
              <w:rPr>
                <w:rFonts w:ascii="Arial" w:hAnsi="Arial" w:cs="Arial"/>
                <w:b/>
                <w:sz w:val="16"/>
                <w:szCs w:val="16"/>
              </w:rPr>
              <w:t>/</w:t>
            </w:r>
            <w:r w:rsidR="00032EC8">
              <w:rPr>
                <w:rFonts w:ascii="Arial" w:hAnsi="Arial" w:cs="Arial"/>
                <w:b/>
                <w:sz w:val="16"/>
                <w:szCs w:val="16"/>
              </w:rPr>
              <w:t>12</w:t>
            </w:r>
            <w:r w:rsidRPr="00534414">
              <w:rPr>
                <w:rFonts w:ascii="Arial" w:hAnsi="Arial" w:cs="Arial"/>
                <w:b/>
                <w:sz w:val="16"/>
                <w:szCs w:val="16"/>
              </w:rPr>
              <w:t>/2019</w:t>
            </w:r>
          </w:p>
        </w:tc>
        <w:tc>
          <w:tcPr>
            <w:tcW w:w="1275" w:type="dxa"/>
            <w:tcBorders>
              <w:top w:val="nil"/>
              <w:left w:val="nil"/>
              <w:bottom w:val="single" w:sz="4" w:space="0" w:color="auto"/>
              <w:right w:val="single" w:sz="4" w:space="0" w:color="auto"/>
            </w:tcBorders>
            <w:shd w:val="clear" w:color="auto" w:fill="auto"/>
            <w:noWrap/>
          </w:tcPr>
          <w:p w14:paraId="54A7675C" w14:textId="3BE9C126" w:rsidR="00E01808" w:rsidRPr="00534414" w:rsidRDefault="00E01808" w:rsidP="006F2033">
            <w:pPr>
              <w:jc w:val="center"/>
              <w:rPr>
                <w:rFonts w:ascii="Arial" w:hAnsi="Arial" w:cs="Arial"/>
                <w:b/>
                <w:sz w:val="16"/>
                <w:szCs w:val="16"/>
              </w:rPr>
            </w:pPr>
            <w:r w:rsidRPr="00534414">
              <w:rPr>
                <w:rFonts w:ascii="Arial" w:hAnsi="Arial" w:cs="Arial"/>
                <w:b/>
                <w:sz w:val="16"/>
                <w:szCs w:val="16"/>
              </w:rPr>
              <w:t>31/12/2018</w:t>
            </w:r>
          </w:p>
        </w:tc>
      </w:tr>
      <w:tr w:rsidR="00136846" w:rsidRPr="006F2033" w14:paraId="75EF56F3"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hideMark/>
          </w:tcPr>
          <w:p w14:paraId="5087C577"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Renta CP en Pesos</w:t>
            </w:r>
          </w:p>
        </w:tc>
        <w:tc>
          <w:tcPr>
            <w:tcW w:w="986" w:type="dxa"/>
            <w:tcBorders>
              <w:top w:val="nil"/>
              <w:left w:val="nil"/>
              <w:bottom w:val="single" w:sz="4" w:space="0" w:color="auto"/>
              <w:right w:val="single" w:sz="4" w:space="0" w:color="auto"/>
            </w:tcBorders>
            <w:shd w:val="clear" w:color="auto" w:fill="auto"/>
            <w:noWrap/>
            <w:vAlign w:val="center"/>
          </w:tcPr>
          <w:p w14:paraId="03AF55E1" w14:textId="26B21750" w:rsidR="00136846" w:rsidRPr="002047BA" w:rsidRDefault="00136846" w:rsidP="00CB4373">
            <w:pPr>
              <w:jc w:val="right"/>
              <w:rPr>
                <w:rFonts w:ascii="Arial" w:hAnsi="Arial" w:cs="Arial"/>
                <w:sz w:val="16"/>
                <w:szCs w:val="16"/>
              </w:rPr>
            </w:pPr>
            <w:r w:rsidRPr="00136846">
              <w:rPr>
                <w:rFonts w:ascii="Arial" w:hAnsi="Arial" w:cs="Arial"/>
                <w:sz w:val="16"/>
                <w:szCs w:val="16"/>
              </w:rPr>
              <w:t>14.031.863</w:t>
            </w:r>
          </w:p>
        </w:tc>
        <w:tc>
          <w:tcPr>
            <w:tcW w:w="1136" w:type="dxa"/>
            <w:tcBorders>
              <w:top w:val="nil"/>
              <w:left w:val="nil"/>
              <w:bottom w:val="single" w:sz="4" w:space="0" w:color="auto"/>
              <w:right w:val="single" w:sz="4" w:space="0" w:color="auto"/>
            </w:tcBorders>
            <w:shd w:val="clear" w:color="auto" w:fill="auto"/>
            <w:noWrap/>
            <w:vAlign w:val="center"/>
          </w:tcPr>
          <w:p w14:paraId="787E3E93" w14:textId="4F474B14" w:rsidR="00136846" w:rsidRPr="00525B17" w:rsidRDefault="00136846" w:rsidP="00CB4373">
            <w:pPr>
              <w:jc w:val="right"/>
              <w:rPr>
                <w:rFonts w:ascii="Arial" w:hAnsi="Arial" w:cs="Arial"/>
                <w:color w:val="000000"/>
                <w:sz w:val="16"/>
                <w:szCs w:val="16"/>
                <w:lang w:eastAsia="es-AR"/>
              </w:rPr>
            </w:pPr>
            <w:r w:rsidRPr="00534414">
              <w:rPr>
                <w:rFonts w:ascii="Arial" w:hAnsi="Arial" w:cs="Arial"/>
                <w:sz w:val="16"/>
                <w:szCs w:val="16"/>
              </w:rPr>
              <w:t>5.383.139</w:t>
            </w:r>
          </w:p>
        </w:tc>
        <w:tc>
          <w:tcPr>
            <w:tcW w:w="993" w:type="dxa"/>
            <w:tcBorders>
              <w:top w:val="nil"/>
              <w:left w:val="nil"/>
              <w:bottom w:val="single" w:sz="4" w:space="0" w:color="auto"/>
              <w:right w:val="single" w:sz="4" w:space="0" w:color="auto"/>
            </w:tcBorders>
            <w:shd w:val="clear" w:color="auto" w:fill="auto"/>
            <w:noWrap/>
            <w:vAlign w:val="center"/>
          </w:tcPr>
          <w:p w14:paraId="1E338331" w14:textId="1B28AC26" w:rsidR="00136846" w:rsidRPr="002047BA" w:rsidRDefault="00136846" w:rsidP="00CB4373">
            <w:pPr>
              <w:jc w:val="right"/>
              <w:rPr>
                <w:rFonts w:ascii="Arial" w:hAnsi="Arial" w:cs="Arial"/>
                <w:sz w:val="16"/>
                <w:szCs w:val="16"/>
              </w:rPr>
            </w:pPr>
            <w:r w:rsidRPr="00136846">
              <w:rPr>
                <w:rFonts w:ascii="Arial" w:hAnsi="Arial" w:cs="Arial"/>
                <w:sz w:val="16"/>
                <w:szCs w:val="16"/>
              </w:rPr>
              <w:t>14.010.386</w:t>
            </w:r>
          </w:p>
        </w:tc>
        <w:tc>
          <w:tcPr>
            <w:tcW w:w="1070" w:type="dxa"/>
            <w:tcBorders>
              <w:top w:val="nil"/>
              <w:left w:val="nil"/>
              <w:bottom w:val="single" w:sz="4" w:space="0" w:color="auto"/>
              <w:right w:val="single" w:sz="4" w:space="0" w:color="auto"/>
            </w:tcBorders>
            <w:shd w:val="clear" w:color="auto" w:fill="auto"/>
            <w:noWrap/>
            <w:vAlign w:val="center"/>
          </w:tcPr>
          <w:p w14:paraId="393CB6F5" w14:textId="1FCC1C35" w:rsidR="00136846" w:rsidRPr="00525B17" w:rsidRDefault="00136846" w:rsidP="00CB4373">
            <w:pPr>
              <w:jc w:val="right"/>
              <w:rPr>
                <w:rFonts w:ascii="Arial" w:hAnsi="Arial" w:cs="Arial"/>
                <w:color w:val="000000"/>
                <w:sz w:val="16"/>
                <w:szCs w:val="16"/>
                <w:lang w:eastAsia="es-AR"/>
              </w:rPr>
            </w:pPr>
            <w:r w:rsidRPr="00534414">
              <w:rPr>
                <w:rFonts w:ascii="Arial" w:hAnsi="Arial" w:cs="Arial"/>
                <w:sz w:val="16"/>
                <w:szCs w:val="16"/>
              </w:rPr>
              <w:t>5.373.434</w:t>
            </w:r>
          </w:p>
        </w:tc>
        <w:tc>
          <w:tcPr>
            <w:tcW w:w="1199" w:type="dxa"/>
            <w:tcBorders>
              <w:top w:val="nil"/>
              <w:left w:val="nil"/>
              <w:bottom w:val="single" w:sz="4" w:space="0" w:color="auto"/>
              <w:right w:val="single" w:sz="4" w:space="0" w:color="auto"/>
            </w:tcBorders>
            <w:shd w:val="clear" w:color="auto" w:fill="auto"/>
            <w:noWrap/>
            <w:vAlign w:val="center"/>
          </w:tcPr>
          <w:p w14:paraId="6943ABC5" w14:textId="777FA8A1" w:rsidR="00136846" w:rsidRPr="002047BA" w:rsidRDefault="00136846" w:rsidP="00CB4373">
            <w:pPr>
              <w:jc w:val="right"/>
              <w:rPr>
                <w:rFonts w:ascii="Arial" w:hAnsi="Arial" w:cs="Arial"/>
                <w:sz w:val="16"/>
                <w:szCs w:val="16"/>
              </w:rPr>
            </w:pPr>
            <w:r w:rsidRPr="00136846">
              <w:rPr>
                <w:rFonts w:ascii="Arial" w:hAnsi="Arial" w:cs="Arial"/>
                <w:sz w:val="16"/>
                <w:szCs w:val="16"/>
              </w:rPr>
              <w:t>3.958.398.573</w:t>
            </w:r>
          </w:p>
        </w:tc>
        <w:tc>
          <w:tcPr>
            <w:tcW w:w="1275" w:type="dxa"/>
            <w:tcBorders>
              <w:top w:val="nil"/>
              <w:left w:val="nil"/>
              <w:bottom w:val="single" w:sz="4" w:space="0" w:color="auto"/>
              <w:right w:val="single" w:sz="4" w:space="0" w:color="auto"/>
            </w:tcBorders>
            <w:shd w:val="clear" w:color="auto" w:fill="auto"/>
            <w:noWrap/>
            <w:vAlign w:val="center"/>
          </w:tcPr>
          <w:p w14:paraId="64218B71" w14:textId="11414154" w:rsidR="00136846" w:rsidRPr="00534414" w:rsidRDefault="00136846" w:rsidP="00CB4373">
            <w:pPr>
              <w:jc w:val="right"/>
              <w:rPr>
                <w:rFonts w:ascii="Arial" w:hAnsi="Arial" w:cs="Arial"/>
                <w:sz w:val="16"/>
                <w:szCs w:val="16"/>
              </w:rPr>
            </w:pPr>
            <w:r w:rsidRPr="00534414">
              <w:rPr>
                <w:rFonts w:ascii="Arial" w:hAnsi="Arial" w:cs="Arial"/>
                <w:sz w:val="16"/>
                <w:szCs w:val="16"/>
              </w:rPr>
              <w:t>1.475.029.312</w:t>
            </w:r>
          </w:p>
        </w:tc>
      </w:tr>
      <w:tr w:rsidR="00136846" w:rsidRPr="006F2033" w14:paraId="7CDECB3C"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hideMark/>
          </w:tcPr>
          <w:p w14:paraId="79E78D81"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Renta Plus en Pesos</w:t>
            </w:r>
          </w:p>
        </w:tc>
        <w:tc>
          <w:tcPr>
            <w:tcW w:w="986" w:type="dxa"/>
            <w:tcBorders>
              <w:top w:val="nil"/>
              <w:left w:val="nil"/>
              <w:bottom w:val="single" w:sz="4" w:space="0" w:color="auto"/>
              <w:right w:val="single" w:sz="4" w:space="0" w:color="auto"/>
            </w:tcBorders>
            <w:shd w:val="clear" w:color="auto" w:fill="auto"/>
            <w:noWrap/>
            <w:vAlign w:val="center"/>
          </w:tcPr>
          <w:p w14:paraId="432C76FD" w14:textId="19352265" w:rsidR="00136846" w:rsidRPr="002047BA" w:rsidRDefault="00136846" w:rsidP="00136846">
            <w:pPr>
              <w:jc w:val="right"/>
              <w:rPr>
                <w:rFonts w:ascii="Arial" w:hAnsi="Arial" w:cs="Arial"/>
                <w:sz w:val="16"/>
                <w:szCs w:val="16"/>
              </w:rPr>
            </w:pPr>
            <w:r w:rsidRPr="00136846">
              <w:rPr>
                <w:rFonts w:ascii="Arial" w:hAnsi="Arial" w:cs="Arial"/>
                <w:sz w:val="16"/>
                <w:szCs w:val="16"/>
              </w:rPr>
              <w:t>109.147</w:t>
            </w:r>
          </w:p>
        </w:tc>
        <w:tc>
          <w:tcPr>
            <w:tcW w:w="1136" w:type="dxa"/>
            <w:tcBorders>
              <w:top w:val="nil"/>
              <w:left w:val="nil"/>
              <w:bottom w:val="single" w:sz="4" w:space="0" w:color="auto"/>
              <w:right w:val="single" w:sz="4" w:space="0" w:color="auto"/>
            </w:tcBorders>
            <w:shd w:val="clear" w:color="auto" w:fill="auto"/>
            <w:noWrap/>
          </w:tcPr>
          <w:p w14:paraId="1BDD9BC2" w14:textId="6D90E303"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372.537</w:t>
            </w:r>
          </w:p>
        </w:tc>
        <w:tc>
          <w:tcPr>
            <w:tcW w:w="993" w:type="dxa"/>
            <w:tcBorders>
              <w:top w:val="nil"/>
              <w:left w:val="nil"/>
              <w:bottom w:val="single" w:sz="4" w:space="0" w:color="auto"/>
              <w:right w:val="single" w:sz="4" w:space="0" w:color="auto"/>
            </w:tcBorders>
            <w:shd w:val="clear" w:color="auto" w:fill="auto"/>
            <w:noWrap/>
            <w:vAlign w:val="center"/>
          </w:tcPr>
          <w:p w14:paraId="1FAD1EC5" w14:textId="0260F524" w:rsidR="00136846" w:rsidRPr="002047BA" w:rsidRDefault="00136846" w:rsidP="00136846">
            <w:pPr>
              <w:jc w:val="right"/>
              <w:rPr>
                <w:rFonts w:ascii="Arial" w:hAnsi="Arial" w:cs="Arial"/>
                <w:sz w:val="16"/>
                <w:szCs w:val="16"/>
              </w:rPr>
            </w:pPr>
            <w:r w:rsidRPr="00136846">
              <w:rPr>
                <w:rFonts w:ascii="Arial" w:hAnsi="Arial" w:cs="Arial"/>
                <w:sz w:val="16"/>
                <w:szCs w:val="16"/>
              </w:rPr>
              <w:t>107.200</w:t>
            </w:r>
          </w:p>
        </w:tc>
        <w:tc>
          <w:tcPr>
            <w:tcW w:w="1070" w:type="dxa"/>
            <w:tcBorders>
              <w:top w:val="nil"/>
              <w:left w:val="nil"/>
              <w:bottom w:val="single" w:sz="4" w:space="0" w:color="auto"/>
              <w:right w:val="single" w:sz="4" w:space="0" w:color="auto"/>
            </w:tcBorders>
            <w:shd w:val="clear" w:color="auto" w:fill="auto"/>
            <w:noWrap/>
          </w:tcPr>
          <w:p w14:paraId="4F82355F" w14:textId="451082EA"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360.626</w:t>
            </w:r>
          </w:p>
        </w:tc>
        <w:tc>
          <w:tcPr>
            <w:tcW w:w="1199" w:type="dxa"/>
            <w:tcBorders>
              <w:top w:val="nil"/>
              <w:left w:val="nil"/>
              <w:bottom w:val="single" w:sz="4" w:space="0" w:color="auto"/>
              <w:right w:val="single" w:sz="4" w:space="0" w:color="auto"/>
            </w:tcBorders>
            <w:shd w:val="clear" w:color="auto" w:fill="auto"/>
            <w:noWrap/>
            <w:vAlign w:val="center"/>
          </w:tcPr>
          <w:p w14:paraId="51465421" w14:textId="777528EA" w:rsidR="00136846" w:rsidRPr="002047BA" w:rsidRDefault="00136846" w:rsidP="00136846">
            <w:pPr>
              <w:jc w:val="right"/>
              <w:rPr>
                <w:rFonts w:ascii="Arial" w:hAnsi="Arial" w:cs="Arial"/>
                <w:sz w:val="16"/>
                <w:szCs w:val="16"/>
              </w:rPr>
            </w:pPr>
            <w:r w:rsidRPr="00136846">
              <w:rPr>
                <w:rFonts w:ascii="Arial" w:hAnsi="Arial" w:cs="Arial"/>
                <w:sz w:val="16"/>
                <w:szCs w:val="16"/>
              </w:rPr>
              <w:t>10.250.999</w:t>
            </w:r>
          </w:p>
        </w:tc>
        <w:tc>
          <w:tcPr>
            <w:tcW w:w="1275" w:type="dxa"/>
            <w:tcBorders>
              <w:top w:val="nil"/>
              <w:left w:val="nil"/>
              <w:bottom w:val="single" w:sz="4" w:space="0" w:color="auto"/>
              <w:right w:val="single" w:sz="4" w:space="0" w:color="auto"/>
            </w:tcBorders>
            <w:shd w:val="clear" w:color="auto" w:fill="auto"/>
            <w:noWrap/>
          </w:tcPr>
          <w:p w14:paraId="12164EEE" w14:textId="7E27E2AF" w:rsidR="00136846" w:rsidRPr="00534414" w:rsidRDefault="00136846" w:rsidP="00136846">
            <w:pPr>
              <w:jc w:val="right"/>
              <w:rPr>
                <w:rFonts w:ascii="Arial" w:hAnsi="Arial" w:cs="Arial"/>
                <w:sz w:val="16"/>
                <w:szCs w:val="16"/>
              </w:rPr>
            </w:pPr>
            <w:r w:rsidRPr="00534414">
              <w:rPr>
                <w:rFonts w:ascii="Arial" w:hAnsi="Arial" w:cs="Arial"/>
                <w:sz w:val="16"/>
                <w:szCs w:val="16"/>
              </w:rPr>
              <w:t>49.671.811</w:t>
            </w:r>
          </w:p>
        </w:tc>
      </w:tr>
      <w:tr w:rsidR="00136846" w:rsidRPr="006F2033" w14:paraId="104C59A5"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hideMark/>
          </w:tcPr>
          <w:p w14:paraId="0A27C7A5"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Renta Fija Ahorro</w:t>
            </w:r>
          </w:p>
        </w:tc>
        <w:tc>
          <w:tcPr>
            <w:tcW w:w="986" w:type="dxa"/>
            <w:tcBorders>
              <w:top w:val="nil"/>
              <w:left w:val="nil"/>
              <w:bottom w:val="single" w:sz="4" w:space="0" w:color="auto"/>
              <w:right w:val="single" w:sz="4" w:space="0" w:color="auto"/>
            </w:tcBorders>
            <w:shd w:val="clear" w:color="auto" w:fill="auto"/>
            <w:noWrap/>
            <w:vAlign w:val="center"/>
          </w:tcPr>
          <w:p w14:paraId="3322A862" w14:textId="2675375D" w:rsidR="00136846" w:rsidRPr="002047BA" w:rsidRDefault="00136846" w:rsidP="00136846">
            <w:pPr>
              <w:jc w:val="right"/>
              <w:rPr>
                <w:rFonts w:ascii="Arial" w:hAnsi="Arial" w:cs="Arial"/>
                <w:sz w:val="16"/>
                <w:szCs w:val="16"/>
              </w:rPr>
            </w:pPr>
            <w:r w:rsidRPr="00136846">
              <w:rPr>
                <w:rFonts w:ascii="Arial" w:hAnsi="Arial" w:cs="Arial"/>
                <w:sz w:val="16"/>
                <w:szCs w:val="16"/>
              </w:rPr>
              <w:t>465.427</w:t>
            </w:r>
          </w:p>
        </w:tc>
        <w:tc>
          <w:tcPr>
            <w:tcW w:w="1136" w:type="dxa"/>
            <w:tcBorders>
              <w:top w:val="nil"/>
              <w:left w:val="nil"/>
              <w:bottom w:val="single" w:sz="4" w:space="0" w:color="auto"/>
              <w:right w:val="single" w:sz="4" w:space="0" w:color="auto"/>
            </w:tcBorders>
            <w:shd w:val="clear" w:color="auto" w:fill="auto"/>
            <w:noWrap/>
          </w:tcPr>
          <w:p w14:paraId="53A28E38" w14:textId="687AE612"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3.351.833</w:t>
            </w:r>
          </w:p>
        </w:tc>
        <w:tc>
          <w:tcPr>
            <w:tcW w:w="993" w:type="dxa"/>
            <w:tcBorders>
              <w:top w:val="nil"/>
              <w:left w:val="nil"/>
              <w:bottom w:val="single" w:sz="4" w:space="0" w:color="auto"/>
              <w:right w:val="single" w:sz="4" w:space="0" w:color="auto"/>
            </w:tcBorders>
            <w:shd w:val="clear" w:color="auto" w:fill="auto"/>
            <w:noWrap/>
            <w:vAlign w:val="center"/>
          </w:tcPr>
          <w:p w14:paraId="1E36D349" w14:textId="5CA9168E" w:rsidR="00136846" w:rsidRPr="002047BA" w:rsidRDefault="00136846" w:rsidP="00136846">
            <w:pPr>
              <w:jc w:val="right"/>
              <w:rPr>
                <w:rFonts w:ascii="Arial" w:hAnsi="Arial" w:cs="Arial"/>
                <w:sz w:val="16"/>
                <w:szCs w:val="16"/>
              </w:rPr>
            </w:pPr>
            <w:r w:rsidRPr="00136846">
              <w:rPr>
                <w:rFonts w:ascii="Arial" w:hAnsi="Arial" w:cs="Arial"/>
                <w:sz w:val="16"/>
                <w:szCs w:val="16"/>
              </w:rPr>
              <w:t>459.494</w:t>
            </w:r>
          </w:p>
        </w:tc>
        <w:tc>
          <w:tcPr>
            <w:tcW w:w="1070" w:type="dxa"/>
            <w:tcBorders>
              <w:top w:val="nil"/>
              <w:left w:val="nil"/>
              <w:bottom w:val="single" w:sz="4" w:space="0" w:color="auto"/>
              <w:right w:val="single" w:sz="4" w:space="0" w:color="auto"/>
            </w:tcBorders>
            <w:shd w:val="clear" w:color="auto" w:fill="auto"/>
            <w:noWrap/>
          </w:tcPr>
          <w:p w14:paraId="3854624C" w14:textId="1DC4622E"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3.275.490</w:t>
            </w:r>
          </w:p>
        </w:tc>
        <w:tc>
          <w:tcPr>
            <w:tcW w:w="1199" w:type="dxa"/>
            <w:tcBorders>
              <w:top w:val="nil"/>
              <w:left w:val="nil"/>
              <w:bottom w:val="single" w:sz="4" w:space="0" w:color="auto"/>
              <w:right w:val="single" w:sz="4" w:space="0" w:color="auto"/>
            </w:tcBorders>
            <w:shd w:val="clear" w:color="auto" w:fill="auto"/>
            <w:noWrap/>
            <w:vAlign w:val="center"/>
          </w:tcPr>
          <w:p w14:paraId="184BE217" w14:textId="64AF7FBC" w:rsidR="00136846" w:rsidRPr="002047BA" w:rsidRDefault="00136846" w:rsidP="00136846">
            <w:pPr>
              <w:jc w:val="right"/>
              <w:rPr>
                <w:rFonts w:ascii="Arial" w:hAnsi="Arial" w:cs="Arial"/>
                <w:sz w:val="16"/>
                <w:szCs w:val="16"/>
              </w:rPr>
            </w:pPr>
            <w:r w:rsidRPr="00136846">
              <w:rPr>
                <w:rFonts w:ascii="Arial" w:hAnsi="Arial" w:cs="Arial"/>
                <w:sz w:val="16"/>
                <w:szCs w:val="16"/>
              </w:rPr>
              <w:t>12.851.475</w:t>
            </w:r>
          </w:p>
        </w:tc>
        <w:tc>
          <w:tcPr>
            <w:tcW w:w="1275" w:type="dxa"/>
            <w:tcBorders>
              <w:top w:val="nil"/>
              <w:left w:val="nil"/>
              <w:bottom w:val="single" w:sz="4" w:space="0" w:color="auto"/>
              <w:right w:val="single" w:sz="4" w:space="0" w:color="auto"/>
            </w:tcBorders>
            <w:shd w:val="clear" w:color="auto" w:fill="auto"/>
            <w:noWrap/>
          </w:tcPr>
          <w:p w14:paraId="322D5616" w14:textId="69F9E3CC" w:rsidR="00136846" w:rsidRPr="00534414" w:rsidRDefault="00136846" w:rsidP="00136846">
            <w:pPr>
              <w:jc w:val="right"/>
              <w:rPr>
                <w:rFonts w:ascii="Arial" w:hAnsi="Arial" w:cs="Arial"/>
                <w:sz w:val="16"/>
                <w:szCs w:val="16"/>
              </w:rPr>
            </w:pPr>
            <w:r w:rsidRPr="00534414">
              <w:rPr>
                <w:rFonts w:ascii="Arial" w:hAnsi="Arial" w:cs="Arial"/>
                <w:sz w:val="16"/>
                <w:szCs w:val="16"/>
              </w:rPr>
              <w:t>136.640.47</w:t>
            </w:r>
            <w:r>
              <w:rPr>
                <w:rFonts w:ascii="Arial" w:hAnsi="Arial" w:cs="Arial"/>
                <w:sz w:val="16"/>
                <w:szCs w:val="16"/>
              </w:rPr>
              <w:t>2</w:t>
            </w:r>
          </w:p>
        </w:tc>
      </w:tr>
      <w:tr w:rsidR="00136846" w:rsidRPr="006F2033" w14:paraId="34764D31"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hideMark/>
          </w:tcPr>
          <w:p w14:paraId="5C17C5A3"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Renta Fija Crecimiento</w:t>
            </w:r>
          </w:p>
        </w:tc>
        <w:tc>
          <w:tcPr>
            <w:tcW w:w="986" w:type="dxa"/>
            <w:tcBorders>
              <w:top w:val="nil"/>
              <w:left w:val="nil"/>
              <w:bottom w:val="single" w:sz="4" w:space="0" w:color="auto"/>
              <w:right w:val="single" w:sz="4" w:space="0" w:color="auto"/>
            </w:tcBorders>
            <w:shd w:val="clear" w:color="auto" w:fill="auto"/>
            <w:noWrap/>
            <w:vAlign w:val="center"/>
          </w:tcPr>
          <w:p w14:paraId="1705EEFC" w14:textId="79D9A6E0" w:rsidR="00136846" w:rsidRPr="002047BA" w:rsidRDefault="00136846" w:rsidP="00136846">
            <w:pPr>
              <w:jc w:val="right"/>
              <w:rPr>
                <w:rFonts w:ascii="Arial" w:hAnsi="Arial" w:cs="Arial"/>
                <w:sz w:val="16"/>
                <w:szCs w:val="16"/>
              </w:rPr>
            </w:pPr>
            <w:r w:rsidRPr="00136846">
              <w:rPr>
                <w:rFonts w:ascii="Arial" w:hAnsi="Arial" w:cs="Arial"/>
                <w:sz w:val="16"/>
                <w:szCs w:val="16"/>
              </w:rPr>
              <w:t>46.922</w:t>
            </w:r>
          </w:p>
        </w:tc>
        <w:tc>
          <w:tcPr>
            <w:tcW w:w="1136" w:type="dxa"/>
            <w:tcBorders>
              <w:top w:val="nil"/>
              <w:left w:val="nil"/>
              <w:bottom w:val="single" w:sz="4" w:space="0" w:color="auto"/>
              <w:right w:val="single" w:sz="4" w:space="0" w:color="auto"/>
            </w:tcBorders>
            <w:shd w:val="clear" w:color="auto" w:fill="auto"/>
            <w:noWrap/>
          </w:tcPr>
          <w:p w14:paraId="59ADFB2F" w14:textId="66CE4E0A"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43.644</w:t>
            </w:r>
          </w:p>
        </w:tc>
        <w:tc>
          <w:tcPr>
            <w:tcW w:w="993" w:type="dxa"/>
            <w:tcBorders>
              <w:top w:val="nil"/>
              <w:left w:val="nil"/>
              <w:bottom w:val="single" w:sz="4" w:space="0" w:color="auto"/>
              <w:right w:val="single" w:sz="4" w:space="0" w:color="auto"/>
            </w:tcBorders>
            <w:shd w:val="clear" w:color="auto" w:fill="auto"/>
            <w:noWrap/>
            <w:vAlign w:val="center"/>
          </w:tcPr>
          <w:p w14:paraId="028A186A" w14:textId="5DD3336F" w:rsidR="00136846" w:rsidRPr="002047BA" w:rsidRDefault="00136846" w:rsidP="00136846">
            <w:pPr>
              <w:jc w:val="right"/>
              <w:rPr>
                <w:rFonts w:ascii="Arial" w:hAnsi="Arial" w:cs="Arial"/>
                <w:sz w:val="16"/>
                <w:szCs w:val="16"/>
              </w:rPr>
            </w:pPr>
            <w:r w:rsidRPr="00136846">
              <w:rPr>
                <w:rFonts w:ascii="Arial" w:hAnsi="Arial" w:cs="Arial"/>
                <w:sz w:val="16"/>
                <w:szCs w:val="16"/>
              </w:rPr>
              <w:t>46.657</w:t>
            </w:r>
          </w:p>
        </w:tc>
        <w:tc>
          <w:tcPr>
            <w:tcW w:w="1070" w:type="dxa"/>
            <w:tcBorders>
              <w:top w:val="nil"/>
              <w:left w:val="nil"/>
              <w:bottom w:val="single" w:sz="4" w:space="0" w:color="auto"/>
              <w:right w:val="single" w:sz="4" w:space="0" w:color="auto"/>
            </w:tcBorders>
            <w:shd w:val="clear" w:color="auto" w:fill="auto"/>
            <w:noWrap/>
          </w:tcPr>
          <w:p w14:paraId="06D741ED" w14:textId="4B7856FB"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43.322</w:t>
            </w:r>
          </w:p>
        </w:tc>
        <w:tc>
          <w:tcPr>
            <w:tcW w:w="1199" w:type="dxa"/>
            <w:tcBorders>
              <w:top w:val="nil"/>
              <w:left w:val="nil"/>
              <w:bottom w:val="single" w:sz="4" w:space="0" w:color="auto"/>
              <w:right w:val="single" w:sz="4" w:space="0" w:color="auto"/>
            </w:tcBorders>
            <w:shd w:val="clear" w:color="auto" w:fill="auto"/>
            <w:noWrap/>
            <w:vAlign w:val="center"/>
          </w:tcPr>
          <w:p w14:paraId="0B08C30C" w14:textId="3BC42A56" w:rsidR="00136846" w:rsidRPr="002047BA" w:rsidRDefault="00136846" w:rsidP="00136846">
            <w:pPr>
              <w:jc w:val="right"/>
              <w:rPr>
                <w:rFonts w:ascii="Arial" w:hAnsi="Arial" w:cs="Arial"/>
                <w:sz w:val="16"/>
                <w:szCs w:val="16"/>
              </w:rPr>
            </w:pPr>
            <w:r w:rsidRPr="00136846">
              <w:rPr>
                <w:rFonts w:ascii="Arial" w:hAnsi="Arial" w:cs="Arial"/>
                <w:sz w:val="16"/>
                <w:szCs w:val="16"/>
              </w:rPr>
              <w:t>3.688.485</w:t>
            </w:r>
          </w:p>
        </w:tc>
        <w:tc>
          <w:tcPr>
            <w:tcW w:w="1275" w:type="dxa"/>
            <w:tcBorders>
              <w:top w:val="nil"/>
              <w:left w:val="nil"/>
              <w:bottom w:val="single" w:sz="4" w:space="0" w:color="auto"/>
              <w:right w:val="single" w:sz="4" w:space="0" w:color="auto"/>
            </w:tcBorders>
            <w:shd w:val="clear" w:color="auto" w:fill="auto"/>
            <w:noWrap/>
          </w:tcPr>
          <w:p w14:paraId="6A2F5254" w14:textId="3CF81980" w:rsidR="00136846" w:rsidRPr="00534414" w:rsidRDefault="00136846" w:rsidP="00136846">
            <w:pPr>
              <w:jc w:val="right"/>
              <w:rPr>
                <w:rFonts w:ascii="Arial" w:hAnsi="Arial" w:cs="Arial"/>
                <w:sz w:val="16"/>
                <w:szCs w:val="16"/>
              </w:rPr>
            </w:pPr>
            <w:r w:rsidRPr="00534414">
              <w:rPr>
                <w:rFonts w:ascii="Arial" w:hAnsi="Arial" w:cs="Arial"/>
                <w:sz w:val="16"/>
                <w:szCs w:val="16"/>
              </w:rPr>
              <w:t>4.369.322</w:t>
            </w:r>
          </w:p>
        </w:tc>
      </w:tr>
      <w:tr w:rsidR="00136846" w:rsidRPr="006F2033" w14:paraId="41DF5AD9"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hideMark/>
          </w:tcPr>
          <w:p w14:paraId="397C1A3B"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Renta Variable</w:t>
            </w:r>
          </w:p>
        </w:tc>
        <w:tc>
          <w:tcPr>
            <w:tcW w:w="986" w:type="dxa"/>
            <w:tcBorders>
              <w:top w:val="nil"/>
              <w:left w:val="nil"/>
              <w:bottom w:val="single" w:sz="4" w:space="0" w:color="auto"/>
              <w:right w:val="single" w:sz="4" w:space="0" w:color="auto"/>
            </w:tcBorders>
            <w:shd w:val="clear" w:color="auto" w:fill="auto"/>
            <w:noWrap/>
            <w:vAlign w:val="center"/>
          </w:tcPr>
          <w:p w14:paraId="69072392" w14:textId="2DE3D324" w:rsidR="00136846" w:rsidRPr="002047BA" w:rsidRDefault="00136846" w:rsidP="00136846">
            <w:pPr>
              <w:jc w:val="right"/>
              <w:rPr>
                <w:rFonts w:ascii="Arial" w:hAnsi="Arial" w:cs="Arial"/>
                <w:sz w:val="16"/>
                <w:szCs w:val="16"/>
              </w:rPr>
            </w:pPr>
            <w:r w:rsidRPr="00136846">
              <w:rPr>
                <w:rFonts w:ascii="Arial" w:hAnsi="Arial" w:cs="Arial"/>
                <w:sz w:val="16"/>
                <w:szCs w:val="16"/>
              </w:rPr>
              <w:t>166.391</w:t>
            </w:r>
          </w:p>
        </w:tc>
        <w:tc>
          <w:tcPr>
            <w:tcW w:w="1136" w:type="dxa"/>
            <w:tcBorders>
              <w:top w:val="nil"/>
              <w:left w:val="nil"/>
              <w:bottom w:val="single" w:sz="4" w:space="0" w:color="auto"/>
              <w:right w:val="single" w:sz="4" w:space="0" w:color="auto"/>
            </w:tcBorders>
            <w:shd w:val="clear" w:color="auto" w:fill="auto"/>
            <w:noWrap/>
          </w:tcPr>
          <w:p w14:paraId="51EC8595" w14:textId="6472E3B4"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159.411</w:t>
            </w:r>
          </w:p>
        </w:tc>
        <w:tc>
          <w:tcPr>
            <w:tcW w:w="993" w:type="dxa"/>
            <w:tcBorders>
              <w:top w:val="nil"/>
              <w:left w:val="nil"/>
              <w:bottom w:val="single" w:sz="4" w:space="0" w:color="auto"/>
              <w:right w:val="single" w:sz="4" w:space="0" w:color="auto"/>
            </w:tcBorders>
            <w:shd w:val="clear" w:color="auto" w:fill="auto"/>
            <w:noWrap/>
            <w:vAlign w:val="center"/>
          </w:tcPr>
          <w:p w14:paraId="79CD9465" w14:textId="0A68FEBF" w:rsidR="00136846" w:rsidRPr="002047BA" w:rsidRDefault="00136846" w:rsidP="00136846">
            <w:pPr>
              <w:jc w:val="right"/>
              <w:rPr>
                <w:rFonts w:ascii="Arial" w:hAnsi="Arial" w:cs="Arial"/>
                <w:sz w:val="16"/>
                <w:szCs w:val="16"/>
              </w:rPr>
            </w:pPr>
            <w:r w:rsidRPr="00136846">
              <w:rPr>
                <w:rFonts w:ascii="Arial" w:hAnsi="Arial" w:cs="Arial"/>
                <w:sz w:val="16"/>
                <w:szCs w:val="16"/>
              </w:rPr>
              <w:t>163.998</w:t>
            </w:r>
          </w:p>
        </w:tc>
        <w:tc>
          <w:tcPr>
            <w:tcW w:w="1070" w:type="dxa"/>
            <w:tcBorders>
              <w:top w:val="nil"/>
              <w:left w:val="nil"/>
              <w:bottom w:val="single" w:sz="4" w:space="0" w:color="auto"/>
              <w:right w:val="single" w:sz="4" w:space="0" w:color="auto"/>
            </w:tcBorders>
            <w:shd w:val="clear" w:color="auto" w:fill="auto"/>
            <w:noWrap/>
          </w:tcPr>
          <w:p w14:paraId="5EC2DCC7" w14:textId="6F31A506"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146.952</w:t>
            </w:r>
          </w:p>
        </w:tc>
        <w:tc>
          <w:tcPr>
            <w:tcW w:w="1199" w:type="dxa"/>
            <w:tcBorders>
              <w:top w:val="nil"/>
              <w:left w:val="nil"/>
              <w:bottom w:val="single" w:sz="4" w:space="0" w:color="auto"/>
              <w:right w:val="single" w:sz="4" w:space="0" w:color="auto"/>
            </w:tcBorders>
            <w:shd w:val="clear" w:color="auto" w:fill="auto"/>
            <w:noWrap/>
            <w:vAlign w:val="center"/>
          </w:tcPr>
          <w:p w14:paraId="749CA252" w14:textId="6F98F351" w:rsidR="00136846" w:rsidRPr="002047BA" w:rsidRDefault="00136846" w:rsidP="00136846">
            <w:pPr>
              <w:jc w:val="right"/>
              <w:rPr>
                <w:rFonts w:ascii="Arial" w:hAnsi="Arial" w:cs="Arial"/>
                <w:sz w:val="16"/>
                <w:szCs w:val="16"/>
              </w:rPr>
            </w:pPr>
            <w:r w:rsidRPr="00136846">
              <w:rPr>
                <w:rFonts w:ascii="Arial" w:hAnsi="Arial" w:cs="Arial"/>
                <w:sz w:val="16"/>
                <w:szCs w:val="16"/>
              </w:rPr>
              <w:t>6.982.580</w:t>
            </w:r>
          </w:p>
        </w:tc>
        <w:tc>
          <w:tcPr>
            <w:tcW w:w="1275" w:type="dxa"/>
            <w:tcBorders>
              <w:top w:val="nil"/>
              <w:left w:val="nil"/>
              <w:bottom w:val="single" w:sz="4" w:space="0" w:color="auto"/>
              <w:right w:val="single" w:sz="4" w:space="0" w:color="auto"/>
            </w:tcBorders>
            <w:shd w:val="clear" w:color="auto" w:fill="auto"/>
            <w:noWrap/>
          </w:tcPr>
          <w:p w14:paraId="380C1070" w14:textId="3D4C3036" w:rsidR="00136846" w:rsidRPr="00534414" w:rsidRDefault="00136846" w:rsidP="00136846">
            <w:pPr>
              <w:jc w:val="right"/>
              <w:rPr>
                <w:rFonts w:ascii="Arial" w:hAnsi="Arial" w:cs="Arial"/>
                <w:sz w:val="16"/>
                <w:szCs w:val="16"/>
              </w:rPr>
            </w:pPr>
            <w:r w:rsidRPr="00534414">
              <w:rPr>
                <w:rFonts w:ascii="Arial" w:hAnsi="Arial" w:cs="Arial"/>
                <w:sz w:val="16"/>
                <w:szCs w:val="16"/>
              </w:rPr>
              <w:t>8.130.311</w:t>
            </w:r>
          </w:p>
        </w:tc>
      </w:tr>
      <w:tr w:rsidR="00136846" w:rsidRPr="006F2033" w14:paraId="7B770B36"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hideMark/>
          </w:tcPr>
          <w:p w14:paraId="30AD1F95"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Abierto Pymes</w:t>
            </w:r>
          </w:p>
        </w:tc>
        <w:tc>
          <w:tcPr>
            <w:tcW w:w="986" w:type="dxa"/>
            <w:tcBorders>
              <w:top w:val="nil"/>
              <w:left w:val="nil"/>
              <w:bottom w:val="single" w:sz="4" w:space="0" w:color="auto"/>
              <w:right w:val="single" w:sz="4" w:space="0" w:color="auto"/>
            </w:tcBorders>
            <w:shd w:val="clear" w:color="auto" w:fill="auto"/>
            <w:noWrap/>
            <w:vAlign w:val="center"/>
          </w:tcPr>
          <w:p w14:paraId="7CA16E6B" w14:textId="1827D7FC" w:rsidR="00136846" w:rsidRPr="002047BA" w:rsidRDefault="00136846" w:rsidP="00136846">
            <w:pPr>
              <w:jc w:val="right"/>
              <w:rPr>
                <w:rFonts w:ascii="Arial" w:hAnsi="Arial" w:cs="Arial"/>
                <w:sz w:val="16"/>
                <w:szCs w:val="16"/>
              </w:rPr>
            </w:pPr>
            <w:r w:rsidRPr="00136846">
              <w:rPr>
                <w:rFonts w:ascii="Arial" w:hAnsi="Arial" w:cs="Arial"/>
                <w:sz w:val="16"/>
                <w:szCs w:val="16"/>
              </w:rPr>
              <w:t>560.360</w:t>
            </w:r>
          </w:p>
        </w:tc>
        <w:tc>
          <w:tcPr>
            <w:tcW w:w="1136" w:type="dxa"/>
            <w:tcBorders>
              <w:top w:val="nil"/>
              <w:left w:val="nil"/>
              <w:bottom w:val="single" w:sz="4" w:space="0" w:color="auto"/>
              <w:right w:val="single" w:sz="4" w:space="0" w:color="auto"/>
            </w:tcBorders>
            <w:shd w:val="clear" w:color="auto" w:fill="auto"/>
            <w:noWrap/>
          </w:tcPr>
          <w:p w14:paraId="5815F029" w14:textId="32A4EA38"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410.</w:t>
            </w:r>
            <w:r>
              <w:rPr>
                <w:rFonts w:ascii="Arial" w:hAnsi="Arial" w:cs="Arial"/>
                <w:sz w:val="16"/>
                <w:szCs w:val="16"/>
              </w:rPr>
              <w:t>43</w:t>
            </w:r>
            <w:r w:rsidRPr="00534414">
              <w:rPr>
                <w:rFonts w:ascii="Arial" w:hAnsi="Arial" w:cs="Arial"/>
                <w:sz w:val="16"/>
                <w:szCs w:val="16"/>
              </w:rPr>
              <w:t>4</w:t>
            </w:r>
          </w:p>
        </w:tc>
        <w:tc>
          <w:tcPr>
            <w:tcW w:w="993" w:type="dxa"/>
            <w:tcBorders>
              <w:top w:val="nil"/>
              <w:left w:val="nil"/>
              <w:bottom w:val="single" w:sz="4" w:space="0" w:color="auto"/>
              <w:right w:val="single" w:sz="4" w:space="0" w:color="auto"/>
            </w:tcBorders>
            <w:shd w:val="clear" w:color="auto" w:fill="auto"/>
            <w:noWrap/>
            <w:vAlign w:val="center"/>
          </w:tcPr>
          <w:p w14:paraId="5CAB474F" w14:textId="79019B8F" w:rsidR="00136846" w:rsidRPr="002047BA" w:rsidRDefault="00136846" w:rsidP="00136846">
            <w:pPr>
              <w:jc w:val="right"/>
              <w:rPr>
                <w:rFonts w:ascii="Arial" w:hAnsi="Arial" w:cs="Arial"/>
                <w:sz w:val="16"/>
                <w:szCs w:val="16"/>
              </w:rPr>
            </w:pPr>
            <w:r w:rsidRPr="00136846">
              <w:rPr>
                <w:rFonts w:ascii="Arial" w:hAnsi="Arial" w:cs="Arial"/>
                <w:sz w:val="16"/>
                <w:szCs w:val="16"/>
              </w:rPr>
              <w:t>559.099</w:t>
            </w:r>
          </w:p>
        </w:tc>
        <w:tc>
          <w:tcPr>
            <w:tcW w:w="1070" w:type="dxa"/>
            <w:tcBorders>
              <w:top w:val="nil"/>
              <w:left w:val="nil"/>
              <w:bottom w:val="single" w:sz="4" w:space="0" w:color="auto"/>
              <w:right w:val="single" w:sz="4" w:space="0" w:color="auto"/>
            </w:tcBorders>
            <w:shd w:val="clear" w:color="auto" w:fill="auto"/>
            <w:noWrap/>
          </w:tcPr>
          <w:p w14:paraId="31DB898D" w14:textId="6DC26C06"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409.705</w:t>
            </w:r>
          </w:p>
        </w:tc>
        <w:tc>
          <w:tcPr>
            <w:tcW w:w="1199" w:type="dxa"/>
            <w:tcBorders>
              <w:top w:val="nil"/>
              <w:left w:val="nil"/>
              <w:bottom w:val="single" w:sz="4" w:space="0" w:color="auto"/>
              <w:right w:val="single" w:sz="4" w:space="0" w:color="auto"/>
            </w:tcBorders>
            <w:shd w:val="clear" w:color="auto" w:fill="auto"/>
            <w:noWrap/>
            <w:vAlign w:val="center"/>
          </w:tcPr>
          <w:p w14:paraId="4E38B69F" w14:textId="59BB4E9B" w:rsidR="00136846" w:rsidRPr="002047BA" w:rsidRDefault="00136846" w:rsidP="00136846">
            <w:pPr>
              <w:jc w:val="right"/>
              <w:rPr>
                <w:rFonts w:ascii="Arial" w:hAnsi="Arial" w:cs="Arial"/>
                <w:sz w:val="16"/>
                <w:szCs w:val="16"/>
              </w:rPr>
            </w:pPr>
            <w:r w:rsidRPr="00136846">
              <w:rPr>
                <w:rFonts w:ascii="Arial" w:hAnsi="Arial" w:cs="Arial"/>
                <w:sz w:val="16"/>
                <w:szCs w:val="16"/>
              </w:rPr>
              <w:t>91.559.624</w:t>
            </w:r>
          </w:p>
        </w:tc>
        <w:tc>
          <w:tcPr>
            <w:tcW w:w="1275" w:type="dxa"/>
            <w:tcBorders>
              <w:top w:val="nil"/>
              <w:left w:val="nil"/>
              <w:bottom w:val="single" w:sz="4" w:space="0" w:color="auto"/>
              <w:right w:val="single" w:sz="4" w:space="0" w:color="auto"/>
            </w:tcBorders>
            <w:shd w:val="clear" w:color="auto" w:fill="auto"/>
            <w:noWrap/>
          </w:tcPr>
          <w:p w14:paraId="70C2C7C7" w14:textId="4B331566" w:rsidR="00136846" w:rsidRPr="00534414" w:rsidRDefault="00136846" w:rsidP="00136846">
            <w:pPr>
              <w:jc w:val="right"/>
              <w:rPr>
                <w:rFonts w:ascii="Arial" w:hAnsi="Arial" w:cs="Arial"/>
                <w:sz w:val="16"/>
                <w:szCs w:val="16"/>
              </w:rPr>
            </w:pPr>
            <w:r w:rsidRPr="00534414">
              <w:rPr>
                <w:rFonts w:ascii="Arial" w:hAnsi="Arial" w:cs="Arial"/>
                <w:sz w:val="16"/>
                <w:szCs w:val="16"/>
              </w:rPr>
              <w:t>99.122.237</w:t>
            </w:r>
          </w:p>
        </w:tc>
      </w:tr>
      <w:tr w:rsidR="00136846" w:rsidRPr="006F2033" w14:paraId="449ABF93"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hideMark/>
          </w:tcPr>
          <w:p w14:paraId="20F60271"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Commodities</w:t>
            </w:r>
          </w:p>
        </w:tc>
        <w:tc>
          <w:tcPr>
            <w:tcW w:w="986" w:type="dxa"/>
            <w:tcBorders>
              <w:top w:val="nil"/>
              <w:left w:val="nil"/>
              <w:bottom w:val="single" w:sz="4" w:space="0" w:color="auto"/>
              <w:right w:val="single" w:sz="4" w:space="0" w:color="auto"/>
            </w:tcBorders>
            <w:shd w:val="clear" w:color="auto" w:fill="auto"/>
            <w:noWrap/>
            <w:vAlign w:val="center"/>
          </w:tcPr>
          <w:p w14:paraId="18C86B37" w14:textId="4B959219" w:rsidR="00136846" w:rsidRPr="002047BA" w:rsidRDefault="00136846" w:rsidP="00136846">
            <w:pPr>
              <w:jc w:val="right"/>
              <w:rPr>
                <w:rFonts w:ascii="Arial" w:hAnsi="Arial" w:cs="Arial"/>
                <w:sz w:val="16"/>
                <w:szCs w:val="16"/>
              </w:rPr>
            </w:pPr>
            <w:r w:rsidRPr="00136846">
              <w:rPr>
                <w:rFonts w:ascii="Arial" w:hAnsi="Arial" w:cs="Arial"/>
                <w:sz w:val="16"/>
                <w:szCs w:val="16"/>
              </w:rPr>
              <w:t>21.039</w:t>
            </w:r>
          </w:p>
        </w:tc>
        <w:tc>
          <w:tcPr>
            <w:tcW w:w="1136" w:type="dxa"/>
            <w:tcBorders>
              <w:top w:val="nil"/>
              <w:left w:val="nil"/>
              <w:bottom w:val="single" w:sz="4" w:space="0" w:color="auto"/>
              <w:right w:val="single" w:sz="4" w:space="0" w:color="auto"/>
            </w:tcBorders>
            <w:shd w:val="clear" w:color="auto" w:fill="auto"/>
            <w:noWrap/>
          </w:tcPr>
          <w:p w14:paraId="5BC5DF5E" w14:textId="2FD34410" w:rsidR="00136846" w:rsidRPr="00525B17" w:rsidRDefault="00136846" w:rsidP="00136846">
            <w:pPr>
              <w:jc w:val="right"/>
              <w:rPr>
                <w:rFonts w:ascii="Arial" w:hAnsi="Arial" w:cs="Arial"/>
                <w:color w:val="000000"/>
                <w:sz w:val="16"/>
                <w:szCs w:val="16"/>
                <w:lang w:eastAsia="es-AR"/>
              </w:rPr>
            </w:pPr>
            <w:r>
              <w:rPr>
                <w:rFonts w:ascii="Arial" w:hAnsi="Arial" w:cs="Arial"/>
                <w:sz w:val="16"/>
                <w:szCs w:val="16"/>
              </w:rPr>
              <w:t>5.793</w:t>
            </w:r>
          </w:p>
        </w:tc>
        <w:tc>
          <w:tcPr>
            <w:tcW w:w="993" w:type="dxa"/>
            <w:tcBorders>
              <w:top w:val="nil"/>
              <w:left w:val="nil"/>
              <w:bottom w:val="single" w:sz="4" w:space="0" w:color="auto"/>
              <w:right w:val="single" w:sz="4" w:space="0" w:color="auto"/>
            </w:tcBorders>
            <w:shd w:val="clear" w:color="auto" w:fill="auto"/>
            <w:noWrap/>
            <w:vAlign w:val="center"/>
          </w:tcPr>
          <w:p w14:paraId="5116F070" w14:textId="4DB9A34D" w:rsidR="00136846" w:rsidRPr="002047BA" w:rsidRDefault="00136846" w:rsidP="00136846">
            <w:pPr>
              <w:jc w:val="right"/>
              <w:rPr>
                <w:rFonts w:ascii="Arial" w:hAnsi="Arial" w:cs="Arial"/>
                <w:sz w:val="16"/>
                <w:szCs w:val="16"/>
              </w:rPr>
            </w:pPr>
            <w:r w:rsidRPr="00136846">
              <w:rPr>
                <w:rFonts w:ascii="Arial" w:hAnsi="Arial" w:cs="Arial"/>
                <w:sz w:val="16"/>
                <w:szCs w:val="16"/>
              </w:rPr>
              <w:t>13.593</w:t>
            </w:r>
          </w:p>
        </w:tc>
        <w:tc>
          <w:tcPr>
            <w:tcW w:w="1070" w:type="dxa"/>
            <w:tcBorders>
              <w:top w:val="nil"/>
              <w:left w:val="nil"/>
              <w:bottom w:val="single" w:sz="4" w:space="0" w:color="auto"/>
              <w:right w:val="single" w:sz="4" w:space="0" w:color="auto"/>
            </w:tcBorders>
            <w:shd w:val="clear" w:color="auto" w:fill="auto"/>
            <w:noWrap/>
          </w:tcPr>
          <w:p w14:paraId="7812E9FA" w14:textId="6BC3B5CC"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5.155</w:t>
            </w:r>
          </w:p>
        </w:tc>
        <w:tc>
          <w:tcPr>
            <w:tcW w:w="1199" w:type="dxa"/>
            <w:tcBorders>
              <w:top w:val="nil"/>
              <w:left w:val="nil"/>
              <w:bottom w:val="single" w:sz="4" w:space="0" w:color="auto"/>
              <w:right w:val="single" w:sz="4" w:space="0" w:color="auto"/>
            </w:tcBorders>
            <w:shd w:val="clear" w:color="auto" w:fill="auto"/>
            <w:noWrap/>
            <w:vAlign w:val="center"/>
          </w:tcPr>
          <w:p w14:paraId="08A70E3D" w14:textId="01C3649B" w:rsidR="00136846" w:rsidRPr="002047BA" w:rsidRDefault="00136846" w:rsidP="00136846">
            <w:pPr>
              <w:jc w:val="right"/>
              <w:rPr>
                <w:rFonts w:ascii="Arial" w:hAnsi="Arial" w:cs="Arial"/>
                <w:sz w:val="16"/>
                <w:szCs w:val="16"/>
              </w:rPr>
            </w:pPr>
            <w:r w:rsidRPr="00136846">
              <w:rPr>
                <w:rFonts w:ascii="Arial" w:hAnsi="Arial" w:cs="Arial"/>
                <w:sz w:val="16"/>
                <w:szCs w:val="16"/>
              </w:rPr>
              <w:t>2.596.034</w:t>
            </w:r>
          </w:p>
        </w:tc>
        <w:tc>
          <w:tcPr>
            <w:tcW w:w="1275" w:type="dxa"/>
            <w:tcBorders>
              <w:top w:val="nil"/>
              <w:left w:val="nil"/>
              <w:bottom w:val="single" w:sz="4" w:space="0" w:color="auto"/>
              <w:right w:val="single" w:sz="4" w:space="0" w:color="auto"/>
            </w:tcBorders>
            <w:shd w:val="clear" w:color="auto" w:fill="auto"/>
            <w:noWrap/>
          </w:tcPr>
          <w:p w14:paraId="0BD9FBBA" w14:textId="13E90C93" w:rsidR="00136846" w:rsidRPr="00534414" w:rsidRDefault="00136846" w:rsidP="00136846">
            <w:pPr>
              <w:jc w:val="right"/>
              <w:rPr>
                <w:rFonts w:ascii="Arial" w:hAnsi="Arial" w:cs="Arial"/>
                <w:sz w:val="16"/>
                <w:szCs w:val="16"/>
              </w:rPr>
            </w:pPr>
            <w:r w:rsidRPr="00534414">
              <w:rPr>
                <w:rFonts w:ascii="Arial" w:hAnsi="Arial" w:cs="Arial"/>
                <w:sz w:val="16"/>
                <w:szCs w:val="16"/>
              </w:rPr>
              <w:t>1.599.150</w:t>
            </w:r>
          </w:p>
        </w:tc>
      </w:tr>
      <w:tr w:rsidR="00136846" w:rsidRPr="006F2033" w14:paraId="5B91B888"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hideMark/>
          </w:tcPr>
          <w:p w14:paraId="7FB43C4C"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Capital</w:t>
            </w:r>
          </w:p>
        </w:tc>
        <w:tc>
          <w:tcPr>
            <w:tcW w:w="986" w:type="dxa"/>
            <w:tcBorders>
              <w:top w:val="nil"/>
              <w:left w:val="nil"/>
              <w:bottom w:val="single" w:sz="4" w:space="0" w:color="auto"/>
              <w:right w:val="single" w:sz="4" w:space="0" w:color="auto"/>
            </w:tcBorders>
            <w:shd w:val="clear" w:color="auto" w:fill="auto"/>
            <w:noWrap/>
            <w:vAlign w:val="center"/>
          </w:tcPr>
          <w:p w14:paraId="407A1DE7" w14:textId="4412A1B9" w:rsidR="00136846" w:rsidRPr="002047BA" w:rsidRDefault="00136846" w:rsidP="00136846">
            <w:pPr>
              <w:jc w:val="right"/>
              <w:rPr>
                <w:rFonts w:ascii="Arial" w:hAnsi="Arial" w:cs="Arial"/>
                <w:sz w:val="16"/>
                <w:szCs w:val="16"/>
              </w:rPr>
            </w:pPr>
            <w:r w:rsidRPr="00136846">
              <w:rPr>
                <w:rFonts w:ascii="Arial" w:hAnsi="Arial" w:cs="Arial"/>
                <w:sz w:val="16"/>
                <w:szCs w:val="16"/>
              </w:rPr>
              <w:t>129.058</w:t>
            </w:r>
          </w:p>
        </w:tc>
        <w:tc>
          <w:tcPr>
            <w:tcW w:w="1136" w:type="dxa"/>
            <w:tcBorders>
              <w:top w:val="nil"/>
              <w:left w:val="nil"/>
              <w:bottom w:val="single" w:sz="4" w:space="0" w:color="auto"/>
              <w:right w:val="single" w:sz="4" w:space="0" w:color="auto"/>
            </w:tcBorders>
            <w:shd w:val="clear" w:color="auto" w:fill="auto"/>
            <w:noWrap/>
          </w:tcPr>
          <w:p w14:paraId="27DA0F25" w14:textId="56E6E62A"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18</w:t>
            </w:r>
            <w:r>
              <w:rPr>
                <w:rFonts w:ascii="Arial" w:hAnsi="Arial" w:cs="Arial"/>
                <w:sz w:val="16"/>
                <w:szCs w:val="16"/>
              </w:rPr>
              <w:t>0.572</w:t>
            </w:r>
          </w:p>
        </w:tc>
        <w:tc>
          <w:tcPr>
            <w:tcW w:w="993" w:type="dxa"/>
            <w:tcBorders>
              <w:top w:val="nil"/>
              <w:left w:val="nil"/>
              <w:bottom w:val="single" w:sz="4" w:space="0" w:color="auto"/>
              <w:right w:val="single" w:sz="4" w:space="0" w:color="auto"/>
            </w:tcBorders>
            <w:shd w:val="clear" w:color="auto" w:fill="auto"/>
            <w:noWrap/>
            <w:vAlign w:val="center"/>
          </w:tcPr>
          <w:p w14:paraId="7383CB51" w14:textId="65BA9F9B" w:rsidR="00136846" w:rsidRPr="002047BA" w:rsidRDefault="00136846" w:rsidP="00136846">
            <w:pPr>
              <w:jc w:val="right"/>
              <w:rPr>
                <w:rFonts w:ascii="Arial" w:hAnsi="Arial" w:cs="Arial"/>
                <w:sz w:val="16"/>
                <w:szCs w:val="16"/>
              </w:rPr>
            </w:pPr>
            <w:r w:rsidRPr="00136846">
              <w:rPr>
                <w:rFonts w:ascii="Arial" w:hAnsi="Arial" w:cs="Arial"/>
                <w:sz w:val="16"/>
                <w:szCs w:val="16"/>
              </w:rPr>
              <w:t>128.718</w:t>
            </w:r>
          </w:p>
        </w:tc>
        <w:tc>
          <w:tcPr>
            <w:tcW w:w="1070" w:type="dxa"/>
            <w:tcBorders>
              <w:top w:val="nil"/>
              <w:left w:val="nil"/>
              <w:bottom w:val="single" w:sz="4" w:space="0" w:color="auto"/>
              <w:right w:val="single" w:sz="4" w:space="0" w:color="auto"/>
            </w:tcBorders>
            <w:shd w:val="clear" w:color="auto" w:fill="auto"/>
            <w:noWrap/>
          </w:tcPr>
          <w:p w14:paraId="221BCA34" w14:textId="51D6BCAC"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180.362</w:t>
            </w:r>
          </w:p>
        </w:tc>
        <w:tc>
          <w:tcPr>
            <w:tcW w:w="1199" w:type="dxa"/>
            <w:tcBorders>
              <w:top w:val="nil"/>
              <w:left w:val="nil"/>
              <w:bottom w:val="single" w:sz="4" w:space="0" w:color="auto"/>
              <w:right w:val="single" w:sz="4" w:space="0" w:color="auto"/>
            </w:tcBorders>
            <w:shd w:val="clear" w:color="auto" w:fill="auto"/>
            <w:noWrap/>
            <w:vAlign w:val="center"/>
          </w:tcPr>
          <w:p w14:paraId="1F28F666" w14:textId="3FF74F0C" w:rsidR="00136846" w:rsidRPr="002047BA" w:rsidRDefault="00136846" w:rsidP="00136846">
            <w:pPr>
              <w:jc w:val="right"/>
              <w:rPr>
                <w:rFonts w:ascii="Arial" w:hAnsi="Arial" w:cs="Arial"/>
                <w:sz w:val="16"/>
                <w:szCs w:val="16"/>
              </w:rPr>
            </w:pPr>
            <w:r w:rsidRPr="00136846">
              <w:rPr>
                <w:rFonts w:ascii="Arial" w:hAnsi="Arial" w:cs="Arial"/>
                <w:sz w:val="16"/>
                <w:szCs w:val="16"/>
              </w:rPr>
              <w:t>36.057.519</w:t>
            </w:r>
          </w:p>
        </w:tc>
        <w:tc>
          <w:tcPr>
            <w:tcW w:w="1275" w:type="dxa"/>
            <w:tcBorders>
              <w:top w:val="nil"/>
              <w:left w:val="nil"/>
              <w:bottom w:val="single" w:sz="4" w:space="0" w:color="auto"/>
              <w:right w:val="single" w:sz="4" w:space="0" w:color="auto"/>
            </w:tcBorders>
            <w:shd w:val="clear" w:color="auto" w:fill="auto"/>
            <w:noWrap/>
          </w:tcPr>
          <w:p w14:paraId="018161CD" w14:textId="408F319D" w:rsidR="00136846" w:rsidRPr="00534414" w:rsidRDefault="00136846" w:rsidP="00136846">
            <w:pPr>
              <w:jc w:val="right"/>
              <w:rPr>
                <w:rFonts w:ascii="Arial" w:hAnsi="Arial" w:cs="Arial"/>
                <w:sz w:val="16"/>
                <w:szCs w:val="16"/>
              </w:rPr>
            </w:pPr>
            <w:r w:rsidRPr="00534414">
              <w:rPr>
                <w:rFonts w:ascii="Arial" w:hAnsi="Arial" w:cs="Arial"/>
                <w:sz w:val="16"/>
                <w:szCs w:val="16"/>
              </w:rPr>
              <w:t>67.052.867</w:t>
            </w:r>
          </w:p>
        </w:tc>
      </w:tr>
      <w:tr w:rsidR="00136846" w:rsidRPr="006F2033" w14:paraId="6836E16A"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hideMark/>
          </w:tcPr>
          <w:p w14:paraId="0061290E"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Inversión</w:t>
            </w:r>
          </w:p>
        </w:tc>
        <w:tc>
          <w:tcPr>
            <w:tcW w:w="986" w:type="dxa"/>
            <w:tcBorders>
              <w:top w:val="nil"/>
              <w:left w:val="nil"/>
              <w:bottom w:val="single" w:sz="4" w:space="0" w:color="auto"/>
              <w:right w:val="single" w:sz="4" w:space="0" w:color="auto"/>
            </w:tcBorders>
            <w:shd w:val="clear" w:color="auto" w:fill="auto"/>
            <w:noWrap/>
            <w:vAlign w:val="center"/>
          </w:tcPr>
          <w:p w14:paraId="2A70AF64" w14:textId="19D30B7A" w:rsidR="00136846" w:rsidRPr="002047BA" w:rsidRDefault="00136846" w:rsidP="00136846">
            <w:pPr>
              <w:jc w:val="right"/>
              <w:rPr>
                <w:rFonts w:ascii="Arial" w:hAnsi="Arial" w:cs="Arial"/>
                <w:sz w:val="16"/>
                <w:szCs w:val="16"/>
              </w:rPr>
            </w:pPr>
            <w:r w:rsidRPr="00136846">
              <w:rPr>
                <w:rFonts w:ascii="Arial" w:hAnsi="Arial" w:cs="Arial"/>
                <w:sz w:val="16"/>
                <w:szCs w:val="16"/>
              </w:rPr>
              <w:t>135.360</w:t>
            </w:r>
          </w:p>
        </w:tc>
        <w:tc>
          <w:tcPr>
            <w:tcW w:w="1136" w:type="dxa"/>
            <w:tcBorders>
              <w:top w:val="nil"/>
              <w:left w:val="nil"/>
              <w:bottom w:val="single" w:sz="4" w:space="0" w:color="auto"/>
              <w:right w:val="single" w:sz="4" w:space="0" w:color="auto"/>
            </w:tcBorders>
            <w:shd w:val="clear" w:color="auto" w:fill="auto"/>
            <w:noWrap/>
          </w:tcPr>
          <w:p w14:paraId="400556BD" w14:textId="7318B69E"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1</w:t>
            </w:r>
            <w:r>
              <w:rPr>
                <w:rFonts w:ascii="Arial" w:hAnsi="Arial" w:cs="Arial"/>
                <w:sz w:val="16"/>
                <w:szCs w:val="16"/>
              </w:rPr>
              <w:t>79.267</w:t>
            </w:r>
          </w:p>
        </w:tc>
        <w:tc>
          <w:tcPr>
            <w:tcW w:w="993" w:type="dxa"/>
            <w:tcBorders>
              <w:top w:val="nil"/>
              <w:left w:val="nil"/>
              <w:bottom w:val="single" w:sz="4" w:space="0" w:color="auto"/>
              <w:right w:val="single" w:sz="4" w:space="0" w:color="auto"/>
            </w:tcBorders>
            <w:shd w:val="clear" w:color="auto" w:fill="auto"/>
            <w:noWrap/>
            <w:vAlign w:val="center"/>
          </w:tcPr>
          <w:p w14:paraId="27DD567F" w14:textId="4389E6F5" w:rsidR="00136846" w:rsidRPr="002047BA" w:rsidRDefault="00136846" w:rsidP="00136846">
            <w:pPr>
              <w:jc w:val="right"/>
              <w:rPr>
                <w:rFonts w:ascii="Arial" w:hAnsi="Arial" w:cs="Arial"/>
                <w:sz w:val="16"/>
                <w:szCs w:val="16"/>
              </w:rPr>
            </w:pPr>
            <w:r w:rsidRPr="00136846">
              <w:rPr>
                <w:rFonts w:ascii="Arial" w:hAnsi="Arial" w:cs="Arial"/>
                <w:sz w:val="16"/>
                <w:szCs w:val="16"/>
              </w:rPr>
              <w:t>135.291</w:t>
            </w:r>
          </w:p>
        </w:tc>
        <w:tc>
          <w:tcPr>
            <w:tcW w:w="1070" w:type="dxa"/>
            <w:tcBorders>
              <w:top w:val="nil"/>
              <w:left w:val="nil"/>
              <w:bottom w:val="single" w:sz="4" w:space="0" w:color="auto"/>
              <w:right w:val="single" w:sz="4" w:space="0" w:color="auto"/>
            </w:tcBorders>
            <w:shd w:val="clear" w:color="auto" w:fill="auto"/>
            <w:noWrap/>
          </w:tcPr>
          <w:p w14:paraId="714C04B3" w14:textId="0F35B4B9"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179.023</w:t>
            </w:r>
          </w:p>
        </w:tc>
        <w:tc>
          <w:tcPr>
            <w:tcW w:w="1199" w:type="dxa"/>
            <w:tcBorders>
              <w:top w:val="nil"/>
              <w:left w:val="nil"/>
              <w:bottom w:val="single" w:sz="4" w:space="0" w:color="auto"/>
              <w:right w:val="single" w:sz="4" w:space="0" w:color="auto"/>
            </w:tcBorders>
            <w:shd w:val="clear" w:color="auto" w:fill="auto"/>
            <w:noWrap/>
            <w:vAlign w:val="center"/>
          </w:tcPr>
          <w:p w14:paraId="0C5D3A92" w14:textId="0DA056CE" w:rsidR="00136846" w:rsidRPr="002047BA" w:rsidRDefault="00136846" w:rsidP="00136846">
            <w:pPr>
              <w:jc w:val="right"/>
              <w:rPr>
                <w:rFonts w:ascii="Arial" w:hAnsi="Arial" w:cs="Arial"/>
                <w:sz w:val="16"/>
                <w:szCs w:val="16"/>
              </w:rPr>
            </w:pPr>
            <w:r w:rsidRPr="00136846">
              <w:rPr>
                <w:rFonts w:ascii="Arial" w:hAnsi="Arial" w:cs="Arial"/>
                <w:sz w:val="16"/>
                <w:szCs w:val="16"/>
              </w:rPr>
              <w:t>442.160.447</w:t>
            </w:r>
          </w:p>
        </w:tc>
        <w:tc>
          <w:tcPr>
            <w:tcW w:w="1275" w:type="dxa"/>
            <w:tcBorders>
              <w:top w:val="nil"/>
              <w:left w:val="nil"/>
              <w:bottom w:val="single" w:sz="4" w:space="0" w:color="auto"/>
              <w:right w:val="single" w:sz="4" w:space="0" w:color="auto"/>
            </w:tcBorders>
            <w:shd w:val="clear" w:color="auto" w:fill="auto"/>
            <w:noWrap/>
          </w:tcPr>
          <w:p w14:paraId="6F9CAA1C" w14:textId="5C6B158E" w:rsidR="00136846" w:rsidRPr="00534414" w:rsidRDefault="00136846" w:rsidP="00136846">
            <w:pPr>
              <w:jc w:val="right"/>
              <w:rPr>
                <w:rFonts w:ascii="Arial" w:hAnsi="Arial" w:cs="Arial"/>
                <w:sz w:val="16"/>
                <w:szCs w:val="16"/>
              </w:rPr>
            </w:pPr>
            <w:r w:rsidRPr="00534414">
              <w:rPr>
                <w:rFonts w:ascii="Arial" w:hAnsi="Arial" w:cs="Arial"/>
                <w:sz w:val="16"/>
                <w:szCs w:val="16"/>
              </w:rPr>
              <w:t>888.100.323</w:t>
            </w:r>
          </w:p>
        </w:tc>
      </w:tr>
      <w:tr w:rsidR="00136846" w:rsidRPr="006F2033" w14:paraId="751C8B29"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hideMark/>
          </w:tcPr>
          <w:p w14:paraId="1C72996B"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Balanceado</w:t>
            </w:r>
          </w:p>
        </w:tc>
        <w:tc>
          <w:tcPr>
            <w:tcW w:w="986" w:type="dxa"/>
            <w:tcBorders>
              <w:top w:val="nil"/>
              <w:left w:val="nil"/>
              <w:bottom w:val="single" w:sz="4" w:space="0" w:color="auto"/>
              <w:right w:val="single" w:sz="4" w:space="0" w:color="auto"/>
            </w:tcBorders>
            <w:shd w:val="clear" w:color="auto" w:fill="auto"/>
            <w:noWrap/>
            <w:vAlign w:val="center"/>
          </w:tcPr>
          <w:p w14:paraId="737465A6" w14:textId="506C15EB" w:rsidR="00136846" w:rsidRPr="002047BA" w:rsidRDefault="00136846" w:rsidP="00136846">
            <w:pPr>
              <w:jc w:val="right"/>
              <w:rPr>
                <w:rFonts w:ascii="Arial" w:hAnsi="Arial" w:cs="Arial"/>
                <w:sz w:val="16"/>
                <w:szCs w:val="16"/>
              </w:rPr>
            </w:pPr>
            <w:r w:rsidRPr="00136846">
              <w:rPr>
                <w:rFonts w:ascii="Arial" w:hAnsi="Arial" w:cs="Arial"/>
                <w:sz w:val="16"/>
                <w:szCs w:val="16"/>
              </w:rPr>
              <w:t>623.862</w:t>
            </w:r>
          </w:p>
        </w:tc>
        <w:tc>
          <w:tcPr>
            <w:tcW w:w="1136" w:type="dxa"/>
            <w:tcBorders>
              <w:top w:val="nil"/>
              <w:left w:val="nil"/>
              <w:bottom w:val="single" w:sz="4" w:space="0" w:color="auto"/>
              <w:right w:val="single" w:sz="4" w:space="0" w:color="auto"/>
            </w:tcBorders>
            <w:shd w:val="clear" w:color="auto" w:fill="auto"/>
            <w:noWrap/>
          </w:tcPr>
          <w:p w14:paraId="536C91F5" w14:textId="1622B1AE"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6</w:t>
            </w:r>
            <w:r>
              <w:rPr>
                <w:rFonts w:ascii="Arial" w:hAnsi="Arial" w:cs="Arial"/>
                <w:sz w:val="16"/>
                <w:szCs w:val="16"/>
              </w:rPr>
              <w:t>12.858</w:t>
            </w:r>
          </w:p>
        </w:tc>
        <w:tc>
          <w:tcPr>
            <w:tcW w:w="993" w:type="dxa"/>
            <w:tcBorders>
              <w:top w:val="nil"/>
              <w:left w:val="nil"/>
              <w:bottom w:val="single" w:sz="4" w:space="0" w:color="auto"/>
              <w:right w:val="single" w:sz="4" w:space="0" w:color="auto"/>
            </w:tcBorders>
            <w:shd w:val="clear" w:color="auto" w:fill="auto"/>
            <w:noWrap/>
            <w:vAlign w:val="center"/>
          </w:tcPr>
          <w:p w14:paraId="07283933" w14:textId="1C6E2331" w:rsidR="00136846" w:rsidRPr="002047BA" w:rsidRDefault="00136846" w:rsidP="00136846">
            <w:pPr>
              <w:jc w:val="right"/>
              <w:rPr>
                <w:rFonts w:ascii="Arial" w:hAnsi="Arial" w:cs="Arial"/>
                <w:sz w:val="16"/>
                <w:szCs w:val="16"/>
              </w:rPr>
            </w:pPr>
            <w:r w:rsidRPr="00136846">
              <w:rPr>
                <w:rFonts w:ascii="Arial" w:hAnsi="Arial" w:cs="Arial"/>
                <w:sz w:val="16"/>
                <w:szCs w:val="16"/>
              </w:rPr>
              <w:t>623.293</w:t>
            </w:r>
          </w:p>
        </w:tc>
        <w:tc>
          <w:tcPr>
            <w:tcW w:w="1070" w:type="dxa"/>
            <w:tcBorders>
              <w:top w:val="nil"/>
              <w:left w:val="nil"/>
              <w:bottom w:val="single" w:sz="4" w:space="0" w:color="auto"/>
              <w:right w:val="single" w:sz="4" w:space="0" w:color="auto"/>
            </w:tcBorders>
            <w:shd w:val="clear" w:color="auto" w:fill="auto"/>
            <w:noWrap/>
          </w:tcPr>
          <w:p w14:paraId="2D272129" w14:textId="139D2AE7"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612.374</w:t>
            </w:r>
          </w:p>
        </w:tc>
        <w:tc>
          <w:tcPr>
            <w:tcW w:w="1199" w:type="dxa"/>
            <w:tcBorders>
              <w:top w:val="nil"/>
              <w:left w:val="nil"/>
              <w:bottom w:val="single" w:sz="4" w:space="0" w:color="auto"/>
              <w:right w:val="single" w:sz="4" w:space="0" w:color="auto"/>
            </w:tcBorders>
            <w:shd w:val="clear" w:color="auto" w:fill="auto"/>
            <w:noWrap/>
            <w:vAlign w:val="center"/>
          </w:tcPr>
          <w:p w14:paraId="512FEE3F" w14:textId="5B2EE657" w:rsidR="00136846" w:rsidRPr="002047BA" w:rsidRDefault="00136846" w:rsidP="00136846">
            <w:pPr>
              <w:jc w:val="right"/>
              <w:rPr>
                <w:rFonts w:ascii="Arial" w:hAnsi="Arial" w:cs="Arial"/>
                <w:sz w:val="16"/>
                <w:szCs w:val="16"/>
              </w:rPr>
            </w:pPr>
            <w:r w:rsidRPr="00136846">
              <w:rPr>
                <w:rFonts w:ascii="Arial" w:hAnsi="Arial" w:cs="Arial"/>
                <w:sz w:val="16"/>
                <w:szCs w:val="16"/>
              </w:rPr>
              <w:t>249.317.925</w:t>
            </w:r>
          </w:p>
        </w:tc>
        <w:tc>
          <w:tcPr>
            <w:tcW w:w="1275" w:type="dxa"/>
            <w:tcBorders>
              <w:top w:val="nil"/>
              <w:left w:val="nil"/>
              <w:bottom w:val="single" w:sz="4" w:space="0" w:color="auto"/>
              <w:right w:val="single" w:sz="4" w:space="0" w:color="auto"/>
            </w:tcBorders>
            <w:shd w:val="clear" w:color="auto" w:fill="auto"/>
            <w:noWrap/>
          </w:tcPr>
          <w:p w14:paraId="36D3C440" w14:textId="47A30561" w:rsidR="00136846" w:rsidRPr="00534414" w:rsidRDefault="00136846" w:rsidP="00136846">
            <w:pPr>
              <w:jc w:val="right"/>
              <w:rPr>
                <w:rFonts w:ascii="Arial" w:hAnsi="Arial" w:cs="Arial"/>
                <w:sz w:val="16"/>
                <w:szCs w:val="16"/>
              </w:rPr>
            </w:pPr>
            <w:r w:rsidRPr="00534414">
              <w:rPr>
                <w:rFonts w:ascii="Arial" w:hAnsi="Arial" w:cs="Arial"/>
                <w:sz w:val="16"/>
                <w:szCs w:val="16"/>
              </w:rPr>
              <w:t>359.887.367</w:t>
            </w:r>
          </w:p>
        </w:tc>
      </w:tr>
      <w:tr w:rsidR="00136846" w:rsidRPr="006F2033" w14:paraId="754E9816"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hideMark/>
          </w:tcPr>
          <w:p w14:paraId="6313A1C6"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Renta Mixta</w:t>
            </w:r>
          </w:p>
        </w:tc>
        <w:tc>
          <w:tcPr>
            <w:tcW w:w="986" w:type="dxa"/>
            <w:tcBorders>
              <w:top w:val="nil"/>
              <w:left w:val="nil"/>
              <w:bottom w:val="single" w:sz="4" w:space="0" w:color="auto"/>
              <w:right w:val="single" w:sz="4" w:space="0" w:color="auto"/>
            </w:tcBorders>
            <w:shd w:val="clear" w:color="auto" w:fill="auto"/>
            <w:noWrap/>
            <w:vAlign w:val="center"/>
          </w:tcPr>
          <w:p w14:paraId="033208C4" w14:textId="5D91C6F7" w:rsidR="00136846" w:rsidRPr="002047BA" w:rsidRDefault="00136846" w:rsidP="00136846">
            <w:pPr>
              <w:jc w:val="right"/>
              <w:rPr>
                <w:rFonts w:ascii="Arial" w:hAnsi="Arial" w:cs="Arial"/>
                <w:sz w:val="16"/>
                <w:szCs w:val="16"/>
              </w:rPr>
            </w:pPr>
            <w:r w:rsidRPr="00136846">
              <w:rPr>
                <w:rFonts w:ascii="Arial" w:hAnsi="Arial" w:cs="Arial"/>
                <w:sz w:val="16"/>
                <w:szCs w:val="16"/>
              </w:rPr>
              <w:t>133.255</w:t>
            </w:r>
          </w:p>
        </w:tc>
        <w:tc>
          <w:tcPr>
            <w:tcW w:w="1136" w:type="dxa"/>
            <w:tcBorders>
              <w:top w:val="nil"/>
              <w:left w:val="nil"/>
              <w:bottom w:val="single" w:sz="4" w:space="0" w:color="auto"/>
              <w:right w:val="single" w:sz="4" w:space="0" w:color="auto"/>
            </w:tcBorders>
            <w:shd w:val="clear" w:color="auto" w:fill="auto"/>
            <w:noWrap/>
          </w:tcPr>
          <w:p w14:paraId="318706E5" w14:textId="57D2470B"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58.586</w:t>
            </w:r>
          </w:p>
        </w:tc>
        <w:tc>
          <w:tcPr>
            <w:tcW w:w="993" w:type="dxa"/>
            <w:tcBorders>
              <w:top w:val="nil"/>
              <w:left w:val="nil"/>
              <w:bottom w:val="single" w:sz="4" w:space="0" w:color="auto"/>
              <w:right w:val="single" w:sz="4" w:space="0" w:color="auto"/>
            </w:tcBorders>
            <w:shd w:val="clear" w:color="auto" w:fill="auto"/>
            <w:noWrap/>
            <w:vAlign w:val="center"/>
          </w:tcPr>
          <w:p w14:paraId="242041CF" w14:textId="4848CEA4" w:rsidR="00136846" w:rsidRPr="002047BA" w:rsidRDefault="00136846" w:rsidP="00136846">
            <w:pPr>
              <w:jc w:val="right"/>
              <w:rPr>
                <w:rFonts w:ascii="Arial" w:hAnsi="Arial" w:cs="Arial"/>
                <w:sz w:val="16"/>
                <w:szCs w:val="16"/>
              </w:rPr>
            </w:pPr>
            <w:r w:rsidRPr="00136846">
              <w:rPr>
                <w:rFonts w:ascii="Arial" w:hAnsi="Arial" w:cs="Arial"/>
                <w:sz w:val="16"/>
                <w:szCs w:val="16"/>
              </w:rPr>
              <w:t>133.147</w:t>
            </w:r>
          </w:p>
        </w:tc>
        <w:tc>
          <w:tcPr>
            <w:tcW w:w="1070" w:type="dxa"/>
            <w:tcBorders>
              <w:top w:val="nil"/>
              <w:left w:val="nil"/>
              <w:bottom w:val="single" w:sz="4" w:space="0" w:color="auto"/>
              <w:right w:val="single" w:sz="4" w:space="0" w:color="auto"/>
            </w:tcBorders>
            <w:shd w:val="clear" w:color="auto" w:fill="auto"/>
            <w:noWrap/>
          </w:tcPr>
          <w:p w14:paraId="048958AD" w14:textId="41F8039B"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58.557</w:t>
            </w:r>
          </w:p>
        </w:tc>
        <w:tc>
          <w:tcPr>
            <w:tcW w:w="1199" w:type="dxa"/>
            <w:tcBorders>
              <w:top w:val="nil"/>
              <w:left w:val="nil"/>
              <w:bottom w:val="single" w:sz="4" w:space="0" w:color="auto"/>
              <w:right w:val="single" w:sz="4" w:space="0" w:color="auto"/>
            </w:tcBorders>
            <w:shd w:val="clear" w:color="auto" w:fill="auto"/>
            <w:noWrap/>
            <w:vAlign w:val="center"/>
          </w:tcPr>
          <w:p w14:paraId="241B9A59" w14:textId="314778B7" w:rsidR="00136846" w:rsidRPr="002047BA" w:rsidRDefault="00136846" w:rsidP="00136846">
            <w:pPr>
              <w:jc w:val="right"/>
              <w:rPr>
                <w:rFonts w:ascii="Arial" w:hAnsi="Arial" w:cs="Arial"/>
                <w:sz w:val="16"/>
                <w:szCs w:val="16"/>
              </w:rPr>
            </w:pPr>
            <w:r w:rsidRPr="00136846">
              <w:rPr>
                <w:rFonts w:ascii="Arial" w:hAnsi="Arial" w:cs="Arial"/>
                <w:sz w:val="16"/>
                <w:szCs w:val="16"/>
              </w:rPr>
              <w:t>76.562.093</w:t>
            </w:r>
          </w:p>
        </w:tc>
        <w:tc>
          <w:tcPr>
            <w:tcW w:w="1275" w:type="dxa"/>
            <w:tcBorders>
              <w:top w:val="nil"/>
              <w:left w:val="nil"/>
              <w:bottom w:val="single" w:sz="4" w:space="0" w:color="auto"/>
              <w:right w:val="single" w:sz="4" w:space="0" w:color="auto"/>
            </w:tcBorders>
            <w:shd w:val="clear" w:color="auto" w:fill="auto"/>
            <w:noWrap/>
          </w:tcPr>
          <w:p w14:paraId="51FD1655" w14:textId="4C071170" w:rsidR="00136846" w:rsidRPr="00534414" w:rsidRDefault="00136846" w:rsidP="00136846">
            <w:pPr>
              <w:jc w:val="right"/>
              <w:rPr>
                <w:rFonts w:ascii="Arial" w:hAnsi="Arial" w:cs="Arial"/>
                <w:sz w:val="16"/>
                <w:szCs w:val="16"/>
              </w:rPr>
            </w:pPr>
            <w:r w:rsidRPr="00534414">
              <w:rPr>
                <w:rFonts w:ascii="Arial" w:hAnsi="Arial" w:cs="Arial"/>
                <w:sz w:val="16"/>
                <w:szCs w:val="16"/>
              </w:rPr>
              <w:t>44.863.1</w:t>
            </w:r>
            <w:r>
              <w:rPr>
                <w:rFonts w:ascii="Arial" w:hAnsi="Arial" w:cs="Arial"/>
                <w:sz w:val="16"/>
                <w:szCs w:val="16"/>
              </w:rPr>
              <w:t>20</w:t>
            </w:r>
          </w:p>
        </w:tc>
      </w:tr>
      <w:tr w:rsidR="00136846" w:rsidRPr="006F2033" w14:paraId="4152B133"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center"/>
            <w:hideMark/>
          </w:tcPr>
          <w:p w14:paraId="632D82B2" w14:textId="77777777"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Renta Mixta en Dólares</w:t>
            </w:r>
          </w:p>
        </w:tc>
        <w:tc>
          <w:tcPr>
            <w:tcW w:w="986" w:type="dxa"/>
            <w:tcBorders>
              <w:top w:val="nil"/>
              <w:left w:val="nil"/>
              <w:bottom w:val="single" w:sz="4" w:space="0" w:color="auto"/>
              <w:right w:val="single" w:sz="4" w:space="0" w:color="auto"/>
            </w:tcBorders>
            <w:shd w:val="clear" w:color="auto" w:fill="auto"/>
            <w:noWrap/>
            <w:vAlign w:val="center"/>
          </w:tcPr>
          <w:p w14:paraId="63FBC67F" w14:textId="3C8ACF77" w:rsidR="00136846" w:rsidRPr="002047BA" w:rsidRDefault="00136846" w:rsidP="00136846">
            <w:pPr>
              <w:jc w:val="right"/>
              <w:rPr>
                <w:rFonts w:ascii="Arial" w:hAnsi="Arial" w:cs="Arial"/>
                <w:sz w:val="16"/>
                <w:szCs w:val="16"/>
              </w:rPr>
            </w:pPr>
            <w:r w:rsidRPr="00136846">
              <w:rPr>
                <w:rFonts w:ascii="Arial" w:hAnsi="Arial" w:cs="Arial"/>
                <w:sz w:val="16"/>
                <w:szCs w:val="16"/>
              </w:rPr>
              <w:t>130.212</w:t>
            </w:r>
          </w:p>
        </w:tc>
        <w:tc>
          <w:tcPr>
            <w:tcW w:w="1136" w:type="dxa"/>
            <w:tcBorders>
              <w:top w:val="nil"/>
              <w:left w:val="nil"/>
              <w:bottom w:val="single" w:sz="4" w:space="0" w:color="auto"/>
              <w:right w:val="single" w:sz="4" w:space="0" w:color="auto"/>
            </w:tcBorders>
            <w:shd w:val="clear" w:color="auto" w:fill="auto"/>
            <w:noWrap/>
            <w:vAlign w:val="center"/>
          </w:tcPr>
          <w:p w14:paraId="4CFADC30" w14:textId="4634DC7D"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47</w:t>
            </w:r>
            <w:r>
              <w:rPr>
                <w:rFonts w:ascii="Arial" w:hAnsi="Arial" w:cs="Arial"/>
                <w:sz w:val="16"/>
                <w:szCs w:val="16"/>
              </w:rPr>
              <w:t>1.329</w:t>
            </w:r>
          </w:p>
        </w:tc>
        <w:tc>
          <w:tcPr>
            <w:tcW w:w="993" w:type="dxa"/>
            <w:tcBorders>
              <w:top w:val="nil"/>
              <w:left w:val="nil"/>
              <w:bottom w:val="single" w:sz="4" w:space="0" w:color="auto"/>
              <w:right w:val="single" w:sz="4" w:space="0" w:color="auto"/>
            </w:tcBorders>
            <w:shd w:val="clear" w:color="auto" w:fill="auto"/>
            <w:noWrap/>
            <w:vAlign w:val="center"/>
          </w:tcPr>
          <w:p w14:paraId="4EDE0669" w14:textId="2C2C3A21" w:rsidR="00136846" w:rsidRPr="002047BA" w:rsidRDefault="00136846" w:rsidP="00136846">
            <w:pPr>
              <w:jc w:val="right"/>
              <w:rPr>
                <w:rFonts w:ascii="Arial" w:hAnsi="Arial" w:cs="Arial"/>
                <w:sz w:val="16"/>
                <w:szCs w:val="16"/>
              </w:rPr>
            </w:pPr>
            <w:r w:rsidRPr="00136846">
              <w:rPr>
                <w:rFonts w:ascii="Arial" w:hAnsi="Arial" w:cs="Arial"/>
                <w:sz w:val="16"/>
                <w:szCs w:val="16"/>
              </w:rPr>
              <w:t>129.733</w:t>
            </w:r>
          </w:p>
        </w:tc>
        <w:tc>
          <w:tcPr>
            <w:tcW w:w="1070" w:type="dxa"/>
            <w:tcBorders>
              <w:top w:val="nil"/>
              <w:left w:val="nil"/>
              <w:bottom w:val="single" w:sz="4" w:space="0" w:color="auto"/>
              <w:right w:val="single" w:sz="4" w:space="0" w:color="auto"/>
            </w:tcBorders>
            <w:shd w:val="clear" w:color="auto" w:fill="auto"/>
            <w:noWrap/>
            <w:vAlign w:val="center"/>
          </w:tcPr>
          <w:p w14:paraId="36A8D658" w14:textId="68BCB96F" w:rsidR="00136846" w:rsidRPr="00525B17" w:rsidRDefault="00136846" w:rsidP="00136846">
            <w:pPr>
              <w:jc w:val="right"/>
              <w:rPr>
                <w:rFonts w:ascii="Arial" w:hAnsi="Arial" w:cs="Arial"/>
                <w:color w:val="000000"/>
                <w:sz w:val="16"/>
                <w:szCs w:val="16"/>
                <w:lang w:eastAsia="es-AR"/>
              </w:rPr>
            </w:pPr>
            <w:r w:rsidRPr="00534414">
              <w:rPr>
                <w:rFonts w:ascii="Arial" w:hAnsi="Arial" w:cs="Arial"/>
                <w:sz w:val="16"/>
                <w:szCs w:val="16"/>
              </w:rPr>
              <w:t>4</w:t>
            </w:r>
            <w:r>
              <w:rPr>
                <w:rFonts w:ascii="Arial" w:hAnsi="Arial" w:cs="Arial"/>
                <w:sz w:val="16"/>
                <w:szCs w:val="16"/>
              </w:rPr>
              <w:t>.695.131</w:t>
            </w:r>
          </w:p>
        </w:tc>
        <w:tc>
          <w:tcPr>
            <w:tcW w:w="1199" w:type="dxa"/>
            <w:tcBorders>
              <w:top w:val="nil"/>
              <w:left w:val="nil"/>
              <w:bottom w:val="single" w:sz="4" w:space="0" w:color="auto"/>
              <w:right w:val="single" w:sz="4" w:space="0" w:color="auto"/>
            </w:tcBorders>
            <w:shd w:val="clear" w:color="auto" w:fill="auto"/>
            <w:noWrap/>
            <w:vAlign w:val="center"/>
          </w:tcPr>
          <w:p w14:paraId="0633AC8A" w14:textId="1DEEC78B" w:rsidR="00136846" w:rsidRPr="002047BA" w:rsidRDefault="00136846" w:rsidP="00136846">
            <w:pPr>
              <w:jc w:val="right"/>
              <w:rPr>
                <w:rFonts w:ascii="Arial" w:hAnsi="Arial" w:cs="Arial"/>
                <w:sz w:val="16"/>
                <w:szCs w:val="16"/>
              </w:rPr>
            </w:pPr>
            <w:r w:rsidRPr="00136846">
              <w:rPr>
                <w:rFonts w:ascii="Arial" w:hAnsi="Arial" w:cs="Arial"/>
                <w:sz w:val="16"/>
                <w:szCs w:val="16"/>
              </w:rPr>
              <w:t>2.815.589</w:t>
            </w:r>
          </w:p>
        </w:tc>
        <w:tc>
          <w:tcPr>
            <w:tcW w:w="1275" w:type="dxa"/>
            <w:tcBorders>
              <w:top w:val="nil"/>
              <w:left w:val="nil"/>
              <w:bottom w:val="single" w:sz="4" w:space="0" w:color="auto"/>
              <w:right w:val="single" w:sz="4" w:space="0" w:color="auto"/>
            </w:tcBorders>
            <w:shd w:val="clear" w:color="auto" w:fill="auto"/>
            <w:noWrap/>
            <w:vAlign w:val="center"/>
          </w:tcPr>
          <w:p w14:paraId="076ED0F3" w14:textId="0D6C3F9B" w:rsidR="00136846" w:rsidRPr="00534414" w:rsidRDefault="00136846" w:rsidP="00136846">
            <w:pPr>
              <w:jc w:val="right"/>
              <w:rPr>
                <w:rFonts w:ascii="Arial" w:hAnsi="Arial" w:cs="Arial"/>
                <w:sz w:val="16"/>
                <w:szCs w:val="16"/>
              </w:rPr>
            </w:pPr>
            <w:r w:rsidRPr="00534414">
              <w:rPr>
                <w:rFonts w:ascii="Arial" w:hAnsi="Arial" w:cs="Arial"/>
                <w:sz w:val="16"/>
                <w:szCs w:val="16"/>
              </w:rPr>
              <w:t>13.892.155</w:t>
            </w:r>
          </w:p>
        </w:tc>
      </w:tr>
      <w:tr w:rsidR="00136846" w:rsidRPr="006F2033" w14:paraId="774B08E4"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tcPr>
          <w:p w14:paraId="18DCFC7B" w14:textId="763A8A2D" w:rsidR="00136846" w:rsidRPr="00EC349E" w:rsidRDefault="00136846" w:rsidP="00136846">
            <w:pPr>
              <w:rPr>
                <w:rFonts w:ascii="Arial" w:hAnsi="Arial" w:cs="Arial"/>
                <w:color w:val="000000"/>
                <w:sz w:val="16"/>
                <w:szCs w:val="18"/>
                <w:lang w:eastAsia="es-AR"/>
              </w:rPr>
            </w:pPr>
            <w:r w:rsidRPr="00EC349E">
              <w:rPr>
                <w:rFonts w:ascii="Arial" w:hAnsi="Arial" w:cs="Arial"/>
                <w:color w:val="000000"/>
                <w:sz w:val="16"/>
                <w:szCs w:val="18"/>
                <w:lang w:eastAsia="es-AR"/>
              </w:rPr>
              <w:t>Premier Performance Dólares</w:t>
            </w:r>
          </w:p>
        </w:tc>
        <w:tc>
          <w:tcPr>
            <w:tcW w:w="986" w:type="dxa"/>
            <w:tcBorders>
              <w:top w:val="nil"/>
              <w:left w:val="nil"/>
              <w:bottom w:val="single" w:sz="4" w:space="0" w:color="auto"/>
              <w:right w:val="single" w:sz="4" w:space="0" w:color="auto"/>
            </w:tcBorders>
            <w:shd w:val="clear" w:color="auto" w:fill="auto"/>
            <w:noWrap/>
            <w:vAlign w:val="center"/>
          </w:tcPr>
          <w:p w14:paraId="70CEC4C9" w14:textId="3445EAFD" w:rsidR="00136846" w:rsidRPr="002047BA" w:rsidRDefault="00136846" w:rsidP="00136846">
            <w:pPr>
              <w:jc w:val="right"/>
              <w:rPr>
                <w:rFonts w:ascii="Arial" w:hAnsi="Arial" w:cs="Arial"/>
                <w:sz w:val="16"/>
                <w:szCs w:val="16"/>
              </w:rPr>
            </w:pPr>
            <w:r w:rsidRPr="00136846">
              <w:rPr>
                <w:rFonts w:ascii="Arial" w:hAnsi="Arial" w:cs="Arial"/>
                <w:sz w:val="16"/>
                <w:szCs w:val="16"/>
              </w:rPr>
              <w:t>453.884</w:t>
            </w:r>
          </w:p>
        </w:tc>
        <w:tc>
          <w:tcPr>
            <w:tcW w:w="1136" w:type="dxa"/>
            <w:tcBorders>
              <w:top w:val="nil"/>
              <w:left w:val="nil"/>
              <w:bottom w:val="single" w:sz="4" w:space="0" w:color="auto"/>
              <w:right w:val="single" w:sz="4" w:space="0" w:color="auto"/>
            </w:tcBorders>
            <w:shd w:val="clear" w:color="auto" w:fill="auto"/>
            <w:noWrap/>
          </w:tcPr>
          <w:p w14:paraId="47604583" w14:textId="70D0B7F4" w:rsidR="00136846" w:rsidRPr="00534414" w:rsidRDefault="00136846" w:rsidP="00136846">
            <w:pPr>
              <w:jc w:val="right"/>
              <w:rPr>
                <w:rFonts w:ascii="Arial" w:hAnsi="Arial" w:cs="Arial"/>
                <w:sz w:val="16"/>
                <w:szCs w:val="16"/>
              </w:rPr>
            </w:pPr>
            <w:r w:rsidRPr="00534414">
              <w:rPr>
                <w:rFonts w:ascii="Arial" w:hAnsi="Arial" w:cs="Arial"/>
                <w:sz w:val="16"/>
                <w:szCs w:val="16"/>
              </w:rPr>
              <w:t>2.3</w:t>
            </w:r>
            <w:r>
              <w:rPr>
                <w:rFonts w:ascii="Arial" w:hAnsi="Arial" w:cs="Arial"/>
                <w:sz w:val="16"/>
                <w:szCs w:val="16"/>
              </w:rPr>
              <w:t>72.279</w:t>
            </w:r>
          </w:p>
        </w:tc>
        <w:tc>
          <w:tcPr>
            <w:tcW w:w="993" w:type="dxa"/>
            <w:tcBorders>
              <w:top w:val="nil"/>
              <w:left w:val="nil"/>
              <w:bottom w:val="single" w:sz="4" w:space="0" w:color="auto"/>
              <w:right w:val="single" w:sz="4" w:space="0" w:color="auto"/>
            </w:tcBorders>
            <w:shd w:val="clear" w:color="auto" w:fill="auto"/>
            <w:noWrap/>
            <w:vAlign w:val="center"/>
          </w:tcPr>
          <w:p w14:paraId="53577B0B" w14:textId="37BEC195" w:rsidR="00136846" w:rsidRPr="002047BA" w:rsidRDefault="00136846" w:rsidP="00136846">
            <w:pPr>
              <w:jc w:val="right"/>
              <w:rPr>
                <w:rFonts w:ascii="Arial" w:hAnsi="Arial" w:cs="Arial"/>
                <w:sz w:val="16"/>
                <w:szCs w:val="16"/>
              </w:rPr>
            </w:pPr>
            <w:r w:rsidRPr="00136846">
              <w:rPr>
                <w:rFonts w:ascii="Arial" w:hAnsi="Arial" w:cs="Arial"/>
                <w:sz w:val="16"/>
                <w:szCs w:val="16"/>
              </w:rPr>
              <w:t>452.866</w:t>
            </w:r>
          </w:p>
        </w:tc>
        <w:tc>
          <w:tcPr>
            <w:tcW w:w="1070" w:type="dxa"/>
            <w:tcBorders>
              <w:top w:val="nil"/>
              <w:left w:val="nil"/>
              <w:bottom w:val="single" w:sz="4" w:space="0" w:color="auto"/>
              <w:right w:val="single" w:sz="4" w:space="0" w:color="auto"/>
            </w:tcBorders>
            <w:shd w:val="clear" w:color="auto" w:fill="auto"/>
            <w:noWrap/>
          </w:tcPr>
          <w:p w14:paraId="5E1847A3" w14:textId="122DF478" w:rsidR="00136846" w:rsidRPr="00534414" w:rsidRDefault="00136846" w:rsidP="00136846">
            <w:pPr>
              <w:jc w:val="right"/>
              <w:rPr>
                <w:rFonts w:ascii="Arial" w:hAnsi="Arial" w:cs="Arial"/>
                <w:sz w:val="16"/>
                <w:szCs w:val="16"/>
              </w:rPr>
            </w:pPr>
            <w:r w:rsidRPr="00534414">
              <w:rPr>
                <w:rFonts w:ascii="Arial" w:hAnsi="Arial" w:cs="Arial"/>
                <w:sz w:val="16"/>
                <w:szCs w:val="16"/>
              </w:rPr>
              <w:t>2.3</w:t>
            </w:r>
            <w:r>
              <w:rPr>
                <w:rFonts w:ascii="Arial" w:hAnsi="Arial" w:cs="Arial"/>
                <w:sz w:val="16"/>
                <w:szCs w:val="16"/>
              </w:rPr>
              <w:t>60.235</w:t>
            </w:r>
          </w:p>
        </w:tc>
        <w:tc>
          <w:tcPr>
            <w:tcW w:w="1199" w:type="dxa"/>
            <w:tcBorders>
              <w:top w:val="nil"/>
              <w:left w:val="nil"/>
              <w:bottom w:val="single" w:sz="4" w:space="0" w:color="auto"/>
              <w:right w:val="single" w:sz="4" w:space="0" w:color="auto"/>
            </w:tcBorders>
            <w:shd w:val="clear" w:color="auto" w:fill="auto"/>
            <w:noWrap/>
            <w:vAlign w:val="center"/>
          </w:tcPr>
          <w:p w14:paraId="64810E9B" w14:textId="6C69E8C6" w:rsidR="00136846" w:rsidRPr="002047BA" w:rsidRDefault="00136846" w:rsidP="00136846">
            <w:pPr>
              <w:jc w:val="right"/>
              <w:rPr>
                <w:rFonts w:ascii="Arial" w:hAnsi="Arial" w:cs="Arial"/>
                <w:sz w:val="16"/>
                <w:szCs w:val="16"/>
              </w:rPr>
            </w:pPr>
            <w:r w:rsidRPr="00136846">
              <w:rPr>
                <w:rFonts w:ascii="Arial" w:hAnsi="Arial" w:cs="Arial"/>
                <w:sz w:val="16"/>
                <w:szCs w:val="16"/>
              </w:rPr>
              <w:t>9.312.208</w:t>
            </w:r>
          </w:p>
        </w:tc>
        <w:tc>
          <w:tcPr>
            <w:tcW w:w="1275" w:type="dxa"/>
            <w:tcBorders>
              <w:top w:val="nil"/>
              <w:left w:val="nil"/>
              <w:bottom w:val="single" w:sz="4" w:space="0" w:color="auto"/>
              <w:right w:val="single" w:sz="4" w:space="0" w:color="auto"/>
            </w:tcBorders>
            <w:shd w:val="clear" w:color="auto" w:fill="auto"/>
            <w:noWrap/>
          </w:tcPr>
          <w:p w14:paraId="461A3AB5" w14:textId="08085792" w:rsidR="00136846" w:rsidRPr="00534414" w:rsidRDefault="00136846" w:rsidP="00136846">
            <w:pPr>
              <w:jc w:val="right"/>
              <w:rPr>
                <w:rFonts w:ascii="Arial" w:hAnsi="Arial" w:cs="Arial"/>
                <w:sz w:val="16"/>
                <w:szCs w:val="16"/>
              </w:rPr>
            </w:pPr>
            <w:r w:rsidRPr="00534414">
              <w:rPr>
                <w:rFonts w:ascii="Arial" w:hAnsi="Arial" w:cs="Arial"/>
                <w:sz w:val="16"/>
                <w:szCs w:val="16"/>
              </w:rPr>
              <w:t>62.805.29</w:t>
            </w:r>
            <w:r>
              <w:rPr>
                <w:rFonts w:ascii="Arial" w:hAnsi="Arial" w:cs="Arial"/>
                <w:sz w:val="16"/>
                <w:szCs w:val="16"/>
              </w:rPr>
              <w:t>4</w:t>
            </w:r>
          </w:p>
        </w:tc>
      </w:tr>
      <w:tr w:rsidR="00136846" w:rsidRPr="006F2033" w14:paraId="6D6F2D80" w14:textId="77777777" w:rsidTr="00CB4373">
        <w:trPr>
          <w:trHeight w:val="184"/>
        </w:trPr>
        <w:tc>
          <w:tcPr>
            <w:tcW w:w="2413" w:type="dxa"/>
            <w:tcBorders>
              <w:top w:val="nil"/>
              <w:left w:val="single" w:sz="4" w:space="0" w:color="auto"/>
              <w:bottom w:val="single" w:sz="4" w:space="0" w:color="auto"/>
              <w:right w:val="single" w:sz="4" w:space="0" w:color="auto"/>
            </w:tcBorders>
            <w:shd w:val="clear" w:color="auto" w:fill="auto"/>
            <w:noWrap/>
            <w:vAlign w:val="bottom"/>
          </w:tcPr>
          <w:p w14:paraId="1C64D0D7" w14:textId="1B0F981A" w:rsidR="00136846" w:rsidRPr="00EC349E" w:rsidRDefault="00136846" w:rsidP="00136846">
            <w:pPr>
              <w:rPr>
                <w:rFonts w:ascii="Arial" w:hAnsi="Arial" w:cs="Arial"/>
                <w:color w:val="000000"/>
                <w:sz w:val="16"/>
                <w:szCs w:val="18"/>
                <w:lang w:eastAsia="es-AR"/>
              </w:rPr>
            </w:pPr>
            <w:r w:rsidRPr="0066728C">
              <w:rPr>
                <w:rFonts w:ascii="Arial" w:hAnsi="Arial" w:cs="Arial"/>
                <w:color w:val="000000"/>
                <w:sz w:val="16"/>
                <w:szCs w:val="18"/>
                <w:lang w:eastAsia="es-AR"/>
              </w:rPr>
              <w:t>Premier Global USD</w:t>
            </w:r>
          </w:p>
        </w:tc>
        <w:tc>
          <w:tcPr>
            <w:tcW w:w="986" w:type="dxa"/>
            <w:tcBorders>
              <w:top w:val="nil"/>
              <w:left w:val="nil"/>
              <w:bottom w:val="single" w:sz="4" w:space="0" w:color="auto"/>
              <w:right w:val="single" w:sz="4" w:space="0" w:color="auto"/>
            </w:tcBorders>
            <w:shd w:val="clear" w:color="auto" w:fill="auto"/>
            <w:noWrap/>
            <w:vAlign w:val="center"/>
          </w:tcPr>
          <w:p w14:paraId="62AC7D61" w14:textId="7954AED1" w:rsidR="00136846" w:rsidRPr="002047BA" w:rsidRDefault="00136846" w:rsidP="00136846">
            <w:pPr>
              <w:jc w:val="right"/>
              <w:rPr>
                <w:rFonts w:ascii="Arial" w:hAnsi="Arial" w:cs="Arial"/>
                <w:sz w:val="16"/>
                <w:szCs w:val="16"/>
              </w:rPr>
            </w:pPr>
            <w:r w:rsidRPr="00136846">
              <w:rPr>
                <w:rFonts w:ascii="Arial" w:hAnsi="Arial" w:cs="Arial"/>
                <w:sz w:val="16"/>
                <w:szCs w:val="16"/>
              </w:rPr>
              <w:t>698.915</w:t>
            </w:r>
          </w:p>
        </w:tc>
        <w:tc>
          <w:tcPr>
            <w:tcW w:w="1136" w:type="dxa"/>
            <w:tcBorders>
              <w:top w:val="nil"/>
              <w:left w:val="nil"/>
              <w:bottom w:val="single" w:sz="4" w:space="0" w:color="auto"/>
              <w:right w:val="single" w:sz="4" w:space="0" w:color="auto"/>
            </w:tcBorders>
            <w:shd w:val="clear" w:color="auto" w:fill="auto"/>
            <w:noWrap/>
            <w:vAlign w:val="center"/>
          </w:tcPr>
          <w:p w14:paraId="0E52D1B3" w14:textId="13116A7A" w:rsidR="00136846" w:rsidRPr="0066728C" w:rsidRDefault="00136846" w:rsidP="00136846">
            <w:pPr>
              <w:jc w:val="right"/>
              <w:rPr>
                <w:rFonts w:ascii="Arial" w:hAnsi="Arial" w:cs="Arial"/>
                <w:sz w:val="16"/>
                <w:szCs w:val="16"/>
                <w:lang w:eastAsia="es-AR"/>
              </w:rPr>
            </w:pPr>
            <w:r w:rsidRPr="0066728C">
              <w:rPr>
                <w:rFonts w:ascii="Arial" w:hAnsi="Arial" w:cs="Arial"/>
                <w:sz w:val="16"/>
                <w:szCs w:val="16"/>
              </w:rPr>
              <w:t>-</w:t>
            </w:r>
          </w:p>
        </w:tc>
        <w:tc>
          <w:tcPr>
            <w:tcW w:w="993" w:type="dxa"/>
            <w:tcBorders>
              <w:top w:val="nil"/>
              <w:left w:val="nil"/>
              <w:bottom w:val="single" w:sz="4" w:space="0" w:color="auto"/>
              <w:right w:val="single" w:sz="4" w:space="0" w:color="auto"/>
            </w:tcBorders>
            <w:shd w:val="clear" w:color="auto" w:fill="auto"/>
            <w:noWrap/>
            <w:vAlign w:val="center"/>
          </w:tcPr>
          <w:p w14:paraId="1A43833E" w14:textId="2C153072" w:rsidR="00136846" w:rsidRPr="002047BA" w:rsidRDefault="00136846" w:rsidP="00136846">
            <w:pPr>
              <w:jc w:val="right"/>
              <w:rPr>
                <w:rFonts w:ascii="Arial" w:hAnsi="Arial" w:cs="Arial"/>
                <w:sz w:val="16"/>
                <w:szCs w:val="16"/>
              </w:rPr>
            </w:pPr>
            <w:r w:rsidRPr="00136846">
              <w:rPr>
                <w:rFonts w:ascii="Arial" w:hAnsi="Arial" w:cs="Arial"/>
                <w:sz w:val="16"/>
                <w:szCs w:val="16"/>
              </w:rPr>
              <w:t>696.759</w:t>
            </w:r>
          </w:p>
        </w:tc>
        <w:tc>
          <w:tcPr>
            <w:tcW w:w="1070" w:type="dxa"/>
            <w:tcBorders>
              <w:top w:val="nil"/>
              <w:left w:val="nil"/>
              <w:bottom w:val="single" w:sz="4" w:space="0" w:color="auto"/>
              <w:right w:val="single" w:sz="4" w:space="0" w:color="auto"/>
            </w:tcBorders>
            <w:shd w:val="clear" w:color="auto" w:fill="auto"/>
            <w:noWrap/>
            <w:vAlign w:val="center"/>
          </w:tcPr>
          <w:p w14:paraId="2B0E9261" w14:textId="7C03C598" w:rsidR="00136846" w:rsidRPr="0066728C" w:rsidRDefault="00136846" w:rsidP="00136846">
            <w:pPr>
              <w:jc w:val="right"/>
              <w:rPr>
                <w:rFonts w:ascii="Arial" w:hAnsi="Arial" w:cs="Arial"/>
                <w:sz w:val="16"/>
                <w:szCs w:val="16"/>
                <w:lang w:eastAsia="es-AR"/>
              </w:rPr>
            </w:pPr>
            <w:r w:rsidRPr="0066728C">
              <w:rPr>
                <w:rFonts w:ascii="Arial" w:hAnsi="Arial" w:cs="Arial"/>
                <w:sz w:val="16"/>
                <w:szCs w:val="16"/>
              </w:rPr>
              <w:t>-</w:t>
            </w:r>
          </w:p>
        </w:tc>
        <w:tc>
          <w:tcPr>
            <w:tcW w:w="1199" w:type="dxa"/>
            <w:tcBorders>
              <w:top w:val="nil"/>
              <w:left w:val="nil"/>
              <w:bottom w:val="single" w:sz="4" w:space="0" w:color="auto"/>
              <w:right w:val="single" w:sz="4" w:space="0" w:color="auto"/>
            </w:tcBorders>
            <w:shd w:val="clear" w:color="auto" w:fill="auto"/>
            <w:noWrap/>
            <w:vAlign w:val="center"/>
          </w:tcPr>
          <w:p w14:paraId="69125732" w14:textId="3613E67F" w:rsidR="00136846" w:rsidRPr="002047BA" w:rsidRDefault="00136846" w:rsidP="00136846">
            <w:pPr>
              <w:jc w:val="right"/>
              <w:rPr>
                <w:rFonts w:ascii="Arial" w:hAnsi="Arial" w:cs="Arial"/>
                <w:sz w:val="16"/>
                <w:szCs w:val="16"/>
              </w:rPr>
            </w:pPr>
            <w:r w:rsidRPr="00136846">
              <w:rPr>
                <w:rFonts w:ascii="Arial" w:hAnsi="Arial" w:cs="Arial"/>
                <w:sz w:val="16"/>
                <w:szCs w:val="16"/>
              </w:rPr>
              <w:t>11.338.023</w:t>
            </w:r>
          </w:p>
        </w:tc>
        <w:tc>
          <w:tcPr>
            <w:tcW w:w="1275" w:type="dxa"/>
            <w:tcBorders>
              <w:top w:val="nil"/>
              <w:left w:val="nil"/>
              <w:bottom w:val="single" w:sz="4" w:space="0" w:color="auto"/>
              <w:right w:val="single" w:sz="4" w:space="0" w:color="auto"/>
            </w:tcBorders>
            <w:shd w:val="clear" w:color="auto" w:fill="auto"/>
            <w:noWrap/>
            <w:vAlign w:val="center"/>
          </w:tcPr>
          <w:p w14:paraId="7FA80FB2" w14:textId="65D3FE05" w:rsidR="00136846" w:rsidRPr="0066728C" w:rsidRDefault="00136846" w:rsidP="00136846">
            <w:pPr>
              <w:jc w:val="right"/>
              <w:rPr>
                <w:rFonts w:ascii="Arial" w:hAnsi="Arial" w:cs="Arial"/>
                <w:sz w:val="16"/>
                <w:szCs w:val="16"/>
              </w:rPr>
            </w:pPr>
            <w:r w:rsidRPr="0066728C">
              <w:rPr>
                <w:rFonts w:ascii="Arial" w:hAnsi="Arial" w:cs="Arial"/>
                <w:sz w:val="16"/>
                <w:szCs w:val="16"/>
              </w:rPr>
              <w:t>-</w:t>
            </w:r>
          </w:p>
        </w:tc>
      </w:tr>
      <w:bookmarkEnd w:id="15"/>
    </w:tbl>
    <w:p w14:paraId="324B93C1" w14:textId="77777777" w:rsidR="00462BC9" w:rsidRDefault="00462BC9" w:rsidP="00A06BE9">
      <w:pPr>
        <w:widowControl w:val="0"/>
        <w:autoSpaceDE w:val="0"/>
        <w:autoSpaceDN w:val="0"/>
        <w:adjustRightInd w:val="0"/>
        <w:jc w:val="both"/>
        <w:rPr>
          <w:rFonts w:ascii="Arial" w:hAnsi="Arial" w:cs="Arial"/>
          <w:b/>
          <w:noProof/>
          <w:sz w:val="20"/>
        </w:rPr>
      </w:pPr>
    </w:p>
    <w:p w14:paraId="1DA2CB3E" w14:textId="550F785C" w:rsidR="00A06BE9" w:rsidRPr="00701F32" w:rsidRDefault="00032EC8" w:rsidP="00A06BE9">
      <w:pPr>
        <w:widowControl w:val="0"/>
        <w:autoSpaceDE w:val="0"/>
        <w:autoSpaceDN w:val="0"/>
        <w:adjustRightInd w:val="0"/>
        <w:jc w:val="both"/>
        <w:rPr>
          <w:rFonts w:ascii="Arial" w:hAnsi="Arial" w:cs="Arial"/>
          <w:b/>
          <w:noProof/>
          <w:sz w:val="20"/>
        </w:rPr>
      </w:pPr>
      <w:r>
        <w:rPr>
          <w:rFonts w:ascii="Arial" w:hAnsi="Arial" w:cs="Arial"/>
          <w:b/>
          <w:noProof/>
          <w:sz w:val="20"/>
        </w:rPr>
        <w:t>14</w:t>
      </w:r>
      <w:r w:rsidR="00A06BE9" w:rsidRPr="00701F32">
        <w:rPr>
          <w:rFonts w:ascii="Arial" w:hAnsi="Arial" w:cs="Arial"/>
          <w:b/>
          <w:noProof/>
          <w:sz w:val="20"/>
        </w:rPr>
        <w:t xml:space="preserve">. </w:t>
      </w:r>
      <w:r w:rsidR="00582EAB" w:rsidRPr="00701F32">
        <w:rPr>
          <w:rFonts w:ascii="Arial" w:hAnsi="Arial" w:cs="Arial"/>
          <w:b/>
          <w:noProof/>
          <w:sz w:val="20"/>
        </w:rPr>
        <w:t>INFORMACION ADICIONAL REQUERIDA POR EL BCRA</w:t>
      </w:r>
    </w:p>
    <w:p w14:paraId="4552E771" w14:textId="77777777" w:rsidR="00032EC8" w:rsidRDefault="00032EC8" w:rsidP="00A06BE9">
      <w:pPr>
        <w:tabs>
          <w:tab w:val="left" w:pos="142"/>
          <w:tab w:val="left" w:pos="9923"/>
        </w:tabs>
        <w:spacing w:after="200" w:line="276" w:lineRule="auto"/>
        <w:contextualSpacing/>
        <w:jc w:val="both"/>
        <w:rPr>
          <w:rFonts w:ascii="Arial" w:hAnsi="Arial" w:cs="Arial"/>
          <w:b/>
          <w:sz w:val="20"/>
        </w:rPr>
      </w:pPr>
    </w:p>
    <w:p w14:paraId="2018130B" w14:textId="6FC7213C" w:rsidR="00A06BE9" w:rsidRPr="00701F32" w:rsidRDefault="00032EC8" w:rsidP="00A06BE9">
      <w:pPr>
        <w:tabs>
          <w:tab w:val="left" w:pos="142"/>
          <w:tab w:val="left" w:pos="9923"/>
        </w:tabs>
        <w:spacing w:after="200" w:line="276" w:lineRule="auto"/>
        <w:contextualSpacing/>
        <w:jc w:val="both"/>
        <w:rPr>
          <w:rFonts w:ascii="Arial" w:hAnsi="Arial" w:cs="Arial"/>
          <w:b/>
          <w:sz w:val="20"/>
        </w:rPr>
      </w:pPr>
      <w:r>
        <w:rPr>
          <w:rFonts w:ascii="Arial" w:hAnsi="Arial" w:cs="Arial"/>
          <w:b/>
          <w:sz w:val="20"/>
        </w:rPr>
        <w:t>14</w:t>
      </w:r>
      <w:r w:rsidR="00A06BE9" w:rsidRPr="00701F32">
        <w:rPr>
          <w:rFonts w:ascii="Arial" w:hAnsi="Arial" w:cs="Arial"/>
          <w:b/>
          <w:sz w:val="20"/>
        </w:rPr>
        <w:t xml:space="preserve">.1 Sistema de Seguros de Garantía de Depósitos </w:t>
      </w:r>
    </w:p>
    <w:p w14:paraId="569F596C" w14:textId="77777777" w:rsidR="00A06BE9" w:rsidRPr="00701F32" w:rsidRDefault="00A06BE9" w:rsidP="00A06BE9">
      <w:pPr>
        <w:tabs>
          <w:tab w:val="left" w:pos="142"/>
          <w:tab w:val="left" w:pos="9923"/>
        </w:tabs>
        <w:spacing w:after="200" w:line="276" w:lineRule="auto"/>
        <w:contextualSpacing/>
        <w:jc w:val="both"/>
        <w:rPr>
          <w:rFonts w:ascii="Arial" w:hAnsi="Arial" w:cs="Arial"/>
          <w:sz w:val="20"/>
        </w:rPr>
      </w:pPr>
    </w:p>
    <w:p w14:paraId="3A366890"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rPr>
        <w:t>Mediante la Ley N° 24485 y el Decreto N° 540/95 se dispuso la creación del Sistema de Seguro de Garantía de los Depósitos con el objeto de cubrir el riesgo de los depósitos bancarios adicionalmente al sistema de privilegios y protección previsto en la Ley de Entidades Financieras.</w:t>
      </w:r>
    </w:p>
    <w:p w14:paraId="54563E78" w14:textId="77777777" w:rsidR="00A06BE9" w:rsidRPr="00701F32" w:rsidRDefault="00A06BE9" w:rsidP="00A06BE9">
      <w:pPr>
        <w:tabs>
          <w:tab w:val="left" w:pos="142"/>
        </w:tabs>
        <w:jc w:val="both"/>
        <w:rPr>
          <w:rFonts w:ascii="Arial" w:hAnsi="Arial" w:cs="Arial"/>
          <w:sz w:val="20"/>
        </w:rPr>
      </w:pPr>
    </w:p>
    <w:p w14:paraId="0BA7597D" w14:textId="70ECFC25" w:rsidR="00A06BE9" w:rsidRPr="00701F32" w:rsidRDefault="00A06BE9" w:rsidP="00A06BE9">
      <w:pPr>
        <w:tabs>
          <w:tab w:val="left" w:pos="142"/>
        </w:tabs>
        <w:jc w:val="both"/>
        <w:rPr>
          <w:rFonts w:ascii="Arial" w:hAnsi="Arial" w:cs="Arial"/>
          <w:sz w:val="20"/>
        </w:rPr>
      </w:pPr>
      <w:r w:rsidRPr="00701F32">
        <w:rPr>
          <w:rFonts w:ascii="Arial" w:hAnsi="Arial" w:cs="Arial"/>
          <w:sz w:val="20"/>
        </w:rPr>
        <w:t xml:space="preserve">Por el Decreto N° 1127/98 del 24 de septiembre de 1998, el P.E.N. estableció el límite máximo de cobertura del sistema de garantía, alcanzando a los depósitos a la vista o a plazo fijo, en pesos y/o moneda extranjera.  </w:t>
      </w:r>
      <w:r w:rsidR="00CB0AB9">
        <w:rPr>
          <w:rFonts w:ascii="Arial" w:hAnsi="Arial" w:cs="Arial"/>
          <w:sz w:val="20"/>
        </w:rPr>
        <w:t>Hasta el 28 de febrero de 2019,</w:t>
      </w:r>
      <w:r w:rsidR="00CB0AB9" w:rsidRPr="00701F32">
        <w:rPr>
          <w:rFonts w:ascii="Arial" w:hAnsi="Arial" w:cs="Arial"/>
          <w:sz w:val="20"/>
        </w:rPr>
        <w:t xml:space="preserve"> </w:t>
      </w:r>
      <w:r w:rsidRPr="00701F32">
        <w:rPr>
          <w:rFonts w:ascii="Arial" w:hAnsi="Arial" w:cs="Arial"/>
          <w:sz w:val="20"/>
        </w:rPr>
        <w:t>dicho límite alcanza</w:t>
      </w:r>
      <w:r w:rsidR="00CB0AB9">
        <w:rPr>
          <w:rFonts w:ascii="Arial" w:hAnsi="Arial" w:cs="Arial"/>
          <w:sz w:val="20"/>
        </w:rPr>
        <w:t>ba</w:t>
      </w:r>
      <w:r w:rsidRPr="00701F32">
        <w:rPr>
          <w:rFonts w:ascii="Arial" w:hAnsi="Arial" w:cs="Arial"/>
          <w:sz w:val="20"/>
        </w:rPr>
        <w:t xml:space="preserve"> la suma de </w:t>
      </w:r>
      <w:r w:rsidR="0049795D">
        <w:rPr>
          <w:rFonts w:ascii="Arial" w:hAnsi="Arial" w:cs="Arial"/>
          <w:sz w:val="20"/>
        </w:rPr>
        <w:t xml:space="preserve">$ </w:t>
      </w:r>
      <w:r w:rsidRPr="00701F32">
        <w:rPr>
          <w:rFonts w:ascii="Arial" w:hAnsi="Arial" w:cs="Arial"/>
          <w:sz w:val="20"/>
        </w:rPr>
        <w:t>450, el cual fue establecido por la comunicación “A” 5943.</w:t>
      </w:r>
      <w:r w:rsidR="00CB0AB9">
        <w:rPr>
          <w:rFonts w:ascii="Arial" w:hAnsi="Arial" w:cs="Arial"/>
          <w:sz w:val="20"/>
        </w:rPr>
        <w:t xml:space="preserve"> A partir del 1</w:t>
      </w:r>
      <w:r w:rsidR="00FC3A36">
        <w:rPr>
          <w:rFonts w:ascii="Arial" w:hAnsi="Arial" w:cs="Arial"/>
          <w:sz w:val="20"/>
        </w:rPr>
        <w:t>°</w:t>
      </w:r>
      <w:r w:rsidR="00CB0AB9">
        <w:rPr>
          <w:rFonts w:ascii="Arial" w:hAnsi="Arial" w:cs="Arial"/>
          <w:sz w:val="20"/>
        </w:rPr>
        <w:t xml:space="preserve"> de marzo de 2019 el nuevo límite asciende a </w:t>
      </w:r>
      <w:r w:rsidR="008F0913">
        <w:rPr>
          <w:rFonts w:ascii="Arial" w:hAnsi="Arial" w:cs="Arial"/>
          <w:sz w:val="20"/>
        </w:rPr>
        <w:t xml:space="preserve">$ </w:t>
      </w:r>
      <w:r w:rsidR="00CB0AB9">
        <w:rPr>
          <w:rFonts w:ascii="Arial" w:hAnsi="Arial" w:cs="Arial"/>
          <w:sz w:val="20"/>
        </w:rPr>
        <w:t>1.000, de acuerdo a lo establecido por la Comun</w:t>
      </w:r>
      <w:r w:rsidR="00822C01">
        <w:rPr>
          <w:rFonts w:ascii="Arial" w:hAnsi="Arial" w:cs="Arial"/>
          <w:sz w:val="20"/>
        </w:rPr>
        <w:t>i</w:t>
      </w:r>
      <w:r w:rsidR="00CB0AB9">
        <w:rPr>
          <w:rFonts w:ascii="Arial" w:hAnsi="Arial" w:cs="Arial"/>
          <w:sz w:val="20"/>
        </w:rPr>
        <w:t>cación “A” 6654.</w:t>
      </w:r>
    </w:p>
    <w:p w14:paraId="2E20C65C"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rPr>
        <w:t xml:space="preserve"> </w:t>
      </w:r>
    </w:p>
    <w:p w14:paraId="3A6688DF" w14:textId="5C8DA1C0" w:rsidR="00A06BE9" w:rsidRDefault="00A06BE9" w:rsidP="00A06BE9">
      <w:pPr>
        <w:jc w:val="both"/>
        <w:rPr>
          <w:rFonts w:ascii="Arial" w:hAnsi="Arial" w:cs="Arial"/>
          <w:sz w:val="20"/>
        </w:rPr>
      </w:pPr>
      <w:r w:rsidRPr="00701F32">
        <w:rPr>
          <w:rFonts w:ascii="Arial" w:hAnsi="Arial" w:cs="Arial"/>
          <w:sz w:val="20"/>
        </w:rPr>
        <w:t>No están incluidos en el presente régimen los depósitos efectuados por otras entidades financieras (incluyendo los certificados a plazo fijo adquiridos por negociación secundaria), los depósitos efectuados por personas vinculadas directa o indirectamente a la entidad, los depósitos de títulos valores, aceptaciones o garantías y</w:t>
      </w:r>
      <w:r w:rsidR="00682968" w:rsidRPr="00701F32">
        <w:rPr>
          <w:rFonts w:ascii="Arial" w:hAnsi="Arial" w:cs="Arial"/>
          <w:sz w:val="20"/>
        </w:rPr>
        <w:t>,</w:t>
      </w:r>
      <w:r w:rsidRPr="00701F32">
        <w:rPr>
          <w:rFonts w:ascii="Arial" w:hAnsi="Arial" w:cs="Arial"/>
          <w:sz w:val="20"/>
        </w:rPr>
        <w:t xml:space="preserve"> </w:t>
      </w:r>
      <w:r w:rsidR="00682968" w:rsidRPr="00701F32">
        <w:rPr>
          <w:rFonts w:ascii="Arial" w:hAnsi="Arial" w:cs="Arial"/>
          <w:sz w:val="20"/>
        </w:rPr>
        <w:t xml:space="preserve">los depósitos a la vista convenidos </w:t>
      </w:r>
      <w:r w:rsidRPr="00701F32">
        <w:rPr>
          <w:rFonts w:ascii="Arial" w:hAnsi="Arial" w:cs="Arial"/>
          <w:sz w:val="20"/>
        </w:rPr>
        <w:t>a una tasa superior a la establecida periódicamente por el BCRA en base a la encuesta diaria que realiza dicha institución</w:t>
      </w:r>
      <w:r w:rsidR="009D5931">
        <w:rPr>
          <w:rFonts w:ascii="Arial" w:hAnsi="Arial" w:cs="Arial"/>
          <w:sz w:val="20"/>
        </w:rPr>
        <w:t xml:space="preserve"> (*)</w:t>
      </w:r>
      <w:r w:rsidR="00682968" w:rsidRPr="00701F32">
        <w:rPr>
          <w:rFonts w:ascii="Arial" w:hAnsi="Arial" w:cs="Arial"/>
          <w:sz w:val="20"/>
        </w:rPr>
        <w:t xml:space="preserve"> y los depósitos </w:t>
      </w:r>
      <w:r w:rsidR="005C4329" w:rsidRPr="00701F32">
        <w:rPr>
          <w:rFonts w:ascii="Arial" w:hAnsi="Arial" w:cs="Arial"/>
          <w:sz w:val="20"/>
        </w:rPr>
        <w:t>e</w:t>
      </w:r>
      <w:r w:rsidR="00682968" w:rsidRPr="00701F32">
        <w:rPr>
          <w:rFonts w:ascii="Arial" w:hAnsi="Arial" w:cs="Arial"/>
          <w:sz w:val="20"/>
        </w:rPr>
        <w:t xml:space="preserve"> inversiones a plazo que superen en 1,3 veces dicha tasa o la tasa de referencia mas 5 puntos porcentuales, la que fuese mayor</w:t>
      </w:r>
      <w:r w:rsidR="009D5931">
        <w:rPr>
          <w:rFonts w:ascii="Arial" w:hAnsi="Arial" w:cs="Arial"/>
          <w:sz w:val="20"/>
        </w:rPr>
        <w:t xml:space="preserve"> (*)</w:t>
      </w:r>
      <w:r w:rsidRPr="00701F32">
        <w:rPr>
          <w:rFonts w:ascii="Arial" w:hAnsi="Arial" w:cs="Arial"/>
          <w:sz w:val="20"/>
        </w:rPr>
        <w:t>. También se hallan excluidos los depósitos cuya titularidad haya sido adquirida vía endoso y las imposiciones que ofrezcan incentivos adicionales a la tasa de interés. El sistema ha sido implementado mediante la creación de un fondo denominado "Fondo de Garantía de los Depósitos" (F.G.D.), que es administrado por la sociedad Seguros de Depósitos S.A. (SEDESA) y cuyos accionistas son el BCRA y las entidades financieras en la proporción que para cada una de ellas determina dicha institución en función de los aportes efectuados al mencionado fondo.</w:t>
      </w:r>
    </w:p>
    <w:p w14:paraId="6ADBFA3D" w14:textId="7E3DC286" w:rsidR="009D5931" w:rsidRDefault="009D5931" w:rsidP="00A06BE9">
      <w:pPr>
        <w:jc w:val="both"/>
        <w:rPr>
          <w:rFonts w:ascii="Arial" w:hAnsi="Arial" w:cs="Arial"/>
          <w:sz w:val="20"/>
        </w:rPr>
      </w:pPr>
    </w:p>
    <w:p w14:paraId="225C8931" w14:textId="06789DAD" w:rsidR="009D5931" w:rsidRPr="00701F32" w:rsidRDefault="00FF46E5" w:rsidP="00A06BE9">
      <w:pPr>
        <w:jc w:val="both"/>
        <w:rPr>
          <w:rFonts w:ascii="Arial" w:hAnsi="Arial" w:cs="Arial"/>
          <w:sz w:val="20"/>
        </w:rPr>
      </w:pPr>
      <w:r>
        <w:rPr>
          <w:rFonts w:ascii="Arial" w:hAnsi="Arial" w:cs="Arial"/>
          <w:sz w:val="20"/>
        </w:rPr>
        <w:t>(*)</w:t>
      </w:r>
      <w:r w:rsidR="00552269">
        <w:rPr>
          <w:rFonts w:ascii="Arial" w:hAnsi="Arial" w:cs="Arial"/>
          <w:sz w:val="20"/>
        </w:rPr>
        <w:t xml:space="preserve"> Con vigencia a</w:t>
      </w:r>
      <w:r w:rsidR="009D5931">
        <w:rPr>
          <w:rFonts w:ascii="Arial" w:hAnsi="Arial" w:cs="Arial"/>
          <w:sz w:val="20"/>
        </w:rPr>
        <w:t xml:space="preserve"> partir del 20 de enero de 2019</w:t>
      </w:r>
      <w:r w:rsidR="00552269">
        <w:rPr>
          <w:rFonts w:ascii="Arial" w:hAnsi="Arial" w:cs="Arial"/>
          <w:sz w:val="20"/>
        </w:rPr>
        <w:t>,</w:t>
      </w:r>
      <w:r w:rsidR="009D5931">
        <w:rPr>
          <w:rFonts w:ascii="Arial" w:hAnsi="Arial" w:cs="Arial"/>
          <w:sz w:val="20"/>
        </w:rPr>
        <w:t xml:space="preserve"> </w:t>
      </w:r>
      <w:r w:rsidR="00552269">
        <w:rPr>
          <w:rFonts w:ascii="Arial" w:hAnsi="Arial" w:cs="Arial"/>
          <w:sz w:val="20"/>
        </w:rPr>
        <w:t>por disposición de</w:t>
      </w:r>
      <w:r w:rsidR="009D5931">
        <w:rPr>
          <w:rFonts w:ascii="Arial" w:hAnsi="Arial" w:cs="Arial"/>
          <w:sz w:val="20"/>
        </w:rPr>
        <w:t xml:space="preserve"> la “A” 6435</w:t>
      </w:r>
      <w:r w:rsidR="00552269">
        <w:rPr>
          <w:rFonts w:ascii="Arial" w:hAnsi="Arial" w:cs="Arial"/>
          <w:sz w:val="20"/>
        </w:rPr>
        <w:t>, dichas exclusiones son las siguientes: Los depósitos a la vista en los que se convengan tasas de interés superiores a las tasas de referencia y los depósitos e inversiones a plazo que superen 1,3 veces esa tasa.  Las tasas de referencia son difundidas periódicamente por el BCRA según el promedio móvil de los últimos cinco días hábiles bancarios</w:t>
      </w:r>
      <w:r>
        <w:rPr>
          <w:rFonts w:ascii="Arial" w:hAnsi="Arial" w:cs="Arial"/>
          <w:sz w:val="20"/>
        </w:rPr>
        <w:t xml:space="preserve"> de las tasas pasivas que para los depósitos a plazo fijo de hasta 100 (o su equivalente en otras monedas), su</w:t>
      </w:r>
      <w:r w:rsidR="00D0115C">
        <w:rPr>
          <w:rFonts w:ascii="Arial" w:hAnsi="Arial" w:cs="Arial"/>
          <w:sz w:val="20"/>
        </w:rPr>
        <w:t>r</w:t>
      </w:r>
      <w:r>
        <w:rPr>
          <w:rFonts w:ascii="Arial" w:hAnsi="Arial" w:cs="Arial"/>
          <w:sz w:val="20"/>
        </w:rPr>
        <w:t>jan de la encuesta que realiza dicha Institución.</w:t>
      </w:r>
    </w:p>
    <w:p w14:paraId="0B74108E" w14:textId="77777777" w:rsidR="00067378" w:rsidRPr="00701F32" w:rsidRDefault="00067378" w:rsidP="00A06BE9">
      <w:pPr>
        <w:jc w:val="both"/>
        <w:rPr>
          <w:rFonts w:ascii="Arial" w:hAnsi="Arial" w:cs="Arial"/>
          <w:sz w:val="20"/>
        </w:rPr>
      </w:pPr>
    </w:p>
    <w:p w14:paraId="5AC9BDB9" w14:textId="65A33175" w:rsidR="00A06BE9" w:rsidRPr="00701F32" w:rsidRDefault="00032EC8" w:rsidP="00A06BE9">
      <w:pPr>
        <w:tabs>
          <w:tab w:val="left" w:pos="9923"/>
        </w:tabs>
        <w:spacing w:after="200" w:line="276" w:lineRule="auto"/>
        <w:jc w:val="both"/>
        <w:rPr>
          <w:rFonts w:ascii="Arial" w:hAnsi="Arial" w:cs="Arial"/>
          <w:b/>
          <w:sz w:val="20"/>
        </w:rPr>
      </w:pPr>
      <w:r>
        <w:rPr>
          <w:rFonts w:ascii="Arial" w:hAnsi="Arial" w:cs="Arial"/>
          <w:b/>
          <w:sz w:val="20"/>
        </w:rPr>
        <w:t>14</w:t>
      </w:r>
      <w:r w:rsidR="00A06BE9" w:rsidRPr="00534414">
        <w:rPr>
          <w:rFonts w:ascii="Arial" w:hAnsi="Arial" w:cs="Arial"/>
          <w:b/>
          <w:sz w:val="20"/>
        </w:rPr>
        <w:t>.2 Bienes de disponibilidad restringida</w:t>
      </w:r>
    </w:p>
    <w:p w14:paraId="08805334"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rPr>
        <w:t>La Entidad posee activos cuya disponibilidad se encuentra restringida, según el siguiente detalle:</w:t>
      </w:r>
    </w:p>
    <w:p w14:paraId="52CA5E83" w14:textId="77777777" w:rsidR="00A06BE9" w:rsidRPr="00701F32" w:rsidRDefault="00A06BE9" w:rsidP="00A06BE9">
      <w:pPr>
        <w:tabs>
          <w:tab w:val="left" w:pos="142"/>
        </w:tabs>
        <w:jc w:val="both"/>
        <w:rPr>
          <w:rFonts w:ascii="Arial" w:hAnsi="Arial" w:cs="Arial"/>
          <w:sz w:val="20"/>
        </w:rPr>
      </w:pPr>
    </w:p>
    <w:tbl>
      <w:tblPr>
        <w:tblW w:w="486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817"/>
        <w:gridCol w:w="1309"/>
        <w:gridCol w:w="1287"/>
      </w:tblGrid>
      <w:tr w:rsidR="00E52346" w:rsidRPr="00037C01" w14:paraId="2AE887A1" w14:textId="77777777" w:rsidTr="00037C01">
        <w:trPr>
          <w:trHeight w:val="307"/>
          <w:tblHeader/>
          <w:jc w:val="center"/>
        </w:trPr>
        <w:tc>
          <w:tcPr>
            <w:tcW w:w="34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98967D" w14:textId="77777777" w:rsidR="00E52346" w:rsidRPr="00037C01" w:rsidRDefault="00E52346" w:rsidP="00393CEB">
            <w:pPr>
              <w:tabs>
                <w:tab w:val="left" w:pos="142"/>
              </w:tabs>
              <w:rPr>
                <w:rFonts w:ascii="Arial" w:hAnsi="Arial" w:cs="Arial"/>
                <w:b/>
                <w:bCs/>
                <w:sz w:val="18"/>
              </w:rPr>
            </w:pPr>
            <w:r w:rsidRPr="00037C01">
              <w:rPr>
                <w:rFonts w:ascii="Arial" w:hAnsi="Arial" w:cs="Arial"/>
                <w:b/>
                <w:bCs/>
                <w:sz w:val="18"/>
              </w:rPr>
              <w:t>Concepto</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D21D83" w14:textId="0D6BB00A" w:rsidR="00E52346" w:rsidRPr="00037C01" w:rsidRDefault="00E52346" w:rsidP="009C5DAE">
            <w:pPr>
              <w:jc w:val="center"/>
              <w:rPr>
                <w:rFonts w:ascii="Arial" w:hAnsi="Arial" w:cs="Arial"/>
                <w:b/>
                <w:sz w:val="18"/>
              </w:rPr>
            </w:pPr>
            <w:r w:rsidRPr="00037C01">
              <w:rPr>
                <w:rFonts w:ascii="Arial" w:hAnsi="Arial" w:cs="Arial"/>
                <w:b/>
                <w:sz w:val="18"/>
              </w:rPr>
              <w:t>3</w:t>
            </w:r>
            <w:r w:rsidR="00032EC8" w:rsidRPr="00037C01">
              <w:rPr>
                <w:rFonts w:ascii="Arial" w:hAnsi="Arial" w:cs="Arial"/>
                <w:b/>
                <w:sz w:val="18"/>
              </w:rPr>
              <w:t>1</w:t>
            </w:r>
            <w:r w:rsidRPr="00037C01">
              <w:rPr>
                <w:rFonts w:ascii="Arial" w:hAnsi="Arial" w:cs="Arial"/>
                <w:b/>
                <w:sz w:val="18"/>
              </w:rPr>
              <w:t>/</w:t>
            </w:r>
            <w:r w:rsidR="00032EC8" w:rsidRPr="00037C01">
              <w:rPr>
                <w:rFonts w:ascii="Arial" w:hAnsi="Arial" w:cs="Arial"/>
                <w:b/>
                <w:sz w:val="18"/>
              </w:rPr>
              <w:t>12</w:t>
            </w:r>
            <w:r w:rsidRPr="00037C01">
              <w:rPr>
                <w:rFonts w:ascii="Arial" w:hAnsi="Arial" w:cs="Arial"/>
                <w:b/>
                <w:sz w:val="18"/>
              </w:rPr>
              <w:t>/2019</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C31E35" w14:textId="06B7CFFA" w:rsidR="00E52346" w:rsidRPr="00037C01" w:rsidRDefault="00E52346" w:rsidP="00466920">
            <w:pPr>
              <w:tabs>
                <w:tab w:val="left" w:pos="142"/>
              </w:tabs>
              <w:jc w:val="center"/>
              <w:rPr>
                <w:rFonts w:ascii="Arial" w:hAnsi="Arial" w:cs="Arial"/>
                <w:b/>
                <w:sz w:val="18"/>
              </w:rPr>
            </w:pPr>
            <w:r w:rsidRPr="00037C01">
              <w:rPr>
                <w:rFonts w:ascii="Arial" w:hAnsi="Arial" w:cs="Arial"/>
                <w:b/>
                <w:sz w:val="18"/>
              </w:rPr>
              <w:t>31/12/2018</w:t>
            </w:r>
          </w:p>
        </w:tc>
      </w:tr>
      <w:tr w:rsidR="00E52346" w:rsidRPr="00037C01" w14:paraId="252148AF" w14:textId="77777777" w:rsidTr="00037C01">
        <w:trPr>
          <w:trHeight w:val="263"/>
          <w:jc w:val="center"/>
        </w:trPr>
        <w:tc>
          <w:tcPr>
            <w:tcW w:w="3457" w:type="pct"/>
            <w:tcBorders>
              <w:left w:val="single" w:sz="4" w:space="0" w:color="auto"/>
              <w:right w:val="single" w:sz="4" w:space="0" w:color="auto"/>
            </w:tcBorders>
            <w:shd w:val="clear" w:color="auto" w:fill="auto"/>
            <w:noWrap/>
            <w:vAlign w:val="bottom"/>
          </w:tcPr>
          <w:p w14:paraId="1480280F" w14:textId="77777777" w:rsidR="00E52346" w:rsidRPr="00037C01" w:rsidRDefault="00E52346" w:rsidP="00534414">
            <w:pPr>
              <w:tabs>
                <w:tab w:val="left" w:pos="142"/>
              </w:tabs>
              <w:rPr>
                <w:rFonts w:ascii="Arial" w:hAnsi="Arial" w:cs="Arial"/>
                <w:sz w:val="18"/>
              </w:rPr>
            </w:pPr>
            <w:r w:rsidRPr="00037C01">
              <w:rPr>
                <w:rFonts w:ascii="Arial" w:hAnsi="Arial" w:cs="Arial"/>
                <w:sz w:val="18"/>
              </w:rPr>
              <w:t>Cuentas especiales de garantía en el BCRA</w:t>
            </w:r>
          </w:p>
        </w:tc>
        <w:tc>
          <w:tcPr>
            <w:tcW w:w="778" w:type="pct"/>
            <w:tcBorders>
              <w:left w:val="single" w:sz="4" w:space="0" w:color="auto"/>
              <w:right w:val="single" w:sz="4" w:space="0" w:color="auto"/>
            </w:tcBorders>
            <w:shd w:val="clear" w:color="auto" w:fill="auto"/>
            <w:noWrap/>
            <w:vAlign w:val="bottom"/>
          </w:tcPr>
          <w:p w14:paraId="138D9202" w14:textId="3E4630E6" w:rsidR="00E52346" w:rsidRPr="00037C01" w:rsidRDefault="00B85329" w:rsidP="00E52346">
            <w:pPr>
              <w:tabs>
                <w:tab w:val="left" w:pos="142"/>
              </w:tabs>
              <w:jc w:val="right"/>
              <w:rPr>
                <w:rFonts w:ascii="Arial" w:hAnsi="Arial" w:cs="Arial"/>
                <w:sz w:val="18"/>
              </w:rPr>
            </w:pPr>
            <w:r>
              <w:rPr>
                <w:rFonts w:ascii="Arial" w:hAnsi="Arial" w:cs="Arial"/>
                <w:sz w:val="18"/>
              </w:rPr>
              <w:t>2.120.732</w:t>
            </w:r>
          </w:p>
        </w:tc>
        <w:tc>
          <w:tcPr>
            <w:tcW w:w="765" w:type="pct"/>
            <w:tcBorders>
              <w:left w:val="single" w:sz="4" w:space="0" w:color="auto"/>
              <w:right w:val="single" w:sz="4" w:space="0" w:color="auto"/>
            </w:tcBorders>
            <w:shd w:val="clear" w:color="auto" w:fill="auto"/>
            <w:noWrap/>
            <w:vAlign w:val="bottom"/>
          </w:tcPr>
          <w:p w14:paraId="3926FFF0" w14:textId="533E0DBC" w:rsidR="00E52346" w:rsidRPr="00037C01" w:rsidRDefault="00E52346" w:rsidP="00E52346">
            <w:pPr>
              <w:tabs>
                <w:tab w:val="left" w:pos="142"/>
              </w:tabs>
              <w:jc w:val="right"/>
              <w:rPr>
                <w:rFonts w:ascii="Arial" w:hAnsi="Arial" w:cs="Arial"/>
                <w:sz w:val="18"/>
              </w:rPr>
            </w:pPr>
            <w:r w:rsidRPr="00037C01">
              <w:rPr>
                <w:rFonts w:ascii="Arial" w:hAnsi="Arial" w:cs="Arial"/>
                <w:sz w:val="18"/>
              </w:rPr>
              <w:t>1.357.904</w:t>
            </w:r>
          </w:p>
        </w:tc>
      </w:tr>
      <w:tr w:rsidR="00E52346" w:rsidRPr="00037C01" w14:paraId="58E68535" w14:textId="77777777" w:rsidTr="00037C01">
        <w:trPr>
          <w:trHeight w:val="263"/>
          <w:jc w:val="center"/>
        </w:trPr>
        <w:tc>
          <w:tcPr>
            <w:tcW w:w="3457" w:type="pct"/>
            <w:tcBorders>
              <w:left w:val="single" w:sz="4" w:space="0" w:color="auto"/>
              <w:right w:val="single" w:sz="4" w:space="0" w:color="auto"/>
            </w:tcBorders>
            <w:shd w:val="clear" w:color="auto" w:fill="auto"/>
            <w:noWrap/>
            <w:vAlign w:val="bottom"/>
          </w:tcPr>
          <w:p w14:paraId="08EE22D7" w14:textId="77777777" w:rsidR="00E52346" w:rsidRPr="00037C01" w:rsidRDefault="00E52346" w:rsidP="00534414">
            <w:pPr>
              <w:tabs>
                <w:tab w:val="left" w:pos="142"/>
              </w:tabs>
              <w:rPr>
                <w:rFonts w:ascii="Arial" w:hAnsi="Arial" w:cs="Arial"/>
                <w:sz w:val="18"/>
              </w:rPr>
            </w:pPr>
            <w:r w:rsidRPr="00037C01">
              <w:rPr>
                <w:rFonts w:ascii="Arial" w:hAnsi="Arial" w:cs="Arial"/>
                <w:sz w:val="18"/>
              </w:rPr>
              <w:t>Depósitos en garantía por fideicomisos</w:t>
            </w:r>
          </w:p>
        </w:tc>
        <w:tc>
          <w:tcPr>
            <w:tcW w:w="778" w:type="pct"/>
            <w:tcBorders>
              <w:left w:val="single" w:sz="4" w:space="0" w:color="auto"/>
              <w:right w:val="single" w:sz="4" w:space="0" w:color="auto"/>
            </w:tcBorders>
            <w:shd w:val="clear" w:color="auto" w:fill="auto"/>
            <w:noWrap/>
            <w:vAlign w:val="bottom"/>
          </w:tcPr>
          <w:p w14:paraId="32BB4D9A" w14:textId="783EF1D1" w:rsidR="00E52346" w:rsidRPr="00037C01" w:rsidRDefault="00B85329" w:rsidP="00E52346">
            <w:pPr>
              <w:tabs>
                <w:tab w:val="left" w:pos="142"/>
              </w:tabs>
              <w:jc w:val="right"/>
              <w:rPr>
                <w:rFonts w:ascii="Arial" w:hAnsi="Arial" w:cs="Arial"/>
                <w:sz w:val="18"/>
              </w:rPr>
            </w:pPr>
            <w:r>
              <w:rPr>
                <w:rFonts w:ascii="Arial" w:hAnsi="Arial" w:cs="Arial"/>
                <w:sz w:val="18"/>
              </w:rPr>
              <w:t>3.800</w:t>
            </w:r>
          </w:p>
        </w:tc>
        <w:tc>
          <w:tcPr>
            <w:tcW w:w="765" w:type="pct"/>
            <w:tcBorders>
              <w:left w:val="single" w:sz="4" w:space="0" w:color="auto"/>
              <w:right w:val="single" w:sz="4" w:space="0" w:color="auto"/>
            </w:tcBorders>
            <w:shd w:val="clear" w:color="auto" w:fill="auto"/>
            <w:noWrap/>
            <w:vAlign w:val="bottom"/>
          </w:tcPr>
          <w:p w14:paraId="569CC8F6" w14:textId="619448F7" w:rsidR="00E52346" w:rsidRPr="00037C01" w:rsidRDefault="00E52346" w:rsidP="00E52346">
            <w:pPr>
              <w:tabs>
                <w:tab w:val="left" w:pos="142"/>
              </w:tabs>
              <w:jc w:val="right"/>
              <w:rPr>
                <w:rFonts w:ascii="Arial" w:hAnsi="Arial" w:cs="Arial"/>
                <w:sz w:val="18"/>
              </w:rPr>
            </w:pPr>
            <w:r w:rsidRPr="00037C01">
              <w:rPr>
                <w:rFonts w:ascii="Arial" w:hAnsi="Arial" w:cs="Arial"/>
                <w:sz w:val="18"/>
              </w:rPr>
              <w:t>3.333</w:t>
            </w:r>
          </w:p>
        </w:tc>
      </w:tr>
      <w:tr w:rsidR="00E52346" w:rsidRPr="00037C01" w14:paraId="43284B80" w14:textId="77777777" w:rsidTr="00037C01">
        <w:trPr>
          <w:trHeight w:val="263"/>
          <w:jc w:val="center"/>
        </w:trPr>
        <w:tc>
          <w:tcPr>
            <w:tcW w:w="3457" w:type="pct"/>
            <w:tcBorders>
              <w:left w:val="single" w:sz="4" w:space="0" w:color="auto"/>
              <w:right w:val="single" w:sz="4" w:space="0" w:color="auto"/>
            </w:tcBorders>
            <w:shd w:val="clear" w:color="auto" w:fill="auto"/>
            <w:noWrap/>
            <w:vAlign w:val="bottom"/>
          </w:tcPr>
          <w:p w14:paraId="1E9114D4" w14:textId="77777777" w:rsidR="00E52346" w:rsidRPr="00037C01" w:rsidRDefault="00E52346" w:rsidP="00534414">
            <w:pPr>
              <w:tabs>
                <w:tab w:val="left" w:pos="142"/>
              </w:tabs>
              <w:rPr>
                <w:rFonts w:ascii="Arial" w:hAnsi="Arial" w:cs="Arial"/>
                <w:sz w:val="18"/>
              </w:rPr>
            </w:pPr>
            <w:r w:rsidRPr="00037C01">
              <w:rPr>
                <w:rFonts w:ascii="Arial" w:hAnsi="Arial" w:cs="Arial"/>
                <w:sz w:val="18"/>
              </w:rPr>
              <w:t>Depósitos en garantía por operaciones de cambio a término</w:t>
            </w:r>
          </w:p>
        </w:tc>
        <w:tc>
          <w:tcPr>
            <w:tcW w:w="778" w:type="pct"/>
            <w:tcBorders>
              <w:left w:val="single" w:sz="4" w:space="0" w:color="auto"/>
              <w:right w:val="single" w:sz="4" w:space="0" w:color="auto"/>
            </w:tcBorders>
            <w:shd w:val="clear" w:color="auto" w:fill="auto"/>
            <w:noWrap/>
            <w:vAlign w:val="bottom"/>
          </w:tcPr>
          <w:p w14:paraId="3ED8C2F0" w14:textId="27EA61C2" w:rsidR="00E52346" w:rsidRPr="00037C01" w:rsidRDefault="00B85329" w:rsidP="00E52346">
            <w:pPr>
              <w:tabs>
                <w:tab w:val="left" w:pos="142"/>
              </w:tabs>
              <w:jc w:val="right"/>
              <w:rPr>
                <w:rFonts w:ascii="Arial" w:hAnsi="Arial" w:cs="Arial"/>
                <w:sz w:val="18"/>
              </w:rPr>
            </w:pPr>
            <w:r>
              <w:rPr>
                <w:rFonts w:ascii="Arial" w:hAnsi="Arial" w:cs="Arial"/>
                <w:sz w:val="18"/>
              </w:rPr>
              <w:t>2.104.713</w:t>
            </w:r>
          </w:p>
        </w:tc>
        <w:tc>
          <w:tcPr>
            <w:tcW w:w="765" w:type="pct"/>
            <w:tcBorders>
              <w:left w:val="single" w:sz="4" w:space="0" w:color="auto"/>
              <w:right w:val="single" w:sz="4" w:space="0" w:color="auto"/>
            </w:tcBorders>
            <w:shd w:val="clear" w:color="auto" w:fill="auto"/>
            <w:noWrap/>
            <w:vAlign w:val="bottom"/>
          </w:tcPr>
          <w:p w14:paraId="1CBB3453" w14:textId="42A3B682" w:rsidR="00E52346" w:rsidRPr="00037C01" w:rsidRDefault="00E52346" w:rsidP="00E52346">
            <w:pPr>
              <w:tabs>
                <w:tab w:val="left" w:pos="142"/>
              </w:tabs>
              <w:jc w:val="right"/>
              <w:rPr>
                <w:rFonts w:ascii="Arial" w:hAnsi="Arial" w:cs="Arial"/>
                <w:sz w:val="18"/>
              </w:rPr>
            </w:pPr>
            <w:r w:rsidRPr="00037C01">
              <w:rPr>
                <w:rFonts w:ascii="Arial" w:hAnsi="Arial" w:cs="Arial"/>
                <w:sz w:val="18"/>
              </w:rPr>
              <w:t>282.207</w:t>
            </w:r>
          </w:p>
        </w:tc>
      </w:tr>
      <w:tr w:rsidR="00E52346" w:rsidRPr="00037C01" w14:paraId="4C66D248" w14:textId="77777777" w:rsidTr="00037C01">
        <w:trPr>
          <w:trHeight w:val="263"/>
          <w:jc w:val="center"/>
        </w:trPr>
        <w:tc>
          <w:tcPr>
            <w:tcW w:w="3457" w:type="pct"/>
            <w:tcBorders>
              <w:left w:val="single" w:sz="4" w:space="0" w:color="auto"/>
              <w:bottom w:val="single" w:sz="6" w:space="0" w:color="auto"/>
              <w:right w:val="single" w:sz="4" w:space="0" w:color="auto"/>
            </w:tcBorders>
            <w:shd w:val="clear" w:color="auto" w:fill="auto"/>
            <w:noWrap/>
            <w:vAlign w:val="bottom"/>
          </w:tcPr>
          <w:p w14:paraId="7BE53D4C" w14:textId="77777777" w:rsidR="00E52346" w:rsidRPr="00037C01" w:rsidRDefault="00E52346" w:rsidP="00534414">
            <w:pPr>
              <w:tabs>
                <w:tab w:val="left" w:pos="142"/>
              </w:tabs>
              <w:rPr>
                <w:rFonts w:ascii="Arial" w:hAnsi="Arial" w:cs="Arial"/>
                <w:sz w:val="18"/>
              </w:rPr>
            </w:pPr>
            <w:r w:rsidRPr="00037C01">
              <w:rPr>
                <w:rFonts w:ascii="Arial" w:hAnsi="Arial" w:cs="Arial"/>
                <w:sz w:val="18"/>
              </w:rPr>
              <w:t>Depósitos en garantía por operaciones con tarjetas de crédito</w:t>
            </w:r>
          </w:p>
        </w:tc>
        <w:tc>
          <w:tcPr>
            <w:tcW w:w="778" w:type="pct"/>
            <w:tcBorders>
              <w:left w:val="single" w:sz="4" w:space="0" w:color="auto"/>
              <w:bottom w:val="single" w:sz="6" w:space="0" w:color="auto"/>
              <w:right w:val="single" w:sz="4" w:space="0" w:color="auto"/>
            </w:tcBorders>
            <w:shd w:val="clear" w:color="auto" w:fill="auto"/>
            <w:noWrap/>
            <w:vAlign w:val="bottom"/>
          </w:tcPr>
          <w:p w14:paraId="246D779C" w14:textId="344E9A31" w:rsidR="00E52346" w:rsidRPr="00037C01" w:rsidRDefault="00B85329" w:rsidP="00E52346">
            <w:pPr>
              <w:tabs>
                <w:tab w:val="left" w:pos="142"/>
              </w:tabs>
              <w:jc w:val="right"/>
              <w:rPr>
                <w:rFonts w:ascii="Arial" w:hAnsi="Arial" w:cs="Arial"/>
                <w:sz w:val="18"/>
              </w:rPr>
            </w:pPr>
            <w:r>
              <w:rPr>
                <w:rFonts w:ascii="Arial" w:hAnsi="Arial" w:cs="Arial"/>
                <w:sz w:val="18"/>
              </w:rPr>
              <w:t>317.407</w:t>
            </w:r>
          </w:p>
        </w:tc>
        <w:tc>
          <w:tcPr>
            <w:tcW w:w="765" w:type="pct"/>
            <w:tcBorders>
              <w:left w:val="single" w:sz="4" w:space="0" w:color="auto"/>
              <w:bottom w:val="single" w:sz="6" w:space="0" w:color="auto"/>
              <w:right w:val="single" w:sz="4" w:space="0" w:color="auto"/>
            </w:tcBorders>
            <w:shd w:val="clear" w:color="auto" w:fill="auto"/>
            <w:noWrap/>
            <w:vAlign w:val="bottom"/>
          </w:tcPr>
          <w:p w14:paraId="16925DD6" w14:textId="3E74552B" w:rsidR="00E52346" w:rsidRPr="00037C01" w:rsidRDefault="00E52346" w:rsidP="00E52346">
            <w:pPr>
              <w:tabs>
                <w:tab w:val="left" w:pos="142"/>
              </w:tabs>
              <w:jc w:val="right"/>
              <w:rPr>
                <w:rFonts w:ascii="Arial" w:hAnsi="Arial" w:cs="Arial"/>
                <w:sz w:val="18"/>
              </w:rPr>
            </w:pPr>
            <w:r w:rsidRPr="00037C01">
              <w:rPr>
                <w:rFonts w:ascii="Arial" w:hAnsi="Arial" w:cs="Arial"/>
                <w:sz w:val="18"/>
              </w:rPr>
              <w:t>244.417</w:t>
            </w:r>
          </w:p>
        </w:tc>
      </w:tr>
      <w:tr w:rsidR="00E52346" w:rsidRPr="00037C01" w14:paraId="7B5DCA73" w14:textId="77777777" w:rsidTr="00037C01">
        <w:trPr>
          <w:trHeight w:val="263"/>
          <w:jc w:val="center"/>
        </w:trPr>
        <w:tc>
          <w:tcPr>
            <w:tcW w:w="3457" w:type="pct"/>
            <w:tcBorders>
              <w:top w:val="single" w:sz="6" w:space="0" w:color="auto"/>
              <w:left w:val="single" w:sz="4" w:space="0" w:color="auto"/>
              <w:bottom w:val="single" w:sz="6" w:space="0" w:color="auto"/>
              <w:right w:val="single" w:sz="4" w:space="0" w:color="auto"/>
            </w:tcBorders>
            <w:shd w:val="clear" w:color="auto" w:fill="auto"/>
            <w:noWrap/>
            <w:vAlign w:val="bottom"/>
          </w:tcPr>
          <w:p w14:paraId="1F9DDF16" w14:textId="77777777" w:rsidR="00E52346" w:rsidRPr="00037C01" w:rsidRDefault="00E52346" w:rsidP="00534414">
            <w:pPr>
              <w:tabs>
                <w:tab w:val="left" w:pos="142"/>
              </w:tabs>
              <w:rPr>
                <w:rFonts w:ascii="Arial" w:hAnsi="Arial" w:cs="Arial"/>
                <w:sz w:val="18"/>
              </w:rPr>
            </w:pPr>
            <w:r w:rsidRPr="00037C01">
              <w:rPr>
                <w:rFonts w:ascii="Arial" w:hAnsi="Arial" w:cs="Arial"/>
                <w:sz w:val="18"/>
              </w:rPr>
              <w:t>Aforos por operaciones de pase</w:t>
            </w:r>
          </w:p>
        </w:tc>
        <w:tc>
          <w:tcPr>
            <w:tcW w:w="778" w:type="pct"/>
            <w:tcBorders>
              <w:top w:val="single" w:sz="6" w:space="0" w:color="auto"/>
              <w:left w:val="single" w:sz="4" w:space="0" w:color="auto"/>
              <w:bottom w:val="single" w:sz="6" w:space="0" w:color="auto"/>
              <w:right w:val="single" w:sz="4" w:space="0" w:color="auto"/>
            </w:tcBorders>
            <w:shd w:val="clear" w:color="auto" w:fill="auto"/>
            <w:noWrap/>
            <w:vAlign w:val="bottom"/>
          </w:tcPr>
          <w:p w14:paraId="06841B0C" w14:textId="1FC29410" w:rsidR="00E52346" w:rsidRPr="00037C01" w:rsidRDefault="00B85329" w:rsidP="00E52346">
            <w:pPr>
              <w:tabs>
                <w:tab w:val="left" w:pos="142"/>
              </w:tabs>
              <w:jc w:val="right"/>
              <w:rPr>
                <w:rFonts w:ascii="Arial" w:hAnsi="Arial" w:cs="Arial"/>
                <w:sz w:val="18"/>
              </w:rPr>
            </w:pPr>
            <w:r>
              <w:rPr>
                <w:rFonts w:ascii="Arial" w:hAnsi="Arial" w:cs="Arial"/>
                <w:sz w:val="18"/>
              </w:rPr>
              <w:t>23.880</w:t>
            </w:r>
          </w:p>
        </w:tc>
        <w:tc>
          <w:tcPr>
            <w:tcW w:w="765" w:type="pct"/>
            <w:tcBorders>
              <w:top w:val="single" w:sz="6" w:space="0" w:color="auto"/>
              <w:left w:val="single" w:sz="4" w:space="0" w:color="auto"/>
              <w:bottom w:val="single" w:sz="6" w:space="0" w:color="auto"/>
              <w:right w:val="single" w:sz="4" w:space="0" w:color="auto"/>
            </w:tcBorders>
            <w:shd w:val="clear" w:color="auto" w:fill="auto"/>
            <w:noWrap/>
            <w:vAlign w:val="bottom"/>
          </w:tcPr>
          <w:p w14:paraId="150E5CDA" w14:textId="2668B062" w:rsidR="00E52346" w:rsidRPr="00037C01" w:rsidRDefault="00E52346" w:rsidP="00E52346">
            <w:pPr>
              <w:tabs>
                <w:tab w:val="left" w:pos="142"/>
              </w:tabs>
              <w:jc w:val="right"/>
              <w:rPr>
                <w:rFonts w:ascii="Arial" w:hAnsi="Arial" w:cs="Arial"/>
                <w:sz w:val="18"/>
              </w:rPr>
            </w:pPr>
            <w:r w:rsidRPr="00037C01">
              <w:rPr>
                <w:rFonts w:ascii="Arial" w:hAnsi="Arial" w:cs="Arial"/>
                <w:sz w:val="18"/>
              </w:rPr>
              <w:t>-</w:t>
            </w:r>
          </w:p>
        </w:tc>
      </w:tr>
      <w:tr w:rsidR="00E52346" w:rsidRPr="00037C01" w14:paraId="07304FCA" w14:textId="77777777" w:rsidTr="00037C01">
        <w:trPr>
          <w:trHeight w:val="263"/>
          <w:jc w:val="center"/>
        </w:trPr>
        <w:tc>
          <w:tcPr>
            <w:tcW w:w="3457" w:type="pct"/>
            <w:tcBorders>
              <w:top w:val="single" w:sz="6" w:space="0" w:color="auto"/>
              <w:left w:val="single" w:sz="4" w:space="0" w:color="auto"/>
              <w:bottom w:val="single" w:sz="4" w:space="0" w:color="auto"/>
              <w:right w:val="single" w:sz="4" w:space="0" w:color="auto"/>
            </w:tcBorders>
            <w:shd w:val="clear" w:color="auto" w:fill="auto"/>
            <w:noWrap/>
            <w:vAlign w:val="bottom"/>
          </w:tcPr>
          <w:p w14:paraId="582C8BB2" w14:textId="77777777" w:rsidR="00E52346" w:rsidRPr="00037C01" w:rsidRDefault="00E52346" w:rsidP="00534414">
            <w:pPr>
              <w:tabs>
                <w:tab w:val="left" w:pos="142"/>
              </w:tabs>
              <w:rPr>
                <w:rFonts w:ascii="Arial" w:hAnsi="Arial" w:cs="Arial"/>
                <w:sz w:val="18"/>
              </w:rPr>
            </w:pPr>
            <w:r w:rsidRPr="00037C01">
              <w:rPr>
                <w:rFonts w:ascii="Arial" w:hAnsi="Arial" w:cs="Arial"/>
                <w:sz w:val="18"/>
              </w:rPr>
              <w:t xml:space="preserve">Otros depósitos en garantía </w:t>
            </w:r>
          </w:p>
        </w:tc>
        <w:tc>
          <w:tcPr>
            <w:tcW w:w="778" w:type="pct"/>
            <w:tcBorders>
              <w:top w:val="single" w:sz="6" w:space="0" w:color="auto"/>
              <w:left w:val="single" w:sz="4" w:space="0" w:color="auto"/>
              <w:bottom w:val="single" w:sz="4" w:space="0" w:color="auto"/>
              <w:right w:val="single" w:sz="4" w:space="0" w:color="auto"/>
            </w:tcBorders>
            <w:shd w:val="clear" w:color="auto" w:fill="auto"/>
            <w:noWrap/>
            <w:vAlign w:val="bottom"/>
          </w:tcPr>
          <w:p w14:paraId="3FF8177C" w14:textId="1F1AC3D2" w:rsidR="00E52346" w:rsidRPr="00037C01" w:rsidRDefault="00B85329" w:rsidP="00E52346">
            <w:pPr>
              <w:tabs>
                <w:tab w:val="left" w:pos="142"/>
              </w:tabs>
              <w:jc w:val="right"/>
              <w:rPr>
                <w:rFonts w:ascii="Arial" w:hAnsi="Arial" w:cs="Arial"/>
                <w:sz w:val="18"/>
              </w:rPr>
            </w:pPr>
            <w:r>
              <w:rPr>
                <w:rFonts w:ascii="Arial" w:hAnsi="Arial" w:cs="Arial"/>
                <w:sz w:val="18"/>
              </w:rPr>
              <w:t>158.562</w:t>
            </w:r>
          </w:p>
        </w:tc>
        <w:tc>
          <w:tcPr>
            <w:tcW w:w="765" w:type="pct"/>
            <w:tcBorders>
              <w:top w:val="single" w:sz="6" w:space="0" w:color="auto"/>
              <w:left w:val="single" w:sz="4" w:space="0" w:color="auto"/>
              <w:bottom w:val="single" w:sz="4" w:space="0" w:color="auto"/>
              <w:right w:val="single" w:sz="4" w:space="0" w:color="auto"/>
            </w:tcBorders>
            <w:shd w:val="clear" w:color="auto" w:fill="auto"/>
            <w:noWrap/>
            <w:vAlign w:val="bottom"/>
          </w:tcPr>
          <w:p w14:paraId="2BA9D880" w14:textId="2D5F29B9" w:rsidR="00E52346" w:rsidRPr="00037C01" w:rsidRDefault="00E52346" w:rsidP="00E52346">
            <w:pPr>
              <w:tabs>
                <w:tab w:val="left" w:pos="142"/>
              </w:tabs>
              <w:jc w:val="right"/>
              <w:rPr>
                <w:rFonts w:ascii="Arial" w:hAnsi="Arial" w:cs="Arial"/>
                <w:sz w:val="18"/>
              </w:rPr>
            </w:pPr>
            <w:r w:rsidRPr="00037C01">
              <w:rPr>
                <w:rFonts w:ascii="Arial" w:hAnsi="Arial" w:cs="Arial"/>
                <w:sz w:val="18"/>
              </w:rPr>
              <w:t>113.904</w:t>
            </w:r>
          </w:p>
        </w:tc>
      </w:tr>
      <w:tr w:rsidR="00E52346" w:rsidRPr="00037C01" w14:paraId="4D9B8208" w14:textId="77777777" w:rsidTr="00037C01">
        <w:trPr>
          <w:trHeight w:val="197"/>
          <w:jc w:val="center"/>
        </w:trPr>
        <w:tc>
          <w:tcPr>
            <w:tcW w:w="34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719C92" w14:textId="0EAD9657" w:rsidR="00E52346" w:rsidRPr="00037C01" w:rsidRDefault="0069665B" w:rsidP="00E52346">
            <w:pPr>
              <w:tabs>
                <w:tab w:val="left" w:pos="142"/>
              </w:tabs>
              <w:jc w:val="both"/>
              <w:rPr>
                <w:rFonts w:ascii="Arial" w:hAnsi="Arial" w:cs="Arial"/>
                <w:b/>
                <w:sz w:val="18"/>
              </w:rPr>
            </w:pPr>
            <w:r w:rsidRPr="00037C01">
              <w:rPr>
                <w:rFonts w:ascii="Arial" w:hAnsi="Arial" w:cs="Arial"/>
                <w:b/>
                <w:sz w:val="18"/>
              </w:rPr>
              <w:t>TOTAL</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082FB" w14:textId="49969DA9" w:rsidR="00E52346" w:rsidRPr="00037C01" w:rsidRDefault="00B85329" w:rsidP="00E52346">
            <w:pPr>
              <w:tabs>
                <w:tab w:val="left" w:pos="142"/>
              </w:tabs>
              <w:jc w:val="right"/>
              <w:rPr>
                <w:rFonts w:ascii="Arial" w:hAnsi="Arial" w:cs="Arial"/>
                <w:b/>
                <w:bCs/>
                <w:sz w:val="18"/>
              </w:rPr>
            </w:pPr>
            <w:r>
              <w:rPr>
                <w:rFonts w:ascii="Arial" w:hAnsi="Arial" w:cs="Arial"/>
                <w:b/>
                <w:bCs/>
                <w:sz w:val="18"/>
              </w:rPr>
              <w:t>4.729.094</w:t>
            </w: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FD86E9" w14:textId="250AEEBA" w:rsidR="00E52346" w:rsidRPr="00037C01" w:rsidRDefault="00E52346" w:rsidP="00E52346">
            <w:pPr>
              <w:tabs>
                <w:tab w:val="left" w:pos="142"/>
              </w:tabs>
              <w:jc w:val="right"/>
              <w:rPr>
                <w:rFonts w:ascii="Arial" w:hAnsi="Arial" w:cs="Arial"/>
                <w:b/>
                <w:bCs/>
                <w:sz w:val="18"/>
              </w:rPr>
            </w:pPr>
            <w:r w:rsidRPr="00037C01">
              <w:rPr>
                <w:rFonts w:ascii="Arial" w:hAnsi="Arial" w:cs="Arial"/>
                <w:b/>
                <w:bCs/>
                <w:sz w:val="18"/>
              </w:rPr>
              <w:t>2.001.765</w:t>
            </w:r>
          </w:p>
        </w:tc>
      </w:tr>
    </w:tbl>
    <w:p w14:paraId="42555117" w14:textId="5C17F208" w:rsidR="00F53550" w:rsidRPr="00701F32" w:rsidRDefault="00F53550">
      <w:pPr>
        <w:rPr>
          <w:rFonts w:ascii="Arial" w:hAnsi="Arial" w:cs="Arial"/>
          <w:b/>
          <w:sz w:val="20"/>
        </w:rPr>
      </w:pPr>
    </w:p>
    <w:p w14:paraId="5E14C807" w14:textId="6F144258" w:rsidR="00A06BE9" w:rsidRPr="00701F32" w:rsidRDefault="00032EC8" w:rsidP="00A06BE9">
      <w:pPr>
        <w:tabs>
          <w:tab w:val="left" w:pos="142"/>
          <w:tab w:val="left" w:pos="9923"/>
        </w:tabs>
        <w:spacing w:after="200" w:line="276" w:lineRule="auto"/>
        <w:contextualSpacing/>
        <w:jc w:val="both"/>
        <w:rPr>
          <w:rFonts w:ascii="Arial" w:hAnsi="Arial" w:cs="Arial"/>
          <w:b/>
          <w:sz w:val="20"/>
        </w:rPr>
      </w:pPr>
      <w:r>
        <w:rPr>
          <w:rFonts w:ascii="Arial" w:hAnsi="Arial" w:cs="Arial"/>
          <w:b/>
          <w:sz w:val="20"/>
        </w:rPr>
        <w:t>14</w:t>
      </w:r>
      <w:r w:rsidR="00A06BE9" w:rsidRPr="00701F32">
        <w:rPr>
          <w:rFonts w:ascii="Arial" w:hAnsi="Arial" w:cs="Arial"/>
          <w:b/>
          <w:sz w:val="20"/>
        </w:rPr>
        <w:t>.3 Aumentos de capital pendientes de autorización</w:t>
      </w:r>
    </w:p>
    <w:p w14:paraId="5E4AAB3A" w14:textId="77777777" w:rsidR="00A06BE9" w:rsidRPr="00701F32" w:rsidRDefault="00A06BE9" w:rsidP="00A06BE9">
      <w:pPr>
        <w:tabs>
          <w:tab w:val="left" w:pos="142"/>
        </w:tabs>
        <w:jc w:val="both"/>
        <w:rPr>
          <w:rFonts w:ascii="Arial" w:hAnsi="Arial" w:cs="Arial"/>
          <w:sz w:val="20"/>
        </w:rPr>
      </w:pPr>
    </w:p>
    <w:p w14:paraId="667FF1B9" w14:textId="7B9B4F6B" w:rsidR="00A06BE9" w:rsidRDefault="00A06BE9" w:rsidP="00A06BE9">
      <w:pPr>
        <w:tabs>
          <w:tab w:val="left" w:pos="142"/>
        </w:tabs>
        <w:jc w:val="both"/>
        <w:rPr>
          <w:rFonts w:ascii="Arial" w:hAnsi="Arial" w:cs="Arial"/>
          <w:sz w:val="20"/>
        </w:rPr>
      </w:pPr>
      <w:bookmarkStart w:id="16" w:name="_Hlk23171121"/>
      <w:r w:rsidRPr="00701F32">
        <w:rPr>
          <w:rFonts w:ascii="Arial" w:hAnsi="Arial" w:cs="Arial"/>
          <w:sz w:val="20"/>
        </w:rPr>
        <w:t xml:space="preserve">Se resume a continuación el estado de capital social al cierre del </w:t>
      </w:r>
      <w:r w:rsidR="00032EC8">
        <w:rPr>
          <w:rFonts w:ascii="Arial" w:hAnsi="Arial" w:cs="Arial"/>
          <w:sz w:val="20"/>
        </w:rPr>
        <w:t>ejercicio</w:t>
      </w:r>
      <w:r w:rsidR="00475EFD">
        <w:rPr>
          <w:rFonts w:ascii="Arial" w:hAnsi="Arial" w:cs="Arial"/>
          <w:sz w:val="20"/>
        </w:rPr>
        <w:t xml:space="preserve"> </w:t>
      </w:r>
      <w:r w:rsidRPr="00701F32">
        <w:rPr>
          <w:rFonts w:ascii="Arial" w:hAnsi="Arial" w:cs="Arial"/>
          <w:sz w:val="20"/>
        </w:rPr>
        <w:t>finalizado el 3</w:t>
      </w:r>
      <w:r w:rsidR="00032EC8">
        <w:rPr>
          <w:rFonts w:ascii="Arial" w:hAnsi="Arial" w:cs="Arial"/>
          <w:sz w:val="20"/>
        </w:rPr>
        <w:t>1</w:t>
      </w:r>
      <w:r w:rsidRPr="00701F32">
        <w:rPr>
          <w:rFonts w:ascii="Arial" w:hAnsi="Arial" w:cs="Arial"/>
          <w:sz w:val="20"/>
        </w:rPr>
        <w:t xml:space="preserve"> de </w:t>
      </w:r>
      <w:r w:rsidR="00032EC8">
        <w:rPr>
          <w:rFonts w:ascii="Arial" w:hAnsi="Arial" w:cs="Arial"/>
          <w:sz w:val="20"/>
        </w:rPr>
        <w:t>diciembre</w:t>
      </w:r>
      <w:r w:rsidR="002F3D8F" w:rsidRPr="00701F32">
        <w:rPr>
          <w:rFonts w:ascii="Arial" w:hAnsi="Arial" w:cs="Arial"/>
          <w:sz w:val="20"/>
        </w:rPr>
        <w:t xml:space="preserve"> </w:t>
      </w:r>
      <w:r w:rsidRPr="00701F32">
        <w:rPr>
          <w:rFonts w:ascii="Arial" w:hAnsi="Arial" w:cs="Arial"/>
          <w:sz w:val="20"/>
        </w:rPr>
        <w:t xml:space="preserve">de </w:t>
      </w:r>
      <w:r w:rsidR="002F3D8F" w:rsidRPr="00701F32">
        <w:rPr>
          <w:rFonts w:ascii="Arial" w:hAnsi="Arial" w:cs="Arial"/>
          <w:sz w:val="20"/>
        </w:rPr>
        <w:t>201</w:t>
      </w:r>
      <w:r w:rsidR="002F3D8F">
        <w:rPr>
          <w:rFonts w:ascii="Arial" w:hAnsi="Arial" w:cs="Arial"/>
          <w:sz w:val="20"/>
        </w:rPr>
        <w:t>9</w:t>
      </w:r>
      <w:r w:rsidR="002F3D8F" w:rsidRPr="00701F32">
        <w:rPr>
          <w:rFonts w:ascii="Arial" w:hAnsi="Arial" w:cs="Arial"/>
          <w:sz w:val="20"/>
        </w:rPr>
        <w:t xml:space="preserve"> </w:t>
      </w:r>
      <w:r w:rsidRPr="00701F32">
        <w:rPr>
          <w:rFonts w:ascii="Arial" w:hAnsi="Arial" w:cs="Arial"/>
          <w:sz w:val="20"/>
        </w:rPr>
        <w:t>a partir de los últimos 3 ejercicios anteriores:</w:t>
      </w:r>
    </w:p>
    <w:p w14:paraId="5B79E4F8" w14:textId="77777777" w:rsidR="00475EFD" w:rsidRPr="00701F32" w:rsidRDefault="00475EFD" w:rsidP="00A06BE9">
      <w:pPr>
        <w:tabs>
          <w:tab w:val="left" w:pos="142"/>
        </w:tabs>
        <w:jc w:val="both"/>
        <w:rPr>
          <w:rFonts w:ascii="Arial" w:hAnsi="Arial" w:cs="Arial"/>
          <w:sz w:val="20"/>
        </w:rPr>
      </w:pPr>
    </w:p>
    <w:tbl>
      <w:tblPr>
        <w:tblW w:w="8502" w:type="dxa"/>
        <w:tblInd w:w="53" w:type="dxa"/>
        <w:tblLayout w:type="fixed"/>
        <w:tblCellMar>
          <w:left w:w="70" w:type="dxa"/>
          <w:right w:w="70" w:type="dxa"/>
        </w:tblCellMar>
        <w:tblLook w:val="04A0" w:firstRow="1" w:lastRow="0" w:firstColumn="1" w:lastColumn="0" w:noHBand="0" w:noVBand="1"/>
      </w:tblPr>
      <w:tblGrid>
        <w:gridCol w:w="4201"/>
        <w:gridCol w:w="1748"/>
        <w:gridCol w:w="1347"/>
        <w:gridCol w:w="1206"/>
      </w:tblGrid>
      <w:tr w:rsidR="00A06BE9" w:rsidRPr="00701F32" w14:paraId="35A51E09" w14:textId="77777777" w:rsidTr="00037C01">
        <w:trPr>
          <w:trHeight w:val="276"/>
          <w:tblHeader/>
        </w:trPr>
        <w:tc>
          <w:tcPr>
            <w:tcW w:w="42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A59F83" w14:textId="77777777" w:rsidR="00A06BE9" w:rsidRPr="00701F32" w:rsidRDefault="00A06BE9" w:rsidP="003A48DB">
            <w:pPr>
              <w:jc w:val="center"/>
              <w:rPr>
                <w:rFonts w:ascii="Arial" w:hAnsi="Arial" w:cs="Arial"/>
                <w:b/>
                <w:bCs/>
                <w:sz w:val="18"/>
                <w:lang w:eastAsia="es-AR"/>
              </w:rPr>
            </w:pPr>
            <w:bookmarkStart w:id="17" w:name="OLE_LINK1"/>
            <w:r w:rsidRPr="00701F32">
              <w:rPr>
                <w:rFonts w:ascii="Arial" w:hAnsi="Arial" w:cs="Arial"/>
                <w:b/>
                <w:bCs/>
                <w:sz w:val="18"/>
                <w:lang w:eastAsia="es-AR"/>
              </w:rPr>
              <w:t>Concepto</w:t>
            </w:r>
          </w:p>
        </w:tc>
        <w:tc>
          <w:tcPr>
            <w:tcW w:w="17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E5307E" w14:textId="77777777" w:rsidR="00A06BE9" w:rsidRPr="00701F32" w:rsidRDefault="00A06BE9" w:rsidP="00715216">
            <w:pPr>
              <w:jc w:val="center"/>
              <w:rPr>
                <w:rFonts w:ascii="Arial" w:hAnsi="Arial" w:cs="Arial"/>
                <w:b/>
                <w:bCs/>
                <w:sz w:val="18"/>
                <w:lang w:eastAsia="es-AR"/>
              </w:rPr>
            </w:pPr>
            <w:r w:rsidRPr="00701F32">
              <w:rPr>
                <w:rFonts w:ascii="Arial" w:hAnsi="Arial" w:cs="Arial"/>
                <w:b/>
                <w:bCs/>
                <w:sz w:val="18"/>
                <w:lang w:eastAsia="es-AR"/>
              </w:rPr>
              <w:t>Importe</w:t>
            </w:r>
          </w:p>
        </w:tc>
        <w:tc>
          <w:tcPr>
            <w:tcW w:w="13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822BB0" w14:textId="77777777" w:rsidR="00A06BE9" w:rsidRPr="00701F32" w:rsidRDefault="00A06BE9" w:rsidP="00AB4F04">
            <w:pPr>
              <w:jc w:val="center"/>
              <w:rPr>
                <w:rFonts w:ascii="Arial" w:hAnsi="Arial" w:cs="Arial"/>
                <w:b/>
                <w:bCs/>
                <w:sz w:val="18"/>
                <w:lang w:eastAsia="es-AR"/>
              </w:rPr>
            </w:pPr>
            <w:r w:rsidRPr="00701F32">
              <w:rPr>
                <w:rFonts w:ascii="Arial" w:hAnsi="Arial" w:cs="Arial"/>
                <w:b/>
                <w:bCs/>
                <w:sz w:val="18"/>
                <w:lang w:eastAsia="es-AR"/>
              </w:rPr>
              <w:t>Saldo del Capital Social</w:t>
            </w:r>
          </w:p>
        </w:tc>
        <w:tc>
          <w:tcPr>
            <w:tcW w:w="12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D2D793" w14:textId="77777777" w:rsidR="00A06BE9" w:rsidRPr="00701F32" w:rsidRDefault="00A06BE9" w:rsidP="00283E0C">
            <w:pPr>
              <w:jc w:val="center"/>
              <w:rPr>
                <w:rFonts w:ascii="Arial" w:hAnsi="Arial" w:cs="Arial"/>
                <w:b/>
                <w:bCs/>
                <w:sz w:val="18"/>
                <w:lang w:eastAsia="es-AR"/>
              </w:rPr>
            </w:pPr>
            <w:r w:rsidRPr="00701F32">
              <w:rPr>
                <w:rFonts w:ascii="Arial" w:hAnsi="Arial" w:cs="Arial"/>
                <w:b/>
                <w:bCs/>
                <w:sz w:val="18"/>
                <w:lang w:eastAsia="es-AR"/>
              </w:rPr>
              <w:t>Fecha de inscripción en la IGJ</w:t>
            </w:r>
          </w:p>
        </w:tc>
      </w:tr>
      <w:tr w:rsidR="00A06BE9" w:rsidRPr="00701F32" w14:paraId="79E76FD0" w14:textId="77777777" w:rsidTr="00037C01">
        <w:trPr>
          <w:trHeight w:val="284"/>
          <w:tblHeader/>
        </w:trPr>
        <w:tc>
          <w:tcPr>
            <w:tcW w:w="4201" w:type="dxa"/>
            <w:vMerge/>
            <w:tcBorders>
              <w:top w:val="nil"/>
              <w:left w:val="single" w:sz="4" w:space="0" w:color="auto"/>
              <w:bottom w:val="single" w:sz="4" w:space="0" w:color="auto"/>
              <w:right w:val="single" w:sz="4" w:space="0" w:color="auto"/>
            </w:tcBorders>
            <w:vAlign w:val="center"/>
            <w:hideMark/>
          </w:tcPr>
          <w:p w14:paraId="1A7E0E06" w14:textId="77777777" w:rsidR="00A06BE9" w:rsidRPr="00701F32" w:rsidRDefault="00A06BE9" w:rsidP="00464C0F">
            <w:pPr>
              <w:jc w:val="both"/>
              <w:rPr>
                <w:rFonts w:ascii="Arial" w:hAnsi="Arial" w:cs="Arial"/>
                <w:b/>
                <w:bCs/>
                <w:sz w:val="18"/>
                <w:lang w:eastAsia="es-AR"/>
              </w:rPr>
            </w:pPr>
          </w:p>
        </w:tc>
        <w:tc>
          <w:tcPr>
            <w:tcW w:w="1748" w:type="dxa"/>
            <w:vMerge/>
            <w:tcBorders>
              <w:top w:val="nil"/>
              <w:left w:val="single" w:sz="4" w:space="0" w:color="auto"/>
              <w:bottom w:val="single" w:sz="4" w:space="0" w:color="auto"/>
              <w:right w:val="single" w:sz="4" w:space="0" w:color="auto"/>
            </w:tcBorders>
            <w:vAlign w:val="center"/>
            <w:hideMark/>
          </w:tcPr>
          <w:p w14:paraId="70ECABFB" w14:textId="77777777" w:rsidR="00A06BE9" w:rsidRPr="00701F32" w:rsidRDefault="00A06BE9" w:rsidP="00464C0F">
            <w:pPr>
              <w:jc w:val="both"/>
              <w:rPr>
                <w:rFonts w:ascii="Arial" w:hAnsi="Arial" w:cs="Arial"/>
                <w:b/>
                <w:bCs/>
                <w:sz w:val="18"/>
                <w:lang w:eastAsia="es-AR"/>
              </w:rPr>
            </w:pPr>
          </w:p>
        </w:tc>
        <w:tc>
          <w:tcPr>
            <w:tcW w:w="1347" w:type="dxa"/>
            <w:vMerge/>
            <w:tcBorders>
              <w:top w:val="nil"/>
              <w:left w:val="single" w:sz="4" w:space="0" w:color="auto"/>
              <w:bottom w:val="single" w:sz="4" w:space="0" w:color="auto"/>
              <w:right w:val="single" w:sz="4" w:space="0" w:color="auto"/>
            </w:tcBorders>
            <w:vAlign w:val="center"/>
            <w:hideMark/>
          </w:tcPr>
          <w:p w14:paraId="428EB80A" w14:textId="77777777" w:rsidR="00A06BE9" w:rsidRPr="00701F32" w:rsidRDefault="00A06BE9" w:rsidP="00464C0F">
            <w:pPr>
              <w:jc w:val="center"/>
              <w:rPr>
                <w:rFonts w:ascii="Arial" w:hAnsi="Arial" w:cs="Arial"/>
                <w:b/>
                <w:bCs/>
                <w:sz w:val="18"/>
                <w:lang w:eastAsia="es-AR"/>
              </w:rPr>
            </w:pPr>
          </w:p>
        </w:tc>
        <w:tc>
          <w:tcPr>
            <w:tcW w:w="1206" w:type="dxa"/>
            <w:vMerge/>
            <w:tcBorders>
              <w:top w:val="nil"/>
              <w:left w:val="single" w:sz="4" w:space="0" w:color="auto"/>
              <w:bottom w:val="single" w:sz="4" w:space="0" w:color="auto"/>
              <w:right w:val="single" w:sz="4" w:space="0" w:color="auto"/>
            </w:tcBorders>
            <w:vAlign w:val="center"/>
            <w:hideMark/>
          </w:tcPr>
          <w:p w14:paraId="78373B36" w14:textId="77777777" w:rsidR="00A06BE9" w:rsidRPr="00701F32" w:rsidRDefault="00A06BE9" w:rsidP="00464C0F">
            <w:pPr>
              <w:jc w:val="both"/>
              <w:rPr>
                <w:rFonts w:ascii="Arial" w:hAnsi="Arial" w:cs="Arial"/>
                <w:b/>
                <w:bCs/>
                <w:sz w:val="18"/>
                <w:lang w:eastAsia="es-AR"/>
              </w:rPr>
            </w:pPr>
          </w:p>
        </w:tc>
      </w:tr>
      <w:tr w:rsidR="00A06BE9" w:rsidRPr="00701F32" w14:paraId="775808D7" w14:textId="77777777" w:rsidTr="00037C01">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FA7A0" w14:textId="1BDDC544" w:rsidR="00A06BE9" w:rsidRPr="00701F32" w:rsidRDefault="00A06BE9" w:rsidP="0085237C">
            <w:pPr>
              <w:rPr>
                <w:rFonts w:ascii="Arial" w:hAnsi="Arial" w:cs="Arial"/>
                <w:b/>
                <w:bCs/>
                <w:sz w:val="18"/>
                <w:lang w:eastAsia="es-AR"/>
              </w:rPr>
            </w:pPr>
            <w:r w:rsidRPr="00701F32">
              <w:rPr>
                <w:rFonts w:ascii="Arial" w:hAnsi="Arial" w:cs="Arial"/>
                <w:b/>
                <w:bCs/>
                <w:sz w:val="18"/>
              </w:rPr>
              <w:t>Saldo del Capital Social al 31</w:t>
            </w:r>
            <w:r w:rsidR="0085237C">
              <w:rPr>
                <w:rFonts w:ascii="Arial" w:hAnsi="Arial" w:cs="Arial"/>
                <w:b/>
                <w:bCs/>
                <w:sz w:val="18"/>
              </w:rPr>
              <w:t>/</w:t>
            </w:r>
            <w:r w:rsidRPr="00701F32">
              <w:rPr>
                <w:rFonts w:ascii="Arial" w:hAnsi="Arial" w:cs="Arial"/>
                <w:b/>
                <w:bCs/>
                <w:sz w:val="18"/>
              </w:rPr>
              <w:t>12</w:t>
            </w:r>
            <w:r w:rsidR="0085237C">
              <w:rPr>
                <w:rFonts w:ascii="Arial" w:hAnsi="Arial" w:cs="Arial"/>
                <w:b/>
                <w:bCs/>
                <w:sz w:val="18"/>
              </w:rPr>
              <w:t>/</w:t>
            </w:r>
            <w:r w:rsidRPr="00701F32">
              <w:rPr>
                <w:rFonts w:ascii="Arial" w:hAnsi="Arial" w:cs="Arial"/>
                <w:b/>
                <w:bCs/>
                <w:sz w:val="18"/>
              </w:rPr>
              <w:t>16</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E6617" w14:textId="77777777" w:rsidR="00A06BE9" w:rsidRPr="00701F32" w:rsidRDefault="00A06BE9" w:rsidP="00037C01">
            <w:pPr>
              <w:jc w:val="center"/>
              <w:rPr>
                <w:rFonts w:ascii="Arial" w:hAnsi="Arial" w:cs="Arial"/>
                <w:sz w:val="18"/>
                <w:lang w:eastAsia="es-AR"/>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F4656" w14:textId="77777777" w:rsidR="00A06BE9" w:rsidRPr="00701F32" w:rsidRDefault="00A06BE9" w:rsidP="00037C01">
            <w:pPr>
              <w:jc w:val="center"/>
              <w:rPr>
                <w:rFonts w:ascii="Arial" w:hAnsi="Arial" w:cs="Arial"/>
                <w:b/>
                <w:bCs/>
                <w:sz w:val="18"/>
                <w:lang w:eastAsia="es-AR"/>
              </w:rPr>
            </w:pPr>
            <w:r w:rsidRPr="00701F32">
              <w:rPr>
                <w:rFonts w:ascii="Arial" w:hAnsi="Arial" w:cs="Arial"/>
                <w:b/>
                <w:bCs/>
                <w:sz w:val="18"/>
                <w:lang w:eastAsia="es-AR"/>
              </w:rPr>
              <w:t>638.</w:t>
            </w:r>
            <w:r w:rsidR="00010ECB" w:rsidRPr="00701F32">
              <w:rPr>
                <w:rFonts w:ascii="Arial" w:hAnsi="Arial" w:cs="Arial"/>
                <w:b/>
                <w:bCs/>
                <w:sz w:val="18"/>
                <w:lang w:eastAsia="es-AR"/>
              </w:rPr>
              <w:t>283</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A441C" w14:textId="77777777" w:rsidR="00A06BE9" w:rsidRPr="00701F32" w:rsidRDefault="00A06BE9" w:rsidP="00037C01">
            <w:pPr>
              <w:jc w:val="center"/>
              <w:rPr>
                <w:rFonts w:ascii="Arial" w:hAnsi="Arial" w:cs="Arial"/>
                <w:sz w:val="18"/>
                <w:lang w:eastAsia="es-AR"/>
              </w:rPr>
            </w:pPr>
          </w:p>
          <w:p w14:paraId="74D3AB1A" w14:textId="77777777" w:rsidR="00A06BE9" w:rsidRPr="00701F32" w:rsidRDefault="00A06BE9" w:rsidP="00037C01">
            <w:pPr>
              <w:jc w:val="center"/>
              <w:rPr>
                <w:rFonts w:ascii="Arial" w:hAnsi="Arial" w:cs="Arial"/>
                <w:sz w:val="18"/>
                <w:lang w:eastAsia="es-AR"/>
              </w:rPr>
            </w:pPr>
          </w:p>
        </w:tc>
      </w:tr>
      <w:tr w:rsidR="00A06BE9" w:rsidRPr="00701F32" w14:paraId="2C61F505" w14:textId="77777777" w:rsidTr="00037C01">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81ED0" w14:textId="77777777" w:rsidR="00A06BE9" w:rsidRPr="00701F32" w:rsidRDefault="00A06BE9" w:rsidP="00464C0F">
            <w:pPr>
              <w:rPr>
                <w:rFonts w:ascii="Arial" w:hAnsi="Arial" w:cs="Arial"/>
                <w:sz w:val="18"/>
                <w:lang w:eastAsia="es-AR"/>
              </w:rPr>
            </w:pPr>
            <w:r w:rsidRPr="00701F32">
              <w:rPr>
                <w:rFonts w:ascii="Arial" w:hAnsi="Arial" w:cs="Arial"/>
                <w:sz w:val="18"/>
                <w:lang w:eastAsia="es-AR"/>
              </w:rPr>
              <w:t xml:space="preserve">Aumento de capital según Asamblea </w:t>
            </w:r>
            <w:r w:rsidR="009551F7" w:rsidRPr="00701F32">
              <w:rPr>
                <w:rFonts w:ascii="Arial" w:hAnsi="Arial" w:cs="Arial"/>
                <w:sz w:val="18"/>
                <w:lang w:eastAsia="es-AR"/>
              </w:rPr>
              <w:t xml:space="preserve">Ordinaria y </w:t>
            </w:r>
            <w:r w:rsidRPr="00701F32">
              <w:rPr>
                <w:rFonts w:ascii="Arial" w:hAnsi="Arial" w:cs="Arial"/>
                <w:sz w:val="18"/>
                <w:lang w:eastAsia="es-AR"/>
              </w:rPr>
              <w:t>Extraordinaria de Accionistas del 04-05-2017</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2CB08" w14:textId="77777777" w:rsidR="00A06BE9" w:rsidRPr="00701F32" w:rsidRDefault="00A06BE9" w:rsidP="00037C01">
            <w:pPr>
              <w:jc w:val="center"/>
              <w:rPr>
                <w:rFonts w:ascii="Arial" w:hAnsi="Arial" w:cs="Arial"/>
                <w:sz w:val="18"/>
                <w:lang w:eastAsia="es-AR"/>
              </w:rPr>
            </w:pPr>
            <w:r w:rsidRPr="00701F32">
              <w:rPr>
                <w:rFonts w:ascii="Arial" w:hAnsi="Arial" w:cs="Arial"/>
                <w:sz w:val="18"/>
                <w:lang w:eastAsia="es-AR"/>
              </w:rPr>
              <w:t>4.59</w:t>
            </w:r>
            <w:r w:rsidR="00010ECB" w:rsidRPr="00701F32">
              <w:rPr>
                <w:rFonts w:ascii="Arial" w:hAnsi="Arial" w:cs="Arial"/>
                <w:sz w:val="18"/>
                <w:lang w:eastAsia="es-AR"/>
              </w:rPr>
              <w:t>4</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3D7F6" w14:textId="77777777" w:rsidR="00A06BE9" w:rsidRPr="00701F32" w:rsidRDefault="00A06BE9" w:rsidP="00037C01">
            <w:pPr>
              <w:jc w:val="center"/>
              <w:rPr>
                <w:rFonts w:ascii="Arial" w:hAnsi="Arial" w:cs="Arial"/>
                <w:sz w:val="18"/>
                <w:lang w:eastAsia="es-AR"/>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0BAFA" w14:textId="78DF51C7" w:rsidR="00A06BE9" w:rsidRPr="00701F32" w:rsidRDefault="00903C3B" w:rsidP="00037C01">
            <w:pPr>
              <w:jc w:val="center"/>
              <w:rPr>
                <w:rFonts w:ascii="Arial" w:hAnsi="Arial" w:cs="Arial"/>
                <w:sz w:val="18"/>
                <w:lang w:eastAsia="es-AR"/>
              </w:rPr>
            </w:pPr>
            <w:r>
              <w:rPr>
                <w:rFonts w:ascii="Arial" w:hAnsi="Arial" w:cs="Arial"/>
                <w:bCs/>
                <w:sz w:val="18"/>
              </w:rPr>
              <w:t>11-01-2019</w:t>
            </w:r>
          </w:p>
        </w:tc>
      </w:tr>
      <w:tr w:rsidR="00A06BE9" w:rsidRPr="00701F32" w14:paraId="182AEF8B" w14:textId="77777777" w:rsidTr="00037C01">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17F62" w14:textId="77777777" w:rsidR="00A06BE9" w:rsidRPr="00701F32" w:rsidRDefault="00A06BE9" w:rsidP="00464C0F">
            <w:pPr>
              <w:rPr>
                <w:rFonts w:ascii="Arial" w:hAnsi="Arial" w:cs="Arial"/>
                <w:sz w:val="18"/>
                <w:lang w:eastAsia="es-AR"/>
              </w:rPr>
            </w:pPr>
            <w:r w:rsidRPr="00701F32">
              <w:rPr>
                <w:rFonts w:ascii="Arial" w:hAnsi="Arial" w:cs="Arial"/>
                <w:sz w:val="18"/>
                <w:lang w:eastAsia="es-AR"/>
              </w:rPr>
              <w:t>Aumento de capital según Asamblea Ordinaria de Accionistas del 24-11-2017</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09FC7" w14:textId="77777777" w:rsidR="00A06BE9" w:rsidRPr="00701F32" w:rsidRDefault="00A06BE9" w:rsidP="00037C01">
            <w:pPr>
              <w:jc w:val="center"/>
              <w:rPr>
                <w:rFonts w:ascii="Arial" w:hAnsi="Arial" w:cs="Arial"/>
                <w:sz w:val="18"/>
                <w:lang w:eastAsia="es-AR"/>
              </w:rPr>
            </w:pPr>
            <w:r w:rsidRPr="00701F32">
              <w:rPr>
                <w:rFonts w:ascii="Arial" w:hAnsi="Arial" w:cs="Arial"/>
                <w:sz w:val="18"/>
                <w:lang w:eastAsia="es-AR"/>
              </w:rPr>
              <w:t>101.509</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E7295" w14:textId="77777777" w:rsidR="00A06BE9" w:rsidRPr="00701F32" w:rsidRDefault="00A06BE9" w:rsidP="00037C01">
            <w:pPr>
              <w:jc w:val="center"/>
              <w:rPr>
                <w:rFonts w:ascii="Arial" w:hAnsi="Arial" w:cs="Arial"/>
                <w:sz w:val="18"/>
                <w:lang w:eastAsia="es-AR"/>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E7714" w14:textId="0F1707F0" w:rsidR="00A06BE9" w:rsidRPr="00701F32" w:rsidRDefault="00D93778" w:rsidP="00037C01">
            <w:pPr>
              <w:jc w:val="center"/>
              <w:rPr>
                <w:rFonts w:ascii="Arial" w:hAnsi="Arial" w:cs="Arial"/>
                <w:bCs/>
                <w:sz w:val="18"/>
              </w:rPr>
            </w:pPr>
            <w:r>
              <w:rPr>
                <w:rFonts w:ascii="Arial" w:hAnsi="Arial" w:cs="Arial"/>
                <w:bCs/>
                <w:sz w:val="18"/>
              </w:rPr>
              <w:t>15-03-2019</w:t>
            </w:r>
          </w:p>
        </w:tc>
      </w:tr>
      <w:tr w:rsidR="00B419C2" w:rsidRPr="00701F32" w14:paraId="626BDBA8" w14:textId="77777777" w:rsidTr="00037C01">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46097" w14:textId="0910EE59" w:rsidR="00B419C2" w:rsidRPr="00701F32" w:rsidRDefault="00B419C2" w:rsidP="0085237C">
            <w:pPr>
              <w:rPr>
                <w:rFonts w:ascii="Arial" w:hAnsi="Arial" w:cs="Arial"/>
                <w:b/>
                <w:bCs/>
                <w:sz w:val="18"/>
                <w:lang w:eastAsia="es-AR"/>
              </w:rPr>
            </w:pPr>
            <w:r w:rsidRPr="00701F32">
              <w:rPr>
                <w:rFonts w:ascii="Arial" w:hAnsi="Arial" w:cs="Arial"/>
                <w:b/>
                <w:bCs/>
                <w:sz w:val="18"/>
              </w:rPr>
              <w:t>Saldo del Capital Social al 31</w:t>
            </w:r>
            <w:r w:rsidR="0085237C">
              <w:rPr>
                <w:rFonts w:ascii="Arial" w:hAnsi="Arial" w:cs="Arial"/>
                <w:b/>
                <w:bCs/>
                <w:sz w:val="18"/>
              </w:rPr>
              <w:t>/</w:t>
            </w:r>
            <w:r w:rsidRPr="00701F32">
              <w:rPr>
                <w:rFonts w:ascii="Arial" w:hAnsi="Arial" w:cs="Arial"/>
                <w:b/>
                <w:bCs/>
                <w:sz w:val="18"/>
              </w:rPr>
              <w:t>12</w:t>
            </w:r>
            <w:r w:rsidR="0085237C">
              <w:rPr>
                <w:rFonts w:ascii="Arial" w:hAnsi="Arial" w:cs="Arial"/>
                <w:b/>
                <w:bCs/>
                <w:sz w:val="18"/>
              </w:rPr>
              <w:t>/</w:t>
            </w:r>
            <w:r w:rsidRPr="00701F32">
              <w:rPr>
                <w:rFonts w:ascii="Arial" w:hAnsi="Arial" w:cs="Arial"/>
                <w:b/>
                <w:bCs/>
                <w:sz w:val="18"/>
              </w:rPr>
              <w:t>17</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6A6A6D" w14:textId="77777777" w:rsidR="00B419C2" w:rsidRPr="00701F32" w:rsidRDefault="00B419C2" w:rsidP="00037C01">
            <w:pPr>
              <w:jc w:val="center"/>
              <w:rPr>
                <w:rFonts w:ascii="Arial" w:hAnsi="Arial" w:cs="Arial"/>
                <w:sz w:val="18"/>
                <w:lang w:eastAsia="es-AR"/>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81D52E" w14:textId="77777777" w:rsidR="00B419C2" w:rsidRPr="00701F32" w:rsidRDefault="00B419C2" w:rsidP="00037C01">
            <w:pPr>
              <w:jc w:val="center"/>
              <w:rPr>
                <w:rFonts w:ascii="Arial" w:hAnsi="Arial" w:cs="Arial"/>
                <w:b/>
                <w:bCs/>
                <w:sz w:val="18"/>
                <w:lang w:eastAsia="es-AR"/>
              </w:rPr>
            </w:pPr>
            <w:r w:rsidRPr="00701F32">
              <w:rPr>
                <w:rFonts w:ascii="Arial" w:hAnsi="Arial" w:cs="Arial"/>
                <w:b/>
                <w:bCs/>
                <w:sz w:val="18"/>
                <w:lang w:eastAsia="es-AR"/>
              </w:rPr>
              <w:t>744.38</w:t>
            </w:r>
            <w:r w:rsidR="006624FB" w:rsidRPr="00701F32">
              <w:rPr>
                <w:rFonts w:ascii="Arial" w:hAnsi="Arial" w:cs="Arial"/>
                <w:b/>
                <w:bCs/>
                <w:sz w:val="18"/>
                <w:lang w:eastAsia="es-AR"/>
              </w:rPr>
              <w:t>6</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DC09AC" w14:textId="77777777" w:rsidR="00B419C2" w:rsidRPr="00701F32" w:rsidRDefault="00B419C2" w:rsidP="00037C01">
            <w:pPr>
              <w:jc w:val="center"/>
              <w:rPr>
                <w:rFonts w:ascii="Arial" w:hAnsi="Arial" w:cs="Arial"/>
                <w:sz w:val="18"/>
                <w:lang w:eastAsia="es-AR"/>
              </w:rPr>
            </w:pPr>
          </w:p>
        </w:tc>
      </w:tr>
      <w:tr w:rsidR="00B419C2" w:rsidRPr="00701F32" w14:paraId="2D8D5FC9" w14:textId="77777777" w:rsidTr="00037C01">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6A381" w14:textId="77777777" w:rsidR="00B419C2" w:rsidRPr="00701F32" w:rsidRDefault="00B419C2" w:rsidP="00B419C2">
            <w:pPr>
              <w:rPr>
                <w:rFonts w:ascii="Arial" w:hAnsi="Arial" w:cs="Arial"/>
                <w:b/>
                <w:bCs/>
                <w:sz w:val="18"/>
              </w:rPr>
            </w:pPr>
            <w:r w:rsidRPr="00701F32">
              <w:rPr>
                <w:rFonts w:ascii="Arial" w:hAnsi="Arial" w:cs="Arial"/>
                <w:sz w:val="18"/>
                <w:lang w:eastAsia="es-AR"/>
              </w:rPr>
              <w:t xml:space="preserve">Aumento de capital según Asamblea Ordinaria </w:t>
            </w:r>
            <w:r w:rsidR="00C73C7E" w:rsidRPr="00701F32">
              <w:rPr>
                <w:rFonts w:ascii="Arial" w:hAnsi="Arial" w:cs="Arial"/>
                <w:sz w:val="18"/>
                <w:lang w:eastAsia="es-AR"/>
              </w:rPr>
              <w:t xml:space="preserve">y Extraordinaria </w:t>
            </w:r>
            <w:r w:rsidRPr="00701F32">
              <w:rPr>
                <w:rFonts w:ascii="Arial" w:hAnsi="Arial" w:cs="Arial"/>
                <w:sz w:val="18"/>
                <w:lang w:eastAsia="es-AR"/>
              </w:rPr>
              <w:t>de Accionistas del 19-04-2018</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B8625" w14:textId="77777777" w:rsidR="00B419C2" w:rsidRPr="00701F32" w:rsidRDefault="00B419C2" w:rsidP="00037C01">
            <w:pPr>
              <w:jc w:val="center"/>
              <w:rPr>
                <w:rFonts w:ascii="Arial" w:hAnsi="Arial" w:cs="Arial"/>
                <w:sz w:val="18"/>
                <w:lang w:eastAsia="es-AR"/>
              </w:rPr>
            </w:pPr>
            <w:r w:rsidRPr="00701F32">
              <w:rPr>
                <w:rFonts w:ascii="Arial" w:hAnsi="Arial" w:cs="Arial"/>
                <w:sz w:val="18"/>
                <w:lang w:eastAsia="es-AR"/>
              </w:rPr>
              <w:t>27.57</w:t>
            </w:r>
            <w:r w:rsidR="006624FB" w:rsidRPr="00701F32">
              <w:rPr>
                <w:rFonts w:ascii="Arial" w:hAnsi="Arial" w:cs="Arial"/>
                <w:sz w:val="18"/>
                <w:lang w:eastAsia="es-AR"/>
              </w:rPr>
              <w:t>9</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662410" w14:textId="77777777" w:rsidR="00B419C2" w:rsidRPr="00701F32" w:rsidRDefault="00B419C2" w:rsidP="00037C01">
            <w:pPr>
              <w:jc w:val="center"/>
              <w:rPr>
                <w:rFonts w:ascii="Arial" w:hAnsi="Arial" w:cs="Arial"/>
                <w:b/>
                <w:bCs/>
                <w:sz w:val="18"/>
                <w:lang w:eastAsia="es-AR"/>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8265F0" w14:textId="01982FAC" w:rsidR="00B419C2" w:rsidRPr="00701F32" w:rsidRDefault="00D93778" w:rsidP="00037C01">
            <w:pPr>
              <w:jc w:val="center"/>
              <w:rPr>
                <w:rFonts w:ascii="Arial" w:hAnsi="Arial" w:cs="Arial"/>
                <w:sz w:val="18"/>
                <w:lang w:eastAsia="es-AR"/>
              </w:rPr>
            </w:pPr>
            <w:r>
              <w:rPr>
                <w:rFonts w:ascii="Arial" w:hAnsi="Arial" w:cs="Arial"/>
                <w:bCs/>
                <w:sz w:val="18"/>
              </w:rPr>
              <w:t>11-04-2019</w:t>
            </w:r>
          </w:p>
        </w:tc>
      </w:tr>
      <w:tr w:rsidR="003B35BC" w:rsidRPr="00701F32" w14:paraId="2A615166" w14:textId="77777777" w:rsidTr="00037C01">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5638D" w14:textId="5877BB32" w:rsidR="003B35BC" w:rsidRPr="00701F32" w:rsidRDefault="003B35BC" w:rsidP="003B35BC">
            <w:pPr>
              <w:rPr>
                <w:rFonts w:ascii="Arial" w:hAnsi="Arial" w:cs="Arial"/>
                <w:sz w:val="18"/>
                <w:lang w:eastAsia="es-AR"/>
              </w:rPr>
            </w:pPr>
            <w:r w:rsidRPr="00701F32">
              <w:rPr>
                <w:rFonts w:ascii="Arial" w:hAnsi="Arial" w:cs="Arial"/>
                <w:sz w:val="18"/>
                <w:lang w:eastAsia="es-AR"/>
              </w:rPr>
              <w:t>Aumento de c</w:t>
            </w:r>
            <w:r>
              <w:rPr>
                <w:rFonts w:ascii="Arial" w:hAnsi="Arial" w:cs="Arial"/>
                <w:sz w:val="18"/>
                <w:lang w:eastAsia="es-AR"/>
              </w:rPr>
              <w:t>apital según Asamblea Ordinaria</w:t>
            </w:r>
            <w:r w:rsidRPr="00701F32">
              <w:rPr>
                <w:rFonts w:ascii="Arial" w:hAnsi="Arial" w:cs="Arial"/>
                <w:sz w:val="18"/>
                <w:lang w:eastAsia="es-AR"/>
              </w:rPr>
              <w:t xml:space="preserve"> de Accionistas del </w:t>
            </w:r>
            <w:r>
              <w:rPr>
                <w:rFonts w:ascii="Arial" w:hAnsi="Arial" w:cs="Arial"/>
                <w:sz w:val="18"/>
                <w:lang w:eastAsia="es-AR"/>
              </w:rPr>
              <w:t>21</w:t>
            </w:r>
            <w:r w:rsidRPr="00701F32">
              <w:rPr>
                <w:rFonts w:ascii="Arial" w:hAnsi="Arial" w:cs="Arial"/>
                <w:sz w:val="18"/>
                <w:lang w:eastAsia="es-AR"/>
              </w:rPr>
              <w:t>-</w:t>
            </w:r>
            <w:r>
              <w:rPr>
                <w:rFonts w:ascii="Arial" w:hAnsi="Arial" w:cs="Arial"/>
                <w:sz w:val="18"/>
                <w:lang w:eastAsia="es-AR"/>
              </w:rPr>
              <w:t>11</w:t>
            </w:r>
            <w:r w:rsidRPr="00701F32">
              <w:rPr>
                <w:rFonts w:ascii="Arial" w:hAnsi="Arial" w:cs="Arial"/>
                <w:sz w:val="18"/>
                <w:lang w:eastAsia="es-AR"/>
              </w:rPr>
              <w:t>-2018</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38DEA8" w14:textId="7383A9D9" w:rsidR="003B35BC" w:rsidRPr="00701F32" w:rsidRDefault="003B35BC" w:rsidP="00037C01">
            <w:pPr>
              <w:jc w:val="center"/>
              <w:rPr>
                <w:rFonts w:ascii="Arial" w:hAnsi="Arial" w:cs="Arial"/>
                <w:sz w:val="18"/>
                <w:lang w:eastAsia="es-AR"/>
              </w:rPr>
            </w:pPr>
            <w:r>
              <w:rPr>
                <w:rFonts w:ascii="Arial" w:hAnsi="Arial" w:cs="Arial"/>
                <w:sz w:val="18"/>
                <w:lang w:eastAsia="es-AR"/>
              </w:rPr>
              <w:t>36.887</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2A2FB" w14:textId="77777777" w:rsidR="003B35BC" w:rsidRPr="00701F32" w:rsidRDefault="003B35BC" w:rsidP="00037C01">
            <w:pPr>
              <w:jc w:val="center"/>
              <w:rPr>
                <w:rFonts w:ascii="Arial" w:hAnsi="Arial" w:cs="Arial"/>
                <w:b/>
                <w:bCs/>
                <w:sz w:val="18"/>
                <w:lang w:eastAsia="es-AR"/>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F349C1" w14:textId="34EDC308" w:rsidR="003B35BC" w:rsidRPr="00701F32" w:rsidRDefault="00205682" w:rsidP="00037C01">
            <w:pPr>
              <w:jc w:val="center"/>
              <w:rPr>
                <w:rFonts w:ascii="Arial" w:hAnsi="Arial" w:cs="Arial"/>
                <w:bCs/>
                <w:sz w:val="18"/>
              </w:rPr>
            </w:pPr>
            <w:r>
              <w:rPr>
                <w:rFonts w:ascii="Arial" w:hAnsi="Arial" w:cs="Arial"/>
                <w:bCs/>
                <w:sz w:val="18"/>
              </w:rPr>
              <w:t>02-05-2019</w:t>
            </w:r>
          </w:p>
        </w:tc>
      </w:tr>
      <w:tr w:rsidR="00462BC9" w:rsidRPr="00701F32" w14:paraId="2226F4D5" w14:textId="77777777" w:rsidTr="00037C01">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A6184" w14:textId="6EB5418C" w:rsidR="00462BC9" w:rsidRPr="00701F32" w:rsidRDefault="00462BC9" w:rsidP="003B35BC">
            <w:pPr>
              <w:rPr>
                <w:rFonts w:ascii="Arial" w:hAnsi="Arial" w:cs="Arial"/>
                <w:sz w:val="18"/>
                <w:lang w:eastAsia="es-AR"/>
              </w:rPr>
            </w:pPr>
            <w:r>
              <w:rPr>
                <w:rFonts w:ascii="Arial" w:hAnsi="Arial" w:cs="Arial"/>
                <w:b/>
                <w:bCs/>
                <w:sz w:val="18"/>
              </w:rPr>
              <w:t>Saldo del Capital Social al 31</w:t>
            </w:r>
            <w:r w:rsidRPr="00701F32">
              <w:rPr>
                <w:rFonts w:ascii="Arial" w:hAnsi="Arial" w:cs="Arial"/>
                <w:b/>
                <w:bCs/>
                <w:sz w:val="18"/>
              </w:rPr>
              <w:t>/</w:t>
            </w:r>
            <w:r>
              <w:rPr>
                <w:rFonts w:ascii="Arial" w:hAnsi="Arial" w:cs="Arial"/>
                <w:b/>
                <w:bCs/>
                <w:sz w:val="18"/>
              </w:rPr>
              <w:t>12</w:t>
            </w:r>
            <w:r w:rsidRPr="00701F32">
              <w:rPr>
                <w:rFonts w:ascii="Arial" w:hAnsi="Arial" w:cs="Arial"/>
                <w:b/>
                <w:bCs/>
                <w:sz w:val="18"/>
              </w:rPr>
              <w:t>/1</w:t>
            </w:r>
            <w:r>
              <w:rPr>
                <w:rFonts w:ascii="Arial" w:hAnsi="Arial" w:cs="Arial"/>
                <w:b/>
                <w:bCs/>
                <w:sz w:val="18"/>
              </w:rPr>
              <w:t>8</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3BBDF9" w14:textId="77777777" w:rsidR="00462BC9" w:rsidRDefault="00462BC9" w:rsidP="00037C01">
            <w:pPr>
              <w:jc w:val="center"/>
              <w:rPr>
                <w:rFonts w:ascii="Arial" w:hAnsi="Arial" w:cs="Arial"/>
                <w:sz w:val="18"/>
                <w:lang w:eastAsia="es-AR"/>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3DC0F" w14:textId="10958F67" w:rsidR="00462BC9" w:rsidRPr="00701F32" w:rsidRDefault="00462BC9" w:rsidP="00037C01">
            <w:pPr>
              <w:jc w:val="center"/>
              <w:rPr>
                <w:rFonts w:ascii="Arial" w:hAnsi="Arial" w:cs="Arial"/>
                <w:b/>
                <w:bCs/>
                <w:sz w:val="18"/>
                <w:lang w:eastAsia="es-AR"/>
              </w:rPr>
            </w:pPr>
            <w:r>
              <w:rPr>
                <w:rFonts w:ascii="Arial" w:hAnsi="Arial" w:cs="Arial"/>
                <w:b/>
                <w:bCs/>
                <w:sz w:val="18"/>
                <w:lang w:eastAsia="es-AR"/>
              </w:rPr>
              <w:t>808.852</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4E2D27" w14:textId="77777777" w:rsidR="00462BC9" w:rsidRDefault="00462BC9" w:rsidP="00037C01">
            <w:pPr>
              <w:jc w:val="center"/>
              <w:rPr>
                <w:rFonts w:ascii="Arial" w:hAnsi="Arial" w:cs="Arial"/>
                <w:bCs/>
                <w:sz w:val="18"/>
              </w:rPr>
            </w:pPr>
          </w:p>
        </w:tc>
      </w:tr>
      <w:tr w:rsidR="00AC198F" w:rsidRPr="00701F32" w14:paraId="7B7C2C01" w14:textId="77777777" w:rsidTr="00037C01">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EEC80" w14:textId="2BEB1513" w:rsidR="00AC198F" w:rsidRPr="00701F32" w:rsidRDefault="00AC198F" w:rsidP="00AC198F">
            <w:pPr>
              <w:rPr>
                <w:rFonts w:ascii="Arial" w:hAnsi="Arial" w:cs="Arial"/>
                <w:sz w:val="18"/>
                <w:lang w:eastAsia="es-AR"/>
              </w:rPr>
            </w:pPr>
            <w:r w:rsidRPr="00701F32">
              <w:rPr>
                <w:rFonts w:ascii="Arial" w:hAnsi="Arial" w:cs="Arial"/>
                <w:sz w:val="18"/>
                <w:lang w:eastAsia="es-AR"/>
              </w:rPr>
              <w:t>Aumento de c</w:t>
            </w:r>
            <w:r>
              <w:rPr>
                <w:rFonts w:ascii="Arial" w:hAnsi="Arial" w:cs="Arial"/>
                <w:sz w:val="18"/>
                <w:lang w:eastAsia="es-AR"/>
              </w:rPr>
              <w:t>apital según Asamblea Ordinaria</w:t>
            </w:r>
            <w:r w:rsidRPr="00701F32">
              <w:rPr>
                <w:rFonts w:ascii="Arial" w:hAnsi="Arial" w:cs="Arial"/>
                <w:sz w:val="18"/>
                <w:lang w:eastAsia="es-AR"/>
              </w:rPr>
              <w:t xml:space="preserve"> de Accionistas del </w:t>
            </w:r>
            <w:r w:rsidR="00D632CA">
              <w:rPr>
                <w:rFonts w:ascii="Arial" w:hAnsi="Arial" w:cs="Arial"/>
                <w:sz w:val="18"/>
                <w:lang w:eastAsia="es-AR"/>
              </w:rPr>
              <w:t>10</w:t>
            </w:r>
            <w:r w:rsidRPr="00701F32">
              <w:rPr>
                <w:rFonts w:ascii="Arial" w:hAnsi="Arial" w:cs="Arial"/>
                <w:sz w:val="18"/>
                <w:lang w:eastAsia="es-AR"/>
              </w:rPr>
              <w:t>-</w:t>
            </w:r>
            <w:r w:rsidR="00D632CA">
              <w:rPr>
                <w:rFonts w:ascii="Arial" w:hAnsi="Arial" w:cs="Arial"/>
                <w:sz w:val="18"/>
                <w:lang w:eastAsia="es-AR"/>
              </w:rPr>
              <w:t>07</w:t>
            </w:r>
            <w:r w:rsidRPr="00701F32">
              <w:rPr>
                <w:rFonts w:ascii="Arial" w:hAnsi="Arial" w:cs="Arial"/>
                <w:sz w:val="18"/>
                <w:lang w:eastAsia="es-AR"/>
              </w:rPr>
              <w:t>-201</w:t>
            </w:r>
            <w:r w:rsidR="00D632CA">
              <w:rPr>
                <w:rFonts w:ascii="Arial" w:hAnsi="Arial" w:cs="Arial"/>
                <w:sz w:val="18"/>
                <w:lang w:eastAsia="es-AR"/>
              </w:rPr>
              <w:t>9</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939BF4" w14:textId="0EC5E56B" w:rsidR="00AC198F" w:rsidRDefault="00AC198F" w:rsidP="00037C01">
            <w:pPr>
              <w:jc w:val="center"/>
              <w:rPr>
                <w:rFonts w:ascii="Arial" w:hAnsi="Arial" w:cs="Arial"/>
                <w:sz w:val="18"/>
                <w:lang w:eastAsia="es-AR"/>
              </w:rPr>
            </w:pPr>
            <w:r>
              <w:rPr>
                <w:rFonts w:ascii="Arial" w:hAnsi="Arial" w:cs="Arial"/>
                <w:sz w:val="18"/>
                <w:lang w:eastAsia="es-AR"/>
              </w:rPr>
              <w:t>20.712</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D2B4FD" w14:textId="77777777" w:rsidR="00AC198F" w:rsidRPr="00701F32" w:rsidRDefault="00AC198F" w:rsidP="00037C01">
            <w:pPr>
              <w:jc w:val="center"/>
              <w:rPr>
                <w:rFonts w:ascii="Arial" w:hAnsi="Arial" w:cs="Arial"/>
                <w:b/>
                <w:bCs/>
                <w:sz w:val="18"/>
                <w:lang w:eastAsia="es-AR"/>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75FD1D" w14:textId="7349946E" w:rsidR="00AC198F" w:rsidRDefault="006F718C" w:rsidP="00037C01">
            <w:pPr>
              <w:jc w:val="center"/>
              <w:rPr>
                <w:rFonts w:ascii="Arial" w:hAnsi="Arial" w:cs="Arial"/>
                <w:bCs/>
                <w:sz w:val="18"/>
              </w:rPr>
            </w:pPr>
            <w:r>
              <w:rPr>
                <w:rFonts w:ascii="Arial" w:hAnsi="Arial" w:cs="Arial"/>
                <w:bCs/>
                <w:sz w:val="18"/>
              </w:rPr>
              <w:t>17-12-2019</w:t>
            </w:r>
          </w:p>
        </w:tc>
      </w:tr>
      <w:tr w:rsidR="00AC198F" w:rsidRPr="00701F32" w14:paraId="01E26459" w14:textId="77777777" w:rsidTr="00037C01">
        <w:trPr>
          <w:trHeight w:val="183"/>
        </w:trPr>
        <w:tc>
          <w:tcPr>
            <w:tcW w:w="4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07352" w14:textId="28B49076" w:rsidR="00AC198F" w:rsidRPr="00701F32" w:rsidRDefault="00AC198F" w:rsidP="00AC198F">
            <w:pPr>
              <w:rPr>
                <w:rFonts w:ascii="Arial" w:hAnsi="Arial" w:cs="Arial"/>
                <w:b/>
                <w:bCs/>
                <w:sz w:val="18"/>
                <w:lang w:eastAsia="es-AR"/>
              </w:rPr>
            </w:pPr>
            <w:r>
              <w:rPr>
                <w:rFonts w:ascii="Arial" w:hAnsi="Arial" w:cs="Arial"/>
                <w:b/>
                <w:bCs/>
                <w:sz w:val="18"/>
              </w:rPr>
              <w:t>Saldo del Capital Social al 3</w:t>
            </w:r>
            <w:r w:rsidR="00032EC8">
              <w:rPr>
                <w:rFonts w:ascii="Arial" w:hAnsi="Arial" w:cs="Arial"/>
                <w:b/>
                <w:bCs/>
                <w:sz w:val="18"/>
              </w:rPr>
              <w:t>1</w:t>
            </w:r>
            <w:r w:rsidRPr="00701F32">
              <w:rPr>
                <w:rFonts w:ascii="Arial" w:hAnsi="Arial" w:cs="Arial"/>
                <w:b/>
                <w:bCs/>
                <w:sz w:val="18"/>
              </w:rPr>
              <w:t>/</w:t>
            </w:r>
            <w:r w:rsidR="00032EC8">
              <w:rPr>
                <w:rFonts w:ascii="Arial" w:hAnsi="Arial" w:cs="Arial"/>
                <w:b/>
                <w:bCs/>
                <w:sz w:val="18"/>
              </w:rPr>
              <w:t>12</w:t>
            </w:r>
            <w:r w:rsidRPr="00701F32">
              <w:rPr>
                <w:rFonts w:ascii="Arial" w:hAnsi="Arial" w:cs="Arial"/>
                <w:b/>
                <w:bCs/>
                <w:sz w:val="18"/>
              </w:rPr>
              <w:t>/1</w:t>
            </w:r>
            <w:r>
              <w:rPr>
                <w:rFonts w:ascii="Arial" w:hAnsi="Arial" w:cs="Arial"/>
                <w:b/>
                <w:bCs/>
                <w:sz w:val="18"/>
              </w:rPr>
              <w:t>9</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4C756" w14:textId="77777777" w:rsidR="00AC198F" w:rsidRPr="00701F32" w:rsidRDefault="00AC198F" w:rsidP="00037C01">
            <w:pPr>
              <w:jc w:val="center"/>
              <w:rPr>
                <w:rFonts w:ascii="Arial" w:hAnsi="Arial" w:cs="Arial"/>
                <w:sz w:val="18"/>
                <w:lang w:eastAsia="es-AR"/>
              </w:rPr>
            </w:pP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101112" w14:textId="0F8D2319" w:rsidR="00AC198F" w:rsidRPr="00701F32" w:rsidRDefault="00AC198F" w:rsidP="00037C01">
            <w:pPr>
              <w:jc w:val="center"/>
              <w:rPr>
                <w:rFonts w:ascii="Arial" w:hAnsi="Arial" w:cs="Arial"/>
                <w:b/>
                <w:bCs/>
                <w:sz w:val="18"/>
                <w:lang w:eastAsia="es-AR"/>
              </w:rPr>
            </w:pPr>
            <w:r>
              <w:rPr>
                <w:rFonts w:ascii="Arial" w:hAnsi="Arial" w:cs="Arial"/>
                <w:b/>
                <w:bCs/>
                <w:sz w:val="18"/>
                <w:lang w:eastAsia="es-AR"/>
              </w:rPr>
              <w:t>829.564</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6BCFC8" w14:textId="77777777" w:rsidR="00AC198F" w:rsidRPr="00701F32" w:rsidRDefault="00AC198F" w:rsidP="00037C01">
            <w:pPr>
              <w:jc w:val="center"/>
              <w:rPr>
                <w:rFonts w:ascii="Arial" w:hAnsi="Arial" w:cs="Arial"/>
                <w:sz w:val="18"/>
                <w:lang w:eastAsia="es-AR"/>
              </w:rPr>
            </w:pPr>
          </w:p>
          <w:p w14:paraId="5E0F093D" w14:textId="77777777" w:rsidR="00AC198F" w:rsidRPr="00701F32" w:rsidRDefault="00AC198F" w:rsidP="00037C01">
            <w:pPr>
              <w:jc w:val="center"/>
              <w:rPr>
                <w:rFonts w:ascii="Arial" w:hAnsi="Arial" w:cs="Arial"/>
                <w:sz w:val="18"/>
                <w:lang w:eastAsia="es-AR"/>
              </w:rPr>
            </w:pPr>
          </w:p>
        </w:tc>
      </w:tr>
      <w:bookmarkEnd w:id="17"/>
    </w:tbl>
    <w:p w14:paraId="288C3FE6" w14:textId="77777777" w:rsidR="003856EC" w:rsidRDefault="003856EC" w:rsidP="00A209A7">
      <w:pPr>
        <w:tabs>
          <w:tab w:val="left" w:pos="142"/>
        </w:tabs>
        <w:jc w:val="both"/>
        <w:rPr>
          <w:rFonts w:ascii="Arial" w:hAnsi="Arial" w:cs="Arial"/>
          <w:sz w:val="20"/>
        </w:rPr>
      </w:pPr>
    </w:p>
    <w:p w14:paraId="61EA6442" w14:textId="67C335F3" w:rsidR="003856EC" w:rsidRPr="00A209A7" w:rsidRDefault="003856EC" w:rsidP="00A209A7">
      <w:pPr>
        <w:tabs>
          <w:tab w:val="left" w:pos="142"/>
        </w:tabs>
        <w:jc w:val="both"/>
        <w:rPr>
          <w:rFonts w:ascii="Arial" w:hAnsi="Arial" w:cs="Arial"/>
          <w:sz w:val="20"/>
        </w:rPr>
      </w:pPr>
      <w:r>
        <w:rPr>
          <w:rFonts w:ascii="Arial" w:hAnsi="Arial" w:cs="Arial"/>
          <w:sz w:val="20"/>
        </w:rPr>
        <w:t xml:space="preserve">En fecha 12 de junio de 2019 el accionista Grupo Supervielle S.A. comunicó a la Entidad su decisión de realizar un aporte irrevocable de capital en efectivo por la suma de </w:t>
      </w:r>
      <w:r w:rsidR="009B0929">
        <w:rPr>
          <w:rFonts w:ascii="Arial" w:hAnsi="Arial" w:cs="Arial"/>
          <w:sz w:val="20"/>
        </w:rPr>
        <w:t xml:space="preserve">$ </w:t>
      </w:r>
      <w:r>
        <w:rPr>
          <w:rFonts w:ascii="Arial" w:hAnsi="Arial" w:cs="Arial"/>
          <w:sz w:val="20"/>
        </w:rPr>
        <w:t xml:space="preserve">475.000 para ser destinado a capital de trabajo.  Por tal motivo, la Entidad convocó una Asamblea General de Accionistas para el 10 de julio de 2019 </w:t>
      </w:r>
      <w:r w:rsidR="003C46FA">
        <w:rPr>
          <w:rFonts w:ascii="Arial" w:hAnsi="Arial" w:cs="Arial"/>
          <w:sz w:val="20"/>
        </w:rPr>
        <w:t xml:space="preserve">a </w:t>
      </w:r>
      <w:r>
        <w:rPr>
          <w:rFonts w:ascii="Arial" w:hAnsi="Arial" w:cs="Arial"/>
          <w:sz w:val="20"/>
        </w:rPr>
        <w:t>fines de aprobar el aumento del capital.</w:t>
      </w:r>
      <w:r w:rsidR="000B6761">
        <w:rPr>
          <w:rFonts w:ascii="Arial" w:hAnsi="Arial" w:cs="Arial"/>
          <w:sz w:val="20"/>
        </w:rPr>
        <w:t xml:space="preserve">  Dicha </w:t>
      </w:r>
      <w:r w:rsidR="003C46FA">
        <w:rPr>
          <w:rFonts w:ascii="Arial" w:hAnsi="Arial" w:cs="Arial"/>
          <w:sz w:val="20"/>
        </w:rPr>
        <w:t xml:space="preserve">Asamblea resolvió aprobar la capitalización del aporte irrevocable y aprobar un aumento de capital por hasta la suma de </w:t>
      </w:r>
      <w:r w:rsidR="009B0929">
        <w:rPr>
          <w:rFonts w:ascii="Arial" w:hAnsi="Arial" w:cs="Arial"/>
          <w:sz w:val="20"/>
        </w:rPr>
        <w:t xml:space="preserve">$ </w:t>
      </w:r>
      <w:r w:rsidR="003C46FA">
        <w:rPr>
          <w:rFonts w:ascii="Arial" w:hAnsi="Arial" w:cs="Arial"/>
          <w:sz w:val="20"/>
        </w:rPr>
        <w:t>2</w:t>
      </w:r>
      <w:r w:rsidR="001B2A04">
        <w:rPr>
          <w:rFonts w:ascii="Arial" w:hAnsi="Arial" w:cs="Arial"/>
          <w:sz w:val="20"/>
        </w:rPr>
        <w:t>0</w:t>
      </w:r>
      <w:r w:rsidR="003C46FA">
        <w:rPr>
          <w:rFonts w:ascii="Arial" w:hAnsi="Arial" w:cs="Arial"/>
          <w:sz w:val="20"/>
        </w:rPr>
        <w:t>.</w:t>
      </w:r>
      <w:r w:rsidR="001B2A04">
        <w:rPr>
          <w:rFonts w:ascii="Arial" w:hAnsi="Arial" w:cs="Arial"/>
          <w:sz w:val="20"/>
        </w:rPr>
        <w:t>712</w:t>
      </w:r>
      <w:r w:rsidR="003C46FA">
        <w:rPr>
          <w:rFonts w:ascii="Arial" w:hAnsi="Arial" w:cs="Arial"/>
          <w:sz w:val="20"/>
        </w:rPr>
        <w:t xml:space="preserve"> mediante la emisión de </w:t>
      </w:r>
      <w:r w:rsidR="001B2A04">
        <w:rPr>
          <w:rFonts w:ascii="Arial" w:hAnsi="Arial" w:cs="Arial"/>
          <w:sz w:val="20"/>
        </w:rPr>
        <w:t xml:space="preserve">20.711.607 </w:t>
      </w:r>
      <w:r w:rsidR="003C46FA">
        <w:rPr>
          <w:rFonts w:ascii="Arial" w:hAnsi="Arial" w:cs="Arial"/>
          <w:sz w:val="20"/>
        </w:rPr>
        <w:t>acciones</w:t>
      </w:r>
      <w:r w:rsidR="00A209A7">
        <w:rPr>
          <w:rFonts w:ascii="Arial" w:hAnsi="Arial" w:cs="Arial"/>
          <w:sz w:val="20"/>
        </w:rPr>
        <w:t xml:space="preserve"> </w:t>
      </w:r>
      <w:r w:rsidR="00A209A7" w:rsidRPr="00A209A7">
        <w:rPr>
          <w:rFonts w:ascii="Arial" w:hAnsi="Arial" w:cs="Arial"/>
          <w:sz w:val="20"/>
          <w:lang w:val="es-ES"/>
        </w:rPr>
        <w:t>ordinarias, escriturales, Clase B de valor nominal $ 1 cada una y con derecho a 1 voto por acción, a un precio de suscripción de $ 22,9340 por acción, con derecho a percibir dividendos o cualquier otra acreencia a partir de la fecha de su emisión y en igualdad de condiciones que el resto de las acciones Clase B que se encuentren en circulación en ese momento.</w:t>
      </w:r>
    </w:p>
    <w:p w14:paraId="19633545" w14:textId="77777777" w:rsidR="003856EC" w:rsidRDefault="003856EC" w:rsidP="00D93778">
      <w:pPr>
        <w:tabs>
          <w:tab w:val="left" w:pos="142"/>
        </w:tabs>
        <w:jc w:val="both"/>
        <w:rPr>
          <w:rFonts w:ascii="Arial" w:hAnsi="Arial" w:cs="Arial"/>
          <w:sz w:val="20"/>
        </w:rPr>
      </w:pPr>
    </w:p>
    <w:p w14:paraId="749D78EF" w14:textId="3A9F00A4" w:rsidR="00A6315E" w:rsidRPr="006E1AF7" w:rsidRDefault="00A6315E" w:rsidP="00A06BE9">
      <w:pPr>
        <w:tabs>
          <w:tab w:val="left" w:pos="142"/>
          <w:tab w:val="left" w:pos="9923"/>
        </w:tabs>
        <w:spacing w:after="200" w:line="276" w:lineRule="auto"/>
        <w:contextualSpacing/>
        <w:jc w:val="both"/>
        <w:rPr>
          <w:rFonts w:ascii="Arial" w:hAnsi="Arial" w:cs="Arial"/>
          <w:sz w:val="20"/>
          <w:lang w:val="es-ES"/>
        </w:rPr>
      </w:pPr>
      <w:r w:rsidRPr="006E1AF7">
        <w:rPr>
          <w:rFonts w:ascii="Arial" w:hAnsi="Arial" w:cs="Arial"/>
          <w:sz w:val="20"/>
          <w:lang w:val="es-ES"/>
        </w:rPr>
        <w:t>A la fecha de los presentes estados financieros el capital social asciende a 829.564, conformado por 82</w:t>
      </w:r>
      <w:r w:rsidR="008C7E4F" w:rsidRPr="006E1AF7">
        <w:rPr>
          <w:rFonts w:ascii="Arial" w:hAnsi="Arial" w:cs="Arial"/>
          <w:sz w:val="20"/>
          <w:lang w:val="es-ES"/>
        </w:rPr>
        <w:t>9</w:t>
      </w:r>
      <w:r w:rsidRPr="006E1AF7">
        <w:rPr>
          <w:rFonts w:ascii="Arial" w:hAnsi="Arial" w:cs="Arial"/>
          <w:sz w:val="20"/>
          <w:lang w:val="es-ES"/>
        </w:rPr>
        <w:t>.</w:t>
      </w:r>
      <w:r w:rsidR="008C7E4F" w:rsidRPr="006E1AF7">
        <w:rPr>
          <w:rFonts w:ascii="Arial" w:hAnsi="Arial" w:cs="Arial"/>
          <w:sz w:val="20"/>
          <w:lang w:val="es-ES"/>
        </w:rPr>
        <w:t>5</w:t>
      </w:r>
      <w:r w:rsidRPr="006E1AF7">
        <w:rPr>
          <w:rFonts w:ascii="Arial" w:hAnsi="Arial" w:cs="Arial"/>
          <w:sz w:val="20"/>
          <w:lang w:val="es-ES"/>
        </w:rPr>
        <w:t>63.</w:t>
      </w:r>
      <w:r w:rsidR="008C7E4F" w:rsidRPr="006E1AF7">
        <w:rPr>
          <w:rFonts w:ascii="Arial" w:hAnsi="Arial" w:cs="Arial"/>
          <w:sz w:val="20"/>
          <w:lang w:val="es-ES"/>
        </w:rPr>
        <w:t>871</w:t>
      </w:r>
      <w:r w:rsidRPr="006E1AF7">
        <w:rPr>
          <w:rFonts w:ascii="Arial" w:hAnsi="Arial" w:cs="Arial"/>
          <w:sz w:val="20"/>
          <w:lang w:val="es-ES"/>
        </w:rPr>
        <w:t xml:space="preserve"> acciones, de las cuales, 930.371 son acciones ordinarias, nominativas no endosables, escriturales, clase A de un peso valor nominal cada una y con derecho a cinco votos por acción y 828.633.500 son acciones ordinarias, nominativas no endosables, escriturales, </w:t>
      </w:r>
      <w:r w:rsidR="008F0913" w:rsidRPr="006E1AF7">
        <w:rPr>
          <w:rFonts w:ascii="Arial" w:hAnsi="Arial" w:cs="Arial"/>
          <w:sz w:val="20"/>
          <w:lang w:val="es-ES"/>
        </w:rPr>
        <w:t>C</w:t>
      </w:r>
      <w:r w:rsidRPr="006E1AF7">
        <w:rPr>
          <w:rFonts w:ascii="Arial" w:hAnsi="Arial" w:cs="Arial"/>
          <w:sz w:val="20"/>
          <w:lang w:val="es-ES"/>
        </w:rPr>
        <w:t>lase B de un peso valor nominal cada una y con derecho a un voto por acción.</w:t>
      </w:r>
      <w:bookmarkEnd w:id="16"/>
    </w:p>
    <w:p w14:paraId="1413A2FB" w14:textId="77777777" w:rsidR="00A6315E" w:rsidRPr="006E1AF7" w:rsidRDefault="00A6315E" w:rsidP="00A06BE9">
      <w:pPr>
        <w:tabs>
          <w:tab w:val="left" w:pos="142"/>
          <w:tab w:val="left" w:pos="9923"/>
        </w:tabs>
        <w:spacing w:after="200" w:line="276" w:lineRule="auto"/>
        <w:contextualSpacing/>
        <w:jc w:val="both"/>
        <w:rPr>
          <w:rFonts w:ascii="Arial" w:hAnsi="Arial" w:cs="Arial"/>
          <w:sz w:val="20"/>
          <w:lang w:val="es-ES"/>
        </w:rPr>
      </w:pPr>
    </w:p>
    <w:p w14:paraId="53931B23" w14:textId="287E2ECB" w:rsidR="00C110B3" w:rsidRPr="00701F32" w:rsidRDefault="00032EC8" w:rsidP="00A06BE9">
      <w:pPr>
        <w:tabs>
          <w:tab w:val="left" w:pos="142"/>
          <w:tab w:val="left" w:pos="9923"/>
        </w:tabs>
        <w:spacing w:after="200" w:line="276" w:lineRule="auto"/>
        <w:contextualSpacing/>
        <w:jc w:val="both"/>
        <w:rPr>
          <w:rFonts w:ascii="Arial" w:hAnsi="Arial" w:cs="Arial"/>
          <w:b/>
          <w:sz w:val="20"/>
        </w:rPr>
      </w:pPr>
      <w:r>
        <w:rPr>
          <w:rFonts w:ascii="Arial" w:hAnsi="Arial" w:cs="Arial"/>
          <w:b/>
          <w:sz w:val="20"/>
        </w:rPr>
        <w:t>14</w:t>
      </w:r>
      <w:r w:rsidR="00A06BE9" w:rsidRPr="00534414">
        <w:rPr>
          <w:rFonts w:ascii="Arial" w:hAnsi="Arial" w:cs="Arial"/>
          <w:b/>
          <w:sz w:val="20"/>
        </w:rPr>
        <w:t>.4 Actividades fiduciarias</w:t>
      </w:r>
    </w:p>
    <w:p w14:paraId="18980BD6" w14:textId="77777777" w:rsidR="00A06BE9" w:rsidRPr="00701F32" w:rsidRDefault="00A06BE9" w:rsidP="00A06BE9">
      <w:pPr>
        <w:tabs>
          <w:tab w:val="left" w:pos="142"/>
          <w:tab w:val="left" w:pos="9923"/>
        </w:tabs>
        <w:spacing w:after="200" w:line="276" w:lineRule="auto"/>
        <w:contextualSpacing/>
        <w:jc w:val="both"/>
        <w:rPr>
          <w:rFonts w:ascii="Arial" w:hAnsi="Arial" w:cs="Arial"/>
          <w:b/>
          <w:sz w:val="20"/>
        </w:rPr>
      </w:pPr>
    </w:p>
    <w:p w14:paraId="1C0AD933"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rPr>
        <w:t xml:space="preserve">La Entidad actúa como Fiduciario </w:t>
      </w:r>
      <w:bookmarkStart w:id="18" w:name="RANGE!A1:H28"/>
      <w:r w:rsidRPr="00701F32">
        <w:rPr>
          <w:rFonts w:ascii="Arial" w:hAnsi="Arial" w:cs="Arial"/>
          <w:sz w:val="20"/>
        </w:rPr>
        <w:t>o Fiduciante en los fideicomisos que se detallan a continuación:</w:t>
      </w:r>
    </w:p>
    <w:p w14:paraId="673B45CD" w14:textId="77777777" w:rsidR="00A06BE9" w:rsidRPr="00701F32" w:rsidRDefault="00A06BE9" w:rsidP="00A06BE9">
      <w:pPr>
        <w:tabs>
          <w:tab w:val="left" w:pos="142"/>
        </w:tabs>
        <w:jc w:val="both"/>
        <w:rPr>
          <w:rFonts w:ascii="Arial" w:hAnsi="Arial" w:cs="Arial"/>
          <w:sz w:val="20"/>
        </w:rPr>
      </w:pPr>
    </w:p>
    <w:p w14:paraId="67F1C63A" w14:textId="77777777" w:rsidR="00A06BE9" w:rsidRPr="00701F32" w:rsidRDefault="00A06BE9" w:rsidP="00A06BE9">
      <w:pPr>
        <w:tabs>
          <w:tab w:val="left" w:pos="142"/>
        </w:tabs>
        <w:jc w:val="both"/>
        <w:rPr>
          <w:rFonts w:ascii="Arial" w:hAnsi="Arial" w:cs="Arial"/>
          <w:b/>
          <w:sz w:val="20"/>
          <w:u w:val="single"/>
        </w:rPr>
      </w:pPr>
      <w:r w:rsidRPr="00701F32">
        <w:rPr>
          <w:rFonts w:ascii="Arial" w:hAnsi="Arial" w:cs="Arial"/>
          <w:b/>
          <w:sz w:val="20"/>
          <w:u w:val="single"/>
        </w:rPr>
        <w:t>Actuación como Fiduciario</w:t>
      </w:r>
    </w:p>
    <w:p w14:paraId="414E8978" w14:textId="77777777" w:rsidR="00A06BE9" w:rsidRPr="00701F32" w:rsidRDefault="00A06BE9" w:rsidP="00A06BE9">
      <w:pPr>
        <w:tabs>
          <w:tab w:val="left" w:pos="142"/>
        </w:tabs>
        <w:jc w:val="both"/>
        <w:rPr>
          <w:rFonts w:ascii="Arial" w:hAnsi="Arial" w:cs="Arial"/>
          <w:sz w:val="20"/>
        </w:rPr>
      </w:pPr>
    </w:p>
    <w:p w14:paraId="0123C833" w14:textId="76A0E172" w:rsidR="00C110B3" w:rsidRPr="00701F32" w:rsidRDefault="00A06BE9" w:rsidP="00A06BE9">
      <w:pPr>
        <w:tabs>
          <w:tab w:val="left" w:pos="142"/>
        </w:tabs>
        <w:jc w:val="both"/>
        <w:rPr>
          <w:rFonts w:ascii="Arial" w:hAnsi="Arial" w:cs="Arial"/>
          <w:sz w:val="20"/>
        </w:rPr>
      </w:pPr>
      <w:r w:rsidRPr="00701F32">
        <w:rPr>
          <w:rFonts w:ascii="Arial" w:hAnsi="Arial" w:cs="Arial"/>
          <w:sz w:val="20"/>
        </w:rPr>
        <w:t>Se resume a continuación el detalle de los fideicomisos financieros:</w:t>
      </w:r>
    </w:p>
    <w:p w14:paraId="29C1929B" w14:textId="77777777" w:rsidR="008D246D" w:rsidRPr="00701F32" w:rsidRDefault="008D246D" w:rsidP="00A06BE9">
      <w:pPr>
        <w:tabs>
          <w:tab w:val="left" w:pos="142"/>
        </w:tabs>
        <w:jc w:val="both"/>
        <w:rPr>
          <w:rFonts w:ascii="Arial" w:hAnsi="Arial" w:cs="Arial"/>
          <w:sz w:val="20"/>
        </w:rPr>
      </w:pPr>
    </w:p>
    <w:p w14:paraId="1A22058C" w14:textId="75D750CA" w:rsidR="00D376AD" w:rsidRDefault="00A06BE9" w:rsidP="00066653">
      <w:pPr>
        <w:tabs>
          <w:tab w:val="left" w:pos="142"/>
        </w:tabs>
        <w:jc w:val="both"/>
        <w:rPr>
          <w:rFonts w:ascii="Arial" w:hAnsi="Arial" w:cs="Arial"/>
          <w:sz w:val="20"/>
        </w:rPr>
      </w:pPr>
      <w:r w:rsidRPr="00701F32">
        <w:rPr>
          <w:rFonts w:ascii="Arial" w:hAnsi="Arial" w:cs="Arial"/>
          <w:sz w:val="20"/>
        </w:rPr>
        <w:t>Fideicomisos de administración en garantía en los cuales Banco Supervielle S.A. actúa como fiduciario al 3</w:t>
      </w:r>
      <w:r w:rsidR="00032EC8">
        <w:rPr>
          <w:rFonts w:ascii="Arial" w:hAnsi="Arial" w:cs="Arial"/>
          <w:sz w:val="20"/>
        </w:rPr>
        <w:t>1</w:t>
      </w:r>
      <w:r w:rsidRPr="00701F32">
        <w:rPr>
          <w:rFonts w:ascii="Arial" w:hAnsi="Arial" w:cs="Arial"/>
          <w:sz w:val="20"/>
        </w:rPr>
        <w:t xml:space="preserve"> de</w:t>
      </w:r>
      <w:r w:rsidR="001D2B86">
        <w:rPr>
          <w:rFonts w:ascii="Arial" w:hAnsi="Arial" w:cs="Arial"/>
          <w:sz w:val="20"/>
        </w:rPr>
        <w:t xml:space="preserve"> </w:t>
      </w:r>
      <w:r w:rsidR="00032EC8">
        <w:rPr>
          <w:rFonts w:ascii="Arial" w:hAnsi="Arial" w:cs="Arial"/>
          <w:sz w:val="20"/>
        </w:rPr>
        <w:t>diciembre</w:t>
      </w:r>
      <w:r w:rsidR="000E1F15">
        <w:rPr>
          <w:rFonts w:ascii="Arial" w:hAnsi="Arial" w:cs="Arial"/>
          <w:sz w:val="20"/>
        </w:rPr>
        <w:t xml:space="preserve"> de 2019</w:t>
      </w:r>
      <w:r w:rsidRPr="00701F32">
        <w:rPr>
          <w:rFonts w:ascii="Arial" w:hAnsi="Arial" w:cs="Arial"/>
          <w:sz w:val="20"/>
        </w:rPr>
        <w:t>:</w:t>
      </w:r>
    </w:p>
    <w:p w14:paraId="6700CD91" w14:textId="47126612" w:rsidR="00BA5C58" w:rsidRDefault="00BA5C58">
      <w:pPr>
        <w:rPr>
          <w:rFonts w:ascii="Arial" w:hAnsi="Arial" w:cs="Arial"/>
          <w:sz w:val="20"/>
        </w:rPr>
      </w:pPr>
      <w:r>
        <w:rPr>
          <w:rFonts w:ascii="Arial" w:hAnsi="Arial" w:cs="Arial"/>
          <w:sz w:val="20"/>
        </w:rPr>
        <w:br w:type="page"/>
      </w:r>
    </w:p>
    <w:p w14:paraId="27E29955" w14:textId="77777777" w:rsidR="00D376AD" w:rsidRPr="00701F32" w:rsidRDefault="00D376AD" w:rsidP="00534414">
      <w:pPr>
        <w:rPr>
          <w:rFonts w:ascii="Arial" w:hAnsi="Arial" w:cs="Arial"/>
          <w:sz w:val="20"/>
        </w:rPr>
      </w:pPr>
    </w:p>
    <w:tbl>
      <w:tblPr>
        <w:tblW w:w="9290" w:type="dxa"/>
        <w:tblInd w:w="-5" w:type="dxa"/>
        <w:tblLayout w:type="fixed"/>
        <w:tblCellMar>
          <w:left w:w="70" w:type="dxa"/>
          <w:right w:w="70" w:type="dxa"/>
        </w:tblCellMar>
        <w:tblLook w:val="04A0" w:firstRow="1" w:lastRow="0" w:firstColumn="1" w:lastColumn="0" w:noHBand="0" w:noVBand="1"/>
      </w:tblPr>
      <w:tblGrid>
        <w:gridCol w:w="1190"/>
        <w:gridCol w:w="941"/>
        <w:gridCol w:w="2197"/>
        <w:gridCol w:w="992"/>
        <w:gridCol w:w="709"/>
        <w:gridCol w:w="2268"/>
        <w:gridCol w:w="993"/>
      </w:tblGrid>
      <w:tr w:rsidR="005E7BAB" w:rsidRPr="00701F32" w14:paraId="0A20566D" w14:textId="77777777" w:rsidTr="00037C01">
        <w:trPr>
          <w:trHeight w:val="740"/>
          <w:tblHeader/>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59F55" w14:textId="77777777" w:rsidR="005E7BAB" w:rsidRPr="00701F32" w:rsidRDefault="005E7BAB" w:rsidP="00464C0F">
            <w:pPr>
              <w:jc w:val="center"/>
              <w:rPr>
                <w:rFonts w:ascii="Arial" w:hAnsi="Arial" w:cs="Arial"/>
                <w:b/>
                <w:sz w:val="16"/>
                <w:szCs w:val="16"/>
              </w:rPr>
            </w:pPr>
            <w:bookmarkStart w:id="19" w:name="RANGE!A1:H2"/>
            <w:r w:rsidRPr="00701F32">
              <w:rPr>
                <w:rFonts w:ascii="Arial" w:hAnsi="Arial" w:cs="Arial"/>
                <w:b/>
                <w:sz w:val="16"/>
                <w:szCs w:val="16"/>
              </w:rPr>
              <w:t>Fideicomiso</w:t>
            </w:r>
            <w:bookmarkEnd w:id="19"/>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1F6E5CB8"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Fecha Firma Contrato</w:t>
            </w:r>
          </w:p>
        </w:tc>
        <w:tc>
          <w:tcPr>
            <w:tcW w:w="2197" w:type="dxa"/>
            <w:tcBorders>
              <w:top w:val="single" w:sz="4" w:space="0" w:color="auto"/>
              <w:left w:val="nil"/>
              <w:bottom w:val="single" w:sz="4" w:space="0" w:color="auto"/>
              <w:right w:val="single" w:sz="4" w:space="0" w:color="auto"/>
            </w:tcBorders>
            <w:shd w:val="clear" w:color="auto" w:fill="auto"/>
            <w:vAlign w:val="center"/>
            <w:hideMark/>
          </w:tcPr>
          <w:p w14:paraId="3EFE61F8"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Vencimiento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001444E"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Monto de Capital Original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BA63CAE"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Saldo de Capital</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372989C"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Beneficiarios</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E555164" w14:textId="77777777" w:rsidR="005E7BAB" w:rsidRPr="00701F32" w:rsidRDefault="005E7BAB" w:rsidP="00464C0F">
            <w:pPr>
              <w:jc w:val="center"/>
              <w:rPr>
                <w:rFonts w:ascii="Arial" w:hAnsi="Arial" w:cs="Arial"/>
                <w:b/>
                <w:sz w:val="16"/>
                <w:szCs w:val="16"/>
              </w:rPr>
            </w:pPr>
            <w:r w:rsidRPr="00701F32">
              <w:rPr>
                <w:rFonts w:ascii="Arial" w:hAnsi="Arial" w:cs="Arial"/>
                <w:b/>
                <w:sz w:val="16"/>
                <w:szCs w:val="16"/>
              </w:rPr>
              <w:t>Fiduciante</w:t>
            </w:r>
          </w:p>
        </w:tc>
      </w:tr>
      <w:tr w:rsidR="005E7BAB" w:rsidRPr="00701F32" w14:paraId="1D81EEDB" w14:textId="77777777" w:rsidTr="00037C01">
        <w:trPr>
          <w:trHeight w:val="325"/>
        </w:trPr>
        <w:tc>
          <w:tcPr>
            <w:tcW w:w="1190" w:type="dxa"/>
            <w:tcBorders>
              <w:top w:val="single" w:sz="4" w:space="0" w:color="auto"/>
              <w:left w:val="single" w:sz="4" w:space="0" w:color="auto"/>
              <w:right w:val="single" w:sz="4" w:space="0" w:color="auto"/>
            </w:tcBorders>
            <w:shd w:val="clear" w:color="auto" w:fill="auto"/>
            <w:vAlign w:val="center"/>
            <w:hideMark/>
          </w:tcPr>
          <w:p w14:paraId="15A0590F" w14:textId="77777777" w:rsidR="005E7BAB" w:rsidRPr="00701F32" w:rsidRDefault="005E7BAB" w:rsidP="00464C0F">
            <w:pPr>
              <w:jc w:val="both"/>
              <w:rPr>
                <w:rFonts w:ascii="Arial" w:hAnsi="Arial" w:cs="Arial"/>
                <w:sz w:val="16"/>
                <w:szCs w:val="16"/>
              </w:rPr>
            </w:pPr>
            <w:r w:rsidRPr="00701F32">
              <w:rPr>
                <w:rFonts w:ascii="Arial" w:hAnsi="Arial" w:cs="Arial"/>
                <w:sz w:val="16"/>
                <w:szCs w:val="16"/>
              </w:rPr>
              <w:t>Credimas</w:t>
            </w:r>
          </w:p>
        </w:tc>
        <w:tc>
          <w:tcPr>
            <w:tcW w:w="941" w:type="dxa"/>
            <w:tcBorders>
              <w:top w:val="single" w:sz="4" w:space="0" w:color="auto"/>
              <w:left w:val="single" w:sz="4" w:space="0" w:color="auto"/>
              <w:right w:val="single" w:sz="4" w:space="0" w:color="auto"/>
            </w:tcBorders>
            <w:shd w:val="clear" w:color="auto" w:fill="auto"/>
            <w:vAlign w:val="center"/>
            <w:hideMark/>
          </w:tcPr>
          <w:p w14:paraId="43855689" w14:textId="77777777" w:rsidR="005E7BAB" w:rsidRPr="00701F32" w:rsidRDefault="005E7BAB" w:rsidP="00464C0F">
            <w:pPr>
              <w:jc w:val="both"/>
              <w:rPr>
                <w:rFonts w:ascii="Arial" w:hAnsi="Arial" w:cs="Arial"/>
                <w:sz w:val="16"/>
                <w:szCs w:val="16"/>
              </w:rPr>
            </w:pPr>
            <w:r w:rsidRPr="00701F32">
              <w:rPr>
                <w:rFonts w:ascii="Arial" w:hAnsi="Arial" w:cs="Arial"/>
                <w:sz w:val="16"/>
                <w:szCs w:val="16"/>
              </w:rPr>
              <w:t>11/01/2013</w:t>
            </w:r>
          </w:p>
        </w:tc>
        <w:tc>
          <w:tcPr>
            <w:tcW w:w="2197" w:type="dxa"/>
            <w:tcBorders>
              <w:top w:val="single" w:sz="4" w:space="0" w:color="auto"/>
              <w:left w:val="nil"/>
              <w:bottom w:val="single" w:sz="4" w:space="0" w:color="auto"/>
              <w:right w:val="single" w:sz="4" w:space="0" w:color="auto"/>
            </w:tcBorders>
            <w:shd w:val="clear" w:color="auto" w:fill="auto"/>
            <w:vAlign w:val="center"/>
          </w:tcPr>
          <w:p w14:paraId="0A09A7A4" w14:textId="39102AF6" w:rsidR="005E7BAB" w:rsidRPr="00701F32" w:rsidRDefault="005A4E0F" w:rsidP="005A4E0F">
            <w:pPr>
              <w:jc w:val="center"/>
              <w:rPr>
                <w:rFonts w:ascii="Arial" w:hAnsi="Arial" w:cs="Arial"/>
                <w:sz w:val="16"/>
                <w:szCs w:val="16"/>
                <w:lang w:val="es-ES_tradnl"/>
              </w:rPr>
            </w:pPr>
            <w:r>
              <w:rPr>
                <w:rFonts w:ascii="Arial" w:hAnsi="Arial" w:cs="Arial"/>
                <w:sz w:val="16"/>
                <w:szCs w:val="16"/>
                <w:lang w:val="es-ES_tradnl"/>
              </w:rPr>
              <w:t>Con fecha 21-06-2019 se llegó a un acuerdo de extinción</w:t>
            </w:r>
          </w:p>
        </w:tc>
        <w:tc>
          <w:tcPr>
            <w:tcW w:w="992" w:type="dxa"/>
            <w:tcBorders>
              <w:top w:val="single" w:sz="4" w:space="0" w:color="auto"/>
              <w:left w:val="nil"/>
              <w:bottom w:val="single" w:sz="4" w:space="0" w:color="auto"/>
              <w:right w:val="single" w:sz="4" w:space="0" w:color="auto"/>
            </w:tcBorders>
            <w:shd w:val="clear" w:color="auto" w:fill="auto"/>
            <w:vAlign w:val="center"/>
          </w:tcPr>
          <w:p w14:paraId="2F70E2C5" w14:textId="5AF118B1" w:rsidR="005E7BAB" w:rsidRPr="00701F32" w:rsidRDefault="004C6FE0" w:rsidP="00C23045">
            <w:pPr>
              <w:jc w:val="center"/>
              <w:rPr>
                <w:rFonts w:ascii="Arial" w:hAnsi="Arial" w:cs="Arial"/>
                <w:sz w:val="16"/>
                <w:szCs w:val="16"/>
                <w:lang w:val="es-ES_tradnl"/>
              </w:rPr>
            </w:pPr>
            <w:r>
              <w:rPr>
                <w:rFonts w:ascii="Arial" w:hAnsi="Arial" w:cs="Arial"/>
                <w:sz w:val="16"/>
                <w:szCs w:val="16"/>
                <w:lang w:val="es-ES_tradnl"/>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18B86F25" w14:textId="6E4D2553" w:rsidR="005E7BAB" w:rsidRPr="00701F32" w:rsidRDefault="004C6FE0" w:rsidP="00C23045">
            <w:pPr>
              <w:jc w:val="center"/>
              <w:rPr>
                <w:rFonts w:ascii="Arial" w:hAnsi="Arial" w:cs="Arial"/>
                <w:sz w:val="16"/>
                <w:szCs w:val="16"/>
                <w:lang w:val="es-ES_tradnl"/>
              </w:rPr>
            </w:pPr>
            <w:r>
              <w:rPr>
                <w:rFonts w:ascii="Arial" w:hAnsi="Arial" w:cs="Arial"/>
                <w:sz w:val="16"/>
                <w:szCs w:val="16"/>
                <w:lang w:val="es-ES_tradnl"/>
              </w:rPr>
              <w:t>-</w:t>
            </w:r>
          </w:p>
        </w:tc>
        <w:tc>
          <w:tcPr>
            <w:tcW w:w="2268" w:type="dxa"/>
            <w:tcBorders>
              <w:top w:val="single" w:sz="4" w:space="0" w:color="auto"/>
              <w:left w:val="single" w:sz="4" w:space="0" w:color="auto"/>
              <w:right w:val="single" w:sz="4" w:space="0" w:color="auto"/>
            </w:tcBorders>
            <w:shd w:val="clear" w:color="auto" w:fill="auto"/>
            <w:vAlign w:val="center"/>
            <w:hideMark/>
          </w:tcPr>
          <w:p w14:paraId="768C8E2B" w14:textId="77777777" w:rsidR="005E7BAB" w:rsidRPr="00701F32" w:rsidRDefault="005E7BAB" w:rsidP="00464C0F">
            <w:pPr>
              <w:jc w:val="both"/>
              <w:rPr>
                <w:rFonts w:ascii="Arial" w:hAnsi="Arial" w:cs="Arial"/>
                <w:sz w:val="16"/>
                <w:szCs w:val="16"/>
              </w:rPr>
            </w:pPr>
            <w:r w:rsidRPr="00701F32">
              <w:rPr>
                <w:rFonts w:ascii="Arial" w:hAnsi="Arial" w:cs="Arial"/>
                <w:sz w:val="16"/>
                <w:szCs w:val="16"/>
              </w:rPr>
              <w:t>Banco Supervielle S.A.</w:t>
            </w:r>
          </w:p>
        </w:tc>
        <w:tc>
          <w:tcPr>
            <w:tcW w:w="993" w:type="dxa"/>
            <w:tcBorders>
              <w:top w:val="single" w:sz="4" w:space="0" w:color="auto"/>
              <w:left w:val="single" w:sz="4" w:space="0" w:color="auto"/>
              <w:right w:val="single" w:sz="4" w:space="0" w:color="auto"/>
            </w:tcBorders>
            <w:shd w:val="clear" w:color="auto" w:fill="auto"/>
            <w:vAlign w:val="center"/>
            <w:hideMark/>
          </w:tcPr>
          <w:p w14:paraId="0936FC83" w14:textId="77777777" w:rsidR="005E7BAB" w:rsidRPr="00701F32" w:rsidRDefault="005E7BAB" w:rsidP="00066653">
            <w:pPr>
              <w:jc w:val="center"/>
              <w:rPr>
                <w:rFonts w:ascii="Arial" w:hAnsi="Arial" w:cs="Arial"/>
                <w:sz w:val="16"/>
                <w:szCs w:val="16"/>
              </w:rPr>
            </w:pPr>
            <w:r w:rsidRPr="00701F32">
              <w:rPr>
                <w:rFonts w:ascii="Arial" w:hAnsi="Arial" w:cs="Arial"/>
                <w:sz w:val="16"/>
                <w:szCs w:val="16"/>
              </w:rPr>
              <w:t>Credimas S.A.</w:t>
            </w:r>
          </w:p>
        </w:tc>
      </w:tr>
      <w:tr w:rsidR="005E7BAB" w:rsidRPr="00701F32" w14:paraId="49F82F8A" w14:textId="77777777" w:rsidTr="00037C01">
        <w:trPr>
          <w:trHeight w:val="580"/>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4402A63B" w14:textId="4B964185" w:rsidR="005E7BAB" w:rsidRPr="00701F32" w:rsidRDefault="005E7BAB" w:rsidP="00701F32">
            <w:pPr>
              <w:jc w:val="center"/>
              <w:rPr>
                <w:rFonts w:ascii="Arial" w:hAnsi="Arial" w:cs="Arial"/>
                <w:sz w:val="16"/>
                <w:szCs w:val="16"/>
              </w:rPr>
            </w:pPr>
            <w:r w:rsidRPr="00701F32">
              <w:rPr>
                <w:rFonts w:ascii="Arial" w:hAnsi="Arial" w:cs="Arial"/>
                <w:sz w:val="16"/>
                <w:szCs w:val="16"/>
              </w:rPr>
              <w:t>Fideicomiso de Administración Interconexión 500 KV ET Nueva San Juan - ET Rodeo Iglesia</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14:paraId="34B01168" w14:textId="5E5C6B73" w:rsidR="005E7BAB" w:rsidRPr="00701F32" w:rsidRDefault="005E7BAB" w:rsidP="00701F32">
            <w:pPr>
              <w:jc w:val="center"/>
              <w:rPr>
                <w:rFonts w:ascii="Arial" w:hAnsi="Arial" w:cs="Arial"/>
                <w:sz w:val="16"/>
                <w:szCs w:val="16"/>
              </w:rPr>
            </w:pPr>
            <w:r w:rsidRPr="00701F32">
              <w:rPr>
                <w:rFonts w:ascii="Arial" w:hAnsi="Arial" w:cs="Arial"/>
                <w:sz w:val="16"/>
                <w:szCs w:val="16"/>
              </w:rPr>
              <w:t>12/09/2018</w:t>
            </w:r>
          </w:p>
        </w:tc>
        <w:tc>
          <w:tcPr>
            <w:tcW w:w="2197" w:type="dxa"/>
            <w:tcBorders>
              <w:top w:val="single" w:sz="4" w:space="0" w:color="auto"/>
              <w:left w:val="nil"/>
              <w:bottom w:val="single" w:sz="4" w:space="0" w:color="auto"/>
              <w:right w:val="single" w:sz="4" w:space="0" w:color="auto"/>
            </w:tcBorders>
            <w:shd w:val="clear" w:color="auto" w:fill="auto"/>
            <w:vAlign w:val="center"/>
          </w:tcPr>
          <w:p w14:paraId="3544C260" w14:textId="32FA2584" w:rsidR="005E7BAB" w:rsidRPr="00701F32" w:rsidRDefault="00F337DD" w:rsidP="00F337DD">
            <w:pPr>
              <w:jc w:val="center"/>
              <w:rPr>
                <w:rFonts w:ascii="Arial" w:hAnsi="Arial" w:cs="Arial"/>
                <w:sz w:val="16"/>
                <w:szCs w:val="16"/>
                <w:lang w:val="es-ES_tradnl"/>
              </w:rPr>
            </w:pPr>
            <w:r>
              <w:rPr>
                <w:rFonts w:ascii="Arial" w:hAnsi="Arial" w:cs="Arial"/>
                <w:sz w:val="16"/>
                <w:szCs w:val="16"/>
              </w:rPr>
              <w:t xml:space="preserve">La duración de este Contrato de FIDEICOMISO será de 24 meses a contar  </w:t>
            </w:r>
            <w:r w:rsidR="005E7BAB" w:rsidRPr="00701F32">
              <w:rPr>
                <w:rFonts w:ascii="Arial" w:hAnsi="Arial" w:cs="Arial"/>
                <w:sz w:val="16"/>
                <w:szCs w:val="16"/>
              </w:rPr>
              <w:t>12/09/20</w:t>
            </w:r>
            <w:r>
              <w:rPr>
                <w:rFonts w:ascii="Arial" w:hAnsi="Arial" w:cs="Arial"/>
                <w:sz w:val="16"/>
                <w:szCs w:val="16"/>
              </w:rPr>
              <w:t>18</w:t>
            </w:r>
            <w:r w:rsidR="005E7BAB" w:rsidRPr="00701F32">
              <w:rPr>
                <w:rFonts w:ascii="Arial" w:hAnsi="Arial" w:cs="Arial"/>
                <w:sz w:val="16"/>
                <w:szCs w:val="16"/>
              </w:rPr>
              <w:t xml:space="preserve">, o hasta la extinción de las obligaciones de pago mediante Desembolsos (la “Fecha de Extinción”). </w:t>
            </w:r>
            <w:r w:rsidR="00CE31CA" w:rsidRPr="00CE31CA">
              <w:rPr>
                <w:rFonts w:ascii="Arial" w:hAnsi="Arial" w:cs="Arial"/>
                <w:sz w:val="16"/>
                <w:szCs w:val="16"/>
                <w:lang w:eastAsia="es-AR"/>
              </w:rPr>
              <w:t>Transcurridos 30 (treinta días ) días de la finalización del plazo del presente Contrato de FIDEICOMISO sin que las Partes hubieran acordado una Comisión de Prórroga, se dará por extinguido el FIDEICOMISO sin posibilidad de prórroga, percibiendo el FIDUCIARIO, de la Cuenta Fiduciaria, la suma de pesos equivalente a U$D 6.000 (dólares estadounidenses seis mil) al tipo de cambio comprador vigente en Banco Supervielle en concepto de penalidad</w:t>
            </w:r>
            <w:r w:rsidR="00CE31CA">
              <w:rPr>
                <w:rFonts w:ascii="Century Gothic" w:hAnsi="Century Gothic" w:cs="Arial"/>
                <w:sz w:val="16"/>
                <w:szCs w:val="16"/>
                <w:lang w:eastAsia="es-AR"/>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29E1B90A" w14:textId="39E8D2F1" w:rsidR="005E7BAB" w:rsidRPr="00701F32" w:rsidRDefault="005B2619">
            <w:pPr>
              <w:jc w:val="center"/>
              <w:rPr>
                <w:rFonts w:ascii="Arial" w:hAnsi="Arial" w:cs="Arial"/>
                <w:sz w:val="16"/>
                <w:szCs w:val="16"/>
                <w:lang w:val="es-ES_tradnl"/>
              </w:rPr>
            </w:pPr>
            <w:r w:rsidRPr="00701F32">
              <w:rPr>
                <w:rFonts w:ascii="Arial" w:hAnsi="Arial" w:cs="Arial"/>
                <w:sz w:val="16"/>
                <w:szCs w:val="16"/>
              </w:rPr>
              <w:t>-</w:t>
            </w:r>
          </w:p>
        </w:tc>
        <w:tc>
          <w:tcPr>
            <w:tcW w:w="709" w:type="dxa"/>
            <w:tcBorders>
              <w:top w:val="single" w:sz="4" w:space="0" w:color="auto"/>
              <w:left w:val="nil"/>
              <w:bottom w:val="single" w:sz="4" w:space="0" w:color="auto"/>
              <w:right w:val="single" w:sz="4" w:space="0" w:color="auto"/>
            </w:tcBorders>
            <w:shd w:val="clear" w:color="auto" w:fill="auto"/>
            <w:vAlign w:val="center"/>
          </w:tcPr>
          <w:p w14:paraId="53847824" w14:textId="33F12897" w:rsidR="005E7BAB" w:rsidRPr="00701F32" w:rsidRDefault="005B2619">
            <w:pPr>
              <w:jc w:val="center"/>
              <w:rPr>
                <w:rFonts w:ascii="Arial" w:hAnsi="Arial" w:cs="Arial"/>
                <w:sz w:val="16"/>
                <w:szCs w:val="16"/>
                <w:lang w:val="es-ES_tradnl"/>
              </w:rPr>
            </w:pPr>
            <w:r w:rsidRPr="00701F32">
              <w:rPr>
                <w:rFonts w:ascii="Arial" w:hAnsi="Arial" w:cs="Arial"/>
                <w:sz w:val="16"/>
                <w:szCs w:val="16"/>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C01F02C" w14:textId="0BCFCFA5" w:rsidR="005E7BAB" w:rsidRPr="00CE31CA" w:rsidRDefault="00CE31CA" w:rsidP="00701F32">
            <w:pPr>
              <w:jc w:val="center"/>
              <w:rPr>
                <w:rFonts w:ascii="Arial" w:hAnsi="Arial" w:cs="Arial"/>
                <w:sz w:val="16"/>
                <w:szCs w:val="16"/>
                <w:lang w:val="es-ES_tradnl"/>
              </w:rPr>
            </w:pPr>
            <w:r w:rsidRPr="00CE31CA">
              <w:rPr>
                <w:rFonts w:ascii="Arial" w:hAnsi="Arial" w:cs="Arial"/>
                <w:sz w:val="16"/>
                <w:szCs w:val="16"/>
                <w:lang w:eastAsia="es-AR"/>
              </w:rPr>
              <w:t>Los mencionados originalmente en el Anexo V (DISERVEL S.R.L., INGENIAS S.R.L, GEOTECNIA (INV. CALVENTE), NEWEN INGENIERIA S.A., INGICIAP S.A., MERCADOS ENERGETICOS, DISERVEL S.R.L.) y los proveedores de obras, bienes y servicios comprendidos en el Proyecto, a ser designados por el FIDUCIANTE con la previa conformidad del COMITENTE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1677B77" w14:textId="45A07647" w:rsidR="005E7BAB" w:rsidRPr="00701F32" w:rsidRDefault="005E7BAB" w:rsidP="00701F32">
            <w:pPr>
              <w:jc w:val="center"/>
              <w:rPr>
                <w:rFonts w:ascii="Arial" w:hAnsi="Arial" w:cs="Arial"/>
                <w:sz w:val="16"/>
                <w:szCs w:val="16"/>
              </w:rPr>
            </w:pPr>
            <w:r w:rsidRPr="00701F32">
              <w:rPr>
                <w:rFonts w:ascii="Arial" w:hAnsi="Arial" w:cs="Arial"/>
                <w:sz w:val="16"/>
                <w:szCs w:val="16"/>
              </w:rPr>
              <w:t>Interconexion Electrica Rodeo S.A.</w:t>
            </w:r>
          </w:p>
        </w:tc>
      </w:tr>
    </w:tbl>
    <w:p w14:paraId="1CB5030E" w14:textId="77777777" w:rsidR="00A06BE9" w:rsidRPr="00701F32" w:rsidRDefault="00A06BE9" w:rsidP="00A06BE9">
      <w:pPr>
        <w:tabs>
          <w:tab w:val="left" w:pos="142"/>
        </w:tabs>
        <w:jc w:val="both"/>
        <w:rPr>
          <w:rFonts w:ascii="Arial" w:hAnsi="Arial" w:cs="Arial"/>
          <w:sz w:val="20"/>
        </w:rPr>
      </w:pPr>
    </w:p>
    <w:p w14:paraId="0D688E3F" w14:textId="77777777" w:rsidR="00A06BE9" w:rsidRPr="00701F32" w:rsidRDefault="00A06BE9" w:rsidP="00A06BE9">
      <w:pPr>
        <w:jc w:val="both"/>
        <w:rPr>
          <w:rFonts w:ascii="Arial" w:hAnsi="Arial" w:cs="Arial"/>
          <w:sz w:val="20"/>
        </w:rPr>
      </w:pPr>
      <w:r w:rsidRPr="00701F32">
        <w:rPr>
          <w:rFonts w:ascii="Arial" w:hAnsi="Arial" w:cs="Arial"/>
          <w:sz w:val="20"/>
        </w:rPr>
        <w:t>Con motivo de la fusión con el ex Banco Regional de Cuyo S.A. efectuada el 1° de noviembre de 2010, la Entidad tomó a su cargo los siguientes fideicomisos en los cuales el ex Banco Regional de Cuyo S.A. actuaba como fiduciario:</w:t>
      </w:r>
    </w:p>
    <w:p w14:paraId="7F25B078" w14:textId="77777777" w:rsidR="00F53550" w:rsidRPr="00701F32" w:rsidRDefault="00F53550" w:rsidP="00A06BE9">
      <w:pPr>
        <w:jc w:val="both"/>
        <w:rPr>
          <w:rFonts w:ascii="Arial" w:hAnsi="Arial" w:cs="Arial"/>
          <w:sz w:val="20"/>
          <w:u w:val="single"/>
        </w:rPr>
      </w:pPr>
    </w:p>
    <w:p w14:paraId="3EF5374A" w14:textId="77777777" w:rsidR="00DF2E5B" w:rsidRDefault="00A06BE9" w:rsidP="00DF2E5B">
      <w:pPr>
        <w:pStyle w:val="xmsonormal"/>
        <w:shd w:val="clear" w:color="auto" w:fill="FFFFFF"/>
        <w:spacing w:before="0" w:beforeAutospacing="0" w:after="0" w:afterAutospacing="0"/>
        <w:jc w:val="both"/>
        <w:rPr>
          <w:rFonts w:ascii="Calibri" w:hAnsi="Calibri"/>
          <w:color w:val="201F1E"/>
          <w:sz w:val="22"/>
          <w:szCs w:val="22"/>
        </w:rPr>
      </w:pPr>
      <w:r w:rsidRPr="00701F32">
        <w:rPr>
          <w:rFonts w:ascii="Arial" w:hAnsi="Arial" w:cs="Arial"/>
          <w:sz w:val="20"/>
          <w:u w:val="single"/>
        </w:rPr>
        <w:t>Fideicomiso Mendoza</w:t>
      </w:r>
      <w:r w:rsidRPr="00701F32">
        <w:rPr>
          <w:rFonts w:ascii="Arial" w:hAnsi="Arial" w:cs="Arial"/>
          <w:sz w:val="20"/>
        </w:rPr>
        <w:t xml:space="preserve">: Se encuentra en etapa de liquidación, toda vez que se ha cumplido el plazo contractual, aunque queda pendiente la realización de varios actos que derivan de la actividad fiduciaria. </w:t>
      </w:r>
      <w:r w:rsidR="00DF2E5B" w:rsidRPr="00DF2E5B">
        <w:rPr>
          <w:rFonts w:ascii="Arial" w:hAnsi="Arial" w:cs="Arial"/>
          <w:sz w:val="20"/>
        </w:rPr>
        <w:t>Los pasivos contabilizados al 30 Junio de 2019 (de acuerdo a la Certificación Literal del Estado de Situación Patrimonial Especial de Liquidación - Fecha de cierre al 30/06/19) , fundamentalmente originados en la exclusión de activos, ascienden a la suma de $ 21.018 miles y han sido respaldados con activos fideicomitidos (préstamos, otros créditos diversos, otros activos no financieros, etc.) por la suma de $ 646 miles, oportunamente se procederá a la liquidación del fideicomiso conforme a lo establecido la ley 24.441.</w:t>
      </w:r>
    </w:p>
    <w:p w14:paraId="63EFE487" w14:textId="6056DCA9" w:rsidR="00A06BE9" w:rsidRPr="00701F32" w:rsidRDefault="00A06BE9" w:rsidP="00A06BE9">
      <w:pPr>
        <w:jc w:val="both"/>
        <w:rPr>
          <w:rFonts w:ascii="Arial" w:hAnsi="Arial" w:cs="Arial"/>
          <w:sz w:val="20"/>
        </w:rPr>
      </w:pPr>
    </w:p>
    <w:p w14:paraId="3E02FEE1" w14:textId="5AFBCCE5" w:rsidR="00CE31CA" w:rsidRPr="00CE31CA" w:rsidRDefault="00A06BE9" w:rsidP="00CE31CA">
      <w:pPr>
        <w:pStyle w:val="xmsonormal"/>
        <w:shd w:val="clear" w:color="auto" w:fill="FFFFFF"/>
        <w:spacing w:before="0" w:beforeAutospacing="0" w:after="0" w:afterAutospacing="0"/>
        <w:jc w:val="both"/>
        <w:rPr>
          <w:rFonts w:ascii="Arial" w:hAnsi="Arial" w:cs="Arial"/>
          <w:sz w:val="20"/>
        </w:rPr>
      </w:pPr>
      <w:r w:rsidRPr="00701F32">
        <w:rPr>
          <w:rFonts w:ascii="Arial" w:hAnsi="Arial" w:cs="Arial"/>
          <w:sz w:val="20"/>
          <w:u w:val="single"/>
        </w:rPr>
        <w:t>Fideicomiso Luján</w:t>
      </w:r>
      <w:r w:rsidRPr="00701F32">
        <w:rPr>
          <w:rFonts w:ascii="Arial" w:hAnsi="Arial" w:cs="Arial"/>
          <w:sz w:val="20"/>
        </w:rPr>
        <w:t>: Se ha cumplido el plazo del contrato por lo que la Entidad ha procedido a la entrega de toda la documentación referente a la liquidación y se ha solicitado la baja definitiva en la Dirección General de Rentas en el impuesto sobre los ingresos brutos y como agente de retención de sellos e ingresos brutos, la cual fue resuelta favorablemente por la DGR. Igualmente se ha solicitado la baja definitiva ante AFIP.</w:t>
      </w:r>
      <w:r w:rsidR="00CE31CA" w:rsidRPr="00CE31CA">
        <w:rPr>
          <w:rFonts w:ascii="Arial" w:hAnsi="Arial" w:cs="Arial"/>
          <w:sz w:val="20"/>
        </w:rPr>
        <w:t xml:space="preserve"> </w:t>
      </w:r>
      <w:r w:rsidR="0049795D">
        <w:rPr>
          <w:rFonts w:ascii="Arial" w:hAnsi="Arial" w:cs="Arial"/>
          <w:sz w:val="20"/>
        </w:rPr>
        <w:t>Al 31 de julio de 2019, se ha recibido la constancia de baja por parte del mencionado ente.</w:t>
      </w:r>
    </w:p>
    <w:p w14:paraId="3E86CAB8" w14:textId="3E5DAE5B" w:rsidR="00721980" w:rsidRDefault="00721980" w:rsidP="00721980">
      <w:pPr>
        <w:jc w:val="both"/>
        <w:rPr>
          <w:rFonts w:ascii="Arial" w:hAnsi="Arial" w:cs="Arial"/>
          <w:sz w:val="20"/>
        </w:rPr>
      </w:pPr>
    </w:p>
    <w:p w14:paraId="4239E9DC" w14:textId="77777777" w:rsidR="00A06BE9" w:rsidRPr="00701F32" w:rsidRDefault="00A06BE9" w:rsidP="00A06BE9">
      <w:pPr>
        <w:tabs>
          <w:tab w:val="left" w:pos="142"/>
        </w:tabs>
        <w:autoSpaceDE w:val="0"/>
        <w:autoSpaceDN w:val="0"/>
        <w:adjustRightInd w:val="0"/>
        <w:jc w:val="both"/>
        <w:rPr>
          <w:rFonts w:ascii="Arial" w:hAnsi="Arial" w:cs="Arial"/>
          <w:b/>
          <w:sz w:val="20"/>
          <w:u w:val="single"/>
        </w:rPr>
      </w:pPr>
      <w:r w:rsidRPr="00701F32">
        <w:rPr>
          <w:rFonts w:ascii="Arial" w:hAnsi="Arial" w:cs="Arial"/>
          <w:b/>
          <w:sz w:val="20"/>
          <w:u w:val="single"/>
        </w:rPr>
        <w:t>Actuación como Fiduciante</w:t>
      </w:r>
    </w:p>
    <w:p w14:paraId="42CD65AD" w14:textId="77777777" w:rsidR="00A06BE9" w:rsidRPr="00701F32" w:rsidRDefault="00A06BE9" w:rsidP="00A06BE9">
      <w:pPr>
        <w:tabs>
          <w:tab w:val="left" w:pos="142"/>
        </w:tabs>
        <w:jc w:val="both"/>
        <w:rPr>
          <w:rFonts w:ascii="Arial" w:hAnsi="Arial" w:cs="Arial"/>
          <w:b/>
          <w:sz w:val="20"/>
        </w:rPr>
      </w:pPr>
    </w:p>
    <w:p w14:paraId="5CC285FF"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rPr>
        <w:t>Se resume a continuación el detalle de los fideicomisos financieros:</w:t>
      </w:r>
    </w:p>
    <w:p w14:paraId="2D9B73E9" w14:textId="77777777" w:rsidR="00A06BE9" w:rsidRPr="00701F32" w:rsidRDefault="00A06BE9" w:rsidP="00A06BE9">
      <w:pPr>
        <w:tabs>
          <w:tab w:val="left" w:pos="142"/>
        </w:tabs>
        <w:jc w:val="both"/>
        <w:rPr>
          <w:rFonts w:ascii="Arial" w:hAnsi="Arial" w:cs="Arial"/>
          <w:sz w:val="20"/>
        </w:rPr>
      </w:pPr>
    </w:p>
    <w:p w14:paraId="6F7AE8C3" w14:textId="5FCB54ED" w:rsidR="00A06BE9" w:rsidRDefault="00A06BE9" w:rsidP="00A06BE9">
      <w:pPr>
        <w:tabs>
          <w:tab w:val="left" w:pos="142"/>
        </w:tabs>
        <w:jc w:val="both"/>
        <w:rPr>
          <w:rFonts w:ascii="Arial" w:hAnsi="Arial" w:cs="Arial"/>
          <w:sz w:val="20"/>
        </w:rPr>
      </w:pPr>
      <w:r w:rsidRPr="00701F32">
        <w:rPr>
          <w:rFonts w:ascii="Arial" w:hAnsi="Arial" w:cs="Arial"/>
          <w:sz w:val="20"/>
        </w:rPr>
        <w:t>Fideicomisos financieros con oferta pública y cotización al 3</w:t>
      </w:r>
      <w:r w:rsidR="00032EC8">
        <w:rPr>
          <w:rFonts w:ascii="Arial" w:hAnsi="Arial" w:cs="Arial"/>
          <w:sz w:val="20"/>
        </w:rPr>
        <w:t>1</w:t>
      </w:r>
      <w:r w:rsidRPr="00701F32">
        <w:rPr>
          <w:rFonts w:ascii="Arial" w:hAnsi="Arial" w:cs="Arial"/>
          <w:sz w:val="20"/>
        </w:rPr>
        <w:t xml:space="preserve"> de </w:t>
      </w:r>
      <w:r w:rsidR="00032EC8">
        <w:rPr>
          <w:rFonts w:ascii="Arial" w:hAnsi="Arial" w:cs="Arial"/>
          <w:sz w:val="20"/>
        </w:rPr>
        <w:t>diciembre</w:t>
      </w:r>
      <w:r w:rsidR="000E1F15">
        <w:rPr>
          <w:rFonts w:ascii="Arial" w:hAnsi="Arial" w:cs="Arial"/>
          <w:sz w:val="20"/>
        </w:rPr>
        <w:t xml:space="preserve"> </w:t>
      </w:r>
      <w:r w:rsidRPr="00701F32">
        <w:rPr>
          <w:rFonts w:ascii="Arial" w:hAnsi="Arial" w:cs="Arial"/>
          <w:sz w:val="20"/>
        </w:rPr>
        <w:t>de 201</w:t>
      </w:r>
      <w:r w:rsidR="000E1F15">
        <w:rPr>
          <w:rFonts w:ascii="Arial" w:hAnsi="Arial" w:cs="Arial"/>
          <w:sz w:val="20"/>
        </w:rPr>
        <w:t>9</w:t>
      </w:r>
      <w:r w:rsidRPr="00701F32">
        <w:rPr>
          <w:rFonts w:ascii="Arial" w:hAnsi="Arial" w:cs="Arial"/>
          <w:sz w:val="20"/>
        </w:rPr>
        <w:t>.</w:t>
      </w:r>
    </w:p>
    <w:p w14:paraId="4B36C979" w14:textId="77777777" w:rsidR="007228CD" w:rsidRPr="00701F32" w:rsidRDefault="007228CD" w:rsidP="00A06BE9">
      <w:pPr>
        <w:tabs>
          <w:tab w:val="left" w:pos="142"/>
        </w:tabs>
        <w:jc w:val="both"/>
        <w:rPr>
          <w:rFonts w:ascii="Arial" w:hAnsi="Arial" w:cs="Arial"/>
          <w:sz w:val="20"/>
        </w:rPr>
      </w:pPr>
    </w:p>
    <w:p w14:paraId="594084DD" w14:textId="77777777" w:rsidR="00A06BE9" w:rsidRPr="00701F32" w:rsidRDefault="00A06BE9" w:rsidP="00A06BE9">
      <w:pPr>
        <w:numPr>
          <w:ilvl w:val="0"/>
          <w:numId w:val="3"/>
        </w:numPr>
        <w:tabs>
          <w:tab w:val="left" w:pos="142"/>
        </w:tabs>
        <w:contextualSpacing/>
        <w:jc w:val="both"/>
        <w:rPr>
          <w:rFonts w:ascii="Arial" w:hAnsi="Arial" w:cs="Arial"/>
          <w:b/>
          <w:sz w:val="20"/>
          <w:lang w:eastAsia="es-AR"/>
        </w:rPr>
      </w:pPr>
      <w:r w:rsidRPr="00701F32">
        <w:rPr>
          <w:rFonts w:ascii="Arial" w:hAnsi="Arial" w:cs="Arial"/>
          <w:b/>
          <w:sz w:val="20"/>
          <w:lang w:eastAsia="es-AR"/>
        </w:rPr>
        <w:t>Fideicomiso Financiero Supervielle Créditos</w:t>
      </w:r>
    </w:p>
    <w:p w14:paraId="5E1226F0" w14:textId="77777777" w:rsidR="00A06BE9" w:rsidRPr="00701F32" w:rsidRDefault="00A06BE9" w:rsidP="00A06BE9">
      <w:pPr>
        <w:tabs>
          <w:tab w:val="left" w:pos="6990"/>
        </w:tabs>
        <w:jc w:val="both"/>
        <w:rPr>
          <w:rFonts w:ascii="Arial" w:hAnsi="Arial" w:cs="Arial"/>
          <w:b/>
          <w:sz w:val="20"/>
        </w:rPr>
      </w:pPr>
      <w:r w:rsidRPr="00701F32">
        <w:rPr>
          <w:rFonts w:ascii="Arial" w:hAnsi="Arial" w:cs="Arial"/>
          <w:b/>
          <w:sz w:val="20"/>
        </w:rPr>
        <w:tab/>
      </w:r>
    </w:p>
    <w:p w14:paraId="796C9DF9"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u w:val="single"/>
        </w:rPr>
        <w:t>Activos Fideicomitidos</w:t>
      </w:r>
      <w:r w:rsidRPr="00701F32">
        <w:rPr>
          <w:rFonts w:ascii="Arial" w:hAnsi="Arial" w:cs="Arial"/>
          <w:sz w:val="20"/>
        </w:rPr>
        <w:t xml:space="preserve">: Préstamos Personales </w:t>
      </w:r>
    </w:p>
    <w:p w14:paraId="56F56306"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u w:val="single"/>
        </w:rPr>
        <w:t>Fiduciario:</w:t>
      </w:r>
      <w:r w:rsidRPr="00701F32">
        <w:rPr>
          <w:rFonts w:ascii="Arial" w:hAnsi="Arial" w:cs="Arial"/>
          <w:sz w:val="20"/>
        </w:rPr>
        <w:t xml:space="preserve"> TMF Trust Company (Argentina) S.A.</w:t>
      </w:r>
    </w:p>
    <w:bookmarkEnd w:id="18"/>
    <w:p w14:paraId="20E48134" w14:textId="7F665F63" w:rsidR="004C16C0" w:rsidRPr="00701F32" w:rsidRDefault="004C16C0" w:rsidP="004C16C0">
      <w:pPr>
        <w:jc w:val="both"/>
        <w:rPr>
          <w:rFonts w:ascii="Arial" w:hAnsi="Arial" w:cs="Arial"/>
          <w:sz w:val="20"/>
        </w:rPr>
      </w:pPr>
      <w:r w:rsidRPr="00701F32">
        <w:rPr>
          <w:rFonts w:ascii="Arial" w:hAnsi="Arial" w:cs="Arial"/>
          <w:sz w:val="20"/>
        </w:rPr>
        <w:t xml:space="preserve"> </w:t>
      </w:r>
    </w:p>
    <w:tbl>
      <w:tblPr>
        <w:tblW w:w="692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385"/>
        <w:gridCol w:w="1385"/>
        <w:gridCol w:w="1385"/>
        <w:gridCol w:w="1385"/>
        <w:gridCol w:w="1386"/>
      </w:tblGrid>
      <w:tr w:rsidR="000F7B89" w:rsidRPr="00701F32" w14:paraId="2ABE694A" w14:textId="77777777" w:rsidTr="00037C01">
        <w:trPr>
          <w:trHeight w:val="285"/>
          <w:jc w:val="center"/>
        </w:trPr>
        <w:tc>
          <w:tcPr>
            <w:tcW w:w="1385" w:type="dxa"/>
            <w:vMerge w:val="restart"/>
            <w:shd w:val="clear" w:color="auto" w:fill="auto"/>
            <w:vAlign w:val="center"/>
            <w:hideMark/>
          </w:tcPr>
          <w:p w14:paraId="793D77FC" w14:textId="77777777" w:rsidR="000F7B89" w:rsidRPr="00701F32" w:rsidRDefault="000F7B89" w:rsidP="000618A3">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Serie</w:t>
            </w:r>
          </w:p>
        </w:tc>
        <w:tc>
          <w:tcPr>
            <w:tcW w:w="1385" w:type="dxa"/>
            <w:vMerge w:val="restart"/>
            <w:shd w:val="clear" w:color="auto" w:fill="auto"/>
            <w:vAlign w:val="center"/>
            <w:hideMark/>
          </w:tcPr>
          <w:p w14:paraId="61A9B1E9" w14:textId="77777777" w:rsidR="000F7B89" w:rsidRPr="00701F32" w:rsidRDefault="000F7B89" w:rsidP="000618A3">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Fecha de Emisión</w:t>
            </w:r>
          </w:p>
        </w:tc>
        <w:tc>
          <w:tcPr>
            <w:tcW w:w="1385" w:type="dxa"/>
            <w:vMerge w:val="restart"/>
            <w:shd w:val="clear" w:color="auto" w:fill="auto"/>
            <w:vAlign w:val="center"/>
            <w:hideMark/>
          </w:tcPr>
          <w:p w14:paraId="461B21E5" w14:textId="77777777" w:rsidR="000F7B89" w:rsidRPr="00701F32" w:rsidRDefault="000F7B89" w:rsidP="000618A3">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Valor fideicomitido inicial</w:t>
            </w:r>
          </w:p>
        </w:tc>
        <w:tc>
          <w:tcPr>
            <w:tcW w:w="2771" w:type="dxa"/>
            <w:gridSpan w:val="2"/>
            <w:shd w:val="clear" w:color="auto" w:fill="auto"/>
            <w:vAlign w:val="center"/>
            <w:hideMark/>
          </w:tcPr>
          <w:p w14:paraId="19F01766" w14:textId="77777777" w:rsidR="000F7B89" w:rsidRPr="00701F32" w:rsidRDefault="000F7B89" w:rsidP="000618A3">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Títulos Emitidos</w:t>
            </w:r>
          </w:p>
        </w:tc>
      </w:tr>
      <w:tr w:rsidR="000F7B89" w:rsidRPr="00701F32" w14:paraId="13A6246F" w14:textId="77777777" w:rsidTr="00037C01">
        <w:trPr>
          <w:trHeight w:val="316"/>
          <w:jc w:val="center"/>
        </w:trPr>
        <w:tc>
          <w:tcPr>
            <w:tcW w:w="1385" w:type="dxa"/>
            <w:vMerge/>
            <w:vAlign w:val="center"/>
            <w:hideMark/>
          </w:tcPr>
          <w:p w14:paraId="65DA0F6D" w14:textId="77777777" w:rsidR="000F7B89" w:rsidRPr="00701F32" w:rsidRDefault="000F7B89" w:rsidP="000618A3">
            <w:pPr>
              <w:rPr>
                <w:rFonts w:ascii="Arial" w:hAnsi="Arial" w:cs="Arial"/>
                <w:b/>
                <w:bCs/>
                <w:color w:val="000000"/>
                <w:sz w:val="16"/>
                <w:szCs w:val="16"/>
                <w:lang w:eastAsia="es-AR"/>
              </w:rPr>
            </w:pPr>
          </w:p>
        </w:tc>
        <w:tc>
          <w:tcPr>
            <w:tcW w:w="1385" w:type="dxa"/>
            <w:vMerge/>
            <w:vAlign w:val="center"/>
            <w:hideMark/>
          </w:tcPr>
          <w:p w14:paraId="7305714F" w14:textId="77777777" w:rsidR="000F7B89" w:rsidRPr="00701F32" w:rsidRDefault="000F7B89" w:rsidP="000618A3">
            <w:pPr>
              <w:rPr>
                <w:rFonts w:ascii="Arial" w:hAnsi="Arial" w:cs="Arial"/>
                <w:b/>
                <w:bCs/>
                <w:color w:val="000000"/>
                <w:sz w:val="16"/>
                <w:szCs w:val="16"/>
                <w:lang w:eastAsia="es-AR"/>
              </w:rPr>
            </w:pPr>
          </w:p>
        </w:tc>
        <w:tc>
          <w:tcPr>
            <w:tcW w:w="1385" w:type="dxa"/>
            <w:vMerge/>
            <w:vAlign w:val="center"/>
            <w:hideMark/>
          </w:tcPr>
          <w:p w14:paraId="32D8DF42" w14:textId="77777777" w:rsidR="000F7B89" w:rsidRPr="00701F32" w:rsidRDefault="000F7B89" w:rsidP="000618A3">
            <w:pPr>
              <w:rPr>
                <w:rFonts w:ascii="Arial" w:hAnsi="Arial" w:cs="Arial"/>
                <w:b/>
                <w:bCs/>
                <w:color w:val="000000"/>
                <w:sz w:val="16"/>
                <w:szCs w:val="16"/>
                <w:lang w:eastAsia="es-AR"/>
              </w:rPr>
            </w:pPr>
          </w:p>
        </w:tc>
        <w:tc>
          <w:tcPr>
            <w:tcW w:w="1385" w:type="dxa"/>
            <w:shd w:val="clear" w:color="auto" w:fill="auto"/>
            <w:vAlign w:val="center"/>
            <w:hideMark/>
          </w:tcPr>
          <w:p w14:paraId="44F9AEAF" w14:textId="77777777" w:rsidR="000F7B89" w:rsidRPr="00701F32" w:rsidRDefault="000F7B89" w:rsidP="000618A3">
            <w:pPr>
              <w:jc w:val="center"/>
              <w:rPr>
                <w:rFonts w:ascii="Arial" w:hAnsi="Arial" w:cs="Arial"/>
                <w:b/>
                <w:color w:val="000000"/>
                <w:sz w:val="16"/>
                <w:szCs w:val="16"/>
                <w:lang w:eastAsia="es-AR"/>
              </w:rPr>
            </w:pPr>
            <w:r w:rsidRPr="00701F32">
              <w:rPr>
                <w:rFonts w:ascii="Arial" w:hAnsi="Arial" w:cs="Arial"/>
                <w:b/>
                <w:color w:val="000000"/>
                <w:sz w:val="16"/>
                <w:szCs w:val="16"/>
                <w:lang w:eastAsia="es-AR"/>
              </w:rPr>
              <w:t>Certificados de participación</w:t>
            </w:r>
          </w:p>
        </w:tc>
        <w:tc>
          <w:tcPr>
            <w:tcW w:w="1385" w:type="dxa"/>
            <w:shd w:val="clear" w:color="auto" w:fill="auto"/>
            <w:vAlign w:val="center"/>
            <w:hideMark/>
          </w:tcPr>
          <w:p w14:paraId="39AF42E5" w14:textId="77777777" w:rsidR="000F7B89" w:rsidRPr="00701F32" w:rsidRDefault="000F7B89" w:rsidP="000618A3">
            <w:pPr>
              <w:jc w:val="center"/>
              <w:rPr>
                <w:rFonts w:ascii="Arial" w:hAnsi="Arial" w:cs="Arial"/>
                <w:b/>
                <w:color w:val="000000"/>
                <w:sz w:val="16"/>
                <w:szCs w:val="16"/>
                <w:lang w:eastAsia="es-AR"/>
              </w:rPr>
            </w:pPr>
            <w:r w:rsidRPr="00701F32">
              <w:rPr>
                <w:rFonts w:ascii="Arial" w:hAnsi="Arial" w:cs="Arial"/>
                <w:b/>
                <w:color w:val="000000"/>
                <w:sz w:val="16"/>
                <w:szCs w:val="16"/>
                <w:lang w:eastAsia="es-AR"/>
              </w:rPr>
              <w:t>Títulos de deuda</w:t>
            </w:r>
          </w:p>
        </w:tc>
      </w:tr>
      <w:tr w:rsidR="004C6FE0" w:rsidRPr="00701F32" w14:paraId="67D4CD17" w14:textId="77777777" w:rsidTr="00037C01">
        <w:trPr>
          <w:trHeight w:val="316"/>
          <w:jc w:val="center"/>
        </w:trPr>
        <w:tc>
          <w:tcPr>
            <w:tcW w:w="1385" w:type="dxa"/>
            <w:shd w:val="clear" w:color="auto" w:fill="auto"/>
            <w:vAlign w:val="center"/>
            <w:hideMark/>
          </w:tcPr>
          <w:p w14:paraId="6C062A0D" w14:textId="2AED9986" w:rsidR="004C6FE0" w:rsidRPr="00AB3DEA" w:rsidRDefault="004C6FE0" w:rsidP="000618A3">
            <w:pPr>
              <w:jc w:val="center"/>
              <w:rPr>
                <w:rFonts w:ascii="Arial" w:hAnsi="Arial" w:cs="Arial"/>
                <w:color w:val="000000"/>
                <w:sz w:val="16"/>
                <w:szCs w:val="16"/>
                <w:lang w:eastAsia="es-AR"/>
              </w:rPr>
            </w:pPr>
            <w:r w:rsidRPr="00AB3DEA">
              <w:rPr>
                <w:rFonts w:ascii="Arial" w:hAnsi="Arial" w:cs="Arial"/>
                <w:color w:val="000000"/>
                <w:sz w:val="16"/>
                <w:szCs w:val="16"/>
              </w:rPr>
              <w:t>Serie 9</w:t>
            </w:r>
            <w:r>
              <w:rPr>
                <w:rFonts w:ascii="Arial" w:hAnsi="Arial" w:cs="Arial"/>
                <w:color w:val="000000"/>
                <w:sz w:val="16"/>
                <w:szCs w:val="16"/>
              </w:rPr>
              <w:t>7</w:t>
            </w:r>
            <w:r w:rsidRPr="00AB3DEA">
              <w:rPr>
                <w:rFonts w:ascii="Arial" w:hAnsi="Arial" w:cs="Arial"/>
                <w:color w:val="000000"/>
                <w:sz w:val="16"/>
                <w:szCs w:val="16"/>
              </w:rPr>
              <w:t xml:space="preserve"> (1), (2)</w:t>
            </w:r>
          </w:p>
        </w:tc>
        <w:tc>
          <w:tcPr>
            <w:tcW w:w="1385" w:type="dxa"/>
            <w:shd w:val="clear" w:color="auto" w:fill="auto"/>
            <w:vAlign w:val="center"/>
            <w:hideMark/>
          </w:tcPr>
          <w:p w14:paraId="5763E7E2" w14:textId="19B4B321" w:rsidR="004C6FE0" w:rsidRPr="00AB3DEA" w:rsidRDefault="004C6FE0" w:rsidP="000618A3">
            <w:pPr>
              <w:jc w:val="center"/>
              <w:rPr>
                <w:rFonts w:ascii="Arial" w:hAnsi="Arial" w:cs="Arial"/>
                <w:color w:val="000000"/>
                <w:sz w:val="16"/>
                <w:szCs w:val="16"/>
                <w:lang w:eastAsia="es-AR"/>
              </w:rPr>
            </w:pPr>
            <w:r>
              <w:rPr>
                <w:rFonts w:ascii="Arial" w:hAnsi="Arial" w:cs="Arial"/>
                <w:color w:val="000000"/>
                <w:sz w:val="16"/>
                <w:szCs w:val="16"/>
              </w:rPr>
              <w:t>27/03/2018</w:t>
            </w:r>
          </w:p>
        </w:tc>
        <w:tc>
          <w:tcPr>
            <w:tcW w:w="1385" w:type="dxa"/>
            <w:shd w:val="clear" w:color="auto" w:fill="auto"/>
            <w:vAlign w:val="center"/>
            <w:hideMark/>
          </w:tcPr>
          <w:p w14:paraId="2EC3B2C0" w14:textId="32B6E6C9" w:rsidR="004C6FE0" w:rsidRPr="00AB3DEA" w:rsidRDefault="004C6FE0" w:rsidP="00534414">
            <w:pPr>
              <w:jc w:val="right"/>
              <w:rPr>
                <w:rFonts w:ascii="Arial" w:hAnsi="Arial" w:cs="Arial"/>
                <w:color w:val="000000"/>
                <w:sz w:val="16"/>
                <w:szCs w:val="16"/>
                <w:lang w:eastAsia="es-AR"/>
              </w:rPr>
            </w:pPr>
            <w:r>
              <w:rPr>
                <w:rFonts w:ascii="Arial" w:hAnsi="Arial" w:cs="Arial"/>
                <w:color w:val="000000"/>
                <w:sz w:val="16"/>
                <w:szCs w:val="16"/>
              </w:rPr>
              <w:t>750.000</w:t>
            </w:r>
          </w:p>
        </w:tc>
        <w:tc>
          <w:tcPr>
            <w:tcW w:w="1385" w:type="dxa"/>
            <w:shd w:val="clear" w:color="auto" w:fill="auto"/>
            <w:vAlign w:val="center"/>
          </w:tcPr>
          <w:p w14:paraId="24AD4DF0" w14:textId="49792BD7" w:rsidR="004C6FE0" w:rsidRPr="000E1F15" w:rsidRDefault="004C6FE0">
            <w:pPr>
              <w:jc w:val="right"/>
              <w:rPr>
                <w:rFonts w:ascii="Arial" w:hAnsi="Arial" w:cs="Arial"/>
                <w:color w:val="000000"/>
                <w:sz w:val="16"/>
                <w:szCs w:val="16"/>
                <w:lang w:eastAsia="es-AR"/>
              </w:rPr>
            </w:pPr>
            <w:r w:rsidRPr="00534414">
              <w:rPr>
                <w:rFonts w:ascii="Arial" w:hAnsi="Arial" w:cs="Arial"/>
                <w:sz w:val="16"/>
                <w:szCs w:val="16"/>
              </w:rPr>
              <w:t>-</w:t>
            </w:r>
          </w:p>
        </w:tc>
        <w:tc>
          <w:tcPr>
            <w:tcW w:w="1385" w:type="dxa"/>
            <w:shd w:val="clear" w:color="auto" w:fill="auto"/>
            <w:vAlign w:val="center"/>
          </w:tcPr>
          <w:p w14:paraId="2793B007" w14:textId="5F1BCA5E" w:rsidR="004C6FE0" w:rsidRPr="000E1F15" w:rsidRDefault="001A0EFE">
            <w:pPr>
              <w:jc w:val="right"/>
              <w:rPr>
                <w:rFonts w:ascii="Arial" w:hAnsi="Arial" w:cs="Arial"/>
                <w:color w:val="000000"/>
                <w:sz w:val="16"/>
                <w:szCs w:val="16"/>
                <w:lang w:eastAsia="es-AR"/>
              </w:rPr>
            </w:pPr>
            <w:r>
              <w:rPr>
                <w:rFonts w:ascii="Arial" w:hAnsi="Arial" w:cs="Arial"/>
                <w:sz w:val="16"/>
                <w:szCs w:val="16"/>
              </w:rPr>
              <w:t>-</w:t>
            </w:r>
          </w:p>
        </w:tc>
      </w:tr>
    </w:tbl>
    <w:p w14:paraId="4567CCE8" w14:textId="77777777" w:rsidR="004C16C0" w:rsidRDefault="004C16C0" w:rsidP="004C16C0">
      <w:pPr>
        <w:tabs>
          <w:tab w:val="left" w:pos="142"/>
          <w:tab w:val="left" w:pos="9923"/>
        </w:tabs>
        <w:spacing w:after="200" w:line="276" w:lineRule="auto"/>
        <w:contextualSpacing/>
        <w:jc w:val="both"/>
        <w:rPr>
          <w:rFonts w:ascii="Arial" w:hAnsi="Arial" w:cs="Arial"/>
          <w:b/>
          <w:sz w:val="20"/>
        </w:rPr>
      </w:pPr>
    </w:p>
    <w:p w14:paraId="0FEA48DA" w14:textId="2EE9276A" w:rsidR="00AB3DEA" w:rsidRPr="002229F3" w:rsidRDefault="00AB3DEA" w:rsidP="00AB3DEA">
      <w:pPr>
        <w:tabs>
          <w:tab w:val="left" w:pos="142"/>
        </w:tabs>
        <w:jc w:val="both"/>
        <w:rPr>
          <w:rFonts w:ascii="Arial" w:hAnsi="Arial" w:cs="Arial"/>
          <w:sz w:val="18"/>
        </w:rPr>
      </w:pPr>
      <w:r w:rsidRPr="002229F3">
        <w:rPr>
          <w:rFonts w:ascii="Arial" w:hAnsi="Arial" w:cs="Arial"/>
          <w:sz w:val="18"/>
        </w:rPr>
        <w:t>(</w:t>
      </w:r>
      <w:r>
        <w:rPr>
          <w:rFonts w:ascii="Arial" w:hAnsi="Arial" w:cs="Arial"/>
          <w:sz w:val="18"/>
        </w:rPr>
        <w:t>1</w:t>
      </w:r>
      <w:r w:rsidRPr="002229F3">
        <w:rPr>
          <w:rFonts w:ascii="Arial" w:hAnsi="Arial" w:cs="Arial"/>
          <w:sz w:val="18"/>
        </w:rPr>
        <w:t>) Emitido bajo el p</w:t>
      </w:r>
      <w:r>
        <w:rPr>
          <w:rFonts w:ascii="Arial" w:hAnsi="Arial" w:cs="Arial"/>
          <w:sz w:val="18"/>
        </w:rPr>
        <w:t>rograma Supervielle Confiance 4</w:t>
      </w:r>
      <w:r w:rsidR="003638C3">
        <w:rPr>
          <w:rFonts w:ascii="Arial" w:hAnsi="Arial" w:cs="Arial"/>
          <w:sz w:val="18"/>
        </w:rPr>
        <w:t>.</w:t>
      </w:r>
    </w:p>
    <w:p w14:paraId="1432AE3F" w14:textId="6FA04F96" w:rsidR="00F77F7F" w:rsidRDefault="00AB3DEA" w:rsidP="00AB3DEA">
      <w:pPr>
        <w:tabs>
          <w:tab w:val="left" w:pos="142"/>
        </w:tabs>
        <w:jc w:val="both"/>
        <w:rPr>
          <w:rFonts w:ascii="Arial" w:hAnsi="Arial" w:cs="Arial"/>
          <w:sz w:val="18"/>
        </w:rPr>
      </w:pPr>
      <w:r>
        <w:rPr>
          <w:rFonts w:ascii="Arial" w:hAnsi="Arial" w:cs="Arial"/>
          <w:sz w:val="18"/>
        </w:rPr>
        <w:t xml:space="preserve">(2) </w:t>
      </w:r>
      <w:r w:rsidRPr="002229F3">
        <w:rPr>
          <w:rFonts w:ascii="Arial" w:hAnsi="Arial" w:cs="Arial"/>
          <w:sz w:val="18"/>
        </w:rPr>
        <w:t>Créditos Personales originados por Banco Supervielle otorgados</w:t>
      </w:r>
      <w:r>
        <w:rPr>
          <w:rFonts w:ascii="Arial" w:hAnsi="Arial" w:cs="Arial"/>
          <w:sz w:val="18"/>
        </w:rPr>
        <w:t xml:space="preserve"> a</w:t>
      </w:r>
      <w:r w:rsidRPr="002229F3">
        <w:rPr>
          <w:rFonts w:ascii="Arial" w:hAnsi="Arial" w:cs="Arial"/>
          <w:sz w:val="18"/>
        </w:rPr>
        <w:t xml:space="preserve"> jubilados</w:t>
      </w:r>
      <w:r>
        <w:rPr>
          <w:rFonts w:ascii="Arial" w:hAnsi="Arial" w:cs="Arial"/>
          <w:sz w:val="18"/>
        </w:rPr>
        <w:t xml:space="preserve"> y pensionados de ANSES.</w:t>
      </w:r>
    </w:p>
    <w:p w14:paraId="520FE789" w14:textId="77777777" w:rsidR="00FE71CD" w:rsidRPr="00701F32" w:rsidRDefault="00FE71CD" w:rsidP="00066653">
      <w:pPr>
        <w:tabs>
          <w:tab w:val="left" w:pos="142"/>
        </w:tabs>
        <w:jc w:val="both"/>
        <w:rPr>
          <w:rFonts w:ascii="Arial" w:hAnsi="Arial" w:cs="Arial"/>
          <w:b/>
          <w:sz w:val="20"/>
        </w:rPr>
      </w:pPr>
    </w:p>
    <w:p w14:paraId="55D5FE71" w14:textId="7F12DA95" w:rsidR="00FD0151" w:rsidRPr="00701F32" w:rsidRDefault="00FD0151" w:rsidP="00FD0151">
      <w:pPr>
        <w:numPr>
          <w:ilvl w:val="0"/>
          <w:numId w:val="3"/>
        </w:numPr>
        <w:tabs>
          <w:tab w:val="left" w:pos="142"/>
        </w:tabs>
        <w:contextualSpacing/>
        <w:jc w:val="both"/>
        <w:rPr>
          <w:rFonts w:ascii="Arial" w:hAnsi="Arial" w:cs="Arial"/>
          <w:b/>
          <w:sz w:val="20"/>
          <w:lang w:eastAsia="es-AR"/>
        </w:rPr>
      </w:pPr>
      <w:r w:rsidRPr="00701F32">
        <w:rPr>
          <w:rFonts w:ascii="Arial" w:hAnsi="Arial" w:cs="Arial"/>
          <w:b/>
          <w:sz w:val="20"/>
          <w:lang w:eastAsia="es-AR"/>
        </w:rPr>
        <w:t xml:space="preserve">Fideicomiso Financiero </w:t>
      </w:r>
      <w:r>
        <w:rPr>
          <w:rFonts w:ascii="Arial" w:hAnsi="Arial" w:cs="Arial"/>
          <w:b/>
          <w:sz w:val="20"/>
          <w:lang w:eastAsia="es-AR"/>
        </w:rPr>
        <w:t>CCF</w:t>
      </w:r>
      <w:r w:rsidRPr="00701F32">
        <w:rPr>
          <w:rFonts w:ascii="Arial" w:hAnsi="Arial" w:cs="Arial"/>
          <w:b/>
          <w:sz w:val="20"/>
          <w:lang w:eastAsia="es-AR"/>
        </w:rPr>
        <w:t xml:space="preserve"> Créditos</w:t>
      </w:r>
    </w:p>
    <w:p w14:paraId="0D8F24C6" w14:textId="77777777" w:rsidR="00FD0151" w:rsidRPr="00701F32" w:rsidRDefault="00FD0151" w:rsidP="00FD0151">
      <w:pPr>
        <w:tabs>
          <w:tab w:val="left" w:pos="6990"/>
        </w:tabs>
        <w:jc w:val="both"/>
        <w:rPr>
          <w:rFonts w:ascii="Arial" w:hAnsi="Arial" w:cs="Arial"/>
          <w:b/>
          <w:sz w:val="20"/>
        </w:rPr>
      </w:pPr>
      <w:r w:rsidRPr="00701F32">
        <w:rPr>
          <w:rFonts w:ascii="Arial" w:hAnsi="Arial" w:cs="Arial"/>
          <w:b/>
          <w:sz w:val="20"/>
        </w:rPr>
        <w:tab/>
      </w:r>
    </w:p>
    <w:p w14:paraId="47826CBD" w14:textId="77777777" w:rsidR="00FD0151" w:rsidRPr="00701F32" w:rsidRDefault="00FD0151" w:rsidP="00FD0151">
      <w:pPr>
        <w:tabs>
          <w:tab w:val="left" w:pos="142"/>
        </w:tabs>
        <w:jc w:val="both"/>
        <w:rPr>
          <w:rFonts w:ascii="Arial" w:hAnsi="Arial" w:cs="Arial"/>
          <w:sz w:val="20"/>
        </w:rPr>
      </w:pPr>
      <w:r w:rsidRPr="00701F32">
        <w:rPr>
          <w:rFonts w:ascii="Arial" w:hAnsi="Arial" w:cs="Arial"/>
          <w:sz w:val="20"/>
          <w:u w:val="single"/>
        </w:rPr>
        <w:t>Activos Fideicomitidos</w:t>
      </w:r>
      <w:r w:rsidRPr="00701F32">
        <w:rPr>
          <w:rFonts w:ascii="Arial" w:hAnsi="Arial" w:cs="Arial"/>
          <w:sz w:val="20"/>
        </w:rPr>
        <w:t xml:space="preserve">: Préstamos Personales </w:t>
      </w:r>
    </w:p>
    <w:p w14:paraId="719259F6" w14:textId="77777777" w:rsidR="00FD0151" w:rsidRPr="00701F32" w:rsidRDefault="00FD0151" w:rsidP="00FD0151">
      <w:pPr>
        <w:tabs>
          <w:tab w:val="left" w:pos="142"/>
        </w:tabs>
        <w:jc w:val="both"/>
        <w:rPr>
          <w:rFonts w:ascii="Arial" w:hAnsi="Arial" w:cs="Arial"/>
          <w:sz w:val="20"/>
        </w:rPr>
      </w:pPr>
      <w:r w:rsidRPr="00701F32">
        <w:rPr>
          <w:rFonts w:ascii="Arial" w:hAnsi="Arial" w:cs="Arial"/>
          <w:sz w:val="20"/>
          <w:u w:val="single"/>
        </w:rPr>
        <w:t>Fiduciario:</w:t>
      </w:r>
      <w:r w:rsidRPr="00701F32">
        <w:rPr>
          <w:rFonts w:ascii="Arial" w:hAnsi="Arial" w:cs="Arial"/>
          <w:sz w:val="20"/>
        </w:rPr>
        <w:t xml:space="preserve"> TMF Trust Company (Argentina) S.A.</w:t>
      </w:r>
    </w:p>
    <w:p w14:paraId="71FB6EC9" w14:textId="49D4488A" w:rsidR="00FD0151" w:rsidRDefault="00FD0151" w:rsidP="004C6FE0">
      <w:pPr>
        <w:tabs>
          <w:tab w:val="left" w:pos="142"/>
          <w:tab w:val="left" w:pos="9923"/>
        </w:tabs>
        <w:spacing w:after="200" w:line="276" w:lineRule="auto"/>
        <w:contextualSpacing/>
        <w:jc w:val="both"/>
        <w:rPr>
          <w:rFonts w:ascii="Arial" w:hAnsi="Arial" w:cs="Arial"/>
          <w:sz w:val="20"/>
        </w:rPr>
      </w:pPr>
    </w:p>
    <w:p w14:paraId="537DEC59" w14:textId="77777777" w:rsidR="00032EC8" w:rsidRDefault="00032EC8" w:rsidP="004C6FE0">
      <w:pPr>
        <w:tabs>
          <w:tab w:val="left" w:pos="142"/>
          <w:tab w:val="left" w:pos="9923"/>
        </w:tabs>
        <w:spacing w:after="200" w:line="276" w:lineRule="auto"/>
        <w:contextualSpacing/>
        <w:jc w:val="both"/>
        <w:rPr>
          <w:rFonts w:ascii="Arial" w:hAnsi="Arial" w:cs="Arial"/>
          <w:sz w:val="20"/>
        </w:rPr>
      </w:pPr>
    </w:p>
    <w:tbl>
      <w:tblPr>
        <w:tblW w:w="5467" w:type="dxa"/>
        <w:jc w:val="center"/>
        <w:tblLayout w:type="fixed"/>
        <w:tblCellMar>
          <w:left w:w="70" w:type="dxa"/>
          <w:right w:w="70" w:type="dxa"/>
        </w:tblCellMar>
        <w:tblLook w:val="04A0" w:firstRow="1" w:lastRow="0" w:firstColumn="1" w:lastColumn="0" w:noHBand="0" w:noVBand="1"/>
      </w:tblPr>
      <w:tblGrid>
        <w:gridCol w:w="647"/>
        <w:gridCol w:w="1065"/>
        <w:gridCol w:w="1427"/>
        <w:gridCol w:w="1338"/>
        <w:gridCol w:w="990"/>
      </w:tblGrid>
      <w:tr w:rsidR="00CB4373" w:rsidRPr="003E4DD0" w14:paraId="01653EB8" w14:textId="77777777" w:rsidTr="00CB4373">
        <w:trPr>
          <w:trHeight w:val="217"/>
          <w:jc w:val="center"/>
        </w:trPr>
        <w:tc>
          <w:tcPr>
            <w:tcW w:w="647" w:type="dxa"/>
            <w:vMerge w:val="restart"/>
            <w:tcBorders>
              <w:top w:val="single" w:sz="8" w:space="0" w:color="auto"/>
              <w:left w:val="single" w:sz="8" w:space="0" w:color="auto"/>
              <w:bottom w:val="single" w:sz="8" w:space="0" w:color="000000"/>
              <w:right w:val="single" w:sz="8" w:space="0" w:color="auto"/>
            </w:tcBorders>
            <w:vAlign w:val="center"/>
            <w:hideMark/>
          </w:tcPr>
          <w:p w14:paraId="16DE15F7" w14:textId="77777777" w:rsidR="00CB4373" w:rsidRPr="003E4DD0" w:rsidRDefault="00CB4373" w:rsidP="00A978AB">
            <w:pPr>
              <w:jc w:val="center"/>
              <w:rPr>
                <w:rFonts w:ascii="Arial" w:hAnsi="Arial" w:cs="Arial"/>
                <w:b/>
                <w:bCs/>
                <w:sz w:val="16"/>
                <w:szCs w:val="16"/>
                <w:lang w:eastAsia="es-AR"/>
              </w:rPr>
            </w:pPr>
            <w:r w:rsidRPr="003E4DD0">
              <w:rPr>
                <w:rFonts w:ascii="Arial" w:hAnsi="Arial" w:cs="Arial"/>
                <w:b/>
                <w:bCs/>
                <w:sz w:val="16"/>
                <w:szCs w:val="16"/>
                <w:lang w:eastAsia="es-AR"/>
              </w:rPr>
              <w:t>Serie</w:t>
            </w:r>
          </w:p>
        </w:tc>
        <w:tc>
          <w:tcPr>
            <w:tcW w:w="1065" w:type="dxa"/>
            <w:vMerge w:val="restart"/>
            <w:tcBorders>
              <w:top w:val="single" w:sz="8" w:space="0" w:color="auto"/>
              <w:left w:val="single" w:sz="8" w:space="0" w:color="auto"/>
              <w:bottom w:val="single" w:sz="8" w:space="0" w:color="000000"/>
              <w:right w:val="single" w:sz="8" w:space="0" w:color="auto"/>
            </w:tcBorders>
            <w:vAlign w:val="center"/>
            <w:hideMark/>
          </w:tcPr>
          <w:p w14:paraId="75EDCFBA" w14:textId="77777777" w:rsidR="00CB4373" w:rsidRPr="003E4DD0" w:rsidRDefault="00CB4373" w:rsidP="00A978AB">
            <w:pPr>
              <w:jc w:val="center"/>
              <w:rPr>
                <w:rFonts w:ascii="Arial" w:hAnsi="Arial" w:cs="Arial"/>
                <w:b/>
                <w:bCs/>
                <w:sz w:val="16"/>
                <w:szCs w:val="16"/>
                <w:lang w:eastAsia="es-AR"/>
              </w:rPr>
            </w:pPr>
            <w:r w:rsidRPr="003E4DD0">
              <w:rPr>
                <w:rFonts w:ascii="Arial" w:hAnsi="Arial" w:cs="Arial"/>
                <w:b/>
                <w:bCs/>
                <w:sz w:val="16"/>
                <w:szCs w:val="16"/>
                <w:lang w:eastAsia="es-AR"/>
              </w:rPr>
              <w:t>Fecha de Emisión</w:t>
            </w:r>
          </w:p>
        </w:tc>
        <w:tc>
          <w:tcPr>
            <w:tcW w:w="1427" w:type="dxa"/>
            <w:vMerge w:val="restart"/>
            <w:tcBorders>
              <w:top w:val="single" w:sz="8" w:space="0" w:color="auto"/>
              <w:left w:val="single" w:sz="8" w:space="0" w:color="auto"/>
              <w:bottom w:val="single" w:sz="8" w:space="0" w:color="000000"/>
              <w:right w:val="single" w:sz="8" w:space="0" w:color="auto"/>
            </w:tcBorders>
            <w:vAlign w:val="center"/>
            <w:hideMark/>
          </w:tcPr>
          <w:p w14:paraId="3F4716F8" w14:textId="77777777" w:rsidR="00CB4373" w:rsidRPr="003E4DD0" w:rsidRDefault="00CB4373" w:rsidP="00A978AB">
            <w:pPr>
              <w:jc w:val="center"/>
              <w:rPr>
                <w:rFonts w:ascii="Arial" w:hAnsi="Arial" w:cs="Arial"/>
                <w:b/>
                <w:bCs/>
                <w:sz w:val="16"/>
                <w:szCs w:val="16"/>
                <w:lang w:eastAsia="es-AR"/>
              </w:rPr>
            </w:pPr>
            <w:r w:rsidRPr="003E4DD0">
              <w:rPr>
                <w:rFonts w:ascii="Arial" w:hAnsi="Arial" w:cs="Arial"/>
                <w:b/>
                <w:bCs/>
                <w:sz w:val="16"/>
                <w:szCs w:val="16"/>
                <w:lang w:eastAsia="es-AR"/>
              </w:rPr>
              <w:t>Valor fideicomitido inicial</w:t>
            </w:r>
          </w:p>
        </w:tc>
        <w:tc>
          <w:tcPr>
            <w:tcW w:w="2328" w:type="dxa"/>
            <w:gridSpan w:val="2"/>
            <w:tcBorders>
              <w:top w:val="single" w:sz="8" w:space="0" w:color="auto"/>
              <w:left w:val="nil"/>
              <w:bottom w:val="single" w:sz="8" w:space="0" w:color="auto"/>
              <w:right w:val="single" w:sz="8" w:space="0" w:color="000000"/>
            </w:tcBorders>
            <w:vAlign w:val="center"/>
            <w:hideMark/>
          </w:tcPr>
          <w:p w14:paraId="25490070" w14:textId="77777777" w:rsidR="00CB4373" w:rsidRPr="003E4DD0" w:rsidRDefault="00CB4373" w:rsidP="00A978AB">
            <w:pPr>
              <w:jc w:val="center"/>
              <w:rPr>
                <w:rFonts w:ascii="Arial" w:hAnsi="Arial" w:cs="Arial"/>
                <w:b/>
                <w:bCs/>
                <w:sz w:val="16"/>
                <w:szCs w:val="16"/>
                <w:lang w:eastAsia="es-AR"/>
              </w:rPr>
            </w:pPr>
            <w:r w:rsidRPr="003E4DD0">
              <w:rPr>
                <w:rFonts w:ascii="Arial" w:hAnsi="Arial" w:cs="Arial"/>
                <w:b/>
                <w:bCs/>
                <w:sz w:val="16"/>
                <w:szCs w:val="16"/>
                <w:lang w:eastAsia="es-AR"/>
              </w:rPr>
              <w:t>Títulos Emitidos</w:t>
            </w:r>
          </w:p>
        </w:tc>
      </w:tr>
      <w:tr w:rsidR="00CB4373" w:rsidRPr="003E4DD0" w14:paraId="65C949D1" w14:textId="77777777" w:rsidTr="00CB4373">
        <w:trPr>
          <w:trHeight w:val="240"/>
          <w:jc w:val="center"/>
        </w:trPr>
        <w:tc>
          <w:tcPr>
            <w:tcW w:w="647" w:type="dxa"/>
            <w:vMerge/>
            <w:tcBorders>
              <w:top w:val="single" w:sz="8" w:space="0" w:color="auto"/>
              <w:left w:val="single" w:sz="8" w:space="0" w:color="auto"/>
              <w:bottom w:val="single" w:sz="8" w:space="0" w:color="000000"/>
              <w:right w:val="single" w:sz="8" w:space="0" w:color="auto"/>
            </w:tcBorders>
            <w:vAlign w:val="center"/>
            <w:hideMark/>
          </w:tcPr>
          <w:p w14:paraId="2423B94A" w14:textId="77777777" w:rsidR="00CB4373" w:rsidRPr="003E4DD0" w:rsidRDefault="00CB4373" w:rsidP="00A978AB">
            <w:pPr>
              <w:rPr>
                <w:rFonts w:ascii="Arial" w:hAnsi="Arial" w:cs="Arial"/>
                <w:b/>
                <w:bCs/>
                <w:sz w:val="16"/>
                <w:szCs w:val="16"/>
                <w:lang w:eastAsia="es-AR"/>
              </w:rPr>
            </w:pPr>
          </w:p>
        </w:tc>
        <w:tc>
          <w:tcPr>
            <w:tcW w:w="1065" w:type="dxa"/>
            <w:vMerge/>
            <w:tcBorders>
              <w:top w:val="single" w:sz="8" w:space="0" w:color="auto"/>
              <w:left w:val="single" w:sz="8" w:space="0" w:color="auto"/>
              <w:bottom w:val="single" w:sz="8" w:space="0" w:color="000000"/>
              <w:right w:val="single" w:sz="8" w:space="0" w:color="auto"/>
            </w:tcBorders>
            <w:vAlign w:val="center"/>
            <w:hideMark/>
          </w:tcPr>
          <w:p w14:paraId="45197E88" w14:textId="77777777" w:rsidR="00CB4373" w:rsidRPr="003E4DD0" w:rsidRDefault="00CB4373" w:rsidP="00A978AB">
            <w:pPr>
              <w:rPr>
                <w:rFonts w:ascii="Arial" w:hAnsi="Arial" w:cs="Arial"/>
                <w:b/>
                <w:bCs/>
                <w:sz w:val="16"/>
                <w:szCs w:val="16"/>
                <w:lang w:eastAsia="es-AR"/>
              </w:rPr>
            </w:pPr>
          </w:p>
        </w:tc>
        <w:tc>
          <w:tcPr>
            <w:tcW w:w="1427" w:type="dxa"/>
            <w:vMerge/>
            <w:tcBorders>
              <w:top w:val="single" w:sz="8" w:space="0" w:color="auto"/>
              <w:left w:val="single" w:sz="8" w:space="0" w:color="auto"/>
              <w:bottom w:val="single" w:sz="8" w:space="0" w:color="000000"/>
              <w:right w:val="single" w:sz="8" w:space="0" w:color="auto"/>
            </w:tcBorders>
            <w:vAlign w:val="center"/>
            <w:hideMark/>
          </w:tcPr>
          <w:p w14:paraId="7E17F1D8" w14:textId="77777777" w:rsidR="00CB4373" w:rsidRPr="003E4DD0" w:rsidRDefault="00CB4373" w:rsidP="00A978AB">
            <w:pPr>
              <w:rPr>
                <w:rFonts w:ascii="Arial" w:hAnsi="Arial" w:cs="Arial"/>
                <w:b/>
                <w:bCs/>
                <w:sz w:val="16"/>
                <w:szCs w:val="16"/>
                <w:lang w:eastAsia="es-AR"/>
              </w:rPr>
            </w:pPr>
          </w:p>
        </w:tc>
        <w:tc>
          <w:tcPr>
            <w:tcW w:w="1338" w:type="dxa"/>
            <w:tcBorders>
              <w:top w:val="nil"/>
              <w:left w:val="nil"/>
              <w:bottom w:val="single" w:sz="8" w:space="0" w:color="auto"/>
              <w:right w:val="single" w:sz="8" w:space="0" w:color="auto"/>
            </w:tcBorders>
            <w:vAlign w:val="center"/>
            <w:hideMark/>
          </w:tcPr>
          <w:p w14:paraId="77A5EA18" w14:textId="77777777" w:rsidR="00CB4373" w:rsidRPr="003E4DD0" w:rsidRDefault="00CB4373" w:rsidP="00A978AB">
            <w:pPr>
              <w:jc w:val="center"/>
              <w:rPr>
                <w:rFonts w:ascii="Arial" w:hAnsi="Arial" w:cs="Arial"/>
                <w:sz w:val="16"/>
                <w:szCs w:val="16"/>
                <w:lang w:eastAsia="es-AR"/>
              </w:rPr>
            </w:pPr>
            <w:r w:rsidRPr="003E4DD0">
              <w:rPr>
                <w:rFonts w:ascii="Arial" w:hAnsi="Arial" w:cs="Arial"/>
                <w:sz w:val="16"/>
                <w:szCs w:val="16"/>
                <w:lang w:eastAsia="es-AR"/>
              </w:rPr>
              <w:t>Certificados de participación</w:t>
            </w:r>
          </w:p>
        </w:tc>
        <w:tc>
          <w:tcPr>
            <w:tcW w:w="990" w:type="dxa"/>
            <w:tcBorders>
              <w:top w:val="nil"/>
              <w:left w:val="nil"/>
              <w:bottom w:val="single" w:sz="8" w:space="0" w:color="auto"/>
              <w:right w:val="single" w:sz="8" w:space="0" w:color="auto"/>
            </w:tcBorders>
            <w:vAlign w:val="center"/>
            <w:hideMark/>
          </w:tcPr>
          <w:p w14:paraId="33129A06" w14:textId="77777777" w:rsidR="00CB4373" w:rsidRPr="003E4DD0" w:rsidRDefault="00CB4373" w:rsidP="00A978AB">
            <w:pPr>
              <w:jc w:val="center"/>
              <w:rPr>
                <w:rFonts w:ascii="Arial" w:hAnsi="Arial" w:cs="Arial"/>
                <w:sz w:val="16"/>
                <w:szCs w:val="16"/>
                <w:lang w:eastAsia="es-AR"/>
              </w:rPr>
            </w:pPr>
            <w:r w:rsidRPr="003E4DD0">
              <w:rPr>
                <w:rFonts w:ascii="Arial" w:hAnsi="Arial" w:cs="Arial"/>
                <w:sz w:val="16"/>
                <w:szCs w:val="16"/>
                <w:lang w:eastAsia="es-AR"/>
              </w:rPr>
              <w:t>Títulos de deuda</w:t>
            </w:r>
          </w:p>
        </w:tc>
      </w:tr>
      <w:tr w:rsidR="00CB4373" w:rsidRPr="003E4DD0" w14:paraId="0D914E99" w14:textId="77777777" w:rsidTr="00CB4373">
        <w:trPr>
          <w:trHeight w:val="240"/>
          <w:jc w:val="center"/>
        </w:trPr>
        <w:tc>
          <w:tcPr>
            <w:tcW w:w="647" w:type="dxa"/>
            <w:tcBorders>
              <w:top w:val="nil"/>
              <w:left w:val="single" w:sz="8" w:space="0" w:color="auto"/>
              <w:bottom w:val="single" w:sz="8" w:space="0" w:color="auto"/>
              <w:right w:val="single" w:sz="8" w:space="0" w:color="auto"/>
            </w:tcBorders>
            <w:vAlign w:val="center"/>
            <w:hideMark/>
          </w:tcPr>
          <w:p w14:paraId="7621B4E2" w14:textId="77777777" w:rsidR="00CB4373" w:rsidRPr="003E4DD0" w:rsidRDefault="00CB4373" w:rsidP="00A978AB">
            <w:pPr>
              <w:jc w:val="center"/>
              <w:rPr>
                <w:rFonts w:ascii="Arial" w:hAnsi="Arial" w:cs="Arial"/>
                <w:sz w:val="16"/>
                <w:szCs w:val="16"/>
                <w:lang w:eastAsia="es-AR"/>
              </w:rPr>
            </w:pPr>
            <w:r w:rsidRPr="003E4DD0">
              <w:rPr>
                <w:rFonts w:ascii="Arial" w:hAnsi="Arial" w:cs="Arial"/>
                <w:sz w:val="16"/>
                <w:szCs w:val="16"/>
                <w:lang w:eastAsia="es-AR"/>
              </w:rPr>
              <w:t>20</w:t>
            </w:r>
          </w:p>
        </w:tc>
        <w:tc>
          <w:tcPr>
            <w:tcW w:w="1065" w:type="dxa"/>
            <w:tcBorders>
              <w:top w:val="nil"/>
              <w:left w:val="nil"/>
              <w:bottom w:val="single" w:sz="8" w:space="0" w:color="auto"/>
              <w:right w:val="single" w:sz="8" w:space="0" w:color="auto"/>
            </w:tcBorders>
            <w:vAlign w:val="center"/>
            <w:hideMark/>
          </w:tcPr>
          <w:p w14:paraId="5D25CAD3" w14:textId="77777777" w:rsidR="00CB4373" w:rsidRPr="003E4DD0" w:rsidRDefault="00CB4373" w:rsidP="00A978AB">
            <w:pPr>
              <w:jc w:val="center"/>
              <w:rPr>
                <w:rFonts w:ascii="Arial" w:hAnsi="Arial" w:cs="Arial"/>
                <w:sz w:val="16"/>
                <w:szCs w:val="16"/>
                <w:lang w:eastAsia="es-AR"/>
              </w:rPr>
            </w:pPr>
            <w:r w:rsidRPr="003E4DD0">
              <w:rPr>
                <w:rFonts w:ascii="Arial" w:hAnsi="Arial" w:cs="Arial"/>
                <w:sz w:val="16"/>
                <w:szCs w:val="16"/>
                <w:lang w:eastAsia="es-AR"/>
              </w:rPr>
              <w:t>08/04/2019</w:t>
            </w:r>
          </w:p>
        </w:tc>
        <w:tc>
          <w:tcPr>
            <w:tcW w:w="1427" w:type="dxa"/>
            <w:tcBorders>
              <w:top w:val="nil"/>
              <w:left w:val="nil"/>
              <w:bottom w:val="single" w:sz="8" w:space="0" w:color="auto"/>
              <w:right w:val="single" w:sz="8" w:space="0" w:color="auto"/>
            </w:tcBorders>
            <w:vAlign w:val="center"/>
            <w:hideMark/>
          </w:tcPr>
          <w:p w14:paraId="0DE2EA74" w14:textId="77777777" w:rsidR="00CB4373" w:rsidRPr="003E4DD0" w:rsidRDefault="00CB4373" w:rsidP="00A978AB">
            <w:pPr>
              <w:jc w:val="right"/>
              <w:rPr>
                <w:rFonts w:ascii="Arial" w:hAnsi="Arial" w:cs="Arial"/>
                <w:sz w:val="16"/>
                <w:szCs w:val="16"/>
                <w:lang w:eastAsia="es-AR"/>
              </w:rPr>
            </w:pPr>
            <w:r w:rsidRPr="003E4DD0">
              <w:rPr>
                <w:rFonts w:ascii="Arial" w:hAnsi="Arial" w:cs="Arial"/>
                <w:sz w:val="16"/>
                <w:szCs w:val="16"/>
                <w:lang w:eastAsia="es-AR"/>
              </w:rPr>
              <w:t>600.000</w:t>
            </w:r>
          </w:p>
        </w:tc>
        <w:tc>
          <w:tcPr>
            <w:tcW w:w="1338" w:type="dxa"/>
            <w:tcBorders>
              <w:top w:val="nil"/>
              <w:left w:val="nil"/>
              <w:bottom w:val="single" w:sz="8" w:space="0" w:color="auto"/>
              <w:right w:val="single" w:sz="8" w:space="0" w:color="auto"/>
            </w:tcBorders>
            <w:vAlign w:val="center"/>
            <w:hideMark/>
          </w:tcPr>
          <w:p w14:paraId="554929E6" w14:textId="77777777" w:rsidR="00CB4373" w:rsidRPr="003E4DD0" w:rsidRDefault="00CB4373" w:rsidP="00A978AB">
            <w:pPr>
              <w:jc w:val="right"/>
              <w:rPr>
                <w:rFonts w:ascii="Arial" w:hAnsi="Arial" w:cs="Arial"/>
                <w:sz w:val="16"/>
                <w:szCs w:val="16"/>
                <w:lang w:eastAsia="es-AR"/>
              </w:rPr>
            </w:pPr>
            <w:r w:rsidRPr="003E4DD0">
              <w:rPr>
                <w:rFonts w:ascii="Arial" w:hAnsi="Arial" w:cs="Arial"/>
                <w:sz w:val="16"/>
                <w:szCs w:val="16"/>
                <w:lang w:eastAsia="es-AR"/>
              </w:rPr>
              <w:t>120.000</w:t>
            </w:r>
          </w:p>
        </w:tc>
        <w:tc>
          <w:tcPr>
            <w:tcW w:w="990" w:type="dxa"/>
            <w:tcBorders>
              <w:top w:val="nil"/>
              <w:left w:val="nil"/>
              <w:bottom w:val="single" w:sz="8" w:space="0" w:color="auto"/>
              <w:right w:val="single" w:sz="8" w:space="0" w:color="auto"/>
            </w:tcBorders>
            <w:vAlign w:val="center"/>
            <w:hideMark/>
          </w:tcPr>
          <w:p w14:paraId="72D93A83" w14:textId="77777777" w:rsidR="00CB4373" w:rsidRPr="003E4DD0" w:rsidRDefault="00CB4373" w:rsidP="00A978AB">
            <w:pPr>
              <w:jc w:val="right"/>
              <w:rPr>
                <w:rFonts w:ascii="Arial" w:hAnsi="Arial" w:cs="Arial"/>
                <w:sz w:val="16"/>
                <w:szCs w:val="16"/>
                <w:lang w:eastAsia="es-AR"/>
              </w:rPr>
            </w:pPr>
            <w:r w:rsidRPr="003E4DD0">
              <w:rPr>
                <w:rFonts w:ascii="Arial" w:hAnsi="Arial" w:cs="Arial"/>
                <w:sz w:val="16"/>
                <w:szCs w:val="16"/>
                <w:lang w:eastAsia="es-AR"/>
              </w:rPr>
              <w:t>480.000</w:t>
            </w:r>
          </w:p>
        </w:tc>
      </w:tr>
      <w:tr w:rsidR="00CB4373" w:rsidRPr="003E4DD0" w14:paraId="575CD387" w14:textId="77777777" w:rsidTr="00CB4373">
        <w:trPr>
          <w:trHeight w:val="240"/>
          <w:jc w:val="center"/>
        </w:trPr>
        <w:tc>
          <w:tcPr>
            <w:tcW w:w="647" w:type="dxa"/>
            <w:tcBorders>
              <w:top w:val="single" w:sz="8" w:space="0" w:color="auto"/>
              <w:left w:val="single" w:sz="8" w:space="0" w:color="auto"/>
              <w:bottom w:val="single" w:sz="8" w:space="0" w:color="auto"/>
              <w:right w:val="single" w:sz="8" w:space="0" w:color="auto"/>
            </w:tcBorders>
            <w:vAlign w:val="center"/>
            <w:hideMark/>
          </w:tcPr>
          <w:p w14:paraId="1A810958" w14:textId="77777777" w:rsidR="00CB4373" w:rsidRPr="003E4DD0" w:rsidRDefault="00CB4373" w:rsidP="00A978AB">
            <w:pPr>
              <w:jc w:val="center"/>
              <w:rPr>
                <w:rFonts w:ascii="Arial" w:hAnsi="Arial" w:cs="Arial"/>
                <w:sz w:val="16"/>
                <w:szCs w:val="16"/>
                <w:lang w:eastAsia="es-AR"/>
              </w:rPr>
            </w:pPr>
            <w:r w:rsidRPr="003E4DD0">
              <w:rPr>
                <w:rFonts w:ascii="Arial" w:hAnsi="Arial" w:cs="Arial"/>
                <w:sz w:val="16"/>
                <w:szCs w:val="16"/>
                <w:lang w:eastAsia="es-AR"/>
              </w:rPr>
              <w:t>21</w:t>
            </w:r>
          </w:p>
        </w:tc>
        <w:tc>
          <w:tcPr>
            <w:tcW w:w="1065" w:type="dxa"/>
            <w:tcBorders>
              <w:top w:val="single" w:sz="8" w:space="0" w:color="auto"/>
              <w:left w:val="nil"/>
              <w:bottom w:val="single" w:sz="8" w:space="0" w:color="auto"/>
              <w:right w:val="single" w:sz="8" w:space="0" w:color="auto"/>
            </w:tcBorders>
            <w:vAlign w:val="center"/>
            <w:hideMark/>
          </w:tcPr>
          <w:p w14:paraId="15CA87FA" w14:textId="77777777" w:rsidR="00CB4373" w:rsidRPr="003E4DD0" w:rsidRDefault="00CB4373" w:rsidP="00A978AB">
            <w:pPr>
              <w:jc w:val="center"/>
              <w:rPr>
                <w:rFonts w:ascii="Arial" w:hAnsi="Arial" w:cs="Arial"/>
                <w:sz w:val="16"/>
                <w:szCs w:val="16"/>
                <w:lang w:eastAsia="es-AR"/>
              </w:rPr>
            </w:pPr>
            <w:r w:rsidRPr="003E4DD0">
              <w:rPr>
                <w:rFonts w:ascii="Arial" w:hAnsi="Arial" w:cs="Arial"/>
                <w:sz w:val="16"/>
                <w:szCs w:val="16"/>
                <w:lang w:eastAsia="es-AR"/>
              </w:rPr>
              <w:t>24/06/2019</w:t>
            </w:r>
          </w:p>
        </w:tc>
        <w:tc>
          <w:tcPr>
            <w:tcW w:w="1427" w:type="dxa"/>
            <w:tcBorders>
              <w:top w:val="single" w:sz="8" w:space="0" w:color="auto"/>
              <w:left w:val="nil"/>
              <w:bottom w:val="single" w:sz="8" w:space="0" w:color="auto"/>
              <w:right w:val="single" w:sz="8" w:space="0" w:color="auto"/>
            </w:tcBorders>
            <w:vAlign w:val="center"/>
            <w:hideMark/>
          </w:tcPr>
          <w:p w14:paraId="15CF385F" w14:textId="77777777" w:rsidR="00CB4373" w:rsidRPr="003E4DD0" w:rsidRDefault="00CB4373" w:rsidP="00A978AB">
            <w:pPr>
              <w:jc w:val="right"/>
              <w:rPr>
                <w:rFonts w:ascii="Arial" w:hAnsi="Arial" w:cs="Arial"/>
                <w:sz w:val="16"/>
                <w:szCs w:val="16"/>
                <w:lang w:eastAsia="es-AR"/>
              </w:rPr>
            </w:pPr>
            <w:r w:rsidRPr="003E4DD0">
              <w:rPr>
                <w:rFonts w:ascii="Arial" w:hAnsi="Arial" w:cs="Arial"/>
                <w:sz w:val="16"/>
                <w:szCs w:val="16"/>
                <w:lang w:eastAsia="es-AR"/>
              </w:rPr>
              <w:t>1.000.000</w:t>
            </w:r>
          </w:p>
        </w:tc>
        <w:tc>
          <w:tcPr>
            <w:tcW w:w="1338" w:type="dxa"/>
            <w:tcBorders>
              <w:top w:val="single" w:sz="8" w:space="0" w:color="auto"/>
              <w:left w:val="nil"/>
              <w:bottom w:val="single" w:sz="8" w:space="0" w:color="auto"/>
              <w:right w:val="single" w:sz="8" w:space="0" w:color="auto"/>
            </w:tcBorders>
            <w:vAlign w:val="center"/>
            <w:hideMark/>
          </w:tcPr>
          <w:p w14:paraId="49B250FB" w14:textId="77777777" w:rsidR="00CB4373" w:rsidRPr="003E4DD0" w:rsidRDefault="00CB4373" w:rsidP="00A978AB">
            <w:pPr>
              <w:jc w:val="right"/>
              <w:rPr>
                <w:rFonts w:ascii="Arial" w:hAnsi="Arial" w:cs="Arial"/>
                <w:sz w:val="16"/>
                <w:szCs w:val="16"/>
                <w:lang w:eastAsia="es-AR"/>
              </w:rPr>
            </w:pPr>
            <w:r w:rsidRPr="003E4DD0">
              <w:rPr>
                <w:rFonts w:ascii="Arial" w:hAnsi="Arial" w:cs="Arial"/>
                <w:sz w:val="16"/>
                <w:szCs w:val="16"/>
                <w:lang w:eastAsia="es-AR"/>
              </w:rPr>
              <w:t>780.000</w:t>
            </w:r>
          </w:p>
        </w:tc>
        <w:tc>
          <w:tcPr>
            <w:tcW w:w="990" w:type="dxa"/>
            <w:tcBorders>
              <w:top w:val="single" w:sz="8" w:space="0" w:color="auto"/>
              <w:left w:val="nil"/>
              <w:bottom w:val="single" w:sz="8" w:space="0" w:color="auto"/>
              <w:right w:val="single" w:sz="8" w:space="0" w:color="auto"/>
            </w:tcBorders>
            <w:vAlign w:val="center"/>
            <w:hideMark/>
          </w:tcPr>
          <w:p w14:paraId="58D97710" w14:textId="77777777" w:rsidR="00CB4373" w:rsidRPr="003E4DD0" w:rsidRDefault="00CB4373" w:rsidP="00A978AB">
            <w:pPr>
              <w:jc w:val="right"/>
              <w:rPr>
                <w:rFonts w:ascii="Arial" w:hAnsi="Arial" w:cs="Arial"/>
                <w:sz w:val="16"/>
                <w:szCs w:val="16"/>
                <w:lang w:eastAsia="es-AR"/>
              </w:rPr>
            </w:pPr>
            <w:r w:rsidRPr="003E4DD0">
              <w:rPr>
                <w:rFonts w:ascii="Arial" w:hAnsi="Arial" w:cs="Arial"/>
                <w:sz w:val="16"/>
                <w:szCs w:val="16"/>
                <w:lang w:eastAsia="es-AR"/>
              </w:rPr>
              <w:t>220.000</w:t>
            </w:r>
          </w:p>
        </w:tc>
      </w:tr>
      <w:tr w:rsidR="00CB4373" w:rsidRPr="003E4DD0" w14:paraId="3FD50033" w14:textId="77777777" w:rsidTr="00CB4373">
        <w:trPr>
          <w:trHeight w:val="240"/>
          <w:jc w:val="center"/>
        </w:trPr>
        <w:tc>
          <w:tcPr>
            <w:tcW w:w="647" w:type="dxa"/>
            <w:tcBorders>
              <w:top w:val="single" w:sz="8" w:space="0" w:color="auto"/>
              <w:left w:val="single" w:sz="8" w:space="0" w:color="auto"/>
              <w:bottom w:val="single" w:sz="8" w:space="0" w:color="auto"/>
              <w:right w:val="single" w:sz="8" w:space="0" w:color="auto"/>
            </w:tcBorders>
            <w:vAlign w:val="center"/>
          </w:tcPr>
          <w:p w14:paraId="16911194" w14:textId="596FA57C" w:rsidR="00CB4373" w:rsidRPr="003E4DD0" w:rsidRDefault="00CB4373" w:rsidP="00A978AB">
            <w:pPr>
              <w:jc w:val="center"/>
              <w:rPr>
                <w:rFonts w:ascii="Arial" w:hAnsi="Arial" w:cs="Arial"/>
                <w:sz w:val="16"/>
                <w:szCs w:val="16"/>
                <w:lang w:eastAsia="es-AR"/>
              </w:rPr>
            </w:pPr>
            <w:r>
              <w:rPr>
                <w:rFonts w:ascii="Arial" w:hAnsi="Arial" w:cs="Arial"/>
                <w:sz w:val="16"/>
                <w:szCs w:val="16"/>
                <w:lang w:eastAsia="es-AR"/>
              </w:rPr>
              <w:t>22</w:t>
            </w:r>
          </w:p>
        </w:tc>
        <w:tc>
          <w:tcPr>
            <w:tcW w:w="1065" w:type="dxa"/>
            <w:tcBorders>
              <w:top w:val="single" w:sz="8" w:space="0" w:color="auto"/>
              <w:left w:val="nil"/>
              <w:bottom w:val="single" w:sz="8" w:space="0" w:color="auto"/>
              <w:right w:val="single" w:sz="8" w:space="0" w:color="auto"/>
            </w:tcBorders>
            <w:vAlign w:val="center"/>
          </w:tcPr>
          <w:p w14:paraId="565C276B" w14:textId="41DD5401" w:rsidR="00CB4373" w:rsidRPr="003E4DD0" w:rsidRDefault="00CB4373" w:rsidP="00A978AB">
            <w:pPr>
              <w:jc w:val="center"/>
              <w:rPr>
                <w:rFonts w:ascii="Arial" w:hAnsi="Arial" w:cs="Arial"/>
                <w:sz w:val="16"/>
                <w:szCs w:val="16"/>
                <w:lang w:eastAsia="es-AR"/>
              </w:rPr>
            </w:pPr>
            <w:r>
              <w:rPr>
                <w:rFonts w:ascii="Arial" w:hAnsi="Arial" w:cs="Arial"/>
                <w:sz w:val="16"/>
                <w:szCs w:val="16"/>
                <w:lang w:eastAsia="es-AR"/>
              </w:rPr>
              <w:t>13/11/2019</w:t>
            </w:r>
          </w:p>
        </w:tc>
        <w:tc>
          <w:tcPr>
            <w:tcW w:w="1427" w:type="dxa"/>
            <w:tcBorders>
              <w:top w:val="single" w:sz="8" w:space="0" w:color="auto"/>
              <w:left w:val="nil"/>
              <w:bottom w:val="single" w:sz="8" w:space="0" w:color="auto"/>
              <w:right w:val="single" w:sz="8" w:space="0" w:color="auto"/>
            </w:tcBorders>
            <w:vAlign w:val="center"/>
          </w:tcPr>
          <w:p w14:paraId="286106BE" w14:textId="6F9DF8C8" w:rsidR="00CB4373" w:rsidRPr="003E4DD0" w:rsidRDefault="00CB4373" w:rsidP="00A978AB">
            <w:pPr>
              <w:jc w:val="right"/>
              <w:rPr>
                <w:rFonts w:ascii="Arial" w:hAnsi="Arial" w:cs="Arial"/>
                <w:sz w:val="16"/>
                <w:szCs w:val="16"/>
                <w:lang w:eastAsia="es-AR"/>
              </w:rPr>
            </w:pPr>
            <w:r>
              <w:rPr>
                <w:rFonts w:ascii="Arial" w:hAnsi="Arial" w:cs="Arial"/>
                <w:sz w:val="16"/>
                <w:szCs w:val="16"/>
                <w:lang w:eastAsia="es-AR"/>
              </w:rPr>
              <w:t>571.560</w:t>
            </w:r>
          </w:p>
        </w:tc>
        <w:tc>
          <w:tcPr>
            <w:tcW w:w="1338" w:type="dxa"/>
            <w:tcBorders>
              <w:top w:val="single" w:sz="8" w:space="0" w:color="auto"/>
              <w:left w:val="nil"/>
              <w:bottom w:val="single" w:sz="8" w:space="0" w:color="auto"/>
              <w:right w:val="single" w:sz="8" w:space="0" w:color="auto"/>
            </w:tcBorders>
            <w:vAlign w:val="center"/>
          </w:tcPr>
          <w:p w14:paraId="2D4C7CD1" w14:textId="5E55719E" w:rsidR="00CB4373" w:rsidRPr="003E4DD0" w:rsidRDefault="00CB4373" w:rsidP="00A978AB">
            <w:pPr>
              <w:jc w:val="right"/>
              <w:rPr>
                <w:rFonts w:ascii="Arial" w:hAnsi="Arial" w:cs="Arial"/>
                <w:sz w:val="16"/>
                <w:szCs w:val="16"/>
                <w:lang w:eastAsia="es-AR"/>
              </w:rPr>
            </w:pPr>
            <w:r>
              <w:rPr>
                <w:rFonts w:ascii="Arial" w:hAnsi="Arial" w:cs="Arial"/>
                <w:sz w:val="16"/>
                <w:szCs w:val="16"/>
                <w:lang w:eastAsia="es-AR"/>
              </w:rPr>
              <w:t>102.300</w:t>
            </w:r>
          </w:p>
        </w:tc>
        <w:tc>
          <w:tcPr>
            <w:tcW w:w="990" w:type="dxa"/>
            <w:tcBorders>
              <w:top w:val="single" w:sz="8" w:space="0" w:color="auto"/>
              <w:left w:val="nil"/>
              <w:bottom w:val="single" w:sz="8" w:space="0" w:color="auto"/>
              <w:right w:val="single" w:sz="8" w:space="0" w:color="auto"/>
            </w:tcBorders>
            <w:vAlign w:val="center"/>
          </w:tcPr>
          <w:p w14:paraId="6A5D36F0" w14:textId="3F23A01B" w:rsidR="00CB4373" w:rsidRPr="003E4DD0" w:rsidRDefault="00CB4373" w:rsidP="00A978AB">
            <w:pPr>
              <w:jc w:val="right"/>
              <w:rPr>
                <w:rFonts w:ascii="Arial" w:hAnsi="Arial" w:cs="Arial"/>
                <w:sz w:val="16"/>
                <w:szCs w:val="16"/>
                <w:lang w:eastAsia="es-AR"/>
              </w:rPr>
            </w:pPr>
            <w:r>
              <w:rPr>
                <w:rFonts w:ascii="Arial" w:hAnsi="Arial" w:cs="Arial"/>
                <w:sz w:val="16"/>
                <w:szCs w:val="16"/>
                <w:lang w:eastAsia="es-AR"/>
              </w:rPr>
              <w:t>469.260</w:t>
            </w:r>
          </w:p>
        </w:tc>
      </w:tr>
    </w:tbl>
    <w:p w14:paraId="4F45EE80" w14:textId="77777777" w:rsidR="008D7556" w:rsidRPr="00701F32" w:rsidRDefault="008D7556" w:rsidP="00A06BE9">
      <w:pPr>
        <w:tabs>
          <w:tab w:val="left" w:pos="142"/>
          <w:tab w:val="left" w:pos="9923"/>
        </w:tabs>
        <w:spacing w:after="200" w:line="276" w:lineRule="auto"/>
        <w:contextualSpacing/>
        <w:jc w:val="both"/>
        <w:rPr>
          <w:rFonts w:ascii="Arial" w:hAnsi="Arial" w:cs="Arial"/>
          <w:b/>
          <w:sz w:val="20"/>
        </w:rPr>
      </w:pPr>
    </w:p>
    <w:p w14:paraId="7E3E9590" w14:textId="77777777" w:rsidR="00BA5C58" w:rsidRDefault="00BA5C58">
      <w:pPr>
        <w:rPr>
          <w:rFonts w:ascii="Arial" w:hAnsi="Arial" w:cs="Arial"/>
          <w:b/>
          <w:sz w:val="20"/>
        </w:rPr>
      </w:pPr>
      <w:r>
        <w:rPr>
          <w:rFonts w:ascii="Arial" w:hAnsi="Arial" w:cs="Arial"/>
          <w:b/>
          <w:sz w:val="20"/>
        </w:rPr>
        <w:br w:type="page"/>
      </w:r>
    </w:p>
    <w:p w14:paraId="5168B0F4" w14:textId="3B210EB9" w:rsidR="00A06BE9" w:rsidRPr="00701F32" w:rsidRDefault="00032EC8" w:rsidP="00A06BE9">
      <w:pPr>
        <w:tabs>
          <w:tab w:val="left" w:pos="142"/>
          <w:tab w:val="left" w:pos="9923"/>
        </w:tabs>
        <w:spacing w:after="200" w:line="276" w:lineRule="auto"/>
        <w:contextualSpacing/>
        <w:jc w:val="both"/>
        <w:rPr>
          <w:rFonts w:ascii="Arial" w:hAnsi="Arial" w:cs="Arial"/>
          <w:b/>
          <w:sz w:val="20"/>
        </w:rPr>
      </w:pPr>
      <w:r>
        <w:rPr>
          <w:rFonts w:ascii="Arial" w:hAnsi="Arial" w:cs="Arial"/>
          <w:b/>
          <w:sz w:val="20"/>
        </w:rPr>
        <w:t>14</w:t>
      </w:r>
      <w:r w:rsidR="00A06BE9" w:rsidRPr="00701F32">
        <w:rPr>
          <w:rFonts w:ascii="Arial" w:hAnsi="Arial" w:cs="Arial"/>
          <w:b/>
          <w:sz w:val="20"/>
        </w:rPr>
        <w:t>.</w:t>
      </w:r>
      <w:r w:rsidR="00582EAB" w:rsidRPr="00701F32">
        <w:rPr>
          <w:rFonts w:ascii="Arial" w:hAnsi="Arial" w:cs="Arial"/>
          <w:b/>
          <w:sz w:val="20"/>
        </w:rPr>
        <w:t xml:space="preserve">5 </w:t>
      </w:r>
      <w:r w:rsidR="00A06BE9" w:rsidRPr="00701F32">
        <w:rPr>
          <w:rFonts w:ascii="Arial" w:hAnsi="Arial" w:cs="Arial"/>
          <w:b/>
          <w:sz w:val="20"/>
        </w:rPr>
        <w:t>Cumplimiento de disposiciones requeridas por la Comisión Nacional de Valores</w:t>
      </w:r>
    </w:p>
    <w:p w14:paraId="16816A32" w14:textId="77777777" w:rsidR="00032EC8" w:rsidRDefault="00032EC8" w:rsidP="00A06BE9">
      <w:pPr>
        <w:tabs>
          <w:tab w:val="left" w:pos="142"/>
          <w:tab w:val="left" w:pos="9923"/>
        </w:tabs>
        <w:spacing w:after="200" w:line="276" w:lineRule="auto"/>
        <w:contextualSpacing/>
        <w:jc w:val="both"/>
        <w:rPr>
          <w:rFonts w:ascii="Arial" w:hAnsi="Arial" w:cs="Arial"/>
          <w:b/>
          <w:sz w:val="20"/>
        </w:rPr>
      </w:pPr>
    </w:p>
    <w:p w14:paraId="5544A5A0" w14:textId="73301423" w:rsidR="00A06BE9" w:rsidRPr="00701F32" w:rsidRDefault="00032EC8" w:rsidP="00A06BE9">
      <w:pPr>
        <w:tabs>
          <w:tab w:val="left" w:pos="142"/>
          <w:tab w:val="left" w:pos="9923"/>
        </w:tabs>
        <w:spacing w:after="200" w:line="276" w:lineRule="auto"/>
        <w:contextualSpacing/>
        <w:jc w:val="both"/>
        <w:rPr>
          <w:rFonts w:ascii="Arial" w:hAnsi="Arial" w:cs="Arial"/>
          <w:sz w:val="20"/>
        </w:rPr>
      </w:pPr>
      <w:r>
        <w:rPr>
          <w:rFonts w:ascii="Arial" w:hAnsi="Arial" w:cs="Arial"/>
          <w:b/>
          <w:sz w:val="20"/>
        </w:rPr>
        <w:t>14</w:t>
      </w:r>
      <w:r w:rsidR="00A06BE9" w:rsidRPr="00701F32">
        <w:rPr>
          <w:rFonts w:ascii="Arial" w:hAnsi="Arial" w:cs="Arial"/>
          <w:b/>
          <w:sz w:val="20"/>
        </w:rPr>
        <w:t>.5.1 Disposiciones para operar como agente de mercado abierto</w:t>
      </w:r>
    </w:p>
    <w:p w14:paraId="4592C4BD" w14:textId="77777777" w:rsidR="00A06BE9" w:rsidRPr="00701F32" w:rsidRDefault="00A06BE9" w:rsidP="00A06BE9">
      <w:pPr>
        <w:tabs>
          <w:tab w:val="left" w:pos="142"/>
          <w:tab w:val="left" w:pos="9923"/>
        </w:tabs>
        <w:spacing w:after="200" w:line="276" w:lineRule="auto"/>
        <w:contextualSpacing/>
        <w:jc w:val="both"/>
        <w:rPr>
          <w:rFonts w:ascii="Arial" w:hAnsi="Arial" w:cs="Arial"/>
          <w:sz w:val="20"/>
        </w:rPr>
      </w:pPr>
    </w:p>
    <w:p w14:paraId="2A9269CB" w14:textId="3872A2A4" w:rsidR="00A06BE9" w:rsidRPr="00701F32" w:rsidRDefault="00A06BE9" w:rsidP="00A06BE9">
      <w:pPr>
        <w:tabs>
          <w:tab w:val="left" w:pos="142"/>
        </w:tabs>
        <w:jc w:val="both"/>
        <w:rPr>
          <w:rFonts w:ascii="Arial" w:hAnsi="Arial" w:cs="Arial"/>
          <w:sz w:val="20"/>
        </w:rPr>
      </w:pPr>
      <w:bookmarkStart w:id="20" w:name="_Hlk23171388"/>
      <w:r w:rsidRPr="00701F32">
        <w:rPr>
          <w:rFonts w:ascii="Arial" w:hAnsi="Arial" w:cs="Arial"/>
          <w:sz w:val="20"/>
        </w:rPr>
        <w:t>Considerando la operatoria que actualmente realiza la Entidad, y conforme a las diferentes categorías de agentes que establece la Resolución General N° 622</w:t>
      </w:r>
      <w:r w:rsidR="008F0913">
        <w:rPr>
          <w:rFonts w:ascii="Arial" w:hAnsi="Arial" w:cs="Arial"/>
          <w:sz w:val="20"/>
        </w:rPr>
        <w:t>/13</w:t>
      </w:r>
      <w:r w:rsidRPr="00701F32">
        <w:rPr>
          <w:rFonts w:ascii="Arial" w:hAnsi="Arial" w:cs="Arial"/>
          <w:sz w:val="20"/>
        </w:rPr>
        <w:t xml:space="preserve"> de la Comisión Nacional de </w:t>
      </w:r>
      <w:r w:rsidR="008F0913">
        <w:rPr>
          <w:rFonts w:ascii="Arial" w:hAnsi="Arial" w:cs="Arial"/>
          <w:sz w:val="20"/>
        </w:rPr>
        <w:t>Valores</w:t>
      </w:r>
      <w:r w:rsidR="00B05BE2">
        <w:rPr>
          <w:rFonts w:ascii="Arial" w:hAnsi="Arial" w:cs="Arial"/>
          <w:sz w:val="20"/>
        </w:rPr>
        <w:t>,</w:t>
      </w:r>
      <w:r w:rsidR="008F0913">
        <w:rPr>
          <w:rFonts w:ascii="Arial" w:hAnsi="Arial" w:cs="Arial"/>
          <w:sz w:val="20"/>
        </w:rPr>
        <w:t xml:space="preserve"> </w:t>
      </w:r>
      <w:r w:rsidRPr="00701F32">
        <w:rPr>
          <w:rFonts w:ascii="Arial" w:hAnsi="Arial" w:cs="Arial"/>
          <w:sz w:val="20"/>
        </w:rPr>
        <w:t>la misma se encuentra inscripta ante dicho organismo para la categoría de Agente de Liquidación, Compensación y Agente de Negociación Integral.</w:t>
      </w:r>
    </w:p>
    <w:p w14:paraId="4DF15023" w14:textId="77777777" w:rsidR="00A06BE9" w:rsidRPr="00701F32" w:rsidRDefault="00A06BE9" w:rsidP="00A06BE9">
      <w:pPr>
        <w:autoSpaceDE w:val="0"/>
        <w:autoSpaceDN w:val="0"/>
        <w:adjustRightInd w:val="0"/>
        <w:jc w:val="both"/>
        <w:rPr>
          <w:rFonts w:ascii="Arial" w:hAnsi="Arial" w:cs="Arial"/>
          <w:i/>
          <w:sz w:val="20"/>
        </w:rPr>
      </w:pPr>
    </w:p>
    <w:p w14:paraId="3D9C1BD1" w14:textId="46F04D5A" w:rsidR="00A06BE9" w:rsidRPr="00701F32" w:rsidRDefault="00A06BE9" w:rsidP="00A06BE9">
      <w:pPr>
        <w:jc w:val="both"/>
        <w:rPr>
          <w:rFonts w:ascii="Arial" w:hAnsi="Arial" w:cs="Arial"/>
          <w:sz w:val="20"/>
        </w:rPr>
      </w:pPr>
      <w:bookmarkStart w:id="21" w:name="_Hlk31640495"/>
      <w:r w:rsidRPr="00701F32">
        <w:rPr>
          <w:rFonts w:ascii="Arial" w:hAnsi="Arial" w:cs="Arial"/>
          <w:sz w:val="20"/>
        </w:rPr>
        <w:t>Asimismo, se informa que al 3</w:t>
      </w:r>
      <w:r w:rsidR="004F547C">
        <w:rPr>
          <w:rFonts w:ascii="Arial" w:hAnsi="Arial" w:cs="Arial"/>
          <w:sz w:val="20"/>
        </w:rPr>
        <w:t>1</w:t>
      </w:r>
      <w:r w:rsidR="00FF2E86">
        <w:rPr>
          <w:rFonts w:ascii="Arial" w:hAnsi="Arial" w:cs="Arial"/>
          <w:sz w:val="20"/>
        </w:rPr>
        <w:t xml:space="preserve"> de </w:t>
      </w:r>
      <w:r w:rsidR="004F547C">
        <w:rPr>
          <w:rFonts w:ascii="Arial" w:hAnsi="Arial" w:cs="Arial"/>
          <w:sz w:val="20"/>
        </w:rPr>
        <w:t>dic</w:t>
      </w:r>
      <w:r w:rsidR="00FF2E86">
        <w:rPr>
          <w:rFonts w:ascii="Arial" w:hAnsi="Arial" w:cs="Arial"/>
          <w:sz w:val="20"/>
        </w:rPr>
        <w:t>iembre</w:t>
      </w:r>
      <w:r w:rsidR="00052729" w:rsidRPr="00701F32">
        <w:rPr>
          <w:rFonts w:ascii="Arial" w:hAnsi="Arial" w:cs="Arial"/>
          <w:sz w:val="20"/>
        </w:rPr>
        <w:t xml:space="preserve"> </w:t>
      </w:r>
      <w:r w:rsidRPr="00701F32">
        <w:rPr>
          <w:rFonts w:ascii="Arial" w:hAnsi="Arial" w:cs="Arial"/>
          <w:sz w:val="20"/>
        </w:rPr>
        <w:t xml:space="preserve">de </w:t>
      </w:r>
      <w:r w:rsidR="00DF79C7">
        <w:rPr>
          <w:rFonts w:ascii="Arial" w:hAnsi="Arial" w:cs="Arial"/>
          <w:sz w:val="20"/>
        </w:rPr>
        <w:t>201</w:t>
      </w:r>
      <w:r w:rsidR="00052729">
        <w:rPr>
          <w:rFonts w:ascii="Arial" w:hAnsi="Arial" w:cs="Arial"/>
          <w:sz w:val="20"/>
        </w:rPr>
        <w:t>9</w:t>
      </w:r>
      <w:r w:rsidR="00DF79C7">
        <w:rPr>
          <w:rFonts w:ascii="Arial" w:hAnsi="Arial" w:cs="Arial"/>
          <w:sz w:val="20"/>
        </w:rPr>
        <w:t xml:space="preserve"> y </w:t>
      </w:r>
      <w:r w:rsidRPr="00701F32">
        <w:rPr>
          <w:rFonts w:ascii="Arial" w:hAnsi="Arial" w:cs="Arial"/>
          <w:sz w:val="20"/>
        </w:rPr>
        <w:t>201</w:t>
      </w:r>
      <w:r w:rsidR="00052729">
        <w:rPr>
          <w:rFonts w:ascii="Arial" w:hAnsi="Arial" w:cs="Arial"/>
          <w:sz w:val="20"/>
        </w:rPr>
        <w:t>8</w:t>
      </w:r>
      <w:r w:rsidRPr="00701F32">
        <w:rPr>
          <w:rFonts w:ascii="Arial" w:hAnsi="Arial" w:cs="Arial"/>
          <w:sz w:val="20"/>
        </w:rPr>
        <w:t xml:space="preserve"> el patrimonio neto de la Entidad supera el patrimonio neto mínimo requerido por dicha norma para actuar como agente de mercado abierto, el cual asciende a </w:t>
      </w:r>
      <w:r w:rsidR="00DC6212">
        <w:rPr>
          <w:rFonts w:ascii="Arial" w:hAnsi="Arial" w:cs="Arial"/>
          <w:sz w:val="20"/>
        </w:rPr>
        <w:t>$ 22.182 y</w:t>
      </w:r>
      <w:r w:rsidR="0049795D">
        <w:rPr>
          <w:rFonts w:ascii="Arial" w:hAnsi="Arial" w:cs="Arial"/>
          <w:sz w:val="20"/>
        </w:rPr>
        <w:t xml:space="preserve"> </w:t>
      </w:r>
      <w:r w:rsidR="00DC6212">
        <w:rPr>
          <w:rFonts w:ascii="Arial" w:hAnsi="Arial" w:cs="Arial"/>
          <w:sz w:val="20"/>
        </w:rPr>
        <w:t xml:space="preserve">$ </w:t>
      </w:r>
      <w:r w:rsidRPr="00701F32">
        <w:rPr>
          <w:rFonts w:ascii="Arial" w:hAnsi="Arial" w:cs="Arial"/>
          <w:sz w:val="20"/>
        </w:rPr>
        <w:t>1</w:t>
      </w:r>
      <w:r w:rsidR="00FF2E86">
        <w:rPr>
          <w:rFonts w:ascii="Arial" w:hAnsi="Arial" w:cs="Arial"/>
          <w:sz w:val="20"/>
        </w:rPr>
        <w:t>8</w:t>
      </w:r>
      <w:r w:rsidRPr="00701F32">
        <w:rPr>
          <w:rFonts w:ascii="Arial" w:hAnsi="Arial" w:cs="Arial"/>
          <w:sz w:val="20"/>
        </w:rPr>
        <w:t>.000</w:t>
      </w:r>
      <w:r w:rsidR="00DC6212">
        <w:rPr>
          <w:rFonts w:ascii="Arial" w:hAnsi="Arial" w:cs="Arial"/>
          <w:sz w:val="20"/>
        </w:rPr>
        <w:t xml:space="preserve"> miles respectivamente</w:t>
      </w:r>
      <w:r w:rsidR="0086769C">
        <w:rPr>
          <w:rFonts w:ascii="Arial" w:hAnsi="Arial" w:cs="Arial"/>
          <w:sz w:val="20"/>
        </w:rPr>
        <w:t>. L</w:t>
      </w:r>
      <w:r w:rsidRPr="00701F32">
        <w:rPr>
          <w:rFonts w:ascii="Arial" w:hAnsi="Arial" w:cs="Arial"/>
          <w:sz w:val="20"/>
        </w:rPr>
        <w:t>a contrapartida líquida exigida por la norma asciende a</w:t>
      </w:r>
      <w:r w:rsidR="009B0929">
        <w:rPr>
          <w:rFonts w:ascii="Arial" w:hAnsi="Arial" w:cs="Arial"/>
          <w:sz w:val="20"/>
        </w:rPr>
        <w:t xml:space="preserve"> $</w:t>
      </w:r>
      <w:r w:rsidRPr="00701F32">
        <w:rPr>
          <w:rFonts w:ascii="Arial" w:hAnsi="Arial" w:cs="Arial"/>
          <w:sz w:val="20"/>
        </w:rPr>
        <w:t xml:space="preserve"> </w:t>
      </w:r>
      <w:r w:rsidR="00DC6212">
        <w:rPr>
          <w:rFonts w:ascii="Arial" w:hAnsi="Arial" w:cs="Arial"/>
          <w:sz w:val="20"/>
        </w:rPr>
        <w:t xml:space="preserve">11.091 y $ </w:t>
      </w:r>
      <w:r w:rsidR="00FF2E86">
        <w:rPr>
          <w:rFonts w:ascii="Arial" w:hAnsi="Arial" w:cs="Arial"/>
          <w:sz w:val="20"/>
        </w:rPr>
        <w:t>9</w:t>
      </w:r>
      <w:r w:rsidRPr="00701F32">
        <w:rPr>
          <w:rFonts w:ascii="Arial" w:hAnsi="Arial" w:cs="Arial"/>
          <w:sz w:val="20"/>
        </w:rPr>
        <w:t>.</w:t>
      </w:r>
      <w:r w:rsidR="00FF2E86">
        <w:rPr>
          <w:rFonts w:ascii="Arial" w:hAnsi="Arial" w:cs="Arial"/>
          <w:sz w:val="20"/>
        </w:rPr>
        <w:t>0</w:t>
      </w:r>
      <w:r w:rsidRPr="00701F32">
        <w:rPr>
          <w:rFonts w:ascii="Arial" w:hAnsi="Arial" w:cs="Arial"/>
          <w:sz w:val="20"/>
        </w:rPr>
        <w:t xml:space="preserve">00 </w:t>
      </w:r>
      <w:r w:rsidR="00DC6212">
        <w:rPr>
          <w:rFonts w:ascii="Arial" w:hAnsi="Arial" w:cs="Arial"/>
          <w:sz w:val="20"/>
        </w:rPr>
        <w:t xml:space="preserve">miles respectivamente </w:t>
      </w:r>
      <w:r w:rsidRPr="00701F32">
        <w:rPr>
          <w:rFonts w:ascii="Arial" w:hAnsi="Arial" w:cs="Arial"/>
          <w:sz w:val="20"/>
        </w:rPr>
        <w:t xml:space="preserve">y se encuentra constituida </w:t>
      </w:r>
      <w:r w:rsidR="00AC2AE8">
        <w:rPr>
          <w:rFonts w:ascii="Arial" w:hAnsi="Arial" w:cs="Arial"/>
          <w:sz w:val="20"/>
        </w:rPr>
        <w:t>mediante</w:t>
      </w:r>
      <w:r w:rsidRPr="00701F32">
        <w:rPr>
          <w:rFonts w:ascii="Arial" w:hAnsi="Arial" w:cs="Arial"/>
          <w:sz w:val="20"/>
        </w:rPr>
        <w:t xml:space="preserve"> la cuenta corriente en pesos abierta en el BCRA </w:t>
      </w:r>
      <w:r w:rsidRPr="00F40E42">
        <w:rPr>
          <w:rFonts w:ascii="Arial" w:hAnsi="Arial" w:cs="Arial"/>
          <w:sz w:val="20"/>
        </w:rPr>
        <w:t xml:space="preserve">cuyo saldo ascendía a </w:t>
      </w:r>
      <w:r w:rsidR="0049795D">
        <w:rPr>
          <w:rFonts w:ascii="Arial" w:hAnsi="Arial" w:cs="Arial"/>
          <w:sz w:val="20"/>
        </w:rPr>
        <w:t xml:space="preserve">$ </w:t>
      </w:r>
      <w:r w:rsidR="00DC6212">
        <w:rPr>
          <w:rFonts w:ascii="Arial" w:hAnsi="Arial" w:cs="Arial"/>
          <w:sz w:val="20"/>
        </w:rPr>
        <w:t>7.896.787</w:t>
      </w:r>
      <w:r w:rsidR="00052729" w:rsidRPr="00F40E42">
        <w:rPr>
          <w:rFonts w:ascii="Arial" w:hAnsi="Arial" w:cs="Arial"/>
          <w:sz w:val="20"/>
        </w:rPr>
        <w:t xml:space="preserve"> </w:t>
      </w:r>
      <w:r w:rsidRPr="00F40E42">
        <w:rPr>
          <w:rFonts w:ascii="Arial" w:hAnsi="Arial" w:cs="Arial"/>
          <w:sz w:val="20"/>
        </w:rPr>
        <w:t xml:space="preserve">y </w:t>
      </w:r>
      <w:r w:rsidR="0049795D">
        <w:rPr>
          <w:rFonts w:ascii="Arial" w:hAnsi="Arial" w:cs="Arial"/>
          <w:sz w:val="20"/>
        </w:rPr>
        <w:t xml:space="preserve">$ </w:t>
      </w:r>
      <w:r w:rsidR="00F40E42">
        <w:rPr>
          <w:rFonts w:ascii="Arial" w:hAnsi="Arial" w:cs="Arial"/>
          <w:sz w:val="20"/>
        </w:rPr>
        <w:t>14.518.879</w:t>
      </w:r>
      <w:r w:rsidR="00D87BFE" w:rsidRPr="00F40E42">
        <w:rPr>
          <w:rFonts w:ascii="Arial" w:hAnsi="Arial" w:cs="Arial"/>
          <w:sz w:val="20"/>
        </w:rPr>
        <w:t xml:space="preserve"> </w:t>
      </w:r>
      <w:r w:rsidR="00DC6212">
        <w:rPr>
          <w:rFonts w:ascii="Arial" w:hAnsi="Arial" w:cs="Arial"/>
          <w:sz w:val="20"/>
        </w:rPr>
        <w:t xml:space="preserve">miles </w:t>
      </w:r>
      <w:r w:rsidRPr="00F40E42">
        <w:rPr>
          <w:rFonts w:ascii="Arial" w:hAnsi="Arial" w:cs="Arial"/>
          <w:sz w:val="20"/>
        </w:rPr>
        <w:t>al 3</w:t>
      </w:r>
      <w:r w:rsidR="00DC6212">
        <w:rPr>
          <w:rFonts w:ascii="Arial" w:hAnsi="Arial" w:cs="Arial"/>
          <w:sz w:val="20"/>
        </w:rPr>
        <w:t>1</w:t>
      </w:r>
      <w:r w:rsidRPr="00F40E42">
        <w:rPr>
          <w:rFonts w:ascii="Arial" w:hAnsi="Arial" w:cs="Arial"/>
          <w:sz w:val="20"/>
        </w:rPr>
        <w:t xml:space="preserve"> de </w:t>
      </w:r>
      <w:r w:rsidR="00DC6212">
        <w:rPr>
          <w:rFonts w:ascii="Arial" w:hAnsi="Arial" w:cs="Arial"/>
          <w:sz w:val="20"/>
        </w:rPr>
        <w:t>dic</w:t>
      </w:r>
      <w:r w:rsidR="00660815">
        <w:rPr>
          <w:rFonts w:ascii="Arial" w:hAnsi="Arial" w:cs="Arial"/>
          <w:sz w:val="20"/>
        </w:rPr>
        <w:t>iembre</w:t>
      </w:r>
      <w:r w:rsidR="002278C2" w:rsidRPr="00F40E42">
        <w:rPr>
          <w:rFonts w:ascii="Arial" w:hAnsi="Arial" w:cs="Arial"/>
          <w:sz w:val="20"/>
        </w:rPr>
        <w:t xml:space="preserve"> </w:t>
      </w:r>
      <w:r w:rsidRPr="00F40E42">
        <w:rPr>
          <w:rFonts w:ascii="Arial" w:hAnsi="Arial" w:cs="Arial"/>
          <w:sz w:val="20"/>
        </w:rPr>
        <w:t xml:space="preserve">de </w:t>
      </w:r>
      <w:r w:rsidR="00127A10" w:rsidRPr="00F40E42">
        <w:rPr>
          <w:rFonts w:ascii="Arial" w:hAnsi="Arial" w:cs="Arial"/>
          <w:sz w:val="20"/>
        </w:rPr>
        <w:t>201</w:t>
      </w:r>
      <w:r w:rsidR="002278C2" w:rsidRPr="00F40E42">
        <w:rPr>
          <w:rFonts w:ascii="Arial" w:hAnsi="Arial" w:cs="Arial"/>
          <w:sz w:val="20"/>
        </w:rPr>
        <w:t>9</w:t>
      </w:r>
      <w:r w:rsidR="00127A10" w:rsidRPr="00F40E42">
        <w:rPr>
          <w:rFonts w:ascii="Arial" w:hAnsi="Arial" w:cs="Arial"/>
          <w:sz w:val="20"/>
        </w:rPr>
        <w:t xml:space="preserve"> y</w:t>
      </w:r>
      <w:r w:rsidR="003B6612">
        <w:rPr>
          <w:rFonts w:ascii="Arial" w:hAnsi="Arial" w:cs="Arial"/>
          <w:sz w:val="20"/>
        </w:rPr>
        <w:t xml:space="preserve"> </w:t>
      </w:r>
      <w:r w:rsidRPr="00F40E42">
        <w:rPr>
          <w:rFonts w:ascii="Arial" w:hAnsi="Arial" w:cs="Arial"/>
          <w:sz w:val="20"/>
        </w:rPr>
        <w:t>201</w:t>
      </w:r>
      <w:r w:rsidR="002278C2" w:rsidRPr="00F40E42">
        <w:rPr>
          <w:rFonts w:ascii="Arial" w:hAnsi="Arial" w:cs="Arial"/>
          <w:sz w:val="20"/>
        </w:rPr>
        <w:t>8</w:t>
      </w:r>
      <w:r w:rsidRPr="00F40E42">
        <w:rPr>
          <w:rFonts w:ascii="Arial" w:hAnsi="Arial" w:cs="Arial"/>
          <w:sz w:val="20"/>
        </w:rPr>
        <w:t xml:space="preserve"> respectivamente.</w:t>
      </w:r>
    </w:p>
    <w:p w14:paraId="28E3F73F" w14:textId="77777777" w:rsidR="00A06BE9" w:rsidRPr="00701F32" w:rsidRDefault="00A06BE9" w:rsidP="00A06BE9">
      <w:pPr>
        <w:autoSpaceDE w:val="0"/>
        <w:autoSpaceDN w:val="0"/>
        <w:adjustRightInd w:val="0"/>
        <w:jc w:val="both"/>
        <w:rPr>
          <w:rFonts w:ascii="Arial" w:hAnsi="Arial" w:cs="Arial"/>
          <w:sz w:val="20"/>
        </w:rPr>
      </w:pPr>
    </w:p>
    <w:p w14:paraId="24AD2232" w14:textId="63FB47A4" w:rsidR="00FE71CD" w:rsidRDefault="00A06BE9" w:rsidP="00A06BE9">
      <w:pPr>
        <w:tabs>
          <w:tab w:val="left" w:pos="142"/>
        </w:tabs>
        <w:jc w:val="both"/>
        <w:rPr>
          <w:rFonts w:ascii="Arial" w:hAnsi="Arial" w:cs="Arial"/>
          <w:sz w:val="20"/>
        </w:rPr>
      </w:pPr>
      <w:r w:rsidRPr="00701F32">
        <w:rPr>
          <w:rFonts w:ascii="Arial" w:hAnsi="Arial" w:cs="Arial"/>
          <w:sz w:val="20"/>
        </w:rPr>
        <w:t>Por otra parte, en cumplimiento de la citada resolución general, el inmueble sito en la calle Reconquista 330 de esta Ciudad Autónoma</w:t>
      </w:r>
      <w:r w:rsidR="00B05BE2">
        <w:rPr>
          <w:rFonts w:ascii="Arial" w:hAnsi="Arial" w:cs="Arial"/>
          <w:sz w:val="20"/>
        </w:rPr>
        <w:t xml:space="preserve"> de Buenos Aires</w:t>
      </w:r>
      <w:r w:rsidRPr="00701F32">
        <w:rPr>
          <w:rFonts w:ascii="Arial" w:hAnsi="Arial" w:cs="Arial"/>
          <w:sz w:val="20"/>
        </w:rPr>
        <w:t>, cuyo valor residual contable al 3</w:t>
      </w:r>
      <w:r w:rsidR="00DC6212">
        <w:rPr>
          <w:rFonts w:ascii="Arial" w:hAnsi="Arial" w:cs="Arial"/>
          <w:sz w:val="20"/>
        </w:rPr>
        <w:t>1</w:t>
      </w:r>
      <w:r w:rsidR="004622AD" w:rsidRPr="00701F32">
        <w:rPr>
          <w:rFonts w:ascii="Arial" w:hAnsi="Arial" w:cs="Arial"/>
          <w:sz w:val="20"/>
        </w:rPr>
        <w:t xml:space="preserve"> </w:t>
      </w:r>
      <w:r w:rsidR="004D46EE">
        <w:rPr>
          <w:rFonts w:ascii="Arial" w:hAnsi="Arial" w:cs="Arial"/>
          <w:sz w:val="20"/>
        </w:rPr>
        <w:t>de</w:t>
      </w:r>
      <w:r w:rsidR="007D346E">
        <w:rPr>
          <w:rFonts w:ascii="Arial" w:hAnsi="Arial" w:cs="Arial"/>
          <w:sz w:val="20"/>
        </w:rPr>
        <w:t xml:space="preserve"> </w:t>
      </w:r>
      <w:r w:rsidR="00DC6212">
        <w:rPr>
          <w:rFonts w:ascii="Arial" w:hAnsi="Arial" w:cs="Arial"/>
          <w:sz w:val="20"/>
        </w:rPr>
        <w:t>dic</w:t>
      </w:r>
      <w:r w:rsidR="00FF590B">
        <w:rPr>
          <w:rFonts w:ascii="Arial" w:hAnsi="Arial" w:cs="Arial"/>
          <w:sz w:val="20"/>
        </w:rPr>
        <w:t>iembre</w:t>
      </w:r>
      <w:r w:rsidR="002278C2" w:rsidRPr="00701F32">
        <w:rPr>
          <w:rFonts w:ascii="Arial" w:hAnsi="Arial" w:cs="Arial"/>
          <w:sz w:val="20"/>
        </w:rPr>
        <w:t xml:space="preserve"> </w:t>
      </w:r>
      <w:r w:rsidRPr="00701F32">
        <w:rPr>
          <w:rFonts w:ascii="Arial" w:hAnsi="Arial" w:cs="Arial"/>
          <w:sz w:val="20"/>
        </w:rPr>
        <w:t xml:space="preserve">de </w:t>
      </w:r>
      <w:r w:rsidR="004D46EE">
        <w:rPr>
          <w:rFonts w:ascii="Arial" w:hAnsi="Arial" w:cs="Arial"/>
          <w:sz w:val="20"/>
        </w:rPr>
        <w:t xml:space="preserve">2019 y </w:t>
      </w:r>
      <w:r w:rsidRPr="00701F32">
        <w:rPr>
          <w:rFonts w:ascii="Arial" w:hAnsi="Arial" w:cs="Arial"/>
          <w:sz w:val="20"/>
        </w:rPr>
        <w:t xml:space="preserve">2018 es de </w:t>
      </w:r>
      <w:r w:rsidR="0049795D">
        <w:rPr>
          <w:rFonts w:ascii="Arial" w:hAnsi="Arial" w:cs="Arial"/>
          <w:sz w:val="20"/>
        </w:rPr>
        <w:t xml:space="preserve">$ </w:t>
      </w:r>
      <w:r w:rsidR="00282384" w:rsidRPr="00907B5E">
        <w:rPr>
          <w:rFonts w:ascii="Arial" w:hAnsi="Arial" w:cs="Arial"/>
          <w:sz w:val="20"/>
        </w:rPr>
        <w:t>2</w:t>
      </w:r>
      <w:r w:rsidR="00AE4256">
        <w:rPr>
          <w:rFonts w:ascii="Arial" w:hAnsi="Arial" w:cs="Arial"/>
          <w:sz w:val="20"/>
        </w:rPr>
        <w:t>84</w:t>
      </w:r>
      <w:r w:rsidR="00282384" w:rsidRPr="00907B5E">
        <w:rPr>
          <w:rFonts w:ascii="Arial" w:hAnsi="Arial" w:cs="Arial"/>
          <w:sz w:val="20"/>
        </w:rPr>
        <w:t>.</w:t>
      </w:r>
      <w:r w:rsidR="00AE4256">
        <w:rPr>
          <w:rFonts w:ascii="Arial" w:hAnsi="Arial" w:cs="Arial"/>
          <w:sz w:val="20"/>
        </w:rPr>
        <w:t>01</w:t>
      </w:r>
      <w:r w:rsidR="00907B5E" w:rsidRPr="00907B5E">
        <w:rPr>
          <w:rFonts w:ascii="Arial" w:hAnsi="Arial" w:cs="Arial"/>
          <w:sz w:val="20"/>
        </w:rPr>
        <w:t>5</w:t>
      </w:r>
      <w:r w:rsidRPr="00907B5E">
        <w:rPr>
          <w:rFonts w:ascii="Arial" w:hAnsi="Arial" w:cs="Arial"/>
          <w:sz w:val="20"/>
        </w:rPr>
        <w:t xml:space="preserve"> y</w:t>
      </w:r>
      <w:r w:rsidRPr="00701F32">
        <w:rPr>
          <w:rFonts w:ascii="Arial" w:hAnsi="Arial" w:cs="Arial"/>
          <w:sz w:val="20"/>
        </w:rPr>
        <w:t xml:space="preserve"> </w:t>
      </w:r>
      <w:r w:rsidR="0049795D">
        <w:rPr>
          <w:rFonts w:ascii="Arial" w:hAnsi="Arial" w:cs="Arial"/>
          <w:sz w:val="20"/>
        </w:rPr>
        <w:t xml:space="preserve">$ </w:t>
      </w:r>
      <w:r w:rsidR="004D46EE">
        <w:rPr>
          <w:rFonts w:ascii="Arial" w:hAnsi="Arial" w:cs="Arial"/>
          <w:sz w:val="20"/>
        </w:rPr>
        <w:t>219.466</w:t>
      </w:r>
      <w:r w:rsidR="00DC6212">
        <w:rPr>
          <w:rFonts w:ascii="Arial" w:hAnsi="Arial" w:cs="Arial"/>
          <w:sz w:val="20"/>
        </w:rPr>
        <w:t xml:space="preserve"> miles</w:t>
      </w:r>
      <w:r w:rsidR="00DF79C7">
        <w:rPr>
          <w:rFonts w:ascii="Arial" w:hAnsi="Arial" w:cs="Arial"/>
          <w:sz w:val="20"/>
        </w:rPr>
        <w:t>, respectivamente</w:t>
      </w:r>
      <w:r w:rsidRPr="00701F32">
        <w:rPr>
          <w:rFonts w:ascii="Arial" w:hAnsi="Arial" w:cs="Arial"/>
          <w:sz w:val="20"/>
        </w:rPr>
        <w:t>, se encuentra afectado al desarrollo de las operaciones del Mercado Abierto.</w:t>
      </w:r>
      <w:bookmarkEnd w:id="20"/>
      <w:bookmarkEnd w:id="21"/>
    </w:p>
    <w:p w14:paraId="0C5D1E74" w14:textId="77777777" w:rsidR="00C110B3" w:rsidRPr="00701F32" w:rsidRDefault="00C110B3" w:rsidP="00A06BE9">
      <w:pPr>
        <w:tabs>
          <w:tab w:val="left" w:pos="142"/>
        </w:tabs>
        <w:jc w:val="both"/>
        <w:rPr>
          <w:rFonts w:ascii="Arial" w:hAnsi="Arial" w:cs="Arial"/>
          <w:sz w:val="20"/>
        </w:rPr>
      </w:pPr>
    </w:p>
    <w:p w14:paraId="031387E7" w14:textId="0E94692C" w:rsidR="00A06BE9" w:rsidRPr="00701F32" w:rsidRDefault="00032EC8" w:rsidP="00A06BE9">
      <w:pPr>
        <w:tabs>
          <w:tab w:val="left" w:pos="142"/>
        </w:tabs>
        <w:spacing w:after="200" w:line="276" w:lineRule="auto"/>
        <w:contextualSpacing/>
        <w:jc w:val="both"/>
        <w:rPr>
          <w:rFonts w:ascii="Arial" w:hAnsi="Arial" w:cs="Arial"/>
          <w:b/>
          <w:sz w:val="20"/>
        </w:rPr>
      </w:pPr>
      <w:r>
        <w:rPr>
          <w:rFonts w:ascii="Arial" w:hAnsi="Arial" w:cs="Arial"/>
          <w:b/>
          <w:sz w:val="20"/>
        </w:rPr>
        <w:t>14</w:t>
      </w:r>
      <w:r w:rsidR="00A06BE9" w:rsidRPr="00701F32">
        <w:rPr>
          <w:rFonts w:ascii="Arial" w:hAnsi="Arial" w:cs="Arial"/>
          <w:b/>
          <w:sz w:val="20"/>
        </w:rPr>
        <w:t>.5.2 Resolución N° 629 de la Comisión Nacional de Valores</w:t>
      </w:r>
    </w:p>
    <w:p w14:paraId="1F515A73" w14:textId="77777777" w:rsidR="00A06BE9" w:rsidRPr="00701F32" w:rsidRDefault="00A06BE9" w:rsidP="00A06BE9">
      <w:pPr>
        <w:tabs>
          <w:tab w:val="left" w:pos="142"/>
        </w:tabs>
        <w:spacing w:after="200" w:line="276" w:lineRule="auto"/>
        <w:contextualSpacing/>
        <w:jc w:val="both"/>
        <w:rPr>
          <w:rFonts w:ascii="Arial" w:hAnsi="Arial" w:cs="Arial"/>
          <w:b/>
          <w:sz w:val="20"/>
        </w:rPr>
      </w:pPr>
    </w:p>
    <w:p w14:paraId="0F07A3BB" w14:textId="77777777" w:rsidR="00A06BE9" w:rsidRPr="00701F32" w:rsidRDefault="00A06BE9" w:rsidP="00A06BE9">
      <w:pPr>
        <w:jc w:val="both"/>
        <w:rPr>
          <w:rFonts w:ascii="Arial" w:hAnsi="Arial" w:cs="Arial"/>
          <w:sz w:val="20"/>
        </w:rPr>
      </w:pPr>
      <w:r w:rsidRPr="00701F32">
        <w:rPr>
          <w:rFonts w:ascii="Arial" w:hAnsi="Arial" w:cs="Arial"/>
          <w:sz w:val="20"/>
        </w:rPr>
        <w:t xml:space="preserve">En cumplimiento de lo dispuesto por la Resolución General N° 629 de la CNV se aclara que los libros de comercio y los libros societarios se guardan en la sede social inscripta (Bartolomé Mitre 434 de la Ciudad Autónoma de Buenos Aires) de acuerdo con el siguiente detalle: </w:t>
      </w:r>
    </w:p>
    <w:p w14:paraId="3320FF05" w14:textId="35749084" w:rsidR="00A06BE9" w:rsidRPr="00701F32" w:rsidRDefault="00A06BE9" w:rsidP="00A06BE9">
      <w:pPr>
        <w:numPr>
          <w:ilvl w:val="0"/>
          <w:numId w:val="2"/>
        </w:numPr>
        <w:jc w:val="both"/>
        <w:rPr>
          <w:rFonts w:ascii="Arial" w:hAnsi="Arial" w:cs="Arial"/>
          <w:sz w:val="20"/>
        </w:rPr>
      </w:pPr>
      <w:r w:rsidRPr="00701F32">
        <w:rPr>
          <w:rFonts w:ascii="Arial" w:hAnsi="Arial" w:cs="Arial"/>
          <w:sz w:val="20"/>
        </w:rPr>
        <w:t xml:space="preserve">Libro Diario (Registro de Habilitación de Medios </w:t>
      </w:r>
      <w:r w:rsidR="00AE73E8" w:rsidRPr="00701F32">
        <w:rPr>
          <w:rFonts w:ascii="Arial" w:hAnsi="Arial" w:cs="Arial"/>
          <w:sz w:val="20"/>
        </w:rPr>
        <w:t>Ópticos</w:t>
      </w:r>
      <w:r w:rsidRPr="00701F32">
        <w:rPr>
          <w:rFonts w:ascii="Arial" w:hAnsi="Arial" w:cs="Arial"/>
          <w:sz w:val="20"/>
        </w:rPr>
        <w:t xml:space="preserve"> y sus correspondientes soportes ópticos –CD y DVD-) desde el 1° de octubre de 2009. </w:t>
      </w:r>
    </w:p>
    <w:p w14:paraId="13E4449A" w14:textId="77777777" w:rsidR="00A06BE9" w:rsidRPr="00701F32" w:rsidRDefault="00A06BE9" w:rsidP="00A06BE9">
      <w:pPr>
        <w:numPr>
          <w:ilvl w:val="0"/>
          <w:numId w:val="2"/>
        </w:numPr>
        <w:jc w:val="both"/>
        <w:rPr>
          <w:rFonts w:ascii="Arial" w:hAnsi="Arial" w:cs="Arial"/>
          <w:sz w:val="20"/>
        </w:rPr>
      </w:pPr>
      <w:r w:rsidRPr="00701F32">
        <w:rPr>
          <w:rFonts w:ascii="Arial" w:hAnsi="Arial" w:cs="Arial"/>
          <w:sz w:val="20"/>
        </w:rPr>
        <w:t xml:space="preserve">Libro Inventario desde el 31 de diciembre de 2016. </w:t>
      </w:r>
    </w:p>
    <w:p w14:paraId="37287CFF" w14:textId="77777777" w:rsidR="00A06BE9" w:rsidRPr="00701F32" w:rsidRDefault="00A06BE9" w:rsidP="00A06BE9">
      <w:pPr>
        <w:numPr>
          <w:ilvl w:val="0"/>
          <w:numId w:val="2"/>
        </w:numPr>
        <w:jc w:val="both"/>
        <w:rPr>
          <w:rFonts w:ascii="Arial" w:hAnsi="Arial" w:cs="Arial"/>
          <w:sz w:val="20"/>
        </w:rPr>
      </w:pPr>
      <w:r w:rsidRPr="00701F32">
        <w:rPr>
          <w:rFonts w:ascii="Arial" w:hAnsi="Arial" w:cs="Arial"/>
          <w:sz w:val="20"/>
        </w:rPr>
        <w:t xml:space="preserve">Libro Balance desde el 31 de diciembre de 2002. </w:t>
      </w:r>
    </w:p>
    <w:p w14:paraId="27500D31" w14:textId="2F20BA56" w:rsidR="00A06BE9" w:rsidRPr="00701F32" w:rsidRDefault="00A06BE9" w:rsidP="00A06BE9">
      <w:pPr>
        <w:numPr>
          <w:ilvl w:val="0"/>
          <w:numId w:val="2"/>
        </w:numPr>
        <w:jc w:val="both"/>
        <w:rPr>
          <w:rFonts w:ascii="Arial" w:hAnsi="Arial" w:cs="Arial"/>
          <w:sz w:val="20"/>
        </w:rPr>
      </w:pPr>
      <w:r w:rsidRPr="00701F32">
        <w:rPr>
          <w:rFonts w:ascii="Arial" w:hAnsi="Arial" w:cs="Arial"/>
          <w:sz w:val="20"/>
        </w:rPr>
        <w:t>Libro Actas de Directorio desde el diciembre de 1988 a noviembre de 1999, desde mayo de 2000 a octubre de 2003 y febrero de 2007 a la fecha.</w:t>
      </w:r>
    </w:p>
    <w:p w14:paraId="4516E060" w14:textId="77777777" w:rsidR="00A06BE9" w:rsidRPr="00701F32" w:rsidRDefault="00A06BE9" w:rsidP="00A06BE9">
      <w:pPr>
        <w:numPr>
          <w:ilvl w:val="0"/>
          <w:numId w:val="2"/>
        </w:numPr>
        <w:jc w:val="both"/>
        <w:rPr>
          <w:rFonts w:ascii="Arial" w:hAnsi="Arial" w:cs="Arial"/>
          <w:sz w:val="20"/>
        </w:rPr>
      </w:pPr>
      <w:r w:rsidRPr="00701F32">
        <w:rPr>
          <w:rFonts w:ascii="Arial" w:hAnsi="Arial" w:cs="Arial"/>
          <w:sz w:val="20"/>
        </w:rPr>
        <w:t>Libro Depósito de Acciones y Registro de Asistencia a Asambleas desde el 30 de mayo de 2001 a la fecha.</w:t>
      </w:r>
    </w:p>
    <w:p w14:paraId="19AA98F8" w14:textId="77777777" w:rsidR="00A06BE9" w:rsidRPr="00701F32" w:rsidRDefault="00A06BE9" w:rsidP="00A06BE9">
      <w:pPr>
        <w:numPr>
          <w:ilvl w:val="0"/>
          <w:numId w:val="2"/>
        </w:numPr>
        <w:jc w:val="both"/>
        <w:rPr>
          <w:rFonts w:ascii="Arial" w:hAnsi="Arial" w:cs="Arial"/>
          <w:sz w:val="20"/>
        </w:rPr>
      </w:pPr>
      <w:r w:rsidRPr="00701F32">
        <w:rPr>
          <w:rFonts w:ascii="Arial" w:hAnsi="Arial" w:cs="Arial"/>
          <w:sz w:val="20"/>
        </w:rPr>
        <w:t>Libro de Actas de Asambleas desde el 27 de mayo de 1999 a la fecha.</w:t>
      </w:r>
    </w:p>
    <w:p w14:paraId="40BB309E" w14:textId="77777777" w:rsidR="00A06BE9" w:rsidRPr="00701F32" w:rsidRDefault="00A06BE9" w:rsidP="00A06BE9">
      <w:pPr>
        <w:numPr>
          <w:ilvl w:val="0"/>
          <w:numId w:val="2"/>
        </w:numPr>
        <w:jc w:val="both"/>
        <w:rPr>
          <w:rFonts w:ascii="Arial" w:hAnsi="Arial" w:cs="Arial"/>
          <w:sz w:val="20"/>
        </w:rPr>
      </w:pPr>
      <w:r w:rsidRPr="00701F32">
        <w:rPr>
          <w:rFonts w:ascii="Arial" w:hAnsi="Arial" w:cs="Arial"/>
          <w:sz w:val="20"/>
        </w:rPr>
        <w:t xml:space="preserve">Libro de Actas de Comisión Fiscalizadora desde el 13 de agosto de 2004.  </w:t>
      </w:r>
    </w:p>
    <w:p w14:paraId="68450506" w14:textId="77777777" w:rsidR="00A06BE9" w:rsidRPr="00701F32" w:rsidRDefault="00A06BE9" w:rsidP="00A06BE9">
      <w:pPr>
        <w:jc w:val="both"/>
        <w:rPr>
          <w:rFonts w:ascii="Arial" w:hAnsi="Arial" w:cs="Arial"/>
          <w:sz w:val="20"/>
        </w:rPr>
      </w:pPr>
    </w:p>
    <w:p w14:paraId="3ADE9909" w14:textId="77777777" w:rsidR="00A06BE9" w:rsidRPr="00701F32" w:rsidRDefault="00A06BE9" w:rsidP="00A06BE9">
      <w:pPr>
        <w:jc w:val="both"/>
        <w:rPr>
          <w:rFonts w:ascii="Arial" w:hAnsi="Arial" w:cs="Arial"/>
          <w:sz w:val="20"/>
        </w:rPr>
      </w:pPr>
      <w:r w:rsidRPr="00701F32">
        <w:rPr>
          <w:rFonts w:ascii="Arial" w:hAnsi="Arial" w:cs="Arial"/>
          <w:sz w:val="20"/>
        </w:rPr>
        <w:t xml:space="preserve">Respecto de los libros de operaciones de títulos y de mercado abierto, se encuentran en la sede social inscripta mencionada precedentemente de acuerdo con el siguiente detalle: </w:t>
      </w:r>
    </w:p>
    <w:p w14:paraId="08A1D0A7" w14:textId="75A88FD7" w:rsidR="00A06BE9" w:rsidRPr="00701F32" w:rsidRDefault="00A06BE9" w:rsidP="00A06BE9">
      <w:pPr>
        <w:numPr>
          <w:ilvl w:val="0"/>
          <w:numId w:val="2"/>
        </w:numPr>
        <w:jc w:val="both"/>
        <w:rPr>
          <w:rFonts w:ascii="Arial" w:hAnsi="Arial" w:cs="Arial"/>
          <w:sz w:val="20"/>
        </w:rPr>
      </w:pPr>
      <w:r w:rsidRPr="00701F32">
        <w:rPr>
          <w:rFonts w:ascii="Arial" w:hAnsi="Arial" w:cs="Arial"/>
          <w:sz w:val="20"/>
        </w:rPr>
        <w:t xml:space="preserve">Registro de Ordenes de Agente desde el </w:t>
      </w:r>
      <w:r w:rsidR="007F062D">
        <w:rPr>
          <w:rFonts w:ascii="Arial" w:hAnsi="Arial" w:cs="Arial"/>
          <w:sz w:val="20"/>
        </w:rPr>
        <w:t>2</w:t>
      </w:r>
      <w:r w:rsidRPr="00701F32">
        <w:rPr>
          <w:rFonts w:ascii="Arial" w:hAnsi="Arial" w:cs="Arial"/>
          <w:sz w:val="20"/>
        </w:rPr>
        <w:t xml:space="preserve">6 de </w:t>
      </w:r>
      <w:r w:rsidR="007F062D">
        <w:rPr>
          <w:rFonts w:ascii="Arial" w:hAnsi="Arial" w:cs="Arial"/>
          <w:sz w:val="20"/>
        </w:rPr>
        <w:t>septiembre</w:t>
      </w:r>
      <w:r w:rsidRPr="00701F32">
        <w:rPr>
          <w:rFonts w:ascii="Arial" w:hAnsi="Arial" w:cs="Arial"/>
          <w:sz w:val="20"/>
        </w:rPr>
        <w:t xml:space="preserve"> de 201</w:t>
      </w:r>
      <w:r w:rsidR="007F062D">
        <w:rPr>
          <w:rFonts w:ascii="Arial" w:hAnsi="Arial" w:cs="Arial"/>
          <w:sz w:val="20"/>
        </w:rPr>
        <w:t>8</w:t>
      </w:r>
      <w:r w:rsidRPr="00701F32">
        <w:rPr>
          <w:rFonts w:ascii="Arial" w:hAnsi="Arial" w:cs="Arial"/>
          <w:sz w:val="20"/>
        </w:rPr>
        <w:t>.</w:t>
      </w:r>
    </w:p>
    <w:p w14:paraId="42CE5D1A" w14:textId="04B4A59D" w:rsidR="00A06BE9" w:rsidRPr="00701F32" w:rsidRDefault="00A06BE9" w:rsidP="00A06BE9">
      <w:pPr>
        <w:numPr>
          <w:ilvl w:val="0"/>
          <w:numId w:val="2"/>
        </w:numPr>
        <w:jc w:val="both"/>
        <w:rPr>
          <w:rFonts w:ascii="Arial" w:hAnsi="Arial" w:cs="Arial"/>
          <w:sz w:val="20"/>
        </w:rPr>
      </w:pPr>
      <w:r w:rsidRPr="00701F32">
        <w:rPr>
          <w:rFonts w:ascii="Arial" w:hAnsi="Arial" w:cs="Arial"/>
          <w:sz w:val="20"/>
        </w:rPr>
        <w:t>Registro de Operaciones desde el 2</w:t>
      </w:r>
      <w:r w:rsidR="007F062D">
        <w:rPr>
          <w:rFonts w:ascii="Arial" w:hAnsi="Arial" w:cs="Arial"/>
          <w:sz w:val="20"/>
        </w:rPr>
        <w:t>2</w:t>
      </w:r>
      <w:r w:rsidRPr="00701F32">
        <w:rPr>
          <w:rFonts w:ascii="Arial" w:hAnsi="Arial" w:cs="Arial"/>
          <w:sz w:val="20"/>
        </w:rPr>
        <w:t xml:space="preserve"> de </w:t>
      </w:r>
      <w:r w:rsidR="007F062D">
        <w:rPr>
          <w:rFonts w:ascii="Arial" w:hAnsi="Arial" w:cs="Arial"/>
          <w:sz w:val="20"/>
        </w:rPr>
        <w:t>juni</w:t>
      </w:r>
      <w:r w:rsidRPr="00701F32">
        <w:rPr>
          <w:rFonts w:ascii="Arial" w:hAnsi="Arial" w:cs="Arial"/>
          <w:sz w:val="20"/>
        </w:rPr>
        <w:t>o de 201</w:t>
      </w:r>
      <w:r w:rsidR="007F062D">
        <w:rPr>
          <w:rFonts w:ascii="Arial" w:hAnsi="Arial" w:cs="Arial"/>
          <w:sz w:val="20"/>
        </w:rPr>
        <w:t>8</w:t>
      </w:r>
      <w:r w:rsidRPr="00701F32">
        <w:rPr>
          <w:rFonts w:ascii="Arial" w:hAnsi="Arial" w:cs="Arial"/>
          <w:sz w:val="20"/>
        </w:rPr>
        <w:t>.</w:t>
      </w:r>
    </w:p>
    <w:p w14:paraId="01D67E66" w14:textId="77777777" w:rsidR="00A06BE9" w:rsidRPr="00701F32" w:rsidRDefault="00A06BE9" w:rsidP="00A06BE9">
      <w:pPr>
        <w:numPr>
          <w:ilvl w:val="0"/>
          <w:numId w:val="2"/>
        </w:numPr>
        <w:jc w:val="both"/>
        <w:rPr>
          <w:rFonts w:ascii="Arial" w:hAnsi="Arial" w:cs="Arial"/>
          <w:sz w:val="20"/>
        </w:rPr>
      </w:pPr>
      <w:r w:rsidRPr="00701F32">
        <w:rPr>
          <w:rFonts w:ascii="Arial" w:hAnsi="Arial" w:cs="Arial"/>
          <w:sz w:val="20"/>
        </w:rPr>
        <w:t>Registro de Operaciones Cartera Propia desde el 5 de enero de 2015.</w:t>
      </w:r>
    </w:p>
    <w:p w14:paraId="1CBBBB44" w14:textId="4097AA7A" w:rsidR="00A06BE9" w:rsidRPr="00701F32" w:rsidRDefault="00A06BE9" w:rsidP="00A06BE9">
      <w:pPr>
        <w:numPr>
          <w:ilvl w:val="0"/>
          <w:numId w:val="2"/>
        </w:numPr>
        <w:jc w:val="both"/>
        <w:rPr>
          <w:rFonts w:ascii="Arial" w:hAnsi="Arial" w:cs="Arial"/>
          <w:sz w:val="20"/>
        </w:rPr>
      </w:pPr>
      <w:r w:rsidRPr="00701F32">
        <w:rPr>
          <w:rFonts w:ascii="Arial" w:hAnsi="Arial" w:cs="Arial"/>
          <w:sz w:val="20"/>
        </w:rPr>
        <w:t xml:space="preserve">Libro de Caja desde el </w:t>
      </w:r>
      <w:r w:rsidR="007F062D">
        <w:rPr>
          <w:rFonts w:ascii="Arial" w:hAnsi="Arial" w:cs="Arial"/>
          <w:sz w:val="20"/>
        </w:rPr>
        <w:t>1</w:t>
      </w:r>
      <w:r w:rsidRPr="00701F32">
        <w:rPr>
          <w:rFonts w:ascii="Arial" w:hAnsi="Arial" w:cs="Arial"/>
          <w:sz w:val="20"/>
        </w:rPr>
        <w:t xml:space="preserve">5 de </w:t>
      </w:r>
      <w:r w:rsidR="007F062D">
        <w:rPr>
          <w:rFonts w:ascii="Arial" w:hAnsi="Arial" w:cs="Arial"/>
          <w:sz w:val="20"/>
        </w:rPr>
        <w:t>agost</w:t>
      </w:r>
      <w:r w:rsidRPr="00701F32">
        <w:rPr>
          <w:rFonts w:ascii="Arial" w:hAnsi="Arial" w:cs="Arial"/>
          <w:sz w:val="20"/>
        </w:rPr>
        <w:t>o de 201</w:t>
      </w:r>
      <w:r w:rsidR="007F062D">
        <w:rPr>
          <w:rFonts w:ascii="Arial" w:hAnsi="Arial" w:cs="Arial"/>
          <w:sz w:val="20"/>
        </w:rPr>
        <w:t>8</w:t>
      </w:r>
      <w:r w:rsidRPr="00701F32">
        <w:rPr>
          <w:rFonts w:ascii="Arial" w:hAnsi="Arial" w:cs="Arial"/>
          <w:sz w:val="20"/>
        </w:rPr>
        <w:t>.</w:t>
      </w:r>
    </w:p>
    <w:p w14:paraId="690BD99F" w14:textId="638526FB" w:rsidR="00A06BE9" w:rsidRDefault="00A06BE9" w:rsidP="00A06BE9">
      <w:pPr>
        <w:numPr>
          <w:ilvl w:val="0"/>
          <w:numId w:val="2"/>
        </w:numPr>
        <w:jc w:val="both"/>
        <w:rPr>
          <w:rFonts w:ascii="Arial" w:hAnsi="Arial" w:cs="Arial"/>
          <w:sz w:val="20"/>
        </w:rPr>
      </w:pPr>
      <w:r w:rsidRPr="00701F32">
        <w:rPr>
          <w:rFonts w:ascii="Arial" w:hAnsi="Arial" w:cs="Arial"/>
          <w:sz w:val="20"/>
        </w:rPr>
        <w:t>Registro de Ordenes (ACYL N° 57) desde el 7 de enero de 2015.</w:t>
      </w:r>
    </w:p>
    <w:p w14:paraId="0635585C" w14:textId="478B677C" w:rsidR="007F062D" w:rsidRDefault="007F062D" w:rsidP="007F062D">
      <w:pPr>
        <w:jc w:val="both"/>
        <w:rPr>
          <w:rFonts w:ascii="Arial" w:hAnsi="Arial" w:cs="Arial"/>
          <w:sz w:val="20"/>
        </w:rPr>
      </w:pPr>
    </w:p>
    <w:p w14:paraId="0F725CE3" w14:textId="77777777" w:rsidR="00A06BE9" w:rsidRPr="00701F32" w:rsidRDefault="00A06BE9" w:rsidP="00A06BE9">
      <w:pPr>
        <w:jc w:val="both"/>
        <w:rPr>
          <w:rFonts w:ascii="Arial" w:hAnsi="Arial" w:cs="Arial"/>
          <w:sz w:val="20"/>
        </w:rPr>
      </w:pPr>
      <w:r w:rsidRPr="00701F32">
        <w:rPr>
          <w:rFonts w:ascii="Arial" w:hAnsi="Arial" w:cs="Arial"/>
          <w:sz w:val="20"/>
        </w:rPr>
        <w:t>Los libros antecesores a los señalados precedentemente que contienen las operaciones anteriores a la fecha indicada en cada caso, se encuentran bajo la guarda de la empresa Adea S.A. cuyo depósito está ubicado en Ruta provincial N° 36, Km 31,500 localidad de Bosques, Partido de Florencio Varela de la Provincia de Buenos Aires.</w:t>
      </w:r>
    </w:p>
    <w:p w14:paraId="3162395F" w14:textId="77777777" w:rsidR="00A06BE9" w:rsidRPr="00701F32" w:rsidRDefault="00A06BE9" w:rsidP="00A06BE9">
      <w:pPr>
        <w:jc w:val="both"/>
        <w:rPr>
          <w:rFonts w:ascii="Arial" w:hAnsi="Arial" w:cs="Arial"/>
          <w:sz w:val="20"/>
        </w:rPr>
      </w:pPr>
    </w:p>
    <w:p w14:paraId="203FC13D"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rPr>
        <w:t>La documentación respaldatoria de las operaciones contables y de la gestión de la Entidad hasta una antigüedad de 2 (dos) meses anterior</w:t>
      </w:r>
      <w:r w:rsidR="00004B94" w:rsidRPr="00701F32">
        <w:rPr>
          <w:rFonts w:ascii="Arial" w:hAnsi="Arial" w:cs="Arial"/>
          <w:sz w:val="20"/>
        </w:rPr>
        <w:t>es</w:t>
      </w:r>
      <w:r w:rsidRPr="00701F32">
        <w:rPr>
          <w:rFonts w:ascii="Arial" w:hAnsi="Arial" w:cs="Arial"/>
          <w:sz w:val="20"/>
        </w:rPr>
        <w:t xml:space="preserve"> a la actual, se encuentra en cada sucursal, y, con antigüedad superior a dicho lapso de tiempo se encuentra bajo la guarda de la empresa Adea S.A. </w:t>
      </w:r>
    </w:p>
    <w:p w14:paraId="239568AB" w14:textId="71481EA9" w:rsidR="002849A2" w:rsidRDefault="002849A2">
      <w:pPr>
        <w:rPr>
          <w:rFonts w:ascii="Arial" w:hAnsi="Arial" w:cs="Arial"/>
          <w:b/>
          <w:sz w:val="20"/>
        </w:rPr>
      </w:pPr>
    </w:p>
    <w:p w14:paraId="1410D14D" w14:textId="00955136" w:rsidR="00A06BE9" w:rsidRPr="00701F32" w:rsidRDefault="00032EC8" w:rsidP="00A06BE9">
      <w:pPr>
        <w:tabs>
          <w:tab w:val="left" w:pos="142"/>
        </w:tabs>
        <w:spacing w:after="200" w:line="276" w:lineRule="auto"/>
        <w:contextualSpacing/>
        <w:jc w:val="both"/>
        <w:rPr>
          <w:rFonts w:ascii="Arial" w:hAnsi="Arial" w:cs="Arial"/>
          <w:b/>
          <w:sz w:val="20"/>
        </w:rPr>
      </w:pPr>
      <w:r>
        <w:rPr>
          <w:rFonts w:ascii="Arial" w:hAnsi="Arial" w:cs="Arial"/>
          <w:b/>
          <w:sz w:val="20"/>
        </w:rPr>
        <w:t>14</w:t>
      </w:r>
      <w:r w:rsidR="00A06BE9" w:rsidRPr="00701F32">
        <w:rPr>
          <w:rFonts w:ascii="Arial" w:hAnsi="Arial" w:cs="Arial"/>
          <w:b/>
          <w:sz w:val="20"/>
        </w:rPr>
        <w:t>.6 Cuentas que identifican el cumplimiento de efectivo mínimo</w:t>
      </w:r>
    </w:p>
    <w:p w14:paraId="643A38FC" w14:textId="77777777" w:rsidR="00A06BE9" w:rsidRPr="00701F32" w:rsidRDefault="00A06BE9" w:rsidP="00A06BE9">
      <w:pPr>
        <w:tabs>
          <w:tab w:val="left" w:pos="142"/>
        </w:tabs>
        <w:spacing w:after="200" w:line="276" w:lineRule="auto"/>
        <w:contextualSpacing/>
        <w:jc w:val="both"/>
        <w:rPr>
          <w:rFonts w:ascii="Arial" w:hAnsi="Arial" w:cs="Arial"/>
          <w:b/>
          <w:sz w:val="20"/>
        </w:rPr>
      </w:pPr>
    </w:p>
    <w:p w14:paraId="28A8F65D" w14:textId="2B9B1C12" w:rsidR="00A06BE9" w:rsidRPr="00701F32" w:rsidRDefault="00D940BE" w:rsidP="00A06BE9">
      <w:pPr>
        <w:tabs>
          <w:tab w:val="left" w:pos="142"/>
        </w:tabs>
        <w:jc w:val="both"/>
        <w:rPr>
          <w:rFonts w:ascii="Arial" w:hAnsi="Arial" w:cs="Arial"/>
          <w:sz w:val="20"/>
        </w:rPr>
      </w:pPr>
      <w:r>
        <w:rPr>
          <w:rFonts w:ascii="Arial" w:hAnsi="Arial" w:cs="Arial"/>
          <w:sz w:val="20"/>
        </w:rPr>
        <w:t xml:space="preserve">Al </w:t>
      </w:r>
      <w:r w:rsidR="001D2B86">
        <w:rPr>
          <w:rFonts w:ascii="Arial" w:hAnsi="Arial" w:cs="Arial"/>
          <w:sz w:val="20"/>
        </w:rPr>
        <w:t xml:space="preserve">31 de diciembre de </w:t>
      </w:r>
      <w:r w:rsidR="00032EC8">
        <w:rPr>
          <w:rFonts w:ascii="Arial" w:hAnsi="Arial" w:cs="Arial"/>
          <w:sz w:val="20"/>
        </w:rPr>
        <w:t xml:space="preserve">2019 y </w:t>
      </w:r>
      <w:r w:rsidR="001D2B86" w:rsidRPr="00701F32">
        <w:rPr>
          <w:rFonts w:ascii="Arial" w:hAnsi="Arial" w:cs="Arial"/>
          <w:sz w:val="20"/>
        </w:rPr>
        <w:t>201</w:t>
      </w:r>
      <w:r w:rsidR="001D2B86">
        <w:rPr>
          <w:rFonts w:ascii="Arial" w:hAnsi="Arial" w:cs="Arial"/>
          <w:sz w:val="20"/>
        </w:rPr>
        <w:t>8</w:t>
      </w:r>
      <w:r w:rsidR="001D2B86" w:rsidRPr="00701F32">
        <w:rPr>
          <w:rFonts w:ascii="Arial" w:hAnsi="Arial" w:cs="Arial"/>
          <w:sz w:val="20"/>
        </w:rPr>
        <w:t xml:space="preserve"> </w:t>
      </w:r>
      <w:r w:rsidR="00A06BE9" w:rsidRPr="00701F32">
        <w:rPr>
          <w:rFonts w:ascii="Arial" w:hAnsi="Arial" w:cs="Arial"/>
          <w:sz w:val="20"/>
        </w:rPr>
        <w:t xml:space="preserve">la integración de efectivo mínimo estaba compuesta de la siguiente manera: </w:t>
      </w:r>
    </w:p>
    <w:p w14:paraId="0376EC9E" w14:textId="77777777" w:rsidR="00A06BE9" w:rsidRPr="00701F32" w:rsidRDefault="00A06BE9" w:rsidP="00A06BE9">
      <w:pPr>
        <w:tabs>
          <w:tab w:val="left" w:pos="142"/>
        </w:tabs>
        <w:jc w:val="both"/>
        <w:rPr>
          <w:rFonts w:ascii="Arial" w:hAnsi="Arial" w:cs="Arial"/>
          <w:sz w:val="20"/>
        </w:rPr>
      </w:pPr>
    </w:p>
    <w:tbl>
      <w:tblPr>
        <w:tblW w:w="4358" w:type="pct"/>
        <w:jc w:val="center"/>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ook w:val="01E0" w:firstRow="1" w:lastRow="1" w:firstColumn="1" w:lastColumn="1" w:noHBand="0" w:noVBand="0"/>
      </w:tblPr>
      <w:tblGrid>
        <w:gridCol w:w="4550"/>
        <w:gridCol w:w="1432"/>
        <w:gridCol w:w="1619"/>
      </w:tblGrid>
      <w:tr w:rsidR="001D2B86" w:rsidRPr="00701F32" w14:paraId="0C040F3A" w14:textId="77777777" w:rsidTr="006E1AF7">
        <w:trPr>
          <w:trHeight w:val="357"/>
          <w:tblHeader/>
          <w:jc w:val="center"/>
        </w:trPr>
        <w:tc>
          <w:tcPr>
            <w:tcW w:w="2993" w:type="pct"/>
            <w:vAlign w:val="center"/>
          </w:tcPr>
          <w:p w14:paraId="1D17AF2F" w14:textId="77777777" w:rsidR="001D2B86" w:rsidRPr="00701F32" w:rsidRDefault="001D2B86" w:rsidP="00534414">
            <w:pPr>
              <w:ind w:left="371" w:hanging="142"/>
              <w:jc w:val="both"/>
              <w:rPr>
                <w:rFonts w:ascii="Arial" w:hAnsi="Arial" w:cs="Arial"/>
                <w:b/>
                <w:sz w:val="18"/>
              </w:rPr>
            </w:pPr>
            <w:r w:rsidRPr="00701F32">
              <w:rPr>
                <w:rFonts w:ascii="Arial" w:hAnsi="Arial" w:cs="Arial"/>
                <w:b/>
                <w:sz w:val="18"/>
              </w:rPr>
              <w:t>Concepto</w:t>
            </w:r>
          </w:p>
        </w:tc>
        <w:tc>
          <w:tcPr>
            <w:tcW w:w="942" w:type="pct"/>
            <w:vAlign w:val="center"/>
          </w:tcPr>
          <w:p w14:paraId="20F760F3" w14:textId="4D4EF90F" w:rsidR="001D2B86" w:rsidRPr="00534414" w:rsidRDefault="00D940BE" w:rsidP="00D940BE">
            <w:pPr>
              <w:tabs>
                <w:tab w:val="left" w:pos="142"/>
              </w:tabs>
              <w:jc w:val="center"/>
              <w:rPr>
                <w:rFonts w:ascii="Arial" w:hAnsi="Arial" w:cs="Arial"/>
                <w:b/>
                <w:sz w:val="18"/>
              </w:rPr>
            </w:pPr>
            <w:r>
              <w:rPr>
                <w:rFonts w:ascii="Arial" w:hAnsi="Arial" w:cs="Arial"/>
                <w:b/>
                <w:sz w:val="18"/>
              </w:rPr>
              <w:t>3</w:t>
            </w:r>
            <w:r w:rsidR="00032EC8">
              <w:rPr>
                <w:rFonts w:ascii="Arial" w:hAnsi="Arial" w:cs="Arial"/>
                <w:b/>
                <w:sz w:val="18"/>
              </w:rPr>
              <w:t>1</w:t>
            </w:r>
            <w:r w:rsidR="001D2B86" w:rsidRPr="00534414">
              <w:rPr>
                <w:rFonts w:ascii="Arial" w:hAnsi="Arial" w:cs="Arial"/>
                <w:b/>
                <w:sz w:val="18"/>
              </w:rPr>
              <w:t>/</w:t>
            </w:r>
            <w:r w:rsidR="00032EC8">
              <w:rPr>
                <w:rFonts w:ascii="Arial" w:hAnsi="Arial" w:cs="Arial"/>
                <w:b/>
                <w:sz w:val="18"/>
              </w:rPr>
              <w:t>12</w:t>
            </w:r>
            <w:r w:rsidR="001D2B86" w:rsidRPr="00534414">
              <w:rPr>
                <w:rFonts w:ascii="Arial" w:hAnsi="Arial" w:cs="Arial"/>
                <w:b/>
                <w:sz w:val="18"/>
              </w:rPr>
              <w:t>/2019</w:t>
            </w:r>
          </w:p>
        </w:tc>
        <w:tc>
          <w:tcPr>
            <w:tcW w:w="1065" w:type="pct"/>
            <w:vAlign w:val="center"/>
          </w:tcPr>
          <w:p w14:paraId="50C81DC3" w14:textId="14266B84" w:rsidR="001D2B86" w:rsidRPr="001D2B86" w:rsidRDefault="001D2B86" w:rsidP="00534414">
            <w:pPr>
              <w:tabs>
                <w:tab w:val="left" w:pos="142"/>
              </w:tabs>
              <w:jc w:val="center"/>
              <w:rPr>
                <w:rFonts w:ascii="Arial" w:hAnsi="Arial" w:cs="Arial"/>
                <w:b/>
                <w:sz w:val="18"/>
              </w:rPr>
            </w:pPr>
            <w:r w:rsidRPr="001D2B86">
              <w:rPr>
                <w:rFonts w:ascii="Arial" w:hAnsi="Arial" w:cs="Arial"/>
                <w:b/>
                <w:sz w:val="18"/>
              </w:rPr>
              <w:t>31/12/2018</w:t>
            </w:r>
          </w:p>
        </w:tc>
      </w:tr>
      <w:tr w:rsidR="001D2B86" w:rsidRPr="00701F32" w14:paraId="4324D081" w14:textId="77777777" w:rsidTr="006E1AF7">
        <w:trPr>
          <w:trHeight w:val="261"/>
          <w:jc w:val="center"/>
        </w:trPr>
        <w:tc>
          <w:tcPr>
            <w:tcW w:w="2993" w:type="pct"/>
            <w:vAlign w:val="center"/>
          </w:tcPr>
          <w:p w14:paraId="12C8D155" w14:textId="77777777" w:rsidR="001D2B86" w:rsidRPr="00701F32" w:rsidRDefault="001D2B86" w:rsidP="00534414">
            <w:pPr>
              <w:ind w:left="154"/>
              <w:jc w:val="both"/>
              <w:rPr>
                <w:rFonts w:ascii="Arial" w:hAnsi="Arial" w:cs="Arial"/>
                <w:sz w:val="18"/>
              </w:rPr>
            </w:pPr>
            <w:r w:rsidRPr="00701F32">
              <w:rPr>
                <w:rFonts w:ascii="Arial" w:hAnsi="Arial" w:cs="Arial"/>
                <w:sz w:val="18"/>
              </w:rPr>
              <w:t>Cuentas corrientes en el BCRA (*)</w:t>
            </w:r>
          </w:p>
        </w:tc>
        <w:tc>
          <w:tcPr>
            <w:tcW w:w="942" w:type="pct"/>
            <w:vAlign w:val="bottom"/>
          </w:tcPr>
          <w:p w14:paraId="6DCDBFBA" w14:textId="7B4D3A6C" w:rsidR="001D2B86" w:rsidRPr="00534414" w:rsidRDefault="00E765BD" w:rsidP="00534414">
            <w:pPr>
              <w:tabs>
                <w:tab w:val="left" w:pos="142"/>
              </w:tabs>
              <w:jc w:val="right"/>
              <w:rPr>
                <w:rFonts w:ascii="Arial" w:hAnsi="Arial" w:cs="Arial"/>
                <w:sz w:val="18"/>
                <w:lang w:val="es-ES_tradnl"/>
              </w:rPr>
            </w:pPr>
            <w:r>
              <w:rPr>
                <w:rFonts w:ascii="Arial" w:hAnsi="Arial" w:cs="Arial"/>
                <w:sz w:val="18"/>
                <w:lang w:val="es-ES_tradnl"/>
              </w:rPr>
              <w:t>8.554.797</w:t>
            </w:r>
          </w:p>
        </w:tc>
        <w:tc>
          <w:tcPr>
            <w:tcW w:w="1065" w:type="pct"/>
            <w:vAlign w:val="bottom"/>
          </w:tcPr>
          <w:p w14:paraId="071EA2D1" w14:textId="4D4F1462" w:rsidR="001D2B86" w:rsidRPr="001D2B86" w:rsidRDefault="001D2B86" w:rsidP="00534414">
            <w:pPr>
              <w:tabs>
                <w:tab w:val="left" w:pos="142"/>
              </w:tabs>
              <w:jc w:val="right"/>
              <w:rPr>
                <w:rFonts w:ascii="Arial" w:hAnsi="Arial" w:cs="Arial"/>
                <w:sz w:val="18"/>
              </w:rPr>
            </w:pPr>
            <w:r w:rsidRPr="001D2B86">
              <w:rPr>
                <w:rFonts w:ascii="Arial" w:hAnsi="Arial" w:cs="Arial"/>
                <w:sz w:val="18"/>
                <w:lang w:val="es-ES_tradnl"/>
              </w:rPr>
              <w:t>14.874.753</w:t>
            </w:r>
          </w:p>
        </w:tc>
      </w:tr>
      <w:tr w:rsidR="000C271E" w:rsidRPr="00701F32" w14:paraId="3ADBDF25" w14:textId="77777777" w:rsidTr="006E1AF7">
        <w:trPr>
          <w:trHeight w:val="261"/>
          <w:jc w:val="center"/>
        </w:trPr>
        <w:tc>
          <w:tcPr>
            <w:tcW w:w="2993" w:type="pct"/>
            <w:vAlign w:val="center"/>
          </w:tcPr>
          <w:p w14:paraId="765FC85D" w14:textId="77777777" w:rsidR="001D2B86" w:rsidRPr="00701F32" w:rsidRDefault="001D2B86" w:rsidP="00534414">
            <w:pPr>
              <w:ind w:left="154"/>
              <w:jc w:val="both"/>
              <w:rPr>
                <w:rFonts w:ascii="Arial" w:hAnsi="Arial" w:cs="Arial"/>
                <w:sz w:val="18"/>
              </w:rPr>
            </w:pPr>
            <w:r w:rsidRPr="00701F32">
              <w:rPr>
                <w:rFonts w:ascii="Arial" w:hAnsi="Arial" w:cs="Arial"/>
                <w:sz w:val="18"/>
              </w:rPr>
              <w:t>Cuentas a la vista en el BCRA (*)</w:t>
            </w:r>
          </w:p>
        </w:tc>
        <w:tc>
          <w:tcPr>
            <w:tcW w:w="942" w:type="pct"/>
            <w:vAlign w:val="bottom"/>
          </w:tcPr>
          <w:p w14:paraId="251095AF" w14:textId="4A949957" w:rsidR="001D2B86" w:rsidRPr="00534414" w:rsidRDefault="00E765BD" w:rsidP="00534414">
            <w:pPr>
              <w:tabs>
                <w:tab w:val="left" w:pos="142"/>
              </w:tabs>
              <w:jc w:val="right"/>
              <w:rPr>
                <w:rFonts w:ascii="Arial" w:hAnsi="Arial" w:cs="Arial"/>
                <w:sz w:val="18"/>
                <w:lang w:val="es-ES_tradnl"/>
              </w:rPr>
            </w:pPr>
            <w:r>
              <w:rPr>
                <w:rFonts w:ascii="Arial" w:hAnsi="Arial" w:cs="Arial"/>
                <w:sz w:val="18"/>
                <w:lang w:val="es-ES_tradnl"/>
              </w:rPr>
              <w:t>7.909.938</w:t>
            </w:r>
          </w:p>
        </w:tc>
        <w:tc>
          <w:tcPr>
            <w:tcW w:w="1065" w:type="pct"/>
            <w:vAlign w:val="bottom"/>
          </w:tcPr>
          <w:p w14:paraId="146590C4" w14:textId="09413165" w:rsidR="001D2B86" w:rsidRPr="001D2B86" w:rsidRDefault="001D2B86" w:rsidP="00534414">
            <w:pPr>
              <w:tabs>
                <w:tab w:val="left" w:pos="142"/>
              </w:tabs>
              <w:jc w:val="right"/>
              <w:rPr>
                <w:rFonts w:ascii="Arial" w:hAnsi="Arial" w:cs="Arial"/>
                <w:sz w:val="18"/>
              </w:rPr>
            </w:pPr>
            <w:r w:rsidRPr="001D2B86">
              <w:rPr>
                <w:rFonts w:ascii="Arial" w:hAnsi="Arial" w:cs="Arial"/>
                <w:sz w:val="18"/>
                <w:lang w:val="es-ES_tradnl"/>
              </w:rPr>
              <w:t>12.889.135</w:t>
            </w:r>
          </w:p>
        </w:tc>
      </w:tr>
      <w:tr w:rsidR="001D2B86" w:rsidRPr="00701F32" w14:paraId="64F0C428" w14:textId="77777777" w:rsidTr="006E1AF7">
        <w:trPr>
          <w:trHeight w:val="261"/>
          <w:jc w:val="center"/>
        </w:trPr>
        <w:tc>
          <w:tcPr>
            <w:tcW w:w="2993" w:type="pct"/>
            <w:vAlign w:val="center"/>
          </w:tcPr>
          <w:p w14:paraId="200C5C25" w14:textId="77777777" w:rsidR="001D2B86" w:rsidRPr="00701F32" w:rsidRDefault="001D2B86" w:rsidP="00534414">
            <w:pPr>
              <w:ind w:left="154"/>
              <w:jc w:val="both"/>
              <w:rPr>
                <w:rFonts w:ascii="Arial" w:hAnsi="Arial" w:cs="Arial"/>
                <w:sz w:val="18"/>
              </w:rPr>
            </w:pPr>
            <w:r w:rsidRPr="00701F32">
              <w:rPr>
                <w:rFonts w:ascii="Arial" w:hAnsi="Arial" w:cs="Arial"/>
                <w:sz w:val="18"/>
              </w:rPr>
              <w:t>Cuentas especiales de garantías en el BCRA (*)</w:t>
            </w:r>
          </w:p>
        </w:tc>
        <w:tc>
          <w:tcPr>
            <w:tcW w:w="942" w:type="pct"/>
            <w:vAlign w:val="bottom"/>
          </w:tcPr>
          <w:p w14:paraId="42EDF451" w14:textId="43C45825" w:rsidR="001D2B86" w:rsidRPr="00534414" w:rsidRDefault="00E765BD" w:rsidP="00534414">
            <w:pPr>
              <w:tabs>
                <w:tab w:val="left" w:pos="142"/>
              </w:tabs>
              <w:jc w:val="right"/>
              <w:rPr>
                <w:rFonts w:ascii="Arial" w:hAnsi="Arial" w:cs="Arial"/>
                <w:sz w:val="18"/>
              </w:rPr>
            </w:pPr>
            <w:r>
              <w:rPr>
                <w:rFonts w:ascii="Arial" w:hAnsi="Arial" w:cs="Arial"/>
                <w:sz w:val="18"/>
              </w:rPr>
              <w:t>1.975.535</w:t>
            </w:r>
          </w:p>
        </w:tc>
        <w:tc>
          <w:tcPr>
            <w:tcW w:w="1065" w:type="pct"/>
            <w:vAlign w:val="bottom"/>
          </w:tcPr>
          <w:p w14:paraId="2A205CBE" w14:textId="084B1193" w:rsidR="001D2B86" w:rsidRPr="001D2B86" w:rsidRDefault="001D2B86" w:rsidP="00534414">
            <w:pPr>
              <w:tabs>
                <w:tab w:val="left" w:pos="142"/>
              </w:tabs>
              <w:jc w:val="right"/>
              <w:rPr>
                <w:rFonts w:ascii="Arial" w:hAnsi="Arial" w:cs="Arial"/>
                <w:sz w:val="18"/>
              </w:rPr>
            </w:pPr>
            <w:r w:rsidRPr="001D2B86">
              <w:rPr>
                <w:rFonts w:ascii="Arial" w:hAnsi="Arial" w:cs="Arial"/>
                <w:sz w:val="18"/>
                <w:lang w:val="es-ES_tradnl"/>
              </w:rPr>
              <w:t>1.256.084</w:t>
            </w:r>
          </w:p>
        </w:tc>
      </w:tr>
      <w:tr w:rsidR="00C15B7A" w:rsidRPr="00701F32" w14:paraId="10878391" w14:textId="77777777" w:rsidTr="006E1AF7">
        <w:trPr>
          <w:trHeight w:val="261"/>
          <w:jc w:val="center"/>
        </w:trPr>
        <w:tc>
          <w:tcPr>
            <w:tcW w:w="2993" w:type="pct"/>
            <w:vAlign w:val="center"/>
          </w:tcPr>
          <w:p w14:paraId="3817574A" w14:textId="1DE899A0" w:rsidR="00C15B7A" w:rsidRPr="00701F32" w:rsidRDefault="00C15B7A" w:rsidP="00C15B7A">
            <w:pPr>
              <w:jc w:val="both"/>
              <w:rPr>
                <w:rFonts w:ascii="Arial" w:hAnsi="Arial" w:cs="Arial"/>
                <w:sz w:val="18"/>
              </w:rPr>
            </w:pPr>
            <w:r>
              <w:rPr>
                <w:rFonts w:ascii="Arial" w:hAnsi="Arial" w:cs="Arial"/>
                <w:sz w:val="18"/>
              </w:rPr>
              <w:t xml:space="preserve">   Cuentas espec</w:t>
            </w:r>
            <w:r w:rsidR="006F02EA">
              <w:rPr>
                <w:rFonts w:ascii="Arial" w:hAnsi="Arial" w:cs="Arial"/>
                <w:sz w:val="18"/>
              </w:rPr>
              <w:t xml:space="preserve">iales </w:t>
            </w:r>
            <w:r>
              <w:rPr>
                <w:rFonts w:ascii="Arial" w:hAnsi="Arial" w:cs="Arial"/>
                <w:sz w:val="18"/>
              </w:rPr>
              <w:t>para acred</w:t>
            </w:r>
            <w:r w:rsidR="006F02EA">
              <w:rPr>
                <w:rFonts w:ascii="Arial" w:hAnsi="Arial" w:cs="Arial"/>
                <w:sz w:val="18"/>
              </w:rPr>
              <w:t>.</w:t>
            </w:r>
            <w:r>
              <w:rPr>
                <w:rFonts w:ascii="Arial" w:hAnsi="Arial" w:cs="Arial"/>
                <w:sz w:val="18"/>
              </w:rPr>
              <w:t xml:space="preserve">de hab.prev.(*)  </w:t>
            </w:r>
          </w:p>
        </w:tc>
        <w:tc>
          <w:tcPr>
            <w:tcW w:w="942" w:type="pct"/>
            <w:vAlign w:val="bottom"/>
          </w:tcPr>
          <w:p w14:paraId="727C91A3" w14:textId="27482EAF" w:rsidR="00C15B7A" w:rsidRDefault="00C15B7A" w:rsidP="00534414">
            <w:pPr>
              <w:tabs>
                <w:tab w:val="left" w:pos="142"/>
              </w:tabs>
              <w:jc w:val="right"/>
              <w:rPr>
                <w:rFonts w:ascii="Arial" w:hAnsi="Arial" w:cs="Arial"/>
                <w:sz w:val="18"/>
              </w:rPr>
            </w:pPr>
            <w:r>
              <w:rPr>
                <w:rFonts w:ascii="Arial" w:hAnsi="Arial" w:cs="Arial"/>
                <w:sz w:val="18"/>
              </w:rPr>
              <w:t>1.836</w:t>
            </w:r>
          </w:p>
        </w:tc>
        <w:tc>
          <w:tcPr>
            <w:tcW w:w="1065" w:type="pct"/>
            <w:vAlign w:val="bottom"/>
          </w:tcPr>
          <w:p w14:paraId="2FEC1FAA" w14:textId="1733B3E9" w:rsidR="00C15B7A" w:rsidRPr="001D2B86" w:rsidRDefault="00C15B7A" w:rsidP="00534414">
            <w:pPr>
              <w:tabs>
                <w:tab w:val="left" w:pos="142"/>
              </w:tabs>
              <w:jc w:val="right"/>
              <w:rPr>
                <w:rFonts w:ascii="Arial" w:hAnsi="Arial" w:cs="Arial"/>
                <w:sz w:val="18"/>
                <w:lang w:val="es-ES_tradnl"/>
              </w:rPr>
            </w:pPr>
            <w:r>
              <w:rPr>
                <w:rFonts w:ascii="Arial" w:hAnsi="Arial" w:cs="Arial"/>
                <w:sz w:val="18"/>
                <w:lang w:val="es-ES_tradnl"/>
              </w:rPr>
              <w:t>-</w:t>
            </w:r>
          </w:p>
        </w:tc>
      </w:tr>
      <w:tr w:rsidR="001D2B86" w:rsidRPr="00701F32" w14:paraId="17867383" w14:textId="77777777" w:rsidTr="006E1AF7">
        <w:trPr>
          <w:trHeight w:val="159"/>
          <w:jc w:val="center"/>
        </w:trPr>
        <w:tc>
          <w:tcPr>
            <w:tcW w:w="2993" w:type="pct"/>
            <w:vAlign w:val="center"/>
          </w:tcPr>
          <w:p w14:paraId="1C168E55" w14:textId="77777777" w:rsidR="001D2B86" w:rsidRPr="00701F32" w:rsidRDefault="001D2B86" w:rsidP="00534414">
            <w:pPr>
              <w:jc w:val="both"/>
              <w:rPr>
                <w:rFonts w:ascii="Arial" w:hAnsi="Arial" w:cs="Arial"/>
                <w:b/>
                <w:sz w:val="18"/>
              </w:rPr>
            </w:pPr>
            <w:r w:rsidRPr="00701F32">
              <w:rPr>
                <w:rFonts w:ascii="Arial" w:hAnsi="Arial" w:cs="Arial"/>
                <w:b/>
                <w:sz w:val="18"/>
              </w:rPr>
              <w:t xml:space="preserve">   Total</w:t>
            </w:r>
          </w:p>
        </w:tc>
        <w:tc>
          <w:tcPr>
            <w:tcW w:w="942" w:type="pct"/>
            <w:vAlign w:val="bottom"/>
          </w:tcPr>
          <w:p w14:paraId="6E586362" w14:textId="664C9F05" w:rsidR="001D2B86" w:rsidRPr="00534414" w:rsidRDefault="00E765BD" w:rsidP="00606E2A">
            <w:pPr>
              <w:tabs>
                <w:tab w:val="left" w:pos="142"/>
              </w:tabs>
              <w:jc w:val="right"/>
              <w:rPr>
                <w:rFonts w:ascii="Arial" w:hAnsi="Arial" w:cs="Arial"/>
                <w:b/>
                <w:bCs/>
                <w:sz w:val="18"/>
              </w:rPr>
            </w:pPr>
            <w:r>
              <w:rPr>
                <w:rFonts w:ascii="Arial" w:hAnsi="Arial" w:cs="Arial"/>
                <w:b/>
                <w:bCs/>
                <w:sz w:val="18"/>
              </w:rPr>
              <w:t>18.</w:t>
            </w:r>
            <w:r w:rsidR="00F83871">
              <w:rPr>
                <w:rFonts w:ascii="Arial" w:hAnsi="Arial" w:cs="Arial"/>
                <w:b/>
                <w:bCs/>
                <w:sz w:val="18"/>
              </w:rPr>
              <w:t>4</w:t>
            </w:r>
            <w:r>
              <w:rPr>
                <w:rFonts w:ascii="Arial" w:hAnsi="Arial" w:cs="Arial"/>
                <w:b/>
                <w:bCs/>
                <w:sz w:val="18"/>
              </w:rPr>
              <w:t>42.</w:t>
            </w:r>
            <w:r w:rsidR="002C13FD">
              <w:rPr>
                <w:rFonts w:ascii="Arial" w:hAnsi="Arial" w:cs="Arial"/>
                <w:b/>
                <w:bCs/>
                <w:sz w:val="18"/>
              </w:rPr>
              <w:t>1</w:t>
            </w:r>
            <w:r>
              <w:rPr>
                <w:rFonts w:ascii="Arial" w:hAnsi="Arial" w:cs="Arial"/>
                <w:b/>
                <w:bCs/>
                <w:sz w:val="18"/>
              </w:rPr>
              <w:t>0</w:t>
            </w:r>
            <w:r w:rsidR="00B7160F">
              <w:rPr>
                <w:rFonts w:ascii="Arial" w:hAnsi="Arial" w:cs="Arial"/>
                <w:b/>
                <w:bCs/>
                <w:sz w:val="18"/>
              </w:rPr>
              <w:t>6</w:t>
            </w:r>
          </w:p>
        </w:tc>
        <w:tc>
          <w:tcPr>
            <w:tcW w:w="1065" w:type="pct"/>
            <w:vAlign w:val="bottom"/>
          </w:tcPr>
          <w:p w14:paraId="348ECE88" w14:textId="3DC29EF1" w:rsidR="001D2B86" w:rsidRPr="001D2B86" w:rsidRDefault="001D2B86" w:rsidP="00606E2A">
            <w:pPr>
              <w:tabs>
                <w:tab w:val="left" w:pos="142"/>
              </w:tabs>
              <w:jc w:val="right"/>
              <w:rPr>
                <w:rFonts w:ascii="Arial" w:hAnsi="Arial" w:cs="Arial"/>
                <w:b/>
                <w:sz w:val="18"/>
              </w:rPr>
            </w:pPr>
            <w:r w:rsidRPr="001D2B86">
              <w:rPr>
                <w:rFonts w:ascii="Arial" w:hAnsi="Arial" w:cs="Arial"/>
                <w:b/>
                <w:sz w:val="18"/>
                <w:lang w:val="es-ES_tradnl"/>
              </w:rPr>
              <w:t>29.019.972</w:t>
            </w:r>
          </w:p>
        </w:tc>
      </w:tr>
    </w:tbl>
    <w:p w14:paraId="1C0A2F53" w14:textId="409B4CB2" w:rsidR="00A06BE9" w:rsidRPr="00701F32" w:rsidRDefault="00606E2A" w:rsidP="00A06BE9">
      <w:pPr>
        <w:tabs>
          <w:tab w:val="left" w:pos="142"/>
        </w:tabs>
        <w:jc w:val="both"/>
        <w:rPr>
          <w:rFonts w:ascii="Arial" w:hAnsi="Arial" w:cs="Arial"/>
          <w:sz w:val="20"/>
        </w:rPr>
      </w:pPr>
      <w:r>
        <w:rPr>
          <w:rFonts w:ascii="Arial" w:hAnsi="Arial" w:cs="Arial"/>
          <w:sz w:val="20"/>
        </w:rPr>
        <w:tab/>
      </w:r>
      <w:r>
        <w:rPr>
          <w:rFonts w:ascii="Arial" w:hAnsi="Arial" w:cs="Arial"/>
          <w:sz w:val="20"/>
        </w:rPr>
        <w:tab/>
      </w:r>
    </w:p>
    <w:p w14:paraId="4DC6489C" w14:textId="77777777" w:rsidR="00A06BE9" w:rsidRPr="00701F32" w:rsidRDefault="00A06BE9" w:rsidP="00A06BE9">
      <w:pPr>
        <w:tabs>
          <w:tab w:val="left" w:pos="142"/>
        </w:tabs>
        <w:jc w:val="both"/>
        <w:rPr>
          <w:rFonts w:ascii="Arial" w:hAnsi="Arial" w:cs="Arial"/>
          <w:sz w:val="20"/>
        </w:rPr>
      </w:pPr>
      <w:r w:rsidRPr="00701F32">
        <w:rPr>
          <w:rFonts w:ascii="Arial" w:hAnsi="Arial" w:cs="Arial"/>
          <w:sz w:val="20"/>
        </w:rPr>
        <w:t xml:space="preserve"> (*) Corresponden a saldos según extractos bancarios.</w:t>
      </w:r>
    </w:p>
    <w:p w14:paraId="4ADC711F" w14:textId="77777777" w:rsidR="00A06BE9" w:rsidRPr="00701F32" w:rsidRDefault="00A06BE9" w:rsidP="00A06BE9">
      <w:pPr>
        <w:tabs>
          <w:tab w:val="left" w:pos="142"/>
        </w:tabs>
        <w:jc w:val="both"/>
        <w:rPr>
          <w:rFonts w:ascii="Arial" w:hAnsi="Arial" w:cs="Arial"/>
          <w:sz w:val="20"/>
        </w:rPr>
      </w:pPr>
    </w:p>
    <w:p w14:paraId="05EC940C" w14:textId="56342C98" w:rsidR="00A06BE9" w:rsidRPr="00701F32" w:rsidRDefault="00A06BE9" w:rsidP="00A06BE9">
      <w:pPr>
        <w:tabs>
          <w:tab w:val="left" w:pos="142"/>
        </w:tabs>
        <w:jc w:val="both"/>
        <w:rPr>
          <w:rFonts w:ascii="Arial" w:hAnsi="Arial" w:cs="Arial"/>
          <w:sz w:val="20"/>
        </w:rPr>
      </w:pPr>
      <w:r w:rsidRPr="00701F32">
        <w:rPr>
          <w:rFonts w:ascii="Arial" w:hAnsi="Arial" w:cs="Arial"/>
          <w:sz w:val="20"/>
        </w:rPr>
        <w:t>Cabe señalar que en dichas fechas la Entidad no presentaba incumplimientos en la integración del efectivo mínimo</w:t>
      </w:r>
      <w:r w:rsidR="004B00AC" w:rsidRPr="00701F32">
        <w:rPr>
          <w:rFonts w:ascii="Arial" w:hAnsi="Arial" w:cs="Arial"/>
          <w:sz w:val="20"/>
        </w:rPr>
        <w:t>.</w:t>
      </w:r>
      <w:r w:rsidR="00976DC6" w:rsidRPr="00701F32">
        <w:rPr>
          <w:rFonts w:ascii="Arial" w:hAnsi="Arial" w:cs="Arial"/>
          <w:sz w:val="20"/>
        </w:rPr>
        <w:t xml:space="preserve"> </w:t>
      </w:r>
    </w:p>
    <w:p w14:paraId="5FF84568" w14:textId="77777777" w:rsidR="00D766AC" w:rsidRPr="00701F32" w:rsidRDefault="00D766AC" w:rsidP="00A06BE9">
      <w:pPr>
        <w:tabs>
          <w:tab w:val="left" w:pos="142"/>
        </w:tabs>
        <w:jc w:val="both"/>
        <w:rPr>
          <w:rFonts w:ascii="Arial" w:hAnsi="Arial" w:cs="Arial"/>
          <w:b/>
          <w:sz w:val="20"/>
        </w:rPr>
      </w:pPr>
    </w:p>
    <w:p w14:paraId="4A4EBE47" w14:textId="1A0380A5" w:rsidR="00B36E45" w:rsidRPr="00701F32" w:rsidRDefault="00032EC8" w:rsidP="00B36E45">
      <w:pPr>
        <w:tabs>
          <w:tab w:val="left" w:pos="142"/>
        </w:tabs>
        <w:jc w:val="both"/>
        <w:rPr>
          <w:rFonts w:ascii="Arial" w:hAnsi="Arial" w:cs="Arial"/>
          <w:b/>
          <w:sz w:val="20"/>
        </w:rPr>
      </w:pPr>
      <w:r>
        <w:rPr>
          <w:rFonts w:ascii="Arial" w:hAnsi="Arial" w:cs="Arial"/>
          <w:b/>
          <w:sz w:val="20"/>
        </w:rPr>
        <w:t>14</w:t>
      </w:r>
      <w:r w:rsidR="00B36E45" w:rsidRPr="00701F32">
        <w:rPr>
          <w:rFonts w:ascii="Arial" w:hAnsi="Arial" w:cs="Arial"/>
          <w:b/>
          <w:sz w:val="20"/>
        </w:rPr>
        <w:t>.7 Sanciones aplicadas a la Entidad financiera y sumarios iniciados por el BCRA</w:t>
      </w:r>
    </w:p>
    <w:p w14:paraId="49E67BB0" w14:textId="77777777" w:rsidR="00B36E45" w:rsidRPr="00701F32" w:rsidRDefault="00B36E45" w:rsidP="00B36E45">
      <w:pPr>
        <w:tabs>
          <w:tab w:val="left" w:pos="142"/>
        </w:tabs>
        <w:jc w:val="both"/>
        <w:rPr>
          <w:rFonts w:ascii="Arial" w:hAnsi="Arial" w:cs="Arial"/>
          <w:sz w:val="20"/>
        </w:rPr>
      </w:pPr>
    </w:p>
    <w:p w14:paraId="519D7229" w14:textId="77777777" w:rsidR="00B91F78" w:rsidRPr="00A23BBB" w:rsidRDefault="00B91F78" w:rsidP="00B91F78">
      <w:pPr>
        <w:tabs>
          <w:tab w:val="left" w:pos="142"/>
        </w:tabs>
        <w:jc w:val="both"/>
        <w:rPr>
          <w:rFonts w:ascii="Arial" w:hAnsi="Arial" w:cs="Arial"/>
          <w:b/>
          <w:sz w:val="20"/>
        </w:rPr>
      </w:pPr>
      <w:bookmarkStart w:id="22" w:name="_Hlk14879279"/>
      <w:r w:rsidRPr="00A23BBB">
        <w:rPr>
          <w:rFonts w:ascii="Arial" w:hAnsi="Arial" w:cs="Arial"/>
          <w:b/>
          <w:sz w:val="20"/>
        </w:rPr>
        <w:t xml:space="preserve">1. </w:t>
      </w:r>
      <w:r w:rsidRPr="00A23BBB">
        <w:rPr>
          <w:rFonts w:ascii="Arial" w:hAnsi="Arial" w:cs="Arial"/>
          <w:b/>
          <w:sz w:val="20"/>
          <w:u w:val="single"/>
        </w:rPr>
        <w:t>Sumarios iniciados por el BCRA</w:t>
      </w:r>
    </w:p>
    <w:p w14:paraId="2031783F" w14:textId="77777777" w:rsidR="00B91F78" w:rsidRPr="00701F32" w:rsidRDefault="00B91F78" w:rsidP="00B91F78">
      <w:pPr>
        <w:tabs>
          <w:tab w:val="left" w:pos="142"/>
        </w:tabs>
        <w:jc w:val="both"/>
        <w:rPr>
          <w:rFonts w:ascii="Arial" w:hAnsi="Arial" w:cs="Arial"/>
          <w:sz w:val="20"/>
        </w:rPr>
      </w:pPr>
    </w:p>
    <w:p w14:paraId="24DECB33" w14:textId="77777777" w:rsidR="00B91F78" w:rsidRPr="00701F32" w:rsidRDefault="00B91F78" w:rsidP="00B91F78">
      <w:pPr>
        <w:tabs>
          <w:tab w:val="left" w:pos="142"/>
        </w:tabs>
        <w:jc w:val="both"/>
        <w:rPr>
          <w:rFonts w:ascii="Arial" w:hAnsi="Arial" w:cs="Arial"/>
          <w:sz w:val="20"/>
        </w:rPr>
      </w:pPr>
      <w:r>
        <w:rPr>
          <w:rFonts w:ascii="Arial" w:hAnsi="Arial" w:cs="Arial"/>
          <w:sz w:val="20"/>
        </w:rPr>
        <w:t>1</w:t>
      </w:r>
      <w:r w:rsidRPr="00701F32">
        <w:rPr>
          <w:rFonts w:ascii="Arial" w:hAnsi="Arial" w:cs="Arial"/>
          <w:sz w:val="20"/>
        </w:rPr>
        <w:t>.1. Banco Central de la República Argentina: “Supervielle S/ Sumario Penal Cambiario. Expte. Nº 100.936/07 (3928)”:</w:t>
      </w:r>
    </w:p>
    <w:p w14:paraId="122633DB" w14:textId="77777777" w:rsidR="00B91F78" w:rsidRPr="00701F32" w:rsidRDefault="00B91F78" w:rsidP="00B91F78">
      <w:pPr>
        <w:tabs>
          <w:tab w:val="left" w:pos="142"/>
        </w:tabs>
        <w:jc w:val="both"/>
        <w:rPr>
          <w:rFonts w:ascii="Arial" w:hAnsi="Arial" w:cs="Arial"/>
          <w:sz w:val="20"/>
        </w:rPr>
      </w:pPr>
    </w:p>
    <w:p w14:paraId="5EA0013E" w14:textId="77777777" w:rsidR="00B91F78" w:rsidRPr="00701F32" w:rsidRDefault="00B91F78" w:rsidP="00B91F78">
      <w:pPr>
        <w:tabs>
          <w:tab w:val="left" w:pos="142"/>
        </w:tabs>
        <w:jc w:val="both"/>
        <w:rPr>
          <w:rFonts w:ascii="Arial" w:hAnsi="Arial" w:cs="Arial"/>
          <w:sz w:val="20"/>
        </w:rPr>
      </w:pPr>
      <w:r w:rsidRPr="00701F32">
        <w:rPr>
          <w:rFonts w:ascii="Arial" w:hAnsi="Arial" w:cs="Arial"/>
          <w:sz w:val="20"/>
          <w:u w:val="single"/>
        </w:rPr>
        <w:t>Fecha de notificación y N° de sumario</w:t>
      </w:r>
      <w:r w:rsidRPr="00701F32">
        <w:rPr>
          <w:rFonts w:ascii="Arial" w:hAnsi="Arial" w:cs="Arial"/>
          <w:sz w:val="20"/>
        </w:rPr>
        <w:t>: iniciado por Resolución N° 535 del 8 de septiembre de 2008.</w:t>
      </w:r>
    </w:p>
    <w:p w14:paraId="3B5C9991" w14:textId="77777777" w:rsidR="00B91F78" w:rsidRPr="00701F32" w:rsidRDefault="00B91F78" w:rsidP="00B91F78">
      <w:pPr>
        <w:tabs>
          <w:tab w:val="left" w:pos="142"/>
        </w:tabs>
        <w:jc w:val="both"/>
        <w:rPr>
          <w:rFonts w:ascii="Arial" w:hAnsi="Arial" w:cs="Arial"/>
          <w:sz w:val="20"/>
        </w:rPr>
      </w:pPr>
      <w:r w:rsidRPr="00701F32">
        <w:rPr>
          <w:rFonts w:ascii="Arial" w:hAnsi="Arial" w:cs="Arial"/>
          <w:sz w:val="20"/>
          <w:u w:val="single"/>
        </w:rPr>
        <w:t>Cargo imputado</w:t>
      </w:r>
      <w:r w:rsidRPr="00701F32">
        <w:rPr>
          <w:rFonts w:ascii="Arial" w:hAnsi="Arial" w:cs="Arial"/>
          <w:sz w:val="20"/>
        </w:rPr>
        <w:t>: Exceso en venta de dólares estadounidenses.</w:t>
      </w:r>
    </w:p>
    <w:p w14:paraId="6A7C14AF" w14:textId="77777777" w:rsidR="00B91F78" w:rsidRPr="00701F32" w:rsidRDefault="00B91F78" w:rsidP="00B91F78">
      <w:pPr>
        <w:tabs>
          <w:tab w:val="left" w:pos="142"/>
        </w:tabs>
        <w:jc w:val="both"/>
        <w:rPr>
          <w:rFonts w:ascii="Arial" w:hAnsi="Arial" w:cs="Arial"/>
          <w:sz w:val="20"/>
        </w:rPr>
      </w:pPr>
      <w:r w:rsidRPr="00701F32">
        <w:rPr>
          <w:rFonts w:ascii="Arial" w:hAnsi="Arial" w:cs="Arial"/>
          <w:sz w:val="20"/>
          <w:u w:val="single"/>
        </w:rPr>
        <w:t>Personas Sumariadas</w:t>
      </w:r>
      <w:r w:rsidRPr="00701F32">
        <w:rPr>
          <w:rFonts w:ascii="Arial" w:hAnsi="Arial" w:cs="Arial"/>
          <w:sz w:val="20"/>
        </w:rPr>
        <w:t>: Ricardo Pablo Villaverde, Raúl Oscar Pastor, Christian Bellanti, Fernando Suarez y de las Sras. Andrea Marisa Suarez, Eleonora Gabriela Laurini de Morolli.</w:t>
      </w:r>
    </w:p>
    <w:p w14:paraId="35326294" w14:textId="77777777" w:rsidR="00B91F78" w:rsidRPr="00701F32" w:rsidRDefault="00B91F78" w:rsidP="00B91F78">
      <w:pPr>
        <w:tabs>
          <w:tab w:val="left" w:pos="142"/>
        </w:tabs>
        <w:jc w:val="both"/>
        <w:rPr>
          <w:rFonts w:ascii="Arial" w:hAnsi="Arial" w:cs="Arial"/>
          <w:sz w:val="20"/>
        </w:rPr>
      </w:pPr>
      <w:r w:rsidRPr="00701F32">
        <w:rPr>
          <w:rFonts w:ascii="Arial" w:hAnsi="Arial" w:cs="Arial"/>
          <w:sz w:val="20"/>
          <w:u w:val="single"/>
        </w:rPr>
        <w:t>Estado Actual</w:t>
      </w:r>
      <w:r w:rsidRPr="00701F32">
        <w:rPr>
          <w:rFonts w:ascii="Arial" w:hAnsi="Arial" w:cs="Arial"/>
          <w:sz w:val="20"/>
        </w:rPr>
        <w:t>: con fecha 25 de junio de 2013 el BCRA resolvió no hacer lugar a la excepción de falta de acción por prescripción de la acción penal interpuesta como así tampoco a la aplicación del principio de ley penal más benigna; contra ello la Entidad presentó recurso de apelación. Con fecha 9 de febrero de 2015, se resolvió no conceder el recurso de apelación interpuesto.</w:t>
      </w:r>
    </w:p>
    <w:p w14:paraId="68FC9BE8" w14:textId="77777777" w:rsidR="00B91F78" w:rsidRPr="00701F32" w:rsidRDefault="00B91F78" w:rsidP="00B91F78">
      <w:pPr>
        <w:tabs>
          <w:tab w:val="left" w:pos="142"/>
        </w:tabs>
        <w:jc w:val="both"/>
        <w:rPr>
          <w:rFonts w:ascii="Arial" w:hAnsi="Arial" w:cs="Arial"/>
          <w:sz w:val="20"/>
        </w:rPr>
      </w:pPr>
    </w:p>
    <w:p w14:paraId="3DF612CF" w14:textId="77777777" w:rsidR="00B91F78" w:rsidRDefault="00B91F78" w:rsidP="00B91F78">
      <w:pPr>
        <w:tabs>
          <w:tab w:val="left" w:pos="142"/>
        </w:tabs>
        <w:jc w:val="both"/>
        <w:rPr>
          <w:rFonts w:ascii="Arial" w:hAnsi="Arial" w:cs="Arial"/>
          <w:sz w:val="20"/>
        </w:rPr>
      </w:pPr>
      <w:r w:rsidRPr="00701F32">
        <w:rPr>
          <w:rFonts w:ascii="Arial" w:hAnsi="Arial" w:cs="Arial"/>
          <w:sz w:val="20"/>
        </w:rPr>
        <w:t>A raíz de ello, con fecha 20 de febrero de 2015, la Entidad interpuso recurso de queja el cual quedó radicado en el Juzgado Nacional en lo Penal Económico N° 5, bajo el N° 111/15. Con fecha 13 de abril de 2015 dicho Juzgado resolvió rechazar la queja, de modo que el 24 de abril de 2015 se devolvió el expediente al BCRA. Con fecha 3 de noviembre de 2015 se presentó ante el BCRA el memorial correspondiente en los términos del art. 8 inc c) de la Ley de Régimen Penal Cambiario.</w:t>
      </w:r>
    </w:p>
    <w:p w14:paraId="243C6EE2" w14:textId="77777777" w:rsidR="00B91F78" w:rsidRPr="00701F32" w:rsidRDefault="00B91F78" w:rsidP="00B91F78">
      <w:pPr>
        <w:tabs>
          <w:tab w:val="left" w:pos="142"/>
        </w:tabs>
        <w:jc w:val="both"/>
        <w:rPr>
          <w:rFonts w:ascii="Arial" w:hAnsi="Arial" w:cs="Arial"/>
          <w:sz w:val="20"/>
        </w:rPr>
      </w:pPr>
    </w:p>
    <w:p w14:paraId="3D76AC38" w14:textId="77777777" w:rsidR="00B91F78" w:rsidRPr="00701F32" w:rsidRDefault="00B91F78" w:rsidP="00B91F78">
      <w:pPr>
        <w:tabs>
          <w:tab w:val="left" w:pos="142"/>
        </w:tabs>
        <w:jc w:val="both"/>
        <w:rPr>
          <w:rFonts w:ascii="Arial" w:hAnsi="Arial" w:cs="Arial"/>
          <w:sz w:val="20"/>
        </w:rPr>
      </w:pPr>
      <w:r w:rsidRPr="00701F32">
        <w:rPr>
          <w:rFonts w:ascii="Arial" w:hAnsi="Arial" w:cs="Arial"/>
          <w:sz w:val="20"/>
        </w:rPr>
        <w:t xml:space="preserve">Luego de ello, concluido el trámite del sumario cambiario de referencia en el Banco Central de la República Argentina, ese organismo –según lo dispuesto por el art. 8° de la Ley del Régimen Penal Cambiario -, se elevó para el sorteo a la Excelentísima Cámara de Apelaciones del Fuero Penal económico en estado de conclusa para definitiva a fin de que se continuara la tramitación de conformidad con lo dispuesto por el art.9 de la ley 19.359 (T.O. por Decreto N° 480/95). Quedando el expediente radicado por ante el Juzgado Nacional en lo Penal Económico N° 5, Secretaría 9 bajo el N° 121/16 donde el 25 de agosto de 2016 se acompañó a audiencia art. 41 a Suarez Andrea, Morolli y Bellanti. Por Fernando Suarez, se dejó escrito haciendo constar que aún no se ha podido contactar. </w:t>
      </w:r>
      <w:r>
        <w:rPr>
          <w:rFonts w:ascii="Arial" w:hAnsi="Arial" w:cs="Arial"/>
          <w:sz w:val="20"/>
        </w:rPr>
        <w:t>A la fecha</w:t>
      </w:r>
      <w:r w:rsidRPr="00701F32">
        <w:rPr>
          <w:rFonts w:ascii="Arial" w:hAnsi="Arial" w:cs="Arial"/>
          <w:sz w:val="20"/>
        </w:rPr>
        <w:t xml:space="preserve"> no hay novedades.</w:t>
      </w:r>
    </w:p>
    <w:p w14:paraId="0CB9AB33" w14:textId="77777777" w:rsidR="00B91F78" w:rsidRPr="00701F32" w:rsidRDefault="00B91F78" w:rsidP="00B91F78">
      <w:pPr>
        <w:tabs>
          <w:tab w:val="left" w:pos="142"/>
        </w:tabs>
        <w:jc w:val="both"/>
        <w:rPr>
          <w:rFonts w:ascii="Arial" w:hAnsi="Arial" w:cs="Arial"/>
          <w:sz w:val="20"/>
        </w:rPr>
      </w:pPr>
    </w:p>
    <w:p w14:paraId="49E9889C" w14:textId="77777777" w:rsidR="00B91F78" w:rsidRPr="00701F32" w:rsidRDefault="00B91F78" w:rsidP="00B91F78">
      <w:pPr>
        <w:tabs>
          <w:tab w:val="left" w:pos="142"/>
        </w:tabs>
        <w:jc w:val="both"/>
        <w:rPr>
          <w:rFonts w:ascii="Arial" w:hAnsi="Arial" w:cs="Arial"/>
          <w:sz w:val="20"/>
        </w:rPr>
      </w:pPr>
      <w:r w:rsidRPr="00701F32">
        <w:rPr>
          <w:rFonts w:ascii="Arial" w:hAnsi="Arial" w:cs="Arial"/>
          <w:sz w:val="20"/>
        </w:rPr>
        <w:t>La defensa de Ricardo Pablo Villaverde planteó la extinción de la acción penal por aplicación de la ley penal más benigna que fue rechazada por el Juzgado, y al apelar, la Sala A de la Cámara Nacional de Apelaciones en lo Penal Económico revocó dicha resolución e hizo lugar al planteo. El Ministerio Público Fiscal presentó Recurso Extraordinario contra la resolución de Cámara que, con fecha 21 de noviembre de 2017, fue rechazado ante lo cual el Fiscal presentó queja ante la Corte Suprema de Justicia de la Nación que en este momento se encuentra a estudio.</w:t>
      </w:r>
    </w:p>
    <w:p w14:paraId="1F2AB4A5" w14:textId="77777777" w:rsidR="00B91F78" w:rsidRPr="00701F32" w:rsidRDefault="00B91F78" w:rsidP="00B91F78">
      <w:pPr>
        <w:tabs>
          <w:tab w:val="left" w:pos="142"/>
        </w:tabs>
        <w:jc w:val="both"/>
        <w:rPr>
          <w:rFonts w:ascii="Arial" w:hAnsi="Arial" w:cs="Arial"/>
          <w:sz w:val="20"/>
        </w:rPr>
      </w:pPr>
    </w:p>
    <w:p w14:paraId="4460EDF7" w14:textId="77777777" w:rsidR="00B91F78" w:rsidRPr="00701F32" w:rsidRDefault="00B91F78" w:rsidP="00B91F78">
      <w:pPr>
        <w:tabs>
          <w:tab w:val="left" w:pos="142"/>
        </w:tabs>
        <w:jc w:val="both"/>
        <w:rPr>
          <w:rFonts w:ascii="Arial" w:hAnsi="Arial" w:cs="Arial"/>
          <w:sz w:val="20"/>
        </w:rPr>
      </w:pPr>
      <w:bookmarkStart w:id="23" w:name="_Hlk23169026"/>
      <w:r>
        <w:rPr>
          <w:rFonts w:ascii="Arial" w:hAnsi="Arial" w:cs="Arial"/>
          <w:sz w:val="20"/>
        </w:rPr>
        <w:t>1</w:t>
      </w:r>
      <w:r w:rsidRPr="00701F32">
        <w:rPr>
          <w:rFonts w:ascii="Arial" w:hAnsi="Arial" w:cs="Arial"/>
          <w:sz w:val="20"/>
        </w:rPr>
        <w:t>.2. Supervielle S/Sumario Penal Cambiario Expte. N° 48.225/07 (5424).</w:t>
      </w:r>
    </w:p>
    <w:bookmarkEnd w:id="23"/>
    <w:p w14:paraId="5595F645" w14:textId="77777777" w:rsidR="00B91F78" w:rsidRPr="00701F32" w:rsidRDefault="00B91F78" w:rsidP="00B91F78">
      <w:pPr>
        <w:tabs>
          <w:tab w:val="left" w:pos="142"/>
        </w:tabs>
        <w:jc w:val="both"/>
        <w:rPr>
          <w:rFonts w:ascii="Arial" w:hAnsi="Arial" w:cs="Arial"/>
          <w:sz w:val="20"/>
        </w:rPr>
      </w:pPr>
    </w:p>
    <w:p w14:paraId="7515913A" w14:textId="77777777" w:rsidR="00B91F78" w:rsidRPr="00701F32" w:rsidRDefault="00B91F78" w:rsidP="00B91F78">
      <w:pPr>
        <w:tabs>
          <w:tab w:val="left" w:pos="142"/>
        </w:tabs>
        <w:jc w:val="both"/>
        <w:rPr>
          <w:rFonts w:ascii="Arial" w:hAnsi="Arial" w:cs="Arial"/>
          <w:sz w:val="20"/>
        </w:rPr>
      </w:pPr>
      <w:r w:rsidRPr="00701F32">
        <w:rPr>
          <w:rFonts w:ascii="Arial" w:hAnsi="Arial" w:cs="Arial"/>
          <w:sz w:val="20"/>
          <w:u w:val="single"/>
        </w:rPr>
        <w:t>Fecha de inicio</w:t>
      </w:r>
      <w:r w:rsidRPr="00701F32">
        <w:rPr>
          <w:rFonts w:ascii="Arial" w:hAnsi="Arial" w:cs="Arial"/>
          <w:sz w:val="20"/>
        </w:rPr>
        <w:t>: 31 de julio de 2013.</w:t>
      </w:r>
    </w:p>
    <w:p w14:paraId="577147F1" w14:textId="77777777" w:rsidR="00B91F78" w:rsidRPr="00701F32" w:rsidRDefault="00B91F78" w:rsidP="00B91F78">
      <w:pPr>
        <w:tabs>
          <w:tab w:val="left" w:pos="142"/>
        </w:tabs>
        <w:jc w:val="both"/>
        <w:rPr>
          <w:rFonts w:ascii="Arial" w:hAnsi="Arial" w:cs="Arial"/>
          <w:sz w:val="20"/>
        </w:rPr>
      </w:pPr>
      <w:r w:rsidRPr="00701F32">
        <w:rPr>
          <w:rFonts w:ascii="Arial" w:hAnsi="Arial" w:cs="Arial"/>
          <w:sz w:val="20"/>
          <w:u w:val="single"/>
        </w:rPr>
        <w:t>Personas Sumariadas</w:t>
      </w:r>
      <w:r w:rsidRPr="00701F32">
        <w:rPr>
          <w:rFonts w:ascii="Arial" w:hAnsi="Arial" w:cs="Arial"/>
          <w:sz w:val="20"/>
        </w:rPr>
        <w:t>: Defensa de la Entidad y de los señores Jorge Di Péntima y Alberto Cid.</w:t>
      </w:r>
    </w:p>
    <w:p w14:paraId="2FE1DBB8" w14:textId="77777777" w:rsidR="00B91F78" w:rsidRPr="00701F32" w:rsidRDefault="00B91F78" w:rsidP="00B91F78">
      <w:pPr>
        <w:tabs>
          <w:tab w:val="left" w:pos="142"/>
        </w:tabs>
        <w:jc w:val="both"/>
        <w:rPr>
          <w:rFonts w:ascii="Arial" w:hAnsi="Arial" w:cs="Arial"/>
          <w:sz w:val="20"/>
        </w:rPr>
      </w:pPr>
      <w:r w:rsidRPr="00701F32">
        <w:rPr>
          <w:rFonts w:ascii="Arial" w:hAnsi="Arial" w:cs="Arial"/>
          <w:sz w:val="20"/>
          <w:u w:val="single"/>
        </w:rPr>
        <w:t>Cargo Imputado</w:t>
      </w:r>
      <w:r w:rsidRPr="00701F32">
        <w:rPr>
          <w:rFonts w:ascii="Arial" w:hAnsi="Arial" w:cs="Arial"/>
          <w:sz w:val="20"/>
        </w:rPr>
        <w:t>: Venta de dólares a Inhabilitados.</w:t>
      </w:r>
    </w:p>
    <w:p w14:paraId="06B6DC4B" w14:textId="77777777" w:rsidR="00B91F78" w:rsidRDefault="00B91F78" w:rsidP="00B91F78">
      <w:pPr>
        <w:tabs>
          <w:tab w:val="left" w:pos="142"/>
        </w:tabs>
        <w:jc w:val="both"/>
        <w:rPr>
          <w:rFonts w:ascii="Arial" w:hAnsi="Arial" w:cs="Arial"/>
          <w:b/>
          <w:sz w:val="20"/>
        </w:rPr>
      </w:pPr>
      <w:r w:rsidRPr="00701F32">
        <w:rPr>
          <w:rFonts w:ascii="Arial" w:hAnsi="Arial" w:cs="Arial"/>
          <w:sz w:val="20"/>
          <w:u w:val="single"/>
        </w:rPr>
        <w:t>Estado Actual</w:t>
      </w:r>
      <w:r w:rsidRPr="00701F32">
        <w:rPr>
          <w:rFonts w:ascii="Arial" w:hAnsi="Arial" w:cs="Arial"/>
          <w:sz w:val="20"/>
        </w:rPr>
        <w:t>: con fecha 12 de febrero de 2015 el BCRA resolvió abrir el presente sumario a prueba por el término de 20 días hábiles bancarios, en los términos del artículo 8° de la Ley del Régimen Penal Cambiario. En ese sentido, se dispuso librar oficio al Departamento de Recursos Humanos de la Entidad y citar a las señoras Claudia Andretto y Mónica Carrizo a prestar declaración testimonial para el día 15 de abril de 2015, quienes efectivamente se presentaron a declarar. Con fecha 12 de junio de 2015 se respondió el oficio. Con fecha 14 de diciembre de 2017 se cerró el período de prueba, y el día 18 de diciembre de 2017 se presentó el memorial y se planteó la prescripción de la acción. El día 1 de marzo de 2018 el BCRA resolvió no hacer lugar al planteo de nulidad y a la violación de la garantía de ser Juzgado en un plazo justo. Contra dicha resolución, el día 15 de marzo de 2018, se interpuso recurso de apelación que fue rechazado el día 21 de marzo de 2018. Luego, el 23 de marzo de 2018 se presentó el escrito manifestando que se consiente la resolución y que se hace reserva de plantear su nulidad. El BCRA declaró concluido el sumario y lo elevó al Juzgado Penal Económico N° 11, Secretaría N° 22, en el cual ingresó bajo el N° 645/20</w:t>
      </w:r>
      <w:r>
        <w:rPr>
          <w:rFonts w:ascii="Arial" w:hAnsi="Arial" w:cs="Arial"/>
          <w:sz w:val="20"/>
        </w:rPr>
        <w:t>18 y actualmente se encuentra con medidas de prueba</w:t>
      </w:r>
      <w:r w:rsidRPr="00701F32">
        <w:rPr>
          <w:rFonts w:ascii="Arial" w:hAnsi="Arial" w:cs="Arial"/>
          <w:sz w:val="20"/>
        </w:rPr>
        <w:t>.</w:t>
      </w:r>
      <w:r>
        <w:rPr>
          <w:rFonts w:ascii="Arial" w:hAnsi="Arial" w:cs="Arial"/>
          <w:sz w:val="20"/>
        </w:rPr>
        <w:t xml:space="preserve"> Con fecha 18 de diciembre de 2018 se le recibió la declaración testimonial a un empleado de la Subgerencia General de Sistemas y Organización del BCRA a fin de que se expida respecto al envío de comunicados y comunicaciones de dicho organismo, entre otros. </w:t>
      </w:r>
      <w:r w:rsidRPr="00F37949">
        <w:rPr>
          <w:rFonts w:ascii="Arial" w:hAnsi="Arial" w:cs="Arial"/>
          <w:sz w:val="20"/>
        </w:rPr>
        <w:t>Con fecha 30</w:t>
      </w:r>
      <w:r>
        <w:rPr>
          <w:rFonts w:ascii="Arial" w:hAnsi="Arial" w:cs="Arial"/>
          <w:sz w:val="20"/>
        </w:rPr>
        <w:t xml:space="preserve"> de mayo de </w:t>
      </w:r>
      <w:r w:rsidRPr="00F37949">
        <w:rPr>
          <w:rFonts w:ascii="Arial" w:hAnsi="Arial" w:cs="Arial"/>
          <w:sz w:val="20"/>
        </w:rPr>
        <w:t>2019 se le tomó declaración testimonial a la Sra. Gladys Tacone</w:t>
      </w:r>
      <w:r>
        <w:rPr>
          <w:rFonts w:ascii="Arial" w:hAnsi="Arial" w:cs="Arial"/>
          <w:sz w:val="20"/>
        </w:rPr>
        <w:t>,</w:t>
      </w:r>
      <w:r w:rsidRPr="00F37949">
        <w:rPr>
          <w:rFonts w:ascii="Arial" w:hAnsi="Arial" w:cs="Arial"/>
          <w:sz w:val="20"/>
        </w:rPr>
        <w:t xml:space="preserve"> a cargo de la Gerencia de Asuntos Contenciosos en lo Cambiario del BCRA, a fin de que indique si se encuentran vigentes las suspensiones que dieron origen al sumario cambiario.</w:t>
      </w:r>
      <w:r w:rsidRPr="0071398D">
        <w:rPr>
          <w:rFonts w:ascii="Arial" w:eastAsia="Calibri" w:hAnsi="Arial" w:cs="Arial"/>
          <w:szCs w:val="24"/>
        </w:rPr>
        <w:t xml:space="preserve"> </w:t>
      </w:r>
      <w:r w:rsidRPr="0071398D">
        <w:rPr>
          <w:rFonts w:ascii="Arial" w:hAnsi="Arial" w:cs="Arial"/>
          <w:sz w:val="20"/>
        </w:rPr>
        <w:t>Los Sres. Cid y Di Péntima asistieron a la audiencia con el Juez prevista en el art. 41 del Código Penal (a fin de tomar conocimiento directo con los imputados)</w:t>
      </w:r>
      <w:r w:rsidRPr="00F37949">
        <w:rPr>
          <w:rFonts w:ascii="Arial" w:hAnsi="Arial" w:cs="Arial"/>
          <w:sz w:val="20"/>
        </w:rPr>
        <w:t>.</w:t>
      </w:r>
    </w:p>
    <w:p w14:paraId="302DD06F" w14:textId="77777777" w:rsidR="00B91F78" w:rsidRDefault="00B91F78" w:rsidP="00B91F78"/>
    <w:p w14:paraId="68A20C16" w14:textId="77777777" w:rsidR="00B91F78" w:rsidRDefault="00B91F78" w:rsidP="00B91F78">
      <w:pPr>
        <w:rPr>
          <w:rFonts w:ascii="Arial" w:hAnsi="Arial" w:cs="Arial"/>
          <w:sz w:val="20"/>
        </w:rPr>
      </w:pPr>
      <w:r w:rsidRPr="00901FFA">
        <w:rPr>
          <w:rFonts w:ascii="Arial" w:hAnsi="Arial" w:cs="Arial"/>
          <w:sz w:val="20"/>
        </w:rPr>
        <w:t>1.</w:t>
      </w:r>
      <w:r>
        <w:rPr>
          <w:rFonts w:ascii="Arial" w:hAnsi="Arial" w:cs="Arial"/>
          <w:sz w:val="20"/>
        </w:rPr>
        <w:t>3</w:t>
      </w:r>
      <w:r w:rsidRPr="00901FFA">
        <w:rPr>
          <w:rFonts w:ascii="Arial" w:hAnsi="Arial" w:cs="Arial"/>
          <w:sz w:val="20"/>
        </w:rPr>
        <w:t xml:space="preserve">. </w:t>
      </w:r>
      <w:r>
        <w:rPr>
          <w:rFonts w:ascii="Arial" w:hAnsi="Arial" w:cs="Arial"/>
          <w:sz w:val="20"/>
        </w:rPr>
        <w:t>Banco Central de la República Argentina: Sumario en lo Financiero N° 1556, Expediente N° 388/04/19.</w:t>
      </w:r>
    </w:p>
    <w:p w14:paraId="2BB6990F" w14:textId="77777777" w:rsidR="00B91F78" w:rsidRDefault="00B91F78" w:rsidP="00B91F78">
      <w:pPr>
        <w:rPr>
          <w:rFonts w:ascii="Arial" w:hAnsi="Arial" w:cs="Arial"/>
          <w:sz w:val="20"/>
        </w:rPr>
      </w:pPr>
    </w:p>
    <w:p w14:paraId="171AB1F6" w14:textId="77777777" w:rsidR="00B91F78" w:rsidRDefault="00B91F78" w:rsidP="00B91F78">
      <w:pPr>
        <w:rPr>
          <w:rFonts w:ascii="Arial" w:eastAsiaTheme="minorHAnsi" w:hAnsi="Arial" w:cs="Arial"/>
          <w:sz w:val="20"/>
        </w:rPr>
      </w:pPr>
      <w:r w:rsidRPr="00B248F7">
        <w:rPr>
          <w:rFonts w:ascii="Arial" w:eastAsiaTheme="minorHAnsi" w:hAnsi="Arial" w:cs="Arial"/>
          <w:sz w:val="20"/>
          <w:u w:val="single"/>
        </w:rPr>
        <w:t>Carátula:</w:t>
      </w:r>
      <w:r w:rsidRPr="00B248F7">
        <w:rPr>
          <w:rFonts w:ascii="Arial" w:eastAsiaTheme="minorHAnsi" w:hAnsi="Arial" w:cs="Arial"/>
          <w:sz w:val="20"/>
        </w:rPr>
        <w:t xml:space="preserve"> </w:t>
      </w:r>
      <w:r>
        <w:rPr>
          <w:rFonts w:ascii="Arial" w:eastAsiaTheme="minorHAnsi" w:hAnsi="Arial" w:cs="Arial"/>
          <w:sz w:val="20"/>
        </w:rPr>
        <w:t>“Banco Supervielle S.A.”</w:t>
      </w:r>
    </w:p>
    <w:p w14:paraId="7629F837" w14:textId="77777777" w:rsidR="00B91F78" w:rsidRPr="00B248F7" w:rsidRDefault="00B91F78" w:rsidP="00B91F78">
      <w:pPr>
        <w:rPr>
          <w:rFonts w:ascii="Arial" w:eastAsiaTheme="minorHAnsi" w:hAnsi="Arial" w:cs="Arial"/>
          <w:sz w:val="20"/>
        </w:rPr>
      </w:pPr>
      <w:r w:rsidRPr="00B248F7">
        <w:rPr>
          <w:rFonts w:ascii="Arial" w:eastAsiaTheme="minorHAnsi" w:hAnsi="Arial" w:cs="Arial"/>
          <w:sz w:val="20"/>
          <w:u w:val="single"/>
        </w:rPr>
        <w:t>Número de sumario:</w:t>
      </w:r>
      <w:r>
        <w:rPr>
          <w:rFonts w:ascii="Arial" w:eastAsiaTheme="minorHAnsi" w:hAnsi="Arial" w:cs="Arial"/>
          <w:sz w:val="20"/>
        </w:rPr>
        <w:t xml:space="preserve"> </w:t>
      </w:r>
      <w:r w:rsidRPr="00B248F7">
        <w:rPr>
          <w:rFonts w:ascii="Arial" w:eastAsiaTheme="minorHAnsi" w:hAnsi="Arial" w:cs="Arial"/>
          <w:sz w:val="20"/>
        </w:rPr>
        <w:t>Sumario en lo Financiero N° 1556, Expediente N° 388/04/19.</w:t>
      </w:r>
      <w:r>
        <w:rPr>
          <w:rFonts w:ascii="Arial" w:eastAsiaTheme="minorHAnsi" w:hAnsi="Arial" w:cs="Arial"/>
          <w:sz w:val="20"/>
        </w:rPr>
        <w:t xml:space="preserve"> Iniciado por Resolución N° 204 de fecha 27.06.2019.</w:t>
      </w:r>
    </w:p>
    <w:p w14:paraId="43244B9E" w14:textId="77777777" w:rsidR="00B91F78" w:rsidRDefault="00B91F78" w:rsidP="00B91F78">
      <w:pPr>
        <w:rPr>
          <w:rFonts w:ascii="Arial" w:eastAsiaTheme="minorHAnsi" w:hAnsi="Arial" w:cs="Arial"/>
          <w:sz w:val="20"/>
        </w:rPr>
      </w:pPr>
      <w:r w:rsidRPr="00B248F7">
        <w:rPr>
          <w:rFonts w:ascii="Arial" w:eastAsiaTheme="minorHAnsi" w:hAnsi="Arial" w:cs="Arial"/>
          <w:sz w:val="20"/>
          <w:u w:val="single"/>
        </w:rPr>
        <w:t>Fecha de notificación</w:t>
      </w:r>
      <w:r>
        <w:rPr>
          <w:rFonts w:ascii="Arial" w:eastAsiaTheme="minorHAnsi" w:hAnsi="Arial" w:cs="Arial"/>
          <w:sz w:val="20"/>
          <w:u w:val="single"/>
        </w:rPr>
        <w:t>:</w:t>
      </w:r>
      <w:r>
        <w:rPr>
          <w:rFonts w:ascii="Arial" w:eastAsiaTheme="minorHAnsi" w:hAnsi="Arial" w:cs="Arial"/>
          <w:sz w:val="20"/>
        </w:rPr>
        <w:t xml:space="preserve"> </w:t>
      </w:r>
      <w:r w:rsidRPr="00B248F7">
        <w:rPr>
          <w:rFonts w:ascii="Arial" w:eastAsiaTheme="minorHAnsi" w:hAnsi="Arial" w:cs="Arial"/>
          <w:sz w:val="20"/>
        </w:rPr>
        <w:t>11/07/2019</w:t>
      </w:r>
    </w:p>
    <w:p w14:paraId="6275CD21" w14:textId="77777777" w:rsidR="00B91F78" w:rsidRPr="008325EA" w:rsidRDefault="00B91F78" w:rsidP="00B91F78">
      <w:pPr>
        <w:rPr>
          <w:rFonts w:ascii="Arial" w:eastAsiaTheme="minorHAnsi" w:hAnsi="Arial" w:cs="Arial"/>
          <w:sz w:val="20"/>
        </w:rPr>
      </w:pPr>
      <w:r w:rsidRPr="008325EA">
        <w:rPr>
          <w:rFonts w:ascii="Arial" w:eastAsiaTheme="minorHAnsi" w:hAnsi="Arial" w:cs="Arial"/>
          <w:sz w:val="20"/>
          <w:u w:val="single"/>
        </w:rPr>
        <w:t>Fecha de contestación:</w:t>
      </w:r>
      <w:r>
        <w:rPr>
          <w:rFonts w:ascii="Arial" w:eastAsiaTheme="minorHAnsi" w:hAnsi="Arial" w:cs="Arial"/>
          <w:sz w:val="20"/>
        </w:rPr>
        <w:t xml:space="preserve"> 09/08/2019</w:t>
      </w:r>
    </w:p>
    <w:p w14:paraId="5C4B57EF" w14:textId="77777777" w:rsidR="00B91F78" w:rsidRDefault="00B91F78" w:rsidP="00B91F78">
      <w:pPr>
        <w:rPr>
          <w:rFonts w:ascii="Arial" w:eastAsiaTheme="minorHAnsi" w:hAnsi="Arial" w:cs="Arial"/>
          <w:sz w:val="20"/>
        </w:rPr>
      </w:pPr>
      <w:r w:rsidRPr="00B248F7">
        <w:rPr>
          <w:rFonts w:ascii="Arial" w:eastAsiaTheme="minorHAnsi" w:hAnsi="Arial" w:cs="Arial"/>
          <w:sz w:val="20"/>
          <w:u w:val="single"/>
        </w:rPr>
        <w:t>El/Los Cargo/s imputado/s</w:t>
      </w:r>
      <w:r>
        <w:rPr>
          <w:rFonts w:ascii="Arial" w:eastAsiaTheme="minorHAnsi" w:hAnsi="Arial" w:cs="Arial"/>
          <w:sz w:val="20"/>
        </w:rPr>
        <w:t>:</w:t>
      </w:r>
    </w:p>
    <w:p w14:paraId="517949B5" w14:textId="77777777" w:rsidR="00B91F78" w:rsidRDefault="00B91F78" w:rsidP="00B91F78">
      <w:pPr>
        <w:rPr>
          <w:rFonts w:ascii="Arial" w:eastAsiaTheme="minorHAnsi" w:hAnsi="Arial" w:cs="Arial"/>
          <w:sz w:val="20"/>
        </w:rPr>
      </w:pPr>
    </w:p>
    <w:p w14:paraId="350D9572" w14:textId="77777777" w:rsidR="00B91F78" w:rsidRPr="00B248F7" w:rsidRDefault="00B91F78" w:rsidP="00B91F78">
      <w:pPr>
        <w:jc w:val="both"/>
        <w:rPr>
          <w:rFonts w:ascii="Arial" w:eastAsiaTheme="minorHAnsi" w:hAnsi="Arial" w:cs="Arial"/>
          <w:sz w:val="20"/>
        </w:rPr>
      </w:pPr>
      <w:r w:rsidRPr="00B248F7">
        <w:rPr>
          <w:rFonts w:ascii="Arial" w:eastAsiaTheme="minorHAnsi" w:hAnsi="Arial" w:cs="Arial"/>
          <w:sz w:val="20"/>
          <w:u w:val="single"/>
        </w:rPr>
        <w:t>Cargo 1:</w:t>
      </w:r>
      <w:r w:rsidRPr="00B248F7">
        <w:rPr>
          <w:rFonts w:ascii="Arial" w:eastAsiaTheme="minorHAnsi" w:hAnsi="Arial" w:cs="Arial"/>
          <w:sz w:val="20"/>
        </w:rPr>
        <w:t xml:space="preserve"> “Desempeño en el cargo de síndico encontrándose inhabilitado por el BCRA en contravención a lo dispuesto en la Ley de Entidades Financieras N° 21.526, artículo 10, inciso e) del citado texto legal y Texto Ordenado de las normas sobre “Autoridades de Entidades Financieras” Sección 2, punto 2.1. primer párrafo (conforme Comunicación A 2241, Circular CREFI 2, Anexo. Capítulo 1, sección 1, punto 1.1.3. –complementarias y modificatorias-)” (considerando 1. de la Resolución SEFyC n° 204/19).</w:t>
      </w:r>
    </w:p>
    <w:p w14:paraId="652B1772" w14:textId="77777777" w:rsidR="00B91F78" w:rsidRPr="00B248F7" w:rsidRDefault="00B91F78" w:rsidP="00B91F78">
      <w:pPr>
        <w:jc w:val="both"/>
        <w:rPr>
          <w:rFonts w:ascii="Arial" w:eastAsiaTheme="minorHAnsi" w:hAnsi="Arial" w:cs="Arial"/>
          <w:sz w:val="20"/>
        </w:rPr>
      </w:pPr>
      <w:r w:rsidRPr="00B248F7">
        <w:rPr>
          <w:rFonts w:ascii="Arial" w:eastAsiaTheme="minorHAnsi" w:hAnsi="Arial" w:cs="Arial"/>
          <w:sz w:val="20"/>
          <w:u w:val="single"/>
        </w:rPr>
        <w:t>Cargo 2:</w:t>
      </w:r>
      <w:r w:rsidRPr="00B248F7">
        <w:rPr>
          <w:rFonts w:ascii="Arial" w:eastAsiaTheme="minorHAnsi" w:hAnsi="Arial" w:cs="Arial"/>
          <w:sz w:val="20"/>
        </w:rPr>
        <w:t xml:space="preserve"> “Deficiencias en la certificación anual efectuada por la entidad, respecto de las habilidades legales de sus autoridades, en contravención a lo dispuesto en el Texto Ordenado de las normas sobre “Autoridades de Entidades Financieras” Sección 3, punto 3.1.2 tercer párrafo (conforme Comunicación A 5785, Circular CREFI 2, 84 Anexo. Capítulo 1, sección 5, punto 5.5., segundo párrafo –complementarias y modificatorias-; A 6111, Circular CREFI 2 – 92 – Anexo, Sección 3, punto 3.1.2., último párrafo –complementarias y modificatorios; A 6304, Circular CREFI 2 – 100 – Anexo, Sección 3, punto  3.1.2., segundo párrafo –complementarias y modificatorias-“ (considerando 2 de la Resolución SEFyC n° 204/19).</w:t>
      </w:r>
    </w:p>
    <w:p w14:paraId="412F52DF" w14:textId="77777777" w:rsidR="00B91F78" w:rsidRPr="00B248F7" w:rsidRDefault="00B91F78" w:rsidP="00B91F78">
      <w:pPr>
        <w:jc w:val="both"/>
        <w:rPr>
          <w:rFonts w:ascii="Arial" w:eastAsiaTheme="minorHAnsi" w:hAnsi="Arial" w:cs="Arial"/>
          <w:sz w:val="20"/>
        </w:rPr>
      </w:pPr>
    </w:p>
    <w:p w14:paraId="4F8B0269" w14:textId="77777777" w:rsidR="00B91F78" w:rsidRPr="00B248F7" w:rsidRDefault="00B91F78" w:rsidP="00B91F78">
      <w:pPr>
        <w:spacing w:after="200" w:line="276" w:lineRule="auto"/>
        <w:jc w:val="both"/>
        <w:rPr>
          <w:rFonts w:ascii="Arial" w:eastAsia="Calibri" w:hAnsi="Arial" w:cs="Arial"/>
          <w:sz w:val="20"/>
        </w:rPr>
      </w:pPr>
      <w:r w:rsidRPr="00B248F7">
        <w:rPr>
          <w:rFonts w:ascii="Arial" w:eastAsia="Calibri" w:hAnsi="Arial" w:cs="Arial"/>
          <w:sz w:val="20"/>
          <w:u w:val="single"/>
        </w:rPr>
        <w:t>Sumariados</w:t>
      </w:r>
      <w:r w:rsidRPr="00B248F7">
        <w:rPr>
          <w:rFonts w:ascii="Arial" w:eastAsia="Calibri" w:hAnsi="Arial" w:cs="Arial"/>
          <w:sz w:val="20"/>
        </w:rPr>
        <w:t>: Banco Supervielle S.A., Julio Patricio SUPERVIELLE, Carlos Alberto ASATO, Richard Guy GLUZMAN, Nicole Laurence MENGIN DE LOYER, Carlos Martín NOEL, Atilio María DELL ORO MAINI, Emérico Alejandro STENGEL, Jorge Oscar RAMIREZ, José Luis PANERO, Enrique José BARREIRO, Ariel José PORTNOY y María Cristina FIORIO.</w:t>
      </w:r>
    </w:p>
    <w:p w14:paraId="22E86856" w14:textId="77777777" w:rsidR="00B91F78" w:rsidRDefault="00B91F78" w:rsidP="00B91F78">
      <w:pPr>
        <w:rPr>
          <w:rFonts w:ascii="Arial" w:eastAsia="Calibri" w:hAnsi="Arial" w:cs="Arial"/>
          <w:sz w:val="20"/>
        </w:rPr>
      </w:pPr>
      <w:r w:rsidRPr="00B248F7">
        <w:rPr>
          <w:rFonts w:ascii="Arial" w:eastAsia="Calibri" w:hAnsi="Arial" w:cs="Arial"/>
          <w:sz w:val="20"/>
          <w:u w:val="single"/>
        </w:rPr>
        <w:t>Estado actual</w:t>
      </w:r>
      <w:r w:rsidRPr="00B248F7">
        <w:rPr>
          <w:rFonts w:ascii="Arial" w:eastAsia="Calibri" w:hAnsi="Arial" w:cs="Arial"/>
          <w:sz w:val="20"/>
        </w:rPr>
        <w:t xml:space="preserve">: </w:t>
      </w:r>
      <w:r>
        <w:rPr>
          <w:rFonts w:ascii="Arial" w:eastAsia="Calibri" w:hAnsi="Arial" w:cs="Arial"/>
          <w:sz w:val="20"/>
        </w:rPr>
        <w:t>El sumariante analiza descargos presentados y prueba ofrecida.</w:t>
      </w:r>
    </w:p>
    <w:p w14:paraId="48F77E30" w14:textId="77777777" w:rsidR="00B91F78" w:rsidRDefault="00B91F78" w:rsidP="00B91F78">
      <w:pPr>
        <w:rPr>
          <w:rFonts w:ascii="Arial" w:eastAsia="Calibri" w:hAnsi="Arial" w:cs="Arial"/>
          <w:sz w:val="20"/>
        </w:rPr>
      </w:pPr>
    </w:p>
    <w:p w14:paraId="6FC97D6B" w14:textId="77777777" w:rsidR="00B91F78" w:rsidRPr="00871FEF" w:rsidRDefault="00B91F78" w:rsidP="00B91F78">
      <w:pPr>
        <w:jc w:val="both"/>
        <w:rPr>
          <w:rFonts w:ascii="Arial" w:eastAsia="Calibri" w:hAnsi="Arial" w:cs="Arial"/>
          <w:sz w:val="20"/>
        </w:rPr>
      </w:pPr>
      <w:r>
        <w:rPr>
          <w:rFonts w:ascii="Arial" w:eastAsia="Calibri" w:hAnsi="Arial" w:cs="Arial"/>
          <w:sz w:val="20"/>
        </w:rPr>
        <w:t xml:space="preserve">1.4 </w:t>
      </w:r>
      <w:r w:rsidRPr="00871FEF">
        <w:rPr>
          <w:rFonts w:ascii="Arial" w:eastAsia="Calibri" w:hAnsi="Arial" w:cs="Arial"/>
          <w:sz w:val="20"/>
        </w:rPr>
        <w:t>Banco Central de la República Argentina: Sumario en lo Financiero N° 1</w:t>
      </w:r>
      <w:r>
        <w:rPr>
          <w:rFonts w:ascii="Arial" w:eastAsia="Calibri" w:hAnsi="Arial" w:cs="Arial"/>
          <w:sz w:val="20"/>
        </w:rPr>
        <w:t>.560</w:t>
      </w:r>
      <w:r w:rsidRPr="00871FEF">
        <w:rPr>
          <w:rFonts w:ascii="Arial" w:eastAsia="Calibri" w:hAnsi="Arial" w:cs="Arial"/>
          <w:sz w:val="20"/>
        </w:rPr>
        <w:t>.</w:t>
      </w:r>
    </w:p>
    <w:p w14:paraId="1FDD6A5C" w14:textId="77777777" w:rsidR="00B91F78" w:rsidRPr="00871FEF" w:rsidRDefault="00B91F78" w:rsidP="00B91F78">
      <w:pPr>
        <w:jc w:val="both"/>
        <w:rPr>
          <w:rFonts w:ascii="Arial" w:eastAsia="Calibri" w:hAnsi="Arial" w:cs="Arial"/>
          <w:sz w:val="20"/>
        </w:rPr>
      </w:pPr>
    </w:p>
    <w:p w14:paraId="0C4601E6" w14:textId="77777777" w:rsidR="00B91F78" w:rsidRPr="00871FEF" w:rsidRDefault="00B91F78" w:rsidP="00B91F78">
      <w:pPr>
        <w:jc w:val="both"/>
        <w:rPr>
          <w:rFonts w:ascii="Arial" w:eastAsia="Calibri" w:hAnsi="Arial" w:cs="Arial"/>
          <w:sz w:val="20"/>
        </w:rPr>
      </w:pPr>
      <w:r w:rsidRPr="00871FEF">
        <w:rPr>
          <w:rFonts w:ascii="Arial" w:eastAsia="Calibri" w:hAnsi="Arial" w:cs="Arial"/>
          <w:sz w:val="20"/>
          <w:u w:val="single"/>
        </w:rPr>
        <w:t>Número de sumario:</w:t>
      </w:r>
      <w:r w:rsidRPr="00871FEF">
        <w:rPr>
          <w:rFonts w:ascii="Arial" w:eastAsia="Calibri" w:hAnsi="Arial" w:cs="Arial"/>
          <w:sz w:val="20"/>
        </w:rPr>
        <w:t xml:space="preserve"> Sumario en lo Financiero N° 1.560.</w:t>
      </w:r>
    </w:p>
    <w:p w14:paraId="74C38A0D" w14:textId="77777777" w:rsidR="00B91F78" w:rsidRPr="00871FEF" w:rsidRDefault="00B91F78" w:rsidP="00B91F78">
      <w:pPr>
        <w:jc w:val="both"/>
        <w:rPr>
          <w:rFonts w:ascii="Arial" w:eastAsia="Calibri" w:hAnsi="Arial" w:cs="Arial"/>
          <w:sz w:val="20"/>
        </w:rPr>
      </w:pPr>
      <w:r w:rsidRPr="00871FEF">
        <w:rPr>
          <w:rFonts w:ascii="Arial" w:eastAsia="Calibri" w:hAnsi="Arial" w:cs="Arial"/>
          <w:sz w:val="20"/>
          <w:u w:val="single"/>
        </w:rPr>
        <w:t>Fecha de contestación:</w:t>
      </w:r>
      <w:r w:rsidRPr="00871FEF">
        <w:rPr>
          <w:rFonts w:ascii="Arial" w:eastAsia="Calibri" w:hAnsi="Arial" w:cs="Arial"/>
          <w:sz w:val="20"/>
        </w:rPr>
        <w:t xml:space="preserve"> </w:t>
      </w:r>
      <w:r>
        <w:rPr>
          <w:rFonts w:ascii="Arial" w:eastAsia="Calibri" w:hAnsi="Arial" w:cs="Arial"/>
          <w:sz w:val="20"/>
        </w:rPr>
        <w:t>13</w:t>
      </w:r>
      <w:r w:rsidRPr="00871FEF">
        <w:rPr>
          <w:rFonts w:ascii="Arial" w:eastAsia="Calibri" w:hAnsi="Arial" w:cs="Arial"/>
          <w:sz w:val="20"/>
        </w:rPr>
        <w:t>/</w:t>
      </w:r>
      <w:r>
        <w:rPr>
          <w:rFonts w:ascii="Arial" w:eastAsia="Calibri" w:hAnsi="Arial" w:cs="Arial"/>
          <w:sz w:val="20"/>
        </w:rPr>
        <w:t>11</w:t>
      </w:r>
      <w:r w:rsidRPr="00871FEF">
        <w:rPr>
          <w:rFonts w:ascii="Arial" w:eastAsia="Calibri" w:hAnsi="Arial" w:cs="Arial"/>
          <w:sz w:val="20"/>
        </w:rPr>
        <w:t>/2019</w:t>
      </w:r>
    </w:p>
    <w:p w14:paraId="0C940917" w14:textId="77777777" w:rsidR="00B91F78" w:rsidRDefault="00B91F78" w:rsidP="00B91F78">
      <w:pPr>
        <w:jc w:val="both"/>
        <w:rPr>
          <w:rFonts w:ascii="Arial" w:eastAsia="Calibri" w:hAnsi="Arial" w:cs="Arial"/>
          <w:sz w:val="20"/>
          <w:u w:val="single"/>
        </w:rPr>
      </w:pPr>
    </w:p>
    <w:p w14:paraId="262D6E48" w14:textId="77777777" w:rsidR="00B91F78" w:rsidRPr="00871FEF" w:rsidRDefault="00B91F78" w:rsidP="00B91F78">
      <w:pPr>
        <w:jc w:val="both"/>
        <w:rPr>
          <w:rFonts w:ascii="Arial" w:eastAsia="Calibri" w:hAnsi="Arial" w:cs="Arial"/>
          <w:sz w:val="20"/>
        </w:rPr>
      </w:pPr>
      <w:r w:rsidRPr="00871FEF">
        <w:rPr>
          <w:rFonts w:ascii="Arial" w:eastAsia="Calibri" w:hAnsi="Arial" w:cs="Arial"/>
          <w:sz w:val="20"/>
          <w:u w:val="single"/>
        </w:rPr>
        <w:t>El</w:t>
      </w:r>
      <w:r>
        <w:rPr>
          <w:rFonts w:ascii="Arial" w:eastAsia="Calibri" w:hAnsi="Arial" w:cs="Arial"/>
          <w:sz w:val="20"/>
          <w:u w:val="single"/>
        </w:rPr>
        <w:t xml:space="preserve"> </w:t>
      </w:r>
      <w:r w:rsidRPr="00871FEF">
        <w:rPr>
          <w:rFonts w:ascii="Arial" w:eastAsia="Calibri" w:hAnsi="Arial" w:cs="Arial"/>
          <w:sz w:val="20"/>
          <w:u w:val="single"/>
        </w:rPr>
        <w:t>Cargo</w:t>
      </w:r>
      <w:r>
        <w:rPr>
          <w:rFonts w:ascii="Arial" w:eastAsia="Calibri" w:hAnsi="Arial" w:cs="Arial"/>
          <w:sz w:val="20"/>
          <w:u w:val="single"/>
        </w:rPr>
        <w:t xml:space="preserve"> imputado</w:t>
      </w:r>
      <w:r w:rsidRPr="00871FEF">
        <w:rPr>
          <w:rFonts w:ascii="Arial" w:eastAsia="Calibri" w:hAnsi="Arial" w:cs="Arial"/>
          <w:sz w:val="20"/>
          <w:u w:val="single"/>
        </w:rPr>
        <w:t>:</w:t>
      </w:r>
      <w:r w:rsidRPr="00871FEF">
        <w:rPr>
          <w:rFonts w:ascii="Arial" w:eastAsia="Calibri" w:hAnsi="Arial" w:cs="Arial"/>
          <w:sz w:val="20"/>
        </w:rPr>
        <w:t xml:space="preserve"> Reiteradas demoras en remitir al BCRA información y/o documentación vinculadas con nombramientos de nuevas autoridades de la entidad financiera, por lo que, prima facie, se habría transgredido lo dispuesto en el Texto Ordenado de las normas sobre “Autoridades de Entidades Financieras” Sección 3, punto 3.1.3., subpunto 3.1.3.2. (conforme Comunicación A 6111, Circular CREFI 2 - 92, Anexo. Sección 3, punto 3.1.3., subpunto 3.1.3.2. y “A” 6304, CREFI 2 – 100, Sección 3, punto 3.1.3., subpunto 3.1.3.2., en concordancia con la comunicación “B” 11.461 –complementarias y modificatorias-)” (considerando 1. de la Resolución SEFyC n° 307/19).</w:t>
      </w:r>
    </w:p>
    <w:p w14:paraId="37EC791A" w14:textId="77777777" w:rsidR="00B91F78" w:rsidRPr="00871FEF" w:rsidRDefault="00B91F78" w:rsidP="00B91F78">
      <w:pPr>
        <w:jc w:val="both"/>
        <w:rPr>
          <w:rFonts w:ascii="Arial" w:eastAsia="Calibri" w:hAnsi="Arial" w:cs="Arial"/>
          <w:sz w:val="20"/>
        </w:rPr>
      </w:pPr>
    </w:p>
    <w:p w14:paraId="05EEB616" w14:textId="77777777" w:rsidR="00B91F78" w:rsidRDefault="00B91F78" w:rsidP="00B91F78">
      <w:pPr>
        <w:jc w:val="both"/>
        <w:rPr>
          <w:rFonts w:ascii="Arial" w:eastAsia="Calibri" w:hAnsi="Arial" w:cs="Arial"/>
          <w:sz w:val="20"/>
        </w:rPr>
      </w:pPr>
      <w:r w:rsidRPr="00871FEF">
        <w:rPr>
          <w:rFonts w:ascii="Arial" w:eastAsia="Calibri" w:hAnsi="Arial" w:cs="Arial"/>
          <w:sz w:val="20"/>
          <w:u w:val="single"/>
        </w:rPr>
        <w:t>Sumariado</w:t>
      </w:r>
      <w:r w:rsidRPr="00871FEF">
        <w:rPr>
          <w:rFonts w:ascii="Arial" w:eastAsia="Calibri" w:hAnsi="Arial" w:cs="Arial"/>
          <w:sz w:val="20"/>
        </w:rPr>
        <w:t>: Banco Supervielle S.A.</w:t>
      </w:r>
    </w:p>
    <w:p w14:paraId="31CC2317" w14:textId="77777777" w:rsidR="00B91F78" w:rsidRPr="00871FEF" w:rsidRDefault="00B91F78" w:rsidP="00B91F78">
      <w:pPr>
        <w:jc w:val="both"/>
        <w:rPr>
          <w:rFonts w:ascii="Arial" w:eastAsia="Calibri" w:hAnsi="Arial" w:cs="Arial"/>
          <w:sz w:val="20"/>
        </w:rPr>
      </w:pPr>
    </w:p>
    <w:p w14:paraId="7F6AEC90" w14:textId="77777777" w:rsidR="00B91F78" w:rsidRDefault="00B91F78" w:rsidP="00B91F78">
      <w:pPr>
        <w:jc w:val="both"/>
        <w:rPr>
          <w:rFonts w:ascii="Arial" w:eastAsia="Calibri" w:hAnsi="Arial" w:cs="Arial"/>
          <w:sz w:val="20"/>
        </w:rPr>
      </w:pPr>
      <w:r w:rsidRPr="00871FEF">
        <w:rPr>
          <w:rFonts w:ascii="Arial" w:eastAsia="Calibri" w:hAnsi="Arial" w:cs="Arial"/>
          <w:sz w:val="20"/>
          <w:u w:val="single"/>
        </w:rPr>
        <w:t>Estado actual</w:t>
      </w:r>
      <w:r w:rsidRPr="00871FEF">
        <w:rPr>
          <w:rFonts w:ascii="Arial" w:eastAsia="Calibri" w:hAnsi="Arial" w:cs="Arial"/>
          <w:sz w:val="20"/>
        </w:rPr>
        <w:t xml:space="preserve">: </w:t>
      </w:r>
      <w:r>
        <w:rPr>
          <w:rFonts w:ascii="Arial" w:eastAsia="Calibri" w:hAnsi="Arial" w:cs="Arial"/>
          <w:sz w:val="20"/>
        </w:rPr>
        <w:t>Para proveer el descargo presentado</w:t>
      </w:r>
      <w:r w:rsidRPr="00871FEF">
        <w:rPr>
          <w:rFonts w:ascii="Arial" w:eastAsia="Calibri" w:hAnsi="Arial" w:cs="Arial"/>
          <w:sz w:val="20"/>
        </w:rPr>
        <w:t>.</w:t>
      </w:r>
    </w:p>
    <w:p w14:paraId="44024DE4" w14:textId="77777777" w:rsidR="00B91F78" w:rsidRDefault="00B91F78" w:rsidP="00B91F78">
      <w:pPr>
        <w:jc w:val="both"/>
        <w:rPr>
          <w:rFonts w:ascii="Arial" w:eastAsia="Calibri" w:hAnsi="Arial" w:cs="Arial"/>
          <w:sz w:val="20"/>
        </w:rPr>
      </w:pPr>
    </w:p>
    <w:p w14:paraId="03F2BE58" w14:textId="4244911B" w:rsidR="00B91F78" w:rsidRPr="002C13FD" w:rsidRDefault="00B91F78" w:rsidP="00B91F78">
      <w:pPr>
        <w:jc w:val="both"/>
        <w:rPr>
          <w:rFonts w:ascii="Arial" w:eastAsia="Calibri" w:hAnsi="Arial" w:cs="Arial"/>
          <w:b/>
          <w:sz w:val="20"/>
          <w:u w:val="single"/>
        </w:rPr>
      </w:pPr>
      <w:r>
        <w:rPr>
          <w:rFonts w:ascii="Arial" w:eastAsia="Calibri" w:hAnsi="Arial" w:cs="Arial"/>
          <w:b/>
          <w:sz w:val="20"/>
        </w:rPr>
        <w:t xml:space="preserve">2. </w:t>
      </w:r>
      <w:r w:rsidR="002C13FD" w:rsidRPr="002C13FD">
        <w:rPr>
          <w:rFonts w:ascii="Arial" w:eastAsia="Calibri" w:hAnsi="Arial" w:cs="Arial"/>
          <w:b/>
          <w:sz w:val="20"/>
          <w:u w:val="single"/>
        </w:rPr>
        <w:t xml:space="preserve">Sumarios iniciados por la </w:t>
      </w:r>
      <w:r w:rsidRPr="002C13FD">
        <w:rPr>
          <w:rFonts w:ascii="Arial" w:eastAsia="Calibri" w:hAnsi="Arial" w:cs="Arial"/>
          <w:b/>
          <w:sz w:val="20"/>
          <w:u w:val="single"/>
        </w:rPr>
        <w:t>Unidad de Información Financiera:</w:t>
      </w:r>
    </w:p>
    <w:p w14:paraId="127CF716" w14:textId="77777777" w:rsidR="00B91F78" w:rsidRPr="00A23BBB" w:rsidRDefault="00B91F78" w:rsidP="00B91F78">
      <w:pPr>
        <w:jc w:val="both"/>
        <w:rPr>
          <w:rFonts w:ascii="Arial" w:eastAsia="Calibri" w:hAnsi="Arial" w:cs="Arial"/>
          <w:b/>
          <w:sz w:val="20"/>
        </w:rPr>
      </w:pPr>
    </w:p>
    <w:p w14:paraId="5F1FB48C" w14:textId="3B30E59A" w:rsidR="00B91F78" w:rsidRPr="00A23BBB" w:rsidRDefault="002C13FD" w:rsidP="00B91F78">
      <w:pPr>
        <w:jc w:val="both"/>
        <w:rPr>
          <w:rFonts w:ascii="Arial" w:eastAsia="Calibri" w:hAnsi="Arial" w:cs="Arial"/>
          <w:sz w:val="20"/>
        </w:rPr>
      </w:pPr>
      <w:r>
        <w:rPr>
          <w:rFonts w:ascii="Arial" w:eastAsia="Calibri" w:hAnsi="Arial" w:cs="Arial"/>
          <w:sz w:val="20"/>
        </w:rPr>
        <w:t xml:space="preserve">2. </w:t>
      </w:r>
      <w:r w:rsidR="00B91F78" w:rsidRPr="00A23BBB">
        <w:rPr>
          <w:rFonts w:ascii="Arial" w:eastAsia="Calibri" w:hAnsi="Arial" w:cs="Arial"/>
          <w:sz w:val="20"/>
        </w:rPr>
        <w:t>1.</w:t>
      </w:r>
      <w:r w:rsidR="00B91F78">
        <w:rPr>
          <w:rFonts w:ascii="Arial" w:eastAsia="Calibri" w:hAnsi="Arial" w:cs="Arial"/>
          <w:sz w:val="20"/>
        </w:rPr>
        <w:t xml:space="preserve"> </w:t>
      </w:r>
      <w:r w:rsidR="00B91F78" w:rsidRPr="00A23BBB">
        <w:rPr>
          <w:rFonts w:ascii="Arial" w:eastAsia="Calibri" w:hAnsi="Arial" w:cs="Arial"/>
          <w:sz w:val="20"/>
        </w:rPr>
        <w:t>Banco Supervielle S.A. s/ Supervisión B.C.R.A.</w:t>
      </w:r>
    </w:p>
    <w:p w14:paraId="5E5E497B" w14:textId="77777777" w:rsidR="00B91F78" w:rsidRDefault="00B91F78" w:rsidP="00B91F78">
      <w:pPr>
        <w:jc w:val="both"/>
        <w:rPr>
          <w:rFonts w:ascii="Arial" w:eastAsia="Calibri" w:hAnsi="Arial" w:cs="Arial"/>
          <w:sz w:val="20"/>
          <w:u w:val="single"/>
        </w:rPr>
      </w:pPr>
    </w:p>
    <w:p w14:paraId="6235DFBA" w14:textId="77777777" w:rsidR="00B91F78" w:rsidRDefault="00B91F78" w:rsidP="00B91F78">
      <w:pPr>
        <w:jc w:val="both"/>
        <w:rPr>
          <w:rFonts w:ascii="Arial" w:eastAsia="Calibri" w:hAnsi="Arial" w:cs="Arial"/>
          <w:sz w:val="20"/>
        </w:rPr>
      </w:pPr>
      <w:r w:rsidRPr="00A23BBB">
        <w:rPr>
          <w:rFonts w:ascii="Arial" w:eastAsia="Calibri" w:hAnsi="Arial" w:cs="Arial"/>
          <w:sz w:val="20"/>
          <w:u w:val="single"/>
        </w:rPr>
        <w:t>Expte. UIF Nº:</w:t>
      </w:r>
      <w:r w:rsidRPr="00A23BBB">
        <w:rPr>
          <w:rFonts w:ascii="Arial" w:eastAsia="Calibri" w:hAnsi="Arial" w:cs="Arial"/>
          <w:sz w:val="20"/>
        </w:rPr>
        <w:t xml:space="preserve"> 2545/14. </w:t>
      </w:r>
    </w:p>
    <w:p w14:paraId="47D4DFED" w14:textId="77777777" w:rsidR="00B91F78" w:rsidRPr="00A23BBB" w:rsidRDefault="00B91F78" w:rsidP="00B91F78">
      <w:pPr>
        <w:jc w:val="both"/>
        <w:rPr>
          <w:rFonts w:ascii="Arial" w:eastAsia="Calibri" w:hAnsi="Arial" w:cs="Arial"/>
          <w:sz w:val="20"/>
          <w:u w:val="single"/>
        </w:rPr>
      </w:pPr>
      <w:r w:rsidRPr="00A23BBB">
        <w:rPr>
          <w:rFonts w:ascii="Arial" w:eastAsia="Calibri" w:hAnsi="Arial" w:cs="Arial"/>
          <w:sz w:val="20"/>
          <w:u w:val="single"/>
        </w:rPr>
        <w:t>Sumariante:</w:t>
      </w:r>
      <w:r w:rsidRPr="00A23BBB">
        <w:rPr>
          <w:rFonts w:ascii="Arial" w:eastAsia="Calibri" w:hAnsi="Arial" w:cs="Arial"/>
          <w:sz w:val="20"/>
        </w:rPr>
        <w:t xml:space="preserve"> Ignacio Bagnardi.</w:t>
      </w:r>
    </w:p>
    <w:p w14:paraId="4C9F5C84" w14:textId="77777777" w:rsidR="00B91F78" w:rsidRDefault="00B91F78" w:rsidP="00B91F78">
      <w:pPr>
        <w:jc w:val="both"/>
        <w:rPr>
          <w:rFonts w:ascii="Arial" w:eastAsia="Calibri" w:hAnsi="Arial" w:cs="Arial"/>
          <w:sz w:val="20"/>
        </w:rPr>
      </w:pPr>
    </w:p>
    <w:p w14:paraId="18AD107E" w14:textId="77777777" w:rsidR="00B91F78" w:rsidRPr="00A23BBB" w:rsidRDefault="00B91F78" w:rsidP="00B91F78">
      <w:pPr>
        <w:jc w:val="both"/>
        <w:rPr>
          <w:rFonts w:ascii="Arial" w:eastAsia="Calibri" w:hAnsi="Arial" w:cs="Arial"/>
          <w:sz w:val="20"/>
          <w:u w:val="single"/>
        </w:rPr>
      </w:pPr>
      <w:r w:rsidRPr="00A23BBB">
        <w:rPr>
          <w:rFonts w:ascii="Arial" w:eastAsia="Calibri" w:hAnsi="Arial" w:cs="Arial"/>
          <w:sz w:val="20"/>
          <w:u w:val="single"/>
        </w:rPr>
        <w:t>Fecha de notificación:</w:t>
      </w:r>
      <w:r w:rsidRPr="00A23BBB">
        <w:rPr>
          <w:rFonts w:ascii="Arial" w:eastAsia="Calibri" w:hAnsi="Arial" w:cs="Arial"/>
          <w:sz w:val="20"/>
        </w:rPr>
        <w:t xml:space="preserve"> 26/12/2019.</w:t>
      </w:r>
    </w:p>
    <w:p w14:paraId="425E71C3" w14:textId="77777777" w:rsidR="00B91F78" w:rsidRDefault="00B91F78" w:rsidP="00B91F78">
      <w:pPr>
        <w:jc w:val="both"/>
        <w:rPr>
          <w:rFonts w:ascii="Arial" w:eastAsia="Calibri" w:hAnsi="Arial" w:cs="Arial"/>
          <w:sz w:val="20"/>
        </w:rPr>
      </w:pPr>
    </w:p>
    <w:p w14:paraId="3C3F2453" w14:textId="77777777" w:rsidR="00B91F78" w:rsidRPr="00A23BBB" w:rsidRDefault="00B91F78" w:rsidP="00B91F78">
      <w:pPr>
        <w:jc w:val="both"/>
        <w:rPr>
          <w:rFonts w:ascii="Arial" w:eastAsia="Calibri" w:hAnsi="Arial" w:cs="Arial"/>
          <w:sz w:val="20"/>
          <w:u w:val="single"/>
        </w:rPr>
      </w:pPr>
      <w:r w:rsidRPr="00A23BBB">
        <w:rPr>
          <w:rFonts w:ascii="Arial" w:eastAsia="Calibri" w:hAnsi="Arial" w:cs="Arial"/>
          <w:sz w:val="20"/>
          <w:u w:val="single"/>
        </w:rPr>
        <w:t>Intervención:</w:t>
      </w:r>
      <w:r w:rsidRPr="00A23BBB">
        <w:rPr>
          <w:rFonts w:ascii="Arial" w:eastAsia="Calibri" w:hAnsi="Arial" w:cs="Arial"/>
          <w:sz w:val="20"/>
        </w:rPr>
        <w:t xml:space="preserve"> Defensa del Banco, de los Sres. Jorge Oscar Ramírez, Atilio María Dell Oro Maini, Richard Guy Gluzman, Laurence Nicole Mengin, Emerico Alejandro Stengel, Carlos Martin Noel, Julio Patricio Supervielle Saavedra y Aníbal Rodríguez Melgarejo.</w:t>
      </w:r>
    </w:p>
    <w:p w14:paraId="5D615FDD" w14:textId="77777777" w:rsidR="00B91F78" w:rsidRDefault="00B91F78" w:rsidP="00B91F78">
      <w:pPr>
        <w:jc w:val="both"/>
        <w:rPr>
          <w:rFonts w:ascii="Arial" w:eastAsia="Calibri" w:hAnsi="Arial" w:cs="Arial"/>
          <w:sz w:val="20"/>
        </w:rPr>
      </w:pPr>
    </w:p>
    <w:p w14:paraId="7BA787B5" w14:textId="77777777" w:rsidR="00B91F78" w:rsidRPr="00A23BBB" w:rsidRDefault="00B91F78" w:rsidP="00B91F78">
      <w:pPr>
        <w:jc w:val="both"/>
        <w:rPr>
          <w:rFonts w:ascii="Arial" w:eastAsia="Calibri" w:hAnsi="Arial" w:cs="Arial"/>
          <w:sz w:val="20"/>
          <w:u w:val="single"/>
        </w:rPr>
      </w:pPr>
      <w:r w:rsidRPr="00A23BBB">
        <w:rPr>
          <w:rFonts w:ascii="Arial" w:eastAsia="Calibri" w:hAnsi="Arial" w:cs="Arial"/>
          <w:sz w:val="20"/>
          <w:u w:val="single"/>
        </w:rPr>
        <w:t>Objeto:</w:t>
      </w:r>
      <w:r w:rsidRPr="00A23BBB">
        <w:rPr>
          <w:rFonts w:ascii="Arial" w:eastAsia="Calibri" w:hAnsi="Arial" w:cs="Arial"/>
          <w:sz w:val="20"/>
        </w:rPr>
        <w:t xml:space="preserve"> Se investigan las acciones vinculadas con el contenido de la inspección integral del BCRA enfocada principalmente en la revisión del sistema de monitoreo de las operaciones de los clientes, la emisión de alertas, su gestión y análisis, la matriz de riesgo y la definición y administración de perfiles entre los días 19/12/16 y 2/02/17 –la Inspección BCRA 2017-, así como la acción administrativa sancionatoria que se vincula con el aporte efectuado por Woodford S.A.R.L. a los clientes Valle del Carmen S.a. y Valle Encantado S.A. con fecha 31/07/2014 por un monto de $578.813.</w:t>
      </w:r>
    </w:p>
    <w:p w14:paraId="650E3691" w14:textId="77777777" w:rsidR="00B91F78" w:rsidRDefault="00B91F78" w:rsidP="00B91F78">
      <w:pPr>
        <w:jc w:val="both"/>
        <w:rPr>
          <w:rFonts w:ascii="Arial" w:eastAsia="Calibri" w:hAnsi="Arial" w:cs="Arial"/>
          <w:sz w:val="20"/>
        </w:rPr>
      </w:pPr>
    </w:p>
    <w:p w14:paraId="6D5056C7" w14:textId="77777777" w:rsidR="00B91F78" w:rsidRPr="00A23BBB" w:rsidRDefault="00B91F78" w:rsidP="00B91F78">
      <w:pPr>
        <w:jc w:val="both"/>
        <w:rPr>
          <w:rFonts w:ascii="Arial" w:eastAsia="Calibri" w:hAnsi="Arial" w:cs="Arial"/>
          <w:sz w:val="20"/>
          <w:u w:val="single"/>
        </w:rPr>
      </w:pPr>
      <w:r w:rsidRPr="00A23BBB">
        <w:rPr>
          <w:rFonts w:ascii="Arial" w:eastAsia="Calibri" w:hAnsi="Arial" w:cs="Arial"/>
          <w:sz w:val="20"/>
          <w:u w:val="single"/>
        </w:rPr>
        <w:t>Estado Actual:</w:t>
      </w:r>
      <w:r w:rsidRPr="00A23BBB">
        <w:rPr>
          <w:rFonts w:ascii="Arial" w:eastAsia="Calibri" w:hAnsi="Arial" w:cs="Arial"/>
          <w:sz w:val="20"/>
        </w:rPr>
        <w:t xml:space="preserve"> Nos presentamos formalmente por los sujetos mencionados. Con fecha 06/01/2020 nos concedieron una prórroga de 10 días hábiles para presentar el descargo por ellos, la cual vence el día 13/01/2020.</w:t>
      </w:r>
    </w:p>
    <w:p w14:paraId="3E1E0508" w14:textId="77777777" w:rsidR="00B91F78" w:rsidRPr="00871FEF" w:rsidRDefault="00B91F78" w:rsidP="00B91F78">
      <w:pPr>
        <w:jc w:val="both"/>
        <w:rPr>
          <w:rFonts w:ascii="Arial" w:eastAsia="Calibri" w:hAnsi="Arial" w:cs="Arial"/>
          <w:sz w:val="20"/>
        </w:rPr>
      </w:pPr>
    </w:p>
    <w:p w14:paraId="7B5A4EED" w14:textId="665CEF38" w:rsidR="00A06BE9" w:rsidRPr="00701F32" w:rsidRDefault="00032EC8" w:rsidP="00A06BE9">
      <w:pPr>
        <w:tabs>
          <w:tab w:val="left" w:pos="142"/>
        </w:tabs>
        <w:jc w:val="both"/>
        <w:rPr>
          <w:rFonts w:ascii="Arial" w:hAnsi="Arial" w:cs="Arial"/>
          <w:b/>
          <w:sz w:val="20"/>
        </w:rPr>
      </w:pPr>
      <w:bookmarkStart w:id="24" w:name="_Hlk32942745"/>
      <w:r>
        <w:rPr>
          <w:rFonts w:ascii="Arial" w:hAnsi="Arial" w:cs="Arial"/>
          <w:b/>
          <w:sz w:val="20"/>
        </w:rPr>
        <w:t>14</w:t>
      </w:r>
      <w:r w:rsidR="00A06BE9" w:rsidRPr="00701F32">
        <w:rPr>
          <w:rFonts w:ascii="Arial" w:hAnsi="Arial" w:cs="Arial"/>
          <w:b/>
          <w:sz w:val="20"/>
        </w:rPr>
        <w:t>.8 Emisión de obligaciones negociables</w:t>
      </w:r>
    </w:p>
    <w:p w14:paraId="5292C937" w14:textId="77777777" w:rsidR="00A06BE9" w:rsidRPr="00701F32" w:rsidRDefault="00A06BE9" w:rsidP="00A06BE9">
      <w:pPr>
        <w:tabs>
          <w:tab w:val="left" w:pos="142"/>
        </w:tabs>
        <w:jc w:val="both"/>
        <w:rPr>
          <w:rFonts w:ascii="Arial" w:hAnsi="Arial" w:cs="Arial"/>
          <w:b/>
          <w:sz w:val="20"/>
        </w:rPr>
      </w:pPr>
    </w:p>
    <w:p w14:paraId="24C3C23A" w14:textId="19960E77" w:rsidR="00FE71CD" w:rsidRDefault="00A06BE9" w:rsidP="00A06BE9">
      <w:pPr>
        <w:tabs>
          <w:tab w:val="left" w:pos="142"/>
          <w:tab w:val="left" w:pos="9923"/>
        </w:tabs>
        <w:jc w:val="both"/>
        <w:rPr>
          <w:rFonts w:ascii="Arial" w:hAnsi="Arial" w:cs="Arial"/>
          <w:sz w:val="20"/>
        </w:rPr>
      </w:pPr>
      <w:r w:rsidRPr="00701F32">
        <w:rPr>
          <w:rFonts w:ascii="Arial" w:hAnsi="Arial" w:cs="Arial"/>
          <w:b/>
          <w:sz w:val="20"/>
        </w:rPr>
        <w:t>Obligaciones Negociables no subordinadas</w:t>
      </w:r>
    </w:p>
    <w:p w14:paraId="56E460E8" w14:textId="77777777" w:rsidR="00FE71CD" w:rsidRPr="00701F32" w:rsidRDefault="00FE71CD" w:rsidP="00A06BE9">
      <w:pPr>
        <w:tabs>
          <w:tab w:val="left" w:pos="142"/>
          <w:tab w:val="left" w:pos="9923"/>
        </w:tabs>
        <w:jc w:val="both"/>
        <w:rPr>
          <w:rFonts w:ascii="Arial" w:hAnsi="Arial" w:cs="Arial"/>
          <w:sz w:val="20"/>
        </w:rPr>
      </w:pPr>
    </w:p>
    <w:p w14:paraId="11F5A485" w14:textId="7C0D724D" w:rsidR="00CC58AD" w:rsidRPr="00701F32" w:rsidRDefault="00CC58AD" w:rsidP="00A06BE9">
      <w:pPr>
        <w:spacing w:line="220" w:lineRule="exact"/>
        <w:jc w:val="both"/>
        <w:rPr>
          <w:rFonts w:ascii="Arial" w:hAnsi="Arial" w:cs="Arial"/>
          <w:b/>
          <w:sz w:val="20"/>
        </w:rPr>
      </w:pPr>
      <w:r w:rsidRPr="00701F32">
        <w:rPr>
          <w:rFonts w:ascii="Arial" w:hAnsi="Arial" w:cs="Arial"/>
          <w:b/>
          <w:sz w:val="20"/>
        </w:rPr>
        <w:t xml:space="preserve">Banco Supervielle S.A.: </w:t>
      </w:r>
    </w:p>
    <w:p w14:paraId="17B54A53" w14:textId="77777777" w:rsidR="00CC58AD" w:rsidRPr="00701F32" w:rsidRDefault="00CC58AD" w:rsidP="00A06BE9">
      <w:pPr>
        <w:spacing w:line="220" w:lineRule="exact"/>
        <w:jc w:val="both"/>
        <w:rPr>
          <w:rFonts w:ascii="Arial" w:hAnsi="Arial" w:cs="Arial"/>
          <w:sz w:val="20"/>
        </w:rPr>
      </w:pPr>
    </w:p>
    <w:p w14:paraId="643A02A2" w14:textId="5C09D1AF" w:rsidR="00FD7AF2" w:rsidRPr="00125A32" w:rsidRDefault="00125A32" w:rsidP="00A06BE9">
      <w:pPr>
        <w:spacing w:line="220" w:lineRule="exact"/>
        <w:jc w:val="both"/>
        <w:rPr>
          <w:rFonts w:ascii="Arial" w:hAnsi="Arial" w:cs="Arial"/>
          <w:sz w:val="20"/>
        </w:rPr>
      </w:pPr>
      <w:r w:rsidRPr="00A059FB">
        <w:rPr>
          <w:rFonts w:ascii="Arial" w:hAnsi="Arial" w:cs="Arial"/>
          <w:sz w:val="20"/>
        </w:rPr>
        <w:t>Con fecha 25 de marzo de 2013, la Asamblea General Ordinaria de Accionistas, resolvió aprobar la creación de un Programa Global de emisión de Obligaciones Negociables (el “Programa”) por hasta un monto máximo en circulación de $750.000. El Programa fue autorizado por la Comisión Nacional de Valores (la “CNV”) a través de la Resolución N° 17.066 de fecha 02 de mayo de 2013. Con fecha 15 de abril de 2016, la Asamblea General Ordinaria y Extraordinaria de Accionistas, aprobó la ampliación del monto total del Programa a un valor nominal de hasta $ 2.000.000. Dicha ampliación fue aprobada por el directorio de la CNV, mediante Resolución N°18.224 de fecha 22 de septiembre de 2016. A partir de la fecha 2 de mayo de 2018 el programa ya no se encuentra vigente.</w:t>
      </w:r>
    </w:p>
    <w:p w14:paraId="2E1B122A" w14:textId="77777777" w:rsidR="008D7556" w:rsidRPr="00701F32" w:rsidRDefault="008D7556" w:rsidP="00393CEB">
      <w:pPr>
        <w:jc w:val="both"/>
        <w:rPr>
          <w:rFonts w:ascii="Arial" w:hAnsi="Arial" w:cs="Arial"/>
          <w:sz w:val="20"/>
        </w:rPr>
      </w:pPr>
    </w:p>
    <w:p w14:paraId="27761573" w14:textId="27FCF98D" w:rsidR="00125A32" w:rsidRDefault="00125A32" w:rsidP="00125A32">
      <w:pPr>
        <w:jc w:val="both"/>
        <w:rPr>
          <w:rFonts w:ascii="Arial" w:hAnsi="Arial" w:cs="Arial"/>
          <w:b/>
          <w:bCs/>
          <w:sz w:val="20"/>
        </w:rPr>
      </w:pPr>
      <w:r>
        <w:rPr>
          <w:rFonts w:ascii="Arial" w:hAnsi="Arial" w:cs="Arial"/>
          <w:b/>
          <w:bCs/>
          <w:sz w:val="20"/>
        </w:rPr>
        <w:t>Programa Global de Emisión de</w:t>
      </w:r>
      <w:r>
        <w:t xml:space="preserve"> </w:t>
      </w:r>
      <w:r>
        <w:rPr>
          <w:rFonts w:ascii="Arial" w:hAnsi="Arial" w:cs="Arial"/>
          <w:b/>
          <w:bCs/>
          <w:color w:val="000000"/>
          <w:sz w:val="20"/>
        </w:rPr>
        <w:t>Obligaciones Negociables</w:t>
      </w:r>
      <w:r>
        <w:rPr>
          <w:rFonts w:ascii="Arial" w:hAnsi="Arial" w:cs="Arial"/>
          <w:b/>
          <w:bCs/>
          <w:sz w:val="20"/>
        </w:rPr>
        <w:t xml:space="preserve"> por hasta V/N US$ 800.000</w:t>
      </w:r>
    </w:p>
    <w:p w14:paraId="7821ABC0" w14:textId="77777777" w:rsidR="00125A32" w:rsidRDefault="00125A32" w:rsidP="00125A32">
      <w:pPr>
        <w:jc w:val="both"/>
        <w:rPr>
          <w:rFonts w:ascii="Arial" w:hAnsi="Arial" w:cs="Arial"/>
          <w:sz w:val="20"/>
        </w:rPr>
      </w:pPr>
    </w:p>
    <w:p w14:paraId="3EC6CFD3" w14:textId="418B56AE" w:rsidR="00125A32" w:rsidRPr="00A059FB" w:rsidRDefault="00125A32" w:rsidP="00125A32">
      <w:pPr>
        <w:jc w:val="both"/>
        <w:rPr>
          <w:rFonts w:ascii="Arial" w:hAnsi="Arial" w:cs="Arial"/>
          <w:sz w:val="20"/>
        </w:rPr>
      </w:pPr>
      <w:r w:rsidRPr="00A059FB">
        <w:rPr>
          <w:rFonts w:ascii="Arial" w:hAnsi="Arial" w:cs="Arial"/>
          <w:sz w:val="20"/>
        </w:rPr>
        <w:t>Con fecha 22 de septiembre de 2016, la Asamblea General Extraordinaria resolvió aprobar la creación de un Programa Global de Emisión de Obligaciones Negociables por hasta un monto máximo en circulación en cualquier momento durante la vigencia del programa de U$S 800.000. El programa fue autorizado por la Comisión Nacional de Valores a través de la Resolución Nº 18.376 de fecha 24 de noviembre de 2016. Con fecha 06 marzo de 2018 se aprobó por acta de asamblea la ampliación del Programa Global de Obligaciones Negociables por U$S 2.300.000. Con fecha 16 de abril de 2018 la CNV aprobó el aumento del Programa mediante la resolución Nro 19.470</w:t>
      </w:r>
      <w:r w:rsidRPr="00125A32">
        <w:rPr>
          <w:rFonts w:ascii="Arial" w:hAnsi="Arial" w:cs="Arial"/>
          <w:sz w:val="20"/>
        </w:rPr>
        <w:t>.</w:t>
      </w:r>
    </w:p>
    <w:p w14:paraId="6C1F9ADB" w14:textId="77777777" w:rsidR="00125A32" w:rsidRPr="00A059FB" w:rsidRDefault="00125A32" w:rsidP="00125A32">
      <w:pPr>
        <w:jc w:val="both"/>
        <w:rPr>
          <w:rFonts w:ascii="Arial" w:hAnsi="Arial" w:cs="Arial"/>
          <w:sz w:val="20"/>
        </w:rPr>
      </w:pPr>
    </w:p>
    <w:p w14:paraId="1384AF29" w14:textId="77777777" w:rsidR="00125A32" w:rsidRPr="00A059FB" w:rsidRDefault="00125A32" w:rsidP="00125A32">
      <w:pPr>
        <w:spacing w:line="220" w:lineRule="exact"/>
        <w:jc w:val="both"/>
        <w:rPr>
          <w:rFonts w:ascii="Arial" w:hAnsi="Arial" w:cs="Arial"/>
          <w:b/>
          <w:bCs/>
          <w:sz w:val="20"/>
        </w:rPr>
      </w:pPr>
      <w:r w:rsidRPr="00A059FB">
        <w:rPr>
          <w:rFonts w:ascii="Arial" w:hAnsi="Arial" w:cs="Arial"/>
          <w:b/>
          <w:bCs/>
          <w:sz w:val="20"/>
        </w:rPr>
        <w:t>Inscripción régimen emisor frecuente CNV</w:t>
      </w:r>
    </w:p>
    <w:p w14:paraId="64406513" w14:textId="77777777" w:rsidR="00125A32" w:rsidRPr="00A059FB" w:rsidRDefault="00125A32" w:rsidP="00125A32">
      <w:pPr>
        <w:jc w:val="both"/>
        <w:rPr>
          <w:rFonts w:ascii="Century Gothic" w:hAnsi="Century Gothic" w:cs="Calibri"/>
          <w:sz w:val="20"/>
        </w:rPr>
      </w:pPr>
    </w:p>
    <w:p w14:paraId="41E53F94" w14:textId="1EDCF0F4" w:rsidR="00FD7AF2" w:rsidRPr="00125A32" w:rsidRDefault="00125A32" w:rsidP="00FD7AF2">
      <w:pPr>
        <w:tabs>
          <w:tab w:val="left" w:pos="142"/>
          <w:tab w:val="left" w:pos="9923"/>
        </w:tabs>
        <w:jc w:val="both"/>
        <w:rPr>
          <w:rFonts w:ascii="Arial" w:hAnsi="Arial" w:cs="Arial"/>
          <w:sz w:val="20"/>
        </w:rPr>
      </w:pPr>
      <w:r w:rsidRPr="00A059FB">
        <w:rPr>
          <w:rFonts w:ascii="Arial" w:hAnsi="Arial" w:cs="Arial"/>
          <w:sz w:val="20"/>
        </w:rPr>
        <w:t>Con fecha 6 de agosto de 2018 el Directorio resolvió solicitar a la Comisión Nacional de Valores (la “CNV”)  el registro del Banco como emisor frecuente de obligaciones negociables. Dicha solicitud fue autorizada por la CNV a través de la Resolución N° 19.958 de fecha 27 de diciembre de 2018. El Banco se encuentra registrado ante la CNV como emisor frecuente de Obligaciones Negociables bajo el N° 03. En la reunión de directorio de la sociedad 7 de marzo de 2019, se resolvió aprobar la ratificación del Banco en el Régimen de Emisor Frecuente y en la reunión de Directorio de fecha 02 de diciembre de 2019 se resolvió destinar el monto máximo de U$S 300.000 correspondientes al Programa Global de Emisión de Obligaciones Negociables por hasta U$S 2.300.000, encontrándose el banco en proceso de reducción del monto máximo de dicho Programa. La CNV aprobó dicha ratificación a través de la Resolución DI-2020-11-APN-GE #CNV de fecha 11 de febrero de 2020.</w:t>
      </w:r>
    </w:p>
    <w:p w14:paraId="3674E711" w14:textId="77777777" w:rsidR="007228CD" w:rsidRPr="00701F32" w:rsidRDefault="007228CD" w:rsidP="00FD7AF2">
      <w:pPr>
        <w:tabs>
          <w:tab w:val="left" w:pos="142"/>
          <w:tab w:val="left" w:pos="9923"/>
        </w:tabs>
        <w:jc w:val="both"/>
        <w:rPr>
          <w:rFonts w:ascii="Arial" w:hAnsi="Arial" w:cs="Arial"/>
          <w:sz w:val="20"/>
        </w:rPr>
      </w:pPr>
    </w:p>
    <w:p w14:paraId="32AB06D6" w14:textId="2FF9E1CC" w:rsidR="009F020F" w:rsidRPr="00701F32" w:rsidRDefault="00CC58AD" w:rsidP="009F020F">
      <w:pPr>
        <w:tabs>
          <w:tab w:val="left" w:pos="142"/>
          <w:tab w:val="left" w:pos="9923"/>
        </w:tabs>
        <w:jc w:val="both"/>
        <w:rPr>
          <w:rFonts w:ascii="Arial" w:hAnsi="Arial" w:cs="Arial"/>
          <w:b/>
          <w:sz w:val="20"/>
        </w:rPr>
      </w:pPr>
      <w:r w:rsidRPr="00701F32">
        <w:rPr>
          <w:rFonts w:ascii="Arial" w:hAnsi="Arial" w:cs="Arial"/>
          <w:b/>
          <w:sz w:val="20"/>
        </w:rPr>
        <w:t xml:space="preserve">Cordial Compañía Financiera S.A.: </w:t>
      </w:r>
    </w:p>
    <w:p w14:paraId="040A651B" w14:textId="77777777" w:rsidR="00CC58AD" w:rsidRPr="00125A32" w:rsidRDefault="00CC58AD" w:rsidP="00A06BE9">
      <w:pPr>
        <w:tabs>
          <w:tab w:val="left" w:pos="142"/>
          <w:tab w:val="left" w:pos="9923"/>
        </w:tabs>
        <w:jc w:val="both"/>
        <w:rPr>
          <w:rFonts w:ascii="Arial" w:hAnsi="Arial" w:cs="Arial"/>
          <w:sz w:val="20"/>
        </w:rPr>
      </w:pPr>
    </w:p>
    <w:p w14:paraId="24FCA6D8" w14:textId="3C2BBCF5" w:rsidR="00125A32" w:rsidRPr="00A059FB" w:rsidRDefault="00125A32" w:rsidP="00125A32">
      <w:pPr>
        <w:jc w:val="both"/>
        <w:rPr>
          <w:rFonts w:ascii="Arial" w:hAnsi="Arial" w:cs="Arial"/>
          <w:sz w:val="20"/>
        </w:rPr>
      </w:pPr>
      <w:r w:rsidRPr="00A059FB">
        <w:rPr>
          <w:rFonts w:ascii="Arial" w:hAnsi="Arial" w:cs="Arial"/>
          <w:sz w:val="20"/>
        </w:rPr>
        <w:t>Con fecha 25 de abril de 2013, la Asamblea de Accionistas, resolvió aprobar la creación de un Programa Global de emisión de Obligaciones Negociables (el “Programa”) por hasta un monto máximo en circulación de $500.000. El Programa fue autorizado por la Comisión Nacional de Valores (la “CNV”) a través de la Resolución N° 17.165 de fecha 15 de agosto de 2013. Con fecha 18 de abril de 2016, la Asamblea de Accionistas, aprobó la ampliación del monto total del Programa a un valor nominal de hasta $ 1.000.000</w:t>
      </w:r>
      <w:r w:rsidR="00131445">
        <w:rPr>
          <w:rFonts w:ascii="Arial" w:hAnsi="Arial" w:cs="Arial"/>
          <w:sz w:val="20"/>
        </w:rPr>
        <w:t>.</w:t>
      </w:r>
      <w:r w:rsidRPr="00A059FB">
        <w:rPr>
          <w:rFonts w:ascii="Arial" w:hAnsi="Arial" w:cs="Arial"/>
          <w:sz w:val="20"/>
        </w:rPr>
        <w:t xml:space="preserve"> Dicha ampliación fue aprobada por el directorio de la CNV, mediante Resolución N°18.296 de fecha 27 de octubre de 2016. Con fecha 22 de marzo de 2017, la Asamblea de Accionistas extraordinaria, resolvió aprobar el aumento del monto máximo del Programa a un valor nominal de hasta $ 2.500.000. Dicha ampliación fue aprobada por el directorio de la CNV, mediante Resolución N°18.608 de fecha 12 de abril de 2017.</w:t>
      </w:r>
      <w:r w:rsidR="00131445">
        <w:rPr>
          <w:rFonts w:ascii="Arial" w:hAnsi="Arial" w:cs="Arial"/>
          <w:sz w:val="20"/>
        </w:rPr>
        <w:t xml:space="preserve"> </w:t>
      </w:r>
      <w:r w:rsidRPr="00A059FB">
        <w:rPr>
          <w:rFonts w:ascii="Arial" w:hAnsi="Arial" w:cs="Arial"/>
          <w:sz w:val="20"/>
        </w:rPr>
        <w:t xml:space="preserve">A partir de la fecha 15 de agosto de 2018 el programa ya no se encuentra vigente. </w:t>
      </w:r>
    </w:p>
    <w:p w14:paraId="0B9962A5" w14:textId="77777777" w:rsidR="00125A32" w:rsidRPr="00A059FB" w:rsidRDefault="00125A32" w:rsidP="00125A32">
      <w:pPr>
        <w:rPr>
          <w:rFonts w:ascii="Calibri" w:hAnsi="Calibri" w:cs="Calibri"/>
          <w:sz w:val="22"/>
          <w:szCs w:val="22"/>
        </w:rPr>
      </w:pPr>
    </w:p>
    <w:p w14:paraId="166A13EF" w14:textId="2D89BF30" w:rsidR="00125A32" w:rsidRPr="00A059FB" w:rsidRDefault="00125A32" w:rsidP="00125A32">
      <w:pPr>
        <w:jc w:val="both"/>
        <w:rPr>
          <w:rFonts w:ascii="Arial" w:hAnsi="Arial" w:cs="Arial"/>
          <w:sz w:val="20"/>
        </w:rPr>
      </w:pPr>
      <w:r w:rsidRPr="00A059FB">
        <w:rPr>
          <w:rFonts w:ascii="Arial" w:hAnsi="Arial" w:cs="Arial"/>
          <w:sz w:val="20"/>
        </w:rPr>
        <w:t>Con fecha 22 de marzo de 2017, la Asamblea de extraordinaria Accionistas, resolvió aprobar la creación de un Programa Global de emisión de Obligaciones Negociables (el “Programa”) por hasta un monto máximo en circulación de U$S 500.000. El Programa fue autorizado por la Comisión Nacional de Valores (la “CNV”) a través de la Resolución N° 18.650 de fecha 10 de mayo de 2017.</w:t>
      </w:r>
    </w:p>
    <w:p w14:paraId="62D3AB0A" w14:textId="77777777" w:rsidR="00475EFD" w:rsidRDefault="00475EFD" w:rsidP="00A059FB">
      <w:pPr>
        <w:tabs>
          <w:tab w:val="left" w:pos="142"/>
          <w:tab w:val="left" w:pos="9923"/>
        </w:tabs>
        <w:jc w:val="both"/>
      </w:pPr>
    </w:p>
    <w:p w14:paraId="74A830A9" w14:textId="654537E6" w:rsidR="00A06BE9" w:rsidRDefault="00A06BE9">
      <w:pPr>
        <w:pStyle w:val="PrimerNivel"/>
        <w:numPr>
          <w:ilvl w:val="0"/>
          <w:numId w:val="0"/>
        </w:numPr>
        <w:rPr>
          <w:rFonts w:ascii="Arial" w:hAnsi="Arial" w:cs="Arial"/>
          <w:sz w:val="20"/>
        </w:rPr>
      </w:pPr>
      <w:r w:rsidRPr="00701F32">
        <w:rPr>
          <w:rFonts w:ascii="Arial" w:hAnsi="Arial" w:cs="Arial"/>
          <w:sz w:val="20"/>
        </w:rPr>
        <w:t>A continuación se expone un detalle</w:t>
      </w:r>
      <w:r w:rsidR="005D476E">
        <w:rPr>
          <w:rFonts w:ascii="Arial" w:hAnsi="Arial" w:cs="Arial"/>
          <w:sz w:val="20"/>
        </w:rPr>
        <w:t xml:space="preserve"> de las emisiones vigentes al </w:t>
      </w:r>
      <w:r w:rsidR="00C91FD2">
        <w:rPr>
          <w:rFonts w:ascii="Arial" w:hAnsi="Arial" w:cs="Arial"/>
          <w:sz w:val="20"/>
        </w:rPr>
        <w:t xml:space="preserve">31 de diciembre de </w:t>
      </w:r>
      <w:r w:rsidR="00032EC8">
        <w:rPr>
          <w:rFonts w:ascii="Arial" w:hAnsi="Arial" w:cs="Arial"/>
          <w:sz w:val="20"/>
        </w:rPr>
        <w:t xml:space="preserve">2019 y </w:t>
      </w:r>
      <w:r w:rsidR="00C91FD2">
        <w:rPr>
          <w:rFonts w:ascii="Arial" w:hAnsi="Arial" w:cs="Arial"/>
          <w:sz w:val="20"/>
        </w:rPr>
        <w:t>2018:</w:t>
      </w:r>
    </w:p>
    <w:p w14:paraId="067AABAD" w14:textId="77777777" w:rsidR="002849A2" w:rsidRPr="00701F32" w:rsidRDefault="002849A2" w:rsidP="00A06BE9">
      <w:pPr>
        <w:pStyle w:val="PrimerNivel"/>
        <w:numPr>
          <w:ilvl w:val="0"/>
          <w:numId w:val="0"/>
        </w:numPr>
        <w:rPr>
          <w:rFonts w:ascii="Arial" w:hAnsi="Arial" w:cs="Arial"/>
          <w:sz w:val="20"/>
        </w:rPr>
      </w:pPr>
    </w:p>
    <w:tbl>
      <w:tblPr>
        <w:tblW w:w="557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0"/>
        <w:gridCol w:w="764"/>
        <w:gridCol w:w="607"/>
        <w:gridCol w:w="893"/>
        <w:gridCol w:w="1219"/>
        <w:gridCol w:w="914"/>
        <w:gridCol w:w="1053"/>
        <w:gridCol w:w="1452"/>
        <w:gridCol w:w="856"/>
        <w:gridCol w:w="17"/>
        <w:gridCol w:w="856"/>
      </w:tblGrid>
      <w:tr w:rsidR="006D32C1" w:rsidRPr="00701F32" w14:paraId="0178E98F" w14:textId="77777777" w:rsidTr="00A059FB">
        <w:trPr>
          <w:trHeight w:val="316"/>
          <w:tblHeader/>
        </w:trPr>
        <w:tc>
          <w:tcPr>
            <w:tcW w:w="524" w:type="pct"/>
            <w:vMerge w:val="restart"/>
            <w:shd w:val="clear" w:color="auto" w:fill="auto"/>
            <w:vAlign w:val="center"/>
            <w:hideMark/>
          </w:tcPr>
          <w:p w14:paraId="735FB761"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Fecha de colocación</w:t>
            </w:r>
          </w:p>
        </w:tc>
        <w:tc>
          <w:tcPr>
            <w:tcW w:w="396" w:type="pct"/>
            <w:vMerge w:val="restart"/>
            <w:shd w:val="clear" w:color="auto" w:fill="auto"/>
            <w:vAlign w:val="center"/>
            <w:hideMark/>
          </w:tcPr>
          <w:p w14:paraId="3A0B0B56"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Moneda</w:t>
            </w:r>
          </w:p>
        </w:tc>
        <w:tc>
          <w:tcPr>
            <w:tcW w:w="315" w:type="pct"/>
            <w:vMerge w:val="restart"/>
            <w:shd w:val="clear" w:color="auto" w:fill="auto"/>
            <w:vAlign w:val="center"/>
            <w:hideMark/>
          </w:tcPr>
          <w:p w14:paraId="54BEA8E6"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Nro. de Clase</w:t>
            </w:r>
          </w:p>
        </w:tc>
        <w:tc>
          <w:tcPr>
            <w:tcW w:w="463" w:type="pct"/>
            <w:vMerge w:val="restart"/>
            <w:shd w:val="clear" w:color="auto" w:fill="auto"/>
            <w:vAlign w:val="center"/>
            <w:hideMark/>
          </w:tcPr>
          <w:p w14:paraId="31626469"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Monto</w:t>
            </w:r>
          </w:p>
        </w:tc>
        <w:tc>
          <w:tcPr>
            <w:tcW w:w="632" w:type="pct"/>
            <w:vMerge w:val="restart"/>
            <w:shd w:val="clear" w:color="auto" w:fill="auto"/>
            <w:vAlign w:val="center"/>
            <w:hideMark/>
          </w:tcPr>
          <w:p w14:paraId="26B2D65B"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Amortización</w:t>
            </w:r>
          </w:p>
        </w:tc>
        <w:tc>
          <w:tcPr>
            <w:tcW w:w="474" w:type="pct"/>
            <w:vMerge w:val="restart"/>
            <w:shd w:val="clear" w:color="auto" w:fill="auto"/>
            <w:vAlign w:val="center"/>
            <w:hideMark/>
          </w:tcPr>
          <w:p w14:paraId="35D61C1A"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Plazo</w:t>
            </w:r>
          </w:p>
        </w:tc>
        <w:tc>
          <w:tcPr>
            <w:tcW w:w="546" w:type="pct"/>
            <w:vMerge w:val="restart"/>
            <w:shd w:val="clear" w:color="auto" w:fill="auto"/>
            <w:vAlign w:val="center"/>
            <w:hideMark/>
          </w:tcPr>
          <w:p w14:paraId="7200F060"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Fecha de vencimiento</w:t>
            </w:r>
          </w:p>
        </w:tc>
        <w:tc>
          <w:tcPr>
            <w:tcW w:w="753" w:type="pct"/>
            <w:vMerge w:val="restart"/>
            <w:shd w:val="clear" w:color="auto" w:fill="auto"/>
            <w:vAlign w:val="center"/>
            <w:hideMark/>
          </w:tcPr>
          <w:p w14:paraId="29129866"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Tasa</w:t>
            </w:r>
          </w:p>
        </w:tc>
        <w:tc>
          <w:tcPr>
            <w:tcW w:w="897" w:type="pct"/>
            <w:gridSpan w:val="3"/>
            <w:shd w:val="clear" w:color="auto" w:fill="auto"/>
            <w:vAlign w:val="center"/>
            <w:hideMark/>
          </w:tcPr>
          <w:p w14:paraId="6CE70FF5" w14:textId="77777777" w:rsidR="00D01800" w:rsidRPr="00701F32" w:rsidRDefault="00D01800" w:rsidP="0013666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Valor Libros</w:t>
            </w:r>
          </w:p>
        </w:tc>
      </w:tr>
      <w:tr w:rsidR="006D32C1" w:rsidRPr="00701F32" w14:paraId="0BC76C89" w14:textId="77777777" w:rsidTr="00A059FB">
        <w:trPr>
          <w:trHeight w:val="316"/>
          <w:tblHeader/>
        </w:trPr>
        <w:tc>
          <w:tcPr>
            <w:tcW w:w="524" w:type="pct"/>
            <w:vMerge/>
            <w:vAlign w:val="center"/>
            <w:hideMark/>
          </w:tcPr>
          <w:p w14:paraId="16A4CD2C" w14:textId="77777777" w:rsidR="00D01800" w:rsidRPr="00701F32" w:rsidRDefault="00D01800" w:rsidP="00136660">
            <w:pPr>
              <w:jc w:val="center"/>
              <w:rPr>
                <w:rFonts w:ascii="Arial" w:hAnsi="Arial" w:cs="Arial"/>
                <w:b/>
                <w:color w:val="000000"/>
                <w:sz w:val="14"/>
                <w:szCs w:val="14"/>
                <w:lang w:eastAsia="es-AR"/>
              </w:rPr>
            </w:pPr>
          </w:p>
        </w:tc>
        <w:tc>
          <w:tcPr>
            <w:tcW w:w="396" w:type="pct"/>
            <w:vMerge/>
            <w:vAlign w:val="center"/>
            <w:hideMark/>
          </w:tcPr>
          <w:p w14:paraId="4B5FC9A2" w14:textId="77777777" w:rsidR="00D01800" w:rsidRPr="00701F32" w:rsidRDefault="00D01800" w:rsidP="00136660">
            <w:pPr>
              <w:jc w:val="center"/>
              <w:rPr>
                <w:rFonts w:ascii="Arial" w:hAnsi="Arial" w:cs="Arial"/>
                <w:b/>
                <w:color w:val="000000"/>
                <w:sz w:val="14"/>
                <w:szCs w:val="14"/>
                <w:lang w:eastAsia="es-AR"/>
              </w:rPr>
            </w:pPr>
          </w:p>
        </w:tc>
        <w:tc>
          <w:tcPr>
            <w:tcW w:w="315" w:type="pct"/>
            <w:vMerge/>
            <w:vAlign w:val="center"/>
            <w:hideMark/>
          </w:tcPr>
          <w:p w14:paraId="34C7171E" w14:textId="77777777" w:rsidR="00D01800" w:rsidRPr="00701F32" w:rsidRDefault="00D01800" w:rsidP="00136660">
            <w:pPr>
              <w:jc w:val="center"/>
              <w:rPr>
                <w:rFonts w:ascii="Arial" w:hAnsi="Arial" w:cs="Arial"/>
                <w:b/>
                <w:color w:val="000000"/>
                <w:sz w:val="14"/>
                <w:szCs w:val="14"/>
                <w:lang w:eastAsia="es-AR"/>
              </w:rPr>
            </w:pPr>
          </w:p>
        </w:tc>
        <w:tc>
          <w:tcPr>
            <w:tcW w:w="463" w:type="pct"/>
            <w:vMerge/>
            <w:vAlign w:val="center"/>
            <w:hideMark/>
          </w:tcPr>
          <w:p w14:paraId="54CEB22A" w14:textId="77777777" w:rsidR="00D01800" w:rsidRPr="00701F32" w:rsidRDefault="00D01800" w:rsidP="00136660">
            <w:pPr>
              <w:jc w:val="center"/>
              <w:rPr>
                <w:rFonts w:ascii="Arial" w:hAnsi="Arial" w:cs="Arial"/>
                <w:b/>
                <w:color w:val="000000"/>
                <w:sz w:val="14"/>
                <w:szCs w:val="14"/>
                <w:lang w:eastAsia="es-AR"/>
              </w:rPr>
            </w:pPr>
          </w:p>
        </w:tc>
        <w:tc>
          <w:tcPr>
            <w:tcW w:w="632" w:type="pct"/>
            <w:vMerge/>
            <w:vAlign w:val="center"/>
            <w:hideMark/>
          </w:tcPr>
          <w:p w14:paraId="1895CE0D" w14:textId="77777777" w:rsidR="00D01800" w:rsidRPr="00701F32" w:rsidRDefault="00D01800" w:rsidP="00136660">
            <w:pPr>
              <w:jc w:val="center"/>
              <w:rPr>
                <w:rFonts w:ascii="Arial" w:hAnsi="Arial" w:cs="Arial"/>
                <w:b/>
                <w:color w:val="000000"/>
                <w:sz w:val="14"/>
                <w:szCs w:val="14"/>
                <w:lang w:eastAsia="es-AR"/>
              </w:rPr>
            </w:pPr>
          </w:p>
        </w:tc>
        <w:tc>
          <w:tcPr>
            <w:tcW w:w="474" w:type="pct"/>
            <w:vMerge/>
            <w:vAlign w:val="center"/>
            <w:hideMark/>
          </w:tcPr>
          <w:p w14:paraId="460E8590" w14:textId="77777777" w:rsidR="00D01800" w:rsidRPr="00701F32" w:rsidRDefault="00D01800" w:rsidP="00136660">
            <w:pPr>
              <w:jc w:val="center"/>
              <w:rPr>
                <w:rFonts w:ascii="Arial" w:hAnsi="Arial" w:cs="Arial"/>
                <w:b/>
                <w:color w:val="000000"/>
                <w:sz w:val="14"/>
                <w:szCs w:val="14"/>
                <w:lang w:eastAsia="es-AR"/>
              </w:rPr>
            </w:pPr>
          </w:p>
        </w:tc>
        <w:tc>
          <w:tcPr>
            <w:tcW w:w="546" w:type="pct"/>
            <w:vMerge/>
            <w:vAlign w:val="center"/>
            <w:hideMark/>
          </w:tcPr>
          <w:p w14:paraId="3626D209" w14:textId="77777777" w:rsidR="00D01800" w:rsidRPr="00701F32" w:rsidRDefault="00D01800" w:rsidP="00136660">
            <w:pPr>
              <w:jc w:val="center"/>
              <w:rPr>
                <w:rFonts w:ascii="Arial" w:hAnsi="Arial" w:cs="Arial"/>
                <w:b/>
                <w:color w:val="000000"/>
                <w:sz w:val="14"/>
                <w:szCs w:val="14"/>
                <w:lang w:eastAsia="es-AR"/>
              </w:rPr>
            </w:pPr>
          </w:p>
        </w:tc>
        <w:tc>
          <w:tcPr>
            <w:tcW w:w="753" w:type="pct"/>
            <w:vMerge/>
            <w:vAlign w:val="center"/>
            <w:hideMark/>
          </w:tcPr>
          <w:p w14:paraId="0A546C41" w14:textId="77777777" w:rsidR="00D01800" w:rsidRPr="00701F32" w:rsidRDefault="00D01800" w:rsidP="00136660">
            <w:pPr>
              <w:jc w:val="center"/>
              <w:rPr>
                <w:rFonts w:ascii="Arial" w:hAnsi="Arial" w:cs="Arial"/>
                <w:b/>
                <w:color w:val="000000"/>
                <w:sz w:val="14"/>
                <w:szCs w:val="14"/>
                <w:lang w:eastAsia="es-AR"/>
              </w:rPr>
            </w:pPr>
          </w:p>
        </w:tc>
        <w:tc>
          <w:tcPr>
            <w:tcW w:w="444" w:type="pct"/>
            <w:shd w:val="clear" w:color="auto" w:fill="auto"/>
            <w:vAlign w:val="center"/>
            <w:hideMark/>
          </w:tcPr>
          <w:p w14:paraId="63C9A9F1" w14:textId="4FB581FF" w:rsidR="00D01800" w:rsidRPr="00701F32" w:rsidRDefault="005D476E" w:rsidP="005D476E">
            <w:pPr>
              <w:jc w:val="center"/>
              <w:rPr>
                <w:rFonts w:ascii="Arial" w:hAnsi="Arial" w:cs="Arial"/>
                <w:b/>
                <w:color w:val="000000"/>
                <w:sz w:val="14"/>
                <w:szCs w:val="14"/>
                <w:lang w:eastAsia="es-AR"/>
              </w:rPr>
            </w:pPr>
            <w:r>
              <w:rPr>
                <w:rFonts w:ascii="Arial" w:hAnsi="Arial" w:cs="Arial"/>
                <w:b/>
                <w:color w:val="000000"/>
                <w:sz w:val="14"/>
                <w:szCs w:val="14"/>
                <w:lang w:eastAsia="es-AR"/>
              </w:rPr>
              <w:t>3</w:t>
            </w:r>
            <w:r w:rsidR="00032EC8">
              <w:rPr>
                <w:rFonts w:ascii="Arial" w:hAnsi="Arial" w:cs="Arial"/>
                <w:b/>
                <w:color w:val="000000"/>
                <w:sz w:val="14"/>
                <w:szCs w:val="14"/>
                <w:lang w:eastAsia="es-AR"/>
              </w:rPr>
              <w:t>1</w:t>
            </w:r>
            <w:r w:rsidR="00D01800">
              <w:rPr>
                <w:rFonts w:ascii="Arial" w:hAnsi="Arial" w:cs="Arial"/>
                <w:b/>
                <w:color w:val="000000"/>
                <w:sz w:val="14"/>
                <w:szCs w:val="14"/>
                <w:lang w:eastAsia="es-AR"/>
              </w:rPr>
              <w:t>/</w:t>
            </w:r>
            <w:r w:rsidR="00032EC8">
              <w:rPr>
                <w:rFonts w:ascii="Arial" w:hAnsi="Arial" w:cs="Arial"/>
                <w:b/>
                <w:color w:val="000000"/>
                <w:sz w:val="14"/>
                <w:szCs w:val="14"/>
                <w:lang w:eastAsia="es-AR"/>
              </w:rPr>
              <w:t>12</w:t>
            </w:r>
            <w:r w:rsidR="00D01800">
              <w:rPr>
                <w:rFonts w:ascii="Arial" w:hAnsi="Arial" w:cs="Arial"/>
                <w:b/>
                <w:color w:val="000000"/>
                <w:sz w:val="14"/>
                <w:szCs w:val="14"/>
                <w:lang w:eastAsia="es-AR"/>
              </w:rPr>
              <w:t>/19</w:t>
            </w:r>
          </w:p>
        </w:tc>
        <w:tc>
          <w:tcPr>
            <w:tcW w:w="453" w:type="pct"/>
            <w:gridSpan w:val="2"/>
            <w:shd w:val="clear" w:color="auto" w:fill="auto"/>
            <w:vAlign w:val="center"/>
            <w:hideMark/>
          </w:tcPr>
          <w:p w14:paraId="4A896275" w14:textId="383121C9" w:rsidR="00D01800" w:rsidRPr="00701F32" w:rsidRDefault="00D01800" w:rsidP="00136660">
            <w:pPr>
              <w:jc w:val="center"/>
              <w:rPr>
                <w:rFonts w:ascii="Arial" w:hAnsi="Arial" w:cs="Arial"/>
                <w:b/>
                <w:color w:val="000000"/>
                <w:sz w:val="14"/>
                <w:szCs w:val="14"/>
                <w:lang w:eastAsia="es-AR"/>
              </w:rPr>
            </w:pPr>
            <w:r>
              <w:rPr>
                <w:rFonts w:ascii="Arial" w:hAnsi="Arial" w:cs="Arial"/>
                <w:b/>
                <w:color w:val="000000"/>
                <w:sz w:val="14"/>
                <w:szCs w:val="14"/>
                <w:lang w:eastAsia="es-AR"/>
              </w:rPr>
              <w:t>31/12/18</w:t>
            </w:r>
          </w:p>
        </w:tc>
      </w:tr>
      <w:tr w:rsidR="006D32C1" w:rsidRPr="00701F32" w14:paraId="6B1947D0" w14:textId="77777777" w:rsidTr="00A059FB">
        <w:trPr>
          <w:trHeight w:val="527"/>
        </w:trPr>
        <w:tc>
          <w:tcPr>
            <w:tcW w:w="524" w:type="pct"/>
            <w:shd w:val="clear" w:color="auto" w:fill="auto"/>
            <w:noWrap/>
            <w:vAlign w:val="center"/>
            <w:hideMark/>
          </w:tcPr>
          <w:p w14:paraId="51F8CFB8" w14:textId="77777777" w:rsidR="00D01800" w:rsidRPr="00701F32" w:rsidRDefault="00D01800">
            <w:pPr>
              <w:jc w:val="center"/>
              <w:rPr>
                <w:rFonts w:ascii="Arial" w:hAnsi="Arial" w:cs="Arial"/>
                <w:color w:val="000000"/>
                <w:sz w:val="14"/>
                <w:szCs w:val="14"/>
                <w:lang w:eastAsia="es-AR"/>
              </w:rPr>
            </w:pPr>
            <w:r w:rsidRPr="00701F32">
              <w:rPr>
                <w:rFonts w:ascii="Arial" w:hAnsi="Arial" w:cs="Arial"/>
                <w:color w:val="000000"/>
                <w:sz w:val="14"/>
                <w:szCs w:val="14"/>
                <w:lang w:eastAsia="es-AR"/>
              </w:rPr>
              <w:t>11/05/17</w:t>
            </w:r>
          </w:p>
        </w:tc>
        <w:tc>
          <w:tcPr>
            <w:tcW w:w="396" w:type="pct"/>
            <w:shd w:val="clear" w:color="auto" w:fill="auto"/>
            <w:noWrap/>
            <w:vAlign w:val="center"/>
            <w:hideMark/>
          </w:tcPr>
          <w:p w14:paraId="51459F92" w14:textId="77777777" w:rsidR="00D01800" w:rsidRPr="00701F32" w:rsidRDefault="00D01800"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15" w:type="pct"/>
            <w:shd w:val="clear" w:color="auto" w:fill="auto"/>
            <w:noWrap/>
            <w:vAlign w:val="center"/>
            <w:hideMark/>
          </w:tcPr>
          <w:p w14:paraId="77077E66" w14:textId="0D4A9F00" w:rsidR="00D01800" w:rsidRPr="00701F32" w:rsidRDefault="00D01800"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XIV</w:t>
            </w:r>
            <w:r>
              <w:rPr>
                <w:rFonts w:ascii="Arial" w:hAnsi="Arial" w:cs="Arial"/>
                <w:color w:val="000000"/>
                <w:sz w:val="14"/>
                <w:szCs w:val="14"/>
                <w:lang w:eastAsia="es-AR"/>
              </w:rPr>
              <w:t xml:space="preserve"> </w:t>
            </w:r>
            <w:r>
              <w:rPr>
                <w:rFonts w:ascii="Arial" w:hAnsi="Arial" w:cs="Arial"/>
                <w:color w:val="000000"/>
                <w:sz w:val="14"/>
                <w:szCs w:val="16"/>
                <w:lang w:eastAsia="es-AR"/>
              </w:rPr>
              <w:t>(*)</w:t>
            </w:r>
          </w:p>
        </w:tc>
        <w:tc>
          <w:tcPr>
            <w:tcW w:w="463" w:type="pct"/>
            <w:shd w:val="clear" w:color="auto" w:fill="auto"/>
            <w:noWrap/>
            <w:vAlign w:val="center"/>
            <w:hideMark/>
          </w:tcPr>
          <w:p w14:paraId="75891180" w14:textId="261552CC" w:rsidR="00D01800" w:rsidRPr="00701F32" w:rsidRDefault="00CB4BAD" w:rsidP="00136660">
            <w:pPr>
              <w:jc w:val="right"/>
              <w:rPr>
                <w:rFonts w:ascii="Arial" w:hAnsi="Arial" w:cs="Arial"/>
                <w:color w:val="000000"/>
                <w:sz w:val="14"/>
                <w:szCs w:val="14"/>
                <w:lang w:eastAsia="es-AR"/>
              </w:rPr>
            </w:pPr>
            <w:r>
              <w:rPr>
                <w:rFonts w:ascii="Arial" w:hAnsi="Arial" w:cs="Arial"/>
                <w:color w:val="000000"/>
                <w:sz w:val="14"/>
                <w:szCs w:val="14"/>
                <w:lang w:eastAsia="es-AR"/>
              </w:rPr>
              <w:t>558</w:t>
            </w:r>
            <w:r w:rsidR="00D01800" w:rsidRPr="00701F32">
              <w:rPr>
                <w:rFonts w:ascii="Arial" w:hAnsi="Arial" w:cs="Arial"/>
                <w:color w:val="000000"/>
                <w:sz w:val="14"/>
                <w:szCs w:val="14"/>
                <w:lang w:eastAsia="es-AR"/>
              </w:rPr>
              <w:t>.000</w:t>
            </w:r>
          </w:p>
        </w:tc>
        <w:tc>
          <w:tcPr>
            <w:tcW w:w="632" w:type="pct"/>
            <w:shd w:val="clear" w:color="auto" w:fill="auto"/>
            <w:vAlign w:val="center"/>
            <w:hideMark/>
          </w:tcPr>
          <w:p w14:paraId="267164D8" w14:textId="77777777" w:rsidR="00D01800" w:rsidRPr="00701F32" w:rsidRDefault="00D01800"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100% al vto.</w:t>
            </w:r>
          </w:p>
        </w:tc>
        <w:tc>
          <w:tcPr>
            <w:tcW w:w="474" w:type="pct"/>
            <w:shd w:val="clear" w:color="auto" w:fill="auto"/>
            <w:noWrap/>
            <w:vAlign w:val="center"/>
            <w:hideMark/>
          </w:tcPr>
          <w:p w14:paraId="67368A5C" w14:textId="441FD1A9" w:rsidR="00D01800" w:rsidRPr="00701F32" w:rsidRDefault="00D01800"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24 </w:t>
            </w:r>
            <w:r w:rsidR="00AE73E8" w:rsidRPr="00701F32">
              <w:rPr>
                <w:rFonts w:ascii="Arial" w:hAnsi="Arial" w:cs="Arial"/>
                <w:color w:val="000000"/>
                <w:sz w:val="14"/>
                <w:szCs w:val="14"/>
                <w:lang w:eastAsia="es-AR"/>
              </w:rPr>
              <w:t>meses</w:t>
            </w:r>
          </w:p>
        </w:tc>
        <w:tc>
          <w:tcPr>
            <w:tcW w:w="546" w:type="pct"/>
            <w:shd w:val="clear" w:color="auto" w:fill="auto"/>
            <w:noWrap/>
            <w:vAlign w:val="center"/>
            <w:hideMark/>
          </w:tcPr>
          <w:p w14:paraId="3266C7BC" w14:textId="77777777" w:rsidR="00D01800" w:rsidRPr="00701F32" w:rsidRDefault="00D01800"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11/05/2019</w:t>
            </w:r>
          </w:p>
        </w:tc>
        <w:tc>
          <w:tcPr>
            <w:tcW w:w="753" w:type="pct"/>
            <w:shd w:val="clear" w:color="auto" w:fill="auto"/>
            <w:vAlign w:val="center"/>
            <w:hideMark/>
          </w:tcPr>
          <w:p w14:paraId="2C0948BF" w14:textId="77777777" w:rsidR="00D01800" w:rsidRPr="00701F32" w:rsidRDefault="00D01800"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Variable TNA 3,50% + BADLAR </w:t>
            </w:r>
          </w:p>
        </w:tc>
        <w:tc>
          <w:tcPr>
            <w:tcW w:w="444" w:type="pct"/>
            <w:shd w:val="clear" w:color="auto" w:fill="auto"/>
            <w:noWrap/>
            <w:vAlign w:val="bottom"/>
          </w:tcPr>
          <w:p w14:paraId="7B388BDE" w14:textId="6B18D7F9" w:rsidR="00D01800" w:rsidRPr="00C91FD2" w:rsidRDefault="006D32C1">
            <w:pPr>
              <w:ind w:left="709" w:hanging="709"/>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453" w:type="pct"/>
            <w:gridSpan w:val="2"/>
            <w:shd w:val="clear" w:color="auto" w:fill="auto"/>
            <w:noWrap/>
            <w:vAlign w:val="bottom"/>
          </w:tcPr>
          <w:p w14:paraId="435AC49A" w14:textId="5DE5C674" w:rsidR="00D01800" w:rsidRPr="00C91FD2" w:rsidRDefault="00D01800">
            <w:pPr>
              <w:jc w:val="right"/>
              <w:rPr>
                <w:rFonts w:ascii="Arial" w:hAnsi="Arial" w:cs="Arial"/>
                <w:color w:val="000000"/>
                <w:sz w:val="14"/>
                <w:szCs w:val="14"/>
                <w:lang w:eastAsia="es-AR"/>
              </w:rPr>
            </w:pPr>
            <w:r w:rsidRPr="00534414">
              <w:rPr>
                <w:rFonts w:ascii="Arial" w:hAnsi="Arial" w:cs="Arial"/>
                <w:sz w:val="14"/>
                <w:szCs w:val="14"/>
              </w:rPr>
              <w:t>397.590</w:t>
            </w:r>
          </w:p>
        </w:tc>
      </w:tr>
      <w:tr w:rsidR="006D32C1" w:rsidRPr="00701F32" w14:paraId="47774FEC" w14:textId="77777777" w:rsidTr="00A059FB">
        <w:trPr>
          <w:trHeight w:val="527"/>
        </w:trPr>
        <w:tc>
          <w:tcPr>
            <w:tcW w:w="524" w:type="pct"/>
            <w:shd w:val="clear" w:color="auto" w:fill="auto"/>
            <w:noWrap/>
            <w:vAlign w:val="center"/>
            <w:hideMark/>
          </w:tcPr>
          <w:p w14:paraId="43E4EAC7" w14:textId="77777777" w:rsidR="00D01800" w:rsidRPr="00701F32" w:rsidRDefault="00D01800">
            <w:pPr>
              <w:jc w:val="center"/>
              <w:rPr>
                <w:rFonts w:ascii="Arial" w:hAnsi="Arial" w:cs="Arial"/>
                <w:color w:val="000000"/>
                <w:sz w:val="14"/>
                <w:szCs w:val="14"/>
                <w:lang w:eastAsia="es-AR"/>
              </w:rPr>
            </w:pPr>
            <w:r w:rsidRPr="00701F32">
              <w:rPr>
                <w:rFonts w:ascii="Arial" w:hAnsi="Arial" w:cs="Arial"/>
                <w:color w:val="000000"/>
                <w:sz w:val="14"/>
                <w:szCs w:val="14"/>
                <w:lang w:eastAsia="es-AR"/>
              </w:rPr>
              <w:t>24/08/17</w:t>
            </w:r>
          </w:p>
        </w:tc>
        <w:tc>
          <w:tcPr>
            <w:tcW w:w="396" w:type="pct"/>
            <w:shd w:val="clear" w:color="auto" w:fill="auto"/>
            <w:noWrap/>
            <w:vAlign w:val="center"/>
            <w:hideMark/>
          </w:tcPr>
          <w:p w14:paraId="400FA3A4" w14:textId="77777777" w:rsidR="00D01800" w:rsidRPr="00701F32" w:rsidRDefault="00D01800"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15" w:type="pct"/>
            <w:shd w:val="clear" w:color="auto" w:fill="auto"/>
            <w:noWrap/>
            <w:vAlign w:val="center"/>
            <w:hideMark/>
          </w:tcPr>
          <w:p w14:paraId="3305B221" w14:textId="7B3C217C" w:rsidR="00D01800" w:rsidRPr="00701F32" w:rsidRDefault="00D01800"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XV</w:t>
            </w:r>
            <w:r>
              <w:rPr>
                <w:rFonts w:ascii="Arial" w:hAnsi="Arial" w:cs="Arial"/>
                <w:color w:val="000000"/>
                <w:sz w:val="14"/>
                <w:szCs w:val="14"/>
                <w:lang w:eastAsia="es-AR"/>
              </w:rPr>
              <w:t xml:space="preserve"> </w:t>
            </w:r>
            <w:r>
              <w:rPr>
                <w:rFonts w:ascii="Arial" w:hAnsi="Arial" w:cs="Arial"/>
                <w:color w:val="000000"/>
                <w:sz w:val="14"/>
                <w:szCs w:val="16"/>
                <w:lang w:eastAsia="es-AR"/>
              </w:rPr>
              <w:t>(*)</w:t>
            </w:r>
          </w:p>
        </w:tc>
        <w:tc>
          <w:tcPr>
            <w:tcW w:w="463" w:type="pct"/>
            <w:shd w:val="clear" w:color="auto" w:fill="auto"/>
            <w:noWrap/>
            <w:vAlign w:val="center"/>
            <w:hideMark/>
          </w:tcPr>
          <w:p w14:paraId="7C8F76DF" w14:textId="77777777" w:rsidR="00D01800" w:rsidRPr="00701F32" w:rsidRDefault="00D01800" w:rsidP="00136660">
            <w:pPr>
              <w:jc w:val="right"/>
              <w:rPr>
                <w:rFonts w:ascii="Arial" w:hAnsi="Arial" w:cs="Arial"/>
                <w:color w:val="000000"/>
                <w:sz w:val="14"/>
                <w:szCs w:val="14"/>
                <w:lang w:eastAsia="es-AR"/>
              </w:rPr>
            </w:pPr>
            <w:r w:rsidRPr="00701F32">
              <w:rPr>
                <w:rFonts w:ascii="Arial" w:hAnsi="Arial" w:cs="Arial"/>
                <w:color w:val="000000"/>
                <w:sz w:val="14"/>
                <w:szCs w:val="14"/>
                <w:lang w:eastAsia="es-AR"/>
              </w:rPr>
              <w:t>413.500</w:t>
            </w:r>
          </w:p>
        </w:tc>
        <w:tc>
          <w:tcPr>
            <w:tcW w:w="632" w:type="pct"/>
            <w:shd w:val="clear" w:color="auto" w:fill="auto"/>
            <w:vAlign w:val="center"/>
            <w:hideMark/>
          </w:tcPr>
          <w:p w14:paraId="26D055E1" w14:textId="77777777" w:rsidR="00D01800" w:rsidRPr="00701F32" w:rsidRDefault="00D01800"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100% al vto.</w:t>
            </w:r>
          </w:p>
        </w:tc>
        <w:tc>
          <w:tcPr>
            <w:tcW w:w="474" w:type="pct"/>
            <w:shd w:val="clear" w:color="auto" w:fill="auto"/>
            <w:noWrap/>
            <w:vAlign w:val="center"/>
            <w:hideMark/>
          </w:tcPr>
          <w:p w14:paraId="217B5ECC" w14:textId="0BF00137" w:rsidR="00D01800" w:rsidRPr="00701F32" w:rsidRDefault="00D01800"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17 </w:t>
            </w:r>
            <w:r w:rsidR="00AE73E8" w:rsidRPr="00701F32">
              <w:rPr>
                <w:rFonts w:ascii="Arial" w:hAnsi="Arial" w:cs="Arial"/>
                <w:color w:val="000000"/>
                <w:sz w:val="14"/>
                <w:szCs w:val="14"/>
                <w:lang w:eastAsia="es-AR"/>
              </w:rPr>
              <w:t>meses</w:t>
            </w:r>
          </w:p>
        </w:tc>
        <w:tc>
          <w:tcPr>
            <w:tcW w:w="546" w:type="pct"/>
            <w:shd w:val="clear" w:color="auto" w:fill="auto"/>
            <w:noWrap/>
            <w:vAlign w:val="center"/>
            <w:hideMark/>
          </w:tcPr>
          <w:p w14:paraId="14F08B95" w14:textId="77777777" w:rsidR="00D01800" w:rsidRPr="00701F32" w:rsidRDefault="00D01800"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23/02/2019</w:t>
            </w:r>
          </w:p>
        </w:tc>
        <w:tc>
          <w:tcPr>
            <w:tcW w:w="753" w:type="pct"/>
            <w:shd w:val="clear" w:color="auto" w:fill="auto"/>
            <w:vAlign w:val="center"/>
            <w:hideMark/>
          </w:tcPr>
          <w:p w14:paraId="6B2793F1" w14:textId="4AE7048C" w:rsidR="00D01800" w:rsidRPr="00701F32" w:rsidRDefault="00D01800" w:rsidP="00136660">
            <w:pPr>
              <w:jc w:val="both"/>
              <w:rPr>
                <w:rFonts w:ascii="Arial" w:hAnsi="Arial" w:cs="Arial"/>
                <w:color w:val="000000"/>
                <w:sz w:val="14"/>
                <w:szCs w:val="14"/>
                <w:lang w:eastAsia="es-AR"/>
              </w:rPr>
            </w:pPr>
            <w:r>
              <w:rPr>
                <w:rFonts w:ascii="Arial" w:hAnsi="Arial" w:cs="Arial"/>
                <w:color w:val="000000"/>
                <w:sz w:val="14"/>
                <w:szCs w:val="14"/>
                <w:lang w:eastAsia="es-AR"/>
              </w:rPr>
              <w:t>Variable TNA 4</w:t>
            </w:r>
            <w:r w:rsidRPr="00701F32">
              <w:rPr>
                <w:rFonts w:ascii="Arial" w:hAnsi="Arial" w:cs="Arial"/>
                <w:color w:val="000000"/>
                <w:sz w:val="14"/>
                <w:szCs w:val="14"/>
                <w:lang w:eastAsia="es-AR"/>
              </w:rPr>
              <w:t xml:space="preserve">,75% + BADLAR </w:t>
            </w:r>
          </w:p>
        </w:tc>
        <w:tc>
          <w:tcPr>
            <w:tcW w:w="444" w:type="pct"/>
            <w:shd w:val="clear" w:color="auto" w:fill="auto"/>
            <w:noWrap/>
            <w:vAlign w:val="bottom"/>
          </w:tcPr>
          <w:p w14:paraId="686362F5" w14:textId="33224C6A" w:rsidR="00D01800" w:rsidRPr="00C91FD2" w:rsidRDefault="006D32C1">
            <w:pPr>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453" w:type="pct"/>
            <w:gridSpan w:val="2"/>
            <w:shd w:val="clear" w:color="auto" w:fill="auto"/>
            <w:noWrap/>
            <w:vAlign w:val="bottom"/>
          </w:tcPr>
          <w:p w14:paraId="47D84C1C" w14:textId="0BB0EF64" w:rsidR="00D01800" w:rsidRPr="00C91FD2" w:rsidRDefault="00D01800">
            <w:pPr>
              <w:jc w:val="right"/>
              <w:rPr>
                <w:rFonts w:ascii="Arial" w:hAnsi="Arial" w:cs="Arial"/>
                <w:color w:val="000000"/>
                <w:sz w:val="14"/>
                <w:szCs w:val="14"/>
                <w:lang w:eastAsia="es-AR"/>
              </w:rPr>
            </w:pPr>
            <w:r w:rsidRPr="00534414">
              <w:rPr>
                <w:rFonts w:ascii="Arial" w:hAnsi="Arial" w:cs="Arial"/>
                <w:sz w:val="14"/>
                <w:szCs w:val="14"/>
              </w:rPr>
              <w:t>365.401</w:t>
            </w:r>
          </w:p>
        </w:tc>
      </w:tr>
      <w:tr w:rsidR="006D32C1" w:rsidRPr="00701F32" w14:paraId="68AE19FD" w14:textId="77777777" w:rsidTr="00A059FB">
        <w:trPr>
          <w:trHeight w:val="527"/>
        </w:trPr>
        <w:tc>
          <w:tcPr>
            <w:tcW w:w="524" w:type="pct"/>
            <w:shd w:val="clear" w:color="auto" w:fill="auto"/>
            <w:noWrap/>
            <w:vAlign w:val="center"/>
            <w:hideMark/>
          </w:tcPr>
          <w:p w14:paraId="4741EBD9" w14:textId="77777777" w:rsidR="00D01800" w:rsidRPr="00701F32" w:rsidRDefault="00D01800"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22/11/17</w:t>
            </w:r>
          </w:p>
        </w:tc>
        <w:tc>
          <w:tcPr>
            <w:tcW w:w="396" w:type="pct"/>
            <w:shd w:val="clear" w:color="auto" w:fill="auto"/>
            <w:noWrap/>
            <w:vAlign w:val="center"/>
            <w:hideMark/>
          </w:tcPr>
          <w:p w14:paraId="4701B8E0" w14:textId="77777777" w:rsidR="00D01800" w:rsidRPr="00701F32" w:rsidRDefault="00D01800"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15" w:type="pct"/>
            <w:shd w:val="clear" w:color="auto" w:fill="auto"/>
            <w:noWrap/>
            <w:vAlign w:val="center"/>
            <w:hideMark/>
          </w:tcPr>
          <w:p w14:paraId="281E496F" w14:textId="6CF57644" w:rsidR="00D01800" w:rsidRPr="00701F32" w:rsidRDefault="00D01800"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XVI</w:t>
            </w:r>
            <w:r>
              <w:rPr>
                <w:rFonts w:ascii="Arial" w:hAnsi="Arial" w:cs="Arial"/>
                <w:color w:val="000000"/>
                <w:sz w:val="14"/>
                <w:szCs w:val="14"/>
                <w:lang w:eastAsia="es-AR"/>
              </w:rPr>
              <w:t xml:space="preserve"> </w:t>
            </w:r>
            <w:r>
              <w:rPr>
                <w:rFonts w:ascii="Arial" w:hAnsi="Arial" w:cs="Arial"/>
                <w:color w:val="000000"/>
                <w:sz w:val="14"/>
                <w:szCs w:val="16"/>
                <w:lang w:eastAsia="es-AR"/>
              </w:rPr>
              <w:t>(*)</w:t>
            </w:r>
          </w:p>
        </w:tc>
        <w:tc>
          <w:tcPr>
            <w:tcW w:w="463" w:type="pct"/>
            <w:shd w:val="clear" w:color="auto" w:fill="auto"/>
            <w:noWrap/>
            <w:vAlign w:val="center"/>
            <w:hideMark/>
          </w:tcPr>
          <w:p w14:paraId="2CF3FBEB" w14:textId="1B161D60" w:rsidR="00D01800" w:rsidRPr="00701F32" w:rsidRDefault="00CB4BAD" w:rsidP="00136660">
            <w:pPr>
              <w:jc w:val="right"/>
              <w:rPr>
                <w:rFonts w:ascii="Arial" w:hAnsi="Arial" w:cs="Arial"/>
                <w:color w:val="000000"/>
                <w:sz w:val="14"/>
                <w:szCs w:val="14"/>
                <w:lang w:eastAsia="es-AR"/>
              </w:rPr>
            </w:pPr>
            <w:r>
              <w:rPr>
                <w:rFonts w:ascii="Arial" w:hAnsi="Arial" w:cs="Arial"/>
                <w:color w:val="000000"/>
                <w:sz w:val="14"/>
                <w:szCs w:val="14"/>
                <w:lang w:eastAsia="es-AR"/>
              </w:rPr>
              <w:t>535</w:t>
            </w:r>
            <w:r w:rsidR="00D01800" w:rsidRPr="00701F32">
              <w:rPr>
                <w:rFonts w:ascii="Arial" w:hAnsi="Arial" w:cs="Arial"/>
                <w:color w:val="000000"/>
                <w:sz w:val="14"/>
                <w:szCs w:val="14"/>
                <w:lang w:eastAsia="es-AR"/>
              </w:rPr>
              <w:t>.500</w:t>
            </w:r>
          </w:p>
        </w:tc>
        <w:tc>
          <w:tcPr>
            <w:tcW w:w="632" w:type="pct"/>
            <w:shd w:val="clear" w:color="auto" w:fill="auto"/>
            <w:vAlign w:val="center"/>
            <w:hideMark/>
          </w:tcPr>
          <w:p w14:paraId="271442FC" w14:textId="77777777" w:rsidR="00D01800" w:rsidRPr="00701F32" w:rsidRDefault="00D01800"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100% al vto.</w:t>
            </w:r>
          </w:p>
        </w:tc>
        <w:tc>
          <w:tcPr>
            <w:tcW w:w="474" w:type="pct"/>
            <w:shd w:val="clear" w:color="auto" w:fill="auto"/>
            <w:noWrap/>
            <w:vAlign w:val="center"/>
            <w:hideMark/>
          </w:tcPr>
          <w:p w14:paraId="4F5A8481" w14:textId="5B603F2D" w:rsidR="00D01800" w:rsidRPr="00701F32" w:rsidRDefault="00D01800"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23 </w:t>
            </w:r>
            <w:r w:rsidR="00AE73E8" w:rsidRPr="00701F32">
              <w:rPr>
                <w:rFonts w:ascii="Arial" w:hAnsi="Arial" w:cs="Arial"/>
                <w:color w:val="000000"/>
                <w:sz w:val="14"/>
                <w:szCs w:val="14"/>
                <w:lang w:eastAsia="es-AR"/>
              </w:rPr>
              <w:t>meses</w:t>
            </w:r>
          </w:p>
        </w:tc>
        <w:tc>
          <w:tcPr>
            <w:tcW w:w="546" w:type="pct"/>
            <w:shd w:val="clear" w:color="auto" w:fill="auto"/>
            <w:noWrap/>
            <w:vAlign w:val="center"/>
            <w:hideMark/>
          </w:tcPr>
          <w:p w14:paraId="5E9A233A" w14:textId="77777777" w:rsidR="00D01800" w:rsidRPr="00701F32" w:rsidRDefault="00D01800"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21/11/2019</w:t>
            </w:r>
          </w:p>
        </w:tc>
        <w:tc>
          <w:tcPr>
            <w:tcW w:w="753" w:type="pct"/>
            <w:shd w:val="clear" w:color="auto" w:fill="auto"/>
            <w:vAlign w:val="center"/>
            <w:hideMark/>
          </w:tcPr>
          <w:p w14:paraId="5A464428" w14:textId="77777777" w:rsidR="00D01800" w:rsidRPr="00701F32" w:rsidRDefault="00D01800"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Variable TNA 4,25%+TM20 </w:t>
            </w:r>
          </w:p>
        </w:tc>
        <w:tc>
          <w:tcPr>
            <w:tcW w:w="444" w:type="pct"/>
            <w:shd w:val="clear" w:color="auto" w:fill="auto"/>
            <w:noWrap/>
            <w:vAlign w:val="bottom"/>
          </w:tcPr>
          <w:p w14:paraId="54B19570" w14:textId="6812B8BD" w:rsidR="00D01800" w:rsidRPr="00C91FD2" w:rsidRDefault="00032EC8">
            <w:pPr>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453" w:type="pct"/>
            <w:gridSpan w:val="2"/>
            <w:shd w:val="clear" w:color="auto" w:fill="auto"/>
            <w:noWrap/>
            <w:vAlign w:val="bottom"/>
          </w:tcPr>
          <w:p w14:paraId="3BBEBA89" w14:textId="2DD27EAF" w:rsidR="00D01800" w:rsidRPr="00C91FD2" w:rsidRDefault="00D01800">
            <w:pPr>
              <w:jc w:val="right"/>
              <w:rPr>
                <w:rFonts w:ascii="Arial" w:hAnsi="Arial" w:cs="Arial"/>
                <w:color w:val="000000"/>
                <w:sz w:val="14"/>
                <w:szCs w:val="14"/>
                <w:lang w:eastAsia="es-AR"/>
              </w:rPr>
            </w:pPr>
            <w:r w:rsidRPr="00534414">
              <w:rPr>
                <w:rFonts w:ascii="Arial" w:hAnsi="Arial" w:cs="Arial"/>
                <w:sz w:val="14"/>
                <w:szCs w:val="14"/>
              </w:rPr>
              <w:t>541.013</w:t>
            </w:r>
          </w:p>
        </w:tc>
      </w:tr>
      <w:tr w:rsidR="001E09C8" w:rsidRPr="00701F32" w14:paraId="15D18E11" w14:textId="77777777" w:rsidTr="00A059FB">
        <w:trPr>
          <w:trHeight w:val="527"/>
        </w:trPr>
        <w:tc>
          <w:tcPr>
            <w:tcW w:w="524" w:type="pct"/>
            <w:shd w:val="clear" w:color="auto" w:fill="auto"/>
            <w:noWrap/>
            <w:vAlign w:val="center"/>
          </w:tcPr>
          <w:p w14:paraId="7A27ECE7"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09/02/17</w:t>
            </w:r>
          </w:p>
        </w:tc>
        <w:tc>
          <w:tcPr>
            <w:tcW w:w="396" w:type="pct"/>
            <w:shd w:val="clear" w:color="auto" w:fill="auto"/>
            <w:noWrap/>
            <w:vAlign w:val="center"/>
          </w:tcPr>
          <w:p w14:paraId="68B84CA2"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15" w:type="pct"/>
            <w:shd w:val="clear" w:color="auto" w:fill="auto"/>
            <w:noWrap/>
            <w:vAlign w:val="center"/>
          </w:tcPr>
          <w:p w14:paraId="0160C04B"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A</w:t>
            </w:r>
          </w:p>
        </w:tc>
        <w:tc>
          <w:tcPr>
            <w:tcW w:w="463" w:type="pct"/>
            <w:shd w:val="clear" w:color="auto" w:fill="auto"/>
            <w:noWrap/>
            <w:vAlign w:val="center"/>
          </w:tcPr>
          <w:p w14:paraId="77BD9DC3" w14:textId="469B1E5F" w:rsidR="001E09C8" w:rsidRPr="00701F32" w:rsidRDefault="001E09C8" w:rsidP="00136660">
            <w:pPr>
              <w:jc w:val="right"/>
              <w:rPr>
                <w:rFonts w:ascii="Arial" w:hAnsi="Arial" w:cs="Arial"/>
                <w:color w:val="000000"/>
                <w:sz w:val="14"/>
                <w:szCs w:val="14"/>
                <w:lang w:eastAsia="es-AR"/>
              </w:rPr>
            </w:pPr>
            <w:r w:rsidRPr="00701F32">
              <w:rPr>
                <w:rFonts w:ascii="Arial" w:hAnsi="Arial" w:cs="Arial"/>
                <w:color w:val="000000"/>
                <w:sz w:val="14"/>
                <w:szCs w:val="14"/>
                <w:lang w:eastAsia="es-AR"/>
              </w:rPr>
              <w:t>4.150.140</w:t>
            </w:r>
          </w:p>
        </w:tc>
        <w:tc>
          <w:tcPr>
            <w:tcW w:w="632" w:type="pct"/>
            <w:shd w:val="clear" w:color="auto" w:fill="auto"/>
            <w:vAlign w:val="center"/>
          </w:tcPr>
          <w:p w14:paraId="405A3B9A"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50% el 9-2-2020 y 50% al vencimiento el 9-8-2020</w:t>
            </w:r>
          </w:p>
        </w:tc>
        <w:tc>
          <w:tcPr>
            <w:tcW w:w="474" w:type="pct"/>
            <w:shd w:val="clear" w:color="auto" w:fill="auto"/>
            <w:noWrap/>
            <w:vAlign w:val="center"/>
          </w:tcPr>
          <w:p w14:paraId="60AD4867" w14:textId="2A6BD45E"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42 meses</w:t>
            </w:r>
          </w:p>
        </w:tc>
        <w:tc>
          <w:tcPr>
            <w:tcW w:w="546" w:type="pct"/>
            <w:shd w:val="clear" w:color="auto" w:fill="auto"/>
            <w:noWrap/>
            <w:vAlign w:val="center"/>
          </w:tcPr>
          <w:p w14:paraId="72BF7FDE"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09/08/2020</w:t>
            </w:r>
          </w:p>
        </w:tc>
        <w:tc>
          <w:tcPr>
            <w:tcW w:w="753" w:type="pct"/>
            <w:shd w:val="clear" w:color="auto" w:fill="auto"/>
            <w:vAlign w:val="center"/>
          </w:tcPr>
          <w:p w14:paraId="3799496E"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de Bancos Privados + 4,50%, con un mínimo del 18% nominal anual</w:t>
            </w:r>
          </w:p>
        </w:tc>
        <w:tc>
          <w:tcPr>
            <w:tcW w:w="444" w:type="pct"/>
            <w:shd w:val="clear" w:color="auto" w:fill="auto"/>
            <w:noWrap/>
            <w:vAlign w:val="bottom"/>
          </w:tcPr>
          <w:p w14:paraId="0EA2DC74" w14:textId="09E109A5" w:rsidR="001E09C8" w:rsidRPr="00C91FD2" w:rsidRDefault="00C21D5E" w:rsidP="001E09C8">
            <w:pPr>
              <w:jc w:val="right"/>
              <w:rPr>
                <w:rFonts w:ascii="Arial" w:hAnsi="Arial" w:cs="Arial"/>
                <w:color w:val="000000"/>
                <w:sz w:val="14"/>
                <w:szCs w:val="14"/>
                <w:lang w:eastAsia="es-AR"/>
              </w:rPr>
            </w:pPr>
            <w:r>
              <w:rPr>
                <w:rFonts w:ascii="Arial" w:hAnsi="Arial" w:cs="Arial"/>
                <w:color w:val="000000"/>
                <w:sz w:val="14"/>
                <w:szCs w:val="14"/>
                <w:lang w:eastAsia="es-AR"/>
              </w:rPr>
              <w:t>3.804.338</w:t>
            </w:r>
          </w:p>
        </w:tc>
        <w:tc>
          <w:tcPr>
            <w:tcW w:w="453" w:type="pct"/>
            <w:gridSpan w:val="2"/>
            <w:shd w:val="clear" w:color="auto" w:fill="auto"/>
            <w:noWrap/>
            <w:vAlign w:val="bottom"/>
          </w:tcPr>
          <w:p w14:paraId="18EFF94D" w14:textId="26F5D9FE" w:rsidR="001E09C8" w:rsidRPr="00C91FD2" w:rsidRDefault="001E09C8">
            <w:pPr>
              <w:jc w:val="right"/>
              <w:rPr>
                <w:rFonts w:ascii="Arial" w:hAnsi="Arial" w:cs="Arial"/>
                <w:color w:val="000000"/>
                <w:sz w:val="14"/>
                <w:szCs w:val="14"/>
                <w:lang w:eastAsia="es-AR"/>
              </w:rPr>
            </w:pPr>
            <w:r w:rsidRPr="00534414">
              <w:rPr>
                <w:rFonts w:ascii="Arial" w:hAnsi="Arial" w:cs="Arial"/>
                <w:sz w:val="14"/>
                <w:szCs w:val="14"/>
              </w:rPr>
              <w:t>4.200.603</w:t>
            </w:r>
          </w:p>
        </w:tc>
      </w:tr>
      <w:tr w:rsidR="001E09C8" w:rsidRPr="00701F32" w14:paraId="72324D37" w14:textId="77777777" w:rsidTr="00A059FB">
        <w:trPr>
          <w:trHeight w:val="527"/>
        </w:trPr>
        <w:tc>
          <w:tcPr>
            <w:tcW w:w="524" w:type="pct"/>
            <w:shd w:val="clear" w:color="auto" w:fill="auto"/>
            <w:noWrap/>
            <w:vAlign w:val="center"/>
            <w:hideMark/>
          </w:tcPr>
          <w:p w14:paraId="2343ED2E"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22/12/17</w:t>
            </w:r>
          </w:p>
        </w:tc>
        <w:tc>
          <w:tcPr>
            <w:tcW w:w="396" w:type="pct"/>
            <w:shd w:val="clear" w:color="auto" w:fill="auto"/>
            <w:noWrap/>
            <w:vAlign w:val="center"/>
            <w:hideMark/>
          </w:tcPr>
          <w:p w14:paraId="7FEED0BA"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15" w:type="pct"/>
            <w:shd w:val="clear" w:color="auto" w:fill="auto"/>
            <w:noWrap/>
            <w:vAlign w:val="center"/>
            <w:hideMark/>
          </w:tcPr>
          <w:p w14:paraId="07CA79AB"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B</w:t>
            </w:r>
          </w:p>
        </w:tc>
        <w:tc>
          <w:tcPr>
            <w:tcW w:w="463" w:type="pct"/>
            <w:shd w:val="clear" w:color="auto" w:fill="auto"/>
            <w:noWrap/>
            <w:vAlign w:val="center"/>
            <w:hideMark/>
          </w:tcPr>
          <w:p w14:paraId="7DAA3F9A" w14:textId="77777777" w:rsidR="001E09C8" w:rsidRPr="00701F32" w:rsidRDefault="001E09C8" w:rsidP="00136660">
            <w:pPr>
              <w:jc w:val="right"/>
              <w:rPr>
                <w:rFonts w:ascii="Arial" w:hAnsi="Arial" w:cs="Arial"/>
                <w:color w:val="000000"/>
                <w:sz w:val="14"/>
                <w:szCs w:val="14"/>
                <w:lang w:eastAsia="es-AR"/>
              </w:rPr>
            </w:pPr>
            <w:r w:rsidRPr="00701F32">
              <w:rPr>
                <w:rFonts w:ascii="Arial" w:hAnsi="Arial" w:cs="Arial"/>
                <w:color w:val="000000"/>
                <w:sz w:val="14"/>
                <w:szCs w:val="14"/>
                <w:lang w:eastAsia="es-AR"/>
              </w:rPr>
              <w:t>629.000</w:t>
            </w:r>
          </w:p>
        </w:tc>
        <w:tc>
          <w:tcPr>
            <w:tcW w:w="632" w:type="pct"/>
            <w:shd w:val="clear" w:color="auto" w:fill="auto"/>
            <w:vAlign w:val="center"/>
            <w:hideMark/>
          </w:tcPr>
          <w:p w14:paraId="0756F6C7"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100% al vto.</w:t>
            </w:r>
          </w:p>
        </w:tc>
        <w:tc>
          <w:tcPr>
            <w:tcW w:w="474" w:type="pct"/>
            <w:shd w:val="clear" w:color="auto" w:fill="auto"/>
            <w:noWrap/>
            <w:vAlign w:val="center"/>
            <w:hideMark/>
          </w:tcPr>
          <w:p w14:paraId="2E45DF46" w14:textId="196A58F0"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24 meses</w:t>
            </w:r>
          </w:p>
        </w:tc>
        <w:tc>
          <w:tcPr>
            <w:tcW w:w="546" w:type="pct"/>
            <w:shd w:val="clear" w:color="auto" w:fill="auto"/>
            <w:noWrap/>
            <w:vAlign w:val="center"/>
            <w:hideMark/>
          </w:tcPr>
          <w:p w14:paraId="499355FF"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22/12/2019</w:t>
            </w:r>
          </w:p>
        </w:tc>
        <w:tc>
          <w:tcPr>
            <w:tcW w:w="753" w:type="pct"/>
            <w:shd w:val="clear" w:color="auto" w:fill="auto"/>
            <w:vAlign w:val="center"/>
            <w:hideMark/>
          </w:tcPr>
          <w:p w14:paraId="3457021C"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TM20 + 3,25%</w:t>
            </w:r>
          </w:p>
        </w:tc>
        <w:tc>
          <w:tcPr>
            <w:tcW w:w="444" w:type="pct"/>
            <w:shd w:val="clear" w:color="auto" w:fill="auto"/>
            <w:noWrap/>
            <w:vAlign w:val="bottom"/>
          </w:tcPr>
          <w:p w14:paraId="08F8CA49" w14:textId="6732D39B" w:rsidR="001E09C8" w:rsidRPr="00C91FD2" w:rsidRDefault="00032EC8" w:rsidP="001E09C8">
            <w:pPr>
              <w:jc w:val="right"/>
              <w:rPr>
                <w:rFonts w:ascii="Arial" w:hAnsi="Arial" w:cs="Arial"/>
                <w:color w:val="000000"/>
                <w:sz w:val="14"/>
                <w:szCs w:val="14"/>
                <w:lang w:eastAsia="es-AR"/>
              </w:rPr>
            </w:pPr>
            <w:r>
              <w:rPr>
                <w:rFonts w:ascii="Arial" w:hAnsi="Arial" w:cs="Arial"/>
                <w:color w:val="000000"/>
                <w:sz w:val="14"/>
                <w:szCs w:val="14"/>
              </w:rPr>
              <w:t>-</w:t>
            </w:r>
          </w:p>
        </w:tc>
        <w:tc>
          <w:tcPr>
            <w:tcW w:w="453" w:type="pct"/>
            <w:gridSpan w:val="2"/>
            <w:shd w:val="clear" w:color="auto" w:fill="auto"/>
            <w:noWrap/>
            <w:vAlign w:val="bottom"/>
          </w:tcPr>
          <w:p w14:paraId="4B750B64" w14:textId="0A439050" w:rsidR="001E09C8" w:rsidRPr="00C91FD2" w:rsidRDefault="001E09C8">
            <w:pPr>
              <w:jc w:val="right"/>
              <w:rPr>
                <w:rFonts w:ascii="Arial" w:hAnsi="Arial" w:cs="Arial"/>
                <w:color w:val="000000"/>
                <w:sz w:val="14"/>
                <w:szCs w:val="14"/>
                <w:lang w:eastAsia="es-AR"/>
              </w:rPr>
            </w:pPr>
            <w:r w:rsidRPr="00534414">
              <w:rPr>
                <w:rFonts w:ascii="Arial" w:hAnsi="Arial" w:cs="Arial"/>
                <w:sz w:val="14"/>
                <w:szCs w:val="14"/>
              </w:rPr>
              <w:t>600.155</w:t>
            </w:r>
          </w:p>
        </w:tc>
      </w:tr>
      <w:tr w:rsidR="001E09C8" w:rsidRPr="00701F32" w14:paraId="143D10ED" w14:textId="77777777" w:rsidTr="00A059FB">
        <w:trPr>
          <w:trHeight w:val="1706"/>
        </w:trPr>
        <w:tc>
          <w:tcPr>
            <w:tcW w:w="524" w:type="pct"/>
            <w:shd w:val="clear" w:color="auto" w:fill="auto"/>
            <w:noWrap/>
            <w:vAlign w:val="center"/>
            <w:hideMark/>
          </w:tcPr>
          <w:p w14:paraId="0EC9202F"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22/12/17</w:t>
            </w:r>
          </w:p>
        </w:tc>
        <w:tc>
          <w:tcPr>
            <w:tcW w:w="396" w:type="pct"/>
            <w:shd w:val="clear" w:color="auto" w:fill="auto"/>
            <w:noWrap/>
            <w:vAlign w:val="center"/>
            <w:hideMark/>
          </w:tcPr>
          <w:p w14:paraId="54E45F73"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15" w:type="pct"/>
            <w:shd w:val="clear" w:color="auto" w:fill="auto"/>
            <w:noWrap/>
            <w:vAlign w:val="center"/>
            <w:hideMark/>
          </w:tcPr>
          <w:p w14:paraId="582E9757"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C</w:t>
            </w:r>
          </w:p>
        </w:tc>
        <w:tc>
          <w:tcPr>
            <w:tcW w:w="463" w:type="pct"/>
            <w:shd w:val="clear" w:color="auto" w:fill="auto"/>
            <w:noWrap/>
            <w:vAlign w:val="center"/>
            <w:hideMark/>
          </w:tcPr>
          <w:p w14:paraId="0E70D946" w14:textId="77777777" w:rsidR="001E09C8" w:rsidRPr="00701F32" w:rsidRDefault="001E09C8" w:rsidP="00136660">
            <w:pPr>
              <w:jc w:val="right"/>
              <w:rPr>
                <w:rFonts w:ascii="Arial" w:hAnsi="Arial" w:cs="Arial"/>
                <w:color w:val="000000"/>
                <w:sz w:val="14"/>
                <w:szCs w:val="14"/>
                <w:lang w:eastAsia="es-AR"/>
              </w:rPr>
            </w:pPr>
            <w:r w:rsidRPr="00701F32">
              <w:rPr>
                <w:rFonts w:ascii="Arial" w:hAnsi="Arial" w:cs="Arial"/>
                <w:color w:val="000000"/>
                <w:sz w:val="14"/>
                <w:szCs w:val="14"/>
                <w:lang w:eastAsia="es-AR"/>
              </w:rPr>
              <w:t>659.750</w:t>
            </w:r>
          </w:p>
        </w:tc>
        <w:tc>
          <w:tcPr>
            <w:tcW w:w="632" w:type="pct"/>
            <w:shd w:val="clear" w:color="auto" w:fill="auto"/>
            <w:vAlign w:val="center"/>
            <w:hideMark/>
          </w:tcPr>
          <w:p w14:paraId="1A4BFECA"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3 cuotas:</w:t>
            </w:r>
          </w:p>
          <w:p w14:paraId="707A533D" w14:textId="77777777" w:rsidR="001E09C8" w:rsidRPr="00701F32" w:rsidRDefault="001E09C8" w:rsidP="00136660">
            <w:pPr>
              <w:jc w:val="both"/>
              <w:rPr>
                <w:rFonts w:ascii="Arial" w:hAnsi="Arial" w:cs="Arial"/>
                <w:color w:val="000000"/>
                <w:sz w:val="14"/>
                <w:szCs w:val="14"/>
                <w:lang w:eastAsia="es-AR"/>
              </w:rPr>
            </w:pPr>
          </w:p>
          <w:p w14:paraId="1FD82C6B"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22-12-2020 33,33%,</w:t>
            </w:r>
          </w:p>
          <w:p w14:paraId="432CD605" w14:textId="77777777" w:rsidR="001E09C8" w:rsidRPr="00701F32" w:rsidRDefault="001E09C8" w:rsidP="00136660">
            <w:pPr>
              <w:jc w:val="both"/>
              <w:rPr>
                <w:rFonts w:ascii="Arial" w:hAnsi="Arial" w:cs="Arial"/>
                <w:color w:val="000000"/>
                <w:sz w:val="14"/>
                <w:szCs w:val="14"/>
                <w:lang w:eastAsia="es-AR"/>
              </w:rPr>
            </w:pPr>
          </w:p>
          <w:p w14:paraId="2A1B4CCB"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22-06-2021 33,33%,</w:t>
            </w:r>
          </w:p>
          <w:p w14:paraId="745DCC74" w14:textId="77777777" w:rsidR="001E09C8" w:rsidRPr="00701F32" w:rsidRDefault="001E09C8" w:rsidP="00136660">
            <w:pPr>
              <w:jc w:val="both"/>
              <w:rPr>
                <w:rFonts w:ascii="Arial" w:hAnsi="Arial" w:cs="Arial"/>
                <w:color w:val="000000"/>
                <w:sz w:val="14"/>
                <w:szCs w:val="14"/>
                <w:lang w:eastAsia="es-AR"/>
              </w:rPr>
            </w:pPr>
          </w:p>
          <w:p w14:paraId="4D796DA2"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 y en la fecha de vencimiento 33,34%.</w:t>
            </w:r>
          </w:p>
        </w:tc>
        <w:tc>
          <w:tcPr>
            <w:tcW w:w="474" w:type="pct"/>
            <w:shd w:val="clear" w:color="auto" w:fill="auto"/>
            <w:noWrap/>
            <w:vAlign w:val="center"/>
            <w:hideMark/>
          </w:tcPr>
          <w:p w14:paraId="466FC47B" w14:textId="58F69258"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48 meses</w:t>
            </w:r>
          </w:p>
        </w:tc>
        <w:tc>
          <w:tcPr>
            <w:tcW w:w="546" w:type="pct"/>
            <w:shd w:val="clear" w:color="auto" w:fill="auto"/>
            <w:noWrap/>
            <w:vAlign w:val="center"/>
            <w:hideMark/>
          </w:tcPr>
          <w:p w14:paraId="48D17A59"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22/12/2021</w:t>
            </w:r>
          </w:p>
        </w:tc>
        <w:tc>
          <w:tcPr>
            <w:tcW w:w="753" w:type="pct"/>
            <w:shd w:val="clear" w:color="auto" w:fill="auto"/>
            <w:vAlign w:val="center"/>
            <w:hideMark/>
          </w:tcPr>
          <w:p w14:paraId="274F961B"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+ 4,25%</w:t>
            </w:r>
          </w:p>
        </w:tc>
        <w:tc>
          <w:tcPr>
            <w:tcW w:w="444" w:type="pct"/>
            <w:shd w:val="clear" w:color="auto" w:fill="auto"/>
            <w:noWrap/>
            <w:vAlign w:val="bottom"/>
          </w:tcPr>
          <w:p w14:paraId="333E4142" w14:textId="62590A48" w:rsidR="001E09C8" w:rsidRPr="00C91FD2" w:rsidRDefault="00C21D5E" w:rsidP="001E09C8">
            <w:pPr>
              <w:jc w:val="right"/>
              <w:rPr>
                <w:rFonts w:ascii="Arial" w:hAnsi="Arial" w:cs="Arial"/>
                <w:color w:val="000000"/>
                <w:sz w:val="14"/>
                <w:szCs w:val="14"/>
                <w:lang w:eastAsia="es-AR"/>
              </w:rPr>
            </w:pPr>
            <w:r>
              <w:rPr>
                <w:rFonts w:ascii="Arial" w:hAnsi="Arial" w:cs="Arial"/>
                <w:color w:val="000000"/>
                <w:sz w:val="14"/>
                <w:szCs w:val="14"/>
                <w:lang w:eastAsia="es-AR"/>
              </w:rPr>
              <w:t>667.169</w:t>
            </w:r>
          </w:p>
        </w:tc>
        <w:tc>
          <w:tcPr>
            <w:tcW w:w="453" w:type="pct"/>
            <w:gridSpan w:val="2"/>
            <w:shd w:val="clear" w:color="auto" w:fill="auto"/>
            <w:noWrap/>
            <w:vAlign w:val="bottom"/>
          </w:tcPr>
          <w:p w14:paraId="765A4456" w14:textId="00D71A4E" w:rsidR="001E09C8" w:rsidRPr="00C91FD2" w:rsidRDefault="001E09C8">
            <w:pPr>
              <w:jc w:val="right"/>
              <w:rPr>
                <w:rFonts w:ascii="Arial" w:hAnsi="Arial" w:cs="Arial"/>
                <w:color w:val="000000"/>
                <w:sz w:val="14"/>
                <w:szCs w:val="14"/>
                <w:lang w:eastAsia="es-AR"/>
              </w:rPr>
            </w:pPr>
            <w:r w:rsidRPr="00534414">
              <w:rPr>
                <w:rFonts w:ascii="Arial" w:hAnsi="Arial" w:cs="Arial"/>
                <w:sz w:val="14"/>
                <w:szCs w:val="14"/>
              </w:rPr>
              <w:t>667.236</w:t>
            </w:r>
          </w:p>
        </w:tc>
      </w:tr>
      <w:tr w:rsidR="001E09C8" w:rsidRPr="00701F32" w14:paraId="230AC3FC" w14:textId="77777777" w:rsidTr="00A059FB">
        <w:trPr>
          <w:trHeight w:val="783"/>
        </w:trPr>
        <w:tc>
          <w:tcPr>
            <w:tcW w:w="524" w:type="pct"/>
            <w:shd w:val="clear" w:color="auto" w:fill="auto"/>
            <w:noWrap/>
            <w:vAlign w:val="center"/>
            <w:hideMark/>
          </w:tcPr>
          <w:p w14:paraId="05BF0CAC"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14/02/18</w:t>
            </w:r>
          </w:p>
        </w:tc>
        <w:tc>
          <w:tcPr>
            <w:tcW w:w="396" w:type="pct"/>
            <w:shd w:val="clear" w:color="auto" w:fill="auto"/>
            <w:noWrap/>
            <w:vAlign w:val="center"/>
            <w:hideMark/>
          </w:tcPr>
          <w:p w14:paraId="0D55DB49"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15" w:type="pct"/>
            <w:shd w:val="clear" w:color="auto" w:fill="auto"/>
            <w:noWrap/>
            <w:vAlign w:val="center"/>
            <w:hideMark/>
          </w:tcPr>
          <w:p w14:paraId="31CA26DC" w14:textId="77777777" w:rsidR="001E09C8" w:rsidRPr="00701F32" w:rsidRDefault="001E09C8" w:rsidP="00136660">
            <w:pPr>
              <w:jc w:val="center"/>
              <w:rPr>
                <w:rFonts w:ascii="Arial" w:hAnsi="Arial" w:cs="Arial"/>
                <w:color w:val="000000"/>
                <w:sz w:val="14"/>
                <w:szCs w:val="14"/>
                <w:lang w:eastAsia="es-AR"/>
              </w:rPr>
            </w:pPr>
            <w:r w:rsidRPr="00701F32">
              <w:rPr>
                <w:rFonts w:ascii="Arial" w:hAnsi="Arial" w:cs="Arial"/>
                <w:color w:val="000000"/>
                <w:sz w:val="14"/>
                <w:szCs w:val="14"/>
                <w:lang w:eastAsia="es-AR"/>
              </w:rPr>
              <w:t>D</w:t>
            </w:r>
          </w:p>
        </w:tc>
        <w:tc>
          <w:tcPr>
            <w:tcW w:w="463" w:type="pct"/>
            <w:shd w:val="clear" w:color="auto" w:fill="auto"/>
            <w:noWrap/>
            <w:vAlign w:val="center"/>
            <w:hideMark/>
          </w:tcPr>
          <w:p w14:paraId="33418743" w14:textId="77777777" w:rsidR="001E09C8" w:rsidRPr="00701F32" w:rsidRDefault="001E09C8" w:rsidP="00136660">
            <w:pPr>
              <w:jc w:val="right"/>
              <w:rPr>
                <w:rFonts w:ascii="Arial" w:hAnsi="Arial" w:cs="Arial"/>
                <w:color w:val="000000"/>
                <w:sz w:val="14"/>
                <w:szCs w:val="14"/>
                <w:lang w:eastAsia="es-AR"/>
              </w:rPr>
            </w:pPr>
            <w:r w:rsidRPr="00701F32">
              <w:rPr>
                <w:rFonts w:ascii="Arial" w:hAnsi="Arial" w:cs="Arial"/>
                <w:color w:val="000000"/>
                <w:sz w:val="14"/>
                <w:szCs w:val="14"/>
                <w:lang w:eastAsia="es-AR"/>
              </w:rPr>
              <w:t>748.889</w:t>
            </w:r>
          </w:p>
        </w:tc>
        <w:tc>
          <w:tcPr>
            <w:tcW w:w="632" w:type="pct"/>
            <w:shd w:val="clear" w:color="auto" w:fill="auto"/>
            <w:vAlign w:val="center"/>
            <w:hideMark/>
          </w:tcPr>
          <w:p w14:paraId="73EED7CC"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100% al vto.</w:t>
            </w:r>
          </w:p>
        </w:tc>
        <w:tc>
          <w:tcPr>
            <w:tcW w:w="474" w:type="pct"/>
            <w:shd w:val="clear" w:color="auto" w:fill="auto"/>
            <w:noWrap/>
            <w:vAlign w:val="center"/>
            <w:hideMark/>
          </w:tcPr>
          <w:p w14:paraId="2CD9B1BC" w14:textId="258CF904"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18 meses</w:t>
            </w:r>
          </w:p>
        </w:tc>
        <w:tc>
          <w:tcPr>
            <w:tcW w:w="546" w:type="pct"/>
            <w:shd w:val="clear" w:color="auto" w:fill="auto"/>
            <w:noWrap/>
            <w:vAlign w:val="center"/>
            <w:hideMark/>
          </w:tcPr>
          <w:p w14:paraId="36844041"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14/08/2019</w:t>
            </w:r>
          </w:p>
        </w:tc>
        <w:tc>
          <w:tcPr>
            <w:tcW w:w="753" w:type="pct"/>
            <w:shd w:val="clear" w:color="auto" w:fill="auto"/>
            <w:vAlign w:val="center"/>
            <w:hideMark/>
          </w:tcPr>
          <w:p w14:paraId="0AA1D7FB" w14:textId="77777777" w:rsidR="001E09C8" w:rsidRPr="00701F32" w:rsidRDefault="001E09C8" w:rsidP="00136660">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de Bancos Privados + 3,5%</w:t>
            </w:r>
          </w:p>
        </w:tc>
        <w:tc>
          <w:tcPr>
            <w:tcW w:w="444" w:type="pct"/>
            <w:shd w:val="clear" w:color="auto" w:fill="auto"/>
            <w:noWrap/>
            <w:vAlign w:val="bottom"/>
          </w:tcPr>
          <w:p w14:paraId="7DE76DE7" w14:textId="27E0D0FE" w:rsidR="001E09C8" w:rsidRPr="00C91FD2" w:rsidRDefault="0076627B" w:rsidP="001E09C8">
            <w:pPr>
              <w:jc w:val="right"/>
              <w:rPr>
                <w:rFonts w:ascii="Arial" w:hAnsi="Arial" w:cs="Arial"/>
                <w:color w:val="000000"/>
                <w:sz w:val="14"/>
                <w:szCs w:val="14"/>
                <w:lang w:eastAsia="es-AR"/>
              </w:rPr>
            </w:pPr>
            <w:r>
              <w:rPr>
                <w:rFonts w:ascii="Arial" w:hAnsi="Arial" w:cs="Arial"/>
                <w:color w:val="000000"/>
                <w:sz w:val="14"/>
                <w:szCs w:val="14"/>
              </w:rPr>
              <w:t>-</w:t>
            </w:r>
          </w:p>
        </w:tc>
        <w:tc>
          <w:tcPr>
            <w:tcW w:w="453" w:type="pct"/>
            <w:gridSpan w:val="2"/>
            <w:shd w:val="clear" w:color="auto" w:fill="auto"/>
            <w:noWrap/>
            <w:vAlign w:val="bottom"/>
          </w:tcPr>
          <w:p w14:paraId="32704030" w14:textId="6DDDE919" w:rsidR="001E09C8" w:rsidRPr="00C91FD2" w:rsidRDefault="001E09C8">
            <w:pPr>
              <w:jc w:val="right"/>
              <w:rPr>
                <w:rFonts w:ascii="Arial" w:hAnsi="Arial" w:cs="Arial"/>
                <w:color w:val="000000"/>
                <w:sz w:val="14"/>
                <w:szCs w:val="14"/>
                <w:lang w:eastAsia="es-AR"/>
              </w:rPr>
            </w:pPr>
            <w:r w:rsidRPr="00534414">
              <w:rPr>
                <w:rFonts w:ascii="Arial" w:hAnsi="Arial" w:cs="Arial"/>
                <w:sz w:val="14"/>
                <w:szCs w:val="14"/>
              </w:rPr>
              <w:t>768.861</w:t>
            </w:r>
          </w:p>
        </w:tc>
      </w:tr>
      <w:tr w:rsidR="0065020F" w:rsidRPr="00701F32" w14:paraId="65E54E5E" w14:textId="77777777" w:rsidTr="00A059FB">
        <w:trPr>
          <w:trHeight w:val="409"/>
        </w:trPr>
        <w:tc>
          <w:tcPr>
            <w:tcW w:w="524" w:type="pct"/>
            <w:shd w:val="clear" w:color="auto" w:fill="auto"/>
            <w:noWrap/>
            <w:vAlign w:val="center"/>
            <w:hideMark/>
          </w:tcPr>
          <w:p w14:paraId="6F0D6FBD" w14:textId="77777777" w:rsidR="0065020F" w:rsidRPr="00701F32" w:rsidRDefault="0065020F" w:rsidP="0065020F">
            <w:pPr>
              <w:jc w:val="center"/>
              <w:rPr>
                <w:rFonts w:ascii="Arial" w:hAnsi="Arial" w:cs="Arial"/>
                <w:color w:val="000000"/>
                <w:sz w:val="14"/>
                <w:szCs w:val="14"/>
                <w:lang w:eastAsia="es-AR"/>
              </w:rPr>
            </w:pPr>
            <w:r w:rsidRPr="00701F32">
              <w:rPr>
                <w:rFonts w:ascii="Arial" w:hAnsi="Arial" w:cs="Arial"/>
                <w:color w:val="000000"/>
                <w:sz w:val="14"/>
                <w:szCs w:val="14"/>
                <w:lang w:eastAsia="es-AR"/>
              </w:rPr>
              <w:t>14/02/18</w:t>
            </w:r>
          </w:p>
        </w:tc>
        <w:tc>
          <w:tcPr>
            <w:tcW w:w="396" w:type="pct"/>
            <w:shd w:val="clear" w:color="auto" w:fill="auto"/>
            <w:noWrap/>
            <w:vAlign w:val="center"/>
            <w:hideMark/>
          </w:tcPr>
          <w:p w14:paraId="718493A7" w14:textId="77777777" w:rsidR="0065020F" w:rsidRPr="00701F32" w:rsidRDefault="0065020F" w:rsidP="0065020F">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15" w:type="pct"/>
            <w:shd w:val="clear" w:color="auto" w:fill="auto"/>
            <w:noWrap/>
            <w:vAlign w:val="center"/>
            <w:hideMark/>
          </w:tcPr>
          <w:p w14:paraId="06216063" w14:textId="77777777" w:rsidR="0065020F" w:rsidRPr="00701F32" w:rsidRDefault="0065020F" w:rsidP="0065020F">
            <w:pPr>
              <w:jc w:val="center"/>
              <w:rPr>
                <w:rFonts w:ascii="Arial" w:hAnsi="Arial" w:cs="Arial"/>
                <w:color w:val="000000"/>
                <w:sz w:val="14"/>
                <w:szCs w:val="14"/>
                <w:lang w:eastAsia="es-AR"/>
              </w:rPr>
            </w:pPr>
            <w:r w:rsidRPr="00701F32">
              <w:rPr>
                <w:rFonts w:ascii="Arial" w:hAnsi="Arial" w:cs="Arial"/>
                <w:color w:val="000000"/>
                <w:sz w:val="14"/>
                <w:szCs w:val="14"/>
                <w:lang w:eastAsia="es-AR"/>
              </w:rPr>
              <w:t>E</w:t>
            </w:r>
          </w:p>
        </w:tc>
        <w:tc>
          <w:tcPr>
            <w:tcW w:w="463" w:type="pct"/>
            <w:shd w:val="clear" w:color="auto" w:fill="auto"/>
            <w:noWrap/>
            <w:vAlign w:val="center"/>
            <w:hideMark/>
          </w:tcPr>
          <w:p w14:paraId="497B6D09" w14:textId="77777777" w:rsidR="0065020F" w:rsidRPr="00701F32" w:rsidRDefault="0065020F" w:rsidP="0065020F">
            <w:pPr>
              <w:jc w:val="right"/>
              <w:rPr>
                <w:rFonts w:ascii="Arial" w:hAnsi="Arial" w:cs="Arial"/>
                <w:color w:val="000000"/>
                <w:sz w:val="14"/>
                <w:szCs w:val="14"/>
                <w:lang w:eastAsia="es-AR"/>
              </w:rPr>
            </w:pPr>
            <w:r w:rsidRPr="00701F32">
              <w:rPr>
                <w:rFonts w:ascii="Arial" w:hAnsi="Arial" w:cs="Arial"/>
                <w:color w:val="000000"/>
                <w:sz w:val="14"/>
                <w:szCs w:val="14"/>
                <w:lang w:eastAsia="es-AR"/>
              </w:rPr>
              <w:t>1.607.667</w:t>
            </w:r>
          </w:p>
        </w:tc>
        <w:tc>
          <w:tcPr>
            <w:tcW w:w="632" w:type="pct"/>
            <w:shd w:val="clear" w:color="auto" w:fill="auto"/>
            <w:vAlign w:val="center"/>
            <w:hideMark/>
          </w:tcPr>
          <w:p w14:paraId="6F6FD397" w14:textId="77777777" w:rsidR="0065020F" w:rsidRPr="00701F32" w:rsidRDefault="0065020F" w:rsidP="0065020F">
            <w:pPr>
              <w:jc w:val="both"/>
              <w:rPr>
                <w:rFonts w:ascii="Arial" w:hAnsi="Arial" w:cs="Arial"/>
                <w:color w:val="000000"/>
                <w:sz w:val="14"/>
                <w:szCs w:val="14"/>
                <w:lang w:eastAsia="es-AR"/>
              </w:rPr>
            </w:pPr>
            <w:r w:rsidRPr="00701F32">
              <w:rPr>
                <w:rFonts w:ascii="Arial" w:hAnsi="Arial" w:cs="Arial"/>
                <w:color w:val="000000"/>
                <w:sz w:val="14"/>
                <w:szCs w:val="14"/>
                <w:lang w:eastAsia="es-AR"/>
              </w:rPr>
              <w:t>3 cuotas:</w:t>
            </w:r>
          </w:p>
          <w:p w14:paraId="30153387" w14:textId="77777777" w:rsidR="0065020F" w:rsidRPr="00701F32" w:rsidRDefault="0065020F" w:rsidP="0065020F">
            <w:pPr>
              <w:jc w:val="both"/>
              <w:rPr>
                <w:rFonts w:ascii="Arial" w:hAnsi="Arial" w:cs="Arial"/>
                <w:color w:val="000000"/>
                <w:sz w:val="14"/>
                <w:szCs w:val="14"/>
                <w:lang w:eastAsia="es-AR"/>
              </w:rPr>
            </w:pPr>
          </w:p>
          <w:p w14:paraId="38669CA2" w14:textId="403A5A15" w:rsidR="0065020F" w:rsidRPr="00701F32" w:rsidRDefault="0065020F" w:rsidP="0065020F">
            <w:pPr>
              <w:jc w:val="both"/>
              <w:rPr>
                <w:rFonts w:ascii="Arial" w:hAnsi="Arial" w:cs="Arial"/>
                <w:color w:val="000000"/>
                <w:sz w:val="14"/>
                <w:szCs w:val="14"/>
                <w:lang w:eastAsia="es-AR"/>
              </w:rPr>
            </w:pPr>
            <w:r>
              <w:rPr>
                <w:rFonts w:ascii="Arial" w:hAnsi="Arial" w:cs="Arial"/>
                <w:color w:val="000000"/>
                <w:sz w:val="14"/>
                <w:szCs w:val="14"/>
                <w:lang w:eastAsia="es-AR"/>
              </w:rPr>
              <w:t>14</w:t>
            </w:r>
            <w:r w:rsidRPr="00701F32">
              <w:rPr>
                <w:rFonts w:ascii="Arial" w:hAnsi="Arial" w:cs="Arial"/>
                <w:color w:val="000000"/>
                <w:sz w:val="14"/>
                <w:szCs w:val="14"/>
                <w:lang w:eastAsia="es-AR"/>
              </w:rPr>
              <w:t>-</w:t>
            </w:r>
            <w:r>
              <w:rPr>
                <w:rFonts w:ascii="Arial" w:hAnsi="Arial" w:cs="Arial"/>
                <w:color w:val="000000"/>
                <w:sz w:val="14"/>
                <w:szCs w:val="14"/>
                <w:lang w:eastAsia="es-AR"/>
              </w:rPr>
              <w:t>02</w:t>
            </w:r>
            <w:r w:rsidRPr="00701F32">
              <w:rPr>
                <w:rFonts w:ascii="Arial" w:hAnsi="Arial" w:cs="Arial"/>
                <w:color w:val="000000"/>
                <w:sz w:val="14"/>
                <w:szCs w:val="14"/>
                <w:lang w:eastAsia="es-AR"/>
              </w:rPr>
              <w:t>-202</w:t>
            </w:r>
            <w:r>
              <w:rPr>
                <w:rFonts w:ascii="Arial" w:hAnsi="Arial" w:cs="Arial"/>
                <w:color w:val="000000"/>
                <w:sz w:val="14"/>
                <w:szCs w:val="14"/>
                <w:lang w:eastAsia="es-AR"/>
              </w:rPr>
              <w:t>1</w:t>
            </w:r>
            <w:r w:rsidRPr="00701F32">
              <w:rPr>
                <w:rFonts w:ascii="Arial" w:hAnsi="Arial" w:cs="Arial"/>
                <w:color w:val="000000"/>
                <w:sz w:val="14"/>
                <w:szCs w:val="14"/>
                <w:lang w:eastAsia="es-AR"/>
              </w:rPr>
              <w:t xml:space="preserve"> 33,33%,</w:t>
            </w:r>
          </w:p>
          <w:p w14:paraId="5393BD7B" w14:textId="77777777" w:rsidR="0065020F" w:rsidRPr="00701F32" w:rsidRDefault="0065020F" w:rsidP="0065020F">
            <w:pPr>
              <w:jc w:val="both"/>
              <w:rPr>
                <w:rFonts w:ascii="Arial" w:hAnsi="Arial" w:cs="Arial"/>
                <w:color w:val="000000"/>
                <w:sz w:val="14"/>
                <w:szCs w:val="14"/>
                <w:lang w:eastAsia="es-AR"/>
              </w:rPr>
            </w:pPr>
          </w:p>
          <w:p w14:paraId="65D8EE39" w14:textId="402F4DC6" w:rsidR="0065020F" w:rsidRPr="00701F32" w:rsidRDefault="00042C43" w:rsidP="0065020F">
            <w:pPr>
              <w:jc w:val="both"/>
              <w:rPr>
                <w:rFonts w:ascii="Arial" w:hAnsi="Arial" w:cs="Arial"/>
                <w:color w:val="000000"/>
                <w:sz w:val="14"/>
                <w:szCs w:val="14"/>
                <w:lang w:eastAsia="es-AR"/>
              </w:rPr>
            </w:pPr>
            <w:r>
              <w:rPr>
                <w:rFonts w:ascii="Arial" w:hAnsi="Arial" w:cs="Arial"/>
                <w:color w:val="000000"/>
                <w:sz w:val="14"/>
                <w:szCs w:val="14"/>
                <w:lang w:eastAsia="es-AR"/>
              </w:rPr>
              <w:t>14</w:t>
            </w:r>
            <w:r w:rsidR="0065020F" w:rsidRPr="00701F32">
              <w:rPr>
                <w:rFonts w:ascii="Arial" w:hAnsi="Arial" w:cs="Arial"/>
                <w:color w:val="000000"/>
                <w:sz w:val="14"/>
                <w:szCs w:val="14"/>
                <w:lang w:eastAsia="es-AR"/>
              </w:rPr>
              <w:t>-</w:t>
            </w:r>
            <w:r>
              <w:rPr>
                <w:rFonts w:ascii="Arial" w:hAnsi="Arial" w:cs="Arial"/>
                <w:color w:val="000000"/>
                <w:sz w:val="14"/>
                <w:szCs w:val="14"/>
                <w:lang w:eastAsia="es-AR"/>
              </w:rPr>
              <w:t>02</w:t>
            </w:r>
            <w:r w:rsidR="0065020F" w:rsidRPr="00701F32">
              <w:rPr>
                <w:rFonts w:ascii="Arial" w:hAnsi="Arial" w:cs="Arial"/>
                <w:color w:val="000000"/>
                <w:sz w:val="14"/>
                <w:szCs w:val="14"/>
                <w:lang w:eastAsia="es-AR"/>
              </w:rPr>
              <w:t>-202</w:t>
            </w:r>
            <w:r w:rsidR="0065020F">
              <w:rPr>
                <w:rFonts w:ascii="Arial" w:hAnsi="Arial" w:cs="Arial"/>
                <w:color w:val="000000"/>
                <w:sz w:val="14"/>
                <w:szCs w:val="14"/>
                <w:lang w:eastAsia="es-AR"/>
              </w:rPr>
              <w:t>2</w:t>
            </w:r>
            <w:r w:rsidR="0065020F" w:rsidRPr="00701F32">
              <w:rPr>
                <w:rFonts w:ascii="Arial" w:hAnsi="Arial" w:cs="Arial"/>
                <w:color w:val="000000"/>
                <w:sz w:val="14"/>
                <w:szCs w:val="14"/>
                <w:lang w:eastAsia="es-AR"/>
              </w:rPr>
              <w:t xml:space="preserve"> 33,33%,</w:t>
            </w:r>
          </w:p>
          <w:p w14:paraId="4E37F90B" w14:textId="77777777" w:rsidR="0065020F" w:rsidRPr="00701F32" w:rsidRDefault="0065020F" w:rsidP="0065020F">
            <w:pPr>
              <w:jc w:val="both"/>
              <w:rPr>
                <w:rFonts w:ascii="Arial" w:hAnsi="Arial" w:cs="Arial"/>
                <w:color w:val="000000"/>
                <w:sz w:val="14"/>
                <w:szCs w:val="14"/>
                <w:lang w:eastAsia="es-AR"/>
              </w:rPr>
            </w:pPr>
          </w:p>
          <w:p w14:paraId="1F12DF84" w14:textId="3A71A75E" w:rsidR="0065020F" w:rsidRPr="00701F32" w:rsidRDefault="0065020F" w:rsidP="0065020F">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 y en la fecha de vencimiento 33,34%.</w:t>
            </w:r>
          </w:p>
        </w:tc>
        <w:tc>
          <w:tcPr>
            <w:tcW w:w="474" w:type="pct"/>
            <w:shd w:val="clear" w:color="auto" w:fill="auto"/>
            <w:noWrap/>
            <w:vAlign w:val="center"/>
            <w:hideMark/>
          </w:tcPr>
          <w:p w14:paraId="32159E59" w14:textId="40F6A06F" w:rsidR="0065020F" w:rsidRPr="00701F32" w:rsidRDefault="0065020F" w:rsidP="0065020F">
            <w:pPr>
              <w:jc w:val="both"/>
              <w:rPr>
                <w:rFonts w:ascii="Arial" w:hAnsi="Arial" w:cs="Arial"/>
                <w:color w:val="000000"/>
                <w:sz w:val="14"/>
                <w:szCs w:val="14"/>
                <w:lang w:eastAsia="es-AR"/>
              </w:rPr>
            </w:pPr>
            <w:r w:rsidRPr="00701F32">
              <w:rPr>
                <w:rFonts w:ascii="Arial" w:hAnsi="Arial" w:cs="Arial"/>
                <w:color w:val="000000"/>
                <w:sz w:val="14"/>
                <w:szCs w:val="14"/>
                <w:lang w:eastAsia="es-AR"/>
              </w:rPr>
              <w:t>60 meses</w:t>
            </w:r>
          </w:p>
        </w:tc>
        <w:tc>
          <w:tcPr>
            <w:tcW w:w="546" w:type="pct"/>
            <w:shd w:val="clear" w:color="auto" w:fill="auto"/>
            <w:noWrap/>
            <w:vAlign w:val="center"/>
            <w:hideMark/>
          </w:tcPr>
          <w:p w14:paraId="02689C8B" w14:textId="77777777" w:rsidR="0065020F" w:rsidRPr="00701F32" w:rsidRDefault="0065020F" w:rsidP="0065020F">
            <w:pPr>
              <w:jc w:val="both"/>
              <w:rPr>
                <w:rFonts w:ascii="Arial" w:hAnsi="Arial" w:cs="Arial"/>
                <w:color w:val="000000"/>
                <w:sz w:val="14"/>
                <w:szCs w:val="14"/>
                <w:lang w:eastAsia="es-AR"/>
              </w:rPr>
            </w:pPr>
            <w:r w:rsidRPr="00701F32">
              <w:rPr>
                <w:rFonts w:ascii="Arial" w:hAnsi="Arial" w:cs="Arial"/>
                <w:color w:val="000000"/>
                <w:sz w:val="14"/>
                <w:szCs w:val="14"/>
                <w:lang w:eastAsia="es-AR"/>
              </w:rPr>
              <w:t>14/02/2023</w:t>
            </w:r>
          </w:p>
        </w:tc>
        <w:tc>
          <w:tcPr>
            <w:tcW w:w="753" w:type="pct"/>
            <w:shd w:val="clear" w:color="auto" w:fill="auto"/>
            <w:vAlign w:val="center"/>
            <w:hideMark/>
          </w:tcPr>
          <w:p w14:paraId="024A3CAB" w14:textId="77777777" w:rsidR="0065020F" w:rsidRPr="00701F32" w:rsidRDefault="0065020F" w:rsidP="0065020F">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de Bancos Privados + 4,05%</w:t>
            </w:r>
          </w:p>
        </w:tc>
        <w:tc>
          <w:tcPr>
            <w:tcW w:w="444" w:type="pct"/>
            <w:shd w:val="clear" w:color="auto" w:fill="auto"/>
            <w:noWrap/>
            <w:vAlign w:val="bottom"/>
          </w:tcPr>
          <w:p w14:paraId="75061A20" w14:textId="4B9EB2F6" w:rsidR="0065020F" w:rsidRPr="00C91FD2" w:rsidRDefault="00C21D5E" w:rsidP="0065020F">
            <w:pPr>
              <w:jc w:val="right"/>
              <w:rPr>
                <w:rFonts w:ascii="Arial" w:hAnsi="Arial" w:cs="Arial"/>
                <w:color w:val="000000"/>
                <w:sz w:val="14"/>
                <w:szCs w:val="14"/>
                <w:lang w:eastAsia="es-AR"/>
              </w:rPr>
            </w:pPr>
            <w:r>
              <w:rPr>
                <w:rFonts w:ascii="Arial" w:hAnsi="Arial" w:cs="Arial"/>
                <w:color w:val="000000"/>
                <w:sz w:val="14"/>
                <w:szCs w:val="14"/>
                <w:lang w:eastAsia="es-AR"/>
              </w:rPr>
              <w:t>1.599</w:t>
            </w:r>
            <w:r w:rsidR="002C13FD">
              <w:rPr>
                <w:rFonts w:ascii="Arial" w:hAnsi="Arial" w:cs="Arial"/>
                <w:color w:val="000000"/>
                <w:sz w:val="14"/>
                <w:szCs w:val="14"/>
                <w:lang w:eastAsia="es-AR"/>
              </w:rPr>
              <w:t>.</w:t>
            </w:r>
            <w:r>
              <w:rPr>
                <w:rFonts w:ascii="Arial" w:hAnsi="Arial" w:cs="Arial"/>
                <w:color w:val="000000"/>
                <w:sz w:val="14"/>
                <w:szCs w:val="14"/>
                <w:lang w:eastAsia="es-AR"/>
              </w:rPr>
              <w:t>410</w:t>
            </w:r>
          </w:p>
        </w:tc>
        <w:tc>
          <w:tcPr>
            <w:tcW w:w="453" w:type="pct"/>
            <w:gridSpan w:val="2"/>
            <w:shd w:val="clear" w:color="auto" w:fill="auto"/>
            <w:noWrap/>
            <w:vAlign w:val="bottom"/>
          </w:tcPr>
          <w:p w14:paraId="062542B2" w14:textId="57D163FE" w:rsidR="0065020F" w:rsidRPr="00C91FD2" w:rsidRDefault="0065020F" w:rsidP="0065020F">
            <w:pPr>
              <w:jc w:val="right"/>
              <w:rPr>
                <w:rFonts w:ascii="Arial" w:hAnsi="Arial" w:cs="Arial"/>
                <w:color w:val="000000"/>
                <w:sz w:val="14"/>
                <w:szCs w:val="14"/>
                <w:lang w:eastAsia="es-AR"/>
              </w:rPr>
            </w:pPr>
            <w:r w:rsidRPr="00534414">
              <w:rPr>
                <w:rFonts w:ascii="Arial" w:hAnsi="Arial" w:cs="Arial"/>
                <w:sz w:val="14"/>
                <w:szCs w:val="14"/>
              </w:rPr>
              <w:t>1.687.174</w:t>
            </w:r>
          </w:p>
        </w:tc>
      </w:tr>
      <w:tr w:rsidR="0065020F" w:rsidRPr="00C91FD2" w14:paraId="37C21E77" w14:textId="77777777" w:rsidTr="00A059FB">
        <w:trPr>
          <w:trHeight w:val="632"/>
        </w:trPr>
        <w:tc>
          <w:tcPr>
            <w:tcW w:w="524" w:type="pct"/>
            <w:shd w:val="clear" w:color="auto" w:fill="auto"/>
            <w:noWrap/>
          </w:tcPr>
          <w:p w14:paraId="45B9D930" w14:textId="5DD14302" w:rsidR="0065020F" w:rsidRPr="00C91FD2" w:rsidRDefault="0065020F" w:rsidP="0065020F">
            <w:pPr>
              <w:jc w:val="center"/>
              <w:rPr>
                <w:rFonts w:ascii="Arial" w:hAnsi="Arial" w:cs="Arial"/>
                <w:color w:val="000000"/>
                <w:sz w:val="14"/>
                <w:szCs w:val="14"/>
                <w:lang w:eastAsia="es-AR"/>
              </w:rPr>
            </w:pPr>
            <w:r w:rsidRPr="00534414">
              <w:rPr>
                <w:rFonts w:ascii="Arial" w:hAnsi="Arial" w:cs="Arial"/>
                <w:color w:val="000000"/>
                <w:sz w:val="14"/>
                <w:szCs w:val="14"/>
                <w:lang w:eastAsia="es-AR"/>
              </w:rPr>
              <w:t>04/02/19</w:t>
            </w:r>
          </w:p>
        </w:tc>
        <w:tc>
          <w:tcPr>
            <w:tcW w:w="396" w:type="pct"/>
            <w:shd w:val="clear" w:color="auto" w:fill="auto"/>
            <w:noWrap/>
          </w:tcPr>
          <w:p w14:paraId="05CDF09D" w14:textId="40049DA3" w:rsidR="0065020F" w:rsidRPr="00C91FD2" w:rsidRDefault="0065020F" w:rsidP="0065020F">
            <w:pPr>
              <w:jc w:val="center"/>
              <w:rPr>
                <w:rFonts w:ascii="Arial" w:hAnsi="Arial" w:cs="Arial"/>
                <w:color w:val="000000"/>
                <w:sz w:val="14"/>
                <w:szCs w:val="14"/>
                <w:lang w:eastAsia="es-AR"/>
              </w:rPr>
            </w:pPr>
            <w:r w:rsidRPr="00534414">
              <w:rPr>
                <w:rFonts w:ascii="Arial" w:hAnsi="Arial" w:cs="Arial"/>
                <w:color w:val="000000"/>
                <w:sz w:val="14"/>
                <w:szCs w:val="14"/>
                <w:lang w:eastAsia="es-AR"/>
              </w:rPr>
              <w:t>$</w:t>
            </w:r>
          </w:p>
        </w:tc>
        <w:tc>
          <w:tcPr>
            <w:tcW w:w="315" w:type="pct"/>
            <w:shd w:val="clear" w:color="auto" w:fill="auto"/>
            <w:noWrap/>
          </w:tcPr>
          <w:p w14:paraId="48947946" w14:textId="0C203E00" w:rsidR="0065020F" w:rsidRPr="00C91FD2" w:rsidRDefault="0065020F" w:rsidP="0065020F">
            <w:pPr>
              <w:jc w:val="center"/>
              <w:rPr>
                <w:rFonts w:ascii="Arial" w:hAnsi="Arial" w:cs="Arial"/>
                <w:color w:val="000000"/>
                <w:sz w:val="14"/>
                <w:szCs w:val="14"/>
                <w:lang w:eastAsia="es-AR"/>
              </w:rPr>
            </w:pPr>
            <w:r w:rsidRPr="00534414">
              <w:rPr>
                <w:rFonts w:ascii="Arial" w:hAnsi="Arial" w:cs="Arial"/>
                <w:color w:val="000000"/>
                <w:sz w:val="14"/>
                <w:szCs w:val="14"/>
                <w:lang w:eastAsia="es-AR"/>
              </w:rPr>
              <w:t>F</w:t>
            </w:r>
          </w:p>
        </w:tc>
        <w:tc>
          <w:tcPr>
            <w:tcW w:w="463" w:type="pct"/>
            <w:shd w:val="clear" w:color="auto" w:fill="auto"/>
            <w:noWrap/>
          </w:tcPr>
          <w:p w14:paraId="02FD3BCA" w14:textId="705ECAB5" w:rsidR="0065020F" w:rsidRPr="00C91FD2" w:rsidRDefault="0065020F" w:rsidP="0065020F">
            <w:pPr>
              <w:jc w:val="right"/>
              <w:rPr>
                <w:rFonts w:ascii="Arial" w:hAnsi="Arial" w:cs="Arial"/>
                <w:color w:val="000000"/>
                <w:sz w:val="14"/>
                <w:szCs w:val="14"/>
                <w:lang w:eastAsia="es-AR"/>
              </w:rPr>
            </w:pPr>
            <w:r w:rsidRPr="00534414">
              <w:rPr>
                <w:rFonts w:ascii="Arial" w:hAnsi="Arial" w:cs="Arial"/>
                <w:color w:val="000000"/>
                <w:sz w:val="14"/>
                <w:szCs w:val="14"/>
                <w:lang w:eastAsia="es-AR"/>
              </w:rPr>
              <w:t>3.000.000</w:t>
            </w:r>
          </w:p>
        </w:tc>
        <w:tc>
          <w:tcPr>
            <w:tcW w:w="632" w:type="pct"/>
            <w:shd w:val="clear" w:color="auto" w:fill="auto"/>
          </w:tcPr>
          <w:p w14:paraId="47EB6131" w14:textId="66760E37" w:rsidR="0065020F" w:rsidRPr="00C91FD2" w:rsidRDefault="0065020F" w:rsidP="0065020F">
            <w:pPr>
              <w:jc w:val="center"/>
              <w:rPr>
                <w:rFonts w:ascii="Arial" w:hAnsi="Arial" w:cs="Arial"/>
                <w:color w:val="000000"/>
                <w:sz w:val="14"/>
                <w:szCs w:val="14"/>
                <w:lang w:eastAsia="es-AR"/>
              </w:rPr>
            </w:pPr>
            <w:r w:rsidRPr="00534414">
              <w:rPr>
                <w:rFonts w:ascii="Arial" w:hAnsi="Arial" w:cs="Arial"/>
                <w:color w:val="000000"/>
                <w:sz w:val="14"/>
                <w:szCs w:val="14"/>
                <w:lang w:eastAsia="es-AR"/>
              </w:rPr>
              <w:t>100% al vto.</w:t>
            </w:r>
          </w:p>
        </w:tc>
        <w:tc>
          <w:tcPr>
            <w:tcW w:w="474" w:type="pct"/>
            <w:shd w:val="clear" w:color="auto" w:fill="auto"/>
            <w:noWrap/>
          </w:tcPr>
          <w:p w14:paraId="2BFC601C" w14:textId="47E9CBFA" w:rsidR="0065020F" w:rsidRPr="00C91FD2" w:rsidRDefault="0065020F" w:rsidP="0065020F">
            <w:pPr>
              <w:jc w:val="center"/>
              <w:rPr>
                <w:rFonts w:ascii="Arial" w:hAnsi="Arial" w:cs="Arial"/>
                <w:color w:val="000000"/>
                <w:sz w:val="14"/>
                <w:szCs w:val="14"/>
                <w:lang w:eastAsia="es-AR"/>
              </w:rPr>
            </w:pPr>
            <w:r w:rsidRPr="00534414">
              <w:rPr>
                <w:rFonts w:ascii="Arial" w:hAnsi="Arial" w:cs="Arial"/>
                <w:color w:val="000000"/>
                <w:sz w:val="14"/>
                <w:szCs w:val="14"/>
                <w:lang w:eastAsia="es-AR"/>
              </w:rPr>
              <w:t>9 meses</w:t>
            </w:r>
          </w:p>
        </w:tc>
        <w:tc>
          <w:tcPr>
            <w:tcW w:w="546" w:type="pct"/>
            <w:shd w:val="clear" w:color="auto" w:fill="auto"/>
            <w:noWrap/>
          </w:tcPr>
          <w:p w14:paraId="0BFFCB58" w14:textId="22408C34" w:rsidR="0065020F" w:rsidRPr="00C91FD2" w:rsidRDefault="0065020F" w:rsidP="0065020F">
            <w:pPr>
              <w:jc w:val="center"/>
              <w:rPr>
                <w:rFonts w:ascii="Arial" w:hAnsi="Arial" w:cs="Arial"/>
                <w:color w:val="000000"/>
                <w:sz w:val="14"/>
                <w:szCs w:val="14"/>
                <w:lang w:eastAsia="es-AR"/>
              </w:rPr>
            </w:pPr>
            <w:r w:rsidRPr="00534414">
              <w:rPr>
                <w:rFonts w:ascii="Arial" w:hAnsi="Arial" w:cs="Arial"/>
                <w:color w:val="000000"/>
                <w:sz w:val="14"/>
                <w:szCs w:val="14"/>
                <w:lang w:eastAsia="es-AR"/>
              </w:rPr>
              <w:t>04/11/2019</w:t>
            </w:r>
          </w:p>
        </w:tc>
        <w:tc>
          <w:tcPr>
            <w:tcW w:w="753" w:type="pct"/>
            <w:shd w:val="clear" w:color="auto" w:fill="auto"/>
          </w:tcPr>
          <w:p w14:paraId="6F28B925" w14:textId="214F5D84" w:rsidR="0065020F" w:rsidRPr="00C91FD2" w:rsidRDefault="0065020F" w:rsidP="0065020F">
            <w:pPr>
              <w:jc w:val="center"/>
              <w:rPr>
                <w:rFonts w:ascii="Arial" w:hAnsi="Arial" w:cs="Arial"/>
                <w:color w:val="000000"/>
                <w:sz w:val="14"/>
                <w:szCs w:val="14"/>
                <w:lang w:eastAsia="es-AR"/>
              </w:rPr>
            </w:pPr>
            <w:r w:rsidRPr="00534414">
              <w:rPr>
                <w:rFonts w:ascii="Arial" w:hAnsi="Arial" w:cs="Arial"/>
                <w:color w:val="000000"/>
                <w:sz w:val="14"/>
                <w:szCs w:val="14"/>
                <w:lang w:eastAsia="es-AR"/>
              </w:rPr>
              <w:t>Flotante Badlar de Bancos Privados + 4,85%</w:t>
            </w:r>
          </w:p>
        </w:tc>
        <w:tc>
          <w:tcPr>
            <w:tcW w:w="444" w:type="pct"/>
            <w:shd w:val="clear" w:color="auto" w:fill="auto"/>
            <w:noWrap/>
            <w:vAlign w:val="bottom"/>
          </w:tcPr>
          <w:p w14:paraId="0853B9E7" w14:textId="317943CC" w:rsidR="0065020F" w:rsidRPr="00C91FD2" w:rsidRDefault="00032EC8" w:rsidP="0065020F">
            <w:pPr>
              <w:jc w:val="right"/>
              <w:rPr>
                <w:rFonts w:ascii="Arial" w:hAnsi="Arial" w:cs="Arial"/>
                <w:color w:val="000000"/>
                <w:sz w:val="14"/>
                <w:szCs w:val="14"/>
                <w:lang w:eastAsia="es-AR"/>
              </w:rPr>
            </w:pPr>
            <w:r>
              <w:rPr>
                <w:rFonts w:ascii="Arial" w:hAnsi="Arial" w:cs="Arial"/>
                <w:color w:val="000000"/>
                <w:sz w:val="14"/>
                <w:szCs w:val="14"/>
              </w:rPr>
              <w:t>-</w:t>
            </w:r>
          </w:p>
        </w:tc>
        <w:tc>
          <w:tcPr>
            <w:tcW w:w="453" w:type="pct"/>
            <w:gridSpan w:val="2"/>
            <w:shd w:val="clear" w:color="auto" w:fill="auto"/>
            <w:noWrap/>
            <w:vAlign w:val="bottom"/>
          </w:tcPr>
          <w:p w14:paraId="0F0F9755" w14:textId="6C894615" w:rsidR="0065020F" w:rsidRPr="00C91FD2" w:rsidRDefault="0065020F" w:rsidP="0065020F">
            <w:pPr>
              <w:jc w:val="right"/>
              <w:rPr>
                <w:rFonts w:ascii="Arial" w:hAnsi="Arial" w:cs="Arial"/>
                <w:color w:val="000000"/>
                <w:sz w:val="14"/>
                <w:szCs w:val="14"/>
                <w:lang w:eastAsia="es-AR"/>
              </w:rPr>
            </w:pPr>
            <w:r w:rsidRPr="00534414">
              <w:rPr>
                <w:rFonts w:ascii="Arial" w:hAnsi="Arial" w:cs="Arial"/>
                <w:color w:val="000000"/>
                <w:sz w:val="14"/>
                <w:szCs w:val="14"/>
                <w:lang w:eastAsia="es-AR"/>
              </w:rPr>
              <w:t>-</w:t>
            </w:r>
          </w:p>
        </w:tc>
      </w:tr>
      <w:tr w:rsidR="0065020F" w:rsidRPr="00701F32" w14:paraId="0EB8E491" w14:textId="77777777" w:rsidTr="00A059FB">
        <w:trPr>
          <w:trHeight w:val="316"/>
        </w:trPr>
        <w:tc>
          <w:tcPr>
            <w:tcW w:w="3350" w:type="pct"/>
            <w:gridSpan w:val="7"/>
            <w:shd w:val="clear" w:color="auto" w:fill="auto"/>
            <w:noWrap/>
            <w:vAlign w:val="center"/>
            <w:hideMark/>
          </w:tcPr>
          <w:p w14:paraId="28FC48D6" w14:textId="77777777" w:rsidR="0065020F" w:rsidRPr="00C91FD2" w:rsidRDefault="0065020F" w:rsidP="0065020F">
            <w:pPr>
              <w:jc w:val="both"/>
              <w:rPr>
                <w:rFonts w:ascii="Arial" w:hAnsi="Arial" w:cs="Arial"/>
                <w:color w:val="000000"/>
                <w:sz w:val="14"/>
                <w:szCs w:val="14"/>
                <w:lang w:eastAsia="es-AR"/>
              </w:rPr>
            </w:pPr>
          </w:p>
        </w:tc>
        <w:tc>
          <w:tcPr>
            <w:tcW w:w="753" w:type="pct"/>
            <w:shd w:val="clear" w:color="auto" w:fill="auto"/>
            <w:noWrap/>
            <w:vAlign w:val="center"/>
            <w:hideMark/>
          </w:tcPr>
          <w:p w14:paraId="718307AA" w14:textId="77777777" w:rsidR="0065020F" w:rsidRPr="00C91FD2" w:rsidRDefault="0065020F" w:rsidP="0065020F">
            <w:pPr>
              <w:jc w:val="both"/>
              <w:rPr>
                <w:rFonts w:ascii="Arial" w:hAnsi="Arial" w:cs="Arial"/>
                <w:b/>
                <w:bCs/>
                <w:color w:val="000000"/>
                <w:sz w:val="14"/>
                <w:szCs w:val="14"/>
                <w:lang w:eastAsia="es-AR"/>
              </w:rPr>
            </w:pPr>
            <w:r w:rsidRPr="00C91FD2">
              <w:rPr>
                <w:rFonts w:ascii="Arial" w:hAnsi="Arial" w:cs="Arial"/>
                <w:b/>
                <w:bCs/>
                <w:color w:val="000000"/>
                <w:sz w:val="14"/>
                <w:szCs w:val="14"/>
                <w:lang w:eastAsia="es-AR"/>
              </w:rPr>
              <w:t>Total</w:t>
            </w:r>
          </w:p>
        </w:tc>
        <w:tc>
          <w:tcPr>
            <w:tcW w:w="453" w:type="pct"/>
            <w:gridSpan w:val="2"/>
            <w:shd w:val="clear" w:color="auto" w:fill="auto"/>
            <w:noWrap/>
            <w:vAlign w:val="bottom"/>
          </w:tcPr>
          <w:p w14:paraId="4ACA015D" w14:textId="2B094A9D" w:rsidR="0065020F" w:rsidRPr="00F845F0" w:rsidRDefault="00C21D5E" w:rsidP="0065020F">
            <w:pPr>
              <w:jc w:val="right"/>
              <w:rPr>
                <w:rFonts w:ascii="Arial" w:hAnsi="Arial" w:cs="Arial"/>
                <w:b/>
                <w:bCs/>
                <w:color w:val="000000"/>
                <w:sz w:val="14"/>
                <w:szCs w:val="14"/>
                <w:lang w:val="es-ES_tradnl" w:eastAsia="es-AR"/>
              </w:rPr>
            </w:pPr>
            <w:r>
              <w:rPr>
                <w:rFonts w:ascii="Arial" w:hAnsi="Arial" w:cs="Arial"/>
                <w:b/>
                <w:bCs/>
                <w:color w:val="000000"/>
                <w:sz w:val="14"/>
                <w:szCs w:val="14"/>
                <w:lang w:val="es-ES_tradnl" w:eastAsia="es-AR"/>
              </w:rPr>
              <w:t>6.070.917</w:t>
            </w:r>
          </w:p>
        </w:tc>
        <w:tc>
          <w:tcPr>
            <w:tcW w:w="444" w:type="pct"/>
            <w:shd w:val="clear" w:color="auto" w:fill="auto"/>
            <w:noWrap/>
            <w:vAlign w:val="bottom"/>
          </w:tcPr>
          <w:p w14:paraId="42A32952" w14:textId="38399E56" w:rsidR="0065020F" w:rsidRPr="00F845F0" w:rsidRDefault="0065020F" w:rsidP="0065020F">
            <w:pPr>
              <w:jc w:val="right"/>
              <w:rPr>
                <w:rFonts w:ascii="Arial" w:hAnsi="Arial" w:cs="Arial"/>
                <w:b/>
                <w:bCs/>
                <w:color w:val="000000"/>
                <w:sz w:val="14"/>
                <w:szCs w:val="14"/>
                <w:lang w:eastAsia="es-AR"/>
              </w:rPr>
            </w:pPr>
            <w:r w:rsidRPr="00F30223">
              <w:rPr>
                <w:rFonts w:ascii="Arial" w:hAnsi="Arial" w:cs="Arial"/>
                <w:b/>
                <w:sz w:val="14"/>
                <w:szCs w:val="14"/>
              </w:rPr>
              <w:t>9.228.033</w:t>
            </w:r>
          </w:p>
        </w:tc>
      </w:tr>
    </w:tbl>
    <w:p w14:paraId="66254406" w14:textId="77777777" w:rsidR="00A06BE9" w:rsidRDefault="00A06BE9" w:rsidP="00A06BE9">
      <w:pPr>
        <w:pStyle w:val="PrimerNivel"/>
        <w:numPr>
          <w:ilvl w:val="0"/>
          <w:numId w:val="0"/>
        </w:numPr>
        <w:rPr>
          <w:rFonts w:ascii="Arial" w:hAnsi="Arial" w:cs="Arial"/>
          <w:b/>
          <w:sz w:val="20"/>
        </w:rPr>
      </w:pPr>
    </w:p>
    <w:p w14:paraId="1FC6F8CE" w14:textId="54FD5A50" w:rsidR="00B926D5" w:rsidRDefault="00B926D5" w:rsidP="00A06BE9">
      <w:pPr>
        <w:pStyle w:val="PrimerNivel"/>
        <w:numPr>
          <w:ilvl w:val="0"/>
          <w:numId w:val="0"/>
        </w:numPr>
        <w:rPr>
          <w:rFonts w:ascii="Arial" w:hAnsi="Arial" w:cs="Arial"/>
          <w:sz w:val="20"/>
        </w:rPr>
      </w:pPr>
      <w:r w:rsidRPr="00EC349E">
        <w:rPr>
          <w:rFonts w:ascii="Arial" w:hAnsi="Arial" w:cs="Arial"/>
          <w:sz w:val="20"/>
        </w:rPr>
        <w:t>(*) Corresponde a emisiones de Cordial Compañía Financiera S.A.</w:t>
      </w:r>
    </w:p>
    <w:p w14:paraId="167EA441" w14:textId="77777777" w:rsidR="00B926D5" w:rsidRPr="00EC349E" w:rsidRDefault="00B926D5" w:rsidP="00A06BE9">
      <w:pPr>
        <w:pStyle w:val="PrimerNivel"/>
        <w:numPr>
          <w:ilvl w:val="0"/>
          <w:numId w:val="0"/>
        </w:numPr>
        <w:rPr>
          <w:rFonts w:ascii="Arial" w:hAnsi="Arial" w:cs="Arial"/>
          <w:sz w:val="20"/>
        </w:rPr>
      </w:pPr>
    </w:p>
    <w:p w14:paraId="4E01AAB9" w14:textId="2BFC4C90" w:rsidR="001854C2" w:rsidRDefault="00FD1A20" w:rsidP="001854C2">
      <w:pPr>
        <w:tabs>
          <w:tab w:val="left" w:pos="142"/>
          <w:tab w:val="left" w:pos="9923"/>
        </w:tabs>
        <w:jc w:val="both"/>
        <w:rPr>
          <w:rFonts w:ascii="Arial" w:hAnsi="Arial" w:cs="Arial"/>
          <w:sz w:val="20"/>
        </w:rPr>
      </w:pPr>
      <w:r w:rsidRPr="00FD1A20">
        <w:rPr>
          <w:rFonts w:ascii="Arial" w:hAnsi="Arial" w:cs="Arial"/>
          <w:sz w:val="20"/>
        </w:rPr>
        <w:t>El monto en circulación de la Obligaciones Negociables Clase A fue reducido con fecha 17 de octubre de 2018 por un valor nominal en pesos de $ 618.030 y con fecha 23 de enero de 2019 por un valor nominal en pesos de $ 254.</w:t>
      </w:r>
      <w:r w:rsidR="00CE53C0" w:rsidRPr="00FD1A20">
        <w:rPr>
          <w:rFonts w:ascii="Arial" w:hAnsi="Arial" w:cs="Arial"/>
          <w:sz w:val="20"/>
        </w:rPr>
        <w:t>92</w:t>
      </w:r>
      <w:r w:rsidR="00CE53C0">
        <w:rPr>
          <w:rFonts w:ascii="Arial" w:hAnsi="Arial" w:cs="Arial"/>
          <w:sz w:val="20"/>
        </w:rPr>
        <w:t xml:space="preserve">5. </w:t>
      </w:r>
      <w:r w:rsidRPr="00FD1A20">
        <w:rPr>
          <w:rFonts w:ascii="Arial" w:hAnsi="Arial" w:cs="Arial"/>
          <w:sz w:val="20"/>
        </w:rPr>
        <w:t>Resultando así el monto total de circulación en pesos de $ 3.895.</w:t>
      </w:r>
      <w:r w:rsidR="00CE53C0">
        <w:rPr>
          <w:rFonts w:ascii="Arial" w:hAnsi="Arial" w:cs="Arial"/>
          <w:sz w:val="20"/>
        </w:rPr>
        <w:t>215.</w:t>
      </w:r>
    </w:p>
    <w:p w14:paraId="36793F8D" w14:textId="77777777" w:rsidR="00FD1A20" w:rsidRPr="00701F32" w:rsidRDefault="00FD1A20" w:rsidP="001854C2">
      <w:pPr>
        <w:tabs>
          <w:tab w:val="left" w:pos="142"/>
          <w:tab w:val="left" w:pos="9923"/>
        </w:tabs>
        <w:jc w:val="both"/>
        <w:rPr>
          <w:rFonts w:ascii="Arial" w:hAnsi="Arial" w:cs="Arial"/>
          <w:sz w:val="20"/>
        </w:rPr>
      </w:pPr>
    </w:p>
    <w:p w14:paraId="30FF514D" w14:textId="11730A7E" w:rsidR="001854C2" w:rsidRPr="00BA370C" w:rsidRDefault="001854C2" w:rsidP="001854C2">
      <w:pPr>
        <w:tabs>
          <w:tab w:val="left" w:pos="142"/>
          <w:tab w:val="left" w:pos="9923"/>
        </w:tabs>
        <w:jc w:val="both"/>
        <w:rPr>
          <w:rFonts w:ascii="Arial" w:hAnsi="Arial" w:cs="Arial"/>
          <w:sz w:val="20"/>
        </w:rPr>
      </w:pPr>
      <w:r w:rsidRPr="00BA370C">
        <w:rPr>
          <w:rFonts w:ascii="Arial" w:hAnsi="Arial" w:cs="Arial"/>
          <w:sz w:val="20"/>
        </w:rPr>
        <w:t>Con fecha 22 de agosto de 2018 y 13 de septiembre de 2018, se recompraron $ 15.000</w:t>
      </w:r>
      <w:r w:rsidR="00CE53C0">
        <w:rPr>
          <w:rFonts w:ascii="Arial" w:hAnsi="Arial" w:cs="Arial"/>
          <w:sz w:val="20"/>
        </w:rPr>
        <w:t xml:space="preserve"> </w:t>
      </w:r>
      <w:r w:rsidRPr="00BA370C">
        <w:rPr>
          <w:rFonts w:ascii="Arial" w:hAnsi="Arial" w:cs="Arial"/>
          <w:sz w:val="20"/>
        </w:rPr>
        <w:t>VN y $ 10.000</w:t>
      </w:r>
      <w:r w:rsidR="00CE53C0">
        <w:rPr>
          <w:rFonts w:ascii="Arial" w:hAnsi="Arial" w:cs="Arial"/>
          <w:sz w:val="20"/>
        </w:rPr>
        <w:t xml:space="preserve"> </w:t>
      </w:r>
      <w:r w:rsidRPr="00BA370C">
        <w:rPr>
          <w:rFonts w:ascii="Arial" w:hAnsi="Arial" w:cs="Arial"/>
          <w:sz w:val="20"/>
        </w:rPr>
        <w:t>VN, respectivamente, correspondiente a la ON Clase XVI.</w:t>
      </w:r>
    </w:p>
    <w:p w14:paraId="4DDEC57F" w14:textId="77777777" w:rsidR="001854C2" w:rsidRPr="00BA370C" w:rsidRDefault="001854C2" w:rsidP="001854C2">
      <w:pPr>
        <w:tabs>
          <w:tab w:val="left" w:pos="142"/>
          <w:tab w:val="left" w:pos="9923"/>
        </w:tabs>
        <w:jc w:val="both"/>
        <w:rPr>
          <w:rFonts w:ascii="Arial" w:hAnsi="Arial" w:cs="Arial"/>
          <w:sz w:val="20"/>
        </w:rPr>
      </w:pPr>
    </w:p>
    <w:p w14:paraId="49979AB2" w14:textId="279CE716" w:rsidR="001854C2" w:rsidRPr="00BA370C" w:rsidRDefault="001854C2" w:rsidP="001854C2">
      <w:pPr>
        <w:pStyle w:val="PrimerNivel"/>
        <w:numPr>
          <w:ilvl w:val="0"/>
          <w:numId w:val="0"/>
        </w:numPr>
        <w:rPr>
          <w:rFonts w:ascii="Arial" w:hAnsi="Arial" w:cs="Arial"/>
          <w:b/>
          <w:sz w:val="20"/>
          <w:szCs w:val="20"/>
        </w:rPr>
      </w:pPr>
      <w:r w:rsidRPr="00BA370C">
        <w:rPr>
          <w:rFonts w:ascii="Arial" w:hAnsi="Arial" w:cs="Arial"/>
          <w:sz w:val="20"/>
        </w:rPr>
        <w:t>Con fecha 4 de septiembre de 2018, 19 de septiembre de 2018 y 21 de septiembre de 2018 se recompraron $ 20.000</w:t>
      </w:r>
      <w:r w:rsidR="00CE53C0">
        <w:rPr>
          <w:rFonts w:ascii="Arial" w:hAnsi="Arial" w:cs="Arial"/>
          <w:sz w:val="20"/>
        </w:rPr>
        <w:t xml:space="preserve"> </w:t>
      </w:r>
      <w:r w:rsidRPr="00BA370C">
        <w:rPr>
          <w:rFonts w:ascii="Arial" w:hAnsi="Arial" w:cs="Arial"/>
          <w:sz w:val="20"/>
        </w:rPr>
        <w:t>VN, $ 60.000 VN y $ 38.000</w:t>
      </w:r>
      <w:r w:rsidR="00CE53C0">
        <w:rPr>
          <w:rFonts w:ascii="Arial" w:hAnsi="Arial" w:cs="Arial"/>
          <w:sz w:val="20"/>
        </w:rPr>
        <w:t xml:space="preserve"> </w:t>
      </w:r>
      <w:r w:rsidRPr="00BA370C">
        <w:rPr>
          <w:rFonts w:ascii="Arial" w:hAnsi="Arial" w:cs="Arial"/>
          <w:sz w:val="20"/>
        </w:rPr>
        <w:t>VN, respectivamente, correspondiente a la ON Clase XIV.</w:t>
      </w:r>
    </w:p>
    <w:p w14:paraId="2040E6DA" w14:textId="74E50E76" w:rsidR="00520598" w:rsidRDefault="00520598" w:rsidP="00A06BE9">
      <w:pPr>
        <w:pStyle w:val="PrimerNivel"/>
        <w:numPr>
          <w:ilvl w:val="0"/>
          <w:numId w:val="0"/>
        </w:numPr>
        <w:rPr>
          <w:rFonts w:ascii="Arial" w:hAnsi="Arial" w:cs="Arial"/>
          <w:b/>
          <w:sz w:val="20"/>
          <w:szCs w:val="20"/>
        </w:rPr>
      </w:pPr>
    </w:p>
    <w:p w14:paraId="1268B9D5" w14:textId="36BC041F" w:rsidR="00520598" w:rsidRPr="00520598" w:rsidRDefault="00520598" w:rsidP="00A06BE9">
      <w:pPr>
        <w:pStyle w:val="PrimerNivel"/>
        <w:numPr>
          <w:ilvl w:val="0"/>
          <w:numId w:val="0"/>
        </w:numPr>
        <w:rPr>
          <w:rFonts w:ascii="Arial" w:hAnsi="Arial" w:cs="Arial"/>
          <w:bCs/>
          <w:sz w:val="20"/>
          <w:szCs w:val="20"/>
        </w:rPr>
      </w:pPr>
      <w:r>
        <w:rPr>
          <w:rFonts w:ascii="Arial" w:hAnsi="Arial" w:cs="Arial"/>
          <w:bCs/>
          <w:sz w:val="20"/>
          <w:szCs w:val="20"/>
        </w:rPr>
        <w:t xml:space="preserve">Las Obligaciones Negociables clase B, D y F se encuentran totalmente amortizadas desde el 14 de </w:t>
      </w:r>
      <w:r w:rsidR="002C13FD">
        <w:rPr>
          <w:rFonts w:ascii="Arial" w:hAnsi="Arial" w:cs="Arial"/>
          <w:bCs/>
          <w:sz w:val="20"/>
          <w:szCs w:val="20"/>
        </w:rPr>
        <w:t>a</w:t>
      </w:r>
      <w:r>
        <w:rPr>
          <w:rFonts w:ascii="Arial" w:hAnsi="Arial" w:cs="Arial"/>
          <w:bCs/>
          <w:sz w:val="20"/>
          <w:szCs w:val="20"/>
        </w:rPr>
        <w:t xml:space="preserve">gosto de 2019 para la clase D, 4 de noviembre de 2019 para la clase F y </w:t>
      </w:r>
      <w:r>
        <w:rPr>
          <w:rFonts w:ascii="Arial" w:hAnsi="Arial" w:cs="Arial"/>
          <w:sz w:val="20"/>
          <w:szCs w:val="20"/>
          <w:lang w:val="es-AR" w:eastAsia="en-US"/>
        </w:rPr>
        <w:t>23 de diciembre de 2019 para la clase B.</w:t>
      </w:r>
    </w:p>
    <w:p w14:paraId="1EFCD8AD" w14:textId="77777777" w:rsidR="008C1B92" w:rsidRPr="008C1B92" w:rsidRDefault="008C1B92" w:rsidP="00A06BE9">
      <w:pPr>
        <w:pStyle w:val="PrimerNivel"/>
        <w:numPr>
          <w:ilvl w:val="0"/>
          <w:numId w:val="0"/>
        </w:numPr>
        <w:rPr>
          <w:rFonts w:ascii="Arial" w:hAnsi="Arial" w:cs="Arial"/>
          <w:b/>
          <w:sz w:val="20"/>
          <w:szCs w:val="20"/>
          <w:lang w:val="es-AR"/>
        </w:rPr>
      </w:pPr>
    </w:p>
    <w:p w14:paraId="1D2ED36F" w14:textId="617977E3" w:rsidR="00A06BE9" w:rsidRPr="00701F32" w:rsidRDefault="00A06BE9" w:rsidP="00A06BE9">
      <w:pPr>
        <w:pStyle w:val="PrimerNivel"/>
        <w:numPr>
          <w:ilvl w:val="0"/>
          <w:numId w:val="0"/>
        </w:numPr>
        <w:rPr>
          <w:rFonts w:ascii="Arial" w:hAnsi="Arial" w:cs="Arial"/>
          <w:b/>
          <w:sz w:val="20"/>
          <w:szCs w:val="20"/>
        </w:rPr>
      </w:pPr>
      <w:r w:rsidRPr="00701F32">
        <w:rPr>
          <w:rFonts w:ascii="Arial" w:hAnsi="Arial" w:cs="Arial"/>
          <w:b/>
          <w:sz w:val="20"/>
          <w:szCs w:val="20"/>
        </w:rPr>
        <w:t>Obligaciones Negociables subordinadas</w:t>
      </w:r>
    </w:p>
    <w:p w14:paraId="287209D7" w14:textId="77777777" w:rsidR="00A06BE9" w:rsidRPr="00701F32" w:rsidRDefault="00A06BE9" w:rsidP="00A06BE9">
      <w:pPr>
        <w:pStyle w:val="PrimerNivel"/>
        <w:numPr>
          <w:ilvl w:val="0"/>
          <w:numId w:val="0"/>
        </w:numPr>
        <w:ind w:left="66"/>
        <w:rPr>
          <w:rFonts w:ascii="Arial" w:hAnsi="Arial" w:cs="Arial"/>
          <w:b/>
          <w:sz w:val="20"/>
          <w:szCs w:val="20"/>
        </w:rPr>
      </w:pPr>
    </w:p>
    <w:p w14:paraId="39F03FA4" w14:textId="5B652532" w:rsidR="00A06BE9" w:rsidRPr="00701F32" w:rsidRDefault="00A06BE9" w:rsidP="00A06BE9">
      <w:pPr>
        <w:tabs>
          <w:tab w:val="left" w:pos="142"/>
          <w:tab w:val="left" w:pos="9923"/>
        </w:tabs>
        <w:jc w:val="both"/>
        <w:rPr>
          <w:rFonts w:ascii="Arial" w:hAnsi="Arial" w:cs="Arial"/>
          <w:b/>
          <w:sz w:val="20"/>
        </w:rPr>
      </w:pPr>
      <w:r w:rsidRPr="00701F32">
        <w:rPr>
          <w:rFonts w:ascii="Arial" w:hAnsi="Arial" w:cs="Arial"/>
          <w:b/>
          <w:sz w:val="20"/>
        </w:rPr>
        <w:t xml:space="preserve">Programa Global de Emisión de Obligaciones Negociables por hasta V/N $ 750.000 (ampliado a V/N $2.000.000). </w:t>
      </w:r>
    </w:p>
    <w:p w14:paraId="50C65BCE" w14:textId="77777777" w:rsidR="00A06BE9" w:rsidRPr="00701F32" w:rsidRDefault="00A06BE9" w:rsidP="00A06BE9">
      <w:pPr>
        <w:pStyle w:val="Sinespaciado"/>
        <w:jc w:val="both"/>
        <w:rPr>
          <w:rFonts w:ascii="Arial" w:hAnsi="Arial" w:cs="Arial"/>
          <w:sz w:val="20"/>
          <w:szCs w:val="20"/>
        </w:rPr>
      </w:pPr>
    </w:p>
    <w:p w14:paraId="06B55A57" w14:textId="03DB3C00" w:rsidR="005C4329" w:rsidRPr="00701F32" w:rsidRDefault="005C4329" w:rsidP="00A06BE9">
      <w:pPr>
        <w:pStyle w:val="Sinespaciado"/>
        <w:jc w:val="both"/>
        <w:rPr>
          <w:rFonts w:ascii="Arial" w:hAnsi="Arial" w:cs="Arial"/>
          <w:sz w:val="20"/>
          <w:szCs w:val="20"/>
        </w:rPr>
      </w:pPr>
      <w:r w:rsidRPr="00701F32">
        <w:rPr>
          <w:rFonts w:ascii="Arial" w:hAnsi="Arial" w:cs="Arial"/>
          <w:sz w:val="20"/>
          <w:szCs w:val="20"/>
        </w:rPr>
        <w:t xml:space="preserve">Con fecha 25 de marzo de 2013, la Asamblea General Extraordinaria de Accionistas resolvió aprobar la creación de un Programa Global de Emisión de Obligaciones Negociables por hasta un monto máximo en circulación en cualquier momento durante la vigencia del programa de </w:t>
      </w:r>
      <w:r w:rsidR="004C2C24">
        <w:rPr>
          <w:rFonts w:ascii="Arial" w:hAnsi="Arial" w:cs="Arial"/>
          <w:sz w:val="20"/>
          <w:szCs w:val="20"/>
        </w:rPr>
        <w:t>$</w:t>
      </w:r>
      <w:r w:rsidR="004C2C24" w:rsidRPr="00701F32">
        <w:rPr>
          <w:rFonts w:ascii="Arial" w:hAnsi="Arial" w:cs="Arial"/>
          <w:sz w:val="20"/>
          <w:szCs w:val="20"/>
        </w:rPr>
        <w:t xml:space="preserve"> </w:t>
      </w:r>
      <w:r w:rsidRPr="00701F32">
        <w:rPr>
          <w:rFonts w:ascii="Arial" w:hAnsi="Arial" w:cs="Arial"/>
          <w:sz w:val="20"/>
          <w:szCs w:val="20"/>
        </w:rPr>
        <w:t>750.000. Al respecto, cabe mencionar que en fecha 15 de abril de 2016 la Asamblea General Ordinaria y Extraordinaria de Accionistas resolvió incrementar el monto máximo de dicho programa hasta un valor nominal de pesos 2.000.000</w:t>
      </w:r>
      <w:r w:rsidR="00CE53C0">
        <w:rPr>
          <w:rFonts w:ascii="Arial" w:hAnsi="Arial" w:cs="Arial"/>
          <w:sz w:val="20"/>
          <w:szCs w:val="20"/>
        </w:rPr>
        <w:t xml:space="preserve"> </w:t>
      </w:r>
      <w:r w:rsidRPr="00701F32">
        <w:rPr>
          <w:rFonts w:ascii="Arial" w:hAnsi="Arial" w:cs="Arial"/>
          <w:sz w:val="20"/>
          <w:szCs w:val="20"/>
        </w:rPr>
        <w:t>o su equivalente en otras monedas, el cual fue aprobado por CNV mediante resolución N° 18.224 con fecha 22 de septiembre de 2016.</w:t>
      </w:r>
    </w:p>
    <w:p w14:paraId="5070EA2C" w14:textId="77777777" w:rsidR="00A06BE9" w:rsidRPr="00701F32" w:rsidRDefault="00A06BE9" w:rsidP="00A06BE9">
      <w:pPr>
        <w:pStyle w:val="Sinespaciado"/>
        <w:jc w:val="both"/>
        <w:rPr>
          <w:rFonts w:ascii="Arial" w:hAnsi="Arial" w:cs="Arial"/>
          <w:sz w:val="20"/>
          <w:szCs w:val="20"/>
        </w:rPr>
      </w:pPr>
    </w:p>
    <w:p w14:paraId="16D4777F" w14:textId="31DCA515" w:rsidR="00A06BE9" w:rsidRPr="00701F32" w:rsidRDefault="00A06BE9" w:rsidP="00A06BE9">
      <w:pPr>
        <w:pStyle w:val="PrimerNivel"/>
        <w:numPr>
          <w:ilvl w:val="0"/>
          <w:numId w:val="0"/>
        </w:numPr>
        <w:rPr>
          <w:rFonts w:ascii="Arial" w:hAnsi="Arial" w:cs="Arial"/>
          <w:sz w:val="20"/>
          <w:szCs w:val="20"/>
        </w:rPr>
      </w:pPr>
      <w:r w:rsidRPr="00701F32">
        <w:rPr>
          <w:rFonts w:ascii="Arial" w:hAnsi="Arial" w:cs="Arial"/>
          <w:sz w:val="20"/>
          <w:szCs w:val="20"/>
        </w:rPr>
        <w:t>A continuación, se detallan los principales términos y condiciones</w:t>
      </w:r>
      <w:r w:rsidR="005D476E">
        <w:rPr>
          <w:rFonts w:ascii="Arial" w:hAnsi="Arial" w:cs="Arial"/>
          <w:sz w:val="20"/>
          <w:szCs w:val="20"/>
        </w:rPr>
        <w:t xml:space="preserve"> de las emisiones vigentes al </w:t>
      </w:r>
      <w:r w:rsidR="00FD1A20">
        <w:rPr>
          <w:rFonts w:ascii="Arial" w:hAnsi="Arial" w:cs="Arial"/>
          <w:sz w:val="20"/>
          <w:szCs w:val="20"/>
        </w:rPr>
        <w:t xml:space="preserve">31 de diciembre de </w:t>
      </w:r>
      <w:r w:rsidR="00032EC8">
        <w:rPr>
          <w:rFonts w:ascii="Arial" w:hAnsi="Arial" w:cs="Arial"/>
          <w:sz w:val="20"/>
          <w:szCs w:val="20"/>
        </w:rPr>
        <w:t xml:space="preserve">2019 y </w:t>
      </w:r>
      <w:r w:rsidR="00FD1A20">
        <w:rPr>
          <w:rFonts w:ascii="Arial" w:hAnsi="Arial" w:cs="Arial"/>
          <w:sz w:val="20"/>
          <w:szCs w:val="20"/>
        </w:rPr>
        <w:t>2018</w:t>
      </w:r>
      <w:r w:rsidRPr="00701F32">
        <w:rPr>
          <w:rFonts w:ascii="Arial" w:hAnsi="Arial" w:cs="Arial"/>
          <w:sz w:val="20"/>
          <w:szCs w:val="20"/>
        </w:rPr>
        <w:t>:</w:t>
      </w:r>
    </w:p>
    <w:p w14:paraId="6FF910FC" w14:textId="77777777" w:rsidR="00A06BE9" w:rsidRPr="00701F32" w:rsidRDefault="00A06BE9" w:rsidP="00A06BE9">
      <w:pPr>
        <w:pStyle w:val="Sinespaciado"/>
        <w:jc w:val="both"/>
        <w:rPr>
          <w:rFonts w:ascii="Arial" w:hAnsi="Arial" w:cs="Arial"/>
          <w:sz w:val="20"/>
          <w:szCs w:val="20"/>
          <w:lang w:val="es-PE"/>
        </w:rPr>
      </w:pPr>
    </w:p>
    <w:tbl>
      <w:tblPr>
        <w:tblW w:w="8470" w:type="dxa"/>
        <w:tblInd w:w="55" w:type="dxa"/>
        <w:tblLayout w:type="fixed"/>
        <w:tblCellMar>
          <w:left w:w="70" w:type="dxa"/>
          <w:right w:w="70" w:type="dxa"/>
        </w:tblCellMar>
        <w:tblLook w:val="04A0" w:firstRow="1" w:lastRow="0" w:firstColumn="1" w:lastColumn="0" w:noHBand="0" w:noVBand="1"/>
      </w:tblPr>
      <w:tblGrid>
        <w:gridCol w:w="896"/>
        <w:gridCol w:w="685"/>
        <w:gridCol w:w="521"/>
        <w:gridCol w:w="796"/>
        <w:gridCol w:w="1119"/>
        <w:gridCol w:w="706"/>
        <w:gridCol w:w="958"/>
        <w:gridCol w:w="771"/>
        <w:gridCol w:w="1073"/>
        <w:gridCol w:w="929"/>
        <w:gridCol w:w="16"/>
      </w:tblGrid>
      <w:tr w:rsidR="006B05D4" w:rsidRPr="00701F32" w14:paraId="5EAFF631" w14:textId="77777777" w:rsidTr="00037C01">
        <w:trPr>
          <w:gridAfter w:val="1"/>
          <w:wAfter w:w="16" w:type="dxa"/>
          <w:trHeight w:val="269"/>
        </w:trPr>
        <w:tc>
          <w:tcPr>
            <w:tcW w:w="89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10D892F"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Fecha de colocación</w:t>
            </w:r>
          </w:p>
        </w:tc>
        <w:tc>
          <w:tcPr>
            <w:tcW w:w="6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F54B0CF" w14:textId="77777777" w:rsidR="006B05D4" w:rsidRPr="00701F32" w:rsidRDefault="006B05D4" w:rsidP="00464C0F">
            <w:pPr>
              <w:jc w:val="center"/>
              <w:rPr>
                <w:rFonts w:ascii="Arial" w:hAnsi="Arial" w:cs="Arial"/>
                <w:color w:val="000000"/>
                <w:sz w:val="14"/>
                <w:szCs w:val="16"/>
                <w:lang w:eastAsia="es-AR"/>
              </w:rPr>
            </w:pPr>
            <w:r w:rsidRPr="00701F32">
              <w:rPr>
                <w:rFonts w:ascii="Arial" w:hAnsi="Arial" w:cs="Arial"/>
                <w:color w:val="000000"/>
                <w:sz w:val="14"/>
                <w:szCs w:val="16"/>
                <w:lang w:eastAsia="es-AR"/>
              </w:rPr>
              <w:t>Moneda</w:t>
            </w:r>
          </w:p>
        </w:tc>
        <w:tc>
          <w:tcPr>
            <w:tcW w:w="52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F0FBBC8"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Nro. de Clase</w:t>
            </w:r>
          </w:p>
        </w:tc>
        <w:tc>
          <w:tcPr>
            <w:tcW w:w="7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A3C58C"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Monto</w:t>
            </w:r>
          </w:p>
        </w:tc>
        <w:tc>
          <w:tcPr>
            <w:tcW w:w="111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DE2FD3"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Amortización</w:t>
            </w:r>
          </w:p>
        </w:tc>
        <w:tc>
          <w:tcPr>
            <w:tcW w:w="7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8DD92AF"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Plazo</w:t>
            </w:r>
          </w:p>
        </w:tc>
        <w:tc>
          <w:tcPr>
            <w:tcW w:w="95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751261C"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Fecha de vencimiento</w:t>
            </w:r>
          </w:p>
        </w:tc>
        <w:tc>
          <w:tcPr>
            <w:tcW w:w="7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2FAE2E"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Tasa</w:t>
            </w:r>
          </w:p>
        </w:tc>
        <w:tc>
          <w:tcPr>
            <w:tcW w:w="2002" w:type="dxa"/>
            <w:gridSpan w:val="2"/>
            <w:tcBorders>
              <w:top w:val="single" w:sz="8" w:space="0" w:color="auto"/>
              <w:left w:val="nil"/>
              <w:bottom w:val="single" w:sz="8" w:space="0" w:color="auto"/>
              <w:right w:val="single" w:sz="8" w:space="0" w:color="000000"/>
            </w:tcBorders>
            <w:shd w:val="clear" w:color="auto" w:fill="auto"/>
            <w:vAlign w:val="center"/>
            <w:hideMark/>
          </w:tcPr>
          <w:p w14:paraId="0339E26C" w14:textId="77777777" w:rsidR="006B05D4" w:rsidRPr="00701F32" w:rsidRDefault="006B05D4" w:rsidP="00464C0F">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Valor Libros</w:t>
            </w:r>
          </w:p>
        </w:tc>
      </w:tr>
      <w:tr w:rsidR="006B5772" w:rsidRPr="00701F32" w14:paraId="6F01B466" w14:textId="77777777" w:rsidTr="00037C01">
        <w:trPr>
          <w:trHeight w:val="269"/>
        </w:trPr>
        <w:tc>
          <w:tcPr>
            <w:tcW w:w="897" w:type="dxa"/>
            <w:vMerge/>
            <w:tcBorders>
              <w:top w:val="single" w:sz="8" w:space="0" w:color="auto"/>
              <w:left w:val="single" w:sz="8" w:space="0" w:color="auto"/>
              <w:bottom w:val="single" w:sz="8" w:space="0" w:color="000000"/>
              <w:right w:val="single" w:sz="8" w:space="0" w:color="auto"/>
            </w:tcBorders>
            <w:vAlign w:val="center"/>
            <w:hideMark/>
          </w:tcPr>
          <w:p w14:paraId="1F848F0C" w14:textId="77777777" w:rsidR="006B5772" w:rsidRPr="00701F32" w:rsidRDefault="006B5772" w:rsidP="006B05D4">
            <w:pPr>
              <w:jc w:val="center"/>
              <w:rPr>
                <w:rFonts w:ascii="Arial" w:hAnsi="Arial" w:cs="Arial"/>
                <w:b/>
                <w:color w:val="000000"/>
                <w:sz w:val="14"/>
                <w:szCs w:val="16"/>
                <w:lang w:eastAsia="es-AR"/>
              </w:rPr>
            </w:pPr>
          </w:p>
        </w:tc>
        <w:tc>
          <w:tcPr>
            <w:tcW w:w="686" w:type="dxa"/>
            <w:vMerge/>
            <w:tcBorders>
              <w:top w:val="single" w:sz="8" w:space="0" w:color="auto"/>
              <w:left w:val="single" w:sz="8" w:space="0" w:color="auto"/>
              <w:bottom w:val="single" w:sz="8" w:space="0" w:color="000000"/>
              <w:right w:val="single" w:sz="8" w:space="0" w:color="auto"/>
            </w:tcBorders>
            <w:vAlign w:val="center"/>
            <w:hideMark/>
          </w:tcPr>
          <w:p w14:paraId="3B70704A" w14:textId="77777777" w:rsidR="006B5772" w:rsidRPr="00701F32" w:rsidRDefault="006B5772" w:rsidP="006B05D4">
            <w:pPr>
              <w:jc w:val="center"/>
              <w:rPr>
                <w:rFonts w:ascii="Arial" w:hAnsi="Arial" w:cs="Arial"/>
                <w:b/>
                <w:color w:val="000000"/>
                <w:sz w:val="14"/>
                <w:szCs w:val="16"/>
                <w:lang w:eastAsia="es-AR"/>
              </w:rPr>
            </w:pPr>
          </w:p>
        </w:tc>
        <w:tc>
          <w:tcPr>
            <w:tcW w:w="522" w:type="dxa"/>
            <w:vMerge/>
            <w:tcBorders>
              <w:top w:val="single" w:sz="8" w:space="0" w:color="auto"/>
              <w:left w:val="single" w:sz="8" w:space="0" w:color="auto"/>
              <w:bottom w:val="single" w:sz="8" w:space="0" w:color="000000"/>
              <w:right w:val="single" w:sz="8" w:space="0" w:color="auto"/>
            </w:tcBorders>
            <w:vAlign w:val="center"/>
            <w:hideMark/>
          </w:tcPr>
          <w:p w14:paraId="639091CF" w14:textId="77777777" w:rsidR="006B5772" w:rsidRPr="00701F32" w:rsidRDefault="006B5772" w:rsidP="006B05D4">
            <w:pPr>
              <w:jc w:val="center"/>
              <w:rPr>
                <w:rFonts w:ascii="Arial" w:hAnsi="Arial" w:cs="Arial"/>
                <w:b/>
                <w:color w:val="000000"/>
                <w:sz w:val="14"/>
                <w:szCs w:val="16"/>
                <w:lang w:eastAsia="es-AR"/>
              </w:rPr>
            </w:pPr>
          </w:p>
        </w:tc>
        <w:tc>
          <w:tcPr>
            <w:tcW w:w="796" w:type="dxa"/>
            <w:vMerge/>
            <w:tcBorders>
              <w:top w:val="single" w:sz="8" w:space="0" w:color="auto"/>
              <w:left w:val="single" w:sz="8" w:space="0" w:color="auto"/>
              <w:bottom w:val="single" w:sz="8" w:space="0" w:color="000000"/>
              <w:right w:val="single" w:sz="8" w:space="0" w:color="auto"/>
            </w:tcBorders>
            <w:vAlign w:val="center"/>
            <w:hideMark/>
          </w:tcPr>
          <w:p w14:paraId="3C36A49E" w14:textId="77777777" w:rsidR="006B5772" w:rsidRPr="00701F32" w:rsidRDefault="006B5772" w:rsidP="006B05D4">
            <w:pPr>
              <w:jc w:val="center"/>
              <w:rPr>
                <w:rFonts w:ascii="Arial" w:hAnsi="Arial" w:cs="Arial"/>
                <w:b/>
                <w:color w:val="000000"/>
                <w:sz w:val="14"/>
                <w:szCs w:val="16"/>
                <w:lang w:eastAsia="es-AR"/>
              </w:rPr>
            </w:pPr>
          </w:p>
        </w:tc>
        <w:tc>
          <w:tcPr>
            <w:tcW w:w="1119" w:type="dxa"/>
            <w:vMerge/>
            <w:tcBorders>
              <w:top w:val="single" w:sz="8" w:space="0" w:color="auto"/>
              <w:left w:val="single" w:sz="8" w:space="0" w:color="auto"/>
              <w:bottom w:val="single" w:sz="8" w:space="0" w:color="000000"/>
              <w:right w:val="single" w:sz="8" w:space="0" w:color="auto"/>
            </w:tcBorders>
            <w:vAlign w:val="center"/>
            <w:hideMark/>
          </w:tcPr>
          <w:p w14:paraId="175602E3" w14:textId="77777777" w:rsidR="006B5772" w:rsidRPr="00701F32" w:rsidRDefault="006B5772" w:rsidP="006B05D4">
            <w:pPr>
              <w:jc w:val="center"/>
              <w:rPr>
                <w:rFonts w:ascii="Arial" w:hAnsi="Arial" w:cs="Arial"/>
                <w:b/>
                <w:color w:val="000000"/>
                <w:sz w:val="14"/>
                <w:szCs w:val="16"/>
                <w:lang w:eastAsia="es-AR"/>
              </w:rPr>
            </w:pPr>
          </w:p>
        </w:tc>
        <w:tc>
          <w:tcPr>
            <w:tcW w:w="706" w:type="dxa"/>
            <w:vMerge/>
            <w:tcBorders>
              <w:top w:val="single" w:sz="8" w:space="0" w:color="auto"/>
              <w:left w:val="single" w:sz="8" w:space="0" w:color="auto"/>
              <w:bottom w:val="single" w:sz="8" w:space="0" w:color="000000"/>
              <w:right w:val="single" w:sz="8" w:space="0" w:color="auto"/>
            </w:tcBorders>
            <w:vAlign w:val="center"/>
            <w:hideMark/>
          </w:tcPr>
          <w:p w14:paraId="59B98EDD" w14:textId="77777777" w:rsidR="006B5772" w:rsidRPr="00701F32" w:rsidRDefault="006B5772" w:rsidP="006B05D4">
            <w:pPr>
              <w:jc w:val="center"/>
              <w:rPr>
                <w:rFonts w:ascii="Arial" w:hAnsi="Arial" w:cs="Arial"/>
                <w:b/>
                <w:color w:val="000000"/>
                <w:sz w:val="14"/>
                <w:szCs w:val="16"/>
                <w:lang w:eastAsia="es-AR"/>
              </w:rPr>
            </w:pPr>
          </w:p>
        </w:tc>
        <w:tc>
          <w:tcPr>
            <w:tcW w:w="955" w:type="dxa"/>
            <w:vMerge/>
            <w:tcBorders>
              <w:top w:val="single" w:sz="8" w:space="0" w:color="auto"/>
              <w:left w:val="single" w:sz="8" w:space="0" w:color="auto"/>
              <w:bottom w:val="single" w:sz="8" w:space="0" w:color="000000"/>
              <w:right w:val="single" w:sz="8" w:space="0" w:color="auto"/>
            </w:tcBorders>
            <w:vAlign w:val="center"/>
            <w:hideMark/>
          </w:tcPr>
          <w:p w14:paraId="3EAA8A4E" w14:textId="77777777" w:rsidR="006B5772" w:rsidRPr="00701F32" w:rsidRDefault="006B5772" w:rsidP="006B05D4">
            <w:pPr>
              <w:jc w:val="center"/>
              <w:rPr>
                <w:rFonts w:ascii="Arial" w:hAnsi="Arial" w:cs="Arial"/>
                <w:b/>
                <w:color w:val="000000"/>
                <w:sz w:val="14"/>
                <w:szCs w:val="16"/>
                <w:lang w:eastAsia="es-AR"/>
              </w:rPr>
            </w:pPr>
          </w:p>
        </w:tc>
        <w:tc>
          <w:tcPr>
            <w:tcW w:w="771" w:type="dxa"/>
            <w:vMerge/>
            <w:tcBorders>
              <w:top w:val="single" w:sz="8" w:space="0" w:color="auto"/>
              <w:left w:val="single" w:sz="8" w:space="0" w:color="auto"/>
              <w:bottom w:val="single" w:sz="8" w:space="0" w:color="000000"/>
              <w:right w:val="single" w:sz="8" w:space="0" w:color="auto"/>
            </w:tcBorders>
            <w:vAlign w:val="center"/>
            <w:hideMark/>
          </w:tcPr>
          <w:p w14:paraId="2F8899E5" w14:textId="77777777" w:rsidR="006B5772" w:rsidRPr="00701F32" w:rsidRDefault="006B5772" w:rsidP="006B05D4">
            <w:pPr>
              <w:jc w:val="center"/>
              <w:rPr>
                <w:rFonts w:ascii="Arial" w:hAnsi="Arial" w:cs="Arial"/>
                <w:b/>
                <w:color w:val="000000"/>
                <w:sz w:val="14"/>
                <w:szCs w:val="16"/>
                <w:lang w:eastAsia="es-AR"/>
              </w:rPr>
            </w:pPr>
          </w:p>
        </w:tc>
        <w:tc>
          <w:tcPr>
            <w:tcW w:w="1073" w:type="dxa"/>
            <w:tcBorders>
              <w:top w:val="nil"/>
              <w:left w:val="nil"/>
              <w:bottom w:val="single" w:sz="8" w:space="0" w:color="auto"/>
              <w:right w:val="single" w:sz="8" w:space="0" w:color="auto"/>
            </w:tcBorders>
            <w:shd w:val="clear" w:color="auto" w:fill="auto"/>
            <w:vAlign w:val="center"/>
          </w:tcPr>
          <w:p w14:paraId="2684AB94" w14:textId="6535BC38" w:rsidR="006B5772" w:rsidRPr="00701F32" w:rsidRDefault="005D476E" w:rsidP="005D476E">
            <w:pPr>
              <w:jc w:val="center"/>
              <w:rPr>
                <w:rFonts w:ascii="Arial" w:hAnsi="Arial" w:cs="Arial"/>
                <w:b/>
                <w:color w:val="000000"/>
                <w:sz w:val="14"/>
                <w:szCs w:val="16"/>
                <w:lang w:eastAsia="es-AR"/>
              </w:rPr>
            </w:pPr>
            <w:r>
              <w:rPr>
                <w:rFonts w:ascii="Arial" w:hAnsi="Arial" w:cs="Arial"/>
                <w:b/>
                <w:color w:val="000000"/>
                <w:sz w:val="14"/>
                <w:szCs w:val="16"/>
                <w:lang w:eastAsia="es-AR"/>
              </w:rPr>
              <w:t>3</w:t>
            </w:r>
            <w:r w:rsidR="002C13FD">
              <w:rPr>
                <w:rFonts w:ascii="Arial" w:hAnsi="Arial" w:cs="Arial"/>
                <w:b/>
                <w:color w:val="000000"/>
                <w:sz w:val="14"/>
                <w:szCs w:val="16"/>
                <w:lang w:eastAsia="es-AR"/>
              </w:rPr>
              <w:t>1</w:t>
            </w:r>
            <w:r w:rsidR="006B5772">
              <w:rPr>
                <w:rFonts w:ascii="Arial" w:hAnsi="Arial" w:cs="Arial"/>
                <w:b/>
                <w:color w:val="000000"/>
                <w:sz w:val="14"/>
                <w:szCs w:val="16"/>
                <w:lang w:eastAsia="es-AR"/>
              </w:rPr>
              <w:t>/</w:t>
            </w:r>
            <w:r w:rsidR="002C13FD">
              <w:rPr>
                <w:rFonts w:ascii="Arial" w:hAnsi="Arial" w:cs="Arial"/>
                <w:b/>
                <w:color w:val="000000"/>
                <w:sz w:val="14"/>
                <w:szCs w:val="16"/>
                <w:lang w:eastAsia="es-AR"/>
              </w:rPr>
              <w:t>12</w:t>
            </w:r>
            <w:r w:rsidR="003C2633">
              <w:rPr>
                <w:rFonts w:ascii="Arial" w:hAnsi="Arial" w:cs="Arial"/>
                <w:b/>
                <w:color w:val="000000"/>
                <w:sz w:val="14"/>
                <w:szCs w:val="16"/>
                <w:lang w:eastAsia="es-AR"/>
              </w:rPr>
              <w:t>/</w:t>
            </w:r>
            <w:r w:rsidR="006B5772">
              <w:rPr>
                <w:rFonts w:ascii="Arial" w:hAnsi="Arial" w:cs="Arial"/>
                <w:b/>
                <w:color w:val="000000"/>
                <w:sz w:val="14"/>
                <w:szCs w:val="16"/>
                <w:lang w:eastAsia="es-AR"/>
              </w:rPr>
              <w:t>2019</w:t>
            </w:r>
          </w:p>
        </w:tc>
        <w:tc>
          <w:tcPr>
            <w:tcW w:w="942" w:type="dxa"/>
            <w:gridSpan w:val="2"/>
            <w:tcBorders>
              <w:top w:val="nil"/>
              <w:left w:val="nil"/>
              <w:bottom w:val="single" w:sz="8" w:space="0" w:color="auto"/>
              <w:right w:val="single" w:sz="8" w:space="0" w:color="auto"/>
            </w:tcBorders>
            <w:shd w:val="clear" w:color="auto" w:fill="auto"/>
            <w:vAlign w:val="center"/>
          </w:tcPr>
          <w:p w14:paraId="4AB707E2" w14:textId="23B7274F" w:rsidR="006B5772" w:rsidRPr="00701F32" w:rsidRDefault="006B5772" w:rsidP="006B05D4">
            <w:pPr>
              <w:jc w:val="center"/>
              <w:rPr>
                <w:rFonts w:ascii="Arial" w:hAnsi="Arial" w:cs="Arial"/>
                <w:b/>
                <w:color w:val="000000"/>
                <w:sz w:val="14"/>
                <w:szCs w:val="16"/>
                <w:lang w:eastAsia="es-AR"/>
              </w:rPr>
            </w:pPr>
            <w:r>
              <w:rPr>
                <w:rFonts w:ascii="Arial" w:hAnsi="Arial" w:cs="Arial"/>
                <w:b/>
                <w:color w:val="000000"/>
                <w:sz w:val="14"/>
                <w:szCs w:val="16"/>
                <w:lang w:eastAsia="es-AR"/>
              </w:rPr>
              <w:t>31/12/2018</w:t>
            </w:r>
          </w:p>
        </w:tc>
      </w:tr>
      <w:tr w:rsidR="001E09C8" w:rsidRPr="00701F32" w14:paraId="765E60A5" w14:textId="77777777" w:rsidTr="00037C01">
        <w:trPr>
          <w:trHeight w:val="269"/>
        </w:trPr>
        <w:tc>
          <w:tcPr>
            <w:tcW w:w="897" w:type="dxa"/>
            <w:tcBorders>
              <w:top w:val="nil"/>
              <w:left w:val="single" w:sz="8" w:space="0" w:color="auto"/>
              <w:bottom w:val="single" w:sz="8" w:space="0" w:color="auto"/>
              <w:right w:val="single" w:sz="8" w:space="0" w:color="auto"/>
            </w:tcBorders>
            <w:shd w:val="clear" w:color="auto" w:fill="auto"/>
            <w:noWrap/>
            <w:vAlign w:val="center"/>
            <w:hideMark/>
          </w:tcPr>
          <w:p w14:paraId="6D2911C3" w14:textId="77777777" w:rsidR="001E09C8" w:rsidRPr="00701F32" w:rsidRDefault="001E09C8" w:rsidP="006B05D4">
            <w:pPr>
              <w:jc w:val="both"/>
              <w:rPr>
                <w:rFonts w:ascii="Arial" w:hAnsi="Arial" w:cs="Arial"/>
                <w:color w:val="000000"/>
                <w:sz w:val="14"/>
                <w:szCs w:val="16"/>
                <w:lang w:eastAsia="es-AR"/>
              </w:rPr>
            </w:pPr>
            <w:r w:rsidRPr="00701F32">
              <w:rPr>
                <w:rFonts w:ascii="Arial" w:hAnsi="Arial" w:cs="Arial"/>
                <w:color w:val="000000"/>
                <w:sz w:val="14"/>
                <w:szCs w:val="16"/>
                <w:lang w:eastAsia="es-AR"/>
              </w:rPr>
              <w:t>20/08/13</w:t>
            </w:r>
          </w:p>
        </w:tc>
        <w:tc>
          <w:tcPr>
            <w:tcW w:w="686" w:type="dxa"/>
            <w:tcBorders>
              <w:top w:val="nil"/>
              <w:left w:val="nil"/>
              <w:bottom w:val="single" w:sz="8" w:space="0" w:color="auto"/>
              <w:right w:val="single" w:sz="8" w:space="0" w:color="auto"/>
            </w:tcBorders>
            <w:shd w:val="clear" w:color="auto" w:fill="auto"/>
            <w:noWrap/>
            <w:vAlign w:val="center"/>
            <w:hideMark/>
          </w:tcPr>
          <w:p w14:paraId="5B9B55C8" w14:textId="77777777" w:rsidR="001E09C8" w:rsidRPr="00701F32" w:rsidRDefault="001E09C8" w:rsidP="006B05D4">
            <w:pPr>
              <w:jc w:val="both"/>
              <w:rPr>
                <w:rFonts w:ascii="Arial" w:hAnsi="Arial" w:cs="Arial"/>
                <w:color w:val="000000"/>
                <w:sz w:val="14"/>
                <w:szCs w:val="16"/>
                <w:lang w:eastAsia="es-AR"/>
              </w:rPr>
            </w:pPr>
            <w:r w:rsidRPr="00701F32">
              <w:rPr>
                <w:rFonts w:ascii="Arial" w:hAnsi="Arial" w:cs="Arial"/>
                <w:color w:val="000000"/>
                <w:sz w:val="14"/>
                <w:szCs w:val="16"/>
                <w:lang w:eastAsia="es-AR"/>
              </w:rPr>
              <w:t>u$s</w:t>
            </w:r>
          </w:p>
        </w:tc>
        <w:tc>
          <w:tcPr>
            <w:tcW w:w="522" w:type="dxa"/>
            <w:tcBorders>
              <w:top w:val="nil"/>
              <w:left w:val="nil"/>
              <w:bottom w:val="single" w:sz="8" w:space="0" w:color="auto"/>
              <w:right w:val="single" w:sz="8" w:space="0" w:color="auto"/>
            </w:tcBorders>
            <w:shd w:val="clear" w:color="auto" w:fill="auto"/>
            <w:noWrap/>
            <w:vAlign w:val="center"/>
            <w:hideMark/>
          </w:tcPr>
          <w:p w14:paraId="7136C1E1" w14:textId="77777777" w:rsidR="001E09C8" w:rsidRPr="00701F32" w:rsidRDefault="001E09C8" w:rsidP="006B05D4">
            <w:pPr>
              <w:jc w:val="both"/>
              <w:rPr>
                <w:rFonts w:ascii="Arial" w:hAnsi="Arial" w:cs="Arial"/>
                <w:color w:val="000000"/>
                <w:sz w:val="14"/>
                <w:szCs w:val="16"/>
                <w:lang w:eastAsia="es-AR"/>
              </w:rPr>
            </w:pPr>
            <w:r w:rsidRPr="00701F32">
              <w:rPr>
                <w:rFonts w:ascii="Arial" w:hAnsi="Arial" w:cs="Arial"/>
                <w:color w:val="000000"/>
                <w:sz w:val="14"/>
                <w:szCs w:val="16"/>
                <w:lang w:eastAsia="es-AR"/>
              </w:rPr>
              <w:t>III</w:t>
            </w:r>
          </w:p>
        </w:tc>
        <w:tc>
          <w:tcPr>
            <w:tcW w:w="796" w:type="dxa"/>
            <w:tcBorders>
              <w:top w:val="nil"/>
              <w:left w:val="nil"/>
              <w:bottom w:val="single" w:sz="8" w:space="0" w:color="auto"/>
              <w:right w:val="single" w:sz="8" w:space="0" w:color="auto"/>
            </w:tcBorders>
            <w:shd w:val="clear" w:color="auto" w:fill="auto"/>
            <w:noWrap/>
            <w:vAlign w:val="center"/>
            <w:hideMark/>
          </w:tcPr>
          <w:p w14:paraId="5CB8C7FA" w14:textId="77777777" w:rsidR="001E09C8" w:rsidRPr="00701F32" w:rsidRDefault="001E09C8" w:rsidP="0086282C">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22.500</w:t>
            </w:r>
          </w:p>
        </w:tc>
        <w:tc>
          <w:tcPr>
            <w:tcW w:w="1119" w:type="dxa"/>
            <w:tcBorders>
              <w:top w:val="nil"/>
              <w:left w:val="nil"/>
              <w:bottom w:val="single" w:sz="8" w:space="0" w:color="auto"/>
              <w:right w:val="single" w:sz="8" w:space="0" w:color="auto"/>
            </w:tcBorders>
            <w:shd w:val="clear" w:color="auto" w:fill="auto"/>
            <w:vAlign w:val="center"/>
            <w:hideMark/>
          </w:tcPr>
          <w:p w14:paraId="37DCA9BF" w14:textId="77777777" w:rsidR="001E09C8" w:rsidRPr="00701F32" w:rsidRDefault="001E09C8" w:rsidP="006B05D4">
            <w:pPr>
              <w:jc w:val="both"/>
              <w:rPr>
                <w:rFonts w:ascii="Arial" w:hAnsi="Arial" w:cs="Arial"/>
                <w:color w:val="000000"/>
                <w:sz w:val="14"/>
                <w:szCs w:val="16"/>
                <w:lang w:eastAsia="es-AR"/>
              </w:rPr>
            </w:pPr>
            <w:r w:rsidRPr="00701F32">
              <w:rPr>
                <w:rFonts w:ascii="Arial" w:hAnsi="Arial" w:cs="Arial"/>
                <w:color w:val="000000"/>
                <w:sz w:val="14"/>
                <w:szCs w:val="16"/>
                <w:lang w:eastAsia="es-AR"/>
              </w:rPr>
              <w:t>100% al vto.</w:t>
            </w:r>
          </w:p>
        </w:tc>
        <w:tc>
          <w:tcPr>
            <w:tcW w:w="706" w:type="dxa"/>
            <w:tcBorders>
              <w:top w:val="nil"/>
              <w:left w:val="nil"/>
              <w:bottom w:val="single" w:sz="8" w:space="0" w:color="auto"/>
              <w:right w:val="single" w:sz="8" w:space="0" w:color="auto"/>
            </w:tcBorders>
            <w:shd w:val="clear" w:color="auto" w:fill="auto"/>
            <w:noWrap/>
            <w:vAlign w:val="center"/>
            <w:hideMark/>
          </w:tcPr>
          <w:p w14:paraId="2768DBC1" w14:textId="032C0077" w:rsidR="001E09C8" w:rsidRPr="00701F32" w:rsidRDefault="001E09C8">
            <w:pPr>
              <w:jc w:val="center"/>
              <w:rPr>
                <w:rFonts w:ascii="Arial" w:hAnsi="Arial" w:cs="Arial"/>
                <w:color w:val="000000"/>
                <w:sz w:val="14"/>
                <w:szCs w:val="16"/>
                <w:lang w:eastAsia="es-AR"/>
              </w:rPr>
            </w:pPr>
            <w:r w:rsidRPr="00701F32">
              <w:rPr>
                <w:rFonts w:ascii="Arial" w:hAnsi="Arial" w:cs="Arial"/>
                <w:color w:val="000000"/>
                <w:sz w:val="14"/>
                <w:szCs w:val="16"/>
                <w:lang w:eastAsia="es-AR"/>
              </w:rPr>
              <w:t>84 meses</w:t>
            </w:r>
          </w:p>
        </w:tc>
        <w:tc>
          <w:tcPr>
            <w:tcW w:w="955" w:type="dxa"/>
            <w:tcBorders>
              <w:top w:val="nil"/>
              <w:left w:val="nil"/>
              <w:bottom w:val="single" w:sz="8" w:space="0" w:color="auto"/>
              <w:right w:val="single" w:sz="8" w:space="0" w:color="auto"/>
            </w:tcBorders>
            <w:shd w:val="clear" w:color="auto" w:fill="auto"/>
            <w:noWrap/>
            <w:vAlign w:val="center"/>
            <w:hideMark/>
          </w:tcPr>
          <w:p w14:paraId="7CC34D02" w14:textId="77777777" w:rsidR="001E09C8" w:rsidRPr="00701F32" w:rsidRDefault="001E09C8" w:rsidP="0086282C">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20/08/20</w:t>
            </w:r>
          </w:p>
        </w:tc>
        <w:tc>
          <w:tcPr>
            <w:tcW w:w="771" w:type="dxa"/>
            <w:tcBorders>
              <w:top w:val="nil"/>
              <w:left w:val="nil"/>
              <w:bottom w:val="single" w:sz="8" w:space="0" w:color="auto"/>
              <w:right w:val="single" w:sz="8" w:space="0" w:color="auto"/>
            </w:tcBorders>
            <w:shd w:val="clear" w:color="auto" w:fill="auto"/>
            <w:noWrap/>
            <w:vAlign w:val="center"/>
            <w:hideMark/>
          </w:tcPr>
          <w:p w14:paraId="6B6E3405" w14:textId="77777777" w:rsidR="001E09C8" w:rsidRPr="00701F32" w:rsidRDefault="001E09C8" w:rsidP="0086282C">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7</w:t>
            </w:r>
          </w:p>
        </w:tc>
        <w:tc>
          <w:tcPr>
            <w:tcW w:w="1073" w:type="dxa"/>
            <w:tcBorders>
              <w:top w:val="nil"/>
              <w:left w:val="nil"/>
              <w:bottom w:val="single" w:sz="8" w:space="0" w:color="auto"/>
              <w:right w:val="single" w:sz="8" w:space="0" w:color="auto"/>
            </w:tcBorders>
            <w:shd w:val="clear" w:color="auto" w:fill="auto"/>
            <w:noWrap/>
            <w:vAlign w:val="center"/>
          </w:tcPr>
          <w:p w14:paraId="7DCE8C0A" w14:textId="4648BB40" w:rsidR="001E09C8" w:rsidRPr="001E09C8" w:rsidRDefault="001E09C8" w:rsidP="00534414">
            <w:pPr>
              <w:jc w:val="right"/>
              <w:rPr>
                <w:rFonts w:ascii="Arial" w:hAnsi="Arial" w:cs="Arial"/>
                <w:color w:val="000000"/>
                <w:sz w:val="14"/>
                <w:szCs w:val="14"/>
                <w:lang w:val="es-ES_tradnl" w:eastAsia="es-AR"/>
              </w:rPr>
            </w:pPr>
            <w:r w:rsidRPr="001E09C8">
              <w:rPr>
                <w:rFonts w:ascii="Arial" w:hAnsi="Arial" w:cs="Arial"/>
                <w:color w:val="000000"/>
                <w:sz w:val="14"/>
                <w:szCs w:val="14"/>
              </w:rPr>
              <w:t>1.30</w:t>
            </w:r>
            <w:r w:rsidR="00C21D5E">
              <w:rPr>
                <w:rFonts w:ascii="Arial" w:hAnsi="Arial" w:cs="Arial"/>
                <w:color w:val="000000"/>
                <w:sz w:val="14"/>
                <w:szCs w:val="14"/>
              </w:rPr>
              <w:t>8</w:t>
            </w:r>
            <w:r w:rsidRPr="001E09C8">
              <w:rPr>
                <w:rFonts w:ascii="Arial" w:hAnsi="Arial" w:cs="Arial"/>
                <w:color w:val="000000"/>
                <w:sz w:val="14"/>
                <w:szCs w:val="14"/>
              </w:rPr>
              <w:t>.</w:t>
            </w:r>
            <w:r w:rsidR="00C21D5E">
              <w:rPr>
                <w:rFonts w:ascii="Arial" w:hAnsi="Arial" w:cs="Arial"/>
                <w:color w:val="000000"/>
                <w:sz w:val="14"/>
                <w:szCs w:val="14"/>
              </w:rPr>
              <w:t>192</w:t>
            </w:r>
          </w:p>
        </w:tc>
        <w:tc>
          <w:tcPr>
            <w:tcW w:w="942" w:type="dxa"/>
            <w:gridSpan w:val="2"/>
            <w:tcBorders>
              <w:top w:val="nil"/>
              <w:left w:val="nil"/>
              <w:bottom w:val="single" w:sz="8" w:space="0" w:color="auto"/>
              <w:right w:val="single" w:sz="8" w:space="0" w:color="auto"/>
            </w:tcBorders>
            <w:shd w:val="clear" w:color="auto" w:fill="auto"/>
            <w:noWrap/>
            <w:vAlign w:val="center"/>
          </w:tcPr>
          <w:p w14:paraId="77DF4EF2" w14:textId="745FC204" w:rsidR="001E09C8" w:rsidRPr="00710EB6" w:rsidRDefault="001E09C8" w:rsidP="00534414">
            <w:pPr>
              <w:jc w:val="right"/>
              <w:rPr>
                <w:rFonts w:ascii="Arial" w:hAnsi="Arial" w:cs="Arial"/>
                <w:color w:val="000000"/>
                <w:sz w:val="14"/>
                <w:szCs w:val="14"/>
                <w:lang w:val="es-ES_tradnl" w:eastAsia="es-AR"/>
              </w:rPr>
            </w:pPr>
            <w:r w:rsidRPr="00534414">
              <w:rPr>
                <w:rFonts w:ascii="Arial" w:hAnsi="Arial" w:cs="Arial"/>
                <w:sz w:val="14"/>
                <w:szCs w:val="14"/>
              </w:rPr>
              <w:t>871.571</w:t>
            </w:r>
          </w:p>
        </w:tc>
      </w:tr>
      <w:tr w:rsidR="001E09C8" w:rsidRPr="00701F32" w14:paraId="1C53E9A0" w14:textId="77777777" w:rsidTr="00037C01">
        <w:trPr>
          <w:trHeight w:val="269"/>
        </w:trPr>
        <w:tc>
          <w:tcPr>
            <w:tcW w:w="897" w:type="dxa"/>
            <w:tcBorders>
              <w:top w:val="nil"/>
              <w:left w:val="single" w:sz="8" w:space="0" w:color="auto"/>
              <w:bottom w:val="single" w:sz="8" w:space="0" w:color="auto"/>
              <w:right w:val="single" w:sz="8" w:space="0" w:color="auto"/>
            </w:tcBorders>
            <w:shd w:val="clear" w:color="auto" w:fill="auto"/>
            <w:noWrap/>
            <w:vAlign w:val="center"/>
            <w:hideMark/>
          </w:tcPr>
          <w:p w14:paraId="1DAE9DAB" w14:textId="77777777" w:rsidR="001E09C8" w:rsidRPr="00701F32" w:rsidRDefault="001E09C8" w:rsidP="006B05D4">
            <w:pPr>
              <w:jc w:val="both"/>
              <w:rPr>
                <w:rFonts w:ascii="Arial" w:hAnsi="Arial" w:cs="Arial"/>
                <w:color w:val="000000"/>
                <w:sz w:val="14"/>
                <w:szCs w:val="16"/>
                <w:lang w:eastAsia="es-AR"/>
              </w:rPr>
            </w:pPr>
            <w:r w:rsidRPr="00701F32">
              <w:rPr>
                <w:rFonts w:ascii="Arial" w:hAnsi="Arial" w:cs="Arial"/>
                <w:color w:val="000000"/>
                <w:sz w:val="14"/>
                <w:szCs w:val="16"/>
                <w:lang w:eastAsia="es-AR"/>
              </w:rPr>
              <w:t>18/11/14</w:t>
            </w:r>
          </w:p>
        </w:tc>
        <w:tc>
          <w:tcPr>
            <w:tcW w:w="686" w:type="dxa"/>
            <w:tcBorders>
              <w:top w:val="nil"/>
              <w:left w:val="nil"/>
              <w:bottom w:val="single" w:sz="8" w:space="0" w:color="auto"/>
              <w:right w:val="single" w:sz="8" w:space="0" w:color="auto"/>
            </w:tcBorders>
            <w:shd w:val="clear" w:color="auto" w:fill="auto"/>
            <w:noWrap/>
            <w:vAlign w:val="center"/>
            <w:hideMark/>
          </w:tcPr>
          <w:p w14:paraId="4EE3692F" w14:textId="77777777" w:rsidR="001E09C8" w:rsidRPr="00701F32" w:rsidRDefault="001E09C8" w:rsidP="006B05D4">
            <w:pPr>
              <w:jc w:val="both"/>
              <w:rPr>
                <w:rFonts w:ascii="Arial" w:hAnsi="Arial" w:cs="Arial"/>
                <w:color w:val="000000"/>
                <w:sz w:val="14"/>
                <w:szCs w:val="16"/>
                <w:lang w:eastAsia="es-AR"/>
              </w:rPr>
            </w:pPr>
            <w:r w:rsidRPr="00701F32">
              <w:rPr>
                <w:rFonts w:ascii="Arial" w:hAnsi="Arial" w:cs="Arial"/>
                <w:color w:val="000000"/>
                <w:sz w:val="14"/>
                <w:szCs w:val="16"/>
                <w:lang w:eastAsia="es-AR"/>
              </w:rPr>
              <w:t>u$s</w:t>
            </w:r>
          </w:p>
        </w:tc>
        <w:tc>
          <w:tcPr>
            <w:tcW w:w="522" w:type="dxa"/>
            <w:tcBorders>
              <w:top w:val="nil"/>
              <w:left w:val="nil"/>
              <w:bottom w:val="single" w:sz="8" w:space="0" w:color="auto"/>
              <w:right w:val="single" w:sz="8" w:space="0" w:color="auto"/>
            </w:tcBorders>
            <w:shd w:val="clear" w:color="auto" w:fill="auto"/>
            <w:noWrap/>
            <w:vAlign w:val="center"/>
            <w:hideMark/>
          </w:tcPr>
          <w:p w14:paraId="05471588" w14:textId="77777777" w:rsidR="001E09C8" w:rsidRPr="00701F32" w:rsidRDefault="001E09C8" w:rsidP="006B05D4">
            <w:pPr>
              <w:jc w:val="both"/>
              <w:rPr>
                <w:rFonts w:ascii="Arial" w:hAnsi="Arial" w:cs="Arial"/>
                <w:color w:val="000000"/>
                <w:sz w:val="14"/>
                <w:szCs w:val="16"/>
                <w:lang w:eastAsia="es-AR"/>
              </w:rPr>
            </w:pPr>
            <w:r w:rsidRPr="00701F32">
              <w:rPr>
                <w:rFonts w:ascii="Arial" w:hAnsi="Arial" w:cs="Arial"/>
                <w:color w:val="000000"/>
                <w:sz w:val="14"/>
                <w:szCs w:val="16"/>
                <w:lang w:eastAsia="es-AR"/>
              </w:rPr>
              <w:t>IV</w:t>
            </w:r>
          </w:p>
        </w:tc>
        <w:tc>
          <w:tcPr>
            <w:tcW w:w="796" w:type="dxa"/>
            <w:tcBorders>
              <w:top w:val="nil"/>
              <w:left w:val="nil"/>
              <w:bottom w:val="single" w:sz="8" w:space="0" w:color="auto"/>
              <w:right w:val="single" w:sz="8" w:space="0" w:color="auto"/>
            </w:tcBorders>
            <w:shd w:val="clear" w:color="auto" w:fill="auto"/>
            <w:noWrap/>
            <w:vAlign w:val="center"/>
            <w:hideMark/>
          </w:tcPr>
          <w:p w14:paraId="1311B3A3" w14:textId="77777777" w:rsidR="001E09C8" w:rsidRPr="00701F32" w:rsidRDefault="001E09C8" w:rsidP="0086282C">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13.441</w:t>
            </w:r>
          </w:p>
        </w:tc>
        <w:tc>
          <w:tcPr>
            <w:tcW w:w="1119" w:type="dxa"/>
            <w:tcBorders>
              <w:top w:val="nil"/>
              <w:left w:val="nil"/>
              <w:bottom w:val="single" w:sz="8" w:space="0" w:color="auto"/>
              <w:right w:val="single" w:sz="8" w:space="0" w:color="auto"/>
            </w:tcBorders>
            <w:shd w:val="clear" w:color="auto" w:fill="auto"/>
            <w:vAlign w:val="center"/>
            <w:hideMark/>
          </w:tcPr>
          <w:p w14:paraId="292534A8" w14:textId="77777777" w:rsidR="001E09C8" w:rsidRPr="00701F32" w:rsidRDefault="001E09C8" w:rsidP="006B05D4">
            <w:pPr>
              <w:jc w:val="both"/>
              <w:rPr>
                <w:rFonts w:ascii="Arial" w:hAnsi="Arial" w:cs="Arial"/>
                <w:color w:val="000000"/>
                <w:sz w:val="14"/>
                <w:szCs w:val="16"/>
                <w:lang w:eastAsia="es-AR"/>
              </w:rPr>
            </w:pPr>
            <w:r w:rsidRPr="00701F32">
              <w:rPr>
                <w:rFonts w:ascii="Arial" w:hAnsi="Arial" w:cs="Arial"/>
                <w:color w:val="000000"/>
                <w:sz w:val="14"/>
                <w:szCs w:val="16"/>
                <w:lang w:eastAsia="es-AR"/>
              </w:rPr>
              <w:t>100% al vto.</w:t>
            </w:r>
          </w:p>
        </w:tc>
        <w:tc>
          <w:tcPr>
            <w:tcW w:w="706" w:type="dxa"/>
            <w:tcBorders>
              <w:top w:val="nil"/>
              <w:left w:val="nil"/>
              <w:bottom w:val="single" w:sz="8" w:space="0" w:color="auto"/>
              <w:right w:val="single" w:sz="8" w:space="0" w:color="auto"/>
            </w:tcBorders>
            <w:shd w:val="clear" w:color="auto" w:fill="auto"/>
            <w:noWrap/>
            <w:vAlign w:val="center"/>
            <w:hideMark/>
          </w:tcPr>
          <w:p w14:paraId="1361CC9A" w14:textId="75017030" w:rsidR="001E09C8" w:rsidRPr="00701F32" w:rsidRDefault="001E09C8" w:rsidP="0086282C">
            <w:pPr>
              <w:jc w:val="center"/>
              <w:rPr>
                <w:rFonts w:ascii="Arial" w:hAnsi="Arial" w:cs="Arial"/>
                <w:color w:val="000000"/>
                <w:sz w:val="14"/>
                <w:szCs w:val="16"/>
                <w:lang w:eastAsia="es-AR"/>
              </w:rPr>
            </w:pPr>
            <w:r w:rsidRPr="00701F32">
              <w:rPr>
                <w:rFonts w:ascii="Arial" w:hAnsi="Arial" w:cs="Arial"/>
                <w:color w:val="000000"/>
                <w:sz w:val="14"/>
                <w:szCs w:val="16"/>
                <w:lang w:eastAsia="es-AR"/>
              </w:rPr>
              <w:t>84 meses</w:t>
            </w:r>
          </w:p>
        </w:tc>
        <w:tc>
          <w:tcPr>
            <w:tcW w:w="955" w:type="dxa"/>
            <w:tcBorders>
              <w:top w:val="nil"/>
              <w:left w:val="nil"/>
              <w:bottom w:val="single" w:sz="8" w:space="0" w:color="auto"/>
              <w:right w:val="single" w:sz="8" w:space="0" w:color="auto"/>
            </w:tcBorders>
            <w:shd w:val="clear" w:color="auto" w:fill="auto"/>
            <w:noWrap/>
            <w:vAlign w:val="center"/>
            <w:hideMark/>
          </w:tcPr>
          <w:p w14:paraId="29F2F2EF" w14:textId="77777777" w:rsidR="001E09C8" w:rsidRPr="00701F32" w:rsidRDefault="001E09C8" w:rsidP="0086282C">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18/11/21</w:t>
            </w:r>
          </w:p>
        </w:tc>
        <w:tc>
          <w:tcPr>
            <w:tcW w:w="771" w:type="dxa"/>
            <w:tcBorders>
              <w:top w:val="nil"/>
              <w:left w:val="nil"/>
              <w:bottom w:val="single" w:sz="8" w:space="0" w:color="auto"/>
              <w:right w:val="single" w:sz="8" w:space="0" w:color="auto"/>
            </w:tcBorders>
            <w:shd w:val="clear" w:color="auto" w:fill="auto"/>
            <w:noWrap/>
            <w:vAlign w:val="center"/>
            <w:hideMark/>
          </w:tcPr>
          <w:p w14:paraId="685E7D22" w14:textId="77777777" w:rsidR="001E09C8" w:rsidRPr="00701F32" w:rsidRDefault="001E09C8" w:rsidP="0086282C">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7</w:t>
            </w:r>
          </w:p>
        </w:tc>
        <w:tc>
          <w:tcPr>
            <w:tcW w:w="1073" w:type="dxa"/>
            <w:tcBorders>
              <w:top w:val="nil"/>
              <w:left w:val="nil"/>
              <w:bottom w:val="single" w:sz="8" w:space="0" w:color="auto"/>
              <w:right w:val="single" w:sz="8" w:space="0" w:color="auto"/>
            </w:tcBorders>
            <w:shd w:val="clear" w:color="auto" w:fill="auto"/>
            <w:noWrap/>
            <w:vAlign w:val="center"/>
          </w:tcPr>
          <w:p w14:paraId="0BF3780B" w14:textId="4E411B76" w:rsidR="001E09C8" w:rsidRPr="001E09C8" w:rsidRDefault="00C21D5E" w:rsidP="00534414">
            <w:pPr>
              <w:jc w:val="right"/>
              <w:rPr>
                <w:rFonts w:ascii="Arial" w:hAnsi="Arial" w:cs="Arial"/>
                <w:color w:val="000000"/>
                <w:sz w:val="14"/>
                <w:szCs w:val="14"/>
                <w:lang w:val="es-ES_tradnl" w:eastAsia="es-AR"/>
              </w:rPr>
            </w:pPr>
            <w:r>
              <w:rPr>
                <w:rFonts w:ascii="Arial" w:hAnsi="Arial" w:cs="Arial"/>
                <w:color w:val="000000"/>
                <w:sz w:val="14"/>
                <w:szCs w:val="14"/>
              </w:rPr>
              <w:t>811</w:t>
            </w:r>
            <w:r w:rsidR="001E09C8" w:rsidRPr="001E09C8">
              <w:rPr>
                <w:rFonts w:ascii="Arial" w:hAnsi="Arial" w:cs="Arial"/>
                <w:color w:val="000000"/>
                <w:sz w:val="14"/>
                <w:szCs w:val="14"/>
              </w:rPr>
              <w:t>.6</w:t>
            </w:r>
            <w:r>
              <w:rPr>
                <w:rFonts w:ascii="Arial" w:hAnsi="Arial" w:cs="Arial"/>
                <w:color w:val="000000"/>
                <w:sz w:val="14"/>
                <w:szCs w:val="14"/>
              </w:rPr>
              <w:t>96</w:t>
            </w:r>
          </w:p>
        </w:tc>
        <w:tc>
          <w:tcPr>
            <w:tcW w:w="942" w:type="dxa"/>
            <w:gridSpan w:val="2"/>
            <w:tcBorders>
              <w:top w:val="nil"/>
              <w:left w:val="nil"/>
              <w:bottom w:val="single" w:sz="8" w:space="0" w:color="auto"/>
              <w:right w:val="single" w:sz="8" w:space="0" w:color="auto"/>
            </w:tcBorders>
            <w:shd w:val="clear" w:color="auto" w:fill="auto"/>
            <w:noWrap/>
            <w:vAlign w:val="center"/>
          </w:tcPr>
          <w:p w14:paraId="1650E6AF" w14:textId="407E4513" w:rsidR="001E09C8" w:rsidRPr="00710EB6" w:rsidRDefault="001E09C8" w:rsidP="00534414">
            <w:pPr>
              <w:jc w:val="right"/>
              <w:rPr>
                <w:rFonts w:ascii="Arial" w:hAnsi="Arial" w:cs="Arial"/>
                <w:color w:val="000000"/>
                <w:sz w:val="14"/>
                <w:szCs w:val="14"/>
                <w:lang w:val="es-ES_tradnl" w:eastAsia="es-AR"/>
              </w:rPr>
            </w:pPr>
            <w:r w:rsidRPr="00534414">
              <w:rPr>
                <w:rFonts w:ascii="Arial" w:hAnsi="Arial" w:cs="Arial"/>
                <w:sz w:val="14"/>
                <w:szCs w:val="14"/>
              </w:rPr>
              <w:t>512.246</w:t>
            </w:r>
          </w:p>
        </w:tc>
      </w:tr>
      <w:tr w:rsidR="001E09C8" w:rsidRPr="00701F32" w14:paraId="050D4A6B" w14:textId="77777777" w:rsidTr="00037C01">
        <w:trPr>
          <w:trHeight w:val="269"/>
        </w:trPr>
        <w:tc>
          <w:tcPr>
            <w:tcW w:w="5684" w:type="dxa"/>
            <w:gridSpan w:val="7"/>
            <w:tcBorders>
              <w:top w:val="single" w:sz="8" w:space="0" w:color="auto"/>
              <w:left w:val="nil"/>
              <w:bottom w:val="nil"/>
              <w:right w:val="single" w:sz="8" w:space="0" w:color="000000"/>
            </w:tcBorders>
            <w:shd w:val="clear" w:color="auto" w:fill="auto"/>
            <w:noWrap/>
            <w:vAlign w:val="center"/>
          </w:tcPr>
          <w:p w14:paraId="5A365DC4" w14:textId="77777777" w:rsidR="001E09C8" w:rsidRPr="00701F32" w:rsidRDefault="001E09C8" w:rsidP="006B05D4">
            <w:pPr>
              <w:jc w:val="both"/>
              <w:rPr>
                <w:rFonts w:ascii="Arial" w:hAnsi="Arial" w:cs="Arial"/>
                <w:color w:val="000000"/>
                <w:sz w:val="14"/>
                <w:szCs w:val="16"/>
                <w:lang w:eastAsia="es-AR"/>
              </w:rPr>
            </w:pPr>
          </w:p>
        </w:tc>
        <w:tc>
          <w:tcPr>
            <w:tcW w:w="771" w:type="dxa"/>
            <w:tcBorders>
              <w:top w:val="nil"/>
              <w:left w:val="nil"/>
              <w:bottom w:val="single" w:sz="8" w:space="0" w:color="auto"/>
              <w:right w:val="single" w:sz="8" w:space="0" w:color="auto"/>
            </w:tcBorders>
            <w:shd w:val="clear" w:color="auto" w:fill="auto"/>
            <w:noWrap/>
            <w:vAlign w:val="center"/>
            <w:hideMark/>
          </w:tcPr>
          <w:p w14:paraId="72B7FC58" w14:textId="77777777" w:rsidR="001E09C8" w:rsidRPr="00534414" w:rsidRDefault="001E09C8" w:rsidP="006B05D4">
            <w:pPr>
              <w:jc w:val="both"/>
              <w:rPr>
                <w:rFonts w:ascii="Arial" w:hAnsi="Arial" w:cs="Arial"/>
                <w:b/>
                <w:bCs/>
                <w:color w:val="000000"/>
                <w:sz w:val="14"/>
                <w:szCs w:val="16"/>
                <w:lang w:eastAsia="es-AR"/>
              </w:rPr>
            </w:pPr>
            <w:r w:rsidRPr="00534414">
              <w:rPr>
                <w:rFonts w:ascii="Arial" w:hAnsi="Arial" w:cs="Arial"/>
                <w:b/>
                <w:bCs/>
                <w:color w:val="000000"/>
                <w:sz w:val="14"/>
                <w:szCs w:val="16"/>
                <w:lang w:eastAsia="es-AR"/>
              </w:rPr>
              <w:t>Total</w:t>
            </w:r>
          </w:p>
        </w:tc>
        <w:tc>
          <w:tcPr>
            <w:tcW w:w="1073" w:type="dxa"/>
            <w:tcBorders>
              <w:top w:val="nil"/>
              <w:left w:val="nil"/>
              <w:bottom w:val="single" w:sz="8" w:space="0" w:color="auto"/>
              <w:right w:val="single" w:sz="8" w:space="0" w:color="auto"/>
            </w:tcBorders>
            <w:shd w:val="clear" w:color="auto" w:fill="auto"/>
            <w:noWrap/>
            <w:vAlign w:val="center"/>
          </w:tcPr>
          <w:p w14:paraId="1758BB80" w14:textId="097C6144" w:rsidR="001E09C8" w:rsidRPr="00534414" w:rsidRDefault="001E09C8" w:rsidP="00534414">
            <w:pPr>
              <w:jc w:val="right"/>
              <w:rPr>
                <w:rFonts w:ascii="Arial" w:hAnsi="Arial" w:cs="Arial"/>
                <w:b/>
                <w:bCs/>
                <w:color w:val="000000"/>
                <w:sz w:val="14"/>
                <w:szCs w:val="14"/>
                <w:lang w:eastAsia="es-AR"/>
              </w:rPr>
            </w:pPr>
            <w:r>
              <w:rPr>
                <w:rFonts w:ascii="Arial" w:hAnsi="Arial" w:cs="Arial"/>
                <w:b/>
                <w:bCs/>
                <w:color w:val="000000"/>
                <w:sz w:val="14"/>
                <w:szCs w:val="14"/>
                <w:lang w:eastAsia="es-AR"/>
              </w:rPr>
              <w:t>2.</w:t>
            </w:r>
            <w:r w:rsidR="00C21D5E">
              <w:rPr>
                <w:rFonts w:ascii="Arial" w:hAnsi="Arial" w:cs="Arial"/>
                <w:b/>
                <w:bCs/>
                <w:color w:val="000000"/>
                <w:sz w:val="14"/>
                <w:szCs w:val="14"/>
                <w:lang w:eastAsia="es-AR"/>
              </w:rPr>
              <w:t>119</w:t>
            </w:r>
            <w:r>
              <w:rPr>
                <w:rFonts w:ascii="Arial" w:hAnsi="Arial" w:cs="Arial"/>
                <w:b/>
                <w:bCs/>
                <w:color w:val="000000"/>
                <w:sz w:val="14"/>
                <w:szCs w:val="14"/>
                <w:lang w:eastAsia="es-AR"/>
              </w:rPr>
              <w:t>.</w:t>
            </w:r>
            <w:r w:rsidR="00C21D5E">
              <w:rPr>
                <w:rFonts w:ascii="Arial" w:hAnsi="Arial" w:cs="Arial"/>
                <w:b/>
                <w:bCs/>
                <w:color w:val="000000"/>
                <w:sz w:val="14"/>
                <w:szCs w:val="14"/>
                <w:lang w:eastAsia="es-AR"/>
              </w:rPr>
              <w:t>888</w:t>
            </w:r>
          </w:p>
        </w:tc>
        <w:tc>
          <w:tcPr>
            <w:tcW w:w="942" w:type="dxa"/>
            <w:gridSpan w:val="2"/>
            <w:tcBorders>
              <w:top w:val="nil"/>
              <w:left w:val="nil"/>
              <w:bottom w:val="single" w:sz="8" w:space="0" w:color="auto"/>
              <w:right w:val="single" w:sz="8" w:space="0" w:color="auto"/>
            </w:tcBorders>
            <w:shd w:val="clear" w:color="auto" w:fill="auto"/>
            <w:noWrap/>
            <w:vAlign w:val="center"/>
          </w:tcPr>
          <w:p w14:paraId="421DD6F8" w14:textId="1C5276B5" w:rsidR="001E09C8" w:rsidRPr="00534414" w:rsidRDefault="001E09C8" w:rsidP="00534414">
            <w:pPr>
              <w:jc w:val="right"/>
              <w:rPr>
                <w:rFonts w:ascii="Arial" w:hAnsi="Arial" w:cs="Arial"/>
                <w:b/>
                <w:bCs/>
                <w:color w:val="000000"/>
                <w:sz w:val="14"/>
                <w:szCs w:val="14"/>
                <w:lang w:val="es-ES_tradnl" w:eastAsia="es-AR"/>
              </w:rPr>
            </w:pPr>
            <w:r w:rsidRPr="00534414">
              <w:rPr>
                <w:rFonts w:ascii="Arial" w:hAnsi="Arial" w:cs="Arial"/>
                <w:b/>
                <w:sz w:val="14"/>
                <w:szCs w:val="14"/>
              </w:rPr>
              <w:t>1.383.817</w:t>
            </w:r>
          </w:p>
        </w:tc>
      </w:tr>
    </w:tbl>
    <w:p w14:paraId="69ECB0B4" w14:textId="77777777" w:rsidR="00A06BE9" w:rsidRPr="00701F32" w:rsidRDefault="00A06BE9" w:rsidP="00A06BE9">
      <w:pPr>
        <w:tabs>
          <w:tab w:val="left" w:pos="142"/>
        </w:tabs>
        <w:jc w:val="both"/>
        <w:rPr>
          <w:rFonts w:ascii="Arial" w:hAnsi="Arial" w:cs="Arial"/>
          <w:b/>
          <w:sz w:val="20"/>
        </w:rPr>
      </w:pPr>
    </w:p>
    <w:bookmarkEnd w:id="22"/>
    <w:bookmarkEnd w:id="24"/>
    <w:p w14:paraId="3843CE52" w14:textId="71F09F7C" w:rsidR="00A06BE9" w:rsidRPr="00701F32" w:rsidRDefault="00032EC8" w:rsidP="00A06BE9">
      <w:pPr>
        <w:tabs>
          <w:tab w:val="left" w:pos="142"/>
        </w:tabs>
        <w:jc w:val="both"/>
        <w:rPr>
          <w:rFonts w:ascii="Arial" w:hAnsi="Arial" w:cs="Arial"/>
          <w:b/>
          <w:sz w:val="20"/>
        </w:rPr>
      </w:pPr>
      <w:r>
        <w:rPr>
          <w:rFonts w:ascii="Arial" w:hAnsi="Arial" w:cs="Arial"/>
          <w:b/>
          <w:sz w:val="20"/>
        </w:rPr>
        <w:t>14</w:t>
      </w:r>
      <w:r w:rsidR="00A06BE9" w:rsidRPr="00701F32">
        <w:rPr>
          <w:rFonts w:ascii="Arial" w:hAnsi="Arial" w:cs="Arial"/>
          <w:b/>
          <w:sz w:val="20"/>
        </w:rPr>
        <w:t>.9 Restricciones para la distribución de utilidades</w:t>
      </w:r>
    </w:p>
    <w:p w14:paraId="1C4EECF8" w14:textId="77777777" w:rsidR="00A06BE9" w:rsidRPr="00701F32" w:rsidRDefault="00A06BE9" w:rsidP="00A06BE9">
      <w:pPr>
        <w:tabs>
          <w:tab w:val="left" w:pos="142"/>
        </w:tabs>
        <w:jc w:val="both"/>
        <w:rPr>
          <w:rFonts w:ascii="Arial" w:hAnsi="Arial" w:cs="Arial"/>
          <w:b/>
          <w:sz w:val="20"/>
        </w:rPr>
      </w:pPr>
    </w:p>
    <w:p w14:paraId="1A60CF64" w14:textId="77777777" w:rsidR="0086769C" w:rsidRPr="00701F32" w:rsidRDefault="0086769C" w:rsidP="0086769C">
      <w:pPr>
        <w:tabs>
          <w:tab w:val="left" w:pos="142"/>
        </w:tabs>
        <w:jc w:val="both"/>
        <w:rPr>
          <w:rFonts w:ascii="Arial" w:hAnsi="Arial" w:cs="Arial"/>
          <w:sz w:val="20"/>
        </w:rPr>
      </w:pPr>
      <w:r w:rsidRPr="00701F32">
        <w:rPr>
          <w:rFonts w:ascii="Arial" w:hAnsi="Arial" w:cs="Arial"/>
          <w:sz w:val="20"/>
        </w:rPr>
        <w:t>Conforme a las regulaciones establecidas por el B.C.R.A., corresponde asignar a reserva legal el 20% de las utilidades del ejercicio netas de los eventuales ajustes de ejercicios anteriores, en caso de corresponder.</w:t>
      </w:r>
    </w:p>
    <w:p w14:paraId="0F00EE45" w14:textId="77777777" w:rsidR="0086769C" w:rsidRPr="00701F32" w:rsidRDefault="0086769C" w:rsidP="0086769C">
      <w:pPr>
        <w:tabs>
          <w:tab w:val="left" w:pos="142"/>
        </w:tabs>
        <w:jc w:val="both"/>
        <w:rPr>
          <w:rFonts w:ascii="Arial" w:hAnsi="Arial" w:cs="Arial"/>
          <w:sz w:val="20"/>
        </w:rPr>
      </w:pPr>
    </w:p>
    <w:p w14:paraId="31C196B9" w14:textId="77777777" w:rsidR="0086769C" w:rsidRPr="00701F32" w:rsidRDefault="0086769C" w:rsidP="0086769C">
      <w:pPr>
        <w:tabs>
          <w:tab w:val="left" w:pos="142"/>
        </w:tabs>
        <w:jc w:val="both"/>
        <w:rPr>
          <w:rFonts w:ascii="Arial" w:hAnsi="Arial" w:cs="Arial"/>
          <w:sz w:val="20"/>
        </w:rPr>
      </w:pPr>
      <w:r w:rsidRPr="00701F32">
        <w:rPr>
          <w:rFonts w:ascii="Arial" w:hAnsi="Arial" w:cs="Arial"/>
          <w:sz w:val="20"/>
        </w:rPr>
        <w:t>Según lo estipulado en el texto ordenado sobre distribución de resultados, las entidades financieras deberán dar cumplimiento a una serie de requerimientos entre los que se destacan: i) No encontrarse alcanzada por las disposiciones de los artículos 34 y 35 bis de la Ley de Entidades Financieras, ii) No registrar asistencia por iliquidez, iii) No presentar atrasos o incumplimientos en los regímenes informativos, iv) No registrar deficiencias de integración de capital mínimo (sin computar a tales fines los efectos de las franquicias otorgadas por la Superintendencia de Entidades Financieras y Cambiarias) o de efectivo mínimo, v) haber dado cumplimiento a los márgenes adicionales de capital que les sean de aplicación.</w:t>
      </w:r>
    </w:p>
    <w:p w14:paraId="6ABFFFE3" w14:textId="77777777" w:rsidR="0086769C" w:rsidRPr="00701F32" w:rsidRDefault="0086769C" w:rsidP="0086769C">
      <w:pPr>
        <w:tabs>
          <w:tab w:val="left" w:pos="142"/>
        </w:tabs>
        <w:jc w:val="both"/>
        <w:rPr>
          <w:rFonts w:ascii="Arial" w:hAnsi="Arial" w:cs="Arial"/>
          <w:sz w:val="20"/>
        </w:rPr>
      </w:pPr>
    </w:p>
    <w:p w14:paraId="62C888A5" w14:textId="77777777" w:rsidR="0086769C" w:rsidRDefault="0086769C" w:rsidP="0086769C">
      <w:pPr>
        <w:tabs>
          <w:tab w:val="left" w:pos="142"/>
        </w:tabs>
        <w:jc w:val="both"/>
        <w:rPr>
          <w:rFonts w:ascii="Arial" w:hAnsi="Arial" w:cs="Arial"/>
          <w:sz w:val="20"/>
        </w:rPr>
      </w:pPr>
      <w:r w:rsidRPr="00701F32">
        <w:rPr>
          <w:rFonts w:ascii="Arial" w:hAnsi="Arial" w:cs="Arial"/>
          <w:sz w:val="20"/>
        </w:rPr>
        <w:t>Las entidades no comprendidas en algunas de estas situaciones podrán distribuir resultados con arreglo a las regulaciones establecidas en dicho texto ordenado, siempre y cuando no se comprometa la liquidez y solvencia de la entidad</w:t>
      </w:r>
      <w:r>
        <w:rPr>
          <w:rFonts w:ascii="Arial" w:hAnsi="Arial" w:cs="Arial"/>
          <w:sz w:val="20"/>
        </w:rPr>
        <w:t>.</w:t>
      </w:r>
    </w:p>
    <w:p w14:paraId="422F1256" w14:textId="77777777" w:rsidR="0086769C" w:rsidRPr="00701F32" w:rsidRDefault="0086769C" w:rsidP="0086769C">
      <w:pPr>
        <w:tabs>
          <w:tab w:val="left" w:pos="142"/>
        </w:tabs>
        <w:jc w:val="both"/>
        <w:rPr>
          <w:rFonts w:ascii="Arial" w:hAnsi="Arial" w:cs="Arial"/>
          <w:sz w:val="20"/>
        </w:rPr>
      </w:pPr>
    </w:p>
    <w:p w14:paraId="22DF3267" w14:textId="77777777" w:rsidR="0086769C" w:rsidRDefault="0086769C" w:rsidP="0086769C">
      <w:pPr>
        <w:jc w:val="both"/>
        <w:rPr>
          <w:rFonts w:ascii="Arial" w:hAnsi="Arial" w:cs="Arial"/>
          <w:sz w:val="20"/>
        </w:rPr>
      </w:pPr>
      <w:r>
        <w:rPr>
          <w:rFonts w:ascii="Arial" w:hAnsi="Arial" w:cs="Arial"/>
          <w:sz w:val="20"/>
        </w:rPr>
        <w:t xml:space="preserve">A </w:t>
      </w:r>
      <w:r w:rsidRPr="00701F32">
        <w:rPr>
          <w:rFonts w:ascii="Arial" w:hAnsi="Arial" w:cs="Arial"/>
          <w:sz w:val="20"/>
        </w:rPr>
        <w:t>través de la Comunicación “A” 6464 el B.C.R.A. estableció que hasta el 31 de marzo de 2020 deberán contar con la autorización previa de la SEFyC para la distribución de resultados las entidades financieras que, para determinar el resultado distribuible, no hayan incrementado los márgenes de conservación de capital en 1 punto porcentual adicional a lo establecido en las normas.</w:t>
      </w:r>
    </w:p>
    <w:p w14:paraId="679D65FE" w14:textId="77777777" w:rsidR="0086769C" w:rsidRDefault="0086769C" w:rsidP="0086769C">
      <w:pPr>
        <w:rPr>
          <w:rFonts w:ascii="Arial" w:hAnsi="Arial" w:cs="Arial"/>
          <w:sz w:val="20"/>
        </w:rPr>
      </w:pPr>
    </w:p>
    <w:p w14:paraId="1AE67ED0" w14:textId="7DB9ECA3" w:rsidR="00A06BE9" w:rsidRDefault="0086769C" w:rsidP="0086769C">
      <w:pPr>
        <w:tabs>
          <w:tab w:val="left" w:pos="142"/>
        </w:tabs>
        <w:jc w:val="both"/>
        <w:rPr>
          <w:rFonts w:ascii="Arial" w:hAnsi="Arial" w:cs="Arial"/>
          <w:sz w:val="20"/>
        </w:rPr>
      </w:pPr>
      <w:r>
        <w:rPr>
          <w:rFonts w:ascii="Arial" w:hAnsi="Arial" w:cs="Arial"/>
          <w:sz w:val="20"/>
        </w:rPr>
        <w:t xml:space="preserve">En fecha 30 de agosto de 2019 y con el objetivo de </w:t>
      </w:r>
      <w:r w:rsidRPr="00963114">
        <w:rPr>
          <w:rFonts w:ascii="Arial" w:hAnsi="Arial" w:cs="Arial"/>
          <w:sz w:val="20"/>
        </w:rPr>
        <w:t>estabilizar el mercado cambiario</w:t>
      </w:r>
      <w:r>
        <w:rPr>
          <w:rFonts w:ascii="Arial" w:hAnsi="Arial" w:cs="Arial"/>
          <w:sz w:val="20"/>
        </w:rPr>
        <w:t xml:space="preserve">, el B.C.R.A. dispuso mediante la Comunicación “A” 6768 que </w:t>
      </w:r>
      <w:r w:rsidRPr="00963114">
        <w:rPr>
          <w:rFonts w:ascii="Arial" w:hAnsi="Arial" w:cs="Arial"/>
          <w:sz w:val="20"/>
        </w:rPr>
        <w:t xml:space="preserve">las entidades financieras </w:t>
      </w:r>
      <w:r>
        <w:rPr>
          <w:rFonts w:ascii="Arial" w:hAnsi="Arial" w:cs="Arial"/>
          <w:sz w:val="20"/>
        </w:rPr>
        <w:t xml:space="preserve">para proceder a la distribución de sus resultados </w:t>
      </w:r>
      <w:r w:rsidRPr="00963114">
        <w:rPr>
          <w:rFonts w:ascii="Arial" w:hAnsi="Arial" w:cs="Arial"/>
          <w:sz w:val="20"/>
        </w:rPr>
        <w:t>deberán contar con la </w:t>
      </w:r>
      <w:r w:rsidRPr="00310170">
        <w:rPr>
          <w:rFonts w:ascii="Arial" w:hAnsi="Arial" w:cs="Arial"/>
          <w:sz w:val="20"/>
        </w:rPr>
        <w:t xml:space="preserve">autorización previa de la </w:t>
      </w:r>
      <w:r w:rsidRPr="00963114">
        <w:rPr>
          <w:rFonts w:ascii="Arial" w:hAnsi="Arial" w:cs="Arial"/>
          <w:sz w:val="20"/>
        </w:rPr>
        <w:t>Superintendencia de Entidades Financieras y</w:t>
      </w:r>
      <w:r w:rsidRPr="00310170">
        <w:rPr>
          <w:rFonts w:ascii="Arial" w:hAnsi="Arial" w:cs="Arial"/>
          <w:sz w:val="20"/>
        </w:rPr>
        <w:t xml:space="preserve"> Cambiarias</w:t>
      </w:r>
      <w:r>
        <w:rPr>
          <w:rFonts w:ascii="Arial" w:hAnsi="Arial" w:cs="Arial"/>
          <w:sz w:val="20"/>
        </w:rPr>
        <w:t>.  En dicho proceso de autorización la Entidad de Contralor tendrá en consideración</w:t>
      </w:r>
      <w:r w:rsidRPr="00B05BE2">
        <w:rPr>
          <w:rFonts w:ascii="Arial" w:hAnsi="Arial" w:cs="Arial"/>
          <w:sz w:val="20"/>
        </w:rPr>
        <w:t>, entre otros elementos, los potenciales efectos de la aplicación de las normas internacionales</w:t>
      </w:r>
      <w:r w:rsidRPr="005A1F48">
        <w:rPr>
          <w:rFonts w:ascii="Arial" w:hAnsi="Arial" w:cs="Arial"/>
          <w:sz w:val="20"/>
        </w:rPr>
        <w:t xml:space="preserve"> de contabilidad según Comunicación "A" 6430 (Punto 5.5. de NIIF 9 - Deterioro de valor de activos financieros) como también los efectos de la reexpresión de estados financieros prevista por la Comunicación "A" 6651.</w:t>
      </w:r>
    </w:p>
    <w:p w14:paraId="60B81E1A" w14:textId="1267B313" w:rsidR="00131445" w:rsidRDefault="00131445" w:rsidP="0086769C">
      <w:pPr>
        <w:tabs>
          <w:tab w:val="left" w:pos="142"/>
        </w:tabs>
        <w:jc w:val="both"/>
        <w:rPr>
          <w:rFonts w:ascii="Arial" w:hAnsi="Arial" w:cs="Arial"/>
          <w:sz w:val="20"/>
        </w:rPr>
      </w:pPr>
    </w:p>
    <w:p w14:paraId="2F4D9B66" w14:textId="020263B6" w:rsidR="00131445" w:rsidRDefault="00131445" w:rsidP="0086769C">
      <w:pPr>
        <w:tabs>
          <w:tab w:val="left" w:pos="142"/>
        </w:tabs>
        <w:jc w:val="both"/>
        <w:rPr>
          <w:rFonts w:ascii="Arial" w:hAnsi="Arial" w:cs="Arial"/>
          <w:sz w:val="20"/>
        </w:rPr>
      </w:pPr>
      <w:bookmarkStart w:id="25" w:name="_Hlk32946768"/>
      <w:r w:rsidRPr="00E71D59">
        <w:rPr>
          <w:rFonts w:ascii="Arial" w:hAnsi="Arial" w:cs="Arial"/>
          <w:sz w:val="20"/>
        </w:rPr>
        <w:t>Adicionalmente, el Banco se encuentra restringido para distribuir utilidades por el incumplimiento de determinados covenants financieros, mencionados en nota 27.</w:t>
      </w:r>
      <w:r>
        <w:rPr>
          <w:rFonts w:ascii="Arial" w:hAnsi="Arial" w:cs="Arial"/>
          <w:sz w:val="20"/>
        </w:rPr>
        <w:t xml:space="preserve"> </w:t>
      </w:r>
    </w:p>
    <w:bookmarkEnd w:id="25"/>
    <w:p w14:paraId="600066E6" w14:textId="77777777" w:rsidR="00893B68" w:rsidRPr="00613EB0" w:rsidRDefault="00893B68" w:rsidP="00A06BE9">
      <w:pPr>
        <w:tabs>
          <w:tab w:val="left" w:pos="142"/>
        </w:tabs>
        <w:jc w:val="both"/>
        <w:rPr>
          <w:rFonts w:ascii="Arial" w:hAnsi="Arial" w:cs="Arial"/>
          <w:b/>
          <w:sz w:val="20"/>
        </w:rPr>
      </w:pPr>
    </w:p>
    <w:p w14:paraId="26D6A0B3" w14:textId="6E3B4BC1" w:rsidR="00032EC8" w:rsidRDefault="00032EC8" w:rsidP="00032EC8">
      <w:pPr>
        <w:tabs>
          <w:tab w:val="left" w:pos="142"/>
        </w:tabs>
        <w:jc w:val="both"/>
        <w:rPr>
          <w:rFonts w:ascii="Arial" w:hAnsi="Arial" w:cs="Arial"/>
          <w:b/>
          <w:sz w:val="20"/>
        </w:rPr>
      </w:pPr>
      <w:r>
        <w:rPr>
          <w:rFonts w:ascii="Arial" w:hAnsi="Arial" w:cs="Arial"/>
          <w:b/>
          <w:sz w:val="20"/>
        </w:rPr>
        <w:t>14.10 Gestión de capital y política de transparencia en materia de Gobierno Societario</w:t>
      </w:r>
    </w:p>
    <w:p w14:paraId="12DFAB14" w14:textId="77777777" w:rsidR="00032EC8" w:rsidRDefault="00032EC8" w:rsidP="00032EC8">
      <w:pPr>
        <w:tabs>
          <w:tab w:val="left" w:pos="142"/>
        </w:tabs>
        <w:jc w:val="both"/>
        <w:rPr>
          <w:rFonts w:ascii="Arial" w:hAnsi="Arial" w:cs="Arial"/>
          <w:b/>
          <w:sz w:val="20"/>
        </w:rPr>
      </w:pPr>
    </w:p>
    <w:p w14:paraId="4F8FF42A" w14:textId="77777777" w:rsidR="00427D0C" w:rsidRPr="00AE5EAB" w:rsidRDefault="00427D0C" w:rsidP="00427D0C">
      <w:pPr>
        <w:jc w:val="both"/>
        <w:rPr>
          <w:rFonts w:ascii="Arial" w:hAnsi="Arial" w:cs="Arial"/>
          <w:sz w:val="20"/>
          <w:lang w:val="es-ES"/>
        </w:rPr>
      </w:pPr>
      <w:r w:rsidRPr="00AE5EAB">
        <w:rPr>
          <w:rFonts w:ascii="Arial" w:hAnsi="Arial" w:cs="Arial"/>
          <w:sz w:val="20"/>
          <w:lang w:val="es-ES"/>
        </w:rPr>
        <w:t>El gobierno corporativo es la manera en que las sociedades son administradas, es decir, la forma en la cual el directorio y la alta gerencia dirigen las actividades y negocios de la Entidad. El gobierno corporativo también se ocupa de los derechos y responsabilidades del directorio, la alta gerencia, accionistas e inversores en general de la sociedad.</w:t>
      </w:r>
    </w:p>
    <w:p w14:paraId="6096C294" w14:textId="77777777" w:rsidR="00427D0C" w:rsidRPr="00AE5EAB" w:rsidRDefault="00427D0C" w:rsidP="00427D0C">
      <w:pPr>
        <w:jc w:val="both"/>
        <w:rPr>
          <w:rFonts w:ascii="Arial" w:hAnsi="Arial" w:cs="Arial"/>
          <w:sz w:val="20"/>
          <w:lang w:val="es-ES"/>
        </w:rPr>
      </w:pPr>
    </w:p>
    <w:p w14:paraId="12B38C79" w14:textId="77777777" w:rsidR="00427D0C" w:rsidRPr="00AE5EAB" w:rsidRDefault="00427D0C" w:rsidP="00427D0C">
      <w:pPr>
        <w:jc w:val="both"/>
        <w:rPr>
          <w:rFonts w:ascii="Arial" w:hAnsi="Arial" w:cs="Arial"/>
          <w:bCs/>
          <w:sz w:val="20"/>
          <w:lang w:val="es-ES"/>
        </w:rPr>
      </w:pPr>
      <w:r w:rsidRPr="00AE5EAB">
        <w:rPr>
          <w:rFonts w:ascii="Arial" w:hAnsi="Arial" w:cs="Arial"/>
          <w:sz w:val="20"/>
          <w:lang w:val="es-ES"/>
        </w:rPr>
        <w:t>Bajo este sistema de gestión, las mejores prácticas de gobierno corporativo se vinculan con acciones tendientes a la transparencia y respeto con los accionistas y con tareas relacionadas con la responsabilidad corporativa, procurando integrar los aspectos económico-financieros, sociales y ambientales.</w:t>
      </w:r>
    </w:p>
    <w:p w14:paraId="0D20B63B" w14:textId="77777777" w:rsidR="00427D0C" w:rsidRPr="00AE5EAB" w:rsidRDefault="00427D0C" w:rsidP="00427D0C">
      <w:pPr>
        <w:jc w:val="both"/>
        <w:rPr>
          <w:rFonts w:ascii="Arial" w:hAnsi="Arial" w:cs="Arial"/>
          <w:bCs/>
          <w:sz w:val="20"/>
          <w:lang w:val="es-ES"/>
        </w:rPr>
      </w:pPr>
    </w:p>
    <w:p w14:paraId="3AFBB8B8" w14:textId="77777777" w:rsidR="00427D0C" w:rsidRPr="00AE5EAB" w:rsidRDefault="00427D0C" w:rsidP="00427D0C">
      <w:pPr>
        <w:jc w:val="both"/>
        <w:rPr>
          <w:rFonts w:ascii="Arial" w:hAnsi="Arial" w:cs="Arial"/>
          <w:bCs/>
          <w:sz w:val="20"/>
          <w:lang w:val="es-ES"/>
        </w:rPr>
      </w:pPr>
      <w:r w:rsidRPr="00AE5EAB">
        <w:rPr>
          <w:rFonts w:ascii="Arial" w:hAnsi="Arial" w:cs="Arial"/>
          <w:bCs/>
          <w:sz w:val="20"/>
          <w:lang w:val="es-ES"/>
        </w:rPr>
        <w:t>La Entidad otorga una importante ponderación al diseño de su estructura de gobierno corporativo, actuando en línea con las mejores prácticas y estándares vigentes.</w:t>
      </w:r>
    </w:p>
    <w:p w14:paraId="65EA4907" w14:textId="77777777" w:rsidR="00427D0C" w:rsidRPr="00AE5EAB" w:rsidRDefault="00427D0C" w:rsidP="00427D0C">
      <w:pPr>
        <w:jc w:val="both"/>
        <w:rPr>
          <w:rFonts w:ascii="Arial" w:hAnsi="Arial" w:cs="Arial"/>
          <w:bCs/>
          <w:sz w:val="20"/>
          <w:lang w:val="es-ES"/>
        </w:rPr>
      </w:pPr>
    </w:p>
    <w:p w14:paraId="680077BE" w14:textId="77777777" w:rsidR="00427D0C" w:rsidRPr="00AE5EAB" w:rsidRDefault="00427D0C" w:rsidP="00427D0C">
      <w:pPr>
        <w:shd w:val="clear" w:color="auto" w:fill="FFFFFF"/>
        <w:jc w:val="both"/>
        <w:rPr>
          <w:rFonts w:ascii="Arial" w:hAnsi="Arial" w:cs="Arial"/>
          <w:sz w:val="20"/>
        </w:rPr>
      </w:pPr>
      <w:r w:rsidRPr="00AE5EAB">
        <w:rPr>
          <w:rFonts w:ascii="Arial" w:hAnsi="Arial" w:cs="Arial"/>
          <w:sz w:val="20"/>
        </w:rPr>
        <w:t>Banco Supervielle es una sociedad anónima sujeta a la Ley General de Sociedades No. 19.550 y a la Ley de Entidades Financieras y Cambiarias No. 21.526, sus complementarias y modificatorias, regulada y supervisada por el Banco Central de la República Argentina (“BCRA”) en el marco de la normativa establecida por dicho organismo. Asimismo, el Banco se encuentra admitida como sociedad “emisora” al régimen de oferta pública de deuda, sujeta a las regulaciones emitidas por la Comisión Nacional de Valores (“CNV”).</w:t>
      </w:r>
    </w:p>
    <w:p w14:paraId="74FEAAEF" w14:textId="77777777" w:rsidR="00427D0C" w:rsidRPr="00AE5EAB" w:rsidRDefault="00427D0C" w:rsidP="00427D0C">
      <w:pPr>
        <w:shd w:val="clear" w:color="auto" w:fill="FFFFFF"/>
        <w:jc w:val="both"/>
        <w:rPr>
          <w:rFonts w:ascii="Arial" w:hAnsi="Arial" w:cs="Arial"/>
          <w:sz w:val="20"/>
        </w:rPr>
      </w:pPr>
    </w:p>
    <w:p w14:paraId="68F076C7" w14:textId="77777777" w:rsidR="00427D0C" w:rsidRPr="00AE5EAB" w:rsidRDefault="00427D0C" w:rsidP="00427D0C">
      <w:pPr>
        <w:shd w:val="clear" w:color="auto" w:fill="FFFFFF"/>
        <w:jc w:val="both"/>
        <w:rPr>
          <w:rFonts w:ascii="Arial" w:hAnsi="Arial" w:cs="Arial"/>
          <w:sz w:val="20"/>
        </w:rPr>
      </w:pPr>
      <w:r w:rsidRPr="00AE5EAB">
        <w:rPr>
          <w:rFonts w:ascii="Arial" w:hAnsi="Arial" w:cs="Arial"/>
          <w:sz w:val="20"/>
        </w:rPr>
        <w:t>Por lo tanto, el Código de Gobierno Corporativo de Banco Supervielle cuenta con los lineamientos para el gobierno societario en entidades financieras establecidos por la Comunicación A 5201 del BCRA y adhiere a los lineamientos y mejores prácticas en la materia contenidos en las normas de la CNV en las que se incorporan conceptos de buen gobierno corporativo a la gestión empresarial bajo la forma de lineamientos o recomendaciones que buscan darle transparencia. La CNV requiere informar si la sociedad cumple totalmente los principios y recomendaciones enunciadas y, en caso de no hacerlo, se expliquen las razones por las cuales cumple parcialmente o no cumple tales recomendaciones.</w:t>
      </w:r>
    </w:p>
    <w:p w14:paraId="6C09961E" w14:textId="77777777" w:rsidR="00427D0C" w:rsidRPr="00AE5EAB" w:rsidRDefault="00427D0C" w:rsidP="00427D0C">
      <w:pPr>
        <w:jc w:val="both"/>
        <w:rPr>
          <w:rFonts w:ascii="Arial" w:hAnsi="Arial" w:cs="Arial"/>
          <w:bCs/>
          <w:sz w:val="20"/>
        </w:rPr>
      </w:pPr>
    </w:p>
    <w:p w14:paraId="46D0F755" w14:textId="77777777" w:rsidR="00427D0C" w:rsidRPr="00AE5EAB" w:rsidRDefault="00427D0C" w:rsidP="00427D0C">
      <w:pPr>
        <w:shd w:val="clear" w:color="auto" w:fill="FFFFFF"/>
        <w:jc w:val="both"/>
        <w:rPr>
          <w:rFonts w:ascii="Arial" w:hAnsi="Arial" w:cs="Arial"/>
          <w:sz w:val="20"/>
          <w:lang w:val="es-ES"/>
        </w:rPr>
      </w:pPr>
      <w:r w:rsidRPr="00AE5EAB">
        <w:rPr>
          <w:rFonts w:ascii="Arial" w:hAnsi="Arial" w:cs="Arial"/>
          <w:bCs/>
          <w:sz w:val="20"/>
          <w:lang w:val="es-ES"/>
        </w:rPr>
        <w:t xml:space="preserve">El Código de Gobierno Corporativo establece los objetivos primordiales que </w:t>
      </w:r>
      <w:r w:rsidRPr="00AE5EAB">
        <w:rPr>
          <w:rFonts w:ascii="Arial" w:hAnsi="Arial" w:cs="Arial"/>
          <w:sz w:val="20"/>
          <w:lang w:val="es-ES"/>
        </w:rPr>
        <w:t xml:space="preserve">el Directorio y la Alta Gerencia deberán seguir en el cumplimiento de sus actividades y negocios, a saber: </w:t>
      </w:r>
    </w:p>
    <w:p w14:paraId="59AD4A39" w14:textId="77777777" w:rsidR="00427D0C" w:rsidRPr="00AE5EAB" w:rsidRDefault="00427D0C" w:rsidP="00427D0C">
      <w:pPr>
        <w:shd w:val="clear" w:color="auto" w:fill="FFFFFF"/>
        <w:jc w:val="both"/>
        <w:rPr>
          <w:rFonts w:ascii="Arial" w:hAnsi="Arial" w:cs="Arial"/>
          <w:sz w:val="20"/>
          <w:lang w:val="es-ES"/>
        </w:rPr>
      </w:pPr>
    </w:p>
    <w:p w14:paraId="68055E72" w14:textId="77777777" w:rsidR="00427D0C" w:rsidRPr="00AE5EAB" w:rsidRDefault="00427D0C" w:rsidP="00427D0C">
      <w:pPr>
        <w:numPr>
          <w:ilvl w:val="0"/>
          <w:numId w:val="56"/>
        </w:numPr>
        <w:shd w:val="clear" w:color="auto" w:fill="FFFFFF"/>
        <w:tabs>
          <w:tab w:val="num" w:pos="-357"/>
        </w:tabs>
        <w:suppressAutoHyphens/>
        <w:spacing w:line="100" w:lineRule="atLeast"/>
        <w:ind w:left="357" w:hanging="357"/>
        <w:jc w:val="both"/>
        <w:rPr>
          <w:rFonts w:ascii="Arial" w:hAnsi="Arial" w:cs="Arial"/>
          <w:sz w:val="20"/>
        </w:rPr>
      </w:pPr>
      <w:r w:rsidRPr="00AE5EAB">
        <w:rPr>
          <w:rFonts w:ascii="Arial" w:hAnsi="Arial" w:cs="Arial"/>
          <w:sz w:val="20"/>
        </w:rPr>
        <w:t>Establecer las políticas para cumplir los objetivos societarios.</w:t>
      </w:r>
    </w:p>
    <w:p w14:paraId="31053147" w14:textId="77777777" w:rsidR="00427D0C" w:rsidRPr="00AE5EAB" w:rsidRDefault="00427D0C" w:rsidP="00427D0C">
      <w:pPr>
        <w:numPr>
          <w:ilvl w:val="0"/>
          <w:numId w:val="56"/>
        </w:numPr>
        <w:shd w:val="clear" w:color="auto" w:fill="FFFFFF"/>
        <w:tabs>
          <w:tab w:val="num" w:pos="-357"/>
        </w:tabs>
        <w:suppressAutoHyphens/>
        <w:spacing w:line="100" w:lineRule="atLeast"/>
        <w:ind w:left="357" w:hanging="357"/>
        <w:jc w:val="both"/>
        <w:rPr>
          <w:rFonts w:ascii="Arial" w:hAnsi="Arial" w:cs="Arial"/>
          <w:sz w:val="20"/>
        </w:rPr>
      </w:pPr>
      <w:r w:rsidRPr="00AE5EAB">
        <w:rPr>
          <w:rFonts w:ascii="Arial" w:hAnsi="Arial" w:cs="Arial"/>
          <w:sz w:val="20"/>
        </w:rPr>
        <w:t xml:space="preserve">Asegurar que las actividades de la Entidad cumplan con los niveles de seguridad y solvencia necesarios y que se ajusten a las leyes y demás normas vigentes.  </w:t>
      </w:r>
    </w:p>
    <w:p w14:paraId="2F403FEB" w14:textId="77777777" w:rsidR="00427D0C" w:rsidRPr="00AE5EAB" w:rsidRDefault="00427D0C" w:rsidP="00427D0C">
      <w:pPr>
        <w:numPr>
          <w:ilvl w:val="0"/>
          <w:numId w:val="56"/>
        </w:numPr>
        <w:shd w:val="clear" w:color="auto" w:fill="FFFFFF"/>
        <w:tabs>
          <w:tab w:val="num" w:pos="-357"/>
        </w:tabs>
        <w:suppressAutoHyphens/>
        <w:spacing w:line="100" w:lineRule="atLeast"/>
        <w:ind w:left="357" w:hanging="357"/>
        <w:jc w:val="both"/>
        <w:rPr>
          <w:rFonts w:ascii="Arial" w:hAnsi="Arial" w:cs="Arial"/>
          <w:sz w:val="20"/>
        </w:rPr>
      </w:pPr>
      <w:r w:rsidRPr="00AE5EAB">
        <w:rPr>
          <w:rFonts w:ascii="Arial" w:hAnsi="Arial" w:cs="Arial"/>
          <w:sz w:val="20"/>
        </w:rPr>
        <w:t xml:space="preserve">Definir el apetito de riesgo de la Entidad. </w:t>
      </w:r>
    </w:p>
    <w:p w14:paraId="4EE0ED04" w14:textId="77777777" w:rsidR="00427D0C" w:rsidRPr="00AE5EAB" w:rsidRDefault="00427D0C" w:rsidP="00427D0C">
      <w:pPr>
        <w:numPr>
          <w:ilvl w:val="0"/>
          <w:numId w:val="56"/>
        </w:numPr>
        <w:shd w:val="clear" w:color="auto" w:fill="FFFFFF"/>
        <w:tabs>
          <w:tab w:val="num" w:pos="-357"/>
        </w:tabs>
        <w:suppressAutoHyphens/>
        <w:spacing w:line="100" w:lineRule="atLeast"/>
        <w:ind w:left="357" w:hanging="357"/>
        <w:jc w:val="both"/>
        <w:rPr>
          <w:rFonts w:ascii="Arial" w:hAnsi="Arial" w:cs="Arial"/>
          <w:sz w:val="20"/>
        </w:rPr>
      </w:pPr>
      <w:r w:rsidRPr="00AE5EAB">
        <w:rPr>
          <w:rFonts w:ascii="Arial" w:hAnsi="Arial" w:cs="Arial"/>
          <w:sz w:val="20"/>
        </w:rPr>
        <w:t xml:space="preserve">Proteger los intereses de los depositantes. </w:t>
      </w:r>
    </w:p>
    <w:p w14:paraId="25F199B5" w14:textId="77777777" w:rsidR="00427D0C" w:rsidRPr="00AE5EAB" w:rsidRDefault="00427D0C" w:rsidP="00427D0C">
      <w:pPr>
        <w:numPr>
          <w:ilvl w:val="0"/>
          <w:numId w:val="56"/>
        </w:numPr>
        <w:shd w:val="clear" w:color="auto" w:fill="FFFFFF"/>
        <w:tabs>
          <w:tab w:val="num" w:pos="-357"/>
        </w:tabs>
        <w:suppressAutoHyphens/>
        <w:spacing w:line="100" w:lineRule="atLeast"/>
        <w:ind w:left="357" w:hanging="357"/>
        <w:jc w:val="both"/>
        <w:rPr>
          <w:rFonts w:ascii="Arial" w:hAnsi="Arial" w:cs="Arial"/>
          <w:sz w:val="20"/>
        </w:rPr>
      </w:pPr>
      <w:r w:rsidRPr="00AE5EAB">
        <w:rPr>
          <w:rFonts w:ascii="Arial" w:hAnsi="Arial" w:cs="Arial"/>
          <w:sz w:val="20"/>
        </w:rPr>
        <w:t xml:space="preserve">Asumir sus responsabilidades frente a los accionistas, teniendo en cuenta los intereses de otros terceros relevantes. </w:t>
      </w:r>
    </w:p>
    <w:p w14:paraId="40A273C5" w14:textId="77777777" w:rsidR="00427D0C" w:rsidRPr="00AE5EAB" w:rsidRDefault="00427D0C" w:rsidP="00427D0C">
      <w:pPr>
        <w:numPr>
          <w:ilvl w:val="0"/>
          <w:numId w:val="60"/>
        </w:numPr>
        <w:shd w:val="clear" w:color="auto" w:fill="FFFFFF"/>
        <w:ind w:left="357" w:hanging="357"/>
        <w:jc w:val="both"/>
        <w:rPr>
          <w:rFonts w:ascii="Arial" w:hAnsi="Arial" w:cs="Arial"/>
          <w:sz w:val="20"/>
        </w:rPr>
      </w:pPr>
      <w:r w:rsidRPr="00AE5EAB">
        <w:rPr>
          <w:rFonts w:ascii="Arial" w:hAnsi="Arial" w:cs="Arial"/>
          <w:sz w:val="20"/>
        </w:rPr>
        <w:t>Realizar las operaciones diarias; y</w:t>
      </w:r>
    </w:p>
    <w:p w14:paraId="33401D31" w14:textId="77777777" w:rsidR="00427D0C" w:rsidRPr="00AE5EAB" w:rsidRDefault="00427D0C" w:rsidP="00427D0C">
      <w:pPr>
        <w:shd w:val="clear" w:color="auto" w:fill="FFFFFF"/>
        <w:suppressAutoHyphens/>
        <w:spacing w:line="100" w:lineRule="atLeast"/>
        <w:ind w:left="357"/>
        <w:jc w:val="both"/>
        <w:rPr>
          <w:rFonts w:ascii="Arial" w:hAnsi="Arial" w:cs="Arial"/>
          <w:sz w:val="20"/>
        </w:rPr>
      </w:pPr>
      <w:r w:rsidRPr="00AE5EAB">
        <w:rPr>
          <w:rFonts w:ascii="Arial" w:hAnsi="Arial" w:cs="Arial"/>
          <w:sz w:val="20"/>
        </w:rPr>
        <w:t>Utilizar las tecnologías nuevas y las existentes para optimizar aspectos importantes para el negocio, sus clientes, empleados y socios.</w:t>
      </w:r>
    </w:p>
    <w:p w14:paraId="3DACA55C" w14:textId="77777777" w:rsidR="00427D0C" w:rsidRPr="00AE5EAB" w:rsidRDefault="00427D0C" w:rsidP="00427D0C">
      <w:pPr>
        <w:shd w:val="clear" w:color="auto" w:fill="FFFFFF"/>
        <w:suppressAutoHyphens/>
        <w:spacing w:line="100" w:lineRule="atLeast"/>
        <w:ind w:left="714"/>
        <w:jc w:val="both"/>
        <w:rPr>
          <w:rFonts w:ascii="Arial" w:hAnsi="Arial" w:cs="Arial"/>
          <w:b/>
          <w:bCs/>
          <w:sz w:val="20"/>
          <w:lang w:val="es-ES"/>
        </w:rPr>
      </w:pPr>
    </w:p>
    <w:p w14:paraId="23509BFB" w14:textId="68561F35" w:rsidR="00427D0C" w:rsidRPr="00AE5EAB" w:rsidRDefault="00427D0C" w:rsidP="00427D0C">
      <w:pPr>
        <w:tabs>
          <w:tab w:val="left" w:pos="0"/>
        </w:tabs>
        <w:jc w:val="both"/>
        <w:rPr>
          <w:rFonts w:ascii="Arial" w:hAnsi="Arial" w:cs="Arial"/>
          <w:sz w:val="20"/>
          <w:lang w:val="es-ES"/>
        </w:rPr>
      </w:pPr>
      <w:r w:rsidRPr="00AE5EAB">
        <w:rPr>
          <w:rFonts w:ascii="Arial" w:hAnsi="Arial" w:cs="Arial"/>
          <w:b/>
          <w:sz w:val="20"/>
        </w:rPr>
        <w:t xml:space="preserve">     1</w:t>
      </w:r>
      <w:r>
        <w:rPr>
          <w:rFonts w:ascii="Arial" w:hAnsi="Arial" w:cs="Arial"/>
          <w:b/>
          <w:sz w:val="20"/>
        </w:rPr>
        <w:t>4</w:t>
      </w:r>
      <w:r w:rsidRPr="00AE5EAB">
        <w:rPr>
          <w:rFonts w:ascii="Arial" w:hAnsi="Arial" w:cs="Arial"/>
          <w:b/>
          <w:sz w:val="20"/>
        </w:rPr>
        <w:t xml:space="preserve">.10.1.    </w:t>
      </w:r>
      <w:r w:rsidRPr="00AE5EAB">
        <w:rPr>
          <w:rFonts w:ascii="Arial" w:hAnsi="Arial" w:cs="Arial"/>
          <w:b/>
          <w:sz w:val="20"/>
          <w:u w:val="single"/>
        </w:rPr>
        <w:t>Estructura del Di</w:t>
      </w:r>
      <w:r w:rsidRPr="00AE5EAB">
        <w:rPr>
          <w:rFonts w:ascii="Arial" w:hAnsi="Arial" w:cs="Arial"/>
          <w:b/>
          <w:bCs/>
          <w:sz w:val="20"/>
          <w:u w:val="single"/>
          <w:lang w:val="es-ES"/>
        </w:rPr>
        <w:t>r</w:t>
      </w:r>
      <w:r w:rsidRPr="00AE5EAB">
        <w:rPr>
          <w:rFonts w:ascii="Arial" w:hAnsi="Arial" w:cs="Arial"/>
          <w:b/>
          <w:sz w:val="20"/>
          <w:u w:val="single"/>
        </w:rPr>
        <w:t>ectorio y de la Alta Gerencia</w:t>
      </w:r>
    </w:p>
    <w:p w14:paraId="667CB2B0" w14:textId="77777777" w:rsidR="00427D0C" w:rsidRPr="00AE5EAB" w:rsidRDefault="00427D0C" w:rsidP="00427D0C">
      <w:pPr>
        <w:jc w:val="both"/>
        <w:rPr>
          <w:rFonts w:ascii="Arial" w:hAnsi="Arial" w:cs="Arial"/>
          <w:sz w:val="20"/>
          <w:lang w:val="es-ES"/>
        </w:rPr>
      </w:pPr>
    </w:p>
    <w:p w14:paraId="58E00737" w14:textId="77777777" w:rsidR="00427D0C" w:rsidRPr="00C83BC3" w:rsidRDefault="00427D0C" w:rsidP="00427D0C">
      <w:pPr>
        <w:jc w:val="both"/>
        <w:rPr>
          <w:rFonts w:ascii="Arial" w:eastAsia="Calibri" w:hAnsi="Arial" w:cs="Arial"/>
          <w:sz w:val="20"/>
        </w:rPr>
      </w:pPr>
      <w:r w:rsidRPr="00C83BC3">
        <w:rPr>
          <w:rFonts w:ascii="Arial" w:eastAsia="Calibri" w:hAnsi="Arial" w:cs="Arial"/>
          <w:sz w:val="20"/>
        </w:rPr>
        <w:t>La función del Directorio es llevar a cabo la administración de los negocios del Banco y aprobar las políticas y estrategias generales de la Sociedad. Los objetivos estratégicos son comunicados a nivel de la Alta Gerencia a los efectos de su implementación y seguimiento e informados a todas las Gerencias de la entidad sobre los alcances y metas para comprometer y alinear al personal con los mismos.</w:t>
      </w:r>
    </w:p>
    <w:p w14:paraId="2581BDCC" w14:textId="77777777" w:rsidR="00427D0C" w:rsidRPr="00C83BC3" w:rsidRDefault="00427D0C" w:rsidP="00427D0C">
      <w:pPr>
        <w:jc w:val="both"/>
        <w:rPr>
          <w:rFonts w:ascii="Arial" w:eastAsia="Calibri" w:hAnsi="Arial" w:cs="Arial"/>
          <w:sz w:val="20"/>
        </w:rPr>
      </w:pPr>
    </w:p>
    <w:p w14:paraId="7D5AF566" w14:textId="67225808" w:rsidR="00427D0C" w:rsidRPr="00C83BC3" w:rsidRDefault="00427D0C" w:rsidP="00427D0C">
      <w:pPr>
        <w:jc w:val="both"/>
        <w:rPr>
          <w:rFonts w:ascii="Arial" w:eastAsia="Calibri" w:hAnsi="Arial" w:cs="Arial"/>
          <w:sz w:val="20"/>
        </w:rPr>
      </w:pPr>
      <w:r w:rsidRPr="00C83BC3">
        <w:rPr>
          <w:rFonts w:ascii="Arial" w:eastAsia="Calibri" w:hAnsi="Arial" w:cs="Arial"/>
          <w:sz w:val="20"/>
        </w:rPr>
        <w:t xml:space="preserve">El Directorio de Banco Supervielle está compuesto por tres a nueve miembros titulares, cuyos mandatos duran dos años. La Asamblea puede designar </w:t>
      </w:r>
      <w:r w:rsidR="00967EE4" w:rsidRPr="00C83BC3">
        <w:rPr>
          <w:rFonts w:ascii="Arial" w:eastAsia="Calibri" w:hAnsi="Arial" w:cs="Arial"/>
          <w:sz w:val="20"/>
        </w:rPr>
        <w:t>directores</w:t>
      </w:r>
      <w:r w:rsidRPr="00C83BC3">
        <w:rPr>
          <w:rFonts w:ascii="Arial" w:eastAsia="Calibri" w:hAnsi="Arial" w:cs="Arial"/>
          <w:sz w:val="20"/>
        </w:rPr>
        <w:t xml:space="preserve"> suplentes en igual o menor número que los titulares y por el plazo de un año para formar quórum en caso necesario. Anualmente se renueva la mitad o la cifra más cercana a la mitad del Directorio. Para mantener esta proporción en casos de aumento o disminución del número de </w:t>
      </w:r>
      <w:r w:rsidR="00967EE4" w:rsidRPr="00C83BC3">
        <w:rPr>
          <w:rFonts w:ascii="Arial" w:eastAsia="Calibri" w:hAnsi="Arial" w:cs="Arial"/>
          <w:sz w:val="20"/>
        </w:rPr>
        <w:t>directores</w:t>
      </w:r>
      <w:r w:rsidRPr="00C83BC3">
        <w:rPr>
          <w:rFonts w:ascii="Arial" w:eastAsia="Calibri" w:hAnsi="Arial" w:cs="Arial"/>
          <w:sz w:val="20"/>
        </w:rPr>
        <w:t xml:space="preserve"> la Asamblea está autorizada para designar </w:t>
      </w:r>
      <w:r w:rsidR="00967EE4" w:rsidRPr="00C83BC3">
        <w:rPr>
          <w:rFonts w:ascii="Arial" w:eastAsia="Calibri" w:hAnsi="Arial" w:cs="Arial"/>
          <w:sz w:val="20"/>
        </w:rPr>
        <w:t>directores</w:t>
      </w:r>
      <w:r w:rsidRPr="00C83BC3">
        <w:rPr>
          <w:rFonts w:ascii="Arial" w:eastAsia="Calibri" w:hAnsi="Arial" w:cs="Arial"/>
          <w:sz w:val="20"/>
        </w:rPr>
        <w:t xml:space="preserve"> por períodos menores a 2 años. Los </w:t>
      </w:r>
      <w:r w:rsidR="00967EE4" w:rsidRPr="00C83BC3">
        <w:rPr>
          <w:rFonts w:ascii="Arial" w:eastAsia="Calibri" w:hAnsi="Arial" w:cs="Arial"/>
          <w:sz w:val="20"/>
        </w:rPr>
        <w:t>directores</w:t>
      </w:r>
      <w:r w:rsidRPr="00C83BC3">
        <w:rPr>
          <w:rFonts w:ascii="Arial" w:eastAsia="Calibri" w:hAnsi="Arial" w:cs="Arial"/>
          <w:sz w:val="20"/>
        </w:rPr>
        <w:t xml:space="preserve"> son reelegibles. El mandato de los </w:t>
      </w:r>
      <w:r w:rsidR="00967EE4" w:rsidRPr="00C83BC3">
        <w:rPr>
          <w:rFonts w:ascii="Arial" w:eastAsia="Calibri" w:hAnsi="Arial" w:cs="Arial"/>
          <w:sz w:val="20"/>
        </w:rPr>
        <w:t>directores</w:t>
      </w:r>
      <w:r w:rsidRPr="00C83BC3">
        <w:rPr>
          <w:rFonts w:ascii="Arial" w:eastAsia="Calibri" w:hAnsi="Arial" w:cs="Arial"/>
          <w:sz w:val="20"/>
        </w:rPr>
        <w:t xml:space="preserve"> salientes subsiste mientras no se hiciesen cargo de sus puestos los nuevos </w:t>
      </w:r>
      <w:r w:rsidR="00AE02CB" w:rsidRPr="00C83BC3">
        <w:rPr>
          <w:rFonts w:ascii="Arial" w:eastAsia="Calibri" w:hAnsi="Arial" w:cs="Arial"/>
          <w:sz w:val="20"/>
        </w:rPr>
        <w:t>directores</w:t>
      </w:r>
      <w:r w:rsidRPr="00C83BC3">
        <w:rPr>
          <w:rFonts w:ascii="Arial" w:eastAsia="Calibri" w:hAnsi="Arial" w:cs="Arial"/>
          <w:sz w:val="20"/>
        </w:rPr>
        <w:t xml:space="preserve"> electos dentro del plazo fijado por el artículo 257 de la Ley General de Sociedades.</w:t>
      </w:r>
    </w:p>
    <w:p w14:paraId="25855666" w14:textId="77777777" w:rsidR="00427D0C" w:rsidRPr="00AE5EAB" w:rsidRDefault="00427D0C" w:rsidP="00427D0C">
      <w:pPr>
        <w:jc w:val="both"/>
        <w:rPr>
          <w:rFonts w:ascii="Arial" w:hAnsi="Arial" w:cs="Arial"/>
          <w:sz w:val="20"/>
          <w:lang w:val="es-ES"/>
        </w:rPr>
      </w:pPr>
    </w:p>
    <w:p w14:paraId="075042C7" w14:textId="19423423" w:rsidR="00427D0C" w:rsidRPr="00427D0C" w:rsidRDefault="00427D0C" w:rsidP="00427D0C">
      <w:pPr>
        <w:pStyle w:val="Prrafodelista"/>
        <w:numPr>
          <w:ilvl w:val="3"/>
          <w:numId w:val="108"/>
        </w:numPr>
        <w:shd w:val="clear" w:color="auto" w:fill="FFFFFF"/>
        <w:suppressAutoHyphens/>
        <w:spacing w:line="100" w:lineRule="atLeast"/>
        <w:jc w:val="both"/>
        <w:rPr>
          <w:rFonts w:ascii="Arial" w:hAnsi="Arial" w:cs="Arial"/>
          <w:sz w:val="20"/>
        </w:rPr>
      </w:pPr>
      <w:r w:rsidRPr="00427D0C">
        <w:rPr>
          <w:rFonts w:ascii="Arial" w:hAnsi="Arial" w:cs="Arial"/>
          <w:b/>
          <w:sz w:val="20"/>
          <w:u w:val="single"/>
        </w:rPr>
        <w:t xml:space="preserve">Directorio </w:t>
      </w:r>
    </w:p>
    <w:p w14:paraId="2D1E76DB" w14:textId="77777777" w:rsidR="00427D0C" w:rsidRPr="00AE5EAB" w:rsidRDefault="00427D0C" w:rsidP="00427D0C">
      <w:pPr>
        <w:shd w:val="clear" w:color="auto" w:fill="FFFFFF"/>
        <w:ind w:left="1134"/>
        <w:jc w:val="both"/>
        <w:rPr>
          <w:rFonts w:ascii="Arial" w:hAnsi="Arial" w:cs="Arial"/>
          <w:sz w:val="20"/>
        </w:rPr>
      </w:pPr>
    </w:p>
    <w:p w14:paraId="04C269A2" w14:textId="77777777" w:rsidR="00427D0C" w:rsidRPr="00AE5EAB" w:rsidRDefault="00427D0C" w:rsidP="00427D0C">
      <w:pPr>
        <w:shd w:val="clear" w:color="auto" w:fill="FFFFFF"/>
        <w:jc w:val="both"/>
        <w:rPr>
          <w:rFonts w:ascii="Arial" w:hAnsi="Arial" w:cs="Arial"/>
          <w:sz w:val="20"/>
        </w:rPr>
      </w:pPr>
      <w:r w:rsidRPr="00AE5EAB">
        <w:rPr>
          <w:rFonts w:ascii="Arial" w:hAnsi="Arial" w:cs="Arial"/>
          <w:sz w:val="20"/>
        </w:rPr>
        <w:t xml:space="preserve">El Directorio ejerce el liderazgo estratégico de la Entidad. La función del Directorio es llevar a cabo la administración de los negocios del Banco y aprobar las políticas y estrategias generales de la Sociedad. En particular corresponde al Directorio aprobar: </w:t>
      </w:r>
    </w:p>
    <w:p w14:paraId="315B1690" w14:textId="77777777" w:rsidR="00427D0C" w:rsidRPr="00AE5EAB" w:rsidRDefault="00427D0C" w:rsidP="00427D0C">
      <w:pPr>
        <w:shd w:val="clear" w:color="auto" w:fill="FFFFFF"/>
        <w:jc w:val="both"/>
        <w:rPr>
          <w:rFonts w:ascii="Arial" w:hAnsi="Arial" w:cs="Arial"/>
          <w:sz w:val="20"/>
        </w:rPr>
      </w:pPr>
    </w:p>
    <w:p w14:paraId="0E7D5A52" w14:textId="77777777" w:rsidR="00427D0C" w:rsidRPr="00AE5EAB" w:rsidRDefault="00427D0C" w:rsidP="00427D0C">
      <w:pPr>
        <w:numPr>
          <w:ilvl w:val="0"/>
          <w:numId w:val="62"/>
        </w:numPr>
        <w:shd w:val="clear" w:color="auto" w:fill="FFFFFF"/>
        <w:ind w:left="567" w:hanging="567"/>
        <w:contextualSpacing/>
        <w:jc w:val="both"/>
        <w:rPr>
          <w:rFonts w:ascii="Arial" w:hAnsi="Arial" w:cs="Arial"/>
          <w:sz w:val="20"/>
        </w:rPr>
      </w:pPr>
      <w:r w:rsidRPr="00AE5EAB">
        <w:rPr>
          <w:rFonts w:ascii="Arial" w:hAnsi="Arial" w:cs="Arial"/>
          <w:sz w:val="20"/>
        </w:rPr>
        <w:t>El plan estratégico o de negocios, así como los objetivos de gestión y presupuestos anuales.</w:t>
      </w:r>
    </w:p>
    <w:p w14:paraId="79FEC49E" w14:textId="77777777" w:rsidR="00427D0C" w:rsidRPr="00AE5EAB" w:rsidRDefault="00427D0C" w:rsidP="00427D0C">
      <w:pPr>
        <w:shd w:val="clear" w:color="auto" w:fill="FFFFFF"/>
        <w:ind w:left="567" w:hanging="567"/>
        <w:jc w:val="both"/>
        <w:rPr>
          <w:rFonts w:ascii="Arial" w:hAnsi="Arial" w:cs="Arial"/>
          <w:sz w:val="20"/>
        </w:rPr>
      </w:pPr>
    </w:p>
    <w:p w14:paraId="3DC9D084" w14:textId="77777777" w:rsidR="00427D0C" w:rsidRPr="00AE5EAB" w:rsidRDefault="00427D0C" w:rsidP="00427D0C">
      <w:pPr>
        <w:numPr>
          <w:ilvl w:val="0"/>
          <w:numId w:val="62"/>
        </w:numPr>
        <w:shd w:val="clear" w:color="auto" w:fill="FFFFFF"/>
        <w:ind w:left="567" w:hanging="567"/>
        <w:contextualSpacing/>
        <w:jc w:val="both"/>
        <w:rPr>
          <w:rFonts w:ascii="Arial" w:hAnsi="Arial" w:cs="Arial"/>
          <w:sz w:val="20"/>
        </w:rPr>
      </w:pPr>
      <w:r w:rsidRPr="00AE5EAB">
        <w:rPr>
          <w:rFonts w:ascii="Arial" w:hAnsi="Arial" w:cs="Arial"/>
          <w:sz w:val="20"/>
        </w:rPr>
        <w:t>La política de inversiones y financiación.</w:t>
      </w:r>
    </w:p>
    <w:p w14:paraId="0251402F" w14:textId="77777777" w:rsidR="00427D0C" w:rsidRPr="00AE5EAB" w:rsidRDefault="00427D0C" w:rsidP="00427D0C">
      <w:pPr>
        <w:shd w:val="clear" w:color="auto" w:fill="FFFFFF"/>
        <w:ind w:left="567" w:hanging="567"/>
        <w:jc w:val="both"/>
        <w:rPr>
          <w:rFonts w:ascii="Arial" w:hAnsi="Arial" w:cs="Arial"/>
          <w:sz w:val="20"/>
        </w:rPr>
      </w:pPr>
    </w:p>
    <w:p w14:paraId="0217F197" w14:textId="77777777" w:rsidR="00427D0C" w:rsidRPr="00AE5EAB" w:rsidRDefault="00427D0C" w:rsidP="00427D0C">
      <w:pPr>
        <w:numPr>
          <w:ilvl w:val="0"/>
          <w:numId w:val="62"/>
        </w:numPr>
        <w:shd w:val="clear" w:color="auto" w:fill="FFFFFF"/>
        <w:ind w:left="567" w:hanging="567"/>
        <w:contextualSpacing/>
        <w:jc w:val="both"/>
        <w:rPr>
          <w:rFonts w:ascii="Arial" w:hAnsi="Arial" w:cs="Arial"/>
          <w:sz w:val="20"/>
        </w:rPr>
      </w:pPr>
      <w:r w:rsidRPr="00AE5EAB">
        <w:rPr>
          <w:rFonts w:ascii="Arial" w:hAnsi="Arial" w:cs="Arial"/>
          <w:sz w:val="20"/>
        </w:rPr>
        <w:t>La política de gobierno corporativo.</w:t>
      </w:r>
    </w:p>
    <w:p w14:paraId="6B9BEF45" w14:textId="77777777" w:rsidR="00427D0C" w:rsidRPr="00AE5EAB" w:rsidRDefault="00427D0C" w:rsidP="00427D0C">
      <w:pPr>
        <w:shd w:val="clear" w:color="auto" w:fill="FFFFFF"/>
        <w:ind w:left="567" w:hanging="567"/>
        <w:jc w:val="both"/>
        <w:rPr>
          <w:rFonts w:ascii="Arial" w:hAnsi="Arial" w:cs="Arial"/>
          <w:sz w:val="20"/>
        </w:rPr>
      </w:pPr>
    </w:p>
    <w:p w14:paraId="58370A7E" w14:textId="77777777" w:rsidR="00427D0C" w:rsidRPr="00AE5EAB" w:rsidRDefault="00427D0C" w:rsidP="00427D0C">
      <w:pPr>
        <w:numPr>
          <w:ilvl w:val="0"/>
          <w:numId w:val="62"/>
        </w:numPr>
        <w:shd w:val="clear" w:color="auto" w:fill="FFFFFF"/>
        <w:ind w:left="567" w:hanging="567"/>
        <w:contextualSpacing/>
        <w:jc w:val="both"/>
        <w:rPr>
          <w:rFonts w:ascii="Arial" w:hAnsi="Arial" w:cs="Arial"/>
          <w:sz w:val="20"/>
        </w:rPr>
      </w:pPr>
      <w:r w:rsidRPr="00AE5EAB">
        <w:rPr>
          <w:rFonts w:ascii="Arial" w:hAnsi="Arial" w:cs="Arial"/>
          <w:sz w:val="20"/>
        </w:rPr>
        <w:t>La política de responsabilidad social empresaria.</w:t>
      </w:r>
    </w:p>
    <w:p w14:paraId="529A73A4" w14:textId="77777777" w:rsidR="00427D0C" w:rsidRPr="00AE5EAB" w:rsidRDefault="00427D0C" w:rsidP="00427D0C">
      <w:pPr>
        <w:shd w:val="clear" w:color="auto" w:fill="FFFFFF"/>
        <w:ind w:left="567" w:hanging="567"/>
        <w:jc w:val="both"/>
        <w:rPr>
          <w:rFonts w:ascii="Arial" w:hAnsi="Arial" w:cs="Arial"/>
          <w:sz w:val="20"/>
        </w:rPr>
      </w:pPr>
    </w:p>
    <w:p w14:paraId="0A533BB0" w14:textId="77777777" w:rsidR="00427D0C" w:rsidRPr="00AE5EAB" w:rsidRDefault="00427D0C" w:rsidP="00427D0C">
      <w:pPr>
        <w:numPr>
          <w:ilvl w:val="0"/>
          <w:numId w:val="62"/>
        </w:numPr>
        <w:shd w:val="clear" w:color="auto" w:fill="FFFFFF"/>
        <w:ind w:left="567" w:hanging="567"/>
        <w:contextualSpacing/>
        <w:jc w:val="both"/>
        <w:rPr>
          <w:rFonts w:ascii="Arial" w:hAnsi="Arial" w:cs="Arial"/>
          <w:sz w:val="20"/>
        </w:rPr>
      </w:pPr>
      <w:r w:rsidRPr="00AE5EAB">
        <w:rPr>
          <w:rFonts w:ascii="Arial" w:hAnsi="Arial" w:cs="Arial"/>
          <w:sz w:val="20"/>
        </w:rPr>
        <w:t>Las políticas de apetito, control y gestión integral de riesgos y toda otra que tenga por objeto el seguimiento periódico de los sistemas internos de información y control.</w:t>
      </w:r>
    </w:p>
    <w:p w14:paraId="36259200" w14:textId="77777777" w:rsidR="00427D0C" w:rsidRPr="00AE5EAB" w:rsidRDefault="00427D0C" w:rsidP="00427D0C">
      <w:pPr>
        <w:shd w:val="clear" w:color="auto" w:fill="FFFFFF"/>
        <w:ind w:left="567" w:hanging="567"/>
        <w:jc w:val="both"/>
        <w:rPr>
          <w:rFonts w:ascii="Arial" w:hAnsi="Arial" w:cs="Arial"/>
          <w:sz w:val="20"/>
        </w:rPr>
      </w:pPr>
    </w:p>
    <w:p w14:paraId="5A5ED347" w14:textId="77777777" w:rsidR="00427D0C" w:rsidRPr="00AE5EAB" w:rsidRDefault="00427D0C" w:rsidP="00427D0C">
      <w:pPr>
        <w:numPr>
          <w:ilvl w:val="0"/>
          <w:numId w:val="62"/>
        </w:numPr>
        <w:shd w:val="clear" w:color="auto" w:fill="FFFFFF"/>
        <w:ind w:left="567" w:hanging="567"/>
        <w:contextualSpacing/>
        <w:jc w:val="both"/>
        <w:rPr>
          <w:rFonts w:ascii="Arial" w:hAnsi="Arial" w:cs="Arial"/>
          <w:sz w:val="20"/>
        </w:rPr>
      </w:pPr>
      <w:r w:rsidRPr="00AE5EAB">
        <w:rPr>
          <w:rFonts w:ascii="Arial" w:hAnsi="Arial" w:cs="Arial"/>
          <w:sz w:val="20"/>
        </w:rPr>
        <w:t>El desarrollo de programas de entrenamiento contínuo para directores y ejecutivos gerenciales con el fin de mantener actualizados sus conocimientos y capacidades.</w:t>
      </w:r>
    </w:p>
    <w:p w14:paraId="02DC3D5D" w14:textId="77777777" w:rsidR="00427D0C" w:rsidRPr="00AE5EAB" w:rsidRDefault="00427D0C" w:rsidP="00427D0C">
      <w:pPr>
        <w:shd w:val="clear" w:color="auto" w:fill="FFFFFF"/>
        <w:ind w:left="567" w:hanging="567"/>
        <w:jc w:val="both"/>
        <w:rPr>
          <w:rFonts w:ascii="Arial" w:hAnsi="Arial" w:cs="Arial"/>
          <w:sz w:val="20"/>
        </w:rPr>
      </w:pPr>
    </w:p>
    <w:p w14:paraId="562AC1D8" w14:textId="77777777" w:rsidR="00427D0C" w:rsidRPr="00AE5EAB" w:rsidRDefault="00427D0C" w:rsidP="00427D0C">
      <w:pPr>
        <w:numPr>
          <w:ilvl w:val="0"/>
          <w:numId w:val="62"/>
        </w:numPr>
        <w:shd w:val="clear" w:color="auto" w:fill="FFFFFF"/>
        <w:ind w:left="567" w:hanging="567"/>
        <w:contextualSpacing/>
        <w:jc w:val="both"/>
        <w:rPr>
          <w:rFonts w:ascii="Arial" w:hAnsi="Arial" w:cs="Arial"/>
          <w:sz w:val="20"/>
        </w:rPr>
      </w:pPr>
      <w:r w:rsidRPr="00AE5EAB">
        <w:rPr>
          <w:rFonts w:ascii="Arial" w:hAnsi="Arial" w:cs="Arial"/>
          <w:sz w:val="20"/>
        </w:rPr>
        <w:t>Las políticas de incentivos al personal teniendo en cuenta los riesgos asociados en la implementación de dichas políticas.</w:t>
      </w:r>
    </w:p>
    <w:p w14:paraId="415B69FE" w14:textId="77777777" w:rsidR="00427D0C" w:rsidRPr="00AE5EAB" w:rsidRDefault="00427D0C" w:rsidP="00427D0C">
      <w:pPr>
        <w:shd w:val="clear" w:color="auto" w:fill="FFFFFF"/>
        <w:ind w:left="567" w:hanging="567"/>
        <w:jc w:val="both"/>
        <w:rPr>
          <w:rFonts w:ascii="Arial" w:hAnsi="Arial" w:cs="Arial"/>
          <w:sz w:val="20"/>
        </w:rPr>
      </w:pPr>
    </w:p>
    <w:p w14:paraId="6AFDFCAE" w14:textId="77777777" w:rsidR="00427D0C" w:rsidRPr="00AE5EAB" w:rsidRDefault="00427D0C" w:rsidP="00427D0C">
      <w:pPr>
        <w:numPr>
          <w:ilvl w:val="0"/>
          <w:numId w:val="62"/>
        </w:numPr>
        <w:shd w:val="clear" w:color="auto" w:fill="FFFFFF"/>
        <w:ind w:left="567" w:hanging="567"/>
        <w:contextualSpacing/>
        <w:jc w:val="both"/>
        <w:rPr>
          <w:rFonts w:ascii="Arial" w:hAnsi="Arial" w:cs="Arial"/>
          <w:sz w:val="20"/>
        </w:rPr>
      </w:pPr>
      <w:r w:rsidRPr="00AE5EAB">
        <w:rPr>
          <w:rFonts w:ascii="Arial" w:hAnsi="Arial" w:cs="Arial"/>
          <w:sz w:val="20"/>
        </w:rPr>
        <w:t>El plan de sucesión, confección del mapa de talentos, identificación de las áreas de riesgos (puestos y personas) a cubrir y los sucesores más adecuados para cada caso.</w:t>
      </w:r>
    </w:p>
    <w:p w14:paraId="2CD37D06" w14:textId="77777777" w:rsidR="00427D0C" w:rsidRPr="00AE5EAB" w:rsidRDefault="00427D0C" w:rsidP="00427D0C">
      <w:pPr>
        <w:shd w:val="clear" w:color="auto" w:fill="FFFFFF"/>
        <w:autoSpaceDE w:val="0"/>
        <w:autoSpaceDN w:val="0"/>
        <w:adjustRightInd w:val="0"/>
        <w:jc w:val="both"/>
        <w:rPr>
          <w:rFonts w:ascii="Arial" w:hAnsi="Arial" w:cs="Arial"/>
          <w:sz w:val="20"/>
          <w:lang w:eastAsia="es-AR"/>
        </w:rPr>
      </w:pPr>
    </w:p>
    <w:p w14:paraId="4870128A" w14:textId="77777777" w:rsidR="00427D0C" w:rsidRPr="00AE5EAB" w:rsidRDefault="00427D0C" w:rsidP="00427D0C">
      <w:pPr>
        <w:shd w:val="clear" w:color="auto" w:fill="FFFFFF"/>
        <w:autoSpaceDE w:val="0"/>
        <w:autoSpaceDN w:val="0"/>
        <w:adjustRightInd w:val="0"/>
        <w:jc w:val="both"/>
        <w:rPr>
          <w:rFonts w:ascii="Arial" w:hAnsi="Arial" w:cs="Arial"/>
          <w:sz w:val="20"/>
        </w:rPr>
      </w:pPr>
      <w:r w:rsidRPr="00AE5EAB">
        <w:rPr>
          <w:rFonts w:ascii="Arial" w:hAnsi="Arial" w:cs="Arial"/>
          <w:sz w:val="20"/>
        </w:rPr>
        <w:t>Los objetivos estratégicos de la entidad son definidos por el Directorio y aprobados en las reuniones celebradas al efecto. Se trata de objetivos cuyos lineamientos van más allá de la coyuntura y se encuentran recogidos en el documento de apetito de riesgo.</w:t>
      </w:r>
    </w:p>
    <w:p w14:paraId="0E841D4A" w14:textId="77777777" w:rsidR="00427D0C" w:rsidRPr="00AE5EAB" w:rsidRDefault="00427D0C" w:rsidP="00427D0C">
      <w:pPr>
        <w:shd w:val="clear" w:color="auto" w:fill="FFFFFF"/>
        <w:autoSpaceDE w:val="0"/>
        <w:autoSpaceDN w:val="0"/>
        <w:adjustRightInd w:val="0"/>
        <w:jc w:val="both"/>
        <w:rPr>
          <w:rFonts w:ascii="Arial" w:hAnsi="Arial" w:cs="Arial"/>
          <w:sz w:val="20"/>
        </w:rPr>
      </w:pPr>
    </w:p>
    <w:p w14:paraId="7D645B99" w14:textId="77777777" w:rsidR="00427D0C" w:rsidRPr="00AE5EAB" w:rsidRDefault="00427D0C" w:rsidP="00427D0C">
      <w:pPr>
        <w:shd w:val="clear" w:color="auto" w:fill="FFFFFF"/>
        <w:autoSpaceDE w:val="0"/>
        <w:autoSpaceDN w:val="0"/>
        <w:adjustRightInd w:val="0"/>
        <w:jc w:val="both"/>
        <w:rPr>
          <w:rFonts w:ascii="Arial" w:hAnsi="Arial" w:cs="Arial"/>
          <w:sz w:val="20"/>
          <w:lang w:eastAsia="es-AR"/>
        </w:rPr>
      </w:pPr>
      <w:r w:rsidRPr="00AE5EAB">
        <w:rPr>
          <w:rFonts w:ascii="Arial" w:hAnsi="Arial" w:cs="Arial"/>
          <w:sz w:val="20"/>
          <w:lang w:eastAsia="es-AR"/>
        </w:rPr>
        <w:t>Luego de ser aprobados por el Directorio, los objetivos estratégicos son comunicados a nivel de la Alta Gerencia a los efectos de su implementación y seguimiento e informados a todas las gerencias de la Entidad sobre los alcances y metas para comprometer y alinear al personal con los mismos.</w:t>
      </w:r>
    </w:p>
    <w:p w14:paraId="0E1AF3DF" w14:textId="77777777" w:rsidR="00427D0C" w:rsidRPr="00AE5EAB" w:rsidRDefault="00427D0C" w:rsidP="00427D0C">
      <w:pPr>
        <w:shd w:val="clear" w:color="auto" w:fill="FFFFFF"/>
        <w:jc w:val="both"/>
        <w:rPr>
          <w:rFonts w:ascii="Arial" w:hAnsi="Arial" w:cs="Arial"/>
          <w:sz w:val="20"/>
        </w:rPr>
      </w:pPr>
    </w:p>
    <w:p w14:paraId="3B0A6C15" w14:textId="77777777" w:rsidR="00427D0C" w:rsidRPr="00AE5EAB" w:rsidRDefault="00427D0C" w:rsidP="00427D0C">
      <w:pPr>
        <w:shd w:val="clear" w:color="auto" w:fill="FFFFFF"/>
        <w:jc w:val="both"/>
        <w:rPr>
          <w:rFonts w:ascii="Arial" w:hAnsi="Arial" w:cs="Arial"/>
          <w:sz w:val="20"/>
          <w:lang w:val="es-ES"/>
        </w:rPr>
      </w:pPr>
      <w:r w:rsidRPr="00AE5EAB">
        <w:rPr>
          <w:rFonts w:ascii="Arial" w:hAnsi="Arial" w:cs="Arial"/>
          <w:sz w:val="20"/>
        </w:rPr>
        <w:t>Es política de la Entidad llevar adelante un proceso anual de planificación estratégica que incluye el desarrollo de su orientación futura de negocios a nivel global y para cada una de sus líneas de negocio.</w:t>
      </w:r>
    </w:p>
    <w:p w14:paraId="19E132B4" w14:textId="77777777" w:rsidR="00427D0C" w:rsidRPr="00AE5EAB" w:rsidRDefault="00427D0C" w:rsidP="00427D0C">
      <w:pPr>
        <w:shd w:val="clear" w:color="auto" w:fill="FFFFFF"/>
        <w:jc w:val="both"/>
        <w:rPr>
          <w:rFonts w:ascii="Arial" w:hAnsi="Arial" w:cs="Arial"/>
          <w:sz w:val="20"/>
          <w:lang w:val="es-ES"/>
        </w:rPr>
      </w:pPr>
      <w:r w:rsidRPr="00AE5EAB">
        <w:rPr>
          <w:rFonts w:ascii="Arial" w:hAnsi="Arial" w:cs="Arial"/>
          <w:sz w:val="20"/>
          <w:lang w:val="es-ES"/>
        </w:rPr>
        <w:br/>
        <w:t>Este proceso consta de dos fases principales:</w:t>
      </w:r>
    </w:p>
    <w:p w14:paraId="6F62EB65" w14:textId="77777777" w:rsidR="00427D0C" w:rsidRPr="00AE5EAB" w:rsidRDefault="00427D0C" w:rsidP="00427D0C">
      <w:pPr>
        <w:shd w:val="clear" w:color="auto" w:fill="FFFFFF"/>
        <w:jc w:val="both"/>
        <w:rPr>
          <w:rFonts w:ascii="Arial" w:hAnsi="Arial" w:cs="Arial"/>
          <w:sz w:val="20"/>
          <w:lang w:val="es-ES"/>
        </w:rPr>
      </w:pPr>
    </w:p>
    <w:p w14:paraId="40ED70E3" w14:textId="77777777" w:rsidR="00427D0C" w:rsidRPr="00AE5EAB" w:rsidRDefault="00427D0C" w:rsidP="00427D0C">
      <w:pPr>
        <w:numPr>
          <w:ilvl w:val="0"/>
          <w:numId w:val="72"/>
        </w:numPr>
        <w:jc w:val="both"/>
        <w:rPr>
          <w:rFonts w:ascii="Arial" w:hAnsi="Arial" w:cs="Arial"/>
          <w:sz w:val="20"/>
        </w:rPr>
      </w:pPr>
      <w:r w:rsidRPr="00AE5EAB">
        <w:rPr>
          <w:rFonts w:ascii="Arial" w:hAnsi="Arial" w:cs="Arial"/>
          <w:sz w:val="20"/>
        </w:rPr>
        <w:t>La revisión de los niveles de apetito de riesgo y los objetivos estratégicos claves a ser incorporados en el presupuesto y plan de negocios. Ello incluye la estimación de ingresos, gastos y necesidades de capital para las áreas de negocio en los próximos 2 años considerando asimismo las expectativas macroeconómicas y el marco regulatorio. Esta fase comienza con los lineamientos estratégicos que define el Directorio. En base a dichos lineamientos es desarrollada y discutida por la Alta Gerencia y es posteriormente elevada para la aprobación del Directorio.</w:t>
      </w:r>
    </w:p>
    <w:p w14:paraId="70107D38" w14:textId="77777777" w:rsidR="00427D0C" w:rsidRPr="00AE5EAB" w:rsidRDefault="00427D0C" w:rsidP="00427D0C">
      <w:pPr>
        <w:ind w:left="720"/>
        <w:jc w:val="both"/>
        <w:rPr>
          <w:rFonts w:ascii="Arial" w:hAnsi="Arial" w:cs="Arial"/>
          <w:sz w:val="20"/>
        </w:rPr>
      </w:pPr>
    </w:p>
    <w:p w14:paraId="43A0B57F" w14:textId="77777777" w:rsidR="00427D0C" w:rsidRPr="00AE5EAB" w:rsidRDefault="00427D0C" w:rsidP="00427D0C">
      <w:pPr>
        <w:numPr>
          <w:ilvl w:val="0"/>
          <w:numId w:val="72"/>
        </w:numPr>
        <w:jc w:val="both"/>
        <w:rPr>
          <w:rFonts w:ascii="Arial" w:hAnsi="Arial" w:cs="Arial"/>
          <w:sz w:val="20"/>
        </w:rPr>
      </w:pPr>
      <w:r w:rsidRPr="00AE5EAB">
        <w:rPr>
          <w:rFonts w:ascii="Arial" w:hAnsi="Arial" w:cs="Arial"/>
          <w:sz w:val="20"/>
        </w:rPr>
        <w:t>La definición de objetivos específicos del plan de negocios que surge de los lineamientos estratégicos de la fase anterior incluye un presupuesto detallado a nivel mensual para el primer año mientras que para el segundo año posee un nivel de agregación mayor y se realiza por periodos semestrales. El plan de negocios detallado es elaborado con la participación de distintas áreas de la Entidad:</w:t>
      </w:r>
    </w:p>
    <w:p w14:paraId="075F8F33" w14:textId="77777777" w:rsidR="00427D0C" w:rsidRPr="00AE5EAB" w:rsidRDefault="00427D0C" w:rsidP="00427D0C">
      <w:pPr>
        <w:suppressAutoHyphens/>
        <w:spacing w:line="100" w:lineRule="atLeast"/>
        <w:ind w:left="1797"/>
        <w:jc w:val="both"/>
        <w:rPr>
          <w:rFonts w:ascii="Arial" w:hAnsi="Arial" w:cs="Arial"/>
          <w:sz w:val="20"/>
        </w:rPr>
      </w:pPr>
    </w:p>
    <w:p w14:paraId="780544A2" w14:textId="77777777" w:rsidR="00427D0C" w:rsidRPr="00AE5EAB" w:rsidRDefault="00427D0C" w:rsidP="00427D0C">
      <w:pPr>
        <w:numPr>
          <w:ilvl w:val="1"/>
          <w:numId w:val="57"/>
        </w:numPr>
        <w:suppressAutoHyphens/>
        <w:spacing w:line="100" w:lineRule="atLeast"/>
        <w:ind w:left="1797" w:hanging="357"/>
        <w:jc w:val="both"/>
        <w:rPr>
          <w:rFonts w:ascii="Arial" w:hAnsi="Arial" w:cs="Arial"/>
          <w:sz w:val="20"/>
        </w:rPr>
      </w:pPr>
      <w:r w:rsidRPr="00AE5EAB">
        <w:rPr>
          <w:rFonts w:ascii="Arial" w:hAnsi="Arial" w:cs="Arial"/>
          <w:sz w:val="20"/>
        </w:rPr>
        <w:t>Administración y Control de Gestión elabora el plan y su presupuesto siguiendo los lineamientos ya mencionados, las consideraciones regulatorias e interactuando con todas las áreas de negocio y soporte de la Entidad.</w:t>
      </w:r>
    </w:p>
    <w:p w14:paraId="7D26E206" w14:textId="77777777" w:rsidR="00427D0C" w:rsidRPr="00AE5EAB" w:rsidRDefault="00427D0C" w:rsidP="00427D0C">
      <w:pPr>
        <w:suppressAutoHyphens/>
        <w:spacing w:line="100" w:lineRule="atLeast"/>
        <w:ind w:left="1797"/>
        <w:jc w:val="both"/>
        <w:rPr>
          <w:rFonts w:ascii="Arial" w:hAnsi="Arial" w:cs="Arial"/>
          <w:sz w:val="20"/>
        </w:rPr>
      </w:pPr>
    </w:p>
    <w:p w14:paraId="57BA0507" w14:textId="77777777" w:rsidR="00427D0C" w:rsidRPr="00AE5EAB" w:rsidRDefault="00427D0C" w:rsidP="00427D0C">
      <w:pPr>
        <w:numPr>
          <w:ilvl w:val="1"/>
          <w:numId w:val="57"/>
        </w:numPr>
        <w:suppressAutoHyphens/>
        <w:spacing w:line="100" w:lineRule="atLeast"/>
        <w:ind w:left="1797" w:hanging="357"/>
        <w:jc w:val="both"/>
        <w:rPr>
          <w:rFonts w:ascii="Arial" w:hAnsi="Arial" w:cs="Arial"/>
          <w:sz w:val="20"/>
        </w:rPr>
      </w:pPr>
      <w:r w:rsidRPr="00AE5EAB">
        <w:rPr>
          <w:rFonts w:ascii="Arial" w:hAnsi="Arial" w:cs="Arial"/>
          <w:sz w:val="20"/>
        </w:rPr>
        <w:t>Finanzas considera los distintos aspectos que hacen a la planificación financiera.</w:t>
      </w:r>
    </w:p>
    <w:p w14:paraId="165FB955" w14:textId="77777777" w:rsidR="00427D0C" w:rsidRPr="00AE5EAB" w:rsidRDefault="00427D0C" w:rsidP="00427D0C">
      <w:pPr>
        <w:suppressAutoHyphens/>
        <w:spacing w:line="100" w:lineRule="atLeast"/>
        <w:ind w:left="1797"/>
        <w:jc w:val="both"/>
        <w:rPr>
          <w:rFonts w:ascii="Arial" w:hAnsi="Arial" w:cs="Arial"/>
          <w:sz w:val="20"/>
        </w:rPr>
      </w:pPr>
    </w:p>
    <w:p w14:paraId="7155B8E9" w14:textId="77777777" w:rsidR="00427D0C" w:rsidRPr="00AE5EAB" w:rsidRDefault="00427D0C" w:rsidP="00427D0C">
      <w:pPr>
        <w:numPr>
          <w:ilvl w:val="1"/>
          <w:numId w:val="57"/>
        </w:numPr>
        <w:suppressAutoHyphens/>
        <w:spacing w:line="100" w:lineRule="atLeast"/>
        <w:ind w:left="1797" w:hanging="357"/>
        <w:jc w:val="both"/>
        <w:rPr>
          <w:rFonts w:ascii="Arial" w:hAnsi="Arial" w:cs="Arial"/>
          <w:sz w:val="20"/>
        </w:rPr>
      </w:pPr>
      <w:r w:rsidRPr="00AE5EAB">
        <w:rPr>
          <w:rFonts w:ascii="Arial" w:hAnsi="Arial" w:cs="Arial"/>
          <w:sz w:val="20"/>
        </w:rPr>
        <w:t>Riesgos verifica el cumplimiento de los niveles de apetito al riesgo y junto a Finanzas y Administración realiza la evaluación de las proyecciones de suficiencia de capital regulatorio y económico para el escenario previsto en el plan de negocios y también para escenarios de estrés.</w:t>
      </w:r>
    </w:p>
    <w:p w14:paraId="00A3A3FB" w14:textId="77777777" w:rsidR="00427D0C" w:rsidRPr="00AE5EAB" w:rsidRDefault="00427D0C" w:rsidP="00427D0C">
      <w:pPr>
        <w:suppressAutoHyphens/>
        <w:spacing w:line="100" w:lineRule="atLeast"/>
        <w:ind w:left="1797"/>
        <w:jc w:val="both"/>
        <w:rPr>
          <w:rFonts w:ascii="Arial" w:hAnsi="Arial" w:cs="Arial"/>
          <w:sz w:val="20"/>
        </w:rPr>
      </w:pPr>
    </w:p>
    <w:p w14:paraId="20D685DD" w14:textId="77777777" w:rsidR="00427D0C" w:rsidRPr="00AE5EAB" w:rsidRDefault="00427D0C" w:rsidP="00427D0C">
      <w:pPr>
        <w:numPr>
          <w:ilvl w:val="1"/>
          <w:numId w:val="57"/>
        </w:numPr>
        <w:suppressAutoHyphens/>
        <w:spacing w:line="100" w:lineRule="atLeast"/>
        <w:ind w:left="1797" w:hanging="357"/>
        <w:jc w:val="both"/>
        <w:rPr>
          <w:rFonts w:ascii="Arial" w:hAnsi="Arial" w:cs="Arial"/>
          <w:sz w:val="20"/>
        </w:rPr>
      </w:pPr>
      <w:r w:rsidRPr="00AE5EAB">
        <w:rPr>
          <w:rFonts w:ascii="Arial" w:hAnsi="Arial" w:cs="Arial"/>
          <w:sz w:val="20"/>
        </w:rPr>
        <w:t xml:space="preserve">La Gerencia General y todas las Gerencias Corporativas que constituyen la Alta Gerencia hacen la revisión final del presupuesto y plan de negocios, los que son aprobados al igual que en la fase anterior por el Directorio. </w:t>
      </w:r>
    </w:p>
    <w:p w14:paraId="60DA332B" w14:textId="77777777" w:rsidR="00427D0C" w:rsidRPr="00AE5EAB" w:rsidRDefault="00427D0C" w:rsidP="00427D0C">
      <w:pPr>
        <w:ind w:left="1797"/>
        <w:jc w:val="both"/>
        <w:rPr>
          <w:rFonts w:ascii="Arial" w:hAnsi="Arial" w:cs="Arial"/>
          <w:sz w:val="20"/>
        </w:rPr>
      </w:pPr>
    </w:p>
    <w:p w14:paraId="2DE9F3B1" w14:textId="77777777" w:rsidR="00427D0C" w:rsidRPr="00AE5EAB" w:rsidRDefault="00427D0C" w:rsidP="00427D0C">
      <w:pPr>
        <w:shd w:val="clear" w:color="auto" w:fill="FFFFFF"/>
        <w:jc w:val="both"/>
        <w:rPr>
          <w:rFonts w:ascii="Arial" w:hAnsi="Arial" w:cs="Arial"/>
          <w:sz w:val="20"/>
          <w:lang w:val="es-ES"/>
        </w:rPr>
      </w:pPr>
      <w:r w:rsidRPr="00AE5EAB">
        <w:rPr>
          <w:rFonts w:ascii="Arial" w:hAnsi="Arial" w:cs="Arial"/>
          <w:sz w:val="20"/>
          <w:lang w:val="es-ES"/>
        </w:rPr>
        <w:t>Se desprende, por lo tanto, que los objetivos específicos previstos en el plan de negocios y presupuestos se encuentran alineados con la estrategia general de negocios y riesgos de la Dirección.</w:t>
      </w:r>
    </w:p>
    <w:p w14:paraId="0336A139" w14:textId="77777777" w:rsidR="00427D0C" w:rsidRPr="00AE5EAB" w:rsidRDefault="00427D0C" w:rsidP="00427D0C">
      <w:pPr>
        <w:shd w:val="clear" w:color="auto" w:fill="FFFFFF"/>
        <w:ind w:left="1134"/>
        <w:jc w:val="both"/>
        <w:rPr>
          <w:rFonts w:ascii="Arial" w:hAnsi="Arial" w:cs="Arial"/>
          <w:sz w:val="20"/>
          <w:lang w:val="es-ES"/>
        </w:rPr>
      </w:pPr>
    </w:p>
    <w:p w14:paraId="61D3CBF7" w14:textId="77777777" w:rsidR="00427D0C" w:rsidRPr="00AE5EAB" w:rsidRDefault="00427D0C" w:rsidP="00427D0C">
      <w:pPr>
        <w:shd w:val="clear" w:color="auto" w:fill="FFFFFF"/>
        <w:jc w:val="both"/>
        <w:rPr>
          <w:rFonts w:ascii="Arial" w:hAnsi="Arial" w:cs="Arial"/>
          <w:sz w:val="20"/>
          <w:lang w:val="es-ES"/>
        </w:rPr>
      </w:pPr>
      <w:r w:rsidRPr="00AE5EAB">
        <w:rPr>
          <w:rFonts w:ascii="Arial" w:hAnsi="Arial" w:cs="Arial"/>
          <w:sz w:val="20"/>
          <w:lang w:val="es-ES"/>
        </w:rPr>
        <w:t>El proceso descripto es comunicado a los distintos niveles de la organización, con asignación de prioridades, responsabilidades específicas y tiempos de ejecución de los proyectos, que aseguren el logro de los objetivos perseguidos, en forma coordinada y sistemática.</w:t>
      </w:r>
    </w:p>
    <w:p w14:paraId="1544AEC8" w14:textId="77777777" w:rsidR="00427D0C" w:rsidRPr="00AE5EAB" w:rsidRDefault="00427D0C" w:rsidP="00427D0C">
      <w:pPr>
        <w:shd w:val="clear" w:color="auto" w:fill="FFFFFF"/>
        <w:ind w:left="1134"/>
        <w:jc w:val="both"/>
        <w:rPr>
          <w:rFonts w:ascii="Arial" w:hAnsi="Arial" w:cs="Arial"/>
          <w:sz w:val="20"/>
          <w:lang w:val="es-ES"/>
        </w:rPr>
      </w:pPr>
    </w:p>
    <w:p w14:paraId="06F1F64B" w14:textId="77777777" w:rsidR="00427D0C" w:rsidRPr="0018515F" w:rsidRDefault="00427D0C" w:rsidP="00427D0C">
      <w:pPr>
        <w:jc w:val="both"/>
        <w:rPr>
          <w:rFonts w:ascii="Arial" w:hAnsi="Arial" w:cs="Arial"/>
          <w:sz w:val="20"/>
        </w:rPr>
      </w:pPr>
      <w:r w:rsidRPr="0018515F">
        <w:rPr>
          <w:rFonts w:ascii="Arial" w:hAnsi="Arial" w:cs="Arial"/>
          <w:sz w:val="20"/>
        </w:rPr>
        <w:t xml:space="preserve">El Directorio de Banco Supervielle aprobó adherir a la Política de Operaciones con Partes Relacionadas, Contrapartes Conectas y Personas Vinculadas de Grupo Supervielle (sociedad controlante), que regula y establece los foros de análisis y las condiciones de aprobación de operaciones con partes relacionadas, contrapartes conectadas y con personas vinculadas, de conformidad con lo establecido por las normas locales de la Comisión Nacional de Valores y del Banco Central de la República Argentina, en lo que resulte aplicable, y las normas de la </w:t>
      </w:r>
      <w:r w:rsidRPr="0018515F">
        <w:rPr>
          <w:rFonts w:ascii="Arial" w:hAnsi="Arial" w:cs="Arial"/>
          <w:i/>
          <w:sz w:val="20"/>
        </w:rPr>
        <w:t>Securities and Exchange Commission</w:t>
      </w:r>
      <w:r w:rsidRPr="0018515F">
        <w:rPr>
          <w:rFonts w:ascii="Arial" w:hAnsi="Arial" w:cs="Arial"/>
          <w:sz w:val="20"/>
        </w:rPr>
        <w:t xml:space="preserve"> de Estados Unidos.</w:t>
      </w:r>
    </w:p>
    <w:p w14:paraId="0B82413D" w14:textId="77777777" w:rsidR="00427D0C" w:rsidRPr="0018515F" w:rsidRDefault="00427D0C" w:rsidP="00427D0C">
      <w:pPr>
        <w:jc w:val="both"/>
        <w:rPr>
          <w:rFonts w:ascii="Arial" w:hAnsi="Arial" w:cs="Arial"/>
          <w:sz w:val="20"/>
        </w:rPr>
      </w:pPr>
    </w:p>
    <w:p w14:paraId="1F0D7829" w14:textId="77777777" w:rsidR="00427D0C" w:rsidRPr="0018515F" w:rsidRDefault="00427D0C" w:rsidP="00427D0C">
      <w:pPr>
        <w:jc w:val="both"/>
        <w:rPr>
          <w:rFonts w:ascii="Arial" w:hAnsi="Arial" w:cs="Arial"/>
          <w:sz w:val="20"/>
        </w:rPr>
      </w:pPr>
      <w:r w:rsidRPr="0018515F">
        <w:rPr>
          <w:rFonts w:ascii="Arial" w:hAnsi="Arial" w:cs="Arial"/>
          <w:sz w:val="20"/>
        </w:rPr>
        <w:t>La citada Política tiene por propósito velar porque dichas operaciones se celebren con transparencia, equidad e imparcialidad, en términos y condiciones conformes con la normativa aplicable, que se reflejen debidamente en los estados contables y que se realicen bajo buenas prácticas de gobierno corporativo.</w:t>
      </w:r>
    </w:p>
    <w:p w14:paraId="62C77CCE" w14:textId="77777777" w:rsidR="00427D0C" w:rsidRPr="0018515F" w:rsidRDefault="00427D0C" w:rsidP="00427D0C">
      <w:pPr>
        <w:jc w:val="both"/>
        <w:rPr>
          <w:rFonts w:ascii="Arial" w:hAnsi="Arial" w:cs="Arial"/>
          <w:sz w:val="20"/>
        </w:rPr>
      </w:pPr>
    </w:p>
    <w:p w14:paraId="1A0BE8B8" w14:textId="77777777" w:rsidR="00427D0C" w:rsidRPr="0018515F" w:rsidRDefault="00427D0C" w:rsidP="00427D0C">
      <w:pPr>
        <w:pStyle w:val="Default"/>
        <w:jc w:val="both"/>
        <w:rPr>
          <w:sz w:val="20"/>
          <w:szCs w:val="20"/>
        </w:rPr>
      </w:pPr>
      <w:r w:rsidRPr="0018515F">
        <w:rPr>
          <w:sz w:val="20"/>
          <w:szCs w:val="20"/>
        </w:rPr>
        <w:t>Además, Grupo Supervielle cuenta con un Comité de Análisis de Operaciones con Partes Relacionadas, Contrapartes Conectas y Personas Vinculadas, regido por un Reglamento Interno, que cuenta con facultades consultivas y de supervisión para aplicar la respectiva Política para asegurar que estas operaciones sean otorgadas en las condiciones exigidas por la regulación aplicable y en forma transparente.</w:t>
      </w:r>
    </w:p>
    <w:p w14:paraId="55EB9450" w14:textId="77777777" w:rsidR="00427D0C" w:rsidRPr="00AE5EAB" w:rsidRDefault="00427D0C" w:rsidP="00427D0C">
      <w:pPr>
        <w:shd w:val="clear" w:color="auto" w:fill="FFFFFF"/>
        <w:suppressAutoHyphens/>
        <w:spacing w:line="100" w:lineRule="atLeast"/>
        <w:jc w:val="both"/>
        <w:rPr>
          <w:rFonts w:ascii="Arial" w:eastAsia="Calibri" w:hAnsi="Arial" w:cs="Arial"/>
          <w:sz w:val="20"/>
        </w:rPr>
      </w:pPr>
    </w:p>
    <w:p w14:paraId="49A5A71D" w14:textId="77777777" w:rsidR="00427D0C" w:rsidRPr="00AE5EAB" w:rsidRDefault="00427D0C" w:rsidP="00427D0C">
      <w:pPr>
        <w:jc w:val="both"/>
        <w:rPr>
          <w:rFonts w:ascii="Arial" w:hAnsi="Arial" w:cs="Arial"/>
          <w:sz w:val="20"/>
          <w:lang w:val="es-ES"/>
        </w:rPr>
      </w:pPr>
      <w:r w:rsidRPr="00AE5EAB">
        <w:rPr>
          <w:rFonts w:ascii="Arial" w:hAnsi="Arial" w:cs="Arial"/>
          <w:sz w:val="20"/>
          <w:lang w:val="es-ES"/>
        </w:rPr>
        <w:t>Además, en línea con las mejores prácticas en la materia, Banco Supervielle S.A. adhirió, en su condición de sociedad controlada, a las siguientes políticas corporativas de Grupo Supervielle S.A.:</w:t>
      </w:r>
    </w:p>
    <w:p w14:paraId="7308EC82" w14:textId="77777777" w:rsidR="00427D0C" w:rsidRPr="00AE5EAB" w:rsidRDefault="00427D0C" w:rsidP="00427D0C">
      <w:pPr>
        <w:jc w:val="both"/>
        <w:rPr>
          <w:rFonts w:ascii="Arial" w:hAnsi="Arial" w:cs="Arial"/>
          <w:sz w:val="20"/>
          <w:lang w:val="es-ES"/>
        </w:rPr>
      </w:pPr>
    </w:p>
    <w:p w14:paraId="3866236C" w14:textId="77777777" w:rsidR="00427D0C" w:rsidRPr="00AE5EAB" w:rsidRDefault="00427D0C" w:rsidP="00427D0C">
      <w:pPr>
        <w:numPr>
          <w:ilvl w:val="0"/>
          <w:numId w:val="61"/>
        </w:numPr>
        <w:jc w:val="both"/>
        <w:rPr>
          <w:rFonts w:ascii="Arial" w:hAnsi="Arial" w:cs="Arial"/>
          <w:sz w:val="20"/>
          <w:lang w:val="es-ES"/>
        </w:rPr>
      </w:pPr>
      <w:r w:rsidRPr="00AE5EAB">
        <w:rPr>
          <w:rFonts w:ascii="Arial" w:hAnsi="Arial" w:cs="Arial"/>
          <w:sz w:val="20"/>
          <w:lang w:val="es-ES"/>
        </w:rPr>
        <w:t>Política de Compliance</w:t>
      </w:r>
    </w:p>
    <w:p w14:paraId="4169CB2A" w14:textId="77777777" w:rsidR="00427D0C" w:rsidRPr="00AE5EAB" w:rsidRDefault="00427D0C" w:rsidP="00427D0C">
      <w:pPr>
        <w:numPr>
          <w:ilvl w:val="0"/>
          <w:numId w:val="61"/>
        </w:numPr>
        <w:jc w:val="both"/>
        <w:rPr>
          <w:rFonts w:ascii="Arial" w:hAnsi="Arial" w:cs="Arial"/>
          <w:sz w:val="20"/>
          <w:lang w:val="es-ES"/>
        </w:rPr>
      </w:pPr>
      <w:r w:rsidRPr="00AE5EAB">
        <w:rPr>
          <w:rFonts w:ascii="Arial" w:hAnsi="Arial" w:cs="Arial"/>
          <w:sz w:val="20"/>
          <w:lang w:val="es-ES"/>
        </w:rPr>
        <w:t>Política de Comunicación con Inversores, Confidencialidad y Uso de Información Privilegiada</w:t>
      </w:r>
    </w:p>
    <w:p w14:paraId="12A3D770" w14:textId="77777777" w:rsidR="00427D0C" w:rsidRPr="00AE5EAB" w:rsidRDefault="00427D0C" w:rsidP="00427D0C">
      <w:pPr>
        <w:numPr>
          <w:ilvl w:val="0"/>
          <w:numId w:val="61"/>
        </w:numPr>
        <w:jc w:val="both"/>
        <w:rPr>
          <w:rFonts w:ascii="Arial" w:hAnsi="Arial" w:cs="Arial"/>
          <w:sz w:val="20"/>
          <w:lang w:val="es-ES"/>
        </w:rPr>
      </w:pPr>
      <w:r w:rsidRPr="00AE5EAB">
        <w:rPr>
          <w:rFonts w:ascii="Arial" w:hAnsi="Arial" w:cs="Arial"/>
          <w:sz w:val="20"/>
          <w:lang w:val="es-ES"/>
        </w:rPr>
        <w:t xml:space="preserve">Política de Conflicto de Intereses  </w:t>
      </w:r>
    </w:p>
    <w:p w14:paraId="328C9A9C" w14:textId="77777777" w:rsidR="00427D0C" w:rsidRPr="00AE5EAB" w:rsidRDefault="00427D0C" w:rsidP="00427D0C">
      <w:pPr>
        <w:numPr>
          <w:ilvl w:val="0"/>
          <w:numId w:val="61"/>
        </w:numPr>
        <w:jc w:val="both"/>
        <w:rPr>
          <w:rFonts w:ascii="Arial" w:hAnsi="Arial" w:cs="Arial"/>
          <w:sz w:val="20"/>
          <w:lang w:val="es-ES"/>
        </w:rPr>
      </w:pPr>
      <w:r w:rsidRPr="00AE5EAB">
        <w:rPr>
          <w:rFonts w:ascii="Arial" w:hAnsi="Arial" w:cs="Arial"/>
          <w:sz w:val="20"/>
          <w:lang w:val="es-ES"/>
        </w:rPr>
        <w:t>Política de Regalos y Viajes Comerciales de Clientes</w:t>
      </w:r>
    </w:p>
    <w:p w14:paraId="571431FB" w14:textId="77777777" w:rsidR="00427D0C" w:rsidRPr="00AE5EAB" w:rsidRDefault="00427D0C" w:rsidP="00427D0C">
      <w:pPr>
        <w:numPr>
          <w:ilvl w:val="0"/>
          <w:numId w:val="61"/>
        </w:numPr>
        <w:jc w:val="both"/>
        <w:rPr>
          <w:rFonts w:ascii="Arial" w:hAnsi="Arial" w:cs="Arial"/>
          <w:sz w:val="20"/>
          <w:lang w:val="es-ES"/>
        </w:rPr>
      </w:pPr>
      <w:r w:rsidRPr="00AE5EAB">
        <w:rPr>
          <w:rFonts w:ascii="Arial" w:hAnsi="Arial" w:cs="Arial"/>
          <w:sz w:val="20"/>
          <w:lang w:val="es-ES"/>
        </w:rPr>
        <w:t>Política de Operaciones con Partes Relacionadas</w:t>
      </w:r>
    </w:p>
    <w:p w14:paraId="3CCE45D2" w14:textId="77777777" w:rsidR="00427D0C" w:rsidRPr="00AE5EAB" w:rsidRDefault="00427D0C" w:rsidP="00427D0C">
      <w:pPr>
        <w:numPr>
          <w:ilvl w:val="0"/>
          <w:numId w:val="61"/>
        </w:numPr>
        <w:jc w:val="both"/>
        <w:rPr>
          <w:rFonts w:ascii="Arial" w:hAnsi="Arial" w:cs="Arial"/>
          <w:sz w:val="20"/>
          <w:lang w:val="es-ES"/>
        </w:rPr>
      </w:pPr>
      <w:r w:rsidRPr="00AE5EAB">
        <w:rPr>
          <w:rFonts w:ascii="Arial" w:hAnsi="Arial" w:cs="Arial"/>
          <w:sz w:val="20"/>
          <w:lang w:val="es-ES"/>
        </w:rPr>
        <w:t>Política de Privacidad y Protección de Datos Personales</w:t>
      </w:r>
    </w:p>
    <w:p w14:paraId="505968BF" w14:textId="77777777" w:rsidR="00427D0C" w:rsidRPr="00AE5EAB" w:rsidRDefault="00427D0C" w:rsidP="00427D0C">
      <w:pPr>
        <w:numPr>
          <w:ilvl w:val="0"/>
          <w:numId w:val="61"/>
        </w:numPr>
        <w:jc w:val="both"/>
        <w:rPr>
          <w:rFonts w:ascii="Arial" w:hAnsi="Arial" w:cs="Arial"/>
          <w:sz w:val="20"/>
          <w:lang w:val="es-ES"/>
        </w:rPr>
      </w:pPr>
      <w:r w:rsidRPr="00AE5EAB">
        <w:rPr>
          <w:rFonts w:ascii="Arial" w:hAnsi="Arial" w:cs="Arial"/>
          <w:sz w:val="20"/>
          <w:lang w:val="es-ES"/>
        </w:rPr>
        <w:t>Política de Seguridad de la Navegación por Internet</w:t>
      </w:r>
    </w:p>
    <w:p w14:paraId="111450F7" w14:textId="77777777" w:rsidR="00427D0C" w:rsidRPr="00AE5EAB" w:rsidRDefault="00427D0C" w:rsidP="00427D0C">
      <w:pPr>
        <w:numPr>
          <w:ilvl w:val="0"/>
          <w:numId w:val="61"/>
        </w:numPr>
        <w:jc w:val="both"/>
        <w:rPr>
          <w:rFonts w:ascii="Arial" w:hAnsi="Arial" w:cs="Arial"/>
          <w:sz w:val="20"/>
          <w:lang w:val="es-ES"/>
        </w:rPr>
      </w:pPr>
      <w:r w:rsidRPr="00AE5EAB">
        <w:rPr>
          <w:rFonts w:ascii="Arial" w:hAnsi="Arial" w:cs="Arial"/>
          <w:sz w:val="20"/>
          <w:lang w:val="es-ES"/>
        </w:rPr>
        <w:t>Política de Seguridad e Higiene.</w:t>
      </w:r>
    </w:p>
    <w:p w14:paraId="5372C495" w14:textId="77777777" w:rsidR="00427D0C" w:rsidRPr="00AE5EAB" w:rsidRDefault="00427D0C" w:rsidP="00427D0C">
      <w:pPr>
        <w:shd w:val="clear" w:color="auto" w:fill="FFFFFF"/>
        <w:ind w:left="720"/>
        <w:jc w:val="both"/>
        <w:rPr>
          <w:rFonts w:ascii="Arial" w:hAnsi="Arial" w:cs="Arial"/>
          <w:b/>
          <w:sz w:val="20"/>
          <w:lang w:val="es-ES"/>
        </w:rPr>
      </w:pPr>
    </w:p>
    <w:p w14:paraId="74EC7273" w14:textId="17F2C3B9" w:rsidR="00427D0C" w:rsidRPr="00427D0C" w:rsidRDefault="00427D0C" w:rsidP="00427D0C">
      <w:pPr>
        <w:pStyle w:val="Prrafodelista"/>
        <w:numPr>
          <w:ilvl w:val="3"/>
          <w:numId w:val="108"/>
        </w:numPr>
        <w:shd w:val="clear" w:color="auto" w:fill="FFFFFF"/>
        <w:suppressAutoHyphens/>
        <w:spacing w:line="100" w:lineRule="atLeast"/>
        <w:jc w:val="both"/>
        <w:rPr>
          <w:rFonts w:ascii="Arial" w:hAnsi="Arial" w:cs="Arial"/>
          <w:b/>
          <w:sz w:val="20"/>
        </w:rPr>
      </w:pPr>
      <w:r w:rsidRPr="00427D0C">
        <w:rPr>
          <w:rFonts w:ascii="Arial" w:hAnsi="Arial" w:cs="Arial"/>
          <w:b/>
          <w:sz w:val="20"/>
          <w:u w:val="single"/>
        </w:rPr>
        <w:t>Alta Gerencia</w:t>
      </w:r>
    </w:p>
    <w:p w14:paraId="2DEF9C51" w14:textId="77777777" w:rsidR="00427D0C" w:rsidRPr="00AE5EAB" w:rsidRDefault="00427D0C" w:rsidP="00427D0C">
      <w:pPr>
        <w:ind w:firstLine="720"/>
        <w:jc w:val="both"/>
        <w:rPr>
          <w:rFonts w:ascii="Arial" w:hAnsi="Arial" w:cs="Arial"/>
          <w:b/>
          <w:sz w:val="20"/>
        </w:rPr>
      </w:pPr>
    </w:p>
    <w:p w14:paraId="5C4C90B0" w14:textId="77777777" w:rsidR="00427D0C" w:rsidRPr="00AE5EAB" w:rsidRDefault="00427D0C" w:rsidP="00427D0C">
      <w:pPr>
        <w:jc w:val="both"/>
        <w:rPr>
          <w:rFonts w:ascii="Arial" w:eastAsia="Calibri" w:hAnsi="Arial" w:cs="Arial"/>
          <w:sz w:val="20"/>
        </w:rPr>
      </w:pPr>
      <w:r w:rsidRPr="00AE5EAB">
        <w:rPr>
          <w:rFonts w:ascii="Arial" w:hAnsi="Arial" w:cs="Arial"/>
          <w:sz w:val="20"/>
        </w:rPr>
        <w:t>L</w:t>
      </w:r>
      <w:r w:rsidRPr="00AE5EAB">
        <w:rPr>
          <w:rFonts w:ascii="Arial" w:eastAsia="Calibri" w:hAnsi="Arial" w:cs="Arial"/>
          <w:sz w:val="20"/>
        </w:rPr>
        <w:t xml:space="preserve">a Alta Gerencia tiene a su cargo la gestión ordinaria de los negocios. Su responsabilidad primaria es la implementación y la ejecución de las políticas y objetivos societarios definidos por el Directorio. Eleva a la aprobación del Directorio los planes de acción estratégicos, las políticas de riesgos y los presupuestos y planes anuales y, una vez aprobados por el Directorio, los ejecuta. </w:t>
      </w:r>
    </w:p>
    <w:p w14:paraId="005791CC" w14:textId="77777777" w:rsidR="00427D0C" w:rsidRPr="00AE5EAB" w:rsidRDefault="00427D0C" w:rsidP="00427D0C">
      <w:pPr>
        <w:ind w:firstLine="720"/>
        <w:jc w:val="both"/>
        <w:rPr>
          <w:rFonts w:ascii="Arial" w:eastAsia="Calibri" w:hAnsi="Arial" w:cs="Arial"/>
          <w:sz w:val="20"/>
        </w:rPr>
      </w:pPr>
    </w:p>
    <w:p w14:paraId="3A80FB21" w14:textId="77777777" w:rsidR="00427D0C" w:rsidRPr="00AE5EAB" w:rsidRDefault="00427D0C" w:rsidP="00427D0C">
      <w:pPr>
        <w:jc w:val="both"/>
        <w:rPr>
          <w:rFonts w:ascii="Arial" w:eastAsia="Calibri" w:hAnsi="Arial" w:cs="Arial"/>
          <w:sz w:val="20"/>
        </w:rPr>
      </w:pPr>
      <w:r w:rsidRPr="00AE5EAB">
        <w:rPr>
          <w:rFonts w:ascii="Arial" w:eastAsia="Calibri" w:hAnsi="Arial" w:cs="Arial"/>
          <w:sz w:val="20"/>
        </w:rPr>
        <w:t>Está conformada por la Gerencia General y las distintas Gerencias Corporativas que le reportan.</w:t>
      </w:r>
    </w:p>
    <w:p w14:paraId="012EE76D" w14:textId="77777777" w:rsidR="00427D0C" w:rsidRPr="00AE5EAB" w:rsidRDefault="00427D0C" w:rsidP="00427D0C">
      <w:pPr>
        <w:ind w:firstLine="720"/>
        <w:jc w:val="both"/>
        <w:rPr>
          <w:rFonts w:ascii="Arial" w:eastAsia="Calibri" w:hAnsi="Arial" w:cs="Arial"/>
          <w:sz w:val="20"/>
        </w:rPr>
      </w:pPr>
    </w:p>
    <w:p w14:paraId="7F70F891" w14:textId="77777777" w:rsidR="00427D0C" w:rsidRPr="00AE5EAB" w:rsidRDefault="00427D0C" w:rsidP="00427D0C">
      <w:pPr>
        <w:jc w:val="both"/>
        <w:rPr>
          <w:rFonts w:ascii="Arial" w:eastAsia="Calibri" w:hAnsi="Arial" w:cs="Arial"/>
          <w:sz w:val="20"/>
        </w:rPr>
      </w:pPr>
      <w:r w:rsidRPr="00AE5EAB">
        <w:rPr>
          <w:rFonts w:ascii="Arial" w:eastAsia="Calibri" w:hAnsi="Arial" w:cs="Arial"/>
          <w:sz w:val="20"/>
        </w:rPr>
        <w:t>Las funciones y responsabilidades de la Alta Gerencia son establecidas por el Directorio a través de la definición de las estrategias corporativas. Sin perjuicio de ello, será función de la Alta Gerencia:</w:t>
      </w:r>
    </w:p>
    <w:p w14:paraId="2BFCC6D1" w14:textId="77777777" w:rsidR="00427D0C" w:rsidRPr="00AE5EAB" w:rsidRDefault="00427D0C" w:rsidP="00427D0C">
      <w:pPr>
        <w:ind w:firstLine="720"/>
        <w:jc w:val="both"/>
        <w:rPr>
          <w:rFonts w:ascii="Arial" w:eastAsia="Calibri" w:hAnsi="Arial" w:cs="Arial"/>
          <w:sz w:val="20"/>
        </w:rPr>
      </w:pPr>
    </w:p>
    <w:p w14:paraId="1B6413C6" w14:textId="77777777" w:rsidR="00427D0C" w:rsidRPr="00AE5EAB" w:rsidRDefault="00427D0C" w:rsidP="00427D0C">
      <w:pPr>
        <w:numPr>
          <w:ilvl w:val="0"/>
          <w:numId w:val="58"/>
        </w:numPr>
        <w:shd w:val="clear" w:color="auto" w:fill="FFFFFF"/>
        <w:suppressAutoHyphens/>
        <w:spacing w:line="100" w:lineRule="atLeast"/>
        <w:jc w:val="both"/>
        <w:rPr>
          <w:rFonts w:ascii="Arial" w:hAnsi="Arial" w:cs="Arial"/>
          <w:sz w:val="20"/>
        </w:rPr>
      </w:pPr>
      <w:r w:rsidRPr="00AE5EAB">
        <w:rPr>
          <w:rFonts w:ascii="Arial" w:hAnsi="Arial" w:cs="Arial"/>
          <w:sz w:val="20"/>
        </w:rPr>
        <w:t>Implementar las estrategias y objetivos establecidos por el Directorio.</w:t>
      </w:r>
    </w:p>
    <w:p w14:paraId="69575038" w14:textId="77777777" w:rsidR="00427D0C" w:rsidRPr="00AE5EAB" w:rsidRDefault="00427D0C" w:rsidP="00427D0C">
      <w:pPr>
        <w:numPr>
          <w:ilvl w:val="0"/>
          <w:numId w:val="58"/>
        </w:numPr>
        <w:shd w:val="clear" w:color="auto" w:fill="FFFFFF"/>
        <w:suppressAutoHyphens/>
        <w:spacing w:line="100" w:lineRule="atLeast"/>
        <w:jc w:val="both"/>
        <w:rPr>
          <w:rFonts w:ascii="Arial" w:hAnsi="Arial" w:cs="Arial"/>
          <w:sz w:val="20"/>
        </w:rPr>
      </w:pPr>
      <w:r w:rsidRPr="00AE5EAB">
        <w:rPr>
          <w:rFonts w:ascii="Arial" w:hAnsi="Arial" w:cs="Arial"/>
          <w:sz w:val="20"/>
        </w:rPr>
        <w:t>Desarrollar los procesos para identificar, evaluar, controlar, monitorear y mitigar los riesgos en que incurre la Entidad.</w:t>
      </w:r>
    </w:p>
    <w:p w14:paraId="55AD6483" w14:textId="77777777" w:rsidR="00427D0C" w:rsidRPr="00AE5EAB" w:rsidRDefault="00427D0C" w:rsidP="00427D0C">
      <w:pPr>
        <w:numPr>
          <w:ilvl w:val="0"/>
          <w:numId w:val="58"/>
        </w:numPr>
        <w:shd w:val="clear" w:color="auto" w:fill="FFFFFF"/>
        <w:suppressAutoHyphens/>
        <w:spacing w:line="100" w:lineRule="atLeast"/>
        <w:jc w:val="both"/>
        <w:rPr>
          <w:rFonts w:ascii="Arial" w:hAnsi="Arial" w:cs="Arial"/>
          <w:sz w:val="20"/>
        </w:rPr>
      </w:pPr>
      <w:r w:rsidRPr="00AE5EAB">
        <w:rPr>
          <w:rFonts w:ascii="Arial" w:hAnsi="Arial" w:cs="Arial"/>
          <w:sz w:val="20"/>
        </w:rPr>
        <w:t>Asignar responsabilidades y vigilar su cumplimiento.</w:t>
      </w:r>
    </w:p>
    <w:p w14:paraId="77F5CC34" w14:textId="77777777" w:rsidR="00427D0C" w:rsidRPr="00AE5EAB" w:rsidRDefault="00427D0C" w:rsidP="00427D0C">
      <w:pPr>
        <w:numPr>
          <w:ilvl w:val="0"/>
          <w:numId w:val="58"/>
        </w:numPr>
        <w:shd w:val="clear" w:color="auto" w:fill="FFFFFF"/>
        <w:suppressAutoHyphens/>
        <w:spacing w:line="100" w:lineRule="atLeast"/>
        <w:jc w:val="both"/>
        <w:rPr>
          <w:rFonts w:ascii="Arial" w:hAnsi="Arial" w:cs="Arial"/>
          <w:sz w:val="20"/>
        </w:rPr>
      </w:pPr>
      <w:r w:rsidRPr="00AE5EAB">
        <w:rPr>
          <w:rFonts w:ascii="Arial" w:hAnsi="Arial" w:cs="Arial"/>
          <w:sz w:val="20"/>
        </w:rPr>
        <w:t>Implementar sistemas apropiados de control interno e informar al Directorio sobre el cumplimiento de los objetivos.</w:t>
      </w:r>
    </w:p>
    <w:p w14:paraId="2BA7E632" w14:textId="77777777" w:rsidR="00427D0C" w:rsidRPr="00AE5EAB" w:rsidRDefault="00427D0C" w:rsidP="00427D0C">
      <w:pPr>
        <w:numPr>
          <w:ilvl w:val="0"/>
          <w:numId w:val="58"/>
        </w:numPr>
        <w:shd w:val="clear" w:color="auto" w:fill="FFFFFF"/>
        <w:suppressAutoHyphens/>
        <w:spacing w:line="100" w:lineRule="atLeast"/>
        <w:jc w:val="both"/>
        <w:rPr>
          <w:rFonts w:ascii="Arial" w:hAnsi="Arial" w:cs="Arial"/>
          <w:sz w:val="20"/>
          <w:lang w:val="es-ES"/>
        </w:rPr>
      </w:pPr>
      <w:r w:rsidRPr="00AE5EAB">
        <w:rPr>
          <w:rFonts w:ascii="Arial" w:hAnsi="Arial" w:cs="Arial"/>
          <w:sz w:val="20"/>
        </w:rPr>
        <w:t xml:space="preserve">Utilizar los informes generados por las auditorías interna y externa a fin de evaluar la gestión. </w:t>
      </w:r>
    </w:p>
    <w:p w14:paraId="6336D704" w14:textId="77777777" w:rsidR="00427D0C" w:rsidRPr="00AE5EAB" w:rsidRDefault="00427D0C" w:rsidP="00427D0C">
      <w:pPr>
        <w:shd w:val="clear" w:color="auto" w:fill="FFFFFF"/>
        <w:jc w:val="both"/>
        <w:rPr>
          <w:rFonts w:ascii="Arial" w:hAnsi="Arial" w:cs="Arial"/>
          <w:sz w:val="20"/>
          <w:lang w:val="es-ES"/>
        </w:rPr>
      </w:pPr>
    </w:p>
    <w:p w14:paraId="49E39FE6" w14:textId="77777777" w:rsidR="00427D0C" w:rsidRPr="00AE5EAB" w:rsidRDefault="00427D0C" w:rsidP="00427D0C">
      <w:pPr>
        <w:shd w:val="clear" w:color="auto" w:fill="FFFFFF"/>
        <w:jc w:val="both"/>
        <w:rPr>
          <w:rFonts w:ascii="Arial" w:hAnsi="Arial" w:cs="Arial"/>
          <w:sz w:val="20"/>
          <w:lang w:val="es-ES"/>
        </w:rPr>
      </w:pPr>
      <w:r w:rsidRPr="00AE5EAB">
        <w:rPr>
          <w:rFonts w:ascii="Arial" w:hAnsi="Arial" w:cs="Arial"/>
          <w:sz w:val="20"/>
          <w:lang w:val="es-ES"/>
        </w:rPr>
        <w:t>Los propósitos y responsabilidades de la Alta Gerencia se describen en el manual de funciones de la entidad y los mismos se complementan con las políticas y procedimientos específicos aplicables a cada una de las áreas correspondientes.</w:t>
      </w:r>
    </w:p>
    <w:p w14:paraId="3C7A2687" w14:textId="77777777" w:rsidR="00427D0C" w:rsidRPr="00AE5EAB" w:rsidRDefault="00427D0C" w:rsidP="00427D0C">
      <w:pPr>
        <w:jc w:val="both"/>
        <w:rPr>
          <w:rFonts w:ascii="Arial" w:hAnsi="Arial" w:cs="Arial"/>
          <w:sz w:val="20"/>
          <w:lang w:val="es-ES"/>
        </w:rPr>
      </w:pPr>
    </w:p>
    <w:p w14:paraId="3524D911" w14:textId="77777777" w:rsidR="00427D0C" w:rsidRPr="00AE5EAB" w:rsidRDefault="00427D0C" w:rsidP="00427D0C">
      <w:pPr>
        <w:pStyle w:val="Prrafodelista"/>
        <w:numPr>
          <w:ilvl w:val="3"/>
          <w:numId w:val="108"/>
        </w:numPr>
        <w:tabs>
          <w:tab w:val="left" w:pos="142"/>
        </w:tabs>
        <w:suppressAutoHyphens/>
        <w:spacing w:line="100" w:lineRule="atLeast"/>
        <w:jc w:val="both"/>
        <w:rPr>
          <w:rFonts w:ascii="Arial" w:hAnsi="Arial" w:cs="Arial"/>
          <w:sz w:val="20"/>
        </w:rPr>
      </w:pPr>
      <w:r w:rsidRPr="00AE5EAB">
        <w:rPr>
          <w:rFonts w:ascii="Arial" w:hAnsi="Arial" w:cs="Arial"/>
          <w:b/>
          <w:sz w:val="20"/>
          <w:u w:val="single"/>
        </w:rPr>
        <w:t>Comités de Directorio</w:t>
      </w:r>
    </w:p>
    <w:p w14:paraId="61A83AB7" w14:textId="77777777" w:rsidR="00427D0C" w:rsidRPr="00AE5EAB" w:rsidRDefault="00427D0C" w:rsidP="00427D0C">
      <w:pPr>
        <w:tabs>
          <w:tab w:val="left" w:pos="142"/>
        </w:tabs>
        <w:jc w:val="both"/>
        <w:rPr>
          <w:rFonts w:ascii="Arial" w:hAnsi="Arial" w:cs="Arial"/>
          <w:sz w:val="20"/>
        </w:rPr>
      </w:pPr>
    </w:p>
    <w:p w14:paraId="0DE15AA5" w14:textId="77777777" w:rsidR="00427D0C" w:rsidRPr="00AE5EAB" w:rsidRDefault="00427D0C" w:rsidP="00427D0C">
      <w:pPr>
        <w:tabs>
          <w:tab w:val="left" w:pos="142"/>
        </w:tabs>
        <w:jc w:val="both"/>
        <w:rPr>
          <w:rFonts w:ascii="Arial" w:hAnsi="Arial" w:cs="Arial"/>
          <w:sz w:val="20"/>
        </w:rPr>
      </w:pPr>
      <w:r w:rsidRPr="00AE5EAB">
        <w:rPr>
          <w:rFonts w:ascii="Arial" w:hAnsi="Arial" w:cs="Arial"/>
          <w:sz w:val="20"/>
        </w:rPr>
        <w:t>El Directorio forma parte de los comités que se detallan a continuación:</w:t>
      </w:r>
    </w:p>
    <w:p w14:paraId="195F2F74" w14:textId="77777777" w:rsidR="00427D0C" w:rsidRPr="00AE5EAB" w:rsidRDefault="00427D0C" w:rsidP="00427D0C">
      <w:pPr>
        <w:tabs>
          <w:tab w:val="left" w:pos="142"/>
        </w:tabs>
        <w:jc w:val="both"/>
        <w:rPr>
          <w:rFonts w:ascii="Arial" w:hAnsi="Arial" w:cs="Arial"/>
          <w:sz w:val="20"/>
        </w:rPr>
      </w:pPr>
    </w:p>
    <w:p w14:paraId="73AC41DD" w14:textId="77777777" w:rsidR="00427D0C" w:rsidRPr="00C83BC3" w:rsidRDefault="00427D0C" w:rsidP="00427D0C">
      <w:pPr>
        <w:jc w:val="both"/>
        <w:rPr>
          <w:rFonts w:ascii="Arial" w:hAnsi="Arial" w:cs="Arial"/>
          <w:iCs/>
          <w:spacing w:val="15"/>
          <w:sz w:val="20"/>
        </w:rPr>
      </w:pPr>
      <w:r w:rsidRPr="00C83BC3">
        <w:rPr>
          <w:rFonts w:ascii="Arial" w:hAnsi="Arial" w:cs="Arial"/>
          <w:iCs/>
          <w:spacing w:val="15"/>
          <w:sz w:val="20"/>
        </w:rPr>
        <w:t xml:space="preserve">Comités del Directorio </w:t>
      </w:r>
    </w:p>
    <w:p w14:paraId="3267BB7D" w14:textId="77777777" w:rsidR="00427D0C" w:rsidRPr="00C83BC3" w:rsidRDefault="00427D0C" w:rsidP="00427D0C">
      <w:pPr>
        <w:jc w:val="both"/>
        <w:rPr>
          <w:rFonts w:ascii="Arial" w:hAnsi="Arial" w:cs="Arial"/>
          <w:sz w:val="20"/>
          <w:lang w:val="es-ES"/>
        </w:rPr>
      </w:pPr>
    </w:p>
    <w:p w14:paraId="50907C28" w14:textId="77777777" w:rsidR="00427D0C" w:rsidRPr="00C83BC3" w:rsidRDefault="00427D0C" w:rsidP="00427D0C">
      <w:pPr>
        <w:jc w:val="both"/>
        <w:rPr>
          <w:rFonts w:ascii="Arial" w:hAnsi="Arial" w:cs="Arial"/>
          <w:i/>
          <w:iCs/>
          <w:spacing w:val="15"/>
          <w:sz w:val="20"/>
        </w:rPr>
      </w:pPr>
      <w:r w:rsidRPr="00C83BC3">
        <w:rPr>
          <w:rFonts w:ascii="Arial" w:hAnsi="Arial" w:cs="Arial"/>
          <w:i/>
          <w:iCs/>
          <w:spacing w:val="15"/>
          <w:sz w:val="20"/>
        </w:rPr>
        <w:t>Comité de Auditoría</w:t>
      </w:r>
    </w:p>
    <w:p w14:paraId="51F7EAE3" w14:textId="77777777" w:rsidR="00427D0C" w:rsidRPr="00C83BC3" w:rsidRDefault="00427D0C" w:rsidP="00427D0C">
      <w:pPr>
        <w:jc w:val="both"/>
        <w:rPr>
          <w:rFonts w:ascii="Arial" w:hAnsi="Arial" w:cs="Arial"/>
          <w:iCs/>
          <w:spacing w:val="15"/>
          <w:sz w:val="20"/>
        </w:rPr>
      </w:pPr>
    </w:p>
    <w:p w14:paraId="2EFAF6EF" w14:textId="77777777" w:rsidR="00427D0C" w:rsidRPr="00C83BC3" w:rsidRDefault="00427D0C" w:rsidP="00427D0C">
      <w:pPr>
        <w:jc w:val="both"/>
        <w:rPr>
          <w:rFonts w:ascii="Arial" w:eastAsia="Calibri" w:hAnsi="Arial" w:cs="Arial"/>
          <w:sz w:val="20"/>
        </w:rPr>
      </w:pPr>
      <w:bookmarkStart w:id="26" w:name="_Hlk29988601"/>
      <w:r w:rsidRPr="00C83BC3">
        <w:rPr>
          <w:rFonts w:ascii="Arial" w:eastAsia="Calibri" w:hAnsi="Arial" w:cs="Arial"/>
          <w:sz w:val="20"/>
        </w:rPr>
        <w:t xml:space="preserve">El Comité de Auditoría se rige por los lineamientos contenidos en las Normas Mínimas sobre Controles Internos de las Entidades Financieras del Banco Central de la República Argentina (texto ordenado por la Comunicación “A” 6552). Tiene el cometido de asistir al Directorio en la supervisión de los estados contables, el control del cumplimiento de las políticas, procesos, procedimientos y normas establecidas para cada una de las áreas de negocios del Banco y evaluar y aprobar las medidas correctivas propuestas por el responsable de cada área auditada bajo la supervisión de la Gerencia General.   </w:t>
      </w:r>
    </w:p>
    <w:p w14:paraId="6CDFFAF3" w14:textId="77777777" w:rsidR="00427D0C" w:rsidRPr="00C83BC3" w:rsidRDefault="00427D0C" w:rsidP="00427D0C">
      <w:pPr>
        <w:jc w:val="both"/>
        <w:rPr>
          <w:rFonts w:ascii="Arial" w:eastAsia="Calibri" w:hAnsi="Arial" w:cs="Arial"/>
          <w:sz w:val="20"/>
        </w:rPr>
      </w:pPr>
    </w:p>
    <w:p w14:paraId="67AB2B18" w14:textId="2B982B8F" w:rsidR="00427D0C" w:rsidRPr="00C83BC3" w:rsidRDefault="00427D0C" w:rsidP="00427D0C">
      <w:pPr>
        <w:jc w:val="both"/>
        <w:rPr>
          <w:rFonts w:ascii="Arial" w:eastAsia="Calibri" w:hAnsi="Arial" w:cs="Arial"/>
          <w:sz w:val="20"/>
        </w:rPr>
      </w:pPr>
      <w:r w:rsidRPr="00C83BC3">
        <w:rPr>
          <w:rFonts w:ascii="Arial" w:eastAsia="Calibri" w:hAnsi="Arial" w:cs="Arial"/>
          <w:sz w:val="20"/>
        </w:rPr>
        <w:t xml:space="preserve">Está constituido por un mínimo de dos </w:t>
      </w:r>
      <w:r w:rsidR="00AE02CB" w:rsidRPr="00C83BC3">
        <w:rPr>
          <w:rFonts w:ascii="Arial" w:eastAsia="Calibri" w:hAnsi="Arial" w:cs="Arial"/>
          <w:sz w:val="20"/>
        </w:rPr>
        <w:t>directores</w:t>
      </w:r>
      <w:r w:rsidRPr="00C83BC3">
        <w:rPr>
          <w:rFonts w:ascii="Arial" w:eastAsia="Calibri" w:hAnsi="Arial" w:cs="Arial"/>
          <w:sz w:val="20"/>
        </w:rPr>
        <w:t xml:space="preserve"> y por el responsable máximo de Auditoría Interna de la entidad. </w:t>
      </w:r>
    </w:p>
    <w:bookmarkEnd w:id="26"/>
    <w:p w14:paraId="2CA12A6F" w14:textId="77777777" w:rsidR="00427D0C" w:rsidRPr="00C83BC3" w:rsidRDefault="00427D0C" w:rsidP="00427D0C">
      <w:pPr>
        <w:jc w:val="both"/>
        <w:rPr>
          <w:rFonts w:ascii="Arial" w:eastAsia="Calibri" w:hAnsi="Arial" w:cs="Arial"/>
          <w:sz w:val="20"/>
        </w:rPr>
      </w:pPr>
    </w:p>
    <w:p w14:paraId="3DE5C1AF" w14:textId="77777777" w:rsidR="00427D0C" w:rsidRPr="00C83BC3" w:rsidRDefault="00427D0C" w:rsidP="00427D0C">
      <w:pPr>
        <w:jc w:val="both"/>
        <w:rPr>
          <w:rFonts w:ascii="Arial" w:hAnsi="Arial" w:cs="Arial"/>
          <w:i/>
          <w:iCs/>
          <w:spacing w:val="15"/>
          <w:sz w:val="20"/>
        </w:rPr>
      </w:pPr>
      <w:r w:rsidRPr="00C83BC3">
        <w:rPr>
          <w:rFonts w:ascii="Arial" w:hAnsi="Arial" w:cs="Arial"/>
          <w:i/>
          <w:iCs/>
          <w:spacing w:val="15"/>
          <w:sz w:val="20"/>
        </w:rPr>
        <w:t>Comité de Prevención de Lavado de Dinero y Financiamiento del Terrorismo</w:t>
      </w:r>
    </w:p>
    <w:p w14:paraId="32443CDA" w14:textId="77777777" w:rsidR="00427D0C" w:rsidRPr="00C83BC3" w:rsidRDefault="00427D0C" w:rsidP="00427D0C">
      <w:pPr>
        <w:jc w:val="both"/>
        <w:rPr>
          <w:rFonts w:ascii="Arial" w:hAnsi="Arial" w:cs="Arial"/>
          <w:b/>
          <w:sz w:val="20"/>
        </w:rPr>
      </w:pPr>
    </w:p>
    <w:p w14:paraId="7EDF4EB5" w14:textId="77777777" w:rsidR="00427D0C" w:rsidRPr="00C83BC3" w:rsidRDefault="00427D0C" w:rsidP="00427D0C">
      <w:pPr>
        <w:jc w:val="both"/>
        <w:rPr>
          <w:rFonts w:ascii="Arial" w:hAnsi="Arial" w:cs="Arial"/>
          <w:sz w:val="20"/>
        </w:rPr>
      </w:pPr>
      <w:bookmarkStart w:id="27" w:name="_Hlk29988781"/>
      <w:r w:rsidRPr="00C83BC3">
        <w:rPr>
          <w:rFonts w:ascii="Arial" w:eastAsia="Calibri" w:hAnsi="Arial" w:cs="Arial"/>
          <w:sz w:val="20"/>
        </w:rPr>
        <w:t xml:space="preserve">El Comité de Prevención de Lavado de Dinero y Financiación del Terrorismo tiene a su cargo, entre otras funciones, </w:t>
      </w:r>
      <w:r w:rsidRPr="00C83BC3">
        <w:rPr>
          <w:rFonts w:ascii="Arial" w:hAnsi="Arial" w:cs="Arial"/>
          <w:sz w:val="20"/>
        </w:rPr>
        <w:t>considerar las estrategias y políticas generales del Banco en materia de prevención del lavado de dinero y de financiación del terrorismo presentadas por la Alta Gerencia y elevarlas con sus recomendaciones al Directorio para su aprobación; y dictar los procedimientos internos necesarios para asegurar el efectivo cumplimiento de las normas legales y políticas vigentes en la materia, promover su implementación y controlar su adecuado cumplimiento.</w:t>
      </w:r>
    </w:p>
    <w:bookmarkEnd w:id="27"/>
    <w:p w14:paraId="57DB7BF3" w14:textId="77777777" w:rsidR="00427D0C" w:rsidRPr="00C83BC3" w:rsidRDefault="00427D0C" w:rsidP="00427D0C">
      <w:pPr>
        <w:jc w:val="both"/>
        <w:rPr>
          <w:rFonts w:ascii="Arial" w:hAnsi="Arial" w:cs="Arial"/>
          <w:sz w:val="20"/>
        </w:rPr>
      </w:pPr>
    </w:p>
    <w:p w14:paraId="1A2EFF68" w14:textId="2A2CD0C6" w:rsidR="00427D0C" w:rsidRPr="00C83BC3" w:rsidRDefault="00427D0C" w:rsidP="00427D0C">
      <w:pPr>
        <w:jc w:val="both"/>
        <w:rPr>
          <w:rFonts w:ascii="Arial" w:eastAsia="Calibri" w:hAnsi="Arial" w:cs="Arial"/>
          <w:sz w:val="20"/>
        </w:rPr>
      </w:pPr>
      <w:r w:rsidRPr="00C83BC3">
        <w:rPr>
          <w:rFonts w:ascii="Arial" w:hAnsi="Arial" w:cs="Arial"/>
          <w:sz w:val="20"/>
        </w:rPr>
        <w:t>Está</w:t>
      </w:r>
      <w:r w:rsidRPr="00C83BC3">
        <w:rPr>
          <w:rFonts w:ascii="Arial" w:eastAsia="Calibri" w:hAnsi="Arial" w:cs="Arial"/>
          <w:sz w:val="20"/>
        </w:rPr>
        <w:t xml:space="preserve"> constituido por al menos dos </w:t>
      </w:r>
      <w:r w:rsidR="00AE02CB" w:rsidRPr="00C83BC3">
        <w:rPr>
          <w:rFonts w:ascii="Arial" w:eastAsia="Calibri" w:hAnsi="Arial" w:cs="Arial"/>
          <w:sz w:val="20"/>
        </w:rPr>
        <w:t>directores</w:t>
      </w:r>
      <w:r w:rsidRPr="00C83BC3">
        <w:rPr>
          <w:rFonts w:ascii="Arial" w:eastAsia="Calibri" w:hAnsi="Arial" w:cs="Arial"/>
          <w:sz w:val="20"/>
        </w:rPr>
        <w:t xml:space="preserve"> (uno de los cuales se desempeña como Oficial de Cumplimiento Corporativo ante la UIF y actúa como Presidente del Comité y otro como Oficial de Cumplimiento Suplente) y el Gerente de la Unidad de Prevención de Lavado de Dinero y Financiación del Terrorismo.</w:t>
      </w:r>
    </w:p>
    <w:p w14:paraId="1809025D" w14:textId="77777777" w:rsidR="00427D0C" w:rsidRPr="00C83BC3" w:rsidRDefault="00427D0C" w:rsidP="00427D0C">
      <w:pPr>
        <w:jc w:val="both"/>
        <w:rPr>
          <w:rFonts w:ascii="Arial" w:hAnsi="Arial" w:cs="Arial"/>
          <w:iCs/>
          <w:spacing w:val="15"/>
          <w:sz w:val="20"/>
        </w:rPr>
      </w:pPr>
    </w:p>
    <w:p w14:paraId="2CAC6B80" w14:textId="77777777" w:rsidR="00427D0C" w:rsidRPr="00C83BC3" w:rsidRDefault="00427D0C" w:rsidP="00427D0C">
      <w:pPr>
        <w:jc w:val="both"/>
        <w:rPr>
          <w:rFonts w:ascii="Arial" w:hAnsi="Arial" w:cs="Arial"/>
          <w:i/>
          <w:iCs/>
          <w:spacing w:val="15"/>
          <w:sz w:val="20"/>
        </w:rPr>
      </w:pPr>
      <w:r w:rsidRPr="00C83BC3">
        <w:rPr>
          <w:rFonts w:ascii="Arial" w:hAnsi="Arial" w:cs="Arial"/>
          <w:i/>
          <w:iCs/>
          <w:spacing w:val="15"/>
          <w:sz w:val="20"/>
        </w:rPr>
        <w:t xml:space="preserve">Comité de Riesgos Integrales </w:t>
      </w:r>
    </w:p>
    <w:p w14:paraId="6DA4CC70" w14:textId="77777777" w:rsidR="00427D0C" w:rsidRPr="00C83BC3" w:rsidRDefault="00427D0C" w:rsidP="00427D0C">
      <w:pPr>
        <w:jc w:val="both"/>
        <w:rPr>
          <w:rFonts w:ascii="Arial" w:hAnsi="Arial" w:cs="Arial"/>
          <w:iCs/>
          <w:spacing w:val="15"/>
          <w:sz w:val="20"/>
        </w:rPr>
      </w:pPr>
    </w:p>
    <w:p w14:paraId="6643D4B4" w14:textId="77777777" w:rsidR="00427D0C" w:rsidRPr="00C83BC3" w:rsidRDefault="00427D0C" w:rsidP="00427D0C">
      <w:pPr>
        <w:jc w:val="both"/>
        <w:rPr>
          <w:rFonts w:ascii="Arial" w:hAnsi="Arial" w:cs="Arial"/>
          <w:sz w:val="20"/>
        </w:rPr>
      </w:pPr>
      <w:bookmarkStart w:id="28" w:name="_Hlk29988808"/>
      <w:r w:rsidRPr="00C83BC3">
        <w:rPr>
          <w:rFonts w:ascii="Arial" w:eastAsia="Calibri" w:hAnsi="Arial" w:cs="Arial"/>
          <w:sz w:val="20"/>
        </w:rPr>
        <w:t>El Comité de Riesgos Integrales tiene, entre otras, la función de dar</w:t>
      </w:r>
      <w:r w:rsidRPr="00C83BC3">
        <w:rPr>
          <w:rFonts w:ascii="Arial" w:hAnsi="Arial" w:cs="Arial"/>
          <w:sz w:val="20"/>
        </w:rPr>
        <w:t xml:space="preserve"> tratamiento institucional a las estrategias y políticas para la gestión de los riesgos de crédito, mercado, riesgos estructurales de balance (tasa de interés y liquidez), riesgos de concentración, riesgos de titulización, riesgos operacionales, de reputación y estratégicos, y todo riesgo que pueda afectar a Banco Supervielle; y elevar para la aprobación del Directorio los documentos de estrategia y políticas referidas a gestión de riesgos. </w:t>
      </w:r>
    </w:p>
    <w:bookmarkEnd w:id="28"/>
    <w:p w14:paraId="5343EC82" w14:textId="77777777" w:rsidR="00427D0C" w:rsidRPr="00C83BC3" w:rsidRDefault="00427D0C" w:rsidP="00427D0C">
      <w:pPr>
        <w:jc w:val="both"/>
        <w:rPr>
          <w:rFonts w:ascii="Arial" w:hAnsi="Arial" w:cs="Arial"/>
          <w:sz w:val="20"/>
        </w:rPr>
      </w:pPr>
    </w:p>
    <w:p w14:paraId="6FD51F60" w14:textId="1451FF71" w:rsidR="00427D0C" w:rsidRPr="00C83BC3" w:rsidRDefault="00427D0C" w:rsidP="00427D0C">
      <w:pPr>
        <w:jc w:val="both"/>
        <w:rPr>
          <w:rFonts w:ascii="Arial" w:eastAsia="Calibri" w:hAnsi="Arial" w:cs="Arial"/>
          <w:sz w:val="20"/>
        </w:rPr>
      </w:pPr>
      <w:r w:rsidRPr="00C83BC3">
        <w:rPr>
          <w:rFonts w:ascii="Arial" w:hAnsi="Arial" w:cs="Arial"/>
          <w:sz w:val="20"/>
        </w:rPr>
        <w:t>Está</w:t>
      </w:r>
      <w:r w:rsidRPr="00C83BC3">
        <w:rPr>
          <w:rFonts w:ascii="Arial" w:eastAsia="Calibri" w:hAnsi="Arial" w:cs="Arial"/>
          <w:sz w:val="20"/>
        </w:rPr>
        <w:t xml:space="preserve"> constituido por al menos dos </w:t>
      </w:r>
      <w:r w:rsidR="00AE02CB" w:rsidRPr="00C83BC3">
        <w:rPr>
          <w:rFonts w:ascii="Arial" w:eastAsia="Calibri" w:hAnsi="Arial" w:cs="Arial"/>
          <w:sz w:val="20"/>
        </w:rPr>
        <w:t>directores</w:t>
      </w:r>
      <w:r w:rsidRPr="00C83BC3">
        <w:rPr>
          <w:rFonts w:ascii="Arial" w:eastAsia="Calibri" w:hAnsi="Arial" w:cs="Arial"/>
          <w:sz w:val="20"/>
        </w:rPr>
        <w:t>, el Gerente General, el Subgerente General, el Gerente Corporativo de Riesgos Integrales, el Gerente Corporativo de Créditos, el Gerente Corporativo de Finanzas, el Gerente Corporativo de Administración y Control de Gestión, el Gerente Ejecutivo de Riesgos Financieros y el Gerente Ejecutivo de Riesgo de Crédito y Stress Test.</w:t>
      </w:r>
    </w:p>
    <w:p w14:paraId="5E219225" w14:textId="77777777" w:rsidR="00427D0C" w:rsidRPr="00C83BC3" w:rsidRDefault="00427D0C" w:rsidP="00427D0C">
      <w:pPr>
        <w:jc w:val="both"/>
        <w:rPr>
          <w:rFonts w:ascii="Arial" w:eastAsia="Calibri" w:hAnsi="Arial" w:cs="Arial"/>
          <w:sz w:val="20"/>
        </w:rPr>
      </w:pPr>
    </w:p>
    <w:p w14:paraId="48F0816A" w14:textId="77777777" w:rsidR="00427D0C" w:rsidRPr="00C83BC3" w:rsidRDefault="00427D0C" w:rsidP="00427D0C">
      <w:pPr>
        <w:jc w:val="both"/>
        <w:rPr>
          <w:rFonts w:ascii="Arial" w:hAnsi="Arial" w:cs="Arial"/>
          <w:i/>
          <w:iCs/>
          <w:spacing w:val="15"/>
          <w:sz w:val="20"/>
        </w:rPr>
      </w:pPr>
      <w:r w:rsidRPr="00C83BC3">
        <w:rPr>
          <w:rFonts w:ascii="Arial" w:hAnsi="Arial" w:cs="Arial"/>
          <w:i/>
          <w:iCs/>
          <w:spacing w:val="15"/>
          <w:sz w:val="20"/>
        </w:rPr>
        <w:t>Comité de Tecnología de la Información</w:t>
      </w:r>
    </w:p>
    <w:p w14:paraId="4DA18F88" w14:textId="77777777" w:rsidR="00427D0C" w:rsidRPr="00C83BC3" w:rsidRDefault="00427D0C" w:rsidP="00427D0C">
      <w:pPr>
        <w:jc w:val="both"/>
        <w:rPr>
          <w:rFonts w:ascii="Arial" w:hAnsi="Arial" w:cs="Arial"/>
          <w:b/>
          <w:iCs/>
          <w:spacing w:val="15"/>
          <w:sz w:val="20"/>
        </w:rPr>
      </w:pPr>
    </w:p>
    <w:p w14:paraId="4A0C2DF2" w14:textId="77777777" w:rsidR="00427D0C" w:rsidRPr="00C83BC3" w:rsidRDefault="00427D0C" w:rsidP="00427D0C">
      <w:pPr>
        <w:jc w:val="both"/>
        <w:rPr>
          <w:rFonts w:ascii="Arial" w:eastAsiaTheme="minorHAnsi" w:hAnsi="Arial" w:cs="Arial"/>
          <w:color w:val="000000"/>
          <w:sz w:val="20"/>
        </w:rPr>
      </w:pPr>
      <w:bookmarkStart w:id="29" w:name="_Hlk29988823"/>
      <w:r w:rsidRPr="00C83BC3">
        <w:rPr>
          <w:rFonts w:ascii="Arial" w:eastAsiaTheme="minorHAnsi" w:hAnsi="Arial" w:cs="Arial"/>
          <w:color w:val="000000"/>
          <w:sz w:val="20"/>
        </w:rPr>
        <w:t>El Comité de Tecnología de la Información tiene el cometido de asistir al Directorio en la evaluación y seguimiento del modelo de Gobierno de TI, el Plan Estratégico de Sistemas, el plan estratégico de seguridad de la información, la aprobación del Plan de Contingencias de Sistemas, el análisis de las políticas de tecnología de la información del Banco en el corto, mediano y largo plazo como así también los sistemas aplicativos y de base y equipamientos más convenientes, y la planificación y coordinación del debido cumplimiento de las políticas y objetivos del área de sistemas de información que establezca el Directorio.</w:t>
      </w:r>
    </w:p>
    <w:bookmarkEnd w:id="29"/>
    <w:p w14:paraId="504B7913" w14:textId="77777777" w:rsidR="00427D0C" w:rsidRPr="00C83BC3" w:rsidRDefault="00427D0C" w:rsidP="00427D0C">
      <w:pPr>
        <w:jc w:val="both"/>
        <w:rPr>
          <w:rFonts w:ascii="Arial" w:hAnsi="Arial" w:cs="Arial"/>
          <w:iCs/>
          <w:spacing w:val="15"/>
          <w:sz w:val="20"/>
        </w:rPr>
      </w:pPr>
    </w:p>
    <w:p w14:paraId="7A70B7C6" w14:textId="77777777" w:rsidR="00427D0C" w:rsidRPr="00C83BC3" w:rsidRDefault="00427D0C" w:rsidP="00427D0C">
      <w:pPr>
        <w:jc w:val="both"/>
        <w:rPr>
          <w:rFonts w:ascii="Arial" w:eastAsia="Calibri" w:hAnsi="Arial" w:cs="Arial"/>
          <w:sz w:val="20"/>
        </w:rPr>
      </w:pPr>
      <w:r w:rsidRPr="00C83BC3">
        <w:rPr>
          <w:rFonts w:ascii="Arial" w:eastAsia="Calibri" w:hAnsi="Arial" w:cs="Arial"/>
          <w:sz w:val="20"/>
        </w:rPr>
        <w:t>El Comité de Tecnología de la Información está compuesto por al menos un director, el Gerente Corporativo de Tecnología de la Información y Operaciones, el Gerente General, el Subgerente General, el Gerente Corporativo de Riesgos Integrales, el Gerente Ejecutivo de Infraestructura Tecnológica, el Gerente Ejecutivo de Desarrollo de Canales e Innovación, el Gerente Ejecutivo de Desarrollo de Sistemas Centrales, el Gerente Ejecutivo de Seguridad de la Información y el Gerente Ejecutivo de Gobierno de Tecnología de la Información.</w:t>
      </w:r>
    </w:p>
    <w:p w14:paraId="51471A05" w14:textId="77777777" w:rsidR="00427D0C" w:rsidRPr="00C83BC3" w:rsidRDefault="00427D0C" w:rsidP="00427D0C">
      <w:pPr>
        <w:jc w:val="both"/>
        <w:rPr>
          <w:rFonts w:ascii="Arial" w:hAnsi="Arial" w:cs="Arial"/>
          <w:sz w:val="20"/>
        </w:rPr>
      </w:pPr>
    </w:p>
    <w:p w14:paraId="2FBE0BA8" w14:textId="77777777" w:rsidR="00427D0C" w:rsidRPr="00C83BC3" w:rsidRDefault="00427D0C" w:rsidP="00427D0C">
      <w:pPr>
        <w:jc w:val="both"/>
        <w:rPr>
          <w:rFonts w:ascii="Arial" w:hAnsi="Arial" w:cs="Arial"/>
          <w:sz w:val="20"/>
        </w:rPr>
      </w:pPr>
      <w:r w:rsidRPr="00C83BC3">
        <w:rPr>
          <w:rFonts w:ascii="Arial" w:hAnsi="Arial" w:cs="Arial"/>
          <w:i/>
          <w:sz w:val="20"/>
        </w:rPr>
        <w:t>Comité Senior de Créditos</w:t>
      </w:r>
    </w:p>
    <w:p w14:paraId="28D1FDB4" w14:textId="77777777" w:rsidR="00427D0C" w:rsidRPr="00C83BC3" w:rsidRDefault="00427D0C" w:rsidP="00427D0C">
      <w:pPr>
        <w:jc w:val="both"/>
        <w:rPr>
          <w:rFonts w:ascii="Arial" w:hAnsi="Arial" w:cs="Arial"/>
          <w:sz w:val="20"/>
        </w:rPr>
      </w:pPr>
    </w:p>
    <w:p w14:paraId="1AFEBBC8" w14:textId="77777777" w:rsidR="00427D0C" w:rsidRPr="00C83BC3" w:rsidRDefault="00427D0C" w:rsidP="00427D0C">
      <w:pPr>
        <w:jc w:val="both"/>
        <w:rPr>
          <w:rFonts w:ascii="Arial" w:eastAsia="Calibri" w:hAnsi="Arial" w:cs="Arial"/>
          <w:sz w:val="20"/>
        </w:rPr>
      </w:pPr>
      <w:r w:rsidRPr="00C83BC3">
        <w:rPr>
          <w:rFonts w:ascii="Arial" w:eastAsia="Calibri" w:hAnsi="Arial" w:cs="Arial"/>
          <w:sz w:val="20"/>
        </w:rPr>
        <w:t>El Comité Senior de Créditos tiene por objeto desarrollar el proceso decisorio del crédito dentro de los marcos normativos externo e interno y de las políticas y facultades que le delegare el Directorio.</w:t>
      </w:r>
    </w:p>
    <w:p w14:paraId="3976B5E2" w14:textId="77777777" w:rsidR="00427D0C" w:rsidRPr="00C83BC3" w:rsidRDefault="00427D0C" w:rsidP="00427D0C">
      <w:pPr>
        <w:jc w:val="both"/>
        <w:rPr>
          <w:rFonts w:ascii="Arial" w:eastAsia="Calibri" w:hAnsi="Arial" w:cs="Arial"/>
          <w:sz w:val="20"/>
        </w:rPr>
      </w:pPr>
    </w:p>
    <w:p w14:paraId="1A2C6ADB" w14:textId="77777777" w:rsidR="00427D0C" w:rsidRPr="00C83BC3" w:rsidRDefault="00427D0C" w:rsidP="00427D0C">
      <w:pPr>
        <w:pStyle w:val="Default"/>
        <w:jc w:val="both"/>
        <w:rPr>
          <w:sz w:val="20"/>
          <w:szCs w:val="20"/>
        </w:rPr>
      </w:pPr>
      <w:r w:rsidRPr="00C83BC3">
        <w:rPr>
          <w:sz w:val="20"/>
          <w:szCs w:val="20"/>
        </w:rPr>
        <w:t>Está compuesto por a</w:t>
      </w:r>
      <w:r w:rsidRPr="00C83BC3">
        <w:rPr>
          <w:rFonts w:eastAsiaTheme="minorHAnsi"/>
          <w:sz w:val="20"/>
          <w:szCs w:val="20"/>
        </w:rPr>
        <w:t>l menos un director, el Gerente General, el Gerente Corporativo de Créditos, el Gerente de Créditos de Empresas Megra y EF y/o el Gerente de Créditos Pymes y/o el Gerente de Créditos Interior, el Gerente Corporativo de Banca Corporativa o el Gerente Corporativo de Finanzas o el Gerente Corporativo de Personas y Negocios.</w:t>
      </w:r>
    </w:p>
    <w:p w14:paraId="350C1F89" w14:textId="77777777" w:rsidR="00427D0C" w:rsidRPr="00C83BC3" w:rsidRDefault="00427D0C" w:rsidP="00427D0C">
      <w:pPr>
        <w:jc w:val="both"/>
        <w:rPr>
          <w:rFonts w:ascii="Arial" w:eastAsia="Calibri" w:hAnsi="Arial" w:cs="Arial"/>
          <w:sz w:val="20"/>
        </w:rPr>
      </w:pPr>
    </w:p>
    <w:p w14:paraId="2D22ABA7" w14:textId="77777777" w:rsidR="00427D0C" w:rsidRPr="00C83BC3" w:rsidRDefault="00427D0C" w:rsidP="00427D0C">
      <w:pPr>
        <w:jc w:val="both"/>
        <w:rPr>
          <w:rFonts w:ascii="Arial" w:hAnsi="Arial" w:cs="Arial"/>
          <w:i/>
          <w:iCs/>
          <w:spacing w:val="15"/>
          <w:sz w:val="20"/>
        </w:rPr>
      </w:pPr>
      <w:bookmarkStart w:id="30" w:name="_Hlk29989327"/>
      <w:r w:rsidRPr="00C83BC3">
        <w:rPr>
          <w:rFonts w:ascii="Arial" w:hAnsi="Arial" w:cs="Arial"/>
          <w:i/>
          <w:iCs/>
          <w:spacing w:val="15"/>
          <w:sz w:val="20"/>
        </w:rPr>
        <w:t>Comité de Remuneraciones y Nominaciones</w:t>
      </w:r>
    </w:p>
    <w:p w14:paraId="261FFA30" w14:textId="77777777" w:rsidR="00427D0C" w:rsidRPr="00C83BC3" w:rsidRDefault="00427D0C" w:rsidP="00427D0C">
      <w:pPr>
        <w:pStyle w:val="bodytext2sgl"/>
        <w:spacing w:after="0"/>
        <w:jc w:val="both"/>
        <w:rPr>
          <w:rFonts w:ascii="Arial" w:hAnsi="Arial" w:cs="Arial"/>
          <w:i/>
          <w:iCs/>
          <w:spacing w:val="15"/>
        </w:rPr>
      </w:pPr>
    </w:p>
    <w:p w14:paraId="33CDD915" w14:textId="77777777" w:rsidR="00427D0C" w:rsidRPr="00C83BC3" w:rsidRDefault="00427D0C" w:rsidP="00427D0C">
      <w:pPr>
        <w:pStyle w:val="Default"/>
        <w:jc w:val="both"/>
        <w:rPr>
          <w:sz w:val="20"/>
          <w:szCs w:val="20"/>
        </w:rPr>
      </w:pPr>
      <w:r w:rsidRPr="00C83BC3">
        <w:rPr>
          <w:sz w:val="20"/>
          <w:szCs w:val="20"/>
        </w:rPr>
        <w:t xml:space="preserve">El Comité de Remuneraciones y Nominaciones es un órgano a nivel Grupo Supervielle, aplicable por adhesión a sus sociedades controladas –incluyendo a Banco Supervielle- que tiene el cometido de asistir al Directorio en materia de: nominación de Directores y miembros de la Alta Gerencia y planes de sucesión; política de remuneraciones para el Directorio, miembros de la Alta Gerencia y personal en general; y políticas de recursos humanos, capacitación y evaluación de desempeño del personal (incluyendo los esquemas de incentivos y de remuneración variable). </w:t>
      </w:r>
    </w:p>
    <w:p w14:paraId="7B0DC5B4" w14:textId="77777777" w:rsidR="00427D0C" w:rsidRPr="00C83BC3" w:rsidRDefault="00427D0C" w:rsidP="00427D0C">
      <w:pPr>
        <w:pStyle w:val="Default"/>
        <w:jc w:val="both"/>
        <w:rPr>
          <w:sz w:val="20"/>
          <w:szCs w:val="20"/>
        </w:rPr>
      </w:pPr>
    </w:p>
    <w:p w14:paraId="5A668ABE" w14:textId="77777777" w:rsidR="00427D0C" w:rsidRPr="00C83BC3" w:rsidRDefault="00427D0C" w:rsidP="00427D0C">
      <w:pPr>
        <w:jc w:val="both"/>
        <w:rPr>
          <w:rFonts w:ascii="Arial" w:eastAsia="Calibri" w:hAnsi="Arial" w:cs="Arial"/>
          <w:sz w:val="20"/>
        </w:rPr>
      </w:pPr>
      <w:r w:rsidRPr="00C83BC3">
        <w:rPr>
          <w:rFonts w:ascii="Arial" w:eastAsia="Calibri" w:hAnsi="Arial" w:cs="Arial"/>
          <w:sz w:val="20"/>
        </w:rPr>
        <w:t>Está integrado por al menos tres Directores de Grupo Supervielle.</w:t>
      </w:r>
    </w:p>
    <w:p w14:paraId="2AE57AB5" w14:textId="77777777" w:rsidR="00427D0C" w:rsidRPr="00C83BC3" w:rsidRDefault="00427D0C" w:rsidP="00427D0C">
      <w:pPr>
        <w:jc w:val="both"/>
        <w:rPr>
          <w:rFonts w:ascii="Arial" w:hAnsi="Arial" w:cs="Arial"/>
          <w:sz w:val="20"/>
        </w:rPr>
      </w:pPr>
    </w:p>
    <w:p w14:paraId="40A149DF" w14:textId="77777777" w:rsidR="00427D0C" w:rsidRPr="00C83BC3" w:rsidRDefault="00427D0C" w:rsidP="00427D0C">
      <w:pPr>
        <w:jc w:val="both"/>
        <w:rPr>
          <w:rFonts w:ascii="Arial" w:hAnsi="Arial" w:cs="Arial"/>
          <w:iCs/>
          <w:spacing w:val="15"/>
          <w:sz w:val="20"/>
        </w:rPr>
      </w:pPr>
      <w:r w:rsidRPr="00C83BC3">
        <w:rPr>
          <w:rFonts w:ascii="Arial" w:hAnsi="Arial" w:cs="Arial"/>
          <w:i/>
          <w:iCs/>
          <w:spacing w:val="15"/>
          <w:sz w:val="20"/>
        </w:rPr>
        <w:t>Comité de Ética, Compliance y Gobierno Corporativo</w:t>
      </w:r>
    </w:p>
    <w:p w14:paraId="069BBADE" w14:textId="77777777" w:rsidR="00427D0C" w:rsidRPr="00C83BC3" w:rsidRDefault="00427D0C" w:rsidP="00427D0C">
      <w:pPr>
        <w:jc w:val="both"/>
        <w:rPr>
          <w:rFonts w:ascii="Arial" w:hAnsi="Arial" w:cs="Arial"/>
          <w:sz w:val="20"/>
        </w:rPr>
      </w:pPr>
    </w:p>
    <w:p w14:paraId="1F5C9BBC" w14:textId="77777777" w:rsidR="00427D0C" w:rsidRPr="00C83BC3" w:rsidRDefault="00427D0C" w:rsidP="00427D0C">
      <w:pPr>
        <w:pStyle w:val="Default"/>
        <w:jc w:val="both"/>
        <w:rPr>
          <w:sz w:val="20"/>
          <w:szCs w:val="20"/>
        </w:rPr>
      </w:pPr>
      <w:r w:rsidRPr="00C83BC3">
        <w:rPr>
          <w:sz w:val="20"/>
          <w:szCs w:val="20"/>
        </w:rPr>
        <w:t xml:space="preserve">El Comité de Ética, Compliance &amp; Gobierno Corporativo es un órgano de Grupo Supervielle S.A., de aplicación para Banco Supervielle S.A. y el resto de sus subsidiarias, </w:t>
      </w:r>
      <w:r w:rsidRPr="00C83BC3">
        <w:rPr>
          <w:rFonts w:eastAsiaTheme="minorHAnsi"/>
          <w:sz w:val="20"/>
          <w:szCs w:val="20"/>
        </w:rPr>
        <w:t>que tiene el cometido de asistir al Directorio en la adopción de las mejores prácticas del buen gobierno corporativo que apunten a maximizar la capacidad de crecimiento de Grupo Supervielle y de sus compañas vinculadas y prevengan de la destrucción de valor. También asiste al Directorio en la supervisión de su programa de ética &amp; compliance en todos sus aspectos.</w:t>
      </w:r>
    </w:p>
    <w:p w14:paraId="3ECF40E8" w14:textId="77777777" w:rsidR="00427D0C" w:rsidRPr="00C83BC3" w:rsidRDefault="00427D0C" w:rsidP="00427D0C">
      <w:pPr>
        <w:pStyle w:val="Prrafodelista"/>
        <w:rPr>
          <w:rFonts w:ascii="Arial" w:hAnsi="Arial" w:cs="Arial"/>
          <w:sz w:val="20"/>
        </w:rPr>
      </w:pPr>
    </w:p>
    <w:p w14:paraId="2FF9D44E" w14:textId="77777777" w:rsidR="00427D0C" w:rsidRPr="00C83BC3" w:rsidRDefault="00427D0C" w:rsidP="00427D0C">
      <w:pPr>
        <w:jc w:val="both"/>
        <w:rPr>
          <w:rFonts w:ascii="Arial" w:eastAsia="Calibri" w:hAnsi="Arial" w:cs="Arial"/>
          <w:sz w:val="20"/>
        </w:rPr>
      </w:pPr>
      <w:r w:rsidRPr="00C83BC3">
        <w:rPr>
          <w:rFonts w:ascii="Arial" w:eastAsia="Calibri" w:hAnsi="Arial" w:cs="Arial"/>
          <w:sz w:val="20"/>
        </w:rPr>
        <w:t xml:space="preserve">Está compuesto por al menos dos directores de Grupo Supervielle, el Gerente Ejecutivo de Compliance de Grupo Supervielle, el Gerente Corporativo de Asuntos Legales, el Gerente Corporativo de Riesgos Integrales, el Gerente Corporativo de Auditoría y el Gerente Ejecutivo de Asuntos Societarios. </w:t>
      </w:r>
    </w:p>
    <w:p w14:paraId="1E528DE1" w14:textId="77777777" w:rsidR="00427D0C" w:rsidRPr="00C83BC3" w:rsidRDefault="00427D0C" w:rsidP="00427D0C">
      <w:pPr>
        <w:jc w:val="both"/>
        <w:rPr>
          <w:rFonts w:ascii="Arial" w:hAnsi="Arial" w:cs="Arial"/>
          <w:sz w:val="20"/>
        </w:rPr>
      </w:pPr>
    </w:p>
    <w:p w14:paraId="438C688C" w14:textId="77777777" w:rsidR="00BA5C58" w:rsidRDefault="00BA5C58">
      <w:pPr>
        <w:rPr>
          <w:rFonts w:ascii="Arial" w:hAnsi="Arial" w:cs="Arial"/>
          <w:i/>
          <w:iCs/>
          <w:spacing w:val="15"/>
          <w:sz w:val="20"/>
        </w:rPr>
      </w:pPr>
      <w:r>
        <w:rPr>
          <w:rFonts w:ascii="Arial" w:hAnsi="Arial" w:cs="Arial"/>
          <w:i/>
          <w:iCs/>
          <w:spacing w:val="15"/>
          <w:sz w:val="20"/>
        </w:rPr>
        <w:br w:type="page"/>
      </w:r>
    </w:p>
    <w:p w14:paraId="6019A689" w14:textId="72806AC1" w:rsidR="00427D0C" w:rsidRPr="00C83BC3" w:rsidRDefault="00427D0C" w:rsidP="00427D0C">
      <w:pPr>
        <w:jc w:val="both"/>
        <w:rPr>
          <w:rFonts w:ascii="Arial" w:hAnsi="Arial" w:cs="Arial"/>
          <w:spacing w:val="15"/>
          <w:sz w:val="20"/>
        </w:rPr>
      </w:pPr>
      <w:r w:rsidRPr="00C83BC3">
        <w:rPr>
          <w:rFonts w:ascii="Arial" w:hAnsi="Arial" w:cs="Arial"/>
          <w:i/>
          <w:iCs/>
          <w:spacing w:val="15"/>
          <w:sz w:val="20"/>
        </w:rPr>
        <w:t>Comité de Divulgación de la Información</w:t>
      </w:r>
    </w:p>
    <w:p w14:paraId="5316BFA4" w14:textId="77777777" w:rsidR="00427D0C" w:rsidRPr="00C83BC3" w:rsidRDefault="00427D0C" w:rsidP="00427D0C">
      <w:pPr>
        <w:jc w:val="both"/>
        <w:rPr>
          <w:rFonts w:ascii="Arial" w:hAnsi="Arial" w:cs="Arial"/>
          <w:sz w:val="20"/>
        </w:rPr>
      </w:pPr>
    </w:p>
    <w:p w14:paraId="2AC2E9AB" w14:textId="77777777" w:rsidR="00427D0C" w:rsidRPr="00C83BC3" w:rsidRDefault="00427D0C" w:rsidP="00427D0C">
      <w:pPr>
        <w:jc w:val="both"/>
        <w:rPr>
          <w:rFonts w:ascii="Arial" w:eastAsia="Calibri" w:hAnsi="Arial" w:cs="Arial"/>
          <w:sz w:val="20"/>
        </w:rPr>
      </w:pPr>
      <w:r w:rsidRPr="00C83BC3">
        <w:rPr>
          <w:rFonts w:ascii="Arial" w:eastAsia="Calibri" w:hAnsi="Arial" w:cs="Arial"/>
          <w:sz w:val="20"/>
        </w:rPr>
        <w:t>El Comité de Divulgación de la Información es un órgano de Grupo Supervielle de aplicación para Banco Supervielle S.A. y el resto de sus subsidiarias, que tiene por objeto asegurar el control de oportunidad, calidad y transparencia de la información relevante de Grupo Supervielle S.A. y sus compañías vinculadas, que deba ser divulgada a los tenedores de los títulos valores de la Sociedad y a los mercados donde coticen dichos títulos valores.</w:t>
      </w:r>
    </w:p>
    <w:p w14:paraId="128B1EF7" w14:textId="77777777" w:rsidR="00427D0C" w:rsidRPr="00C83BC3" w:rsidRDefault="00427D0C" w:rsidP="00427D0C">
      <w:pPr>
        <w:jc w:val="both"/>
        <w:rPr>
          <w:rFonts w:ascii="Arial" w:eastAsia="Calibri" w:hAnsi="Arial" w:cs="Arial"/>
          <w:sz w:val="20"/>
        </w:rPr>
      </w:pPr>
    </w:p>
    <w:p w14:paraId="7E2F9509" w14:textId="77777777" w:rsidR="00427D0C" w:rsidRPr="00C83BC3" w:rsidRDefault="00427D0C" w:rsidP="00427D0C">
      <w:pPr>
        <w:jc w:val="both"/>
        <w:rPr>
          <w:rFonts w:ascii="Arial" w:eastAsia="Calibri" w:hAnsi="Arial" w:cs="Arial"/>
          <w:sz w:val="20"/>
        </w:rPr>
      </w:pPr>
      <w:r w:rsidRPr="00C83BC3">
        <w:rPr>
          <w:rFonts w:ascii="Arial" w:eastAsia="Calibri" w:hAnsi="Arial" w:cs="Arial"/>
          <w:sz w:val="20"/>
        </w:rPr>
        <w:t>Está constituido por al menos tres directores de Grupo Supervielle (entre ellos, el Presidente del Comité de Auditoría), el Gerente General, el Gerente Corporativo de Administración y Control de Gestión, el Gerente de Relaciones con los Inversores, el Gerente Corporativo de Asuntos Legales, el Gerente Corporativo de Auditoría Interna y el Contador de la Sociedad.</w:t>
      </w:r>
    </w:p>
    <w:bookmarkEnd w:id="30"/>
    <w:p w14:paraId="02757A07" w14:textId="77777777" w:rsidR="00427D0C" w:rsidRPr="00AE5EAB" w:rsidRDefault="00427D0C" w:rsidP="00427D0C">
      <w:pPr>
        <w:tabs>
          <w:tab w:val="left" w:pos="142"/>
        </w:tabs>
        <w:jc w:val="both"/>
        <w:rPr>
          <w:rFonts w:ascii="Arial" w:hAnsi="Arial" w:cs="Arial"/>
          <w:b/>
          <w:bCs/>
          <w:sz w:val="20"/>
          <w:lang w:val="es-ES"/>
        </w:rPr>
      </w:pPr>
    </w:p>
    <w:p w14:paraId="6FD7067A" w14:textId="77777777" w:rsidR="00427D0C" w:rsidRPr="00AE5EAB" w:rsidRDefault="00427D0C" w:rsidP="00427D0C">
      <w:pPr>
        <w:pStyle w:val="Prrafodelista"/>
        <w:numPr>
          <w:ilvl w:val="3"/>
          <w:numId w:val="108"/>
        </w:numPr>
        <w:tabs>
          <w:tab w:val="left" w:pos="142"/>
        </w:tabs>
        <w:suppressAutoHyphens/>
        <w:spacing w:line="100" w:lineRule="atLeast"/>
        <w:jc w:val="both"/>
        <w:rPr>
          <w:rFonts w:ascii="Arial" w:hAnsi="Arial" w:cs="Arial"/>
          <w:b/>
          <w:sz w:val="20"/>
        </w:rPr>
      </w:pPr>
      <w:r w:rsidRPr="00AE5EAB">
        <w:rPr>
          <w:rFonts w:ascii="Arial" w:hAnsi="Arial" w:cs="Arial"/>
          <w:b/>
          <w:bCs/>
          <w:sz w:val="20"/>
          <w:u w:val="single"/>
        </w:rPr>
        <w:t>Comités de Gerencia</w:t>
      </w:r>
    </w:p>
    <w:p w14:paraId="27206F69" w14:textId="77777777" w:rsidR="00427D0C" w:rsidRPr="00AE5EAB" w:rsidRDefault="00427D0C" w:rsidP="00427D0C">
      <w:pPr>
        <w:tabs>
          <w:tab w:val="left" w:pos="142"/>
        </w:tabs>
        <w:jc w:val="both"/>
        <w:rPr>
          <w:rFonts w:ascii="Arial" w:hAnsi="Arial" w:cs="Arial"/>
          <w:b/>
          <w:sz w:val="20"/>
        </w:rPr>
      </w:pPr>
    </w:p>
    <w:p w14:paraId="225EC7B8" w14:textId="77777777" w:rsidR="00427D0C" w:rsidRPr="00C83BC3" w:rsidRDefault="00427D0C" w:rsidP="00427D0C">
      <w:pPr>
        <w:jc w:val="both"/>
        <w:rPr>
          <w:rFonts w:ascii="Arial" w:hAnsi="Arial" w:cs="Arial"/>
          <w:i/>
          <w:iCs/>
          <w:spacing w:val="15"/>
          <w:sz w:val="20"/>
        </w:rPr>
      </w:pPr>
      <w:r w:rsidRPr="00C83BC3">
        <w:rPr>
          <w:rFonts w:ascii="Arial" w:hAnsi="Arial" w:cs="Arial"/>
          <w:i/>
          <w:iCs/>
          <w:spacing w:val="15"/>
          <w:sz w:val="20"/>
        </w:rPr>
        <w:t xml:space="preserve">Comité Ejecutivo </w:t>
      </w:r>
    </w:p>
    <w:p w14:paraId="292096A4" w14:textId="77777777" w:rsidR="00427D0C" w:rsidRPr="00C83BC3" w:rsidRDefault="00427D0C" w:rsidP="00427D0C">
      <w:pPr>
        <w:jc w:val="both"/>
        <w:rPr>
          <w:rFonts w:ascii="Arial" w:hAnsi="Arial" w:cs="Arial"/>
          <w:sz w:val="20"/>
          <w:lang w:val="es-ES"/>
        </w:rPr>
      </w:pPr>
    </w:p>
    <w:p w14:paraId="623FDF47" w14:textId="77777777" w:rsidR="00427D0C" w:rsidRPr="00C83BC3" w:rsidRDefault="00427D0C" w:rsidP="00427D0C">
      <w:pPr>
        <w:jc w:val="both"/>
        <w:rPr>
          <w:rFonts w:ascii="Arial" w:eastAsia="Calibri" w:hAnsi="Arial" w:cs="Arial"/>
          <w:sz w:val="20"/>
        </w:rPr>
      </w:pPr>
      <w:r w:rsidRPr="00C83BC3">
        <w:rPr>
          <w:rFonts w:ascii="Arial" w:eastAsia="Calibri" w:hAnsi="Arial" w:cs="Arial"/>
          <w:sz w:val="20"/>
        </w:rPr>
        <w:t>El Directorio podrá autorizar la creación de un Comité Ejecutivo, cuyas responsabilidades, funciones, conformación y forma de funcionamiento deberán ser reguladas por un Reglamento Interno.</w:t>
      </w:r>
    </w:p>
    <w:p w14:paraId="47658E7E" w14:textId="77777777" w:rsidR="00427D0C" w:rsidRPr="00C83BC3" w:rsidRDefault="00427D0C" w:rsidP="00427D0C">
      <w:pPr>
        <w:pStyle w:val="bodytext2sgl"/>
        <w:spacing w:after="0"/>
        <w:jc w:val="both"/>
        <w:rPr>
          <w:rFonts w:ascii="Arial" w:hAnsi="Arial" w:cs="Arial"/>
          <w:i/>
          <w:iCs/>
          <w:spacing w:val="15"/>
        </w:rPr>
      </w:pPr>
    </w:p>
    <w:p w14:paraId="1E18609A" w14:textId="77777777" w:rsidR="00427D0C" w:rsidRPr="00C83BC3" w:rsidRDefault="00427D0C" w:rsidP="00427D0C">
      <w:pPr>
        <w:jc w:val="both"/>
        <w:rPr>
          <w:rFonts w:ascii="Arial" w:hAnsi="Arial" w:cs="Arial"/>
          <w:i/>
          <w:iCs/>
          <w:spacing w:val="15"/>
          <w:sz w:val="20"/>
        </w:rPr>
      </w:pPr>
      <w:r w:rsidRPr="00C83BC3">
        <w:rPr>
          <w:rFonts w:ascii="Arial" w:hAnsi="Arial" w:cs="Arial"/>
          <w:i/>
          <w:iCs/>
          <w:spacing w:val="15"/>
          <w:sz w:val="20"/>
        </w:rPr>
        <w:t>Comité ALCO (Comité de Activos y Pasivos)</w:t>
      </w:r>
    </w:p>
    <w:p w14:paraId="283EABD8" w14:textId="77777777" w:rsidR="00427D0C" w:rsidRPr="00C83BC3" w:rsidRDefault="00427D0C" w:rsidP="00427D0C">
      <w:pPr>
        <w:jc w:val="both"/>
        <w:rPr>
          <w:rFonts w:ascii="Arial" w:hAnsi="Arial" w:cs="Arial"/>
          <w:sz w:val="20"/>
        </w:rPr>
      </w:pPr>
    </w:p>
    <w:p w14:paraId="07534448" w14:textId="77777777" w:rsidR="00427D0C" w:rsidRPr="00C83BC3" w:rsidRDefault="00427D0C" w:rsidP="00427D0C">
      <w:pPr>
        <w:jc w:val="both"/>
        <w:rPr>
          <w:rFonts w:ascii="Arial" w:hAnsi="Arial" w:cs="Arial"/>
          <w:sz w:val="20"/>
        </w:rPr>
      </w:pPr>
      <w:r w:rsidRPr="00C83BC3">
        <w:rPr>
          <w:rFonts w:ascii="Arial" w:eastAsia="Calibri" w:hAnsi="Arial" w:cs="Arial"/>
          <w:sz w:val="20"/>
        </w:rPr>
        <w:t xml:space="preserve">Son sus objetivos y principales funciones, entre otras, </w:t>
      </w:r>
      <w:r w:rsidRPr="00C83BC3">
        <w:rPr>
          <w:rFonts w:ascii="Arial" w:hAnsi="Arial" w:cs="Arial"/>
          <w:sz w:val="20"/>
        </w:rPr>
        <w:t xml:space="preserve">monitorear los riesgos financieros, tales como riesgos de mercado, de liquidez, de tasas, de descalce de plazos, de moneda extranjera, de concentración de pasivos, etc. y elevar propuestas sobre estrategias del manejo de activos y pasivos al Comité de Riesgos Integrales. Además, </w:t>
      </w:r>
      <w:r w:rsidRPr="00C83BC3">
        <w:rPr>
          <w:rFonts w:ascii="Arial" w:eastAsia="MS Mincho" w:hAnsi="Arial" w:cs="Arial"/>
          <w:sz w:val="20"/>
        </w:rPr>
        <w:t>define</w:t>
      </w:r>
      <w:r w:rsidRPr="00C83BC3">
        <w:rPr>
          <w:rFonts w:ascii="Arial" w:hAnsi="Arial" w:cs="Arial"/>
          <w:sz w:val="20"/>
        </w:rPr>
        <w:t xml:space="preserve"> y controla los niveles de tasas y precios de los activos y pasivos y revisa y fija las políticas de cobertura, con el objeto de mitigar el riesgo de mercado y proteger el patrimonio de la entidad. </w:t>
      </w:r>
    </w:p>
    <w:p w14:paraId="206F2439" w14:textId="77777777" w:rsidR="00427D0C" w:rsidRPr="00C83BC3" w:rsidRDefault="00427D0C" w:rsidP="00427D0C">
      <w:pPr>
        <w:pStyle w:val="bodytext2sgl"/>
        <w:spacing w:after="0"/>
        <w:jc w:val="both"/>
        <w:rPr>
          <w:rFonts w:ascii="Arial" w:hAnsi="Arial" w:cs="Arial"/>
          <w:i/>
          <w:iCs/>
          <w:spacing w:val="15"/>
        </w:rPr>
      </w:pPr>
    </w:p>
    <w:p w14:paraId="62CD5CAC" w14:textId="77777777" w:rsidR="00427D0C" w:rsidRPr="00C83BC3" w:rsidRDefault="00427D0C" w:rsidP="00427D0C">
      <w:pPr>
        <w:jc w:val="both"/>
        <w:rPr>
          <w:rFonts w:ascii="Arial" w:hAnsi="Arial" w:cs="Arial"/>
          <w:i/>
          <w:iCs/>
          <w:spacing w:val="15"/>
          <w:sz w:val="20"/>
        </w:rPr>
      </w:pPr>
      <w:r w:rsidRPr="00C83BC3">
        <w:rPr>
          <w:rFonts w:ascii="Arial" w:hAnsi="Arial" w:cs="Arial"/>
          <w:i/>
          <w:iCs/>
          <w:spacing w:val="15"/>
          <w:sz w:val="20"/>
        </w:rPr>
        <w:t>Comité de Administración de Riesgos Operacionales</w:t>
      </w:r>
    </w:p>
    <w:p w14:paraId="7B6914A3" w14:textId="77777777" w:rsidR="00427D0C" w:rsidRPr="00C83BC3" w:rsidRDefault="00427D0C" w:rsidP="00427D0C">
      <w:pPr>
        <w:jc w:val="both"/>
        <w:rPr>
          <w:rFonts w:ascii="Arial" w:hAnsi="Arial" w:cs="Arial"/>
          <w:i/>
          <w:iCs/>
          <w:spacing w:val="15"/>
          <w:sz w:val="20"/>
        </w:rPr>
      </w:pPr>
    </w:p>
    <w:p w14:paraId="3BEE40A7" w14:textId="0949AF79" w:rsidR="00032EC8" w:rsidRPr="00B7281B" w:rsidRDefault="00427D0C" w:rsidP="00427D0C">
      <w:pPr>
        <w:tabs>
          <w:tab w:val="left" w:pos="142"/>
        </w:tabs>
        <w:jc w:val="both"/>
        <w:rPr>
          <w:rFonts w:ascii="Arial" w:hAnsi="Arial" w:cs="Arial"/>
          <w:sz w:val="20"/>
        </w:rPr>
      </w:pPr>
      <w:r w:rsidRPr="00C83BC3">
        <w:rPr>
          <w:rFonts w:ascii="Arial" w:eastAsia="Calibri" w:hAnsi="Arial" w:cs="Arial"/>
          <w:sz w:val="20"/>
        </w:rPr>
        <w:t xml:space="preserve">Sus principales funciones son </w:t>
      </w:r>
      <w:r w:rsidRPr="00C83BC3">
        <w:rPr>
          <w:rFonts w:ascii="Arial" w:hAnsi="Arial" w:cs="Arial"/>
          <w:sz w:val="20"/>
        </w:rPr>
        <w:t>v</w:t>
      </w:r>
      <w:r w:rsidRPr="00C83BC3">
        <w:rPr>
          <w:rFonts w:ascii="Arial" w:hAnsi="Arial" w:cs="Arial"/>
          <w:sz w:val="20"/>
          <w:lang w:val="es-ES_tradnl"/>
        </w:rPr>
        <w:t>elar por el debido cumplimiento de las políticas de riesgo operacional y tecnológico que establezca el Directorio y dar seguimiento a la gestión de los riesgos operacionales y tecnológicos, la detección de posibles desvíos en los procesos de evaluación planificados, la implementación de planes de mitigación, el seguimiento de indicadores de gestión (KRI), formulando para todos los casos las recomendaciones que estime conveniente.</w:t>
      </w:r>
    </w:p>
    <w:p w14:paraId="47CF6B4A" w14:textId="77777777" w:rsidR="00032EC8" w:rsidRPr="00C84814" w:rsidRDefault="00032EC8" w:rsidP="00032EC8">
      <w:pPr>
        <w:tabs>
          <w:tab w:val="left" w:pos="142"/>
        </w:tabs>
        <w:jc w:val="both"/>
        <w:rPr>
          <w:rFonts w:ascii="Arial" w:hAnsi="Arial" w:cs="Arial"/>
          <w:sz w:val="20"/>
        </w:rPr>
      </w:pPr>
    </w:p>
    <w:p w14:paraId="44CFDDA2" w14:textId="77777777" w:rsidR="00BA5C58" w:rsidRDefault="00BA5C58">
      <w:pPr>
        <w:rPr>
          <w:rFonts w:ascii="Arial" w:hAnsi="Arial" w:cs="Arial"/>
          <w:b/>
          <w:sz w:val="20"/>
        </w:rPr>
      </w:pPr>
      <w:r>
        <w:rPr>
          <w:rFonts w:ascii="Arial" w:hAnsi="Arial" w:cs="Arial"/>
          <w:b/>
          <w:sz w:val="20"/>
        </w:rPr>
        <w:br w:type="page"/>
      </w:r>
    </w:p>
    <w:p w14:paraId="7B53D8A3" w14:textId="7C939534" w:rsidR="00032EC8" w:rsidRPr="00C84814" w:rsidRDefault="007B6F7B" w:rsidP="00032EC8">
      <w:pPr>
        <w:tabs>
          <w:tab w:val="left" w:pos="142"/>
        </w:tabs>
        <w:ind w:left="240"/>
        <w:jc w:val="both"/>
        <w:rPr>
          <w:rFonts w:ascii="Arial" w:hAnsi="Arial" w:cs="Arial"/>
          <w:b/>
          <w:sz w:val="20"/>
        </w:rPr>
      </w:pPr>
      <w:r>
        <w:rPr>
          <w:rFonts w:ascii="Arial" w:hAnsi="Arial" w:cs="Arial"/>
          <w:b/>
          <w:sz w:val="20"/>
        </w:rPr>
        <w:t>14</w:t>
      </w:r>
      <w:r w:rsidR="00032EC8">
        <w:rPr>
          <w:rFonts w:ascii="Arial" w:hAnsi="Arial" w:cs="Arial"/>
          <w:b/>
          <w:sz w:val="20"/>
        </w:rPr>
        <w:t>.10.2.</w:t>
      </w:r>
      <w:r w:rsidR="00032EC8" w:rsidRPr="00C84814">
        <w:rPr>
          <w:rFonts w:ascii="Arial" w:hAnsi="Arial" w:cs="Arial"/>
          <w:b/>
          <w:sz w:val="20"/>
        </w:rPr>
        <w:t xml:space="preserve"> Estructura propietaria básica (principales accionistas, y su participación en el capital y derecho a voto)</w:t>
      </w:r>
    </w:p>
    <w:p w14:paraId="5AAACE7D" w14:textId="499DBABA" w:rsidR="00032EC8" w:rsidRPr="00C84814" w:rsidRDefault="00032EC8" w:rsidP="00032EC8">
      <w:pPr>
        <w:tabs>
          <w:tab w:val="left" w:pos="142"/>
        </w:tabs>
        <w:jc w:val="both"/>
        <w:rPr>
          <w:rFonts w:ascii="Arial" w:hAnsi="Arial" w:cs="Arial"/>
          <w:sz w:val="20"/>
        </w:rPr>
      </w:pPr>
    </w:p>
    <w:tbl>
      <w:tblPr>
        <w:tblW w:w="8402" w:type="dxa"/>
        <w:tblInd w:w="75" w:type="dxa"/>
        <w:tblCellMar>
          <w:left w:w="70" w:type="dxa"/>
          <w:right w:w="70" w:type="dxa"/>
        </w:tblCellMar>
        <w:tblLook w:val="04A0" w:firstRow="1" w:lastRow="0" w:firstColumn="1" w:lastColumn="0" w:noHBand="0" w:noVBand="1"/>
      </w:tblPr>
      <w:tblGrid>
        <w:gridCol w:w="1883"/>
        <w:gridCol w:w="1407"/>
        <w:gridCol w:w="1407"/>
        <w:gridCol w:w="1407"/>
        <w:gridCol w:w="1149"/>
        <w:gridCol w:w="1149"/>
      </w:tblGrid>
      <w:tr w:rsidR="00032EC8" w:rsidRPr="00A65AB6" w14:paraId="219911DF" w14:textId="77777777" w:rsidTr="00B57E77">
        <w:trPr>
          <w:trHeight w:val="265"/>
        </w:trPr>
        <w:tc>
          <w:tcPr>
            <w:tcW w:w="188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5C07331" w14:textId="77777777" w:rsidR="00032EC8" w:rsidRPr="00A65AB6" w:rsidRDefault="00032EC8" w:rsidP="007B6F7B">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Accionistas</w:t>
            </w:r>
          </w:p>
        </w:tc>
        <w:tc>
          <w:tcPr>
            <w:tcW w:w="140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D9BAF30" w14:textId="289C7EF5" w:rsidR="002319CA" w:rsidRDefault="00032EC8" w:rsidP="007B6F7B">
            <w:pPr>
              <w:jc w:val="center"/>
              <w:rPr>
                <w:rFonts w:ascii="Arial" w:hAnsi="Arial" w:cs="Arial"/>
                <w:b/>
                <w:bCs/>
                <w:color w:val="000000"/>
                <w:sz w:val="16"/>
                <w:szCs w:val="16"/>
                <w:lang w:val="es-ES" w:eastAsia="es-AR"/>
              </w:rPr>
            </w:pPr>
            <w:r w:rsidRPr="00A65AB6">
              <w:rPr>
                <w:rFonts w:ascii="Arial" w:hAnsi="Arial" w:cs="Arial"/>
                <w:b/>
                <w:bCs/>
                <w:color w:val="000000"/>
                <w:sz w:val="16"/>
                <w:szCs w:val="16"/>
                <w:lang w:val="es-ES" w:eastAsia="es-AR"/>
              </w:rPr>
              <w:t xml:space="preserve">Acciones </w:t>
            </w:r>
            <w:r w:rsidR="002319CA">
              <w:rPr>
                <w:rFonts w:ascii="Arial" w:hAnsi="Arial" w:cs="Arial"/>
                <w:b/>
                <w:bCs/>
                <w:color w:val="000000"/>
                <w:sz w:val="16"/>
                <w:szCs w:val="16"/>
                <w:lang w:val="es-ES" w:eastAsia="es-AR"/>
              </w:rPr>
              <w:t xml:space="preserve"> </w:t>
            </w:r>
          </w:p>
          <w:p w14:paraId="230FFA37" w14:textId="289C7EF5" w:rsidR="00032EC8" w:rsidRPr="00A65AB6" w:rsidRDefault="00032EC8" w:rsidP="007B6F7B">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Clase A</w:t>
            </w:r>
          </w:p>
        </w:tc>
        <w:tc>
          <w:tcPr>
            <w:tcW w:w="1407" w:type="dxa"/>
            <w:tcBorders>
              <w:top w:val="single" w:sz="4" w:space="0" w:color="auto"/>
              <w:left w:val="nil"/>
              <w:bottom w:val="nil"/>
              <w:right w:val="single" w:sz="4" w:space="0" w:color="auto"/>
            </w:tcBorders>
            <w:shd w:val="clear" w:color="000000" w:fill="FFFFFF"/>
            <w:vAlign w:val="center"/>
            <w:hideMark/>
          </w:tcPr>
          <w:p w14:paraId="36FEDA89" w14:textId="77777777" w:rsidR="00032EC8" w:rsidRPr="002319CA" w:rsidRDefault="00032EC8" w:rsidP="007B6F7B">
            <w:pPr>
              <w:jc w:val="center"/>
              <w:rPr>
                <w:rFonts w:ascii="Arial" w:hAnsi="Arial" w:cs="Arial"/>
                <w:b/>
                <w:bCs/>
                <w:color w:val="000000"/>
                <w:sz w:val="16"/>
                <w:szCs w:val="16"/>
                <w:lang w:val="es-ES" w:eastAsia="es-AR"/>
              </w:rPr>
            </w:pPr>
            <w:r w:rsidRPr="00A65AB6">
              <w:rPr>
                <w:rFonts w:ascii="Arial" w:hAnsi="Arial" w:cs="Arial"/>
                <w:b/>
                <w:bCs/>
                <w:color w:val="000000"/>
                <w:sz w:val="16"/>
                <w:szCs w:val="16"/>
                <w:lang w:val="es-ES" w:eastAsia="es-AR"/>
              </w:rPr>
              <w:t xml:space="preserve">Acciones </w:t>
            </w:r>
          </w:p>
        </w:tc>
        <w:tc>
          <w:tcPr>
            <w:tcW w:w="140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A128957" w14:textId="77777777" w:rsidR="00032EC8" w:rsidRPr="00A65AB6" w:rsidRDefault="00032EC8" w:rsidP="007B6F7B">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Total de Acciones</w:t>
            </w:r>
          </w:p>
        </w:tc>
        <w:tc>
          <w:tcPr>
            <w:tcW w:w="11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42BCB0F" w14:textId="77777777" w:rsidR="00032EC8" w:rsidRPr="00A65AB6" w:rsidRDefault="00032EC8" w:rsidP="007B6F7B">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 de Capital</w:t>
            </w:r>
          </w:p>
        </w:tc>
        <w:tc>
          <w:tcPr>
            <w:tcW w:w="11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F19F355" w14:textId="77777777" w:rsidR="00032EC8" w:rsidRPr="00A65AB6" w:rsidRDefault="00032EC8" w:rsidP="007B6F7B">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 de Votos</w:t>
            </w:r>
          </w:p>
        </w:tc>
      </w:tr>
      <w:tr w:rsidR="00032EC8" w:rsidRPr="00A65AB6" w14:paraId="299BE802" w14:textId="77777777" w:rsidTr="00B57E77">
        <w:trPr>
          <w:trHeight w:val="265"/>
        </w:trPr>
        <w:tc>
          <w:tcPr>
            <w:tcW w:w="1883" w:type="dxa"/>
            <w:vMerge/>
            <w:tcBorders>
              <w:top w:val="single" w:sz="4" w:space="0" w:color="auto"/>
              <w:left w:val="single" w:sz="4" w:space="0" w:color="auto"/>
              <w:bottom w:val="single" w:sz="4" w:space="0" w:color="000000"/>
              <w:right w:val="single" w:sz="4" w:space="0" w:color="auto"/>
            </w:tcBorders>
            <w:vAlign w:val="center"/>
            <w:hideMark/>
          </w:tcPr>
          <w:p w14:paraId="084F5395" w14:textId="77777777" w:rsidR="00032EC8" w:rsidRPr="00A65AB6" w:rsidRDefault="00032EC8" w:rsidP="007B6F7B">
            <w:pPr>
              <w:rPr>
                <w:rFonts w:ascii="Arial" w:hAnsi="Arial" w:cs="Arial"/>
                <w:b/>
                <w:bCs/>
                <w:color w:val="000000"/>
                <w:sz w:val="16"/>
                <w:szCs w:val="16"/>
                <w:lang w:eastAsia="es-AR"/>
              </w:rPr>
            </w:pPr>
          </w:p>
        </w:tc>
        <w:tc>
          <w:tcPr>
            <w:tcW w:w="1407" w:type="dxa"/>
            <w:vMerge/>
            <w:tcBorders>
              <w:top w:val="single" w:sz="4" w:space="0" w:color="auto"/>
              <w:left w:val="single" w:sz="4" w:space="0" w:color="auto"/>
              <w:bottom w:val="single" w:sz="4" w:space="0" w:color="000000"/>
              <w:right w:val="single" w:sz="4" w:space="0" w:color="auto"/>
            </w:tcBorders>
            <w:vAlign w:val="center"/>
            <w:hideMark/>
          </w:tcPr>
          <w:p w14:paraId="66463E1D" w14:textId="77777777" w:rsidR="00032EC8" w:rsidRPr="00A65AB6" w:rsidRDefault="00032EC8" w:rsidP="007B6F7B">
            <w:pPr>
              <w:rPr>
                <w:rFonts w:ascii="Arial" w:hAnsi="Arial" w:cs="Arial"/>
                <w:b/>
                <w:bCs/>
                <w:color w:val="000000"/>
                <w:sz w:val="16"/>
                <w:szCs w:val="16"/>
                <w:lang w:eastAsia="es-AR"/>
              </w:rPr>
            </w:pPr>
          </w:p>
        </w:tc>
        <w:tc>
          <w:tcPr>
            <w:tcW w:w="1407" w:type="dxa"/>
            <w:tcBorders>
              <w:top w:val="nil"/>
              <w:left w:val="nil"/>
              <w:bottom w:val="single" w:sz="4" w:space="0" w:color="auto"/>
              <w:right w:val="single" w:sz="4" w:space="0" w:color="auto"/>
            </w:tcBorders>
            <w:shd w:val="clear" w:color="000000" w:fill="FFFFFF"/>
            <w:vAlign w:val="center"/>
            <w:hideMark/>
          </w:tcPr>
          <w:p w14:paraId="2FC9C736" w14:textId="77777777" w:rsidR="00032EC8" w:rsidRPr="002319CA" w:rsidRDefault="00032EC8" w:rsidP="007B6F7B">
            <w:pPr>
              <w:jc w:val="center"/>
              <w:rPr>
                <w:rFonts w:ascii="Arial" w:hAnsi="Arial" w:cs="Arial"/>
                <w:b/>
                <w:bCs/>
                <w:color w:val="000000"/>
                <w:sz w:val="16"/>
                <w:szCs w:val="16"/>
                <w:lang w:val="es-ES" w:eastAsia="es-AR"/>
              </w:rPr>
            </w:pPr>
            <w:r w:rsidRPr="00A65AB6">
              <w:rPr>
                <w:rFonts w:ascii="Arial" w:hAnsi="Arial" w:cs="Arial"/>
                <w:b/>
                <w:bCs/>
                <w:color w:val="000000"/>
                <w:sz w:val="16"/>
                <w:szCs w:val="16"/>
                <w:lang w:val="es-ES" w:eastAsia="es-AR"/>
              </w:rPr>
              <w:t>Clase B</w:t>
            </w:r>
          </w:p>
        </w:tc>
        <w:tc>
          <w:tcPr>
            <w:tcW w:w="1407" w:type="dxa"/>
            <w:vMerge/>
            <w:tcBorders>
              <w:top w:val="single" w:sz="4" w:space="0" w:color="auto"/>
              <w:left w:val="single" w:sz="4" w:space="0" w:color="auto"/>
              <w:bottom w:val="single" w:sz="4" w:space="0" w:color="000000"/>
              <w:right w:val="single" w:sz="4" w:space="0" w:color="auto"/>
            </w:tcBorders>
            <w:vAlign w:val="center"/>
            <w:hideMark/>
          </w:tcPr>
          <w:p w14:paraId="6AEC32F0" w14:textId="77777777" w:rsidR="00032EC8" w:rsidRPr="00A65AB6" w:rsidRDefault="00032EC8" w:rsidP="007B6F7B">
            <w:pPr>
              <w:rPr>
                <w:rFonts w:ascii="Arial" w:hAnsi="Arial" w:cs="Arial"/>
                <w:b/>
                <w:bCs/>
                <w:color w:val="000000"/>
                <w:sz w:val="16"/>
                <w:szCs w:val="16"/>
                <w:lang w:eastAsia="es-AR"/>
              </w:rPr>
            </w:pPr>
          </w:p>
        </w:tc>
        <w:tc>
          <w:tcPr>
            <w:tcW w:w="1149" w:type="dxa"/>
            <w:vMerge/>
            <w:tcBorders>
              <w:top w:val="single" w:sz="4" w:space="0" w:color="auto"/>
              <w:left w:val="single" w:sz="4" w:space="0" w:color="auto"/>
              <w:bottom w:val="single" w:sz="4" w:space="0" w:color="000000"/>
              <w:right w:val="single" w:sz="4" w:space="0" w:color="auto"/>
            </w:tcBorders>
            <w:vAlign w:val="center"/>
            <w:hideMark/>
          </w:tcPr>
          <w:p w14:paraId="026B169B" w14:textId="77777777" w:rsidR="00032EC8" w:rsidRPr="00A65AB6" w:rsidRDefault="00032EC8" w:rsidP="007B6F7B">
            <w:pPr>
              <w:rPr>
                <w:rFonts w:ascii="Arial" w:hAnsi="Arial" w:cs="Arial"/>
                <w:b/>
                <w:bCs/>
                <w:color w:val="000000"/>
                <w:sz w:val="16"/>
                <w:szCs w:val="16"/>
                <w:lang w:eastAsia="es-AR"/>
              </w:rPr>
            </w:pPr>
          </w:p>
        </w:tc>
        <w:tc>
          <w:tcPr>
            <w:tcW w:w="1149" w:type="dxa"/>
            <w:vMerge/>
            <w:tcBorders>
              <w:top w:val="single" w:sz="4" w:space="0" w:color="auto"/>
              <w:left w:val="single" w:sz="4" w:space="0" w:color="auto"/>
              <w:bottom w:val="single" w:sz="4" w:space="0" w:color="000000"/>
              <w:right w:val="single" w:sz="4" w:space="0" w:color="auto"/>
            </w:tcBorders>
            <w:vAlign w:val="center"/>
            <w:hideMark/>
          </w:tcPr>
          <w:p w14:paraId="614EDDB2" w14:textId="77777777" w:rsidR="00032EC8" w:rsidRPr="00A65AB6" w:rsidRDefault="00032EC8" w:rsidP="007B6F7B">
            <w:pPr>
              <w:rPr>
                <w:rFonts w:ascii="Arial" w:hAnsi="Arial" w:cs="Arial"/>
                <w:b/>
                <w:bCs/>
                <w:color w:val="000000"/>
                <w:sz w:val="16"/>
                <w:szCs w:val="16"/>
                <w:lang w:eastAsia="es-AR"/>
              </w:rPr>
            </w:pPr>
          </w:p>
        </w:tc>
      </w:tr>
      <w:tr w:rsidR="00366D49" w:rsidRPr="00A65AB6" w14:paraId="3D295343" w14:textId="77777777" w:rsidTr="00803A5F">
        <w:trPr>
          <w:trHeight w:val="265"/>
        </w:trPr>
        <w:tc>
          <w:tcPr>
            <w:tcW w:w="1883" w:type="dxa"/>
            <w:tcBorders>
              <w:top w:val="nil"/>
              <w:left w:val="single" w:sz="4" w:space="0" w:color="auto"/>
              <w:bottom w:val="nil"/>
              <w:right w:val="single" w:sz="4" w:space="0" w:color="auto"/>
            </w:tcBorders>
            <w:shd w:val="clear" w:color="000000" w:fill="FFFFFF"/>
            <w:vAlign w:val="center"/>
            <w:hideMark/>
          </w:tcPr>
          <w:p w14:paraId="5D20663F" w14:textId="77777777" w:rsidR="00366D49" w:rsidRPr="00A65AB6" w:rsidRDefault="00366D49" w:rsidP="00366D49">
            <w:pPr>
              <w:rPr>
                <w:rFonts w:ascii="Arial" w:hAnsi="Arial" w:cs="Arial"/>
                <w:color w:val="000000"/>
                <w:sz w:val="16"/>
                <w:szCs w:val="16"/>
                <w:lang w:eastAsia="es-AR"/>
              </w:rPr>
            </w:pPr>
            <w:r w:rsidRPr="00A65AB6">
              <w:rPr>
                <w:rFonts w:ascii="Arial" w:hAnsi="Arial" w:cs="Arial"/>
                <w:color w:val="000000"/>
                <w:sz w:val="16"/>
                <w:szCs w:val="16"/>
                <w:lang w:val="es-ES" w:eastAsia="es-AR"/>
              </w:rPr>
              <w:t>Grupo Supervielle S.A.</w:t>
            </w:r>
          </w:p>
        </w:tc>
        <w:tc>
          <w:tcPr>
            <w:tcW w:w="1407" w:type="dxa"/>
            <w:tcBorders>
              <w:top w:val="nil"/>
              <w:left w:val="nil"/>
              <w:bottom w:val="nil"/>
              <w:right w:val="single" w:sz="4" w:space="0" w:color="auto"/>
            </w:tcBorders>
            <w:shd w:val="clear" w:color="000000" w:fill="FFFFFF"/>
            <w:hideMark/>
          </w:tcPr>
          <w:p w14:paraId="3EFF70B4" w14:textId="5491DD58"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830.698</w:t>
            </w:r>
          </w:p>
        </w:tc>
        <w:tc>
          <w:tcPr>
            <w:tcW w:w="1407" w:type="dxa"/>
            <w:tcBorders>
              <w:top w:val="nil"/>
              <w:left w:val="nil"/>
              <w:bottom w:val="nil"/>
              <w:right w:val="single" w:sz="4" w:space="0" w:color="auto"/>
            </w:tcBorders>
            <w:shd w:val="clear" w:color="000000" w:fill="FFFFFF"/>
            <w:hideMark/>
          </w:tcPr>
          <w:p w14:paraId="68937FDB" w14:textId="4B1C7B91"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804.702.309</w:t>
            </w:r>
          </w:p>
        </w:tc>
        <w:tc>
          <w:tcPr>
            <w:tcW w:w="1407" w:type="dxa"/>
            <w:tcBorders>
              <w:top w:val="nil"/>
              <w:left w:val="nil"/>
              <w:bottom w:val="nil"/>
              <w:right w:val="single" w:sz="4" w:space="0" w:color="auto"/>
            </w:tcBorders>
            <w:shd w:val="clear" w:color="000000" w:fill="FFFFFF"/>
            <w:hideMark/>
          </w:tcPr>
          <w:p w14:paraId="7D9CE5EC" w14:textId="613249D3"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805.533.007</w:t>
            </w:r>
          </w:p>
        </w:tc>
        <w:tc>
          <w:tcPr>
            <w:tcW w:w="1149" w:type="dxa"/>
            <w:tcBorders>
              <w:top w:val="nil"/>
              <w:left w:val="nil"/>
              <w:bottom w:val="nil"/>
              <w:right w:val="single" w:sz="4" w:space="0" w:color="auto"/>
            </w:tcBorders>
            <w:shd w:val="clear" w:color="000000" w:fill="FFFFFF"/>
            <w:hideMark/>
          </w:tcPr>
          <w:p w14:paraId="072D881F" w14:textId="7FD8AA01"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97,10%</w:t>
            </w:r>
          </w:p>
        </w:tc>
        <w:tc>
          <w:tcPr>
            <w:tcW w:w="1149" w:type="dxa"/>
            <w:tcBorders>
              <w:top w:val="nil"/>
              <w:left w:val="nil"/>
              <w:bottom w:val="nil"/>
              <w:right w:val="single" w:sz="4" w:space="0" w:color="auto"/>
            </w:tcBorders>
            <w:shd w:val="clear" w:color="000000" w:fill="FFFFFF"/>
            <w:hideMark/>
          </w:tcPr>
          <w:p w14:paraId="78CBCAA0" w14:textId="0FB6CE38"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97,07%</w:t>
            </w:r>
          </w:p>
        </w:tc>
      </w:tr>
      <w:tr w:rsidR="00366D49" w:rsidRPr="00A65AB6" w14:paraId="48D51FA6" w14:textId="77777777" w:rsidTr="00803A5F">
        <w:trPr>
          <w:trHeight w:val="265"/>
        </w:trPr>
        <w:tc>
          <w:tcPr>
            <w:tcW w:w="1883" w:type="dxa"/>
            <w:tcBorders>
              <w:top w:val="nil"/>
              <w:left w:val="single" w:sz="4" w:space="0" w:color="auto"/>
              <w:bottom w:val="nil"/>
              <w:right w:val="single" w:sz="4" w:space="0" w:color="auto"/>
            </w:tcBorders>
            <w:shd w:val="clear" w:color="000000" w:fill="FFFFFF"/>
            <w:vAlign w:val="center"/>
            <w:hideMark/>
          </w:tcPr>
          <w:p w14:paraId="756C03FC" w14:textId="77777777" w:rsidR="00366D49" w:rsidRPr="00A65AB6" w:rsidRDefault="00366D49" w:rsidP="00366D49">
            <w:pPr>
              <w:rPr>
                <w:rFonts w:ascii="Arial" w:hAnsi="Arial" w:cs="Arial"/>
                <w:color w:val="000000"/>
                <w:sz w:val="16"/>
                <w:szCs w:val="16"/>
                <w:lang w:eastAsia="es-AR"/>
              </w:rPr>
            </w:pPr>
            <w:r w:rsidRPr="00A65AB6">
              <w:rPr>
                <w:rFonts w:ascii="Arial" w:hAnsi="Arial" w:cs="Arial"/>
                <w:color w:val="000000"/>
                <w:sz w:val="16"/>
                <w:szCs w:val="16"/>
                <w:lang w:val="es-ES" w:eastAsia="es-AR"/>
              </w:rPr>
              <w:t>Sofital S.A.</w:t>
            </w:r>
          </w:p>
        </w:tc>
        <w:tc>
          <w:tcPr>
            <w:tcW w:w="1407" w:type="dxa"/>
            <w:tcBorders>
              <w:top w:val="nil"/>
              <w:left w:val="nil"/>
              <w:bottom w:val="nil"/>
              <w:right w:val="single" w:sz="4" w:space="0" w:color="auto"/>
            </w:tcBorders>
            <w:shd w:val="clear" w:color="000000" w:fill="FFFFFF"/>
            <w:hideMark/>
          </w:tcPr>
          <w:p w14:paraId="4BE1C1CC" w14:textId="11F1820F"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49.667</w:t>
            </w:r>
          </w:p>
        </w:tc>
        <w:tc>
          <w:tcPr>
            <w:tcW w:w="1407" w:type="dxa"/>
            <w:tcBorders>
              <w:top w:val="nil"/>
              <w:left w:val="nil"/>
              <w:bottom w:val="nil"/>
              <w:right w:val="single" w:sz="4" w:space="0" w:color="auto"/>
            </w:tcBorders>
            <w:shd w:val="clear" w:color="000000" w:fill="FFFFFF"/>
            <w:hideMark/>
          </w:tcPr>
          <w:p w14:paraId="2ED494A3" w14:textId="0A8201FF"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23.131.588</w:t>
            </w:r>
          </w:p>
        </w:tc>
        <w:tc>
          <w:tcPr>
            <w:tcW w:w="1407" w:type="dxa"/>
            <w:tcBorders>
              <w:top w:val="nil"/>
              <w:left w:val="nil"/>
              <w:bottom w:val="nil"/>
              <w:right w:val="single" w:sz="4" w:space="0" w:color="auto"/>
            </w:tcBorders>
            <w:shd w:val="clear" w:color="000000" w:fill="FFFFFF"/>
            <w:hideMark/>
          </w:tcPr>
          <w:p w14:paraId="2C570FC7" w14:textId="046F7CF8"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23.181.255</w:t>
            </w:r>
          </w:p>
        </w:tc>
        <w:tc>
          <w:tcPr>
            <w:tcW w:w="1149" w:type="dxa"/>
            <w:tcBorders>
              <w:top w:val="nil"/>
              <w:left w:val="nil"/>
              <w:bottom w:val="nil"/>
              <w:right w:val="single" w:sz="4" w:space="0" w:color="auto"/>
            </w:tcBorders>
            <w:shd w:val="clear" w:color="000000" w:fill="FFFFFF"/>
            <w:hideMark/>
          </w:tcPr>
          <w:p w14:paraId="2305019D" w14:textId="33A07B00"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2,79%</w:t>
            </w:r>
          </w:p>
        </w:tc>
        <w:tc>
          <w:tcPr>
            <w:tcW w:w="1149" w:type="dxa"/>
            <w:tcBorders>
              <w:top w:val="nil"/>
              <w:left w:val="nil"/>
              <w:bottom w:val="nil"/>
              <w:right w:val="single" w:sz="4" w:space="0" w:color="auto"/>
            </w:tcBorders>
            <w:shd w:val="clear" w:color="000000" w:fill="FFFFFF"/>
            <w:hideMark/>
          </w:tcPr>
          <w:p w14:paraId="121B9FFB" w14:textId="20AC6878"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2,81%</w:t>
            </w:r>
          </w:p>
        </w:tc>
      </w:tr>
      <w:tr w:rsidR="00366D49" w:rsidRPr="00A65AB6" w14:paraId="63C804F7" w14:textId="77777777" w:rsidTr="00803A5F">
        <w:trPr>
          <w:trHeight w:val="265"/>
        </w:trPr>
        <w:tc>
          <w:tcPr>
            <w:tcW w:w="1883" w:type="dxa"/>
            <w:tcBorders>
              <w:top w:val="nil"/>
              <w:left w:val="single" w:sz="4" w:space="0" w:color="auto"/>
              <w:bottom w:val="single" w:sz="4" w:space="0" w:color="auto"/>
              <w:right w:val="single" w:sz="4" w:space="0" w:color="auto"/>
            </w:tcBorders>
            <w:shd w:val="clear" w:color="000000" w:fill="FFFFFF"/>
            <w:vAlign w:val="center"/>
            <w:hideMark/>
          </w:tcPr>
          <w:p w14:paraId="332BF760" w14:textId="77777777" w:rsidR="00366D49" w:rsidRPr="00A65AB6" w:rsidRDefault="00366D49" w:rsidP="00366D49">
            <w:pPr>
              <w:rPr>
                <w:rFonts w:ascii="Arial" w:hAnsi="Arial" w:cs="Arial"/>
                <w:color w:val="000000"/>
                <w:sz w:val="16"/>
                <w:szCs w:val="16"/>
                <w:lang w:eastAsia="es-AR"/>
              </w:rPr>
            </w:pPr>
            <w:r w:rsidRPr="00A65AB6">
              <w:rPr>
                <w:rFonts w:ascii="Arial" w:hAnsi="Arial" w:cs="Arial"/>
                <w:color w:val="000000"/>
                <w:sz w:val="16"/>
                <w:szCs w:val="16"/>
                <w:lang w:val="es-ES" w:eastAsia="es-AR"/>
              </w:rPr>
              <w:t>Accionistas  Minoritarios</w:t>
            </w:r>
          </w:p>
        </w:tc>
        <w:tc>
          <w:tcPr>
            <w:tcW w:w="1407" w:type="dxa"/>
            <w:tcBorders>
              <w:top w:val="nil"/>
              <w:left w:val="nil"/>
              <w:bottom w:val="single" w:sz="4" w:space="0" w:color="auto"/>
              <w:right w:val="single" w:sz="4" w:space="0" w:color="auto"/>
            </w:tcBorders>
            <w:shd w:val="clear" w:color="000000" w:fill="FFFFFF"/>
            <w:hideMark/>
          </w:tcPr>
          <w:p w14:paraId="38BDF012" w14:textId="0CCA6E67"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50.006</w:t>
            </w:r>
          </w:p>
        </w:tc>
        <w:tc>
          <w:tcPr>
            <w:tcW w:w="1407" w:type="dxa"/>
            <w:tcBorders>
              <w:top w:val="nil"/>
              <w:left w:val="nil"/>
              <w:bottom w:val="single" w:sz="4" w:space="0" w:color="auto"/>
              <w:right w:val="single" w:sz="4" w:space="0" w:color="auto"/>
            </w:tcBorders>
            <w:shd w:val="clear" w:color="000000" w:fill="FFFFFF"/>
            <w:hideMark/>
          </w:tcPr>
          <w:p w14:paraId="69AFC657" w14:textId="31BC5950"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799.603</w:t>
            </w:r>
          </w:p>
        </w:tc>
        <w:tc>
          <w:tcPr>
            <w:tcW w:w="1407" w:type="dxa"/>
            <w:tcBorders>
              <w:top w:val="nil"/>
              <w:left w:val="nil"/>
              <w:bottom w:val="single" w:sz="4" w:space="0" w:color="auto"/>
              <w:right w:val="single" w:sz="4" w:space="0" w:color="auto"/>
            </w:tcBorders>
            <w:shd w:val="clear" w:color="000000" w:fill="FFFFFF"/>
            <w:hideMark/>
          </w:tcPr>
          <w:p w14:paraId="1758F5B6" w14:textId="22D56282"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849.609</w:t>
            </w:r>
          </w:p>
        </w:tc>
        <w:tc>
          <w:tcPr>
            <w:tcW w:w="1149" w:type="dxa"/>
            <w:tcBorders>
              <w:top w:val="nil"/>
              <w:left w:val="nil"/>
              <w:bottom w:val="single" w:sz="4" w:space="0" w:color="auto"/>
              <w:right w:val="single" w:sz="4" w:space="0" w:color="auto"/>
            </w:tcBorders>
            <w:shd w:val="clear" w:color="000000" w:fill="FFFFFF"/>
            <w:hideMark/>
          </w:tcPr>
          <w:p w14:paraId="4AD7157E" w14:textId="409E4FE3"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0,10%</w:t>
            </w:r>
          </w:p>
        </w:tc>
        <w:tc>
          <w:tcPr>
            <w:tcW w:w="1149" w:type="dxa"/>
            <w:tcBorders>
              <w:top w:val="nil"/>
              <w:left w:val="nil"/>
              <w:bottom w:val="single" w:sz="4" w:space="0" w:color="auto"/>
              <w:right w:val="single" w:sz="4" w:space="0" w:color="auto"/>
            </w:tcBorders>
            <w:shd w:val="clear" w:color="000000" w:fill="FFFFFF"/>
            <w:hideMark/>
          </w:tcPr>
          <w:p w14:paraId="38605C77" w14:textId="7C64BE02" w:rsidR="00366D49" w:rsidRPr="002319CA" w:rsidRDefault="00366D49" w:rsidP="00366D49">
            <w:pPr>
              <w:jc w:val="right"/>
              <w:rPr>
                <w:rFonts w:ascii="Arial" w:hAnsi="Arial" w:cs="Arial"/>
                <w:color w:val="000000"/>
                <w:sz w:val="16"/>
                <w:szCs w:val="16"/>
                <w:lang w:eastAsia="es-AR"/>
              </w:rPr>
            </w:pPr>
            <w:r w:rsidRPr="002319CA">
              <w:rPr>
                <w:rFonts w:ascii="Arial" w:hAnsi="Arial" w:cs="Arial"/>
                <w:sz w:val="16"/>
                <w:szCs w:val="16"/>
              </w:rPr>
              <w:t>0,13%</w:t>
            </w:r>
          </w:p>
        </w:tc>
      </w:tr>
      <w:tr w:rsidR="00366D49" w:rsidRPr="00A65AB6" w14:paraId="35A4AF91" w14:textId="77777777" w:rsidTr="00803A5F">
        <w:trPr>
          <w:trHeight w:val="265"/>
        </w:trPr>
        <w:tc>
          <w:tcPr>
            <w:tcW w:w="1883" w:type="dxa"/>
            <w:tcBorders>
              <w:top w:val="nil"/>
              <w:left w:val="single" w:sz="4" w:space="0" w:color="auto"/>
              <w:bottom w:val="single" w:sz="4" w:space="0" w:color="auto"/>
              <w:right w:val="single" w:sz="4" w:space="0" w:color="auto"/>
            </w:tcBorders>
            <w:shd w:val="clear" w:color="000000" w:fill="FFFFFF"/>
            <w:vAlign w:val="center"/>
            <w:hideMark/>
          </w:tcPr>
          <w:p w14:paraId="0B73595E" w14:textId="77777777" w:rsidR="00366D49" w:rsidRPr="00A65AB6" w:rsidRDefault="00366D49" w:rsidP="00366D49">
            <w:pPr>
              <w:rPr>
                <w:rFonts w:ascii="Arial" w:hAnsi="Arial" w:cs="Arial"/>
                <w:color w:val="000000"/>
                <w:sz w:val="16"/>
                <w:szCs w:val="16"/>
                <w:lang w:eastAsia="es-AR"/>
              </w:rPr>
            </w:pPr>
            <w:r w:rsidRPr="00A65AB6">
              <w:rPr>
                <w:rFonts w:ascii="Arial" w:hAnsi="Arial" w:cs="Arial"/>
                <w:color w:val="000000"/>
                <w:sz w:val="16"/>
                <w:szCs w:val="16"/>
                <w:lang w:val="es-ES" w:eastAsia="es-AR"/>
              </w:rPr>
              <w:t>Total de acciones</w:t>
            </w:r>
          </w:p>
        </w:tc>
        <w:tc>
          <w:tcPr>
            <w:tcW w:w="1407" w:type="dxa"/>
            <w:tcBorders>
              <w:top w:val="nil"/>
              <w:left w:val="nil"/>
              <w:bottom w:val="single" w:sz="4" w:space="0" w:color="auto"/>
              <w:right w:val="single" w:sz="4" w:space="0" w:color="auto"/>
            </w:tcBorders>
            <w:shd w:val="clear" w:color="000000" w:fill="FFFFFF"/>
            <w:hideMark/>
          </w:tcPr>
          <w:p w14:paraId="63381242" w14:textId="3281AAAE" w:rsidR="00366D49" w:rsidRPr="002319CA" w:rsidRDefault="00366D49" w:rsidP="00366D49">
            <w:pPr>
              <w:jc w:val="right"/>
              <w:rPr>
                <w:rFonts w:ascii="Arial" w:hAnsi="Arial" w:cs="Arial"/>
                <w:b/>
                <w:bCs/>
                <w:color w:val="000000"/>
                <w:sz w:val="16"/>
                <w:szCs w:val="16"/>
                <w:lang w:eastAsia="es-AR"/>
              </w:rPr>
            </w:pPr>
            <w:r w:rsidRPr="002319CA">
              <w:rPr>
                <w:rFonts w:ascii="Arial" w:hAnsi="Arial" w:cs="Arial"/>
                <w:b/>
                <w:sz w:val="16"/>
                <w:szCs w:val="16"/>
              </w:rPr>
              <w:t>930.371</w:t>
            </w:r>
          </w:p>
        </w:tc>
        <w:tc>
          <w:tcPr>
            <w:tcW w:w="1407" w:type="dxa"/>
            <w:tcBorders>
              <w:top w:val="nil"/>
              <w:left w:val="nil"/>
              <w:bottom w:val="single" w:sz="4" w:space="0" w:color="auto"/>
              <w:right w:val="single" w:sz="4" w:space="0" w:color="auto"/>
            </w:tcBorders>
            <w:shd w:val="clear" w:color="000000" w:fill="FFFFFF"/>
            <w:hideMark/>
          </w:tcPr>
          <w:p w14:paraId="79216722" w14:textId="749ADAF5" w:rsidR="00366D49" w:rsidRPr="002319CA" w:rsidRDefault="00366D49" w:rsidP="00366D49">
            <w:pPr>
              <w:jc w:val="right"/>
              <w:rPr>
                <w:rFonts w:ascii="Arial" w:hAnsi="Arial" w:cs="Arial"/>
                <w:b/>
                <w:bCs/>
                <w:color w:val="000000"/>
                <w:sz w:val="16"/>
                <w:szCs w:val="16"/>
                <w:lang w:eastAsia="es-AR"/>
              </w:rPr>
            </w:pPr>
            <w:r w:rsidRPr="002319CA">
              <w:rPr>
                <w:rFonts w:ascii="Arial" w:hAnsi="Arial" w:cs="Arial"/>
                <w:b/>
                <w:sz w:val="16"/>
                <w:szCs w:val="16"/>
              </w:rPr>
              <w:t>828.633.500</w:t>
            </w:r>
          </w:p>
        </w:tc>
        <w:tc>
          <w:tcPr>
            <w:tcW w:w="1407" w:type="dxa"/>
            <w:tcBorders>
              <w:top w:val="nil"/>
              <w:left w:val="nil"/>
              <w:bottom w:val="single" w:sz="4" w:space="0" w:color="auto"/>
              <w:right w:val="single" w:sz="4" w:space="0" w:color="auto"/>
            </w:tcBorders>
            <w:shd w:val="clear" w:color="000000" w:fill="FFFFFF"/>
            <w:hideMark/>
          </w:tcPr>
          <w:p w14:paraId="117E788B" w14:textId="6120A73E" w:rsidR="00366D49" w:rsidRPr="002319CA" w:rsidRDefault="00366D49" w:rsidP="00366D49">
            <w:pPr>
              <w:jc w:val="right"/>
              <w:rPr>
                <w:rFonts w:ascii="Arial" w:hAnsi="Arial" w:cs="Arial"/>
                <w:b/>
                <w:bCs/>
                <w:color w:val="000000"/>
                <w:sz w:val="16"/>
                <w:szCs w:val="16"/>
                <w:lang w:eastAsia="es-AR"/>
              </w:rPr>
            </w:pPr>
            <w:r w:rsidRPr="002319CA">
              <w:rPr>
                <w:rFonts w:ascii="Arial" w:hAnsi="Arial" w:cs="Arial"/>
                <w:b/>
                <w:sz w:val="16"/>
                <w:szCs w:val="16"/>
              </w:rPr>
              <w:t>829.563.871</w:t>
            </w:r>
          </w:p>
        </w:tc>
        <w:tc>
          <w:tcPr>
            <w:tcW w:w="1149" w:type="dxa"/>
            <w:tcBorders>
              <w:top w:val="nil"/>
              <w:left w:val="nil"/>
              <w:bottom w:val="single" w:sz="4" w:space="0" w:color="auto"/>
              <w:right w:val="single" w:sz="4" w:space="0" w:color="auto"/>
            </w:tcBorders>
            <w:shd w:val="clear" w:color="000000" w:fill="FFFFFF"/>
            <w:hideMark/>
          </w:tcPr>
          <w:p w14:paraId="3BE32345" w14:textId="33D0646C" w:rsidR="00366D49" w:rsidRPr="002319CA" w:rsidRDefault="00366D49" w:rsidP="00366D49">
            <w:pPr>
              <w:jc w:val="right"/>
              <w:rPr>
                <w:rFonts w:ascii="Arial" w:hAnsi="Arial" w:cs="Arial"/>
                <w:b/>
                <w:bCs/>
                <w:color w:val="000000"/>
                <w:sz w:val="16"/>
                <w:szCs w:val="16"/>
                <w:lang w:eastAsia="es-AR"/>
              </w:rPr>
            </w:pPr>
            <w:r w:rsidRPr="002319CA">
              <w:rPr>
                <w:rFonts w:ascii="Arial" w:hAnsi="Arial" w:cs="Arial"/>
                <w:b/>
                <w:sz w:val="16"/>
                <w:szCs w:val="16"/>
              </w:rPr>
              <w:t>100,00%</w:t>
            </w:r>
          </w:p>
        </w:tc>
        <w:tc>
          <w:tcPr>
            <w:tcW w:w="1149" w:type="dxa"/>
            <w:tcBorders>
              <w:top w:val="nil"/>
              <w:left w:val="nil"/>
              <w:bottom w:val="single" w:sz="4" w:space="0" w:color="auto"/>
              <w:right w:val="single" w:sz="4" w:space="0" w:color="auto"/>
            </w:tcBorders>
            <w:shd w:val="clear" w:color="000000" w:fill="FFFFFF"/>
            <w:hideMark/>
          </w:tcPr>
          <w:p w14:paraId="13CCDF71" w14:textId="667BC98F" w:rsidR="00366D49" w:rsidRPr="002319CA" w:rsidRDefault="00366D49" w:rsidP="00366D49">
            <w:pPr>
              <w:jc w:val="right"/>
              <w:rPr>
                <w:rFonts w:ascii="Arial" w:hAnsi="Arial" w:cs="Arial"/>
                <w:b/>
                <w:bCs/>
                <w:color w:val="000000"/>
                <w:sz w:val="16"/>
                <w:szCs w:val="16"/>
                <w:lang w:eastAsia="es-AR"/>
              </w:rPr>
            </w:pPr>
            <w:r w:rsidRPr="002319CA">
              <w:rPr>
                <w:rFonts w:ascii="Arial" w:hAnsi="Arial" w:cs="Arial"/>
                <w:b/>
                <w:sz w:val="16"/>
                <w:szCs w:val="16"/>
              </w:rPr>
              <w:t>100,00%</w:t>
            </w:r>
          </w:p>
        </w:tc>
      </w:tr>
    </w:tbl>
    <w:p w14:paraId="5DE39C38" w14:textId="77777777" w:rsidR="00032EC8" w:rsidRPr="00C84814" w:rsidRDefault="00032EC8" w:rsidP="00032EC8">
      <w:pPr>
        <w:tabs>
          <w:tab w:val="left" w:pos="142"/>
        </w:tabs>
        <w:jc w:val="both"/>
        <w:rPr>
          <w:rFonts w:ascii="Arial" w:hAnsi="Arial" w:cs="Arial"/>
          <w:sz w:val="20"/>
        </w:rPr>
      </w:pPr>
    </w:p>
    <w:p w14:paraId="7FECEA67" w14:textId="63EBAB1D" w:rsidR="00032EC8" w:rsidRPr="00C84814" w:rsidRDefault="007B6F7B" w:rsidP="00032EC8">
      <w:pPr>
        <w:tabs>
          <w:tab w:val="left" w:pos="142"/>
          <w:tab w:val="num" w:pos="1440"/>
        </w:tabs>
        <w:ind w:left="360"/>
        <w:jc w:val="both"/>
        <w:rPr>
          <w:rFonts w:ascii="Arial" w:hAnsi="Arial" w:cs="Arial"/>
          <w:b/>
          <w:sz w:val="20"/>
        </w:rPr>
      </w:pPr>
      <w:r>
        <w:rPr>
          <w:rFonts w:ascii="Arial" w:hAnsi="Arial" w:cs="Arial"/>
          <w:b/>
          <w:sz w:val="20"/>
        </w:rPr>
        <w:t>14</w:t>
      </w:r>
      <w:r w:rsidR="00032EC8">
        <w:rPr>
          <w:rFonts w:ascii="Arial" w:hAnsi="Arial" w:cs="Arial"/>
          <w:b/>
          <w:sz w:val="20"/>
        </w:rPr>
        <w:t>.10.3.</w:t>
      </w:r>
      <w:r w:rsidR="00032EC8" w:rsidRPr="00C84814">
        <w:rPr>
          <w:rFonts w:ascii="Arial" w:hAnsi="Arial" w:cs="Arial"/>
          <w:b/>
          <w:sz w:val="20"/>
        </w:rPr>
        <w:t xml:space="preserve"> Estructura organizacional (organigrama general, líneas de negocios,    subsidiarias, sucursales)</w:t>
      </w:r>
    </w:p>
    <w:p w14:paraId="3EE97E5C" w14:textId="2825125C" w:rsidR="00032EC8" w:rsidRPr="00C84814" w:rsidRDefault="00032EC8" w:rsidP="00032EC8">
      <w:pPr>
        <w:tabs>
          <w:tab w:val="left" w:pos="142"/>
        </w:tabs>
        <w:jc w:val="both"/>
        <w:rPr>
          <w:rFonts w:ascii="Arial" w:hAnsi="Arial" w:cs="Arial"/>
          <w:sz w:val="20"/>
        </w:rPr>
      </w:pPr>
    </w:p>
    <w:p w14:paraId="1EA15C87" w14:textId="7B6EF591" w:rsidR="00032EC8" w:rsidRDefault="00032EC8" w:rsidP="00032EC8">
      <w:pPr>
        <w:tabs>
          <w:tab w:val="left" w:pos="142"/>
        </w:tabs>
        <w:spacing w:after="200" w:line="276" w:lineRule="auto"/>
        <w:contextualSpacing/>
        <w:jc w:val="both"/>
        <w:rPr>
          <w:rFonts w:ascii="Arial" w:hAnsi="Arial" w:cs="Arial"/>
          <w:sz w:val="20"/>
        </w:rPr>
      </w:pPr>
      <w:r w:rsidRPr="0011610F">
        <w:rPr>
          <w:rFonts w:ascii="Arial" w:hAnsi="Arial" w:cs="Arial"/>
          <w:sz w:val="20"/>
        </w:rPr>
        <w:t>El organigrama general de la entidad describe la estructura gerencial y las dependencias del directorio y de las diferentes gerencias del banco. Dicho organigrama general es aprobado por el Directorio y revisado periódicamente a fin de que responda a la estrategia del banco.</w:t>
      </w:r>
    </w:p>
    <w:p w14:paraId="6C9BABC7" w14:textId="68E21742" w:rsidR="006B2BCE" w:rsidRDefault="00462BC9" w:rsidP="00032EC8">
      <w:pPr>
        <w:tabs>
          <w:tab w:val="left" w:pos="142"/>
        </w:tabs>
        <w:spacing w:after="200" w:line="276" w:lineRule="auto"/>
        <w:contextualSpacing/>
        <w:jc w:val="both"/>
        <w:rPr>
          <w:rFonts w:ascii="Arial" w:hAnsi="Arial" w:cs="Arial"/>
          <w:sz w:val="20"/>
        </w:rPr>
      </w:pPr>
      <w:r w:rsidRPr="00D2454F">
        <w:rPr>
          <w:noProof/>
        </w:rPr>
        <w:drawing>
          <wp:anchor distT="0" distB="0" distL="114300" distR="114300" simplePos="0" relativeHeight="251651584" behindDoc="0" locked="0" layoutInCell="1" allowOverlap="1" wp14:anchorId="0B4AE496" wp14:editId="406636D0">
            <wp:simplePos x="0" y="0"/>
            <wp:positionH relativeFrom="column">
              <wp:posOffset>-169545</wp:posOffset>
            </wp:positionH>
            <wp:positionV relativeFrom="paragraph">
              <wp:posOffset>85090</wp:posOffset>
            </wp:positionV>
            <wp:extent cx="6276340" cy="348869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276340" cy="3488690"/>
                    </a:xfrm>
                    <a:prstGeom prst="rect">
                      <a:avLst/>
                    </a:prstGeom>
                  </pic:spPr>
                </pic:pic>
              </a:graphicData>
            </a:graphic>
            <wp14:sizeRelH relativeFrom="page">
              <wp14:pctWidth>0</wp14:pctWidth>
            </wp14:sizeRelH>
            <wp14:sizeRelV relativeFrom="page">
              <wp14:pctHeight>0</wp14:pctHeight>
            </wp14:sizeRelV>
          </wp:anchor>
        </w:drawing>
      </w:r>
    </w:p>
    <w:p w14:paraId="1CC2AD5A" w14:textId="0A5BCB9B" w:rsidR="006B2BCE" w:rsidRDefault="006B2BCE" w:rsidP="00032EC8">
      <w:pPr>
        <w:tabs>
          <w:tab w:val="left" w:pos="142"/>
        </w:tabs>
        <w:spacing w:after="200" w:line="276" w:lineRule="auto"/>
        <w:contextualSpacing/>
        <w:jc w:val="both"/>
        <w:rPr>
          <w:rFonts w:ascii="Arial" w:hAnsi="Arial" w:cs="Arial"/>
          <w:sz w:val="20"/>
        </w:rPr>
      </w:pPr>
    </w:p>
    <w:p w14:paraId="3B65EAD5" w14:textId="62AC9ACC" w:rsidR="006B2BCE" w:rsidRDefault="006B2BCE" w:rsidP="00032EC8">
      <w:pPr>
        <w:tabs>
          <w:tab w:val="left" w:pos="142"/>
        </w:tabs>
        <w:spacing w:after="200" w:line="276" w:lineRule="auto"/>
        <w:contextualSpacing/>
        <w:jc w:val="both"/>
        <w:rPr>
          <w:rFonts w:ascii="Arial" w:hAnsi="Arial" w:cs="Arial"/>
          <w:sz w:val="20"/>
        </w:rPr>
      </w:pPr>
    </w:p>
    <w:p w14:paraId="17B67180" w14:textId="4CE0152E" w:rsidR="006B2BCE" w:rsidRDefault="006B2BCE" w:rsidP="00032EC8">
      <w:pPr>
        <w:tabs>
          <w:tab w:val="left" w:pos="142"/>
        </w:tabs>
        <w:spacing w:after="200" w:line="276" w:lineRule="auto"/>
        <w:contextualSpacing/>
        <w:jc w:val="both"/>
        <w:rPr>
          <w:rFonts w:ascii="Arial" w:hAnsi="Arial" w:cs="Arial"/>
          <w:sz w:val="20"/>
        </w:rPr>
      </w:pPr>
    </w:p>
    <w:p w14:paraId="50687806" w14:textId="52D16FB2" w:rsidR="006B2BCE" w:rsidRDefault="006B2BCE" w:rsidP="00032EC8">
      <w:pPr>
        <w:tabs>
          <w:tab w:val="left" w:pos="142"/>
        </w:tabs>
        <w:spacing w:after="200" w:line="276" w:lineRule="auto"/>
        <w:contextualSpacing/>
        <w:jc w:val="both"/>
        <w:rPr>
          <w:rFonts w:ascii="Arial" w:hAnsi="Arial" w:cs="Arial"/>
          <w:sz w:val="20"/>
        </w:rPr>
      </w:pPr>
    </w:p>
    <w:p w14:paraId="47B6E09F" w14:textId="4DD40F40" w:rsidR="006B2BCE" w:rsidRDefault="006B2BCE" w:rsidP="00032EC8">
      <w:pPr>
        <w:tabs>
          <w:tab w:val="left" w:pos="142"/>
        </w:tabs>
        <w:spacing w:after="200" w:line="276" w:lineRule="auto"/>
        <w:contextualSpacing/>
        <w:jc w:val="both"/>
        <w:rPr>
          <w:rFonts w:ascii="Arial" w:hAnsi="Arial" w:cs="Arial"/>
          <w:sz w:val="20"/>
        </w:rPr>
      </w:pPr>
    </w:p>
    <w:p w14:paraId="5B59DBC5" w14:textId="21510662" w:rsidR="006B2BCE" w:rsidRDefault="006B2BCE" w:rsidP="00032EC8">
      <w:pPr>
        <w:tabs>
          <w:tab w:val="left" w:pos="142"/>
        </w:tabs>
        <w:spacing w:after="200" w:line="276" w:lineRule="auto"/>
        <w:contextualSpacing/>
        <w:jc w:val="both"/>
        <w:rPr>
          <w:rFonts w:ascii="Arial" w:hAnsi="Arial" w:cs="Arial"/>
          <w:sz w:val="20"/>
        </w:rPr>
      </w:pPr>
    </w:p>
    <w:p w14:paraId="3C6EB412" w14:textId="7DFEE18A" w:rsidR="006B2BCE" w:rsidRDefault="006B2BCE" w:rsidP="00032EC8">
      <w:pPr>
        <w:tabs>
          <w:tab w:val="left" w:pos="142"/>
        </w:tabs>
        <w:spacing w:after="200" w:line="276" w:lineRule="auto"/>
        <w:contextualSpacing/>
        <w:jc w:val="both"/>
        <w:rPr>
          <w:rFonts w:ascii="Arial" w:hAnsi="Arial" w:cs="Arial"/>
          <w:sz w:val="20"/>
        </w:rPr>
      </w:pPr>
    </w:p>
    <w:p w14:paraId="361F6484" w14:textId="0EB190A8" w:rsidR="006B2BCE" w:rsidRDefault="006B2BCE" w:rsidP="00032EC8">
      <w:pPr>
        <w:tabs>
          <w:tab w:val="left" w:pos="142"/>
        </w:tabs>
        <w:spacing w:after="200" w:line="276" w:lineRule="auto"/>
        <w:contextualSpacing/>
        <w:jc w:val="both"/>
        <w:rPr>
          <w:rFonts w:ascii="Arial" w:hAnsi="Arial" w:cs="Arial"/>
          <w:sz w:val="20"/>
        </w:rPr>
      </w:pPr>
    </w:p>
    <w:p w14:paraId="16E0AD5A" w14:textId="6256D51C" w:rsidR="006B2BCE" w:rsidRDefault="006B2BCE" w:rsidP="00032EC8">
      <w:pPr>
        <w:tabs>
          <w:tab w:val="left" w:pos="142"/>
        </w:tabs>
        <w:spacing w:after="200" w:line="276" w:lineRule="auto"/>
        <w:contextualSpacing/>
        <w:jc w:val="both"/>
        <w:rPr>
          <w:rFonts w:ascii="Arial" w:hAnsi="Arial" w:cs="Arial"/>
          <w:sz w:val="20"/>
        </w:rPr>
      </w:pPr>
    </w:p>
    <w:p w14:paraId="3EC3BB12" w14:textId="75EC86EA" w:rsidR="006B2BCE" w:rsidRDefault="006B2BCE" w:rsidP="00032EC8">
      <w:pPr>
        <w:tabs>
          <w:tab w:val="left" w:pos="142"/>
        </w:tabs>
        <w:spacing w:after="200" w:line="276" w:lineRule="auto"/>
        <w:contextualSpacing/>
        <w:jc w:val="both"/>
        <w:rPr>
          <w:rFonts w:ascii="Arial" w:hAnsi="Arial" w:cs="Arial"/>
          <w:sz w:val="20"/>
        </w:rPr>
      </w:pPr>
    </w:p>
    <w:p w14:paraId="0E00B5FF" w14:textId="691C54C5" w:rsidR="006B2BCE" w:rsidRDefault="006B2BCE" w:rsidP="00032EC8">
      <w:pPr>
        <w:tabs>
          <w:tab w:val="left" w:pos="142"/>
        </w:tabs>
        <w:spacing w:after="200" w:line="276" w:lineRule="auto"/>
        <w:contextualSpacing/>
        <w:jc w:val="both"/>
        <w:rPr>
          <w:rFonts w:ascii="Arial" w:hAnsi="Arial" w:cs="Arial"/>
          <w:sz w:val="20"/>
        </w:rPr>
      </w:pPr>
    </w:p>
    <w:p w14:paraId="1D0AABB9" w14:textId="3D6A9EB7" w:rsidR="006B2BCE" w:rsidRDefault="006B2BCE" w:rsidP="00032EC8">
      <w:pPr>
        <w:tabs>
          <w:tab w:val="left" w:pos="142"/>
        </w:tabs>
        <w:spacing w:after="200" w:line="276" w:lineRule="auto"/>
        <w:contextualSpacing/>
        <w:jc w:val="both"/>
        <w:rPr>
          <w:rFonts w:ascii="Arial" w:hAnsi="Arial" w:cs="Arial"/>
          <w:sz w:val="20"/>
        </w:rPr>
      </w:pPr>
    </w:p>
    <w:p w14:paraId="3E57A966" w14:textId="09BED392" w:rsidR="006B2BCE" w:rsidRDefault="006B2BCE" w:rsidP="00032EC8">
      <w:pPr>
        <w:tabs>
          <w:tab w:val="left" w:pos="142"/>
        </w:tabs>
        <w:spacing w:after="200" w:line="276" w:lineRule="auto"/>
        <w:contextualSpacing/>
        <w:jc w:val="both"/>
        <w:rPr>
          <w:rFonts w:ascii="Arial" w:hAnsi="Arial" w:cs="Arial"/>
          <w:sz w:val="20"/>
        </w:rPr>
      </w:pPr>
    </w:p>
    <w:p w14:paraId="61574185" w14:textId="7B6D3418" w:rsidR="006B2BCE" w:rsidRDefault="006B2BCE" w:rsidP="00032EC8">
      <w:pPr>
        <w:tabs>
          <w:tab w:val="left" w:pos="142"/>
        </w:tabs>
        <w:spacing w:after="200" w:line="276" w:lineRule="auto"/>
        <w:contextualSpacing/>
        <w:jc w:val="both"/>
        <w:rPr>
          <w:rFonts w:ascii="Arial" w:hAnsi="Arial" w:cs="Arial"/>
          <w:sz w:val="20"/>
        </w:rPr>
      </w:pPr>
    </w:p>
    <w:p w14:paraId="2CFC2C41" w14:textId="613A8391" w:rsidR="006B2BCE" w:rsidRDefault="006B2BCE" w:rsidP="00032EC8">
      <w:pPr>
        <w:tabs>
          <w:tab w:val="left" w:pos="142"/>
        </w:tabs>
        <w:spacing w:after="200" w:line="276" w:lineRule="auto"/>
        <w:contextualSpacing/>
        <w:jc w:val="both"/>
        <w:rPr>
          <w:rFonts w:ascii="Arial" w:hAnsi="Arial" w:cs="Arial"/>
          <w:sz w:val="20"/>
        </w:rPr>
      </w:pPr>
    </w:p>
    <w:p w14:paraId="1CD6363B" w14:textId="60EB4621" w:rsidR="006B2BCE" w:rsidRDefault="006B2BCE" w:rsidP="00032EC8">
      <w:pPr>
        <w:tabs>
          <w:tab w:val="left" w:pos="142"/>
        </w:tabs>
        <w:spacing w:after="200" w:line="276" w:lineRule="auto"/>
        <w:contextualSpacing/>
        <w:jc w:val="both"/>
        <w:rPr>
          <w:rFonts w:ascii="Arial" w:hAnsi="Arial" w:cs="Arial"/>
          <w:sz w:val="20"/>
        </w:rPr>
      </w:pPr>
    </w:p>
    <w:p w14:paraId="3CEE51E1" w14:textId="1DC8022D" w:rsidR="006B2BCE" w:rsidRDefault="006B2BCE" w:rsidP="00032EC8">
      <w:pPr>
        <w:tabs>
          <w:tab w:val="left" w:pos="142"/>
        </w:tabs>
        <w:spacing w:after="200" w:line="276" w:lineRule="auto"/>
        <w:contextualSpacing/>
        <w:jc w:val="both"/>
        <w:rPr>
          <w:rFonts w:ascii="Arial" w:hAnsi="Arial" w:cs="Arial"/>
          <w:sz w:val="20"/>
        </w:rPr>
      </w:pPr>
    </w:p>
    <w:p w14:paraId="1A1AF933" w14:textId="180E154B" w:rsidR="009756F9" w:rsidRDefault="009756F9" w:rsidP="00032EC8">
      <w:pPr>
        <w:tabs>
          <w:tab w:val="left" w:pos="142"/>
        </w:tabs>
        <w:spacing w:after="200" w:line="276" w:lineRule="auto"/>
        <w:contextualSpacing/>
        <w:jc w:val="both"/>
        <w:rPr>
          <w:rFonts w:ascii="Arial" w:hAnsi="Arial" w:cs="Arial"/>
          <w:sz w:val="20"/>
        </w:rPr>
      </w:pPr>
    </w:p>
    <w:p w14:paraId="272189ED" w14:textId="232DAA46" w:rsidR="009756F9" w:rsidRDefault="009756F9" w:rsidP="00032EC8">
      <w:pPr>
        <w:tabs>
          <w:tab w:val="left" w:pos="142"/>
        </w:tabs>
        <w:spacing w:after="200" w:line="276" w:lineRule="auto"/>
        <w:contextualSpacing/>
        <w:jc w:val="both"/>
        <w:rPr>
          <w:rFonts w:ascii="Arial" w:hAnsi="Arial" w:cs="Arial"/>
          <w:sz w:val="20"/>
        </w:rPr>
      </w:pPr>
    </w:p>
    <w:p w14:paraId="4FB97CF7" w14:textId="77777777" w:rsidR="00743E3F" w:rsidRDefault="00743E3F" w:rsidP="00032EC8">
      <w:pPr>
        <w:tabs>
          <w:tab w:val="left" w:pos="142"/>
        </w:tabs>
        <w:spacing w:after="200" w:line="276" w:lineRule="auto"/>
        <w:contextualSpacing/>
        <w:jc w:val="both"/>
        <w:rPr>
          <w:rFonts w:ascii="Arial" w:hAnsi="Arial" w:cs="Arial"/>
          <w:sz w:val="20"/>
        </w:rPr>
      </w:pPr>
    </w:p>
    <w:p w14:paraId="721C621C" w14:textId="77777777" w:rsidR="00743E3F" w:rsidRDefault="00743E3F" w:rsidP="00032EC8">
      <w:pPr>
        <w:tabs>
          <w:tab w:val="left" w:pos="142"/>
        </w:tabs>
        <w:spacing w:after="200" w:line="276" w:lineRule="auto"/>
        <w:contextualSpacing/>
        <w:jc w:val="both"/>
        <w:rPr>
          <w:rFonts w:ascii="Arial" w:hAnsi="Arial" w:cs="Arial"/>
          <w:sz w:val="20"/>
        </w:rPr>
      </w:pPr>
    </w:p>
    <w:p w14:paraId="28B12D51" w14:textId="77777777" w:rsidR="00743E3F" w:rsidRDefault="00743E3F" w:rsidP="00032EC8">
      <w:pPr>
        <w:tabs>
          <w:tab w:val="left" w:pos="142"/>
        </w:tabs>
        <w:spacing w:after="200" w:line="276" w:lineRule="auto"/>
        <w:contextualSpacing/>
        <w:jc w:val="both"/>
        <w:rPr>
          <w:rFonts w:ascii="Arial" w:hAnsi="Arial" w:cs="Arial"/>
          <w:sz w:val="20"/>
        </w:rPr>
      </w:pPr>
    </w:p>
    <w:p w14:paraId="56C03FC5" w14:textId="66D2AAB6" w:rsidR="009756F9" w:rsidRDefault="006B2BCE" w:rsidP="00032EC8">
      <w:pPr>
        <w:tabs>
          <w:tab w:val="left" w:pos="142"/>
        </w:tabs>
        <w:spacing w:after="200" w:line="276" w:lineRule="auto"/>
        <w:contextualSpacing/>
        <w:jc w:val="both"/>
        <w:rPr>
          <w:rFonts w:ascii="Arial" w:hAnsi="Arial" w:cs="Arial"/>
          <w:sz w:val="20"/>
        </w:rPr>
      </w:pPr>
      <w:r>
        <w:rPr>
          <w:noProof/>
        </w:rPr>
        <w:drawing>
          <wp:anchor distT="0" distB="0" distL="114300" distR="114300" simplePos="0" relativeHeight="251678208" behindDoc="0" locked="0" layoutInCell="1" allowOverlap="1" wp14:anchorId="00444E63" wp14:editId="37B86700">
            <wp:simplePos x="0" y="0"/>
            <wp:positionH relativeFrom="column">
              <wp:posOffset>-764219</wp:posOffset>
            </wp:positionH>
            <wp:positionV relativeFrom="paragraph">
              <wp:posOffset>163359</wp:posOffset>
            </wp:positionV>
            <wp:extent cx="6861557" cy="4334435"/>
            <wp:effectExtent l="0" t="0" r="0" b="952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861557" cy="4334435"/>
                    </a:xfrm>
                    <a:prstGeom prst="rect">
                      <a:avLst/>
                    </a:prstGeom>
                  </pic:spPr>
                </pic:pic>
              </a:graphicData>
            </a:graphic>
            <wp14:sizeRelH relativeFrom="page">
              <wp14:pctWidth>0</wp14:pctWidth>
            </wp14:sizeRelH>
            <wp14:sizeRelV relativeFrom="page">
              <wp14:pctHeight>0</wp14:pctHeight>
            </wp14:sizeRelV>
          </wp:anchor>
        </w:drawing>
      </w:r>
    </w:p>
    <w:p w14:paraId="536ADAC9" w14:textId="2DD47CB5" w:rsidR="009756F9" w:rsidRDefault="009756F9" w:rsidP="00032EC8">
      <w:pPr>
        <w:tabs>
          <w:tab w:val="left" w:pos="142"/>
        </w:tabs>
        <w:spacing w:after="200" w:line="276" w:lineRule="auto"/>
        <w:contextualSpacing/>
        <w:jc w:val="both"/>
        <w:rPr>
          <w:rFonts w:ascii="Arial" w:hAnsi="Arial" w:cs="Arial"/>
          <w:sz w:val="20"/>
        </w:rPr>
      </w:pPr>
    </w:p>
    <w:p w14:paraId="61B07442" w14:textId="06AC72E8" w:rsidR="009756F9" w:rsidRDefault="009756F9" w:rsidP="00032EC8">
      <w:pPr>
        <w:tabs>
          <w:tab w:val="left" w:pos="142"/>
        </w:tabs>
        <w:spacing w:after="200" w:line="276" w:lineRule="auto"/>
        <w:contextualSpacing/>
        <w:jc w:val="both"/>
        <w:rPr>
          <w:rFonts w:ascii="Arial" w:hAnsi="Arial" w:cs="Arial"/>
          <w:sz w:val="20"/>
        </w:rPr>
      </w:pPr>
    </w:p>
    <w:p w14:paraId="58BCF44F" w14:textId="55335218" w:rsidR="009756F9" w:rsidRDefault="009756F9" w:rsidP="00032EC8">
      <w:pPr>
        <w:tabs>
          <w:tab w:val="left" w:pos="142"/>
        </w:tabs>
        <w:spacing w:after="200" w:line="276" w:lineRule="auto"/>
        <w:contextualSpacing/>
        <w:jc w:val="both"/>
        <w:rPr>
          <w:rFonts w:ascii="Arial" w:hAnsi="Arial" w:cs="Arial"/>
          <w:sz w:val="20"/>
        </w:rPr>
      </w:pPr>
    </w:p>
    <w:p w14:paraId="5A39AFF2" w14:textId="52FAE0E1" w:rsidR="009756F9" w:rsidRDefault="009756F9" w:rsidP="00032EC8">
      <w:pPr>
        <w:tabs>
          <w:tab w:val="left" w:pos="142"/>
        </w:tabs>
        <w:spacing w:after="200" w:line="276" w:lineRule="auto"/>
        <w:contextualSpacing/>
        <w:jc w:val="both"/>
        <w:rPr>
          <w:rFonts w:ascii="Arial" w:hAnsi="Arial" w:cs="Arial"/>
          <w:sz w:val="20"/>
        </w:rPr>
      </w:pPr>
    </w:p>
    <w:p w14:paraId="444B539B" w14:textId="5467A9EE" w:rsidR="009756F9" w:rsidRDefault="009756F9" w:rsidP="00032EC8">
      <w:pPr>
        <w:tabs>
          <w:tab w:val="left" w:pos="142"/>
        </w:tabs>
        <w:spacing w:after="200" w:line="276" w:lineRule="auto"/>
        <w:contextualSpacing/>
        <w:jc w:val="both"/>
        <w:rPr>
          <w:rFonts w:ascii="Arial" w:hAnsi="Arial" w:cs="Arial"/>
          <w:sz w:val="20"/>
        </w:rPr>
      </w:pPr>
    </w:p>
    <w:p w14:paraId="798E3E1D" w14:textId="017B5EE3" w:rsidR="009756F9" w:rsidRDefault="009756F9" w:rsidP="00032EC8">
      <w:pPr>
        <w:tabs>
          <w:tab w:val="left" w:pos="142"/>
        </w:tabs>
        <w:spacing w:after="200" w:line="276" w:lineRule="auto"/>
        <w:contextualSpacing/>
        <w:jc w:val="both"/>
        <w:rPr>
          <w:rFonts w:ascii="Arial" w:hAnsi="Arial" w:cs="Arial"/>
          <w:sz w:val="20"/>
        </w:rPr>
      </w:pPr>
    </w:p>
    <w:p w14:paraId="3800E12B" w14:textId="0222F765" w:rsidR="009756F9" w:rsidRDefault="009756F9" w:rsidP="00032EC8">
      <w:pPr>
        <w:tabs>
          <w:tab w:val="left" w:pos="142"/>
        </w:tabs>
        <w:spacing w:after="200" w:line="276" w:lineRule="auto"/>
        <w:contextualSpacing/>
        <w:jc w:val="both"/>
        <w:rPr>
          <w:rFonts w:ascii="Arial" w:hAnsi="Arial" w:cs="Arial"/>
          <w:sz w:val="20"/>
        </w:rPr>
      </w:pPr>
    </w:p>
    <w:p w14:paraId="4C80837F" w14:textId="6AEC3B66" w:rsidR="009756F9" w:rsidRDefault="009756F9" w:rsidP="00032EC8">
      <w:pPr>
        <w:tabs>
          <w:tab w:val="left" w:pos="142"/>
        </w:tabs>
        <w:spacing w:after="200" w:line="276" w:lineRule="auto"/>
        <w:contextualSpacing/>
        <w:jc w:val="both"/>
        <w:rPr>
          <w:rFonts w:ascii="Arial" w:hAnsi="Arial" w:cs="Arial"/>
          <w:sz w:val="20"/>
        </w:rPr>
      </w:pPr>
    </w:p>
    <w:p w14:paraId="5EA2CDD0" w14:textId="6D696B31" w:rsidR="009756F9" w:rsidRDefault="009756F9" w:rsidP="00032EC8">
      <w:pPr>
        <w:tabs>
          <w:tab w:val="left" w:pos="142"/>
        </w:tabs>
        <w:spacing w:after="200" w:line="276" w:lineRule="auto"/>
        <w:contextualSpacing/>
        <w:jc w:val="both"/>
        <w:rPr>
          <w:rFonts w:ascii="Arial" w:hAnsi="Arial" w:cs="Arial"/>
          <w:sz w:val="20"/>
        </w:rPr>
      </w:pPr>
    </w:p>
    <w:p w14:paraId="75548377" w14:textId="46446BAF" w:rsidR="009756F9" w:rsidRDefault="009756F9" w:rsidP="00032EC8">
      <w:pPr>
        <w:tabs>
          <w:tab w:val="left" w:pos="142"/>
        </w:tabs>
        <w:spacing w:after="200" w:line="276" w:lineRule="auto"/>
        <w:contextualSpacing/>
        <w:jc w:val="both"/>
        <w:rPr>
          <w:rFonts w:ascii="Arial" w:hAnsi="Arial" w:cs="Arial"/>
          <w:sz w:val="20"/>
        </w:rPr>
      </w:pPr>
    </w:p>
    <w:p w14:paraId="49E3F15D" w14:textId="2A613F52" w:rsidR="009756F9" w:rsidRDefault="009756F9" w:rsidP="00032EC8">
      <w:pPr>
        <w:tabs>
          <w:tab w:val="left" w:pos="142"/>
        </w:tabs>
        <w:spacing w:after="200" w:line="276" w:lineRule="auto"/>
        <w:contextualSpacing/>
        <w:jc w:val="both"/>
        <w:rPr>
          <w:rFonts w:ascii="Arial" w:hAnsi="Arial" w:cs="Arial"/>
          <w:sz w:val="20"/>
        </w:rPr>
      </w:pPr>
    </w:p>
    <w:p w14:paraId="0B0259A2" w14:textId="743564D4" w:rsidR="009756F9" w:rsidRDefault="009756F9" w:rsidP="00032EC8">
      <w:pPr>
        <w:tabs>
          <w:tab w:val="left" w:pos="142"/>
        </w:tabs>
        <w:spacing w:after="200" w:line="276" w:lineRule="auto"/>
        <w:contextualSpacing/>
        <w:jc w:val="both"/>
        <w:rPr>
          <w:rFonts w:ascii="Arial" w:hAnsi="Arial" w:cs="Arial"/>
          <w:sz w:val="20"/>
        </w:rPr>
      </w:pPr>
    </w:p>
    <w:p w14:paraId="3F6A1612" w14:textId="63DD9085" w:rsidR="009756F9" w:rsidRDefault="009756F9" w:rsidP="00032EC8">
      <w:pPr>
        <w:tabs>
          <w:tab w:val="left" w:pos="142"/>
        </w:tabs>
        <w:spacing w:after="200" w:line="276" w:lineRule="auto"/>
        <w:contextualSpacing/>
        <w:jc w:val="both"/>
        <w:rPr>
          <w:rFonts w:ascii="Arial" w:hAnsi="Arial" w:cs="Arial"/>
          <w:sz w:val="20"/>
        </w:rPr>
      </w:pPr>
    </w:p>
    <w:p w14:paraId="45FE324E" w14:textId="63D1F9A7" w:rsidR="009756F9" w:rsidRDefault="009756F9" w:rsidP="00032EC8">
      <w:pPr>
        <w:tabs>
          <w:tab w:val="left" w:pos="142"/>
        </w:tabs>
        <w:spacing w:after="200" w:line="276" w:lineRule="auto"/>
        <w:contextualSpacing/>
        <w:jc w:val="both"/>
        <w:rPr>
          <w:rFonts w:ascii="Arial" w:hAnsi="Arial" w:cs="Arial"/>
          <w:sz w:val="20"/>
        </w:rPr>
      </w:pPr>
    </w:p>
    <w:p w14:paraId="06016820" w14:textId="5CF5EB46" w:rsidR="009756F9" w:rsidRDefault="009756F9" w:rsidP="00032EC8">
      <w:pPr>
        <w:tabs>
          <w:tab w:val="left" w:pos="142"/>
        </w:tabs>
        <w:spacing w:after="200" w:line="276" w:lineRule="auto"/>
        <w:contextualSpacing/>
        <w:jc w:val="both"/>
        <w:rPr>
          <w:rFonts w:ascii="Arial" w:hAnsi="Arial" w:cs="Arial"/>
          <w:sz w:val="20"/>
        </w:rPr>
      </w:pPr>
    </w:p>
    <w:p w14:paraId="62C3BB22" w14:textId="1B5C0F7A" w:rsidR="009756F9" w:rsidRDefault="009756F9" w:rsidP="00032EC8">
      <w:pPr>
        <w:tabs>
          <w:tab w:val="left" w:pos="142"/>
        </w:tabs>
        <w:spacing w:after="200" w:line="276" w:lineRule="auto"/>
        <w:contextualSpacing/>
        <w:jc w:val="both"/>
        <w:rPr>
          <w:rFonts w:ascii="Arial" w:hAnsi="Arial" w:cs="Arial"/>
          <w:sz w:val="20"/>
        </w:rPr>
      </w:pPr>
    </w:p>
    <w:p w14:paraId="2D55DA0F" w14:textId="519B3ED9" w:rsidR="009756F9" w:rsidRDefault="009756F9" w:rsidP="00032EC8">
      <w:pPr>
        <w:tabs>
          <w:tab w:val="left" w:pos="142"/>
        </w:tabs>
        <w:spacing w:after="200" w:line="276" w:lineRule="auto"/>
        <w:contextualSpacing/>
        <w:jc w:val="both"/>
        <w:rPr>
          <w:rFonts w:ascii="Arial" w:hAnsi="Arial" w:cs="Arial"/>
          <w:sz w:val="20"/>
        </w:rPr>
      </w:pPr>
    </w:p>
    <w:p w14:paraId="4BC6FD06" w14:textId="7D6908FA" w:rsidR="009756F9" w:rsidRDefault="009756F9" w:rsidP="00032EC8">
      <w:pPr>
        <w:tabs>
          <w:tab w:val="left" w:pos="142"/>
        </w:tabs>
        <w:spacing w:after="200" w:line="276" w:lineRule="auto"/>
        <w:contextualSpacing/>
        <w:jc w:val="both"/>
        <w:rPr>
          <w:rFonts w:ascii="Arial" w:hAnsi="Arial" w:cs="Arial"/>
          <w:sz w:val="20"/>
        </w:rPr>
      </w:pPr>
    </w:p>
    <w:p w14:paraId="3CB92DF0" w14:textId="7055BF18" w:rsidR="00032EC8" w:rsidRDefault="00032EC8" w:rsidP="00032EC8">
      <w:pPr>
        <w:tabs>
          <w:tab w:val="left" w:pos="142"/>
        </w:tabs>
        <w:spacing w:after="200" w:line="276" w:lineRule="auto"/>
        <w:contextualSpacing/>
        <w:jc w:val="center"/>
        <w:rPr>
          <w:rFonts w:ascii="Arial" w:hAnsi="Arial" w:cs="Arial"/>
          <w:sz w:val="20"/>
        </w:rPr>
      </w:pPr>
    </w:p>
    <w:p w14:paraId="27242588" w14:textId="77777777" w:rsidR="00032EC8" w:rsidRDefault="00032EC8" w:rsidP="00032EC8">
      <w:pPr>
        <w:tabs>
          <w:tab w:val="left" w:pos="142"/>
        </w:tabs>
        <w:spacing w:after="200" w:line="276" w:lineRule="auto"/>
        <w:contextualSpacing/>
        <w:jc w:val="both"/>
        <w:rPr>
          <w:rFonts w:ascii="Arial" w:hAnsi="Arial" w:cs="Arial"/>
          <w:sz w:val="20"/>
        </w:rPr>
      </w:pPr>
    </w:p>
    <w:p w14:paraId="30C0A7FA" w14:textId="0C7BFC72" w:rsidR="00032EC8" w:rsidRDefault="00032EC8" w:rsidP="00032EC8">
      <w:pPr>
        <w:tabs>
          <w:tab w:val="left" w:pos="142"/>
        </w:tabs>
        <w:spacing w:after="200" w:line="276" w:lineRule="auto"/>
        <w:contextualSpacing/>
        <w:jc w:val="both"/>
        <w:rPr>
          <w:rFonts w:ascii="Arial" w:hAnsi="Arial" w:cs="Arial"/>
          <w:sz w:val="20"/>
        </w:rPr>
      </w:pPr>
    </w:p>
    <w:p w14:paraId="69F8E5EE" w14:textId="77777777" w:rsidR="00032EC8" w:rsidRDefault="00032EC8" w:rsidP="00032EC8">
      <w:pPr>
        <w:tabs>
          <w:tab w:val="left" w:pos="142"/>
        </w:tabs>
        <w:spacing w:after="200" w:line="276" w:lineRule="auto"/>
        <w:contextualSpacing/>
        <w:jc w:val="both"/>
        <w:rPr>
          <w:rFonts w:ascii="Arial" w:hAnsi="Arial" w:cs="Arial"/>
          <w:sz w:val="20"/>
        </w:rPr>
      </w:pPr>
    </w:p>
    <w:p w14:paraId="0C99B993" w14:textId="6285A47F" w:rsidR="00032EC8" w:rsidRDefault="00032EC8" w:rsidP="00032EC8">
      <w:pPr>
        <w:tabs>
          <w:tab w:val="left" w:pos="142"/>
        </w:tabs>
        <w:spacing w:after="200" w:line="276" w:lineRule="auto"/>
        <w:contextualSpacing/>
        <w:jc w:val="both"/>
        <w:rPr>
          <w:rFonts w:ascii="Arial" w:hAnsi="Arial" w:cs="Arial"/>
          <w:sz w:val="20"/>
        </w:rPr>
      </w:pPr>
    </w:p>
    <w:p w14:paraId="3C047CCB" w14:textId="13345DBA" w:rsidR="009756F9" w:rsidRDefault="009756F9" w:rsidP="00032EC8">
      <w:pPr>
        <w:tabs>
          <w:tab w:val="left" w:pos="142"/>
        </w:tabs>
        <w:spacing w:after="200" w:line="276" w:lineRule="auto"/>
        <w:contextualSpacing/>
        <w:jc w:val="both"/>
        <w:rPr>
          <w:rFonts w:ascii="Arial" w:hAnsi="Arial" w:cs="Arial"/>
          <w:sz w:val="20"/>
        </w:rPr>
      </w:pPr>
    </w:p>
    <w:p w14:paraId="5AFC6436" w14:textId="1F9D5BF0" w:rsidR="009756F9" w:rsidRDefault="009756F9" w:rsidP="00032EC8">
      <w:pPr>
        <w:tabs>
          <w:tab w:val="left" w:pos="142"/>
        </w:tabs>
        <w:spacing w:after="200" w:line="276" w:lineRule="auto"/>
        <w:contextualSpacing/>
        <w:jc w:val="both"/>
        <w:rPr>
          <w:rFonts w:ascii="Arial" w:hAnsi="Arial" w:cs="Arial"/>
          <w:sz w:val="20"/>
        </w:rPr>
      </w:pPr>
    </w:p>
    <w:p w14:paraId="72DCC460" w14:textId="18E96403" w:rsidR="009756F9" w:rsidRDefault="009756F9" w:rsidP="00032EC8">
      <w:pPr>
        <w:tabs>
          <w:tab w:val="left" w:pos="142"/>
        </w:tabs>
        <w:spacing w:after="200" w:line="276" w:lineRule="auto"/>
        <w:contextualSpacing/>
        <w:jc w:val="both"/>
        <w:rPr>
          <w:rFonts w:ascii="Arial" w:hAnsi="Arial" w:cs="Arial"/>
          <w:sz w:val="20"/>
        </w:rPr>
      </w:pPr>
    </w:p>
    <w:p w14:paraId="6B5FFBCA" w14:textId="1CE1A4C7" w:rsidR="009756F9" w:rsidRDefault="009756F9" w:rsidP="00032EC8">
      <w:pPr>
        <w:tabs>
          <w:tab w:val="left" w:pos="142"/>
        </w:tabs>
        <w:spacing w:after="200" w:line="276" w:lineRule="auto"/>
        <w:contextualSpacing/>
        <w:jc w:val="both"/>
        <w:rPr>
          <w:rFonts w:ascii="Arial" w:hAnsi="Arial" w:cs="Arial"/>
          <w:sz w:val="20"/>
        </w:rPr>
      </w:pPr>
    </w:p>
    <w:p w14:paraId="519A0025" w14:textId="4EFBB6BF" w:rsidR="009756F9" w:rsidRDefault="009756F9" w:rsidP="00032EC8">
      <w:pPr>
        <w:tabs>
          <w:tab w:val="left" w:pos="142"/>
        </w:tabs>
        <w:spacing w:after="200" w:line="276" w:lineRule="auto"/>
        <w:contextualSpacing/>
        <w:jc w:val="both"/>
        <w:rPr>
          <w:rFonts w:ascii="Arial" w:hAnsi="Arial" w:cs="Arial"/>
          <w:sz w:val="20"/>
        </w:rPr>
      </w:pPr>
    </w:p>
    <w:p w14:paraId="6EC5774D" w14:textId="287EB943" w:rsidR="009756F9" w:rsidRDefault="009756F9" w:rsidP="00032EC8">
      <w:pPr>
        <w:tabs>
          <w:tab w:val="left" w:pos="142"/>
        </w:tabs>
        <w:spacing w:after="200" w:line="276" w:lineRule="auto"/>
        <w:contextualSpacing/>
        <w:jc w:val="both"/>
        <w:rPr>
          <w:rFonts w:ascii="Arial" w:hAnsi="Arial" w:cs="Arial"/>
          <w:sz w:val="20"/>
        </w:rPr>
      </w:pPr>
    </w:p>
    <w:p w14:paraId="20961596" w14:textId="109A638B" w:rsidR="009756F9" w:rsidRDefault="009756F9" w:rsidP="00032EC8">
      <w:pPr>
        <w:tabs>
          <w:tab w:val="left" w:pos="142"/>
        </w:tabs>
        <w:spacing w:after="200" w:line="276" w:lineRule="auto"/>
        <w:contextualSpacing/>
        <w:jc w:val="both"/>
        <w:rPr>
          <w:rFonts w:ascii="Arial" w:hAnsi="Arial" w:cs="Arial"/>
          <w:sz w:val="20"/>
        </w:rPr>
      </w:pPr>
    </w:p>
    <w:p w14:paraId="0DE98C9D" w14:textId="53C41097" w:rsidR="00462BC9" w:rsidRDefault="00462BC9" w:rsidP="00032EC8">
      <w:pPr>
        <w:tabs>
          <w:tab w:val="left" w:pos="142"/>
        </w:tabs>
        <w:spacing w:after="200" w:line="276" w:lineRule="auto"/>
        <w:contextualSpacing/>
        <w:jc w:val="both"/>
        <w:rPr>
          <w:rFonts w:ascii="Arial" w:hAnsi="Arial" w:cs="Arial"/>
          <w:sz w:val="20"/>
        </w:rPr>
      </w:pPr>
    </w:p>
    <w:p w14:paraId="23BD5B7B" w14:textId="326B435E" w:rsidR="00462BC9" w:rsidRDefault="00462BC9" w:rsidP="00032EC8">
      <w:pPr>
        <w:tabs>
          <w:tab w:val="left" w:pos="142"/>
        </w:tabs>
        <w:spacing w:after="200" w:line="276" w:lineRule="auto"/>
        <w:contextualSpacing/>
        <w:jc w:val="both"/>
        <w:rPr>
          <w:rFonts w:ascii="Arial" w:hAnsi="Arial" w:cs="Arial"/>
          <w:sz w:val="20"/>
        </w:rPr>
      </w:pPr>
    </w:p>
    <w:p w14:paraId="58044424" w14:textId="75765F7F" w:rsidR="00462BC9" w:rsidRDefault="00462BC9" w:rsidP="00032EC8">
      <w:pPr>
        <w:tabs>
          <w:tab w:val="left" w:pos="142"/>
        </w:tabs>
        <w:spacing w:after="200" w:line="276" w:lineRule="auto"/>
        <w:contextualSpacing/>
        <w:jc w:val="both"/>
        <w:rPr>
          <w:rFonts w:ascii="Arial" w:hAnsi="Arial" w:cs="Arial"/>
          <w:sz w:val="20"/>
        </w:rPr>
      </w:pPr>
    </w:p>
    <w:p w14:paraId="593A8E8F" w14:textId="367BF4DE" w:rsidR="00BA5C58" w:rsidRDefault="00BA5C58" w:rsidP="00032EC8">
      <w:pPr>
        <w:tabs>
          <w:tab w:val="left" w:pos="142"/>
        </w:tabs>
        <w:spacing w:after="200" w:line="276" w:lineRule="auto"/>
        <w:contextualSpacing/>
        <w:jc w:val="both"/>
        <w:rPr>
          <w:rFonts w:ascii="Arial" w:hAnsi="Arial" w:cs="Arial"/>
          <w:sz w:val="20"/>
        </w:rPr>
      </w:pPr>
    </w:p>
    <w:p w14:paraId="692CDEFF" w14:textId="77777777" w:rsidR="00BA5C58" w:rsidRDefault="00BA5C58" w:rsidP="00032EC8">
      <w:pPr>
        <w:tabs>
          <w:tab w:val="left" w:pos="142"/>
        </w:tabs>
        <w:spacing w:after="200" w:line="276" w:lineRule="auto"/>
        <w:contextualSpacing/>
        <w:jc w:val="both"/>
        <w:rPr>
          <w:rFonts w:ascii="Arial" w:hAnsi="Arial" w:cs="Arial"/>
          <w:sz w:val="20"/>
        </w:rPr>
      </w:pPr>
    </w:p>
    <w:p w14:paraId="3E636D3D" w14:textId="07629FC5" w:rsidR="009756F9" w:rsidRDefault="009756F9" w:rsidP="00032EC8">
      <w:pPr>
        <w:tabs>
          <w:tab w:val="left" w:pos="142"/>
        </w:tabs>
        <w:spacing w:after="200" w:line="276" w:lineRule="auto"/>
        <w:contextualSpacing/>
        <w:jc w:val="both"/>
        <w:rPr>
          <w:rFonts w:ascii="Arial" w:hAnsi="Arial" w:cs="Arial"/>
          <w:sz w:val="20"/>
        </w:rPr>
      </w:pPr>
    </w:p>
    <w:p w14:paraId="2FD207C9" w14:textId="2526C43D" w:rsidR="009756F9" w:rsidRDefault="006311C5" w:rsidP="00032EC8">
      <w:pPr>
        <w:tabs>
          <w:tab w:val="left" w:pos="142"/>
        </w:tabs>
        <w:spacing w:after="200" w:line="276" w:lineRule="auto"/>
        <w:contextualSpacing/>
        <w:jc w:val="both"/>
        <w:rPr>
          <w:rFonts w:ascii="Arial" w:hAnsi="Arial" w:cs="Arial"/>
          <w:sz w:val="20"/>
        </w:rPr>
      </w:pPr>
      <w:r>
        <w:rPr>
          <w:noProof/>
        </w:rPr>
        <w:drawing>
          <wp:anchor distT="0" distB="0" distL="114300" distR="114300" simplePos="0" relativeHeight="251655680" behindDoc="0" locked="0" layoutInCell="1" allowOverlap="1" wp14:anchorId="67A962B7" wp14:editId="3EFC56F7">
            <wp:simplePos x="0" y="0"/>
            <wp:positionH relativeFrom="column">
              <wp:posOffset>-850520</wp:posOffset>
            </wp:positionH>
            <wp:positionV relativeFrom="paragraph">
              <wp:posOffset>263787</wp:posOffset>
            </wp:positionV>
            <wp:extent cx="6820945" cy="4998911"/>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820945" cy="4998911"/>
                    </a:xfrm>
                    <a:prstGeom prst="rect">
                      <a:avLst/>
                    </a:prstGeom>
                  </pic:spPr>
                </pic:pic>
              </a:graphicData>
            </a:graphic>
            <wp14:sizeRelH relativeFrom="page">
              <wp14:pctWidth>0</wp14:pctWidth>
            </wp14:sizeRelH>
            <wp14:sizeRelV relativeFrom="page">
              <wp14:pctHeight>0</wp14:pctHeight>
            </wp14:sizeRelV>
          </wp:anchor>
        </w:drawing>
      </w:r>
    </w:p>
    <w:p w14:paraId="2E9E013E" w14:textId="67F8C227" w:rsidR="009756F9" w:rsidRDefault="009756F9" w:rsidP="00032EC8">
      <w:pPr>
        <w:tabs>
          <w:tab w:val="left" w:pos="142"/>
        </w:tabs>
        <w:spacing w:after="200" w:line="276" w:lineRule="auto"/>
        <w:contextualSpacing/>
        <w:jc w:val="both"/>
        <w:rPr>
          <w:rFonts w:ascii="Arial" w:hAnsi="Arial" w:cs="Arial"/>
          <w:sz w:val="20"/>
        </w:rPr>
      </w:pPr>
    </w:p>
    <w:p w14:paraId="388F1DE2" w14:textId="2FB3C96E" w:rsidR="009756F9" w:rsidRDefault="009756F9" w:rsidP="00032EC8">
      <w:pPr>
        <w:tabs>
          <w:tab w:val="left" w:pos="142"/>
        </w:tabs>
        <w:spacing w:after="200" w:line="276" w:lineRule="auto"/>
        <w:contextualSpacing/>
        <w:jc w:val="both"/>
        <w:rPr>
          <w:rFonts w:ascii="Arial" w:hAnsi="Arial" w:cs="Arial"/>
          <w:sz w:val="20"/>
        </w:rPr>
      </w:pPr>
    </w:p>
    <w:p w14:paraId="1EA42904" w14:textId="1AC651DA" w:rsidR="009756F9" w:rsidRDefault="009756F9" w:rsidP="00032EC8">
      <w:pPr>
        <w:tabs>
          <w:tab w:val="left" w:pos="142"/>
        </w:tabs>
        <w:spacing w:after="200" w:line="276" w:lineRule="auto"/>
        <w:contextualSpacing/>
        <w:jc w:val="both"/>
        <w:rPr>
          <w:rFonts w:ascii="Arial" w:hAnsi="Arial" w:cs="Arial"/>
          <w:sz w:val="20"/>
        </w:rPr>
      </w:pPr>
    </w:p>
    <w:p w14:paraId="453ED20A" w14:textId="160CAC2B" w:rsidR="009756F9" w:rsidRDefault="009756F9" w:rsidP="00032EC8">
      <w:pPr>
        <w:tabs>
          <w:tab w:val="left" w:pos="142"/>
        </w:tabs>
        <w:spacing w:after="200" w:line="276" w:lineRule="auto"/>
        <w:contextualSpacing/>
        <w:jc w:val="both"/>
        <w:rPr>
          <w:rFonts w:ascii="Arial" w:hAnsi="Arial" w:cs="Arial"/>
          <w:sz w:val="20"/>
        </w:rPr>
      </w:pPr>
    </w:p>
    <w:p w14:paraId="7F359BA0" w14:textId="46A03732" w:rsidR="009756F9" w:rsidRDefault="009756F9" w:rsidP="00032EC8">
      <w:pPr>
        <w:tabs>
          <w:tab w:val="left" w:pos="142"/>
        </w:tabs>
        <w:spacing w:after="200" w:line="276" w:lineRule="auto"/>
        <w:contextualSpacing/>
        <w:jc w:val="both"/>
        <w:rPr>
          <w:rFonts w:ascii="Arial" w:hAnsi="Arial" w:cs="Arial"/>
          <w:sz w:val="20"/>
        </w:rPr>
      </w:pPr>
    </w:p>
    <w:p w14:paraId="0B724C90" w14:textId="77777777" w:rsidR="009756F9" w:rsidRDefault="009756F9" w:rsidP="00032EC8">
      <w:pPr>
        <w:tabs>
          <w:tab w:val="left" w:pos="142"/>
        </w:tabs>
        <w:spacing w:after="200" w:line="276" w:lineRule="auto"/>
        <w:contextualSpacing/>
        <w:jc w:val="both"/>
        <w:rPr>
          <w:rFonts w:ascii="Arial" w:hAnsi="Arial" w:cs="Arial"/>
          <w:sz w:val="20"/>
        </w:rPr>
      </w:pPr>
    </w:p>
    <w:p w14:paraId="0070F547" w14:textId="2490E332" w:rsidR="00032EC8" w:rsidRDefault="00032EC8" w:rsidP="00032EC8">
      <w:pPr>
        <w:tabs>
          <w:tab w:val="left" w:pos="142"/>
        </w:tabs>
        <w:spacing w:after="200" w:line="276" w:lineRule="auto"/>
        <w:contextualSpacing/>
        <w:jc w:val="both"/>
        <w:rPr>
          <w:rFonts w:ascii="Arial" w:hAnsi="Arial" w:cs="Arial"/>
          <w:sz w:val="20"/>
        </w:rPr>
      </w:pPr>
    </w:p>
    <w:p w14:paraId="6568C928" w14:textId="09CFF69B" w:rsidR="009756F9" w:rsidRDefault="009756F9" w:rsidP="00032EC8">
      <w:pPr>
        <w:tabs>
          <w:tab w:val="left" w:pos="142"/>
        </w:tabs>
        <w:spacing w:after="200" w:line="276" w:lineRule="auto"/>
        <w:contextualSpacing/>
        <w:jc w:val="both"/>
        <w:rPr>
          <w:rFonts w:ascii="Arial" w:hAnsi="Arial" w:cs="Arial"/>
          <w:sz w:val="20"/>
        </w:rPr>
      </w:pPr>
    </w:p>
    <w:p w14:paraId="0A345C1F" w14:textId="15BED380" w:rsidR="009756F9" w:rsidRDefault="009756F9" w:rsidP="00032EC8">
      <w:pPr>
        <w:tabs>
          <w:tab w:val="left" w:pos="142"/>
        </w:tabs>
        <w:spacing w:after="200" w:line="276" w:lineRule="auto"/>
        <w:contextualSpacing/>
        <w:jc w:val="both"/>
        <w:rPr>
          <w:rFonts w:ascii="Arial" w:hAnsi="Arial" w:cs="Arial"/>
          <w:sz w:val="20"/>
        </w:rPr>
      </w:pPr>
    </w:p>
    <w:p w14:paraId="54C49EDB" w14:textId="160F0ABB" w:rsidR="009756F9" w:rsidRDefault="009756F9" w:rsidP="00032EC8">
      <w:pPr>
        <w:tabs>
          <w:tab w:val="left" w:pos="142"/>
        </w:tabs>
        <w:spacing w:after="200" w:line="276" w:lineRule="auto"/>
        <w:contextualSpacing/>
        <w:jc w:val="both"/>
        <w:rPr>
          <w:rFonts w:ascii="Arial" w:hAnsi="Arial" w:cs="Arial"/>
          <w:sz w:val="20"/>
        </w:rPr>
      </w:pPr>
    </w:p>
    <w:p w14:paraId="5A1B733C" w14:textId="6A20B3B0" w:rsidR="009756F9" w:rsidRDefault="009756F9" w:rsidP="00032EC8">
      <w:pPr>
        <w:tabs>
          <w:tab w:val="left" w:pos="142"/>
        </w:tabs>
        <w:spacing w:after="200" w:line="276" w:lineRule="auto"/>
        <w:contextualSpacing/>
        <w:jc w:val="both"/>
        <w:rPr>
          <w:rFonts w:ascii="Arial" w:hAnsi="Arial" w:cs="Arial"/>
          <w:sz w:val="20"/>
        </w:rPr>
      </w:pPr>
    </w:p>
    <w:p w14:paraId="039A608D" w14:textId="5476AD21" w:rsidR="009756F9" w:rsidRDefault="009756F9" w:rsidP="00032EC8">
      <w:pPr>
        <w:tabs>
          <w:tab w:val="left" w:pos="142"/>
        </w:tabs>
        <w:spacing w:after="200" w:line="276" w:lineRule="auto"/>
        <w:contextualSpacing/>
        <w:jc w:val="both"/>
        <w:rPr>
          <w:rFonts w:ascii="Arial" w:hAnsi="Arial" w:cs="Arial"/>
          <w:sz w:val="20"/>
        </w:rPr>
      </w:pPr>
    </w:p>
    <w:p w14:paraId="67DCB5C2" w14:textId="1935CD76" w:rsidR="009756F9" w:rsidRDefault="009756F9" w:rsidP="00032EC8">
      <w:pPr>
        <w:tabs>
          <w:tab w:val="left" w:pos="142"/>
        </w:tabs>
        <w:spacing w:after="200" w:line="276" w:lineRule="auto"/>
        <w:contextualSpacing/>
        <w:jc w:val="both"/>
        <w:rPr>
          <w:rFonts w:ascii="Arial" w:hAnsi="Arial" w:cs="Arial"/>
          <w:sz w:val="20"/>
        </w:rPr>
      </w:pPr>
    </w:p>
    <w:p w14:paraId="4017F69E" w14:textId="725CE190" w:rsidR="009756F9" w:rsidRDefault="009756F9" w:rsidP="00032EC8">
      <w:pPr>
        <w:tabs>
          <w:tab w:val="left" w:pos="142"/>
        </w:tabs>
        <w:spacing w:after="200" w:line="276" w:lineRule="auto"/>
        <w:contextualSpacing/>
        <w:jc w:val="both"/>
        <w:rPr>
          <w:rFonts w:ascii="Arial" w:hAnsi="Arial" w:cs="Arial"/>
          <w:sz w:val="20"/>
        </w:rPr>
      </w:pPr>
    </w:p>
    <w:p w14:paraId="70464D2B" w14:textId="540B4E33" w:rsidR="009756F9" w:rsidRDefault="009756F9" w:rsidP="00032EC8">
      <w:pPr>
        <w:tabs>
          <w:tab w:val="left" w:pos="142"/>
        </w:tabs>
        <w:spacing w:after="200" w:line="276" w:lineRule="auto"/>
        <w:contextualSpacing/>
        <w:jc w:val="both"/>
        <w:rPr>
          <w:rFonts w:ascii="Arial" w:hAnsi="Arial" w:cs="Arial"/>
          <w:sz w:val="20"/>
        </w:rPr>
      </w:pPr>
    </w:p>
    <w:p w14:paraId="50C3E3CD" w14:textId="0607112F" w:rsidR="009756F9" w:rsidRDefault="009756F9" w:rsidP="00032EC8">
      <w:pPr>
        <w:tabs>
          <w:tab w:val="left" w:pos="142"/>
        </w:tabs>
        <w:spacing w:after="200" w:line="276" w:lineRule="auto"/>
        <w:contextualSpacing/>
        <w:jc w:val="both"/>
        <w:rPr>
          <w:rFonts w:ascii="Arial" w:hAnsi="Arial" w:cs="Arial"/>
          <w:sz w:val="20"/>
        </w:rPr>
      </w:pPr>
    </w:p>
    <w:p w14:paraId="582AE627" w14:textId="00CC5B36" w:rsidR="009756F9" w:rsidRDefault="009756F9" w:rsidP="00032EC8">
      <w:pPr>
        <w:tabs>
          <w:tab w:val="left" w:pos="142"/>
        </w:tabs>
        <w:spacing w:after="200" w:line="276" w:lineRule="auto"/>
        <w:contextualSpacing/>
        <w:jc w:val="both"/>
        <w:rPr>
          <w:rFonts w:ascii="Arial" w:hAnsi="Arial" w:cs="Arial"/>
          <w:sz w:val="20"/>
        </w:rPr>
      </w:pPr>
    </w:p>
    <w:p w14:paraId="3AD3CF74" w14:textId="6ACA6EC1" w:rsidR="009756F9" w:rsidRDefault="009756F9" w:rsidP="00032EC8">
      <w:pPr>
        <w:tabs>
          <w:tab w:val="left" w:pos="142"/>
        </w:tabs>
        <w:spacing w:after="200" w:line="276" w:lineRule="auto"/>
        <w:contextualSpacing/>
        <w:jc w:val="both"/>
        <w:rPr>
          <w:rFonts w:ascii="Arial" w:hAnsi="Arial" w:cs="Arial"/>
          <w:sz w:val="20"/>
        </w:rPr>
      </w:pPr>
    </w:p>
    <w:p w14:paraId="7307D0B4" w14:textId="0DDE8D7E" w:rsidR="009756F9" w:rsidRDefault="009756F9" w:rsidP="00032EC8">
      <w:pPr>
        <w:tabs>
          <w:tab w:val="left" w:pos="142"/>
        </w:tabs>
        <w:spacing w:after="200" w:line="276" w:lineRule="auto"/>
        <w:contextualSpacing/>
        <w:jc w:val="both"/>
        <w:rPr>
          <w:rFonts w:ascii="Arial" w:hAnsi="Arial" w:cs="Arial"/>
          <w:sz w:val="20"/>
        </w:rPr>
      </w:pPr>
    </w:p>
    <w:p w14:paraId="2DE6D73E" w14:textId="0BDC2F68" w:rsidR="009756F9" w:rsidRDefault="009756F9" w:rsidP="00032EC8">
      <w:pPr>
        <w:tabs>
          <w:tab w:val="left" w:pos="142"/>
        </w:tabs>
        <w:spacing w:after="200" w:line="276" w:lineRule="auto"/>
        <w:contextualSpacing/>
        <w:jc w:val="both"/>
        <w:rPr>
          <w:rFonts w:ascii="Arial" w:hAnsi="Arial" w:cs="Arial"/>
          <w:sz w:val="20"/>
        </w:rPr>
      </w:pPr>
    </w:p>
    <w:p w14:paraId="19136002" w14:textId="1756DB2F" w:rsidR="009756F9" w:rsidRDefault="009756F9" w:rsidP="00032EC8">
      <w:pPr>
        <w:tabs>
          <w:tab w:val="left" w:pos="142"/>
        </w:tabs>
        <w:spacing w:after="200" w:line="276" w:lineRule="auto"/>
        <w:contextualSpacing/>
        <w:jc w:val="both"/>
        <w:rPr>
          <w:rFonts w:ascii="Arial" w:hAnsi="Arial" w:cs="Arial"/>
          <w:sz w:val="20"/>
        </w:rPr>
      </w:pPr>
    </w:p>
    <w:p w14:paraId="7A236539" w14:textId="3AEF4307" w:rsidR="009756F9" w:rsidRDefault="009756F9" w:rsidP="00032EC8">
      <w:pPr>
        <w:tabs>
          <w:tab w:val="left" w:pos="142"/>
        </w:tabs>
        <w:spacing w:after="200" w:line="276" w:lineRule="auto"/>
        <w:contextualSpacing/>
        <w:jc w:val="both"/>
        <w:rPr>
          <w:rFonts w:ascii="Arial" w:hAnsi="Arial" w:cs="Arial"/>
          <w:sz w:val="20"/>
        </w:rPr>
      </w:pPr>
    </w:p>
    <w:p w14:paraId="07EB3F2F" w14:textId="77B043A6" w:rsidR="009756F9" w:rsidRDefault="009756F9" w:rsidP="00032EC8">
      <w:pPr>
        <w:tabs>
          <w:tab w:val="left" w:pos="142"/>
        </w:tabs>
        <w:spacing w:after="200" w:line="276" w:lineRule="auto"/>
        <w:contextualSpacing/>
        <w:jc w:val="both"/>
        <w:rPr>
          <w:rFonts w:ascii="Arial" w:hAnsi="Arial" w:cs="Arial"/>
          <w:sz w:val="20"/>
        </w:rPr>
      </w:pPr>
    </w:p>
    <w:p w14:paraId="40201E55" w14:textId="2B38736E" w:rsidR="009756F9" w:rsidRDefault="009756F9" w:rsidP="00032EC8">
      <w:pPr>
        <w:tabs>
          <w:tab w:val="left" w:pos="142"/>
        </w:tabs>
        <w:spacing w:after="200" w:line="276" w:lineRule="auto"/>
        <w:contextualSpacing/>
        <w:jc w:val="both"/>
        <w:rPr>
          <w:rFonts w:ascii="Arial" w:hAnsi="Arial" w:cs="Arial"/>
          <w:sz w:val="20"/>
        </w:rPr>
      </w:pPr>
    </w:p>
    <w:p w14:paraId="2FB1008E" w14:textId="346F06E7" w:rsidR="009756F9" w:rsidRDefault="009756F9" w:rsidP="00032EC8">
      <w:pPr>
        <w:tabs>
          <w:tab w:val="left" w:pos="142"/>
        </w:tabs>
        <w:spacing w:after="200" w:line="276" w:lineRule="auto"/>
        <w:contextualSpacing/>
        <w:jc w:val="both"/>
        <w:rPr>
          <w:rFonts w:ascii="Arial" w:hAnsi="Arial" w:cs="Arial"/>
          <w:sz w:val="20"/>
        </w:rPr>
      </w:pPr>
    </w:p>
    <w:p w14:paraId="2268920E" w14:textId="20B7D72A" w:rsidR="009756F9" w:rsidRDefault="009756F9" w:rsidP="00032EC8">
      <w:pPr>
        <w:tabs>
          <w:tab w:val="left" w:pos="142"/>
        </w:tabs>
        <w:spacing w:after="200" w:line="276" w:lineRule="auto"/>
        <w:contextualSpacing/>
        <w:jc w:val="both"/>
        <w:rPr>
          <w:rFonts w:ascii="Arial" w:hAnsi="Arial" w:cs="Arial"/>
          <w:sz w:val="20"/>
        </w:rPr>
      </w:pPr>
    </w:p>
    <w:p w14:paraId="47C622F3" w14:textId="1737A310" w:rsidR="009756F9" w:rsidRDefault="009756F9" w:rsidP="00032EC8">
      <w:pPr>
        <w:tabs>
          <w:tab w:val="left" w:pos="142"/>
        </w:tabs>
        <w:spacing w:after="200" w:line="276" w:lineRule="auto"/>
        <w:contextualSpacing/>
        <w:jc w:val="both"/>
        <w:rPr>
          <w:rFonts w:ascii="Arial" w:hAnsi="Arial" w:cs="Arial"/>
          <w:sz w:val="20"/>
        </w:rPr>
      </w:pPr>
    </w:p>
    <w:p w14:paraId="4C776E09" w14:textId="1CC52537" w:rsidR="009756F9" w:rsidRDefault="009756F9" w:rsidP="00032EC8">
      <w:pPr>
        <w:tabs>
          <w:tab w:val="left" w:pos="142"/>
        </w:tabs>
        <w:spacing w:after="200" w:line="276" w:lineRule="auto"/>
        <w:contextualSpacing/>
        <w:jc w:val="both"/>
        <w:rPr>
          <w:rFonts w:ascii="Arial" w:hAnsi="Arial" w:cs="Arial"/>
          <w:sz w:val="20"/>
        </w:rPr>
      </w:pPr>
    </w:p>
    <w:p w14:paraId="52316F91" w14:textId="289F3425" w:rsidR="009756F9" w:rsidRDefault="009756F9" w:rsidP="00032EC8">
      <w:pPr>
        <w:tabs>
          <w:tab w:val="left" w:pos="142"/>
        </w:tabs>
        <w:spacing w:after="200" w:line="276" w:lineRule="auto"/>
        <w:contextualSpacing/>
        <w:jc w:val="both"/>
        <w:rPr>
          <w:rFonts w:ascii="Arial" w:hAnsi="Arial" w:cs="Arial"/>
          <w:sz w:val="20"/>
        </w:rPr>
      </w:pPr>
    </w:p>
    <w:p w14:paraId="7EA0424F" w14:textId="651CCCDA" w:rsidR="009756F9" w:rsidRDefault="009756F9" w:rsidP="00032EC8">
      <w:pPr>
        <w:tabs>
          <w:tab w:val="left" w:pos="142"/>
        </w:tabs>
        <w:spacing w:after="200" w:line="276" w:lineRule="auto"/>
        <w:contextualSpacing/>
        <w:jc w:val="both"/>
        <w:rPr>
          <w:rFonts w:ascii="Arial" w:hAnsi="Arial" w:cs="Arial"/>
          <w:sz w:val="20"/>
        </w:rPr>
      </w:pPr>
    </w:p>
    <w:p w14:paraId="1CEBC6A7" w14:textId="1C30A706" w:rsidR="009756F9" w:rsidRDefault="009756F9" w:rsidP="00032EC8">
      <w:pPr>
        <w:tabs>
          <w:tab w:val="left" w:pos="142"/>
        </w:tabs>
        <w:spacing w:after="200" w:line="276" w:lineRule="auto"/>
        <w:contextualSpacing/>
        <w:jc w:val="both"/>
        <w:rPr>
          <w:rFonts w:ascii="Arial" w:hAnsi="Arial" w:cs="Arial"/>
          <w:sz w:val="20"/>
        </w:rPr>
      </w:pPr>
    </w:p>
    <w:p w14:paraId="1184470E" w14:textId="1AA6AE91" w:rsidR="009756F9" w:rsidRDefault="009756F9" w:rsidP="00032EC8">
      <w:pPr>
        <w:tabs>
          <w:tab w:val="left" w:pos="142"/>
        </w:tabs>
        <w:spacing w:after="200" w:line="276" w:lineRule="auto"/>
        <w:contextualSpacing/>
        <w:jc w:val="both"/>
        <w:rPr>
          <w:rFonts w:ascii="Arial" w:hAnsi="Arial" w:cs="Arial"/>
          <w:sz w:val="20"/>
        </w:rPr>
      </w:pPr>
    </w:p>
    <w:p w14:paraId="0783B949" w14:textId="670817DF" w:rsidR="009756F9" w:rsidRDefault="009756F9" w:rsidP="00032EC8">
      <w:pPr>
        <w:tabs>
          <w:tab w:val="left" w:pos="142"/>
        </w:tabs>
        <w:spacing w:after="200" w:line="276" w:lineRule="auto"/>
        <w:contextualSpacing/>
        <w:jc w:val="both"/>
        <w:rPr>
          <w:rFonts w:ascii="Arial" w:hAnsi="Arial" w:cs="Arial"/>
          <w:sz w:val="20"/>
        </w:rPr>
      </w:pPr>
    </w:p>
    <w:p w14:paraId="3C88B92D" w14:textId="6434D427" w:rsidR="00AE02CB" w:rsidRDefault="00AE02CB" w:rsidP="00032EC8">
      <w:pPr>
        <w:tabs>
          <w:tab w:val="left" w:pos="142"/>
        </w:tabs>
        <w:spacing w:after="200" w:line="276" w:lineRule="auto"/>
        <w:contextualSpacing/>
        <w:jc w:val="both"/>
        <w:rPr>
          <w:rFonts w:ascii="Arial" w:hAnsi="Arial" w:cs="Arial"/>
          <w:sz w:val="20"/>
        </w:rPr>
      </w:pPr>
    </w:p>
    <w:p w14:paraId="59BBD015" w14:textId="152A8F65" w:rsidR="00AE02CB" w:rsidRDefault="00AE02CB" w:rsidP="00032EC8">
      <w:pPr>
        <w:tabs>
          <w:tab w:val="left" w:pos="142"/>
        </w:tabs>
        <w:spacing w:after="200" w:line="276" w:lineRule="auto"/>
        <w:contextualSpacing/>
        <w:jc w:val="both"/>
        <w:rPr>
          <w:rFonts w:ascii="Arial" w:hAnsi="Arial" w:cs="Arial"/>
          <w:sz w:val="20"/>
        </w:rPr>
      </w:pPr>
    </w:p>
    <w:p w14:paraId="1CCBE066" w14:textId="546C6033" w:rsidR="00AE02CB" w:rsidRDefault="00AE02CB" w:rsidP="00032EC8">
      <w:pPr>
        <w:tabs>
          <w:tab w:val="left" w:pos="142"/>
        </w:tabs>
        <w:spacing w:after="200" w:line="276" w:lineRule="auto"/>
        <w:contextualSpacing/>
        <w:jc w:val="both"/>
        <w:rPr>
          <w:rFonts w:ascii="Arial" w:hAnsi="Arial" w:cs="Arial"/>
          <w:sz w:val="20"/>
        </w:rPr>
      </w:pPr>
    </w:p>
    <w:p w14:paraId="220ADFAA" w14:textId="1633418B" w:rsidR="009756F9" w:rsidRDefault="009756F9" w:rsidP="00032EC8">
      <w:pPr>
        <w:tabs>
          <w:tab w:val="left" w:pos="142"/>
        </w:tabs>
        <w:spacing w:after="200" w:line="276" w:lineRule="auto"/>
        <w:contextualSpacing/>
        <w:jc w:val="both"/>
        <w:rPr>
          <w:rFonts w:ascii="Arial" w:hAnsi="Arial" w:cs="Arial"/>
          <w:sz w:val="20"/>
        </w:rPr>
      </w:pPr>
    </w:p>
    <w:p w14:paraId="44D6109C" w14:textId="1B189D98" w:rsidR="00743E3F" w:rsidRDefault="00743E3F" w:rsidP="00032EC8">
      <w:pPr>
        <w:tabs>
          <w:tab w:val="left" w:pos="142"/>
        </w:tabs>
        <w:spacing w:after="200" w:line="276" w:lineRule="auto"/>
        <w:contextualSpacing/>
        <w:jc w:val="both"/>
        <w:rPr>
          <w:rFonts w:ascii="Arial" w:hAnsi="Arial" w:cs="Arial"/>
          <w:sz w:val="20"/>
        </w:rPr>
      </w:pPr>
      <w:r>
        <w:rPr>
          <w:noProof/>
        </w:rPr>
        <w:drawing>
          <wp:anchor distT="0" distB="0" distL="114300" distR="114300" simplePos="0" relativeHeight="251663872" behindDoc="0" locked="0" layoutInCell="1" allowOverlap="1" wp14:anchorId="04059F89" wp14:editId="25640061">
            <wp:simplePos x="0" y="0"/>
            <wp:positionH relativeFrom="column">
              <wp:posOffset>-497840</wp:posOffset>
            </wp:positionH>
            <wp:positionV relativeFrom="paragraph">
              <wp:posOffset>-27940</wp:posOffset>
            </wp:positionV>
            <wp:extent cx="6391275" cy="3815715"/>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391275" cy="3815715"/>
                    </a:xfrm>
                    <a:prstGeom prst="rect">
                      <a:avLst/>
                    </a:prstGeom>
                  </pic:spPr>
                </pic:pic>
              </a:graphicData>
            </a:graphic>
            <wp14:sizeRelH relativeFrom="page">
              <wp14:pctWidth>0</wp14:pctWidth>
            </wp14:sizeRelH>
            <wp14:sizeRelV relativeFrom="page">
              <wp14:pctHeight>0</wp14:pctHeight>
            </wp14:sizeRelV>
          </wp:anchor>
        </w:drawing>
      </w:r>
    </w:p>
    <w:p w14:paraId="5CD97FFF" w14:textId="20118630" w:rsidR="00743E3F" w:rsidRDefault="00743E3F" w:rsidP="00032EC8">
      <w:pPr>
        <w:tabs>
          <w:tab w:val="left" w:pos="142"/>
        </w:tabs>
        <w:spacing w:after="200" w:line="276" w:lineRule="auto"/>
        <w:contextualSpacing/>
        <w:jc w:val="both"/>
        <w:rPr>
          <w:rFonts w:ascii="Arial" w:hAnsi="Arial" w:cs="Arial"/>
          <w:sz w:val="20"/>
        </w:rPr>
      </w:pPr>
    </w:p>
    <w:p w14:paraId="4B06C754" w14:textId="72B8D5CD" w:rsidR="00743E3F" w:rsidRDefault="00743E3F" w:rsidP="00032EC8">
      <w:pPr>
        <w:tabs>
          <w:tab w:val="left" w:pos="142"/>
        </w:tabs>
        <w:spacing w:after="200" w:line="276" w:lineRule="auto"/>
        <w:contextualSpacing/>
        <w:jc w:val="both"/>
        <w:rPr>
          <w:rFonts w:ascii="Arial" w:hAnsi="Arial" w:cs="Arial"/>
          <w:sz w:val="20"/>
        </w:rPr>
      </w:pPr>
    </w:p>
    <w:p w14:paraId="28F9F2A3" w14:textId="68677372" w:rsidR="00743E3F" w:rsidRDefault="00743E3F" w:rsidP="00032EC8">
      <w:pPr>
        <w:tabs>
          <w:tab w:val="left" w:pos="142"/>
        </w:tabs>
        <w:spacing w:after="200" w:line="276" w:lineRule="auto"/>
        <w:contextualSpacing/>
        <w:jc w:val="both"/>
        <w:rPr>
          <w:rFonts w:ascii="Arial" w:hAnsi="Arial" w:cs="Arial"/>
          <w:sz w:val="20"/>
        </w:rPr>
      </w:pPr>
    </w:p>
    <w:p w14:paraId="52091F15" w14:textId="42FA55CD" w:rsidR="00743E3F" w:rsidRDefault="00743E3F" w:rsidP="00032EC8">
      <w:pPr>
        <w:tabs>
          <w:tab w:val="left" w:pos="142"/>
        </w:tabs>
        <w:spacing w:after="200" w:line="276" w:lineRule="auto"/>
        <w:contextualSpacing/>
        <w:jc w:val="both"/>
        <w:rPr>
          <w:rFonts w:ascii="Arial" w:hAnsi="Arial" w:cs="Arial"/>
          <w:sz w:val="20"/>
        </w:rPr>
      </w:pPr>
    </w:p>
    <w:p w14:paraId="18BA65E7" w14:textId="41E40CE2" w:rsidR="00743E3F" w:rsidRDefault="00743E3F" w:rsidP="00032EC8">
      <w:pPr>
        <w:tabs>
          <w:tab w:val="left" w:pos="142"/>
        </w:tabs>
        <w:spacing w:after="200" w:line="276" w:lineRule="auto"/>
        <w:contextualSpacing/>
        <w:jc w:val="both"/>
        <w:rPr>
          <w:rFonts w:ascii="Arial" w:hAnsi="Arial" w:cs="Arial"/>
          <w:sz w:val="20"/>
        </w:rPr>
      </w:pPr>
    </w:p>
    <w:p w14:paraId="64CF1C41" w14:textId="77777777" w:rsidR="00743E3F" w:rsidRDefault="00743E3F" w:rsidP="00032EC8">
      <w:pPr>
        <w:tabs>
          <w:tab w:val="left" w:pos="142"/>
        </w:tabs>
        <w:spacing w:after="200" w:line="276" w:lineRule="auto"/>
        <w:contextualSpacing/>
        <w:jc w:val="both"/>
        <w:rPr>
          <w:rFonts w:ascii="Arial" w:hAnsi="Arial" w:cs="Arial"/>
          <w:sz w:val="20"/>
        </w:rPr>
      </w:pPr>
    </w:p>
    <w:p w14:paraId="44DDDFF8" w14:textId="35D964E3" w:rsidR="00743E3F" w:rsidRDefault="00743E3F" w:rsidP="00032EC8">
      <w:pPr>
        <w:tabs>
          <w:tab w:val="left" w:pos="142"/>
        </w:tabs>
        <w:spacing w:after="200" w:line="276" w:lineRule="auto"/>
        <w:contextualSpacing/>
        <w:jc w:val="both"/>
        <w:rPr>
          <w:rFonts w:ascii="Arial" w:hAnsi="Arial" w:cs="Arial"/>
          <w:sz w:val="20"/>
        </w:rPr>
      </w:pPr>
    </w:p>
    <w:p w14:paraId="2BE69681" w14:textId="5D30256D" w:rsidR="00743E3F" w:rsidRDefault="00743E3F" w:rsidP="00032EC8">
      <w:pPr>
        <w:tabs>
          <w:tab w:val="left" w:pos="142"/>
        </w:tabs>
        <w:spacing w:after="200" w:line="276" w:lineRule="auto"/>
        <w:contextualSpacing/>
        <w:jc w:val="both"/>
        <w:rPr>
          <w:rFonts w:ascii="Arial" w:hAnsi="Arial" w:cs="Arial"/>
          <w:sz w:val="20"/>
        </w:rPr>
      </w:pPr>
    </w:p>
    <w:p w14:paraId="57FE0F06" w14:textId="489339FD" w:rsidR="00743E3F" w:rsidRDefault="00743E3F" w:rsidP="00032EC8">
      <w:pPr>
        <w:tabs>
          <w:tab w:val="left" w:pos="142"/>
        </w:tabs>
        <w:spacing w:after="200" w:line="276" w:lineRule="auto"/>
        <w:contextualSpacing/>
        <w:jc w:val="both"/>
        <w:rPr>
          <w:rFonts w:ascii="Arial" w:hAnsi="Arial" w:cs="Arial"/>
          <w:sz w:val="20"/>
        </w:rPr>
      </w:pPr>
    </w:p>
    <w:p w14:paraId="53246C76" w14:textId="63C9C296" w:rsidR="00743E3F" w:rsidRDefault="00743E3F" w:rsidP="00032EC8">
      <w:pPr>
        <w:tabs>
          <w:tab w:val="left" w:pos="142"/>
        </w:tabs>
        <w:spacing w:after="200" w:line="276" w:lineRule="auto"/>
        <w:contextualSpacing/>
        <w:jc w:val="both"/>
        <w:rPr>
          <w:rFonts w:ascii="Arial" w:hAnsi="Arial" w:cs="Arial"/>
          <w:sz w:val="20"/>
        </w:rPr>
      </w:pPr>
    </w:p>
    <w:p w14:paraId="3CC1458E" w14:textId="792AB7D2" w:rsidR="00743E3F" w:rsidRDefault="00743E3F" w:rsidP="00032EC8">
      <w:pPr>
        <w:tabs>
          <w:tab w:val="left" w:pos="142"/>
        </w:tabs>
        <w:spacing w:after="200" w:line="276" w:lineRule="auto"/>
        <w:contextualSpacing/>
        <w:jc w:val="both"/>
        <w:rPr>
          <w:rFonts w:ascii="Arial" w:hAnsi="Arial" w:cs="Arial"/>
          <w:sz w:val="20"/>
        </w:rPr>
      </w:pPr>
    </w:p>
    <w:p w14:paraId="66A62AEE" w14:textId="4AE9952C" w:rsidR="00743E3F" w:rsidRDefault="00743E3F" w:rsidP="00032EC8">
      <w:pPr>
        <w:tabs>
          <w:tab w:val="left" w:pos="142"/>
        </w:tabs>
        <w:spacing w:after="200" w:line="276" w:lineRule="auto"/>
        <w:contextualSpacing/>
        <w:jc w:val="both"/>
        <w:rPr>
          <w:rFonts w:ascii="Arial" w:hAnsi="Arial" w:cs="Arial"/>
          <w:sz w:val="20"/>
        </w:rPr>
      </w:pPr>
    </w:p>
    <w:p w14:paraId="4EF3B9AA" w14:textId="4095187A" w:rsidR="00743E3F" w:rsidRDefault="00743E3F" w:rsidP="00032EC8">
      <w:pPr>
        <w:tabs>
          <w:tab w:val="left" w:pos="142"/>
        </w:tabs>
        <w:spacing w:after="200" w:line="276" w:lineRule="auto"/>
        <w:contextualSpacing/>
        <w:jc w:val="both"/>
        <w:rPr>
          <w:rFonts w:ascii="Arial" w:hAnsi="Arial" w:cs="Arial"/>
          <w:sz w:val="20"/>
        </w:rPr>
      </w:pPr>
    </w:p>
    <w:p w14:paraId="1DA8330D" w14:textId="0A202392" w:rsidR="00743E3F" w:rsidRDefault="00743E3F" w:rsidP="00032EC8">
      <w:pPr>
        <w:tabs>
          <w:tab w:val="left" w:pos="142"/>
        </w:tabs>
        <w:spacing w:after="200" w:line="276" w:lineRule="auto"/>
        <w:contextualSpacing/>
        <w:jc w:val="both"/>
        <w:rPr>
          <w:rFonts w:ascii="Arial" w:hAnsi="Arial" w:cs="Arial"/>
          <w:sz w:val="20"/>
        </w:rPr>
      </w:pPr>
    </w:p>
    <w:p w14:paraId="0E0157CE" w14:textId="6492436A" w:rsidR="00743E3F" w:rsidRDefault="00743E3F" w:rsidP="00032EC8">
      <w:pPr>
        <w:tabs>
          <w:tab w:val="left" w:pos="142"/>
        </w:tabs>
        <w:spacing w:after="200" w:line="276" w:lineRule="auto"/>
        <w:contextualSpacing/>
        <w:jc w:val="both"/>
        <w:rPr>
          <w:rFonts w:ascii="Arial" w:hAnsi="Arial" w:cs="Arial"/>
          <w:sz w:val="20"/>
        </w:rPr>
      </w:pPr>
    </w:p>
    <w:p w14:paraId="5A312195" w14:textId="29E2366F" w:rsidR="00743E3F" w:rsidRDefault="00743E3F" w:rsidP="00032EC8">
      <w:pPr>
        <w:tabs>
          <w:tab w:val="left" w:pos="142"/>
        </w:tabs>
        <w:spacing w:after="200" w:line="276" w:lineRule="auto"/>
        <w:contextualSpacing/>
        <w:jc w:val="both"/>
        <w:rPr>
          <w:rFonts w:ascii="Arial" w:hAnsi="Arial" w:cs="Arial"/>
          <w:sz w:val="20"/>
        </w:rPr>
      </w:pPr>
    </w:p>
    <w:p w14:paraId="664F09FA" w14:textId="200BD7E6" w:rsidR="00743E3F" w:rsidRDefault="00743E3F" w:rsidP="00032EC8">
      <w:pPr>
        <w:tabs>
          <w:tab w:val="left" w:pos="142"/>
        </w:tabs>
        <w:spacing w:after="200" w:line="276" w:lineRule="auto"/>
        <w:contextualSpacing/>
        <w:jc w:val="both"/>
        <w:rPr>
          <w:rFonts w:ascii="Arial" w:hAnsi="Arial" w:cs="Arial"/>
          <w:sz w:val="20"/>
        </w:rPr>
      </w:pPr>
    </w:p>
    <w:p w14:paraId="5C2DC177" w14:textId="6263E29F" w:rsidR="00743E3F" w:rsidRDefault="00743E3F" w:rsidP="00032EC8">
      <w:pPr>
        <w:tabs>
          <w:tab w:val="left" w:pos="142"/>
        </w:tabs>
        <w:spacing w:after="200" w:line="276" w:lineRule="auto"/>
        <w:contextualSpacing/>
        <w:jc w:val="both"/>
        <w:rPr>
          <w:rFonts w:ascii="Arial" w:hAnsi="Arial" w:cs="Arial"/>
          <w:sz w:val="20"/>
        </w:rPr>
      </w:pPr>
    </w:p>
    <w:p w14:paraId="2CF9E4C0" w14:textId="09C95E50" w:rsidR="00743E3F" w:rsidRDefault="00743E3F" w:rsidP="00032EC8">
      <w:pPr>
        <w:tabs>
          <w:tab w:val="left" w:pos="142"/>
        </w:tabs>
        <w:spacing w:after="200" w:line="276" w:lineRule="auto"/>
        <w:contextualSpacing/>
        <w:jc w:val="both"/>
        <w:rPr>
          <w:rFonts w:ascii="Arial" w:hAnsi="Arial" w:cs="Arial"/>
          <w:sz w:val="20"/>
        </w:rPr>
      </w:pPr>
    </w:p>
    <w:p w14:paraId="0D33DE42" w14:textId="77777777" w:rsidR="00743E3F" w:rsidRDefault="00743E3F" w:rsidP="00032EC8">
      <w:pPr>
        <w:tabs>
          <w:tab w:val="left" w:pos="142"/>
        </w:tabs>
        <w:spacing w:after="200" w:line="276" w:lineRule="auto"/>
        <w:contextualSpacing/>
        <w:jc w:val="both"/>
        <w:rPr>
          <w:rFonts w:ascii="Arial" w:hAnsi="Arial" w:cs="Arial"/>
          <w:sz w:val="20"/>
        </w:rPr>
      </w:pPr>
    </w:p>
    <w:p w14:paraId="20826689" w14:textId="218C81D9" w:rsidR="00743E3F" w:rsidRDefault="00743E3F" w:rsidP="00032EC8">
      <w:pPr>
        <w:tabs>
          <w:tab w:val="left" w:pos="142"/>
        </w:tabs>
        <w:spacing w:after="200" w:line="276" w:lineRule="auto"/>
        <w:contextualSpacing/>
        <w:jc w:val="both"/>
        <w:rPr>
          <w:rFonts w:ascii="Arial" w:hAnsi="Arial" w:cs="Arial"/>
          <w:sz w:val="20"/>
        </w:rPr>
      </w:pPr>
    </w:p>
    <w:p w14:paraId="4F26F32E" w14:textId="2FACABFF" w:rsidR="00743E3F" w:rsidRDefault="00743E3F" w:rsidP="00032EC8">
      <w:pPr>
        <w:tabs>
          <w:tab w:val="left" w:pos="142"/>
        </w:tabs>
        <w:spacing w:after="200" w:line="276" w:lineRule="auto"/>
        <w:contextualSpacing/>
        <w:jc w:val="both"/>
        <w:rPr>
          <w:rFonts w:ascii="Arial" w:hAnsi="Arial" w:cs="Arial"/>
          <w:sz w:val="20"/>
        </w:rPr>
      </w:pPr>
    </w:p>
    <w:p w14:paraId="47664198" w14:textId="32EF3B83" w:rsidR="009756F9" w:rsidRDefault="009756F9" w:rsidP="00032EC8">
      <w:pPr>
        <w:tabs>
          <w:tab w:val="left" w:pos="142"/>
        </w:tabs>
        <w:spacing w:after="200" w:line="276" w:lineRule="auto"/>
        <w:contextualSpacing/>
        <w:jc w:val="both"/>
        <w:rPr>
          <w:rFonts w:ascii="Arial" w:hAnsi="Arial" w:cs="Arial"/>
          <w:sz w:val="20"/>
        </w:rPr>
      </w:pPr>
    </w:p>
    <w:p w14:paraId="087E531A" w14:textId="77777777" w:rsidR="00032EC8" w:rsidRPr="00E446C3" w:rsidRDefault="00032EC8" w:rsidP="00032EC8">
      <w:pPr>
        <w:tabs>
          <w:tab w:val="left" w:pos="142"/>
        </w:tabs>
        <w:spacing w:after="200"/>
        <w:contextualSpacing/>
        <w:jc w:val="both"/>
        <w:rPr>
          <w:rFonts w:ascii="Arial" w:hAnsi="Arial" w:cs="Arial"/>
          <w:sz w:val="20"/>
          <w:lang w:eastAsia="es-AR"/>
        </w:rPr>
      </w:pPr>
      <w:r w:rsidRPr="00E446C3">
        <w:rPr>
          <w:rFonts w:ascii="Arial" w:hAnsi="Arial" w:cs="Arial"/>
          <w:sz w:val="20"/>
          <w:lang w:eastAsia="es-AR"/>
        </w:rPr>
        <w:t xml:space="preserve">La base estratégica de negocios es la concentración de los esfuerzos de la entidad en la prestación de servicios financieros tanto al segmento Minorista como Empresas, diferenciando en su estructura la banca minorista, la banca empresas y la banca finanzas. El negocio minorista se focaliza en la oferta de servicios financieros orientados a los segmentos de jubilados, comercios, renta alta y planes sueldo. La banca empresas se concentra en la atención de empresas medianas y pequeñas aprovechando la experiencia adquirida a través de los años en las operaciones de descuento de documentos, comercio exterior y leasing. </w:t>
      </w:r>
    </w:p>
    <w:p w14:paraId="7146C9A9" w14:textId="77777777" w:rsidR="00032EC8" w:rsidRPr="00E446C3" w:rsidRDefault="00032EC8" w:rsidP="00032EC8">
      <w:pPr>
        <w:tabs>
          <w:tab w:val="left" w:pos="142"/>
        </w:tabs>
        <w:spacing w:after="200" w:line="276" w:lineRule="auto"/>
        <w:contextualSpacing/>
        <w:jc w:val="both"/>
        <w:rPr>
          <w:rFonts w:ascii="Arial" w:hAnsi="Arial" w:cs="Arial"/>
          <w:sz w:val="20"/>
          <w:lang w:eastAsia="es-AR"/>
        </w:rPr>
      </w:pPr>
    </w:p>
    <w:p w14:paraId="43B34D18" w14:textId="77777777" w:rsidR="00032EC8" w:rsidRPr="00E446C3" w:rsidRDefault="00032EC8" w:rsidP="00032EC8">
      <w:pPr>
        <w:tabs>
          <w:tab w:val="left" w:pos="142"/>
        </w:tabs>
        <w:spacing w:after="200"/>
        <w:contextualSpacing/>
        <w:jc w:val="both"/>
        <w:rPr>
          <w:rFonts w:ascii="Arial" w:hAnsi="Arial" w:cs="Arial"/>
          <w:sz w:val="20"/>
          <w:lang w:eastAsia="es-AR"/>
        </w:rPr>
      </w:pPr>
      <w:r w:rsidRPr="00E446C3">
        <w:rPr>
          <w:rFonts w:ascii="Arial" w:hAnsi="Arial" w:cs="Arial"/>
          <w:sz w:val="20"/>
          <w:lang w:eastAsia="es-AR"/>
        </w:rPr>
        <w:t>La acción de las bancas comerciales, se complementa con el área de Finanzas y Mercado de Capitales que tiene como principal objetivo la asignación de fondeo así como también la securitización de los activos generados, acelerando la rotación de carteras y minimizando el descalce de plazo entre el fondeo y las colocaciones.</w:t>
      </w:r>
    </w:p>
    <w:p w14:paraId="50A17B24" w14:textId="77777777" w:rsidR="00032EC8" w:rsidRPr="00E446C3" w:rsidRDefault="00032EC8" w:rsidP="00032EC8">
      <w:pPr>
        <w:tabs>
          <w:tab w:val="left" w:pos="142"/>
        </w:tabs>
        <w:spacing w:after="200"/>
        <w:contextualSpacing/>
        <w:jc w:val="both"/>
        <w:rPr>
          <w:rFonts w:ascii="Arial" w:hAnsi="Arial" w:cs="Arial"/>
          <w:sz w:val="20"/>
          <w:lang w:eastAsia="es-AR"/>
        </w:rPr>
      </w:pPr>
    </w:p>
    <w:p w14:paraId="5DFE03B8" w14:textId="77777777" w:rsidR="00032EC8" w:rsidRPr="00E446C3" w:rsidRDefault="00032EC8" w:rsidP="00032EC8">
      <w:pPr>
        <w:tabs>
          <w:tab w:val="left" w:pos="142"/>
        </w:tabs>
        <w:spacing w:after="200"/>
        <w:contextualSpacing/>
        <w:jc w:val="both"/>
        <w:rPr>
          <w:rFonts w:ascii="Arial" w:hAnsi="Arial" w:cs="Arial"/>
          <w:sz w:val="20"/>
          <w:lang w:eastAsia="es-AR"/>
        </w:rPr>
      </w:pPr>
      <w:r w:rsidRPr="00E446C3">
        <w:rPr>
          <w:rFonts w:ascii="Arial" w:hAnsi="Arial" w:cs="Arial"/>
          <w:sz w:val="20"/>
          <w:lang w:eastAsia="es-AR"/>
        </w:rPr>
        <w:t>La estrategia de negocio además incluye la sinergia con empresas de Grupo Supervielle S.A. tendiente a desarrollar la complementación de actividades y negocios como grupo económico respecto de los planes individuales consignados para cada unidad con actividad financiera.</w:t>
      </w:r>
    </w:p>
    <w:p w14:paraId="74E19C68" w14:textId="77777777" w:rsidR="00032EC8" w:rsidRPr="00E446C3" w:rsidRDefault="00032EC8" w:rsidP="00032EC8">
      <w:pPr>
        <w:tabs>
          <w:tab w:val="left" w:pos="142"/>
        </w:tabs>
        <w:spacing w:after="200"/>
        <w:contextualSpacing/>
        <w:jc w:val="both"/>
        <w:rPr>
          <w:rFonts w:ascii="Arial" w:hAnsi="Arial" w:cs="Arial"/>
          <w:sz w:val="20"/>
          <w:lang w:eastAsia="es-AR"/>
        </w:rPr>
      </w:pPr>
    </w:p>
    <w:p w14:paraId="6A72A431" w14:textId="77777777" w:rsidR="00032EC8" w:rsidRPr="00E446C3" w:rsidRDefault="00032EC8" w:rsidP="00032EC8">
      <w:pPr>
        <w:tabs>
          <w:tab w:val="left" w:pos="142"/>
        </w:tabs>
        <w:spacing w:after="200"/>
        <w:contextualSpacing/>
        <w:jc w:val="both"/>
        <w:rPr>
          <w:rFonts w:ascii="Arial" w:hAnsi="Arial" w:cs="Arial"/>
          <w:sz w:val="20"/>
          <w:lang w:eastAsia="es-AR"/>
        </w:rPr>
      </w:pPr>
      <w:r w:rsidRPr="00E446C3">
        <w:rPr>
          <w:rFonts w:ascii="Arial" w:hAnsi="Arial" w:cs="Arial"/>
          <w:sz w:val="20"/>
          <w:lang w:eastAsia="es-AR"/>
        </w:rPr>
        <w:t>El proyecto pone especial énfasis en la protección de la identidad de las empresas y en la protección de su modelo de atención y tecnología crediticia específica. A su vez, el diseño de la complementariedad está armado en base a la normativa del BCRA referida a la CREFI 2 (Creación, Funcionamiento y Expansión de Entidades Financieras), Capítulo II (Instalación de filiales de entidades financieras en el interior del país y en el exterior).</w:t>
      </w:r>
    </w:p>
    <w:p w14:paraId="4B11E8EE" w14:textId="77777777" w:rsidR="00032EC8" w:rsidRPr="00E446C3" w:rsidRDefault="00032EC8" w:rsidP="00032EC8">
      <w:pPr>
        <w:tabs>
          <w:tab w:val="left" w:pos="142"/>
        </w:tabs>
        <w:spacing w:after="200"/>
        <w:contextualSpacing/>
        <w:jc w:val="both"/>
        <w:rPr>
          <w:rFonts w:ascii="Arial" w:hAnsi="Arial" w:cs="Arial"/>
          <w:sz w:val="20"/>
          <w:lang w:eastAsia="es-AR"/>
        </w:rPr>
      </w:pPr>
    </w:p>
    <w:p w14:paraId="0921D957" w14:textId="484F381F" w:rsidR="00032EC8" w:rsidRPr="00E446C3" w:rsidRDefault="00032EC8" w:rsidP="00032EC8">
      <w:pPr>
        <w:tabs>
          <w:tab w:val="left" w:pos="142"/>
        </w:tabs>
        <w:spacing w:after="200"/>
        <w:contextualSpacing/>
        <w:jc w:val="both"/>
        <w:rPr>
          <w:rFonts w:ascii="Arial" w:hAnsi="Arial" w:cs="Arial"/>
          <w:sz w:val="20"/>
          <w:lang w:eastAsia="es-AR"/>
        </w:rPr>
      </w:pPr>
      <w:r w:rsidRPr="00E446C3">
        <w:rPr>
          <w:rFonts w:ascii="Arial" w:hAnsi="Arial" w:cs="Arial"/>
          <w:sz w:val="20"/>
          <w:lang w:eastAsia="es-AR"/>
        </w:rPr>
        <w:t>Con relación a la información sobre las empresas subsidiarias controladas y vinculadas de la Entidad ver nota 1</w:t>
      </w:r>
      <w:r w:rsidR="007F2EB0">
        <w:rPr>
          <w:rFonts w:ascii="Arial" w:hAnsi="Arial" w:cs="Arial"/>
          <w:sz w:val="20"/>
          <w:lang w:eastAsia="es-AR"/>
        </w:rPr>
        <w:t>2</w:t>
      </w:r>
      <w:r w:rsidRPr="00E446C3">
        <w:rPr>
          <w:rFonts w:ascii="Arial" w:hAnsi="Arial" w:cs="Arial"/>
          <w:sz w:val="20"/>
          <w:lang w:eastAsia="es-AR"/>
        </w:rPr>
        <w:t xml:space="preserve"> a los presentes estados financieros consolidados.</w:t>
      </w:r>
    </w:p>
    <w:p w14:paraId="729BA124" w14:textId="77777777" w:rsidR="00032EC8" w:rsidRPr="00613EB0" w:rsidRDefault="00032EC8" w:rsidP="00032EC8">
      <w:pPr>
        <w:tabs>
          <w:tab w:val="left" w:pos="142"/>
        </w:tabs>
        <w:spacing w:after="200"/>
        <w:contextualSpacing/>
        <w:jc w:val="both"/>
        <w:rPr>
          <w:rFonts w:ascii="Arial" w:hAnsi="Arial" w:cs="Arial"/>
          <w:sz w:val="20"/>
          <w:highlight w:val="yellow"/>
          <w:lang w:eastAsia="es-AR"/>
        </w:rPr>
      </w:pPr>
    </w:p>
    <w:p w14:paraId="2DEE9BFC" w14:textId="77777777" w:rsidR="00C95611" w:rsidRPr="00C84814" w:rsidRDefault="00C95611" w:rsidP="00C95611">
      <w:pPr>
        <w:tabs>
          <w:tab w:val="left" w:pos="142"/>
        </w:tabs>
        <w:spacing w:after="200" w:line="276" w:lineRule="auto"/>
        <w:contextualSpacing/>
        <w:jc w:val="both"/>
        <w:rPr>
          <w:rFonts w:ascii="Arial" w:hAnsi="Arial" w:cs="Arial"/>
          <w:b/>
          <w:color w:val="0000FF"/>
          <w:sz w:val="20"/>
          <w:lang w:eastAsia="es-AR"/>
        </w:rPr>
      </w:pPr>
      <w:r w:rsidRPr="00E446C3">
        <w:rPr>
          <w:rFonts w:ascii="Arial" w:hAnsi="Arial" w:cs="Arial"/>
          <w:sz w:val="20"/>
          <w:lang w:eastAsia="es-AR"/>
        </w:rPr>
        <w:t>La Entidad cuenta con 19</w:t>
      </w:r>
      <w:r>
        <w:rPr>
          <w:rFonts w:ascii="Arial" w:hAnsi="Arial" w:cs="Arial"/>
          <w:sz w:val="20"/>
          <w:lang w:eastAsia="es-AR"/>
        </w:rPr>
        <w:t>7</w:t>
      </w:r>
      <w:r w:rsidRPr="00E446C3">
        <w:rPr>
          <w:rFonts w:ascii="Arial" w:hAnsi="Arial" w:cs="Arial"/>
          <w:sz w:val="20"/>
          <w:lang w:eastAsia="es-AR"/>
        </w:rPr>
        <w:t xml:space="preserve"> sucursales y 13 puestos p</w:t>
      </w:r>
      <w:r>
        <w:rPr>
          <w:rFonts w:ascii="Arial" w:hAnsi="Arial" w:cs="Arial"/>
          <w:sz w:val="20"/>
          <w:lang w:eastAsia="es-AR"/>
        </w:rPr>
        <w:t>er</w:t>
      </w:r>
      <w:r w:rsidRPr="00E446C3">
        <w:rPr>
          <w:rFonts w:ascii="Arial" w:hAnsi="Arial" w:cs="Arial"/>
          <w:sz w:val="20"/>
          <w:lang w:eastAsia="es-AR"/>
        </w:rPr>
        <w:t xml:space="preserve">manentes de promoción. Muchos de los locales están especialmente acondicionados para el pago de jubilaciones y pensiones de la ANSES, registrando además </w:t>
      </w:r>
      <w:r w:rsidRPr="00E446C3">
        <w:rPr>
          <w:rFonts w:ascii="Arial" w:hAnsi="Arial" w:cs="Arial"/>
          <w:sz w:val="20"/>
        </w:rPr>
        <w:t>5</w:t>
      </w:r>
      <w:r>
        <w:rPr>
          <w:rFonts w:ascii="Arial" w:hAnsi="Arial" w:cs="Arial"/>
          <w:sz w:val="20"/>
        </w:rPr>
        <w:t>37</w:t>
      </w:r>
      <w:r w:rsidRPr="00E446C3">
        <w:rPr>
          <w:rFonts w:ascii="Arial" w:hAnsi="Arial" w:cs="Arial"/>
          <w:sz w:val="20"/>
        </w:rPr>
        <w:t xml:space="preserve"> cajeros automáticos, 217 terminales de autoservicio</w:t>
      </w:r>
      <w:r>
        <w:rPr>
          <w:rFonts w:ascii="Arial" w:hAnsi="Arial" w:cs="Arial"/>
          <w:sz w:val="20"/>
        </w:rPr>
        <w:t xml:space="preserve"> y</w:t>
      </w:r>
      <w:r w:rsidRPr="00E446C3">
        <w:rPr>
          <w:rFonts w:ascii="Arial" w:hAnsi="Arial" w:cs="Arial"/>
          <w:sz w:val="20"/>
        </w:rPr>
        <w:t xml:space="preserve"> </w:t>
      </w:r>
      <w:r>
        <w:rPr>
          <w:rFonts w:ascii="Arial" w:hAnsi="Arial" w:cs="Arial"/>
          <w:sz w:val="20"/>
        </w:rPr>
        <w:t>202</w:t>
      </w:r>
      <w:r w:rsidRPr="00E446C3">
        <w:rPr>
          <w:rFonts w:ascii="Arial" w:hAnsi="Arial" w:cs="Arial"/>
          <w:sz w:val="20"/>
        </w:rPr>
        <w:t xml:space="preserve"> ca</w:t>
      </w:r>
      <w:r>
        <w:rPr>
          <w:rFonts w:ascii="Arial" w:hAnsi="Arial" w:cs="Arial"/>
          <w:sz w:val="20"/>
        </w:rPr>
        <w:t>jas rápidas</w:t>
      </w:r>
      <w:r w:rsidRPr="00E446C3">
        <w:rPr>
          <w:rFonts w:ascii="Arial" w:hAnsi="Arial" w:cs="Arial"/>
          <w:sz w:val="20"/>
        </w:rPr>
        <w:t>.</w:t>
      </w:r>
      <w:r w:rsidRPr="00E446C3">
        <w:rPr>
          <w:rFonts w:ascii="Arial" w:hAnsi="Arial" w:cs="Arial"/>
          <w:sz w:val="20"/>
          <w:lang w:eastAsia="es-AR"/>
        </w:rPr>
        <w:t xml:space="preserve"> La ubicación, domicilio y teléfono de las casas operativas pueden consultarse en la página web del Banco (</w:t>
      </w:r>
      <w:hyperlink r:id="rId23" w:history="1">
        <w:r w:rsidRPr="00E446C3">
          <w:rPr>
            <w:rFonts w:ascii="Arial" w:hAnsi="Arial" w:cs="Arial"/>
            <w:sz w:val="20"/>
            <w:u w:val="single"/>
            <w:lang w:eastAsia="es-AR"/>
          </w:rPr>
          <w:t>www.supervielle.com.ar</w:t>
        </w:r>
      </w:hyperlink>
      <w:r w:rsidRPr="00E446C3">
        <w:rPr>
          <w:rFonts w:ascii="Arial" w:hAnsi="Arial" w:cs="Arial"/>
          <w:sz w:val="20"/>
          <w:lang w:eastAsia="es-AR"/>
        </w:rPr>
        <w:t>).</w:t>
      </w:r>
    </w:p>
    <w:p w14:paraId="28C7E476" w14:textId="35E2CCD8" w:rsidR="00032EC8" w:rsidRDefault="00032EC8" w:rsidP="00032EC8">
      <w:pPr>
        <w:tabs>
          <w:tab w:val="left" w:pos="142"/>
        </w:tabs>
        <w:spacing w:after="200" w:line="276" w:lineRule="auto"/>
        <w:contextualSpacing/>
        <w:jc w:val="both"/>
        <w:rPr>
          <w:rFonts w:ascii="Arial" w:hAnsi="Arial" w:cs="Arial"/>
          <w:b/>
          <w:color w:val="0000FF"/>
          <w:sz w:val="20"/>
          <w:lang w:eastAsia="es-AR"/>
        </w:rPr>
      </w:pPr>
    </w:p>
    <w:p w14:paraId="179456A4" w14:textId="70E409EC" w:rsidR="00032EC8" w:rsidRPr="00C84814" w:rsidRDefault="007B6F7B" w:rsidP="00032EC8">
      <w:pPr>
        <w:tabs>
          <w:tab w:val="left" w:pos="142"/>
          <w:tab w:val="left" w:pos="851"/>
        </w:tabs>
        <w:spacing w:after="200" w:line="276" w:lineRule="auto"/>
        <w:contextualSpacing/>
        <w:jc w:val="both"/>
        <w:rPr>
          <w:rFonts w:ascii="Arial" w:hAnsi="Arial" w:cs="Arial"/>
          <w:b/>
          <w:sz w:val="20"/>
          <w:lang w:val="es-ES"/>
        </w:rPr>
      </w:pPr>
      <w:r>
        <w:rPr>
          <w:rFonts w:ascii="Arial" w:hAnsi="Arial" w:cs="Arial"/>
          <w:b/>
          <w:sz w:val="20"/>
        </w:rPr>
        <w:t>14</w:t>
      </w:r>
      <w:r w:rsidR="00032EC8">
        <w:rPr>
          <w:rFonts w:ascii="Arial" w:hAnsi="Arial" w:cs="Arial"/>
          <w:b/>
          <w:sz w:val="20"/>
        </w:rPr>
        <w:t>.10.4.</w:t>
      </w:r>
      <w:r w:rsidR="00032EC8" w:rsidRPr="00C84814">
        <w:rPr>
          <w:rFonts w:ascii="Arial" w:hAnsi="Arial" w:cs="Arial"/>
          <w:b/>
          <w:sz w:val="20"/>
        </w:rPr>
        <w:t xml:space="preserve"> Política de Conducta en los Negocios o Códigos de Ética</w:t>
      </w:r>
    </w:p>
    <w:p w14:paraId="30CC87E7" w14:textId="77777777" w:rsidR="00032EC8" w:rsidRPr="00C84814" w:rsidRDefault="00032EC8" w:rsidP="00032EC8">
      <w:pPr>
        <w:tabs>
          <w:tab w:val="left" w:pos="284"/>
          <w:tab w:val="left" w:pos="567"/>
        </w:tabs>
        <w:rPr>
          <w:rFonts w:ascii="Arial" w:hAnsi="Arial" w:cs="Arial"/>
          <w:b/>
          <w:sz w:val="20"/>
          <w:lang w:val="es-ES"/>
        </w:rPr>
      </w:pPr>
    </w:p>
    <w:p w14:paraId="56818280" w14:textId="77777777" w:rsidR="00427D0C" w:rsidRPr="00AE5EAB" w:rsidRDefault="00427D0C" w:rsidP="00427D0C">
      <w:pPr>
        <w:jc w:val="both"/>
        <w:rPr>
          <w:rFonts w:ascii="Arial" w:hAnsi="Arial" w:cs="Arial"/>
          <w:sz w:val="20"/>
          <w:lang w:val="es-ES"/>
        </w:rPr>
      </w:pPr>
      <w:r w:rsidRPr="00AE5EAB">
        <w:rPr>
          <w:rFonts w:ascii="Arial" w:hAnsi="Arial" w:cs="Arial"/>
          <w:sz w:val="20"/>
          <w:lang w:val="es-ES"/>
        </w:rPr>
        <w:t xml:space="preserve">La entidad cuida que su actividad empresarial se lleve a cabo en cumplimiento del marco legal vigente, la buena fe y las mejores prácticas mercantiles, fomentando la implantación y desarrollo de principios éticos basados en la integridad, transparencia, pluralidad y compromiso con la sociedad que sirvan de base a la cultura corporativa de la Entidad y, en consecuencia, a la actuación en el ámbito de los negocios de todas las personas que forman parte del mismo. </w:t>
      </w:r>
    </w:p>
    <w:p w14:paraId="41783FF1" w14:textId="77777777" w:rsidR="00427D0C" w:rsidRPr="00AE5EAB" w:rsidRDefault="00427D0C" w:rsidP="00427D0C">
      <w:pPr>
        <w:jc w:val="both"/>
        <w:rPr>
          <w:rFonts w:ascii="Arial" w:hAnsi="Arial" w:cs="Arial"/>
          <w:sz w:val="20"/>
          <w:lang w:val="es-ES"/>
        </w:rPr>
      </w:pPr>
    </w:p>
    <w:p w14:paraId="3D39D96B" w14:textId="77777777" w:rsidR="00427D0C" w:rsidRPr="00AE5EAB" w:rsidRDefault="00427D0C" w:rsidP="00427D0C">
      <w:pPr>
        <w:jc w:val="both"/>
        <w:rPr>
          <w:rFonts w:ascii="Arial" w:hAnsi="Arial" w:cs="Arial"/>
          <w:sz w:val="20"/>
          <w:lang w:val="es-ES"/>
        </w:rPr>
      </w:pPr>
      <w:r w:rsidRPr="00AE5EAB">
        <w:rPr>
          <w:rFonts w:ascii="Arial" w:hAnsi="Arial" w:cs="Arial"/>
          <w:sz w:val="20"/>
          <w:lang w:val="es-ES"/>
        </w:rPr>
        <w:t>Para ello ha desarrollado las siguientes acciones:</w:t>
      </w:r>
    </w:p>
    <w:p w14:paraId="6F56A1AE" w14:textId="77777777" w:rsidR="00427D0C" w:rsidRPr="00AE5EAB" w:rsidRDefault="00427D0C" w:rsidP="00427D0C">
      <w:pPr>
        <w:ind w:left="426"/>
        <w:jc w:val="both"/>
        <w:rPr>
          <w:rFonts w:ascii="Arial" w:hAnsi="Arial" w:cs="Arial"/>
          <w:sz w:val="20"/>
          <w:lang w:val="es-ES"/>
        </w:rPr>
      </w:pPr>
    </w:p>
    <w:p w14:paraId="698578CF" w14:textId="77777777" w:rsidR="00427D0C" w:rsidRPr="00AE5EAB" w:rsidRDefault="00427D0C" w:rsidP="00427D0C">
      <w:pPr>
        <w:numPr>
          <w:ilvl w:val="0"/>
          <w:numId w:val="59"/>
        </w:numPr>
        <w:suppressAutoHyphens/>
        <w:spacing w:line="100" w:lineRule="atLeast"/>
        <w:jc w:val="both"/>
        <w:rPr>
          <w:rFonts w:ascii="Arial" w:hAnsi="Arial" w:cs="Arial"/>
          <w:sz w:val="20"/>
          <w:lang w:val="es-ES"/>
        </w:rPr>
      </w:pPr>
      <w:r w:rsidRPr="00AE5EAB">
        <w:rPr>
          <w:rFonts w:ascii="Arial" w:hAnsi="Arial" w:cs="Arial"/>
          <w:sz w:val="20"/>
          <w:lang w:val="es-ES"/>
        </w:rPr>
        <w:t>Adhirió al “Código de Ética” elaborado por Grupo Supervielle, donde se establecen los valores esenciales que distinguen a la Entidad y que guían su accionar diario con clientes, proveedores y empleados en un marco de responsabilidad, respeto, dignidad, transparencia y honestidad.</w:t>
      </w:r>
    </w:p>
    <w:p w14:paraId="40788CEB" w14:textId="77777777" w:rsidR="00427D0C" w:rsidRPr="00AE5EAB" w:rsidRDefault="00427D0C" w:rsidP="00427D0C">
      <w:pPr>
        <w:ind w:left="426"/>
        <w:jc w:val="both"/>
        <w:rPr>
          <w:rFonts w:ascii="Arial" w:hAnsi="Arial" w:cs="Arial"/>
          <w:sz w:val="20"/>
          <w:lang w:val="es-ES"/>
        </w:rPr>
      </w:pPr>
    </w:p>
    <w:p w14:paraId="6BC2E68A" w14:textId="77777777" w:rsidR="00427D0C" w:rsidRPr="00AE5EAB" w:rsidRDefault="00427D0C" w:rsidP="00427D0C">
      <w:pPr>
        <w:numPr>
          <w:ilvl w:val="0"/>
          <w:numId w:val="59"/>
        </w:numPr>
        <w:suppressAutoHyphens/>
        <w:spacing w:line="100" w:lineRule="atLeast"/>
        <w:jc w:val="both"/>
        <w:rPr>
          <w:rFonts w:ascii="Arial" w:hAnsi="Arial" w:cs="Arial"/>
          <w:sz w:val="20"/>
          <w:lang w:val="es-ES"/>
        </w:rPr>
      </w:pPr>
      <w:r w:rsidRPr="00AE5EAB">
        <w:rPr>
          <w:rFonts w:ascii="Arial" w:hAnsi="Arial" w:cs="Arial"/>
          <w:sz w:val="20"/>
          <w:lang w:val="es-ES"/>
        </w:rPr>
        <w:t>Habilitó la “Línea Ética“ por la cual los empleados y proveedores pueden comunicarse de manera anónima (por teléfono o a través de internet) y describir cualquier comportamiento indebido o contrario al Código de Ética que se observe dentro de Banco Supervielle S.A</w:t>
      </w:r>
    </w:p>
    <w:p w14:paraId="2F132DCD" w14:textId="77777777" w:rsidR="00427D0C" w:rsidRPr="00AE5EAB" w:rsidRDefault="00427D0C" w:rsidP="00427D0C">
      <w:pPr>
        <w:ind w:left="426"/>
        <w:rPr>
          <w:rFonts w:ascii="Arial" w:hAnsi="Arial" w:cs="Arial"/>
          <w:sz w:val="20"/>
          <w:lang w:val="es-ES"/>
        </w:rPr>
      </w:pPr>
    </w:p>
    <w:p w14:paraId="0DD0DA15" w14:textId="77777777" w:rsidR="00427D0C" w:rsidRPr="00AE5EAB" w:rsidRDefault="00427D0C" w:rsidP="00427D0C">
      <w:pPr>
        <w:numPr>
          <w:ilvl w:val="0"/>
          <w:numId w:val="59"/>
        </w:numPr>
        <w:suppressAutoHyphens/>
        <w:spacing w:line="100" w:lineRule="atLeast"/>
        <w:jc w:val="both"/>
        <w:rPr>
          <w:rFonts w:ascii="Arial" w:hAnsi="Arial" w:cs="Arial"/>
          <w:sz w:val="20"/>
          <w:lang w:val="es-ES"/>
        </w:rPr>
      </w:pPr>
      <w:r w:rsidRPr="00AE5EAB">
        <w:rPr>
          <w:rFonts w:ascii="Arial" w:hAnsi="Arial" w:cs="Arial"/>
          <w:sz w:val="20"/>
          <w:lang w:val="es-ES"/>
        </w:rPr>
        <w:t>Adhirió al “Código de Prácticas Bancarias“, documento elaborado en conjunto por las distintas Asociaciones de Bancos (ADEBA, ABA, ABE Y ABAPPRA) y Entidades Financieras de la República Argentina con la finalidad de promover las mejores prácticas bancarias en protección del consumidor de productos y servicios financieros fomentando el principio de transparencia de la información</w:t>
      </w:r>
    </w:p>
    <w:p w14:paraId="204B0B7B" w14:textId="77777777" w:rsidR="00427D0C" w:rsidRPr="00AE5EAB" w:rsidRDefault="00427D0C" w:rsidP="00427D0C">
      <w:pPr>
        <w:ind w:left="426"/>
        <w:rPr>
          <w:rFonts w:ascii="Arial" w:hAnsi="Arial" w:cs="Arial"/>
          <w:sz w:val="20"/>
          <w:lang w:val="es-ES"/>
        </w:rPr>
      </w:pPr>
    </w:p>
    <w:p w14:paraId="59D9A1CC" w14:textId="7A043BD5" w:rsidR="00032EC8" w:rsidRPr="00C84814" w:rsidRDefault="00427D0C" w:rsidP="00427D0C">
      <w:pPr>
        <w:jc w:val="both"/>
        <w:rPr>
          <w:rFonts w:ascii="Arial" w:hAnsi="Arial" w:cs="Arial"/>
          <w:sz w:val="20"/>
          <w:lang w:val="es-ES"/>
        </w:rPr>
      </w:pPr>
      <w:r w:rsidRPr="00AE5EAB">
        <w:rPr>
          <w:rFonts w:ascii="Arial" w:hAnsi="Arial" w:cs="Arial"/>
          <w:sz w:val="20"/>
          <w:lang w:val="es-ES"/>
        </w:rPr>
        <w:t>Estas acciones denotan el empeño de la Entidad en reforzar que la actividad de sus empleados, gerentes y directores se lleve a cabo dentro de un marco de principios éticos, normativos y en un ambiente de control interno y mitigación de riesgos, todo ello como evidencia de la responsabilidad de la entidad con la comunidad en general.</w:t>
      </w:r>
    </w:p>
    <w:p w14:paraId="0D2100DB" w14:textId="77777777" w:rsidR="00032EC8" w:rsidRPr="00C84814" w:rsidRDefault="00032EC8" w:rsidP="00032EC8">
      <w:pPr>
        <w:tabs>
          <w:tab w:val="left" w:pos="142"/>
          <w:tab w:val="left" w:pos="426"/>
        </w:tabs>
        <w:jc w:val="both"/>
        <w:rPr>
          <w:rFonts w:ascii="Arial" w:hAnsi="Arial" w:cs="Arial"/>
          <w:sz w:val="20"/>
          <w:lang w:val="es-ES"/>
        </w:rPr>
      </w:pPr>
    </w:p>
    <w:p w14:paraId="462A7AB2" w14:textId="4B79B836" w:rsidR="00032EC8" w:rsidRPr="00C84814" w:rsidRDefault="007B6F7B" w:rsidP="007B6F7B">
      <w:pPr>
        <w:tabs>
          <w:tab w:val="left" w:pos="142"/>
        </w:tabs>
        <w:spacing w:after="200" w:line="276" w:lineRule="auto"/>
        <w:contextualSpacing/>
        <w:jc w:val="both"/>
        <w:rPr>
          <w:rFonts w:ascii="Arial" w:hAnsi="Arial" w:cs="Arial"/>
          <w:b/>
          <w:sz w:val="20"/>
          <w:lang w:val="es-ES" w:eastAsia="es-AR"/>
        </w:rPr>
      </w:pPr>
      <w:r>
        <w:rPr>
          <w:rFonts w:ascii="Arial" w:hAnsi="Arial" w:cs="Arial"/>
          <w:b/>
          <w:sz w:val="20"/>
          <w:lang w:val="es-ES" w:eastAsia="es-AR"/>
        </w:rPr>
        <w:t>14</w:t>
      </w:r>
      <w:r w:rsidR="00032EC8">
        <w:rPr>
          <w:rFonts w:ascii="Arial" w:hAnsi="Arial" w:cs="Arial"/>
          <w:b/>
          <w:sz w:val="20"/>
          <w:lang w:val="es-ES" w:eastAsia="es-AR"/>
        </w:rPr>
        <w:t>.10.5.</w:t>
      </w:r>
      <w:r w:rsidR="00032EC8" w:rsidRPr="00C84814">
        <w:rPr>
          <w:rFonts w:ascii="Arial" w:hAnsi="Arial" w:cs="Arial"/>
          <w:b/>
          <w:sz w:val="20"/>
          <w:lang w:val="es-ES" w:eastAsia="es-AR"/>
        </w:rPr>
        <w:t xml:space="preserve">  Rol de Agente Financiero del Sector Público no Financiero</w:t>
      </w:r>
    </w:p>
    <w:p w14:paraId="66B1CDC9" w14:textId="77777777" w:rsidR="00032EC8" w:rsidRPr="00C84814" w:rsidRDefault="00032EC8" w:rsidP="00032EC8">
      <w:pPr>
        <w:tabs>
          <w:tab w:val="left" w:pos="142"/>
        </w:tabs>
        <w:spacing w:after="200" w:line="276" w:lineRule="auto"/>
        <w:ind w:left="708"/>
        <w:contextualSpacing/>
        <w:jc w:val="both"/>
        <w:rPr>
          <w:rFonts w:ascii="Arial" w:hAnsi="Arial" w:cs="Arial"/>
          <w:b/>
          <w:sz w:val="20"/>
          <w:lang w:val="es-ES" w:eastAsia="es-AR"/>
        </w:rPr>
      </w:pPr>
    </w:p>
    <w:p w14:paraId="359AFAA6" w14:textId="77777777" w:rsidR="002D6E8A" w:rsidRPr="0011610F" w:rsidRDefault="002D6E8A" w:rsidP="002D6E8A">
      <w:pPr>
        <w:tabs>
          <w:tab w:val="left" w:pos="142"/>
        </w:tabs>
        <w:spacing w:after="200" w:line="276" w:lineRule="auto"/>
        <w:contextualSpacing/>
        <w:jc w:val="both"/>
        <w:rPr>
          <w:rFonts w:ascii="Arial" w:hAnsi="Arial" w:cs="Arial"/>
          <w:sz w:val="20"/>
          <w:lang w:val="es-ES" w:eastAsia="es-AR"/>
        </w:rPr>
      </w:pPr>
      <w:r w:rsidRPr="0011610F">
        <w:rPr>
          <w:rFonts w:ascii="Arial" w:hAnsi="Arial" w:cs="Arial"/>
          <w:sz w:val="20"/>
          <w:lang w:val="es-ES" w:eastAsia="es-AR"/>
        </w:rPr>
        <w:t>La actuación y trayectoria de la Entidad en su rol de Agente Financiero del Sector Público puede resumirse de la siguiente manera:</w:t>
      </w:r>
    </w:p>
    <w:p w14:paraId="158E7C1D" w14:textId="77777777" w:rsidR="002D6E8A" w:rsidRPr="0011610F" w:rsidRDefault="002D6E8A" w:rsidP="002D6E8A">
      <w:pPr>
        <w:numPr>
          <w:ilvl w:val="0"/>
          <w:numId w:val="73"/>
        </w:numPr>
        <w:tabs>
          <w:tab w:val="left" w:pos="142"/>
        </w:tabs>
        <w:spacing w:after="200" w:line="276" w:lineRule="auto"/>
        <w:contextualSpacing/>
        <w:jc w:val="both"/>
        <w:rPr>
          <w:rFonts w:ascii="Arial" w:hAnsi="Arial" w:cs="Arial"/>
          <w:sz w:val="20"/>
          <w:lang w:val="es-ES"/>
        </w:rPr>
      </w:pPr>
      <w:r w:rsidRPr="0011610F">
        <w:rPr>
          <w:rFonts w:ascii="Arial" w:hAnsi="Arial" w:cs="Arial"/>
          <w:sz w:val="20"/>
          <w:lang w:val="es-ES"/>
        </w:rPr>
        <w:t>Agente Financiero de la Provincia de San Luis desde del mes de Julio de 1996. (</w:t>
      </w:r>
      <w:r>
        <w:rPr>
          <w:rFonts w:ascii="Arial" w:hAnsi="Arial" w:cs="Arial"/>
          <w:sz w:val="20"/>
          <w:lang w:val="es-ES"/>
        </w:rPr>
        <w:t>Ve</w:t>
      </w:r>
      <w:r w:rsidRPr="0011610F">
        <w:rPr>
          <w:rFonts w:ascii="Arial" w:hAnsi="Arial" w:cs="Arial"/>
          <w:sz w:val="20"/>
          <w:lang w:val="es-ES"/>
        </w:rPr>
        <w:t xml:space="preserve">r </w:t>
      </w:r>
      <w:r>
        <w:rPr>
          <w:rFonts w:ascii="Arial" w:hAnsi="Arial" w:cs="Arial"/>
          <w:sz w:val="20"/>
          <w:lang w:val="es-ES"/>
        </w:rPr>
        <w:t>N</w:t>
      </w:r>
      <w:r w:rsidRPr="0011610F">
        <w:rPr>
          <w:rFonts w:ascii="Arial" w:hAnsi="Arial" w:cs="Arial"/>
          <w:sz w:val="20"/>
          <w:lang w:val="es-ES"/>
        </w:rPr>
        <w:t xml:space="preserve">ota </w:t>
      </w:r>
      <w:r>
        <w:rPr>
          <w:rFonts w:ascii="Arial" w:hAnsi="Arial" w:cs="Arial"/>
          <w:sz w:val="20"/>
          <w:lang w:val="es-ES"/>
        </w:rPr>
        <w:t>16 siguiente</w:t>
      </w:r>
      <w:r w:rsidRPr="0011610F">
        <w:rPr>
          <w:rFonts w:ascii="Arial" w:hAnsi="Arial" w:cs="Arial"/>
          <w:sz w:val="20"/>
          <w:lang w:val="es-ES"/>
        </w:rPr>
        <w:t>)</w:t>
      </w:r>
      <w:r w:rsidRPr="0011610F">
        <w:rPr>
          <w:rFonts w:ascii="Arial" w:hAnsi="Arial" w:cs="Arial"/>
          <w:sz w:val="20"/>
          <w:lang w:val="es-ES"/>
        </w:rPr>
        <w:tab/>
      </w:r>
    </w:p>
    <w:p w14:paraId="163C14CB" w14:textId="1BA9620C" w:rsidR="002D6E8A" w:rsidRDefault="002D6E8A" w:rsidP="002D6E8A">
      <w:pPr>
        <w:numPr>
          <w:ilvl w:val="0"/>
          <w:numId w:val="73"/>
        </w:numPr>
        <w:tabs>
          <w:tab w:val="left" w:pos="142"/>
        </w:tabs>
        <w:spacing w:after="200" w:line="276" w:lineRule="auto"/>
        <w:contextualSpacing/>
        <w:jc w:val="both"/>
        <w:rPr>
          <w:rFonts w:ascii="Arial" w:hAnsi="Arial" w:cs="Arial"/>
          <w:sz w:val="20"/>
          <w:lang w:val="es-ES"/>
        </w:rPr>
      </w:pPr>
      <w:r w:rsidRPr="0011610F">
        <w:rPr>
          <w:rFonts w:ascii="Arial" w:hAnsi="Arial" w:cs="Arial"/>
          <w:sz w:val="20"/>
          <w:lang w:val="es-ES"/>
        </w:rPr>
        <w:t xml:space="preserve">Agente Financiero de la Municipalidad de la Ciudad de Godoy Cruz desde el mes de </w:t>
      </w:r>
      <w:r w:rsidR="00C171D4">
        <w:rPr>
          <w:rFonts w:ascii="Arial" w:hAnsi="Arial" w:cs="Arial"/>
          <w:sz w:val="20"/>
          <w:lang w:val="es-ES"/>
        </w:rPr>
        <w:t>abril</w:t>
      </w:r>
      <w:r w:rsidRPr="0011610F">
        <w:rPr>
          <w:rFonts w:ascii="Arial" w:hAnsi="Arial" w:cs="Arial"/>
          <w:sz w:val="20"/>
          <w:lang w:val="es-ES"/>
        </w:rPr>
        <w:t xml:space="preserve"> del 2009.</w:t>
      </w:r>
    </w:p>
    <w:p w14:paraId="19F66253" w14:textId="7BAB4101" w:rsidR="002D6E8A" w:rsidRPr="0011610F" w:rsidRDefault="002D6E8A" w:rsidP="002D6E8A">
      <w:pPr>
        <w:numPr>
          <w:ilvl w:val="0"/>
          <w:numId w:val="73"/>
        </w:numPr>
        <w:tabs>
          <w:tab w:val="left" w:pos="142"/>
        </w:tabs>
        <w:spacing w:after="200" w:line="276" w:lineRule="auto"/>
        <w:contextualSpacing/>
        <w:jc w:val="both"/>
        <w:rPr>
          <w:rFonts w:ascii="Arial" w:hAnsi="Arial" w:cs="Arial"/>
          <w:sz w:val="20"/>
          <w:lang w:val="es-ES"/>
        </w:rPr>
      </w:pPr>
      <w:r w:rsidRPr="0011610F">
        <w:rPr>
          <w:rFonts w:ascii="Arial" w:hAnsi="Arial" w:cs="Arial"/>
          <w:sz w:val="20"/>
          <w:lang w:val="es-ES"/>
        </w:rPr>
        <w:t xml:space="preserve">Agente Financiero de la Municipalidad de la Ciudad de Mendoza desde el mes de </w:t>
      </w:r>
      <w:r w:rsidR="00C171D4" w:rsidRPr="0011610F">
        <w:rPr>
          <w:rFonts w:ascii="Arial" w:hAnsi="Arial" w:cs="Arial"/>
          <w:sz w:val="20"/>
          <w:lang w:val="es-ES"/>
        </w:rPr>
        <w:t>marzo</w:t>
      </w:r>
      <w:r w:rsidRPr="0011610F">
        <w:rPr>
          <w:rFonts w:ascii="Arial" w:hAnsi="Arial" w:cs="Arial"/>
          <w:sz w:val="20"/>
          <w:lang w:val="es-ES"/>
        </w:rPr>
        <w:t xml:space="preserve"> del 2010.</w:t>
      </w:r>
    </w:p>
    <w:p w14:paraId="1C26D4EF" w14:textId="6762A1A1" w:rsidR="002D6E8A" w:rsidRPr="0011610F" w:rsidRDefault="002D6E8A" w:rsidP="002D6E8A">
      <w:pPr>
        <w:numPr>
          <w:ilvl w:val="0"/>
          <w:numId w:val="73"/>
        </w:numPr>
        <w:tabs>
          <w:tab w:val="left" w:pos="142"/>
        </w:tabs>
        <w:spacing w:after="200" w:line="276" w:lineRule="auto"/>
        <w:contextualSpacing/>
        <w:jc w:val="both"/>
        <w:rPr>
          <w:rFonts w:ascii="Arial" w:hAnsi="Arial" w:cs="Arial"/>
          <w:sz w:val="20"/>
          <w:lang w:val="es-ES"/>
        </w:rPr>
      </w:pPr>
      <w:r w:rsidRPr="0011610F">
        <w:rPr>
          <w:rFonts w:ascii="Arial" w:hAnsi="Arial" w:cs="Arial"/>
          <w:sz w:val="20"/>
          <w:lang w:val="es-ES"/>
        </w:rPr>
        <w:t xml:space="preserve">Agente Financiero de la Municipalidad de la Ciudad de San Martín, Provincia de Mendoza desde el mes de </w:t>
      </w:r>
      <w:r w:rsidR="00C171D4" w:rsidRPr="0011610F">
        <w:rPr>
          <w:rFonts w:ascii="Arial" w:hAnsi="Arial" w:cs="Arial"/>
          <w:sz w:val="20"/>
          <w:lang w:val="es-ES"/>
        </w:rPr>
        <w:t>marzo</w:t>
      </w:r>
      <w:r w:rsidRPr="0011610F">
        <w:rPr>
          <w:rFonts w:ascii="Arial" w:hAnsi="Arial" w:cs="Arial"/>
          <w:sz w:val="20"/>
          <w:lang w:val="es-ES"/>
        </w:rPr>
        <w:t xml:space="preserve"> del 2010.</w:t>
      </w:r>
    </w:p>
    <w:p w14:paraId="18C392F1" w14:textId="77777777" w:rsidR="002D6E8A" w:rsidRDefault="002D6E8A" w:rsidP="002D6E8A">
      <w:pPr>
        <w:numPr>
          <w:ilvl w:val="0"/>
          <w:numId w:val="73"/>
        </w:numPr>
        <w:tabs>
          <w:tab w:val="left" w:pos="142"/>
        </w:tabs>
        <w:spacing w:after="200" w:line="276" w:lineRule="auto"/>
        <w:contextualSpacing/>
        <w:jc w:val="both"/>
        <w:rPr>
          <w:rFonts w:ascii="Arial" w:hAnsi="Arial" w:cs="Arial"/>
          <w:sz w:val="20"/>
          <w:lang w:val="es-ES"/>
        </w:rPr>
      </w:pPr>
      <w:r w:rsidRPr="0011610F">
        <w:rPr>
          <w:rFonts w:ascii="Arial" w:hAnsi="Arial" w:cs="Arial"/>
          <w:sz w:val="20"/>
          <w:lang w:val="es-ES"/>
        </w:rPr>
        <w:t>Agente Financiero de la Municipalidad de Luján de Cuyo, Provincia de Mendoza desde el mes de marzo de 2015.</w:t>
      </w:r>
    </w:p>
    <w:p w14:paraId="21E8F148" w14:textId="77777777" w:rsidR="002D6E8A" w:rsidRDefault="002D6E8A" w:rsidP="002D6E8A">
      <w:pPr>
        <w:numPr>
          <w:ilvl w:val="0"/>
          <w:numId w:val="73"/>
        </w:numPr>
        <w:tabs>
          <w:tab w:val="left" w:pos="142"/>
        </w:tabs>
        <w:spacing w:after="200" w:line="276" w:lineRule="auto"/>
        <w:contextualSpacing/>
        <w:jc w:val="both"/>
        <w:rPr>
          <w:rFonts w:ascii="Arial" w:hAnsi="Arial" w:cs="Arial"/>
          <w:sz w:val="20"/>
          <w:lang w:val="es-ES"/>
        </w:rPr>
      </w:pPr>
      <w:r w:rsidRPr="00E04FC6">
        <w:rPr>
          <w:rFonts w:ascii="Arial" w:hAnsi="Arial" w:cs="Arial"/>
          <w:sz w:val="20"/>
          <w:lang w:val="es-ES"/>
        </w:rPr>
        <w:t>Agente Financiero de la Universidad de la Matanza, Provincia de Buenos Aires desde el mes de marzo de 2017</w:t>
      </w:r>
    </w:p>
    <w:p w14:paraId="007D26CF" w14:textId="5540EBC1" w:rsidR="002D6E8A" w:rsidRPr="00192F32" w:rsidRDefault="002D6E8A" w:rsidP="002D6E8A">
      <w:pPr>
        <w:numPr>
          <w:ilvl w:val="0"/>
          <w:numId w:val="73"/>
        </w:numPr>
        <w:tabs>
          <w:tab w:val="left" w:pos="142"/>
        </w:tabs>
        <w:spacing w:after="200" w:line="276" w:lineRule="auto"/>
        <w:contextualSpacing/>
        <w:jc w:val="both"/>
      </w:pPr>
      <w:r w:rsidRPr="00E04FC6">
        <w:rPr>
          <w:rFonts w:ascii="Arial" w:hAnsi="Arial" w:cs="Arial"/>
          <w:sz w:val="20"/>
          <w:lang w:val="es-ES"/>
        </w:rPr>
        <w:t>Agente Financiero de la Municipalidad de Las Heras, Provincia de Mendoza desde el mes de abril de 2017.</w:t>
      </w:r>
    </w:p>
    <w:p w14:paraId="5A857F77" w14:textId="5C4689E5" w:rsidR="00032EC8" w:rsidRPr="00192F32" w:rsidRDefault="002D6E8A" w:rsidP="002D6E8A">
      <w:pPr>
        <w:numPr>
          <w:ilvl w:val="0"/>
          <w:numId w:val="73"/>
        </w:numPr>
        <w:tabs>
          <w:tab w:val="left" w:pos="142"/>
        </w:tabs>
        <w:spacing w:after="200" w:line="276" w:lineRule="auto"/>
        <w:contextualSpacing/>
        <w:jc w:val="both"/>
      </w:pPr>
      <w:r w:rsidRPr="00192F32">
        <w:rPr>
          <w:rFonts w:ascii="Arial" w:hAnsi="Arial" w:cs="Arial"/>
          <w:sz w:val="20"/>
          <w:lang w:val="es-ES"/>
        </w:rPr>
        <w:t>Agente Financiero de la Municipalidad de La ciudad de San Luis, Provincia de San Luis desde el mes de mayo de 2018.</w:t>
      </w:r>
    </w:p>
    <w:p w14:paraId="4E77E3FA" w14:textId="77777777" w:rsidR="00032EC8" w:rsidRPr="00C84814" w:rsidRDefault="00032EC8" w:rsidP="00032EC8">
      <w:pPr>
        <w:tabs>
          <w:tab w:val="left" w:pos="142"/>
        </w:tabs>
        <w:spacing w:after="200" w:line="276" w:lineRule="auto"/>
        <w:ind w:left="1428"/>
        <w:jc w:val="both"/>
        <w:rPr>
          <w:rFonts w:ascii="Arial" w:hAnsi="Arial" w:cs="Arial"/>
          <w:sz w:val="20"/>
          <w:lang w:val="es-ES"/>
        </w:rPr>
      </w:pPr>
    </w:p>
    <w:p w14:paraId="6871CF4D" w14:textId="3CA579C3" w:rsidR="00032EC8" w:rsidRPr="00C84814" w:rsidRDefault="007B6F7B" w:rsidP="007B6F7B">
      <w:pPr>
        <w:tabs>
          <w:tab w:val="left" w:pos="142"/>
        </w:tabs>
        <w:jc w:val="both"/>
        <w:rPr>
          <w:rFonts w:ascii="Arial" w:hAnsi="Arial" w:cs="Arial"/>
          <w:b/>
          <w:sz w:val="20"/>
          <w:lang w:val="es-ES"/>
        </w:rPr>
      </w:pPr>
      <w:r>
        <w:rPr>
          <w:rFonts w:ascii="Arial" w:hAnsi="Arial" w:cs="Arial"/>
          <w:b/>
          <w:sz w:val="20"/>
          <w:lang w:val="es-ES"/>
        </w:rPr>
        <w:t>14</w:t>
      </w:r>
      <w:r w:rsidR="00032EC8">
        <w:rPr>
          <w:rFonts w:ascii="Arial" w:hAnsi="Arial" w:cs="Arial"/>
          <w:b/>
          <w:sz w:val="20"/>
          <w:lang w:val="es-ES"/>
        </w:rPr>
        <w:t>.10.6.</w:t>
      </w:r>
      <w:r w:rsidR="00032EC8" w:rsidRPr="00C84814">
        <w:rPr>
          <w:rFonts w:ascii="Arial" w:hAnsi="Arial" w:cs="Arial"/>
          <w:b/>
          <w:sz w:val="20"/>
          <w:lang w:val="es-ES"/>
        </w:rPr>
        <w:t xml:space="preserve">  Políticas relativas al conflicto de intereses, naturaleza y extensión de las operaciones con subsidiarias y vinculadas, incluyendo los asuntos relacionados con la entidad en los cuales tengan intereses directos, indirectos o en nombre del Directorio y de la Alta Gerencia</w:t>
      </w:r>
    </w:p>
    <w:p w14:paraId="712AA2DF" w14:textId="77777777" w:rsidR="00032EC8" w:rsidRPr="00C84814" w:rsidRDefault="00032EC8" w:rsidP="00032EC8">
      <w:pPr>
        <w:rPr>
          <w:rFonts w:ascii="Arial" w:hAnsi="Arial" w:cs="Arial"/>
          <w:sz w:val="20"/>
          <w:lang w:val="es-ES"/>
        </w:rPr>
      </w:pPr>
    </w:p>
    <w:p w14:paraId="0BB7466B" w14:textId="2A3ED8B2" w:rsidR="00032EC8" w:rsidRPr="00C84814" w:rsidRDefault="00032EC8" w:rsidP="00032EC8">
      <w:pPr>
        <w:rPr>
          <w:rFonts w:ascii="Arial" w:hAnsi="Arial" w:cs="Arial"/>
          <w:sz w:val="20"/>
          <w:lang w:val="es-ES"/>
        </w:rPr>
      </w:pPr>
      <w:r w:rsidRPr="00C84814">
        <w:rPr>
          <w:rFonts w:ascii="Arial" w:hAnsi="Arial" w:cs="Arial"/>
          <w:sz w:val="20"/>
          <w:lang w:val="es-ES"/>
        </w:rPr>
        <w:t xml:space="preserve">Ver últimos párrafos de la Nota </w:t>
      </w:r>
      <w:r>
        <w:rPr>
          <w:rFonts w:ascii="Arial" w:hAnsi="Arial" w:cs="Arial"/>
          <w:sz w:val="20"/>
          <w:lang w:val="es-ES"/>
        </w:rPr>
        <w:t>1</w:t>
      </w:r>
      <w:r w:rsidR="00427D0C">
        <w:rPr>
          <w:rFonts w:ascii="Arial" w:hAnsi="Arial" w:cs="Arial"/>
          <w:sz w:val="20"/>
          <w:lang w:val="es-ES"/>
        </w:rPr>
        <w:t>4</w:t>
      </w:r>
      <w:r>
        <w:rPr>
          <w:rFonts w:ascii="Arial" w:hAnsi="Arial" w:cs="Arial"/>
          <w:sz w:val="20"/>
          <w:lang w:val="es-ES"/>
        </w:rPr>
        <w:t>.10</w:t>
      </w:r>
      <w:r w:rsidRPr="00C84814">
        <w:rPr>
          <w:rFonts w:ascii="Arial" w:hAnsi="Arial" w:cs="Arial"/>
          <w:sz w:val="20"/>
          <w:lang w:val="es-ES"/>
        </w:rPr>
        <w:t xml:space="preserve">.1.1. </w:t>
      </w:r>
      <w:r>
        <w:rPr>
          <w:rFonts w:ascii="Arial" w:hAnsi="Arial" w:cs="Arial"/>
          <w:sz w:val="20"/>
          <w:lang w:val="es-ES"/>
        </w:rPr>
        <w:t>precedente</w:t>
      </w:r>
      <w:r w:rsidRPr="00C84814">
        <w:rPr>
          <w:rFonts w:ascii="Arial" w:hAnsi="Arial" w:cs="Arial"/>
          <w:sz w:val="20"/>
          <w:lang w:val="es-ES"/>
        </w:rPr>
        <w:t>.</w:t>
      </w:r>
    </w:p>
    <w:p w14:paraId="46009F88" w14:textId="77777777" w:rsidR="007B6F7B" w:rsidRDefault="007B6F7B" w:rsidP="007B6F7B">
      <w:pPr>
        <w:rPr>
          <w:rFonts w:ascii="Arial" w:hAnsi="Arial" w:cs="Arial"/>
          <w:b/>
          <w:sz w:val="20"/>
          <w:lang w:val="es-ES"/>
        </w:rPr>
      </w:pPr>
    </w:p>
    <w:p w14:paraId="693D2032" w14:textId="77777777" w:rsidR="00BA5C58" w:rsidRDefault="00BA5C58" w:rsidP="007B6F7B">
      <w:pPr>
        <w:rPr>
          <w:rFonts w:ascii="Arial" w:hAnsi="Arial" w:cs="Arial"/>
          <w:b/>
          <w:sz w:val="20"/>
          <w:lang w:val="es-ES"/>
        </w:rPr>
      </w:pPr>
    </w:p>
    <w:p w14:paraId="7245FE2D" w14:textId="7973C442" w:rsidR="00032EC8" w:rsidRPr="00C84814" w:rsidRDefault="007B6F7B" w:rsidP="007B6F7B">
      <w:pPr>
        <w:rPr>
          <w:rFonts w:ascii="Arial" w:hAnsi="Arial" w:cs="Arial"/>
          <w:b/>
          <w:sz w:val="20"/>
          <w:lang w:val="es-ES"/>
        </w:rPr>
      </w:pPr>
      <w:r>
        <w:rPr>
          <w:rFonts w:ascii="Arial" w:hAnsi="Arial" w:cs="Arial"/>
          <w:b/>
          <w:sz w:val="20"/>
          <w:lang w:val="es-ES"/>
        </w:rPr>
        <w:t>14</w:t>
      </w:r>
      <w:r w:rsidR="00032EC8">
        <w:rPr>
          <w:rFonts w:ascii="Arial" w:hAnsi="Arial" w:cs="Arial"/>
          <w:b/>
          <w:sz w:val="20"/>
          <w:lang w:val="es-ES"/>
        </w:rPr>
        <w:t>.10.7.</w:t>
      </w:r>
      <w:r w:rsidR="00032EC8" w:rsidRPr="00C84814">
        <w:rPr>
          <w:rFonts w:ascii="Arial" w:hAnsi="Arial" w:cs="Arial"/>
          <w:b/>
          <w:sz w:val="20"/>
          <w:lang w:val="es-ES"/>
        </w:rPr>
        <w:t xml:space="preserve">  Utilización de estructuras complejas</w:t>
      </w:r>
    </w:p>
    <w:p w14:paraId="0234FAD0" w14:textId="77777777" w:rsidR="00032EC8" w:rsidRPr="00C84814" w:rsidRDefault="00032EC8" w:rsidP="00032EC8">
      <w:pPr>
        <w:ind w:left="708"/>
        <w:rPr>
          <w:rFonts w:ascii="Arial" w:hAnsi="Arial" w:cs="Arial"/>
          <w:b/>
          <w:sz w:val="20"/>
          <w:lang w:val="es-ES"/>
        </w:rPr>
      </w:pPr>
    </w:p>
    <w:p w14:paraId="4586B7C8" w14:textId="61AAC333" w:rsidR="00032EC8" w:rsidRDefault="00032EC8" w:rsidP="00032EC8">
      <w:pPr>
        <w:jc w:val="both"/>
        <w:rPr>
          <w:rFonts w:ascii="Arial" w:eastAsia="Calibri" w:hAnsi="Arial" w:cs="Arial"/>
          <w:sz w:val="20"/>
          <w:lang w:val="es-ES"/>
        </w:rPr>
      </w:pPr>
      <w:r w:rsidRPr="0011610F">
        <w:rPr>
          <w:rFonts w:ascii="Arial" w:eastAsia="Calibri" w:hAnsi="Arial" w:cs="Arial"/>
          <w:sz w:val="20"/>
        </w:rPr>
        <w:t>En el marco de la política de riesgo financiero que procura minimizar el descalce de plazos, la Entidad ha utilizado como herramienta la emisión de fideicomisos financieros de cartera propi</w:t>
      </w:r>
      <w:r>
        <w:rPr>
          <w:rFonts w:ascii="Arial" w:eastAsia="Calibri" w:hAnsi="Arial" w:cs="Arial"/>
          <w:sz w:val="20"/>
        </w:rPr>
        <w:t>a.  Desde 2003 hasta el año 201</w:t>
      </w:r>
      <w:r w:rsidR="00BE0F28">
        <w:rPr>
          <w:rFonts w:ascii="Arial" w:eastAsia="Calibri" w:hAnsi="Arial" w:cs="Arial"/>
          <w:sz w:val="20"/>
        </w:rPr>
        <w:t>9</w:t>
      </w:r>
      <w:r w:rsidRPr="0011610F">
        <w:rPr>
          <w:rFonts w:ascii="Arial" w:eastAsia="Calibri" w:hAnsi="Arial" w:cs="Arial"/>
          <w:sz w:val="20"/>
        </w:rPr>
        <w:t xml:space="preserve">, la Entidad </w:t>
      </w:r>
      <w:r>
        <w:rPr>
          <w:rFonts w:ascii="Arial" w:eastAsia="Calibri" w:hAnsi="Arial" w:cs="Arial"/>
          <w:sz w:val="20"/>
          <w:lang w:val="es-ES"/>
        </w:rPr>
        <w:t>emitió 15.526</w:t>
      </w:r>
      <w:r w:rsidRPr="0011610F">
        <w:rPr>
          <w:rFonts w:ascii="Arial" w:eastAsia="Calibri" w:hAnsi="Arial" w:cs="Arial"/>
          <w:sz w:val="20"/>
          <w:lang w:val="es-ES"/>
        </w:rPr>
        <w:t xml:space="preserve">.848 </w:t>
      </w:r>
      <w:r w:rsidRPr="0011610F">
        <w:rPr>
          <w:rFonts w:ascii="Arial" w:eastAsia="Calibri" w:hAnsi="Arial" w:cs="Arial"/>
          <w:sz w:val="20"/>
        </w:rPr>
        <w:t>en fideicomisos</w:t>
      </w:r>
      <w:r w:rsidRPr="0011610F">
        <w:rPr>
          <w:rFonts w:ascii="Arial" w:eastAsia="Calibri" w:hAnsi="Arial" w:cs="Arial"/>
          <w:sz w:val="20"/>
          <w:lang w:val="es-ES"/>
        </w:rPr>
        <w:t xml:space="preserve"> financi</w:t>
      </w:r>
      <w:r>
        <w:rPr>
          <w:rFonts w:ascii="Arial" w:eastAsia="Calibri" w:hAnsi="Arial" w:cs="Arial"/>
          <w:sz w:val="20"/>
          <w:lang w:val="es-ES"/>
        </w:rPr>
        <w:t>eros de diversos activos, 13.983</w:t>
      </w:r>
      <w:r w:rsidRPr="0011610F">
        <w:rPr>
          <w:rFonts w:ascii="Arial" w:eastAsia="Calibri" w:hAnsi="Arial" w:cs="Arial"/>
          <w:sz w:val="20"/>
          <w:lang w:val="es-ES"/>
        </w:rPr>
        <w:t>.352 correspondientes a Préstamos Personales, 1.330.976 correspo</w:t>
      </w:r>
      <w:r>
        <w:rPr>
          <w:rFonts w:ascii="Arial" w:eastAsia="Calibri" w:hAnsi="Arial" w:cs="Arial"/>
          <w:sz w:val="20"/>
          <w:lang w:val="es-ES"/>
        </w:rPr>
        <w:t>ndientes a Leasing y otros por </w:t>
      </w:r>
      <w:r w:rsidRPr="0011610F">
        <w:rPr>
          <w:rFonts w:ascii="Arial" w:eastAsia="Calibri" w:hAnsi="Arial" w:cs="Arial"/>
          <w:sz w:val="20"/>
          <w:lang w:val="es-ES"/>
        </w:rPr>
        <w:t>212.520, alcanzando en todas las emisiones mencionadas un elevado nivel de calidad y performance.</w:t>
      </w:r>
      <w:r>
        <w:rPr>
          <w:rFonts w:ascii="Arial" w:eastAsia="Calibri" w:hAnsi="Arial" w:cs="Arial"/>
          <w:sz w:val="20"/>
          <w:lang w:val="es-ES"/>
        </w:rPr>
        <w:t xml:space="preserve">  A partir de 2018 la utilización de este instrumento financiero como herramienta de fondeo se realizó en forma puntual dependiendo de las condiciones del mercado.  </w:t>
      </w:r>
    </w:p>
    <w:p w14:paraId="5C4552AB" w14:textId="77777777" w:rsidR="00032EC8" w:rsidRDefault="00032EC8" w:rsidP="00032EC8">
      <w:pPr>
        <w:rPr>
          <w:rFonts w:ascii="Arial" w:hAnsi="Arial" w:cs="Arial"/>
          <w:b/>
          <w:color w:val="0000FF"/>
          <w:sz w:val="20"/>
        </w:rPr>
      </w:pPr>
    </w:p>
    <w:p w14:paraId="6A8140E3" w14:textId="314B078D" w:rsidR="00032EC8" w:rsidRPr="00C84814" w:rsidRDefault="007B6F7B" w:rsidP="00032EC8">
      <w:pPr>
        <w:tabs>
          <w:tab w:val="left" w:pos="142"/>
          <w:tab w:val="left" w:pos="851"/>
        </w:tabs>
        <w:spacing w:after="200" w:line="276" w:lineRule="auto"/>
        <w:contextualSpacing/>
        <w:jc w:val="both"/>
        <w:rPr>
          <w:rFonts w:ascii="Arial" w:hAnsi="Arial" w:cs="Arial"/>
          <w:b/>
          <w:sz w:val="20"/>
          <w:lang w:eastAsia="es-AR"/>
        </w:rPr>
      </w:pPr>
      <w:r>
        <w:rPr>
          <w:rFonts w:ascii="Arial" w:hAnsi="Arial" w:cs="Arial"/>
          <w:b/>
          <w:sz w:val="20"/>
          <w:lang w:eastAsia="es-AR"/>
        </w:rPr>
        <w:t>14</w:t>
      </w:r>
      <w:r w:rsidR="00032EC8">
        <w:rPr>
          <w:rFonts w:ascii="Arial" w:hAnsi="Arial" w:cs="Arial"/>
          <w:b/>
          <w:sz w:val="20"/>
          <w:lang w:eastAsia="es-AR"/>
        </w:rPr>
        <w:t xml:space="preserve">.10.8. </w:t>
      </w:r>
      <w:r w:rsidR="00032EC8" w:rsidRPr="00C84814">
        <w:rPr>
          <w:rFonts w:ascii="Arial" w:hAnsi="Arial" w:cs="Arial"/>
          <w:b/>
          <w:sz w:val="20"/>
          <w:lang w:eastAsia="es-AR"/>
        </w:rPr>
        <w:t xml:space="preserve"> Información relativa a sus prácticas de incentivos económicos al personal</w:t>
      </w:r>
    </w:p>
    <w:p w14:paraId="7BA32B57" w14:textId="77777777" w:rsidR="00032EC8" w:rsidRPr="00C84814" w:rsidRDefault="00032EC8" w:rsidP="00032EC8">
      <w:pPr>
        <w:tabs>
          <w:tab w:val="left" w:pos="142"/>
        </w:tabs>
        <w:spacing w:after="200" w:line="276" w:lineRule="auto"/>
        <w:contextualSpacing/>
        <w:jc w:val="both"/>
        <w:rPr>
          <w:rFonts w:ascii="Arial" w:hAnsi="Arial" w:cs="Arial"/>
          <w:b/>
          <w:sz w:val="20"/>
          <w:lang w:eastAsia="es-AR"/>
        </w:rPr>
      </w:pPr>
    </w:p>
    <w:p w14:paraId="3DC29181" w14:textId="526C691B" w:rsidR="00032EC8" w:rsidRPr="0011610F" w:rsidRDefault="00032EC8" w:rsidP="00032EC8">
      <w:pPr>
        <w:tabs>
          <w:tab w:val="left" w:pos="142"/>
        </w:tabs>
        <w:spacing w:after="200"/>
        <w:contextualSpacing/>
        <w:jc w:val="both"/>
        <w:rPr>
          <w:rFonts w:ascii="Arial" w:hAnsi="Arial" w:cs="Arial"/>
          <w:sz w:val="20"/>
          <w:lang w:eastAsia="es-AR"/>
        </w:rPr>
      </w:pPr>
      <w:r>
        <w:rPr>
          <w:rFonts w:ascii="Arial" w:hAnsi="Arial" w:cs="Arial"/>
          <w:sz w:val="20"/>
          <w:lang w:eastAsia="es-AR"/>
        </w:rPr>
        <w:t>1</w:t>
      </w:r>
      <w:r w:rsidR="007B6F7B">
        <w:rPr>
          <w:rFonts w:ascii="Arial" w:hAnsi="Arial" w:cs="Arial"/>
          <w:sz w:val="20"/>
          <w:lang w:eastAsia="es-AR"/>
        </w:rPr>
        <w:t>4</w:t>
      </w:r>
      <w:r>
        <w:rPr>
          <w:rFonts w:ascii="Arial" w:hAnsi="Arial" w:cs="Arial"/>
          <w:sz w:val="20"/>
          <w:lang w:eastAsia="es-AR"/>
        </w:rPr>
        <w:t>.10</w:t>
      </w:r>
      <w:r w:rsidRPr="0011610F">
        <w:rPr>
          <w:rFonts w:ascii="Arial" w:hAnsi="Arial" w:cs="Arial"/>
          <w:sz w:val="20"/>
          <w:lang w:eastAsia="es-AR"/>
        </w:rPr>
        <w:t>.</w:t>
      </w:r>
      <w:r>
        <w:rPr>
          <w:rFonts w:ascii="Arial" w:hAnsi="Arial" w:cs="Arial"/>
          <w:sz w:val="20"/>
          <w:lang w:eastAsia="es-AR"/>
        </w:rPr>
        <w:t>8</w:t>
      </w:r>
      <w:r w:rsidRPr="0011610F">
        <w:rPr>
          <w:rFonts w:ascii="Arial" w:hAnsi="Arial" w:cs="Arial"/>
          <w:sz w:val="20"/>
          <w:lang w:eastAsia="es-AR"/>
        </w:rPr>
        <w:t>.1.  Información sobre el proceso de decisión utilizado para determinar la política de incentivos</w:t>
      </w:r>
    </w:p>
    <w:p w14:paraId="6C54E717" w14:textId="77777777" w:rsidR="00032EC8" w:rsidRPr="0011610F" w:rsidRDefault="00032EC8" w:rsidP="00032EC8">
      <w:pPr>
        <w:tabs>
          <w:tab w:val="left" w:pos="142"/>
        </w:tabs>
        <w:spacing w:after="200"/>
        <w:contextualSpacing/>
        <w:jc w:val="both"/>
        <w:rPr>
          <w:rFonts w:ascii="Arial" w:hAnsi="Arial" w:cs="Arial"/>
          <w:sz w:val="20"/>
          <w:lang w:eastAsia="es-AR"/>
        </w:rPr>
      </w:pPr>
    </w:p>
    <w:p w14:paraId="62FA5601" w14:textId="4EE4A81B" w:rsidR="00192F32" w:rsidRPr="0011610F" w:rsidRDefault="00192F32" w:rsidP="00192F32">
      <w:pPr>
        <w:tabs>
          <w:tab w:val="left" w:pos="142"/>
        </w:tabs>
        <w:spacing w:after="200"/>
        <w:contextualSpacing/>
        <w:jc w:val="both"/>
        <w:rPr>
          <w:rFonts w:ascii="Arial" w:hAnsi="Arial" w:cs="Arial"/>
          <w:sz w:val="20"/>
          <w:lang w:eastAsia="es-AR"/>
        </w:rPr>
      </w:pPr>
      <w:r w:rsidRPr="0011610F">
        <w:rPr>
          <w:rFonts w:ascii="Arial" w:hAnsi="Arial" w:cs="Arial"/>
          <w:sz w:val="20"/>
          <w:lang w:eastAsia="es-AR"/>
        </w:rPr>
        <w:t xml:space="preserve">La Entidad cuenta con un Comité de Recursos Humanos, de acuerdo a lo establecido en el Código de Gobierno Societario. El mismo está integrado por tres </w:t>
      </w:r>
      <w:r w:rsidR="006311C5">
        <w:rPr>
          <w:rFonts w:ascii="Arial" w:hAnsi="Arial" w:cs="Arial"/>
          <w:sz w:val="20"/>
          <w:lang w:eastAsia="es-AR"/>
        </w:rPr>
        <w:t>d</w:t>
      </w:r>
      <w:r w:rsidRPr="0011610F">
        <w:rPr>
          <w:rFonts w:ascii="Arial" w:hAnsi="Arial" w:cs="Arial"/>
          <w:sz w:val="20"/>
          <w:lang w:eastAsia="es-AR"/>
        </w:rPr>
        <w:t>irectores y el Gerente Corporativo de Recursos Humanos. Participa del mismo en forma permanente el Gerente General, y de ser necesario, podrá contar con la asistencia técnica de los expertos en lo referido a diseño y administración de esquemas de incentivos para personal de entidades financieras, ya sean externos o internos.</w:t>
      </w:r>
    </w:p>
    <w:p w14:paraId="38C2464C" w14:textId="77777777" w:rsidR="00192F32" w:rsidRPr="0011610F" w:rsidRDefault="00192F32" w:rsidP="00192F32">
      <w:pPr>
        <w:tabs>
          <w:tab w:val="left" w:pos="142"/>
        </w:tabs>
        <w:spacing w:after="200"/>
        <w:contextualSpacing/>
        <w:jc w:val="both"/>
        <w:rPr>
          <w:rFonts w:ascii="Arial" w:hAnsi="Arial" w:cs="Arial"/>
          <w:sz w:val="20"/>
          <w:lang w:eastAsia="es-AR"/>
        </w:rPr>
      </w:pPr>
    </w:p>
    <w:p w14:paraId="100F9499" w14:textId="77777777" w:rsidR="00192F32" w:rsidRPr="0011610F" w:rsidRDefault="00192F32" w:rsidP="00192F32">
      <w:pPr>
        <w:tabs>
          <w:tab w:val="left" w:pos="142"/>
        </w:tabs>
        <w:spacing w:after="200"/>
        <w:contextualSpacing/>
        <w:jc w:val="both"/>
        <w:rPr>
          <w:rFonts w:ascii="Arial" w:hAnsi="Arial" w:cs="Arial"/>
          <w:sz w:val="20"/>
          <w:lang w:eastAsia="es-AR"/>
        </w:rPr>
      </w:pPr>
      <w:r w:rsidRPr="0011610F">
        <w:rPr>
          <w:rFonts w:ascii="Arial" w:hAnsi="Arial" w:cs="Arial"/>
          <w:sz w:val="20"/>
          <w:lang w:eastAsia="es-AR"/>
        </w:rPr>
        <w:t>El Comité de Recursos Humanos tiene a su cargo la aprobación de los sistemas de incentivos en todas sus formas y fija además, las políticas de remuneración fija y los sistemas de evaluación de desempeño.</w:t>
      </w:r>
    </w:p>
    <w:p w14:paraId="40C473E5" w14:textId="77777777" w:rsidR="00192F32" w:rsidRPr="0011610F" w:rsidRDefault="00192F32" w:rsidP="00192F32">
      <w:pPr>
        <w:tabs>
          <w:tab w:val="left" w:pos="142"/>
        </w:tabs>
        <w:spacing w:after="200"/>
        <w:contextualSpacing/>
        <w:jc w:val="both"/>
        <w:rPr>
          <w:rFonts w:ascii="Arial" w:hAnsi="Arial" w:cs="Arial"/>
          <w:sz w:val="20"/>
          <w:lang w:eastAsia="es-AR"/>
        </w:rPr>
      </w:pPr>
    </w:p>
    <w:p w14:paraId="4B9EE884" w14:textId="77777777" w:rsidR="00192F32" w:rsidRDefault="00192F32" w:rsidP="00192F32">
      <w:pPr>
        <w:tabs>
          <w:tab w:val="left" w:pos="142"/>
        </w:tabs>
        <w:spacing w:after="200"/>
        <w:contextualSpacing/>
        <w:jc w:val="both"/>
        <w:rPr>
          <w:rFonts w:ascii="Arial" w:hAnsi="Arial" w:cs="Arial"/>
          <w:sz w:val="20"/>
          <w:lang w:eastAsia="es-AR"/>
        </w:rPr>
      </w:pPr>
      <w:r w:rsidRPr="0011610F">
        <w:rPr>
          <w:rFonts w:ascii="Arial" w:hAnsi="Arial" w:cs="Arial"/>
          <w:sz w:val="20"/>
          <w:lang w:eastAsia="es-AR"/>
        </w:rPr>
        <w:t>Al menos uno de los directores que integra este Comité participa en forma simultánea del Comité de Riesgos, de forma tal de velar que la política de incentivos refleje el apetito de riesgo definido por la organización.</w:t>
      </w:r>
    </w:p>
    <w:p w14:paraId="2A4ADF01" w14:textId="77777777" w:rsidR="00192F32" w:rsidRDefault="00192F32" w:rsidP="00192F32">
      <w:pPr>
        <w:tabs>
          <w:tab w:val="left" w:pos="142"/>
        </w:tabs>
        <w:spacing w:after="200"/>
        <w:contextualSpacing/>
        <w:jc w:val="both"/>
        <w:rPr>
          <w:rFonts w:ascii="Arial" w:hAnsi="Arial" w:cs="Arial"/>
          <w:sz w:val="20"/>
          <w:lang w:eastAsia="es-AR"/>
        </w:rPr>
      </w:pPr>
    </w:p>
    <w:p w14:paraId="04F1A493" w14:textId="1559F50B" w:rsidR="00032EC8" w:rsidRPr="0011610F" w:rsidRDefault="00192F32" w:rsidP="00192F32">
      <w:pPr>
        <w:tabs>
          <w:tab w:val="left" w:pos="142"/>
        </w:tabs>
        <w:spacing w:after="200"/>
        <w:contextualSpacing/>
        <w:jc w:val="both"/>
        <w:rPr>
          <w:rFonts w:ascii="Arial" w:hAnsi="Arial" w:cs="Arial"/>
          <w:sz w:val="20"/>
          <w:lang w:eastAsia="es-AR"/>
        </w:rPr>
      </w:pPr>
      <w:r w:rsidRPr="00DD11AE">
        <w:rPr>
          <w:rFonts w:ascii="Arial" w:hAnsi="Arial" w:cs="Arial"/>
          <w:sz w:val="20"/>
          <w:lang w:eastAsia="es-AR"/>
        </w:rPr>
        <w:t>Es invitado el Gerente General de la compañía del Grupo que corresponda según el temario de la sesión y podrán asistir a requerimiento del Comité otros funcionarios y asesores que el Comité estime pertinente.</w:t>
      </w:r>
    </w:p>
    <w:p w14:paraId="454356D2" w14:textId="77777777" w:rsidR="00032EC8" w:rsidRPr="0011610F" w:rsidRDefault="00032EC8" w:rsidP="00032EC8">
      <w:pPr>
        <w:tabs>
          <w:tab w:val="left" w:pos="142"/>
        </w:tabs>
        <w:spacing w:after="200"/>
        <w:contextualSpacing/>
        <w:jc w:val="both"/>
        <w:rPr>
          <w:rFonts w:ascii="Arial" w:hAnsi="Arial" w:cs="Arial"/>
          <w:sz w:val="20"/>
          <w:lang w:eastAsia="es-AR"/>
        </w:rPr>
      </w:pPr>
    </w:p>
    <w:p w14:paraId="436691B4" w14:textId="09E4943D" w:rsidR="00032EC8" w:rsidRPr="0011610F" w:rsidRDefault="00032EC8" w:rsidP="00032EC8">
      <w:pPr>
        <w:tabs>
          <w:tab w:val="left" w:pos="142"/>
        </w:tabs>
        <w:spacing w:after="200"/>
        <w:contextualSpacing/>
        <w:jc w:val="both"/>
        <w:rPr>
          <w:rFonts w:ascii="Arial" w:hAnsi="Arial" w:cs="Arial"/>
          <w:sz w:val="20"/>
          <w:lang w:eastAsia="es-AR"/>
        </w:rPr>
      </w:pPr>
      <w:r>
        <w:rPr>
          <w:rFonts w:ascii="Arial" w:hAnsi="Arial" w:cs="Arial"/>
          <w:sz w:val="20"/>
          <w:lang w:eastAsia="es-AR"/>
        </w:rPr>
        <w:t>1</w:t>
      </w:r>
      <w:r w:rsidR="007B6F7B">
        <w:rPr>
          <w:rFonts w:ascii="Arial" w:hAnsi="Arial" w:cs="Arial"/>
          <w:sz w:val="20"/>
          <w:lang w:eastAsia="es-AR"/>
        </w:rPr>
        <w:t>4</w:t>
      </w:r>
      <w:r>
        <w:rPr>
          <w:rFonts w:ascii="Arial" w:hAnsi="Arial" w:cs="Arial"/>
          <w:sz w:val="20"/>
          <w:lang w:eastAsia="es-AR"/>
        </w:rPr>
        <w:t>.10</w:t>
      </w:r>
      <w:r w:rsidRPr="0011610F">
        <w:rPr>
          <w:rFonts w:ascii="Arial" w:hAnsi="Arial" w:cs="Arial"/>
          <w:sz w:val="20"/>
          <w:lang w:eastAsia="es-AR"/>
        </w:rPr>
        <w:t>.</w:t>
      </w:r>
      <w:r>
        <w:rPr>
          <w:rFonts w:ascii="Arial" w:hAnsi="Arial" w:cs="Arial"/>
          <w:sz w:val="20"/>
          <w:lang w:eastAsia="es-AR"/>
        </w:rPr>
        <w:t>8</w:t>
      </w:r>
      <w:r w:rsidRPr="0011610F">
        <w:rPr>
          <w:rFonts w:ascii="Arial" w:hAnsi="Arial" w:cs="Arial"/>
          <w:sz w:val="20"/>
          <w:lang w:eastAsia="es-AR"/>
        </w:rPr>
        <w:t>.2   Características más importantes del diseño del sistema</w:t>
      </w:r>
    </w:p>
    <w:p w14:paraId="50F070F2" w14:textId="77777777" w:rsidR="00032EC8" w:rsidRPr="00192F32" w:rsidRDefault="00032EC8" w:rsidP="00032EC8">
      <w:pPr>
        <w:tabs>
          <w:tab w:val="left" w:pos="142"/>
        </w:tabs>
        <w:spacing w:after="200"/>
        <w:contextualSpacing/>
        <w:jc w:val="both"/>
        <w:rPr>
          <w:rFonts w:ascii="Arial" w:hAnsi="Arial" w:cs="Arial"/>
          <w:sz w:val="20"/>
          <w:lang w:eastAsia="es-AR"/>
        </w:rPr>
      </w:pPr>
    </w:p>
    <w:p w14:paraId="727C2409"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    Información relativa al diseño y estructura de los procesos de remuneración.</w:t>
      </w:r>
    </w:p>
    <w:p w14:paraId="1F7F5B1E"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73D74C76"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La filosofía subyacente en la estructura de remuneraciones de la Entidad, busca contemplar un adecuado equilibrio entre la obtención de resultados y la gestión de riesgos en general. El diseño de los procesos de remuneración apunta a remunerar y reconocer la contribución de los empleados en el alcance de las metas individuales, de la unidad y de la compañía en un contexto de meritocracia, pago por desempeño y sana competencia, en un marco de control de riesgos robusto.</w:t>
      </w:r>
    </w:p>
    <w:p w14:paraId="259D3E69"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1C6FF938"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Es función del Comité de Recursos Humanos aprobar y validar las políticas propuestas por los expertos en cada tema a fin de que las áreas correspondientes implementen y administren dichas políticas.</w:t>
      </w:r>
    </w:p>
    <w:p w14:paraId="0EB8A03B"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5BE7A477"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w:t>
      </w:r>
      <w:r w:rsidRPr="00192F32">
        <w:rPr>
          <w:rFonts w:ascii="Arial" w:hAnsi="Arial" w:cs="Arial"/>
          <w:sz w:val="20"/>
          <w:lang w:eastAsia="es-AR"/>
        </w:rPr>
        <w:tab/>
        <w:t xml:space="preserve">   Descripción de las medidas en las cuales los riesgos actuales y futuros son tomados en cuenta en los procesos de remuneración.</w:t>
      </w:r>
    </w:p>
    <w:p w14:paraId="609D4970"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0D173039"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 xml:space="preserve">Los ejecutivos de la organización son remunerados en su porción variable teniendo en cuenta el cumplimiento de los objetivos individuales, los de su unidad de negocio y los objetivos de la organización, así como también objetivos específicos que apuntan a mantener los diferentes riesgos dentro de los umbrales deseados. </w:t>
      </w:r>
    </w:p>
    <w:p w14:paraId="4DA1A8B6"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4DD23C30"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Entre los riesgos contemplados en los planes de incentivos se encuentran los descriptos a continuación:</w:t>
      </w:r>
    </w:p>
    <w:p w14:paraId="155BD0C3"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7E647BB6"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Riesgo de crédito: Los gerentes corporativos de las áreas de créditos y comerciales (banca minorista y banca empresas) contemplan entre sus objetivos aquellos destinados a mantener bajo los parámetros deseables el riesgo de crédito. Los mismos están comprendidos en conceptos tales como: i) mora; ii) % de cartera irregular (fijada por el Directorio) sobre cartera total; iii) previsiones de incobrabilidad, entre otros.</w:t>
      </w:r>
    </w:p>
    <w:p w14:paraId="6FEB0221"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25BDA67F"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Riesgo Estratégico: El Gerente General y el Gerente Corporativo de Administración y Control de Gestión (Objetivo nro. 4) contemplan entre sus objetivos aquellos dirigidos a alertar sobre el desvío de las variables principales de desempeño de las finanzas de la entidad frente al plan anual así como aquellos dirigidos a ajustar dichos desvíos.</w:t>
      </w:r>
    </w:p>
    <w:p w14:paraId="77A92F60"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308B5C87"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Riesgo de mercado, liquidez, tasa y titulización: El Gerente Corporativo de Finanzas y Mercado de Capitales tiene entre sus objetivos, cumplir con presupuestos de rentabilidad a través de la realización de diversos tipos de operaciones. Las mismas se ejecutan en un marco definido por límites que aseguran que los riesgos expuestos en este apartado sean asumidos dentro los rangos deseables por la entidad y los permitidos por el ente regulador.</w:t>
      </w:r>
    </w:p>
    <w:p w14:paraId="6D697B2F"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02A7B99B"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El margen de rentabilidad está determinado por las políticas vigentes en el área financiera las cuales son monitoreadas por el Comité de Activos y Pasivos ALCO.</w:t>
      </w:r>
    </w:p>
    <w:p w14:paraId="778828C7"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3D914059"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w:t>
      </w:r>
      <w:r w:rsidRPr="00192F32">
        <w:rPr>
          <w:rFonts w:ascii="Arial" w:hAnsi="Arial" w:cs="Arial"/>
          <w:sz w:val="20"/>
          <w:lang w:eastAsia="es-AR"/>
        </w:rPr>
        <w:tab/>
        <w:t xml:space="preserve">   Descripción de las formas en las cuales la Entidad trata de vincular el desempeño durante el período de medición con niveles de remuneración.</w:t>
      </w:r>
    </w:p>
    <w:p w14:paraId="085E7006"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29FC59EB"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Cada gerencia corporativa tiene un esquema de remuneración variable que vincula el pago con el cumplimiento de objetivos individuales y del banco. Los objetivos individuales definen una calificación de desempeño que impacta en el cálculo de la remuneración. El resultado del banco es un indicador que ajusta en más o en menos el monto del incentivo variable.</w:t>
      </w:r>
    </w:p>
    <w:p w14:paraId="511247A3" w14:textId="77777777" w:rsidR="00192F32" w:rsidRPr="00192F32" w:rsidRDefault="00192F32" w:rsidP="00192F32">
      <w:pPr>
        <w:rPr>
          <w:rFonts w:ascii="Arial" w:hAnsi="Arial" w:cs="Arial"/>
          <w:sz w:val="20"/>
          <w:lang w:eastAsia="es-AR"/>
        </w:rPr>
      </w:pPr>
    </w:p>
    <w:p w14:paraId="45532C0E"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w:t>
      </w:r>
      <w:r w:rsidRPr="00192F32">
        <w:rPr>
          <w:rFonts w:ascii="Arial" w:hAnsi="Arial" w:cs="Arial"/>
          <w:sz w:val="20"/>
          <w:lang w:eastAsia="es-AR"/>
        </w:rPr>
        <w:tab/>
        <w:t xml:space="preserve">   Descripción de las formas en que la Entidad trata de ajustar la remuneración para tener en cuenta el desempeño a largo plazo (incluyendo política de la Entidad sobre diferimiento).</w:t>
      </w:r>
    </w:p>
    <w:p w14:paraId="22CDE7E2"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504597ED"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La Entidad establece un Incentivo de pago diferido con objetivos específicos que se abonan al cierre del segundo año a contar desde su otorgamiento. Contempla objetivos plurianuales de sustentabilidad del negocio y control de riesgos.</w:t>
      </w:r>
    </w:p>
    <w:p w14:paraId="18E23C3C"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3A2D9B2B" w14:textId="77777777" w:rsidR="00192F32" w:rsidRPr="00192F32" w:rsidRDefault="00192F32" w:rsidP="00192F32">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w:t>
      </w:r>
      <w:r w:rsidRPr="00192F32">
        <w:rPr>
          <w:rFonts w:ascii="Arial" w:hAnsi="Arial" w:cs="Arial"/>
          <w:sz w:val="20"/>
          <w:lang w:eastAsia="es-AR"/>
        </w:rPr>
        <w:tab/>
        <w:t xml:space="preserve">   Descripción de las diferentes formas de remuneración variable que la Entidad utiliza y la justificación del uso de las mismas.</w:t>
      </w:r>
    </w:p>
    <w:p w14:paraId="02A6A481" w14:textId="77777777" w:rsidR="00192F32" w:rsidRPr="00192F32" w:rsidRDefault="00192F32" w:rsidP="00192F32">
      <w:pPr>
        <w:tabs>
          <w:tab w:val="left" w:pos="142"/>
        </w:tabs>
        <w:spacing w:after="200"/>
        <w:contextualSpacing/>
        <w:jc w:val="both"/>
        <w:rPr>
          <w:rFonts w:ascii="Arial" w:hAnsi="Arial" w:cs="Arial"/>
          <w:sz w:val="20"/>
          <w:lang w:eastAsia="es-AR"/>
        </w:rPr>
      </w:pPr>
    </w:p>
    <w:p w14:paraId="7D2BA95D" w14:textId="4E01A135" w:rsidR="00032EC8" w:rsidRPr="00192F32" w:rsidRDefault="00192F32" w:rsidP="00192F32">
      <w:pPr>
        <w:rPr>
          <w:rFonts w:ascii="Arial" w:hAnsi="Arial" w:cs="Arial"/>
          <w:sz w:val="20"/>
        </w:rPr>
      </w:pPr>
      <w:r w:rsidRPr="00192F32">
        <w:rPr>
          <w:rFonts w:ascii="Arial" w:hAnsi="Arial" w:cs="Arial"/>
          <w:sz w:val="20"/>
          <w:lang w:eastAsia="es-AR"/>
        </w:rPr>
        <w:t>Solo utiliza efectivo entendiendo que es el vehículo más directo y conveniente para remunerar a los empleados.</w:t>
      </w:r>
    </w:p>
    <w:p w14:paraId="0F0D5750" w14:textId="77777777" w:rsidR="00032EC8" w:rsidRPr="00613EB0" w:rsidRDefault="00032EC8" w:rsidP="00032EC8">
      <w:pPr>
        <w:tabs>
          <w:tab w:val="left" w:pos="142"/>
        </w:tabs>
        <w:jc w:val="both"/>
        <w:rPr>
          <w:rFonts w:ascii="Arial" w:hAnsi="Arial" w:cs="Arial"/>
          <w:b/>
          <w:sz w:val="20"/>
        </w:rPr>
      </w:pPr>
    </w:p>
    <w:p w14:paraId="5B0C09E8" w14:textId="22E58070" w:rsidR="004B3C0B" w:rsidRPr="00534414" w:rsidRDefault="004B3C0B" w:rsidP="004B3C0B">
      <w:pPr>
        <w:widowControl w:val="0"/>
        <w:autoSpaceDE w:val="0"/>
        <w:autoSpaceDN w:val="0"/>
        <w:adjustRightInd w:val="0"/>
        <w:jc w:val="both"/>
        <w:rPr>
          <w:rFonts w:ascii="Arial" w:hAnsi="Arial" w:cs="Arial"/>
          <w:b/>
          <w:noProof/>
          <w:sz w:val="20"/>
        </w:rPr>
      </w:pPr>
      <w:r w:rsidRPr="00534414">
        <w:rPr>
          <w:rFonts w:ascii="Arial" w:hAnsi="Arial" w:cs="Arial"/>
          <w:b/>
          <w:noProof/>
          <w:sz w:val="20"/>
        </w:rPr>
        <w:t>1</w:t>
      </w:r>
      <w:r w:rsidR="007B6F7B">
        <w:rPr>
          <w:rFonts w:ascii="Arial" w:hAnsi="Arial" w:cs="Arial"/>
          <w:b/>
          <w:noProof/>
          <w:sz w:val="20"/>
        </w:rPr>
        <w:t>5</w:t>
      </w:r>
      <w:r w:rsidRPr="00534414">
        <w:rPr>
          <w:rFonts w:ascii="Arial" w:hAnsi="Arial" w:cs="Arial"/>
          <w:b/>
          <w:noProof/>
          <w:sz w:val="20"/>
        </w:rPr>
        <w:t xml:space="preserve">. ARRENDAMIENTOS </w:t>
      </w:r>
    </w:p>
    <w:p w14:paraId="25D45D25" w14:textId="77777777" w:rsidR="004B3C0B" w:rsidRPr="004B3C0B" w:rsidRDefault="004B3C0B" w:rsidP="004B3C0B">
      <w:pPr>
        <w:widowControl w:val="0"/>
        <w:autoSpaceDE w:val="0"/>
        <w:autoSpaceDN w:val="0"/>
        <w:adjustRightInd w:val="0"/>
        <w:jc w:val="both"/>
        <w:rPr>
          <w:rFonts w:ascii="Arial" w:hAnsi="Arial" w:cs="Arial"/>
          <w:noProof/>
          <w:sz w:val="20"/>
        </w:rPr>
      </w:pPr>
    </w:p>
    <w:p w14:paraId="58BC10C7" w14:textId="77777777" w:rsidR="00743E3F" w:rsidRPr="006E1AF7" w:rsidRDefault="00743E3F" w:rsidP="006E1AF7">
      <w:pPr>
        <w:autoSpaceDE w:val="0"/>
        <w:autoSpaceDN w:val="0"/>
        <w:adjustRightInd w:val="0"/>
        <w:jc w:val="both"/>
        <w:rPr>
          <w:rFonts w:ascii="Arial" w:hAnsi="Arial" w:cs="Arial"/>
          <w:color w:val="000000"/>
          <w:sz w:val="20"/>
        </w:rPr>
      </w:pPr>
      <w:r w:rsidRPr="006E1AF7">
        <w:rPr>
          <w:rFonts w:ascii="Arial" w:hAnsi="Arial" w:cs="Arial"/>
          <w:color w:val="000000"/>
          <w:sz w:val="20"/>
        </w:rPr>
        <w:t>Esta nota provee información de los arrendamientos en los cuales el Banco actúa como arrendatario. Para los arrendamientos en los cuales el Banco es arrendador referirse a nota 18.</w:t>
      </w:r>
    </w:p>
    <w:p w14:paraId="41DC84D3"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43E06706" w14:textId="77777777" w:rsidR="00743E3F" w:rsidRPr="006E1AF7" w:rsidRDefault="00743E3F" w:rsidP="006E1AF7">
      <w:pPr>
        <w:pStyle w:val="Prrafodelista"/>
        <w:numPr>
          <w:ilvl w:val="0"/>
          <w:numId w:val="114"/>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 xml:space="preserve">Montos reconocidos en el estado de situación  financiera </w:t>
      </w:r>
    </w:p>
    <w:p w14:paraId="12DD18E4" w14:textId="77777777" w:rsidR="00743E3F" w:rsidRPr="006E1AF7" w:rsidRDefault="00743E3F" w:rsidP="006E1AF7">
      <w:pPr>
        <w:autoSpaceDE w:val="0"/>
        <w:autoSpaceDN w:val="0"/>
        <w:adjustRightInd w:val="0"/>
        <w:ind w:left="360"/>
        <w:jc w:val="both"/>
        <w:rPr>
          <w:rFonts w:ascii="Arial" w:hAnsi="Arial" w:cs="Arial"/>
          <w:color w:val="000000"/>
          <w:sz w:val="20"/>
        </w:rPr>
      </w:pPr>
    </w:p>
    <w:tbl>
      <w:tblPr>
        <w:tblW w:w="8721" w:type="dxa"/>
        <w:tblInd w:w="-108" w:type="dxa"/>
        <w:tblBorders>
          <w:top w:val="nil"/>
          <w:left w:val="nil"/>
          <w:bottom w:val="nil"/>
          <w:right w:val="nil"/>
        </w:tblBorders>
        <w:tblLayout w:type="fixed"/>
        <w:tblLook w:val="0000" w:firstRow="0" w:lastRow="0" w:firstColumn="0" w:lastColumn="0" w:noHBand="0" w:noVBand="0"/>
      </w:tblPr>
      <w:tblGrid>
        <w:gridCol w:w="3333"/>
        <w:gridCol w:w="805"/>
        <w:gridCol w:w="1625"/>
        <w:gridCol w:w="1257"/>
        <w:gridCol w:w="822"/>
        <w:gridCol w:w="879"/>
      </w:tblGrid>
      <w:tr w:rsidR="00743E3F" w:rsidRPr="00743E3F" w14:paraId="6168EB42" w14:textId="77777777" w:rsidTr="006E1AF7">
        <w:trPr>
          <w:trHeight w:val="84"/>
        </w:trPr>
        <w:tc>
          <w:tcPr>
            <w:tcW w:w="8721" w:type="dxa"/>
            <w:gridSpan w:val="6"/>
          </w:tcPr>
          <w:p w14:paraId="47108FC9" w14:textId="77777777" w:rsidR="00743E3F" w:rsidRPr="006E1AF7" w:rsidRDefault="00743E3F" w:rsidP="006E1AF7">
            <w:pPr>
              <w:pStyle w:val="Default"/>
              <w:jc w:val="both"/>
              <w:rPr>
                <w:sz w:val="20"/>
                <w:szCs w:val="20"/>
              </w:rPr>
            </w:pPr>
          </w:p>
        </w:tc>
      </w:tr>
      <w:tr w:rsidR="00743E3F" w:rsidRPr="00743E3F" w14:paraId="325BA65B" w14:textId="77777777" w:rsidTr="006E1AF7">
        <w:trPr>
          <w:trHeight w:val="292"/>
        </w:trPr>
        <w:tc>
          <w:tcPr>
            <w:tcW w:w="4138" w:type="dxa"/>
            <w:gridSpan w:val="2"/>
          </w:tcPr>
          <w:p w14:paraId="111629A2" w14:textId="77777777" w:rsidR="00743E3F" w:rsidRPr="006E1AF7" w:rsidRDefault="00743E3F" w:rsidP="006E1AF7">
            <w:pPr>
              <w:pStyle w:val="Default"/>
              <w:jc w:val="both"/>
              <w:rPr>
                <w:sz w:val="20"/>
                <w:szCs w:val="20"/>
              </w:rPr>
            </w:pPr>
          </w:p>
        </w:tc>
        <w:tc>
          <w:tcPr>
            <w:tcW w:w="2882" w:type="dxa"/>
            <w:gridSpan w:val="2"/>
          </w:tcPr>
          <w:p w14:paraId="1A47D97C" w14:textId="77777777" w:rsidR="00743E3F" w:rsidRPr="006E1AF7" w:rsidRDefault="00743E3F" w:rsidP="006E1AF7">
            <w:pPr>
              <w:pStyle w:val="Default"/>
              <w:jc w:val="both"/>
              <w:rPr>
                <w:b/>
                <w:bCs/>
                <w:sz w:val="20"/>
                <w:szCs w:val="20"/>
              </w:rPr>
            </w:pPr>
            <w:r w:rsidRPr="006E1AF7">
              <w:rPr>
                <w:b/>
                <w:bCs/>
                <w:sz w:val="20"/>
                <w:szCs w:val="20"/>
              </w:rPr>
              <w:t>31/12/2019</w:t>
            </w:r>
          </w:p>
        </w:tc>
        <w:tc>
          <w:tcPr>
            <w:tcW w:w="1701" w:type="dxa"/>
            <w:gridSpan w:val="2"/>
          </w:tcPr>
          <w:p w14:paraId="516F3546" w14:textId="77777777" w:rsidR="00743E3F" w:rsidRPr="006E1AF7" w:rsidRDefault="00743E3F" w:rsidP="006E1AF7">
            <w:pPr>
              <w:pStyle w:val="Default"/>
              <w:jc w:val="both"/>
              <w:rPr>
                <w:sz w:val="20"/>
                <w:szCs w:val="20"/>
              </w:rPr>
            </w:pPr>
            <w:r w:rsidRPr="006E1AF7">
              <w:rPr>
                <w:b/>
                <w:sz w:val="20"/>
                <w:szCs w:val="20"/>
              </w:rPr>
              <w:t>1/01/2019</w:t>
            </w:r>
            <w:r w:rsidRPr="006E1AF7">
              <w:rPr>
                <w:sz w:val="20"/>
                <w:szCs w:val="20"/>
              </w:rPr>
              <w:t xml:space="preserve"> </w:t>
            </w:r>
          </w:p>
        </w:tc>
      </w:tr>
      <w:tr w:rsidR="00743E3F" w:rsidRPr="00743E3F" w14:paraId="09D70313" w14:textId="77777777" w:rsidTr="006E1AF7">
        <w:trPr>
          <w:trHeight w:val="92"/>
        </w:trPr>
        <w:tc>
          <w:tcPr>
            <w:tcW w:w="5763" w:type="dxa"/>
            <w:gridSpan w:val="3"/>
          </w:tcPr>
          <w:p w14:paraId="0109C86E" w14:textId="77777777" w:rsidR="00743E3F" w:rsidRPr="006E1AF7" w:rsidRDefault="00743E3F" w:rsidP="006E1AF7">
            <w:pPr>
              <w:pStyle w:val="Default"/>
              <w:jc w:val="both"/>
              <w:rPr>
                <w:b/>
                <w:sz w:val="20"/>
                <w:szCs w:val="20"/>
              </w:rPr>
            </w:pPr>
          </w:p>
        </w:tc>
        <w:tc>
          <w:tcPr>
            <w:tcW w:w="2958" w:type="dxa"/>
            <w:gridSpan w:val="3"/>
          </w:tcPr>
          <w:p w14:paraId="6F5ACF7E" w14:textId="77777777" w:rsidR="00743E3F" w:rsidRPr="006E1AF7" w:rsidRDefault="00743E3F" w:rsidP="006E1AF7">
            <w:pPr>
              <w:pStyle w:val="Default"/>
              <w:jc w:val="both"/>
              <w:rPr>
                <w:sz w:val="20"/>
                <w:szCs w:val="20"/>
              </w:rPr>
            </w:pPr>
          </w:p>
        </w:tc>
      </w:tr>
      <w:tr w:rsidR="00743E3F" w:rsidRPr="00743E3F" w14:paraId="0E19F083" w14:textId="77777777" w:rsidTr="006E1AF7">
        <w:trPr>
          <w:gridAfter w:val="1"/>
          <w:wAfter w:w="879" w:type="dxa"/>
          <w:trHeight w:val="96"/>
        </w:trPr>
        <w:tc>
          <w:tcPr>
            <w:tcW w:w="3333" w:type="dxa"/>
          </w:tcPr>
          <w:p w14:paraId="189D96F1" w14:textId="77777777" w:rsidR="00743E3F" w:rsidRPr="006E1AF7" w:rsidRDefault="00743E3F" w:rsidP="006E1AF7">
            <w:pPr>
              <w:pStyle w:val="Default"/>
              <w:jc w:val="both"/>
              <w:rPr>
                <w:sz w:val="20"/>
                <w:szCs w:val="20"/>
              </w:rPr>
            </w:pPr>
            <w:r w:rsidRPr="006E1AF7">
              <w:rPr>
                <w:b/>
                <w:bCs/>
                <w:sz w:val="20"/>
                <w:szCs w:val="20"/>
              </w:rPr>
              <w:t>Derecho de uso del activo</w:t>
            </w:r>
          </w:p>
        </w:tc>
        <w:tc>
          <w:tcPr>
            <w:tcW w:w="2430" w:type="dxa"/>
            <w:gridSpan w:val="2"/>
          </w:tcPr>
          <w:p w14:paraId="53EEC72F" w14:textId="77777777" w:rsidR="00743E3F" w:rsidRPr="006E1AF7" w:rsidRDefault="00743E3F" w:rsidP="006E1AF7">
            <w:pPr>
              <w:pStyle w:val="Default"/>
              <w:jc w:val="right"/>
              <w:rPr>
                <w:sz w:val="20"/>
                <w:szCs w:val="20"/>
              </w:rPr>
            </w:pPr>
          </w:p>
        </w:tc>
        <w:tc>
          <w:tcPr>
            <w:tcW w:w="2079" w:type="dxa"/>
            <w:gridSpan w:val="2"/>
          </w:tcPr>
          <w:p w14:paraId="0A5C32EA" w14:textId="77777777" w:rsidR="00743E3F" w:rsidRPr="006E1AF7" w:rsidRDefault="00743E3F">
            <w:pPr>
              <w:pStyle w:val="Default"/>
              <w:jc w:val="right"/>
              <w:rPr>
                <w:sz w:val="20"/>
                <w:szCs w:val="20"/>
              </w:rPr>
            </w:pPr>
          </w:p>
        </w:tc>
      </w:tr>
      <w:tr w:rsidR="00743E3F" w:rsidRPr="00743E3F" w14:paraId="2D91DC47" w14:textId="77777777" w:rsidTr="006E1AF7">
        <w:trPr>
          <w:gridAfter w:val="1"/>
          <w:wAfter w:w="879" w:type="dxa"/>
          <w:trHeight w:val="96"/>
        </w:trPr>
        <w:tc>
          <w:tcPr>
            <w:tcW w:w="3333" w:type="dxa"/>
          </w:tcPr>
          <w:p w14:paraId="142C793B" w14:textId="42079080" w:rsidR="00743E3F" w:rsidRPr="006E1AF7" w:rsidRDefault="00743E3F" w:rsidP="006E1AF7">
            <w:pPr>
              <w:pStyle w:val="Default"/>
              <w:jc w:val="both"/>
              <w:rPr>
                <w:b/>
                <w:sz w:val="20"/>
                <w:szCs w:val="20"/>
              </w:rPr>
            </w:pPr>
            <w:r w:rsidRPr="006E1AF7">
              <w:rPr>
                <w:sz w:val="20"/>
                <w:szCs w:val="20"/>
              </w:rPr>
              <w:t xml:space="preserve">Inmuebles </w:t>
            </w:r>
            <w:r w:rsidR="00131445">
              <w:rPr>
                <w:sz w:val="20"/>
                <w:szCs w:val="20"/>
              </w:rPr>
              <w:t>– valor de origen</w:t>
            </w:r>
          </w:p>
        </w:tc>
        <w:tc>
          <w:tcPr>
            <w:tcW w:w="2430" w:type="dxa"/>
            <w:gridSpan w:val="2"/>
          </w:tcPr>
          <w:p w14:paraId="18403980" w14:textId="7F16DEC5" w:rsidR="00743E3F" w:rsidRPr="006E1AF7" w:rsidRDefault="00AE02CB">
            <w:pPr>
              <w:pStyle w:val="Default"/>
              <w:jc w:val="right"/>
              <w:rPr>
                <w:bCs/>
                <w:sz w:val="20"/>
                <w:szCs w:val="20"/>
              </w:rPr>
            </w:pPr>
            <w:r w:rsidRPr="00AE02CB">
              <w:rPr>
                <w:bCs/>
                <w:sz w:val="20"/>
                <w:szCs w:val="20"/>
              </w:rPr>
              <w:t>988.386</w:t>
            </w:r>
          </w:p>
        </w:tc>
        <w:tc>
          <w:tcPr>
            <w:tcW w:w="2079" w:type="dxa"/>
            <w:gridSpan w:val="2"/>
          </w:tcPr>
          <w:p w14:paraId="72EA9CE4" w14:textId="77777777" w:rsidR="00743E3F" w:rsidRPr="006E1AF7" w:rsidRDefault="00743E3F">
            <w:pPr>
              <w:pStyle w:val="Default"/>
              <w:jc w:val="right"/>
              <w:rPr>
                <w:sz w:val="20"/>
                <w:szCs w:val="20"/>
              </w:rPr>
            </w:pPr>
            <w:r w:rsidRPr="006E1AF7">
              <w:rPr>
                <w:iCs/>
                <w:sz w:val="20"/>
                <w:szCs w:val="20"/>
              </w:rPr>
              <w:t>905.945</w:t>
            </w:r>
          </w:p>
        </w:tc>
      </w:tr>
      <w:tr w:rsidR="00743E3F" w:rsidRPr="00743E3F" w14:paraId="1BB5AB33" w14:textId="77777777" w:rsidTr="006E1AF7">
        <w:trPr>
          <w:gridAfter w:val="1"/>
          <w:wAfter w:w="879" w:type="dxa"/>
          <w:trHeight w:val="96"/>
        </w:trPr>
        <w:tc>
          <w:tcPr>
            <w:tcW w:w="3333" w:type="dxa"/>
          </w:tcPr>
          <w:p w14:paraId="03B4922A" w14:textId="79E65D3B" w:rsidR="00743E3F" w:rsidRPr="00743E3F" w:rsidRDefault="00743E3F" w:rsidP="00743E3F">
            <w:pPr>
              <w:pStyle w:val="Default"/>
              <w:jc w:val="both"/>
              <w:rPr>
                <w:sz w:val="20"/>
                <w:szCs w:val="20"/>
              </w:rPr>
            </w:pPr>
            <w:r w:rsidRPr="00313C20">
              <w:rPr>
                <w:b/>
                <w:bCs/>
                <w:sz w:val="20"/>
                <w:szCs w:val="20"/>
              </w:rPr>
              <w:t xml:space="preserve">Pasivo por arrendamiento </w:t>
            </w:r>
          </w:p>
        </w:tc>
        <w:tc>
          <w:tcPr>
            <w:tcW w:w="2430" w:type="dxa"/>
            <w:gridSpan w:val="2"/>
          </w:tcPr>
          <w:p w14:paraId="41580164" w14:textId="77777777" w:rsidR="00743E3F" w:rsidRPr="00743E3F" w:rsidRDefault="00743E3F" w:rsidP="00743E3F">
            <w:pPr>
              <w:pStyle w:val="Default"/>
              <w:jc w:val="right"/>
              <w:rPr>
                <w:bCs/>
                <w:sz w:val="20"/>
                <w:szCs w:val="20"/>
              </w:rPr>
            </w:pPr>
          </w:p>
        </w:tc>
        <w:tc>
          <w:tcPr>
            <w:tcW w:w="2079" w:type="dxa"/>
            <w:gridSpan w:val="2"/>
          </w:tcPr>
          <w:p w14:paraId="683A32A4" w14:textId="77777777" w:rsidR="00743E3F" w:rsidRPr="00743E3F" w:rsidRDefault="00743E3F" w:rsidP="00743E3F">
            <w:pPr>
              <w:pStyle w:val="Default"/>
              <w:jc w:val="right"/>
              <w:rPr>
                <w:iCs/>
                <w:sz w:val="20"/>
                <w:szCs w:val="20"/>
              </w:rPr>
            </w:pPr>
          </w:p>
        </w:tc>
      </w:tr>
      <w:tr w:rsidR="00D63203" w:rsidRPr="00743E3F" w14:paraId="58805BC6" w14:textId="77777777" w:rsidTr="006E1AF7">
        <w:trPr>
          <w:gridAfter w:val="1"/>
          <w:wAfter w:w="879" w:type="dxa"/>
          <w:trHeight w:val="96"/>
        </w:trPr>
        <w:tc>
          <w:tcPr>
            <w:tcW w:w="3333" w:type="dxa"/>
          </w:tcPr>
          <w:p w14:paraId="503F1378" w14:textId="15939447" w:rsidR="00D63203" w:rsidRPr="00743E3F" w:rsidRDefault="00D63203" w:rsidP="00D63203">
            <w:pPr>
              <w:pStyle w:val="Default"/>
              <w:jc w:val="both"/>
              <w:rPr>
                <w:sz w:val="20"/>
                <w:szCs w:val="20"/>
              </w:rPr>
            </w:pPr>
            <w:r w:rsidRPr="00313C20">
              <w:rPr>
                <w:sz w:val="20"/>
                <w:szCs w:val="20"/>
              </w:rPr>
              <w:t>Corriente</w:t>
            </w:r>
          </w:p>
        </w:tc>
        <w:tc>
          <w:tcPr>
            <w:tcW w:w="2430" w:type="dxa"/>
            <w:gridSpan w:val="2"/>
            <w:vAlign w:val="bottom"/>
          </w:tcPr>
          <w:p w14:paraId="1EDAB671" w14:textId="1D966645" w:rsidR="00D63203" w:rsidRPr="00A056FF" w:rsidRDefault="00D63203">
            <w:pPr>
              <w:pStyle w:val="Default"/>
              <w:jc w:val="right"/>
              <w:rPr>
                <w:iCs/>
                <w:sz w:val="20"/>
                <w:szCs w:val="20"/>
              </w:rPr>
            </w:pPr>
            <w:r w:rsidRPr="006E1AF7">
              <w:rPr>
                <w:iCs/>
                <w:sz w:val="20"/>
                <w:szCs w:val="20"/>
              </w:rPr>
              <w:t>467.977</w:t>
            </w:r>
          </w:p>
        </w:tc>
        <w:tc>
          <w:tcPr>
            <w:tcW w:w="2079" w:type="dxa"/>
            <w:gridSpan w:val="2"/>
          </w:tcPr>
          <w:p w14:paraId="4795CA58" w14:textId="6AEA9935" w:rsidR="00D63203" w:rsidRPr="00743E3F" w:rsidRDefault="00D63203" w:rsidP="00D63203">
            <w:pPr>
              <w:pStyle w:val="Default"/>
              <w:jc w:val="right"/>
              <w:rPr>
                <w:iCs/>
                <w:sz w:val="20"/>
                <w:szCs w:val="20"/>
              </w:rPr>
            </w:pPr>
            <w:r w:rsidRPr="00313C20">
              <w:rPr>
                <w:iCs/>
                <w:sz w:val="20"/>
                <w:szCs w:val="20"/>
              </w:rPr>
              <w:t xml:space="preserve"> 399.238 </w:t>
            </w:r>
          </w:p>
        </w:tc>
      </w:tr>
      <w:tr w:rsidR="00D63203" w:rsidRPr="00743E3F" w14:paraId="13BBF953" w14:textId="77777777" w:rsidTr="006E1AF7">
        <w:trPr>
          <w:gridAfter w:val="1"/>
          <w:wAfter w:w="879" w:type="dxa"/>
          <w:trHeight w:val="96"/>
        </w:trPr>
        <w:tc>
          <w:tcPr>
            <w:tcW w:w="3333" w:type="dxa"/>
          </w:tcPr>
          <w:p w14:paraId="4B7892E1" w14:textId="59AC1460" w:rsidR="00D63203" w:rsidRPr="00743E3F" w:rsidRDefault="00D63203" w:rsidP="00D63203">
            <w:pPr>
              <w:pStyle w:val="Default"/>
              <w:jc w:val="both"/>
              <w:rPr>
                <w:sz w:val="20"/>
                <w:szCs w:val="20"/>
              </w:rPr>
            </w:pPr>
            <w:r w:rsidRPr="00313C20">
              <w:rPr>
                <w:sz w:val="20"/>
                <w:szCs w:val="20"/>
              </w:rPr>
              <w:t xml:space="preserve">No corriente </w:t>
            </w:r>
          </w:p>
        </w:tc>
        <w:tc>
          <w:tcPr>
            <w:tcW w:w="2430" w:type="dxa"/>
            <w:gridSpan w:val="2"/>
            <w:vAlign w:val="bottom"/>
          </w:tcPr>
          <w:p w14:paraId="6BA79967" w14:textId="3C04794F" w:rsidR="00D63203" w:rsidRPr="00A056FF" w:rsidRDefault="00D63203">
            <w:pPr>
              <w:pStyle w:val="Default"/>
              <w:jc w:val="right"/>
              <w:rPr>
                <w:iCs/>
                <w:sz w:val="20"/>
                <w:szCs w:val="20"/>
              </w:rPr>
            </w:pPr>
            <w:r w:rsidRPr="006E1AF7">
              <w:rPr>
                <w:iCs/>
                <w:sz w:val="20"/>
                <w:szCs w:val="20"/>
              </w:rPr>
              <w:t>478.413</w:t>
            </w:r>
          </w:p>
        </w:tc>
        <w:tc>
          <w:tcPr>
            <w:tcW w:w="2079" w:type="dxa"/>
            <w:gridSpan w:val="2"/>
          </w:tcPr>
          <w:p w14:paraId="17B4F231" w14:textId="43278553" w:rsidR="00D63203" w:rsidRPr="00743E3F" w:rsidRDefault="00D63203" w:rsidP="00D63203">
            <w:pPr>
              <w:pStyle w:val="Default"/>
              <w:jc w:val="right"/>
              <w:rPr>
                <w:iCs/>
                <w:sz w:val="20"/>
                <w:szCs w:val="20"/>
              </w:rPr>
            </w:pPr>
            <w:r w:rsidRPr="00313C20">
              <w:rPr>
                <w:iCs/>
                <w:sz w:val="20"/>
                <w:szCs w:val="20"/>
              </w:rPr>
              <w:t xml:space="preserve"> 506.70</w:t>
            </w:r>
            <w:r w:rsidR="00C86659">
              <w:rPr>
                <w:iCs/>
                <w:sz w:val="20"/>
                <w:szCs w:val="20"/>
              </w:rPr>
              <w:t>7</w:t>
            </w:r>
            <w:r w:rsidRPr="00313C20">
              <w:rPr>
                <w:iCs/>
                <w:sz w:val="20"/>
                <w:szCs w:val="20"/>
              </w:rPr>
              <w:t xml:space="preserve"> </w:t>
            </w:r>
          </w:p>
        </w:tc>
      </w:tr>
      <w:tr w:rsidR="00D63203" w:rsidRPr="00743E3F" w14:paraId="50DAAF14" w14:textId="77777777" w:rsidTr="006E1AF7">
        <w:trPr>
          <w:gridAfter w:val="1"/>
          <w:wAfter w:w="879" w:type="dxa"/>
          <w:trHeight w:val="96"/>
        </w:trPr>
        <w:tc>
          <w:tcPr>
            <w:tcW w:w="3333" w:type="dxa"/>
          </w:tcPr>
          <w:p w14:paraId="36C48C97" w14:textId="399683A3" w:rsidR="00D63203" w:rsidRPr="00743E3F" w:rsidRDefault="00D63203" w:rsidP="00D63203">
            <w:pPr>
              <w:pStyle w:val="Default"/>
              <w:jc w:val="both"/>
              <w:rPr>
                <w:sz w:val="20"/>
                <w:szCs w:val="20"/>
              </w:rPr>
            </w:pPr>
            <w:r w:rsidRPr="00313C20">
              <w:rPr>
                <w:sz w:val="20"/>
                <w:szCs w:val="20"/>
              </w:rPr>
              <w:t xml:space="preserve">Total </w:t>
            </w:r>
          </w:p>
        </w:tc>
        <w:tc>
          <w:tcPr>
            <w:tcW w:w="2430" w:type="dxa"/>
            <w:gridSpan w:val="2"/>
            <w:vAlign w:val="center"/>
          </w:tcPr>
          <w:p w14:paraId="2D5248AF" w14:textId="672AC78E" w:rsidR="00D63203" w:rsidRPr="006E1AF7" w:rsidRDefault="00D63203">
            <w:pPr>
              <w:pStyle w:val="Default"/>
              <w:jc w:val="right"/>
              <w:rPr>
                <w:b/>
                <w:iCs/>
                <w:sz w:val="20"/>
                <w:szCs w:val="20"/>
              </w:rPr>
            </w:pPr>
            <w:r w:rsidRPr="006E1AF7">
              <w:rPr>
                <w:b/>
                <w:iCs/>
                <w:sz w:val="20"/>
                <w:szCs w:val="20"/>
              </w:rPr>
              <w:t>946.390</w:t>
            </w:r>
          </w:p>
        </w:tc>
        <w:tc>
          <w:tcPr>
            <w:tcW w:w="2079" w:type="dxa"/>
            <w:gridSpan w:val="2"/>
          </w:tcPr>
          <w:p w14:paraId="48BB3485" w14:textId="137EF02D" w:rsidR="00D63203" w:rsidRPr="00743E3F" w:rsidRDefault="00D63203" w:rsidP="00D63203">
            <w:pPr>
              <w:pStyle w:val="Default"/>
              <w:jc w:val="right"/>
              <w:rPr>
                <w:iCs/>
                <w:sz w:val="20"/>
                <w:szCs w:val="20"/>
              </w:rPr>
            </w:pPr>
            <w:r w:rsidRPr="00313C20">
              <w:rPr>
                <w:b/>
                <w:iCs/>
                <w:sz w:val="20"/>
                <w:szCs w:val="20"/>
              </w:rPr>
              <w:t>905.945</w:t>
            </w:r>
          </w:p>
        </w:tc>
      </w:tr>
    </w:tbl>
    <w:p w14:paraId="544806C3"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6A384B2B" w14:textId="77777777" w:rsidR="00743E3F" w:rsidRPr="006E1AF7" w:rsidRDefault="00743E3F" w:rsidP="006E1AF7">
      <w:pPr>
        <w:pStyle w:val="Prrafodelista"/>
        <w:numPr>
          <w:ilvl w:val="0"/>
          <w:numId w:val="114"/>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 xml:space="preserve">Montos reconocidos en el estado de resultados </w:t>
      </w:r>
    </w:p>
    <w:p w14:paraId="0CA892C8" w14:textId="77777777" w:rsidR="00743E3F" w:rsidRPr="006E1AF7" w:rsidRDefault="00743E3F" w:rsidP="006E1AF7">
      <w:pPr>
        <w:pStyle w:val="Prrafodelista"/>
        <w:autoSpaceDE w:val="0"/>
        <w:autoSpaceDN w:val="0"/>
        <w:adjustRightInd w:val="0"/>
        <w:ind w:left="1080"/>
        <w:jc w:val="both"/>
        <w:rPr>
          <w:rFonts w:ascii="Arial" w:hAnsi="Arial" w:cs="Arial"/>
          <w:color w:val="000000"/>
          <w:sz w:val="20"/>
        </w:rPr>
      </w:pPr>
    </w:p>
    <w:tbl>
      <w:tblPr>
        <w:tblStyle w:val="Tablaconcuadrcula"/>
        <w:tblW w:w="0" w:type="auto"/>
        <w:tblInd w:w="360" w:type="dxa"/>
        <w:tblLook w:val="04A0" w:firstRow="1" w:lastRow="0" w:firstColumn="1" w:lastColumn="0" w:noHBand="0" w:noVBand="1"/>
      </w:tblPr>
      <w:tblGrid>
        <w:gridCol w:w="5716"/>
        <w:gridCol w:w="2645"/>
      </w:tblGrid>
      <w:tr w:rsidR="00743E3F" w:rsidRPr="00743E3F" w14:paraId="56FCE669" w14:textId="77777777" w:rsidTr="006E1AF7">
        <w:tc>
          <w:tcPr>
            <w:tcW w:w="5716" w:type="dxa"/>
          </w:tcPr>
          <w:p w14:paraId="3A13B42F" w14:textId="77777777"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Depreciación de derecho de uso</w:t>
            </w:r>
          </w:p>
        </w:tc>
        <w:tc>
          <w:tcPr>
            <w:tcW w:w="2645" w:type="dxa"/>
          </w:tcPr>
          <w:p w14:paraId="20F44B63" w14:textId="77777777" w:rsidR="00743E3F" w:rsidRPr="006E1AF7" w:rsidRDefault="00743E3F" w:rsidP="006E1AF7">
            <w:pPr>
              <w:autoSpaceDE w:val="0"/>
              <w:autoSpaceDN w:val="0"/>
              <w:adjustRightInd w:val="0"/>
              <w:jc w:val="both"/>
              <w:rPr>
                <w:rFonts w:ascii="Arial" w:hAnsi="Arial" w:cs="Arial"/>
                <w:color w:val="000000"/>
                <w:sz w:val="20"/>
              </w:rPr>
            </w:pPr>
          </w:p>
        </w:tc>
      </w:tr>
      <w:tr w:rsidR="00743E3F" w:rsidRPr="00743E3F" w14:paraId="2E15BEEA" w14:textId="77777777" w:rsidTr="006E1AF7">
        <w:tc>
          <w:tcPr>
            <w:tcW w:w="5716" w:type="dxa"/>
          </w:tcPr>
          <w:p w14:paraId="3F2034FE" w14:textId="77777777" w:rsidR="00743E3F" w:rsidRPr="006E1AF7" w:rsidRDefault="00743E3F" w:rsidP="006E1AF7">
            <w:pPr>
              <w:autoSpaceDE w:val="0"/>
              <w:autoSpaceDN w:val="0"/>
              <w:adjustRightInd w:val="0"/>
              <w:jc w:val="both"/>
              <w:rPr>
                <w:rFonts w:ascii="Arial" w:hAnsi="Arial" w:cs="Arial"/>
                <w:color w:val="000000"/>
                <w:sz w:val="20"/>
              </w:rPr>
            </w:pPr>
            <w:r w:rsidRPr="006E1AF7">
              <w:rPr>
                <w:rFonts w:ascii="Arial" w:hAnsi="Arial" w:cs="Arial"/>
                <w:color w:val="000000"/>
                <w:sz w:val="20"/>
              </w:rPr>
              <w:t>Edificios</w:t>
            </w:r>
          </w:p>
        </w:tc>
        <w:tc>
          <w:tcPr>
            <w:tcW w:w="2645" w:type="dxa"/>
          </w:tcPr>
          <w:p w14:paraId="519DCEDC" w14:textId="5639BB66" w:rsidR="00743E3F" w:rsidRPr="006E1AF7" w:rsidRDefault="00743E3F">
            <w:pPr>
              <w:autoSpaceDE w:val="0"/>
              <w:autoSpaceDN w:val="0"/>
              <w:adjustRightInd w:val="0"/>
              <w:jc w:val="right"/>
              <w:rPr>
                <w:rFonts w:ascii="Arial" w:hAnsi="Arial" w:cs="Arial"/>
                <w:color w:val="000000"/>
                <w:sz w:val="20"/>
              </w:rPr>
            </w:pPr>
            <w:r w:rsidRPr="006E1AF7">
              <w:rPr>
                <w:rFonts w:ascii="Arial" w:hAnsi="Arial" w:cs="Arial"/>
                <w:color w:val="000000"/>
                <w:sz w:val="20"/>
              </w:rPr>
              <w:t>36</w:t>
            </w:r>
            <w:r w:rsidR="00D63203">
              <w:rPr>
                <w:rFonts w:ascii="Arial" w:hAnsi="Arial" w:cs="Arial"/>
                <w:color w:val="000000"/>
                <w:sz w:val="20"/>
              </w:rPr>
              <w:t>8</w:t>
            </w:r>
            <w:r w:rsidRPr="006E1AF7">
              <w:rPr>
                <w:rFonts w:ascii="Arial" w:hAnsi="Arial" w:cs="Arial"/>
                <w:color w:val="000000"/>
                <w:sz w:val="20"/>
              </w:rPr>
              <w:t>.</w:t>
            </w:r>
            <w:r w:rsidR="00D63203">
              <w:rPr>
                <w:rFonts w:ascii="Arial" w:hAnsi="Arial" w:cs="Arial"/>
                <w:color w:val="000000"/>
                <w:sz w:val="20"/>
              </w:rPr>
              <w:t>301</w:t>
            </w:r>
          </w:p>
        </w:tc>
      </w:tr>
      <w:tr w:rsidR="00743E3F" w:rsidRPr="00743E3F" w14:paraId="0C7FA911" w14:textId="77777777" w:rsidTr="006E1AF7">
        <w:tc>
          <w:tcPr>
            <w:tcW w:w="5716" w:type="dxa"/>
          </w:tcPr>
          <w:p w14:paraId="1349ED8E" w14:textId="77777777" w:rsidR="00743E3F" w:rsidRPr="006E1AF7" w:rsidRDefault="00743E3F" w:rsidP="006E1AF7">
            <w:pPr>
              <w:autoSpaceDE w:val="0"/>
              <w:autoSpaceDN w:val="0"/>
              <w:adjustRightInd w:val="0"/>
              <w:jc w:val="both"/>
              <w:rPr>
                <w:rFonts w:ascii="Arial" w:hAnsi="Arial" w:cs="Arial"/>
                <w:color w:val="000000"/>
                <w:sz w:val="20"/>
              </w:rPr>
            </w:pPr>
          </w:p>
        </w:tc>
        <w:tc>
          <w:tcPr>
            <w:tcW w:w="2645" w:type="dxa"/>
          </w:tcPr>
          <w:p w14:paraId="162B0C32" w14:textId="77777777" w:rsidR="00743E3F" w:rsidRPr="006E1AF7" w:rsidRDefault="00743E3F" w:rsidP="006E1AF7">
            <w:pPr>
              <w:autoSpaceDE w:val="0"/>
              <w:autoSpaceDN w:val="0"/>
              <w:adjustRightInd w:val="0"/>
              <w:jc w:val="right"/>
              <w:rPr>
                <w:rFonts w:ascii="Arial" w:hAnsi="Arial" w:cs="Arial"/>
                <w:color w:val="000000"/>
                <w:sz w:val="20"/>
              </w:rPr>
            </w:pPr>
          </w:p>
        </w:tc>
      </w:tr>
      <w:tr w:rsidR="00743E3F" w:rsidRPr="00743E3F" w14:paraId="6099CA04" w14:textId="77777777" w:rsidTr="006E1AF7">
        <w:tc>
          <w:tcPr>
            <w:tcW w:w="5716" w:type="dxa"/>
          </w:tcPr>
          <w:p w14:paraId="1885AEEB" w14:textId="77777777" w:rsidR="00743E3F" w:rsidRPr="006E1AF7" w:rsidRDefault="00743E3F" w:rsidP="006E1AF7">
            <w:pPr>
              <w:autoSpaceDE w:val="0"/>
              <w:autoSpaceDN w:val="0"/>
              <w:adjustRightInd w:val="0"/>
              <w:jc w:val="both"/>
              <w:rPr>
                <w:rFonts w:ascii="Arial" w:hAnsi="Arial" w:cs="Arial"/>
                <w:color w:val="000000"/>
                <w:sz w:val="20"/>
              </w:rPr>
            </w:pPr>
            <w:r w:rsidRPr="006E1AF7">
              <w:rPr>
                <w:rFonts w:ascii="Arial" w:hAnsi="Arial" w:cs="Arial"/>
                <w:color w:val="000000"/>
                <w:sz w:val="20"/>
              </w:rPr>
              <w:t>Intereses sobre pasivos por arrendamientos (Otros gastos operativos)</w:t>
            </w:r>
          </w:p>
        </w:tc>
        <w:tc>
          <w:tcPr>
            <w:tcW w:w="2645" w:type="dxa"/>
          </w:tcPr>
          <w:p w14:paraId="5B943A9F" w14:textId="2BDCEF44" w:rsidR="00743E3F" w:rsidRPr="006E1AF7" w:rsidRDefault="00743E3F">
            <w:pPr>
              <w:autoSpaceDE w:val="0"/>
              <w:autoSpaceDN w:val="0"/>
              <w:adjustRightInd w:val="0"/>
              <w:jc w:val="right"/>
              <w:rPr>
                <w:rFonts w:ascii="Arial" w:hAnsi="Arial" w:cs="Arial"/>
                <w:color w:val="000000"/>
                <w:sz w:val="20"/>
              </w:rPr>
            </w:pPr>
            <w:r w:rsidRPr="006E1AF7">
              <w:rPr>
                <w:rFonts w:ascii="Arial" w:hAnsi="Arial" w:cs="Arial"/>
                <w:color w:val="000000"/>
                <w:sz w:val="20"/>
              </w:rPr>
              <w:t>1</w:t>
            </w:r>
            <w:r w:rsidR="00D63203">
              <w:rPr>
                <w:rFonts w:ascii="Arial" w:hAnsi="Arial" w:cs="Arial"/>
                <w:color w:val="000000"/>
                <w:sz w:val="20"/>
              </w:rPr>
              <w:t>73.964</w:t>
            </w:r>
          </w:p>
        </w:tc>
      </w:tr>
    </w:tbl>
    <w:p w14:paraId="52AE7FC1"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2CF62397" w14:textId="77777777" w:rsidR="00743E3F" w:rsidRPr="006E1AF7" w:rsidRDefault="00743E3F" w:rsidP="006E1AF7">
      <w:pPr>
        <w:autoSpaceDE w:val="0"/>
        <w:autoSpaceDN w:val="0"/>
        <w:adjustRightInd w:val="0"/>
        <w:ind w:firstLine="360"/>
        <w:jc w:val="both"/>
        <w:rPr>
          <w:rFonts w:ascii="Arial" w:hAnsi="Arial" w:cs="Arial"/>
          <w:color w:val="000000"/>
          <w:sz w:val="20"/>
        </w:rPr>
      </w:pPr>
      <w:r w:rsidRPr="006E1AF7">
        <w:rPr>
          <w:rFonts w:ascii="Arial" w:hAnsi="Arial" w:cs="Arial"/>
          <w:color w:val="000000"/>
          <w:sz w:val="20"/>
        </w:rPr>
        <w:t xml:space="preserve">(iii) Actividades de arrendamiento de la Entidad y cómo se contabilizan según la NIIF 16 </w:t>
      </w:r>
    </w:p>
    <w:p w14:paraId="79C01AC3"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59CFB2E9" w14:textId="77777777"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El Banco arrienda varias sucursales. Los contratos de alquiler generalmente se realizan por períodos fijos de 1 a 10 años, pero pueden tener opciones de extensión como se describe en (v) a continuación.</w:t>
      </w:r>
    </w:p>
    <w:p w14:paraId="100F6918" w14:textId="77777777"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Los contratos pueden contener componentes de arrendamiento y no. El Banco asigna la consideración en el contrato a los componentes de arrendamiento y no arrendamiento con base en sus precios relativos independientes. Sin embargo, para los arrendamientos de bienes inmuebles para los cuales el Banco es  arrendatario, ha optado por no separar los componentes de arrendamiento y los que no lo son, y en su lugar los contabiliza como un solo componente de arrendamiento.</w:t>
      </w:r>
    </w:p>
    <w:p w14:paraId="3A3F6608" w14:textId="77777777"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Los términos de arrendamiento se negocian de manera individual y contienen una amplia gama de términos y condiciones diferentes. Los contratos de arrendamiento no imponen otras obligaciones de hacer o no hacer, que no sean los activos arrendados que posee el arrendador. Los activos arrendados no se pueden usar como garantía para la obtención de préstamos.</w:t>
      </w:r>
    </w:p>
    <w:p w14:paraId="2D3A101B"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2788B56D" w14:textId="77777777"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Hasta el ejercicio 2018, los arrendamientos de propiedad, planta y equipo se clasificaron como arrendamientos operativos. A partir del 1 de enero de 2019, los arrendamientos se reconocen como un activo por derecho de uso registrando un pasivo como contrapartida en la fecha en que el activo arrendado está disponible para uso de la Entidad.</w:t>
      </w:r>
    </w:p>
    <w:p w14:paraId="42A4D35D"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484D7C8A" w14:textId="257FBF95" w:rsidR="00743E3F" w:rsidRDefault="00743E3F" w:rsidP="00743E3F">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Los activos y pasivos que surgen de un arrendamiento se miden inicialmente sobre la base del valor presente. Los pasivos por arrendamiento incluyen el valor presente neto de los siguientes pagos por arrendamiento:</w:t>
      </w:r>
    </w:p>
    <w:p w14:paraId="30E56BBB"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5FAF873B" w14:textId="47E21CAF"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pagos fijos (incluidos los pagos fijos en sustancia), menos cualquier activo por incentivo a cobrar</w:t>
      </w:r>
    </w:p>
    <w:p w14:paraId="6BE3DF1D" w14:textId="69EE3C9D"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pagos por arrendamiento variable basados en un índice o una tasa, inicialmente medido utilizando el índice o la tasa en la fecha de inicio</w:t>
      </w:r>
    </w:p>
    <w:p w14:paraId="1FF33EF8" w14:textId="04AB67E2"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importes que el Banco debe pagar bajo garantías de valor residual</w:t>
      </w:r>
    </w:p>
    <w:p w14:paraId="51C36511" w14:textId="39EB7595"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el precio de ejercicio de una opción de compra si el Banco está razonablemente seguro de ejercer esa opción, y</w:t>
      </w:r>
    </w:p>
    <w:p w14:paraId="50092720" w14:textId="6AB7BAA2"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 xml:space="preserve">pagos de multas por rescindir el arrendamiento, si el plazo del arrendamiento refleja que el Banco va a ejercer esa opción. </w:t>
      </w:r>
    </w:p>
    <w:p w14:paraId="0A2ECA53"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40148182" w14:textId="77777777"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Los pagos por arrendamiento que se realizarán bajo opciones de extensión razonablemente ciertas también se incluyen en la medición del pasivo.</w:t>
      </w:r>
    </w:p>
    <w:p w14:paraId="7C092417" w14:textId="77777777" w:rsidR="00743E3F" w:rsidRDefault="00743E3F" w:rsidP="00743E3F">
      <w:pPr>
        <w:autoSpaceDE w:val="0"/>
        <w:autoSpaceDN w:val="0"/>
        <w:adjustRightInd w:val="0"/>
        <w:ind w:left="360"/>
        <w:jc w:val="both"/>
        <w:rPr>
          <w:rFonts w:ascii="Arial" w:hAnsi="Arial" w:cs="Arial"/>
          <w:color w:val="000000"/>
          <w:sz w:val="20"/>
        </w:rPr>
      </w:pPr>
    </w:p>
    <w:p w14:paraId="6DB92A45" w14:textId="2E8694D9"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Los pagos de arrendamiento se descuentan utilizando la tasa de interés implícita en el arrendamiento. Si esa tasa no se puede determinar fácilmente, que generalmente es el caso de los arrendamientos en el Banco, se utiliza la tasa de endeudamiento incremental del arrendatario, que es la tasa que el arrendatario individual tendría que pagar para pedir prestados los fondos necesarios para obtener un activo de valor similar al activo por derecho de uso en un entorno económico similar con términos, seguridad y condiciones similares.</w:t>
      </w:r>
    </w:p>
    <w:p w14:paraId="194764BF" w14:textId="77777777" w:rsidR="00743E3F" w:rsidRPr="006E1AF7" w:rsidRDefault="00743E3F" w:rsidP="006E1AF7">
      <w:pPr>
        <w:autoSpaceDE w:val="0"/>
        <w:autoSpaceDN w:val="0"/>
        <w:adjustRightInd w:val="0"/>
        <w:jc w:val="both"/>
        <w:rPr>
          <w:rFonts w:ascii="Arial" w:hAnsi="Arial" w:cs="Arial"/>
          <w:color w:val="000000"/>
          <w:sz w:val="20"/>
        </w:rPr>
      </w:pPr>
    </w:p>
    <w:p w14:paraId="62F0A8A9" w14:textId="4E4B5369" w:rsidR="00743E3F" w:rsidRDefault="00743E3F" w:rsidP="00743E3F">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Para determinar la tasa de interés incremental, el Banco:</w:t>
      </w:r>
    </w:p>
    <w:p w14:paraId="3ACBB8CA"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45833ADA" w14:textId="02CF412C"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siempre que sea posible, utiliza el financiamiento externo recibido recientemente como punto de partida, ajustado para reflejar los cambios en las condiciones de financiamiento desde que se recibió el financiamiento externo.</w:t>
      </w:r>
    </w:p>
    <w:p w14:paraId="5675A6C5" w14:textId="7012AF7F"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utiliza un enfoque de determinación de la tasa que comienza con una tasa de interés libre de riesgo ajustada por riesgo de crédito para arrendamientos que ya posee la Entidad para aquellos casos en los que no cuenta con financiamiento reciente de terceros, y</w:t>
      </w:r>
    </w:p>
    <w:p w14:paraId="7A8BAAC8" w14:textId="5731C623"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realiza ajustes específicos para el arrendamiento, por ejemplo, plazo, moneda y garantía.</w:t>
      </w:r>
    </w:p>
    <w:p w14:paraId="5B23A4FA"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017D0170" w14:textId="77777777"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El Banco está expuesto a posibles aumentos futuros en los pagos de arrendamiento variables basados ​​en un índice o tasa, que no se incluyen en el pasivo por arrendamiento hasta que entren en vigencia. Cuando los ajustes a los pagos por arrendamiento basados ​​en un índice o tasa entran en vigencia, el pasivo por arrendamiento se reevalúa y ajusta contra el activo por derecho de uso.</w:t>
      </w:r>
    </w:p>
    <w:p w14:paraId="33ACC768"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066AB096" w14:textId="77777777"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 xml:space="preserve">Los pagos por arrendamiento se asignan entre el capital y el costo financiero. El costo financiero se carga a resultados durante el período de arrendamiento para producir una tasa de interés periódica constante sobre el saldo restante del pasivo para cada período. </w:t>
      </w:r>
    </w:p>
    <w:p w14:paraId="46051444"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4BE74583" w14:textId="4E555CB5" w:rsidR="00743E3F" w:rsidRDefault="00743E3F" w:rsidP="00743E3F">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Los activos por derecho de uso se miden al costo que comprende lo siguiente:</w:t>
      </w:r>
    </w:p>
    <w:p w14:paraId="3BD25DF3"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02629BCB" w14:textId="6C8802E2"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el importe de la medición inicial del pasivo por arrendamiento</w:t>
      </w:r>
    </w:p>
    <w:p w14:paraId="1BFF6F20" w14:textId="058E1497"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 xml:space="preserve">cualquier pago por arrendamiento realizado en o antes de la fecha de inicio menos cualquier activo por incentivo de arrendamiento </w:t>
      </w:r>
    </w:p>
    <w:p w14:paraId="3156D0D5" w14:textId="049AF981"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cualquier costo directo inicial, y</w:t>
      </w:r>
    </w:p>
    <w:p w14:paraId="6A963A51" w14:textId="7D73C521" w:rsidR="00743E3F" w:rsidRPr="006E1AF7" w:rsidRDefault="00743E3F" w:rsidP="006E1AF7">
      <w:pPr>
        <w:pStyle w:val="Prrafodelista"/>
        <w:numPr>
          <w:ilvl w:val="0"/>
          <w:numId w:val="59"/>
        </w:numPr>
        <w:autoSpaceDE w:val="0"/>
        <w:autoSpaceDN w:val="0"/>
        <w:adjustRightInd w:val="0"/>
        <w:jc w:val="both"/>
        <w:rPr>
          <w:rFonts w:ascii="Arial" w:hAnsi="Arial" w:cs="Arial"/>
          <w:color w:val="000000"/>
          <w:sz w:val="20"/>
        </w:rPr>
      </w:pPr>
      <w:r w:rsidRPr="006E1AF7">
        <w:rPr>
          <w:rFonts w:ascii="Arial" w:hAnsi="Arial" w:cs="Arial"/>
          <w:color w:val="000000"/>
          <w:sz w:val="20"/>
        </w:rPr>
        <w:t>costos de restauración.</w:t>
      </w:r>
    </w:p>
    <w:p w14:paraId="20482572"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0AD14F19" w14:textId="77777777"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Los activos por derecho de uso generalmente se deprecian durante la vida útil más corta del activo y el plazo del arrendamiento en forma lineal.</w:t>
      </w:r>
    </w:p>
    <w:p w14:paraId="1AD42CE7"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58CB63F2" w14:textId="77777777" w:rsidR="00743E3F" w:rsidRPr="006E1AF7" w:rsidRDefault="00743E3F">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Los pagos asociados con arrendamientos a corto plazo de equipos y todos los arrendamientos de activos de bajo valor se reconocen linealmente como un gasto en resultados. Los arrendamientos a corto plazo son arrendamientos con un plazo de arrendamiento de 12 meses o menos. Los activos de bajo valor comprenden equipos informáticos y pequeños artículos de mobiliario de oficina.</w:t>
      </w:r>
    </w:p>
    <w:p w14:paraId="0DC62671" w14:textId="77777777" w:rsidR="00743E3F" w:rsidRPr="006E1AF7" w:rsidRDefault="00743E3F" w:rsidP="006E1AF7">
      <w:pPr>
        <w:autoSpaceDE w:val="0"/>
        <w:autoSpaceDN w:val="0"/>
        <w:adjustRightInd w:val="0"/>
        <w:jc w:val="both"/>
        <w:rPr>
          <w:rFonts w:ascii="Arial" w:hAnsi="Arial" w:cs="Arial"/>
          <w:color w:val="000000"/>
          <w:sz w:val="20"/>
        </w:rPr>
      </w:pPr>
    </w:p>
    <w:p w14:paraId="05BD6345" w14:textId="77777777"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(v) Opciones de extensión y terminación</w:t>
      </w:r>
    </w:p>
    <w:p w14:paraId="4D95F39B" w14:textId="77777777" w:rsidR="00743E3F" w:rsidRPr="006E1AF7" w:rsidRDefault="00743E3F" w:rsidP="006E1AF7">
      <w:pPr>
        <w:autoSpaceDE w:val="0"/>
        <w:autoSpaceDN w:val="0"/>
        <w:adjustRightInd w:val="0"/>
        <w:ind w:left="360"/>
        <w:jc w:val="both"/>
        <w:rPr>
          <w:rFonts w:ascii="Arial" w:hAnsi="Arial" w:cs="Arial"/>
          <w:color w:val="000000"/>
          <w:sz w:val="20"/>
        </w:rPr>
      </w:pPr>
    </w:p>
    <w:p w14:paraId="0CAF5B3A" w14:textId="77777777" w:rsidR="00743E3F" w:rsidRPr="006E1AF7" w:rsidRDefault="00743E3F" w:rsidP="006E1AF7">
      <w:pPr>
        <w:autoSpaceDE w:val="0"/>
        <w:autoSpaceDN w:val="0"/>
        <w:adjustRightInd w:val="0"/>
        <w:ind w:left="360"/>
        <w:jc w:val="both"/>
        <w:rPr>
          <w:rFonts w:ascii="Arial" w:hAnsi="Arial" w:cs="Arial"/>
          <w:color w:val="000000"/>
          <w:sz w:val="20"/>
        </w:rPr>
      </w:pPr>
      <w:r w:rsidRPr="006E1AF7">
        <w:rPr>
          <w:rFonts w:ascii="Arial" w:hAnsi="Arial" w:cs="Arial"/>
          <w:color w:val="000000"/>
          <w:sz w:val="20"/>
        </w:rPr>
        <w:t>Las opciones de extensión y terminación están incluidas en varios contratos de arrendamiento de propiedades. Estos se utilizan para maximizar la flexibilidad operativa en términos de gestión de los activos utilizados en las operaciones. La mayoría de las opciones de extensión y terminación mantenidas son ejercibles solo por el Banco y no por el arrendador respectivo.</w:t>
      </w:r>
    </w:p>
    <w:p w14:paraId="27CFB34E" w14:textId="77777777" w:rsidR="008D7556" w:rsidRPr="00743E3F" w:rsidRDefault="008D7556">
      <w:pPr>
        <w:widowControl w:val="0"/>
        <w:autoSpaceDE w:val="0"/>
        <w:autoSpaceDN w:val="0"/>
        <w:adjustRightInd w:val="0"/>
        <w:jc w:val="both"/>
        <w:rPr>
          <w:rFonts w:ascii="Arial" w:hAnsi="Arial" w:cs="Arial"/>
          <w:noProof/>
          <w:sz w:val="20"/>
        </w:rPr>
      </w:pPr>
    </w:p>
    <w:p w14:paraId="0F3FB227" w14:textId="7B113A18" w:rsidR="00E23C30" w:rsidRPr="00F30223" w:rsidRDefault="00E23C30" w:rsidP="00E23C30">
      <w:pPr>
        <w:widowControl w:val="0"/>
        <w:autoSpaceDE w:val="0"/>
        <w:autoSpaceDN w:val="0"/>
        <w:adjustRightInd w:val="0"/>
        <w:jc w:val="both"/>
        <w:rPr>
          <w:rFonts w:ascii="Arial" w:hAnsi="Arial" w:cs="Arial"/>
          <w:b/>
          <w:noProof/>
          <w:sz w:val="20"/>
        </w:rPr>
      </w:pPr>
      <w:r w:rsidRPr="00F30223">
        <w:rPr>
          <w:rFonts w:ascii="Arial" w:hAnsi="Arial" w:cs="Arial"/>
          <w:b/>
          <w:noProof/>
          <w:sz w:val="20"/>
        </w:rPr>
        <w:t>1</w:t>
      </w:r>
      <w:r w:rsidR="007B6F7B">
        <w:rPr>
          <w:rFonts w:ascii="Arial" w:hAnsi="Arial" w:cs="Arial"/>
          <w:b/>
          <w:noProof/>
          <w:sz w:val="20"/>
        </w:rPr>
        <w:t>6</w:t>
      </w:r>
      <w:r w:rsidRPr="00F30223">
        <w:rPr>
          <w:rFonts w:ascii="Arial" w:hAnsi="Arial" w:cs="Arial"/>
          <w:b/>
          <w:noProof/>
          <w:sz w:val="20"/>
        </w:rPr>
        <w:t>. CONTRATO COMO AGENTE FINANCIERO POR PARTE DE LA PROVINCIA DE SAN LUIS</w:t>
      </w:r>
    </w:p>
    <w:p w14:paraId="19A24DA0" w14:textId="77777777" w:rsidR="00E23C30" w:rsidRPr="00E23C30" w:rsidRDefault="00E23C30" w:rsidP="00E23C30">
      <w:pPr>
        <w:widowControl w:val="0"/>
        <w:autoSpaceDE w:val="0"/>
        <w:autoSpaceDN w:val="0"/>
        <w:adjustRightInd w:val="0"/>
        <w:jc w:val="both"/>
        <w:rPr>
          <w:rFonts w:ascii="Arial" w:hAnsi="Arial" w:cs="Arial"/>
          <w:noProof/>
          <w:sz w:val="20"/>
        </w:rPr>
      </w:pPr>
    </w:p>
    <w:p w14:paraId="460409A3"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Con fecha 17 de enero de 2017 se recibió una comunicación fehaciente del Ministerio de Hacienda Pública de la Provincia de San Luis mediante la cual se comunica a Banco Supervielle S.A. que a partir del 28 de febrero de 2017 se rescindió el Contrato de Vinculación mediante el cual la Entidad cumple el rol de Agente Financiero de esa provincia. Dicho Ministerio también manifestó que, sin perjuicio del ejercicio del derecho a rescindir el contrato, el Estado Provincial podrá continuar operando con el Banco hasta tanto se seleccione un nuevo agente financiero.</w:t>
      </w:r>
    </w:p>
    <w:p w14:paraId="23F29EA3"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 xml:space="preserve"> </w:t>
      </w:r>
    </w:p>
    <w:p w14:paraId="2DBCA6B0"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Desde febrero de 2017, el Banco ha continuado brindando servicios financieros al gobierno de la Provincia de San Luis y a sus empleados a pesar de la terminación del acuerdo en febrero de 2017.</w:t>
      </w:r>
    </w:p>
    <w:p w14:paraId="39536EC0"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 xml:space="preserve"> </w:t>
      </w:r>
    </w:p>
    <w:p w14:paraId="50CC9A29"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El 23 de mayo de 2018, la Municipalidad de la ciudad de San Luis designó al Banco Supervielle como agente financiero por un período de 2 años, con renovación automática por 2 años adicionales, comenzando con el primer pago de sueldos el 29 de junio del año en curso. Con esta designación, el Banco se convirtió en agente financiero de todos los municipios de la Provincia.</w:t>
      </w:r>
    </w:p>
    <w:p w14:paraId="5442EBA3"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 xml:space="preserve"> </w:t>
      </w:r>
    </w:p>
    <w:p w14:paraId="2656B6C4" w14:textId="237D7F9A"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 xml:space="preserve">El 7 de junio de 2018, la Provincia ratificó el convenio firmado con el Banco por un plazo de 12 meses formalizando su rol de agente de servicios financieros exclusivo que ha continuado ejerciendo desde hace más de 20 años. El dicho convenió venció el 9 de diciembre de 2019 y el mismo </w:t>
      </w:r>
      <w:r w:rsidR="00EA6379">
        <w:rPr>
          <w:rFonts w:ascii="Arial" w:hAnsi="Arial" w:cs="Arial"/>
          <w:sz w:val="20"/>
        </w:rPr>
        <w:t>ha sido</w:t>
      </w:r>
      <w:r w:rsidRPr="001859C8">
        <w:rPr>
          <w:rFonts w:ascii="Arial" w:hAnsi="Arial" w:cs="Arial"/>
          <w:sz w:val="20"/>
        </w:rPr>
        <w:t xml:space="preserve"> renovado hasta el 31 de marzo de 2020.</w:t>
      </w:r>
    </w:p>
    <w:p w14:paraId="67AE3BEA" w14:textId="77777777" w:rsidR="001859C8" w:rsidRPr="001859C8" w:rsidRDefault="001859C8" w:rsidP="001859C8">
      <w:pPr>
        <w:widowControl w:val="0"/>
        <w:autoSpaceDE w:val="0"/>
        <w:autoSpaceDN w:val="0"/>
        <w:adjustRightInd w:val="0"/>
        <w:jc w:val="both"/>
        <w:rPr>
          <w:rFonts w:ascii="Arial" w:hAnsi="Arial" w:cs="Arial"/>
          <w:sz w:val="20"/>
        </w:rPr>
      </w:pPr>
    </w:p>
    <w:p w14:paraId="223D817C" w14:textId="116CC3CC" w:rsidR="001859C8" w:rsidRPr="006E1AF7" w:rsidRDefault="00EA6379" w:rsidP="006E1AF7">
      <w:pPr>
        <w:jc w:val="both"/>
        <w:rPr>
          <w:szCs w:val="24"/>
          <w:lang w:eastAsia="es-ES_tradnl"/>
        </w:rPr>
      </w:pPr>
      <w:r>
        <w:rPr>
          <w:rFonts w:ascii="Arial" w:hAnsi="Arial" w:cs="Arial"/>
          <w:color w:val="000000"/>
          <w:sz w:val="20"/>
          <w:lang w:eastAsia="es-ES_tradnl"/>
        </w:rPr>
        <w:t xml:space="preserve">En enero de 2019, el gobierno de la Provincia de San Luis dio a conocer los términos y condiciones de la subasta que realizará la Provincia para el nuevo acuerdo de agencia financiera. El Banco presentó una oferta el 15 de marzo de 2019. Solamente dos ofertas fueron presentadas. Con fecha 6 de diciembre de 2019, el gobierno de la Provincia de San Luis emitió el Decreto Nro, 8589 que resolvió cerrar la licitación sin adjudicar el acuerdo de agente financiero. </w:t>
      </w:r>
      <w:r w:rsidR="001859C8" w:rsidRPr="001859C8">
        <w:rPr>
          <w:rFonts w:ascii="Arial" w:hAnsi="Arial" w:cs="Arial"/>
          <w:sz w:val="20"/>
        </w:rPr>
        <w:t xml:space="preserve"> </w:t>
      </w:r>
    </w:p>
    <w:p w14:paraId="2C9D4718" w14:textId="77777777" w:rsidR="001859C8" w:rsidRPr="001859C8" w:rsidRDefault="001859C8" w:rsidP="001859C8">
      <w:pPr>
        <w:widowControl w:val="0"/>
        <w:autoSpaceDE w:val="0"/>
        <w:autoSpaceDN w:val="0"/>
        <w:adjustRightInd w:val="0"/>
        <w:jc w:val="both"/>
        <w:rPr>
          <w:rFonts w:ascii="Arial" w:hAnsi="Arial" w:cs="Arial"/>
          <w:sz w:val="20"/>
        </w:rPr>
      </w:pPr>
    </w:p>
    <w:p w14:paraId="4A9AB465" w14:textId="7A1E4019" w:rsidR="00E23C30"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A la fecha de los presentes estados financieros, el Banco continúa brindando servicios financieros al gobierno provincial de la Provincia de San Luis y sus empleados.</w:t>
      </w:r>
    </w:p>
    <w:p w14:paraId="758E020E" w14:textId="77777777" w:rsidR="001859C8" w:rsidRDefault="001859C8" w:rsidP="001859C8">
      <w:pPr>
        <w:widowControl w:val="0"/>
        <w:autoSpaceDE w:val="0"/>
        <w:autoSpaceDN w:val="0"/>
        <w:adjustRightInd w:val="0"/>
        <w:jc w:val="both"/>
        <w:rPr>
          <w:rFonts w:ascii="Arial" w:hAnsi="Arial" w:cs="Arial"/>
          <w:sz w:val="20"/>
        </w:rPr>
      </w:pPr>
    </w:p>
    <w:p w14:paraId="01D1E16B" w14:textId="77777777" w:rsidR="007B6F7B" w:rsidRPr="00AA7D0D" w:rsidRDefault="007B6F7B" w:rsidP="007B6F7B">
      <w:pPr>
        <w:rPr>
          <w:rFonts w:ascii="Arial" w:eastAsia="Calibri" w:hAnsi="Arial" w:cs="Arial"/>
          <w:b/>
          <w:bCs/>
          <w:caps/>
          <w:sz w:val="20"/>
        </w:rPr>
      </w:pPr>
      <w:r w:rsidRPr="00AA7D0D">
        <w:rPr>
          <w:rFonts w:ascii="Arial" w:hAnsi="Arial" w:cs="Arial"/>
          <w:b/>
          <w:caps/>
          <w:noProof/>
          <w:sz w:val="20"/>
        </w:rPr>
        <w:t>17.</w:t>
      </w:r>
      <w:r w:rsidRPr="00AA7D0D">
        <w:rPr>
          <w:rFonts w:ascii="Arial" w:eastAsia="Calibri" w:hAnsi="Arial" w:cs="Arial"/>
          <w:b/>
          <w:bCs/>
          <w:caps/>
          <w:sz w:val="20"/>
        </w:rPr>
        <w:t xml:space="preserve"> Instrumentos Financieros </w:t>
      </w:r>
    </w:p>
    <w:p w14:paraId="6BC189AE" w14:textId="77777777" w:rsidR="007B6F7B" w:rsidRPr="00701F32" w:rsidRDefault="007B6F7B" w:rsidP="007B6F7B">
      <w:pPr>
        <w:rPr>
          <w:rFonts w:ascii="Arial" w:eastAsia="Calibri" w:hAnsi="Arial" w:cs="Arial"/>
          <w:b/>
          <w:bCs/>
          <w:sz w:val="20"/>
        </w:rPr>
      </w:pPr>
    </w:p>
    <w:p w14:paraId="7ACBC0CF" w14:textId="72C4C9A1" w:rsidR="007B6F7B" w:rsidRDefault="007B6F7B" w:rsidP="007B6F7B">
      <w:pPr>
        <w:spacing w:after="160"/>
        <w:jc w:val="both"/>
        <w:rPr>
          <w:rFonts w:ascii="Arial" w:eastAsia="Calibri" w:hAnsi="Arial" w:cs="Arial"/>
          <w:sz w:val="20"/>
        </w:rPr>
      </w:pPr>
      <w:r>
        <w:rPr>
          <w:rFonts w:ascii="Arial" w:eastAsia="Calibri" w:hAnsi="Arial" w:cs="Arial"/>
          <w:sz w:val="20"/>
        </w:rPr>
        <w:t>Los instrumentos financieros</w:t>
      </w:r>
      <w:r w:rsidRPr="00701F32">
        <w:rPr>
          <w:rFonts w:ascii="Arial" w:eastAsia="Calibri" w:hAnsi="Arial" w:cs="Arial"/>
          <w:sz w:val="20"/>
        </w:rPr>
        <w:t xml:space="preserve"> para el </w:t>
      </w:r>
      <w:r>
        <w:rPr>
          <w:rFonts w:ascii="Arial" w:eastAsia="Calibri" w:hAnsi="Arial" w:cs="Arial"/>
          <w:sz w:val="20"/>
        </w:rPr>
        <w:t>ejercicio finalizado el 31</w:t>
      </w:r>
      <w:r w:rsidRPr="00701F32">
        <w:rPr>
          <w:rFonts w:ascii="Arial" w:eastAsia="Calibri" w:hAnsi="Arial" w:cs="Arial"/>
          <w:sz w:val="20"/>
        </w:rPr>
        <w:t xml:space="preserve"> de </w:t>
      </w:r>
      <w:r>
        <w:rPr>
          <w:rFonts w:ascii="Arial" w:eastAsia="Calibri" w:hAnsi="Arial" w:cs="Arial"/>
          <w:sz w:val="20"/>
        </w:rPr>
        <w:t>diciembre de 2019</w:t>
      </w:r>
      <w:r w:rsidRPr="00701F32">
        <w:rPr>
          <w:rFonts w:ascii="Arial" w:eastAsia="Calibri" w:hAnsi="Arial" w:cs="Arial"/>
          <w:sz w:val="20"/>
        </w:rPr>
        <w:t xml:space="preserve"> se detallan en el Anexo </w:t>
      </w:r>
      <w:r>
        <w:rPr>
          <w:rFonts w:ascii="Arial" w:eastAsia="Calibri" w:hAnsi="Arial" w:cs="Arial"/>
          <w:sz w:val="20"/>
        </w:rPr>
        <w:t>P</w:t>
      </w:r>
      <w:r w:rsidRPr="00701F32">
        <w:rPr>
          <w:rFonts w:ascii="Arial" w:eastAsia="Calibri" w:hAnsi="Arial" w:cs="Arial"/>
          <w:sz w:val="20"/>
        </w:rPr>
        <w:t xml:space="preserve"> adjunto a estos estados financieros consolidados.</w:t>
      </w:r>
    </w:p>
    <w:p w14:paraId="75B0CBFE" w14:textId="55726E85" w:rsidR="007B6F7B" w:rsidRPr="00701F32" w:rsidRDefault="007B6F7B" w:rsidP="007B6F7B">
      <w:pPr>
        <w:spacing w:after="160"/>
        <w:jc w:val="both"/>
        <w:rPr>
          <w:rFonts w:ascii="Arial" w:eastAsia="Calibri" w:hAnsi="Arial" w:cs="Arial"/>
          <w:sz w:val="20"/>
        </w:rPr>
      </w:pPr>
      <w:r w:rsidRPr="00701F32">
        <w:rPr>
          <w:rFonts w:ascii="Arial" w:eastAsia="Calibri" w:hAnsi="Arial" w:cs="Arial"/>
          <w:sz w:val="20"/>
        </w:rPr>
        <w:t xml:space="preserve">Al </w:t>
      </w:r>
      <w:r>
        <w:rPr>
          <w:rFonts w:ascii="Arial" w:eastAsia="Calibri" w:hAnsi="Arial" w:cs="Arial"/>
          <w:sz w:val="20"/>
        </w:rPr>
        <w:t>31 de diciembre de 201</w:t>
      </w:r>
      <w:r w:rsidR="004B14D7">
        <w:rPr>
          <w:rFonts w:ascii="Arial" w:eastAsia="Calibri" w:hAnsi="Arial" w:cs="Arial"/>
          <w:sz w:val="20"/>
        </w:rPr>
        <w:t>8</w:t>
      </w:r>
      <w:r w:rsidRPr="00701F32">
        <w:rPr>
          <w:rFonts w:ascii="Arial" w:eastAsia="Calibri" w:hAnsi="Arial" w:cs="Arial"/>
          <w:sz w:val="20"/>
        </w:rPr>
        <w:t xml:space="preserve"> la Entidad mantiene los siguientes instrumentos financieros:</w:t>
      </w:r>
    </w:p>
    <w:p w14:paraId="1A8EC6C9" w14:textId="77777777" w:rsidR="007B6F7B" w:rsidRPr="00701F32" w:rsidRDefault="007B6F7B" w:rsidP="007B6F7B">
      <w:pPr>
        <w:spacing w:line="259" w:lineRule="auto"/>
        <w:jc w:val="both"/>
        <w:rPr>
          <w:rFonts w:ascii="Arial" w:eastAsia="Calibri" w:hAnsi="Arial" w:cs="Arial"/>
          <w:bCs/>
          <w:sz w:val="20"/>
        </w:rPr>
      </w:pPr>
    </w:p>
    <w:tbl>
      <w:tblPr>
        <w:tblW w:w="5000" w:type="pct"/>
        <w:tblLayout w:type="fixed"/>
        <w:tblCellMar>
          <w:left w:w="70" w:type="dxa"/>
          <w:right w:w="70" w:type="dxa"/>
        </w:tblCellMar>
        <w:tblLook w:val="04A0" w:firstRow="1" w:lastRow="0" w:firstColumn="1" w:lastColumn="0" w:noHBand="0" w:noVBand="1"/>
      </w:tblPr>
      <w:tblGrid>
        <w:gridCol w:w="3740"/>
        <w:gridCol w:w="1183"/>
        <w:gridCol w:w="1292"/>
        <w:gridCol w:w="1215"/>
        <w:gridCol w:w="1215"/>
      </w:tblGrid>
      <w:tr w:rsidR="007B6F7B" w:rsidRPr="00701F32" w14:paraId="58523C8E" w14:textId="77777777" w:rsidTr="007B6F7B">
        <w:trPr>
          <w:trHeight w:val="228"/>
          <w:tblHeader/>
        </w:trPr>
        <w:tc>
          <w:tcPr>
            <w:tcW w:w="21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CDC11" w14:textId="32B118AA" w:rsidR="007B6F7B" w:rsidRPr="00701F32" w:rsidRDefault="007B6F7B" w:rsidP="007B6F7B">
            <w:pPr>
              <w:jc w:val="center"/>
              <w:rPr>
                <w:rFonts w:ascii="Arial" w:hAnsi="Arial" w:cs="Arial"/>
                <w:b/>
                <w:color w:val="000000"/>
                <w:sz w:val="18"/>
                <w:szCs w:val="18"/>
                <w:lang w:eastAsia="es-AR"/>
              </w:rPr>
            </w:pPr>
            <w:r w:rsidRPr="00701F32">
              <w:rPr>
                <w:rFonts w:ascii="Arial" w:hAnsi="Arial" w:cs="Arial"/>
                <w:b/>
                <w:color w:val="000000"/>
                <w:sz w:val="18"/>
                <w:szCs w:val="18"/>
                <w:lang w:eastAsia="es-AR"/>
              </w:rPr>
              <w:t>Cartera de instrumentos al 31/12/201</w:t>
            </w:r>
            <w:r>
              <w:rPr>
                <w:rFonts w:ascii="Arial" w:hAnsi="Arial" w:cs="Arial"/>
                <w:b/>
                <w:color w:val="000000"/>
                <w:sz w:val="18"/>
                <w:szCs w:val="18"/>
                <w:lang w:eastAsia="es-AR"/>
              </w:rPr>
              <w:t>8</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14:paraId="55436A37" w14:textId="77777777" w:rsidR="007B6F7B" w:rsidRPr="00701F32" w:rsidRDefault="007B6F7B" w:rsidP="007B6F7B">
            <w:pPr>
              <w:jc w:val="center"/>
              <w:rPr>
                <w:rFonts w:ascii="Arial" w:hAnsi="Arial" w:cs="Arial"/>
                <w:b/>
                <w:bCs/>
                <w:color w:val="000000"/>
                <w:sz w:val="18"/>
                <w:szCs w:val="18"/>
              </w:rPr>
            </w:pPr>
            <w:r w:rsidRPr="00701F32">
              <w:rPr>
                <w:rFonts w:ascii="Arial" w:hAnsi="Arial" w:cs="Arial"/>
                <w:b/>
                <w:bCs/>
                <w:color w:val="000000"/>
                <w:sz w:val="18"/>
                <w:szCs w:val="18"/>
              </w:rPr>
              <w:t>Costo Amortizado</w:t>
            </w:r>
          </w:p>
        </w:tc>
        <w:tc>
          <w:tcPr>
            <w:tcW w:w="747" w:type="pct"/>
            <w:tcBorders>
              <w:top w:val="single" w:sz="4" w:space="0" w:color="auto"/>
              <w:left w:val="nil"/>
              <w:bottom w:val="single" w:sz="4" w:space="0" w:color="auto"/>
              <w:right w:val="single" w:sz="4" w:space="0" w:color="auto"/>
            </w:tcBorders>
            <w:shd w:val="clear" w:color="auto" w:fill="auto"/>
            <w:noWrap/>
            <w:vAlign w:val="center"/>
            <w:hideMark/>
          </w:tcPr>
          <w:p w14:paraId="164EAB81" w14:textId="77777777" w:rsidR="007B6F7B" w:rsidRPr="00701F32" w:rsidRDefault="007B6F7B" w:rsidP="007B6F7B">
            <w:pPr>
              <w:jc w:val="center"/>
              <w:rPr>
                <w:rFonts w:ascii="Arial" w:hAnsi="Arial" w:cs="Arial"/>
                <w:b/>
                <w:bCs/>
                <w:color w:val="000000"/>
                <w:sz w:val="18"/>
                <w:szCs w:val="18"/>
              </w:rPr>
            </w:pPr>
            <w:r w:rsidRPr="00701F32">
              <w:rPr>
                <w:rFonts w:ascii="Arial" w:hAnsi="Arial" w:cs="Arial"/>
                <w:b/>
                <w:bCs/>
                <w:color w:val="000000"/>
                <w:sz w:val="18"/>
                <w:szCs w:val="18"/>
              </w:rPr>
              <w:t>Valor Razonable - Resultados</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14:paraId="63164070" w14:textId="77777777" w:rsidR="007B6F7B" w:rsidRPr="00701F32" w:rsidRDefault="007B6F7B" w:rsidP="007B6F7B">
            <w:pPr>
              <w:jc w:val="center"/>
              <w:rPr>
                <w:rFonts w:ascii="Arial" w:hAnsi="Arial" w:cs="Arial"/>
                <w:b/>
                <w:bCs/>
                <w:color w:val="000000"/>
                <w:sz w:val="18"/>
                <w:szCs w:val="18"/>
              </w:rPr>
            </w:pPr>
            <w:r w:rsidRPr="00701F32">
              <w:rPr>
                <w:rFonts w:ascii="Arial" w:hAnsi="Arial" w:cs="Arial"/>
                <w:b/>
                <w:bCs/>
                <w:color w:val="000000"/>
                <w:sz w:val="18"/>
                <w:szCs w:val="18"/>
              </w:rPr>
              <w:t>Valor Razonable - ORI</w:t>
            </w:r>
          </w:p>
        </w:tc>
        <w:tc>
          <w:tcPr>
            <w:tcW w:w="703" w:type="pct"/>
            <w:tcBorders>
              <w:top w:val="single" w:sz="4" w:space="0" w:color="auto"/>
              <w:left w:val="nil"/>
              <w:bottom w:val="single" w:sz="4" w:space="0" w:color="auto"/>
              <w:right w:val="single" w:sz="4" w:space="0" w:color="auto"/>
            </w:tcBorders>
            <w:vAlign w:val="center"/>
          </w:tcPr>
          <w:p w14:paraId="67B2FAF3" w14:textId="77777777" w:rsidR="007B6F7B" w:rsidRPr="00701F32" w:rsidRDefault="007B6F7B" w:rsidP="007B6F7B">
            <w:pPr>
              <w:jc w:val="center"/>
              <w:rPr>
                <w:rFonts w:ascii="Arial" w:hAnsi="Arial" w:cs="Arial"/>
                <w:b/>
                <w:bCs/>
                <w:color w:val="000000"/>
                <w:sz w:val="18"/>
                <w:szCs w:val="18"/>
              </w:rPr>
            </w:pPr>
            <w:r w:rsidRPr="00701F32">
              <w:rPr>
                <w:rFonts w:ascii="Arial" w:hAnsi="Arial" w:cs="Arial"/>
                <w:b/>
                <w:bCs/>
                <w:color w:val="000000"/>
                <w:sz w:val="18"/>
                <w:szCs w:val="18"/>
              </w:rPr>
              <w:t>Total</w:t>
            </w:r>
          </w:p>
        </w:tc>
      </w:tr>
      <w:tr w:rsidR="007B6F7B" w:rsidRPr="00701F32" w14:paraId="07FAA06A"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65E9EC39" w14:textId="77777777" w:rsidR="007B6F7B" w:rsidRPr="00701F32" w:rsidRDefault="007B6F7B" w:rsidP="007B6F7B">
            <w:pPr>
              <w:rPr>
                <w:rFonts w:ascii="Arial" w:hAnsi="Arial" w:cs="Arial"/>
                <w:b/>
                <w:bCs/>
                <w:color w:val="000000"/>
                <w:sz w:val="18"/>
                <w:szCs w:val="18"/>
                <w:lang w:eastAsia="es-AR"/>
              </w:rPr>
            </w:pPr>
            <w:r w:rsidRPr="00701F32">
              <w:rPr>
                <w:rFonts w:ascii="Arial" w:hAnsi="Arial" w:cs="Arial"/>
                <w:b/>
                <w:bCs/>
                <w:color w:val="000000"/>
                <w:sz w:val="18"/>
                <w:szCs w:val="18"/>
                <w:lang w:eastAsia="es-AR"/>
              </w:rPr>
              <w:t>Activos</w:t>
            </w:r>
          </w:p>
        </w:tc>
        <w:tc>
          <w:tcPr>
            <w:tcW w:w="684" w:type="pct"/>
            <w:tcBorders>
              <w:top w:val="nil"/>
              <w:left w:val="nil"/>
              <w:bottom w:val="single" w:sz="4" w:space="0" w:color="auto"/>
              <w:right w:val="single" w:sz="4" w:space="0" w:color="auto"/>
            </w:tcBorders>
            <w:shd w:val="clear" w:color="auto" w:fill="auto"/>
            <w:noWrap/>
            <w:vAlign w:val="bottom"/>
            <w:hideMark/>
          </w:tcPr>
          <w:p w14:paraId="5A184256" w14:textId="77777777" w:rsidR="007B6F7B" w:rsidRPr="00701F32" w:rsidRDefault="007B6F7B" w:rsidP="007B6F7B">
            <w:pPr>
              <w:jc w:val="right"/>
              <w:rPr>
                <w:rFonts w:ascii="Arial" w:hAnsi="Arial" w:cs="Arial"/>
                <w:b/>
                <w:bCs/>
                <w:color w:val="000000"/>
                <w:sz w:val="18"/>
                <w:szCs w:val="18"/>
                <w:lang w:eastAsia="es-AR"/>
              </w:rPr>
            </w:pPr>
          </w:p>
        </w:tc>
        <w:tc>
          <w:tcPr>
            <w:tcW w:w="747" w:type="pct"/>
            <w:tcBorders>
              <w:top w:val="nil"/>
              <w:left w:val="nil"/>
              <w:bottom w:val="single" w:sz="4" w:space="0" w:color="auto"/>
              <w:right w:val="single" w:sz="4" w:space="0" w:color="auto"/>
            </w:tcBorders>
            <w:shd w:val="clear" w:color="auto" w:fill="auto"/>
            <w:noWrap/>
            <w:vAlign w:val="bottom"/>
            <w:hideMark/>
          </w:tcPr>
          <w:p w14:paraId="6FB5D234" w14:textId="77777777" w:rsidR="007B6F7B" w:rsidRPr="00701F32" w:rsidRDefault="007B6F7B" w:rsidP="007B6F7B">
            <w:pPr>
              <w:jc w:val="right"/>
              <w:rPr>
                <w:rFonts w:ascii="Arial" w:hAnsi="Arial" w:cs="Arial"/>
                <w:b/>
                <w:bCs/>
                <w:color w:val="000000"/>
                <w:sz w:val="18"/>
                <w:szCs w:val="18"/>
                <w:lang w:eastAsia="es-AR"/>
              </w:rPr>
            </w:pPr>
          </w:p>
        </w:tc>
        <w:tc>
          <w:tcPr>
            <w:tcW w:w="703" w:type="pct"/>
            <w:tcBorders>
              <w:top w:val="nil"/>
              <w:left w:val="nil"/>
              <w:bottom w:val="single" w:sz="4" w:space="0" w:color="auto"/>
              <w:right w:val="single" w:sz="4" w:space="0" w:color="auto"/>
            </w:tcBorders>
            <w:shd w:val="clear" w:color="auto" w:fill="auto"/>
            <w:noWrap/>
            <w:vAlign w:val="bottom"/>
            <w:hideMark/>
          </w:tcPr>
          <w:p w14:paraId="2D4E037C" w14:textId="77777777" w:rsidR="007B6F7B" w:rsidRPr="00701F32" w:rsidRDefault="007B6F7B" w:rsidP="007B6F7B">
            <w:pPr>
              <w:jc w:val="right"/>
              <w:rPr>
                <w:rFonts w:ascii="Arial" w:hAnsi="Arial" w:cs="Arial"/>
                <w:b/>
                <w:bCs/>
                <w:color w:val="000000"/>
                <w:sz w:val="18"/>
                <w:szCs w:val="18"/>
                <w:lang w:eastAsia="es-AR"/>
              </w:rPr>
            </w:pPr>
          </w:p>
        </w:tc>
        <w:tc>
          <w:tcPr>
            <w:tcW w:w="703" w:type="pct"/>
            <w:tcBorders>
              <w:top w:val="nil"/>
              <w:left w:val="nil"/>
              <w:bottom w:val="single" w:sz="4" w:space="0" w:color="auto"/>
              <w:right w:val="single" w:sz="4" w:space="0" w:color="auto"/>
            </w:tcBorders>
          </w:tcPr>
          <w:p w14:paraId="24E889C9" w14:textId="77777777" w:rsidR="007B6F7B" w:rsidRPr="00701F32" w:rsidRDefault="007B6F7B" w:rsidP="007B6F7B">
            <w:pPr>
              <w:jc w:val="right"/>
              <w:rPr>
                <w:rFonts w:ascii="Arial" w:hAnsi="Arial" w:cs="Arial"/>
                <w:b/>
                <w:bCs/>
                <w:color w:val="000000"/>
                <w:sz w:val="18"/>
                <w:szCs w:val="18"/>
                <w:lang w:eastAsia="es-AR"/>
              </w:rPr>
            </w:pPr>
          </w:p>
        </w:tc>
      </w:tr>
      <w:tr w:rsidR="007B6F7B" w:rsidRPr="00701F32" w14:paraId="2E035608"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34E8C56B" w14:textId="77777777" w:rsidR="007B6F7B" w:rsidRPr="00701F32" w:rsidRDefault="007B6F7B" w:rsidP="007B6F7B">
            <w:pPr>
              <w:rPr>
                <w:rFonts w:ascii="Arial" w:hAnsi="Arial" w:cs="Arial"/>
                <w:b/>
                <w:bCs/>
                <w:color w:val="000000"/>
                <w:sz w:val="18"/>
                <w:szCs w:val="18"/>
                <w:lang w:eastAsia="es-AR"/>
              </w:rPr>
            </w:pPr>
            <w:r w:rsidRPr="00444AD6">
              <w:rPr>
                <w:rFonts w:ascii="Arial" w:hAnsi="Arial" w:cs="Arial"/>
                <w:b/>
                <w:bCs/>
                <w:color w:val="000000"/>
                <w:sz w:val="18"/>
                <w:szCs w:val="18"/>
                <w:lang w:eastAsia="es-AR"/>
              </w:rPr>
              <w:t xml:space="preserve">- </w:t>
            </w:r>
            <w:r w:rsidRPr="00EC349E">
              <w:rPr>
                <w:rFonts w:ascii="Arial" w:hAnsi="Arial" w:cs="Arial"/>
                <w:bCs/>
                <w:color w:val="000000"/>
                <w:sz w:val="18"/>
                <w:szCs w:val="18"/>
                <w:lang w:eastAsia="es-AR"/>
              </w:rPr>
              <w:t>Efectivo y depósitos en Bancos</w:t>
            </w:r>
          </w:p>
        </w:tc>
        <w:tc>
          <w:tcPr>
            <w:tcW w:w="684" w:type="pct"/>
            <w:tcBorders>
              <w:top w:val="nil"/>
              <w:left w:val="nil"/>
              <w:bottom w:val="single" w:sz="4" w:space="0" w:color="auto"/>
              <w:right w:val="single" w:sz="4" w:space="0" w:color="auto"/>
            </w:tcBorders>
            <w:shd w:val="clear" w:color="auto" w:fill="auto"/>
            <w:noWrap/>
            <w:vAlign w:val="bottom"/>
          </w:tcPr>
          <w:p w14:paraId="60EA7B93" w14:textId="5288B82B" w:rsidR="007B6F7B" w:rsidRPr="00EC349E" w:rsidRDefault="004B14D7" w:rsidP="007B6F7B">
            <w:pPr>
              <w:jc w:val="right"/>
              <w:rPr>
                <w:rFonts w:ascii="Arial" w:hAnsi="Arial" w:cs="Arial"/>
                <w:sz w:val="18"/>
                <w:szCs w:val="18"/>
              </w:rPr>
            </w:pPr>
            <w:r w:rsidRPr="004B14D7">
              <w:rPr>
                <w:rFonts w:ascii="Arial" w:hAnsi="Arial" w:cs="Arial"/>
                <w:sz w:val="18"/>
                <w:szCs w:val="18"/>
              </w:rPr>
              <w:t>33.536.362</w:t>
            </w:r>
          </w:p>
        </w:tc>
        <w:tc>
          <w:tcPr>
            <w:tcW w:w="747" w:type="pct"/>
            <w:tcBorders>
              <w:top w:val="nil"/>
              <w:left w:val="nil"/>
              <w:bottom w:val="single" w:sz="4" w:space="0" w:color="auto"/>
              <w:right w:val="single" w:sz="4" w:space="0" w:color="auto"/>
            </w:tcBorders>
            <w:shd w:val="clear" w:color="auto" w:fill="auto"/>
            <w:noWrap/>
            <w:vAlign w:val="bottom"/>
          </w:tcPr>
          <w:p w14:paraId="1E93B136" w14:textId="6DF75307" w:rsidR="007B6F7B" w:rsidRPr="00EC349E" w:rsidRDefault="004B14D7" w:rsidP="007B6F7B">
            <w:pPr>
              <w:jc w:val="right"/>
              <w:rPr>
                <w:rFonts w:ascii="Arial" w:hAnsi="Arial" w:cs="Arial"/>
                <w:sz w:val="18"/>
                <w:szCs w:val="18"/>
              </w:rPr>
            </w:pPr>
            <w:r w:rsidRPr="004B14D7">
              <w:rPr>
                <w:rFonts w:ascii="Arial" w:hAnsi="Arial" w:cs="Arial"/>
                <w:sz w:val="18"/>
                <w:szCs w:val="18"/>
              </w:rPr>
              <w:t>10.399</w:t>
            </w:r>
          </w:p>
        </w:tc>
        <w:tc>
          <w:tcPr>
            <w:tcW w:w="703" w:type="pct"/>
            <w:tcBorders>
              <w:top w:val="nil"/>
              <w:left w:val="nil"/>
              <w:bottom w:val="single" w:sz="4" w:space="0" w:color="auto"/>
              <w:right w:val="single" w:sz="4" w:space="0" w:color="auto"/>
            </w:tcBorders>
            <w:shd w:val="clear" w:color="auto" w:fill="auto"/>
            <w:noWrap/>
            <w:vAlign w:val="bottom"/>
          </w:tcPr>
          <w:p w14:paraId="2302334B" w14:textId="62AE8EE6" w:rsidR="007B6F7B" w:rsidRPr="00EC349E" w:rsidRDefault="004B14D7" w:rsidP="007B6F7B">
            <w:pPr>
              <w:jc w:val="right"/>
              <w:rPr>
                <w:rFonts w:ascii="Arial" w:hAnsi="Arial" w:cs="Arial"/>
                <w:sz w:val="18"/>
                <w:szCs w:val="18"/>
              </w:rPr>
            </w:pPr>
            <w:r>
              <w:rPr>
                <w:rFonts w:ascii="Arial" w:hAnsi="Arial" w:cs="Arial"/>
                <w:sz w:val="18"/>
                <w:szCs w:val="18"/>
              </w:rPr>
              <w:t>-</w:t>
            </w:r>
          </w:p>
        </w:tc>
        <w:tc>
          <w:tcPr>
            <w:tcW w:w="703" w:type="pct"/>
            <w:tcBorders>
              <w:top w:val="nil"/>
              <w:left w:val="nil"/>
              <w:bottom w:val="single" w:sz="4" w:space="0" w:color="auto"/>
              <w:right w:val="single" w:sz="4" w:space="0" w:color="auto"/>
            </w:tcBorders>
            <w:vAlign w:val="bottom"/>
          </w:tcPr>
          <w:p w14:paraId="26769372" w14:textId="04F90FD2" w:rsidR="007B6F7B" w:rsidRPr="00EC349E" w:rsidRDefault="004B14D7" w:rsidP="007B6F7B">
            <w:pPr>
              <w:jc w:val="right"/>
              <w:rPr>
                <w:rFonts w:ascii="Arial" w:hAnsi="Arial" w:cs="Arial"/>
                <w:bCs/>
                <w:color w:val="000000"/>
                <w:sz w:val="18"/>
                <w:szCs w:val="18"/>
                <w:lang w:eastAsia="es-AR"/>
              </w:rPr>
            </w:pPr>
            <w:r>
              <w:rPr>
                <w:rFonts w:ascii="Arial" w:hAnsi="Arial" w:cs="Arial"/>
                <w:bCs/>
                <w:color w:val="000000"/>
                <w:sz w:val="18"/>
                <w:szCs w:val="18"/>
                <w:lang w:eastAsia="es-AR"/>
              </w:rPr>
              <w:t>33.546.761</w:t>
            </w:r>
          </w:p>
        </w:tc>
      </w:tr>
      <w:tr w:rsidR="007B6F7B" w:rsidRPr="00701F32" w14:paraId="0AC20435"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51082DAC"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Títulos de deuda a valor razonable con cambios en resultados</w:t>
            </w:r>
          </w:p>
        </w:tc>
        <w:tc>
          <w:tcPr>
            <w:tcW w:w="684" w:type="pct"/>
            <w:tcBorders>
              <w:top w:val="nil"/>
              <w:left w:val="nil"/>
              <w:bottom w:val="single" w:sz="4" w:space="0" w:color="auto"/>
              <w:right w:val="single" w:sz="4" w:space="0" w:color="auto"/>
            </w:tcBorders>
            <w:shd w:val="clear" w:color="auto" w:fill="auto"/>
            <w:noWrap/>
            <w:vAlign w:val="center"/>
          </w:tcPr>
          <w:p w14:paraId="41CD053D" w14:textId="3A0573F7"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47" w:type="pct"/>
            <w:tcBorders>
              <w:top w:val="nil"/>
              <w:left w:val="nil"/>
              <w:bottom w:val="single" w:sz="4" w:space="0" w:color="auto"/>
              <w:right w:val="single" w:sz="4" w:space="0" w:color="auto"/>
            </w:tcBorders>
            <w:shd w:val="clear" w:color="auto" w:fill="auto"/>
            <w:noWrap/>
            <w:vAlign w:val="center"/>
          </w:tcPr>
          <w:p w14:paraId="714EC242" w14:textId="066AE498"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14.941.290</w:t>
            </w:r>
          </w:p>
        </w:tc>
        <w:tc>
          <w:tcPr>
            <w:tcW w:w="703" w:type="pct"/>
            <w:tcBorders>
              <w:top w:val="nil"/>
              <w:left w:val="nil"/>
              <w:bottom w:val="single" w:sz="4" w:space="0" w:color="auto"/>
              <w:right w:val="single" w:sz="4" w:space="0" w:color="auto"/>
            </w:tcBorders>
            <w:shd w:val="clear" w:color="auto" w:fill="auto"/>
            <w:noWrap/>
            <w:vAlign w:val="center"/>
          </w:tcPr>
          <w:p w14:paraId="757F5AA8" w14:textId="7E3EA790"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31C5C276" w14:textId="28A77C0C" w:rsidR="007B6F7B" w:rsidRPr="00EC349E" w:rsidRDefault="004B14D7" w:rsidP="007B6F7B">
            <w:pPr>
              <w:jc w:val="right"/>
              <w:rPr>
                <w:rFonts w:ascii="Arial" w:hAnsi="Arial" w:cs="Arial"/>
                <w:sz w:val="18"/>
                <w:szCs w:val="18"/>
              </w:rPr>
            </w:pPr>
            <w:r w:rsidRPr="004B14D7">
              <w:rPr>
                <w:rFonts w:ascii="Arial" w:hAnsi="Arial" w:cs="Arial"/>
                <w:sz w:val="18"/>
                <w:szCs w:val="18"/>
              </w:rPr>
              <w:t>14.941.290</w:t>
            </w:r>
          </w:p>
        </w:tc>
      </w:tr>
      <w:tr w:rsidR="007B6F7B" w:rsidRPr="00701F32" w14:paraId="1CA05F03"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502828D7"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Instrumentos derivados</w:t>
            </w:r>
          </w:p>
        </w:tc>
        <w:tc>
          <w:tcPr>
            <w:tcW w:w="684" w:type="pct"/>
            <w:tcBorders>
              <w:top w:val="nil"/>
              <w:left w:val="nil"/>
              <w:bottom w:val="single" w:sz="4" w:space="0" w:color="auto"/>
              <w:right w:val="single" w:sz="4" w:space="0" w:color="auto"/>
            </w:tcBorders>
            <w:shd w:val="clear" w:color="auto" w:fill="auto"/>
            <w:noWrap/>
            <w:vAlign w:val="center"/>
          </w:tcPr>
          <w:p w14:paraId="2FB393CD" w14:textId="44AF418A"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47" w:type="pct"/>
            <w:tcBorders>
              <w:top w:val="nil"/>
              <w:left w:val="nil"/>
              <w:bottom w:val="single" w:sz="4" w:space="0" w:color="auto"/>
              <w:right w:val="single" w:sz="4" w:space="0" w:color="auto"/>
            </w:tcBorders>
            <w:shd w:val="clear" w:color="auto" w:fill="auto"/>
            <w:noWrap/>
            <w:vAlign w:val="center"/>
          </w:tcPr>
          <w:p w14:paraId="1739F532" w14:textId="0AB020D5"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15.924</w:t>
            </w:r>
          </w:p>
        </w:tc>
        <w:tc>
          <w:tcPr>
            <w:tcW w:w="703" w:type="pct"/>
            <w:tcBorders>
              <w:top w:val="nil"/>
              <w:left w:val="nil"/>
              <w:bottom w:val="single" w:sz="4" w:space="0" w:color="auto"/>
              <w:right w:val="single" w:sz="4" w:space="0" w:color="auto"/>
            </w:tcBorders>
            <w:shd w:val="clear" w:color="auto" w:fill="auto"/>
            <w:noWrap/>
            <w:vAlign w:val="center"/>
          </w:tcPr>
          <w:p w14:paraId="25802AD9" w14:textId="02049CD6"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40F89CB3" w14:textId="6AF827E6" w:rsidR="007B6F7B" w:rsidRPr="00EC349E" w:rsidRDefault="004B14D7" w:rsidP="007B6F7B">
            <w:pPr>
              <w:jc w:val="right"/>
              <w:rPr>
                <w:rFonts w:ascii="Arial" w:hAnsi="Arial" w:cs="Arial"/>
                <w:sz w:val="18"/>
                <w:szCs w:val="18"/>
              </w:rPr>
            </w:pPr>
            <w:r w:rsidRPr="004B14D7">
              <w:rPr>
                <w:rFonts w:ascii="Arial" w:hAnsi="Arial" w:cs="Arial"/>
                <w:sz w:val="18"/>
                <w:szCs w:val="18"/>
              </w:rPr>
              <w:t>15.924</w:t>
            </w:r>
          </w:p>
        </w:tc>
      </w:tr>
      <w:tr w:rsidR="007B6F7B" w:rsidRPr="00701F32" w14:paraId="3FABA297"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4F69C3B7"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Operaciones de pases</w:t>
            </w:r>
          </w:p>
        </w:tc>
        <w:tc>
          <w:tcPr>
            <w:tcW w:w="684" w:type="pct"/>
            <w:tcBorders>
              <w:top w:val="nil"/>
              <w:left w:val="nil"/>
              <w:bottom w:val="single" w:sz="4" w:space="0" w:color="auto"/>
              <w:right w:val="single" w:sz="4" w:space="0" w:color="auto"/>
            </w:tcBorders>
            <w:shd w:val="clear" w:color="auto" w:fill="auto"/>
            <w:noWrap/>
            <w:vAlign w:val="center"/>
          </w:tcPr>
          <w:p w14:paraId="27862437" w14:textId="12721949"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47" w:type="pct"/>
            <w:tcBorders>
              <w:top w:val="nil"/>
              <w:left w:val="nil"/>
              <w:bottom w:val="single" w:sz="4" w:space="0" w:color="auto"/>
              <w:right w:val="single" w:sz="4" w:space="0" w:color="auto"/>
            </w:tcBorders>
            <w:shd w:val="clear" w:color="auto" w:fill="auto"/>
            <w:noWrap/>
            <w:vAlign w:val="center"/>
          </w:tcPr>
          <w:p w14:paraId="60281890" w14:textId="3E40CA4E"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shd w:val="clear" w:color="auto" w:fill="auto"/>
            <w:noWrap/>
            <w:vAlign w:val="center"/>
          </w:tcPr>
          <w:p w14:paraId="7D432A32" w14:textId="569DE26F"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14B6B0DC" w14:textId="06016F6C" w:rsidR="007B6F7B" w:rsidRPr="00EC349E" w:rsidRDefault="004B14D7" w:rsidP="007B6F7B">
            <w:pPr>
              <w:jc w:val="right"/>
              <w:rPr>
                <w:rFonts w:ascii="Arial" w:hAnsi="Arial" w:cs="Arial"/>
                <w:sz w:val="18"/>
                <w:szCs w:val="18"/>
              </w:rPr>
            </w:pPr>
            <w:r>
              <w:rPr>
                <w:rFonts w:ascii="Arial" w:hAnsi="Arial" w:cs="Arial"/>
                <w:sz w:val="18"/>
                <w:szCs w:val="18"/>
              </w:rPr>
              <w:t>-</w:t>
            </w:r>
          </w:p>
        </w:tc>
      </w:tr>
      <w:tr w:rsidR="007B6F7B" w:rsidRPr="00701F32" w14:paraId="7D9E2408"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36895D50"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Otros activos financieros</w:t>
            </w:r>
          </w:p>
        </w:tc>
        <w:tc>
          <w:tcPr>
            <w:tcW w:w="684" w:type="pct"/>
            <w:tcBorders>
              <w:top w:val="nil"/>
              <w:left w:val="nil"/>
              <w:bottom w:val="single" w:sz="4" w:space="0" w:color="auto"/>
              <w:right w:val="single" w:sz="4" w:space="0" w:color="auto"/>
            </w:tcBorders>
            <w:shd w:val="clear" w:color="auto" w:fill="auto"/>
            <w:noWrap/>
            <w:vAlign w:val="center"/>
          </w:tcPr>
          <w:p w14:paraId="4ECD9376" w14:textId="7F4D32E9"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983.568</w:t>
            </w:r>
          </w:p>
        </w:tc>
        <w:tc>
          <w:tcPr>
            <w:tcW w:w="747" w:type="pct"/>
            <w:tcBorders>
              <w:top w:val="nil"/>
              <w:left w:val="nil"/>
              <w:bottom w:val="single" w:sz="4" w:space="0" w:color="auto"/>
              <w:right w:val="single" w:sz="4" w:space="0" w:color="auto"/>
            </w:tcBorders>
            <w:shd w:val="clear" w:color="auto" w:fill="auto"/>
            <w:noWrap/>
            <w:vAlign w:val="center"/>
          </w:tcPr>
          <w:p w14:paraId="3F9F080F" w14:textId="587FB8C9"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15.069</w:t>
            </w:r>
          </w:p>
        </w:tc>
        <w:tc>
          <w:tcPr>
            <w:tcW w:w="703" w:type="pct"/>
            <w:tcBorders>
              <w:top w:val="nil"/>
              <w:left w:val="nil"/>
              <w:bottom w:val="single" w:sz="4" w:space="0" w:color="auto"/>
              <w:right w:val="single" w:sz="4" w:space="0" w:color="auto"/>
            </w:tcBorders>
            <w:shd w:val="clear" w:color="auto" w:fill="auto"/>
            <w:noWrap/>
            <w:vAlign w:val="center"/>
          </w:tcPr>
          <w:p w14:paraId="5304FA65" w14:textId="001C4620"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0106D175" w14:textId="1E60F930" w:rsidR="007B6F7B" w:rsidRPr="00EC349E" w:rsidRDefault="004B14D7" w:rsidP="007B6F7B">
            <w:pPr>
              <w:jc w:val="right"/>
              <w:rPr>
                <w:rFonts w:ascii="Arial" w:hAnsi="Arial" w:cs="Arial"/>
                <w:sz w:val="18"/>
                <w:szCs w:val="18"/>
              </w:rPr>
            </w:pPr>
            <w:r w:rsidRPr="004B14D7">
              <w:rPr>
                <w:rFonts w:ascii="Arial" w:hAnsi="Arial" w:cs="Arial"/>
                <w:sz w:val="18"/>
                <w:szCs w:val="18"/>
              </w:rPr>
              <w:t>998.637</w:t>
            </w:r>
          </w:p>
        </w:tc>
      </w:tr>
      <w:tr w:rsidR="007B6F7B" w:rsidRPr="00701F32" w14:paraId="015FFD65"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36D93F65"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Préstamos y otras financiaciones</w:t>
            </w:r>
          </w:p>
        </w:tc>
        <w:tc>
          <w:tcPr>
            <w:tcW w:w="684" w:type="pct"/>
            <w:tcBorders>
              <w:top w:val="nil"/>
              <w:left w:val="nil"/>
              <w:bottom w:val="single" w:sz="4" w:space="0" w:color="auto"/>
              <w:right w:val="single" w:sz="4" w:space="0" w:color="auto"/>
            </w:tcBorders>
            <w:shd w:val="clear" w:color="auto" w:fill="auto"/>
            <w:noWrap/>
            <w:vAlign w:val="center"/>
          </w:tcPr>
          <w:p w14:paraId="4761C7B4" w14:textId="0C1FC3CA"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77.531.869</w:t>
            </w:r>
          </w:p>
        </w:tc>
        <w:tc>
          <w:tcPr>
            <w:tcW w:w="747" w:type="pct"/>
            <w:tcBorders>
              <w:top w:val="nil"/>
              <w:left w:val="nil"/>
              <w:bottom w:val="single" w:sz="4" w:space="0" w:color="auto"/>
              <w:right w:val="single" w:sz="4" w:space="0" w:color="auto"/>
            </w:tcBorders>
            <w:shd w:val="clear" w:color="auto" w:fill="auto"/>
            <w:noWrap/>
            <w:vAlign w:val="center"/>
          </w:tcPr>
          <w:p w14:paraId="0D371F35" w14:textId="3A1AC925"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shd w:val="clear" w:color="auto" w:fill="auto"/>
            <w:noWrap/>
            <w:vAlign w:val="center"/>
          </w:tcPr>
          <w:p w14:paraId="16B4ED6D" w14:textId="57BAF376"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360538C7" w14:textId="43F414F0"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77.531.869</w:t>
            </w:r>
          </w:p>
        </w:tc>
      </w:tr>
      <w:tr w:rsidR="007B6F7B" w:rsidRPr="00701F32" w14:paraId="428970B0"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5A88A9A9"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Otros títulos de deuda</w:t>
            </w:r>
          </w:p>
        </w:tc>
        <w:tc>
          <w:tcPr>
            <w:tcW w:w="684" w:type="pct"/>
            <w:tcBorders>
              <w:top w:val="nil"/>
              <w:left w:val="nil"/>
              <w:bottom w:val="single" w:sz="4" w:space="0" w:color="auto"/>
              <w:right w:val="single" w:sz="4" w:space="0" w:color="auto"/>
            </w:tcBorders>
            <w:shd w:val="clear" w:color="auto" w:fill="auto"/>
            <w:noWrap/>
            <w:vAlign w:val="center"/>
          </w:tcPr>
          <w:p w14:paraId="47E1AB69" w14:textId="7BAF9738"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4.134.461</w:t>
            </w:r>
          </w:p>
        </w:tc>
        <w:tc>
          <w:tcPr>
            <w:tcW w:w="747" w:type="pct"/>
            <w:tcBorders>
              <w:top w:val="nil"/>
              <w:left w:val="nil"/>
              <w:bottom w:val="single" w:sz="4" w:space="0" w:color="auto"/>
              <w:right w:val="single" w:sz="4" w:space="0" w:color="auto"/>
            </w:tcBorders>
            <w:shd w:val="clear" w:color="auto" w:fill="auto"/>
            <w:noWrap/>
            <w:vAlign w:val="center"/>
          </w:tcPr>
          <w:p w14:paraId="3779B97B" w14:textId="30A35228"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shd w:val="clear" w:color="auto" w:fill="auto"/>
            <w:noWrap/>
            <w:vAlign w:val="center"/>
          </w:tcPr>
          <w:p w14:paraId="53CD7175" w14:textId="2BD6BBE9"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32</w:t>
            </w:r>
          </w:p>
        </w:tc>
        <w:tc>
          <w:tcPr>
            <w:tcW w:w="703" w:type="pct"/>
            <w:tcBorders>
              <w:top w:val="nil"/>
              <w:left w:val="nil"/>
              <w:bottom w:val="single" w:sz="4" w:space="0" w:color="auto"/>
              <w:right w:val="single" w:sz="4" w:space="0" w:color="auto"/>
            </w:tcBorders>
            <w:vAlign w:val="center"/>
          </w:tcPr>
          <w:p w14:paraId="0B86842D" w14:textId="0207479F" w:rsidR="007B6F7B" w:rsidRPr="00EC349E" w:rsidRDefault="004B14D7" w:rsidP="007B6F7B">
            <w:pPr>
              <w:jc w:val="right"/>
              <w:rPr>
                <w:rFonts w:ascii="Arial" w:hAnsi="Arial" w:cs="Arial"/>
                <w:sz w:val="18"/>
                <w:szCs w:val="18"/>
              </w:rPr>
            </w:pPr>
            <w:r w:rsidRPr="004B14D7">
              <w:rPr>
                <w:rFonts w:ascii="Arial" w:hAnsi="Arial" w:cs="Arial"/>
                <w:sz w:val="18"/>
                <w:szCs w:val="18"/>
              </w:rPr>
              <w:t>4.134.493</w:t>
            </w:r>
          </w:p>
        </w:tc>
      </w:tr>
      <w:tr w:rsidR="007B6F7B" w:rsidRPr="00701F32" w14:paraId="0F594040"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2DB4EE93"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Activos financieros entregados en garantía</w:t>
            </w:r>
          </w:p>
        </w:tc>
        <w:tc>
          <w:tcPr>
            <w:tcW w:w="684" w:type="pct"/>
            <w:tcBorders>
              <w:top w:val="nil"/>
              <w:left w:val="nil"/>
              <w:bottom w:val="single" w:sz="4" w:space="0" w:color="auto"/>
              <w:right w:val="single" w:sz="4" w:space="0" w:color="auto"/>
            </w:tcBorders>
            <w:shd w:val="clear" w:color="auto" w:fill="auto"/>
            <w:noWrap/>
            <w:vAlign w:val="center"/>
          </w:tcPr>
          <w:p w14:paraId="113140B1" w14:textId="1C74BABF"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119.165</w:t>
            </w:r>
          </w:p>
        </w:tc>
        <w:tc>
          <w:tcPr>
            <w:tcW w:w="747" w:type="pct"/>
            <w:tcBorders>
              <w:top w:val="nil"/>
              <w:left w:val="nil"/>
              <w:bottom w:val="single" w:sz="4" w:space="0" w:color="auto"/>
              <w:right w:val="single" w:sz="4" w:space="0" w:color="auto"/>
            </w:tcBorders>
            <w:shd w:val="clear" w:color="auto" w:fill="auto"/>
            <w:noWrap/>
            <w:vAlign w:val="center"/>
          </w:tcPr>
          <w:p w14:paraId="298B7E20" w14:textId="2D50D862"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1.882.600</w:t>
            </w:r>
          </w:p>
        </w:tc>
        <w:tc>
          <w:tcPr>
            <w:tcW w:w="703" w:type="pct"/>
            <w:tcBorders>
              <w:top w:val="nil"/>
              <w:left w:val="nil"/>
              <w:bottom w:val="single" w:sz="4" w:space="0" w:color="auto"/>
              <w:right w:val="single" w:sz="4" w:space="0" w:color="auto"/>
            </w:tcBorders>
            <w:shd w:val="clear" w:color="auto" w:fill="auto"/>
            <w:noWrap/>
            <w:vAlign w:val="center"/>
          </w:tcPr>
          <w:p w14:paraId="67725176" w14:textId="0493877A"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27AC12C8" w14:textId="1B69E1AC" w:rsidR="007B6F7B" w:rsidRPr="00EC349E" w:rsidRDefault="004B14D7" w:rsidP="007B6F7B">
            <w:pPr>
              <w:jc w:val="right"/>
              <w:rPr>
                <w:rFonts w:ascii="Arial" w:hAnsi="Arial" w:cs="Arial"/>
                <w:sz w:val="18"/>
                <w:szCs w:val="18"/>
              </w:rPr>
            </w:pPr>
            <w:r w:rsidRPr="004B14D7">
              <w:rPr>
                <w:rFonts w:ascii="Arial" w:hAnsi="Arial" w:cs="Arial"/>
                <w:sz w:val="18"/>
                <w:szCs w:val="18"/>
              </w:rPr>
              <w:t>2.001.765</w:t>
            </w:r>
          </w:p>
        </w:tc>
      </w:tr>
      <w:tr w:rsidR="007B6F7B" w:rsidRPr="00701F32" w14:paraId="3566B04F"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6E029690"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Inversiones en Instrumentos de Patrimonio</w:t>
            </w:r>
          </w:p>
        </w:tc>
        <w:tc>
          <w:tcPr>
            <w:tcW w:w="684" w:type="pct"/>
            <w:tcBorders>
              <w:top w:val="nil"/>
              <w:left w:val="nil"/>
              <w:bottom w:val="single" w:sz="4" w:space="0" w:color="auto"/>
              <w:right w:val="single" w:sz="4" w:space="0" w:color="auto"/>
            </w:tcBorders>
            <w:shd w:val="clear" w:color="auto" w:fill="auto"/>
            <w:noWrap/>
            <w:vAlign w:val="center"/>
          </w:tcPr>
          <w:p w14:paraId="7456FECE" w14:textId="2AC0F69D"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47" w:type="pct"/>
            <w:tcBorders>
              <w:top w:val="nil"/>
              <w:left w:val="nil"/>
              <w:bottom w:val="single" w:sz="4" w:space="0" w:color="auto"/>
              <w:right w:val="single" w:sz="4" w:space="0" w:color="auto"/>
            </w:tcBorders>
            <w:shd w:val="clear" w:color="auto" w:fill="auto"/>
            <w:noWrap/>
            <w:vAlign w:val="center"/>
          </w:tcPr>
          <w:p w14:paraId="487A25A3" w14:textId="04C04DF6"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1.603</w:t>
            </w:r>
          </w:p>
        </w:tc>
        <w:tc>
          <w:tcPr>
            <w:tcW w:w="703" w:type="pct"/>
            <w:tcBorders>
              <w:top w:val="nil"/>
              <w:left w:val="nil"/>
              <w:bottom w:val="single" w:sz="4" w:space="0" w:color="auto"/>
              <w:right w:val="single" w:sz="4" w:space="0" w:color="auto"/>
            </w:tcBorders>
            <w:shd w:val="clear" w:color="auto" w:fill="auto"/>
            <w:noWrap/>
            <w:vAlign w:val="center"/>
          </w:tcPr>
          <w:p w14:paraId="1102C159" w14:textId="33045F31"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8.801</w:t>
            </w:r>
          </w:p>
        </w:tc>
        <w:tc>
          <w:tcPr>
            <w:tcW w:w="703" w:type="pct"/>
            <w:tcBorders>
              <w:top w:val="nil"/>
              <w:left w:val="nil"/>
              <w:bottom w:val="single" w:sz="4" w:space="0" w:color="auto"/>
              <w:right w:val="single" w:sz="4" w:space="0" w:color="auto"/>
            </w:tcBorders>
            <w:vAlign w:val="center"/>
          </w:tcPr>
          <w:p w14:paraId="31C032B9" w14:textId="54209DA5" w:rsidR="007B6F7B" w:rsidRPr="00EC349E" w:rsidRDefault="004B14D7" w:rsidP="007B6F7B">
            <w:pPr>
              <w:jc w:val="right"/>
              <w:rPr>
                <w:rFonts w:ascii="Arial" w:hAnsi="Arial" w:cs="Arial"/>
                <w:sz w:val="18"/>
                <w:szCs w:val="18"/>
              </w:rPr>
            </w:pPr>
            <w:r w:rsidRPr="004B14D7">
              <w:rPr>
                <w:rFonts w:ascii="Arial" w:hAnsi="Arial" w:cs="Arial"/>
                <w:sz w:val="18"/>
                <w:szCs w:val="18"/>
              </w:rPr>
              <w:t>10.404</w:t>
            </w:r>
          </w:p>
        </w:tc>
      </w:tr>
      <w:tr w:rsidR="007B6F7B" w:rsidRPr="00701F32" w14:paraId="67E9A428"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3F869D04" w14:textId="77777777" w:rsidR="007B6F7B" w:rsidRPr="00701F32" w:rsidRDefault="007B6F7B" w:rsidP="007B6F7B">
            <w:pPr>
              <w:jc w:val="both"/>
              <w:rPr>
                <w:rFonts w:ascii="Arial" w:hAnsi="Arial" w:cs="Arial"/>
                <w:b/>
                <w:color w:val="000000"/>
                <w:sz w:val="18"/>
                <w:szCs w:val="18"/>
                <w:lang w:eastAsia="es-AR"/>
              </w:rPr>
            </w:pPr>
            <w:r w:rsidRPr="00701F32">
              <w:rPr>
                <w:rFonts w:ascii="Arial" w:hAnsi="Arial" w:cs="Arial"/>
                <w:b/>
                <w:color w:val="000000"/>
                <w:sz w:val="18"/>
                <w:szCs w:val="18"/>
                <w:lang w:eastAsia="es-AR"/>
              </w:rPr>
              <w:t>Total Activos</w:t>
            </w:r>
          </w:p>
        </w:tc>
        <w:tc>
          <w:tcPr>
            <w:tcW w:w="684" w:type="pct"/>
            <w:tcBorders>
              <w:top w:val="nil"/>
              <w:left w:val="nil"/>
              <w:bottom w:val="single" w:sz="4" w:space="0" w:color="auto"/>
              <w:right w:val="single" w:sz="4" w:space="0" w:color="auto"/>
            </w:tcBorders>
            <w:shd w:val="clear" w:color="auto" w:fill="auto"/>
            <w:noWrap/>
            <w:vAlign w:val="center"/>
          </w:tcPr>
          <w:p w14:paraId="2A4285E2" w14:textId="221668F6" w:rsidR="007B6F7B" w:rsidRPr="00EC349E" w:rsidRDefault="004B14D7" w:rsidP="007B6F7B">
            <w:pPr>
              <w:jc w:val="right"/>
              <w:rPr>
                <w:rFonts w:ascii="Arial" w:hAnsi="Arial" w:cs="Arial"/>
                <w:b/>
                <w:sz w:val="18"/>
                <w:szCs w:val="18"/>
              </w:rPr>
            </w:pPr>
            <w:r w:rsidRPr="004B14D7">
              <w:rPr>
                <w:rFonts w:ascii="Arial" w:hAnsi="Arial" w:cs="Arial"/>
                <w:b/>
                <w:sz w:val="18"/>
                <w:szCs w:val="18"/>
              </w:rPr>
              <w:t>116.305.425</w:t>
            </w:r>
          </w:p>
        </w:tc>
        <w:tc>
          <w:tcPr>
            <w:tcW w:w="747" w:type="pct"/>
            <w:tcBorders>
              <w:top w:val="nil"/>
              <w:left w:val="nil"/>
              <w:bottom w:val="single" w:sz="4" w:space="0" w:color="auto"/>
              <w:right w:val="single" w:sz="4" w:space="0" w:color="auto"/>
            </w:tcBorders>
            <w:shd w:val="clear" w:color="auto" w:fill="auto"/>
            <w:noWrap/>
            <w:vAlign w:val="center"/>
          </w:tcPr>
          <w:p w14:paraId="55170A5D" w14:textId="01221130" w:rsidR="007B6F7B" w:rsidRPr="00EC349E" w:rsidRDefault="004B14D7" w:rsidP="007B6F7B">
            <w:pPr>
              <w:jc w:val="right"/>
              <w:rPr>
                <w:rFonts w:ascii="Arial" w:hAnsi="Arial" w:cs="Arial"/>
                <w:b/>
                <w:sz w:val="18"/>
                <w:szCs w:val="18"/>
              </w:rPr>
            </w:pPr>
            <w:r w:rsidRPr="004B14D7">
              <w:rPr>
                <w:rFonts w:ascii="Arial" w:hAnsi="Arial" w:cs="Arial"/>
                <w:b/>
                <w:sz w:val="18"/>
                <w:szCs w:val="18"/>
              </w:rPr>
              <w:t>16.866.885</w:t>
            </w:r>
          </w:p>
        </w:tc>
        <w:tc>
          <w:tcPr>
            <w:tcW w:w="703" w:type="pct"/>
            <w:tcBorders>
              <w:top w:val="nil"/>
              <w:left w:val="nil"/>
              <w:bottom w:val="single" w:sz="4" w:space="0" w:color="auto"/>
              <w:right w:val="single" w:sz="4" w:space="0" w:color="auto"/>
            </w:tcBorders>
            <w:shd w:val="clear" w:color="auto" w:fill="auto"/>
            <w:noWrap/>
            <w:vAlign w:val="center"/>
          </w:tcPr>
          <w:p w14:paraId="6FF574C3" w14:textId="114B328D" w:rsidR="007B6F7B" w:rsidRPr="00EC349E" w:rsidRDefault="004B14D7" w:rsidP="007B6F7B">
            <w:pPr>
              <w:jc w:val="right"/>
              <w:rPr>
                <w:rFonts w:ascii="Arial" w:hAnsi="Arial" w:cs="Arial"/>
                <w:b/>
                <w:sz w:val="18"/>
                <w:szCs w:val="18"/>
              </w:rPr>
            </w:pPr>
            <w:r w:rsidRPr="004B14D7">
              <w:rPr>
                <w:rFonts w:ascii="Arial" w:hAnsi="Arial" w:cs="Arial"/>
                <w:b/>
                <w:sz w:val="18"/>
                <w:szCs w:val="18"/>
              </w:rPr>
              <w:t>8.833</w:t>
            </w:r>
          </w:p>
        </w:tc>
        <w:tc>
          <w:tcPr>
            <w:tcW w:w="703" w:type="pct"/>
            <w:tcBorders>
              <w:top w:val="nil"/>
              <w:left w:val="nil"/>
              <w:bottom w:val="single" w:sz="4" w:space="0" w:color="auto"/>
              <w:right w:val="single" w:sz="4" w:space="0" w:color="auto"/>
            </w:tcBorders>
            <w:vAlign w:val="center"/>
          </w:tcPr>
          <w:p w14:paraId="368D5B05" w14:textId="7654582E" w:rsidR="007B6F7B" w:rsidRPr="00EC349E" w:rsidRDefault="004B14D7" w:rsidP="007B6F7B">
            <w:pPr>
              <w:jc w:val="right"/>
              <w:rPr>
                <w:rFonts w:ascii="Arial" w:hAnsi="Arial" w:cs="Arial"/>
                <w:b/>
                <w:sz w:val="18"/>
                <w:szCs w:val="18"/>
              </w:rPr>
            </w:pPr>
            <w:r w:rsidRPr="004B14D7">
              <w:rPr>
                <w:rFonts w:ascii="Arial" w:hAnsi="Arial" w:cs="Arial"/>
                <w:b/>
                <w:sz w:val="18"/>
                <w:szCs w:val="18"/>
              </w:rPr>
              <w:t>133.181.143</w:t>
            </w:r>
          </w:p>
        </w:tc>
      </w:tr>
      <w:tr w:rsidR="007B6F7B" w:rsidRPr="00701F32" w14:paraId="5117F762"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094B8E77" w14:textId="77777777" w:rsidR="007B6F7B" w:rsidRPr="00701F32" w:rsidRDefault="007B6F7B" w:rsidP="007B6F7B">
            <w:pPr>
              <w:rPr>
                <w:rFonts w:ascii="Arial" w:hAnsi="Arial" w:cs="Arial"/>
                <w:b/>
                <w:bCs/>
                <w:color w:val="000000"/>
                <w:sz w:val="18"/>
                <w:szCs w:val="18"/>
                <w:lang w:eastAsia="es-AR"/>
              </w:rPr>
            </w:pPr>
            <w:r w:rsidRPr="00701F32">
              <w:rPr>
                <w:rFonts w:ascii="Arial" w:hAnsi="Arial" w:cs="Arial"/>
                <w:b/>
                <w:bCs/>
                <w:color w:val="000000"/>
                <w:sz w:val="18"/>
                <w:szCs w:val="18"/>
                <w:lang w:eastAsia="es-AR"/>
              </w:rPr>
              <w:t>Pasivos</w:t>
            </w:r>
          </w:p>
        </w:tc>
        <w:tc>
          <w:tcPr>
            <w:tcW w:w="684" w:type="pct"/>
            <w:tcBorders>
              <w:top w:val="nil"/>
              <w:left w:val="nil"/>
              <w:bottom w:val="single" w:sz="4" w:space="0" w:color="auto"/>
              <w:right w:val="single" w:sz="4" w:space="0" w:color="auto"/>
            </w:tcBorders>
            <w:shd w:val="clear" w:color="auto" w:fill="auto"/>
            <w:noWrap/>
            <w:vAlign w:val="center"/>
          </w:tcPr>
          <w:p w14:paraId="32A52F57" w14:textId="77777777" w:rsidR="007B6F7B" w:rsidRPr="00894903" w:rsidRDefault="007B6F7B" w:rsidP="007B6F7B">
            <w:pPr>
              <w:jc w:val="right"/>
              <w:rPr>
                <w:rFonts w:ascii="Arial" w:hAnsi="Arial" w:cs="Arial"/>
                <w:b/>
                <w:bCs/>
                <w:color w:val="000000"/>
                <w:sz w:val="18"/>
                <w:szCs w:val="18"/>
                <w:lang w:eastAsia="es-AR"/>
              </w:rPr>
            </w:pPr>
          </w:p>
        </w:tc>
        <w:tc>
          <w:tcPr>
            <w:tcW w:w="747" w:type="pct"/>
            <w:tcBorders>
              <w:top w:val="nil"/>
              <w:left w:val="nil"/>
              <w:bottom w:val="single" w:sz="4" w:space="0" w:color="auto"/>
              <w:right w:val="single" w:sz="4" w:space="0" w:color="auto"/>
            </w:tcBorders>
            <w:shd w:val="clear" w:color="auto" w:fill="auto"/>
            <w:noWrap/>
            <w:vAlign w:val="center"/>
          </w:tcPr>
          <w:p w14:paraId="0615FAB8" w14:textId="77777777" w:rsidR="007B6F7B" w:rsidRPr="00894903" w:rsidRDefault="007B6F7B" w:rsidP="007B6F7B">
            <w:pPr>
              <w:jc w:val="right"/>
              <w:rPr>
                <w:rFonts w:ascii="Arial" w:hAnsi="Arial" w:cs="Arial"/>
                <w:b/>
                <w:bCs/>
                <w:color w:val="000000"/>
                <w:sz w:val="18"/>
                <w:szCs w:val="18"/>
                <w:lang w:eastAsia="es-AR"/>
              </w:rPr>
            </w:pPr>
          </w:p>
        </w:tc>
        <w:tc>
          <w:tcPr>
            <w:tcW w:w="703" w:type="pct"/>
            <w:tcBorders>
              <w:top w:val="nil"/>
              <w:left w:val="nil"/>
              <w:bottom w:val="single" w:sz="4" w:space="0" w:color="auto"/>
              <w:right w:val="single" w:sz="4" w:space="0" w:color="auto"/>
            </w:tcBorders>
            <w:shd w:val="clear" w:color="auto" w:fill="auto"/>
            <w:noWrap/>
            <w:vAlign w:val="center"/>
          </w:tcPr>
          <w:p w14:paraId="14401DB8" w14:textId="77777777" w:rsidR="007B6F7B" w:rsidRPr="00894903" w:rsidRDefault="007B6F7B" w:rsidP="007B6F7B">
            <w:pPr>
              <w:jc w:val="right"/>
              <w:rPr>
                <w:rFonts w:ascii="Arial" w:hAnsi="Arial" w:cs="Arial"/>
                <w:b/>
                <w:bCs/>
                <w:color w:val="000000"/>
                <w:sz w:val="18"/>
                <w:szCs w:val="18"/>
                <w:lang w:eastAsia="es-AR"/>
              </w:rPr>
            </w:pPr>
          </w:p>
        </w:tc>
        <w:tc>
          <w:tcPr>
            <w:tcW w:w="703" w:type="pct"/>
            <w:tcBorders>
              <w:top w:val="nil"/>
              <w:left w:val="nil"/>
              <w:bottom w:val="single" w:sz="4" w:space="0" w:color="auto"/>
              <w:right w:val="single" w:sz="4" w:space="0" w:color="auto"/>
            </w:tcBorders>
            <w:vAlign w:val="center"/>
          </w:tcPr>
          <w:p w14:paraId="7AC0CA25" w14:textId="77777777" w:rsidR="007B6F7B" w:rsidRPr="00894903" w:rsidRDefault="007B6F7B" w:rsidP="007B6F7B">
            <w:pPr>
              <w:jc w:val="right"/>
              <w:rPr>
                <w:rFonts w:ascii="Arial" w:hAnsi="Arial" w:cs="Arial"/>
                <w:b/>
                <w:bCs/>
                <w:color w:val="000000"/>
                <w:sz w:val="18"/>
                <w:szCs w:val="18"/>
                <w:lang w:eastAsia="es-AR"/>
              </w:rPr>
            </w:pPr>
          </w:p>
        </w:tc>
      </w:tr>
      <w:tr w:rsidR="007B6F7B" w:rsidRPr="00701F32" w14:paraId="43E82458"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1F7A53E1" w14:textId="77777777" w:rsidR="007B6F7B" w:rsidRPr="00701F32" w:rsidRDefault="007B6F7B" w:rsidP="007B6F7B">
            <w:pPr>
              <w:rPr>
                <w:rFonts w:ascii="Arial" w:hAnsi="Arial" w:cs="Arial"/>
                <w:b/>
                <w:bCs/>
                <w:color w:val="000000"/>
                <w:sz w:val="18"/>
                <w:szCs w:val="18"/>
                <w:lang w:eastAsia="es-AR"/>
              </w:rPr>
            </w:pPr>
            <w:r w:rsidRPr="00444AD6">
              <w:rPr>
                <w:rFonts w:ascii="Arial" w:hAnsi="Arial" w:cs="Arial"/>
                <w:b/>
                <w:bCs/>
                <w:color w:val="000000"/>
                <w:sz w:val="18"/>
                <w:szCs w:val="18"/>
                <w:lang w:eastAsia="es-AR"/>
              </w:rPr>
              <w:t>-</w:t>
            </w:r>
            <w:r w:rsidRPr="00EC349E">
              <w:rPr>
                <w:rFonts w:ascii="Arial" w:hAnsi="Arial" w:cs="Arial"/>
                <w:bCs/>
                <w:color w:val="000000"/>
                <w:sz w:val="18"/>
                <w:szCs w:val="18"/>
                <w:lang w:eastAsia="es-AR"/>
              </w:rPr>
              <w:t xml:space="preserve"> Depositos</w:t>
            </w:r>
          </w:p>
        </w:tc>
        <w:tc>
          <w:tcPr>
            <w:tcW w:w="684" w:type="pct"/>
            <w:tcBorders>
              <w:top w:val="nil"/>
              <w:left w:val="nil"/>
              <w:bottom w:val="single" w:sz="4" w:space="0" w:color="auto"/>
              <w:right w:val="single" w:sz="4" w:space="0" w:color="auto"/>
            </w:tcBorders>
            <w:shd w:val="clear" w:color="auto" w:fill="auto"/>
            <w:noWrap/>
            <w:vAlign w:val="center"/>
          </w:tcPr>
          <w:p w14:paraId="32F09A15" w14:textId="2F83AD9E" w:rsidR="007B6F7B" w:rsidRPr="00EC349E" w:rsidRDefault="004B14D7" w:rsidP="007B6F7B">
            <w:pPr>
              <w:jc w:val="right"/>
              <w:rPr>
                <w:rFonts w:ascii="Arial" w:hAnsi="Arial" w:cs="Arial"/>
                <w:bCs/>
                <w:color w:val="000000"/>
                <w:sz w:val="18"/>
                <w:szCs w:val="18"/>
                <w:lang w:eastAsia="es-AR"/>
              </w:rPr>
            </w:pPr>
            <w:r w:rsidRPr="004B14D7">
              <w:rPr>
                <w:rFonts w:ascii="Arial" w:hAnsi="Arial" w:cs="Arial"/>
                <w:bCs/>
                <w:color w:val="000000"/>
                <w:sz w:val="18"/>
                <w:szCs w:val="18"/>
                <w:lang w:eastAsia="es-AR"/>
              </w:rPr>
              <w:t>95.666.471</w:t>
            </w:r>
          </w:p>
        </w:tc>
        <w:tc>
          <w:tcPr>
            <w:tcW w:w="747" w:type="pct"/>
            <w:tcBorders>
              <w:top w:val="nil"/>
              <w:left w:val="nil"/>
              <w:bottom w:val="single" w:sz="4" w:space="0" w:color="auto"/>
              <w:right w:val="single" w:sz="4" w:space="0" w:color="auto"/>
            </w:tcBorders>
            <w:shd w:val="clear" w:color="auto" w:fill="auto"/>
            <w:noWrap/>
            <w:vAlign w:val="center"/>
          </w:tcPr>
          <w:p w14:paraId="5353EC12" w14:textId="47C1ADB7" w:rsidR="007B6F7B" w:rsidRPr="00EC349E" w:rsidRDefault="004B14D7" w:rsidP="007B6F7B">
            <w:pPr>
              <w:jc w:val="right"/>
              <w:rPr>
                <w:rFonts w:ascii="Arial" w:hAnsi="Arial" w:cs="Arial"/>
                <w:bCs/>
                <w:color w:val="000000"/>
                <w:sz w:val="18"/>
                <w:szCs w:val="18"/>
                <w:lang w:eastAsia="es-AR"/>
              </w:rPr>
            </w:pPr>
            <w:r>
              <w:rPr>
                <w:rFonts w:ascii="Arial" w:hAnsi="Arial" w:cs="Arial"/>
                <w:bCs/>
                <w:color w:val="000000"/>
                <w:sz w:val="18"/>
                <w:szCs w:val="18"/>
                <w:lang w:eastAsia="es-AR"/>
              </w:rPr>
              <w:t>-</w:t>
            </w:r>
          </w:p>
        </w:tc>
        <w:tc>
          <w:tcPr>
            <w:tcW w:w="703" w:type="pct"/>
            <w:tcBorders>
              <w:top w:val="nil"/>
              <w:left w:val="nil"/>
              <w:bottom w:val="single" w:sz="4" w:space="0" w:color="auto"/>
              <w:right w:val="single" w:sz="4" w:space="0" w:color="auto"/>
            </w:tcBorders>
            <w:shd w:val="clear" w:color="auto" w:fill="auto"/>
            <w:noWrap/>
            <w:vAlign w:val="center"/>
          </w:tcPr>
          <w:p w14:paraId="55946393" w14:textId="6C3226A9" w:rsidR="007B6F7B" w:rsidRPr="00EC349E" w:rsidRDefault="004B14D7" w:rsidP="007B6F7B">
            <w:pPr>
              <w:jc w:val="right"/>
              <w:rPr>
                <w:rFonts w:ascii="Arial" w:hAnsi="Arial" w:cs="Arial"/>
                <w:bCs/>
                <w:color w:val="000000"/>
                <w:sz w:val="18"/>
                <w:szCs w:val="18"/>
                <w:lang w:eastAsia="es-AR"/>
              </w:rPr>
            </w:pPr>
            <w:r>
              <w:rPr>
                <w:rFonts w:ascii="Arial" w:hAnsi="Arial" w:cs="Arial"/>
                <w:bCs/>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38BCF3F7" w14:textId="7505C761" w:rsidR="007B6F7B" w:rsidRPr="00EC349E" w:rsidRDefault="004B14D7" w:rsidP="007B6F7B">
            <w:pPr>
              <w:jc w:val="right"/>
              <w:rPr>
                <w:rFonts w:ascii="Arial" w:hAnsi="Arial" w:cs="Arial"/>
                <w:bCs/>
                <w:color w:val="000000"/>
                <w:sz w:val="18"/>
                <w:szCs w:val="18"/>
                <w:lang w:eastAsia="es-AR"/>
              </w:rPr>
            </w:pPr>
            <w:r w:rsidRPr="004B14D7">
              <w:rPr>
                <w:rFonts w:ascii="Arial" w:hAnsi="Arial" w:cs="Arial"/>
                <w:bCs/>
                <w:color w:val="000000"/>
                <w:sz w:val="18"/>
                <w:szCs w:val="18"/>
                <w:lang w:eastAsia="es-AR"/>
              </w:rPr>
              <w:t>95.666.471</w:t>
            </w:r>
          </w:p>
        </w:tc>
      </w:tr>
      <w:tr w:rsidR="007B6F7B" w:rsidRPr="00701F32" w14:paraId="51D0FA1D"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3BC72719"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Pasivos a valor razonable con cambios en resultados</w:t>
            </w:r>
          </w:p>
        </w:tc>
        <w:tc>
          <w:tcPr>
            <w:tcW w:w="684" w:type="pct"/>
            <w:tcBorders>
              <w:top w:val="nil"/>
              <w:left w:val="nil"/>
              <w:bottom w:val="single" w:sz="4" w:space="0" w:color="auto"/>
              <w:right w:val="single" w:sz="4" w:space="0" w:color="auto"/>
            </w:tcBorders>
            <w:shd w:val="clear" w:color="auto" w:fill="auto"/>
            <w:noWrap/>
            <w:vAlign w:val="center"/>
          </w:tcPr>
          <w:p w14:paraId="6233CFD5" w14:textId="7971378A"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47" w:type="pct"/>
            <w:tcBorders>
              <w:top w:val="nil"/>
              <w:left w:val="nil"/>
              <w:bottom w:val="single" w:sz="4" w:space="0" w:color="auto"/>
              <w:right w:val="single" w:sz="4" w:space="0" w:color="auto"/>
            </w:tcBorders>
            <w:shd w:val="clear" w:color="auto" w:fill="auto"/>
            <w:noWrap/>
            <w:vAlign w:val="center"/>
          </w:tcPr>
          <w:p w14:paraId="78B911D7" w14:textId="7FB251C8"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1.097.033</w:t>
            </w:r>
          </w:p>
        </w:tc>
        <w:tc>
          <w:tcPr>
            <w:tcW w:w="703" w:type="pct"/>
            <w:tcBorders>
              <w:top w:val="nil"/>
              <w:left w:val="nil"/>
              <w:bottom w:val="single" w:sz="4" w:space="0" w:color="auto"/>
              <w:right w:val="single" w:sz="4" w:space="0" w:color="auto"/>
            </w:tcBorders>
            <w:shd w:val="clear" w:color="auto" w:fill="auto"/>
            <w:noWrap/>
            <w:vAlign w:val="center"/>
          </w:tcPr>
          <w:p w14:paraId="6EEE61C9" w14:textId="5B0211C9"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4A2A3F73" w14:textId="5F12FDDD" w:rsidR="007B6F7B" w:rsidRPr="00EC349E" w:rsidRDefault="004B14D7" w:rsidP="007B6F7B">
            <w:pPr>
              <w:jc w:val="right"/>
              <w:rPr>
                <w:rFonts w:ascii="Arial" w:hAnsi="Arial" w:cs="Arial"/>
                <w:sz w:val="18"/>
                <w:szCs w:val="18"/>
              </w:rPr>
            </w:pPr>
            <w:r w:rsidRPr="004B14D7">
              <w:rPr>
                <w:rFonts w:ascii="Arial" w:hAnsi="Arial" w:cs="Arial"/>
                <w:sz w:val="18"/>
                <w:szCs w:val="18"/>
              </w:rPr>
              <w:t>1.097.033</w:t>
            </w:r>
          </w:p>
        </w:tc>
      </w:tr>
      <w:tr w:rsidR="004B14D7" w:rsidRPr="00701F32" w14:paraId="2BEA26DF"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2DB63FB4" w14:textId="29179390" w:rsidR="004B14D7" w:rsidRPr="00701F32" w:rsidRDefault="004B14D7" w:rsidP="007B6F7B">
            <w:pPr>
              <w:rPr>
                <w:rFonts w:ascii="Arial" w:hAnsi="Arial" w:cs="Arial"/>
                <w:color w:val="000000"/>
                <w:sz w:val="18"/>
                <w:szCs w:val="18"/>
                <w:lang w:eastAsia="es-AR"/>
              </w:rPr>
            </w:pPr>
            <w:r w:rsidRPr="00701F32">
              <w:rPr>
                <w:rFonts w:ascii="Arial" w:hAnsi="Arial" w:cs="Arial"/>
                <w:color w:val="000000"/>
                <w:sz w:val="18"/>
                <w:szCs w:val="18"/>
                <w:lang w:eastAsia="es-AR"/>
              </w:rPr>
              <w:t xml:space="preserve">- </w:t>
            </w:r>
            <w:r>
              <w:rPr>
                <w:rFonts w:ascii="Arial" w:hAnsi="Arial" w:cs="Arial"/>
                <w:color w:val="000000"/>
                <w:sz w:val="18"/>
                <w:szCs w:val="18"/>
                <w:lang w:eastAsia="es-AR"/>
              </w:rPr>
              <w:t>Instrumentos Derivados</w:t>
            </w:r>
          </w:p>
        </w:tc>
        <w:tc>
          <w:tcPr>
            <w:tcW w:w="684" w:type="pct"/>
            <w:tcBorders>
              <w:top w:val="nil"/>
              <w:left w:val="nil"/>
              <w:bottom w:val="single" w:sz="4" w:space="0" w:color="auto"/>
              <w:right w:val="single" w:sz="4" w:space="0" w:color="auto"/>
            </w:tcBorders>
            <w:shd w:val="clear" w:color="auto" w:fill="auto"/>
            <w:noWrap/>
            <w:vAlign w:val="center"/>
          </w:tcPr>
          <w:p w14:paraId="43B6AFF0" w14:textId="076C9C14" w:rsidR="004B14D7"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47" w:type="pct"/>
            <w:tcBorders>
              <w:top w:val="nil"/>
              <w:left w:val="nil"/>
              <w:bottom w:val="single" w:sz="4" w:space="0" w:color="auto"/>
              <w:right w:val="single" w:sz="4" w:space="0" w:color="auto"/>
            </w:tcBorders>
            <w:shd w:val="clear" w:color="auto" w:fill="auto"/>
            <w:noWrap/>
            <w:vAlign w:val="center"/>
          </w:tcPr>
          <w:p w14:paraId="528851F8" w14:textId="5D3AF82D" w:rsidR="004B14D7" w:rsidRPr="004B14D7"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94.222</w:t>
            </w:r>
          </w:p>
        </w:tc>
        <w:tc>
          <w:tcPr>
            <w:tcW w:w="703" w:type="pct"/>
            <w:tcBorders>
              <w:top w:val="nil"/>
              <w:left w:val="nil"/>
              <w:bottom w:val="single" w:sz="4" w:space="0" w:color="auto"/>
              <w:right w:val="single" w:sz="4" w:space="0" w:color="auto"/>
            </w:tcBorders>
            <w:shd w:val="clear" w:color="auto" w:fill="auto"/>
            <w:noWrap/>
            <w:vAlign w:val="center"/>
          </w:tcPr>
          <w:p w14:paraId="52BD7162" w14:textId="6CAC50F4" w:rsidR="004B14D7"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48B391B8" w14:textId="387AE6B8" w:rsidR="004B14D7" w:rsidRPr="00EC349E" w:rsidRDefault="004B14D7" w:rsidP="007B6F7B">
            <w:pPr>
              <w:jc w:val="right"/>
              <w:rPr>
                <w:rFonts w:ascii="Arial" w:hAnsi="Arial" w:cs="Arial"/>
                <w:sz w:val="18"/>
                <w:szCs w:val="18"/>
              </w:rPr>
            </w:pPr>
            <w:r w:rsidRPr="004B14D7">
              <w:rPr>
                <w:rFonts w:ascii="Arial" w:hAnsi="Arial" w:cs="Arial"/>
                <w:sz w:val="18"/>
                <w:szCs w:val="18"/>
              </w:rPr>
              <w:t>94.222</w:t>
            </w:r>
          </w:p>
        </w:tc>
      </w:tr>
      <w:tr w:rsidR="007B6F7B" w:rsidRPr="00701F32" w14:paraId="22F0B2C4"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5918147C"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Otros pasivos financieros</w:t>
            </w:r>
          </w:p>
        </w:tc>
        <w:tc>
          <w:tcPr>
            <w:tcW w:w="684" w:type="pct"/>
            <w:tcBorders>
              <w:top w:val="nil"/>
              <w:left w:val="nil"/>
              <w:bottom w:val="single" w:sz="4" w:space="0" w:color="auto"/>
              <w:right w:val="single" w:sz="4" w:space="0" w:color="auto"/>
            </w:tcBorders>
            <w:shd w:val="clear" w:color="auto" w:fill="auto"/>
            <w:noWrap/>
            <w:vAlign w:val="center"/>
          </w:tcPr>
          <w:p w14:paraId="0BD6ACBF" w14:textId="7901B10D"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461.819</w:t>
            </w:r>
          </w:p>
        </w:tc>
        <w:tc>
          <w:tcPr>
            <w:tcW w:w="747" w:type="pct"/>
            <w:tcBorders>
              <w:top w:val="nil"/>
              <w:left w:val="nil"/>
              <w:bottom w:val="single" w:sz="4" w:space="0" w:color="auto"/>
              <w:right w:val="single" w:sz="4" w:space="0" w:color="auto"/>
            </w:tcBorders>
            <w:shd w:val="clear" w:color="auto" w:fill="auto"/>
            <w:noWrap/>
            <w:vAlign w:val="center"/>
          </w:tcPr>
          <w:p w14:paraId="45ADCABE" w14:textId="27BFFF67"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2.907.704</w:t>
            </w:r>
          </w:p>
        </w:tc>
        <w:tc>
          <w:tcPr>
            <w:tcW w:w="703" w:type="pct"/>
            <w:tcBorders>
              <w:top w:val="nil"/>
              <w:left w:val="nil"/>
              <w:bottom w:val="single" w:sz="4" w:space="0" w:color="auto"/>
              <w:right w:val="single" w:sz="4" w:space="0" w:color="auto"/>
            </w:tcBorders>
            <w:shd w:val="clear" w:color="auto" w:fill="auto"/>
            <w:noWrap/>
            <w:vAlign w:val="center"/>
          </w:tcPr>
          <w:p w14:paraId="3747AD12" w14:textId="29AA887E"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53C76168" w14:textId="749598A9" w:rsidR="007B6F7B" w:rsidRPr="00EC349E" w:rsidRDefault="004B14D7" w:rsidP="007B6F7B">
            <w:pPr>
              <w:jc w:val="right"/>
              <w:rPr>
                <w:rFonts w:ascii="Arial" w:hAnsi="Arial" w:cs="Arial"/>
                <w:sz w:val="18"/>
                <w:szCs w:val="18"/>
              </w:rPr>
            </w:pPr>
            <w:r w:rsidRPr="004B14D7">
              <w:rPr>
                <w:rFonts w:ascii="Arial" w:hAnsi="Arial" w:cs="Arial"/>
                <w:sz w:val="18"/>
                <w:szCs w:val="18"/>
              </w:rPr>
              <w:t>3.369.523</w:t>
            </w:r>
          </w:p>
        </w:tc>
      </w:tr>
      <w:tr w:rsidR="007B6F7B" w:rsidRPr="00701F32" w14:paraId="70D5A070" w14:textId="77777777" w:rsidTr="007B6F7B">
        <w:trPr>
          <w:trHeight w:val="228"/>
        </w:trPr>
        <w:tc>
          <w:tcPr>
            <w:tcW w:w="21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06D6D5"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Financiaciones recibidas del BCRA y otras instituciones financieras</w:t>
            </w:r>
          </w:p>
        </w:tc>
        <w:tc>
          <w:tcPr>
            <w:tcW w:w="684" w:type="pct"/>
            <w:tcBorders>
              <w:top w:val="single" w:sz="4" w:space="0" w:color="auto"/>
              <w:left w:val="nil"/>
              <w:bottom w:val="single" w:sz="4" w:space="0" w:color="auto"/>
              <w:right w:val="single" w:sz="4" w:space="0" w:color="auto"/>
            </w:tcBorders>
            <w:shd w:val="clear" w:color="auto" w:fill="auto"/>
            <w:noWrap/>
            <w:vAlign w:val="center"/>
          </w:tcPr>
          <w:p w14:paraId="2C6C63C0" w14:textId="3D22F7A7"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8.016.105</w:t>
            </w:r>
          </w:p>
        </w:tc>
        <w:tc>
          <w:tcPr>
            <w:tcW w:w="747" w:type="pct"/>
            <w:tcBorders>
              <w:top w:val="single" w:sz="4" w:space="0" w:color="auto"/>
              <w:left w:val="nil"/>
              <w:bottom w:val="single" w:sz="4" w:space="0" w:color="auto"/>
              <w:right w:val="single" w:sz="4" w:space="0" w:color="auto"/>
            </w:tcBorders>
            <w:shd w:val="clear" w:color="auto" w:fill="auto"/>
            <w:noWrap/>
            <w:vAlign w:val="center"/>
          </w:tcPr>
          <w:p w14:paraId="553B8355" w14:textId="0E431A53"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single" w:sz="4" w:space="0" w:color="auto"/>
              <w:left w:val="nil"/>
              <w:bottom w:val="single" w:sz="4" w:space="0" w:color="auto"/>
              <w:right w:val="single" w:sz="4" w:space="0" w:color="auto"/>
            </w:tcBorders>
            <w:shd w:val="clear" w:color="auto" w:fill="auto"/>
            <w:noWrap/>
            <w:vAlign w:val="center"/>
          </w:tcPr>
          <w:p w14:paraId="672A31C3" w14:textId="3F559FBE"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single" w:sz="4" w:space="0" w:color="auto"/>
              <w:left w:val="nil"/>
              <w:bottom w:val="single" w:sz="4" w:space="0" w:color="auto"/>
              <w:right w:val="single" w:sz="4" w:space="0" w:color="auto"/>
            </w:tcBorders>
            <w:vAlign w:val="center"/>
          </w:tcPr>
          <w:p w14:paraId="58C3F688" w14:textId="4A656F4B" w:rsidR="007B6F7B" w:rsidRPr="00EC349E" w:rsidRDefault="004B14D7" w:rsidP="007B6F7B">
            <w:pPr>
              <w:jc w:val="right"/>
              <w:rPr>
                <w:rFonts w:ascii="Arial" w:hAnsi="Arial" w:cs="Arial"/>
                <w:sz w:val="18"/>
                <w:szCs w:val="18"/>
              </w:rPr>
            </w:pPr>
            <w:r w:rsidRPr="004B14D7">
              <w:rPr>
                <w:rFonts w:ascii="Arial" w:hAnsi="Arial" w:cs="Arial"/>
                <w:sz w:val="18"/>
                <w:szCs w:val="18"/>
              </w:rPr>
              <w:t>8.016.105</w:t>
            </w:r>
          </w:p>
        </w:tc>
      </w:tr>
      <w:tr w:rsidR="007B6F7B" w:rsidRPr="00701F32" w14:paraId="43F6ECF7"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4E78CB25"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Obligaciones negociables emitidas</w:t>
            </w:r>
          </w:p>
        </w:tc>
        <w:tc>
          <w:tcPr>
            <w:tcW w:w="684" w:type="pct"/>
            <w:tcBorders>
              <w:top w:val="nil"/>
              <w:left w:val="nil"/>
              <w:bottom w:val="single" w:sz="4" w:space="0" w:color="auto"/>
              <w:right w:val="single" w:sz="4" w:space="0" w:color="auto"/>
            </w:tcBorders>
            <w:shd w:val="clear" w:color="auto" w:fill="auto"/>
            <w:noWrap/>
            <w:vAlign w:val="center"/>
          </w:tcPr>
          <w:p w14:paraId="0B1617FF" w14:textId="5E2DEACA"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9.228.033</w:t>
            </w:r>
          </w:p>
        </w:tc>
        <w:tc>
          <w:tcPr>
            <w:tcW w:w="747" w:type="pct"/>
            <w:tcBorders>
              <w:top w:val="nil"/>
              <w:left w:val="nil"/>
              <w:bottom w:val="single" w:sz="4" w:space="0" w:color="auto"/>
              <w:right w:val="single" w:sz="4" w:space="0" w:color="auto"/>
            </w:tcBorders>
            <w:shd w:val="clear" w:color="auto" w:fill="auto"/>
            <w:noWrap/>
            <w:vAlign w:val="center"/>
          </w:tcPr>
          <w:p w14:paraId="69A34509" w14:textId="2EBFBC86"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shd w:val="clear" w:color="auto" w:fill="auto"/>
            <w:noWrap/>
            <w:vAlign w:val="center"/>
          </w:tcPr>
          <w:p w14:paraId="379C5B56" w14:textId="52DE21B3"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0468CFC2" w14:textId="0DF0E5E1" w:rsidR="007B6F7B" w:rsidRPr="00EC349E" w:rsidRDefault="004B14D7" w:rsidP="007B6F7B">
            <w:pPr>
              <w:jc w:val="right"/>
              <w:rPr>
                <w:rFonts w:ascii="Arial" w:hAnsi="Arial" w:cs="Arial"/>
                <w:sz w:val="18"/>
                <w:szCs w:val="18"/>
              </w:rPr>
            </w:pPr>
            <w:r w:rsidRPr="004B14D7">
              <w:rPr>
                <w:rFonts w:ascii="Arial" w:hAnsi="Arial" w:cs="Arial"/>
                <w:sz w:val="18"/>
                <w:szCs w:val="18"/>
              </w:rPr>
              <w:t>9.228.033</w:t>
            </w:r>
          </w:p>
        </w:tc>
      </w:tr>
      <w:tr w:rsidR="007B6F7B" w:rsidRPr="00701F32" w14:paraId="564FCF90"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72ED8F00" w14:textId="77777777" w:rsidR="007B6F7B" w:rsidRPr="00701F32" w:rsidRDefault="007B6F7B" w:rsidP="007B6F7B">
            <w:pPr>
              <w:rPr>
                <w:rFonts w:ascii="Arial" w:hAnsi="Arial" w:cs="Arial"/>
                <w:color w:val="000000"/>
                <w:sz w:val="18"/>
                <w:szCs w:val="18"/>
                <w:lang w:eastAsia="es-AR"/>
              </w:rPr>
            </w:pPr>
            <w:r w:rsidRPr="00701F32">
              <w:rPr>
                <w:rFonts w:ascii="Arial" w:hAnsi="Arial" w:cs="Arial"/>
                <w:color w:val="000000"/>
                <w:sz w:val="18"/>
                <w:szCs w:val="18"/>
                <w:lang w:eastAsia="es-AR"/>
              </w:rPr>
              <w:t>- Obligaciones negociables subordinadas</w:t>
            </w:r>
          </w:p>
        </w:tc>
        <w:tc>
          <w:tcPr>
            <w:tcW w:w="684" w:type="pct"/>
            <w:tcBorders>
              <w:top w:val="nil"/>
              <w:left w:val="nil"/>
              <w:bottom w:val="single" w:sz="4" w:space="0" w:color="auto"/>
              <w:right w:val="single" w:sz="4" w:space="0" w:color="auto"/>
            </w:tcBorders>
            <w:shd w:val="clear" w:color="auto" w:fill="auto"/>
            <w:noWrap/>
            <w:vAlign w:val="center"/>
          </w:tcPr>
          <w:p w14:paraId="1E93F9F3" w14:textId="25A54061" w:rsidR="007B6F7B" w:rsidRPr="00EC349E" w:rsidRDefault="004B14D7" w:rsidP="007B6F7B">
            <w:pPr>
              <w:jc w:val="right"/>
              <w:rPr>
                <w:rFonts w:ascii="Arial" w:hAnsi="Arial" w:cs="Arial"/>
                <w:color w:val="000000"/>
                <w:sz w:val="18"/>
                <w:szCs w:val="18"/>
                <w:lang w:eastAsia="es-AR"/>
              </w:rPr>
            </w:pPr>
            <w:r w:rsidRPr="004B14D7">
              <w:rPr>
                <w:rFonts w:ascii="Arial" w:hAnsi="Arial" w:cs="Arial"/>
                <w:color w:val="000000"/>
                <w:sz w:val="18"/>
                <w:szCs w:val="18"/>
                <w:lang w:eastAsia="es-AR"/>
              </w:rPr>
              <w:t>1.383.817</w:t>
            </w:r>
          </w:p>
        </w:tc>
        <w:tc>
          <w:tcPr>
            <w:tcW w:w="747" w:type="pct"/>
            <w:tcBorders>
              <w:top w:val="nil"/>
              <w:left w:val="nil"/>
              <w:bottom w:val="single" w:sz="4" w:space="0" w:color="auto"/>
              <w:right w:val="single" w:sz="4" w:space="0" w:color="auto"/>
            </w:tcBorders>
            <w:shd w:val="clear" w:color="auto" w:fill="auto"/>
            <w:noWrap/>
            <w:vAlign w:val="center"/>
          </w:tcPr>
          <w:p w14:paraId="2DE89800" w14:textId="0CB03B1F"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shd w:val="clear" w:color="auto" w:fill="auto"/>
            <w:noWrap/>
            <w:vAlign w:val="center"/>
          </w:tcPr>
          <w:p w14:paraId="4F1BFEBB" w14:textId="5FD8D0F4" w:rsidR="007B6F7B" w:rsidRPr="00EC349E" w:rsidRDefault="004B14D7" w:rsidP="007B6F7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000837C2" w14:textId="6B586AC8" w:rsidR="007B6F7B" w:rsidRPr="00EC349E" w:rsidRDefault="004B14D7" w:rsidP="007B6F7B">
            <w:pPr>
              <w:jc w:val="right"/>
              <w:rPr>
                <w:rFonts w:ascii="Arial" w:hAnsi="Arial" w:cs="Arial"/>
                <w:sz w:val="18"/>
                <w:szCs w:val="18"/>
              </w:rPr>
            </w:pPr>
            <w:r w:rsidRPr="004B14D7">
              <w:rPr>
                <w:rFonts w:ascii="Arial" w:hAnsi="Arial" w:cs="Arial"/>
                <w:sz w:val="18"/>
                <w:szCs w:val="18"/>
              </w:rPr>
              <w:t>1.383.817</w:t>
            </w:r>
          </w:p>
        </w:tc>
      </w:tr>
      <w:tr w:rsidR="007B6F7B" w:rsidRPr="00701F32" w14:paraId="0C4E9B5B" w14:textId="77777777" w:rsidTr="007B6F7B">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4EDAA918" w14:textId="77777777" w:rsidR="007B6F7B" w:rsidRPr="00701F32" w:rsidRDefault="007B6F7B" w:rsidP="007B6F7B">
            <w:pPr>
              <w:rPr>
                <w:rFonts w:ascii="Arial" w:hAnsi="Arial" w:cs="Arial"/>
                <w:color w:val="000000"/>
                <w:sz w:val="18"/>
                <w:szCs w:val="18"/>
                <w:lang w:eastAsia="es-AR"/>
              </w:rPr>
            </w:pPr>
            <w:r w:rsidRPr="00701F32">
              <w:rPr>
                <w:rFonts w:ascii="Arial" w:hAnsi="Arial" w:cs="Arial"/>
                <w:b/>
                <w:bCs/>
                <w:color w:val="000000"/>
                <w:sz w:val="18"/>
                <w:szCs w:val="18"/>
                <w:lang w:eastAsia="es-AR"/>
              </w:rPr>
              <w:t>Total Pasivos</w:t>
            </w:r>
          </w:p>
        </w:tc>
        <w:tc>
          <w:tcPr>
            <w:tcW w:w="684" w:type="pct"/>
            <w:tcBorders>
              <w:top w:val="nil"/>
              <w:left w:val="nil"/>
              <w:bottom w:val="single" w:sz="4" w:space="0" w:color="auto"/>
              <w:right w:val="single" w:sz="4" w:space="0" w:color="auto"/>
            </w:tcBorders>
            <w:shd w:val="clear" w:color="auto" w:fill="auto"/>
            <w:noWrap/>
            <w:vAlign w:val="center"/>
          </w:tcPr>
          <w:p w14:paraId="3595E6C5" w14:textId="2731BC03" w:rsidR="007B6F7B" w:rsidRPr="00EC349E" w:rsidRDefault="004B14D7" w:rsidP="007B6F7B">
            <w:pPr>
              <w:jc w:val="right"/>
              <w:rPr>
                <w:rFonts w:ascii="Arial" w:hAnsi="Arial" w:cs="Arial"/>
                <w:b/>
                <w:color w:val="000000"/>
                <w:sz w:val="18"/>
                <w:szCs w:val="18"/>
                <w:lang w:eastAsia="es-AR"/>
              </w:rPr>
            </w:pPr>
            <w:r w:rsidRPr="004B14D7">
              <w:rPr>
                <w:rFonts w:ascii="Arial" w:hAnsi="Arial" w:cs="Arial"/>
                <w:b/>
                <w:color w:val="000000"/>
                <w:sz w:val="18"/>
                <w:szCs w:val="18"/>
                <w:lang w:eastAsia="es-AR"/>
              </w:rPr>
              <w:t>114.756.245</w:t>
            </w:r>
          </w:p>
        </w:tc>
        <w:tc>
          <w:tcPr>
            <w:tcW w:w="747" w:type="pct"/>
            <w:tcBorders>
              <w:top w:val="nil"/>
              <w:left w:val="nil"/>
              <w:bottom w:val="single" w:sz="4" w:space="0" w:color="auto"/>
              <w:right w:val="single" w:sz="4" w:space="0" w:color="auto"/>
            </w:tcBorders>
            <w:shd w:val="clear" w:color="auto" w:fill="auto"/>
            <w:noWrap/>
            <w:vAlign w:val="center"/>
          </w:tcPr>
          <w:p w14:paraId="52C2E05E" w14:textId="641DE084" w:rsidR="007B6F7B" w:rsidRPr="00EC349E" w:rsidRDefault="004B14D7" w:rsidP="007B6F7B">
            <w:pPr>
              <w:jc w:val="right"/>
              <w:rPr>
                <w:rFonts w:ascii="Arial" w:hAnsi="Arial" w:cs="Arial"/>
                <w:b/>
                <w:color w:val="000000"/>
                <w:sz w:val="18"/>
                <w:szCs w:val="18"/>
                <w:lang w:eastAsia="es-AR"/>
              </w:rPr>
            </w:pPr>
            <w:r w:rsidRPr="004B14D7">
              <w:rPr>
                <w:rFonts w:ascii="Arial" w:hAnsi="Arial" w:cs="Arial"/>
                <w:b/>
                <w:color w:val="000000"/>
                <w:sz w:val="18"/>
                <w:szCs w:val="18"/>
                <w:lang w:eastAsia="es-AR"/>
              </w:rPr>
              <w:t>4.098.959</w:t>
            </w:r>
          </w:p>
        </w:tc>
        <w:tc>
          <w:tcPr>
            <w:tcW w:w="703" w:type="pct"/>
            <w:tcBorders>
              <w:top w:val="nil"/>
              <w:left w:val="nil"/>
              <w:bottom w:val="single" w:sz="4" w:space="0" w:color="auto"/>
              <w:right w:val="single" w:sz="4" w:space="0" w:color="auto"/>
            </w:tcBorders>
            <w:shd w:val="clear" w:color="auto" w:fill="auto"/>
            <w:noWrap/>
            <w:vAlign w:val="center"/>
          </w:tcPr>
          <w:p w14:paraId="192656F5" w14:textId="6DED8181" w:rsidR="007B6F7B" w:rsidRPr="00EC349E" w:rsidRDefault="004B14D7" w:rsidP="007B6F7B">
            <w:pPr>
              <w:jc w:val="right"/>
              <w:rPr>
                <w:rFonts w:ascii="Arial" w:hAnsi="Arial" w:cs="Arial"/>
                <w:b/>
                <w:color w:val="000000"/>
                <w:sz w:val="18"/>
                <w:szCs w:val="18"/>
                <w:lang w:eastAsia="es-AR"/>
              </w:rPr>
            </w:pPr>
            <w:r w:rsidRPr="004B14D7">
              <w:rPr>
                <w:rFonts w:ascii="Arial" w:hAnsi="Arial" w:cs="Arial"/>
                <w:b/>
                <w:color w:val="000000"/>
                <w:sz w:val="18"/>
                <w:szCs w:val="18"/>
                <w:lang w:eastAsia="es-AR"/>
              </w:rPr>
              <w:t xml:space="preserve">-   </w:t>
            </w:r>
          </w:p>
        </w:tc>
        <w:tc>
          <w:tcPr>
            <w:tcW w:w="703" w:type="pct"/>
            <w:tcBorders>
              <w:top w:val="nil"/>
              <w:left w:val="nil"/>
              <w:bottom w:val="single" w:sz="4" w:space="0" w:color="auto"/>
              <w:right w:val="single" w:sz="4" w:space="0" w:color="auto"/>
            </w:tcBorders>
            <w:vAlign w:val="center"/>
          </w:tcPr>
          <w:p w14:paraId="6EE2C28D" w14:textId="5ADDFA09" w:rsidR="007B6F7B" w:rsidRPr="00EC349E" w:rsidRDefault="004B14D7" w:rsidP="007B6F7B">
            <w:pPr>
              <w:jc w:val="right"/>
              <w:rPr>
                <w:rFonts w:ascii="Arial" w:hAnsi="Arial" w:cs="Arial"/>
                <w:b/>
                <w:sz w:val="18"/>
                <w:szCs w:val="18"/>
              </w:rPr>
            </w:pPr>
            <w:r w:rsidRPr="004B14D7">
              <w:rPr>
                <w:rFonts w:ascii="Arial" w:hAnsi="Arial" w:cs="Arial"/>
                <w:b/>
                <w:sz w:val="18"/>
                <w:szCs w:val="18"/>
              </w:rPr>
              <w:t>118.855.204</w:t>
            </w:r>
          </w:p>
        </w:tc>
      </w:tr>
    </w:tbl>
    <w:p w14:paraId="1185C2F1" w14:textId="21202243" w:rsidR="00BA5C58" w:rsidRDefault="00BA5C58" w:rsidP="00967EE4">
      <w:pPr>
        <w:widowControl w:val="0"/>
        <w:autoSpaceDE w:val="0"/>
        <w:autoSpaceDN w:val="0"/>
        <w:adjustRightInd w:val="0"/>
        <w:jc w:val="both"/>
        <w:rPr>
          <w:rFonts w:ascii="Arial" w:hAnsi="Arial" w:cs="Arial"/>
          <w:b/>
          <w:noProof/>
          <w:sz w:val="20"/>
        </w:rPr>
      </w:pPr>
    </w:p>
    <w:p w14:paraId="68CF2F91" w14:textId="77777777" w:rsidR="00BA5C58" w:rsidRDefault="00BA5C58">
      <w:pPr>
        <w:rPr>
          <w:rFonts w:ascii="Arial" w:hAnsi="Arial" w:cs="Arial"/>
          <w:b/>
          <w:noProof/>
          <w:sz w:val="20"/>
        </w:rPr>
      </w:pPr>
      <w:r>
        <w:rPr>
          <w:rFonts w:ascii="Arial" w:hAnsi="Arial" w:cs="Arial"/>
          <w:b/>
          <w:noProof/>
          <w:sz w:val="20"/>
        </w:rPr>
        <w:br w:type="page"/>
      </w:r>
    </w:p>
    <w:p w14:paraId="413791D7" w14:textId="729EFDF9" w:rsidR="00967EE4" w:rsidRPr="002B52DE" w:rsidRDefault="00967EE4" w:rsidP="00967EE4">
      <w:pPr>
        <w:widowControl w:val="0"/>
        <w:autoSpaceDE w:val="0"/>
        <w:autoSpaceDN w:val="0"/>
        <w:adjustRightInd w:val="0"/>
        <w:jc w:val="both"/>
        <w:rPr>
          <w:rFonts w:ascii="Arial" w:hAnsi="Arial" w:cs="Arial"/>
          <w:b/>
          <w:caps/>
          <w:noProof/>
          <w:sz w:val="20"/>
        </w:rPr>
      </w:pPr>
      <w:r>
        <w:rPr>
          <w:rFonts w:ascii="Arial" w:hAnsi="Arial" w:cs="Arial"/>
          <w:b/>
          <w:noProof/>
          <w:sz w:val="20"/>
        </w:rPr>
        <w:t>18.</w:t>
      </w:r>
      <w:r w:rsidRPr="002B52DE">
        <w:rPr>
          <w:rFonts w:ascii="Arial" w:hAnsi="Arial" w:cs="Arial"/>
          <w:b/>
          <w:caps/>
          <w:noProof/>
          <w:sz w:val="20"/>
        </w:rPr>
        <w:t xml:space="preserve"> </w:t>
      </w:r>
      <w:r>
        <w:rPr>
          <w:rFonts w:ascii="Arial" w:hAnsi="Arial" w:cs="Arial"/>
          <w:b/>
          <w:caps/>
          <w:noProof/>
          <w:sz w:val="20"/>
        </w:rPr>
        <w:t xml:space="preserve">creditos por </w:t>
      </w:r>
      <w:r w:rsidRPr="002B52DE">
        <w:rPr>
          <w:rFonts w:ascii="Arial" w:hAnsi="Arial" w:cs="Arial"/>
          <w:b/>
          <w:caps/>
          <w:noProof/>
          <w:sz w:val="20"/>
        </w:rPr>
        <w:t>Arrendamientos financieros</w:t>
      </w:r>
      <w:r>
        <w:rPr>
          <w:rFonts w:ascii="Arial" w:hAnsi="Arial" w:cs="Arial"/>
          <w:b/>
          <w:caps/>
          <w:noProof/>
          <w:sz w:val="20"/>
        </w:rPr>
        <w:t xml:space="preserve"> Y OPERATIVOS</w:t>
      </w:r>
    </w:p>
    <w:p w14:paraId="0BE2BD4D" w14:textId="77777777" w:rsidR="00967EE4" w:rsidRPr="00701F32" w:rsidRDefault="00967EE4" w:rsidP="00967EE4">
      <w:pPr>
        <w:widowControl w:val="0"/>
        <w:autoSpaceDE w:val="0"/>
        <w:autoSpaceDN w:val="0"/>
        <w:adjustRightInd w:val="0"/>
        <w:jc w:val="both"/>
        <w:rPr>
          <w:rFonts w:ascii="Arial" w:hAnsi="Arial" w:cs="Arial"/>
          <w:b/>
          <w:noProof/>
          <w:sz w:val="20"/>
        </w:rPr>
      </w:pPr>
    </w:p>
    <w:p w14:paraId="1484DE6F" w14:textId="77777777" w:rsidR="00967EE4" w:rsidRPr="00701F32" w:rsidRDefault="00967EE4" w:rsidP="00967EE4">
      <w:pPr>
        <w:spacing w:after="160" w:line="259" w:lineRule="auto"/>
        <w:jc w:val="both"/>
        <w:rPr>
          <w:rFonts w:ascii="Arial" w:eastAsia="Arial" w:hAnsi="Arial" w:cs="Arial"/>
          <w:sz w:val="20"/>
        </w:rPr>
      </w:pPr>
      <w:r w:rsidRPr="00701F32">
        <w:rPr>
          <w:rFonts w:ascii="Arial" w:eastAsia="Arial" w:hAnsi="Arial" w:cs="Arial"/>
          <w:sz w:val="20"/>
        </w:rPr>
        <w:t>A continuación, se realiza un detalle de los vencimientos de los arrendamientos por cobrar del Banco y de los valores act</w:t>
      </w:r>
      <w:r>
        <w:rPr>
          <w:rFonts w:ascii="Arial" w:eastAsia="Arial" w:hAnsi="Arial" w:cs="Arial"/>
          <w:sz w:val="20"/>
        </w:rPr>
        <w:t>uales al 31 de diciembre de 2019 y 2018</w:t>
      </w:r>
      <w:r w:rsidRPr="00701F32">
        <w:rPr>
          <w:rFonts w:ascii="Arial" w:eastAsia="Arial" w:hAnsi="Arial" w:cs="Arial"/>
          <w:sz w:val="20"/>
        </w:rPr>
        <w:t>:</w:t>
      </w:r>
    </w:p>
    <w:tbl>
      <w:tblPr>
        <w:tblW w:w="8249" w:type="dxa"/>
        <w:jc w:val="center"/>
        <w:tblCellMar>
          <w:left w:w="70" w:type="dxa"/>
          <w:right w:w="70" w:type="dxa"/>
        </w:tblCellMar>
        <w:tblLook w:val="04A0" w:firstRow="1" w:lastRow="0" w:firstColumn="1" w:lastColumn="0" w:noHBand="0" w:noVBand="1"/>
      </w:tblPr>
      <w:tblGrid>
        <w:gridCol w:w="3841"/>
        <w:gridCol w:w="2125"/>
        <w:gridCol w:w="2283"/>
      </w:tblGrid>
      <w:tr w:rsidR="00967EE4" w:rsidRPr="00701F32" w14:paraId="6432B31A" w14:textId="77777777" w:rsidTr="00CA014A">
        <w:trPr>
          <w:trHeight w:val="256"/>
          <w:tblHeader/>
          <w:jc w:val="center"/>
        </w:trPr>
        <w:tc>
          <w:tcPr>
            <w:tcW w:w="384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560949" w14:textId="77777777" w:rsidR="00967EE4" w:rsidRPr="00701F32" w:rsidRDefault="00967EE4" w:rsidP="00CA014A">
            <w:pPr>
              <w:ind w:firstLine="10"/>
              <w:jc w:val="both"/>
              <w:rPr>
                <w:rFonts w:ascii="Arial" w:hAnsi="Arial" w:cs="Arial"/>
                <w:b/>
                <w:bCs/>
                <w:color w:val="000000"/>
                <w:sz w:val="20"/>
                <w:lang w:eastAsia="es-AR"/>
              </w:rPr>
            </w:pPr>
            <w:r w:rsidRPr="00701F32">
              <w:rPr>
                <w:rFonts w:ascii="Arial" w:hAnsi="Arial" w:cs="Arial"/>
                <w:b/>
                <w:bCs/>
                <w:color w:val="000000"/>
                <w:sz w:val="20"/>
                <w:lang w:eastAsia="es-AR"/>
              </w:rPr>
              <w:t>Canones a cobrar</w:t>
            </w:r>
            <w:r>
              <w:rPr>
                <w:rFonts w:ascii="Arial" w:hAnsi="Arial" w:cs="Arial"/>
                <w:b/>
                <w:bCs/>
                <w:color w:val="000000"/>
                <w:sz w:val="20"/>
                <w:lang w:eastAsia="es-AR"/>
              </w:rPr>
              <w:t xml:space="preserve"> arrend. financieros</w:t>
            </w:r>
          </w:p>
        </w:tc>
        <w:tc>
          <w:tcPr>
            <w:tcW w:w="2125" w:type="dxa"/>
            <w:tcBorders>
              <w:top w:val="single" w:sz="8" w:space="0" w:color="auto"/>
              <w:left w:val="nil"/>
              <w:bottom w:val="single" w:sz="8" w:space="0" w:color="auto"/>
              <w:right w:val="single" w:sz="8" w:space="0" w:color="auto"/>
            </w:tcBorders>
            <w:shd w:val="clear" w:color="auto" w:fill="auto"/>
            <w:vAlign w:val="bottom"/>
            <w:hideMark/>
          </w:tcPr>
          <w:p w14:paraId="27AF21DE" w14:textId="77777777" w:rsidR="00967EE4" w:rsidRPr="00701F32" w:rsidRDefault="00967EE4" w:rsidP="00CA014A">
            <w:pPr>
              <w:ind w:firstLine="10"/>
              <w:jc w:val="right"/>
              <w:rPr>
                <w:rFonts w:ascii="Arial" w:hAnsi="Arial" w:cs="Arial"/>
                <w:b/>
                <w:bCs/>
                <w:color w:val="000000"/>
                <w:sz w:val="20"/>
                <w:lang w:eastAsia="es-AR"/>
              </w:rPr>
            </w:pPr>
            <w:r>
              <w:rPr>
                <w:rFonts w:ascii="Arial" w:hAnsi="Arial" w:cs="Arial"/>
                <w:b/>
                <w:bCs/>
                <w:color w:val="000000"/>
                <w:sz w:val="20"/>
                <w:lang w:eastAsia="es-AR"/>
              </w:rPr>
              <w:t>31/12/2019</w:t>
            </w:r>
          </w:p>
        </w:tc>
        <w:tc>
          <w:tcPr>
            <w:tcW w:w="2283" w:type="dxa"/>
            <w:tcBorders>
              <w:top w:val="single" w:sz="8" w:space="0" w:color="auto"/>
              <w:left w:val="nil"/>
              <w:bottom w:val="single" w:sz="8" w:space="0" w:color="auto"/>
              <w:right w:val="single" w:sz="8" w:space="0" w:color="auto"/>
            </w:tcBorders>
            <w:vAlign w:val="bottom"/>
          </w:tcPr>
          <w:p w14:paraId="04B30E27" w14:textId="77777777" w:rsidR="00967EE4" w:rsidRDefault="00967EE4" w:rsidP="00CA014A">
            <w:pPr>
              <w:ind w:firstLine="10"/>
              <w:jc w:val="right"/>
              <w:rPr>
                <w:rFonts w:ascii="Arial" w:hAnsi="Arial" w:cs="Arial"/>
                <w:b/>
                <w:bCs/>
                <w:color w:val="000000"/>
                <w:sz w:val="20"/>
                <w:lang w:eastAsia="es-AR"/>
              </w:rPr>
            </w:pPr>
            <w:r>
              <w:rPr>
                <w:rFonts w:ascii="Arial" w:hAnsi="Arial" w:cs="Arial"/>
                <w:b/>
                <w:bCs/>
                <w:color w:val="000000"/>
                <w:sz w:val="20"/>
                <w:lang w:eastAsia="es-AR"/>
              </w:rPr>
              <w:t>31/12/2018</w:t>
            </w:r>
          </w:p>
        </w:tc>
      </w:tr>
      <w:tr w:rsidR="00967EE4" w:rsidRPr="00701F32" w14:paraId="5437AE61" w14:textId="77777777" w:rsidTr="00CA014A">
        <w:trPr>
          <w:trHeight w:val="256"/>
          <w:jc w:val="center"/>
        </w:trPr>
        <w:tc>
          <w:tcPr>
            <w:tcW w:w="3841" w:type="dxa"/>
            <w:tcBorders>
              <w:top w:val="nil"/>
              <w:left w:val="single" w:sz="8" w:space="0" w:color="auto"/>
              <w:bottom w:val="single" w:sz="8" w:space="0" w:color="auto"/>
              <w:right w:val="single" w:sz="8" w:space="0" w:color="auto"/>
            </w:tcBorders>
            <w:shd w:val="clear" w:color="auto" w:fill="auto"/>
            <w:vAlign w:val="center"/>
            <w:hideMark/>
          </w:tcPr>
          <w:p w14:paraId="080DCA7C" w14:textId="77777777" w:rsidR="00967EE4" w:rsidRPr="00701F32" w:rsidRDefault="00967EE4" w:rsidP="00CA014A">
            <w:pPr>
              <w:ind w:firstLine="10"/>
              <w:jc w:val="both"/>
              <w:rPr>
                <w:rFonts w:ascii="Arial" w:hAnsi="Arial" w:cs="Arial"/>
                <w:color w:val="000000"/>
                <w:sz w:val="20"/>
                <w:lang w:eastAsia="es-AR"/>
              </w:rPr>
            </w:pPr>
            <w:r w:rsidRPr="00701F32">
              <w:rPr>
                <w:rFonts w:ascii="Arial" w:hAnsi="Arial" w:cs="Arial"/>
                <w:color w:val="000000"/>
                <w:sz w:val="20"/>
                <w:lang w:eastAsia="es-AR"/>
              </w:rPr>
              <w:t>Hasta un año</w:t>
            </w:r>
          </w:p>
        </w:tc>
        <w:tc>
          <w:tcPr>
            <w:tcW w:w="2125" w:type="dxa"/>
            <w:tcBorders>
              <w:top w:val="nil"/>
              <w:left w:val="single" w:sz="8" w:space="0" w:color="auto"/>
              <w:bottom w:val="single" w:sz="8" w:space="0" w:color="auto"/>
              <w:right w:val="single" w:sz="8" w:space="0" w:color="auto"/>
            </w:tcBorders>
            <w:shd w:val="clear" w:color="auto" w:fill="auto"/>
            <w:vAlign w:val="bottom"/>
            <w:hideMark/>
          </w:tcPr>
          <w:p w14:paraId="141DA8F4" w14:textId="77777777" w:rsidR="00967EE4" w:rsidRPr="006C6AAF" w:rsidRDefault="00967EE4" w:rsidP="00CA014A">
            <w:pPr>
              <w:ind w:firstLine="10"/>
              <w:jc w:val="right"/>
              <w:rPr>
                <w:rFonts w:ascii="Arial" w:hAnsi="Arial" w:cs="Arial"/>
                <w:color w:val="000000"/>
                <w:sz w:val="20"/>
                <w:lang w:eastAsia="es-AR"/>
              </w:rPr>
            </w:pPr>
            <w:r w:rsidRPr="00EC349E">
              <w:rPr>
                <w:rFonts w:ascii="Arial" w:hAnsi="Arial" w:cs="Arial"/>
                <w:color w:val="000000"/>
                <w:sz w:val="20"/>
              </w:rPr>
              <w:t>1.7</w:t>
            </w:r>
            <w:r>
              <w:rPr>
                <w:rFonts w:ascii="Arial" w:hAnsi="Arial" w:cs="Arial"/>
                <w:color w:val="000000"/>
                <w:sz w:val="20"/>
              </w:rPr>
              <w:t>83.106</w:t>
            </w:r>
            <w:r w:rsidRPr="00EC349E">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bottom"/>
          </w:tcPr>
          <w:p w14:paraId="50E74B11" w14:textId="77777777" w:rsidR="00967EE4" w:rsidRPr="006C6AAF" w:rsidRDefault="00967EE4" w:rsidP="00CA014A">
            <w:pPr>
              <w:ind w:firstLine="10"/>
              <w:jc w:val="right"/>
              <w:rPr>
                <w:rFonts w:ascii="Arial" w:hAnsi="Arial" w:cs="Arial"/>
                <w:color w:val="000000"/>
                <w:sz w:val="20"/>
              </w:rPr>
            </w:pPr>
            <w:r w:rsidRPr="00EC349E">
              <w:rPr>
                <w:rFonts w:ascii="Arial" w:hAnsi="Arial" w:cs="Arial"/>
                <w:color w:val="000000"/>
                <w:sz w:val="20"/>
              </w:rPr>
              <w:t>1.708.103</w:t>
            </w:r>
            <w:r w:rsidRPr="00EC349E">
              <w:rPr>
                <w:rFonts w:ascii="Arial" w:hAnsi="Arial" w:cs="Arial"/>
                <w:color w:val="000000"/>
                <w:sz w:val="22"/>
                <w:szCs w:val="22"/>
              </w:rPr>
              <w:t xml:space="preserve"> </w:t>
            </w:r>
          </w:p>
        </w:tc>
      </w:tr>
      <w:tr w:rsidR="00967EE4" w:rsidRPr="00701F32" w14:paraId="04358BD5" w14:textId="77777777" w:rsidTr="00CA014A">
        <w:trPr>
          <w:trHeight w:val="256"/>
          <w:jc w:val="center"/>
        </w:trPr>
        <w:tc>
          <w:tcPr>
            <w:tcW w:w="3841" w:type="dxa"/>
            <w:tcBorders>
              <w:top w:val="nil"/>
              <w:left w:val="single" w:sz="8" w:space="0" w:color="auto"/>
              <w:bottom w:val="single" w:sz="8" w:space="0" w:color="auto"/>
              <w:right w:val="single" w:sz="8" w:space="0" w:color="auto"/>
            </w:tcBorders>
            <w:shd w:val="clear" w:color="auto" w:fill="auto"/>
            <w:vAlign w:val="center"/>
            <w:hideMark/>
          </w:tcPr>
          <w:p w14:paraId="7729ABF5" w14:textId="77777777" w:rsidR="00967EE4" w:rsidRPr="00701F32" w:rsidRDefault="00967EE4" w:rsidP="00CA014A">
            <w:pPr>
              <w:ind w:firstLine="10"/>
              <w:jc w:val="both"/>
              <w:rPr>
                <w:rFonts w:ascii="Arial" w:hAnsi="Arial" w:cs="Arial"/>
                <w:color w:val="000000"/>
                <w:sz w:val="20"/>
                <w:lang w:eastAsia="es-AR"/>
              </w:rPr>
            </w:pPr>
            <w:r w:rsidRPr="00701F32">
              <w:rPr>
                <w:rFonts w:ascii="Arial" w:hAnsi="Arial" w:cs="Arial"/>
                <w:color w:val="000000"/>
                <w:sz w:val="20"/>
                <w:lang w:eastAsia="es-AR"/>
              </w:rPr>
              <w:t>Más de uno a dos años</w:t>
            </w:r>
          </w:p>
        </w:tc>
        <w:tc>
          <w:tcPr>
            <w:tcW w:w="2125" w:type="dxa"/>
            <w:tcBorders>
              <w:top w:val="nil"/>
              <w:left w:val="single" w:sz="8" w:space="0" w:color="auto"/>
              <w:bottom w:val="single" w:sz="8" w:space="0" w:color="auto"/>
              <w:right w:val="single" w:sz="8" w:space="0" w:color="auto"/>
            </w:tcBorders>
            <w:shd w:val="clear" w:color="auto" w:fill="auto"/>
            <w:vAlign w:val="bottom"/>
            <w:hideMark/>
          </w:tcPr>
          <w:p w14:paraId="14B6C55A" w14:textId="77777777" w:rsidR="00967EE4" w:rsidRPr="006C6AAF" w:rsidRDefault="00967EE4" w:rsidP="00CA014A">
            <w:pPr>
              <w:ind w:firstLine="10"/>
              <w:jc w:val="right"/>
              <w:rPr>
                <w:rFonts w:ascii="Arial" w:hAnsi="Arial" w:cs="Arial"/>
                <w:color w:val="000000"/>
                <w:sz w:val="20"/>
                <w:lang w:eastAsia="es-AR"/>
              </w:rPr>
            </w:pPr>
            <w:r w:rsidRPr="00EC349E">
              <w:rPr>
                <w:rFonts w:ascii="Arial" w:hAnsi="Arial" w:cs="Arial"/>
                <w:color w:val="000000"/>
                <w:sz w:val="20"/>
              </w:rPr>
              <w:t>1.</w:t>
            </w:r>
            <w:r>
              <w:rPr>
                <w:rFonts w:ascii="Arial" w:hAnsi="Arial" w:cs="Arial"/>
                <w:color w:val="000000"/>
                <w:sz w:val="20"/>
              </w:rPr>
              <w:t>167.248</w:t>
            </w:r>
            <w:r w:rsidRPr="00EC349E">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bottom"/>
          </w:tcPr>
          <w:p w14:paraId="42BDBE2D" w14:textId="77777777" w:rsidR="00967EE4" w:rsidRPr="006C6AAF" w:rsidRDefault="00967EE4" w:rsidP="00CA014A">
            <w:pPr>
              <w:ind w:firstLine="10"/>
              <w:jc w:val="right"/>
              <w:rPr>
                <w:rFonts w:ascii="Arial" w:hAnsi="Arial" w:cs="Arial"/>
                <w:color w:val="000000"/>
                <w:sz w:val="20"/>
              </w:rPr>
            </w:pPr>
            <w:r w:rsidRPr="00EC349E">
              <w:rPr>
                <w:rFonts w:ascii="Arial" w:hAnsi="Arial" w:cs="Arial"/>
                <w:color w:val="000000"/>
                <w:sz w:val="20"/>
              </w:rPr>
              <w:t>1.321.057</w:t>
            </w:r>
            <w:r w:rsidRPr="00EC349E">
              <w:rPr>
                <w:rFonts w:ascii="Arial" w:hAnsi="Arial" w:cs="Arial"/>
                <w:color w:val="000000"/>
                <w:sz w:val="22"/>
                <w:szCs w:val="22"/>
              </w:rPr>
              <w:t xml:space="preserve"> </w:t>
            </w:r>
          </w:p>
        </w:tc>
      </w:tr>
      <w:tr w:rsidR="00967EE4" w:rsidRPr="00701F32" w14:paraId="28D1A67C" w14:textId="77777777" w:rsidTr="00CA014A">
        <w:trPr>
          <w:trHeight w:val="256"/>
          <w:jc w:val="center"/>
        </w:trPr>
        <w:tc>
          <w:tcPr>
            <w:tcW w:w="3841" w:type="dxa"/>
            <w:tcBorders>
              <w:top w:val="nil"/>
              <w:left w:val="single" w:sz="8" w:space="0" w:color="auto"/>
              <w:bottom w:val="single" w:sz="8" w:space="0" w:color="auto"/>
              <w:right w:val="single" w:sz="8" w:space="0" w:color="auto"/>
            </w:tcBorders>
            <w:shd w:val="clear" w:color="auto" w:fill="auto"/>
            <w:vAlign w:val="center"/>
            <w:hideMark/>
          </w:tcPr>
          <w:p w14:paraId="154228CC" w14:textId="77777777" w:rsidR="00967EE4" w:rsidRPr="00701F32" w:rsidRDefault="00967EE4" w:rsidP="00CA014A">
            <w:pPr>
              <w:ind w:firstLine="10"/>
              <w:jc w:val="both"/>
              <w:rPr>
                <w:rFonts w:ascii="Arial" w:hAnsi="Arial" w:cs="Arial"/>
                <w:color w:val="000000"/>
                <w:sz w:val="20"/>
                <w:lang w:eastAsia="es-AR"/>
              </w:rPr>
            </w:pPr>
            <w:r w:rsidRPr="00701F32">
              <w:rPr>
                <w:rFonts w:ascii="Arial" w:eastAsia="Arial" w:hAnsi="Arial" w:cs="Arial"/>
                <w:color w:val="000000"/>
                <w:sz w:val="20"/>
                <w:lang w:eastAsia="es-AR"/>
              </w:rPr>
              <w:t>De dos a tres años</w:t>
            </w:r>
          </w:p>
        </w:tc>
        <w:tc>
          <w:tcPr>
            <w:tcW w:w="2125" w:type="dxa"/>
            <w:tcBorders>
              <w:top w:val="nil"/>
              <w:left w:val="single" w:sz="8" w:space="0" w:color="auto"/>
              <w:bottom w:val="single" w:sz="8" w:space="0" w:color="auto"/>
              <w:right w:val="single" w:sz="8" w:space="0" w:color="auto"/>
            </w:tcBorders>
            <w:shd w:val="clear" w:color="auto" w:fill="auto"/>
            <w:vAlign w:val="bottom"/>
            <w:hideMark/>
          </w:tcPr>
          <w:p w14:paraId="2623D95A" w14:textId="77777777" w:rsidR="00967EE4" w:rsidRPr="006C6AAF" w:rsidRDefault="00967EE4" w:rsidP="00CA014A">
            <w:pPr>
              <w:ind w:firstLine="10"/>
              <w:jc w:val="right"/>
              <w:rPr>
                <w:rFonts w:ascii="Arial" w:hAnsi="Arial" w:cs="Arial"/>
                <w:color w:val="000000"/>
                <w:sz w:val="20"/>
                <w:lang w:eastAsia="es-AR"/>
              </w:rPr>
            </w:pPr>
            <w:r>
              <w:rPr>
                <w:rFonts w:ascii="Arial" w:hAnsi="Arial" w:cs="Arial"/>
                <w:color w:val="000000"/>
                <w:sz w:val="20"/>
              </w:rPr>
              <w:t>665.603</w:t>
            </w:r>
            <w:r w:rsidRPr="00EC349E">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bottom"/>
          </w:tcPr>
          <w:p w14:paraId="485610DC" w14:textId="77777777" w:rsidR="00967EE4" w:rsidRPr="006C6AAF" w:rsidRDefault="00967EE4" w:rsidP="00CA014A">
            <w:pPr>
              <w:ind w:firstLine="10"/>
              <w:jc w:val="right"/>
              <w:rPr>
                <w:rFonts w:ascii="Arial" w:hAnsi="Arial" w:cs="Arial"/>
                <w:color w:val="000000"/>
                <w:sz w:val="20"/>
              </w:rPr>
            </w:pPr>
            <w:r w:rsidRPr="00EC349E">
              <w:rPr>
                <w:rFonts w:ascii="Arial" w:hAnsi="Arial" w:cs="Arial"/>
                <w:color w:val="000000"/>
                <w:sz w:val="20"/>
              </w:rPr>
              <w:t>745.486</w:t>
            </w:r>
            <w:r w:rsidRPr="00EC349E">
              <w:rPr>
                <w:rFonts w:ascii="Arial" w:hAnsi="Arial" w:cs="Arial"/>
                <w:color w:val="000000"/>
                <w:sz w:val="22"/>
                <w:szCs w:val="22"/>
              </w:rPr>
              <w:t xml:space="preserve"> </w:t>
            </w:r>
          </w:p>
        </w:tc>
      </w:tr>
      <w:tr w:rsidR="00967EE4" w:rsidRPr="00701F32" w14:paraId="4F03D425" w14:textId="77777777" w:rsidTr="00CA014A">
        <w:trPr>
          <w:trHeight w:val="256"/>
          <w:jc w:val="center"/>
        </w:trPr>
        <w:tc>
          <w:tcPr>
            <w:tcW w:w="3841" w:type="dxa"/>
            <w:tcBorders>
              <w:top w:val="nil"/>
              <w:left w:val="single" w:sz="8" w:space="0" w:color="auto"/>
              <w:bottom w:val="single" w:sz="8" w:space="0" w:color="auto"/>
              <w:right w:val="single" w:sz="8" w:space="0" w:color="auto"/>
            </w:tcBorders>
            <w:shd w:val="clear" w:color="auto" w:fill="auto"/>
            <w:vAlign w:val="center"/>
            <w:hideMark/>
          </w:tcPr>
          <w:p w14:paraId="0DEC9F5E" w14:textId="77777777" w:rsidR="00967EE4" w:rsidRPr="00701F32" w:rsidRDefault="00967EE4" w:rsidP="00CA014A">
            <w:pPr>
              <w:ind w:firstLine="10"/>
              <w:jc w:val="both"/>
              <w:rPr>
                <w:rFonts w:ascii="Arial" w:hAnsi="Arial" w:cs="Arial"/>
                <w:color w:val="000000"/>
                <w:sz w:val="20"/>
                <w:lang w:eastAsia="es-AR"/>
              </w:rPr>
            </w:pPr>
            <w:r w:rsidRPr="00701F32">
              <w:rPr>
                <w:rFonts w:ascii="Arial" w:eastAsia="Arial" w:hAnsi="Arial" w:cs="Arial"/>
                <w:color w:val="000000"/>
                <w:sz w:val="20"/>
                <w:lang w:eastAsia="es-AR"/>
              </w:rPr>
              <w:t>De tres a cinco años</w:t>
            </w:r>
          </w:p>
        </w:tc>
        <w:tc>
          <w:tcPr>
            <w:tcW w:w="2125" w:type="dxa"/>
            <w:tcBorders>
              <w:top w:val="nil"/>
              <w:left w:val="single" w:sz="8" w:space="0" w:color="auto"/>
              <w:bottom w:val="single" w:sz="8" w:space="0" w:color="auto"/>
              <w:right w:val="single" w:sz="8" w:space="0" w:color="auto"/>
            </w:tcBorders>
            <w:shd w:val="clear" w:color="auto" w:fill="auto"/>
            <w:vAlign w:val="bottom"/>
            <w:hideMark/>
          </w:tcPr>
          <w:p w14:paraId="49AA9517" w14:textId="77777777" w:rsidR="00967EE4" w:rsidRPr="006C6AAF" w:rsidRDefault="00967EE4" w:rsidP="00CA014A">
            <w:pPr>
              <w:ind w:firstLine="10"/>
              <w:jc w:val="right"/>
              <w:rPr>
                <w:rFonts w:ascii="Arial" w:hAnsi="Arial" w:cs="Arial"/>
                <w:color w:val="000000"/>
                <w:sz w:val="20"/>
                <w:lang w:eastAsia="es-AR"/>
              </w:rPr>
            </w:pPr>
            <w:r w:rsidRPr="00EC349E">
              <w:rPr>
                <w:rFonts w:ascii="Arial" w:hAnsi="Arial" w:cs="Arial"/>
                <w:color w:val="000000"/>
                <w:sz w:val="20"/>
              </w:rPr>
              <w:t>4</w:t>
            </w:r>
            <w:r>
              <w:rPr>
                <w:rFonts w:ascii="Arial" w:hAnsi="Arial" w:cs="Arial"/>
                <w:color w:val="000000"/>
                <w:sz w:val="20"/>
              </w:rPr>
              <w:t>21.983</w:t>
            </w:r>
            <w:r w:rsidRPr="00EC349E">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bottom"/>
          </w:tcPr>
          <w:p w14:paraId="3026792F" w14:textId="77777777" w:rsidR="00967EE4" w:rsidRPr="006C6AAF" w:rsidRDefault="00967EE4" w:rsidP="00CA014A">
            <w:pPr>
              <w:ind w:firstLine="10"/>
              <w:jc w:val="right"/>
              <w:rPr>
                <w:rFonts w:ascii="Arial" w:hAnsi="Arial" w:cs="Arial"/>
                <w:color w:val="000000"/>
                <w:sz w:val="20"/>
              </w:rPr>
            </w:pPr>
            <w:r w:rsidRPr="00EC349E">
              <w:rPr>
                <w:rFonts w:ascii="Arial" w:hAnsi="Arial" w:cs="Arial"/>
                <w:color w:val="000000"/>
                <w:sz w:val="20"/>
              </w:rPr>
              <w:t>442.841</w:t>
            </w:r>
            <w:r w:rsidRPr="00EC349E">
              <w:rPr>
                <w:rFonts w:ascii="Arial" w:hAnsi="Arial" w:cs="Arial"/>
                <w:color w:val="000000"/>
                <w:sz w:val="22"/>
                <w:szCs w:val="22"/>
              </w:rPr>
              <w:t xml:space="preserve"> </w:t>
            </w:r>
          </w:p>
        </w:tc>
      </w:tr>
      <w:tr w:rsidR="00967EE4" w:rsidRPr="00701F32" w14:paraId="53059553" w14:textId="77777777" w:rsidTr="00CA014A">
        <w:trPr>
          <w:trHeight w:val="256"/>
          <w:jc w:val="center"/>
        </w:trPr>
        <w:tc>
          <w:tcPr>
            <w:tcW w:w="3841" w:type="dxa"/>
            <w:tcBorders>
              <w:top w:val="nil"/>
              <w:left w:val="single" w:sz="8" w:space="0" w:color="auto"/>
              <w:bottom w:val="single" w:sz="8" w:space="0" w:color="auto"/>
              <w:right w:val="single" w:sz="8" w:space="0" w:color="auto"/>
            </w:tcBorders>
            <w:shd w:val="clear" w:color="auto" w:fill="auto"/>
            <w:vAlign w:val="center"/>
            <w:hideMark/>
          </w:tcPr>
          <w:p w14:paraId="60EE61A3" w14:textId="77777777" w:rsidR="00967EE4" w:rsidRPr="00701F32" w:rsidRDefault="00967EE4" w:rsidP="00CA014A">
            <w:pPr>
              <w:ind w:firstLine="10"/>
              <w:jc w:val="both"/>
              <w:rPr>
                <w:rFonts w:ascii="Arial" w:hAnsi="Arial" w:cs="Arial"/>
                <w:color w:val="000000"/>
                <w:sz w:val="20"/>
                <w:lang w:eastAsia="es-AR"/>
              </w:rPr>
            </w:pPr>
            <w:r w:rsidRPr="00701F32">
              <w:rPr>
                <w:rFonts w:ascii="Arial" w:eastAsia="Arial" w:hAnsi="Arial" w:cs="Arial"/>
                <w:color w:val="000000"/>
                <w:sz w:val="20"/>
                <w:lang w:eastAsia="es-AR"/>
              </w:rPr>
              <w:t>Más de cinco años</w:t>
            </w:r>
          </w:p>
        </w:tc>
        <w:tc>
          <w:tcPr>
            <w:tcW w:w="2125" w:type="dxa"/>
            <w:tcBorders>
              <w:top w:val="nil"/>
              <w:left w:val="single" w:sz="8" w:space="0" w:color="auto"/>
              <w:bottom w:val="single" w:sz="8" w:space="0" w:color="auto"/>
              <w:right w:val="single" w:sz="8" w:space="0" w:color="auto"/>
            </w:tcBorders>
            <w:shd w:val="clear" w:color="auto" w:fill="auto"/>
            <w:vAlign w:val="bottom"/>
            <w:hideMark/>
          </w:tcPr>
          <w:p w14:paraId="34248E05" w14:textId="77777777" w:rsidR="00967EE4" w:rsidRPr="006C6AAF" w:rsidRDefault="00967EE4" w:rsidP="00CA014A">
            <w:pPr>
              <w:ind w:firstLine="10"/>
              <w:jc w:val="right"/>
              <w:rPr>
                <w:rFonts w:ascii="Arial" w:hAnsi="Arial" w:cs="Arial"/>
                <w:color w:val="000000"/>
                <w:sz w:val="20"/>
                <w:lang w:eastAsia="es-AR"/>
              </w:rPr>
            </w:pPr>
            <w:r>
              <w:rPr>
                <w:rFonts w:ascii="Arial" w:hAnsi="Arial" w:cs="Arial"/>
                <w:color w:val="000000"/>
                <w:sz w:val="20"/>
              </w:rPr>
              <w:t>20.379</w:t>
            </w:r>
            <w:r w:rsidRPr="00EC349E">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bottom"/>
          </w:tcPr>
          <w:p w14:paraId="79692D8E" w14:textId="77777777" w:rsidR="00967EE4" w:rsidRPr="006C6AAF" w:rsidRDefault="00967EE4" w:rsidP="00CA014A">
            <w:pPr>
              <w:ind w:firstLine="10"/>
              <w:jc w:val="right"/>
              <w:rPr>
                <w:rFonts w:ascii="Arial" w:hAnsi="Arial" w:cs="Arial"/>
                <w:color w:val="000000"/>
                <w:sz w:val="20"/>
              </w:rPr>
            </w:pPr>
            <w:r w:rsidRPr="00EC349E">
              <w:rPr>
                <w:rFonts w:ascii="Arial" w:hAnsi="Arial" w:cs="Arial"/>
                <w:color w:val="000000"/>
                <w:sz w:val="20"/>
              </w:rPr>
              <w:t xml:space="preserve">9.396 </w:t>
            </w:r>
            <w:r w:rsidRPr="00EC349E">
              <w:rPr>
                <w:rFonts w:ascii="Arial" w:hAnsi="Arial" w:cs="Arial"/>
                <w:color w:val="000000"/>
                <w:sz w:val="22"/>
                <w:szCs w:val="22"/>
              </w:rPr>
              <w:t xml:space="preserve"> </w:t>
            </w:r>
          </w:p>
        </w:tc>
      </w:tr>
      <w:tr w:rsidR="00967EE4" w:rsidRPr="00701F32" w14:paraId="2A55C290" w14:textId="77777777" w:rsidTr="00CA014A">
        <w:trPr>
          <w:trHeight w:val="256"/>
          <w:jc w:val="center"/>
        </w:trPr>
        <w:tc>
          <w:tcPr>
            <w:tcW w:w="3841"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83E6AFE" w14:textId="77777777" w:rsidR="00967EE4" w:rsidRPr="00701F32" w:rsidRDefault="00967EE4" w:rsidP="00CA014A">
            <w:pPr>
              <w:ind w:firstLine="10"/>
              <w:jc w:val="both"/>
              <w:rPr>
                <w:rFonts w:ascii="Arial" w:hAnsi="Arial" w:cs="Arial"/>
                <w:b/>
                <w:bCs/>
                <w:color w:val="000000"/>
                <w:sz w:val="20"/>
                <w:lang w:eastAsia="es-AR"/>
              </w:rPr>
            </w:pPr>
            <w:r>
              <w:rPr>
                <w:rFonts w:ascii="Arial" w:hAnsi="Arial" w:cs="Arial"/>
                <w:b/>
                <w:bCs/>
                <w:color w:val="000000"/>
                <w:sz w:val="20"/>
                <w:lang w:eastAsia="es-AR"/>
              </w:rPr>
              <w:t>Total canones a cobrar</w:t>
            </w:r>
          </w:p>
        </w:tc>
        <w:tc>
          <w:tcPr>
            <w:tcW w:w="2125"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2D9B63F2" w14:textId="77777777" w:rsidR="00967EE4" w:rsidRPr="006C6AAF" w:rsidRDefault="00967EE4" w:rsidP="00CA014A">
            <w:pPr>
              <w:ind w:firstLine="10"/>
              <w:jc w:val="right"/>
              <w:rPr>
                <w:rFonts w:ascii="Arial" w:hAnsi="Arial" w:cs="Arial"/>
                <w:b/>
                <w:bCs/>
                <w:color w:val="000000"/>
                <w:sz w:val="20"/>
                <w:lang w:eastAsia="es-AR"/>
              </w:rPr>
            </w:pPr>
            <w:r>
              <w:rPr>
                <w:rFonts w:ascii="Arial" w:hAnsi="Arial" w:cs="Arial"/>
                <w:b/>
                <w:bCs/>
                <w:color w:val="000000"/>
                <w:sz w:val="20"/>
              </w:rPr>
              <w:t>4.058.319</w:t>
            </w:r>
            <w:r w:rsidRPr="00EC349E">
              <w:rPr>
                <w:rFonts w:ascii="Arial" w:hAnsi="Arial" w:cs="Arial"/>
                <w:b/>
                <w:bCs/>
                <w:color w:val="000000"/>
                <w:sz w:val="20"/>
              </w:rPr>
              <w:t xml:space="preserve"> </w:t>
            </w:r>
          </w:p>
        </w:tc>
        <w:tc>
          <w:tcPr>
            <w:tcW w:w="2283" w:type="dxa"/>
            <w:tcBorders>
              <w:top w:val="single" w:sz="8" w:space="0" w:color="auto"/>
              <w:left w:val="nil"/>
              <w:bottom w:val="single" w:sz="4" w:space="0" w:color="auto"/>
              <w:right w:val="single" w:sz="8" w:space="0" w:color="auto"/>
            </w:tcBorders>
            <w:shd w:val="clear" w:color="auto" w:fill="auto"/>
            <w:vAlign w:val="bottom"/>
          </w:tcPr>
          <w:p w14:paraId="3D56144E" w14:textId="77777777" w:rsidR="00967EE4" w:rsidRPr="006C6AAF" w:rsidRDefault="00967EE4" w:rsidP="00CA014A">
            <w:pPr>
              <w:ind w:firstLine="10"/>
              <w:jc w:val="right"/>
              <w:rPr>
                <w:rFonts w:ascii="Arial" w:hAnsi="Arial" w:cs="Arial"/>
                <w:color w:val="000000"/>
                <w:sz w:val="20"/>
              </w:rPr>
            </w:pPr>
            <w:r>
              <w:rPr>
                <w:rFonts w:ascii="Arial" w:hAnsi="Arial" w:cs="Arial"/>
                <w:b/>
                <w:bCs/>
                <w:color w:val="000000"/>
                <w:sz w:val="20"/>
              </w:rPr>
              <w:t>4.226.883</w:t>
            </w:r>
            <w:r w:rsidRPr="00EC349E">
              <w:rPr>
                <w:rFonts w:ascii="Arial" w:hAnsi="Arial" w:cs="Arial"/>
                <w:b/>
                <w:bCs/>
                <w:color w:val="000000"/>
                <w:sz w:val="20"/>
              </w:rPr>
              <w:t xml:space="preserve"> </w:t>
            </w:r>
          </w:p>
        </w:tc>
      </w:tr>
      <w:tr w:rsidR="00967EE4" w:rsidRPr="00701F32" w14:paraId="4713563E" w14:textId="77777777" w:rsidTr="00CA014A">
        <w:trPr>
          <w:trHeight w:val="256"/>
          <w:jc w:val="center"/>
        </w:trPr>
        <w:tc>
          <w:tcPr>
            <w:tcW w:w="3841" w:type="dxa"/>
            <w:tcBorders>
              <w:top w:val="single" w:sz="4" w:space="0" w:color="auto"/>
              <w:left w:val="single" w:sz="8" w:space="0" w:color="auto"/>
              <w:bottom w:val="single" w:sz="4" w:space="0" w:color="auto"/>
              <w:right w:val="single" w:sz="8" w:space="0" w:color="auto"/>
            </w:tcBorders>
            <w:shd w:val="clear" w:color="auto" w:fill="auto"/>
            <w:vAlign w:val="center"/>
          </w:tcPr>
          <w:p w14:paraId="3715DA11" w14:textId="77777777" w:rsidR="00967EE4" w:rsidRPr="006C6AAF" w:rsidRDefault="00967EE4" w:rsidP="00CA014A">
            <w:pPr>
              <w:ind w:firstLine="10"/>
              <w:jc w:val="both"/>
              <w:rPr>
                <w:rFonts w:ascii="Arial" w:hAnsi="Arial" w:cs="Arial"/>
                <w:b/>
                <w:bCs/>
                <w:color w:val="000000"/>
                <w:sz w:val="20"/>
                <w:lang w:eastAsia="es-AR"/>
              </w:rPr>
            </w:pPr>
            <w:r w:rsidRPr="00EC349E">
              <w:rPr>
                <w:rFonts w:ascii="Arial" w:hAnsi="Arial" w:cs="Arial"/>
                <w:b/>
                <w:bCs/>
                <w:color w:val="000000"/>
                <w:sz w:val="20"/>
              </w:rPr>
              <w:t>(Cargos financieros a devengar sobre arrendamientos financieros)</w:t>
            </w:r>
          </w:p>
        </w:tc>
        <w:tc>
          <w:tcPr>
            <w:tcW w:w="2125" w:type="dxa"/>
            <w:tcBorders>
              <w:top w:val="single" w:sz="4" w:space="0" w:color="auto"/>
              <w:left w:val="single" w:sz="8" w:space="0" w:color="auto"/>
              <w:bottom w:val="single" w:sz="4" w:space="0" w:color="auto"/>
              <w:right w:val="single" w:sz="8" w:space="0" w:color="auto"/>
            </w:tcBorders>
            <w:shd w:val="clear" w:color="auto" w:fill="auto"/>
            <w:vAlign w:val="bottom"/>
          </w:tcPr>
          <w:p w14:paraId="5C5B8A27" w14:textId="77777777" w:rsidR="00967EE4" w:rsidRPr="006C6AAF" w:rsidRDefault="00967EE4" w:rsidP="00CA014A">
            <w:pPr>
              <w:ind w:firstLine="10"/>
              <w:jc w:val="right"/>
              <w:rPr>
                <w:rFonts w:ascii="Arial" w:hAnsi="Arial" w:cs="Arial"/>
                <w:b/>
                <w:bCs/>
                <w:color w:val="000000"/>
                <w:sz w:val="20"/>
              </w:rPr>
            </w:pPr>
            <w:r w:rsidRPr="00EC349E">
              <w:rPr>
                <w:rFonts w:ascii="Arial" w:hAnsi="Arial" w:cs="Arial"/>
                <w:b/>
                <w:bCs/>
                <w:color w:val="000000"/>
                <w:sz w:val="20"/>
              </w:rPr>
              <w:t>-8</w:t>
            </w:r>
            <w:r>
              <w:rPr>
                <w:rFonts w:ascii="Arial" w:hAnsi="Arial" w:cs="Arial"/>
                <w:b/>
                <w:bCs/>
                <w:color w:val="000000"/>
                <w:sz w:val="20"/>
              </w:rPr>
              <w:t>71.630</w:t>
            </w:r>
          </w:p>
        </w:tc>
        <w:tc>
          <w:tcPr>
            <w:tcW w:w="2283" w:type="dxa"/>
            <w:tcBorders>
              <w:top w:val="single" w:sz="4" w:space="0" w:color="auto"/>
              <w:left w:val="nil"/>
              <w:bottom w:val="single" w:sz="4" w:space="0" w:color="auto"/>
              <w:right w:val="single" w:sz="8" w:space="0" w:color="auto"/>
            </w:tcBorders>
            <w:shd w:val="clear" w:color="auto" w:fill="auto"/>
            <w:vAlign w:val="bottom"/>
          </w:tcPr>
          <w:p w14:paraId="3ECFDB0D" w14:textId="77777777" w:rsidR="00967EE4" w:rsidRPr="006C6AAF" w:rsidRDefault="00967EE4" w:rsidP="00CA014A">
            <w:pPr>
              <w:ind w:firstLine="10"/>
              <w:jc w:val="right"/>
              <w:rPr>
                <w:rFonts w:ascii="Arial" w:hAnsi="Arial" w:cs="Arial"/>
                <w:bCs/>
                <w:color w:val="000000"/>
                <w:sz w:val="20"/>
              </w:rPr>
            </w:pPr>
            <w:r w:rsidRPr="00EC349E">
              <w:rPr>
                <w:rFonts w:ascii="Arial" w:hAnsi="Arial" w:cs="Arial"/>
                <w:b/>
                <w:bCs/>
                <w:color w:val="000000"/>
                <w:sz w:val="20"/>
              </w:rPr>
              <w:t>-881.19</w:t>
            </w:r>
            <w:r>
              <w:rPr>
                <w:rFonts w:ascii="Arial" w:hAnsi="Arial" w:cs="Arial"/>
                <w:b/>
                <w:bCs/>
                <w:color w:val="000000"/>
                <w:sz w:val="20"/>
              </w:rPr>
              <w:t>9</w:t>
            </w:r>
          </w:p>
        </w:tc>
      </w:tr>
      <w:tr w:rsidR="00967EE4" w:rsidRPr="00701F32" w14:paraId="545D4423" w14:textId="77777777" w:rsidTr="00CA014A">
        <w:trPr>
          <w:trHeight w:val="256"/>
          <w:jc w:val="center"/>
        </w:trPr>
        <w:tc>
          <w:tcPr>
            <w:tcW w:w="3841" w:type="dxa"/>
            <w:tcBorders>
              <w:top w:val="single" w:sz="4" w:space="0" w:color="auto"/>
              <w:left w:val="single" w:sz="8" w:space="0" w:color="auto"/>
              <w:bottom w:val="single" w:sz="8" w:space="0" w:color="auto"/>
              <w:right w:val="single" w:sz="8" w:space="0" w:color="auto"/>
            </w:tcBorders>
            <w:shd w:val="clear" w:color="auto" w:fill="auto"/>
            <w:vAlign w:val="center"/>
          </w:tcPr>
          <w:p w14:paraId="4BE05E2B" w14:textId="77777777" w:rsidR="00967EE4" w:rsidRPr="006C6AAF" w:rsidRDefault="00967EE4" w:rsidP="00CA014A">
            <w:pPr>
              <w:ind w:firstLine="10"/>
              <w:jc w:val="both"/>
              <w:rPr>
                <w:rFonts w:ascii="Arial" w:hAnsi="Arial" w:cs="Arial"/>
                <w:b/>
                <w:bCs/>
                <w:color w:val="000000"/>
                <w:sz w:val="20"/>
                <w:lang w:eastAsia="es-AR"/>
              </w:rPr>
            </w:pPr>
            <w:r w:rsidRPr="00EC349E">
              <w:rPr>
                <w:rFonts w:ascii="Arial" w:hAnsi="Arial" w:cs="Arial"/>
                <w:b/>
                <w:bCs/>
                <w:color w:val="000000"/>
                <w:sz w:val="20"/>
              </w:rPr>
              <w:t>Inversión neta de los arrendamientos financieros</w:t>
            </w:r>
          </w:p>
        </w:tc>
        <w:tc>
          <w:tcPr>
            <w:tcW w:w="2125" w:type="dxa"/>
            <w:tcBorders>
              <w:top w:val="single" w:sz="4" w:space="0" w:color="auto"/>
              <w:left w:val="single" w:sz="8" w:space="0" w:color="auto"/>
              <w:bottom w:val="single" w:sz="8" w:space="0" w:color="auto"/>
              <w:right w:val="single" w:sz="8" w:space="0" w:color="auto"/>
            </w:tcBorders>
            <w:shd w:val="clear" w:color="auto" w:fill="auto"/>
            <w:vAlign w:val="bottom"/>
          </w:tcPr>
          <w:p w14:paraId="798962B2" w14:textId="77777777" w:rsidR="00967EE4" w:rsidRPr="006C6AAF" w:rsidRDefault="00967EE4" w:rsidP="00CA014A">
            <w:pPr>
              <w:ind w:firstLine="10"/>
              <w:jc w:val="right"/>
              <w:rPr>
                <w:rFonts w:ascii="Arial" w:hAnsi="Arial" w:cs="Arial"/>
                <w:b/>
                <w:bCs/>
                <w:color w:val="000000"/>
                <w:sz w:val="20"/>
              </w:rPr>
            </w:pPr>
            <w:r w:rsidRPr="00EC349E">
              <w:rPr>
                <w:rFonts w:ascii="Arial" w:hAnsi="Arial" w:cs="Arial"/>
                <w:b/>
                <w:bCs/>
                <w:color w:val="000000"/>
                <w:sz w:val="20"/>
              </w:rPr>
              <w:t>3.</w:t>
            </w:r>
            <w:r>
              <w:rPr>
                <w:rFonts w:ascii="Arial" w:hAnsi="Arial" w:cs="Arial"/>
                <w:b/>
                <w:bCs/>
                <w:color w:val="000000"/>
                <w:sz w:val="20"/>
              </w:rPr>
              <w:t>186.689</w:t>
            </w:r>
          </w:p>
        </w:tc>
        <w:tc>
          <w:tcPr>
            <w:tcW w:w="2283" w:type="dxa"/>
            <w:tcBorders>
              <w:top w:val="single" w:sz="4" w:space="0" w:color="auto"/>
              <w:left w:val="nil"/>
              <w:bottom w:val="single" w:sz="8" w:space="0" w:color="auto"/>
              <w:right w:val="single" w:sz="8" w:space="0" w:color="auto"/>
            </w:tcBorders>
            <w:shd w:val="clear" w:color="auto" w:fill="auto"/>
            <w:vAlign w:val="bottom"/>
          </w:tcPr>
          <w:p w14:paraId="269C4705" w14:textId="77777777" w:rsidR="00967EE4" w:rsidRPr="00EC349E" w:rsidRDefault="00967EE4" w:rsidP="00CA014A">
            <w:pPr>
              <w:ind w:firstLine="10"/>
              <w:jc w:val="right"/>
              <w:rPr>
                <w:rFonts w:ascii="Arial" w:hAnsi="Arial" w:cs="Arial"/>
                <w:b/>
                <w:bCs/>
                <w:color w:val="000000"/>
                <w:sz w:val="20"/>
              </w:rPr>
            </w:pPr>
            <w:r w:rsidRPr="00EC349E">
              <w:rPr>
                <w:rFonts w:ascii="Arial" w:hAnsi="Arial" w:cs="Arial"/>
                <w:b/>
                <w:bCs/>
                <w:color w:val="000000"/>
                <w:sz w:val="20"/>
              </w:rPr>
              <w:t>3.345.684</w:t>
            </w:r>
          </w:p>
        </w:tc>
      </w:tr>
    </w:tbl>
    <w:p w14:paraId="190BCAD5" w14:textId="77777777" w:rsidR="00967EE4" w:rsidRDefault="00967EE4" w:rsidP="00967EE4">
      <w:pPr>
        <w:widowControl w:val="0"/>
        <w:autoSpaceDE w:val="0"/>
        <w:autoSpaceDN w:val="0"/>
        <w:adjustRightInd w:val="0"/>
        <w:jc w:val="both"/>
        <w:rPr>
          <w:rFonts w:ascii="Arial" w:hAnsi="Arial" w:cs="Arial"/>
          <w:noProof/>
          <w:color w:val="FF0000"/>
          <w:sz w:val="20"/>
        </w:rPr>
      </w:pPr>
    </w:p>
    <w:tbl>
      <w:tblPr>
        <w:tblW w:w="8249" w:type="dxa"/>
        <w:jc w:val="center"/>
        <w:tblCellMar>
          <w:left w:w="70" w:type="dxa"/>
          <w:right w:w="70" w:type="dxa"/>
        </w:tblCellMar>
        <w:tblLook w:val="04A0" w:firstRow="1" w:lastRow="0" w:firstColumn="1" w:lastColumn="0" w:noHBand="0" w:noVBand="1"/>
      </w:tblPr>
      <w:tblGrid>
        <w:gridCol w:w="3771"/>
        <w:gridCol w:w="2195"/>
        <w:gridCol w:w="2283"/>
      </w:tblGrid>
      <w:tr w:rsidR="00967EE4" w:rsidRPr="00903776" w14:paraId="6295D6E1" w14:textId="77777777" w:rsidTr="00CA014A">
        <w:trPr>
          <w:trHeight w:val="256"/>
          <w:tblHeader/>
          <w:jc w:val="center"/>
        </w:trPr>
        <w:tc>
          <w:tcPr>
            <w:tcW w:w="377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71183B" w14:textId="77777777" w:rsidR="00967EE4" w:rsidRPr="00903776" w:rsidRDefault="00967EE4" w:rsidP="00CA014A">
            <w:pPr>
              <w:ind w:firstLine="10"/>
              <w:jc w:val="both"/>
              <w:rPr>
                <w:rFonts w:ascii="Arial" w:hAnsi="Arial" w:cs="Arial"/>
                <w:b/>
                <w:bCs/>
                <w:color w:val="000000"/>
                <w:sz w:val="20"/>
                <w:lang w:eastAsia="es-AR"/>
              </w:rPr>
            </w:pPr>
            <w:r w:rsidRPr="00903776">
              <w:rPr>
                <w:rFonts w:ascii="Arial" w:hAnsi="Arial" w:cs="Arial"/>
                <w:b/>
                <w:bCs/>
                <w:color w:val="000000"/>
                <w:sz w:val="20"/>
                <w:lang w:eastAsia="es-AR"/>
              </w:rPr>
              <w:t>Canones a cobrar</w:t>
            </w:r>
            <w:r>
              <w:rPr>
                <w:rFonts w:ascii="Arial" w:hAnsi="Arial" w:cs="Arial"/>
                <w:b/>
                <w:bCs/>
                <w:color w:val="000000"/>
                <w:sz w:val="20"/>
                <w:lang w:eastAsia="es-AR"/>
              </w:rPr>
              <w:t xml:space="preserve"> arrend. operativos</w:t>
            </w:r>
          </w:p>
        </w:tc>
        <w:tc>
          <w:tcPr>
            <w:tcW w:w="2195" w:type="dxa"/>
            <w:tcBorders>
              <w:top w:val="single" w:sz="8" w:space="0" w:color="auto"/>
              <w:left w:val="nil"/>
              <w:bottom w:val="single" w:sz="8" w:space="0" w:color="auto"/>
              <w:right w:val="single" w:sz="8" w:space="0" w:color="auto"/>
            </w:tcBorders>
            <w:shd w:val="clear" w:color="auto" w:fill="auto"/>
            <w:vAlign w:val="bottom"/>
            <w:hideMark/>
          </w:tcPr>
          <w:p w14:paraId="31BB7AE2" w14:textId="77777777" w:rsidR="00967EE4" w:rsidRPr="00903776" w:rsidRDefault="00967EE4" w:rsidP="00CA014A">
            <w:pPr>
              <w:ind w:firstLine="10"/>
              <w:jc w:val="right"/>
              <w:rPr>
                <w:rFonts w:ascii="Arial" w:hAnsi="Arial" w:cs="Arial"/>
                <w:b/>
                <w:bCs/>
                <w:color w:val="000000"/>
                <w:sz w:val="20"/>
                <w:lang w:eastAsia="es-AR"/>
              </w:rPr>
            </w:pPr>
            <w:r w:rsidRPr="00903776">
              <w:rPr>
                <w:rFonts w:ascii="Arial" w:hAnsi="Arial" w:cs="Arial"/>
                <w:b/>
                <w:bCs/>
                <w:color w:val="000000"/>
                <w:sz w:val="20"/>
                <w:lang w:eastAsia="es-AR"/>
              </w:rPr>
              <w:t>31/12/201</w:t>
            </w:r>
            <w:r>
              <w:rPr>
                <w:rFonts w:ascii="Arial" w:hAnsi="Arial" w:cs="Arial"/>
                <w:b/>
                <w:bCs/>
                <w:color w:val="000000"/>
                <w:sz w:val="20"/>
                <w:lang w:eastAsia="es-AR"/>
              </w:rPr>
              <w:t>9</w:t>
            </w:r>
          </w:p>
        </w:tc>
        <w:tc>
          <w:tcPr>
            <w:tcW w:w="2283" w:type="dxa"/>
            <w:tcBorders>
              <w:top w:val="single" w:sz="8" w:space="0" w:color="auto"/>
              <w:left w:val="nil"/>
              <w:bottom w:val="single" w:sz="8" w:space="0" w:color="auto"/>
              <w:right w:val="single" w:sz="8" w:space="0" w:color="auto"/>
            </w:tcBorders>
            <w:vAlign w:val="bottom"/>
          </w:tcPr>
          <w:p w14:paraId="0065F5DD" w14:textId="77777777" w:rsidR="00967EE4" w:rsidRPr="00903776" w:rsidRDefault="00967EE4" w:rsidP="00CA014A">
            <w:pPr>
              <w:ind w:firstLine="10"/>
              <w:jc w:val="right"/>
              <w:rPr>
                <w:rFonts w:ascii="Arial" w:hAnsi="Arial" w:cs="Arial"/>
                <w:b/>
                <w:bCs/>
                <w:color w:val="000000"/>
                <w:sz w:val="20"/>
                <w:lang w:eastAsia="es-AR"/>
              </w:rPr>
            </w:pPr>
            <w:r w:rsidRPr="00903776">
              <w:rPr>
                <w:rFonts w:ascii="Arial" w:hAnsi="Arial" w:cs="Arial"/>
                <w:b/>
                <w:bCs/>
                <w:color w:val="000000"/>
                <w:sz w:val="20"/>
                <w:lang w:eastAsia="es-AR"/>
              </w:rPr>
              <w:t>31/12/201</w:t>
            </w:r>
            <w:r>
              <w:rPr>
                <w:rFonts w:ascii="Arial" w:hAnsi="Arial" w:cs="Arial"/>
                <w:b/>
                <w:bCs/>
                <w:color w:val="000000"/>
                <w:sz w:val="20"/>
                <w:lang w:eastAsia="es-AR"/>
              </w:rPr>
              <w:t>8</w:t>
            </w:r>
          </w:p>
        </w:tc>
      </w:tr>
      <w:tr w:rsidR="00967EE4" w:rsidRPr="00903776" w14:paraId="07AF8534" w14:textId="77777777" w:rsidTr="00CA014A">
        <w:trPr>
          <w:trHeight w:val="256"/>
          <w:jc w:val="center"/>
        </w:trPr>
        <w:tc>
          <w:tcPr>
            <w:tcW w:w="3771" w:type="dxa"/>
            <w:tcBorders>
              <w:top w:val="nil"/>
              <w:left w:val="single" w:sz="8" w:space="0" w:color="auto"/>
              <w:bottom w:val="single" w:sz="8" w:space="0" w:color="auto"/>
              <w:right w:val="single" w:sz="8" w:space="0" w:color="auto"/>
            </w:tcBorders>
            <w:shd w:val="clear" w:color="auto" w:fill="auto"/>
            <w:vAlign w:val="center"/>
            <w:hideMark/>
          </w:tcPr>
          <w:p w14:paraId="29616D67" w14:textId="77777777" w:rsidR="00967EE4" w:rsidRPr="00903776" w:rsidRDefault="00967EE4" w:rsidP="00CA014A">
            <w:pPr>
              <w:ind w:firstLine="10"/>
              <w:jc w:val="both"/>
              <w:rPr>
                <w:rFonts w:ascii="Arial" w:hAnsi="Arial" w:cs="Arial"/>
                <w:color w:val="000000"/>
                <w:sz w:val="20"/>
                <w:lang w:eastAsia="es-AR"/>
              </w:rPr>
            </w:pPr>
            <w:r w:rsidRPr="00903776">
              <w:rPr>
                <w:rFonts w:ascii="Arial" w:hAnsi="Arial" w:cs="Arial"/>
                <w:color w:val="000000"/>
                <w:sz w:val="20"/>
                <w:lang w:eastAsia="es-AR"/>
              </w:rPr>
              <w:t>Hasta un año</w:t>
            </w:r>
          </w:p>
        </w:tc>
        <w:tc>
          <w:tcPr>
            <w:tcW w:w="2195" w:type="dxa"/>
            <w:tcBorders>
              <w:top w:val="nil"/>
              <w:left w:val="single" w:sz="8" w:space="0" w:color="auto"/>
              <w:bottom w:val="single" w:sz="8" w:space="0" w:color="auto"/>
              <w:right w:val="single" w:sz="8" w:space="0" w:color="auto"/>
            </w:tcBorders>
            <w:shd w:val="clear" w:color="auto" w:fill="auto"/>
            <w:vAlign w:val="center"/>
            <w:hideMark/>
          </w:tcPr>
          <w:p w14:paraId="19AECD5B" w14:textId="77777777" w:rsidR="00967EE4" w:rsidRPr="00903776" w:rsidRDefault="00967EE4" w:rsidP="00CA014A">
            <w:pPr>
              <w:ind w:firstLine="10"/>
              <w:jc w:val="right"/>
              <w:rPr>
                <w:rFonts w:ascii="Arial" w:hAnsi="Arial" w:cs="Arial"/>
                <w:color w:val="000000"/>
                <w:sz w:val="20"/>
                <w:lang w:eastAsia="es-AR"/>
              </w:rPr>
            </w:pPr>
            <w:r>
              <w:rPr>
                <w:rFonts w:ascii="Arial" w:hAnsi="Arial" w:cs="Arial"/>
                <w:color w:val="000000"/>
                <w:sz w:val="20"/>
              </w:rPr>
              <w:t>16.706</w:t>
            </w:r>
            <w:r w:rsidRPr="00903776">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center"/>
          </w:tcPr>
          <w:p w14:paraId="6208D3BB" w14:textId="77777777" w:rsidR="00967EE4" w:rsidRPr="00903776" w:rsidRDefault="00967EE4" w:rsidP="00CA014A">
            <w:pPr>
              <w:ind w:firstLine="10"/>
              <w:jc w:val="right"/>
              <w:rPr>
                <w:rFonts w:ascii="Arial" w:hAnsi="Arial" w:cs="Arial"/>
                <w:color w:val="000000"/>
                <w:sz w:val="20"/>
              </w:rPr>
            </w:pPr>
            <w:r>
              <w:rPr>
                <w:rFonts w:ascii="Arial" w:hAnsi="Arial" w:cs="Arial"/>
                <w:color w:val="000000"/>
                <w:sz w:val="20"/>
              </w:rPr>
              <w:t>2.402</w:t>
            </w:r>
            <w:r w:rsidRPr="00903776">
              <w:rPr>
                <w:rFonts w:ascii="Arial" w:hAnsi="Arial" w:cs="Arial"/>
                <w:color w:val="000000"/>
                <w:sz w:val="20"/>
              </w:rPr>
              <w:t xml:space="preserve">  </w:t>
            </w:r>
          </w:p>
        </w:tc>
      </w:tr>
      <w:tr w:rsidR="00967EE4" w:rsidRPr="00903776" w14:paraId="46695599" w14:textId="77777777" w:rsidTr="00CA014A">
        <w:trPr>
          <w:trHeight w:val="256"/>
          <w:jc w:val="center"/>
        </w:trPr>
        <w:tc>
          <w:tcPr>
            <w:tcW w:w="3771" w:type="dxa"/>
            <w:tcBorders>
              <w:top w:val="nil"/>
              <w:left w:val="single" w:sz="8" w:space="0" w:color="auto"/>
              <w:bottom w:val="single" w:sz="8" w:space="0" w:color="auto"/>
              <w:right w:val="single" w:sz="8" w:space="0" w:color="auto"/>
            </w:tcBorders>
            <w:shd w:val="clear" w:color="auto" w:fill="auto"/>
            <w:vAlign w:val="center"/>
            <w:hideMark/>
          </w:tcPr>
          <w:p w14:paraId="7395CE51" w14:textId="77777777" w:rsidR="00967EE4" w:rsidRPr="00903776" w:rsidRDefault="00967EE4" w:rsidP="00CA014A">
            <w:pPr>
              <w:ind w:firstLine="10"/>
              <w:jc w:val="both"/>
              <w:rPr>
                <w:rFonts w:ascii="Arial" w:hAnsi="Arial" w:cs="Arial"/>
                <w:color w:val="000000"/>
                <w:sz w:val="20"/>
                <w:lang w:eastAsia="es-AR"/>
              </w:rPr>
            </w:pPr>
            <w:r w:rsidRPr="00903776">
              <w:rPr>
                <w:rFonts w:ascii="Arial" w:hAnsi="Arial" w:cs="Arial"/>
                <w:color w:val="000000"/>
                <w:sz w:val="20"/>
                <w:lang w:eastAsia="es-AR"/>
              </w:rPr>
              <w:t>Más de uno a dos años</w:t>
            </w:r>
          </w:p>
        </w:tc>
        <w:tc>
          <w:tcPr>
            <w:tcW w:w="2195" w:type="dxa"/>
            <w:tcBorders>
              <w:top w:val="nil"/>
              <w:left w:val="single" w:sz="8" w:space="0" w:color="auto"/>
              <w:bottom w:val="single" w:sz="8" w:space="0" w:color="auto"/>
              <w:right w:val="single" w:sz="8" w:space="0" w:color="auto"/>
            </w:tcBorders>
            <w:shd w:val="clear" w:color="auto" w:fill="auto"/>
            <w:vAlign w:val="center"/>
            <w:hideMark/>
          </w:tcPr>
          <w:p w14:paraId="5518DCA1" w14:textId="77777777" w:rsidR="00967EE4" w:rsidRPr="00903776" w:rsidRDefault="00967EE4" w:rsidP="00CA014A">
            <w:pPr>
              <w:ind w:firstLine="10"/>
              <w:jc w:val="right"/>
              <w:rPr>
                <w:rFonts w:ascii="Arial" w:hAnsi="Arial" w:cs="Arial"/>
                <w:color w:val="000000"/>
                <w:sz w:val="20"/>
                <w:lang w:eastAsia="es-AR"/>
              </w:rPr>
            </w:pPr>
            <w:r>
              <w:rPr>
                <w:rFonts w:ascii="Arial" w:hAnsi="Arial" w:cs="Arial"/>
                <w:color w:val="000000"/>
                <w:sz w:val="20"/>
              </w:rPr>
              <w:t>15.732</w:t>
            </w:r>
            <w:r w:rsidRPr="00903776">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center"/>
          </w:tcPr>
          <w:p w14:paraId="35D4F936" w14:textId="77777777" w:rsidR="00967EE4" w:rsidRPr="00903776" w:rsidRDefault="00967EE4" w:rsidP="00CA014A">
            <w:pPr>
              <w:ind w:firstLine="10"/>
              <w:jc w:val="right"/>
              <w:rPr>
                <w:rFonts w:ascii="Arial" w:hAnsi="Arial" w:cs="Arial"/>
                <w:color w:val="000000"/>
                <w:sz w:val="20"/>
              </w:rPr>
            </w:pPr>
            <w:r>
              <w:rPr>
                <w:rFonts w:ascii="Arial" w:hAnsi="Arial" w:cs="Arial"/>
                <w:color w:val="000000"/>
                <w:sz w:val="20"/>
              </w:rPr>
              <w:t>2.402</w:t>
            </w:r>
            <w:r w:rsidRPr="00903776">
              <w:rPr>
                <w:rFonts w:ascii="Arial" w:hAnsi="Arial" w:cs="Arial"/>
                <w:color w:val="000000"/>
                <w:sz w:val="20"/>
              </w:rPr>
              <w:t xml:space="preserve"> </w:t>
            </w:r>
          </w:p>
        </w:tc>
      </w:tr>
      <w:tr w:rsidR="00967EE4" w:rsidRPr="00903776" w14:paraId="325CBD32" w14:textId="77777777" w:rsidTr="00CA014A">
        <w:trPr>
          <w:trHeight w:val="256"/>
          <w:jc w:val="center"/>
        </w:trPr>
        <w:tc>
          <w:tcPr>
            <w:tcW w:w="3771" w:type="dxa"/>
            <w:tcBorders>
              <w:top w:val="nil"/>
              <w:left w:val="single" w:sz="8" w:space="0" w:color="auto"/>
              <w:bottom w:val="single" w:sz="8" w:space="0" w:color="auto"/>
              <w:right w:val="single" w:sz="8" w:space="0" w:color="auto"/>
            </w:tcBorders>
            <w:shd w:val="clear" w:color="auto" w:fill="auto"/>
            <w:vAlign w:val="center"/>
            <w:hideMark/>
          </w:tcPr>
          <w:p w14:paraId="5205A546" w14:textId="77777777" w:rsidR="00967EE4" w:rsidRPr="00903776" w:rsidRDefault="00967EE4" w:rsidP="00CA014A">
            <w:pPr>
              <w:ind w:firstLine="10"/>
              <w:jc w:val="both"/>
              <w:rPr>
                <w:rFonts w:ascii="Arial" w:hAnsi="Arial" w:cs="Arial"/>
                <w:color w:val="000000"/>
                <w:sz w:val="20"/>
                <w:lang w:eastAsia="es-AR"/>
              </w:rPr>
            </w:pPr>
            <w:r w:rsidRPr="00903776">
              <w:rPr>
                <w:rFonts w:ascii="Arial" w:eastAsia="Arial" w:hAnsi="Arial" w:cs="Arial"/>
                <w:color w:val="000000"/>
                <w:sz w:val="20"/>
                <w:lang w:eastAsia="es-AR"/>
              </w:rPr>
              <w:t>De dos a tres años</w:t>
            </w:r>
          </w:p>
        </w:tc>
        <w:tc>
          <w:tcPr>
            <w:tcW w:w="2195" w:type="dxa"/>
            <w:tcBorders>
              <w:top w:val="nil"/>
              <w:left w:val="single" w:sz="8" w:space="0" w:color="auto"/>
              <w:bottom w:val="single" w:sz="8" w:space="0" w:color="auto"/>
              <w:right w:val="single" w:sz="8" w:space="0" w:color="auto"/>
            </w:tcBorders>
            <w:shd w:val="clear" w:color="auto" w:fill="auto"/>
            <w:vAlign w:val="center"/>
            <w:hideMark/>
          </w:tcPr>
          <w:p w14:paraId="3DA24E57" w14:textId="77777777" w:rsidR="00967EE4" w:rsidRPr="00903776" w:rsidRDefault="00967EE4" w:rsidP="00CA014A">
            <w:pPr>
              <w:ind w:firstLine="10"/>
              <w:jc w:val="right"/>
              <w:rPr>
                <w:rFonts w:ascii="Arial" w:hAnsi="Arial" w:cs="Arial"/>
                <w:color w:val="000000"/>
                <w:sz w:val="20"/>
                <w:lang w:eastAsia="es-AR"/>
              </w:rPr>
            </w:pPr>
            <w:r>
              <w:rPr>
                <w:rFonts w:ascii="Arial" w:hAnsi="Arial" w:cs="Arial"/>
                <w:color w:val="000000"/>
                <w:sz w:val="20"/>
              </w:rPr>
              <w:t>13.543</w:t>
            </w:r>
            <w:r w:rsidRPr="00903776">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center"/>
          </w:tcPr>
          <w:p w14:paraId="16A42644" w14:textId="77777777" w:rsidR="00967EE4" w:rsidRPr="00903776" w:rsidRDefault="00967EE4" w:rsidP="00CA014A">
            <w:pPr>
              <w:ind w:firstLine="10"/>
              <w:jc w:val="right"/>
              <w:rPr>
                <w:rFonts w:ascii="Arial" w:hAnsi="Arial" w:cs="Arial"/>
                <w:color w:val="000000"/>
                <w:sz w:val="20"/>
              </w:rPr>
            </w:pPr>
            <w:r>
              <w:rPr>
                <w:rFonts w:ascii="Arial" w:hAnsi="Arial" w:cs="Arial"/>
                <w:color w:val="000000"/>
                <w:sz w:val="20"/>
              </w:rPr>
              <w:t>1.414</w:t>
            </w:r>
            <w:r w:rsidRPr="00903776">
              <w:rPr>
                <w:rFonts w:ascii="Arial" w:hAnsi="Arial" w:cs="Arial"/>
                <w:color w:val="000000"/>
                <w:sz w:val="20"/>
              </w:rPr>
              <w:t xml:space="preserve"> </w:t>
            </w:r>
          </w:p>
        </w:tc>
      </w:tr>
      <w:tr w:rsidR="00967EE4" w:rsidRPr="00903776" w14:paraId="04CDF393" w14:textId="77777777" w:rsidTr="00CA014A">
        <w:trPr>
          <w:trHeight w:val="256"/>
          <w:jc w:val="center"/>
        </w:trPr>
        <w:tc>
          <w:tcPr>
            <w:tcW w:w="3771" w:type="dxa"/>
            <w:tcBorders>
              <w:top w:val="nil"/>
              <w:left w:val="single" w:sz="8" w:space="0" w:color="auto"/>
              <w:bottom w:val="single" w:sz="8" w:space="0" w:color="auto"/>
              <w:right w:val="single" w:sz="8" w:space="0" w:color="auto"/>
            </w:tcBorders>
            <w:shd w:val="clear" w:color="auto" w:fill="auto"/>
            <w:vAlign w:val="center"/>
          </w:tcPr>
          <w:p w14:paraId="2AD2ED60" w14:textId="77777777" w:rsidR="00967EE4" w:rsidRPr="00903776" w:rsidRDefault="00967EE4" w:rsidP="00CA014A">
            <w:pPr>
              <w:ind w:firstLine="10"/>
              <w:jc w:val="both"/>
              <w:rPr>
                <w:rFonts w:ascii="Arial" w:eastAsia="Arial" w:hAnsi="Arial" w:cs="Arial"/>
                <w:color w:val="000000"/>
                <w:sz w:val="20"/>
                <w:lang w:eastAsia="es-AR"/>
              </w:rPr>
            </w:pPr>
            <w:r w:rsidRPr="00701F32">
              <w:rPr>
                <w:rFonts w:ascii="Arial" w:eastAsia="Arial" w:hAnsi="Arial" w:cs="Arial"/>
                <w:color w:val="000000"/>
                <w:sz w:val="20"/>
                <w:lang w:eastAsia="es-AR"/>
              </w:rPr>
              <w:t>De tres a cinco años</w:t>
            </w:r>
          </w:p>
        </w:tc>
        <w:tc>
          <w:tcPr>
            <w:tcW w:w="2195" w:type="dxa"/>
            <w:tcBorders>
              <w:top w:val="nil"/>
              <w:left w:val="single" w:sz="8" w:space="0" w:color="auto"/>
              <w:bottom w:val="single" w:sz="8" w:space="0" w:color="auto"/>
              <w:right w:val="single" w:sz="8" w:space="0" w:color="auto"/>
            </w:tcBorders>
            <w:shd w:val="clear" w:color="auto" w:fill="auto"/>
            <w:vAlign w:val="center"/>
          </w:tcPr>
          <w:p w14:paraId="78E936EA" w14:textId="77777777" w:rsidR="00967EE4" w:rsidRDefault="00967EE4" w:rsidP="00CA014A">
            <w:pPr>
              <w:ind w:firstLine="10"/>
              <w:jc w:val="right"/>
              <w:rPr>
                <w:rFonts w:ascii="Arial" w:hAnsi="Arial" w:cs="Arial"/>
                <w:color w:val="000000"/>
                <w:sz w:val="20"/>
              </w:rPr>
            </w:pPr>
            <w:r>
              <w:rPr>
                <w:rFonts w:ascii="Arial" w:hAnsi="Arial" w:cs="Arial"/>
                <w:color w:val="000000"/>
                <w:sz w:val="20"/>
              </w:rPr>
              <w:t>9.202</w:t>
            </w:r>
          </w:p>
        </w:tc>
        <w:tc>
          <w:tcPr>
            <w:tcW w:w="2283" w:type="dxa"/>
            <w:tcBorders>
              <w:top w:val="nil"/>
              <w:left w:val="nil"/>
              <w:bottom w:val="single" w:sz="8" w:space="0" w:color="auto"/>
              <w:right w:val="single" w:sz="8" w:space="0" w:color="auto"/>
            </w:tcBorders>
            <w:shd w:val="clear" w:color="auto" w:fill="auto"/>
            <w:vAlign w:val="center"/>
          </w:tcPr>
          <w:p w14:paraId="25ECB44F" w14:textId="77777777" w:rsidR="00967EE4" w:rsidRDefault="00967EE4" w:rsidP="00CA014A">
            <w:pPr>
              <w:ind w:firstLine="10"/>
              <w:jc w:val="right"/>
              <w:rPr>
                <w:rFonts w:ascii="Arial" w:hAnsi="Arial" w:cs="Arial"/>
                <w:color w:val="000000"/>
                <w:sz w:val="20"/>
              </w:rPr>
            </w:pPr>
            <w:r>
              <w:rPr>
                <w:rFonts w:ascii="Arial" w:hAnsi="Arial" w:cs="Arial"/>
                <w:color w:val="000000"/>
                <w:sz w:val="20"/>
              </w:rPr>
              <w:t>-</w:t>
            </w:r>
          </w:p>
        </w:tc>
      </w:tr>
      <w:tr w:rsidR="00967EE4" w:rsidRPr="00903776" w14:paraId="58A74EE0" w14:textId="77777777" w:rsidTr="00CA014A">
        <w:trPr>
          <w:trHeight w:val="256"/>
          <w:jc w:val="center"/>
        </w:trPr>
        <w:tc>
          <w:tcPr>
            <w:tcW w:w="3771" w:type="dxa"/>
            <w:tcBorders>
              <w:top w:val="nil"/>
              <w:left w:val="single" w:sz="8" w:space="0" w:color="auto"/>
              <w:bottom w:val="single" w:sz="8" w:space="0" w:color="auto"/>
              <w:right w:val="single" w:sz="8" w:space="0" w:color="auto"/>
            </w:tcBorders>
            <w:shd w:val="clear" w:color="auto" w:fill="auto"/>
            <w:vAlign w:val="center"/>
            <w:hideMark/>
          </w:tcPr>
          <w:p w14:paraId="6C05FCB5" w14:textId="77777777" w:rsidR="00967EE4" w:rsidRPr="00903776" w:rsidRDefault="00967EE4" w:rsidP="00CA014A">
            <w:pPr>
              <w:ind w:firstLine="10"/>
              <w:jc w:val="both"/>
              <w:rPr>
                <w:rFonts w:ascii="Arial" w:hAnsi="Arial" w:cs="Arial"/>
                <w:b/>
                <w:bCs/>
                <w:color w:val="000000"/>
                <w:sz w:val="20"/>
                <w:lang w:eastAsia="es-AR"/>
              </w:rPr>
            </w:pPr>
            <w:r>
              <w:rPr>
                <w:rFonts w:ascii="Arial" w:hAnsi="Arial" w:cs="Arial"/>
                <w:b/>
                <w:bCs/>
                <w:color w:val="000000"/>
                <w:sz w:val="20"/>
                <w:lang w:eastAsia="es-AR"/>
              </w:rPr>
              <w:t>Total canones a cobrar</w:t>
            </w:r>
          </w:p>
        </w:tc>
        <w:tc>
          <w:tcPr>
            <w:tcW w:w="2195" w:type="dxa"/>
            <w:tcBorders>
              <w:top w:val="nil"/>
              <w:left w:val="single" w:sz="8" w:space="0" w:color="auto"/>
              <w:bottom w:val="single" w:sz="8" w:space="0" w:color="auto"/>
              <w:right w:val="single" w:sz="8" w:space="0" w:color="auto"/>
            </w:tcBorders>
            <w:shd w:val="clear" w:color="auto" w:fill="auto"/>
            <w:vAlign w:val="center"/>
            <w:hideMark/>
          </w:tcPr>
          <w:p w14:paraId="3CBC8F56" w14:textId="77777777" w:rsidR="00967EE4" w:rsidRPr="00EC349E" w:rsidRDefault="00967EE4" w:rsidP="00CA014A">
            <w:pPr>
              <w:ind w:firstLine="10"/>
              <w:jc w:val="right"/>
              <w:rPr>
                <w:rFonts w:ascii="Arial" w:hAnsi="Arial" w:cs="Arial"/>
                <w:b/>
                <w:bCs/>
                <w:color w:val="000000"/>
                <w:sz w:val="20"/>
                <w:lang w:eastAsia="es-AR"/>
              </w:rPr>
            </w:pPr>
            <w:r>
              <w:rPr>
                <w:rFonts w:ascii="Arial" w:hAnsi="Arial" w:cs="Arial"/>
                <w:b/>
                <w:color w:val="000000"/>
                <w:sz w:val="20"/>
              </w:rPr>
              <w:t>55.183</w:t>
            </w:r>
            <w:r w:rsidRPr="00EC349E">
              <w:rPr>
                <w:rFonts w:ascii="Arial" w:hAnsi="Arial" w:cs="Arial"/>
                <w:b/>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center"/>
          </w:tcPr>
          <w:p w14:paraId="28D39928" w14:textId="77777777" w:rsidR="00967EE4" w:rsidRPr="00903776" w:rsidRDefault="00967EE4" w:rsidP="00CA014A">
            <w:pPr>
              <w:ind w:firstLine="10"/>
              <w:jc w:val="right"/>
              <w:rPr>
                <w:rFonts w:ascii="Arial" w:hAnsi="Arial" w:cs="Arial"/>
                <w:color w:val="000000"/>
                <w:sz w:val="20"/>
              </w:rPr>
            </w:pPr>
            <w:r w:rsidRPr="00EC349E">
              <w:rPr>
                <w:rFonts w:ascii="Arial" w:hAnsi="Arial" w:cs="Arial"/>
                <w:b/>
                <w:color w:val="000000"/>
                <w:sz w:val="20"/>
              </w:rPr>
              <w:t xml:space="preserve">6.218 </w:t>
            </w:r>
          </w:p>
        </w:tc>
      </w:tr>
    </w:tbl>
    <w:p w14:paraId="2589BBD2" w14:textId="77777777" w:rsidR="00967EE4" w:rsidRPr="00701F32" w:rsidRDefault="00967EE4" w:rsidP="00967EE4">
      <w:pPr>
        <w:widowControl w:val="0"/>
        <w:autoSpaceDE w:val="0"/>
        <w:autoSpaceDN w:val="0"/>
        <w:adjustRightInd w:val="0"/>
        <w:jc w:val="both"/>
        <w:rPr>
          <w:rFonts w:ascii="Arial" w:hAnsi="Arial" w:cs="Arial"/>
          <w:noProof/>
          <w:color w:val="FF0000"/>
          <w:sz w:val="20"/>
        </w:rPr>
      </w:pPr>
    </w:p>
    <w:p w14:paraId="2FF735F7" w14:textId="17AF6B14" w:rsidR="00967EE4" w:rsidRPr="00011E62" w:rsidRDefault="00967EE4" w:rsidP="00A059FB">
      <w:pPr>
        <w:pStyle w:val="Style1"/>
        <w:jc w:val="both"/>
        <w:rPr>
          <w:rFonts w:ascii="Arial" w:hAnsi="Arial" w:cs="Arial"/>
        </w:rPr>
      </w:pPr>
      <w:r w:rsidRPr="00701F32">
        <w:rPr>
          <w:rFonts w:ascii="Arial" w:hAnsi="Arial" w:cs="Arial"/>
        </w:rPr>
        <w:t>El saldo de las previsiones por riesgo de incobrabilidad asociadas a arrendamiento</w:t>
      </w:r>
      <w:r>
        <w:rPr>
          <w:rFonts w:ascii="Arial" w:hAnsi="Arial" w:cs="Arial"/>
        </w:rPr>
        <w:t xml:space="preserve">s financieros </w:t>
      </w:r>
      <w:r w:rsidRPr="00011E62">
        <w:rPr>
          <w:rFonts w:ascii="Arial" w:hAnsi="Arial" w:cs="Arial"/>
          <w:szCs w:val="20"/>
        </w:rPr>
        <w:t>asciende a 82.052 y 54.901 al 31 de diciembre de 2019 y 2018, respectivamente.</w:t>
      </w:r>
    </w:p>
    <w:p w14:paraId="12FAF938" w14:textId="77777777" w:rsidR="00967EE4" w:rsidRPr="00A059FB" w:rsidRDefault="00967EE4" w:rsidP="00A059FB">
      <w:pPr>
        <w:pStyle w:val="Style1"/>
        <w:jc w:val="both"/>
        <w:rPr>
          <w:rFonts w:ascii="Arial" w:hAnsi="Arial" w:cs="Arial"/>
        </w:rPr>
      </w:pPr>
    </w:p>
    <w:p w14:paraId="24440142" w14:textId="780A24B7" w:rsidR="00CB5C36" w:rsidRPr="00701F32" w:rsidRDefault="00CB5C36" w:rsidP="00CB5C36">
      <w:pPr>
        <w:spacing w:after="160" w:line="259" w:lineRule="auto"/>
        <w:jc w:val="both"/>
        <w:rPr>
          <w:rFonts w:ascii="Arial" w:eastAsiaTheme="minorHAnsi" w:hAnsi="Arial" w:cs="Arial"/>
          <w:b/>
          <w:sz w:val="20"/>
        </w:rPr>
      </w:pPr>
      <w:r>
        <w:rPr>
          <w:rFonts w:ascii="Arial" w:eastAsiaTheme="minorHAnsi" w:hAnsi="Arial" w:cs="Arial"/>
          <w:b/>
          <w:sz w:val="20"/>
        </w:rPr>
        <w:t>1</w:t>
      </w:r>
      <w:r w:rsidR="00967EE4">
        <w:rPr>
          <w:rFonts w:ascii="Arial" w:eastAsiaTheme="minorHAnsi" w:hAnsi="Arial" w:cs="Arial"/>
          <w:b/>
          <w:sz w:val="20"/>
        </w:rPr>
        <w:t>9</w:t>
      </w:r>
      <w:r w:rsidRPr="009F6947">
        <w:rPr>
          <w:rFonts w:ascii="Arial" w:eastAsiaTheme="minorHAnsi" w:hAnsi="Arial" w:cs="Arial"/>
          <w:b/>
          <w:caps/>
          <w:sz w:val="20"/>
        </w:rPr>
        <w:t>. Transferencia de Activos Financieros</w:t>
      </w:r>
      <w:r w:rsidRPr="00701F32">
        <w:rPr>
          <w:rFonts w:ascii="Arial" w:eastAsiaTheme="minorHAnsi" w:hAnsi="Arial" w:cs="Arial"/>
          <w:b/>
          <w:sz w:val="20"/>
        </w:rPr>
        <w:t xml:space="preserve"> </w:t>
      </w:r>
    </w:p>
    <w:p w14:paraId="5FF0F6D9" w14:textId="77777777" w:rsidR="00CB5C36" w:rsidRPr="00701F32" w:rsidRDefault="00CB5C36" w:rsidP="00CB5C36">
      <w:pPr>
        <w:pStyle w:val="Style1"/>
        <w:jc w:val="both"/>
        <w:rPr>
          <w:rFonts w:ascii="Arial" w:hAnsi="Arial" w:cs="Arial"/>
          <w:szCs w:val="20"/>
        </w:rPr>
      </w:pPr>
      <w:r w:rsidRPr="00701F32">
        <w:rPr>
          <w:rFonts w:ascii="Arial" w:hAnsi="Arial" w:cs="Arial"/>
          <w:szCs w:val="20"/>
        </w:rPr>
        <w:t xml:space="preserve">Cuando el Banco realiza la transferencia de un activo financiero bajo un acuerdo que cumple con los requisitos para dar de baja dicho activo pero aún continúa con el derecho de administración a cambio de una comisión, se reconoce el activo o pasivo por la comisión establecida en el contrato. </w:t>
      </w:r>
    </w:p>
    <w:p w14:paraId="3A3AD3AD" w14:textId="77777777" w:rsidR="00CB5C36" w:rsidRPr="00701F32" w:rsidRDefault="00CB5C36" w:rsidP="00CB5C36">
      <w:pPr>
        <w:pStyle w:val="Style1"/>
        <w:jc w:val="both"/>
        <w:rPr>
          <w:rFonts w:ascii="Arial" w:hAnsi="Arial" w:cs="Arial"/>
          <w:szCs w:val="20"/>
        </w:rPr>
      </w:pPr>
    </w:p>
    <w:p w14:paraId="7DD75C73" w14:textId="77777777" w:rsidR="00CB5C36" w:rsidRPr="00701F32" w:rsidRDefault="00CB5C36" w:rsidP="00CB5C36">
      <w:pPr>
        <w:pStyle w:val="Style1"/>
        <w:jc w:val="both"/>
        <w:rPr>
          <w:rFonts w:ascii="Arial" w:hAnsi="Arial" w:cs="Arial"/>
          <w:szCs w:val="20"/>
        </w:rPr>
      </w:pPr>
      <w:r w:rsidRPr="00701F32">
        <w:rPr>
          <w:rFonts w:ascii="Arial" w:hAnsi="Arial" w:cs="Arial"/>
          <w:szCs w:val="20"/>
        </w:rPr>
        <w:t xml:space="preserve">Al realizar la baja del activo financiero, la diferencia entre el valor de libros y el recibido en contrapartida es imputado a resultados. </w:t>
      </w:r>
    </w:p>
    <w:p w14:paraId="33CC471E" w14:textId="77777777" w:rsidR="00BA5C58" w:rsidRDefault="00BA5C58" w:rsidP="00CB5C36">
      <w:pPr>
        <w:pStyle w:val="Style1"/>
        <w:jc w:val="both"/>
        <w:rPr>
          <w:rFonts w:ascii="Arial" w:hAnsi="Arial" w:cs="Arial"/>
          <w:szCs w:val="20"/>
          <w:u w:val="single"/>
        </w:rPr>
      </w:pPr>
    </w:p>
    <w:p w14:paraId="63017935" w14:textId="2F964B1C" w:rsidR="00CB5C36" w:rsidRPr="00701F32" w:rsidRDefault="00CB5C36" w:rsidP="00CB5C36">
      <w:pPr>
        <w:pStyle w:val="Style1"/>
        <w:jc w:val="both"/>
        <w:rPr>
          <w:rFonts w:ascii="Arial" w:hAnsi="Arial" w:cs="Arial"/>
          <w:szCs w:val="20"/>
          <w:u w:val="single"/>
        </w:rPr>
      </w:pPr>
      <w:r w:rsidRPr="00701F32">
        <w:rPr>
          <w:rFonts w:ascii="Arial" w:hAnsi="Arial" w:cs="Arial"/>
          <w:szCs w:val="20"/>
          <w:u w:val="single"/>
        </w:rPr>
        <w:t>Transferencias que no cumplen con los requisitos para dar de baja los activos financieros cedidos</w:t>
      </w:r>
    </w:p>
    <w:p w14:paraId="4A93D167" w14:textId="77777777" w:rsidR="00CB5C36" w:rsidRPr="00701F32" w:rsidRDefault="00CB5C36" w:rsidP="00CB5C36">
      <w:pPr>
        <w:pStyle w:val="Style1"/>
        <w:jc w:val="both"/>
        <w:rPr>
          <w:rFonts w:ascii="Arial" w:hAnsi="Arial" w:cs="Arial"/>
          <w:szCs w:val="20"/>
        </w:rPr>
      </w:pPr>
    </w:p>
    <w:p w14:paraId="23D52C85" w14:textId="77777777" w:rsidR="00CB5C36" w:rsidRPr="00701F32" w:rsidRDefault="00CB5C36" w:rsidP="00CB5C36">
      <w:pPr>
        <w:pStyle w:val="Style1"/>
        <w:jc w:val="both"/>
        <w:rPr>
          <w:rFonts w:ascii="Arial" w:hAnsi="Arial" w:cs="Arial"/>
          <w:szCs w:val="20"/>
        </w:rPr>
      </w:pPr>
      <w:r w:rsidRPr="00701F32">
        <w:rPr>
          <w:rFonts w:ascii="Arial" w:hAnsi="Arial" w:cs="Arial"/>
          <w:szCs w:val="20"/>
        </w:rPr>
        <w:t>A continuación se detallan los activos financieros transferidos por el Banco que se continuan reconociendo en sus estados financieros consolidados:</w:t>
      </w:r>
    </w:p>
    <w:p w14:paraId="26C71AE9" w14:textId="77777777" w:rsidR="00CB5C36" w:rsidRPr="00701F32" w:rsidRDefault="00CB5C36" w:rsidP="00CB5C36">
      <w:pPr>
        <w:pStyle w:val="Style1"/>
        <w:jc w:val="both"/>
        <w:rPr>
          <w:rFonts w:ascii="Arial" w:hAnsi="Arial" w:cs="Arial"/>
          <w:szCs w:val="20"/>
        </w:rPr>
      </w:pPr>
    </w:p>
    <w:tbl>
      <w:tblPr>
        <w:tblStyle w:val="Tablaconcuadrcula"/>
        <w:tblW w:w="8613" w:type="dxa"/>
        <w:tblLook w:val="04A0" w:firstRow="1" w:lastRow="0" w:firstColumn="1" w:lastColumn="0" w:noHBand="0" w:noVBand="1"/>
      </w:tblPr>
      <w:tblGrid>
        <w:gridCol w:w="2802"/>
        <w:gridCol w:w="1284"/>
        <w:gridCol w:w="1409"/>
        <w:gridCol w:w="1424"/>
        <w:gridCol w:w="1694"/>
      </w:tblGrid>
      <w:tr w:rsidR="00CB5C36" w:rsidRPr="00701F32" w14:paraId="2F7B609D" w14:textId="77777777" w:rsidTr="00B57E77">
        <w:trPr>
          <w:trHeight w:val="191"/>
          <w:tblHeader/>
        </w:trPr>
        <w:tc>
          <w:tcPr>
            <w:tcW w:w="2802" w:type="dxa"/>
            <w:vMerge w:val="restart"/>
            <w:vAlign w:val="center"/>
          </w:tcPr>
          <w:p w14:paraId="3F602088" w14:textId="77777777" w:rsidR="00CB5C36" w:rsidRPr="00B57E77" w:rsidRDefault="00CB5C36" w:rsidP="00EB6617">
            <w:pPr>
              <w:pStyle w:val="Style1"/>
              <w:jc w:val="both"/>
              <w:rPr>
                <w:rFonts w:ascii="Arial" w:hAnsi="Arial" w:cs="Arial"/>
                <w:b/>
                <w:sz w:val="18"/>
                <w:szCs w:val="18"/>
              </w:rPr>
            </w:pPr>
          </w:p>
        </w:tc>
        <w:tc>
          <w:tcPr>
            <w:tcW w:w="2693" w:type="dxa"/>
            <w:gridSpan w:val="2"/>
            <w:vAlign w:val="center"/>
          </w:tcPr>
          <w:p w14:paraId="65CCCA9C" w14:textId="19B9C76F" w:rsidR="00CB5C36" w:rsidRPr="00B57E77" w:rsidRDefault="00CB5C36" w:rsidP="00EB6617">
            <w:pPr>
              <w:pStyle w:val="Style1"/>
              <w:jc w:val="center"/>
              <w:rPr>
                <w:rFonts w:ascii="Arial" w:hAnsi="Arial" w:cs="Arial"/>
                <w:b/>
                <w:sz w:val="18"/>
                <w:szCs w:val="18"/>
              </w:rPr>
            </w:pPr>
            <w:r w:rsidRPr="00B57E77">
              <w:rPr>
                <w:rFonts w:ascii="Arial" w:hAnsi="Arial" w:cs="Arial"/>
                <w:b/>
                <w:sz w:val="18"/>
                <w:szCs w:val="18"/>
              </w:rPr>
              <w:t>Al 31 de diciembre de 2019</w:t>
            </w:r>
          </w:p>
        </w:tc>
        <w:tc>
          <w:tcPr>
            <w:tcW w:w="3118" w:type="dxa"/>
            <w:gridSpan w:val="2"/>
            <w:vAlign w:val="center"/>
          </w:tcPr>
          <w:p w14:paraId="7C85AE44" w14:textId="27727985" w:rsidR="00CB5C36" w:rsidRPr="00B57E77" w:rsidRDefault="00CB5C36" w:rsidP="00EB6617">
            <w:pPr>
              <w:pStyle w:val="Style1"/>
              <w:jc w:val="center"/>
              <w:rPr>
                <w:rFonts w:ascii="Arial" w:hAnsi="Arial" w:cs="Arial"/>
                <w:b/>
                <w:sz w:val="18"/>
                <w:szCs w:val="18"/>
              </w:rPr>
            </w:pPr>
            <w:r w:rsidRPr="00B57E77">
              <w:rPr>
                <w:rFonts w:ascii="Arial" w:hAnsi="Arial" w:cs="Arial"/>
                <w:b/>
                <w:sz w:val="18"/>
                <w:szCs w:val="18"/>
              </w:rPr>
              <w:t>Al 31 de diciembre de 2018</w:t>
            </w:r>
          </w:p>
        </w:tc>
      </w:tr>
      <w:tr w:rsidR="00CB5C36" w:rsidRPr="00701F32" w14:paraId="4E9BCAE9" w14:textId="77777777" w:rsidTr="00B57E77">
        <w:trPr>
          <w:trHeight w:val="285"/>
          <w:tblHeader/>
        </w:trPr>
        <w:tc>
          <w:tcPr>
            <w:tcW w:w="2802" w:type="dxa"/>
            <w:vMerge/>
            <w:vAlign w:val="center"/>
          </w:tcPr>
          <w:p w14:paraId="2B362EE5" w14:textId="77777777" w:rsidR="00CB5C36" w:rsidRPr="00B57E77" w:rsidRDefault="00CB5C36" w:rsidP="00EB6617">
            <w:pPr>
              <w:pStyle w:val="Style1"/>
              <w:jc w:val="both"/>
              <w:rPr>
                <w:rFonts w:ascii="Arial" w:hAnsi="Arial" w:cs="Arial"/>
                <w:b/>
                <w:sz w:val="18"/>
                <w:szCs w:val="18"/>
              </w:rPr>
            </w:pPr>
          </w:p>
        </w:tc>
        <w:tc>
          <w:tcPr>
            <w:tcW w:w="1284" w:type="dxa"/>
            <w:vAlign w:val="center"/>
          </w:tcPr>
          <w:p w14:paraId="58B1C215" w14:textId="77777777" w:rsidR="00CB5C36" w:rsidRPr="00B57E77" w:rsidRDefault="00CB5C36" w:rsidP="00EB6617">
            <w:pPr>
              <w:pStyle w:val="Style1"/>
              <w:jc w:val="center"/>
              <w:rPr>
                <w:rFonts w:ascii="Arial" w:hAnsi="Arial" w:cs="Arial"/>
                <w:b/>
                <w:sz w:val="18"/>
                <w:szCs w:val="18"/>
              </w:rPr>
            </w:pPr>
            <w:r w:rsidRPr="00B57E77">
              <w:rPr>
                <w:rFonts w:ascii="Arial" w:hAnsi="Arial" w:cs="Arial"/>
                <w:b/>
                <w:sz w:val="18"/>
                <w:szCs w:val="18"/>
              </w:rPr>
              <w:t>Valor libro de activos</w:t>
            </w:r>
          </w:p>
        </w:tc>
        <w:tc>
          <w:tcPr>
            <w:tcW w:w="1409" w:type="dxa"/>
            <w:vAlign w:val="center"/>
          </w:tcPr>
          <w:p w14:paraId="366F96FE" w14:textId="77777777" w:rsidR="00CB5C36" w:rsidRPr="00B57E77" w:rsidRDefault="00CB5C36" w:rsidP="00EB6617">
            <w:pPr>
              <w:pStyle w:val="Style1"/>
              <w:jc w:val="center"/>
              <w:rPr>
                <w:rFonts w:ascii="Arial" w:hAnsi="Arial" w:cs="Arial"/>
                <w:b/>
                <w:sz w:val="18"/>
                <w:szCs w:val="18"/>
              </w:rPr>
            </w:pPr>
            <w:r w:rsidRPr="00B57E77">
              <w:rPr>
                <w:rFonts w:ascii="Arial" w:hAnsi="Arial" w:cs="Arial"/>
                <w:b/>
                <w:sz w:val="18"/>
                <w:szCs w:val="18"/>
              </w:rPr>
              <w:t>Valor libro de los pasivos asociados</w:t>
            </w:r>
          </w:p>
        </w:tc>
        <w:tc>
          <w:tcPr>
            <w:tcW w:w="1424" w:type="dxa"/>
            <w:vAlign w:val="center"/>
          </w:tcPr>
          <w:p w14:paraId="72004F4F" w14:textId="77777777" w:rsidR="00CB5C36" w:rsidRPr="00B57E77" w:rsidRDefault="00CB5C36" w:rsidP="00EB6617">
            <w:pPr>
              <w:pStyle w:val="Style1"/>
              <w:jc w:val="center"/>
              <w:rPr>
                <w:rFonts w:ascii="Arial" w:hAnsi="Arial" w:cs="Arial"/>
                <w:b/>
                <w:sz w:val="18"/>
                <w:szCs w:val="18"/>
              </w:rPr>
            </w:pPr>
            <w:r w:rsidRPr="00B57E77">
              <w:rPr>
                <w:rFonts w:ascii="Arial" w:hAnsi="Arial" w:cs="Arial"/>
                <w:b/>
                <w:sz w:val="18"/>
                <w:szCs w:val="18"/>
              </w:rPr>
              <w:t>Valor libro de activos</w:t>
            </w:r>
          </w:p>
        </w:tc>
        <w:tc>
          <w:tcPr>
            <w:tcW w:w="1694" w:type="dxa"/>
            <w:vAlign w:val="center"/>
          </w:tcPr>
          <w:p w14:paraId="10EF7D04" w14:textId="77777777" w:rsidR="00CB5C36" w:rsidRPr="00B57E77" w:rsidRDefault="00CB5C36" w:rsidP="00EB6617">
            <w:pPr>
              <w:pStyle w:val="Style1"/>
              <w:jc w:val="center"/>
              <w:rPr>
                <w:rFonts w:ascii="Arial" w:hAnsi="Arial" w:cs="Arial"/>
                <w:b/>
                <w:sz w:val="18"/>
                <w:szCs w:val="18"/>
              </w:rPr>
            </w:pPr>
            <w:r w:rsidRPr="00B57E77">
              <w:rPr>
                <w:rFonts w:ascii="Arial" w:hAnsi="Arial" w:cs="Arial"/>
                <w:b/>
                <w:sz w:val="18"/>
                <w:szCs w:val="18"/>
              </w:rPr>
              <w:t>Valor libro de los pasivos asociados</w:t>
            </w:r>
          </w:p>
        </w:tc>
      </w:tr>
      <w:tr w:rsidR="00CB5C36" w:rsidRPr="00701F32" w14:paraId="2BA3D009" w14:textId="77777777" w:rsidTr="00B57E77">
        <w:trPr>
          <w:trHeight w:val="98"/>
        </w:trPr>
        <w:tc>
          <w:tcPr>
            <w:tcW w:w="2802" w:type="dxa"/>
          </w:tcPr>
          <w:p w14:paraId="49C418EC" w14:textId="5A79F9F2" w:rsidR="00CB5C36" w:rsidRPr="00B57E77" w:rsidRDefault="00CB5C36" w:rsidP="00CB5C36">
            <w:pPr>
              <w:pStyle w:val="Style1"/>
              <w:jc w:val="both"/>
              <w:rPr>
                <w:rFonts w:ascii="Arial" w:hAnsi="Arial" w:cs="Arial"/>
                <w:sz w:val="18"/>
                <w:szCs w:val="18"/>
              </w:rPr>
            </w:pPr>
            <w:r w:rsidRPr="00B57E77">
              <w:rPr>
                <w:rFonts w:ascii="Arial" w:hAnsi="Arial" w:cs="Arial"/>
                <w:sz w:val="18"/>
                <w:szCs w:val="18"/>
              </w:rPr>
              <w:t>Préstamos</w:t>
            </w:r>
            <w:r w:rsidR="00B57E77" w:rsidRPr="00B57E77">
              <w:rPr>
                <w:rFonts w:ascii="Arial" w:hAnsi="Arial" w:cs="Arial"/>
                <w:sz w:val="18"/>
                <w:szCs w:val="18"/>
              </w:rPr>
              <w:t xml:space="preserve"> </w:t>
            </w:r>
            <w:r w:rsidRPr="00B57E77">
              <w:rPr>
                <w:rFonts w:ascii="Arial" w:hAnsi="Arial" w:cs="Arial"/>
                <w:sz w:val="18"/>
                <w:szCs w:val="18"/>
              </w:rPr>
              <w:t>personales cedidos a fideicomisos financieros</w:t>
            </w:r>
          </w:p>
        </w:tc>
        <w:tc>
          <w:tcPr>
            <w:tcW w:w="1284" w:type="dxa"/>
            <w:vAlign w:val="center"/>
          </w:tcPr>
          <w:p w14:paraId="02FCEC21" w14:textId="48461651" w:rsidR="00CB5C36" w:rsidRPr="00B57E77" w:rsidRDefault="00AB581A" w:rsidP="00CB5C36">
            <w:pPr>
              <w:pStyle w:val="Style1"/>
              <w:jc w:val="right"/>
              <w:rPr>
                <w:rFonts w:ascii="Arial" w:hAnsi="Arial" w:cs="Arial"/>
                <w:sz w:val="18"/>
                <w:szCs w:val="18"/>
              </w:rPr>
            </w:pPr>
            <w:r>
              <w:rPr>
                <w:rFonts w:ascii="Arial" w:hAnsi="Arial" w:cs="Arial"/>
                <w:sz w:val="18"/>
                <w:szCs w:val="18"/>
              </w:rPr>
              <w:t>1.578.741</w:t>
            </w:r>
          </w:p>
        </w:tc>
        <w:tc>
          <w:tcPr>
            <w:tcW w:w="1409" w:type="dxa"/>
            <w:vAlign w:val="center"/>
          </w:tcPr>
          <w:p w14:paraId="3BFB7206" w14:textId="52284674" w:rsidR="00CB5C36" w:rsidRPr="00B57E77" w:rsidRDefault="00AB581A" w:rsidP="00CB5C36">
            <w:pPr>
              <w:pStyle w:val="Style1"/>
              <w:jc w:val="right"/>
              <w:rPr>
                <w:rFonts w:ascii="Arial" w:hAnsi="Arial" w:cs="Arial"/>
                <w:sz w:val="18"/>
                <w:szCs w:val="18"/>
              </w:rPr>
            </w:pPr>
            <w:r>
              <w:rPr>
                <w:rFonts w:ascii="Arial" w:hAnsi="Arial" w:cs="Arial"/>
                <w:sz w:val="18"/>
                <w:szCs w:val="18"/>
              </w:rPr>
              <w:t>849.775</w:t>
            </w:r>
          </w:p>
        </w:tc>
        <w:tc>
          <w:tcPr>
            <w:tcW w:w="1424" w:type="dxa"/>
            <w:vAlign w:val="center"/>
          </w:tcPr>
          <w:p w14:paraId="38522753" w14:textId="702EE557" w:rsidR="00CB5C36" w:rsidRPr="00B57E77" w:rsidRDefault="00CB5C36" w:rsidP="00CB5C36">
            <w:pPr>
              <w:pStyle w:val="Style1"/>
              <w:jc w:val="right"/>
              <w:rPr>
                <w:rFonts w:ascii="Arial" w:hAnsi="Arial" w:cs="Arial"/>
                <w:sz w:val="18"/>
                <w:szCs w:val="18"/>
              </w:rPr>
            </w:pPr>
            <w:r w:rsidRPr="00B57E77">
              <w:rPr>
                <w:rFonts w:ascii="Arial" w:hAnsi="Arial" w:cs="Arial"/>
                <w:color w:val="000000"/>
                <w:sz w:val="18"/>
                <w:szCs w:val="18"/>
              </w:rPr>
              <w:t>402.145</w:t>
            </w:r>
          </w:p>
        </w:tc>
        <w:tc>
          <w:tcPr>
            <w:tcW w:w="1694" w:type="dxa"/>
            <w:vAlign w:val="center"/>
          </w:tcPr>
          <w:p w14:paraId="42BB6F26" w14:textId="5E083DE5" w:rsidR="00CB5C36" w:rsidRPr="00B57E77" w:rsidRDefault="00CB5C36" w:rsidP="00CB5C36">
            <w:pPr>
              <w:pStyle w:val="Style1"/>
              <w:jc w:val="right"/>
              <w:rPr>
                <w:rFonts w:ascii="Arial" w:hAnsi="Arial" w:cs="Arial"/>
                <w:sz w:val="18"/>
                <w:szCs w:val="18"/>
              </w:rPr>
            </w:pPr>
            <w:r w:rsidRPr="00B57E77">
              <w:rPr>
                <w:rFonts w:ascii="Arial" w:hAnsi="Arial" w:cs="Arial"/>
                <w:color w:val="000000"/>
                <w:sz w:val="18"/>
                <w:szCs w:val="18"/>
              </w:rPr>
              <w:t>224.992</w:t>
            </w:r>
          </w:p>
        </w:tc>
      </w:tr>
      <w:tr w:rsidR="00CB5C36" w:rsidRPr="00701F32" w14:paraId="68EDC200" w14:textId="77777777" w:rsidTr="00B57E77">
        <w:trPr>
          <w:trHeight w:val="98"/>
        </w:trPr>
        <w:tc>
          <w:tcPr>
            <w:tcW w:w="2802" w:type="dxa"/>
          </w:tcPr>
          <w:p w14:paraId="4670AAD5" w14:textId="77777777" w:rsidR="00CB5C36" w:rsidRPr="00B57E77" w:rsidDel="00223B86" w:rsidRDefault="00CB5C36" w:rsidP="00CB5C36">
            <w:pPr>
              <w:pStyle w:val="Style1"/>
              <w:jc w:val="both"/>
              <w:rPr>
                <w:rFonts w:ascii="Arial" w:hAnsi="Arial" w:cs="Arial"/>
                <w:sz w:val="18"/>
                <w:szCs w:val="18"/>
              </w:rPr>
            </w:pPr>
            <w:r w:rsidRPr="00B57E77">
              <w:rPr>
                <w:rFonts w:ascii="Arial" w:hAnsi="Arial" w:cs="Arial"/>
                <w:sz w:val="18"/>
                <w:szCs w:val="18"/>
              </w:rPr>
              <w:t>Cartera cedida con recurso</w:t>
            </w:r>
          </w:p>
        </w:tc>
        <w:tc>
          <w:tcPr>
            <w:tcW w:w="1284" w:type="dxa"/>
            <w:vAlign w:val="center"/>
          </w:tcPr>
          <w:p w14:paraId="6B5684BE" w14:textId="13505FCD" w:rsidR="00CB5C36" w:rsidRPr="00B57E77" w:rsidRDefault="000443CB" w:rsidP="00CB5C36">
            <w:pPr>
              <w:pStyle w:val="Style1"/>
              <w:jc w:val="right"/>
              <w:rPr>
                <w:rFonts w:ascii="Arial" w:hAnsi="Arial" w:cs="Arial"/>
                <w:sz w:val="18"/>
                <w:szCs w:val="18"/>
              </w:rPr>
            </w:pPr>
            <w:r>
              <w:rPr>
                <w:rFonts w:ascii="Arial" w:hAnsi="Arial" w:cs="Arial"/>
                <w:sz w:val="18"/>
                <w:szCs w:val="18"/>
              </w:rPr>
              <w:t>-</w:t>
            </w:r>
          </w:p>
        </w:tc>
        <w:tc>
          <w:tcPr>
            <w:tcW w:w="1409" w:type="dxa"/>
            <w:vAlign w:val="center"/>
          </w:tcPr>
          <w:p w14:paraId="712F6548" w14:textId="4C7995B4" w:rsidR="00CB5C36" w:rsidRPr="00B57E77" w:rsidRDefault="00AB581A" w:rsidP="00CB5C36">
            <w:pPr>
              <w:pStyle w:val="Style1"/>
              <w:jc w:val="right"/>
              <w:rPr>
                <w:rFonts w:ascii="Arial" w:hAnsi="Arial" w:cs="Arial"/>
                <w:sz w:val="18"/>
                <w:szCs w:val="18"/>
              </w:rPr>
            </w:pPr>
            <w:r>
              <w:rPr>
                <w:rFonts w:ascii="Arial" w:hAnsi="Arial" w:cs="Arial"/>
                <w:sz w:val="18"/>
                <w:szCs w:val="18"/>
              </w:rPr>
              <w:t>-</w:t>
            </w:r>
          </w:p>
        </w:tc>
        <w:tc>
          <w:tcPr>
            <w:tcW w:w="1424" w:type="dxa"/>
            <w:vAlign w:val="center"/>
          </w:tcPr>
          <w:p w14:paraId="424D6987" w14:textId="6B5DC2AF" w:rsidR="00CB5C36" w:rsidRPr="00B57E77" w:rsidRDefault="00CB5C36" w:rsidP="00CB5C36">
            <w:pPr>
              <w:pStyle w:val="Style1"/>
              <w:jc w:val="right"/>
              <w:rPr>
                <w:rFonts w:ascii="Arial" w:hAnsi="Arial" w:cs="Arial"/>
                <w:sz w:val="18"/>
                <w:szCs w:val="18"/>
              </w:rPr>
            </w:pPr>
            <w:r w:rsidRPr="00B57E77">
              <w:rPr>
                <w:rFonts w:ascii="Arial" w:hAnsi="Arial" w:cs="Arial"/>
                <w:color w:val="000000"/>
                <w:sz w:val="18"/>
                <w:szCs w:val="18"/>
              </w:rPr>
              <w:t>45.588</w:t>
            </w:r>
          </w:p>
        </w:tc>
        <w:tc>
          <w:tcPr>
            <w:tcW w:w="1694" w:type="dxa"/>
            <w:vAlign w:val="center"/>
          </w:tcPr>
          <w:p w14:paraId="2ED628F3" w14:textId="0AEECB1E" w:rsidR="00CB5C36" w:rsidRPr="00B57E77" w:rsidRDefault="00CB5C36" w:rsidP="00CB5C36">
            <w:pPr>
              <w:pStyle w:val="Style1"/>
              <w:jc w:val="right"/>
              <w:rPr>
                <w:rFonts w:ascii="Arial" w:hAnsi="Arial" w:cs="Arial"/>
                <w:sz w:val="18"/>
                <w:szCs w:val="18"/>
              </w:rPr>
            </w:pPr>
            <w:r w:rsidRPr="00B57E77">
              <w:rPr>
                <w:rFonts w:ascii="Arial" w:hAnsi="Arial" w:cs="Arial"/>
                <w:color w:val="000000"/>
                <w:sz w:val="18"/>
                <w:szCs w:val="18"/>
              </w:rPr>
              <w:t>74.073</w:t>
            </w:r>
          </w:p>
        </w:tc>
      </w:tr>
    </w:tbl>
    <w:p w14:paraId="04385E09" w14:textId="77777777" w:rsidR="00CB5C36" w:rsidRPr="00701F32" w:rsidRDefault="00CB5C36" w:rsidP="00CB5C36">
      <w:pPr>
        <w:pStyle w:val="Style1"/>
        <w:jc w:val="both"/>
        <w:rPr>
          <w:rFonts w:ascii="Arial" w:hAnsi="Arial" w:cs="Arial"/>
          <w:szCs w:val="20"/>
        </w:rPr>
      </w:pPr>
    </w:p>
    <w:p w14:paraId="017C1F31" w14:textId="77777777" w:rsidR="00CB5C36" w:rsidRPr="00701F32" w:rsidRDefault="00CB5C36" w:rsidP="00CB5C36">
      <w:pPr>
        <w:pStyle w:val="Style1"/>
        <w:jc w:val="both"/>
        <w:rPr>
          <w:rFonts w:ascii="Arial" w:hAnsi="Arial" w:cs="Arial"/>
          <w:szCs w:val="20"/>
        </w:rPr>
      </w:pPr>
      <w:r w:rsidRPr="00701F32">
        <w:rPr>
          <w:rFonts w:ascii="Arial" w:hAnsi="Arial" w:cs="Arial"/>
          <w:szCs w:val="20"/>
        </w:rPr>
        <w:t xml:space="preserve">El Banco puede vender en determinadas oportunidades, cartera con mora significativa sin recurso para el comprador. En estos casos, </w:t>
      </w:r>
      <w:r>
        <w:rPr>
          <w:rFonts w:ascii="Arial" w:hAnsi="Arial" w:cs="Arial"/>
          <w:szCs w:val="20"/>
        </w:rPr>
        <w:t>l</w:t>
      </w:r>
      <w:r w:rsidRPr="00701F32">
        <w:rPr>
          <w:rFonts w:ascii="Arial" w:hAnsi="Arial" w:cs="Arial"/>
          <w:szCs w:val="20"/>
        </w:rPr>
        <w:t>a entidad no retiene ningún riesgo ni beneficio sustancial sobre la cartera cedida, y por lo tanto la misma califica para su baja en cuentas</w:t>
      </w:r>
    </w:p>
    <w:p w14:paraId="11C55CD1" w14:textId="77777777" w:rsidR="00CB5C36" w:rsidRPr="00701F32" w:rsidRDefault="00CB5C36" w:rsidP="00CB5C36">
      <w:pPr>
        <w:jc w:val="both"/>
        <w:rPr>
          <w:rFonts w:ascii="Arial" w:eastAsia="Arial" w:hAnsi="Arial" w:cs="Arial"/>
          <w:bCs/>
          <w:noProof/>
          <w:color w:val="000000"/>
          <w:sz w:val="20"/>
        </w:rPr>
      </w:pPr>
    </w:p>
    <w:p w14:paraId="5B867260" w14:textId="3EF45D74" w:rsidR="00CB5C36" w:rsidRPr="009F6947" w:rsidRDefault="00967EE4" w:rsidP="00CB5C36">
      <w:pPr>
        <w:rPr>
          <w:rFonts w:ascii="Arial" w:hAnsi="Arial" w:cs="Arial"/>
          <w:b/>
          <w:caps/>
          <w:lang w:eastAsia="es-ES"/>
        </w:rPr>
      </w:pPr>
      <w:r>
        <w:rPr>
          <w:rFonts w:ascii="Arial" w:hAnsi="Arial" w:cs="Arial"/>
          <w:b/>
          <w:sz w:val="20"/>
          <w:lang w:eastAsia="es-ES"/>
        </w:rPr>
        <w:t>20</w:t>
      </w:r>
      <w:r w:rsidR="00CB5C36" w:rsidRPr="004B14D7">
        <w:rPr>
          <w:rFonts w:ascii="Arial" w:hAnsi="Arial" w:cs="Arial"/>
          <w:b/>
          <w:sz w:val="20"/>
          <w:lang w:eastAsia="es-ES"/>
        </w:rPr>
        <w:t>. INSTRUMENTOS DE PATRIMONIO</w:t>
      </w:r>
      <w:r w:rsidR="00CB5C36" w:rsidRPr="00EB1F34">
        <w:rPr>
          <w:rFonts w:ascii="Arial" w:hAnsi="Arial" w:cs="Arial"/>
          <w:b/>
          <w:sz w:val="20"/>
          <w:lang w:eastAsia="es-ES"/>
        </w:rPr>
        <w:t xml:space="preserve"> </w:t>
      </w:r>
    </w:p>
    <w:p w14:paraId="4FDEB7E9" w14:textId="77777777" w:rsidR="00CB5C36" w:rsidRDefault="00CB5C36" w:rsidP="00CB5C36">
      <w:pPr>
        <w:pStyle w:val="Lista"/>
        <w:ind w:left="502" w:hanging="502"/>
        <w:jc w:val="both"/>
        <w:rPr>
          <w:rFonts w:ascii="Arial" w:hAnsi="Arial" w:cs="Arial"/>
          <w:b/>
          <w:caps/>
          <w:sz w:val="20"/>
          <w:szCs w:val="20"/>
          <w:u w:val="single"/>
          <w:lang w:val="es-AR"/>
        </w:rPr>
      </w:pPr>
    </w:p>
    <w:p w14:paraId="2E423E83" w14:textId="17A5110E" w:rsidR="00CB5C36" w:rsidRPr="00701F32" w:rsidRDefault="00CB5C36" w:rsidP="00CB5C36">
      <w:pPr>
        <w:pStyle w:val="Lista"/>
        <w:ind w:left="0" w:firstLine="0"/>
        <w:jc w:val="both"/>
        <w:rPr>
          <w:rFonts w:ascii="Arial" w:hAnsi="Arial" w:cs="Arial"/>
          <w:sz w:val="20"/>
          <w:szCs w:val="20"/>
          <w:lang w:val="es-AR"/>
        </w:rPr>
      </w:pPr>
      <w:r w:rsidRPr="00701F32">
        <w:rPr>
          <w:rFonts w:ascii="Arial" w:hAnsi="Arial" w:cs="Arial"/>
          <w:sz w:val="20"/>
          <w:szCs w:val="20"/>
          <w:lang w:val="es-AR"/>
        </w:rPr>
        <w:t xml:space="preserve">Las inversiones en </w:t>
      </w:r>
      <w:r>
        <w:rPr>
          <w:rFonts w:ascii="Arial" w:hAnsi="Arial" w:cs="Arial"/>
          <w:sz w:val="20"/>
          <w:szCs w:val="20"/>
          <w:lang w:val="es-AR"/>
        </w:rPr>
        <w:t>instrumentos de patrimonio</w:t>
      </w:r>
      <w:r w:rsidRPr="00701F32">
        <w:rPr>
          <w:rFonts w:ascii="Arial" w:hAnsi="Arial" w:cs="Arial"/>
          <w:sz w:val="20"/>
          <w:szCs w:val="20"/>
          <w:lang w:val="es-AR"/>
        </w:rPr>
        <w:t xml:space="preserve"> </w:t>
      </w:r>
      <w:r>
        <w:rPr>
          <w:rFonts w:ascii="Arial" w:hAnsi="Arial" w:cs="Arial"/>
          <w:sz w:val="20"/>
          <w:szCs w:val="20"/>
          <w:lang w:val="es-AR"/>
        </w:rPr>
        <w:t xml:space="preserve">medidos a valor razonable con cambios en resultados </w:t>
      </w:r>
      <w:r w:rsidRPr="00701F32">
        <w:rPr>
          <w:rFonts w:ascii="Arial" w:hAnsi="Arial" w:cs="Arial"/>
          <w:sz w:val="20"/>
          <w:szCs w:val="20"/>
          <w:lang w:val="es-AR"/>
        </w:rPr>
        <w:t xml:space="preserve">al 31 de diciembre de </w:t>
      </w:r>
      <w:r>
        <w:rPr>
          <w:rFonts w:ascii="Arial" w:hAnsi="Arial" w:cs="Arial"/>
          <w:sz w:val="20"/>
          <w:szCs w:val="20"/>
          <w:lang w:val="es-AR"/>
        </w:rPr>
        <w:t>2019 y 2018</w:t>
      </w:r>
      <w:r w:rsidRPr="00701F32">
        <w:rPr>
          <w:rFonts w:ascii="Arial" w:hAnsi="Arial" w:cs="Arial"/>
          <w:sz w:val="20"/>
          <w:szCs w:val="20"/>
          <w:lang w:val="es-AR"/>
        </w:rPr>
        <w:t xml:space="preserve"> son las siguientes: </w:t>
      </w:r>
    </w:p>
    <w:p w14:paraId="3E64EB66" w14:textId="77777777" w:rsidR="00CB5C36" w:rsidRDefault="00CB5C36" w:rsidP="00CB5C36">
      <w:pPr>
        <w:pStyle w:val="Lista"/>
        <w:ind w:left="0" w:firstLine="0"/>
        <w:jc w:val="both"/>
        <w:rPr>
          <w:rFonts w:ascii="Arial" w:hAnsi="Arial" w:cs="Arial"/>
          <w:sz w:val="20"/>
          <w:szCs w:val="20"/>
          <w:lang w:val="es-AR"/>
        </w:rPr>
      </w:pPr>
    </w:p>
    <w:tbl>
      <w:tblPr>
        <w:tblW w:w="8399" w:type="dxa"/>
        <w:tblInd w:w="75" w:type="dxa"/>
        <w:tblLayout w:type="fixed"/>
        <w:tblCellMar>
          <w:left w:w="70" w:type="dxa"/>
          <w:right w:w="70" w:type="dxa"/>
        </w:tblCellMar>
        <w:tblLook w:val="04A0" w:firstRow="1" w:lastRow="0" w:firstColumn="1" w:lastColumn="0" w:noHBand="0" w:noVBand="1"/>
      </w:tblPr>
      <w:tblGrid>
        <w:gridCol w:w="4931"/>
        <w:gridCol w:w="1734"/>
        <w:gridCol w:w="1734"/>
      </w:tblGrid>
      <w:tr w:rsidR="00CB5C36" w:rsidRPr="00BA5C58" w14:paraId="4C66652B" w14:textId="77777777" w:rsidTr="00B57E77">
        <w:trPr>
          <w:trHeight w:val="259"/>
        </w:trPr>
        <w:tc>
          <w:tcPr>
            <w:tcW w:w="49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A790A8" w14:textId="77777777" w:rsidR="00CB5C36" w:rsidRPr="00EF3ABD" w:rsidRDefault="00CB5C36" w:rsidP="00CB5C36">
            <w:pPr>
              <w:jc w:val="center"/>
              <w:rPr>
                <w:rFonts w:ascii="Arial" w:hAnsi="Arial" w:cs="Arial"/>
                <w:b/>
                <w:color w:val="000000"/>
                <w:sz w:val="18"/>
                <w:szCs w:val="18"/>
              </w:rPr>
            </w:pPr>
          </w:p>
        </w:tc>
        <w:tc>
          <w:tcPr>
            <w:tcW w:w="1734" w:type="dxa"/>
            <w:tcBorders>
              <w:top w:val="single" w:sz="4" w:space="0" w:color="auto"/>
              <w:left w:val="single" w:sz="4" w:space="0" w:color="auto"/>
              <w:bottom w:val="single" w:sz="4" w:space="0" w:color="auto"/>
              <w:right w:val="single" w:sz="4" w:space="0" w:color="auto"/>
            </w:tcBorders>
            <w:vAlign w:val="bottom"/>
          </w:tcPr>
          <w:p w14:paraId="7080C2FC" w14:textId="7501869A" w:rsidR="00CB5C36" w:rsidRPr="00CD449E" w:rsidRDefault="00CB5C36" w:rsidP="00CB5C36">
            <w:pPr>
              <w:jc w:val="center"/>
              <w:rPr>
                <w:rFonts w:ascii="Arial" w:hAnsi="Arial" w:cs="Arial"/>
                <w:b/>
                <w:color w:val="000000"/>
                <w:sz w:val="18"/>
                <w:szCs w:val="18"/>
              </w:rPr>
            </w:pPr>
            <w:r w:rsidRPr="00C86659">
              <w:rPr>
                <w:rFonts w:ascii="Arial" w:hAnsi="Arial" w:cs="Arial"/>
                <w:b/>
                <w:color w:val="000000"/>
                <w:sz w:val="18"/>
                <w:szCs w:val="18"/>
              </w:rPr>
              <w:t>31/12/2019</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4A1724" w14:textId="068605D8" w:rsidR="00CB5C36" w:rsidRPr="00A059FB" w:rsidRDefault="00CB5C36" w:rsidP="00CB5C36">
            <w:pPr>
              <w:jc w:val="center"/>
              <w:rPr>
                <w:rFonts w:ascii="Arial" w:hAnsi="Arial" w:cs="Arial"/>
                <w:b/>
                <w:color w:val="000000"/>
                <w:sz w:val="18"/>
                <w:szCs w:val="18"/>
              </w:rPr>
            </w:pPr>
            <w:r w:rsidRPr="00F07B96">
              <w:rPr>
                <w:rFonts w:ascii="Arial" w:hAnsi="Arial" w:cs="Arial"/>
                <w:b/>
                <w:color w:val="000000"/>
                <w:sz w:val="18"/>
                <w:szCs w:val="18"/>
              </w:rPr>
              <w:t>31/12/2018</w:t>
            </w:r>
          </w:p>
        </w:tc>
      </w:tr>
      <w:tr w:rsidR="00CB5C36" w:rsidRPr="00BA5C58" w14:paraId="07063D38" w14:textId="77777777" w:rsidTr="00B57E77">
        <w:trPr>
          <w:trHeight w:val="259"/>
        </w:trPr>
        <w:tc>
          <w:tcPr>
            <w:tcW w:w="4931" w:type="dxa"/>
            <w:tcBorders>
              <w:top w:val="nil"/>
              <w:left w:val="single" w:sz="4" w:space="0" w:color="auto"/>
              <w:bottom w:val="single" w:sz="4" w:space="0" w:color="auto"/>
              <w:right w:val="single" w:sz="4" w:space="0" w:color="auto"/>
            </w:tcBorders>
            <w:shd w:val="clear" w:color="auto" w:fill="auto"/>
            <w:noWrap/>
            <w:vAlign w:val="bottom"/>
            <w:hideMark/>
          </w:tcPr>
          <w:p w14:paraId="0F43F918" w14:textId="77777777" w:rsidR="00CB5C36" w:rsidRPr="00BA5C58" w:rsidRDefault="00CB5C36" w:rsidP="00CB5C36">
            <w:pPr>
              <w:rPr>
                <w:rFonts w:ascii="Arial" w:hAnsi="Arial" w:cs="Arial"/>
                <w:color w:val="000000"/>
                <w:sz w:val="18"/>
                <w:szCs w:val="18"/>
              </w:rPr>
            </w:pPr>
            <w:r w:rsidRPr="00BA5C58">
              <w:rPr>
                <w:rFonts w:ascii="Arial" w:hAnsi="Arial" w:cs="Arial"/>
                <w:color w:val="000000"/>
                <w:sz w:val="18"/>
                <w:szCs w:val="18"/>
              </w:rPr>
              <w:t>YPF SA</w:t>
            </w:r>
          </w:p>
        </w:tc>
        <w:tc>
          <w:tcPr>
            <w:tcW w:w="1734" w:type="dxa"/>
            <w:tcBorders>
              <w:top w:val="nil"/>
              <w:left w:val="single" w:sz="4" w:space="0" w:color="auto"/>
              <w:bottom w:val="single" w:sz="4" w:space="0" w:color="auto"/>
              <w:right w:val="single" w:sz="4" w:space="0" w:color="auto"/>
            </w:tcBorders>
            <w:vAlign w:val="center"/>
          </w:tcPr>
          <w:p w14:paraId="243E4A32" w14:textId="38972A14" w:rsidR="00CB5C36" w:rsidRPr="00BA5C58" w:rsidRDefault="004B14D7" w:rsidP="00CB5C36">
            <w:pPr>
              <w:jc w:val="right"/>
              <w:rPr>
                <w:rFonts w:ascii="Arial" w:hAnsi="Arial" w:cs="Arial"/>
                <w:color w:val="000000"/>
                <w:sz w:val="18"/>
                <w:szCs w:val="18"/>
              </w:rPr>
            </w:pPr>
            <w:r w:rsidRPr="00BA5C58">
              <w:rPr>
                <w:rFonts w:ascii="Arial" w:hAnsi="Arial" w:cs="Arial"/>
                <w:color w:val="000000"/>
                <w:sz w:val="18"/>
                <w:szCs w:val="18"/>
              </w:rPr>
              <w:t>-</w:t>
            </w:r>
          </w:p>
        </w:tc>
        <w:tc>
          <w:tcPr>
            <w:tcW w:w="1734" w:type="dxa"/>
            <w:tcBorders>
              <w:top w:val="nil"/>
              <w:left w:val="single" w:sz="4" w:space="0" w:color="auto"/>
              <w:bottom w:val="single" w:sz="4" w:space="0" w:color="auto"/>
              <w:right w:val="single" w:sz="4" w:space="0" w:color="auto"/>
            </w:tcBorders>
            <w:shd w:val="clear" w:color="auto" w:fill="auto"/>
            <w:noWrap/>
            <w:vAlign w:val="center"/>
            <w:hideMark/>
          </w:tcPr>
          <w:p w14:paraId="4EB4BEBD" w14:textId="684138C3" w:rsidR="00CB5C36" w:rsidRPr="00BA5C58" w:rsidRDefault="00CB5C36" w:rsidP="00CB5C36">
            <w:pPr>
              <w:jc w:val="right"/>
              <w:rPr>
                <w:rFonts w:ascii="Arial" w:hAnsi="Arial" w:cs="Arial"/>
                <w:color w:val="000000"/>
                <w:sz w:val="18"/>
                <w:szCs w:val="18"/>
              </w:rPr>
            </w:pPr>
            <w:r w:rsidRPr="00BA5C58">
              <w:rPr>
                <w:rFonts w:ascii="Arial" w:hAnsi="Arial" w:cs="Arial"/>
                <w:color w:val="000000"/>
                <w:sz w:val="18"/>
                <w:szCs w:val="18"/>
              </w:rPr>
              <w:t>1.082</w:t>
            </w:r>
          </w:p>
        </w:tc>
      </w:tr>
      <w:tr w:rsidR="00CB5C36" w:rsidRPr="00BA5C58" w14:paraId="1E8D56F7" w14:textId="77777777" w:rsidTr="00B57E77">
        <w:trPr>
          <w:trHeight w:val="259"/>
        </w:trPr>
        <w:tc>
          <w:tcPr>
            <w:tcW w:w="4931" w:type="dxa"/>
            <w:tcBorders>
              <w:top w:val="nil"/>
              <w:left w:val="single" w:sz="4" w:space="0" w:color="auto"/>
              <w:bottom w:val="single" w:sz="4" w:space="0" w:color="auto"/>
              <w:right w:val="single" w:sz="4" w:space="0" w:color="auto"/>
            </w:tcBorders>
            <w:shd w:val="clear" w:color="auto" w:fill="auto"/>
            <w:noWrap/>
            <w:vAlign w:val="bottom"/>
            <w:hideMark/>
          </w:tcPr>
          <w:p w14:paraId="156737AE" w14:textId="77777777" w:rsidR="00CB5C36" w:rsidRPr="00BA5C58" w:rsidRDefault="00CB5C36" w:rsidP="00CB5C36">
            <w:pPr>
              <w:rPr>
                <w:rFonts w:ascii="Arial" w:hAnsi="Arial" w:cs="Arial"/>
                <w:color w:val="000000"/>
                <w:sz w:val="18"/>
                <w:szCs w:val="18"/>
              </w:rPr>
            </w:pPr>
            <w:r w:rsidRPr="00BA5C58">
              <w:rPr>
                <w:rFonts w:ascii="Arial" w:hAnsi="Arial" w:cs="Arial"/>
                <w:color w:val="000000"/>
                <w:sz w:val="18"/>
                <w:szCs w:val="18"/>
              </w:rPr>
              <w:t>Grupo Financiero Galicia SA</w:t>
            </w:r>
          </w:p>
        </w:tc>
        <w:tc>
          <w:tcPr>
            <w:tcW w:w="1734" w:type="dxa"/>
            <w:tcBorders>
              <w:top w:val="nil"/>
              <w:left w:val="single" w:sz="4" w:space="0" w:color="auto"/>
              <w:bottom w:val="single" w:sz="4" w:space="0" w:color="auto"/>
              <w:right w:val="single" w:sz="4" w:space="0" w:color="auto"/>
            </w:tcBorders>
            <w:vAlign w:val="center"/>
          </w:tcPr>
          <w:p w14:paraId="1C3C3EDC" w14:textId="4D971897" w:rsidR="00CB5C36" w:rsidRPr="00BA5C58" w:rsidRDefault="004B14D7" w:rsidP="00CB5C36">
            <w:pPr>
              <w:jc w:val="right"/>
              <w:rPr>
                <w:rFonts w:ascii="Arial" w:hAnsi="Arial" w:cs="Arial"/>
                <w:color w:val="000000"/>
                <w:sz w:val="18"/>
                <w:szCs w:val="18"/>
              </w:rPr>
            </w:pPr>
            <w:r w:rsidRPr="00BA5C58">
              <w:rPr>
                <w:rFonts w:ascii="Arial" w:hAnsi="Arial" w:cs="Arial"/>
                <w:color w:val="000000"/>
                <w:sz w:val="18"/>
                <w:szCs w:val="18"/>
              </w:rPr>
              <w:t>5.796</w:t>
            </w:r>
          </w:p>
        </w:tc>
        <w:tc>
          <w:tcPr>
            <w:tcW w:w="1734" w:type="dxa"/>
            <w:tcBorders>
              <w:top w:val="nil"/>
              <w:left w:val="single" w:sz="4" w:space="0" w:color="auto"/>
              <w:bottom w:val="single" w:sz="4" w:space="0" w:color="auto"/>
              <w:right w:val="single" w:sz="4" w:space="0" w:color="auto"/>
            </w:tcBorders>
            <w:shd w:val="clear" w:color="auto" w:fill="auto"/>
            <w:noWrap/>
            <w:vAlign w:val="center"/>
            <w:hideMark/>
          </w:tcPr>
          <w:p w14:paraId="47E10518" w14:textId="03437465" w:rsidR="00CB5C36" w:rsidRPr="00BA5C58" w:rsidRDefault="00CB5C36" w:rsidP="00CB5C36">
            <w:pPr>
              <w:jc w:val="right"/>
              <w:rPr>
                <w:rFonts w:ascii="Arial" w:hAnsi="Arial" w:cs="Arial"/>
                <w:color w:val="000000"/>
                <w:sz w:val="18"/>
                <w:szCs w:val="18"/>
              </w:rPr>
            </w:pPr>
            <w:r w:rsidRPr="00BA5C58">
              <w:rPr>
                <w:rFonts w:ascii="Arial" w:hAnsi="Arial" w:cs="Arial"/>
                <w:color w:val="000000"/>
                <w:sz w:val="18"/>
                <w:szCs w:val="18"/>
              </w:rPr>
              <w:t>521</w:t>
            </w:r>
          </w:p>
        </w:tc>
      </w:tr>
      <w:tr w:rsidR="00CB5C36" w:rsidRPr="00BA5C58" w14:paraId="74269169" w14:textId="77777777" w:rsidTr="00B57E77">
        <w:trPr>
          <w:trHeight w:val="259"/>
        </w:trPr>
        <w:tc>
          <w:tcPr>
            <w:tcW w:w="4931" w:type="dxa"/>
            <w:tcBorders>
              <w:top w:val="nil"/>
              <w:left w:val="single" w:sz="4" w:space="0" w:color="auto"/>
              <w:bottom w:val="single" w:sz="4" w:space="0" w:color="auto"/>
              <w:right w:val="single" w:sz="4" w:space="0" w:color="auto"/>
            </w:tcBorders>
            <w:shd w:val="clear" w:color="auto" w:fill="auto"/>
            <w:noWrap/>
            <w:vAlign w:val="center"/>
            <w:hideMark/>
          </w:tcPr>
          <w:p w14:paraId="71F0AD8A" w14:textId="77777777" w:rsidR="00CB5C36" w:rsidRPr="00C86659" w:rsidRDefault="00CB5C36" w:rsidP="00CB5C36">
            <w:pPr>
              <w:jc w:val="both"/>
              <w:rPr>
                <w:rFonts w:ascii="Arial" w:hAnsi="Arial" w:cs="Arial"/>
                <w:b/>
                <w:bCs/>
                <w:color w:val="000000"/>
                <w:sz w:val="18"/>
                <w:szCs w:val="18"/>
              </w:rPr>
            </w:pPr>
            <w:r w:rsidRPr="00EF3ABD">
              <w:rPr>
                <w:rFonts w:ascii="Arial" w:hAnsi="Arial" w:cs="Arial"/>
                <w:b/>
                <w:bCs/>
                <w:color w:val="000000"/>
                <w:sz w:val="18"/>
                <w:szCs w:val="18"/>
              </w:rPr>
              <w:t>Total</w:t>
            </w:r>
          </w:p>
        </w:tc>
        <w:tc>
          <w:tcPr>
            <w:tcW w:w="1734" w:type="dxa"/>
            <w:tcBorders>
              <w:top w:val="nil"/>
              <w:left w:val="single" w:sz="4" w:space="0" w:color="auto"/>
              <w:bottom w:val="single" w:sz="4" w:space="0" w:color="auto"/>
              <w:right w:val="single" w:sz="4" w:space="0" w:color="auto"/>
            </w:tcBorders>
            <w:vAlign w:val="bottom"/>
          </w:tcPr>
          <w:p w14:paraId="62AD3303" w14:textId="0301B6A3" w:rsidR="00CB5C36" w:rsidRPr="00BA5C58" w:rsidRDefault="004B14D7" w:rsidP="00CB5C36">
            <w:pPr>
              <w:jc w:val="right"/>
              <w:rPr>
                <w:rFonts w:ascii="Arial" w:hAnsi="Arial" w:cs="Arial"/>
                <w:b/>
                <w:bCs/>
                <w:color w:val="000000"/>
                <w:sz w:val="18"/>
                <w:szCs w:val="18"/>
                <w:lang w:val="es-ES_tradnl"/>
              </w:rPr>
            </w:pPr>
            <w:r w:rsidRPr="00BA5C58">
              <w:rPr>
                <w:rFonts w:ascii="Arial" w:hAnsi="Arial" w:cs="Arial"/>
                <w:b/>
                <w:bCs/>
                <w:color w:val="000000"/>
                <w:sz w:val="18"/>
                <w:szCs w:val="18"/>
                <w:lang w:val="es-ES_tradnl"/>
              </w:rPr>
              <w:t>5.796</w:t>
            </w:r>
          </w:p>
        </w:tc>
        <w:tc>
          <w:tcPr>
            <w:tcW w:w="1734" w:type="dxa"/>
            <w:tcBorders>
              <w:top w:val="nil"/>
              <w:left w:val="single" w:sz="4" w:space="0" w:color="auto"/>
              <w:bottom w:val="single" w:sz="4" w:space="0" w:color="auto"/>
              <w:right w:val="single" w:sz="4" w:space="0" w:color="auto"/>
            </w:tcBorders>
            <w:shd w:val="clear" w:color="auto" w:fill="auto"/>
            <w:noWrap/>
            <w:vAlign w:val="bottom"/>
            <w:hideMark/>
          </w:tcPr>
          <w:p w14:paraId="2B8DA603" w14:textId="4A1F2397" w:rsidR="00CB5C36" w:rsidRPr="00BA5C58" w:rsidRDefault="00CB5C36" w:rsidP="00CB5C36">
            <w:pPr>
              <w:jc w:val="right"/>
              <w:rPr>
                <w:rFonts w:ascii="Arial" w:hAnsi="Arial" w:cs="Arial"/>
                <w:b/>
                <w:bCs/>
                <w:color w:val="000000"/>
                <w:sz w:val="18"/>
                <w:szCs w:val="18"/>
                <w:lang w:val="es-ES_tradnl"/>
              </w:rPr>
            </w:pPr>
            <w:r w:rsidRPr="00BA5C58">
              <w:rPr>
                <w:rFonts w:ascii="Arial" w:hAnsi="Arial" w:cs="Arial"/>
                <w:b/>
                <w:sz w:val="18"/>
                <w:szCs w:val="18"/>
              </w:rPr>
              <w:t>1.603</w:t>
            </w:r>
          </w:p>
        </w:tc>
      </w:tr>
    </w:tbl>
    <w:p w14:paraId="06A55E90" w14:textId="77777777" w:rsidR="00CB5C36" w:rsidRDefault="00CB5C36" w:rsidP="00CB5C36">
      <w:pPr>
        <w:pStyle w:val="Lista"/>
        <w:ind w:left="0" w:firstLine="0"/>
        <w:jc w:val="both"/>
        <w:rPr>
          <w:rFonts w:ascii="Arial" w:hAnsi="Arial" w:cs="Arial"/>
          <w:sz w:val="20"/>
          <w:szCs w:val="20"/>
          <w:lang w:val="es-AR"/>
        </w:rPr>
      </w:pPr>
    </w:p>
    <w:p w14:paraId="11295FB4" w14:textId="2CAB0BBF" w:rsidR="00CB5C36" w:rsidRPr="00701F32" w:rsidRDefault="00CB5C36" w:rsidP="00CB5C36">
      <w:pPr>
        <w:pStyle w:val="Lista"/>
        <w:ind w:left="0" w:firstLine="0"/>
        <w:jc w:val="both"/>
        <w:rPr>
          <w:rFonts w:ascii="Arial" w:hAnsi="Arial" w:cs="Arial"/>
          <w:sz w:val="20"/>
          <w:szCs w:val="20"/>
          <w:lang w:val="es-AR"/>
        </w:rPr>
      </w:pPr>
      <w:r w:rsidRPr="00701F32">
        <w:rPr>
          <w:rFonts w:ascii="Arial" w:hAnsi="Arial" w:cs="Arial"/>
          <w:sz w:val="20"/>
          <w:szCs w:val="20"/>
          <w:lang w:val="es-AR"/>
        </w:rPr>
        <w:t xml:space="preserve">Las inversiones en </w:t>
      </w:r>
      <w:r>
        <w:rPr>
          <w:rFonts w:ascii="Arial" w:hAnsi="Arial" w:cs="Arial"/>
          <w:sz w:val="20"/>
          <w:szCs w:val="20"/>
          <w:lang w:val="es-AR"/>
        </w:rPr>
        <w:t>instrumentos de patrimonio</w:t>
      </w:r>
      <w:r w:rsidRPr="00701F32">
        <w:rPr>
          <w:rFonts w:ascii="Arial" w:hAnsi="Arial" w:cs="Arial"/>
          <w:sz w:val="20"/>
          <w:szCs w:val="20"/>
          <w:lang w:val="es-AR"/>
        </w:rPr>
        <w:t xml:space="preserve"> </w:t>
      </w:r>
      <w:r>
        <w:rPr>
          <w:rFonts w:ascii="Arial" w:hAnsi="Arial" w:cs="Arial"/>
          <w:sz w:val="20"/>
          <w:szCs w:val="20"/>
          <w:lang w:val="es-AR"/>
        </w:rPr>
        <w:t xml:space="preserve">medidos a valor razonable con cambios en otros resultados integrales </w:t>
      </w:r>
      <w:r w:rsidRPr="00701F32">
        <w:rPr>
          <w:rFonts w:ascii="Arial" w:hAnsi="Arial" w:cs="Arial"/>
          <w:sz w:val="20"/>
          <w:szCs w:val="20"/>
          <w:lang w:val="es-AR"/>
        </w:rPr>
        <w:t xml:space="preserve">al 31 de diciembre de </w:t>
      </w:r>
      <w:r>
        <w:rPr>
          <w:rFonts w:ascii="Arial" w:hAnsi="Arial" w:cs="Arial"/>
          <w:sz w:val="20"/>
          <w:szCs w:val="20"/>
          <w:lang w:val="es-AR"/>
        </w:rPr>
        <w:t xml:space="preserve">2019 y </w:t>
      </w:r>
      <w:r w:rsidRPr="00701F32">
        <w:rPr>
          <w:rFonts w:ascii="Arial" w:hAnsi="Arial" w:cs="Arial"/>
          <w:sz w:val="20"/>
          <w:szCs w:val="20"/>
          <w:lang w:val="es-AR"/>
        </w:rPr>
        <w:t>201</w:t>
      </w:r>
      <w:r>
        <w:rPr>
          <w:rFonts w:ascii="Arial" w:hAnsi="Arial" w:cs="Arial"/>
          <w:sz w:val="20"/>
          <w:szCs w:val="20"/>
          <w:lang w:val="es-AR"/>
        </w:rPr>
        <w:t>8</w:t>
      </w:r>
      <w:r w:rsidRPr="00701F32">
        <w:rPr>
          <w:rFonts w:ascii="Arial" w:hAnsi="Arial" w:cs="Arial"/>
          <w:sz w:val="20"/>
          <w:szCs w:val="20"/>
          <w:lang w:val="es-AR"/>
        </w:rPr>
        <w:t xml:space="preserve"> son las siguientes: </w:t>
      </w:r>
    </w:p>
    <w:p w14:paraId="7B49485D" w14:textId="77777777" w:rsidR="00CB5C36" w:rsidRPr="00701F32" w:rsidRDefault="00CB5C36" w:rsidP="00CB5C36">
      <w:pPr>
        <w:pStyle w:val="Lista"/>
        <w:ind w:left="502" w:hanging="502"/>
        <w:jc w:val="both"/>
        <w:rPr>
          <w:rFonts w:ascii="Arial" w:hAnsi="Arial" w:cs="Arial"/>
          <w:sz w:val="20"/>
          <w:szCs w:val="20"/>
          <w:lang w:val="es-AR"/>
        </w:rPr>
      </w:pPr>
    </w:p>
    <w:tbl>
      <w:tblPr>
        <w:tblW w:w="8475" w:type="dxa"/>
        <w:tblInd w:w="75" w:type="dxa"/>
        <w:tblLayout w:type="fixed"/>
        <w:tblCellMar>
          <w:left w:w="70" w:type="dxa"/>
          <w:right w:w="70" w:type="dxa"/>
        </w:tblCellMar>
        <w:tblLook w:val="04A0" w:firstRow="1" w:lastRow="0" w:firstColumn="1" w:lastColumn="0" w:noHBand="0" w:noVBand="1"/>
      </w:tblPr>
      <w:tblGrid>
        <w:gridCol w:w="4975"/>
        <w:gridCol w:w="1750"/>
        <w:gridCol w:w="1750"/>
      </w:tblGrid>
      <w:tr w:rsidR="00CB5C36" w:rsidRPr="00701F32" w14:paraId="59D0387E" w14:textId="77777777" w:rsidTr="00B57E77">
        <w:trPr>
          <w:trHeight w:val="259"/>
        </w:trPr>
        <w:tc>
          <w:tcPr>
            <w:tcW w:w="4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6A1F08" w14:textId="77777777" w:rsidR="00CB5C36" w:rsidRPr="00D27B18" w:rsidRDefault="00CB5C36" w:rsidP="00EB6617">
            <w:pPr>
              <w:jc w:val="center"/>
              <w:rPr>
                <w:rFonts w:ascii="Arial" w:hAnsi="Arial" w:cs="Arial"/>
                <w:b/>
                <w:color w:val="000000"/>
                <w:sz w:val="18"/>
                <w:szCs w:val="16"/>
              </w:rPr>
            </w:pPr>
          </w:p>
        </w:tc>
        <w:tc>
          <w:tcPr>
            <w:tcW w:w="1750" w:type="dxa"/>
            <w:tcBorders>
              <w:top w:val="single" w:sz="4" w:space="0" w:color="auto"/>
              <w:left w:val="single" w:sz="4" w:space="0" w:color="auto"/>
              <w:bottom w:val="single" w:sz="4" w:space="0" w:color="auto"/>
              <w:right w:val="single" w:sz="4" w:space="0" w:color="auto"/>
            </w:tcBorders>
            <w:vAlign w:val="bottom"/>
          </w:tcPr>
          <w:p w14:paraId="13354A81" w14:textId="093F532F" w:rsidR="00CB5C36" w:rsidRPr="00D27B18" w:rsidRDefault="00CB5C36" w:rsidP="00EB6617">
            <w:pPr>
              <w:jc w:val="center"/>
              <w:rPr>
                <w:rFonts w:ascii="Arial" w:hAnsi="Arial" w:cs="Arial"/>
                <w:b/>
                <w:color w:val="000000"/>
                <w:sz w:val="18"/>
                <w:szCs w:val="16"/>
              </w:rPr>
            </w:pPr>
            <w:r w:rsidRPr="00D27B18">
              <w:rPr>
                <w:rFonts w:ascii="Arial" w:hAnsi="Arial" w:cs="Arial"/>
                <w:b/>
                <w:color w:val="000000"/>
                <w:sz w:val="18"/>
                <w:szCs w:val="16"/>
              </w:rPr>
              <w:t>31/12/201</w:t>
            </w:r>
            <w:r>
              <w:rPr>
                <w:rFonts w:ascii="Arial" w:hAnsi="Arial" w:cs="Arial"/>
                <w:b/>
                <w:color w:val="000000"/>
                <w:sz w:val="18"/>
                <w:szCs w:val="16"/>
              </w:rPr>
              <w:t>9</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7ED1C" w14:textId="65EBB3CD" w:rsidR="00CB5C36" w:rsidRPr="00D27B18" w:rsidRDefault="00CB5C36" w:rsidP="00EB6617">
            <w:pPr>
              <w:jc w:val="center"/>
              <w:rPr>
                <w:rFonts w:ascii="Arial" w:hAnsi="Arial" w:cs="Arial"/>
                <w:b/>
                <w:color w:val="000000"/>
                <w:sz w:val="18"/>
                <w:szCs w:val="16"/>
              </w:rPr>
            </w:pPr>
            <w:r w:rsidRPr="00D27B18">
              <w:rPr>
                <w:rFonts w:ascii="Arial" w:hAnsi="Arial" w:cs="Arial"/>
                <w:b/>
                <w:color w:val="000000"/>
                <w:sz w:val="18"/>
                <w:szCs w:val="16"/>
              </w:rPr>
              <w:t>31/12/201</w:t>
            </w:r>
            <w:r>
              <w:rPr>
                <w:rFonts w:ascii="Arial" w:hAnsi="Arial" w:cs="Arial"/>
                <w:b/>
                <w:color w:val="000000"/>
                <w:sz w:val="18"/>
                <w:szCs w:val="16"/>
              </w:rPr>
              <w:t>8</w:t>
            </w:r>
          </w:p>
        </w:tc>
      </w:tr>
      <w:tr w:rsidR="00CB5C36" w:rsidRPr="00701F32" w14:paraId="5AADC74A" w14:textId="77777777" w:rsidTr="00B57E77">
        <w:trPr>
          <w:trHeight w:val="259"/>
        </w:trPr>
        <w:tc>
          <w:tcPr>
            <w:tcW w:w="4975" w:type="dxa"/>
            <w:tcBorders>
              <w:top w:val="nil"/>
              <w:left w:val="single" w:sz="4" w:space="0" w:color="auto"/>
              <w:bottom w:val="single" w:sz="4" w:space="0" w:color="auto"/>
              <w:right w:val="single" w:sz="4" w:space="0" w:color="auto"/>
            </w:tcBorders>
            <w:shd w:val="clear" w:color="auto" w:fill="auto"/>
            <w:noWrap/>
            <w:vAlign w:val="center"/>
            <w:hideMark/>
          </w:tcPr>
          <w:p w14:paraId="24141437" w14:textId="77777777" w:rsidR="00CB5C36" w:rsidRPr="00D27B18" w:rsidRDefault="00CB5C36" w:rsidP="00CB5C36">
            <w:pPr>
              <w:jc w:val="both"/>
              <w:rPr>
                <w:rFonts w:ascii="Arial" w:hAnsi="Arial" w:cs="Arial"/>
                <w:color w:val="000000"/>
                <w:sz w:val="16"/>
                <w:szCs w:val="16"/>
              </w:rPr>
            </w:pPr>
            <w:r w:rsidRPr="00D27B18">
              <w:rPr>
                <w:rFonts w:ascii="Arial" w:hAnsi="Arial" w:cs="Arial"/>
                <w:color w:val="000000"/>
                <w:sz w:val="16"/>
                <w:szCs w:val="16"/>
              </w:rPr>
              <w:t>Mercado Abierto Electrónico S.A.</w:t>
            </w:r>
          </w:p>
        </w:tc>
        <w:tc>
          <w:tcPr>
            <w:tcW w:w="1750" w:type="dxa"/>
            <w:tcBorders>
              <w:top w:val="single" w:sz="4" w:space="0" w:color="auto"/>
              <w:left w:val="single" w:sz="4" w:space="0" w:color="auto"/>
              <w:bottom w:val="single" w:sz="4" w:space="0" w:color="auto"/>
              <w:right w:val="single" w:sz="4" w:space="0" w:color="auto"/>
            </w:tcBorders>
            <w:vAlign w:val="bottom"/>
          </w:tcPr>
          <w:p w14:paraId="31583EAC" w14:textId="640A526F" w:rsidR="00CB5C36" w:rsidRPr="00D27B18" w:rsidRDefault="004B14D7" w:rsidP="00CB5C36">
            <w:pPr>
              <w:jc w:val="right"/>
              <w:rPr>
                <w:rFonts w:ascii="Arial" w:hAnsi="Arial" w:cs="Arial"/>
                <w:color w:val="000000"/>
                <w:sz w:val="16"/>
                <w:szCs w:val="16"/>
              </w:rPr>
            </w:pPr>
            <w:r w:rsidRPr="004B14D7">
              <w:rPr>
                <w:rFonts w:ascii="Arial" w:hAnsi="Arial" w:cs="Arial"/>
                <w:color w:val="000000"/>
                <w:sz w:val="16"/>
                <w:szCs w:val="16"/>
              </w:rPr>
              <w:t>4.610</w:t>
            </w:r>
          </w:p>
        </w:tc>
        <w:tc>
          <w:tcPr>
            <w:tcW w:w="1750" w:type="dxa"/>
            <w:tcBorders>
              <w:top w:val="nil"/>
              <w:left w:val="single" w:sz="4" w:space="0" w:color="auto"/>
              <w:bottom w:val="single" w:sz="4" w:space="0" w:color="auto"/>
              <w:right w:val="single" w:sz="4" w:space="0" w:color="auto"/>
            </w:tcBorders>
            <w:shd w:val="clear" w:color="auto" w:fill="auto"/>
            <w:noWrap/>
            <w:vAlign w:val="bottom"/>
            <w:hideMark/>
          </w:tcPr>
          <w:p w14:paraId="21692B45" w14:textId="6A161735" w:rsidR="00CB5C36" w:rsidRPr="00D27B18" w:rsidRDefault="00CB5C36" w:rsidP="00CB5C36">
            <w:pPr>
              <w:jc w:val="right"/>
              <w:rPr>
                <w:rFonts w:ascii="Arial" w:hAnsi="Arial" w:cs="Arial"/>
                <w:color w:val="000000"/>
                <w:sz w:val="16"/>
                <w:szCs w:val="16"/>
              </w:rPr>
            </w:pPr>
            <w:r w:rsidRPr="00D27B18">
              <w:rPr>
                <w:rFonts w:ascii="Arial" w:hAnsi="Arial" w:cs="Arial"/>
                <w:color w:val="000000"/>
                <w:sz w:val="16"/>
                <w:szCs w:val="16"/>
              </w:rPr>
              <w:t>4.610</w:t>
            </w:r>
          </w:p>
        </w:tc>
      </w:tr>
      <w:tr w:rsidR="00CB5C36" w:rsidRPr="00701F32" w14:paraId="4DA0A3BE" w14:textId="77777777" w:rsidTr="00B57E77">
        <w:trPr>
          <w:trHeight w:val="259"/>
        </w:trPr>
        <w:tc>
          <w:tcPr>
            <w:tcW w:w="4975" w:type="dxa"/>
            <w:tcBorders>
              <w:top w:val="nil"/>
              <w:left w:val="single" w:sz="4" w:space="0" w:color="auto"/>
              <w:bottom w:val="single" w:sz="4" w:space="0" w:color="auto"/>
              <w:right w:val="single" w:sz="4" w:space="0" w:color="auto"/>
            </w:tcBorders>
            <w:shd w:val="clear" w:color="auto" w:fill="auto"/>
            <w:noWrap/>
            <w:vAlign w:val="center"/>
            <w:hideMark/>
          </w:tcPr>
          <w:p w14:paraId="57C337D3" w14:textId="77777777" w:rsidR="00CB5C36" w:rsidRPr="00D27B18" w:rsidRDefault="00CB5C36" w:rsidP="00CB5C36">
            <w:pPr>
              <w:jc w:val="both"/>
              <w:rPr>
                <w:rFonts w:ascii="Arial" w:hAnsi="Arial" w:cs="Arial"/>
                <w:color w:val="000000"/>
                <w:sz w:val="16"/>
                <w:szCs w:val="16"/>
              </w:rPr>
            </w:pPr>
            <w:r w:rsidRPr="00D27B18">
              <w:rPr>
                <w:rFonts w:ascii="Arial" w:hAnsi="Arial" w:cs="Arial"/>
                <w:color w:val="000000"/>
                <w:sz w:val="16"/>
                <w:szCs w:val="16"/>
              </w:rPr>
              <w:t>Seguro de Depósitos S.A</w:t>
            </w:r>
          </w:p>
        </w:tc>
        <w:tc>
          <w:tcPr>
            <w:tcW w:w="1750" w:type="dxa"/>
            <w:tcBorders>
              <w:top w:val="single" w:sz="4" w:space="0" w:color="auto"/>
              <w:left w:val="single" w:sz="4" w:space="0" w:color="auto"/>
              <w:bottom w:val="single" w:sz="4" w:space="0" w:color="auto"/>
              <w:right w:val="single" w:sz="4" w:space="0" w:color="auto"/>
            </w:tcBorders>
            <w:vAlign w:val="bottom"/>
          </w:tcPr>
          <w:p w14:paraId="7741809A" w14:textId="171FC775" w:rsidR="00CB5C36" w:rsidRPr="00D27B18" w:rsidRDefault="004B14D7" w:rsidP="00CB5C36">
            <w:pPr>
              <w:jc w:val="right"/>
              <w:rPr>
                <w:rFonts w:ascii="Arial" w:hAnsi="Arial" w:cs="Arial"/>
                <w:color w:val="000000"/>
                <w:sz w:val="16"/>
                <w:szCs w:val="16"/>
              </w:rPr>
            </w:pPr>
            <w:r w:rsidRPr="004B14D7">
              <w:rPr>
                <w:rFonts w:ascii="Arial" w:hAnsi="Arial" w:cs="Arial"/>
                <w:color w:val="000000"/>
                <w:sz w:val="16"/>
                <w:szCs w:val="16"/>
              </w:rPr>
              <w:t>1.614</w:t>
            </w:r>
          </w:p>
        </w:tc>
        <w:tc>
          <w:tcPr>
            <w:tcW w:w="1750" w:type="dxa"/>
            <w:tcBorders>
              <w:top w:val="nil"/>
              <w:left w:val="single" w:sz="4" w:space="0" w:color="auto"/>
              <w:bottom w:val="single" w:sz="4" w:space="0" w:color="auto"/>
              <w:right w:val="single" w:sz="4" w:space="0" w:color="auto"/>
            </w:tcBorders>
            <w:shd w:val="clear" w:color="auto" w:fill="auto"/>
            <w:noWrap/>
            <w:vAlign w:val="bottom"/>
            <w:hideMark/>
          </w:tcPr>
          <w:p w14:paraId="26EF83D1" w14:textId="4DF31748" w:rsidR="00CB5C36" w:rsidRPr="00D27B18" w:rsidRDefault="00CB5C36" w:rsidP="00CB5C36">
            <w:pPr>
              <w:jc w:val="right"/>
              <w:rPr>
                <w:rFonts w:ascii="Arial" w:hAnsi="Arial" w:cs="Arial"/>
                <w:color w:val="000000"/>
                <w:sz w:val="16"/>
                <w:szCs w:val="16"/>
              </w:rPr>
            </w:pPr>
            <w:r w:rsidRPr="00D27B18">
              <w:rPr>
                <w:rFonts w:ascii="Arial" w:hAnsi="Arial" w:cs="Arial"/>
                <w:sz w:val="16"/>
                <w:szCs w:val="16"/>
              </w:rPr>
              <w:t>1.614</w:t>
            </w:r>
          </w:p>
        </w:tc>
      </w:tr>
      <w:tr w:rsidR="00CB5C36" w:rsidRPr="00701F32" w14:paraId="1153E1F4" w14:textId="77777777" w:rsidTr="00B57E77">
        <w:trPr>
          <w:trHeight w:val="259"/>
        </w:trPr>
        <w:tc>
          <w:tcPr>
            <w:tcW w:w="4975" w:type="dxa"/>
            <w:tcBorders>
              <w:top w:val="nil"/>
              <w:left w:val="single" w:sz="4" w:space="0" w:color="auto"/>
              <w:bottom w:val="single" w:sz="4" w:space="0" w:color="auto"/>
              <w:right w:val="single" w:sz="4" w:space="0" w:color="auto"/>
            </w:tcBorders>
            <w:shd w:val="clear" w:color="auto" w:fill="auto"/>
            <w:noWrap/>
            <w:vAlign w:val="center"/>
            <w:hideMark/>
          </w:tcPr>
          <w:p w14:paraId="26B6A06B" w14:textId="77777777" w:rsidR="00CB5C36" w:rsidRPr="00D27B18" w:rsidRDefault="00CB5C36" w:rsidP="00CB5C36">
            <w:pPr>
              <w:jc w:val="both"/>
              <w:rPr>
                <w:rFonts w:ascii="Arial" w:hAnsi="Arial" w:cs="Arial"/>
                <w:color w:val="000000"/>
                <w:sz w:val="16"/>
                <w:szCs w:val="16"/>
              </w:rPr>
            </w:pPr>
            <w:r w:rsidRPr="00D27B18">
              <w:rPr>
                <w:rFonts w:ascii="Arial" w:hAnsi="Arial" w:cs="Arial"/>
                <w:color w:val="000000"/>
                <w:sz w:val="16"/>
                <w:szCs w:val="16"/>
              </w:rPr>
              <w:t>Compensador Electrónica S.A.</w:t>
            </w:r>
          </w:p>
        </w:tc>
        <w:tc>
          <w:tcPr>
            <w:tcW w:w="1750" w:type="dxa"/>
            <w:tcBorders>
              <w:top w:val="single" w:sz="4" w:space="0" w:color="auto"/>
              <w:left w:val="single" w:sz="4" w:space="0" w:color="auto"/>
              <w:bottom w:val="single" w:sz="4" w:space="0" w:color="auto"/>
              <w:right w:val="single" w:sz="4" w:space="0" w:color="auto"/>
            </w:tcBorders>
            <w:vAlign w:val="bottom"/>
          </w:tcPr>
          <w:p w14:paraId="4734EE08" w14:textId="4EC37807" w:rsidR="00CB5C36" w:rsidRPr="00D27B18" w:rsidRDefault="004B14D7" w:rsidP="00CB5C36">
            <w:pPr>
              <w:jc w:val="right"/>
              <w:rPr>
                <w:rFonts w:ascii="Arial" w:hAnsi="Arial" w:cs="Arial"/>
                <w:color w:val="000000"/>
                <w:sz w:val="16"/>
                <w:szCs w:val="16"/>
              </w:rPr>
            </w:pPr>
            <w:r w:rsidRPr="004B14D7">
              <w:rPr>
                <w:rFonts w:ascii="Arial" w:hAnsi="Arial" w:cs="Arial"/>
                <w:color w:val="000000"/>
                <w:sz w:val="16"/>
                <w:szCs w:val="16"/>
              </w:rPr>
              <w:t>919</w:t>
            </w:r>
          </w:p>
        </w:tc>
        <w:tc>
          <w:tcPr>
            <w:tcW w:w="1750" w:type="dxa"/>
            <w:tcBorders>
              <w:top w:val="nil"/>
              <w:left w:val="single" w:sz="4" w:space="0" w:color="auto"/>
              <w:bottom w:val="single" w:sz="4" w:space="0" w:color="auto"/>
              <w:right w:val="single" w:sz="4" w:space="0" w:color="auto"/>
            </w:tcBorders>
            <w:shd w:val="clear" w:color="auto" w:fill="auto"/>
            <w:noWrap/>
            <w:vAlign w:val="bottom"/>
            <w:hideMark/>
          </w:tcPr>
          <w:p w14:paraId="549C757B" w14:textId="4CA7ADB8" w:rsidR="00CB5C36" w:rsidRPr="00D27B18" w:rsidRDefault="00CB5C36" w:rsidP="00CB5C36">
            <w:pPr>
              <w:jc w:val="right"/>
              <w:rPr>
                <w:rFonts w:ascii="Arial" w:hAnsi="Arial" w:cs="Arial"/>
                <w:color w:val="000000"/>
                <w:sz w:val="16"/>
                <w:szCs w:val="16"/>
              </w:rPr>
            </w:pPr>
            <w:r w:rsidRPr="00D27B18">
              <w:rPr>
                <w:rFonts w:ascii="Arial" w:hAnsi="Arial" w:cs="Arial"/>
                <w:sz w:val="16"/>
                <w:szCs w:val="16"/>
              </w:rPr>
              <w:t>919</w:t>
            </w:r>
          </w:p>
        </w:tc>
      </w:tr>
      <w:tr w:rsidR="00CB5C36" w:rsidRPr="00701F32" w14:paraId="70630163" w14:textId="77777777" w:rsidTr="00B57E77">
        <w:trPr>
          <w:trHeight w:val="259"/>
        </w:trPr>
        <w:tc>
          <w:tcPr>
            <w:tcW w:w="4975" w:type="dxa"/>
            <w:tcBorders>
              <w:top w:val="nil"/>
              <w:left w:val="single" w:sz="4" w:space="0" w:color="auto"/>
              <w:bottom w:val="single" w:sz="4" w:space="0" w:color="auto"/>
              <w:right w:val="single" w:sz="4" w:space="0" w:color="auto"/>
            </w:tcBorders>
            <w:shd w:val="clear" w:color="auto" w:fill="auto"/>
            <w:noWrap/>
            <w:vAlign w:val="center"/>
            <w:hideMark/>
          </w:tcPr>
          <w:p w14:paraId="5A100131" w14:textId="77777777" w:rsidR="00CB5C36" w:rsidRPr="00D27B18" w:rsidRDefault="00CB5C36" w:rsidP="00CB5C36">
            <w:pPr>
              <w:jc w:val="both"/>
              <w:rPr>
                <w:rFonts w:ascii="Arial" w:hAnsi="Arial" w:cs="Arial"/>
                <w:color w:val="000000"/>
                <w:sz w:val="16"/>
                <w:szCs w:val="16"/>
              </w:rPr>
            </w:pPr>
            <w:r w:rsidRPr="00D27B18">
              <w:rPr>
                <w:rFonts w:ascii="Arial" w:hAnsi="Arial" w:cs="Arial"/>
                <w:color w:val="000000"/>
                <w:sz w:val="16"/>
                <w:szCs w:val="16"/>
              </w:rPr>
              <w:t>Provincanje S.A.</w:t>
            </w:r>
          </w:p>
        </w:tc>
        <w:tc>
          <w:tcPr>
            <w:tcW w:w="1750" w:type="dxa"/>
            <w:tcBorders>
              <w:top w:val="single" w:sz="4" w:space="0" w:color="auto"/>
              <w:left w:val="single" w:sz="4" w:space="0" w:color="auto"/>
              <w:bottom w:val="single" w:sz="4" w:space="0" w:color="auto"/>
              <w:right w:val="single" w:sz="4" w:space="0" w:color="auto"/>
            </w:tcBorders>
            <w:vAlign w:val="bottom"/>
          </w:tcPr>
          <w:p w14:paraId="330A8D71" w14:textId="5E329CCA" w:rsidR="00CB5C36" w:rsidRPr="00D27B18" w:rsidRDefault="004B14D7" w:rsidP="00CB5C36">
            <w:pPr>
              <w:jc w:val="right"/>
              <w:rPr>
                <w:rFonts w:ascii="Arial" w:hAnsi="Arial" w:cs="Arial"/>
                <w:color w:val="000000"/>
                <w:sz w:val="16"/>
                <w:szCs w:val="16"/>
              </w:rPr>
            </w:pPr>
            <w:r w:rsidRPr="004B14D7">
              <w:rPr>
                <w:rFonts w:ascii="Arial" w:hAnsi="Arial" w:cs="Arial"/>
                <w:color w:val="000000"/>
                <w:sz w:val="16"/>
                <w:szCs w:val="16"/>
              </w:rPr>
              <w:t>27</w:t>
            </w:r>
            <w:r w:rsidR="00A34393">
              <w:rPr>
                <w:rFonts w:ascii="Arial" w:hAnsi="Arial" w:cs="Arial"/>
                <w:color w:val="000000"/>
                <w:sz w:val="16"/>
                <w:szCs w:val="16"/>
              </w:rPr>
              <w:t>2</w:t>
            </w:r>
          </w:p>
        </w:tc>
        <w:tc>
          <w:tcPr>
            <w:tcW w:w="1750" w:type="dxa"/>
            <w:tcBorders>
              <w:top w:val="nil"/>
              <w:left w:val="single" w:sz="4" w:space="0" w:color="auto"/>
              <w:bottom w:val="single" w:sz="4" w:space="0" w:color="auto"/>
              <w:right w:val="single" w:sz="4" w:space="0" w:color="auto"/>
            </w:tcBorders>
            <w:shd w:val="clear" w:color="auto" w:fill="auto"/>
            <w:noWrap/>
            <w:vAlign w:val="bottom"/>
            <w:hideMark/>
          </w:tcPr>
          <w:p w14:paraId="36E0FD52" w14:textId="56B5D0D7" w:rsidR="00CB5C36" w:rsidRPr="00D27B18" w:rsidRDefault="00CB5C36" w:rsidP="00CB5C36">
            <w:pPr>
              <w:jc w:val="right"/>
              <w:rPr>
                <w:rFonts w:ascii="Arial" w:hAnsi="Arial" w:cs="Arial"/>
                <w:color w:val="000000"/>
                <w:sz w:val="16"/>
                <w:szCs w:val="16"/>
              </w:rPr>
            </w:pPr>
            <w:r w:rsidRPr="00D27B18">
              <w:rPr>
                <w:rFonts w:ascii="Arial" w:hAnsi="Arial" w:cs="Arial"/>
                <w:sz w:val="16"/>
                <w:szCs w:val="16"/>
              </w:rPr>
              <w:t>27</w:t>
            </w:r>
            <w:r w:rsidR="00A34393">
              <w:rPr>
                <w:rFonts w:ascii="Arial" w:hAnsi="Arial" w:cs="Arial"/>
                <w:sz w:val="16"/>
                <w:szCs w:val="16"/>
              </w:rPr>
              <w:t>2</w:t>
            </w:r>
          </w:p>
        </w:tc>
      </w:tr>
      <w:tr w:rsidR="00CB5C36" w:rsidRPr="00701F32" w14:paraId="55A833CA" w14:textId="77777777" w:rsidTr="00B57E77">
        <w:trPr>
          <w:trHeight w:val="259"/>
        </w:trPr>
        <w:tc>
          <w:tcPr>
            <w:tcW w:w="4975" w:type="dxa"/>
            <w:tcBorders>
              <w:top w:val="nil"/>
              <w:left w:val="single" w:sz="4" w:space="0" w:color="auto"/>
              <w:bottom w:val="single" w:sz="4" w:space="0" w:color="auto"/>
              <w:right w:val="single" w:sz="4" w:space="0" w:color="auto"/>
            </w:tcBorders>
            <w:shd w:val="clear" w:color="auto" w:fill="auto"/>
            <w:noWrap/>
            <w:vAlign w:val="center"/>
            <w:hideMark/>
          </w:tcPr>
          <w:p w14:paraId="21392190" w14:textId="77777777" w:rsidR="00CB5C36" w:rsidRPr="00D27B18" w:rsidRDefault="00CB5C36" w:rsidP="00CB5C36">
            <w:pPr>
              <w:jc w:val="both"/>
              <w:rPr>
                <w:rFonts w:ascii="Arial" w:hAnsi="Arial" w:cs="Arial"/>
                <w:color w:val="000000"/>
                <w:sz w:val="16"/>
                <w:szCs w:val="16"/>
              </w:rPr>
            </w:pPr>
            <w:r w:rsidRPr="00D27B18">
              <w:rPr>
                <w:rFonts w:ascii="Arial" w:hAnsi="Arial" w:cs="Arial"/>
                <w:color w:val="000000"/>
                <w:sz w:val="16"/>
                <w:szCs w:val="16"/>
              </w:rPr>
              <w:t>Cuyo Aval Sociedad de Garantía Recíproca</w:t>
            </w:r>
          </w:p>
        </w:tc>
        <w:tc>
          <w:tcPr>
            <w:tcW w:w="1750" w:type="dxa"/>
            <w:tcBorders>
              <w:top w:val="single" w:sz="4" w:space="0" w:color="auto"/>
              <w:left w:val="single" w:sz="4" w:space="0" w:color="auto"/>
              <w:bottom w:val="single" w:sz="4" w:space="0" w:color="auto"/>
              <w:right w:val="single" w:sz="4" w:space="0" w:color="auto"/>
            </w:tcBorders>
            <w:vAlign w:val="bottom"/>
          </w:tcPr>
          <w:p w14:paraId="27C948B0" w14:textId="411F6C99" w:rsidR="00CB5C36" w:rsidRPr="00D27B18" w:rsidRDefault="004B14D7" w:rsidP="00CB5C36">
            <w:pPr>
              <w:jc w:val="right"/>
              <w:rPr>
                <w:rFonts w:ascii="Arial" w:hAnsi="Arial" w:cs="Arial"/>
                <w:color w:val="000000"/>
                <w:sz w:val="16"/>
                <w:szCs w:val="16"/>
              </w:rPr>
            </w:pPr>
            <w:r w:rsidRPr="004B14D7">
              <w:rPr>
                <w:rFonts w:ascii="Arial" w:hAnsi="Arial" w:cs="Arial"/>
                <w:color w:val="000000"/>
                <w:sz w:val="16"/>
                <w:szCs w:val="16"/>
              </w:rPr>
              <w:t>1.049</w:t>
            </w:r>
          </w:p>
        </w:tc>
        <w:tc>
          <w:tcPr>
            <w:tcW w:w="1750" w:type="dxa"/>
            <w:tcBorders>
              <w:top w:val="nil"/>
              <w:left w:val="single" w:sz="4" w:space="0" w:color="auto"/>
              <w:bottom w:val="single" w:sz="4" w:space="0" w:color="auto"/>
              <w:right w:val="single" w:sz="4" w:space="0" w:color="auto"/>
            </w:tcBorders>
            <w:shd w:val="clear" w:color="auto" w:fill="auto"/>
            <w:noWrap/>
            <w:vAlign w:val="bottom"/>
            <w:hideMark/>
          </w:tcPr>
          <w:p w14:paraId="6FF64454" w14:textId="1A8823F0" w:rsidR="00CB5C36" w:rsidRPr="00D27B18" w:rsidRDefault="00CB5C36" w:rsidP="00CB5C36">
            <w:pPr>
              <w:jc w:val="right"/>
              <w:rPr>
                <w:rFonts w:ascii="Arial" w:hAnsi="Arial" w:cs="Arial"/>
                <w:color w:val="000000"/>
                <w:sz w:val="16"/>
                <w:szCs w:val="16"/>
              </w:rPr>
            </w:pPr>
            <w:r w:rsidRPr="00D27B18">
              <w:rPr>
                <w:rFonts w:ascii="Arial" w:hAnsi="Arial" w:cs="Arial"/>
                <w:color w:val="000000"/>
                <w:sz w:val="16"/>
                <w:szCs w:val="16"/>
              </w:rPr>
              <w:t>899</w:t>
            </w:r>
          </w:p>
        </w:tc>
      </w:tr>
      <w:tr w:rsidR="00CB5C36" w:rsidRPr="00701F32" w14:paraId="4ED43835" w14:textId="77777777" w:rsidTr="00B57E77">
        <w:trPr>
          <w:trHeight w:val="259"/>
        </w:trPr>
        <w:tc>
          <w:tcPr>
            <w:tcW w:w="4975" w:type="dxa"/>
            <w:tcBorders>
              <w:top w:val="nil"/>
              <w:left w:val="single" w:sz="4" w:space="0" w:color="auto"/>
              <w:bottom w:val="single" w:sz="4" w:space="0" w:color="auto"/>
              <w:right w:val="single" w:sz="4" w:space="0" w:color="auto"/>
            </w:tcBorders>
            <w:shd w:val="clear" w:color="auto" w:fill="auto"/>
            <w:noWrap/>
            <w:vAlign w:val="center"/>
            <w:hideMark/>
          </w:tcPr>
          <w:p w14:paraId="30D7AE2A" w14:textId="77777777" w:rsidR="00CB5C36" w:rsidRPr="00D27B18" w:rsidRDefault="00CB5C36" w:rsidP="00CB5C36">
            <w:pPr>
              <w:jc w:val="both"/>
              <w:rPr>
                <w:rFonts w:ascii="Arial" w:hAnsi="Arial" w:cs="Arial"/>
                <w:color w:val="000000"/>
                <w:sz w:val="16"/>
                <w:szCs w:val="16"/>
              </w:rPr>
            </w:pPr>
            <w:r w:rsidRPr="00D27B18">
              <w:rPr>
                <w:rFonts w:ascii="Arial" w:hAnsi="Arial" w:cs="Arial"/>
                <w:color w:val="000000"/>
                <w:sz w:val="16"/>
                <w:szCs w:val="16"/>
              </w:rPr>
              <w:t>Argencontrol S.A.</w:t>
            </w:r>
          </w:p>
        </w:tc>
        <w:tc>
          <w:tcPr>
            <w:tcW w:w="1750" w:type="dxa"/>
            <w:tcBorders>
              <w:top w:val="single" w:sz="4" w:space="0" w:color="auto"/>
              <w:left w:val="single" w:sz="4" w:space="0" w:color="auto"/>
              <w:bottom w:val="single" w:sz="4" w:space="0" w:color="auto"/>
              <w:right w:val="single" w:sz="4" w:space="0" w:color="auto"/>
            </w:tcBorders>
            <w:vAlign w:val="bottom"/>
          </w:tcPr>
          <w:p w14:paraId="5D415CAB" w14:textId="1676ED91" w:rsidR="00CB5C36" w:rsidRPr="00D27B18" w:rsidRDefault="004B14D7" w:rsidP="00CB5C36">
            <w:pPr>
              <w:jc w:val="right"/>
              <w:rPr>
                <w:rFonts w:ascii="Arial" w:hAnsi="Arial" w:cs="Arial"/>
                <w:color w:val="000000"/>
                <w:sz w:val="16"/>
                <w:szCs w:val="16"/>
              </w:rPr>
            </w:pPr>
            <w:r>
              <w:rPr>
                <w:rFonts w:ascii="Arial" w:hAnsi="Arial" w:cs="Arial"/>
                <w:color w:val="000000"/>
                <w:sz w:val="16"/>
                <w:szCs w:val="16"/>
              </w:rPr>
              <w:t>125</w:t>
            </w:r>
          </w:p>
        </w:tc>
        <w:tc>
          <w:tcPr>
            <w:tcW w:w="1750" w:type="dxa"/>
            <w:tcBorders>
              <w:top w:val="nil"/>
              <w:left w:val="single" w:sz="4" w:space="0" w:color="auto"/>
              <w:bottom w:val="single" w:sz="4" w:space="0" w:color="auto"/>
              <w:right w:val="single" w:sz="4" w:space="0" w:color="auto"/>
            </w:tcBorders>
            <w:shd w:val="clear" w:color="auto" w:fill="auto"/>
            <w:noWrap/>
            <w:vAlign w:val="bottom"/>
            <w:hideMark/>
          </w:tcPr>
          <w:p w14:paraId="2F8CFD0A" w14:textId="2B96483B" w:rsidR="00CB5C36" w:rsidRPr="00D27B18" w:rsidRDefault="00CB5C36" w:rsidP="00CB5C36">
            <w:pPr>
              <w:jc w:val="right"/>
              <w:rPr>
                <w:rFonts w:ascii="Arial" w:hAnsi="Arial" w:cs="Arial"/>
                <w:color w:val="000000"/>
                <w:sz w:val="16"/>
                <w:szCs w:val="16"/>
              </w:rPr>
            </w:pPr>
            <w:r w:rsidRPr="00D27B18">
              <w:rPr>
                <w:rFonts w:ascii="Arial" w:hAnsi="Arial" w:cs="Arial"/>
                <w:color w:val="000000"/>
                <w:sz w:val="16"/>
                <w:szCs w:val="16"/>
              </w:rPr>
              <w:t>125</w:t>
            </w:r>
          </w:p>
        </w:tc>
      </w:tr>
      <w:tr w:rsidR="00CB5C36" w:rsidRPr="00701F32" w14:paraId="39EA00EE" w14:textId="77777777" w:rsidTr="00B57E77">
        <w:trPr>
          <w:trHeight w:val="259"/>
        </w:trPr>
        <w:tc>
          <w:tcPr>
            <w:tcW w:w="4975" w:type="dxa"/>
            <w:tcBorders>
              <w:top w:val="nil"/>
              <w:left w:val="single" w:sz="4" w:space="0" w:color="auto"/>
              <w:bottom w:val="single" w:sz="4" w:space="0" w:color="auto"/>
              <w:right w:val="single" w:sz="4" w:space="0" w:color="auto"/>
            </w:tcBorders>
            <w:shd w:val="clear" w:color="auto" w:fill="auto"/>
            <w:noWrap/>
            <w:vAlign w:val="center"/>
            <w:hideMark/>
          </w:tcPr>
          <w:p w14:paraId="3E7D1F59" w14:textId="77777777" w:rsidR="00CB5C36" w:rsidRPr="00D27B18" w:rsidRDefault="00CB5C36" w:rsidP="00CB5C36">
            <w:pPr>
              <w:jc w:val="both"/>
              <w:rPr>
                <w:rFonts w:ascii="Arial" w:hAnsi="Arial" w:cs="Arial"/>
                <w:color w:val="000000"/>
                <w:sz w:val="16"/>
                <w:szCs w:val="16"/>
              </w:rPr>
            </w:pPr>
            <w:r w:rsidRPr="00D27B18">
              <w:rPr>
                <w:rFonts w:ascii="Arial" w:hAnsi="Arial" w:cs="Arial"/>
                <w:color w:val="000000"/>
                <w:sz w:val="16"/>
                <w:szCs w:val="16"/>
              </w:rPr>
              <w:t>Los Grobo Sociedad de Garantía Recíproca</w:t>
            </w:r>
          </w:p>
        </w:tc>
        <w:tc>
          <w:tcPr>
            <w:tcW w:w="1750" w:type="dxa"/>
            <w:tcBorders>
              <w:top w:val="single" w:sz="4" w:space="0" w:color="auto"/>
              <w:left w:val="single" w:sz="4" w:space="0" w:color="auto"/>
              <w:bottom w:val="single" w:sz="4" w:space="0" w:color="auto"/>
              <w:right w:val="single" w:sz="4" w:space="0" w:color="auto"/>
            </w:tcBorders>
            <w:vAlign w:val="bottom"/>
          </w:tcPr>
          <w:p w14:paraId="612867DB" w14:textId="3FF9ED84" w:rsidR="00CB5C36" w:rsidRPr="00D27B18" w:rsidRDefault="004B14D7" w:rsidP="00CB5C36">
            <w:pPr>
              <w:jc w:val="right"/>
              <w:rPr>
                <w:rFonts w:ascii="Arial" w:hAnsi="Arial" w:cs="Arial"/>
                <w:color w:val="000000"/>
                <w:sz w:val="16"/>
                <w:szCs w:val="16"/>
              </w:rPr>
            </w:pPr>
            <w:r w:rsidRPr="004B14D7">
              <w:rPr>
                <w:rFonts w:ascii="Arial" w:hAnsi="Arial" w:cs="Arial"/>
                <w:color w:val="000000"/>
                <w:sz w:val="16"/>
                <w:szCs w:val="16"/>
              </w:rPr>
              <w:t>70</w:t>
            </w:r>
          </w:p>
        </w:tc>
        <w:tc>
          <w:tcPr>
            <w:tcW w:w="1750" w:type="dxa"/>
            <w:tcBorders>
              <w:top w:val="nil"/>
              <w:left w:val="single" w:sz="4" w:space="0" w:color="auto"/>
              <w:bottom w:val="single" w:sz="4" w:space="0" w:color="auto"/>
              <w:right w:val="single" w:sz="4" w:space="0" w:color="auto"/>
            </w:tcBorders>
            <w:shd w:val="clear" w:color="auto" w:fill="auto"/>
            <w:noWrap/>
            <w:vAlign w:val="bottom"/>
            <w:hideMark/>
          </w:tcPr>
          <w:p w14:paraId="6625242F" w14:textId="0A09D649" w:rsidR="00CB5C36" w:rsidRPr="00D27B18" w:rsidRDefault="00CB5C36" w:rsidP="00CB5C36">
            <w:pPr>
              <w:jc w:val="right"/>
              <w:rPr>
                <w:rFonts w:ascii="Arial" w:hAnsi="Arial" w:cs="Arial"/>
                <w:color w:val="000000"/>
                <w:sz w:val="16"/>
                <w:szCs w:val="16"/>
              </w:rPr>
            </w:pPr>
            <w:r w:rsidRPr="00D27B18">
              <w:rPr>
                <w:rFonts w:ascii="Arial" w:hAnsi="Arial" w:cs="Arial"/>
                <w:color w:val="000000"/>
                <w:sz w:val="16"/>
                <w:szCs w:val="16"/>
              </w:rPr>
              <w:t>209</w:t>
            </w:r>
          </w:p>
        </w:tc>
      </w:tr>
      <w:tr w:rsidR="00CB5C36" w:rsidRPr="00701F32" w14:paraId="52F8B04B" w14:textId="77777777" w:rsidTr="00B57E77">
        <w:trPr>
          <w:trHeight w:val="259"/>
        </w:trPr>
        <w:tc>
          <w:tcPr>
            <w:tcW w:w="4975" w:type="dxa"/>
            <w:tcBorders>
              <w:top w:val="nil"/>
              <w:left w:val="single" w:sz="4" w:space="0" w:color="auto"/>
              <w:bottom w:val="single" w:sz="4" w:space="0" w:color="auto"/>
              <w:right w:val="single" w:sz="4" w:space="0" w:color="auto"/>
            </w:tcBorders>
            <w:shd w:val="clear" w:color="auto" w:fill="auto"/>
            <w:noWrap/>
            <w:vAlign w:val="center"/>
            <w:hideMark/>
          </w:tcPr>
          <w:p w14:paraId="61328CD7" w14:textId="77777777" w:rsidR="00CB5C36" w:rsidRPr="00D27B18" w:rsidRDefault="00CB5C36" w:rsidP="00CB5C36">
            <w:pPr>
              <w:jc w:val="both"/>
              <w:rPr>
                <w:rFonts w:ascii="Arial" w:hAnsi="Arial" w:cs="Arial"/>
                <w:color w:val="000000"/>
                <w:sz w:val="16"/>
                <w:szCs w:val="16"/>
              </w:rPr>
            </w:pPr>
            <w:r w:rsidRPr="00D27B18">
              <w:rPr>
                <w:rFonts w:ascii="Arial" w:hAnsi="Arial" w:cs="Arial"/>
                <w:color w:val="000000"/>
                <w:sz w:val="16"/>
                <w:szCs w:val="16"/>
              </w:rPr>
              <w:t>IEBA S.A.</w:t>
            </w:r>
          </w:p>
        </w:tc>
        <w:tc>
          <w:tcPr>
            <w:tcW w:w="1750" w:type="dxa"/>
            <w:tcBorders>
              <w:top w:val="single" w:sz="4" w:space="0" w:color="auto"/>
              <w:left w:val="single" w:sz="4" w:space="0" w:color="auto"/>
              <w:bottom w:val="single" w:sz="4" w:space="0" w:color="auto"/>
              <w:right w:val="single" w:sz="4" w:space="0" w:color="auto"/>
            </w:tcBorders>
            <w:vAlign w:val="bottom"/>
          </w:tcPr>
          <w:p w14:paraId="6B5200E6" w14:textId="1819B1AF" w:rsidR="00CB5C36" w:rsidRPr="00D27B18" w:rsidRDefault="004B14D7" w:rsidP="00CB5C36">
            <w:pPr>
              <w:jc w:val="right"/>
              <w:rPr>
                <w:rFonts w:ascii="Arial" w:hAnsi="Arial" w:cs="Arial"/>
                <w:color w:val="000000"/>
                <w:sz w:val="16"/>
                <w:szCs w:val="16"/>
              </w:rPr>
            </w:pPr>
            <w:r w:rsidRPr="004B14D7">
              <w:rPr>
                <w:rFonts w:ascii="Arial" w:hAnsi="Arial" w:cs="Arial"/>
                <w:color w:val="000000"/>
                <w:sz w:val="16"/>
                <w:szCs w:val="16"/>
              </w:rPr>
              <w:t>6</w:t>
            </w:r>
            <w:r w:rsidR="00F07B96">
              <w:rPr>
                <w:rFonts w:ascii="Arial" w:hAnsi="Arial" w:cs="Arial"/>
                <w:color w:val="000000"/>
                <w:sz w:val="16"/>
                <w:szCs w:val="16"/>
              </w:rPr>
              <w:t>0</w:t>
            </w:r>
          </w:p>
        </w:tc>
        <w:tc>
          <w:tcPr>
            <w:tcW w:w="1750" w:type="dxa"/>
            <w:tcBorders>
              <w:top w:val="nil"/>
              <w:left w:val="single" w:sz="4" w:space="0" w:color="auto"/>
              <w:bottom w:val="single" w:sz="4" w:space="0" w:color="auto"/>
              <w:right w:val="single" w:sz="4" w:space="0" w:color="auto"/>
            </w:tcBorders>
            <w:shd w:val="clear" w:color="auto" w:fill="auto"/>
            <w:noWrap/>
            <w:vAlign w:val="bottom"/>
            <w:hideMark/>
          </w:tcPr>
          <w:p w14:paraId="43F96DDE" w14:textId="2CC2376E" w:rsidR="00CB5C36" w:rsidRPr="00D27B18" w:rsidRDefault="00CB5C36" w:rsidP="00CB5C36">
            <w:pPr>
              <w:jc w:val="right"/>
              <w:rPr>
                <w:rFonts w:ascii="Arial" w:hAnsi="Arial" w:cs="Arial"/>
                <w:color w:val="000000"/>
                <w:sz w:val="16"/>
                <w:szCs w:val="16"/>
              </w:rPr>
            </w:pPr>
            <w:r w:rsidRPr="00D27B18">
              <w:rPr>
                <w:rFonts w:ascii="Arial" w:hAnsi="Arial" w:cs="Arial"/>
                <w:color w:val="000000"/>
                <w:sz w:val="16"/>
                <w:szCs w:val="16"/>
              </w:rPr>
              <w:t>6</w:t>
            </w:r>
            <w:r w:rsidR="00F07B96">
              <w:rPr>
                <w:rFonts w:ascii="Arial" w:hAnsi="Arial" w:cs="Arial"/>
                <w:color w:val="000000"/>
                <w:sz w:val="16"/>
                <w:szCs w:val="16"/>
              </w:rPr>
              <w:t>0</w:t>
            </w:r>
          </w:p>
        </w:tc>
      </w:tr>
      <w:tr w:rsidR="00CB5C36" w:rsidRPr="00701F32" w14:paraId="5904A353" w14:textId="77777777" w:rsidTr="00B57E77">
        <w:trPr>
          <w:trHeight w:val="259"/>
        </w:trPr>
        <w:tc>
          <w:tcPr>
            <w:tcW w:w="4975" w:type="dxa"/>
            <w:tcBorders>
              <w:top w:val="nil"/>
              <w:left w:val="single" w:sz="4" w:space="0" w:color="auto"/>
              <w:bottom w:val="single" w:sz="4" w:space="0" w:color="auto"/>
              <w:right w:val="single" w:sz="4" w:space="0" w:color="auto"/>
            </w:tcBorders>
            <w:shd w:val="clear" w:color="auto" w:fill="auto"/>
            <w:noWrap/>
            <w:vAlign w:val="center"/>
            <w:hideMark/>
          </w:tcPr>
          <w:p w14:paraId="29901480" w14:textId="77777777" w:rsidR="00CB5C36" w:rsidRPr="00D27B18" w:rsidRDefault="00CB5C36" w:rsidP="00CB5C36">
            <w:pPr>
              <w:jc w:val="both"/>
              <w:rPr>
                <w:rFonts w:ascii="Arial" w:hAnsi="Arial" w:cs="Arial"/>
                <w:color w:val="000000"/>
                <w:sz w:val="16"/>
                <w:szCs w:val="16"/>
              </w:rPr>
            </w:pPr>
            <w:r w:rsidRPr="00D27B18">
              <w:rPr>
                <w:rFonts w:ascii="Arial" w:hAnsi="Arial" w:cs="Arial"/>
                <w:color w:val="000000"/>
                <w:sz w:val="16"/>
                <w:szCs w:val="16"/>
              </w:rPr>
              <w:t>Otras Sociedades de Garantía Recíproca</w:t>
            </w:r>
          </w:p>
        </w:tc>
        <w:tc>
          <w:tcPr>
            <w:tcW w:w="1750" w:type="dxa"/>
            <w:tcBorders>
              <w:top w:val="single" w:sz="4" w:space="0" w:color="auto"/>
              <w:left w:val="single" w:sz="4" w:space="0" w:color="auto"/>
              <w:bottom w:val="single" w:sz="4" w:space="0" w:color="auto"/>
              <w:right w:val="single" w:sz="4" w:space="0" w:color="auto"/>
            </w:tcBorders>
            <w:vAlign w:val="bottom"/>
          </w:tcPr>
          <w:p w14:paraId="176F3184" w14:textId="7A60D7CA" w:rsidR="00CB5C36" w:rsidRPr="00D27B18" w:rsidRDefault="004B14D7" w:rsidP="00CB5C36">
            <w:pPr>
              <w:jc w:val="right"/>
              <w:rPr>
                <w:rFonts w:ascii="Arial" w:hAnsi="Arial" w:cs="Arial"/>
                <w:color w:val="000000"/>
                <w:sz w:val="16"/>
                <w:szCs w:val="16"/>
              </w:rPr>
            </w:pPr>
            <w:r>
              <w:rPr>
                <w:rFonts w:ascii="Arial" w:hAnsi="Arial" w:cs="Arial"/>
                <w:color w:val="000000"/>
                <w:sz w:val="16"/>
                <w:szCs w:val="16"/>
              </w:rPr>
              <w:t>64</w:t>
            </w:r>
          </w:p>
        </w:tc>
        <w:tc>
          <w:tcPr>
            <w:tcW w:w="1750" w:type="dxa"/>
            <w:tcBorders>
              <w:top w:val="nil"/>
              <w:left w:val="single" w:sz="4" w:space="0" w:color="auto"/>
              <w:bottom w:val="single" w:sz="4" w:space="0" w:color="auto"/>
              <w:right w:val="single" w:sz="4" w:space="0" w:color="auto"/>
            </w:tcBorders>
            <w:shd w:val="clear" w:color="auto" w:fill="auto"/>
            <w:noWrap/>
            <w:vAlign w:val="bottom"/>
            <w:hideMark/>
          </w:tcPr>
          <w:p w14:paraId="1FCB6594" w14:textId="2B641B1D" w:rsidR="00CB5C36" w:rsidRPr="00D27B18" w:rsidRDefault="00CB5C36" w:rsidP="00CB5C36">
            <w:pPr>
              <w:jc w:val="right"/>
              <w:rPr>
                <w:rFonts w:ascii="Arial" w:hAnsi="Arial" w:cs="Arial"/>
                <w:color w:val="000000"/>
                <w:sz w:val="16"/>
                <w:szCs w:val="16"/>
              </w:rPr>
            </w:pPr>
            <w:r w:rsidRPr="00D27B18">
              <w:rPr>
                <w:rFonts w:ascii="Arial" w:hAnsi="Arial" w:cs="Arial"/>
                <w:sz w:val="16"/>
                <w:szCs w:val="16"/>
              </w:rPr>
              <w:t xml:space="preserve"> 93 </w:t>
            </w:r>
          </w:p>
        </w:tc>
      </w:tr>
      <w:tr w:rsidR="00CB5C36" w:rsidRPr="00D27B18" w14:paraId="41E67572" w14:textId="77777777" w:rsidTr="00B57E77">
        <w:trPr>
          <w:trHeight w:val="259"/>
        </w:trPr>
        <w:tc>
          <w:tcPr>
            <w:tcW w:w="4975" w:type="dxa"/>
            <w:tcBorders>
              <w:top w:val="nil"/>
              <w:left w:val="single" w:sz="4" w:space="0" w:color="auto"/>
              <w:bottom w:val="single" w:sz="4" w:space="0" w:color="auto"/>
              <w:right w:val="single" w:sz="4" w:space="0" w:color="auto"/>
            </w:tcBorders>
            <w:shd w:val="clear" w:color="auto" w:fill="auto"/>
            <w:noWrap/>
            <w:vAlign w:val="center"/>
            <w:hideMark/>
          </w:tcPr>
          <w:p w14:paraId="21FA88B6" w14:textId="77777777" w:rsidR="00CB5C36" w:rsidRPr="00D27B18" w:rsidRDefault="00CB5C36" w:rsidP="00CB5C36">
            <w:pPr>
              <w:jc w:val="both"/>
              <w:rPr>
                <w:rFonts w:ascii="Arial" w:hAnsi="Arial" w:cs="Arial"/>
                <w:b/>
                <w:bCs/>
                <w:color w:val="000000"/>
                <w:sz w:val="18"/>
                <w:szCs w:val="16"/>
              </w:rPr>
            </w:pPr>
            <w:r w:rsidRPr="00D27B18">
              <w:rPr>
                <w:rFonts w:ascii="Arial" w:hAnsi="Arial" w:cs="Arial"/>
                <w:b/>
                <w:bCs/>
                <w:color w:val="000000"/>
                <w:sz w:val="18"/>
                <w:szCs w:val="16"/>
              </w:rPr>
              <w:t>Total</w:t>
            </w:r>
          </w:p>
        </w:tc>
        <w:tc>
          <w:tcPr>
            <w:tcW w:w="1750" w:type="dxa"/>
            <w:tcBorders>
              <w:top w:val="single" w:sz="4" w:space="0" w:color="auto"/>
              <w:left w:val="single" w:sz="4" w:space="0" w:color="auto"/>
              <w:bottom w:val="single" w:sz="4" w:space="0" w:color="auto"/>
              <w:right w:val="single" w:sz="4" w:space="0" w:color="auto"/>
            </w:tcBorders>
            <w:vAlign w:val="bottom"/>
          </w:tcPr>
          <w:p w14:paraId="235B74A0" w14:textId="31D53AEC" w:rsidR="00CB5C36" w:rsidRPr="00D27B18" w:rsidRDefault="004B14D7" w:rsidP="00CB5C36">
            <w:pPr>
              <w:jc w:val="right"/>
              <w:rPr>
                <w:rFonts w:ascii="Arial" w:hAnsi="Arial" w:cs="Arial"/>
                <w:b/>
                <w:bCs/>
                <w:color w:val="000000"/>
                <w:sz w:val="18"/>
                <w:szCs w:val="16"/>
              </w:rPr>
            </w:pPr>
            <w:r>
              <w:rPr>
                <w:rFonts w:ascii="Arial" w:hAnsi="Arial" w:cs="Arial"/>
                <w:b/>
                <w:bCs/>
                <w:color w:val="000000"/>
                <w:sz w:val="18"/>
                <w:szCs w:val="16"/>
              </w:rPr>
              <w:t>8.78</w:t>
            </w:r>
            <w:r w:rsidR="00F07B96">
              <w:rPr>
                <w:rFonts w:ascii="Arial" w:hAnsi="Arial" w:cs="Arial"/>
                <w:b/>
                <w:bCs/>
                <w:color w:val="000000"/>
                <w:sz w:val="18"/>
                <w:szCs w:val="16"/>
              </w:rPr>
              <w:t>3</w:t>
            </w:r>
          </w:p>
        </w:tc>
        <w:tc>
          <w:tcPr>
            <w:tcW w:w="1750" w:type="dxa"/>
            <w:tcBorders>
              <w:top w:val="nil"/>
              <w:left w:val="single" w:sz="4" w:space="0" w:color="auto"/>
              <w:bottom w:val="single" w:sz="4" w:space="0" w:color="auto"/>
              <w:right w:val="single" w:sz="4" w:space="0" w:color="auto"/>
            </w:tcBorders>
            <w:shd w:val="clear" w:color="auto" w:fill="auto"/>
            <w:noWrap/>
            <w:vAlign w:val="bottom"/>
            <w:hideMark/>
          </w:tcPr>
          <w:p w14:paraId="0695F50C" w14:textId="5C423FE8" w:rsidR="00CB5C36" w:rsidRPr="00D27B18" w:rsidRDefault="00CB5C36" w:rsidP="00CB5C36">
            <w:pPr>
              <w:jc w:val="right"/>
              <w:rPr>
                <w:rFonts w:ascii="Arial" w:hAnsi="Arial" w:cs="Arial"/>
                <w:b/>
                <w:bCs/>
                <w:color w:val="000000"/>
                <w:sz w:val="18"/>
                <w:szCs w:val="16"/>
                <w:lang w:val="es-ES_tradnl"/>
              </w:rPr>
            </w:pPr>
            <w:r w:rsidRPr="00D27B18">
              <w:rPr>
                <w:rFonts w:ascii="Arial" w:hAnsi="Arial" w:cs="Arial"/>
                <w:b/>
                <w:sz w:val="18"/>
                <w:szCs w:val="16"/>
              </w:rPr>
              <w:t xml:space="preserve"> 8.</w:t>
            </w:r>
            <w:r w:rsidR="00A34393" w:rsidRPr="00D27B18">
              <w:rPr>
                <w:rFonts w:ascii="Arial" w:hAnsi="Arial" w:cs="Arial"/>
                <w:b/>
                <w:sz w:val="18"/>
                <w:szCs w:val="16"/>
              </w:rPr>
              <w:t>80</w:t>
            </w:r>
            <w:r w:rsidR="00F07B96">
              <w:rPr>
                <w:rFonts w:ascii="Arial" w:hAnsi="Arial" w:cs="Arial"/>
                <w:b/>
                <w:sz w:val="18"/>
                <w:szCs w:val="16"/>
              </w:rPr>
              <w:t>1</w:t>
            </w:r>
          </w:p>
        </w:tc>
      </w:tr>
    </w:tbl>
    <w:p w14:paraId="41347712" w14:textId="77777777" w:rsidR="00CB5C36" w:rsidRPr="00701F32" w:rsidRDefault="00CB5C36" w:rsidP="00CB5C36">
      <w:pPr>
        <w:pStyle w:val="Lista"/>
        <w:jc w:val="both"/>
        <w:rPr>
          <w:rFonts w:ascii="Arial" w:hAnsi="Arial" w:cs="Arial"/>
          <w:sz w:val="20"/>
          <w:szCs w:val="20"/>
          <w:lang w:val="es-AR"/>
        </w:rPr>
      </w:pPr>
    </w:p>
    <w:p w14:paraId="14C8D385" w14:textId="6E1B1817" w:rsidR="00CB5C36" w:rsidRDefault="00CB5C36" w:rsidP="00CB5C36">
      <w:pPr>
        <w:pStyle w:val="Lista"/>
        <w:ind w:left="0" w:firstLine="0"/>
        <w:jc w:val="both"/>
        <w:rPr>
          <w:rFonts w:ascii="Arial" w:hAnsi="Arial" w:cs="Arial"/>
          <w:sz w:val="20"/>
          <w:szCs w:val="20"/>
          <w:lang w:val="es-AR"/>
        </w:rPr>
      </w:pPr>
      <w:r w:rsidRPr="00701F32">
        <w:rPr>
          <w:rFonts w:ascii="Arial" w:hAnsi="Arial" w:cs="Arial"/>
          <w:sz w:val="20"/>
          <w:szCs w:val="20"/>
          <w:lang w:val="es-AR"/>
        </w:rPr>
        <w:t xml:space="preserve">A continuación, se detallan los movimientos ocurridos durante el ejercicio al 31 de diciembre de </w:t>
      </w:r>
      <w:r>
        <w:rPr>
          <w:rFonts w:ascii="Arial" w:hAnsi="Arial" w:cs="Arial"/>
          <w:sz w:val="20"/>
          <w:szCs w:val="20"/>
          <w:lang w:val="es-AR"/>
        </w:rPr>
        <w:t xml:space="preserve">2019 y </w:t>
      </w:r>
      <w:r w:rsidRPr="00701F32">
        <w:rPr>
          <w:rFonts w:ascii="Arial" w:hAnsi="Arial" w:cs="Arial"/>
          <w:sz w:val="20"/>
          <w:szCs w:val="20"/>
          <w:lang w:val="es-AR"/>
        </w:rPr>
        <w:t>201</w:t>
      </w:r>
      <w:r>
        <w:rPr>
          <w:rFonts w:ascii="Arial" w:hAnsi="Arial" w:cs="Arial"/>
          <w:sz w:val="20"/>
          <w:szCs w:val="20"/>
          <w:lang w:val="es-AR"/>
        </w:rPr>
        <w:t>8</w:t>
      </w:r>
      <w:r w:rsidRPr="00701F32">
        <w:rPr>
          <w:rFonts w:ascii="Arial" w:hAnsi="Arial" w:cs="Arial"/>
          <w:sz w:val="20"/>
          <w:szCs w:val="20"/>
          <w:lang w:val="es-AR"/>
        </w:rPr>
        <w:t>:</w:t>
      </w:r>
    </w:p>
    <w:p w14:paraId="776750F5" w14:textId="77777777" w:rsidR="00CB5C36" w:rsidRDefault="00CB5C36" w:rsidP="00CB5C36">
      <w:pPr>
        <w:pStyle w:val="Lista"/>
        <w:ind w:left="0" w:firstLine="0"/>
        <w:jc w:val="both"/>
        <w:rPr>
          <w:rFonts w:ascii="Arial" w:hAnsi="Arial" w:cs="Arial"/>
          <w:sz w:val="20"/>
          <w:szCs w:val="20"/>
          <w:lang w:val="es-AR"/>
        </w:rPr>
      </w:pPr>
    </w:p>
    <w:tbl>
      <w:tblPr>
        <w:tblW w:w="7507" w:type="dxa"/>
        <w:tblInd w:w="779" w:type="dxa"/>
        <w:tblLayout w:type="fixed"/>
        <w:tblCellMar>
          <w:left w:w="70" w:type="dxa"/>
          <w:right w:w="70" w:type="dxa"/>
        </w:tblCellMar>
        <w:tblLook w:val="04A0" w:firstRow="1" w:lastRow="0" w:firstColumn="1" w:lastColumn="0" w:noHBand="0" w:noVBand="1"/>
      </w:tblPr>
      <w:tblGrid>
        <w:gridCol w:w="3969"/>
        <w:gridCol w:w="1276"/>
        <w:gridCol w:w="1134"/>
        <w:gridCol w:w="1128"/>
      </w:tblGrid>
      <w:tr w:rsidR="00CB5C36" w:rsidRPr="00701F32" w14:paraId="43FBBC46" w14:textId="77777777" w:rsidTr="00EB6617">
        <w:trPr>
          <w:trHeight w:val="430"/>
          <w:tblHeader/>
        </w:trPr>
        <w:tc>
          <w:tcPr>
            <w:tcW w:w="3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99B752" w14:textId="77777777" w:rsidR="00CB5C36" w:rsidRPr="00C327F0" w:rsidRDefault="00CB5C36" w:rsidP="00EB6617">
            <w:pPr>
              <w:jc w:val="center"/>
              <w:rPr>
                <w:rFonts w:ascii="Arial" w:hAnsi="Arial" w:cs="Arial"/>
                <w:b/>
                <w:bCs/>
                <w:color w:val="000000"/>
                <w:sz w:val="16"/>
                <w:szCs w:val="16"/>
                <w:lang w:eastAsia="es-AR"/>
              </w:rPr>
            </w:pPr>
            <w:r w:rsidRPr="00C327F0">
              <w:rPr>
                <w:rFonts w:ascii="Arial" w:hAnsi="Arial" w:cs="Arial"/>
                <w:b/>
                <w:bCs/>
                <w:color w:val="000000"/>
                <w:sz w:val="16"/>
                <w:szCs w:val="16"/>
              </w:rPr>
              <w:t> </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1AA96C" w14:textId="39C3E734" w:rsidR="00CB5C36" w:rsidRPr="00C327F0" w:rsidRDefault="00CB5C36" w:rsidP="00EB6617">
            <w:pPr>
              <w:jc w:val="center"/>
              <w:rPr>
                <w:rFonts w:ascii="Arial" w:hAnsi="Arial" w:cs="Arial"/>
                <w:b/>
                <w:bCs/>
                <w:color w:val="000000"/>
                <w:sz w:val="16"/>
                <w:szCs w:val="16"/>
              </w:rPr>
            </w:pPr>
            <w:r w:rsidRPr="00C327F0">
              <w:rPr>
                <w:rFonts w:ascii="Arial" w:hAnsi="Arial" w:cs="Arial"/>
                <w:b/>
                <w:bCs/>
                <w:color w:val="000000"/>
                <w:sz w:val="16"/>
                <w:szCs w:val="16"/>
              </w:rPr>
              <w:t xml:space="preserve">Saldo al </w:t>
            </w:r>
            <w:r>
              <w:rPr>
                <w:rFonts w:ascii="Arial" w:hAnsi="Arial" w:cs="Arial"/>
                <w:b/>
                <w:bCs/>
                <w:color w:val="000000"/>
                <w:sz w:val="16"/>
                <w:szCs w:val="16"/>
              </w:rPr>
              <w:t>31/12/2018</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E24589" w14:textId="77777777" w:rsidR="00CB5C36" w:rsidRPr="00C327F0" w:rsidRDefault="00CB5C36" w:rsidP="00EB6617">
            <w:pPr>
              <w:jc w:val="center"/>
              <w:rPr>
                <w:rFonts w:ascii="Arial" w:hAnsi="Arial" w:cs="Arial"/>
                <w:b/>
                <w:bCs/>
                <w:color w:val="000000"/>
                <w:sz w:val="16"/>
                <w:szCs w:val="16"/>
              </w:rPr>
            </w:pPr>
            <w:r w:rsidRPr="00C327F0">
              <w:rPr>
                <w:rFonts w:ascii="Arial" w:hAnsi="Arial" w:cs="Arial"/>
                <w:b/>
                <w:bCs/>
                <w:color w:val="000000"/>
                <w:sz w:val="16"/>
                <w:szCs w:val="16"/>
              </w:rPr>
              <w:t>Incremento</w:t>
            </w:r>
          </w:p>
          <w:p w14:paraId="71928689" w14:textId="77777777" w:rsidR="00CB5C36" w:rsidRPr="00C327F0" w:rsidRDefault="00CB5C36" w:rsidP="00EB6617">
            <w:pPr>
              <w:jc w:val="center"/>
              <w:rPr>
                <w:rFonts w:ascii="Arial" w:hAnsi="Arial" w:cs="Arial"/>
                <w:b/>
                <w:bCs/>
                <w:color w:val="000000"/>
                <w:sz w:val="16"/>
                <w:szCs w:val="16"/>
              </w:rPr>
            </w:pPr>
            <w:r w:rsidRPr="00C327F0">
              <w:rPr>
                <w:rFonts w:ascii="Arial" w:hAnsi="Arial" w:cs="Arial"/>
                <w:b/>
                <w:bCs/>
                <w:color w:val="000000"/>
                <w:sz w:val="16"/>
                <w:szCs w:val="16"/>
              </w:rPr>
              <w:t>en ORI</w:t>
            </w:r>
          </w:p>
        </w:tc>
        <w:tc>
          <w:tcPr>
            <w:tcW w:w="11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4039F2" w14:textId="5376577B" w:rsidR="00CB5C36" w:rsidRPr="00C327F0" w:rsidRDefault="00CB5C36" w:rsidP="00EB6617">
            <w:pPr>
              <w:jc w:val="center"/>
              <w:rPr>
                <w:rFonts w:ascii="Arial" w:hAnsi="Arial" w:cs="Arial"/>
                <w:b/>
                <w:bCs/>
                <w:color w:val="000000"/>
                <w:sz w:val="16"/>
                <w:szCs w:val="16"/>
              </w:rPr>
            </w:pPr>
            <w:r w:rsidRPr="00C327F0">
              <w:rPr>
                <w:rFonts w:ascii="Arial" w:hAnsi="Arial" w:cs="Arial"/>
                <w:b/>
                <w:bCs/>
                <w:color w:val="000000"/>
                <w:sz w:val="16"/>
                <w:szCs w:val="16"/>
              </w:rPr>
              <w:t>Saldo al 31/12/201</w:t>
            </w:r>
            <w:r>
              <w:rPr>
                <w:rFonts w:ascii="Arial" w:hAnsi="Arial" w:cs="Arial"/>
                <w:b/>
                <w:bCs/>
                <w:color w:val="000000"/>
                <w:sz w:val="16"/>
                <w:szCs w:val="16"/>
              </w:rPr>
              <w:t>9</w:t>
            </w:r>
          </w:p>
        </w:tc>
      </w:tr>
      <w:tr w:rsidR="00CB5C36" w:rsidRPr="00701F32" w14:paraId="249B65C0" w14:textId="77777777" w:rsidTr="00EB6617">
        <w:trPr>
          <w:trHeight w:val="644"/>
        </w:trPr>
        <w:tc>
          <w:tcPr>
            <w:tcW w:w="3969" w:type="dxa"/>
            <w:vMerge/>
            <w:tcBorders>
              <w:top w:val="single" w:sz="4" w:space="0" w:color="auto"/>
              <w:left w:val="single" w:sz="4" w:space="0" w:color="auto"/>
              <w:bottom w:val="single" w:sz="4" w:space="0" w:color="000000"/>
              <w:right w:val="single" w:sz="4" w:space="0" w:color="auto"/>
            </w:tcBorders>
            <w:vAlign w:val="center"/>
            <w:hideMark/>
          </w:tcPr>
          <w:p w14:paraId="2B72AE96" w14:textId="77777777" w:rsidR="00CB5C36" w:rsidRPr="00A46CBE" w:rsidRDefault="00CB5C36" w:rsidP="00EB6617">
            <w:pPr>
              <w:rPr>
                <w:rFonts w:ascii="Arial" w:hAnsi="Arial" w:cs="Arial"/>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9A06C35" w14:textId="77777777" w:rsidR="00CB5C36" w:rsidRPr="00A46CBE" w:rsidRDefault="00CB5C36" w:rsidP="00EB6617">
            <w:pPr>
              <w:rPr>
                <w:rFonts w:ascii="Arial" w:hAnsi="Arial" w:cs="Arial"/>
                <w:b/>
                <w:bCs/>
                <w:color w:val="000000"/>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A64248A" w14:textId="77777777" w:rsidR="00CB5C36" w:rsidRPr="00A46CBE" w:rsidRDefault="00CB5C36" w:rsidP="00EB6617">
            <w:pPr>
              <w:rPr>
                <w:rFonts w:ascii="Arial" w:hAnsi="Arial" w:cs="Arial"/>
                <w:b/>
                <w:bCs/>
                <w:color w:val="000000"/>
                <w:sz w:val="16"/>
                <w:szCs w:val="16"/>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14:paraId="7EDAA290" w14:textId="77777777" w:rsidR="00CB5C36" w:rsidRPr="00A46CBE" w:rsidRDefault="00CB5C36" w:rsidP="00EB6617">
            <w:pPr>
              <w:rPr>
                <w:rFonts w:ascii="Arial" w:hAnsi="Arial" w:cs="Arial"/>
                <w:b/>
                <w:bCs/>
                <w:color w:val="000000"/>
                <w:sz w:val="16"/>
                <w:szCs w:val="16"/>
              </w:rPr>
            </w:pPr>
          </w:p>
        </w:tc>
      </w:tr>
      <w:tr w:rsidR="00CB5C36" w:rsidRPr="00701F32" w14:paraId="5B37038B" w14:textId="77777777" w:rsidTr="00CB5C36">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89B3EE7" w14:textId="77777777" w:rsidR="00CB5C36" w:rsidRPr="00D27B18" w:rsidRDefault="00CB5C36" w:rsidP="00CB5C36">
            <w:pPr>
              <w:rPr>
                <w:rFonts w:ascii="Arial" w:hAnsi="Arial" w:cs="Arial"/>
                <w:color w:val="000000"/>
                <w:sz w:val="16"/>
                <w:szCs w:val="16"/>
              </w:rPr>
            </w:pPr>
            <w:r w:rsidRPr="00D27B18">
              <w:rPr>
                <w:rFonts w:ascii="Arial" w:hAnsi="Arial" w:cs="Arial"/>
                <w:sz w:val="16"/>
                <w:szCs w:val="16"/>
              </w:rPr>
              <w:t>Mercado Abierto Electrónico S.A.</w:t>
            </w:r>
          </w:p>
        </w:tc>
        <w:tc>
          <w:tcPr>
            <w:tcW w:w="1276" w:type="dxa"/>
            <w:tcBorders>
              <w:top w:val="nil"/>
              <w:left w:val="nil"/>
              <w:bottom w:val="single" w:sz="4" w:space="0" w:color="auto"/>
              <w:right w:val="single" w:sz="4" w:space="0" w:color="auto"/>
            </w:tcBorders>
            <w:shd w:val="clear" w:color="auto" w:fill="auto"/>
            <w:noWrap/>
            <w:vAlign w:val="bottom"/>
            <w:hideMark/>
          </w:tcPr>
          <w:p w14:paraId="76C9210C" w14:textId="69C0531E" w:rsidR="00CB5C36" w:rsidRPr="00A46CBE" w:rsidRDefault="00CB5C36" w:rsidP="00CB5C36">
            <w:pPr>
              <w:jc w:val="right"/>
              <w:rPr>
                <w:rFonts w:ascii="Arial" w:hAnsi="Arial" w:cs="Arial"/>
                <w:color w:val="000000"/>
                <w:sz w:val="16"/>
                <w:szCs w:val="16"/>
              </w:rPr>
            </w:pPr>
            <w:r w:rsidRPr="00A46CBE">
              <w:rPr>
                <w:rFonts w:ascii="Arial" w:hAnsi="Arial" w:cs="Arial"/>
                <w:sz w:val="16"/>
                <w:szCs w:val="16"/>
              </w:rPr>
              <w:t>4.610</w:t>
            </w:r>
          </w:p>
        </w:tc>
        <w:tc>
          <w:tcPr>
            <w:tcW w:w="1134" w:type="dxa"/>
            <w:tcBorders>
              <w:top w:val="nil"/>
              <w:left w:val="nil"/>
              <w:bottom w:val="single" w:sz="4" w:space="0" w:color="auto"/>
              <w:right w:val="single" w:sz="4" w:space="0" w:color="auto"/>
            </w:tcBorders>
            <w:shd w:val="clear" w:color="auto" w:fill="auto"/>
            <w:noWrap/>
            <w:vAlign w:val="bottom"/>
          </w:tcPr>
          <w:p w14:paraId="1D05B063" w14:textId="4E299E7F" w:rsidR="00CB5C36" w:rsidRPr="00A46CBE" w:rsidRDefault="001053B7" w:rsidP="00CB5C3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7E4C9682" w14:textId="3200CA8E" w:rsidR="00CB5C36" w:rsidRPr="00A46CBE" w:rsidRDefault="001053B7" w:rsidP="00CB5C36">
            <w:pPr>
              <w:jc w:val="right"/>
              <w:rPr>
                <w:rFonts w:ascii="Arial" w:hAnsi="Arial" w:cs="Arial"/>
                <w:color w:val="000000"/>
                <w:sz w:val="16"/>
                <w:szCs w:val="16"/>
              </w:rPr>
            </w:pPr>
            <w:r>
              <w:rPr>
                <w:rFonts w:ascii="Arial" w:hAnsi="Arial" w:cs="Arial"/>
                <w:color w:val="000000"/>
                <w:sz w:val="16"/>
                <w:szCs w:val="16"/>
              </w:rPr>
              <w:t>4.610</w:t>
            </w:r>
          </w:p>
        </w:tc>
      </w:tr>
      <w:tr w:rsidR="00CB5C36" w:rsidRPr="00701F32" w14:paraId="60637ED1" w14:textId="77777777" w:rsidTr="00CB5C36">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688FD152" w14:textId="77777777" w:rsidR="00CB5C36" w:rsidRPr="00D27B18" w:rsidRDefault="00CB5C36" w:rsidP="00CB5C36">
            <w:pPr>
              <w:rPr>
                <w:rFonts w:ascii="Arial" w:hAnsi="Arial" w:cs="Arial"/>
                <w:color w:val="000000"/>
                <w:sz w:val="16"/>
                <w:szCs w:val="16"/>
              </w:rPr>
            </w:pPr>
            <w:r w:rsidRPr="00D27B18">
              <w:rPr>
                <w:rFonts w:ascii="Arial" w:hAnsi="Arial" w:cs="Arial"/>
                <w:sz w:val="16"/>
                <w:szCs w:val="16"/>
              </w:rPr>
              <w:t>Seguro de Depósitos S.A</w:t>
            </w:r>
          </w:p>
        </w:tc>
        <w:tc>
          <w:tcPr>
            <w:tcW w:w="1276" w:type="dxa"/>
            <w:tcBorders>
              <w:top w:val="nil"/>
              <w:left w:val="nil"/>
              <w:bottom w:val="single" w:sz="4" w:space="0" w:color="auto"/>
              <w:right w:val="single" w:sz="4" w:space="0" w:color="auto"/>
            </w:tcBorders>
            <w:shd w:val="clear" w:color="auto" w:fill="auto"/>
            <w:noWrap/>
            <w:vAlign w:val="bottom"/>
            <w:hideMark/>
          </w:tcPr>
          <w:p w14:paraId="705E3138" w14:textId="79467F5E" w:rsidR="00CB5C36" w:rsidRPr="00A46CBE" w:rsidRDefault="00CB5C36" w:rsidP="00CB5C36">
            <w:pPr>
              <w:jc w:val="right"/>
              <w:rPr>
                <w:rFonts w:ascii="Arial" w:hAnsi="Arial" w:cs="Arial"/>
                <w:color w:val="000000"/>
                <w:sz w:val="16"/>
                <w:szCs w:val="16"/>
              </w:rPr>
            </w:pPr>
            <w:r w:rsidRPr="00A46CBE">
              <w:rPr>
                <w:rFonts w:ascii="Arial" w:hAnsi="Arial" w:cs="Arial"/>
                <w:sz w:val="16"/>
                <w:szCs w:val="16"/>
              </w:rPr>
              <w:t>1.614</w:t>
            </w:r>
          </w:p>
        </w:tc>
        <w:tc>
          <w:tcPr>
            <w:tcW w:w="1134" w:type="dxa"/>
            <w:tcBorders>
              <w:top w:val="nil"/>
              <w:left w:val="nil"/>
              <w:bottom w:val="single" w:sz="4" w:space="0" w:color="auto"/>
              <w:right w:val="single" w:sz="4" w:space="0" w:color="auto"/>
            </w:tcBorders>
            <w:shd w:val="clear" w:color="auto" w:fill="auto"/>
            <w:noWrap/>
            <w:vAlign w:val="bottom"/>
          </w:tcPr>
          <w:p w14:paraId="689329E7" w14:textId="2DB259E3" w:rsidR="00CB5C36" w:rsidRPr="00A46CBE" w:rsidRDefault="001053B7" w:rsidP="00CB5C3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70BB66CB" w14:textId="3B0A456C" w:rsidR="00CB5C36" w:rsidRPr="00A46CBE" w:rsidRDefault="001053B7" w:rsidP="00CB5C36">
            <w:pPr>
              <w:jc w:val="right"/>
              <w:rPr>
                <w:rFonts w:ascii="Arial" w:hAnsi="Arial" w:cs="Arial"/>
                <w:color w:val="000000"/>
                <w:sz w:val="16"/>
                <w:szCs w:val="16"/>
              </w:rPr>
            </w:pPr>
            <w:r>
              <w:rPr>
                <w:rFonts w:ascii="Arial" w:hAnsi="Arial" w:cs="Arial"/>
                <w:color w:val="000000"/>
                <w:sz w:val="16"/>
                <w:szCs w:val="16"/>
              </w:rPr>
              <w:t>1.614</w:t>
            </w:r>
          </w:p>
        </w:tc>
      </w:tr>
      <w:tr w:rsidR="00CB5C36" w:rsidRPr="00701F32" w14:paraId="1F234BE4" w14:textId="77777777" w:rsidTr="00CB5C36">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6405088B" w14:textId="77777777" w:rsidR="00CB5C36" w:rsidRPr="00D27B18" w:rsidRDefault="00CB5C36" w:rsidP="00CB5C36">
            <w:pPr>
              <w:rPr>
                <w:rFonts w:ascii="Arial" w:hAnsi="Arial" w:cs="Arial"/>
                <w:color w:val="000000"/>
                <w:sz w:val="16"/>
                <w:szCs w:val="16"/>
              </w:rPr>
            </w:pPr>
            <w:r w:rsidRPr="00D27B18">
              <w:rPr>
                <w:rFonts w:ascii="Arial" w:hAnsi="Arial" w:cs="Arial"/>
                <w:sz w:val="16"/>
                <w:szCs w:val="16"/>
              </w:rPr>
              <w:t>Compensador Electrónica S.A.</w:t>
            </w:r>
          </w:p>
        </w:tc>
        <w:tc>
          <w:tcPr>
            <w:tcW w:w="1276" w:type="dxa"/>
            <w:tcBorders>
              <w:top w:val="nil"/>
              <w:left w:val="nil"/>
              <w:bottom w:val="single" w:sz="4" w:space="0" w:color="auto"/>
              <w:right w:val="single" w:sz="4" w:space="0" w:color="auto"/>
            </w:tcBorders>
            <w:shd w:val="clear" w:color="auto" w:fill="auto"/>
            <w:noWrap/>
            <w:vAlign w:val="bottom"/>
            <w:hideMark/>
          </w:tcPr>
          <w:p w14:paraId="30259690" w14:textId="7D243118" w:rsidR="00CB5C36" w:rsidRPr="00A46CBE" w:rsidRDefault="00CB5C36" w:rsidP="00CB5C36">
            <w:pPr>
              <w:jc w:val="right"/>
              <w:rPr>
                <w:rFonts w:ascii="Arial" w:hAnsi="Arial" w:cs="Arial"/>
                <w:color w:val="000000"/>
                <w:sz w:val="16"/>
                <w:szCs w:val="16"/>
              </w:rPr>
            </w:pPr>
            <w:r w:rsidRPr="00A46CBE">
              <w:rPr>
                <w:rFonts w:ascii="Arial" w:hAnsi="Arial" w:cs="Arial"/>
                <w:sz w:val="16"/>
                <w:szCs w:val="16"/>
              </w:rPr>
              <w:t>919</w:t>
            </w:r>
          </w:p>
        </w:tc>
        <w:tc>
          <w:tcPr>
            <w:tcW w:w="1134" w:type="dxa"/>
            <w:tcBorders>
              <w:top w:val="nil"/>
              <w:left w:val="nil"/>
              <w:bottom w:val="single" w:sz="4" w:space="0" w:color="auto"/>
              <w:right w:val="single" w:sz="4" w:space="0" w:color="auto"/>
            </w:tcBorders>
            <w:shd w:val="clear" w:color="auto" w:fill="auto"/>
            <w:noWrap/>
            <w:vAlign w:val="bottom"/>
          </w:tcPr>
          <w:p w14:paraId="2D0DD287" w14:textId="2E2F1496" w:rsidR="00CB5C36" w:rsidRPr="00A46CBE" w:rsidRDefault="001053B7" w:rsidP="00CB5C3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06525213" w14:textId="21A63B15" w:rsidR="00CB5C36" w:rsidRPr="00A46CBE" w:rsidRDefault="001053B7" w:rsidP="00CB5C36">
            <w:pPr>
              <w:jc w:val="right"/>
              <w:rPr>
                <w:rFonts w:ascii="Arial" w:hAnsi="Arial" w:cs="Arial"/>
                <w:color w:val="000000"/>
                <w:sz w:val="16"/>
                <w:szCs w:val="16"/>
              </w:rPr>
            </w:pPr>
            <w:r>
              <w:rPr>
                <w:rFonts w:ascii="Arial" w:hAnsi="Arial" w:cs="Arial"/>
                <w:color w:val="000000"/>
                <w:sz w:val="16"/>
                <w:szCs w:val="16"/>
              </w:rPr>
              <w:t>919</w:t>
            </w:r>
          </w:p>
        </w:tc>
      </w:tr>
      <w:tr w:rsidR="00CB5C36" w:rsidRPr="00701F32" w14:paraId="638391FA" w14:textId="77777777" w:rsidTr="00CB5C36">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8232B04" w14:textId="77777777" w:rsidR="00CB5C36" w:rsidRPr="00D27B18" w:rsidRDefault="00CB5C36" w:rsidP="00CB5C36">
            <w:pPr>
              <w:rPr>
                <w:rFonts w:ascii="Arial" w:hAnsi="Arial" w:cs="Arial"/>
                <w:color w:val="000000"/>
                <w:sz w:val="16"/>
                <w:szCs w:val="16"/>
              </w:rPr>
            </w:pPr>
            <w:r w:rsidRPr="00D27B18">
              <w:rPr>
                <w:rFonts w:ascii="Arial" w:hAnsi="Arial" w:cs="Arial"/>
                <w:sz w:val="16"/>
                <w:szCs w:val="16"/>
              </w:rPr>
              <w:t>Provincanje S.A.</w:t>
            </w:r>
          </w:p>
        </w:tc>
        <w:tc>
          <w:tcPr>
            <w:tcW w:w="1276" w:type="dxa"/>
            <w:tcBorders>
              <w:top w:val="nil"/>
              <w:left w:val="nil"/>
              <w:bottom w:val="single" w:sz="4" w:space="0" w:color="auto"/>
              <w:right w:val="single" w:sz="4" w:space="0" w:color="auto"/>
            </w:tcBorders>
            <w:shd w:val="clear" w:color="auto" w:fill="auto"/>
            <w:noWrap/>
            <w:vAlign w:val="bottom"/>
            <w:hideMark/>
          </w:tcPr>
          <w:p w14:paraId="68361357" w14:textId="6D3F98FF" w:rsidR="00CB5C36" w:rsidRPr="00A46CBE" w:rsidRDefault="00CB5C36" w:rsidP="00CB5C36">
            <w:pPr>
              <w:jc w:val="right"/>
              <w:rPr>
                <w:rFonts w:ascii="Arial" w:hAnsi="Arial" w:cs="Arial"/>
                <w:color w:val="000000"/>
                <w:sz w:val="16"/>
                <w:szCs w:val="16"/>
              </w:rPr>
            </w:pPr>
            <w:r w:rsidRPr="00A46CBE">
              <w:rPr>
                <w:rFonts w:ascii="Arial" w:hAnsi="Arial" w:cs="Arial"/>
                <w:sz w:val="16"/>
                <w:szCs w:val="16"/>
              </w:rPr>
              <w:t>27</w:t>
            </w:r>
            <w:r>
              <w:rPr>
                <w:rFonts w:ascii="Arial" w:hAnsi="Arial" w:cs="Arial"/>
                <w:sz w:val="16"/>
                <w:szCs w:val="16"/>
              </w:rPr>
              <w:t>2</w:t>
            </w:r>
          </w:p>
        </w:tc>
        <w:tc>
          <w:tcPr>
            <w:tcW w:w="1134" w:type="dxa"/>
            <w:tcBorders>
              <w:top w:val="nil"/>
              <w:left w:val="nil"/>
              <w:bottom w:val="single" w:sz="4" w:space="0" w:color="auto"/>
              <w:right w:val="single" w:sz="4" w:space="0" w:color="auto"/>
            </w:tcBorders>
            <w:shd w:val="clear" w:color="auto" w:fill="auto"/>
            <w:noWrap/>
            <w:vAlign w:val="bottom"/>
          </w:tcPr>
          <w:p w14:paraId="7D90D71B" w14:textId="5F357E08" w:rsidR="00CB5C36" w:rsidRPr="00A46CBE" w:rsidRDefault="001053B7" w:rsidP="00CB5C3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3899133B" w14:textId="7048E1B8" w:rsidR="00CB5C36" w:rsidRPr="00A46CBE" w:rsidRDefault="001053B7" w:rsidP="00CB5C36">
            <w:pPr>
              <w:jc w:val="right"/>
              <w:rPr>
                <w:rFonts w:ascii="Arial" w:hAnsi="Arial" w:cs="Arial"/>
                <w:color w:val="000000"/>
                <w:sz w:val="16"/>
                <w:szCs w:val="16"/>
              </w:rPr>
            </w:pPr>
            <w:r>
              <w:rPr>
                <w:rFonts w:ascii="Arial" w:hAnsi="Arial" w:cs="Arial"/>
                <w:color w:val="000000"/>
                <w:sz w:val="16"/>
                <w:szCs w:val="16"/>
              </w:rPr>
              <w:t>272</w:t>
            </w:r>
          </w:p>
        </w:tc>
      </w:tr>
      <w:tr w:rsidR="00CB5C36" w:rsidRPr="00701F32" w14:paraId="260961AC" w14:textId="77777777" w:rsidTr="00CB5C36">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98411F7" w14:textId="77777777" w:rsidR="00CB5C36" w:rsidRPr="00D27B18" w:rsidRDefault="00CB5C36" w:rsidP="00CB5C36">
            <w:pPr>
              <w:rPr>
                <w:rFonts w:ascii="Arial" w:hAnsi="Arial" w:cs="Arial"/>
                <w:color w:val="000000"/>
                <w:sz w:val="16"/>
                <w:szCs w:val="16"/>
              </w:rPr>
            </w:pPr>
            <w:r w:rsidRPr="00D27B18">
              <w:rPr>
                <w:rFonts w:ascii="Arial" w:hAnsi="Arial" w:cs="Arial"/>
                <w:sz w:val="16"/>
                <w:szCs w:val="16"/>
              </w:rPr>
              <w:t>Cuyo Aval Sociedad de Garantía Recíproca</w:t>
            </w:r>
          </w:p>
        </w:tc>
        <w:tc>
          <w:tcPr>
            <w:tcW w:w="1276" w:type="dxa"/>
            <w:tcBorders>
              <w:top w:val="nil"/>
              <w:left w:val="nil"/>
              <w:bottom w:val="single" w:sz="4" w:space="0" w:color="auto"/>
              <w:right w:val="single" w:sz="4" w:space="0" w:color="auto"/>
            </w:tcBorders>
            <w:shd w:val="clear" w:color="auto" w:fill="auto"/>
            <w:noWrap/>
            <w:vAlign w:val="bottom"/>
            <w:hideMark/>
          </w:tcPr>
          <w:p w14:paraId="6AB20B04" w14:textId="36F8169D" w:rsidR="00CB5C36" w:rsidRPr="00A46CBE" w:rsidRDefault="00CB5C36" w:rsidP="00CB5C36">
            <w:pPr>
              <w:jc w:val="right"/>
              <w:rPr>
                <w:rFonts w:ascii="Arial" w:hAnsi="Arial" w:cs="Arial"/>
                <w:color w:val="000000"/>
                <w:sz w:val="16"/>
                <w:szCs w:val="16"/>
              </w:rPr>
            </w:pPr>
            <w:r w:rsidRPr="00A46CBE">
              <w:rPr>
                <w:rFonts w:ascii="Arial" w:hAnsi="Arial" w:cs="Arial"/>
                <w:sz w:val="16"/>
                <w:szCs w:val="16"/>
              </w:rPr>
              <w:t>899</w:t>
            </w:r>
          </w:p>
        </w:tc>
        <w:tc>
          <w:tcPr>
            <w:tcW w:w="1134" w:type="dxa"/>
            <w:tcBorders>
              <w:top w:val="nil"/>
              <w:left w:val="nil"/>
              <w:bottom w:val="single" w:sz="4" w:space="0" w:color="auto"/>
              <w:right w:val="single" w:sz="4" w:space="0" w:color="auto"/>
            </w:tcBorders>
            <w:shd w:val="clear" w:color="auto" w:fill="auto"/>
            <w:noWrap/>
            <w:vAlign w:val="bottom"/>
          </w:tcPr>
          <w:p w14:paraId="4B5D93EF" w14:textId="641C3696" w:rsidR="00CB5C36" w:rsidRPr="00A46CBE" w:rsidRDefault="001053B7" w:rsidP="00CB5C36">
            <w:pPr>
              <w:jc w:val="right"/>
              <w:rPr>
                <w:rFonts w:ascii="Arial" w:hAnsi="Arial" w:cs="Arial"/>
                <w:color w:val="000000"/>
                <w:sz w:val="16"/>
                <w:szCs w:val="16"/>
              </w:rPr>
            </w:pPr>
            <w:r w:rsidRPr="001053B7">
              <w:rPr>
                <w:rFonts w:ascii="Arial" w:hAnsi="Arial" w:cs="Arial"/>
                <w:color w:val="000000"/>
                <w:sz w:val="16"/>
                <w:szCs w:val="16"/>
              </w:rPr>
              <w:t>150</w:t>
            </w:r>
          </w:p>
        </w:tc>
        <w:tc>
          <w:tcPr>
            <w:tcW w:w="1128" w:type="dxa"/>
            <w:tcBorders>
              <w:top w:val="nil"/>
              <w:left w:val="nil"/>
              <w:bottom w:val="single" w:sz="4" w:space="0" w:color="auto"/>
              <w:right w:val="single" w:sz="4" w:space="0" w:color="auto"/>
            </w:tcBorders>
            <w:shd w:val="clear" w:color="auto" w:fill="auto"/>
            <w:noWrap/>
            <w:vAlign w:val="bottom"/>
          </w:tcPr>
          <w:p w14:paraId="60011ED9" w14:textId="464AD74F" w:rsidR="00CB5C36" w:rsidRPr="00A46CBE" w:rsidRDefault="001053B7" w:rsidP="00CB5C36">
            <w:pPr>
              <w:jc w:val="right"/>
              <w:rPr>
                <w:rFonts w:ascii="Arial" w:hAnsi="Arial" w:cs="Arial"/>
                <w:color w:val="000000"/>
                <w:sz w:val="16"/>
                <w:szCs w:val="16"/>
              </w:rPr>
            </w:pPr>
            <w:r w:rsidRPr="001053B7">
              <w:rPr>
                <w:rFonts w:ascii="Arial" w:hAnsi="Arial" w:cs="Arial"/>
                <w:color w:val="000000"/>
                <w:sz w:val="16"/>
                <w:szCs w:val="16"/>
              </w:rPr>
              <w:t>1.049</w:t>
            </w:r>
          </w:p>
        </w:tc>
      </w:tr>
      <w:tr w:rsidR="00CB5C36" w:rsidRPr="00701F32" w14:paraId="2DDDFD2F" w14:textId="77777777" w:rsidTr="00CB5C36">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0F4BA1B" w14:textId="77777777" w:rsidR="00CB5C36" w:rsidRPr="00D27B18" w:rsidRDefault="00CB5C36" w:rsidP="00CB5C36">
            <w:pPr>
              <w:rPr>
                <w:rFonts w:ascii="Arial" w:hAnsi="Arial" w:cs="Arial"/>
                <w:color w:val="000000"/>
                <w:sz w:val="16"/>
                <w:szCs w:val="16"/>
              </w:rPr>
            </w:pPr>
            <w:r w:rsidRPr="00D27B18">
              <w:rPr>
                <w:rFonts w:ascii="Arial" w:hAnsi="Arial" w:cs="Arial"/>
                <w:sz w:val="16"/>
                <w:szCs w:val="16"/>
              </w:rPr>
              <w:t>Argencontrol S.A.</w:t>
            </w:r>
          </w:p>
        </w:tc>
        <w:tc>
          <w:tcPr>
            <w:tcW w:w="1276" w:type="dxa"/>
            <w:tcBorders>
              <w:top w:val="nil"/>
              <w:left w:val="nil"/>
              <w:bottom w:val="single" w:sz="4" w:space="0" w:color="auto"/>
              <w:right w:val="single" w:sz="4" w:space="0" w:color="auto"/>
            </w:tcBorders>
            <w:shd w:val="clear" w:color="auto" w:fill="auto"/>
            <w:noWrap/>
            <w:vAlign w:val="bottom"/>
            <w:hideMark/>
          </w:tcPr>
          <w:p w14:paraId="5794879B" w14:textId="191CA401" w:rsidR="00CB5C36" w:rsidRPr="00A46CBE" w:rsidRDefault="00CB5C36" w:rsidP="00CB5C36">
            <w:pPr>
              <w:jc w:val="right"/>
              <w:rPr>
                <w:rFonts w:ascii="Arial" w:hAnsi="Arial" w:cs="Arial"/>
                <w:color w:val="000000"/>
                <w:sz w:val="16"/>
                <w:szCs w:val="16"/>
              </w:rPr>
            </w:pPr>
            <w:r w:rsidRPr="00A46CBE">
              <w:rPr>
                <w:rFonts w:ascii="Arial" w:hAnsi="Arial" w:cs="Arial"/>
                <w:sz w:val="16"/>
                <w:szCs w:val="16"/>
              </w:rPr>
              <w:t>125</w:t>
            </w:r>
          </w:p>
        </w:tc>
        <w:tc>
          <w:tcPr>
            <w:tcW w:w="1134" w:type="dxa"/>
            <w:tcBorders>
              <w:top w:val="nil"/>
              <w:left w:val="nil"/>
              <w:bottom w:val="single" w:sz="4" w:space="0" w:color="auto"/>
              <w:right w:val="single" w:sz="4" w:space="0" w:color="auto"/>
            </w:tcBorders>
            <w:shd w:val="clear" w:color="auto" w:fill="auto"/>
            <w:noWrap/>
            <w:vAlign w:val="bottom"/>
          </w:tcPr>
          <w:p w14:paraId="7823316D" w14:textId="2230D3F2" w:rsidR="00CB5C36" w:rsidRPr="00A46CBE" w:rsidRDefault="001053B7" w:rsidP="00CB5C3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792C26EB" w14:textId="73F9A668" w:rsidR="00CB5C36" w:rsidRPr="00A46CBE" w:rsidRDefault="00AA0257" w:rsidP="00CB5C36">
            <w:pPr>
              <w:jc w:val="right"/>
              <w:rPr>
                <w:rFonts w:ascii="Arial" w:hAnsi="Arial" w:cs="Arial"/>
                <w:color w:val="000000"/>
                <w:sz w:val="16"/>
                <w:szCs w:val="16"/>
              </w:rPr>
            </w:pPr>
            <w:r>
              <w:rPr>
                <w:rFonts w:ascii="Arial" w:hAnsi="Arial" w:cs="Arial"/>
                <w:color w:val="000000"/>
                <w:sz w:val="16"/>
                <w:szCs w:val="16"/>
              </w:rPr>
              <w:t>125</w:t>
            </w:r>
          </w:p>
        </w:tc>
      </w:tr>
      <w:tr w:rsidR="00CB5C36" w:rsidRPr="00701F32" w14:paraId="56CCA3F1" w14:textId="77777777" w:rsidTr="00CB5C36">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846B8A2" w14:textId="77777777" w:rsidR="00CB5C36" w:rsidRPr="00D27B18" w:rsidRDefault="00CB5C36" w:rsidP="00CB5C36">
            <w:pPr>
              <w:rPr>
                <w:rFonts w:ascii="Arial" w:hAnsi="Arial" w:cs="Arial"/>
                <w:color w:val="000000"/>
                <w:sz w:val="16"/>
                <w:szCs w:val="16"/>
              </w:rPr>
            </w:pPr>
            <w:r w:rsidRPr="00D27B18">
              <w:rPr>
                <w:rFonts w:ascii="Arial" w:hAnsi="Arial" w:cs="Arial"/>
                <w:sz w:val="16"/>
                <w:szCs w:val="16"/>
              </w:rPr>
              <w:t>Los Grobo Sociedad de Garantía Recíproca</w:t>
            </w:r>
          </w:p>
        </w:tc>
        <w:tc>
          <w:tcPr>
            <w:tcW w:w="1276" w:type="dxa"/>
            <w:tcBorders>
              <w:top w:val="nil"/>
              <w:left w:val="nil"/>
              <w:bottom w:val="single" w:sz="4" w:space="0" w:color="auto"/>
              <w:right w:val="single" w:sz="4" w:space="0" w:color="auto"/>
            </w:tcBorders>
            <w:shd w:val="clear" w:color="auto" w:fill="auto"/>
            <w:noWrap/>
            <w:vAlign w:val="bottom"/>
            <w:hideMark/>
          </w:tcPr>
          <w:p w14:paraId="0C260069" w14:textId="14364DE3" w:rsidR="00CB5C36" w:rsidRPr="00A46CBE" w:rsidRDefault="00CB5C36" w:rsidP="00CB5C36">
            <w:pPr>
              <w:jc w:val="right"/>
              <w:rPr>
                <w:rFonts w:ascii="Arial" w:hAnsi="Arial" w:cs="Arial"/>
                <w:color w:val="000000"/>
                <w:sz w:val="16"/>
                <w:szCs w:val="16"/>
              </w:rPr>
            </w:pPr>
            <w:r w:rsidRPr="00A46CBE">
              <w:rPr>
                <w:rFonts w:ascii="Arial" w:hAnsi="Arial" w:cs="Arial"/>
                <w:sz w:val="16"/>
                <w:szCs w:val="16"/>
              </w:rPr>
              <w:t>209</w:t>
            </w:r>
          </w:p>
        </w:tc>
        <w:tc>
          <w:tcPr>
            <w:tcW w:w="1134" w:type="dxa"/>
            <w:tcBorders>
              <w:top w:val="nil"/>
              <w:left w:val="nil"/>
              <w:bottom w:val="single" w:sz="4" w:space="0" w:color="auto"/>
              <w:right w:val="single" w:sz="4" w:space="0" w:color="auto"/>
            </w:tcBorders>
            <w:shd w:val="clear" w:color="auto" w:fill="auto"/>
            <w:noWrap/>
            <w:vAlign w:val="bottom"/>
          </w:tcPr>
          <w:p w14:paraId="28EA82A7" w14:textId="14771CF9" w:rsidR="00CB5C36" w:rsidRPr="00A46CBE" w:rsidRDefault="001053B7" w:rsidP="00CB5C36">
            <w:pPr>
              <w:jc w:val="right"/>
              <w:rPr>
                <w:rFonts w:ascii="Arial" w:hAnsi="Arial" w:cs="Arial"/>
                <w:color w:val="000000"/>
                <w:sz w:val="16"/>
                <w:szCs w:val="16"/>
              </w:rPr>
            </w:pPr>
            <w:r w:rsidRPr="001053B7">
              <w:rPr>
                <w:rFonts w:ascii="Arial" w:hAnsi="Arial" w:cs="Arial"/>
                <w:color w:val="000000"/>
                <w:sz w:val="16"/>
                <w:szCs w:val="16"/>
              </w:rPr>
              <w:t>-139</w:t>
            </w:r>
          </w:p>
        </w:tc>
        <w:tc>
          <w:tcPr>
            <w:tcW w:w="1128" w:type="dxa"/>
            <w:tcBorders>
              <w:top w:val="nil"/>
              <w:left w:val="nil"/>
              <w:bottom w:val="single" w:sz="4" w:space="0" w:color="auto"/>
              <w:right w:val="single" w:sz="4" w:space="0" w:color="auto"/>
            </w:tcBorders>
            <w:shd w:val="clear" w:color="auto" w:fill="auto"/>
            <w:noWrap/>
            <w:vAlign w:val="bottom"/>
          </w:tcPr>
          <w:p w14:paraId="47A31796" w14:textId="08176218" w:rsidR="00CB5C36" w:rsidRPr="00A46CBE" w:rsidRDefault="001053B7" w:rsidP="00CB5C36">
            <w:pPr>
              <w:jc w:val="right"/>
              <w:rPr>
                <w:rFonts w:ascii="Arial" w:hAnsi="Arial" w:cs="Arial"/>
                <w:color w:val="000000"/>
                <w:sz w:val="16"/>
                <w:szCs w:val="16"/>
              </w:rPr>
            </w:pPr>
            <w:r w:rsidRPr="001053B7">
              <w:rPr>
                <w:rFonts w:ascii="Arial" w:hAnsi="Arial" w:cs="Arial"/>
                <w:color w:val="000000"/>
                <w:sz w:val="16"/>
                <w:szCs w:val="16"/>
              </w:rPr>
              <w:t>70</w:t>
            </w:r>
          </w:p>
        </w:tc>
      </w:tr>
      <w:tr w:rsidR="00CB5C36" w:rsidRPr="00701F32" w14:paraId="4DAAF8FE" w14:textId="77777777" w:rsidTr="00CB5C36">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3BA3536" w14:textId="77777777" w:rsidR="00CB5C36" w:rsidRPr="00D27B18" w:rsidRDefault="00CB5C36" w:rsidP="00CB5C36">
            <w:pPr>
              <w:rPr>
                <w:rFonts w:ascii="Arial" w:hAnsi="Arial" w:cs="Arial"/>
                <w:color w:val="000000"/>
                <w:sz w:val="16"/>
                <w:szCs w:val="16"/>
              </w:rPr>
            </w:pPr>
            <w:r w:rsidRPr="00D27B18">
              <w:rPr>
                <w:rFonts w:ascii="Arial" w:hAnsi="Arial" w:cs="Arial"/>
                <w:sz w:val="16"/>
                <w:szCs w:val="16"/>
              </w:rPr>
              <w:t>IEBA S.A.</w:t>
            </w:r>
          </w:p>
        </w:tc>
        <w:tc>
          <w:tcPr>
            <w:tcW w:w="1276" w:type="dxa"/>
            <w:tcBorders>
              <w:top w:val="nil"/>
              <w:left w:val="nil"/>
              <w:bottom w:val="single" w:sz="4" w:space="0" w:color="auto"/>
              <w:right w:val="single" w:sz="4" w:space="0" w:color="auto"/>
            </w:tcBorders>
            <w:shd w:val="clear" w:color="auto" w:fill="auto"/>
            <w:noWrap/>
            <w:vAlign w:val="bottom"/>
            <w:hideMark/>
          </w:tcPr>
          <w:p w14:paraId="1998183C" w14:textId="749A8EC1" w:rsidR="00CB5C36" w:rsidRPr="00A46CBE" w:rsidRDefault="00CB5C36" w:rsidP="00CB5C36">
            <w:pPr>
              <w:jc w:val="right"/>
              <w:rPr>
                <w:rFonts w:ascii="Arial" w:hAnsi="Arial" w:cs="Arial"/>
                <w:color w:val="000000"/>
                <w:sz w:val="16"/>
                <w:szCs w:val="16"/>
              </w:rPr>
            </w:pPr>
            <w:r w:rsidRPr="00A46CBE">
              <w:rPr>
                <w:rFonts w:ascii="Arial" w:hAnsi="Arial" w:cs="Arial"/>
                <w:sz w:val="16"/>
                <w:szCs w:val="16"/>
              </w:rPr>
              <w:t>6</w:t>
            </w:r>
            <w:r w:rsidR="00F07B96">
              <w:rPr>
                <w:rFonts w:ascii="Arial" w:hAnsi="Arial" w:cs="Arial"/>
                <w:sz w:val="16"/>
                <w:szCs w:val="16"/>
              </w:rPr>
              <w:t>0</w:t>
            </w:r>
          </w:p>
        </w:tc>
        <w:tc>
          <w:tcPr>
            <w:tcW w:w="1134" w:type="dxa"/>
            <w:tcBorders>
              <w:top w:val="nil"/>
              <w:left w:val="nil"/>
              <w:bottom w:val="single" w:sz="4" w:space="0" w:color="auto"/>
              <w:right w:val="single" w:sz="4" w:space="0" w:color="auto"/>
            </w:tcBorders>
            <w:shd w:val="clear" w:color="auto" w:fill="auto"/>
            <w:noWrap/>
            <w:vAlign w:val="bottom"/>
          </w:tcPr>
          <w:p w14:paraId="7AE67170" w14:textId="463FB8FD" w:rsidR="00CB5C36" w:rsidRPr="00A46CBE" w:rsidRDefault="001053B7" w:rsidP="00CB5C3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759AC601" w14:textId="68637C65" w:rsidR="00CB5C36" w:rsidRPr="00A46CBE" w:rsidRDefault="001053B7" w:rsidP="00CB5C36">
            <w:pPr>
              <w:jc w:val="right"/>
              <w:rPr>
                <w:rFonts w:ascii="Arial" w:hAnsi="Arial" w:cs="Arial"/>
                <w:color w:val="000000"/>
                <w:sz w:val="16"/>
                <w:szCs w:val="16"/>
              </w:rPr>
            </w:pPr>
            <w:r w:rsidRPr="001053B7">
              <w:rPr>
                <w:rFonts w:ascii="Arial" w:hAnsi="Arial" w:cs="Arial"/>
                <w:color w:val="000000"/>
                <w:sz w:val="16"/>
                <w:szCs w:val="16"/>
              </w:rPr>
              <w:t>6</w:t>
            </w:r>
            <w:r w:rsidR="00F07B96">
              <w:rPr>
                <w:rFonts w:ascii="Arial" w:hAnsi="Arial" w:cs="Arial"/>
                <w:color w:val="000000"/>
                <w:sz w:val="16"/>
                <w:szCs w:val="16"/>
              </w:rPr>
              <w:t>0</w:t>
            </w:r>
          </w:p>
        </w:tc>
      </w:tr>
      <w:tr w:rsidR="00CB5C36" w:rsidRPr="00701F32" w14:paraId="2707250B" w14:textId="77777777" w:rsidTr="00CB5C36">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31F0004" w14:textId="77777777" w:rsidR="00CB5C36" w:rsidRPr="00D27B18" w:rsidRDefault="00CB5C36" w:rsidP="00CB5C36">
            <w:pPr>
              <w:rPr>
                <w:rFonts w:ascii="Arial" w:hAnsi="Arial" w:cs="Arial"/>
                <w:color w:val="000000"/>
                <w:sz w:val="16"/>
                <w:szCs w:val="16"/>
              </w:rPr>
            </w:pPr>
            <w:r w:rsidRPr="00D27B18">
              <w:rPr>
                <w:rFonts w:ascii="Arial" w:hAnsi="Arial" w:cs="Arial"/>
                <w:sz w:val="16"/>
                <w:szCs w:val="16"/>
              </w:rPr>
              <w:t>Otras Sociedades de Garantía Recíproca</w:t>
            </w:r>
          </w:p>
        </w:tc>
        <w:tc>
          <w:tcPr>
            <w:tcW w:w="1276" w:type="dxa"/>
            <w:tcBorders>
              <w:top w:val="nil"/>
              <w:left w:val="nil"/>
              <w:bottom w:val="single" w:sz="4" w:space="0" w:color="auto"/>
              <w:right w:val="single" w:sz="4" w:space="0" w:color="auto"/>
            </w:tcBorders>
            <w:shd w:val="clear" w:color="auto" w:fill="auto"/>
            <w:noWrap/>
            <w:vAlign w:val="bottom"/>
            <w:hideMark/>
          </w:tcPr>
          <w:p w14:paraId="475067D4" w14:textId="1B16D4FD" w:rsidR="00CB5C36" w:rsidRPr="00A46CBE" w:rsidRDefault="00CB5C36" w:rsidP="00CB5C36">
            <w:pPr>
              <w:jc w:val="right"/>
              <w:rPr>
                <w:rFonts w:ascii="Arial" w:hAnsi="Arial" w:cs="Arial"/>
                <w:color w:val="000000"/>
                <w:sz w:val="16"/>
                <w:szCs w:val="16"/>
              </w:rPr>
            </w:pPr>
            <w:r>
              <w:rPr>
                <w:rFonts w:ascii="Arial" w:hAnsi="Arial" w:cs="Arial"/>
                <w:sz w:val="16"/>
                <w:szCs w:val="16"/>
              </w:rPr>
              <w:t>93</w:t>
            </w:r>
            <w:r w:rsidRPr="00A46CBE">
              <w:rPr>
                <w:rFonts w:ascii="Arial" w:hAnsi="Arial" w:cs="Arial"/>
                <w:sz w:val="16"/>
                <w:szCs w:val="16"/>
              </w:rPr>
              <w:t xml:space="preserve"> </w:t>
            </w:r>
          </w:p>
        </w:tc>
        <w:tc>
          <w:tcPr>
            <w:tcW w:w="1134" w:type="dxa"/>
            <w:tcBorders>
              <w:top w:val="nil"/>
              <w:left w:val="nil"/>
              <w:bottom w:val="single" w:sz="4" w:space="0" w:color="auto"/>
              <w:right w:val="single" w:sz="4" w:space="0" w:color="auto"/>
            </w:tcBorders>
            <w:shd w:val="clear" w:color="auto" w:fill="auto"/>
            <w:noWrap/>
            <w:vAlign w:val="bottom"/>
          </w:tcPr>
          <w:p w14:paraId="72AC09B4" w14:textId="70B7280A" w:rsidR="00CB5C36" w:rsidRPr="00A46CBE" w:rsidRDefault="001053B7" w:rsidP="00CB5C36">
            <w:pPr>
              <w:jc w:val="right"/>
              <w:rPr>
                <w:rFonts w:ascii="Arial" w:hAnsi="Arial" w:cs="Arial"/>
                <w:color w:val="000000"/>
                <w:sz w:val="16"/>
                <w:szCs w:val="16"/>
                <w:lang w:val="es-ES_tradnl"/>
              </w:rPr>
            </w:pPr>
            <w:r w:rsidRPr="001053B7">
              <w:rPr>
                <w:rFonts w:ascii="Arial" w:hAnsi="Arial" w:cs="Arial"/>
                <w:color w:val="000000"/>
                <w:sz w:val="16"/>
                <w:szCs w:val="16"/>
                <w:lang w:val="es-ES_tradnl"/>
              </w:rPr>
              <w:t>-29</w:t>
            </w:r>
          </w:p>
        </w:tc>
        <w:tc>
          <w:tcPr>
            <w:tcW w:w="1128" w:type="dxa"/>
            <w:tcBorders>
              <w:top w:val="nil"/>
              <w:left w:val="nil"/>
              <w:bottom w:val="single" w:sz="4" w:space="0" w:color="auto"/>
              <w:right w:val="single" w:sz="4" w:space="0" w:color="auto"/>
            </w:tcBorders>
            <w:shd w:val="clear" w:color="auto" w:fill="auto"/>
            <w:noWrap/>
            <w:vAlign w:val="bottom"/>
          </w:tcPr>
          <w:p w14:paraId="4CFD287D" w14:textId="65334672" w:rsidR="00CB5C36" w:rsidRPr="00A46CBE" w:rsidRDefault="001053B7" w:rsidP="00CB5C36">
            <w:pPr>
              <w:jc w:val="right"/>
              <w:rPr>
                <w:rFonts w:ascii="Arial" w:hAnsi="Arial" w:cs="Arial"/>
                <w:color w:val="000000"/>
                <w:sz w:val="16"/>
                <w:szCs w:val="16"/>
                <w:lang w:val="es-ES_tradnl"/>
              </w:rPr>
            </w:pPr>
            <w:r>
              <w:rPr>
                <w:rFonts w:ascii="Arial" w:hAnsi="Arial" w:cs="Arial"/>
                <w:color w:val="000000"/>
                <w:sz w:val="16"/>
                <w:szCs w:val="16"/>
                <w:lang w:val="es-ES_tradnl"/>
              </w:rPr>
              <w:t>64</w:t>
            </w:r>
          </w:p>
        </w:tc>
      </w:tr>
      <w:tr w:rsidR="00CB5C36" w:rsidRPr="00701F32" w14:paraId="43783786" w14:textId="77777777" w:rsidTr="00EB661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center"/>
          </w:tcPr>
          <w:p w14:paraId="5824E479" w14:textId="77777777" w:rsidR="00CB5C36" w:rsidRPr="00D27B18" w:rsidRDefault="00CB5C36" w:rsidP="00CB5C36">
            <w:pPr>
              <w:rPr>
                <w:rFonts w:ascii="Arial" w:hAnsi="Arial" w:cs="Arial"/>
                <w:sz w:val="16"/>
                <w:szCs w:val="16"/>
              </w:rPr>
            </w:pPr>
            <w:r>
              <w:rPr>
                <w:rFonts w:ascii="Arial" w:hAnsi="Arial" w:cs="Arial"/>
                <w:color w:val="000000"/>
                <w:sz w:val="16"/>
                <w:szCs w:val="18"/>
              </w:rPr>
              <w:t>Swift (*)</w:t>
            </w:r>
          </w:p>
        </w:tc>
        <w:tc>
          <w:tcPr>
            <w:tcW w:w="1276" w:type="dxa"/>
            <w:tcBorders>
              <w:top w:val="nil"/>
              <w:left w:val="nil"/>
              <w:bottom w:val="single" w:sz="4" w:space="0" w:color="auto"/>
              <w:right w:val="single" w:sz="4" w:space="0" w:color="auto"/>
            </w:tcBorders>
            <w:shd w:val="clear" w:color="auto" w:fill="auto"/>
            <w:noWrap/>
            <w:vAlign w:val="center"/>
          </w:tcPr>
          <w:p w14:paraId="1A5DC8C1" w14:textId="6C8BBD8C" w:rsidR="00CB5C36" w:rsidRPr="00A46CBE" w:rsidDel="00BD6FD1" w:rsidRDefault="001053B7" w:rsidP="00CB5C36">
            <w:pPr>
              <w:jc w:val="right"/>
              <w:rPr>
                <w:rFonts w:ascii="Arial" w:hAnsi="Arial" w:cs="Arial"/>
                <w:sz w:val="16"/>
                <w:szCs w:val="16"/>
              </w:rPr>
            </w:pPr>
            <w:r>
              <w:rPr>
                <w:rFonts w:ascii="Arial" w:hAnsi="Arial" w:cs="Arial"/>
                <w:sz w:val="16"/>
                <w:szCs w:val="16"/>
              </w:rPr>
              <w:t>3</w:t>
            </w:r>
            <w:r w:rsidR="00AA0257">
              <w:rPr>
                <w:rFonts w:ascii="Arial" w:hAnsi="Arial" w:cs="Arial"/>
                <w:sz w:val="16"/>
                <w:szCs w:val="16"/>
              </w:rPr>
              <w:t>1</w:t>
            </w:r>
          </w:p>
        </w:tc>
        <w:tc>
          <w:tcPr>
            <w:tcW w:w="1134" w:type="dxa"/>
            <w:tcBorders>
              <w:top w:val="nil"/>
              <w:left w:val="nil"/>
              <w:bottom w:val="single" w:sz="4" w:space="0" w:color="auto"/>
              <w:right w:val="single" w:sz="4" w:space="0" w:color="auto"/>
            </w:tcBorders>
            <w:shd w:val="clear" w:color="auto" w:fill="auto"/>
            <w:noWrap/>
            <w:vAlign w:val="center"/>
          </w:tcPr>
          <w:p w14:paraId="1AEB62F1" w14:textId="15A8A618" w:rsidR="00CB5C36" w:rsidRPr="00A46CBE" w:rsidRDefault="001053B7" w:rsidP="00CB5C36">
            <w:pPr>
              <w:jc w:val="right"/>
              <w:rPr>
                <w:rFonts w:ascii="Arial" w:hAnsi="Arial" w:cs="Arial"/>
                <w:sz w:val="16"/>
                <w:szCs w:val="16"/>
              </w:rPr>
            </w:pPr>
            <w:r>
              <w:rPr>
                <w:rFonts w:ascii="Arial" w:hAnsi="Arial" w:cs="Arial"/>
                <w:sz w:val="16"/>
                <w:szCs w:val="16"/>
              </w:rPr>
              <w:t>-</w:t>
            </w:r>
          </w:p>
        </w:tc>
        <w:tc>
          <w:tcPr>
            <w:tcW w:w="1128" w:type="dxa"/>
            <w:tcBorders>
              <w:top w:val="nil"/>
              <w:left w:val="nil"/>
              <w:bottom w:val="single" w:sz="4" w:space="0" w:color="auto"/>
              <w:right w:val="single" w:sz="4" w:space="0" w:color="auto"/>
            </w:tcBorders>
            <w:shd w:val="clear" w:color="auto" w:fill="auto"/>
            <w:noWrap/>
            <w:vAlign w:val="center"/>
          </w:tcPr>
          <w:p w14:paraId="533F6E53" w14:textId="6879B087" w:rsidR="00CB5C36" w:rsidRPr="00A46CBE" w:rsidDel="00BD6FD1" w:rsidRDefault="001053B7" w:rsidP="00CB5C36">
            <w:pPr>
              <w:jc w:val="right"/>
              <w:rPr>
                <w:rFonts w:ascii="Arial" w:hAnsi="Arial" w:cs="Arial"/>
                <w:sz w:val="16"/>
                <w:szCs w:val="16"/>
              </w:rPr>
            </w:pPr>
            <w:r>
              <w:rPr>
                <w:rFonts w:ascii="Arial" w:hAnsi="Arial" w:cs="Arial"/>
                <w:sz w:val="16"/>
                <w:szCs w:val="16"/>
              </w:rPr>
              <w:t>3</w:t>
            </w:r>
            <w:r w:rsidR="00AA0257">
              <w:rPr>
                <w:rFonts w:ascii="Arial" w:hAnsi="Arial" w:cs="Arial"/>
                <w:sz w:val="16"/>
                <w:szCs w:val="16"/>
              </w:rPr>
              <w:t>1</w:t>
            </w:r>
          </w:p>
        </w:tc>
      </w:tr>
      <w:tr w:rsidR="00CB5C36" w:rsidRPr="00701F32" w14:paraId="2A2E32BA" w14:textId="77777777" w:rsidTr="00CB5C36">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5F6F38E" w14:textId="77777777" w:rsidR="00CB5C36" w:rsidRPr="00EC349E" w:rsidRDefault="00CB5C36" w:rsidP="00CB5C36">
            <w:pPr>
              <w:jc w:val="both"/>
              <w:rPr>
                <w:rFonts w:ascii="Arial" w:hAnsi="Arial" w:cs="Arial"/>
                <w:b/>
                <w:bCs/>
                <w:color w:val="000000"/>
                <w:sz w:val="16"/>
                <w:szCs w:val="16"/>
              </w:rPr>
            </w:pPr>
            <w:r w:rsidRPr="00EC349E">
              <w:rPr>
                <w:rFonts w:ascii="Arial" w:hAnsi="Arial" w:cs="Arial"/>
                <w:b/>
                <w:sz w:val="16"/>
                <w:szCs w:val="16"/>
              </w:rPr>
              <w:t>Total</w:t>
            </w:r>
          </w:p>
        </w:tc>
        <w:tc>
          <w:tcPr>
            <w:tcW w:w="1276" w:type="dxa"/>
            <w:tcBorders>
              <w:top w:val="nil"/>
              <w:left w:val="nil"/>
              <w:bottom w:val="single" w:sz="4" w:space="0" w:color="auto"/>
              <w:right w:val="single" w:sz="4" w:space="0" w:color="auto"/>
            </w:tcBorders>
            <w:shd w:val="clear" w:color="auto" w:fill="auto"/>
            <w:noWrap/>
            <w:vAlign w:val="bottom"/>
            <w:hideMark/>
          </w:tcPr>
          <w:p w14:paraId="1DEA93A9" w14:textId="4E244F2A" w:rsidR="00CB5C36" w:rsidRPr="00A46CBE" w:rsidRDefault="00CB5C36" w:rsidP="00CB5C36">
            <w:pPr>
              <w:jc w:val="right"/>
              <w:rPr>
                <w:rFonts w:ascii="Arial" w:hAnsi="Arial" w:cs="Arial"/>
                <w:b/>
                <w:bCs/>
                <w:color w:val="000000"/>
                <w:sz w:val="16"/>
                <w:szCs w:val="16"/>
                <w:lang w:val="es-ES_tradnl"/>
              </w:rPr>
            </w:pPr>
            <w:r w:rsidRPr="00A46CBE">
              <w:rPr>
                <w:rFonts w:ascii="Arial" w:hAnsi="Arial" w:cs="Arial"/>
                <w:b/>
                <w:sz w:val="16"/>
                <w:szCs w:val="16"/>
              </w:rPr>
              <w:t xml:space="preserve"> 8.</w:t>
            </w:r>
            <w:r w:rsidR="00F07B96" w:rsidRPr="00A46CBE">
              <w:rPr>
                <w:rFonts w:ascii="Arial" w:hAnsi="Arial" w:cs="Arial"/>
                <w:b/>
                <w:sz w:val="16"/>
                <w:szCs w:val="16"/>
              </w:rPr>
              <w:t>8</w:t>
            </w:r>
            <w:r w:rsidR="00F07B96">
              <w:rPr>
                <w:rFonts w:ascii="Arial" w:hAnsi="Arial" w:cs="Arial"/>
                <w:b/>
                <w:sz w:val="16"/>
                <w:szCs w:val="16"/>
              </w:rPr>
              <w:t>32</w:t>
            </w:r>
            <w:r w:rsidR="00F07B96" w:rsidRPr="00A46CBE">
              <w:rPr>
                <w:rFonts w:ascii="Arial" w:hAnsi="Arial" w:cs="Arial"/>
                <w:b/>
                <w:sz w:val="16"/>
                <w:szCs w:val="16"/>
              </w:rPr>
              <w:t xml:space="preserve"> </w:t>
            </w:r>
          </w:p>
        </w:tc>
        <w:tc>
          <w:tcPr>
            <w:tcW w:w="1134" w:type="dxa"/>
            <w:tcBorders>
              <w:top w:val="nil"/>
              <w:left w:val="nil"/>
              <w:bottom w:val="single" w:sz="4" w:space="0" w:color="auto"/>
              <w:right w:val="single" w:sz="4" w:space="0" w:color="auto"/>
            </w:tcBorders>
            <w:shd w:val="clear" w:color="auto" w:fill="auto"/>
            <w:noWrap/>
            <w:vAlign w:val="bottom"/>
          </w:tcPr>
          <w:p w14:paraId="4B2F84A6" w14:textId="5CF8C1A4" w:rsidR="00CB5C36" w:rsidRPr="00A46CBE" w:rsidRDefault="001053B7" w:rsidP="00CB5C36">
            <w:pPr>
              <w:jc w:val="right"/>
              <w:rPr>
                <w:rFonts w:ascii="Arial" w:hAnsi="Arial" w:cs="Arial"/>
                <w:b/>
                <w:bCs/>
                <w:color w:val="000000"/>
                <w:sz w:val="16"/>
                <w:szCs w:val="16"/>
              </w:rPr>
            </w:pPr>
            <w:r w:rsidRPr="001053B7">
              <w:rPr>
                <w:rFonts w:ascii="Arial" w:hAnsi="Arial" w:cs="Arial"/>
                <w:b/>
                <w:bCs/>
                <w:color w:val="000000"/>
                <w:sz w:val="16"/>
                <w:szCs w:val="16"/>
              </w:rPr>
              <w:t>-18</w:t>
            </w:r>
          </w:p>
        </w:tc>
        <w:tc>
          <w:tcPr>
            <w:tcW w:w="1128" w:type="dxa"/>
            <w:tcBorders>
              <w:top w:val="nil"/>
              <w:left w:val="nil"/>
              <w:bottom w:val="single" w:sz="4" w:space="0" w:color="auto"/>
              <w:right w:val="single" w:sz="4" w:space="0" w:color="auto"/>
            </w:tcBorders>
            <w:shd w:val="clear" w:color="auto" w:fill="auto"/>
            <w:noWrap/>
            <w:vAlign w:val="bottom"/>
          </w:tcPr>
          <w:p w14:paraId="7900AE5E" w14:textId="61AE7062" w:rsidR="00CB5C36" w:rsidRPr="00A46CBE" w:rsidRDefault="001053B7" w:rsidP="00CB5C36">
            <w:pPr>
              <w:jc w:val="right"/>
              <w:rPr>
                <w:rFonts w:ascii="Arial" w:hAnsi="Arial" w:cs="Arial"/>
                <w:b/>
                <w:bCs/>
                <w:color w:val="000000"/>
                <w:sz w:val="16"/>
                <w:szCs w:val="16"/>
                <w:lang w:val="es-ES_tradnl"/>
              </w:rPr>
            </w:pPr>
            <w:r w:rsidRPr="001053B7">
              <w:rPr>
                <w:rFonts w:ascii="Arial" w:hAnsi="Arial" w:cs="Arial"/>
                <w:b/>
                <w:bCs/>
                <w:color w:val="000000"/>
                <w:sz w:val="16"/>
                <w:szCs w:val="16"/>
                <w:lang w:val="es-ES_tradnl"/>
              </w:rPr>
              <w:t>8.</w:t>
            </w:r>
            <w:r w:rsidR="00F07B96" w:rsidRPr="001053B7">
              <w:rPr>
                <w:rFonts w:ascii="Arial" w:hAnsi="Arial" w:cs="Arial"/>
                <w:b/>
                <w:bCs/>
                <w:color w:val="000000"/>
                <w:sz w:val="16"/>
                <w:szCs w:val="16"/>
                <w:lang w:val="es-ES_tradnl"/>
              </w:rPr>
              <w:t>81</w:t>
            </w:r>
            <w:r w:rsidR="00F07B96">
              <w:rPr>
                <w:rFonts w:ascii="Arial" w:hAnsi="Arial" w:cs="Arial"/>
                <w:b/>
                <w:bCs/>
                <w:color w:val="000000"/>
                <w:sz w:val="16"/>
                <w:szCs w:val="16"/>
                <w:lang w:val="es-ES_tradnl"/>
              </w:rPr>
              <w:t>4</w:t>
            </w:r>
          </w:p>
        </w:tc>
      </w:tr>
    </w:tbl>
    <w:p w14:paraId="495CD6AC" w14:textId="77777777" w:rsidR="00CB5C36" w:rsidRPr="00701F32" w:rsidRDefault="00CB5C36" w:rsidP="00CB5C36">
      <w:pPr>
        <w:pStyle w:val="Lista"/>
        <w:ind w:left="0" w:firstLine="0"/>
        <w:jc w:val="both"/>
        <w:rPr>
          <w:rFonts w:ascii="Arial" w:hAnsi="Arial" w:cs="Arial"/>
          <w:sz w:val="20"/>
          <w:szCs w:val="20"/>
          <w:lang w:val="es-AR"/>
        </w:rPr>
      </w:pPr>
    </w:p>
    <w:p w14:paraId="161561AC" w14:textId="2238ED1D" w:rsidR="00CB5C36" w:rsidRPr="00EC349E" w:rsidRDefault="00CB5C36" w:rsidP="00CB5C36">
      <w:pPr>
        <w:rPr>
          <w:rFonts w:ascii="Arial" w:eastAsiaTheme="minorHAnsi" w:hAnsi="Arial" w:cs="Arial"/>
          <w:sz w:val="20"/>
        </w:rPr>
      </w:pPr>
      <w:r w:rsidRPr="00EC349E">
        <w:rPr>
          <w:rFonts w:ascii="Arial" w:eastAsiaTheme="minorHAnsi" w:hAnsi="Arial" w:cs="Arial"/>
          <w:sz w:val="20"/>
        </w:rPr>
        <w:t>(*) La participaci</w:t>
      </w:r>
      <w:r>
        <w:rPr>
          <w:rFonts w:ascii="Arial" w:eastAsiaTheme="minorHAnsi" w:hAnsi="Arial" w:cs="Arial"/>
          <w:sz w:val="20"/>
        </w:rPr>
        <w:t>ón en Swif</w:t>
      </w:r>
      <w:r w:rsidRPr="00EC349E">
        <w:rPr>
          <w:rFonts w:ascii="Arial" w:eastAsiaTheme="minorHAnsi" w:hAnsi="Arial" w:cs="Arial"/>
          <w:sz w:val="20"/>
        </w:rPr>
        <w:t>t se encuentra registrada en el rubro Otros títulos de deuda</w:t>
      </w:r>
      <w:r w:rsidR="00A34393">
        <w:rPr>
          <w:rFonts w:ascii="Arial" w:eastAsiaTheme="minorHAnsi" w:hAnsi="Arial" w:cs="Arial"/>
          <w:sz w:val="20"/>
        </w:rPr>
        <w:t>.</w:t>
      </w:r>
    </w:p>
    <w:p w14:paraId="4D50C99E" w14:textId="77777777" w:rsidR="00CB5C36" w:rsidRDefault="00CB5C36" w:rsidP="00CB5C36">
      <w:pPr>
        <w:rPr>
          <w:rFonts w:ascii="Arial" w:eastAsiaTheme="minorHAnsi" w:hAnsi="Arial" w:cs="Arial"/>
          <w:b/>
          <w:sz w:val="20"/>
        </w:rPr>
      </w:pPr>
    </w:p>
    <w:p w14:paraId="334ED0CC" w14:textId="2CE5D24E" w:rsidR="00CB5C36" w:rsidRPr="00701F32" w:rsidRDefault="00CB5C36" w:rsidP="00CB5C36">
      <w:pPr>
        <w:widowControl w:val="0"/>
        <w:autoSpaceDE w:val="0"/>
        <w:autoSpaceDN w:val="0"/>
        <w:adjustRightInd w:val="0"/>
        <w:ind w:left="709" w:hanging="709"/>
        <w:jc w:val="both"/>
        <w:rPr>
          <w:rFonts w:ascii="Arial" w:hAnsi="Arial" w:cs="Arial"/>
          <w:b/>
          <w:noProof/>
          <w:sz w:val="20"/>
        </w:rPr>
      </w:pPr>
      <w:r>
        <w:rPr>
          <w:rFonts w:ascii="Arial" w:hAnsi="Arial" w:cs="Arial"/>
          <w:b/>
          <w:noProof/>
          <w:sz w:val="20"/>
        </w:rPr>
        <w:t>2</w:t>
      </w:r>
      <w:r w:rsidR="00967EE4">
        <w:rPr>
          <w:rFonts w:ascii="Arial" w:hAnsi="Arial" w:cs="Arial"/>
          <w:b/>
          <w:noProof/>
          <w:sz w:val="20"/>
        </w:rPr>
        <w:t>1</w:t>
      </w:r>
      <w:r w:rsidRPr="009F6947">
        <w:rPr>
          <w:rFonts w:ascii="Arial" w:hAnsi="Arial" w:cs="Arial"/>
          <w:b/>
          <w:caps/>
          <w:noProof/>
          <w:sz w:val="20"/>
        </w:rPr>
        <w:t>. Interés no controlante</w:t>
      </w:r>
      <w:r w:rsidRPr="00701F32">
        <w:rPr>
          <w:rFonts w:ascii="Arial" w:hAnsi="Arial" w:cs="Arial"/>
          <w:b/>
          <w:noProof/>
          <w:sz w:val="20"/>
        </w:rPr>
        <w:t xml:space="preserve"> </w:t>
      </w:r>
    </w:p>
    <w:p w14:paraId="71AD00E4" w14:textId="77777777" w:rsidR="00CB5C36" w:rsidRPr="00701F32" w:rsidRDefault="00CB5C36" w:rsidP="00CB5C36">
      <w:pPr>
        <w:widowControl w:val="0"/>
        <w:autoSpaceDE w:val="0"/>
        <w:autoSpaceDN w:val="0"/>
        <w:adjustRightInd w:val="0"/>
        <w:jc w:val="both"/>
        <w:rPr>
          <w:rFonts w:ascii="Arial" w:hAnsi="Arial" w:cs="Arial"/>
          <w:b/>
          <w:noProof/>
          <w:sz w:val="20"/>
        </w:rPr>
      </w:pPr>
    </w:p>
    <w:p w14:paraId="1508226B" w14:textId="6789F1E3" w:rsidR="00CB5C36" w:rsidRPr="00701F32" w:rsidRDefault="00CB5C36" w:rsidP="00CB5C36">
      <w:pPr>
        <w:widowControl w:val="0"/>
        <w:autoSpaceDE w:val="0"/>
        <w:autoSpaceDN w:val="0"/>
        <w:adjustRightInd w:val="0"/>
        <w:jc w:val="both"/>
        <w:rPr>
          <w:rFonts w:ascii="Arial" w:hAnsi="Arial" w:cs="Arial"/>
          <w:noProof/>
          <w:sz w:val="20"/>
        </w:rPr>
      </w:pPr>
      <w:r w:rsidRPr="00701F32">
        <w:rPr>
          <w:rFonts w:ascii="Arial" w:hAnsi="Arial" w:cs="Arial"/>
          <w:noProof/>
          <w:sz w:val="20"/>
        </w:rPr>
        <w:t xml:space="preserve">Los movimientos del interés no controlante significativos de la Entidad al 31 de diciembre de </w:t>
      </w:r>
      <w:r>
        <w:rPr>
          <w:rFonts w:ascii="Arial" w:hAnsi="Arial" w:cs="Arial"/>
          <w:noProof/>
          <w:sz w:val="20"/>
        </w:rPr>
        <w:t xml:space="preserve">2019 y 2018 </w:t>
      </w:r>
      <w:r w:rsidRPr="00701F32">
        <w:rPr>
          <w:rFonts w:ascii="Arial" w:hAnsi="Arial" w:cs="Arial"/>
          <w:noProof/>
          <w:sz w:val="20"/>
        </w:rPr>
        <w:t>fueron los siguientes:</w:t>
      </w:r>
    </w:p>
    <w:p w14:paraId="741D1273" w14:textId="77777777" w:rsidR="00CB5C36" w:rsidRPr="00701F32" w:rsidRDefault="00CB5C36" w:rsidP="00CB5C36">
      <w:pPr>
        <w:widowControl w:val="0"/>
        <w:autoSpaceDE w:val="0"/>
        <w:autoSpaceDN w:val="0"/>
        <w:adjustRightInd w:val="0"/>
        <w:jc w:val="both"/>
        <w:rPr>
          <w:rFonts w:ascii="Arial" w:hAnsi="Arial" w:cs="Arial"/>
          <w:b/>
          <w:noProof/>
          <w:sz w:val="20"/>
        </w:rPr>
      </w:pPr>
    </w:p>
    <w:tbl>
      <w:tblPr>
        <w:tblW w:w="41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902"/>
        <w:gridCol w:w="1203"/>
        <w:gridCol w:w="1203"/>
      </w:tblGrid>
      <w:tr w:rsidR="00CB5C36" w:rsidRPr="00A65D1B" w14:paraId="5409CA69" w14:textId="77777777" w:rsidTr="00CB5C36">
        <w:trPr>
          <w:trHeight w:val="294"/>
          <w:tblHeader/>
          <w:jc w:val="center"/>
        </w:trPr>
        <w:tc>
          <w:tcPr>
            <w:tcW w:w="0" w:type="auto"/>
          </w:tcPr>
          <w:p w14:paraId="1A59ACBB" w14:textId="77777777" w:rsidR="00CB5C36" w:rsidRPr="00A65D1B" w:rsidRDefault="00CB5C36" w:rsidP="00EB6617">
            <w:pPr>
              <w:spacing w:line="259" w:lineRule="auto"/>
              <w:jc w:val="both"/>
              <w:rPr>
                <w:rFonts w:ascii="Arial" w:eastAsia="Arial" w:hAnsi="Arial" w:cs="Arial"/>
                <w:b/>
                <w:sz w:val="18"/>
                <w:szCs w:val="18"/>
              </w:rPr>
            </w:pPr>
            <w:r w:rsidRPr="00A65D1B">
              <w:rPr>
                <w:rFonts w:ascii="Arial" w:eastAsia="Arial" w:hAnsi="Arial" w:cs="Arial"/>
                <w:b/>
                <w:sz w:val="18"/>
                <w:szCs w:val="18"/>
              </w:rPr>
              <w:t> </w:t>
            </w:r>
          </w:p>
        </w:tc>
        <w:tc>
          <w:tcPr>
            <w:tcW w:w="0" w:type="auto"/>
            <w:vAlign w:val="center"/>
          </w:tcPr>
          <w:p w14:paraId="2C9B2658" w14:textId="1C6DA4AF" w:rsidR="00CB5C36" w:rsidRPr="00A65D1B" w:rsidRDefault="00CB5C36" w:rsidP="00CB5C36">
            <w:pPr>
              <w:jc w:val="center"/>
              <w:rPr>
                <w:rFonts w:ascii="Arial" w:eastAsia="SimSun" w:hAnsi="Arial" w:cs="Arial"/>
                <w:b/>
                <w:bCs/>
                <w:sz w:val="18"/>
                <w:szCs w:val="18"/>
                <w:lang w:eastAsia="zh-CN"/>
              </w:rPr>
            </w:pPr>
            <w:r>
              <w:rPr>
                <w:rFonts w:ascii="Arial" w:eastAsia="SimSun" w:hAnsi="Arial" w:cs="Arial"/>
                <w:b/>
                <w:bCs/>
                <w:sz w:val="18"/>
                <w:szCs w:val="18"/>
                <w:lang w:eastAsia="zh-CN"/>
              </w:rPr>
              <w:t>31/12/2019</w:t>
            </w:r>
          </w:p>
        </w:tc>
        <w:tc>
          <w:tcPr>
            <w:tcW w:w="0" w:type="auto"/>
            <w:vAlign w:val="center"/>
          </w:tcPr>
          <w:p w14:paraId="7D444B96" w14:textId="1F5F7869" w:rsidR="00CB5C36" w:rsidRPr="00A65D1B" w:rsidRDefault="00CB5C36" w:rsidP="00EB6617">
            <w:pPr>
              <w:jc w:val="center"/>
              <w:rPr>
                <w:rFonts w:ascii="Arial" w:eastAsia="SimSun" w:hAnsi="Arial" w:cs="Arial"/>
                <w:b/>
                <w:bCs/>
                <w:sz w:val="18"/>
                <w:szCs w:val="18"/>
                <w:lang w:eastAsia="zh-CN"/>
              </w:rPr>
            </w:pPr>
            <w:r w:rsidRPr="00A65D1B">
              <w:rPr>
                <w:rFonts w:ascii="Arial" w:eastAsia="SimSun" w:hAnsi="Arial" w:cs="Arial"/>
                <w:b/>
                <w:bCs/>
                <w:sz w:val="18"/>
                <w:szCs w:val="18"/>
                <w:lang w:eastAsia="zh-CN"/>
              </w:rPr>
              <w:t>31/12/2018</w:t>
            </w:r>
          </w:p>
        </w:tc>
      </w:tr>
      <w:tr w:rsidR="00CB5C36" w:rsidRPr="00A65D1B" w14:paraId="3A56D6AA" w14:textId="77777777" w:rsidTr="00C04EF4">
        <w:trPr>
          <w:trHeight w:val="255"/>
          <w:jc w:val="center"/>
        </w:trPr>
        <w:tc>
          <w:tcPr>
            <w:tcW w:w="0" w:type="auto"/>
            <w:vAlign w:val="bottom"/>
          </w:tcPr>
          <w:p w14:paraId="16A70194" w14:textId="77777777" w:rsidR="00CB5C36" w:rsidRPr="00A65D1B" w:rsidRDefault="00CB5C36" w:rsidP="00EB6617">
            <w:pPr>
              <w:jc w:val="both"/>
              <w:rPr>
                <w:rFonts w:ascii="Arial" w:eastAsia="SimSun" w:hAnsi="Arial" w:cs="Arial"/>
                <w:sz w:val="18"/>
                <w:szCs w:val="18"/>
                <w:lang w:eastAsia="zh-CN"/>
              </w:rPr>
            </w:pPr>
            <w:r w:rsidRPr="00A65D1B">
              <w:rPr>
                <w:rFonts w:ascii="Arial" w:eastAsia="SimSun" w:hAnsi="Arial" w:cs="Arial"/>
                <w:b/>
                <w:bCs/>
                <w:sz w:val="18"/>
                <w:szCs w:val="18"/>
                <w:lang w:eastAsia="zh-CN"/>
              </w:rPr>
              <w:t>Saldo al inicio</w:t>
            </w:r>
          </w:p>
        </w:tc>
        <w:tc>
          <w:tcPr>
            <w:tcW w:w="0" w:type="auto"/>
            <w:vAlign w:val="bottom"/>
          </w:tcPr>
          <w:p w14:paraId="379482E3" w14:textId="29656B9B" w:rsidR="00CB5C36" w:rsidRDefault="008F6E8B" w:rsidP="00C04EF4">
            <w:pPr>
              <w:jc w:val="right"/>
              <w:rPr>
                <w:rFonts w:ascii="Arial" w:hAnsi="Arial" w:cs="Arial"/>
                <w:color w:val="000000"/>
                <w:sz w:val="18"/>
                <w:szCs w:val="18"/>
              </w:rPr>
            </w:pPr>
            <w:r>
              <w:rPr>
                <w:rFonts w:ascii="Arial" w:hAnsi="Arial" w:cs="Arial"/>
                <w:color w:val="000000"/>
                <w:sz w:val="18"/>
                <w:szCs w:val="18"/>
              </w:rPr>
              <w:t>63.044</w:t>
            </w:r>
          </w:p>
        </w:tc>
        <w:tc>
          <w:tcPr>
            <w:tcW w:w="0" w:type="auto"/>
            <w:vAlign w:val="bottom"/>
          </w:tcPr>
          <w:p w14:paraId="1FF43FAB" w14:textId="571ABB69" w:rsidR="00CB5C36" w:rsidRPr="00A65D1B" w:rsidRDefault="00CB5C36" w:rsidP="00EB6617">
            <w:pPr>
              <w:jc w:val="right"/>
              <w:rPr>
                <w:rFonts w:ascii="Arial" w:hAnsi="Arial" w:cs="Arial"/>
                <w:color w:val="000000"/>
                <w:sz w:val="18"/>
                <w:szCs w:val="18"/>
              </w:rPr>
            </w:pPr>
            <w:r>
              <w:rPr>
                <w:rFonts w:ascii="Arial" w:hAnsi="Arial" w:cs="Arial"/>
                <w:color w:val="000000"/>
                <w:sz w:val="18"/>
                <w:szCs w:val="18"/>
              </w:rPr>
              <w:t>214.437</w:t>
            </w:r>
          </w:p>
        </w:tc>
      </w:tr>
      <w:tr w:rsidR="00CB5C36" w:rsidRPr="00A65D1B" w14:paraId="0F9D4794" w14:textId="77777777" w:rsidTr="00C04EF4">
        <w:trPr>
          <w:trHeight w:val="275"/>
          <w:jc w:val="center"/>
        </w:trPr>
        <w:tc>
          <w:tcPr>
            <w:tcW w:w="0" w:type="auto"/>
            <w:vAlign w:val="center"/>
          </w:tcPr>
          <w:p w14:paraId="30760D54" w14:textId="14A03251" w:rsidR="00CB5C36" w:rsidRPr="00A65D1B" w:rsidRDefault="00CB5C36" w:rsidP="00EB6617">
            <w:pPr>
              <w:jc w:val="both"/>
              <w:rPr>
                <w:rFonts w:ascii="Arial" w:hAnsi="Arial" w:cs="Arial"/>
                <w:color w:val="000000"/>
                <w:sz w:val="18"/>
                <w:szCs w:val="18"/>
              </w:rPr>
            </w:pPr>
            <w:r w:rsidRPr="00A65D1B">
              <w:rPr>
                <w:rFonts w:ascii="Arial" w:hAnsi="Arial" w:cs="Arial"/>
                <w:color w:val="000000"/>
                <w:sz w:val="18"/>
                <w:szCs w:val="18"/>
              </w:rPr>
              <w:t xml:space="preserve">Participación neta en </w:t>
            </w:r>
            <w:r w:rsidR="00EE3672">
              <w:rPr>
                <w:rFonts w:ascii="Arial" w:hAnsi="Arial" w:cs="Arial"/>
                <w:color w:val="000000"/>
                <w:sz w:val="18"/>
                <w:szCs w:val="18"/>
              </w:rPr>
              <w:t>el resultado</w:t>
            </w:r>
            <w:r w:rsidR="00EE3672" w:rsidRPr="00A65D1B">
              <w:rPr>
                <w:rFonts w:ascii="Arial" w:hAnsi="Arial" w:cs="Arial"/>
                <w:color w:val="000000"/>
                <w:sz w:val="18"/>
                <w:szCs w:val="18"/>
              </w:rPr>
              <w:t xml:space="preserve"> </w:t>
            </w:r>
            <w:r w:rsidRPr="00A65D1B">
              <w:rPr>
                <w:rFonts w:ascii="Arial" w:hAnsi="Arial" w:cs="Arial"/>
                <w:color w:val="000000"/>
                <w:sz w:val="18"/>
                <w:szCs w:val="18"/>
              </w:rPr>
              <w:t>del ejercicio</w:t>
            </w:r>
          </w:p>
        </w:tc>
        <w:tc>
          <w:tcPr>
            <w:tcW w:w="0" w:type="auto"/>
            <w:vAlign w:val="bottom"/>
          </w:tcPr>
          <w:p w14:paraId="33EF6DCC" w14:textId="60B712A8" w:rsidR="00CB5C36" w:rsidRDefault="00EE3672" w:rsidP="00C04EF4">
            <w:pPr>
              <w:jc w:val="right"/>
              <w:rPr>
                <w:rFonts w:ascii="Arial" w:hAnsi="Arial" w:cs="Arial"/>
                <w:color w:val="000000"/>
                <w:sz w:val="18"/>
                <w:szCs w:val="18"/>
              </w:rPr>
            </w:pPr>
            <w:r>
              <w:rPr>
                <w:rFonts w:ascii="Arial" w:hAnsi="Arial" w:cs="Arial"/>
                <w:color w:val="000000"/>
                <w:sz w:val="18"/>
                <w:szCs w:val="18"/>
              </w:rPr>
              <w:t>(12.089)</w:t>
            </w:r>
          </w:p>
        </w:tc>
        <w:tc>
          <w:tcPr>
            <w:tcW w:w="0" w:type="auto"/>
            <w:vAlign w:val="bottom"/>
          </w:tcPr>
          <w:p w14:paraId="3BEA13A0" w14:textId="6A53B0F0" w:rsidR="00CB5C36" w:rsidRPr="00A65D1B" w:rsidRDefault="00EE3672" w:rsidP="00EB6617">
            <w:pPr>
              <w:jc w:val="right"/>
              <w:rPr>
                <w:rFonts w:ascii="Arial" w:hAnsi="Arial" w:cs="Arial"/>
                <w:color w:val="000000"/>
                <w:sz w:val="18"/>
                <w:szCs w:val="18"/>
              </w:rPr>
            </w:pPr>
            <w:r>
              <w:rPr>
                <w:rFonts w:ascii="Arial" w:hAnsi="Arial" w:cs="Arial"/>
                <w:color w:val="000000"/>
                <w:sz w:val="18"/>
                <w:szCs w:val="18"/>
              </w:rPr>
              <w:t>(7.278)</w:t>
            </w:r>
          </w:p>
        </w:tc>
      </w:tr>
      <w:tr w:rsidR="00EE3672" w:rsidRPr="00A65D1B" w14:paraId="357DCAE3" w14:textId="77777777" w:rsidTr="00C04EF4">
        <w:trPr>
          <w:trHeight w:val="275"/>
          <w:jc w:val="center"/>
        </w:trPr>
        <w:tc>
          <w:tcPr>
            <w:tcW w:w="0" w:type="auto"/>
            <w:vAlign w:val="center"/>
          </w:tcPr>
          <w:p w14:paraId="217992E9" w14:textId="53B2D6A2" w:rsidR="00EE3672" w:rsidRPr="00A65D1B" w:rsidRDefault="00EE3672" w:rsidP="00EB6617">
            <w:pPr>
              <w:jc w:val="both"/>
              <w:rPr>
                <w:rFonts w:ascii="Arial" w:hAnsi="Arial" w:cs="Arial"/>
                <w:color w:val="000000"/>
                <w:sz w:val="18"/>
                <w:szCs w:val="18"/>
              </w:rPr>
            </w:pPr>
            <w:r>
              <w:rPr>
                <w:rFonts w:ascii="Arial" w:hAnsi="Arial" w:cs="Arial"/>
                <w:color w:val="000000"/>
                <w:sz w:val="18"/>
                <w:szCs w:val="18"/>
              </w:rPr>
              <w:t>Aporte de terceros en sociedad controlada</w:t>
            </w:r>
          </w:p>
        </w:tc>
        <w:tc>
          <w:tcPr>
            <w:tcW w:w="0" w:type="auto"/>
            <w:vAlign w:val="bottom"/>
          </w:tcPr>
          <w:p w14:paraId="5005C471" w14:textId="6188692A" w:rsidR="00EE3672" w:rsidRDefault="00EE3672" w:rsidP="00C04EF4">
            <w:pPr>
              <w:jc w:val="right"/>
              <w:rPr>
                <w:rFonts w:ascii="Arial" w:hAnsi="Arial" w:cs="Arial"/>
                <w:color w:val="000000"/>
                <w:sz w:val="18"/>
                <w:szCs w:val="18"/>
              </w:rPr>
            </w:pPr>
            <w:r>
              <w:rPr>
                <w:rFonts w:ascii="Arial" w:hAnsi="Arial" w:cs="Arial"/>
                <w:color w:val="000000"/>
                <w:sz w:val="18"/>
                <w:szCs w:val="18"/>
              </w:rPr>
              <w:t>75.000</w:t>
            </w:r>
          </w:p>
        </w:tc>
        <w:tc>
          <w:tcPr>
            <w:tcW w:w="0" w:type="auto"/>
            <w:vAlign w:val="bottom"/>
          </w:tcPr>
          <w:p w14:paraId="084E0E0D" w14:textId="18D38D3D" w:rsidR="00EE3672" w:rsidRDefault="00EE3672" w:rsidP="00EB6617">
            <w:pPr>
              <w:jc w:val="right"/>
              <w:rPr>
                <w:rFonts w:ascii="Arial" w:hAnsi="Arial" w:cs="Arial"/>
                <w:color w:val="000000"/>
                <w:sz w:val="18"/>
                <w:szCs w:val="18"/>
              </w:rPr>
            </w:pPr>
            <w:r>
              <w:rPr>
                <w:rFonts w:ascii="Arial" w:hAnsi="Arial" w:cs="Arial"/>
                <w:color w:val="000000"/>
                <w:sz w:val="18"/>
                <w:szCs w:val="18"/>
              </w:rPr>
              <w:t>19.000</w:t>
            </w:r>
          </w:p>
        </w:tc>
      </w:tr>
      <w:tr w:rsidR="00CB5C36" w:rsidRPr="00A65D1B" w14:paraId="08DECBE6" w14:textId="77777777" w:rsidTr="00C04EF4">
        <w:trPr>
          <w:trHeight w:val="255"/>
          <w:jc w:val="center"/>
        </w:trPr>
        <w:tc>
          <w:tcPr>
            <w:tcW w:w="0" w:type="auto"/>
            <w:vAlign w:val="center"/>
          </w:tcPr>
          <w:p w14:paraId="1FCFB622" w14:textId="6FE92C05" w:rsidR="00CB5C36" w:rsidRPr="00A65D1B" w:rsidRDefault="00CB5C36" w:rsidP="00EB6617">
            <w:pPr>
              <w:jc w:val="both"/>
              <w:rPr>
                <w:rFonts w:ascii="Arial" w:hAnsi="Arial" w:cs="Arial"/>
                <w:color w:val="000000"/>
                <w:sz w:val="18"/>
                <w:szCs w:val="18"/>
              </w:rPr>
            </w:pPr>
            <w:r w:rsidRPr="00A65D1B">
              <w:rPr>
                <w:rFonts w:ascii="Arial" w:hAnsi="Arial" w:cs="Arial"/>
                <w:color w:val="000000"/>
                <w:sz w:val="18"/>
                <w:szCs w:val="18"/>
              </w:rPr>
              <w:t>Incorporación</w:t>
            </w:r>
            <w:r w:rsidR="00C04EF4">
              <w:rPr>
                <w:rFonts w:ascii="Arial" w:hAnsi="Arial" w:cs="Arial"/>
                <w:color w:val="000000"/>
                <w:sz w:val="18"/>
                <w:szCs w:val="18"/>
              </w:rPr>
              <w:t xml:space="preserve"> / baja</w:t>
            </w:r>
            <w:r w:rsidRPr="00A65D1B">
              <w:rPr>
                <w:rFonts w:ascii="Arial" w:hAnsi="Arial" w:cs="Arial"/>
                <w:color w:val="000000"/>
                <w:sz w:val="18"/>
                <w:szCs w:val="18"/>
              </w:rPr>
              <w:t xml:space="preserve"> neta de sociedades estructuradas</w:t>
            </w:r>
          </w:p>
        </w:tc>
        <w:tc>
          <w:tcPr>
            <w:tcW w:w="0" w:type="auto"/>
            <w:vAlign w:val="bottom"/>
          </w:tcPr>
          <w:p w14:paraId="45FEB61A" w14:textId="32DDDCF8" w:rsidR="00CB5C36" w:rsidRDefault="008F6E8B" w:rsidP="00C04EF4">
            <w:pPr>
              <w:jc w:val="right"/>
              <w:rPr>
                <w:rFonts w:ascii="Arial" w:hAnsi="Arial" w:cs="Arial"/>
                <w:color w:val="000000"/>
                <w:sz w:val="18"/>
                <w:szCs w:val="18"/>
              </w:rPr>
            </w:pPr>
            <w:r>
              <w:rPr>
                <w:rFonts w:ascii="Arial" w:hAnsi="Arial" w:cs="Arial"/>
                <w:color w:val="000000"/>
                <w:sz w:val="18"/>
                <w:szCs w:val="18"/>
              </w:rPr>
              <w:t>-</w:t>
            </w:r>
          </w:p>
        </w:tc>
        <w:tc>
          <w:tcPr>
            <w:tcW w:w="0" w:type="auto"/>
            <w:vAlign w:val="bottom"/>
          </w:tcPr>
          <w:p w14:paraId="7E8B071F" w14:textId="27B7D555" w:rsidR="00CB5C36" w:rsidRPr="00A65D1B" w:rsidRDefault="00CB5C36" w:rsidP="00EB6617">
            <w:pPr>
              <w:jc w:val="right"/>
              <w:rPr>
                <w:rFonts w:ascii="Arial" w:hAnsi="Arial" w:cs="Arial"/>
                <w:color w:val="000000"/>
                <w:sz w:val="18"/>
                <w:szCs w:val="18"/>
              </w:rPr>
            </w:pPr>
            <w:r>
              <w:rPr>
                <w:rFonts w:ascii="Arial" w:hAnsi="Arial" w:cs="Arial"/>
                <w:color w:val="000000"/>
                <w:sz w:val="18"/>
                <w:szCs w:val="18"/>
              </w:rPr>
              <w:t>(1</w:t>
            </w:r>
            <w:r w:rsidR="00EE3672">
              <w:rPr>
                <w:rFonts w:ascii="Arial" w:hAnsi="Arial" w:cs="Arial"/>
                <w:color w:val="000000"/>
                <w:sz w:val="18"/>
                <w:szCs w:val="18"/>
              </w:rPr>
              <w:t>63.115</w:t>
            </w:r>
            <w:r>
              <w:rPr>
                <w:rFonts w:ascii="Arial" w:hAnsi="Arial" w:cs="Arial"/>
                <w:color w:val="000000"/>
                <w:sz w:val="18"/>
                <w:szCs w:val="18"/>
              </w:rPr>
              <w:t>)</w:t>
            </w:r>
          </w:p>
        </w:tc>
      </w:tr>
      <w:tr w:rsidR="00CB5C36" w:rsidRPr="00A65D1B" w14:paraId="605E6DDB" w14:textId="77777777" w:rsidTr="00C04EF4">
        <w:trPr>
          <w:trHeight w:val="275"/>
          <w:jc w:val="center"/>
        </w:trPr>
        <w:tc>
          <w:tcPr>
            <w:tcW w:w="0" w:type="auto"/>
            <w:vAlign w:val="bottom"/>
          </w:tcPr>
          <w:p w14:paraId="6640DBF1" w14:textId="77777777" w:rsidR="00CB5C36" w:rsidRPr="00A65D1B" w:rsidRDefault="00CB5C36" w:rsidP="00EB6617">
            <w:pPr>
              <w:jc w:val="both"/>
              <w:rPr>
                <w:rFonts w:ascii="Arial" w:eastAsia="SimSun" w:hAnsi="Arial" w:cs="Arial"/>
                <w:sz w:val="18"/>
                <w:szCs w:val="18"/>
                <w:lang w:eastAsia="zh-CN"/>
              </w:rPr>
            </w:pPr>
            <w:r w:rsidRPr="00A65D1B">
              <w:rPr>
                <w:rFonts w:ascii="Arial" w:eastAsia="SimSun" w:hAnsi="Arial" w:cs="Arial"/>
                <w:b/>
                <w:bCs/>
                <w:sz w:val="18"/>
                <w:szCs w:val="18"/>
                <w:lang w:eastAsia="zh-CN"/>
              </w:rPr>
              <w:t>Saldo al cierre</w:t>
            </w:r>
          </w:p>
        </w:tc>
        <w:tc>
          <w:tcPr>
            <w:tcW w:w="0" w:type="auto"/>
            <w:vAlign w:val="bottom"/>
          </w:tcPr>
          <w:p w14:paraId="3607D789" w14:textId="630DE848" w:rsidR="00CB5C36" w:rsidRPr="00C04EF4" w:rsidRDefault="008F6E8B" w:rsidP="00C04EF4">
            <w:pPr>
              <w:jc w:val="right"/>
              <w:rPr>
                <w:rFonts w:ascii="Arial" w:hAnsi="Arial" w:cs="Arial"/>
                <w:b/>
                <w:color w:val="000000"/>
                <w:sz w:val="18"/>
                <w:szCs w:val="18"/>
              </w:rPr>
            </w:pPr>
            <w:r w:rsidRPr="00C04EF4">
              <w:rPr>
                <w:rFonts w:ascii="Arial" w:hAnsi="Arial" w:cs="Arial"/>
                <w:b/>
                <w:color w:val="000000"/>
                <w:sz w:val="18"/>
                <w:szCs w:val="18"/>
              </w:rPr>
              <w:t>125.955</w:t>
            </w:r>
          </w:p>
        </w:tc>
        <w:tc>
          <w:tcPr>
            <w:tcW w:w="0" w:type="auto"/>
            <w:vAlign w:val="bottom"/>
          </w:tcPr>
          <w:p w14:paraId="61429EE4" w14:textId="579CD0EC" w:rsidR="00CB5C36" w:rsidRPr="00A65D1B" w:rsidRDefault="00CB5C36" w:rsidP="00EB6617">
            <w:pPr>
              <w:jc w:val="right"/>
              <w:rPr>
                <w:rFonts w:ascii="Arial" w:hAnsi="Arial" w:cs="Arial"/>
                <w:b/>
                <w:color w:val="000000"/>
                <w:sz w:val="18"/>
                <w:szCs w:val="18"/>
              </w:rPr>
            </w:pPr>
            <w:r>
              <w:rPr>
                <w:rFonts w:ascii="Arial" w:hAnsi="Arial" w:cs="Arial"/>
                <w:b/>
                <w:color w:val="000000"/>
                <w:sz w:val="18"/>
                <w:szCs w:val="18"/>
              </w:rPr>
              <w:t>63.044</w:t>
            </w:r>
          </w:p>
        </w:tc>
      </w:tr>
    </w:tbl>
    <w:p w14:paraId="21A95C01" w14:textId="77777777" w:rsidR="00CB5C36" w:rsidRPr="00701F32" w:rsidRDefault="00CB5C36" w:rsidP="00CB5C36">
      <w:pPr>
        <w:tabs>
          <w:tab w:val="left" w:pos="2858"/>
        </w:tabs>
        <w:ind w:left="502" w:hanging="502"/>
        <w:jc w:val="both"/>
        <w:rPr>
          <w:rFonts w:ascii="Arial" w:eastAsia="Calibri" w:hAnsi="Arial" w:cs="Arial"/>
          <w:noProof/>
          <w:sz w:val="20"/>
        </w:rPr>
      </w:pPr>
    </w:p>
    <w:p w14:paraId="793B45FC" w14:textId="77777777" w:rsidR="00CB5C36" w:rsidRPr="00701F32" w:rsidRDefault="00CB5C36" w:rsidP="00CB5C36">
      <w:pPr>
        <w:tabs>
          <w:tab w:val="left" w:pos="2858"/>
        </w:tabs>
        <w:jc w:val="both"/>
        <w:rPr>
          <w:rFonts w:ascii="Arial" w:eastAsia="Calibri" w:hAnsi="Arial" w:cs="Arial"/>
          <w:noProof/>
          <w:sz w:val="20"/>
        </w:rPr>
      </w:pPr>
      <w:r w:rsidRPr="00701F32">
        <w:rPr>
          <w:rFonts w:ascii="Arial" w:eastAsia="Calibri" w:hAnsi="Arial" w:cs="Arial"/>
          <w:noProof/>
          <w:sz w:val="20"/>
        </w:rPr>
        <w:t>A continuación, se presenta un detalle de la información financiera resumida de las inversiones en las asociadas generadoras del interés no controlante:</w:t>
      </w:r>
    </w:p>
    <w:p w14:paraId="71F8DA84" w14:textId="27A68B57" w:rsidR="00011E62" w:rsidRDefault="00011E62">
      <w:pPr>
        <w:rPr>
          <w:rFonts w:ascii="Arial" w:hAnsi="Arial" w:cs="Arial"/>
          <w:b/>
          <w:noProof/>
          <w:sz w:val="20"/>
        </w:rPr>
      </w:pPr>
      <w:r>
        <w:rPr>
          <w:rFonts w:ascii="Arial" w:hAnsi="Arial" w:cs="Arial"/>
          <w:b/>
          <w:noProof/>
          <w:sz w:val="20"/>
        </w:rPr>
        <w:br w:type="page"/>
      </w:r>
    </w:p>
    <w:p w14:paraId="3B3C5A94" w14:textId="77777777" w:rsidR="00CB5C36" w:rsidRPr="00701F32" w:rsidRDefault="00CB5C36" w:rsidP="00CB5C36">
      <w:pPr>
        <w:widowControl w:val="0"/>
        <w:autoSpaceDE w:val="0"/>
        <w:autoSpaceDN w:val="0"/>
        <w:adjustRightInd w:val="0"/>
        <w:jc w:val="both"/>
        <w:rPr>
          <w:rFonts w:ascii="Arial" w:hAnsi="Arial" w:cs="Arial"/>
          <w:b/>
          <w:noProof/>
          <w:sz w:val="20"/>
        </w:rPr>
      </w:pPr>
    </w:p>
    <w:tbl>
      <w:tblPr>
        <w:tblStyle w:val="Tablaconcuadrcula"/>
        <w:tblW w:w="0" w:type="auto"/>
        <w:tblLook w:val="04A0" w:firstRow="1" w:lastRow="0" w:firstColumn="1" w:lastColumn="0" w:noHBand="0" w:noVBand="1"/>
      </w:tblPr>
      <w:tblGrid>
        <w:gridCol w:w="1771"/>
        <w:gridCol w:w="1764"/>
        <w:gridCol w:w="1711"/>
        <w:gridCol w:w="1764"/>
        <w:gridCol w:w="1711"/>
      </w:tblGrid>
      <w:tr w:rsidR="00CB5C36" w14:paraId="2FCAC4A5" w14:textId="77777777" w:rsidTr="00CB5C36">
        <w:trPr>
          <w:tblHeader/>
        </w:trPr>
        <w:tc>
          <w:tcPr>
            <w:tcW w:w="0" w:type="auto"/>
            <w:vMerge w:val="restart"/>
            <w:vAlign w:val="center"/>
          </w:tcPr>
          <w:p w14:paraId="72E3F176" w14:textId="77777777" w:rsidR="00CB5C36" w:rsidRPr="003B7DD7" w:rsidRDefault="00CB5C36" w:rsidP="00EB6617">
            <w:pPr>
              <w:jc w:val="center"/>
              <w:rPr>
                <w:rFonts w:ascii="Arial" w:eastAsia="Arial" w:hAnsi="Arial" w:cs="Arial"/>
                <w:b/>
                <w:bCs/>
                <w:noProof/>
                <w:color w:val="000000"/>
                <w:sz w:val="18"/>
                <w:szCs w:val="18"/>
              </w:rPr>
            </w:pPr>
            <w:r w:rsidRPr="003B7DD7">
              <w:rPr>
                <w:rFonts w:ascii="Arial" w:eastAsia="Arial" w:hAnsi="Arial" w:cs="Arial"/>
                <w:b/>
                <w:bCs/>
                <w:noProof/>
                <w:color w:val="000000"/>
                <w:sz w:val="18"/>
                <w:szCs w:val="18"/>
              </w:rPr>
              <w:t>Conceptos</w:t>
            </w:r>
          </w:p>
        </w:tc>
        <w:tc>
          <w:tcPr>
            <w:tcW w:w="0" w:type="auto"/>
            <w:gridSpan w:val="2"/>
          </w:tcPr>
          <w:p w14:paraId="2E1465CA" w14:textId="735752F8" w:rsidR="00CB5C36" w:rsidRPr="003B7DD7" w:rsidRDefault="00CB5C36" w:rsidP="00EB6617">
            <w:pPr>
              <w:jc w:val="center"/>
              <w:rPr>
                <w:rFonts w:ascii="Arial" w:eastAsia="Arial" w:hAnsi="Arial" w:cs="Arial"/>
                <w:b/>
                <w:bCs/>
                <w:noProof/>
                <w:color w:val="000000"/>
                <w:sz w:val="18"/>
                <w:szCs w:val="18"/>
              </w:rPr>
            </w:pPr>
            <w:r>
              <w:rPr>
                <w:rFonts w:ascii="Arial" w:eastAsia="Arial" w:hAnsi="Arial" w:cs="Arial"/>
                <w:b/>
                <w:bCs/>
                <w:noProof/>
                <w:color w:val="000000"/>
                <w:sz w:val="18"/>
                <w:szCs w:val="18"/>
              </w:rPr>
              <w:t>31/12/2019</w:t>
            </w:r>
          </w:p>
        </w:tc>
        <w:tc>
          <w:tcPr>
            <w:tcW w:w="0" w:type="auto"/>
            <w:gridSpan w:val="2"/>
          </w:tcPr>
          <w:p w14:paraId="2DB33148" w14:textId="0AD87BDC" w:rsidR="00CB5C36" w:rsidRPr="003B7DD7" w:rsidRDefault="00CB5C36" w:rsidP="00EB6617">
            <w:pPr>
              <w:jc w:val="center"/>
              <w:rPr>
                <w:rFonts w:ascii="Arial" w:eastAsia="Arial" w:hAnsi="Arial" w:cs="Arial"/>
                <w:b/>
                <w:bCs/>
                <w:noProof/>
                <w:color w:val="000000"/>
                <w:sz w:val="18"/>
                <w:szCs w:val="18"/>
              </w:rPr>
            </w:pPr>
            <w:r w:rsidRPr="003B7DD7">
              <w:rPr>
                <w:rFonts w:ascii="Arial" w:eastAsia="Arial" w:hAnsi="Arial" w:cs="Arial"/>
                <w:b/>
                <w:bCs/>
                <w:noProof/>
                <w:color w:val="000000"/>
                <w:sz w:val="18"/>
                <w:szCs w:val="18"/>
              </w:rPr>
              <w:t>31/12/2018</w:t>
            </w:r>
          </w:p>
        </w:tc>
      </w:tr>
      <w:tr w:rsidR="00CB5C36" w14:paraId="1C6E0203" w14:textId="77777777" w:rsidTr="00CB5C36">
        <w:trPr>
          <w:tblHeader/>
        </w:trPr>
        <w:tc>
          <w:tcPr>
            <w:tcW w:w="0" w:type="auto"/>
            <w:vMerge/>
          </w:tcPr>
          <w:p w14:paraId="10E6C277" w14:textId="77777777" w:rsidR="00CB5C36" w:rsidRPr="003B7DD7" w:rsidRDefault="00CB5C36" w:rsidP="00CB5C36">
            <w:pPr>
              <w:jc w:val="center"/>
              <w:rPr>
                <w:rFonts w:ascii="Arial" w:eastAsia="Arial" w:hAnsi="Arial" w:cs="Arial"/>
                <w:b/>
                <w:bCs/>
                <w:noProof/>
                <w:color w:val="000000"/>
                <w:sz w:val="18"/>
                <w:szCs w:val="18"/>
              </w:rPr>
            </w:pPr>
          </w:p>
        </w:tc>
        <w:tc>
          <w:tcPr>
            <w:tcW w:w="0" w:type="auto"/>
          </w:tcPr>
          <w:p w14:paraId="17FC464D" w14:textId="6BC5C0BC" w:rsidR="00CB5C36" w:rsidRPr="003B7DD7" w:rsidRDefault="00CB5C36" w:rsidP="00CB5C36">
            <w:pPr>
              <w:jc w:val="center"/>
              <w:rPr>
                <w:rFonts w:ascii="Arial" w:eastAsia="Arial" w:hAnsi="Arial" w:cs="Arial"/>
                <w:b/>
                <w:bCs/>
                <w:noProof/>
                <w:color w:val="000000"/>
                <w:sz w:val="18"/>
                <w:szCs w:val="18"/>
              </w:rPr>
            </w:pPr>
            <w:r w:rsidRPr="003B7DD7">
              <w:rPr>
                <w:rFonts w:ascii="Arial" w:eastAsia="Arial" w:hAnsi="Arial" w:cs="Arial"/>
                <w:b/>
                <w:bCs/>
                <w:noProof/>
                <w:color w:val="000000"/>
                <w:sz w:val="18"/>
                <w:szCs w:val="18"/>
              </w:rPr>
              <w:t>Cordial Compañía Financiera S.A.</w:t>
            </w:r>
          </w:p>
        </w:tc>
        <w:tc>
          <w:tcPr>
            <w:tcW w:w="0" w:type="auto"/>
            <w:vAlign w:val="center"/>
          </w:tcPr>
          <w:p w14:paraId="7475B456" w14:textId="1C7FEF59" w:rsidR="00CB5C36" w:rsidRPr="003B7DD7" w:rsidRDefault="00CB5C36" w:rsidP="00CB5C36">
            <w:pPr>
              <w:jc w:val="center"/>
              <w:rPr>
                <w:rFonts w:ascii="Arial" w:eastAsia="Arial" w:hAnsi="Arial" w:cs="Arial"/>
                <w:b/>
                <w:bCs/>
                <w:noProof/>
                <w:color w:val="000000"/>
                <w:sz w:val="18"/>
                <w:szCs w:val="18"/>
              </w:rPr>
            </w:pPr>
            <w:r w:rsidRPr="003B7DD7">
              <w:rPr>
                <w:rFonts w:ascii="Arial" w:eastAsia="Arial" w:hAnsi="Arial" w:cs="Arial"/>
                <w:b/>
                <w:bCs/>
                <w:noProof/>
                <w:color w:val="000000"/>
                <w:sz w:val="18"/>
                <w:szCs w:val="18"/>
              </w:rPr>
              <w:t>Fideicomisos Financieros</w:t>
            </w:r>
          </w:p>
        </w:tc>
        <w:tc>
          <w:tcPr>
            <w:tcW w:w="0" w:type="auto"/>
          </w:tcPr>
          <w:p w14:paraId="7FBEFE82" w14:textId="5F91B911" w:rsidR="00CB5C36" w:rsidRPr="003B7DD7" w:rsidRDefault="00CB5C36" w:rsidP="00CB5C36">
            <w:pPr>
              <w:jc w:val="center"/>
              <w:rPr>
                <w:rFonts w:ascii="Arial" w:eastAsia="Arial" w:hAnsi="Arial" w:cs="Arial"/>
                <w:b/>
                <w:bCs/>
                <w:noProof/>
                <w:color w:val="000000"/>
                <w:sz w:val="18"/>
                <w:szCs w:val="18"/>
              </w:rPr>
            </w:pPr>
            <w:r w:rsidRPr="003B7DD7">
              <w:rPr>
                <w:rFonts w:ascii="Arial" w:eastAsia="Arial" w:hAnsi="Arial" w:cs="Arial"/>
                <w:b/>
                <w:bCs/>
                <w:noProof/>
                <w:color w:val="000000"/>
                <w:sz w:val="18"/>
                <w:szCs w:val="18"/>
              </w:rPr>
              <w:t>Cordial Compañía Financiera S.A.</w:t>
            </w:r>
          </w:p>
        </w:tc>
        <w:tc>
          <w:tcPr>
            <w:tcW w:w="0" w:type="auto"/>
            <w:vAlign w:val="center"/>
          </w:tcPr>
          <w:p w14:paraId="5D36B2AB" w14:textId="77777777" w:rsidR="00CB5C36" w:rsidRPr="003B7DD7" w:rsidRDefault="00CB5C36" w:rsidP="00CB5C36">
            <w:pPr>
              <w:jc w:val="center"/>
              <w:rPr>
                <w:rFonts w:ascii="Arial" w:eastAsia="Arial" w:hAnsi="Arial" w:cs="Arial"/>
                <w:b/>
                <w:bCs/>
                <w:noProof/>
                <w:color w:val="000000"/>
                <w:sz w:val="18"/>
                <w:szCs w:val="18"/>
              </w:rPr>
            </w:pPr>
            <w:r w:rsidRPr="003B7DD7">
              <w:rPr>
                <w:rFonts w:ascii="Arial" w:eastAsia="Arial" w:hAnsi="Arial" w:cs="Arial"/>
                <w:b/>
                <w:bCs/>
                <w:noProof/>
                <w:color w:val="000000"/>
                <w:sz w:val="18"/>
                <w:szCs w:val="18"/>
              </w:rPr>
              <w:t>Fideicomisos Financieros</w:t>
            </w:r>
          </w:p>
        </w:tc>
      </w:tr>
      <w:tr w:rsidR="00CB5C36" w14:paraId="1FA8E400" w14:textId="77777777" w:rsidTr="00CB5C36">
        <w:trPr>
          <w:tblHeader/>
        </w:trPr>
        <w:tc>
          <w:tcPr>
            <w:tcW w:w="0" w:type="auto"/>
          </w:tcPr>
          <w:p w14:paraId="434FF35F" w14:textId="77777777" w:rsidR="00CB5C36" w:rsidRPr="003B7DD7" w:rsidRDefault="00CB5C36" w:rsidP="00EB6617">
            <w:pPr>
              <w:jc w:val="both"/>
              <w:rPr>
                <w:rFonts w:ascii="Arial" w:eastAsia="Arial" w:hAnsi="Arial" w:cs="Arial"/>
                <w:bCs/>
                <w:noProof/>
                <w:color w:val="000000"/>
                <w:sz w:val="18"/>
                <w:szCs w:val="18"/>
              </w:rPr>
            </w:pPr>
            <w:r w:rsidRPr="003B7DD7">
              <w:rPr>
                <w:rFonts w:ascii="Arial" w:eastAsia="Arial" w:hAnsi="Arial" w:cs="Arial"/>
                <w:bCs/>
                <w:noProof/>
                <w:color w:val="000000"/>
                <w:sz w:val="18"/>
                <w:szCs w:val="18"/>
              </w:rPr>
              <w:t>Activo Total</w:t>
            </w:r>
          </w:p>
        </w:tc>
        <w:tc>
          <w:tcPr>
            <w:tcW w:w="0" w:type="auto"/>
          </w:tcPr>
          <w:p w14:paraId="5C75D888" w14:textId="7C1A45F3" w:rsidR="00CB5C36" w:rsidRPr="003B7DD7" w:rsidRDefault="00E73D8D" w:rsidP="00EB6617">
            <w:pPr>
              <w:jc w:val="right"/>
              <w:rPr>
                <w:rFonts w:ascii="Arial" w:eastAsia="Arial" w:hAnsi="Arial" w:cs="Arial"/>
                <w:bCs/>
                <w:noProof/>
                <w:color w:val="000000"/>
                <w:sz w:val="18"/>
                <w:szCs w:val="18"/>
              </w:rPr>
            </w:pPr>
            <w:r>
              <w:rPr>
                <w:rFonts w:ascii="Arial" w:eastAsia="Arial" w:hAnsi="Arial" w:cs="Arial"/>
                <w:bCs/>
                <w:noProof/>
                <w:color w:val="000000"/>
                <w:sz w:val="18"/>
                <w:szCs w:val="18"/>
              </w:rPr>
              <w:t>8.130.97</w:t>
            </w:r>
            <w:r w:rsidR="0002243C">
              <w:rPr>
                <w:rFonts w:ascii="Arial" w:eastAsia="Arial" w:hAnsi="Arial" w:cs="Arial"/>
                <w:bCs/>
                <w:noProof/>
                <w:color w:val="000000"/>
                <w:sz w:val="18"/>
                <w:szCs w:val="18"/>
              </w:rPr>
              <w:t>5</w:t>
            </w:r>
          </w:p>
        </w:tc>
        <w:tc>
          <w:tcPr>
            <w:tcW w:w="0" w:type="auto"/>
          </w:tcPr>
          <w:p w14:paraId="6E91060E" w14:textId="10DCA85C" w:rsidR="00CB5C36" w:rsidRPr="003B7DD7" w:rsidRDefault="00A00B75" w:rsidP="00EB6617">
            <w:pPr>
              <w:jc w:val="right"/>
              <w:rPr>
                <w:rFonts w:ascii="Arial" w:eastAsia="Arial" w:hAnsi="Arial" w:cs="Arial"/>
                <w:bCs/>
                <w:noProof/>
                <w:color w:val="000000"/>
                <w:sz w:val="18"/>
                <w:szCs w:val="18"/>
              </w:rPr>
            </w:pPr>
            <w:r>
              <w:rPr>
                <w:rFonts w:ascii="Arial" w:eastAsia="Arial" w:hAnsi="Arial" w:cs="Arial"/>
                <w:bCs/>
                <w:noProof/>
                <w:color w:val="000000"/>
                <w:sz w:val="18"/>
                <w:szCs w:val="18"/>
              </w:rPr>
              <w:t>105.643</w:t>
            </w:r>
          </w:p>
        </w:tc>
        <w:tc>
          <w:tcPr>
            <w:tcW w:w="0" w:type="auto"/>
            <w:vAlign w:val="bottom"/>
          </w:tcPr>
          <w:p w14:paraId="6D386BE2" w14:textId="16FA8021"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8.153.</w:t>
            </w:r>
            <w:r w:rsidR="0002243C" w:rsidRPr="003B7DD7">
              <w:rPr>
                <w:rFonts w:ascii="Arial" w:eastAsia="Arial" w:hAnsi="Arial" w:cs="Arial"/>
                <w:bCs/>
                <w:noProof/>
                <w:color w:val="000000"/>
                <w:sz w:val="18"/>
                <w:szCs w:val="18"/>
              </w:rPr>
              <w:t>92</w:t>
            </w:r>
            <w:r w:rsidR="0002243C">
              <w:rPr>
                <w:rFonts w:ascii="Arial" w:eastAsia="Arial" w:hAnsi="Arial" w:cs="Arial"/>
                <w:bCs/>
                <w:noProof/>
                <w:color w:val="000000"/>
                <w:sz w:val="18"/>
                <w:szCs w:val="18"/>
              </w:rPr>
              <w:t>1</w:t>
            </w:r>
          </w:p>
        </w:tc>
        <w:tc>
          <w:tcPr>
            <w:tcW w:w="0" w:type="auto"/>
            <w:vAlign w:val="bottom"/>
          </w:tcPr>
          <w:p w14:paraId="288FBE48" w14:textId="77777777"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449.140</w:t>
            </w:r>
          </w:p>
        </w:tc>
      </w:tr>
      <w:tr w:rsidR="00CB5C36" w14:paraId="4C9CF732" w14:textId="77777777" w:rsidTr="00CB5C36">
        <w:trPr>
          <w:tblHeader/>
        </w:trPr>
        <w:tc>
          <w:tcPr>
            <w:tcW w:w="0" w:type="auto"/>
          </w:tcPr>
          <w:p w14:paraId="2D3FA6DF" w14:textId="77777777" w:rsidR="00CB5C36" w:rsidRPr="003B7DD7" w:rsidRDefault="00CB5C36" w:rsidP="00EB6617">
            <w:pPr>
              <w:jc w:val="both"/>
              <w:rPr>
                <w:rFonts w:ascii="Arial" w:eastAsia="Arial" w:hAnsi="Arial" w:cs="Arial"/>
                <w:bCs/>
                <w:noProof/>
                <w:color w:val="000000"/>
                <w:sz w:val="18"/>
                <w:szCs w:val="18"/>
              </w:rPr>
            </w:pPr>
            <w:r w:rsidRPr="003B7DD7">
              <w:rPr>
                <w:rFonts w:ascii="Arial" w:eastAsia="Arial" w:hAnsi="Arial" w:cs="Arial"/>
                <w:bCs/>
                <w:noProof/>
                <w:color w:val="000000"/>
                <w:sz w:val="18"/>
                <w:szCs w:val="18"/>
              </w:rPr>
              <w:t>Pasivo Total</w:t>
            </w:r>
          </w:p>
        </w:tc>
        <w:tc>
          <w:tcPr>
            <w:tcW w:w="0" w:type="auto"/>
          </w:tcPr>
          <w:p w14:paraId="2878AC13" w14:textId="2312276A" w:rsidR="00E73D8D" w:rsidRPr="003B7DD7" w:rsidRDefault="00E73D8D" w:rsidP="00E73D8D">
            <w:pPr>
              <w:jc w:val="right"/>
              <w:rPr>
                <w:rFonts w:ascii="Arial" w:eastAsia="Arial" w:hAnsi="Arial" w:cs="Arial"/>
                <w:bCs/>
                <w:noProof/>
                <w:color w:val="000000"/>
                <w:sz w:val="18"/>
                <w:szCs w:val="18"/>
              </w:rPr>
            </w:pPr>
            <w:r>
              <w:rPr>
                <w:rFonts w:ascii="Arial" w:eastAsia="Arial" w:hAnsi="Arial" w:cs="Arial"/>
                <w:bCs/>
                <w:noProof/>
                <w:color w:val="000000"/>
                <w:sz w:val="18"/>
                <w:szCs w:val="18"/>
              </w:rPr>
              <w:t>5.611.88</w:t>
            </w:r>
            <w:r w:rsidR="0002243C">
              <w:rPr>
                <w:rFonts w:ascii="Arial" w:eastAsia="Arial" w:hAnsi="Arial" w:cs="Arial"/>
                <w:bCs/>
                <w:noProof/>
                <w:color w:val="000000"/>
                <w:sz w:val="18"/>
                <w:szCs w:val="18"/>
              </w:rPr>
              <w:t>2</w:t>
            </w:r>
          </w:p>
        </w:tc>
        <w:tc>
          <w:tcPr>
            <w:tcW w:w="0" w:type="auto"/>
          </w:tcPr>
          <w:p w14:paraId="0892D3D6" w14:textId="14B89BFF" w:rsidR="00CB5C36" w:rsidRPr="003B7DD7" w:rsidRDefault="00A00B75" w:rsidP="00EB6617">
            <w:pPr>
              <w:jc w:val="right"/>
              <w:rPr>
                <w:rFonts w:ascii="Arial" w:eastAsia="Arial" w:hAnsi="Arial" w:cs="Arial"/>
                <w:bCs/>
                <w:noProof/>
                <w:color w:val="000000"/>
                <w:sz w:val="18"/>
                <w:szCs w:val="18"/>
              </w:rPr>
            </w:pPr>
            <w:r>
              <w:rPr>
                <w:rFonts w:ascii="Arial" w:eastAsia="Arial" w:hAnsi="Arial" w:cs="Arial"/>
                <w:bCs/>
                <w:noProof/>
                <w:color w:val="000000"/>
                <w:sz w:val="18"/>
                <w:szCs w:val="18"/>
              </w:rPr>
              <w:t>38.090</w:t>
            </w:r>
          </w:p>
        </w:tc>
        <w:tc>
          <w:tcPr>
            <w:tcW w:w="0" w:type="auto"/>
            <w:vAlign w:val="bottom"/>
          </w:tcPr>
          <w:p w14:paraId="7DF18ECD" w14:textId="0A7ED48B"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6.893.</w:t>
            </w:r>
            <w:r w:rsidR="0002243C" w:rsidRPr="003B7DD7">
              <w:rPr>
                <w:rFonts w:ascii="Arial" w:eastAsia="Arial" w:hAnsi="Arial" w:cs="Arial"/>
                <w:bCs/>
                <w:noProof/>
                <w:color w:val="000000"/>
                <w:sz w:val="18"/>
                <w:szCs w:val="18"/>
              </w:rPr>
              <w:t>04</w:t>
            </w:r>
            <w:r w:rsidR="0002243C">
              <w:rPr>
                <w:rFonts w:ascii="Arial" w:eastAsia="Arial" w:hAnsi="Arial" w:cs="Arial"/>
                <w:bCs/>
                <w:noProof/>
                <w:color w:val="000000"/>
                <w:sz w:val="18"/>
                <w:szCs w:val="18"/>
              </w:rPr>
              <w:t>5</w:t>
            </w:r>
          </w:p>
        </w:tc>
        <w:tc>
          <w:tcPr>
            <w:tcW w:w="0" w:type="auto"/>
            <w:vAlign w:val="bottom"/>
          </w:tcPr>
          <w:p w14:paraId="37004DDA" w14:textId="77777777"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393.793</w:t>
            </w:r>
          </w:p>
        </w:tc>
      </w:tr>
      <w:tr w:rsidR="00CB5C36" w14:paraId="6F4DC867" w14:textId="77777777" w:rsidTr="00CB5C36">
        <w:trPr>
          <w:tblHeader/>
        </w:trPr>
        <w:tc>
          <w:tcPr>
            <w:tcW w:w="0" w:type="auto"/>
          </w:tcPr>
          <w:p w14:paraId="3CC40571" w14:textId="77777777" w:rsidR="00CB5C36" w:rsidRPr="003B7DD7" w:rsidRDefault="00CB5C36" w:rsidP="00EB6617">
            <w:pPr>
              <w:jc w:val="both"/>
              <w:rPr>
                <w:rFonts w:ascii="Arial" w:eastAsia="Arial" w:hAnsi="Arial" w:cs="Arial"/>
                <w:bCs/>
                <w:noProof/>
                <w:color w:val="000000"/>
                <w:sz w:val="18"/>
                <w:szCs w:val="18"/>
              </w:rPr>
            </w:pPr>
            <w:r w:rsidRPr="003B7DD7">
              <w:rPr>
                <w:rFonts w:ascii="Arial" w:eastAsia="Arial" w:hAnsi="Arial" w:cs="Arial"/>
                <w:bCs/>
                <w:noProof/>
                <w:color w:val="000000"/>
                <w:sz w:val="18"/>
                <w:szCs w:val="18"/>
              </w:rPr>
              <w:t>Patrimonio Neto</w:t>
            </w:r>
          </w:p>
        </w:tc>
        <w:tc>
          <w:tcPr>
            <w:tcW w:w="0" w:type="auto"/>
          </w:tcPr>
          <w:p w14:paraId="731E620F" w14:textId="3EAC9377" w:rsidR="00CB5C36" w:rsidRPr="003B7DD7" w:rsidRDefault="00E73D8D" w:rsidP="00EB6617">
            <w:pPr>
              <w:jc w:val="right"/>
              <w:rPr>
                <w:rFonts w:ascii="Arial" w:eastAsia="Arial" w:hAnsi="Arial" w:cs="Arial"/>
                <w:bCs/>
                <w:noProof/>
                <w:color w:val="000000"/>
                <w:sz w:val="18"/>
                <w:szCs w:val="18"/>
              </w:rPr>
            </w:pPr>
            <w:r>
              <w:rPr>
                <w:rFonts w:ascii="Arial" w:eastAsia="Arial" w:hAnsi="Arial" w:cs="Arial"/>
                <w:bCs/>
                <w:noProof/>
                <w:color w:val="000000"/>
                <w:sz w:val="18"/>
                <w:szCs w:val="18"/>
              </w:rPr>
              <w:t>2.519.09</w:t>
            </w:r>
            <w:r w:rsidR="0002243C">
              <w:rPr>
                <w:rFonts w:ascii="Arial" w:eastAsia="Arial" w:hAnsi="Arial" w:cs="Arial"/>
                <w:bCs/>
                <w:noProof/>
                <w:color w:val="000000"/>
                <w:sz w:val="18"/>
                <w:szCs w:val="18"/>
              </w:rPr>
              <w:t>3</w:t>
            </w:r>
          </w:p>
        </w:tc>
        <w:tc>
          <w:tcPr>
            <w:tcW w:w="0" w:type="auto"/>
          </w:tcPr>
          <w:p w14:paraId="3048F3A0" w14:textId="244D6682" w:rsidR="00CB5C36" w:rsidRPr="003B7DD7" w:rsidRDefault="00A00B75" w:rsidP="00EB6617">
            <w:pPr>
              <w:jc w:val="right"/>
              <w:rPr>
                <w:rFonts w:ascii="Arial" w:eastAsia="Arial" w:hAnsi="Arial" w:cs="Arial"/>
                <w:bCs/>
                <w:noProof/>
                <w:color w:val="000000"/>
                <w:sz w:val="18"/>
                <w:szCs w:val="18"/>
              </w:rPr>
            </w:pPr>
            <w:r>
              <w:rPr>
                <w:rFonts w:ascii="Arial" w:eastAsia="Arial" w:hAnsi="Arial" w:cs="Arial"/>
                <w:bCs/>
                <w:noProof/>
                <w:color w:val="000000"/>
                <w:sz w:val="18"/>
                <w:szCs w:val="18"/>
              </w:rPr>
              <w:t>67.553</w:t>
            </w:r>
          </w:p>
        </w:tc>
        <w:tc>
          <w:tcPr>
            <w:tcW w:w="0" w:type="auto"/>
            <w:vAlign w:val="bottom"/>
          </w:tcPr>
          <w:p w14:paraId="47119671" w14:textId="7DA21431"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1.260.</w:t>
            </w:r>
            <w:r w:rsidR="0002243C" w:rsidRPr="003B7DD7">
              <w:rPr>
                <w:rFonts w:ascii="Arial" w:eastAsia="Arial" w:hAnsi="Arial" w:cs="Arial"/>
                <w:bCs/>
                <w:noProof/>
                <w:color w:val="000000"/>
                <w:sz w:val="18"/>
                <w:szCs w:val="18"/>
              </w:rPr>
              <w:t>87</w:t>
            </w:r>
            <w:r w:rsidR="0002243C">
              <w:rPr>
                <w:rFonts w:ascii="Arial" w:eastAsia="Arial" w:hAnsi="Arial" w:cs="Arial"/>
                <w:bCs/>
                <w:noProof/>
                <w:color w:val="000000"/>
                <w:sz w:val="18"/>
                <w:szCs w:val="18"/>
              </w:rPr>
              <w:t>6</w:t>
            </w:r>
          </w:p>
        </w:tc>
        <w:tc>
          <w:tcPr>
            <w:tcW w:w="0" w:type="auto"/>
            <w:vAlign w:val="bottom"/>
          </w:tcPr>
          <w:p w14:paraId="08C55774" w14:textId="77777777"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55.347</w:t>
            </w:r>
          </w:p>
        </w:tc>
      </w:tr>
      <w:tr w:rsidR="00CB5C36" w14:paraId="6F3FE6E8" w14:textId="77777777" w:rsidTr="00CB5C36">
        <w:trPr>
          <w:tblHeader/>
        </w:trPr>
        <w:tc>
          <w:tcPr>
            <w:tcW w:w="0" w:type="auto"/>
            <w:vAlign w:val="center"/>
          </w:tcPr>
          <w:p w14:paraId="160E16A6" w14:textId="77777777" w:rsidR="00CB5C36" w:rsidRPr="003B7DD7" w:rsidRDefault="00CB5C36" w:rsidP="00EB6617">
            <w:pPr>
              <w:rPr>
                <w:rFonts w:ascii="Arial" w:eastAsia="Arial" w:hAnsi="Arial" w:cs="Arial"/>
                <w:bCs/>
                <w:noProof/>
                <w:color w:val="000000"/>
                <w:sz w:val="18"/>
                <w:szCs w:val="18"/>
              </w:rPr>
            </w:pPr>
            <w:r w:rsidRPr="003B7DD7">
              <w:rPr>
                <w:rFonts w:ascii="Arial" w:eastAsia="Arial" w:hAnsi="Arial" w:cs="Arial"/>
                <w:bCs/>
                <w:noProof/>
                <w:color w:val="000000"/>
                <w:sz w:val="18"/>
                <w:szCs w:val="18"/>
              </w:rPr>
              <w:t>Ingresos por Actividades Ordinarias</w:t>
            </w:r>
          </w:p>
        </w:tc>
        <w:tc>
          <w:tcPr>
            <w:tcW w:w="0" w:type="auto"/>
          </w:tcPr>
          <w:p w14:paraId="1FBB77FD" w14:textId="77777777" w:rsidR="00E73D8D" w:rsidRDefault="00E73D8D" w:rsidP="00EB6617">
            <w:pPr>
              <w:jc w:val="right"/>
              <w:rPr>
                <w:rFonts w:ascii="Arial" w:eastAsia="Arial" w:hAnsi="Arial" w:cs="Arial"/>
                <w:bCs/>
                <w:noProof/>
                <w:color w:val="000000"/>
                <w:sz w:val="18"/>
                <w:szCs w:val="18"/>
              </w:rPr>
            </w:pPr>
          </w:p>
          <w:p w14:paraId="1DE5D0F4" w14:textId="77777777" w:rsidR="00E73D8D" w:rsidRDefault="00E73D8D" w:rsidP="00EB6617">
            <w:pPr>
              <w:jc w:val="right"/>
              <w:rPr>
                <w:rFonts w:ascii="Arial" w:eastAsia="Arial" w:hAnsi="Arial" w:cs="Arial"/>
                <w:bCs/>
                <w:noProof/>
                <w:color w:val="000000"/>
                <w:sz w:val="18"/>
                <w:szCs w:val="18"/>
              </w:rPr>
            </w:pPr>
          </w:p>
          <w:p w14:paraId="2089C113" w14:textId="75F6F36F" w:rsidR="00CB5C36" w:rsidRPr="003B7DD7" w:rsidRDefault="00E73D8D" w:rsidP="00EB6617">
            <w:pPr>
              <w:jc w:val="right"/>
              <w:rPr>
                <w:rFonts w:ascii="Arial" w:eastAsia="Arial" w:hAnsi="Arial" w:cs="Arial"/>
                <w:bCs/>
                <w:noProof/>
                <w:color w:val="000000"/>
                <w:sz w:val="18"/>
                <w:szCs w:val="18"/>
              </w:rPr>
            </w:pPr>
            <w:r>
              <w:rPr>
                <w:rFonts w:ascii="Arial" w:eastAsia="Arial" w:hAnsi="Arial" w:cs="Arial"/>
                <w:bCs/>
                <w:noProof/>
                <w:color w:val="000000"/>
                <w:sz w:val="18"/>
                <w:szCs w:val="18"/>
              </w:rPr>
              <w:t>5.237.242</w:t>
            </w:r>
          </w:p>
        </w:tc>
        <w:tc>
          <w:tcPr>
            <w:tcW w:w="0" w:type="auto"/>
          </w:tcPr>
          <w:p w14:paraId="18623CD6" w14:textId="77777777" w:rsidR="00A00B75" w:rsidRDefault="00A00B75" w:rsidP="00EB6617">
            <w:pPr>
              <w:jc w:val="right"/>
              <w:rPr>
                <w:rFonts w:ascii="Arial" w:eastAsia="Arial" w:hAnsi="Arial" w:cs="Arial"/>
                <w:bCs/>
                <w:noProof/>
                <w:color w:val="000000"/>
                <w:sz w:val="18"/>
                <w:szCs w:val="18"/>
              </w:rPr>
            </w:pPr>
          </w:p>
          <w:p w14:paraId="12201F32" w14:textId="77777777" w:rsidR="00A00B75" w:rsidRDefault="00A00B75" w:rsidP="00EB6617">
            <w:pPr>
              <w:jc w:val="right"/>
              <w:rPr>
                <w:rFonts w:ascii="Arial" w:eastAsia="Arial" w:hAnsi="Arial" w:cs="Arial"/>
                <w:bCs/>
                <w:noProof/>
                <w:color w:val="000000"/>
                <w:sz w:val="18"/>
                <w:szCs w:val="18"/>
              </w:rPr>
            </w:pPr>
          </w:p>
          <w:p w14:paraId="7F19B857" w14:textId="0BC4A5FA" w:rsidR="00CB5C36" w:rsidRPr="003B7DD7" w:rsidRDefault="00A00B75" w:rsidP="00EB6617">
            <w:pPr>
              <w:jc w:val="right"/>
              <w:rPr>
                <w:rFonts w:ascii="Arial" w:eastAsia="Arial" w:hAnsi="Arial" w:cs="Arial"/>
                <w:bCs/>
                <w:noProof/>
                <w:color w:val="000000"/>
                <w:sz w:val="18"/>
                <w:szCs w:val="18"/>
              </w:rPr>
            </w:pPr>
            <w:r>
              <w:rPr>
                <w:rFonts w:ascii="Arial" w:eastAsia="Arial" w:hAnsi="Arial" w:cs="Arial"/>
                <w:bCs/>
                <w:noProof/>
                <w:color w:val="000000"/>
                <w:sz w:val="18"/>
                <w:szCs w:val="18"/>
              </w:rPr>
              <w:t>102.741</w:t>
            </w:r>
          </w:p>
        </w:tc>
        <w:tc>
          <w:tcPr>
            <w:tcW w:w="0" w:type="auto"/>
            <w:vAlign w:val="bottom"/>
          </w:tcPr>
          <w:p w14:paraId="3587A244" w14:textId="79B71125"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5.020.581</w:t>
            </w:r>
          </w:p>
        </w:tc>
        <w:tc>
          <w:tcPr>
            <w:tcW w:w="0" w:type="auto"/>
            <w:vAlign w:val="bottom"/>
          </w:tcPr>
          <w:p w14:paraId="2F68DAE1" w14:textId="77777777"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380.016</w:t>
            </w:r>
          </w:p>
        </w:tc>
      </w:tr>
      <w:tr w:rsidR="00CB5C36" w14:paraId="126AF1BD" w14:textId="77777777" w:rsidTr="00CB5C36">
        <w:trPr>
          <w:tblHeader/>
        </w:trPr>
        <w:tc>
          <w:tcPr>
            <w:tcW w:w="0" w:type="auto"/>
          </w:tcPr>
          <w:p w14:paraId="018A35A4" w14:textId="77777777" w:rsidR="00CB5C36" w:rsidRPr="003B7DD7" w:rsidRDefault="00CB5C36" w:rsidP="00EB6617">
            <w:pPr>
              <w:jc w:val="both"/>
              <w:rPr>
                <w:rFonts w:ascii="Arial" w:eastAsia="Arial" w:hAnsi="Arial" w:cs="Arial"/>
                <w:bCs/>
                <w:noProof/>
                <w:color w:val="000000"/>
                <w:sz w:val="18"/>
                <w:szCs w:val="18"/>
              </w:rPr>
            </w:pPr>
            <w:r w:rsidRPr="003B7DD7">
              <w:rPr>
                <w:rFonts w:ascii="Arial" w:eastAsia="Arial" w:hAnsi="Arial" w:cs="Arial"/>
                <w:bCs/>
                <w:noProof/>
                <w:color w:val="000000"/>
                <w:sz w:val="18"/>
                <w:szCs w:val="18"/>
              </w:rPr>
              <w:t>Resultado del Ejercicio</w:t>
            </w:r>
          </w:p>
        </w:tc>
        <w:tc>
          <w:tcPr>
            <w:tcW w:w="0" w:type="auto"/>
          </w:tcPr>
          <w:p w14:paraId="660592AA" w14:textId="77777777" w:rsidR="00A00B75" w:rsidRDefault="00A00B75" w:rsidP="00EB6617">
            <w:pPr>
              <w:jc w:val="right"/>
              <w:rPr>
                <w:rFonts w:ascii="Arial" w:eastAsia="Arial" w:hAnsi="Arial" w:cs="Arial"/>
                <w:bCs/>
                <w:noProof/>
                <w:color w:val="000000"/>
                <w:sz w:val="18"/>
                <w:szCs w:val="18"/>
              </w:rPr>
            </w:pPr>
          </w:p>
          <w:p w14:paraId="000E9ECF" w14:textId="0CF9CBA1" w:rsidR="00CB5C36" w:rsidRPr="003B7DD7" w:rsidRDefault="00A00B75" w:rsidP="00EB6617">
            <w:pPr>
              <w:jc w:val="right"/>
              <w:rPr>
                <w:rFonts w:ascii="Arial" w:eastAsia="Arial" w:hAnsi="Arial" w:cs="Arial"/>
                <w:bCs/>
                <w:noProof/>
                <w:color w:val="000000"/>
                <w:sz w:val="18"/>
                <w:szCs w:val="18"/>
              </w:rPr>
            </w:pPr>
            <w:r>
              <w:rPr>
                <w:rFonts w:ascii="Arial" w:eastAsia="Arial" w:hAnsi="Arial" w:cs="Arial"/>
                <w:bCs/>
                <w:noProof/>
                <w:color w:val="000000"/>
                <w:sz w:val="18"/>
                <w:szCs w:val="18"/>
              </w:rPr>
              <w:t>(241.783)</w:t>
            </w:r>
          </w:p>
        </w:tc>
        <w:tc>
          <w:tcPr>
            <w:tcW w:w="0" w:type="auto"/>
          </w:tcPr>
          <w:p w14:paraId="400A48E3" w14:textId="77777777" w:rsidR="00A00B75" w:rsidRDefault="00A00B75" w:rsidP="00EB6617">
            <w:pPr>
              <w:jc w:val="right"/>
              <w:rPr>
                <w:rFonts w:ascii="Arial" w:eastAsia="Arial" w:hAnsi="Arial" w:cs="Arial"/>
                <w:bCs/>
                <w:noProof/>
                <w:color w:val="000000"/>
                <w:sz w:val="18"/>
                <w:szCs w:val="18"/>
              </w:rPr>
            </w:pPr>
          </w:p>
          <w:p w14:paraId="615C8FCE" w14:textId="5886A239" w:rsidR="00CB5C36" w:rsidRPr="003B7DD7" w:rsidRDefault="00A00B75" w:rsidP="00EB6617">
            <w:pPr>
              <w:jc w:val="right"/>
              <w:rPr>
                <w:rFonts w:ascii="Arial" w:eastAsia="Arial" w:hAnsi="Arial" w:cs="Arial"/>
                <w:bCs/>
                <w:noProof/>
                <w:color w:val="000000"/>
                <w:sz w:val="18"/>
                <w:szCs w:val="18"/>
              </w:rPr>
            </w:pPr>
            <w:r>
              <w:rPr>
                <w:rFonts w:ascii="Arial" w:eastAsia="Arial" w:hAnsi="Arial" w:cs="Arial"/>
                <w:bCs/>
                <w:noProof/>
                <w:color w:val="000000"/>
                <w:sz w:val="18"/>
                <w:szCs w:val="18"/>
              </w:rPr>
              <w:t>25.170</w:t>
            </w:r>
          </w:p>
        </w:tc>
        <w:tc>
          <w:tcPr>
            <w:tcW w:w="0" w:type="auto"/>
            <w:vAlign w:val="bottom"/>
          </w:tcPr>
          <w:p w14:paraId="2E3882A9" w14:textId="18C1E435"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(614.617)</w:t>
            </w:r>
          </w:p>
        </w:tc>
        <w:tc>
          <w:tcPr>
            <w:tcW w:w="0" w:type="auto"/>
            <w:vAlign w:val="bottom"/>
          </w:tcPr>
          <w:p w14:paraId="48F95C12" w14:textId="77777777"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78.714</w:t>
            </w:r>
          </w:p>
        </w:tc>
      </w:tr>
      <w:tr w:rsidR="00CB5C36" w14:paraId="67AA00BB" w14:textId="77777777" w:rsidTr="00CB5C36">
        <w:trPr>
          <w:tblHeader/>
        </w:trPr>
        <w:tc>
          <w:tcPr>
            <w:tcW w:w="0" w:type="auto"/>
          </w:tcPr>
          <w:p w14:paraId="2BC88FEA" w14:textId="77777777" w:rsidR="00CB5C36" w:rsidRPr="003B7DD7" w:rsidRDefault="00CB5C36" w:rsidP="00EB6617">
            <w:pPr>
              <w:jc w:val="both"/>
              <w:rPr>
                <w:rFonts w:ascii="Arial" w:eastAsia="Arial" w:hAnsi="Arial" w:cs="Arial"/>
                <w:bCs/>
                <w:noProof/>
                <w:color w:val="000000"/>
                <w:sz w:val="18"/>
                <w:szCs w:val="18"/>
              </w:rPr>
            </w:pPr>
            <w:r w:rsidRPr="003B7DD7">
              <w:rPr>
                <w:rFonts w:ascii="Arial" w:eastAsia="Arial" w:hAnsi="Arial" w:cs="Arial"/>
                <w:bCs/>
                <w:noProof/>
                <w:color w:val="000000"/>
                <w:sz w:val="18"/>
                <w:szCs w:val="18"/>
              </w:rPr>
              <w:t>Resultado Integral Total</w:t>
            </w:r>
          </w:p>
        </w:tc>
        <w:tc>
          <w:tcPr>
            <w:tcW w:w="0" w:type="auto"/>
          </w:tcPr>
          <w:p w14:paraId="10F2E6C9" w14:textId="77777777" w:rsidR="00A00B75" w:rsidRDefault="00A00B75" w:rsidP="00EB6617">
            <w:pPr>
              <w:jc w:val="right"/>
              <w:rPr>
                <w:rFonts w:ascii="Arial" w:eastAsia="Arial" w:hAnsi="Arial" w:cs="Arial"/>
                <w:bCs/>
                <w:noProof/>
                <w:color w:val="000000"/>
                <w:sz w:val="18"/>
                <w:szCs w:val="18"/>
              </w:rPr>
            </w:pPr>
          </w:p>
          <w:p w14:paraId="2C878668" w14:textId="6F9DB9EF" w:rsidR="00CB5C36" w:rsidRPr="003B7DD7" w:rsidRDefault="00A00B75" w:rsidP="00EB6617">
            <w:pPr>
              <w:jc w:val="right"/>
              <w:rPr>
                <w:rFonts w:ascii="Arial" w:eastAsia="Arial" w:hAnsi="Arial" w:cs="Arial"/>
                <w:bCs/>
                <w:noProof/>
                <w:color w:val="000000"/>
                <w:sz w:val="18"/>
                <w:szCs w:val="18"/>
              </w:rPr>
            </w:pPr>
            <w:r>
              <w:rPr>
                <w:rFonts w:ascii="Arial" w:eastAsia="Arial" w:hAnsi="Arial" w:cs="Arial"/>
                <w:bCs/>
                <w:noProof/>
                <w:color w:val="000000"/>
                <w:sz w:val="18"/>
                <w:szCs w:val="18"/>
              </w:rPr>
              <w:t>(241.783)</w:t>
            </w:r>
          </w:p>
        </w:tc>
        <w:tc>
          <w:tcPr>
            <w:tcW w:w="0" w:type="auto"/>
          </w:tcPr>
          <w:p w14:paraId="314E6AC7" w14:textId="77777777" w:rsidR="00A00B75" w:rsidRDefault="00A00B75" w:rsidP="00EB6617">
            <w:pPr>
              <w:jc w:val="right"/>
              <w:rPr>
                <w:rFonts w:ascii="Arial" w:eastAsia="Arial" w:hAnsi="Arial" w:cs="Arial"/>
                <w:bCs/>
                <w:noProof/>
                <w:color w:val="000000"/>
                <w:sz w:val="18"/>
                <w:szCs w:val="18"/>
              </w:rPr>
            </w:pPr>
          </w:p>
          <w:p w14:paraId="73CDCD05" w14:textId="5ACE242B" w:rsidR="00CB5C36" w:rsidRPr="003B7DD7" w:rsidRDefault="00A00B75" w:rsidP="00EB6617">
            <w:pPr>
              <w:jc w:val="right"/>
              <w:rPr>
                <w:rFonts w:ascii="Arial" w:eastAsia="Arial" w:hAnsi="Arial" w:cs="Arial"/>
                <w:bCs/>
                <w:noProof/>
                <w:color w:val="000000"/>
                <w:sz w:val="18"/>
                <w:szCs w:val="18"/>
              </w:rPr>
            </w:pPr>
            <w:r>
              <w:rPr>
                <w:rFonts w:ascii="Arial" w:eastAsia="Arial" w:hAnsi="Arial" w:cs="Arial"/>
                <w:bCs/>
                <w:noProof/>
                <w:color w:val="000000"/>
                <w:sz w:val="18"/>
                <w:szCs w:val="18"/>
              </w:rPr>
              <w:t>25.170</w:t>
            </w:r>
          </w:p>
        </w:tc>
        <w:tc>
          <w:tcPr>
            <w:tcW w:w="0" w:type="auto"/>
            <w:vAlign w:val="bottom"/>
          </w:tcPr>
          <w:p w14:paraId="4845DCF3" w14:textId="3705C7C6"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(614.617)</w:t>
            </w:r>
          </w:p>
        </w:tc>
        <w:tc>
          <w:tcPr>
            <w:tcW w:w="0" w:type="auto"/>
            <w:vAlign w:val="bottom"/>
          </w:tcPr>
          <w:p w14:paraId="3B3A210E" w14:textId="77777777" w:rsidR="00CB5C36" w:rsidRPr="003B7DD7" w:rsidRDefault="00CB5C36" w:rsidP="00EB6617">
            <w:pPr>
              <w:jc w:val="right"/>
              <w:rPr>
                <w:rFonts w:ascii="Arial" w:eastAsia="Arial" w:hAnsi="Arial" w:cs="Arial"/>
                <w:bCs/>
                <w:noProof/>
                <w:color w:val="000000"/>
                <w:sz w:val="18"/>
                <w:szCs w:val="18"/>
              </w:rPr>
            </w:pPr>
            <w:r w:rsidRPr="003B7DD7">
              <w:rPr>
                <w:rFonts w:ascii="Arial" w:eastAsia="Arial" w:hAnsi="Arial" w:cs="Arial"/>
                <w:bCs/>
                <w:noProof/>
                <w:color w:val="000000"/>
                <w:sz w:val="18"/>
                <w:szCs w:val="18"/>
              </w:rPr>
              <w:t>78.714</w:t>
            </w:r>
          </w:p>
        </w:tc>
      </w:tr>
    </w:tbl>
    <w:p w14:paraId="74CD701A" w14:textId="77777777" w:rsidR="00CB5C36" w:rsidRDefault="00CB5C36" w:rsidP="00CB5C36">
      <w:pPr>
        <w:jc w:val="both"/>
        <w:rPr>
          <w:rFonts w:ascii="Arial" w:eastAsia="Arial" w:hAnsi="Arial" w:cs="Arial"/>
          <w:bCs/>
          <w:noProof/>
          <w:color w:val="000000"/>
          <w:sz w:val="20"/>
        </w:rPr>
      </w:pPr>
    </w:p>
    <w:p w14:paraId="08528A69" w14:textId="4DEDA572" w:rsidR="00CB5C36" w:rsidRPr="00701F32" w:rsidRDefault="00CB5C36" w:rsidP="00CB5C36">
      <w:pPr>
        <w:spacing w:after="160" w:line="259" w:lineRule="auto"/>
        <w:jc w:val="both"/>
        <w:rPr>
          <w:rFonts w:ascii="Arial" w:hAnsi="Arial" w:cs="Arial"/>
          <w:b/>
          <w:noProof/>
          <w:sz w:val="20"/>
        </w:rPr>
      </w:pPr>
      <w:r>
        <w:rPr>
          <w:rFonts w:ascii="Arial" w:hAnsi="Arial" w:cs="Arial"/>
          <w:b/>
          <w:noProof/>
          <w:sz w:val="20"/>
        </w:rPr>
        <w:t>2</w:t>
      </w:r>
      <w:r w:rsidR="00967EE4">
        <w:rPr>
          <w:rFonts w:ascii="Arial" w:hAnsi="Arial" w:cs="Arial"/>
          <w:b/>
          <w:noProof/>
          <w:sz w:val="20"/>
        </w:rPr>
        <w:t>2</w:t>
      </w:r>
      <w:r>
        <w:rPr>
          <w:rFonts w:ascii="Arial" w:hAnsi="Arial" w:cs="Arial"/>
          <w:b/>
          <w:noProof/>
          <w:sz w:val="20"/>
        </w:rPr>
        <w:t>.</w:t>
      </w:r>
      <w:r w:rsidRPr="00701F32">
        <w:rPr>
          <w:rFonts w:ascii="Arial" w:hAnsi="Arial" w:cs="Arial"/>
          <w:b/>
          <w:noProof/>
          <w:sz w:val="20"/>
        </w:rPr>
        <w:t xml:space="preserve"> </w:t>
      </w:r>
      <w:r w:rsidRPr="009F6947">
        <w:rPr>
          <w:rFonts w:ascii="Arial" w:hAnsi="Arial" w:cs="Arial"/>
          <w:b/>
          <w:caps/>
          <w:noProof/>
          <w:sz w:val="20"/>
        </w:rPr>
        <w:t xml:space="preserve">Obligaciones por beneficios </w:t>
      </w:r>
      <w:r w:rsidR="0002243C">
        <w:rPr>
          <w:rFonts w:ascii="Arial" w:hAnsi="Arial" w:cs="Arial"/>
          <w:b/>
          <w:caps/>
          <w:noProof/>
          <w:sz w:val="20"/>
        </w:rPr>
        <w:t>A LARGO PLAZO</w:t>
      </w:r>
      <w:r w:rsidRPr="00701F32">
        <w:rPr>
          <w:rFonts w:ascii="Arial" w:hAnsi="Arial" w:cs="Arial"/>
          <w:b/>
          <w:noProof/>
          <w:sz w:val="20"/>
        </w:rPr>
        <w:t xml:space="preserve"> </w:t>
      </w:r>
    </w:p>
    <w:p w14:paraId="6194A673" w14:textId="77777777" w:rsidR="00CB5C36" w:rsidRPr="00701F32" w:rsidRDefault="00CB5C36" w:rsidP="00CB5C36">
      <w:pPr>
        <w:widowControl w:val="0"/>
        <w:autoSpaceDE w:val="0"/>
        <w:autoSpaceDN w:val="0"/>
        <w:adjustRightInd w:val="0"/>
        <w:jc w:val="both"/>
        <w:rPr>
          <w:rFonts w:ascii="Arial" w:hAnsi="Arial" w:cs="Arial"/>
          <w:noProof/>
          <w:sz w:val="20"/>
        </w:rPr>
      </w:pPr>
    </w:p>
    <w:p w14:paraId="1EC26E7C" w14:textId="382B6336" w:rsidR="00CB5C36" w:rsidRPr="005B781A" w:rsidRDefault="00CB5C36" w:rsidP="00CB5C36">
      <w:pPr>
        <w:widowControl w:val="0"/>
        <w:autoSpaceDE w:val="0"/>
        <w:autoSpaceDN w:val="0"/>
        <w:adjustRightInd w:val="0"/>
        <w:jc w:val="both"/>
        <w:rPr>
          <w:rFonts w:ascii="Arial" w:hAnsi="Arial" w:cs="Arial"/>
          <w:noProof/>
          <w:sz w:val="20"/>
        </w:rPr>
      </w:pPr>
      <w:r w:rsidRPr="00701F32">
        <w:rPr>
          <w:rFonts w:ascii="Arial" w:hAnsi="Arial" w:cs="Arial"/>
          <w:noProof/>
          <w:sz w:val="20"/>
        </w:rPr>
        <w:t xml:space="preserve">Al 31 de diciembre de </w:t>
      </w:r>
      <w:r>
        <w:rPr>
          <w:rFonts w:ascii="Arial" w:hAnsi="Arial" w:cs="Arial"/>
          <w:noProof/>
          <w:sz w:val="20"/>
        </w:rPr>
        <w:t xml:space="preserve">2019 y </w:t>
      </w:r>
      <w:r w:rsidRPr="00701F32">
        <w:rPr>
          <w:rFonts w:ascii="Arial" w:hAnsi="Arial" w:cs="Arial"/>
          <w:noProof/>
          <w:sz w:val="20"/>
        </w:rPr>
        <w:t>201</w:t>
      </w:r>
      <w:r>
        <w:rPr>
          <w:rFonts w:ascii="Arial" w:hAnsi="Arial" w:cs="Arial"/>
          <w:noProof/>
          <w:sz w:val="20"/>
        </w:rPr>
        <w:t xml:space="preserve">8 </w:t>
      </w:r>
      <w:r w:rsidRPr="00701F32">
        <w:rPr>
          <w:rFonts w:ascii="Arial" w:hAnsi="Arial" w:cs="Arial"/>
          <w:noProof/>
          <w:sz w:val="20"/>
        </w:rPr>
        <w:t xml:space="preserve">los saldos registrados por beneficios </w:t>
      </w:r>
      <w:r w:rsidR="0002243C">
        <w:rPr>
          <w:rFonts w:ascii="Arial" w:hAnsi="Arial" w:cs="Arial"/>
          <w:noProof/>
          <w:sz w:val="20"/>
        </w:rPr>
        <w:t>a largo plazo</w:t>
      </w:r>
      <w:r w:rsidRPr="00701F32">
        <w:rPr>
          <w:rFonts w:ascii="Arial" w:hAnsi="Arial" w:cs="Arial"/>
          <w:noProof/>
          <w:sz w:val="20"/>
        </w:rPr>
        <w:t xml:space="preserve"> ascendían a </w:t>
      </w:r>
      <w:r w:rsidR="005B1C95" w:rsidRPr="005B1C95">
        <w:rPr>
          <w:rFonts w:ascii="Arial" w:hAnsi="Arial" w:cs="Arial"/>
          <w:noProof/>
          <w:sz w:val="20"/>
        </w:rPr>
        <w:t>947</w:t>
      </w:r>
      <w:r w:rsidRPr="005B1C95">
        <w:rPr>
          <w:rFonts w:ascii="Arial" w:hAnsi="Arial" w:cs="Arial"/>
          <w:noProof/>
          <w:sz w:val="20"/>
        </w:rPr>
        <w:t>.</w:t>
      </w:r>
      <w:r w:rsidR="005B1C95" w:rsidRPr="005B1C95">
        <w:rPr>
          <w:rFonts w:ascii="Arial" w:hAnsi="Arial" w:cs="Arial"/>
          <w:noProof/>
          <w:sz w:val="20"/>
        </w:rPr>
        <w:t>536</w:t>
      </w:r>
      <w:r w:rsidRPr="005B1C95">
        <w:rPr>
          <w:rFonts w:ascii="Arial" w:hAnsi="Arial" w:cs="Arial"/>
          <w:noProof/>
          <w:sz w:val="20"/>
        </w:rPr>
        <w:t xml:space="preserve"> y </w:t>
      </w:r>
      <w:r w:rsidR="005B1C95" w:rsidRPr="005B1C95">
        <w:rPr>
          <w:rFonts w:ascii="Arial" w:hAnsi="Arial" w:cs="Arial"/>
          <w:noProof/>
          <w:sz w:val="20"/>
        </w:rPr>
        <w:t>396</w:t>
      </w:r>
      <w:r w:rsidRPr="005B1C95">
        <w:rPr>
          <w:rFonts w:ascii="Arial" w:hAnsi="Arial" w:cs="Arial"/>
          <w:noProof/>
          <w:sz w:val="20"/>
        </w:rPr>
        <w:t>.</w:t>
      </w:r>
      <w:r w:rsidR="005B1C95" w:rsidRPr="005B1C95">
        <w:rPr>
          <w:rFonts w:ascii="Arial" w:hAnsi="Arial" w:cs="Arial"/>
          <w:noProof/>
          <w:sz w:val="20"/>
        </w:rPr>
        <w:t>082</w:t>
      </w:r>
      <w:r>
        <w:rPr>
          <w:rFonts w:ascii="Arial" w:hAnsi="Arial" w:cs="Arial"/>
          <w:noProof/>
          <w:sz w:val="20"/>
        </w:rPr>
        <w:t xml:space="preserve">, respectivamente. </w:t>
      </w:r>
      <w:r w:rsidRPr="00701F32">
        <w:rPr>
          <w:rFonts w:ascii="Arial" w:eastAsia="Arial" w:hAnsi="Arial" w:cs="Arial"/>
          <w:sz w:val="20"/>
        </w:rPr>
        <w:t xml:space="preserve">El importe del ejercicio reconocido como gasto respecto de los beneficios de retiro del personal al 31 de diciembre de </w:t>
      </w:r>
      <w:r>
        <w:rPr>
          <w:rFonts w:ascii="Arial" w:eastAsia="Arial" w:hAnsi="Arial" w:cs="Arial"/>
          <w:sz w:val="20"/>
        </w:rPr>
        <w:t xml:space="preserve">2019 y </w:t>
      </w:r>
      <w:r w:rsidRPr="00701F32">
        <w:rPr>
          <w:rFonts w:ascii="Arial" w:eastAsia="Arial" w:hAnsi="Arial" w:cs="Arial"/>
          <w:sz w:val="20"/>
        </w:rPr>
        <w:t>201</w:t>
      </w:r>
      <w:r>
        <w:rPr>
          <w:rFonts w:ascii="Arial" w:eastAsia="Arial" w:hAnsi="Arial" w:cs="Arial"/>
          <w:sz w:val="20"/>
        </w:rPr>
        <w:t>8</w:t>
      </w:r>
      <w:r w:rsidRPr="00701F32">
        <w:rPr>
          <w:rFonts w:ascii="Arial" w:eastAsia="Arial" w:hAnsi="Arial" w:cs="Arial"/>
          <w:sz w:val="20"/>
        </w:rPr>
        <w:t xml:space="preserve"> fue de </w:t>
      </w:r>
      <w:r w:rsidR="00381C57">
        <w:rPr>
          <w:rFonts w:ascii="Arial" w:eastAsia="Arial" w:hAnsi="Arial" w:cs="Arial"/>
          <w:sz w:val="20"/>
        </w:rPr>
        <w:t>739</w:t>
      </w:r>
      <w:r w:rsidRPr="00381C57">
        <w:rPr>
          <w:rFonts w:ascii="Arial" w:eastAsia="Arial" w:hAnsi="Arial" w:cs="Arial"/>
          <w:sz w:val="20"/>
        </w:rPr>
        <w:t>.</w:t>
      </w:r>
      <w:r w:rsidR="00381C57">
        <w:rPr>
          <w:rFonts w:ascii="Arial" w:eastAsia="Arial" w:hAnsi="Arial" w:cs="Arial"/>
          <w:sz w:val="20"/>
        </w:rPr>
        <w:t>182</w:t>
      </w:r>
      <w:r w:rsidRPr="00381C57">
        <w:rPr>
          <w:rFonts w:ascii="Arial" w:eastAsia="Arial" w:hAnsi="Arial" w:cs="Arial"/>
          <w:sz w:val="20"/>
        </w:rPr>
        <w:t xml:space="preserve"> y </w:t>
      </w:r>
      <w:r w:rsidR="00381C57" w:rsidRPr="00381C57">
        <w:rPr>
          <w:rFonts w:ascii="Arial" w:eastAsia="Arial" w:hAnsi="Arial" w:cs="Arial"/>
          <w:sz w:val="20"/>
        </w:rPr>
        <w:t>83</w:t>
      </w:r>
      <w:r w:rsidRPr="00381C57">
        <w:rPr>
          <w:rFonts w:ascii="Arial" w:eastAsia="Arial" w:hAnsi="Arial" w:cs="Arial"/>
          <w:sz w:val="20"/>
        </w:rPr>
        <w:t>.</w:t>
      </w:r>
      <w:r w:rsidR="00381C57" w:rsidRPr="00381C57">
        <w:rPr>
          <w:rFonts w:ascii="Arial" w:eastAsia="Arial" w:hAnsi="Arial" w:cs="Arial"/>
          <w:sz w:val="20"/>
        </w:rPr>
        <w:t>43</w:t>
      </w:r>
      <w:r w:rsidRPr="00381C57">
        <w:rPr>
          <w:rFonts w:ascii="Arial" w:eastAsia="Arial" w:hAnsi="Arial" w:cs="Arial"/>
          <w:sz w:val="20"/>
        </w:rPr>
        <w:t>3</w:t>
      </w:r>
      <w:r>
        <w:rPr>
          <w:rFonts w:ascii="Arial" w:eastAsia="Arial" w:hAnsi="Arial" w:cs="Arial"/>
          <w:sz w:val="20"/>
        </w:rPr>
        <w:t>, respectivamente.</w:t>
      </w:r>
    </w:p>
    <w:p w14:paraId="24154352" w14:textId="77777777" w:rsidR="00CB5C36" w:rsidRDefault="00CB5C36" w:rsidP="00CB5C36">
      <w:pPr>
        <w:spacing w:after="160" w:line="259" w:lineRule="auto"/>
        <w:jc w:val="both"/>
        <w:rPr>
          <w:rFonts w:ascii="Arial" w:eastAsia="Arial" w:hAnsi="Arial" w:cs="Arial"/>
          <w:sz w:val="20"/>
        </w:rPr>
      </w:pPr>
    </w:p>
    <w:p w14:paraId="5EC46413" w14:textId="77777777" w:rsidR="00CB5C36" w:rsidRPr="00701F32" w:rsidRDefault="00CB5C36" w:rsidP="00CB5C36">
      <w:pPr>
        <w:spacing w:after="160" w:line="259" w:lineRule="auto"/>
        <w:jc w:val="both"/>
        <w:rPr>
          <w:rFonts w:ascii="Arial" w:eastAsia="Arial" w:hAnsi="Arial" w:cs="Arial"/>
          <w:sz w:val="20"/>
        </w:rPr>
      </w:pPr>
      <w:r w:rsidRPr="00701F32">
        <w:rPr>
          <w:rFonts w:ascii="Arial" w:eastAsia="Arial" w:hAnsi="Arial" w:cs="Arial"/>
          <w:sz w:val="20"/>
        </w:rPr>
        <w:t xml:space="preserve">Se detalla a continuación la evolución durante </w:t>
      </w:r>
      <w:r>
        <w:rPr>
          <w:rFonts w:ascii="Arial" w:eastAsia="Arial" w:hAnsi="Arial" w:cs="Arial"/>
          <w:sz w:val="20"/>
        </w:rPr>
        <w:t>los</w:t>
      </w:r>
      <w:r w:rsidRPr="00701F32">
        <w:rPr>
          <w:rFonts w:ascii="Arial" w:eastAsia="Arial" w:hAnsi="Arial" w:cs="Arial"/>
          <w:sz w:val="20"/>
        </w:rPr>
        <w:t xml:space="preserve"> ejercicio</w:t>
      </w:r>
      <w:r>
        <w:rPr>
          <w:rFonts w:ascii="Arial" w:eastAsia="Arial" w:hAnsi="Arial" w:cs="Arial"/>
          <w:sz w:val="20"/>
        </w:rPr>
        <w:t>s:</w:t>
      </w:r>
      <w:r w:rsidRPr="00701F32">
        <w:rPr>
          <w:rFonts w:ascii="Arial" w:eastAsia="Arial" w:hAnsi="Arial" w:cs="Arial"/>
          <w:sz w:val="20"/>
        </w:rPr>
        <w:t xml:space="preserve"> </w:t>
      </w:r>
    </w:p>
    <w:tbl>
      <w:tblPr>
        <w:tblW w:w="40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2"/>
        <w:gridCol w:w="1727"/>
        <w:gridCol w:w="1727"/>
      </w:tblGrid>
      <w:tr w:rsidR="00CB5C36" w:rsidRPr="00701F32" w14:paraId="7D810D5D" w14:textId="77777777" w:rsidTr="00CB5C36">
        <w:trPr>
          <w:trHeight w:val="142"/>
          <w:jc w:val="center"/>
        </w:trPr>
        <w:tc>
          <w:tcPr>
            <w:tcW w:w="2531" w:type="pct"/>
          </w:tcPr>
          <w:p w14:paraId="2F400B17" w14:textId="77777777" w:rsidR="00CB5C36" w:rsidRPr="00701F32" w:rsidRDefault="00CB5C36" w:rsidP="00EB6617">
            <w:pPr>
              <w:jc w:val="both"/>
              <w:rPr>
                <w:rFonts w:ascii="Arial" w:eastAsia="SimSun" w:hAnsi="Arial" w:cs="Arial"/>
                <w:sz w:val="18"/>
                <w:lang w:eastAsia="zh-CN"/>
              </w:rPr>
            </w:pPr>
            <w:r w:rsidRPr="00701F32">
              <w:rPr>
                <w:rFonts w:ascii="Arial" w:eastAsia="SimSun" w:hAnsi="Arial" w:cs="Arial"/>
                <w:sz w:val="18"/>
                <w:lang w:eastAsia="zh-CN"/>
              </w:rPr>
              <w:t> </w:t>
            </w:r>
          </w:p>
        </w:tc>
        <w:tc>
          <w:tcPr>
            <w:tcW w:w="1234" w:type="pct"/>
          </w:tcPr>
          <w:p w14:paraId="25FC58B7" w14:textId="4DC80070" w:rsidR="00CB5C36" w:rsidRPr="00701F32" w:rsidRDefault="00CB5C36" w:rsidP="00EB6617">
            <w:pPr>
              <w:jc w:val="center"/>
              <w:rPr>
                <w:rFonts w:ascii="Arial" w:eastAsia="SimSun" w:hAnsi="Arial" w:cs="Arial"/>
                <w:b/>
                <w:bCs/>
                <w:sz w:val="18"/>
                <w:lang w:eastAsia="zh-CN"/>
              </w:rPr>
            </w:pPr>
            <w:r>
              <w:rPr>
                <w:rFonts w:ascii="Arial" w:eastAsia="SimSun" w:hAnsi="Arial" w:cs="Arial"/>
                <w:b/>
                <w:bCs/>
                <w:sz w:val="18"/>
                <w:lang w:eastAsia="zh-CN"/>
              </w:rPr>
              <w:t>31/12/2019</w:t>
            </w:r>
          </w:p>
        </w:tc>
        <w:tc>
          <w:tcPr>
            <w:tcW w:w="1234" w:type="pct"/>
            <w:vAlign w:val="center"/>
          </w:tcPr>
          <w:p w14:paraId="46F63132" w14:textId="1FAC09B0" w:rsidR="00CB5C36" w:rsidRPr="00701F32" w:rsidRDefault="00CB5C36" w:rsidP="00EB6617">
            <w:pPr>
              <w:jc w:val="center"/>
              <w:rPr>
                <w:rFonts w:ascii="Arial" w:eastAsia="SimSun" w:hAnsi="Arial" w:cs="Arial"/>
                <w:b/>
                <w:bCs/>
                <w:sz w:val="18"/>
                <w:lang w:eastAsia="zh-CN"/>
              </w:rPr>
            </w:pPr>
            <w:r w:rsidRPr="00701F32">
              <w:rPr>
                <w:rFonts w:ascii="Arial" w:eastAsia="SimSun" w:hAnsi="Arial" w:cs="Arial"/>
                <w:b/>
                <w:bCs/>
                <w:sz w:val="18"/>
                <w:lang w:eastAsia="zh-CN"/>
              </w:rPr>
              <w:t>31/12/201</w:t>
            </w:r>
            <w:r>
              <w:rPr>
                <w:rFonts w:ascii="Arial" w:eastAsia="SimSun" w:hAnsi="Arial" w:cs="Arial"/>
                <w:b/>
                <w:bCs/>
                <w:sz w:val="18"/>
                <w:lang w:eastAsia="zh-CN"/>
              </w:rPr>
              <w:t>8</w:t>
            </w:r>
          </w:p>
        </w:tc>
      </w:tr>
      <w:tr w:rsidR="00CB5C36" w:rsidRPr="00701F32" w14:paraId="25983027" w14:textId="77777777" w:rsidTr="00CB4373">
        <w:trPr>
          <w:trHeight w:val="287"/>
          <w:jc w:val="center"/>
        </w:trPr>
        <w:tc>
          <w:tcPr>
            <w:tcW w:w="2531" w:type="pct"/>
            <w:vAlign w:val="bottom"/>
          </w:tcPr>
          <w:p w14:paraId="5AEAA34B" w14:textId="77777777" w:rsidR="00CB5C36" w:rsidRPr="00701F32" w:rsidRDefault="00CB5C36" w:rsidP="00EB6617">
            <w:pPr>
              <w:jc w:val="both"/>
              <w:rPr>
                <w:rFonts w:ascii="Arial" w:eastAsia="SimSun" w:hAnsi="Arial" w:cs="Arial"/>
                <w:sz w:val="18"/>
                <w:lang w:eastAsia="zh-CN"/>
              </w:rPr>
            </w:pPr>
            <w:r w:rsidRPr="00701F32">
              <w:rPr>
                <w:rFonts w:ascii="Arial" w:eastAsia="SimSun" w:hAnsi="Arial" w:cs="Arial"/>
                <w:sz w:val="18"/>
                <w:lang w:eastAsia="zh-CN"/>
              </w:rPr>
              <w:t xml:space="preserve">Saldo al inicio del ejercicio </w:t>
            </w:r>
          </w:p>
        </w:tc>
        <w:tc>
          <w:tcPr>
            <w:tcW w:w="1234" w:type="pct"/>
            <w:vAlign w:val="center"/>
          </w:tcPr>
          <w:p w14:paraId="386BE1AA" w14:textId="36C90C9D" w:rsidR="00CB5C36" w:rsidRPr="00701F32" w:rsidRDefault="00381C57" w:rsidP="00CB4373">
            <w:pPr>
              <w:ind w:right="113"/>
              <w:jc w:val="right"/>
              <w:rPr>
                <w:rFonts w:ascii="Arial" w:eastAsia="SimSun" w:hAnsi="Arial" w:cs="Arial"/>
                <w:sz w:val="18"/>
                <w:lang w:eastAsia="zh-CN"/>
              </w:rPr>
            </w:pPr>
            <w:r>
              <w:rPr>
                <w:rFonts w:ascii="Arial" w:eastAsia="SimSun" w:hAnsi="Arial" w:cs="Arial"/>
                <w:sz w:val="18"/>
                <w:lang w:eastAsia="zh-CN"/>
              </w:rPr>
              <w:t>396.082</w:t>
            </w:r>
          </w:p>
        </w:tc>
        <w:tc>
          <w:tcPr>
            <w:tcW w:w="1234" w:type="pct"/>
            <w:vAlign w:val="center"/>
          </w:tcPr>
          <w:p w14:paraId="76874D7C" w14:textId="5CE42BA9" w:rsidR="00CB5C36" w:rsidRPr="00701F32" w:rsidRDefault="00CB5C36" w:rsidP="00CB4373">
            <w:pPr>
              <w:ind w:right="113"/>
              <w:jc w:val="right"/>
              <w:rPr>
                <w:rFonts w:ascii="Arial" w:eastAsia="SimSun" w:hAnsi="Arial" w:cs="Arial"/>
                <w:sz w:val="18"/>
                <w:lang w:eastAsia="zh-CN"/>
              </w:rPr>
            </w:pPr>
            <w:r w:rsidRPr="00701F32">
              <w:rPr>
                <w:rFonts w:ascii="Arial" w:eastAsia="SimSun" w:hAnsi="Arial" w:cs="Arial"/>
                <w:sz w:val="18"/>
                <w:lang w:eastAsia="zh-CN"/>
              </w:rPr>
              <w:t xml:space="preserve">        </w:t>
            </w:r>
            <w:r>
              <w:rPr>
                <w:rFonts w:ascii="Arial" w:eastAsia="SimSun" w:hAnsi="Arial" w:cs="Arial"/>
                <w:sz w:val="18"/>
                <w:lang w:eastAsia="zh-CN"/>
              </w:rPr>
              <w:t>451</w:t>
            </w:r>
            <w:r w:rsidRPr="00701F32">
              <w:rPr>
                <w:rFonts w:ascii="Arial" w:eastAsia="SimSun" w:hAnsi="Arial" w:cs="Arial"/>
                <w:sz w:val="18"/>
                <w:lang w:eastAsia="zh-CN"/>
              </w:rPr>
              <w:t>.</w:t>
            </w:r>
            <w:r>
              <w:rPr>
                <w:rFonts w:ascii="Arial" w:eastAsia="SimSun" w:hAnsi="Arial" w:cs="Arial"/>
                <w:sz w:val="18"/>
                <w:lang w:eastAsia="zh-CN"/>
              </w:rPr>
              <w:t>505</w:t>
            </w:r>
          </w:p>
        </w:tc>
      </w:tr>
      <w:tr w:rsidR="00CB5C36" w:rsidRPr="00701F32" w14:paraId="25EDC257" w14:textId="77777777" w:rsidTr="00CB4373">
        <w:trPr>
          <w:trHeight w:val="297"/>
          <w:jc w:val="center"/>
        </w:trPr>
        <w:tc>
          <w:tcPr>
            <w:tcW w:w="2531" w:type="pct"/>
            <w:vAlign w:val="bottom"/>
          </w:tcPr>
          <w:p w14:paraId="5A7C017D" w14:textId="77777777" w:rsidR="00CB5C36" w:rsidRPr="00701F32" w:rsidRDefault="00CB5C36" w:rsidP="00EB6617">
            <w:pPr>
              <w:jc w:val="both"/>
              <w:rPr>
                <w:rFonts w:ascii="Arial" w:eastAsia="SimSun" w:hAnsi="Arial" w:cs="Arial"/>
                <w:sz w:val="18"/>
                <w:lang w:eastAsia="zh-CN"/>
              </w:rPr>
            </w:pPr>
            <w:r w:rsidRPr="00701F32">
              <w:rPr>
                <w:rFonts w:ascii="Arial" w:eastAsia="SimSun" w:hAnsi="Arial" w:cs="Arial"/>
                <w:sz w:val="18"/>
                <w:lang w:eastAsia="zh-CN"/>
              </w:rPr>
              <w:t xml:space="preserve">Altas del </w:t>
            </w:r>
            <w:r>
              <w:rPr>
                <w:rFonts w:ascii="Arial" w:eastAsia="SimSun" w:hAnsi="Arial" w:cs="Arial"/>
                <w:sz w:val="18"/>
                <w:lang w:eastAsia="zh-CN"/>
              </w:rPr>
              <w:t>ejercicio</w:t>
            </w:r>
          </w:p>
        </w:tc>
        <w:tc>
          <w:tcPr>
            <w:tcW w:w="1234" w:type="pct"/>
            <w:vAlign w:val="center"/>
          </w:tcPr>
          <w:p w14:paraId="77AE80B6" w14:textId="036A7419" w:rsidR="00CB5C36" w:rsidRPr="00701F32" w:rsidRDefault="00381C57" w:rsidP="00CB4373">
            <w:pPr>
              <w:ind w:right="113"/>
              <w:jc w:val="right"/>
              <w:rPr>
                <w:rFonts w:ascii="Arial" w:eastAsia="SimSun" w:hAnsi="Arial" w:cs="Arial"/>
                <w:sz w:val="18"/>
                <w:lang w:eastAsia="zh-CN"/>
              </w:rPr>
            </w:pPr>
            <w:r>
              <w:rPr>
                <w:rFonts w:ascii="Arial" w:eastAsia="SimSun" w:hAnsi="Arial" w:cs="Arial"/>
                <w:sz w:val="18"/>
                <w:lang w:eastAsia="zh-CN"/>
              </w:rPr>
              <w:t>741.121</w:t>
            </w:r>
          </w:p>
        </w:tc>
        <w:tc>
          <w:tcPr>
            <w:tcW w:w="1234" w:type="pct"/>
            <w:vAlign w:val="center"/>
          </w:tcPr>
          <w:p w14:paraId="6251F086" w14:textId="1DBD067C" w:rsidR="00CB5C36" w:rsidRPr="00701F32" w:rsidRDefault="00CB5C36" w:rsidP="00CB4373">
            <w:pPr>
              <w:ind w:right="113"/>
              <w:jc w:val="right"/>
              <w:rPr>
                <w:rFonts w:ascii="Arial" w:eastAsia="SimSun" w:hAnsi="Arial" w:cs="Arial"/>
                <w:sz w:val="18"/>
                <w:lang w:eastAsia="zh-CN"/>
              </w:rPr>
            </w:pPr>
            <w:r w:rsidRPr="00701F32">
              <w:rPr>
                <w:rFonts w:ascii="Arial" w:eastAsia="SimSun" w:hAnsi="Arial" w:cs="Arial"/>
                <w:sz w:val="18"/>
                <w:lang w:eastAsia="zh-CN"/>
              </w:rPr>
              <w:t xml:space="preserve">        </w:t>
            </w:r>
            <w:r>
              <w:rPr>
                <w:rFonts w:ascii="Arial" w:eastAsia="SimSun" w:hAnsi="Arial" w:cs="Arial"/>
                <w:sz w:val="18"/>
                <w:lang w:eastAsia="zh-CN"/>
              </w:rPr>
              <w:t>125</w:t>
            </w:r>
            <w:r w:rsidRPr="00701F32">
              <w:rPr>
                <w:rFonts w:ascii="Arial" w:eastAsia="SimSun" w:hAnsi="Arial" w:cs="Arial"/>
                <w:sz w:val="18"/>
                <w:lang w:eastAsia="zh-CN"/>
              </w:rPr>
              <w:t>.</w:t>
            </w:r>
            <w:r>
              <w:rPr>
                <w:rFonts w:ascii="Arial" w:eastAsia="SimSun" w:hAnsi="Arial" w:cs="Arial"/>
                <w:sz w:val="18"/>
                <w:lang w:eastAsia="zh-CN"/>
              </w:rPr>
              <w:t>880</w:t>
            </w:r>
          </w:p>
        </w:tc>
      </w:tr>
      <w:tr w:rsidR="00CB5C36" w:rsidRPr="00701F32" w14:paraId="40ADFF23" w14:textId="77777777" w:rsidTr="00CB4373">
        <w:trPr>
          <w:trHeight w:val="246"/>
          <w:jc w:val="center"/>
        </w:trPr>
        <w:tc>
          <w:tcPr>
            <w:tcW w:w="2531" w:type="pct"/>
            <w:vAlign w:val="bottom"/>
          </w:tcPr>
          <w:p w14:paraId="2D453B34" w14:textId="77777777" w:rsidR="00CB5C36" w:rsidRPr="00701F32" w:rsidRDefault="00CB5C36" w:rsidP="00EB6617">
            <w:pPr>
              <w:jc w:val="both"/>
              <w:rPr>
                <w:rFonts w:ascii="Arial" w:eastAsia="SimSun" w:hAnsi="Arial" w:cs="Arial"/>
                <w:sz w:val="18"/>
                <w:lang w:eastAsia="zh-CN"/>
              </w:rPr>
            </w:pPr>
            <w:r w:rsidRPr="00701F32">
              <w:rPr>
                <w:rFonts w:ascii="Arial" w:eastAsia="SimSun" w:hAnsi="Arial" w:cs="Arial"/>
                <w:sz w:val="18"/>
                <w:lang w:eastAsia="zh-CN"/>
              </w:rPr>
              <w:t>Beneficios pagados a los participantes</w:t>
            </w:r>
          </w:p>
        </w:tc>
        <w:tc>
          <w:tcPr>
            <w:tcW w:w="1234" w:type="pct"/>
            <w:vAlign w:val="center"/>
          </w:tcPr>
          <w:p w14:paraId="3CB2CB5E" w14:textId="12C405B5" w:rsidR="00CB5C36" w:rsidRPr="00701F32" w:rsidRDefault="00381C57" w:rsidP="00CB4373">
            <w:pPr>
              <w:ind w:right="113"/>
              <w:jc w:val="right"/>
              <w:rPr>
                <w:rFonts w:ascii="Arial" w:eastAsia="SimSun" w:hAnsi="Arial" w:cs="Arial"/>
                <w:sz w:val="18"/>
                <w:lang w:eastAsia="zh-CN"/>
              </w:rPr>
            </w:pPr>
            <w:r>
              <w:rPr>
                <w:rFonts w:ascii="Arial" w:eastAsia="SimSun" w:hAnsi="Arial" w:cs="Arial"/>
                <w:sz w:val="18"/>
                <w:lang w:eastAsia="zh-CN"/>
              </w:rPr>
              <w:t>(189.667)</w:t>
            </w:r>
          </w:p>
        </w:tc>
        <w:tc>
          <w:tcPr>
            <w:tcW w:w="1234" w:type="pct"/>
            <w:vAlign w:val="center"/>
          </w:tcPr>
          <w:p w14:paraId="53FD0B30" w14:textId="2FC5F77F" w:rsidR="00CB5C36" w:rsidRPr="00701F32" w:rsidRDefault="00CB5C36" w:rsidP="00CB4373">
            <w:pPr>
              <w:ind w:right="113"/>
              <w:jc w:val="right"/>
              <w:rPr>
                <w:rFonts w:ascii="Arial" w:eastAsia="SimSun" w:hAnsi="Arial" w:cs="Arial"/>
                <w:sz w:val="18"/>
                <w:lang w:eastAsia="zh-CN"/>
              </w:rPr>
            </w:pPr>
            <w:r w:rsidRPr="00701F32">
              <w:rPr>
                <w:rFonts w:ascii="Arial" w:eastAsia="SimSun" w:hAnsi="Arial" w:cs="Arial"/>
                <w:sz w:val="18"/>
                <w:lang w:eastAsia="zh-CN"/>
              </w:rPr>
              <w:t>(1</w:t>
            </w:r>
            <w:r>
              <w:rPr>
                <w:rFonts w:ascii="Arial" w:eastAsia="SimSun" w:hAnsi="Arial" w:cs="Arial"/>
                <w:sz w:val="18"/>
                <w:lang w:eastAsia="zh-CN"/>
              </w:rPr>
              <w:t>81</w:t>
            </w:r>
            <w:r w:rsidRPr="00701F32">
              <w:rPr>
                <w:rFonts w:ascii="Arial" w:eastAsia="SimSun" w:hAnsi="Arial" w:cs="Arial"/>
                <w:sz w:val="18"/>
                <w:lang w:eastAsia="zh-CN"/>
              </w:rPr>
              <w:t>.</w:t>
            </w:r>
            <w:r>
              <w:rPr>
                <w:rFonts w:ascii="Arial" w:eastAsia="SimSun" w:hAnsi="Arial" w:cs="Arial"/>
                <w:sz w:val="18"/>
                <w:lang w:eastAsia="zh-CN"/>
              </w:rPr>
              <w:t>303</w:t>
            </w:r>
            <w:r w:rsidRPr="00701F32">
              <w:rPr>
                <w:rFonts w:ascii="Arial" w:eastAsia="SimSun" w:hAnsi="Arial" w:cs="Arial"/>
                <w:sz w:val="18"/>
                <w:lang w:eastAsia="zh-CN"/>
              </w:rPr>
              <w:t>)</w:t>
            </w:r>
          </w:p>
        </w:tc>
      </w:tr>
      <w:tr w:rsidR="00CB5C36" w:rsidRPr="00701F32" w14:paraId="707EA039" w14:textId="77777777" w:rsidTr="00CB4373">
        <w:trPr>
          <w:trHeight w:val="287"/>
          <w:jc w:val="center"/>
        </w:trPr>
        <w:tc>
          <w:tcPr>
            <w:tcW w:w="2531" w:type="pct"/>
            <w:vAlign w:val="bottom"/>
          </w:tcPr>
          <w:p w14:paraId="6E21BF4C" w14:textId="77777777" w:rsidR="00CB5C36" w:rsidRPr="00701F32" w:rsidRDefault="00CB5C36" w:rsidP="00EB6617">
            <w:pPr>
              <w:jc w:val="both"/>
              <w:rPr>
                <w:rFonts w:ascii="Arial" w:eastAsia="SimSun" w:hAnsi="Arial" w:cs="Arial"/>
                <w:b/>
                <w:bCs/>
                <w:sz w:val="18"/>
                <w:lang w:eastAsia="zh-CN"/>
              </w:rPr>
            </w:pPr>
            <w:r w:rsidRPr="00701F32">
              <w:rPr>
                <w:rFonts w:ascii="Arial" w:eastAsia="SimSun" w:hAnsi="Arial" w:cs="Arial"/>
                <w:b/>
                <w:bCs/>
                <w:sz w:val="18"/>
                <w:lang w:eastAsia="zh-CN"/>
              </w:rPr>
              <w:t>Saldo</w:t>
            </w:r>
            <w:r>
              <w:rPr>
                <w:rFonts w:ascii="Arial" w:eastAsia="SimSun" w:hAnsi="Arial" w:cs="Arial"/>
                <w:b/>
                <w:bCs/>
                <w:sz w:val="18"/>
                <w:lang w:eastAsia="zh-CN"/>
              </w:rPr>
              <w:t>s al cierre</w:t>
            </w:r>
          </w:p>
        </w:tc>
        <w:tc>
          <w:tcPr>
            <w:tcW w:w="1234" w:type="pct"/>
            <w:vAlign w:val="center"/>
          </w:tcPr>
          <w:p w14:paraId="0D3519EF" w14:textId="42AFEFE2" w:rsidR="00CB5C36" w:rsidRPr="00AA772D" w:rsidRDefault="00381C57" w:rsidP="00CB4373">
            <w:pPr>
              <w:ind w:right="113"/>
              <w:jc w:val="right"/>
              <w:rPr>
                <w:rFonts w:ascii="Arial" w:eastAsia="SimSun" w:hAnsi="Arial" w:cs="Arial"/>
                <w:b/>
                <w:sz w:val="18"/>
                <w:lang w:eastAsia="zh-CN"/>
              </w:rPr>
            </w:pPr>
            <w:r>
              <w:rPr>
                <w:rFonts w:ascii="Arial" w:eastAsia="SimSun" w:hAnsi="Arial" w:cs="Arial"/>
                <w:b/>
                <w:sz w:val="18"/>
                <w:lang w:eastAsia="zh-CN"/>
              </w:rPr>
              <w:t>947.536</w:t>
            </w:r>
          </w:p>
        </w:tc>
        <w:tc>
          <w:tcPr>
            <w:tcW w:w="1234" w:type="pct"/>
            <w:vAlign w:val="center"/>
          </w:tcPr>
          <w:p w14:paraId="1FB4C1CB" w14:textId="58B48EAA" w:rsidR="00CB5C36" w:rsidRPr="00754E43" w:rsidRDefault="00CB5C36" w:rsidP="00CB4373">
            <w:pPr>
              <w:ind w:right="113"/>
              <w:jc w:val="right"/>
              <w:rPr>
                <w:rFonts w:ascii="Arial" w:eastAsia="SimSun" w:hAnsi="Arial" w:cs="Arial"/>
                <w:sz w:val="18"/>
                <w:lang w:eastAsia="zh-CN"/>
              </w:rPr>
            </w:pPr>
            <w:r w:rsidRPr="00AA772D">
              <w:rPr>
                <w:rFonts w:ascii="Arial" w:eastAsia="SimSun" w:hAnsi="Arial" w:cs="Arial"/>
                <w:b/>
                <w:sz w:val="18"/>
                <w:lang w:eastAsia="zh-CN"/>
              </w:rPr>
              <w:t>396</w:t>
            </w:r>
            <w:r w:rsidRPr="00701F32">
              <w:rPr>
                <w:rFonts w:ascii="Arial" w:eastAsia="SimSun" w:hAnsi="Arial" w:cs="Arial"/>
                <w:b/>
                <w:sz w:val="18"/>
                <w:lang w:eastAsia="zh-CN"/>
              </w:rPr>
              <w:t>.</w:t>
            </w:r>
            <w:r>
              <w:rPr>
                <w:rFonts w:ascii="Arial" w:eastAsia="SimSun" w:hAnsi="Arial" w:cs="Arial"/>
                <w:b/>
                <w:sz w:val="18"/>
                <w:lang w:eastAsia="zh-CN"/>
              </w:rPr>
              <w:t>082</w:t>
            </w:r>
          </w:p>
        </w:tc>
      </w:tr>
    </w:tbl>
    <w:p w14:paraId="44D5B087" w14:textId="77777777" w:rsidR="00CB5C36" w:rsidRPr="00701F32" w:rsidRDefault="00CB5C36" w:rsidP="00CB5C36">
      <w:pPr>
        <w:spacing w:after="160" w:line="259" w:lineRule="auto"/>
        <w:jc w:val="both"/>
        <w:rPr>
          <w:rFonts w:ascii="Arial" w:eastAsia="Arial" w:hAnsi="Arial" w:cs="Arial"/>
          <w:b/>
          <w:color w:val="0070C0"/>
          <w:sz w:val="20"/>
        </w:rPr>
      </w:pPr>
    </w:p>
    <w:p w14:paraId="54E214C4" w14:textId="618E5966" w:rsidR="00CB5C36" w:rsidRPr="00781866" w:rsidRDefault="00CB5C36" w:rsidP="00CB5C36">
      <w:pPr>
        <w:jc w:val="both"/>
        <w:rPr>
          <w:rFonts w:ascii="Arial" w:hAnsi="Arial" w:cs="Arial"/>
          <w:b/>
          <w:caps/>
          <w:sz w:val="20"/>
        </w:rPr>
      </w:pPr>
      <w:r w:rsidRPr="00781866">
        <w:rPr>
          <w:rFonts w:ascii="Arial" w:hAnsi="Arial" w:cs="Arial"/>
          <w:b/>
          <w:caps/>
          <w:sz w:val="20"/>
        </w:rPr>
        <w:t>2</w:t>
      </w:r>
      <w:r w:rsidR="00967EE4">
        <w:rPr>
          <w:rFonts w:ascii="Arial" w:hAnsi="Arial" w:cs="Arial"/>
          <w:b/>
          <w:caps/>
          <w:sz w:val="20"/>
        </w:rPr>
        <w:t>3</w:t>
      </w:r>
      <w:r w:rsidRPr="00781866">
        <w:rPr>
          <w:rFonts w:ascii="Arial" w:hAnsi="Arial" w:cs="Arial"/>
          <w:b/>
          <w:caps/>
          <w:sz w:val="20"/>
        </w:rPr>
        <w:t>. Composición del capital</w:t>
      </w:r>
    </w:p>
    <w:p w14:paraId="0043885C" w14:textId="77777777" w:rsidR="00CB5C36" w:rsidRDefault="00CB5C36" w:rsidP="00CB5C36">
      <w:pPr>
        <w:jc w:val="both"/>
        <w:rPr>
          <w:rFonts w:ascii="Arial" w:hAnsi="Arial" w:cs="Arial"/>
          <w:b/>
          <w:sz w:val="20"/>
        </w:rPr>
      </w:pPr>
    </w:p>
    <w:p w14:paraId="39D2ED24" w14:textId="121E1339" w:rsidR="00CB5C36" w:rsidRDefault="00CB5C36" w:rsidP="00CB5C36">
      <w:pPr>
        <w:jc w:val="both"/>
        <w:rPr>
          <w:rFonts w:ascii="Arial" w:hAnsi="Arial" w:cs="Arial"/>
          <w:sz w:val="20"/>
        </w:rPr>
      </w:pPr>
      <w:r>
        <w:rPr>
          <w:rFonts w:ascii="Arial" w:hAnsi="Arial" w:cs="Arial"/>
          <w:sz w:val="20"/>
        </w:rPr>
        <w:t xml:space="preserve">La composición del capital al 31 de diciembre de 2019 se detalla en Anexo K </w:t>
      </w:r>
      <w:r>
        <w:rPr>
          <w:rFonts w:ascii="Arial" w:eastAsia="Calibri" w:hAnsi="Arial" w:cs="Arial"/>
          <w:sz w:val="20"/>
        </w:rPr>
        <w:t>adjunto en los</w:t>
      </w:r>
      <w:r w:rsidRPr="00701F32">
        <w:rPr>
          <w:rFonts w:ascii="Arial" w:eastAsia="Calibri" w:hAnsi="Arial" w:cs="Arial"/>
          <w:sz w:val="20"/>
        </w:rPr>
        <w:t xml:space="preserve"> estados financieros </w:t>
      </w:r>
      <w:r>
        <w:rPr>
          <w:rFonts w:ascii="Arial" w:eastAsia="Calibri" w:hAnsi="Arial" w:cs="Arial"/>
          <w:sz w:val="20"/>
        </w:rPr>
        <w:t>separados</w:t>
      </w:r>
      <w:r>
        <w:rPr>
          <w:rFonts w:ascii="Arial" w:hAnsi="Arial" w:cs="Arial"/>
          <w:sz w:val="20"/>
        </w:rPr>
        <w:t xml:space="preserve">. </w:t>
      </w:r>
    </w:p>
    <w:p w14:paraId="6BE04F00" w14:textId="77777777" w:rsidR="00CB5C36" w:rsidRDefault="00CB5C36" w:rsidP="00CB5C36">
      <w:pPr>
        <w:jc w:val="both"/>
        <w:rPr>
          <w:rFonts w:ascii="Arial" w:hAnsi="Arial" w:cs="Arial"/>
          <w:sz w:val="20"/>
        </w:rPr>
      </w:pPr>
    </w:p>
    <w:p w14:paraId="1743A1D2" w14:textId="30F7533B" w:rsidR="00CB5C36" w:rsidRPr="00A85159" w:rsidRDefault="00CB5C36" w:rsidP="00CB5C36">
      <w:pPr>
        <w:jc w:val="both"/>
        <w:rPr>
          <w:rFonts w:ascii="Arial" w:hAnsi="Arial" w:cs="Arial"/>
          <w:sz w:val="20"/>
        </w:rPr>
      </w:pPr>
      <w:r>
        <w:rPr>
          <w:rFonts w:ascii="Arial" w:hAnsi="Arial" w:cs="Arial"/>
          <w:sz w:val="20"/>
        </w:rPr>
        <w:t>Se detalla a continuación la composición del capital al 31 de diciembre de 201</w:t>
      </w:r>
      <w:r w:rsidR="00EB6617">
        <w:rPr>
          <w:rFonts w:ascii="Arial" w:hAnsi="Arial" w:cs="Arial"/>
          <w:sz w:val="20"/>
        </w:rPr>
        <w:t>8</w:t>
      </w:r>
      <w:r>
        <w:rPr>
          <w:rFonts w:ascii="Arial" w:hAnsi="Arial" w:cs="Arial"/>
          <w:sz w:val="20"/>
        </w:rPr>
        <w:t xml:space="preserve">: </w:t>
      </w:r>
    </w:p>
    <w:p w14:paraId="18A3C1A5" w14:textId="156BAEAB" w:rsidR="00011E62" w:rsidRDefault="00011E62">
      <w:pPr>
        <w:rPr>
          <w:rFonts w:ascii="Arial" w:hAnsi="Arial" w:cs="Arial"/>
          <w:sz w:val="20"/>
        </w:rPr>
      </w:pPr>
      <w:r>
        <w:rPr>
          <w:rFonts w:ascii="Arial" w:hAnsi="Arial" w:cs="Arial"/>
          <w:sz w:val="20"/>
        </w:rPr>
        <w:br w:type="page"/>
      </w:r>
    </w:p>
    <w:p w14:paraId="5F1893DC" w14:textId="77777777" w:rsidR="00CB5C36" w:rsidRPr="00466920" w:rsidRDefault="00CB5C36" w:rsidP="00CB5C36">
      <w:pPr>
        <w:jc w:val="both"/>
        <w:rPr>
          <w:rFonts w:ascii="Arial" w:hAnsi="Arial" w:cs="Arial"/>
          <w:sz w:val="20"/>
        </w:rPr>
      </w:pPr>
    </w:p>
    <w:tbl>
      <w:tblPr>
        <w:tblW w:w="9104" w:type="dxa"/>
        <w:tblCellMar>
          <w:left w:w="70" w:type="dxa"/>
          <w:right w:w="70" w:type="dxa"/>
        </w:tblCellMar>
        <w:tblLook w:val="04A0" w:firstRow="1" w:lastRow="0" w:firstColumn="1" w:lastColumn="0" w:noHBand="0" w:noVBand="1"/>
      </w:tblPr>
      <w:tblGrid>
        <w:gridCol w:w="1630"/>
        <w:gridCol w:w="1030"/>
        <w:gridCol w:w="674"/>
        <w:gridCol w:w="173"/>
        <w:gridCol w:w="985"/>
        <w:gridCol w:w="674"/>
        <w:gridCol w:w="603"/>
        <w:gridCol w:w="656"/>
        <w:gridCol w:w="1056"/>
        <w:gridCol w:w="869"/>
        <w:gridCol w:w="869"/>
      </w:tblGrid>
      <w:tr w:rsidR="00CB5C36" w:rsidRPr="00701F32" w14:paraId="437A1677" w14:textId="77777777" w:rsidTr="00263691">
        <w:trPr>
          <w:trHeight w:val="211"/>
        </w:trPr>
        <w:tc>
          <w:tcPr>
            <w:tcW w:w="9104" w:type="dxa"/>
            <w:gridSpan w:val="11"/>
            <w:tcBorders>
              <w:top w:val="single" w:sz="4" w:space="0" w:color="auto"/>
              <w:left w:val="single" w:sz="4" w:space="0" w:color="auto"/>
              <w:bottom w:val="nil"/>
              <w:right w:val="single" w:sz="4" w:space="0" w:color="auto"/>
            </w:tcBorders>
            <w:shd w:val="clear" w:color="auto" w:fill="auto"/>
            <w:noWrap/>
            <w:vAlign w:val="bottom"/>
          </w:tcPr>
          <w:p w14:paraId="5D488DF0" w14:textId="2003BAA2" w:rsidR="00CB5C36" w:rsidRPr="00701F32" w:rsidRDefault="00CB5C36" w:rsidP="00B57E77">
            <w:pPr>
              <w:ind w:left="-284" w:firstLine="284"/>
              <w:jc w:val="center"/>
              <w:rPr>
                <w:rFonts w:ascii="Arial" w:hAnsi="Arial" w:cs="Arial"/>
                <w:b/>
                <w:bCs/>
                <w:sz w:val="16"/>
                <w:szCs w:val="16"/>
                <w:lang w:eastAsia="es-AR"/>
              </w:rPr>
            </w:pPr>
            <w:r>
              <w:rPr>
                <w:rFonts w:ascii="Arial" w:hAnsi="Arial" w:cs="Arial"/>
                <w:b/>
                <w:bCs/>
                <w:sz w:val="16"/>
                <w:szCs w:val="16"/>
                <w:lang w:eastAsia="es-AR"/>
              </w:rPr>
              <w:t>31/12/201</w:t>
            </w:r>
            <w:r w:rsidR="00EB6617">
              <w:rPr>
                <w:rFonts w:ascii="Arial" w:hAnsi="Arial" w:cs="Arial"/>
                <w:b/>
                <w:bCs/>
                <w:sz w:val="16"/>
                <w:szCs w:val="16"/>
                <w:lang w:eastAsia="es-AR"/>
              </w:rPr>
              <w:t>8</w:t>
            </w:r>
          </w:p>
        </w:tc>
      </w:tr>
      <w:tr w:rsidR="00CB5C36" w:rsidRPr="00701F32" w14:paraId="44F61401" w14:textId="77777777" w:rsidTr="00263691">
        <w:trPr>
          <w:trHeight w:val="211"/>
        </w:trPr>
        <w:tc>
          <w:tcPr>
            <w:tcW w:w="1630" w:type="dxa"/>
            <w:tcBorders>
              <w:top w:val="single" w:sz="4" w:space="0" w:color="auto"/>
              <w:left w:val="single" w:sz="4" w:space="0" w:color="auto"/>
              <w:bottom w:val="nil"/>
              <w:right w:val="nil"/>
            </w:tcBorders>
            <w:shd w:val="clear" w:color="auto" w:fill="auto"/>
            <w:noWrap/>
            <w:vAlign w:val="bottom"/>
            <w:hideMark/>
          </w:tcPr>
          <w:p w14:paraId="3DBCAABF" w14:textId="77777777" w:rsidR="00CB5C36" w:rsidRPr="00701F32" w:rsidRDefault="00CB5C36" w:rsidP="00EB6617">
            <w:pPr>
              <w:rPr>
                <w:rFonts w:ascii="Arial" w:hAnsi="Arial" w:cs="Arial"/>
                <w:b/>
                <w:bCs/>
                <w:sz w:val="16"/>
                <w:szCs w:val="16"/>
                <w:lang w:eastAsia="es-AR"/>
              </w:rPr>
            </w:pPr>
            <w:r w:rsidRPr="00701F32">
              <w:rPr>
                <w:rFonts w:ascii="Arial" w:hAnsi="Arial" w:cs="Arial"/>
                <w:b/>
                <w:bCs/>
                <w:sz w:val="16"/>
                <w:szCs w:val="16"/>
                <w:lang w:eastAsia="es-AR"/>
              </w:rPr>
              <w:t> </w:t>
            </w:r>
          </w:p>
        </w:tc>
        <w:tc>
          <w:tcPr>
            <w:tcW w:w="915" w:type="dxa"/>
            <w:tcBorders>
              <w:top w:val="single" w:sz="4" w:space="0" w:color="auto"/>
              <w:left w:val="nil"/>
              <w:bottom w:val="single" w:sz="4" w:space="0" w:color="auto"/>
              <w:right w:val="nil"/>
            </w:tcBorders>
            <w:shd w:val="clear" w:color="auto" w:fill="auto"/>
            <w:noWrap/>
            <w:vAlign w:val="bottom"/>
            <w:hideMark/>
          </w:tcPr>
          <w:p w14:paraId="09EF4139"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Acciones</w:t>
            </w:r>
          </w:p>
        </w:tc>
        <w:tc>
          <w:tcPr>
            <w:tcW w:w="674" w:type="dxa"/>
            <w:tcBorders>
              <w:top w:val="single" w:sz="4" w:space="0" w:color="auto"/>
              <w:left w:val="nil"/>
              <w:bottom w:val="single" w:sz="4" w:space="0" w:color="auto"/>
              <w:right w:val="nil"/>
            </w:tcBorders>
            <w:shd w:val="clear" w:color="auto" w:fill="auto"/>
            <w:noWrap/>
            <w:vAlign w:val="bottom"/>
            <w:hideMark/>
          </w:tcPr>
          <w:p w14:paraId="3AA5E766" w14:textId="77777777" w:rsidR="00CB5C36" w:rsidRPr="00701F32" w:rsidRDefault="00CB5C36" w:rsidP="00EB6617">
            <w:pPr>
              <w:jc w:val="center"/>
              <w:rPr>
                <w:rFonts w:ascii="Arial" w:hAnsi="Arial" w:cs="Arial"/>
                <w:b/>
                <w:bCs/>
                <w:sz w:val="16"/>
                <w:szCs w:val="16"/>
                <w:lang w:eastAsia="es-AR"/>
              </w:rPr>
            </w:pPr>
          </w:p>
        </w:tc>
        <w:tc>
          <w:tcPr>
            <w:tcW w:w="173" w:type="dxa"/>
            <w:tcBorders>
              <w:top w:val="single" w:sz="4" w:space="0" w:color="auto"/>
              <w:left w:val="nil"/>
              <w:bottom w:val="nil"/>
              <w:right w:val="nil"/>
            </w:tcBorders>
            <w:shd w:val="clear" w:color="auto" w:fill="auto"/>
            <w:noWrap/>
            <w:vAlign w:val="bottom"/>
            <w:hideMark/>
          </w:tcPr>
          <w:p w14:paraId="09AAF6AB" w14:textId="77777777" w:rsidR="00CB5C36" w:rsidRPr="00701F32" w:rsidRDefault="00CB5C36" w:rsidP="00EB6617">
            <w:pPr>
              <w:jc w:val="center"/>
              <w:rPr>
                <w:rFonts w:ascii="Arial" w:hAnsi="Arial" w:cs="Arial"/>
                <w:b/>
                <w:bCs/>
                <w:sz w:val="16"/>
                <w:szCs w:val="16"/>
                <w:lang w:eastAsia="es-AR"/>
              </w:rPr>
            </w:pPr>
          </w:p>
        </w:tc>
        <w:tc>
          <w:tcPr>
            <w:tcW w:w="985" w:type="dxa"/>
            <w:tcBorders>
              <w:top w:val="single" w:sz="4" w:space="0" w:color="auto"/>
              <w:left w:val="nil"/>
              <w:bottom w:val="single" w:sz="4" w:space="0" w:color="auto"/>
              <w:right w:val="nil"/>
            </w:tcBorders>
            <w:shd w:val="clear" w:color="auto" w:fill="auto"/>
            <w:noWrap/>
            <w:vAlign w:val="bottom"/>
            <w:hideMark/>
          </w:tcPr>
          <w:p w14:paraId="7EC5C3F3" w14:textId="77777777" w:rsidR="00CB5C36" w:rsidRPr="00701F32" w:rsidRDefault="00CB5C36" w:rsidP="00EB6617">
            <w:pPr>
              <w:jc w:val="center"/>
              <w:rPr>
                <w:rFonts w:ascii="Arial" w:hAnsi="Arial" w:cs="Arial"/>
                <w:b/>
                <w:bCs/>
                <w:sz w:val="16"/>
                <w:szCs w:val="16"/>
                <w:lang w:eastAsia="es-AR"/>
              </w:rPr>
            </w:pPr>
          </w:p>
        </w:tc>
        <w:tc>
          <w:tcPr>
            <w:tcW w:w="674" w:type="dxa"/>
            <w:tcBorders>
              <w:top w:val="single" w:sz="4" w:space="0" w:color="auto"/>
              <w:left w:val="nil"/>
              <w:bottom w:val="single" w:sz="4" w:space="0" w:color="auto"/>
              <w:right w:val="nil"/>
            </w:tcBorders>
            <w:shd w:val="clear" w:color="auto" w:fill="auto"/>
            <w:noWrap/>
            <w:vAlign w:val="bottom"/>
            <w:hideMark/>
          </w:tcPr>
          <w:p w14:paraId="03FB4C93" w14:textId="77777777" w:rsidR="00CB5C36" w:rsidRPr="00701F32" w:rsidRDefault="00CB5C36" w:rsidP="00EB6617">
            <w:pPr>
              <w:jc w:val="center"/>
              <w:rPr>
                <w:rFonts w:ascii="Arial" w:hAnsi="Arial" w:cs="Arial"/>
                <w:b/>
                <w:bCs/>
                <w:sz w:val="16"/>
                <w:szCs w:val="16"/>
                <w:lang w:eastAsia="es-AR"/>
              </w:rPr>
            </w:pPr>
          </w:p>
        </w:tc>
        <w:tc>
          <w:tcPr>
            <w:tcW w:w="603" w:type="dxa"/>
            <w:tcBorders>
              <w:top w:val="single" w:sz="4" w:space="0" w:color="auto"/>
              <w:left w:val="nil"/>
              <w:bottom w:val="single" w:sz="4" w:space="0" w:color="auto"/>
              <w:right w:val="nil"/>
            </w:tcBorders>
            <w:shd w:val="clear" w:color="auto" w:fill="auto"/>
            <w:noWrap/>
            <w:vAlign w:val="bottom"/>
            <w:hideMark/>
          </w:tcPr>
          <w:p w14:paraId="5AB54A4A" w14:textId="77777777" w:rsidR="00CB5C36" w:rsidRPr="00701F32" w:rsidRDefault="00CB5C36" w:rsidP="00EB6617">
            <w:pPr>
              <w:jc w:val="center"/>
              <w:rPr>
                <w:rFonts w:ascii="Arial" w:hAnsi="Arial" w:cs="Arial"/>
                <w:b/>
                <w:bCs/>
                <w:sz w:val="16"/>
                <w:szCs w:val="16"/>
                <w:lang w:eastAsia="es-AR"/>
              </w:rPr>
            </w:pPr>
          </w:p>
        </w:tc>
        <w:tc>
          <w:tcPr>
            <w:tcW w:w="2581" w:type="dxa"/>
            <w:gridSpan w:val="3"/>
            <w:tcBorders>
              <w:top w:val="single" w:sz="4" w:space="0" w:color="auto"/>
              <w:left w:val="nil"/>
              <w:bottom w:val="single" w:sz="4" w:space="0" w:color="auto"/>
              <w:right w:val="nil"/>
            </w:tcBorders>
            <w:shd w:val="clear" w:color="auto" w:fill="auto"/>
            <w:noWrap/>
            <w:vAlign w:val="bottom"/>
            <w:hideMark/>
          </w:tcPr>
          <w:p w14:paraId="77EFDD22"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Capital Social</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480362E7" w14:textId="77777777" w:rsidR="00CB5C36" w:rsidRPr="00701F32" w:rsidRDefault="00CB5C36" w:rsidP="00EB6617">
            <w:pPr>
              <w:jc w:val="center"/>
              <w:rPr>
                <w:rFonts w:ascii="Arial" w:hAnsi="Arial" w:cs="Arial"/>
                <w:b/>
                <w:bCs/>
                <w:sz w:val="16"/>
                <w:szCs w:val="16"/>
                <w:lang w:eastAsia="es-AR"/>
              </w:rPr>
            </w:pPr>
          </w:p>
        </w:tc>
      </w:tr>
      <w:tr w:rsidR="00CB5C36" w:rsidRPr="00701F32" w14:paraId="6F6826AA" w14:textId="77777777" w:rsidTr="00263691">
        <w:trPr>
          <w:trHeight w:val="211"/>
        </w:trPr>
        <w:tc>
          <w:tcPr>
            <w:tcW w:w="1630" w:type="dxa"/>
            <w:tcBorders>
              <w:top w:val="nil"/>
              <w:left w:val="single" w:sz="4" w:space="0" w:color="auto"/>
              <w:bottom w:val="nil"/>
              <w:right w:val="nil"/>
            </w:tcBorders>
            <w:shd w:val="clear" w:color="auto" w:fill="auto"/>
            <w:noWrap/>
            <w:vAlign w:val="bottom"/>
            <w:hideMark/>
          </w:tcPr>
          <w:p w14:paraId="2F6A4D45" w14:textId="77777777" w:rsidR="00CB5C36" w:rsidRPr="00701F32" w:rsidRDefault="00CB5C36" w:rsidP="00EB6617">
            <w:pPr>
              <w:rPr>
                <w:rFonts w:ascii="Arial" w:hAnsi="Arial" w:cs="Arial"/>
                <w:b/>
                <w:bCs/>
                <w:sz w:val="16"/>
                <w:szCs w:val="16"/>
                <w:lang w:eastAsia="es-AR"/>
              </w:rPr>
            </w:pPr>
            <w:r w:rsidRPr="00701F32">
              <w:rPr>
                <w:rFonts w:ascii="Arial" w:hAnsi="Arial" w:cs="Arial"/>
                <w:b/>
                <w:bCs/>
                <w:sz w:val="16"/>
                <w:szCs w:val="16"/>
                <w:lang w:eastAsia="es-AR"/>
              </w:rPr>
              <w:t> </w:t>
            </w:r>
          </w:p>
        </w:tc>
        <w:tc>
          <w:tcPr>
            <w:tcW w:w="915" w:type="dxa"/>
            <w:tcBorders>
              <w:top w:val="nil"/>
              <w:left w:val="nil"/>
              <w:bottom w:val="nil"/>
              <w:right w:val="nil"/>
            </w:tcBorders>
            <w:shd w:val="clear" w:color="auto" w:fill="auto"/>
            <w:noWrap/>
            <w:vAlign w:val="bottom"/>
            <w:hideMark/>
          </w:tcPr>
          <w:p w14:paraId="1C2320EB" w14:textId="77777777" w:rsidR="00CB5C36" w:rsidRPr="00701F32" w:rsidRDefault="00CB5C36" w:rsidP="00EB6617">
            <w:pPr>
              <w:rPr>
                <w:rFonts w:ascii="Arial" w:hAnsi="Arial" w:cs="Arial"/>
                <w:b/>
                <w:bCs/>
                <w:sz w:val="16"/>
                <w:szCs w:val="16"/>
                <w:lang w:eastAsia="es-AR"/>
              </w:rPr>
            </w:pPr>
          </w:p>
        </w:tc>
        <w:tc>
          <w:tcPr>
            <w:tcW w:w="674" w:type="dxa"/>
            <w:tcBorders>
              <w:top w:val="nil"/>
              <w:left w:val="nil"/>
              <w:bottom w:val="nil"/>
              <w:right w:val="nil"/>
            </w:tcBorders>
            <w:shd w:val="clear" w:color="auto" w:fill="auto"/>
            <w:noWrap/>
            <w:vAlign w:val="bottom"/>
            <w:hideMark/>
          </w:tcPr>
          <w:p w14:paraId="0AB28A7A"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Votos</w:t>
            </w:r>
          </w:p>
        </w:tc>
        <w:tc>
          <w:tcPr>
            <w:tcW w:w="173" w:type="dxa"/>
            <w:tcBorders>
              <w:top w:val="nil"/>
              <w:left w:val="nil"/>
              <w:bottom w:val="nil"/>
              <w:right w:val="nil"/>
            </w:tcBorders>
            <w:shd w:val="clear" w:color="auto" w:fill="auto"/>
            <w:noWrap/>
            <w:vAlign w:val="bottom"/>
            <w:hideMark/>
          </w:tcPr>
          <w:p w14:paraId="7E771926" w14:textId="77777777" w:rsidR="00CB5C36" w:rsidRPr="00701F32" w:rsidRDefault="00CB5C36" w:rsidP="00EB6617">
            <w:pPr>
              <w:jc w:val="center"/>
              <w:rPr>
                <w:rFonts w:ascii="Arial" w:hAnsi="Arial" w:cs="Arial"/>
                <w:b/>
                <w:bCs/>
                <w:sz w:val="16"/>
                <w:szCs w:val="16"/>
                <w:lang w:eastAsia="es-AR"/>
              </w:rPr>
            </w:pPr>
          </w:p>
        </w:tc>
        <w:tc>
          <w:tcPr>
            <w:tcW w:w="2918" w:type="dxa"/>
            <w:gridSpan w:val="4"/>
            <w:tcBorders>
              <w:top w:val="single" w:sz="4" w:space="0" w:color="auto"/>
              <w:left w:val="nil"/>
              <w:bottom w:val="single" w:sz="4" w:space="0" w:color="auto"/>
              <w:right w:val="nil"/>
            </w:tcBorders>
            <w:shd w:val="clear" w:color="auto" w:fill="auto"/>
            <w:noWrap/>
            <w:vAlign w:val="bottom"/>
            <w:hideMark/>
          </w:tcPr>
          <w:p w14:paraId="3A0CB4CD"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 xml:space="preserve">Emitido </w:t>
            </w:r>
          </w:p>
        </w:tc>
        <w:tc>
          <w:tcPr>
            <w:tcW w:w="1056" w:type="dxa"/>
            <w:tcBorders>
              <w:top w:val="nil"/>
              <w:left w:val="nil"/>
              <w:bottom w:val="nil"/>
              <w:right w:val="nil"/>
            </w:tcBorders>
            <w:shd w:val="clear" w:color="auto" w:fill="auto"/>
            <w:noWrap/>
            <w:vAlign w:val="bottom"/>
            <w:hideMark/>
          </w:tcPr>
          <w:p w14:paraId="1480E8D4"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Pendiente</w:t>
            </w:r>
          </w:p>
        </w:tc>
        <w:tc>
          <w:tcPr>
            <w:tcW w:w="869" w:type="dxa"/>
            <w:tcBorders>
              <w:top w:val="nil"/>
              <w:left w:val="nil"/>
              <w:bottom w:val="nil"/>
              <w:right w:val="nil"/>
            </w:tcBorders>
            <w:shd w:val="clear" w:color="auto" w:fill="auto"/>
            <w:noWrap/>
            <w:vAlign w:val="bottom"/>
            <w:hideMark/>
          </w:tcPr>
          <w:p w14:paraId="3070C404" w14:textId="77777777" w:rsidR="00CB5C36" w:rsidRPr="00701F32" w:rsidRDefault="00CB5C36" w:rsidP="00EB6617">
            <w:pPr>
              <w:jc w:val="center"/>
              <w:rPr>
                <w:rFonts w:ascii="Arial" w:hAnsi="Arial" w:cs="Arial"/>
                <w:b/>
                <w:bCs/>
                <w:sz w:val="16"/>
                <w:szCs w:val="16"/>
                <w:lang w:eastAsia="es-AR"/>
              </w:rPr>
            </w:pPr>
          </w:p>
        </w:tc>
        <w:tc>
          <w:tcPr>
            <w:tcW w:w="869" w:type="dxa"/>
            <w:tcBorders>
              <w:top w:val="nil"/>
              <w:left w:val="nil"/>
              <w:bottom w:val="nil"/>
              <w:right w:val="single" w:sz="4" w:space="0" w:color="auto"/>
            </w:tcBorders>
            <w:shd w:val="clear" w:color="auto" w:fill="auto"/>
            <w:noWrap/>
            <w:vAlign w:val="bottom"/>
            <w:hideMark/>
          </w:tcPr>
          <w:p w14:paraId="711C8D5D" w14:textId="77777777" w:rsidR="00CB5C36" w:rsidRPr="00701F32" w:rsidRDefault="00CB5C36" w:rsidP="00EB6617">
            <w:pPr>
              <w:rPr>
                <w:rFonts w:ascii="Arial" w:hAnsi="Arial" w:cs="Arial"/>
                <w:b/>
                <w:bCs/>
                <w:sz w:val="16"/>
                <w:szCs w:val="16"/>
                <w:lang w:eastAsia="es-AR"/>
              </w:rPr>
            </w:pPr>
            <w:r w:rsidRPr="00701F32">
              <w:rPr>
                <w:rFonts w:ascii="Arial" w:hAnsi="Arial" w:cs="Arial"/>
                <w:b/>
                <w:bCs/>
                <w:sz w:val="16"/>
                <w:szCs w:val="16"/>
                <w:lang w:eastAsia="es-AR"/>
              </w:rPr>
              <w:t> </w:t>
            </w:r>
          </w:p>
        </w:tc>
      </w:tr>
      <w:tr w:rsidR="00CB5C36" w:rsidRPr="00701F32" w14:paraId="04F4EA90" w14:textId="77777777" w:rsidTr="00263691">
        <w:trPr>
          <w:trHeight w:val="211"/>
        </w:trPr>
        <w:tc>
          <w:tcPr>
            <w:tcW w:w="1630" w:type="dxa"/>
            <w:tcBorders>
              <w:top w:val="nil"/>
              <w:left w:val="single" w:sz="4" w:space="0" w:color="auto"/>
              <w:bottom w:val="nil"/>
              <w:right w:val="nil"/>
            </w:tcBorders>
            <w:shd w:val="clear" w:color="auto" w:fill="auto"/>
            <w:noWrap/>
            <w:vAlign w:val="bottom"/>
            <w:hideMark/>
          </w:tcPr>
          <w:p w14:paraId="09A02798"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Clase</w:t>
            </w:r>
          </w:p>
        </w:tc>
        <w:tc>
          <w:tcPr>
            <w:tcW w:w="915" w:type="dxa"/>
            <w:tcBorders>
              <w:top w:val="nil"/>
              <w:left w:val="nil"/>
              <w:bottom w:val="nil"/>
              <w:right w:val="nil"/>
            </w:tcBorders>
            <w:shd w:val="clear" w:color="auto" w:fill="auto"/>
            <w:noWrap/>
            <w:vAlign w:val="bottom"/>
            <w:hideMark/>
          </w:tcPr>
          <w:p w14:paraId="601BB1FB"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Cantidad</w:t>
            </w:r>
          </w:p>
        </w:tc>
        <w:tc>
          <w:tcPr>
            <w:tcW w:w="674" w:type="dxa"/>
            <w:tcBorders>
              <w:top w:val="nil"/>
              <w:left w:val="nil"/>
              <w:bottom w:val="nil"/>
              <w:right w:val="nil"/>
            </w:tcBorders>
            <w:shd w:val="clear" w:color="auto" w:fill="auto"/>
            <w:noWrap/>
            <w:vAlign w:val="bottom"/>
            <w:hideMark/>
          </w:tcPr>
          <w:p w14:paraId="2187DA21"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por</w:t>
            </w:r>
          </w:p>
        </w:tc>
        <w:tc>
          <w:tcPr>
            <w:tcW w:w="173" w:type="dxa"/>
            <w:tcBorders>
              <w:top w:val="nil"/>
              <w:left w:val="nil"/>
              <w:bottom w:val="nil"/>
              <w:right w:val="nil"/>
            </w:tcBorders>
            <w:shd w:val="clear" w:color="auto" w:fill="auto"/>
            <w:noWrap/>
            <w:vAlign w:val="bottom"/>
            <w:hideMark/>
          </w:tcPr>
          <w:p w14:paraId="73C7E5B3" w14:textId="77777777" w:rsidR="00CB5C36" w:rsidRPr="00701F32" w:rsidRDefault="00CB5C36" w:rsidP="00EB6617">
            <w:pPr>
              <w:jc w:val="center"/>
              <w:rPr>
                <w:rFonts w:ascii="Arial" w:hAnsi="Arial" w:cs="Arial"/>
                <w:b/>
                <w:bCs/>
                <w:sz w:val="16"/>
                <w:szCs w:val="16"/>
                <w:lang w:eastAsia="es-AR"/>
              </w:rPr>
            </w:pPr>
          </w:p>
        </w:tc>
        <w:tc>
          <w:tcPr>
            <w:tcW w:w="985" w:type="dxa"/>
            <w:tcBorders>
              <w:top w:val="nil"/>
              <w:left w:val="nil"/>
              <w:bottom w:val="nil"/>
              <w:right w:val="nil"/>
            </w:tcBorders>
            <w:shd w:val="clear" w:color="auto" w:fill="auto"/>
            <w:noWrap/>
            <w:vAlign w:val="bottom"/>
            <w:hideMark/>
          </w:tcPr>
          <w:p w14:paraId="56C3E954"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En</w:t>
            </w:r>
          </w:p>
        </w:tc>
        <w:tc>
          <w:tcPr>
            <w:tcW w:w="674" w:type="dxa"/>
            <w:tcBorders>
              <w:top w:val="nil"/>
              <w:left w:val="nil"/>
              <w:bottom w:val="nil"/>
              <w:right w:val="nil"/>
            </w:tcBorders>
            <w:shd w:val="clear" w:color="auto" w:fill="auto"/>
            <w:noWrap/>
            <w:vAlign w:val="bottom"/>
            <w:hideMark/>
          </w:tcPr>
          <w:p w14:paraId="34DB2B89"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En cartera</w:t>
            </w:r>
          </w:p>
        </w:tc>
        <w:tc>
          <w:tcPr>
            <w:tcW w:w="1259" w:type="dxa"/>
            <w:gridSpan w:val="2"/>
            <w:tcBorders>
              <w:top w:val="single" w:sz="4" w:space="0" w:color="auto"/>
              <w:left w:val="nil"/>
              <w:bottom w:val="nil"/>
              <w:right w:val="nil"/>
            </w:tcBorders>
            <w:shd w:val="clear" w:color="auto" w:fill="auto"/>
            <w:noWrap/>
            <w:vAlign w:val="bottom"/>
            <w:hideMark/>
          </w:tcPr>
          <w:p w14:paraId="5721EF73"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Adquisición</w:t>
            </w:r>
          </w:p>
        </w:tc>
        <w:tc>
          <w:tcPr>
            <w:tcW w:w="1056" w:type="dxa"/>
            <w:tcBorders>
              <w:top w:val="nil"/>
              <w:left w:val="nil"/>
              <w:bottom w:val="nil"/>
              <w:right w:val="nil"/>
            </w:tcBorders>
            <w:shd w:val="clear" w:color="auto" w:fill="auto"/>
            <w:noWrap/>
            <w:vAlign w:val="bottom"/>
            <w:hideMark/>
          </w:tcPr>
          <w:p w14:paraId="4BEBEFF5"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 xml:space="preserve">de emisión </w:t>
            </w:r>
          </w:p>
        </w:tc>
        <w:tc>
          <w:tcPr>
            <w:tcW w:w="869" w:type="dxa"/>
            <w:tcBorders>
              <w:top w:val="nil"/>
              <w:left w:val="nil"/>
              <w:bottom w:val="nil"/>
              <w:right w:val="nil"/>
            </w:tcBorders>
            <w:shd w:val="clear" w:color="auto" w:fill="auto"/>
            <w:noWrap/>
            <w:vAlign w:val="bottom"/>
            <w:hideMark/>
          </w:tcPr>
          <w:p w14:paraId="35617A66"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Asignado</w:t>
            </w:r>
          </w:p>
        </w:tc>
        <w:tc>
          <w:tcPr>
            <w:tcW w:w="869" w:type="dxa"/>
            <w:tcBorders>
              <w:top w:val="nil"/>
              <w:left w:val="nil"/>
              <w:bottom w:val="nil"/>
              <w:right w:val="single" w:sz="4" w:space="0" w:color="auto"/>
            </w:tcBorders>
            <w:shd w:val="clear" w:color="auto" w:fill="auto"/>
            <w:noWrap/>
            <w:vAlign w:val="bottom"/>
            <w:hideMark/>
          </w:tcPr>
          <w:p w14:paraId="77A16036"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Integrado</w:t>
            </w:r>
          </w:p>
        </w:tc>
      </w:tr>
      <w:tr w:rsidR="00CB5C36" w:rsidRPr="00701F32" w14:paraId="39A9692B" w14:textId="77777777" w:rsidTr="00263691">
        <w:trPr>
          <w:trHeight w:val="211"/>
        </w:trPr>
        <w:tc>
          <w:tcPr>
            <w:tcW w:w="1630" w:type="dxa"/>
            <w:tcBorders>
              <w:top w:val="nil"/>
              <w:left w:val="single" w:sz="4" w:space="0" w:color="auto"/>
              <w:bottom w:val="single" w:sz="4" w:space="0" w:color="auto"/>
              <w:right w:val="nil"/>
            </w:tcBorders>
            <w:shd w:val="clear" w:color="auto" w:fill="auto"/>
            <w:noWrap/>
            <w:vAlign w:val="bottom"/>
            <w:hideMark/>
          </w:tcPr>
          <w:p w14:paraId="42D73C00"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 </w:t>
            </w:r>
          </w:p>
        </w:tc>
        <w:tc>
          <w:tcPr>
            <w:tcW w:w="915" w:type="dxa"/>
            <w:tcBorders>
              <w:top w:val="nil"/>
              <w:left w:val="nil"/>
              <w:bottom w:val="single" w:sz="4" w:space="0" w:color="auto"/>
              <w:right w:val="nil"/>
            </w:tcBorders>
            <w:shd w:val="clear" w:color="auto" w:fill="auto"/>
            <w:noWrap/>
            <w:vAlign w:val="bottom"/>
            <w:hideMark/>
          </w:tcPr>
          <w:p w14:paraId="5625B3D9"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 </w:t>
            </w:r>
          </w:p>
        </w:tc>
        <w:tc>
          <w:tcPr>
            <w:tcW w:w="674" w:type="dxa"/>
            <w:tcBorders>
              <w:top w:val="nil"/>
              <w:left w:val="nil"/>
              <w:bottom w:val="single" w:sz="4" w:space="0" w:color="auto"/>
              <w:right w:val="nil"/>
            </w:tcBorders>
            <w:shd w:val="clear" w:color="auto" w:fill="auto"/>
            <w:noWrap/>
            <w:vAlign w:val="bottom"/>
            <w:hideMark/>
          </w:tcPr>
          <w:p w14:paraId="7F718297"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acción</w:t>
            </w:r>
          </w:p>
        </w:tc>
        <w:tc>
          <w:tcPr>
            <w:tcW w:w="173" w:type="dxa"/>
            <w:tcBorders>
              <w:top w:val="nil"/>
              <w:left w:val="nil"/>
              <w:bottom w:val="nil"/>
              <w:right w:val="nil"/>
            </w:tcBorders>
            <w:shd w:val="clear" w:color="auto" w:fill="auto"/>
            <w:noWrap/>
            <w:vAlign w:val="bottom"/>
            <w:hideMark/>
          </w:tcPr>
          <w:p w14:paraId="40ABD73D" w14:textId="77777777" w:rsidR="00CB5C36" w:rsidRPr="00701F32" w:rsidRDefault="00CB5C36" w:rsidP="00EB6617">
            <w:pPr>
              <w:jc w:val="center"/>
              <w:rPr>
                <w:rFonts w:ascii="Arial" w:hAnsi="Arial" w:cs="Arial"/>
                <w:b/>
                <w:bCs/>
                <w:sz w:val="16"/>
                <w:szCs w:val="16"/>
                <w:lang w:eastAsia="es-AR"/>
              </w:rPr>
            </w:pPr>
          </w:p>
        </w:tc>
        <w:tc>
          <w:tcPr>
            <w:tcW w:w="985" w:type="dxa"/>
            <w:tcBorders>
              <w:top w:val="nil"/>
              <w:left w:val="nil"/>
              <w:bottom w:val="single" w:sz="4" w:space="0" w:color="auto"/>
              <w:right w:val="nil"/>
            </w:tcBorders>
            <w:shd w:val="clear" w:color="auto" w:fill="auto"/>
            <w:noWrap/>
            <w:vAlign w:val="bottom"/>
            <w:hideMark/>
          </w:tcPr>
          <w:p w14:paraId="1B6D06B8"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 xml:space="preserve">circulación </w:t>
            </w:r>
          </w:p>
        </w:tc>
        <w:tc>
          <w:tcPr>
            <w:tcW w:w="674" w:type="dxa"/>
            <w:tcBorders>
              <w:top w:val="nil"/>
              <w:left w:val="nil"/>
              <w:bottom w:val="single" w:sz="4" w:space="0" w:color="auto"/>
              <w:right w:val="nil"/>
            </w:tcBorders>
            <w:shd w:val="clear" w:color="auto" w:fill="auto"/>
            <w:noWrap/>
            <w:vAlign w:val="bottom"/>
            <w:hideMark/>
          </w:tcPr>
          <w:p w14:paraId="40A7863A"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 </w:t>
            </w:r>
          </w:p>
        </w:tc>
        <w:tc>
          <w:tcPr>
            <w:tcW w:w="603" w:type="dxa"/>
            <w:tcBorders>
              <w:top w:val="nil"/>
              <w:left w:val="nil"/>
              <w:bottom w:val="single" w:sz="4" w:space="0" w:color="auto"/>
              <w:right w:val="nil"/>
            </w:tcBorders>
            <w:shd w:val="clear" w:color="auto" w:fill="auto"/>
            <w:noWrap/>
            <w:vAlign w:val="bottom"/>
            <w:hideMark/>
          </w:tcPr>
          <w:p w14:paraId="75D5408D"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Fecha</w:t>
            </w:r>
          </w:p>
        </w:tc>
        <w:tc>
          <w:tcPr>
            <w:tcW w:w="656" w:type="dxa"/>
            <w:tcBorders>
              <w:top w:val="nil"/>
              <w:left w:val="nil"/>
              <w:bottom w:val="single" w:sz="4" w:space="0" w:color="auto"/>
              <w:right w:val="nil"/>
            </w:tcBorders>
            <w:shd w:val="clear" w:color="auto" w:fill="auto"/>
            <w:noWrap/>
            <w:vAlign w:val="bottom"/>
            <w:hideMark/>
          </w:tcPr>
          <w:p w14:paraId="111A4721" w14:textId="77777777" w:rsidR="00CB5C36" w:rsidRPr="00701F32" w:rsidRDefault="00CB5C36" w:rsidP="00EB6617">
            <w:pPr>
              <w:rPr>
                <w:rFonts w:ascii="Arial" w:hAnsi="Arial" w:cs="Arial"/>
                <w:b/>
                <w:bCs/>
                <w:sz w:val="16"/>
                <w:szCs w:val="16"/>
                <w:lang w:eastAsia="es-AR"/>
              </w:rPr>
            </w:pPr>
            <w:r w:rsidRPr="00701F32">
              <w:rPr>
                <w:rFonts w:ascii="Arial" w:hAnsi="Arial" w:cs="Arial"/>
                <w:b/>
                <w:bCs/>
                <w:sz w:val="16"/>
                <w:szCs w:val="16"/>
                <w:lang w:eastAsia="es-AR"/>
              </w:rPr>
              <w:t>Motivo</w:t>
            </w:r>
          </w:p>
        </w:tc>
        <w:tc>
          <w:tcPr>
            <w:tcW w:w="1056" w:type="dxa"/>
            <w:tcBorders>
              <w:top w:val="nil"/>
              <w:left w:val="nil"/>
              <w:bottom w:val="single" w:sz="4" w:space="0" w:color="auto"/>
              <w:right w:val="nil"/>
            </w:tcBorders>
            <w:shd w:val="clear" w:color="auto" w:fill="auto"/>
            <w:noWrap/>
            <w:vAlign w:val="bottom"/>
            <w:hideMark/>
          </w:tcPr>
          <w:p w14:paraId="382771AA"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o distribución</w:t>
            </w:r>
          </w:p>
        </w:tc>
        <w:tc>
          <w:tcPr>
            <w:tcW w:w="869" w:type="dxa"/>
            <w:tcBorders>
              <w:top w:val="nil"/>
              <w:left w:val="nil"/>
              <w:bottom w:val="single" w:sz="4" w:space="0" w:color="auto"/>
              <w:right w:val="nil"/>
            </w:tcBorders>
            <w:shd w:val="clear" w:color="auto" w:fill="auto"/>
            <w:noWrap/>
            <w:vAlign w:val="bottom"/>
            <w:hideMark/>
          </w:tcPr>
          <w:p w14:paraId="5C4054D5"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 </w:t>
            </w:r>
          </w:p>
        </w:tc>
        <w:tc>
          <w:tcPr>
            <w:tcW w:w="869" w:type="dxa"/>
            <w:tcBorders>
              <w:top w:val="nil"/>
              <w:left w:val="nil"/>
              <w:bottom w:val="single" w:sz="4" w:space="0" w:color="auto"/>
              <w:right w:val="single" w:sz="4" w:space="0" w:color="auto"/>
            </w:tcBorders>
            <w:shd w:val="clear" w:color="auto" w:fill="auto"/>
            <w:noWrap/>
            <w:vAlign w:val="bottom"/>
            <w:hideMark/>
          </w:tcPr>
          <w:p w14:paraId="2B03538F" w14:textId="77777777" w:rsidR="00CB5C36" w:rsidRPr="00701F32" w:rsidRDefault="00CB5C36" w:rsidP="00EB6617">
            <w:pPr>
              <w:jc w:val="center"/>
              <w:rPr>
                <w:rFonts w:ascii="Arial" w:hAnsi="Arial" w:cs="Arial"/>
                <w:b/>
                <w:bCs/>
                <w:sz w:val="16"/>
                <w:szCs w:val="16"/>
                <w:lang w:eastAsia="es-AR"/>
              </w:rPr>
            </w:pPr>
            <w:r w:rsidRPr="00701F32">
              <w:rPr>
                <w:rFonts w:ascii="Arial" w:hAnsi="Arial" w:cs="Arial"/>
                <w:b/>
                <w:bCs/>
                <w:sz w:val="16"/>
                <w:szCs w:val="16"/>
                <w:lang w:eastAsia="es-AR"/>
              </w:rPr>
              <w:t> </w:t>
            </w:r>
          </w:p>
        </w:tc>
      </w:tr>
      <w:tr w:rsidR="00CB5C36" w:rsidRPr="00701F32" w14:paraId="4A7D0ADA" w14:textId="77777777" w:rsidTr="00263691">
        <w:trPr>
          <w:trHeight w:val="211"/>
        </w:trPr>
        <w:tc>
          <w:tcPr>
            <w:tcW w:w="1630" w:type="dxa"/>
            <w:tcBorders>
              <w:top w:val="nil"/>
              <w:left w:val="single" w:sz="4" w:space="0" w:color="auto"/>
              <w:bottom w:val="nil"/>
              <w:right w:val="nil"/>
            </w:tcBorders>
            <w:shd w:val="clear" w:color="auto" w:fill="auto"/>
            <w:noWrap/>
            <w:vAlign w:val="bottom"/>
            <w:hideMark/>
          </w:tcPr>
          <w:p w14:paraId="333476C1" w14:textId="77777777" w:rsidR="00CB5C36" w:rsidRPr="00701F32" w:rsidRDefault="00CB5C36" w:rsidP="00EB6617">
            <w:pPr>
              <w:rPr>
                <w:rFonts w:ascii="Arial" w:hAnsi="Arial" w:cs="Arial"/>
                <w:sz w:val="16"/>
                <w:szCs w:val="16"/>
                <w:lang w:eastAsia="es-AR"/>
              </w:rPr>
            </w:pPr>
            <w:r w:rsidRPr="00701F32">
              <w:rPr>
                <w:rFonts w:ascii="Arial" w:hAnsi="Arial" w:cs="Arial"/>
                <w:sz w:val="16"/>
                <w:szCs w:val="16"/>
                <w:lang w:eastAsia="es-AR"/>
              </w:rPr>
              <w:t> </w:t>
            </w:r>
          </w:p>
        </w:tc>
        <w:tc>
          <w:tcPr>
            <w:tcW w:w="915" w:type="dxa"/>
            <w:tcBorders>
              <w:top w:val="nil"/>
              <w:left w:val="nil"/>
              <w:bottom w:val="nil"/>
              <w:right w:val="nil"/>
            </w:tcBorders>
            <w:shd w:val="clear" w:color="auto" w:fill="auto"/>
            <w:noWrap/>
            <w:vAlign w:val="center"/>
            <w:hideMark/>
          </w:tcPr>
          <w:p w14:paraId="7EBCA5AC" w14:textId="77777777" w:rsidR="00CB5C36" w:rsidRPr="00701F32" w:rsidRDefault="00CB5C36" w:rsidP="00EB6617">
            <w:pPr>
              <w:jc w:val="right"/>
              <w:rPr>
                <w:rFonts w:ascii="Arial" w:hAnsi="Arial" w:cs="Arial"/>
                <w:sz w:val="16"/>
                <w:szCs w:val="16"/>
                <w:lang w:eastAsia="es-AR"/>
              </w:rPr>
            </w:pPr>
          </w:p>
        </w:tc>
        <w:tc>
          <w:tcPr>
            <w:tcW w:w="674" w:type="dxa"/>
            <w:tcBorders>
              <w:top w:val="nil"/>
              <w:left w:val="nil"/>
              <w:bottom w:val="nil"/>
              <w:right w:val="nil"/>
            </w:tcBorders>
            <w:shd w:val="clear" w:color="auto" w:fill="auto"/>
            <w:noWrap/>
            <w:vAlign w:val="bottom"/>
            <w:hideMark/>
          </w:tcPr>
          <w:p w14:paraId="262CB657" w14:textId="77777777" w:rsidR="00CB5C36" w:rsidRPr="00701F32" w:rsidRDefault="00CB5C36" w:rsidP="00EB6617">
            <w:pPr>
              <w:rPr>
                <w:sz w:val="20"/>
                <w:lang w:eastAsia="es-AR"/>
              </w:rPr>
            </w:pPr>
          </w:p>
        </w:tc>
        <w:tc>
          <w:tcPr>
            <w:tcW w:w="173" w:type="dxa"/>
            <w:tcBorders>
              <w:top w:val="nil"/>
              <w:left w:val="nil"/>
              <w:bottom w:val="nil"/>
              <w:right w:val="nil"/>
            </w:tcBorders>
            <w:shd w:val="clear" w:color="auto" w:fill="auto"/>
            <w:noWrap/>
            <w:vAlign w:val="bottom"/>
            <w:hideMark/>
          </w:tcPr>
          <w:p w14:paraId="1C5BEF04" w14:textId="77777777" w:rsidR="00CB5C36" w:rsidRPr="00701F32" w:rsidRDefault="00CB5C36" w:rsidP="00EB6617">
            <w:pPr>
              <w:rPr>
                <w:sz w:val="20"/>
                <w:lang w:eastAsia="es-AR"/>
              </w:rPr>
            </w:pPr>
          </w:p>
        </w:tc>
        <w:tc>
          <w:tcPr>
            <w:tcW w:w="985" w:type="dxa"/>
            <w:tcBorders>
              <w:top w:val="nil"/>
              <w:left w:val="nil"/>
              <w:bottom w:val="nil"/>
              <w:right w:val="nil"/>
            </w:tcBorders>
            <w:shd w:val="clear" w:color="auto" w:fill="auto"/>
            <w:noWrap/>
            <w:vAlign w:val="bottom"/>
            <w:hideMark/>
          </w:tcPr>
          <w:p w14:paraId="0DED23E7" w14:textId="77777777" w:rsidR="00CB5C36" w:rsidRPr="00701F32" w:rsidRDefault="00CB5C36" w:rsidP="00EB6617">
            <w:pPr>
              <w:jc w:val="right"/>
              <w:rPr>
                <w:sz w:val="20"/>
                <w:lang w:eastAsia="es-AR"/>
              </w:rPr>
            </w:pPr>
          </w:p>
        </w:tc>
        <w:tc>
          <w:tcPr>
            <w:tcW w:w="674" w:type="dxa"/>
            <w:tcBorders>
              <w:top w:val="nil"/>
              <w:left w:val="nil"/>
              <w:bottom w:val="nil"/>
              <w:right w:val="nil"/>
            </w:tcBorders>
            <w:shd w:val="clear" w:color="auto" w:fill="auto"/>
            <w:noWrap/>
            <w:vAlign w:val="bottom"/>
            <w:hideMark/>
          </w:tcPr>
          <w:p w14:paraId="5D871847" w14:textId="77777777" w:rsidR="00CB5C36" w:rsidRPr="00701F32" w:rsidRDefault="00CB5C36" w:rsidP="00EB6617">
            <w:pPr>
              <w:jc w:val="right"/>
              <w:rPr>
                <w:sz w:val="20"/>
                <w:lang w:eastAsia="es-AR"/>
              </w:rPr>
            </w:pPr>
          </w:p>
        </w:tc>
        <w:tc>
          <w:tcPr>
            <w:tcW w:w="603" w:type="dxa"/>
            <w:tcBorders>
              <w:top w:val="nil"/>
              <w:left w:val="nil"/>
              <w:bottom w:val="nil"/>
              <w:right w:val="nil"/>
            </w:tcBorders>
            <w:shd w:val="clear" w:color="auto" w:fill="auto"/>
            <w:noWrap/>
            <w:vAlign w:val="bottom"/>
            <w:hideMark/>
          </w:tcPr>
          <w:p w14:paraId="22BB40F3" w14:textId="77777777" w:rsidR="00CB5C36" w:rsidRPr="00701F32" w:rsidRDefault="00CB5C36" w:rsidP="00EB6617">
            <w:pPr>
              <w:jc w:val="right"/>
              <w:rPr>
                <w:sz w:val="20"/>
                <w:lang w:eastAsia="es-AR"/>
              </w:rPr>
            </w:pPr>
          </w:p>
        </w:tc>
        <w:tc>
          <w:tcPr>
            <w:tcW w:w="656" w:type="dxa"/>
            <w:tcBorders>
              <w:top w:val="nil"/>
              <w:left w:val="nil"/>
              <w:bottom w:val="nil"/>
              <w:right w:val="nil"/>
            </w:tcBorders>
            <w:shd w:val="clear" w:color="auto" w:fill="auto"/>
            <w:noWrap/>
            <w:vAlign w:val="bottom"/>
            <w:hideMark/>
          </w:tcPr>
          <w:p w14:paraId="04B76600" w14:textId="77777777" w:rsidR="00CB5C36" w:rsidRPr="00701F32" w:rsidRDefault="00CB5C36" w:rsidP="00EB6617">
            <w:pPr>
              <w:jc w:val="right"/>
              <w:rPr>
                <w:sz w:val="20"/>
                <w:lang w:eastAsia="es-AR"/>
              </w:rPr>
            </w:pPr>
          </w:p>
        </w:tc>
        <w:tc>
          <w:tcPr>
            <w:tcW w:w="1056" w:type="dxa"/>
            <w:tcBorders>
              <w:top w:val="nil"/>
              <w:left w:val="nil"/>
              <w:bottom w:val="nil"/>
              <w:right w:val="nil"/>
            </w:tcBorders>
            <w:shd w:val="clear" w:color="auto" w:fill="auto"/>
            <w:noWrap/>
            <w:vAlign w:val="bottom"/>
            <w:hideMark/>
          </w:tcPr>
          <w:p w14:paraId="0AD0B890" w14:textId="77777777" w:rsidR="00CB5C36" w:rsidRPr="00701F32" w:rsidRDefault="00CB5C36" w:rsidP="00EB6617">
            <w:pPr>
              <w:jc w:val="right"/>
              <w:rPr>
                <w:sz w:val="20"/>
                <w:lang w:eastAsia="es-AR"/>
              </w:rPr>
            </w:pPr>
          </w:p>
        </w:tc>
        <w:tc>
          <w:tcPr>
            <w:tcW w:w="869" w:type="dxa"/>
            <w:tcBorders>
              <w:top w:val="nil"/>
              <w:left w:val="nil"/>
              <w:bottom w:val="nil"/>
              <w:right w:val="nil"/>
            </w:tcBorders>
            <w:shd w:val="clear" w:color="auto" w:fill="auto"/>
            <w:noWrap/>
            <w:vAlign w:val="bottom"/>
            <w:hideMark/>
          </w:tcPr>
          <w:p w14:paraId="04452663" w14:textId="77777777" w:rsidR="00CB5C36" w:rsidRPr="00701F32" w:rsidRDefault="00CB5C36" w:rsidP="00EB6617">
            <w:pPr>
              <w:jc w:val="right"/>
              <w:rPr>
                <w:sz w:val="20"/>
                <w:lang w:eastAsia="es-AR"/>
              </w:rPr>
            </w:pPr>
          </w:p>
        </w:tc>
        <w:tc>
          <w:tcPr>
            <w:tcW w:w="869" w:type="dxa"/>
            <w:tcBorders>
              <w:top w:val="nil"/>
              <w:left w:val="nil"/>
              <w:bottom w:val="nil"/>
              <w:right w:val="single" w:sz="4" w:space="0" w:color="auto"/>
            </w:tcBorders>
            <w:shd w:val="clear" w:color="auto" w:fill="auto"/>
            <w:noWrap/>
            <w:vAlign w:val="bottom"/>
            <w:hideMark/>
          </w:tcPr>
          <w:p w14:paraId="6BDE4EAC" w14:textId="77777777" w:rsidR="00CB5C36" w:rsidRPr="00701F32" w:rsidRDefault="00CB5C36" w:rsidP="00EB6617">
            <w:pPr>
              <w:jc w:val="right"/>
              <w:rPr>
                <w:rFonts w:ascii="Arial" w:hAnsi="Arial" w:cs="Arial"/>
                <w:sz w:val="16"/>
                <w:szCs w:val="16"/>
                <w:lang w:eastAsia="es-AR"/>
              </w:rPr>
            </w:pPr>
          </w:p>
        </w:tc>
      </w:tr>
      <w:tr w:rsidR="00CB5C36" w:rsidRPr="00701F32" w14:paraId="24BD2AA8" w14:textId="77777777" w:rsidTr="006F00ED">
        <w:trPr>
          <w:trHeight w:val="235"/>
        </w:trPr>
        <w:tc>
          <w:tcPr>
            <w:tcW w:w="1630" w:type="dxa"/>
            <w:tcBorders>
              <w:top w:val="nil"/>
              <w:left w:val="single" w:sz="4" w:space="0" w:color="auto"/>
              <w:bottom w:val="nil"/>
              <w:right w:val="nil"/>
            </w:tcBorders>
            <w:shd w:val="clear" w:color="auto" w:fill="auto"/>
            <w:noWrap/>
            <w:vAlign w:val="bottom"/>
            <w:hideMark/>
          </w:tcPr>
          <w:p w14:paraId="3A163C77" w14:textId="2D270274" w:rsidR="00CB5C36" w:rsidRPr="00701F32" w:rsidRDefault="00CB5C36" w:rsidP="00EB6617">
            <w:pPr>
              <w:rPr>
                <w:rFonts w:ascii="Arial" w:hAnsi="Arial" w:cs="Arial"/>
                <w:sz w:val="16"/>
                <w:szCs w:val="16"/>
                <w:lang w:eastAsia="es-AR"/>
              </w:rPr>
            </w:pPr>
            <w:r w:rsidRPr="00701F32">
              <w:rPr>
                <w:rFonts w:ascii="Arial" w:hAnsi="Arial" w:cs="Arial"/>
                <w:sz w:val="16"/>
                <w:szCs w:val="16"/>
                <w:lang w:eastAsia="es-AR"/>
              </w:rPr>
              <w:t>Ordinarias escriturales clase A</w:t>
            </w:r>
          </w:p>
        </w:tc>
        <w:tc>
          <w:tcPr>
            <w:tcW w:w="915" w:type="dxa"/>
            <w:tcBorders>
              <w:top w:val="nil"/>
              <w:left w:val="nil"/>
              <w:bottom w:val="nil"/>
              <w:right w:val="nil"/>
            </w:tcBorders>
            <w:shd w:val="clear" w:color="auto" w:fill="auto"/>
            <w:noWrap/>
            <w:vAlign w:val="center"/>
          </w:tcPr>
          <w:p w14:paraId="021A70F5" w14:textId="2FEFAD37" w:rsidR="00CB5C36" w:rsidRPr="00701F32" w:rsidRDefault="001F76F8" w:rsidP="00EB6617">
            <w:pPr>
              <w:jc w:val="right"/>
              <w:rPr>
                <w:rFonts w:ascii="Arial" w:hAnsi="Arial" w:cs="Arial"/>
                <w:sz w:val="16"/>
                <w:szCs w:val="16"/>
                <w:lang w:eastAsia="es-AR"/>
              </w:rPr>
            </w:pPr>
            <w:r>
              <w:rPr>
                <w:rFonts w:ascii="Arial" w:hAnsi="Arial" w:cs="Arial"/>
                <w:sz w:val="16"/>
                <w:szCs w:val="16"/>
                <w:lang w:eastAsia="es-AR"/>
              </w:rPr>
              <w:t>930.371</w:t>
            </w:r>
          </w:p>
        </w:tc>
        <w:tc>
          <w:tcPr>
            <w:tcW w:w="674" w:type="dxa"/>
            <w:tcBorders>
              <w:top w:val="nil"/>
              <w:left w:val="nil"/>
              <w:bottom w:val="nil"/>
              <w:right w:val="nil"/>
            </w:tcBorders>
            <w:shd w:val="clear" w:color="auto" w:fill="auto"/>
            <w:noWrap/>
            <w:vAlign w:val="bottom"/>
          </w:tcPr>
          <w:p w14:paraId="4B6C24AB" w14:textId="1EFF4C0D" w:rsidR="00CB5C36" w:rsidRPr="00701F32" w:rsidRDefault="001F76F8" w:rsidP="00EB6617">
            <w:pPr>
              <w:jc w:val="right"/>
              <w:rPr>
                <w:rFonts w:ascii="Arial" w:hAnsi="Arial" w:cs="Arial"/>
                <w:sz w:val="16"/>
                <w:szCs w:val="16"/>
                <w:lang w:eastAsia="es-AR"/>
              </w:rPr>
            </w:pPr>
            <w:r>
              <w:rPr>
                <w:rFonts w:ascii="Arial" w:hAnsi="Arial" w:cs="Arial"/>
                <w:sz w:val="16"/>
                <w:szCs w:val="16"/>
                <w:lang w:eastAsia="es-AR"/>
              </w:rPr>
              <w:t>5</w:t>
            </w:r>
          </w:p>
        </w:tc>
        <w:tc>
          <w:tcPr>
            <w:tcW w:w="173" w:type="dxa"/>
            <w:tcBorders>
              <w:top w:val="nil"/>
              <w:left w:val="nil"/>
              <w:bottom w:val="nil"/>
              <w:right w:val="nil"/>
            </w:tcBorders>
            <w:shd w:val="clear" w:color="auto" w:fill="auto"/>
            <w:noWrap/>
            <w:vAlign w:val="bottom"/>
          </w:tcPr>
          <w:p w14:paraId="0EC7A0C6" w14:textId="77777777" w:rsidR="00CB5C36" w:rsidRPr="00701F32" w:rsidRDefault="00CB5C36" w:rsidP="00EB6617">
            <w:pPr>
              <w:jc w:val="right"/>
              <w:rPr>
                <w:rFonts w:ascii="Arial" w:hAnsi="Arial" w:cs="Arial"/>
                <w:sz w:val="16"/>
                <w:szCs w:val="16"/>
                <w:lang w:eastAsia="es-AR"/>
              </w:rPr>
            </w:pPr>
          </w:p>
        </w:tc>
        <w:tc>
          <w:tcPr>
            <w:tcW w:w="985" w:type="dxa"/>
            <w:tcBorders>
              <w:top w:val="nil"/>
              <w:left w:val="nil"/>
              <w:bottom w:val="nil"/>
              <w:right w:val="nil"/>
            </w:tcBorders>
            <w:shd w:val="clear" w:color="auto" w:fill="auto"/>
            <w:noWrap/>
            <w:vAlign w:val="bottom"/>
          </w:tcPr>
          <w:p w14:paraId="1B6F7E95" w14:textId="1D6AA316" w:rsidR="00CB5C36" w:rsidRPr="00701F32" w:rsidRDefault="001F76F8" w:rsidP="00EB6617">
            <w:pPr>
              <w:jc w:val="right"/>
              <w:rPr>
                <w:rFonts w:ascii="Arial" w:hAnsi="Arial" w:cs="Arial"/>
                <w:sz w:val="16"/>
                <w:szCs w:val="16"/>
                <w:lang w:eastAsia="es-AR"/>
              </w:rPr>
            </w:pPr>
            <w:r>
              <w:rPr>
                <w:rFonts w:ascii="Arial" w:hAnsi="Arial" w:cs="Arial"/>
                <w:sz w:val="16"/>
                <w:szCs w:val="16"/>
                <w:lang w:eastAsia="es-AR"/>
              </w:rPr>
              <w:t>930</w:t>
            </w:r>
          </w:p>
        </w:tc>
        <w:tc>
          <w:tcPr>
            <w:tcW w:w="674" w:type="dxa"/>
            <w:tcBorders>
              <w:top w:val="nil"/>
              <w:left w:val="nil"/>
              <w:bottom w:val="nil"/>
              <w:right w:val="nil"/>
            </w:tcBorders>
            <w:shd w:val="clear" w:color="auto" w:fill="auto"/>
            <w:noWrap/>
            <w:vAlign w:val="bottom"/>
          </w:tcPr>
          <w:p w14:paraId="1F57EBE1" w14:textId="2B40EE3F" w:rsidR="00CB5C36" w:rsidRPr="00701F32" w:rsidRDefault="008B736E" w:rsidP="00EB6617">
            <w:pPr>
              <w:jc w:val="right"/>
              <w:rPr>
                <w:rFonts w:ascii="Arial" w:hAnsi="Arial" w:cs="Arial"/>
                <w:sz w:val="16"/>
                <w:szCs w:val="16"/>
                <w:lang w:eastAsia="es-AR"/>
              </w:rPr>
            </w:pPr>
            <w:r>
              <w:rPr>
                <w:rFonts w:ascii="Arial" w:hAnsi="Arial" w:cs="Arial"/>
                <w:sz w:val="16"/>
                <w:szCs w:val="16"/>
                <w:lang w:eastAsia="es-AR"/>
              </w:rPr>
              <w:t>-</w:t>
            </w:r>
          </w:p>
        </w:tc>
        <w:tc>
          <w:tcPr>
            <w:tcW w:w="603" w:type="dxa"/>
            <w:tcBorders>
              <w:top w:val="nil"/>
              <w:left w:val="nil"/>
              <w:bottom w:val="nil"/>
              <w:right w:val="nil"/>
            </w:tcBorders>
            <w:shd w:val="clear" w:color="auto" w:fill="auto"/>
            <w:noWrap/>
            <w:vAlign w:val="bottom"/>
          </w:tcPr>
          <w:p w14:paraId="0B00D0BD" w14:textId="2E7B3110" w:rsidR="00CB5C36" w:rsidRPr="00701F32" w:rsidRDefault="008B736E" w:rsidP="00EB6617">
            <w:pPr>
              <w:jc w:val="right"/>
              <w:rPr>
                <w:rFonts w:ascii="Arial" w:hAnsi="Arial" w:cs="Arial"/>
                <w:sz w:val="16"/>
                <w:szCs w:val="16"/>
                <w:lang w:eastAsia="es-AR"/>
              </w:rPr>
            </w:pPr>
            <w:r>
              <w:rPr>
                <w:rFonts w:ascii="Arial" w:hAnsi="Arial" w:cs="Arial"/>
                <w:sz w:val="16"/>
                <w:szCs w:val="16"/>
                <w:lang w:eastAsia="es-AR"/>
              </w:rPr>
              <w:t>-</w:t>
            </w:r>
          </w:p>
        </w:tc>
        <w:tc>
          <w:tcPr>
            <w:tcW w:w="656" w:type="dxa"/>
            <w:tcBorders>
              <w:top w:val="nil"/>
              <w:left w:val="nil"/>
              <w:bottom w:val="nil"/>
              <w:right w:val="nil"/>
            </w:tcBorders>
            <w:shd w:val="clear" w:color="auto" w:fill="auto"/>
            <w:noWrap/>
            <w:vAlign w:val="bottom"/>
          </w:tcPr>
          <w:p w14:paraId="39548667" w14:textId="7B9B999A" w:rsidR="00CB5C36" w:rsidRPr="00701F32" w:rsidRDefault="008B736E" w:rsidP="00EB6617">
            <w:pPr>
              <w:jc w:val="right"/>
              <w:rPr>
                <w:rFonts w:ascii="Arial" w:hAnsi="Arial" w:cs="Arial"/>
                <w:sz w:val="16"/>
                <w:szCs w:val="16"/>
                <w:lang w:eastAsia="es-AR"/>
              </w:rPr>
            </w:pPr>
            <w:r>
              <w:rPr>
                <w:rFonts w:ascii="Arial" w:hAnsi="Arial" w:cs="Arial"/>
                <w:sz w:val="16"/>
                <w:szCs w:val="16"/>
                <w:lang w:eastAsia="es-AR"/>
              </w:rPr>
              <w:t>-</w:t>
            </w:r>
          </w:p>
        </w:tc>
        <w:tc>
          <w:tcPr>
            <w:tcW w:w="1056" w:type="dxa"/>
            <w:tcBorders>
              <w:top w:val="nil"/>
              <w:left w:val="nil"/>
              <w:bottom w:val="nil"/>
              <w:right w:val="nil"/>
            </w:tcBorders>
            <w:shd w:val="clear" w:color="auto" w:fill="auto"/>
            <w:noWrap/>
            <w:vAlign w:val="bottom"/>
          </w:tcPr>
          <w:p w14:paraId="7AB4E98B" w14:textId="52D6AFDD" w:rsidR="00CB5C36" w:rsidRPr="00701F32" w:rsidRDefault="008B736E" w:rsidP="00EB6617">
            <w:pPr>
              <w:jc w:val="right"/>
              <w:rPr>
                <w:rFonts w:ascii="Arial" w:hAnsi="Arial" w:cs="Arial"/>
                <w:sz w:val="16"/>
                <w:szCs w:val="16"/>
                <w:lang w:eastAsia="es-AR"/>
              </w:rPr>
            </w:pPr>
            <w:r>
              <w:rPr>
                <w:rFonts w:ascii="Arial" w:hAnsi="Arial" w:cs="Arial"/>
                <w:sz w:val="16"/>
                <w:szCs w:val="16"/>
                <w:lang w:eastAsia="es-AR"/>
              </w:rPr>
              <w:t>-</w:t>
            </w:r>
          </w:p>
        </w:tc>
        <w:tc>
          <w:tcPr>
            <w:tcW w:w="869" w:type="dxa"/>
            <w:tcBorders>
              <w:top w:val="nil"/>
              <w:left w:val="nil"/>
              <w:bottom w:val="nil"/>
              <w:right w:val="nil"/>
            </w:tcBorders>
            <w:shd w:val="clear" w:color="auto" w:fill="auto"/>
            <w:noWrap/>
            <w:vAlign w:val="bottom"/>
          </w:tcPr>
          <w:p w14:paraId="09706852" w14:textId="56854C8D" w:rsidR="00CB5C36" w:rsidRPr="00701F32" w:rsidRDefault="008B736E" w:rsidP="00EB6617">
            <w:pPr>
              <w:jc w:val="right"/>
              <w:rPr>
                <w:rFonts w:ascii="Arial" w:hAnsi="Arial" w:cs="Arial"/>
                <w:sz w:val="16"/>
                <w:szCs w:val="16"/>
                <w:lang w:eastAsia="es-AR"/>
              </w:rPr>
            </w:pPr>
            <w:r>
              <w:rPr>
                <w:rFonts w:ascii="Arial" w:hAnsi="Arial" w:cs="Arial"/>
                <w:sz w:val="16"/>
                <w:szCs w:val="16"/>
                <w:lang w:eastAsia="es-AR"/>
              </w:rPr>
              <w:t>-</w:t>
            </w:r>
          </w:p>
        </w:tc>
        <w:tc>
          <w:tcPr>
            <w:tcW w:w="869" w:type="dxa"/>
            <w:tcBorders>
              <w:top w:val="nil"/>
              <w:left w:val="nil"/>
              <w:bottom w:val="nil"/>
              <w:right w:val="single" w:sz="4" w:space="0" w:color="auto"/>
            </w:tcBorders>
            <w:shd w:val="clear" w:color="auto" w:fill="auto"/>
            <w:noWrap/>
            <w:vAlign w:val="bottom"/>
          </w:tcPr>
          <w:p w14:paraId="385EB7C7" w14:textId="30662E76" w:rsidR="00CB5C36" w:rsidRPr="00701F32" w:rsidRDefault="001F76F8" w:rsidP="00EB6617">
            <w:pPr>
              <w:jc w:val="right"/>
              <w:rPr>
                <w:rFonts w:ascii="Arial" w:hAnsi="Arial" w:cs="Arial"/>
                <w:sz w:val="16"/>
                <w:szCs w:val="16"/>
                <w:lang w:eastAsia="es-AR"/>
              </w:rPr>
            </w:pPr>
            <w:r>
              <w:rPr>
                <w:rFonts w:ascii="Arial" w:hAnsi="Arial" w:cs="Arial"/>
                <w:sz w:val="16"/>
                <w:szCs w:val="16"/>
                <w:lang w:eastAsia="es-AR"/>
              </w:rPr>
              <w:t>930</w:t>
            </w:r>
          </w:p>
        </w:tc>
      </w:tr>
      <w:tr w:rsidR="00CB5C36" w:rsidRPr="00701F32" w14:paraId="1416769B" w14:textId="77777777" w:rsidTr="00263691">
        <w:trPr>
          <w:trHeight w:val="211"/>
        </w:trPr>
        <w:tc>
          <w:tcPr>
            <w:tcW w:w="1630" w:type="dxa"/>
            <w:tcBorders>
              <w:top w:val="nil"/>
              <w:left w:val="single" w:sz="4" w:space="0" w:color="auto"/>
              <w:bottom w:val="nil"/>
              <w:right w:val="nil"/>
            </w:tcBorders>
            <w:shd w:val="clear" w:color="auto" w:fill="auto"/>
            <w:noWrap/>
            <w:vAlign w:val="bottom"/>
            <w:hideMark/>
          </w:tcPr>
          <w:p w14:paraId="081A2EF3" w14:textId="77777777" w:rsidR="00CB5C36" w:rsidRPr="00701F32" w:rsidRDefault="00CB5C36" w:rsidP="00EB6617">
            <w:pPr>
              <w:rPr>
                <w:rFonts w:ascii="Arial" w:hAnsi="Arial" w:cs="Arial"/>
                <w:sz w:val="16"/>
                <w:szCs w:val="16"/>
                <w:lang w:eastAsia="es-AR"/>
              </w:rPr>
            </w:pPr>
            <w:r w:rsidRPr="00701F32">
              <w:rPr>
                <w:rFonts w:ascii="Arial" w:hAnsi="Arial" w:cs="Arial"/>
                <w:sz w:val="16"/>
                <w:szCs w:val="16"/>
                <w:lang w:eastAsia="es-AR"/>
              </w:rPr>
              <w:t> </w:t>
            </w:r>
          </w:p>
        </w:tc>
        <w:tc>
          <w:tcPr>
            <w:tcW w:w="915" w:type="dxa"/>
            <w:tcBorders>
              <w:top w:val="nil"/>
              <w:left w:val="nil"/>
              <w:bottom w:val="nil"/>
              <w:right w:val="nil"/>
            </w:tcBorders>
            <w:shd w:val="clear" w:color="auto" w:fill="auto"/>
            <w:noWrap/>
            <w:vAlign w:val="center"/>
          </w:tcPr>
          <w:p w14:paraId="6F87D16D" w14:textId="77777777" w:rsidR="00CB5C36" w:rsidRPr="00701F32" w:rsidRDefault="00CB5C36" w:rsidP="00EB6617">
            <w:pPr>
              <w:jc w:val="right"/>
              <w:rPr>
                <w:rFonts w:ascii="Arial" w:hAnsi="Arial" w:cs="Arial"/>
                <w:sz w:val="16"/>
                <w:szCs w:val="16"/>
                <w:lang w:eastAsia="es-AR"/>
              </w:rPr>
            </w:pPr>
          </w:p>
        </w:tc>
        <w:tc>
          <w:tcPr>
            <w:tcW w:w="674" w:type="dxa"/>
            <w:tcBorders>
              <w:top w:val="nil"/>
              <w:left w:val="nil"/>
              <w:bottom w:val="nil"/>
              <w:right w:val="nil"/>
            </w:tcBorders>
            <w:shd w:val="clear" w:color="auto" w:fill="auto"/>
            <w:noWrap/>
            <w:vAlign w:val="bottom"/>
          </w:tcPr>
          <w:p w14:paraId="487A48CB" w14:textId="77777777" w:rsidR="00CB5C36" w:rsidRPr="00701F32" w:rsidRDefault="00CB5C36" w:rsidP="00EB6617">
            <w:pPr>
              <w:rPr>
                <w:sz w:val="20"/>
                <w:lang w:eastAsia="es-AR"/>
              </w:rPr>
            </w:pPr>
          </w:p>
        </w:tc>
        <w:tc>
          <w:tcPr>
            <w:tcW w:w="173" w:type="dxa"/>
            <w:tcBorders>
              <w:top w:val="nil"/>
              <w:left w:val="nil"/>
              <w:bottom w:val="nil"/>
              <w:right w:val="nil"/>
            </w:tcBorders>
            <w:shd w:val="clear" w:color="auto" w:fill="auto"/>
            <w:noWrap/>
            <w:vAlign w:val="bottom"/>
          </w:tcPr>
          <w:p w14:paraId="164779E0" w14:textId="77777777" w:rsidR="00CB5C36" w:rsidRPr="00701F32" w:rsidRDefault="00CB5C36" w:rsidP="00EB6617">
            <w:pPr>
              <w:rPr>
                <w:sz w:val="20"/>
                <w:lang w:eastAsia="es-AR"/>
              </w:rPr>
            </w:pPr>
          </w:p>
        </w:tc>
        <w:tc>
          <w:tcPr>
            <w:tcW w:w="985" w:type="dxa"/>
            <w:tcBorders>
              <w:top w:val="nil"/>
              <w:left w:val="nil"/>
              <w:bottom w:val="nil"/>
              <w:right w:val="nil"/>
            </w:tcBorders>
            <w:shd w:val="clear" w:color="auto" w:fill="auto"/>
            <w:noWrap/>
            <w:vAlign w:val="bottom"/>
          </w:tcPr>
          <w:p w14:paraId="4F1B4FF4" w14:textId="77777777" w:rsidR="00CB5C36" w:rsidRPr="00701F32" w:rsidRDefault="00CB5C36" w:rsidP="00EB6617">
            <w:pPr>
              <w:jc w:val="right"/>
              <w:rPr>
                <w:sz w:val="20"/>
                <w:lang w:eastAsia="es-AR"/>
              </w:rPr>
            </w:pPr>
          </w:p>
        </w:tc>
        <w:tc>
          <w:tcPr>
            <w:tcW w:w="674" w:type="dxa"/>
            <w:tcBorders>
              <w:top w:val="nil"/>
              <w:left w:val="nil"/>
              <w:bottom w:val="nil"/>
              <w:right w:val="nil"/>
            </w:tcBorders>
            <w:shd w:val="clear" w:color="auto" w:fill="auto"/>
            <w:noWrap/>
            <w:vAlign w:val="bottom"/>
          </w:tcPr>
          <w:p w14:paraId="65D72BB7" w14:textId="77777777" w:rsidR="00CB5C36" w:rsidRPr="00701F32" w:rsidRDefault="00CB5C36" w:rsidP="00EB6617">
            <w:pPr>
              <w:jc w:val="right"/>
              <w:rPr>
                <w:sz w:val="20"/>
                <w:lang w:eastAsia="es-AR"/>
              </w:rPr>
            </w:pPr>
          </w:p>
        </w:tc>
        <w:tc>
          <w:tcPr>
            <w:tcW w:w="603" w:type="dxa"/>
            <w:tcBorders>
              <w:top w:val="nil"/>
              <w:left w:val="nil"/>
              <w:bottom w:val="nil"/>
              <w:right w:val="nil"/>
            </w:tcBorders>
            <w:shd w:val="clear" w:color="auto" w:fill="auto"/>
            <w:noWrap/>
            <w:vAlign w:val="bottom"/>
          </w:tcPr>
          <w:p w14:paraId="0AB4F0C9" w14:textId="77777777" w:rsidR="00CB5C36" w:rsidRPr="00701F32" w:rsidRDefault="00CB5C36" w:rsidP="00EB6617">
            <w:pPr>
              <w:jc w:val="right"/>
              <w:rPr>
                <w:sz w:val="20"/>
                <w:lang w:eastAsia="es-AR"/>
              </w:rPr>
            </w:pPr>
          </w:p>
        </w:tc>
        <w:tc>
          <w:tcPr>
            <w:tcW w:w="656" w:type="dxa"/>
            <w:tcBorders>
              <w:top w:val="nil"/>
              <w:left w:val="nil"/>
              <w:bottom w:val="nil"/>
              <w:right w:val="nil"/>
            </w:tcBorders>
            <w:shd w:val="clear" w:color="auto" w:fill="auto"/>
            <w:noWrap/>
            <w:vAlign w:val="bottom"/>
          </w:tcPr>
          <w:p w14:paraId="5A8618AC" w14:textId="77777777" w:rsidR="00CB5C36" w:rsidRPr="00701F32" w:rsidRDefault="00CB5C36" w:rsidP="00EB6617">
            <w:pPr>
              <w:jc w:val="right"/>
              <w:rPr>
                <w:sz w:val="20"/>
                <w:lang w:eastAsia="es-AR"/>
              </w:rPr>
            </w:pPr>
          </w:p>
        </w:tc>
        <w:tc>
          <w:tcPr>
            <w:tcW w:w="1056" w:type="dxa"/>
            <w:tcBorders>
              <w:top w:val="nil"/>
              <w:left w:val="nil"/>
              <w:bottom w:val="nil"/>
              <w:right w:val="nil"/>
            </w:tcBorders>
            <w:shd w:val="clear" w:color="auto" w:fill="auto"/>
            <w:noWrap/>
            <w:vAlign w:val="bottom"/>
          </w:tcPr>
          <w:p w14:paraId="656D6D87" w14:textId="77777777" w:rsidR="00CB5C36" w:rsidRPr="00701F32" w:rsidRDefault="00CB5C36" w:rsidP="00EB6617">
            <w:pPr>
              <w:jc w:val="right"/>
              <w:rPr>
                <w:sz w:val="20"/>
                <w:lang w:eastAsia="es-AR"/>
              </w:rPr>
            </w:pPr>
          </w:p>
        </w:tc>
        <w:tc>
          <w:tcPr>
            <w:tcW w:w="869" w:type="dxa"/>
            <w:tcBorders>
              <w:top w:val="nil"/>
              <w:left w:val="nil"/>
              <w:bottom w:val="nil"/>
              <w:right w:val="nil"/>
            </w:tcBorders>
            <w:shd w:val="clear" w:color="auto" w:fill="auto"/>
            <w:noWrap/>
            <w:vAlign w:val="bottom"/>
          </w:tcPr>
          <w:p w14:paraId="320FB53A" w14:textId="77777777" w:rsidR="00CB5C36" w:rsidRPr="00701F32" w:rsidRDefault="00CB5C36" w:rsidP="00EB6617">
            <w:pPr>
              <w:jc w:val="right"/>
              <w:rPr>
                <w:sz w:val="20"/>
                <w:lang w:eastAsia="es-AR"/>
              </w:rPr>
            </w:pPr>
          </w:p>
        </w:tc>
        <w:tc>
          <w:tcPr>
            <w:tcW w:w="869" w:type="dxa"/>
            <w:tcBorders>
              <w:top w:val="nil"/>
              <w:left w:val="nil"/>
              <w:bottom w:val="nil"/>
              <w:right w:val="single" w:sz="4" w:space="0" w:color="auto"/>
            </w:tcBorders>
            <w:shd w:val="clear" w:color="auto" w:fill="auto"/>
            <w:noWrap/>
            <w:vAlign w:val="bottom"/>
          </w:tcPr>
          <w:p w14:paraId="1FA83C1A" w14:textId="77777777" w:rsidR="00CB5C36" w:rsidRPr="00701F32" w:rsidRDefault="00CB5C36" w:rsidP="00EB6617">
            <w:pPr>
              <w:jc w:val="right"/>
              <w:rPr>
                <w:rFonts w:ascii="Arial" w:hAnsi="Arial" w:cs="Arial"/>
                <w:sz w:val="16"/>
                <w:szCs w:val="16"/>
                <w:lang w:eastAsia="es-AR"/>
              </w:rPr>
            </w:pPr>
          </w:p>
        </w:tc>
      </w:tr>
      <w:tr w:rsidR="00CB5C36" w:rsidRPr="00701F32" w14:paraId="23A13B1B" w14:textId="77777777" w:rsidTr="00263691">
        <w:trPr>
          <w:trHeight w:val="211"/>
        </w:trPr>
        <w:tc>
          <w:tcPr>
            <w:tcW w:w="1630" w:type="dxa"/>
            <w:tcBorders>
              <w:top w:val="nil"/>
              <w:left w:val="single" w:sz="4" w:space="0" w:color="auto"/>
              <w:bottom w:val="nil"/>
              <w:right w:val="nil"/>
            </w:tcBorders>
            <w:shd w:val="clear" w:color="auto" w:fill="auto"/>
            <w:noWrap/>
            <w:vAlign w:val="bottom"/>
            <w:hideMark/>
          </w:tcPr>
          <w:p w14:paraId="3CD0E4E3" w14:textId="77777777" w:rsidR="00CB5C36" w:rsidRPr="00701F32" w:rsidRDefault="00CB5C36" w:rsidP="00EB6617">
            <w:pPr>
              <w:rPr>
                <w:rFonts w:ascii="Arial" w:hAnsi="Arial" w:cs="Arial"/>
                <w:sz w:val="16"/>
                <w:szCs w:val="16"/>
                <w:lang w:eastAsia="es-AR"/>
              </w:rPr>
            </w:pPr>
            <w:r w:rsidRPr="00701F32">
              <w:rPr>
                <w:rFonts w:ascii="Arial" w:hAnsi="Arial" w:cs="Arial"/>
                <w:sz w:val="16"/>
                <w:szCs w:val="16"/>
                <w:lang w:eastAsia="es-AR"/>
              </w:rPr>
              <w:t>Ordinarias escriturales clase B</w:t>
            </w:r>
          </w:p>
        </w:tc>
        <w:tc>
          <w:tcPr>
            <w:tcW w:w="915" w:type="dxa"/>
            <w:tcBorders>
              <w:top w:val="nil"/>
              <w:left w:val="nil"/>
              <w:bottom w:val="nil"/>
              <w:right w:val="nil"/>
            </w:tcBorders>
            <w:shd w:val="clear" w:color="auto" w:fill="auto"/>
            <w:noWrap/>
            <w:vAlign w:val="center"/>
          </w:tcPr>
          <w:p w14:paraId="34E9A45E" w14:textId="7EF4741C" w:rsidR="00CB5C36" w:rsidRPr="00701F32" w:rsidRDefault="001F76F8" w:rsidP="00EB6617">
            <w:pPr>
              <w:jc w:val="right"/>
              <w:rPr>
                <w:rFonts w:ascii="Arial" w:hAnsi="Arial" w:cs="Arial"/>
                <w:sz w:val="16"/>
                <w:szCs w:val="16"/>
                <w:lang w:eastAsia="es-AR"/>
              </w:rPr>
            </w:pPr>
            <w:r>
              <w:rPr>
                <w:rFonts w:ascii="Arial" w:hAnsi="Arial" w:cs="Arial"/>
                <w:sz w:val="16"/>
                <w:szCs w:val="16"/>
                <w:lang w:eastAsia="es-AR"/>
              </w:rPr>
              <w:t>807.921.893</w:t>
            </w:r>
          </w:p>
        </w:tc>
        <w:tc>
          <w:tcPr>
            <w:tcW w:w="674" w:type="dxa"/>
            <w:tcBorders>
              <w:top w:val="nil"/>
              <w:left w:val="nil"/>
              <w:bottom w:val="nil"/>
              <w:right w:val="nil"/>
            </w:tcBorders>
            <w:shd w:val="clear" w:color="auto" w:fill="auto"/>
            <w:noWrap/>
            <w:vAlign w:val="bottom"/>
          </w:tcPr>
          <w:p w14:paraId="02538411" w14:textId="43154605" w:rsidR="00CB5C36" w:rsidRPr="00701F32" w:rsidRDefault="001F76F8" w:rsidP="00EB6617">
            <w:pPr>
              <w:jc w:val="right"/>
              <w:rPr>
                <w:rFonts w:ascii="Arial" w:hAnsi="Arial" w:cs="Arial"/>
                <w:sz w:val="16"/>
                <w:szCs w:val="16"/>
                <w:lang w:eastAsia="es-AR"/>
              </w:rPr>
            </w:pPr>
            <w:r>
              <w:rPr>
                <w:rFonts w:ascii="Arial" w:hAnsi="Arial" w:cs="Arial"/>
                <w:sz w:val="16"/>
                <w:szCs w:val="16"/>
                <w:lang w:eastAsia="es-AR"/>
              </w:rPr>
              <w:t>1</w:t>
            </w:r>
          </w:p>
        </w:tc>
        <w:tc>
          <w:tcPr>
            <w:tcW w:w="173" w:type="dxa"/>
            <w:tcBorders>
              <w:top w:val="nil"/>
              <w:left w:val="nil"/>
              <w:bottom w:val="nil"/>
              <w:right w:val="nil"/>
            </w:tcBorders>
            <w:shd w:val="clear" w:color="auto" w:fill="auto"/>
            <w:noWrap/>
            <w:vAlign w:val="bottom"/>
          </w:tcPr>
          <w:p w14:paraId="58FE3274" w14:textId="77777777" w:rsidR="00CB5C36" w:rsidRPr="00701F32" w:rsidRDefault="00CB5C36" w:rsidP="00EB6617">
            <w:pPr>
              <w:jc w:val="right"/>
              <w:rPr>
                <w:rFonts w:ascii="Arial" w:hAnsi="Arial" w:cs="Arial"/>
                <w:sz w:val="16"/>
                <w:szCs w:val="16"/>
                <w:lang w:eastAsia="es-AR"/>
              </w:rPr>
            </w:pPr>
          </w:p>
        </w:tc>
        <w:tc>
          <w:tcPr>
            <w:tcW w:w="985" w:type="dxa"/>
            <w:tcBorders>
              <w:top w:val="nil"/>
              <w:left w:val="nil"/>
              <w:bottom w:val="nil"/>
              <w:right w:val="nil"/>
            </w:tcBorders>
            <w:shd w:val="clear" w:color="auto" w:fill="auto"/>
            <w:noWrap/>
            <w:vAlign w:val="bottom"/>
          </w:tcPr>
          <w:p w14:paraId="2AE2616A" w14:textId="22BEAB9E" w:rsidR="00CB5C36" w:rsidRPr="00701F32" w:rsidRDefault="001F76F8" w:rsidP="00EB6617">
            <w:pPr>
              <w:jc w:val="right"/>
              <w:rPr>
                <w:rFonts w:ascii="Arial" w:hAnsi="Arial" w:cs="Arial"/>
                <w:sz w:val="16"/>
                <w:szCs w:val="16"/>
                <w:lang w:eastAsia="es-AR"/>
              </w:rPr>
            </w:pPr>
            <w:r>
              <w:rPr>
                <w:rFonts w:ascii="Arial" w:hAnsi="Arial" w:cs="Arial"/>
                <w:sz w:val="16"/>
                <w:szCs w:val="16"/>
                <w:lang w:eastAsia="es-AR"/>
              </w:rPr>
              <w:t>807.922</w:t>
            </w:r>
          </w:p>
        </w:tc>
        <w:tc>
          <w:tcPr>
            <w:tcW w:w="674" w:type="dxa"/>
            <w:tcBorders>
              <w:top w:val="nil"/>
              <w:left w:val="nil"/>
              <w:bottom w:val="nil"/>
              <w:right w:val="nil"/>
            </w:tcBorders>
            <w:shd w:val="clear" w:color="auto" w:fill="auto"/>
            <w:noWrap/>
            <w:vAlign w:val="bottom"/>
          </w:tcPr>
          <w:p w14:paraId="49BFDEBF" w14:textId="7500C0B9" w:rsidR="00CB5C36" w:rsidRPr="00701F32" w:rsidRDefault="008B736E" w:rsidP="00EB6617">
            <w:pPr>
              <w:jc w:val="right"/>
              <w:rPr>
                <w:rFonts w:ascii="Arial" w:hAnsi="Arial" w:cs="Arial"/>
                <w:sz w:val="16"/>
                <w:szCs w:val="16"/>
                <w:lang w:eastAsia="es-AR"/>
              </w:rPr>
            </w:pPr>
            <w:r>
              <w:rPr>
                <w:rFonts w:ascii="Arial" w:hAnsi="Arial" w:cs="Arial"/>
                <w:sz w:val="16"/>
                <w:szCs w:val="16"/>
                <w:lang w:eastAsia="es-AR"/>
              </w:rPr>
              <w:t>-</w:t>
            </w:r>
          </w:p>
        </w:tc>
        <w:tc>
          <w:tcPr>
            <w:tcW w:w="603" w:type="dxa"/>
            <w:tcBorders>
              <w:top w:val="nil"/>
              <w:left w:val="nil"/>
              <w:bottom w:val="nil"/>
              <w:right w:val="nil"/>
            </w:tcBorders>
            <w:shd w:val="clear" w:color="auto" w:fill="auto"/>
            <w:noWrap/>
            <w:vAlign w:val="bottom"/>
          </w:tcPr>
          <w:p w14:paraId="60D12AEA" w14:textId="47160EF9" w:rsidR="00CB5C36" w:rsidRPr="00701F32" w:rsidRDefault="008B736E" w:rsidP="00EB6617">
            <w:pPr>
              <w:jc w:val="right"/>
              <w:rPr>
                <w:rFonts w:ascii="Arial" w:hAnsi="Arial" w:cs="Arial"/>
                <w:sz w:val="16"/>
                <w:szCs w:val="16"/>
                <w:lang w:eastAsia="es-AR"/>
              </w:rPr>
            </w:pPr>
            <w:r>
              <w:rPr>
                <w:rFonts w:ascii="Arial" w:hAnsi="Arial" w:cs="Arial"/>
                <w:sz w:val="16"/>
                <w:szCs w:val="16"/>
                <w:lang w:eastAsia="es-AR"/>
              </w:rPr>
              <w:t>-</w:t>
            </w:r>
          </w:p>
        </w:tc>
        <w:tc>
          <w:tcPr>
            <w:tcW w:w="656" w:type="dxa"/>
            <w:tcBorders>
              <w:top w:val="nil"/>
              <w:left w:val="nil"/>
              <w:bottom w:val="nil"/>
              <w:right w:val="nil"/>
            </w:tcBorders>
            <w:shd w:val="clear" w:color="auto" w:fill="auto"/>
            <w:noWrap/>
            <w:vAlign w:val="bottom"/>
          </w:tcPr>
          <w:p w14:paraId="53683191" w14:textId="1B60A926" w:rsidR="00CB5C36" w:rsidRPr="00701F32" w:rsidRDefault="008B736E" w:rsidP="00EB6617">
            <w:pPr>
              <w:jc w:val="right"/>
              <w:rPr>
                <w:rFonts w:ascii="Arial" w:hAnsi="Arial" w:cs="Arial"/>
                <w:sz w:val="16"/>
                <w:szCs w:val="16"/>
                <w:lang w:eastAsia="es-AR"/>
              </w:rPr>
            </w:pPr>
            <w:r>
              <w:rPr>
                <w:rFonts w:ascii="Arial" w:hAnsi="Arial" w:cs="Arial"/>
                <w:sz w:val="16"/>
                <w:szCs w:val="16"/>
                <w:lang w:eastAsia="es-AR"/>
              </w:rPr>
              <w:t>-</w:t>
            </w:r>
          </w:p>
        </w:tc>
        <w:tc>
          <w:tcPr>
            <w:tcW w:w="1056" w:type="dxa"/>
            <w:tcBorders>
              <w:top w:val="nil"/>
              <w:left w:val="nil"/>
              <w:bottom w:val="nil"/>
              <w:right w:val="nil"/>
            </w:tcBorders>
            <w:shd w:val="clear" w:color="auto" w:fill="auto"/>
            <w:noWrap/>
            <w:vAlign w:val="bottom"/>
          </w:tcPr>
          <w:p w14:paraId="5F426A5B" w14:textId="112587AE" w:rsidR="00CB5C36" w:rsidRPr="00701F32" w:rsidRDefault="008B736E" w:rsidP="00EB6617">
            <w:pPr>
              <w:jc w:val="right"/>
              <w:rPr>
                <w:rFonts w:ascii="Arial" w:hAnsi="Arial" w:cs="Arial"/>
                <w:sz w:val="16"/>
                <w:szCs w:val="16"/>
                <w:lang w:eastAsia="es-AR"/>
              </w:rPr>
            </w:pPr>
            <w:r>
              <w:rPr>
                <w:rFonts w:ascii="Arial" w:hAnsi="Arial" w:cs="Arial"/>
                <w:sz w:val="16"/>
                <w:szCs w:val="16"/>
                <w:lang w:eastAsia="es-AR"/>
              </w:rPr>
              <w:t>-</w:t>
            </w:r>
          </w:p>
        </w:tc>
        <w:tc>
          <w:tcPr>
            <w:tcW w:w="869" w:type="dxa"/>
            <w:tcBorders>
              <w:top w:val="nil"/>
              <w:left w:val="nil"/>
              <w:bottom w:val="nil"/>
              <w:right w:val="nil"/>
            </w:tcBorders>
            <w:shd w:val="clear" w:color="auto" w:fill="auto"/>
            <w:noWrap/>
            <w:vAlign w:val="bottom"/>
          </w:tcPr>
          <w:p w14:paraId="11F7075E" w14:textId="295900ED" w:rsidR="00CB5C36" w:rsidRPr="00701F32" w:rsidRDefault="008B736E" w:rsidP="00EB6617">
            <w:pPr>
              <w:jc w:val="right"/>
              <w:rPr>
                <w:rFonts w:ascii="Arial" w:hAnsi="Arial" w:cs="Arial"/>
                <w:sz w:val="16"/>
                <w:szCs w:val="16"/>
                <w:lang w:eastAsia="es-AR"/>
              </w:rPr>
            </w:pPr>
            <w:r>
              <w:rPr>
                <w:rFonts w:ascii="Arial" w:hAnsi="Arial" w:cs="Arial"/>
                <w:sz w:val="16"/>
                <w:szCs w:val="16"/>
                <w:lang w:eastAsia="es-AR"/>
              </w:rPr>
              <w:t>-</w:t>
            </w:r>
          </w:p>
        </w:tc>
        <w:tc>
          <w:tcPr>
            <w:tcW w:w="869" w:type="dxa"/>
            <w:tcBorders>
              <w:top w:val="nil"/>
              <w:left w:val="nil"/>
              <w:bottom w:val="nil"/>
              <w:right w:val="single" w:sz="4" w:space="0" w:color="auto"/>
            </w:tcBorders>
            <w:shd w:val="clear" w:color="auto" w:fill="auto"/>
            <w:noWrap/>
            <w:vAlign w:val="bottom"/>
          </w:tcPr>
          <w:p w14:paraId="4CE2609D" w14:textId="678CE5AE" w:rsidR="00CB5C36" w:rsidRPr="00701F32" w:rsidRDefault="001F76F8" w:rsidP="00EB6617">
            <w:pPr>
              <w:jc w:val="right"/>
              <w:rPr>
                <w:rFonts w:ascii="Arial" w:hAnsi="Arial" w:cs="Arial"/>
                <w:sz w:val="16"/>
                <w:szCs w:val="16"/>
                <w:lang w:eastAsia="es-AR"/>
              </w:rPr>
            </w:pPr>
            <w:r>
              <w:rPr>
                <w:rFonts w:ascii="Arial" w:hAnsi="Arial" w:cs="Arial"/>
                <w:sz w:val="16"/>
                <w:szCs w:val="16"/>
                <w:lang w:eastAsia="es-AR"/>
              </w:rPr>
              <w:t>807.922</w:t>
            </w:r>
          </w:p>
        </w:tc>
      </w:tr>
      <w:tr w:rsidR="00CB5C36" w:rsidRPr="00701F32" w14:paraId="787B3383" w14:textId="77777777" w:rsidTr="00263691">
        <w:trPr>
          <w:trHeight w:val="211"/>
        </w:trPr>
        <w:tc>
          <w:tcPr>
            <w:tcW w:w="1630" w:type="dxa"/>
            <w:tcBorders>
              <w:top w:val="nil"/>
              <w:left w:val="single" w:sz="4" w:space="0" w:color="auto"/>
              <w:bottom w:val="nil"/>
              <w:right w:val="nil"/>
            </w:tcBorders>
            <w:shd w:val="clear" w:color="auto" w:fill="auto"/>
            <w:noWrap/>
            <w:vAlign w:val="bottom"/>
            <w:hideMark/>
          </w:tcPr>
          <w:p w14:paraId="7B654D00" w14:textId="77777777" w:rsidR="00CB5C36" w:rsidRPr="00701F32" w:rsidRDefault="00CB5C36" w:rsidP="00EB6617">
            <w:pPr>
              <w:rPr>
                <w:rFonts w:ascii="Arial" w:hAnsi="Arial" w:cs="Arial"/>
                <w:sz w:val="16"/>
                <w:szCs w:val="16"/>
                <w:lang w:eastAsia="es-AR"/>
              </w:rPr>
            </w:pPr>
            <w:r w:rsidRPr="00701F32">
              <w:rPr>
                <w:rFonts w:ascii="Arial" w:hAnsi="Arial" w:cs="Arial"/>
                <w:sz w:val="16"/>
                <w:szCs w:val="16"/>
                <w:lang w:eastAsia="es-AR"/>
              </w:rPr>
              <w:t> </w:t>
            </w:r>
          </w:p>
        </w:tc>
        <w:tc>
          <w:tcPr>
            <w:tcW w:w="915" w:type="dxa"/>
            <w:tcBorders>
              <w:top w:val="nil"/>
              <w:left w:val="nil"/>
              <w:bottom w:val="nil"/>
              <w:right w:val="nil"/>
            </w:tcBorders>
            <w:shd w:val="clear" w:color="auto" w:fill="auto"/>
            <w:noWrap/>
            <w:vAlign w:val="center"/>
          </w:tcPr>
          <w:p w14:paraId="7848032A" w14:textId="77777777" w:rsidR="00CB5C36" w:rsidRPr="00701F32" w:rsidRDefault="00CB5C36" w:rsidP="00EB6617">
            <w:pPr>
              <w:jc w:val="right"/>
              <w:rPr>
                <w:rFonts w:ascii="Arial" w:hAnsi="Arial" w:cs="Arial"/>
                <w:sz w:val="16"/>
                <w:szCs w:val="16"/>
                <w:lang w:eastAsia="es-AR"/>
              </w:rPr>
            </w:pPr>
          </w:p>
        </w:tc>
        <w:tc>
          <w:tcPr>
            <w:tcW w:w="674" w:type="dxa"/>
            <w:tcBorders>
              <w:top w:val="nil"/>
              <w:left w:val="nil"/>
              <w:bottom w:val="nil"/>
              <w:right w:val="nil"/>
            </w:tcBorders>
            <w:shd w:val="clear" w:color="auto" w:fill="auto"/>
            <w:noWrap/>
            <w:vAlign w:val="bottom"/>
          </w:tcPr>
          <w:p w14:paraId="7DAE605C" w14:textId="77777777" w:rsidR="00CB5C36" w:rsidRPr="00701F32" w:rsidRDefault="00CB5C36" w:rsidP="00EB6617">
            <w:pPr>
              <w:rPr>
                <w:sz w:val="20"/>
                <w:lang w:eastAsia="es-AR"/>
              </w:rPr>
            </w:pPr>
          </w:p>
        </w:tc>
        <w:tc>
          <w:tcPr>
            <w:tcW w:w="173" w:type="dxa"/>
            <w:tcBorders>
              <w:top w:val="nil"/>
              <w:left w:val="nil"/>
              <w:bottom w:val="nil"/>
              <w:right w:val="nil"/>
            </w:tcBorders>
            <w:shd w:val="clear" w:color="auto" w:fill="auto"/>
            <w:noWrap/>
            <w:vAlign w:val="bottom"/>
          </w:tcPr>
          <w:p w14:paraId="25B39E3D" w14:textId="77777777" w:rsidR="00CB5C36" w:rsidRPr="00701F32" w:rsidRDefault="00CB5C36" w:rsidP="00EB6617">
            <w:pPr>
              <w:jc w:val="center"/>
              <w:rPr>
                <w:sz w:val="20"/>
                <w:lang w:eastAsia="es-AR"/>
              </w:rPr>
            </w:pPr>
          </w:p>
        </w:tc>
        <w:tc>
          <w:tcPr>
            <w:tcW w:w="985" w:type="dxa"/>
            <w:tcBorders>
              <w:top w:val="nil"/>
              <w:left w:val="nil"/>
              <w:bottom w:val="single" w:sz="4" w:space="0" w:color="auto"/>
              <w:right w:val="nil"/>
            </w:tcBorders>
            <w:shd w:val="clear" w:color="auto" w:fill="auto"/>
            <w:noWrap/>
            <w:vAlign w:val="bottom"/>
          </w:tcPr>
          <w:p w14:paraId="76CA4487" w14:textId="77777777" w:rsidR="00CB5C36" w:rsidRPr="00701F32" w:rsidRDefault="00CB5C36" w:rsidP="00EB6617">
            <w:pPr>
              <w:jc w:val="right"/>
              <w:rPr>
                <w:rFonts w:ascii="Arial" w:hAnsi="Arial" w:cs="Arial"/>
                <w:sz w:val="16"/>
                <w:szCs w:val="16"/>
                <w:lang w:eastAsia="es-AR"/>
              </w:rPr>
            </w:pPr>
          </w:p>
        </w:tc>
        <w:tc>
          <w:tcPr>
            <w:tcW w:w="674" w:type="dxa"/>
            <w:tcBorders>
              <w:top w:val="nil"/>
              <w:left w:val="nil"/>
              <w:bottom w:val="single" w:sz="4" w:space="0" w:color="auto"/>
              <w:right w:val="nil"/>
            </w:tcBorders>
            <w:shd w:val="clear" w:color="auto" w:fill="auto"/>
            <w:noWrap/>
            <w:vAlign w:val="bottom"/>
          </w:tcPr>
          <w:p w14:paraId="48B3DBFD" w14:textId="77777777" w:rsidR="00CB5C36" w:rsidRPr="00701F32" w:rsidRDefault="00CB5C36" w:rsidP="00EB6617">
            <w:pPr>
              <w:jc w:val="right"/>
              <w:rPr>
                <w:rFonts w:ascii="Arial" w:hAnsi="Arial" w:cs="Arial"/>
                <w:sz w:val="16"/>
                <w:szCs w:val="16"/>
                <w:lang w:eastAsia="es-AR"/>
              </w:rPr>
            </w:pPr>
          </w:p>
        </w:tc>
        <w:tc>
          <w:tcPr>
            <w:tcW w:w="603" w:type="dxa"/>
            <w:tcBorders>
              <w:top w:val="nil"/>
              <w:left w:val="nil"/>
              <w:bottom w:val="single" w:sz="4" w:space="0" w:color="auto"/>
              <w:right w:val="nil"/>
            </w:tcBorders>
            <w:shd w:val="clear" w:color="auto" w:fill="auto"/>
            <w:noWrap/>
            <w:vAlign w:val="bottom"/>
          </w:tcPr>
          <w:p w14:paraId="370B56F2" w14:textId="77777777" w:rsidR="00CB5C36" w:rsidRPr="00701F32" w:rsidRDefault="00CB5C36" w:rsidP="00EB6617">
            <w:pPr>
              <w:jc w:val="right"/>
              <w:rPr>
                <w:rFonts w:ascii="Arial" w:hAnsi="Arial" w:cs="Arial"/>
                <w:sz w:val="16"/>
                <w:szCs w:val="16"/>
                <w:lang w:eastAsia="es-AR"/>
              </w:rPr>
            </w:pPr>
          </w:p>
        </w:tc>
        <w:tc>
          <w:tcPr>
            <w:tcW w:w="656" w:type="dxa"/>
            <w:tcBorders>
              <w:top w:val="nil"/>
              <w:left w:val="nil"/>
              <w:bottom w:val="single" w:sz="4" w:space="0" w:color="auto"/>
              <w:right w:val="nil"/>
            </w:tcBorders>
            <w:shd w:val="clear" w:color="auto" w:fill="auto"/>
            <w:noWrap/>
            <w:vAlign w:val="bottom"/>
          </w:tcPr>
          <w:p w14:paraId="49135A2E" w14:textId="77777777" w:rsidR="00CB5C36" w:rsidRPr="00701F32" w:rsidRDefault="00CB5C36" w:rsidP="00EB6617">
            <w:pPr>
              <w:jc w:val="right"/>
              <w:rPr>
                <w:rFonts w:ascii="Arial" w:hAnsi="Arial" w:cs="Arial"/>
                <w:sz w:val="16"/>
                <w:szCs w:val="16"/>
                <w:lang w:eastAsia="es-AR"/>
              </w:rPr>
            </w:pPr>
          </w:p>
        </w:tc>
        <w:tc>
          <w:tcPr>
            <w:tcW w:w="1056" w:type="dxa"/>
            <w:tcBorders>
              <w:top w:val="nil"/>
              <w:left w:val="nil"/>
              <w:bottom w:val="single" w:sz="4" w:space="0" w:color="auto"/>
              <w:right w:val="nil"/>
            </w:tcBorders>
            <w:shd w:val="clear" w:color="auto" w:fill="auto"/>
            <w:noWrap/>
            <w:vAlign w:val="bottom"/>
          </w:tcPr>
          <w:p w14:paraId="06776F81" w14:textId="77777777" w:rsidR="00CB5C36" w:rsidRPr="00701F32" w:rsidRDefault="00CB5C36" w:rsidP="00EB6617">
            <w:pPr>
              <w:jc w:val="right"/>
              <w:rPr>
                <w:rFonts w:ascii="Arial" w:hAnsi="Arial" w:cs="Arial"/>
                <w:sz w:val="16"/>
                <w:szCs w:val="16"/>
                <w:lang w:eastAsia="es-AR"/>
              </w:rPr>
            </w:pPr>
          </w:p>
        </w:tc>
        <w:tc>
          <w:tcPr>
            <w:tcW w:w="869" w:type="dxa"/>
            <w:tcBorders>
              <w:top w:val="nil"/>
              <w:left w:val="nil"/>
              <w:bottom w:val="single" w:sz="4" w:space="0" w:color="auto"/>
              <w:right w:val="nil"/>
            </w:tcBorders>
            <w:shd w:val="clear" w:color="auto" w:fill="auto"/>
            <w:noWrap/>
            <w:vAlign w:val="bottom"/>
          </w:tcPr>
          <w:p w14:paraId="2EFD64B5" w14:textId="77777777" w:rsidR="00CB5C36" w:rsidRPr="00701F32" w:rsidRDefault="00CB5C36" w:rsidP="00EB6617">
            <w:pPr>
              <w:jc w:val="right"/>
              <w:rPr>
                <w:rFonts w:ascii="Arial" w:hAnsi="Arial" w:cs="Arial"/>
                <w:sz w:val="16"/>
                <w:szCs w:val="16"/>
                <w:lang w:eastAsia="es-AR"/>
              </w:rPr>
            </w:pPr>
          </w:p>
        </w:tc>
        <w:tc>
          <w:tcPr>
            <w:tcW w:w="869" w:type="dxa"/>
            <w:tcBorders>
              <w:top w:val="nil"/>
              <w:left w:val="nil"/>
              <w:bottom w:val="single" w:sz="4" w:space="0" w:color="auto"/>
              <w:right w:val="single" w:sz="4" w:space="0" w:color="auto"/>
            </w:tcBorders>
            <w:shd w:val="clear" w:color="auto" w:fill="auto"/>
            <w:noWrap/>
            <w:vAlign w:val="bottom"/>
          </w:tcPr>
          <w:p w14:paraId="4A0D3A1C" w14:textId="77777777" w:rsidR="00CB5C36" w:rsidRPr="00701F32" w:rsidRDefault="00CB5C36" w:rsidP="00EB6617">
            <w:pPr>
              <w:jc w:val="right"/>
              <w:rPr>
                <w:rFonts w:ascii="Arial" w:hAnsi="Arial" w:cs="Arial"/>
                <w:sz w:val="16"/>
                <w:szCs w:val="16"/>
                <w:lang w:eastAsia="es-AR"/>
              </w:rPr>
            </w:pPr>
          </w:p>
        </w:tc>
      </w:tr>
      <w:tr w:rsidR="00CB5C36" w:rsidRPr="00701F32" w14:paraId="5724B730" w14:textId="77777777" w:rsidTr="00263691">
        <w:trPr>
          <w:trHeight w:val="211"/>
        </w:trPr>
        <w:tc>
          <w:tcPr>
            <w:tcW w:w="1630" w:type="dxa"/>
            <w:tcBorders>
              <w:top w:val="nil"/>
              <w:left w:val="single" w:sz="4" w:space="0" w:color="auto"/>
              <w:bottom w:val="single" w:sz="4" w:space="0" w:color="auto"/>
              <w:right w:val="nil"/>
            </w:tcBorders>
            <w:shd w:val="clear" w:color="auto" w:fill="auto"/>
            <w:noWrap/>
            <w:vAlign w:val="bottom"/>
            <w:hideMark/>
          </w:tcPr>
          <w:p w14:paraId="297425A6" w14:textId="77777777" w:rsidR="00CB5C36" w:rsidRPr="00701F32" w:rsidRDefault="00CB5C36" w:rsidP="00EB6617">
            <w:pPr>
              <w:rPr>
                <w:rFonts w:ascii="Arial" w:hAnsi="Arial" w:cs="Arial"/>
                <w:sz w:val="16"/>
                <w:szCs w:val="16"/>
                <w:lang w:eastAsia="es-AR"/>
              </w:rPr>
            </w:pPr>
            <w:r w:rsidRPr="00701F32">
              <w:rPr>
                <w:rFonts w:ascii="Arial" w:hAnsi="Arial" w:cs="Arial"/>
                <w:sz w:val="16"/>
                <w:szCs w:val="16"/>
                <w:lang w:eastAsia="es-AR"/>
              </w:rPr>
              <w:t> </w:t>
            </w:r>
          </w:p>
        </w:tc>
        <w:tc>
          <w:tcPr>
            <w:tcW w:w="915" w:type="dxa"/>
            <w:tcBorders>
              <w:top w:val="nil"/>
              <w:left w:val="nil"/>
              <w:bottom w:val="single" w:sz="4" w:space="0" w:color="auto"/>
              <w:right w:val="nil"/>
            </w:tcBorders>
            <w:shd w:val="clear" w:color="auto" w:fill="auto"/>
            <w:noWrap/>
            <w:vAlign w:val="bottom"/>
          </w:tcPr>
          <w:p w14:paraId="67D50AEC" w14:textId="2A55FED3" w:rsidR="00CB5C36" w:rsidRPr="00701F32" w:rsidRDefault="001F76F8" w:rsidP="00EB6617">
            <w:pPr>
              <w:rPr>
                <w:rFonts w:ascii="Arial" w:hAnsi="Arial" w:cs="Arial"/>
                <w:sz w:val="16"/>
                <w:szCs w:val="16"/>
                <w:lang w:eastAsia="es-AR"/>
              </w:rPr>
            </w:pPr>
            <w:r>
              <w:rPr>
                <w:rFonts w:ascii="Arial" w:hAnsi="Arial" w:cs="Arial"/>
                <w:sz w:val="16"/>
                <w:szCs w:val="16"/>
                <w:lang w:eastAsia="es-AR"/>
              </w:rPr>
              <w:t>808.852.264</w:t>
            </w:r>
          </w:p>
        </w:tc>
        <w:tc>
          <w:tcPr>
            <w:tcW w:w="674" w:type="dxa"/>
            <w:tcBorders>
              <w:top w:val="nil"/>
              <w:left w:val="nil"/>
              <w:bottom w:val="single" w:sz="4" w:space="0" w:color="auto"/>
              <w:right w:val="nil"/>
            </w:tcBorders>
            <w:shd w:val="clear" w:color="auto" w:fill="auto"/>
            <w:noWrap/>
            <w:vAlign w:val="bottom"/>
          </w:tcPr>
          <w:p w14:paraId="7310F3B8" w14:textId="16A86C8E" w:rsidR="00CB5C36" w:rsidRPr="00701F32" w:rsidRDefault="00263691" w:rsidP="00EB6617">
            <w:pPr>
              <w:jc w:val="right"/>
              <w:rPr>
                <w:rFonts w:ascii="Arial" w:hAnsi="Arial" w:cs="Arial"/>
                <w:b/>
                <w:bCs/>
                <w:sz w:val="16"/>
                <w:szCs w:val="16"/>
                <w:lang w:eastAsia="es-AR"/>
              </w:rPr>
            </w:pPr>
            <w:r>
              <w:rPr>
                <w:rFonts w:ascii="Arial" w:hAnsi="Arial" w:cs="Arial"/>
                <w:b/>
                <w:bCs/>
                <w:sz w:val="16"/>
                <w:szCs w:val="16"/>
                <w:lang w:eastAsia="es-AR"/>
              </w:rPr>
              <w:t>TOTAL</w:t>
            </w:r>
          </w:p>
        </w:tc>
        <w:tc>
          <w:tcPr>
            <w:tcW w:w="173" w:type="dxa"/>
            <w:tcBorders>
              <w:top w:val="nil"/>
              <w:left w:val="nil"/>
              <w:bottom w:val="single" w:sz="4" w:space="0" w:color="auto"/>
              <w:right w:val="nil"/>
            </w:tcBorders>
            <w:shd w:val="clear" w:color="auto" w:fill="auto"/>
            <w:noWrap/>
            <w:vAlign w:val="bottom"/>
          </w:tcPr>
          <w:p w14:paraId="6C62E0F0" w14:textId="690DCEE3" w:rsidR="00CB5C36" w:rsidRPr="00701F32" w:rsidRDefault="00CB5C36" w:rsidP="00EB6617">
            <w:pPr>
              <w:rPr>
                <w:rFonts w:ascii="Arial" w:hAnsi="Arial" w:cs="Arial"/>
                <w:sz w:val="16"/>
                <w:szCs w:val="16"/>
                <w:lang w:eastAsia="es-AR"/>
              </w:rPr>
            </w:pPr>
          </w:p>
        </w:tc>
        <w:tc>
          <w:tcPr>
            <w:tcW w:w="985" w:type="dxa"/>
            <w:tcBorders>
              <w:top w:val="nil"/>
              <w:left w:val="nil"/>
              <w:bottom w:val="single" w:sz="4" w:space="0" w:color="auto"/>
              <w:right w:val="nil"/>
            </w:tcBorders>
            <w:shd w:val="clear" w:color="auto" w:fill="auto"/>
            <w:noWrap/>
            <w:vAlign w:val="bottom"/>
          </w:tcPr>
          <w:p w14:paraId="285C4436" w14:textId="2EF7B9FD" w:rsidR="00CB5C36" w:rsidRPr="00701F32" w:rsidRDefault="001F76F8" w:rsidP="00EB6617">
            <w:pPr>
              <w:jc w:val="right"/>
              <w:rPr>
                <w:rFonts w:ascii="Arial" w:hAnsi="Arial" w:cs="Arial"/>
                <w:b/>
                <w:bCs/>
                <w:sz w:val="16"/>
                <w:szCs w:val="16"/>
                <w:lang w:eastAsia="es-AR"/>
              </w:rPr>
            </w:pPr>
            <w:r>
              <w:rPr>
                <w:rFonts w:ascii="Arial" w:hAnsi="Arial" w:cs="Arial"/>
                <w:b/>
                <w:bCs/>
                <w:sz w:val="16"/>
                <w:szCs w:val="16"/>
                <w:lang w:eastAsia="es-AR"/>
              </w:rPr>
              <w:t>808.852</w:t>
            </w:r>
          </w:p>
        </w:tc>
        <w:tc>
          <w:tcPr>
            <w:tcW w:w="674" w:type="dxa"/>
            <w:tcBorders>
              <w:top w:val="nil"/>
              <w:left w:val="nil"/>
              <w:bottom w:val="single" w:sz="4" w:space="0" w:color="auto"/>
              <w:right w:val="nil"/>
            </w:tcBorders>
            <w:shd w:val="clear" w:color="auto" w:fill="auto"/>
            <w:noWrap/>
            <w:vAlign w:val="bottom"/>
          </w:tcPr>
          <w:p w14:paraId="76B18A2E" w14:textId="38EE713E" w:rsidR="00CB5C36" w:rsidRPr="00701F32" w:rsidRDefault="008B736E" w:rsidP="00EB6617">
            <w:pPr>
              <w:jc w:val="right"/>
              <w:rPr>
                <w:rFonts w:ascii="Arial" w:hAnsi="Arial" w:cs="Arial"/>
                <w:b/>
                <w:bCs/>
                <w:sz w:val="16"/>
                <w:szCs w:val="16"/>
                <w:lang w:eastAsia="es-AR"/>
              </w:rPr>
            </w:pPr>
            <w:r>
              <w:rPr>
                <w:rFonts w:ascii="Arial" w:hAnsi="Arial" w:cs="Arial"/>
                <w:b/>
                <w:bCs/>
                <w:sz w:val="16"/>
                <w:szCs w:val="16"/>
                <w:lang w:eastAsia="es-AR"/>
              </w:rPr>
              <w:t>-</w:t>
            </w:r>
          </w:p>
        </w:tc>
        <w:tc>
          <w:tcPr>
            <w:tcW w:w="603" w:type="dxa"/>
            <w:tcBorders>
              <w:top w:val="nil"/>
              <w:left w:val="nil"/>
              <w:bottom w:val="single" w:sz="4" w:space="0" w:color="auto"/>
              <w:right w:val="nil"/>
            </w:tcBorders>
            <w:shd w:val="clear" w:color="auto" w:fill="auto"/>
            <w:noWrap/>
            <w:vAlign w:val="bottom"/>
          </w:tcPr>
          <w:p w14:paraId="140EFA41" w14:textId="34495055" w:rsidR="00CB5C36" w:rsidRPr="00701F32" w:rsidRDefault="008B736E" w:rsidP="00EB6617">
            <w:pPr>
              <w:jc w:val="right"/>
              <w:rPr>
                <w:rFonts w:ascii="Arial" w:hAnsi="Arial" w:cs="Arial"/>
                <w:b/>
                <w:bCs/>
                <w:sz w:val="16"/>
                <w:szCs w:val="16"/>
                <w:lang w:eastAsia="es-AR"/>
              </w:rPr>
            </w:pPr>
            <w:r>
              <w:rPr>
                <w:rFonts w:ascii="Arial" w:hAnsi="Arial" w:cs="Arial"/>
                <w:b/>
                <w:bCs/>
                <w:sz w:val="16"/>
                <w:szCs w:val="16"/>
                <w:lang w:eastAsia="es-AR"/>
              </w:rPr>
              <w:t>-</w:t>
            </w:r>
          </w:p>
        </w:tc>
        <w:tc>
          <w:tcPr>
            <w:tcW w:w="656" w:type="dxa"/>
            <w:tcBorders>
              <w:top w:val="nil"/>
              <w:left w:val="nil"/>
              <w:bottom w:val="single" w:sz="4" w:space="0" w:color="auto"/>
              <w:right w:val="nil"/>
            </w:tcBorders>
            <w:shd w:val="clear" w:color="auto" w:fill="auto"/>
            <w:noWrap/>
            <w:vAlign w:val="bottom"/>
          </w:tcPr>
          <w:p w14:paraId="1DA346B0" w14:textId="6645E88D" w:rsidR="00CB5C36" w:rsidRPr="00701F32" w:rsidRDefault="008B736E" w:rsidP="00EB6617">
            <w:pPr>
              <w:jc w:val="right"/>
              <w:rPr>
                <w:rFonts w:ascii="Arial" w:hAnsi="Arial" w:cs="Arial"/>
                <w:b/>
                <w:bCs/>
                <w:sz w:val="16"/>
                <w:szCs w:val="16"/>
                <w:lang w:eastAsia="es-AR"/>
              </w:rPr>
            </w:pPr>
            <w:r>
              <w:rPr>
                <w:rFonts w:ascii="Arial" w:hAnsi="Arial" w:cs="Arial"/>
                <w:b/>
                <w:bCs/>
                <w:sz w:val="16"/>
                <w:szCs w:val="16"/>
                <w:lang w:eastAsia="es-AR"/>
              </w:rPr>
              <w:t>-</w:t>
            </w:r>
          </w:p>
        </w:tc>
        <w:tc>
          <w:tcPr>
            <w:tcW w:w="1056" w:type="dxa"/>
            <w:tcBorders>
              <w:top w:val="nil"/>
              <w:left w:val="nil"/>
              <w:bottom w:val="single" w:sz="4" w:space="0" w:color="auto"/>
              <w:right w:val="nil"/>
            </w:tcBorders>
            <w:shd w:val="clear" w:color="auto" w:fill="auto"/>
            <w:noWrap/>
            <w:vAlign w:val="bottom"/>
          </w:tcPr>
          <w:p w14:paraId="1BDB94D2" w14:textId="22F74995" w:rsidR="00CB5C36" w:rsidRPr="00701F32" w:rsidRDefault="008B736E" w:rsidP="00EB6617">
            <w:pPr>
              <w:jc w:val="right"/>
              <w:rPr>
                <w:rFonts w:ascii="Arial" w:hAnsi="Arial" w:cs="Arial"/>
                <w:b/>
                <w:bCs/>
                <w:sz w:val="16"/>
                <w:szCs w:val="16"/>
                <w:lang w:eastAsia="es-AR"/>
              </w:rPr>
            </w:pPr>
            <w:r>
              <w:rPr>
                <w:rFonts w:ascii="Arial" w:hAnsi="Arial" w:cs="Arial"/>
                <w:b/>
                <w:bCs/>
                <w:sz w:val="16"/>
                <w:szCs w:val="16"/>
                <w:lang w:eastAsia="es-AR"/>
              </w:rPr>
              <w:t>-</w:t>
            </w:r>
          </w:p>
        </w:tc>
        <w:tc>
          <w:tcPr>
            <w:tcW w:w="869" w:type="dxa"/>
            <w:tcBorders>
              <w:top w:val="nil"/>
              <w:left w:val="nil"/>
              <w:bottom w:val="single" w:sz="4" w:space="0" w:color="auto"/>
              <w:right w:val="nil"/>
            </w:tcBorders>
            <w:shd w:val="clear" w:color="auto" w:fill="auto"/>
            <w:noWrap/>
            <w:vAlign w:val="bottom"/>
          </w:tcPr>
          <w:p w14:paraId="51E90FAF" w14:textId="03CEA33D" w:rsidR="00CB5C36" w:rsidRPr="00701F32" w:rsidRDefault="008B736E" w:rsidP="00EB6617">
            <w:pPr>
              <w:jc w:val="right"/>
              <w:rPr>
                <w:rFonts w:ascii="Arial" w:hAnsi="Arial" w:cs="Arial"/>
                <w:b/>
                <w:bCs/>
                <w:sz w:val="16"/>
                <w:szCs w:val="16"/>
                <w:lang w:eastAsia="es-AR"/>
              </w:rPr>
            </w:pPr>
            <w:r>
              <w:rPr>
                <w:rFonts w:ascii="Arial" w:hAnsi="Arial" w:cs="Arial"/>
                <w:b/>
                <w:bCs/>
                <w:sz w:val="16"/>
                <w:szCs w:val="16"/>
                <w:lang w:eastAsia="es-AR"/>
              </w:rPr>
              <w:t>-</w:t>
            </w:r>
          </w:p>
        </w:tc>
        <w:tc>
          <w:tcPr>
            <w:tcW w:w="869" w:type="dxa"/>
            <w:tcBorders>
              <w:top w:val="nil"/>
              <w:left w:val="nil"/>
              <w:bottom w:val="single" w:sz="4" w:space="0" w:color="auto"/>
              <w:right w:val="single" w:sz="4" w:space="0" w:color="auto"/>
            </w:tcBorders>
            <w:shd w:val="clear" w:color="auto" w:fill="auto"/>
            <w:noWrap/>
            <w:vAlign w:val="bottom"/>
          </w:tcPr>
          <w:p w14:paraId="750B8CC7" w14:textId="20B5230A" w:rsidR="00CB5C36" w:rsidRPr="00701F32" w:rsidRDefault="001F76F8" w:rsidP="00EB6617">
            <w:pPr>
              <w:jc w:val="right"/>
              <w:rPr>
                <w:rFonts w:ascii="Arial" w:hAnsi="Arial" w:cs="Arial"/>
                <w:b/>
                <w:bCs/>
                <w:sz w:val="16"/>
                <w:szCs w:val="16"/>
                <w:lang w:eastAsia="es-AR"/>
              </w:rPr>
            </w:pPr>
            <w:r>
              <w:rPr>
                <w:rFonts w:ascii="Arial" w:hAnsi="Arial" w:cs="Arial"/>
                <w:b/>
                <w:bCs/>
                <w:sz w:val="16"/>
                <w:szCs w:val="16"/>
                <w:lang w:eastAsia="es-AR"/>
              </w:rPr>
              <w:t>808.852</w:t>
            </w:r>
          </w:p>
        </w:tc>
      </w:tr>
    </w:tbl>
    <w:p w14:paraId="369480E2" w14:textId="77777777" w:rsidR="00CB5C36" w:rsidRPr="00EB6617" w:rsidRDefault="00CB5C36" w:rsidP="00CB5C36">
      <w:pPr>
        <w:jc w:val="both"/>
        <w:rPr>
          <w:rFonts w:ascii="Arial" w:hAnsi="Arial" w:cs="Arial"/>
          <w:sz w:val="20"/>
        </w:rPr>
      </w:pPr>
    </w:p>
    <w:p w14:paraId="7595A091" w14:textId="73CAA49D" w:rsidR="00EB6617" w:rsidRPr="00EB6617" w:rsidRDefault="00EB6617" w:rsidP="00EB6617">
      <w:pPr>
        <w:spacing w:after="160" w:line="259" w:lineRule="auto"/>
        <w:jc w:val="both"/>
        <w:rPr>
          <w:rFonts w:ascii="Arial" w:eastAsia="Arial" w:hAnsi="Arial" w:cs="Arial"/>
          <w:b/>
          <w:sz w:val="20"/>
        </w:rPr>
      </w:pPr>
      <w:r w:rsidRPr="00EB6617">
        <w:rPr>
          <w:rFonts w:ascii="Arial" w:hAnsi="Arial" w:cs="Arial"/>
          <w:b/>
          <w:noProof/>
          <w:sz w:val="20"/>
        </w:rPr>
        <w:t>2</w:t>
      </w:r>
      <w:r w:rsidR="00BB63C7">
        <w:rPr>
          <w:rFonts w:ascii="Arial" w:hAnsi="Arial" w:cs="Arial"/>
          <w:b/>
          <w:noProof/>
          <w:sz w:val="20"/>
        </w:rPr>
        <w:t>4</w:t>
      </w:r>
      <w:r w:rsidRPr="00EB6617">
        <w:rPr>
          <w:rFonts w:ascii="Arial" w:hAnsi="Arial" w:cs="Arial"/>
          <w:b/>
          <w:noProof/>
          <w:sz w:val="20"/>
        </w:rPr>
        <w:t xml:space="preserve">. </w:t>
      </w:r>
      <w:r w:rsidRPr="00EB6617">
        <w:rPr>
          <w:rFonts w:ascii="Arial" w:eastAsia="Arial" w:hAnsi="Arial" w:cs="Arial"/>
          <w:b/>
          <w:caps/>
          <w:sz w:val="20"/>
        </w:rPr>
        <w:t>Factores de riesgos financieros</w:t>
      </w:r>
      <w:r w:rsidRPr="00EB6617">
        <w:rPr>
          <w:rFonts w:ascii="Arial" w:eastAsia="Arial" w:hAnsi="Arial" w:cs="Arial"/>
          <w:b/>
          <w:sz w:val="20"/>
        </w:rPr>
        <w:t xml:space="preserve"> </w:t>
      </w:r>
    </w:p>
    <w:p w14:paraId="083DD87C" w14:textId="77777777" w:rsidR="00EB6617" w:rsidRPr="00701F32" w:rsidRDefault="00EB6617" w:rsidP="00EB6617">
      <w:pPr>
        <w:pBdr>
          <w:top w:val="nil"/>
          <w:left w:val="nil"/>
          <w:bottom w:val="nil"/>
          <w:right w:val="nil"/>
          <w:between w:val="nil"/>
          <w:bar w:val="nil"/>
        </w:pBdr>
        <w:tabs>
          <w:tab w:val="left" w:pos="142"/>
          <w:tab w:val="left" w:pos="993"/>
        </w:tabs>
        <w:jc w:val="both"/>
        <w:rPr>
          <w:rFonts w:ascii="Arial" w:eastAsia="Arial" w:hAnsi="Arial" w:cs="Arial"/>
          <w:b/>
          <w:bCs/>
          <w:sz w:val="20"/>
          <w:u w:val="single" w:color="000000"/>
          <w:bdr w:val="nil"/>
          <w:lang w:val="es-ES_tradnl" w:eastAsia="es-AR"/>
        </w:rPr>
      </w:pPr>
      <w:r w:rsidRPr="00701F32">
        <w:rPr>
          <w:rFonts w:ascii="Arial" w:eastAsia="Arial Unicode MS" w:hAnsi="Arial" w:cs="Arial"/>
          <w:b/>
          <w:bCs/>
          <w:sz w:val="20"/>
          <w:u w:val="single" w:color="000000"/>
          <w:bdr w:val="nil"/>
          <w:lang w:val="es-ES_tradnl" w:eastAsia="es-AR"/>
        </w:rPr>
        <w:t>Riesgo de crédito</w:t>
      </w:r>
    </w:p>
    <w:p w14:paraId="47A6BFA0" w14:textId="77777777" w:rsidR="00EB6617" w:rsidRPr="00701F32" w:rsidRDefault="00EB6617" w:rsidP="00EB6617">
      <w:pPr>
        <w:pBdr>
          <w:top w:val="nil"/>
          <w:left w:val="nil"/>
          <w:bottom w:val="nil"/>
          <w:right w:val="nil"/>
          <w:between w:val="nil"/>
          <w:bar w:val="nil"/>
        </w:pBdr>
        <w:tabs>
          <w:tab w:val="left" w:pos="142"/>
          <w:tab w:val="left" w:pos="993"/>
        </w:tabs>
        <w:jc w:val="both"/>
        <w:rPr>
          <w:rFonts w:ascii="Arial" w:eastAsia="Arial" w:hAnsi="Arial" w:cs="Arial"/>
          <w:b/>
          <w:bCs/>
          <w:sz w:val="20"/>
          <w:u w:val="single" w:color="000000"/>
          <w:bdr w:val="nil"/>
          <w:lang w:val="es-ES_tradnl" w:eastAsia="es-AR"/>
        </w:rPr>
      </w:pPr>
    </w:p>
    <w:p w14:paraId="40660922" w14:textId="77777777" w:rsidR="006D3BCA" w:rsidRPr="00701F32" w:rsidRDefault="006D3BCA" w:rsidP="006D3BCA">
      <w:pPr>
        <w:autoSpaceDE w:val="0"/>
        <w:autoSpaceDN w:val="0"/>
        <w:spacing w:after="240"/>
        <w:jc w:val="both"/>
        <w:rPr>
          <w:rFonts w:ascii="Arial" w:hAnsi="Arial" w:cs="Arial"/>
          <w:sz w:val="20"/>
          <w:lang w:val="es-ES_tradnl"/>
        </w:rPr>
      </w:pPr>
      <w:r w:rsidRPr="00701F32">
        <w:rPr>
          <w:rFonts w:ascii="Arial" w:hAnsi="Arial" w:cs="Arial"/>
          <w:sz w:val="20"/>
          <w:lang w:val="es-ES_tradnl"/>
        </w:rPr>
        <w:t xml:space="preserve">El Comité de Riesgos Integrales aprueba las estrategias y políticas de riesgo de crédito elevadas en base al asesoramiento de la Gerencia Corporativa de Riesgos Integrales, la Gerencia Corporativa de Créditos y las bancas comerciales y en cumplimiento con las reglamentaciones del BCRA. La estrategia y política crediticia apunta al desarrollo de oportunidades comerciales dentro del ámbito y las condiciones del plan de negocios del Banco, manteniendo al mismo tiempo adecuados niveles de prudencia frente al riesgo. </w:t>
      </w:r>
    </w:p>
    <w:p w14:paraId="257924C3" w14:textId="77777777" w:rsidR="006D3BCA" w:rsidRPr="00701F32" w:rsidRDefault="006D3BCA" w:rsidP="006D3BCA">
      <w:pPr>
        <w:autoSpaceDE w:val="0"/>
        <w:autoSpaceDN w:val="0"/>
        <w:spacing w:after="240"/>
        <w:jc w:val="both"/>
        <w:rPr>
          <w:rFonts w:ascii="Arial" w:hAnsi="Arial" w:cs="Arial"/>
          <w:sz w:val="20"/>
          <w:lang w:val="es-ES_tradnl"/>
        </w:rPr>
      </w:pPr>
      <w:r w:rsidRPr="00701F32">
        <w:rPr>
          <w:rFonts w:ascii="Arial" w:hAnsi="Arial" w:cs="Arial"/>
          <w:sz w:val="20"/>
        </w:rPr>
        <w:t xml:space="preserve">Por medio de políticas y procedimientos, son definidos los aspectos detallados para llevar a cabo la Estrategia del Banco vinculada a la gestión del riesgo de crédito; entre ellos los criterios del Banco para otorgar crédito, atribuciones y facultades crediticias, tipos de productos y la forma en que organiza su estructura, entre otros aspectos. Asimismo, el Banco posee por un lado una política de </w:t>
      </w:r>
      <w:r>
        <w:rPr>
          <w:rFonts w:ascii="Arial" w:hAnsi="Arial" w:cs="Arial"/>
          <w:sz w:val="20"/>
        </w:rPr>
        <w:t>gestión integral de riesgos</w:t>
      </w:r>
      <w:r w:rsidRPr="00701F32">
        <w:rPr>
          <w:rFonts w:ascii="Arial" w:hAnsi="Arial" w:cs="Arial"/>
          <w:sz w:val="20"/>
        </w:rPr>
        <w:t xml:space="preserve"> donde se detallan aspectos vinculados al gobierno de riesgos fundamentales generales para su gestión y por otro, manuales y procedimientos especifico</w:t>
      </w:r>
      <w:r>
        <w:rPr>
          <w:rFonts w:ascii="Arial" w:hAnsi="Arial" w:cs="Arial"/>
          <w:sz w:val="20"/>
        </w:rPr>
        <w:t>s</w:t>
      </w:r>
      <w:r w:rsidRPr="00701F32">
        <w:rPr>
          <w:rFonts w:ascii="Arial" w:hAnsi="Arial" w:cs="Arial"/>
          <w:sz w:val="20"/>
        </w:rPr>
        <w:t xml:space="preserve"> que contemplan entre otros las normas señaladas en las materias emanadas del BCRA.</w:t>
      </w:r>
    </w:p>
    <w:p w14:paraId="3384044A" w14:textId="77777777" w:rsidR="006D3BCA" w:rsidRPr="00701F32" w:rsidRDefault="006D3BCA" w:rsidP="006D3BCA">
      <w:pPr>
        <w:autoSpaceDE w:val="0"/>
        <w:autoSpaceDN w:val="0"/>
        <w:adjustRightInd w:val="0"/>
        <w:spacing w:after="240"/>
        <w:jc w:val="both"/>
        <w:rPr>
          <w:rFonts w:ascii="Arial" w:eastAsia="Calibri" w:hAnsi="Arial" w:cs="Arial"/>
          <w:sz w:val="20"/>
        </w:rPr>
      </w:pPr>
      <w:r w:rsidRPr="00701F32">
        <w:rPr>
          <w:rFonts w:ascii="Arial" w:hAnsi="Arial" w:cs="Arial"/>
          <w:sz w:val="20"/>
          <w:lang w:val="es-ES_tradnl"/>
        </w:rPr>
        <w:t>La política para la gestión de riesgo de crédito de la Entidad está abierta a los mercados de empresas e individuos. Para ello, se ha definido una segmentación</w:t>
      </w:r>
      <w:r w:rsidRPr="00701F32">
        <w:rPr>
          <w:rFonts w:ascii="Arial" w:eastAsia="Calibri" w:hAnsi="Arial" w:cs="Arial"/>
          <w:sz w:val="20"/>
        </w:rPr>
        <w:t xml:space="preserve"> de clientela para la </w:t>
      </w:r>
      <w:r>
        <w:rPr>
          <w:rFonts w:ascii="Arial" w:eastAsia="Calibri" w:hAnsi="Arial" w:cs="Arial"/>
          <w:sz w:val="20"/>
        </w:rPr>
        <w:t>Banca Corporativa y la Banca de Personas y Negocios.</w:t>
      </w:r>
    </w:p>
    <w:p w14:paraId="6AA54E3E" w14:textId="77777777" w:rsidR="006D3BCA" w:rsidRPr="00701F32" w:rsidRDefault="006D3BCA" w:rsidP="006D3BCA">
      <w:pPr>
        <w:autoSpaceDE w:val="0"/>
        <w:autoSpaceDN w:val="0"/>
        <w:adjustRightInd w:val="0"/>
        <w:spacing w:after="240"/>
        <w:jc w:val="both"/>
        <w:rPr>
          <w:rFonts w:ascii="Arial" w:eastAsia="Calibri" w:hAnsi="Arial" w:cs="Arial"/>
          <w:sz w:val="20"/>
        </w:rPr>
      </w:pPr>
      <w:r w:rsidRPr="00701F32">
        <w:rPr>
          <w:rFonts w:ascii="Arial" w:eastAsia="Calibri" w:hAnsi="Arial" w:cs="Arial"/>
          <w:sz w:val="20"/>
        </w:rPr>
        <w:t>El Banco se focaliza en el apoyo a empresas pertenecientes a sectores con potencial, y, exitosas en su actividad. Dentro de la gama de productos crediticios ofrecidos para el segmento de empresas, el Banco apunta a desarrollar y liderar el mercado de factoring y leasing, como así también ser referente en comercio exterior.</w:t>
      </w:r>
    </w:p>
    <w:p w14:paraId="62B785AD" w14:textId="77777777" w:rsidR="006D3BCA" w:rsidRPr="00701F32" w:rsidRDefault="006D3BCA" w:rsidP="006D3BCA">
      <w:pPr>
        <w:autoSpaceDE w:val="0"/>
        <w:autoSpaceDN w:val="0"/>
        <w:adjustRightInd w:val="0"/>
        <w:spacing w:after="240"/>
        <w:jc w:val="both"/>
        <w:rPr>
          <w:rFonts w:ascii="Arial" w:eastAsia="Calibri" w:hAnsi="Arial" w:cs="Arial"/>
          <w:sz w:val="20"/>
        </w:rPr>
      </w:pPr>
      <w:r w:rsidRPr="00701F32">
        <w:rPr>
          <w:rFonts w:ascii="Arial" w:eastAsia="Calibri" w:hAnsi="Arial" w:cs="Arial"/>
          <w:sz w:val="20"/>
        </w:rPr>
        <w:t xml:space="preserve">Dentro de la </w:t>
      </w:r>
      <w:r>
        <w:rPr>
          <w:rFonts w:ascii="Arial" w:eastAsia="Calibri" w:hAnsi="Arial" w:cs="Arial"/>
          <w:sz w:val="20"/>
        </w:rPr>
        <w:t>Banca Corporativa</w:t>
      </w:r>
      <w:r w:rsidRPr="00701F32">
        <w:rPr>
          <w:rFonts w:ascii="Arial" w:eastAsia="Calibri" w:hAnsi="Arial" w:cs="Arial"/>
          <w:sz w:val="20"/>
        </w:rPr>
        <w:t xml:space="preserve"> se busca tener una propuesta sólida para el mercado de Megras buscando mantener la proximidad con los clientes a través de los centros de atención, acuerdos con clientes a lo largo de su cadena de valor y brindando respuestas ágiles mediante los procesos crediticios existentes.</w:t>
      </w:r>
    </w:p>
    <w:p w14:paraId="35901FEE" w14:textId="77777777" w:rsidR="006D3BCA" w:rsidRPr="00701F32" w:rsidRDefault="006D3BCA" w:rsidP="006D3BCA">
      <w:pPr>
        <w:autoSpaceDE w:val="0"/>
        <w:autoSpaceDN w:val="0"/>
        <w:adjustRightInd w:val="0"/>
        <w:spacing w:after="240"/>
        <w:jc w:val="both"/>
        <w:rPr>
          <w:rFonts w:ascii="Arial" w:eastAsia="Calibri" w:hAnsi="Arial" w:cs="Arial"/>
          <w:bCs/>
          <w:sz w:val="20"/>
        </w:rPr>
      </w:pPr>
      <w:r w:rsidRPr="0084331E">
        <w:rPr>
          <w:rFonts w:ascii="Arial" w:eastAsia="Calibri" w:hAnsi="Arial" w:cs="Arial"/>
          <w:sz w:val="20"/>
        </w:rPr>
        <w:t xml:space="preserve">En lo que se refiere a </w:t>
      </w:r>
      <w:r>
        <w:rPr>
          <w:rFonts w:ascii="Arial" w:eastAsia="Calibri" w:hAnsi="Arial" w:cs="Arial"/>
          <w:sz w:val="20"/>
        </w:rPr>
        <w:t>Personas y Negocios,</w:t>
      </w:r>
      <w:r w:rsidRPr="0084331E">
        <w:rPr>
          <w:rFonts w:ascii="Arial" w:eastAsia="Calibri" w:hAnsi="Arial" w:cs="Arial"/>
          <w:sz w:val="20"/>
        </w:rPr>
        <w:t xml:space="preserve"> </w:t>
      </w:r>
      <w:r w:rsidRPr="00F023ED">
        <w:rPr>
          <w:rFonts w:ascii="Arial" w:eastAsia="Calibri" w:hAnsi="Arial" w:cs="Arial"/>
          <w:sz w:val="20"/>
        </w:rPr>
        <w:t>adicionalmente a los segmentos planes sueldo y beneficiarios de haberes previsionales (jubilados), se pone especial foco en Emprendedores y PyMEs</w:t>
      </w:r>
      <w:r>
        <w:rPr>
          <w:rFonts w:ascii="Arial" w:eastAsia="Calibri" w:hAnsi="Arial" w:cs="Arial"/>
          <w:sz w:val="20"/>
        </w:rPr>
        <w:t>, PyMES</w:t>
      </w:r>
      <w:r w:rsidRPr="00F023ED">
        <w:rPr>
          <w:rFonts w:ascii="Arial" w:eastAsia="Calibri" w:hAnsi="Arial" w:cs="Arial"/>
          <w:sz w:val="20"/>
        </w:rPr>
        <w:t xml:space="preserve"> así como el segmento Identité del Banco.</w:t>
      </w:r>
    </w:p>
    <w:p w14:paraId="7525BE61" w14:textId="77777777" w:rsidR="006D3BCA" w:rsidRPr="00701F32" w:rsidRDefault="006D3BCA" w:rsidP="006D3BCA">
      <w:pPr>
        <w:autoSpaceDE w:val="0"/>
        <w:autoSpaceDN w:val="0"/>
        <w:adjustRightInd w:val="0"/>
        <w:spacing w:after="240"/>
        <w:jc w:val="both"/>
        <w:rPr>
          <w:rFonts w:ascii="Arial" w:eastAsia="Calibri" w:hAnsi="Arial" w:cs="Arial"/>
          <w:bCs/>
          <w:sz w:val="20"/>
        </w:rPr>
      </w:pPr>
      <w:r w:rsidRPr="00701F32">
        <w:rPr>
          <w:rFonts w:ascii="Arial" w:eastAsia="Calibri" w:hAnsi="Arial" w:cs="Arial"/>
          <w:bCs/>
          <w:sz w:val="20"/>
        </w:rPr>
        <w:t xml:space="preserve">Por su parte, </w:t>
      </w:r>
      <w:r>
        <w:rPr>
          <w:rFonts w:ascii="Arial" w:eastAsia="Calibri" w:hAnsi="Arial" w:cs="Arial"/>
          <w:bCs/>
          <w:sz w:val="20"/>
        </w:rPr>
        <w:t>la Gerencia Corporativa de Mercado de Capitales y Estructuraciones</w:t>
      </w:r>
      <w:r w:rsidRPr="00701F32">
        <w:rPr>
          <w:rFonts w:ascii="Arial" w:eastAsia="Calibri" w:hAnsi="Arial" w:cs="Arial"/>
          <w:bCs/>
          <w:sz w:val="20"/>
        </w:rPr>
        <w:t xml:space="preserve"> apunta al segmento de negocios fiduciarios; colocación de activos en el mercado de capitales a través de fideicomisos financieros y obligaciones negociables, propios y de terceros; y </w:t>
      </w:r>
      <w:r>
        <w:rPr>
          <w:rFonts w:ascii="Arial" w:eastAsia="Calibri" w:hAnsi="Arial" w:cs="Arial"/>
          <w:bCs/>
          <w:sz w:val="20"/>
        </w:rPr>
        <w:t>por su parte la Gerencia Corporativa de Finanzas tiene dentro de su ámbito de gestión la M</w:t>
      </w:r>
      <w:r w:rsidRPr="00701F32">
        <w:rPr>
          <w:rFonts w:ascii="Arial" w:eastAsia="Calibri" w:hAnsi="Arial" w:cs="Arial"/>
          <w:bCs/>
          <w:sz w:val="20"/>
        </w:rPr>
        <w:t xml:space="preserve">esa de </w:t>
      </w:r>
      <w:r>
        <w:rPr>
          <w:rFonts w:ascii="Arial" w:eastAsia="Calibri" w:hAnsi="Arial" w:cs="Arial"/>
          <w:bCs/>
          <w:sz w:val="20"/>
        </w:rPr>
        <w:t>D</w:t>
      </w:r>
      <w:r w:rsidRPr="00701F32">
        <w:rPr>
          <w:rFonts w:ascii="Arial" w:eastAsia="Calibri" w:hAnsi="Arial" w:cs="Arial"/>
          <w:bCs/>
          <w:sz w:val="20"/>
        </w:rPr>
        <w:t xml:space="preserve">inero. Entre los productos negociados </w:t>
      </w:r>
      <w:r>
        <w:rPr>
          <w:rFonts w:ascii="Arial" w:eastAsia="Calibri" w:hAnsi="Arial" w:cs="Arial"/>
          <w:bCs/>
          <w:sz w:val="20"/>
        </w:rPr>
        <w:t>se encuentran</w:t>
      </w:r>
      <w:r w:rsidRPr="00701F32">
        <w:rPr>
          <w:rFonts w:ascii="Arial" w:eastAsia="Calibri" w:hAnsi="Arial" w:cs="Arial"/>
          <w:bCs/>
          <w:sz w:val="20"/>
        </w:rPr>
        <w:t xml:space="preserve">: call interbancario, pases REPO, call corporate, títulos públicos e instrumentos de política monetaria del Banco Central, </w:t>
      </w:r>
      <w:r>
        <w:rPr>
          <w:rFonts w:ascii="Arial" w:eastAsia="Calibri" w:hAnsi="Arial" w:cs="Arial"/>
          <w:bCs/>
          <w:sz w:val="20"/>
        </w:rPr>
        <w:t>c</w:t>
      </w:r>
      <w:r w:rsidRPr="00701F32">
        <w:rPr>
          <w:rFonts w:ascii="Arial" w:eastAsia="Calibri" w:hAnsi="Arial" w:cs="Arial"/>
          <w:bCs/>
          <w:sz w:val="20"/>
        </w:rPr>
        <w:t xml:space="preserve">ompra </w:t>
      </w:r>
      <w:r>
        <w:rPr>
          <w:rFonts w:ascii="Arial" w:eastAsia="Calibri" w:hAnsi="Arial" w:cs="Arial"/>
          <w:bCs/>
          <w:sz w:val="20"/>
        </w:rPr>
        <w:t xml:space="preserve">de </w:t>
      </w:r>
      <w:r w:rsidRPr="00701F32">
        <w:rPr>
          <w:rFonts w:ascii="Arial" w:eastAsia="Calibri" w:hAnsi="Arial" w:cs="Arial"/>
          <w:bCs/>
          <w:sz w:val="20"/>
        </w:rPr>
        <w:t>cartera de consumo, fideicomisos financieros de terceros, negociación de derivados financieros (futuros, swaps de tasas, etc.), entre otros.</w:t>
      </w:r>
    </w:p>
    <w:p w14:paraId="44059609" w14:textId="77777777" w:rsidR="006D3BCA" w:rsidRDefault="006D3BCA" w:rsidP="006D3BCA">
      <w:pPr>
        <w:autoSpaceDE w:val="0"/>
        <w:autoSpaceDN w:val="0"/>
        <w:adjustRightInd w:val="0"/>
        <w:spacing w:after="240"/>
        <w:jc w:val="both"/>
        <w:rPr>
          <w:rFonts w:ascii="Arial" w:eastAsia="Calibri" w:hAnsi="Arial" w:cs="Arial"/>
          <w:bCs/>
          <w:sz w:val="20"/>
        </w:rPr>
      </w:pPr>
      <w:r w:rsidRPr="00701F32">
        <w:rPr>
          <w:rFonts w:ascii="Arial" w:eastAsia="Calibri" w:hAnsi="Arial" w:cs="Arial"/>
          <w:bCs/>
          <w:sz w:val="20"/>
        </w:rPr>
        <w:t xml:space="preserve">Es voluntad de la Entidad llevar a cabo una estrategia que permita atender sus compromisos contractuales, tanto en condiciones normales de mercado como en situaciones adversas. </w:t>
      </w:r>
    </w:p>
    <w:p w14:paraId="2559A86B" w14:textId="77777777" w:rsidR="006D3BCA" w:rsidRPr="00701F32" w:rsidRDefault="006D3BCA" w:rsidP="006D3BCA">
      <w:pPr>
        <w:autoSpaceDE w:val="0"/>
        <w:autoSpaceDN w:val="0"/>
        <w:adjustRightInd w:val="0"/>
        <w:spacing w:after="240"/>
        <w:jc w:val="both"/>
        <w:rPr>
          <w:rFonts w:ascii="Arial" w:eastAsia="Calibri" w:hAnsi="Arial" w:cs="Arial"/>
          <w:bCs/>
          <w:sz w:val="20"/>
        </w:rPr>
      </w:pPr>
      <w:r w:rsidRPr="00701F32">
        <w:rPr>
          <w:rFonts w:ascii="Arial" w:eastAsia="Calibri" w:hAnsi="Arial" w:cs="Arial"/>
          <w:bCs/>
          <w:sz w:val="20"/>
        </w:rPr>
        <w:t xml:space="preserve">En relación </w:t>
      </w:r>
      <w:r>
        <w:rPr>
          <w:rFonts w:ascii="Arial" w:eastAsia="Calibri" w:hAnsi="Arial" w:cs="Arial"/>
          <w:bCs/>
          <w:sz w:val="20"/>
        </w:rPr>
        <w:t>con</w:t>
      </w:r>
      <w:r w:rsidRPr="00701F32">
        <w:rPr>
          <w:rFonts w:ascii="Arial" w:eastAsia="Calibri" w:hAnsi="Arial" w:cs="Arial"/>
          <w:bCs/>
          <w:sz w:val="20"/>
        </w:rPr>
        <w:t xml:space="preserve"> ello, la entidad cuenta con modelos de scoring y rating con el objetivo de estimar la probabilidad de default (PD) de las distintas carteras de clientes. Vinculado al marco de apetito de riesgo, la Entidad posee cut offs para cada segmento que reflejan el riesgo máximo que están dispuesta a asumir en términos de probabilidad de default.</w:t>
      </w:r>
    </w:p>
    <w:p w14:paraId="7B9EDFD8" w14:textId="77777777" w:rsidR="006D3BCA" w:rsidRPr="00701F32" w:rsidRDefault="006D3BCA" w:rsidP="006D3BCA">
      <w:pPr>
        <w:tabs>
          <w:tab w:val="left" w:pos="0"/>
        </w:tabs>
        <w:spacing w:before="240"/>
        <w:jc w:val="both"/>
        <w:rPr>
          <w:rFonts w:ascii="Arial" w:hAnsi="Arial" w:cs="Arial"/>
          <w:bCs/>
          <w:sz w:val="20"/>
        </w:rPr>
      </w:pPr>
      <w:r w:rsidRPr="00701F32">
        <w:rPr>
          <w:rFonts w:ascii="Arial" w:hAnsi="Arial" w:cs="Arial"/>
          <w:bCs/>
          <w:sz w:val="20"/>
        </w:rPr>
        <w:t>Adicionalmente a los parámetros de PD, se cuenta con estimaciones de los parámetros exposición al default (EAD) y la pérdida dado el default (LGD) con el objetivo de poder estimar las previsiones estadísticas de la cartera del Banco y el capital económico necesario para afrontar las pérdidas inesperadas que puedan ocurrir en materia de riesgo crediticio.</w:t>
      </w:r>
    </w:p>
    <w:p w14:paraId="18FE4C8B" w14:textId="77777777" w:rsidR="006D3BCA" w:rsidRPr="00701F32" w:rsidRDefault="006D3BCA" w:rsidP="006D3BCA">
      <w:pPr>
        <w:tabs>
          <w:tab w:val="left" w:pos="0"/>
        </w:tabs>
        <w:spacing w:before="240"/>
        <w:jc w:val="both"/>
        <w:rPr>
          <w:rFonts w:ascii="Arial" w:hAnsi="Arial" w:cs="Arial"/>
          <w:bCs/>
          <w:sz w:val="20"/>
        </w:rPr>
      </w:pPr>
      <w:r w:rsidRPr="00701F32">
        <w:rPr>
          <w:rFonts w:ascii="Arial" w:hAnsi="Arial" w:cs="Arial"/>
          <w:bCs/>
          <w:sz w:val="20"/>
        </w:rPr>
        <w:t>El Banco tiene como pauta mantener una cartera diversificada y atomizada para minimizar la concentración de riesgos, para lo cual se orienta el otorgamiento del crédito y perfil de cartera objetivo, todo ello ajustado a las circunstancias del momento en que correspondan las mismas.</w:t>
      </w:r>
    </w:p>
    <w:p w14:paraId="6ECB39B3" w14:textId="77777777" w:rsidR="006D3BCA" w:rsidRPr="00701F32" w:rsidRDefault="006D3BCA" w:rsidP="006D3BCA">
      <w:pPr>
        <w:keepNext/>
        <w:tabs>
          <w:tab w:val="left" w:pos="1843"/>
        </w:tabs>
        <w:spacing w:before="240" w:after="60"/>
        <w:jc w:val="both"/>
        <w:outlineLvl w:val="2"/>
        <w:rPr>
          <w:rFonts w:ascii="Arial" w:hAnsi="Arial" w:cs="Arial"/>
          <w:b/>
          <w:sz w:val="20"/>
        </w:rPr>
      </w:pPr>
      <w:bookmarkStart w:id="31" w:name="_Toc373839207"/>
      <w:r w:rsidRPr="00701F32">
        <w:rPr>
          <w:rFonts w:ascii="Arial" w:hAnsi="Arial" w:cs="Arial"/>
          <w:bCs/>
          <w:sz w:val="20"/>
          <w:szCs w:val="22"/>
        </w:rPr>
        <w:t>Modelos de medición del riesgo de crédito</w:t>
      </w:r>
      <w:bookmarkEnd w:id="31"/>
    </w:p>
    <w:p w14:paraId="057173A1" w14:textId="77777777" w:rsidR="006D3BCA" w:rsidRPr="00701F32" w:rsidRDefault="006D3BCA" w:rsidP="006D3BCA">
      <w:pPr>
        <w:spacing w:before="240"/>
        <w:jc w:val="both"/>
        <w:rPr>
          <w:rFonts w:ascii="Arial" w:hAnsi="Arial" w:cs="Arial"/>
          <w:bCs/>
          <w:sz w:val="20"/>
        </w:rPr>
      </w:pPr>
      <w:r w:rsidRPr="00701F32">
        <w:rPr>
          <w:rFonts w:ascii="Arial" w:hAnsi="Arial" w:cs="Arial"/>
          <w:bCs/>
          <w:sz w:val="20"/>
        </w:rPr>
        <w:t xml:space="preserve">La Entidad cuenta con modelos para estimar la distribución de posibles pérdidas de la cartera crediticia, las cuales dependen de la realización de incumplimientos por parte de las contrapartes (PD – probabilidad de incumplimiento), así como de la exposición asumida con ellos (EAD – exposición al momento del incumplimiento) y de la proporción de cada préstamo incumplido que la Entidad sea capaz de recuperar (LGD – pérdida en caso de impago). </w:t>
      </w:r>
    </w:p>
    <w:p w14:paraId="6C6D94AB" w14:textId="77777777" w:rsidR="006D3BCA" w:rsidRDefault="006D3BCA" w:rsidP="006D3BCA">
      <w:pPr>
        <w:spacing w:before="240"/>
        <w:jc w:val="both"/>
        <w:rPr>
          <w:rFonts w:ascii="Arial" w:hAnsi="Arial" w:cs="Arial"/>
          <w:bCs/>
          <w:sz w:val="20"/>
        </w:rPr>
      </w:pPr>
      <w:r w:rsidRPr="00701F32">
        <w:rPr>
          <w:rFonts w:ascii="Arial" w:hAnsi="Arial" w:cs="Arial"/>
          <w:bCs/>
          <w:sz w:val="20"/>
        </w:rPr>
        <w:t>A partir de ello, se desarrollaron en el Banco sistemas que calculan las previsiones estadísticas, capital económico y modelos de Rentabilidad Ajustada al Riesgo (RAROC) con el fin de optimizar la gestión y la toma de decisiones.</w:t>
      </w:r>
    </w:p>
    <w:p w14:paraId="4DF2A922" w14:textId="77777777" w:rsidR="006D3BCA" w:rsidRPr="00701F32" w:rsidRDefault="006D3BCA" w:rsidP="006D3BCA">
      <w:pPr>
        <w:autoSpaceDE w:val="0"/>
        <w:autoSpaceDN w:val="0"/>
        <w:adjustRightInd w:val="0"/>
        <w:spacing w:before="240"/>
        <w:jc w:val="both"/>
        <w:rPr>
          <w:rFonts w:ascii="Arial" w:hAnsi="Arial" w:cs="Arial"/>
          <w:bCs/>
          <w:sz w:val="20"/>
          <w:u w:val="single"/>
        </w:rPr>
      </w:pPr>
      <w:r w:rsidRPr="00701F32">
        <w:rPr>
          <w:rFonts w:ascii="Arial" w:hAnsi="Arial" w:cs="Arial"/>
          <w:bCs/>
          <w:sz w:val="20"/>
          <w:u w:val="single"/>
        </w:rPr>
        <w:t>Cálculo de capital económico</w:t>
      </w:r>
    </w:p>
    <w:p w14:paraId="714F5C22" w14:textId="77777777" w:rsidR="006D3BCA" w:rsidRPr="00701F32" w:rsidRDefault="006D3BCA" w:rsidP="006D3BCA">
      <w:pPr>
        <w:autoSpaceDE w:val="0"/>
        <w:autoSpaceDN w:val="0"/>
        <w:adjustRightInd w:val="0"/>
        <w:spacing w:before="240"/>
        <w:jc w:val="both"/>
        <w:rPr>
          <w:rFonts w:ascii="Arial" w:hAnsi="Arial" w:cs="Arial"/>
          <w:bCs/>
          <w:sz w:val="20"/>
        </w:rPr>
      </w:pPr>
      <w:r w:rsidRPr="00701F32">
        <w:rPr>
          <w:rFonts w:ascii="Arial" w:hAnsi="Arial" w:cs="Arial"/>
          <w:bCs/>
          <w:sz w:val="20"/>
        </w:rPr>
        <w:t xml:space="preserve">El capital económico por riesgo de crédito representa la diferencia entre el valor a riesgo del portafolio (según el nivel de confianza establecido del 99,9% para individuos y 99% para empresas) y las pérdidas esperadas. </w:t>
      </w:r>
    </w:p>
    <w:p w14:paraId="0C8E7BF1" w14:textId="77777777" w:rsidR="006D3BCA" w:rsidRPr="00A059FB" w:rsidRDefault="006D3BCA" w:rsidP="00A059FB">
      <w:pPr>
        <w:pBdr>
          <w:top w:val="nil"/>
          <w:left w:val="nil"/>
          <w:bottom w:val="nil"/>
          <w:right w:val="nil"/>
          <w:between w:val="nil"/>
          <w:bar w:val="nil"/>
        </w:pBdr>
        <w:spacing w:before="240"/>
        <w:jc w:val="both"/>
        <w:rPr>
          <w:rFonts w:ascii="Arial" w:eastAsia="Arial Unicode MS" w:hAnsi="Arial" w:cs="Arial"/>
          <w:sz w:val="20"/>
          <w:u w:color="000000"/>
          <w:bdr w:val="nil"/>
          <w:lang w:val="es-ES_tradnl" w:eastAsia="es-AR"/>
        </w:rPr>
      </w:pPr>
      <w:r w:rsidRPr="00701F32">
        <w:rPr>
          <w:rFonts w:ascii="Arial" w:hAnsi="Arial" w:cs="Arial"/>
          <w:bCs/>
          <w:sz w:val="20"/>
        </w:rPr>
        <w:t xml:space="preserve">La Entidad cuenta con dos modelos de capital económico por riesgo de crédito (uno para individuos y otro para empresas). En dichos modelos cuantitativos se incluye la exacerbación del capital por riesgo de concentración, así como la correspondiente por riesgo de titulización. El holding period utilizado en los modelos de capital económico para el presente riesgo es de un año, con excepción de las exposiciones vinculadas con factoring. Para dichas exposiciones </w:t>
      </w:r>
      <w:r w:rsidRPr="00A059FB">
        <w:rPr>
          <w:rFonts w:ascii="Arial" w:eastAsia="Arial Unicode MS" w:hAnsi="Arial" w:cs="Arial"/>
          <w:sz w:val="20"/>
          <w:u w:color="000000"/>
          <w:bdr w:val="nil"/>
          <w:lang w:val="es-ES_tradnl" w:eastAsia="es-AR"/>
        </w:rPr>
        <w:t xml:space="preserve">se utiliza un holding period de seis meses. </w:t>
      </w:r>
    </w:p>
    <w:p w14:paraId="51357C21" w14:textId="77777777" w:rsidR="006D3BCA" w:rsidRPr="00A059FB" w:rsidRDefault="006D3BCA" w:rsidP="00A059FB">
      <w:pPr>
        <w:pBdr>
          <w:top w:val="nil"/>
          <w:left w:val="nil"/>
          <w:bottom w:val="nil"/>
          <w:right w:val="nil"/>
          <w:between w:val="nil"/>
          <w:bar w:val="nil"/>
        </w:pBdr>
        <w:spacing w:before="240"/>
        <w:jc w:val="both"/>
        <w:rPr>
          <w:rFonts w:ascii="Arial" w:eastAsia="Arial Unicode MS" w:hAnsi="Arial" w:cs="Arial"/>
          <w:sz w:val="20"/>
          <w:u w:color="000000"/>
          <w:bdr w:val="nil"/>
          <w:lang w:val="es-ES_tradnl" w:eastAsia="es-AR"/>
        </w:rPr>
      </w:pPr>
    </w:p>
    <w:p w14:paraId="5A46BB0E" w14:textId="77777777" w:rsidR="006D3BCA" w:rsidRPr="00701F32" w:rsidRDefault="006D3BCA" w:rsidP="006D3BCA">
      <w:pPr>
        <w:autoSpaceDE w:val="0"/>
        <w:autoSpaceDN w:val="0"/>
        <w:spacing w:after="240"/>
        <w:jc w:val="both"/>
        <w:rPr>
          <w:rFonts w:ascii="Arial" w:eastAsia="Arial" w:hAnsi="Arial" w:cs="Arial"/>
          <w:b/>
          <w:bCs/>
          <w:sz w:val="20"/>
          <w:lang w:val="es-ES_tradnl"/>
        </w:rPr>
      </w:pPr>
      <w:r w:rsidRPr="00701F32">
        <w:rPr>
          <w:rFonts w:ascii="Arial" w:hAnsi="Arial" w:cs="Arial"/>
          <w:b/>
          <w:bCs/>
          <w:sz w:val="20"/>
          <w:lang w:val="es-ES_tradnl"/>
        </w:rPr>
        <w:t>Gestión del riesgo de contrapartes</w:t>
      </w:r>
    </w:p>
    <w:p w14:paraId="6682E931" w14:textId="77777777" w:rsidR="006D3BCA" w:rsidRPr="00701F32" w:rsidRDefault="006D3BCA" w:rsidP="006D3BCA">
      <w:pPr>
        <w:pBdr>
          <w:top w:val="nil"/>
          <w:left w:val="nil"/>
          <w:bottom w:val="nil"/>
          <w:right w:val="nil"/>
          <w:between w:val="nil"/>
          <w:bar w:val="nil"/>
        </w:pBdr>
        <w:spacing w:before="240"/>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La Entidad cuenta con un mapa de riesgos de contraparte donde se define por cada contraparte en función al apetito de riesgo de la Entidad: límites de exposición crediticia y liquidación (Settlement), riesgo liquidación (Settlement) en cambios, títulos, operaciones de pases entre otros aspectos que la Entidad aprueba en el Comité de Créditos y definiendo un marco de acción para finanzas.</w:t>
      </w:r>
    </w:p>
    <w:p w14:paraId="2A0CF0CC" w14:textId="4738E63A" w:rsidR="00EB6617" w:rsidRPr="00701F32" w:rsidRDefault="006D3BCA" w:rsidP="006D3BCA">
      <w:pPr>
        <w:pBdr>
          <w:top w:val="nil"/>
          <w:left w:val="nil"/>
          <w:bottom w:val="nil"/>
          <w:right w:val="nil"/>
          <w:between w:val="nil"/>
          <w:bar w:val="nil"/>
        </w:pBdr>
        <w:spacing w:before="240"/>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En lo que se refiere al capital económico por el riesgo de contraparte se encuentra incluido en el modelo cuantitativo de capital económico por riesgo de crédito.</w:t>
      </w:r>
    </w:p>
    <w:p w14:paraId="4D7E85EB" w14:textId="77777777" w:rsidR="00EB6617" w:rsidRPr="00701F32" w:rsidRDefault="00EB6617" w:rsidP="00EB6617">
      <w:pPr>
        <w:pBdr>
          <w:top w:val="nil"/>
          <w:left w:val="nil"/>
          <w:bottom w:val="nil"/>
          <w:right w:val="nil"/>
          <w:between w:val="nil"/>
          <w:bar w:val="nil"/>
        </w:pBdr>
        <w:jc w:val="both"/>
        <w:rPr>
          <w:rFonts w:ascii="Arial" w:eastAsia="Arial Unicode MS" w:hAnsi="Arial" w:cs="Arial"/>
          <w:sz w:val="20"/>
          <w:u w:color="000000"/>
          <w:bdr w:val="nil"/>
          <w:lang w:val="es-ES_tradnl" w:eastAsia="es-AR"/>
        </w:rPr>
      </w:pPr>
    </w:p>
    <w:p w14:paraId="09E470FA" w14:textId="77777777" w:rsidR="00EB6617" w:rsidRPr="00701F32" w:rsidRDefault="00EB6617" w:rsidP="00EB6617">
      <w:pPr>
        <w:spacing w:after="160" w:line="259" w:lineRule="auto"/>
        <w:jc w:val="both"/>
        <w:rPr>
          <w:rFonts w:ascii="Arial" w:eastAsia="Arial" w:hAnsi="Arial" w:cs="Arial"/>
          <w:b/>
          <w:sz w:val="20"/>
        </w:rPr>
      </w:pPr>
      <w:r w:rsidRPr="00701F32">
        <w:rPr>
          <w:rFonts w:ascii="Arial" w:eastAsia="Arial" w:hAnsi="Arial" w:cs="Arial"/>
          <w:b/>
          <w:sz w:val="20"/>
        </w:rPr>
        <w:t>Deterioro de Instrumentos Financieros</w:t>
      </w:r>
    </w:p>
    <w:p w14:paraId="1BCEC9D0" w14:textId="77777777" w:rsidR="00EB6617" w:rsidRPr="00701F32" w:rsidRDefault="00EB6617" w:rsidP="00EB6617">
      <w:pPr>
        <w:spacing w:after="160" w:line="259" w:lineRule="auto"/>
        <w:jc w:val="both"/>
        <w:rPr>
          <w:rFonts w:ascii="Arial" w:eastAsia="Arial" w:hAnsi="Arial" w:cs="Arial"/>
          <w:sz w:val="20"/>
        </w:rPr>
      </w:pPr>
      <w:r w:rsidRPr="00701F32">
        <w:rPr>
          <w:rFonts w:ascii="Arial" w:eastAsia="Arial" w:hAnsi="Arial" w:cs="Arial"/>
          <w:sz w:val="20"/>
        </w:rPr>
        <w:t>La Entidad previsiona los préstamos de acuerdo al tipo de cartera del préstamo, realizando un análisis individual para cada cliente en el caso de aquellos clasificados como “Cartera Comercial” y un análisis masivo en base a los días de mora para aquellos clientes clasificados como “Cartera Asimilable a Consumo”</w:t>
      </w:r>
      <w:r>
        <w:rPr>
          <w:rFonts w:ascii="Arial" w:eastAsia="Arial" w:hAnsi="Arial" w:cs="Arial"/>
          <w:sz w:val="20"/>
        </w:rPr>
        <w:t xml:space="preserve"> y </w:t>
      </w:r>
      <w:r w:rsidRPr="00701F32">
        <w:rPr>
          <w:rFonts w:ascii="Arial" w:eastAsia="Arial" w:hAnsi="Arial" w:cs="Arial"/>
          <w:sz w:val="20"/>
        </w:rPr>
        <w:t>“Cartera de Consumo”. Ver en Nota 1.1</w:t>
      </w:r>
      <w:r>
        <w:rPr>
          <w:rFonts w:ascii="Arial" w:eastAsia="Arial" w:hAnsi="Arial" w:cs="Arial"/>
          <w:sz w:val="20"/>
        </w:rPr>
        <w:t>3</w:t>
      </w:r>
      <w:r w:rsidRPr="00701F32">
        <w:rPr>
          <w:rFonts w:ascii="Arial" w:eastAsia="Arial" w:hAnsi="Arial" w:cs="Arial"/>
          <w:sz w:val="20"/>
        </w:rPr>
        <w:t xml:space="preserve"> los criterios de previsionamiento seguidos.</w:t>
      </w:r>
    </w:p>
    <w:p w14:paraId="672103BB" w14:textId="5E8349E8" w:rsidR="00EB6617" w:rsidRDefault="00EB6617" w:rsidP="00EB6617">
      <w:pPr>
        <w:spacing w:after="160" w:line="259" w:lineRule="auto"/>
        <w:jc w:val="both"/>
        <w:rPr>
          <w:rFonts w:ascii="Arial" w:eastAsia="Arial" w:hAnsi="Arial" w:cs="Arial"/>
          <w:sz w:val="20"/>
        </w:rPr>
      </w:pPr>
      <w:r w:rsidRPr="00701F32">
        <w:rPr>
          <w:rFonts w:ascii="Arial" w:eastAsia="Arial" w:hAnsi="Arial" w:cs="Arial"/>
          <w:sz w:val="20"/>
        </w:rPr>
        <w:t xml:space="preserve">A continuación, se detallan los movimientos de las previsiones por deterioro </w:t>
      </w:r>
      <w:r>
        <w:rPr>
          <w:rFonts w:ascii="Arial" w:eastAsia="Arial" w:hAnsi="Arial" w:cs="Arial"/>
          <w:sz w:val="20"/>
        </w:rPr>
        <w:t xml:space="preserve">al 31 de diciembre </w:t>
      </w:r>
      <w:r w:rsidRPr="00701F32">
        <w:rPr>
          <w:rFonts w:ascii="Arial" w:eastAsia="Arial" w:hAnsi="Arial" w:cs="Arial"/>
          <w:sz w:val="20"/>
        </w:rPr>
        <w:t>de 201</w:t>
      </w:r>
      <w:r>
        <w:rPr>
          <w:rFonts w:ascii="Arial" w:eastAsia="Arial" w:hAnsi="Arial" w:cs="Arial"/>
          <w:sz w:val="20"/>
        </w:rPr>
        <w:t>9 y 2018</w:t>
      </w:r>
      <w:r w:rsidRPr="00701F32">
        <w:rPr>
          <w:rFonts w:ascii="Arial" w:eastAsia="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89"/>
        <w:gridCol w:w="2649"/>
        <w:gridCol w:w="3107"/>
      </w:tblGrid>
      <w:tr w:rsidR="00EB6617" w:rsidRPr="00701F32" w14:paraId="77F25DF2" w14:textId="77777777" w:rsidTr="00EB6617">
        <w:trPr>
          <w:trHeight w:val="254"/>
        </w:trPr>
        <w:tc>
          <w:tcPr>
            <w:tcW w:w="1671" w:type="pct"/>
            <w:shd w:val="clear" w:color="auto" w:fill="auto"/>
            <w:noWrap/>
            <w:vAlign w:val="bottom"/>
          </w:tcPr>
          <w:p w14:paraId="78990E99" w14:textId="77777777" w:rsidR="00EB6617" w:rsidRDefault="00EB6617" w:rsidP="00EB6617">
            <w:pPr>
              <w:spacing w:line="259" w:lineRule="auto"/>
              <w:jc w:val="both"/>
              <w:rPr>
                <w:rFonts w:ascii="Arial" w:hAnsi="Arial" w:cs="Arial"/>
                <w:color w:val="000000"/>
                <w:sz w:val="20"/>
                <w:lang w:eastAsia="es-AR"/>
              </w:rPr>
            </w:pPr>
          </w:p>
        </w:tc>
        <w:tc>
          <w:tcPr>
            <w:tcW w:w="1532" w:type="pct"/>
          </w:tcPr>
          <w:p w14:paraId="3C3D4156" w14:textId="29A7CDCE" w:rsidR="00EB6617" w:rsidRPr="00803647" w:rsidRDefault="00EB6617" w:rsidP="00EB6617">
            <w:pPr>
              <w:spacing w:line="259" w:lineRule="auto"/>
              <w:jc w:val="center"/>
              <w:rPr>
                <w:rFonts w:ascii="Arial" w:hAnsi="Arial" w:cs="Arial"/>
                <w:b/>
                <w:color w:val="000000"/>
                <w:sz w:val="20"/>
                <w:lang w:eastAsia="es-AR"/>
              </w:rPr>
            </w:pPr>
            <w:r>
              <w:rPr>
                <w:rFonts w:ascii="Arial" w:hAnsi="Arial" w:cs="Arial"/>
                <w:b/>
                <w:color w:val="000000"/>
                <w:sz w:val="20"/>
                <w:lang w:eastAsia="es-AR"/>
              </w:rPr>
              <w:t>31/12/2019</w:t>
            </w:r>
          </w:p>
        </w:tc>
        <w:tc>
          <w:tcPr>
            <w:tcW w:w="1798" w:type="pct"/>
            <w:shd w:val="clear" w:color="auto" w:fill="auto"/>
            <w:noWrap/>
            <w:vAlign w:val="bottom"/>
          </w:tcPr>
          <w:p w14:paraId="22D1F27A" w14:textId="3CAC6220" w:rsidR="00EB6617" w:rsidRPr="00803647" w:rsidRDefault="00EB6617" w:rsidP="00EB6617">
            <w:pPr>
              <w:spacing w:line="259" w:lineRule="auto"/>
              <w:jc w:val="center"/>
              <w:rPr>
                <w:rFonts w:ascii="Arial" w:hAnsi="Arial" w:cs="Arial"/>
                <w:b/>
                <w:color w:val="000000"/>
                <w:sz w:val="20"/>
                <w:lang w:eastAsia="es-AR"/>
              </w:rPr>
            </w:pPr>
            <w:r w:rsidRPr="00803647">
              <w:rPr>
                <w:rFonts w:ascii="Arial" w:hAnsi="Arial" w:cs="Arial"/>
                <w:b/>
                <w:color w:val="000000"/>
                <w:sz w:val="20"/>
                <w:lang w:eastAsia="es-AR"/>
              </w:rPr>
              <w:t>31/12/2018</w:t>
            </w:r>
          </w:p>
        </w:tc>
      </w:tr>
      <w:tr w:rsidR="00EB6617" w:rsidRPr="00701F32" w14:paraId="3DFB5D7E" w14:textId="77777777" w:rsidTr="00EB6617">
        <w:trPr>
          <w:trHeight w:val="254"/>
        </w:trPr>
        <w:tc>
          <w:tcPr>
            <w:tcW w:w="1671" w:type="pct"/>
            <w:shd w:val="clear" w:color="auto" w:fill="auto"/>
            <w:noWrap/>
            <w:vAlign w:val="bottom"/>
            <w:hideMark/>
          </w:tcPr>
          <w:p w14:paraId="280AF7D7" w14:textId="77777777" w:rsidR="00EB6617" w:rsidRPr="00701F32" w:rsidRDefault="00EB6617" w:rsidP="00EB6617">
            <w:pPr>
              <w:spacing w:line="259" w:lineRule="auto"/>
              <w:jc w:val="both"/>
              <w:rPr>
                <w:rFonts w:ascii="Arial" w:hAnsi="Arial" w:cs="Arial"/>
                <w:color w:val="000000"/>
                <w:sz w:val="20"/>
                <w:lang w:eastAsia="es-AR"/>
              </w:rPr>
            </w:pPr>
            <w:bookmarkStart w:id="32" w:name="_Hlk536386"/>
            <w:r>
              <w:rPr>
                <w:rFonts w:ascii="Arial" w:hAnsi="Arial" w:cs="Arial"/>
                <w:color w:val="000000"/>
                <w:sz w:val="20"/>
                <w:lang w:eastAsia="es-AR"/>
              </w:rPr>
              <w:t>S</w:t>
            </w:r>
            <w:r w:rsidRPr="00701F32">
              <w:rPr>
                <w:rFonts w:ascii="Arial" w:hAnsi="Arial" w:cs="Arial"/>
                <w:color w:val="000000"/>
                <w:sz w:val="20"/>
                <w:lang w:eastAsia="es-AR"/>
              </w:rPr>
              <w:t xml:space="preserve">aldo </w:t>
            </w:r>
            <w:r>
              <w:rPr>
                <w:rFonts w:ascii="Arial" w:hAnsi="Arial" w:cs="Arial"/>
                <w:color w:val="000000"/>
                <w:sz w:val="20"/>
                <w:lang w:eastAsia="es-AR"/>
              </w:rPr>
              <w:t>al comienzo del ejercicio</w:t>
            </w:r>
          </w:p>
        </w:tc>
        <w:tc>
          <w:tcPr>
            <w:tcW w:w="1532" w:type="pct"/>
          </w:tcPr>
          <w:p w14:paraId="4B6F9393" w14:textId="0C8C6BB5" w:rsidR="00EB6617" w:rsidRDefault="00516AD8" w:rsidP="00EB6617">
            <w:pPr>
              <w:spacing w:line="259" w:lineRule="auto"/>
              <w:jc w:val="right"/>
              <w:rPr>
                <w:rFonts w:ascii="Arial" w:hAnsi="Arial" w:cs="Arial"/>
                <w:color w:val="000000"/>
                <w:sz w:val="20"/>
                <w:lang w:eastAsia="es-AR"/>
              </w:rPr>
            </w:pPr>
            <w:r>
              <w:rPr>
                <w:rFonts w:ascii="Arial" w:hAnsi="Arial" w:cs="Arial"/>
                <w:color w:val="000000"/>
                <w:sz w:val="20"/>
                <w:lang w:eastAsia="es-AR"/>
              </w:rPr>
              <w:t>3.289.860</w:t>
            </w:r>
          </w:p>
        </w:tc>
        <w:tc>
          <w:tcPr>
            <w:tcW w:w="1798" w:type="pct"/>
            <w:shd w:val="clear" w:color="auto" w:fill="auto"/>
            <w:noWrap/>
            <w:vAlign w:val="bottom"/>
            <w:hideMark/>
          </w:tcPr>
          <w:p w14:paraId="47D2AE60" w14:textId="150066AC" w:rsidR="00EB6617" w:rsidRPr="00477D4B" w:rsidRDefault="00EB6617" w:rsidP="00EB6617">
            <w:pPr>
              <w:spacing w:line="259" w:lineRule="auto"/>
              <w:jc w:val="right"/>
              <w:rPr>
                <w:rFonts w:ascii="Arial" w:hAnsi="Arial" w:cs="Arial"/>
                <w:color w:val="000000"/>
                <w:sz w:val="20"/>
                <w:lang w:eastAsia="es-AR"/>
              </w:rPr>
            </w:pPr>
            <w:r>
              <w:rPr>
                <w:rFonts w:ascii="Arial" w:hAnsi="Arial" w:cs="Arial"/>
                <w:color w:val="000000"/>
                <w:sz w:val="20"/>
                <w:lang w:eastAsia="es-AR"/>
              </w:rPr>
              <w:t>1.702.378</w:t>
            </w:r>
          </w:p>
        </w:tc>
      </w:tr>
      <w:tr w:rsidR="00EB6617" w:rsidRPr="00701F32" w14:paraId="21E1BD11" w14:textId="77777777" w:rsidTr="00EB6617">
        <w:trPr>
          <w:trHeight w:val="254"/>
        </w:trPr>
        <w:tc>
          <w:tcPr>
            <w:tcW w:w="1671" w:type="pct"/>
            <w:shd w:val="clear" w:color="auto" w:fill="auto"/>
            <w:noWrap/>
            <w:vAlign w:val="bottom"/>
            <w:hideMark/>
          </w:tcPr>
          <w:p w14:paraId="6F3E79AC" w14:textId="77777777" w:rsidR="00EB6617" w:rsidRPr="00701F32" w:rsidRDefault="00EB6617" w:rsidP="00EB6617">
            <w:pPr>
              <w:spacing w:line="259" w:lineRule="auto"/>
              <w:jc w:val="both"/>
              <w:rPr>
                <w:rFonts w:ascii="Arial" w:hAnsi="Arial" w:cs="Arial"/>
                <w:color w:val="000000"/>
                <w:sz w:val="20"/>
                <w:lang w:eastAsia="es-AR"/>
              </w:rPr>
            </w:pPr>
            <w:r>
              <w:rPr>
                <w:rFonts w:ascii="Arial" w:hAnsi="Arial" w:cs="Arial"/>
                <w:color w:val="000000"/>
                <w:sz w:val="20"/>
                <w:lang w:eastAsia="es-AR"/>
              </w:rPr>
              <w:t>Cargos</w:t>
            </w:r>
            <w:r w:rsidRPr="00701F32">
              <w:rPr>
                <w:rFonts w:ascii="Arial" w:hAnsi="Arial" w:cs="Arial"/>
                <w:color w:val="000000"/>
                <w:sz w:val="20"/>
                <w:lang w:eastAsia="es-AR"/>
              </w:rPr>
              <w:t xml:space="preserve"> del ejercicio</w:t>
            </w:r>
          </w:p>
        </w:tc>
        <w:tc>
          <w:tcPr>
            <w:tcW w:w="1532" w:type="pct"/>
          </w:tcPr>
          <w:p w14:paraId="6AF30813" w14:textId="1A84529F" w:rsidR="00EB6617" w:rsidRDefault="00E4492E" w:rsidP="00EB6617">
            <w:pPr>
              <w:spacing w:line="259" w:lineRule="auto"/>
              <w:jc w:val="right"/>
              <w:rPr>
                <w:rFonts w:ascii="Arial" w:hAnsi="Arial" w:cs="Arial"/>
                <w:color w:val="000000"/>
                <w:sz w:val="20"/>
                <w:lang w:eastAsia="es-AR"/>
              </w:rPr>
            </w:pPr>
            <w:r>
              <w:rPr>
                <w:rFonts w:ascii="Arial" w:hAnsi="Arial" w:cs="Arial"/>
                <w:color w:val="000000"/>
                <w:sz w:val="20"/>
                <w:lang w:eastAsia="es-AR"/>
              </w:rPr>
              <w:t>5.676.750</w:t>
            </w:r>
          </w:p>
        </w:tc>
        <w:tc>
          <w:tcPr>
            <w:tcW w:w="1798" w:type="pct"/>
            <w:shd w:val="clear" w:color="auto" w:fill="auto"/>
            <w:noWrap/>
            <w:vAlign w:val="bottom"/>
            <w:hideMark/>
          </w:tcPr>
          <w:p w14:paraId="4ACE9F97" w14:textId="127D45FF" w:rsidR="00EB6617" w:rsidRPr="00477D4B" w:rsidRDefault="00EB6617" w:rsidP="00EB6617">
            <w:pPr>
              <w:spacing w:line="259" w:lineRule="auto"/>
              <w:jc w:val="right"/>
              <w:rPr>
                <w:rFonts w:ascii="Arial" w:hAnsi="Arial" w:cs="Arial"/>
                <w:color w:val="000000"/>
                <w:sz w:val="20"/>
                <w:lang w:eastAsia="es-AR"/>
              </w:rPr>
            </w:pPr>
            <w:r>
              <w:rPr>
                <w:rFonts w:ascii="Arial" w:hAnsi="Arial" w:cs="Arial"/>
                <w:color w:val="000000"/>
                <w:sz w:val="20"/>
                <w:lang w:eastAsia="es-AR"/>
              </w:rPr>
              <w:t>3.617.060</w:t>
            </w:r>
          </w:p>
        </w:tc>
      </w:tr>
      <w:tr w:rsidR="00EB6617" w:rsidRPr="00701F32" w14:paraId="702B42BB" w14:textId="77777777" w:rsidTr="00EB6617">
        <w:trPr>
          <w:trHeight w:val="254"/>
        </w:trPr>
        <w:tc>
          <w:tcPr>
            <w:tcW w:w="1671" w:type="pct"/>
            <w:shd w:val="clear" w:color="auto" w:fill="auto"/>
            <w:noWrap/>
            <w:vAlign w:val="bottom"/>
            <w:hideMark/>
          </w:tcPr>
          <w:p w14:paraId="6C1EEA26" w14:textId="77777777" w:rsidR="00EB6617" w:rsidRPr="00701F32" w:rsidRDefault="00EB6617" w:rsidP="00EB6617">
            <w:pPr>
              <w:spacing w:line="259" w:lineRule="auto"/>
              <w:jc w:val="both"/>
              <w:rPr>
                <w:rFonts w:ascii="Arial" w:hAnsi="Arial" w:cs="Arial"/>
                <w:color w:val="000000"/>
                <w:sz w:val="20"/>
                <w:lang w:eastAsia="es-AR"/>
              </w:rPr>
            </w:pPr>
            <w:r w:rsidRPr="00701F32">
              <w:rPr>
                <w:rFonts w:ascii="Arial" w:hAnsi="Arial" w:cs="Arial"/>
                <w:color w:val="000000"/>
                <w:sz w:val="20"/>
                <w:lang w:eastAsia="es-AR"/>
              </w:rPr>
              <w:t>Write Off</w:t>
            </w:r>
            <w:r>
              <w:rPr>
                <w:rFonts w:ascii="Arial" w:hAnsi="Arial" w:cs="Arial"/>
                <w:color w:val="000000"/>
                <w:sz w:val="20"/>
                <w:lang w:eastAsia="es-AR"/>
              </w:rPr>
              <w:t xml:space="preserve"> y Reversos</w:t>
            </w:r>
          </w:p>
        </w:tc>
        <w:tc>
          <w:tcPr>
            <w:tcW w:w="1532" w:type="pct"/>
          </w:tcPr>
          <w:p w14:paraId="2338AECE" w14:textId="045F4B2F" w:rsidR="00EB6617" w:rsidRDefault="00E4492E" w:rsidP="00EB6617">
            <w:pPr>
              <w:spacing w:line="259" w:lineRule="auto"/>
              <w:jc w:val="right"/>
              <w:rPr>
                <w:rFonts w:ascii="Arial" w:hAnsi="Arial" w:cs="Arial"/>
                <w:color w:val="000000"/>
                <w:sz w:val="20"/>
                <w:lang w:eastAsia="es-AR"/>
              </w:rPr>
            </w:pPr>
            <w:r>
              <w:rPr>
                <w:rFonts w:ascii="Arial" w:hAnsi="Arial" w:cs="Arial"/>
                <w:color w:val="000000"/>
                <w:sz w:val="20"/>
                <w:lang w:eastAsia="es-AR"/>
              </w:rPr>
              <w:t>(3.034.797)</w:t>
            </w:r>
          </w:p>
        </w:tc>
        <w:tc>
          <w:tcPr>
            <w:tcW w:w="1798" w:type="pct"/>
            <w:shd w:val="clear" w:color="auto" w:fill="auto"/>
            <w:noWrap/>
            <w:vAlign w:val="bottom"/>
            <w:hideMark/>
          </w:tcPr>
          <w:p w14:paraId="79099DC0" w14:textId="0889A2D6" w:rsidR="00EB6617" w:rsidRPr="00477D4B" w:rsidRDefault="00EB6617" w:rsidP="00EB6617">
            <w:pPr>
              <w:spacing w:line="259" w:lineRule="auto"/>
              <w:jc w:val="right"/>
              <w:rPr>
                <w:rFonts w:ascii="Arial" w:hAnsi="Arial" w:cs="Arial"/>
                <w:color w:val="000000"/>
                <w:sz w:val="20"/>
                <w:lang w:eastAsia="es-AR"/>
              </w:rPr>
            </w:pPr>
            <w:r>
              <w:rPr>
                <w:rFonts w:ascii="Arial" w:hAnsi="Arial" w:cs="Arial"/>
                <w:color w:val="000000"/>
                <w:sz w:val="20"/>
                <w:lang w:eastAsia="es-AR"/>
              </w:rPr>
              <w:t>(2.007.947</w:t>
            </w:r>
            <w:r w:rsidRPr="00477D4B">
              <w:rPr>
                <w:rFonts w:ascii="Arial" w:hAnsi="Arial" w:cs="Arial"/>
                <w:color w:val="000000"/>
                <w:sz w:val="20"/>
                <w:lang w:eastAsia="es-AR"/>
              </w:rPr>
              <w:t>)</w:t>
            </w:r>
          </w:p>
        </w:tc>
      </w:tr>
      <w:tr w:rsidR="00EB6617" w:rsidRPr="00701F32" w14:paraId="1FC75EEA" w14:textId="77777777" w:rsidTr="00EB6617">
        <w:trPr>
          <w:trHeight w:val="254"/>
        </w:trPr>
        <w:tc>
          <w:tcPr>
            <w:tcW w:w="1671" w:type="pct"/>
            <w:shd w:val="clear" w:color="auto" w:fill="auto"/>
            <w:noWrap/>
            <w:vAlign w:val="bottom"/>
            <w:hideMark/>
          </w:tcPr>
          <w:p w14:paraId="46ABF712" w14:textId="77777777" w:rsidR="00EB6617" w:rsidRPr="00701F32" w:rsidRDefault="00EB6617" w:rsidP="00EB6617">
            <w:pPr>
              <w:spacing w:line="259" w:lineRule="auto"/>
              <w:jc w:val="both"/>
              <w:rPr>
                <w:rFonts w:ascii="Arial" w:hAnsi="Arial" w:cs="Arial"/>
                <w:color w:val="000000"/>
                <w:sz w:val="20"/>
                <w:lang w:eastAsia="es-AR"/>
              </w:rPr>
            </w:pPr>
            <w:r>
              <w:rPr>
                <w:rFonts w:ascii="Arial" w:hAnsi="Arial" w:cs="Arial"/>
                <w:color w:val="000000"/>
                <w:sz w:val="20"/>
                <w:lang w:eastAsia="es-AR"/>
              </w:rPr>
              <w:t>Variación de previsión Global</w:t>
            </w:r>
          </w:p>
        </w:tc>
        <w:tc>
          <w:tcPr>
            <w:tcW w:w="1532" w:type="pct"/>
          </w:tcPr>
          <w:p w14:paraId="46D3F11A" w14:textId="001F9D14" w:rsidR="00EB6617" w:rsidRDefault="00E4492E" w:rsidP="00EB6617">
            <w:pPr>
              <w:spacing w:line="259" w:lineRule="auto"/>
              <w:jc w:val="right"/>
              <w:rPr>
                <w:rFonts w:ascii="Arial" w:hAnsi="Arial" w:cs="Arial"/>
                <w:color w:val="000000"/>
                <w:sz w:val="20"/>
                <w:lang w:eastAsia="es-AR"/>
              </w:rPr>
            </w:pPr>
            <w:r>
              <w:rPr>
                <w:rFonts w:ascii="Arial" w:hAnsi="Arial" w:cs="Arial"/>
                <w:color w:val="000000"/>
                <w:sz w:val="20"/>
                <w:lang w:eastAsia="es-AR"/>
              </w:rPr>
              <w:t>(57.317)</w:t>
            </w:r>
          </w:p>
        </w:tc>
        <w:tc>
          <w:tcPr>
            <w:tcW w:w="1798" w:type="pct"/>
            <w:shd w:val="clear" w:color="auto" w:fill="auto"/>
            <w:noWrap/>
            <w:vAlign w:val="bottom"/>
            <w:hideMark/>
          </w:tcPr>
          <w:p w14:paraId="4E324B93" w14:textId="036D1745" w:rsidR="00EB6617" w:rsidRPr="00477D4B" w:rsidRDefault="00EB6617" w:rsidP="00EB6617">
            <w:pPr>
              <w:spacing w:line="259" w:lineRule="auto"/>
              <w:jc w:val="right"/>
              <w:rPr>
                <w:rFonts w:ascii="Arial" w:hAnsi="Arial" w:cs="Arial"/>
                <w:color w:val="000000"/>
                <w:sz w:val="20"/>
                <w:lang w:eastAsia="es-AR"/>
              </w:rPr>
            </w:pPr>
            <w:r>
              <w:rPr>
                <w:rFonts w:ascii="Arial" w:hAnsi="Arial" w:cs="Arial"/>
                <w:color w:val="000000"/>
                <w:sz w:val="20"/>
                <w:lang w:eastAsia="es-AR"/>
              </w:rPr>
              <w:t>(21.63</w:t>
            </w:r>
            <w:r w:rsidR="00437E0D">
              <w:rPr>
                <w:rFonts w:ascii="Arial" w:hAnsi="Arial" w:cs="Arial"/>
                <w:color w:val="000000"/>
                <w:sz w:val="20"/>
                <w:lang w:eastAsia="es-AR"/>
              </w:rPr>
              <w:t>1</w:t>
            </w:r>
            <w:r>
              <w:rPr>
                <w:rFonts w:ascii="Arial" w:hAnsi="Arial" w:cs="Arial"/>
                <w:color w:val="000000"/>
                <w:sz w:val="20"/>
                <w:lang w:eastAsia="es-AR"/>
              </w:rPr>
              <w:t>)</w:t>
            </w:r>
          </w:p>
        </w:tc>
      </w:tr>
      <w:tr w:rsidR="00EB6617" w:rsidRPr="00701F32" w14:paraId="79F62991" w14:textId="77777777" w:rsidTr="00EB6617">
        <w:trPr>
          <w:trHeight w:val="254"/>
        </w:trPr>
        <w:tc>
          <w:tcPr>
            <w:tcW w:w="1671" w:type="pct"/>
            <w:shd w:val="clear" w:color="auto" w:fill="auto"/>
            <w:noWrap/>
            <w:vAlign w:val="bottom"/>
            <w:hideMark/>
          </w:tcPr>
          <w:p w14:paraId="3E90F3ED" w14:textId="77777777" w:rsidR="00EB6617" w:rsidRPr="00701F32" w:rsidRDefault="00EB6617" w:rsidP="00EB6617">
            <w:pPr>
              <w:spacing w:line="259" w:lineRule="auto"/>
              <w:jc w:val="both"/>
              <w:rPr>
                <w:rFonts w:ascii="Arial" w:hAnsi="Arial" w:cs="Arial"/>
                <w:b/>
                <w:bCs/>
                <w:color w:val="000000"/>
                <w:sz w:val="20"/>
                <w:lang w:eastAsia="es-AR"/>
              </w:rPr>
            </w:pPr>
            <w:r w:rsidRPr="00701F32">
              <w:rPr>
                <w:rFonts w:ascii="Arial" w:hAnsi="Arial" w:cs="Arial"/>
                <w:b/>
                <w:bCs/>
                <w:color w:val="000000"/>
                <w:sz w:val="20"/>
                <w:lang w:eastAsia="es-AR"/>
              </w:rPr>
              <w:t>Saldo final</w:t>
            </w:r>
          </w:p>
        </w:tc>
        <w:tc>
          <w:tcPr>
            <w:tcW w:w="1532" w:type="pct"/>
          </w:tcPr>
          <w:p w14:paraId="4F4CD02B" w14:textId="6CA279E8" w:rsidR="00EB6617" w:rsidRDefault="00E4492E" w:rsidP="00EB6617">
            <w:pPr>
              <w:spacing w:line="259" w:lineRule="auto"/>
              <w:jc w:val="right"/>
              <w:rPr>
                <w:rFonts w:ascii="Arial" w:hAnsi="Arial" w:cs="Arial"/>
                <w:b/>
                <w:bCs/>
                <w:color w:val="000000"/>
                <w:sz w:val="20"/>
                <w:lang w:eastAsia="es-AR"/>
              </w:rPr>
            </w:pPr>
            <w:r>
              <w:rPr>
                <w:rFonts w:ascii="Arial" w:hAnsi="Arial" w:cs="Arial"/>
                <w:b/>
                <w:bCs/>
                <w:color w:val="000000"/>
                <w:sz w:val="20"/>
                <w:lang w:eastAsia="es-AR"/>
              </w:rPr>
              <w:t>5.874.496</w:t>
            </w:r>
          </w:p>
        </w:tc>
        <w:tc>
          <w:tcPr>
            <w:tcW w:w="1798" w:type="pct"/>
            <w:shd w:val="clear" w:color="auto" w:fill="auto"/>
            <w:noWrap/>
            <w:vAlign w:val="bottom"/>
            <w:hideMark/>
          </w:tcPr>
          <w:p w14:paraId="59EA986C" w14:textId="417BD8B8" w:rsidR="00EB6617" w:rsidRPr="00477D4B" w:rsidRDefault="00EB6617" w:rsidP="00EB6617">
            <w:pPr>
              <w:spacing w:line="259" w:lineRule="auto"/>
              <w:jc w:val="right"/>
              <w:rPr>
                <w:rFonts w:ascii="Arial" w:hAnsi="Arial" w:cs="Arial"/>
                <w:b/>
                <w:bCs/>
                <w:color w:val="000000"/>
                <w:sz w:val="20"/>
                <w:lang w:eastAsia="es-AR"/>
              </w:rPr>
            </w:pPr>
            <w:r>
              <w:rPr>
                <w:rFonts w:ascii="Arial" w:hAnsi="Arial" w:cs="Arial"/>
                <w:b/>
                <w:bCs/>
                <w:color w:val="000000"/>
                <w:sz w:val="20"/>
                <w:lang w:eastAsia="es-AR"/>
              </w:rPr>
              <w:t>3</w:t>
            </w:r>
            <w:r w:rsidRPr="00477D4B">
              <w:rPr>
                <w:rFonts w:ascii="Arial" w:hAnsi="Arial" w:cs="Arial"/>
                <w:b/>
                <w:bCs/>
                <w:color w:val="000000"/>
                <w:sz w:val="20"/>
                <w:lang w:eastAsia="es-AR"/>
              </w:rPr>
              <w:t>.</w:t>
            </w:r>
            <w:r>
              <w:rPr>
                <w:rFonts w:ascii="Arial" w:hAnsi="Arial" w:cs="Arial"/>
                <w:b/>
                <w:bCs/>
                <w:color w:val="000000"/>
                <w:sz w:val="20"/>
                <w:lang w:eastAsia="es-AR"/>
              </w:rPr>
              <w:t>289</w:t>
            </w:r>
            <w:r w:rsidRPr="00477D4B">
              <w:rPr>
                <w:rFonts w:ascii="Arial" w:hAnsi="Arial" w:cs="Arial"/>
                <w:b/>
                <w:bCs/>
                <w:color w:val="000000"/>
                <w:sz w:val="20"/>
                <w:lang w:eastAsia="es-AR"/>
              </w:rPr>
              <w:t>.8</w:t>
            </w:r>
            <w:r>
              <w:rPr>
                <w:rFonts w:ascii="Arial" w:hAnsi="Arial" w:cs="Arial"/>
                <w:b/>
                <w:bCs/>
                <w:color w:val="000000"/>
                <w:sz w:val="20"/>
                <w:lang w:eastAsia="es-AR"/>
              </w:rPr>
              <w:t>6</w:t>
            </w:r>
            <w:r w:rsidR="00437E0D">
              <w:rPr>
                <w:rFonts w:ascii="Arial" w:hAnsi="Arial" w:cs="Arial"/>
                <w:b/>
                <w:bCs/>
                <w:color w:val="000000"/>
                <w:sz w:val="20"/>
                <w:lang w:eastAsia="es-AR"/>
              </w:rPr>
              <w:t>0</w:t>
            </w:r>
          </w:p>
        </w:tc>
      </w:tr>
      <w:bookmarkEnd w:id="32"/>
    </w:tbl>
    <w:p w14:paraId="73A5A26C" w14:textId="77777777" w:rsidR="00EB6617" w:rsidRPr="00701F32" w:rsidRDefault="00EB6617" w:rsidP="00EB6617">
      <w:pPr>
        <w:jc w:val="both"/>
        <w:rPr>
          <w:rFonts w:ascii="Arial" w:eastAsia="Calibri" w:hAnsi="Arial" w:cs="Arial"/>
          <w:sz w:val="20"/>
          <w:lang w:eastAsia="es-PE"/>
        </w:rPr>
      </w:pPr>
    </w:p>
    <w:p w14:paraId="34550817" w14:textId="0D9C43A0" w:rsidR="00EB6617" w:rsidRPr="00701F32" w:rsidRDefault="00EB6617" w:rsidP="00EB6617">
      <w:pPr>
        <w:jc w:val="both"/>
        <w:rPr>
          <w:rFonts w:ascii="Arial" w:eastAsia="Calibri" w:hAnsi="Arial" w:cs="Arial"/>
          <w:sz w:val="20"/>
          <w:lang w:eastAsia="es-PE"/>
        </w:rPr>
      </w:pPr>
      <w:r w:rsidRPr="00A54D1D">
        <w:rPr>
          <w:rFonts w:ascii="Arial" w:eastAsia="Calibri" w:hAnsi="Arial" w:cs="Arial"/>
          <w:sz w:val="20"/>
          <w:lang w:eastAsia="es-PE"/>
        </w:rPr>
        <w:t xml:space="preserve">De acuerdo a las normas de previsionamiento, los préstamos al sector financiero y las responsabilidades eventuales en situación normal no deben generar pérdidas por deterioro. El valor de los mencionados saldos </w:t>
      </w:r>
      <w:r>
        <w:rPr>
          <w:rFonts w:ascii="Arial" w:eastAsia="Calibri" w:hAnsi="Arial" w:cs="Arial"/>
          <w:sz w:val="20"/>
          <w:lang w:eastAsia="es-PE"/>
        </w:rPr>
        <w:t xml:space="preserve">al 31 de diciembre de 2019 y 2018 </w:t>
      </w:r>
      <w:r w:rsidRPr="00A54D1D">
        <w:rPr>
          <w:rFonts w:ascii="Arial" w:eastAsia="Calibri" w:hAnsi="Arial" w:cs="Arial"/>
          <w:sz w:val="20"/>
          <w:lang w:eastAsia="es-PE"/>
        </w:rPr>
        <w:t>asciende</w:t>
      </w:r>
      <w:r>
        <w:rPr>
          <w:rFonts w:ascii="Arial" w:eastAsia="Calibri" w:hAnsi="Arial" w:cs="Arial"/>
          <w:sz w:val="20"/>
          <w:lang w:eastAsia="es-PE"/>
        </w:rPr>
        <w:t>n</w:t>
      </w:r>
      <w:r w:rsidRPr="00A54D1D">
        <w:rPr>
          <w:rFonts w:ascii="Arial" w:eastAsia="Calibri" w:hAnsi="Arial" w:cs="Arial"/>
          <w:sz w:val="20"/>
          <w:lang w:eastAsia="es-PE"/>
        </w:rPr>
        <w:t xml:space="preserve"> </w:t>
      </w:r>
      <w:r w:rsidRPr="00477D4B">
        <w:rPr>
          <w:rFonts w:ascii="Arial" w:eastAsia="Calibri" w:hAnsi="Arial" w:cs="Arial"/>
          <w:sz w:val="20"/>
          <w:lang w:eastAsia="es-PE"/>
        </w:rPr>
        <w:t>a</w:t>
      </w:r>
      <w:r>
        <w:rPr>
          <w:rFonts w:ascii="Arial" w:eastAsia="Calibri" w:hAnsi="Arial" w:cs="Arial"/>
          <w:sz w:val="20"/>
          <w:lang w:eastAsia="es-PE"/>
        </w:rPr>
        <w:t xml:space="preserve"> </w:t>
      </w:r>
      <w:r w:rsidR="00E4492E" w:rsidRPr="00E4492E">
        <w:rPr>
          <w:rFonts w:ascii="Arial" w:eastAsia="Calibri" w:hAnsi="Arial" w:cs="Arial"/>
          <w:sz w:val="20"/>
          <w:lang w:eastAsia="es-PE"/>
        </w:rPr>
        <w:t>12.080</w:t>
      </w:r>
      <w:r w:rsidRPr="00E4492E">
        <w:rPr>
          <w:rFonts w:ascii="Arial" w:eastAsia="Calibri" w:hAnsi="Arial" w:cs="Arial"/>
          <w:sz w:val="20"/>
          <w:lang w:eastAsia="es-PE"/>
        </w:rPr>
        <w:t xml:space="preserve"> y </w:t>
      </w:r>
      <w:r w:rsidR="00E4492E" w:rsidRPr="00E4492E">
        <w:rPr>
          <w:rFonts w:ascii="Arial" w:eastAsia="Calibri" w:hAnsi="Arial" w:cs="Arial"/>
          <w:sz w:val="20"/>
          <w:lang w:eastAsia="es-PE"/>
        </w:rPr>
        <w:t>3</w:t>
      </w:r>
      <w:r w:rsidR="00343842" w:rsidRPr="00E4492E">
        <w:rPr>
          <w:rFonts w:ascii="Arial" w:eastAsia="Calibri" w:hAnsi="Arial" w:cs="Arial"/>
          <w:sz w:val="20"/>
          <w:lang w:eastAsia="es-PE"/>
        </w:rPr>
        <w:t>6</w:t>
      </w:r>
      <w:r w:rsidR="00E4492E" w:rsidRPr="00E4492E">
        <w:rPr>
          <w:rFonts w:ascii="Arial" w:eastAsia="Calibri" w:hAnsi="Arial" w:cs="Arial"/>
          <w:sz w:val="20"/>
          <w:lang w:eastAsia="es-PE"/>
        </w:rPr>
        <w:t>7</w:t>
      </w:r>
      <w:r w:rsidRPr="00EB6617">
        <w:rPr>
          <w:rFonts w:ascii="Arial" w:eastAsia="Calibri" w:hAnsi="Arial" w:cs="Arial"/>
          <w:sz w:val="20"/>
          <w:highlight w:val="yellow"/>
          <w:lang w:eastAsia="es-PE"/>
        </w:rPr>
        <w:t xml:space="preserve"> </w:t>
      </w:r>
      <w:r w:rsidRPr="00EF11E0">
        <w:rPr>
          <w:rFonts w:ascii="Arial" w:eastAsia="Calibri" w:hAnsi="Arial" w:cs="Arial"/>
          <w:sz w:val="20"/>
          <w:lang w:eastAsia="es-PE"/>
        </w:rPr>
        <w:t xml:space="preserve">y </w:t>
      </w:r>
      <w:r w:rsidR="00EF11E0" w:rsidRPr="00EF11E0">
        <w:rPr>
          <w:rFonts w:ascii="Arial" w:eastAsia="Calibri" w:hAnsi="Arial" w:cs="Arial"/>
          <w:sz w:val="20"/>
          <w:lang w:eastAsia="es-PE"/>
        </w:rPr>
        <w:t>29.812</w:t>
      </w:r>
      <w:r w:rsidRPr="00EF11E0">
        <w:rPr>
          <w:rFonts w:ascii="Arial" w:eastAsia="Calibri" w:hAnsi="Arial" w:cs="Arial"/>
          <w:sz w:val="20"/>
          <w:lang w:eastAsia="es-PE"/>
        </w:rPr>
        <w:t xml:space="preserve"> y </w:t>
      </w:r>
      <w:r w:rsidR="00343842">
        <w:rPr>
          <w:rFonts w:ascii="Arial" w:eastAsia="Calibri" w:hAnsi="Arial" w:cs="Arial"/>
          <w:sz w:val="20"/>
          <w:lang w:eastAsia="es-PE"/>
        </w:rPr>
        <w:t>1.196</w:t>
      </w:r>
      <w:r>
        <w:rPr>
          <w:rFonts w:ascii="Arial" w:eastAsia="Calibri" w:hAnsi="Arial" w:cs="Arial"/>
          <w:sz w:val="20"/>
          <w:lang w:eastAsia="es-PE"/>
        </w:rPr>
        <w:t xml:space="preserve"> </w:t>
      </w:r>
      <w:r w:rsidRPr="00477D4B">
        <w:rPr>
          <w:rFonts w:ascii="Arial" w:eastAsia="Calibri" w:hAnsi="Arial" w:cs="Arial"/>
          <w:sz w:val="20"/>
          <w:lang w:eastAsia="es-PE"/>
        </w:rPr>
        <w:t>respectivamente.</w:t>
      </w:r>
    </w:p>
    <w:p w14:paraId="3D2421C3" w14:textId="77777777" w:rsidR="00EB6617" w:rsidRPr="00701F32" w:rsidRDefault="00EB6617" w:rsidP="00EB6617">
      <w:pPr>
        <w:jc w:val="both"/>
        <w:rPr>
          <w:rFonts w:ascii="Arial" w:eastAsia="Calibri" w:hAnsi="Arial" w:cs="Arial"/>
          <w:sz w:val="20"/>
          <w:lang w:eastAsia="es-PE"/>
        </w:rPr>
      </w:pPr>
    </w:p>
    <w:p w14:paraId="2E3013A7" w14:textId="77777777" w:rsidR="00EB6617" w:rsidRPr="00701F32" w:rsidRDefault="00EB6617" w:rsidP="00EB6617">
      <w:pPr>
        <w:jc w:val="both"/>
        <w:rPr>
          <w:rFonts w:ascii="Arial" w:eastAsia="Calibri" w:hAnsi="Arial" w:cs="Arial"/>
          <w:sz w:val="20"/>
          <w:u w:val="single"/>
          <w:lang w:eastAsia="es-PE"/>
        </w:rPr>
      </w:pPr>
      <w:r w:rsidRPr="00701F32">
        <w:rPr>
          <w:rFonts w:ascii="Arial" w:eastAsia="Calibri" w:hAnsi="Arial" w:cs="Arial"/>
          <w:sz w:val="20"/>
          <w:u w:val="single"/>
          <w:lang w:eastAsia="es-PE"/>
        </w:rPr>
        <w:t>Préstamos dados de baja</w:t>
      </w:r>
    </w:p>
    <w:p w14:paraId="056EB108" w14:textId="77777777" w:rsidR="00EB6617" w:rsidRPr="00701F32" w:rsidRDefault="00EB6617" w:rsidP="00EB6617">
      <w:pPr>
        <w:jc w:val="both"/>
        <w:rPr>
          <w:rFonts w:ascii="Arial" w:eastAsia="Calibri" w:hAnsi="Arial" w:cs="Arial"/>
          <w:sz w:val="20"/>
          <w:u w:val="single"/>
          <w:lang w:eastAsia="es-PE"/>
        </w:rPr>
      </w:pPr>
    </w:p>
    <w:p w14:paraId="028A3EB3" w14:textId="4D56FE0C" w:rsidR="00EB6617" w:rsidRPr="00701F32" w:rsidRDefault="00EB6617" w:rsidP="00EB6617">
      <w:pPr>
        <w:spacing w:after="160" w:line="259" w:lineRule="auto"/>
        <w:jc w:val="both"/>
        <w:rPr>
          <w:rFonts w:ascii="Arial" w:eastAsia="Arial" w:hAnsi="Arial" w:cs="Arial"/>
          <w:sz w:val="20"/>
        </w:rPr>
      </w:pPr>
      <w:r w:rsidRPr="00701F32">
        <w:rPr>
          <w:rFonts w:ascii="Arial" w:eastAsia="Arial" w:hAnsi="Arial" w:cs="Arial"/>
          <w:sz w:val="20"/>
        </w:rPr>
        <w:t>Aquellos créditos clasificados como irrecuperables son eliminados del activo reconociéndose los mismos en cuentas fuera de balance. El saldo de los mismos al 31 de diciembre de 201</w:t>
      </w:r>
      <w:r>
        <w:rPr>
          <w:rFonts w:ascii="Arial" w:eastAsia="Arial" w:hAnsi="Arial" w:cs="Arial"/>
          <w:sz w:val="20"/>
        </w:rPr>
        <w:t xml:space="preserve">9 y 2018 </w:t>
      </w:r>
      <w:r w:rsidRPr="00701F32">
        <w:rPr>
          <w:rFonts w:ascii="Arial" w:eastAsia="Arial" w:hAnsi="Arial" w:cs="Arial"/>
          <w:sz w:val="20"/>
        </w:rPr>
        <w:t>asciende a</w:t>
      </w:r>
      <w:r>
        <w:rPr>
          <w:rFonts w:ascii="Arial" w:eastAsia="Arial" w:hAnsi="Arial" w:cs="Arial"/>
          <w:sz w:val="20"/>
        </w:rPr>
        <w:t xml:space="preserve"> </w:t>
      </w:r>
      <w:r w:rsidR="001A057D">
        <w:rPr>
          <w:rFonts w:ascii="Arial" w:eastAsia="Arial" w:hAnsi="Arial" w:cs="Arial"/>
          <w:sz w:val="20"/>
        </w:rPr>
        <w:t>3.849.244</w:t>
      </w:r>
      <w:r w:rsidR="00EF11E0">
        <w:rPr>
          <w:rFonts w:ascii="Arial" w:eastAsia="Arial" w:hAnsi="Arial" w:cs="Arial"/>
          <w:sz w:val="20"/>
        </w:rPr>
        <w:t xml:space="preserve"> </w:t>
      </w:r>
      <w:r w:rsidRPr="0043333B">
        <w:rPr>
          <w:rFonts w:ascii="Arial" w:eastAsia="Arial" w:hAnsi="Arial" w:cs="Arial"/>
          <w:sz w:val="20"/>
        </w:rPr>
        <w:t xml:space="preserve">y </w:t>
      </w:r>
      <w:r w:rsidR="0043333B" w:rsidRPr="0043333B">
        <w:rPr>
          <w:rFonts w:ascii="Arial" w:eastAsia="Arial" w:hAnsi="Arial" w:cs="Arial"/>
          <w:sz w:val="20"/>
        </w:rPr>
        <w:t>1.726.076</w:t>
      </w:r>
      <w:r w:rsidR="0043333B">
        <w:rPr>
          <w:rFonts w:ascii="Arial" w:eastAsia="Arial" w:hAnsi="Arial" w:cs="Arial"/>
          <w:sz w:val="20"/>
        </w:rPr>
        <w:t xml:space="preserve"> </w:t>
      </w:r>
      <w:r>
        <w:rPr>
          <w:rFonts w:ascii="Arial" w:eastAsia="Arial" w:hAnsi="Arial" w:cs="Arial"/>
          <w:sz w:val="20"/>
        </w:rPr>
        <w:t>respectivamente</w:t>
      </w:r>
      <w:r w:rsidRPr="00701F32">
        <w:rPr>
          <w:rFonts w:ascii="Arial" w:eastAsia="Arial" w:hAnsi="Arial" w:cs="Arial"/>
          <w:sz w:val="20"/>
        </w:rPr>
        <w:t>.</w:t>
      </w:r>
    </w:p>
    <w:p w14:paraId="27ECB450" w14:textId="77777777" w:rsidR="00EB6617" w:rsidRPr="00701F32" w:rsidRDefault="00EB6617" w:rsidP="00EB6617">
      <w:pPr>
        <w:pBdr>
          <w:top w:val="nil"/>
          <w:left w:val="nil"/>
          <w:bottom w:val="nil"/>
          <w:right w:val="nil"/>
          <w:between w:val="nil"/>
          <w:bar w:val="nil"/>
        </w:pBdr>
        <w:tabs>
          <w:tab w:val="left" w:pos="142"/>
          <w:tab w:val="left" w:pos="993"/>
        </w:tabs>
        <w:jc w:val="both"/>
        <w:rPr>
          <w:rFonts w:ascii="Arial" w:eastAsia="Arial" w:hAnsi="Arial" w:cs="Arial"/>
          <w:b/>
          <w:bCs/>
          <w:sz w:val="20"/>
          <w:u w:val="single" w:color="000000"/>
          <w:bdr w:val="nil"/>
          <w:lang w:val="es-ES_tradnl" w:eastAsia="es-AR"/>
        </w:rPr>
      </w:pPr>
      <w:r w:rsidRPr="00701F32">
        <w:rPr>
          <w:rFonts w:ascii="Arial" w:eastAsia="Arial Unicode MS" w:hAnsi="Arial" w:cs="Arial"/>
          <w:b/>
          <w:bCs/>
          <w:sz w:val="20"/>
          <w:u w:val="single" w:color="000000"/>
          <w:bdr w:val="nil"/>
          <w:lang w:val="es-ES_tradnl" w:eastAsia="es-AR"/>
        </w:rPr>
        <w:t>Riesgo de mercado</w:t>
      </w:r>
    </w:p>
    <w:p w14:paraId="3ECE3220" w14:textId="77777777" w:rsidR="00EB6617" w:rsidRPr="00701F32" w:rsidRDefault="00EB6617" w:rsidP="00EB6617">
      <w:pPr>
        <w:pBdr>
          <w:top w:val="nil"/>
          <w:left w:val="nil"/>
          <w:bottom w:val="nil"/>
          <w:right w:val="nil"/>
          <w:between w:val="nil"/>
          <w:bar w:val="nil"/>
        </w:pBdr>
        <w:tabs>
          <w:tab w:val="left" w:pos="142"/>
        </w:tabs>
        <w:jc w:val="both"/>
        <w:rPr>
          <w:rFonts w:ascii="Arial" w:eastAsia="Arial" w:hAnsi="Arial" w:cs="Arial"/>
          <w:b/>
          <w:bCs/>
          <w:sz w:val="20"/>
          <w:u w:val="single" w:color="000000"/>
          <w:bdr w:val="nil"/>
          <w:lang w:val="es-ES_tradnl" w:eastAsia="es-AR"/>
        </w:rPr>
      </w:pPr>
    </w:p>
    <w:p w14:paraId="45BAC901" w14:textId="77777777" w:rsidR="002E7EBF" w:rsidRDefault="002E7EBF" w:rsidP="002E7EBF">
      <w:pPr>
        <w:tabs>
          <w:tab w:val="left" w:pos="142"/>
        </w:tabs>
        <w:spacing w:after="200"/>
        <w:jc w:val="both"/>
        <w:rPr>
          <w:rFonts w:ascii="Arial" w:hAnsi="Arial" w:cs="Arial"/>
          <w:sz w:val="20"/>
          <w:lang w:eastAsia="es-AR"/>
        </w:rPr>
      </w:pPr>
      <w:r w:rsidRPr="00701F32">
        <w:rPr>
          <w:rFonts w:ascii="Arial" w:hAnsi="Arial" w:cs="Arial"/>
          <w:sz w:val="20"/>
          <w:lang w:eastAsia="es-AR"/>
        </w:rPr>
        <w:t xml:space="preserve">Banco Supervielle define al Riesgo de Mercado como el riesgo que surge de las desviaciones que se producen en el valor de la cartera de negociación, como consecuencia de las fluctuaciones en los mercados durante el período de tiempo requerido para liquidar las posiciones de la cartera. </w:t>
      </w:r>
    </w:p>
    <w:p w14:paraId="29BDFF36" w14:textId="77777777" w:rsidR="002E7EBF" w:rsidRPr="00701F32" w:rsidRDefault="002E7EBF" w:rsidP="002E7EBF">
      <w:pPr>
        <w:tabs>
          <w:tab w:val="left" w:pos="142"/>
        </w:tabs>
        <w:spacing w:after="200"/>
        <w:jc w:val="both"/>
        <w:rPr>
          <w:rFonts w:ascii="Arial" w:hAnsi="Arial" w:cs="Arial"/>
          <w:sz w:val="20"/>
          <w:lang w:eastAsia="es-AR"/>
        </w:rPr>
      </w:pPr>
      <w:r w:rsidRPr="00701F32">
        <w:rPr>
          <w:rFonts w:ascii="Arial" w:hAnsi="Arial" w:cs="Arial"/>
          <w:sz w:val="20"/>
          <w:lang w:eastAsia="es-AR"/>
        </w:rPr>
        <w:t>El perímetro de medición, control y seguimiento de la Gerencia de Riesgos Financieros abarca aquellas operaciones donde se asume riesgo de pérdida en el valor patrimonial de la Entidad, a nivel consolidado e individual en cada una de las entidades con las que consolida, como consecuencia de cambios en los factores de mercado. Este riesgo proviene de la variación de los factores de riesgo considerados (tasa de interés, tipo de cambio, precio de activos de renta variable y opciones), así como del riesgo de liquidez de los distintos productos y mercados en los que opera la Entidad.</w:t>
      </w:r>
    </w:p>
    <w:p w14:paraId="78F477E8" w14:textId="77777777" w:rsidR="002E7EBF" w:rsidRPr="00701F32" w:rsidRDefault="002E7EBF" w:rsidP="002E7EBF">
      <w:pPr>
        <w:tabs>
          <w:tab w:val="left" w:pos="142"/>
        </w:tabs>
        <w:spacing w:after="200"/>
        <w:jc w:val="both"/>
        <w:rPr>
          <w:rFonts w:ascii="Arial" w:hAnsi="Arial" w:cs="Arial"/>
          <w:sz w:val="20"/>
          <w:lang w:eastAsia="es-AR"/>
        </w:rPr>
      </w:pPr>
      <w:r>
        <w:rPr>
          <w:rFonts w:ascii="Arial" w:hAnsi="Arial" w:cs="Arial"/>
          <w:sz w:val="20"/>
          <w:lang w:eastAsia="es-AR"/>
        </w:rPr>
        <w:t>Por las características propias de su perfil de negocios, Banco Supervielle es la entidad con mayor exposición a este riesgo. Por su parte, Cordial Compañía Financiera presenta una exposición de mucha menor relevancia y más asociada a la gestión de liquidez en la Entidad. Es por ello que los controles de riesgo de mercado presentan un mayor nivel de detalle y énfasis sobre la cartera de negociación de Banco Supervielle.</w:t>
      </w:r>
    </w:p>
    <w:p w14:paraId="55A8EF73" w14:textId="77777777" w:rsidR="002E7EBF" w:rsidRPr="00701F32" w:rsidRDefault="002E7EBF" w:rsidP="002E7EBF">
      <w:pPr>
        <w:tabs>
          <w:tab w:val="left" w:pos="142"/>
        </w:tabs>
        <w:spacing w:after="200"/>
        <w:jc w:val="both"/>
        <w:rPr>
          <w:rFonts w:ascii="Arial" w:hAnsi="Arial" w:cs="Arial"/>
          <w:sz w:val="20"/>
          <w:lang w:val="es-ES_tradnl" w:eastAsia="es-AR"/>
        </w:rPr>
      </w:pPr>
      <w:r w:rsidRPr="00701F32">
        <w:rPr>
          <w:rFonts w:ascii="Arial" w:hAnsi="Arial" w:cs="Arial"/>
          <w:sz w:val="20"/>
          <w:lang w:val="es-ES_tradnl" w:eastAsia="es-AR"/>
        </w:rPr>
        <w:t>A efectos de medir el riesgo de las posiciones en forma homogénea y en base a ello establecer una estructura de límites y umbrales a los efectos d</w:t>
      </w:r>
      <w:r>
        <w:rPr>
          <w:rFonts w:ascii="Arial" w:hAnsi="Arial" w:cs="Arial"/>
          <w:sz w:val="20"/>
          <w:lang w:val="es-ES_tradnl" w:eastAsia="es-AR"/>
        </w:rPr>
        <w:t>e gestión y esquemas de control.</w:t>
      </w:r>
      <w:r w:rsidRPr="00701F32">
        <w:rPr>
          <w:rFonts w:ascii="Arial" w:hAnsi="Arial" w:cs="Arial"/>
          <w:sz w:val="20"/>
          <w:lang w:val="es-ES_tradnl" w:eastAsia="es-AR"/>
        </w:rPr>
        <w:t xml:space="preserve"> Banco Supervielle utiliza el modelo VaR (valor a riesgo)</w:t>
      </w:r>
      <w:r>
        <w:rPr>
          <w:rFonts w:ascii="Arial" w:hAnsi="Arial" w:cs="Arial"/>
          <w:sz w:val="20"/>
          <w:lang w:val="es-ES_tradnl" w:eastAsia="es-AR"/>
        </w:rPr>
        <w:t xml:space="preserve"> diversificado</w:t>
      </w:r>
      <w:r w:rsidRPr="00701F32">
        <w:rPr>
          <w:rFonts w:ascii="Arial" w:hAnsi="Arial" w:cs="Arial"/>
          <w:sz w:val="20"/>
          <w:lang w:val="es-ES_tradnl" w:eastAsia="es-AR"/>
        </w:rPr>
        <w:t xml:space="preserve">, el que se define como la máxima pérdida esperada que puede registrar una cartera de activos financieros en situaciones normales de mercado, dentro de un horizonte de tiempo determinado y con un nivel de confianza preestablecido. Los indicadores elaborados en base a ello permiten detectar el nivel a partir del cual se identifica un riesgo potencial de mercado para, de esta forma, tomar las acciones preventivas correspondientes. </w:t>
      </w:r>
    </w:p>
    <w:p w14:paraId="4CF6E578" w14:textId="77777777" w:rsidR="002E7EBF" w:rsidRDefault="002E7EBF" w:rsidP="002E7EBF">
      <w:pPr>
        <w:tabs>
          <w:tab w:val="left" w:pos="142"/>
        </w:tabs>
        <w:spacing w:after="200"/>
        <w:jc w:val="both"/>
        <w:rPr>
          <w:rFonts w:ascii="Arial" w:hAnsi="Arial" w:cs="Arial"/>
          <w:sz w:val="20"/>
          <w:lang w:val="es-ES_tradnl" w:eastAsia="es-AR"/>
        </w:rPr>
      </w:pPr>
      <w:bookmarkStart w:id="33" w:name="_Hlk28262106"/>
      <w:r>
        <w:rPr>
          <w:rFonts w:ascii="Arial" w:hAnsi="Arial" w:cs="Arial"/>
          <w:sz w:val="20"/>
          <w:lang w:val="es-ES_tradnl" w:eastAsia="es-AR"/>
        </w:rPr>
        <w:t>El foco de atención en lo que hace a la gestión de riesgo de mercado está puesto sobre la cartera de negociación administrada por la Mesa de Dinero, si bien se realiza también un control más amplio incluyendo posiciones administradas con objetivos de gestión de liquidez. Es por ello que en lo que respecta a la cartera de negociación más amplia, los controles se limitan a la exposición al riesgo asumida, medida a partir de la metodología VaR, en relación con la responsabilidad patrimonial computable (RPC).</w:t>
      </w:r>
      <w:bookmarkEnd w:id="33"/>
      <w:r>
        <w:rPr>
          <w:rFonts w:ascii="Arial" w:hAnsi="Arial" w:cs="Arial"/>
          <w:sz w:val="20"/>
          <w:lang w:val="es-ES_tradnl" w:eastAsia="es-AR"/>
        </w:rPr>
        <w:t xml:space="preserve"> </w:t>
      </w:r>
    </w:p>
    <w:p w14:paraId="36CE0C81" w14:textId="77777777" w:rsidR="002E7EBF" w:rsidRDefault="002E7EBF" w:rsidP="002E7EBF">
      <w:pPr>
        <w:tabs>
          <w:tab w:val="left" w:pos="142"/>
        </w:tabs>
        <w:spacing w:after="200"/>
        <w:jc w:val="both"/>
        <w:rPr>
          <w:rFonts w:ascii="Arial" w:hAnsi="Arial" w:cs="Arial"/>
          <w:sz w:val="20"/>
          <w:lang w:val="es-ES_tradnl" w:eastAsia="es-AR"/>
        </w:rPr>
      </w:pPr>
      <w:r w:rsidRPr="00BE30B8">
        <w:rPr>
          <w:rFonts w:ascii="Arial" w:hAnsi="Arial" w:cs="Arial"/>
          <w:sz w:val="20"/>
          <w:lang w:val="es-ES_tradnl" w:eastAsia="es-AR"/>
        </w:rPr>
        <w:t>Durante 2019 se aprobó el establecimiento de un límite para el VaR por grupo de activos, limitando de esta forma el riesgo que la Entidad puede asumir en cada grupo de activo considerado aisladamente. El objetivo es incorporar un elemento de alerta ante eventos crediticios o quiebre en las correlaciones entre grupos de activos, eventos que pueden escapar a la consideración de un VaR diversificado. Otro hito importante del año fue la modificación de la metodología utilizada para la ejecución de pruebas de estrés por riesgo de mercado, tanto para la cartera de negociación total de Banco Supervielle como para las carteras administradas por su Mesa de Dinero y por Cordial Compañía Financiera. La nueva metodología implica la selección de uno o más eventos históricos caracterizados por situaciones de tensión que pudiesen incrementar el riesgo de mercado asumido. A partir de allí, las matrices de varianzas y covarianzas de estos momentos históricos son incorporadas a la evaluación de las carteras de negociación actuales.</w:t>
      </w:r>
    </w:p>
    <w:p w14:paraId="21B36B65" w14:textId="19C27786" w:rsidR="00EB6617" w:rsidRDefault="002E7EBF" w:rsidP="002E7EBF">
      <w:pPr>
        <w:tabs>
          <w:tab w:val="left" w:pos="142"/>
        </w:tabs>
        <w:spacing w:after="200"/>
        <w:jc w:val="both"/>
        <w:rPr>
          <w:rFonts w:ascii="Arial" w:hAnsi="Arial" w:cs="Arial"/>
          <w:sz w:val="20"/>
          <w:lang w:val="es-ES_tradnl" w:eastAsia="es-AR"/>
        </w:rPr>
      </w:pPr>
      <w:r>
        <w:rPr>
          <w:rFonts w:ascii="Arial" w:hAnsi="Arial" w:cs="Arial"/>
          <w:sz w:val="20"/>
          <w:lang w:val="es-ES_tradnl" w:eastAsia="es-AR"/>
        </w:rPr>
        <w:t xml:space="preserve">Los controles sobre la operatoria de la Mesa de Dinero son más exhaustivos. </w:t>
      </w:r>
      <w:r w:rsidRPr="00701F32">
        <w:rPr>
          <w:rFonts w:ascii="Arial" w:hAnsi="Arial" w:cs="Arial"/>
          <w:sz w:val="20"/>
          <w:lang w:val="es-ES_tradnl" w:eastAsia="es-AR"/>
        </w:rPr>
        <w:t xml:space="preserve">Las estrategias y políticas aprobadas se reflejan en </w:t>
      </w:r>
      <w:r>
        <w:rPr>
          <w:rFonts w:ascii="Arial" w:hAnsi="Arial" w:cs="Arial"/>
          <w:sz w:val="20"/>
          <w:lang w:val="es-ES_tradnl" w:eastAsia="es-AR"/>
        </w:rPr>
        <w:t>lo que se conoce internamente como</w:t>
      </w:r>
      <w:r w:rsidRPr="00701F32">
        <w:rPr>
          <w:rFonts w:ascii="Arial" w:hAnsi="Arial" w:cs="Arial"/>
          <w:sz w:val="20"/>
          <w:lang w:val="es-ES_tradnl" w:eastAsia="es-AR"/>
        </w:rPr>
        <w:t xml:space="preserve"> </w:t>
      </w:r>
      <w:r>
        <w:rPr>
          <w:rFonts w:ascii="Arial" w:hAnsi="Arial" w:cs="Arial"/>
          <w:sz w:val="20"/>
          <w:lang w:val="es-ES_tradnl" w:eastAsia="es-AR"/>
        </w:rPr>
        <w:t>M</w:t>
      </w:r>
      <w:r w:rsidRPr="00701F32">
        <w:rPr>
          <w:rFonts w:ascii="Arial" w:hAnsi="Arial" w:cs="Arial"/>
          <w:sz w:val="20"/>
          <w:lang w:val="es-ES_tradnl" w:eastAsia="es-AR"/>
        </w:rPr>
        <w:t xml:space="preserve">apa de </w:t>
      </w:r>
      <w:r>
        <w:rPr>
          <w:rFonts w:ascii="Arial" w:hAnsi="Arial" w:cs="Arial"/>
          <w:sz w:val="20"/>
          <w:lang w:val="es-ES_tradnl" w:eastAsia="es-AR"/>
        </w:rPr>
        <w:t>R</w:t>
      </w:r>
      <w:r w:rsidRPr="00701F32">
        <w:rPr>
          <w:rFonts w:ascii="Arial" w:hAnsi="Arial" w:cs="Arial"/>
          <w:sz w:val="20"/>
          <w:lang w:val="es-ES_tradnl" w:eastAsia="es-AR"/>
        </w:rPr>
        <w:t xml:space="preserve">iesgos </w:t>
      </w:r>
      <w:r>
        <w:rPr>
          <w:rFonts w:ascii="Arial" w:hAnsi="Arial" w:cs="Arial"/>
          <w:sz w:val="20"/>
          <w:lang w:val="es-ES_tradnl" w:eastAsia="es-AR"/>
        </w:rPr>
        <w:t>U</w:t>
      </w:r>
      <w:r w:rsidRPr="00701F32">
        <w:rPr>
          <w:rFonts w:ascii="Arial" w:hAnsi="Arial" w:cs="Arial"/>
          <w:sz w:val="20"/>
          <w:lang w:val="es-ES_tradnl" w:eastAsia="es-AR"/>
        </w:rPr>
        <w:t xml:space="preserve">nificado, donde se explican detalladamente las operaciones habilitadas que puede realizar la Mesa de Dinero. En el mismo documento </w:t>
      </w:r>
      <w:r>
        <w:rPr>
          <w:rFonts w:ascii="Arial" w:hAnsi="Arial" w:cs="Arial"/>
          <w:sz w:val="20"/>
          <w:lang w:val="es-ES_tradnl" w:eastAsia="es-AR"/>
        </w:rPr>
        <w:t>se expone todo el marco de controles que traducen el apetito de riesgo con el que la Entidad se muestra dispuesta a operar. De esta manera, se establecen limitaciones sobre la posición abierta en determinados instrumentos financieros, VaR límite sobre la cartera diversificada, monto máximo de pérdida admisible antes de ejecutar la política de stop loss y condiciones que podrían dar lugar a la ejecución de una estrategia de stop gain. Todo el esquema de control se complementa con planes de acción que deben ser implementados una vez producida alguna vulneración en los límites allí establecidos.</w:t>
      </w:r>
    </w:p>
    <w:p w14:paraId="7B2BC44D" w14:textId="77777777" w:rsidR="00EB6617" w:rsidRPr="00834AC7" w:rsidRDefault="00EB6617" w:rsidP="00EB6617">
      <w:pPr>
        <w:pStyle w:val="PrimerNivel"/>
        <w:numPr>
          <w:ilvl w:val="0"/>
          <w:numId w:val="0"/>
        </w:numPr>
        <w:rPr>
          <w:rFonts w:ascii="Arial" w:hAnsi="Arial" w:cs="Arial"/>
          <w:sz w:val="20"/>
          <w:szCs w:val="20"/>
          <w:lang w:val="es-AR"/>
        </w:rPr>
      </w:pPr>
      <w:r w:rsidRPr="00834AC7">
        <w:rPr>
          <w:rFonts w:ascii="Arial" w:hAnsi="Arial" w:cs="Arial"/>
          <w:sz w:val="20"/>
          <w:szCs w:val="20"/>
          <w:lang w:val="es-AR"/>
        </w:rPr>
        <w:t>Se detalla a continuación la exposición al riesgo de tipo de cambio de la Entidad al cierre de ejercicio por tipo de moneda:</w:t>
      </w:r>
    </w:p>
    <w:p w14:paraId="5916AA2B" w14:textId="77777777" w:rsidR="00EB6617" w:rsidRPr="001C45C7" w:rsidRDefault="00EB6617" w:rsidP="00EB6617">
      <w:pPr>
        <w:pStyle w:val="PrimerNivel"/>
        <w:numPr>
          <w:ilvl w:val="0"/>
          <w:numId w:val="0"/>
        </w:numPr>
        <w:rPr>
          <w:rFonts w:asciiTheme="majorHAnsi" w:hAnsiTheme="majorHAnsi"/>
          <w:sz w:val="20"/>
          <w:szCs w:val="20"/>
          <w:lang w:val="es-AR"/>
        </w:rPr>
      </w:pPr>
    </w:p>
    <w:tbl>
      <w:tblPr>
        <w:tblW w:w="8773" w:type="dxa"/>
        <w:tblInd w:w="75" w:type="dxa"/>
        <w:tblCellMar>
          <w:left w:w="70" w:type="dxa"/>
          <w:right w:w="70" w:type="dxa"/>
        </w:tblCellMar>
        <w:tblLook w:val="04A0" w:firstRow="1" w:lastRow="0" w:firstColumn="1" w:lastColumn="0" w:noHBand="0" w:noVBand="1"/>
      </w:tblPr>
      <w:tblGrid>
        <w:gridCol w:w="1059"/>
        <w:gridCol w:w="1039"/>
        <w:gridCol w:w="1039"/>
        <w:gridCol w:w="914"/>
        <w:gridCol w:w="807"/>
        <w:gridCol w:w="9"/>
        <w:gridCol w:w="1030"/>
        <w:gridCol w:w="1039"/>
        <w:gridCol w:w="914"/>
        <w:gridCol w:w="923"/>
      </w:tblGrid>
      <w:tr w:rsidR="00EB6617" w:rsidRPr="00C31392" w14:paraId="2CC90CEA" w14:textId="77777777" w:rsidTr="002E7EBF">
        <w:trPr>
          <w:trHeight w:val="202"/>
        </w:trPr>
        <w:tc>
          <w:tcPr>
            <w:tcW w:w="10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B188C" w14:textId="77777777" w:rsidR="00EB6617" w:rsidRPr="00C31392" w:rsidRDefault="00EB6617" w:rsidP="00EB6617">
            <w:pPr>
              <w:jc w:val="center"/>
              <w:rPr>
                <w:rFonts w:ascii="Arial" w:hAnsi="Arial" w:cs="Arial"/>
                <w:b/>
                <w:bCs/>
                <w:color w:val="000000"/>
                <w:sz w:val="16"/>
                <w:szCs w:val="16"/>
                <w:lang w:eastAsia="es-AR"/>
              </w:rPr>
            </w:pPr>
            <w:r w:rsidRPr="00C31392">
              <w:rPr>
                <w:rFonts w:ascii="Arial" w:hAnsi="Arial" w:cs="Arial"/>
                <w:b/>
                <w:bCs/>
                <w:color w:val="000000"/>
                <w:sz w:val="16"/>
                <w:szCs w:val="16"/>
                <w:lang w:eastAsia="es-AR"/>
              </w:rPr>
              <w:t>Moneda</w:t>
            </w:r>
          </w:p>
        </w:tc>
        <w:tc>
          <w:tcPr>
            <w:tcW w:w="3808" w:type="dxa"/>
            <w:gridSpan w:val="5"/>
            <w:tcBorders>
              <w:top w:val="single" w:sz="4" w:space="0" w:color="auto"/>
              <w:left w:val="nil"/>
              <w:bottom w:val="single" w:sz="4" w:space="0" w:color="auto"/>
              <w:right w:val="single" w:sz="4" w:space="0" w:color="auto"/>
            </w:tcBorders>
            <w:shd w:val="clear" w:color="auto" w:fill="auto"/>
            <w:noWrap/>
            <w:vAlign w:val="center"/>
            <w:hideMark/>
          </w:tcPr>
          <w:p w14:paraId="5439A666" w14:textId="00B82B0D" w:rsidR="00EB6617" w:rsidRPr="00C31392" w:rsidRDefault="00EB6617" w:rsidP="00EB6617">
            <w:pPr>
              <w:jc w:val="center"/>
              <w:rPr>
                <w:rFonts w:ascii="Arial" w:hAnsi="Arial" w:cs="Arial"/>
                <w:b/>
                <w:bCs/>
                <w:color w:val="000000"/>
                <w:sz w:val="16"/>
                <w:szCs w:val="16"/>
                <w:lang w:eastAsia="es-AR"/>
              </w:rPr>
            </w:pPr>
            <w:r w:rsidRPr="00C31392">
              <w:rPr>
                <w:rFonts w:ascii="Arial" w:hAnsi="Arial" w:cs="Arial"/>
                <w:b/>
                <w:bCs/>
                <w:color w:val="000000"/>
                <w:sz w:val="16"/>
                <w:szCs w:val="16"/>
                <w:lang w:eastAsia="es-AR"/>
              </w:rPr>
              <w:t>Saldos al 31/12/2019</w:t>
            </w:r>
          </w:p>
        </w:tc>
        <w:tc>
          <w:tcPr>
            <w:tcW w:w="3906" w:type="dxa"/>
            <w:gridSpan w:val="4"/>
            <w:tcBorders>
              <w:top w:val="single" w:sz="4" w:space="0" w:color="auto"/>
              <w:left w:val="nil"/>
              <w:bottom w:val="single" w:sz="4" w:space="0" w:color="auto"/>
              <w:right w:val="single" w:sz="4" w:space="0" w:color="auto"/>
            </w:tcBorders>
            <w:shd w:val="clear" w:color="auto" w:fill="auto"/>
            <w:noWrap/>
            <w:vAlign w:val="center"/>
            <w:hideMark/>
          </w:tcPr>
          <w:p w14:paraId="42B17457" w14:textId="1C177C4F" w:rsidR="00EB6617" w:rsidRPr="00C31392" w:rsidRDefault="00EB6617" w:rsidP="00EB6617">
            <w:pPr>
              <w:jc w:val="center"/>
              <w:rPr>
                <w:rFonts w:ascii="Arial" w:hAnsi="Arial" w:cs="Arial"/>
                <w:b/>
                <w:bCs/>
                <w:color w:val="000000"/>
                <w:sz w:val="16"/>
                <w:szCs w:val="16"/>
                <w:lang w:eastAsia="es-AR"/>
              </w:rPr>
            </w:pPr>
            <w:r w:rsidRPr="00C31392">
              <w:rPr>
                <w:rFonts w:ascii="Arial" w:hAnsi="Arial" w:cs="Arial"/>
                <w:b/>
                <w:bCs/>
                <w:color w:val="000000"/>
                <w:sz w:val="16"/>
                <w:szCs w:val="16"/>
                <w:lang w:eastAsia="es-AR"/>
              </w:rPr>
              <w:t>Saldos al 31/12/2018</w:t>
            </w:r>
          </w:p>
        </w:tc>
      </w:tr>
      <w:tr w:rsidR="00EB6617" w:rsidRPr="00C31392" w14:paraId="247CF00B" w14:textId="77777777" w:rsidTr="002E7EBF">
        <w:trPr>
          <w:trHeight w:val="276"/>
        </w:trPr>
        <w:tc>
          <w:tcPr>
            <w:tcW w:w="1059" w:type="dxa"/>
            <w:vMerge/>
            <w:tcBorders>
              <w:top w:val="single" w:sz="4" w:space="0" w:color="auto"/>
              <w:left w:val="single" w:sz="4" w:space="0" w:color="auto"/>
              <w:bottom w:val="single" w:sz="4" w:space="0" w:color="auto"/>
              <w:right w:val="single" w:sz="4" w:space="0" w:color="auto"/>
            </w:tcBorders>
            <w:vAlign w:val="center"/>
            <w:hideMark/>
          </w:tcPr>
          <w:p w14:paraId="380148A5" w14:textId="77777777" w:rsidR="00EB6617" w:rsidRPr="00C31392" w:rsidRDefault="00EB6617" w:rsidP="00EB6617">
            <w:pPr>
              <w:rPr>
                <w:rFonts w:ascii="Arial" w:hAnsi="Arial" w:cs="Arial"/>
                <w:b/>
                <w:bCs/>
                <w:color w:val="000000"/>
                <w:sz w:val="16"/>
                <w:szCs w:val="16"/>
                <w:lang w:eastAsia="es-AR"/>
              </w:rPr>
            </w:pP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14:paraId="244CC167" w14:textId="77777777" w:rsidR="00EB6617" w:rsidRPr="00C31392" w:rsidRDefault="00EB6617" w:rsidP="00EB6617">
            <w:pPr>
              <w:jc w:val="center"/>
              <w:rPr>
                <w:rFonts w:ascii="Arial" w:hAnsi="Arial" w:cs="Arial"/>
                <w:b/>
                <w:bCs/>
                <w:color w:val="000000"/>
                <w:sz w:val="16"/>
                <w:szCs w:val="16"/>
                <w:lang w:eastAsia="es-AR"/>
              </w:rPr>
            </w:pPr>
            <w:r w:rsidRPr="00C31392">
              <w:rPr>
                <w:rFonts w:ascii="Arial" w:hAnsi="Arial" w:cs="Arial"/>
                <w:b/>
                <w:bCs/>
                <w:color w:val="000000"/>
                <w:sz w:val="16"/>
                <w:szCs w:val="16"/>
                <w:lang w:eastAsia="es-AR"/>
              </w:rPr>
              <w:t>Activos Financieros Monetarios</w:t>
            </w: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14:paraId="2FA44FA1" w14:textId="77777777" w:rsidR="00EB6617" w:rsidRPr="00C31392" w:rsidRDefault="00EB6617" w:rsidP="00EB6617">
            <w:pPr>
              <w:jc w:val="center"/>
              <w:rPr>
                <w:rFonts w:ascii="Arial" w:hAnsi="Arial" w:cs="Arial"/>
                <w:b/>
                <w:bCs/>
                <w:color w:val="000000"/>
                <w:sz w:val="16"/>
                <w:szCs w:val="16"/>
                <w:lang w:eastAsia="es-AR"/>
              </w:rPr>
            </w:pPr>
            <w:r w:rsidRPr="00C31392">
              <w:rPr>
                <w:rFonts w:ascii="Arial" w:hAnsi="Arial" w:cs="Arial"/>
                <w:b/>
                <w:bCs/>
                <w:color w:val="000000"/>
                <w:sz w:val="16"/>
                <w:szCs w:val="16"/>
                <w:lang w:eastAsia="es-AR"/>
              </w:rPr>
              <w:t>Pasivos Financieros Monetarios</w:t>
            </w:r>
          </w:p>
        </w:tc>
        <w:tc>
          <w:tcPr>
            <w:tcW w:w="914" w:type="dxa"/>
            <w:vMerge w:val="restart"/>
            <w:tcBorders>
              <w:top w:val="nil"/>
              <w:left w:val="single" w:sz="4" w:space="0" w:color="auto"/>
              <w:bottom w:val="single" w:sz="4" w:space="0" w:color="auto"/>
              <w:right w:val="single" w:sz="4" w:space="0" w:color="auto"/>
            </w:tcBorders>
            <w:shd w:val="clear" w:color="auto" w:fill="auto"/>
            <w:vAlign w:val="center"/>
            <w:hideMark/>
          </w:tcPr>
          <w:p w14:paraId="4D8FAAB4" w14:textId="77777777" w:rsidR="00EB6617" w:rsidRPr="00C31392" w:rsidRDefault="00EB6617" w:rsidP="00EB6617">
            <w:pPr>
              <w:jc w:val="center"/>
              <w:rPr>
                <w:rFonts w:ascii="Arial" w:hAnsi="Arial" w:cs="Arial"/>
                <w:b/>
                <w:bCs/>
                <w:color w:val="000000"/>
                <w:sz w:val="16"/>
                <w:szCs w:val="16"/>
                <w:lang w:eastAsia="es-AR"/>
              </w:rPr>
            </w:pPr>
            <w:r w:rsidRPr="00C31392">
              <w:rPr>
                <w:rFonts w:ascii="Arial" w:hAnsi="Arial" w:cs="Arial"/>
                <w:b/>
                <w:bCs/>
                <w:color w:val="000000"/>
                <w:sz w:val="16"/>
                <w:szCs w:val="16"/>
                <w:lang w:eastAsia="es-AR"/>
              </w:rPr>
              <w:t>Derivados</w:t>
            </w:r>
          </w:p>
        </w:tc>
        <w:tc>
          <w:tcPr>
            <w:tcW w:w="807" w:type="dxa"/>
            <w:vMerge w:val="restart"/>
            <w:tcBorders>
              <w:top w:val="nil"/>
              <w:left w:val="single" w:sz="4" w:space="0" w:color="auto"/>
              <w:bottom w:val="single" w:sz="4" w:space="0" w:color="auto"/>
              <w:right w:val="single" w:sz="4" w:space="0" w:color="auto"/>
            </w:tcBorders>
            <w:shd w:val="clear" w:color="auto" w:fill="auto"/>
            <w:vAlign w:val="center"/>
            <w:hideMark/>
          </w:tcPr>
          <w:p w14:paraId="1B94A5B7" w14:textId="77777777" w:rsidR="00EB6617" w:rsidRPr="00C31392" w:rsidRDefault="00EB6617" w:rsidP="00EB6617">
            <w:pPr>
              <w:jc w:val="center"/>
              <w:rPr>
                <w:rFonts w:ascii="Arial" w:hAnsi="Arial" w:cs="Arial"/>
                <w:b/>
                <w:bCs/>
                <w:color w:val="000000"/>
                <w:sz w:val="16"/>
                <w:szCs w:val="16"/>
                <w:lang w:eastAsia="es-AR"/>
              </w:rPr>
            </w:pPr>
            <w:r w:rsidRPr="00C31392">
              <w:rPr>
                <w:rFonts w:ascii="Arial" w:hAnsi="Arial" w:cs="Arial"/>
                <w:b/>
                <w:bCs/>
                <w:color w:val="000000"/>
                <w:sz w:val="16"/>
                <w:szCs w:val="16"/>
                <w:lang w:eastAsia="es-AR"/>
              </w:rPr>
              <w:t>Posición Neta</w:t>
            </w:r>
          </w:p>
        </w:tc>
        <w:tc>
          <w:tcPr>
            <w:tcW w:w="103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62DA8" w14:textId="77777777" w:rsidR="00EB6617" w:rsidRPr="00C31392" w:rsidRDefault="00EB6617" w:rsidP="00EB6617">
            <w:pPr>
              <w:jc w:val="center"/>
              <w:rPr>
                <w:rFonts w:ascii="Arial" w:hAnsi="Arial" w:cs="Arial"/>
                <w:b/>
                <w:bCs/>
                <w:color w:val="000000"/>
                <w:sz w:val="16"/>
                <w:szCs w:val="16"/>
                <w:lang w:eastAsia="es-AR"/>
              </w:rPr>
            </w:pPr>
            <w:r w:rsidRPr="00C31392">
              <w:rPr>
                <w:rFonts w:ascii="Arial" w:hAnsi="Arial" w:cs="Arial"/>
                <w:b/>
                <w:bCs/>
                <w:color w:val="000000"/>
                <w:sz w:val="16"/>
                <w:szCs w:val="16"/>
                <w:lang w:eastAsia="es-AR"/>
              </w:rPr>
              <w:t>Activos Financieros Monetarios</w:t>
            </w: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14:paraId="72324724" w14:textId="77777777" w:rsidR="00EB6617" w:rsidRPr="00C31392" w:rsidRDefault="00EB6617" w:rsidP="00EB6617">
            <w:pPr>
              <w:jc w:val="center"/>
              <w:rPr>
                <w:rFonts w:ascii="Arial" w:hAnsi="Arial" w:cs="Arial"/>
                <w:b/>
                <w:bCs/>
                <w:color w:val="000000"/>
                <w:sz w:val="16"/>
                <w:szCs w:val="16"/>
                <w:lang w:eastAsia="es-AR"/>
              </w:rPr>
            </w:pPr>
            <w:r w:rsidRPr="00C31392">
              <w:rPr>
                <w:rFonts w:ascii="Arial" w:hAnsi="Arial" w:cs="Arial"/>
                <w:b/>
                <w:bCs/>
                <w:color w:val="000000"/>
                <w:sz w:val="16"/>
                <w:szCs w:val="16"/>
                <w:lang w:eastAsia="es-AR"/>
              </w:rPr>
              <w:t>Pasivos Financieros Monetarios</w:t>
            </w:r>
          </w:p>
        </w:tc>
        <w:tc>
          <w:tcPr>
            <w:tcW w:w="914" w:type="dxa"/>
            <w:vMerge w:val="restart"/>
            <w:tcBorders>
              <w:top w:val="nil"/>
              <w:left w:val="single" w:sz="4" w:space="0" w:color="auto"/>
              <w:bottom w:val="single" w:sz="4" w:space="0" w:color="auto"/>
              <w:right w:val="single" w:sz="4" w:space="0" w:color="auto"/>
            </w:tcBorders>
            <w:shd w:val="clear" w:color="auto" w:fill="auto"/>
            <w:vAlign w:val="center"/>
            <w:hideMark/>
          </w:tcPr>
          <w:p w14:paraId="0DE02A5D" w14:textId="77777777" w:rsidR="00EB6617" w:rsidRPr="00C31392" w:rsidRDefault="00EB6617" w:rsidP="00EB6617">
            <w:pPr>
              <w:jc w:val="center"/>
              <w:rPr>
                <w:rFonts w:ascii="Arial" w:hAnsi="Arial" w:cs="Arial"/>
                <w:b/>
                <w:bCs/>
                <w:color w:val="000000"/>
                <w:sz w:val="16"/>
                <w:szCs w:val="16"/>
                <w:lang w:eastAsia="es-AR"/>
              </w:rPr>
            </w:pPr>
            <w:r w:rsidRPr="00C31392">
              <w:rPr>
                <w:rFonts w:ascii="Arial" w:hAnsi="Arial" w:cs="Arial"/>
                <w:b/>
                <w:bCs/>
                <w:color w:val="000000"/>
                <w:sz w:val="16"/>
                <w:szCs w:val="16"/>
                <w:lang w:eastAsia="es-AR"/>
              </w:rPr>
              <w:t>Derivados</w:t>
            </w:r>
          </w:p>
        </w:tc>
        <w:tc>
          <w:tcPr>
            <w:tcW w:w="923" w:type="dxa"/>
            <w:vMerge w:val="restart"/>
            <w:tcBorders>
              <w:top w:val="nil"/>
              <w:left w:val="single" w:sz="4" w:space="0" w:color="auto"/>
              <w:bottom w:val="single" w:sz="4" w:space="0" w:color="auto"/>
              <w:right w:val="single" w:sz="4" w:space="0" w:color="auto"/>
            </w:tcBorders>
            <w:shd w:val="clear" w:color="auto" w:fill="auto"/>
            <w:vAlign w:val="center"/>
            <w:hideMark/>
          </w:tcPr>
          <w:p w14:paraId="6BC5F60B" w14:textId="77777777" w:rsidR="00EB6617" w:rsidRPr="00C31392" w:rsidRDefault="00EB6617" w:rsidP="00EB6617">
            <w:pPr>
              <w:jc w:val="center"/>
              <w:rPr>
                <w:rFonts w:ascii="Arial" w:hAnsi="Arial" w:cs="Arial"/>
                <w:b/>
                <w:bCs/>
                <w:color w:val="000000"/>
                <w:sz w:val="16"/>
                <w:szCs w:val="16"/>
                <w:lang w:eastAsia="es-AR"/>
              </w:rPr>
            </w:pPr>
            <w:r w:rsidRPr="00C31392">
              <w:rPr>
                <w:rFonts w:ascii="Arial" w:hAnsi="Arial" w:cs="Arial"/>
                <w:b/>
                <w:bCs/>
                <w:color w:val="000000"/>
                <w:sz w:val="16"/>
                <w:szCs w:val="16"/>
                <w:lang w:eastAsia="es-AR"/>
              </w:rPr>
              <w:t>Posición Neta</w:t>
            </w:r>
          </w:p>
        </w:tc>
      </w:tr>
      <w:tr w:rsidR="00EB6617" w:rsidRPr="00C31392" w14:paraId="08F17F22" w14:textId="77777777" w:rsidTr="002E7EBF">
        <w:trPr>
          <w:trHeight w:val="359"/>
        </w:trPr>
        <w:tc>
          <w:tcPr>
            <w:tcW w:w="1059" w:type="dxa"/>
            <w:vMerge/>
            <w:tcBorders>
              <w:top w:val="single" w:sz="4" w:space="0" w:color="auto"/>
              <w:left w:val="single" w:sz="4" w:space="0" w:color="auto"/>
              <w:bottom w:val="single" w:sz="4" w:space="0" w:color="auto"/>
              <w:right w:val="single" w:sz="4" w:space="0" w:color="auto"/>
            </w:tcBorders>
            <w:vAlign w:val="center"/>
            <w:hideMark/>
          </w:tcPr>
          <w:p w14:paraId="6811AD23" w14:textId="77777777" w:rsidR="00EB6617" w:rsidRPr="00C31392" w:rsidRDefault="00EB6617" w:rsidP="00EB6617">
            <w:pPr>
              <w:rPr>
                <w:rFonts w:ascii="Arial" w:hAnsi="Arial" w:cs="Arial"/>
                <w:b/>
                <w:bCs/>
                <w:color w:val="000000"/>
                <w:sz w:val="16"/>
                <w:szCs w:val="16"/>
                <w:lang w:eastAsia="es-AR"/>
              </w:rPr>
            </w:pPr>
          </w:p>
        </w:tc>
        <w:tc>
          <w:tcPr>
            <w:tcW w:w="1039" w:type="dxa"/>
            <w:vMerge/>
            <w:tcBorders>
              <w:top w:val="nil"/>
              <w:left w:val="single" w:sz="4" w:space="0" w:color="auto"/>
              <w:bottom w:val="single" w:sz="4" w:space="0" w:color="auto"/>
              <w:right w:val="single" w:sz="4" w:space="0" w:color="auto"/>
            </w:tcBorders>
            <w:vAlign w:val="center"/>
            <w:hideMark/>
          </w:tcPr>
          <w:p w14:paraId="092BFB13" w14:textId="77777777" w:rsidR="00EB6617" w:rsidRPr="00C31392" w:rsidRDefault="00EB6617" w:rsidP="00EB6617">
            <w:pPr>
              <w:rPr>
                <w:rFonts w:ascii="Arial" w:hAnsi="Arial" w:cs="Arial"/>
                <w:b/>
                <w:bCs/>
                <w:color w:val="000000"/>
                <w:sz w:val="16"/>
                <w:szCs w:val="16"/>
                <w:lang w:eastAsia="es-AR"/>
              </w:rPr>
            </w:pPr>
          </w:p>
        </w:tc>
        <w:tc>
          <w:tcPr>
            <w:tcW w:w="1039" w:type="dxa"/>
            <w:vMerge/>
            <w:tcBorders>
              <w:top w:val="nil"/>
              <w:left w:val="single" w:sz="4" w:space="0" w:color="auto"/>
              <w:bottom w:val="single" w:sz="4" w:space="0" w:color="auto"/>
              <w:right w:val="single" w:sz="4" w:space="0" w:color="auto"/>
            </w:tcBorders>
            <w:vAlign w:val="center"/>
            <w:hideMark/>
          </w:tcPr>
          <w:p w14:paraId="774BB5D5" w14:textId="77777777" w:rsidR="00EB6617" w:rsidRPr="00C31392" w:rsidRDefault="00EB6617" w:rsidP="00EB6617">
            <w:pPr>
              <w:rPr>
                <w:rFonts w:ascii="Arial" w:hAnsi="Arial" w:cs="Arial"/>
                <w:b/>
                <w:bCs/>
                <w:color w:val="000000"/>
                <w:sz w:val="16"/>
                <w:szCs w:val="16"/>
                <w:lang w:eastAsia="es-AR"/>
              </w:rPr>
            </w:pPr>
          </w:p>
        </w:tc>
        <w:tc>
          <w:tcPr>
            <w:tcW w:w="914" w:type="dxa"/>
            <w:vMerge/>
            <w:tcBorders>
              <w:top w:val="nil"/>
              <w:left w:val="single" w:sz="4" w:space="0" w:color="auto"/>
              <w:bottom w:val="single" w:sz="4" w:space="0" w:color="auto"/>
              <w:right w:val="single" w:sz="4" w:space="0" w:color="auto"/>
            </w:tcBorders>
            <w:vAlign w:val="center"/>
            <w:hideMark/>
          </w:tcPr>
          <w:p w14:paraId="2E8B937B" w14:textId="77777777" w:rsidR="00EB6617" w:rsidRPr="00C31392" w:rsidRDefault="00EB6617" w:rsidP="00EB6617">
            <w:pPr>
              <w:rPr>
                <w:rFonts w:ascii="Arial" w:hAnsi="Arial" w:cs="Arial"/>
                <w:b/>
                <w:bCs/>
                <w:color w:val="000000"/>
                <w:sz w:val="16"/>
                <w:szCs w:val="16"/>
                <w:lang w:eastAsia="es-AR"/>
              </w:rPr>
            </w:pPr>
          </w:p>
        </w:tc>
        <w:tc>
          <w:tcPr>
            <w:tcW w:w="807" w:type="dxa"/>
            <w:vMerge/>
            <w:tcBorders>
              <w:top w:val="nil"/>
              <w:left w:val="single" w:sz="4" w:space="0" w:color="auto"/>
              <w:bottom w:val="single" w:sz="4" w:space="0" w:color="auto"/>
              <w:right w:val="single" w:sz="4" w:space="0" w:color="auto"/>
            </w:tcBorders>
            <w:vAlign w:val="center"/>
            <w:hideMark/>
          </w:tcPr>
          <w:p w14:paraId="3BA5AD20" w14:textId="77777777" w:rsidR="00EB6617" w:rsidRPr="00C31392" w:rsidRDefault="00EB6617" w:rsidP="00EB6617">
            <w:pPr>
              <w:rPr>
                <w:rFonts w:ascii="Arial" w:hAnsi="Arial" w:cs="Arial"/>
                <w:b/>
                <w:bCs/>
                <w:color w:val="000000"/>
                <w:sz w:val="16"/>
                <w:szCs w:val="16"/>
                <w:lang w:eastAsia="es-AR"/>
              </w:rPr>
            </w:pPr>
          </w:p>
        </w:tc>
        <w:tc>
          <w:tcPr>
            <w:tcW w:w="1039" w:type="dxa"/>
            <w:gridSpan w:val="2"/>
            <w:vMerge/>
            <w:tcBorders>
              <w:top w:val="nil"/>
              <w:left w:val="single" w:sz="4" w:space="0" w:color="auto"/>
              <w:bottom w:val="single" w:sz="4" w:space="0" w:color="auto"/>
              <w:right w:val="single" w:sz="4" w:space="0" w:color="auto"/>
            </w:tcBorders>
            <w:vAlign w:val="center"/>
            <w:hideMark/>
          </w:tcPr>
          <w:p w14:paraId="5DEF7D7D" w14:textId="77777777" w:rsidR="00EB6617" w:rsidRPr="00C31392" w:rsidRDefault="00EB6617" w:rsidP="00EB6617">
            <w:pPr>
              <w:rPr>
                <w:rFonts w:ascii="Arial" w:hAnsi="Arial" w:cs="Arial"/>
                <w:b/>
                <w:bCs/>
                <w:color w:val="000000"/>
                <w:sz w:val="16"/>
                <w:szCs w:val="16"/>
                <w:lang w:eastAsia="es-AR"/>
              </w:rPr>
            </w:pPr>
          </w:p>
        </w:tc>
        <w:tc>
          <w:tcPr>
            <w:tcW w:w="1039" w:type="dxa"/>
            <w:vMerge/>
            <w:tcBorders>
              <w:top w:val="nil"/>
              <w:left w:val="single" w:sz="4" w:space="0" w:color="auto"/>
              <w:bottom w:val="single" w:sz="4" w:space="0" w:color="auto"/>
              <w:right w:val="single" w:sz="4" w:space="0" w:color="auto"/>
            </w:tcBorders>
            <w:vAlign w:val="center"/>
            <w:hideMark/>
          </w:tcPr>
          <w:p w14:paraId="47AE0E95" w14:textId="77777777" w:rsidR="00EB6617" w:rsidRPr="00C31392" w:rsidRDefault="00EB6617" w:rsidP="00EB6617">
            <w:pPr>
              <w:rPr>
                <w:rFonts w:ascii="Arial" w:hAnsi="Arial" w:cs="Arial"/>
                <w:b/>
                <w:bCs/>
                <w:color w:val="000000"/>
                <w:sz w:val="16"/>
                <w:szCs w:val="16"/>
                <w:lang w:eastAsia="es-AR"/>
              </w:rPr>
            </w:pPr>
          </w:p>
        </w:tc>
        <w:tc>
          <w:tcPr>
            <w:tcW w:w="914" w:type="dxa"/>
            <w:vMerge/>
            <w:tcBorders>
              <w:top w:val="nil"/>
              <w:left w:val="single" w:sz="4" w:space="0" w:color="auto"/>
              <w:bottom w:val="single" w:sz="4" w:space="0" w:color="auto"/>
              <w:right w:val="single" w:sz="4" w:space="0" w:color="auto"/>
            </w:tcBorders>
            <w:vAlign w:val="center"/>
            <w:hideMark/>
          </w:tcPr>
          <w:p w14:paraId="7B7252BA" w14:textId="77777777" w:rsidR="00EB6617" w:rsidRPr="00C31392" w:rsidRDefault="00EB6617" w:rsidP="00EB6617">
            <w:pPr>
              <w:rPr>
                <w:rFonts w:ascii="Arial" w:hAnsi="Arial" w:cs="Arial"/>
                <w:b/>
                <w:bCs/>
                <w:color w:val="000000"/>
                <w:sz w:val="16"/>
                <w:szCs w:val="16"/>
                <w:lang w:eastAsia="es-AR"/>
              </w:rPr>
            </w:pPr>
          </w:p>
        </w:tc>
        <w:tc>
          <w:tcPr>
            <w:tcW w:w="923" w:type="dxa"/>
            <w:vMerge/>
            <w:tcBorders>
              <w:top w:val="nil"/>
              <w:left w:val="single" w:sz="4" w:space="0" w:color="auto"/>
              <w:bottom w:val="single" w:sz="4" w:space="0" w:color="auto"/>
              <w:right w:val="single" w:sz="4" w:space="0" w:color="auto"/>
            </w:tcBorders>
            <w:vAlign w:val="center"/>
            <w:hideMark/>
          </w:tcPr>
          <w:p w14:paraId="6BDC9949" w14:textId="77777777" w:rsidR="00EB6617" w:rsidRPr="00C31392" w:rsidRDefault="00EB6617" w:rsidP="00EB6617">
            <w:pPr>
              <w:rPr>
                <w:rFonts w:ascii="Arial" w:hAnsi="Arial" w:cs="Arial"/>
                <w:b/>
                <w:bCs/>
                <w:color w:val="000000"/>
                <w:sz w:val="16"/>
                <w:szCs w:val="16"/>
                <w:lang w:eastAsia="es-AR"/>
              </w:rPr>
            </w:pPr>
          </w:p>
        </w:tc>
      </w:tr>
      <w:tr w:rsidR="0092101C" w:rsidRPr="00C31392" w14:paraId="18AEF2A7" w14:textId="77777777" w:rsidTr="0092101C">
        <w:trPr>
          <w:trHeight w:val="382"/>
        </w:trPr>
        <w:tc>
          <w:tcPr>
            <w:tcW w:w="1059" w:type="dxa"/>
            <w:tcBorders>
              <w:top w:val="nil"/>
              <w:left w:val="single" w:sz="4" w:space="0" w:color="auto"/>
              <w:bottom w:val="single" w:sz="4" w:space="0" w:color="auto"/>
              <w:right w:val="single" w:sz="4" w:space="0" w:color="auto"/>
            </w:tcBorders>
            <w:shd w:val="clear" w:color="auto" w:fill="auto"/>
            <w:vAlign w:val="center"/>
            <w:hideMark/>
          </w:tcPr>
          <w:p w14:paraId="33A6E756" w14:textId="77777777" w:rsidR="0092101C" w:rsidRPr="00C31392" w:rsidRDefault="0092101C" w:rsidP="0092101C">
            <w:pPr>
              <w:rPr>
                <w:rFonts w:ascii="Arial" w:hAnsi="Arial" w:cs="Arial"/>
                <w:color w:val="000000"/>
                <w:sz w:val="16"/>
                <w:szCs w:val="16"/>
                <w:lang w:eastAsia="es-AR"/>
              </w:rPr>
            </w:pPr>
            <w:r w:rsidRPr="00C31392">
              <w:rPr>
                <w:rFonts w:ascii="Arial" w:hAnsi="Arial" w:cs="Arial"/>
                <w:color w:val="000000"/>
                <w:sz w:val="16"/>
                <w:szCs w:val="16"/>
                <w:lang w:eastAsia="es-AR"/>
              </w:rPr>
              <w:t>Dólar EEUU</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05999F" w14:textId="59CBC880"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37.455.139 </w:t>
            </w:r>
          </w:p>
        </w:tc>
        <w:tc>
          <w:tcPr>
            <w:tcW w:w="1039" w:type="dxa"/>
            <w:tcBorders>
              <w:top w:val="single" w:sz="4" w:space="0" w:color="auto"/>
              <w:left w:val="nil"/>
              <w:bottom w:val="single" w:sz="4" w:space="0" w:color="auto"/>
              <w:right w:val="single" w:sz="4" w:space="0" w:color="auto"/>
            </w:tcBorders>
            <w:shd w:val="clear" w:color="auto" w:fill="auto"/>
            <w:noWrap/>
            <w:vAlign w:val="bottom"/>
          </w:tcPr>
          <w:p w14:paraId="62E33842" w14:textId="61A915E1"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36.825.985 </w:t>
            </w:r>
          </w:p>
        </w:tc>
        <w:tc>
          <w:tcPr>
            <w:tcW w:w="914" w:type="dxa"/>
            <w:tcBorders>
              <w:top w:val="single" w:sz="4" w:space="0" w:color="auto"/>
              <w:left w:val="nil"/>
              <w:bottom w:val="single" w:sz="4" w:space="0" w:color="auto"/>
              <w:right w:val="single" w:sz="4" w:space="0" w:color="auto"/>
            </w:tcBorders>
            <w:shd w:val="clear" w:color="auto" w:fill="auto"/>
            <w:noWrap/>
            <w:vAlign w:val="bottom"/>
          </w:tcPr>
          <w:p w14:paraId="41F23177" w14:textId="166AF4AD"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 </w:t>
            </w:r>
          </w:p>
        </w:tc>
        <w:tc>
          <w:tcPr>
            <w:tcW w:w="807" w:type="dxa"/>
            <w:tcBorders>
              <w:top w:val="single" w:sz="4" w:space="0" w:color="auto"/>
              <w:left w:val="nil"/>
              <w:bottom w:val="single" w:sz="4" w:space="0" w:color="auto"/>
              <w:right w:val="single" w:sz="4" w:space="0" w:color="auto"/>
            </w:tcBorders>
            <w:shd w:val="clear" w:color="auto" w:fill="auto"/>
            <w:noWrap/>
            <w:vAlign w:val="bottom"/>
          </w:tcPr>
          <w:p w14:paraId="036074E1" w14:textId="50EAAB38"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629.154 </w:t>
            </w:r>
          </w:p>
        </w:tc>
        <w:tc>
          <w:tcPr>
            <w:tcW w:w="103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709CA1" w14:textId="551DE488"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 xml:space="preserve">41.462.284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9358B81" w14:textId="6A544BEA"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 xml:space="preserve">40.327.318 </w:t>
            </w:r>
          </w:p>
        </w:tc>
        <w:tc>
          <w:tcPr>
            <w:tcW w:w="914" w:type="dxa"/>
            <w:tcBorders>
              <w:top w:val="single" w:sz="4" w:space="0" w:color="auto"/>
              <w:left w:val="nil"/>
              <w:bottom w:val="single" w:sz="4" w:space="0" w:color="auto"/>
              <w:right w:val="single" w:sz="4" w:space="0" w:color="auto"/>
            </w:tcBorders>
            <w:shd w:val="clear" w:color="auto" w:fill="auto"/>
            <w:noWrap/>
            <w:vAlign w:val="bottom"/>
            <w:hideMark/>
          </w:tcPr>
          <w:p w14:paraId="2635A47D" w14:textId="4729A11F"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 xml:space="preserve">13.405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14:paraId="72F413F7" w14:textId="443F7E34"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 xml:space="preserve">1.148.371 </w:t>
            </w:r>
          </w:p>
        </w:tc>
      </w:tr>
      <w:tr w:rsidR="0092101C" w:rsidRPr="00C31392" w14:paraId="41775181" w14:textId="77777777" w:rsidTr="0092101C">
        <w:trPr>
          <w:trHeight w:val="202"/>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14:paraId="0A9FB754" w14:textId="77777777" w:rsidR="0092101C" w:rsidRPr="00C31392" w:rsidRDefault="0092101C" w:rsidP="0092101C">
            <w:pPr>
              <w:rPr>
                <w:rFonts w:ascii="Arial" w:hAnsi="Arial" w:cs="Arial"/>
                <w:color w:val="000000"/>
                <w:sz w:val="16"/>
                <w:szCs w:val="16"/>
                <w:lang w:eastAsia="es-AR"/>
              </w:rPr>
            </w:pPr>
            <w:r w:rsidRPr="00C31392">
              <w:rPr>
                <w:rFonts w:ascii="Arial" w:hAnsi="Arial" w:cs="Arial"/>
                <w:color w:val="000000"/>
                <w:sz w:val="16"/>
                <w:szCs w:val="16"/>
                <w:lang w:eastAsia="es-AR"/>
              </w:rPr>
              <w:t>Euro</w:t>
            </w:r>
          </w:p>
        </w:tc>
        <w:tc>
          <w:tcPr>
            <w:tcW w:w="1039" w:type="dxa"/>
            <w:tcBorders>
              <w:top w:val="nil"/>
              <w:left w:val="single" w:sz="4" w:space="0" w:color="auto"/>
              <w:bottom w:val="single" w:sz="4" w:space="0" w:color="auto"/>
              <w:right w:val="single" w:sz="4" w:space="0" w:color="auto"/>
            </w:tcBorders>
            <w:shd w:val="clear" w:color="auto" w:fill="auto"/>
            <w:noWrap/>
            <w:vAlign w:val="bottom"/>
          </w:tcPr>
          <w:p w14:paraId="2C48D002" w14:textId="778719D8"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593.090 </w:t>
            </w:r>
          </w:p>
        </w:tc>
        <w:tc>
          <w:tcPr>
            <w:tcW w:w="1039" w:type="dxa"/>
            <w:tcBorders>
              <w:top w:val="nil"/>
              <w:left w:val="nil"/>
              <w:bottom w:val="single" w:sz="4" w:space="0" w:color="auto"/>
              <w:right w:val="single" w:sz="4" w:space="0" w:color="auto"/>
            </w:tcBorders>
            <w:shd w:val="clear" w:color="auto" w:fill="auto"/>
            <w:noWrap/>
            <w:vAlign w:val="bottom"/>
          </w:tcPr>
          <w:p w14:paraId="0060A2F0" w14:textId="74B8983F"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575.147 </w:t>
            </w:r>
          </w:p>
        </w:tc>
        <w:tc>
          <w:tcPr>
            <w:tcW w:w="914" w:type="dxa"/>
            <w:tcBorders>
              <w:top w:val="nil"/>
              <w:left w:val="nil"/>
              <w:bottom w:val="single" w:sz="4" w:space="0" w:color="auto"/>
              <w:right w:val="single" w:sz="4" w:space="0" w:color="auto"/>
            </w:tcBorders>
            <w:shd w:val="clear" w:color="auto" w:fill="auto"/>
            <w:noWrap/>
            <w:vAlign w:val="bottom"/>
          </w:tcPr>
          <w:p w14:paraId="16578C3C" w14:textId="188432CD"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 </w:t>
            </w:r>
          </w:p>
        </w:tc>
        <w:tc>
          <w:tcPr>
            <w:tcW w:w="807" w:type="dxa"/>
            <w:tcBorders>
              <w:top w:val="nil"/>
              <w:left w:val="nil"/>
              <w:bottom w:val="single" w:sz="4" w:space="0" w:color="auto"/>
              <w:right w:val="single" w:sz="4" w:space="0" w:color="auto"/>
            </w:tcBorders>
            <w:shd w:val="clear" w:color="auto" w:fill="auto"/>
            <w:noWrap/>
            <w:vAlign w:val="bottom"/>
          </w:tcPr>
          <w:p w14:paraId="37AB925F" w14:textId="167F4F8F"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17.943 </w:t>
            </w:r>
          </w:p>
        </w:tc>
        <w:tc>
          <w:tcPr>
            <w:tcW w:w="1039" w:type="dxa"/>
            <w:gridSpan w:val="2"/>
            <w:tcBorders>
              <w:top w:val="nil"/>
              <w:left w:val="nil"/>
              <w:bottom w:val="single" w:sz="4" w:space="0" w:color="auto"/>
              <w:right w:val="single" w:sz="4" w:space="0" w:color="auto"/>
            </w:tcBorders>
            <w:shd w:val="clear" w:color="auto" w:fill="auto"/>
            <w:noWrap/>
            <w:vAlign w:val="bottom"/>
            <w:hideMark/>
          </w:tcPr>
          <w:p w14:paraId="4C1B0DAD" w14:textId="79565FCF"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 xml:space="preserve">463.781 </w:t>
            </w:r>
          </w:p>
        </w:tc>
        <w:tc>
          <w:tcPr>
            <w:tcW w:w="1039" w:type="dxa"/>
            <w:tcBorders>
              <w:top w:val="nil"/>
              <w:left w:val="nil"/>
              <w:bottom w:val="single" w:sz="4" w:space="0" w:color="auto"/>
              <w:right w:val="single" w:sz="4" w:space="0" w:color="auto"/>
            </w:tcBorders>
            <w:shd w:val="clear" w:color="auto" w:fill="auto"/>
            <w:noWrap/>
            <w:vAlign w:val="bottom"/>
            <w:hideMark/>
          </w:tcPr>
          <w:p w14:paraId="44E8769F" w14:textId="6DA05F98"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 xml:space="preserve">474.602 </w:t>
            </w:r>
          </w:p>
        </w:tc>
        <w:tc>
          <w:tcPr>
            <w:tcW w:w="914" w:type="dxa"/>
            <w:tcBorders>
              <w:top w:val="nil"/>
              <w:left w:val="nil"/>
              <w:bottom w:val="single" w:sz="4" w:space="0" w:color="auto"/>
              <w:right w:val="single" w:sz="4" w:space="0" w:color="auto"/>
            </w:tcBorders>
            <w:shd w:val="clear" w:color="auto" w:fill="auto"/>
            <w:noWrap/>
            <w:vAlign w:val="bottom"/>
            <w:hideMark/>
          </w:tcPr>
          <w:p w14:paraId="251B8442" w14:textId="1C39020C"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 xml:space="preserve">- </w:t>
            </w:r>
          </w:p>
        </w:tc>
        <w:tc>
          <w:tcPr>
            <w:tcW w:w="923" w:type="dxa"/>
            <w:tcBorders>
              <w:top w:val="nil"/>
              <w:left w:val="nil"/>
              <w:bottom w:val="single" w:sz="4" w:space="0" w:color="auto"/>
              <w:right w:val="single" w:sz="4" w:space="0" w:color="auto"/>
            </w:tcBorders>
            <w:shd w:val="clear" w:color="auto" w:fill="auto"/>
            <w:noWrap/>
            <w:vAlign w:val="bottom"/>
            <w:hideMark/>
          </w:tcPr>
          <w:p w14:paraId="2BADB14B" w14:textId="5841C1F7"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(10.821)</w:t>
            </w:r>
          </w:p>
        </w:tc>
      </w:tr>
      <w:tr w:rsidR="0092101C" w:rsidRPr="00C31392" w14:paraId="37EE0056" w14:textId="77777777" w:rsidTr="0092101C">
        <w:trPr>
          <w:trHeight w:val="202"/>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14:paraId="197E91BD" w14:textId="77777777" w:rsidR="0092101C" w:rsidRPr="00C31392" w:rsidRDefault="0092101C" w:rsidP="0092101C">
            <w:pPr>
              <w:rPr>
                <w:rFonts w:ascii="Arial" w:hAnsi="Arial" w:cs="Arial"/>
                <w:color w:val="000000"/>
                <w:sz w:val="16"/>
                <w:szCs w:val="16"/>
                <w:lang w:eastAsia="es-AR"/>
              </w:rPr>
            </w:pPr>
            <w:r w:rsidRPr="00C31392">
              <w:rPr>
                <w:rFonts w:ascii="Arial" w:hAnsi="Arial" w:cs="Arial"/>
                <w:color w:val="000000"/>
                <w:sz w:val="16"/>
                <w:szCs w:val="16"/>
                <w:lang w:eastAsia="es-AR"/>
              </w:rPr>
              <w:t xml:space="preserve">Otras </w:t>
            </w:r>
          </w:p>
        </w:tc>
        <w:tc>
          <w:tcPr>
            <w:tcW w:w="1039" w:type="dxa"/>
            <w:tcBorders>
              <w:top w:val="nil"/>
              <w:left w:val="single" w:sz="4" w:space="0" w:color="auto"/>
              <w:bottom w:val="single" w:sz="4" w:space="0" w:color="auto"/>
              <w:right w:val="single" w:sz="4" w:space="0" w:color="auto"/>
            </w:tcBorders>
            <w:shd w:val="clear" w:color="auto" w:fill="auto"/>
            <w:noWrap/>
            <w:vAlign w:val="bottom"/>
          </w:tcPr>
          <w:p w14:paraId="27A9CB44" w14:textId="2151F885"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146.439 </w:t>
            </w:r>
          </w:p>
        </w:tc>
        <w:tc>
          <w:tcPr>
            <w:tcW w:w="1039" w:type="dxa"/>
            <w:tcBorders>
              <w:top w:val="nil"/>
              <w:left w:val="nil"/>
              <w:bottom w:val="single" w:sz="4" w:space="0" w:color="auto"/>
              <w:right w:val="single" w:sz="4" w:space="0" w:color="auto"/>
            </w:tcBorders>
            <w:shd w:val="clear" w:color="auto" w:fill="auto"/>
            <w:noWrap/>
            <w:vAlign w:val="bottom"/>
          </w:tcPr>
          <w:p w14:paraId="37E7ADBF" w14:textId="05BDF722"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3.693 </w:t>
            </w:r>
          </w:p>
        </w:tc>
        <w:tc>
          <w:tcPr>
            <w:tcW w:w="914" w:type="dxa"/>
            <w:tcBorders>
              <w:top w:val="nil"/>
              <w:left w:val="nil"/>
              <w:bottom w:val="single" w:sz="4" w:space="0" w:color="auto"/>
              <w:right w:val="single" w:sz="4" w:space="0" w:color="auto"/>
            </w:tcBorders>
            <w:shd w:val="clear" w:color="auto" w:fill="auto"/>
            <w:noWrap/>
            <w:vAlign w:val="bottom"/>
          </w:tcPr>
          <w:p w14:paraId="4E013B26" w14:textId="21218F5A"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 </w:t>
            </w:r>
          </w:p>
        </w:tc>
        <w:tc>
          <w:tcPr>
            <w:tcW w:w="807" w:type="dxa"/>
            <w:tcBorders>
              <w:top w:val="nil"/>
              <w:left w:val="nil"/>
              <w:bottom w:val="single" w:sz="4" w:space="0" w:color="auto"/>
              <w:right w:val="single" w:sz="4" w:space="0" w:color="auto"/>
            </w:tcBorders>
            <w:shd w:val="clear" w:color="auto" w:fill="auto"/>
            <w:noWrap/>
            <w:vAlign w:val="bottom"/>
          </w:tcPr>
          <w:p w14:paraId="2046F494" w14:textId="53272F32" w:rsidR="0092101C" w:rsidRPr="00C31392" w:rsidRDefault="0092101C" w:rsidP="0092101C">
            <w:pPr>
              <w:jc w:val="right"/>
              <w:rPr>
                <w:rFonts w:ascii="Arial" w:hAnsi="Arial" w:cs="Arial"/>
                <w:color w:val="000000"/>
                <w:sz w:val="16"/>
                <w:szCs w:val="16"/>
              </w:rPr>
            </w:pPr>
            <w:r w:rsidRPr="0092101C">
              <w:rPr>
                <w:rFonts w:ascii="Arial" w:hAnsi="Arial" w:cs="Arial"/>
                <w:color w:val="000000"/>
                <w:sz w:val="16"/>
                <w:szCs w:val="16"/>
              </w:rPr>
              <w:t xml:space="preserve">142.746 </w:t>
            </w:r>
          </w:p>
        </w:tc>
        <w:tc>
          <w:tcPr>
            <w:tcW w:w="1039" w:type="dxa"/>
            <w:gridSpan w:val="2"/>
            <w:tcBorders>
              <w:top w:val="nil"/>
              <w:left w:val="nil"/>
              <w:bottom w:val="single" w:sz="4" w:space="0" w:color="auto"/>
              <w:right w:val="single" w:sz="4" w:space="0" w:color="auto"/>
            </w:tcBorders>
            <w:shd w:val="clear" w:color="auto" w:fill="auto"/>
            <w:noWrap/>
            <w:vAlign w:val="bottom"/>
            <w:hideMark/>
          </w:tcPr>
          <w:p w14:paraId="5D218816" w14:textId="3D8F7225"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 xml:space="preserve">114.521 </w:t>
            </w:r>
          </w:p>
        </w:tc>
        <w:tc>
          <w:tcPr>
            <w:tcW w:w="1039" w:type="dxa"/>
            <w:tcBorders>
              <w:top w:val="nil"/>
              <w:left w:val="nil"/>
              <w:bottom w:val="single" w:sz="4" w:space="0" w:color="auto"/>
              <w:right w:val="single" w:sz="4" w:space="0" w:color="auto"/>
            </w:tcBorders>
            <w:shd w:val="clear" w:color="auto" w:fill="auto"/>
            <w:noWrap/>
            <w:vAlign w:val="bottom"/>
            <w:hideMark/>
          </w:tcPr>
          <w:p w14:paraId="6A6EA847" w14:textId="767D8F9A"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 xml:space="preserve">3.338 </w:t>
            </w:r>
          </w:p>
        </w:tc>
        <w:tc>
          <w:tcPr>
            <w:tcW w:w="914" w:type="dxa"/>
            <w:tcBorders>
              <w:top w:val="nil"/>
              <w:left w:val="nil"/>
              <w:bottom w:val="single" w:sz="4" w:space="0" w:color="auto"/>
              <w:right w:val="single" w:sz="4" w:space="0" w:color="auto"/>
            </w:tcBorders>
            <w:shd w:val="clear" w:color="auto" w:fill="auto"/>
            <w:noWrap/>
            <w:vAlign w:val="bottom"/>
            <w:hideMark/>
          </w:tcPr>
          <w:p w14:paraId="323AA866" w14:textId="3C31A6DE"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 xml:space="preserve">- </w:t>
            </w:r>
          </w:p>
        </w:tc>
        <w:tc>
          <w:tcPr>
            <w:tcW w:w="923" w:type="dxa"/>
            <w:tcBorders>
              <w:top w:val="nil"/>
              <w:left w:val="nil"/>
              <w:bottom w:val="single" w:sz="4" w:space="0" w:color="auto"/>
              <w:right w:val="single" w:sz="4" w:space="0" w:color="auto"/>
            </w:tcBorders>
            <w:shd w:val="clear" w:color="auto" w:fill="auto"/>
            <w:noWrap/>
            <w:vAlign w:val="bottom"/>
            <w:hideMark/>
          </w:tcPr>
          <w:p w14:paraId="0F5B2D85" w14:textId="1437931E" w:rsidR="0092101C" w:rsidRPr="00C31392" w:rsidRDefault="0092101C" w:rsidP="0092101C">
            <w:pPr>
              <w:jc w:val="right"/>
              <w:rPr>
                <w:rFonts w:ascii="Arial" w:hAnsi="Arial" w:cs="Arial"/>
                <w:color w:val="000000"/>
                <w:sz w:val="16"/>
                <w:szCs w:val="16"/>
                <w:lang w:eastAsia="es-AR"/>
              </w:rPr>
            </w:pPr>
            <w:r w:rsidRPr="00C31392">
              <w:rPr>
                <w:rFonts w:ascii="Arial" w:hAnsi="Arial" w:cs="Arial"/>
                <w:color w:val="000000"/>
                <w:sz w:val="16"/>
                <w:szCs w:val="16"/>
              </w:rPr>
              <w:t xml:space="preserve">111.183 </w:t>
            </w:r>
          </w:p>
        </w:tc>
      </w:tr>
      <w:tr w:rsidR="0092101C" w:rsidRPr="00C31392" w14:paraId="0CB0736D" w14:textId="77777777" w:rsidTr="0092101C">
        <w:trPr>
          <w:trHeight w:val="202"/>
        </w:trPr>
        <w:tc>
          <w:tcPr>
            <w:tcW w:w="1059" w:type="dxa"/>
            <w:tcBorders>
              <w:top w:val="nil"/>
              <w:left w:val="single" w:sz="4" w:space="0" w:color="auto"/>
              <w:bottom w:val="single" w:sz="4" w:space="0" w:color="auto"/>
              <w:right w:val="single" w:sz="4" w:space="0" w:color="auto"/>
            </w:tcBorders>
            <w:shd w:val="clear" w:color="auto" w:fill="auto"/>
            <w:noWrap/>
            <w:vAlign w:val="center"/>
            <w:hideMark/>
          </w:tcPr>
          <w:p w14:paraId="408FC5D9" w14:textId="77777777" w:rsidR="0092101C" w:rsidRPr="00C31392" w:rsidRDefault="0092101C" w:rsidP="0092101C">
            <w:pPr>
              <w:rPr>
                <w:rFonts w:ascii="Arial" w:hAnsi="Arial" w:cs="Arial"/>
                <w:b/>
                <w:bCs/>
                <w:color w:val="000000"/>
                <w:sz w:val="16"/>
                <w:szCs w:val="16"/>
                <w:lang w:eastAsia="es-AR"/>
              </w:rPr>
            </w:pPr>
            <w:r w:rsidRPr="00C31392">
              <w:rPr>
                <w:rFonts w:ascii="Arial" w:hAnsi="Arial" w:cs="Arial"/>
                <w:b/>
                <w:bCs/>
                <w:color w:val="000000"/>
                <w:sz w:val="16"/>
                <w:szCs w:val="16"/>
                <w:lang w:eastAsia="es-AR"/>
              </w:rPr>
              <w:t>Total</w:t>
            </w:r>
          </w:p>
        </w:tc>
        <w:tc>
          <w:tcPr>
            <w:tcW w:w="1039" w:type="dxa"/>
            <w:tcBorders>
              <w:top w:val="nil"/>
              <w:left w:val="single" w:sz="4" w:space="0" w:color="auto"/>
              <w:bottom w:val="single" w:sz="4" w:space="0" w:color="auto"/>
              <w:right w:val="single" w:sz="4" w:space="0" w:color="auto"/>
            </w:tcBorders>
            <w:shd w:val="clear" w:color="auto" w:fill="auto"/>
            <w:noWrap/>
            <w:vAlign w:val="bottom"/>
          </w:tcPr>
          <w:p w14:paraId="66A5F12B" w14:textId="41C396D5" w:rsidR="0092101C" w:rsidRPr="0092101C" w:rsidRDefault="0092101C" w:rsidP="0092101C">
            <w:pPr>
              <w:jc w:val="right"/>
              <w:rPr>
                <w:rFonts w:ascii="Arial" w:hAnsi="Arial" w:cs="Arial"/>
                <w:b/>
                <w:color w:val="000000"/>
                <w:sz w:val="16"/>
                <w:szCs w:val="16"/>
              </w:rPr>
            </w:pPr>
            <w:r w:rsidRPr="0092101C">
              <w:rPr>
                <w:rFonts w:ascii="Arial" w:hAnsi="Arial" w:cs="Arial"/>
                <w:b/>
                <w:color w:val="000000"/>
                <w:sz w:val="16"/>
                <w:szCs w:val="16"/>
              </w:rPr>
              <w:t xml:space="preserve">38.194.668 </w:t>
            </w:r>
          </w:p>
        </w:tc>
        <w:tc>
          <w:tcPr>
            <w:tcW w:w="1039" w:type="dxa"/>
            <w:tcBorders>
              <w:top w:val="nil"/>
              <w:left w:val="nil"/>
              <w:bottom w:val="single" w:sz="4" w:space="0" w:color="auto"/>
              <w:right w:val="single" w:sz="4" w:space="0" w:color="auto"/>
            </w:tcBorders>
            <w:shd w:val="clear" w:color="auto" w:fill="auto"/>
            <w:noWrap/>
            <w:vAlign w:val="bottom"/>
          </w:tcPr>
          <w:p w14:paraId="0721E893" w14:textId="13471D1D" w:rsidR="0092101C" w:rsidRPr="0092101C" w:rsidRDefault="0092101C" w:rsidP="0092101C">
            <w:pPr>
              <w:jc w:val="right"/>
              <w:rPr>
                <w:rFonts w:ascii="Arial" w:hAnsi="Arial" w:cs="Arial"/>
                <w:b/>
                <w:color w:val="000000"/>
                <w:sz w:val="16"/>
                <w:szCs w:val="16"/>
              </w:rPr>
            </w:pPr>
            <w:r w:rsidRPr="0092101C">
              <w:rPr>
                <w:rFonts w:ascii="Arial" w:hAnsi="Arial" w:cs="Arial"/>
                <w:b/>
                <w:color w:val="000000"/>
                <w:sz w:val="16"/>
                <w:szCs w:val="16"/>
              </w:rPr>
              <w:t xml:space="preserve">37.404.825 </w:t>
            </w:r>
          </w:p>
        </w:tc>
        <w:tc>
          <w:tcPr>
            <w:tcW w:w="914" w:type="dxa"/>
            <w:tcBorders>
              <w:top w:val="nil"/>
              <w:left w:val="nil"/>
              <w:bottom w:val="single" w:sz="4" w:space="0" w:color="auto"/>
              <w:right w:val="single" w:sz="4" w:space="0" w:color="auto"/>
            </w:tcBorders>
            <w:shd w:val="clear" w:color="auto" w:fill="auto"/>
            <w:noWrap/>
            <w:vAlign w:val="bottom"/>
          </w:tcPr>
          <w:p w14:paraId="3AE3FCBC" w14:textId="3CFAD4A2" w:rsidR="0092101C" w:rsidRPr="0092101C" w:rsidRDefault="0092101C" w:rsidP="0092101C">
            <w:pPr>
              <w:jc w:val="right"/>
              <w:rPr>
                <w:rFonts w:ascii="Arial" w:hAnsi="Arial" w:cs="Arial"/>
                <w:b/>
                <w:color w:val="000000"/>
                <w:sz w:val="16"/>
                <w:szCs w:val="16"/>
              </w:rPr>
            </w:pPr>
            <w:r w:rsidRPr="0092101C">
              <w:rPr>
                <w:rFonts w:ascii="Arial" w:hAnsi="Arial" w:cs="Arial"/>
                <w:b/>
                <w:color w:val="000000"/>
                <w:sz w:val="16"/>
                <w:szCs w:val="16"/>
              </w:rPr>
              <w:t xml:space="preserve">- </w:t>
            </w:r>
          </w:p>
        </w:tc>
        <w:tc>
          <w:tcPr>
            <w:tcW w:w="807" w:type="dxa"/>
            <w:tcBorders>
              <w:top w:val="nil"/>
              <w:left w:val="nil"/>
              <w:bottom w:val="single" w:sz="4" w:space="0" w:color="auto"/>
              <w:right w:val="single" w:sz="4" w:space="0" w:color="auto"/>
            </w:tcBorders>
            <w:shd w:val="clear" w:color="auto" w:fill="auto"/>
            <w:noWrap/>
            <w:vAlign w:val="bottom"/>
          </w:tcPr>
          <w:p w14:paraId="57638E04" w14:textId="37CF7557" w:rsidR="0092101C" w:rsidRPr="0092101C" w:rsidRDefault="0092101C" w:rsidP="0092101C">
            <w:pPr>
              <w:jc w:val="right"/>
              <w:rPr>
                <w:rFonts w:ascii="Arial" w:hAnsi="Arial" w:cs="Arial"/>
                <w:b/>
                <w:color w:val="000000"/>
                <w:sz w:val="16"/>
                <w:szCs w:val="16"/>
              </w:rPr>
            </w:pPr>
            <w:r w:rsidRPr="0092101C">
              <w:rPr>
                <w:rFonts w:ascii="Arial" w:hAnsi="Arial" w:cs="Arial"/>
                <w:b/>
                <w:color w:val="000000"/>
                <w:sz w:val="16"/>
                <w:szCs w:val="16"/>
              </w:rPr>
              <w:t xml:space="preserve">789.843 </w:t>
            </w:r>
          </w:p>
        </w:tc>
        <w:tc>
          <w:tcPr>
            <w:tcW w:w="1039" w:type="dxa"/>
            <w:gridSpan w:val="2"/>
            <w:tcBorders>
              <w:top w:val="nil"/>
              <w:left w:val="nil"/>
              <w:bottom w:val="single" w:sz="4" w:space="0" w:color="auto"/>
              <w:right w:val="single" w:sz="4" w:space="0" w:color="auto"/>
            </w:tcBorders>
            <w:shd w:val="clear" w:color="auto" w:fill="auto"/>
            <w:noWrap/>
            <w:vAlign w:val="bottom"/>
            <w:hideMark/>
          </w:tcPr>
          <w:p w14:paraId="214C0180" w14:textId="115D3025" w:rsidR="0092101C" w:rsidRPr="00C31392" w:rsidRDefault="0092101C" w:rsidP="0092101C">
            <w:pPr>
              <w:jc w:val="right"/>
              <w:rPr>
                <w:rFonts w:ascii="Arial" w:hAnsi="Arial" w:cs="Arial"/>
                <w:b/>
                <w:bCs/>
                <w:color w:val="000000"/>
                <w:sz w:val="16"/>
                <w:szCs w:val="16"/>
                <w:lang w:eastAsia="es-AR"/>
              </w:rPr>
            </w:pPr>
            <w:r w:rsidRPr="00C31392">
              <w:rPr>
                <w:rFonts w:ascii="Arial" w:hAnsi="Arial" w:cs="Arial"/>
                <w:b/>
                <w:bCs/>
                <w:color w:val="000000"/>
                <w:sz w:val="16"/>
                <w:szCs w:val="16"/>
              </w:rPr>
              <w:t xml:space="preserve">42.040.586 </w:t>
            </w:r>
          </w:p>
        </w:tc>
        <w:tc>
          <w:tcPr>
            <w:tcW w:w="1039" w:type="dxa"/>
            <w:tcBorders>
              <w:top w:val="nil"/>
              <w:left w:val="nil"/>
              <w:bottom w:val="single" w:sz="4" w:space="0" w:color="auto"/>
              <w:right w:val="single" w:sz="4" w:space="0" w:color="auto"/>
            </w:tcBorders>
            <w:shd w:val="clear" w:color="auto" w:fill="auto"/>
            <w:noWrap/>
            <w:vAlign w:val="bottom"/>
            <w:hideMark/>
          </w:tcPr>
          <w:p w14:paraId="7BE2615D" w14:textId="674E4022" w:rsidR="0092101C" w:rsidRPr="00C31392" w:rsidRDefault="0092101C" w:rsidP="0092101C">
            <w:pPr>
              <w:jc w:val="right"/>
              <w:rPr>
                <w:rFonts w:ascii="Arial" w:hAnsi="Arial" w:cs="Arial"/>
                <w:b/>
                <w:bCs/>
                <w:color w:val="000000"/>
                <w:sz w:val="16"/>
                <w:szCs w:val="16"/>
                <w:lang w:eastAsia="es-AR"/>
              </w:rPr>
            </w:pPr>
            <w:r w:rsidRPr="00C31392">
              <w:rPr>
                <w:rFonts w:ascii="Arial" w:hAnsi="Arial" w:cs="Arial"/>
                <w:b/>
                <w:bCs/>
                <w:color w:val="000000"/>
                <w:sz w:val="16"/>
                <w:szCs w:val="16"/>
              </w:rPr>
              <w:t xml:space="preserve">40.805.258 </w:t>
            </w:r>
          </w:p>
        </w:tc>
        <w:tc>
          <w:tcPr>
            <w:tcW w:w="914" w:type="dxa"/>
            <w:tcBorders>
              <w:top w:val="nil"/>
              <w:left w:val="nil"/>
              <w:bottom w:val="single" w:sz="4" w:space="0" w:color="auto"/>
              <w:right w:val="single" w:sz="4" w:space="0" w:color="auto"/>
            </w:tcBorders>
            <w:shd w:val="clear" w:color="auto" w:fill="auto"/>
            <w:noWrap/>
            <w:vAlign w:val="bottom"/>
            <w:hideMark/>
          </w:tcPr>
          <w:p w14:paraId="36BE3322" w14:textId="3E041EA7" w:rsidR="0092101C" w:rsidRPr="00C31392" w:rsidRDefault="0092101C" w:rsidP="0092101C">
            <w:pPr>
              <w:jc w:val="right"/>
              <w:rPr>
                <w:rFonts w:ascii="Arial" w:hAnsi="Arial" w:cs="Arial"/>
                <w:b/>
                <w:bCs/>
                <w:color w:val="000000"/>
                <w:sz w:val="16"/>
                <w:szCs w:val="16"/>
                <w:lang w:eastAsia="es-AR"/>
              </w:rPr>
            </w:pPr>
            <w:r w:rsidRPr="00C31392">
              <w:rPr>
                <w:rFonts w:ascii="Arial" w:hAnsi="Arial" w:cs="Arial"/>
                <w:b/>
                <w:bCs/>
                <w:color w:val="000000"/>
                <w:sz w:val="16"/>
                <w:szCs w:val="16"/>
              </w:rPr>
              <w:t xml:space="preserve">13.405 </w:t>
            </w:r>
          </w:p>
        </w:tc>
        <w:tc>
          <w:tcPr>
            <w:tcW w:w="923" w:type="dxa"/>
            <w:tcBorders>
              <w:top w:val="nil"/>
              <w:left w:val="nil"/>
              <w:bottom w:val="single" w:sz="4" w:space="0" w:color="auto"/>
              <w:right w:val="single" w:sz="4" w:space="0" w:color="auto"/>
            </w:tcBorders>
            <w:shd w:val="clear" w:color="auto" w:fill="auto"/>
            <w:noWrap/>
            <w:vAlign w:val="bottom"/>
            <w:hideMark/>
          </w:tcPr>
          <w:p w14:paraId="39BC6D0E" w14:textId="32C0EF34" w:rsidR="0092101C" w:rsidRPr="00C31392" w:rsidRDefault="0092101C" w:rsidP="0092101C">
            <w:pPr>
              <w:jc w:val="right"/>
              <w:rPr>
                <w:rFonts w:ascii="Arial" w:hAnsi="Arial" w:cs="Arial"/>
                <w:b/>
                <w:bCs/>
                <w:color w:val="000000"/>
                <w:sz w:val="16"/>
                <w:szCs w:val="16"/>
                <w:lang w:eastAsia="es-AR"/>
              </w:rPr>
            </w:pPr>
            <w:r w:rsidRPr="00C31392">
              <w:rPr>
                <w:rFonts w:ascii="Arial" w:hAnsi="Arial" w:cs="Arial"/>
                <w:b/>
                <w:bCs/>
                <w:color w:val="000000"/>
                <w:sz w:val="16"/>
                <w:szCs w:val="16"/>
              </w:rPr>
              <w:t xml:space="preserve">1.248.733 </w:t>
            </w:r>
          </w:p>
        </w:tc>
      </w:tr>
    </w:tbl>
    <w:p w14:paraId="6848DF0F" w14:textId="77777777" w:rsidR="00EB6617" w:rsidRDefault="00EB6617" w:rsidP="00EB6617">
      <w:pPr>
        <w:pStyle w:val="PrimerNivel"/>
        <w:numPr>
          <w:ilvl w:val="0"/>
          <w:numId w:val="0"/>
        </w:numPr>
        <w:rPr>
          <w:rFonts w:asciiTheme="majorHAnsi" w:hAnsiTheme="majorHAnsi"/>
          <w:sz w:val="20"/>
          <w:szCs w:val="20"/>
          <w:lang w:val="es-AR"/>
        </w:rPr>
      </w:pPr>
    </w:p>
    <w:p w14:paraId="22A74F0D" w14:textId="77777777" w:rsidR="00A10DD1" w:rsidRPr="00834AC7" w:rsidRDefault="00A10DD1" w:rsidP="00A10DD1">
      <w:pPr>
        <w:pStyle w:val="PrimerNivel"/>
        <w:numPr>
          <w:ilvl w:val="0"/>
          <w:numId w:val="0"/>
        </w:numPr>
        <w:rPr>
          <w:rFonts w:ascii="Arial" w:hAnsi="Arial" w:cs="Arial"/>
          <w:sz w:val="20"/>
          <w:szCs w:val="20"/>
          <w:lang w:val="es-AR"/>
        </w:rPr>
      </w:pPr>
      <w:r w:rsidRPr="00834AC7">
        <w:rPr>
          <w:rFonts w:ascii="Arial" w:hAnsi="Arial" w:cs="Arial"/>
          <w:sz w:val="20"/>
          <w:szCs w:val="20"/>
          <w:lang w:val="es-AR"/>
        </w:rPr>
        <w:t xml:space="preserve">Los activos y pasivos financieros son presentados netos de derivados, exponiéndose </w:t>
      </w:r>
      <w:r>
        <w:rPr>
          <w:rFonts w:ascii="Arial" w:hAnsi="Arial" w:cs="Arial"/>
          <w:sz w:val="20"/>
          <w:szCs w:val="20"/>
          <w:lang w:val="es-AR"/>
        </w:rPr>
        <w:t>é</w:t>
      </w:r>
      <w:r w:rsidRPr="00834AC7">
        <w:rPr>
          <w:rFonts w:ascii="Arial" w:hAnsi="Arial" w:cs="Arial"/>
          <w:sz w:val="20"/>
          <w:szCs w:val="20"/>
          <w:lang w:val="es-AR"/>
        </w:rPr>
        <w:t>stos en forma separada.</w:t>
      </w:r>
      <w:r>
        <w:rPr>
          <w:rFonts w:ascii="Arial" w:hAnsi="Arial" w:cs="Arial"/>
          <w:sz w:val="20"/>
          <w:szCs w:val="20"/>
          <w:lang w:val="es-AR"/>
        </w:rPr>
        <w:t xml:space="preserve">  </w:t>
      </w:r>
      <w:r w:rsidRPr="00834AC7">
        <w:rPr>
          <w:rFonts w:ascii="Arial" w:hAnsi="Arial" w:cs="Arial"/>
          <w:sz w:val="20"/>
          <w:szCs w:val="20"/>
          <w:lang w:val="es-AR"/>
        </w:rPr>
        <w:t>Los saldos de derivados son expuestos por su Valor Razonable al cierre del ejercicio de la respectiva moneda.</w:t>
      </w:r>
    </w:p>
    <w:p w14:paraId="079057A1" w14:textId="77777777" w:rsidR="00A10DD1" w:rsidRPr="00834AC7" w:rsidRDefault="00A10DD1" w:rsidP="00A10DD1">
      <w:pPr>
        <w:pStyle w:val="PrimerNivel"/>
        <w:numPr>
          <w:ilvl w:val="0"/>
          <w:numId w:val="0"/>
        </w:numPr>
        <w:rPr>
          <w:rFonts w:ascii="Arial" w:hAnsi="Arial" w:cs="Arial"/>
          <w:sz w:val="20"/>
          <w:szCs w:val="20"/>
          <w:lang w:val="es-AR"/>
        </w:rPr>
      </w:pPr>
    </w:p>
    <w:p w14:paraId="477E6DEA" w14:textId="77777777" w:rsidR="00A10DD1" w:rsidRPr="00834AC7" w:rsidRDefault="00A10DD1" w:rsidP="00A10DD1">
      <w:pPr>
        <w:pStyle w:val="PrimerNivel"/>
        <w:numPr>
          <w:ilvl w:val="0"/>
          <w:numId w:val="0"/>
        </w:numPr>
        <w:rPr>
          <w:rFonts w:ascii="Arial" w:hAnsi="Arial" w:cs="Arial"/>
          <w:sz w:val="20"/>
          <w:szCs w:val="20"/>
          <w:lang w:val="es-AR"/>
        </w:rPr>
      </w:pPr>
      <w:r w:rsidRPr="00834AC7">
        <w:rPr>
          <w:rFonts w:ascii="Arial" w:hAnsi="Arial" w:cs="Arial"/>
          <w:sz w:val="20"/>
          <w:szCs w:val="20"/>
          <w:lang w:val="es-AR"/>
        </w:rPr>
        <w:t>El cuadro expuesto anteriormente incluye solamente Activos y Pasivos Monetarios, dado que las inversiones en instrumento de patrimonio y los instrumentos no monetarios no genera</w:t>
      </w:r>
      <w:r>
        <w:rPr>
          <w:rFonts w:ascii="Arial" w:hAnsi="Arial" w:cs="Arial"/>
          <w:sz w:val="20"/>
          <w:szCs w:val="20"/>
          <w:lang w:val="es-AR"/>
        </w:rPr>
        <w:t>n</w:t>
      </w:r>
      <w:r w:rsidRPr="00834AC7">
        <w:rPr>
          <w:rFonts w:ascii="Arial" w:hAnsi="Arial" w:cs="Arial"/>
          <w:sz w:val="20"/>
          <w:szCs w:val="20"/>
          <w:lang w:val="es-AR"/>
        </w:rPr>
        <w:t xml:space="preserve"> exposición por riesgo de mercado.</w:t>
      </w:r>
    </w:p>
    <w:p w14:paraId="584B8D36" w14:textId="77777777" w:rsidR="00A10DD1" w:rsidRPr="00834AC7" w:rsidRDefault="00A10DD1" w:rsidP="00A10DD1">
      <w:pPr>
        <w:pStyle w:val="PrimerNivel"/>
        <w:numPr>
          <w:ilvl w:val="0"/>
          <w:numId w:val="0"/>
        </w:numPr>
        <w:rPr>
          <w:rFonts w:ascii="Arial" w:hAnsi="Arial" w:cs="Arial"/>
          <w:sz w:val="20"/>
          <w:szCs w:val="20"/>
          <w:lang w:val="es-AR"/>
        </w:rPr>
      </w:pPr>
    </w:p>
    <w:p w14:paraId="3160CFE2" w14:textId="65753D56" w:rsidR="00EB6617" w:rsidRDefault="00A10DD1" w:rsidP="00A10DD1">
      <w:pPr>
        <w:tabs>
          <w:tab w:val="left" w:pos="142"/>
        </w:tabs>
        <w:spacing w:after="200"/>
        <w:jc w:val="both"/>
        <w:rPr>
          <w:rFonts w:ascii="Arial" w:hAnsi="Arial" w:cs="Arial"/>
          <w:sz w:val="20"/>
        </w:rPr>
      </w:pPr>
      <w:r w:rsidRPr="00EC349E">
        <w:rPr>
          <w:rFonts w:ascii="Arial" w:hAnsi="Arial" w:cs="Arial"/>
          <w:sz w:val="20"/>
        </w:rPr>
        <w:t>Se exponen a continuación los análisis de sensibilidad de los resultados ante cambios razonables en los tipos de cambios expuestos anteriormente en relación a la moneda funcional del Banco.</w:t>
      </w:r>
      <w:r w:rsidRPr="00E446C3">
        <w:rPr>
          <w:rFonts w:ascii="Arial" w:hAnsi="Arial" w:cs="Arial"/>
          <w:sz w:val="20"/>
        </w:rPr>
        <w:t xml:space="preserve"> </w:t>
      </w:r>
      <w:r>
        <w:rPr>
          <w:rFonts w:ascii="Arial" w:hAnsi="Arial" w:cs="Arial"/>
          <w:sz w:val="20"/>
        </w:rPr>
        <w:t>El porcentaje de variación aquí indicado se corresponde con el utilizado en el Plan de Negocios y Proyecciones.</w:t>
      </w:r>
    </w:p>
    <w:tbl>
      <w:tblPr>
        <w:tblW w:w="5000" w:type="pct"/>
        <w:jc w:val="center"/>
        <w:tblCellMar>
          <w:left w:w="70" w:type="dxa"/>
          <w:right w:w="70" w:type="dxa"/>
        </w:tblCellMar>
        <w:tblLook w:val="04A0" w:firstRow="1" w:lastRow="0" w:firstColumn="1" w:lastColumn="0" w:noHBand="0" w:noVBand="1"/>
      </w:tblPr>
      <w:tblGrid>
        <w:gridCol w:w="2065"/>
        <w:gridCol w:w="1029"/>
        <w:gridCol w:w="1093"/>
        <w:gridCol w:w="1169"/>
        <w:gridCol w:w="1029"/>
        <w:gridCol w:w="1093"/>
        <w:gridCol w:w="1167"/>
      </w:tblGrid>
      <w:tr w:rsidR="00D9456F" w:rsidRPr="00D9456F" w14:paraId="0F636452" w14:textId="77777777" w:rsidTr="00D9456F">
        <w:trPr>
          <w:trHeight w:val="255"/>
          <w:tblHeader/>
          <w:jc w:val="center"/>
        </w:trPr>
        <w:tc>
          <w:tcPr>
            <w:tcW w:w="1194" w:type="pct"/>
            <w:vMerge w:val="restart"/>
            <w:tcBorders>
              <w:top w:val="single" w:sz="4" w:space="0" w:color="auto"/>
              <w:left w:val="single" w:sz="4" w:space="0" w:color="auto"/>
              <w:right w:val="single" w:sz="4" w:space="0" w:color="auto"/>
            </w:tcBorders>
            <w:shd w:val="clear" w:color="auto" w:fill="auto"/>
            <w:noWrap/>
            <w:vAlign w:val="center"/>
            <w:hideMark/>
          </w:tcPr>
          <w:p w14:paraId="6B01D0CA" w14:textId="77777777" w:rsidR="00D9456F" w:rsidRPr="00D9456F" w:rsidRDefault="00D9456F" w:rsidP="007D7797">
            <w:pPr>
              <w:jc w:val="center"/>
              <w:rPr>
                <w:rFonts w:ascii="Arial" w:hAnsi="Arial" w:cs="Arial"/>
                <w:b/>
                <w:bCs/>
                <w:color w:val="000000"/>
                <w:sz w:val="18"/>
                <w:szCs w:val="18"/>
                <w:lang w:eastAsia="es-AR"/>
              </w:rPr>
            </w:pPr>
            <w:r w:rsidRPr="00D9456F">
              <w:rPr>
                <w:rFonts w:ascii="Arial" w:hAnsi="Arial" w:cs="Arial"/>
                <w:b/>
                <w:bCs/>
                <w:color w:val="000000"/>
                <w:sz w:val="18"/>
                <w:szCs w:val="18"/>
                <w:lang w:eastAsia="es-AR"/>
              </w:rPr>
              <w:t>Moneda</w:t>
            </w:r>
          </w:p>
        </w:tc>
        <w:tc>
          <w:tcPr>
            <w:tcW w:w="595" w:type="pct"/>
            <w:vMerge w:val="restart"/>
            <w:tcBorders>
              <w:top w:val="single" w:sz="4" w:space="0" w:color="auto"/>
              <w:left w:val="nil"/>
              <w:right w:val="single" w:sz="4" w:space="0" w:color="auto"/>
            </w:tcBorders>
            <w:shd w:val="clear" w:color="auto" w:fill="auto"/>
            <w:noWrap/>
            <w:vAlign w:val="center"/>
            <w:hideMark/>
          </w:tcPr>
          <w:p w14:paraId="3FB3D702" w14:textId="77777777" w:rsidR="00D9456F" w:rsidRPr="00D9456F" w:rsidRDefault="00D9456F" w:rsidP="007D7797">
            <w:pPr>
              <w:jc w:val="center"/>
              <w:rPr>
                <w:rFonts w:ascii="Arial" w:hAnsi="Arial" w:cs="Arial"/>
                <w:b/>
                <w:bCs/>
                <w:color w:val="000000"/>
                <w:sz w:val="18"/>
                <w:szCs w:val="18"/>
                <w:lang w:eastAsia="es-AR"/>
              </w:rPr>
            </w:pPr>
            <w:r w:rsidRPr="00D9456F">
              <w:rPr>
                <w:rFonts w:ascii="Arial" w:hAnsi="Arial" w:cs="Arial"/>
                <w:b/>
                <w:bCs/>
                <w:color w:val="000000"/>
                <w:sz w:val="18"/>
                <w:szCs w:val="18"/>
                <w:lang w:eastAsia="es-AR"/>
              </w:rPr>
              <w:t>Variación</w:t>
            </w:r>
          </w:p>
        </w:tc>
        <w:tc>
          <w:tcPr>
            <w:tcW w:w="13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714C4ADB" w14:textId="77777777" w:rsidR="00D9456F" w:rsidRPr="00D9456F" w:rsidRDefault="00D9456F" w:rsidP="007D7797">
            <w:pPr>
              <w:jc w:val="center"/>
              <w:rPr>
                <w:rFonts w:ascii="Arial" w:hAnsi="Arial" w:cs="Arial"/>
                <w:b/>
                <w:bCs/>
                <w:color w:val="000000"/>
                <w:sz w:val="18"/>
                <w:szCs w:val="18"/>
                <w:lang w:eastAsia="es-AR"/>
              </w:rPr>
            </w:pPr>
            <w:r w:rsidRPr="00D9456F">
              <w:rPr>
                <w:rFonts w:ascii="Arial" w:hAnsi="Arial" w:cs="Arial"/>
                <w:b/>
                <w:bCs/>
                <w:color w:val="000000"/>
                <w:sz w:val="18"/>
                <w:szCs w:val="18"/>
                <w:lang w:eastAsia="es-AR"/>
              </w:rPr>
              <w:t>31/12/2019</w:t>
            </w:r>
          </w:p>
        </w:tc>
        <w:tc>
          <w:tcPr>
            <w:tcW w:w="595" w:type="pct"/>
            <w:vMerge w:val="restart"/>
            <w:tcBorders>
              <w:top w:val="single" w:sz="4" w:space="0" w:color="auto"/>
              <w:left w:val="nil"/>
              <w:right w:val="single" w:sz="4" w:space="0" w:color="auto"/>
            </w:tcBorders>
            <w:vAlign w:val="center"/>
          </w:tcPr>
          <w:p w14:paraId="16E09950" w14:textId="77777777" w:rsidR="00D9456F" w:rsidRPr="00D9456F" w:rsidRDefault="00D9456F" w:rsidP="007D7797">
            <w:pPr>
              <w:jc w:val="center"/>
              <w:rPr>
                <w:rFonts w:ascii="Arial" w:hAnsi="Arial" w:cs="Arial"/>
                <w:b/>
                <w:bCs/>
                <w:color w:val="000000"/>
                <w:sz w:val="18"/>
                <w:szCs w:val="18"/>
                <w:lang w:eastAsia="es-AR"/>
              </w:rPr>
            </w:pPr>
            <w:r w:rsidRPr="00D9456F">
              <w:rPr>
                <w:rFonts w:ascii="Arial" w:hAnsi="Arial" w:cs="Arial"/>
                <w:b/>
                <w:bCs/>
                <w:color w:val="000000"/>
                <w:sz w:val="18"/>
                <w:szCs w:val="18"/>
                <w:lang w:eastAsia="es-AR"/>
              </w:rPr>
              <w:t>Variación</w:t>
            </w:r>
          </w:p>
        </w:tc>
        <w:tc>
          <w:tcPr>
            <w:tcW w:w="1307" w:type="pct"/>
            <w:gridSpan w:val="2"/>
            <w:tcBorders>
              <w:top w:val="single" w:sz="4" w:space="0" w:color="auto"/>
              <w:left w:val="nil"/>
              <w:bottom w:val="single" w:sz="4" w:space="0" w:color="auto"/>
              <w:right w:val="single" w:sz="4" w:space="0" w:color="auto"/>
            </w:tcBorders>
          </w:tcPr>
          <w:p w14:paraId="41665F50" w14:textId="77777777" w:rsidR="00D9456F" w:rsidRPr="00D9456F" w:rsidRDefault="00D9456F" w:rsidP="007D7797">
            <w:pPr>
              <w:jc w:val="center"/>
              <w:rPr>
                <w:rFonts w:ascii="Arial" w:hAnsi="Arial" w:cs="Arial"/>
                <w:b/>
                <w:bCs/>
                <w:color w:val="000000"/>
                <w:sz w:val="18"/>
                <w:szCs w:val="18"/>
                <w:lang w:eastAsia="es-AR"/>
              </w:rPr>
            </w:pPr>
            <w:r w:rsidRPr="00D9456F">
              <w:rPr>
                <w:rFonts w:ascii="Arial" w:hAnsi="Arial" w:cs="Arial"/>
                <w:b/>
                <w:bCs/>
                <w:color w:val="000000"/>
                <w:sz w:val="18"/>
                <w:szCs w:val="18"/>
                <w:lang w:eastAsia="es-AR"/>
              </w:rPr>
              <w:t>31/12/2018</w:t>
            </w:r>
          </w:p>
        </w:tc>
      </w:tr>
      <w:tr w:rsidR="00D9456F" w:rsidRPr="00D9456F" w14:paraId="6AB99D01" w14:textId="77777777" w:rsidTr="00D9456F">
        <w:trPr>
          <w:trHeight w:val="270"/>
          <w:tblHeader/>
          <w:jc w:val="center"/>
        </w:trPr>
        <w:tc>
          <w:tcPr>
            <w:tcW w:w="1194" w:type="pct"/>
            <w:vMerge/>
            <w:tcBorders>
              <w:left w:val="single" w:sz="4" w:space="0" w:color="auto"/>
              <w:bottom w:val="single" w:sz="4" w:space="0" w:color="auto"/>
              <w:right w:val="single" w:sz="4" w:space="0" w:color="auto"/>
            </w:tcBorders>
            <w:shd w:val="clear" w:color="auto" w:fill="auto"/>
            <w:vAlign w:val="center"/>
          </w:tcPr>
          <w:p w14:paraId="730C529C" w14:textId="77777777" w:rsidR="00D9456F" w:rsidRPr="00D9456F" w:rsidRDefault="00D9456F" w:rsidP="007D7797">
            <w:pPr>
              <w:jc w:val="center"/>
              <w:rPr>
                <w:rFonts w:ascii="Arial" w:hAnsi="Arial" w:cs="Arial"/>
                <w:color w:val="000000"/>
                <w:sz w:val="18"/>
                <w:szCs w:val="18"/>
                <w:lang w:eastAsia="es-AR"/>
              </w:rPr>
            </w:pPr>
          </w:p>
        </w:tc>
        <w:tc>
          <w:tcPr>
            <w:tcW w:w="595" w:type="pct"/>
            <w:vMerge/>
            <w:tcBorders>
              <w:left w:val="nil"/>
              <w:bottom w:val="single" w:sz="4" w:space="0" w:color="auto"/>
              <w:right w:val="single" w:sz="4" w:space="0" w:color="auto"/>
            </w:tcBorders>
            <w:shd w:val="clear" w:color="auto" w:fill="auto"/>
            <w:noWrap/>
            <w:vAlign w:val="center"/>
          </w:tcPr>
          <w:p w14:paraId="3ACA2D0C" w14:textId="77777777" w:rsidR="00D9456F" w:rsidRPr="00D9456F" w:rsidRDefault="00D9456F" w:rsidP="007D7797">
            <w:pPr>
              <w:jc w:val="center"/>
              <w:rPr>
                <w:rFonts w:ascii="Arial" w:hAnsi="Arial" w:cs="Arial"/>
                <w:color w:val="000000"/>
                <w:sz w:val="18"/>
                <w:szCs w:val="18"/>
                <w:lang w:eastAsia="es-AR"/>
              </w:rPr>
            </w:pPr>
          </w:p>
        </w:tc>
        <w:tc>
          <w:tcPr>
            <w:tcW w:w="632" w:type="pct"/>
            <w:tcBorders>
              <w:top w:val="nil"/>
              <w:left w:val="nil"/>
              <w:bottom w:val="single" w:sz="4" w:space="0" w:color="auto"/>
              <w:right w:val="single" w:sz="4" w:space="0" w:color="auto"/>
            </w:tcBorders>
            <w:shd w:val="clear" w:color="auto" w:fill="auto"/>
            <w:noWrap/>
            <w:vAlign w:val="center"/>
          </w:tcPr>
          <w:p w14:paraId="792F014B" w14:textId="77777777" w:rsidR="00D9456F" w:rsidRPr="00D9456F" w:rsidRDefault="00D9456F" w:rsidP="007D7797">
            <w:pPr>
              <w:jc w:val="center"/>
              <w:rPr>
                <w:rFonts w:ascii="Arial" w:hAnsi="Arial" w:cs="Arial"/>
                <w:b/>
                <w:color w:val="000000"/>
                <w:sz w:val="18"/>
                <w:szCs w:val="18"/>
                <w:lang w:eastAsia="es-AR"/>
              </w:rPr>
            </w:pPr>
            <w:r w:rsidRPr="00D9456F">
              <w:rPr>
                <w:rFonts w:ascii="Arial" w:hAnsi="Arial" w:cs="Arial"/>
                <w:b/>
                <w:color w:val="000000"/>
                <w:sz w:val="18"/>
                <w:szCs w:val="18"/>
                <w:lang w:eastAsia="es-AR"/>
              </w:rPr>
              <w:t>Resultado</w:t>
            </w:r>
          </w:p>
        </w:tc>
        <w:tc>
          <w:tcPr>
            <w:tcW w:w="676" w:type="pct"/>
            <w:tcBorders>
              <w:top w:val="nil"/>
              <w:left w:val="nil"/>
              <w:bottom w:val="single" w:sz="4" w:space="0" w:color="auto"/>
              <w:right w:val="single" w:sz="4" w:space="0" w:color="auto"/>
            </w:tcBorders>
            <w:vAlign w:val="center"/>
          </w:tcPr>
          <w:p w14:paraId="1B519595" w14:textId="77777777" w:rsidR="00D9456F" w:rsidRPr="00D9456F" w:rsidRDefault="00D9456F" w:rsidP="007D7797">
            <w:pPr>
              <w:jc w:val="center"/>
              <w:rPr>
                <w:rFonts w:ascii="Arial" w:hAnsi="Arial" w:cs="Arial"/>
                <w:b/>
                <w:color w:val="000000"/>
                <w:sz w:val="18"/>
                <w:szCs w:val="18"/>
                <w:lang w:eastAsia="es-AR"/>
              </w:rPr>
            </w:pPr>
            <w:r w:rsidRPr="00D9456F">
              <w:rPr>
                <w:rFonts w:ascii="Arial" w:hAnsi="Arial" w:cs="Arial"/>
                <w:b/>
                <w:color w:val="000000"/>
                <w:sz w:val="18"/>
                <w:szCs w:val="18"/>
                <w:lang w:eastAsia="es-AR"/>
              </w:rPr>
              <w:t>Patrimonio</w:t>
            </w:r>
          </w:p>
        </w:tc>
        <w:tc>
          <w:tcPr>
            <w:tcW w:w="595" w:type="pct"/>
            <w:vMerge/>
            <w:tcBorders>
              <w:left w:val="nil"/>
              <w:bottom w:val="single" w:sz="4" w:space="0" w:color="auto"/>
              <w:right w:val="single" w:sz="4" w:space="0" w:color="auto"/>
            </w:tcBorders>
          </w:tcPr>
          <w:p w14:paraId="23E42802" w14:textId="77777777" w:rsidR="00D9456F" w:rsidRPr="00D9456F" w:rsidRDefault="00D9456F" w:rsidP="007D7797">
            <w:pPr>
              <w:jc w:val="center"/>
              <w:rPr>
                <w:rFonts w:ascii="Arial" w:hAnsi="Arial" w:cs="Arial"/>
                <w:b/>
                <w:color w:val="000000"/>
                <w:sz w:val="18"/>
                <w:szCs w:val="18"/>
                <w:lang w:eastAsia="es-AR"/>
              </w:rPr>
            </w:pPr>
          </w:p>
        </w:tc>
        <w:tc>
          <w:tcPr>
            <w:tcW w:w="632" w:type="pct"/>
            <w:tcBorders>
              <w:top w:val="nil"/>
              <w:left w:val="nil"/>
              <w:bottom w:val="single" w:sz="4" w:space="0" w:color="auto"/>
              <w:right w:val="single" w:sz="4" w:space="0" w:color="auto"/>
            </w:tcBorders>
            <w:vAlign w:val="center"/>
          </w:tcPr>
          <w:p w14:paraId="02DF9505" w14:textId="77777777" w:rsidR="00D9456F" w:rsidRPr="00D9456F" w:rsidRDefault="00D9456F" w:rsidP="007D7797">
            <w:pPr>
              <w:jc w:val="center"/>
              <w:rPr>
                <w:rFonts w:ascii="Arial" w:hAnsi="Arial" w:cs="Arial"/>
                <w:b/>
                <w:color w:val="000000"/>
                <w:sz w:val="18"/>
                <w:szCs w:val="18"/>
                <w:lang w:eastAsia="es-AR"/>
              </w:rPr>
            </w:pPr>
            <w:r w:rsidRPr="00D9456F">
              <w:rPr>
                <w:rFonts w:ascii="Arial" w:hAnsi="Arial" w:cs="Arial"/>
                <w:b/>
                <w:color w:val="000000"/>
                <w:sz w:val="18"/>
                <w:szCs w:val="18"/>
                <w:lang w:eastAsia="es-AR"/>
              </w:rPr>
              <w:t>Resultado</w:t>
            </w:r>
          </w:p>
        </w:tc>
        <w:tc>
          <w:tcPr>
            <w:tcW w:w="675" w:type="pct"/>
            <w:tcBorders>
              <w:top w:val="nil"/>
              <w:left w:val="nil"/>
              <w:bottom w:val="single" w:sz="4" w:space="0" w:color="auto"/>
              <w:right w:val="single" w:sz="4" w:space="0" w:color="auto"/>
            </w:tcBorders>
            <w:vAlign w:val="center"/>
          </w:tcPr>
          <w:p w14:paraId="56648E72" w14:textId="77777777" w:rsidR="00D9456F" w:rsidRPr="00D9456F" w:rsidRDefault="00D9456F" w:rsidP="007D7797">
            <w:pPr>
              <w:jc w:val="center"/>
              <w:rPr>
                <w:rFonts w:ascii="Arial" w:hAnsi="Arial" w:cs="Arial"/>
                <w:b/>
                <w:color w:val="000000"/>
                <w:sz w:val="18"/>
                <w:szCs w:val="18"/>
                <w:lang w:eastAsia="es-AR"/>
              </w:rPr>
            </w:pPr>
            <w:r w:rsidRPr="00D9456F">
              <w:rPr>
                <w:rFonts w:ascii="Arial" w:hAnsi="Arial" w:cs="Arial"/>
                <w:b/>
                <w:color w:val="000000"/>
                <w:sz w:val="18"/>
                <w:szCs w:val="18"/>
                <w:lang w:eastAsia="es-AR"/>
              </w:rPr>
              <w:t>Patrimonio</w:t>
            </w:r>
          </w:p>
        </w:tc>
      </w:tr>
      <w:tr w:rsidR="00D9456F" w:rsidRPr="00D9456F" w14:paraId="2D410468" w14:textId="77777777" w:rsidTr="007D7797">
        <w:trPr>
          <w:trHeight w:val="314"/>
          <w:tblHeader/>
          <w:jc w:val="center"/>
        </w:trPr>
        <w:tc>
          <w:tcPr>
            <w:tcW w:w="1194" w:type="pct"/>
            <w:vMerge w:val="restart"/>
            <w:tcBorders>
              <w:top w:val="nil"/>
              <w:left w:val="single" w:sz="4" w:space="0" w:color="auto"/>
              <w:bottom w:val="single" w:sz="4" w:space="0" w:color="auto"/>
              <w:right w:val="single" w:sz="4" w:space="0" w:color="auto"/>
            </w:tcBorders>
            <w:shd w:val="clear" w:color="auto" w:fill="auto"/>
            <w:vAlign w:val="center"/>
            <w:hideMark/>
          </w:tcPr>
          <w:p w14:paraId="6DC92E4A" w14:textId="77777777" w:rsidR="00D9456F" w:rsidRPr="00D9456F" w:rsidRDefault="00D9456F" w:rsidP="00D9456F">
            <w:pPr>
              <w:jc w:val="center"/>
              <w:rPr>
                <w:rFonts w:ascii="Arial" w:hAnsi="Arial" w:cs="Arial"/>
                <w:color w:val="000000"/>
                <w:sz w:val="18"/>
                <w:szCs w:val="18"/>
                <w:lang w:eastAsia="es-AR"/>
              </w:rPr>
            </w:pPr>
            <w:r w:rsidRPr="00D9456F">
              <w:rPr>
                <w:rFonts w:ascii="Arial" w:hAnsi="Arial" w:cs="Arial"/>
                <w:color w:val="000000"/>
                <w:sz w:val="18"/>
                <w:szCs w:val="18"/>
                <w:lang w:eastAsia="es-AR"/>
              </w:rPr>
              <w:t>Dólar Estadounidense</w:t>
            </w:r>
          </w:p>
        </w:tc>
        <w:tc>
          <w:tcPr>
            <w:tcW w:w="595" w:type="pct"/>
            <w:tcBorders>
              <w:top w:val="nil"/>
              <w:left w:val="nil"/>
              <w:bottom w:val="single" w:sz="4" w:space="0" w:color="auto"/>
              <w:right w:val="single" w:sz="4" w:space="0" w:color="auto"/>
            </w:tcBorders>
            <w:shd w:val="clear" w:color="auto" w:fill="auto"/>
            <w:noWrap/>
            <w:vAlign w:val="bottom"/>
          </w:tcPr>
          <w:p w14:paraId="5A01C18B" w14:textId="34B3DBB2" w:rsidR="00D9456F" w:rsidRPr="00D9456F" w:rsidRDefault="00D9456F" w:rsidP="00D9456F">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single" w:sz="4" w:space="0" w:color="auto"/>
              <w:left w:val="nil"/>
              <w:bottom w:val="single" w:sz="4" w:space="0" w:color="auto"/>
              <w:right w:val="single" w:sz="4" w:space="0" w:color="auto"/>
            </w:tcBorders>
            <w:noWrap/>
            <w:vAlign w:val="bottom"/>
          </w:tcPr>
          <w:p w14:paraId="106AEAA9" w14:textId="6C800EE6"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 xml:space="preserve">200.700 </w:t>
            </w:r>
          </w:p>
        </w:tc>
        <w:tc>
          <w:tcPr>
            <w:tcW w:w="676" w:type="pct"/>
            <w:tcBorders>
              <w:top w:val="single" w:sz="4" w:space="0" w:color="auto"/>
              <w:left w:val="single" w:sz="4" w:space="0" w:color="auto"/>
              <w:bottom w:val="single" w:sz="4" w:space="0" w:color="auto"/>
              <w:right w:val="single" w:sz="4" w:space="0" w:color="auto"/>
            </w:tcBorders>
            <w:vAlign w:val="bottom"/>
          </w:tcPr>
          <w:p w14:paraId="70B8FDDA" w14:textId="493D3BF9"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 xml:space="preserve">200.700 </w:t>
            </w:r>
          </w:p>
        </w:tc>
        <w:tc>
          <w:tcPr>
            <w:tcW w:w="595" w:type="pct"/>
            <w:tcBorders>
              <w:top w:val="nil"/>
              <w:left w:val="nil"/>
              <w:bottom w:val="single" w:sz="4" w:space="0" w:color="auto"/>
              <w:right w:val="single" w:sz="4" w:space="0" w:color="auto"/>
            </w:tcBorders>
            <w:shd w:val="clear" w:color="auto" w:fill="auto"/>
            <w:vAlign w:val="bottom"/>
          </w:tcPr>
          <w:p w14:paraId="03EF97B3" w14:textId="77777777" w:rsidR="00D9456F" w:rsidRPr="00D9456F" w:rsidRDefault="00D9456F" w:rsidP="00D9456F">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199B591D"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336.894 </w:t>
            </w:r>
          </w:p>
        </w:tc>
        <w:tc>
          <w:tcPr>
            <w:tcW w:w="675" w:type="pct"/>
            <w:tcBorders>
              <w:top w:val="nil"/>
              <w:left w:val="nil"/>
              <w:bottom w:val="single" w:sz="4" w:space="0" w:color="auto"/>
              <w:right w:val="single" w:sz="4" w:space="0" w:color="auto"/>
            </w:tcBorders>
            <w:vAlign w:val="bottom"/>
          </w:tcPr>
          <w:p w14:paraId="77B67204"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336.894 </w:t>
            </w:r>
          </w:p>
        </w:tc>
      </w:tr>
      <w:tr w:rsidR="00D9456F" w:rsidRPr="00D9456F" w14:paraId="21B52607" w14:textId="77777777" w:rsidTr="007D7797">
        <w:trPr>
          <w:trHeight w:val="291"/>
          <w:tblHeader/>
          <w:jc w:val="center"/>
        </w:trPr>
        <w:tc>
          <w:tcPr>
            <w:tcW w:w="1194" w:type="pct"/>
            <w:vMerge/>
            <w:tcBorders>
              <w:top w:val="nil"/>
              <w:left w:val="single" w:sz="4" w:space="0" w:color="auto"/>
              <w:bottom w:val="single" w:sz="4" w:space="0" w:color="auto"/>
              <w:right w:val="single" w:sz="4" w:space="0" w:color="auto"/>
            </w:tcBorders>
            <w:vAlign w:val="center"/>
            <w:hideMark/>
          </w:tcPr>
          <w:p w14:paraId="3252D47C" w14:textId="77777777" w:rsidR="00D9456F" w:rsidRPr="00D9456F" w:rsidRDefault="00D9456F" w:rsidP="00D9456F">
            <w:pPr>
              <w:rPr>
                <w:rFonts w:ascii="Arial" w:hAnsi="Arial" w:cs="Arial"/>
                <w:color w:val="000000"/>
                <w:sz w:val="18"/>
                <w:szCs w:val="18"/>
                <w:lang w:eastAsia="es-AR"/>
              </w:rPr>
            </w:pPr>
          </w:p>
        </w:tc>
        <w:tc>
          <w:tcPr>
            <w:tcW w:w="595" w:type="pct"/>
            <w:tcBorders>
              <w:top w:val="nil"/>
              <w:left w:val="nil"/>
              <w:bottom w:val="single" w:sz="4" w:space="0" w:color="auto"/>
              <w:right w:val="single" w:sz="4" w:space="0" w:color="auto"/>
            </w:tcBorders>
            <w:shd w:val="clear" w:color="auto" w:fill="auto"/>
            <w:noWrap/>
            <w:vAlign w:val="bottom"/>
          </w:tcPr>
          <w:p w14:paraId="2EAE768F" w14:textId="730008D6" w:rsidR="00D9456F" w:rsidRPr="00D9456F" w:rsidRDefault="00D9456F" w:rsidP="00D9456F">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single" w:sz="4" w:space="0" w:color="auto"/>
              <w:left w:val="nil"/>
              <w:bottom w:val="single" w:sz="4" w:space="0" w:color="auto"/>
              <w:right w:val="single" w:sz="4" w:space="0" w:color="auto"/>
            </w:tcBorders>
            <w:noWrap/>
            <w:vAlign w:val="bottom"/>
          </w:tcPr>
          <w:p w14:paraId="760719CC" w14:textId="07C87842"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(200.700)</w:t>
            </w:r>
          </w:p>
        </w:tc>
        <w:tc>
          <w:tcPr>
            <w:tcW w:w="676" w:type="pct"/>
            <w:tcBorders>
              <w:top w:val="single" w:sz="4" w:space="0" w:color="auto"/>
              <w:left w:val="single" w:sz="4" w:space="0" w:color="auto"/>
              <w:bottom w:val="single" w:sz="4" w:space="0" w:color="auto"/>
              <w:right w:val="single" w:sz="4" w:space="0" w:color="auto"/>
            </w:tcBorders>
            <w:vAlign w:val="bottom"/>
          </w:tcPr>
          <w:p w14:paraId="09759CC0" w14:textId="4D32AE20"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(200.700)</w:t>
            </w:r>
          </w:p>
        </w:tc>
        <w:tc>
          <w:tcPr>
            <w:tcW w:w="595" w:type="pct"/>
            <w:tcBorders>
              <w:top w:val="nil"/>
              <w:left w:val="nil"/>
              <w:bottom w:val="single" w:sz="4" w:space="0" w:color="auto"/>
              <w:right w:val="single" w:sz="4" w:space="0" w:color="auto"/>
            </w:tcBorders>
            <w:shd w:val="clear" w:color="auto" w:fill="auto"/>
            <w:vAlign w:val="bottom"/>
          </w:tcPr>
          <w:p w14:paraId="000B2C20" w14:textId="77777777" w:rsidR="00D9456F" w:rsidRPr="00D9456F" w:rsidRDefault="00D9456F" w:rsidP="00D9456F">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47A867D8"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(336.894)</w:t>
            </w:r>
          </w:p>
        </w:tc>
        <w:tc>
          <w:tcPr>
            <w:tcW w:w="675" w:type="pct"/>
            <w:tcBorders>
              <w:top w:val="nil"/>
              <w:left w:val="nil"/>
              <w:bottom w:val="single" w:sz="4" w:space="0" w:color="auto"/>
              <w:right w:val="single" w:sz="4" w:space="0" w:color="auto"/>
            </w:tcBorders>
            <w:vAlign w:val="bottom"/>
          </w:tcPr>
          <w:p w14:paraId="22A4A75B"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(336.894)</w:t>
            </w:r>
          </w:p>
        </w:tc>
      </w:tr>
      <w:tr w:rsidR="00D9456F" w:rsidRPr="00D9456F" w14:paraId="52867B20" w14:textId="77777777" w:rsidTr="007D7797">
        <w:trPr>
          <w:trHeight w:val="255"/>
          <w:tblHeader/>
          <w:jc w:val="center"/>
        </w:trPr>
        <w:tc>
          <w:tcPr>
            <w:tcW w:w="1194" w:type="pct"/>
            <w:vMerge w:val="restart"/>
            <w:tcBorders>
              <w:top w:val="nil"/>
              <w:left w:val="single" w:sz="4" w:space="0" w:color="auto"/>
              <w:bottom w:val="single" w:sz="4" w:space="0" w:color="auto"/>
              <w:right w:val="single" w:sz="4" w:space="0" w:color="auto"/>
            </w:tcBorders>
            <w:shd w:val="clear" w:color="auto" w:fill="auto"/>
            <w:vAlign w:val="center"/>
            <w:hideMark/>
          </w:tcPr>
          <w:p w14:paraId="3D809776" w14:textId="77777777" w:rsidR="00D9456F" w:rsidRPr="00D9456F" w:rsidRDefault="00D9456F" w:rsidP="00D9456F">
            <w:pPr>
              <w:jc w:val="center"/>
              <w:rPr>
                <w:rFonts w:ascii="Arial" w:hAnsi="Arial" w:cs="Arial"/>
                <w:color w:val="000000"/>
                <w:sz w:val="18"/>
                <w:szCs w:val="18"/>
                <w:lang w:eastAsia="es-AR"/>
              </w:rPr>
            </w:pPr>
            <w:r w:rsidRPr="00D9456F">
              <w:rPr>
                <w:rFonts w:ascii="Arial" w:hAnsi="Arial" w:cs="Arial"/>
                <w:color w:val="000000"/>
                <w:sz w:val="18"/>
                <w:szCs w:val="18"/>
                <w:lang w:eastAsia="es-AR"/>
              </w:rPr>
              <w:t>Euro</w:t>
            </w:r>
          </w:p>
        </w:tc>
        <w:tc>
          <w:tcPr>
            <w:tcW w:w="595" w:type="pct"/>
            <w:tcBorders>
              <w:top w:val="nil"/>
              <w:left w:val="nil"/>
              <w:bottom w:val="single" w:sz="4" w:space="0" w:color="auto"/>
              <w:right w:val="single" w:sz="4" w:space="0" w:color="auto"/>
            </w:tcBorders>
            <w:shd w:val="clear" w:color="auto" w:fill="auto"/>
            <w:noWrap/>
            <w:vAlign w:val="bottom"/>
          </w:tcPr>
          <w:p w14:paraId="093F5732" w14:textId="635FFD64" w:rsidR="00D9456F" w:rsidRPr="00D9456F" w:rsidRDefault="00D9456F" w:rsidP="00D9456F">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single" w:sz="4" w:space="0" w:color="auto"/>
              <w:left w:val="nil"/>
              <w:bottom w:val="single" w:sz="4" w:space="0" w:color="auto"/>
              <w:right w:val="single" w:sz="4" w:space="0" w:color="auto"/>
            </w:tcBorders>
            <w:noWrap/>
            <w:vAlign w:val="bottom"/>
          </w:tcPr>
          <w:p w14:paraId="5E00DE06" w14:textId="30BA2244"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 xml:space="preserve">5.724 </w:t>
            </w:r>
          </w:p>
        </w:tc>
        <w:tc>
          <w:tcPr>
            <w:tcW w:w="676" w:type="pct"/>
            <w:tcBorders>
              <w:top w:val="single" w:sz="4" w:space="0" w:color="auto"/>
              <w:left w:val="single" w:sz="4" w:space="0" w:color="auto"/>
              <w:bottom w:val="single" w:sz="4" w:space="0" w:color="auto"/>
              <w:right w:val="single" w:sz="4" w:space="0" w:color="auto"/>
            </w:tcBorders>
            <w:vAlign w:val="bottom"/>
          </w:tcPr>
          <w:p w14:paraId="6252633F" w14:textId="2C4EE655"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 xml:space="preserve">5.724 </w:t>
            </w:r>
          </w:p>
        </w:tc>
        <w:tc>
          <w:tcPr>
            <w:tcW w:w="595" w:type="pct"/>
            <w:tcBorders>
              <w:top w:val="nil"/>
              <w:left w:val="nil"/>
              <w:bottom w:val="single" w:sz="4" w:space="0" w:color="auto"/>
              <w:right w:val="single" w:sz="4" w:space="0" w:color="auto"/>
            </w:tcBorders>
            <w:shd w:val="clear" w:color="auto" w:fill="auto"/>
            <w:vAlign w:val="bottom"/>
          </w:tcPr>
          <w:p w14:paraId="0DB64447" w14:textId="77777777" w:rsidR="00D9456F" w:rsidRPr="00D9456F" w:rsidRDefault="00D9456F" w:rsidP="00D9456F">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246609D9"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(3.175)</w:t>
            </w:r>
          </w:p>
        </w:tc>
        <w:tc>
          <w:tcPr>
            <w:tcW w:w="675" w:type="pct"/>
            <w:tcBorders>
              <w:top w:val="nil"/>
              <w:left w:val="nil"/>
              <w:bottom w:val="single" w:sz="4" w:space="0" w:color="auto"/>
              <w:right w:val="single" w:sz="4" w:space="0" w:color="auto"/>
            </w:tcBorders>
            <w:vAlign w:val="bottom"/>
          </w:tcPr>
          <w:p w14:paraId="79948A31"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(3.175)</w:t>
            </w:r>
          </w:p>
        </w:tc>
      </w:tr>
      <w:tr w:rsidR="00D9456F" w:rsidRPr="00D9456F" w14:paraId="5F1BDF1B" w14:textId="77777777" w:rsidTr="007D7797">
        <w:trPr>
          <w:trHeight w:val="255"/>
          <w:tblHeader/>
          <w:jc w:val="center"/>
        </w:trPr>
        <w:tc>
          <w:tcPr>
            <w:tcW w:w="1194" w:type="pct"/>
            <w:vMerge/>
            <w:tcBorders>
              <w:top w:val="nil"/>
              <w:left w:val="single" w:sz="4" w:space="0" w:color="auto"/>
              <w:bottom w:val="single" w:sz="4" w:space="0" w:color="auto"/>
              <w:right w:val="single" w:sz="4" w:space="0" w:color="auto"/>
            </w:tcBorders>
            <w:vAlign w:val="center"/>
            <w:hideMark/>
          </w:tcPr>
          <w:p w14:paraId="0C2E6840" w14:textId="77777777" w:rsidR="00D9456F" w:rsidRPr="00D9456F" w:rsidRDefault="00D9456F" w:rsidP="00D9456F">
            <w:pPr>
              <w:rPr>
                <w:rFonts w:ascii="Arial" w:hAnsi="Arial" w:cs="Arial"/>
                <w:color w:val="000000"/>
                <w:sz w:val="18"/>
                <w:szCs w:val="18"/>
                <w:lang w:eastAsia="es-AR"/>
              </w:rPr>
            </w:pPr>
          </w:p>
        </w:tc>
        <w:tc>
          <w:tcPr>
            <w:tcW w:w="595" w:type="pct"/>
            <w:tcBorders>
              <w:top w:val="nil"/>
              <w:left w:val="nil"/>
              <w:bottom w:val="single" w:sz="4" w:space="0" w:color="auto"/>
              <w:right w:val="single" w:sz="4" w:space="0" w:color="auto"/>
            </w:tcBorders>
            <w:shd w:val="clear" w:color="auto" w:fill="auto"/>
            <w:noWrap/>
            <w:vAlign w:val="bottom"/>
          </w:tcPr>
          <w:p w14:paraId="6B6208C2" w14:textId="7488C4B5" w:rsidR="00D9456F" w:rsidRPr="00D9456F" w:rsidRDefault="00D9456F" w:rsidP="00D9456F">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single" w:sz="4" w:space="0" w:color="auto"/>
              <w:left w:val="nil"/>
              <w:bottom w:val="single" w:sz="4" w:space="0" w:color="auto"/>
              <w:right w:val="single" w:sz="4" w:space="0" w:color="auto"/>
            </w:tcBorders>
            <w:noWrap/>
            <w:vAlign w:val="bottom"/>
          </w:tcPr>
          <w:p w14:paraId="2AF6EC72" w14:textId="6FC15D92"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(5.724)</w:t>
            </w:r>
          </w:p>
        </w:tc>
        <w:tc>
          <w:tcPr>
            <w:tcW w:w="676" w:type="pct"/>
            <w:tcBorders>
              <w:top w:val="single" w:sz="4" w:space="0" w:color="auto"/>
              <w:left w:val="single" w:sz="4" w:space="0" w:color="auto"/>
              <w:bottom w:val="single" w:sz="4" w:space="0" w:color="auto"/>
              <w:right w:val="single" w:sz="4" w:space="0" w:color="auto"/>
            </w:tcBorders>
            <w:vAlign w:val="bottom"/>
          </w:tcPr>
          <w:p w14:paraId="5DD98F87" w14:textId="69E70326"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(5.724)</w:t>
            </w:r>
          </w:p>
        </w:tc>
        <w:tc>
          <w:tcPr>
            <w:tcW w:w="595" w:type="pct"/>
            <w:tcBorders>
              <w:top w:val="nil"/>
              <w:left w:val="nil"/>
              <w:bottom w:val="single" w:sz="4" w:space="0" w:color="auto"/>
              <w:right w:val="single" w:sz="4" w:space="0" w:color="auto"/>
            </w:tcBorders>
            <w:shd w:val="clear" w:color="auto" w:fill="auto"/>
            <w:vAlign w:val="bottom"/>
          </w:tcPr>
          <w:p w14:paraId="7E641E22" w14:textId="77777777" w:rsidR="00D9456F" w:rsidRPr="00D9456F" w:rsidRDefault="00D9456F" w:rsidP="00D9456F">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61E4F45D"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3.175 </w:t>
            </w:r>
          </w:p>
        </w:tc>
        <w:tc>
          <w:tcPr>
            <w:tcW w:w="675" w:type="pct"/>
            <w:tcBorders>
              <w:top w:val="nil"/>
              <w:left w:val="nil"/>
              <w:bottom w:val="single" w:sz="4" w:space="0" w:color="auto"/>
              <w:right w:val="single" w:sz="4" w:space="0" w:color="auto"/>
            </w:tcBorders>
            <w:vAlign w:val="bottom"/>
          </w:tcPr>
          <w:p w14:paraId="277F70EC"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3.175 </w:t>
            </w:r>
          </w:p>
        </w:tc>
      </w:tr>
      <w:tr w:rsidR="00D9456F" w:rsidRPr="00D9456F" w14:paraId="581500B8" w14:textId="77777777" w:rsidTr="007D7797">
        <w:trPr>
          <w:trHeight w:val="255"/>
          <w:tblHeader/>
          <w:jc w:val="center"/>
        </w:trPr>
        <w:tc>
          <w:tcPr>
            <w:tcW w:w="1194" w:type="pct"/>
            <w:vMerge w:val="restart"/>
            <w:tcBorders>
              <w:top w:val="nil"/>
              <w:left w:val="single" w:sz="4" w:space="0" w:color="auto"/>
              <w:bottom w:val="single" w:sz="4" w:space="0" w:color="auto"/>
              <w:right w:val="single" w:sz="4" w:space="0" w:color="auto"/>
            </w:tcBorders>
            <w:shd w:val="clear" w:color="auto" w:fill="auto"/>
            <w:vAlign w:val="center"/>
            <w:hideMark/>
          </w:tcPr>
          <w:p w14:paraId="4B4AF2B0" w14:textId="77777777" w:rsidR="00D9456F" w:rsidRPr="00D9456F" w:rsidRDefault="00D9456F" w:rsidP="00D9456F">
            <w:pPr>
              <w:jc w:val="center"/>
              <w:rPr>
                <w:rFonts w:ascii="Arial" w:hAnsi="Arial" w:cs="Arial"/>
                <w:color w:val="000000"/>
                <w:sz w:val="18"/>
                <w:szCs w:val="18"/>
                <w:lang w:eastAsia="es-AR"/>
              </w:rPr>
            </w:pPr>
            <w:r w:rsidRPr="00D9456F">
              <w:rPr>
                <w:rFonts w:ascii="Arial" w:hAnsi="Arial" w:cs="Arial"/>
                <w:color w:val="000000"/>
                <w:sz w:val="18"/>
                <w:szCs w:val="18"/>
                <w:lang w:eastAsia="es-AR"/>
              </w:rPr>
              <w:t>Otras</w:t>
            </w:r>
          </w:p>
        </w:tc>
        <w:tc>
          <w:tcPr>
            <w:tcW w:w="595" w:type="pct"/>
            <w:tcBorders>
              <w:top w:val="nil"/>
              <w:left w:val="nil"/>
              <w:bottom w:val="single" w:sz="4" w:space="0" w:color="auto"/>
              <w:right w:val="single" w:sz="4" w:space="0" w:color="auto"/>
            </w:tcBorders>
            <w:shd w:val="clear" w:color="auto" w:fill="auto"/>
            <w:noWrap/>
            <w:vAlign w:val="bottom"/>
          </w:tcPr>
          <w:p w14:paraId="154D28A6" w14:textId="3DEF5CB9" w:rsidR="00D9456F" w:rsidRPr="00D9456F" w:rsidRDefault="00D9456F" w:rsidP="00D9456F">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single" w:sz="4" w:space="0" w:color="auto"/>
              <w:left w:val="nil"/>
              <w:bottom w:val="single" w:sz="4" w:space="0" w:color="auto"/>
              <w:right w:val="single" w:sz="4" w:space="0" w:color="auto"/>
            </w:tcBorders>
            <w:noWrap/>
            <w:vAlign w:val="bottom"/>
          </w:tcPr>
          <w:p w14:paraId="4C1D328F" w14:textId="682FA631"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 xml:space="preserve">45.536 </w:t>
            </w:r>
          </w:p>
        </w:tc>
        <w:tc>
          <w:tcPr>
            <w:tcW w:w="676" w:type="pct"/>
            <w:tcBorders>
              <w:top w:val="single" w:sz="4" w:space="0" w:color="auto"/>
              <w:left w:val="single" w:sz="4" w:space="0" w:color="auto"/>
              <w:bottom w:val="single" w:sz="4" w:space="0" w:color="auto"/>
              <w:right w:val="single" w:sz="4" w:space="0" w:color="auto"/>
            </w:tcBorders>
            <w:vAlign w:val="bottom"/>
          </w:tcPr>
          <w:p w14:paraId="17297204" w14:textId="5E70B274"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 xml:space="preserve">45.536 </w:t>
            </w:r>
          </w:p>
        </w:tc>
        <w:tc>
          <w:tcPr>
            <w:tcW w:w="595" w:type="pct"/>
            <w:tcBorders>
              <w:top w:val="nil"/>
              <w:left w:val="nil"/>
              <w:bottom w:val="single" w:sz="4" w:space="0" w:color="auto"/>
              <w:right w:val="single" w:sz="4" w:space="0" w:color="auto"/>
            </w:tcBorders>
            <w:shd w:val="clear" w:color="auto" w:fill="auto"/>
            <w:vAlign w:val="bottom"/>
          </w:tcPr>
          <w:p w14:paraId="2C07C3AB" w14:textId="77777777" w:rsidR="00D9456F" w:rsidRPr="00D9456F" w:rsidRDefault="00D9456F" w:rsidP="00D9456F">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40EA4426"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32.617 </w:t>
            </w:r>
          </w:p>
        </w:tc>
        <w:tc>
          <w:tcPr>
            <w:tcW w:w="675" w:type="pct"/>
            <w:tcBorders>
              <w:top w:val="nil"/>
              <w:left w:val="nil"/>
              <w:bottom w:val="single" w:sz="4" w:space="0" w:color="auto"/>
              <w:right w:val="single" w:sz="4" w:space="0" w:color="auto"/>
            </w:tcBorders>
            <w:vAlign w:val="bottom"/>
          </w:tcPr>
          <w:p w14:paraId="76453527"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32.617 </w:t>
            </w:r>
          </w:p>
        </w:tc>
      </w:tr>
      <w:tr w:rsidR="00D9456F" w:rsidRPr="00D9456F" w14:paraId="3A7AE788" w14:textId="77777777" w:rsidTr="007D7797">
        <w:trPr>
          <w:trHeight w:val="255"/>
          <w:tblHeader/>
          <w:jc w:val="center"/>
        </w:trPr>
        <w:tc>
          <w:tcPr>
            <w:tcW w:w="1194" w:type="pct"/>
            <w:vMerge/>
            <w:tcBorders>
              <w:top w:val="nil"/>
              <w:left w:val="single" w:sz="4" w:space="0" w:color="auto"/>
              <w:bottom w:val="single" w:sz="4" w:space="0" w:color="auto"/>
              <w:right w:val="single" w:sz="4" w:space="0" w:color="auto"/>
            </w:tcBorders>
            <w:vAlign w:val="center"/>
            <w:hideMark/>
          </w:tcPr>
          <w:p w14:paraId="38C96DE2" w14:textId="77777777" w:rsidR="00D9456F" w:rsidRPr="00D9456F" w:rsidRDefault="00D9456F" w:rsidP="00D9456F">
            <w:pPr>
              <w:rPr>
                <w:rFonts w:ascii="Arial" w:hAnsi="Arial" w:cs="Arial"/>
                <w:color w:val="000000"/>
                <w:sz w:val="18"/>
                <w:szCs w:val="18"/>
                <w:lang w:eastAsia="es-AR"/>
              </w:rPr>
            </w:pPr>
          </w:p>
        </w:tc>
        <w:tc>
          <w:tcPr>
            <w:tcW w:w="595" w:type="pct"/>
            <w:tcBorders>
              <w:top w:val="nil"/>
              <w:left w:val="nil"/>
              <w:bottom w:val="single" w:sz="4" w:space="0" w:color="auto"/>
              <w:right w:val="single" w:sz="4" w:space="0" w:color="auto"/>
            </w:tcBorders>
            <w:shd w:val="clear" w:color="auto" w:fill="auto"/>
            <w:noWrap/>
            <w:vAlign w:val="bottom"/>
          </w:tcPr>
          <w:p w14:paraId="2289452E" w14:textId="22C5008C" w:rsidR="00D9456F" w:rsidRPr="00D9456F" w:rsidRDefault="00D9456F" w:rsidP="00D9456F">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single" w:sz="4" w:space="0" w:color="auto"/>
              <w:left w:val="nil"/>
              <w:bottom w:val="single" w:sz="4" w:space="0" w:color="auto"/>
              <w:right w:val="single" w:sz="4" w:space="0" w:color="auto"/>
            </w:tcBorders>
            <w:noWrap/>
            <w:vAlign w:val="bottom"/>
          </w:tcPr>
          <w:p w14:paraId="072FB388" w14:textId="0707A542"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(45.536)</w:t>
            </w:r>
          </w:p>
        </w:tc>
        <w:tc>
          <w:tcPr>
            <w:tcW w:w="676" w:type="pct"/>
            <w:tcBorders>
              <w:top w:val="single" w:sz="4" w:space="0" w:color="auto"/>
              <w:left w:val="single" w:sz="4" w:space="0" w:color="auto"/>
              <w:bottom w:val="single" w:sz="4" w:space="0" w:color="auto"/>
              <w:right w:val="single" w:sz="4" w:space="0" w:color="auto"/>
            </w:tcBorders>
            <w:vAlign w:val="bottom"/>
          </w:tcPr>
          <w:p w14:paraId="4C071643" w14:textId="247AEA54"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(45.536)</w:t>
            </w:r>
          </w:p>
        </w:tc>
        <w:tc>
          <w:tcPr>
            <w:tcW w:w="595" w:type="pct"/>
            <w:tcBorders>
              <w:top w:val="nil"/>
              <w:left w:val="nil"/>
              <w:bottom w:val="single" w:sz="4" w:space="0" w:color="auto"/>
              <w:right w:val="single" w:sz="4" w:space="0" w:color="auto"/>
            </w:tcBorders>
            <w:shd w:val="clear" w:color="auto" w:fill="auto"/>
            <w:vAlign w:val="bottom"/>
          </w:tcPr>
          <w:p w14:paraId="46EDE879" w14:textId="77777777" w:rsidR="00D9456F" w:rsidRPr="00D9456F" w:rsidRDefault="00D9456F" w:rsidP="00D9456F">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2FFC4585"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(32.617)</w:t>
            </w:r>
          </w:p>
        </w:tc>
        <w:tc>
          <w:tcPr>
            <w:tcW w:w="675" w:type="pct"/>
            <w:tcBorders>
              <w:top w:val="nil"/>
              <w:left w:val="nil"/>
              <w:bottom w:val="single" w:sz="4" w:space="0" w:color="auto"/>
              <w:right w:val="single" w:sz="4" w:space="0" w:color="auto"/>
            </w:tcBorders>
            <w:vAlign w:val="bottom"/>
          </w:tcPr>
          <w:p w14:paraId="7C03D7CE" w14:textId="77777777"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(32.617)</w:t>
            </w:r>
          </w:p>
        </w:tc>
      </w:tr>
      <w:tr w:rsidR="00D9456F" w:rsidRPr="00D9456F" w14:paraId="1A387C78" w14:textId="77777777" w:rsidTr="007D7797">
        <w:trPr>
          <w:trHeight w:val="255"/>
          <w:tblHeader/>
          <w:jc w:val="center"/>
        </w:trPr>
        <w:tc>
          <w:tcPr>
            <w:tcW w:w="1194" w:type="pct"/>
            <w:vMerge w:val="restart"/>
            <w:tcBorders>
              <w:top w:val="nil"/>
              <w:left w:val="single" w:sz="4" w:space="0" w:color="auto"/>
              <w:bottom w:val="single" w:sz="4" w:space="0" w:color="auto"/>
              <w:right w:val="single" w:sz="4" w:space="0" w:color="auto"/>
            </w:tcBorders>
            <w:shd w:val="clear" w:color="auto" w:fill="auto"/>
            <w:vAlign w:val="center"/>
            <w:hideMark/>
          </w:tcPr>
          <w:p w14:paraId="18112340" w14:textId="77777777" w:rsidR="00D9456F" w:rsidRPr="00D9456F" w:rsidRDefault="00D9456F" w:rsidP="00D9456F">
            <w:pPr>
              <w:jc w:val="center"/>
              <w:rPr>
                <w:rFonts w:ascii="Arial" w:hAnsi="Arial" w:cs="Arial"/>
                <w:color w:val="000000"/>
                <w:sz w:val="18"/>
                <w:szCs w:val="18"/>
                <w:lang w:eastAsia="es-AR"/>
              </w:rPr>
            </w:pPr>
            <w:r w:rsidRPr="00D9456F">
              <w:rPr>
                <w:rFonts w:ascii="Arial" w:hAnsi="Arial" w:cs="Arial"/>
                <w:color w:val="000000"/>
                <w:sz w:val="18"/>
                <w:szCs w:val="18"/>
                <w:lang w:eastAsia="es-AR"/>
              </w:rPr>
              <w:t>Total</w:t>
            </w:r>
          </w:p>
        </w:tc>
        <w:tc>
          <w:tcPr>
            <w:tcW w:w="595" w:type="pct"/>
            <w:tcBorders>
              <w:top w:val="nil"/>
              <w:left w:val="nil"/>
              <w:bottom w:val="single" w:sz="4" w:space="0" w:color="auto"/>
              <w:right w:val="single" w:sz="4" w:space="0" w:color="auto"/>
            </w:tcBorders>
            <w:shd w:val="clear" w:color="auto" w:fill="auto"/>
            <w:noWrap/>
            <w:vAlign w:val="bottom"/>
          </w:tcPr>
          <w:p w14:paraId="648215BB" w14:textId="7AB2BE71" w:rsidR="00D9456F" w:rsidRPr="00D9456F" w:rsidRDefault="00D9456F" w:rsidP="00D9456F">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single" w:sz="4" w:space="0" w:color="auto"/>
              <w:left w:val="nil"/>
              <w:bottom w:val="single" w:sz="4" w:space="0" w:color="auto"/>
              <w:right w:val="single" w:sz="4" w:space="0" w:color="auto"/>
            </w:tcBorders>
            <w:noWrap/>
            <w:vAlign w:val="bottom"/>
          </w:tcPr>
          <w:p w14:paraId="6D888BB6" w14:textId="4B5B8754"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 xml:space="preserve">251.960 </w:t>
            </w:r>
          </w:p>
        </w:tc>
        <w:tc>
          <w:tcPr>
            <w:tcW w:w="676" w:type="pct"/>
            <w:tcBorders>
              <w:top w:val="single" w:sz="4" w:space="0" w:color="auto"/>
              <w:left w:val="single" w:sz="4" w:space="0" w:color="auto"/>
              <w:bottom w:val="single" w:sz="4" w:space="0" w:color="auto"/>
              <w:right w:val="single" w:sz="4" w:space="0" w:color="auto"/>
            </w:tcBorders>
            <w:vAlign w:val="bottom"/>
          </w:tcPr>
          <w:p w14:paraId="2A64AAB9" w14:textId="1A7C585B"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 xml:space="preserve">251.960 </w:t>
            </w:r>
          </w:p>
        </w:tc>
        <w:tc>
          <w:tcPr>
            <w:tcW w:w="595" w:type="pct"/>
            <w:tcBorders>
              <w:top w:val="nil"/>
              <w:left w:val="nil"/>
              <w:bottom w:val="single" w:sz="4" w:space="0" w:color="auto"/>
              <w:right w:val="single" w:sz="4" w:space="0" w:color="auto"/>
            </w:tcBorders>
            <w:shd w:val="clear" w:color="auto" w:fill="auto"/>
            <w:vAlign w:val="bottom"/>
          </w:tcPr>
          <w:p w14:paraId="72F63A5E" w14:textId="77777777" w:rsidR="00D9456F" w:rsidRPr="00D9456F" w:rsidRDefault="00D9456F" w:rsidP="00D9456F">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6B2A2D12" w14:textId="24E6D57F"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366.33</w:t>
            </w:r>
            <w:r w:rsidR="00991C8D">
              <w:rPr>
                <w:rFonts w:ascii="Arial" w:hAnsi="Arial" w:cs="Arial"/>
                <w:color w:val="000000"/>
                <w:sz w:val="18"/>
                <w:szCs w:val="18"/>
                <w:lang w:eastAsia="es-AR"/>
              </w:rPr>
              <w:t>6</w:t>
            </w:r>
            <w:r w:rsidRPr="00D9456F">
              <w:rPr>
                <w:rFonts w:ascii="Arial" w:hAnsi="Arial" w:cs="Arial"/>
                <w:color w:val="000000"/>
                <w:sz w:val="18"/>
                <w:szCs w:val="18"/>
                <w:lang w:eastAsia="es-AR"/>
              </w:rPr>
              <w:t xml:space="preserve"> </w:t>
            </w:r>
          </w:p>
        </w:tc>
        <w:tc>
          <w:tcPr>
            <w:tcW w:w="675" w:type="pct"/>
            <w:tcBorders>
              <w:top w:val="nil"/>
              <w:left w:val="nil"/>
              <w:bottom w:val="single" w:sz="4" w:space="0" w:color="auto"/>
              <w:right w:val="single" w:sz="4" w:space="0" w:color="auto"/>
            </w:tcBorders>
            <w:vAlign w:val="bottom"/>
          </w:tcPr>
          <w:p w14:paraId="4C0FEE5E" w14:textId="4699417A"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366.33</w:t>
            </w:r>
            <w:r w:rsidR="00991C8D">
              <w:rPr>
                <w:rFonts w:ascii="Arial" w:hAnsi="Arial" w:cs="Arial"/>
                <w:color w:val="000000"/>
                <w:sz w:val="18"/>
                <w:szCs w:val="18"/>
                <w:lang w:eastAsia="es-AR"/>
              </w:rPr>
              <w:t>6</w:t>
            </w:r>
            <w:r w:rsidRPr="00D9456F">
              <w:rPr>
                <w:rFonts w:ascii="Arial" w:hAnsi="Arial" w:cs="Arial"/>
                <w:color w:val="000000"/>
                <w:sz w:val="18"/>
                <w:szCs w:val="18"/>
                <w:lang w:eastAsia="es-AR"/>
              </w:rPr>
              <w:t xml:space="preserve"> </w:t>
            </w:r>
          </w:p>
        </w:tc>
      </w:tr>
      <w:tr w:rsidR="00D9456F" w:rsidRPr="00D9456F" w14:paraId="02F25F8B" w14:textId="77777777" w:rsidTr="007D7797">
        <w:trPr>
          <w:trHeight w:val="255"/>
          <w:tblHeader/>
          <w:jc w:val="center"/>
        </w:trPr>
        <w:tc>
          <w:tcPr>
            <w:tcW w:w="1194" w:type="pct"/>
            <w:vMerge/>
            <w:tcBorders>
              <w:top w:val="nil"/>
              <w:left w:val="single" w:sz="4" w:space="0" w:color="auto"/>
              <w:bottom w:val="single" w:sz="4" w:space="0" w:color="auto"/>
              <w:right w:val="single" w:sz="4" w:space="0" w:color="auto"/>
            </w:tcBorders>
            <w:vAlign w:val="center"/>
            <w:hideMark/>
          </w:tcPr>
          <w:p w14:paraId="040BC5CA" w14:textId="77777777" w:rsidR="00D9456F" w:rsidRPr="00D9456F" w:rsidRDefault="00D9456F" w:rsidP="00D9456F">
            <w:pPr>
              <w:rPr>
                <w:rFonts w:ascii="Arial" w:hAnsi="Arial" w:cs="Arial"/>
                <w:color w:val="000000"/>
                <w:sz w:val="18"/>
                <w:szCs w:val="18"/>
                <w:lang w:eastAsia="es-AR"/>
              </w:rPr>
            </w:pPr>
          </w:p>
        </w:tc>
        <w:tc>
          <w:tcPr>
            <w:tcW w:w="595" w:type="pct"/>
            <w:tcBorders>
              <w:top w:val="nil"/>
              <w:left w:val="nil"/>
              <w:bottom w:val="single" w:sz="4" w:space="0" w:color="auto"/>
              <w:right w:val="single" w:sz="4" w:space="0" w:color="auto"/>
            </w:tcBorders>
            <w:shd w:val="clear" w:color="auto" w:fill="auto"/>
            <w:noWrap/>
            <w:vAlign w:val="bottom"/>
          </w:tcPr>
          <w:p w14:paraId="52AF80B7" w14:textId="3640EF1C" w:rsidR="00D9456F" w:rsidRPr="00D9456F" w:rsidRDefault="00D9456F" w:rsidP="00D9456F">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single" w:sz="4" w:space="0" w:color="auto"/>
              <w:left w:val="nil"/>
              <w:bottom w:val="single" w:sz="4" w:space="0" w:color="auto"/>
              <w:right w:val="single" w:sz="4" w:space="0" w:color="auto"/>
            </w:tcBorders>
            <w:noWrap/>
            <w:vAlign w:val="bottom"/>
          </w:tcPr>
          <w:p w14:paraId="31E9DE5F" w14:textId="11637DC1"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(251.960)</w:t>
            </w:r>
          </w:p>
        </w:tc>
        <w:tc>
          <w:tcPr>
            <w:tcW w:w="676" w:type="pct"/>
            <w:tcBorders>
              <w:top w:val="single" w:sz="4" w:space="0" w:color="auto"/>
              <w:left w:val="single" w:sz="4" w:space="0" w:color="auto"/>
              <w:bottom w:val="single" w:sz="4" w:space="0" w:color="auto"/>
              <w:right w:val="single" w:sz="4" w:space="0" w:color="auto"/>
            </w:tcBorders>
            <w:vAlign w:val="bottom"/>
          </w:tcPr>
          <w:p w14:paraId="7404BFF2" w14:textId="2F566B9C" w:rsidR="00D9456F" w:rsidRPr="00D9456F" w:rsidRDefault="00D9456F" w:rsidP="00D9456F">
            <w:pPr>
              <w:jc w:val="right"/>
              <w:rPr>
                <w:rFonts w:ascii="Arial" w:hAnsi="Arial" w:cs="Arial"/>
                <w:color w:val="000000"/>
                <w:sz w:val="18"/>
                <w:szCs w:val="18"/>
                <w:lang w:eastAsia="es-AR"/>
              </w:rPr>
            </w:pPr>
            <w:r w:rsidRPr="001B611B">
              <w:rPr>
                <w:rFonts w:ascii="Arial" w:hAnsi="Arial" w:cs="Arial"/>
                <w:color w:val="000000"/>
                <w:sz w:val="18"/>
                <w:szCs w:val="18"/>
                <w:lang w:eastAsia="es-AR"/>
              </w:rPr>
              <w:t>(251.960)</w:t>
            </w:r>
          </w:p>
        </w:tc>
        <w:tc>
          <w:tcPr>
            <w:tcW w:w="595" w:type="pct"/>
            <w:tcBorders>
              <w:top w:val="nil"/>
              <w:left w:val="nil"/>
              <w:bottom w:val="single" w:sz="4" w:space="0" w:color="auto"/>
              <w:right w:val="single" w:sz="4" w:space="0" w:color="auto"/>
            </w:tcBorders>
            <w:shd w:val="clear" w:color="auto" w:fill="auto"/>
            <w:vAlign w:val="bottom"/>
          </w:tcPr>
          <w:p w14:paraId="75449428" w14:textId="77777777" w:rsidR="00D9456F" w:rsidRPr="00D9456F" w:rsidRDefault="00D9456F" w:rsidP="00D9456F">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62F4BC70" w14:textId="0071C515"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(366.33</w:t>
            </w:r>
            <w:r w:rsidR="00991C8D">
              <w:rPr>
                <w:rFonts w:ascii="Arial" w:hAnsi="Arial" w:cs="Arial"/>
                <w:color w:val="000000"/>
                <w:sz w:val="18"/>
                <w:szCs w:val="18"/>
                <w:lang w:eastAsia="es-AR"/>
              </w:rPr>
              <w:t>6</w:t>
            </w:r>
            <w:r w:rsidRPr="00D9456F">
              <w:rPr>
                <w:rFonts w:ascii="Arial" w:hAnsi="Arial" w:cs="Arial"/>
                <w:color w:val="000000"/>
                <w:sz w:val="18"/>
                <w:szCs w:val="18"/>
                <w:lang w:eastAsia="es-AR"/>
              </w:rPr>
              <w:t>)</w:t>
            </w:r>
          </w:p>
        </w:tc>
        <w:tc>
          <w:tcPr>
            <w:tcW w:w="675" w:type="pct"/>
            <w:tcBorders>
              <w:top w:val="nil"/>
              <w:left w:val="nil"/>
              <w:bottom w:val="single" w:sz="4" w:space="0" w:color="auto"/>
              <w:right w:val="single" w:sz="4" w:space="0" w:color="auto"/>
            </w:tcBorders>
            <w:vAlign w:val="bottom"/>
          </w:tcPr>
          <w:p w14:paraId="61EE02E8" w14:textId="27A26F5A" w:rsidR="00D9456F" w:rsidRPr="00D9456F" w:rsidRDefault="00D9456F" w:rsidP="00D9456F">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(366.33</w:t>
            </w:r>
            <w:r w:rsidR="00991C8D">
              <w:rPr>
                <w:rFonts w:ascii="Arial" w:hAnsi="Arial" w:cs="Arial"/>
                <w:color w:val="000000"/>
                <w:sz w:val="18"/>
                <w:szCs w:val="18"/>
                <w:lang w:eastAsia="es-AR"/>
              </w:rPr>
              <w:t>6</w:t>
            </w:r>
            <w:r w:rsidRPr="00D9456F">
              <w:rPr>
                <w:rFonts w:ascii="Arial" w:hAnsi="Arial" w:cs="Arial"/>
                <w:color w:val="000000"/>
                <w:sz w:val="18"/>
                <w:szCs w:val="18"/>
                <w:lang w:eastAsia="es-AR"/>
              </w:rPr>
              <w:t>)</w:t>
            </w:r>
          </w:p>
        </w:tc>
      </w:tr>
    </w:tbl>
    <w:p w14:paraId="5B13B34F" w14:textId="1DD2B8D0" w:rsidR="00D9456F" w:rsidRDefault="00D9456F" w:rsidP="00EB6617">
      <w:pPr>
        <w:tabs>
          <w:tab w:val="left" w:pos="142"/>
        </w:tabs>
        <w:spacing w:after="200"/>
        <w:jc w:val="both"/>
        <w:rPr>
          <w:rFonts w:ascii="Arial" w:hAnsi="Arial" w:cs="Arial"/>
          <w:sz w:val="20"/>
        </w:rPr>
      </w:pPr>
    </w:p>
    <w:p w14:paraId="517069A5" w14:textId="77777777" w:rsidR="00EB6617" w:rsidRPr="00C92384" w:rsidRDefault="00EB6617" w:rsidP="00EB6617">
      <w:pPr>
        <w:tabs>
          <w:tab w:val="left" w:pos="142"/>
        </w:tabs>
        <w:spacing w:after="200"/>
        <w:jc w:val="both"/>
        <w:rPr>
          <w:rFonts w:ascii="Arial" w:hAnsi="Arial" w:cs="Arial"/>
          <w:sz w:val="20"/>
          <w:u w:val="single"/>
          <w:lang w:val="es-ES_tradnl" w:eastAsia="es-AR"/>
        </w:rPr>
      </w:pPr>
      <w:r w:rsidRPr="00C92384">
        <w:rPr>
          <w:rFonts w:ascii="Arial" w:hAnsi="Arial" w:cs="Arial"/>
          <w:sz w:val="20"/>
          <w:u w:val="single"/>
          <w:lang w:val="es-ES_tradnl" w:eastAsia="es-AR"/>
        </w:rPr>
        <w:t>Análisis de Sensibilidad</w:t>
      </w:r>
    </w:p>
    <w:p w14:paraId="35C175A9" w14:textId="77777777" w:rsidR="00EE7D6B" w:rsidRDefault="00EE7D6B" w:rsidP="00EE7D6B">
      <w:pPr>
        <w:tabs>
          <w:tab w:val="left" w:pos="142"/>
        </w:tabs>
        <w:spacing w:after="200"/>
        <w:jc w:val="both"/>
        <w:rPr>
          <w:rFonts w:ascii="Arial" w:hAnsi="Arial" w:cs="Arial"/>
          <w:sz w:val="20"/>
          <w:lang w:val="es-ES_tradnl" w:eastAsia="es-AR"/>
        </w:rPr>
      </w:pPr>
      <w:r>
        <w:rPr>
          <w:rFonts w:ascii="Arial" w:hAnsi="Arial" w:cs="Arial"/>
          <w:sz w:val="20"/>
          <w:lang w:val="es-ES_tradnl" w:eastAsia="es-AR"/>
        </w:rPr>
        <w:t>Es importante destacar que dentro del informe diario provisto a la Mesa de Dinero para el monitoreo de la exposición a riesgo asumida, la Gerencia de Riesgos Financieros realiza una contraposición entre la rentabilidad obtenida y el riesgo implícito. Al emplearse una metodología de VaR diversificado resulta importante brindar información relacionada con el aporte que cada activo en cartera hace a la medición de VaR agregada, y fundamentalmente si ese activo genera o no diversificación de riesgo. Es por ello que dentro de las variables incluidas en la reportería diaria se incluye el Component VaR de cada activo, permitiendo así un análisis de sensibilidad sobre el impacto de cada activo en la exposición a riesgo total.</w:t>
      </w:r>
    </w:p>
    <w:p w14:paraId="59CB9DC0" w14:textId="77777777" w:rsidR="00EE7D6B" w:rsidRDefault="00EE7D6B" w:rsidP="00EE7D6B">
      <w:pPr>
        <w:tabs>
          <w:tab w:val="left" w:pos="142"/>
        </w:tabs>
        <w:spacing w:after="200"/>
        <w:jc w:val="both"/>
        <w:rPr>
          <w:rFonts w:ascii="Arial" w:hAnsi="Arial" w:cs="Arial"/>
          <w:sz w:val="20"/>
          <w:lang w:val="es-ES_tradnl" w:eastAsia="es-AR"/>
        </w:rPr>
      </w:pPr>
      <w:r>
        <w:rPr>
          <w:rFonts w:ascii="Arial" w:hAnsi="Arial" w:cs="Arial"/>
          <w:sz w:val="20"/>
          <w:lang w:val="es-ES_tradnl" w:eastAsia="es-AR"/>
        </w:rPr>
        <w:t xml:space="preserve">Con el objetivo de nutrir el análisis del riesgo asumido con métricas alternativas de medición capaces de mitigar las críticas habituales que recaen sobre la metodología VaR, la Entidad reconoce el cambio en las condiciones de mercado sobre la exposición al riesgo utilizando un ajuste sobre las volatilidades empleadas en el cómputo del VaR. De acuerdo a la metodología empleada, los retornos de activos registrados en fechas más recientes tienen una mayor incidencia en el cálculo de volatilidades. Paralelamente, la Entidad realiza una medición y seguimiento del riesgo asumido a partir de la aplicación de una metodología de Expected Shortfall, analizándose así el universo de pérdidas inesperadas ubicadas en la cola de distribución más allá del punto crítico indicado por el VaR.   </w:t>
      </w:r>
    </w:p>
    <w:p w14:paraId="736FA1EB" w14:textId="77777777" w:rsidR="00EE7D6B" w:rsidRPr="00C92384" w:rsidRDefault="00EE7D6B" w:rsidP="00EE7D6B">
      <w:pPr>
        <w:contextualSpacing/>
        <w:jc w:val="both"/>
        <w:rPr>
          <w:rFonts w:ascii="Arial" w:hAnsi="Arial" w:cs="Arial"/>
          <w:sz w:val="20"/>
          <w:u w:val="single"/>
          <w:lang w:val="es-ES_tradnl" w:eastAsia="es-AR"/>
        </w:rPr>
      </w:pPr>
      <w:r w:rsidRPr="00C92384">
        <w:rPr>
          <w:rFonts w:ascii="Arial" w:hAnsi="Arial" w:cs="Arial"/>
          <w:sz w:val="20"/>
          <w:u w:val="single"/>
          <w:lang w:val="es-ES_tradnl" w:eastAsia="es-AR"/>
        </w:rPr>
        <w:t>Cálculo de capital económico</w:t>
      </w:r>
    </w:p>
    <w:p w14:paraId="1CA3A60A" w14:textId="77777777" w:rsidR="00EE7D6B" w:rsidRPr="00701F32" w:rsidRDefault="00EE7D6B" w:rsidP="00EE7D6B">
      <w:pPr>
        <w:contextualSpacing/>
        <w:jc w:val="both"/>
        <w:rPr>
          <w:rFonts w:ascii="Arial" w:hAnsi="Arial" w:cs="Arial"/>
          <w:b/>
          <w:sz w:val="22"/>
          <w:szCs w:val="22"/>
          <w:lang w:val="es-ES_tradnl" w:eastAsia="es-AR"/>
        </w:rPr>
      </w:pPr>
    </w:p>
    <w:p w14:paraId="4D25963D" w14:textId="77777777" w:rsidR="00EE7D6B"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r w:rsidRPr="00701F32">
        <w:rPr>
          <w:rFonts w:ascii="Arial" w:hAnsi="Arial" w:cs="Arial"/>
          <w:bCs/>
          <w:sz w:val="20"/>
          <w:lang w:eastAsia="es-AR"/>
        </w:rPr>
        <w:t xml:space="preserve">Banco Supervielle adopta la metodología de VaR Paramétrico </w:t>
      </w:r>
      <w:r>
        <w:rPr>
          <w:rFonts w:ascii="Arial" w:hAnsi="Arial" w:cs="Arial"/>
          <w:bCs/>
          <w:sz w:val="20"/>
          <w:lang w:eastAsia="es-AR"/>
        </w:rPr>
        <w:t xml:space="preserve">diversificado </w:t>
      </w:r>
      <w:r w:rsidRPr="00701F32">
        <w:rPr>
          <w:rFonts w:ascii="Arial" w:hAnsi="Arial" w:cs="Arial"/>
          <w:bCs/>
          <w:sz w:val="20"/>
          <w:lang w:eastAsia="es-AR"/>
        </w:rPr>
        <w:t>para el cálculo del capital económico por riesgo de mercado, tanto a nivel consolidado como individual</w:t>
      </w:r>
      <w:r>
        <w:rPr>
          <w:rFonts w:ascii="Arial" w:hAnsi="Arial" w:cs="Arial"/>
          <w:bCs/>
          <w:sz w:val="20"/>
          <w:lang w:eastAsia="es-AR"/>
        </w:rPr>
        <w:t>. Cabe destacar que en el caso de Cordial Compañía Financiera, de acuerdo a lo estipulado por el punto 1.3.2.3. del T.O. de los Lineamientos para la Gestión de Riesgos en las Entidades Financieras, su Directorio ha optado por cuantificar sus necesidades de capital económico aplicando la metodología simplificada descripta en el punto 1.3.3. del citado texto ordenado</w:t>
      </w:r>
      <w:r w:rsidRPr="00701F32">
        <w:rPr>
          <w:rFonts w:ascii="Arial" w:hAnsi="Arial" w:cs="Arial"/>
          <w:bCs/>
          <w:sz w:val="20"/>
          <w:lang w:eastAsia="es-AR"/>
        </w:rPr>
        <w:t>.</w:t>
      </w:r>
      <w:r>
        <w:rPr>
          <w:rFonts w:ascii="Arial" w:hAnsi="Arial" w:cs="Arial"/>
          <w:bCs/>
          <w:sz w:val="20"/>
          <w:lang w:eastAsia="es-AR"/>
        </w:rPr>
        <w:t xml:space="preserve"> De acuerdo a esta metodología, el capital económico agregado surge de la siguiente expresión:</w:t>
      </w:r>
    </w:p>
    <w:p w14:paraId="36017C60" w14:textId="77777777" w:rsidR="00EE7D6B"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p>
    <w:p w14:paraId="720D3D06" w14:textId="77777777" w:rsidR="00EE7D6B"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r w:rsidRPr="009E081B">
        <w:rPr>
          <w:rFonts w:ascii="Arial" w:hAnsi="Arial" w:cs="Arial"/>
          <w:bCs/>
          <w:sz w:val="20"/>
          <w:lang w:eastAsia="es-AR"/>
        </w:rPr>
        <w:t xml:space="preserve">CE = (1,05 x CM) + máx [0; </w:t>
      </w:r>
      <w:r>
        <w:rPr>
          <w:rFonts w:ascii="Symbol" w:hAnsi="Symbol" w:cs="Arial"/>
          <w:bCs/>
          <w:sz w:val="20"/>
          <w:lang w:eastAsia="es-AR"/>
        </w:rPr>
        <w:t></w:t>
      </w:r>
      <w:r w:rsidRPr="009E081B">
        <w:rPr>
          <w:rFonts w:ascii="Arial" w:hAnsi="Arial" w:cs="Arial"/>
          <w:bCs/>
          <w:sz w:val="20"/>
          <w:lang w:eastAsia="es-AR"/>
        </w:rPr>
        <w:t>EVE – 15 % x PNb)]</w:t>
      </w:r>
    </w:p>
    <w:p w14:paraId="00EAFA55" w14:textId="77777777" w:rsidR="00EE7D6B"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p>
    <w:p w14:paraId="519238C3" w14:textId="77777777" w:rsidR="00EE7D6B"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r>
        <w:rPr>
          <w:rFonts w:ascii="Arial" w:hAnsi="Arial" w:cs="Arial"/>
          <w:bCs/>
          <w:sz w:val="20"/>
          <w:lang w:eastAsia="es-AR"/>
        </w:rPr>
        <w:t>Donde,</w:t>
      </w:r>
    </w:p>
    <w:p w14:paraId="71987F48" w14:textId="77777777" w:rsidR="00EE7D6B"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p>
    <w:p w14:paraId="0257EEC9" w14:textId="77777777" w:rsidR="00EE7D6B"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r w:rsidRPr="009E081B">
        <w:rPr>
          <w:rFonts w:ascii="Arial" w:hAnsi="Arial" w:cs="Arial"/>
          <w:bCs/>
          <w:sz w:val="20"/>
          <w:lang w:eastAsia="es-AR"/>
        </w:rPr>
        <w:t>CE: capital económico en función del perfil de riesgo (ICAAP).</w:t>
      </w:r>
    </w:p>
    <w:p w14:paraId="027051CA" w14:textId="77777777" w:rsidR="00EE7D6B" w:rsidRPr="009E081B"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p>
    <w:p w14:paraId="29FE71C7" w14:textId="77777777" w:rsidR="00EE7D6B"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r w:rsidRPr="009E081B">
        <w:rPr>
          <w:rFonts w:ascii="Arial" w:hAnsi="Arial" w:cs="Arial"/>
          <w:bCs/>
          <w:sz w:val="20"/>
          <w:lang w:eastAsia="es-AR"/>
        </w:rPr>
        <w:t>CM: exigencia de capital mínimo conforme a lo previsto en el punto 1.1. de las normas sobre “Capitales mínimos de las entidades financieras”.</w:t>
      </w:r>
    </w:p>
    <w:p w14:paraId="215F9D08" w14:textId="77777777" w:rsidR="00EE7D6B" w:rsidRPr="009E081B"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p>
    <w:p w14:paraId="6C180183" w14:textId="77777777" w:rsidR="00EE7D6B" w:rsidRPr="009E081B"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r>
        <w:rPr>
          <w:rFonts w:ascii="Symbol" w:hAnsi="Symbol" w:cs="Arial"/>
          <w:bCs/>
          <w:sz w:val="20"/>
          <w:lang w:eastAsia="es-AR"/>
        </w:rPr>
        <w:t></w:t>
      </w:r>
      <w:r w:rsidRPr="009E081B">
        <w:rPr>
          <w:rFonts w:ascii="Arial" w:hAnsi="Arial" w:cs="Arial"/>
          <w:bCs/>
          <w:sz w:val="20"/>
          <w:lang w:eastAsia="es-AR"/>
        </w:rPr>
        <w:t xml:space="preserve">EVE: medida de riesgo </w:t>
      </w:r>
      <w:r>
        <w:rPr>
          <w:rFonts w:ascii="Arial" w:hAnsi="Arial" w:cs="Arial"/>
          <w:bCs/>
          <w:sz w:val="20"/>
          <w:lang w:eastAsia="es-AR"/>
        </w:rPr>
        <w:t xml:space="preserve">de tasa de interés </w:t>
      </w:r>
      <w:r w:rsidRPr="009E081B">
        <w:rPr>
          <w:rFonts w:ascii="Arial" w:hAnsi="Arial" w:cs="Arial"/>
          <w:bCs/>
          <w:sz w:val="20"/>
          <w:lang w:eastAsia="es-AR"/>
        </w:rPr>
        <w:t xml:space="preserve">calculada conforme al Marco Estandarizado </w:t>
      </w:r>
    </w:p>
    <w:p w14:paraId="6FFEF4F9" w14:textId="77777777" w:rsidR="00EE7D6B" w:rsidRPr="00701F32" w:rsidRDefault="00EE7D6B" w:rsidP="00EE7D6B">
      <w:pPr>
        <w:pBdr>
          <w:top w:val="nil"/>
          <w:left w:val="nil"/>
          <w:bottom w:val="nil"/>
          <w:right w:val="nil"/>
          <w:between w:val="nil"/>
          <w:bar w:val="nil"/>
        </w:pBdr>
        <w:tabs>
          <w:tab w:val="left" w:pos="142"/>
        </w:tabs>
        <w:jc w:val="both"/>
        <w:rPr>
          <w:rFonts w:ascii="Arial" w:hAnsi="Arial" w:cs="Arial"/>
          <w:bCs/>
          <w:sz w:val="20"/>
          <w:lang w:eastAsia="es-AR"/>
        </w:rPr>
      </w:pPr>
      <w:r w:rsidRPr="009E081B">
        <w:rPr>
          <w:rFonts w:ascii="Arial" w:hAnsi="Arial" w:cs="Arial"/>
          <w:bCs/>
          <w:sz w:val="20"/>
          <w:lang w:eastAsia="es-AR"/>
        </w:rPr>
        <w:t>PNb: patrimonio neto básico (capital de nivel uno).</w:t>
      </w:r>
    </w:p>
    <w:p w14:paraId="2308F45D" w14:textId="77777777" w:rsidR="00EE7D6B" w:rsidRPr="00701F32" w:rsidRDefault="00EE7D6B" w:rsidP="00EE7D6B">
      <w:pPr>
        <w:pBdr>
          <w:top w:val="nil"/>
          <w:left w:val="nil"/>
          <w:bottom w:val="nil"/>
          <w:right w:val="nil"/>
          <w:between w:val="nil"/>
          <w:bar w:val="nil"/>
        </w:pBdr>
        <w:tabs>
          <w:tab w:val="left" w:pos="142"/>
          <w:tab w:val="left" w:pos="993"/>
        </w:tabs>
        <w:jc w:val="both"/>
        <w:rPr>
          <w:rFonts w:ascii="Arial" w:eastAsia="Arial Unicode MS" w:hAnsi="Arial" w:cs="Arial"/>
          <w:b/>
          <w:bCs/>
          <w:sz w:val="20"/>
          <w:u w:val="single" w:color="000000"/>
          <w:bdr w:val="nil"/>
          <w:lang w:val="es-ES_tradnl" w:eastAsia="es-AR"/>
        </w:rPr>
      </w:pPr>
    </w:p>
    <w:p w14:paraId="299349A9" w14:textId="77777777" w:rsidR="00EE7D6B" w:rsidRPr="00701F32" w:rsidRDefault="00EE7D6B" w:rsidP="00EE7D6B">
      <w:pPr>
        <w:pBdr>
          <w:top w:val="nil"/>
          <w:left w:val="nil"/>
          <w:bottom w:val="nil"/>
          <w:right w:val="nil"/>
          <w:between w:val="nil"/>
          <w:bar w:val="nil"/>
        </w:pBdr>
        <w:tabs>
          <w:tab w:val="left" w:pos="142"/>
          <w:tab w:val="left" w:pos="993"/>
        </w:tabs>
        <w:jc w:val="both"/>
        <w:rPr>
          <w:rFonts w:ascii="Arial" w:eastAsia="Arial" w:hAnsi="Arial" w:cs="Arial"/>
          <w:b/>
          <w:bCs/>
          <w:sz w:val="20"/>
          <w:u w:val="single" w:color="000000"/>
          <w:bdr w:val="nil"/>
          <w:lang w:val="es-ES_tradnl" w:eastAsia="es-AR"/>
        </w:rPr>
      </w:pPr>
      <w:r w:rsidRPr="00701F32">
        <w:rPr>
          <w:rFonts w:ascii="Arial" w:eastAsia="Arial Unicode MS" w:hAnsi="Arial" w:cs="Arial"/>
          <w:b/>
          <w:bCs/>
          <w:sz w:val="20"/>
          <w:u w:val="single" w:color="000000"/>
          <w:bdr w:val="nil"/>
          <w:lang w:val="es-ES_tradnl" w:eastAsia="es-AR"/>
        </w:rPr>
        <w:t>Riesgo de tasa de interés</w:t>
      </w:r>
    </w:p>
    <w:p w14:paraId="127DA2E0" w14:textId="77777777" w:rsidR="00EE7D6B" w:rsidRPr="00701F32" w:rsidRDefault="00EE7D6B" w:rsidP="00EE7D6B">
      <w:pPr>
        <w:pBdr>
          <w:top w:val="nil"/>
          <w:left w:val="nil"/>
          <w:bottom w:val="nil"/>
          <w:right w:val="nil"/>
          <w:between w:val="nil"/>
          <w:bar w:val="nil"/>
        </w:pBdr>
        <w:tabs>
          <w:tab w:val="left" w:pos="142"/>
        </w:tabs>
        <w:jc w:val="both"/>
        <w:rPr>
          <w:rFonts w:ascii="Arial" w:eastAsia="Arial" w:hAnsi="Arial" w:cs="Arial"/>
          <w:b/>
          <w:bCs/>
          <w:sz w:val="20"/>
          <w:u w:val="single" w:color="000000"/>
          <w:bdr w:val="nil"/>
          <w:lang w:val="es-ES_tradnl" w:eastAsia="es-AR"/>
        </w:rPr>
      </w:pPr>
    </w:p>
    <w:p w14:paraId="78DE33FA" w14:textId="77777777" w:rsidR="00EE7D6B" w:rsidRPr="00701F32" w:rsidRDefault="00EE7D6B" w:rsidP="00EE7D6B">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Se define al riesgo de tasa de interés como el riesgo que se basa en la posibilidad de que se produzcan cambios en la condición financiera de la Entidad como consecuencia de fluctuaciones en las tasas de interés del mercado, teniendo efecto sobre los ingresos financieros de la Entidad así como también en su valor económico. Se reconocen los siguientes factores de riesgo:</w:t>
      </w:r>
    </w:p>
    <w:p w14:paraId="7F7CFE65" w14:textId="77777777" w:rsidR="00EE7D6B" w:rsidRPr="00701F32" w:rsidRDefault="00EE7D6B" w:rsidP="00EE7D6B">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79385D34" w14:textId="77777777" w:rsidR="00EE7D6B" w:rsidRPr="00701F32" w:rsidRDefault="00EE7D6B" w:rsidP="00EE7D6B">
      <w:pPr>
        <w:numPr>
          <w:ilvl w:val="0"/>
          <w:numId w:val="78"/>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Diferentes plazos de vencimiento y fechas de reajustes de tasa para activos, pasivos y tenencias fuera de balance.</w:t>
      </w:r>
    </w:p>
    <w:p w14:paraId="025C7F1E" w14:textId="77777777" w:rsidR="00EE7D6B" w:rsidRPr="00701F32" w:rsidRDefault="00EE7D6B" w:rsidP="00EE7D6B">
      <w:pPr>
        <w:numPr>
          <w:ilvl w:val="0"/>
          <w:numId w:val="78"/>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 xml:space="preserve">Tasa local, tasa extranjera y </w:t>
      </w:r>
      <w:r>
        <w:rPr>
          <w:rFonts w:ascii="Arial" w:eastAsia="Arial Unicode MS" w:hAnsi="Arial" w:cs="Arial"/>
          <w:sz w:val="20"/>
          <w:u w:color="000000"/>
          <w:bdr w:val="nil"/>
          <w:lang w:val="es-ES_tradnl" w:eastAsia="es-AR"/>
        </w:rPr>
        <w:t>UVA</w:t>
      </w:r>
      <w:r w:rsidRPr="00701F32">
        <w:rPr>
          <w:rFonts w:ascii="Arial" w:eastAsia="Arial Unicode MS" w:hAnsi="Arial" w:cs="Arial"/>
          <w:sz w:val="20"/>
          <w:u w:color="000000"/>
          <w:bdr w:val="nil"/>
          <w:lang w:val="es-ES_tradnl" w:eastAsia="es-AR"/>
        </w:rPr>
        <w:t xml:space="preserve"> en cuanto a su proyección, evolución y volatilidad.</w:t>
      </w:r>
    </w:p>
    <w:p w14:paraId="318552AE" w14:textId="77777777" w:rsidR="00EE7D6B" w:rsidRPr="00701F32" w:rsidRDefault="00EE7D6B" w:rsidP="00EE7D6B">
      <w:pPr>
        <w:numPr>
          <w:ilvl w:val="0"/>
          <w:numId w:val="78"/>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El riesgo de base que surge como consecuencia de una correlación imperfecta en el ajuste de las tasas activas y pasivas para instrumentos que poseen características similares de revaluación;</w:t>
      </w:r>
    </w:p>
    <w:p w14:paraId="62C19A34" w14:textId="77777777" w:rsidR="00EE7D6B" w:rsidRPr="00701F32" w:rsidRDefault="00EE7D6B" w:rsidP="00EE7D6B">
      <w:pPr>
        <w:numPr>
          <w:ilvl w:val="0"/>
          <w:numId w:val="78"/>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Las opciones implícitas en determinados activos, pasivos y conceptos fuera de balance de la Entidad</w:t>
      </w:r>
    </w:p>
    <w:p w14:paraId="3845A830" w14:textId="77777777" w:rsidR="00EE7D6B" w:rsidRPr="00701F32" w:rsidRDefault="00EE7D6B" w:rsidP="00EE7D6B">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63521778" w14:textId="77777777" w:rsidR="00EE7D6B" w:rsidRPr="00701F32" w:rsidRDefault="00EE7D6B" w:rsidP="00EE7D6B">
      <w:pPr>
        <w:pBdr>
          <w:top w:val="nil"/>
          <w:left w:val="nil"/>
          <w:bottom w:val="nil"/>
          <w:right w:val="nil"/>
          <w:between w:val="nil"/>
          <w:bar w:val="nil"/>
        </w:pBdr>
        <w:tabs>
          <w:tab w:val="left" w:pos="142"/>
        </w:tabs>
        <w:jc w:val="both"/>
        <w:rPr>
          <w:rFonts w:ascii="Arial" w:eastAsia="Arial Unicode MS" w:hAnsi="Arial" w:cs="Arial"/>
          <w:sz w:val="20"/>
          <w:u w:color="000000"/>
          <w:bdr w:val="nil"/>
          <w:lang w:val="es-ES_tradnl" w:eastAsia="es-AR"/>
        </w:rPr>
      </w:pPr>
      <w:r>
        <w:rPr>
          <w:rFonts w:ascii="Arial" w:eastAsia="Arial Unicode MS" w:hAnsi="Arial" w:cs="Arial"/>
          <w:sz w:val="20"/>
          <w:u w:color="000000"/>
          <w:bdr w:val="nil"/>
          <w:lang w:val="es-ES_tradnl" w:eastAsia="es-AR"/>
        </w:rPr>
        <w:t>La Entidad</w:t>
      </w:r>
      <w:r w:rsidRPr="00701F32">
        <w:rPr>
          <w:rFonts w:ascii="Arial" w:eastAsia="Arial Unicode MS" w:hAnsi="Arial" w:cs="Arial"/>
          <w:sz w:val="20"/>
          <w:u w:color="000000"/>
          <w:bdr w:val="nil"/>
          <w:lang w:val="es-ES_tradnl" w:eastAsia="es-AR"/>
        </w:rPr>
        <w:t xml:space="preserve"> encara el modelo de gestión del riesgo de tasa de interés incorporando el análisis de gaps de tasas de interés</w:t>
      </w:r>
      <w:r>
        <w:rPr>
          <w:rFonts w:ascii="Arial" w:eastAsia="Arial Unicode MS" w:hAnsi="Arial" w:cs="Arial"/>
          <w:sz w:val="20"/>
          <w:u w:color="000000"/>
          <w:bdr w:val="nil"/>
          <w:lang w:val="es-ES_tradnl" w:eastAsia="es-AR"/>
        </w:rPr>
        <w:t>, tanto a nivel Banco Supervielle como en Cordial Compañía Financiera</w:t>
      </w:r>
      <w:r w:rsidRPr="00701F32">
        <w:rPr>
          <w:rFonts w:ascii="Arial" w:eastAsia="Arial Unicode MS" w:hAnsi="Arial" w:cs="Arial"/>
          <w:sz w:val="20"/>
          <w:u w:color="000000"/>
          <w:bdr w:val="nil"/>
          <w:lang w:val="es-ES_tradnl" w:eastAsia="es-AR"/>
        </w:rPr>
        <w:t xml:space="preserve">. Este análisis facilita una representación básica de la estructura del balance y permite detectar concentraciones de riesgo de interés en los distintos plazos. </w:t>
      </w:r>
      <w:r>
        <w:rPr>
          <w:rFonts w:ascii="Arial" w:eastAsia="Arial Unicode MS" w:hAnsi="Arial" w:cs="Arial"/>
          <w:sz w:val="20"/>
          <w:u w:color="000000"/>
          <w:bdr w:val="nil"/>
          <w:lang w:val="es-ES_tradnl" w:eastAsia="es-AR"/>
        </w:rPr>
        <w:t>Especial atención concentra el gap acumulado durante los primeros noventa días, al tratarse del holding period utilizado al momento de evaluar la exposición al riesgo de tasa de interés en cada una de las entidades y por su relevancia a la hora de evaluar acciones que puedan modificar el posicionamiento estructural de balance.</w:t>
      </w:r>
    </w:p>
    <w:p w14:paraId="5F5B5539" w14:textId="77777777" w:rsidR="00EE7D6B" w:rsidRPr="00701F32" w:rsidRDefault="00EE7D6B" w:rsidP="00EE7D6B">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4DE1447F" w14:textId="77777777" w:rsidR="00EE7D6B" w:rsidRPr="00701F32" w:rsidRDefault="00EE7D6B" w:rsidP="00EE7D6B">
      <w:pPr>
        <w:ind w:right="-1"/>
        <w:jc w:val="both"/>
        <w:rPr>
          <w:rFonts w:ascii="Arial" w:hAnsi="Arial" w:cs="Arial"/>
          <w:sz w:val="20"/>
        </w:rPr>
      </w:pPr>
      <w:r w:rsidRPr="00701F32">
        <w:rPr>
          <w:rFonts w:ascii="Arial" w:hAnsi="Arial" w:cs="Arial"/>
          <w:sz w:val="20"/>
        </w:rPr>
        <w:t>La gestión del riesgo de tasa de interés del balance busca mantener la exposición del Banco en niveles acordes con el perfil de apetito al riesgo validado por el Directorio ante variaciones en los tipos de interés del mercado.</w:t>
      </w:r>
    </w:p>
    <w:p w14:paraId="560D9F57" w14:textId="77777777" w:rsidR="00EE7D6B" w:rsidRPr="00701F32" w:rsidRDefault="00EE7D6B" w:rsidP="00EE7D6B">
      <w:pPr>
        <w:ind w:right="-1"/>
        <w:jc w:val="both"/>
        <w:rPr>
          <w:rFonts w:ascii="Arial" w:hAnsi="Arial" w:cs="Arial"/>
          <w:sz w:val="20"/>
        </w:rPr>
      </w:pPr>
    </w:p>
    <w:p w14:paraId="63A6B953" w14:textId="77777777" w:rsidR="00EE7D6B" w:rsidRPr="00701F32" w:rsidRDefault="00EE7D6B" w:rsidP="00EE7D6B">
      <w:pPr>
        <w:ind w:right="-1"/>
        <w:jc w:val="both"/>
        <w:rPr>
          <w:rFonts w:ascii="Arial" w:hAnsi="Arial" w:cs="Arial"/>
          <w:sz w:val="20"/>
        </w:rPr>
      </w:pPr>
      <w:r w:rsidRPr="00701F32">
        <w:rPr>
          <w:rFonts w:ascii="Arial" w:hAnsi="Arial" w:cs="Arial"/>
          <w:sz w:val="20"/>
        </w:rPr>
        <w:t>Con ese objetivo, la gestión del riesgo de tasa de interés descansa en el monitoreo de dos métricas:</w:t>
      </w:r>
    </w:p>
    <w:p w14:paraId="0E209480" w14:textId="77777777" w:rsidR="00EE7D6B" w:rsidRPr="00701F32" w:rsidRDefault="00EE7D6B" w:rsidP="00EE7D6B">
      <w:pPr>
        <w:ind w:right="-1"/>
        <w:jc w:val="both"/>
        <w:rPr>
          <w:rFonts w:ascii="Arial" w:hAnsi="Arial" w:cs="Arial"/>
          <w:sz w:val="20"/>
        </w:rPr>
      </w:pPr>
    </w:p>
    <w:p w14:paraId="12EDA2D5" w14:textId="77777777" w:rsidR="00EE7D6B" w:rsidRPr="00701F32" w:rsidRDefault="00EE7D6B" w:rsidP="00EE7D6B">
      <w:pPr>
        <w:numPr>
          <w:ilvl w:val="0"/>
          <w:numId w:val="80"/>
        </w:numPr>
        <w:ind w:right="-1"/>
        <w:jc w:val="both"/>
        <w:rPr>
          <w:rFonts w:ascii="Arial" w:hAnsi="Arial" w:cs="Arial"/>
          <w:sz w:val="20"/>
        </w:rPr>
      </w:pPr>
      <w:r w:rsidRPr="00701F32">
        <w:rPr>
          <w:rFonts w:ascii="Arial" w:hAnsi="Arial" w:cs="Arial"/>
          <w:b/>
          <w:i/>
          <w:sz w:val="20"/>
        </w:rPr>
        <w:t>Enfoque MVE – VaR</w:t>
      </w:r>
      <w:r w:rsidRPr="00701F32">
        <w:rPr>
          <w:rFonts w:ascii="Arial" w:hAnsi="Arial" w:cs="Arial"/>
          <w:sz w:val="20"/>
        </w:rPr>
        <w:t>: mide la diferencia entre el valor económico estimado con la curva de interés de mercado y el mismo considerando la curva de tasas de interés que surge de la simulación de distintos escenarios de estrés. Este es el enfoque empleado por la entidad para calcular capital económico por este riesgo.</w:t>
      </w:r>
    </w:p>
    <w:p w14:paraId="418C7EED" w14:textId="77777777" w:rsidR="00EE7D6B" w:rsidRPr="00701F32" w:rsidRDefault="00EE7D6B" w:rsidP="00EE7D6B">
      <w:pPr>
        <w:numPr>
          <w:ilvl w:val="0"/>
          <w:numId w:val="80"/>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b/>
          <w:i/>
          <w:sz w:val="20"/>
          <w:u w:color="000000"/>
          <w:bdr w:val="nil"/>
          <w:lang w:val="es-ES_tradnl" w:eastAsia="es-AR"/>
        </w:rPr>
        <w:t>Enfoque NIM – EaR</w:t>
      </w:r>
      <w:r w:rsidRPr="00701F32">
        <w:rPr>
          <w:rFonts w:ascii="Arial" w:eastAsia="Arial Unicode MS" w:hAnsi="Arial" w:cs="Arial"/>
          <w:sz w:val="20"/>
          <w:u w:color="000000"/>
          <w:bdr w:val="nil"/>
          <w:lang w:val="es-ES_tradnl" w:eastAsia="es-AR"/>
        </w:rPr>
        <w:t>: mide el cambio en los devengos esperados para un plazo determinado (12 meses) ante un desplazamiento de la curva de interés originado en un ejercicio de simulación de distintos escenarios de estrés.</w:t>
      </w:r>
    </w:p>
    <w:p w14:paraId="45EE10C1" w14:textId="77777777" w:rsidR="00EE7D6B" w:rsidRDefault="00EE7D6B" w:rsidP="00EE7D6B">
      <w:pPr>
        <w:spacing w:before="240"/>
        <w:jc w:val="both"/>
        <w:rPr>
          <w:rFonts w:ascii="Arial" w:hAnsi="Arial" w:cs="Arial"/>
          <w:bCs/>
          <w:iCs/>
          <w:sz w:val="20"/>
          <w:lang w:val="es-ES_tradnl"/>
        </w:rPr>
      </w:pPr>
      <w:r>
        <w:rPr>
          <w:rFonts w:ascii="Arial" w:hAnsi="Arial" w:cs="Arial"/>
          <w:bCs/>
          <w:iCs/>
          <w:sz w:val="20"/>
          <w:lang w:val="es-ES_tradnl"/>
        </w:rPr>
        <w:t xml:space="preserve">A partir de la Comunicación “A” 6397, el BCRA expuso los lineamientos aplicables para el tratamiento del riesgo de tasa de interés en la cartera de inversión. La normativa hace una distinción entre el impacto de fluctuaciones en los niveles de tasa de interés sobre </w:t>
      </w:r>
      <w:r w:rsidRPr="00420E06">
        <w:rPr>
          <w:rFonts w:ascii="Arial" w:hAnsi="Arial" w:cs="Arial"/>
          <w:bCs/>
          <w:iCs/>
          <w:sz w:val="20"/>
          <w:lang w:val="es-ES_tradnl"/>
        </w:rPr>
        <w:t>el v</w:t>
      </w:r>
      <w:r>
        <w:rPr>
          <w:rFonts w:ascii="Arial" w:hAnsi="Arial" w:cs="Arial"/>
          <w:bCs/>
          <w:iCs/>
          <w:sz w:val="20"/>
          <w:lang w:val="es-ES_tradnl"/>
        </w:rPr>
        <w:t xml:space="preserve">alor subyacente de los activos, </w:t>
      </w:r>
      <w:r w:rsidRPr="00420E06">
        <w:rPr>
          <w:rFonts w:ascii="Arial" w:hAnsi="Arial" w:cs="Arial"/>
          <w:bCs/>
          <w:iCs/>
          <w:sz w:val="20"/>
          <w:lang w:val="es-ES_tradnl"/>
        </w:rPr>
        <w:t>pasivos y partidas fuera de balance de la entidad</w:t>
      </w:r>
      <w:r>
        <w:rPr>
          <w:rFonts w:ascii="Arial" w:hAnsi="Arial" w:cs="Arial"/>
          <w:bCs/>
          <w:iCs/>
          <w:sz w:val="20"/>
          <w:lang w:val="es-ES_tradnl"/>
        </w:rPr>
        <w:t xml:space="preserve"> (valor económico o MVE por sus siglas en inglés) por un lado, y las alteraciones que tales movimientos de tasas puedan tener sobre </w:t>
      </w:r>
      <w:r w:rsidRPr="00347275">
        <w:rPr>
          <w:rFonts w:ascii="Arial" w:hAnsi="Arial" w:cs="Arial"/>
          <w:bCs/>
          <w:iCs/>
          <w:sz w:val="20"/>
          <w:lang w:val="es-ES_tradnl"/>
        </w:rPr>
        <w:t xml:space="preserve">los ingresos y egresos sensibles a ellas, afectando </w:t>
      </w:r>
      <w:r>
        <w:rPr>
          <w:rFonts w:ascii="Arial" w:hAnsi="Arial" w:cs="Arial"/>
          <w:bCs/>
          <w:iCs/>
          <w:sz w:val="20"/>
          <w:lang w:val="es-ES_tradnl"/>
        </w:rPr>
        <w:t xml:space="preserve">al </w:t>
      </w:r>
      <w:r w:rsidRPr="00347275">
        <w:rPr>
          <w:rFonts w:ascii="Arial" w:hAnsi="Arial" w:cs="Arial"/>
          <w:bCs/>
          <w:iCs/>
          <w:sz w:val="20"/>
          <w:lang w:val="es-ES_tradnl"/>
        </w:rPr>
        <w:t>ingreso neto por intereses (NII)</w:t>
      </w:r>
      <w:r>
        <w:rPr>
          <w:rFonts w:ascii="Arial" w:hAnsi="Arial" w:cs="Arial"/>
          <w:bCs/>
          <w:iCs/>
          <w:sz w:val="20"/>
          <w:lang w:val="es-ES_tradnl"/>
        </w:rPr>
        <w:t>. Este mismo criterio ya había sido adoptado por Banco Supervielle a nivel individual y consolidado, por lo que la nueva normativa implicó una readaptación del modelo de gestión a la metodología de medición sugerida, manteniendo algunos criterios e incorporando otros.</w:t>
      </w:r>
    </w:p>
    <w:p w14:paraId="5905A0F7" w14:textId="77777777" w:rsidR="00EE7D6B" w:rsidRDefault="00EE7D6B" w:rsidP="00EE7D6B">
      <w:pPr>
        <w:spacing w:before="240"/>
        <w:jc w:val="both"/>
        <w:rPr>
          <w:rFonts w:ascii="Arial" w:hAnsi="Arial" w:cs="Arial"/>
          <w:bCs/>
          <w:iCs/>
          <w:sz w:val="20"/>
          <w:lang w:val="es-ES_tradnl"/>
        </w:rPr>
      </w:pPr>
      <w:r>
        <w:rPr>
          <w:rFonts w:ascii="Arial" w:hAnsi="Arial" w:cs="Arial"/>
          <w:bCs/>
          <w:iCs/>
          <w:sz w:val="20"/>
          <w:lang w:val="es-ES_tradnl"/>
        </w:rPr>
        <w:t xml:space="preserve">Normativamente, tanto Banco Supervielle como Cordial Compañía Financiera deben </w:t>
      </w:r>
      <w:r w:rsidRPr="00B550C7">
        <w:rPr>
          <w:rFonts w:ascii="Arial" w:hAnsi="Arial" w:cs="Arial"/>
          <w:bCs/>
          <w:iCs/>
          <w:sz w:val="20"/>
          <w:lang w:val="es-ES_tradnl"/>
        </w:rPr>
        <w:t xml:space="preserve">utilizar </w:t>
      </w:r>
      <w:r>
        <w:rPr>
          <w:rFonts w:ascii="Arial" w:hAnsi="Arial" w:cs="Arial"/>
          <w:bCs/>
          <w:iCs/>
          <w:sz w:val="20"/>
          <w:lang w:val="es-ES_tradnl"/>
        </w:rPr>
        <w:t>el Marco Estandarizado</w:t>
      </w:r>
      <w:r w:rsidRPr="00B550C7">
        <w:rPr>
          <w:rFonts w:ascii="Arial" w:hAnsi="Arial" w:cs="Arial"/>
          <w:bCs/>
          <w:iCs/>
          <w:sz w:val="20"/>
          <w:lang w:val="es-ES_tradnl"/>
        </w:rPr>
        <w:t xml:space="preserve"> d</w:t>
      </w:r>
      <w:r>
        <w:rPr>
          <w:rFonts w:ascii="Arial" w:hAnsi="Arial" w:cs="Arial"/>
          <w:bCs/>
          <w:iCs/>
          <w:sz w:val="20"/>
          <w:lang w:val="es-ES_tradnl"/>
        </w:rPr>
        <w:t xml:space="preserve">escripto en el punto 5.4. de la Comunicación “A” 6397 para la medición del impacto sobre el valor económico de las entidades </w:t>
      </w:r>
      <w:r w:rsidRPr="00B550C7">
        <w:rPr>
          <w:rFonts w:ascii="Arial" w:hAnsi="Arial" w:cs="Arial"/>
          <w:bCs/>
          <w:iCs/>
          <w:sz w:val="20"/>
          <w:lang w:val="es-ES_tradnl"/>
        </w:rPr>
        <w:t>(∆EVE)</w:t>
      </w:r>
      <w:r>
        <w:rPr>
          <w:rFonts w:ascii="Arial" w:hAnsi="Arial" w:cs="Arial"/>
          <w:bCs/>
          <w:iCs/>
          <w:sz w:val="20"/>
          <w:lang w:val="es-ES_tradnl"/>
        </w:rPr>
        <w:t xml:space="preserve"> de seis escenarios de perturbación planteados. Estos escenarios incluyen movimientos paralelos en las curvas de tasas de mercado hacia arriba o hacia abajo, aplanamiento o empinamiento de la pendiente de dichas curvas, así como </w:t>
      </w:r>
      <w:r w:rsidRPr="007B5543">
        <w:rPr>
          <w:rFonts w:ascii="Arial" w:hAnsi="Arial" w:cs="Arial"/>
          <w:bCs/>
          <w:iCs/>
          <w:sz w:val="20"/>
          <w:lang w:val="es-ES_tradnl"/>
        </w:rPr>
        <w:t xml:space="preserve">aumento </w:t>
      </w:r>
      <w:r>
        <w:rPr>
          <w:rFonts w:ascii="Arial" w:hAnsi="Arial" w:cs="Arial"/>
          <w:bCs/>
          <w:iCs/>
          <w:sz w:val="20"/>
          <w:lang w:val="es-ES_tradnl"/>
        </w:rPr>
        <w:t xml:space="preserve">o disminución </w:t>
      </w:r>
      <w:r w:rsidRPr="007B5543">
        <w:rPr>
          <w:rFonts w:ascii="Arial" w:hAnsi="Arial" w:cs="Arial"/>
          <w:bCs/>
          <w:iCs/>
          <w:sz w:val="20"/>
          <w:lang w:val="es-ES_tradnl"/>
        </w:rPr>
        <w:t>de las tasas de corto plazo</w:t>
      </w:r>
      <w:r>
        <w:rPr>
          <w:rFonts w:ascii="Arial" w:hAnsi="Arial" w:cs="Arial"/>
          <w:bCs/>
          <w:iCs/>
          <w:sz w:val="20"/>
          <w:lang w:val="es-ES_tradnl"/>
        </w:rPr>
        <w:t>. Se considera una curva base de tasas de mercado por cada una de las monedas significativas en el balance contable de cada entidad.  Perteneciendo al Grupo “A” de entidades financieras</w:t>
      </w:r>
      <w:r w:rsidRPr="007B5543">
        <w:rPr>
          <w:rFonts w:ascii="Arial" w:hAnsi="Arial" w:cs="Arial"/>
          <w:bCs/>
          <w:iCs/>
          <w:sz w:val="20"/>
          <w:lang w:val="es-ES_tradnl"/>
        </w:rPr>
        <w:t>, de conformidad con la clasificaci</w:t>
      </w:r>
      <w:r>
        <w:rPr>
          <w:rFonts w:ascii="Arial" w:hAnsi="Arial" w:cs="Arial"/>
          <w:bCs/>
          <w:iCs/>
          <w:sz w:val="20"/>
          <w:lang w:val="es-ES_tradnl"/>
        </w:rPr>
        <w:t xml:space="preserve">ón prevista en el punto 4.1. de </w:t>
      </w:r>
      <w:r w:rsidRPr="007B5543">
        <w:rPr>
          <w:rFonts w:ascii="Arial" w:hAnsi="Arial" w:cs="Arial"/>
          <w:bCs/>
          <w:iCs/>
          <w:sz w:val="20"/>
          <w:lang w:val="es-ES_tradnl"/>
        </w:rPr>
        <w:t>las normas sobre “Autoridades de entidades financieras”,</w:t>
      </w:r>
      <w:r>
        <w:rPr>
          <w:rFonts w:ascii="Arial" w:hAnsi="Arial" w:cs="Arial"/>
          <w:bCs/>
          <w:iCs/>
          <w:sz w:val="20"/>
          <w:lang w:val="es-ES_tradnl"/>
        </w:rPr>
        <w:t xml:space="preserve"> Banco Supervielle a nivel individual y consolidado debe utilizar un sistema de medición interno (SIM) para </w:t>
      </w:r>
      <w:r w:rsidRPr="00B128EA">
        <w:rPr>
          <w:rFonts w:ascii="Arial" w:hAnsi="Arial" w:cs="Arial"/>
          <w:bCs/>
          <w:iCs/>
          <w:sz w:val="20"/>
          <w:lang w:val="es-ES_tradnl"/>
        </w:rPr>
        <w:t>la medición basada en los resultados</w:t>
      </w:r>
      <w:r>
        <w:rPr>
          <w:rFonts w:ascii="Arial" w:hAnsi="Arial" w:cs="Arial"/>
          <w:bCs/>
          <w:iCs/>
          <w:sz w:val="20"/>
          <w:lang w:val="es-ES_tradnl"/>
        </w:rPr>
        <w:t xml:space="preserve"> </w:t>
      </w:r>
      <w:r w:rsidRPr="00B550C7">
        <w:rPr>
          <w:rFonts w:ascii="Arial" w:hAnsi="Arial" w:cs="Arial"/>
          <w:bCs/>
          <w:iCs/>
          <w:sz w:val="20"/>
          <w:lang w:val="es-ES_tradnl"/>
        </w:rPr>
        <w:t>(∆</w:t>
      </w:r>
      <w:r>
        <w:rPr>
          <w:rFonts w:ascii="Arial" w:hAnsi="Arial" w:cs="Arial"/>
          <w:bCs/>
          <w:iCs/>
          <w:sz w:val="20"/>
          <w:lang w:val="es-ES_tradnl"/>
        </w:rPr>
        <w:t>NIM</w:t>
      </w:r>
      <w:r w:rsidRPr="00B550C7">
        <w:rPr>
          <w:rFonts w:ascii="Arial" w:hAnsi="Arial" w:cs="Arial"/>
          <w:bCs/>
          <w:iCs/>
          <w:sz w:val="20"/>
          <w:lang w:val="es-ES_tradnl"/>
        </w:rPr>
        <w:t>)</w:t>
      </w:r>
      <w:r>
        <w:rPr>
          <w:rFonts w:ascii="Arial" w:hAnsi="Arial" w:cs="Arial"/>
          <w:bCs/>
          <w:iCs/>
          <w:sz w:val="20"/>
          <w:lang w:val="es-ES_tradnl"/>
        </w:rPr>
        <w:t xml:space="preserve">. Este requerimiento no es aplicable a Cordial Compañía Financiera, al tratarse de una entidad calificada dentro del Grupo “B”. Es importante destacar que Banco Supervielle, al no ser calificado momentáneamente por el Banco Central de la República Argentina como </w:t>
      </w:r>
      <w:r w:rsidRPr="00A230D5">
        <w:rPr>
          <w:rFonts w:ascii="Arial" w:hAnsi="Arial" w:cs="Arial"/>
          <w:bCs/>
          <w:iCs/>
          <w:sz w:val="20"/>
          <w:lang w:val="es-ES_tradnl"/>
        </w:rPr>
        <w:t>de importancia sistémica local (D-SIB)</w:t>
      </w:r>
      <w:r>
        <w:rPr>
          <w:rFonts w:ascii="Arial" w:hAnsi="Arial" w:cs="Arial"/>
          <w:bCs/>
          <w:iCs/>
          <w:sz w:val="20"/>
          <w:lang w:val="es-ES_tradnl"/>
        </w:rPr>
        <w:t xml:space="preserve">, no se encuentra obligado normativamente a contar con un sistema de medición interno (SIM) propio para la medición basada en el valor económico </w:t>
      </w:r>
      <w:r w:rsidRPr="00B550C7">
        <w:rPr>
          <w:rFonts w:ascii="Arial" w:hAnsi="Arial" w:cs="Arial"/>
          <w:bCs/>
          <w:iCs/>
          <w:sz w:val="20"/>
          <w:lang w:val="es-ES_tradnl"/>
        </w:rPr>
        <w:t>(∆EVE)</w:t>
      </w:r>
      <w:r>
        <w:rPr>
          <w:rFonts w:ascii="Arial" w:hAnsi="Arial" w:cs="Arial"/>
          <w:bCs/>
          <w:iCs/>
          <w:sz w:val="20"/>
          <w:lang w:val="es-ES_tradnl"/>
        </w:rPr>
        <w:t xml:space="preserve">. </w:t>
      </w:r>
    </w:p>
    <w:p w14:paraId="47FD104D" w14:textId="77777777" w:rsidR="00EE7D6B" w:rsidRDefault="00EE7D6B" w:rsidP="00EE7D6B">
      <w:pPr>
        <w:spacing w:before="240"/>
        <w:jc w:val="both"/>
        <w:rPr>
          <w:rFonts w:ascii="Arial" w:hAnsi="Arial" w:cs="Arial"/>
          <w:bCs/>
          <w:iCs/>
          <w:sz w:val="20"/>
          <w:lang w:val="es-ES_tradnl"/>
        </w:rPr>
      </w:pPr>
      <w:r>
        <w:rPr>
          <w:rFonts w:ascii="Arial" w:hAnsi="Arial" w:cs="Arial"/>
          <w:bCs/>
          <w:iCs/>
          <w:sz w:val="20"/>
          <w:lang w:val="es-ES_tradnl"/>
        </w:rPr>
        <w:t xml:space="preserve">Más allá de las disposiciones normativas, es importante notar que tanto Banco Supervielle como Cordial Compañía Financiera han venido trabajando con sistemas de medición internos (SIM) para la medición del impacto de fluctuaciones de tasas, tanto sobre el valor económico </w:t>
      </w:r>
      <w:r w:rsidRPr="00B550C7">
        <w:rPr>
          <w:rFonts w:ascii="Arial" w:hAnsi="Arial" w:cs="Arial"/>
          <w:bCs/>
          <w:iCs/>
          <w:sz w:val="20"/>
          <w:lang w:val="es-ES_tradnl"/>
        </w:rPr>
        <w:t>(∆EVE)</w:t>
      </w:r>
      <w:r>
        <w:rPr>
          <w:rFonts w:ascii="Arial" w:hAnsi="Arial" w:cs="Arial"/>
          <w:bCs/>
          <w:iCs/>
          <w:sz w:val="20"/>
          <w:lang w:val="es-ES_tradnl"/>
        </w:rPr>
        <w:t xml:space="preserve"> como sobre resultados </w:t>
      </w:r>
      <w:r w:rsidRPr="00B550C7">
        <w:rPr>
          <w:rFonts w:ascii="Arial" w:hAnsi="Arial" w:cs="Arial"/>
          <w:bCs/>
          <w:iCs/>
          <w:sz w:val="20"/>
          <w:lang w:val="es-ES_tradnl"/>
        </w:rPr>
        <w:t>(∆</w:t>
      </w:r>
      <w:r>
        <w:rPr>
          <w:rFonts w:ascii="Arial" w:hAnsi="Arial" w:cs="Arial"/>
          <w:bCs/>
          <w:iCs/>
          <w:sz w:val="20"/>
          <w:lang w:val="es-ES_tradnl"/>
        </w:rPr>
        <w:t>NIM</w:t>
      </w:r>
      <w:r w:rsidRPr="00B550C7">
        <w:rPr>
          <w:rFonts w:ascii="Arial" w:hAnsi="Arial" w:cs="Arial"/>
          <w:bCs/>
          <w:iCs/>
          <w:sz w:val="20"/>
          <w:lang w:val="es-ES_tradnl"/>
        </w:rPr>
        <w:t>)</w:t>
      </w:r>
      <w:r>
        <w:rPr>
          <w:rFonts w:ascii="Arial" w:hAnsi="Arial" w:cs="Arial"/>
          <w:bCs/>
          <w:iCs/>
          <w:sz w:val="20"/>
          <w:lang w:val="es-ES_tradnl"/>
        </w:rPr>
        <w:t>. El desarrollo de estos sistemas incluyó el establecimiento de supuestos para la determinación del flujo de vencimiento de distintas líneas del activo y del pasivo sin vencimiento definido o con opciones implícitas o explícitas de comportamiento.</w:t>
      </w:r>
    </w:p>
    <w:p w14:paraId="52673B61" w14:textId="77777777" w:rsidR="00EE7D6B" w:rsidRPr="004724A9" w:rsidRDefault="00EE7D6B" w:rsidP="00EE7D6B">
      <w:pPr>
        <w:spacing w:before="240"/>
        <w:jc w:val="both"/>
        <w:rPr>
          <w:rFonts w:ascii="Arial" w:hAnsi="Arial" w:cs="Arial"/>
          <w:bCs/>
          <w:iCs/>
          <w:sz w:val="20"/>
          <w:lang w:val="es-ES_tradnl"/>
        </w:rPr>
      </w:pPr>
      <w:r>
        <w:rPr>
          <w:rFonts w:ascii="Arial" w:hAnsi="Arial" w:cs="Arial"/>
          <w:bCs/>
          <w:iCs/>
          <w:sz w:val="20"/>
          <w:lang w:val="es-ES_tradnl"/>
        </w:rPr>
        <w:t xml:space="preserve">Es importante destacar que, a diferencia de lo establecido en el Marco Estandarizado provisto por el regulador para la medición del impacto de fluctuaciones en las tasas de mercado sobre el valor económico, los sistemas de medición internos empleados por la Entidad consideran a los activos y pasivos con ajuste UVA como susceptibles al riesgo de tasa de interés, por lo que la variable UVA se incorpora como un factor de riesgo adicional, al igual que las tasas activas y de fondeo en pesos y dólares. </w:t>
      </w:r>
    </w:p>
    <w:p w14:paraId="5D5DD72C" w14:textId="77777777" w:rsidR="00EE7D6B" w:rsidRPr="00701F32" w:rsidRDefault="00EE7D6B" w:rsidP="00EE7D6B">
      <w:pPr>
        <w:spacing w:before="240"/>
        <w:jc w:val="both"/>
        <w:rPr>
          <w:rFonts w:ascii="Arial" w:eastAsia="Arial" w:hAnsi="Arial" w:cs="Arial"/>
          <w:i/>
          <w:iCs/>
          <w:sz w:val="20"/>
          <w:u w:val="single"/>
          <w:shd w:val="clear" w:color="auto" w:fill="FFFF00"/>
          <w:lang w:val="es-ES_tradnl"/>
        </w:rPr>
      </w:pPr>
      <w:r w:rsidRPr="00701F32">
        <w:rPr>
          <w:rFonts w:ascii="Arial" w:hAnsi="Arial" w:cs="Arial"/>
          <w:b/>
          <w:bCs/>
          <w:i/>
          <w:iCs/>
          <w:sz w:val="20"/>
          <w:lang w:val="es-ES_tradnl"/>
        </w:rPr>
        <w:t>Cálculo de capital económico</w:t>
      </w:r>
    </w:p>
    <w:p w14:paraId="74149224" w14:textId="77777777" w:rsidR="00EE7D6B" w:rsidRPr="00701F32" w:rsidRDefault="00EE7D6B" w:rsidP="00EE7D6B">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54376324" w14:textId="77777777" w:rsidR="00EE7D6B" w:rsidRDefault="00EE7D6B" w:rsidP="00EE7D6B">
      <w:pPr>
        <w:pBdr>
          <w:top w:val="nil"/>
          <w:left w:val="nil"/>
          <w:bottom w:val="nil"/>
          <w:right w:val="nil"/>
          <w:between w:val="nil"/>
          <w:bar w:val="nil"/>
        </w:pBdr>
        <w:tabs>
          <w:tab w:val="left" w:pos="142"/>
          <w:tab w:val="left" w:pos="993"/>
        </w:tabs>
        <w:jc w:val="both"/>
        <w:rPr>
          <w:rFonts w:ascii="Arial" w:eastAsia="Arial Unicode MS" w:hAnsi="Arial" w:cs="Arial"/>
          <w:sz w:val="20"/>
          <w:u w:color="000000"/>
          <w:bdr w:val="nil"/>
          <w:lang w:val="es-ES_tradnl" w:eastAsia="es-AR"/>
        </w:rPr>
      </w:pPr>
      <w:r>
        <w:rPr>
          <w:rFonts w:ascii="Arial" w:eastAsia="Arial Unicode MS" w:hAnsi="Arial" w:cs="Arial"/>
          <w:sz w:val="20"/>
          <w:u w:color="000000"/>
          <w:bdr w:val="nil"/>
          <w:lang w:val="es-ES_tradnl" w:eastAsia="es-AR"/>
        </w:rPr>
        <w:t>Como primer paso para el cálculo de capital económico, Banco Supervielle</w:t>
      </w:r>
      <w:r w:rsidRPr="00701F32">
        <w:rPr>
          <w:rFonts w:ascii="Arial" w:eastAsia="Arial Unicode MS" w:hAnsi="Arial" w:cs="Arial"/>
          <w:sz w:val="20"/>
          <w:u w:color="000000"/>
          <w:bdr w:val="nil"/>
          <w:lang w:val="es-ES_tradnl" w:eastAsia="es-AR"/>
        </w:rPr>
        <w:t xml:space="preserve"> calcula </w:t>
      </w:r>
      <w:r>
        <w:rPr>
          <w:rFonts w:ascii="Arial" w:eastAsia="Arial Unicode MS" w:hAnsi="Arial" w:cs="Arial"/>
          <w:sz w:val="20"/>
          <w:u w:color="000000"/>
          <w:bdr w:val="nil"/>
          <w:lang w:val="es-ES_tradnl" w:eastAsia="es-AR"/>
        </w:rPr>
        <w:t>su exposición al</w:t>
      </w:r>
      <w:r w:rsidRPr="00701F32">
        <w:rPr>
          <w:rFonts w:ascii="Arial" w:eastAsia="Arial Unicode MS" w:hAnsi="Arial" w:cs="Arial"/>
          <w:sz w:val="20"/>
          <w:u w:color="000000"/>
          <w:bdr w:val="nil"/>
          <w:lang w:val="es-ES_tradnl" w:eastAsia="es-AR"/>
        </w:rPr>
        <w:t xml:space="preserve"> riesgo de tasa de interés a partir del enfoque MVE-EaR</w:t>
      </w:r>
      <w:r>
        <w:rPr>
          <w:rFonts w:ascii="Arial" w:eastAsia="Arial Unicode MS" w:hAnsi="Arial" w:cs="Arial"/>
          <w:sz w:val="20"/>
          <w:u w:color="000000"/>
          <w:bdr w:val="nil"/>
          <w:lang w:val="es-ES_tradnl" w:eastAsia="es-AR"/>
        </w:rPr>
        <w:t xml:space="preserve"> (valor económico) de su sistema de medición interno (SIM)</w:t>
      </w:r>
      <w:r w:rsidRPr="00701F32">
        <w:rPr>
          <w:rFonts w:ascii="Arial" w:eastAsia="Arial Unicode MS" w:hAnsi="Arial" w:cs="Arial"/>
          <w:sz w:val="20"/>
          <w:u w:color="000000"/>
          <w:bdr w:val="nil"/>
          <w:lang w:val="es-ES_tradnl" w:eastAsia="es-AR"/>
        </w:rPr>
        <w:t xml:space="preserve">, utilizando para ello un holding period de tres meses </w:t>
      </w:r>
      <w:r>
        <w:rPr>
          <w:rFonts w:ascii="Arial" w:eastAsia="Arial Unicode MS" w:hAnsi="Arial" w:cs="Arial"/>
          <w:sz w:val="20"/>
          <w:u w:color="000000"/>
          <w:bdr w:val="nil"/>
          <w:lang w:val="es-ES_tradnl" w:eastAsia="es-AR"/>
        </w:rPr>
        <w:t xml:space="preserve">(90 días) </w:t>
      </w:r>
      <w:r w:rsidRPr="00701F32">
        <w:rPr>
          <w:rFonts w:ascii="Arial" w:eastAsia="Arial Unicode MS" w:hAnsi="Arial" w:cs="Arial"/>
          <w:sz w:val="20"/>
          <w:u w:color="000000"/>
          <w:bdr w:val="nil"/>
          <w:lang w:val="es-ES_tradnl" w:eastAsia="es-AR"/>
        </w:rPr>
        <w:t>y un nivel de confianza del 99%. Este modelo cuantitativo incluye la exacerbación del capital por riesgo de titulización.</w:t>
      </w:r>
      <w:r>
        <w:rPr>
          <w:rFonts w:ascii="Arial" w:eastAsia="Arial Unicode MS" w:hAnsi="Arial" w:cs="Arial"/>
          <w:sz w:val="20"/>
          <w:u w:color="000000"/>
          <w:bdr w:val="nil"/>
          <w:lang w:val="es-ES_tradnl" w:eastAsia="es-AR"/>
        </w:rPr>
        <w:t xml:space="preserve"> El resultado obtenido se compara con el peor resultado de las alteraciones planteadas en los seis escenarios propuestos por el Marco Estandarizado, siendo el capital económico resultante el peor de ambas mediciones (SIM y Marco Estandarizado).</w:t>
      </w:r>
    </w:p>
    <w:p w14:paraId="6BE343DA" w14:textId="77777777" w:rsidR="00EE7D6B" w:rsidRDefault="00EE7D6B" w:rsidP="00EE7D6B">
      <w:pPr>
        <w:pBdr>
          <w:top w:val="nil"/>
          <w:left w:val="nil"/>
          <w:bottom w:val="nil"/>
          <w:right w:val="nil"/>
          <w:between w:val="nil"/>
          <w:bar w:val="nil"/>
        </w:pBdr>
        <w:tabs>
          <w:tab w:val="left" w:pos="142"/>
          <w:tab w:val="left" w:pos="993"/>
        </w:tabs>
        <w:jc w:val="both"/>
        <w:rPr>
          <w:rFonts w:ascii="Arial" w:eastAsia="Arial Unicode MS" w:hAnsi="Arial" w:cs="Arial"/>
          <w:sz w:val="20"/>
          <w:u w:color="000000"/>
          <w:bdr w:val="nil"/>
          <w:lang w:val="es-ES_tradnl" w:eastAsia="es-AR"/>
        </w:rPr>
      </w:pPr>
    </w:p>
    <w:p w14:paraId="08AEF1FE" w14:textId="77777777" w:rsidR="00EE7D6B" w:rsidRDefault="00EE7D6B" w:rsidP="00EE7D6B">
      <w:pPr>
        <w:pBdr>
          <w:top w:val="nil"/>
          <w:left w:val="nil"/>
          <w:bottom w:val="nil"/>
          <w:right w:val="nil"/>
          <w:between w:val="nil"/>
          <w:bar w:val="nil"/>
        </w:pBdr>
        <w:tabs>
          <w:tab w:val="left" w:pos="142"/>
          <w:tab w:val="left" w:pos="993"/>
        </w:tabs>
        <w:jc w:val="both"/>
        <w:rPr>
          <w:rFonts w:ascii="Arial" w:hAnsi="Arial" w:cs="Arial"/>
          <w:bCs/>
          <w:sz w:val="20"/>
          <w:lang w:eastAsia="es-AR"/>
        </w:rPr>
      </w:pPr>
      <w:r>
        <w:rPr>
          <w:rFonts w:ascii="Arial" w:eastAsia="Arial Unicode MS" w:hAnsi="Arial" w:cs="Arial"/>
          <w:sz w:val="20"/>
          <w:u w:color="000000"/>
          <w:bdr w:val="nil"/>
          <w:lang w:val="es-ES_tradnl" w:eastAsia="es-AR"/>
        </w:rPr>
        <w:t xml:space="preserve">En el caso de Cordial Compañía Financiera, tal como se mencionó anteriormente, el Directorio de la Entidad </w:t>
      </w:r>
      <w:r>
        <w:rPr>
          <w:rFonts w:ascii="Arial" w:hAnsi="Arial" w:cs="Arial"/>
          <w:bCs/>
          <w:sz w:val="20"/>
          <w:lang w:eastAsia="es-AR"/>
        </w:rPr>
        <w:t xml:space="preserve">ha optado por cuantificar sus necesidades de capital económico aplicando una metodología simplificada. En lo que respecta al riesgo de tasa de interés, la Entidad realiza la medición del impacto de fluctuaciones en las tasas de mercado sobre el valor económico a partir de la aplicación del Marco Estandarizado. En caso que el peor </w:t>
      </w:r>
      <w:r w:rsidRPr="00523A3C">
        <w:rPr>
          <w:rFonts w:ascii="Symbol" w:hAnsi="Symbol" w:cs="Arial"/>
          <w:bCs/>
          <w:sz w:val="20"/>
          <w:lang w:eastAsia="es-AR"/>
        </w:rPr>
        <w:t></w:t>
      </w:r>
      <w:r>
        <w:rPr>
          <w:rFonts w:ascii="Arial" w:hAnsi="Arial" w:cs="Arial"/>
          <w:bCs/>
          <w:sz w:val="20"/>
          <w:lang w:eastAsia="es-AR"/>
        </w:rPr>
        <w:t>EVE de los seis escenarios propuestos por la normativa supere el 15% del patrimonio neto básico (capital de nivel uno) de la Entidad, la suma de los capitales económicos calculados de acuerdo a la metodología simplificada se vería incrementada por dicho exceso.</w:t>
      </w:r>
    </w:p>
    <w:p w14:paraId="3A86510D" w14:textId="77777777" w:rsidR="00EE7D6B" w:rsidRDefault="00EE7D6B" w:rsidP="00EE7D6B">
      <w:pPr>
        <w:pBdr>
          <w:top w:val="nil"/>
          <w:left w:val="nil"/>
          <w:bottom w:val="nil"/>
          <w:right w:val="nil"/>
          <w:between w:val="nil"/>
          <w:bar w:val="nil"/>
        </w:pBdr>
        <w:tabs>
          <w:tab w:val="left" w:pos="142"/>
          <w:tab w:val="left" w:pos="993"/>
        </w:tabs>
        <w:jc w:val="both"/>
        <w:rPr>
          <w:rFonts w:ascii="Arial" w:hAnsi="Arial" w:cs="Arial"/>
          <w:bCs/>
          <w:sz w:val="20"/>
          <w:lang w:eastAsia="es-AR"/>
        </w:rPr>
      </w:pPr>
    </w:p>
    <w:p w14:paraId="3876B42F" w14:textId="04FCD8ED" w:rsidR="00EB6617" w:rsidRDefault="00EE7D6B" w:rsidP="00EE7D6B">
      <w:pPr>
        <w:pBdr>
          <w:top w:val="nil"/>
          <w:left w:val="nil"/>
          <w:bottom w:val="nil"/>
          <w:right w:val="nil"/>
          <w:between w:val="nil"/>
          <w:bar w:val="nil"/>
        </w:pBdr>
        <w:tabs>
          <w:tab w:val="left" w:pos="142"/>
          <w:tab w:val="left" w:pos="993"/>
        </w:tabs>
        <w:jc w:val="both"/>
        <w:rPr>
          <w:rFonts w:ascii="Arial" w:hAnsi="Arial" w:cs="Arial"/>
          <w:bCs/>
          <w:sz w:val="20"/>
          <w:lang w:eastAsia="es-AR"/>
        </w:rPr>
      </w:pPr>
      <w:r w:rsidRPr="00613EB0">
        <w:rPr>
          <w:rFonts w:ascii="Arial" w:hAnsi="Arial" w:cs="Arial"/>
          <w:bCs/>
          <w:sz w:val="20"/>
          <w:lang w:eastAsia="es-AR"/>
        </w:rPr>
        <w:t>En el cuadro detallado a continuación se detalla la exposición al riesgo de tasa de interés.  En el mismo se presentan los valores residuales de los activos y pasivos, categorizados por fecha de renegociación de intereses o fecha de vencimiento, el menor.</w:t>
      </w:r>
    </w:p>
    <w:p w14:paraId="661EC0EC" w14:textId="44DC043C" w:rsidR="00EE7D6B" w:rsidRDefault="00EE7D6B" w:rsidP="00EE7D6B">
      <w:pPr>
        <w:pBdr>
          <w:top w:val="nil"/>
          <w:left w:val="nil"/>
          <w:bottom w:val="nil"/>
          <w:right w:val="nil"/>
          <w:between w:val="nil"/>
          <w:bar w:val="nil"/>
        </w:pBdr>
        <w:tabs>
          <w:tab w:val="left" w:pos="142"/>
          <w:tab w:val="left" w:pos="993"/>
        </w:tabs>
        <w:jc w:val="both"/>
        <w:rPr>
          <w:rFonts w:ascii="Arial" w:hAnsi="Arial" w:cs="Arial"/>
          <w:bCs/>
          <w:sz w:val="20"/>
          <w:lang w:eastAsia="es-AR"/>
        </w:rPr>
      </w:pPr>
    </w:p>
    <w:tbl>
      <w:tblPr>
        <w:tblW w:w="5000" w:type="pct"/>
        <w:tblCellMar>
          <w:left w:w="70" w:type="dxa"/>
          <w:right w:w="70" w:type="dxa"/>
        </w:tblCellMar>
        <w:tblLook w:val="04A0" w:firstRow="1" w:lastRow="0" w:firstColumn="1" w:lastColumn="0" w:noHBand="0" w:noVBand="1"/>
      </w:tblPr>
      <w:tblGrid>
        <w:gridCol w:w="2143"/>
        <w:gridCol w:w="1124"/>
        <w:gridCol w:w="1013"/>
        <w:gridCol w:w="1056"/>
        <w:gridCol w:w="1162"/>
        <w:gridCol w:w="1072"/>
        <w:gridCol w:w="1075"/>
      </w:tblGrid>
      <w:tr w:rsidR="00600524" w:rsidRPr="004C0B8D" w14:paraId="05E20043" w14:textId="77777777" w:rsidTr="0065770E">
        <w:trPr>
          <w:trHeight w:val="309"/>
        </w:trPr>
        <w:tc>
          <w:tcPr>
            <w:tcW w:w="1239"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84CA7B6" w14:textId="0C5D2A20" w:rsidR="00600524" w:rsidRPr="00E446C3" w:rsidRDefault="00600524"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Activos y pasivos al 31/12/2</w:t>
            </w:r>
            <w:r>
              <w:rPr>
                <w:rFonts w:ascii="Arial" w:hAnsi="Arial" w:cs="Arial"/>
                <w:b/>
                <w:bCs/>
                <w:color w:val="000000"/>
                <w:sz w:val="16"/>
                <w:szCs w:val="16"/>
                <w:lang w:eastAsia="es-AR"/>
              </w:rPr>
              <w:t>019</w:t>
            </w:r>
          </w:p>
        </w:tc>
        <w:tc>
          <w:tcPr>
            <w:tcW w:w="3139" w:type="pct"/>
            <w:gridSpan w:val="5"/>
            <w:tcBorders>
              <w:top w:val="single" w:sz="4" w:space="0" w:color="auto"/>
              <w:left w:val="nil"/>
              <w:bottom w:val="single" w:sz="4" w:space="0" w:color="auto"/>
              <w:right w:val="single" w:sz="4" w:space="0" w:color="auto"/>
            </w:tcBorders>
            <w:shd w:val="clear" w:color="auto" w:fill="auto"/>
            <w:noWrap/>
            <w:vAlign w:val="bottom"/>
            <w:hideMark/>
          </w:tcPr>
          <w:p w14:paraId="6FCAC58F" w14:textId="77777777" w:rsidR="00600524" w:rsidRPr="00E446C3" w:rsidRDefault="00600524"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Plazo en días</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14:paraId="5109F3FD" w14:textId="77777777" w:rsidR="00600524" w:rsidRPr="00E446C3" w:rsidRDefault="00600524" w:rsidP="007D7797">
            <w:pPr>
              <w:jc w:val="center"/>
              <w:rPr>
                <w:rFonts w:ascii="Arial" w:hAnsi="Arial" w:cs="Arial"/>
                <w:color w:val="000000"/>
                <w:sz w:val="16"/>
                <w:szCs w:val="16"/>
                <w:lang w:eastAsia="es-AR"/>
              </w:rPr>
            </w:pPr>
            <w:r w:rsidRPr="00E446C3">
              <w:rPr>
                <w:rFonts w:ascii="Arial" w:hAnsi="Arial" w:cs="Arial"/>
                <w:color w:val="000000"/>
                <w:sz w:val="16"/>
                <w:szCs w:val="16"/>
                <w:lang w:eastAsia="es-AR"/>
              </w:rPr>
              <w:t> </w:t>
            </w:r>
          </w:p>
        </w:tc>
      </w:tr>
      <w:tr w:rsidR="00600524" w:rsidRPr="004C0B8D" w14:paraId="60C4AF42" w14:textId="77777777" w:rsidTr="0065770E">
        <w:trPr>
          <w:trHeight w:val="309"/>
        </w:trPr>
        <w:tc>
          <w:tcPr>
            <w:tcW w:w="1239" w:type="pct"/>
            <w:vMerge/>
            <w:tcBorders>
              <w:top w:val="single" w:sz="4" w:space="0" w:color="auto"/>
              <w:left w:val="single" w:sz="4" w:space="0" w:color="auto"/>
              <w:bottom w:val="single" w:sz="4" w:space="0" w:color="auto"/>
              <w:right w:val="single" w:sz="4" w:space="0" w:color="auto"/>
            </w:tcBorders>
            <w:vAlign w:val="center"/>
            <w:hideMark/>
          </w:tcPr>
          <w:p w14:paraId="4A30CB87" w14:textId="77777777" w:rsidR="00600524" w:rsidRPr="00E446C3" w:rsidRDefault="00600524" w:rsidP="007D7797">
            <w:pPr>
              <w:rPr>
                <w:rFonts w:ascii="Arial" w:hAnsi="Arial" w:cs="Arial"/>
                <w:b/>
                <w:bCs/>
                <w:color w:val="000000"/>
                <w:sz w:val="16"/>
                <w:szCs w:val="16"/>
                <w:lang w:eastAsia="es-AR"/>
              </w:rPr>
            </w:pPr>
          </w:p>
        </w:tc>
        <w:tc>
          <w:tcPr>
            <w:tcW w:w="650" w:type="pct"/>
            <w:tcBorders>
              <w:top w:val="nil"/>
              <w:left w:val="nil"/>
              <w:bottom w:val="single" w:sz="4" w:space="0" w:color="auto"/>
              <w:right w:val="single" w:sz="4" w:space="0" w:color="auto"/>
            </w:tcBorders>
            <w:shd w:val="clear" w:color="auto" w:fill="auto"/>
            <w:noWrap/>
            <w:vAlign w:val="bottom"/>
            <w:hideMark/>
          </w:tcPr>
          <w:p w14:paraId="4CFCD4EE" w14:textId="77777777" w:rsidR="00600524" w:rsidRPr="00E446C3" w:rsidRDefault="00600524"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hasta 30</w:t>
            </w:r>
          </w:p>
        </w:tc>
        <w:tc>
          <w:tcPr>
            <w:tcW w:w="586" w:type="pct"/>
            <w:tcBorders>
              <w:top w:val="nil"/>
              <w:left w:val="nil"/>
              <w:bottom w:val="single" w:sz="4" w:space="0" w:color="auto"/>
              <w:right w:val="single" w:sz="4" w:space="0" w:color="auto"/>
            </w:tcBorders>
            <w:shd w:val="clear" w:color="auto" w:fill="auto"/>
            <w:noWrap/>
            <w:vAlign w:val="bottom"/>
            <w:hideMark/>
          </w:tcPr>
          <w:p w14:paraId="1A8194F7" w14:textId="77777777" w:rsidR="00600524" w:rsidRPr="00E446C3" w:rsidRDefault="00600524"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30 a 90</w:t>
            </w:r>
          </w:p>
        </w:tc>
        <w:tc>
          <w:tcPr>
            <w:tcW w:w="611" w:type="pct"/>
            <w:tcBorders>
              <w:top w:val="nil"/>
              <w:left w:val="nil"/>
              <w:bottom w:val="single" w:sz="4" w:space="0" w:color="auto"/>
              <w:right w:val="single" w:sz="4" w:space="0" w:color="auto"/>
            </w:tcBorders>
            <w:shd w:val="clear" w:color="auto" w:fill="auto"/>
            <w:noWrap/>
            <w:vAlign w:val="bottom"/>
            <w:hideMark/>
          </w:tcPr>
          <w:p w14:paraId="783C8DC9" w14:textId="77777777" w:rsidR="00600524" w:rsidRPr="00E446C3" w:rsidRDefault="00600524"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90 a 180</w:t>
            </w:r>
          </w:p>
        </w:tc>
        <w:tc>
          <w:tcPr>
            <w:tcW w:w="672" w:type="pct"/>
            <w:tcBorders>
              <w:top w:val="nil"/>
              <w:left w:val="nil"/>
              <w:bottom w:val="single" w:sz="4" w:space="0" w:color="auto"/>
              <w:right w:val="single" w:sz="4" w:space="0" w:color="auto"/>
            </w:tcBorders>
            <w:shd w:val="clear" w:color="auto" w:fill="auto"/>
            <w:noWrap/>
            <w:vAlign w:val="bottom"/>
            <w:hideMark/>
          </w:tcPr>
          <w:p w14:paraId="461851DA" w14:textId="77777777" w:rsidR="00600524" w:rsidRPr="00E446C3" w:rsidRDefault="00600524"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180 a 365</w:t>
            </w:r>
          </w:p>
        </w:tc>
        <w:tc>
          <w:tcPr>
            <w:tcW w:w="619" w:type="pct"/>
            <w:tcBorders>
              <w:top w:val="nil"/>
              <w:left w:val="nil"/>
              <w:bottom w:val="single" w:sz="4" w:space="0" w:color="auto"/>
              <w:right w:val="single" w:sz="4" w:space="0" w:color="auto"/>
            </w:tcBorders>
            <w:shd w:val="clear" w:color="auto" w:fill="auto"/>
            <w:noWrap/>
            <w:vAlign w:val="bottom"/>
            <w:hideMark/>
          </w:tcPr>
          <w:p w14:paraId="2E08FF86" w14:textId="77777777" w:rsidR="00600524" w:rsidRPr="00E446C3" w:rsidRDefault="00600524"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más de 365</w:t>
            </w:r>
          </w:p>
        </w:tc>
        <w:tc>
          <w:tcPr>
            <w:tcW w:w="622" w:type="pct"/>
            <w:tcBorders>
              <w:top w:val="nil"/>
              <w:left w:val="nil"/>
              <w:bottom w:val="single" w:sz="4" w:space="0" w:color="auto"/>
              <w:right w:val="single" w:sz="4" w:space="0" w:color="auto"/>
            </w:tcBorders>
            <w:shd w:val="clear" w:color="auto" w:fill="auto"/>
            <w:noWrap/>
            <w:vAlign w:val="bottom"/>
            <w:hideMark/>
          </w:tcPr>
          <w:p w14:paraId="2A3F7DAA" w14:textId="77777777" w:rsidR="00600524" w:rsidRPr="00E446C3" w:rsidRDefault="00600524"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Total</w:t>
            </w:r>
          </w:p>
        </w:tc>
      </w:tr>
      <w:tr w:rsidR="0065770E" w:rsidRPr="004C0B8D" w14:paraId="38E5F38A" w14:textId="77777777" w:rsidTr="0065770E">
        <w:trPr>
          <w:trHeight w:val="309"/>
        </w:trPr>
        <w:tc>
          <w:tcPr>
            <w:tcW w:w="1239" w:type="pct"/>
            <w:tcBorders>
              <w:top w:val="nil"/>
              <w:left w:val="single" w:sz="4" w:space="0" w:color="auto"/>
              <w:bottom w:val="single" w:sz="4" w:space="0" w:color="auto"/>
              <w:right w:val="single" w:sz="4" w:space="0" w:color="auto"/>
            </w:tcBorders>
            <w:shd w:val="clear" w:color="auto" w:fill="auto"/>
            <w:noWrap/>
            <w:vAlign w:val="bottom"/>
            <w:hideMark/>
          </w:tcPr>
          <w:p w14:paraId="74846245" w14:textId="77777777" w:rsidR="0065770E" w:rsidRPr="00E446C3" w:rsidRDefault="0065770E" w:rsidP="0065770E">
            <w:pPr>
              <w:rPr>
                <w:rFonts w:ascii="Arial" w:hAnsi="Arial" w:cs="Arial"/>
                <w:color w:val="000000"/>
                <w:sz w:val="16"/>
                <w:szCs w:val="16"/>
                <w:lang w:eastAsia="es-AR"/>
              </w:rPr>
            </w:pPr>
            <w:r w:rsidRPr="00E446C3">
              <w:rPr>
                <w:rFonts w:ascii="Arial" w:hAnsi="Arial" w:cs="Arial"/>
                <w:color w:val="000000"/>
                <w:sz w:val="16"/>
                <w:szCs w:val="16"/>
                <w:lang w:eastAsia="es-AR"/>
              </w:rPr>
              <w:t>Total Activos Financieros</w:t>
            </w:r>
          </w:p>
        </w:tc>
        <w:tc>
          <w:tcPr>
            <w:tcW w:w="650" w:type="pct"/>
            <w:tcBorders>
              <w:top w:val="nil"/>
              <w:left w:val="nil"/>
              <w:bottom w:val="single" w:sz="4" w:space="0" w:color="auto"/>
              <w:right w:val="single" w:sz="4" w:space="0" w:color="auto"/>
            </w:tcBorders>
            <w:shd w:val="clear" w:color="auto" w:fill="auto"/>
            <w:noWrap/>
            <w:vAlign w:val="bottom"/>
          </w:tcPr>
          <w:p w14:paraId="15BAF578" w14:textId="2C0DAA0B" w:rsidR="0065770E" w:rsidRPr="00E446C3" w:rsidRDefault="0065770E" w:rsidP="0065770E">
            <w:pPr>
              <w:jc w:val="right"/>
              <w:rPr>
                <w:rFonts w:ascii="Arial" w:hAnsi="Arial" w:cs="Arial"/>
                <w:color w:val="000000"/>
                <w:sz w:val="16"/>
                <w:szCs w:val="16"/>
                <w:lang w:eastAsia="es-AR"/>
              </w:rPr>
            </w:pPr>
            <w:r w:rsidRPr="0065770E">
              <w:rPr>
                <w:rFonts w:ascii="Arial" w:hAnsi="Arial" w:cs="Arial"/>
                <w:color w:val="000000"/>
                <w:sz w:val="16"/>
                <w:szCs w:val="16"/>
                <w:lang w:eastAsia="es-AR"/>
              </w:rPr>
              <w:t xml:space="preserve"> 42.175.254 </w:t>
            </w:r>
          </w:p>
        </w:tc>
        <w:tc>
          <w:tcPr>
            <w:tcW w:w="586" w:type="pct"/>
            <w:tcBorders>
              <w:top w:val="nil"/>
              <w:left w:val="nil"/>
              <w:bottom w:val="single" w:sz="4" w:space="0" w:color="auto"/>
              <w:right w:val="single" w:sz="4" w:space="0" w:color="auto"/>
            </w:tcBorders>
            <w:shd w:val="clear" w:color="auto" w:fill="auto"/>
            <w:noWrap/>
            <w:vAlign w:val="bottom"/>
          </w:tcPr>
          <w:p w14:paraId="4067AE92" w14:textId="17F51286" w:rsidR="0065770E" w:rsidRPr="00E446C3" w:rsidRDefault="0065770E" w:rsidP="0065770E">
            <w:pPr>
              <w:jc w:val="right"/>
              <w:rPr>
                <w:rFonts w:ascii="Arial" w:hAnsi="Arial" w:cs="Arial"/>
                <w:color w:val="000000"/>
                <w:sz w:val="16"/>
                <w:szCs w:val="16"/>
                <w:lang w:eastAsia="es-AR"/>
              </w:rPr>
            </w:pPr>
            <w:r w:rsidRPr="0065770E">
              <w:rPr>
                <w:rFonts w:ascii="Arial" w:hAnsi="Arial" w:cs="Arial"/>
                <w:color w:val="000000"/>
                <w:sz w:val="16"/>
                <w:szCs w:val="16"/>
                <w:lang w:eastAsia="es-AR"/>
              </w:rPr>
              <w:t xml:space="preserve"> 15.004.746 </w:t>
            </w:r>
          </w:p>
        </w:tc>
        <w:tc>
          <w:tcPr>
            <w:tcW w:w="611" w:type="pct"/>
            <w:tcBorders>
              <w:top w:val="nil"/>
              <w:left w:val="nil"/>
              <w:bottom w:val="single" w:sz="4" w:space="0" w:color="auto"/>
              <w:right w:val="single" w:sz="4" w:space="0" w:color="auto"/>
            </w:tcBorders>
            <w:shd w:val="clear" w:color="auto" w:fill="auto"/>
            <w:noWrap/>
            <w:vAlign w:val="bottom"/>
          </w:tcPr>
          <w:p w14:paraId="64A0F6CC" w14:textId="7F88D864" w:rsidR="0065770E" w:rsidRPr="00E446C3" w:rsidRDefault="0065770E" w:rsidP="0065770E">
            <w:pPr>
              <w:jc w:val="right"/>
              <w:rPr>
                <w:rFonts w:ascii="Arial" w:hAnsi="Arial" w:cs="Arial"/>
                <w:color w:val="000000"/>
                <w:sz w:val="16"/>
                <w:szCs w:val="16"/>
                <w:lang w:eastAsia="es-AR"/>
              </w:rPr>
            </w:pPr>
            <w:r w:rsidRPr="0065770E">
              <w:rPr>
                <w:rFonts w:ascii="Arial" w:hAnsi="Arial" w:cs="Arial"/>
                <w:color w:val="000000"/>
                <w:sz w:val="16"/>
                <w:szCs w:val="16"/>
                <w:lang w:eastAsia="es-AR"/>
              </w:rPr>
              <w:t xml:space="preserve"> 11.454.731 </w:t>
            </w:r>
          </w:p>
        </w:tc>
        <w:tc>
          <w:tcPr>
            <w:tcW w:w="672" w:type="pct"/>
            <w:tcBorders>
              <w:top w:val="nil"/>
              <w:left w:val="nil"/>
              <w:bottom w:val="single" w:sz="4" w:space="0" w:color="auto"/>
              <w:right w:val="single" w:sz="4" w:space="0" w:color="auto"/>
            </w:tcBorders>
            <w:shd w:val="clear" w:color="auto" w:fill="auto"/>
            <w:noWrap/>
            <w:vAlign w:val="bottom"/>
          </w:tcPr>
          <w:p w14:paraId="0E28CF32" w14:textId="6AA6794B" w:rsidR="0065770E" w:rsidRPr="00E446C3" w:rsidRDefault="0065770E" w:rsidP="0065770E">
            <w:pPr>
              <w:jc w:val="right"/>
              <w:rPr>
                <w:rFonts w:ascii="Arial" w:hAnsi="Arial" w:cs="Arial"/>
                <w:color w:val="000000"/>
                <w:sz w:val="16"/>
                <w:szCs w:val="16"/>
                <w:lang w:eastAsia="es-AR"/>
              </w:rPr>
            </w:pPr>
            <w:r w:rsidRPr="0065770E">
              <w:rPr>
                <w:rFonts w:ascii="Arial" w:hAnsi="Arial" w:cs="Arial"/>
                <w:color w:val="000000"/>
                <w:sz w:val="16"/>
                <w:szCs w:val="16"/>
                <w:lang w:eastAsia="es-AR"/>
              </w:rPr>
              <w:t xml:space="preserve"> 12.255.255 </w:t>
            </w:r>
          </w:p>
        </w:tc>
        <w:tc>
          <w:tcPr>
            <w:tcW w:w="619" w:type="pct"/>
            <w:tcBorders>
              <w:top w:val="nil"/>
              <w:left w:val="nil"/>
              <w:bottom w:val="single" w:sz="4" w:space="0" w:color="auto"/>
              <w:right w:val="single" w:sz="4" w:space="0" w:color="auto"/>
            </w:tcBorders>
            <w:shd w:val="clear" w:color="auto" w:fill="auto"/>
            <w:noWrap/>
            <w:vAlign w:val="bottom"/>
          </w:tcPr>
          <w:p w14:paraId="4EA177E5" w14:textId="744F769D" w:rsidR="0065770E" w:rsidRPr="00E446C3" w:rsidRDefault="0065770E" w:rsidP="0065770E">
            <w:pPr>
              <w:jc w:val="right"/>
              <w:rPr>
                <w:rFonts w:ascii="Arial" w:hAnsi="Arial" w:cs="Arial"/>
                <w:color w:val="000000"/>
                <w:sz w:val="16"/>
                <w:szCs w:val="16"/>
                <w:lang w:eastAsia="es-AR"/>
              </w:rPr>
            </w:pPr>
            <w:r w:rsidRPr="0065770E">
              <w:rPr>
                <w:rFonts w:ascii="Arial" w:hAnsi="Arial" w:cs="Arial"/>
                <w:color w:val="000000"/>
                <w:sz w:val="16"/>
                <w:szCs w:val="16"/>
                <w:lang w:eastAsia="es-AR"/>
              </w:rPr>
              <w:t xml:space="preserve"> 50.684.393 </w:t>
            </w:r>
          </w:p>
        </w:tc>
        <w:tc>
          <w:tcPr>
            <w:tcW w:w="622" w:type="pct"/>
            <w:tcBorders>
              <w:top w:val="nil"/>
              <w:left w:val="nil"/>
              <w:bottom w:val="single" w:sz="4" w:space="0" w:color="auto"/>
              <w:right w:val="single" w:sz="4" w:space="0" w:color="auto"/>
            </w:tcBorders>
            <w:shd w:val="clear" w:color="auto" w:fill="auto"/>
            <w:noWrap/>
            <w:vAlign w:val="bottom"/>
          </w:tcPr>
          <w:p w14:paraId="23817804" w14:textId="69318EFA" w:rsidR="0065770E" w:rsidRPr="0065770E" w:rsidRDefault="0065770E" w:rsidP="0065770E">
            <w:pPr>
              <w:jc w:val="right"/>
              <w:rPr>
                <w:rFonts w:ascii="Arial" w:hAnsi="Arial" w:cs="Arial"/>
                <w:b/>
                <w:color w:val="000000"/>
                <w:sz w:val="16"/>
                <w:szCs w:val="16"/>
                <w:lang w:eastAsia="es-AR"/>
              </w:rPr>
            </w:pPr>
            <w:r w:rsidRPr="0065770E">
              <w:rPr>
                <w:rFonts w:ascii="Arial" w:hAnsi="Arial" w:cs="Arial"/>
                <w:b/>
                <w:color w:val="000000"/>
                <w:sz w:val="16"/>
                <w:szCs w:val="16"/>
                <w:lang w:eastAsia="es-AR"/>
              </w:rPr>
              <w:t xml:space="preserve"> 131.574.379 </w:t>
            </w:r>
          </w:p>
        </w:tc>
      </w:tr>
      <w:tr w:rsidR="0065770E" w:rsidRPr="004C0B8D" w14:paraId="274998AF" w14:textId="77777777" w:rsidTr="0065770E">
        <w:trPr>
          <w:trHeight w:val="309"/>
        </w:trPr>
        <w:tc>
          <w:tcPr>
            <w:tcW w:w="1239" w:type="pct"/>
            <w:tcBorders>
              <w:top w:val="nil"/>
              <w:left w:val="single" w:sz="4" w:space="0" w:color="auto"/>
              <w:bottom w:val="single" w:sz="4" w:space="0" w:color="auto"/>
              <w:right w:val="single" w:sz="4" w:space="0" w:color="auto"/>
            </w:tcBorders>
            <w:shd w:val="clear" w:color="auto" w:fill="auto"/>
            <w:noWrap/>
            <w:vAlign w:val="bottom"/>
            <w:hideMark/>
          </w:tcPr>
          <w:p w14:paraId="68BCD6E9" w14:textId="77777777" w:rsidR="0065770E" w:rsidRPr="00FD3A61" w:rsidRDefault="0065770E" w:rsidP="0065770E">
            <w:pPr>
              <w:rPr>
                <w:rFonts w:ascii="Arial" w:hAnsi="Arial" w:cs="Arial"/>
                <w:color w:val="000000"/>
                <w:sz w:val="16"/>
                <w:szCs w:val="16"/>
                <w:lang w:eastAsia="es-AR"/>
              </w:rPr>
            </w:pPr>
            <w:r w:rsidRPr="00FD3A61">
              <w:rPr>
                <w:rFonts w:ascii="Arial" w:hAnsi="Arial" w:cs="Arial"/>
                <w:color w:val="000000"/>
                <w:sz w:val="16"/>
                <w:szCs w:val="16"/>
                <w:lang w:eastAsia="es-AR"/>
              </w:rPr>
              <w:t>Total Pasivos Financieros</w:t>
            </w:r>
          </w:p>
        </w:tc>
        <w:tc>
          <w:tcPr>
            <w:tcW w:w="650" w:type="pct"/>
            <w:tcBorders>
              <w:top w:val="nil"/>
              <w:left w:val="nil"/>
              <w:bottom w:val="single" w:sz="4" w:space="0" w:color="auto"/>
              <w:right w:val="single" w:sz="4" w:space="0" w:color="auto"/>
            </w:tcBorders>
            <w:shd w:val="clear" w:color="auto" w:fill="auto"/>
            <w:noWrap/>
            <w:vAlign w:val="bottom"/>
          </w:tcPr>
          <w:p w14:paraId="2F8DAA6C" w14:textId="18642105" w:rsidR="0065770E" w:rsidRPr="00E446C3" w:rsidRDefault="0065770E" w:rsidP="0065770E">
            <w:pPr>
              <w:jc w:val="right"/>
              <w:rPr>
                <w:rFonts w:ascii="Arial" w:hAnsi="Arial" w:cs="Arial"/>
                <w:color w:val="000000"/>
                <w:sz w:val="16"/>
                <w:szCs w:val="16"/>
                <w:lang w:eastAsia="es-AR"/>
              </w:rPr>
            </w:pPr>
            <w:r w:rsidRPr="0065770E">
              <w:rPr>
                <w:rFonts w:ascii="Arial" w:hAnsi="Arial" w:cs="Arial"/>
                <w:color w:val="000000"/>
                <w:sz w:val="16"/>
                <w:szCs w:val="16"/>
                <w:lang w:eastAsia="es-AR"/>
              </w:rPr>
              <w:t xml:space="preserve"> 50.567.576 </w:t>
            </w:r>
          </w:p>
        </w:tc>
        <w:tc>
          <w:tcPr>
            <w:tcW w:w="586" w:type="pct"/>
            <w:tcBorders>
              <w:top w:val="nil"/>
              <w:left w:val="nil"/>
              <w:bottom w:val="single" w:sz="4" w:space="0" w:color="auto"/>
              <w:right w:val="single" w:sz="4" w:space="0" w:color="auto"/>
            </w:tcBorders>
            <w:shd w:val="clear" w:color="auto" w:fill="auto"/>
            <w:noWrap/>
            <w:vAlign w:val="bottom"/>
          </w:tcPr>
          <w:p w14:paraId="68CFBBC9" w14:textId="226C0360" w:rsidR="0065770E" w:rsidRPr="00E446C3" w:rsidRDefault="0065770E" w:rsidP="0065770E">
            <w:pPr>
              <w:jc w:val="right"/>
              <w:rPr>
                <w:rFonts w:ascii="Arial" w:hAnsi="Arial" w:cs="Arial"/>
                <w:color w:val="000000"/>
                <w:sz w:val="16"/>
                <w:szCs w:val="16"/>
                <w:lang w:eastAsia="es-AR"/>
              </w:rPr>
            </w:pPr>
            <w:r w:rsidRPr="0065770E">
              <w:rPr>
                <w:rFonts w:ascii="Arial" w:hAnsi="Arial" w:cs="Arial"/>
                <w:color w:val="000000"/>
                <w:sz w:val="16"/>
                <w:szCs w:val="16"/>
                <w:lang w:eastAsia="es-AR"/>
              </w:rPr>
              <w:t xml:space="preserve"> 13.421.108 </w:t>
            </w:r>
          </w:p>
        </w:tc>
        <w:tc>
          <w:tcPr>
            <w:tcW w:w="611" w:type="pct"/>
            <w:tcBorders>
              <w:top w:val="nil"/>
              <w:left w:val="nil"/>
              <w:bottom w:val="single" w:sz="4" w:space="0" w:color="auto"/>
              <w:right w:val="single" w:sz="4" w:space="0" w:color="auto"/>
            </w:tcBorders>
            <w:shd w:val="clear" w:color="auto" w:fill="auto"/>
            <w:noWrap/>
            <w:vAlign w:val="bottom"/>
          </w:tcPr>
          <w:p w14:paraId="046403F6" w14:textId="7BD8C040" w:rsidR="0065770E" w:rsidRPr="00E446C3" w:rsidRDefault="0065770E" w:rsidP="0065770E">
            <w:pPr>
              <w:jc w:val="right"/>
              <w:rPr>
                <w:rFonts w:ascii="Arial" w:hAnsi="Arial" w:cs="Arial"/>
                <w:color w:val="000000"/>
                <w:sz w:val="16"/>
                <w:szCs w:val="16"/>
                <w:lang w:eastAsia="es-AR"/>
              </w:rPr>
            </w:pPr>
            <w:r w:rsidRPr="0065770E">
              <w:rPr>
                <w:rFonts w:ascii="Arial" w:hAnsi="Arial" w:cs="Arial"/>
                <w:color w:val="000000"/>
                <w:sz w:val="16"/>
                <w:szCs w:val="16"/>
                <w:lang w:eastAsia="es-AR"/>
              </w:rPr>
              <w:t xml:space="preserve"> 5.116.494 </w:t>
            </w:r>
          </w:p>
        </w:tc>
        <w:tc>
          <w:tcPr>
            <w:tcW w:w="672" w:type="pct"/>
            <w:tcBorders>
              <w:top w:val="nil"/>
              <w:left w:val="nil"/>
              <w:bottom w:val="single" w:sz="4" w:space="0" w:color="auto"/>
              <w:right w:val="single" w:sz="4" w:space="0" w:color="auto"/>
            </w:tcBorders>
            <w:shd w:val="clear" w:color="auto" w:fill="auto"/>
            <w:noWrap/>
            <w:vAlign w:val="bottom"/>
          </w:tcPr>
          <w:p w14:paraId="0BF8A41A" w14:textId="5021A982" w:rsidR="0065770E" w:rsidRPr="00E446C3" w:rsidRDefault="0065770E" w:rsidP="0065770E">
            <w:pPr>
              <w:jc w:val="right"/>
              <w:rPr>
                <w:rFonts w:ascii="Arial" w:hAnsi="Arial" w:cs="Arial"/>
                <w:color w:val="000000"/>
                <w:sz w:val="16"/>
                <w:szCs w:val="16"/>
                <w:lang w:eastAsia="es-AR"/>
              </w:rPr>
            </w:pPr>
            <w:r w:rsidRPr="0065770E">
              <w:rPr>
                <w:rFonts w:ascii="Arial" w:hAnsi="Arial" w:cs="Arial"/>
                <w:color w:val="000000"/>
                <w:sz w:val="16"/>
                <w:szCs w:val="16"/>
                <w:lang w:eastAsia="es-AR"/>
              </w:rPr>
              <w:t xml:space="preserve"> 6.674.589 </w:t>
            </w:r>
          </w:p>
        </w:tc>
        <w:tc>
          <w:tcPr>
            <w:tcW w:w="619" w:type="pct"/>
            <w:tcBorders>
              <w:top w:val="nil"/>
              <w:left w:val="nil"/>
              <w:bottom w:val="single" w:sz="4" w:space="0" w:color="auto"/>
              <w:right w:val="single" w:sz="4" w:space="0" w:color="auto"/>
            </w:tcBorders>
            <w:shd w:val="clear" w:color="auto" w:fill="auto"/>
            <w:noWrap/>
            <w:vAlign w:val="bottom"/>
          </w:tcPr>
          <w:p w14:paraId="5CBC219B" w14:textId="20FA692E" w:rsidR="0065770E" w:rsidRPr="00E446C3" w:rsidRDefault="0065770E" w:rsidP="0065770E">
            <w:pPr>
              <w:jc w:val="right"/>
              <w:rPr>
                <w:rFonts w:ascii="Arial" w:hAnsi="Arial" w:cs="Arial"/>
                <w:color w:val="000000"/>
                <w:sz w:val="16"/>
                <w:szCs w:val="16"/>
                <w:lang w:eastAsia="es-AR"/>
              </w:rPr>
            </w:pPr>
            <w:r w:rsidRPr="0065770E">
              <w:rPr>
                <w:rFonts w:ascii="Arial" w:hAnsi="Arial" w:cs="Arial"/>
                <w:color w:val="000000"/>
                <w:sz w:val="16"/>
                <w:szCs w:val="16"/>
                <w:lang w:eastAsia="es-AR"/>
              </w:rPr>
              <w:t xml:space="preserve"> 44.708.852 </w:t>
            </w:r>
          </w:p>
        </w:tc>
        <w:tc>
          <w:tcPr>
            <w:tcW w:w="622" w:type="pct"/>
            <w:tcBorders>
              <w:top w:val="nil"/>
              <w:left w:val="nil"/>
              <w:bottom w:val="single" w:sz="4" w:space="0" w:color="auto"/>
              <w:right w:val="single" w:sz="4" w:space="0" w:color="auto"/>
            </w:tcBorders>
            <w:shd w:val="clear" w:color="auto" w:fill="auto"/>
            <w:noWrap/>
            <w:vAlign w:val="bottom"/>
          </w:tcPr>
          <w:p w14:paraId="38621EEF" w14:textId="611B830B" w:rsidR="0065770E" w:rsidRPr="0065770E" w:rsidRDefault="0065770E" w:rsidP="0065770E">
            <w:pPr>
              <w:jc w:val="right"/>
              <w:rPr>
                <w:rFonts w:ascii="Arial" w:hAnsi="Arial" w:cs="Arial"/>
                <w:b/>
                <w:color w:val="000000"/>
                <w:sz w:val="16"/>
                <w:szCs w:val="16"/>
                <w:lang w:eastAsia="es-AR"/>
              </w:rPr>
            </w:pPr>
            <w:r w:rsidRPr="0065770E">
              <w:rPr>
                <w:rFonts w:ascii="Arial" w:hAnsi="Arial" w:cs="Arial"/>
                <w:b/>
                <w:color w:val="000000"/>
                <w:sz w:val="16"/>
                <w:szCs w:val="16"/>
                <w:lang w:eastAsia="es-AR"/>
              </w:rPr>
              <w:t xml:space="preserve"> 120.488.61</w:t>
            </w:r>
            <w:r>
              <w:rPr>
                <w:rFonts w:ascii="Arial" w:hAnsi="Arial" w:cs="Arial"/>
                <w:b/>
                <w:color w:val="000000"/>
                <w:sz w:val="16"/>
                <w:szCs w:val="16"/>
                <w:lang w:eastAsia="es-AR"/>
              </w:rPr>
              <w:t>9</w:t>
            </w:r>
            <w:r w:rsidRPr="0065770E">
              <w:rPr>
                <w:rFonts w:ascii="Arial" w:hAnsi="Arial" w:cs="Arial"/>
                <w:b/>
                <w:color w:val="000000"/>
                <w:sz w:val="16"/>
                <w:szCs w:val="16"/>
                <w:lang w:eastAsia="es-AR"/>
              </w:rPr>
              <w:t xml:space="preserve"> </w:t>
            </w:r>
          </w:p>
        </w:tc>
      </w:tr>
      <w:tr w:rsidR="0065770E" w:rsidRPr="004C0B8D" w14:paraId="3392BC9A" w14:textId="77777777" w:rsidTr="0065770E">
        <w:trPr>
          <w:trHeight w:val="309"/>
        </w:trPr>
        <w:tc>
          <w:tcPr>
            <w:tcW w:w="1239" w:type="pct"/>
            <w:tcBorders>
              <w:top w:val="nil"/>
              <w:left w:val="single" w:sz="4" w:space="0" w:color="auto"/>
              <w:bottom w:val="single" w:sz="4" w:space="0" w:color="auto"/>
              <w:right w:val="single" w:sz="4" w:space="0" w:color="auto"/>
            </w:tcBorders>
            <w:shd w:val="clear" w:color="auto" w:fill="auto"/>
            <w:noWrap/>
            <w:vAlign w:val="bottom"/>
            <w:hideMark/>
          </w:tcPr>
          <w:p w14:paraId="4D732D97" w14:textId="77777777" w:rsidR="0065770E" w:rsidRPr="00E446C3" w:rsidRDefault="0065770E" w:rsidP="0065770E">
            <w:pPr>
              <w:rPr>
                <w:rFonts w:ascii="Arial" w:hAnsi="Arial" w:cs="Arial"/>
                <w:b/>
                <w:bCs/>
                <w:color w:val="000000"/>
                <w:sz w:val="16"/>
                <w:szCs w:val="16"/>
                <w:lang w:eastAsia="es-AR"/>
              </w:rPr>
            </w:pPr>
            <w:r w:rsidRPr="00E446C3">
              <w:rPr>
                <w:rFonts w:ascii="Arial" w:hAnsi="Arial" w:cs="Arial"/>
                <w:b/>
                <w:bCs/>
                <w:color w:val="000000"/>
                <w:sz w:val="16"/>
                <w:szCs w:val="16"/>
                <w:lang w:eastAsia="es-AR"/>
              </w:rPr>
              <w:t>Monto Neto</w:t>
            </w:r>
          </w:p>
        </w:tc>
        <w:tc>
          <w:tcPr>
            <w:tcW w:w="650" w:type="pct"/>
            <w:tcBorders>
              <w:top w:val="nil"/>
              <w:left w:val="nil"/>
              <w:bottom w:val="single" w:sz="4" w:space="0" w:color="auto"/>
              <w:right w:val="single" w:sz="4" w:space="0" w:color="auto"/>
            </w:tcBorders>
            <w:shd w:val="clear" w:color="auto" w:fill="auto"/>
            <w:noWrap/>
            <w:vAlign w:val="bottom"/>
          </w:tcPr>
          <w:p w14:paraId="56A8E6A6" w14:textId="57A46088" w:rsidR="0065770E" w:rsidRPr="0065770E" w:rsidRDefault="0065770E" w:rsidP="0065770E">
            <w:pPr>
              <w:jc w:val="right"/>
              <w:rPr>
                <w:rFonts w:ascii="Arial" w:hAnsi="Arial" w:cs="Arial"/>
                <w:b/>
                <w:color w:val="000000"/>
                <w:sz w:val="16"/>
                <w:szCs w:val="16"/>
                <w:lang w:eastAsia="es-AR"/>
              </w:rPr>
            </w:pPr>
            <w:r w:rsidRPr="0065770E">
              <w:rPr>
                <w:rFonts w:ascii="Arial" w:hAnsi="Arial" w:cs="Arial"/>
                <w:b/>
                <w:color w:val="000000"/>
                <w:sz w:val="16"/>
                <w:szCs w:val="16"/>
                <w:lang w:eastAsia="es-AR"/>
              </w:rPr>
              <w:t xml:space="preserve"> (8.392.322) </w:t>
            </w:r>
          </w:p>
        </w:tc>
        <w:tc>
          <w:tcPr>
            <w:tcW w:w="586" w:type="pct"/>
            <w:tcBorders>
              <w:top w:val="nil"/>
              <w:left w:val="nil"/>
              <w:bottom w:val="single" w:sz="4" w:space="0" w:color="auto"/>
              <w:right w:val="single" w:sz="4" w:space="0" w:color="auto"/>
            </w:tcBorders>
            <w:shd w:val="clear" w:color="auto" w:fill="auto"/>
            <w:noWrap/>
            <w:vAlign w:val="bottom"/>
          </w:tcPr>
          <w:p w14:paraId="28A5649E" w14:textId="63F67B96" w:rsidR="0065770E" w:rsidRPr="0065770E" w:rsidRDefault="0065770E" w:rsidP="0065770E">
            <w:pPr>
              <w:jc w:val="right"/>
              <w:rPr>
                <w:rFonts w:ascii="Arial" w:hAnsi="Arial" w:cs="Arial"/>
                <w:b/>
                <w:color w:val="000000"/>
                <w:sz w:val="16"/>
                <w:szCs w:val="16"/>
                <w:lang w:eastAsia="es-AR"/>
              </w:rPr>
            </w:pPr>
            <w:r w:rsidRPr="0065770E">
              <w:rPr>
                <w:rFonts w:ascii="Arial" w:hAnsi="Arial" w:cs="Arial"/>
                <w:b/>
                <w:color w:val="000000"/>
                <w:sz w:val="16"/>
                <w:szCs w:val="16"/>
                <w:lang w:eastAsia="es-AR"/>
              </w:rPr>
              <w:t xml:space="preserve"> 1.583.638 </w:t>
            </w:r>
          </w:p>
        </w:tc>
        <w:tc>
          <w:tcPr>
            <w:tcW w:w="611" w:type="pct"/>
            <w:tcBorders>
              <w:top w:val="nil"/>
              <w:left w:val="nil"/>
              <w:bottom w:val="single" w:sz="4" w:space="0" w:color="auto"/>
              <w:right w:val="single" w:sz="4" w:space="0" w:color="auto"/>
            </w:tcBorders>
            <w:shd w:val="clear" w:color="auto" w:fill="auto"/>
            <w:noWrap/>
            <w:vAlign w:val="bottom"/>
          </w:tcPr>
          <w:p w14:paraId="6C11D3F8" w14:textId="7517C7DC" w:rsidR="0065770E" w:rsidRPr="0065770E" w:rsidRDefault="0065770E" w:rsidP="0065770E">
            <w:pPr>
              <w:jc w:val="right"/>
              <w:rPr>
                <w:rFonts w:ascii="Arial" w:hAnsi="Arial" w:cs="Arial"/>
                <w:b/>
                <w:color w:val="000000"/>
                <w:sz w:val="16"/>
                <w:szCs w:val="16"/>
                <w:lang w:eastAsia="es-AR"/>
              </w:rPr>
            </w:pPr>
            <w:r w:rsidRPr="0065770E">
              <w:rPr>
                <w:rFonts w:ascii="Arial" w:hAnsi="Arial" w:cs="Arial"/>
                <w:b/>
                <w:color w:val="000000"/>
                <w:sz w:val="16"/>
                <w:szCs w:val="16"/>
                <w:lang w:eastAsia="es-AR"/>
              </w:rPr>
              <w:t xml:space="preserve"> 6.338.237 </w:t>
            </w:r>
          </w:p>
        </w:tc>
        <w:tc>
          <w:tcPr>
            <w:tcW w:w="672" w:type="pct"/>
            <w:tcBorders>
              <w:top w:val="nil"/>
              <w:left w:val="nil"/>
              <w:bottom w:val="single" w:sz="4" w:space="0" w:color="auto"/>
              <w:right w:val="single" w:sz="4" w:space="0" w:color="auto"/>
            </w:tcBorders>
            <w:shd w:val="clear" w:color="auto" w:fill="auto"/>
            <w:noWrap/>
            <w:vAlign w:val="bottom"/>
          </w:tcPr>
          <w:p w14:paraId="02FDB161" w14:textId="42B83C0F" w:rsidR="0065770E" w:rsidRPr="0065770E" w:rsidRDefault="0065770E" w:rsidP="0065770E">
            <w:pPr>
              <w:jc w:val="right"/>
              <w:rPr>
                <w:rFonts w:ascii="Arial" w:hAnsi="Arial" w:cs="Arial"/>
                <w:b/>
                <w:color w:val="000000"/>
                <w:sz w:val="16"/>
                <w:szCs w:val="16"/>
                <w:lang w:eastAsia="es-AR"/>
              </w:rPr>
            </w:pPr>
            <w:r w:rsidRPr="0065770E">
              <w:rPr>
                <w:rFonts w:ascii="Arial" w:hAnsi="Arial" w:cs="Arial"/>
                <w:b/>
                <w:color w:val="000000"/>
                <w:sz w:val="16"/>
                <w:szCs w:val="16"/>
                <w:lang w:eastAsia="es-AR"/>
              </w:rPr>
              <w:t xml:space="preserve"> 5.580.666 </w:t>
            </w:r>
          </w:p>
        </w:tc>
        <w:tc>
          <w:tcPr>
            <w:tcW w:w="619" w:type="pct"/>
            <w:tcBorders>
              <w:top w:val="nil"/>
              <w:left w:val="nil"/>
              <w:bottom w:val="single" w:sz="4" w:space="0" w:color="auto"/>
              <w:right w:val="single" w:sz="4" w:space="0" w:color="auto"/>
            </w:tcBorders>
            <w:shd w:val="clear" w:color="auto" w:fill="auto"/>
            <w:noWrap/>
            <w:vAlign w:val="bottom"/>
          </w:tcPr>
          <w:p w14:paraId="598A9973" w14:textId="57098764" w:rsidR="0065770E" w:rsidRPr="0065770E" w:rsidRDefault="0065770E" w:rsidP="0065770E">
            <w:pPr>
              <w:jc w:val="right"/>
              <w:rPr>
                <w:rFonts w:ascii="Arial" w:hAnsi="Arial" w:cs="Arial"/>
                <w:b/>
                <w:color w:val="000000"/>
                <w:sz w:val="16"/>
                <w:szCs w:val="16"/>
                <w:lang w:eastAsia="es-AR"/>
              </w:rPr>
            </w:pPr>
            <w:r w:rsidRPr="0065770E">
              <w:rPr>
                <w:rFonts w:ascii="Arial" w:hAnsi="Arial" w:cs="Arial"/>
                <w:b/>
                <w:color w:val="000000"/>
                <w:sz w:val="16"/>
                <w:szCs w:val="16"/>
                <w:lang w:eastAsia="es-AR"/>
              </w:rPr>
              <w:t xml:space="preserve"> 5.975.541 </w:t>
            </w:r>
          </w:p>
        </w:tc>
        <w:tc>
          <w:tcPr>
            <w:tcW w:w="622" w:type="pct"/>
            <w:tcBorders>
              <w:top w:val="nil"/>
              <w:left w:val="nil"/>
              <w:bottom w:val="single" w:sz="4" w:space="0" w:color="auto"/>
              <w:right w:val="single" w:sz="4" w:space="0" w:color="auto"/>
            </w:tcBorders>
            <w:shd w:val="clear" w:color="auto" w:fill="auto"/>
            <w:noWrap/>
            <w:vAlign w:val="bottom"/>
          </w:tcPr>
          <w:p w14:paraId="352DA7FF" w14:textId="30E0005A" w:rsidR="0065770E" w:rsidRPr="0065770E" w:rsidRDefault="0065770E" w:rsidP="0065770E">
            <w:pPr>
              <w:jc w:val="right"/>
              <w:rPr>
                <w:rFonts w:ascii="Arial" w:hAnsi="Arial" w:cs="Arial"/>
                <w:b/>
                <w:color w:val="000000"/>
                <w:sz w:val="16"/>
                <w:szCs w:val="16"/>
                <w:lang w:eastAsia="es-AR"/>
              </w:rPr>
            </w:pPr>
            <w:r w:rsidRPr="0065770E">
              <w:rPr>
                <w:rFonts w:ascii="Arial" w:hAnsi="Arial" w:cs="Arial"/>
                <w:b/>
                <w:color w:val="000000"/>
                <w:sz w:val="16"/>
                <w:szCs w:val="16"/>
                <w:lang w:eastAsia="es-AR"/>
              </w:rPr>
              <w:t xml:space="preserve"> 11.085.760 </w:t>
            </w:r>
          </w:p>
        </w:tc>
      </w:tr>
    </w:tbl>
    <w:p w14:paraId="6AD45F02" w14:textId="38B8C7D2" w:rsidR="00D9456F" w:rsidRDefault="00D9456F" w:rsidP="00EB6617">
      <w:pPr>
        <w:autoSpaceDE w:val="0"/>
        <w:autoSpaceDN w:val="0"/>
        <w:adjustRightInd w:val="0"/>
        <w:jc w:val="both"/>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2148"/>
        <w:gridCol w:w="1126"/>
        <w:gridCol w:w="1017"/>
        <w:gridCol w:w="1060"/>
        <w:gridCol w:w="1165"/>
        <w:gridCol w:w="1074"/>
        <w:gridCol w:w="1055"/>
      </w:tblGrid>
      <w:tr w:rsidR="00D9456F" w:rsidRPr="004C0B8D" w14:paraId="7B8258CC" w14:textId="77777777" w:rsidTr="00FD3A61">
        <w:trPr>
          <w:trHeight w:val="309"/>
        </w:trPr>
        <w:tc>
          <w:tcPr>
            <w:tcW w:w="124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11FB023" w14:textId="64A867EA" w:rsidR="00D9456F" w:rsidRPr="00E446C3" w:rsidRDefault="00FD3A61"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Activos y pasivos al 31/12/2</w:t>
            </w:r>
            <w:r>
              <w:rPr>
                <w:rFonts w:ascii="Arial" w:hAnsi="Arial" w:cs="Arial"/>
                <w:b/>
                <w:bCs/>
                <w:color w:val="000000"/>
                <w:sz w:val="16"/>
                <w:szCs w:val="16"/>
                <w:lang w:eastAsia="es-AR"/>
              </w:rPr>
              <w:t>018</w:t>
            </w:r>
          </w:p>
        </w:tc>
        <w:tc>
          <w:tcPr>
            <w:tcW w:w="3147" w:type="pct"/>
            <w:gridSpan w:val="5"/>
            <w:tcBorders>
              <w:top w:val="single" w:sz="4" w:space="0" w:color="auto"/>
              <w:left w:val="nil"/>
              <w:bottom w:val="single" w:sz="4" w:space="0" w:color="auto"/>
              <w:right w:val="single" w:sz="4" w:space="0" w:color="auto"/>
            </w:tcBorders>
            <w:shd w:val="clear" w:color="auto" w:fill="auto"/>
            <w:noWrap/>
            <w:vAlign w:val="bottom"/>
            <w:hideMark/>
          </w:tcPr>
          <w:p w14:paraId="67B533EF" w14:textId="77777777" w:rsidR="00D9456F" w:rsidRPr="00E446C3" w:rsidRDefault="00D9456F"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Plazo en días</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14:paraId="2D965688" w14:textId="77777777" w:rsidR="00D9456F" w:rsidRPr="00E446C3" w:rsidRDefault="00D9456F" w:rsidP="007D7797">
            <w:pPr>
              <w:jc w:val="center"/>
              <w:rPr>
                <w:rFonts w:ascii="Arial" w:hAnsi="Arial" w:cs="Arial"/>
                <w:color w:val="000000"/>
                <w:sz w:val="16"/>
                <w:szCs w:val="16"/>
                <w:lang w:eastAsia="es-AR"/>
              </w:rPr>
            </w:pPr>
            <w:r w:rsidRPr="00E446C3">
              <w:rPr>
                <w:rFonts w:ascii="Arial" w:hAnsi="Arial" w:cs="Arial"/>
                <w:color w:val="000000"/>
                <w:sz w:val="16"/>
                <w:szCs w:val="16"/>
                <w:lang w:eastAsia="es-AR"/>
              </w:rPr>
              <w:t> </w:t>
            </w:r>
          </w:p>
        </w:tc>
      </w:tr>
      <w:tr w:rsidR="00D9456F" w:rsidRPr="004C0B8D" w14:paraId="42934EAF" w14:textId="77777777" w:rsidTr="00FD3A61">
        <w:trPr>
          <w:trHeight w:val="309"/>
        </w:trPr>
        <w:tc>
          <w:tcPr>
            <w:tcW w:w="1242" w:type="pct"/>
            <w:vMerge/>
            <w:tcBorders>
              <w:top w:val="single" w:sz="4" w:space="0" w:color="auto"/>
              <w:left w:val="single" w:sz="4" w:space="0" w:color="auto"/>
              <w:bottom w:val="single" w:sz="4" w:space="0" w:color="auto"/>
              <w:right w:val="single" w:sz="4" w:space="0" w:color="auto"/>
            </w:tcBorders>
            <w:vAlign w:val="center"/>
            <w:hideMark/>
          </w:tcPr>
          <w:p w14:paraId="52958F8E" w14:textId="77777777" w:rsidR="00D9456F" w:rsidRPr="00E446C3" w:rsidRDefault="00D9456F" w:rsidP="007D7797">
            <w:pPr>
              <w:rPr>
                <w:rFonts w:ascii="Arial" w:hAnsi="Arial" w:cs="Arial"/>
                <w:b/>
                <w:bCs/>
                <w:color w:val="000000"/>
                <w:sz w:val="16"/>
                <w:szCs w:val="16"/>
                <w:lang w:eastAsia="es-AR"/>
              </w:rPr>
            </w:pPr>
          </w:p>
        </w:tc>
        <w:tc>
          <w:tcPr>
            <w:tcW w:w="651" w:type="pct"/>
            <w:tcBorders>
              <w:top w:val="nil"/>
              <w:left w:val="nil"/>
              <w:bottom w:val="single" w:sz="4" w:space="0" w:color="auto"/>
              <w:right w:val="single" w:sz="4" w:space="0" w:color="auto"/>
            </w:tcBorders>
            <w:shd w:val="clear" w:color="auto" w:fill="auto"/>
            <w:noWrap/>
            <w:vAlign w:val="bottom"/>
            <w:hideMark/>
          </w:tcPr>
          <w:p w14:paraId="4EB127C2" w14:textId="77777777" w:rsidR="00D9456F" w:rsidRPr="00E446C3" w:rsidRDefault="00D9456F"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hasta 30</w:t>
            </w:r>
          </w:p>
        </w:tc>
        <w:tc>
          <w:tcPr>
            <w:tcW w:w="588" w:type="pct"/>
            <w:tcBorders>
              <w:top w:val="nil"/>
              <w:left w:val="nil"/>
              <w:bottom w:val="single" w:sz="4" w:space="0" w:color="auto"/>
              <w:right w:val="single" w:sz="4" w:space="0" w:color="auto"/>
            </w:tcBorders>
            <w:shd w:val="clear" w:color="auto" w:fill="auto"/>
            <w:noWrap/>
            <w:vAlign w:val="bottom"/>
            <w:hideMark/>
          </w:tcPr>
          <w:p w14:paraId="7D4F09E6" w14:textId="77777777" w:rsidR="00D9456F" w:rsidRPr="00E446C3" w:rsidRDefault="00D9456F"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30 a 90</w:t>
            </w:r>
          </w:p>
        </w:tc>
        <w:tc>
          <w:tcPr>
            <w:tcW w:w="613" w:type="pct"/>
            <w:tcBorders>
              <w:top w:val="nil"/>
              <w:left w:val="nil"/>
              <w:bottom w:val="single" w:sz="4" w:space="0" w:color="auto"/>
              <w:right w:val="single" w:sz="4" w:space="0" w:color="auto"/>
            </w:tcBorders>
            <w:shd w:val="clear" w:color="auto" w:fill="auto"/>
            <w:noWrap/>
            <w:vAlign w:val="bottom"/>
            <w:hideMark/>
          </w:tcPr>
          <w:p w14:paraId="5C3BC73F" w14:textId="77777777" w:rsidR="00D9456F" w:rsidRPr="00E446C3" w:rsidRDefault="00D9456F"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90 a 180</w:t>
            </w:r>
          </w:p>
        </w:tc>
        <w:tc>
          <w:tcPr>
            <w:tcW w:w="674" w:type="pct"/>
            <w:tcBorders>
              <w:top w:val="nil"/>
              <w:left w:val="nil"/>
              <w:bottom w:val="single" w:sz="4" w:space="0" w:color="auto"/>
              <w:right w:val="single" w:sz="4" w:space="0" w:color="auto"/>
            </w:tcBorders>
            <w:shd w:val="clear" w:color="auto" w:fill="auto"/>
            <w:noWrap/>
            <w:vAlign w:val="bottom"/>
            <w:hideMark/>
          </w:tcPr>
          <w:p w14:paraId="7C579E1D" w14:textId="77777777" w:rsidR="00D9456F" w:rsidRPr="00E446C3" w:rsidRDefault="00D9456F"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180 a 365</w:t>
            </w:r>
          </w:p>
        </w:tc>
        <w:tc>
          <w:tcPr>
            <w:tcW w:w="621" w:type="pct"/>
            <w:tcBorders>
              <w:top w:val="nil"/>
              <w:left w:val="nil"/>
              <w:bottom w:val="single" w:sz="4" w:space="0" w:color="auto"/>
              <w:right w:val="single" w:sz="4" w:space="0" w:color="auto"/>
            </w:tcBorders>
            <w:shd w:val="clear" w:color="auto" w:fill="auto"/>
            <w:noWrap/>
            <w:vAlign w:val="bottom"/>
            <w:hideMark/>
          </w:tcPr>
          <w:p w14:paraId="4859C3C2" w14:textId="77777777" w:rsidR="00D9456F" w:rsidRPr="00E446C3" w:rsidRDefault="00D9456F"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más de 365</w:t>
            </w:r>
          </w:p>
        </w:tc>
        <w:tc>
          <w:tcPr>
            <w:tcW w:w="610" w:type="pct"/>
            <w:tcBorders>
              <w:top w:val="nil"/>
              <w:left w:val="nil"/>
              <w:bottom w:val="single" w:sz="4" w:space="0" w:color="auto"/>
              <w:right w:val="single" w:sz="4" w:space="0" w:color="auto"/>
            </w:tcBorders>
            <w:shd w:val="clear" w:color="auto" w:fill="auto"/>
            <w:noWrap/>
            <w:vAlign w:val="bottom"/>
            <w:hideMark/>
          </w:tcPr>
          <w:p w14:paraId="36B7C1D1" w14:textId="77777777" w:rsidR="00D9456F" w:rsidRPr="00E446C3" w:rsidRDefault="00D9456F"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Total</w:t>
            </w:r>
          </w:p>
        </w:tc>
      </w:tr>
      <w:tr w:rsidR="00D9456F" w:rsidRPr="004C0B8D" w14:paraId="52B1ECC7" w14:textId="77777777" w:rsidTr="00FD3A61">
        <w:trPr>
          <w:trHeight w:val="309"/>
        </w:trPr>
        <w:tc>
          <w:tcPr>
            <w:tcW w:w="1242" w:type="pct"/>
            <w:tcBorders>
              <w:top w:val="nil"/>
              <w:left w:val="single" w:sz="4" w:space="0" w:color="auto"/>
              <w:bottom w:val="single" w:sz="4" w:space="0" w:color="auto"/>
              <w:right w:val="single" w:sz="4" w:space="0" w:color="auto"/>
            </w:tcBorders>
            <w:shd w:val="clear" w:color="auto" w:fill="auto"/>
            <w:noWrap/>
            <w:vAlign w:val="bottom"/>
            <w:hideMark/>
          </w:tcPr>
          <w:p w14:paraId="53E398D8" w14:textId="77777777" w:rsidR="00D9456F" w:rsidRPr="00E446C3" w:rsidRDefault="00D9456F" w:rsidP="007D7797">
            <w:pPr>
              <w:rPr>
                <w:rFonts w:ascii="Arial" w:hAnsi="Arial" w:cs="Arial"/>
                <w:color w:val="000000"/>
                <w:sz w:val="16"/>
                <w:szCs w:val="16"/>
                <w:lang w:eastAsia="es-AR"/>
              </w:rPr>
            </w:pPr>
            <w:r w:rsidRPr="00E446C3">
              <w:rPr>
                <w:rFonts w:ascii="Arial" w:hAnsi="Arial" w:cs="Arial"/>
                <w:color w:val="000000"/>
                <w:sz w:val="16"/>
                <w:szCs w:val="16"/>
                <w:lang w:eastAsia="es-AR"/>
              </w:rPr>
              <w:t>Total Activos Financieros</w:t>
            </w:r>
          </w:p>
        </w:tc>
        <w:tc>
          <w:tcPr>
            <w:tcW w:w="651" w:type="pct"/>
            <w:tcBorders>
              <w:top w:val="nil"/>
              <w:left w:val="nil"/>
              <w:bottom w:val="single" w:sz="4" w:space="0" w:color="auto"/>
              <w:right w:val="single" w:sz="4" w:space="0" w:color="auto"/>
            </w:tcBorders>
            <w:shd w:val="clear" w:color="auto" w:fill="auto"/>
            <w:noWrap/>
            <w:vAlign w:val="bottom"/>
            <w:hideMark/>
          </w:tcPr>
          <w:p w14:paraId="5D6B66DE" w14:textId="77777777" w:rsidR="00D9456F" w:rsidRPr="00E446C3" w:rsidRDefault="00D9456F"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54.435.109 </w:t>
            </w:r>
          </w:p>
        </w:tc>
        <w:tc>
          <w:tcPr>
            <w:tcW w:w="588" w:type="pct"/>
            <w:tcBorders>
              <w:top w:val="nil"/>
              <w:left w:val="nil"/>
              <w:bottom w:val="single" w:sz="4" w:space="0" w:color="auto"/>
              <w:right w:val="single" w:sz="4" w:space="0" w:color="auto"/>
            </w:tcBorders>
            <w:shd w:val="clear" w:color="auto" w:fill="auto"/>
            <w:noWrap/>
            <w:vAlign w:val="bottom"/>
            <w:hideMark/>
          </w:tcPr>
          <w:p w14:paraId="7C5628AA" w14:textId="77777777" w:rsidR="00D9456F" w:rsidRPr="00E446C3" w:rsidRDefault="00D9456F"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13.281.894 </w:t>
            </w:r>
          </w:p>
        </w:tc>
        <w:tc>
          <w:tcPr>
            <w:tcW w:w="613" w:type="pct"/>
            <w:tcBorders>
              <w:top w:val="nil"/>
              <w:left w:val="nil"/>
              <w:bottom w:val="single" w:sz="4" w:space="0" w:color="auto"/>
              <w:right w:val="single" w:sz="4" w:space="0" w:color="auto"/>
            </w:tcBorders>
            <w:shd w:val="clear" w:color="auto" w:fill="auto"/>
            <w:noWrap/>
            <w:vAlign w:val="bottom"/>
            <w:hideMark/>
          </w:tcPr>
          <w:p w14:paraId="1062EFAE" w14:textId="77777777" w:rsidR="00D9456F" w:rsidRPr="00E446C3" w:rsidRDefault="00D9456F"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11.692.926 </w:t>
            </w:r>
          </w:p>
        </w:tc>
        <w:tc>
          <w:tcPr>
            <w:tcW w:w="674" w:type="pct"/>
            <w:tcBorders>
              <w:top w:val="nil"/>
              <w:left w:val="nil"/>
              <w:bottom w:val="single" w:sz="4" w:space="0" w:color="auto"/>
              <w:right w:val="single" w:sz="4" w:space="0" w:color="auto"/>
            </w:tcBorders>
            <w:shd w:val="clear" w:color="auto" w:fill="auto"/>
            <w:noWrap/>
            <w:vAlign w:val="bottom"/>
            <w:hideMark/>
          </w:tcPr>
          <w:p w14:paraId="3E91ABAB" w14:textId="77777777" w:rsidR="00D9456F" w:rsidRPr="00E446C3" w:rsidRDefault="00D9456F"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9.323.634 </w:t>
            </w:r>
          </w:p>
        </w:tc>
        <w:tc>
          <w:tcPr>
            <w:tcW w:w="621" w:type="pct"/>
            <w:tcBorders>
              <w:top w:val="nil"/>
              <w:left w:val="nil"/>
              <w:bottom w:val="single" w:sz="4" w:space="0" w:color="auto"/>
              <w:right w:val="single" w:sz="4" w:space="0" w:color="auto"/>
            </w:tcBorders>
            <w:shd w:val="clear" w:color="auto" w:fill="auto"/>
            <w:noWrap/>
            <w:vAlign w:val="bottom"/>
            <w:hideMark/>
          </w:tcPr>
          <w:p w14:paraId="7573A791" w14:textId="77777777" w:rsidR="00D9456F" w:rsidRPr="00E446C3" w:rsidRDefault="00D9456F"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46.537.858 </w:t>
            </w:r>
          </w:p>
        </w:tc>
        <w:tc>
          <w:tcPr>
            <w:tcW w:w="610" w:type="pct"/>
            <w:tcBorders>
              <w:top w:val="nil"/>
              <w:left w:val="nil"/>
              <w:bottom w:val="single" w:sz="4" w:space="0" w:color="auto"/>
              <w:right w:val="single" w:sz="4" w:space="0" w:color="auto"/>
            </w:tcBorders>
            <w:shd w:val="clear" w:color="auto" w:fill="auto"/>
            <w:noWrap/>
            <w:vAlign w:val="bottom"/>
            <w:hideMark/>
          </w:tcPr>
          <w:p w14:paraId="70F06DD1" w14:textId="77777777" w:rsidR="00D9456F" w:rsidRPr="00E446C3" w:rsidRDefault="00D9456F"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135.271.421 </w:t>
            </w:r>
          </w:p>
        </w:tc>
      </w:tr>
      <w:tr w:rsidR="00D9456F" w:rsidRPr="004C0B8D" w14:paraId="6D48E516" w14:textId="77777777" w:rsidTr="00FD3A61">
        <w:trPr>
          <w:trHeight w:val="309"/>
        </w:trPr>
        <w:tc>
          <w:tcPr>
            <w:tcW w:w="1242" w:type="pct"/>
            <w:tcBorders>
              <w:top w:val="nil"/>
              <w:left w:val="single" w:sz="4" w:space="0" w:color="auto"/>
              <w:bottom w:val="single" w:sz="4" w:space="0" w:color="auto"/>
              <w:right w:val="single" w:sz="4" w:space="0" w:color="auto"/>
            </w:tcBorders>
            <w:shd w:val="clear" w:color="auto" w:fill="auto"/>
            <w:noWrap/>
            <w:vAlign w:val="bottom"/>
            <w:hideMark/>
          </w:tcPr>
          <w:p w14:paraId="0ED55FE5" w14:textId="77777777" w:rsidR="00D9456F" w:rsidRPr="00FD3A61" w:rsidRDefault="00D9456F" w:rsidP="007D7797">
            <w:pPr>
              <w:rPr>
                <w:rFonts w:ascii="Arial" w:hAnsi="Arial" w:cs="Arial"/>
                <w:color w:val="000000"/>
                <w:sz w:val="16"/>
                <w:szCs w:val="16"/>
                <w:lang w:eastAsia="es-AR"/>
              </w:rPr>
            </w:pPr>
            <w:r w:rsidRPr="00FD3A61">
              <w:rPr>
                <w:rFonts w:ascii="Arial" w:hAnsi="Arial" w:cs="Arial"/>
                <w:color w:val="000000"/>
                <w:sz w:val="16"/>
                <w:szCs w:val="16"/>
                <w:lang w:eastAsia="es-AR"/>
              </w:rPr>
              <w:t>Total Pasivos Financieros</w:t>
            </w:r>
          </w:p>
        </w:tc>
        <w:tc>
          <w:tcPr>
            <w:tcW w:w="651" w:type="pct"/>
            <w:tcBorders>
              <w:top w:val="nil"/>
              <w:left w:val="nil"/>
              <w:bottom w:val="single" w:sz="4" w:space="0" w:color="auto"/>
              <w:right w:val="single" w:sz="4" w:space="0" w:color="auto"/>
            </w:tcBorders>
            <w:shd w:val="clear" w:color="auto" w:fill="auto"/>
            <w:noWrap/>
            <w:vAlign w:val="bottom"/>
            <w:hideMark/>
          </w:tcPr>
          <w:p w14:paraId="2ACC8040" w14:textId="77777777" w:rsidR="00D9456F" w:rsidRPr="00E446C3" w:rsidRDefault="00D9456F"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74.913.615 </w:t>
            </w:r>
          </w:p>
        </w:tc>
        <w:tc>
          <w:tcPr>
            <w:tcW w:w="588" w:type="pct"/>
            <w:tcBorders>
              <w:top w:val="nil"/>
              <w:left w:val="nil"/>
              <w:bottom w:val="single" w:sz="4" w:space="0" w:color="auto"/>
              <w:right w:val="single" w:sz="4" w:space="0" w:color="auto"/>
            </w:tcBorders>
            <w:shd w:val="clear" w:color="auto" w:fill="auto"/>
            <w:noWrap/>
            <w:vAlign w:val="bottom"/>
            <w:hideMark/>
          </w:tcPr>
          <w:p w14:paraId="0260E99A" w14:textId="77777777" w:rsidR="00D9456F" w:rsidRPr="00E446C3" w:rsidRDefault="00D9456F"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21.093.049 </w:t>
            </w:r>
          </w:p>
        </w:tc>
        <w:tc>
          <w:tcPr>
            <w:tcW w:w="613" w:type="pct"/>
            <w:tcBorders>
              <w:top w:val="nil"/>
              <w:left w:val="nil"/>
              <w:bottom w:val="single" w:sz="4" w:space="0" w:color="auto"/>
              <w:right w:val="single" w:sz="4" w:space="0" w:color="auto"/>
            </w:tcBorders>
            <w:shd w:val="clear" w:color="auto" w:fill="auto"/>
            <w:noWrap/>
            <w:vAlign w:val="bottom"/>
            <w:hideMark/>
          </w:tcPr>
          <w:p w14:paraId="5AEE5DF5" w14:textId="77777777" w:rsidR="00D9456F" w:rsidRPr="00E446C3" w:rsidRDefault="00D9456F"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1.498.595 </w:t>
            </w:r>
          </w:p>
        </w:tc>
        <w:tc>
          <w:tcPr>
            <w:tcW w:w="674" w:type="pct"/>
            <w:tcBorders>
              <w:top w:val="nil"/>
              <w:left w:val="nil"/>
              <w:bottom w:val="single" w:sz="4" w:space="0" w:color="auto"/>
              <w:right w:val="single" w:sz="4" w:space="0" w:color="auto"/>
            </w:tcBorders>
            <w:shd w:val="clear" w:color="auto" w:fill="auto"/>
            <w:noWrap/>
            <w:vAlign w:val="bottom"/>
            <w:hideMark/>
          </w:tcPr>
          <w:p w14:paraId="059775DF" w14:textId="77777777" w:rsidR="00D9456F" w:rsidRPr="00E446C3" w:rsidRDefault="00D9456F"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1.500.302 </w:t>
            </w:r>
          </w:p>
        </w:tc>
        <w:tc>
          <w:tcPr>
            <w:tcW w:w="621" w:type="pct"/>
            <w:tcBorders>
              <w:top w:val="nil"/>
              <w:left w:val="nil"/>
              <w:bottom w:val="single" w:sz="4" w:space="0" w:color="auto"/>
              <w:right w:val="single" w:sz="4" w:space="0" w:color="auto"/>
            </w:tcBorders>
            <w:shd w:val="clear" w:color="auto" w:fill="auto"/>
            <w:noWrap/>
            <w:vAlign w:val="bottom"/>
            <w:hideMark/>
          </w:tcPr>
          <w:p w14:paraId="1E91ABC7" w14:textId="77777777" w:rsidR="00D9456F" w:rsidRPr="00E446C3" w:rsidRDefault="00D9456F"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25.041.966 </w:t>
            </w:r>
          </w:p>
        </w:tc>
        <w:tc>
          <w:tcPr>
            <w:tcW w:w="610" w:type="pct"/>
            <w:tcBorders>
              <w:top w:val="nil"/>
              <w:left w:val="nil"/>
              <w:bottom w:val="single" w:sz="4" w:space="0" w:color="auto"/>
              <w:right w:val="single" w:sz="4" w:space="0" w:color="auto"/>
            </w:tcBorders>
            <w:shd w:val="clear" w:color="auto" w:fill="auto"/>
            <w:noWrap/>
            <w:vAlign w:val="bottom"/>
            <w:hideMark/>
          </w:tcPr>
          <w:p w14:paraId="5577BADF" w14:textId="77777777" w:rsidR="00D9456F" w:rsidRPr="00E446C3" w:rsidRDefault="00D9456F"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124.047.52</w:t>
            </w:r>
            <w:r>
              <w:rPr>
                <w:rFonts w:ascii="Arial" w:hAnsi="Arial" w:cs="Arial"/>
                <w:b/>
                <w:bCs/>
                <w:color w:val="000000"/>
                <w:sz w:val="16"/>
                <w:szCs w:val="16"/>
                <w:lang w:eastAsia="es-AR"/>
              </w:rPr>
              <w:t>7</w:t>
            </w:r>
            <w:r w:rsidRPr="00E446C3">
              <w:rPr>
                <w:rFonts w:ascii="Arial" w:hAnsi="Arial" w:cs="Arial"/>
                <w:b/>
                <w:bCs/>
                <w:color w:val="000000"/>
                <w:sz w:val="16"/>
                <w:szCs w:val="16"/>
                <w:lang w:eastAsia="es-AR"/>
              </w:rPr>
              <w:t xml:space="preserve"> </w:t>
            </w:r>
          </w:p>
        </w:tc>
      </w:tr>
      <w:tr w:rsidR="00D9456F" w:rsidRPr="004C0B8D" w14:paraId="4ADE611D" w14:textId="77777777" w:rsidTr="00FD3A61">
        <w:trPr>
          <w:trHeight w:val="309"/>
        </w:trPr>
        <w:tc>
          <w:tcPr>
            <w:tcW w:w="1242" w:type="pct"/>
            <w:tcBorders>
              <w:top w:val="nil"/>
              <w:left w:val="single" w:sz="4" w:space="0" w:color="auto"/>
              <w:bottom w:val="single" w:sz="4" w:space="0" w:color="auto"/>
              <w:right w:val="single" w:sz="4" w:space="0" w:color="auto"/>
            </w:tcBorders>
            <w:shd w:val="clear" w:color="auto" w:fill="auto"/>
            <w:noWrap/>
            <w:vAlign w:val="bottom"/>
            <w:hideMark/>
          </w:tcPr>
          <w:p w14:paraId="2089624C" w14:textId="77777777" w:rsidR="00D9456F" w:rsidRPr="00E446C3" w:rsidRDefault="00D9456F" w:rsidP="007D7797">
            <w:pPr>
              <w:rPr>
                <w:rFonts w:ascii="Arial" w:hAnsi="Arial" w:cs="Arial"/>
                <w:b/>
                <w:bCs/>
                <w:color w:val="000000"/>
                <w:sz w:val="16"/>
                <w:szCs w:val="16"/>
                <w:lang w:eastAsia="es-AR"/>
              </w:rPr>
            </w:pPr>
            <w:r w:rsidRPr="00E446C3">
              <w:rPr>
                <w:rFonts w:ascii="Arial" w:hAnsi="Arial" w:cs="Arial"/>
                <w:b/>
                <w:bCs/>
                <w:color w:val="000000"/>
                <w:sz w:val="16"/>
                <w:szCs w:val="16"/>
                <w:lang w:eastAsia="es-AR"/>
              </w:rPr>
              <w:t>Monto Neto</w:t>
            </w:r>
          </w:p>
        </w:tc>
        <w:tc>
          <w:tcPr>
            <w:tcW w:w="651" w:type="pct"/>
            <w:tcBorders>
              <w:top w:val="nil"/>
              <w:left w:val="nil"/>
              <w:bottom w:val="single" w:sz="4" w:space="0" w:color="auto"/>
              <w:right w:val="single" w:sz="4" w:space="0" w:color="auto"/>
            </w:tcBorders>
            <w:shd w:val="clear" w:color="auto" w:fill="auto"/>
            <w:noWrap/>
            <w:vAlign w:val="bottom"/>
            <w:hideMark/>
          </w:tcPr>
          <w:p w14:paraId="518CC743" w14:textId="77777777" w:rsidR="00D9456F" w:rsidRPr="00E446C3" w:rsidRDefault="00D9456F"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(20.478.50</w:t>
            </w:r>
            <w:r>
              <w:rPr>
                <w:rFonts w:ascii="Arial" w:hAnsi="Arial" w:cs="Arial"/>
                <w:b/>
                <w:bCs/>
                <w:color w:val="000000"/>
                <w:sz w:val="16"/>
                <w:szCs w:val="16"/>
                <w:lang w:eastAsia="es-AR"/>
              </w:rPr>
              <w:t>6</w:t>
            </w:r>
            <w:r w:rsidRPr="00E446C3">
              <w:rPr>
                <w:rFonts w:ascii="Arial" w:hAnsi="Arial" w:cs="Arial"/>
                <w:b/>
                <w:bCs/>
                <w:color w:val="000000"/>
                <w:sz w:val="16"/>
                <w:szCs w:val="16"/>
                <w:lang w:eastAsia="es-AR"/>
              </w:rPr>
              <w:t>)</w:t>
            </w:r>
          </w:p>
        </w:tc>
        <w:tc>
          <w:tcPr>
            <w:tcW w:w="588" w:type="pct"/>
            <w:tcBorders>
              <w:top w:val="nil"/>
              <w:left w:val="nil"/>
              <w:bottom w:val="single" w:sz="4" w:space="0" w:color="auto"/>
              <w:right w:val="single" w:sz="4" w:space="0" w:color="auto"/>
            </w:tcBorders>
            <w:shd w:val="clear" w:color="auto" w:fill="auto"/>
            <w:noWrap/>
            <w:vAlign w:val="bottom"/>
            <w:hideMark/>
          </w:tcPr>
          <w:p w14:paraId="20C54463" w14:textId="77777777" w:rsidR="00D9456F" w:rsidRPr="00E446C3" w:rsidRDefault="00D9456F"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(7.811.155)</w:t>
            </w:r>
          </w:p>
        </w:tc>
        <w:tc>
          <w:tcPr>
            <w:tcW w:w="613" w:type="pct"/>
            <w:tcBorders>
              <w:top w:val="nil"/>
              <w:left w:val="nil"/>
              <w:bottom w:val="single" w:sz="4" w:space="0" w:color="auto"/>
              <w:right w:val="single" w:sz="4" w:space="0" w:color="auto"/>
            </w:tcBorders>
            <w:shd w:val="clear" w:color="auto" w:fill="auto"/>
            <w:noWrap/>
            <w:vAlign w:val="bottom"/>
            <w:hideMark/>
          </w:tcPr>
          <w:p w14:paraId="4ADD44C9" w14:textId="77777777" w:rsidR="00D9456F" w:rsidRPr="00E446C3" w:rsidRDefault="00D9456F"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10.194.331 </w:t>
            </w:r>
          </w:p>
        </w:tc>
        <w:tc>
          <w:tcPr>
            <w:tcW w:w="674" w:type="pct"/>
            <w:tcBorders>
              <w:top w:val="nil"/>
              <w:left w:val="nil"/>
              <w:bottom w:val="single" w:sz="4" w:space="0" w:color="auto"/>
              <w:right w:val="single" w:sz="4" w:space="0" w:color="auto"/>
            </w:tcBorders>
            <w:shd w:val="clear" w:color="auto" w:fill="auto"/>
            <w:noWrap/>
            <w:vAlign w:val="bottom"/>
            <w:hideMark/>
          </w:tcPr>
          <w:p w14:paraId="25A49D0D" w14:textId="77777777" w:rsidR="00D9456F" w:rsidRPr="00E446C3" w:rsidRDefault="00D9456F"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7.823.332 </w:t>
            </w:r>
          </w:p>
        </w:tc>
        <w:tc>
          <w:tcPr>
            <w:tcW w:w="621" w:type="pct"/>
            <w:tcBorders>
              <w:top w:val="nil"/>
              <w:left w:val="nil"/>
              <w:bottom w:val="single" w:sz="4" w:space="0" w:color="auto"/>
              <w:right w:val="single" w:sz="4" w:space="0" w:color="auto"/>
            </w:tcBorders>
            <w:shd w:val="clear" w:color="auto" w:fill="auto"/>
            <w:noWrap/>
            <w:vAlign w:val="bottom"/>
            <w:hideMark/>
          </w:tcPr>
          <w:p w14:paraId="3729C0E2" w14:textId="77777777" w:rsidR="00D9456F" w:rsidRPr="00E446C3" w:rsidRDefault="00D9456F"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21.495.892 </w:t>
            </w:r>
          </w:p>
        </w:tc>
        <w:tc>
          <w:tcPr>
            <w:tcW w:w="610" w:type="pct"/>
            <w:tcBorders>
              <w:top w:val="nil"/>
              <w:left w:val="nil"/>
              <w:bottom w:val="single" w:sz="4" w:space="0" w:color="auto"/>
              <w:right w:val="single" w:sz="4" w:space="0" w:color="auto"/>
            </w:tcBorders>
            <w:shd w:val="clear" w:color="auto" w:fill="auto"/>
            <w:noWrap/>
            <w:vAlign w:val="bottom"/>
            <w:hideMark/>
          </w:tcPr>
          <w:p w14:paraId="57D96AAD" w14:textId="77777777" w:rsidR="00D9456F" w:rsidRPr="00E446C3" w:rsidRDefault="00D9456F"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11.223.89</w:t>
            </w:r>
            <w:r>
              <w:rPr>
                <w:rFonts w:ascii="Arial" w:hAnsi="Arial" w:cs="Arial"/>
                <w:b/>
                <w:bCs/>
                <w:color w:val="000000"/>
                <w:sz w:val="16"/>
                <w:szCs w:val="16"/>
                <w:lang w:eastAsia="es-AR"/>
              </w:rPr>
              <w:t>4</w:t>
            </w:r>
            <w:r w:rsidRPr="00E446C3">
              <w:rPr>
                <w:rFonts w:ascii="Arial" w:hAnsi="Arial" w:cs="Arial"/>
                <w:b/>
                <w:bCs/>
                <w:color w:val="000000"/>
                <w:sz w:val="16"/>
                <w:szCs w:val="16"/>
                <w:lang w:eastAsia="es-AR"/>
              </w:rPr>
              <w:t xml:space="preserve"> </w:t>
            </w:r>
          </w:p>
        </w:tc>
      </w:tr>
    </w:tbl>
    <w:p w14:paraId="1042F1B7" w14:textId="77777777" w:rsidR="00D9456F" w:rsidRDefault="00D9456F" w:rsidP="00EB6617">
      <w:pPr>
        <w:autoSpaceDE w:val="0"/>
        <w:autoSpaceDN w:val="0"/>
        <w:adjustRightInd w:val="0"/>
        <w:jc w:val="both"/>
        <w:rPr>
          <w:rFonts w:ascii="Arial" w:hAnsi="Arial" w:cs="Arial"/>
          <w:sz w:val="20"/>
        </w:rPr>
      </w:pPr>
    </w:p>
    <w:p w14:paraId="06A79017" w14:textId="7D52EA50" w:rsidR="00EB6617" w:rsidRDefault="00AA1E83" w:rsidP="00EB6617">
      <w:pPr>
        <w:autoSpaceDE w:val="0"/>
        <w:autoSpaceDN w:val="0"/>
        <w:adjustRightInd w:val="0"/>
        <w:jc w:val="both"/>
        <w:rPr>
          <w:rFonts w:ascii="Arial" w:hAnsi="Arial" w:cs="Arial"/>
          <w:sz w:val="20"/>
        </w:rPr>
      </w:pPr>
      <w:r w:rsidRPr="00376067">
        <w:rPr>
          <w:rFonts w:ascii="Arial" w:hAnsi="Arial" w:cs="Arial"/>
          <w:sz w:val="20"/>
        </w:rPr>
        <w:t>El cuadro que se detalla a continuación muestra la sensibilidad frente a una posible variación adicional para el próximo ejercicio en las tasas de interés, teniendo en cuenta la composición al 31 de diciembre de 201</w:t>
      </w:r>
      <w:r>
        <w:rPr>
          <w:rFonts w:ascii="Arial" w:hAnsi="Arial" w:cs="Arial"/>
          <w:sz w:val="20"/>
        </w:rPr>
        <w:t>9</w:t>
      </w:r>
      <w:r w:rsidR="00BB5CD3">
        <w:rPr>
          <w:rFonts w:ascii="Arial" w:hAnsi="Arial" w:cs="Arial"/>
          <w:sz w:val="20"/>
        </w:rPr>
        <w:t xml:space="preserve"> y 2018</w:t>
      </w:r>
      <w:r w:rsidRPr="00376067">
        <w:rPr>
          <w:rFonts w:ascii="Arial" w:hAnsi="Arial" w:cs="Arial"/>
          <w:sz w:val="20"/>
        </w:rPr>
        <w:t xml:space="preserve">. </w:t>
      </w:r>
      <w:r>
        <w:rPr>
          <w:rFonts w:ascii="Arial" w:hAnsi="Arial" w:cs="Arial"/>
          <w:sz w:val="20"/>
        </w:rPr>
        <w:t xml:space="preserve">Las variaciones en las tasas </w:t>
      </w:r>
      <w:r w:rsidRPr="00376067">
        <w:rPr>
          <w:rFonts w:ascii="Arial" w:hAnsi="Arial" w:cs="Arial"/>
          <w:sz w:val="20"/>
        </w:rPr>
        <w:t>fue</w:t>
      </w:r>
      <w:r>
        <w:rPr>
          <w:rFonts w:ascii="Arial" w:hAnsi="Arial" w:cs="Arial"/>
          <w:sz w:val="20"/>
        </w:rPr>
        <w:t>ron determinadas</w:t>
      </w:r>
      <w:r w:rsidRPr="00376067">
        <w:rPr>
          <w:rFonts w:ascii="Arial" w:hAnsi="Arial" w:cs="Arial"/>
          <w:sz w:val="20"/>
        </w:rPr>
        <w:t xml:space="preserve"> considerando</w:t>
      </w:r>
      <w:r>
        <w:rPr>
          <w:rFonts w:ascii="Arial" w:hAnsi="Arial" w:cs="Arial"/>
          <w:sz w:val="20"/>
        </w:rPr>
        <w:t xml:space="preserve"> los escenarios dispuestos por la Comunicación “A” 6397 para el cálculo del Riesgo de Tasa de Interés en la Cartera de Inversión. Los parámetros tomados como base y o </w:t>
      </w:r>
      <w:r w:rsidRPr="00376067">
        <w:rPr>
          <w:rFonts w:ascii="Arial" w:hAnsi="Arial" w:cs="Arial"/>
          <w:sz w:val="20"/>
        </w:rPr>
        <w:t>presupuestad</w:t>
      </w:r>
      <w:r>
        <w:rPr>
          <w:rFonts w:ascii="Arial" w:hAnsi="Arial" w:cs="Arial"/>
          <w:sz w:val="20"/>
        </w:rPr>
        <w:t>os por el Banc</w:t>
      </w:r>
      <w:r w:rsidRPr="00376067">
        <w:rPr>
          <w:rFonts w:ascii="Arial" w:hAnsi="Arial" w:cs="Arial"/>
          <w:sz w:val="20"/>
        </w:rPr>
        <w:t>o para el ejercicio 201</w:t>
      </w:r>
      <w:r>
        <w:rPr>
          <w:rFonts w:ascii="Arial" w:hAnsi="Arial" w:cs="Arial"/>
          <w:sz w:val="20"/>
        </w:rPr>
        <w:t>9</w:t>
      </w:r>
      <w:r w:rsidR="00BB5CD3">
        <w:rPr>
          <w:rFonts w:ascii="Arial" w:hAnsi="Arial" w:cs="Arial"/>
          <w:sz w:val="20"/>
        </w:rPr>
        <w:t xml:space="preserve"> y 2018</w:t>
      </w:r>
      <w:r w:rsidRPr="00376067">
        <w:rPr>
          <w:rFonts w:ascii="Arial" w:hAnsi="Arial" w:cs="Arial"/>
          <w:sz w:val="20"/>
        </w:rPr>
        <w:t xml:space="preserve"> y los cambios</w:t>
      </w:r>
      <w:r w:rsidR="00331A39">
        <w:rPr>
          <w:rFonts w:ascii="Arial" w:hAnsi="Arial" w:cs="Arial"/>
          <w:sz w:val="20"/>
        </w:rPr>
        <w:t>,</w:t>
      </w:r>
      <w:r w:rsidRPr="00376067">
        <w:rPr>
          <w:rFonts w:ascii="Arial" w:hAnsi="Arial" w:cs="Arial"/>
          <w:sz w:val="20"/>
        </w:rPr>
        <w:t xml:space="preserve"> son considerados razonablemente posibles basados en la observación de las condiciones del mercado:</w:t>
      </w:r>
    </w:p>
    <w:p w14:paraId="33ECA39D" w14:textId="77777777" w:rsidR="00EB6617" w:rsidRPr="00613EB0" w:rsidRDefault="00EB6617" w:rsidP="00EB6617">
      <w:pPr>
        <w:autoSpaceDE w:val="0"/>
        <w:autoSpaceDN w:val="0"/>
        <w:adjustRightInd w:val="0"/>
        <w:jc w:val="both"/>
        <w:rPr>
          <w:rFonts w:ascii="Arial" w:hAnsi="Arial" w:cs="Arial"/>
          <w:sz w:val="20"/>
        </w:rPr>
      </w:pPr>
    </w:p>
    <w:p w14:paraId="184D88D1" w14:textId="77777777" w:rsidR="00EB6617" w:rsidRPr="00613EB0" w:rsidRDefault="00EB6617" w:rsidP="00EB6617">
      <w:pPr>
        <w:autoSpaceDE w:val="0"/>
        <w:autoSpaceDN w:val="0"/>
        <w:adjustRightInd w:val="0"/>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3"/>
        <w:gridCol w:w="1701"/>
        <w:gridCol w:w="1559"/>
        <w:gridCol w:w="1701"/>
        <w:gridCol w:w="1771"/>
      </w:tblGrid>
      <w:tr w:rsidR="00FD3A61" w:rsidRPr="00BB5CD3" w14:paraId="0D4BFD05" w14:textId="5FDDA1EE" w:rsidTr="00FD3A61">
        <w:trPr>
          <w:trHeight w:val="745"/>
        </w:trPr>
        <w:tc>
          <w:tcPr>
            <w:tcW w:w="1913" w:type="dxa"/>
            <w:vMerge w:val="restart"/>
            <w:shd w:val="clear" w:color="auto" w:fill="auto"/>
            <w:noWrap/>
            <w:vAlign w:val="center"/>
          </w:tcPr>
          <w:p w14:paraId="42821808" w14:textId="10C94F9F" w:rsidR="00FD3A61" w:rsidRPr="00BB5CD3" w:rsidRDefault="00FD3A61" w:rsidP="00EB6617">
            <w:pPr>
              <w:jc w:val="center"/>
              <w:rPr>
                <w:rFonts w:ascii="Arial" w:hAnsi="Arial" w:cs="Arial"/>
                <w:b/>
                <w:sz w:val="16"/>
                <w:szCs w:val="16"/>
                <w:lang w:eastAsia="es-AR"/>
              </w:rPr>
            </w:pPr>
            <w:r w:rsidRPr="00BB5CD3">
              <w:rPr>
                <w:rFonts w:ascii="Arial" w:hAnsi="Arial" w:cs="Arial"/>
                <w:b/>
                <w:sz w:val="16"/>
                <w:szCs w:val="16"/>
                <w:lang w:eastAsia="es-AR"/>
              </w:rPr>
              <w:t>Concepto</w:t>
            </w:r>
          </w:p>
        </w:tc>
        <w:tc>
          <w:tcPr>
            <w:tcW w:w="3260" w:type="dxa"/>
            <w:gridSpan w:val="2"/>
            <w:shd w:val="clear" w:color="auto" w:fill="auto"/>
            <w:vAlign w:val="center"/>
          </w:tcPr>
          <w:p w14:paraId="32053842" w14:textId="67C57A9D" w:rsidR="00FD3A61" w:rsidRPr="00BB5CD3" w:rsidRDefault="00FD3A61" w:rsidP="00FD3A61">
            <w:pPr>
              <w:jc w:val="center"/>
              <w:rPr>
                <w:rFonts w:ascii="Arial" w:hAnsi="Arial" w:cs="Arial"/>
                <w:b/>
                <w:bCs/>
                <w:color w:val="000000"/>
                <w:sz w:val="16"/>
                <w:szCs w:val="16"/>
                <w:lang w:eastAsia="es-AR"/>
              </w:rPr>
            </w:pPr>
            <w:r w:rsidRPr="00BB5CD3">
              <w:rPr>
                <w:rFonts w:ascii="Arial" w:hAnsi="Arial" w:cs="Arial"/>
                <w:b/>
                <w:bCs/>
                <w:color w:val="000000"/>
                <w:sz w:val="16"/>
                <w:szCs w:val="16"/>
                <w:lang w:eastAsia="es-AR"/>
              </w:rPr>
              <w:t>31/12/2019</w:t>
            </w:r>
          </w:p>
        </w:tc>
        <w:tc>
          <w:tcPr>
            <w:tcW w:w="3472" w:type="dxa"/>
            <w:gridSpan w:val="2"/>
            <w:vAlign w:val="center"/>
          </w:tcPr>
          <w:p w14:paraId="7F654833" w14:textId="77777777" w:rsidR="00FD3A61" w:rsidRPr="00BB5CD3" w:rsidRDefault="00FD3A61" w:rsidP="00FD3A61">
            <w:pPr>
              <w:jc w:val="center"/>
              <w:rPr>
                <w:rFonts w:ascii="Arial" w:hAnsi="Arial" w:cs="Arial"/>
                <w:b/>
                <w:bCs/>
                <w:color w:val="000000"/>
                <w:sz w:val="16"/>
                <w:szCs w:val="16"/>
                <w:lang w:eastAsia="es-AR"/>
              </w:rPr>
            </w:pPr>
          </w:p>
          <w:p w14:paraId="57DB1686" w14:textId="0AFBF7FC" w:rsidR="00FD3A61" w:rsidRPr="00BB5CD3" w:rsidRDefault="00FD3A61" w:rsidP="00FD3A61">
            <w:pPr>
              <w:jc w:val="center"/>
              <w:rPr>
                <w:rFonts w:ascii="Arial" w:hAnsi="Arial" w:cs="Arial"/>
                <w:b/>
                <w:bCs/>
                <w:color w:val="000000"/>
                <w:sz w:val="16"/>
                <w:szCs w:val="16"/>
                <w:lang w:eastAsia="es-AR"/>
              </w:rPr>
            </w:pPr>
            <w:r w:rsidRPr="00BB5CD3">
              <w:rPr>
                <w:rFonts w:ascii="Arial" w:hAnsi="Arial" w:cs="Arial"/>
                <w:b/>
                <w:bCs/>
                <w:color w:val="000000"/>
                <w:sz w:val="16"/>
                <w:szCs w:val="16"/>
                <w:lang w:eastAsia="es-AR"/>
              </w:rPr>
              <w:t>31/12/2018</w:t>
            </w:r>
          </w:p>
          <w:p w14:paraId="34F9C415" w14:textId="4B7EBB0F" w:rsidR="00FD3A61" w:rsidRPr="00BB5CD3" w:rsidRDefault="00FD3A61" w:rsidP="00FD3A61">
            <w:pPr>
              <w:jc w:val="center"/>
              <w:rPr>
                <w:rFonts w:ascii="Arial" w:hAnsi="Arial" w:cs="Arial"/>
                <w:b/>
                <w:bCs/>
                <w:color w:val="000000"/>
                <w:sz w:val="16"/>
                <w:szCs w:val="16"/>
                <w:lang w:eastAsia="es-AR"/>
              </w:rPr>
            </w:pPr>
          </w:p>
        </w:tc>
      </w:tr>
      <w:tr w:rsidR="00FD3A61" w:rsidRPr="00BB5CD3" w14:paraId="1AAF8730" w14:textId="6CE42FF2" w:rsidTr="00BB5CD3">
        <w:trPr>
          <w:trHeight w:val="745"/>
        </w:trPr>
        <w:tc>
          <w:tcPr>
            <w:tcW w:w="1913" w:type="dxa"/>
            <w:vMerge/>
            <w:shd w:val="clear" w:color="auto" w:fill="auto"/>
            <w:noWrap/>
            <w:vAlign w:val="center"/>
            <w:hideMark/>
          </w:tcPr>
          <w:p w14:paraId="7186780A" w14:textId="77777777" w:rsidR="00FD3A61" w:rsidRPr="00BB5CD3" w:rsidRDefault="00FD3A61" w:rsidP="00EB6617">
            <w:pPr>
              <w:jc w:val="center"/>
              <w:rPr>
                <w:rFonts w:ascii="Arial" w:hAnsi="Arial" w:cs="Arial"/>
                <w:sz w:val="16"/>
                <w:szCs w:val="16"/>
                <w:lang w:eastAsia="es-AR"/>
              </w:rPr>
            </w:pPr>
          </w:p>
        </w:tc>
        <w:tc>
          <w:tcPr>
            <w:tcW w:w="1701" w:type="dxa"/>
            <w:shd w:val="clear" w:color="auto" w:fill="auto"/>
            <w:vAlign w:val="center"/>
            <w:hideMark/>
          </w:tcPr>
          <w:p w14:paraId="4EB807BA" w14:textId="77777777" w:rsidR="00FD3A61" w:rsidRPr="00BB5CD3" w:rsidRDefault="00FD3A61" w:rsidP="00EB6617">
            <w:pPr>
              <w:jc w:val="center"/>
              <w:rPr>
                <w:rFonts w:ascii="Arial" w:hAnsi="Arial" w:cs="Arial"/>
                <w:b/>
                <w:bCs/>
                <w:sz w:val="16"/>
                <w:szCs w:val="16"/>
                <w:lang w:eastAsia="es-AR"/>
              </w:rPr>
            </w:pPr>
            <w:r w:rsidRPr="00BB5CD3">
              <w:rPr>
                <w:rFonts w:ascii="Arial" w:hAnsi="Arial" w:cs="Arial"/>
                <w:b/>
                <w:bCs/>
                <w:sz w:val="16"/>
                <w:szCs w:val="16"/>
                <w:lang w:eastAsia="es-AR"/>
              </w:rPr>
              <w:t>Variación adicional en la tasa de interés</w:t>
            </w:r>
          </w:p>
        </w:tc>
        <w:tc>
          <w:tcPr>
            <w:tcW w:w="1559" w:type="dxa"/>
            <w:shd w:val="clear" w:color="auto" w:fill="auto"/>
            <w:vAlign w:val="center"/>
            <w:hideMark/>
          </w:tcPr>
          <w:p w14:paraId="050D3A39" w14:textId="77777777" w:rsidR="00FD3A61" w:rsidRPr="00BB5CD3" w:rsidRDefault="00FD3A61" w:rsidP="00EB6617">
            <w:pPr>
              <w:jc w:val="center"/>
              <w:rPr>
                <w:rFonts w:ascii="Arial" w:hAnsi="Arial" w:cs="Arial"/>
                <w:b/>
                <w:bCs/>
                <w:color w:val="000000"/>
                <w:sz w:val="16"/>
                <w:szCs w:val="16"/>
                <w:lang w:eastAsia="es-AR"/>
              </w:rPr>
            </w:pPr>
            <w:r w:rsidRPr="00BB5CD3">
              <w:rPr>
                <w:rFonts w:ascii="Arial" w:hAnsi="Arial" w:cs="Arial"/>
                <w:b/>
                <w:bCs/>
                <w:color w:val="000000"/>
                <w:sz w:val="16"/>
                <w:szCs w:val="16"/>
                <w:lang w:eastAsia="es-AR"/>
              </w:rPr>
              <w:t>Aumento / (descenso) del resultado neto de impuesto a las ganancias</w:t>
            </w:r>
          </w:p>
          <w:p w14:paraId="677F5367" w14:textId="77777777" w:rsidR="00FD3A61" w:rsidRPr="00BB5CD3" w:rsidRDefault="00FD3A61" w:rsidP="00EB6617">
            <w:pPr>
              <w:jc w:val="center"/>
              <w:rPr>
                <w:rFonts w:ascii="Arial" w:hAnsi="Arial" w:cs="Arial"/>
                <w:b/>
                <w:bCs/>
                <w:sz w:val="16"/>
                <w:szCs w:val="16"/>
                <w:lang w:eastAsia="es-AR"/>
              </w:rPr>
            </w:pPr>
          </w:p>
        </w:tc>
        <w:tc>
          <w:tcPr>
            <w:tcW w:w="1701" w:type="dxa"/>
            <w:vAlign w:val="center"/>
          </w:tcPr>
          <w:p w14:paraId="09103A59" w14:textId="36568DE2" w:rsidR="00FD3A61" w:rsidRPr="00BB5CD3" w:rsidRDefault="00FD3A61" w:rsidP="00BB5CD3">
            <w:pPr>
              <w:jc w:val="center"/>
              <w:rPr>
                <w:rFonts w:ascii="Arial" w:hAnsi="Arial" w:cs="Arial"/>
                <w:b/>
                <w:bCs/>
                <w:color w:val="000000"/>
                <w:sz w:val="16"/>
                <w:szCs w:val="16"/>
                <w:lang w:eastAsia="es-AR"/>
              </w:rPr>
            </w:pPr>
            <w:r w:rsidRPr="00BB5CD3">
              <w:rPr>
                <w:rFonts w:ascii="Arial" w:hAnsi="Arial" w:cs="Arial"/>
                <w:b/>
                <w:bCs/>
                <w:sz w:val="16"/>
                <w:szCs w:val="16"/>
                <w:lang w:eastAsia="es-AR"/>
              </w:rPr>
              <w:t>Variación adicional en la tasa de interés</w:t>
            </w:r>
          </w:p>
        </w:tc>
        <w:tc>
          <w:tcPr>
            <w:tcW w:w="1771" w:type="dxa"/>
            <w:vAlign w:val="center"/>
          </w:tcPr>
          <w:p w14:paraId="49A5A288" w14:textId="77777777" w:rsidR="00BB5CD3" w:rsidRDefault="00BB5CD3" w:rsidP="00BB5CD3">
            <w:pPr>
              <w:jc w:val="center"/>
              <w:rPr>
                <w:rFonts w:ascii="Arial" w:hAnsi="Arial" w:cs="Arial"/>
                <w:b/>
                <w:bCs/>
                <w:color w:val="000000"/>
                <w:sz w:val="16"/>
                <w:szCs w:val="16"/>
                <w:lang w:eastAsia="es-AR"/>
              </w:rPr>
            </w:pPr>
          </w:p>
          <w:p w14:paraId="0FFAEBD5" w14:textId="7D589052" w:rsidR="00FD3A61" w:rsidRPr="00BB5CD3" w:rsidRDefault="00FD3A61" w:rsidP="00BB5CD3">
            <w:pPr>
              <w:jc w:val="center"/>
              <w:rPr>
                <w:rFonts w:ascii="Arial" w:hAnsi="Arial" w:cs="Arial"/>
                <w:b/>
                <w:bCs/>
                <w:color w:val="000000"/>
                <w:sz w:val="16"/>
                <w:szCs w:val="16"/>
                <w:lang w:eastAsia="es-AR"/>
              </w:rPr>
            </w:pPr>
            <w:r w:rsidRPr="00BB5CD3">
              <w:rPr>
                <w:rFonts w:ascii="Arial" w:hAnsi="Arial" w:cs="Arial"/>
                <w:b/>
                <w:bCs/>
                <w:color w:val="000000"/>
                <w:sz w:val="16"/>
                <w:szCs w:val="16"/>
                <w:lang w:eastAsia="es-AR"/>
              </w:rPr>
              <w:t>Aumento / (descenso) del resultado neto de impuesto a las ganancias</w:t>
            </w:r>
          </w:p>
          <w:p w14:paraId="4E9B1D4E" w14:textId="77777777" w:rsidR="00FD3A61" w:rsidRPr="00BB5CD3" w:rsidRDefault="00FD3A61" w:rsidP="00BB5CD3">
            <w:pPr>
              <w:jc w:val="center"/>
              <w:rPr>
                <w:rFonts w:ascii="Arial" w:hAnsi="Arial" w:cs="Arial"/>
                <w:b/>
                <w:bCs/>
                <w:color w:val="000000"/>
                <w:sz w:val="16"/>
                <w:szCs w:val="16"/>
                <w:lang w:eastAsia="es-AR"/>
              </w:rPr>
            </w:pPr>
          </w:p>
        </w:tc>
      </w:tr>
      <w:tr w:rsidR="00CA4889" w:rsidRPr="00BB5CD3" w14:paraId="453AF17E" w14:textId="2FC02349" w:rsidTr="007D7797">
        <w:trPr>
          <w:trHeight w:val="278"/>
        </w:trPr>
        <w:tc>
          <w:tcPr>
            <w:tcW w:w="1913" w:type="dxa"/>
            <w:shd w:val="clear" w:color="auto" w:fill="auto"/>
            <w:noWrap/>
            <w:vAlign w:val="bottom"/>
            <w:hideMark/>
          </w:tcPr>
          <w:p w14:paraId="5AE1FE13" w14:textId="77777777" w:rsidR="00CA4889" w:rsidRPr="00BB5CD3" w:rsidRDefault="00CA4889" w:rsidP="00CA4889">
            <w:pPr>
              <w:rPr>
                <w:rFonts w:ascii="Arial" w:hAnsi="Arial" w:cs="Arial"/>
                <w:sz w:val="16"/>
                <w:szCs w:val="16"/>
                <w:lang w:eastAsia="es-AR"/>
              </w:rPr>
            </w:pPr>
            <w:r w:rsidRPr="00BB5CD3">
              <w:rPr>
                <w:rFonts w:ascii="Arial" w:hAnsi="Arial" w:cs="Arial"/>
                <w:color w:val="000000"/>
                <w:sz w:val="16"/>
                <w:szCs w:val="16"/>
                <w:lang w:eastAsia="es-AR"/>
              </w:rPr>
              <w:t>Descenso en la tasa de interés</w:t>
            </w:r>
          </w:p>
        </w:tc>
        <w:tc>
          <w:tcPr>
            <w:tcW w:w="1701" w:type="dxa"/>
            <w:shd w:val="clear" w:color="auto" w:fill="auto"/>
            <w:noWrap/>
            <w:vAlign w:val="bottom"/>
          </w:tcPr>
          <w:p w14:paraId="2ADCFD3D" w14:textId="51BC9DDA" w:rsidR="00CA4889" w:rsidRPr="00BB5CD3" w:rsidRDefault="00CA4889" w:rsidP="00CA4889">
            <w:pPr>
              <w:pStyle w:val="Prrafodelista"/>
              <w:ind w:left="0"/>
              <w:jc w:val="right"/>
              <w:rPr>
                <w:rFonts w:ascii="Arial" w:hAnsi="Arial" w:cs="Arial"/>
                <w:sz w:val="16"/>
                <w:szCs w:val="16"/>
                <w:lang w:eastAsia="es-AR"/>
              </w:rPr>
            </w:pPr>
            <w:r w:rsidRPr="00BB5CD3">
              <w:rPr>
                <w:rFonts w:ascii="Arial" w:hAnsi="Arial" w:cs="Arial"/>
                <w:sz w:val="16"/>
                <w:szCs w:val="16"/>
                <w:lang w:eastAsia="es-AR"/>
              </w:rPr>
              <w:t>4% ARS; 2% USD</w:t>
            </w:r>
          </w:p>
        </w:tc>
        <w:tc>
          <w:tcPr>
            <w:tcW w:w="1559" w:type="dxa"/>
            <w:shd w:val="clear" w:color="auto" w:fill="auto"/>
            <w:noWrap/>
            <w:vAlign w:val="bottom"/>
          </w:tcPr>
          <w:p w14:paraId="7AEBDAEF" w14:textId="7000D16E" w:rsidR="00CA4889" w:rsidRPr="00BB5CD3" w:rsidRDefault="00CA4889" w:rsidP="00CA4889">
            <w:pPr>
              <w:jc w:val="right"/>
              <w:rPr>
                <w:rFonts w:ascii="Arial" w:hAnsi="Arial" w:cs="Arial"/>
                <w:sz w:val="16"/>
                <w:szCs w:val="16"/>
                <w:lang w:eastAsia="es-AR"/>
              </w:rPr>
            </w:pPr>
            <w:r>
              <w:rPr>
                <w:rFonts w:ascii="Arial" w:hAnsi="Arial" w:cs="Arial"/>
                <w:sz w:val="16"/>
                <w:szCs w:val="16"/>
                <w:lang w:eastAsia="es-AR"/>
              </w:rPr>
              <w:t>(3</w:t>
            </w:r>
            <w:r w:rsidR="00C80DDF">
              <w:rPr>
                <w:rFonts w:ascii="Arial" w:hAnsi="Arial" w:cs="Arial"/>
                <w:sz w:val="16"/>
                <w:szCs w:val="16"/>
                <w:lang w:eastAsia="es-AR"/>
              </w:rPr>
              <w:t>57</w:t>
            </w:r>
            <w:r>
              <w:rPr>
                <w:rFonts w:ascii="Arial" w:hAnsi="Arial" w:cs="Arial"/>
                <w:sz w:val="16"/>
                <w:szCs w:val="16"/>
                <w:lang w:eastAsia="es-AR"/>
              </w:rPr>
              <w:t>.</w:t>
            </w:r>
            <w:r w:rsidR="00C80DDF">
              <w:rPr>
                <w:rFonts w:ascii="Arial" w:hAnsi="Arial" w:cs="Arial"/>
                <w:sz w:val="16"/>
                <w:szCs w:val="16"/>
                <w:lang w:eastAsia="es-AR"/>
              </w:rPr>
              <w:t>394</w:t>
            </w:r>
            <w:r>
              <w:rPr>
                <w:rFonts w:ascii="Arial" w:hAnsi="Arial" w:cs="Arial"/>
                <w:sz w:val="16"/>
                <w:szCs w:val="16"/>
                <w:lang w:eastAsia="es-AR"/>
              </w:rPr>
              <w:t>)</w:t>
            </w:r>
          </w:p>
        </w:tc>
        <w:tc>
          <w:tcPr>
            <w:tcW w:w="1701" w:type="dxa"/>
            <w:shd w:val="clear" w:color="auto" w:fill="auto"/>
            <w:vAlign w:val="bottom"/>
          </w:tcPr>
          <w:p w14:paraId="79167B36" w14:textId="1396C153" w:rsidR="00CA4889" w:rsidRPr="00BB5CD3" w:rsidRDefault="00CA4889" w:rsidP="00CA4889">
            <w:pPr>
              <w:jc w:val="right"/>
              <w:rPr>
                <w:rFonts w:ascii="Arial" w:hAnsi="Arial" w:cs="Arial"/>
                <w:sz w:val="16"/>
                <w:szCs w:val="16"/>
                <w:lang w:eastAsia="es-AR"/>
              </w:rPr>
            </w:pPr>
            <w:r w:rsidRPr="00BB5CD3">
              <w:rPr>
                <w:rFonts w:ascii="Arial" w:hAnsi="Arial" w:cs="Arial"/>
                <w:sz w:val="16"/>
                <w:szCs w:val="16"/>
                <w:lang w:eastAsia="es-AR"/>
              </w:rPr>
              <w:t>4% ARS; 2% USD</w:t>
            </w:r>
          </w:p>
        </w:tc>
        <w:tc>
          <w:tcPr>
            <w:tcW w:w="1771" w:type="dxa"/>
            <w:vAlign w:val="bottom"/>
          </w:tcPr>
          <w:p w14:paraId="6E81C2B2" w14:textId="32B98E89" w:rsidR="00CA4889" w:rsidRPr="00BB5CD3" w:rsidRDefault="00CA4889" w:rsidP="00CA4889">
            <w:pPr>
              <w:jc w:val="right"/>
              <w:rPr>
                <w:rFonts w:ascii="Arial" w:hAnsi="Arial" w:cs="Arial"/>
                <w:sz w:val="16"/>
                <w:szCs w:val="16"/>
                <w:lang w:eastAsia="es-AR"/>
              </w:rPr>
            </w:pPr>
            <w:r>
              <w:rPr>
                <w:rFonts w:ascii="Arial" w:hAnsi="Arial" w:cs="Arial"/>
                <w:sz w:val="16"/>
                <w:szCs w:val="16"/>
                <w:lang w:eastAsia="es-AR"/>
              </w:rPr>
              <w:t>55.643</w:t>
            </w:r>
          </w:p>
        </w:tc>
      </w:tr>
      <w:tr w:rsidR="00CA4889" w:rsidRPr="00BB5CD3" w14:paraId="646117BC" w14:textId="03171F14" w:rsidTr="007D7797">
        <w:trPr>
          <w:trHeight w:val="278"/>
        </w:trPr>
        <w:tc>
          <w:tcPr>
            <w:tcW w:w="1913" w:type="dxa"/>
            <w:shd w:val="clear" w:color="auto" w:fill="auto"/>
            <w:noWrap/>
            <w:vAlign w:val="bottom"/>
            <w:hideMark/>
          </w:tcPr>
          <w:p w14:paraId="014F538E" w14:textId="77777777" w:rsidR="00CA4889" w:rsidRPr="00BB5CD3" w:rsidRDefault="00CA4889" w:rsidP="00CA4889">
            <w:pPr>
              <w:rPr>
                <w:rFonts w:ascii="Arial" w:hAnsi="Arial" w:cs="Arial"/>
                <w:sz w:val="16"/>
                <w:szCs w:val="16"/>
                <w:lang w:eastAsia="es-AR"/>
              </w:rPr>
            </w:pPr>
            <w:r w:rsidRPr="00BB5CD3">
              <w:rPr>
                <w:rFonts w:ascii="Arial" w:hAnsi="Arial" w:cs="Arial"/>
                <w:color w:val="000000"/>
                <w:sz w:val="16"/>
                <w:szCs w:val="16"/>
                <w:lang w:eastAsia="es-AR"/>
              </w:rPr>
              <w:t>Incremento en la tasa de interés</w:t>
            </w:r>
          </w:p>
        </w:tc>
        <w:tc>
          <w:tcPr>
            <w:tcW w:w="1701" w:type="dxa"/>
            <w:shd w:val="clear" w:color="auto" w:fill="auto"/>
            <w:noWrap/>
            <w:vAlign w:val="bottom"/>
          </w:tcPr>
          <w:p w14:paraId="5B452DD3" w14:textId="4C009E12" w:rsidR="00CA4889" w:rsidRPr="00BB5CD3" w:rsidRDefault="00CA4889" w:rsidP="00CA4889">
            <w:pPr>
              <w:jc w:val="right"/>
              <w:rPr>
                <w:rFonts w:ascii="Arial" w:hAnsi="Arial" w:cs="Arial"/>
                <w:sz w:val="16"/>
                <w:szCs w:val="16"/>
                <w:lang w:eastAsia="es-AR"/>
              </w:rPr>
            </w:pPr>
            <w:r w:rsidRPr="00BB5CD3">
              <w:rPr>
                <w:rFonts w:ascii="Arial" w:hAnsi="Arial" w:cs="Arial"/>
                <w:sz w:val="16"/>
                <w:szCs w:val="16"/>
                <w:lang w:eastAsia="es-AR"/>
              </w:rPr>
              <w:t>4% ARS; 2% USD</w:t>
            </w:r>
          </w:p>
        </w:tc>
        <w:tc>
          <w:tcPr>
            <w:tcW w:w="1559" w:type="dxa"/>
            <w:shd w:val="clear" w:color="auto" w:fill="auto"/>
            <w:noWrap/>
            <w:vAlign w:val="bottom"/>
          </w:tcPr>
          <w:p w14:paraId="07FBDD2F" w14:textId="0FB647B2" w:rsidR="00CA4889" w:rsidRPr="00BB5CD3" w:rsidRDefault="00CA4889" w:rsidP="00CA4889">
            <w:pPr>
              <w:jc w:val="right"/>
              <w:rPr>
                <w:rFonts w:ascii="Arial" w:hAnsi="Arial" w:cs="Arial"/>
                <w:sz w:val="16"/>
                <w:szCs w:val="16"/>
                <w:lang w:eastAsia="es-AR"/>
              </w:rPr>
            </w:pPr>
            <w:r>
              <w:rPr>
                <w:rFonts w:ascii="Arial" w:hAnsi="Arial" w:cs="Arial"/>
                <w:sz w:val="16"/>
                <w:szCs w:val="16"/>
                <w:lang w:eastAsia="es-AR"/>
              </w:rPr>
              <w:t>2</w:t>
            </w:r>
            <w:r w:rsidR="00C80DDF">
              <w:rPr>
                <w:rFonts w:ascii="Arial" w:hAnsi="Arial" w:cs="Arial"/>
                <w:sz w:val="16"/>
                <w:szCs w:val="16"/>
                <w:lang w:eastAsia="es-AR"/>
              </w:rPr>
              <w:t>6</w:t>
            </w:r>
            <w:r>
              <w:rPr>
                <w:rFonts w:ascii="Arial" w:hAnsi="Arial" w:cs="Arial"/>
                <w:sz w:val="16"/>
                <w:szCs w:val="16"/>
                <w:lang w:eastAsia="es-AR"/>
              </w:rPr>
              <w:t>0.</w:t>
            </w:r>
            <w:r w:rsidR="00C80DDF">
              <w:rPr>
                <w:rFonts w:ascii="Arial" w:hAnsi="Arial" w:cs="Arial"/>
                <w:sz w:val="16"/>
                <w:szCs w:val="16"/>
                <w:lang w:eastAsia="es-AR"/>
              </w:rPr>
              <w:t>313</w:t>
            </w:r>
          </w:p>
        </w:tc>
        <w:tc>
          <w:tcPr>
            <w:tcW w:w="1701" w:type="dxa"/>
            <w:shd w:val="clear" w:color="auto" w:fill="auto"/>
            <w:vAlign w:val="bottom"/>
          </w:tcPr>
          <w:p w14:paraId="290FF1D9" w14:textId="5E610EFB" w:rsidR="00CA4889" w:rsidRPr="00BB5CD3" w:rsidRDefault="00CA4889" w:rsidP="00CA4889">
            <w:pPr>
              <w:jc w:val="right"/>
              <w:rPr>
                <w:rFonts w:ascii="Arial" w:hAnsi="Arial" w:cs="Arial"/>
                <w:sz w:val="16"/>
                <w:szCs w:val="16"/>
                <w:lang w:eastAsia="es-AR"/>
              </w:rPr>
            </w:pPr>
            <w:r w:rsidRPr="00BB5CD3">
              <w:rPr>
                <w:rFonts w:ascii="Arial" w:hAnsi="Arial" w:cs="Arial"/>
                <w:sz w:val="16"/>
                <w:szCs w:val="16"/>
                <w:lang w:eastAsia="es-AR"/>
              </w:rPr>
              <w:t>4% ARS; 2% USD</w:t>
            </w:r>
          </w:p>
        </w:tc>
        <w:tc>
          <w:tcPr>
            <w:tcW w:w="1771" w:type="dxa"/>
            <w:vAlign w:val="bottom"/>
          </w:tcPr>
          <w:p w14:paraId="63BDD26C" w14:textId="139DE5C7" w:rsidR="00CA4889" w:rsidRPr="00BB5CD3" w:rsidRDefault="00CA4889" w:rsidP="00CA4889">
            <w:pPr>
              <w:jc w:val="right"/>
              <w:rPr>
                <w:rFonts w:ascii="Arial" w:hAnsi="Arial" w:cs="Arial"/>
                <w:sz w:val="16"/>
                <w:szCs w:val="16"/>
                <w:lang w:eastAsia="es-AR"/>
              </w:rPr>
            </w:pPr>
            <w:r>
              <w:rPr>
                <w:rFonts w:ascii="Arial" w:hAnsi="Arial" w:cs="Arial"/>
                <w:sz w:val="16"/>
                <w:szCs w:val="16"/>
                <w:lang w:eastAsia="es-AR"/>
              </w:rPr>
              <w:t>(55.643)</w:t>
            </w:r>
          </w:p>
        </w:tc>
      </w:tr>
    </w:tbl>
    <w:p w14:paraId="7BD861F5" w14:textId="77777777" w:rsidR="00EB6617" w:rsidRPr="00613EB0" w:rsidRDefault="00EB6617" w:rsidP="00EB6617">
      <w:pPr>
        <w:autoSpaceDE w:val="0"/>
        <w:autoSpaceDN w:val="0"/>
        <w:adjustRightInd w:val="0"/>
        <w:jc w:val="both"/>
        <w:rPr>
          <w:rFonts w:ascii="Arial" w:hAnsi="Arial" w:cs="Arial"/>
          <w:sz w:val="20"/>
        </w:rPr>
      </w:pPr>
    </w:p>
    <w:p w14:paraId="3732EBF7" w14:textId="0C418320" w:rsidR="00EB6617" w:rsidRPr="00701F32" w:rsidRDefault="0023313D" w:rsidP="00EB6617">
      <w:pPr>
        <w:pBdr>
          <w:top w:val="nil"/>
          <w:left w:val="nil"/>
          <w:bottom w:val="nil"/>
          <w:right w:val="nil"/>
          <w:between w:val="nil"/>
          <w:bar w:val="nil"/>
        </w:pBdr>
        <w:tabs>
          <w:tab w:val="left" w:pos="142"/>
          <w:tab w:val="left" w:pos="993"/>
        </w:tabs>
        <w:jc w:val="both"/>
        <w:rPr>
          <w:rFonts w:ascii="Arial" w:eastAsia="Arial Unicode MS" w:hAnsi="Arial" w:cs="Arial"/>
          <w:b/>
          <w:bCs/>
          <w:sz w:val="20"/>
          <w:u w:val="single" w:color="000000"/>
          <w:bdr w:val="nil"/>
          <w:lang w:val="es-ES_tradnl" w:eastAsia="es-AR"/>
        </w:rPr>
      </w:pPr>
      <w:r>
        <w:rPr>
          <w:rFonts w:ascii="Arial" w:hAnsi="Arial" w:cs="Arial"/>
          <w:sz w:val="20"/>
        </w:rPr>
        <w:t>S</w:t>
      </w:r>
      <w:r w:rsidR="00EB6617" w:rsidRPr="00CD21B2">
        <w:rPr>
          <w:rFonts w:ascii="Arial" w:hAnsi="Arial" w:cs="Arial"/>
          <w:sz w:val="20"/>
        </w:rPr>
        <w:t>i las tasas de interés de mercado</w:t>
      </w:r>
      <w:r w:rsidR="00EB6617" w:rsidRPr="00C63352">
        <w:rPr>
          <w:rFonts w:ascii="Arial" w:hAnsi="Arial" w:cs="Arial"/>
          <w:sz w:val="20"/>
        </w:rPr>
        <w:t xml:space="preserve"> para instrumentos nominados en pesos disminuyeran 4 puntos porcentuales y para aquellos nominados en dólares cayeran 2 puntos porcentuale</w:t>
      </w:r>
      <w:r w:rsidR="00EB6617" w:rsidRPr="0023313D">
        <w:rPr>
          <w:rFonts w:ascii="Arial" w:hAnsi="Arial" w:cs="Arial"/>
          <w:sz w:val="20"/>
        </w:rPr>
        <w:t xml:space="preserve">s, </w:t>
      </w:r>
      <w:r w:rsidRPr="0023313D">
        <w:rPr>
          <w:rFonts w:ascii="Arial" w:hAnsi="Arial" w:cs="Arial"/>
          <w:sz w:val="20"/>
        </w:rPr>
        <w:t>el</w:t>
      </w:r>
      <w:r w:rsidR="00EB6617" w:rsidRPr="0023313D">
        <w:rPr>
          <w:rFonts w:ascii="Arial" w:hAnsi="Arial" w:cs="Arial"/>
          <w:sz w:val="20"/>
        </w:rPr>
        <w:t xml:space="preserve"> </w:t>
      </w:r>
      <w:r w:rsidRPr="0023313D">
        <w:rPr>
          <w:rFonts w:ascii="Arial" w:hAnsi="Arial" w:cs="Arial"/>
          <w:sz w:val="20"/>
        </w:rPr>
        <w:t>resultado</w:t>
      </w:r>
      <w:r w:rsidR="00EB6617" w:rsidRPr="0023313D">
        <w:rPr>
          <w:rFonts w:ascii="Arial" w:hAnsi="Arial" w:cs="Arial"/>
          <w:sz w:val="20"/>
        </w:rPr>
        <w:t xml:space="preserve"> anual</w:t>
      </w:r>
      <w:r w:rsidR="00517628">
        <w:rPr>
          <w:rFonts w:ascii="Arial" w:hAnsi="Arial" w:cs="Arial"/>
          <w:sz w:val="20"/>
        </w:rPr>
        <w:t>,</w:t>
      </w:r>
      <w:r w:rsidR="00EB6617" w:rsidRPr="0023313D">
        <w:rPr>
          <w:rFonts w:ascii="Arial" w:hAnsi="Arial" w:cs="Arial"/>
          <w:sz w:val="20"/>
        </w:rPr>
        <w:t xml:space="preserve"> net</w:t>
      </w:r>
      <w:r w:rsidRPr="0023313D">
        <w:rPr>
          <w:rFonts w:ascii="Arial" w:hAnsi="Arial" w:cs="Arial"/>
          <w:sz w:val="20"/>
        </w:rPr>
        <w:t>o</w:t>
      </w:r>
      <w:r w:rsidR="00EB6617" w:rsidRPr="0023313D">
        <w:rPr>
          <w:rFonts w:ascii="Arial" w:hAnsi="Arial" w:cs="Arial"/>
          <w:sz w:val="20"/>
        </w:rPr>
        <w:t xml:space="preserve"> de impuesto a las ganancias</w:t>
      </w:r>
      <w:r w:rsidR="00517628">
        <w:rPr>
          <w:rFonts w:ascii="Arial" w:hAnsi="Arial" w:cs="Arial"/>
          <w:sz w:val="20"/>
        </w:rPr>
        <w:t>,</w:t>
      </w:r>
      <w:r w:rsidR="00EB6617" w:rsidRPr="0023313D">
        <w:rPr>
          <w:rFonts w:ascii="Arial" w:hAnsi="Arial" w:cs="Arial"/>
          <w:sz w:val="20"/>
        </w:rPr>
        <w:t xml:space="preserve"> </w:t>
      </w:r>
      <w:r w:rsidR="00AA1E83" w:rsidRPr="0023313D">
        <w:rPr>
          <w:rFonts w:ascii="Arial" w:hAnsi="Arial" w:cs="Arial"/>
          <w:sz w:val="20"/>
        </w:rPr>
        <w:t>caería</w:t>
      </w:r>
      <w:r w:rsidR="00EB6617" w:rsidRPr="0023313D">
        <w:rPr>
          <w:rFonts w:ascii="Arial" w:hAnsi="Arial" w:cs="Arial"/>
          <w:sz w:val="20"/>
        </w:rPr>
        <w:t xml:space="preserve"> en</w:t>
      </w:r>
      <w:r w:rsidRPr="0023313D">
        <w:rPr>
          <w:rFonts w:ascii="Arial" w:hAnsi="Arial" w:cs="Arial"/>
          <w:sz w:val="20"/>
        </w:rPr>
        <w:t xml:space="preserve"> $ </w:t>
      </w:r>
      <w:r w:rsidR="00AA1E83" w:rsidRPr="0023313D">
        <w:rPr>
          <w:rFonts w:ascii="Arial" w:hAnsi="Arial" w:cs="Arial"/>
          <w:sz w:val="20"/>
        </w:rPr>
        <w:t>3</w:t>
      </w:r>
      <w:r w:rsidR="00C80DDF">
        <w:rPr>
          <w:rFonts w:ascii="Arial" w:hAnsi="Arial" w:cs="Arial"/>
          <w:sz w:val="20"/>
        </w:rPr>
        <w:t>57</w:t>
      </w:r>
      <w:r w:rsidR="00AA1E83" w:rsidRPr="0023313D">
        <w:rPr>
          <w:rFonts w:ascii="Arial" w:hAnsi="Arial" w:cs="Arial"/>
          <w:sz w:val="20"/>
        </w:rPr>
        <w:t>.</w:t>
      </w:r>
      <w:r w:rsidR="00C80DDF">
        <w:rPr>
          <w:rFonts w:ascii="Arial" w:hAnsi="Arial" w:cs="Arial"/>
          <w:sz w:val="20"/>
        </w:rPr>
        <w:t>394</w:t>
      </w:r>
      <w:r w:rsidR="00BB5CD3" w:rsidRPr="0023313D">
        <w:rPr>
          <w:rFonts w:ascii="Arial" w:hAnsi="Arial" w:cs="Arial"/>
          <w:sz w:val="20"/>
        </w:rPr>
        <w:t xml:space="preserve"> y subiría en </w:t>
      </w:r>
      <w:r w:rsidRPr="0023313D">
        <w:rPr>
          <w:rFonts w:ascii="Arial" w:hAnsi="Arial" w:cs="Arial"/>
          <w:sz w:val="20"/>
        </w:rPr>
        <w:t xml:space="preserve">$ </w:t>
      </w:r>
      <w:r w:rsidR="00BB5CD3" w:rsidRPr="0023313D">
        <w:rPr>
          <w:rFonts w:ascii="Arial" w:hAnsi="Arial" w:cs="Arial"/>
          <w:sz w:val="20"/>
        </w:rPr>
        <w:t xml:space="preserve">55.643 </w:t>
      </w:r>
      <w:r w:rsidRPr="0023313D">
        <w:rPr>
          <w:rFonts w:ascii="Arial" w:hAnsi="Arial" w:cs="Arial"/>
          <w:sz w:val="20"/>
        </w:rPr>
        <w:t xml:space="preserve">miles </w:t>
      </w:r>
      <w:r w:rsidR="00331A39" w:rsidRPr="0023313D">
        <w:rPr>
          <w:rFonts w:ascii="Arial" w:hAnsi="Arial" w:cs="Arial"/>
          <w:sz w:val="20"/>
        </w:rPr>
        <w:t xml:space="preserve">a partir del cierre </w:t>
      </w:r>
      <w:r w:rsidR="00BB5CD3" w:rsidRPr="0023313D">
        <w:rPr>
          <w:rFonts w:ascii="Arial" w:hAnsi="Arial" w:cs="Arial"/>
          <w:sz w:val="20"/>
        </w:rPr>
        <w:t>al 31 de diciembre de 2019 y 2018 respectivamente</w:t>
      </w:r>
      <w:r w:rsidR="00EB6617" w:rsidRPr="0023313D">
        <w:rPr>
          <w:rFonts w:ascii="Arial" w:hAnsi="Arial" w:cs="Arial"/>
          <w:sz w:val="20"/>
        </w:rPr>
        <w:t xml:space="preserve">. De lo contrario, si las tasas aumentaran en igual medida, se </w:t>
      </w:r>
      <w:r w:rsidR="00AA1E83" w:rsidRPr="0023313D">
        <w:rPr>
          <w:rFonts w:ascii="Arial" w:hAnsi="Arial" w:cs="Arial"/>
          <w:sz w:val="20"/>
        </w:rPr>
        <w:t>ganar</w:t>
      </w:r>
      <w:r w:rsidR="00EB6617" w:rsidRPr="0023313D">
        <w:rPr>
          <w:rFonts w:ascii="Arial" w:hAnsi="Arial" w:cs="Arial"/>
          <w:sz w:val="20"/>
        </w:rPr>
        <w:t xml:space="preserve">ían </w:t>
      </w:r>
      <w:r w:rsidRPr="0023313D">
        <w:rPr>
          <w:rFonts w:ascii="Arial" w:hAnsi="Arial" w:cs="Arial"/>
          <w:sz w:val="20"/>
        </w:rPr>
        <w:t xml:space="preserve">$ </w:t>
      </w:r>
      <w:r w:rsidR="00AA1E83" w:rsidRPr="0023313D">
        <w:rPr>
          <w:rFonts w:ascii="Arial" w:hAnsi="Arial" w:cs="Arial"/>
          <w:sz w:val="20"/>
        </w:rPr>
        <w:t>2</w:t>
      </w:r>
      <w:r w:rsidR="00C80DDF">
        <w:rPr>
          <w:rFonts w:ascii="Arial" w:hAnsi="Arial" w:cs="Arial"/>
          <w:sz w:val="20"/>
        </w:rPr>
        <w:t>60</w:t>
      </w:r>
      <w:r w:rsidRPr="0023313D">
        <w:rPr>
          <w:rFonts w:ascii="Arial" w:hAnsi="Arial" w:cs="Arial"/>
          <w:sz w:val="20"/>
        </w:rPr>
        <w:t>.</w:t>
      </w:r>
      <w:r w:rsidR="00C80DDF">
        <w:rPr>
          <w:rFonts w:ascii="Arial" w:hAnsi="Arial" w:cs="Arial"/>
          <w:sz w:val="20"/>
        </w:rPr>
        <w:t>313</w:t>
      </w:r>
      <w:r w:rsidR="00331A39" w:rsidRPr="0023313D">
        <w:rPr>
          <w:rFonts w:ascii="Arial" w:hAnsi="Arial" w:cs="Arial"/>
          <w:sz w:val="20"/>
        </w:rPr>
        <w:t xml:space="preserve"> y se perderían </w:t>
      </w:r>
      <w:r w:rsidRPr="0023313D">
        <w:rPr>
          <w:rFonts w:ascii="Arial" w:hAnsi="Arial" w:cs="Arial"/>
          <w:sz w:val="20"/>
        </w:rPr>
        <w:t xml:space="preserve">$ </w:t>
      </w:r>
      <w:r w:rsidR="00331A39" w:rsidRPr="0023313D">
        <w:rPr>
          <w:rFonts w:ascii="Arial" w:hAnsi="Arial" w:cs="Arial"/>
          <w:sz w:val="20"/>
        </w:rPr>
        <w:t xml:space="preserve">55.643 </w:t>
      </w:r>
      <w:r w:rsidRPr="0023313D">
        <w:rPr>
          <w:rFonts w:ascii="Arial" w:hAnsi="Arial" w:cs="Arial"/>
          <w:sz w:val="20"/>
        </w:rPr>
        <w:t xml:space="preserve">miles </w:t>
      </w:r>
      <w:r w:rsidR="00331A39" w:rsidRPr="0023313D">
        <w:rPr>
          <w:rFonts w:ascii="Arial" w:hAnsi="Arial" w:cs="Arial"/>
          <w:sz w:val="20"/>
        </w:rPr>
        <w:t>respectivamente</w:t>
      </w:r>
      <w:r w:rsidR="00EB6617" w:rsidRPr="0023313D">
        <w:rPr>
          <w:rFonts w:ascii="Arial" w:hAnsi="Arial" w:cs="Arial"/>
          <w:sz w:val="20"/>
        </w:rPr>
        <w:t>.</w:t>
      </w:r>
    </w:p>
    <w:p w14:paraId="3793353A" w14:textId="77777777" w:rsidR="00EB6617" w:rsidRDefault="00EB6617" w:rsidP="00EB6617">
      <w:pPr>
        <w:pBdr>
          <w:top w:val="nil"/>
          <w:left w:val="nil"/>
          <w:bottom w:val="nil"/>
          <w:right w:val="nil"/>
          <w:between w:val="nil"/>
          <w:bar w:val="nil"/>
        </w:pBdr>
        <w:tabs>
          <w:tab w:val="left" w:pos="142"/>
          <w:tab w:val="left" w:pos="993"/>
        </w:tabs>
        <w:jc w:val="both"/>
        <w:rPr>
          <w:rFonts w:ascii="Arial" w:eastAsia="Arial Unicode MS" w:hAnsi="Arial" w:cs="Arial"/>
          <w:b/>
          <w:bCs/>
          <w:sz w:val="20"/>
          <w:u w:val="single" w:color="000000"/>
          <w:bdr w:val="nil"/>
          <w:lang w:val="es-ES_tradnl" w:eastAsia="es-AR"/>
        </w:rPr>
      </w:pPr>
    </w:p>
    <w:p w14:paraId="256DCB63" w14:textId="77777777" w:rsidR="00EB6617" w:rsidRPr="00701F32" w:rsidRDefault="00EB6617" w:rsidP="00EB6617">
      <w:pPr>
        <w:pBdr>
          <w:top w:val="nil"/>
          <w:left w:val="nil"/>
          <w:bottom w:val="nil"/>
          <w:right w:val="nil"/>
          <w:between w:val="nil"/>
          <w:bar w:val="nil"/>
        </w:pBdr>
        <w:tabs>
          <w:tab w:val="left" w:pos="142"/>
          <w:tab w:val="left" w:pos="993"/>
        </w:tabs>
        <w:jc w:val="both"/>
        <w:rPr>
          <w:rFonts w:ascii="Arial" w:eastAsia="Arial" w:hAnsi="Arial" w:cs="Arial"/>
          <w:b/>
          <w:bCs/>
          <w:sz w:val="20"/>
          <w:u w:val="single" w:color="000000"/>
          <w:bdr w:val="nil"/>
          <w:lang w:val="es-ES_tradnl" w:eastAsia="es-AR"/>
        </w:rPr>
      </w:pPr>
      <w:r w:rsidRPr="00701F32">
        <w:rPr>
          <w:rFonts w:ascii="Arial" w:eastAsia="Arial Unicode MS" w:hAnsi="Arial" w:cs="Arial"/>
          <w:b/>
          <w:bCs/>
          <w:sz w:val="20"/>
          <w:u w:val="single" w:color="000000"/>
          <w:bdr w:val="nil"/>
          <w:lang w:val="es-ES_tradnl" w:eastAsia="es-AR"/>
        </w:rPr>
        <w:t>Riesgo de Liquidez</w:t>
      </w:r>
    </w:p>
    <w:p w14:paraId="00205C3A" w14:textId="77777777" w:rsidR="00EB6617" w:rsidRPr="00701F32" w:rsidRDefault="00EB6617" w:rsidP="00EB6617">
      <w:pPr>
        <w:pBdr>
          <w:top w:val="nil"/>
          <w:left w:val="nil"/>
          <w:bottom w:val="nil"/>
          <w:right w:val="nil"/>
          <w:between w:val="nil"/>
          <w:bar w:val="nil"/>
        </w:pBdr>
        <w:tabs>
          <w:tab w:val="left" w:pos="142"/>
        </w:tabs>
        <w:jc w:val="both"/>
        <w:rPr>
          <w:rFonts w:ascii="Arial" w:eastAsia="Arial" w:hAnsi="Arial" w:cs="Arial"/>
          <w:b/>
          <w:bCs/>
          <w:sz w:val="20"/>
          <w:u w:val="single" w:color="000000"/>
          <w:bdr w:val="nil"/>
          <w:lang w:val="es-ES_tradnl" w:eastAsia="es-AR"/>
        </w:rPr>
      </w:pPr>
    </w:p>
    <w:p w14:paraId="35B822E7" w14:textId="77777777" w:rsidR="0092101C" w:rsidRPr="00701F32" w:rsidRDefault="0092101C" w:rsidP="0092101C">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La Entidad define al riesgo de liquidez como el riesgo de afrontar costos de financiación adicionales cuando se producen necesidades de liquidez inesperadas. Este riesgo surge debido a la diferencia de tamaños y de vencimientos entre los activos y pasivos de la Entidad. Se reconocen:</w:t>
      </w:r>
    </w:p>
    <w:p w14:paraId="741FC0AC" w14:textId="77777777" w:rsidR="0092101C" w:rsidRPr="00701F32" w:rsidRDefault="0092101C" w:rsidP="0092101C">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012F6EA4" w14:textId="77777777" w:rsidR="0092101C" w:rsidRPr="00701F32" w:rsidRDefault="0092101C" w:rsidP="0092101C">
      <w:pPr>
        <w:numPr>
          <w:ilvl w:val="0"/>
          <w:numId w:val="75"/>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 xml:space="preserve">Riesgo </w:t>
      </w:r>
      <w:r>
        <w:rPr>
          <w:rFonts w:ascii="Arial" w:eastAsia="Arial Unicode MS" w:hAnsi="Arial" w:cs="Arial"/>
          <w:sz w:val="20"/>
          <w:u w:color="000000"/>
          <w:bdr w:val="nil"/>
          <w:lang w:val="es-ES_tradnl" w:eastAsia="es-AR"/>
        </w:rPr>
        <w:t xml:space="preserve">de </w:t>
      </w:r>
      <w:r w:rsidRPr="00701F32">
        <w:rPr>
          <w:rFonts w:ascii="Arial" w:eastAsia="Arial Unicode MS" w:hAnsi="Arial" w:cs="Arial"/>
          <w:sz w:val="20"/>
          <w:u w:color="000000"/>
          <w:bdr w:val="nil"/>
          <w:lang w:val="es-ES_tradnl" w:eastAsia="es-AR"/>
        </w:rPr>
        <w:t xml:space="preserve">liquidez de fondeo; es el riesgo que surge de la imposibilidad de conseguir fondos a costo normal de mercado cuando son requeridos, teniendo como fundamento la percepción que el mercado posea sobre la Entidad. </w:t>
      </w:r>
    </w:p>
    <w:p w14:paraId="13B42947" w14:textId="77777777" w:rsidR="0092101C" w:rsidRPr="00701F32" w:rsidRDefault="0092101C" w:rsidP="0092101C">
      <w:pPr>
        <w:numPr>
          <w:ilvl w:val="0"/>
          <w:numId w:val="75"/>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Riesgo de liquidez de mercado; es el riesgo que nace cuando la Entidad no puede deshacer una posición a precio de mercado en uno o varios activos para la obtención de fondos, como consecuencia de dos factores clave:</w:t>
      </w:r>
    </w:p>
    <w:p w14:paraId="01A035E8" w14:textId="77777777" w:rsidR="0092101C" w:rsidRPr="00701F32" w:rsidRDefault="0092101C" w:rsidP="0092101C">
      <w:pPr>
        <w:pBdr>
          <w:top w:val="nil"/>
          <w:left w:val="nil"/>
          <w:bottom w:val="nil"/>
          <w:right w:val="nil"/>
          <w:between w:val="nil"/>
          <w:bar w:val="nil"/>
        </w:pBdr>
        <w:tabs>
          <w:tab w:val="left" w:pos="142"/>
        </w:tabs>
        <w:ind w:left="720"/>
        <w:jc w:val="both"/>
        <w:rPr>
          <w:rFonts w:ascii="Arial" w:eastAsia="Arial" w:hAnsi="Arial" w:cs="Arial"/>
          <w:sz w:val="20"/>
          <w:u w:color="000000"/>
          <w:bdr w:val="nil"/>
          <w:lang w:val="es-ES_tradnl" w:eastAsia="es-AR"/>
        </w:rPr>
      </w:pPr>
    </w:p>
    <w:p w14:paraId="7A40AB3B" w14:textId="77777777" w:rsidR="0092101C" w:rsidRPr="00701F32" w:rsidRDefault="0092101C" w:rsidP="0092101C">
      <w:pPr>
        <w:numPr>
          <w:ilvl w:val="3"/>
          <w:numId w:val="76"/>
        </w:numPr>
        <w:pBdr>
          <w:top w:val="nil"/>
          <w:left w:val="nil"/>
          <w:bottom w:val="nil"/>
          <w:right w:val="nil"/>
          <w:between w:val="nil"/>
          <w:bar w:val="nil"/>
        </w:pBdr>
        <w:ind w:left="1134"/>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los activos no son lo suficientemente líquidos, es decir, no cuentan con el mercado secundario necesario.</w:t>
      </w:r>
    </w:p>
    <w:p w14:paraId="1DF5E37F" w14:textId="77777777" w:rsidR="0092101C" w:rsidRPr="00701F32" w:rsidRDefault="0092101C" w:rsidP="0092101C">
      <w:pPr>
        <w:numPr>
          <w:ilvl w:val="3"/>
          <w:numId w:val="76"/>
        </w:numPr>
        <w:pBdr>
          <w:top w:val="nil"/>
          <w:left w:val="nil"/>
          <w:bottom w:val="nil"/>
          <w:right w:val="nil"/>
          <w:between w:val="nil"/>
          <w:bar w:val="nil"/>
        </w:pBdr>
        <w:ind w:left="1134"/>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las alteraciones que puedan producirse en los mercados donde cotizan</w:t>
      </w:r>
    </w:p>
    <w:p w14:paraId="7D253981" w14:textId="77777777" w:rsidR="0092101C" w:rsidRPr="00701F32" w:rsidRDefault="0092101C" w:rsidP="0092101C">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181BF6D0" w14:textId="77777777" w:rsidR="0092101C" w:rsidRPr="00701F32" w:rsidRDefault="0092101C" w:rsidP="0092101C">
      <w:pPr>
        <w:jc w:val="both"/>
        <w:rPr>
          <w:rFonts w:ascii="Arial" w:hAnsi="Arial" w:cs="Arial"/>
          <w:sz w:val="20"/>
        </w:rPr>
      </w:pPr>
      <w:r w:rsidRPr="00701F32">
        <w:rPr>
          <w:rFonts w:ascii="Arial" w:hAnsi="Arial" w:cs="Arial"/>
          <w:sz w:val="20"/>
        </w:rPr>
        <w:t>Los indicadores de liquidez y concentración de fuentes de fondeo permiten cuantificar la tolerancia a este riesgo, partiendo desde las definiciones más ácidas o restrictivas del concepto de liquidez hasta aquellas más abarcativas y que incluyen particularidades propias del modelo de negocios de la Entidad.</w:t>
      </w:r>
    </w:p>
    <w:p w14:paraId="03D8413D" w14:textId="77777777" w:rsidR="0092101C" w:rsidRPr="00701F32" w:rsidRDefault="0092101C" w:rsidP="0092101C">
      <w:pPr>
        <w:jc w:val="both"/>
        <w:rPr>
          <w:rFonts w:ascii="Arial" w:hAnsi="Arial" w:cs="Arial"/>
          <w:sz w:val="20"/>
        </w:rPr>
      </w:pPr>
    </w:p>
    <w:p w14:paraId="1A4B7311" w14:textId="77777777" w:rsidR="0092101C" w:rsidRPr="00701F32" w:rsidRDefault="0092101C" w:rsidP="0092101C">
      <w:pPr>
        <w:tabs>
          <w:tab w:val="left" w:pos="7938"/>
        </w:tabs>
        <w:ind w:right="-1"/>
        <w:jc w:val="both"/>
        <w:rPr>
          <w:rFonts w:ascii="Arial" w:hAnsi="Arial" w:cs="Arial"/>
          <w:sz w:val="20"/>
        </w:rPr>
      </w:pPr>
      <w:r w:rsidRPr="00701F32">
        <w:rPr>
          <w:rFonts w:ascii="Arial" w:hAnsi="Arial" w:cs="Arial"/>
          <w:sz w:val="20"/>
        </w:rPr>
        <w:t>Entre las métricas fundamentales (core metrics) utilizadas para la gestión del riesgo de liquidez se destacan:</w:t>
      </w:r>
    </w:p>
    <w:p w14:paraId="5B8A059A" w14:textId="77777777" w:rsidR="0092101C" w:rsidRPr="00701F32" w:rsidRDefault="0092101C" w:rsidP="0092101C">
      <w:pPr>
        <w:tabs>
          <w:tab w:val="left" w:pos="7938"/>
        </w:tabs>
        <w:ind w:right="-1"/>
        <w:jc w:val="both"/>
        <w:rPr>
          <w:rFonts w:ascii="Arial" w:hAnsi="Arial" w:cs="Arial"/>
          <w:sz w:val="20"/>
        </w:rPr>
      </w:pPr>
    </w:p>
    <w:p w14:paraId="5905C826" w14:textId="77777777" w:rsidR="0092101C" w:rsidRDefault="0092101C" w:rsidP="0092101C">
      <w:pPr>
        <w:numPr>
          <w:ilvl w:val="0"/>
          <w:numId w:val="79"/>
        </w:numPr>
        <w:tabs>
          <w:tab w:val="left" w:pos="7938"/>
        </w:tabs>
        <w:ind w:left="709" w:right="-1"/>
        <w:jc w:val="both"/>
        <w:rPr>
          <w:rFonts w:ascii="Arial" w:hAnsi="Arial" w:cs="Arial"/>
          <w:sz w:val="20"/>
        </w:rPr>
      </w:pPr>
      <w:r>
        <w:rPr>
          <w:rFonts w:ascii="Arial" w:hAnsi="Arial" w:cs="Arial"/>
          <w:b/>
          <w:i/>
          <w:sz w:val="20"/>
        </w:rPr>
        <w:t xml:space="preserve">Ratio de Cobertura de Liquidez o </w:t>
      </w:r>
      <w:r w:rsidRPr="00701F32">
        <w:rPr>
          <w:rFonts w:ascii="Arial" w:hAnsi="Arial" w:cs="Arial"/>
          <w:b/>
          <w:i/>
          <w:sz w:val="20"/>
        </w:rPr>
        <w:t xml:space="preserve">LCR </w:t>
      </w:r>
      <w:r>
        <w:rPr>
          <w:rFonts w:ascii="Arial" w:hAnsi="Arial" w:cs="Arial"/>
          <w:b/>
          <w:i/>
          <w:sz w:val="20"/>
        </w:rPr>
        <w:t>por sus siglas en inglés</w:t>
      </w:r>
      <w:r w:rsidRPr="00701F32">
        <w:rPr>
          <w:rFonts w:ascii="Arial" w:hAnsi="Arial" w:cs="Arial"/>
          <w:sz w:val="20"/>
        </w:rPr>
        <w:t xml:space="preserve">: mide la relación entre activos líquidos de alta calidad y las salidas de efectivo netas totales durante un período de 30 días. Banco Supervielle calcula diariamente este indicador, habiéndose cumplido durante </w:t>
      </w:r>
      <w:r>
        <w:rPr>
          <w:rFonts w:ascii="Arial" w:hAnsi="Arial" w:cs="Arial"/>
          <w:sz w:val="20"/>
        </w:rPr>
        <w:t>el año</w:t>
      </w:r>
      <w:r w:rsidRPr="00701F32">
        <w:rPr>
          <w:rFonts w:ascii="Arial" w:hAnsi="Arial" w:cs="Arial"/>
          <w:sz w:val="20"/>
        </w:rPr>
        <w:t xml:space="preserve"> el valor mínimo previsto</w:t>
      </w:r>
      <w:r>
        <w:rPr>
          <w:rFonts w:ascii="Arial" w:hAnsi="Arial" w:cs="Arial"/>
          <w:sz w:val="20"/>
        </w:rPr>
        <w:t xml:space="preserve"> normativamente, así como el establecido internamente en función de su apetito de riesgo.</w:t>
      </w:r>
    </w:p>
    <w:p w14:paraId="4DDC4686" w14:textId="77777777" w:rsidR="0092101C" w:rsidRPr="00701F32" w:rsidRDefault="0092101C" w:rsidP="0092101C">
      <w:pPr>
        <w:numPr>
          <w:ilvl w:val="0"/>
          <w:numId w:val="79"/>
        </w:numPr>
        <w:tabs>
          <w:tab w:val="left" w:pos="7938"/>
        </w:tabs>
        <w:ind w:right="-1"/>
        <w:jc w:val="both"/>
        <w:rPr>
          <w:rFonts w:ascii="Arial" w:hAnsi="Arial" w:cs="Arial"/>
          <w:sz w:val="20"/>
        </w:rPr>
      </w:pPr>
      <w:r>
        <w:rPr>
          <w:rFonts w:ascii="Arial" w:hAnsi="Arial" w:cs="Arial"/>
          <w:b/>
          <w:i/>
          <w:sz w:val="20"/>
        </w:rPr>
        <w:t>Ratio de Fondeo Estable o NSFR por sus siglas en inglés</w:t>
      </w:r>
      <w:r>
        <w:rPr>
          <w:rFonts w:ascii="Arial" w:hAnsi="Arial" w:cs="Arial"/>
          <w:sz w:val="20"/>
        </w:rPr>
        <w:t xml:space="preserve">: mide la capacidad de Banco Supervielle, a nivel individual y consolidado, de </w:t>
      </w:r>
      <w:r w:rsidRPr="001C0EC5">
        <w:rPr>
          <w:rFonts w:ascii="Arial" w:hAnsi="Arial" w:cs="Arial"/>
          <w:sz w:val="20"/>
        </w:rPr>
        <w:t>financiar sus actividades con fuentes suficientemente estables para mitigar el riesgo de futuras situaciones de estrés originadas en su fondeo</w:t>
      </w:r>
      <w:r>
        <w:rPr>
          <w:rFonts w:ascii="Arial" w:hAnsi="Arial" w:cs="Arial"/>
          <w:sz w:val="20"/>
        </w:rPr>
        <w:t xml:space="preserve">. </w:t>
      </w:r>
      <w:r w:rsidRPr="00701F32">
        <w:rPr>
          <w:rFonts w:ascii="Arial" w:hAnsi="Arial" w:cs="Arial"/>
          <w:sz w:val="20"/>
        </w:rPr>
        <w:t>Banco Supervielle calcula diariamente este indicador, habiéndose cumplido el valor mínimo previsto</w:t>
      </w:r>
      <w:r>
        <w:rPr>
          <w:rFonts w:ascii="Arial" w:hAnsi="Arial" w:cs="Arial"/>
          <w:sz w:val="20"/>
        </w:rPr>
        <w:t xml:space="preserve"> normativamente, así como el establecido internamente en función de su apetito de riesgo</w:t>
      </w:r>
      <w:r w:rsidRPr="00701F32">
        <w:rPr>
          <w:rFonts w:ascii="Arial" w:hAnsi="Arial" w:cs="Arial"/>
          <w:sz w:val="20"/>
        </w:rPr>
        <w:t>.</w:t>
      </w:r>
    </w:p>
    <w:p w14:paraId="168A7207" w14:textId="77777777" w:rsidR="0092101C" w:rsidRPr="00701F32" w:rsidRDefault="0092101C" w:rsidP="0092101C">
      <w:pPr>
        <w:numPr>
          <w:ilvl w:val="0"/>
          <w:numId w:val="79"/>
        </w:numPr>
        <w:tabs>
          <w:tab w:val="left" w:pos="7938"/>
        </w:tabs>
        <w:ind w:left="709" w:right="-1"/>
        <w:jc w:val="both"/>
        <w:rPr>
          <w:rFonts w:ascii="Arial" w:hAnsi="Arial" w:cs="Arial"/>
          <w:sz w:val="20"/>
        </w:rPr>
      </w:pPr>
      <w:r w:rsidRPr="00701F32">
        <w:rPr>
          <w:rFonts w:ascii="Arial" w:hAnsi="Arial" w:cs="Arial"/>
          <w:b/>
          <w:i/>
          <w:sz w:val="20"/>
        </w:rPr>
        <w:t xml:space="preserve">Cobertura de Cuentas </w:t>
      </w:r>
      <w:r>
        <w:rPr>
          <w:rFonts w:ascii="Arial" w:hAnsi="Arial" w:cs="Arial"/>
          <w:b/>
          <w:i/>
          <w:sz w:val="20"/>
        </w:rPr>
        <w:t xml:space="preserve">a la Vista </w:t>
      </w:r>
      <w:r w:rsidRPr="00701F32">
        <w:rPr>
          <w:rFonts w:ascii="Arial" w:hAnsi="Arial" w:cs="Arial"/>
          <w:b/>
          <w:i/>
          <w:sz w:val="20"/>
        </w:rPr>
        <w:t>Remuneradas y PF Precancelables</w:t>
      </w:r>
      <w:r w:rsidRPr="00701F32">
        <w:rPr>
          <w:rFonts w:ascii="Arial" w:hAnsi="Arial" w:cs="Arial"/>
          <w:sz w:val="20"/>
        </w:rPr>
        <w:t>: este indicador</w:t>
      </w:r>
      <w:r>
        <w:rPr>
          <w:rFonts w:ascii="Arial" w:hAnsi="Arial" w:cs="Arial"/>
          <w:sz w:val="20"/>
        </w:rPr>
        <w:t>, relacionado con la concentración de fuentes de fondeo,</w:t>
      </w:r>
      <w:r w:rsidRPr="00701F32">
        <w:rPr>
          <w:rFonts w:ascii="Arial" w:hAnsi="Arial" w:cs="Arial"/>
          <w:sz w:val="20"/>
        </w:rPr>
        <w:t xml:space="preserve"> busca limitar la dependencia del fondeo de fuentes más inestables en escenarios ilíquidos, ya sean de características idiosincráticas o sistémicas. </w:t>
      </w:r>
    </w:p>
    <w:p w14:paraId="584526DF" w14:textId="77777777" w:rsidR="0092101C" w:rsidRPr="00701F32" w:rsidRDefault="0092101C" w:rsidP="0092101C">
      <w:pPr>
        <w:tabs>
          <w:tab w:val="left" w:pos="7938"/>
        </w:tabs>
        <w:ind w:right="-1"/>
        <w:jc w:val="both"/>
        <w:rPr>
          <w:rFonts w:ascii="Arial" w:hAnsi="Arial" w:cs="Arial"/>
          <w:sz w:val="20"/>
        </w:rPr>
      </w:pPr>
    </w:p>
    <w:p w14:paraId="6FF118EB" w14:textId="77777777" w:rsidR="0092101C" w:rsidRDefault="0092101C" w:rsidP="0092101C">
      <w:pPr>
        <w:tabs>
          <w:tab w:val="left" w:pos="7938"/>
        </w:tabs>
        <w:ind w:right="-1"/>
        <w:jc w:val="both"/>
        <w:rPr>
          <w:rFonts w:ascii="Arial" w:hAnsi="Arial" w:cs="Arial"/>
          <w:sz w:val="20"/>
        </w:rPr>
      </w:pPr>
      <w:r w:rsidRPr="00701F32">
        <w:rPr>
          <w:rFonts w:ascii="Arial" w:hAnsi="Arial" w:cs="Arial"/>
          <w:sz w:val="20"/>
        </w:rPr>
        <w:t>Adicionalmente, la gestión se complementa con el monitoreo diario de una serie de métricas de seguimiento en el ámbito del Comité de Activos y Pasivos (ALCO). Estos indicadores procuran desagregar los principales componentes del LCR, ofreciendo una evaluación de la situación de liquidez en la entidad y alertando ante eventuales cambios de tendencia que puedan poner en juego los lineamientos establecidos en la política de apetito de riesgo.</w:t>
      </w:r>
      <w:r>
        <w:rPr>
          <w:rFonts w:ascii="Arial" w:hAnsi="Arial" w:cs="Arial"/>
          <w:sz w:val="20"/>
        </w:rPr>
        <w:t xml:space="preserve"> Dentro del tablero de indicadores de seguimiento en el ámbito de este Comité se evalúa también la disponibilidad de activos líquidos para responder a una eventual salida de depósitos más volátiles, entendiendo como tales a las cuentas a la vista remuneradas y a los depósitos del sector público en moneda extranjera.</w:t>
      </w:r>
    </w:p>
    <w:p w14:paraId="0F55DC65" w14:textId="77777777" w:rsidR="0092101C" w:rsidRDefault="0092101C" w:rsidP="0092101C">
      <w:pPr>
        <w:tabs>
          <w:tab w:val="left" w:pos="7938"/>
        </w:tabs>
        <w:ind w:right="-1"/>
        <w:jc w:val="both"/>
        <w:rPr>
          <w:rFonts w:ascii="Arial" w:hAnsi="Arial" w:cs="Arial"/>
          <w:sz w:val="20"/>
        </w:rPr>
      </w:pPr>
    </w:p>
    <w:p w14:paraId="6BF4CD41" w14:textId="77777777" w:rsidR="0092101C" w:rsidRPr="00701F32" w:rsidRDefault="0092101C" w:rsidP="0092101C">
      <w:pPr>
        <w:tabs>
          <w:tab w:val="left" w:pos="7938"/>
        </w:tabs>
        <w:ind w:right="-1"/>
        <w:jc w:val="both"/>
        <w:rPr>
          <w:rFonts w:ascii="Arial" w:hAnsi="Arial" w:cs="Arial"/>
          <w:sz w:val="20"/>
        </w:rPr>
      </w:pPr>
      <w:r w:rsidRPr="0071258D">
        <w:rPr>
          <w:rFonts w:ascii="Arial" w:hAnsi="Arial" w:cs="Arial"/>
          <w:sz w:val="20"/>
        </w:rPr>
        <w:t>Durante 2019 se realizó una revisión del ejercicio de prueba de estrés de liquidez. La fuerte salida de depósitos en moneda extranjera, que afectó al sistema financiero en su conjunto a partir de la segunda mitad del mes de agosto, puso en evidencia la necesidad de contar con ejercicios de estrés que evalúen independientemente la liquidez por moneda relevante. Es por eso que se plantearos dos nuevas métricas al tablero de indicadores del Comité ALCO, reemplazando así el ratio de seguimiento vigente hasta entonces e incorporando la experiencia de lo ocurrido en términos de liquidez durante 2019, tanto en pesos como en moneda extranjera.</w:t>
      </w:r>
    </w:p>
    <w:p w14:paraId="29732A28" w14:textId="77777777" w:rsidR="0092101C" w:rsidRPr="00701F32" w:rsidRDefault="0092101C" w:rsidP="0092101C">
      <w:pPr>
        <w:ind w:right="474"/>
        <w:jc w:val="both"/>
        <w:rPr>
          <w:rFonts w:ascii="Arial" w:hAnsi="Arial" w:cs="Arial"/>
          <w:sz w:val="20"/>
        </w:rPr>
      </w:pPr>
    </w:p>
    <w:p w14:paraId="4224F79B" w14:textId="77777777" w:rsidR="0092101C" w:rsidRPr="00701F32" w:rsidRDefault="0092101C" w:rsidP="0092101C">
      <w:pPr>
        <w:jc w:val="both"/>
        <w:rPr>
          <w:rFonts w:ascii="Arial" w:hAnsi="Arial" w:cs="Arial"/>
          <w:sz w:val="20"/>
        </w:rPr>
      </w:pPr>
      <w:r w:rsidRPr="00701F32">
        <w:rPr>
          <w:rFonts w:ascii="Arial" w:hAnsi="Arial" w:cs="Arial"/>
          <w:sz w:val="20"/>
        </w:rPr>
        <w:t>Finalmente, apropiados controles sobre la liquidez intradiaria y el cumplimiento con la normativa de efectivo mínimo constituyen los restantes pilares en los que se sustenta la política de liquidez de la entidad.</w:t>
      </w:r>
      <w:r>
        <w:rPr>
          <w:rFonts w:ascii="Arial" w:hAnsi="Arial" w:cs="Arial"/>
          <w:sz w:val="20"/>
        </w:rPr>
        <w:t xml:space="preserve"> </w:t>
      </w:r>
      <w:r w:rsidRPr="0071258D">
        <w:rPr>
          <w:rFonts w:ascii="Arial" w:hAnsi="Arial" w:cs="Arial"/>
          <w:sz w:val="20"/>
        </w:rPr>
        <w:t xml:space="preserve">En lo que respecta a liquidez intradiaria, la Gerencia de Riesgos Financieros implementó a partir del 30.06.2019 los lineamientos establecidos en la Comunicación “A” 6685, encarando el monitoreo diario de diferentes métricas que permiten evaluar la suficiencia de liquidez en términos intradiarios y generando un reporte mensual que incluye conclusiones sobre la ejecución de diferentes escenarios de estrés y un resumen evolutivo de las distintas métricas citadas en la normativa. Se estableció como criterio que el saldo de inicio de la cuenta corriente de Banco Supervielle en el Banco Central de la República Argentina, sumado a los ingresos derivados del vencimiento en el día de </w:t>
      </w:r>
      <w:r>
        <w:rPr>
          <w:rFonts w:ascii="Arial" w:hAnsi="Arial" w:cs="Arial"/>
          <w:sz w:val="20"/>
        </w:rPr>
        <w:t>instrumentos de regulación monetaria</w:t>
      </w:r>
      <w:r w:rsidRPr="0071258D">
        <w:rPr>
          <w:rFonts w:ascii="Arial" w:hAnsi="Arial" w:cs="Arial"/>
          <w:sz w:val="20"/>
        </w:rPr>
        <w:t xml:space="preserve"> y/o de operaciones de pase con la autoridad monetaria, nunca puede ser inferior al promedio de pagos sensibles en el tiempo registrado en el mes inmediato anterior.</w:t>
      </w:r>
      <w:r>
        <w:rPr>
          <w:rFonts w:ascii="Arial" w:hAnsi="Arial" w:cs="Arial"/>
          <w:sz w:val="20"/>
        </w:rPr>
        <w:t xml:space="preserve"> </w:t>
      </w:r>
    </w:p>
    <w:p w14:paraId="1F3BBC31" w14:textId="77777777" w:rsidR="0092101C" w:rsidRPr="00701F32" w:rsidRDefault="0092101C" w:rsidP="0092101C">
      <w:pPr>
        <w:jc w:val="both"/>
        <w:rPr>
          <w:rFonts w:ascii="Arial" w:hAnsi="Arial" w:cs="Arial"/>
          <w:sz w:val="20"/>
        </w:rPr>
      </w:pPr>
    </w:p>
    <w:p w14:paraId="51AF7732" w14:textId="1AE6DDAB" w:rsidR="0092101C" w:rsidRDefault="0092101C" w:rsidP="0092101C">
      <w:pPr>
        <w:jc w:val="both"/>
        <w:rPr>
          <w:rFonts w:ascii="Arial" w:hAnsi="Arial" w:cs="Arial"/>
          <w:sz w:val="20"/>
        </w:rPr>
      </w:pPr>
      <w:r w:rsidRPr="00701F32">
        <w:rPr>
          <w:rFonts w:ascii="Arial" w:hAnsi="Arial" w:cs="Arial"/>
          <w:sz w:val="20"/>
        </w:rPr>
        <w:t>La gestión del riesgo de liquidez se caracteriza por un estricto control diario del ratio de cobertura de liquidez (LCR), procurando una correcta proyección de las necesidades de fondeo y de activos líquidos de libre disponibilidad para mantener el LCR dentro de los niveles establecidos en la política de apetito de riesgo. A partir de 2018 se incorpor</w:t>
      </w:r>
      <w:r>
        <w:rPr>
          <w:rFonts w:ascii="Arial" w:hAnsi="Arial" w:cs="Arial"/>
          <w:sz w:val="20"/>
        </w:rPr>
        <w:t>ó</w:t>
      </w:r>
      <w:r w:rsidRPr="00701F32">
        <w:rPr>
          <w:rFonts w:ascii="Arial" w:hAnsi="Arial" w:cs="Arial"/>
          <w:sz w:val="20"/>
        </w:rPr>
        <w:t xml:space="preserve"> el seguimiento del ratio de fondeo estable (NSFR), de acuerdo a lo establecido por normativa del BCRA y alineándose a los criterios de Basilea III.</w:t>
      </w:r>
    </w:p>
    <w:p w14:paraId="25D2982E" w14:textId="77777777" w:rsidR="00331A39" w:rsidRPr="00701F32" w:rsidRDefault="00331A39" w:rsidP="0092101C">
      <w:pPr>
        <w:jc w:val="both"/>
        <w:rPr>
          <w:rFonts w:ascii="Arial" w:hAnsi="Arial" w:cs="Arial"/>
          <w:sz w:val="20"/>
        </w:rPr>
      </w:pPr>
    </w:p>
    <w:p w14:paraId="537C995F" w14:textId="77777777" w:rsidR="0092101C" w:rsidRPr="00701F32" w:rsidRDefault="0092101C" w:rsidP="0092101C">
      <w:pPr>
        <w:spacing w:before="240"/>
        <w:jc w:val="both"/>
        <w:rPr>
          <w:rFonts w:ascii="Arial" w:eastAsia="Arial" w:hAnsi="Arial" w:cs="Arial"/>
          <w:b/>
          <w:bCs/>
          <w:iCs/>
          <w:sz w:val="20"/>
          <w:lang w:val="es-ES_tradnl"/>
        </w:rPr>
      </w:pPr>
      <w:r w:rsidRPr="00701F32">
        <w:rPr>
          <w:rFonts w:ascii="Arial" w:hAnsi="Arial" w:cs="Arial"/>
          <w:b/>
          <w:bCs/>
          <w:iCs/>
          <w:sz w:val="20"/>
          <w:lang w:val="es-ES_tradnl"/>
        </w:rPr>
        <w:t>Cálculo de Capital Económico</w:t>
      </w:r>
    </w:p>
    <w:p w14:paraId="2B4BDE5E" w14:textId="77777777" w:rsidR="0092101C" w:rsidRPr="00701F32" w:rsidRDefault="0092101C" w:rsidP="0092101C">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La Entidad cuenta con elementos que aseguran una adecuada gestión de este riesgo, a saber:</w:t>
      </w:r>
    </w:p>
    <w:p w14:paraId="189E8402" w14:textId="77777777" w:rsidR="0092101C" w:rsidRPr="00701F32" w:rsidRDefault="0092101C" w:rsidP="0092101C">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143AFBA0" w14:textId="77777777" w:rsidR="0092101C" w:rsidRPr="00701F32" w:rsidRDefault="0092101C" w:rsidP="0092101C">
      <w:pPr>
        <w:numPr>
          <w:ilvl w:val="0"/>
          <w:numId w:val="77"/>
        </w:numPr>
        <w:pBdr>
          <w:top w:val="nil"/>
          <w:left w:val="nil"/>
          <w:bottom w:val="nil"/>
          <w:right w:val="nil"/>
          <w:between w:val="nil"/>
          <w:bar w:val="nil"/>
        </w:pBdr>
        <w:tabs>
          <w:tab w:val="left" w:pos="709"/>
        </w:tabs>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Tablero de indicadores de liquidez abarcativo, a través del cual se monitorea un abanico de niveles de liquidez. Cada indicador cuenta con su correspondiente umbral y límite, los cuales son monitoreados con una frecuencia diaria dentro de la Gerencia de Riesgos Financieros (dando la debida alerta en caso de vulneración), quincenal en el ámbito del Comité de Activos y Pasivos (ALCO) y mensual en el Comité de Dirección de Riesgos Integrales. Asimismo, se realiza un reporte semanal destinado a miembros del Comité de Dirección de Riesgos Integrales, ALCO y otros miembros del Directorio.</w:t>
      </w:r>
    </w:p>
    <w:p w14:paraId="35D3D3C3" w14:textId="77777777" w:rsidR="0092101C" w:rsidRPr="00701F32" w:rsidRDefault="0092101C" w:rsidP="0092101C">
      <w:pPr>
        <w:pBdr>
          <w:top w:val="nil"/>
          <w:left w:val="nil"/>
          <w:bottom w:val="nil"/>
          <w:right w:val="nil"/>
          <w:between w:val="nil"/>
          <w:bar w:val="nil"/>
        </w:pBdr>
        <w:tabs>
          <w:tab w:val="left" w:pos="709"/>
        </w:tabs>
        <w:ind w:left="709" w:hanging="425"/>
        <w:jc w:val="both"/>
        <w:rPr>
          <w:rFonts w:ascii="Arial" w:eastAsia="Arial" w:hAnsi="Arial" w:cs="Arial"/>
          <w:sz w:val="20"/>
          <w:u w:color="000000"/>
          <w:bdr w:val="nil"/>
          <w:lang w:val="es-ES_tradnl" w:eastAsia="es-AR"/>
        </w:rPr>
      </w:pPr>
    </w:p>
    <w:p w14:paraId="1A6FA0E1" w14:textId="77777777" w:rsidR="0092101C" w:rsidRPr="00701F32" w:rsidRDefault="0092101C" w:rsidP="0092101C">
      <w:pPr>
        <w:numPr>
          <w:ilvl w:val="0"/>
          <w:numId w:val="77"/>
        </w:numPr>
        <w:pBdr>
          <w:top w:val="nil"/>
          <w:left w:val="nil"/>
          <w:bottom w:val="nil"/>
          <w:right w:val="nil"/>
          <w:between w:val="nil"/>
          <w:bar w:val="nil"/>
        </w:pBdr>
        <w:tabs>
          <w:tab w:val="left" w:pos="709"/>
        </w:tabs>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Indicadores que miden la concentración de las fuentes de fondeo, estableciendo el apetito de la Entidad a este riesgo.</w:t>
      </w:r>
    </w:p>
    <w:p w14:paraId="477BA4B1" w14:textId="77777777" w:rsidR="0092101C" w:rsidRPr="00701F32" w:rsidRDefault="0092101C" w:rsidP="0092101C">
      <w:pPr>
        <w:pBdr>
          <w:top w:val="nil"/>
          <w:left w:val="nil"/>
          <w:bottom w:val="nil"/>
          <w:right w:val="nil"/>
          <w:between w:val="nil"/>
          <w:bar w:val="nil"/>
        </w:pBdr>
        <w:tabs>
          <w:tab w:val="left" w:pos="709"/>
        </w:tabs>
        <w:jc w:val="both"/>
        <w:rPr>
          <w:rFonts w:ascii="Arial" w:eastAsia="Arial" w:hAnsi="Arial" w:cs="Arial"/>
          <w:sz w:val="20"/>
          <w:u w:color="000000"/>
          <w:bdr w:val="nil"/>
          <w:lang w:val="es-ES_tradnl" w:eastAsia="es-AR"/>
        </w:rPr>
      </w:pPr>
    </w:p>
    <w:p w14:paraId="6D69E2AE" w14:textId="77777777" w:rsidR="0092101C" w:rsidRPr="00701F32" w:rsidRDefault="0092101C" w:rsidP="0092101C">
      <w:pPr>
        <w:numPr>
          <w:ilvl w:val="0"/>
          <w:numId w:val="77"/>
        </w:numPr>
        <w:spacing w:after="200"/>
        <w:contextualSpacing/>
        <w:jc w:val="both"/>
        <w:rPr>
          <w:rFonts w:ascii="Arial" w:hAnsi="Arial" w:cs="Arial"/>
          <w:sz w:val="20"/>
          <w:lang w:val="es-ES_tradnl"/>
        </w:rPr>
      </w:pPr>
      <w:bookmarkStart w:id="34" w:name="_PASO_N_"/>
      <w:r w:rsidRPr="00701F32">
        <w:rPr>
          <w:rFonts w:ascii="Arial" w:hAnsi="Arial" w:cs="Arial"/>
          <w:sz w:val="20"/>
          <w:lang w:val="es-ES_tradnl"/>
        </w:rPr>
        <w:t>Elaboración y monitoreo de los nuevos indicadores de cobertura de liquidez y apalancamiento requeridos por el BCRA en el marco del cumplimiento de la hoja de ruta hacia Basilea III.</w:t>
      </w:r>
    </w:p>
    <w:p w14:paraId="122A18E3" w14:textId="77777777" w:rsidR="0092101C" w:rsidRPr="00701F32" w:rsidRDefault="0092101C" w:rsidP="0092101C">
      <w:pPr>
        <w:ind w:left="709"/>
        <w:jc w:val="both"/>
        <w:rPr>
          <w:rFonts w:ascii="Arial" w:hAnsi="Arial" w:cs="Arial"/>
          <w:sz w:val="20"/>
          <w:lang w:val="es-ES_tradnl"/>
        </w:rPr>
      </w:pPr>
    </w:p>
    <w:p w14:paraId="740970B0" w14:textId="77777777" w:rsidR="0092101C" w:rsidRPr="00701F32" w:rsidRDefault="0092101C" w:rsidP="0092101C">
      <w:pPr>
        <w:numPr>
          <w:ilvl w:val="0"/>
          <w:numId w:val="77"/>
        </w:numPr>
        <w:spacing w:after="200"/>
        <w:contextualSpacing/>
        <w:jc w:val="both"/>
        <w:rPr>
          <w:rFonts w:ascii="Arial" w:hAnsi="Arial" w:cs="Arial"/>
          <w:sz w:val="20"/>
          <w:lang w:val="es-ES_tradnl"/>
        </w:rPr>
      </w:pPr>
      <w:r w:rsidRPr="00701F32">
        <w:rPr>
          <w:rFonts w:ascii="Arial" w:hAnsi="Arial" w:cs="Arial"/>
          <w:sz w:val="20"/>
          <w:lang w:val="es-ES_tradnl"/>
        </w:rPr>
        <w:t xml:space="preserve">Se incorporaron a la gestión diversas herramientas de seguimiento del riesgo de liquidez, incluyendo un desagregado análisis de los desfases de plazos contractuales e informes de concentración del fondeo captado por la Entidad, por contraparte, producto y moneda significativa. La granularidad de la información requerida para la elaboración de estos reportes contribuyó significativamente a la mejora del MIS (Management Information System) de riesgos. </w:t>
      </w:r>
    </w:p>
    <w:p w14:paraId="293500EE" w14:textId="77777777" w:rsidR="0092101C" w:rsidRPr="00701F32" w:rsidRDefault="0092101C" w:rsidP="0092101C">
      <w:pPr>
        <w:ind w:left="709"/>
        <w:jc w:val="both"/>
        <w:rPr>
          <w:rFonts w:ascii="Arial" w:hAnsi="Arial" w:cs="Arial"/>
          <w:sz w:val="20"/>
          <w:lang w:val="es-ES_tradnl"/>
        </w:rPr>
      </w:pPr>
    </w:p>
    <w:p w14:paraId="71718100" w14:textId="77777777" w:rsidR="0092101C" w:rsidRPr="00701F32" w:rsidRDefault="0092101C" w:rsidP="0092101C">
      <w:pPr>
        <w:numPr>
          <w:ilvl w:val="0"/>
          <w:numId w:val="77"/>
        </w:numPr>
        <w:contextualSpacing/>
        <w:jc w:val="both"/>
        <w:rPr>
          <w:rFonts w:ascii="Arial" w:hAnsi="Arial" w:cs="Arial"/>
          <w:sz w:val="20"/>
          <w:lang w:val="es-ES_tradnl"/>
        </w:rPr>
      </w:pPr>
      <w:r w:rsidRPr="00701F32">
        <w:rPr>
          <w:rFonts w:ascii="Arial" w:hAnsi="Arial" w:cs="Arial"/>
          <w:sz w:val="20"/>
          <w:lang w:val="es-ES_tradnl"/>
        </w:rPr>
        <w:t xml:space="preserve">La propia definición del ratio de cobertura de liquidez supone evaluar la capacidad de la Entidad de cubrir sus necesidades de liquidez durante un período de 30 días en el escenario de estrés descripto por el BCRA. El seguimiento de este indicador se realiza en forma diaria, manteniéndose informados semanalmente sobre su evolución al director y a los funcionarios responsables de la liquidez de la Entidad. </w:t>
      </w:r>
    </w:p>
    <w:p w14:paraId="2A6ED556" w14:textId="77777777" w:rsidR="0092101C" w:rsidRDefault="0092101C" w:rsidP="0092101C">
      <w:pPr>
        <w:numPr>
          <w:ilvl w:val="0"/>
          <w:numId w:val="77"/>
        </w:numPr>
        <w:pBdr>
          <w:top w:val="nil"/>
          <w:left w:val="nil"/>
          <w:bottom w:val="nil"/>
          <w:right w:val="nil"/>
          <w:between w:val="nil"/>
          <w:bar w:val="nil"/>
        </w:pBdr>
        <w:spacing w:before="240" w:after="200"/>
        <w:jc w:val="both"/>
        <w:rPr>
          <w:rFonts w:ascii="Arial" w:eastAsia="Verdana" w:hAnsi="Arial" w:cs="Arial"/>
          <w:sz w:val="20"/>
          <w:lang w:val="es-ES_tradnl"/>
        </w:rPr>
      </w:pPr>
      <w:r w:rsidRPr="00701F32">
        <w:rPr>
          <w:rFonts w:ascii="Arial" w:eastAsia="Verdana" w:hAnsi="Arial" w:cs="Arial"/>
          <w:sz w:val="20"/>
          <w:lang w:val="es-ES_tradnl"/>
        </w:rPr>
        <w:t>Observancia en todo momento del cumplimiento con los límites y umbrales establecidos para el ratio de fondeo estable (NSFR).</w:t>
      </w:r>
    </w:p>
    <w:p w14:paraId="78FB134A" w14:textId="77777777" w:rsidR="0092101C" w:rsidRPr="00701F32" w:rsidRDefault="0092101C" w:rsidP="0092101C">
      <w:pPr>
        <w:numPr>
          <w:ilvl w:val="0"/>
          <w:numId w:val="77"/>
        </w:numPr>
        <w:pBdr>
          <w:top w:val="nil"/>
          <w:left w:val="nil"/>
          <w:bottom w:val="nil"/>
          <w:right w:val="nil"/>
          <w:between w:val="nil"/>
          <w:bar w:val="nil"/>
        </w:pBdr>
        <w:spacing w:before="240" w:after="200"/>
        <w:jc w:val="both"/>
        <w:rPr>
          <w:rFonts w:ascii="Arial" w:eastAsia="Verdana" w:hAnsi="Arial" w:cs="Arial"/>
          <w:sz w:val="20"/>
          <w:lang w:val="es-ES_tradnl"/>
        </w:rPr>
      </w:pPr>
      <w:r>
        <w:rPr>
          <w:rFonts w:ascii="Arial" w:eastAsia="Verdana" w:hAnsi="Arial" w:cs="Arial"/>
          <w:sz w:val="20"/>
          <w:lang w:val="es-ES_tradnl"/>
        </w:rPr>
        <w:t>Herramientas de monitoreo de liquidez intradiaria tal como se indicó precedentemente.</w:t>
      </w:r>
    </w:p>
    <w:p w14:paraId="531FEFEC" w14:textId="77777777" w:rsidR="0092101C" w:rsidRPr="00701F32" w:rsidRDefault="0092101C" w:rsidP="0092101C">
      <w:pPr>
        <w:numPr>
          <w:ilvl w:val="0"/>
          <w:numId w:val="77"/>
        </w:numPr>
        <w:pBdr>
          <w:top w:val="nil"/>
          <w:left w:val="nil"/>
          <w:bottom w:val="nil"/>
          <w:right w:val="nil"/>
          <w:between w:val="nil"/>
          <w:bar w:val="nil"/>
        </w:pBdr>
        <w:spacing w:before="240" w:after="200"/>
        <w:jc w:val="both"/>
        <w:rPr>
          <w:rFonts w:ascii="Arial" w:eastAsia="Arial" w:hAnsi="Arial" w:cs="Arial"/>
          <w:sz w:val="20"/>
          <w:lang w:val="es-ES_tradnl"/>
        </w:rPr>
      </w:pPr>
      <w:r w:rsidRPr="00701F32">
        <w:rPr>
          <w:rFonts w:ascii="Arial" w:hAnsi="Arial" w:cs="Arial"/>
          <w:sz w:val="20"/>
          <w:lang w:val="es-ES_tradnl"/>
        </w:rPr>
        <w:t xml:space="preserve">Pruebas de estrés individuales </w:t>
      </w:r>
      <w:r>
        <w:rPr>
          <w:rFonts w:ascii="Arial" w:hAnsi="Arial" w:cs="Arial"/>
          <w:sz w:val="20"/>
          <w:lang w:val="es-ES_tradnl"/>
        </w:rPr>
        <w:t xml:space="preserve">por moneda relevante </w:t>
      </w:r>
      <w:r w:rsidRPr="00701F32">
        <w:rPr>
          <w:rFonts w:ascii="Arial" w:hAnsi="Arial" w:cs="Arial"/>
          <w:sz w:val="20"/>
          <w:lang w:val="es-ES_tradnl"/>
        </w:rPr>
        <w:t>ejecutadas diariamente</w:t>
      </w:r>
      <w:r>
        <w:rPr>
          <w:rFonts w:ascii="Arial" w:hAnsi="Arial" w:cs="Arial"/>
          <w:sz w:val="20"/>
          <w:lang w:val="es-ES_tradnl"/>
        </w:rPr>
        <w:t>.</w:t>
      </w:r>
      <w:r w:rsidRPr="00701F32">
        <w:rPr>
          <w:rFonts w:ascii="Arial" w:hAnsi="Arial" w:cs="Arial"/>
          <w:sz w:val="20"/>
          <w:lang w:val="es-ES_tradnl"/>
        </w:rPr>
        <w:t xml:space="preserve"> </w:t>
      </w:r>
      <w:bookmarkEnd w:id="34"/>
    </w:p>
    <w:p w14:paraId="0B441C43" w14:textId="77777777" w:rsidR="0092101C" w:rsidRPr="00701F32" w:rsidRDefault="0092101C" w:rsidP="0092101C">
      <w:pPr>
        <w:numPr>
          <w:ilvl w:val="0"/>
          <w:numId w:val="77"/>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En cuanto a los planes de contingencia, la Entidad adopta la política de aplicar sus lineamientos en ejercicios de pruebas de estrés, así como en situaciones en las que la vulneración de umbrales y/o límites así lo ameriten, de acuerdo a la decisión adoptada por el Comité ALCO y validada por el Comité de Dirección de Riesgos Integrales.</w:t>
      </w:r>
    </w:p>
    <w:p w14:paraId="4EFCDC8D" w14:textId="77777777" w:rsidR="0092101C" w:rsidRPr="00701F32" w:rsidRDefault="0092101C" w:rsidP="0092101C">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0202F8A5" w14:textId="55A5FF7D" w:rsidR="00EB6617" w:rsidRDefault="0092101C" w:rsidP="0092101C">
      <w:pPr>
        <w:pBdr>
          <w:top w:val="nil"/>
          <w:left w:val="nil"/>
          <w:bottom w:val="nil"/>
          <w:right w:val="nil"/>
          <w:between w:val="nil"/>
          <w:bar w:val="nil"/>
        </w:pBdr>
        <w:tabs>
          <w:tab w:val="left" w:pos="142"/>
        </w:tabs>
        <w:jc w:val="both"/>
        <w:rPr>
          <w:rFonts w:ascii="Arial" w:eastAsia="Arial Unicode MS"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El esquema de gestión de riesgo aquí descripto permite justificar una adecuada situación de liquidez, por lo que la Entidad no considera necesaria la estimación de capital económico para cubrir este riesgo, en la medida en que la solvencia de la Entidad no se vea afectada una vez aplicadas las medidas establecidas en el plan de contingencia de las pruebas de estrés.</w:t>
      </w:r>
    </w:p>
    <w:p w14:paraId="47098C03" w14:textId="77777777" w:rsidR="00EB6617" w:rsidRDefault="00EB6617" w:rsidP="00EB6617">
      <w:pPr>
        <w:pBdr>
          <w:top w:val="nil"/>
          <w:left w:val="nil"/>
          <w:bottom w:val="nil"/>
          <w:right w:val="nil"/>
          <w:between w:val="nil"/>
          <w:bar w:val="nil"/>
        </w:pBdr>
        <w:tabs>
          <w:tab w:val="left" w:pos="142"/>
        </w:tabs>
        <w:jc w:val="both"/>
        <w:rPr>
          <w:rFonts w:ascii="Arial" w:eastAsia="Arial Unicode MS" w:hAnsi="Arial" w:cs="Arial"/>
          <w:sz w:val="20"/>
          <w:u w:color="000000"/>
          <w:bdr w:val="nil"/>
          <w:lang w:val="es-ES_tradnl" w:eastAsia="es-AR"/>
        </w:rPr>
      </w:pPr>
    </w:p>
    <w:p w14:paraId="544D202A" w14:textId="6FFE2210" w:rsidR="00EB6617" w:rsidRPr="00E446C3" w:rsidRDefault="00EB6617" w:rsidP="00EB6617">
      <w:pPr>
        <w:pStyle w:val="Style1"/>
        <w:jc w:val="both"/>
        <w:rPr>
          <w:rFonts w:ascii="Arial" w:hAnsi="Arial" w:cs="Arial"/>
          <w:szCs w:val="20"/>
        </w:rPr>
      </w:pPr>
      <w:r w:rsidRPr="00E446C3">
        <w:rPr>
          <w:rFonts w:ascii="Arial" w:hAnsi="Arial" w:cs="Arial"/>
          <w:szCs w:val="20"/>
        </w:rPr>
        <w:t xml:space="preserve">A continuación se presenta un análisis de los vencimientos de los activos y pasivos, determinados en base al período remanente a la fecha de cierre del ejercicio </w:t>
      </w:r>
      <w:r w:rsidR="00331A39">
        <w:rPr>
          <w:rFonts w:ascii="Arial" w:hAnsi="Arial" w:cs="Arial"/>
          <w:szCs w:val="20"/>
        </w:rPr>
        <w:t xml:space="preserve">al 31 de diciembre de 2019 y 2018 </w:t>
      </w:r>
      <w:r w:rsidRPr="00E446C3">
        <w:rPr>
          <w:rFonts w:ascii="Arial" w:hAnsi="Arial" w:cs="Arial"/>
          <w:szCs w:val="20"/>
        </w:rPr>
        <w:t>hasta la fecha de vencimiento contractual, en base a los flujos de efectivo no descontados:</w:t>
      </w:r>
    </w:p>
    <w:p w14:paraId="2DD7CA45" w14:textId="77777777" w:rsidR="00EB6617" w:rsidRDefault="00EB6617" w:rsidP="00EB6617">
      <w:pPr>
        <w:pStyle w:val="Style1"/>
        <w:jc w:val="both"/>
        <w:rPr>
          <w:rFonts w:asciiTheme="majorHAnsi" w:hAnsiTheme="majorHAnsi" w:cstheme="minorHAnsi"/>
          <w:szCs w:val="20"/>
          <w:highlight w:val="yellow"/>
        </w:rPr>
      </w:pPr>
    </w:p>
    <w:tbl>
      <w:tblPr>
        <w:tblW w:w="9062" w:type="dxa"/>
        <w:tblInd w:w="75" w:type="dxa"/>
        <w:tblLayout w:type="fixed"/>
        <w:tblCellMar>
          <w:left w:w="70" w:type="dxa"/>
          <w:right w:w="70" w:type="dxa"/>
        </w:tblCellMar>
        <w:tblLook w:val="04A0" w:firstRow="1" w:lastRow="0" w:firstColumn="1" w:lastColumn="0" w:noHBand="0" w:noVBand="1"/>
      </w:tblPr>
      <w:tblGrid>
        <w:gridCol w:w="2263"/>
        <w:gridCol w:w="941"/>
        <w:gridCol w:w="1186"/>
        <w:gridCol w:w="1276"/>
        <w:gridCol w:w="1133"/>
        <w:gridCol w:w="1046"/>
        <w:gridCol w:w="1217"/>
      </w:tblGrid>
      <w:tr w:rsidR="008D77FC" w:rsidRPr="004C0B8D" w14:paraId="3A3895AD" w14:textId="77777777" w:rsidTr="006E1AF7">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56180" w14:textId="3BD53696"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Al 31/12/201</w:t>
            </w:r>
            <w:r>
              <w:rPr>
                <w:rFonts w:ascii="Arial" w:hAnsi="Arial" w:cs="Arial"/>
                <w:b/>
                <w:bCs/>
                <w:color w:val="000000"/>
                <w:sz w:val="16"/>
                <w:szCs w:val="16"/>
                <w:lang w:eastAsia="es-AR"/>
              </w:rPr>
              <w:t>9</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3EEA6E8D"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Menor a 1 mes</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14:paraId="429FE539"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 a 6 meses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B2998EC"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6 a 12 meses</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55DC47B6"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12 meses a 5 años</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7EB7F0DF"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Mayor a 5 años</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71A0A075"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Total</w:t>
            </w:r>
          </w:p>
        </w:tc>
      </w:tr>
      <w:tr w:rsidR="003B6D95" w:rsidRPr="004C0B8D" w14:paraId="116EE304" w14:textId="77777777" w:rsidTr="006E1AF7">
        <w:tc>
          <w:tcPr>
            <w:tcW w:w="2263" w:type="dxa"/>
            <w:tcBorders>
              <w:top w:val="nil"/>
              <w:left w:val="single" w:sz="4" w:space="0" w:color="auto"/>
              <w:bottom w:val="single" w:sz="4" w:space="0" w:color="auto"/>
              <w:right w:val="single" w:sz="4" w:space="0" w:color="auto"/>
            </w:tcBorders>
            <w:shd w:val="clear" w:color="auto" w:fill="auto"/>
            <w:vAlign w:val="bottom"/>
            <w:hideMark/>
          </w:tcPr>
          <w:p w14:paraId="27D2DA5A" w14:textId="77777777" w:rsidR="003B6D95" w:rsidRPr="00E446C3" w:rsidRDefault="003B6D95" w:rsidP="003B6D95">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Activos</w:t>
            </w:r>
          </w:p>
        </w:tc>
        <w:tc>
          <w:tcPr>
            <w:tcW w:w="941" w:type="dxa"/>
            <w:tcBorders>
              <w:top w:val="nil"/>
              <w:left w:val="nil"/>
              <w:bottom w:val="single" w:sz="4" w:space="0" w:color="auto"/>
              <w:right w:val="single" w:sz="4" w:space="0" w:color="auto"/>
            </w:tcBorders>
            <w:shd w:val="clear" w:color="auto" w:fill="auto"/>
            <w:vAlign w:val="bottom"/>
          </w:tcPr>
          <w:p w14:paraId="5F0F73A1" w14:textId="527FF82B" w:rsidR="003B6D95" w:rsidRPr="003B6D95" w:rsidRDefault="003B6D95" w:rsidP="003B6D95">
            <w:pPr>
              <w:jc w:val="right"/>
              <w:rPr>
                <w:rFonts w:ascii="Arial" w:hAnsi="Arial" w:cs="Arial"/>
                <w:b/>
                <w:bCs/>
                <w:color w:val="000000"/>
                <w:sz w:val="16"/>
                <w:szCs w:val="16"/>
                <w:lang w:eastAsia="es-AR"/>
              </w:rPr>
            </w:pPr>
            <w:r w:rsidRPr="006E1AF7">
              <w:rPr>
                <w:rFonts w:ascii="Arial" w:hAnsi="Arial" w:cs="Arial"/>
                <w:b/>
                <w:bCs/>
                <w:color w:val="000000"/>
                <w:sz w:val="16"/>
                <w:szCs w:val="18"/>
              </w:rPr>
              <w:t xml:space="preserve">71.187.751 </w:t>
            </w:r>
          </w:p>
        </w:tc>
        <w:tc>
          <w:tcPr>
            <w:tcW w:w="1186" w:type="dxa"/>
            <w:tcBorders>
              <w:top w:val="nil"/>
              <w:left w:val="nil"/>
              <w:bottom w:val="single" w:sz="4" w:space="0" w:color="auto"/>
              <w:right w:val="single" w:sz="4" w:space="0" w:color="auto"/>
            </w:tcBorders>
            <w:shd w:val="clear" w:color="auto" w:fill="auto"/>
            <w:vAlign w:val="bottom"/>
          </w:tcPr>
          <w:p w14:paraId="6ED3C585" w14:textId="12605EBE" w:rsidR="003B6D95" w:rsidRPr="003B6D95" w:rsidRDefault="003B6D95" w:rsidP="003B6D95">
            <w:pPr>
              <w:jc w:val="right"/>
              <w:rPr>
                <w:rFonts w:ascii="Arial" w:hAnsi="Arial" w:cs="Arial"/>
                <w:b/>
                <w:bCs/>
                <w:color w:val="000000"/>
                <w:sz w:val="16"/>
                <w:szCs w:val="16"/>
                <w:lang w:eastAsia="es-AR"/>
              </w:rPr>
            </w:pPr>
            <w:r w:rsidRPr="006E1AF7">
              <w:rPr>
                <w:rFonts w:ascii="Arial" w:hAnsi="Arial" w:cs="Arial"/>
                <w:b/>
                <w:bCs/>
                <w:color w:val="000000"/>
                <w:sz w:val="16"/>
                <w:szCs w:val="18"/>
              </w:rPr>
              <w:t xml:space="preserve">47.432.628 </w:t>
            </w:r>
          </w:p>
        </w:tc>
        <w:tc>
          <w:tcPr>
            <w:tcW w:w="1276" w:type="dxa"/>
            <w:tcBorders>
              <w:top w:val="nil"/>
              <w:left w:val="nil"/>
              <w:bottom w:val="single" w:sz="4" w:space="0" w:color="auto"/>
              <w:right w:val="single" w:sz="4" w:space="0" w:color="auto"/>
            </w:tcBorders>
            <w:shd w:val="clear" w:color="auto" w:fill="auto"/>
            <w:vAlign w:val="bottom"/>
          </w:tcPr>
          <w:p w14:paraId="4D4D7DF2" w14:textId="161F5FB0" w:rsidR="003B6D95" w:rsidRPr="003B6D95" w:rsidRDefault="003B6D95" w:rsidP="003B6D95">
            <w:pPr>
              <w:jc w:val="right"/>
              <w:rPr>
                <w:rFonts w:ascii="Arial" w:hAnsi="Arial" w:cs="Arial"/>
                <w:b/>
                <w:bCs/>
                <w:color w:val="000000"/>
                <w:sz w:val="16"/>
                <w:szCs w:val="16"/>
                <w:lang w:eastAsia="es-AR"/>
              </w:rPr>
            </w:pPr>
            <w:r w:rsidRPr="006E1AF7">
              <w:rPr>
                <w:rFonts w:ascii="Arial" w:hAnsi="Arial" w:cs="Arial"/>
                <w:b/>
                <w:bCs/>
                <w:color w:val="000000"/>
                <w:sz w:val="16"/>
                <w:szCs w:val="18"/>
              </w:rPr>
              <w:t xml:space="preserve">28.940.376 </w:t>
            </w:r>
          </w:p>
        </w:tc>
        <w:tc>
          <w:tcPr>
            <w:tcW w:w="1133" w:type="dxa"/>
            <w:tcBorders>
              <w:top w:val="nil"/>
              <w:left w:val="nil"/>
              <w:bottom w:val="single" w:sz="4" w:space="0" w:color="auto"/>
              <w:right w:val="single" w:sz="4" w:space="0" w:color="auto"/>
            </w:tcBorders>
            <w:shd w:val="clear" w:color="auto" w:fill="auto"/>
            <w:vAlign w:val="bottom"/>
          </w:tcPr>
          <w:p w14:paraId="30E585DB" w14:textId="4CA6B369" w:rsidR="003B6D95" w:rsidRPr="003B6D95" w:rsidRDefault="003B6D95" w:rsidP="003B6D95">
            <w:pPr>
              <w:jc w:val="right"/>
              <w:rPr>
                <w:rFonts w:ascii="Arial" w:hAnsi="Arial" w:cs="Arial"/>
                <w:b/>
                <w:bCs/>
                <w:color w:val="000000"/>
                <w:sz w:val="16"/>
                <w:szCs w:val="16"/>
                <w:lang w:eastAsia="es-AR"/>
              </w:rPr>
            </w:pPr>
            <w:r w:rsidRPr="006E1AF7">
              <w:rPr>
                <w:rFonts w:ascii="Arial" w:hAnsi="Arial" w:cs="Arial"/>
                <w:b/>
                <w:bCs/>
                <w:color w:val="000000"/>
                <w:sz w:val="16"/>
                <w:szCs w:val="18"/>
              </w:rPr>
              <w:t xml:space="preserve">87.483.052 </w:t>
            </w:r>
          </w:p>
        </w:tc>
        <w:tc>
          <w:tcPr>
            <w:tcW w:w="1046" w:type="dxa"/>
            <w:tcBorders>
              <w:top w:val="nil"/>
              <w:left w:val="nil"/>
              <w:bottom w:val="single" w:sz="4" w:space="0" w:color="auto"/>
              <w:right w:val="single" w:sz="4" w:space="0" w:color="auto"/>
            </w:tcBorders>
            <w:shd w:val="clear" w:color="auto" w:fill="auto"/>
            <w:vAlign w:val="bottom"/>
          </w:tcPr>
          <w:p w14:paraId="704CED56" w14:textId="323DA022" w:rsidR="003B6D95" w:rsidRPr="003B6D95" w:rsidRDefault="003B6D95" w:rsidP="003B6D95">
            <w:pPr>
              <w:jc w:val="right"/>
              <w:rPr>
                <w:rFonts w:ascii="Arial" w:hAnsi="Arial" w:cs="Arial"/>
                <w:b/>
                <w:bCs/>
                <w:color w:val="000000"/>
                <w:sz w:val="16"/>
                <w:szCs w:val="16"/>
                <w:lang w:eastAsia="es-AR"/>
              </w:rPr>
            </w:pPr>
            <w:r w:rsidRPr="006E1AF7">
              <w:rPr>
                <w:rFonts w:ascii="Arial" w:hAnsi="Arial" w:cs="Arial"/>
                <w:b/>
                <w:bCs/>
                <w:color w:val="000000"/>
                <w:sz w:val="16"/>
                <w:szCs w:val="18"/>
              </w:rPr>
              <w:t xml:space="preserve">33.914.944 </w:t>
            </w:r>
          </w:p>
        </w:tc>
        <w:tc>
          <w:tcPr>
            <w:tcW w:w="1217" w:type="dxa"/>
            <w:tcBorders>
              <w:top w:val="nil"/>
              <w:left w:val="nil"/>
              <w:bottom w:val="single" w:sz="4" w:space="0" w:color="auto"/>
              <w:right w:val="single" w:sz="4" w:space="0" w:color="auto"/>
            </w:tcBorders>
            <w:shd w:val="clear" w:color="auto" w:fill="auto"/>
            <w:vAlign w:val="bottom"/>
          </w:tcPr>
          <w:p w14:paraId="5239E0B8" w14:textId="0134FBCB" w:rsidR="003B6D95" w:rsidRPr="003B6D95" w:rsidRDefault="003B6D95" w:rsidP="003B6D95">
            <w:pPr>
              <w:jc w:val="right"/>
              <w:rPr>
                <w:rFonts w:ascii="Arial" w:hAnsi="Arial" w:cs="Arial"/>
                <w:b/>
                <w:bCs/>
                <w:color w:val="000000"/>
                <w:sz w:val="16"/>
                <w:szCs w:val="16"/>
                <w:lang w:eastAsia="es-AR"/>
              </w:rPr>
            </w:pPr>
            <w:r w:rsidRPr="006E1AF7">
              <w:rPr>
                <w:rFonts w:ascii="Arial" w:hAnsi="Arial" w:cs="Arial"/>
                <w:b/>
                <w:bCs/>
                <w:color w:val="000000"/>
                <w:sz w:val="16"/>
                <w:szCs w:val="18"/>
              </w:rPr>
              <w:t xml:space="preserve">268.958.751 </w:t>
            </w:r>
          </w:p>
        </w:tc>
      </w:tr>
      <w:tr w:rsidR="003B6D95" w:rsidRPr="004C0B8D" w14:paraId="08FA6055" w14:textId="77777777" w:rsidTr="006E1AF7">
        <w:tc>
          <w:tcPr>
            <w:tcW w:w="2263" w:type="dxa"/>
            <w:tcBorders>
              <w:top w:val="nil"/>
              <w:left w:val="single" w:sz="4" w:space="0" w:color="auto"/>
              <w:bottom w:val="single" w:sz="4" w:space="0" w:color="auto"/>
              <w:right w:val="single" w:sz="4" w:space="0" w:color="auto"/>
            </w:tcBorders>
            <w:shd w:val="clear" w:color="auto" w:fill="auto"/>
            <w:vAlign w:val="center"/>
            <w:hideMark/>
          </w:tcPr>
          <w:p w14:paraId="6607C0B4" w14:textId="77777777" w:rsidR="003B6D95" w:rsidRPr="00E446C3" w:rsidRDefault="003B6D95" w:rsidP="003B6D95">
            <w:pPr>
              <w:rPr>
                <w:rFonts w:ascii="Arial" w:hAnsi="Arial" w:cs="Arial"/>
                <w:color w:val="000000"/>
                <w:sz w:val="16"/>
                <w:szCs w:val="16"/>
                <w:lang w:eastAsia="es-AR"/>
              </w:rPr>
            </w:pPr>
            <w:r w:rsidRPr="00E446C3">
              <w:rPr>
                <w:rFonts w:ascii="Arial" w:hAnsi="Arial" w:cs="Arial"/>
                <w:color w:val="000000"/>
                <w:sz w:val="16"/>
                <w:szCs w:val="16"/>
                <w:lang w:eastAsia="es-AR"/>
              </w:rPr>
              <w:t>Préstamos y otras financiaciones</w:t>
            </w:r>
          </w:p>
        </w:tc>
        <w:tc>
          <w:tcPr>
            <w:tcW w:w="941" w:type="dxa"/>
            <w:tcBorders>
              <w:top w:val="nil"/>
              <w:left w:val="nil"/>
              <w:bottom w:val="single" w:sz="4" w:space="0" w:color="auto"/>
              <w:right w:val="single" w:sz="4" w:space="0" w:color="auto"/>
            </w:tcBorders>
            <w:shd w:val="clear" w:color="auto" w:fill="auto"/>
            <w:noWrap/>
            <w:vAlign w:val="bottom"/>
          </w:tcPr>
          <w:p w14:paraId="5278B8B1" w14:textId="68AC3A24" w:rsidR="003B6D95" w:rsidRPr="003B6D95" w:rsidRDefault="003B6D95" w:rsidP="003B6D95">
            <w:pPr>
              <w:jc w:val="right"/>
              <w:rPr>
                <w:rFonts w:ascii="Arial" w:hAnsi="Arial" w:cs="Arial"/>
                <w:color w:val="000000"/>
                <w:sz w:val="16"/>
                <w:szCs w:val="16"/>
                <w:lang w:eastAsia="es-AR"/>
              </w:rPr>
            </w:pPr>
            <w:r w:rsidRPr="006E1AF7">
              <w:rPr>
                <w:rFonts w:ascii="Arial" w:hAnsi="Arial" w:cs="Arial"/>
                <w:color w:val="000000"/>
                <w:sz w:val="16"/>
                <w:szCs w:val="18"/>
              </w:rPr>
              <w:t xml:space="preserve">71.187.751 </w:t>
            </w:r>
          </w:p>
        </w:tc>
        <w:tc>
          <w:tcPr>
            <w:tcW w:w="1186" w:type="dxa"/>
            <w:tcBorders>
              <w:top w:val="nil"/>
              <w:left w:val="nil"/>
              <w:bottom w:val="single" w:sz="4" w:space="0" w:color="auto"/>
              <w:right w:val="single" w:sz="4" w:space="0" w:color="auto"/>
            </w:tcBorders>
            <w:shd w:val="clear" w:color="auto" w:fill="auto"/>
            <w:noWrap/>
            <w:vAlign w:val="bottom"/>
          </w:tcPr>
          <w:p w14:paraId="7C524F70" w14:textId="323F550A" w:rsidR="003B6D95" w:rsidRPr="003B6D95" w:rsidRDefault="003B6D95" w:rsidP="003B6D95">
            <w:pPr>
              <w:jc w:val="right"/>
              <w:rPr>
                <w:rFonts w:ascii="Arial" w:hAnsi="Arial" w:cs="Arial"/>
                <w:color w:val="000000"/>
                <w:sz w:val="16"/>
                <w:szCs w:val="16"/>
                <w:lang w:eastAsia="es-AR"/>
              </w:rPr>
            </w:pPr>
            <w:r w:rsidRPr="006E1AF7">
              <w:rPr>
                <w:rFonts w:ascii="Arial" w:hAnsi="Arial" w:cs="Arial"/>
                <w:color w:val="000000"/>
                <w:sz w:val="16"/>
                <w:szCs w:val="18"/>
              </w:rPr>
              <w:t xml:space="preserve">47.432.628 </w:t>
            </w:r>
          </w:p>
        </w:tc>
        <w:tc>
          <w:tcPr>
            <w:tcW w:w="1276" w:type="dxa"/>
            <w:tcBorders>
              <w:top w:val="nil"/>
              <w:left w:val="nil"/>
              <w:bottom w:val="single" w:sz="4" w:space="0" w:color="auto"/>
              <w:right w:val="single" w:sz="4" w:space="0" w:color="auto"/>
            </w:tcBorders>
            <w:shd w:val="clear" w:color="auto" w:fill="auto"/>
            <w:noWrap/>
            <w:vAlign w:val="bottom"/>
          </w:tcPr>
          <w:p w14:paraId="7CBE8687" w14:textId="42AE3D65" w:rsidR="003B6D95" w:rsidRPr="003B6D95" w:rsidRDefault="003B6D95" w:rsidP="003B6D95">
            <w:pPr>
              <w:jc w:val="right"/>
              <w:rPr>
                <w:rFonts w:ascii="Arial" w:hAnsi="Arial" w:cs="Arial"/>
                <w:color w:val="000000"/>
                <w:sz w:val="16"/>
                <w:szCs w:val="16"/>
                <w:lang w:eastAsia="es-AR"/>
              </w:rPr>
            </w:pPr>
            <w:r w:rsidRPr="006E1AF7">
              <w:rPr>
                <w:rFonts w:ascii="Arial" w:hAnsi="Arial" w:cs="Arial"/>
                <w:color w:val="000000"/>
                <w:sz w:val="16"/>
                <w:szCs w:val="18"/>
              </w:rPr>
              <w:t xml:space="preserve">28.940.376 </w:t>
            </w:r>
          </w:p>
        </w:tc>
        <w:tc>
          <w:tcPr>
            <w:tcW w:w="1133" w:type="dxa"/>
            <w:tcBorders>
              <w:top w:val="nil"/>
              <w:left w:val="nil"/>
              <w:bottom w:val="single" w:sz="4" w:space="0" w:color="auto"/>
              <w:right w:val="single" w:sz="4" w:space="0" w:color="auto"/>
            </w:tcBorders>
            <w:shd w:val="clear" w:color="auto" w:fill="auto"/>
            <w:noWrap/>
            <w:vAlign w:val="bottom"/>
          </w:tcPr>
          <w:p w14:paraId="343BD936" w14:textId="31762096" w:rsidR="003B6D95" w:rsidRPr="003B6D95" w:rsidRDefault="003B6D95" w:rsidP="003B6D95">
            <w:pPr>
              <w:jc w:val="right"/>
              <w:rPr>
                <w:rFonts w:ascii="Arial" w:hAnsi="Arial" w:cs="Arial"/>
                <w:color w:val="000000"/>
                <w:sz w:val="16"/>
                <w:szCs w:val="16"/>
                <w:lang w:eastAsia="es-AR"/>
              </w:rPr>
            </w:pPr>
            <w:r w:rsidRPr="006E1AF7">
              <w:rPr>
                <w:rFonts w:ascii="Arial" w:hAnsi="Arial" w:cs="Arial"/>
                <w:color w:val="000000"/>
                <w:sz w:val="16"/>
                <w:szCs w:val="18"/>
              </w:rPr>
              <w:t xml:space="preserve">87.483.052 </w:t>
            </w:r>
          </w:p>
        </w:tc>
        <w:tc>
          <w:tcPr>
            <w:tcW w:w="1046" w:type="dxa"/>
            <w:tcBorders>
              <w:top w:val="nil"/>
              <w:left w:val="nil"/>
              <w:bottom w:val="single" w:sz="4" w:space="0" w:color="auto"/>
              <w:right w:val="single" w:sz="4" w:space="0" w:color="auto"/>
            </w:tcBorders>
            <w:shd w:val="clear" w:color="auto" w:fill="auto"/>
            <w:noWrap/>
            <w:vAlign w:val="bottom"/>
          </w:tcPr>
          <w:p w14:paraId="7708C34E" w14:textId="1BCCEC9E" w:rsidR="003B6D95" w:rsidRPr="003B6D95" w:rsidRDefault="003B6D95" w:rsidP="003B6D95">
            <w:pPr>
              <w:jc w:val="right"/>
              <w:rPr>
                <w:rFonts w:ascii="Arial" w:hAnsi="Arial" w:cs="Arial"/>
                <w:color w:val="000000"/>
                <w:sz w:val="16"/>
                <w:szCs w:val="16"/>
                <w:lang w:eastAsia="es-AR"/>
              </w:rPr>
            </w:pPr>
            <w:r w:rsidRPr="006E1AF7">
              <w:rPr>
                <w:rFonts w:ascii="Arial" w:hAnsi="Arial" w:cs="Arial"/>
                <w:color w:val="000000"/>
                <w:sz w:val="16"/>
                <w:szCs w:val="18"/>
              </w:rPr>
              <w:t xml:space="preserve">33.914.944 </w:t>
            </w:r>
          </w:p>
        </w:tc>
        <w:tc>
          <w:tcPr>
            <w:tcW w:w="1217" w:type="dxa"/>
            <w:tcBorders>
              <w:top w:val="nil"/>
              <w:left w:val="nil"/>
              <w:bottom w:val="single" w:sz="4" w:space="0" w:color="auto"/>
              <w:right w:val="single" w:sz="4" w:space="0" w:color="auto"/>
            </w:tcBorders>
            <w:shd w:val="clear" w:color="auto" w:fill="auto"/>
            <w:noWrap/>
            <w:vAlign w:val="bottom"/>
          </w:tcPr>
          <w:p w14:paraId="26398D9C" w14:textId="1F9E1FE0" w:rsidR="003B6D95" w:rsidRPr="003B6D95" w:rsidRDefault="003B6D95" w:rsidP="003B6D95">
            <w:pPr>
              <w:jc w:val="right"/>
              <w:rPr>
                <w:rFonts w:ascii="Arial" w:hAnsi="Arial" w:cs="Arial"/>
                <w:color w:val="000000"/>
                <w:sz w:val="16"/>
                <w:szCs w:val="16"/>
                <w:lang w:eastAsia="es-AR"/>
              </w:rPr>
            </w:pPr>
            <w:r w:rsidRPr="006E1AF7">
              <w:rPr>
                <w:rFonts w:ascii="Arial" w:hAnsi="Arial" w:cs="Arial"/>
                <w:color w:val="000000"/>
                <w:sz w:val="16"/>
                <w:szCs w:val="18"/>
              </w:rPr>
              <w:t xml:space="preserve">268.958.751 </w:t>
            </w:r>
          </w:p>
        </w:tc>
      </w:tr>
      <w:tr w:rsidR="006353C4" w:rsidRPr="004C0B8D" w14:paraId="0DAC0571" w14:textId="77777777" w:rsidTr="006E1AF7">
        <w:tc>
          <w:tcPr>
            <w:tcW w:w="2263" w:type="dxa"/>
            <w:tcBorders>
              <w:top w:val="nil"/>
              <w:left w:val="single" w:sz="4" w:space="0" w:color="auto"/>
              <w:bottom w:val="single" w:sz="4" w:space="0" w:color="auto"/>
              <w:right w:val="single" w:sz="4" w:space="0" w:color="auto"/>
            </w:tcBorders>
            <w:shd w:val="clear" w:color="auto" w:fill="auto"/>
            <w:vAlign w:val="bottom"/>
            <w:hideMark/>
          </w:tcPr>
          <w:p w14:paraId="084E5B5F" w14:textId="77777777" w:rsidR="006353C4" w:rsidRPr="00E446C3" w:rsidRDefault="006353C4" w:rsidP="006353C4">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Pasivos</w:t>
            </w:r>
          </w:p>
        </w:tc>
        <w:tc>
          <w:tcPr>
            <w:tcW w:w="941" w:type="dxa"/>
            <w:tcBorders>
              <w:top w:val="nil"/>
              <w:left w:val="nil"/>
              <w:bottom w:val="single" w:sz="4" w:space="0" w:color="auto"/>
              <w:right w:val="single" w:sz="4" w:space="0" w:color="auto"/>
            </w:tcBorders>
            <w:shd w:val="clear" w:color="auto" w:fill="auto"/>
            <w:vAlign w:val="bottom"/>
          </w:tcPr>
          <w:p w14:paraId="411411B8" w14:textId="0A6B2461" w:rsidR="006353C4" w:rsidRPr="006353C4" w:rsidRDefault="006353C4" w:rsidP="006353C4">
            <w:pPr>
              <w:jc w:val="right"/>
              <w:rPr>
                <w:rFonts w:ascii="Arial" w:hAnsi="Arial" w:cs="Arial"/>
                <w:b/>
                <w:bCs/>
                <w:color w:val="000000"/>
                <w:sz w:val="16"/>
                <w:szCs w:val="16"/>
                <w:lang w:eastAsia="es-AR"/>
              </w:rPr>
            </w:pPr>
            <w:r w:rsidRPr="006E1AF7">
              <w:rPr>
                <w:rFonts w:ascii="Arial" w:hAnsi="Arial" w:cs="Arial"/>
                <w:b/>
                <w:bCs/>
                <w:color w:val="000000"/>
                <w:sz w:val="16"/>
                <w:szCs w:val="16"/>
              </w:rPr>
              <w:t>92.522.913</w:t>
            </w:r>
          </w:p>
        </w:tc>
        <w:tc>
          <w:tcPr>
            <w:tcW w:w="1186" w:type="dxa"/>
            <w:tcBorders>
              <w:top w:val="nil"/>
              <w:left w:val="nil"/>
              <w:bottom w:val="single" w:sz="4" w:space="0" w:color="auto"/>
              <w:right w:val="single" w:sz="4" w:space="0" w:color="auto"/>
            </w:tcBorders>
            <w:shd w:val="clear" w:color="auto" w:fill="auto"/>
            <w:vAlign w:val="bottom"/>
          </w:tcPr>
          <w:p w14:paraId="39F8A140" w14:textId="2329A856" w:rsidR="006353C4" w:rsidRPr="006E1AF7" w:rsidRDefault="006353C4" w:rsidP="006353C4">
            <w:pPr>
              <w:jc w:val="right"/>
              <w:rPr>
                <w:rFonts w:ascii="Arial" w:hAnsi="Arial" w:cs="Arial"/>
                <w:b/>
                <w:bCs/>
                <w:color w:val="000000"/>
                <w:sz w:val="16"/>
                <w:szCs w:val="16"/>
              </w:rPr>
            </w:pPr>
            <w:r w:rsidRPr="006E1AF7">
              <w:rPr>
                <w:rFonts w:ascii="Arial" w:hAnsi="Arial" w:cs="Arial"/>
                <w:b/>
                <w:bCs/>
                <w:color w:val="000000"/>
                <w:sz w:val="16"/>
                <w:szCs w:val="16"/>
              </w:rPr>
              <w:t>12.105.324</w:t>
            </w:r>
          </w:p>
        </w:tc>
        <w:tc>
          <w:tcPr>
            <w:tcW w:w="1276" w:type="dxa"/>
            <w:tcBorders>
              <w:top w:val="nil"/>
              <w:left w:val="nil"/>
              <w:bottom w:val="single" w:sz="4" w:space="0" w:color="auto"/>
              <w:right w:val="single" w:sz="4" w:space="0" w:color="auto"/>
            </w:tcBorders>
            <w:shd w:val="clear" w:color="auto" w:fill="auto"/>
            <w:vAlign w:val="bottom"/>
          </w:tcPr>
          <w:p w14:paraId="124EF330" w14:textId="7557E04C" w:rsidR="006353C4" w:rsidRPr="006E1AF7" w:rsidRDefault="006353C4" w:rsidP="006353C4">
            <w:pPr>
              <w:jc w:val="right"/>
              <w:rPr>
                <w:rFonts w:ascii="Arial" w:hAnsi="Arial" w:cs="Arial"/>
                <w:b/>
                <w:bCs/>
                <w:color w:val="000000"/>
                <w:sz w:val="16"/>
                <w:szCs w:val="16"/>
              </w:rPr>
            </w:pPr>
            <w:r w:rsidRPr="006E1AF7">
              <w:rPr>
                <w:rFonts w:ascii="Arial" w:hAnsi="Arial" w:cs="Arial"/>
                <w:b/>
                <w:bCs/>
                <w:color w:val="000000"/>
                <w:sz w:val="16"/>
                <w:szCs w:val="16"/>
              </w:rPr>
              <w:t>10.051.246</w:t>
            </w:r>
          </w:p>
        </w:tc>
        <w:tc>
          <w:tcPr>
            <w:tcW w:w="1133" w:type="dxa"/>
            <w:tcBorders>
              <w:top w:val="nil"/>
              <w:left w:val="nil"/>
              <w:bottom w:val="single" w:sz="4" w:space="0" w:color="auto"/>
              <w:right w:val="single" w:sz="4" w:space="0" w:color="auto"/>
            </w:tcBorders>
            <w:shd w:val="clear" w:color="auto" w:fill="auto"/>
            <w:vAlign w:val="bottom"/>
          </w:tcPr>
          <w:p w14:paraId="79D4313B" w14:textId="313BD537" w:rsidR="006353C4" w:rsidRPr="006E1AF7" w:rsidRDefault="006353C4" w:rsidP="006353C4">
            <w:pPr>
              <w:jc w:val="right"/>
              <w:rPr>
                <w:rFonts w:ascii="Arial" w:hAnsi="Arial" w:cs="Arial"/>
                <w:b/>
                <w:bCs/>
                <w:color w:val="000000"/>
                <w:sz w:val="16"/>
                <w:szCs w:val="16"/>
              </w:rPr>
            </w:pPr>
            <w:r w:rsidRPr="006E1AF7">
              <w:rPr>
                <w:rFonts w:ascii="Arial" w:hAnsi="Arial" w:cs="Arial"/>
                <w:b/>
                <w:bCs/>
                <w:color w:val="000000"/>
                <w:sz w:val="16"/>
                <w:szCs w:val="16"/>
              </w:rPr>
              <w:t>4.112.193</w:t>
            </w:r>
          </w:p>
        </w:tc>
        <w:tc>
          <w:tcPr>
            <w:tcW w:w="1046" w:type="dxa"/>
            <w:tcBorders>
              <w:top w:val="nil"/>
              <w:left w:val="nil"/>
              <w:bottom w:val="single" w:sz="4" w:space="0" w:color="auto"/>
              <w:right w:val="single" w:sz="4" w:space="0" w:color="auto"/>
            </w:tcBorders>
            <w:shd w:val="clear" w:color="auto" w:fill="auto"/>
            <w:vAlign w:val="bottom"/>
          </w:tcPr>
          <w:p w14:paraId="5C71987F" w14:textId="4EEBAAF5" w:rsidR="006353C4" w:rsidRPr="006E1AF7" w:rsidRDefault="006353C4" w:rsidP="006353C4">
            <w:pPr>
              <w:jc w:val="right"/>
              <w:rPr>
                <w:rFonts w:ascii="Arial" w:hAnsi="Arial" w:cs="Arial"/>
                <w:b/>
                <w:bCs/>
                <w:color w:val="000000"/>
                <w:sz w:val="16"/>
                <w:szCs w:val="16"/>
              </w:rPr>
            </w:pPr>
            <w:r w:rsidRPr="006E1AF7">
              <w:rPr>
                <w:rFonts w:ascii="Arial" w:hAnsi="Arial" w:cs="Arial"/>
                <w:b/>
                <w:bCs/>
                <w:color w:val="000000"/>
                <w:sz w:val="16"/>
                <w:szCs w:val="16"/>
              </w:rPr>
              <w:t>3.371.710</w:t>
            </w:r>
          </w:p>
        </w:tc>
        <w:tc>
          <w:tcPr>
            <w:tcW w:w="1217" w:type="dxa"/>
            <w:tcBorders>
              <w:top w:val="nil"/>
              <w:left w:val="nil"/>
              <w:bottom w:val="single" w:sz="4" w:space="0" w:color="auto"/>
              <w:right w:val="single" w:sz="4" w:space="0" w:color="auto"/>
            </w:tcBorders>
            <w:shd w:val="clear" w:color="auto" w:fill="auto"/>
            <w:vAlign w:val="bottom"/>
          </w:tcPr>
          <w:p w14:paraId="0CF427EA" w14:textId="2155576D" w:rsidR="006353C4" w:rsidRPr="006E1AF7" w:rsidRDefault="006353C4" w:rsidP="006353C4">
            <w:pPr>
              <w:jc w:val="right"/>
              <w:rPr>
                <w:rFonts w:ascii="Arial" w:hAnsi="Arial" w:cs="Arial"/>
                <w:b/>
                <w:bCs/>
                <w:color w:val="000000"/>
                <w:sz w:val="16"/>
                <w:szCs w:val="16"/>
              </w:rPr>
            </w:pPr>
            <w:r w:rsidRPr="006E1AF7">
              <w:rPr>
                <w:rFonts w:ascii="Arial" w:hAnsi="Arial" w:cs="Arial"/>
                <w:b/>
                <w:bCs/>
                <w:color w:val="000000"/>
                <w:sz w:val="16"/>
                <w:szCs w:val="16"/>
              </w:rPr>
              <w:t>122.163.386</w:t>
            </w:r>
          </w:p>
        </w:tc>
      </w:tr>
      <w:tr w:rsidR="006353C4" w:rsidRPr="004C0B8D" w14:paraId="41AC042C" w14:textId="77777777" w:rsidTr="006E1AF7">
        <w:tc>
          <w:tcPr>
            <w:tcW w:w="2263" w:type="dxa"/>
            <w:tcBorders>
              <w:top w:val="nil"/>
              <w:left w:val="single" w:sz="4" w:space="0" w:color="auto"/>
              <w:bottom w:val="single" w:sz="4" w:space="0" w:color="auto"/>
              <w:right w:val="single" w:sz="4" w:space="0" w:color="auto"/>
            </w:tcBorders>
            <w:shd w:val="clear" w:color="auto" w:fill="auto"/>
            <w:vAlign w:val="center"/>
            <w:hideMark/>
          </w:tcPr>
          <w:p w14:paraId="1B5973D4" w14:textId="77777777" w:rsidR="006353C4" w:rsidRPr="00E446C3" w:rsidRDefault="006353C4" w:rsidP="006353C4">
            <w:pPr>
              <w:rPr>
                <w:rFonts w:ascii="Arial" w:hAnsi="Arial" w:cs="Arial"/>
                <w:color w:val="000000"/>
                <w:sz w:val="16"/>
                <w:szCs w:val="16"/>
                <w:lang w:eastAsia="es-AR"/>
              </w:rPr>
            </w:pPr>
            <w:r w:rsidRPr="00E446C3">
              <w:rPr>
                <w:rFonts w:ascii="Arial" w:hAnsi="Arial" w:cs="Arial"/>
                <w:color w:val="000000"/>
                <w:sz w:val="16"/>
                <w:szCs w:val="16"/>
                <w:lang w:eastAsia="es-AR"/>
              </w:rPr>
              <w:t>Depósitos</w:t>
            </w:r>
          </w:p>
        </w:tc>
        <w:tc>
          <w:tcPr>
            <w:tcW w:w="941" w:type="dxa"/>
            <w:tcBorders>
              <w:top w:val="nil"/>
              <w:left w:val="nil"/>
              <w:bottom w:val="single" w:sz="4" w:space="0" w:color="auto"/>
              <w:right w:val="single" w:sz="4" w:space="0" w:color="auto"/>
            </w:tcBorders>
            <w:shd w:val="clear" w:color="auto" w:fill="auto"/>
            <w:noWrap/>
            <w:vAlign w:val="bottom"/>
          </w:tcPr>
          <w:p w14:paraId="51BD5332" w14:textId="5E642E13"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79.694.146 </w:t>
            </w:r>
          </w:p>
        </w:tc>
        <w:tc>
          <w:tcPr>
            <w:tcW w:w="1186" w:type="dxa"/>
            <w:tcBorders>
              <w:top w:val="nil"/>
              <w:left w:val="nil"/>
              <w:bottom w:val="single" w:sz="4" w:space="0" w:color="auto"/>
              <w:right w:val="single" w:sz="4" w:space="0" w:color="auto"/>
            </w:tcBorders>
            <w:shd w:val="clear" w:color="auto" w:fill="auto"/>
            <w:noWrap/>
            <w:vAlign w:val="bottom"/>
          </w:tcPr>
          <w:p w14:paraId="672D946E" w14:textId="2CF4C403"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7.578.111 </w:t>
            </w:r>
          </w:p>
        </w:tc>
        <w:tc>
          <w:tcPr>
            <w:tcW w:w="1276" w:type="dxa"/>
            <w:tcBorders>
              <w:top w:val="nil"/>
              <w:left w:val="nil"/>
              <w:bottom w:val="single" w:sz="4" w:space="0" w:color="auto"/>
              <w:right w:val="single" w:sz="4" w:space="0" w:color="auto"/>
            </w:tcBorders>
            <w:shd w:val="clear" w:color="auto" w:fill="auto"/>
            <w:noWrap/>
            <w:vAlign w:val="bottom"/>
          </w:tcPr>
          <w:p w14:paraId="5AA4360C" w14:textId="20A2D083"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4.996.317 </w:t>
            </w:r>
          </w:p>
        </w:tc>
        <w:tc>
          <w:tcPr>
            <w:tcW w:w="1133" w:type="dxa"/>
            <w:tcBorders>
              <w:top w:val="nil"/>
              <w:left w:val="nil"/>
              <w:bottom w:val="single" w:sz="4" w:space="0" w:color="auto"/>
              <w:right w:val="single" w:sz="4" w:space="0" w:color="auto"/>
            </w:tcBorders>
            <w:shd w:val="clear" w:color="auto" w:fill="auto"/>
            <w:noWrap/>
            <w:vAlign w:val="bottom"/>
          </w:tcPr>
          <w:p w14:paraId="68BA4E63" w14:textId="48A8CE21"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2.245 </w:t>
            </w:r>
          </w:p>
        </w:tc>
        <w:tc>
          <w:tcPr>
            <w:tcW w:w="1046" w:type="dxa"/>
            <w:tcBorders>
              <w:top w:val="nil"/>
              <w:left w:val="nil"/>
              <w:bottom w:val="single" w:sz="4" w:space="0" w:color="auto"/>
              <w:right w:val="single" w:sz="4" w:space="0" w:color="auto"/>
            </w:tcBorders>
            <w:shd w:val="clear" w:color="auto" w:fill="auto"/>
            <w:noWrap/>
            <w:vAlign w:val="bottom"/>
          </w:tcPr>
          <w:p w14:paraId="4E5E189C" w14:textId="724E403B"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 </w:t>
            </w:r>
          </w:p>
        </w:tc>
        <w:tc>
          <w:tcPr>
            <w:tcW w:w="1217" w:type="dxa"/>
            <w:tcBorders>
              <w:top w:val="nil"/>
              <w:left w:val="nil"/>
              <w:bottom w:val="single" w:sz="4" w:space="0" w:color="auto"/>
              <w:right w:val="single" w:sz="4" w:space="0" w:color="auto"/>
            </w:tcBorders>
            <w:shd w:val="clear" w:color="auto" w:fill="auto"/>
            <w:noWrap/>
            <w:vAlign w:val="bottom"/>
          </w:tcPr>
          <w:p w14:paraId="0AE3010D" w14:textId="7147A112"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92.270.819 </w:t>
            </w:r>
          </w:p>
        </w:tc>
      </w:tr>
      <w:tr w:rsidR="006353C4" w:rsidRPr="004C0B8D" w14:paraId="752B00C1" w14:textId="77777777" w:rsidTr="006E1AF7">
        <w:tc>
          <w:tcPr>
            <w:tcW w:w="2263" w:type="dxa"/>
            <w:tcBorders>
              <w:top w:val="nil"/>
              <w:left w:val="single" w:sz="4" w:space="0" w:color="auto"/>
              <w:bottom w:val="single" w:sz="4" w:space="0" w:color="auto"/>
              <w:right w:val="single" w:sz="4" w:space="0" w:color="auto"/>
            </w:tcBorders>
            <w:shd w:val="clear" w:color="auto" w:fill="auto"/>
            <w:vAlign w:val="center"/>
            <w:hideMark/>
          </w:tcPr>
          <w:p w14:paraId="7F28EB84" w14:textId="77777777" w:rsidR="006353C4" w:rsidRPr="00E446C3" w:rsidRDefault="006353C4" w:rsidP="006353C4">
            <w:pPr>
              <w:rPr>
                <w:rFonts w:ascii="Arial" w:hAnsi="Arial" w:cs="Arial"/>
                <w:color w:val="000000"/>
                <w:sz w:val="16"/>
                <w:szCs w:val="16"/>
                <w:lang w:eastAsia="es-AR"/>
              </w:rPr>
            </w:pPr>
            <w:r w:rsidRPr="00E446C3">
              <w:rPr>
                <w:rFonts w:ascii="Arial" w:hAnsi="Arial" w:cs="Arial"/>
                <w:color w:val="000000"/>
                <w:sz w:val="16"/>
                <w:szCs w:val="16"/>
                <w:lang w:eastAsia="es-AR"/>
              </w:rPr>
              <w:t>Pasivos a valor razonable con cambios en resultado</w:t>
            </w:r>
          </w:p>
        </w:tc>
        <w:tc>
          <w:tcPr>
            <w:tcW w:w="941" w:type="dxa"/>
            <w:tcBorders>
              <w:top w:val="nil"/>
              <w:left w:val="nil"/>
              <w:bottom w:val="single" w:sz="4" w:space="0" w:color="auto"/>
              <w:right w:val="single" w:sz="4" w:space="0" w:color="auto"/>
            </w:tcBorders>
            <w:shd w:val="clear" w:color="auto" w:fill="auto"/>
            <w:noWrap/>
            <w:vAlign w:val="bottom"/>
          </w:tcPr>
          <w:p w14:paraId="5FE0177E" w14:textId="33BA1C7F"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189.554 </w:t>
            </w:r>
          </w:p>
        </w:tc>
        <w:tc>
          <w:tcPr>
            <w:tcW w:w="1186" w:type="dxa"/>
            <w:tcBorders>
              <w:top w:val="nil"/>
              <w:left w:val="nil"/>
              <w:bottom w:val="single" w:sz="4" w:space="0" w:color="auto"/>
              <w:right w:val="single" w:sz="4" w:space="0" w:color="auto"/>
            </w:tcBorders>
            <w:shd w:val="clear" w:color="auto" w:fill="auto"/>
            <w:noWrap/>
            <w:vAlign w:val="bottom"/>
          </w:tcPr>
          <w:p w14:paraId="32F23662" w14:textId="17E22E0A"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bottom"/>
          </w:tcPr>
          <w:p w14:paraId="111D1FE0" w14:textId="1BB06DD1"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 </w:t>
            </w:r>
          </w:p>
        </w:tc>
        <w:tc>
          <w:tcPr>
            <w:tcW w:w="1133" w:type="dxa"/>
            <w:tcBorders>
              <w:top w:val="nil"/>
              <w:left w:val="nil"/>
              <w:bottom w:val="single" w:sz="4" w:space="0" w:color="auto"/>
              <w:right w:val="single" w:sz="4" w:space="0" w:color="auto"/>
            </w:tcBorders>
            <w:shd w:val="clear" w:color="auto" w:fill="auto"/>
            <w:noWrap/>
            <w:vAlign w:val="bottom"/>
          </w:tcPr>
          <w:p w14:paraId="255C98C9" w14:textId="56ED2386"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 </w:t>
            </w:r>
          </w:p>
        </w:tc>
        <w:tc>
          <w:tcPr>
            <w:tcW w:w="1046" w:type="dxa"/>
            <w:tcBorders>
              <w:top w:val="nil"/>
              <w:left w:val="nil"/>
              <w:bottom w:val="single" w:sz="4" w:space="0" w:color="auto"/>
              <w:right w:val="single" w:sz="4" w:space="0" w:color="auto"/>
            </w:tcBorders>
            <w:shd w:val="clear" w:color="auto" w:fill="auto"/>
            <w:noWrap/>
            <w:vAlign w:val="bottom"/>
          </w:tcPr>
          <w:p w14:paraId="6C5E2AA3" w14:textId="4C04F35F"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 </w:t>
            </w:r>
          </w:p>
        </w:tc>
        <w:tc>
          <w:tcPr>
            <w:tcW w:w="1217" w:type="dxa"/>
            <w:tcBorders>
              <w:top w:val="nil"/>
              <w:left w:val="nil"/>
              <w:bottom w:val="single" w:sz="4" w:space="0" w:color="auto"/>
              <w:right w:val="single" w:sz="4" w:space="0" w:color="auto"/>
            </w:tcBorders>
            <w:shd w:val="clear" w:color="auto" w:fill="auto"/>
            <w:noWrap/>
            <w:vAlign w:val="bottom"/>
          </w:tcPr>
          <w:p w14:paraId="7396A453" w14:textId="1FBB1DA2"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189.554 </w:t>
            </w:r>
          </w:p>
        </w:tc>
      </w:tr>
      <w:tr w:rsidR="003B6D95" w:rsidRPr="004C0B8D" w14:paraId="19B8327E" w14:textId="77777777" w:rsidTr="008D77FC">
        <w:tc>
          <w:tcPr>
            <w:tcW w:w="2263" w:type="dxa"/>
            <w:tcBorders>
              <w:top w:val="nil"/>
              <w:left w:val="single" w:sz="4" w:space="0" w:color="auto"/>
              <w:bottom w:val="single" w:sz="4" w:space="0" w:color="auto"/>
              <w:right w:val="single" w:sz="4" w:space="0" w:color="auto"/>
            </w:tcBorders>
            <w:shd w:val="clear" w:color="auto" w:fill="auto"/>
            <w:vAlign w:val="center"/>
          </w:tcPr>
          <w:p w14:paraId="6CCE625F" w14:textId="45C798A6" w:rsidR="003B6D95" w:rsidRPr="00E446C3" w:rsidRDefault="003B6D95" w:rsidP="003B6D95">
            <w:pPr>
              <w:rPr>
                <w:rFonts w:ascii="Arial" w:hAnsi="Arial" w:cs="Arial"/>
                <w:color w:val="000000"/>
                <w:sz w:val="16"/>
                <w:szCs w:val="16"/>
                <w:lang w:eastAsia="es-AR"/>
              </w:rPr>
            </w:pPr>
            <w:r>
              <w:rPr>
                <w:rFonts w:ascii="Arial" w:hAnsi="Arial" w:cs="Arial"/>
                <w:color w:val="000000"/>
                <w:sz w:val="16"/>
                <w:szCs w:val="16"/>
                <w:lang w:eastAsia="es-AR"/>
              </w:rPr>
              <w:t>Operaciones de pases</w:t>
            </w:r>
          </w:p>
        </w:tc>
        <w:tc>
          <w:tcPr>
            <w:tcW w:w="941" w:type="dxa"/>
            <w:tcBorders>
              <w:top w:val="nil"/>
              <w:left w:val="nil"/>
              <w:bottom w:val="single" w:sz="4" w:space="0" w:color="auto"/>
              <w:right w:val="single" w:sz="4" w:space="0" w:color="auto"/>
            </w:tcBorders>
            <w:shd w:val="clear" w:color="auto" w:fill="auto"/>
            <w:noWrap/>
            <w:vAlign w:val="bottom"/>
          </w:tcPr>
          <w:p w14:paraId="44A0B8D1" w14:textId="7F2C29DF" w:rsidR="003B6D95" w:rsidRPr="006353C4" w:rsidRDefault="003B6D95" w:rsidP="003B6D95">
            <w:pPr>
              <w:jc w:val="right"/>
              <w:rPr>
                <w:rFonts w:ascii="Arial" w:hAnsi="Arial" w:cs="Arial"/>
                <w:color w:val="000000"/>
                <w:sz w:val="16"/>
                <w:szCs w:val="16"/>
              </w:rPr>
            </w:pPr>
            <w:r w:rsidRPr="006E1AF7">
              <w:rPr>
                <w:rFonts w:ascii="Arial" w:hAnsi="Arial" w:cs="Arial"/>
                <w:color w:val="000000"/>
                <w:sz w:val="16"/>
                <w:szCs w:val="16"/>
              </w:rPr>
              <w:t xml:space="preserve">319.817 </w:t>
            </w:r>
          </w:p>
        </w:tc>
        <w:tc>
          <w:tcPr>
            <w:tcW w:w="1186" w:type="dxa"/>
            <w:tcBorders>
              <w:top w:val="nil"/>
              <w:left w:val="nil"/>
              <w:bottom w:val="single" w:sz="4" w:space="0" w:color="auto"/>
              <w:right w:val="single" w:sz="4" w:space="0" w:color="auto"/>
            </w:tcBorders>
            <w:shd w:val="clear" w:color="auto" w:fill="auto"/>
            <w:noWrap/>
            <w:vAlign w:val="bottom"/>
          </w:tcPr>
          <w:p w14:paraId="64DF0FC0" w14:textId="5C4F3BE8" w:rsidR="003B6D95" w:rsidRPr="006353C4" w:rsidRDefault="003B6D95" w:rsidP="003B6D95">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bottom"/>
          </w:tcPr>
          <w:p w14:paraId="5C6C332E" w14:textId="66BA22B3" w:rsidR="003B6D95" w:rsidRPr="006353C4" w:rsidRDefault="003B6D95" w:rsidP="003B6D95">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133" w:type="dxa"/>
            <w:tcBorders>
              <w:top w:val="nil"/>
              <w:left w:val="nil"/>
              <w:bottom w:val="single" w:sz="4" w:space="0" w:color="auto"/>
              <w:right w:val="single" w:sz="4" w:space="0" w:color="auto"/>
            </w:tcBorders>
            <w:shd w:val="clear" w:color="auto" w:fill="auto"/>
            <w:noWrap/>
            <w:vAlign w:val="bottom"/>
          </w:tcPr>
          <w:p w14:paraId="3DF46445" w14:textId="0DD20AB1" w:rsidR="003B6D95" w:rsidRPr="006353C4" w:rsidRDefault="003B6D95" w:rsidP="003B6D95">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046" w:type="dxa"/>
            <w:tcBorders>
              <w:top w:val="nil"/>
              <w:left w:val="nil"/>
              <w:bottom w:val="single" w:sz="4" w:space="0" w:color="auto"/>
              <w:right w:val="single" w:sz="4" w:space="0" w:color="auto"/>
            </w:tcBorders>
            <w:shd w:val="clear" w:color="auto" w:fill="auto"/>
            <w:noWrap/>
            <w:vAlign w:val="bottom"/>
          </w:tcPr>
          <w:p w14:paraId="63B78EDE" w14:textId="4DF0DDB9" w:rsidR="003B6D95" w:rsidRPr="006353C4" w:rsidRDefault="003B6D95" w:rsidP="003B6D95">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217" w:type="dxa"/>
            <w:tcBorders>
              <w:top w:val="nil"/>
              <w:left w:val="nil"/>
              <w:bottom w:val="single" w:sz="4" w:space="0" w:color="auto"/>
              <w:right w:val="single" w:sz="4" w:space="0" w:color="auto"/>
            </w:tcBorders>
            <w:shd w:val="clear" w:color="auto" w:fill="auto"/>
            <w:noWrap/>
            <w:vAlign w:val="bottom"/>
          </w:tcPr>
          <w:p w14:paraId="13F0D8C1" w14:textId="2C76EF9B" w:rsidR="003B6D95" w:rsidRPr="006353C4" w:rsidRDefault="003B6D95" w:rsidP="003B6D95">
            <w:pPr>
              <w:jc w:val="right"/>
              <w:rPr>
                <w:rFonts w:ascii="Arial" w:hAnsi="Arial" w:cs="Arial"/>
                <w:color w:val="000000"/>
                <w:sz w:val="16"/>
                <w:szCs w:val="16"/>
              </w:rPr>
            </w:pPr>
            <w:r w:rsidRPr="006E1AF7">
              <w:rPr>
                <w:rFonts w:ascii="Arial" w:hAnsi="Arial" w:cs="Arial"/>
                <w:color w:val="000000"/>
                <w:sz w:val="16"/>
                <w:szCs w:val="16"/>
              </w:rPr>
              <w:t xml:space="preserve">319.817 </w:t>
            </w:r>
          </w:p>
        </w:tc>
      </w:tr>
      <w:tr w:rsidR="006353C4" w:rsidRPr="004C0B8D" w14:paraId="75BD664D" w14:textId="77777777" w:rsidTr="006E1AF7">
        <w:tc>
          <w:tcPr>
            <w:tcW w:w="2263" w:type="dxa"/>
            <w:tcBorders>
              <w:top w:val="nil"/>
              <w:left w:val="single" w:sz="4" w:space="0" w:color="auto"/>
              <w:bottom w:val="single" w:sz="4" w:space="0" w:color="auto"/>
              <w:right w:val="single" w:sz="4" w:space="0" w:color="auto"/>
            </w:tcBorders>
            <w:shd w:val="clear" w:color="auto" w:fill="auto"/>
            <w:vAlign w:val="center"/>
            <w:hideMark/>
          </w:tcPr>
          <w:p w14:paraId="4F2A8896" w14:textId="77777777" w:rsidR="006353C4" w:rsidRPr="00E446C3" w:rsidRDefault="006353C4" w:rsidP="006353C4">
            <w:pPr>
              <w:rPr>
                <w:rFonts w:ascii="Arial" w:hAnsi="Arial" w:cs="Arial"/>
                <w:color w:val="000000"/>
                <w:sz w:val="16"/>
                <w:szCs w:val="16"/>
                <w:lang w:eastAsia="es-AR"/>
              </w:rPr>
            </w:pPr>
            <w:r w:rsidRPr="00E446C3">
              <w:rPr>
                <w:rFonts w:ascii="Arial" w:hAnsi="Arial" w:cs="Arial"/>
                <w:color w:val="000000"/>
                <w:sz w:val="16"/>
                <w:szCs w:val="16"/>
                <w:lang w:eastAsia="es-AR"/>
              </w:rPr>
              <w:t>Otros pasivos financieros</w:t>
            </w:r>
          </w:p>
        </w:tc>
        <w:tc>
          <w:tcPr>
            <w:tcW w:w="941" w:type="dxa"/>
            <w:tcBorders>
              <w:top w:val="nil"/>
              <w:left w:val="nil"/>
              <w:bottom w:val="single" w:sz="4" w:space="0" w:color="auto"/>
              <w:right w:val="single" w:sz="4" w:space="0" w:color="auto"/>
            </w:tcBorders>
            <w:shd w:val="clear" w:color="auto" w:fill="auto"/>
            <w:noWrap/>
            <w:vAlign w:val="bottom"/>
          </w:tcPr>
          <w:p w14:paraId="2DC6B18B" w14:textId="297D9695"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4.918.670 </w:t>
            </w:r>
          </w:p>
        </w:tc>
        <w:tc>
          <w:tcPr>
            <w:tcW w:w="1186" w:type="dxa"/>
            <w:tcBorders>
              <w:top w:val="nil"/>
              <w:left w:val="nil"/>
              <w:bottom w:val="single" w:sz="4" w:space="0" w:color="auto"/>
              <w:right w:val="single" w:sz="4" w:space="0" w:color="auto"/>
            </w:tcBorders>
            <w:shd w:val="clear" w:color="auto" w:fill="auto"/>
            <w:noWrap/>
            <w:vAlign w:val="bottom"/>
          </w:tcPr>
          <w:p w14:paraId="3A95ED2D" w14:textId="60BBCBE8"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408.985 </w:t>
            </w:r>
          </w:p>
        </w:tc>
        <w:tc>
          <w:tcPr>
            <w:tcW w:w="1276" w:type="dxa"/>
            <w:tcBorders>
              <w:top w:val="nil"/>
              <w:left w:val="nil"/>
              <w:bottom w:val="single" w:sz="4" w:space="0" w:color="auto"/>
              <w:right w:val="single" w:sz="4" w:space="0" w:color="auto"/>
            </w:tcBorders>
            <w:shd w:val="clear" w:color="auto" w:fill="auto"/>
            <w:noWrap/>
            <w:vAlign w:val="bottom"/>
          </w:tcPr>
          <w:p w14:paraId="24B89C5C" w14:textId="1EC94A65"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556.549 </w:t>
            </w:r>
          </w:p>
        </w:tc>
        <w:tc>
          <w:tcPr>
            <w:tcW w:w="1133" w:type="dxa"/>
            <w:tcBorders>
              <w:top w:val="nil"/>
              <w:left w:val="nil"/>
              <w:bottom w:val="single" w:sz="4" w:space="0" w:color="auto"/>
              <w:right w:val="single" w:sz="4" w:space="0" w:color="auto"/>
            </w:tcBorders>
            <w:shd w:val="clear" w:color="auto" w:fill="auto"/>
            <w:noWrap/>
            <w:vAlign w:val="bottom"/>
          </w:tcPr>
          <w:p w14:paraId="59533410" w14:textId="1697F927"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946.443 </w:t>
            </w:r>
          </w:p>
        </w:tc>
        <w:tc>
          <w:tcPr>
            <w:tcW w:w="1046" w:type="dxa"/>
            <w:tcBorders>
              <w:top w:val="nil"/>
              <w:left w:val="nil"/>
              <w:bottom w:val="single" w:sz="4" w:space="0" w:color="auto"/>
              <w:right w:val="single" w:sz="4" w:space="0" w:color="auto"/>
            </w:tcBorders>
            <w:shd w:val="clear" w:color="auto" w:fill="auto"/>
            <w:noWrap/>
            <w:vAlign w:val="bottom"/>
          </w:tcPr>
          <w:p w14:paraId="68011DF4" w14:textId="6C4921F8"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533.279 </w:t>
            </w:r>
          </w:p>
        </w:tc>
        <w:tc>
          <w:tcPr>
            <w:tcW w:w="1217" w:type="dxa"/>
            <w:tcBorders>
              <w:top w:val="nil"/>
              <w:left w:val="nil"/>
              <w:bottom w:val="single" w:sz="4" w:space="0" w:color="auto"/>
              <w:right w:val="single" w:sz="4" w:space="0" w:color="auto"/>
            </w:tcBorders>
            <w:shd w:val="clear" w:color="auto" w:fill="auto"/>
            <w:noWrap/>
            <w:vAlign w:val="bottom"/>
          </w:tcPr>
          <w:p w14:paraId="0DE7192C" w14:textId="0CE00831"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7.363.926 </w:t>
            </w:r>
          </w:p>
        </w:tc>
      </w:tr>
      <w:tr w:rsidR="006353C4" w:rsidRPr="004C0B8D" w14:paraId="51E5FD03" w14:textId="77777777" w:rsidTr="006E1AF7">
        <w:tc>
          <w:tcPr>
            <w:tcW w:w="2263" w:type="dxa"/>
            <w:tcBorders>
              <w:top w:val="nil"/>
              <w:left w:val="single" w:sz="4" w:space="0" w:color="auto"/>
              <w:bottom w:val="single" w:sz="4" w:space="0" w:color="auto"/>
              <w:right w:val="single" w:sz="4" w:space="0" w:color="auto"/>
            </w:tcBorders>
            <w:shd w:val="clear" w:color="auto" w:fill="auto"/>
            <w:vAlign w:val="center"/>
            <w:hideMark/>
          </w:tcPr>
          <w:p w14:paraId="7E0A9673" w14:textId="77777777" w:rsidR="006353C4" w:rsidRPr="00E446C3" w:rsidRDefault="006353C4" w:rsidP="006353C4">
            <w:pPr>
              <w:rPr>
                <w:rFonts w:ascii="Arial" w:hAnsi="Arial" w:cs="Arial"/>
                <w:color w:val="000000"/>
                <w:sz w:val="16"/>
                <w:szCs w:val="16"/>
                <w:lang w:eastAsia="es-AR"/>
              </w:rPr>
            </w:pPr>
            <w:r w:rsidRPr="00E446C3">
              <w:rPr>
                <w:rFonts w:ascii="Arial" w:hAnsi="Arial" w:cs="Arial"/>
                <w:color w:val="000000"/>
                <w:sz w:val="16"/>
                <w:szCs w:val="16"/>
                <w:lang w:eastAsia="es-AR"/>
              </w:rPr>
              <w:t>Financiaciones recibidas del BCRA y otras instituciones financieras</w:t>
            </w:r>
          </w:p>
        </w:tc>
        <w:tc>
          <w:tcPr>
            <w:tcW w:w="941" w:type="dxa"/>
            <w:tcBorders>
              <w:top w:val="nil"/>
              <w:left w:val="nil"/>
              <w:bottom w:val="single" w:sz="4" w:space="0" w:color="auto"/>
              <w:right w:val="single" w:sz="4" w:space="0" w:color="auto"/>
            </w:tcBorders>
            <w:shd w:val="clear" w:color="auto" w:fill="auto"/>
            <w:noWrap/>
            <w:vAlign w:val="bottom"/>
          </w:tcPr>
          <w:p w14:paraId="773AAAFE" w14:textId="66484B85"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7.400.726 </w:t>
            </w:r>
          </w:p>
        </w:tc>
        <w:tc>
          <w:tcPr>
            <w:tcW w:w="1186" w:type="dxa"/>
            <w:tcBorders>
              <w:top w:val="nil"/>
              <w:left w:val="nil"/>
              <w:bottom w:val="single" w:sz="4" w:space="0" w:color="auto"/>
              <w:right w:val="single" w:sz="4" w:space="0" w:color="auto"/>
            </w:tcBorders>
            <w:shd w:val="clear" w:color="auto" w:fill="auto"/>
            <w:noWrap/>
            <w:vAlign w:val="bottom"/>
          </w:tcPr>
          <w:p w14:paraId="20BEBDCC" w14:textId="7C117E8C"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966.831 </w:t>
            </w:r>
          </w:p>
        </w:tc>
        <w:tc>
          <w:tcPr>
            <w:tcW w:w="1276" w:type="dxa"/>
            <w:tcBorders>
              <w:top w:val="nil"/>
              <w:left w:val="nil"/>
              <w:bottom w:val="single" w:sz="4" w:space="0" w:color="auto"/>
              <w:right w:val="single" w:sz="4" w:space="0" w:color="auto"/>
            </w:tcBorders>
            <w:shd w:val="clear" w:color="auto" w:fill="auto"/>
            <w:noWrap/>
            <w:vAlign w:val="bottom"/>
          </w:tcPr>
          <w:p w14:paraId="508407C3" w14:textId="552C6E6C"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202.593 </w:t>
            </w:r>
          </w:p>
        </w:tc>
        <w:tc>
          <w:tcPr>
            <w:tcW w:w="1133" w:type="dxa"/>
            <w:tcBorders>
              <w:top w:val="nil"/>
              <w:left w:val="nil"/>
              <w:bottom w:val="single" w:sz="4" w:space="0" w:color="auto"/>
              <w:right w:val="single" w:sz="4" w:space="0" w:color="auto"/>
            </w:tcBorders>
            <w:shd w:val="clear" w:color="auto" w:fill="auto"/>
            <w:noWrap/>
            <w:vAlign w:val="bottom"/>
          </w:tcPr>
          <w:p w14:paraId="742A96B5" w14:textId="06CD4241"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355.116 </w:t>
            </w:r>
          </w:p>
        </w:tc>
        <w:tc>
          <w:tcPr>
            <w:tcW w:w="1046" w:type="dxa"/>
            <w:tcBorders>
              <w:top w:val="nil"/>
              <w:left w:val="nil"/>
              <w:bottom w:val="single" w:sz="4" w:space="0" w:color="auto"/>
              <w:right w:val="single" w:sz="4" w:space="0" w:color="auto"/>
            </w:tcBorders>
            <w:shd w:val="clear" w:color="auto" w:fill="auto"/>
            <w:noWrap/>
            <w:vAlign w:val="bottom"/>
          </w:tcPr>
          <w:p w14:paraId="20E499EA" w14:textId="65E302E5"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912.434 </w:t>
            </w:r>
          </w:p>
        </w:tc>
        <w:tc>
          <w:tcPr>
            <w:tcW w:w="1217" w:type="dxa"/>
            <w:tcBorders>
              <w:top w:val="nil"/>
              <w:left w:val="nil"/>
              <w:bottom w:val="single" w:sz="4" w:space="0" w:color="auto"/>
              <w:right w:val="single" w:sz="4" w:space="0" w:color="auto"/>
            </w:tcBorders>
            <w:shd w:val="clear" w:color="auto" w:fill="auto"/>
            <w:noWrap/>
            <w:vAlign w:val="bottom"/>
          </w:tcPr>
          <w:p w14:paraId="7CF158BB" w14:textId="16599B41"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9.837.700 </w:t>
            </w:r>
          </w:p>
        </w:tc>
      </w:tr>
      <w:tr w:rsidR="006353C4" w:rsidRPr="004C0B8D" w14:paraId="38A32F48" w14:textId="77777777" w:rsidTr="006E1AF7">
        <w:tc>
          <w:tcPr>
            <w:tcW w:w="2263" w:type="dxa"/>
            <w:tcBorders>
              <w:top w:val="nil"/>
              <w:left w:val="single" w:sz="4" w:space="0" w:color="auto"/>
              <w:bottom w:val="single" w:sz="4" w:space="0" w:color="auto"/>
              <w:right w:val="single" w:sz="4" w:space="0" w:color="auto"/>
            </w:tcBorders>
            <w:shd w:val="clear" w:color="auto" w:fill="auto"/>
            <w:vAlign w:val="center"/>
            <w:hideMark/>
          </w:tcPr>
          <w:p w14:paraId="7F283853" w14:textId="77777777" w:rsidR="006353C4" w:rsidRPr="00E446C3" w:rsidRDefault="006353C4" w:rsidP="006353C4">
            <w:pPr>
              <w:rPr>
                <w:rFonts w:ascii="Arial" w:hAnsi="Arial" w:cs="Arial"/>
                <w:color w:val="000000"/>
                <w:sz w:val="16"/>
                <w:szCs w:val="16"/>
                <w:lang w:eastAsia="es-AR"/>
              </w:rPr>
            </w:pPr>
            <w:r w:rsidRPr="00E446C3">
              <w:rPr>
                <w:rFonts w:ascii="Arial" w:hAnsi="Arial" w:cs="Arial"/>
                <w:color w:val="000000"/>
                <w:sz w:val="16"/>
                <w:szCs w:val="16"/>
                <w:lang w:eastAsia="es-AR"/>
              </w:rPr>
              <w:t>Obligaciones negociables emitidas</w:t>
            </w:r>
          </w:p>
        </w:tc>
        <w:tc>
          <w:tcPr>
            <w:tcW w:w="941" w:type="dxa"/>
            <w:tcBorders>
              <w:top w:val="nil"/>
              <w:left w:val="nil"/>
              <w:bottom w:val="single" w:sz="4" w:space="0" w:color="auto"/>
              <w:right w:val="single" w:sz="4" w:space="0" w:color="auto"/>
            </w:tcBorders>
            <w:shd w:val="clear" w:color="auto" w:fill="auto"/>
            <w:noWrap/>
            <w:vAlign w:val="bottom"/>
          </w:tcPr>
          <w:p w14:paraId="4505B8FF" w14:textId="22E34035"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 </w:t>
            </w:r>
          </w:p>
        </w:tc>
        <w:tc>
          <w:tcPr>
            <w:tcW w:w="1186" w:type="dxa"/>
            <w:tcBorders>
              <w:top w:val="nil"/>
              <w:left w:val="nil"/>
              <w:bottom w:val="single" w:sz="4" w:space="0" w:color="auto"/>
              <w:right w:val="single" w:sz="4" w:space="0" w:color="auto"/>
            </w:tcBorders>
            <w:shd w:val="clear" w:color="auto" w:fill="auto"/>
            <w:noWrap/>
            <w:vAlign w:val="bottom"/>
          </w:tcPr>
          <w:p w14:paraId="0796D765" w14:textId="6E03BC37"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3.074.692 </w:t>
            </w:r>
          </w:p>
        </w:tc>
        <w:tc>
          <w:tcPr>
            <w:tcW w:w="1276" w:type="dxa"/>
            <w:tcBorders>
              <w:top w:val="nil"/>
              <w:left w:val="nil"/>
              <w:bottom w:val="single" w:sz="4" w:space="0" w:color="auto"/>
              <w:right w:val="single" w:sz="4" w:space="0" w:color="auto"/>
            </w:tcBorders>
            <w:shd w:val="clear" w:color="auto" w:fill="auto"/>
            <w:noWrap/>
            <w:vAlign w:val="bottom"/>
          </w:tcPr>
          <w:p w14:paraId="40D1FF7B" w14:textId="7B282A75"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2.871.655 </w:t>
            </w:r>
          </w:p>
        </w:tc>
        <w:tc>
          <w:tcPr>
            <w:tcW w:w="1133" w:type="dxa"/>
            <w:tcBorders>
              <w:top w:val="nil"/>
              <w:left w:val="nil"/>
              <w:bottom w:val="single" w:sz="4" w:space="0" w:color="auto"/>
              <w:right w:val="single" w:sz="4" w:space="0" w:color="auto"/>
            </w:tcBorders>
            <w:shd w:val="clear" w:color="auto" w:fill="auto"/>
            <w:noWrap/>
            <w:vAlign w:val="bottom"/>
          </w:tcPr>
          <w:p w14:paraId="5342D797" w14:textId="2AFD8A78"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1.946.204 </w:t>
            </w:r>
          </w:p>
        </w:tc>
        <w:tc>
          <w:tcPr>
            <w:tcW w:w="1046" w:type="dxa"/>
            <w:tcBorders>
              <w:top w:val="nil"/>
              <w:left w:val="nil"/>
              <w:bottom w:val="single" w:sz="4" w:space="0" w:color="auto"/>
              <w:right w:val="single" w:sz="4" w:space="0" w:color="auto"/>
            </w:tcBorders>
            <w:shd w:val="clear" w:color="auto" w:fill="auto"/>
            <w:noWrap/>
            <w:vAlign w:val="bottom"/>
          </w:tcPr>
          <w:p w14:paraId="4655A7C1" w14:textId="6B3BF906"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1.925.997 </w:t>
            </w:r>
          </w:p>
        </w:tc>
        <w:tc>
          <w:tcPr>
            <w:tcW w:w="1217" w:type="dxa"/>
            <w:tcBorders>
              <w:top w:val="nil"/>
              <w:left w:val="nil"/>
              <w:bottom w:val="single" w:sz="4" w:space="0" w:color="auto"/>
              <w:right w:val="single" w:sz="4" w:space="0" w:color="auto"/>
            </w:tcBorders>
            <w:shd w:val="clear" w:color="auto" w:fill="auto"/>
            <w:noWrap/>
            <w:vAlign w:val="bottom"/>
          </w:tcPr>
          <w:p w14:paraId="5F11602B" w14:textId="3EA4F6DF"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9.818.548 </w:t>
            </w:r>
          </w:p>
        </w:tc>
      </w:tr>
      <w:tr w:rsidR="006353C4" w:rsidRPr="004C0B8D" w14:paraId="03C998E6" w14:textId="77777777" w:rsidTr="006E1AF7">
        <w:tc>
          <w:tcPr>
            <w:tcW w:w="2263" w:type="dxa"/>
            <w:tcBorders>
              <w:top w:val="nil"/>
              <w:left w:val="single" w:sz="4" w:space="0" w:color="auto"/>
              <w:bottom w:val="single" w:sz="4" w:space="0" w:color="auto"/>
              <w:right w:val="single" w:sz="4" w:space="0" w:color="auto"/>
            </w:tcBorders>
            <w:shd w:val="clear" w:color="auto" w:fill="auto"/>
            <w:vAlign w:val="center"/>
            <w:hideMark/>
          </w:tcPr>
          <w:p w14:paraId="6759B8F1" w14:textId="77777777" w:rsidR="006353C4" w:rsidRPr="00E446C3" w:rsidRDefault="006353C4" w:rsidP="006353C4">
            <w:pPr>
              <w:rPr>
                <w:rFonts w:ascii="Arial" w:hAnsi="Arial" w:cs="Arial"/>
                <w:color w:val="000000"/>
                <w:sz w:val="16"/>
                <w:szCs w:val="16"/>
                <w:lang w:eastAsia="es-AR"/>
              </w:rPr>
            </w:pPr>
            <w:r w:rsidRPr="00E446C3">
              <w:rPr>
                <w:rFonts w:ascii="Arial" w:hAnsi="Arial" w:cs="Arial"/>
                <w:color w:val="000000"/>
                <w:sz w:val="16"/>
                <w:szCs w:val="16"/>
                <w:lang w:eastAsia="es-AR"/>
              </w:rPr>
              <w:t>Obligaciones negociables subordinadas</w:t>
            </w:r>
          </w:p>
        </w:tc>
        <w:tc>
          <w:tcPr>
            <w:tcW w:w="941" w:type="dxa"/>
            <w:tcBorders>
              <w:top w:val="nil"/>
              <w:left w:val="nil"/>
              <w:bottom w:val="single" w:sz="4" w:space="0" w:color="auto"/>
              <w:right w:val="single" w:sz="4" w:space="0" w:color="auto"/>
            </w:tcBorders>
            <w:shd w:val="clear" w:color="auto" w:fill="auto"/>
            <w:noWrap/>
            <w:vAlign w:val="bottom"/>
          </w:tcPr>
          <w:p w14:paraId="7818E2F1" w14:textId="59297A0B"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 </w:t>
            </w:r>
          </w:p>
        </w:tc>
        <w:tc>
          <w:tcPr>
            <w:tcW w:w="1186" w:type="dxa"/>
            <w:tcBorders>
              <w:top w:val="nil"/>
              <w:left w:val="nil"/>
              <w:bottom w:val="single" w:sz="4" w:space="0" w:color="auto"/>
              <w:right w:val="single" w:sz="4" w:space="0" w:color="auto"/>
            </w:tcBorders>
            <w:shd w:val="clear" w:color="auto" w:fill="auto"/>
            <w:noWrap/>
            <w:vAlign w:val="bottom"/>
          </w:tcPr>
          <w:p w14:paraId="6DC73F3E" w14:textId="3E1E82B5"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76.705 </w:t>
            </w:r>
          </w:p>
        </w:tc>
        <w:tc>
          <w:tcPr>
            <w:tcW w:w="1276" w:type="dxa"/>
            <w:tcBorders>
              <w:top w:val="nil"/>
              <w:left w:val="nil"/>
              <w:bottom w:val="single" w:sz="4" w:space="0" w:color="auto"/>
              <w:right w:val="single" w:sz="4" w:space="0" w:color="auto"/>
            </w:tcBorders>
            <w:shd w:val="clear" w:color="auto" w:fill="auto"/>
            <w:noWrap/>
            <w:vAlign w:val="bottom"/>
          </w:tcPr>
          <w:p w14:paraId="0FD22BEE" w14:textId="2F42BA46"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1.424.132 </w:t>
            </w:r>
          </w:p>
        </w:tc>
        <w:tc>
          <w:tcPr>
            <w:tcW w:w="1133" w:type="dxa"/>
            <w:tcBorders>
              <w:top w:val="nil"/>
              <w:left w:val="nil"/>
              <w:bottom w:val="single" w:sz="4" w:space="0" w:color="auto"/>
              <w:right w:val="single" w:sz="4" w:space="0" w:color="auto"/>
            </w:tcBorders>
            <w:shd w:val="clear" w:color="auto" w:fill="auto"/>
            <w:noWrap/>
            <w:vAlign w:val="bottom"/>
          </w:tcPr>
          <w:p w14:paraId="0CEC0D6D" w14:textId="0DA21435"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862.185 </w:t>
            </w:r>
          </w:p>
        </w:tc>
        <w:tc>
          <w:tcPr>
            <w:tcW w:w="1046" w:type="dxa"/>
            <w:tcBorders>
              <w:top w:val="nil"/>
              <w:left w:val="nil"/>
              <w:bottom w:val="single" w:sz="4" w:space="0" w:color="auto"/>
              <w:right w:val="single" w:sz="4" w:space="0" w:color="auto"/>
            </w:tcBorders>
            <w:shd w:val="clear" w:color="auto" w:fill="auto"/>
            <w:noWrap/>
            <w:vAlign w:val="bottom"/>
          </w:tcPr>
          <w:p w14:paraId="56CBB868" w14:textId="4D1707CF"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 </w:t>
            </w:r>
          </w:p>
        </w:tc>
        <w:tc>
          <w:tcPr>
            <w:tcW w:w="1217" w:type="dxa"/>
            <w:tcBorders>
              <w:top w:val="nil"/>
              <w:left w:val="nil"/>
              <w:bottom w:val="single" w:sz="4" w:space="0" w:color="auto"/>
              <w:right w:val="single" w:sz="4" w:space="0" w:color="auto"/>
            </w:tcBorders>
            <w:shd w:val="clear" w:color="auto" w:fill="auto"/>
            <w:noWrap/>
            <w:vAlign w:val="bottom"/>
          </w:tcPr>
          <w:p w14:paraId="606E5541" w14:textId="3E9F8490" w:rsidR="006353C4" w:rsidRPr="006353C4" w:rsidRDefault="006353C4" w:rsidP="006353C4">
            <w:pPr>
              <w:jc w:val="right"/>
              <w:rPr>
                <w:rFonts w:ascii="Arial" w:hAnsi="Arial" w:cs="Arial"/>
                <w:color w:val="000000"/>
                <w:sz w:val="16"/>
                <w:szCs w:val="16"/>
                <w:lang w:eastAsia="es-AR"/>
              </w:rPr>
            </w:pPr>
            <w:r w:rsidRPr="006E1AF7">
              <w:rPr>
                <w:rFonts w:ascii="Arial" w:hAnsi="Arial" w:cs="Arial"/>
                <w:color w:val="000000"/>
                <w:sz w:val="16"/>
                <w:szCs w:val="16"/>
              </w:rPr>
              <w:t xml:space="preserve">2.363.022 </w:t>
            </w:r>
          </w:p>
        </w:tc>
      </w:tr>
    </w:tbl>
    <w:p w14:paraId="0D742515" w14:textId="3BBF520C" w:rsidR="00331A39" w:rsidRDefault="00331A39" w:rsidP="00EB6617">
      <w:pPr>
        <w:pStyle w:val="Style1"/>
        <w:jc w:val="both"/>
        <w:rPr>
          <w:rFonts w:asciiTheme="majorHAnsi" w:hAnsiTheme="majorHAnsi" w:cstheme="minorHAnsi"/>
          <w:szCs w:val="20"/>
          <w:highlight w:val="yellow"/>
        </w:rPr>
      </w:pPr>
    </w:p>
    <w:tbl>
      <w:tblPr>
        <w:tblW w:w="9022" w:type="dxa"/>
        <w:tblInd w:w="75" w:type="dxa"/>
        <w:tblCellMar>
          <w:left w:w="70" w:type="dxa"/>
          <w:right w:w="70" w:type="dxa"/>
        </w:tblCellMar>
        <w:tblLook w:val="04A0" w:firstRow="1" w:lastRow="0" w:firstColumn="1" w:lastColumn="0" w:noHBand="0" w:noVBand="1"/>
      </w:tblPr>
      <w:tblGrid>
        <w:gridCol w:w="3141"/>
        <w:gridCol w:w="945"/>
        <w:gridCol w:w="963"/>
        <w:gridCol w:w="996"/>
        <w:gridCol w:w="996"/>
        <w:gridCol w:w="946"/>
        <w:gridCol w:w="1035"/>
      </w:tblGrid>
      <w:tr w:rsidR="00331A39" w:rsidRPr="004C0B8D" w14:paraId="22BC6EE1" w14:textId="77777777" w:rsidTr="00331A39">
        <w:trPr>
          <w:trHeight w:val="644"/>
        </w:trPr>
        <w:tc>
          <w:tcPr>
            <w:tcW w:w="31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C0ABF"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Al 31/12/2018</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7ED533E0"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Menor a 1 mes</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54340731"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 a 6 meses</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6B04D584"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6 a 12 meses</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33800651"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12 meses a 5 años</w:t>
            </w:r>
          </w:p>
        </w:tc>
        <w:tc>
          <w:tcPr>
            <w:tcW w:w="946" w:type="dxa"/>
            <w:tcBorders>
              <w:top w:val="single" w:sz="4" w:space="0" w:color="auto"/>
              <w:left w:val="nil"/>
              <w:bottom w:val="single" w:sz="4" w:space="0" w:color="auto"/>
              <w:right w:val="single" w:sz="4" w:space="0" w:color="auto"/>
            </w:tcBorders>
            <w:shd w:val="clear" w:color="auto" w:fill="auto"/>
            <w:vAlign w:val="center"/>
            <w:hideMark/>
          </w:tcPr>
          <w:p w14:paraId="517F117D"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Mayor a 5 años</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14:paraId="12CECDDE"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Total</w:t>
            </w:r>
          </w:p>
        </w:tc>
      </w:tr>
      <w:tr w:rsidR="00331A39" w:rsidRPr="004C0B8D" w14:paraId="1F40DB7D" w14:textId="77777777" w:rsidTr="00331A39">
        <w:trPr>
          <w:trHeight w:val="403"/>
        </w:trPr>
        <w:tc>
          <w:tcPr>
            <w:tcW w:w="3141" w:type="dxa"/>
            <w:tcBorders>
              <w:top w:val="nil"/>
              <w:left w:val="single" w:sz="4" w:space="0" w:color="auto"/>
              <w:bottom w:val="single" w:sz="4" w:space="0" w:color="auto"/>
              <w:right w:val="single" w:sz="4" w:space="0" w:color="auto"/>
            </w:tcBorders>
            <w:shd w:val="clear" w:color="auto" w:fill="auto"/>
            <w:vAlign w:val="bottom"/>
            <w:hideMark/>
          </w:tcPr>
          <w:p w14:paraId="31F66E2E"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Activos</w:t>
            </w:r>
          </w:p>
        </w:tc>
        <w:tc>
          <w:tcPr>
            <w:tcW w:w="945" w:type="dxa"/>
            <w:tcBorders>
              <w:top w:val="nil"/>
              <w:left w:val="nil"/>
              <w:bottom w:val="single" w:sz="4" w:space="0" w:color="auto"/>
              <w:right w:val="single" w:sz="4" w:space="0" w:color="auto"/>
            </w:tcBorders>
            <w:shd w:val="clear" w:color="auto" w:fill="auto"/>
            <w:vAlign w:val="bottom"/>
            <w:hideMark/>
          </w:tcPr>
          <w:p w14:paraId="55ED9647"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39.548.272 </w:t>
            </w:r>
          </w:p>
        </w:tc>
        <w:tc>
          <w:tcPr>
            <w:tcW w:w="963" w:type="dxa"/>
            <w:tcBorders>
              <w:top w:val="nil"/>
              <w:left w:val="nil"/>
              <w:bottom w:val="single" w:sz="4" w:space="0" w:color="auto"/>
              <w:right w:val="single" w:sz="4" w:space="0" w:color="auto"/>
            </w:tcBorders>
            <w:shd w:val="clear" w:color="auto" w:fill="auto"/>
            <w:vAlign w:val="bottom"/>
            <w:hideMark/>
          </w:tcPr>
          <w:p w14:paraId="16AB0B25"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40.063.014 </w:t>
            </w:r>
          </w:p>
        </w:tc>
        <w:tc>
          <w:tcPr>
            <w:tcW w:w="996" w:type="dxa"/>
            <w:tcBorders>
              <w:top w:val="nil"/>
              <w:left w:val="nil"/>
              <w:bottom w:val="single" w:sz="4" w:space="0" w:color="auto"/>
              <w:right w:val="single" w:sz="4" w:space="0" w:color="auto"/>
            </w:tcBorders>
            <w:shd w:val="clear" w:color="auto" w:fill="auto"/>
            <w:vAlign w:val="bottom"/>
            <w:hideMark/>
          </w:tcPr>
          <w:p w14:paraId="3AD74CC1"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17.558.538 </w:t>
            </w:r>
          </w:p>
        </w:tc>
        <w:tc>
          <w:tcPr>
            <w:tcW w:w="996" w:type="dxa"/>
            <w:tcBorders>
              <w:top w:val="nil"/>
              <w:left w:val="nil"/>
              <w:bottom w:val="single" w:sz="4" w:space="0" w:color="auto"/>
              <w:right w:val="single" w:sz="4" w:space="0" w:color="auto"/>
            </w:tcBorders>
            <w:shd w:val="clear" w:color="auto" w:fill="auto"/>
            <w:vAlign w:val="bottom"/>
            <w:hideMark/>
          </w:tcPr>
          <w:p w14:paraId="70A8586F"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43.326.741 </w:t>
            </w:r>
          </w:p>
        </w:tc>
        <w:tc>
          <w:tcPr>
            <w:tcW w:w="946" w:type="dxa"/>
            <w:tcBorders>
              <w:top w:val="nil"/>
              <w:left w:val="nil"/>
              <w:bottom w:val="single" w:sz="4" w:space="0" w:color="auto"/>
              <w:right w:val="single" w:sz="4" w:space="0" w:color="auto"/>
            </w:tcBorders>
            <w:shd w:val="clear" w:color="auto" w:fill="auto"/>
            <w:vAlign w:val="bottom"/>
            <w:hideMark/>
          </w:tcPr>
          <w:p w14:paraId="05558FBE"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3.022.767 </w:t>
            </w:r>
          </w:p>
        </w:tc>
        <w:tc>
          <w:tcPr>
            <w:tcW w:w="1035" w:type="dxa"/>
            <w:tcBorders>
              <w:top w:val="nil"/>
              <w:left w:val="nil"/>
              <w:bottom w:val="single" w:sz="4" w:space="0" w:color="auto"/>
              <w:right w:val="single" w:sz="4" w:space="0" w:color="auto"/>
            </w:tcBorders>
            <w:shd w:val="clear" w:color="auto" w:fill="auto"/>
            <w:vAlign w:val="bottom"/>
            <w:hideMark/>
          </w:tcPr>
          <w:p w14:paraId="3E78116A"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143.519.332 </w:t>
            </w:r>
          </w:p>
        </w:tc>
      </w:tr>
      <w:tr w:rsidR="00331A39" w:rsidRPr="004C0B8D" w14:paraId="2D30642B" w14:textId="77777777" w:rsidTr="00331A39">
        <w:trPr>
          <w:trHeight w:val="252"/>
        </w:trPr>
        <w:tc>
          <w:tcPr>
            <w:tcW w:w="3141" w:type="dxa"/>
            <w:tcBorders>
              <w:top w:val="nil"/>
              <w:left w:val="single" w:sz="4" w:space="0" w:color="auto"/>
              <w:bottom w:val="single" w:sz="4" w:space="0" w:color="auto"/>
              <w:right w:val="single" w:sz="4" w:space="0" w:color="auto"/>
            </w:tcBorders>
            <w:shd w:val="clear" w:color="auto" w:fill="auto"/>
            <w:vAlign w:val="center"/>
            <w:hideMark/>
          </w:tcPr>
          <w:p w14:paraId="163104EF" w14:textId="77777777" w:rsidR="00331A39" w:rsidRPr="00E446C3" w:rsidRDefault="00331A39" w:rsidP="007D7797">
            <w:pPr>
              <w:rPr>
                <w:rFonts w:ascii="Arial" w:hAnsi="Arial" w:cs="Arial"/>
                <w:color w:val="000000"/>
                <w:sz w:val="16"/>
                <w:szCs w:val="16"/>
                <w:lang w:eastAsia="es-AR"/>
              </w:rPr>
            </w:pPr>
            <w:r w:rsidRPr="00E446C3">
              <w:rPr>
                <w:rFonts w:ascii="Arial" w:hAnsi="Arial" w:cs="Arial"/>
                <w:color w:val="000000"/>
                <w:sz w:val="16"/>
                <w:szCs w:val="16"/>
                <w:lang w:eastAsia="es-AR"/>
              </w:rPr>
              <w:t>Préstamos y otras financiaciones</w:t>
            </w:r>
          </w:p>
        </w:tc>
        <w:tc>
          <w:tcPr>
            <w:tcW w:w="945" w:type="dxa"/>
            <w:tcBorders>
              <w:top w:val="nil"/>
              <w:left w:val="nil"/>
              <w:bottom w:val="single" w:sz="4" w:space="0" w:color="auto"/>
              <w:right w:val="single" w:sz="4" w:space="0" w:color="auto"/>
            </w:tcBorders>
            <w:shd w:val="clear" w:color="auto" w:fill="auto"/>
            <w:noWrap/>
            <w:vAlign w:val="bottom"/>
            <w:hideMark/>
          </w:tcPr>
          <w:p w14:paraId="7196F2FA"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39.548.272 </w:t>
            </w:r>
          </w:p>
        </w:tc>
        <w:tc>
          <w:tcPr>
            <w:tcW w:w="963" w:type="dxa"/>
            <w:tcBorders>
              <w:top w:val="nil"/>
              <w:left w:val="nil"/>
              <w:bottom w:val="single" w:sz="4" w:space="0" w:color="auto"/>
              <w:right w:val="single" w:sz="4" w:space="0" w:color="auto"/>
            </w:tcBorders>
            <w:shd w:val="clear" w:color="auto" w:fill="auto"/>
            <w:noWrap/>
            <w:vAlign w:val="bottom"/>
            <w:hideMark/>
          </w:tcPr>
          <w:p w14:paraId="46F45CD4"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40.063.014 </w:t>
            </w:r>
          </w:p>
        </w:tc>
        <w:tc>
          <w:tcPr>
            <w:tcW w:w="996" w:type="dxa"/>
            <w:tcBorders>
              <w:top w:val="nil"/>
              <w:left w:val="nil"/>
              <w:bottom w:val="single" w:sz="4" w:space="0" w:color="auto"/>
              <w:right w:val="single" w:sz="4" w:space="0" w:color="auto"/>
            </w:tcBorders>
            <w:shd w:val="clear" w:color="auto" w:fill="auto"/>
            <w:noWrap/>
            <w:vAlign w:val="bottom"/>
            <w:hideMark/>
          </w:tcPr>
          <w:p w14:paraId="2799FC2C"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17.558.538 </w:t>
            </w:r>
          </w:p>
        </w:tc>
        <w:tc>
          <w:tcPr>
            <w:tcW w:w="996" w:type="dxa"/>
            <w:tcBorders>
              <w:top w:val="nil"/>
              <w:left w:val="nil"/>
              <w:bottom w:val="single" w:sz="4" w:space="0" w:color="auto"/>
              <w:right w:val="single" w:sz="4" w:space="0" w:color="auto"/>
            </w:tcBorders>
            <w:shd w:val="clear" w:color="auto" w:fill="auto"/>
            <w:noWrap/>
            <w:vAlign w:val="bottom"/>
            <w:hideMark/>
          </w:tcPr>
          <w:p w14:paraId="596BDE94"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43.326.741 </w:t>
            </w:r>
          </w:p>
        </w:tc>
        <w:tc>
          <w:tcPr>
            <w:tcW w:w="946" w:type="dxa"/>
            <w:tcBorders>
              <w:top w:val="nil"/>
              <w:left w:val="nil"/>
              <w:bottom w:val="single" w:sz="4" w:space="0" w:color="auto"/>
              <w:right w:val="single" w:sz="4" w:space="0" w:color="auto"/>
            </w:tcBorders>
            <w:shd w:val="clear" w:color="auto" w:fill="auto"/>
            <w:noWrap/>
            <w:vAlign w:val="bottom"/>
            <w:hideMark/>
          </w:tcPr>
          <w:p w14:paraId="1A46AF41"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3.022.767 </w:t>
            </w:r>
          </w:p>
        </w:tc>
        <w:tc>
          <w:tcPr>
            <w:tcW w:w="1035" w:type="dxa"/>
            <w:tcBorders>
              <w:top w:val="nil"/>
              <w:left w:val="nil"/>
              <w:bottom w:val="single" w:sz="4" w:space="0" w:color="auto"/>
              <w:right w:val="single" w:sz="4" w:space="0" w:color="auto"/>
            </w:tcBorders>
            <w:shd w:val="clear" w:color="auto" w:fill="auto"/>
            <w:noWrap/>
            <w:vAlign w:val="bottom"/>
            <w:hideMark/>
          </w:tcPr>
          <w:p w14:paraId="24BE2223"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143.519.332 </w:t>
            </w:r>
          </w:p>
        </w:tc>
      </w:tr>
      <w:tr w:rsidR="00331A39" w:rsidRPr="004C0B8D" w14:paraId="56691A53" w14:textId="77777777" w:rsidTr="00331A39">
        <w:trPr>
          <w:trHeight w:val="403"/>
        </w:trPr>
        <w:tc>
          <w:tcPr>
            <w:tcW w:w="3141" w:type="dxa"/>
            <w:tcBorders>
              <w:top w:val="nil"/>
              <w:left w:val="single" w:sz="4" w:space="0" w:color="auto"/>
              <w:bottom w:val="single" w:sz="4" w:space="0" w:color="auto"/>
              <w:right w:val="single" w:sz="4" w:space="0" w:color="auto"/>
            </w:tcBorders>
            <w:shd w:val="clear" w:color="auto" w:fill="auto"/>
            <w:vAlign w:val="bottom"/>
            <w:hideMark/>
          </w:tcPr>
          <w:p w14:paraId="347F9C17" w14:textId="77777777" w:rsidR="00331A39" w:rsidRPr="00E446C3" w:rsidRDefault="00331A39"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Pasivos</w:t>
            </w:r>
          </w:p>
        </w:tc>
        <w:tc>
          <w:tcPr>
            <w:tcW w:w="945" w:type="dxa"/>
            <w:tcBorders>
              <w:top w:val="nil"/>
              <w:left w:val="nil"/>
              <w:bottom w:val="single" w:sz="4" w:space="0" w:color="auto"/>
              <w:right w:val="single" w:sz="4" w:space="0" w:color="auto"/>
            </w:tcBorders>
            <w:shd w:val="clear" w:color="auto" w:fill="auto"/>
            <w:vAlign w:val="bottom"/>
            <w:hideMark/>
          </w:tcPr>
          <w:p w14:paraId="1E93E95C" w14:textId="77777777" w:rsidR="00331A39" w:rsidRPr="00E446C3" w:rsidRDefault="00331A39"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89.264.057</w:t>
            </w:r>
          </w:p>
        </w:tc>
        <w:tc>
          <w:tcPr>
            <w:tcW w:w="963" w:type="dxa"/>
            <w:tcBorders>
              <w:top w:val="nil"/>
              <w:left w:val="nil"/>
              <w:bottom w:val="single" w:sz="4" w:space="0" w:color="auto"/>
              <w:right w:val="single" w:sz="4" w:space="0" w:color="auto"/>
            </w:tcBorders>
            <w:shd w:val="clear" w:color="auto" w:fill="auto"/>
            <w:vAlign w:val="bottom"/>
            <w:hideMark/>
          </w:tcPr>
          <w:p w14:paraId="2B6C4172" w14:textId="77777777" w:rsidR="00331A39" w:rsidRPr="00E446C3" w:rsidRDefault="00331A39"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19.103.013</w:t>
            </w:r>
          </w:p>
        </w:tc>
        <w:tc>
          <w:tcPr>
            <w:tcW w:w="996" w:type="dxa"/>
            <w:tcBorders>
              <w:top w:val="nil"/>
              <w:left w:val="nil"/>
              <w:bottom w:val="single" w:sz="4" w:space="0" w:color="auto"/>
              <w:right w:val="single" w:sz="4" w:space="0" w:color="auto"/>
            </w:tcBorders>
            <w:shd w:val="clear" w:color="auto" w:fill="auto"/>
            <w:vAlign w:val="bottom"/>
            <w:hideMark/>
          </w:tcPr>
          <w:p w14:paraId="73176FC7" w14:textId="77777777" w:rsidR="00331A39" w:rsidRPr="00E446C3" w:rsidRDefault="00331A39"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3.483.759</w:t>
            </w:r>
          </w:p>
        </w:tc>
        <w:tc>
          <w:tcPr>
            <w:tcW w:w="996" w:type="dxa"/>
            <w:tcBorders>
              <w:top w:val="nil"/>
              <w:left w:val="nil"/>
              <w:bottom w:val="single" w:sz="4" w:space="0" w:color="auto"/>
              <w:right w:val="single" w:sz="4" w:space="0" w:color="auto"/>
            </w:tcBorders>
            <w:shd w:val="clear" w:color="auto" w:fill="auto"/>
            <w:vAlign w:val="bottom"/>
            <w:hideMark/>
          </w:tcPr>
          <w:p w14:paraId="65281C6D" w14:textId="77777777" w:rsidR="00331A39" w:rsidRPr="00E446C3" w:rsidRDefault="00331A39"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4.958.072</w:t>
            </w:r>
          </w:p>
        </w:tc>
        <w:tc>
          <w:tcPr>
            <w:tcW w:w="946" w:type="dxa"/>
            <w:tcBorders>
              <w:top w:val="nil"/>
              <w:left w:val="nil"/>
              <w:bottom w:val="single" w:sz="4" w:space="0" w:color="auto"/>
              <w:right w:val="single" w:sz="4" w:space="0" w:color="auto"/>
            </w:tcBorders>
            <w:shd w:val="clear" w:color="auto" w:fill="auto"/>
            <w:vAlign w:val="bottom"/>
            <w:hideMark/>
          </w:tcPr>
          <w:p w14:paraId="4ED77A9B" w14:textId="77777777" w:rsidR="00331A39" w:rsidRPr="00E446C3" w:rsidRDefault="00331A39"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15.072.096</w:t>
            </w:r>
          </w:p>
        </w:tc>
        <w:tc>
          <w:tcPr>
            <w:tcW w:w="1035" w:type="dxa"/>
            <w:tcBorders>
              <w:top w:val="nil"/>
              <w:left w:val="nil"/>
              <w:bottom w:val="single" w:sz="4" w:space="0" w:color="auto"/>
              <w:right w:val="single" w:sz="4" w:space="0" w:color="auto"/>
            </w:tcBorders>
            <w:shd w:val="clear" w:color="auto" w:fill="auto"/>
            <w:vAlign w:val="bottom"/>
            <w:hideMark/>
          </w:tcPr>
          <w:p w14:paraId="3B87738F" w14:textId="77777777" w:rsidR="00331A39" w:rsidRPr="00E446C3" w:rsidRDefault="00331A39" w:rsidP="007D779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131.880.997</w:t>
            </w:r>
          </w:p>
        </w:tc>
      </w:tr>
      <w:tr w:rsidR="00331A39" w:rsidRPr="004C0B8D" w14:paraId="2CB3BE55" w14:textId="77777777" w:rsidTr="00331A39">
        <w:trPr>
          <w:trHeight w:val="252"/>
        </w:trPr>
        <w:tc>
          <w:tcPr>
            <w:tcW w:w="3141" w:type="dxa"/>
            <w:tcBorders>
              <w:top w:val="nil"/>
              <w:left w:val="single" w:sz="4" w:space="0" w:color="auto"/>
              <w:bottom w:val="single" w:sz="4" w:space="0" w:color="auto"/>
              <w:right w:val="single" w:sz="4" w:space="0" w:color="auto"/>
            </w:tcBorders>
            <w:shd w:val="clear" w:color="auto" w:fill="auto"/>
            <w:vAlign w:val="center"/>
            <w:hideMark/>
          </w:tcPr>
          <w:p w14:paraId="1923D924" w14:textId="77777777" w:rsidR="00331A39" w:rsidRPr="00E446C3" w:rsidRDefault="00331A39" w:rsidP="007D7797">
            <w:pPr>
              <w:rPr>
                <w:rFonts w:ascii="Arial" w:hAnsi="Arial" w:cs="Arial"/>
                <w:color w:val="000000"/>
                <w:sz w:val="16"/>
                <w:szCs w:val="16"/>
                <w:lang w:eastAsia="es-AR"/>
              </w:rPr>
            </w:pPr>
            <w:r w:rsidRPr="00E446C3">
              <w:rPr>
                <w:rFonts w:ascii="Arial" w:hAnsi="Arial" w:cs="Arial"/>
                <w:color w:val="000000"/>
                <w:sz w:val="16"/>
                <w:szCs w:val="16"/>
                <w:lang w:eastAsia="es-AR"/>
              </w:rPr>
              <w:t>Depósitos</w:t>
            </w:r>
          </w:p>
        </w:tc>
        <w:tc>
          <w:tcPr>
            <w:tcW w:w="945" w:type="dxa"/>
            <w:tcBorders>
              <w:top w:val="nil"/>
              <w:left w:val="nil"/>
              <w:bottom w:val="single" w:sz="4" w:space="0" w:color="auto"/>
              <w:right w:val="single" w:sz="4" w:space="0" w:color="auto"/>
            </w:tcBorders>
            <w:shd w:val="clear" w:color="auto" w:fill="auto"/>
            <w:noWrap/>
            <w:vAlign w:val="bottom"/>
            <w:hideMark/>
          </w:tcPr>
          <w:p w14:paraId="0F4DFEA4"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84.606.576 </w:t>
            </w:r>
          </w:p>
        </w:tc>
        <w:tc>
          <w:tcPr>
            <w:tcW w:w="963" w:type="dxa"/>
            <w:tcBorders>
              <w:top w:val="nil"/>
              <w:left w:val="nil"/>
              <w:bottom w:val="single" w:sz="4" w:space="0" w:color="auto"/>
              <w:right w:val="single" w:sz="4" w:space="0" w:color="auto"/>
            </w:tcBorders>
            <w:shd w:val="clear" w:color="auto" w:fill="auto"/>
            <w:noWrap/>
            <w:vAlign w:val="bottom"/>
            <w:hideMark/>
          </w:tcPr>
          <w:p w14:paraId="3E2E94C6"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11.112.795 </w:t>
            </w:r>
          </w:p>
        </w:tc>
        <w:tc>
          <w:tcPr>
            <w:tcW w:w="996" w:type="dxa"/>
            <w:tcBorders>
              <w:top w:val="nil"/>
              <w:left w:val="nil"/>
              <w:bottom w:val="single" w:sz="4" w:space="0" w:color="auto"/>
              <w:right w:val="single" w:sz="4" w:space="0" w:color="auto"/>
            </w:tcBorders>
            <w:shd w:val="clear" w:color="auto" w:fill="auto"/>
            <w:noWrap/>
            <w:vAlign w:val="bottom"/>
            <w:hideMark/>
          </w:tcPr>
          <w:p w14:paraId="1C0E3671"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1.082.347 </w:t>
            </w:r>
          </w:p>
        </w:tc>
        <w:tc>
          <w:tcPr>
            <w:tcW w:w="996" w:type="dxa"/>
            <w:tcBorders>
              <w:top w:val="nil"/>
              <w:left w:val="nil"/>
              <w:bottom w:val="single" w:sz="4" w:space="0" w:color="auto"/>
              <w:right w:val="single" w:sz="4" w:space="0" w:color="auto"/>
            </w:tcBorders>
            <w:shd w:val="clear" w:color="auto" w:fill="auto"/>
            <w:noWrap/>
            <w:vAlign w:val="bottom"/>
            <w:hideMark/>
          </w:tcPr>
          <w:p w14:paraId="684B3D9A"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131.515 </w:t>
            </w:r>
          </w:p>
        </w:tc>
        <w:tc>
          <w:tcPr>
            <w:tcW w:w="946" w:type="dxa"/>
            <w:tcBorders>
              <w:top w:val="nil"/>
              <w:left w:val="nil"/>
              <w:bottom w:val="single" w:sz="4" w:space="0" w:color="auto"/>
              <w:right w:val="single" w:sz="4" w:space="0" w:color="auto"/>
            </w:tcBorders>
            <w:shd w:val="clear" w:color="auto" w:fill="auto"/>
            <w:noWrap/>
            <w:vAlign w:val="bottom"/>
            <w:hideMark/>
          </w:tcPr>
          <w:p w14:paraId="298731C3"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1035" w:type="dxa"/>
            <w:tcBorders>
              <w:top w:val="nil"/>
              <w:left w:val="nil"/>
              <w:bottom w:val="single" w:sz="4" w:space="0" w:color="auto"/>
              <w:right w:val="single" w:sz="4" w:space="0" w:color="auto"/>
            </w:tcBorders>
            <w:shd w:val="clear" w:color="auto" w:fill="auto"/>
            <w:noWrap/>
            <w:vAlign w:val="bottom"/>
            <w:hideMark/>
          </w:tcPr>
          <w:p w14:paraId="428CC022"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96.933.233 </w:t>
            </w:r>
          </w:p>
        </w:tc>
      </w:tr>
      <w:tr w:rsidR="00331A39" w:rsidRPr="004C0B8D" w14:paraId="7639987C" w14:textId="77777777" w:rsidTr="00331A39">
        <w:trPr>
          <w:trHeight w:val="429"/>
        </w:trPr>
        <w:tc>
          <w:tcPr>
            <w:tcW w:w="3141" w:type="dxa"/>
            <w:tcBorders>
              <w:top w:val="nil"/>
              <w:left w:val="single" w:sz="4" w:space="0" w:color="auto"/>
              <w:bottom w:val="single" w:sz="4" w:space="0" w:color="auto"/>
              <w:right w:val="single" w:sz="4" w:space="0" w:color="auto"/>
            </w:tcBorders>
            <w:shd w:val="clear" w:color="auto" w:fill="auto"/>
            <w:vAlign w:val="center"/>
            <w:hideMark/>
          </w:tcPr>
          <w:p w14:paraId="06997E87" w14:textId="77777777" w:rsidR="00331A39" w:rsidRPr="00E446C3" w:rsidRDefault="00331A39" w:rsidP="007D7797">
            <w:pPr>
              <w:rPr>
                <w:rFonts w:ascii="Arial" w:hAnsi="Arial" w:cs="Arial"/>
                <w:color w:val="000000"/>
                <w:sz w:val="16"/>
                <w:szCs w:val="16"/>
                <w:lang w:eastAsia="es-AR"/>
              </w:rPr>
            </w:pPr>
            <w:r w:rsidRPr="00E446C3">
              <w:rPr>
                <w:rFonts w:ascii="Arial" w:hAnsi="Arial" w:cs="Arial"/>
                <w:color w:val="000000"/>
                <w:sz w:val="16"/>
                <w:szCs w:val="16"/>
                <w:lang w:eastAsia="es-AR"/>
              </w:rPr>
              <w:t>Pasivos a valor razonable con cambios en resultado</w:t>
            </w:r>
          </w:p>
        </w:tc>
        <w:tc>
          <w:tcPr>
            <w:tcW w:w="945" w:type="dxa"/>
            <w:tcBorders>
              <w:top w:val="nil"/>
              <w:left w:val="nil"/>
              <w:bottom w:val="single" w:sz="4" w:space="0" w:color="auto"/>
              <w:right w:val="single" w:sz="4" w:space="0" w:color="auto"/>
            </w:tcBorders>
            <w:shd w:val="clear" w:color="auto" w:fill="auto"/>
            <w:noWrap/>
            <w:vAlign w:val="bottom"/>
            <w:hideMark/>
          </w:tcPr>
          <w:p w14:paraId="4997A4A2"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1.200.816 </w:t>
            </w:r>
          </w:p>
        </w:tc>
        <w:tc>
          <w:tcPr>
            <w:tcW w:w="963" w:type="dxa"/>
            <w:tcBorders>
              <w:top w:val="nil"/>
              <w:left w:val="nil"/>
              <w:bottom w:val="single" w:sz="4" w:space="0" w:color="auto"/>
              <w:right w:val="single" w:sz="4" w:space="0" w:color="auto"/>
            </w:tcBorders>
            <w:shd w:val="clear" w:color="auto" w:fill="auto"/>
            <w:noWrap/>
            <w:vAlign w:val="bottom"/>
            <w:hideMark/>
          </w:tcPr>
          <w:p w14:paraId="5993BF67"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996" w:type="dxa"/>
            <w:tcBorders>
              <w:top w:val="nil"/>
              <w:left w:val="nil"/>
              <w:bottom w:val="single" w:sz="4" w:space="0" w:color="auto"/>
              <w:right w:val="single" w:sz="4" w:space="0" w:color="auto"/>
            </w:tcBorders>
            <w:shd w:val="clear" w:color="auto" w:fill="auto"/>
            <w:noWrap/>
            <w:vAlign w:val="bottom"/>
            <w:hideMark/>
          </w:tcPr>
          <w:p w14:paraId="1422C97B"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996" w:type="dxa"/>
            <w:tcBorders>
              <w:top w:val="nil"/>
              <w:left w:val="nil"/>
              <w:bottom w:val="single" w:sz="4" w:space="0" w:color="auto"/>
              <w:right w:val="single" w:sz="4" w:space="0" w:color="auto"/>
            </w:tcBorders>
            <w:shd w:val="clear" w:color="auto" w:fill="auto"/>
            <w:noWrap/>
            <w:vAlign w:val="bottom"/>
            <w:hideMark/>
          </w:tcPr>
          <w:p w14:paraId="15983F37"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14:paraId="0CBDD80E"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1035" w:type="dxa"/>
            <w:tcBorders>
              <w:top w:val="nil"/>
              <w:left w:val="nil"/>
              <w:bottom w:val="single" w:sz="4" w:space="0" w:color="auto"/>
              <w:right w:val="single" w:sz="4" w:space="0" w:color="auto"/>
            </w:tcBorders>
            <w:shd w:val="clear" w:color="auto" w:fill="auto"/>
            <w:noWrap/>
            <w:vAlign w:val="bottom"/>
            <w:hideMark/>
          </w:tcPr>
          <w:p w14:paraId="6A1657F7"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1.200.816 </w:t>
            </w:r>
          </w:p>
        </w:tc>
      </w:tr>
      <w:tr w:rsidR="00331A39" w:rsidRPr="004C0B8D" w14:paraId="69432E1E" w14:textId="77777777" w:rsidTr="00331A39">
        <w:trPr>
          <w:trHeight w:val="252"/>
        </w:trPr>
        <w:tc>
          <w:tcPr>
            <w:tcW w:w="3141" w:type="dxa"/>
            <w:tcBorders>
              <w:top w:val="nil"/>
              <w:left w:val="single" w:sz="4" w:space="0" w:color="auto"/>
              <w:bottom w:val="single" w:sz="4" w:space="0" w:color="auto"/>
              <w:right w:val="single" w:sz="4" w:space="0" w:color="auto"/>
            </w:tcBorders>
            <w:shd w:val="clear" w:color="auto" w:fill="auto"/>
            <w:vAlign w:val="center"/>
            <w:hideMark/>
          </w:tcPr>
          <w:p w14:paraId="1A9BD39F" w14:textId="77777777" w:rsidR="00331A39" w:rsidRPr="00E446C3" w:rsidRDefault="00331A39" w:rsidP="007D7797">
            <w:pPr>
              <w:rPr>
                <w:rFonts w:ascii="Arial" w:hAnsi="Arial" w:cs="Arial"/>
                <w:color w:val="000000"/>
                <w:sz w:val="16"/>
                <w:szCs w:val="16"/>
                <w:lang w:eastAsia="es-AR"/>
              </w:rPr>
            </w:pPr>
            <w:r w:rsidRPr="00E446C3">
              <w:rPr>
                <w:rFonts w:ascii="Arial" w:hAnsi="Arial" w:cs="Arial"/>
                <w:color w:val="000000"/>
                <w:sz w:val="16"/>
                <w:szCs w:val="16"/>
                <w:lang w:eastAsia="es-AR"/>
              </w:rPr>
              <w:t>Instrumentos derivados</w:t>
            </w:r>
          </w:p>
        </w:tc>
        <w:tc>
          <w:tcPr>
            <w:tcW w:w="945" w:type="dxa"/>
            <w:tcBorders>
              <w:top w:val="nil"/>
              <w:left w:val="nil"/>
              <w:bottom w:val="single" w:sz="4" w:space="0" w:color="auto"/>
              <w:right w:val="single" w:sz="4" w:space="0" w:color="auto"/>
            </w:tcBorders>
            <w:shd w:val="clear" w:color="auto" w:fill="auto"/>
            <w:noWrap/>
            <w:vAlign w:val="bottom"/>
            <w:hideMark/>
          </w:tcPr>
          <w:p w14:paraId="671236ED"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94.222 </w:t>
            </w:r>
          </w:p>
        </w:tc>
        <w:tc>
          <w:tcPr>
            <w:tcW w:w="963" w:type="dxa"/>
            <w:tcBorders>
              <w:top w:val="nil"/>
              <w:left w:val="nil"/>
              <w:bottom w:val="single" w:sz="4" w:space="0" w:color="auto"/>
              <w:right w:val="single" w:sz="4" w:space="0" w:color="auto"/>
            </w:tcBorders>
            <w:shd w:val="clear" w:color="auto" w:fill="auto"/>
            <w:noWrap/>
            <w:vAlign w:val="bottom"/>
            <w:hideMark/>
          </w:tcPr>
          <w:p w14:paraId="40D21CD5"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996" w:type="dxa"/>
            <w:tcBorders>
              <w:top w:val="nil"/>
              <w:left w:val="nil"/>
              <w:bottom w:val="single" w:sz="4" w:space="0" w:color="auto"/>
              <w:right w:val="single" w:sz="4" w:space="0" w:color="auto"/>
            </w:tcBorders>
            <w:shd w:val="clear" w:color="auto" w:fill="auto"/>
            <w:noWrap/>
            <w:vAlign w:val="bottom"/>
            <w:hideMark/>
          </w:tcPr>
          <w:p w14:paraId="57A8DF16"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996" w:type="dxa"/>
            <w:tcBorders>
              <w:top w:val="nil"/>
              <w:left w:val="nil"/>
              <w:bottom w:val="single" w:sz="4" w:space="0" w:color="auto"/>
              <w:right w:val="single" w:sz="4" w:space="0" w:color="auto"/>
            </w:tcBorders>
            <w:shd w:val="clear" w:color="auto" w:fill="auto"/>
            <w:noWrap/>
            <w:vAlign w:val="bottom"/>
            <w:hideMark/>
          </w:tcPr>
          <w:p w14:paraId="04832251"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946" w:type="dxa"/>
            <w:tcBorders>
              <w:top w:val="nil"/>
              <w:left w:val="nil"/>
              <w:bottom w:val="single" w:sz="4" w:space="0" w:color="auto"/>
              <w:right w:val="single" w:sz="4" w:space="0" w:color="auto"/>
            </w:tcBorders>
            <w:shd w:val="clear" w:color="auto" w:fill="auto"/>
            <w:noWrap/>
            <w:vAlign w:val="bottom"/>
            <w:hideMark/>
          </w:tcPr>
          <w:p w14:paraId="35C8304E"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1035" w:type="dxa"/>
            <w:tcBorders>
              <w:top w:val="nil"/>
              <w:left w:val="nil"/>
              <w:bottom w:val="single" w:sz="4" w:space="0" w:color="auto"/>
              <w:right w:val="single" w:sz="4" w:space="0" w:color="auto"/>
            </w:tcBorders>
            <w:shd w:val="clear" w:color="auto" w:fill="auto"/>
            <w:noWrap/>
            <w:vAlign w:val="bottom"/>
            <w:hideMark/>
          </w:tcPr>
          <w:p w14:paraId="5BF1E09F"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94.222 </w:t>
            </w:r>
          </w:p>
        </w:tc>
      </w:tr>
      <w:tr w:rsidR="00331A39" w:rsidRPr="004C0B8D" w14:paraId="62B7D688" w14:textId="77777777" w:rsidTr="00331A39">
        <w:trPr>
          <w:trHeight w:val="252"/>
        </w:trPr>
        <w:tc>
          <w:tcPr>
            <w:tcW w:w="3141" w:type="dxa"/>
            <w:tcBorders>
              <w:top w:val="nil"/>
              <w:left w:val="single" w:sz="4" w:space="0" w:color="auto"/>
              <w:bottom w:val="single" w:sz="4" w:space="0" w:color="auto"/>
              <w:right w:val="single" w:sz="4" w:space="0" w:color="auto"/>
            </w:tcBorders>
            <w:shd w:val="clear" w:color="auto" w:fill="auto"/>
            <w:vAlign w:val="center"/>
            <w:hideMark/>
          </w:tcPr>
          <w:p w14:paraId="514D267D" w14:textId="77777777" w:rsidR="00331A39" w:rsidRPr="00E446C3" w:rsidRDefault="00331A39" w:rsidP="007D7797">
            <w:pPr>
              <w:rPr>
                <w:rFonts w:ascii="Arial" w:hAnsi="Arial" w:cs="Arial"/>
                <w:color w:val="000000"/>
                <w:sz w:val="16"/>
                <w:szCs w:val="16"/>
                <w:lang w:eastAsia="es-AR"/>
              </w:rPr>
            </w:pPr>
            <w:r w:rsidRPr="00E446C3">
              <w:rPr>
                <w:rFonts w:ascii="Arial" w:hAnsi="Arial" w:cs="Arial"/>
                <w:color w:val="000000"/>
                <w:sz w:val="16"/>
                <w:szCs w:val="16"/>
                <w:lang w:eastAsia="es-AR"/>
              </w:rPr>
              <w:t>Otros pasivos financieros</w:t>
            </w:r>
          </w:p>
        </w:tc>
        <w:tc>
          <w:tcPr>
            <w:tcW w:w="945" w:type="dxa"/>
            <w:tcBorders>
              <w:top w:val="nil"/>
              <w:left w:val="nil"/>
              <w:bottom w:val="single" w:sz="4" w:space="0" w:color="auto"/>
              <w:right w:val="single" w:sz="4" w:space="0" w:color="auto"/>
            </w:tcBorders>
            <w:shd w:val="clear" w:color="auto" w:fill="auto"/>
            <w:noWrap/>
            <w:vAlign w:val="bottom"/>
            <w:hideMark/>
          </w:tcPr>
          <w:p w14:paraId="17CA7157"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2.890.922 </w:t>
            </w:r>
          </w:p>
        </w:tc>
        <w:tc>
          <w:tcPr>
            <w:tcW w:w="963" w:type="dxa"/>
            <w:tcBorders>
              <w:top w:val="nil"/>
              <w:left w:val="nil"/>
              <w:bottom w:val="single" w:sz="4" w:space="0" w:color="auto"/>
              <w:right w:val="single" w:sz="4" w:space="0" w:color="auto"/>
            </w:tcBorders>
            <w:shd w:val="clear" w:color="auto" w:fill="auto"/>
            <w:noWrap/>
            <w:vAlign w:val="bottom"/>
            <w:hideMark/>
          </w:tcPr>
          <w:p w14:paraId="4C6AC79C"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66.101 </w:t>
            </w:r>
          </w:p>
        </w:tc>
        <w:tc>
          <w:tcPr>
            <w:tcW w:w="996" w:type="dxa"/>
            <w:tcBorders>
              <w:top w:val="nil"/>
              <w:left w:val="nil"/>
              <w:bottom w:val="single" w:sz="4" w:space="0" w:color="auto"/>
              <w:right w:val="single" w:sz="4" w:space="0" w:color="auto"/>
            </w:tcBorders>
            <w:shd w:val="clear" w:color="auto" w:fill="auto"/>
            <w:noWrap/>
            <w:vAlign w:val="bottom"/>
            <w:hideMark/>
          </w:tcPr>
          <w:p w14:paraId="37787D92"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94.854 </w:t>
            </w:r>
          </w:p>
        </w:tc>
        <w:tc>
          <w:tcPr>
            <w:tcW w:w="996" w:type="dxa"/>
            <w:tcBorders>
              <w:top w:val="nil"/>
              <w:left w:val="nil"/>
              <w:bottom w:val="single" w:sz="4" w:space="0" w:color="auto"/>
              <w:right w:val="single" w:sz="4" w:space="0" w:color="auto"/>
            </w:tcBorders>
            <w:shd w:val="clear" w:color="auto" w:fill="auto"/>
            <w:noWrap/>
            <w:vAlign w:val="bottom"/>
            <w:hideMark/>
          </w:tcPr>
          <w:p w14:paraId="247611F9"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156.735 </w:t>
            </w:r>
          </w:p>
        </w:tc>
        <w:tc>
          <w:tcPr>
            <w:tcW w:w="946" w:type="dxa"/>
            <w:tcBorders>
              <w:top w:val="nil"/>
              <w:left w:val="nil"/>
              <w:bottom w:val="single" w:sz="4" w:space="0" w:color="auto"/>
              <w:right w:val="single" w:sz="4" w:space="0" w:color="auto"/>
            </w:tcBorders>
            <w:shd w:val="clear" w:color="auto" w:fill="auto"/>
            <w:noWrap/>
            <w:vAlign w:val="bottom"/>
            <w:hideMark/>
          </w:tcPr>
          <w:p w14:paraId="609C3F51"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237.344 </w:t>
            </w:r>
          </w:p>
        </w:tc>
        <w:tc>
          <w:tcPr>
            <w:tcW w:w="1035" w:type="dxa"/>
            <w:tcBorders>
              <w:top w:val="nil"/>
              <w:left w:val="nil"/>
              <w:bottom w:val="single" w:sz="4" w:space="0" w:color="auto"/>
              <w:right w:val="single" w:sz="4" w:space="0" w:color="auto"/>
            </w:tcBorders>
            <w:shd w:val="clear" w:color="auto" w:fill="auto"/>
            <w:noWrap/>
            <w:vAlign w:val="bottom"/>
            <w:hideMark/>
          </w:tcPr>
          <w:p w14:paraId="6535F9AA"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3.445.956 </w:t>
            </w:r>
          </w:p>
        </w:tc>
      </w:tr>
      <w:tr w:rsidR="00331A39" w:rsidRPr="004C0B8D" w14:paraId="0C90FB0C" w14:textId="77777777" w:rsidTr="00331A39">
        <w:trPr>
          <w:trHeight w:val="429"/>
        </w:trPr>
        <w:tc>
          <w:tcPr>
            <w:tcW w:w="3141" w:type="dxa"/>
            <w:tcBorders>
              <w:top w:val="nil"/>
              <w:left w:val="single" w:sz="4" w:space="0" w:color="auto"/>
              <w:bottom w:val="single" w:sz="4" w:space="0" w:color="auto"/>
              <w:right w:val="single" w:sz="4" w:space="0" w:color="auto"/>
            </w:tcBorders>
            <w:shd w:val="clear" w:color="auto" w:fill="auto"/>
            <w:vAlign w:val="center"/>
            <w:hideMark/>
          </w:tcPr>
          <w:p w14:paraId="41AE0F33" w14:textId="77777777" w:rsidR="00331A39" w:rsidRPr="00E446C3" w:rsidRDefault="00331A39" w:rsidP="007D7797">
            <w:pPr>
              <w:rPr>
                <w:rFonts w:ascii="Arial" w:hAnsi="Arial" w:cs="Arial"/>
                <w:color w:val="000000"/>
                <w:sz w:val="16"/>
                <w:szCs w:val="16"/>
                <w:lang w:eastAsia="es-AR"/>
              </w:rPr>
            </w:pPr>
            <w:r w:rsidRPr="00E446C3">
              <w:rPr>
                <w:rFonts w:ascii="Arial" w:hAnsi="Arial" w:cs="Arial"/>
                <w:color w:val="000000"/>
                <w:sz w:val="16"/>
                <w:szCs w:val="16"/>
                <w:lang w:eastAsia="es-AR"/>
              </w:rPr>
              <w:t>Financiaciones recibidas del BCRA y otras instituciones financieras</w:t>
            </w:r>
          </w:p>
        </w:tc>
        <w:tc>
          <w:tcPr>
            <w:tcW w:w="945" w:type="dxa"/>
            <w:tcBorders>
              <w:top w:val="nil"/>
              <w:left w:val="nil"/>
              <w:bottom w:val="single" w:sz="4" w:space="0" w:color="auto"/>
              <w:right w:val="single" w:sz="4" w:space="0" w:color="auto"/>
            </w:tcBorders>
            <w:shd w:val="clear" w:color="auto" w:fill="auto"/>
            <w:noWrap/>
            <w:vAlign w:val="bottom"/>
            <w:hideMark/>
          </w:tcPr>
          <w:p w14:paraId="4D89F1AA"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471.521 </w:t>
            </w:r>
          </w:p>
        </w:tc>
        <w:tc>
          <w:tcPr>
            <w:tcW w:w="963" w:type="dxa"/>
            <w:tcBorders>
              <w:top w:val="nil"/>
              <w:left w:val="nil"/>
              <w:bottom w:val="single" w:sz="4" w:space="0" w:color="auto"/>
              <w:right w:val="single" w:sz="4" w:space="0" w:color="auto"/>
            </w:tcBorders>
            <w:shd w:val="clear" w:color="auto" w:fill="auto"/>
            <w:noWrap/>
            <w:vAlign w:val="bottom"/>
            <w:hideMark/>
          </w:tcPr>
          <w:p w14:paraId="4008F44E"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6.253.775 </w:t>
            </w:r>
          </w:p>
        </w:tc>
        <w:tc>
          <w:tcPr>
            <w:tcW w:w="996" w:type="dxa"/>
            <w:tcBorders>
              <w:top w:val="nil"/>
              <w:left w:val="nil"/>
              <w:bottom w:val="single" w:sz="4" w:space="0" w:color="auto"/>
              <w:right w:val="single" w:sz="4" w:space="0" w:color="auto"/>
            </w:tcBorders>
            <w:shd w:val="clear" w:color="auto" w:fill="auto"/>
            <w:noWrap/>
            <w:vAlign w:val="bottom"/>
            <w:hideMark/>
          </w:tcPr>
          <w:p w14:paraId="32911D3E"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702.056 </w:t>
            </w:r>
          </w:p>
        </w:tc>
        <w:tc>
          <w:tcPr>
            <w:tcW w:w="996" w:type="dxa"/>
            <w:tcBorders>
              <w:top w:val="nil"/>
              <w:left w:val="nil"/>
              <w:bottom w:val="single" w:sz="4" w:space="0" w:color="auto"/>
              <w:right w:val="single" w:sz="4" w:space="0" w:color="auto"/>
            </w:tcBorders>
            <w:shd w:val="clear" w:color="auto" w:fill="auto"/>
            <w:noWrap/>
            <w:vAlign w:val="bottom"/>
            <w:hideMark/>
          </w:tcPr>
          <w:p w14:paraId="041BA340"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429.559 </w:t>
            </w:r>
          </w:p>
        </w:tc>
        <w:tc>
          <w:tcPr>
            <w:tcW w:w="946" w:type="dxa"/>
            <w:tcBorders>
              <w:top w:val="nil"/>
              <w:left w:val="nil"/>
              <w:bottom w:val="single" w:sz="4" w:space="0" w:color="auto"/>
              <w:right w:val="single" w:sz="4" w:space="0" w:color="auto"/>
            </w:tcBorders>
            <w:shd w:val="clear" w:color="auto" w:fill="auto"/>
            <w:noWrap/>
            <w:vAlign w:val="bottom"/>
            <w:hideMark/>
          </w:tcPr>
          <w:p w14:paraId="33528BEB"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1.559.261 </w:t>
            </w:r>
          </w:p>
        </w:tc>
        <w:tc>
          <w:tcPr>
            <w:tcW w:w="1035" w:type="dxa"/>
            <w:tcBorders>
              <w:top w:val="nil"/>
              <w:left w:val="nil"/>
              <w:bottom w:val="single" w:sz="4" w:space="0" w:color="auto"/>
              <w:right w:val="single" w:sz="4" w:space="0" w:color="auto"/>
            </w:tcBorders>
            <w:shd w:val="clear" w:color="auto" w:fill="auto"/>
            <w:noWrap/>
            <w:vAlign w:val="bottom"/>
            <w:hideMark/>
          </w:tcPr>
          <w:p w14:paraId="00CE7CA8"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9.416.172 </w:t>
            </w:r>
          </w:p>
        </w:tc>
      </w:tr>
      <w:tr w:rsidR="00331A39" w:rsidRPr="004C0B8D" w14:paraId="53F622FC" w14:textId="77777777" w:rsidTr="00331A39">
        <w:trPr>
          <w:trHeight w:val="252"/>
        </w:trPr>
        <w:tc>
          <w:tcPr>
            <w:tcW w:w="3141" w:type="dxa"/>
            <w:tcBorders>
              <w:top w:val="nil"/>
              <w:left w:val="single" w:sz="4" w:space="0" w:color="auto"/>
              <w:bottom w:val="single" w:sz="4" w:space="0" w:color="auto"/>
              <w:right w:val="single" w:sz="4" w:space="0" w:color="auto"/>
            </w:tcBorders>
            <w:shd w:val="clear" w:color="auto" w:fill="auto"/>
            <w:vAlign w:val="center"/>
            <w:hideMark/>
          </w:tcPr>
          <w:p w14:paraId="30FBAFD0" w14:textId="77777777" w:rsidR="00331A39" w:rsidRPr="00E446C3" w:rsidRDefault="00331A39" w:rsidP="007D7797">
            <w:pPr>
              <w:rPr>
                <w:rFonts w:ascii="Arial" w:hAnsi="Arial" w:cs="Arial"/>
                <w:color w:val="000000"/>
                <w:sz w:val="16"/>
                <w:szCs w:val="16"/>
                <w:lang w:eastAsia="es-AR"/>
              </w:rPr>
            </w:pPr>
            <w:r w:rsidRPr="00E446C3">
              <w:rPr>
                <w:rFonts w:ascii="Arial" w:hAnsi="Arial" w:cs="Arial"/>
                <w:color w:val="000000"/>
                <w:sz w:val="16"/>
                <w:szCs w:val="16"/>
                <w:lang w:eastAsia="es-AR"/>
              </w:rPr>
              <w:t>Obligaciones negociables emitidas</w:t>
            </w:r>
          </w:p>
        </w:tc>
        <w:tc>
          <w:tcPr>
            <w:tcW w:w="945" w:type="dxa"/>
            <w:tcBorders>
              <w:top w:val="nil"/>
              <w:left w:val="nil"/>
              <w:bottom w:val="single" w:sz="4" w:space="0" w:color="auto"/>
              <w:right w:val="single" w:sz="4" w:space="0" w:color="auto"/>
            </w:tcBorders>
            <w:shd w:val="clear" w:color="auto" w:fill="auto"/>
            <w:noWrap/>
            <w:vAlign w:val="bottom"/>
            <w:hideMark/>
          </w:tcPr>
          <w:p w14:paraId="4294833C"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963" w:type="dxa"/>
            <w:tcBorders>
              <w:top w:val="nil"/>
              <w:left w:val="nil"/>
              <w:bottom w:val="single" w:sz="4" w:space="0" w:color="auto"/>
              <w:right w:val="single" w:sz="4" w:space="0" w:color="auto"/>
            </w:tcBorders>
            <w:shd w:val="clear" w:color="auto" w:fill="auto"/>
            <w:noWrap/>
            <w:vAlign w:val="bottom"/>
            <w:hideMark/>
          </w:tcPr>
          <w:p w14:paraId="567B6DA0"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1.639.906 </w:t>
            </w:r>
          </w:p>
        </w:tc>
        <w:tc>
          <w:tcPr>
            <w:tcW w:w="996" w:type="dxa"/>
            <w:tcBorders>
              <w:top w:val="nil"/>
              <w:left w:val="nil"/>
              <w:bottom w:val="single" w:sz="4" w:space="0" w:color="auto"/>
              <w:right w:val="single" w:sz="4" w:space="0" w:color="auto"/>
            </w:tcBorders>
            <w:shd w:val="clear" w:color="auto" w:fill="auto"/>
            <w:noWrap/>
            <w:vAlign w:val="bottom"/>
            <w:hideMark/>
          </w:tcPr>
          <w:p w14:paraId="58296698"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1.586.617 </w:t>
            </w:r>
          </w:p>
        </w:tc>
        <w:tc>
          <w:tcPr>
            <w:tcW w:w="996" w:type="dxa"/>
            <w:tcBorders>
              <w:top w:val="nil"/>
              <w:left w:val="nil"/>
              <w:bottom w:val="single" w:sz="4" w:space="0" w:color="auto"/>
              <w:right w:val="single" w:sz="4" w:space="0" w:color="auto"/>
            </w:tcBorders>
            <w:shd w:val="clear" w:color="auto" w:fill="auto"/>
            <w:noWrap/>
            <w:vAlign w:val="bottom"/>
            <w:hideMark/>
          </w:tcPr>
          <w:p w14:paraId="4751BC65"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4.192.142 </w:t>
            </w:r>
          </w:p>
        </w:tc>
        <w:tc>
          <w:tcPr>
            <w:tcW w:w="946" w:type="dxa"/>
            <w:tcBorders>
              <w:top w:val="nil"/>
              <w:left w:val="nil"/>
              <w:bottom w:val="single" w:sz="4" w:space="0" w:color="auto"/>
              <w:right w:val="single" w:sz="4" w:space="0" w:color="auto"/>
            </w:tcBorders>
            <w:shd w:val="clear" w:color="auto" w:fill="auto"/>
            <w:noWrap/>
            <w:vAlign w:val="bottom"/>
            <w:hideMark/>
          </w:tcPr>
          <w:p w14:paraId="25B54D1A"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11.783.850 </w:t>
            </w:r>
          </w:p>
        </w:tc>
        <w:tc>
          <w:tcPr>
            <w:tcW w:w="1035" w:type="dxa"/>
            <w:tcBorders>
              <w:top w:val="nil"/>
              <w:left w:val="nil"/>
              <w:bottom w:val="single" w:sz="4" w:space="0" w:color="auto"/>
              <w:right w:val="single" w:sz="4" w:space="0" w:color="auto"/>
            </w:tcBorders>
            <w:shd w:val="clear" w:color="auto" w:fill="auto"/>
            <w:noWrap/>
            <w:vAlign w:val="bottom"/>
            <w:hideMark/>
          </w:tcPr>
          <w:p w14:paraId="375BB331"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19.202.515 </w:t>
            </w:r>
          </w:p>
        </w:tc>
      </w:tr>
      <w:tr w:rsidR="00331A39" w:rsidRPr="004C0B8D" w14:paraId="7FA3D671" w14:textId="77777777" w:rsidTr="00331A39">
        <w:trPr>
          <w:trHeight w:val="252"/>
        </w:trPr>
        <w:tc>
          <w:tcPr>
            <w:tcW w:w="3141" w:type="dxa"/>
            <w:tcBorders>
              <w:top w:val="nil"/>
              <w:left w:val="single" w:sz="4" w:space="0" w:color="auto"/>
              <w:bottom w:val="single" w:sz="4" w:space="0" w:color="auto"/>
              <w:right w:val="single" w:sz="4" w:space="0" w:color="auto"/>
            </w:tcBorders>
            <w:shd w:val="clear" w:color="auto" w:fill="auto"/>
            <w:vAlign w:val="center"/>
            <w:hideMark/>
          </w:tcPr>
          <w:p w14:paraId="24A902A1" w14:textId="77777777" w:rsidR="00331A39" w:rsidRPr="00E446C3" w:rsidRDefault="00331A39" w:rsidP="007D7797">
            <w:pPr>
              <w:rPr>
                <w:rFonts w:ascii="Arial" w:hAnsi="Arial" w:cs="Arial"/>
                <w:color w:val="000000"/>
                <w:sz w:val="16"/>
                <w:szCs w:val="16"/>
                <w:lang w:eastAsia="es-AR"/>
              </w:rPr>
            </w:pPr>
            <w:r w:rsidRPr="00E446C3">
              <w:rPr>
                <w:rFonts w:ascii="Arial" w:hAnsi="Arial" w:cs="Arial"/>
                <w:color w:val="000000"/>
                <w:sz w:val="16"/>
                <w:szCs w:val="16"/>
                <w:lang w:eastAsia="es-AR"/>
              </w:rPr>
              <w:t>Obligaciones negociables subordinadas</w:t>
            </w:r>
          </w:p>
        </w:tc>
        <w:tc>
          <w:tcPr>
            <w:tcW w:w="945" w:type="dxa"/>
            <w:tcBorders>
              <w:top w:val="nil"/>
              <w:left w:val="nil"/>
              <w:bottom w:val="single" w:sz="4" w:space="0" w:color="auto"/>
              <w:right w:val="single" w:sz="4" w:space="0" w:color="auto"/>
            </w:tcBorders>
            <w:shd w:val="clear" w:color="auto" w:fill="auto"/>
            <w:noWrap/>
            <w:vAlign w:val="bottom"/>
            <w:hideMark/>
          </w:tcPr>
          <w:p w14:paraId="02D68F3E"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963" w:type="dxa"/>
            <w:tcBorders>
              <w:top w:val="nil"/>
              <w:left w:val="nil"/>
              <w:bottom w:val="single" w:sz="4" w:space="0" w:color="auto"/>
              <w:right w:val="single" w:sz="4" w:space="0" w:color="auto"/>
            </w:tcBorders>
            <w:shd w:val="clear" w:color="auto" w:fill="auto"/>
            <w:noWrap/>
            <w:vAlign w:val="bottom"/>
            <w:hideMark/>
          </w:tcPr>
          <w:p w14:paraId="7C41EC33"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30.436 </w:t>
            </w:r>
          </w:p>
        </w:tc>
        <w:tc>
          <w:tcPr>
            <w:tcW w:w="996" w:type="dxa"/>
            <w:tcBorders>
              <w:top w:val="nil"/>
              <w:left w:val="nil"/>
              <w:bottom w:val="single" w:sz="4" w:space="0" w:color="auto"/>
              <w:right w:val="single" w:sz="4" w:space="0" w:color="auto"/>
            </w:tcBorders>
            <w:shd w:val="clear" w:color="auto" w:fill="auto"/>
            <w:noWrap/>
            <w:vAlign w:val="bottom"/>
            <w:hideMark/>
          </w:tcPr>
          <w:p w14:paraId="080F66F4"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17.885 </w:t>
            </w:r>
          </w:p>
        </w:tc>
        <w:tc>
          <w:tcPr>
            <w:tcW w:w="996" w:type="dxa"/>
            <w:tcBorders>
              <w:top w:val="nil"/>
              <w:left w:val="nil"/>
              <w:bottom w:val="single" w:sz="4" w:space="0" w:color="auto"/>
              <w:right w:val="single" w:sz="4" w:space="0" w:color="auto"/>
            </w:tcBorders>
            <w:shd w:val="clear" w:color="auto" w:fill="auto"/>
            <w:noWrap/>
            <w:vAlign w:val="bottom"/>
            <w:hideMark/>
          </w:tcPr>
          <w:p w14:paraId="51ED63F3"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48.121 </w:t>
            </w:r>
          </w:p>
        </w:tc>
        <w:tc>
          <w:tcPr>
            <w:tcW w:w="946" w:type="dxa"/>
            <w:tcBorders>
              <w:top w:val="nil"/>
              <w:left w:val="nil"/>
              <w:bottom w:val="single" w:sz="4" w:space="0" w:color="auto"/>
              <w:right w:val="single" w:sz="4" w:space="0" w:color="auto"/>
            </w:tcBorders>
            <w:shd w:val="clear" w:color="auto" w:fill="auto"/>
            <w:noWrap/>
            <w:vAlign w:val="bottom"/>
            <w:hideMark/>
          </w:tcPr>
          <w:p w14:paraId="1B203BCB"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1.491.641 </w:t>
            </w:r>
          </w:p>
        </w:tc>
        <w:tc>
          <w:tcPr>
            <w:tcW w:w="1035" w:type="dxa"/>
            <w:tcBorders>
              <w:top w:val="nil"/>
              <w:left w:val="nil"/>
              <w:bottom w:val="single" w:sz="4" w:space="0" w:color="auto"/>
              <w:right w:val="single" w:sz="4" w:space="0" w:color="auto"/>
            </w:tcBorders>
            <w:shd w:val="clear" w:color="auto" w:fill="auto"/>
            <w:noWrap/>
            <w:vAlign w:val="bottom"/>
            <w:hideMark/>
          </w:tcPr>
          <w:p w14:paraId="3EA29E68" w14:textId="77777777" w:rsidR="00331A39" w:rsidRPr="00E446C3" w:rsidRDefault="00331A39" w:rsidP="007D779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1.588.083 </w:t>
            </w:r>
          </w:p>
        </w:tc>
      </w:tr>
    </w:tbl>
    <w:p w14:paraId="35BB71C6" w14:textId="7308837B" w:rsidR="00331A39" w:rsidRDefault="00331A39" w:rsidP="00EB6617">
      <w:pPr>
        <w:pStyle w:val="Style1"/>
        <w:jc w:val="both"/>
        <w:rPr>
          <w:rFonts w:asciiTheme="majorHAnsi" w:hAnsiTheme="majorHAnsi" w:cstheme="minorHAnsi"/>
          <w:szCs w:val="20"/>
          <w:highlight w:val="yellow"/>
        </w:rPr>
      </w:pPr>
    </w:p>
    <w:p w14:paraId="0320421A" w14:textId="405535CB" w:rsidR="00C31392" w:rsidRPr="00781866" w:rsidRDefault="00C31392" w:rsidP="00C31392">
      <w:pPr>
        <w:tabs>
          <w:tab w:val="left" w:pos="142"/>
        </w:tabs>
        <w:jc w:val="both"/>
        <w:rPr>
          <w:rFonts w:ascii="Arial" w:hAnsi="Arial" w:cs="Arial"/>
          <w:b/>
          <w:caps/>
          <w:sz w:val="20"/>
        </w:rPr>
      </w:pPr>
      <w:r w:rsidRPr="00781866">
        <w:rPr>
          <w:rFonts w:ascii="Arial" w:hAnsi="Arial" w:cs="Arial"/>
          <w:b/>
          <w:caps/>
          <w:sz w:val="20"/>
        </w:rPr>
        <w:t>2</w:t>
      </w:r>
      <w:r w:rsidR="00BB63C7">
        <w:rPr>
          <w:rFonts w:ascii="Arial" w:hAnsi="Arial" w:cs="Arial"/>
          <w:b/>
          <w:caps/>
          <w:sz w:val="20"/>
        </w:rPr>
        <w:t>5</w:t>
      </w:r>
      <w:r w:rsidRPr="00781866">
        <w:rPr>
          <w:rFonts w:ascii="Arial" w:hAnsi="Arial" w:cs="Arial"/>
          <w:b/>
          <w:caps/>
          <w:sz w:val="20"/>
        </w:rPr>
        <w:t>. Administración del capital</w:t>
      </w:r>
    </w:p>
    <w:p w14:paraId="07948C68" w14:textId="77777777" w:rsidR="00C31392" w:rsidRPr="00701F32" w:rsidRDefault="00C31392" w:rsidP="00C31392">
      <w:pPr>
        <w:tabs>
          <w:tab w:val="left" w:pos="142"/>
        </w:tabs>
        <w:jc w:val="both"/>
        <w:rPr>
          <w:rFonts w:ascii="Arial" w:hAnsi="Arial" w:cs="Arial"/>
          <w:b/>
          <w:sz w:val="20"/>
        </w:rPr>
      </w:pPr>
    </w:p>
    <w:p w14:paraId="68DB24A8" w14:textId="77777777" w:rsidR="00C31392" w:rsidRPr="00701F32" w:rsidRDefault="00C31392" w:rsidP="00C31392">
      <w:pPr>
        <w:tabs>
          <w:tab w:val="left" w:pos="142"/>
        </w:tabs>
        <w:jc w:val="both"/>
        <w:rPr>
          <w:rFonts w:ascii="Arial" w:hAnsi="Arial" w:cs="Arial"/>
          <w:sz w:val="20"/>
        </w:rPr>
      </w:pPr>
      <w:r w:rsidRPr="00701F32">
        <w:rPr>
          <w:rFonts w:ascii="Arial" w:hAnsi="Arial" w:cs="Arial"/>
          <w:sz w:val="20"/>
        </w:rPr>
        <w:t>Los objetivos del Banco en cuanto a la administración del capital se establecen a continuación:</w:t>
      </w:r>
    </w:p>
    <w:p w14:paraId="3A1A3EAD" w14:textId="77777777" w:rsidR="00C31392" w:rsidRPr="00701F32" w:rsidRDefault="00C31392" w:rsidP="004A148C">
      <w:pPr>
        <w:pStyle w:val="Prrafodelista"/>
        <w:numPr>
          <w:ilvl w:val="0"/>
          <w:numId w:val="81"/>
        </w:numPr>
        <w:tabs>
          <w:tab w:val="left" w:pos="142"/>
        </w:tabs>
        <w:contextualSpacing/>
        <w:jc w:val="both"/>
        <w:rPr>
          <w:rFonts w:ascii="Arial" w:hAnsi="Arial" w:cs="Arial"/>
          <w:sz w:val="20"/>
        </w:rPr>
      </w:pPr>
      <w:r w:rsidRPr="00701F32">
        <w:rPr>
          <w:rFonts w:ascii="Arial" w:hAnsi="Arial" w:cs="Arial"/>
          <w:sz w:val="20"/>
        </w:rPr>
        <w:t>Cumplimiento de los requerimientos establecidos por el BCRA en su comunicación “A” 6260 y modificatorias</w:t>
      </w:r>
    </w:p>
    <w:p w14:paraId="1BE354DB" w14:textId="77777777" w:rsidR="00C31392" w:rsidRPr="00701F32" w:rsidRDefault="00C31392" w:rsidP="004A148C">
      <w:pPr>
        <w:pStyle w:val="Prrafodelista"/>
        <w:numPr>
          <w:ilvl w:val="0"/>
          <w:numId w:val="81"/>
        </w:numPr>
        <w:tabs>
          <w:tab w:val="left" w:pos="142"/>
        </w:tabs>
        <w:contextualSpacing/>
        <w:jc w:val="both"/>
        <w:rPr>
          <w:rFonts w:ascii="Arial" w:hAnsi="Arial" w:cs="Arial"/>
          <w:sz w:val="20"/>
        </w:rPr>
      </w:pPr>
      <w:r w:rsidRPr="00701F32">
        <w:rPr>
          <w:rFonts w:ascii="Arial" w:hAnsi="Arial" w:cs="Arial"/>
          <w:sz w:val="20"/>
        </w:rPr>
        <w:t>Respaldar las operaciones del Banco para evita</w:t>
      </w:r>
      <w:r>
        <w:rPr>
          <w:rFonts w:ascii="Arial" w:hAnsi="Arial" w:cs="Arial"/>
          <w:sz w:val="20"/>
        </w:rPr>
        <w:t>r</w:t>
      </w:r>
      <w:r w:rsidRPr="00701F32">
        <w:rPr>
          <w:rFonts w:ascii="Arial" w:hAnsi="Arial" w:cs="Arial"/>
          <w:sz w:val="20"/>
        </w:rPr>
        <w:t xml:space="preserve"> cualquier situación que ponga en riesgo la operatoria de la Entidad</w:t>
      </w:r>
    </w:p>
    <w:p w14:paraId="7B3B1F82" w14:textId="77777777" w:rsidR="00C31392" w:rsidRPr="00701F32" w:rsidRDefault="00C31392" w:rsidP="00C31392">
      <w:pPr>
        <w:tabs>
          <w:tab w:val="left" w:pos="142"/>
        </w:tabs>
        <w:jc w:val="both"/>
        <w:rPr>
          <w:rFonts w:ascii="Arial" w:hAnsi="Arial" w:cs="Arial"/>
          <w:color w:val="3333FF"/>
          <w:sz w:val="20"/>
        </w:rPr>
      </w:pPr>
    </w:p>
    <w:p w14:paraId="2634C925" w14:textId="383C579A" w:rsidR="00C31392" w:rsidRPr="00701F32" w:rsidRDefault="00C31392" w:rsidP="00C31392">
      <w:pPr>
        <w:tabs>
          <w:tab w:val="left" w:pos="142"/>
        </w:tabs>
        <w:jc w:val="both"/>
        <w:rPr>
          <w:rFonts w:ascii="Arial" w:hAnsi="Arial" w:cs="Arial"/>
          <w:sz w:val="20"/>
        </w:rPr>
      </w:pPr>
      <w:r w:rsidRPr="00701F32">
        <w:rPr>
          <w:rFonts w:ascii="Arial" w:hAnsi="Arial" w:cs="Arial"/>
          <w:sz w:val="20"/>
        </w:rPr>
        <w:t xml:space="preserve">El total de capital bajo administración y regulación al </w:t>
      </w:r>
      <w:r>
        <w:rPr>
          <w:rFonts w:ascii="Arial" w:hAnsi="Arial" w:cs="Arial"/>
          <w:sz w:val="20"/>
        </w:rPr>
        <w:t xml:space="preserve">31 de diciembre de 2019 y 2018 </w:t>
      </w:r>
      <w:r w:rsidRPr="00701F32">
        <w:rPr>
          <w:rFonts w:ascii="Arial" w:hAnsi="Arial" w:cs="Arial"/>
          <w:sz w:val="20"/>
        </w:rPr>
        <w:t>está compuesto de la siguiente manera (valor de libros):</w:t>
      </w:r>
    </w:p>
    <w:p w14:paraId="5215614A" w14:textId="77777777" w:rsidR="00C31392" w:rsidRPr="00701F32" w:rsidRDefault="00C31392" w:rsidP="00C31392">
      <w:pPr>
        <w:tabs>
          <w:tab w:val="left" w:pos="142"/>
        </w:tabs>
        <w:jc w:val="both"/>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4"/>
        <w:gridCol w:w="2186"/>
        <w:gridCol w:w="2186"/>
      </w:tblGrid>
      <w:tr w:rsidR="00C31392" w:rsidRPr="00701F32" w14:paraId="532E1733" w14:textId="77777777" w:rsidTr="00B57E77">
        <w:trPr>
          <w:trHeight w:val="204"/>
          <w:tblHeader/>
          <w:jc w:val="center"/>
        </w:trPr>
        <w:tc>
          <w:tcPr>
            <w:tcW w:w="4024" w:type="dxa"/>
            <w:vAlign w:val="center"/>
          </w:tcPr>
          <w:p w14:paraId="19422D5A" w14:textId="77777777" w:rsidR="00C31392" w:rsidRPr="00B57E77" w:rsidRDefault="00C31392" w:rsidP="00C31392">
            <w:pPr>
              <w:widowControl w:val="0"/>
              <w:autoSpaceDE w:val="0"/>
              <w:autoSpaceDN w:val="0"/>
              <w:adjustRightInd w:val="0"/>
              <w:jc w:val="center"/>
              <w:rPr>
                <w:rFonts w:ascii="Arial" w:hAnsi="Arial" w:cs="Arial"/>
                <w:b/>
                <w:noProof/>
                <w:sz w:val="18"/>
              </w:rPr>
            </w:pPr>
          </w:p>
        </w:tc>
        <w:tc>
          <w:tcPr>
            <w:tcW w:w="2186" w:type="dxa"/>
            <w:vAlign w:val="center"/>
          </w:tcPr>
          <w:p w14:paraId="1AD28487" w14:textId="24222DC2" w:rsidR="00C31392" w:rsidRPr="00B57E77" w:rsidRDefault="00C31392" w:rsidP="00C31392">
            <w:pPr>
              <w:jc w:val="center"/>
              <w:rPr>
                <w:rFonts w:ascii="Arial" w:hAnsi="Arial" w:cs="Arial"/>
                <w:b/>
                <w:sz w:val="18"/>
              </w:rPr>
            </w:pPr>
            <w:r w:rsidRPr="00B57E77">
              <w:rPr>
                <w:rFonts w:ascii="Arial" w:hAnsi="Arial" w:cs="Arial"/>
                <w:b/>
                <w:bCs/>
                <w:color w:val="000000"/>
                <w:sz w:val="18"/>
              </w:rPr>
              <w:t>31/12/2019</w:t>
            </w:r>
          </w:p>
        </w:tc>
        <w:tc>
          <w:tcPr>
            <w:tcW w:w="2186" w:type="dxa"/>
          </w:tcPr>
          <w:p w14:paraId="1932F6AD" w14:textId="6E118A14" w:rsidR="00C31392" w:rsidRPr="00B57E77" w:rsidRDefault="00C31392" w:rsidP="00C31392">
            <w:pPr>
              <w:jc w:val="center"/>
              <w:rPr>
                <w:rFonts w:ascii="Arial" w:hAnsi="Arial" w:cs="Arial"/>
                <w:b/>
                <w:sz w:val="18"/>
              </w:rPr>
            </w:pPr>
            <w:r w:rsidRPr="00B57E77">
              <w:rPr>
                <w:rFonts w:ascii="Arial" w:hAnsi="Arial" w:cs="Arial"/>
                <w:b/>
                <w:sz w:val="18"/>
              </w:rPr>
              <w:t>31/12/2018</w:t>
            </w:r>
          </w:p>
        </w:tc>
      </w:tr>
      <w:tr w:rsidR="00C31392" w:rsidRPr="00701F32" w14:paraId="5EABA3F7" w14:textId="77777777" w:rsidTr="00B57E77">
        <w:trPr>
          <w:trHeight w:val="204"/>
          <w:jc w:val="center"/>
        </w:trPr>
        <w:tc>
          <w:tcPr>
            <w:tcW w:w="4024" w:type="dxa"/>
            <w:vAlign w:val="center"/>
          </w:tcPr>
          <w:p w14:paraId="2A3CDCE4" w14:textId="77777777" w:rsidR="00C31392" w:rsidRPr="00B57E77" w:rsidRDefault="00C31392" w:rsidP="00C31392">
            <w:pPr>
              <w:widowControl w:val="0"/>
              <w:autoSpaceDE w:val="0"/>
              <w:autoSpaceDN w:val="0"/>
              <w:adjustRightInd w:val="0"/>
              <w:jc w:val="both"/>
              <w:rPr>
                <w:rFonts w:ascii="Arial" w:hAnsi="Arial" w:cs="Arial"/>
                <w:noProof/>
                <w:sz w:val="18"/>
              </w:rPr>
            </w:pPr>
            <w:r w:rsidRPr="00B57E77">
              <w:rPr>
                <w:rFonts w:ascii="Arial" w:hAnsi="Arial" w:cs="Arial"/>
                <w:noProof/>
                <w:sz w:val="18"/>
              </w:rPr>
              <w:t>- Capital social</w:t>
            </w:r>
          </w:p>
        </w:tc>
        <w:tc>
          <w:tcPr>
            <w:tcW w:w="2186" w:type="dxa"/>
            <w:vAlign w:val="center"/>
          </w:tcPr>
          <w:p w14:paraId="7BF2D6BD" w14:textId="11E75322" w:rsidR="00C31392" w:rsidRPr="00B57E77" w:rsidRDefault="007E79A7" w:rsidP="00C31392">
            <w:pPr>
              <w:jc w:val="right"/>
              <w:rPr>
                <w:rFonts w:ascii="Arial" w:hAnsi="Arial" w:cs="Arial"/>
                <w:sz w:val="18"/>
              </w:rPr>
            </w:pPr>
            <w:r>
              <w:rPr>
                <w:rFonts w:ascii="Arial" w:hAnsi="Arial" w:cs="Arial"/>
                <w:sz w:val="18"/>
              </w:rPr>
              <w:t>829.564</w:t>
            </w:r>
          </w:p>
        </w:tc>
        <w:tc>
          <w:tcPr>
            <w:tcW w:w="2186" w:type="dxa"/>
            <w:vAlign w:val="center"/>
          </w:tcPr>
          <w:p w14:paraId="2E250E8B" w14:textId="7D59F360" w:rsidR="00C31392" w:rsidRPr="00B57E77" w:rsidRDefault="00C31392" w:rsidP="00C31392">
            <w:pPr>
              <w:jc w:val="right"/>
              <w:rPr>
                <w:rFonts w:ascii="Arial" w:hAnsi="Arial" w:cs="Arial"/>
                <w:sz w:val="18"/>
              </w:rPr>
            </w:pPr>
            <w:r w:rsidRPr="00B57E77">
              <w:rPr>
                <w:rFonts w:ascii="Arial" w:hAnsi="Arial" w:cs="Arial"/>
                <w:color w:val="000000"/>
                <w:sz w:val="18"/>
              </w:rPr>
              <w:t>808.852</w:t>
            </w:r>
          </w:p>
        </w:tc>
      </w:tr>
      <w:tr w:rsidR="00C31392" w:rsidRPr="00701F32" w14:paraId="1CE5A360" w14:textId="77777777" w:rsidTr="00B57E77">
        <w:trPr>
          <w:trHeight w:val="204"/>
          <w:jc w:val="center"/>
        </w:trPr>
        <w:tc>
          <w:tcPr>
            <w:tcW w:w="4024" w:type="dxa"/>
            <w:vAlign w:val="center"/>
          </w:tcPr>
          <w:p w14:paraId="79BE20C8" w14:textId="77777777" w:rsidR="00C31392" w:rsidRPr="00B57E77" w:rsidRDefault="00C31392" w:rsidP="00C31392">
            <w:pPr>
              <w:widowControl w:val="0"/>
              <w:autoSpaceDE w:val="0"/>
              <w:autoSpaceDN w:val="0"/>
              <w:adjustRightInd w:val="0"/>
              <w:jc w:val="both"/>
              <w:rPr>
                <w:rFonts w:ascii="Arial" w:hAnsi="Arial" w:cs="Arial"/>
                <w:noProof/>
                <w:sz w:val="18"/>
              </w:rPr>
            </w:pPr>
            <w:r w:rsidRPr="00B57E77">
              <w:rPr>
                <w:rFonts w:ascii="Arial" w:hAnsi="Arial" w:cs="Arial"/>
                <w:noProof/>
                <w:sz w:val="18"/>
              </w:rPr>
              <w:t>- Primas de emisión</w:t>
            </w:r>
          </w:p>
        </w:tc>
        <w:tc>
          <w:tcPr>
            <w:tcW w:w="2186" w:type="dxa"/>
            <w:vAlign w:val="center"/>
          </w:tcPr>
          <w:p w14:paraId="0DFC81A2" w14:textId="4C43C25B" w:rsidR="00C31392" w:rsidRPr="007E79A7" w:rsidRDefault="007E79A7" w:rsidP="007E79A7">
            <w:pPr>
              <w:jc w:val="right"/>
              <w:rPr>
                <w:rFonts w:ascii="Arial" w:hAnsi="Arial" w:cs="Arial"/>
                <w:color w:val="000000"/>
                <w:sz w:val="18"/>
              </w:rPr>
            </w:pPr>
            <w:r w:rsidRPr="007E79A7">
              <w:rPr>
                <w:rFonts w:ascii="Arial" w:hAnsi="Arial" w:cs="Arial"/>
                <w:color w:val="000000"/>
                <w:sz w:val="18"/>
              </w:rPr>
              <w:t>6.898.635</w:t>
            </w:r>
          </w:p>
        </w:tc>
        <w:tc>
          <w:tcPr>
            <w:tcW w:w="2186" w:type="dxa"/>
            <w:vAlign w:val="center"/>
          </w:tcPr>
          <w:p w14:paraId="2B05E9C3" w14:textId="2545B864" w:rsidR="00C31392" w:rsidRPr="00B57E77" w:rsidRDefault="00C31392" w:rsidP="00C31392">
            <w:pPr>
              <w:jc w:val="right"/>
              <w:rPr>
                <w:rFonts w:ascii="Arial" w:hAnsi="Arial" w:cs="Arial"/>
                <w:sz w:val="18"/>
              </w:rPr>
            </w:pPr>
            <w:r w:rsidRPr="00B57E77">
              <w:rPr>
                <w:rFonts w:ascii="Arial" w:hAnsi="Arial" w:cs="Arial"/>
                <w:color w:val="000000"/>
                <w:sz w:val="18"/>
              </w:rPr>
              <w:t>6.444.347</w:t>
            </w:r>
          </w:p>
        </w:tc>
      </w:tr>
      <w:tr w:rsidR="00C31392" w:rsidRPr="00701F32" w14:paraId="3D4248C1" w14:textId="77777777" w:rsidTr="00B57E77">
        <w:trPr>
          <w:trHeight w:val="204"/>
          <w:jc w:val="center"/>
        </w:trPr>
        <w:tc>
          <w:tcPr>
            <w:tcW w:w="4024" w:type="dxa"/>
            <w:vAlign w:val="center"/>
          </w:tcPr>
          <w:p w14:paraId="30B962EE" w14:textId="77777777" w:rsidR="00C31392" w:rsidRPr="00B57E77" w:rsidRDefault="00C31392" w:rsidP="00C31392">
            <w:pPr>
              <w:widowControl w:val="0"/>
              <w:autoSpaceDE w:val="0"/>
              <w:autoSpaceDN w:val="0"/>
              <w:adjustRightInd w:val="0"/>
              <w:jc w:val="both"/>
              <w:rPr>
                <w:rFonts w:ascii="Arial" w:hAnsi="Arial" w:cs="Arial"/>
                <w:noProof/>
                <w:sz w:val="18"/>
              </w:rPr>
            </w:pPr>
            <w:r w:rsidRPr="00B57E77">
              <w:rPr>
                <w:rFonts w:ascii="Arial" w:hAnsi="Arial" w:cs="Arial"/>
                <w:noProof/>
                <w:sz w:val="18"/>
              </w:rPr>
              <w:t>- Reservas</w:t>
            </w:r>
          </w:p>
        </w:tc>
        <w:tc>
          <w:tcPr>
            <w:tcW w:w="2186" w:type="dxa"/>
            <w:vAlign w:val="center"/>
          </w:tcPr>
          <w:p w14:paraId="5315221F" w14:textId="2023D29C" w:rsidR="00C31392" w:rsidRPr="00B57E77" w:rsidRDefault="007E79A7" w:rsidP="00C31392">
            <w:pPr>
              <w:jc w:val="right"/>
              <w:rPr>
                <w:rFonts w:ascii="Arial" w:hAnsi="Arial" w:cs="Arial"/>
                <w:sz w:val="18"/>
              </w:rPr>
            </w:pPr>
            <w:r>
              <w:rPr>
                <w:rFonts w:ascii="Arial" w:hAnsi="Arial" w:cs="Arial"/>
                <w:sz w:val="18"/>
              </w:rPr>
              <w:t>5.342.776</w:t>
            </w:r>
          </w:p>
        </w:tc>
        <w:tc>
          <w:tcPr>
            <w:tcW w:w="2186" w:type="dxa"/>
            <w:vAlign w:val="center"/>
          </w:tcPr>
          <w:p w14:paraId="6CCADB0C" w14:textId="19250955" w:rsidR="00C31392" w:rsidRPr="00B57E77" w:rsidRDefault="00C31392" w:rsidP="00C31392">
            <w:pPr>
              <w:jc w:val="right"/>
              <w:rPr>
                <w:rFonts w:ascii="Arial" w:hAnsi="Arial" w:cs="Arial"/>
                <w:sz w:val="18"/>
              </w:rPr>
            </w:pPr>
            <w:r w:rsidRPr="00B57E77">
              <w:rPr>
                <w:rFonts w:ascii="Arial" w:hAnsi="Arial" w:cs="Arial"/>
                <w:color w:val="000000"/>
                <w:sz w:val="18"/>
              </w:rPr>
              <w:t>4.602.483</w:t>
            </w:r>
          </w:p>
        </w:tc>
      </w:tr>
      <w:tr w:rsidR="00C31392" w:rsidRPr="00701F32" w14:paraId="10A4D5B8" w14:textId="77777777" w:rsidTr="00B57E77">
        <w:trPr>
          <w:trHeight w:val="204"/>
          <w:jc w:val="center"/>
        </w:trPr>
        <w:tc>
          <w:tcPr>
            <w:tcW w:w="4024" w:type="dxa"/>
            <w:vAlign w:val="center"/>
          </w:tcPr>
          <w:p w14:paraId="32EDF572" w14:textId="77777777" w:rsidR="00C31392" w:rsidRPr="00B57E77" w:rsidRDefault="00C31392" w:rsidP="00C31392">
            <w:pPr>
              <w:widowControl w:val="0"/>
              <w:autoSpaceDE w:val="0"/>
              <w:autoSpaceDN w:val="0"/>
              <w:adjustRightInd w:val="0"/>
              <w:jc w:val="both"/>
              <w:rPr>
                <w:rFonts w:ascii="Arial" w:hAnsi="Arial" w:cs="Arial"/>
                <w:noProof/>
                <w:sz w:val="18"/>
              </w:rPr>
            </w:pPr>
            <w:r w:rsidRPr="00B57E77">
              <w:rPr>
                <w:rFonts w:ascii="Arial" w:hAnsi="Arial" w:cs="Arial"/>
                <w:noProof/>
                <w:sz w:val="18"/>
              </w:rPr>
              <w:t>- Resultados no asignados</w:t>
            </w:r>
          </w:p>
        </w:tc>
        <w:tc>
          <w:tcPr>
            <w:tcW w:w="2186" w:type="dxa"/>
            <w:vAlign w:val="center"/>
          </w:tcPr>
          <w:p w14:paraId="6DEDEE61" w14:textId="7D1FD4E8" w:rsidR="00C31392" w:rsidRPr="00B57E77" w:rsidRDefault="007E79A7" w:rsidP="00C31392">
            <w:pPr>
              <w:jc w:val="right"/>
              <w:rPr>
                <w:rFonts w:ascii="Arial" w:hAnsi="Arial" w:cs="Arial"/>
                <w:sz w:val="18"/>
              </w:rPr>
            </w:pPr>
            <w:r>
              <w:rPr>
                <w:rFonts w:ascii="Arial" w:hAnsi="Arial" w:cs="Arial"/>
                <w:sz w:val="18"/>
              </w:rPr>
              <w:t>3.3</w:t>
            </w:r>
            <w:r w:rsidR="001C6DCF">
              <w:rPr>
                <w:rFonts w:ascii="Arial" w:hAnsi="Arial" w:cs="Arial"/>
                <w:sz w:val="18"/>
              </w:rPr>
              <w:t>29</w:t>
            </w:r>
            <w:r w:rsidR="00BB63C7">
              <w:rPr>
                <w:rFonts w:ascii="Arial" w:hAnsi="Arial" w:cs="Arial"/>
                <w:sz w:val="18"/>
              </w:rPr>
              <w:t>.</w:t>
            </w:r>
            <w:r w:rsidR="001C6DCF">
              <w:rPr>
                <w:rFonts w:ascii="Arial" w:hAnsi="Arial" w:cs="Arial"/>
                <w:sz w:val="18"/>
              </w:rPr>
              <w:t>039</w:t>
            </w:r>
          </w:p>
        </w:tc>
        <w:tc>
          <w:tcPr>
            <w:tcW w:w="2186" w:type="dxa"/>
            <w:vAlign w:val="center"/>
          </w:tcPr>
          <w:p w14:paraId="5BDEE284" w14:textId="1D96966E" w:rsidR="00C31392" w:rsidRPr="00B57E77" w:rsidRDefault="00C31392" w:rsidP="00C31392">
            <w:pPr>
              <w:jc w:val="right"/>
              <w:rPr>
                <w:rFonts w:ascii="Arial" w:hAnsi="Arial" w:cs="Arial"/>
                <w:sz w:val="18"/>
              </w:rPr>
            </w:pPr>
            <w:r w:rsidRPr="00B57E77">
              <w:rPr>
                <w:rFonts w:ascii="Arial" w:hAnsi="Arial" w:cs="Arial"/>
                <w:color w:val="000000"/>
                <w:sz w:val="18"/>
              </w:rPr>
              <w:t>740.29</w:t>
            </w:r>
            <w:r w:rsidR="00AB57F7">
              <w:rPr>
                <w:rFonts w:ascii="Arial" w:hAnsi="Arial" w:cs="Arial"/>
                <w:color w:val="000000"/>
                <w:sz w:val="18"/>
              </w:rPr>
              <w:t>3</w:t>
            </w:r>
          </w:p>
        </w:tc>
      </w:tr>
      <w:tr w:rsidR="00C31392" w:rsidRPr="00701F32" w14:paraId="5AA36219" w14:textId="77777777" w:rsidTr="00B57E77">
        <w:trPr>
          <w:trHeight w:val="204"/>
          <w:jc w:val="center"/>
        </w:trPr>
        <w:tc>
          <w:tcPr>
            <w:tcW w:w="4024" w:type="dxa"/>
            <w:vAlign w:val="center"/>
          </w:tcPr>
          <w:p w14:paraId="1EA7BFAC" w14:textId="77777777" w:rsidR="00C31392" w:rsidRPr="00B57E77" w:rsidRDefault="00C31392" w:rsidP="00C31392">
            <w:pPr>
              <w:widowControl w:val="0"/>
              <w:autoSpaceDE w:val="0"/>
              <w:autoSpaceDN w:val="0"/>
              <w:adjustRightInd w:val="0"/>
              <w:jc w:val="both"/>
              <w:rPr>
                <w:rFonts w:ascii="Arial" w:hAnsi="Arial" w:cs="Arial"/>
                <w:noProof/>
                <w:sz w:val="18"/>
              </w:rPr>
            </w:pPr>
            <w:r w:rsidRPr="00B57E77">
              <w:rPr>
                <w:rFonts w:ascii="Arial" w:hAnsi="Arial" w:cs="Arial"/>
                <w:noProof/>
                <w:sz w:val="18"/>
              </w:rPr>
              <w:t>- Otros resultados integrales</w:t>
            </w:r>
          </w:p>
        </w:tc>
        <w:tc>
          <w:tcPr>
            <w:tcW w:w="2186" w:type="dxa"/>
            <w:vAlign w:val="center"/>
          </w:tcPr>
          <w:p w14:paraId="2470FC6F" w14:textId="2A6216D8" w:rsidR="00C31392" w:rsidRPr="00B57E77" w:rsidRDefault="007E79A7" w:rsidP="00C31392">
            <w:pPr>
              <w:jc w:val="right"/>
              <w:rPr>
                <w:rFonts w:ascii="Arial" w:hAnsi="Arial" w:cs="Arial"/>
                <w:sz w:val="18"/>
              </w:rPr>
            </w:pPr>
            <w:r>
              <w:rPr>
                <w:rFonts w:ascii="Arial" w:hAnsi="Arial" w:cs="Arial"/>
                <w:sz w:val="18"/>
              </w:rPr>
              <w:t>1.037.113</w:t>
            </w:r>
          </w:p>
        </w:tc>
        <w:tc>
          <w:tcPr>
            <w:tcW w:w="2186" w:type="dxa"/>
            <w:vAlign w:val="center"/>
          </w:tcPr>
          <w:p w14:paraId="1D90E4B9" w14:textId="3A01FED2" w:rsidR="00C31392" w:rsidRPr="00B57E77" w:rsidRDefault="00C31392" w:rsidP="00C31392">
            <w:pPr>
              <w:jc w:val="right"/>
              <w:rPr>
                <w:rFonts w:ascii="Arial" w:hAnsi="Arial" w:cs="Arial"/>
                <w:sz w:val="18"/>
              </w:rPr>
            </w:pPr>
            <w:r w:rsidRPr="00B57E77">
              <w:rPr>
                <w:rFonts w:ascii="Arial" w:hAnsi="Arial" w:cs="Arial"/>
                <w:color w:val="000000"/>
                <w:sz w:val="18"/>
              </w:rPr>
              <w:t>589.504</w:t>
            </w:r>
          </w:p>
        </w:tc>
      </w:tr>
      <w:tr w:rsidR="00C31392" w:rsidRPr="00701F32" w14:paraId="3039BD24" w14:textId="77777777" w:rsidTr="00B57E77">
        <w:trPr>
          <w:trHeight w:val="440"/>
          <w:jc w:val="center"/>
        </w:trPr>
        <w:tc>
          <w:tcPr>
            <w:tcW w:w="4024" w:type="dxa"/>
            <w:vAlign w:val="center"/>
          </w:tcPr>
          <w:p w14:paraId="48F75191" w14:textId="77777777" w:rsidR="00C31392" w:rsidRPr="00B57E77" w:rsidRDefault="00C31392" w:rsidP="00C31392">
            <w:pPr>
              <w:widowControl w:val="0"/>
              <w:autoSpaceDE w:val="0"/>
              <w:autoSpaceDN w:val="0"/>
              <w:adjustRightInd w:val="0"/>
              <w:jc w:val="both"/>
              <w:rPr>
                <w:rFonts w:ascii="Arial" w:hAnsi="Arial" w:cs="Arial"/>
                <w:b/>
                <w:noProof/>
                <w:sz w:val="18"/>
              </w:rPr>
            </w:pPr>
            <w:r w:rsidRPr="00B57E77">
              <w:rPr>
                <w:rFonts w:ascii="Arial" w:hAnsi="Arial" w:cs="Arial"/>
                <w:b/>
                <w:noProof/>
                <w:sz w:val="18"/>
              </w:rPr>
              <w:t>Total del patrimonio neto atribuible a la controladora</w:t>
            </w:r>
          </w:p>
        </w:tc>
        <w:tc>
          <w:tcPr>
            <w:tcW w:w="2186" w:type="dxa"/>
            <w:vAlign w:val="center"/>
          </w:tcPr>
          <w:p w14:paraId="53010483" w14:textId="7D0A43AB" w:rsidR="00C31392" w:rsidRPr="00B57E77" w:rsidRDefault="007E79A7" w:rsidP="00C31392">
            <w:pPr>
              <w:jc w:val="right"/>
              <w:rPr>
                <w:rFonts w:ascii="Arial" w:hAnsi="Arial" w:cs="Arial"/>
                <w:b/>
                <w:sz w:val="18"/>
              </w:rPr>
            </w:pPr>
            <w:r>
              <w:rPr>
                <w:rFonts w:ascii="Arial" w:hAnsi="Arial" w:cs="Arial"/>
                <w:b/>
                <w:sz w:val="18"/>
              </w:rPr>
              <w:t>17.4</w:t>
            </w:r>
            <w:r w:rsidR="001C6DCF">
              <w:rPr>
                <w:rFonts w:ascii="Arial" w:hAnsi="Arial" w:cs="Arial"/>
                <w:b/>
                <w:sz w:val="18"/>
              </w:rPr>
              <w:t>37</w:t>
            </w:r>
            <w:r w:rsidR="00BB63C7">
              <w:rPr>
                <w:rFonts w:ascii="Arial" w:hAnsi="Arial" w:cs="Arial"/>
                <w:b/>
                <w:sz w:val="18"/>
              </w:rPr>
              <w:t>.</w:t>
            </w:r>
            <w:r w:rsidR="001C6DCF">
              <w:rPr>
                <w:rFonts w:ascii="Arial" w:hAnsi="Arial" w:cs="Arial"/>
                <w:b/>
                <w:sz w:val="18"/>
              </w:rPr>
              <w:t>127</w:t>
            </w:r>
          </w:p>
        </w:tc>
        <w:tc>
          <w:tcPr>
            <w:tcW w:w="2186" w:type="dxa"/>
            <w:vAlign w:val="center"/>
          </w:tcPr>
          <w:p w14:paraId="6916F173" w14:textId="3515CAEC" w:rsidR="00C31392" w:rsidRPr="00B57E77" w:rsidRDefault="00C31392" w:rsidP="00C31392">
            <w:pPr>
              <w:jc w:val="right"/>
              <w:rPr>
                <w:rFonts w:ascii="Arial" w:hAnsi="Arial" w:cs="Arial"/>
                <w:b/>
                <w:sz w:val="18"/>
              </w:rPr>
            </w:pPr>
            <w:r w:rsidRPr="00B57E77">
              <w:rPr>
                <w:rFonts w:ascii="Arial" w:hAnsi="Arial" w:cs="Arial"/>
                <w:b/>
                <w:sz w:val="18"/>
              </w:rPr>
              <w:t>13.185.</w:t>
            </w:r>
            <w:r w:rsidR="00AB57F7" w:rsidRPr="00B57E77">
              <w:rPr>
                <w:rFonts w:ascii="Arial" w:hAnsi="Arial" w:cs="Arial"/>
                <w:b/>
                <w:sz w:val="18"/>
              </w:rPr>
              <w:t>4</w:t>
            </w:r>
            <w:r w:rsidR="00AB57F7">
              <w:rPr>
                <w:rFonts w:ascii="Arial" w:hAnsi="Arial" w:cs="Arial"/>
                <w:b/>
                <w:sz w:val="18"/>
              </w:rPr>
              <w:t>79</w:t>
            </w:r>
          </w:p>
        </w:tc>
      </w:tr>
      <w:tr w:rsidR="00C31392" w:rsidRPr="00701F32" w14:paraId="4CF97450" w14:textId="77777777" w:rsidTr="00B57E77">
        <w:trPr>
          <w:trHeight w:val="440"/>
          <w:jc w:val="center"/>
        </w:trPr>
        <w:tc>
          <w:tcPr>
            <w:tcW w:w="4024" w:type="dxa"/>
            <w:vAlign w:val="center"/>
          </w:tcPr>
          <w:p w14:paraId="3219EB4A" w14:textId="77777777" w:rsidR="00C31392" w:rsidRPr="00B57E77" w:rsidRDefault="00C31392" w:rsidP="00C31392">
            <w:pPr>
              <w:widowControl w:val="0"/>
              <w:autoSpaceDE w:val="0"/>
              <w:autoSpaceDN w:val="0"/>
              <w:adjustRightInd w:val="0"/>
              <w:jc w:val="both"/>
              <w:rPr>
                <w:rFonts w:ascii="Arial" w:hAnsi="Arial" w:cs="Arial"/>
                <w:b/>
                <w:noProof/>
                <w:sz w:val="18"/>
              </w:rPr>
            </w:pPr>
            <w:r w:rsidRPr="00B57E77">
              <w:rPr>
                <w:rFonts w:ascii="Arial" w:hAnsi="Arial" w:cs="Arial"/>
                <w:b/>
                <w:noProof/>
                <w:sz w:val="18"/>
              </w:rPr>
              <w:t>Patrimonio neto atribuible a la participación no controladora</w:t>
            </w:r>
          </w:p>
        </w:tc>
        <w:tc>
          <w:tcPr>
            <w:tcW w:w="2186" w:type="dxa"/>
            <w:vAlign w:val="center"/>
          </w:tcPr>
          <w:p w14:paraId="27644E3A" w14:textId="25712851" w:rsidR="00C31392" w:rsidRPr="00B57E77" w:rsidRDefault="007E79A7" w:rsidP="00C31392">
            <w:pPr>
              <w:jc w:val="right"/>
              <w:rPr>
                <w:rFonts w:ascii="Arial" w:hAnsi="Arial" w:cs="Arial"/>
                <w:b/>
                <w:sz w:val="18"/>
              </w:rPr>
            </w:pPr>
            <w:r>
              <w:rPr>
                <w:rFonts w:ascii="Arial" w:hAnsi="Arial" w:cs="Arial"/>
                <w:b/>
                <w:sz w:val="18"/>
              </w:rPr>
              <w:t>125.955</w:t>
            </w:r>
          </w:p>
        </w:tc>
        <w:tc>
          <w:tcPr>
            <w:tcW w:w="2186" w:type="dxa"/>
            <w:vAlign w:val="center"/>
          </w:tcPr>
          <w:p w14:paraId="4E19C077" w14:textId="47E6F64F" w:rsidR="00C31392" w:rsidRPr="00B57E77" w:rsidRDefault="00C31392" w:rsidP="00C31392">
            <w:pPr>
              <w:jc w:val="right"/>
              <w:rPr>
                <w:rFonts w:ascii="Arial" w:hAnsi="Arial" w:cs="Arial"/>
                <w:b/>
                <w:sz w:val="18"/>
              </w:rPr>
            </w:pPr>
            <w:r w:rsidRPr="00B57E77">
              <w:rPr>
                <w:rFonts w:ascii="Arial" w:hAnsi="Arial" w:cs="Arial"/>
                <w:b/>
                <w:sz w:val="18"/>
              </w:rPr>
              <w:t>63.044</w:t>
            </w:r>
          </w:p>
        </w:tc>
      </w:tr>
      <w:tr w:rsidR="00C31392" w:rsidRPr="00701F32" w14:paraId="3EE31E39" w14:textId="77777777" w:rsidTr="00B57E77">
        <w:trPr>
          <w:trHeight w:val="440"/>
          <w:jc w:val="center"/>
        </w:trPr>
        <w:tc>
          <w:tcPr>
            <w:tcW w:w="4024" w:type="dxa"/>
            <w:vAlign w:val="center"/>
          </w:tcPr>
          <w:p w14:paraId="18F00E29" w14:textId="77777777" w:rsidR="00C31392" w:rsidRPr="00B57E77" w:rsidRDefault="00C31392" w:rsidP="00C31392">
            <w:pPr>
              <w:widowControl w:val="0"/>
              <w:autoSpaceDE w:val="0"/>
              <w:autoSpaceDN w:val="0"/>
              <w:adjustRightInd w:val="0"/>
              <w:jc w:val="both"/>
              <w:rPr>
                <w:rFonts w:ascii="Arial" w:hAnsi="Arial" w:cs="Arial"/>
                <w:b/>
                <w:noProof/>
                <w:sz w:val="18"/>
              </w:rPr>
            </w:pPr>
            <w:r w:rsidRPr="00B57E77">
              <w:rPr>
                <w:rFonts w:ascii="Arial" w:hAnsi="Arial" w:cs="Arial"/>
                <w:b/>
                <w:noProof/>
                <w:sz w:val="18"/>
              </w:rPr>
              <w:t>Total patrimonio neto</w:t>
            </w:r>
          </w:p>
        </w:tc>
        <w:tc>
          <w:tcPr>
            <w:tcW w:w="2186" w:type="dxa"/>
            <w:vAlign w:val="center"/>
          </w:tcPr>
          <w:p w14:paraId="4C5C005A" w14:textId="71026159" w:rsidR="00C31392" w:rsidRPr="00B57E77" w:rsidRDefault="007E79A7" w:rsidP="00C31392">
            <w:pPr>
              <w:jc w:val="right"/>
              <w:rPr>
                <w:rFonts w:ascii="Arial" w:hAnsi="Arial" w:cs="Arial"/>
                <w:b/>
                <w:sz w:val="18"/>
              </w:rPr>
            </w:pPr>
            <w:r>
              <w:rPr>
                <w:rFonts w:ascii="Arial" w:hAnsi="Arial" w:cs="Arial"/>
                <w:b/>
                <w:sz w:val="18"/>
              </w:rPr>
              <w:t>17.</w:t>
            </w:r>
            <w:r w:rsidR="00BB63C7">
              <w:rPr>
                <w:rFonts w:ascii="Arial" w:hAnsi="Arial" w:cs="Arial"/>
                <w:b/>
                <w:sz w:val="18"/>
              </w:rPr>
              <w:t>5</w:t>
            </w:r>
            <w:r w:rsidR="001C6DCF">
              <w:rPr>
                <w:rFonts w:ascii="Arial" w:hAnsi="Arial" w:cs="Arial"/>
                <w:b/>
                <w:sz w:val="18"/>
              </w:rPr>
              <w:t>63</w:t>
            </w:r>
            <w:r w:rsidR="00BB63C7">
              <w:rPr>
                <w:rFonts w:ascii="Arial" w:hAnsi="Arial" w:cs="Arial"/>
                <w:b/>
                <w:sz w:val="18"/>
              </w:rPr>
              <w:t>.</w:t>
            </w:r>
            <w:r w:rsidR="001C6DCF">
              <w:rPr>
                <w:rFonts w:ascii="Arial" w:hAnsi="Arial" w:cs="Arial"/>
                <w:b/>
                <w:sz w:val="18"/>
              </w:rPr>
              <w:t>082</w:t>
            </w:r>
          </w:p>
        </w:tc>
        <w:tc>
          <w:tcPr>
            <w:tcW w:w="2186" w:type="dxa"/>
            <w:vAlign w:val="center"/>
          </w:tcPr>
          <w:p w14:paraId="00866526" w14:textId="20169079" w:rsidR="00C31392" w:rsidRPr="00B57E77" w:rsidRDefault="00C31392" w:rsidP="00C31392">
            <w:pPr>
              <w:jc w:val="right"/>
              <w:rPr>
                <w:rFonts w:ascii="Arial" w:hAnsi="Arial" w:cs="Arial"/>
                <w:b/>
                <w:sz w:val="18"/>
              </w:rPr>
            </w:pPr>
            <w:r w:rsidRPr="00B57E77">
              <w:rPr>
                <w:rFonts w:ascii="Arial" w:hAnsi="Arial" w:cs="Arial"/>
                <w:b/>
                <w:sz w:val="18"/>
              </w:rPr>
              <w:t>13.248.52</w:t>
            </w:r>
            <w:r w:rsidR="00AB57F7">
              <w:rPr>
                <w:rFonts w:ascii="Arial" w:hAnsi="Arial" w:cs="Arial"/>
                <w:b/>
                <w:sz w:val="18"/>
              </w:rPr>
              <w:t>3</w:t>
            </w:r>
          </w:p>
        </w:tc>
      </w:tr>
    </w:tbl>
    <w:p w14:paraId="2A0B4C1F" w14:textId="77777777" w:rsidR="00C31392" w:rsidRPr="00701F32" w:rsidRDefault="00C31392" w:rsidP="00C31392">
      <w:pPr>
        <w:widowControl w:val="0"/>
        <w:autoSpaceDE w:val="0"/>
        <w:autoSpaceDN w:val="0"/>
        <w:adjustRightInd w:val="0"/>
        <w:jc w:val="both"/>
        <w:rPr>
          <w:rFonts w:ascii="Arial" w:hAnsi="Arial" w:cs="Arial"/>
          <w:noProof/>
          <w:sz w:val="20"/>
        </w:rPr>
      </w:pPr>
    </w:p>
    <w:p w14:paraId="0E741748" w14:textId="77777777" w:rsidR="00C31392" w:rsidRPr="00701F32" w:rsidRDefault="00C31392" w:rsidP="00C31392">
      <w:pPr>
        <w:tabs>
          <w:tab w:val="left" w:pos="142"/>
        </w:tabs>
        <w:jc w:val="both"/>
        <w:rPr>
          <w:rFonts w:ascii="Arial" w:hAnsi="Arial" w:cs="Arial"/>
          <w:sz w:val="20"/>
        </w:rPr>
      </w:pPr>
      <w:r w:rsidRPr="00701F32">
        <w:rPr>
          <w:rFonts w:ascii="Arial" w:hAnsi="Arial" w:cs="Arial"/>
          <w:sz w:val="20"/>
        </w:rPr>
        <w:t xml:space="preserve">El Directorio a través de su Comité de Riesgos es el encargado de monitorear, supervisar, adecuar y asegurar el cumplimiento de los objetivos dispuestos para la administración del capital. </w:t>
      </w:r>
    </w:p>
    <w:p w14:paraId="16ADECB7" w14:textId="77777777" w:rsidR="00C31392" w:rsidRPr="00701F32" w:rsidRDefault="00C31392" w:rsidP="00C31392">
      <w:pPr>
        <w:tabs>
          <w:tab w:val="left" w:pos="142"/>
        </w:tabs>
        <w:jc w:val="both"/>
        <w:rPr>
          <w:rFonts w:ascii="Arial" w:hAnsi="Arial" w:cs="Arial"/>
          <w:sz w:val="20"/>
        </w:rPr>
      </w:pPr>
    </w:p>
    <w:p w14:paraId="295EEDDE" w14:textId="6BD9330C" w:rsidR="00C31392" w:rsidRDefault="00C31392" w:rsidP="00C31392">
      <w:pPr>
        <w:widowControl w:val="0"/>
        <w:autoSpaceDE w:val="0"/>
        <w:autoSpaceDN w:val="0"/>
        <w:adjustRightInd w:val="0"/>
        <w:jc w:val="both"/>
        <w:rPr>
          <w:rFonts w:ascii="Arial" w:hAnsi="Arial" w:cs="Arial"/>
          <w:noProof/>
          <w:sz w:val="20"/>
        </w:rPr>
      </w:pPr>
      <w:r w:rsidRPr="00701F32">
        <w:rPr>
          <w:rFonts w:ascii="Arial" w:hAnsi="Arial" w:cs="Arial"/>
          <w:noProof/>
          <w:sz w:val="20"/>
        </w:rPr>
        <w:t xml:space="preserve">Según los lineamientos establecidos por el BCRA, las entidades financieras deben mantener ratios de capital para reducir los riesgos asociados. Cabe destacar que al </w:t>
      </w:r>
      <w:r>
        <w:rPr>
          <w:rFonts w:ascii="Arial" w:hAnsi="Arial" w:cs="Arial"/>
          <w:noProof/>
          <w:sz w:val="20"/>
        </w:rPr>
        <w:t xml:space="preserve">31 de diciembre de 2019 y 2018 </w:t>
      </w:r>
      <w:r w:rsidRPr="00701F32">
        <w:rPr>
          <w:rFonts w:ascii="Arial" w:hAnsi="Arial" w:cs="Arial"/>
          <w:noProof/>
          <w:sz w:val="20"/>
        </w:rPr>
        <w:t>la Entidad cumplió con la exigencia de capitales mínimos determinada de acuerdo con lo dispuesto por las normas del BCRA.</w:t>
      </w:r>
    </w:p>
    <w:p w14:paraId="39D818C4" w14:textId="77777777" w:rsidR="00C31392" w:rsidRDefault="00C31392" w:rsidP="00C31392">
      <w:pPr>
        <w:widowControl w:val="0"/>
        <w:autoSpaceDE w:val="0"/>
        <w:autoSpaceDN w:val="0"/>
        <w:adjustRightInd w:val="0"/>
        <w:jc w:val="both"/>
        <w:rPr>
          <w:rFonts w:ascii="Arial" w:hAnsi="Arial" w:cs="Arial"/>
          <w:noProof/>
          <w:sz w:val="20"/>
        </w:rPr>
      </w:pPr>
    </w:p>
    <w:p w14:paraId="323AFD1B" w14:textId="08F182FC" w:rsidR="00C31392" w:rsidRPr="00AE1B0C" w:rsidRDefault="00C31392" w:rsidP="00C31392">
      <w:pPr>
        <w:pStyle w:val="Style1"/>
        <w:jc w:val="both"/>
        <w:rPr>
          <w:rFonts w:ascii="Arial" w:hAnsi="Arial" w:cs="Arial"/>
          <w:szCs w:val="20"/>
        </w:rPr>
      </w:pPr>
      <w:r w:rsidRPr="00AE1B0C">
        <w:rPr>
          <w:rFonts w:ascii="Arial" w:hAnsi="Arial" w:cs="Arial"/>
          <w:szCs w:val="20"/>
        </w:rPr>
        <w:t xml:space="preserve">La Responsabilidad Patrimonial Computable se compone del Patrimonio Neto básico y el Patrimonio Neto complementario. El saldo de dichos conceptos al 31 de diciembre de </w:t>
      </w:r>
      <w:r>
        <w:rPr>
          <w:rFonts w:ascii="Arial" w:hAnsi="Arial" w:cs="Arial"/>
          <w:szCs w:val="20"/>
        </w:rPr>
        <w:t xml:space="preserve">2019 y </w:t>
      </w:r>
      <w:r w:rsidRPr="00AE1B0C">
        <w:rPr>
          <w:rFonts w:ascii="Arial" w:hAnsi="Arial" w:cs="Arial"/>
          <w:szCs w:val="20"/>
        </w:rPr>
        <w:t>201</w:t>
      </w:r>
      <w:r>
        <w:rPr>
          <w:rFonts w:ascii="Arial" w:hAnsi="Arial" w:cs="Arial"/>
          <w:szCs w:val="20"/>
        </w:rPr>
        <w:t>8</w:t>
      </w:r>
      <w:r w:rsidRPr="00AE1B0C">
        <w:rPr>
          <w:rFonts w:ascii="Arial" w:hAnsi="Arial" w:cs="Arial"/>
          <w:szCs w:val="20"/>
        </w:rPr>
        <w:t xml:space="preserve"> se detalla a continuación:</w:t>
      </w:r>
    </w:p>
    <w:p w14:paraId="328E85E9" w14:textId="77777777" w:rsidR="00C31392" w:rsidRPr="00AE1B0C" w:rsidRDefault="00C31392" w:rsidP="00C31392">
      <w:pPr>
        <w:pStyle w:val="Style1"/>
        <w:jc w:val="both"/>
        <w:rPr>
          <w:rFonts w:ascii="Arial"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8"/>
        <w:gridCol w:w="2584"/>
        <w:gridCol w:w="2919"/>
      </w:tblGrid>
      <w:tr w:rsidR="00C31392" w:rsidRPr="00AE1B0C" w14:paraId="5E315B30" w14:textId="77777777" w:rsidTr="00C31392">
        <w:trPr>
          <w:trHeight w:val="206"/>
        </w:trPr>
        <w:tc>
          <w:tcPr>
            <w:tcW w:w="3218" w:type="dxa"/>
            <w:vAlign w:val="center"/>
          </w:tcPr>
          <w:p w14:paraId="20B3F976" w14:textId="77777777" w:rsidR="00C31392" w:rsidRPr="00B57E77" w:rsidRDefault="00C31392" w:rsidP="00C31392">
            <w:pPr>
              <w:pStyle w:val="Style1"/>
              <w:jc w:val="center"/>
              <w:rPr>
                <w:rFonts w:ascii="Arial" w:hAnsi="Arial" w:cs="Arial"/>
                <w:sz w:val="18"/>
                <w:szCs w:val="20"/>
              </w:rPr>
            </w:pPr>
          </w:p>
        </w:tc>
        <w:tc>
          <w:tcPr>
            <w:tcW w:w="2584" w:type="dxa"/>
          </w:tcPr>
          <w:p w14:paraId="3375F816" w14:textId="187AF2EC" w:rsidR="00C31392" w:rsidRPr="00B57E77" w:rsidRDefault="00C31392" w:rsidP="00C31392">
            <w:pPr>
              <w:pStyle w:val="Style1"/>
              <w:jc w:val="center"/>
              <w:rPr>
                <w:rFonts w:ascii="Arial" w:hAnsi="Arial" w:cs="Arial"/>
                <w:b/>
                <w:sz w:val="18"/>
                <w:szCs w:val="20"/>
              </w:rPr>
            </w:pPr>
            <w:r w:rsidRPr="00B57E77">
              <w:rPr>
                <w:rFonts w:ascii="Arial" w:hAnsi="Arial" w:cs="Arial"/>
                <w:b/>
                <w:sz w:val="18"/>
              </w:rPr>
              <w:t>31/12/2019</w:t>
            </w:r>
          </w:p>
        </w:tc>
        <w:tc>
          <w:tcPr>
            <w:tcW w:w="2919" w:type="dxa"/>
          </w:tcPr>
          <w:p w14:paraId="4FBB4420" w14:textId="29573763" w:rsidR="00C31392" w:rsidRPr="00B57E77" w:rsidRDefault="00C31392" w:rsidP="00C31392">
            <w:pPr>
              <w:pStyle w:val="Style1"/>
              <w:jc w:val="center"/>
              <w:rPr>
                <w:rFonts w:ascii="Arial" w:hAnsi="Arial" w:cs="Arial"/>
                <w:b/>
                <w:sz w:val="18"/>
                <w:szCs w:val="20"/>
              </w:rPr>
            </w:pPr>
            <w:r w:rsidRPr="00B57E77">
              <w:rPr>
                <w:rFonts w:ascii="Arial" w:hAnsi="Arial" w:cs="Arial"/>
                <w:b/>
                <w:sz w:val="18"/>
              </w:rPr>
              <w:t>31/12/2018</w:t>
            </w:r>
          </w:p>
        </w:tc>
      </w:tr>
      <w:tr w:rsidR="00C31392" w:rsidRPr="00AE1B0C" w14:paraId="0C709357" w14:textId="77777777" w:rsidTr="00A45C21">
        <w:trPr>
          <w:trHeight w:val="206"/>
        </w:trPr>
        <w:tc>
          <w:tcPr>
            <w:tcW w:w="3218" w:type="dxa"/>
            <w:vAlign w:val="center"/>
          </w:tcPr>
          <w:p w14:paraId="268418EE" w14:textId="77777777" w:rsidR="00C31392" w:rsidRPr="00B57E77" w:rsidRDefault="00C31392" w:rsidP="00C31392">
            <w:pPr>
              <w:pStyle w:val="Style1"/>
              <w:rPr>
                <w:rFonts w:ascii="Arial" w:hAnsi="Arial" w:cs="Arial"/>
                <w:sz w:val="18"/>
                <w:szCs w:val="20"/>
              </w:rPr>
            </w:pPr>
            <w:r w:rsidRPr="00B57E77">
              <w:rPr>
                <w:rFonts w:ascii="Arial" w:hAnsi="Arial" w:cs="Arial"/>
                <w:sz w:val="18"/>
                <w:szCs w:val="20"/>
              </w:rPr>
              <w:t>Patrimonio Neto Básico</w:t>
            </w:r>
          </w:p>
        </w:tc>
        <w:tc>
          <w:tcPr>
            <w:tcW w:w="2584" w:type="dxa"/>
            <w:vAlign w:val="bottom"/>
          </w:tcPr>
          <w:p w14:paraId="34BD29CB" w14:textId="035D89DF" w:rsidR="00C31392" w:rsidRPr="00B57E77" w:rsidRDefault="00B72960" w:rsidP="00A45C21">
            <w:pPr>
              <w:pStyle w:val="Style1"/>
              <w:jc w:val="right"/>
              <w:rPr>
                <w:rFonts w:ascii="Arial" w:hAnsi="Arial" w:cs="Arial"/>
                <w:sz w:val="18"/>
                <w:szCs w:val="20"/>
              </w:rPr>
            </w:pPr>
            <w:r>
              <w:rPr>
                <w:rFonts w:ascii="Arial" w:hAnsi="Arial" w:cs="Arial"/>
                <w:sz w:val="18"/>
                <w:szCs w:val="20"/>
              </w:rPr>
              <w:t>13.991.375</w:t>
            </w:r>
          </w:p>
        </w:tc>
        <w:tc>
          <w:tcPr>
            <w:tcW w:w="2919" w:type="dxa"/>
            <w:vAlign w:val="bottom"/>
          </w:tcPr>
          <w:p w14:paraId="57F92796" w14:textId="389FC7B4" w:rsidR="00C31392" w:rsidRPr="00B57E77" w:rsidRDefault="00C31392" w:rsidP="00A45C21">
            <w:pPr>
              <w:pStyle w:val="Style1"/>
              <w:jc w:val="right"/>
              <w:rPr>
                <w:rFonts w:ascii="Arial" w:hAnsi="Arial" w:cs="Arial"/>
                <w:sz w:val="18"/>
                <w:szCs w:val="20"/>
              </w:rPr>
            </w:pPr>
            <w:r w:rsidRPr="00B57E77">
              <w:rPr>
                <w:rFonts w:ascii="Arial" w:hAnsi="Arial" w:cs="Arial"/>
                <w:color w:val="000000"/>
                <w:sz w:val="18"/>
                <w:szCs w:val="20"/>
              </w:rPr>
              <w:t>10.980.067</w:t>
            </w:r>
          </w:p>
        </w:tc>
      </w:tr>
      <w:tr w:rsidR="00C31392" w:rsidRPr="00AE1B0C" w14:paraId="0248159E" w14:textId="77777777" w:rsidTr="00A45C21">
        <w:trPr>
          <w:trHeight w:val="206"/>
        </w:trPr>
        <w:tc>
          <w:tcPr>
            <w:tcW w:w="3218" w:type="dxa"/>
            <w:vAlign w:val="center"/>
          </w:tcPr>
          <w:p w14:paraId="55D12F05" w14:textId="77777777" w:rsidR="00C31392" w:rsidRPr="00B57E77" w:rsidRDefault="00C31392" w:rsidP="00C31392">
            <w:pPr>
              <w:pStyle w:val="Style1"/>
              <w:rPr>
                <w:rFonts w:ascii="Arial" w:hAnsi="Arial" w:cs="Arial"/>
                <w:sz w:val="18"/>
                <w:szCs w:val="20"/>
              </w:rPr>
            </w:pPr>
            <w:r w:rsidRPr="00B57E77">
              <w:rPr>
                <w:rFonts w:ascii="Arial" w:hAnsi="Arial" w:cs="Arial"/>
                <w:sz w:val="18"/>
                <w:szCs w:val="20"/>
              </w:rPr>
              <w:t>-Capital Ordinario de nivel uno</w:t>
            </w:r>
          </w:p>
        </w:tc>
        <w:tc>
          <w:tcPr>
            <w:tcW w:w="2584" w:type="dxa"/>
            <w:vAlign w:val="bottom"/>
          </w:tcPr>
          <w:p w14:paraId="5505B86B" w14:textId="367EF146" w:rsidR="00C31392" w:rsidRPr="00B57E77" w:rsidRDefault="00F66D2F" w:rsidP="00A45C21">
            <w:pPr>
              <w:pStyle w:val="Style1"/>
              <w:jc w:val="right"/>
              <w:rPr>
                <w:rFonts w:ascii="Arial" w:hAnsi="Arial" w:cs="Arial"/>
                <w:sz w:val="18"/>
                <w:szCs w:val="20"/>
              </w:rPr>
            </w:pPr>
            <w:r w:rsidRPr="00F66D2F">
              <w:rPr>
                <w:rFonts w:ascii="Arial" w:hAnsi="Arial" w:cs="Arial"/>
                <w:sz w:val="18"/>
                <w:szCs w:val="20"/>
              </w:rPr>
              <w:t>1</w:t>
            </w:r>
            <w:r w:rsidR="00B72960">
              <w:rPr>
                <w:rFonts w:ascii="Arial" w:hAnsi="Arial" w:cs="Arial"/>
                <w:sz w:val="18"/>
                <w:szCs w:val="20"/>
              </w:rPr>
              <w:t>6.991.091</w:t>
            </w:r>
          </w:p>
        </w:tc>
        <w:tc>
          <w:tcPr>
            <w:tcW w:w="2919" w:type="dxa"/>
            <w:vAlign w:val="bottom"/>
          </w:tcPr>
          <w:p w14:paraId="5780C666" w14:textId="466B8D09" w:rsidR="00C31392" w:rsidRPr="00B57E77" w:rsidRDefault="00C31392" w:rsidP="00A45C21">
            <w:pPr>
              <w:pStyle w:val="Style1"/>
              <w:jc w:val="right"/>
              <w:rPr>
                <w:rFonts w:ascii="Arial" w:hAnsi="Arial" w:cs="Arial"/>
                <w:sz w:val="18"/>
                <w:szCs w:val="20"/>
              </w:rPr>
            </w:pPr>
            <w:r w:rsidRPr="00B57E77">
              <w:rPr>
                <w:rFonts w:ascii="Arial" w:hAnsi="Arial" w:cs="Arial"/>
                <w:color w:val="000000"/>
                <w:sz w:val="18"/>
                <w:szCs w:val="20"/>
              </w:rPr>
              <w:t>11.847.865</w:t>
            </w:r>
          </w:p>
        </w:tc>
      </w:tr>
      <w:tr w:rsidR="00C31392" w:rsidRPr="00AE1B0C" w14:paraId="281DB533" w14:textId="77777777" w:rsidTr="00A45C21">
        <w:trPr>
          <w:trHeight w:val="206"/>
        </w:trPr>
        <w:tc>
          <w:tcPr>
            <w:tcW w:w="3218" w:type="dxa"/>
            <w:vAlign w:val="center"/>
          </w:tcPr>
          <w:p w14:paraId="22720AB8" w14:textId="77777777" w:rsidR="00C31392" w:rsidRPr="00B57E77" w:rsidRDefault="00C31392" w:rsidP="00C31392">
            <w:pPr>
              <w:pStyle w:val="Style1"/>
              <w:rPr>
                <w:rFonts w:ascii="Arial" w:hAnsi="Arial" w:cs="Arial"/>
                <w:sz w:val="18"/>
                <w:szCs w:val="20"/>
              </w:rPr>
            </w:pPr>
            <w:r w:rsidRPr="00B57E77">
              <w:rPr>
                <w:rFonts w:ascii="Arial" w:hAnsi="Arial" w:cs="Arial"/>
                <w:sz w:val="18"/>
                <w:szCs w:val="20"/>
              </w:rPr>
              <w:t>-(Conceptos deducibles)</w:t>
            </w:r>
          </w:p>
        </w:tc>
        <w:tc>
          <w:tcPr>
            <w:tcW w:w="2584" w:type="dxa"/>
            <w:vAlign w:val="bottom"/>
          </w:tcPr>
          <w:p w14:paraId="0C11F0CB" w14:textId="5EB1FE79" w:rsidR="00C31392" w:rsidRPr="00B57E77" w:rsidRDefault="00F66D2F" w:rsidP="00A45C21">
            <w:pPr>
              <w:pStyle w:val="Style1"/>
              <w:jc w:val="right"/>
              <w:rPr>
                <w:rFonts w:ascii="Arial" w:hAnsi="Arial" w:cs="Arial"/>
                <w:sz w:val="18"/>
                <w:szCs w:val="20"/>
              </w:rPr>
            </w:pPr>
            <w:r>
              <w:rPr>
                <w:rFonts w:ascii="Arial" w:hAnsi="Arial" w:cs="Arial"/>
                <w:sz w:val="18"/>
                <w:szCs w:val="20"/>
              </w:rPr>
              <w:t>-</w:t>
            </w:r>
            <w:r w:rsidRPr="00F66D2F">
              <w:rPr>
                <w:rFonts w:ascii="Arial" w:hAnsi="Arial" w:cs="Arial"/>
                <w:sz w:val="18"/>
                <w:szCs w:val="20"/>
              </w:rPr>
              <w:t>2.999.716</w:t>
            </w:r>
          </w:p>
        </w:tc>
        <w:tc>
          <w:tcPr>
            <w:tcW w:w="2919" w:type="dxa"/>
            <w:vAlign w:val="bottom"/>
          </w:tcPr>
          <w:p w14:paraId="274F4BDA" w14:textId="70E2EDFE" w:rsidR="00C31392" w:rsidRPr="00B57E77" w:rsidRDefault="00C31392" w:rsidP="00A45C21">
            <w:pPr>
              <w:pStyle w:val="Style1"/>
              <w:jc w:val="right"/>
              <w:rPr>
                <w:rFonts w:ascii="Arial" w:hAnsi="Arial" w:cs="Arial"/>
                <w:sz w:val="18"/>
                <w:szCs w:val="20"/>
              </w:rPr>
            </w:pPr>
            <w:r w:rsidRPr="00B57E77">
              <w:rPr>
                <w:rFonts w:ascii="Arial" w:hAnsi="Arial" w:cs="Arial"/>
                <w:color w:val="000000"/>
                <w:sz w:val="18"/>
                <w:szCs w:val="20"/>
              </w:rPr>
              <w:t>-867.798</w:t>
            </w:r>
          </w:p>
        </w:tc>
      </w:tr>
      <w:tr w:rsidR="00C31392" w:rsidRPr="00AE1B0C" w14:paraId="17BA6623" w14:textId="77777777" w:rsidTr="00A45C21">
        <w:trPr>
          <w:trHeight w:val="206"/>
        </w:trPr>
        <w:tc>
          <w:tcPr>
            <w:tcW w:w="3218" w:type="dxa"/>
            <w:vAlign w:val="center"/>
          </w:tcPr>
          <w:p w14:paraId="16BD388D" w14:textId="77777777" w:rsidR="00C31392" w:rsidRPr="00B57E77" w:rsidRDefault="00C31392" w:rsidP="00C31392">
            <w:pPr>
              <w:pStyle w:val="Style1"/>
              <w:rPr>
                <w:rFonts w:ascii="Arial" w:hAnsi="Arial" w:cs="Arial"/>
                <w:sz w:val="18"/>
                <w:szCs w:val="20"/>
              </w:rPr>
            </w:pPr>
            <w:r w:rsidRPr="00B57E77">
              <w:rPr>
                <w:rFonts w:ascii="Arial" w:hAnsi="Arial" w:cs="Arial"/>
                <w:sz w:val="18"/>
                <w:szCs w:val="20"/>
              </w:rPr>
              <w:t>-Capital Adicional de nivel uno</w:t>
            </w:r>
          </w:p>
        </w:tc>
        <w:tc>
          <w:tcPr>
            <w:tcW w:w="2584" w:type="dxa"/>
            <w:vAlign w:val="bottom"/>
          </w:tcPr>
          <w:p w14:paraId="742F3696" w14:textId="6D7C54B7" w:rsidR="00C31392" w:rsidRPr="00B57E77" w:rsidRDefault="00F66D2F" w:rsidP="00A45C21">
            <w:pPr>
              <w:pStyle w:val="Style1"/>
              <w:jc w:val="right"/>
              <w:rPr>
                <w:rFonts w:ascii="Arial" w:hAnsi="Arial" w:cs="Arial"/>
                <w:sz w:val="18"/>
                <w:szCs w:val="20"/>
              </w:rPr>
            </w:pPr>
            <w:r>
              <w:rPr>
                <w:rFonts w:ascii="Arial" w:hAnsi="Arial" w:cs="Arial"/>
                <w:sz w:val="18"/>
                <w:szCs w:val="20"/>
              </w:rPr>
              <w:t>-</w:t>
            </w:r>
          </w:p>
        </w:tc>
        <w:tc>
          <w:tcPr>
            <w:tcW w:w="2919" w:type="dxa"/>
            <w:vAlign w:val="bottom"/>
          </w:tcPr>
          <w:p w14:paraId="524E0FA1" w14:textId="10227435" w:rsidR="00C31392" w:rsidRPr="00B57E77" w:rsidRDefault="00C31392" w:rsidP="00A45C21">
            <w:pPr>
              <w:pStyle w:val="Style1"/>
              <w:jc w:val="right"/>
              <w:rPr>
                <w:rFonts w:ascii="Arial" w:hAnsi="Arial" w:cs="Arial"/>
                <w:sz w:val="18"/>
                <w:szCs w:val="20"/>
              </w:rPr>
            </w:pPr>
            <w:r w:rsidRPr="00B57E77">
              <w:rPr>
                <w:rFonts w:ascii="Arial" w:hAnsi="Arial" w:cs="Arial"/>
                <w:color w:val="000000"/>
                <w:sz w:val="18"/>
                <w:szCs w:val="20"/>
              </w:rPr>
              <w:t>-</w:t>
            </w:r>
          </w:p>
        </w:tc>
      </w:tr>
      <w:tr w:rsidR="00C31392" w:rsidRPr="00AE1B0C" w14:paraId="39B398DA" w14:textId="77777777" w:rsidTr="00A45C21">
        <w:trPr>
          <w:trHeight w:val="414"/>
        </w:trPr>
        <w:tc>
          <w:tcPr>
            <w:tcW w:w="3218" w:type="dxa"/>
            <w:vAlign w:val="center"/>
          </w:tcPr>
          <w:p w14:paraId="64ED0D9A" w14:textId="77777777" w:rsidR="00C31392" w:rsidRPr="00B57E77" w:rsidRDefault="00C31392" w:rsidP="00C31392">
            <w:pPr>
              <w:pStyle w:val="Style1"/>
              <w:rPr>
                <w:rFonts w:ascii="Arial" w:hAnsi="Arial" w:cs="Arial"/>
                <w:sz w:val="18"/>
                <w:szCs w:val="20"/>
              </w:rPr>
            </w:pPr>
            <w:r w:rsidRPr="00B57E77">
              <w:rPr>
                <w:rFonts w:ascii="Arial" w:hAnsi="Arial" w:cs="Arial"/>
                <w:sz w:val="18"/>
                <w:szCs w:val="20"/>
              </w:rPr>
              <w:t>Patrimonio Neto Complementario</w:t>
            </w:r>
          </w:p>
        </w:tc>
        <w:tc>
          <w:tcPr>
            <w:tcW w:w="2584" w:type="dxa"/>
            <w:vAlign w:val="bottom"/>
          </w:tcPr>
          <w:p w14:paraId="752FB252" w14:textId="15BC506E" w:rsidR="00C31392" w:rsidRPr="00B57E77" w:rsidRDefault="00F66D2F" w:rsidP="00A45C21">
            <w:pPr>
              <w:pStyle w:val="Style1"/>
              <w:jc w:val="right"/>
              <w:rPr>
                <w:rFonts w:ascii="Arial" w:hAnsi="Arial" w:cs="Arial"/>
                <w:sz w:val="18"/>
                <w:szCs w:val="20"/>
              </w:rPr>
            </w:pPr>
            <w:r w:rsidRPr="00F66D2F">
              <w:rPr>
                <w:rFonts w:ascii="Arial" w:hAnsi="Arial" w:cs="Arial"/>
                <w:sz w:val="18"/>
                <w:szCs w:val="20"/>
              </w:rPr>
              <w:t>1.033.734</w:t>
            </w:r>
          </w:p>
        </w:tc>
        <w:tc>
          <w:tcPr>
            <w:tcW w:w="2919" w:type="dxa"/>
            <w:vAlign w:val="bottom"/>
          </w:tcPr>
          <w:p w14:paraId="41D8EAC7" w14:textId="298915E8" w:rsidR="00C31392" w:rsidRPr="00B57E77" w:rsidRDefault="00C31392" w:rsidP="00A45C21">
            <w:pPr>
              <w:pStyle w:val="Style1"/>
              <w:jc w:val="right"/>
              <w:rPr>
                <w:rFonts w:ascii="Arial" w:hAnsi="Arial" w:cs="Arial"/>
                <w:sz w:val="18"/>
                <w:szCs w:val="20"/>
              </w:rPr>
            </w:pPr>
            <w:r w:rsidRPr="00B57E77">
              <w:rPr>
                <w:rFonts w:ascii="Arial" w:hAnsi="Arial" w:cs="Arial"/>
                <w:color w:val="000000"/>
                <w:sz w:val="18"/>
                <w:szCs w:val="20"/>
              </w:rPr>
              <w:t>1.163.939</w:t>
            </w:r>
          </w:p>
        </w:tc>
      </w:tr>
      <w:tr w:rsidR="00C31392" w:rsidRPr="00AE1B0C" w14:paraId="31E639A9" w14:textId="77777777" w:rsidTr="00A45C21">
        <w:trPr>
          <w:trHeight w:val="206"/>
        </w:trPr>
        <w:tc>
          <w:tcPr>
            <w:tcW w:w="3218" w:type="dxa"/>
            <w:vAlign w:val="center"/>
          </w:tcPr>
          <w:p w14:paraId="39FBC4C1" w14:textId="77777777" w:rsidR="00C31392" w:rsidRPr="00B57E77" w:rsidRDefault="00C31392" w:rsidP="00C31392">
            <w:pPr>
              <w:pStyle w:val="Style1"/>
              <w:rPr>
                <w:rFonts w:ascii="Arial" w:hAnsi="Arial" w:cs="Arial"/>
                <w:sz w:val="18"/>
                <w:szCs w:val="20"/>
              </w:rPr>
            </w:pPr>
            <w:r w:rsidRPr="00B57E77">
              <w:rPr>
                <w:rFonts w:ascii="Arial" w:hAnsi="Arial" w:cs="Arial"/>
                <w:sz w:val="18"/>
                <w:szCs w:val="20"/>
              </w:rPr>
              <w:t>-Capital de Nivel Dos</w:t>
            </w:r>
          </w:p>
        </w:tc>
        <w:tc>
          <w:tcPr>
            <w:tcW w:w="2584" w:type="dxa"/>
            <w:vAlign w:val="bottom"/>
          </w:tcPr>
          <w:p w14:paraId="0AB7E6A0" w14:textId="28E6F750" w:rsidR="00C31392" w:rsidRPr="00B57E77" w:rsidRDefault="00F66D2F" w:rsidP="00A45C21">
            <w:pPr>
              <w:pStyle w:val="Style1"/>
              <w:jc w:val="right"/>
              <w:rPr>
                <w:rFonts w:ascii="Arial" w:hAnsi="Arial" w:cs="Arial"/>
                <w:sz w:val="18"/>
                <w:szCs w:val="20"/>
              </w:rPr>
            </w:pPr>
            <w:r w:rsidRPr="00F66D2F">
              <w:rPr>
                <w:rFonts w:ascii="Arial" w:hAnsi="Arial" w:cs="Arial"/>
                <w:sz w:val="18"/>
                <w:szCs w:val="20"/>
              </w:rPr>
              <w:t>1.033.734</w:t>
            </w:r>
          </w:p>
        </w:tc>
        <w:tc>
          <w:tcPr>
            <w:tcW w:w="2919" w:type="dxa"/>
            <w:vAlign w:val="bottom"/>
          </w:tcPr>
          <w:p w14:paraId="4C1738AE" w14:textId="088FBE77" w:rsidR="00C31392" w:rsidRPr="00B57E77" w:rsidRDefault="00C31392" w:rsidP="00A45C21">
            <w:pPr>
              <w:pStyle w:val="Style1"/>
              <w:jc w:val="right"/>
              <w:rPr>
                <w:rFonts w:ascii="Arial" w:hAnsi="Arial" w:cs="Arial"/>
                <w:sz w:val="18"/>
                <w:szCs w:val="20"/>
              </w:rPr>
            </w:pPr>
            <w:r w:rsidRPr="00B57E77">
              <w:rPr>
                <w:rFonts w:ascii="Arial" w:hAnsi="Arial" w:cs="Arial"/>
                <w:color w:val="000000"/>
                <w:sz w:val="18"/>
                <w:szCs w:val="20"/>
              </w:rPr>
              <w:t>1.163.939</w:t>
            </w:r>
          </w:p>
        </w:tc>
      </w:tr>
      <w:tr w:rsidR="00C31392" w:rsidRPr="00AE1B0C" w14:paraId="73BB0939" w14:textId="77777777" w:rsidTr="00A45C21">
        <w:trPr>
          <w:trHeight w:val="206"/>
        </w:trPr>
        <w:tc>
          <w:tcPr>
            <w:tcW w:w="3218" w:type="dxa"/>
            <w:vAlign w:val="center"/>
          </w:tcPr>
          <w:p w14:paraId="683EE90D" w14:textId="77777777" w:rsidR="00C31392" w:rsidRPr="00B57E77" w:rsidRDefault="00C31392" w:rsidP="00C31392">
            <w:pPr>
              <w:pStyle w:val="Style1"/>
              <w:rPr>
                <w:rFonts w:ascii="Arial" w:hAnsi="Arial" w:cs="Arial"/>
                <w:sz w:val="18"/>
                <w:szCs w:val="20"/>
              </w:rPr>
            </w:pPr>
            <w:r w:rsidRPr="00B57E77">
              <w:rPr>
                <w:rFonts w:ascii="Arial" w:hAnsi="Arial" w:cs="Arial"/>
                <w:sz w:val="18"/>
                <w:szCs w:val="20"/>
              </w:rPr>
              <w:t>-(Conceptos deducibles)</w:t>
            </w:r>
          </w:p>
        </w:tc>
        <w:tc>
          <w:tcPr>
            <w:tcW w:w="2584" w:type="dxa"/>
            <w:vAlign w:val="bottom"/>
          </w:tcPr>
          <w:p w14:paraId="507F7DB3" w14:textId="3FAA7CFF" w:rsidR="00C31392" w:rsidRPr="00B57E77" w:rsidRDefault="00F66D2F" w:rsidP="00A45C21">
            <w:pPr>
              <w:pStyle w:val="Style1"/>
              <w:jc w:val="right"/>
              <w:rPr>
                <w:rFonts w:ascii="Arial" w:hAnsi="Arial" w:cs="Arial"/>
                <w:sz w:val="18"/>
                <w:szCs w:val="20"/>
              </w:rPr>
            </w:pPr>
            <w:r>
              <w:rPr>
                <w:rFonts w:ascii="Arial" w:hAnsi="Arial" w:cs="Arial"/>
                <w:sz w:val="18"/>
                <w:szCs w:val="20"/>
              </w:rPr>
              <w:t>-</w:t>
            </w:r>
          </w:p>
        </w:tc>
        <w:tc>
          <w:tcPr>
            <w:tcW w:w="2919" w:type="dxa"/>
            <w:vAlign w:val="bottom"/>
          </w:tcPr>
          <w:p w14:paraId="46061E09" w14:textId="161EB81D" w:rsidR="00C31392" w:rsidRPr="00B57E77" w:rsidRDefault="00C31392" w:rsidP="00A45C21">
            <w:pPr>
              <w:pStyle w:val="Style1"/>
              <w:jc w:val="right"/>
              <w:rPr>
                <w:rFonts w:ascii="Arial" w:hAnsi="Arial" w:cs="Arial"/>
                <w:sz w:val="18"/>
                <w:szCs w:val="20"/>
              </w:rPr>
            </w:pPr>
            <w:r w:rsidRPr="00B57E77">
              <w:rPr>
                <w:rFonts w:ascii="Arial" w:hAnsi="Arial" w:cs="Arial"/>
                <w:color w:val="000000"/>
                <w:sz w:val="18"/>
                <w:szCs w:val="20"/>
              </w:rPr>
              <w:t>-</w:t>
            </w:r>
          </w:p>
        </w:tc>
      </w:tr>
      <w:tr w:rsidR="00C31392" w:rsidRPr="00AE1B0C" w14:paraId="14088C1D" w14:textId="77777777" w:rsidTr="00A45C21">
        <w:trPr>
          <w:trHeight w:val="414"/>
        </w:trPr>
        <w:tc>
          <w:tcPr>
            <w:tcW w:w="3218" w:type="dxa"/>
            <w:vAlign w:val="center"/>
          </w:tcPr>
          <w:p w14:paraId="695DB442" w14:textId="77777777" w:rsidR="00C31392" w:rsidRPr="00B57E77" w:rsidRDefault="00C31392" w:rsidP="00C31392">
            <w:pPr>
              <w:pStyle w:val="Style1"/>
              <w:rPr>
                <w:rFonts w:ascii="Arial" w:hAnsi="Arial" w:cs="Arial"/>
                <w:sz w:val="18"/>
                <w:szCs w:val="20"/>
              </w:rPr>
            </w:pPr>
            <w:r w:rsidRPr="00B57E77">
              <w:rPr>
                <w:rFonts w:ascii="Arial" w:hAnsi="Arial" w:cs="Arial"/>
                <w:sz w:val="18"/>
                <w:szCs w:val="20"/>
              </w:rPr>
              <w:t>Responsabilidad Patrimonial Computable</w:t>
            </w:r>
          </w:p>
        </w:tc>
        <w:tc>
          <w:tcPr>
            <w:tcW w:w="2584" w:type="dxa"/>
            <w:vAlign w:val="bottom"/>
          </w:tcPr>
          <w:p w14:paraId="4AD93F30" w14:textId="3EFAEC49" w:rsidR="00C31392" w:rsidRPr="00B57E77" w:rsidRDefault="00F66D2F" w:rsidP="00A45C21">
            <w:pPr>
              <w:pStyle w:val="Style1"/>
              <w:jc w:val="right"/>
              <w:rPr>
                <w:rFonts w:ascii="Arial" w:hAnsi="Arial" w:cs="Arial"/>
                <w:sz w:val="18"/>
                <w:szCs w:val="20"/>
              </w:rPr>
            </w:pPr>
            <w:r w:rsidRPr="00F66D2F">
              <w:rPr>
                <w:rFonts w:ascii="Arial" w:hAnsi="Arial" w:cs="Arial"/>
                <w:sz w:val="18"/>
                <w:szCs w:val="20"/>
              </w:rPr>
              <w:t>15.0</w:t>
            </w:r>
            <w:r w:rsidR="00DF356F">
              <w:rPr>
                <w:rFonts w:ascii="Arial" w:hAnsi="Arial" w:cs="Arial"/>
                <w:sz w:val="18"/>
                <w:szCs w:val="20"/>
              </w:rPr>
              <w:t>25.109</w:t>
            </w:r>
          </w:p>
        </w:tc>
        <w:tc>
          <w:tcPr>
            <w:tcW w:w="2919" w:type="dxa"/>
            <w:vAlign w:val="bottom"/>
          </w:tcPr>
          <w:p w14:paraId="0B59EDE8" w14:textId="4B1A02FA" w:rsidR="00C31392" w:rsidRPr="00B57E77" w:rsidRDefault="00C31392" w:rsidP="00A45C21">
            <w:pPr>
              <w:pStyle w:val="Style1"/>
              <w:jc w:val="right"/>
              <w:rPr>
                <w:rFonts w:ascii="Arial" w:hAnsi="Arial" w:cs="Arial"/>
                <w:sz w:val="18"/>
                <w:szCs w:val="20"/>
              </w:rPr>
            </w:pPr>
            <w:r w:rsidRPr="00B57E77">
              <w:rPr>
                <w:rFonts w:ascii="Arial" w:hAnsi="Arial" w:cs="Arial"/>
                <w:color w:val="000000"/>
                <w:sz w:val="18"/>
                <w:szCs w:val="20"/>
              </w:rPr>
              <w:t>12.144.006</w:t>
            </w:r>
          </w:p>
        </w:tc>
      </w:tr>
    </w:tbl>
    <w:p w14:paraId="26F3FC2B" w14:textId="77777777" w:rsidR="00C31392" w:rsidRPr="00AE1B0C" w:rsidRDefault="00C31392" w:rsidP="00C31392">
      <w:pPr>
        <w:pStyle w:val="Style1"/>
        <w:jc w:val="both"/>
        <w:rPr>
          <w:rFonts w:ascii="Arial" w:hAnsi="Arial" w:cs="Arial"/>
          <w:szCs w:val="20"/>
        </w:rPr>
      </w:pPr>
    </w:p>
    <w:p w14:paraId="791DC9F8" w14:textId="77777777" w:rsidR="00C31392" w:rsidRPr="00AE1B0C" w:rsidRDefault="00C31392" w:rsidP="00C31392">
      <w:pPr>
        <w:pStyle w:val="Style1"/>
        <w:jc w:val="both"/>
        <w:rPr>
          <w:rFonts w:ascii="Arial" w:hAnsi="Arial" w:cs="Arial"/>
          <w:szCs w:val="20"/>
        </w:rPr>
      </w:pPr>
      <w:r w:rsidRPr="00AE1B0C">
        <w:rPr>
          <w:rFonts w:ascii="Arial" w:hAnsi="Arial" w:cs="Arial"/>
          <w:szCs w:val="20"/>
        </w:rPr>
        <w:t>A continuación se expone un detalle de la exigencia determinada:</w:t>
      </w:r>
    </w:p>
    <w:p w14:paraId="06DA32D2" w14:textId="77777777" w:rsidR="00C31392" w:rsidRPr="00AE1B0C" w:rsidRDefault="00C31392" w:rsidP="00C31392">
      <w:pPr>
        <w:pStyle w:val="Style1"/>
        <w:jc w:val="both"/>
        <w:rPr>
          <w:rFonts w:ascii="Arial"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2648"/>
        <w:gridCol w:w="3028"/>
      </w:tblGrid>
      <w:tr w:rsidR="00C31392" w:rsidRPr="00AE1B0C" w14:paraId="6F226A3B" w14:textId="77777777" w:rsidTr="00C31392">
        <w:trPr>
          <w:trHeight w:val="252"/>
        </w:trPr>
        <w:tc>
          <w:tcPr>
            <w:tcW w:w="3045" w:type="dxa"/>
          </w:tcPr>
          <w:p w14:paraId="7BDC6259" w14:textId="77777777" w:rsidR="00C31392" w:rsidRPr="00B57E77" w:rsidRDefault="00C31392" w:rsidP="00C31392">
            <w:pPr>
              <w:pStyle w:val="Style1"/>
              <w:jc w:val="center"/>
              <w:rPr>
                <w:rFonts w:ascii="Arial" w:hAnsi="Arial" w:cs="Arial"/>
                <w:sz w:val="18"/>
                <w:szCs w:val="20"/>
              </w:rPr>
            </w:pPr>
          </w:p>
        </w:tc>
        <w:tc>
          <w:tcPr>
            <w:tcW w:w="2648" w:type="dxa"/>
          </w:tcPr>
          <w:p w14:paraId="50B5FC26" w14:textId="771C4AB9" w:rsidR="00C31392" w:rsidRPr="00B57E77" w:rsidRDefault="00C31392" w:rsidP="00C31392">
            <w:pPr>
              <w:pStyle w:val="Style1"/>
              <w:jc w:val="center"/>
              <w:rPr>
                <w:rFonts w:ascii="Arial" w:hAnsi="Arial" w:cs="Arial"/>
                <w:sz w:val="18"/>
              </w:rPr>
            </w:pPr>
            <w:r w:rsidRPr="00B57E77">
              <w:rPr>
                <w:rFonts w:ascii="Arial" w:hAnsi="Arial" w:cs="Arial"/>
                <w:b/>
                <w:sz w:val="18"/>
              </w:rPr>
              <w:t>31/12/2019</w:t>
            </w:r>
          </w:p>
        </w:tc>
        <w:tc>
          <w:tcPr>
            <w:tcW w:w="3028" w:type="dxa"/>
          </w:tcPr>
          <w:p w14:paraId="7097158B" w14:textId="2232FD19" w:rsidR="00C31392" w:rsidRPr="00B57E77" w:rsidRDefault="00C31392" w:rsidP="00C31392">
            <w:pPr>
              <w:pStyle w:val="Style1"/>
              <w:jc w:val="center"/>
              <w:rPr>
                <w:rFonts w:ascii="Arial" w:hAnsi="Arial" w:cs="Arial"/>
                <w:b/>
                <w:sz w:val="18"/>
                <w:szCs w:val="20"/>
              </w:rPr>
            </w:pPr>
            <w:r w:rsidRPr="00B57E77">
              <w:rPr>
                <w:rFonts w:ascii="Arial" w:hAnsi="Arial" w:cs="Arial"/>
                <w:b/>
                <w:sz w:val="18"/>
              </w:rPr>
              <w:t>31/12/2018</w:t>
            </w:r>
          </w:p>
        </w:tc>
      </w:tr>
      <w:tr w:rsidR="00C31392" w:rsidRPr="00AE1B0C" w14:paraId="0F6FBDD4" w14:textId="77777777" w:rsidTr="00C31392">
        <w:trPr>
          <w:trHeight w:val="252"/>
        </w:trPr>
        <w:tc>
          <w:tcPr>
            <w:tcW w:w="3045" w:type="dxa"/>
          </w:tcPr>
          <w:p w14:paraId="165259A4" w14:textId="77777777" w:rsidR="00C31392" w:rsidRPr="00B57E77" w:rsidRDefault="00C31392" w:rsidP="00C31392">
            <w:pPr>
              <w:pStyle w:val="Style1"/>
              <w:jc w:val="both"/>
              <w:rPr>
                <w:rFonts w:ascii="Arial" w:hAnsi="Arial" w:cs="Arial"/>
                <w:sz w:val="18"/>
                <w:szCs w:val="20"/>
              </w:rPr>
            </w:pPr>
            <w:r w:rsidRPr="00B57E77">
              <w:rPr>
                <w:rFonts w:ascii="Arial" w:hAnsi="Arial" w:cs="Arial"/>
                <w:sz w:val="18"/>
                <w:szCs w:val="20"/>
              </w:rPr>
              <w:t>Riesgo de crédito</w:t>
            </w:r>
          </w:p>
        </w:tc>
        <w:tc>
          <w:tcPr>
            <w:tcW w:w="2648" w:type="dxa"/>
            <w:vAlign w:val="center"/>
          </w:tcPr>
          <w:p w14:paraId="704593F6" w14:textId="3B478EE7" w:rsidR="00C31392" w:rsidRPr="00B57E77" w:rsidRDefault="00F66D2F" w:rsidP="00C31392">
            <w:pPr>
              <w:pStyle w:val="Style1"/>
              <w:jc w:val="right"/>
              <w:rPr>
                <w:rFonts w:ascii="Arial" w:hAnsi="Arial" w:cs="Arial"/>
                <w:sz w:val="18"/>
                <w:szCs w:val="20"/>
              </w:rPr>
            </w:pPr>
            <w:r w:rsidRPr="00F66D2F">
              <w:rPr>
                <w:rFonts w:ascii="Arial" w:hAnsi="Arial" w:cs="Arial"/>
                <w:sz w:val="18"/>
                <w:szCs w:val="20"/>
              </w:rPr>
              <w:t>8.00</w:t>
            </w:r>
            <w:r w:rsidR="00DF356F">
              <w:rPr>
                <w:rFonts w:ascii="Arial" w:hAnsi="Arial" w:cs="Arial"/>
                <w:sz w:val="18"/>
                <w:szCs w:val="20"/>
              </w:rPr>
              <w:t>2.447</w:t>
            </w:r>
          </w:p>
        </w:tc>
        <w:tc>
          <w:tcPr>
            <w:tcW w:w="3028" w:type="dxa"/>
            <w:vAlign w:val="center"/>
          </w:tcPr>
          <w:p w14:paraId="384A24BA" w14:textId="3D3EC047" w:rsidR="00C31392" w:rsidRPr="00B57E77" w:rsidRDefault="00C31392" w:rsidP="00C31392">
            <w:pPr>
              <w:pStyle w:val="Style1"/>
              <w:jc w:val="right"/>
              <w:rPr>
                <w:rFonts w:ascii="Arial" w:hAnsi="Arial" w:cs="Arial"/>
                <w:sz w:val="18"/>
                <w:szCs w:val="20"/>
              </w:rPr>
            </w:pPr>
            <w:r w:rsidRPr="00B57E77">
              <w:rPr>
                <w:rFonts w:ascii="Arial" w:hAnsi="Arial" w:cs="Arial"/>
                <w:color w:val="000000"/>
                <w:sz w:val="18"/>
                <w:szCs w:val="20"/>
              </w:rPr>
              <w:t>6.637.961</w:t>
            </w:r>
          </w:p>
        </w:tc>
      </w:tr>
      <w:tr w:rsidR="00C31392" w:rsidRPr="00AE1B0C" w14:paraId="0D3143AC" w14:textId="77777777" w:rsidTr="00C31392">
        <w:trPr>
          <w:trHeight w:val="252"/>
        </w:trPr>
        <w:tc>
          <w:tcPr>
            <w:tcW w:w="3045" w:type="dxa"/>
          </w:tcPr>
          <w:p w14:paraId="4CD221B7" w14:textId="77777777" w:rsidR="00C31392" w:rsidRPr="00B57E77" w:rsidRDefault="00C31392" w:rsidP="00C31392">
            <w:pPr>
              <w:pStyle w:val="Style1"/>
              <w:jc w:val="both"/>
              <w:rPr>
                <w:rFonts w:ascii="Arial" w:hAnsi="Arial" w:cs="Arial"/>
                <w:sz w:val="18"/>
                <w:szCs w:val="20"/>
              </w:rPr>
            </w:pPr>
            <w:r w:rsidRPr="00B57E77">
              <w:rPr>
                <w:rFonts w:ascii="Arial" w:hAnsi="Arial" w:cs="Arial"/>
                <w:sz w:val="18"/>
                <w:szCs w:val="20"/>
              </w:rPr>
              <w:t>Riesgo de mercado</w:t>
            </w:r>
          </w:p>
        </w:tc>
        <w:tc>
          <w:tcPr>
            <w:tcW w:w="2648" w:type="dxa"/>
            <w:vAlign w:val="center"/>
          </w:tcPr>
          <w:p w14:paraId="3464500F" w14:textId="764CC541" w:rsidR="00C31392" w:rsidRPr="00B57E77" w:rsidRDefault="00F66D2F" w:rsidP="00C31392">
            <w:pPr>
              <w:pStyle w:val="Style1"/>
              <w:jc w:val="right"/>
              <w:rPr>
                <w:rFonts w:ascii="Arial" w:hAnsi="Arial" w:cs="Arial"/>
                <w:sz w:val="18"/>
                <w:szCs w:val="20"/>
              </w:rPr>
            </w:pPr>
            <w:r w:rsidRPr="00F66D2F">
              <w:rPr>
                <w:rFonts w:ascii="Arial" w:hAnsi="Arial" w:cs="Arial"/>
                <w:sz w:val="18"/>
                <w:szCs w:val="20"/>
              </w:rPr>
              <w:t>251.739</w:t>
            </w:r>
          </w:p>
        </w:tc>
        <w:tc>
          <w:tcPr>
            <w:tcW w:w="3028" w:type="dxa"/>
            <w:vAlign w:val="center"/>
          </w:tcPr>
          <w:p w14:paraId="07601C7B" w14:textId="17F2D087" w:rsidR="00C31392" w:rsidRPr="00B57E77" w:rsidRDefault="00C31392" w:rsidP="00C31392">
            <w:pPr>
              <w:pStyle w:val="Style1"/>
              <w:jc w:val="right"/>
              <w:rPr>
                <w:rFonts w:ascii="Arial" w:hAnsi="Arial" w:cs="Arial"/>
                <w:sz w:val="18"/>
                <w:szCs w:val="20"/>
              </w:rPr>
            </w:pPr>
            <w:r w:rsidRPr="00B57E77">
              <w:rPr>
                <w:rFonts w:ascii="Arial" w:hAnsi="Arial" w:cs="Arial"/>
                <w:color w:val="000000"/>
                <w:sz w:val="18"/>
                <w:szCs w:val="20"/>
              </w:rPr>
              <w:t>301.724</w:t>
            </w:r>
          </w:p>
        </w:tc>
      </w:tr>
      <w:tr w:rsidR="00C31392" w:rsidRPr="00AE1B0C" w14:paraId="4DB1D583" w14:textId="77777777" w:rsidTr="00C31392">
        <w:trPr>
          <w:trHeight w:val="252"/>
        </w:trPr>
        <w:tc>
          <w:tcPr>
            <w:tcW w:w="3045" w:type="dxa"/>
          </w:tcPr>
          <w:p w14:paraId="35FDDEAC" w14:textId="77777777" w:rsidR="00C31392" w:rsidRPr="00B57E77" w:rsidRDefault="00C31392" w:rsidP="00C31392">
            <w:pPr>
              <w:pStyle w:val="Style1"/>
              <w:jc w:val="both"/>
              <w:rPr>
                <w:rFonts w:ascii="Arial" w:hAnsi="Arial" w:cs="Arial"/>
                <w:sz w:val="18"/>
                <w:szCs w:val="20"/>
              </w:rPr>
            </w:pPr>
            <w:r w:rsidRPr="00B57E77">
              <w:rPr>
                <w:rFonts w:ascii="Arial" w:hAnsi="Arial" w:cs="Arial"/>
                <w:sz w:val="18"/>
                <w:szCs w:val="20"/>
              </w:rPr>
              <w:t>Riesgo operacional</w:t>
            </w:r>
          </w:p>
        </w:tc>
        <w:tc>
          <w:tcPr>
            <w:tcW w:w="2648" w:type="dxa"/>
            <w:vAlign w:val="center"/>
          </w:tcPr>
          <w:p w14:paraId="6754475F" w14:textId="2D7C979C" w:rsidR="00C31392" w:rsidRPr="00B57E77" w:rsidRDefault="00F66D2F" w:rsidP="00C31392">
            <w:pPr>
              <w:pStyle w:val="Style1"/>
              <w:jc w:val="right"/>
              <w:rPr>
                <w:rFonts w:ascii="Arial" w:hAnsi="Arial" w:cs="Arial"/>
                <w:sz w:val="18"/>
                <w:szCs w:val="20"/>
              </w:rPr>
            </w:pPr>
            <w:r w:rsidRPr="00F66D2F">
              <w:rPr>
                <w:rFonts w:ascii="Arial" w:hAnsi="Arial" w:cs="Arial"/>
                <w:sz w:val="18"/>
                <w:szCs w:val="20"/>
              </w:rPr>
              <w:t>2.349.952</w:t>
            </w:r>
          </w:p>
        </w:tc>
        <w:tc>
          <w:tcPr>
            <w:tcW w:w="3028" w:type="dxa"/>
            <w:vAlign w:val="center"/>
          </w:tcPr>
          <w:p w14:paraId="2742EE04" w14:textId="1D35A83F" w:rsidR="00C31392" w:rsidRPr="00B57E77" w:rsidRDefault="00C31392" w:rsidP="00C31392">
            <w:pPr>
              <w:pStyle w:val="Style1"/>
              <w:jc w:val="right"/>
              <w:rPr>
                <w:rFonts w:ascii="Arial" w:hAnsi="Arial" w:cs="Arial"/>
                <w:sz w:val="18"/>
                <w:szCs w:val="20"/>
              </w:rPr>
            </w:pPr>
            <w:r w:rsidRPr="00B57E77">
              <w:rPr>
                <w:rFonts w:ascii="Arial" w:hAnsi="Arial" w:cs="Arial"/>
                <w:color w:val="000000"/>
                <w:sz w:val="18"/>
                <w:szCs w:val="20"/>
              </w:rPr>
              <w:t>1.486.516</w:t>
            </w:r>
          </w:p>
        </w:tc>
      </w:tr>
      <w:tr w:rsidR="00C31392" w:rsidRPr="005F5C20" w14:paraId="2472D884" w14:textId="77777777" w:rsidTr="00C31392">
        <w:trPr>
          <w:trHeight w:val="252"/>
        </w:trPr>
        <w:tc>
          <w:tcPr>
            <w:tcW w:w="3045" w:type="dxa"/>
          </w:tcPr>
          <w:p w14:paraId="3A58D610" w14:textId="77777777" w:rsidR="00C31392" w:rsidRPr="006E1AF7" w:rsidRDefault="00C31392" w:rsidP="00C31392">
            <w:pPr>
              <w:pStyle w:val="Style1"/>
              <w:jc w:val="both"/>
              <w:rPr>
                <w:rFonts w:ascii="Arial" w:hAnsi="Arial" w:cs="Arial"/>
                <w:b/>
                <w:sz w:val="18"/>
                <w:szCs w:val="20"/>
              </w:rPr>
            </w:pPr>
            <w:r w:rsidRPr="006E1AF7">
              <w:rPr>
                <w:rFonts w:ascii="Arial" w:hAnsi="Arial" w:cs="Arial"/>
                <w:b/>
                <w:sz w:val="18"/>
                <w:szCs w:val="20"/>
              </w:rPr>
              <w:t>Exigencia</w:t>
            </w:r>
          </w:p>
        </w:tc>
        <w:tc>
          <w:tcPr>
            <w:tcW w:w="2648" w:type="dxa"/>
            <w:vAlign w:val="center"/>
          </w:tcPr>
          <w:p w14:paraId="7D18E49F" w14:textId="4341FA5A" w:rsidR="00C31392" w:rsidRPr="006E1AF7" w:rsidRDefault="00F66D2F" w:rsidP="00C31392">
            <w:pPr>
              <w:pStyle w:val="Style1"/>
              <w:jc w:val="right"/>
              <w:rPr>
                <w:rFonts w:ascii="Arial" w:hAnsi="Arial" w:cs="Arial"/>
                <w:b/>
                <w:sz w:val="18"/>
                <w:szCs w:val="20"/>
              </w:rPr>
            </w:pPr>
            <w:r w:rsidRPr="006E1AF7">
              <w:rPr>
                <w:rFonts w:ascii="Arial" w:hAnsi="Arial" w:cs="Arial"/>
                <w:b/>
                <w:sz w:val="18"/>
                <w:szCs w:val="20"/>
              </w:rPr>
              <w:t>10.60</w:t>
            </w:r>
            <w:r w:rsidR="00DF356F" w:rsidRPr="006E1AF7">
              <w:rPr>
                <w:rFonts w:ascii="Arial" w:hAnsi="Arial" w:cs="Arial"/>
                <w:b/>
                <w:sz w:val="18"/>
                <w:szCs w:val="20"/>
              </w:rPr>
              <w:t>4.138</w:t>
            </w:r>
          </w:p>
        </w:tc>
        <w:tc>
          <w:tcPr>
            <w:tcW w:w="3028" w:type="dxa"/>
            <w:vAlign w:val="center"/>
          </w:tcPr>
          <w:p w14:paraId="3F07AC89" w14:textId="2144AAD6" w:rsidR="00C31392" w:rsidRPr="006E1AF7" w:rsidRDefault="00C31392" w:rsidP="00C31392">
            <w:pPr>
              <w:pStyle w:val="Style1"/>
              <w:jc w:val="right"/>
              <w:rPr>
                <w:rFonts w:ascii="Arial" w:hAnsi="Arial" w:cs="Arial"/>
                <w:b/>
                <w:sz w:val="18"/>
                <w:szCs w:val="20"/>
              </w:rPr>
            </w:pPr>
            <w:r w:rsidRPr="006E1AF7">
              <w:rPr>
                <w:rFonts w:ascii="Arial" w:hAnsi="Arial" w:cs="Arial"/>
                <w:b/>
                <w:color w:val="000000"/>
                <w:sz w:val="18"/>
                <w:szCs w:val="20"/>
              </w:rPr>
              <w:t>8.426.201</w:t>
            </w:r>
          </w:p>
        </w:tc>
      </w:tr>
      <w:tr w:rsidR="00C31392" w:rsidRPr="005F5C20" w14:paraId="780BC9F6" w14:textId="77777777" w:rsidTr="00C31392">
        <w:trPr>
          <w:trHeight w:val="252"/>
        </w:trPr>
        <w:tc>
          <w:tcPr>
            <w:tcW w:w="3045" w:type="dxa"/>
          </w:tcPr>
          <w:p w14:paraId="64E90423" w14:textId="77777777" w:rsidR="00C31392" w:rsidRPr="006E1AF7" w:rsidRDefault="00C31392" w:rsidP="00C31392">
            <w:pPr>
              <w:pStyle w:val="Style1"/>
              <w:jc w:val="both"/>
              <w:rPr>
                <w:rFonts w:ascii="Arial" w:hAnsi="Arial" w:cs="Arial"/>
                <w:b/>
                <w:sz w:val="18"/>
                <w:szCs w:val="20"/>
              </w:rPr>
            </w:pPr>
            <w:r w:rsidRPr="006E1AF7">
              <w:rPr>
                <w:rFonts w:ascii="Arial" w:hAnsi="Arial" w:cs="Arial"/>
                <w:b/>
                <w:sz w:val="18"/>
                <w:szCs w:val="20"/>
              </w:rPr>
              <w:t>Integración</w:t>
            </w:r>
          </w:p>
        </w:tc>
        <w:tc>
          <w:tcPr>
            <w:tcW w:w="2648" w:type="dxa"/>
            <w:vAlign w:val="center"/>
          </w:tcPr>
          <w:p w14:paraId="5A5097CB" w14:textId="552E1EA5" w:rsidR="00C31392" w:rsidRPr="006E1AF7" w:rsidRDefault="00F66D2F" w:rsidP="00C31392">
            <w:pPr>
              <w:pStyle w:val="Style1"/>
              <w:jc w:val="right"/>
              <w:rPr>
                <w:rFonts w:ascii="Arial" w:hAnsi="Arial" w:cs="Arial"/>
                <w:b/>
                <w:sz w:val="18"/>
                <w:szCs w:val="20"/>
              </w:rPr>
            </w:pPr>
            <w:r w:rsidRPr="006E1AF7">
              <w:rPr>
                <w:rFonts w:ascii="Arial" w:hAnsi="Arial" w:cs="Arial"/>
                <w:b/>
                <w:sz w:val="18"/>
                <w:szCs w:val="20"/>
              </w:rPr>
              <w:t>15.0</w:t>
            </w:r>
            <w:r w:rsidR="00DF356F" w:rsidRPr="006E1AF7">
              <w:rPr>
                <w:rFonts w:ascii="Arial" w:hAnsi="Arial" w:cs="Arial"/>
                <w:b/>
                <w:sz w:val="18"/>
                <w:szCs w:val="20"/>
              </w:rPr>
              <w:t>25.109</w:t>
            </w:r>
          </w:p>
        </w:tc>
        <w:tc>
          <w:tcPr>
            <w:tcW w:w="3028" w:type="dxa"/>
            <w:vAlign w:val="center"/>
          </w:tcPr>
          <w:p w14:paraId="60DC21DB" w14:textId="48FEDE9D" w:rsidR="00C31392" w:rsidRPr="006E1AF7" w:rsidRDefault="00C31392" w:rsidP="00C31392">
            <w:pPr>
              <w:pStyle w:val="Style1"/>
              <w:jc w:val="right"/>
              <w:rPr>
                <w:rFonts w:ascii="Arial" w:hAnsi="Arial" w:cs="Arial"/>
                <w:b/>
                <w:sz w:val="18"/>
                <w:szCs w:val="20"/>
              </w:rPr>
            </w:pPr>
            <w:r w:rsidRPr="006E1AF7">
              <w:rPr>
                <w:rFonts w:ascii="Arial" w:hAnsi="Arial" w:cs="Arial"/>
                <w:b/>
                <w:color w:val="000000"/>
                <w:sz w:val="18"/>
                <w:szCs w:val="20"/>
              </w:rPr>
              <w:t>12.144.006</w:t>
            </w:r>
          </w:p>
        </w:tc>
      </w:tr>
      <w:tr w:rsidR="00C31392" w:rsidRPr="005F5C20" w14:paraId="18626CF0" w14:textId="77777777" w:rsidTr="00C31392">
        <w:trPr>
          <w:trHeight w:val="238"/>
        </w:trPr>
        <w:tc>
          <w:tcPr>
            <w:tcW w:w="3045" w:type="dxa"/>
          </w:tcPr>
          <w:p w14:paraId="774FE8C9" w14:textId="77777777" w:rsidR="00C31392" w:rsidRPr="006E1AF7" w:rsidRDefault="00C31392" w:rsidP="00C31392">
            <w:pPr>
              <w:pStyle w:val="Style1"/>
              <w:jc w:val="both"/>
              <w:rPr>
                <w:rFonts w:ascii="Arial" w:hAnsi="Arial" w:cs="Arial"/>
                <w:b/>
                <w:sz w:val="18"/>
                <w:szCs w:val="20"/>
              </w:rPr>
            </w:pPr>
            <w:r w:rsidRPr="006E1AF7">
              <w:rPr>
                <w:rFonts w:ascii="Arial" w:hAnsi="Arial" w:cs="Arial"/>
                <w:b/>
                <w:sz w:val="18"/>
                <w:szCs w:val="20"/>
              </w:rPr>
              <w:t>Exceso</w:t>
            </w:r>
          </w:p>
        </w:tc>
        <w:tc>
          <w:tcPr>
            <w:tcW w:w="2648" w:type="dxa"/>
            <w:vAlign w:val="center"/>
          </w:tcPr>
          <w:p w14:paraId="4FA26220" w14:textId="655A7283" w:rsidR="00C31392" w:rsidRPr="006E1AF7" w:rsidRDefault="00F66D2F" w:rsidP="00C31392">
            <w:pPr>
              <w:pStyle w:val="Style1"/>
              <w:jc w:val="right"/>
              <w:rPr>
                <w:rFonts w:ascii="Arial" w:hAnsi="Arial" w:cs="Arial"/>
                <w:b/>
                <w:sz w:val="18"/>
                <w:szCs w:val="20"/>
              </w:rPr>
            </w:pPr>
            <w:r w:rsidRPr="006E1AF7">
              <w:rPr>
                <w:rFonts w:ascii="Arial" w:hAnsi="Arial" w:cs="Arial"/>
                <w:b/>
                <w:sz w:val="18"/>
                <w:szCs w:val="20"/>
              </w:rPr>
              <w:t>4.4</w:t>
            </w:r>
            <w:r w:rsidR="00DF356F" w:rsidRPr="006E1AF7">
              <w:rPr>
                <w:rFonts w:ascii="Arial" w:hAnsi="Arial" w:cs="Arial"/>
                <w:b/>
                <w:sz w:val="18"/>
                <w:szCs w:val="20"/>
              </w:rPr>
              <w:t>20.971</w:t>
            </w:r>
          </w:p>
        </w:tc>
        <w:tc>
          <w:tcPr>
            <w:tcW w:w="3028" w:type="dxa"/>
            <w:vAlign w:val="center"/>
          </w:tcPr>
          <w:p w14:paraId="239B5040" w14:textId="7C08F5A0" w:rsidR="00C31392" w:rsidRPr="006E1AF7" w:rsidRDefault="00C31392" w:rsidP="00C31392">
            <w:pPr>
              <w:pStyle w:val="Style1"/>
              <w:jc w:val="right"/>
              <w:rPr>
                <w:rFonts w:ascii="Arial" w:hAnsi="Arial" w:cs="Arial"/>
                <w:b/>
                <w:sz w:val="18"/>
                <w:szCs w:val="20"/>
              </w:rPr>
            </w:pPr>
            <w:r w:rsidRPr="006E1AF7">
              <w:rPr>
                <w:rFonts w:ascii="Arial" w:hAnsi="Arial" w:cs="Arial"/>
                <w:b/>
                <w:color w:val="000000"/>
                <w:sz w:val="18"/>
                <w:szCs w:val="20"/>
              </w:rPr>
              <w:t>3.717.805</w:t>
            </w:r>
          </w:p>
        </w:tc>
      </w:tr>
    </w:tbl>
    <w:p w14:paraId="12F9E3D2" w14:textId="77777777" w:rsidR="00C31392" w:rsidRPr="00701F32" w:rsidRDefault="00C31392" w:rsidP="00C31392">
      <w:pPr>
        <w:widowControl w:val="0"/>
        <w:autoSpaceDE w:val="0"/>
        <w:autoSpaceDN w:val="0"/>
        <w:adjustRightInd w:val="0"/>
        <w:jc w:val="both"/>
        <w:rPr>
          <w:rFonts w:ascii="Arial" w:hAnsi="Arial" w:cs="Arial"/>
          <w:noProof/>
          <w:sz w:val="20"/>
        </w:rPr>
      </w:pPr>
    </w:p>
    <w:p w14:paraId="17A59E59" w14:textId="0E2684D3" w:rsidR="00C31392" w:rsidRDefault="00C31392" w:rsidP="00C31392">
      <w:pPr>
        <w:tabs>
          <w:tab w:val="left" w:pos="142"/>
        </w:tabs>
        <w:jc w:val="both"/>
        <w:rPr>
          <w:rFonts w:ascii="Arial" w:hAnsi="Arial" w:cs="Arial"/>
          <w:b/>
          <w:caps/>
          <w:sz w:val="20"/>
        </w:rPr>
      </w:pPr>
      <w:r>
        <w:rPr>
          <w:rFonts w:ascii="Arial" w:hAnsi="Arial" w:cs="Arial"/>
          <w:b/>
          <w:sz w:val="20"/>
        </w:rPr>
        <w:t>2</w:t>
      </w:r>
      <w:r w:rsidR="00BB63C7">
        <w:rPr>
          <w:rFonts w:ascii="Arial" w:hAnsi="Arial" w:cs="Arial"/>
          <w:b/>
          <w:sz w:val="20"/>
        </w:rPr>
        <w:t>6</w:t>
      </w:r>
      <w:r>
        <w:rPr>
          <w:rFonts w:ascii="Arial" w:hAnsi="Arial" w:cs="Arial"/>
          <w:b/>
          <w:sz w:val="20"/>
        </w:rPr>
        <w:t xml:space="preserve">. </w:t>
      </w:r>
      <w:r w:rsidRPr="00492498">
        <w:rPr>
          <w:rFonts w:ascii="Arial" w:hAnsi="Arial" w:cs="Arial"/>
          <w:b/>
          <w:caps/>
          <w:sz w:val="20"/>
        </w:rPr>
        <w:t>Activos no corrientes mantenidos para la venta</w:t>
      </w:r>
    </w:p>
    <w:p w14:paraId="47B87281" w14:textId="77777777" w:rsidR="00C31392" w:rsidRDefault="00C31392" w:rsidP="00C31392">
      <w:pPr>
        <w:tabs>
          <w:tab w:val="left" w:pos="142"/>
        </w:tabs>
        <w:jc w:val="both"/>
        <w:rPr>
          <w:rFonts w:ascii="Arial" w:hAnsi="Arial" w:cs="Arial"/>
          <w:b/>
          <w:caps/>
          <w:sz w:val="20"/>
        </w:rPr>
      </w:pPr>
    </w:p>
    <w:p w14:paraId="0A0DA538" w14:textId="77777777" w:rsidR="00C31392" w:rsidRDefault="00C31392" w:rsidP="00C31392">
      <w:pPr>
        <w:widowControl w:val="0"/>
        <w:autoSpaceDE w:val="0"/>
        <w:autoSpaceDN w:val="0"/>
        <w:adjustRightInd w:val="0"/>
        <w:jc w:val="both"/>
        <w:rPr>
          <w:rFonts w:ascii="Arial" w:hAnsi="Arial" w:cs="Arial"/>
          <w:b/>
          <w:sz w:val="20"/>
        </w:rPr>
      </w:pPr>
      <w:r>
        <w:rPr>
          <w:rFonts w:ascii="Arial" w:hAnsi="Arial" w:cs="Arial"/>
          <w:noProof/>
          <w:sz w:val="20"/>
        </w:rPr>
        <w:t>Al 31 de diciembre de 2018, el Banco ha clasificado como activos no corrientes mantenidos para la venta un camión por la suma de $ 2.800, ya que asume el compromiso irrevocable de efectuar sus mejores esfuerzos comerciales para negociarlo a un precio de venta razonable dentro del plazo de un año.</w:t>
      </w:r>
    </w:p>
    <w:p w14:paraId="48880D77" w14:textId="77777777" w:rsidR="00C31392" w:rsidRPr="00701F32" w:rsidRDefault="00C31392" w:rsidP="00C31392">
      <w:pPr>
        <w:widowControl w:val="0"/>
        <w:autoSpaceDE w:val="0"/>
        <w:autoSpaceDN w:val="0"/>
        <w:adjustRightInd w:val="0"/>
        <w:jc w:val="both"/>
        <w:rPr>
          <w:rFonts w:ascii="Arial" w:hAnsi="Arial" w:cs="Arial"/>
          <w:noProof/>
          <w:sz w:val="20"/>
        </w:rPr>
      </w:pPr>
    </w:p>
    <w:p w14:paraId="267969F2" w14:textId="142A9732" w:rsidR="00C31392" w:rsidRPr="00701F32" w:rsidRDefault="00C31392" w:rsidP="00C31392">
      <w:pPr>
        <w:tabs>
          <w:tab w:val="left" w:pos="142"/>
        </w:tabs>
        <w:jc w:val="both"/>
        <w:rPr>
          <w:rFonts w:ascii="Arial" w:hAnsi="Arial" w:cs="Arial"/>
          <w:b/>
          <w:sz w:val="20"/>
        </w:rPr>
      </w:pPr>
      <w:r>
        <w:rPr>
          <w:rFonts w:ascii="Arial" w:hAnsi="Arial" w:cs="Arial"/>
          <w:b/>
          <w:sz w:val="20"/>
        </w:rPr>
        <w:t>2</w:t>
      </w:r>
      <w:r w:rsidR="00BB63C7">
        <w:rPr>
          <w:rFonts w:ascii="Arial" w:hAnsi="Arial" w:cs="Arial"/>
          <w:b/>
          <w:sz w:val="20"/>
        </w:rPr>
        <w:t>7</w:t>
      </w:r>
      <w:r w:rsidRPr="00701F32">
        <w:rPr>
          <w:rFonts w:ascii="Arial" w:hAnsi="Arial" w:cs="Arial"/>
          <w:b/>
          <w:sz w:val="20"/>
        </w:rPr>
        <w:t xml:space="preserve">. </w:t>
      </w:r>
      <w:r w:rsidRPr="00701F32">
        <w:rPr>
          <w:rFonts w:ascii="Arial" w:hAnsi="Arial" w:cs="Arial"/>
          <w:b/>
          <w:caps/>
          <w:sz w:val="20"/>
        </w:rPr>
        <w:t>Programa de Facilitación de Financiamiento al Comercio Exterior</w:t>
      </w:r>
    </w:p>
    <w:p w14:paraId="1AE228FB" w14:textId="77777777" w:rsidR="00C31392" w:rsidRPr="00701F32" w:rsidRDefault="00C31392" w:rsidP="00C31392">
      <w:pPr>
        <w:widowControl w:val="0"/>
        <w:autoSpaceDE w:val="0"/>
        <w:autoSpaceDN w:val="0"/>
        <w:adjustRightInd w:val="0"/>
        <w:jc w:val="both"/>
        <w:rPr>
          <w:rFonts w:ascii="Arial" w:hAnsi="Arial" w:cs="Arial"/>
          <w:noProof/>
          <w:sz w:val="20"/>
        </w:rPr>
      </w:pPr>
    </w:p>
    <w:p w14:paraId="02B6DC6B" w14:textId="77777777" w:rsidR="005C576C" w:rsidRPr="005C576C" w:rsidRDefault="005C576C" w:rsidP="005C576C">
      <w:pPr>
        <w:autoSpaceDE w:val="0"/>
        <w:autoSpaceDN w:val="0"/>
        <w:jc w:val="both"/>
        <w:rPr>
          <w:rFonts w:ascii="Arial" w:hAnsi="Arial" w:cs="Arial"/>
          <w:sz w:val="20"/>
        </w:rPr>
      </w:pPr>
      <w:r w:rsidRPr="005C576C">
        <w:rPr>
          <w:rFonts w:ascii="Arial" w:hAnsi="Arial" w:cs="Arial"/>
          <w:sz w:val="20"/>
        </w:rPr>
        <w:t xml:space="preserve">El Banco mantiene activos los siguientes convenios: 1) Programa de Facilitación de Financiamiento al Comercio Exterior del Banco Interamericano de Desarrollo (BID), cuya línea asciende a USD 20.000.000 (dólares estadounidenses veinte millones) y 2)  el Global Trade Finance Program de la Corporación Financiera Internacional (IFC), cuya línea asciende a USD 30.000.000 (dólares estadounidenses treinta millones). </w:t>
      </w:r>
    </w:p>
    <w:p w14:paraId="3C32AD25" w14:textId="77777777" w:rsidR="005C576C" w:rsidRPr="005C576C" w:rsidRDefault="005C576C" w:rsidP="005C576C">
      <w:pPr>
        <w:autoSpaceDE w:val="0"/>
        <w:autoSpaceDN w:val="0"/>
        <w:jc w:val="both"/>
        <w:rPr>
          <w:rFonts w:ascii="Arial" w:hAnsi="Arial" w:cs="Arial"/>
          <w:sz w:val="20"/>
        </w:rPr>
      </w:pPr>
    </w:p>
    <w:p w14:paraId="7F2927BA" w14:textId="22D77FAE" w:rsidR="005C576C" w:rsidRPr="005C576C" w:rsidRDefault="005C576C" w:rsidP="005C576C">
      <w:pPr>
        <w:jc w:val="both"/>
        <w:rPr>
          <w:rFonts w:ascii="Arial" w:hAnsi="Arial" w:cs="Arial"/>
          <w:sz w:val="20"/>
        </w:rPr>
      </w:pPr>
      <w:r w:rsidRPr="005C576C">
        <w:rPr>
          <w:rFonts w:ascii="Arial" w:hAnsi="Arial" w:cs="Arial"/>
          <w:sz w:val="20"/>
        </w:rPr>
        <w:t>Por otra parte, el Banco recibió durante el mes de septiembre un préstamo sindicado senior no garantizado por USD 80.000.000 (dólares estadounidenses ochenta millones) a un plazo de tres años y con una tasa de interés de Libor + 3,40% a través del  FMO, el banco holandés de desarrollo, como organizador, y de Proparco, una subsidiaria de la Agencia Francesa de Desarrollo (AFD). Los fondos recibidos fueron rápidamente colocados entre los clientes PYMEs de nuestra cartera que se desempeñan en economías regionales exportadoras en varios sectores</w:t>
      </w:r>
    </w:p>
    <w:p w14:paraId="68E5FFC2" w14:textId="77777777" w:rsidR="005C576C" w:rsidRPr="005C576C" w:rsidRDefault="005C576C" w:rsidP="005C576C">
      <w:pPr>
        <w:jc w:val="both"/>
        <w:rPr>
          <w:rFonts w:ascii="Arial" w:hAnsi="Arial" w:cs="Arial"/>
          <w:sz w:val="20"/>
        </w:rPr>
      </w:pPr>
    </w:p>
    <w:p w14:paraId="5A91929C" w14:textId="1D5257CC" w:rsidR="005C576C" w:rsidRPr="005C576C" w:rsidRDefault="005C576C" w:rsidP="005C576C">
      <w:pPr>
        <w:autoSpaceDE w:val="0"/>
        <w:autoSpaceDN w:val="0"/>
        <w:jc w:val="both"/>
        <w:rPr>
          <w:rFonts w:ascii="Arial" w:hAnsi="Arial" w:cs="Arial"/>
          <w:sz w:val="20"/>
        </w:rPr>
      </w:pPr>
      <w:r w:rsidRPr="005C576C">
        <w:rPr>
          <w:rFonts w:ascii="Arial" w:hAnsi="Arial" w:cs="Arial"/>
          <w:sz w:val="20"/>
        </w:rPr>
        <w:t>Corresponde señalar que tanto los convenios como el préstamo sindicado se encuentran subordinados al cumplimiento de determinados covenants financieros, ciertas obligaciones de hacer y no hacer, como así también ciertos requerimientos de información.</w:t>
      </w:r>
    </w:p>
    <w:p w14:paraId="1DB26269" w14:textId="77777777" w:rsidR="005C576C" w:rsidRPr="005C576C" w:rsidRDefault="005C576C" w:rsidP="005C576C">
      <w:pPr>
        <w:autoSpaceDE w:val="0"/>
        <w:autoSpaceDN w:val="0"/>
        <w:jc w:val="both"/>
        <w:rPr>
          <w:rFonts w:ascii="Arial" w:hAnsi="Arial" w:cs="Arial"/>
          <w:sz w:val="20"/>
        </w:rPr>
      </w:pPr>
    </w:p>
    <w:p w14:paraId="0195FEF3" w14:textId="1FA74CD3" w:rsidR="00845893" w:rsidRPr="0049419F" w:rsidRDefault="00845893" w:rsidP="00845893">
      <w:pPr>
        <w:widowControl w:val="0"/>
        <w:autoSpaceDE w:val="0"/>
        <w:autoSpaceDN w:val="0"/>
        <w:adjustRightInd w:val="0"/>
        <w:jc w:val="both"/>
        <w:rPr>
          <w:rFonts w:ascii="Arial" w:hAnsi="Arial" w:cs="Arial"/>
          <w:noProof/>
          <w:sz w:val="20"/>
        </w:rPr>
      </w:pPr>
      <w:r w:rsidRPr="0049419F">
        <w:rPr>
          <w:rFonts w:ascii="Arial" w:hAnsi="Arial" w:cs="Arial"/>
          <w:noProof/>
          <w:sz w:val="20"/>
        </w:rPr>
        <w:t xml:space="preserve">Al 31 de diciembre de 2019 la Entidad no cumplía con el ratio de préstamos non-performing ni con el de cobertura, lo cual genera un </w:t>
      </w:r>
      <w:r w:rsidR="002E460D">
        <w:rPr>
          <w:rFonts w:ascii="Arial" w:hAnsi="Arial" w:cs="Arial"/>
          <w:noProof/>
          <w:sz w:val="20"/>
        </w:rPr>
        <w:t xml:space="preserve">potencial </w:t>
      </w:r>
      <w:r w:rsidRPr="0049419F">
        <w:rPr>
          <w:rFonts w:ascii="Arial" w:hAnsi="Arial" w:cs="Arial"/>
          <w:noProof/>
          <w:sz w:val="20"/>
        </w:rPr>
        <w:t>incumplimiento de los acuerdos de préstamo con el FMO y Proparco por las cláusulas de cross default contenidas en dicho contratos. Este incumplimiento habilita</w:t>
      </w:r>
      <w:r w:rsidR="00A23FB9">
        <w:rPr>
          <w:rFonts w:ascii="Arial" w:hAnsi="Arial" w:cs="Arial"/>
          <w:noProof/>
          <w:sz w:val="20"/>
        </w:rPr>
        <w:t>ría</w:t>
      </w:r>
      <w:r w:rsidRPr="0049419F">
        <w:rPr>
          <w:rFonts w:ascii="Arial" w:hAnsi="Arial" w:cs="Arial"/>
          <w:noProof/>
          <w:sz w:val="20"/>
        </w:rPr>
        <w:t xml:space="preserve"> a los organismos mencionados anteriormente a acelerar el pago de los préstamos mencionados anteriormente por un importe de $</w:t>
      </w:r>
      <w:r w:rsidR="0049419F" w:rsidRPr="006E1AF7">
        <w:rPr>
          <w:rFonts w:ascii="Arial" w:hAnsi="Arial" w:cs="Arial"/>
          <w:noProof/>
          <w:sz w:val="20"/>
        </w:rPr>
        <w:t>7.1</w:t>
      </w:r>
      <w:r w:rsidR="00A23FB9">
        <w:rPr>
          <w:rFonts w:ascii="Arial" w:hAnsi="Arial" w:cs="Arial"/>
          <w:noProof/>
          <w:sz w:val="20"/>
        </w:rPr>
        <w:t>67</w:t>
      </w:r>
      <w:r w:rsidR="0049419F" w:rsidRPr="006E1AF7">
        <w:rPr>
          <w:rFonts w:ascii="Arial" w:hAnsi="Arial" w:cs="Arial"/>
          <w:noProof/>
          <w:sz w:val="20"/>
        </w:rPr>
        <w:t xml:space="preserve"> millones</w:t>
      </w:r>
      <w:r w:rsidRPr="0049419F">
        <w:rPr>
          <w:rFonts w:ascii="Arial" w:hAnsi="Arial" w:cs="Arial"/>
          <w:noProof/>
          <w:sz w:val="20"/>
        </w:rPr>
        <w:t xml:space="preserve"> al 31 de diciembre de 2019.</w:t>
      </w:r>
    </w:p>
    <w:p w14:paraId="726262DA" w14:textId="77777777" w:rsidR="00845893" w:rsidRPr="0049419F" w:rsidRDefault="00845893" w:rsidP="00845893">
      <w:pPr>
        <w:widowControl w:val="0"/>
        <w:autoSpaceDE w:val="0"/>
        <w:autoSpaceDN w:val="0"/>
        <w:adjustRightInd w:val="0"/>
        <w:jc w:val="both"/>
        <w:rPr>
          <w:rFonts w:ascii="Arial" w:hAnsi="Arial" w:cs="Arial"/>
          <w:noProof/>
          <w:sz w:val="20"/>
        </w:rPr>
      </w:pPr>
    </w:p>
    <w:p w14:paraId="3381E3D1" w14:textId="0372C4E7" w:rsidR="00A23FB9" w:rsidRPr="002511FE" w:rsidRDefault="00A23FB9" w:rsidP="00A23FB9">
      <w:pPr>
        <w:widowControl w:val="0"/>
        <w:autoSpaceDE w:val="0"/>
        <w:autoSpaceDN w:val="0"/>
        <w:adjustRightInd w:val="0"/>
        <w:jc w:val="both"/>
        <w:rPr>
          <w:rFonts w:ascii="Arial" w:hAnsi="Arial" w:cs="Arial"/>
          <w:noProof/>
          <w:sz w:val="20"/>
        </w:rPr>
      </w:pPr>
      <w:r>
        <w:rPr>
          <w:rFonts w:ascii="Arial" w:hAnsi="Arial" w:cs="Arial"/>
          <w:noProof/>
          <w:sz w:val="20"/>
        </w:rPr>
        <w:t xml:space="preserve">En consecuencia, con fecha 29 de enero de 2020 la entidad inició el trámite para obtener un waiver con el BID, el cual se obtuvo el </w:t>
      </w:r>
      <w:r w:rsidRPr="00A059FB">
        <w:rPr>
          <w:rFonts w:ascii="Arial" w:hAnsi="Arial" w:cs="Arial"/>
          <w:noProof/>
          <w:sz w:val="20"/>
        </w:rPr>
        <w:t>18 de febrero de 2020</w:t>
      </w:r>
      <w:r w:rsidRPr="00E71D59">
        <w:rPr>
          <w:rFonts w:ascii="Arial" w:hAnsi="Arial" w:cs="Arial"/>
          <w:noProof/>
          <w:sz w:val="20"/>
        </w:rPr>
        <w:t>. Por</w:t>
      </w:r>
      <w:r>
        <w:rPr>
          <w:rFonts w:ascii="Arial" w:hAnsi="Arial" w:cs="Arial"/>
          <w:noProof/>
          <w:sz w:val="20"/>
        </w:rPr>
        <w:t xml:space="preserve"> el mismo,</w:t>
      </w:r>
      <w:r w:rsidRPr="004331E5">
        <w:rPr>
          <w:rFonts w:ascii="Arial" w:hAnsi="Arial" w:cs="Arial"/>
          <w:noProof/>
          <w:sz w:val="20"/>
        </w:rPr>
        <w:t xml:space="preserve"> el BID renuncia a su derecho de acelerar la deuda por el incumplimiento de los ratios de préstamos no performing y de cobertura por el periodo que va del 1 de octubre de 2019 al 31 de diciembre de 2019. A la fecha de emisión de los </w:t>
      </w:r>
      <w:r>
        <w:rPr>
          <w:rFonts w:ascii="Arial" w:hAnsi="Arial" w:cs="Arial"/>
          <w:noProof/>
          <w:sz w:val="20"/>
        </w:rPr>
        <w:t xml:space="preserve">presentes </w:t>
      </w:r>
      <w:r w:rsidRPr="004331E5">
        <w:rPr>
          <w:rFonts w:ascii="Arial" w:hAnsi="Arial" w:cs="Arial"/>
          <w:noProof/>
          <w:sz w:val="20"/>
        </w:rPr>
        <w:t xml:space="preserve">estados financieros la Entidad incumplía con los mencionados ratios, </w:t>
      </w:r>
      <w:r>
        <w:rPr>
          <w:rFonts w:ascii="Arial" w:hAnsi="Arial" w:cs="Arial"/>
          <w:noProof/>
          <w:sz w:val="20"/>
        </w:rPr>
        <w:t xml:space="preserve">por lo que con </w:t>
      </w:r>
      <w:r w:rsidRPr="00E71D59">
        <w:rPr>
          <w:rFonts w:ascii="Arial" w:hAnsi="Arial" w:cs="Arial"/>
          <w:noProof/>
          <w:sz w:val="20"/>
        </w:rPr>
        <w:t xml:space="preserve">fecha </w:t>
      </w:r>
      <w:r w:rsidRPr="00A059FB">
        <w:rPr>
          <w:rFonts w:ascii="Arial" w:hAnsi="Arial" w:cs="Arial"/>
          <w:noProof/>
          <w:sz w:val="20"/>
        </w:rPr>
        <w:t>1</w:t>
      </w:r>
      <w:r w:rsidR="00E71D59" w:rsidRPr="00A059FB">
        <w:rPr>
          <w:rFonts w:ascii="Arial" w:hAnsi="Arial" w:cs="Arial"/>
          <w:noProof/>
          <w:sz w:val="20"/>
        </w:rPr>
        <w:t>8</w:t>
      </w:r>
      <w:r w:rsidRPr="00A059FB">
        <w:rPr>
          <w:rFonts w:ascii="Arial" w:hAnsi="Arial" w:cs="Arial"/>
          <w:noProof/>
          <w:sz w:val="20"/>
        </w:rPr>
        <w:t xml:space="preserve"> de febrero de 2020</w:t>
      </w:r>
      <w:r w:rsidRPr="00E71D59">
        <w:t xml:space="preserve"> </w:t>
      </w:r>
      <w:r w:rsidRPr="00E71D59">
        <w:rPr>
          <w:rFonts w:ascii="Arial" w:hAnsi="Arial" w:cs="Arial"/>
          <w:noProof/>
          <w:sz w:val="20"/>
        </w:rPr>
        <w:t>solicitó</w:t>
      </w:r>
      <w:r w:rsidRPr="004331E5">
        <w:rPr>
          <w:rFonts w:ascii="Arial" w:hAnsi="Arial" w:cs="Arial"/>
          <w:noProof/>
          <w:sz w:val="20"/>
        </w:rPr>
        <w:t xml:space="preserve"> un nuevo waiver al BID, el cual se encuentra bajo análisis del organismo</w:t>
      </w:r>
      <w:r>
        <w:rPr>
          <w:rFonts w:ascii="Arial" w:hAnsi="Arial" w:cs="Arial"/>
          <w:noProof/>
          <w:sz w:val="20"/>
        </w:rPr>
        <w:t xml:space="preserve"> y</w:t>
      </w:r>
      <w:r w:rsidRPr="004331E5">
        <w:rPr>
          <w:rFonts w:ascii="Arial" w:hAnsi="Arial" w:cs="Arial"/>
          <w:noProof/>
          <w:sz w:val="20"/>
        </w:rPr>
        <w:t xml:space="preserve"> cuya respuesta se espera en los plazos habituales</w:t>
      </w:r>
      <w:r>
        <w:rPr>
          <w:rFonts w:ascii="Arial" w:hAnsi="Arial" w:cs="Arial"/>
          <w:noProof/>
          <w:sz w:val="20"/>
        </w:rPr>
        <w:t>.</w:t>
      </w:r>
      <w:r w:rsidRPr="004331E5">
        <w:rPr>
          <w:rFonts w:ascii="Arial" w:hAnsi="Arial" w:cs="Arial"/>
          <w:noProof/>
          <w:sz w:val="20"/>
        </w:rPr>
        <w:t xml:space="preserve"> </w:t>
      </w:r>
      <w:r>
        <w:rPr>
          <w:rFonts w:ascii="Arial" w:hAnsi="Arial" w:cs="Arial"/>
          <w:noProof/>
          <w:sz w:val="20"/>
        </w:rPr>
        <w:t>L</w:t>
      </w:r>
      <w:r w:rsidRPr="004331E5">
        <w:rPr>
          <w:rFonts w:ascii="Arial" w:hAnsi="Arial" w:cs="Arial"/>
          <w:noProof/>
          <w:sz w:val="20"/>
        </w:rPr>
        <w:t xml:space="preserve">a Gerencia de la Entidad se encuentra trabajando conjuntamente con el BID, el FMO y Proparco en generar un nuevo waiver y modificar los acuerdos de préstamo a fin de que los covenants financieros incluidos en los mismos se adecúen a la actual performance </w:t>
      </w:r>
      <w:r>
        <w:rPr>
          <w:rFonts w:ascii="Arial" w:hAnsi="Arial" w:cs="Arial"/>
          <w:noProof/>
          <w:sz w:val="20"/>
        </w:rPr>
        <w:t>y contexto macroeconómico.</w:t>
      </w:r>
    </w:p>
    <w:p w14:paraId="5429B035" w14:textId="29782F2F" w:rsidR="00C31392" w:rsidRPr="00701F32" w:rsidRDefault="00C31392" w:rsidP="00C31392">
      <w:pPr>
        <w:widowControl w:val="0"/>
        <w:autoSpaceDE w:val="0"/>
        <w:autoSpaceDN w:val="0"/>
        <w:adjustRightInd w:val="0"/>
        <w:jc w:val="both"/>
        <w:rPr>
          <w:rFonts w:ascii="Arial" w:hAnsi="Arial" w:cs="Arial"/>
          <w:noProof/>
          <w:sz w:val="20"/>
        </w:rPr>
      </w:pPr>
    </w:p>
    <w:p w14:paraId="368D554F" w14:textId="62D4A86B" w:rsidR="00C31392" w:rsidRPr="005744AF" w:rsidRDefault="00C31392" w:rsidP="00C31392">
      <w:pPr>
        <w:spacing w:line="240" w:lineRule="exact"/>
        <w:jc w:val="both"/>
        <w:outlineLvl w:val="0"/>
        <w:rPr>
          <w:rFonts w:asciiTheme="minorHAnsi" w:hAnsiTheme="minorHAnsi" w:cstheme="minorHAnsi"/>
          <w:b/>
          <w:sz w:val="20"/>
          <w:lang w:val="es-ES_tradnl"/>
        </w:rPr>
      </w:pPr>
      <w:r>
        <w:rPr>
          <w:rFonts w:ascii="Arial" w:hAnsi="Arial" w:cs="Arial"/>
          <w:b/>
          <w:noProof/>
          <w:sz w:val="20"/>
        </w:rPr>
        <w:t>2</w:t>
      </w:r>
      <w:r w:rsidR="00BB63C7">
        <w:rPr>
          <w:rFonts w:ascii="Arial" w:hAnsi="Arial" w:cs="Arial"/>
          <w:b/>
          <w:noProof/>
          <w:sz w:val="20"/>
        </w:rPr>
        <w:t>8</w:t>
      </w:r>
      <w:r>
        <w:rPr>
          <w:rFonts w:ascii="Arial" w:hAnsi="Arial" w:cs="Arial"/>
          <w:b/>
          <w:noProof/>
          <w:sz w:val="20"/>
        </w:rPr>
        <w:t>.</w:t>
      </w:r>
      <w:r w:rsidRPr="005744AF">
        <w:rPr>
          <w:rFonts w:asciiTheme="minorHAnsi" w:hAnsiTheme="minorHAnsi" w:cstheme="minorHAnsi"/>
          <w:b/>
          <w:sz w:val="20"/>
          <w:lang w:val="es-ES_tradnl"/>
        </w:rPr>
        <w:t xml:space="preserve"> </w:t>
      </w:r>
      <w:r w:rsidRPr="00EC349E">
        <w:rPr>
          <w:rFonts w:ascii="Arial" w:hAnsi="Arial" w:cs="Arial"/>
          <w:b/>
          <w:caps/>
          <w:sz w:val="20"/>
          <w:lang w:val="es-ES_tradnl"/>
        </w:rPr>
        <w:t>Compensación de Instrumentos Financieros</w:t>
      </w:r>
    </w:p>
    <w:p w14:paraId="670E9236" w14:textId="77777777" w:rsidR="00C31392" w:rsidRPr="005744AF" w:rsidRDefault="00C31392" w:rsidP="00C31392">
      <w:pPr>
        <w:spacing w:line="240" w:lineRule="exact"/>
        <w:ind w:left="586"/>
        <w:jc w:val="both"/>
        <w:outlineLvl w:val="0"/>
        <w:rPr>
          <w:rFonts w:asciiTheme="minorHAnsi" w:hAnsiTheme="minorHAnsi" w:cstheme="minorHAnsi"/>
          <w:b/>
          <w:sz w:val="20"/>
          <w:u w:val="single"/>
          <w:lang w:val="es-ES_tradnl"/>
        </w:rPr>
      </w:pPr>
    </w:p>
    <w:p w14:paraId="350C0BA4" w14:textId="0E24B145" w:rsidR="00C31392" w:rsidRPr="00EC349E" w:rsidRDefault="00C31392" w:rsidP="00C31392">
      <w:pPr>
        <w:pStyle w:val="Default"/>
        <w:jc w:val="both"/>
        <w:rPr>
          <w:sz w:val="20"/>
          <w:szCs w:val="20"/>
        </w:rPr>
      </w:pPr>
      <w:r w:rsidRPr="00EC349E">
        <w:rPr>
          <w:sz w:val="20"/>
          <w:szCs w:val="20"/>
        </w:rPr>
        <w:t>Los activos y pasivos financieros pueden ser objeto de compensación, es decir, de presentación por un importe neto en el estado de situación financiera, sólo cuando la Entidad cumple con lo establecido en la NIC 32 párrafo 42, y tienen, por lo tanto, el derecho, exigible legalmente, de compensar importes reconocidos, y la intención de liquidar la cantidad neta o de realizar el activo y proceder al pago del pasivo de forma simultánea. Adicionalmente, el Banco es parte de acuerdos que no cumplen con el criterio de compensación pero que permiten la compensación de los activos y pasivos financieros relacionados en determinadas circunstancia</w:t>
      </w:r>
      <w:r w:rsidR="008F2926">
        <w:rPr>
          <w:sz w:val="20"/>
          <w:szCs w:val="20"/>
        </w:rPr>
        <w:t>s</w:t>
      </w:r>
      <w:r w:rsidRPr="00EC349E">
        <w:rPr>
          <w:sz w:val="20"/>
          <w:szCs w:val="20"/>
        </w:rPr>
        <w:t xml:space="preserve"> como por ejemplo un evento de incumplimiento, quiebra o terminación del contrato. </w:t>
      </w:r>
    </w:p>
    <w:p w14:paraId="2A276D3E" w14:textId="77777777" w:rsidR="00C31392" w:rsidRPr="00EC349E" w:rsidRDefault="00C31392" w:rsidP="00C31392">
      <w:pPr>
        <w:jc w:val="both"/>
        <w:rPr>
          <w:rFonts w:ascii="Arial" w:hAnsi="Arial" w:cs="Arial"/>
          <w:sz w:val="20"/>
        </w:rPr>
      </w:pPr>
    </w:p>
    <w:p w14:paraId="4596B51F" w14:textId="43FAF8B9" w:rsidR="00C31392" w:rsidRPr="00EC349E" w:rsidRDefault="00C31392" w:rsidP="00C31392">
      <w:pPr>
        <w:jc w:val="both"/>
        <w:rPr>
          <w:rFonts w:ascii="Arial" w:hAnsi="Arial" w:cs="Arial"/>
          <w:sz w:val="20"/>
        </w:rPr>
      </w:pPr>
      <w:r w:rsidRPr="00EC349E">
        <w:rPr>
          <w:rFonts w:ascii="Arial" w:hAnsi="Arial" w:cs="Arial"/>
          <w:sz w:val="20"/>
        </w:rPr>
        <w:t xml:space="preserve">A continuación se presenta al 31 de diciembre de </w:t>
      </w:r>
      <w:r w:rsidR="008F2926">
        <w:rPr>
          <w:rFonts w:ascii="Arial" w:hAnsi="Arial" w:cs="Arial"/>
          <w:sz w:val="20"/>
        </w:rPr>
        <w:t xml:space="preserve">2019 y </w:t>
      </w:r>
      <w:r w:rsidRPr="00EC349E">
        <w:rPr>
          <w:rFonts w:ascii="Arial" w:hAnsi="Arial" w:cs="Arial"/>
          <w:sz w:val="20"/>
        </w:rPr>
        <w:t>2018</w:t>
      </w:r>
      <w:r w:rsidR="008F2926">
        <w:rPr>
          <w:rFonts w:ascii="Arial" w:hAnsi="Arial" w:cs="Arial"/>
          <w:sz w:val="20"/>
        </w:rPr>
        <w:t xml:space="preserve"> </w:t>
      </w:r>
      <w:r w:rsidRPr="00EC349E">
        <w:rPr>
          <w:rFonts w:ascii="Arial" w:hAnsi="Arial" w:cs="Arial"/>
          <w:sz w:val="20"/>
        </w:rPr>
        <w:t>los activos y pasivos sujetos a derechos contractuales de compensación en el momento de su liquidación:</w:t>
      </w:r>
    </w:p>
    <w:p w14:paraId="41AF38AF" w14:textId="77777777" w:rsidR="00C31392" w:rsidRPr="00EC349E" w:rsidRDefault="00C31392" w:rsidP="00C31392">
      <w:pPr>
        <w:jc w:val="both"/>
        <w:rPr>
          <w:rFonts w:ascii="Arial" w:hAnsi="Arial" w:cs="Arial"/>
          <w:sz w:val="20"/>
        </w:rPr>
      </w:pP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6"/>
        <w:gridCol w:w="998"/>
        <w:gridCol w:w="1211"/>
        <w:gridCol w:w="881"/>
        <w:gridCol w:w="1293"/>
        <w:gridCol w:w="1011"/>
        <w:gridCol w:w="1101"/>
      </w:tblGrid>
      <w:tr w:rsidR="00C31392" w:rsidRPr="006D0DBA" w14:paraId="12969518" w14:textId="77777777" w:rsidTr="00A059FB">
        <w:trPr>
          <w:trHeight w:val="877"/>
        </w:trPr>
        <w:tc>
          <w:tcPr>
            <w:tcW w:w="1343" w:type="pct"/>
            <w:vMerge w:val="restart"/>
            <w:shd w:val="clear" w:color="auto" w:fill="auto"/>
            <w:noWrap/>
            <w:vAlign w:val="center"/>
            <w:hideMark/>
          </w:tcPr>
          <w:p w14:paraId="7A1E63EB" w14:textId="1DAF0A39" w:rsidR="00C31392" w:rsidRPr="00EC349E" w:rsidRDefault="00C31392" w:rsidP="00C31392">
            <w:pPr>
              <w:jc w:val="center"/>
              <w:rPr>
                <w:rFonts w:ascii="Arial" w:hAnsi="Arial" w:cs="Arial"/>
                <w:b/>
                <w:color w:val="000000"/>
                <w:sz w:val="16"/>
                <w:szCs w:val="16"/>
                <w:lang w:val="en-US" w:eastAsia="es-AR"/>
              </w:rPr>
            </w:pPr>
            <w:r w:rsidRPr="00EC349E">
              <w:rPr>
                <w:rFonts w:ascii="Arial" w:hAnsi="Arial" w:cs="Arial"/>
                <w:b/>
                <w:color w:val="000000"/>
                <w:sz w:val="16"/>
                <w:szCs w:val="16"/>
                <w:lang w:val="en-US" w:eastAsia="es-AR"/>
              </w:rPr>
              <w:t>31-12-201</w:t>
            </w:r>
            <w:r w:rsidR="008F2926">
              <w:rPr>
                <w:rFonts w:ascii="Arial" w:hAnsi="Arial" w:cs="Arial"/>
                <w:b/>
                <w:color w:val="000000"/>
                <w:sz w:val="16"/>
                <w:szCs w:val="16"/>
                <w:lang w:val="en-US" w:eastAsia="es-AR"/>
              </w:rPr>
              <w:t>9</w:t>
            </w:r>
          </w:p>
        </w:tc>
        <w:tc>
          <w:tcPr>
            <w:tcW w:w="562" w:type="pct"/>
            <w:vMerge w:val="restart"/>
            <w:shd w:val="clear" w:color="auto" w:fill="auto"/>
            <w:vAlign w:val="center"/>
            <w:hideMark/>
          </w:tcPr>
          <w:p w14:paraId="7AEC201C" w14:textId="77777777" w:rsidR="00C31392" w:rsidRPr="00EC349E" w:rsidRDefault="00C31392" w:rsidP="00C31392">
            <w:pPr>
              <w:jc w:val="center"/>
              <w:rPr>
                <w:rFonts w:ascii="Arial" w:hAnsi="Arial" w:cs="Arial"/>
                <w:b/>
                <w:color w:val="000000"/>
                <w:sz w:val="16"/>
                <w:szCs w:val="16"/>
                <w:lang w:eastAsia="es-AR"/>
              </w:rPr>
            </w:pPr>
            <w:r w:rsidRPr="00EC349E">
              <w:rPr>
                <w:rFonts w:ascii="Arial" w:hAnsi="Arial" w:cs="Arial"/>
                <w:b/>
                <w:color w:val="000000"/>
                <w:sz w:val="16"/>
                <w:szCs w:val="16"/>
                <w:lang w:eastAsia="es-AR"/>
              </w:rPr>
              <w:t>Monto bruto antes de neteo (a)</w:t>
            </w:r>
          </w:p>
        </w:tc>
        <w:tc>
          <w:tcPr>
            <w:tcW w:w="682" w:type="pct"/>
            <w:vMerge w:val="restart"/>
            <w:shd w:val="clear" w:color="auto" w:fill="auto"/>
            <w:vAlign w:val="center"/>
            <w:hideMark/>
          </w:tcPr>
          <w:p w14:paraId="4F98C82F" w14:textId="77777777" w:rsidR="00C31392" w:rsidRPr="00EC349E" w:rsidRDefault="00C31392" w:rsidP="00C31392">
            <w:pPr>
              <w:jc w:val="center"/>
              <w:rPr>
                <w:rFonts w:ascii="Arial" w:hAnsi="Arial" w:cs="Arial"/>
                <w:b/>
                <w:color w:val="000000"/>
                <w:sz w:val="16"/>
                <w:szCs w:val="16"/>
                <w:lang w:val="en-US" w:eastAsia="es-AR"/>
              </w:rPr>
            </w:pPr>
            <w:r w:rsidRPr="00EC349E">
              <w:rPr>
                <w:rFonts w:ascii="Arial" w:hAnsi="Arial" w:cs="Arial"/>
                <w:b/>
                <w:color w:val="000000"/>
                <w:sz w:val="16"/>
                <w:szCs w:val="16"/>
                <w:lang w:val="en-US" w:eastAsia="es-AR"/>
              </w:rPr>
              <w:t>Monto compensado (b)</w:t>
            </w:r>
          </w:p>
        </w:tc>
        <w:tc>
          <w:tcPr>
            <w:tcW w:w="496" w:type="pct"/>
            <w:vMerge w:val="restart"/>
            <w:shd w:val="clear" w:color="auto" w:fill="auto"/>
            <w:vAlign w:val="center"/>
            <w:hideMark/>
          </w:tcPr>
          <w:p w14:paraId="33449036" w14:textId="77777777" w:rsidR="00C31392" w:rsidRPr="00EC349E" w:rsidRDefault="00C31392" w:rsidP="00C31392">
            <w:pPr>
              <w:jc w:val="center"/>
              <w:rPr>
                <w:rFonts w:ascii="Arial" w:hAnsi="Arial" w:cs="Arial"/>
                <w:b/>
                <w:color w:val="000000"/>
                <w:sz w:val="16"/>
                <w:szCs w:val="16"/>
                <w:lang w:eastAsia="es-AR"/>
              </w:rPr>
            </w:pPr>
            <w:r w:rsidRPr="00EC349E">
              <w:rPr>
                <w:rFonts w:ascii="Arial" w:hAnsi="Arial" w:cs="Arial"/>
                <w:b/>
                <w:color w:val="000000"/>
                <w:sz w:val="16"/>
                <w:szCs w:val="16"/>
                <w:lang w:eastAsia="es-AR"/>
              </w:rPr>
              <w:t>Neto en Estados Financieros (c)=(a)-(b)</w:t>
            </w:r>
          </w:p>
        </w:tc>
        <w:tc>
          <w:tcPr>
            <w:tcW w:w="1297" w:type="pct"/>
            <w:gridSpan w:val="2"/>
            <w:shd w:val="clear" w:color="auto" w:fill="auto"/>
            <w:vAlign w:val="center"/>
            <w:hideMark/>
          </w:tcPr>
          <w:p w14:paraId="685D38FD" w14:textId="77777777" w:rsidR="00C31392" w:rsidRPr="00EC349E" w:rsidRDefault="00C31392" w:rsidP="00C31392">
            <w:pPr>
              <w:jc w:val="center"/>
              <w:rPr>
                <w:rFonts w:ascii="Arial" w:hAnsi="Arial" w:cs="Arial"/>
                <w:b/>
                <w:color w:val="000000"/>
                <w:sz w:val="16"/>
                <w:szCs w:val="16"/>
                <w:lang w:eastAsia="es-AR"/>
              </w:rPr>
            </w:pPr>
            <w:r w:rsidRPr="00EC349E">
              <w:rPr>
                <w:rFonts w:ascii="Arial" w:hAnsi="Arial" w:cs="Arial"/>
                <w:b/>
                <w:color w:val="000000"/>
                <w:sz w:val="16"/>
                <w:szCs w:val="16"/>
                <w:lang w:eastAsia="es-AR"/>
              </w:rPr>
              <w:t>Montos sujetos a acuerdos de neteo no compensados en los Estados Financieros</w:t>
            </w:r>
          </w:p>
        </w:tc>
        <w:tc>
          <w:tcPr>
            <w:tcW w:w="620" w:type="pct"/>
            <w:vMerge w:val="restart"/>
            <w:shd w:val="clear" w:color="auto" w:fill="auto"/>
            <w:vAlign w:val="center"/>
            <w:hideMark/>
          </w:tcPr>
          <w:p w14:paraId="5B6025CA" w14:textId="77777777" w:rsidR="00C31392" w:rsidRPr="00EC349E" w:rsidRDefault="00C31392" w:rsidP="00C31392">
            <w:pPr>
              <w:jc w:val="center"/>
              <w:rPr>
                <w:rFonts w:ascii="Arial" w:hAnsi="Arial" w:cs="Arial"/>
                <w:b/>
                <w:color w:val="000000"/>
                <w:sz w:val="16"/>
                <w:szCs w:val="16"/>
                <w:lang w:eastAsia="es-AR"/>
              </w:rPr>
            </w:pPr>
            <w:r w:rsidRPr="00EC349E">
              <w:rPr>
                <w:rFonts w:ascii="Arial" w:hAnsi="Arial" w:cs="Arial"/>
                <w:b/>
                <w:color w:val="000000"/>
                <w:sz w:val="16"/>
                <w:szCs w:val="16"/>
                <w:lang w:eastAsia="es-AR"/>
              </w:rPr>
              <w:t xml:space="preserve">Monto neto total </w:t>
            </w:r>
          </w:p>
        </w:tc>
      </w:tr>
      <w:tr w:rsidR="00C31392" w:rsidRPr="006D0DBA" w14:paraId="62D2E934" w14:textId="77777777" w:rsidTr="00A059FB">
        <w:trPr>
          <w:trHeight w:val="1103"/>
        </w:trPr>
        <w:tc>
          <w:tcPr>
            <w:tcW w:w="1343" w:type="pct"/>
            <w:vMerge/>
            <w:shd w:val="clear" w:color="auto" w:fill="auto"/>
            <w:noWrap/>
            <w:vAlign w:val="bottom"/>
          </w:tcPr>
          <w:p w14:paraId="35E283F9" w14:textId="77777777" w:rsidR="00C31392" w:rsidRPr="00EC349E" w:rsidRDefault="00C31392" w:rsidP="00C31392">
            <w:pPr>
              <w:rPr>
                <w:rFonts w:ascii="Arial" w:hAnsi="Arial" w:cs="Arial"/>
                <w:sz w:val="16"/>
                <w:szCs w:val="16"/>
              </w:rPr>
            </w:pPr>
          </w:p>
        </w:tc>
        <w:tc>
          <w:tcPr>
            <w:tcW w:w="562" w:type="pct"/>
            <w:vMerge/>
            <w:shd w:val="clear" w:color="auto" w:fill="auto"/>
            <w:vAlign w:val="center"/>
          </w:tcPr>
          <w:p w14:paraId="4DEDC185" w14:textId="77777777" w:rsidR="00C31392" w:rsidRPr="00EC349E" w:rsidRDefault="00C31392" w:rsidP="00C31392">
            <w:pPr>
              <w:jc w:val="center"/>
              <w:rPr>
                <w:rFonts w:ascii="Arial" w:hAnsi="Arial" w:cs="Arial"/>
                <w:color w:val="000000"/>
                <w:sz w:val="16"/>
                <w:szCs w:val="16"/>
              </w:rPr>
            </w:pPr>
          </w:p>
        </w:tc>
        <w:tc>
          <w:tcPr>
            <w:tcW w:w="682" w:type="pct"/>
            <w:vMerge/>
            <w:shd w:val="clear" w:color="auto" w:fill="auto"/>
            <w:vAlign w:val="center"/>
          </w:tcPr>
          <w:p w14:paraId="3525F1E5" w14:textId="77777777" w:rsidR="00C31392" w:rsidRPr="00EC349E" w:rsidRDefault="00C31392" w:rsidP="00C31392">
            <w:pPr>
              <w:jc w:val="center"/>
              <w:rPr>
                <w:rFonts w:ascii="Arial" w:hAnsi="Arial" w:cs="Arial"/>
                <w:color w:val="000000"/>
                <w:sz w:val="16"/>
                <w:szCs w:val="16"/>
              </w:rPr>
            </w:pPr>
          </w:p>
        </w:tc>
        <w:tc>
          <w:tcPr>
            <w:tcW w:w="496" w:type="pct"/>
            <w:vMerge/>
            <w:shd w:val="clear" w:color="auto" w:fill="auto"/>
            <w:vAlign w:val="center"/>
          </w:tcPr>
          <w:p w14:paraId="0BBDAB39" w14:textId="77777777" w:rsidR="00C31392" w:rsidRPr="00EC349E" w:rsidRDefault="00C31392" w:rsidP="00C31392">
            <w:pPr>
              <w:jc w:val="center"/>
              <w:rPr>
                <w:rFonts w:ascii="Arial" w:hAnsi="Arial" w:cs="Arial"/>
                <w:color w:val="000000"/>
                <w:sz w:val="16"/>
                <w:szCs w:val="16"/>
              </w:rPr>
            </w:pPr>
          </w:p>
        </w:tc>
        <w:tc>
          <w:tcPr>
            <w:tcW w:w="728" w:type="pct"/>
            <w:shd w:val="clear" w:color="auto" w:fill="auto"/>
            <w:vAlign w:val="center"/>
          </w:tcPr>
          <w:p w14:paraId="065E52B2" w14:textId="77777777" w:rsidR="00C31392" w:rsidRPr="00EC349E" w:rsidRDefault="00C31392" w:rsidP="00C31392">
            <w:pPr>
              <w:jc w:val="center"/>
              <w:rPr>
                <w:rFonts w:ascii="Arial" w:hAnsi="Arial" w:cs="Arial"/>
                <w:b/>
                <w:color w:val="000000"/>
                <w:sz w:val="16"/>
                <w:szCs w:val="16"/>
              </w:rPr>
            </w:pPr>
            <w:r w:rsidRPr="00EC349E">
              <w:rPr>
                <w:rFonts w:ascii="Arial" w:hAnsi="Arial" w:cs="Arial"/>
                <w:b/>
                <w:color w:val="000000"/>
                <w:sz w:val="16"/>
                <w:szCs w:val="16"/>
              </w:rPr>
              <w:t>Importe relativo a instrumentos financieros reconocidos</w:t>
            </w:r>
          </w:p>
        </w:tc>
        <w:tc>
          <w:tcPr>
            <w:tcW w:w="567" w:type="pct"/>
            <w:shd w:val="clear" w:color="auto" w:fill="auto"/>
            <w:vAlign w:val="center"/>
          </w:tcPr>
          <w:p w14:paraId="6B9737D9" w14:textId="77777777" w:rsidR="00C31392" w:rsidRPr="00EC349E" w:rsidRDefault="00C31392" w:rsidP="00C31392">
            <w:pPr>
              <w:jc w:val="center"/>
              <w:rPr>
                <w:rFonts w:ascii="Arial" w:hAnsi="Arial" w:cs="Arial"/>
                <w:b/>
                <w:color w:val="000000"/>
                <w:sz w:val="16"/>
                <w:szCs w:val="16"/>
                <w:lang w:val="en-US"/>
              </w:rPr>
            </w:pPr>
            <w:r w:rsidRPr="00EC349E">
              <w:rPr>
                <w:rFonts w:ascii="Arial" w:hAnsi="Arial" w:cs="Arial"/>
                <w:b/>
                <w:color w:val="000000"/>
                <w:sz w:val="16"/>
                <w:szCs w:val="16"/>
                <w:lang w:val="en-US"/>
              </w:rPr>
              <w:t xml:space="preserve">Garantias </w:t>
            </w:r>
          </w:p>
        </w:tc>
        <w:tc>
          <w:tcPr>
            <w:tcW w:w="620" w:type="pct"/>
            <w:vMerge/>
            <w:shd w:val="clear" w:color="auto" w:fill="auto"/>
            <w:vAlign w:val="center"/>
          </w:tcPr>
          <w:p w14:paraId="23468116" w14:textId="77777777" w:rsidR="00C31392" w:rsidRPr="00EC349E" w:rsidRDefault="00C31392" w:rsidP="00C31392">
            <w:pPr>
              <w:jc w:val="center"/>
              <w:rPr>
                <w:rFonts w:ascii="Arial" w:hAnsi="Arial" w:cs="Arial"/>
                <w:color w:val="000000"/>
                <w:sz w:val="16"/>
                <w:szCs w:val="16"/>
                <w:lang w:val="en-US"/>
              </w:rPr>
            </w:pPr>
          </w:p>
        </w:tc>
      </w:tr>
      <w:tr w:rsidR="00C31392" w:rsidRPr="006D0DBA" w14:paraId="5A154586" w14:textId="77777777" w:rsidTr="00A059FB">
        <w:trPr>
          <w:trHeight w:val="473"/>
        </w:trPr>
        <w:tc>
          <w:tcPr>
            <w:tcW w:w="1343" w:type="pct"/>
            <w:shd w:val="clear" w:color="auto" w:fill="auto"/>
            <w:noWrap/>
            <w:vAlign w:val="bottom"/>
          </w:tcPr>
          <w:p w14:paraId="50496348" w14:textId="77777777" w:rsidR="00C31392" w:rsidRPr="006D0DBA" w:rsidRDefault="00C31392" w:rsidP="00C31392">
            <w:pPr>
              <w:rPr>
                <w:rFonts w:ascii="Arial" w:hAnsi="Arial" w:cs="Arial"/>
                <w:color w:val="000000"/>
                <w:sz w:val="16"/>
                <w:szCs w:val="16"/>
              </w:rPr>
            </w:pPr>
            <w:r w:rsidRPr="006D0DBA">
              <w:rPr>
                <w:rFonts w:ascii="Arial" w:hAnsi="Arial" w:cs="Arial"/>
                <w:color w:val="000000"/>
                <w:sz w:val="16"/>
                <w:szCs w:val="16"/>
              </w:rPr>
              <w:t>Deudas con comercios por consumos de nuestros clientes con tarjeta de crédito</w:t>
            </w:r>
          </w:p>
        </w:tc>
        <w:tc>
          <w:tcPr>
            <w:tcW w:w="562" w:type="pct"/>
            <w:shd w:val="clear" w:color="auto" w:fill="auto"/>
            <w:noWrap/>
            <w:vAlign w:val="bottom"/>
            <w:hideMark/>
          </w:tcPr>
          <w:p w14:paraId="2A729082" w14:textId="77777777" w:rsidR="00C31392" w:rsidRPr="00EC349E" w:rsidRDefault="00C31392" w:rsidP="00C31392">
            <w:pPr>
              <w:jc w:val="right"/>
              <w:rPr>
                <w:rFonts w:ascii="Arial" w:hAnsi="Arial" w:cs="Arial"/>
                <w:color w:val="000000"/>
                <w:sz w:val="16"/>
                <w:szCs w:val="16"/>
              </w:rPr>
            </w:pPr>
            <w:r w:rsidRPr="00EC349E">
              <w:rPr>
                <w:rFonts w:ascii="Arial" w:hAnsi="Arial" w:cs="Arial"/>
                <w:color w:val="000000"/>
                <w:sz w:val="16"/>
                <w:szCs w:val="16"/>
              </w:rPr>
              <w:t>-</w:t>
            </w:r>
          </w:p>
        </w:tc>
        <w:tc>
          <w:tcPr>
            <w:tcW w:w="682" w:type="pct"/>
            <w:shd w:val="clear" w:color="auto" w:fill="auto"/>
            <w:noWrap/>
            <w:vAlign w:val="bottom"/>
            <w:hideMark/>
          </w:tcPr>
          <w:p w14:paraId="081E8C6B" w14:textId="77777777" w:rsidR="00C31392" w:rsidRPr="006D0DBA" w:rsidRDefault="00C31392" w:rsidP="00C31392">
            <w:pPr>
              <w:jc w:val="right"/>
              <w:rPr>
                <w:rFonts w:ascii="Arial" w:hAnsi="Arial" w:cs="Arial"/>
                <w:color w:val="000000"/>
                <w:sz w:val="16"/>
                <w:szCs w:val="16"/>
              </w:rPr>
            </w:pPr>
            <w:r w:rsidRPr="006D0DBA">
              <w:rPr>
                <w:rFonts w:ascii="Arial" w:eastAsiaTheme="minorHAnsi" w:hAnsi="Arial" w:cs="Arial"/>
                <w:color w:val="000000"/>
                <w:sz w:val="16"/>
                <w:szCs w:val="16"/>
              </w:rPr>
              <w:t>-</w:t>
            </w:r>
          </w:p>
        </w:tc>
        <w:tc>
          <w:tcPr>
            <w:tcW w:w="496" w:type="pct"/>
            <w:shd w:val="clear" w:color="auto" w:fill="auto"/>
            <w:noWrap/>
            <w:vAlign w:val="bottom"/>
            <w:hideMark/>
          </w:tcPr>
          <w:p w14:paraId="16FD9966" w14:textId="77777777" w:rsidR="00C31392" w:rsidRPr="006D0DBA" w:rsidRDefault="00C31392" w:rsidP="00C31392">
            <w:pPr>
              <w:jc w:val="right"/>
              <w:rPr>
                <w:rFonts w:ascii="Arial" w:hAnsi="Arial" w:cs="Arial"/>
                <w:color w:val="000000"/>
                <w:sz w:val="16"/>
                <w:szCs w:val="16"/>
              </w:rPr>
            </w:pPr>
            <w:r w:rsidRPr="006D0DBA">
              <w:rPr>
                <w:rFonts w:ascii="Arial" w:eastAsiaTheme="minorHAnsi" w:hAnsi="Arial" w:cs="Arial"/>
                <w:color w:val="000000"/>
                <w:sz w:val="16"/>
                <w:szCs w:val="16"/>
              </w:rPr>
              <w:t>-</w:t>
            </w:r>
          </w:p>
        </w:tc>
        <w:tc>
          <w:tcPr>
            <w:tcW w:w="728" w:type="pct"/>
            <w:shd w:val="clear" w:color="auto" w:fill="auto"/>
            <w:noWrap/>
            <w:vAlign w:val="bottom"/>
          </w:tcPr>
          <w:p w14:paraId="19F29E32" w14:textId="01403EA8" w:rsidR="00C31392" w:rsidRPr="006D0DBA" w:rsidRDefault="005403CE" w:rsidP="00C31392">
            <w:pPr>
              <w:jc w:val="right"/>
              <w:rPr>
                <w:rFonts w:ascii="Arial" w:hAnsi="Arial" w:cs="Arial"/>
                <w:color w:val="000000"/>
                <w:sz w:val="16"/>
                <w:szCs w:val="16"/>
              </w:rPr>
            </w:pPr>
            <w:r>
              <w:rPr>
                <w:rFonts w:ascii="Arial" w:hAnsi="Arial" w:cs="Arial"/>
                <w:color w:val="000000"/>
                <w:sz w:val="16"/>
                <w:szCs w:val="16"/>
              </w:rPr>
              <w:t>(</w:t>
            </w:r>
            <w:r w:rsidRPr="005403CE">
              <w:rPr>
                <w:rFonts w:ascii="Arial" w:hAnsi="Arial" w:cs="Arial"/>
                <w:color w:val="000000"/>
                <w:sz w:val="16"/>
                <w:szCs w:val="16"/>
              </w:rPr>
              <w:t>2.288.756</w:t>
            </w:r>
            <w:r>
              <w:rPr>
                <w:rFonts w:ascii="Arial" w:hAnsi="Arial" w:cs="Arial"/>
                <w:color w:val="000000"/>
                <w:sz w:val="16"/>
                <w:szCs w:val="16"/>
              </w:rPr>
              <w:t>)</w:t>
            </w:r>
          </w:p>
        </w:tc>
        <w:tc>
          <w:tcPr>
            <w:tcW w:w="567" w:type="pct"/>
            <w:shd w:val="clear" w:color="auto" w:fill="auto"/>
            <w:noWrap/>
            <w:vAlign w:val="bottom"/>
          </w:tcPr>
          <w:p w14:paraId="0BABAA3A" w14:textId="18C1CB92" w:rsidR="00C31392" w:rsidRPr="006D0DBA" w:rsidRDefault="005403CE" w:rsidP="00C31392">
            <w:pPr>
              <w:jc w:val="right"/>
              <w:rPr>
                <w:rFonts w:ascii="Arial" w:hAnsi="Arial" w:cs="Arial"/>
                <w:color w:val="000000"/>
                <w:sz w:val="16"/>
                <w:szCs w:val="16"/>
              </w:rPr>
            </w:pPr>
            <w:r w:rsidRPr="005403CE">
              <w:rPr>
                <w:rFonts w:ascii="Arial" w:hAnsi="Arial" w:cs="Arial"/>
                <w:color w:val="000000"/>
                <w:sz w:val="16"/>
                <w:szCs w:val="16"/>
              </w:rPr>
              <w:t>607.592</w:t>
            </w:r>
          </w:p>
        </w:tc>
        <w:tc>
          <w:tcPr>
            <w:tcW w:w="620" w:type="pct"/>
            <w:shd w:val="clear" w:color="auto" w:fill="auto"/>
            <w:noWrap/>
            <w:vAlign w:val="bottom"/>
          </w:tcPr>
          <w:p w14:paraId="53AE202D" w14:textId="64F879C7" w:rsidR="00C31392" w:rsidRPr="006D0DBA" w:rsidRDefault="005403CE" w:rsidP="00C31392">
            <w:pPr>
              <w:jc w:val="right"/>
              <w:rPr>
                <w:rFonts w:ascii="Arial" w:hAnsi="Arial" w:cs="Arial"/>
                <w:color w:val="000000"/>
                <w:sz w:val="16"/>
                <w:szCs w:val="16"/>
              </w:rPr>
            </w:pPr>
            <w:r>
              <w:rPr>
                <w:rFonts w:ascii="Arial" w:hAnsi="Arial" w:cs="Arial"/>
                <w:color w:val="000000"/>
                <w:sz w:val="16"/>
                <w:szCs w:val="16"/>
              </w:rPr>
              <w:t>(</w:t>
            </w:r>
            <w:r w:rsidRPr="005403CE">
              <w:rPr>
                <w:rFonts w:ascii="Arial" w:hAnsi="Arial" w:cs="Arial"/>
                <w:color w:val="000000"/>
                <w:sz w:val="16"/>
                <w:szCs w:val="16"/>
              </w:rPr>
              <w:t>1.681.16</w:t>
            </w:r>
            <w:r w:rsidR="00991C8D">
              <w:rPr>
                <w:rFonts w:ascii="Arial" w:hAnsi="Arial" w:cs="Arial"/>
                <w:color w:val="000000"/>
                <w:sz w:val="16"/>
                <w:szCs w:val="16"/>
              </w:rPr>
              <w:t>4</w:t>
            </w:r>
            <w:r>
              <w:rPr>
                <w:rFonts w:ascii="Arial" w:hAnsi="Arial" w:cs="Arial"/>
                <w:color w:val="000000"/>
                <w:sz w:val="16"/>
                <w:szCs w:val="16"/>
              </w:rPr>
              <w:t>)</w:t>
            </w:r>
          </w:p>
        </w:tc>
      </w:tr>
      <w:tr w:rsidR="008B109C" w:rsidRPr="006D0DBA" w14:paraId="3F22A97C" w14:textId="77777777" w:rsidTr="00A059FB">
        <w:trPr>
          <w:trHeight w:val="283"/>
        </w:trPr>
        <w:tc>
          <w:tcPr>
            <w:tcW w:w="1343" w:type="pct"/>
            <w:shd w:val="clear" w:color="auto" w:fill="auto"/>
            <w:noWrap/>
            <w:vAlign w:val="bottom"/>
          </w:tcPr>
          <w:p w14:paraId="1AE4F5C8" w14:textId="7224DA31" w:rsidR="008B109C" w:rsidRPr="006D0DBA" w:rsidRDefault="008B109C">
            <w:pPr>
              <w:rPr>
                <w:rFonts w:ascii="Arial" w:hAnsi="Arial" w:cs="Arial"/>
                <w:color w:val="000000"/>
                <w:sz w:val="16"/>
                <w:szCs w:val="16"/>
              </w:rPr>
            </w:pPr>
            <w:r>
              <w:rPr>
                <w:rFonts w:ascii="Arial" w:hAnsi="Arial" w:cs="Arial"/>
                <w:color w:val="000000"/>
                <w:sz w:val="16"/>
                <w:szCs w:val="16"/>
              </w:rPr>
              <w:t>Instrumentos derivados</w:t>
            </w:r>
          </w:p>
        </w:tc>
        <w:tc>
          <w:tcPr>
            <w:tcW w:w="562" w:type="pct"/>
            <w:shd w:val="clear" w:color="auto" w:fill="auto"/>
            <w:noWrap/>
            <w:vAlign w:val="center"/>
          </w:tcPr>
          <w:p w14:paraId="5CB5B958" w14:textId="10E69D4B" w:rsidR="008B109C" w:rsidRPr="00EC349E" w:rsidRDefault="008B109C">
            <w:pPr>
              <w:jc w:val="right"/>
              <w:rPr>
                <w:rFonts w:ascii="Arial" w:hAnsi="Arial" w:cs="Arial"/>
                <w:color w:val="000000"/>
                <w:sz w:val="16"/>
                <w:szCs w:val="16"/>
              </w:rPr>
            </w:pPr>
            <w:r>
              <w:rPr>
                <w:rFonts w:ascii="Arial" w:hAnsi="Arial" w:cs="Arial"/>
                <w:color w:val="000000"/>
                <w:sz w:val="16"/>
                <w:szCs w:val="16"/>
              </w:rPr>
              <w:t>310.969</w:t>
            </w:r>
          </w:p>
        </w:tc>
        <w:tc>
          <w:tcPr>
            <w:tcW w:w="682" w:type="pct"/>
            <w:shd w:val="clear" w:color="auto" w:fill="auto"/>
            <w:noWrap/>
            <w:vAlign w:val="center"/>
          </w:tcPr>
          <w:p w14:paraId="42944DF2" w14:textId="5229BD1F" w:rsidR="008B109C" w:rsidRPr="006D0DBA" w:rsidRDefault="00991C8D">
            <w:pPr>
              <w:jc w:val="right"/>
              <w:rPr>
                <w:rFonts w:ascii="Arial" w:eastAsiaTheme="minorHAnsi" w:hAnsi="Arial" w:cs="Arial"/>
                <w:color w:val="000000"/>
                <w:sz w:val="16"/>
                <w:szCs w:val="16"/>
              </w:rPr>
            </w:pPr>
            <w:r>
              <w:rPr>
                <w:rFonts w:ascii="Arial" w:hAnsi="Arial" w:cs="Arial"/>
                <w:color w:val="000000"/>
                <w:sz w:val="16"/>
                <w:szCs w:val="16"/>
              </w:rPr>
              <w:t>(</w:t>
            </w:r>
            <w:r w:rsidR="008B109C">
              <w:rPr>
                <w:rFonts w:ascii="Arial" w:hAnsi="Arial" w:cs="Arial"/>
                <w:color w:val="000000"/>
                <w:sz w:val="16"/>
                <w:szCs w:val="16"/>
              </w:rPr>
              <w:t>53.38</w:t>
            </w:r>
            <w:r w:rsidR="00407C44">
              <w:rPr>
                <w:rFonts w:ascii="Arial" w:hAnsi="Arial" w:cs="Arial"/>
                <w:color w:val="000000"/>
                <w:sz w:val="16"/>
                <w:szCs w:val="16"/>
              </w:rPr>
              <w:t>2</w:t>
            </w:r>
            <w:r>
              <w:rPr>
                <w:rFonts w:ascii="Arial" w:hAnsi="Arial" w:cs="Arial"/>
                <w:color w:val="000000"/>
                <w:sz w:val="16"/>
                <w:szCs w:val="16"/>
              </w:rPr>
              <w:t>)</w:t>
            </w:r>
          </w:p>
        </w:tc>
        <w:tc>
          <w:tcPr>
            <w:tcW w:w="496" w:type="pct"/>
            <w:shd w:val="clear" w:color="auto" w:fill="auto"/>
            <w:noWrap/>
            <w:vAlign w:val="center"/>
          </w:tcPr>
          <w:p w14:paraId="4E7F02BF" w14:textId="11819E5B" w:rsidR="008B109C" w:rsidRPr="006D0DBA" w:rsidRDefault="008B109C">
            <w:pPr>
              <w:jc w:val="right"/>
              <w:rPr>
                <w:rFonts w:ascii="Arial" w:eastAsiaTheme="minorHAnsi" w:hAnsi="Arial" w:cs="Arial"/>
                <w:color w:val="000000"/>
                <w:sz w:val="16"/>
                <w:szCs w:val="16"/>
              </w:rPr>
            </w:pPr>
            <w:r>
              <w:rPr>
                <w:rFonts w:ascii="Arial" w:hAnsi="Arial" w:cs="Arial"/>
                <w:color w:val="000000"/>
                <w:sz w:val="16"/>
                <w:szCs w:val="16"/>
              </w:rPr>
              <w:t>257.587</w:t>
            </w:r>
          </w:p>
        </w:tc>
        <w:tc>
          <w:tcPr>
            <w:tcW w:w="728" w:type="pct"/>
            <w:shd w:val="clear" w:color="auto" w:fill="auto"/>
            <w:noWrap/>
            <w:vAlign w:val="center"/>
          </w:tcPr>
          <w:p w14:paraId="79993E50" w14:textId="2ECAA67A" w:rsidR="008B109C" w:rsidRDefault="008B109C">
            <w:pPr>
              <w:jc w:val="right"/>
              <w:rPr>
                <w:rFonts w:ascii="Arial" w:hAnsi="Arial" w:cs="Arial"/>
                <w:color w:val="000000"/>
                <w:sz w:val="16"/>
                <w:szCs w:val="16"/>
              </w:rPr>
            </w:pPr>
            <w:r>
              <w:rPr>
                <w:rFonts w:ascii="Arial" w:hAnsi="Arial" w:cs="Arial"/>
                <w:color w:val="000000"/>
                <w:sz w:val="16"/>
                <w:szCs w:val="16"/>
              </w:rPr>
              <w:t>-</w:t>
            </w:r>
          </w:p>
        </w:tc>
        <w:tc>
          <w:tcPr>
            <w:tcW w:w="567" w:type="pct"/>
            <w:shd w:val="clear" w:color="auto" w:fill="auto"/>
            <w:noWrap/>
            <w:vAlign w:val="center"/>
          </w:tcPr>
          <w:p w14:paraId="06F8769B" w14:textId="473870A7" w:rsidR="008B109C" w:rsidRPr="005403CE" w:rsidRDefault="008B109C">
            <w:pPr>
              <w:jc w:val="right"/>
              <w:rPr>
                <w:rFonts w:ascii="Arial" w:hAnsi="Arial" w:cs="Arial"/>
                <w:color w:val="000000"/>
                <w:sz w:val="16"/>
                <w:szCs w:val="16"/>
              </w:rPr>
            </w:pPr>
            <w:r>
              <w:rPr>
                <w:rFonts w:ascii="Arial" w:hAnsi="Arial" w:cs="Arial"/>
                <w:color w:val="000000"/>
                <w:sz w:val="16"/>
                <w:szCs w:val="16"/>
              </w:rPr>
              <w:t>-</w:t>
            </w:r>
          </w:p>
        </w:tc>
        <w:tc>
          <w:tcPr>
            <w:tcW w:w="620" w:type="pct"/>
            <w:shd w:val="clear" w:color="auto" w:fill="auto"/>
            <w:noWrap/>
            <w:vAlign w:val="center"/>
          </w:tcPr>
          <w:p w14:paraId="04EACF63" w14:textId="3F3F0496" w:rsidR="008B109C" w:rsidRDefault="008B109C">
            <w:pPr>
              <w:jc w:val="right"/>
              <w:rPr>
                <w:rFonts w:ascii="Arial" w:hAnsi="Arial" w:cs="Arial"/>
                <w:color w:val="000000"/>
                <w:sz w:val="16"/>
                <w:szCs w:val="16"/>
              </w:rPr>
            </w:pPr>
            <w:r>
              <w:rPr>
                <w:rFonts w:ascii="Arial" w:hAnsi="Arial" w:cs="Arial"/>
                <w:color w:val="000000"/>
                <w:sz w:val="16"/>
                <w:szCs w:val="16"/>
              </w:rPr>
              <w:t>-</w:t>
            </w:r>
          </w:p>
        </w:tc>
      </w:tr>
      <w:tr w:rsidR="008B109C" w:rsidRPr="006D0DBA" w14:paraId="7CC2EF4A" w14:textId="77777777" w:rsidTr="00A059FB">
        <w:trPr>
          <w:trHeight w:val="177"/>
        </w:trPr>
        <w:tc>
          <w:tcPr>
            <w:tcW w:w="1343" w:type="pct"/>
            <w:shd w:val="clear" w:color="auto" w:fill="auto"/>
            <w:noWrap/>
            <w:vAlign w:val="center"/>
          </w:tcPr>
          <w:p w14:paraId="7D190416" w14:textId="3150B383" w:rsidR="008B109C" w:rsidRPr="006D0DBA" w:rsidRDefault="008B109C" w:rsidP="008B109C">
            <w:pPr>
              <w:rPr>
                <w:rFonts w:ascii="Arial" w:hAnsi="Arial" w:cs="Arial"/>
                <w:b/>
                <w:color w:val="000000"/>
                <w:sz w:val="16"/>
                <w:szCs w:val="16"/>
              </w:rPr>
            </w:pPr>
            <w:r>
              <w:rPr>
                <w:rFonts w:ascii="Arial" w:hAnsi="Arial" w:cs="Arial"/>
                <w:b/>
                <w:bCs/>
                <w:color w:val="000000"/>
                <w:sz w:val="16"/>
                <w:szCs w:val="16"/>
              </w:rPr>
              <w:t>Total</w:t>
            </w:r>
          </w:p>
        </w:tc>
        <w:tc>
          <w:tcPr>
            <w:tcW w:w="562" w:type="pct"/>
            <w:shd w:val="clear" w:color="auto" w:fill="auto"/>
            <w:noWrap/>
            <w:vAlign w:val="center"/>
          </w:tcPr>
          <w:p w14:paraId="43BEBB19" w14:textId="000378D8" w:rsidR="008B109C" w:rsidRPr="005403CE" w:rsidRDefault="008B109C" w:rsidP="008B109C">
            <w:pPr>
              <w:jc w:val="right"/>
              <w:rPr>
                <w:rFonts w:ascii="Arial" w:hAnsi="Arial" w:cs="Arial"/>
                <w:b/>
                <w:color w:val="000000"/>
                <w:sz w:val="16"/>
                <w:szCs w:val="16"/>
              </w:rPr>
            </w:pPr>
            <w:r>
              <w:rPr>
                <w:rFonts w:ascii="Arial" w:hAnsi="Arial" w:cs="Arial"/>
                <w:b/>
                <w:bCs/>
                <w:color w:val="000000"/>
                <w:sz w:val="16"/>
                <w:szCs w:val="16"/>
              </w:rPr>
              <w:t>310.969</w:t>
            </w:r>
          </w:p>
        </w:tc>
        <w:tc>
          <w:tcPr>
            <w:tcW w:w="682" w:type="pct"/>
            <w:shd w:val="clear" w:color="auto" w:fill="auto"/>
            <w:noWrap/>
            <w:vAlign w:val="center"/>
          </w:tcPr>
          <w:p w14:paraId="071C98B5" w14:textId="60A272F5" w:rsidR="008B109C" w:rsidRPr="005403CE" w:rsidRDefault="00991C8D" w:rsidP="008B109C">
            <w:pPr>
              <w:jc w:val="right"/>
              <w:rPr>
                <w:rFonts w:ascii="Arial" w:hAnsi="Arial" w:cs="Arial"/>
                <w:b/>
                <w:color w:val="000000"/>
                <w:sz w:val="16"/>
                <w:szCs w:val="16"/>
              </w:rPr>
            </w:pPr>
            <w:r>
              <w:rPr>
                <w:rFonts w:ascii="Arial" w:hAnsi="Arial" w:cs="Arial"/>
                <w:b/>
                <w:bCs/>
                <w:color w:val="000000"/>
                <w:sz w:val="16"/>
                <w:szCs w:val="16"/>
              </w:rPr>
              <w:t>(</w:t>
            </w:r>
            <w:r w:rsidR="008B109C">
              <w:rPr>
                <w:rFonts w:ascii="Arial" w:hAnsi="Arial" w:cs="Arial"/>
                <w:b/>
                <w:bCs/>
                <w:color w:val="000000"/>
                <w:sz w:val="16"/>
                <w:szCs w:val="16"/>
              </w:rPr>
              <w:t>53.38</w:t>
            </w:r>
            <w:r w:rsidR="00407C44">
              <w:rPr>
                <w:rFonts w:ascii="Arial" w:hAnsi="Arial" w:cs="Arial"/>
                <w:b/>
                <w:bCs/>
                <w:color w:val="000000"/>
                <w:sz w:val="16"/>
                <w:szCs w:val="16"/>
              </w:rPr>
              <w:t>2</w:t>
            </w:r>
            <w:r>
              <w:rPr>
                <w:rFonts w:ascii="Arial" w:hAnsi="Arial" w:cs="Arial"/>
                <w:b/>
                <w:bCs/>
                <w:color w:val="000000"/>
                <w:sz w:val="16"/>
                <w:szCs w:val="16"/>
              </w:rPr>
              <w:t>)</w:t>
            </w:r>
          </w:p>
        </w:tc>
        <w:tc>
          <w:tcPr>
            <w:tcW w:w="496" w:type="pct"/>
            <w:shd w:val="clear" w:color="auto" w:fill="auto"/>
            <w:noWrap/>
            <w:vAlign w:val="center"/>
          </w:tcPr>
          <w:p w14:paraId="6F1B1D6F" w14:textId="42BE393D" w:rsidR="008B109C" w:rsidRPr="005403CE" w:rsidRDefault="008B109C" w:rsidP="008B109C">
            <w:pPr>
              <w:jc w:val="right"/>
              <w:rPr>
                <w:rFonts w:ascii="Arial" w:hAnsi="Arial" w:cs="Arial"/>
                <w:b/>
                <w:color w:val="000000"/>
                <w:sz w:val="16"/>
                <w:szCs w:val="16"/>
              </w:rPr>
            </w:pPr>
            <w:r>
              <w:rPr>
                <w:rFonts w:ascii="Arial" w:hAnsi="Arial" w:cs="Arial"/>
                <w:b/>
                <w:bCs/>
                <w:color w:val="000000"/>
                <w:sz w:val="16"/>
                <w:szCs w:val="16"/>
              </w:rPr>
              <w:t>257.587</w:t>
            </w:r>
          </w:p>
        </w:tc>
        <w:tc>
          <w:tcPr>
            <w:tcW w:w="728" w:type="pct"/>
            <w:shd w:val="clear" w:color="auto" w:fill="auto"/>
            <w:noWrap/>
            <w:vAlign w:val="center"/>
          </w:tcPr>
          <w:p w14:paraId="7E4528AD" w14:textId="16A6AB9F" w:rsidR="008B109C" w:rsidRPr="005403CE" w:rsidRDefault="008B109C" w:rsidP="008B109C">
            <w:pPr>
              <w:jc w:val="right"/>
              <w:rPr>
                <w:rFonts w:ascii="Arial" w:hAnsi="Arial" w:cs="Arial"/>
                <w:b/>
                <w:color w:val="000000"/>
                <w:sz w:val="16"/>
                <w:szCs w:val="16"/>
              </w:rPr>
            </w:pPr>
            <w:r>
              <w:rPr>
                <w:rFonts w:ascii="Arial" w:hAnsi="Arial" w:cs="Arial"/>
                <w:b/>
                <w:bCs/>
                <w:color w:val="000000"/>
                <w:sz w:val="16"/>
                <w:szCs w:val="16"/>
              </w:rPr>
              <w:t>(2.288.756)</w:t>
            </w:r>
          </w:p>
        </w:tc>
        <w:tc>
          <w:tcPr>
            <w:tcW w:w="567" w:type="pct"/>
            <w:shd w:val="clear" w:color="auto" w:fill="auto"/>
            <w:noWrap/>
            <w:vAlign w:val="center"/>
          </w:tcPr>
          <w:p w14:paraId="3E3670B4" w14:textId="1312B573" w:rsidR="008B109C" w:rsidRPr="005403CE" w:rsidRDefault="008B109C" w:rsidP="008B109C">
            <w:pPr>
              <w:jc w:val="right"/>
              <w:rPr>
                <w:rFonts w:ascii="Arial" w:hAnsi="Arial" w:cs="Arial"/>
                <w:b/>
                <w:color w:val="000000"/>
                <w:sz w:val="16"/>
                <w:szCs w:val="16"/>
              </w:rPr>
            </w:pPr>
            <w:r>
              <w:rPr>
                <w:rFonts w:ascii="Arial" w:hAnsi="Arial" w:cs="Arial"/>
                <w:b/>
                <w:bCs/>
                <w:color w:val="000000"/>
                <w:sz w:val="16"/>
                <w:szCs w:val="16"/>
              </w:rPr>
              <w:t>607.592</w:t>
            </w:r>
          </w:p>
        </w:tc>
        <w:tc>
          <w:tcPr>
            <w:tcW w:w="620" w:type="pct"/>
            <w:shd w:val="clear" w:color="auto" w:fill="auto"/>
            <w:noWrap/>
            <w:vAlign w:val="center"/>
          </w:tcPr>
          <w:p w14:paraId="498E8CF8" w14:textId="53211D02" w:rsidR="008B109C" w:rsidRPr="005403CE" w:rsidRDefault="008B109C" w:rsidP="008B109C">
            <w:pPr>
              <w:jc w:val="right"/>
              <w:rPr>
                <w:rFonts w:ascii="Arial" w:hAnsi="Arial" w:cs="Arial"/>
                <w:b/>
                <w:color w:val="000000"/>
                <w:sz w:val="16"/>
                <w:szCs w:val="16"/>
              </w:rPr>
            </w:pPr>
            <w:r>
              <w:rPr>
                <w:rFonts w:ascii="Arial" w:hAnsi="Arial" w:cs="Arial"/>
                <w:b/>
                <w:bCs/>
                <w:color w:val="000000"/>
                <w:sz w:val="16"/>
                <w:szCs w:val="16"/>
              </w:rPr>
              <w:t>(1.681.16</w:t>
            </w:r>
            <w:r w:rsidR="00991C8D">
              <w:rPr>
                <w:rFonts w:ascii="Arial" w:hAnsi="Arial" w:cs="Arial"/>
                <w:b/>
                <w:bCs/>
                <w:color w:val="000000"/>
                <w:sz w:val="16"/>
                <w:szCs w:val="16"/>
              </w:rPr>
              <w:t>4</w:t>
            </w:r>
            <w:r>
              <w:rPr>
                <w:rFonts w:ascii="Arial" w:hAnsi="Arial" w:cs="Arial"/>
                <w:b/>
                <w:color w:val="000000"/>
                <w:sz w:val="16"/>
                <w:szCs w:val="16"/>
              </w:rPr>
              <w:t>)</w:t>
            </w:r>
          </w:p>
        </w:tc>
      </w:tr>
    </w:tbl>
    <w:p w14:paraId="6F0A6CB4" w14:textId="77777777" w:rsidR="00C31392" w:rsidRPr="00EC349E" w:rsidRDefault="00C31392" w:rsidP="00C31392">
      <w:pPr>
        <w:jc w:val="both"/>
        <w:rPr>
          <w:rFonts w:ascii="Arial" w:eastAsia="Calibri" w:hAnsi="Arial" w:cs="Arial"/>
          <w:noProof/>
          <w:sz w:val="20"/>
        </w:rPr>
      </w:pP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8"/>
        <w:gridCol w:w="999"/>
        <w:gridCol w:w="1217"/>
        <w:gridCol w:w="881"/>
        <w:gridCol w:w="1286"/>
        <w:gridCol w:w="1011"/>
        <w:gridCol w:w="12"/>
        <w:gridCol w:w="1075"/>
        <w:gridCol w:w="12"/>
      </w:tblGrid>
      <w:tr w:rsidR="00C31392" w:rsidRPr="006D0DBA" w14:paraId="1D8B4733" w14:textId="77777777" w:rsidTr="004E454E">
        <w:trPr>
          <w:trHeight w:val="870"/>
        </w:trPr>
        <w:tc>
          <w:tcPr>
            <w:tcW w:w="1344" w:type="pct"/>
            <w:vMerge w:val="restart"/>
            <w:shd w:val="clear" w:color="auto" w:fill="auto"/>
            <w:noWrap/>
            <w:vAlign w:val="center"/>
            <w:hideMark/>
          </w:tcPr>
          <w:p w14:paraId="7DF92A5A" w14:textId="1ABB9B20" w:rsidR="00C31392" w:rsidRPr="00EC349E" w:rsidRDefault="00C31392" w:rsidP="00C31392">
            <w:pPr>
              <w:jc w:val="center"/>
              <w:rPr>
                <w:rFonts w:ascii="Arial" w:hAnsi="Arial" w:cs="Arial"/>
                <w:b/>
                <w:color w:val="000000"/>
                <w:sz w:val="16"/>
                <w:szCs w:val="16"/>
                <w:lang w:val="en-US" w:eastAsia="es-AR"/>
              </w:rPr>
            </w:pPr>
            <w:r w:rsidRPr="00EC349E">
              <w:rPr>
                <w:rFonts w:ascii="Arial" w:hAnsi="Arial" w:cs="Arial"/>
                <w:b/>
                <w:color w:val="000000"/>
                <w:sz w:val="16"/>
                <w:szCs w:val="16"/>
                <w:lang w:val="en-US" w:eastAsia="es-AR"/>
              </w:rPr>
              <w:t>31-12-201</w:t>
            </w:r>
            <w:r w:rsidR="008F2926">
              <w:rPr>
                <w:rFonts w:ascii="Arial" w:hAnsi="Arial" w:cs="Arial"/>
                <w:b/>
                <w:color w:val="000000"/>
                <w:sz w:val="16"/>
                <w:szCs w:val="16"/>
                <w:lang w:val="en-US" w:eastAsia="es-AR"/>
              </w:rPr>
              <w:t>8</w:t>
            </w:r>
          </w:p>
        </w:tc>
        <w:tc>
          <w:tcPr>
            <w:tcW w:w="562" w:type="pct"/>
            <w:vMerge w:val="restart"/>
            <w:shd w:val="clear" w:color="auto" w:fill="auto"/>
            <w:vAlign w:val="center"/>
            <w:hideMark/>
          </w:tcPr>
          <w:p w14:paraId="5ADAAD5D" w14:textId="77777777" w:rsidR="00C31392" w:rsidRPr="00EC349E" w:rsidRDefault="00C31392" w:rsidP="00C31392">
            <w:pPr>
              <w:jc w:val="center"/>
              <w:rPr>
                <w:rFonts w:ascii="Arial" w:hAnsi="Arial" w:cs="Arial"/>
                <w:b/>
                <w:color w:val="000000"/>
                <w:sz w:val="16"/>
                <w:szCs w:val="16"/>
                <w:lang w:eastAsia="es-AR"/>
              </w:rPr>
            </w:pPr>
            <w:r w:rsidRPr="00EC349E">
              <w:rPr>
                <w:rFonts w:ascii="Arial" w:hAnsi="Arial" w:cs="Arial"/>
                <w:b/>
                <w:color w:val="000000"/>
                <w:sz w:val="16"/>
                <w:szCs w:val="16"/>
                <w:lang w:eastAsia="es-AR"/>
              </w:rPr>
              <w:t>Monto bruto antes de neteo (a)</w:t>
            </w:r>
          </w:p>
        </w:tc>
        <w:tc>
          <w:tcPr>
            <w:tcW w:w="685" w:type="pct"/>
            <w:vMerge w:val="restart"/>
            <w:shd w:val="clear" w:color="auto" w:fill="auto"/>
            <w:vAlign w:val="center"/>
            <w:hideMark/>
          </w:tcPr>
          <w:p w14:paraId="1239AD91" w14:textId="77777777" w:rsidR="00C31392" w:rsidRPr="00EC349E" w:rsidRDefault="00C31392" w:rsidP="00C31392">
            <w:pPr>
              <w:jc w:val="center"/>
              <w:rPr>
                <w:rFonts w:ascii="Arial" w:hAnsi="Arial" w:cs="Arial"/>
                <w:b/>
                <w:color w:val="000000"/>
                <w:sz w:val="16"/>
                <w:szCs w:val="16"/>
                <w:lang w:val="en-US" w:eastAsia="es-AR"/>
              </w:rPr>
            </w:pPr>
            <w:r w:rsidRPr="00EC349E">
              <w:rPr>
                <w:rFonts w:ascii="Arial" w:hAnsi="Arial" w:cs="Arial"/>
                <w:b/>
                <w:color w:val="000000"/>
                <w:sz w:val="16"/>
                <w:szCs w:val="16"/>
                <w:lang w:val="en-US" w:eastAsia="es-AR"/>
              </w:rPr>
              <w:t>Monto compensado (b)</w:t>
            </w:r>
          </w:p>
        </w:tc>
        <w:tc>
          <w:tcPr>
            <w:tcW w:w="496" w:type="pct"/>
            <w:vMerge w:val="restart"/>
            <w:shd w:val="clear" w:color="auto" w:fill="auto"/>
            <w:vAlign w:val="center"/>
            <w:hideMark/>
          </w:tcPr>
          <w:p w14:paraId="49C452EA" w14:textId="77777777" w:rsidR="00C31392" w:rsidRPr="00EC349E" w:rsidRDefault="00C31392" w:rsidP="00C31392">
            <w:pPr>
              <w:jc w:val="center"/>
              <w:rPr>
                <w:rFonts w:ascii="Arial" w:hAnsi="Arial" w:cs="Arial"/>
                <w:b/>
                <w:color w:val="000000"/>
                <w:sz w:val="16"/>
                <w:szCs w:val="16"/>
                <w:lang w:eastAsia="es-AR"/>
              </w:rPr>
            </w:pPr>
            <w:r w:rsidRPr="00EC349E">
              <w:rPr>
                <w:rFonts w:ascii="Arial" w:hAnsi="Arial" w:cs="Arial"/>
                <w:b/>
                <w:color w:val="000000"/>
                <w:sz w:val="16"/>
                <w:szCs w:val="16"/>
                <w:lang w:eastAsia="es-AR"/>
              </w:rPr>
              <w:t>Neto en Estados Financieros (c)=(a)-(b)</w:t>
            </w:r>
          </w:p>
        </w:tc>
        <w:tc>
          <w:tcPr>
            <w:tcW w:w="1300" w:type="pct"/>
            <w:gridSpan w:val="3"/>
            <w:shd w:val="clear" w:color="auto" w:fill="auto"/>
            <w:vAlign w:val="center"/>
            <w:hideMark/>
          </w:tcPr>
          <w:p w14:paraId="0BADC08A" w14:textId="77777777" w:rsidR="00C31392" w:rsidRPr="00EC349E" w:rsidRDefault="00C31392" w:rsidP="00C31392">
            <w:pPr>
              <w:jc w:val="center"/>
              <w:rPr>
                <w:rFonts w:ascii="Arial" w:hAnsi="Arial" w:cs="Arial"/>
                <w:b/>
                <w:color w:val="000000"/>
                <w:sz w:val="16"/>
                <w:szCs w:val="16"/>
                <w:lang w:eastAsia="es-AR"/>
              </w:rPr>
            </w:pPr>
            <w:r w:rsidRPr="00EC349E">
              <w:rPr>
                <w:rFonts w:ascii="Arial" w:hAnsi="Arial" w:cs="Arial"/>
                <w:b/>
                <w:color w:val="000000"/>
                <w:sz w:val="16"/>
                <w:szCs w:val="16"/>
                <w:lang w:eastAsia="es-AR"/>
              </w:rPr>
              <w:t>Montos sujetos a acuerdos de neteo no compensados en los Estados Financieros</w:t>
            </w:r>
          </w:p>
        </w:tc>
        <w:tc>
          <w:tcPr>
            <w:tcW w:w="612" w:type="pct"/>
            <w:gridSpan w:val="2"/>
            <w:shd w:val="clear" w:color="auto" w:fill="auto"/>
            <w:vAlign w:val="center"/>
            <w:hideMark/>
          </w:tcPr>
          <w:p w14:paraId="23C02655" w14:textId="77777777" w:rsidR="00C31392" w:rsidRPr="00EC349E" w:rsidRDefault="00C31392" w:rsidP="00C31392">
            <w:pPr>
              <w:jc w:val="center"/>
              <w:rPr>
                <w:rFonts w:ascii="Arial" w:hAnsi="Arial" w:cs="Arial"/>
                <w:b/>
                <w:color w:val="000000"/>
                <w:sz w:val="16"/>
                <w:szCs w:val="16"/>
                <w:lang w:eastAsia="es-AR"/>
              </w:rPr>
            </w:pPr>
            <w:r w:rsidRPr="00EC349E">
              <w:rPr>
                <w:rFonts w:ascii="Arial" w:hAnsi="Arial" w:cs="Arial"/>
                <w:b/>
                <w:color w:val="000000"/>
                <w:sz w:val="16"/>
                <w:szCs w:val="16"/>
                <w:lang w:eastAsia="es-AR"/>
              </w:rPr>
              <w:t>Monto neto total</w:t>
            </w:r>
          </w:p>
        </w:tc>
      </w:tr>
      <w:tr w:rsidR="00C31392" w:rsidRPr="006D0DBA" w14:paraId="6631CD73" w14:textId="77777777" w:rsidTr="004E454E">
        <w:trPr>
          <w:gridAfter w:val="1"/>
          <w:wAfter w:w="7" w:type="pct"/>
          <w:trHeight w:val="870"/>
        </w:trPr>
        <w:tc>
          <w:tcPr>
            <w:tcW w:w="1344" w:type="pct"/>
            <w:vMerge/>
            <w:shd w:val="clear" w:color="auto" w:fill="auto"/>
            <w:noWrap/>
            <w:vAlign w:val="bottom"/>
          </w:tcPr>
          <w:p w14:paraId="03372B79" w14:textId="77777777" w:rsidR="00C31392" w:rsidRPr="00EC349E" w:rsidRDefault="00C31392" w:rsidP="00C31392">
            <w:pPr>
              <w:rPr>
                <w:rFonts w:ascii="Arial" w:hAnsi="Arial" w:cs="Arial"/>
                <w:sz w:val="16"/>
                <w:szCs w:val="16"/>
              </w:rPr>
            </w:pPr>
          </w:p>
        </w:tc>
        <w:tc>
          <w:tcPr>
            <w:tcW w:w="562" w:type="pct"/>
            <w:vMerge/>
            <w:shd w:val="clear" w:color="auto" w:fill="auto"/>
            <w:vAlign w:val="center"/>
          </w:tcPr>
          <w:p w14:paraId="768B806B" w14:textId="77777777" w:rsidR="00C31392" w:rsidRPr="00EC349E" w:rsidRDefault="00C31392" w:rsidP="00C31392">
            <w:pPr>
              <w:jc w:val="center"/>
              <w:rPr>
                <w:rFonts w:ascii="Arial" w:hAnsi="Arial" w:cs="Arial"/>
                <w:color w:val="000000"/>
                <w:sz w:val="16"/>
                <w:szCs w:val="16"/>
              </w:rPr>
            </w:pPr>
          </w:p>
        </w:tc>
        <w:tc>
          <w:tcPr>
            <w:tcW w:w="685" w:type="pct"/>
            <w:vMerge/>
            <w:shd w:val="clear" w:color="auto" w:fill="auto"/>
            <w:vAlign w:val="center"/>
          </w:tcPr>
          <w:p w14:paraId="60CA834E" w14:textId="77777777" w:rsidR="00C31392" w:rsidRPr="00EC349E" w:rsidRDefault="00C31392" w:rsidP="00C31392">
            <w:pPr>
              <w:jc w:val="center"/>
              <w:rPr>
                <w:rFonts w:ascii="Arial" w:hAnsi="Arial" w:cs="Arial"/>
                <w:color w:val="000000"/>
                <w:sz w:val="16"/>
                <w:szCs w:val="16"/>
              </w:rPr>
            </w:pPr>
          </w:p>
        </w:tc>
        <w:tc>
          <w:tcPr>
            <w:tcW w:w="496" w:type="pct"/>
            <w:vMerge/>
            <w:shd w:val="clear" w:color="auto" w:fill="auto"/>
            <w:vAlign w:val="center"/>
          </w:tcPr>
          <w:p w14:paraId="541C309C" w14:textId="77777777" w:rsidR="00C31392" w:rsidRPr="00EC349E" w:rsidRDefault="00C31392" w:rsidP="00C31392">
            <w:pPr>
              <w:jc w:val="center"/>
              <w:rPr>
                <w:rFonts w:ascii="Arial" w:hAnsi="Arial" w:cs="Arial"/>
                <w:color w:val="000000"/>
                <w:sz w:val="16"/>
                <w:szCs w:val="16"/>
              </w:rPr>
            </w:pPr>
          </w:p>
        </w:tc>
        <w:tc>
          <w:tcPr>
            <w:tcW w:w="724" w:type="pct"/>
            <w:shd w:val="clear" w:color="auto" w:fill="auto"/>
            <w:vAlign w:val="center"/>
          </w:tcPr>
          <w:p w14:paraId="5881B261" w14:textId="77777777" w:rsidR="00C31392" w:rsidRPr="00EC349E" w:rsidRDefault="00C31392" w:rsidP="00C31392">
            <w:pPr>
              <w:jc w:val="center"/>
              <w:rPr>
                <w:rFonts w:ascii="Arial" w:hAnsi="Arial" w:cs="Arial"/>
                <w:b/>
                <w:color w:val="000000"/>
                <w:sz w:val="16"/>
                <w:szCs w:val="16"/>
              </w:rPr>
            </w:pPr>
            <w:r w:rsidRPr="00EC349E">
              <w:rPr>
                <w:rFonts w:ascii="Arial" w:hAnsi="Arial" w:cs="Arial"/>
                <w:b/>
                <w:color w:val="000000"/>
                <w:sz w:val="16"/>
                <w:szCs w:val="16"/>
              </w:rPr>
              <w:t>Importe relativo a instrumentos financieros reconocidos</w:t>
            </w:r>
          </w:p>
        </w:tc>
        <w:tc>
          <w:tcPr>
            <w:tcW w:w="569" w:type="pct"/>
            <w:shd w:val="clear" w:color="auto" w:fill="auto"/>
            <w:vAlign w:val="center"/>
          </w:tcPr>
          <w:p w14:paraId="02A507B0" w14:textId="77777777" w:rsidR="00C31392" w:rsidRPr="00EC349E" w:rsidRDefault="00C31392" w:rsidP="00C31392">
            <w:pPr>
              <w:jc w:val="center"/>
              <w:rPr>
                <w:rFonts w:ascii="Arial" w:hAnsi="Arial" w:cs="Arial"/>
                <w:b/>
                <w:color w:val="000000"/>
                <w:sz w:val="16"/>
                <w:szCs w:val="16"/>
                <w:lang w:val="en-US"/>
              </w:rPr>
            </w:pPr>
            <w:r w:rsidRPr="00EC349E">
              <w:rPr>
                <w:rFonts w:ascii="Arial" w:hAnsi="Arial" w:cs="Arial"/>
                <w:b/>
                <w:color w:val="000000"/>
                <w:sz w:val="16"/>
                <w:szCs w:val="16"/>
                <w:lang w:val="en-US"/>
              </w:rPr>
              <w:t>Garantias</w:t>
            </w:r>
          </w:p>
        </w:tc>
        <w:tc>
          <w:tcPr>
            <w:tcW w:w="612" w:type="pct"/>
            <w:gridSpan w:val="2"/>
            <w:shd w:val="clear" w:color="auto" w:fill="auto"/>
            <w:vAlign w:val="center"/>
          </w:tcPr>
          <w:p w14:paraId="10249341" w14:textId="77777777" w:rsidR="00C31392" w:rsidRPr="00EC349E" w:rsidRDefault="00C31392" w:rsidP="00C31392">
            <w:pPr>
              <w:jc w:val="center"/>
              <w:rPr>
                <w:rFonts w:ascii="Arial" w:hAnsi="Arial" w:cs="Arial"/>
                <w:color w:val="000000"/>
                <w:sz w:val="16"/>
                <w:szCs w:val="16"/>
                <w:lang w:val="en-US"/>
              </w:rPr>
            </w:pPr>
          </w:p>
        </w:tc>
      </w:tr>
      <w:tr w:rsidR="008F2926" w:rsidRPr="006D0DBA" w14:paraId="2AFAFAFE" w14:textId="77777777" w:rsidTr="00A059FB">
        <w:trPr>
          <w:gridAfter w:val="1"/>
          <w:wAfter w:w="7" w:type="pct"/>
          <w:trHeight w:val="264"/>
        </w:trPr>
        <w:tc>
          <w:tcPr>
            <w:tcW w:w="1344" w:type="pct"/>
            <w:shd w:val="clear" w:color="auto" w:fill="auto"/>
            <w:noWrap/>
            <w:vAlign w:val="bottom"/>
          </w:tcPr>
          <w:p w14:paraId="1FA3A566" w14:textId="77777777" w:rsidR="008F2926" w:rsidRPr="006D0DBA" w:rsidRDefault="008F2926" w:rsidP="008F2926">
            <w:pPr>
              <w:rPr>
                <w:rFonts w:ascii="Arial" w:hAnsi="Arial" w:cs="Arial"/>
                <w:color w:val="000000"/>
                <w:sz w:val="16"/>
                <w:szCs w:val="16"/>
              </w:rPr>
            </w:pPr>
            <w:r w:rsidRPr="006D0DBA">
              <w:rPr>
                <w:rFonts w:ascii="Arial" w:hAnsi="Arial" w:cs="Arial"/>
                <w:color w:val="000000"/>
                <w:sz w:val="16"/>
                <w:szCs w:val="16"/>
              </w:rPr>
              <w:t>Deudas con comercios por consumos de nuestros clientes con tarjeta de crédito</w:t>
            </w:r>
          </w:p>
        </w:tc>
        <w:tc>
          <w:tcPr>
            <w:tcW w:w="562" w:type="pct"/>
            <w:shd w:val="clear" w:color="auto" w:fill="auto"/>
            <w:noWrap/>
            <w:vAlign w:val="bottom"/>
            <w:hideMark/>
          </w:tcPr>
          <w:p w14:paraId="640CEDC1" w14:textId="66B673BD" w:rsidR="008F2926" w:rsidRPr="00EC349E" w:rsidRDefault="008F2926" w:rsidP="008F2926">
            <w:pPr>
              <w:jc w:val="right"/>
              <w:rPr>
                <w:rFonts w:ascii="Arial" w:hAnsi="Arial" w:cs="Arial"/>
                <w:color w:val="000000"/>
                <w:sz w:val="16"/>
                <w:szCs w:val="16"/>
              </w:rPr>
            </w:pPr>
            <w:r w:rsidRPr="00EC349E">
              <w:rPr>
                <w:rFonts w:ascii="Arial" w:hAnsi="Arial" w:cs="Arial"/>
                <w:color w:val="000000"/>
                <w:sz w:val="16"/>
                <w:szCs w:val="16"/>
              </w:rPr>
              <w:t>-</w:t>
            </w:r>
          </w:p>
        </w:tc>
        <w:tc>
          <w:tcPr>
            <w:tcW w:w="685" w:type="pct"/>
            <w:shd w:val="clear" w:color="auto" w:fill="auto"/>
            <w:noWrap/>
            <w:vAlign w:val="bottom"/>
            <w:hideMark/>
          </w:tcPr>
          <w:p w14:paraId="5F09EBB0" w14:textId="3B2EA263" w:rsidR="008F2926" w:rsidRPr="006D0DBA" w:rsidRDefault="008F2926" w:rsidP="008F2926">
            <w:pPr>
              <w:jc w:val="right"/>
              <w:rPr>
                <w:rFonts w:ascii="Arial" w:hAnsi="Arial" w:cs="Arial"/>
                <w:color w:val="000000"/>
                <w:sz w:val="16"/>
                <w:szCs w:val="16"/>
              </w:rPr>
            </w:pPr>
            <w:r w:rsidRPr="006D0DBA">
              <w:rPr>
                <w:rFonts w:ascii="Arial" w:eastAsiaTheme="minorHAnsi" w:hAnsi="Arial" w:cs="Arial"/>
                <w:color w:val="000000"/>
                <w:sz w:val="16"/>
                <w:szCs w:val="16"/>
              </w:rPr>
              <w:t>-</w:t>
            </w:r>
          </w:p>
        </w:tc>
        <w:tc>
          <w:tcPr>
            <w:tcW w:w="496" w:type="pct"/>
            <w:shd w:val="clear" w:color="auto" w:fill="auto"/>
            <w:noWrap/>
            <w:vAlign w:val="bottom"/>
            <w:hideMark/>
          </w:tcPr>
          <w:p w14:paraId="1AA3B254" w14:textId="537FA011" w:rsidR="008F2926" w:rsidRPr="006D0DBA" w:rsidRDefault="008F2926" w:rsidP="008F2926">
            <w:pPr>
              <w:jc w:val="right"/>
              <w:rPr>
                <w:rFonts w:ascii="Arial" w:hAnsi="Arial" w:cs="Arial"/>
                <w:color w:val="000000"/>
                <w:sz w:val="16"/>
                <w:szCs w:val="16"/>
              </w:rPr>
            </w:pPr>
            <w:r w:rsidRPr="006D0DBA">
              <w:rPr>
                <w:rFonts w:ascii="Arial" w:eastAsiaTheme="minorHAnsi" w:hAnsi="Arial" w:cs="Arial"/>
                <w:color w:val="000000"/>
                <w:sz w:val="16"/>
                <w:szCs w:val="16"/>
              </w:rPr>
              <w:t>-</w:t>
            </w:r>
          </w:p>
        </w:tc>
        <w:tc>
          <w:tcPr>
            <w:tcW w:w="724" w:type="pct"/>
            <w:shd w:val="clear" w:color="auto" w:fill="auto"/>
            <w:noWrap/>
            <w:vAlign w:val="bottom"/>
          </w:tcPr>
          <w:p w14:paraId="14FD0FDE" w14:textId="61465750" w:rsidR="008F2926" w:rsidRPr="006D0DBA" w:rsidRDefault="008F2926" w:rsidP="008F2926">
            <w:pPr>
              <w:jc w:val="right"/>
              <w:rPr>
                <w:rFonts w:ascii="Arial" w:hAnsi="Arial" w:cs="Arial"/>
                <w:color w:val="000000"/>
                <w:sz w:val="16"/>
                <w:szCs w:val="16"/>
              </w:rPr>
            </w:pPr>
            <w:r w:rsidRPr="006D0DBA">
              <w:rPr>
                <w:rFonts w:ascii="Arial" w:hAnsi="Arial" w:cs="Arial"/>
                <w:color w:val="000000"/>
                <w:sz w:val="16"/>
                <w:szCs w:val="16"/>
              </w:rPr>
              <w:t>(1.937.072)</w:t>
            </w:r>
          </w:p>
        </w:tc>
        <w:tc>
          <w:tcPr>
            <w:tcW w:w="569" w:type="pct"/>
            <w:shd w:val="clear" w:color="auto" w:fill="auto"/>
            <w:noWrap/>
            <w:vAlign w:val="bottom"/>
            <w:hideMark/>
          </w:tcPr>
          <w:p w14:paraId="4B5678D6" w14:textId="5D375C84" w:rsidR="008F2926" w:rsidRPr="006D0DBA" w:rsidRDefault="008F2926" w:rsidP="008F2926">
            <w:pPr>
              <w:jc w:val="right"/>
              <w:rPr>
                <w:rFonts w:ascii="Arial" w:eastAsiaTheme="minorHAnsi" w:hAnsi="Arial" w:cs="Arial"/>
                <w:color w:val="000000"/>
                <w:sz w:val="16"/>
                <w:szCs w:val="16"/>
              </w:rPr>
            </w:pPr>
            <w:r w:rsidRPr="006D0DBA">
              <w:rPr>
                <w:rFonts w:ascii="Arial" w:hAnsi="Arial" w:cs="Arial"/>
                <w:color w:val="000000"/>
                <w:sz w:val="16"/>
                <w:szCs w:val="16"/>
              </w:rPr>
              <w:t>530.451</w:t>
            </w:r>
          </w:p>
        </w:tc>
        <w:tc>
          <w:tcPr>
            <w:tcW w:w="612" w:type="pct"/>
            <w:gridSpan w:val="2"/>
            <w:shd w:val="clear" w:color="auto" w:fill="auto"/>
            <w:noWrap/>
            <w:vAlign w:val="bottom"/>
            <w:hideMark/>
          </w:tcPr>
          <w:p w14:paraId="4F6684A1" w14:textId="034E9F67" w:rsidR="008F2926" w:rsidRPr="006D0DBA" w:rsidRDefault="008F2926" w:rsidP="008F2926">
            <w:pPr>
              <w:jc w:val="right"/>
              <w:rPr>
                <w:rFonts w:ascii="Arial" w:eastAsiaTheme="minorHAnsi" w:hAnsi="Arial" w:cs="Arial"/>
                <w:bCs/>
                <w:color w:val="000000"/>
                <w:sz w:val="16"/>
                <w:szCs w:val="16"/>
              </w:rPr>
            </w:pPr>
            <w:r w:rsidRPr="006D0DBA">
              <w:rPr>
                <w:rFonts w:ascii="Arial" w:hAnsi="Arial" w:cs="Arial"/>
                <w:bCs/>
                <w:color w:val="000000"/>
                <w:sz w:val="16"/>
                <w:szCs w:val="16"/>
              </w:rPr>
              <w:t>(1.406.621)</w:t>
            </w:r>
          </w:p>
        </w:tc>
      </w:tr>
      <w:tr w:rsidR="008F2926" w:rsidRPr="006D0DBA" w14:paraId="5C45C0E6" w14:textId="77777777" w:rsidTr="00A059FB">
        <w:trPr>
          <w:gridAfter w:val="1"/>
          <w:wAfter w:w="7" w:type="pct"/>
          <w:trHeight w:val="217"/>
        </w:trPr>
        <w:tc>
          <w:tcPr>
            <w:tcW w:w="1344" w:type="pct"/>
            <w:shd w:val="clear" w:color="auto" w:fill="auto"/>
            <w:noWrap/>
            <w:vAlign w:val="bottom"/>
            <w:hideMark/>
          </w:tcPr>
          <w:p w14:paraId="797BA854" w14:textId="77777777" w:rsidR="008F2926" w:rsidRPr="006D0DBA" w:rsidRDefault="008F2926" w:rsidP="008F2926">
            <w:pPr>
              <w:rPr>
                <w:rFonts w:ascii="Arial" w:hAnsi="Arial" w:cs="Arial"/>
                <w:b/>
                <w:color w:val="000000"/>
                <w:sz w:val="16"/>
                <w:szCs w:val="16"/>
              </w:rPr>
            </w:pPr>
            <w:r w:rsidRPr="006D0DBA">
              <w:rPr>
                <w:rFonts w:ascii="Arial" w:hAnsi="Arial" w:cs="Arial"/>
                <w:b/>
                <w:color w:val="000000"/>
                <w:sz w:val="16"/>
                <w:szCs w:val="16"/>
              </w:rPr>
              <w:t>Total</w:t>
            </w:r>
          </w:p>
        </w:tc>
        <w:tc>
          <w:tcPr>
            <w:tcW w:w="562" w:type="pct"/>
            <w:shd w:val="clear" w:color="auto" w:fill="auto"/>
            <w:noWrap/>
            <w:vAlign w:val="bottom"/>
            <w:hideMark/>
          </w:tcPr>
          <w:p w14:paraId="17F5985A" w14:textId="65CDDCA8" w:rsidR="008F2926" w:rsidRPr="00EC349E" w:rsidRDefault="008F2926" w:rsidP="008F2926">
            <w:pPr>
              <w:jc w:val="right"/>
              <w:rPr>
                <w:rFonts w:ascii="Arial" w:hAnsi="Arial" w:cs="Arial"/>
                <w:b/>
                <w:sz w:val="16"/>
                <w:szCs w:val="16"/>
                <w:lang w:val="en-US"/>
              </w:rPr>
            </w:pPr>
            <w:r w:rsidRPr="00EC349E">
              <w:rPr>
                <w:rFonts w:ascii="Arial" w:hAnsi="Arial" w:cs="Arial"/>
                <w:b/>
                <w:color w:val="000000"/>
                <w:sz w:val="16"/>
                <w:szCs w:val="16"/>
              </w:rPr>
              <w:t>-</w:t>
            </w:r>
          </w:p>
        </w:tc>
        <w:tc>
          <w:tcPr>
            <w:tcW w:w="685" w:type="pct"/>
            <w:shd w:val="clear" w:color="auto" w:fill="auto"/>
            <w:noWrap/>
            <w:vAlign w:val="bottom"/>
            <w:hideMark/>
          </w:tcPr>
          <w:p w14:paraId="43E275A9" w14:textId="3014AB74" w:rsidR="008F2926" w:rsidRPr="006D0DBA" w:rsidRDefault="008F2926" w:rsidP="008F2926">
            <w:pPr>
              <w:jc w:val="right"/>
              <w:rPr>
                <w:rFonts w:ascii="Arial" w:hAnsi="Arial" w:cs="Arial"/>
                <w:b/>
                <w:color w:val="000000"/>
                <w:sz w:val="16"/>
                <w:szCs w:val="16"/>
              </w:rPr>
            </w:pPr>
            <w:r w:rsidRPr="006D0DBA">
              <w:rPr>
                <w:rFonts w:ascii="Arial" w:eastAsiaTheme="minorHAnsi" w:hAnsi="Arial" w:cs="Arial"/>
                <w:b/>
                <w:color w:val="000000"/>
                <w:sz w:val="16"/>
                <w:szCs w:val="16"/>
              </w:rPr>
              <w:t>-</w:t>
            </w:r>
          </w:p>
        </w:tc>
        <w:tc>
          <w:tcPr>
            <w:tcW w:w="496" w:type="pct"/>
            <w:shd w:val="clear" w:color="auto" w:fill="auto"/>
            <w:noWrap/>
            <w:vAlign w:val="bottom"/>
            <w:hideMark/>
          </w:tcPr>
          <w:p w14:paraId="61C89A60" w14:textId="0832AED4" w:rsidR="008F2926" w:rsidRPr="006D0DBA" w:rsidRDefault="008F2926" w:rsidP="008F2926">
            <w:pPr>
              <w:jc w:val="right"/>
              <w:rPr>
                <w:rFonts w:ascii="Arial" w:hAnsi="Arial" w:cs="Arial"/>
                <w:b/>
                <w:color w:val="000000"/>
                <w:sz w:val="16"/>
                <w:szCs w:val="16"/>
              </w:rPr>
            </w:pPr>
            <w:r w:rsidRPr="006D0DBA">
              <w:rPr>
                <w:rFonts w:ascii="Arial" w:eastAsiaTheme="minorHAnsi" w:hAnsi="Arial" w:cs="Arial"/>
                <w:b/>
                <w:color w:val="000000"/>
                <w:sz w:val="16"/>
                <w:szCs w:val="16"/>
              </w:rPr>
              <w:t>-</w:t>
            </w:r>
          </w:p>
        </w:tc>
        <w:tc>
          <w:tcPr>
            <w:tcW w:w="724" w:type="pct"/>
            <w:shd w:val="clear" w:color="auto" w:fill="auto"/>
            <w:noWrap/>
            <w:vAlign w:val="bottom"/>
          </w:tcPr>
          <w:p w14:paraId="67D747BD" w14:textId="3DFC449B" w:rsidR="008F2926" w:rsidRPr="00C57FDF" w:rsidRDefault="008F2926" w:rsidP="008F2926">
            <w:pPr>
              <w:jc w:val="right"/>
              <w:rPr>
                <w:rFonts w:ascii="Arial" w:hAnsi="Arial" w:cs="Arial"/>
                <w:b/>
                <w:color w:val="000000"/>
                <w:sz w:val="16"/>
                <w:szCs w:val="16"/>
              </w:rPr>
            </w:pPr>
            <w:r w:rsidRPr="00EC349E">
              <w:rPr>
                <w:rFonts w:ascii="Arial" w:hAnsi="Arial" w:cs="Arial"/>
                <w:b/>
                <w:color w:val="000000"/>
                <w:sz w:val="16"/>
                <w:szCs w:val="16"/>
              </w:rPr>
              <w:t>(1.937.072)</w:t>
            </w:r>
          </w:p>
        </w:tc>
        <w:tc>
          <w:tcPr>
            <w:tcW w:w="569" w:type="pct"/>
            <w:shd w:val="clear" w:color="auto" w:fill="auto"/>
            <w:noWrap/>
            <w:vAlign w:val="bottom"/>
            <w:hideMark/>
          </w:tcPr>
          <w:p w14:paraId="48E808F5" w14:textId="74D0497A" w:rsidR="008F2926" w:rsidRPr="00C57FDF" w:rsidRDefault="008F2926" w:rsidP="008F2926">
            <w:pPr>
              <w:jc w:val="right"/>
              <w:rPr>
                <w:rFonts w:ascii="Arial" w:eastAsiaTheme="minorHAnsi" w:hAnsi="Arial" w:cs="Arial"/>
                <w:b/>
                <w:color w:val="000000"/>
                <w:sz w:val="16"/>
                <w:szCs w:val="16"/>
              </w:rPr>
            </w:pPr>
            <w:r w:rsidRPr="006D0DBA">
              <w:rPr>
                <w:rFonts w:ascii="Arial" w:hAnsi="Arial" w:cs="Arial"/>
                <w:b/>
                <w:color w:val="000000"/>
                <w:sz w:val="16"/>
                <w:szCs w:val="16"/>
              </w:rPr>
              <w:t>530.451</w:t>
            </w:r>
          </w:p>
        </w:tc>
        <w:tc>
          <w:tcPr>
            <w:tcW w:w="612" w:type="pct"/>
            <w:gridSpan w:val="2"/>
            <w:shd w:val="clear" w:color="auto" w:fill="auto"/>
            <w:noWrap/>
            <w:vAlign w:val="bottom"/>
            <w:hideMark/>
          </w:tcPr>
          <w:p w14:paraId="08AC7D0B" w14:textId="0E182561" w:rsidR="008F2926" w:rsidRPr="00C57FDF" w:rsidRDefault="008F2926" w:rsidP="008F2926">
            <w:pPr>
              <w:jc w:val="right"/>
              <w:rPr>
                <w:rFonts w:ascii="Arial" w:eastAsiaTheme="minorHAnsi" w:hAnsi="Arial" w:cs="Arial"/>
                <w:b/>
                <w:bCs/>
                <w:color w:val="000000"/>
                <w:sz w:val="16"/>
                <w:szCs w:val="16"/>
              </w:rPr>
            </w:pPr>
            <w:r w:rsidRPr="00EC349E">
              <w:rPr>
                <w:rFonts w:ascii="Arial" w:hAnsi="Arial" w:cs="Arial"/>
                <w:b/>
                <w:bCs/>
                <w:color w:val="000000"/>
                <w:sz w:val="16"/>
                <w:szCs w:val="16"/>
              </w:rPr>
              <w:t>(1.406.621)</w:t>
            </w:r>
          </w:p>
        </w:tc>
      </w:tr>
    </w:tbl>
    <w:p w14:paraId="7B061057" w14:textId="77777777" w:rsidR="00C31392" w:rsidRPr="00EC349E" w:rsidRDefault="00C31392" w:rsidP="00C31392">
      <w:pPr>
        <w:jc w:val="both"/>
        <w:rPr>
          <w:rFonts w:ascii="Arial" w:eastAsia="Calibri" w:hAnsi="Arial" w:cs="Arial"/>
          <w:noProof/>
          <w:sz w:val="20"/>
        </w:rPr>
      </w:pPr>
    </w:p>
    <w:p w14:paraId="36479B15" w14:textId="77777777" w:rsidR="00011E62" w:rsidRDefault="00011E62">
      <w:pPr>
        <w:rPr>
          <w:rFonts w:ascii="Arial" w:hAnsi="Arial" w:cs="Arial"/>
          <w:b/>
          <w:noProof/>
          <w:sz w:val="20"/>
        </w:rPr>
      </w:pPr>
      <w:r>
        <w:rPr>
          <w:rFonts w:ascii="Arial" w:hAnsi="Arial" w:cs="Arial"/>
          <w:b/>
          <w:noProof/>
          <w:sz w:val="20"/>
        </w:rPr>
        <w:br w:type="page"/>
      </w:r>
    </w:p>
    <w:p w14:paraId="0B3AAB60" w14:textId="4A8A4A0C" w:rsidR="00C31392" w:rsidRPr="00716C7C" w:rsidRDefault="00C31392" w:rsidP="00C31392">
      <w:pPr>
        <w:autoSpaceDE w:val="0"/>
        <w:autoSpaceDN w:val="0"/>
        <w:adjustRightInd w:val="0"/>
        <w:rPr>
          <w:rFonts w:ascii="Arial" w:hAnsi="Arial" w:cs="Arial"/>
          <w:b/>
          <w:bCs/>
          <w:sz w:val="20"/>
          <w:lang w:eastAsia="es-AR"/>
        </w:rPr>
      </w:pPr>
      <w:r w:rsidRPr="00EC349E">
        <w:rPr>
          <w:rFonts w:ascii="Arial" w:hAnsi="Arial" w:cs="Arial"/>
          <w:b/>
          <w:noProof/>
          <w:sz w:val="20"/>
        </w:rPr>
        <w:t>2</w:t>
      </w:r>
      <w:r w:rsidR="00BB63C7">
        <w:rPr>
          <w:rFonts w:ascii="Arial" w:hAnsi="Arial" w:cs="Arial"/>
          <w:b/>
          <w:noProof/>
          <w:sz w:val="20"/>
        </w:rPr>
        <w:t>9</w:t>
      </w:r>
      <w:r w:rsidRPr="00EC349E">
        <w:rPr>
          <w:rFonts w:ascii="Arial" w:hAnsi="Arial" w:cs="Arial"/>
          <w:b/>
          <w:noProof/>
          <w:sz w:val="20"/>
        </w:rPr>
        <w:t xml:space="preserve">. </w:t>
      </w:r>
      <w:r w:rsidRPr="00EC349E">
        <w:rPr>
          <w:rFonts w:ascii="Arial" w:hAnsi="Arial" w:cs="Arial"/>
          <w:b/>
          <w:bCs/>
          <w:sz w:val="20"/>
          <w:lang w:eastAsia="es-AR"/>
        </w:rPr>
        <w:t>SEPARACION ENTRE PARTIDAS CORRIENTES Y NO CORRIENTES</w:t>
      </w:r>
    </w:p>
    <w:p w14:paraId="64CD4575" w14:textId="77777777" w:rsidR="00C31392" w:rsidRPr="00EC349E" w:rsidRDefault="00C31392" w:rsidP="00C31392">
      <w:pPr>
        <w:autoSpaceDE w:val="0"/>
        <w:autoSpaceDN w:val="0"/>
        <w:adjustRightInd w:val="0"/>
        <w:jc w:val="both"/>
        <w:rPr>
          <w:rFonts w:ascii="Arial" w:hAnsi="Arial" w:cs="Arial"/>
          <w:b/>
          <w:bCs/>
          <w:sz w:val="20"/>
          <w:lang w:eastAsia="es-AR"/>
        </w:rPr>
      </w:pPr>
    </w:p>
    <w:p w14:paraId="31EE9390" w14:textId="77777777" w:rsidR="00C31392" w:rsidRDefault="00C31392" w:rsidP="00C31392">
      <w:pPr>
        <w:autoSpaceDE w:val="0"/>
        <w:autoSpaceDN w:val="0"/>
        <w:adjustRightInd w:val="0"/>
        <w:jc w:val="both"/>
        <w:rPr>
          <w:rFonts w:ascii="Arial" w:hAnsi="Arial" w:cs="Arial"/>
          <w:sz w:val="20"/>
          <w:lang w:eastAsia="es-AR"/>
        </w:rPr>
      </w:pPr>
      <w:r w:rsidRPr="004D4808">
        <w:rPr>
          <w:rFonts w:ascii="Arial" w:hAnsi="Arial" w:cs="Arial"/>
          <w:sz w:val="20"/>
          <w:lang w:eastAsia="es-AR"/>
        </w:rPr>
        <w:t>La Entidad ha optado por la presentación de sus activos y pasivos basada en el grado de liquidez dado que proporciona información más relevante debido a la naturaleza de las actividades del Banco</w:t>
      </w:r>
      <w:r w:rsidRPr="00EC349E">
        <w:rPr>
          <w:rFonts w:ascii="Arial" w:hAnsi="Arial" w:cs="Arial"/>
          <w:sz w:val="20"/>
          <w:lang w:eastAsia="es-AR"/>
        </w:rPr>
        <w:t>.</w:t>
      </w:r>
    </w:p>
    <w:p w14:paraId="289FD108" w14:textId="77777777" w:rsidR="00C31392" w:rsidRPr="00EC349E" w:rsidRDefault="00C31392" w:rsidP="00C31392">
      <w:pPr>
        <w:autoSpaceDE w:val="0"/>
        <w:autoSpaceDN w:val="0"/>
        <w:adjustRightInd w:val="0"/>
        <w:rPr>
          <w:rFonts w:ascii="Arial" w:hAnsi="Arial" w:cs="Arial"/>
          <w:sz w:val="20"/>
          <w:lang w:eastAsia="es-AR"/>
        </w:rPr>
      </w:pPr>
    </w:p>
    <w:p w14:paraId="1622F1F5" w14:textId="6A00E5FF" w:rsidR="00C31392" w:rsidRDefault="00C31392" w:rsidP="00C31392">
      <w:pPr>
        <w:autoSpaceDE w:val="0"/>
        <w:autoSpaceDN w:val="0"/>
        <w:adjustRightInd w:val="0"/>
        <w:rPr>
          <w:rFonts w:ascii="Arial" w:hAnsi="Arial" w:cs="Arial"/>
          <w:sz w:val="20"/>
          <w:lang w:eastAsia="es-AR"/>
        </w:rPr>
      </w:pPr>
      <w:r w:rsidRPr="004D4808">
        <w:rPr>
          <w:rFonts w:ascii="Arial" w:hAnsi="Arial" w:cs="Arial"/>
          <w:sz w:val="20"/>
          <w:lang w:eastAsia="es-AR"/>
        </w:rPr>
        <w:t>A continuación se exponen los importes esperados a recuperar o cancelar de activos y pasivos al 31 de diciembre de 201</w:t>
      </w:r>
      <w:r w:rsidR="008F2926">
        <w:rPr>
          <w:rFonts w:ascii="Arial" w:hAnsi="Arial" w:cs="Arial"/>
          <w:sz w:val="20"/>
          <w:lang w:eastAsia="es-AR"/>
        </w:rPr>
        <w:t>9</w:t>
      </w:r>
      <w:r w:rsidRPr="004D4808">
        <w:rPr>
          <w:rFonts w:ascii="Arial" w:hAnsi="Arial" w:cs="Arial"/>
          <w:sz w:val="20"/>
          <w:lang w:eastAsia="es-AR"/>
        </w:rPr>
        <w:t xml:space="preserve"> y 201</w:t>
      </w:r>
      <w:r w:rsidR="008F2926">
        <w:rPr>
          <w:rFonts w:ascii="Arial" w:hAnsi="Arial" w:cs="Arial"/>
          <w:sz w:val="20"/>
          <w:lang w:eastAsia="es-AR"/>
        </w:rPr>
        <w:t>8</w:t>
      </w:r>
      <w:r w:rsidRPr="004D4808">
        <w:rPr>
          <w:rFonts w:ascii="Arial" w:hAnsi="Arial" w:cs="Arial"/>
          <w:sz w:val="20"/>
          <w:lang w:eastAsia="es-AR"/>
        </w:rPr>
        <w:t>, considerando:</w:t>
      </w:r>
    </w:p>
    <w:p w14:paraId="55A8F382" w14:textId="77777777" w:rsidR="00C31392" w:rsidRPr="00EC349E" w:rsidRDefault="00C31392" w:rsidP="00C31392">
      <w:pPr>
        <w:autoSpaceDE w:val="0"/>
        <w:autoSpaceDN w:val="0"/>
        <w:adjustRightInd w:val="0"/>
        <w:rPr>
          <w:rFonts w:ascii="Arial" w:hAnsi="Arial" w:cs="Arial"/>
          <w:sz w:val="20"/>
          <w:lang w:eastAsia="es-AR"/>
        </w:rPr>
      </w:pPr>
    </w:p>
    <w:p w14:paraId="4D92A236" w14:textId="77777777" w:rsidR="00C31392" w:rsidRPr="00EC349E" w:rsidRDefault="00C31392" w:rsidP="004A148C">
      <w:pPr>
        <w:pStyle w:val="Prrafodelista"/>
        <w:numPr>
          <w:ilvl w:val="0"/>
          <w:numId w:val="82"/>
        </w:numPr>
        <w:autoSpaceDE w:val="0"/>
        <w:autoSpaceDN w:val="0"/>
        <w:adjustRightInd w:val="0"/>
        <w:rPr>
          <w:rFonts w:ascii="Arial" w:hAnsi="Arial" w:cs="Arial"/>
          <w:sz w:val="20"/>
          <w:lang w:eastAsia="es-AR"/>
        </w:rPr>
      </w:pPr>
      <w:r w:rsidRPr="00EC349E">
        <w:rPr>
          <w:rFonts w:ascii="Arial" w:hAnsi="Arial" w:cs="Arial"/>
          <w:sz w:val="20"/>
          <w:lang w:eastAsia="es-AR"/>
        </w:rPr>
        <w:t xml:space="preserve">aquellos esperados a recuperar o cancelar dentro de los doce meses siguientes después del período sobre el que se informa, y </w:t>
      </w:r>
    </w:p>
    <w:p w14:paraId="0D65BF3F" w14:textId="77777777" w:rsidR="00C31392" w:rsidRPr="00EC349E" w:rsidRDefault="00C31392" w:rsidP="004A148C">
      <w:pPr>
        <w:pStyle w:val="Prrafodelista"/>
        <w:numPr>
          <w:ilvl w:val="0"/>
          <w:numId w:val="82"/>
        </w:numPr>
        <w:autoSpaceDE w:val="0"/>
        <w:autoSpaceDN w:val="0"/>
        <w:adjustRightInd w:val="0"/>
        <w:rPr>
          <w:rFonts w:ascii="Arial" w:hAnsi="Arial" w:cs="Arial"/>
          <w:sz w:val="20"/>
          <w:lang w:eastAsia="es-AR"/>
        </w:rPr>
      </w:pPr>
      <w:r w:rsidRPr="004D4808">
        <w:rPr>
          <w:rFonts w:ascii="Arial" w:hAnsi="Arial" w:cs="Arial"/>
          <w:sz w:val="20"/>
          <w:lang w:eastAsia="es-AR"/>
        </w:rPr>
        <w:t xml:space="preserve">aquellos esperados a recuperar o cancelar después de doce meses tras esa fecha. </w:t>
      </w:r>
    </w:p>
    <w:p w14:paraId="606C408F" w14:textId="77777777" w:rsidR="00C31392" w:rsidRDefault="00C31392" w:rsidP="00C31392">
      <w:pPr>
        <w:autoSpaceDE w:val="0"/>
        <w:autoSpaceDN w:val="0"/>
        <w:adjustRightInd w:val="0"/>
        <w:rPr>
          <w:rFonts w:ascii="Arial" w:hAnsi="Arial" w:cs="Arial"/>
          <w:sz w:val="20"/>
          <w:lang w:eastAsia="es-AR"/>
        </w:rPr>
      </w:pPr>
    </w:p>
    <w:tbl>
      <w:tblPr>
        <w:tblW w:w="8784" w:type="dxa"/>
        <w:jc w:val="center"/>
        <w:tblCellMar>
          <w:left w:w="70" w:type="dxa"/>
          <w:right w:w="70" w:type="dxa"/>
        </w:tblCellMar>
        <w:tblLook w:val="04A0" w:firstRow="1" w:lastRow="0" w:firstColumn="1" w:lastColumn="0" w:noHBand="0" w:noVBand="1"/>
      </w:tblPr>
      <w:tblGrid>
        <w:gridCol w:w="2772"/>
        <w:gridCol w:w="1030"/>
        <w:gridCol w:w="941"/>
        <w:gridCol w:w="1030"/>
        <w:gridCol w:w="70"/>
        <w:gridCol w:w="960"/>
        <w:gridCol w:w="941"/>
        <w:gridCol w:w="1030"/>
        <w:gridCol w:w="10"/>
      </w:tblGrid>
      <w:tr w:rsidR="00C31392" w:rsidRPr="004D4808" w14:paraId="41A59D92" w14:textId="77777777" w:rsidTr="00A059FB">
        <w:trPr>
          <w:trHeight w:val="222"/>
          <w:tblHeader/>
          <w:jc w:val="center"/>
        </w:trPr>
        <w:tc>
          <w:tcPr>
            <w:tcW w:w="2772" w:type="dxa"/>
            <w:tcBorders>
              <w:top w:val="nil"/>
              <w:left w:val="nil"/>
              <w:bottom w:val="nil"/>
              <w:right w:val="nil"/>
            </w:tcBorders>
            <w:shd w:val="clear" w:color="auto" w:fill="auto"/>
            <w:noWrap/>
            <w:vAlign w:val="bottom"/>
            <w:hideMark/>
          </w:tcPr>
          <w:p w14:paraId="33F58BD6" w14:textId="77777777" w:rsidR="00C31392" w:rsidRPr="004D4808" w:rsidRDefault="00C31392" w:rsidP="00C31392">
            <w:pPr>
              <w:rPr>
                <w:sz w:val="20"/>
                <w:szCs w:val="24"/>
                <w:lang w:eastAsia="es-AR"/>
              </w:rPr>
            </w:pPr>
          </w:p>
        </w:tc>
        <w:tc>
          <w:tcPr>
            <w:tcW w:w="3071"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E025B12" w14:textId="487AA12C"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31/12/201</w:t>
            </w:r>
            <w:r w:rsidR="008F2926">
              <w:rPr>
                <w:rFonts w:ascii="Arial" w:hAnsi="Arial" w:cs="Arial"/>
                <w:b/>
                <w:bCs/>
                <w:sz w:val="16"/>
                <w:szCs w:val="16"/>
                <w:lang w:eastAsia="es-AR"/>
              </w:rPr>
              <w:t>9</w:t>
            </w:r>
          </w:p>
        </w:tc>
        <w:tc>
          <w:tcPr>
            <w:tcW w:w="2941"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6B6CA292" w14:textId="6989D606"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31/12/201</w:t>
            </w:r>
            <w:r w:rsidR="008F2926">
              <w:rPr>
                <w:rFonts w:ascii="Arial" w:hAnsi="Arial" w:cs="Arial"/>
                <w:b/>
                <w:bCs/>
                <w:sz w:val="16"/>
                <w:szCs w:val="16"/>
                <w:lang w:eastAsia="es-AR"/>
              </w:rPr>
              <w:t>8</w:t>
            </w:r>
          </w:p>
        </w:tc>
      </w:tr>
      <w:tr w:rsidR="00C31392" w:rsidRPr="004D4808" w14:paraId="4553F292" w14:textId="77777777" w:rsidTr="006E1AF7">
        <w:trPr>
          <w:gridAfter w:val="1"/>
          <w:wAfter w:w="10" w:type="dxa"/>
          <w:trHeight w:val="222"/>
          <w:tblHeader/>
          <w:jc w:val="center"/>
        </w:trPr>
        <w:tc>
          <w:tcPr>
            <w:tcW w:w="2772" w:type="dxa"/>
            <w:tcBorders>
              <w:top w:val="nil"/>
              <w:left w:val="nil"/>
              <w:bottom w:val="nil"/>
              <w:right w:val="nil"/>
            </w:tcBorders>
            <w:shd w:val="clear" w:color="auto" w:fill="auto"/>
            <w:noWrap/>
            <w:vAlign w:val="bottom"/>
            <w:hideMark/>
          </w:tcPr>
          <w:p w14:paraId="099ABE7D" w14:textId="77777777" w:rsidR="00C31392" w:rsidRPr="004D4808" w:rsidRDefault="00C31392" w:rsidP="00C31392">
            <w:pPr>
              <w:jc w:val="center"/>
              <w:rPr>
                <w:rFonts w:ascii="Arial" w:hAnsi="Arial" w:cs="Arial"/>
                <w:b/>
                <w:bCs/>
                <w:sz w:val="16"/>
                <w:szCs w:val="16"/>
                <w:lang w:eastAsia="es-AR"/>
              </w:rPr>
            </w:pPr>
          </w:p>
        </w:tc>
        <w:tc>
          <w:tcPr>
            <w:tcW w:w="1030" w:type="dxa"/>
            <w:tcBorders>
              <w:top w:val="nil"/>
              <w:left w:val="single" w:sz="8" w:space="0" w:color="auto"/>
              <w:bottom w:val="single" w:sz="8" w:space="0" w:color="auto"/>
              <w:right w:val="nil"/>
            </w:tcBorders>
            <w:shd w:val="clear" w:color="auto" w:fill="auto"/>
            <w:noWrap/>
            <w:vAlign w:val="bottom"/>
            <w:hideMark/>
          </w:tcPr>
          <w:p w14:paraId="108A69BA"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12 meses</w:t>
            </w:r>
          </w:p>
        </w:tc>
        <w:tc>
          <w:tcPr>
            <w:tcW w:w="941" w:type="dxa"/>
            <w:tcBorders>
              <w:top w:val="nil"/>
              <w:left w:val="single" w:sz="8" w:space="0" w:color="auto"/>
              <w:bottom w:val="single" w:sz="8" w:space="0" w:color="auto"/>
              <w:right w:val="single" w:sz="8" w:space="0" w:color="auto"/>
            </w:tcBorders>
            <w:shd w:val="clear" w:color="auto" w:fill="auto"/>
            <w:noWrap/>
            <w:vAlign w:val="bottom"/>
            <w:hideMark/>
          </w:tcPr>
          <w:p w14:paraId="2906AD68"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Mas de 12 meses</w:t>
            </w:r>
          </w:p>
        </w:tc>
        <w:tc>
          <w:tcPr>
            <w:tcW w:w="1030" w:type="dxa"/>
            <w:tcBorders>
              <w:top w:val="nil"/>
              <w:left w:val="nil"/>
              <w:bottom w:val="single" w:sz="8" w:space="0" w:color="auto"/>
              <w:right w:val="nil"/>
            </w:tcBorders>
            <w:shd w:val="clear" w:color="auto" w:fill="auto"/>
            <w:noWrap/>
            <w:vAlign w:val="bottom"/>
            <w:hideMark/>
          </w:tcPr>
          <w:p w14:paraId="00374866"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Total</w:t>
            </w:r>
          </w:p>
        </w:tc>
        <w:tc>
          <w:tcPr>
            <w:tcW w:w="1030" w:type="dxa"/>
            <w:gridSpan w:val="2"/>
            <w:tcBorders>
              <w:top w:val="nil"/>
              <w:left w:val="single" w:sz="8" w:space="0" w:color="auto"/>
              <w:bottom w:val="single" w:sz="8" w:space="0" w:color="auto"/>
              <w:right w:val="nil"/>
            </w:tcBorders>
            <w:shd w:val="clear" w:color="auto" w:fill="auto"/>
            <w:noWrap/>
            <w:vAlign w:val="bottom"/>
            <w:hideMark/>
          </w:tcPr>
          <w:p w14:paraId="63E12DD2"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12 meses</w:t>
            </w:r>
          </w:p>
        </w:tc>
        <w:tc>
          <w:tcPr>
            <w:tcW w:w="941" w:type="dxa"/>
            <w:tcBorders>
              <w:top w:val="nil"/>
              <w:left w:val="single" w:sz="8" w:space="0" w:color="auto"/>
              <w:bottom w:val="single" w:sz="8" w:space="0" w:color="auto"/>
              <w:right w:val="single" w:sz="8" w:space="0" w:color="auto"/>
            </w:tcBorders>
            <w:shd w:val="clear" w:color="auto" w:fill="auto"/>
            <w:noWrap/>
            <w:vAlign w:val="bottom"/>
            <w:hideMark/>
          </w:tcPr>
          <w:p w14:paraId="50A7B70B"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Mas de 12 meses</w:t>
            </w:r>
          </w:p>
        </w:tc>
        <w:tc>
          <w:tcPr>
            <w:tcW w:w="1030" w:type="dxa"/>
            <w:tcBorders>
              <w:top w:val="nil"/>
              <w:left w:val="nil"/>
              <w:bottom w:val="single" w:sz="8" w:space="0" w:color="auto"/>
              <w:right w:val="single" w:sz="8" w:space="0" w:color="auto"/>
            </w:tcBorders>
            <w:shd w:val="clear" w:color="auto" w:fill="auto"/>
            <w:noWrap/>
            <w:vAlign w:val="bottom"/>
            <w:hideMark/>
          </w:tcPr>
          <w:p w14:paraId="4D25FC7C"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Total</w:t>
            </w:r>
          </w:p>
        </w:tc>
      </w:tr>
      <w:tr w:rsidR="00C31392" w:rsidRPr="004D4808" w14:paraId="0934315F" w14:textId="77777777" w:rsidTr="006E1AF7">
        <w:trPr>
          <w:gridAfter w:val="1"/>
          <w:wAfter w:w="10" w:type="dxa"/>
          <w:trHeight w:val="222"/>
          <w:jc w:val="center"/>
        </w:trPr>
        <w:tc>
          <w:tcPr>
            <w:tcW w:w="2772" w:type="dxa"/>
            <w:tcBorders>
              <w:top w:val="single" w:sz="8" w:space="0" w:color="auto"/>
              <w:left w:val="single" w:sz="8" w:space="0" w:color="auto"/>
              <w:bottom w:val="single" w:sz="8" w:space="0" w:color="auto"/>
              <w:right w:val="nil"/>
            </w:tcBorders>
            <w:shd w:val="clear" w:color="000000" w:fill="D0CECE"/>
            <w:noWrap/>
            <w:vAlign w:val="bottom"/>
            <w:hideMark/>
          </w:tcPr>
          <w:p w14:paraId="408D967E" w14:textId="77777777" w:rsidR="00C31392" w:rsidRPr="004D4808" w:rsidRDefault="00C31392" w:rsidP="00C31392">
            <w:pPr>
              <w:rPr>
                <w:rFonts w:ascii="Arial" w:hAnsi="Arial" w:cs="Arial"/>
                <w:b/>
                <w:bCs/>
                <w:sz w:val="16"/>
                <w:szCs w:val="16"/>
                <w:lang w:eastAsia="es-AR"/>
              </w:rPr>
            </w:pPr>
            <w:r w:rsidRPr="004D4808">
              <w:rPr>
                <w:rFonts w:ascii="Arial" w:hAnsi="Arial" w:cs="Arial"/>
                <w:b/>
                <w:bCs/>
                <w:sz w:val="16"/>
                <w:szCs w:val="16"/>
                <w:lang w:eastAsia="es-AR"/>
              </w:rPr>
              <w:t>ACTIVO</w:t>
            </w:r>
          </w:p>
        </w:tc>
        <w:tc>
          <w:tcPr>
            <w:tcW w:w="1030" w:type="dxa"/>
            <w:tcBorders>
              <w:top w:val="single" w:sz="8" w:space="0" w:color="auto"/>
              <w:left w:val="single" w:sz="8" w:space="0" w:color="auto"/>
              <w:bottom w:val="single" w:sz="8" w:space="0" w:color="auto"/>
              <w:right w:val="nil"/>
            </w:tcBorders>
            <w:shd w:val="clear" w:color="000000" w:fill="D0CECE"/>
            <w:noWrap/>
            <w:vAlign w:val="bottom"/>
            <w:hideMark/>
          </w:tcPr>
          <w:p w14:paraId="12D3363E" w14:textId="77777777" w:rsidR="00C31392" w:rsidRPr="004D4808" w:rsidRDefault="00C31392" w:rsidP="00C31392">
            <w:pPr>
              <w:jc w:val="center"/>
              <w:rPr>
                <w:rFonts w:ascii="Arial" w:hAnsi="Arial" w:cs="Arial"/>
                <w:sz w:val="16"/>
                <w:szCs w:val="16"/>
                <w:lang w:eastAsia="es-AR"/>
              </w:rPr>
            </w:pPr>
            <w:r w:rsidRPr="004D4808">
              <w:rPr>
                <w:rFonts w:ascii="Arial" w:hAnsi="Arial" w:cs="Arial"/>
                <w:sz w:val="16"/>
                <w:szCs w:val="16"/>
                <w:lang w:eastAsia="es-AR"/>
              </w:rPr>
              <w:t> </w:t>
            </w:r>
          </w:p>
        </w:tc>
        <w:tc>
          <w:tcPr>
            <w:tcW w:w="941" w:type="dxa"/>
            <w:tcBorders>
              <w:top w:val="single" w:sz="8" w:space="0" w:color="auto"/>
              <w:left w:val="single" w:sz="8" w:space="0" w:color="auto"/>
              <w:bottom w:val="single" w:sz="8" w:space="0" w:color="auto"/>
              <w:right w:val="single" w:sz="8" w:space="0" w:color="auto"/>
            </w:tcBorders>
            <w:shd w:val="clear" w:color="000000" w:fill="D0CECE"/>
            <w:noWrap/>
            <w:vAlign w:val="bottom"/>
            <w:hideMark/>
          </w:tcPr>
          <w:p w14:paraId="4BD4B387" w14:textId="77777777" w:rsidR="00C31392" w:rsidRPr="004D4808" w:rsidRDefault="00C31392" w:rsidP="00C31392">
            <w:pPr>
              <w:jc w:val="center"/>
              <w:rPr>
                <w:rFonts w:ascii="Arial" w:hAnsi="Arial" w:cs="Arial"/>
                <w:sz w:val="16"/>
                <w:szCs w:val="16"/>
                <w:lang w:eastAsia="es-AR"/>
              </w:rPr>
            </w:pPr>
            <w:r w:rsidRPr="004D4808">
              <w:rPr>
                <w:rFonts w:ascii="Arial" w:hAnsi="Arial" w:cs="Arial"/>
                <w:sz w:val="16"/>
                <w:szCs w:val="16"/>
                <w:lang w:eastAsia="es-AR"/>
              </w:rPr>
              <w:t> </w:t>
            </w:r>
          </w:p>
        </w:tc>
        <w:tc>
          <w:tcPr>
            <w:tcW w:w="1030" w:type="dxa"/>
            <w:tcBorders>
              <w:top w:val="single" w:sz="8" w:space="0" w:color="auto"/>
              <w:left w:val="nil"/>
              <w:bottom w:val="single" w:sz="8" w:space="0" w:color="auto"/>
              <w:right w:val="nil"/>
            </w:tcBorders>
            <w:shd w:val="clear" w:color="000000" w:fill="D0CECE"/>
            <w:noWrap/>
            <w:vAlign w:val="bottom"/>
            <w:hideMark/>
          </w:tcPr>
          <w:p w14:paraId="39F81510" w14:textId="77777777" w:rsidR="00C31392" w:rsidRPr="004D4808" w:rsidRDefault="00C31392" w:rsidP="00C31392">
            <w:pPr>
              <w:jc w:val="center"/>
              <w:rPr>
                <w:rFonts w:ascii="Arial" w:hAnsi="Arial" w:cs="Arial"/>
                <w:sz w:val="16"/>
                <w:szCs w:val="16"/>
                <w:lang w:eastAsia="es-AR"/>
              </w:rPr>
            </w:pPr>
            <w:r w:rsidRPr="004D4808">
              <w:rPr>
                <w:rFonts w:ascii="Arial" w:hAnsi="Arial" w:cs="Arial"/>
                <w:sz w:val="16"/>
                <w:szCs w:val="16"/>
                <w:lang w:eastAsia="es-AR"/>
              </w:rPr>
              <w:t> </w:t>
            </w:r>
          </w:p>
        </w:tc>
        <w:tc>
          <w:tcPr>
            <w:tcW w:w="1030" w:type="dxa"/>
            <w:gridSpan w:val="2"/>
            <w:tcBorders>
              <w:top w:val="single" w:sz="8" w:space="0" w:color="auto"/>
              <w:left w:val="single" w:sz="8" w:space="0" w:color="auto"/>
              <w:bottom w:val="single" w:sz="8" w:space="0" w:color="auto"/>
              <w:right w:val="nil"/>
            </w:tcBorders>
            <w:shd w:val="clear" w:color="000000" w:fill="D0CECE"/>
            <w:noWrap/>
            <w:vAlign w:val="bottom"/>
            <w:hideMark/>
          </w:tcPr>
          <w:p w14:paraId="7D4CEA8A" w14:textId="77777777" w:rsidR="00C31392" w:rsidRPr="004D4808" w:rsidRDefault="00C31392" w:rsidP="00C31392">
            <w:pPr>
              <w:rPr>
                <w:rFonts w:ascii="Arial" w:hAnsi="Arial" w:cs="Arial"/>
                <w:sz w:val="16"/>
                <w:szCs w:val="16"/>
                <w:lang w:eastAsia="es-AR"/>
              </w:rPr>
            </w:pPr>
            <w:r w:rsidRPr="004D4808">
              <w:rPr>
                <w:rFonts w:ascii="Arial" w:hAnsi="Arial" w:cs="Arial"/>
                <w:sz w:val="16"/>
                <w:szCs w:val="16"/>
                <w:lang w:eastAsia="es-AR"/>
              </w:rPr>
              <w:t> </w:t>
            </w:r>
          </w:p>
        </w:tc>
        <w:tc>
          <w:tcPr>
            <w:tcW w:w="941" w:type="dxa"/>
            <w:tcBorders>
              <w:top w:val="single" w:sz="8" w:space="0" w:color="auto"/>
              <w:left w:val="single" w:sz="8" w:space="0" w:color="auto"/>
              <w:bottom w:val="single" w:sz="8" w:space="0" w:color="auto"/>
              <w:right w:val="single" w:sz="8" w:space="0" w:color="auto"/>
            </w:tcBorders>
            <w:shd w:val="clear" w:color="000000" w:fill="D0CECE"/>
            <w:noWrap/>
            <w:vAlign w:val="bottom"/>
            <w:hideMark/>
          </w:tcPr>
          <w:p w14:paraId="0ACEA746" w14:textId="77777777" w:rsidR="00C31392" w:rsidRPr="004D4808" w:rsidRDefault="00C31392" w:rsidP="00C31392">
            <w:pPr>
              <w:rPr>
                <w:rFonts w:ascii="Arial" w:hAnsi="Arial" w:cs="Arial"/>
                <w:sz w:val="16"/>
                <w:szCs w:val="16"/>
                <w:lang w:eastAsia="es-AR"/>
              </w:rPr>
            </w:pPr>
            <w:r w:rsidRPr="004D4808">
              <w:rPr>
                <w:rFonts w:ascii="Arial" w:hAnsi="Arial" w:cs="Arial"/>
                <w:sz w:val="16"/>
                <w:szCs w:val="16"/>
                <w:lang w:eastAsia="es-AR"/>
              </w:rPr>
              <w:t> </w:t>
            </w:r>
          </w:p>
        </w:tc>
        <w:tc>
          <w:tcPr>
            <w:tcW w:w="1030" w:type="dxa"/>
            <w:tcBorders>
              <w:top w:val="single" w:sz="8" w:space="0" w:color="auto"/>
              <w:left w:val="nil"/>
              <w:bottom w:val="single" w:sz="8" w:space="0" w:color="auto"/>
              <w:right w:val="single" w:sz="8" w:space="0" w:color="auto"/>
            </w:tcBorders>
            <w:shd w:val="clear" w:color="000000" w:fill="D0CECE"/>
            <w:noWrap/>
            <w:vAlign w:val="bottom"/>
            <w:hideMark/>
          </w:tcPr>
          <w:p w14:paraId="34F3D4B7" w14:textId="77777777" w:rsidR="00C31392" w:rsidRPr="004D4808" w:rsidRDefault="00C31392" w:rsidP="00C31392">
            <w:pPr>
              <w:rPr>
                <w:rFonts w:ascii="Arial" w:hAnsi="Arial" w:cs="Arial"/>
                <w:sz w:val="16"/>
                <w:szCs w:val="16"/>
                <w:lang w:eastAsia="es-AR"/>
              </w:rPr>
            </w:pPr>
            <w:r w:rsidRPr="004D4808">
              <w:rPr>
                <w:rFonts w:ascii="Arial" w:hAnsi="Arial" w:cs="Arial"/>
                <w:sz w:val="16"/>
                <w:szCs w:val="16"/>
                <w:lang w:eastAsia="es-AR"/>
              </w:rPr>
              <w:t> </w:t>
            </w:r>
          </w:p>
        </w:tc>
      </w:tr>
      <w:tr w:rsidR="008F2926" w:rsidRPr="004D4808" w14:paraId="6A4DC751"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3256C887"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Efectivo y Depósitos en Bancos</w:t>
            </w:r>
          </w:p>
        </w:tc>
        <w:tc>
          <w:tcPr>
            <w:tcW w:w="1030" w:type="dxa"/>
            <w:tcBorders>
              <w:top w:val="nil"/>
              <w:left w:val="single" w:sz="8" w:space="0" w:color="auto"/>
              <w:bottom w:val="single" w:sz="4" w:space="0" w:color="auto"/>
              <w:right w:val="nil"/>
            </w:tcBorders>
            <w:shd w:val="clear" w:color="auto" w:fill="auto"/>
            <w:noWrap/>
            <w:vAlign w:val="bottom"/>
          </w:tcPr>
          <w:p w14:paraId="4657B3AA" w14:textId="10680BF9" w:rsidR="008F2926" w:rsidRPr="004D4808" w:rsidRDefault="005B1191" w:rsidP="008F2926">
            <w:pPr>
              <w:jc w:val="right"/>
              <w:rPr>
                <w:rFonts w:ascii="Arial" w:hAnsi="Arial" w:cs="Arial"/>
                <w:sz w:val="16"/>
                <w:szCs w:val="16"/>
                <w:lang w:val="es-ES_tradnl" w:eastAsia="es-AR"/>
              </w:rPr>
            </w:pPr>
            <w:r>
              <w:rPr>
                <w:rFonts w:ascii="Arial" w:hAnsi="Arial" w:cs="Arial"/>
                <w:sz w:val="16"/>
                <w:szCs w:val="16"/>
                <w:lang w:val="es-ES_tradnl" w:eastAsia="es-AR"/>
              </w:rPr>
              <w:t>25.833.030</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2D946BAF" w14:textId="52D99883"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31F3D3C5" w14:textId="46C8B386"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25.833.030</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720FF312" w14:textId="691E8275"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33.546.761</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68ECF6D1" w14:textId="065E1978"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65C5A4BD" w14:textId="23D8E8F4"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33.546.761</w:t>
            </w:r>
          </w:p>
        </w:tc>
      </w:tr>
      <w:tr w:rsidR="008F2926" w:rsidRPr="004D4808" w14:paraId="7F80E4BF"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noWrap/>
            <w:vAlign w:val="bottom"/>
            <w:hideMark/>
          </w:tcPr>
          <w:p w14:paraId="44E45467" w14:textId="77777777" w:rsidR="008F2926" w:rsidRPr="004D4808" w:rsidRDefault="008F2926" w:rsidP="008F2926">
            <w:pPr>
              <w:rPr>
                <w:rFonts w:ascii="Arial" w:hAnsi="Arial" w:cs="Arial"/>
                <w:sz w:val="16"/>
                <w:szCs w:val="16"/>
                <w:lang w:eastAsia="es-AR"/>
              </w:rPr>
            </w:pPr>
            <w:r w:rsidRPr="004D4808">
              <w:rPr>
                <w:rFonts w:ascii="Arial" w:hAnsi="Arial" w:cs="Arial"/>
                <w:sz w:val="16"/>
                <w:szCs w:val="16"/>
                <w:lang w:eastAsia="es-AR"/>
              </w:rPr>
              <w:t xml:space="preserve">   Efectivo</w:t>
            </w:r>
          </w:p>
        </w:tc>
        <w:tc>
          <w:tcPr>
            <w:tcW w:w="1030" w:type="dxa"/>
            <w:tcBorders>
              <w:top w:val="nil"/>
              <w:left w:val="single" w:sz="8" w:space="0" w:color="auto"/>
              <w:bottom w:val="single" w:sz="4" w:space="0" w:color="auto"/>
              <w:right w:val="nil"/>
            </w:tcBorders>
            <w:shd w:val="clear" w:color="auto" w:fill="auto"/>
            <w:noWrap/>
            <w:vAlign w:val="bottom"/>
          </w:tcPr>
          <w:p w14:paraId="0686D56E" w14:textId="5EE15B23" w:rsidR="008F2926" w:rsidRPr="004D4808" w:rsidRDefault="005B1191" w:rsidP="008F2926">
            <w:pPr>
              <w:jc w:val="right"/>
              <w:rPr>
                <w:rFonts w:ascii="Arial" w:hAnsi="Arial" w:cs="Arial"/>
                <w:sz w:val="16"/>
                <w:szCs w:val="16"/>
                <w:lang w:val="es-ES_tradnl" w:eastAsia="es-AR"/>
              </w:rPr>
            </w:pPr>
            <w:r>
              <w:rPr>
                <w:rFonts w:ascii="Arial" w:hAnsi="Arial" w:cs="Arial"/>
                <w:sz w:val="16"/>
                <w:szCs w:val="16"/>
                <w:lang w:val="es-ES_tradnl" w:eastAsia="es-AR"/>
              </w:rPr>
              <w:t>8.695.496</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7DB6808C" w14:textId="00BCC1F8"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5D6E85C6" w14:textId="7C333087"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8.695.496</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740EF423" w14:textId="2E7117E1"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4.739.372</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7CB8E28A" w14:textId="013488A2"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5BD7C3D7" w14:textId="26FA85D0"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4.739.372</w:t>
            </w:r>
          </w:p>
        </w:tc>
      </w:tr>
      <w:tr w:rsidR="008F2926" w:rsidRPr="004D4808" w14:paraId="4EA2B040"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noWrap/>
            <w:vAlign w:val="bottom"/>
            <w:hideMark/>
          </w:tcPr>
          <w:p w14:paraId="0ED464D5" w14:textId="77777777" w:rsidR="008F2926" w:rsidRPr="004D4808" w:rsidRDefault="008F2926" w:rsidP="008F2926">
            <w:pPr>
              <w:rPr>
                <w:rFonts w:ascii="Arial" w:hAnsi="Arial" w:cs="Arial"/>
                <w:sz w:val="16"/>
                <w:szCs w:val="16"/>
                <w:lang w:eastAsia="es-AR"/>
              </w:rPr>
            </w:pPr>
            <w:r w:rsidRPr="004D4808">
              <w:rPr>
                <w:rFonts w:ascii="Arial" w:hAnsi="Arial" w:cs="Arial"/>
                <w:sz w:val="16"/>
                <w:szCs w:val="16"/>
                <w:lang w:eastAsia="es-AR"/>
              </w:rPr>
              <w:t xml:space="preserve">   Entidades Financieras y corresponsales</w:t>
            </w:r>
          </w:p>
        </w:tc>
        <w:tc>
          <w:tcPr>
            <w:tcW w:w="1030" w:type="dxa"/>
            <w:tcBorders>
              <w:top w:val="nil"/>
              <w:left w:val="single" w:sz="8" w:space="0" w:color="auto"/>
              <w:bottom w:val="single" w:sz="4" w:space="0" w:color="auto"/>
              <w:right w:val="nil"/>
            </w:tcBorders>
            <w:shd w:val="clear" w:color="auto" w:fill="auto"/>
            <w:noWrap/>
            <w:vAlign w:val="bottom"/>
          </w:tcPr>
          <w:p w14:paraId="052CF329" w14:textId="06722EE7" w:rsidR="008F2926" w:rsidRPr="004D4808" w:rsidRDefault="005B1191"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28790CB7" w14:textId="6469FB8B"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46E99163" w14:textId="56C482DE"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097B52B1" w14:textId="48ADCDC7"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5B200DF7" w14:textId="21962A49"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77C4A960" w14:textId="0AB58D57"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w:t>
            </w:r>
          </w:p>
        </w:tc>
      </w:tr>
      <w:tr w:rsidR="008F2926" w:rsidRPr="004D4808" w14:paraId="447A8996"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noWrap/>
            <w:vAlign w:val="bottom"/>
            <w:hideMark/>
          </w:tcPr>
          <w:p w14:paraId="52506223" w14:textId="77777777" w:rsidR="008F2926" w:rsidRPr="004D4808" w:rsidRDefault="008F2926" w:rsidP="008F2926">
            <w:pPr>
              <w:rPr>
                <w:rFonts w:ascii="Arial" w:hAnsi="Arial" w:cs="Arial"/>
                <w:sz w:val="16"/>
                <w:szCs w:val="16"/>
                <w:lang w:eastAsia="es-AR"/>
              </w:rPr>
            </w:pPr>
            <w:r w:rsidRPr="004D4808">
              <w:rPr>
                <w:rFonts w:ascii="Arial" w:hAnsi="Arial" w:cs="Arial"/>
                <w:sz w:val="16"/>
                <w:szCs w:val="16"/>
                <w:lang w:eastAsia="es-AR"/>
              </w:rPr>
              <w:t xml:space="preserve">      BCRA</w:t>
            </w:r>
          </w:p>
        </w:tc>
        <w:tc>
          <w:tcPr>
            <w:tcW w:w="1030" w:type="dxa"/>
            <w:tcBorders>
              <w:top w:val="nil"/>
              <w:left w:val="single" w:sz="8" w:space="0" w:color="auto"/>
              <w:bottom w:val="single" w:sz="4" w:space="0" w:color="auto"/>
              <w:right w:val="nil"/>
            </w:tcBorders>
            <w:shd w:val="clear" w:color="auto" w:fill="auto"/>
            <w:noWrap/>
            <w:vAlign w:val="bottom"/>
          </w:tcPr>
          <w:p w14:paraId="70D1BF37" w14:textId="5CF960AE" w:rsidR="008F2926" w:rsidRPr="004D4808" w:rsidRDefault="005B1191" w:rsidP="008F2926">
            <w:pPr>
              <w:jc w:val="right"/>
              <w:rPr>
                <w:rFonts w:ascii="Arial" w:hAnsi="Arial" w:cs="Arial"/>
                <w:sz w:val="16"/>
                <w:szCs w:val="16"/>
                <w:lang w:val="es-ES_tradnl" w:eastAsia="es-AR"/>
              </w:rPr>
            </w:pPr>
            <w:r>
              <w:rPr>
                <w:rFonts w:ascii="Arial" w:hAnsi="Arial" w:cs="Arial"/>
                <w:sz w:val="16"/>
                <w:szCs w:val="16"/>
                <w:lang w:val="es-ES_tradnl" w:eastAsia="es-AR"/>
              </w:rPr>
              <w:t>15.927.336</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39A18D67" w14:textId="50E3E308"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05BA7BF8" w14:textId="5E529E37"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15.927.336</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5E327A83" w14:textId="6CC87685"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27.388.784</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5192CDE1" w14:textId="489B0258"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07F105DC" w14:textId="40F4D012"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27.388.784</w:t>
            </w:r>
          </w:p>
        </w:tc>
      </w:tr>
      <w:tr w:rsidR="008F2926" w:rsidRPr="004D4808" w14:paraId="34AF1CF0"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noWrap/>
            <w:vAlign w:val="bottom"/>
            <w:hideMark/>
          </w:tcPr>
          <w:p w14:paraId="2BFD0FF7" w14:textId="77777777" w:rsidR="008F2926" w:rsidRPr="004D4808" w:rsidRDefault="008F2926" w:rsidP="008F2926">
            <w:pPr>
              <w:rPr>
                <w:rFonts w:ascii="Arial" w:hAnsi="Arial" w:cs="Arial"/>
                <w:sz w:val="16"/>
                <w:szCs w:val="16"/>
                <w:lang w:eastAsia="es-AR"/>
              </w:rPr>
            </w:pPr>
            <w:r w:rsidRPr="004D4808">
              <w:rPr>
                <w:rFonts w:ascii="Arial" w:hAnsi="Arial" w:cs="Arial"/>
                <w:sz w:val="16"/>
                <w:szCs w:val="16"/>
                <w:lang w:eastAsia="es-AR"/>
              </w:rPr>
              <w:t xml:space="preserve">      Otras del país y del exterior</w:t>
            </w:r>
          </w:p>
        </w:tc>
        <w:tc>
          <w:tcPr>
            <w:tcW w:w="1030" w:type="dxa"/>
            <w:tcBorders>
              <w:top w:val="nil"/>
              <w:left w:val="single" w:sz="8" w:space="0" w:color="auto"/>
              <w:bottom w:val="single" w:sz="4" w:space="0" w:color="auto"/>
              <w:right w:val="nil"/>
            </w:tcBorders>
            <w:shd w:val="clear" w:color="auto" w:fill="auto"/>
            <w:noWrap/>
            <w:vAlign w:val="bottom"/>
          </w:tcPr>
          <w:p w14:paraId="265A53B8" w14:textId="0B5D83D0"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1.180.288</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724A7D47" w14:textId="51897F8C"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2EB4F8EA" w14:textId="12816041"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1.180.288</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6FBE070A" w14:textId="2B425311"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1.408.206</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68210942" w14:textId="14A21E70"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566D2847" w14:textId="1C21E59A"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1.408.206</w:t>
            </w:r>
          </w:p>
        </w:tc>
      </w:tr>
      <w:tr w:rsidR="008F2926" w:rsidRPr="004D4808" w14:paraId="690B2A6E"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noWrap/>
            <w:vAlign w:val="bottom"/>
            <w:hideMark/>
          </w:tcPr>
          <w:p w14:paraId="3CF5E14E" w14:textId="77777777" w:rsidR="008F2926" w:rsidRPr="004D4808" w:rsidRDefault="008F2926" w:rsidP="008F2926">
            <w:pPr>
              <w:rPr>
                <w:rFonts w:ascii="Arial" w:hAnsi="Arial" w:cs="Arial"/>
                <w:sz w:val="16"/>
                <w:szCs w:val="16"/>
                <w:lang w:eastAsia="es-AR"/>
              </w:rPr>
            </w:pPr>
            <w:r w:rsidRPr="004D4808">
              <w:rPr>
                <w:rFonts w:ascii="Arial" w:hAnsi="Arial" w:cs="Arial"/>
                <w:sz w:val="16"/>
                <w:szCs w:val="16"/>
                <w:lang w:eastAsia="es-AR"/>
              </w:rPr>
              <w:t xml:space="preserve">   Otros</w:t>
            </w:r>
          </w:p>
        </w:tc>
        <w:tc>
          <w:tcPr>
            <w:tcW w:w="1030" w:type="dxa"/>
            <w:tcBorders>
              <w:top w:val="nil"/>
              <w:left w:val="single" w:sz="8" w:space="0" w:color="auto"/>
              <w:bottom w:val="single" w:sz="4" w:space="0" w:color="auto"/>
              <w:right w:val="nil"/>
            </w:tcBorders>
            <w:shd w:val="clear" w:color="auto" w:fill="auto"/>
            <w:noWrap/>
            <w:vAlign w:val="bottom"/>
          </w:tcPr>
          <w:p w14:paraId="3FD13711" w14:textId="05E43698"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29.910</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583A56D3" w14:textId="22EF0F4E"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5121B9B6" w14:textId="49EEFA63"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29.910</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15DE6BE3" w14:textId="41BDF197"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10.399</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10DDA51B" w14:textId="651EB359"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2213B4C8" w14:textId="7725B48B"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10.399</w:t>
            </w:r>
          </w:p>
        </w:tc>
      </w:tr>
      <w:tr w:rsidR="008F2926" w:rsidRPr="004D4808" w14:paraId="7B664D3F" w14:textId="77777777" w:rsidTr="006E1AF7">
        <w:trPr>
          <w:gridAfter w:val="1"/>
          <w:wAfter w:w="10" w:type="dxa"/>
          <w:trHeight w:val="433"/>
          <w:jc w:val="center"/>
        </w:trPr>
        <w:tc>
          <w:tcPr>
            <w:tcW w:w="2772" w:type="dxa"/>
            <w:tcBorders>
              <w:top w:val="nil"/>
              <w:left w:val="single" w:sz="8" w:space="0" w:color="auto"/>
              <w:bottom w:val="single" w:sz="4" w:space="0" w:color="auto"/>
              <w:right w:val="nil"/>
            </w:tcBorders>
            <w:shd w:val="clear" w:color="auto" w:fill="auto"/>
            <w:vAlign w:val="bottom"/>
            <w:hideMark/>
          </w:tcPr>
          <w:p w14:paraId="6C67ACA1"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Títulos de deuda a valor razonable con cambios en resultados</w:t>
            </w:r>
          </w:p>
        </w:tc>
        <w:tc>
          <w:tcPr>
            <w:tcW w:w="1030" w:type="dxa"/>
            <w:tcBorders>
              <w:top w:val="nil"/>
              <w:left w:val="single" w:sz="8" w:space="0" w:color="auto"/>
              <w:bottom w:val="single" w:sz="4" w:space="0" w:color="auto"/>
              <w:right w:val="nil"/>
            </w:tcBorders>
            <w:shd w:val="clear" w:color="auto" w:fill="auto"/>
            <w:noWrap/>
            <w:vAlign w:val="bottom"/>
          </w:tcPr>
          <w:p w14:paraId="60568131" w14:textId="5FC56BA1"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405.068</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71A7136F" w14:textId="482AD6F6"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31A172F9" w14:textId="790A4259"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405.068</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19C498CB" w14:textId="2A903AF7"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14.941.290</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26267186" w14:textId="0D34DBB3"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2BDDE9FD" w14:textId="20FEB6FC"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14.941.290</w:t>
            </w:r>
          </w:p>
        </w:tc>
      </w:tr>
      <w:tr w:rsidR="008F2926" w:rsidRPr="004D4808" w14:paraId="2A7ED579"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1EAE6EE3"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 xml:space="preserve">Instrumentos derivados </w:t>
            </w:r>
          </w:p>
        </w:tc>
        <w:tc>
          <w:tcPr>
            <w:tcW w:w="1030" w:type="dxa"/>
            <w:tcBorders>
              <w:top w:val="nil"/>
              <w:left w:val="single" w:sz="8" w:space="0" w:color="auto"/>
              <w:bottom w:val="single" w:sz="4" w:space="0" w:color="auto"/>
              <w:right w:val="nil"/>
            </w:tcBorders>
            <w:shd w:val="clear" w:color="auto" w:fill="auto"/>
            <w:noWrap/>
            <w:vAlign w:val="bottom"/>
          </w:tcPr>
          <w:p w14:paraId="24E0BDD4" w14:textId="36C9910C"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257.587</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5CDF2CCE" w14:textId="2E857AFA"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78C6BCEA" w14:textId="30C1CC18"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257</w:t>
            </w:r>
            <w:r w:rsidR="001678CC">
              <w:rPr>
                <w:rFonts w:ascii="Arial" w:hAnsi="Arial" w:cs="Arial"/>
                <w:b/>
                <w:bCs/>
                <w:sz w:val="16"/>
                <w:szCs w:val="16"/>
                <w:lang w:val="es-ES_tradnl" w:eastAsia="es-AR"/>
              </w:rPr>
              <w:t>.</w:t>
            </w:r>
            <w:r>
              <w:rPr>
                <w:rFonts w:ascii="Arial" w:hAnsi="Arial" w:cs="Arial"/>
                <w:b/>
                <w:bCs/>
                <w:sz w:val="16"/>
                <w:szCs w:val="16"/>
                <w:lang w:val="es-ES_tradnl" w:eastAsia="es-AR"/>
              </w:rPr>
              <w:t>587</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7B4A544A" w14:textId="39C68913"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15.924</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6D90A1AD" w14:textId="6AA30D74"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6097615B" w14:textId="420C3625"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15.924</w:t>
            </w:r>
          </w:p>
        </w:tc>
      </w:tr>
      <w:tr w:rsidR="008F2926" w:rsidRPr="004D4808" w14:paraId="0AA4A126"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57B798EE"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 xml:space="preserve">Otros activos financieros </w:t>
            </w:r>
          </w:p>
        </w:tc>
        <w:tc>
          <w:tcPr>
            <w:tcW w:w="1030" w:type="dxa"/>
            <w:tcBorders>
              <w:top w:val="nil"/>
              <w:left w:val="single" w:sz="8" w:space="0" w:color="auto"/>
              <w:bottom w:val="single" w:sz="4" w:space="0" w:color="auto"/>
              <w:right w:val="nil"/>
            </w:tcBorders>
            <w:shd w:val="clear" w:color="auto" w:fill="auto"/>
            <w:noWrap/>
            <w:vAlign w:val="bottom"/>
          </w:tcPr>
          <w:p w14:paraId="3972CE6F" w14:textId="6C4FF619"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939.852</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0466485A" w14:textId="0ADE8E12"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62F257DF" w14:textId="4620CC80"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939.852</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0621E22D" w14:textId="255A4CC7"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998.637</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5CEE9BDB" w14:textId="7E6A310F"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48DE13A6" w14:textId="684403AC"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998.637</w:t>
            </w:r>
          </w:p>
        </w:tc>
      </w:tr>
      <w:tr w:rsidR="008F2926" w:rsidRPr="004D4808" w14:paraId="086854B3"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68C6DA1C"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 xml:space="preserve">Préstamos y otras financiaciones </w:t>
            </w:r>
          </w:p>
        </w:tc>
        <w:tc>
          <w:tcPr>
            <w:tcW w:w="1030" w:type="dxa"/>
            <w:tcBorders>
              <w:top w:val="nil"/>
              <w:left w:val="single" w:sz="8" w:space="0" w:color="auto"/>
              <w:bottom w:val="single" w:sz="4" w:space="0" w:color="auto"/>
              <w:right w:val="nil"/>
            </w:tcBorders>
            <w:shd w:val="clear" w:color="auto" w:fill="auto"/>
            <w:noWrap/>
            <w:vAlign w:val="bottom"/>
          </w:tcPr>
          <w:p w14:paraId="2FAA63ED" w14:textId="78819C6A"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62.199.028</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36C84953" w14:textId="7F762E0B"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26.182.921</w:t>
            </w:r>
          </w:p>
        </w:tc>
        <w:tc>
          <w:tcPr>
            <w:tcW w:w="1030" w:type="dxa"/>
            <w:tcBorders>
              <w:top w:val="nil"/>
              <w:left w:val="nil"/>
              <w:bottom w:val="single" w:sz="4" w:space="0" w:color="auto"/>
              <w:right w:val="nil"/>
            </w:tcBorders>
            <w:shd w:val="clear" w:color="auto" w:fill="auto"/>
            <w:noWrap/>
            <w:vAlign w:val="bottom"/>
          </w:tcPr>
          <w:p w14:paraId="3CB1C0E8" w14:textId="3F0E84B6"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88.381.949</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0A425043" w14:textId="095B64D4"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57.206.057</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2D0DD4DC" w14:textId="04675006"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20.325.812</w:t>
            </w:r>
          </w:p>
        </w:tc>
        <w:tc>
          <w:tcPr>
            <w:tcW w:w="1030" w:type="dxa"/>
            <w:tcBorders>
              <w:top w:val="nil"/>
              <w:left w:val="nil"/>
              <w:bottom w:val="single" w:sz="4" w:space="0" w:color="auto"/>
              <w:right w:val="single" w:sz="8" w:space="0" w:color="auto"/>
            </w:tcBorders>
            <w:shd w:val="clear" w:color="auto" w:fill="auto"/>
            <w:noWrap/>
            <w:vAlign w:val="bottom"/>
            <w:hideMark/>
          </w:tcPr>
          <w:p w14:paraId="06ABD072" w14:textId="5E50CB55"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77.531.869</w:t>
            </w:r>
          </w:p>
        </w:tc>
      </w:tr>
      <w:tr w:rsidR="008F2926" w:rsidRPr="004D4808" w14:paraId="4E299AEB"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noWrap/>
            <w:vAlign w:val="bottom"/>
            <w:hideMark/>
          </w:tcPr>
          <w:p w14:paraId="2585FBBF" w14:textId="77777777" w:rsidR="008F2926" w:rsidRPr="004D4808" w:rsidRDefault="008F2926" w:rsidP="008F2926">
            <w:pPr>
              <w:rPr>
                <w:rFonts w:ascii="Arial" w:hAnsi="Arial" w:cs="Arial"/>
                <w:sz w:val="16"/>
                <w:szCs w:val="16"/>
                <w:lang w:eastAsia="es-AR"/>
              </w:rPr>
            </w:pPr>
            <w:r w:rsidRPr="004D4808">
              <w:rPr>
                <w:rFonts w:ascii="Arial" w:hAnsi="Arial" w:cs="Arial"/>
                <w:sz w:val="16"/>
                <w:szCs w:val="16"/>
                <w:lang w:eastAsia="es-AR"/>
              </w:rPr>
              <w:t xml:space="preserve">   Sector público no financiero</w:t>
            </w:r>
          </w:p>
        </w:tc>
        <w:tc>
          <w:tcPr>
            <w:tcW w:w="1030" w:type="dxa"/>
            <w:tcBorders>
              <w:top w:val="nil"/>
              <w:left w:val="single" w:sz="8" w:space="0" w:color="auto"/>
              <w:bottom w:val="single" w:sz="4" w:space="0" w:color="auto"/>
              <w:right w:val="nil"/>
            </w:tcBorders>
            <w:shd w:val="clear" w:color="auto" w:fill="auto"/>
            <w:noWrap/>
            <w:vAlign w:val="bottom"/>
          </w:tcPr>
          <w:p w14:paraId="20178204" w14:textId="7CAEE194"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7.020</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40E38CB3" w14:textId="3ED16889"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21.852</w:t>
            </w:r>
          </w:p>
        </w:tc>
        <w:tc>
          <w:tcPr>
            <w:tcW w:w="1030" w:type="dxa"/>
            <w:tcBorders>
              <w:top w:val="nil"/>
              <w:left w:val="nil"/>
              <w:bottom w:val="single" w:sz="4" w:space="0" w:color="auto"/>
              <w:right w:val="nil"/>
            </w:tcBorders>
            <w:shd w:val="clear" w:color="auto" w:fill="auto"/>
            <w:noWrap/>
            <w:vAlign w:val="bottom"/>
          </w:tcPr>
          <w:p w14:paraId="7499802C" w14:textId="21040C86"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28.872</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3FD70D53" w14:textId="69E64FEA"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7.526</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3826EE03" w14:textId="3D7FFA0E"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25.276</w:t>
            </w:r>
          </w:p>
        </w:tc>
        <w:tc>
          <w:tcPr>
            <w:tcW w:w="1030" w:type="dxa"/>
            <w:tcBorders>
              <w:top w:val="nil"/>
              <w:left w:val="nil"/>
              <w:bottom w:val="single" w:sz="4" w:space="0" w:color="auto"/>
              <w:right w:val="single" w:sz="8" w:space="0" w:color="auto"/>
            </w:tcBorders>
            <w:shd w:val="clear" w:color="auto" w:fill="auto"/>
            <w:noWrap/>
            <w:vAlign w:val="bottom"/>
            <w:hideMark/>
          </w:tcPr>
          <w:p w14:paraId="4885C028" w14:textId="745515B9"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32.802</w:t>
            </w:r>
          </w:p>
        </w:tc>
      </w:tr>
      <w:tr w:rsidR="008F2926" w:rsidRPr="004D4808" w14:paraId="6521454B"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2D2901CA" w14:textId="77777777" w:rsidR="008F2926" w:rsidRPr="004D4808" w:rsidRDefault="008F2926" w:rsidP="008F2926">
            <w:pPr>
              <w:rPr>
                <w:rFonts w:ascii="Arial" w:hAnsi="Arial" w:cs="Arial"/>
                <w:sz w:val="16"/>
                <w:szCs w:val="16"/>
                <w:lang w:eastAsia="es-AR"/>
              </w:rPr>
            </w:pPr>
            <w:r w:rsidRPr="004D4808">
              <w:rPr>
                <w:rFonts w:ascii="Arial" w:hAnsi="Arial" w:cs="Arial"/>
                <w:sz w:val="16"/>
                <w:szCs w:val="16"/>
                <w:lang w:eastAsia="es-AR"/>
              </w:rPr>
              <w:t xml:space="preserve">   Otras entidades financieras </w:t>
            </w:r>
          </w:p>
        </w:tc>
        <w:tc>
          <w:tcPr>
            <w:tcW w:w="1030" w:type="dxa"/>
            <w:tcBorders>
              <w:top w:val="nil"/>
              <w:left w:val="single" w:sz="8" w:space="0" w:color="auto"/>
              <w:bottom w:val="single" w:sz="4" w:space="0" w:color="auto"/>
              <w:right w:val="nil"/>
            </w:tcBorders>
            <w:shd w:val="clear" w:color="auto" w:fill="auto"/>
            <w:noWrap/>
            <w:vAlign w:val="bottom"/>
          </w:tcPr>
          <w:p w14:paraId="193662C0" w14:textId="6A124132"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32.867</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56771459" w14:textId="638506A0"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31.655</w:t>
            </w:r>
          </w:p>
        </w:tc>
        <w:tc>
          <w:tcPr>
            <w:tcW w:w="1030" w:type="dxa"/>
            <w:tcBorders>
              <w:top w:val="nil"/>
              <w:left w:val="nil"/>
              <w:bottom w:val="single" w:sz="4" w:space="0" w:color="auto"/>
              <w:right w:val="nil"/>
            </w:tcBorders>
            <w:shd w:val="clear" w:color="auto" w:fill="auto"/>
            <w:noWrap/>
            <w:vAlign w:val="bottom"/>
          </w:tcPr>
          <w:p w14:paraId="315487CE" w14:textId="0B73CA42"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64.522</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12EAABC7" w14:textId="52E0AB9A"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358.177</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4FCC9EC6" w14:textId="54CE6CE0"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40.374</w:t>
            </w:r>
          </w:p>
        </w:tc>
        <w:tc>
          <w:tcPr>
            <w:tcW w:w="1030" w:type="dxa"/>
            <w:tcBorders>
              <w:top w:val="nil"/>
              <w:left w:val="nil"/>
              <w:bottom w:val="single" w:sz="4" w:space="0" w:color="auto"/>
              <w:right w:val="single" w:sz="8" w:space="0" w:color="auto"/>
            </w:tcBorders>
            <w:shd w:val="clear" w:color="auto" w:fill="auto"/>
            <w:noWrap/>
            <w:vAlign w:val="bottom"/>
            <w:hideMark/>
          </w:tcPr>
          <w:p w14:paraId="77F3F595" w14:textId="71DE9567"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398.551</w:t>
            </w:r>
          </w:p>
        </w:tc>
      </w:tr>
      <w:tr w:rsidR="008F2926" w:rsidRPr="004D4808" w14:paraId="11969271" w14:textId="77777777" w:rsidTr="006E1AF7">
        <w:trPr>
          <w:gridAfter w:val="1"/>
          <w:wAfter w:w="10" w:type="dxa"/>
          <w:trHeight w:val="209"/>
          <w:jc w:val="center"/>
        </w:trPr>
        <w:tc>
          <w:tcPr>
            <w:tcW w:w="2772" w:type="dxa"/>
            <w:tcBorders>
              <w:top w:val="single" w:sz="4" w:space="0" w:color="auto"/>
              <w:left w:val="single" w:sz="8" w:space="0" w:color="auto"/>
              <w:bottom w:val="single" w:sz="4" w:space="0" w:color="auto"/>
              <w:right w:val="nil"/>
            </w:tcBorders>
            <w:shd w:val="clear" w:color="auto" w:fill="auto"/>
            <w:vAlign w:val="bottom"/>
            <w:hideMark/>
          </w:tcPr>
          <w:p w14:paraId="486C4B4D" w14:textId="77777777" w:rsidR="008F2926" w:rsidRPr="004D4808" w:rsidRDefault="008F2926" w:rsidP="008F2926">
            <w:pPr>
              <w:rPr>
                <w:rFonts w:ascii="Arial" w:hAnsi="Arial" w:cs="Arial"/>
                <w:sz w:val="16"/>
                <w:szCs w:val="16"/>
                <w:lang w:eastAsia="es-AR"/>
              </w:rPr>
            </w:pPr>
            <w:r w:rsidRPr="004D4808">
              <w:rPr>
                <w:rFonts w:ascii="Arial" w:hAnsi="Arial" w:cs="Arial"/>
                <w:sz w:val="16"/>
                <w:szCs w:val="16"/>
                <w:lang w:eastAsia="es-AR"/>
              </w:rPr>
              <w:t xml:space="preserve">   Sector privado no financiero y residentes en el exterior </w:t>
            </w:r>
          </w:p>
        </w:tc>
        <w:tc>
          <w:tcPr>
            <w:tcW w:w="1030" w:type="dxa"/>
            <w:tcBorders>
              <w:top w:val="single" w:sz="4" w:space="0" w:color="auto"/>
              <w:left w:val="single" w:sz="8" w:space="0" w:color="auto"/>
              <w:bottom w:val="single" w:sz="4" w:space="0" w:color="auto"/>
              <w:right w:val="nil"/>
            </w:tcBorders>
            <w:shd w:val="clear" w:color="auto" w:fill="auto"/>
            <w:noWrap/>
            <w:vAlign w:val="bottom"/>
          </w:tcPr>
          <w:p w14:paraId="7D91A8E1" w14:textId="49EBE9CF"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62.159.141</w:t>
            </w:r>
          </w:p>
        </w:tc>
        <w:tc>
          <w:tcPr>
            <w:tcW w:w="941" w:type="dxa"/>
            <w:tcBorders>
              <w:top w:val="single" w:sz="4" w:space="0" w:color="auto"/>
              <w:left w:val="single" w:sz="8" w:space="0" w:color="auto"/>
              <w:bottom w:val="single" w:sz="4" w:space="0" w:color="auto"/>
              <w:right w:val="single" w:sz="8" w:space="0" w:color="auto"/>
            </w:tcBorders>
            <w:shd w:val="clear" w:color="auto" w:fill="auto"/>
            <w:noWrap/>
            <w:vAlign w:val="bottom"/>
          </w:tcPr>
          <w:p w14:paraId="5808ACC2" w14:textId="561AE447"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26.129.414</w:t>
            </w:r>
          </w:p>
        </w:tc>
        <w:tc>
          <w:tcPr>
            <w:tcW w:w="1030" w:type="dxa"/>
            <w:tcBorders>
              <w:top w:val="single" w:sz="4" w:space="0" w:color="auto"/>
              <w:left w:val="nil"/>
              <w:bottom w:val="single" w:sz="4" w:space="0" w:color="auto"/>
              <w:right w:val="nil"/>
            </w:tcBorders>
            <w:shd w:val="clear" w:color="auto" w:fill="auto"/>
            <w:noWrap/>
            <w:vAlign w:val="bottom"/>
          </w:tcPr>
          <w:p w14:paraId="5FD87367" w14:textId="7F3DDB2D"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88.288.555</w:t>
            </w:r>
          </w:p>
        </w:tc>
        <w:tc>
          <w:tcPr>
            <w:tcW w:w="1030" w:type="dxa"/>
            <w:gridSpan w:val="2"/>
            <w:tcBorders>
              <w:top w:val="single" w:sz="4" w:space="0" w:color="auto"/>
              <w:left w:val="single" w:sz="8" w:space="0" w:color="auto"/>
              <w:bottom w:val="single" w:sz="4" w:space="0" w:color="auto"/>
              <w:right w:val="nil"/>
            </w:tcBorders>
            <w:shd w:val="clear" w:color="auto" w:fill="auto"/>
            <w:noWrap/>
            <w:vAlign w:val="bottom"/>
            <w:hideMark/>
          </w:tcPr>
          <w:p w14:paraId="0DD029F6" w14:textId="1401B226"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56.840.354</w:t>
            </w:r>
          </w:p>
        </w:tc>
        <w:tc>
          <w:tcPr>
            <w:tcW w:w="94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5E6794B" w14:textId="71ADECDE"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20.260.162</w:t>
            </w:r>
          </w:p>
        </w:tc>
        <w:tc>
          <w:tcPr>
            <w:tcW w:w="1030" w:type="dxa"/>
            <w:tcBorders>
              <w:top w:val="single" w:sz="4" w:space="0" w:color="auto"/>
              <w:left w:val="nil"/>
              <w:bottom w:val="single" w:sz="4" w:space="0" w:color="auto"/>
              <w:right w:val="single" w:sz="8" w:space="0" w:color="auto"/>
            </w:tcBorders>
            <w:shd w:val="clear" w:color="auto" w:fill="auto"/>
            <w:noWrap/>
            <w:vAlign w:val="bottom"/>
            <w:hideMark/>
          </w:tcPr>
          <w:p w14:paraId="75C7EB30" w14:textId="15FB3BA7"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77.100.516</w:t>
            </w:r>
          </w:p>
        </w:tc>
      </w:tr>
      <w:tr w:rsidR="008F2926" w:rsidRPr="004D4808" w14:paraId="2ED89D66"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587CB238"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Otros títulos de deuda</w:t>
            </w:r>
          </w:p>
        </w:tc>
        <w:tc>
          <w:tcPr>
            <w:tcW w:w="1030" w:type="dxa"/>
            <w:tcBorders>
              <w:top w:val="nil"/>
              <w:left w:val="single" w:sz="8" w:space="0" w:color="auto"/>
              <w:bottom w:val="single" w:sz="4" w:space="0" w:color="auto"/>
              <w:right w:val="nil"/>
            </w:tcBorders>
            <w:shd w:val="clear" w:color="auto" w:fill="auto"/>
            <w:noWrap/>
            <w:vAlign w:val="bottom"/>
          </w:tcPr>
          <w:p w14:paraId="42CDFEE3" w14:textId="7E807752"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9.905.826</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73B81D8F" w14:textId="620D8B3B"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351.958</w:t>
            </w:r>
          </w:p>
        </w:tc>
        <w:tc>
          <w:tcPr>
            <w:tcW w:w="1030" w:type="dxa"/>
            <w:tcBorders>
              <w:top w:val="nil"/>
              <w:left w:val="nil"/>
              <w:bottom w:val="single" w:sz="4" w:space="0" w:color="auto"/>
              <w:right w:val="nil"/>
            </w:tcBorders>
            <w:shd w:val="clear" w:color="auto" w:fill="auto"/>
            <w:noWrap/>
            <w:vAlign w:val="bottom"/>
          </w:tcPr>
          <w:p w14:paraId="7952E1A5" w14:textId="68EE4DD2"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10.257.784</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7BA769F4" w14:textId="53C01BC7"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1.042.320</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6098AEF3" w14:textId="08494B43"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3.092.173</w:t>
            </w:r>
          </w:p>
        </w:tc>
        <w:tc>
          <w:tcPr>
            <w:tcW w:w="1030" w:type="dxa"/>
            <w:tcBorders>
              <w:top w:val="nil"/>
              <w:left w:val="nil"/>
              <w:bottom w:val="single" w:sz="4" w:space="0" w:color="auto"/>
              <w:right w:val="single" w:sz="8" w:space="0" w:color="auto"/>
            </w:tcBorders>
            <w:shd w:val="clear" w:color="auto" w:fill="auto"/>
            <w:noWrap/>
            <w:vAlign w:val="bottom"/>
            <w:hideMark/>
          </w:tcPr>
          <w:p w14:paraId="5C7C7D1D" w14:textId="662E06AC"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4.134.493</w:t>
            </w:r>
          </w:p>
        </w:tc>
      </w:tr>
      <w:tr w:rsidR="008F2926" w:rsidRPr="004D4808" w14:paraId="642D6F94"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471B200E"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Activos financieros entregados en garantía</w:t>
            </w:r>
          </w:p>
        </w:tc>
        <w:tc>
          <w:tcPr>
            <w:tcW w:w="1030" w:type="dxa"/>
            <w:tcBorders>
              <w:top w:val="nil"/>
              <w:left w:val="single" w:sz="8" w:space="0" w:color="auto"/>
              <w:bottom w:val="single" w:sz="4" w:space="0" w:color="auto"/>
              <w:right w:val="nil"/>
            </w:tcBorders>
            <w:shd w:val="clear" w:color="auto" w:fill="auto"/>
            <w:noWrap/>
            <w:vAlign w:val="bottom"/>
          </w:tcPr>
          <w:p w14:paraId="76A9964B" w14:textId="23B1D9B4"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5.326.949</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62F7B9F3" w14:textId="16FD0D40"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54A57F1C" w14:textId="792D4E6B"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5.326.949</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6C0A3B39" w14:textId="65C4F18B"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2.001.765</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5F8EE2AE" w14:textId="13D1D73E"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079B197C" w14:textId="1CE14827"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2.001.765</w:t>
            </w:r>
          </w:p>
        </w:tc>
      </w:tr>
      <w:tr w:rsidR="008F2926" w:rsidRPr="004D4808" w14:paraId="50CC64DD"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3E1E702F"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Activos por impuestos a las ganancias corriente</w:t>
            </w:r>
          </w:p>
        </w:tc>
        <w:tc>
          <w:tcPr>
            <w:tcW w:w="1030" w:type="dxa"/>
            <w:tcBorders>
              <w:top w:val="nil"/>
              <w:left w:val="single" w:sz="8" w:space="0" w:color="auto"/>
              <w:bottom w:val="single" w:sz="4" w:space="0" w:color="auto"/>
              <w:right w:val="nil"/>
            </w:tcBorders>
            <w:shd w:val="clear" w:color="auto" w:fill="auto"/>
            <w:noWrap/>
            <w:vAlign w:val="bottom"/>
          </w:tcPr>
          <w:p w14:paraId="30C298BC" w14:textId="4C27FCA6"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317.215</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346A4016" w14:textId="04F21962"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6B295306" w14:textId="0163EFB3"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317.215</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2B62EE83" w14:textId="6C3C6831"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426.881</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0D64EFA2" w14:textId="214C6868"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7449DDBC" w14:textId="510693F6"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426.881</w:t>
            </w:r>
          </w:p>
        </w:tc>
      </w:tr>
      <w:tr w:rsidR="008F2926" w:rsidRPr="004D4808" w14:paraId="45C50FBB"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4C465DF5"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Inversiones en instrumentos de patrimonio</w:t>
            </w:r>
          </w:p>
        </w:tc>
        <w:tc>
          <w:tcPr>
            <w:tcW w:w="1030" w:type="dxa"/>
            <w:tcBorders>
              <w:top w:val="nil"/>
              <w:left w:val="single" w:sz="8" w:space="0" w:color="auto"/>
              <w:bottom w:val="single" w:sz="4" w:space="0" w:color="auto"/>
              <w:right w:val="nil"/>
            </w:tcBorders>
            <w:shd w:val="clear" w:color="auto" w:fill="auto"/>
            <w:noWrap/>
            <w:vAlign w:val="bottom"/>
          </w:tcPr>
          <w:p w14:paraId="428F5A84" w14:textId="35145521"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109063FB" w14:textId="4FB5D884"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14.579</w:t>
            </w:r>
          </w:p>
        </w:tc>
        <w:tc>
          <w:tcPr>
            <w:tcW w:w="1030" w:type="dxa"/>
            <w:tcBorders>
              <w:top w:val="nil"/>
              <w:left w:val="nil"/>
              <w:bottom w:val="single" w:sz="4" w:space="0" w:color="auto"/>
              <w:right w:val="nil"/>
            </w:tcBorders>
            <w:shd w:val="clear" w:color="auto" w:fill="auto"/>
            <w:noWrap/>
            <w:vAlign w:val="bottom"/>
          </w:tcPr>
          <w:p w14:paraId="0E58487D" w14:textId="09A5FD4D"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14.579</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6BE18EA4" w14:textId="04323B18"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472A225D" w14:textId="3E5EC055"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10.404</w:t>
            </w:r>
          </w:p>
        </w:tc>
        <w:tc>
          <w:tcPr>
            <w:tcW w:w="1030" w:type="dxa"/>
            <w:tcBorders>
              <w:top w:val="nil"/>
              <w:left w:val="nil"/>
              <w:bottom w:val="single" w:sz="4" w:space="0" w:color="auto"/>
              <w:right w:val="single" w:sz="8" w:space="0" w:color="auto"/>
            </w:tcBorders>
            <w:shd w:val="clear" w:color="auto" w:fill="auto"/>
            <w:noWrap/>
            <w:vAlign w:val="bottom"/>
            <w:hideMark/>
          </w:tcPr>
          <w:p w14:paraId="36751C22" w14:textId="6AC5CF0F"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10.404</w:t>
            </w:r>
          </w:p>
        </w:tc>
      </w:tr>
      <w:tr w:rsidR="008F2926" w:rsidRPr="004D4808" w14:paraId="371CB1A1"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33F9486F"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Inversión en subsidiarias, asociadas y negocios conjuntos</w:t>
            </w:r>
          </w:p>
        </w:tc>
        <w:tc>
          <w:tcPr>
            <w:tcW w:w="1030" w:type="dxa"/>
            <w:tcBorders>
              <w:top w:val="nil"/>
              <w:left w:val="single" w:sz="8" w:space="0" w:color="auto"/>
              <w:bottom w:val="single" w:sz="4" w:space="0" w:color="auto"/>
              <w:right w:val="nil"/>
            </w:tcBorders>
            <w:shd w:val="clear" w:color="auto" w:fill="auto"/>
            <w:noWrap/>
            <w:vAlign w:val="bottom"/>
          </w:tcPr>
          <w:p w14:paraId="7D5C9972" w14:textId="6812B13F"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6477A36C" w14:textId="38A312BF"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42.783</w:t>
            </w:r>
          </w:p>
        </w:tc>
        <w:tc>
          <w:tcPr>
            <w:tcW w:w="1030" w:type="dxa"/>
            <w:tcBorders>
              <w:top w:val="nil"/>
              <w:left w:val="nil"/>
              <w:bottom w:val="single" w:sz="4" w:space="0" w:color="auto"/>
              <w:right w:val="nil"/>
            </w:tcBorders>
            <w:shd w:val="clear" w:color="auto" w:fill="auto"/>
            <w:noWrap/>
            <w:vAlign w:val="bottom"/>
          </w:tcPr>
          <w:p w14:paraId="5CC54D8F" w14:textId="305DD43A"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42.783</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183D534C" w14:textId="7FC54986"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03B1571D" w14:textId="4C4D0393"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48.878</w:t>
            </w:r>
          </w:p>
        </w:tc>
        <w:tc>
          <w:tcPr>
            <w:tcW w:w="1030" w:type="dxa"/>
            <w:tcBorders>
              <w:top w:val="nil"/>
              <w:left w:val="nil"/>
              <w:bottom w:val="single" w:sz="4" w:space="0" w:color="auto"/>
              <w:right w:val="single" w:sz="8" w:space="0" w:color="auto"/>
            </w:tcBorders>
            <w:shd w:val="clear" w:color="auto" w:fill="auto"/>
            <w:noWrap/>
            <w:vAlign w:val="bottom"/>
            <w:hideMark/>
          </w:tcPr>
          <w:p w14:paraId="4567B878" w14:textId="23BF60BE"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48.878</w:t>
            </w:r>
          </w:p>
        </w:tc>
      </w:tr>
      <w:tr w:rsidR="008F2926" w:rsidRPr="004D4808" w14:paraId="5A52C3E9"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62D745C1"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Propiedad, planta y equipo</w:t>
            </w:r>
          </w:p>
        </w:tc>
        <w:tc>
          <w:tcPr>
            <w:tcW w:w="1030" w:type="dxa"/>
            <w:tcBorders>
              <w:top w:val="nil"/>
              <w:left w:val="single" w:sz="8" w:space="0" w:color="auto"/>
              <w:bottom w:val="single" w:sz="4" w:space="0" w:color="auto"/>
              <w:right w:val="nil"/>
            </w:tcBorders>
            <w:shd w:val="clear" w:color="auto" w:fill="auto"/>
            <w:noWrap/>
            <w:vAlign w:val="bottom"/>
          </w:tcPr>
          <w:p w14:paraId="779BD5E6" w14:textId="3026AB0F"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3069E220" w14:textId="38A17904"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2.866.220</w:t>
            </w:r>
          </w:p>
        </w:tc>
        <w:tc>
          <w:tcPr>
            <w:tcW w:w="1030" w:type="dxa"/>
            <w:tcBorders>
              <w:top w:val="nil"/>
              <w:left w:val="nil"/>
              <w:bottom w:val="single" w:sz="4" w:space="0" w:color="auto"/>
              <w:right w:val="nil"/>
            </w:tcBorders>
            <w:shd w:val="clear" w:color="auto" w:fill="auto"/>
            <w:noWrap/>
            <w:vAlign w:val="bottom"/>
          </w:tcPr>
          <w:p w14:paraId="6914ABFB" w14:textId="43E3321D"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2.866.220</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5916AB87" w14:textId="13182125"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55BF30BC" w14:textId="166CD45A"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1.729.178</w:t>
            </w:r>
          </w:p>
        </w:tc>
        <w:tc>
          <w:tcPr>
            <w:tcW w:w="1030" w:type="dxa"/>
            <w:tcBorders>
              <w:top w:val="nil"/>
              <w:left w:val="nil"/>
              <w:bottom w:val="single" w:sz="4" w:space="0" w:color="auto"/>
              <w:right w:val="single" w:sz="8" w:space="0" w:color="auto"/>
            </w:tcBorders>
            <w:shd w:val="clear" w:color="auto" w:fill="auto"/>
            <w:noWrap/>
            <w:vAlign w:val="bottom"/>
            <w:hideMark/>
          </w:tcPr>
          <w:p w14:paraId="22BD7C35" w14:textId="78A17726"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1.729.178</w:t>
            </w:r>
          </w:p>
        </w:tc>
      </w:tr>
      <w:tr w:rsidR="008F2926" w:rsidRPr="004D4808" w14:paraId="775ECE79"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3432A680"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Activos intangibles</w:t>
            </w:r>
          </w:p>
        </w:tc>
        <w:tc>
          <w:tcPr>
            <w:tcW w:w="1030" w:type="dxa"/>
            <w:tcBorders>
              <w:top w:val="nil"/>
              <w:left w:val="single" w:sz="8" w:space="0" w:color="auto"/>
              <w:bottom w:val="single" w:sz="4" w:space="0" w:color="auto"/>
              <w:right w:val="nil"/>
            </w:tcBorders>
            <w:shd w:val="clear" w:color="auto" w:fill="auto"/>
            <w:noWrap/>
            <w:vAlign w:val="bottom"/>
          </w:tcPr>
          <w:p w14:paraId="162A42B6" w14:textId="7CA688F0" w:rsidR="008F2926" w:rsidRPr="004D4808" w:rsidRDefault="008F2926" w:rsidP="008F2926">
            <w:pPr>
              <w:jc w:val="right"/>
              <w:rPr>
                <w:rFonts w:ascii="Arial" w:hAnsi="Arial" w:cs="Arial"/>
                <w:sz w:val="16"/>
                <w:szCs w:val="16"/>
                <w:lang w:val="es-ES_tradnl" w:eastAsia="es-AR"/>
              </w:rPr>
            </w:pP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6E4DFB28" w14:textId="33E93CC9"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754.238</w:t>
            </w:r>
          </w:p>
        </w:tc>
        <w:tc>
          <w:tcPr>
            <w:tcW w:w="1030" w:type="dxa"/>
            <w:tcBorders>
              <w:top w:val="nil"/>
              <w:left w:val="nil"/>
              <w:bottom w:val="single" w:sz="4" w:space="0" w:color="auto"/>
              <w:right w:val="nil"/>
            </w:tcBorders>
            <w:shd w:val="clear" w:color="auto" w:fill="auto"/>
            <w:noWrap/>
            <w:vAlign w:val="bottom"/>
          </w:tcPr>
          <w:p w14:paraId="40A932D4" w14:textId="7D691A7A"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754.238</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360FCE40" w14:textId="6D9A23D0"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176841EC" w14:textId="7E8B757F"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406.460</w:t>
            </w:r>
          </w:p>
        </w:tc>
        <w:tc>
          <w:tcPr>
            <w:tcW w:w="1030" w:type="dxa"/>
            <w:tcBorders>
              <w:top w:val="nil"/>
              <w:left w:val="nil"/>
              <w:bottom w:val="single" w:sz="4" w:space="0" w:color="auto"/>
              <w:right w:val="single" w:sz="8" w:space="0" w:color="auto"/>
            </w:tcBorders>
            <w:shd w:val="clear" w:color="auto" w:fill="auto"/>
            <w:noWrap/>
            <w:vAlign w:val="bottom"/>
            <w:hideMark/>
          </w:tcPr>
          <w:p w14:paraId="15B5B7F4" w14:textId="531A3CEF"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406.460</w:t>
            </w:r>
          </w:p>
        </w:tc>
      </w:tr>
      <w:tr w:rsidR="008F2926" w:rsidRPr="004D4808" w14:paraId="100D99B0"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0B23F910"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Activos por impuesto a las ganancias diferido</w:t>
            </w:r>
          </w:p>
        </w:tc>
        <w:tc>
          <w:tcPr>
            <w:tcW w:w="1030" w:type="dxa"/>
            <w:tcBorders>
              <w:top w:val="nil"/>
              <w:left w:val="single" w:sz="8" w:space="0" w:color="auto"/>
              <w:bottom w:val="single" w:sz="4" w:space="0" w:color="auto"/>
              <w:right w:val="nil"/>
            </w:tcBorders>
            <w:shd w:val="clear" w:color="auto" w:fill="auto"/>
            <w:noWrap/>
            <w:vAlign w:val="bottom"/>
          </w:tcPr>
          <w:p w14:paraId="7E168D16" w14:textId="790EED27"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225.340</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422F80A0" w14:textId="570932C8"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1.276.927</w:t>
            </w:r>
          </w:p>
        </w:tc>
        <w:tc>
          <w:tcPr>
            <w:tcW w:w="1030" w:type="dxa"/>
            <w:tcBorders>
              <w:top w:val="nil"/>
              <w:left w:val="nil"/>
              <w:bottom w:val="single" w:sz="4" w:space="0" w:color="auto"/>
              <w:right w:val="nil"/>
            </w:tcBorders>
            <w:shd w:val="clear" w:color="auto" w:fill="auto"/>
            <w:noWrap/>
            <w:vAlign w:val="bottom"/>
          </w:tcPr>
          <w:p w14:paraId="336648E0" w14:textId="5969DE99"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1.502.267</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76068F8A" w14:textId="198D2B8F"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6.303</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74BD9CFD" w14:textId="65FEBBC2"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382.282</w:t>
            </w:r>
          </w:p>
        </w:tc>
        <w:tc>
          <w:tcPr>
            <w:tcW w:w="1030" w:type="dxa"/>
            <w:tcBorders>
              <w:top w:val="nil"/>
              <w:left w:val="nil"/>
              <w:bottom w:val="single" w:sz="4" w:space="0" w:color="auto"/>
              <w:right w:val="single" w:sz="8" w:space="0" w:color="auto"/>
            </w:tcBorders>
            <w:shd w:val="clear" w:color="auto" w:fill="auto"/>
            <w:noWrap/>
            <w:vAlign w:val="bottom"/>
            <w:hideMark/>
          </w:tcPr>
          <w:p w14:paraId="293C797E" w14:textId="5EE107C6"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388.585</w:t>
            </w:r>
          </w:p>
        </w:tc>
      </w:tr>
      <w:tr w:rsidR="008F2926" w:rsidRPr="004D4808" w14:paraId="14E24DD4" w14:textId="77777777" w:rsidTr="006E1AF7">
        <w:trPr>
          <w:gridAfter w:val="1"/>
          <w:wAfter w:w="10" w:type="dxa"/>
          <w:trHeight w:val="209"/>
          <w:jc w:val="center"/>
        </w:trPr>
        <w:tc>
          <w:tcPr>
            <w:tcW w:w="2772" w:type="dxa"/>
            <w:tcBorders>
              <w:top w:val="nil"/>
              <w:left w:val="single" w:sz="8" w:space="0" w:color="auto"/>
              <w:bottom w:val="single" w:sz="4" w:space="0" w:color="auto"/>
              <w:right w:val="nil"/>
            </w:tcBorders>
            <w:shd w:val="clear" w:color="auto" w:fill="auto"/>
            <w:vAlign w:val="bottom"/>
            <w:hideMark/>
          </w:tcPr>
          <w:p w14:paraId="74CDB047"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Otros activos no financieros</w:t>
            </w:r>
          </w:p>
        </w:tc>
        <w:tc>
          <w:tcPr>
            <w:tcW w:w="1030" w:type="dxa"/>
            <w:tcBorders>
              <w:top w:val="nil"/>
              <w:left w:val="single" w:sz="8" w:space="0" w:color="auto"/>
              <w:bottom w:val="single" w:sz="4" w:space="0" w:color="auto"/>
              <w:right w:val="nil"/>
            </w:tcBorders>
            <w:shd w:val="clear" w:color="auto" w:fill="auto"/>
            <w:noWrap/>
            <w:vAlign w:val="bottom"/>
          </w:tcPr>
          <w:p w14:paraId="11F08E9B" w14:textId="20CC69E1"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252.085</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549B78B2" w14:textId="387DE481"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4.447.375</w:t>
            </w:r>
          </w:p>
        </w:tc>
        <w:tc>
          <w:tcPr>
            <w:tcW w:w="1030" w:type="dxa"/>
            <w:tcBorders>
              <w:top w:val="nil"/>
              <w:left w:val="nil"/>
              <w:bottom w:val="single" w:sz="4" w:space="0" w:color="auto"/>
              <w:right w:val="nil"/>
            </w:tcBorders>
            <w:shd w:val="clear" w:color="auto" w:fill="auto"/>
            <w:noWrap/>
            <w:vAlign w:val="bottom"/>
          </w:tcPr>
          <w:p w14:paraId="6B721AD4" w14:textId="69B509D5"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4.699.460</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137C32E0" w14:textId="25E04876"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157.816</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1EB87898" w14:textId="045D07B6"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844.489</w:t>
            </w:r>
          </w:p>
        </w:tc>
        <w:tc>
          <w:tcPr>
            <w:tcW w:w="1030" w:type="dxa"/>
            <w:tcBorders>
              <w:top w:val="nil"/>
              <w:left w:val="nil"/>
              <w:bottom w:val="single" w:sz="4" w:space="0" w:color="auto"/>
              <w:right w:val="single" w:sz="8" w:space="0" w:color="auto"/>
            </w:tcBorders>
            <w:shd w:val="clear" w:color="auto" w:fill="auto"/>
            <w:noWrap/>
            <w:vAlign w:val="bottom"/>
            <w:hideMark/>
          </w:tcPr>
          <w:p w14:paraId="25F7220F" w14:textId="3A985B1E"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1.002.305</w:t>
            </w:r>
          </w:p>
        </w:tc>
      </w:tr>
      <w:tr w:rsidR="008F2926" w:rsidRPr="004D4808" w14:paraId="1704E30D" w14:textId="77777777" w:rsidTr="006E1AF7">
        <w:trPr>
          <w:gridAfter w:val="1"/>
          <w:wAfter w:w="10" w:type="dxa"/>
          <w:trHeight w:val="222"/>
          <w:jc w:val="center"/>
        </w:trPr>
        <w:tc>
          <w:tcPr>
            <w:tcW w:w="2772" w:type="dxa"/>
            <w:tcBorders>
              <w:top w:val="nil"/>
              <w:left w:val="single" w:sz="8" w:space="0" w:color="auto"/>
              <w:bottom w:val="nil"/>
              <w:right w:val="nil"/>
            </w:tcBorders>
            <w:shd w:val="clear" w:color="auto" w:fill="auto"/>
            <w:vAlign w:val="bottom"/>
            <w:hideMark/>
          </w:tcPr>
          <w:p w14:paraId="48D07038"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Activos no corrientes mantenidos para la venta</w:t>
            </w:r>
          </w:p>
        </w:tc>
        <w:tc>
          <w:tcPr>
            <w:tcW w:w="1030" w:type="dxa"/>
            <w:tcBorders>
              <w:top w:val="nil"/>
              <w:left w:val="single" w:sz="8" w:space="0" w:color="auto"/>
              <w:bottom w:val="single" w:sz="4" w:space="0" w:color="auto"/>
              <w:right w:val="nil"/>
            </w:tcBorders>
            <w:shd w:val="clear" w:color="auto" w:fill="auto"/>
            <w:noWrap/>
            <w:vAlign w:val="bottom"/>
          </w:tcPr>
          <w:p w14:paraId="7F6DE2A4" w14:textId="5D0699A7"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359CA6AA" w14:textId="50B3F0A5"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tcBorders>
              <w:top w:val="nil"/>
              <w:left w:val="nil"/>
              <w:bottom w:val="single" w:sz="4" w:space="0" w:color="auto"/>
              <w:right w:val="nil"/>
            </w:tcBorders>
            <w:shd w:val="clear" w:color="auto" w:fill="auto"/>
            <w:noWrap/>
            <w:vAlign w:val="bottom"/>
          </w:tcPr>
          <w:p w14:paraId="55B28F9D" w14:textId="61471AB3"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3E3C5B4B" w14:textId="64351C43"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2.800</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2C871D3F" w14:textId="23CEAD05"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5679BAEC" w14:textId="4AD06265"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2.800</w:t>
            </w:r>
          </w:p>
        </w:tc>
      </w:tr>
      <w:tr w:rsidR="00DB1559" w:rsidRPr="004D4808" w14:paraId="31EA1557" w14:textId="77777777" w:rsidTr="00DB1559">
        <w:trPr>
          <w:gridAfter w:val="1"/>
          <w:wAfter w:w="10" w:type="dxa"/>
          <w:trHeight w:val="222"/>
          <w:jc w:val="center"/>
        </w:trPr>
        <w:tc>
          <w:tcPr>
            <w:tcW w:w="2772" w:type="dxa"/>
            <w:tcBorders>
              <w:top w:val="single" w:sz="8" w:space="0" w:color="auto"/>
              <w:left w:val="single" w:sz="8" w:space="0" w:color="auto"/>
              <w:bottom w:val="single" w:sz="8" w:space="0" w:color="auto"/>
              <w:right w:val="nil"/>
            </w:tcBorders>
            <w:shd w:val="clear" w:color="000000" w:fill="D0CECE"/>
            <w:vAlign w:val="bottom"/>
            <w:hideMark/>
          </w:tcPr>
          <w:p w14:paraId="3187321B"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 xml:space="preserve">TOTAL ACTIVO </w:t>
            </w:r>
          </w:p>
        </w:tc>
        <w:tc>
          <w:tcPr>
            <w:tcW w:w="1030" w:type="dxa"/>
            <w:tcBorders>
              <w:top w:val="single" w:sz="8" w:space="0" w:color="auto"/>
              <w:left w:val="single" w:sz="8" w:space="0" w:color="auto"/>
              <w:bottom w:val="single" w:sz="8" w:space="0" w:color="auto"/>
              <w:right w:val="nil"/>
            </w:tcBorders>
            <w:shd w:val="clear" w:color="000000" w:fill="D0CECE"/>
            <w:noWrap/>
            <w:vAlign w:val="bottom"/>
          </w:tcPr>
          <w:p w14:paraId="2A99FB1E" w14:textId="7456FDD8"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105.661.980</w:t>
            </w:r>
          </w:p>
        </w:tc>
        <w:tc>
          <w:tcPr>
            <w:tcW w:w="941" w:type="dxa"/>
            <w:tcBorders>
              <w:top w:val="single" w:sz="8" w:space="0" w:color="auto"/>
              <w:left w:val="single" w:sz="8" w:space="0" w:color="auto"/>
              <w:bottom w:val="single" w:sz="8" w:space="0" w:color="auto"/>
              <w:right w:val="single" w:sz="8" w:space="0" w:color="auto"/>
            </w:tcBorders>
            <w:shd w:val="clear" w:color="000000" w:fill="D0CECE"/>
            <w:noWrap/>
            <w:vAlign w:val="bottom"/>
          </w:tcPr>
          <w:p w14:paraId="70438869" w14:textId="3492782F"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35.937.001</w:t>
            </w:r>
          </w:p>
        </w:tc>
        <w:tc>
          <w:tcPr>
            <w:tcW w:w="1030" w:type="dxa"/>
            <w:tcBorders>
              <w:top w:val="single" w:sz="8" w:space="0" w:color="auto"/>
              <w:left w:val="nil"/>
              <w:bottom w:val="single" w:sz="8" w:space="0" w:color="auto"/>
              <w:right w:val="single" w:sz="8" w:space="0" w:color="auto"/>
            </w:tcBorders>
            <w:shd w:val="clear" w:color="000000" w:fill="D0CECE"/>
            <w:noWrap/>
            <w:vAlign w:val="bottom"/>
          </w:tcPr>
          <w:p w14:paraId="69D50E2A" w14:textId="7DF9FFF2" w:rsidR="008F2926" w:rsidRPr="004D4808" w:rsidRDefault="00B40A89" w:rsidP="008F2926">
            <w:pPr>
              <w:jc w:val="right"/>
              <w:rPr>
                <w:rFonts w:ascii="Arial" w:hAnsi="Arial" w:cs="Arial"/>
                <w:b/>
                <w:bCs/>
                <w:sz w:val="16"/>
                <w:szCs w:val="16"/>
                <w:lang w:val="es-ES_tradnl" w:eastAsia="es-AR"/>
              </w:rPr>
            </w:pPr>
            <w:r>
              <w:rPr>
                <w:rFonts w:ascii="Arial" w:hAnsi="Arial" w:cs="Arial"/>
                <w:b/>
                <w:bCs/>
                <w:sz w:val="16"/>
                <w:szCs w:val="16"/>
                <w:lang w:val="es-ES_tradnl" w:eastAsia="es-AR"/>
              </w:rPr>
              <w:t>141.598.981</w:t>
            </w:r>
          </w:p>
        </w:tc>
        <w:tc>
          <w:tcPr>
            <w:tcW w:w="1030" w:type="dxa"/>
            <w:gridSpan w:val="2"/>
            <w:tcBorders>
              <w:top w:val="single" w:sz="8" w:space="0" w:color="auto"/>
              <w:left w:val="nil"/>
              <w:bottom w:val="single" w:sz="8" w:space="0" w:color="auto"/>
              <w:right w:val="nil"/>
            </w:tcBorders>
            <w:shd w:val="clear" w:color="000000" w:fill="D0CECE"/>
            <w:noWrap/>
            <w:vAlign w:val="bottom"/>
            <w:hideMark/>
          </w:tcPr>
          <w:p w14:paraId="2D8D625C" w14:textId="51CCD881"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110.346.55</w:t>
            </w:r>
            <w:r>
              <w:rPr>
                <w:rFonts w:ascii="Arial" w:hAnsi="Arial" w:cs="Arial"/>
                <w:b/>
                <w:bCs/>
                <w:sz w:val="16"/>
                <w:szCs w:val="16"/>
                <w:lang w:eastAsia="es-AR"/>
              </w:rPr>
              <w:t>4</w:t>
            </w:r>
          </w:p>
        </w:tc>
        <w:tc>
          <w:tcPr>
            <w:tcW w:w="941" w:type="dxa"/>
            <w:tcBorders>
              <w:top w:val="single" w:sz="8" w:space="0" w:color="auto"/>
              <w:left w:val="single" w:sz="8" w:space="0" w:color="auto"/>
              <w:bottom w:val="single" w:sz="8" w:space="0" w:color="auto"/>
              <w:right w:val="single" w:sz="8" w:space="0" w:color="auto"/>
            </w:tcBorders>
            <w:shd w:val="clear" w:color="000000" w:fill="D0CECE"/>
            <w:noWrap/>
            <w:vAlign w:val="bottom"/>
            <w:hideMark/>
          </w:tcPr>
          <w:p w14:paraId="24033BFD" w14:textId="5D4CF2C8"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26.839.67</w:t>
            </w:r>
            <w:r>
              <w:rPr>
                <w:rFonts w:ascii="Arial" w:hAnsi="Arial" w:cs="Arial"/>
                <w:b/>
                <w:bCs/>
                <w:sz w:val="16"/>
                <w:szCs w:val="16"/>
                <w:lang w:eastAsia="es-AR"/>
              </w:rPr>
              <w:t>6</w:t>
            </w:r>
          </w:p>
        </w:tc>
        <w:tc>
          <w:tcPr>
            <w:tcW w:w="1030" w:type="dxa"/>
            <w:tcBorders>
              <w:top w:val="single" w:sz="8" w:space="0" w:color="auto"/>
              <w:left w:val="nil"/>
              <w:bottom w:val="single" w:sz="8" w:space="0" w:color="auto"/>
              <w:right w:val="single" w:sz="8" w:space="0" w:color="auto"/>
            </w:tcBorders>
            <w:shd w:val="clear" w:color="000000" w:fill="D0CECE"/>
            <w:noWrap/>
            <w:vAlign w:val="bottom"/>
            <w:hideMark/>
          </w:tcPr>
          <w:p w14:paraId="2B212736" w14:textId="7407D922" w:rsidR="008F2926" w:rsidRPr="004D4808" w:rsidRDefault="008F2926" w:rsidP="008F2926">
            <w:pPr>
              <w:jc w:val="right"/>
              <w:rPr>
                <w:rFonts w:ascii="Arial" w:hAnsi="Arial" w:cs="Arial"/>
                <w:b/>
                <w:bCs/>
                <w:sz w:val="16"/>
                <w:szCs w:val="16"/>
                <w:lang w:val="es-ES_tradnl" w:eastAsia="es-AR"/>
              </w:rPr>
            </w:pPr>
            <w:r w:rsidRPr="004D4808">
              <w:rPr>
                <w:rFonts w:ascii="Arial" w:hAnsi="Arial" w:cs="Arial"/>
                <w:b/>
                <w:bCs/>
                <w:sz w:val="16"/>
                <w:szCs w:val="16"/>
                <w:lang w:eastAsia="es-AR"/>
              </w:rPr>
              <w:t>137.186.230</w:t>
            </w:r>
          </w:p>
        </w:tc>
      </w:tr>
    </w:tbl>
    <w:p w14:paraId="6D186EC5" w14:textId="77777777" w:rsidR="00C31392" w:rsidRDefault="00C31392" w:rsidP="00C31392">
      <w:pPr>
        <w:autoSpaceDE w:val="0"/>
        <w:autoSpaceDN w:val="0"/>
        <w:adjustRightInd w:val="0"/>
        <w:rPr>
          <w:rFonts w:ascii="Arial" w:hAnsi="Arial" w:cs="Arial"/>
          <w:sz w:val="20"/>
          <w:lang w:eastAsia="es-AR"/>
        </w:rPr>
      </w:pPr>
    </w:p>
    <w:tbl>
      <w:tblPr>
        <w:tblW w:w="9107" w:type="dxa"/>
        <w:jc w:val="center"/>
        <w:tblCellMar>
          <w:left w:w="70" w:type="dxa"/>
          <w:right w:w="70" w:type="dxa"/>
        </w:tblCellMar>
        <w:tblLook w:val="04A0" w:firstRow="1" w:lastRow="0" w:firstColumn="1" w:lastColumn="0" w:noHBand="0" w:noVBand="1"/>
      </w:tblPr>
      <w:tblGrid>
        <w:gridCol w:w="2778"/>
        <w:gridCol w:w="1120"/>
        <w:gridCol w:w="1100"/>
        <w:gridCol w:w="1100"/>
        <w:gridCol w:w="8"/>
        <w:gridCol w:w="1022"/>
        <w:gridCol w:w="941"/>
        <w:gridCol w:w="1030"/>
        <w:gridCol w:w="8"/>
      </w:tblGrid>
      <w:tr w:rsidR="00C31392" w:rsidRPr="004D4808" w14:paraId="4C6FDB24" w14:textId="77777777" w:rsidTr="006E1AF7">
        <w:trPr>
          <w:trHeight w:val="231"/>
          <w:jc w:val="center"/>
        </w:trPr>
        <w:tc>
          <w:tcPr>
            <w:tcW w:w="2778" w:type="dxa"/>
            <w:tcBorders>
              <w:top w:val="nil"/>
              <w:left w:val="nil"/>
              <w:bottom w:val="nil"/>
              <w:right w:val="nil"/>
            </w:tcBorders>
            <w:shd w:val="clear" w:color="000000" w:fill="FFFFFF"/>
            <w:hideMark/>
          </w:tcPr>
          <w:p w14:paraId="5D5E70FA" w14:textId="77777777" w:rsidR="00C31392" w:rsidRPr="004D4808" w:rsidRDefault="00C31392" w:rsidP="00C31392">
            <w:pPr>
              <w:rPr>
                <w:rFonts w:ascii="Arial" w:hAnsi="Arial" w:cs="Arial"/>
                <w:b/>
                <w:bCs/>
                <w:sz w:val="16"/>
                <w:szCs w:val="16"/>
                <w:lang w:eastAsia="es-AR"/>
              </w:rPr>
            </w:pPr>
            <w:r w:rsidRPr="004D4808">
              <w:rPr>
                <w:rFonts w:ascii="Arial" w:hAnsi="Arial" w:cs="Arial"/>
                <w:b/>
                <w:bCs/>
                <w:sz w:val="16"/>
                <w:szCs w:val="16"/>
                <w:lang w:eastAsia="es-AR"/>
              </w:rPr>
              <w:t> </w:t>
            </w:r>
          </w:p>
        </w:tc>
        <w:tc>
          <w:tcPr>
            <w:tcW w:w="332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B2118F1" w14:textId="66DE61EC"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31/12/201</w:t>
            </w:r>
            <w:r w:rsidR="008F2926">
              <w:rPr>
                <w:rFonts w:ascii="Arial" w:hAnsi="Arial" w:cs="Arial"/>
                <w:b/>
                <w:bCs/>
                <w:sz w:val="16"/>
                <w:szCs w:val="16"/>
                <w:lang w:eastAsia="es-AR"/>
              </w:rPr>
              <w:t>9</w:t>
            </w:r>
          </w:p>
        </w:tc>
        <w:tc>
          <w:tcPr>
            <w:tcW w:w="3001"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0FC67B2B" w14:textId="3226A102"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31/12/201</w:t>
            </w:r>
            <w:r w:rsidR="008F2926">
              <w:rPr>
                <w:rFonts w:ascii="Arial" w:hAnsi="Arial" w:cs="Arial"/>
                <w:b/>
                <w:bCs/>
                <w:sz w:val="16"/>
                <w:szCs w:val="16"/>
                <w:lang w:eastAsia="es-AR"/>
              </w:rPr>
              <w:t>8</w:t>
            </w:r>
          </w:p>
        </w:tc>
      </w:tr>
      <w:tr w:rsidR="00C31392" w:rsidRPr="004D4808" w14:paraId="5987E40C" w14:textId="77777777" w:rsidTr="006E1AF7">
        <w:trPr>
          <w:gridAfter w:val="1"/>
          <w:wAfter w:w="8" w:type="dxa"/>
          <w:trHeight w:val="231"/>
          <w:jc w:val="center"/>
        </w:trPr>
        <w:tc>
          <w:tcPr>
            <w:tcW w:w="2778" w:type="dxa"/>
            <w:tcBorders>
              <w:top w:val="nil"/>
              <w:left w:val="nil"/>
              <w:bottom w:val="nil"/>
              <w:right w:val="nil"/>
            </w:tcBorders>
            <w:shd w:val="clear" w:color="000000" w:fill="FFFFFF"/>
            <w:hideMark/>
          </w:tcPr>
          <w:p w14:paraId="7A36C898" w14:textId="77777777" w:rsidR="00C31392" w:rsidRPr="004D4808" w:rsidRDefault="00C31392" w:rsidP="00C31392">
            <w:pPr>
              <w:rPr>
                <w:rFonts w:ascii="Arial" w:hAnsi="Arial" w:cs="Arial"/>
                <w:b/>
                <w:bCs/>
                <w:sz w:val="16"/>
                <w:szCs w:val="16"/>
                <w:lang w:eastAsia="es-AR"/>
              </w:rPr>
            </w:pPr>
            <w:r w:rsidRPr="004D4808">
              <w:rPr>
                <w:rFonts w:ascii="Arial" w:hAnsi="Arial" w:cs="Arial"/>
                <w:b/>
                <w:bCs/>
                <w:sz w:val="16"/>
                <w:szCs w:val="16"/>
                <w:lang w:eastAsia="es-AR"/>
              </w:rPr>
              <w:t> </w:t>
            </w:r>
          </w:p>
        </w:tc>
        <w:tc>
          <w:tcPr>
            <w:tcW w:w="1120" w:type="dxa"/>
            <w:tcBorders>
              <w:top w:val="nil"/>
              <w:left w:val="single" w:sz="8" w:space="0" w:color="auto"/>
              <w:bottom w:val="single" w:sz="8" w:space="0" w:color="auto"/>
              <w:right w:val="nil"/>
            </w:tcBorders>
            <w:shd w:val="clear" w:color="auto" w:fill="auto"/>
            <w:noWrap/>
            <w:vAlign w:val="bottom"/>
            <w:hideMark/>
          </w:tcPr>
          <w:p w14:paraId="22BA6B3A"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12 meses</w:t>
            </w:r>
          </w:p>
        </w:tc>
        <w:tc>
          <w:tcPr>
            <w:tcW w:w="1100" w:type="dxa"/>
            <w:tcBorders>
              <w:top w:val="nil"/>
              <w:left w:val="single" w:sz="8" w:space="0" w:color="auto"/>
              <w:bottom w:val="single" w:sz="8" w:space="0" w:color="auto"/>
              <w:right w:val="single" w:sz="8" w:space="0" w:color="auto"/>
            </w:tcBorders>
            <w:shd w:val="clear" w:color="auto" w:fill="auto"/>
            <w:noWrap/>
            <w:vAlign w:val="bottom"/>
            <w:hideMark/>
          </w:tcPr>
          <w:p w14:paraId="64B05B39"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Mas de 12 meses</w:t>
            </w:r>
          </w:p>
        </w:tc>
        <w:tc>
          <w:tcPr>
            <w:tcW w:w="1100" w:type="dxa"/>
            <w:tcBorders>
              <w:top w:val="nil"/>
              <w:left w:val="nil"/>
              <w:bottom w:val="single" w:sz="8" w:space="0" w:color="auto"/>
              <w:right w:val="nil"/>
            </w:tcBorders>
            <w:shd w:val="clear" w:color="auto" w:fill="auto"/>
            <w:noWrap/>
            <w:vAlign w:val="bottom"/>
            <w:hideMark/>
          </w:tcPr>
          <w:p w14:paraId="5CA87AAA"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Total</w:t>
            </w:r>
          </w:p>
        </w:tc>
        <w:tc>
          <w:tcPr>
            <w:tcW w:w="1030" w:type="dxa"/>
            <w:gridSpan w:val="2"/>
            <w:tcBorders>
              <w:top w:val="nil"/>
              <w:left w:val="single" w:sz="8" w:space="0" w:color="auto"/>
              <w:bottom w:val="single" w:sz="8" w:space="0" w:color="auto"/>
              <w:right w:val="nil"/>
            </w:tcBorders>
            <w:shd w:val="clear" w:color="auto" w:fill="auto"/>
            <w:noWrap/>
            <w:vAlign w:val="bottom"/>
            <w:hideMark/>
          </w:tcPr>
          <w:p w14:paraId="4676A73F"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12 meses</w:t>
            </w:r>
          </w:p>
        </w:tc>
        <w:tc>
          <w:tcPr>
            <w:tcW w:w="941" w:type="dxa"/>
            <w:tcBorders>
              <w:top w:val="nil"/>
              <w:left w:val="single" w:sz="8" w:space="0" w:color="auto"/>
              <w:bottom w:val="single" w:sz="8" w:space="0" w:color="auto"/>
              <w:right w:val="single" w:sz="8" w:space="0" w:color="auto"/>
            </w:tcBorders>
            <w:shd w:val="clear" w:color="auto" w:fill="auto"/>
            <w:noWrap/>
            <w:vAlign w:val="bottom"/>
            <w:hideMark/>
          </w:tcPr>
          <w:p w14:paraId="50FAED68"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Mas de 12 meses</w:t>
            </w:r>
          </w:p>
        </w:tc>
        <w:tc>
          <w:tcPr>
            <w:tcW w:w="1030" w:type="dxa"/>
            <w:tcBorders>
              <w:top w:val="nil"/>
              <w:left w:val="nil"/>
              <w:bottom w:val="single" w:sz="8" w:space="0" w:color="auto"/>
              <w:right w:val="single" w:sz="8" w:space="0" w:color="auto"/>
            </w:tcBorders>
            <w:shd w:val="clear" w:color="auto" w:fill="auto"/>
            <w:noWrap/>
            <w:vAlign w:val="bottom"/>
            <w:hideMark/>
          </w:tcPr>
          <w:p w14:paraId="4572A099" w14:textId="77777777" w:rsidR="00C31392" w:rsidRPr="004D4808" w:rsidRDefault="00C31392" w:rsidP="00C31392">
            <w:pPr>
              <w:jc w:val="center"/>
              <w:rPr>
                <w:rFonts w:ascii="Arial" w:hAnsi="Arial" w:cs="Arial"/>
                <w:b/>
                <w:bCs/>
                <w:sz w:val="16"/>
                <w:szCs w:val="16"/>
                <w:lang w:eastAsia="es-AR"/>
              </w:rPr>
            </w:pPr>
            <w:r w:rsidRPr="004D4808">
              <w:rPr>
                <w:rFonts w:ascii="Arial" w:hAnsi="Arial" w:cs="Arial"/>
                <w:b/>
                <w:bCs/>
                <w:sz w:val="16"/>
                <w:szCs w:val="16"/>
                <w:lang w:eastAsia="es-AR"/>
              </w:rPr>
              <w:t>Total</w:t>
            </w:r>
          </w:p>
        </w:tc>
      </w:tr>
      <w:tr w:rsidR="00D560FE" w:rsidRPr="004D4808" w14:paraId="1CDD14E4" w14:textId="77777777" w:rsidTr="00D560FE">
        <w:trPr>
          <w:gridAfter w:val="1"/>
          <w:wAfter w:w="8" w:type="dxa"/>
          <w:trHeight w:val="231"/>
          <w:jc w:val="center"/>
        </w:trPr>
        <w:tc>
          <w:tcPr>
            <w:tcW w:w="2778" w:type="dxa"/>
            <w:tcBorders>
              <w:top w:val="single" w:sz="8" w:space="0" w:color="auto"/>
              <w:left w:val="single" w:sz="8" w:space="0" w:color="auto"/>
              <w:bottom w:val="single" w:sz="8" w:space="0" w:color="auto"/>
              <w:right w:val="nil"/>
            </w:tcBorders>
            <w:shd w:val="clear" w:color="000000" w:fill="D0CECE"/>
            <w:noWrap/>
            <w:vAlign w:val="bottom"/>
            <w:hideMark/>
          </w:tcPr>
          <w:p w14:paraId="4D4491BA" w14:textId="77777777" w:rsidR="00C31392" w:rsidRPr="004D4808" w:rsidRDefault="00C31392" w:rsidP="00C31392">
            <w:pPr>
              <w:rPr>
                <w:rFonts w:ascii="Arial" w:hAnsi="Arial" w:cs="Arial"/>
                <w:b/>
                <w:bCs/>
                <w:sz w:val="16"/>
                <w:szCs w:val="16"/>
                <w:lang w:eastAsia="es-AR"/>
              </w:rPr>
            </w:pPr>
            <w:r w:rsidRPr="004D4808">
              <w:rPr>
                <w:rFonts w:ascii="Arial" w:hAnsi="Arial" w:cs="Arial"/>
                <w:b/>
                <w:bCs/>
                <w:sz w:val="16"/>
                <w:szCs w:val="16"/>
                <w:lang w:eastAsia="es-AR"/>
              </w:rPr>
              <w:t>PASIVO</w:t>
            </w:r>
          </w:p>
        </w:tc>
        <w:tc>
          <w:tcPr>
            <w:tcW w:w="1120" w:type="dxa"/>
            <w:tcBorders>
              <w:top w:val="nil"/>
              <w:left w:val="single" w:sz="8" w:space="0" w:color="auto"/>
              <w:bottom w:val="single" w:sz="8" w:space="0" w:color="auto"/>
              <w:right w:val="nil"/>
            </w:tcBorders>
            <w:shd w:val="clear" w:color="000000" w:fill="D0CECE"/>
            <w:noWrap/>
            <w:vAlign w:val="bottom"/>
            <w:hideMark/>
          </w:tcPr>
          <w:p w14:paraId="5A975F97" w14:textId="77777777" w:rsidR="00C31392" w:rsidRPr="004D4808" w:rsidRDefault="00C31392" w:rsidP="00C31392">
            <w:pPr>
              <w:jc w:val="center"/>
              <w:rPr>
                <w:rFonts w:ascii="Arial" w:hAnsi="Arial" w:cs="Arial"/>
                <w:sz w:val="16"/>
                <w:szCs w:val="16"/>
                <w:lang w:eastAsia="es-AR"/>
              </w:rPr>
            </w:pPr>
            <w:r w:rsidRPr="004D4808">
              <w:rPr>
                <w:rFonts w:ascii="Arial" w:hAnsi="Arial" w:cs="Arial"/>
                <w:sz w:val="16"/>
                <w:szCs w:val="16"/>
                <w:lang w:eastAsia="es-AR"/>
              </w:rPr>
              <w:t> </w:t>
            </w:r>
          </w:p>
        </w:tc>
        <w:tc>
          <w:tcPr>
            <w:tcW w:w="1100" w:type="dxa"/>
            <w:tcBorders>
              <w:top w:val="nil"/>
              <w:left w:val="single" w:sz="8" w:space="0" w:color="auto"/>
              <w:bottom w:val="single" w:sz="8" w:space="0" w:color="auto"/>
              <w:right w:val="single" w:sz="8" w:space="0" w:color="auto"/>
            </w:tcBorders>
            <w:shd w:val="clear" w:color="000000" w:fill="D0CECE"/>
            <w:noWrap/>
            <w:vAlign w:val="bottom"/>
            <w:hideMark/>
          </w:tcPr>
          <w:p w14:paraId="7C3B0795" w14:textId="77777777" w:rsidR="00C31392" w:rsidRPr="004D4808" w:rsidRDefault="00C31392" w:rsidP="00C31392">
            <w:pPr>
              <w:jc w:val="center"/>
              <w:rPr>
                <w:rFonts w:ascii="Arial" w:hAnsi="Arial" w:cs="Arial"/>
                <w:sz w:val="16"/>
                <w:szCs w:val="16"/>
                <w:lang w:eastAsia="es-AR"/>
              </w:rPr>
            </w:pPr>
            <w:r w:rsidRPr="004D4808">
              <w:rPr>
                <w:rFonts w:ascii="Arial" w:hAnsi="Arial" w:cs="Arial"/>
                <w:sz w:val="16"/>
                <w:szCs w:val="16"/>
                <w:lang w:eastAsia="es-AR"/>
              </w:rPr>
              <w:t> </w:t>
            </w:r>
          </w:p>
        </w:tc>
        <w:tc>
          <w:tcPr>
            <w:tcW w:w="1100" w:type="dxa"/>
            <w:tcBorders>
              <w:top w:val="nil"/>
              <w:left w:val="nil"/>
              <w:bottom w:val="single" w:sz="8" w:space="0" w:color="auto"/>
              <w:right w:val="nil"/>
            </w:tcBorders>
            <w:shd w:val="clear" w:color="000000" w:fill="D0CECE"/>
            <w:noWrap/>
            <w:vAlign w:val="bottom"/>
            <w:hideMark/>
          </w:tcPr>
          <w:p w14:paraId="7F9ED643" w14:textId="77777777" w:rsidR="00C31392" w:rsidRPr="004D4808" w:rsidRDefault="00C31392" w:rsidP="00C31392">
            <w:pPr>
              <w:jc w:val="center"/>
              <w:rPr>
                <w:rFonts w:ascii="Arial" w:hAnsi="Arial" w:cs="Arial"/>
                <w:sz w:val="16"/>
                <w:szCs w:val="16"/>
                <w:lang w:eastAsia="es-AR"/>
              </w:rPr>
            </w:pPr>
            <w:r w:rsidRPr="004D4808">
              <w:rPr>
                <w:rFonts w:ascii="Arial" w:hAnsi="Arial" w:cs="Arial"/>
                <w:sz w:val="16"/>
                <w:szCs w:val="16"/>
                <w:lang w:eastAsia="es-AR"/>
              </w:rPr>
              <w:t> </w:t>
            </w:r>
          </w:p>
        </w:tc>
        <w:tc>
          <w:tcPr>
            <w:tcW w:w="1030" w:type="dxa"/>
            <w:gridSpan w:val="2"/>
            <w:tcBorders>
              <w:top w:val="nil"/>
              <w:left w:val="single" w:sz="8" w:space="0" w:color="auto"/>
              <w:bottom w:val="single" w:sz="8" w:space="0" w:color="auto"/>
              <w:right w:val="nil"/>
            </w:tcBorders>
            <w:shd w:val="clear" w:color="000000" w:fill="D0CECE"/>
            <w:noWrap/>
            <w:vAlign w:val="bottom"/>
            <w:hideMark/>
          </w:tcPr>
          <w:p w14:paraId="0B8EC15A" w14:textId="77777777" w:rsidR="00C31392" w:rsidRPr="004D4808" w:rsidRDefault="00C31392" w:rsidP="00C31392">
            <w:pPr>
              <w:jc w:val="center"/>
              <w:rPr>
                <w:rFonts w:ascii="Arial" w:hAnsi="Arial" w:cs="Arial"/>
                <w:sz w:val="16"/>
                <w:szCs w:val="16"/>
                <w:lang w:eastAsia="es-AR"/>
              </w:rPr>
            </w:pPr>
            <w:r w:rsidRPr="004D4808">
              <w:rPr>
                <w:rFonts w:ascii="Arial" w:hAnsi="Arial" w:cs="Arial"/>
                <w:sz w:val="16"/>
                <w:szCs w:val="16"/>
                <w:lang w:eastAsia="es-AR"/>
              </w:rPr>
              <w:t> </w:t>
            </w:r>
          </w:p>
        </w:tc>
        <w:tc>
          <w:tcPr>
            <w:tcW w:w="941" w:type="dxa"/>
            <w:tcBorders>
              <w:top w:val="nil"/>
              <w:left w:val="single" w:sz="8" w:space="0" w:color="auto"/>
              <w:bottom w:val="single" w:sz="8" w:space="0" w:color="auto"/>
              <w:right w:val="single" w:sz="8" w:space="0" w:color="auto"/>
            </w:tcBorders>
            <w:shd w:val="clear" w:color="000000" w:fill="D0CECE"/>
            <w:noWrap/>
            <w:vAlign w:val="bottom"/>
            <w:hideMark/>
          </w:tcPr>
          <w:p w14:paraId="7E9C5AA8" w14:textId="77777777" w:rsidR="00C31392" w:rsidRPr="004D4808" w:rsidRDefault="00C31392" w:rsidP="00C31392">
            <w:pPr>
              <w:jc w:val="center"/>
              <w:rPr>
                <w:rFonts w:ascii="Arial" w:hAnsi="Arial" w:cs="Arial"/>
                <w:sz w:val="16"/>
                <w:szCs w:val="16"/>
                <w:lang w:eastAsia="es-AR"/>
              </w:rPr>
            </w:pPr>
            <w:r w:rsidRPr="004D4808">
              <w:rPr>
                <w:rFonts w:ascii="Arial" w:hAnsi="Arial" w:cs="Arial"/>
                <w:sz w:val="16"/>
                <w:szCs w:val="16"/>
                <w:lang w:eastAsia="es-AR"/>
              </w:rPr>
              <w:t> </w:t>
            </w:r>
          </w:p>
        </w:tc>
        <w:tc>
          <w:tcPr>
            <w:tcW w:w="1030" w:type="dxa"/>
            <w:tcBorders>
              <w:top w:val="nil"/>
              <w:left w:val="nil"/>
              <w:bottom w:val="single" w:sz="8" w:space="0" w:color="auto"/>
              <w:right w:val="single" w:sz="8" w:space="0" w:color="auto"/>
            </w:tcBorders>
            <w:shd w:val="clear" w:color="000000" w:fill="D0CECE"/>
            <w:noWrap/>
            <w:vAlign w:val="bottom"/>
            <w:hideMark/>
          </w:tcPr>
          <w:p w14:paraId="4F4ECB61" w14:textId="77777777" w:rsidR="00C31392" w:rsidRPr="004D4808" w:rsidRDefault="00C31392" w:rsidP="00C31392">
            <w:pPr>
              <w:jc w:val="center"/>
              <w:rPr>
                <w:rFonts w:ascii="Arial" w:hAnsi="Arial" w:cs="Arial"/>
                <w:sz w:val="16"/>
                <w:szCs w:val="16"/>
                <w:lang w:eastAsia="es-AR"/>
              </w:rPr>
            </w:pPr>
            <w:r w:rsidRPr="004D4808">
              <w:rPr>
                <w:rFonts w:ascii="Arial" w:hAnsi="Arial" w:cs="Arial"/>
                <w:sz w:val="16"/>
                <w:szCs w:val="16"/>
                <w:lang w:eastAsia="es-AR"/>
              </w:rPr>
              <w:t> </w:t>
            </w:r>
          </w:p>
        </w:tc>
      </w:tr>
      <w:tr w:rsidR="008F2926" w:rsidRPr="004D4808" w14:paraId="32462688"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hideMark/>
          </w:tcPr>
          <w:p w14:paraId="687741B2"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Depósitos</w:t>
            </w:r>
          </w:p>
        </w:tc>
        <w:tc>
          <w:tcPr>
            <w:tcW w:w="1120" w:type="dxa"/>
            <w:tcBorders>
              <w:top w:val="nil"/>
              <w:left w:val="single" w:sz="8" w:space="0" w:color="auto"/>
              <w:bottom w:val="single" w:sz="4" w:space="0" w:color="auto"/>
              <w:right w:val="nil"/>
            </w:tcBorders>
            <w:shd w:val="clear" w:color="auto" w:fill="auto"/>
            <w:noWrap/>
            <w:vAlign w:val="bottom"/>
          </w:tcPr>
          <w:p w14:paraId="422045D2" w14:textId="6EEFAB16"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91.476.26</w:t>
            </w:r>
            <w:r w:rsidR="001678CC">
              <w:rPr>
                <w:rFonts w:ascii="Arial" w:hAnsi="Arial" w:cs="Arial"/>
                <w:sz w:val="16"/>
                <w:szCs w:val="16"/>
                <w:lang w:val="es-ES_tradnl" w:eastAsia="es-AR"/>
              </w:rPr>
              <w:t>6</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6B23624D" w14:textId="725534E2"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1.200</w:t>
            </w:r>
          </w:p>
        </w:tc>
        <w:tc>
          <w:tcPr>
            <w:tcW w:w="1100" w:type="dxa"/>
            <w:tcBorders>
              <w:top w:val="nil"/>
              <w:left w:val="nil"/>
              <w:bottom w:val="single" w:sz="4" w:space="0" w:color="auto"/>
              <w:right w:val="nil"/>
            </w:tcBorders>
            <w:shd w:val="clear" w:color="auto" w:fill="auto"/>
            <w:noWrap/>
            <w:vAlign w:val="bottom"/>
          </w:tcPr>
          <w:p w14:paraId="477F1C15" w14:textId="7AABBACE"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91.477.46</w:t>
            </w:r>
            <w:r w:rsidR="001678CC">
              <w:rPr>
                <w:rFonts w:ascii="Arial" w:hAnsi="Arial" w:cs="Arial"/>
                <w:sz w:val="16"/>
                <w:szCs w:val="16"/>
                <w:lang w:val="es-ES_tradnl" w:eastAsia="es-AR"/>
              </w:rPr>
              <w:t>6</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7265320F" w14:textId="5E7BAA65"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95.579.893</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2F3E60E3" w14:textId="70115943"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86.578</w:t>
            </w:r>
          </w:p>
        </w:tc>
        <w:tc>
          <w:tcPr>
            <w:tcW w:w="1030" w:type="dxa"/>
            <w:tcBorders>
              <w:top w:val="nil"/>
              <w:left w:val="nil"/>
              <w:bottom w:val="single" w:sz="4" w:space="0" w:color="auto"/>
              <w:right w:val="single" w:sz="8" w:space="0" w:color="auto"/>
            </w:tcBorders>
            <w:shd w:val="clear" w:color="auto" w:fill="auto"/>
            <w:noWrap/>
            <w:vAlign w:val="bottom"/>
            <w:hideMark/>
          </w:tcPr>
          <w:p w14:paraId="0717ACA0" w14:textId="0ECC4637"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95.666.471</w:t>
            </w:r>
          </w:p>
        </w:tc>
      </w:tr>
      <w:tr w:rsidR="008F2926" w:rsidRPr="004D4808" w14:paraId="7B8EE7EE"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hideMark/>
          </w:tcPr>
          <w:p w14:paraId="4840EFEB" w14:textId="77777777" w:rsidR="008F2926" w:rsidRPr="004D4808" w:rsidRDefault="008F2926" w:rsidP="008F2926">
            <w:pPr>
              <w:rPr>
                <w:rFonts w:ascii="Arial" w:hAnsi="Arial" w:cs="Arial"/>
                <w:sz w:val="16"/>
                <w:szCs w:val="16"/>
                <w:lang w:eastAsia="es-AR"/>
              </w:rPr>
            </w:pPr>
            <w:r w:rsidRPr="004D4808">
              <w:rPr>
                <w:rFonts w:ascii="Arial" w:hAnsi="Arial" w:cs="Arial"/>
                <w:sz w:val="16"/>
                <w:szCs w:val="16"/>
                <w:lang w:eastAsia="es-AR"/>
              </w:rPr>
              <w:t xml:space="preserve">   Sector público no financiero</w:t>
            </w:r>
          </w:p>
        </w:tc>
        <w:tc>
          <w:tcPr>
            <w:tcW w:w="1120" w:type="dxa"/>
            <w:tcBorders>
              <w:top w:val="nil"/>
              <w:left w:val="single" w:sz="8" w:space="0" w:color="auto"/>
              <w:bottom w:val="single" w:sz="4" w:space="0" w:color="auto"/>
              <w:right w:val="nil"/>
            </w:tcBorders>
            <w:shd w:val="clear" w:color="auto" w:fill="auto"/>
            <w:noWrap/>
            <w:vAlign w:val="bottom"/>
          </w:tcPr>
          <w:p w14:paraId="7E40F344" w14:textId="5479F716"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5.470.177</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1CC1834C" w14:textId="6608DBE2"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100" w:type="dxa"/>
            <w:tcBorders>
              <w:top w:val="nil"/>
              <w:left w:val="nil"/>
              <w:bottom w:val="single" w:sz="4" w:space="0" w:color="auto"/>
              <w:right w:val="nil"/>
            </w:tcBorders>
            <w:shd w:val="clear" w:color="auto" w:fill="auto"/>
            <w:noWrap/>
            <w:vAlign w:val="bottom"/>
          </w:tcPr>
          <w:p w14:paraId="46D6BD5F" w14:textId="041C58AA" w:rsidR="008F2926" w:rsidRPr="004D4808" w:rsidRDefault="00B40A89" w:rsidP="008F2926">
            <w:pPr>
              <w:jc w:val="right"/>
              <w:rPr>
                <w:rFonts w:ascii="Arial" w:hAnsi="Arial" w:cs="Arial"/>
                <w:sz w:val="16"/>
                <w:szCs w:val="16"/>
                <w:lang w:val="es-ES_tradnl" w:eastAsia="es-AR"/>
              </w:rPr>
            </w:pPr>
            <w:r>
              <w:rPr>
                <w:rFonts w:ascii="Arial" w:hAnsi="Arial" w:cs="Arial"/>
                <w:sz w:val="16"/>
                <w:szCs w:val="16"/>
                <w:lang w:val="es-ES_tradnl" w:eastAsia="es-AR"/>
              </w:rPr>
              <w:t>5.470.177</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372BB948" w14:textId="36E6EDC9"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11.105.477</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236FDBD8" w14:textId="4710C904"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1551BB66" w14:textId="13F35A31"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11.105.477</w:t>
            </w:r>
          </w:p>
        </w:tc>
      </w:tr>
      <w:tr w:rsidR="008F2926" w:rsidRPr="004D4808" w14:paraId="78AE0EF7"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hideMark/>
          </w:tcPr>
          <w:p w14:paraId="34649849" w14:textId="77777777" w:rsidR="008F2926" w:rsidRPr="004D4808" w:rsidRDefault="008F2926" w:rsidP="008F2926">
            <w:pPr>
              <w:rPr>
                <w:rFonts w:ascii="Arial" w:hAnsi="Arial" w:cs="Arial"/>
                <w:sz w:val="16"/>
                <w:szCs w:val="16"/>
                <w:lang w:eastAsia="es-AR"/>
              </w:rPr>
            </w:pPr>
            <w:r w:rsidRPr="004D4808">
              <w:rPr>
                <w:rFonts w:ascii="Arial" w:hAnsi="Arial" w:cs="Arial"/>
                <w:sz w:val="16"/>
                <w:szCs w:val="16"/>
                <w:lang w:eastAsia="es-AR"/>
              </w:rPr>
              <w:t xml:space="preserve">   Sector financiero</w:t>
            </w:r>
          </w:p>
        </w:tc>
        <w:tc>
          <w:tcPr>
            <w:tcW w:w="1120" w:type="dxa"/>
            <w:tcBorders>
              <w:top w:val="nil"/>
              <w:left w:val="single" w:sz="8" w:space="0" w:color="auto"/>
              <w:bottom w:val="single" w:sz="4" w:space="0" w:color="auto"/>
              <w:right w:val="nil"/>
            </w:tcBorders>
            <w:shd w:val="clear" w:color="auto" w:fill="auto"/>
            <w:noWrap/>
            <w:vAlign w:val="bottom"/>
          </w:tcPr>
          <w:p w14:paraId="1233080E" w14:textId="106F6FCB"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28.098</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4AC8CB44" w14:textId="1E20742C"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100" w:type="dxa"/>
            <w:tcBorders>
              <w:top w:val="nil"/>
              <w:left w:val="nil"/>
              <w:bottom w:val="single" w:sz="4" w:space="0" w:color="auto"/>
              <w:right w:val="nil"/>
            </w:tcBorders>
            <w:shd w:val="clear" w:color="auto" w:fill="auto"/>
            <w:noWrap/>
            <w:vAlign w:val="bottom"/>
          </w:tcPr>
          <w:p w14:paraId="142AC2CD" w14:textId="1A14B77C"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28.098</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477FF6CF" w14:textId="647C7EDA"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25.236</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132C2FDB" w14:textId="0EE65541"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21349111" w14:textId="7071DB37"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25.236</w:t>
            </w:r>
          </w:p>
        </w:tc>
      </w:tr>
      <w:tr w:rsidR="008F2926" w:rsidRPr="004D4808" w14:paraId="285BA102"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hideMark/>
          </w:tcPr>
          <w:p w14:paraId="4881191C" w14:textId="77777777" w:rsidR="008F2926" w:rsidRPr="004D4808" w:rsidRDefault="008F2926" w:rsidP="008F2926">
            <w:pPr>
              <w:rPr>
                <w:rFonts w:ascii="Arial" w:hAnsi="Arial" w:cs="Arial"/>
                <w:sz w:val="16"/>
                <w:szCs w:val="16"/>
                <w:lang w:eastAsia="es-AR"/>
              </w:rPr>
            </w:pPr>
            <w:r w:rsidRPr="004D4808">
              <w:rPr>
                <w:rFonts w:ascii="Arial" w:hAnsi="Arial" w:cs="Arial"/>
                <w:sz w:val="16"/>
                <w:szCs w:val="16"/>
                <w:lang w:eastAsia="es-AR"/>
              </w:rPr>
              <w:t xml:space="preserve">   Sector privado no financiero y residentes en el exterior</w:t>
            </w:r>
          </w:p>
        </w:tc>
        <w:tc>
          <w:tcPr>
            <w:tcW w:w="1120" w:type="dxa"/>
            <w:tcBorders>
              <w:top w:val="nil"/>
              <w:left w:val="single" w:sz="8" w:space="0" w:color="auto"/>
              <w:bottom w:val="single" w:sz="4" w:space="0" w:color="auto"/>
              <w:right w:val="nil"/>
            </w:tcBorders>
            <w:shd w:val="clear" w:color="auto" w:fill="auto"/>
            <w:noWrap/>
            <w:vAlign w:val="bottom"/>
          </w:tcPr>
          <w:p w14:paraId="1BAD18EC" w14:textId="5F82DE1F"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85.977.991</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5AA1CFBA" w14:textId="05AB9EC0"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1.200</w:t>
            </w:r>
          </w:p>
        </w:tc>
        <w:tc>
          <w:tcPr>
            <w:tcW w:w="1100" w:type="dxa"/>
            <w:tcBorders>
              <w:top w:val="nil"/>
              <w:left w:val="nil"/>
              <w:bottom w:val="single" w:sz="4" w:space="0" w:color="auto"/>
              <w:right w:val="nil"/>
            </w:tcBorders>
            <w:shd w:val="clear" w:color="auto" w:fill="auto"/>
            <w:noWrap/>
            <w:vAlign w:val="bottom"/>
          </w:tcPr>
          <w:p w14:paraId="0CAB030B" w14:textId="6925D59F"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85.979.191</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17A062C3" w14:textId="55C2D971"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84.449.180</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7EF99B4B" w14:textId="78E799BA"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86.578</w:t>
            </w:r>
          </w:p>
        </w:tc>
        <w:tc>
          <w:tcPr>
            <w:tcW w:w="1030" w:type="dxa"/>
            <w:tcBorders>
              <w:top w:val="nil"/>
              <w:left w:val="nil"/>
              <w:bottom w:val="single" w:sz="4" w:space="0" w:color="auto"/>
              <w:right w:val="single" w:sz="8" w:space="0" w:color="auto"/>
            </w:tcBorders>
            <w:shd w:val="clear" w:color="auto" w:fill="auto"/>
            <w:noWrap/>
            <w:vAlign w:val="bottom"/>
            <w:hideMark/>
          </w:tcPr>
          <w:p w14:paraId="48C77EE3" w14:textId="1C22F382"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84.535.758</w:t>
            </w:r>
          </w:p>
        </w:tc>
      </w:tr>
      <w:tr w:rsidR="008F2926" w:rsidRPr="004D4808" w14:paraId="03756A61"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hideMark/>
          </w:tcPr>
          <w:p w14:paraId="5E3C9BB2"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Pasivos a valor razonable con cambios en resultados</w:t>
            </w:r>
          </w:p>
        </w:tc>
        <w:tc>
          <w:tcPr>
            <w:tcW w:w="1120" w:type="dxa"/>
            <w:tcBorders>
              <w:top w:val="nil"/>
              <w:left w:val="single" w:sz="8" w:space="0" w:color="auto"/>
              <w:bottom w:val="single" w:sz="4" w:space="0" w:color="auto"/>
              <w:right w:val="nil"/>
            </w:tcBorders>
            <w:shd w:val="clear" w:color="auto" w:fill="auto"/>
            <w:noWrap/>
            <w:vAlign w:val="bottom"/>
          </w:tcPr>
          <w:p w14:paraId="562DF0ED" w14:textId="62FC5416"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189.554</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3B809834" w14:textId="0532ABDC"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100" w:type="dxa"/>
            <w:tcBorders>
              <w:top w:val="nil"/>
              <w:left w:val="nil"/>
              <w:bottom w:val="single" w:sz="4" w:space="0" w:color="auto"/>
              <w:right w:val="nil"/>
            </w:tcBorders>
            <w:shd w:val="clear" w:color="auto" w:fill="auto"/>
            <w:noWrap/>
            <w:vAlign w:val="bottom"/>
          </w:tcPr>
          <w:p w14:paraId="4F5BD024" w14:textId="5BA813CD"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189.554</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104CD956" w14:textId="701F5991"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1.097.033</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6F3A6D10" w14:textId="3094F51D"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2F770130" w14:textId="63C75C23"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1.097.033</w:t>
            </w:r>
          </w:p>
        </w:tc>
      </w:tr>
      <w:tr w:rsidR="008F2926" w:rsidRPr="004D4808" w14:paraId="2EB5636B"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hideMark/>
          </w:tcPr>
          <w:p w14:paraId="4A7EB9D8" w14:textId="77777777" w:rsidR="008F2926" w:rsidRPr="004D4808" w:rsidRDefault="008F2926" w:rsidP="008F2926">
            <w:pPr>
              <w:rPr>
                <w:rFonts w:ascii="Arial" w:hAnsi="Arial" w:cs="Arial"/>
                <w:b/>
                <w:bCs/>
                <w:sz w:val="16"/>
                <w:szCs w:val="16"/>
                <w:lang w:eastAsia="es-AR"/>
              </w:rPr>
            </w:pPr>
            <w:r w:rsidRPr="004D4808">
              <w:rPr>
                <w:rFonts w:ascii="Arial" w:hAnsi="Arial" w:cs="Arial"/>
                <w:b/>
                <w:bCs/>
                <w:sz w:val="16"/>
                <w:szCs w:val="16"/>
                <w:lang w:eastAsia="es-AR"/>
              </w:rPr>
              <w:t>Instrumentos derivados</w:t>
            </w:r>
          </w:p>
        </w:tc>
        <w:tc>
          <w:tcPr>
            <w:tcW w:w="1120" w:type="dxa"/>
            <w:tcBorders>
              <w:top w:val="nil"/>
              <w:left w:val="single" w:sz="8" w:space="0" w:color="auto"/>
              <w:bottom w:val="single" w:sz="4" w:space="0" w:color="auto"/>
              <w:right w:val="nil"/>
            </w:tcBorders>
            <w:shd w:val="clear" w:color="auto" w:fill="auto"/>
            <w:noWrap/>
            <w:vAlign w:val="bottom"/>
          </w:tcPr>
          <w:p w14:paraId="7AAC6C8E" w14:textId="5A0C87EC"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43CD82AA" w14:textId="2DC74A84"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100" w:type="dxa"/>
            <w:tcBorders>
              <w:top w:val="nil"/>
              <w:left w:val="nil"/>
              <w:bottom w:val="single" w:sz="4" w:space="0" w:color="auto"/>
              <w:right w:val="nil"/>
            </w:tcBorders>
            <w:shd w:val="clear" w:color="auto" w:fill="auto"/>
            <w:noWrap/>
            <w:vAlign w:val="bottom"/>
          </w:tcPr>
          <w:p w14:paraId="3E1A8FFF" w14:textId="5182855D" w:rsidR="008F2926" w:rsidRPr="004D4808"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1C12F41E" w14:textId="4B0E4961"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94.222</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1E2BEB82" w14:textId="74782874"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15F68E14" w14:textId="76E28B79" w:rsidR="008F2926" w:rsidRPr="004D4808" w:rsidRDefault="008F2926" w:rsidP="008F2926">
            <w:pPr>
              <w:jc w:val="right"/>
              <w:rPr>
                <w:rFonts w:ascii="Arial" w:hAnsi="Arial" w:cs="Arial"/>
                <w:sz w:val="16"/>
                <w:szCs w:val="16"/>
                <w:lang w:val="es-ES_tradnl" w:eastAsia="es-AR"/>
              </w:rPr>
            </w:pPr>
            <w:r w:rsidRPr="004D4808">
              <w:rPr>
                <w:rFonts w:ascii="Arial" w:hAnsi="Arial" w:cs="Arial"/>
                <w:sz w:val="16"/>
                <w:szCs w:val="16"/>
                <w:lang w:eastAsia="es-AR"/>
              </w:rPr>
              <w:t>94.222</w:t>
            </w:r>
          </w:p>
        </w:tc>
      </w:tr>
      <w:tr w:rsidR="008835ED" w:rsidRPr="004D4808" w14:paraId="24DE70CC"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tcPr>
          <w:p w14:paraId="469365A5" w14:textId="3B04B2F1" w:rsidR="008835ED" w:rsidRPr="004D4808" w:rsidRDefault="008835ED" w:rsidP="008F2926">
            <w:pPr>
              <w:rPr>
                <w:rFonts w:ascii="Arial" w:hAnsi="Arial" w:cs="Arial"/>
                <w:b/>
                <w:bCs/>
                <w:sz w:val="16"/>
                <w:szCs w:val="16"/>
                <w:lang w:eastAsia="es-AR"/>
              </w:rPr>
            </w:pPr>
            <w:r>
              <w:rPr>
                <w:rFonts w:ascii="Arial" w:hAnsi="Arial" w:cs="Arial"/>
                <w:b/>
                <w:bCs/>
                <w:sz w:val="16"/>
                <w:szCs w:val="16"/>
                <w:lang w:eastAsia="es-AR"/>
              </w:rPr>
              <w:t>Operaciones de pase</w:t>
            </w:r>
          </w:p>
        </w:tc>
        <w:tc>
          <w:tcPr>
            <w:tcW w:w="1120" w:type="dxa"/>
            <w:tcBorders>
              <w:top w:val="nil"/>
              <w:left w:val="single" w:sz="8" w:space="0" w:color="auto"/>
              <w:bottom w:val="single" w:sz="4" w:space="0" w:color="auto"/>
              <w:right w:val="nil"/>
            </w:tcBorders>
            <w:shd w:val="clear" w:color="auto" w:fill="auto"/>
            <w:noWrap/>
            <w:vAlign w:val="bottom"/>
          </w:tcPr>
          <w:p w14:paraId="1FAF3D84" w14:textId="1DC586FF" w:rsidR="008835ED"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319.817</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20D7AAE0" w14:textId="3DD8B69C" w:rsidR="008835ED"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100" w:type="dxa"/>
            <w:tcBorders>
              <w:top w:val="nil"/>
              <w:left w:val="nil"/>
              <w:bottom w:val="single" w:sz="4" w:space="0" w:color="auto"/>
              <w:right w:val="nil"/>
            </w:tcBorders>
            <w:shd w:val="clear" w:color="auto" w:fill="auto"/>
            <w:noWrap/>
            <w:vAlign w:val="bottom"/>
          </w:tcPr>
          <w:p w14:paraId="0CC31684" w14:textId="4D11867D" w:rsidR="008835ED" w:rsidRDefault="008835ED" w:rsidP="008F2926">
            <w:pPr>
              <w:jc w:val="right"/>
              <w:rPr>
                <w:rFonts w:ascii="Arial" w:hAnsi="Arial" w:cs="Arial"/>
                <w:sz w:val="16"/>
                <w:szCs w:val="16"/>
                <w:lang w:val="es-ES_tradnl" w:eastAsia="es-AR"/>
              </w:rPr>
            </w:pPr>
            <w:r>
              <w:rPr>
                <w:rFonts w:ascii="Arial" w:hAnsi="Arial" w:cs="Arial"/>
                <w:sz w:val="16"/>
                <w:szCs w:val="16"/>
                <w:lang w:val="es-ES_tradnl" w:eastAsia="es-AR"/>
              </w:rPr>
              <w:t>319.817</w:t>
            </w:r>
          </w:p>
        </w:tc>
        <w:tc>
          <w:tcPr>
            <w:tcW w:w="1030" w:type="dxa"/>
            <w:gridSpan w:val="2"/>
            <w:tcBorders>
              <w:top w:val="nil"/>
              <w:left w:val="single" w:sz="8" w:space="0" w:color="auto"/>
              <w:bottom w:val="single" w:sz="4" w:space="0" w:color="auto"/>
              <w:right w:val="nil"/>
            </w:tcBorders>
            <w:shd w:val="clear" w:color="auto" w:fill="auto"/>
            <w:noWrap/>
            <w:vAlign w:val="bottom"/>
          </w:tcPr>
          <w:p w14:paraId="33436FD7" w14:textId="34613E62" w:rsidR="008835ED" w:rsidRPr="004D4808" w:rsidRDefault="008835ED" w:rsidP="008F2926">
            <w:pPr>
              <w:jc w:val="right"/>
              <w:rPr>
                <w:rFonts w:ascii="Arial" w:hAnsi="Arial" w:cs="Arial"/>
                <w:sz w:val="16"/>
                <w:szCs w:val="16"/>
                <w:lang w:eastAsia="es-AR"/>
              </w:rPr>
            </w:pPr>
            <w:r>
              <w:rPr>
                <w:rFonts w:ascii="Arial" w:hAnsi="Arial" w:cs="Arial"/>
                <w:sz w:val="16"/>
                <w:szCs w:val="16"/>
                <w:lang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tcPr>
          <w:p w14:paraId="3D265330" w14:textId="11A2FF56" w:rsidR="008835ED" w:rsidRPr="004D4808" w:rsidRDefault="008835ED" w:rsidP="008F2926">
            <w:pPr>
              <w:jc w:val="right"/>
              <w:rPr>
                <w:rFonts w:ascii="Arial" w:hAnsi="Arial" w:cs="Arial"/>
                <w:sz w:val="16"/>
                <w:szCs w:val="16"/>
                <w:lang w:eastAsia="es-AR"/>
              </w:rPr>
            </w:pPr>
            <w:r>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tcPr>
          <w:p w14:paraId="0252283D" w14:textId="352A2F87" w:rsidR="008835ED" w:rsidRPr="004D4808" w:rsidRDefault="008835ED" w:rsidP="008F2926">
            <w:pPr>
              <w:jc w:val="right"/>
              <w:rPr>
                <w:rFonts w:ascii="Arial" w:hAnsi="Arial" w:cs="Arial"/>
                <w:sz w:val="16"/>
                <w:szCs w:val="16"/>
                <w:lang w:eastAsia="es-AR"/>
              </w:rPr>
            </w:pPr>
            <w:r>
              <w:rPr>
                <w:rFonts w:ascii="Arial" w:hAnsi="Arial" w:cs="Arial"/>
                <w:sz w:val="16"/>
                <w:szCs w:val="16"/>
                <w:lang w:eastAsia="es-AR"/>
              </w:rPr>
              <w:t>-</w:t>
            </w:r>
          </w:p>
        </w:tc>
      </w:tr>
      <w:tr w:rsidR="00D560FE" w:rsidRPr="004D4808" w14:paraId="3911A6DA"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hideMark/>
          </w:tcPr>
          <w:p w14:paraId="7FB3C4A7" w14:textId="77777777" w:rsidR="00D560FE" w:rsidRPr="004D4808" w:rsidRDefault="00D560FE" w:rsidP="00D560FE">
            <w:pPr>
              <w:rPr>
                <w:rFonts w:ascii="Arial" w:hAnsi="Arial" w:cs="Arial"/>
                <w:b/>
                <w:bCs/>
                <w:sz w:val="16"/>
                <w:szCs w:val="16"/>
                <w:lang w:eastAsia="es-AR"/>
              </w:rPr>
            </w:pPr>
            <w:r w:rsidRPr="004D4808">
              <w:rPr>
                <w:rFonts w:ascii="Arial" w:hAnsi="Arial" w:cs="Arial"/>
                <w:b/>
                <w:bCs/>
                <w:sz w:val="16"/>
                <w:szCs w:val="16"/>
                <w:lang w:eastAsia="es-AR"/>
              </w:rPr>
              <w:t>Otros pasivos financieros</w:t>
            </w:r>
          </w:p>
        </w:tc>
        <w:tc>
          <w:tcPr>
            <w:tcW w:w="1120" w:type="dxa"/>
            <w:tcBorders>
              <w:top w:val="nil"/>
              <w:left w:val="single" w:sz="8" w:space="0" w:color="auto"/>
              <w:bottom w:val="single" w:sz="4" w:space="0" w:color="auto"/>
              <w:right w:val="nil"/>
            </w:tcBorders>
            <w:shd w:val="clear" w:color="auto" w:fill="auto"/>
            <w:noWrap/>
            <w:vAlign w:val="bottom"/>
          </w:tcPr>
          <w:p w14:paraId="2E8C3122" w14:textId="3E8D1393"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6.358.086 </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53459F92" w14:textId="4534BBF4"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560.465 </w:t>
            </w:r>
          </w:p>
        </w:tc>
        <w:tc>
          <w:tcPr>
            <w:tcW w:w="1100" w:type="dxa"/>
            <w:tcBorders>
              <w:top w:val="nil"/>
              <w:left w:val="nil"/>
              <w:bottom w:val="single" w:sz="4" w:space="0" w:color="auto"/>
              <w:right w:val="nil"/>
            </w:tcBorders>
            <w:shd w:val="clear" w:color="auto" w:fill="auto"/>
            <w:noWrap/>
            <w:vAlign w:val="bottom"/>
          </w:tcPr>
          <w:p w14:paraId="3107830D" w14:textId="131B5968"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6.918.551 </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083B497E" w14:textId="5FB62D31"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3.194.150</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657F09FD" w14:textId="2BFA651C"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175.373</w:t>
            </w:r>
          </w:p>
        </w:tc>
        <w:tc>
          <w:tcPr>
            <w:tcW w:w="1030" w:type="dxa"/>
            <w:tcBorders>
              <w:top w:val="nil"/>
              <w:left w:val="nil"/>
              <w:bottom w:val="single" w:sz="4" w:space="0" w:color="auto"/>
              <w:right w:val="single" w:sz="8" w:space="0" w:color="auto"/>
            </w:tcBorders>
            <w:shd w:val="clear" w:color="auto" w:fill="auto"/>
            <w:noWrap/>
            <w:vAlign w:val="bottom"/>
            <w:hideMark/>
          </w:tcPr>
          <w:p w14:paraId="55AF16FC" w14:textId="35148613"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3.369.523</w:t>
            </w:r>
          </w:p>
        </w:tc>
      </w:tr>
      <w:tr w:rsidR="00D560FE" w:rsidRPr="004D4808" w14:paraId="4FF5F992" w14:textId="77777777" w:rsidTr="006E1AF7">
        <w:trPr>
          <w:gridAfter w:val="1"/>
          <w:wAfter w:w="8" w:type="dxa"/>
          <w:trHeight w:val="408"/>
          <w:jc w:val="center"/>
        </w:trPr>
        <w:tc>
          <w:tcPr>
            <w:tcW w:w="2778" w:type="dxa"/>
            <w:tcBorders>
              <w:top w:val="nil"/>
              <w:left w:val="single" w:sz="8" w:space="0" w:color="auto"/>
              <w:bottom w:val="single" w:sz="4" w:space="0" w:color="auto"/>
              <w:right w:val="nil"/>
            </w:tcBorders>
            <w:shd w:val="clear" w:color="auto" w:fill="auto"/>
            <w:vAlign w:val="bottom"/>
            <w:hideMark/>
          </w:tcPr>
          <w:p w14:paraId="753AC2D9" w14:textId="77777777" w:rsidR="00D560FE" w:rsidRPr="004D4808" w:rsidRDefault="00D560FE" w:rsidP="00D560FE">
            <w:pPr>
              <w:rPr>
                <w:rFonts w:ascii="Arial" w:hAnsi="Arial" w:cs="Arial"/>
                <w:b/>
                <w:bCs/>
                <w:sz w:val="16"/>
                <w:szCs w:val="16"/>
                <w:lang w:eastAsia="es-AR"/>
              </w:rPr>
            </w:pPr>
            <w:r w:rsidRPr="004D4808">
              <w:rPr>
                <w:rFonts w:ascii="Arial" w:hAnsi="Arial" w:cs="Arial"/>
                <w:b/>
                <w:bCs/>
                <w:sz w:val="16"/>
                <w:szCs w:val="16"/>
                <w:lang w:eastAsia="es-AR"/>
              </w:rPr>
              <w:t>Financiaciones recibidas del BCRA y otras instituciones financieras</w:t>
            </w:r>
          </w:p>
        </w:tc>
        <w:tc>
          <w:tcPr>
            <w:tcW w:w="1120" w:type="dxa"/>
            <w:tcBorders>
              <w:top w:val="nil"/>
              <w:left w:val="single" w:sz="8" w:space="0" w:color="auto"/>
              <w:bottom w:val="single" w:sz="4" w:space="0" w:color="auto"/>
              <w:right w:val="nil"/>
            </w:tcBorders>
            <w:shd w:val="clear" w:color="auto" w:fill="auto"/>
            <w:noWrap/>
            <w:vAlign w:val="bottom"/>
          </w:tcPr>
          <w:p w14:paraId="6A51EDE0" w14:textId="1B41B57D"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8.685.070 </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641F8BB4" w14:textId="42DC338F"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329.538 </w:t>
            </w:r>
          </w:p>
        </w:tc>
        <w:tc>
          <w:tcPr>
            <w:tcW w:w="1100" w:type="dxa"/>
            <w:tcBorders>
              <w:top w:val="nil"/>
              <w:left w:val="nil"/>
              <w:bottom w:val="single" w:sz="4" w:space="0" w:color="auto"/>
              <w:right w:val="nil"/>
            </w:tcBorders>
            <w:shd w:val="clear" w:color="auto" w:fill="auto"/>
            <w:noWrap/>
            <w:vAlign w:val="bottom"/>
          </w:tcPr>
          <w:p w14:paraId="293F76B9" w14:textId="14B2C2CD"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9.014.608 </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02BA5421" w14:textId="13625E8B"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7.143.352</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413A1CF4" w14:textId="696B025E"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872.753</w:t>
            </w:r>
          </w:p>
        </w:tc>
        <w:tc>
          <w:tcPr>
            <w:tcW w:w="1030" w:type="dxa"/>
            <w:tcBorders>
              <w:top w:val="nil"/>
              <w:left w:val="nil"/>
              <w:bottom w:val="single" w:sz="4" w:space="0" w:color="auto"/>
              <w:right w:val="single" w:sz="8" w:space="0" w:color="auto"/>
            </w:tcBorders>
            <w:shd w:val="clear" w:color="auto" w:fill="auto"/>
            <w:noWrap/>
            <w:vAlign w:val="bottom"/>
            <w:hideMark/>
          </w:tcPr>
          <w:p w14:paraId="6D758180" w14:textId="3CB99E1C"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8.016.105</w:t>
            </w:r>
          </w:p>
        </w:tc>
      </w:tr>
      <w:tr w:rsidR="00D560FE" w:rsidRPr="004D4808" w14:paraId="727A7279"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hideMark/>
          </w:tcPr>
          <w:p w14:paraId="2A742970" w14:textId="77777777" w:rsidR="00D560FE" w:rsidRPr="004D4808" w:rsidRDefault="00D560FE" w:rsidP="00D560FE">
            <w:pPr>
              <w:rPr>
                <w:rFonts w:ascii="Arial" w:hAnsi="Arial" w:cs="Arial"/>
                <w:b/>
                <w:bCs/>
                <w:sz w:val="16"/>
                <w:szCs w:val="16"/>
                <w:lang w:eastAsia="es-AR"/>
              </w:rPr>
            </w:pPr>
            <w:r w:rsidRPr="004D4808">
              <w:rPr>
                <w:rFonts w:ascii="Arial" w:hAnsi="Arial" w:cs="Arial"/>
                <w:b/>
                <w:bCs/>
                <w:sz w:val="16"/>
                <w:szCs w:val="16"/>
                <w:lang w:eastAsia="es-AR"/>
              </w:rPr>
              <w:t>Obligaciones negociables emitidas</w:t>
            </w:r>
          </w:p>
        </w:tc>
        <w:tc>
          <w:tcPr>
            <w:tcW w:w="1120" w:type="dxa"/>
            <w:tcBorders>
              <w:top w:val="nil"/>
              <w:left w:val="single" w:sz="8" w:space="0" w:color="auto"/>
              <w:bottom w:val="single" w:sz="4" w:space="0" w:color="auto"/>
              <w:right w:val="nil"/>
            </w:tcBorders>
            <w:shd w:val="clear" w:color="auto" w:fill="auto"/>
            <w:noWrap/>
            <w:vAlign w:val="bottom"/>
          </w:tcPr>
          <w:p w14:paraId="45666788" w14:textId="6797DCF8"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4.267.150 </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049EAEF1" w14:textId="4804F51A"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1.803.767 </w:t>
            </w:r>
          </w:p>
        </w:tc>
        <w:tc>
          <w:tcPr>
            <w:tcW w:w="1100" w:type="dxa"/>
            <w:tcBorders>
              <w:top w:val="nil"/>
              <w:left w:val="nil"/>
              <w:bottom w:val="single" w:sz="4" w:space="0" w:color="auto"/>
              <w:right w:val="nil"/>
            </w:tcBorders>
            <w:shd w:val="clear" w:color="auto" w:fill="auto"/>
            <w:noWrap/>
            <w:vAlign w:val="bottom"/>
          </w:tcPr>
          <w:p w14:paraId="56AA018E" w14:textId="013BCC94"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6.070.917 </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530A92A8" w14:textId="101C3DC4"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2.085.476</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57A90A5A" w14:textId="3CE57623"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7.142.55</w:t>
            </w:r>
            <w:r>
              <w:rPr>
                <w:rFonts w:ascii="Arial" w:hAnsi="Arial" w:cs="Arial"/>
                <w:sz w:val="16"/>
                <w:szCs w:val="16"/>
                <w:lang w:eastAsia="es-AR"/>
              </w:rPr>
              <w:t>7</w:t>
            </w:r>
          </w:p>
        </w:tc>
        <w:tc>
          <w:tcPr>
            <w:tcW w:w="1030" w:type="dxa"/>
            <w:tcBorders>
              <w:top w:val="nil"/>
              <w:left w:val="nil"/>
              <w:bottom w:val="single" w:sz="4" w:space="0" w:color="auto"/>
              <w:right w:val="single" w:sz="8" w:space="0" w:color="auto"/>
            </w:tcBorders>
            <w:shd w:val="clear" w:color="auto" w:fill="auto"/>
            <w:noWrap/>
            <w:vAlign w:val="bottom"/>
            <w:hideMark/>
          </w:tcPr>
          <w:p w14:paraId="0AFEF7F0" w14:textId="642A64A2"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9.228.033</w:t>
            </w:r>
          </w:p>
        </w:tc>
      </w:tr>
      <w:tr w:rsidR="00D560FE" w:rsidRPr="004D4808" w14:paraId="620863EB"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hideMark/>
          </w:tcPr>
          <w:p w14:paraId="5E868650" w14:textId="77777777" w:rsidR="00D560FE" w:rsidRPr="004D4808" w:rsidRDefault="00D560FE" w:rsidP="00D560FE">
            <w:pPr>
              <w:rPr>
                <w:rFonts w:ascii="Arial" w:hAnsi="Arial" w:cs="Arial"/>
                <w:b/>
                <w:bCs/>
                <w:sz w:val="16"/>
                <w:szCs w:val="16"/>
                <w:lang w:eastAsia="es-AR"/>
              </w:rPr>
            </w:pPr>
            <w:r w:rsidRPr="004D4808">
              <w:rPr>
                <w:rFonts w:ascii="Arial" w:hAnsi="Arial" w:cs="Arial"/>
                <w:b/>
                <w:bCs/>
                <w:sz w:val="16"/>
                <w:szCs w:val="16"/>
                <w:lang w:eastAsia="es-AR"/>
              </w:rPr>
              <w:t>Pasivo por impuestos a las ganancias corriente</w:t>
            </w:r>
          </w:p>
        </w:tc>
        <w:tc>
          <w:tcPr>
            <w:tcW w:w="1120" w:type="dxa"/>
            <w:tcBorders>
              <w:top w:val="nil"/>
              <w:left w:val="single" w:sz="8" w:space="0" w:color="auto"/>
              <w:bottom w:val="single" w:sz="4" w:space="0" w:color="auto"/>
              <w:right w:val="nil"/>
            </w:tcBorders>
            <w:shd w:val="clear" w:color="auto" w:fill="auto"/>
            <w:noWrap/>
            <w:vAlign w:val="bottom"/>
          </w:tcPr>
          <w:p w14:paraId="69DB9CBA" w14:textId="6E23ECFB"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209.471 </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29187A77" w14:textId="73474142"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   </w:t>
            </w:r>
          </w:p>
        </w:tc>
        <w:tc>
          <w:tcPr>
            <w:tcW w:w="1100" w:type="dxa"/>
            <w:tcBorders>
              <w:top w:val="nil"/>
              <w:left w:val="nil"/>
              <w:bottom w:val="single" w:sz="4" w:space="0" w:color="auto"/>
              <w:right w:val="nil"/>
            </w:tcBorders>
            <w:shd w:val="clear" w:color="auto" w:fill="auto"/>
            <w:noWrap/>
            <w:vAlign w:val="bottom"/>
          </w:tcPr>
          <w:p w14:paraId="2B1EFA7A" w14:textId="0F9F71E6"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209.471 </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5E7BEC97" w14:textId="0A7D1993"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361.368</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533047A1" w14:textId="5F7720FE"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1030" w:type="dxa"/>
            <w:tcBorders>
              <w:top w:val="nil"/>
              <w:left w:val="nil"/>
              <w:bottom w:val="single" w:sz="4" w:space="0" w:color="auto"/>
              <w:right w:val="single" w:sz="8" w:space="0" w:color="auto"/>
            </w:tcBorders>
            <w:shd w:val="clear" w:color="auto" w:fill="auto"/>
            <w:noWrap/>
            <w:vAlign w:val="bottom"/>
            <w:hideMark/>
          </w:tcPr>
          <w:p w14:paraId="7E38BF1B" w14:textId="53B63DB9"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361.368</w:t>
            </w:r>
          </w:p>
        </w:tc>
      </w:tr>
      <w:tr w:rsidR="00D560FE" w:rsidRPr="004D4808" w14:paraId="564ABF3D"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hideMark/>
          </w:tcPr>
          <w:p w14:paraId="76EE2AF9" w14:textId="77777777" w:rsidR="00D560FE" w:rsidRPr="004D4808" w:rsidRDefault="00D560FE" w:rsidP="00D560FE">
            <w:pPr>
              <w:rPr>
                <w:rFonts w:ascii="Arial" w:hAnsi="Arial" w:cs="Arial"/>
                <w:b/>
                <w:bCs/>
                <w:sz w:val="16"/>
                <w:szCs w:val="16"/>
                <w:lang w:eastAsia="es-AR"/>
              </w:rPr>
            </w:pPr>
            <w:r w:rsidRPr="004D4808">
              <w:rPr>
                <w:rFonts w:ascii="Arial" w:hAnsi="Arial" w:cs="Arial"/>
                <w:b/>
                <w:bCs/>
                <w:sz w:val="16"/>
                <w:szCs w:val="16"/>
                <w:lang w:eastAsia="es-AR"/>
              </w:rPr>
              <w:t>Obligaciones negociables subordinadas</w:t>
            </w:r>
          </w:p>
        </w:tc>
        <w:tc>
          <w:tcPr>
            <w:tcW w:w="1120" w:type="dxa"/>
            <w:tcBorders>
              <w:top w:val="nil"/>
              <w:left w:val="single" w:sz="8" w:space="0" w:color="auto"/>
              <w:bottom w:val="single" w:sz="4" w:space="0" w:color="auto"/>
              <w:right w:val="nil"/>
            </w:tcBorders>
            <w:shd w:val="clear" w:color="auto" w:fill="auto"/>
            <w:noWrap/>
            <w:vAlign w:val="bottom"/>
          </w:tcPr>
          <w:p w14:paraId="29F39549" w14:textId="72E12DD6"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1.314.985 </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00B2CAB2" w14:textId="43A86E2B"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804.903 </w:t>
            </w:r>
          </w:p>
        </w:tc>
        <w:tc>
          <w:tcPr>
            <w:tcW w:w="1100" w:type="dxa"/>
            <w:tcBorders>
              <w:top w:val="nil"/>
              <w:left w:val="nil"/>
              <w:bottom w:val="single" w:sz="4" w:space="0" w:color="auto"/>
              <w:right w:val="nil"/>
            </w:tcBorders>
            <w:shd w:val="clear" w:color="auto" w:fill="auto"/>
            <w:noWrap/>
            <w:vAlign w:val="bottom"/>
          </w:tcPr>
          <w:p w14:paraId="6616B27A" w14:textId="2F97322D"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2.119.888 </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0FC9EBC9" w14:textId="46836C9E"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26.150</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50672774" w14:textId="5C1A03C7"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1.357.667</w:t>
            </w:r>
          </w:p>
        </w:tc>
        <w:tc>
          <w:tcPr>
            <w:tcW w:w="1030" w:type="dxa"/>
            <w:tcBorders>
              <w:top w:val="nil"/>
              <w:left w:val="nil"/>
              <w:bottom w:val="single" w:sz="4" w:space="0" w:color="auto"/>
              <w:right w:val="single" w:sz="8" w:space="0" w:color="auto"/>
            </w:tcBorders>
            <w:shd w:val="clear" w:color="auto" w:fill="auto"/>
            <w:noWrap/>
            <w:vAlign w:val="bottom"/>
            <w:hideMark/>
          </w:tcPr>
          <w:p w14:paraId="20617824" w14:textId="136FA1FD"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1.383.817</w:t>
            </w:r>
          </w:p>
        </w:tc>
      </w:tr>
      <w:tr w:rsidR="00D560FE" w:rsidRPr="004D4808" w14:paraId="72798E1A" w14:textId="77777777" w:rsidTr="006E1AF7">
        <w:trPr>
          <w:gridAfter w:val="1"/>
          <w:wAfter w:w="8" w:type="dxa"/>
          <w:trHeight w:val="217"/>
          <w:jc w:val="center"/>
        </w:trPr>
        <w:tc>
          <w:tcPr>
            <w:tcW w:w="2778" w:type="dxa"/>
            <w:tcBorders>
              <w:top w:val="nil"/>
              <w:left w:val="single" w:sz="8" w:space="0" w:color="auto"/>
              <w:bottom w:val="single" w:sz="4" w:space="0" w:color="auto"/>
              <w:right w:val="nil"/>
            </w:tcBorders>
            <w:shd w:val="clear" w:color="auto" w:fill="auto"/>
            <w:vAlign w:val="bottom"/>
            <w:hideMark/>
          </w:tcPr>
          <w:p w14:paraId="0C976FEA" w14:textId="77777777" w:rsidR="00D560FE" w:rsidRPr="004D4808" w:rsidRDefault="00D560FE" w:rsidP="00D560FE">
            <w:pPr>
              <w:rPr>
                <w:rFonts w:ascii="Arial" w:hAnsi="Arial" w:cs="Arial"/>
                <w:b/>
                <w:bCs/>
                <w:sz w:val="16"/>
                <w:szCs w:val="16"/>
                <w:lang w:eastAsia="es-AR"/>
              </w:rPr>
            </w:pPr>
            <w:r w:rsidRPr="004D4808">
              <w:rPr>
                <w:rFonts w:ascii="Arial" w:hAnsi="Arial" w:cs="Arial"/>
                <w:b/>
                <w:bCs/>
                <w:sz w:val="16"/>
                <w:szCs w:val="16"/>
                <w:lang w:eastAsia="es-AR"/>
              </w:rPr>
              <w:t>Provisiones</w:t>
            </w:r>
          </w:p>
        </w:tc>
        <w:tc>
          <w:tcPr>
            <w:tcW w:w="1120" w:type="dxa"/>
            <w:tcBorders>
              <w:top w:val="nil"/>
              <w:left w:val="single" w:sz="8" w:space="0" w:color="auto"/>
              <w:bottom w:val="single" w:sz="4" w:space="0" w:color="auto"/>
              <w:right w:val="nil"/>
            </w:tcBorders>
            <w:shd w:val="clear" w:color="auto" w:fill="auto"/>
            <w:noWrap/>
            <w:vAlign w:val="bottom"/>
          </w:tcPr>
          <w:p w14:paraId="28AD14F0" w14:textId="566CB7EC"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   </w:t>
            </w:r>
          </w:p>
        </w:tc>
        <w:tc>
          <w:tcPr>
            <w:tcW w:w="1100" w:type="dxa"/>
            <w:tcBorders>
              <w:top w:val="nil"/>
              <w:left w:val="single" w:sz="8" w:space="0" w:color="auto"/>
              <w:bottom w:val="single" w:sz="4" w:space="0" w:color="auto"/>
              <w:right w:val="single" w:sz="8" w:space="0" w:color="auto"/>
            </w:tcBorders>
            <w:shd w:val="clear" w:color="auto" w:fill="auto"/>
            <w:noWrap/>
            <w:vAlign w:val="bottom"/>
          </w:tcPr>
          <w:p w14:paraId="1309061E" w14:textId="23D8AED4"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655.298 </w:t>
            </w:r>
          </w:p>
        </w:tc>
        <w:tc>
          <w:tcPr>
            <w:tcW w:w="1100" w:type="dxa"/>
            <w:tcBorders>
              <w:top w:val="nil"/>
              <w:left w:val="nil"/>
              <w:bottom w:val="single" w:sz="4" w:space="0" w:color="auto"/>
              <w:right w:val="nil"/>
            </w:tcBorders>
            <w:shd w:val="clear" w:color="auto" w:fill="auto"/>
            <w:noWrap/>
            <w:vAlign w:val="bottom"/>
          </w:tcPr>
          <w:p w14:paraId="5C3C78F3" w14:textId="4AB7C98A"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655.298 </w:t>
            </w:r>
          </w:p>
        </w:tc>
        <w:tc>
          <w:tcPr>
            <w:tcW w:w="1030" w:type="dxa"/>
            <w:gridSpan w:val="2"/>
            <w:tcBorders>
              <w:top w:val="nil"/>
              <w:left w:val="single" w:sz="8" w:space="0" w:color="auto"/>
              <w:bottom w:val="single" w:sz="4" w:space="0" w:color="auto"/>
              <w:right w:val="nil"/>
            </w:tcBorders>
            <w:shd w:val="clear" w:color="auto" w:fill="auto"/>
            <w:noWrap/>
            <w:vAlign w:val="bottom"/>
            <w:hideMark/>
          </w:tcPr>
          <w:p w14:paraId="16F8EA21" w14:textId="4C858BAB"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w:t>
            </w:r>
          </w:p>
        </w:tc>
        <w:tc>
          <w:tcPr>
            <w:tcW w:w="941" w:type="dxa"/>
            <w:tcBorders>
              <w:top w:val="nil"/>
              <w:left w:val="single" w:sz="8" w:space="0" w:color="auto"/>
              <w:bottom w:val="single" w:sz="4" w:space="0" w:color="auto"/>
              <w:right w:val="single" w:sz="8" w:space="0" w:color="auto"/>
            </w:tcBorders>
            <w:shd w:val="clear" w:color="auto" w:fill="auto"/>
            <w:noWrap/>
            <w:vAlign w:val="bottom"/>
            <w:hideMark/>
          </w:tcPr>
          <w:p w14:paraId="663AC462" w14:textId="11D3ED70"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72.563</w:t>
            </w:r>
          </w:p>
        </w:tc>
        <w:tc>
          <w:tcPr>
            <w:tcW w:w="1030" w:type="dxa"/>
            <w:tcBorders>
              <w:top w:val="nil"/>
              <w:left w:val="nil"/>
              <w:bottom w:val="single" w:sz="4" w:space="0" w:color="auto"/>
              <w:right w:val="single" w:sz="8" w:space="0" w:color="auto"/>
            </w:tcBorders>
            <w:shd w:val="clear" w:color="auto" w:fill="auto"/>
            <w:noWrap/>
            <w:vAlign w:val="bottom"/>
            <w:hideMark/>
          </w:tcPr>
          <w:p w14:paraId="778CDFFB" w14:textId="1BF1508E"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72.563</w:t>
            </w:r>
          </w:p>
        </w:tc>
      </w:tr>
      <w:tr w:rsidR="00D560FE" w:rsidRPr="004D4808" w14:paraId="517C801E" w14:textId="77777777" w:rsidTr="006E1AF7">
        <w:trPr>
          <w:gridAfter w:val="1"/>
          <w:wAfter w:w="8" w:type="dxa"/>
          <w:trHeight w:val="231"/>
          <w:jc w:val="center"/>
        </w:trPr>
        <w:tc>
          <w:tcPr>
            <w:tcW w:w="2778" w:type="dxa"/>
            <w:tcBorders>
              <w:top w:val="nil"/>
              <w:left w:val="single" w:sz="8" w:space="0" w:color="auto"/>
              <w:bottom w:val="nil"/>
              <w:right w:val="nil"/>
            </w:tcBorders>
            <w:shd w:val="clear" w:color="auto" w:fill="auto"/>
            <w:vAlign w:val="bottom"/>
            <w:hideMark/>
          </w:tcPr>
          <w:p w14:paraId="3C4D6745" w14:textId="77777777" w:rsidR="00D560FE" w:rsidRPr="004D4808" w:rsidRDefault="00D560FE" w:rsidP="00D560FE">
            <w:pPr>
              <w:rPr>
                <w:rFonts w:ascii="Arial" w:hAnsi="Arial" w:cs="Arial"/>
                <w:b/>
                <w:bCs/>
                <w:sz w:val="16"/>
                <w:szCs w:val="16"/>
                <w:lang w:eastAsia="es-AR"/>
              </w:rPr>
            </w:pPr>
            <w:r w:rsidRPr="004D4808">
              <w:rPr>
                <w:rFonts w:ascii="Arial" w:hAnsi="Arial" w:cs="Arial"/>
                <w:b/>
                <w:bCs/>
                <w:sz w:val="16"/>
                <w:szCs w:val="16"/>
                <w:lang w:eastAsia="es-AR"/>
              </w:rPr>
              <w:t>Otros pasivos no financieros</w:t>
            </w:r>
          </w:p>
        </w:tc>
        <w:tc>
          <w:tcPr>
            <w:tcW w:w="1120" w:type="dxa"/>
            <w:tcBorders>
              <w:top w:val="nil"/>
              <w:left w:val="single" w:sz="8" w:space="0" w:color="auto"/>
              <w:bottom w:val="nil"/>
              <w:right w:val="nil"/>
            </w:tcBorders>
            <w:shd w:val="clear" w:color="auto" w:fill="auto"/>
            <w:noWrap/>
            <w:vAlign w:val="bottom"/>
          </w:tcPr>
          <w:p w14:paraId="007F843B" w14:textId="07BB9AC3"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5.566.285 </w:t>
            </w:r>
          </w:p>
        </w:tc>
        <w:tc>
          <w:tcPr>
            <w:tcW w:w="1100" w:type="dxa"/>
            <w:tcBorders>
              <w:top w:val="nil"/>
              <w:left w:val="single" w:sz="8" w:space="0" w:color="auto"/>
              <w:bottom w:val="nil"/>
              <w:right w:val="single" w:sz="8" w:space="0" w:color="auto"/>
            </w:tcBorders>
            <w:shd w:val="clear" w:color="auto" w:fill="auto"/>
            <w:noWrap/>
            <w:vAlign w:val="bottom"/>
          </w:tcPr>
          <w:p w14:paraId="37008DD2" w14:textId="432CE655"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1.494.044 </w:t>
            </w:r>
          </w:p>
        </w:tc>
        <w:tc>
          <w:tcPr>
            <w:tcW w:w="1100" w:type="dxa"/>
            <w:tcBorders>
              <w:top w:val="nil"/>
              <w:left w:val="nil"/>
              <w:bottom w:val="single" w:sz="4" w:space="0" w:color="auto"/>
              <w:right w:val="nil"/>
            </w:tcBorders>
            <w:shd w:val="clear" w:color="auto" w:fill="auto"/>
            <w:noWrap/>
            <w:vAlign w:val="bottom"/>
          </w:tcPr>
          <w:p w14:paraId="2B4D8895" w14:textId="2C8D2D43" w:rsidR="00D560FE" w:rsidRPr="00D560FE" w:rsidRDefault="00D560FE">
            <w:pPr>
              <w:jc w:val="right"/>
              <w:rPr>
                <w:rFonts w:ascii="Arial" w:hAnsi="Arial" w:cs="Arial"/>
                <w:sz w:val="16"/>
                <w:szCs w:val="16"/>
                <w:lang w:val="es-ES_tradnl" w:eastAsia="es-AR"/>
              </w:rPr>
            </w:pPr>
            <w:r w:rsidRPr="006E1AF7">
              <w:rPr>
                <w:rFonts w:ascii="Arial" w:hAnsi="Arial" w:cs="Arial"/>
                <w:sz w:val="16"/>
                <w:szCs w:val="16"/>
              </w:rPr>
              <w:t xml:space="preserve">7.060.329 </w:t>
            </w:r>
          </w:p>
        </w:tc>
        <w:tc>
          <w:tcPr>
            <w:tcW w:w="1030" w:type="dxa"/>
            <w:gridSpan w:val="2"/>
            <w:tcBorders>
              <w:top w:val="nil"/>
              <w:left w:val="single" w:sz="8" w:space="0" w:color="auto"/>
              <w:bottom w:val="nil"/>
              <w:right w:val="nil"/>
            </w:tcBorders>
            <w:shd w:val="clear" w:color="auto" w:fill="auto"/>
            <w:noWrap/>
            <w:vAlign w:val="bottom"/>
            <w:hideMark/>
          </w:tcPr>
          <w:p w14:paraId="587D9285" w14:textId="4CD1D839"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3.884.661</w:t>
            </w:r>
          </w:p>
        </w:tc>
        <w:tc>
          <w:tcPr>
            <w:tcW w:w="941" w:type="dxa"/>
            <w:tcBorders>
              <w:top w:val="nil"/>
              <w:left w:val="single" w:sz="8" w:space="0" w:color="auto"/>
              <w:bottom w:val="nil"/>
              <w:right w:val="single" w:sz="8" w:space="0" w:color="auto"/>
            </w:tcBorders>
            <w:shd w:val="clear" w:color="auto" w:fill="auto"/>
            <w:noWrap/>
            <w:vAlign w:val="bottom"/>
            <w:hideMark/>
          </w:tcPr>
          <w:p w14:paraId="646AE2B6" w14:textId="407F969C"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763.9</w:t>
            </w:r>
            <w:r w:rsidR="00AB57F7">
              <w:rPr>
                <w:rFonts w:ascii="Arial" w:hAnsi="Arial" w:cs="Arial"/>
                <w:sz w:val="16"/>
                <w:szCs w:val="16"/>
                <w:lang w:eastAsia="es-AR"/>
              </w:rPr>
              <w:t>11</w:t>
            </w:r>
          </w:p>
        </w:tc>
        <w:tc>
          <w:tcPr>
            <w:tcW w:w="1030" w:type="dxa"/>
            <w:tcBorders>
              <w:top w:val="nil"/>
              <w:left w:val="nil"/>
              <w:bottom w:val="single" w:sz="4" w:space="0" w:color="auto"/>
              <w:right w:val="single" w:sz="8" w:space="0" w:color="auto"/>
            </w:tcBorders>
            <w:shd w:val="clear" w:color="auto" w:fill="auto"/>
            <w:noWrap/>
            <w:vAlign w:val="bottom"/>
            <w:hideMark/>
          </w:tcPr>
          <w:p w14:paraId="73885D9F" w14:textId="79C1BE47" w:rsidR="00D560FE" w:rsidRPr="004D4808" w:rsidRDefault="00D560FE" w:rsidP="00D560FE">
            <w:pPr>
              <w:jc w:val="right"/>
              <w:rPr>
                <w:rFonts w:ascii="Arial" w:hAnsi="Arial" w:cs="Arial"/>
                <w:sz w:val="16"/>
                <w:szCs w:val="16"/>
                <w:lang w:val="es-ES_tradnl" w:eastAsia="es-AR"/>
              </w:rPr>
            </w:pPr>
            <w:r w:rsidRPr="004D4808">
              <w:rPr>
                <w:rFonts w:ascii="Arial" w:hAnsi="Arial" w:cs="Arial"/>
                <w:sz w:val="16"/>
                <w:szCs w:val="16"/>
                <w:lang w:eastAsia="es-AR"/>
              </w:rPr>
              <w:t>4.648.57</w:t>
            </w:r>
            <w:r w:rsidR="00AB57F7">
              <w:rPr>
                <w:rFonts w:ascii="Arial" w:hAnsi="Arial" w:cs="Arial"/>
                <w:sz w:val="16"/>
                <w:szCs w:val="16"/>
                <w:lang w:eastAsia="es-AR"/>
              </w:rPr>
              <w:t>2</w:t>
            </w:r>
          </w:p>
        </w:tc>
      </w:tr>
      <w:tr w:rsidR="00D560FE" w:rsidRPr="004D4808" w14:paraId="3F22A572" w14:textId="77777777" w:rsidTr="006E1AF7">
        <w:trPr>
          <w:gridAfter w:val="1"/>
          <w:wAfter w:w="8" w:type="dxa"/>
          <w:trHeight w:val="231"/>
          <w:jc w:val="center"/>
        </w:trPr>
        <w:tc>
          <w:tcPr>
            <w:tcW w:w="2778" w:type="dxa"/>
            <w:tcBorders>
              <w:top w:val="single" w:sz="8" w:space="0" w:color="auto"/>
              <w:left w:val="single" w:sz="8" w:space="0" w:color="auto"/>
              <w:bottom w:val="single" w:sz="8" w:space="0" w:color="auto"/>
              <w:right w:val="nil"/>
            </w:tcBorders>
            <w:shd w:val="clear" w:color="000000" w:fill="D0CECE"/>
            <w:vAlign w:val="bottom"/>
            <w:hideMark/>
          </w:tcPr>
          <w:p w14:paraId="304BD358" w14:textId="77777777" w:rsidR="00D560FE" w:rsidRPr="004D4808" w:rsidRDefault="00D560FE" w:rsidP="00D560FE">
            <w:pPr>
              <w:rPr>
                <w:rFonts w:ascii="Arial" w:hAnsi="Arial" w:cs="Arial"/>
                <w:b/>
                <w:bCs/>
                <w:sz w:val="16"/>
                <w:szCs w:val="16"/>
                <w:lang w:eastAsia="es-AR"/>
              </w:rPr>
            </w:pPr>
            <w:r w:rsidRPr="004D4808">
              <w:rPr>
                <w:rFonts w:ascii="Arial" w:hAnsi="Arial" w:cs="Arial"/>
                <w:b/>
                <w:bCs/>
                <w:sz w:val="16"/>
                <w:szCs w:val="16"/>
                <w:lang w:eastAsia="es-AR"/>
              </w:rPr>
              <w:t xml:space="preserve">TOTAL PASIVO </w:t>
            </w:r>
          </w:p>
        </w:tc>
        <w:tc>
          <w:tcPr>
            <w:tcW w:w="1120" w:type="dxa"/>
            <w:tcBorders>
              <w:top w:val="single" w:sz="8" w:space="0" w:color="auto"/>
              <w:left w:val="single" w:sz="8" w:space="0" w:color="auto"/>
              <w:bottom w:val="single" w:sz="8" w:space="0" w:color="auto"/>
              <w:right w:val="nil"/>
            </w:tcBorders>
            <w:shd w:val="clear" w:color="000000" w:fill="D0CECE"/>
            <w:noWrap/>
            <w:vAlign w:val="bottom"/>
          </w:tcPr>
          <w:p w14:paraId="67F7A5A4" w14:textId="18ADA14E" w:rsidR="00D560FE" w:rsidRPr="00D560FE" w:rsidRDefault="00D560FE">
            <w:pPr>
              <w:jc w:val="right"/>
              <w:rPr>
                <w:rFonts w:ascii="Arial" w:hAnsi="Arial" w:cs="Arial"/>
                <w:b/>
                <w:bCs/>
                <w:sz w:val="16"/>
                <w:szCs w:val="16"/>
                <w:lang w:val="es-ES_tradnl" w:eastAsia="es-AR"/>
              </w:rPr>
            </w:pPr>
            <w:r w:rsidRPr="006E1AF7">
              <w:rPr>
                <w:rFonts w:ascii="Arial" w:hAnsi="Arial" w:cs="Arial"/>
                <w:b/>
                <w:bCs/>
                <w:sz w:val="16"/>
                <w:szCs w:val="16"/>
              </w:rPr>
              <w:t>118.386.68</w:t>
            </w:r>
            <w:r w:rsidR="0002243C">
              <w:rPr>
                <w:rFonts w:ascii="Arial" w:hAnsi="Arial" w:cs="Arial"/>
                <w:b/>
                <w:bCs/>
                <w:sz w:val="16"/>
                <w:szCs w:val="16"/>
              </w:rPr>
              <w:t>4</w:t>
            </w:r>
            <w:r w:rsidRPr="006E1AF7">
              <w:rPr>
                <w:rFonts w:ascii="Arial" w:hAnsi="Arial" w:cs="Arial"/>
                <w:b/>
                <w:bCs/>
                <w:sz w:val="16"/>
                <w:szCs w:val="16"/>
              </w:rPr>
              <w:t xml:space="preserve"> </w:t>
            </w:r>
          </w:p>
        </w:tc>
        <w:tc>
          <w:tcPr>
            <w:tcW w:w="1100" w:type="dxa"/>
            <w:tcBorders>
              <w:top w:val="single" w:sz="8" w:space="0" w:color="auto"/>
              <w:left w:val="single" w:sz="8" w:space="0" w:color="auto"/>
              <w:bottom w:val="single" w:sz="8" w:space="0" w:color="auto"/>
              <w:right w:val="single" w:sz="8" w:space="0" w:color="auto"/>
            </w:tcBorders>
            <w:shd w:val="clear" w:color="000000" w:fill="D0CECE"/>
            <w:noWrap/>
            <w:vAlign w:val="bottom"/>
          </w:tcPr>
          <w:p w14:paraId="229A7A25" w14:textId="1D6560E1" w:rsidR="00D560FE" w:rsidRPr="00D560FE" w:rsidRDefault="00D560FE">
            <w:pPr>
              <w:jc w:val="right"/>
              <w:rPr>
                <w:rFonts w:ascii="Arial" w:hAnsi="Arial" w:cs="Arial"/>
                <w:b/>
                <w:bCs/>
                <w:sz w:val="16"/>
                <w:szCs w:val="16"/>
                <w:lang w:val="es-ES_tradnl" w:eastAsia="es-AR"/>
              </w:rPr>
            </w:pPr>
            <w:r w:rsidRPr="006E1AF7">
              <w:rPr>
                <w:rFonts w:ascii="Arial" w:hAnsi="Arial" w:cs="Arial"/>
                <w:b/>
                <w:bCs/>
                <w:sz w:val="16"/>
                <w:szCs w:val="16"/>
              </w:rPr>
              <w:t xml:space="preserve">5.649.215 </w:t>
            </w:r>
          </w:p>
        </w:tc>
        <w:tc>
          <w:tcPr>
            <w:tcW w:w="1100" w:type="dxa"/>
            <w:tcBorders>
              <w:top w:val="single" w:sz="8" w:space="0" w:color="auto"/>
              <w:left w:val="nil"/>
              <w:bottom w:val="single" w:sz="8" w:space="0" w:color="auto"/>
              <w:right w:val="single" w:sz="8" w:space="0" w:color="auto"/>
            </w:tcBorders>
            <w:shd w:val="clear" w:color="000000" w:fill="D0CECE"/>
            <w:noWrap/>
            <w:vAlign w:val="bottom"/>
          </w:tcPr>
          <w:p w14:paraId="1B4C90B2" w14:textId="55426A4F" w:rsidR="00D560FE" w:rsidRPr="00D560FE" w:rsidRDefault="00D560FE">
            <w:pPr>
              <w:jc w:val="right"/>
              <w:rPr>
                <w:rFonts w:ascii="Arial" w:hAnsi="Arial" w:cs="Arial"/>
                <w:b/>
                <w:bCs/>
                <w:sz w:val="16"/>
                <w:szCs w:val="16"/>
                <w:lang w:val="es-ES_tradnl" w:eastAsia="es-AR"/>
              </w:rPr>
            </w:pPr>
            <w:r w:rsidRPr="006E1AF7">
              <w:rPr>
                <w:rFonts w:ascii="Arial" w:hAnsi="Arial" w:cs="Arial"/>
                <w:b/>
                <w:bCs/>
                <w:sz w:val="16"/>
                <w:szCs w:val="16"/>
              </w:rPr>
              <w:t xml:space="preserve">124.035.899 </w:t>
            </w:r>
          </w:p>
        </w:tc>
        <w:tc>
          <w:tcPr>
            <w:tcW w:w="1030" w:type="dxa"/>
            <w:gridSpan w:val="2"/>
            <w:tcBorders>
              <w:top w:val="single" w:sz="8" w:space="0" w:color="auto"/>
              <w:left w:val="nil"/>
              <w:bottom w:val="single" w:sz="8" w:space="0" w:color="auto"/>
              <w:right w:val="nil"/>
            </w:tcBorders>
            <w:shd w:val="clear" w:color="000000" w:fill="D0CECE"/>
            <w:noWrap/>
            <w:vAlign w:val="bottom"/>
            <w:hideMark/>
          </w:tcPr>
          <w:p w14:paraId="6357B96E" w14:textId="463D8E05" w:rsidR="00D560FE" w:rsidRPr="004D4808" w:rsidRDefault="00D560FE" w:rsidP="00D560FE">
            <w:pPr>
              <w:jc w:val="right"/>
              <w:rPr>
                <w:rFonts w:ascii="Arial" w:hAnsi="Arial" w:cs="Arial"/>
                <w:b/>
                <w:bCs/>
                <w:sz w:val="16"/>
                <w:szCs w:val="16"/>
                <w:lang w:val="es-ES_tradnl" w:eastAsia="es-AR"/>
              </w:rPr>
            </w:pPr>
            <w:r w:rsidRPr="004D4808">
              <w:rPr>
                <w:rFonts w:ascii="Arial" w:hAnsi="Arial" w:cs="Arial"/>
                <w:b/>
                <w:bCs/>
                <w:sz w:val="16"/>
                <w:szCs w:val="16"/>
                <w:lang w:eastAsia="es-AR"/>
              </w:rPr>
              <w:t>113.466.305</w:t>
            </w:r>
          </w:p>
        </w:tc>
        <w:tc>
          <w:tcPr>
            <w:tcW w:w="941" w:type="dxa"/>
            <w:tcBorders>
              <w:top w:val="single" w:sz="8" w:space="0" w:color="auto"/>
              <w:left w:val="single" w:sz="8" w:space="0" w:color="auto"/>
              <w:bottom w:val="single" w:sz="8" w:space="0" w:color="auto"/>
              <w:right w:val="single" w:sz="8" w:space="0" w:color="auto"/>
            </w:tcBorders>
            <w:shd w:val="clear" w:color="000000" w:fill="D0CECE"/>
            <w:noWrap/>
            <w:vAlign w:val="bottom"/>
            <w:hideMark/>
          </w:tcPr>
          <w:p w14:paraId="377196B7" w14:textId="5811FC62" w:rsidR="00D560FE" w:rsidRPr="004D4808" w:rsidRDefault="00D560FE" w:rsidP="00D560FE">
            <w:pPr>
              <w:jc w:val="right"/>
              <w:rPr>
                <w:rFonts w:ascii="Arial" w:hAnsi="Arial" w:cs="Arial"/>
                <w:b/>
                <w:bCs/>
                <w:sz w:val="16"/>
                <w:szCs w:val="16"/>
                <w:lang w:val="es-ES_tradnl" w:eastAsia="es-AR"/>
              </w:rPr>
            </w:pPr>
            <w:r>
              <w:rPr>
                <w:rFonts w:ascii="Arial" w:hAnsi="Arial" w:cs="Arial"/>
                <w:b/>
                <w:bCs/>
                <w:sz w:val="16"/>
                <w:szCs w:val="16"/>
                <w:lang w:eastAsia="es-AR"/>
              </w:rPr>
              <w:t>10.471.</w:t>
            </w:r>
            <w:r w:rsidR="00AB57F7">
              <w:rPr>
                <w:rFonts w:ascii="Arial" w:hAnsi="Arial" w:cs="Arial"/>
                <w:b/>
                <w:bCs/>
                <w:sz w:val="16"/>
                <w:szCs w:val="16"/>
                <w:lang w:eastAsia="es-AR"/>
              </w:rPr>
              <w:t>402</w:t>
            </w:r>
          </w:p>
        </w:tc>
        <w:tc>
          <w:tcPr>
            <w:tcW w:w="1030" w:type="dxa"/>
            <w:tcBorders>
              <w:top w:val="single" w:sz="8" w:space="0" w:color="auto"/>
              <w:left w:val="nil"/>
              <w:bottom w:val="single" w:sz="8" w:space="0" w:color="auto"/>
              <w:right w:val="single" w:sz="8" w:space="0" w:color="auto"/>
            </w:tcBorders>
            <w:shd w:val="clear" w:color="000000" w:fill="D0CECE"/>
            <w:noWrap/>
            <w:vAlign w:val="bottom"/>
            <w:hideMark/>
          </w:tcPr>
          <w:p w14:paraId="1BAFB796" w14:textId="450C2DA4" w:rsidR="00D560FE" w:rsidRPr="004D4808" w:rsidRDefault="00D560FE" w:rsidP="00D560FE">
            <w:pPr>
              <w:jc w:val="right"/>
              <w:rPr>
                <w:rFonts w:ascii="Arial" w:hAnsi="Arial" w:cs="Arial"/>
                <w:b/>
                <w:bCs/>
                <w:sz w:val="16"/>
                <w:szCs w:val="16"/>
                <w:lang w:val="es-ES_tradnl" w:eastAsia="es-AR"/>
              </w:rPr>
            </w:pPr>
            <w:r w:rsidRPr="004D4808">
              <w:rPr>
                <w:rFonts w:ascii="Arial" w:hAnsi="Arial" w:cs="Arial"/>
                <w:b/>
                <w:bCs/>
                <w:sz w:val="16"/>
                <w:szCs w:val="16"/>
                <w:lang w:eastAsia="es-AR"/>
              </w:rPr>
              <w:t>123.937.70</w:t>
            </w:r>
            <w:r w:rsidR="00AB57F7">
              <w:rPr>
                <w:rFonts w:ascii="Arial" w:hAnsi="Arial" w:cs="Arial"/>
                <w:b/>
                <w:bCs/>
                <w:sz w:val="16"/>
                <w:szCs w:val="16"/>
                <w:lang w:eastAsia="es-AR"/>
              </w:rPr>
              <w:t>7</w:t>
            </w:r>
          </w:p>
        </w:tc>
      </w:tr>
    </w:tbl>
    <w:p w14:paraId="693075B3" w14:textId="77777777" w:rsidR="00C31392" w:rsidRDefault="00C31392" w:rsidP="007C7173">
      <w:pPr>
        <w:widowControl w:val="0"/>
        <w:autoSpaceDE w:val="0"/>
        <w:autoSpaceDN w:val="0"/>
        <w:adjustRightInd w:val="0"/>
        <w:jc w:val="both"/>
        <w:rPr>
          <w:rFonts w:ascii="Arial" w:hAnsi="Arial" w:cs="Arial"/>
          <w:b/>
          <w:noProof/>
          <w:sz w:val="20"/>
        </w:rPr>
      </w:pPr>
    </w:p>
    <w:p w14:paraId="17F5A9E9" w14:textId="4CDC842B" w:rsidR="007C7173" w:rsidRPr="00BF746E" w:rsidRDefault="00BB63C7" w:rsidP="007C7173">
      <w:pPr>
        <w:widowControl w:val="0"/>
        <w:autoSpaceDE w:val="0"/>
        <w:autoSpaceDN w:val="0"/>
        <w:adjustRightInd w:val="0"/>
        <w:jc w:val="both"/>
        <w:rPr>
          <w:rFonts w:ascii="Arial" w:hAnsi="Arial" w:cs="Arial"/>
          <w:b/>
          <w:noProof/>
          <w:sz w:val="20"/>
        </w:rPr>
      </w:pPr>
      <w:r>
        <w:rPr>
          <w:rFonts w:ascii="Arial" w:hAnsi="Arial" w:cs="Arial"/>
          <w:b/>
          <w:noProof/>
          <w:sz w:val="20"/>
        </w:rPr>
        <w:t>30</w:t>
      </w:r>
      <w:r w:rsidR="008F2926">
        <w:rPr>
          <w:rFonts w:ascii="Arial" w:hAnsi="Arial" w:cs="Arial"/>
          <w:b/>
          <w:noProof/>
          <w:sz w:val="20"/>
        </w:rPr>
        <w:t>.</w:t>
      </w:r>
      <w:r w:rsidR="007C7173" w:rsidRPr="00BF746E">
        <w:rPr>
          <w:rFonts w:ascii="Arial" w:hAnsi="Arial" w:cs="Arial"/>
          <w:b/>
          <w:noProof/>
          <w:sz w:val="20"/>
        </w:rPr>
        <w:t xml:space="preserve"> CONTEXTO ECONÓMICO EN QUE OPERA LA ENTIDAD</w:t>
      </w:r>
    </w:p>
    <w:p w14:paraId="46840F69" w14:textId="77777777" w:rsidR="007C7173" w:rsidRPr="007C7173" w:rsidRDefault="007C7173" w:rsidP="007C7173">
      <w:pPr>
        <w:widowControl w:val="0"/>
        <w:autoSpaceDE w:val="0"/>
        <w:autoSpaceDN w:val="0"/>
        <w:adjustRightInd w:val="0"/>
        <w:jc w:val="both"/>
        <w:rPr>
          <w:rFonts w:ascii="Arial" w:hAnsi="Arial" w:cs="Arial"/>
          <w:noProof/>
          <w:sz w:val="20"/>
        </w:rPr>
      </w:pPr>
    </w:p>
    <w:p w14:paraId="534FF8B9" w14:textId="4130AC9D" w:rsidR="007C7173" w:rsidRPr="007C7173" w:rsidRDefault="007C7173" w:rsidP="007C7173">
      <w:pPr>
        <w:widowControl w:val="0"/>
        <w:autoSpaceDE w:val="0"/>
        <w:autoSpaceDN w:val="0"/>
        <w:adjustRightInd w:val="0"/>
        <w:jc w:val="both"/>
        <w:rPr>
          <w:rFonts w:ascii="Arial" w:hAnsi="Arial" w:cs="Arial"/>
          <w:noProof/>
          <w:sz w:val="20"/>
        </w:rPr>
      </w:pPr>
      <w:r w:rsidRPr="007C7173">
        <w:rPr>
          <w:rFonts w:ascii="Arial" w:hAnsi="Arial" w:cs="Arial"/>
          <w:noProof/>
          <w:sz w:val="20"/>
        </w:rPr>
        <w:t xml:space="preserve">La Entidad opera en un contexto económico complejo, cuyas variables principales han tenido recientemente una fuerte volatilidad, tanto en el ámbito nacional como internacional. </w:t>
      </w:r>
    </w:p>
    <w:p w14:paraId="3E05B948" w14:textId="035AE7E5" w:rsidR="007C7173" w:rsidRPr="005A6190" w:rsidRDefault="007C7173" w:rsidP="007C7173">
      <w:pPr>
        <w:widowControl w:val="0"/>
        <w:autoSpaceDE w:val="0"/>
        <w:autoSpaceDN w:val="0"/>
        <w:adjustRightInd w:val="0"/>
        <w:jc w:val="both"/>
        <w:rPr>
          <w:rFonts w:ascii="Arial" w:hAnsi="Arial" w:cs="Arial"/>
          <w:noProof/>
          <w:sz w:val="20"/>
        </w:rPr>
      </w:pPr>
      <w:r w:rsidRPr="005A6190">
        <w:rPr>
          <w:rFonts w:ascii="Arial" w:hAnsi="Arial" w:cs="Arial"/>
          <w:noProof/>
          <w:sz w:val="20"/>
        </w:rPr>
        <w:t>En el ámbito local se visualizan las siguientes circunstancias:</w:t>
      </w:r>
    </w:p>
    <w:p w14:paraId="517EDC09" w14:textId="77777777" w:rsidR="007C7173" w:rsidRPr="005A6190" w:rsidRDefault="007C7173" w:rsidP="007C7173">
      <w:pPr>
        <w:widowControl w:val="0"/>
        <w:autoSpaceDE w:val="0"/>
        <w:autoSpaceDN w:val="0"/>
        <w:adjustRightInd w:val="0"/>
        <w:jc w:val="both"/>
        <w:rPr>
          <w:rFonts w:ascii="Arial" w:hAnsi="Arial" w:cs="Arial"/>
          <w:noProof/>
          <w:sz w:val="20"/>
        </w:rPr>
      </w:pPr>
    </w:p>
    <w:p w14:paraId="7CA1E475" w14:textId="372D446B" w:rsidR="007C7173" w:rsidRPr="006E1AF7" w:rsidRDefault="007C7173" w:rsidP="0023020F">
      <w:pPr>
        <w:pStyle w:val="Prrafodelista"/>
        <w:widowControl w:val="0"/>
        <w:numPr>
          <w:ilvl w:val="0"/>
          <w:numId w:val="39"/>
        </w:numPr>
        <w:autoSpaceDE w:val="0"/>
        <w:autoSpaceDN w:val="0"/>
        <w:adjustRightInd w:val="0"/>
        <w:ind w:left="426" w:hanging="437"/>
        <w:jc w:val="both"/>
        <w:rPr>
          <w:rFonts w:ascii="Arial" w:hAnsi="Arial" w:cs="Arial"/>
          <w:noProof/>
          <w:sz w:val="20"/>
        </w:rPr>
      </w:pPr>
      <w:r w:rsidRPr="006E1AF7">
        <w:rPr>
          <w:rFonts w:ascii="Arial" w:hAnsi="Arial" w:cs="Arial"/>
          <w:noProof/>
          <w:sz w:val="20"/>
        </w:rPr>
        <w:t>El primer semestre del año observó una caída del 2,5% del PIB en términos interanuales.</w:t>
      </w:r>
    </w:p>
    <w:p w14:paraId="69C64C85" w14:textId="50D3F9BC" w:rsidR="007C7173" w:rsidRPr="006E1AF7" w:rsidRDefault="007C7173" w:rsidP="0023020F">
      <w:pPr>
        <w:pStyle w:val="Prrafodelista"/>
        <w:widowControl w:val="0"/>
        <w:numPr>
          <w:ilvl w:val="0"/>
          <w:numId w:val="39"/>
        </w:numPr>
        <w:autoSpaceDE w:val="0"/>
        <w:autoSpaceDN w:val="0"/>
        <w:adjustRightInd w:val="0"/>
        <w:ind w:left="426" w:hanging="437"/>
        <w:jc w:val="both"/>
        <w:rPr>
          <w:rFonts w:ascii="Arial" w:hAnsi="Arial" w:cs="Arial"/>
          <w:noProof/>
          <w:sz w:val="20"/>
        </w:rPr>
      </w:pPr>
      <w:r w:rsidRPr="006E1AF7">
        <w:rPr>
          <w:rFonts w:ascii="Arial" w:hAnsi="Arial" w:cs="Arial"/>
          <w:noProof/>
          <w:sz w:val="20"/>
        </w:rPr>
        <w:t xml:space="preserve">La inflación acumulada entre el 1 de enero 2019 y el </w:t>
      </w:r>
      <w:r w:rsidR="005A6190" w:rsidRPr="006E1AF7">
        <w:rPr>
          <w:rFonts w:ascii="Arial" w:hAnsi="Arial" w:cs="Arial"/>
          <w:noProof/>
          <w:sz w:val="20"/>
        </w:rPr>
        <w:t xml:space="preserve">31 </w:t>
      </w:r>
      <w:r w:rsidRPr="006E1AF7">
        <w:rPr>
          <w:rFonts w:ascii="Arial" w:hAnsi="Arial" w:cs="Arial"/>
          <w:noProof/>
          <w:sz w:val="20"/>
        </w:rPr>
        <w:t xml:space="preserve">de </w:t>
      </w:r>
      <w:r w:rsidR="005A6190" w:rsidRPr="006E1AF7">
        <w:rPr>
          <w:rFonts w:ascii="Arial" w:hAnsi="Arial" w:cs="Arial"/>
          <w:noProof/>
          <w:sz w:val="20"/>
        </w:rPr>
        <w:t xml:space="preserve">diciembre de </w:t>
      </w:r>
      <w:r w:rsidRPr="006E1AF7">
        <w:rPr>
          <w:rFonts w:ascii="Arial" w:hAnsi="Arial" w:cs="Arial"/>
          <w:noProof/>
          <w:sz w:val="20"/>
        </w:rPr>
        <w:t xml:space="preserve">2019, alcanza el </w:t>
      </w:r>
      <w:r w:rsidR="005A6190" w:rsidRPr="006E1AF7">
        <w:rPr>
          <w:rFonts w:ascii="Arial" w:hAnsi="Arial" w:cs="Arial"/>
          <w:noProof/>
          <w:sz w:val="20"/>
        </w:rPr>
        <w:t>53</w:t>
      </w:r>
      <w:r w:rsidRPr="006E1AF7">
        <w:rPr>
          <w:rFonts w:ascii="Arial" w:hAnsi="Arial" w:cs="Arial"/>
          <w:noProof/>
          <w:sz w:val="20"/>
        </w:rPr>
        <w:t>,</w:t>
      </w:r>
      <w:r w:rsidR="005A6190" w:rsidRPr="006E1AF7">
        <w:rPr>
          <w:rFonts w:ascii="Arial" w:hAnsi="Arial" w:cs="Arial"/>
          <w:noProof/>
          <w:sz w:val="20"/>
        </w:rPr>
        <w:t>8</w:t>
      </w:r>
      <w:r w:rsidR="0049795D" w:rsidRPr="006E1AF7">
        <w:rPr>
          <w:rFonts w:ascii="Arial" w:hAnsi="Arial" w:cs="Arial"/>
          <w:noProof/>
          <w:sz w:val="20"/>
        </w:rPr>
        <w:t>%</w:t>
      </w:r>
      <w:r w:rsidRPr="006E1AF7">
        <w:rPr>
          <w:rFonts w:ascii="Arial" w:hAnsi="Arial" w:cs="Arial"/>
          <w:noProof/>
          <w:sz w:val="20"/>
        </w:rPr>
        <w:t>.</w:t>
      </w:r>
    </w:p>
    <w:p w14:paraId="7772796F" w14:textId="72D71268" w:rsidR="007C7173" w:rsidRPr="006E1AF7" w:rsidRDefault="007C7173" w:rsidP="0023020F">
      <w:pPr>
        <w:pStyle w:val="Prrafodelista"/>
        <w:widowControl w:val="0"/>
        <w:numPr>
          <w:ilvl w:val="0"/>
          <w:numId w:val="39"/>
        </w:numPr>
        <w:autoSpaceDE w:val="0"/>
        <w:autoSpaceDN w:val="0"/>
        <w:adjustRightInd w:val="0"/>
        <w:ind w:left="426" w:hanging="437"/>
        <w:jc w:val="both"/>
        <w:rPr>
          <w:rFonts w:ascii="Arial" w:hAnsi="Arial" w:cs="Arial"/>
          <w:noProof/>
          <w:sz w:val="20"/>
        </w:rPr>
      </w:pPr>
      <w:r w:rsidRPr="006E1AF7">
        <w:rPr>
          <w:rFonts w:ascii="Arial" w:hAnsi="Arial" w:cs="Arial"/>
          <w:noProof/>
          <w:sz w:val="20"/>
        </w:rPr>
        <w:t>La devaluación significativa del peso a partir del mes de agosto generó una imprevista salida de depósitos en dólares del sistema financiero (generando consecuentemente una caída de las reservas del Banco Central) y un aumento de la tasa de interés de referencia por encima del 74%.</w:t>
      </w:r>
    </w:p>
    <w:p w14:paraId="32F18646" w14:textId="77777777" w:rsidR="0049795D" w:rsidRPr="005A6190" w:rsidRDefault="0049795D" w:rsidP="007C7173">
      <w:pPr>
        <w:widowControl w:val="0"/>
        <w:autoSpaceDE w:val="0"/>
        <w:autoSpaceDN w:val="0"/>
        <w:adjustRightInd w:val="0"/>
        <w:jc w:val="both"/>
        <w:rPr>
          <w:rFonts w:ascii="Arial" w:hAnsi="Arial" w:cs="Arial"/>
          <w:noProof/>
          <w:sz w:val="20"/>
        </w:rPr>
      </w:pPr>
    </w:p>
    <w:p w14:paraId="01E6D9F4" w14:textId="75423502" w:rsidR="007C7173" w:rsidRDefault="007C7173" w:rsidP="007C7173">
      <w:pPr>
        <w:widowControl w:val="0"/>
        <w:autoSpaceDE w:val="0"/>
        <w:autoSpaceDN w:val="0"/>
        <w:adjustRightInd w:val="0"/>
        <w:jc w:val="both"/>
        <w:rPr>
          <w:rFonts w:ascii="Arial" w:hAnsi="Arial" w:cs="Arial"/>
          <w:noProof/>
          <w:sz w:val="20"/>
        </w:rPr>
      </w:pPr>
      <w:r w:rsidRPr="005A6190">
        <w:rPr>
          <w:rFonts w:ascii="Arial" w:hAnsi="Arial" w:cs="Arial"/>
          <w:noProof/>
          <w:sz w:val="20"/>
        </w:rPr>
        <w:t>Ante estas circunstancias, el gobierno decidió implementar ciertas medidas, entre las que se</w:t>
      </w:r>
      <w:r w:rsidRPr="007C7173">
        <w:rPr>
          <w:rFonts w:ascii="Arial" w:hAnsi="Arial" w:cs="Arial"/>
          <w:noProof/>
          <w:sz w:val="20"/>
        </w:rPr>
        <w:t xml:space="preserve"> encuentran:</w:t>
      </w:r>
    </w:p>
    <w:p w14:paraId="7B61B1D8" w14:textId="77777777" w:rsidR="007C7173" w:rsidRDefault="007C7173" w:rsidP="007C7173">
      <w:pPr>
        <w:widowControl w:val="0"/>
        <w:autoSpaceDE w:val="0"/>
        <w:autoSpaceDN w:val="0"/>
        <w:adjustRightInd w:val="0"/>
        <w:jc w:val="both"/>
        <w:rPr>
          <w:rFonts w:ascii="Arial" w:hAnsi="Arial" w:cs="Arial"/>
          <w:noProof/>
          <w:sz w:val="20"/>
        </w:rPr>
      </w:pPr>
    </w:p>
    <w:p w14:paraId="551439A2" w14:textId="77777777" w:rsidR="007C7173" w:rsidRDefault="007C7173" w:rsidP="007C7173">
      <w:pPr>
        <w:pStyle w:val="Prrafodelista"/>
        <w:widowControl w:val="0"/>
        <w:numPr>
          <w:ilvl w:val="0"/>
          <w:numId w:val="3"/>
        </w:numPr>
        <w:autoSpaceDE w:val="0"/>
        <w:autoSpaceDN w:val="0"/>
        <w:adjustRightInd w:val="0"/>
        <w:jc w:val="both"/>
        <w:rPr>
          <w:rFonts w:ascii="Arial" w:hAnsi="Arial" w:cs="Arial"/>
          <w:noProof/>
          <w:sz w:val="20"/>
        </w:rPr>
      </w:pPr>
      <w:r w:rsidRPr="00BF746E">
        <w:rPr>
          <w:rFonts w:ascii="Arial" w:hAnsi="Arial" w:cs="Arial"/>
          <w:noProof/>
          <w:sz w:val="20"/>
        </w:rPr>
        <w:t>Establecer límites en la adquisición de moneda extranjera.</w:t>
      </w:r>
    </w:p>
    <w:p w14:paraId="185657CA" w14:textId="77777777" w:rsidR="007C7173" w:rsidRDefault="007C7173" w:rsidP="007C7173">
      <w:pPr>
        <w:pStyle w:val="Prrafodelista"/>
        <w:widowControl w:val="0"/>
        <w:numPr>
          <w:ilvl w:val="0"/>
          <w:numId w:val="3"/>
        </w:numPr>
        <w:autoSpaceDE w:val="0"/>
        <w:autoSpaceDN w:val="0"/>
        <w:adjustRightInd w:val="0"/>
        <w:jc w:val="both"/>
        <w:rPr>
          <w:rFonts w:ascii="Arial" w:hAnsi="Arial" w:cs="Arial"/>
          <w:noProof/>
          <w:sz w:val="20"/>
        </w:rPr>
      </w:pPr>
      <w:r w:rsidRPr="00BF746E">
        <w:rPr>
          <w:rFonts w:ascii="Arial" w:hAnsi="Arial" w:cs="Arial"/>
          <w:noProof/>
          <w:sz w:val="20"/>
        </w:rPr>
        <w:t>Establecer plazos específicos para ingresar y liquidar exportaciones.</w:t>
      </w:r>
    </w:p>
    <w:p w14:paraId="627C2D47" w14:textId="77777777" w:rsidR="007C7173" w:rsidRDefault="007C7173" w:rsidP="007C7173">
      <w:pPr>
        <w:pStyle w:val="Prrafodelista"/>
        <w:widowControl w:val="0"/>
        <w:numPr>
          <w:ilvl w:val="0"/>
          <w:numId w:val="3"/>
        </w:numPr>
        <w:autoSpaceDE w:val="0"/>
        <w:autoSpaceDN w:val="0"/>
        <w:adjustRightInd w:val="0"/>
        <w:jc w:val="both"/>
        <w:rPr>
          <w:rFonts w:ascii="Arial" w:hAnsi="Arial" w:cs="Arial"/>
          <w:noProof/>
          <w:sz w:val="20"/>
        </w:rPr>
      </w:pPr>
      <w:r w:rsidRPr="00BF746E">
        <w:rPr>
          <w:rFonts w:ascii="Arial" w:hAnsi="Arial" w:cs="Arial"/>
          <w:noProof/>
          <w:sz w:val="20"/>
        </w:rPr>
        <w:t>Autorización previa del BCRA para la formación de activos externos para las empresas.</w:t>
      </w:r>
    </w:p>
    <w:p w14:paraId="2BFBEAF2" w14:textId="77777777" w:rsidR="007C7173" w:rsidRDefault="007C7173" w:rsidP="007C7173">
      <w:pPr>
        <w:pStyle w:val="Prrafodelista"/>
        <w:widowControl w:val="0"/>
        <w:numPr>
          <w:ilvl w:val="0"/>
          <w:numId w:val="3"/>
        </w:numPr>
        <w:autoSpaceDE w:val="0"/>
        <w:autoSpaceDN w:val="0"/>
        <w:adjustRightInd w:val="0"/>
        <w:jc w:val="both"/>
        <w:rPr>
          <w:rFonts w:ascii="Arial" w:hAnsi="Arial" w:cs="Arial"/>
          <w:noProof/>
          <w:sz w:val="20"/>
        </w:rPr>
      </w:pPr>
      <w:r w:rsidRPr="00BF746E">
        <w:rPr>
          <w:rFonts w:ascii="Arial" w:hAnsi="Arial" w:cs="Arial"/>
          <w:noProof/>
          <w:sz w:val="20"/>
        </w:rPr>
        <w:t>Autorización previa del BCRA para el pago de deudas a empresas vinculadas del exterior.</w:t>
      </w:r>
    </w:p>
    <w:p w14:paraId="4B7FFE8F" w14:textId="77777777" w:rsidR="007C7173" w:rsidRDefault="007C7173" w:rsidP="007C7173">
      <w:pPr>
        <w:pStyle w:val="Prrafodelista"/>
        <w:widowControl w:val="0"/>
        <w:numPr>
          <w:ilvl w:val="0"/>
          <w:numId w:val="3"/>
        </w:numPr>
        <w:autoSpaceDE w:val="0"/>
        <w:autoSpaceDN w:val="0"/>
        <w:adjustRightInd w:val="0"/>
        <w:jc w:val="both"/>
        <w:rPr>
          <w:rFonts w:ascii="Arial" w:hAnsi="Arial" w:cs="Arial"/>
          <w:noProof/>
          <w:sz w:val="20"/>
        </w:rPr>
      </w:pPr>
      <w:r w:rsidRPr="00BF746E">
        <w:rPr>
          <w:rFonts w:ascii="Arial" w:hAnsi="Arial" w:cs="Arial"/>
          <w:noProof/>
          <w:sz w:val="20"/>
        </w:rPr>
        <w:t>Diferimiento del pago de ciertos instrumentos de deuda pública.</w:t>
      </w:r>
    </w:p>
    <w:p w14:paraId="4C0BF008" w14:textId="1ED0CE1D" w:rsidR="007C7173" w:rsidRPr="00BF746E" w:rsidRDefault="007C7173" w:rsidP="00BF746E">
      <w:pPr>
        <w:pStyle w:val="Prrafodelista"/>
        <w:widowControl w:val="0"/>
        <w:numPr>
          <w:ilvl w:val="0"/>
          <w:numId w:val="3"/>
        </w:numPr>
        <w:autoSpaceDE w:val="0"/>
        <w:autoSpaceDN w:val="0"/>
        <w:adjustRightInd w:val="0"/>
        <w:jc w:val="both"/>
        <w:rPr>
          <w:rFonts w:ascii="Arial" w:hAnsi="Arial" w:cs="Arial"/>
          <w:noProof/>
          <w:sz w:val="20"/>
        </w:rPr>
      </w:pPr>
      <w:r w:rsidRPr="00BF746E">
        <w:rPr>
          <w:rFonts w:ascii="Arial" w:hAnsi="Arial" w:cs="Arial"/>
          <w:noProof/>
          <w:sz w:val="20"/>
        </w:rPr>
        <w:t>Control del precio de los combustibles.</w:t>
      </w:r>
    </w:p>
    <w:p w14:paraId="3501005B" w14:textId="77777777" w:rsidR="007C7173" w:rsidRDefault="007C7173" w:rsidP="007C7173">
      <w:pPr>
        <w:widowControl w:val="0"/>
        <w:autoSpaceDE w:val="0"/>
        <w:autoSpaceDN w:val="0"/>
        <w:adjustRightInd w:val="0"/>
        <w:jc w:val="both"/>
        <w:rPr>
          <w:rFonts w:ascii="Arial" w:hAnsi="Arial" w:cs="Arial"/>
          <w:noProof/>
          <w:sz w:val="20"/>
        </w:rPr>
      </w:pPr>
    </w:p>
    <w:p w14:paraId="01043362" w14:textId="70638562" w:rsidR="007C7173" w:rsidRPr="00BF746E" w:rsidRDefault="007C7173">
      <w:pPr>
        <w:widowControl w:val="0"/>
        <w:autoSpaceDE w:val="0"/>
        <w:autoSpaceDN w:val="0"/>
        <w:adjustRightInd w:val="0"/>
        <w:jc w:val="both"/>
        <w:rPr>
          <w:rFonts w:ascii="Arial" w:hAnsi="Arial" w:cs="Arial"/>
          <w:noProof/>
          <w:sz w:val="20"/>
        </w:rPr>
      </w:pPr>
      <w:r w:rsidRPr="00BF746E">
        <w:rPr>
          <w:rFonts w:ascii="Arial" w:hAnsi="Arial" w:cs="Arial"/>
          <w:noProof/>
          <w:sz w:val="20"/>
        </w:rPr>
        <w:t xml:space="preserve">Este contexto de volatilidad e incertidumbre continúa a la fecha de emisión de los presentes estados financieros. </w:t>
      </w:r>
    </w:p>
    <w:p w14:paraId="1933ED3A" w14:textId="77777777" w:rsidR="007C7173" w:rsidRPr="007C7173" w:rsidRDefault="007C7173" w:rsidP="007C7173">
      <w:pPr>
        <w:widowControl w:val="0"/>
        <w:autoSpaceDE w:val="0"/>
        <w:autoSpaceDN w:val="0"/>
        <w:adjustRightInd w:val="0"/>
        <w:jc w:val="both"/>
        <w:rPr>
          <w:rFonts w:ascii="Arial" w:hAnsi="Arial" w:cs="Arial"/>
          <w:noProof/>
          <w:sz w:val="20"/>
        </w:rPr>
      </w:pPr>
    </w:p>
    <w:p w14:paraId="5D23A7AD" w14:textId="148DB77B" w:rsidR="007C7173" w:rsidRDefault="007C7173" w:rsidP="007C7173">
      <w:pPr>
        <w:widowControl w:val="0"/>
        <w:autoSpaceDE w:val="0"/>
        <w:autoSpaceDN w:val="0"/>
        <w:adjustRightInd w:val="0"/>
        <w:jc w:val="both"/>
        <w:rPr>
          <w:rFonts w:ascii="Arial" w:hAnsi="Arial" w:cs="Arial"/>
          <w:noProof/>
          <w:sz w:val="20"/>
        </w:rPr>
      </w:pPr>
      <w:r w:rsidRPr="007C7173">
        <w:rPr>
          <w:rFonts w:ascii="Arial" w:hAnsi="Arial" w:cs="Arial"/>
          <w:noProof/>
          <w:sz w:val="20"/>
        </w:rPr>
        <w:t>La Dirección de la Entidad monitorea permanentemente la evolución de las variables que afectan su negocio, para definir su curso de acción e identificar los potenciales impactos sobre su situación patrimonial y financiera. Los estados financieros de la Entidad deben ser leídos a la luz de estas circunstancias.</w:t>
      </w:r>
    </w:p>
    <w:p w14:paraId="54F499C8" w14:textId="77777777" w:rsidR="007C7173" w:rsidRDefault="007C7173" w:rsidP="007C7173">
      <w:pPr>
        <w:widowControl w:val="0"/>
        <w:autoSpaceDE w:val="0"/>
        <w:autoSpaceDN w:val="0"/>
        <w:adjustRightInd w:val="0"/>
        <w:jc w:val="both"/>
        <w:rPr>
          <w:rFonts w:ascii="Arial" w:hAnsi="Arial" w:cs="Arial"/>
          <w:noProof/>
          <w:sz w:val="20"/>
        </w:rPr>
      </w:pPr>
    </w:p>
    <w:p w14:paraId="46CD5464" w14:textId="77777777" w:rsidR="007C7173" w:rsidRDefault="007C7173" w:rsidP="00E23C30">
      <w:pPr>
        <w:widowControl w:val="0"/>
        <w:autoSpaceDE w:val="0"/>
        <w:autoSpaceDN w:val="0"/>
        <w:adjustRightInd w:val="0"/>
        <w:jc w:val="both"/>
        <w:rPr>
          <w:rFonts w:ascii="Arial" w:hAnsi="Arial" w:cs="Arial"/>
          <w:noProof/>
          <w:sz w:val="20"/>
        </w:rPr>
      </w:pPr>
    </w:p>
    <w:p w14:paraId="7D316A90" w14:textId="77777777" w:rsidR="006C1D52" w:rsidRDefault="006C1D52" w:rsidP="008D0F76">
      <w:pPr>
        <w:widowControl w:val="0"/>
        <w:autoSpaceDE w:val="0"/>
        <w:autoSpaceDN w:val="0"/>
        <w:adjustRightInd w:val="0"/>
        <w:jc w:val="both"/>
        <w:rPr>
          <w:rFonts w:ascii="Arial" w:hAnsi="Arial" w:cs="Arial"/>
          <w:noProof/>
          <w:sz w:val="20"/>
          <w:highlight w:val="yellow"/>
        </w:rPr>
        <w:sectPr w:rsidR="006C1D52" w:rsidSect="00CC5C97">
          <w:headerReference w:type="even" r:id="rId24"/>
          <w:headerReference w:type="default" r:id="rId25"/>
          <w:headerReference w:type="first" r:id="rId26"/>
          <w:pgSz w:w="11907" w:h="16839" w:code="9"/>
          <w:pgMar w:top="1418" w:right="1701" w:bottom="1418" w:left="1701" w:header="567" w:footer="0" w:gutter="0"/>
          <w:cols w:space="708"/>
          <w:docGrid w:linePitch="360"/>
        </w:sectPr>
      </w:pPr>
    </w:p>
    <w:tbl>
      <w:tblPr>
        <w:tblStyle w:val="Tablaconcuadrcula"/>
        <w:tblW w:w="779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0"/>
        <w:gridCol w:w="1276"/>
        <w:gridCol w:w="1275"/>
      </w:tblGrid>
      <w:tr w:rsidR="00451F3D" w14:paraId="4D4C9908" w14:textId="77777777" w:rsidTr="00AA40A5">
        <w:tc>
          <w:tcPr>
            <w:tcW w:w="5240" w:type="dxa"/>
            <w:tcBorders>
              <w:top w:val="single" w:sz="4" w:space="0" w:color="auto"/>
              <w:left w:val="single" w:sz="4" w:space="0" w:color="auto"/>
              <w:bottom w:val="single" w:sz="4" w:space="0" w:color="auto"/>
            </w:tcBorders>
            <w:shd w:val="clear" w:color="auto" w:fill="BFBFBF" w:themeFill="background1" w:themeFillShade="BF"/>
          </w:tcPr>
          <w:p w14:paraId="77C703D8" w14:textId="23ADEB22" w:rsidR="00451F3D" w:rsidRPr="007B34B2" w:rsidRDefault="007F3EE6" w:rsidP="007F3EE6">
            <w:pPr>
              <w:widowControl w:val="0"/>
              <w:autoSpaceDE w:val="0"/>
              <w:autoSpaceDN w:val="0"/>
              <w:adjustRightInd w:val="0"/>
              <w:jc w:val="center"/>
              <w:rPr>
                <w:rFonts w:ascii="Arial" w:hAnsi="Arial" w:cs="Arial"/>
                <w:b/>
                <w:noProof/>
                <w:sz w:val="18"/>
                <w:szCs w:val="18"/>
              </w:rPr>
            </w:pPr>
            <w:bookmarkStart w:id="35" w:name="_Hlk9603770"/>
            <w:bookmarkStart w:id="36" w:name="_Hlk9605216"/>
            <w:r w:rsidRPr="007B34B2">
              <w:rPr>
                <w:rFonts w:ascii="Arial" w:hAnsi="Arial" w:cs="Arial"/>
                <w:b/>
                <w:noProof/>
                <w:sz w:val="18"/>
                <w:szCs w:val="18"/>
              </w:rPr>
              <w:t>Concepto</w:t>
            </w:r>
          </w:p>
        </w:tc>
        <w:tc>
          <w:tcPr>
            <w:tcW w:w="1276" w:type="dxa"/>
            <w:tcBorders>
              <w:top w:val="single" w:sz="4" w:space="0" w:color="auto"/>
              <w:bottom w:val="single" w:sz="4" w:space="0" w:color="auto"/>
            </w:tcBorders>
            <w:shd w:val="clear" w:color="auto" w:fill="BFBFBF" w:themeFill="background1" w:themeFillShade="BF"/>
          </w:tcPr>
          <w:p w14:paraId="6B02C555" w14:textId="3FE4CF67" w:rsidR="00451F3D" w:rsidRPr="007B34B2" w:rsidRDefault="003C2633" w:rsidP="005D476E">
            <w:pPr>
              <w:widowControl w:val="0"/>
              <w:autoSpaceDE w:val="0"/>
              <w:autoSpaceDN w:val="0"/>
              <w:adjustRightInd w:val="0"/>
              <w:jc w:val="center"/>
              <w:rPr>
                <w:rFonts w:ascii="Arial" w:hAnsi="Arial" w:cs="Arial"/>
                <w:b/>
                <w:noProof/>
                <w:sz w:val="18"/>
                <w:szCs w:val="18"/>
              </w:rPr>
            </w:pPr>
            <w:r>
              <w:rPr>
                <w:rFonts w:ascii="Arial" w:hAnsi="Arial" w:cs="Arial"/>
                <w:b/>
                <w:noProof/>
                <w:sz w:val="18"/>
                <w:szCs w:val="18"/>
              </w:rPr>
              <w:t>3</w:t>
            </w:r>
            <w:r w:rsidR="008F2926">
              <w:rPr>
                <w:rFonts w:ascii="Arial" w:hAnsi="Arial" w:cs="Arial"/>
                <w:b/>
                <w:noProof/>
                <w:sz w:val="18"/>
                <w:szCs w:val="18"/>
              </w:rPr>
              <w:t>1</w:t>
            </w:r>
            <w:r>
              <w:rPr>
                <w:rFonts w:ascii="Arial" w:hAnsi="Arial" w:cs="Arial"/>
                <w:b/>
                <w:noProof/>
                <w:sz w:val="18"/>
                <w:szCs w:val="18"/>
              </w:rPr>
              <w:t>/</w:t>
            </w:r>
            <w:r w:rsidR="008F2926">
              <w:rPr>
                <w:rFonts w:ascii="Arial" w:hAnsi="Arial" w:cs="Arial"/>
                <w:b/>
                <w:noProof/>
                <w:sz w:val="18"/>
                <w:szCs w:val="18"/>
              </w:rPr>
              <w:t>12</w:t>
            </w:r>
            <w:r>
              <w:rPr>
                <w:rFonts w:ascii="Arial" w:hAnsi="Arial" w:cs="Arial"/>
                <w:b/>
                <w:noProof/>
                <w:sz w:val="18"/>
                <w:szCs w:val="18"/>
              </w:rPr>
              <w:t>/2019</w:t>
            </w:r>
          </w:p>
        </w:tc>
        <w:tc>
          <w:tcPr>
            <w:tcW w:w="1275" w:type="dxa"/>
            <w:tcBorders>
              <w:top w:val="single" w:sz="4" w:space="0" w:color="auto"/>
              <w:bottom w:val="single" w:sz="4" w:space="0" w:color="auto"/>
              <w:right w:val="single" w:sz="4" w:space="0" w:color="auto"/>
            </w:tcBorders>
            <w:shd w:val="clear" w:color="auto" w:fill="BFBFBF" w:themeFill="background1" w:themeFillShade="BF"/>
          </w:tcPr>
          <w:p w14:paraId="645934D4" w14:textId="391640CA" w:rsidR="00451F3D" w:rsidRPr="007B34B2" w:rsidRDefault="007F3EE6" w:rsidP="007F3EE6">
            <w:pPr>
              <w:widowControl w:val="0"/>
              <w:autoSpaceDE w:val="0"/>
              <w:autoSpaceDN w:val="0"/>
              <w:adjustRightInd w:val="0"/>
              <w:jc w:val="center"/>
              <w:rPr>
                <w:rFonts w:ascii="Arial" w:hAnsi="Arial" w:cs="Arial"/>
                <w:b/>
                <w:noProof/>
                <w:sz w:val="18"/>
                <w:szCs w:val="18"/>
              </w:rPr>
            </w:pPr>
            <w:r w:rsidRPr="007B34B2">
              <w:rPr>
                <w:rFonts w:ascii="Arial" w:hAnsi="Arial" w:cs="Arial"/>
                <w:b/>
                <w:noProof/>
                <w:sz w:val="18"/>
                <w:szCs w:val="18"/>
              </w:rPr>
              <w:t>31/</w:t>
            </w:r>
            <w:r w:rsidR="00915F29" w:rsidRPr="007B34B2">
              <w:rPr>
                <w:rFonts w:ascii="Arial" w:hAnsi="Arial" w:cs="Arial"/>
                <w:b/>
                <w:noProof/>
                <w:sz w:val="18"/>
                <w:szCs w:val="18"/>
              </w:rPr>
              <w:t>12</w:t>
            </w:r>
            <w:r w:rsidRPr="007B34B2">
              <w:rPr>
                <w:rFonts w:ascii="Arial" w:hAnsi="Arial" w:cs="Arial"/>
                <w:b/>
                <w:noProof/>
                <w:sz w:val="18"/>
                <w:szCs w:val="18"/>
              </w:rPr>
              <w:t>/2018</w:t>
            </w:r>
          </w:p>
        </w:tc>
      </w:tr>
      <w:tr w:rsidR="00451F3D" w14:paraId="5F614A0E" w14:textId="77777777" w:rsidTr="00915F29">
        <w:tc>
          <w:tcPr>
            <w:tcW w:w="5240" w:type="dxa"/>
            <w:tcBorders>
              <w:top w:val="single" w:sz="4" w:space="0" w:color="auto"/>
            </w:tcBorders>
          </w:tcPr>
          <w:p w14:paraId="0E97B6F4" w14:textId="59313013" w:rsidR="00451F3D" w:rsidRPr="00915F29" w:rsidRDefault="007F3EE6" w:rsidP="008D0F76">
            <w:pPr>
              <w:widowControl w:val="0"/>
              <w:autoSpaceDE w:val="0"/>
              <w:autoSpaceDN w:val="0"/>
              <w:adjustRightInd w:val="0"/>
              <w:jc w:val="both"/>
              <w:rPr>
                <w:rFonts w:ascii="Arial" w:hAnsi="Arial" w:cs="Arial"/>
                <w:b/>
                <w:noProof/>
                <w:sz w:val="20"/>
                <w:szCs w:val="18"/>
              </w:rPr>
            </w:pPr>
            <w:r w:rsidRPr="00915F29">
              <w:rPr>
                <w:rFonts w:ascii="Arial" w:hAnsi="Arial" w:cs="Arial"/>
                <w:b/>
                <w:noProof/>
                <w:sz w:val="20"/>
                <w:szCs w:val="18"/>
              </w:rPr>
              <w:t>CARTERA COMERCIAL</w:t>
            </w:r>
          </w:p>
        </w:tc>
        <w:tc>
          <w:tcPr>
            <w:tcW w:w="1276" w:type="dxa"/>
            <w:tcBorders>
              <w:top w:val="single" w:sz="4" w:space="0" w:color="auto"/>
            </w:tcBorders>
          </w:tcPr>
          <w:p w14:paraId="0DA49DE6" w14:textId="77777777" w:rsidR="00451F3D" w:rsidRPr="000436E1" w:rsidRDefault="00451F3D" w:rsidP="008D0F76">
            <w:pPr>
              <w:widowControl w:val="0"/>
              <w:autoSpaceDE w:val="0"/>
              <w:autoSpaceDN w:val="0"/>
              <w:adjustRightInd w:val="0"/>
              <w:jc w:val="both"/>
              <w:rPr>
                <w:rFonts w:ascii="Arial" w:hAnsi="Arial" w:cs="Arial"/>
                <w:b/>
                <w:noProof/>
                <w:sz w:val="20"/>
                <w:szCs w:val="18"/>
                <w:highlight w:val="yellow"/>
              </w:rPr>
            </w:pPr>
          </w:p>
        </w:tc>
        <w:tc>
          <w:tcPr>
            <w:tcW w:w="1275" w:type="dxa"/>
            <w:tcBorders>
              <w:top w:val="single" w:sz="4" w:space="0" w:color="auto"/>
            </w:tcBorders>
          </w:tcPr>
          <w:p w14:paraId="7F4A45B6" w14:textId="77777777" w:rsidR="00451F3D" w:rsidRPr="000436E1" w:rsidRDefault="00451F3D" w:rsidP="008D0F76">
            <w:pPr>
              <w:widowControl w:val="0"/>
              <w:autoSpaceDE w:val="0"/>
              <w:autoSpaceDN w:val="0"/>
              <w:adjustRightInd w:val="0"/>
              <w:jc w:val="both"/>
              <w:rPr>
                <w:rFonts w:ascii="Arial" w:hAnsi="Arial" w:cs="Arial"/>
                <w:b/>
                <w:noProof/>
                <w:sz w:val="20"/>
                <w:szCs w:val="18"/>
                <w:highlight w:val="yellow"/>
              </w:rPr>
            </w:pPr>
          </w:p>
        </w:tc>
      </w:tr>
      <w:tr w:rsidR="00451F3D" w14:paraId="50E37037" w14:textId="77777777" w:rsidTr="00915F29">
        <w:tc>
          <w:tcPr>
            <w:tcW w:w="5240" w:type="dxa"/>
          </w:tcPr>
          <w:p w14:paraId="3262ED81" w14:textId="77777777" w:rsidR="00451F3D" w:rsidRPr="000436E1" w:rsidRDefault="00451F3D" w:rsidP="008D0F76">
            <w:pPr>
              <w:widowControl w:val="0"/>
              <w:autoSpaceDE w:val="0"/>
              <w:autoSpaceDN w:val="0"/>
              <w:adjustRightInd w:val="0"/>
              <w:jc w:val="both"/>
              <w:rPr>
                <w:rFonts w:ascii="Arial" w:hAnsi="Arial" w:cs="Arial"/>
                <w:noProof/>
                <w:sz w:val="18"/>
                <w:szCs w:val="18"/>
                <w:highlight w:val="yellow"/>
              </w:rPr>
            </w:pPr>
          </w:p>
        </w:tc>
        <w:tc>
          <w:tcPr>
            <w:tcW w:w="1276" w:type="dxa"/>
          </w:tcPr>
          <w:p w14:paraId="24AB6018" w14:textId="77777777" w:rsidR="00451F3D" w:rsidRPr="008844D4" w:rsidRDefault="00451F3D" w:rsidP="008D0F76">
            <w:pPr>
              <w:widowControl w:val="0"/>
              <w:autoSpaceDE w:val="0"/>
              <w:autoSpaceDN w:val="0"/>
              <w:adjustRightInd w:val="0"/>
              <w:jc w:val="both"/>
              <w:rPr>
                <w:rFonts w:ascii="Arial" w:hAnsi="Arial" w:cs="Arial"/>
                <w:b/>
                <w:bCs/>
                <w:noProof/>
                <w:sz w:val="18"/>
                <w:szCs w:val="18"/>
                <w:highlight w:val="yellow"/>
              </w:rPr>
            </w:pPr>
          </w:p>
        </w:tc>
        <w:tc>
          <w:tcPr>
            <w:tcW w:w="1275" w:type="dxa"/>
          </w:tcPr>
          <w:p w14:paraId="5D924EBC" w14:textId="77777777" w:rsidR="00451F3D" w:rsidRPr="000436E1" w:rsidRDefault="00451F3D" w:rsidP="008D0F76">
            <w:pPr>
              <w:widowControl w:val="0"/>
              <w:autoSpaceDE w:val="0"/>
              <w:autoSpaceDN w:val="0"/>
              <w:adjustRightInd w:val="0"/>
              <w:jc w:val="both"/>
              <w:rPr>
                <w:rFonts w:ascii="Arial" w:hAnsi="Arial" w:cs="Arial"/>
                <w:noProof/>
                <w:sz w:val="18"/>
                <w:szCs w:val="18"/>
                <w:highlight w:val="yellow"/>
              </w:rPr>
            </w:pPr>
          </w:p>
        </w:tc>
      </w:tr>
      <w:tr w:rsidR="008844D4" w:rsidRPr="00865094" w14:paraId="055A0056" w14:textId="77777777" w:rsidTr="006637B6">
        <w:trPr>
          <w:trHeight w:val="170"/>
        </w:trPr>
        <w:tc>
          <w:tcPr>
            <w:tcW w:w="5240" w:type="dxa"/>
          </w:tcPr>
          <w:p w14:paraId="4054D9BA" w14:textId="67CB1C15" w:rsidR="008844D4" w:rsidRPr="00865094" w:rsidRDefault="008844D4" w:rsidP="008844D4">
            <w:pPr>
              <w:jc w:val="both"/>
              <w:rPr>
                <w:rFonts w:ascii="Arial" w:hAnsi="Arial" w:cs="Arial"/>
                <w:b/>
                <w:bCs/>
                <w:sz w:val="18"/>
                <w:szCs w:val="18"/>
                <w:lang w:eastAsia="es-AR"/>
              </w:rPr>
            </w:pPr>
            <w:r w:rsidRPr="00865094">
              <w:rPr>
                <w:rFonts w:ascii="Arial" w:hAnsi="Arial" w:cs="Arial"/>
                <w:b/>
                <w:bCs/>
                <w:sz w:val="18"/>
                <w:szCs w:val="18"/>
              </w:rPr>
              <w:t>En situación normal</w:t>
            </w:r>
          </w:p>
        </w:tc>
        <w:tc>
          <w:tcPr>
            <w:tcW w:w="1276" w:type="dxa"/>
            <w:tcBorders>
              <w:bottom w:val="single" w:sz="4" w:space="0" w:color="auto"/>
            </w:tcBorders>
            <w:vAlign w:val="bottom"/>
          </w:tcPr>
          <w:p w14:paraId="135656A1" w14:textId="5AC39315" w:rsidR="008844D4" w:rsidRPr="008844D4" w:rsidRDefault="008844D4" w:rsidP="008844D4">
            <w:pPr>
              <w:widowControl w:val="0"/>
              <w:autoSpaceDE w:val="0"/>
              <w:autoSpaceDN w:val="0"/>
              <w:adjustRightInd w:val="0"/>
              <w:jc w:val="right"/>
              <w:rPr>
                <w:rFonts w:ascii="Arial" w:eastAsia="Batang" w:hAnsi="Arial" w:cs="Arial"/>
                <w:b/>
                <w:bCs/>
                <w:color w:val="000000"/>
                <w:sz w:val="18"/>
                <w:szCs w:val="18"/>
              </w:rPr>
            </w:pPr>
            <w:r w:rsidRPr="008844D4">
              <w:rPr>
                <w:rFonts w:ascii="Arial" w:hAnsi="Arial" w:cs="Arial"/>
                <w:b/>
                <w:bCs/>
                <w:sz w:val="18"/>
                <w:szCs w:val="18"/>
              </w:rPr>
              <w:t>41.132.</w:t>
            </w:r>
            <w:r w:rsidR="00437E0D">
              <w:rPr>
                <w:rFonts w:ascii="Arial" w:hAnsi="Arial" w:cs="Arial"/>
                <w:b/>
                <w:bCs/>
                <w:sz w:val="18"/>
                <w:szCs w:val="18"/>
              </w:rPr>
              <w:t>330</w:t>
            </w:r>
            <w:r w:rsidRPr="008844D4">
              <w:rPr>
                <w:rFonts w:ascii="Arial" w:hAnsi="Arial" w:cs="Arial"/>
                <w:b/>
                <w:bCs/>
                <w:sz w:val="18"/>
                <w:szCs w:val="18"/>
              </w:rPr>
              <w:t xml:space="preserve"> </w:t>
            </w:r>
          </w:p>
        </w:tc>
        <w:tc>
          <w:tcPr>
            <w:tcW w:w="1275" w:type="dxa"/>
            <w:tcBorders>
              <w:bottom w:val="single" w:sz="4" w:space="0" w:color="auto"/>
            </w:tcBorders>
            <w:vAlign w:val="bottom"/>
          </w:tcPr>
          <w:p w14:paraId="72461329" w14:textId="4D418B06" w:rsidR="008844D4" w:rsidRPr="00125098" w:rsidRDefault="008844D4" w:rsidP="008844D4">
            <w:pPr>
              <w:widowControl w:val="0"/>
              <w:autoSpaceDE w:val="0"/>
              <w:autoSpaceDN w:val="0"/>
              <w:adjustRightInd w:val="0"/>
              <w:jc w:val="right"/>
              <w:rPr>
                <w:rFonts w:ascii="Arial" w:eastAsia="Batang" w:hAnsi="Arial" w:cs="Arial"/>
                <w:noProof/>
                <w:sz w:val="18"/>
                <w:szCs w:val="18"/>
                <w:highlight w:val="yellow"/>
              </w:rPr>
            </w:pPr>
            <w:r w:rsidRPr="00125098">
              <w:rPr>
                <w:rFonts w:ascii="Arial" w:eastAsia="Batang" w:hAnsi="Arial" w:cs="Arial"/>
                <w:b/>
                <w:bCs/>
                <w:color w:val="000000"/>
                <w:sz w:val="18"/>
                <w:szCs w:val="18"/>
              </w:rPr>
              <w:t xml:space="preserve">40.388.789 </w:t>
            </w:r>
          </w:p>
        </w:tc>
      </w:tr>
      <w:tr w:rsidR="008844D4" w:rsidRPr="00865094" w14:paraId="2B242A94" w14:textId="77777777" w:rsidTr="006637B6">
        <w:trPr>
          <w:trHeight w:val="170"/>
        </w:trPr>
        <w:tc>
          <w:tcPr>
            <w:tcW w:w="5240" w:type="dxa"/>
          </w:tcPr>
          <w:p w14:paraId="68CBA135" w14:textId="633F19B1"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45BDA409" w14:textId="79A26A0F" w:rsidR="008844D4" w:rsidRPr="008844D4" w:rsidRDefault="008844D4" w:rsidP="008844D4">
            <w:pPr>
              <w:widowControl w:val="0"/>
              <w:autoSpaceDE w:val="0"/>
              <w:autoSpaceDN w:val="0"/>
              <w:adjustRightInd w:val="0"/>
              <w:jc w:val="right"/>
              <w:rPr>
                <w:rFonts w:ascii="Arial" w:eastAsia="Batang" w:hAnsi="Arial" w:cs="Arial"/>
                <w:color w:val="000000"/>
                <w:sz w:val="18"/>
                <w:szCs w:val="18"/>
              </w:rPr>
            </w:pPr>
            <w:r w:rsidRPr="008844D4">
              <w:rPr>
                <w:rFonts w:ascii="Arial" w:hAnsi="Arial" w:cs="Arial"/>
                <w:sz w:val="18"/>
                <w:szCs w:val="18"/>
              </w:rPr>
              <w:t xml:space="preserve">2.122.022 </w:t>
            </w:r>
          </w:p>
        </w:tc>
        <w:tc>
          <w:tcPr>
            <w:tcW w:w="1275" w:type="dxa"/>
            <w:tcBorders>
              <w:top w:val="single" w:sz="4" w:space="0" w:color="auto"/>
            </w:tcBorders>
            <w:vAlign w:val="bottom"/>
          </w:tcPr>
          <w:p w14:paraId="174AC996" w14:textId="3C9894DC" w:rsidR="008844D4" w:rsidRPr="00125098" w:rsidRDefault="008844D4" w:rsidP="008844D4">
            <w:pPr>
              <w:widowControl w:val="0"/>
              <w:autoSpaceDE w:val="0"/>
              <w:autoSpaceDN w:val="0"/>
              <w:adjustRightInd w:val="0"/>
              <w:jc w:val="right"/>
              <w:rPr>
                <w:rFonts w:ascii="Arial" w:eastAsia="Batang" w:hAnsi="Arial" w:cs="Arial"/>
                <w:noProof/>
                <w:sz w:val="18"/>
                <w:szCs w:val="18"/>
                <w:highlight w:val="yellow"/>
              </w:rPr>
            </w:pPr>
            <w:r w:rsidRPr="00125098">
              <w:rPr>
                <w:rFonts w:ascii="Arial" w:eastAsia="Batang" w:hAnsi="Arial" w:cs="Arial"/>
                <w:color w:val="000000"/>
                <w:sz w:val="18"/>
                <w:szCs w:val="18"/>
              </w:rPr>
              <w:t xml:space="preserve">3.131.880 </w:t>
            </w:r>
          </w:p>
        </w:tc>
      </w:tr>
      <w:tr w:rsidR="008844D4" w:rsidRPr="00865094" w14:paraId="531FFF14" w14:textId="77777777" w:rsidTr="006637B6">
        <w:trPr>
          <w:trHeight w:val="170"/>
        </w:trPr>
        <w:tc>
          <w:tcPr>
            <w:tcW w:w="5240" w:type="dxa"/>
          </w:tcPr>
          <w:p w14:paraId="25823441" w14:textId="7FB75EC0"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"B"</w:t>
            </w:r>
          </w:p>
        </w:tc>
        <w:tc>
          <w:tcPr>
            <w:tcW w:w="1276" w:type="dxa"/>
            <w:vAlign w:val="bottom"/>
          </w:tcPr>
          <w:p w14:paraId="26B8E3BC" w14:textId="66CBC83E" w:rsidR="008844D4" w:rsidRPr="008844D4" w:rsidRDefault="008844D4" w:rsidP="008844D4">
            <w:pPr>
              <w:widowControl w:val="0"/>
              <w:autoSpaceDE w:val="0"/>
              <w:autoSpaceDN w:val="0"/>
              <w:adjustRightInd w:val="0"/>
              <w:jc w:val="right"/>
              <w:rPr>
                <w:rFonts w:ascii="Arial" w:eastAsia="Batang" w:hAnsi="Arial" w:cs="Arial"/>
                <w:color w:val="000000"/>
                <w:sz w:val="18"/>
                <w:szCs w:val="18"/>
              </w:rPr>
            </w:pPr>
            <w:r w:rsidRPr="008844D4">
              <w:rPr>
                <w:rFonts w:ascii="Arial" w:hAnsi="Arial" w:cs="Arial"/>
                <w:sz w:val="18"/>
                <w:szCs w:val="18"/>
              </w:rPr>
              <w:t xml:space="preserve">8.705.776 </w:t>
            </w:r>
          </w:p>
        </w:tc>
        <w:tc>
          <w:tcPr>
            <w:tcW w:w="1275" w:type="dxa"/>
            <w:vAlign w:val="bottom"/>
          </w:tcPr>
          <w:p w14:paraId="1E0579D7" w14:textId="6CA02E9D" w:rsidR="008844D4" w:rsidRPr="00125098" w:rsidRDefault="008844D4" w:rsidP="008844D4">
            <w:pPr>
              <w:widowControl w:val="0"/>
              <w:autoSpaceDE w:val="0"/>
              <w:autoSpaceDN w:val="0"/>
              <w:adjustRightInd w:val="0"/>
              <w:jc w:val="right"/>
              <w:rPr>
                <w:rFonts w:ascii="Arial" w:eastAsia="Batang" w:hAnsi="Arial" w:cs="Arial"/>
                <w:noProof/>
                <w:sz w:val="18"/>
                <w:szCs w:val="18"/>
                <w:highlight w:val="yellow"/>
              </w:rPr>
            </w:pPr>
            <w:r w:rsidRPr="00125098">
              <w:rPr>
                <w:rFonts w:ascii="Arial" w:eastAsia="Batang" w:hAnsi="Arial" w:cs="Arial"/>
                <w:color w:val="000000"/>
                <w:sz w:val="18"/>
                <w:szCs w:val="18"/>
              </w:rPr>
              <w:t xml:space="preserve">7.174.967 </w:t>
            </w:r>
          </w:p>
        </w:tc>
      </w:tr>
      <w:tr w:rsidR="008844D4" w:rsidRPr="00865094" w14:paraId="4FA989BD" w14:textId="77777777" w:rsidTr="006637B6">
        <w:trPr>
          <w:trHeight w:val="170"/>
        </w:trPr>
        <w:tc>
          <w:tcPr>
            <w:tcW w:w="5240" w:type="dxa"/>
          </w:tcPr>
          <w:p w14:paraId="0D89712B" w14:textId="459AD22D"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3263890A" w14:textId="6C11AA68" w:rsidR="008844D4" w:rsidRPr="008844D4" w:rsidRDefault="008844D4" w:rsidP="008844D4">
            <w:pPr>
              <w:widowControl w:val="0"/>
              <w:autoSpaceDE w:val="0"/>
              <w:autoSpaceDN w:val="0"/>
              <w:adjustRightInd w:val="0"/>
              <w:jc w:val="right"/>
              <w:rPr>
                <w:rFonts w:ascii="Arial" w:eastAsia="Batang" w:hAnsi="Arial" w:cs="Arial"/>
                <w:color w:val="000000"/>
                <w:sz w:val="18"/>
                <w:szCs w:val="18"/>
              </w:rPr>
            </w:pPr>
            <w:r w:rsidRPr="008844D4">
              <w:rPr>
                <w:rFonts w:ascii="Arial" w:hAnsi="Arial" w:cs="Arial"/>
                <w:sz w:val="18"/>
                <w:szCs w:val="18"/>
              </w:rPr>
              <w:t>30.304.</w:t>
            </w:r>
            <w:r w:rsidR="00831903">
              <w:rPr>
                <w:rFonts w:ascii="Arial" w:hAnsi="Arial" w:cs="Arial"/>
                <w:sz w:val="18"/>
                <w:szCs w:val="18"/>
              </w:rPr>
              <w:t>532</w:t>
            </w:r>
            <w:r w:rsidRPr="008844D4">
              <w:rPr>
                <w:rFonts w:ascii="Arial" w:hAnsi="Arial" w:cs="Arial"/>
                <w:sz w:val="18"/>
                <w:szCs w:val="18"/>
              </w:rPr>
              <w:t xml:space="preserve"> </w:t>
            </w:r>
          </w:p>
        </w:tc>
        <w:tc>
          <w:tcPr>
            <w:tcW w:w="1275" w:type="dxa"/>
            <w:vAlign w:val="bottom"/>
          </w:tcPr>
          <w:p w14:paraId="2F8D029A" w14:textId="3EA0FB9E" w:rsidR="008844D4" w:rsidRPr="00125098" w:rsidRDefault="008844D4" w:rsidP="008844D4">
            <w:pPr>
              <w:widowControl w:val="0"/>
              <w:autoSpaceDE w:val="0"/>
              <w:autoSpaceDN w:val="0"/>
              <w:adjustRightInd w:val="0"/>
              <w:jc w:val="right"/>
              <w:rPr>
                <w:rFonts w:ascii="Arial" w:eastAsia="Batang" w:hAnsi="Arial" w:cs="Arial"/>
                <w:noProof/>
                <w:sz w:val="18"/>
                <w:szCs w:val="18"/>
                <w:highlight w:val="yellow"/>
              </w:rPr>
            </w:pPr>
            <w:r w:rsidRPr="00125098">
              <w:rPr>
                <w:rFonts w:ascii="Arial" w:eastAsia="Batang" w:hAnsi="Arial" w:cs="Arial"/>
                <w:color w:val="000000"/>
                <w:sz w:val="18"/>
                <w:szCs w:val="18"/>
              </w:rPr>
              <w:t xml:space="preserve">30.081.942 </w:t>
            </w:r>
          </w:p>
        </w:tc>
      </w:tr>
      <w:tr w:rsidR="000436E1" w:rsidRPr="00865094" w14:paraId="55E9D86E" w14:textId="77777777" w:rsidTr="00915F29">
        <w:trPr>
          <w:trHeight w:val="170"/>
        </w:trPr>
        <w:tc>
          <w:tcPr>
            <w:tcW w:w="5240" w:type="dxa"/>
          </w:tcPr>
          <w:p w14:paraId="69A50C76" w14:textId="77777777" w:rsidR="000436E1" w:rsidRPr="00865094" w:rsidRDefault="000436E1" w:rsidP="007F3EE6">
            <w:pPr>
              <w:ind w:firstLineChars="200" w:firstLine="360"/>
              <w:jc w:val="both"/>
              <w:rPr>
                <w:rFonts w:ascii="Arial" w:hAnsi="Arial" w:cs="Arial"/>
                <w:sz w:val="18"/>
                <w:szCs w:val="18"/>
              </w:rPr>
            </w:pPr>
          </w:p>
        </w:tc>
        <w:tc>
          <w:tcPr>
            <w:tcW w:w="1276" w:type="dxa"/>
          </w:tcPr>
          <w:p w14:paraId="7BDBF902"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40ECC261"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r>
      <w:tr w:rsidR="00451F3D" w:rsidRPr="00865094" w14:paraId="60132FAE" w14:textId="77777777" w:rsidTr="00915F29">
        <w:trPr>
          <w:trHeight w:val="170"/>
        </w:trPr>
        <w:tc>
          <w:tcPr>
            <w:tcW w:w="5240" w:type="dxa"/>
          </w:tcPr>
          <w:p w14:paraId="3615EF8D" w14:textId="22EC835D" w:rsidR="00451F3D" w:rsidRPr="00865094" w:rsidRDefault="007F3EE6" w:rsidP="007F3EE6">
            <w:pPr>
              <w:jc w:val="both"/>
              <w:rPr>
                <w:rFonts w:ascii="Arial" w:hAnsi="Arial" w:cs="Arial"/>
                <w:b/>
                <w:bCs/>
                <w:sz w:val="18"/>
                <w:szCs w:val="18"/>
                <w:lang w:eastAsia="es-AR"/>
              </w:rPr>
            </w:pPr>
            <w:r w:rsidRPr="00865094">
              <w:rPr>
                <w:rFonts w:ascii="Arial" w:hAnsi="Arial" w:cs="Arial"/>
                <w:b/>
                <w:bCs/>
                <w:sz w:val="18"/>
                <w:szCs w:val="18"/>
              </w:rPr>
              <w:t>Con seguimiento especial</w:t>
            </w:r>
          </w:p>
        </w:tc>
        <w:tc>
          <w:tcPr>
            <w:tcW w:w="1276" w:type="dxa"/>
          </w:tcPr>
          <w:p w14:paraId="7BB3E937" w14:textId="77777777" w:rsidR="00451F3D" w:rsidRPr="00125098" w:rsidRDefault="00451F3D"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4006CDD5" w14:textId="77777777" w:rsidR="00451F3D" w:rsidRPr="00125098" w:rsidRDefault="00451F3D" w:rsidP="008D0F76">
            <w:pPr>
              <w:widowControl w:val="0"/>
              <w:autoSpaceDE w:val="0"/>
              <w:autoSpaceDN w:val="0"/>
              <w:adjustRightInd w:val="0"/>
              <w:jc w:val="both"/>
              <w:rPr>
                <w:rFonts w:ascii="Arial" w:hAnsi="Arial" w:cs="Arial"/>
                <w:noProof/>
                <w:sz w:val="18"/>
                <w:szCs w:val="18"/>
                <w:highlight w:val="yellow"/>
              </w:rPr>
            </w:pPr>
          </w:p>
        </w:tc>
      </w:tr>
      <w:tr w:rsidR="000436E1" w:rsidRPr="00865094" w14:paraId="0517F611" w14:textId="77777777" w:rsidTr="00915F29">
        <w:trPr>
          <w:trHeight w:val="170"/>
        </w:trPr>
        <w:tc>
          <w:tcPr>
            <w:tcW w:w="5240" w:type="dxa"/>
          </w:tcPr>
          <w:p w14:paraId="10BCC3E4" w14:textId="77777777" w:rsidR="000436E1" w:rsidRPr="00865094" w:rsidRDefault="000436E1" w:rsidP="007F3EE6">
            <w:pPr>
              <w:jc w:val="both"/>
              <w:rPr>
                <w:rFonts w:ascii="Arial" w:hAnsi="Arial" w:cs="Arial"/>
                <w:b/>
                <w:bCs/>
                <w:sz w:val="18"/>
                <w:szCs w:val="18"/>
              </w:rPr>
            </w:pPr>
          </w:p>
        </w:tc>
        <w:tc>
          <w:tcPr>
            <w:tcW w:w="1276" w:type="dxa"/>
          </w:tcPr>
          <w:p w14:paraId="34B3CA96"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706F9E47"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r>
      <w:tr w:rsidR="008844D4" w:rsidRPr="00865094" w14:paraId="63B7664E" w14:textId="77777777" w:rsidTr="006637B6">
        <w:trPr>
          <w:trHeight w:val="170"/>
        </w:trPr>
        <w:tc>
          <w:tcPr>
            <w:tcW w:w="5240" w:type="dxa"/>
          </w:tcPr>
          <w:p w14:paraId="4A575FB4" w14:textId="25840B74" w:rsidR="008844D4" w:rsidRPr="00865094" w:rsidRDefault="008844D4" w:rsidP="008844D4">
            <w:pPr>
              <w:ind w:firstLineChars="100" w:firstLine="181"/>
              <w:jc w:val="both"/>
              <w:rPr>
                <w:rFonts w:ascii="Arial" w:hAnsi="Arial" w:cs="Arial"/>
                <w:b/>
                <w:bCs/>
                <w:sz w:val="18"/>
                <w:szCs w:val="18"/>
                <w:lang w:eastAsia="es-AR"/>
              </w:rPr>
            </w:pPr>
            <w:r w:rsidRPr="00865094">
              <w:rPr>
                <w:rFonts w:ascii="Arial" w:hAnsi="Arial" w:cs="Arial"/>
                <w:b/>
                <w:bCs/>
                <w:sz w:val="18"/>
                <w:szCs w:val="18"/>
              </w:rPr>
              <w:t>En observación</w:t>
            </w:r>
          </w:p>
        </w:tc>
        <w:tc>
          <w:tcPr>
            <w:tcW w:w="1276" w:type="dxa"/>
            <w:tcBorders>
              <w:bottom w:val="single" w:sz="4" w:space="0" w:color="auto"/>
            </w:tcBorders>
            <w:vAlign w:val="bottom"/>
          </w:tcPr>
          <w:p w14:paraId="14FF5628" w14:textId="00876E64" w:rsidR="008844D4" w:rsidRPr="00141711" w:rsidRDefault="008844D4" w:rsidP="008844D4">
            <w:pPr>
              <w:widowControl w:val="0"/>
              <w:autoSpaceDE w:val="0"/>
              <w:autoSpaceDN w:val="0"/>
              <w:adjustRightInd w:val="0"/>
              <w:jc w:val="right"/>
              <w:rPr>
                <w:rFonts w:ascii="Arial" w:hAnsi="Arial" w:cs="Arial"/>
                <w:b/>
                <w:bCs/>
                <w:color w:val="000000"/>
                <w:sz w:val="18"/>
                <w:szCs w:val="18"/>
              </w:rPr>
            </w:pPr>
            <w:r>
              <w:rPr>
                <w:rFonts w:ascii="Arial" w:hAnsi="Arial" w:cs="Arial"/>
                <w:b/>
                <w:bCs/>
                <w:color w:val="000000"/>
                <w:sz w:val="18"/>
                <w:szCs w:val="18"/>
              </w:rPr>
              <w:t>243.293</w:t>
            </w:r>
          </w:p>
        </w:tc>
        <w:tc>
          <w:tcPr>
            <w:tcW w:w="1275" w:type="dxa"/>
            <w:tcBorders>
              <w:bottom w:val="single" w:sz="4" w:space="0" w:color="auto"/>
            </w:tcBorders>
            <w:vAlign w:val="bottom"/>
          </w:tcPr>
          <w:p w14:paraId="2299073D" w14:textId="4D808ABF"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b/>
                <w:bCs/>
                <w:color w:val="000000"/>
                <w:sz w:val="18"/>
                <w:szCs w:val="18"/>
              </w:rPr>
              <w:t xml:space="preserve">157.615 </w:t>
            </w:r>
          </w:p>
        </w:tc>
      </w:tr>
      <w:tr w:rsidR="008844D4" w:rsidRPr="00865094" w14:paraId="3357C35F" w14:textId="77777777" w:rsidTr="006637B6">
        <w:trPr>
          <w:trHeight w:val="170"/>
        </w:trPr>
        <w:tc>
          <w:tcPr>
            <w:tcW w:w="5240" w:type="dxa"/>
          </w:tcPr>
          <w:p w14:paraId="6A7901BE" w14:textId="7E00A5FA"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3F44BCE6" w14:textId="66A2B16A" w:rsidR="008844D4" w:rsidRPr="00141711" w:rsidRDefault="008844D4" w:rsidP="008844D4">
            <w:pPr>
              <w:widowControl w:val="0"/>
              <w:autoSpaceDE w:val="0"/>
              <w:autoSpaceDN w:val="0"/>
              <w:adjustRightInd w:val="0"/>
              <w:jc w:val="right"/>
              <w:rPr>
                <w:rFonts w:ascii="Arial" w:hAnsi="Arial" w:cs="Arial"/>
                <w:bCs/>
                <w:color w:val="000000"/>
                <w:sz w:val="18"/>
                <w:szCs w:val="18"/>
              </w:rPr>
            </w:pPr>
            <w:r>
              <w:rPr>
                <w:rFonts w:ascii="Arial" w:hAnsi="Arial" w:cs="Arial"/>
                <w:color w:val="000000"/>
                <w:sz w:val="18"/>
                <w:szCs w:val="18"/>
              </w:rPr>
              <w:t>10.680</w:t>
            </w:r>
          </w:p>
        </w:tc>
        <w:tc>
          <w:tcPr>
            <w:tcW w:w="1275" w:type="dxa"/>
            <w:tcBorders>
              <w:top w:val="single" w:sz="4" w:space="0" w:color="auto"/>
            </w:tcBorders>
            <w:vAlign w:val="bottom"/>
          </w:tcPr>
          <w:p w14:paraId="4B0FAC74" w14:textId="578BCA80"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color w:val="000000"/>
                <w:sz w:val="18"/>
                <w:szCs w:val="18"/>
              </w:rPr>
              <w:t xml:space="preserve">5.397 </w:t>
            </w:r>
          </w:p>
        </w:tc>
      </w:tr>
      <w:tr w:rsidR="008844D4" w:rsidRPr="00865094" w14:paraId="69EBAB02" w14:textId="77777777" w:rsidTr="006637B6">
        <w:trPr>
          <w:trHeight w:val="170"/>
        </w:trPr>
        <w:tc>
          <w:tcPr>
            <w:tcW w:w="5240" w:type="dxa"/>
          </w:tcPr>
          <w:p w14:paraId="0464A3DB" w14:textId="0080DA4C"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"B"</w:t>
            </w:r>
          </w:p>
        </w:tc>
        <w:tc>
          <w:tcPr>
            <w:tcW w:w="1276" w:type="dxa"/>
            <w:vAlign w:val="bottom"/>
          </w:tcPr>
          <w:p w14:paraId="23EEC853" w14:textId="0A7D2D78" w:rsidR="008844D4" w:rsidRPr="00141711" w:rsidRDefault="008844D4" w:rsidP="008844D4">
            <w:pPr>
              <w:widowControl w:val="0"/>
              <w:autoSpaceDE w:val="0"/>
              <w:autoSpaceDN w:val="0"/>
              <w:adjustRightInd w:val="0"/>
              <w:jc w:val="right"/>
              <w:rPr>
                <w:rFonts w:ascii="Arial" w:hAnsi="Arial" w:cs="Arial"/>
                <w:bCs/>
                <w:color w:val="000000"/>
                <w:sz w:val="18"/>
                <w:szCs w:val="18"/>
              </w:rPr>
            </w:pPr>
            <w:r>
              <w:rPr>
                <w:rFonts w:ascii="Arial" w:hAnsi="Arial" w:cs="Arial"/>
                <w:color w:val="000000"/>
                <w:sz w:val="18"/>
                <w:szCs w:val="18"/>
              </w:rPr>
              <w:t>137.628</w:t>
            </w:r>
          </w:p>
        </w:tc>
        <w:tc>
          <w:tcPr>
            <w:tcW w:w="1275" w:type="dxa"/>
            <w:vAlign w:val="bottom"/>
          </w:tcPr>
          <w:p w14:paraId="1A87E1BC" w14:textId="5DA81F16"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color w:val="000000"/>
                <w:sz w:val="18"/>
                <w:szCs w:val="18"/>
              </w:rPr>
              <w:t xml:space="preserve">3.785 </w:t>
            </w:r>
          </w:p>
        </w:tc>
      </w:tr>
      <w:tr w:rsidR="008844D4" w:rsidRPr="00865094" w14:paraId="5CE2CE74" w14:textId="77777777" w:rsidTr="006637B6">
        <w:trPr>
          <w:trHeight w:val="170"/>
        </w:trPr>
        <w:tc>
          <w:tcPr>
            <w:tcW w:w="5240" w:type="dxa"/>
          </w:tcPr>
          <w:p w14:paraId="110C5108" w14:textId="79EC54FD"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208D6990" w14:textId="7F45FA21" w:rsidR="008844D4" w:rsidRPr="00141711" w:rsidRDefault="008844D4" w:rsidP="008844D4">
            <w:pPr>
              <w:widowControl w:val="0"/>
              <w:autoSpaceDE w:val="0"/>
              <w:autoSpaceDN w:val="0"/>
              <w:adjustRightInd w:val="0"/>
              <w:jc w:val="right"/>
              <w:rPr>
                <w:rFonts w:ascii="Arial" w:hAnsi="Arial" w:cs="Arial"/>
                <w:bCs/>
                <w:color w:val="000000"/>
                <w:sz w:val="18"/>
                <w:szCs w:val="18"/>
              </w:rPr>
            </w:pPr>
            <w:r>
              <w:rPr>
                <w:rFonts w:ascii="Arial" w:hAnsi="Arial" w:cs="Arial"/>
                <w:color w:val="000000"/>
                <w:sz w:val="18"/>
                <w:szCs w:val="18"/>
              </w:rPr>
              <w:t>94.985</w:t>
            </w:r>
          </w:p>
        </w:tc>
        <w:tc>
          <w:tcPr>
            <w:tcW w:w="1275" w:type="dxa"/>
            <w:vAlign w:val="bottom"/>
          </w:tcPr>
          <w:p w14:paraId="6C1781FE" w14:textId="213FE476"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color w:val="000000"/>
                <w:sz w:val="18"/>
                <w:szCs w:val="18"/>
              </w:rPr>
              <w:t xml:space="preserve">148.433 </w:t>
            </w:r>
          </w:p>
        </w:tc>
      </w:tr>
      <w:tr w:rsidR="006E32E6" w:rsidRPr="00865094" w14:paraId="2572B3AD" w14:textId="77777777" w:rsidTr="006637B6">
        <w:trPr>
          <w:trHeight w:val="170"/>
        </w:trPr>
        <w:tc>
          <w:tcPr>
            <w:tcW w:w="5240" w:type="dxa"/>
          </w:tcPr>
          <w:p w14:paraId="725F5C57" w14:textId="77777777" w:rsidR="006E32E6" w:rsidRPr="00865094" w:rsidRDefault="006E32E6" w:rsidP="007F3EE6">
            <w:pPr>
              <w:ind w:firstLineChars="200" w:firstLine="360"/>
              <w:jc w:val="both"/>
              <w:rPr>
                <w:rFonts w:ascii="Arial" w:hAnsi="Arial" w:cs="Arial"/>
                <w:sz w:val="18"/>
                <w:szCs w:val="18"/>
              </w:rPr>
            </w:pPr>
          </w:p>
        </w:tc>
        <w:tc>
          <w:tcPr>
            <w:tcW w:w="1276" w:type="dxa"/>
            <w:vAlign w:val="bottom"/>
          </w:tcPr>
          <w:p w14:paraId="4F666A91" w14:textId="77777777" w:rsidR="006E32E6" w:rsidRPr="00141711" w:rsidRDefault="006E32E6" w:rsidP="004C5A96">
            <w:pPr>
              <w:widowControl w:val="0"/>
              <w:autoSpaceDE w:val="0"/>
              <w:autoSpaceDN w:val="0"/>
              <w:adjustRightInd w:val="0"/>
              <w:jc w:val="right"/>
              <w:rPr>
                <w:rFonts w:ascii="Arial" w:hAnsi="Arial" w:cs="Arial"/>
                <w:bCs/>
                <w:color w:val="000000"/>
                <w:sz w:val="18"/>
                <w:szCs w:val="18"/>
              </w:rPr>
            </w:pPr>
          </w:p>
        </w:tc>
        <w:tc>
          <w:tcPr>
            <w:tcW w:w="1275" w:type="dxa"/>
            <w:vAlign w:val="bottom"/>
          </w:tcPr>
          <w:p w14:paraId="27132B59" w14:textId="77777777" w:rsidR="006E32E6" w:rsidRPr="00125098" w:rsidRDefault="006E32E6" w:rsidP="004C5A96">
            <w:pPr>
              <w:widowControl w:val="0"/>
              <w:autoSpaceDE w:val="0"/>
              <w:autoSpaceDN w:val="0"/>
              <w:adjustRightInd w:val="0"/>
              <w:jc w:val="right"/>
              <w:rPr>
                <w:rFonts w:ascii="Arial" w:hAnsi="Arial" w:cs="Arial"/>
                <w:color w:val="000000"/>
                <w:sz w:val="18"/>
                <w:szCs w:val="18"/>
              </w:rPr>
            </w:pPr>
          </w:p>
        </w:tc>
      </w:tr>
      <w:tr w:rsidR="004C5A96" w:rsidRPr="004C5A96" w14:paraId="6A944ABC" w14:textId="77777777" w:rsidTr="006637B6">
        <w:trPr>
          <w:trHeight w:val="170"/>
        </w:trPr>
        <w:tc>
          <w:tcPr>
            <w:tcW w:w="5240" w:type="dxa"/>
          </w:tcPr>
          <w:p w14:paraId="0417289D" w14:textId="4160A4AD" w:rsidR="004C5A96" w:rsidRPr="00865094" w:rsidRDefault="004C5A96" w:rsidP="007F3EE6">
            <w:pPr>
              <w:ind w:firstLineChars="100" w:firstLine="181"/>
              <w:jc w:val="both"/>
              <w:rPr>
                <w:rFonts w:ascii="Arial" w:hAnsi="Arial" w:cs="Arial"/>
                <w:b/>
                <w:bCs/>
                <w:sz w:val="18"/>
                <w:szCs w:val="18"/>
                <w:lang w:eastAsia="es-AR"/>
              </w:rPr>
            </w:pPr>
            <w:r w:rsidRPr="00865094">
              <w:rPr>
                <w:rFonts w:ascii="Arial" w:hAnsi="Arial" w:cs="Arial"/>
                <w:b/>
                <w:bCs/>
                <w:sz w:val="18"/>
                <w:szCs w:val="18"/>
              </w:rPr>
              <w:t>En negociación o con acuerdos de refinanciación</w:t>
            </w:r>
          </w:p>
        </w:tc>
        <w:tc>
          <w:tcPr>
            <w:tcW w:w="1276" w:type="dxa"/>
            <w:tcBorders>
              <w:bottom w:val="single" w:sz="4" w:space="0" w:color="auto"/>
            </w:tcBorders>
            <w:vAlign w:val="bottom"/>
          </w:tcPr>
          <w:p w14:paraId="077DB4CE" w14:textId="4735EF53" w:rsidR="004C5A96" w:rsidRPr="00217F54" w:rsidRDefault="00437E0D" w:rsidP="004C5A96">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tcBorders>
              <w:bottom w:val="single" w:sz="4" w:space="0" w:color="auto"/>
            </w:tcBorders>
            <w:vAlign w:val="bottom"/>
          </w:tcPr>
          <w:p w14:paraId="7C8DE4ED" w14:textId="4B72A1FB" w:rsidR="004C5A96" w:rsidRPr="00125098" w:rsidRDefault="004C5A96" w:rsidP="004C5A96">
            <w:pPr>
              <w:widowControl w:val="0"/>
              <w:autoSpaceDE w:val="0"/>
              <w:autoSpaceDN w:val="0"/>
              <w:adjustRightInd w:val="0"/>
              <w:jc w:val="right"/>
              <w:rPr>
                <w:rFonts w:ascii="Arial" w:hAnsi="Arial" w:cs="Arial"/>
                <w:noProof/>
                <w:sz w:val="18"/>
                <w:szCs w:val="18"/>
                <w:highlight w:val="yellow"/>
              </w:rPr>
            </w:pPr>
            <w:r w:rsidRPr="00125098">
              <w:rPr>
                <w:rFonts w:ascii="Arial" w:hAnsi="Arial" w:cs="Arial"/>
                <w:b/>
                <w:bCs/>
                <w:sz w:val="18"/>
                <w:szCs w:val="18"/>
              </w:rPr>
              <w:t xml:space="preserve">- </w:t>
            </w:r>
          </w:p>
        </w:tc>
      </w:tr>
      <w:tr w:rsidR="004C5A96" w:rsidRPr="004C5A96" w14:paraId="423BBC27" w14:textId="77777777" w:rsidTr="006637B6">
        <w:trPr>
          <w:trHeight w:val="170"/>
        </w:trPr>
        <w:tc>
          <w:tcPr>
            <w:tcW w:w="5240" w:type="dxa"/>
          </w:tcPr>
          <w:p w14:paraId="11F7BB42" w14:textId="42FB650E" w:rsidR="004C5A96" w:rsidRPr="00865094" w:rsidRDefault="004C5A96" w:rsidP="007F3EE6">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67D780D5" w14:textId="7B2B0CE1" w:rsidR="004C5A96" w:rsidRPr="00217F54" w:rsidRDefault="00437E0D" w:rsidP="004C5A96">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tcBorders>
              <w:top w:val="single" w:sz="4" w:space="0" w:color="auto"/>
            </w:tcBorders>
            <w:vAlign w:val="bottom"/>
          </w:tcPr>
          <w:p w14:paraId="51764B83" w14:textId="07BCF24E" w:rsidR="004C5A96" w:rsidRPr="00125098" w:rsidRDefault="004C5A96" w:rsidP="004C5A96">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 </w:t>
            </w:r>
          </w:p>
        </w:tc>
      </w:tr>
      <w:tr w:rsidR="004C5A96" w:rsidRPr="004C5A96" w14:paraId="284D1DFE" w14:textId="77777777" w:rsidTr="006637B6">
        <w:trPr>
          <w:trHeight w:val="170"/>
        </w:trPr>
        <w:tc>
          <w:tcPr>
            <w:tcW w:w="5240" w:type="dxa"/>
          </w:tcPr>
          <w:p w14:paraId="08ADFCA9" w14:textId="32912014" w:rsidR="004C5A96" w:rsidRPr="00865094" w:rsidRDefault="00AE73E8" w:rsidP="007F3EE6">
            <w:pPr>
              <w:ind w:firstLineChars="200" w:firstLine="360"/>
              <w:jc w:val="both"/>
              <w:rPr>
                <w:rFonts w:ascii="Arial" w:hAnsi="Arial" w:cs="Arial"/>
                <w:sz w:val="18"/>
                <w:szCs w:val="18"/>
                <w:lang w:eastAsia="es-AR"/>
              </w:rPr>
            </w:pPr>
            <w:r w:rsidRPr="00865094">
              <w:rPr>
                <w:rFonts w:ascii="Arial" w:hAnsi="Arial" w:cs="Arial"/>
                <w:sz w:val="18"/>
                <w:szCs w:val="18"/>
              </w:rPr>
              <w:t>Con garantías</w:t>
            </w:r>
            <w:r w:rsidR="004C5A96" w:rsidRPr="00865094">
              <w:rPr>
                <w:rFonts w:ascii="Arial" w:hAnsi="Arial" w:cs="Arial"/>
                <w:sz w:val="18"/>
                <w:szCs w:val="18"/>
              </w:rPr>
              <w:t xml:space="preserve"> y contragarantías preferidas "B"</w:t>
            </w:r>
          </w:p>
        </w:tc>
        <w:tc>
          <w:tcPr>
            <w:tcW w:w="1276" w:type="dxa"/>
            <w:vAlign w:val="bottom"/>
          </w:tcPr>
          <w:p w14:paraId="15C2A6BB" w14:textId="3D9A09C0" w:rsidR="004C5A96" w:rsidRPr="00217F54" w:rsidRDefault="00437E0D" w:rsidP="004C5A96">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vAlign w:val="bottom"/>
          </w:tcPr>
          <w:p w14:paraId="67830469" w14:textId="76A83ED3" w:rsidR="004C5A96" w:rsidRPr="00125098" w:rsidRDefault="004C5A96" w:rsidP="004C5A96">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 </w:t>
            </w:r>
          </w:p>
        </w:tc>
      </w:tr>
      <w:tr w:rsidR="004C5A96" w:rsidRPr="004C5A96" w14:paraId="4D7E78F4" w14:textId="77777777" w:rsidTr="006637B6">
        <w:trPr>
          <w:trHeight w:val="170"/>
        </w:trPr>
        <w:tc>
          <w:tcPr>
            <w:tcW w:w="5240" w:type="dxa"/>
          </w:tcPr>
          <w:p w14:paraId="318457B1" w14:textId="339A4B7A" w:rsidR="004C5A96" w:rsidRPr="00865094" w:rsidRDefault="004C5A96" w:rsidP="007F3EE6">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3D24E08A" w14:textId="5974E7E2" w:rsidR="004C5A96" w:rsidRPr="00217F54" w:rsidRDefault="00437E0D" w:rsidP="004C5A96">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vAlign w:val="bottom"/>
          </w:tcPr>
          <w:p w14:paraId="4AC6F3A9" w14:textId="2F7F101A" w:rsidR="004C5A96" w:rsidRPr="00125098" w:rsidRDefault="004C5A96" w:rsidP="004C5A96">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 </w:t>
            </w:r>
          </w:p>
        </w:tc>
      </w:tr>
      <w:tr w:rsidR="000436E1" w:rsidRPr="00865094" w14:paraId="218C9AE4" w14:textId="77777777" w:rsidTr="00915F29">
        <w:trPr>
          <w:trHeight w:val="170"/>
        </w:trPr>
        <w:tc>
          <w:tcPr>
            <w:tcW w:w="5240" w:type="dxa"/>
          </w:tcPr>
          <w:p w14:paraId="4DC0AF26" w14:textId="77777777" w:rsidR="000436E1" w:rsidRPr="00865094" w:rsidRDefault="000436E1" w:rsidP="007F3EE6">
            <w:pPr>
              <w:jc w:val="both"/>
              <w:rPr>
                <w:rFonts w:ascii="Arial" w:hAnsi="Arial" w:cs="Arial"/>
                <w:b/>
                <w:bCs/>
                <w:sz w:val="18"/>
                <w:szCs w:val="18"/>
              </w:rPr>
            </w:pPr>
          </w:p>
        </w:tc>
        <w:tc>
          <w:tcPr>
            <w:tcW w:w="1276" w:type="dxa"/>
          </w:tcPr>
          <w:p w14:paraId="740C1C51"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0FA755A0"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r>
      <w:tr w:rsidR="008844D4" w:rsidRPr="00865094" w14:paraId="6E09C87B" w14:textId="77777777" w:rsidTr="006637B6">
        <w:trPr>
          <w:trHeight w:val="170"/>
        </w:trPr>
        <w:tc>
          <w:tcPr>
            <w:tcW w:w="5240" w:type="dxa"/>
          </w:tcPr>
          <w:p w14:paraId="2C6A57EE" w14:textId="64773F15" w:rsidR="008844D4" w:rsidRPr="00865094" w:rsidRDefault="008844D4" w:rsidP="008844D4">
            <w:pPr>
              <w:jc w:val="both"/>
              <w:rPr>
                <w:rFonts w:ascii="Arial" w:hAnsi="Arial" w:cs="Arial"/>
                <w:b/>
                <w:bCs/>
                <w:sz w:val="18"/>
                <w:szCs w:val="18"/>
                <w:lang w:eastAsia="es-AR"/>
              </w:rPr>
            </w:pPr>
            <w:r w:rsidRPr="00865094">
              <w:rPr>
                <w:rFonts w:ascii="Arial" w:hAnsi="Arial" w:cs="Arial"/>
                <w:b/>
                <w:bCs/>
                <w:sz w:val="18"/>
                <w:szCs w:val="18"/>
              </w:rPr>
              <w:t>Con problemas</w:t>
            </w:r>
          </w:p>
        </w:tc>
        <w:tc>
          <w:tcPr>
            <w:tcW w:w="1276" w:type="dxa"/>
            <w:tcBorders>
              <w:bottom w:val="single" w:sz="4" w:space="0" w:color="auto"/>
            </w:tcBorders>
            <w:vAlign w:val="bottom"/>
          </w:tcPr>
          <w:p w14:paraId="06BC17A9" w14:textId="164FE300" w:rsidR="008844D4" w:rsidRPr="00141711"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99.951</w:t>
            </w:r>
          </w:p>
        </w:tc>
        <w:tc>
          <w:tcPr>
            <w:tcW w:w="1275" w:type="dxa"/>
            <w:tcBorders>
              <w:bottom w:val="single" w:sz="4" w:space="0" w:color="auto"/>
            </w:tcBorders>
            <w:vAlign w:val="bottom"/>
          </w:tcPr>
          <w:p w14:paraId="78E46BD5" w14:textId="04AABB4D"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b/>
                <w:bCs/>
                <w:color w:val="000000"/>
                <w:sz w:val="18"/>
                <w:szCs w:val="18"/>
              </w:rPr>
              <w:t xml:space="preserve">31.778 </w:t>
            </w:r>
          </w:p>
        </w:tc>
      </w:tr>
      <w:tr w:rsidR="008844D4" w:rsidRPr="00865094" w14:paraId="33EFD141" w14:textId="77777777" w:rsidTr="006637B6">
        <w:trPr>
          <w:trHeight w:val="170"/>
        </w:trPr>
        <w:tc>
          <w:tcPr>
            <w:tcW w:w="5240" w:type="dxa"/>
          </w:tcPr>
          <w:p w14:paraId="085D0B80" w14:textId="1525C159"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748EE7DE" w14:textId="11C425FC" w:rsidR="008844D4" w:rsidRPr="00141711"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6.132</w:t>
            </w:r>
          </w:p>
        </w:tc>
        <w:tc>
          <w:tcPr>
            <w:tcW w:w="1275" w:type="dxa"/>
            <w:tcBorders>
              <w:top w:val="single" w:sz="4" w:space="0" w:color="auto"/>
            </w:tcBorders>
            <w:vAlign w:val="bottom"/>
          </w:tcPr>
          <w:p w14:paraId="29621C99" w14:textId="443ECA2B"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2.387 </w:t>
            </w:r>
          </w:p>
        </w:tc>
      </w:tr>
      <w:tr w:rsidR="008844D4" w:rsidRPr="00865094" w14:paraId="072ADD9D" w14:textId="77777777" w:rsidTr="006637B6">
        <w:trPr>
          <w:trHeight w:val="170"/>
        </w:trPr>
        <w:tc>
          <w:tcPr>
            <w:tcW w:w="5240" w:type="dxa"/>
          </w:tcPr>
          <w:p w14:paraId="123B82E2" w14:textId="4BF4C5F0"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"B"</w:t>
            </w:r>
          </w:p>
        </w:tc>
        <w:tc>
          <w:tcPr>
            <w:tcW w:w="1276" w:type="dxa"/>
            <w:vAlign w:val="bottom"/>
          </w:tcPr>
          <w:p w14:paraId="1018CA88" w14:textId="2CF1E3C1" w:rsidR="008844D4" w:rsidRPr="00141711"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37.724</w:t>
            </w:r>
          </w:p>
        </w:tc>
        <w:tc>
          <w:tcPr>
            <w:tcW w:w="1275" w:type="dxa"/>
            <w:vAlign w:val="bottom"/>
          </w:tcPr>
          <w:p w14:paraId="221E8040" w14:textId="75A5AE8B"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color w:val="000000"/>
                <w:sz w:val="18"/>
                <w:szCs w:val="18"/>
              </w:rPr>
              <w:t xml:space="preserve">10.780 </w:t>
            </w:r>
          </w:p>
        </w:tc>
      </w:tr>
      <w:tr w:rsidR="008844D4" w:rsidRPr="00865094" w14:paraId="1DB6D72E" w14:textId="77777777" w:rsidTr="006637B6">
        <w:trPr>
          <w:trHeight w:val="170"/>
        </w:trPr>
        <w:tc>
          <w:tcPr>
            <w:tcW w:w="5240" w:type="dxa"/>
          </w:tcPr>
          <w:p w14:paraId="5C68A789" w14:textId="08361CF4"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35F017B3" w14:textId="56BB2739" w:rsidR="008844D4" w:rsidRPr="00141711"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56.095</w:t>
            </w:r>
          </w:p>
        </w:tc>
        <w:tc>
          <w:tcPr>
            <w:tcW w:w="1275" w:type="dxa"/>
            <w:vAlign w:val="bottom"/>
          </w:tcPr>
          <w:p w14:paraId="56C9FB34" w14:textId="7DA37049"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color w:val="000000"/>
                <w:sz w:val="18"/>
                <w:szCs w:val="18"/>
              </w:rPr>
              <w:t xml:space="preserve">18.611 </w:t>
            </w:r>
          </w:p>
        </w:tc>
      </w:tr>
      <w:tr w:rsidR="000436E1" w:rsidRPr="00865094" w14:paraId="07842D6E" w14:textId="77777777" w:rsidTr="00915F29">
        <w:trPr>
          <w:trHeight w:val="170"/>
        </w:trPr>
        <w:tc>
          <w:tcPr>
            <w:tcW w:w="5240" w:type="dxa"/>
          </w:tcPr>
          <w:p w14:paraId="60BEA8F0" w14:textId="77777777" w:rsidR="000436E1" w:rsidRPr="00865094" w:rsidRDefault="000436E1" w:rsidP="007F3EE6">
            <w:pPr>
              <w:jc w:val="both"/>
              <w:rPr>
                <w:rFonts w:ascii="Arial" w:hAnsi="Arial" w:cs="Arial"/>
                <w:b/>
                <w:bCs/>
                <w:sz w:val="18"/>
                <w:szCs w:val="18"/>
              </w:rPr>
            </w:pPr>
          </w:p>
        </w:tc>
        <w:tc>
          <w:tcPr>
            <w:tcW w:w="1276" w:type="dxa"/>
          </w:tcPr>
          <w:p w14:paraId="0D63EE3C" w14:textId="77777777" w:rsidR="000436E1" w:rsidRPr="00141711"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4DB72E9D"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r>
      <w:tr w:rsidR="008844D4" w:rsidRPr="00865094" w14:paraId="7F8E1A56" w14:textId="77777777" w:rsidTr="00EE63C4">
        <w:trPr>
          <w:trHeight w:val="170"/>
        </w:trPr>
        <w:tc>
          <w:tcPr>
            <w:tcW w:w="5240" w:type="dxa"/>
          </w:tcPr>
          <w:p w14:paraId="0A69B8A9" w14:textId="09AEE7C5" w:rsidR="008844D4" w:rsidRPr="00865094" w:rsidRDefault="008844D4" w:rsidP="008844D4">
            <w:pPr>
              <w:jc w:val="both"/>
              <w:rPr>
                <w:rFonts w:ascii="Arial" w:hAnsi="Arial" w:cs="Arial"/>
                <w:b/>
                <w:bCs/>
                <w:sz w:val="18"/>
                <w:szCs w:val="18"/>
                <w:lang w:eastAsia="es-AR"/>
              </w:rPr>
            </w:pPr>
            <w:r w:rsidRPr="00865094">
              <w:rPr>
                <w:rFonts w:ascii="Arial" w:hAnsi="Arial" w:cs="Arial"/>
                <w:b/>
                <w:bCs/>
                <w:sz w:val="18"/>
                <w:szCs w:val="18"/>
              </w:rPr>
              <w:t>Con alto riesgo de insolvencia</w:t>
            </w:r>
          </w:p>
        </w:tc>
        <w:tc>
          <w:tcPr>
            <w:tcW w:w="1276" w:type="dxa"/>
            <w:tcBorders>
              <w:bottom w:val="single" w:sz="4" w:space="0" w:color="auto"/>
            </w:tcBorders>
            <w:vAlign w:val="bottom"/>
          </w:tcPr>
          <w:p w14:paraId="14DDE0AC" w14:textId="19032160" w:rsidR="008844D4" w:rsidRPr="00141711" w:rsidRDefault="008844D4" w:rsidP="008844D4">
            <w:pPr>
              <w:widowControl w:val="0"/>
              <w:autoSpaceDE w:val="0"/>
              <w:autoSpaceDN w:val="0"/>
              <w:adjustRightInd w:val="0"/>
              <w:jc w:val="right"/>
              <w:rPr>
                <w:rFonts w:ascii="Arial" w:hAnsi="Arial" w:cs="Arial"/>
                <w:b/>
                <w:noProof/>
                <w:sz w:val="18"/>
                <w:szCs w:val="18"/>
                <w:highlight w:val="yellow"/>
              </w:rPr>
            </w:pPr>
            <w:r>
              <w:rPr>
                <w:rFonts w:ascii="Arial" w:hAnsi="Arial" w:cs="Arial"/>
                <w:b/>
                <w:bCs/>
                <w:color w:val="000000"/>
                <w:sz w:val="18"/>
                <w:szCs w:val="18"/>
              </w:rPr>
              <w:t>3.599.602</w:t>
            </w:r>
          </w:p>
        </w:tc>
        <w:tc>
          <w:tcPr>
            <w:tcW w:w="1275" w:type="dxa"/>
            <w:tcBorders>
              <w:bottom w:val="single" w:sz="4" w:space="0" w:color="auto"/>
            </w:tcBorders>
          </w:tcPr>
          <w:p w14:paraId="1F00DF95" w14:textId="726460C9" w:rsidR="008844D4" w:rsidRPr="00125098" w:rsidRDefault="008844D4" w:rsidP="008844D4">
            <w:pPr>
              <w:widowControl w:val="0"/>
              <w:autoSpaceDE w:val="0"/>
              <w:autoSpaceDN w:val="0"/>
              <w:adjustRightInd w:val="0"/>
              <w:jc w:val="right"/>
              <w:rPr>
                <w:rFonts w:ascii="Arial" w:hAnsi="Arial" w:cs="Arial"/>
                <w:b/>
                <w:noProof/>
                <w:sz w:val="18"/>
                <w:szCs w:val="18"/>
                <w:highlight w:val="yellow"/>
              </w:rPr>
            </w:pPr>
            <w:r w:rsidRPr="00125098">
              <w:rPr>
                <w:rFonts w:ascii="Arial" w:hAnsi="Arial" w:cs="Arial"/>
                <w:b/>
                <w:sz w:val="18"/>
                <w:szCs w:val="18"/>
              </w:rPr>
              <w:t xml:space="preserve">368.871 </w:t>
            </w:r>
          </w:p>
        </w:tc>
      </w:tr>
      <w:tr w:rsidR="008844D4" w:rsidRPr="00865094" w14:paraId="025FFFBC" w14:textId="77777777" w:rsidTr="00EE63C4">
        <w:trPr>
          <w:trHeight w:val="170"/>
        </w:trPr>
        <w:tc>
          <w:tcPr>
            <w:tcW w:w="5240" w:type="dxa"/>
          </w:tcPr>
          <w:p w14:paraId="099552D3" w14:textId="33E52ED7"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40972C9D" w14:textId="282421F7" w:rsidR="008844D4" w:rsidRPr="00141711"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18.904</w:t>
            </w:r>
          </w:p>
        </w:tc>
        <w:tc>
          <w:tcPr>
            <w:tcW w:w="1275" w:type="dxa"/>
            <w:tcBorders>
              <w:top w:val="single" w:sz="4" w:space="0" w:color="auto"/>
            </w:tcBorders>
          </w:tcPr>
          <w:p w14:paraId="02975336" w14:textId="6CE3759F"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3.573 </w:t>
            </w:r>
          </w:p>
        </w:tc>
      </w:tr>
      <w:tr w:rsidR="008844D4" w:rsidRPr="00865094" w14:paraId="55871118" w14:textId="77777777" w:rsidTr="00EE63C4">
        <w:trPr>
          <w:trHeight w:val="170"/>
        </w:trPr>
        <w:tc>
          <w:tcPr>
            <w:tcW w:w="5240" w:type="dxa"/>
          </w:tcPr>
          <w:p w14:paraId="27F5C54A" w14:textId="085A672A"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"B"</w:t>
            </w:r>
          </w:p>
        </w:tc>
        <w:tc>
          <w:tcPr>
            <w:tcW w:w="1276" w:type="dxa"/>
            <w:vAlign w:val="bottom"/>
          </w:tcPr>
          <w:p w14:paraId="1A9E7B95" w14:textId="0D37BC27" w:rsidR="008844D4" w:rsidRPr="00141711"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1.393.979</w:t>
            </w:r>
          </w:p>
        </w:tc>
        <w:tc>
          <w:tcPr>
            <w:tcW w:w="1275" w:type="dxa"/>
          </w:tcPr>
          <w:p w14:paraId="4CF7B27C" w14:textId="25E4F92B"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45.750 </w:t>
            </w:r>
          </w:p>
        </w:tc>
      </w:tr>
      <w:tr w:rsidR="008844D4" w:rsidRPr="00865094" w14:paraId="732B76A5" w14:textId="77777777" w:rsidTr="00EE63C4">
        <w:trPr>
          <w:trHeight w:val="170"/>
        </w:trPr>
        <w:tc>
          <w:tcPr>
            <w:tcW w:w="5240" w:type="dxa"/>
          </w:tcPr>
          <w:p w14:paraId="39A79B96" w14:textId="779709A6"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6E08A979" w14:textId="2E39D938" w:rsidR="008844D4" w:rsidRPr="00141711"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2.186.719</w:t>
            </w:r>
          </w:p>
        </w:tc>
        <w:tc>
          <w:tcPr>
            <w:tcW w:w="1275" w:type="dxa"/>
          </w:tcPr>
          <w:p w14:paraId="5D5A7AF2" w14:textId="5C4D80AF"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319.548 </w:t>
            </w:r>
          </w:p>
        </w:tc>
      </w:tr>
      <w:tr w:rsidR="000436E1" w:rsidRPr="00865094" w14:paraId="59880E3E" w14:textId="77777777" w:rsidTr="00915F29">
        <w:trPr>
          <w:trHeight w:val="170"/>
        </w:trPr>
        <w:tc>
          <w:tcPr>
            <w:tcW w:w="5240" w:type="dxa"/>
          </w:tcPr>
          <w:p w14:paraId="7F821561" w14:textId="77777777" w:rsidR="000436E1" w:rsidRPr="00865094" w:rsidRDefault="000436E1" w:rsidP="007F3EE6">
            <w:pPr>
              <w:jc w:val="both"/>
              <w:rPr>
                <w:rFonts w:ascii="Arial" w:hAnsi="Arial" w:cs="Arial"/>
                <w:b/>
                <w:bCs/>
                <w:sz w:val="18"/>
                <w:szCs w:val="18"/>
              </w:rPr>
            </w:pPr>
          </w:p>
        </w:tc>
        <w:tc>
          <w:tcPr>
            <w:tcW w:w="1276" w:type="dxa"/>
          </w:tcPr>
          <w:p w14:paraId="3C7B2100"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5AADD317"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r>
      <w:tr w:rsidR="008844D4" w:rsidRPr="00865094" w14:paraId="4FBB6BFE" w14:textId="77777777" w:rsidTr="006637B6">
        <w:trPr>
          <w:trHeight w:val="170"/>
        </w:trPr>
        <w:tc>
          <w:tcPr>
            <w:tcW w:w="5240" w:type="dxa"/>
          </w:tcPr>
          <w:p w14:paraId="657384E3" w14:textId="1B883FEB" w:rsidR="008844D4" w:rsidRPr="00865094" w:rsidRDefault="008844D4" w:rsidP="008844D4">
            <w:pPr>
              <w:jc w:val="both"/>
              <w:rPr>
                <w:rFonts w:ascii="Arial" w:hAnsi="Arial" w:cs="Arial"/>
                <w:b/>
                <w:bCs/>
                <w:sz w:val="18"/>
                <w:szCs w:val="18"/>
                <w:lang w:eastAsia="es-AR"/>
              </w:rPr>
            </w:pPr>
            <w:r w:rsidRPr="00865094">
              <w:rPr>
                <w:rFonts w:ascii="Arial" w:hAnsi="Arial" w:cs="Arial"/>
                <w:b/>
                <w:bCs/>
                <w:sz w:val="18"/>
                <w:szCs w:val="18"/>
              </w:rPr>
              <w:t>Irrecuperable</w:t>
            </w:r>
          </w:p>
        </w:tc>
        <w:tc>
          <w:tcPr>
            <w:tcW w:w="1276" w:type="dxa"/>
            <w:tcBorders>
              <w:bottom w:val="single" w:sz="4" w:space="0" w:color="auto"/>
            </w:tcBorders>
            <w:vAlign w:val="bottom"/>
          </w:tcPr>
          <w:p w14:paraId="1BBDD681" w14:textId="1A5B7CF8" w:rsidR="008844D4" w:rsidRPr="00141711"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21.331</w:t>
            </w:r>
          </w:p>
        </w:tc>
        <w:tc>
          <w:tcPr>
            <w:tcW w:w="1275" w:type="dxa"/>
            <w:tcBorders>
              <w:bottom w:val="single" w:sz="4" w:space="0" w:color="auto"/>
            </w:tcBorders>
            <w:vAlign w:val="bottom"/>
          </w:tcPr>
          <w:p w14:paraId="5CDAC4C4" w14:textId="40FE2BFE"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b/>
                <w:bCs/>
                <w:color w:val="000000"/>
                <w:sz w:val="18"/>
                <w:szCs w:val="18"/>
              </w:rPr>
              <w:t xml:space="preserve">24.947 </w:t>
            </w:r>
          </w:p>
        </w:tc>
      </w:tr>
      <w:tr w:rsidR="008844D4" w:rsidRPr="00865094" w14:paraId="689B0F62" w14:textId="77777777" w:rsidTr="006637B6">
        <w:trPr>
          <w:trHeight w:val="170"/>
        </w:trPr>
        <w:tc>
          <w:tcPr>
            <w:tcW w:w="5240" w:type="dxa"/>
          </w:tcPr>
          <w:p w14:paraId="734BFA82" w14:textId="74C743FD"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"A"</w:t>
            </w:r>
          </w:p>
        </w:tc>
        <w:tc>
          <w:tcPr>
            <w:tcW w:w="1276" w:type="dxa"/>
            <w:tcBorders>
              <w:top w:val="single" w:sz="4" w:space="0" w:color="auto"/>
            </w:tcBorders>
            <w:vAlign w:val="bottom"/>
          </w:tcPr>
          <w:p w14:paraId="44D65380" w14:textId="42D5EEED" w:rsidR="008844D4" w:rsidRPr="00141711"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 xml:space="preserve">- </w:t>
            </w:r>
          </w:p>
        </w:tc>
        <w:tc>
          <w:tcPr>
            <w:tcW w:w="1275" w:type="dxa"/>
            <w:tcBorders>
              <w:top w:val="single" w:sz="4" w:space="0" w:color="auto"/>
            </w:tcBorders>
            <w:vAlign w:val="bottom"/>
          </w:tcPr>
          <w:p w14:paraId="6D4E1C28" w14:textId="4E9DA391"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 </w:t>
            </w:r>
          </w:p>
        </w:tc>
      </w:tr>
      <w:tr w:rsidR="008844D4" w:rsidRPr="00865094" w14:paraId="5DF964E7" w14:textId="77777777" w:rsidTr="006637B6">
        <w:trPr>
          <w:trHeight w:val="170"/>
        </w:trPr>
        <w:tc>
          <w:tcPr>
            <w:tcW w:w="5240" w:type="dxa"/>
          </w:tcPr>
          <w:p w14:paraId="1FAA0F53" w14:textId="048EC925"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"B"</w:t>
            </w:r>
          </w:p>
        </w:tc>
        <w:tc>
          <w:tcPr>
            <w:tcW w:w="1276" w:type="dxa"/>
            <w:vAlign w:val="bottom"/>
          </w:tcPr>
          <w:p w14:paraId="5A1AAC22" w14:textId="243BDE77" w:rsidR="008844D4" w:rsidRPr="00141711"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1.551</w:t>
            </w:r>
          </w:p>
        </w:tc>
        <w:tc>
          <w:tcPr>
            <w:tcW w:w="1275" w:type="dxa"/>
            <w:vAlign w:val="bottom"/>
          </w:tcPr>
          <w:p w14:paraId="4C4A6B0B" w14:textId="529BC36A"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29 </w:t>
            </w:r>
          </w:p>
        </w:tc>
      </w:tr>
      <w:tr w:rsidR="008844D4" w:rsidRPr="00865094" w14:paraId="1CB6FA4D" w14:textId="77777777" w:rsidTr="006637B6">
        <w:trPr>
          <w:trHeight w:val="170"/>
        </w:trPr>
        <w:tc>
          <w:tcPr>
            <w:tcW w:w="5240" w:type="dxa"/>
          </w:tcPr>
          <w:p w14:paraId="43A0DEF0" w14:textId="0AA20462" w:rsidR="008844D4" w:rsidRPr="00865094" w:rsidRDefault="008844D4" w:rsidP="008844D4">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0D95820B" w14:textId="27D24DA7" w:rsidR="008844D4" w:rsidRPr="00141711"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19.780</w:t>
            </w:r>
          </w:p>
        </w:tc>
        <w:tc>
          <w:tcPr>
            <w:tcW w:w="1275" w:type="dxa"/>
            <w:vAlign w:val="bottom"/>
          </w:tcPr>
          <w:p w14:paraId="3BAAA634" w14:textId="12D7B66F" w:rsidR="008844D4" w:rsidRPr="00125098" w:rsidRDefault="008844D4" w:rsidP="008844D4">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24.918 </w:t>
            </w:r>
          </w:p>
        </w:tc>
      </w:tr>
      <w:tr w:rsidR="000436E1" w:rsidRPr="00865094" w14:paraId="1D8AB7F4" w14:textId="77777777" w:rsidTr="00915F29">
        <w:trPr>
          <w:trHeight w:val="170"/>
        </w:trPr>
        <w:tc>
          <w:tcPr>
            <w:tcW w:w="5240" w:type="dxa"/>
          </w:tcPr>
          <w:p w14:paraId="733AACCC" w14:textId="77777777" w:rsidR="000436E1" w:rsidRPr="00865094" w:rsidRDefault="000436E1" w:rsidP="000436E1">
            <w:pPr>
              <w:jc w:val="both"/>
              <w:rPr>
                <w:rFonts w:ascii="Arial" w:hAnsi="Arial" w:cs="Arial"/>
                <w:b/>
                <w:bCs/>
                <w:sz w:val="18"/>
                <w:szCs w:val="18"/>
              </w:rPr>
            </w:pPr>
          </w:p>
        </w:tc>
        <w:tc>
          <w:tcPr>
            <w:tcW w:w="1276" w:type="dxa"/>
          </w:tcPr>
          <w:p w14:paraId="2D040B64"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Pr>
          <w:p w14:paraId="0F35C9C8"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r>
      <w:tr w:rsidR="004C5A96" w:rsidRPr="00865094" w14:paraId="178904FB" w14:textId="77777777" w:rsidTr="006637B6">
        <w:trPr>
          <w:trHeight w:val="170"/>
        </w:trPr>
        <w:tc>
          <w:tcPr>
            <w:tcW w:w="5240" w:type="dxa"/>
          </w:tcPr>
          <w:p w14:paraId="07AEAEA3" w14:textId="2F1CDC1C" w:rsidR="004C5A96" w:rsidRPr="00865094" w:rsidRDefault="004C5A96" w:rsidP="000436E1">
            <w:pPr>
              <w:jc w:val="both"/>
              <w:rPr>
                <w:rFonts w:ascii="Arial" w:hAnsi="Arial" w:cs="Arial"/>
                <w:b/>
                <w:bCs/>
                <w:sz w:val="18"/>
                <w:szCs w:val="18"/>
                <w:lang w:eastAsia="es-AR"/>
              </w:rPr>
            </w:pPr>
            <w:r w:rsidRPr="00865094">
              <w:rPr>
                <w:rFonts w:ascii="Arial" w:hAnsi="Arial" w:cs="Arial"/>
                <w:b/>
                <w:bCs/>
                <w:sz w:val="18"/>
                <w:szCs w:val="18"/>
              </w:rPr>
              <w:t>Irrecuperable por disposición técnica</w:t>
            </w:r>
          </w:p>
        </w:tc>
        <w:tc>
          <w:tcPr>
            <w:tcW w:w="1276" w:type="dxa"/>
            <w:tcBorders>
              <w:bottom w:val="single" w:sz="4" w:space="0" w:color="auto"/>
            </w:tcBorders>
            <w:vAlign w:val="bottom"/>
          </w:tcPr>
          <w:p w14:paraId="536E65AD" w14:textId="74806B6C" w:rsidR="004C5A96" w:rsidRPr="00D45977" w:rsidRDefault="00D45977" w:rsidP="004C5A96">
            <w:pPr>
              <w:widowControl w:val="0"/>
              <w:autoSpaceDE w:val="0"/>
              <w:autoSpaceDN w:val="0"/>
              <w:adjustRightInd w:val="0"/>
              <w:jc w:val="right"/>
              <w:rPr>
                <w:rFonts w:ascii="Arial" w:hAnsi="Arial" w:cs="Arial"/>
                <w:noProof/>
                <w:sz w:val="18"/>
                <w:szCs w:val="18"/>
              </w:rPr>
            </w:pPr>
            <w:r w:rsidRPr="00D45977">
              <w:rPr>
                <w:rFonts w:ascii="Arial" w:hAnsi="Arial" w:cs="Arial"/>
                <w:noProof/>
                <w:sz w:val="18"/>
                <w:szCs w:val="18"/>
              </w:rPr>
              <w:t>-</w:t>
            </w:r>
          </w:p>
        </w:tc>
        <w:tc>
          <w:tcPr>
            <w:tcW w:w="1275" w:type="dxa"/>
            <w:tcBorders>
              <w:bottom w:val="single" w:sz="4" w:space="0" w:color="auto"/>
            </w:tcBorders>
            <w:vAlign w:val="bottom"/>
          </w:tcPr>
          <w:p w14:paraId="4D3F7C1B" w14:textId="39F1E195" w:rsidR="004C5A96" w:rsidRPr="00125098" w:rsidRDefault="004C5A96" w:rsidP="004C5A96">
            <w:pPr>
              <w:widowControl w:val="0"/>
              <w:autoSpaceDE w:val="0"/>
              <w:autoSpaceDN w:val="0"/>
              <w:adjustRightInd w:val="0"/>
              <w:jc w:val="right"/>
              <w:rPr>
                <w:rFonts w:ascii="Arial" w:hAnsi="Arial" w:cs="Arial"/>
                <w:noProof/>
                <w:sz w:val="18"/>
                <w:szCs w:val="18"/>
                <w:highlight w:val="yellow"/>
              </w:rPr>
            </w:pPr>
            <w:r w:rsidRPr="00125098">
              <w:rPr>
                <w:rFonts w:ascii="Arial" w:hAnsi="Arial" w:cs="Arial"/>
                <w:b/>
                <w:bCs/>
                <w:sz w:val="18"/>
                <w:szCs w:val="18"/>
              </w:rPr>
              <w:t xml:space="preserve">- </w:t>
            </w:r>
          </w:p>
        </w:tc>
      </w:tr>
      <w:tr w:rsidR="004C5A96" w:rsidRPr="00865094" w14:paraId="36374E4B" w14:textId="77777777" w:rsidTr="006637B6">
        <w:trPr>
          <w:trHeight w:val="170"/>
        </w:trPr>
        <w:tc>
          <w:tcPr>
            <w:tcW w:w="5240" w:type="dxa"/>
          </w:tcPr>
          <w:p w14:paraId="7E90DD9B" w14:textId="55A020BB" w:rsidR="004C5A96" w:rsidRPr="00865094" w:rsidRDefault="004C5A96" w:rsidP="000436E1">
            <w:pPr>
              <w:ind w:firstLineChars="200" w:firstLine="360"/>
              <w:jc w:val="both"/>
              <w:rPr>
                <w:rFonts w:ascii="Arial" w:hAnsi="Arial" w:cs="Arial"/>
                <w:sz w:val="18"/>
                <w:szCs w:val="18"/>
                <w:lang w:eastAsia="es-AR"/>
              </w:rPr>
            </w:pPr>
            <w:r w:rsidRPr="00865094">
              <w:rPr>
                <w:rFonts w:ascii="Arial" w:hAnsi="Arial" w:cs="Arial"/>
                <w:sz w:val="18"/>
                <w:szCs w:val="18"/>
              </w:rPr>
              <w:t>Con garantías preferidas y contragarantías "A"</w:t>
            </w:r>
          </w:p>
        </w:tc>
        <w:tc>
          <w:tcPr>
            <w:tcW w:w="1276" w:type="dxa"/>
            <w:tcBorders>
              <w:top w:val="single" w:sz="4" w:space="0" w:color="auto"/>
            </w:tcBorders>
            <w:vAlign w:val="bottom"/>
          </w:tcPr>
          <w:p w14:paraId="16928E01" w14:textId="7DA60EA8" w:rsidR="004C5A96" w:rsidRPr="00D45977" w:rsidRDefault="00D45977" w:rsidP="004C5A96">
            <w:pPr>
              <w:widowControl w:val="0"/>
              <w:autoSpaceDE w:val="0"/>
              <w:autoSpaceDN w:val="0"/>
              <w:adjustRightInd w:val="0"/>
              <w:jc w:val="right"/>
              <w:rPr>
                <w:rFonts w:ascii="Arial" w:hAnsi="Arial" w:cs="Arial"/>
                <w:noProof/>
                <w:sz w:val="18"/>
                <w:szCs w:val="18"/>
              </w:rPr>
            </w:pPr>
            <w:r w:rsidRPr="00D45977">
              <w:rPr>
                <w:rFonts w:ascii="Arial" w:hAnsi="Arial" w:cs="Arial"/>
                <w:noProof/>
                <w:sz w:val="18"/>
                <w:szCs w:val="18"/>
              </w:rPr>
              <w:t>-</w:t>
            </w:r>
          </w:p>
        </w:tc>
        <w:tc>
          <w:tcPr>
            <w:tcW w:w="1275" w:type="dxa"/>
            <w:tcBorders>
              <w:top w:val="single" w:sz="4" w:space="0" w:color="auto"/>
            </w:tcBorders>
            <w:vAlign w:val="bottom"/>
          </w:tcPr>
          <w:p w14:paraId="0F5E783C" w14:textId="224ECB04" w:rsidR="004C5A96" w:rsidRPr="00125098" w:rsidRDefault="004C5A96" w:rsidP="004C5A96">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 </w:t>
            </w:r>
          </w:p>
        </w:tc>
      </w:tr>
      <w:tr w:rsidR="004C5A96" w:rsidRPr="00865094" w14:paraId="39CABF93" w14:textId="77777777" w:rsidTr="006637B6">
        <w:trPr>
          <w:trHeight w:val="170"/>
        </w:trPr>
        <w:tc>
          <w:tcPr>
            <w:tcW w:w="5240" w:type="dxa"/>
          </w:tcPr>
          <w:p w14:paraId="02C36B71" w14:textId="4BBB9D86" w:rsidR="004C5A96" w:rsidRPr="00865094" w:rsidRDefault="004C5A96" w:rsidP="000436E1">
            <w:pPr>
              <w:ind w:firstLineChars="200" w:firstLine="360"/>
              <w:jc w:val="both"/>
              <w:rPr>
                <w:rFonts w:ascii="Arial" w:hAnsi="Arial" w:cs="Arial"/>
                <w:sz w:val="18"/>
                <w:szCs w:val="18"/>
                <w:lang w:eastAsia="es-AR"/>
              </w:rPr>
            </w:pPr>
            <w:r w:rsidRPr="00865094">
              <w:rPr>
                <w:rFonts w:ascii="Arial" w:hAnsi="Arial" w:cs="Arial"/>
                <w:sz w:val="18"/>
                <w:szCs w:val="18"/>
              </w:rPr>
              <w:t>Con garantías y contragarantías preferidas "B"</w:t>
            </w:r>
          </w:p>
        </w:tc>
        <w:tc>
          <w:tcPr>
            <w:tcW w:w="1276" w:type="dxa"/>
            <w:vAlign w:val="bottom"/>
          </w:tcPr>
          <w:p w14:paraId="1DFD7983" w14:textId="668D501F" w:rsidR="004C5A96" w:rsidRPr="00D45977" w:rsidRDefault="00D45977" w:rsidP="004C5A96">
            <w:pPr>
              <w:widowControl w:val="0"/>
              <w:autoSpaceDE w:val="0"/>
              <w:autoSpaceDN w:val="0"/>
              <w:adjustRightInd w:val="0"/>
              <w:jc w:val="right"/>
              <w:rPr>
                <w:rFonts w:ascii="Arial" w:hAnsi="Arial" w:cs="Arial"/>
                <w:noProof/>
                <w:sz w:val="18"/>
                <w:szCs w:val="18"/>
              </w:rPr>
            </w:pPr>
            <w:r w:rsidRPr="00D45977">
              <w:rPr>
                <w:rFonts w:ascii="Arial" w:hAnsi="Arial" w:cs="Arial"/>
                <w:noProof/>
                <w:sz w:val="18"/>
                <w:szCs w:val="18"/>
              </w:rPr>
              <w:t>-</w:t>
            </w:r>
          </w:p>
        </w:tc>
        <w:tc>
          <w:tcPr>
            <w:tcW w:w="1275" w:type="dxa"/>
            <w:vAlign w:val="bottom"/>
          </w:tcPr>
          <w:p w14:paraId="202B578F" w14:textId="7B67FFD7" w:rsidR="004C5A96" w:rsidRPr="00125098" w:rsidRDefault="004C5A96" w:rsidP="004C5A96">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 </w:t>
            </w:r>
          </w:p>
        </w:tc>
      </w:tr>
      <w:tr w:rsidR="004C5A96" w:rsidRPr="00865094" w14:paraId="23C9A41F" w14:textId="77777777" w:rsidTr="006637B6">
        <w:trPr>
          <w:trHeight w:val="170"/>
        </w:trPr>
        <w:tc>
          <w:tcPr>
            <w:tcW w:w="5240" w:type="dxa"/>
          </w:tcPr>
          <w:p w14:paraId="732B542E" w14:textId="4BC99F28" w:rsidR="004C5A96" w:rsidRPr="00865094" w:rsidRDefault="004C5A96" w:rsidP="000436E1">
            <w:pPr>
              <w:ind w:firstLineChars="200" w:firstLine="360"/>
              <w:jc w:val="both"/>
              <w:rPr>
                <w:rFonts w:ascii="Arial" w:hAnsi="Arial" w:cs="Arial"/>
                <w:sz w:val="18"/>
                <w:szCs w:val="18"/>
                <w:lang w:eastAsia="es-AR"/>
              </w:rPr>
            </w:pPr>
            <w:r w:rsidRPr="00865094">
              <w:rPr>
                <w:rFonts w:ascii="Arial" w:hAnsi="Arial" w:cs="Arial"/>
                <w:sz w:val="18"/>
                <w:szCs w:val="18"/>
              </w:rPr>
              <w:t>Sin garantías ni contragarantías preferidas</w:t>
            </w:r>
          </w:p>
        </w:tc>
        <w:tc>
          <w:tcPr>
            <w:tcW w:w="1276" w:type="dxa"/>
            <w:vAlign w:val="bottom"/>
          </w:tcPr>
          <w:p w14:paraId="60496BFC" w14:textId="5647904C" w:rsidR="004C5A96" w:rsidRPr="00D45977" w:rsidRDefault="00D45977" w:rsidP="004C5A96">
            <w:pPr>
              <w:widowControl w:val="0"/>
              <w:autoSpaceDE w:val="0"/>
              <w:autoSpaceDN w:val="0"/>
              <w:adjustRightInd w:val="0"/>
              <w:jc w:val="right"/>
              <w:rPr>
                <w:rFonts w:ascii="Arial" w:hAnsi="Arial" w:cs="Arial"/>
                <w:noProof/>
                <w:sz w:val="18"/>
                <w:szCs w:val="18"/>
              </w:rPr>
            </w:pPr>
            <w:r w:rsidRPr="00D45977">
              <w:rPr>
                <w:rFonts w:ascii="Arial" w:hAnsi="Arial" w:cs="Arial"/>
                <w:noProof/>
                <w:sz w:val="18"/>
                <w:szCs w:val="18"/>
              </w:rPr>
              <w:t>-</w:t>
            </w:r>
          </w:p>
        </w:tc>
        <w:tc>
          <w:tcPr>
            <w:tcW w:w="1275" w:type="dxa"/>
            <w:vAlign w:val="bottom"/>
          </w:tcPr>
          <w:p w14:paraId="7BC08560" w14:textId="1F9A8209" w:rsidR="004C5A96" w:rsidRPr="00125098" w:rsidRDefault="004C5A96" w:rsidP="004C5A96">
            <w:pPr>
              <w:widowControl w:val="0"/>
              <w:autoSpaceDE w:val="0"/>
              <w:autoSpaceDN w:val="0"/>
              <w:adjustRightInd w:val="0"/>
              <w:jc w:val="right"/>
              <w:rPr>
                <w:rFonts w:ascii="Arial" w:hAnsi="Arial" w:cs="Arial"/>
                <w:noProof/>
                <w:sz w:val="18"/>
                <w:szCs w:val="18"/>
                <w:highlight w:val="yellow"/>
              </w:rPr>
            </w:pPr>
            <w:r w:rsidRPr="00125098">
              <w:rPr>
                <w:rFonts w:ascii="Arial" w:hAnsi="Arial" w:cs="Arial"/>
                <w:sz w:val="18"/>
                <w:szCs w:val="18"/>
              </w:rPr>
              <w:t xml:space="preserve">- </w:t>
            </w:r>
          </w:p>
        </w:tc>
      </w:tr>
      <w:tr w:rsidR="000436E1" w:rsidRPr="00865094" w14:paraId="47D8FB66" w14:textId="77777777" w:rsidTr="00915F29">
        <w:trPr>
          <w:trHeight w:val="80"/>
        </w:trPr>
        <w:tc>
          <w:tcPr>
            <w:tcW w:w="5240" w:type="dxa"/>
            <w:tcBorders>
              <w:bottom w:val="single" w:sz="4" w:space="0" w:color="auto"/>
            </w:tcBorders>
          </w:tcPr>
          <w:p w14:paraId="4C40281C" w14:textId="77777777" w:rsidR="000436E1" w:rsidRPr="00865094" w:rsidRDefault="000436E1" w:rsidP="000436E1">
            <w:pPr>
              <w:ind w:firstLineChars="200" w:firstLine="360"/>
              <w:jc w:val="both"/>
              <w:rPr>
                <w:rFonts w:ascii="Arial" w:hAnsi="Arial" w:cs="Arial"/>
                <w:sz w:val="18"/>
                <w:szCs w:val="18"/>
              </w:rPr>
            </w:pPr>
          </w:p>
        </w:tc>
        <w:tc>
          <w:tcPr>
            <w:tcW w:w="1276" w:type="dxa"/>
            <w:tcBorders>
              <w:bottom w:val="single" w:sz="4" w:space="0" w:color="auto"/>
            </w:tcBorders>
          </w:tcPr>
          <w:p w14:paraId="544F91D6"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c>
          <w:tcPr>
            <w:tcW w:w="1275" w:type="dxa"/>
            <w:tcBorders>
              <w:bottom w:val="single" w:sz="4" w:space="0" w:color="auto"/>
            </w:tcBorders>
          </w:tcPr>
          <w:p w14:paraId="0B9AAC84" w14:textId="77777777" w:rsidR="000436E1" w:rsidRPr="00125098" w:rsidRDefault="000436E1" w:rsidP="008D0F76">
            <w:pPr>
              <w:widowControl w:val="0"/>
              <w:autoSpaceDE w:val="0"/>
              <w:autoSpaceDN w:val="0"/>
              <w:adjustRightInd w:val="0"/>
              <w:jc w:val="both"/>
              <w:rPr>
                <w:rFonts w:ascii="Arial" w:hAnsi="Arial" w:cs="Arial"/>
                <w:noProof/>
                <w:sz w:val="18"/>
                <w:szCs w:val="18"/>
                <w:highlight w:val="yellow"/>
              </w:rPr>
            </w:pPr>
          </w:p>
        </w:tc>
      </w:tr>
      <w:tr w:rsidR="004C5A96" w:rsidRPr="00865094" w14:paraId="6EB9CDD5" w14:textId="77777777" w:rsidTr="006637B6">
        <w:tc>
          <w:tcPr>
            <w:tcW w:w="5240" w:type="dxa"/>
            <w:tcBorders>
              <w:top w:val="single" w:sz="4" w:space="0" w:color="auto"/>
              <w:bottom w:val="single" w:sz="4" w:space="0" w:color="auto"/>
            </w:tcBorders>
          </w:tcPr>
          <w:p w14:paraId="09A9F0A3" w14:textId="26B1F2A0" w:rsidR="004C5A96" w:rsidRPr="00865094" w:rsidRDefault="004C5A96" w:rsidP="000436E1">
            <w:pPr>
              <w:jc w:val="both"/>
              <w:rPr>
                <w:rFonts w:ascii="Arial" w:hAnsi="Arial" w:cs="Arial"/>
                <w:b/>
                <w:bCs/>
                <w:sz w:val="18"/>
                <w:szCs w:val="18"/>
                <w:lang w:eastAsia="es-AR"/>
              </w:rPr>
            </w:pPr>
            <w:r w:rsidRPr="00865094">
              <w:rPr>
                <w:rFonts w:ascii="Arial" w:hAnsi="Arial" w:cs="Arial"/>
                <w:b/>
                <w:bCs/>
                <w:sz w:val="18"/>
                <w:szCs w:val="18"/>
              </w:rPr>
              <w:t>TOTAL</w:t>
            </w:r>
          </w:p>
        </w:tc>
        <w:tc>
          <w:tcPr>
            <w:tcW w:w="1276" w:type="dxa"/>
            <w:tcBorders>
              <w:top w:val="single" w:sz="4" w:space="0" w:color="auto"/>
              <w:bottom w:val="single" w:sz="4" w:space="0" w:color="auto"/>
            </w:tcBorders>
            <w:vAlign w:val="center"/>
          </w:tcPr>
          <w:p w14:paraId="5781599B" w14:textId="7A3C3D88" w:rsidR="004C5A96" w:rsidRPr="00141711" w:rsidRDefault="008844D4" w:rsidP="008844D4">
            <w:pPr>
              <w:jc w:val="right"/>
              <w:rPr>
                <w:rFonts w:ascii="Arial" w:hAnsi="Arial" w:cs="Arial"/>
                <w:b/>
                <w:bCs/>
                <w:color w:val="000000"/>
                <w:sz w:val="18"/>
                <w:szCs w:val="18"/>
                <w:lang w:eastAsia="es-AR"/>
              </w:rPr>
            </w:pPr>
            <w:r>
              <w:rPr>
                <w:rFonts w:ascii="Arial" w:hAnsi="Arial" w:cs="Arial"/>
                <w:b/>
                <w:bCs/>
                <w:color w:val="000000"/>
                <w:sz w:val="18"/>
                <w:szCs w:val="18"/>
              </w:rPr>
              <w:t>45.096.</w:t>
            </w:r>
            <w:r w:rsidR="00831903">
              <w:rPr>
                <w:rFonts w:ascii="Arial" w:hAnsi="Arial" w:cs="Arial"/>
                <w:b/>
                <w:bCs/>
                <w:color w:val="000000"/>
                <w:sz w:val="18"/>
                <w:szCs w:val="18"/>
              </w:rPr>
              <w:t>50</w:t>
            </w:r>
            <w:r>
              <w:rPr>
                <w:rFonts w:ascii="Arial" w:hAnsi="Arial" w:cs="Arial"/>
                <w:b/>
                <w:bCs/>
                <w:color w:val="000000"/>
                <w:sz w:val="18"/>
                <w:szCs w:val="18"/>
              </w:rPr>
              <w:t>7</w:t>
            </w:r>
          </w:p>
        </w:tc>
        <w:tc>
          <w:tcPr>
            <w:tcW w:w="1275" w:type="dxa"/>
            <w:tcBorders>
              <w:top w:val="single" w:sz="4" w:space="0" w:color="auto"/>
              <w:bottom w:val="single" w:sz="4" w:space="0" w:color="auto"/>
            </w:tcBorders>
            <w:vAlign w:val="center"/>
          </w:tcPr>
          <w:p w14:paraId="18577896" w14:textId="270F2F3D" w:rsidR="004C5A96" w:rsidRPr="00125098" w:rsidRDefault="004C5A96" w:rsidP="004C5A96">
            <w:pPr>
              <w:widowControl w:val="0"/>
              <w:autoSpaceDE w:val="0"/>
              <w:autoSpaceDN w:val="0"/>
              <w:adjustRightInd w:val="0"/>
              <w:jc w:val="right"/>
              <w:rPr>
                <w:rFonts w:ascii="Arial" w:hAnsi="Arial" w:cs="Arial"/>
                <w:noProof/>
                <w:sz w:val="18"/>
                <w:szCs w:val="18"/>
                <w:highlight w:val="yellow"/>
              </w:rPr>
            </w:pPr>
            <w:r w:rsidRPr="00125098">
              <w:rPr>
                <w:rFonts w:ascii="Arial" w:hAnsi="Arial" w:cs="Arial"/>
                <w:b/>
                <w:bCs/>
                <w:color w:val="000000"/>
                <w:sz w:val="18"/>
                <w:szCs w:val="18"/>
              </w:rPr>
              <w:t xml:space="preserve">40.972.000 </w:t>
            </w:r>
          </w:p>
        </w:tc>
      </w:tr>
      <w:tr w:rsidR="007F3EE6" w:rsidRPr="00865094" w14:paraId="65E475CD" w14:textId="77777777" w:rsidTr="00915F29">
        <w:tc>
          <w:tcPr>
            <w:tcW w:w="5240" w:type="dxa"/>
            <w:tcBorders>
              <w:top w:val="single" w:sz="4" w:space="0" w:color="auto"/>
            </w:tcBorders>
          </w:tcPr>
          <w:p w14:paraId="691A5F2F" w14:textId="77777777" w:rsidR="007F3EE6" w:rsidRPr="00865094" w:rsidRDefault="007F3EE6" w:rsidP="008D0F76">
            <w:pPr>
              <w:widowControl w:val="0"/>
              <w:autoSpaceDE w:val="0"/>
              <w:autoSpaceDN w:val="0"/>
              <w:adjustRightInd w:val="0"/>
              <w:jc w:val="both"/>
              <w:rPr>
                <w:rFonts w:ascii="Arial" w:hAnsi="Arial" w:cs="Arial"/>
                <w:noProof/>
                <w:sz w:val="18"/>
                <w:szCs w:val="18"/>
                <w:highlight w:val="yellow"/>
              </w:rPr>
            </w:pPr>
          </w:p>
        </w:tc>
        <w:tc>
          <w:tcPr>
            <w:tcW w:w="1276" w:type="dxa"/>
            <w:tcBorders>
              <w:top w:val="single" w:sz="4" w:space="0" w:color="auto"/>
            </w:tcBorders>
          </w:tcPr>
          <w:p w14:paraId="33C28330" w14:textId="77777777" w:rsidR="007F3EE6" w:rsidRPr="00865094" w:rsidRDefault="007F3EE6" w:rsidP="008D0F76">
            <w:pPr>
              <w:widowControl w:val="0"/>
              <w:autoSpaceDE w:val="0"/>
              <w:autoSpaceDN w:val="0"/>
              <w:adjustRightInd w:val="0"/>
              <w:jc w:val="both"/>
              <w:rPr>
                <w:rFonts w:ascii="Arial" w:hAnsi="Arial" w:cs="Arial"/>
                <w:noProof/>
                <w:sz w:val="18"/>
                <w:szCs w:val="18"/>
                <w:highlight w:val="yellow"/>
              </w:rPr>
            </w:pPr>
          </w:p>
        </w:tc>
        <w:tc>
          <w:tcPr>
            <w:tcW w:w="1275" w:type="dxa"/>
            <w:tcBorders>
              <w:top w:val="single" w:sz="4" w:space="0" w:color="auto"/>
            </w:tcBorders>
          </w:tcPr>
          <w:p w14:paraId="482F9E9B" w14:textId="77777777" w:rsidR="007F3EE6" w:rsidRPr="00865094" w:rsidRDefault="007F3EE6" w:rsidP="008D0F76">
            <w:pPr>
              <w:widowControl w:val="0"/>
              <w:autoSpaceDE w:val="0"/>
              <w:autoSpaceDN w:val="0"/>
              <w:adjustRightInd w:val="0"/>
              <w:jc w:val="both"/>
              <w:rPr>
                <w:rFonts w:ascii="Arial" w:hAnsi="Arial" w:cs="Arial"/>
                <w:noProof/>
                <w:sz w:val="18"/>
                <w:szCs w:val="18"/>
                <w:highlight w:val="yellow"/>
              </w:rPr>
            </w:pPr>
          </w:p>
        </w:tc>
      </w:tr>
      <w:bookmarkEnd w:id="35"/>
    </w:tbl>
    <w:p w14:paraId="6E766513" w14:textId="5635C6AA" w:rsidR="007E64FE" w:rsidRPr="00701F32" w:rsidRDefault="007E64FE" w:rsidP="00675A40">
      <w:pPr>
        <w:rPr>
          <w:sz w:val="20"/>
          <w:lang w:eastAsia="es-AR"/>
        </w:rPr>
      </w:pPr>
    </w:p>
    <w:p w14:paraId="323879E3" w14:textId="371E3270" w:rsidR="00125098" w:rsidRDefault="00125098">
      <w:pPr>
        <w:rPr>
          <w:sz w:val="20"/>
          <w:lang w:eastAsia="es-AR"/>
        </w:rPr>
      </w:pPr>
      <w:r>
        <w:rPr>
          <w:sz w:val="20"/>
          <w:lang w:eastAsia="es-AR"/>
        </w:rPr>
        <w:br w:type="page"/>
      </w:r>
    </w:p>
    <w:p w14:paraId="1C81C9FB" w14:textId="77777777" w:rsidR="000618A3" w:rsidRPr="00701F32" w:rsidRDefault="000618A3" w:rsidP="00675A40">
      <w:pPr>
        <w:rPr>
          <w:sz w:val="20"/>
          <w:lang w:eastAsia="es-AR"/>
        </w:rPr>
      </w:pPr>
    </w:p>
    <w:tbl>
      <w:tblPr>
        <w:tblStyle w:val="Tablaconcuadrcula"/>
        <w:tblW w:w="779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1417"/>
        <w:gridCol w:w="1418"/>
      </w:tblGrid>
      <w:tr w:rsidR="00915F29" w14:paraId="2666C3F2" w14:textId="77777777" w:rsidTr="003C2633">
        <w:tc>
          <w:tcPr>
            <w:tcW w:w="4957" w:type="dxa"/>
            <w:tcBorders>
              <w:top w:val="single" w:sz="4" w:space="0" w:color="auto"/>
              <w:left w:val="single" w:sz="4" w:space="0" w:color="auto"/>
              <w:bottom w:val="single" w:sz="4" w:space="0" w:color="auto"/>
            </w:tcBorders>
            <w:shd w:val="clear" w:color="auto" w:fill="BFBFBF" w:themeFill="background1" w:themeFillShade="BF"/>
          </w:tcPr>
          <w:p w14:paraId="79E2C362" w14:textId="77777777" w:rsidR="00915F29" w:rsidRPr="007B34B2" w:rsidRDefault="00915F29" w:rsidP="00AA40A5">
            <w:pPr>
              <w:widowControl w:val="0"/>
              <w:autoSpaceDE w:val="0"/>
              <w:autoSpaceDN w:val="0"/>
              <w:adjustRightInd w:val="0"/>
              <w:jc w:val="center"/>
              <w:rPr>
                <w:rFonts w:ascii="Arial" w:hAnsi="Arial" w:cs="Arial"/>
                <w:b/>
                <w:noProof/>
                <w:sz w:val="18"/>
                <w:szCs w:val="18"/>
              </w:rPr>
            </w:pPr>
            <w:bookmarkStart w:id="37" w:name="_Hlk9948019"/>
            <w:r w:rsidRPr="007B34B2">
              <w:rPr>
                <w:rFonts w:ascii="Arial" w:hAnsi="Arial" w:cs="Arial"/>
                <w:b/>
                <w:noProof/>
                <w:sz w:val="18"/>
                <w:szCs w:val="18"/>
              </w:rPr>
              <w:t>Concepto</w:t>
            </w:r>
          </w:p>
        </w:tc>
        <w:tc>
          <w:tcPr>
            <w:tcW w:w="1417" w:type="dxa"/>
            <w:tcBorders>
              <w:top w:val="single" w:sz="4" w:space="0" w:color="auto"/>
              <w:bottom w:val="single" w:sz="4" w:space="0" w:color="auto"/>
            </w:tcBorders>
            <w:shd w:val="clear" w:color="auto" w:fill="BFBFBF" w:themeFill="background1" w:themeFillShade="BF"/>
          </w:tcPr>
          <w:p w14:paraId="0B6E81CA" w14:textId="22C3BB02" w:rsidR="00915F29" w:rsidRPr="007B34B2" w:rsidRDefault="003C2633" w:rsidP="00AA40A5">
            <w:pPr>
              <w:widowControl w:val="0"/>
              <w:autoSpaceDE w:val="0"/>
              <w:autoSpaceDN w:val="0"/>
              <w:adjustRightInd w:val="0"/>
              <w:jc w:val="center"/>
              <w:rPr>
                <w:rFonts w:ascii="Arial" w:hAnsi="Arial" w:cs="Arial"/>
                <w:b/>
                <w:noProof/>
                <w:sz w:val="18"/>
                <w:szCs w:val="18"/>
              </w:rPr>
            </w:pPr>
            <w:r>
              <w:rPr>
                <w:rFonts w:ascii="Arial" w:hAnsi="Arial" w:cs="Arial"/>
                <w:b/>
                <w:noProof/>
                <w:sz w:val="18"/>
                <w:szCs w:val="18"/>
              </w:rPr>
              <w:t>3</w:t>
            </w:r>
            <w:r w:rsidR="008F2926">
              <w:rPr>
                <w:rFonts w:ascii="Arial" w:hAnsi="Arial" w:cs="Arial"/>
                <w:b/>
                <w:noProof/>
                <w:sz w:val="18"/>
                <w:szCs w:val="18"/>
              </w:rPr>
              <w:t>1</w:t>
            </w:r>
            <w:r>
              <w:rPr>
                <w:rFonts w:ascii="Arial" w:hAnsi="Arial" w:cs="Arial"/>
                <w:b/>
                <w:noProof/>
                <w:sz w:val="18"/>
                <w:szCs w:val="18"/>
              </w:rPr>
              <w:t>/</w:t>
            </w:r>
            <w:r w:rsidR="008F2926">
              <w:rPr>
                <w:rFonts w:ascii="Arial" w:hAnsi="Arial" w:cs="Arial"/>
                <w:b/>
                <w:noProof/>
                <w:sz w:val="18"/>
                <w:szCs w:val="18"/>
              </w:rPr>
              <w:t>12</w:t>
            </w:r>
            <w:r>
              <w:rPr>
                <w:rFonts w:ascii="Arial" w:hAnsi="Arial" w:cs="Arial"/>
                <w:b/>
                <w:noProof/>
                <w:sz w:val="18"/>
                <w:szCs w:val="18"/>
              </w:rPr>
              <w:t>/2019</w:t>
            </w:r>
          </w:p>
        </w:tc>
        <w:tc>
          <w:tcPr>
            <w:tcW w:w="1418" w:type="dxa"/>
            <w:tcBorders>
              <w:top w:val="single" w:sz="4" w:space="0" w:color="auto"/>
              <w:bottom w:val="single" w:sz="4" w:space="0" w:color="auto"/>
              <w:right w:val="single" w:sz="4" w:space="0" w:color="auto"/>
            </w:tcBorders>
            <w:shd w:val="clear" w:color="auto" w:fill="BFBFBF" w:themeFill="background1" w:themeFillShade="BF"/>
          </w:tcPr>
          <w:p w14:paraId="2975C72D" w14:textId="77777777" w:rsidR="00915F29" w:rsidRPr="007B34B2" w:rsidRDefault="00915F29" w:rsidP="00AA40A5">
            <w:pPr>
              <w:widowControl w:val="0"/>
              <w:autoSpaceDE w:val="0"/>
              <w:autoSpaceDN w:val="0"/>
              <w:adjustRightInd w:val="0"/>
              <w:jc w:val="center"/>
              <w:rPr>
                <w:rFonts w:ascii="Arial" w:hAnsi="Arial" w:cs="Arial"/>
                <w:b/>
                <w:noProof/>
                <w:sz w:val="18"/>
                <w:szCs w:val="18"/>
              </w:rPr>
            </w:pPr>
            <w:r w:rsidRPr="007B34B2">
              <w:rPr>
                <w:rFonts w:ascii="Arial" w:hAnsi="Arial" w:cs="Arial"/>
                <w:b/>
                <w:noProof/>
                <w:sz w:val="18"/>
                <w:szCs w:val="18"/>
              </w:rPr>
              <w:t>31/12/2018</w:t>
            </w:r>
          </w:p>
        </w:tc>
      </w:tr>
      <w:tr w:rsidR="00915F29" w:rsidRPr="00AF3AB8" w14:paraId="11BD4804" w14:textId="77777777" w:rsidTr="003C2633">
        <w:tc>
          <w:tcPr>
            <w:tcW w:w="4957" w:type="dxa"/>
            <w:tcBorders>
              <w:top w:val="single" w:sz="4" w:space="0" w:color="auto"/>
            </w:tcBorders>
          </w:tcPr>
          <w:p w14:paraId="4F77D00A" w14:textId="1BB0AC92" w:rsidR="00915F29" w:rsidRPr="00AF3AB8" w:rsidRDefault="00915F29" w:rsidP="00915F29">
            <w:pPr>
              <w:jc w:val="both"/>
              <w:rPr>
                <w:rFonts w:ascii="Arial" w:hAnsi="Arial" w:cs="Arial"/>
                <w:b/>
                <w:bCs/>
                <w:sz w:val="20"/>
                <w:lang w:eastAsia="es-AR"/>
              </w:rPr>
            </w:pPr>
            <w:r w:rsidRPr="00AF3AB8">
              <w:rPr>
                <w:rFonts w:ascii="Arial" w:hAnsi="Arial" w:cs="Arial"/>
                <w:b/>
                <w:bCs/>
                <w:sz w:val="20"/>
              </w:rPr>
              <w:t>CARTERA CONSUMO Y VIVIENDA</w:t>
            </w:r>
          </w:p>
        </w:tc>
        <w:tc>
          <w:tcPr>
            <w:tcW w:w="1417" w:type="dxa"/>
            <w:tcBorders>
              <w:top w:val="single" w:sz="4" w:space="0" w:color="auto"/>
            </w:tcBorders>
          </w:tcPr>
          <w:p w14:paraId="4274E128" w14:textId="77777777" w:rsidR="00915F29" w:rsidRPr="00AF3AB8" w:rsidRDefault="00915F29" w:rsidP="00AA40A5">
            <w:pPr>
              <w:widowControl w:val="0"/>
              <w:autoSpaceDE w:val="0"/>
              <w:autoSpaceDN w:val="0"/>
              <w:adjustRightInd w:val="0"/>
              <w:jc w:val="both"/>
              <w:rPr>
                <w:rFonts w:ascii="Arial" w:hAnsi="Arial" w:cs="Arial"/>
                <w:b/>
                <w:noProof/>
                <w:sz w:val="20"/>
                <w:szCs w:val="18"/>
                <w:highlight w:val="yellow"/>
              </w:rPr>
            </w:pPr>
          </w:p>
        </w:tc>
        <w:tc>
          <w:tcPr>
            <w:tcW w:w="1418" w:type="dxa"/>
            <w:tcBorders>
              <w:top w:val="single" w:sz="4" w:space="0" w:color="auto"/>
            </w:tcBorders>
          </w:tcPr>
          <w:p w14:paraId="18EE86FD" w14:textId="77777777" w:rsidR="00915F29" w:rsidRPr="00AF3AB8" w:rsidRDefault="00915F29" w:rsidP="00AA40A5">
            <w:pPr>
              <w:widowControl w:val="0"/>
              <w:autoSpaceDE w:val="0"/>
              <w:autoSpaceDN w:val="0"/>
              <w:adjustRightInd w:val="0"/>
              <w:jc w:val="both"/>
              <w:rPr>
                <w:rFonts w:ascii="Arial" w:hAnsi="Arial" w:cs="Arial"/>
                <w:b/>
                <w:noProof/>
                <w:sz w:val="20"/>
                <w:szCs w:val="18"/>
                <w:highlight w:val="yellow"/>
              </w:rPr>
            </w:pPr>
          </w:p>
        </w:tc>
      </w:tr>
      <w:tr w:rsidR="00915F29" w:rsidRPr="00AF3AB8" w14:paraId="00CDD3EC" w14:textId="77777777" w:rsidTr="003C2633">
        <w:tc>
          <w:tcPr>
            <w:tcW w:w="4957" w:type="dxa"/>
          </w:tcPr>
          <w:p w14:paraId="25808C75" w14:textId="77777777" w:rsidR="00915F29" w:rsidRPr="00AF3AB8" w:rsidRDefault="00915F29" w:rsidP="00AA40A5">
            <w:pPr>
              <w:widowControl w:val="0"/>
              <w:autoSpaceDE w:val="0"/>
              <w:autoSpaceDN w:val="0"/>
              <w:adjustRightInd w:val="0"/>
              <w:jc w:val="both"/>
              <w:rPr>
                <w:rFonts w:ascii="Arial" w:hAnsi="Arial" w:cs="Arial"/>
                <w:noProof/>
                <w:sz w:val="18"/>
                <w:szCs w:val="18"/>
                <w:highlight w:val="yellow"/>
              </w:rPr>
            </w:pPr>
          </w:p>
        </w:tc>
        <w:tc>
          <w:tcPr>
            <w:tcW w:w="1417" w:type="dxa"/>
          </w:tcPr>
          <w:p w14:paraId="4F993786" w14:textId="77777777" w:rsidR="00915F29" w:rsidRPr="00AF3AB8" w:rsidRDefault="00915F29" w:rsidP="00AA40A5">
            <w:pPr>
              <w:widowControl w:val="0"/>
              <w:autoSpaceDE w:val="0"/>
              <w:autoSpaceDN w:val="0"/>
              <w:adjustRightInd w:val="0"/>
              <w:jc w:val="both"/>
              <w:rPr>
                <w:rFonts w:ascii="Arial" w:hAnsi="Arial" w:cs="Arial"/>
                <w:noProof/>
                <w:sz w:val="18"/>
                <w:szCs w:val="18"/>
                <w:highlight w:val="yellow"/>
              </w:rPr>
            </w:pPr>
          </w:p>
        </w:tc>
        <w:tc>
          <w:tcPr>
            <w:tcW w:w="1418" w:type="dxa"/>
          </w:tcPr>
          <w:p w14:paraId="43F3F369" w14:textId="77777777" w:rsidR="00915F29" w:rsidRPr="00AF3AB8" w:rsidRDefault="00915F29" w:rsidP="00AA40A5">
            <w:pPr>
              <w:widowControl w:val="0"/>
              <w:autoSpaceDE w:val="0"/>
              <w:autoSpaceDN w:val="0"/>
              <w:adjustRightInd w:val="0"/>
              <w:jc w:val="both"/>
              <w:rPr>
                <w:rFonts w:ascii="Arial" w:hAnsi="Arial" w:cs="Arial"/>
                <w:noProof/>
                <w:sz w:val="18"/>
                <w:szCs w:val="18"/>
                <w:highlight w:val="yellow"/>
              </w:rPr>
            </w:pPr>
          </w:p>
        </w:tc>
      </w:tr>
      <w:tr w:rsidR="008844D4" w:rsidRPr="00AF3AB8" w14:paraId="3983FCDE" w14:textId="77777777" w:rsidTr="003C2633">
        <w:trPr>
          <w:trHeight w:val="170"/>
        </w:trPr>
        <w:tc>
          <w:tcPr>
            <w:tcW w:w="4957" w:type="dxa"/>
          </w:tcPr>
          <w:p w14:paraId="7347B0DD" w14:textId="706A6F0E" w:rsidR="008844D4" w:rsidRPr="00AF3AB8" w:rsidRDefault="008844D4" w:rsidP="008844D4">
            <w:pPr>
              <w:jc w:val="both"/>
              <w:rPr>
                <w:rFonts w:ascii="Arial" w:hAnsi="Arial" w:cs="Arial"/>
                <w:b/>
                <w:bCs/>
                <w:sz w:val="18"/>
                <w:szCs w:val="18"/>
                <w:lang w:eastAsia="es-AR"/>
              </w:rPr>
            </w:pPr>
            <w:r w:rsidRPr="00AF3AB8">
              <w:rPr>
                <w:rFonts w:ascii="Arial" w:hAnsi="Arial" w:cs="Arial"/>
                <w:b/>
                <w:bCs/>
                <w:sz w:val="18"/>
                <w:szCs w:val="18"/>
              </w:rPr>
              <w:t>Cumplimiento normal</w:t>
            </w:r>
          </w:p>
        </w:tc>
        <w:tc>
          <w:tcPr>
            <w:tcW w:w="1417" w:type="dxa"/>
            <w:tcBorders>
              <w:bottom w:val="single" w:sz="4" w:space="0" w:color="auto"/>
            </w:tcBorders>
            <w:vAlign w:val="bottom"/>
          </w:tcPr>
          <w:p w14:paraId="20590DF7" w14:textId="30930FDE" w:rsidR="008844D4" w:rsidRPr="004F33B3" w:rsidRDefault="008844D4" w:rsidP="008844D4">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45.521.18</w:t>
            </w:r>
            <w:r w:rsidR="00B125EF">
              <w:rPr>
                <w:rFonts w:ascii="Arial" w:hAnsi="Arial" w:cs="Arial"/>
                <w:b/>
                <w:bCs/>
                <w:sz w:val="18"/>
                <w:szCs w:val="18"/>
              </w:rPr>
              <w:t>5</w:t>
            </w:r>
          </w:p>
        </w:tc>
        <w:tc>
          <w:tcPr>
            <w:tcW w:w="1418" w:type="dxa"/>
            <w:tcBorders>
              <w:bottom w:val="single" w:sz="4" w:space="0" w:color="auto"/>
            </w:tcBorders>
            <w:vAlign w:val="bottom"/>
          </w:tcPr>
          <w:p w14:paraId="13798F87" w14:textId="65B3EAF6" w:rsidR="008844D4" w:rsidRPr="006637B6" w:rsidRDefault="008844D4" w:rsidP="008844D4">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sz w:val="18"/>
                <w:szCs w:val="18"/>
              </w:rPr>
              <w:t xml:space="preserve">36.518.151 </w:t>
            </w:r>
          </w:p>
        </w:tc>
      </w:tr>
      <w:tr w:rsidR="008844D4" w:rsidRPr="00AF3AB8" w14:paraId="032F010B" w14:textId="77777777" w:rsidTr="003C2633">
        <w:trPr>
          <w:trHeight w:val="170"/>
        </w:trPr>
        <w:tc>
          <w:tcPr>
            <w:tcW w:w="4957" w:type="dxa"/>
          </w:tcPr>
          <w:p w14:paraId="1788ADC9" w14:textId="77777777" w:rsidR="008844D4" w:rsidRPr="00AF3AB8" w:rsidRDefault="008844D4" w:rsidP="008844D4">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"A"</w:t>
            </w:r>
          </w:p>
        </w:tc>
        <w:tc>
          <w:tcPr>
            <w:tcW w:w="1417" w:type="dxa"/>
            <w:tcBorders>
              <w:top w:val="single" w:sz="4" w:space="0" w:color="auto"/>
            </w:tcBorders>
            <w:vAlign w:val="bottom"/>
          </w:tcPr>
          <w:p w14:paraId="717FC964" w14:textId="67B0EC1C" w:rsidR="008844D4" w:rsidRPr="004F33B3" w:rsidRDefault="008844D4" w:rsidP="002956FF">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695.149</w:t>
            </w:r>
          </w:p>
        </w:tc>
        <w:tc>
          <w:tcPr>
            <w:tcW w:w="1418" w:type="dxa"/>
            <w:tcBorders>
              <w:top w:val="single" w:sz="4" w:space="0" w:color="auto"/>
            </w:tcBorders>
            <w:vAlign w:val="bottom"/>
          </w:tcPr>
          <w:p w14:paraId="4E5DE535" w14:textId="26607DBB" w:rsidR="008844D4" w:rsidRPr="006637B6" w:rsidRDefault="008844D4" w:rsidP="008844D4">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540.550 </w:t>
            </w:r>
          </w:p>
        </w:tc>
      </w:tr>
      <w:tr w:rsidR="002956FF" w:rsidRPr="00AF3AB8" w14:paraId="2907C4F2" w14:textId="77777777" w:rsidTr="003C2633">
        <w:trPr>
          <w:trHeight w:val="170"/>
        </w:trPr>
        <w:tc>
          <w:tcPr>
            <w:tcW w:w="4957" w:type="dxa"/>
          </w:tcPr>
          <w:p w14:paraId="3D47ADDB" w14:textId="6A08349C"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"B"</w:t>
            </w:r>
          </w:p>
        </w:tc>
        <w:tc>
          <w:tcPr>
            <w:tcW w:w="1417" w:type="dxa"/>
            <w:vAlign w:val="bottom"/>
          </w:tcPr>
          <w:p w14:paraId="01E58082" w14:textId="7F67ED53"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6.189.253</w:t>
            </w:r>
          </w:p>
        </w:tc>
        <w:tc>
          <w:tcPr>
            <w:tcW w:w="1418" w:type="dxa"/>
            <w:vAlign w:val="bottom"/>
          </w:tcPr>
          <w:p w14:paraId="5C7FAC74" w14:textId="29233CE2"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5.363.601 </w:t>
            </w:r>
          </w:p>
        </w:tc>
      </w:tr>
      <w:tr w:rsidR="002956FF" w:rsidRPr="00AF3AB8" w14:paraId="2EBD38B4" w14:textId="77777777" w:rsidTr="003C2633">
        <w:trPr>
          <w:trHeight w:val="170"/>
        </w:trPr>
        <w:tc>
          <w:tcPr>
            <w:tcW w:w="4957" w:type="dxa"/>
          </w:tcPr>
          <w:p w14:paraId="2A1B4A7D"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Sin garantías ni contragarantías preferidas</w:t>
            </w:r>
          </w:p>
        </w:tc>
        <w:tc>
          <w:tcPr>
            <w:tcW w:w="1417" w:type="dxa"/>
            <w:vAlign w:val="bottom"/>
          </w:tcPr>
          <w:p w14:paraId="74055754" w14:textId="07E11874"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38.636.78</w:t>
            </w:r>
            <w:r w:rsidR="00B125EF">
              <w:rPr>
                <w:rFonts w:ascii="Arial" w:hAnsi="Arial" w:cs="Arial"/>
                <w:sz w:val="18"/>
                <w:szCs w:val="18"/>
              </w:rPr>
              <w:t>3</w:t>
            </w:r>
          </w:p>
        </w:tc>
        <w:tc>
          <w:tcPr>
            <w:tcW w:w="1418" w:type="dxa"/>
            <w:vAlign w:val="bottom"/>
          </w:tcPr>
          <w:p w14:paraId="0BF41B05" w14:textId="7A66F2F7"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30.614.000 </w:t>
            </w:r>
          </w:p>
        </w:tc>
      </w:tr>
      <w:tr w:rsidR="002956FF" w:rsidRPr="00AF3AB8" w14:paraId="771F0F77" w14:textId="77777777" w:rsidTr="003C2633">
        <w:trPr>
          <w:trHeight w:val="170"/>
        </w:trPr>
        <w:tc>
          <w:tcPr>
            <w:tcW w:w="4957" w:type="dxa"/>
          </w:tcPr>
          <w:p w14:paraId="3676FE72" w14:textId="77777777" w:rsidR="002956FF" w:rsidRPr="00AF3AB8" w:rsidRDefault="002956FF" w:rsidP="002956FF">
            <w:pPr>
              <w:jc w:val="both"/>
              <w:rPr>
                <w:rFonts w:ascii="Arial" w:hAnsi="Arial" w:cs="Arial"/>
                <w:b/>
                <w:bCs/>
                <w:sz w:val="18"/>
                <w:szCs w:val="18"/>
              </w:rPr>
            </w:pPr>
          </w:p>
        </w:tc>
        <w:tc>
          <w:tcPr>
            <w:tcW w:w="1417" w:type="dxa"/>
            <w:vAlign w:val="bottom"/>
          </w:tcPr>
          <w:p w14:paraId="0E0C2BF7" w14:textId="4E39E903"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p>
        </w:tc>
        <w:tc>
          <w:tcPr>
            <w:tcW w:w="1418" w:type="dxa"/>
            <w:vAlign w:val="bottom"/>
          </w:tcPr>
          <w:p w14:paraId="03FF6053" w14:textId="1331B13A"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w:t>
            </w:r>
          </w:p>
        </w:tc>
      </w:tr>
      <w:tr w:rsidR="002956FF" w:rsidRPr="00AF3AB8" w14:paraId="4F03D850" w14:textId="77777777" w:rsidTr="003C2633">
        <w:trPr>
          <w:trHeight w:val="170"/>
        </w:trPr>
        <w:tc>
          <w:tcPr>
            <w:tcW w:w="4957" w:type="dxa"/>
          </w:tcPr>
          <w:p w14:paraId="7DA134B9" w14:textId="51EE4463" w:rsidR="002956FF" w:rsidRPr="00AF3AB8" w:rsidRDefault="002956FF" w:rsidP="002956FF">
            <w:pPr>
              <w:jc w:val="both"/>
              <w:rPr>
                <w:rFonts w:ascii="Arial" w:hAnsi="Arial" w:cs="Arial"/>
                <w:b/>
                <w:bCs/>
                <w:sz w:val="18"/>
                <w:szCs w:val="18"/>
                <w:lang w:eastAsia="es-AR"/>
              </w:rPr>
            </w:pPr>
            <w:r w:rsidRPr="00AF3AB8">
              <w:rPr>
                <w:rFonts w:ascii="Arial" w:hAnsi="Arial" w:cs="Arial"/>
                <w:b/>
                <w:bCs/>
                <w:sz w:val="18"/>
                <w:szCs w:val="18"/>
              </w:rPr>
              <w:t>Riesgo bajo</w:t>
            </w:r>
          </w:p>
        </w:tc>
        <w:tc>
          <w:tcPr>
            <w:tcW w:w="1417" w:type="dxa"/>
            <w:tcBorders>
              <w:bottom w:val="single" w:sz="4" w:space="0" w:color="auto"/>
            </w:tcBorders>
            <w:vAlign w:val="bottom"/>
          </w:tcPr>
          <w:p w14:paraId="2C709E03" w14:textId="1EACEEDC" w:rsidR="002956FF" w:rsidRPr="002956FF" w:rsidRDefault="002956FF" w:rsidP="002956FF">
            <w:pPr>
              <w:widowControl w:val="0"/>
              <w:autoSpaceDE w:val="0"/>
              <w:autoSpaceDN w:val="0"/>
              <w:adjustRightInd w:val="0"/>
              <w:jc w:val="right"/>
              <w:rPr>
                <w:rFonts w:ascii="Arial" w:hAnsi="Arial" w:cs="Arial"/>
                <w:b/>
                <w:noProof/>
                <w:sz w:val="18"/>
                <w:szCs w:val="18"/>
                <w:highlight w:val="yellow"/>
              </w:rPr>
            </w:pPr>
            <w:r w:rsidRPr="002956FF">
              <w:rPr>
                <w:rFonts w:ascii="Arial" w:hAnsi="Arial" w:cs="Arial"/>
                <w:b/>
                <w:sz w:val="18"/>
                <w:szCs w:val="18"/>
              </w:rPr>
              <w:t>1.615.692</w:t>
            </w:r>
          </w:p>
        </w:tc>
        <w:tc>
          <w:tcPr>
            <w:tcW w:w="1418" w:type="dxa"/>
            <w:tcBorders>
              <w:bottom w:val="single" w:sz="4" w:space="0" w:color="auto"/>
            </w:tcBorders>
            <w:vAlign w:val="bottom"/>
          </w:tcPr>
          <w:p w14:paraId="776A95DB" w14:textId="72C01361" w:rsidR="002956FF" w:rsidRPr="006637B6" w:rsidRDefault="002956FF" w:rsidP="002956FF">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sz w:val="18"/>
                <w:szCs w:val="18"/>
              </w:rPr>
              <w:t xml:space="preserve">1.760.719 </w:t>
            </w:r>
          </w:p>
        </w:tc>
      </w:tr>
      <w:tr w:rsidR="002956FF" w:rsidRPr="00AF3AB8" w14:paraId="1DE99C0D" w14:textId="77777777" w:rsidTr="003C2633">
        <w:trPr>
          <w:trHeight w:val="170"/>
        </w:trPr>
        <w:tc>
          <w:tcPr>
            <w:tcW w:w="4957" w:type="dxa"/>
          </w:tcPr>
          <w:p w14:paraId="618E4250"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"A"</w:t>
            </w:r>
          </w:p>
        </w:tc>
        <w:tc>
          <w:tcPr>
            <w:tcW w:w="1417" w:type="dxa"/>
            <w:tcBorders>
              <w:top w:val="single" w:sz="4" w:space="0" w:color="auto"/>
            </w:tcBorders>
            <w:vAlign w:val="bottom"/>
          </w:tcPr>
          <w:p w14:paraId="2992DB51" w14:textId="6B542E6F"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90.781</w:t>
            </w:r>
          </w:p>
        </w:tc>
        <w:tc>
          <w:tcPr>
            <w:tcW w:w="1418" w:type="dxa"/>
            <w:tcBorders>
              <w:top w:val="single" w:sz="4" w:space="0" w:color="auto"/>
            </w:tcBorders>
            <w:vAlign w:val="bottom"/>
          </w:tcPr>
          <w:p w14:paraId="01F48D9E" w14:textId="1A455F19"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26.512 </w:t>
            </w:r>
          </w:p>
        </w:tc>
      </w:tr>
      <w:tr w:rsidR="002956FF" w:rsidRPr="00AF3AB8" w14:paraId="339D70B5" w14:textId="77777777" w:rsidTr="003C2633">
        <w:trPr>
          <w:trHeight w:val="170"/>
        </w:trPr>
        <w:tc>
          <w:tcPr>
            <w:tcW w:w="4957" w:type="dxa"/>
          </w:tcPr>
          <w:p w14:paraId="2614544D" w14:textId="78D8F2C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"B"</w:t>
            </w:r>
          </w:p>
        </w:tc>
        <w:tc>
          <w:tcPr>
            <w:tcW w:w="1417" w:type="dxa"/>
            <w:vAlign w:val="bottom"/>
          </w:tcPr>
          <w:p w14:paraId="74F2D394" w14:textId="1786413A"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199.347</w:t>
            </w:r>
          </w:p>
        </w:tc>
        <w:tc>
          <w:tcPr>
            <w:tcW w:w="1418" w:type="dxa"/>
            <w:vAlign w:val="bottom"/>
          </w:tcPr>
          <w:p w14:paraId="22ABCB28" w14:textId="1D3CF71C"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140.302 </w:t>
            </w:r>
          </w:p>
        </w:tc>
      </w:tr>
      <w:tr w:rsidR="002956FF" w:rsidRPr="00AF3AB8" w14:paraId="531201DB" w14:textId="77777777" w:rsidTr="003C2633">
        <w:trPr>
          <w:trHeight w:val="170"/>
        </w:trPr>
        <w:tc>
          <w:tcPr>
            <w:tcW w:w="4957" w:type="dxa"/>
          </w:tcPr>
          <w:p w14:paraId="39F9ABEB"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Sin garantías ni contragarantías preferidas</w:t>
            </w:r>
          </w:p>
        </w:tc>
        <w:tc>
          <w:tcPr>
            <w:tcW w:w="1417" w:type="dxa"/>
            <w:vAlign w:val="bottom"/>
          </w:tcPr>
          <w:p w14:paraId="3A4519E2" w14:textId="14810CF0"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1.325.564</w:t>
            </w:r>
          </w:p>
        </w:tc>
        <w:tc>
          <w:tcPr>
            <w:tcW w:w="1418" w:type="dxa"/>
            <w:vAlign w:val="bottom"/>
          </w:tcPr>
          <w:p w14:paraId="07FEBFD5" w14:textId="356B305A"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1.593.905 </w:t>
            </w:r>
          </w:p>
        </w:tc>
      </w:tr>
      <w:tr w:rsidR="002956FF" w:rsidRPr="00AF3AB8" w14:paraId="3B3498B7" w14:textId="77777777" w:rsidTr="003C2633">
        <w:trPr>
          <w:trHeight w:val="170"/>
        </w:trPr>
        <w:tc>
          <w:tcPr>
            <w:tcW w:w="4957" w:type="dxa"/>
          </w:tcPr>
          <w:p w14:paraId="5966A421" w14:textId="77777777" w:rsidR="002956FF" w:rsidRPr="00AF3AB8" w:rsidRDefault="002956FF" w:rsidP="002956FF">
            <w:pPr>
              <w:jc w:val="both"/>
              <w:rPr>
                <w:rFonts w:ascii="Arial" w:hAnsi="Arial" w:cs="Arial"/>
                <w:b/>
                <w:bCs/>
                <w:sz w:val="18"/>
                <w:szCs w:val="18"/>
              </w:rPr>
            </w:pPr>
          </w:p>
        </w:tc>
        <w:tc>
          <w:tcPr>
            <w:tcW w:w="1417" w:type="dxa"/>
            <w:vAlign w:val="bottom"/>
          </w:tcPr>
          <w:p w14:paraId="51B3799A" w14:textId="35DA15E0"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p>
        </w:tc>
        <w:tc>
          <w:tcPr>
            <w:tcW w:w="1418" w:type="dxa"/>
            <w:vAlign w:val="bottom"/>
          </w:tcPr>
          <w:p w14:paraId="6D4CED32" w14:textId="40658390"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w:t>
            </w:r>
          </w:p>
        </w:tc>
      </w:tr>
      <w:tr w:rsidR="002956FF" w:rsidRPr="00AF3AB8" w14:paraId="0486294A" w14:textId="77777777" w:rsidTr="003C2633">
        <w:trPr>
          <w:trHeight w:val="170"/>
        </w:trPr>
        <w:tc>
          <w:tcPr>
            <w:tcW w:w="4957" w:type="dxa"/>
          </w:tcPr>
          <w:p w14:paraId="6BD38091" w14:textId="7C599835" w:rsidR="002956FF" w:rsidRPr="00AF3AB8" w:rsidRDefault="002956FF" w:rsidP="002956FF">
            <w:pPr>
              <w:jc w:val="both"/>
              <w:rPr>
                <w:rFonts w:ascii="Arial" w:hAnsi="Arial" w:cs="Arial"/>
                <w:b/>
                <w:bCs/>
                <w:sz w:val="18"/>
                <w:szCs w:val="18"/>
                <w:lang w:eastAsia="es-AR"/>
              </w:rPr>
            </w:pPr>
            <w:r w:rsidRPr="00AF3AB8">
              <w:rPr>
                <w:rFonts w:ascii="Arial" w:hAnsi="Arial" w:cs="Arial"/>
                <w:b/>
                <w:bCs/>
                <w:sz w:val="18"/>
                <w:szCs w:val="18"/>
              </w:rPr>
              <w:t>Riesgo medio</w:t>
            </w:r>
          </w:p>
        </w:tc>
        <w:tc>
          <w:tcPr>
            <w:tcW w:w="1417" w:type="dxa"/>
            <w:tcBorders>
              <w:bottom w:val="single" w:sz="4" w:space="0" w:color="auto"/>
            </w:tcBorders>
            <w:vAlign w:val="bottom"/>
          </w:tcPr>
          <w:p w14:paraId="2BF81D95" w14:textId="0A85FF2E" w:rsidR="002956FF" w:rsidRPr="002956FF" w:rsidRDefault="002956FF" w:rsidP="002956FF">
            <w:pPr>
              <w:widowControl w:val="0"/>
              <w:autoSpaceDE w:val="0"/>
              <w:autoSpaceDN w:val="0"/>
              <w:adjustRightInd w:val="0"/>
              <w:jc w:val="right"/>
              <w:rPr>
                <w:rFonts w:ascii="Arial" w:hAnsi="Arial" w:cs="Arial"/>
                <w:b/>
                <w:noProof/>
                <w:sz w:val="18"/>
                <w:szCs w:val="18"/>
                <w:highlight w:val="yellow"/>
              </w:rPr>
            </w:pPr>
            <w:r w:rsidRPr="002956FF">
              <w:rPr>
                <w:rFonts w:ascii="Arial" w:hAnsi="Arial" w:cs="Arial"/>
                <w:b/>
                <w:sz w:val="18"/>
                <w:szCs w:val="18"/>
              </w:rPr>
              <w:t>1.307.751</w:t>
            </w:r>
          </w:p>
        </w:tc>
        <w:tc>
          <w:tcPr>
            <w:tcW w:w="1418" w:type="dxa"/>
            <w:tcBorders>
              <w:bottom w:val="single" w:sz="4" w:space="0" w:color="auto"/>
            </w:tcBorders>
            <w:vAlign w:val="bottom"/>
          </w:tcPr>
          <w:p w14:paraId="6893ADF9" w14:textId="4FFA8A5C" w:rsidR="002956FF" w:rsidRPr="006637B6" w:rsidRDefault="002956FF" w:rsidP="002956FF">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sz w:val="18"/>
                <w:szCs w:val="18"/>
              </w:rPr>
              <w:t xml:space="preserve">1.265.097 </w:t>
            </w:r>
          </w:p>
        </w:tc>
      </w:tr>
      <w:tr w:rsidR="002956FF" w:rsidRPr="00AF3AB8" w14:paraId="0D1B1BD4" w14:textId="77777777" w:rsidTr="003C2633">
        <w:trPr>
          <w:trHeight w:val="170"/>
        </w:trPr>
        <w:tc>
          <w:tcPr>
            <w:tcW w:w="4957" w:type="dxa"/>
          </w:tcPr>
          <w:p w14:paraId="29EAAAB7"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"A"</w:t>
            </w:r>
          </w:p>
        </w:tc>
        <w:tc>
          <w:tcPr>
            <w:tcW w:w="1417" w:type="dxa"/>
            <w:tcBorders>
              <w:top w:val="single" w:sz="4" w:space="0" w:color="auto"/>
            </w:tcBorders>
            <w:vAlign w:val="bottom"/>
          </w:tcPr>
          <w:p w14:paraId="2AA3F61D" w14:textId="519B4227"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46.794</w:t>
            </w:r>
          </w:p>
        </w:tc>
        <w:tc>
          <w:tcPr>
            <w:tcW w:w="1418" w:type="dxa"/>
            <w:tcBorders>
              <w:top w:val="single" w:sz="4" w:space="0" w:color="auto"/>
            </w:tcBorders>
            <w:vAlign w:val="bottom"/>
          </w:tcPr>
          <w:p w14:paraId="6F2582E2" w14:textId="20DC3508"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11.560 </w:t>
            </w:r>
          </w:p>
        </w:tc>
      </w:tr>
      <w:tr w:rsidR="002956FF" w:rsidRPr="00AF3AB8" w14:paraId="791AB31F" w14:textId="77777777" w:rsidTr="003C2633">
        <w:trPr>
          <w:trHeight w:val="170"/>
        </w:trPr>
        <w:tc>
          <w:tcPr>
            <w:tcW w:w="4957" w:type="dxa"/>
          </w:tcPr>
          <w:p w14:paraId="64075414" w14:textId="5479E75D"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"B"</w:t>
            </w:r>
          </w:p>
        </w:tc>
        <w:tc>
          <w:tcPr>
            <w:tcW w:w="1417" w:type="dxa"/>
            <w:vAlign w:val="bottom"/>
          </w:tcPr>
          <w:p w14:paraId="083168B9" w14:textId="4C45C615"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128.995</w:t>
            </w:r>
          </w:p>
        </w:tc>
        <w:tc>
          <w:tcPr>
            <w:tcW w:w="1418" w:type="dxa"/>
            <w:vAlign w:val="bottom"/>
          </w:tcPr>
          <w:p w14:paraId="6A8B326F" w14:textId="6E0D0156"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33.497 </w:t>
            </w:r>
          </w:p>
        </w:tc>
      </w:tr>
      <w:tr w:rsidR="002956FF" w:rsidRPr="00AF3AB8" w14:paraId="6B28D1B6" w14:textId="77777777" w:rsidTr="003C2633">
        <w:trPr>
          <w:trHeight w:val="170"/>
        </w:trPr>
        <w:tc>
          <w:tcPr>
            <w:tcW w:w="4957" w:type="dxa"/>
          </w:tcPr>
          <w:p w14:paraId="1056B48F"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Sin garantías ni contragarantías preferidas</w:t>
            </w:r>
          </w:p>
        </w:tc>
        <w:tc>
          <w:tcPr>
            <w:tcW w:w="1417" w:type="dxa"/>
            <w:vAlign w:val="bottom"/>
          </w:tcPr>
          <w:p w14:paraId="69599502" w14:textId="2BCCED65"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1.131.962</w:t>
            </w:r>
          </w:p>
        </w:tc>
        <w:tc>
          <w:tcPr>
            <w:tcW w:w="1418" w:type="dxa"/>
            <w:vAlign w:val="bottom"/>
          </w:tcPr>
          <w:p w14:paraId="2CB65D5F" w14:textId="084793E9"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1.220.040 </w:t>
            </w:r>
          </w:p>
        </w:tc>
      </w:tr>
      <w:tr w:rsidR="002956FF" w:rsidRPr="00AF3AB8" w14:paraId="6076C004" w14:textId="77777777" w:rsidTr="003C2633">
        <w:trPr>
          <w:trHeight w:val="170"/>
        </w:trPr>
        <w:tc>
          <w:tcPr>
            <w:tcW w:w="4957" w:type="dxa"/>
          </w:tcPr>
          <w:p w14:paraId="180228E8" w14:textId="77777777" w:rsidR="002956FF" w:rsidRPr="00AF3AB8" w:rsidRDefault="002956FF" w:rsidP="002956FF">
            <w:pPr>
              <w:jc w:val="both"/>
              <w:rPr>
                <w:rFonts w:ascii="Arial" w:hAnsi="Arial" w:cs="Arial"/>
                <w:b/>
                <w:bCs/>
                <w:sz w:val="18"/>
                <w:szCs w:val="18"/>
              </w:rPr>
            </w:pPr>
          </w:p>
        </w:tc>
        <w:tc>
          <w:tcPr>
            <w:tcW w:w="1417" w:type="dxa"/>
            <w:vAlign w:val="bottom"/>
          </w:tcPr>
          <w:p w14:paraId="25E81470" w14:textId="6FBC0664"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p>
        </w:tc>
        <w:tc>
          <w:tcPr>
            <w:tcW w:w="1418" w:type="dxa"/>
            <w:vAlign w:val="bottom"/>
          </w:tcPr>
          <w:p w14:paraId="5364E374" w14:textId="137C9190"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w:t>
            </w:r>
          </w:p>
        </w:tc>
      </w:tr>
      <w:tr w:rsidR="002956FF" w:rsidRPr="00AF3AB8" w14:paraId="0971CCD3" w14:textId="77777777" w:rsidTr="003C2633">
        <w:trPr>
          <w:trHeight w:val="170"/>
        </w:trPr>
        <w:tc>
          <w:tcPr>
            <w:tcW w:w="4957" w:type="dxa"/>
          </w:tcPr>
          <w:p w14:paraId="46B1425A" w14:textId="1023A672" w:rsidR="002956FF" w:rsidRPr="00AF3AB8" w:rsidRDefault="002956FF" w:rsidP="002956FF">
            <w:pPr>
              <w:jc w:val="both"/>
              <w:rPr>
                <w:rFonts w:ascii="Arial" w:hAnsi="Arial" w:cs="Arial"/>
                <w:b/>
                <w:bCs/>
                <w:sz w:val="18"/>
                <w:szCs w:val="18"/>
                <w:lang w:eastAsia="es-AR"/>
              </w:rPr>
            </w:pPr>
            <w:r w:rsidRPr="00AF3AB8">
              <w:rPr>
                <w:rFonts w:ascii="Arial" w:hAnsi="Arial" w:cs="Arial"/>
                <w:b/>
                <w:bCs/>
                <w:sz w:val="18"/>
                <w:szCs w:val="18"/>
              </w:rPr>
              <w:t>Riesgo alto</w:t>
            </w:r>
          </w:p>
        </w:tc>
        <w:tc>
          <w:tcPr>
            <w:tcW w:w="1417" w:type="dxa"/>
            <w:tcBorders>
              <w:bottom w:val="single" w:sz="4" w:space="0" w:color="auto"/>
            </w:tcBorders>
            <w:vAlign w:val="bottom"/>
          </w:tcPr>
          <w:p w14:paraId="194B5BED" w14:textId="1B4E2E34" w:rsidR="002956FF" w:rsidRPr="002956FF" w:rsidRDefault="002956FF" w:rsidP="002956FF">
            <w:pPr>
              <w:widowControl w:val="0"/>
              <w:autoSpaceDE w:val="0"/>
              <w:autoSpaceDN w:val="0"/>
              <w:adjustRightInd w:val="0"/>
              <w:jc w:val="right"/>
              <w:rPr>
                <w:rFonts w:ascii="Arial" w:hAnsi="Arial" w:cs="Arial"/>
                <w:b/>
                <w:noProof/>
                <w:sz w:val="18"/>
                <w:szCs w:val="18"/>
                <w:highlight w:val="yellow"/>
              </w:rPr>
            </w:pPr>
            <w:r w:rsidRPr="002956FF">
              <w:rPr>
                <w:rFonts w:ascii="Arial" w:hAnsi="Arial" w:cs="Arial"/>
                <w:b/>
                <w:sz w:val="18"/>
                <w:szCs w:val="18"/>
              </w:rPr>
              <w:t>1.687.591</w:t>
            </w:r>
          </w:p>
        </w:tc>
        <w:tc>
          <w:tcPr>
            <w:tcW w:w="1418" w:type="dxa"/>
            <w:tcBorders>
              <w:bottom w:val="single" w:sz="4" w:space="0" w:color="auto"/>
            </w:tcBorders>
            <w:vAlign w:val="bottom"/>
          </w:tcPr>
          <w:p w14:paraId="7B1255C8" w14:textId="0256C04A" w:rsidR="002956FF" w:rsidRPr="006637B6" w:rsidRDefault="002956FF" w:rsidP="002956FF">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sz w:val="18"/>
                <w:szCs w:val="18"/>
              </w:rPr>
              <w:t xml:space="preserve">1.370.064 </w:t>
            </w:r>
          </w:p>
        </w:tc>
      </w:tr>
      <w:tr w:rsidR="002956FF" w:rsidRPr="00AF3AB8" w14:paraId="70689D4D" w14:textId="77777777" w:rsidTr="003C2633">
        <w:trPr>
          <w:trHeight w:val="170"/>
        </w:trPr>
        <w:tc>
          <w:tcPr>
            <w:tcW w:w="4957" w:type="dxa"/>
          </w:tcPr>
          <w:p w14:paraId="6DCB752B"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"A"</w:t>
            </w:r>
          </w:p>
        </w:tc>
        <w:tc>
          <w:tcPr>
            <w:tcW w:w="1417" w:type="dxa"/>
            <w:tcBorders>
              <w:top w:val="single" w:sz="4" w:space="0" w:color="auto"/>
            </w:tcBorders>
            <w:vAlign w:val="bottom"/>
          </w:tcPr>
          <w:p w14:paraId="315AED81" w14:textId="214F4EBE"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23.998</w:t>
            </w:r>
          </w:p>
        </w:tc>
        <w:tc>
          <w:tcPr>
            <w:tcW w:w="1418" w:type="dxa"/>
            <w:tcBorders>
              <w:top w:val="single" w:sz="4" w:space="0" w:color="auto"/>
            </w:tcBorders>
            <w:vAlign w:val="bottom"/>
          </w:tcPr>
          <w:p w14:paraId="08564383" w14:textId="1B2AAD86"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3.148 </w:t>
            </w:r>
          </w:p>
        </w:tc>
      </w:tr>
      <w:tr w:rsidR="002956FF" w:rsidRPr="00AF3AB8" w14:paraId="7A272DA5" w14:textId="77777777" w:rsidTr="003C2633">
        <w:trPr>
          <w:trHeight w:val="170"/>
        </w:trPr>
        <w:tc>
          <w:tcPr>
            <w:tcW w:w="4957" w:type="dxa"/>
          </w:tcPr>
          <w:p w14:paraId="78679352" w14:textId="1BC8DAD9"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"B"</w:t>
            </w:r>
          </w:p>
        </w:tc>
        <w:tc>
          <w:tcPr>
            <w:tcW w:w="1417" w:type="dxa"/>
            <w:vAlign w:val="bottom"/>
          </w:tcPr>
          <w:p w14:paraId="388BB6D6" w14:textId="7A8C9E4B"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96.869</w:t>
            </w:r>
          </w:p>
        </w:tc>
        <w:tc>
          <w:tcPr>
            <w:tcW w:w="1418" w:type="dxa"/>
            <w:vAlign w:val="bottom"/>
          </w:tcPr>
          <w:p w14:paraId="62F207EE" w14:textId="3E397DF1"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8.971 </w:t>
            </w:r>
          </w:p>
        </w:tc>
      </w:tr>
      <w:tr w:rsidR="002956FF" w:rsidRPr="00AF3AB8" w14:paraId="443AEA0C" w14:textId="77777777" w:rsidTr="003C2633">
        <w:trPr>
          <w:trHeight w:val="170"/>
        </w:trPr>
        <w:tc>
          <w:tcPr>
            <w:tcW w:w="4957" w:type="dxa"/>
          </w:tcPr>
          <w:p w14:paraId="4C0EFA44"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Sin garantías ni contragarantías preferidas</w:t>
            </w:r>
          </w:p>
        </w:tc>
        <w:tc>
          <w:tcPr>
            <w:tcW w:w="1417" w:type="dxa"/>
            <w:vAlign w:val="bottom"/>
          </w:tcPr>
          <w:p w14:paraId="75A3EF1F" w14:textId="7FA1AA30"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1.566.724</w:t>
            </w:r>
          </w:p>
        </w:tc>
        <w:tc>
          <w:tcPr>
            <w:tcW w:w="1418" w:type="dxa"/>
            <w:vAlign w:val="bottom"/>
          </w:tcPr>
          <w:p w14:paraId="2D197219" w14:textId="51C7994F"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1.357.945 </w:t>
            </w:r>
          </w:p>
        </w:tc>
      </w:tr>
      <w:tr w:rsidR="002956FF" w:rsidRPr="00AF3AB8" w14:paraId="6D9756DC" w14:textId="77777777" w:rsidTr="003C2633">
        <w:trPr>
          <w:trHeight w:val="170"/>
        </w:trPr>
        <w:tc>
          <w:tcPr>
            <w:tcW w:w="4957" w:type="dxa"/>
          </w:tcPr>
          <w:p w14:paraId="23319458" w14:textId="77777777" w:rsidR="002956FF" w:rsidRPr="00AF3AB8" w:rsidRDefault="002956FF" w:rsidP="002956FF">
            <w:pPr>
              <w:jc w:val="both"/>
              <w:rPr>
                <w:rFonts w:ascii="Arial" w:hAnsi="Arial" w:cs="Arial"/>
                <w:b/>
                <w:bCs/>
                <w:sz w:val="18"/>
                <w:szCs w:val="18"/>
              </w:rPr>
            </w:pPr>
          </w:p>
        </w:tc>
        <w:tc>
          <w:tcPr>
            <w:tcW w:w="1417" w:type="dxa"/>
            <w:vAlign w:val="bottom"/>
          </w:tcPr>
          <w:p w14:paraId="4014C079" w14:textId="780AF8E2"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p>
        </w:tc>
        <w:tc>
          <w:tcPr>
            <w:tcW w:w="1418" w:type="dxa"/>
            <w:vAlign w:val="bottom"/>
          </w:tcPr>
          <w:p w14:paraId="7728A6E3" w14:textId="54C05DFF"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w:t>
            </w:r>
          </w:p>
        </w:tc>
      </w:tr>
      <w:tr w:rsidR="002956FF" w:rsidRPr="00AF3AB8" w14:paraId="12C37010" w14:textId="77777777" w:rsidTr="003C2633">
        <w:trPr>
          <w:trHeight w:val="170"/>
        </w:trPr>
        <w:tc>
          <w:tcPr>
            <w:tcW w:w="4957" w:type="dxa"/>
          </w:tcPr>
          <w:p w14:paraId="61EC34A0" w14:textId="77777777" w:rsidR="002956FF" w:rsidRPr="00AF3AB8" w:rsidRDefault="002956FF" w:rsidP="002956FF">
            <w:pPr>
              <w:jc w:val="both"/>
              <w:rPr>
                <w:rFonts w:ascii="Arial" w:hAnsi="Arial" w:cs="Arial"/>
                <w:b/>
                <w:bCs/>
                <w:sz w:val="18"/>
                <w:szCs w:val="18"/>
                <w:lang w:eastAsia="es-AR"/>
              </w:rPr>
            </w:pPr>
            <w:r w:rsidRPr="00AF3AB8">
              <w:rPr>
                <w:rFonts w:ascii="Arial" w:hAnsi="Arial" w:cs="Arial"/>
                <w:b/>
                <w:bCs/>
                <w:sz w:val="18"/>
                <w:szCs w:val="18"/>
              </w:rPr>
              <w:t>Irrecuperable</w:t>
            </w:r>
          </w:p>
        </w:tc>
        <w:tc>
          <w:tcPr>
            <w:tcW w:w="1417" w:type="dxa"/>
            <w:tcBorders>
              <w:bottom w:val="single" w:sz="4" w:space="0" w:color="auto"/>
            </w:tcBorders>
            <w:vAlign w:val="bottom"/>
          </w:tcPr>
          <w:p w14:paraId="3DABBDF5" w14:textId="57FAE345" w:rsidR="002956FF" w:rsidRPr="002956FF" w:rsidRDefault="002956FF" w:rsidP="002956FF">
            <w:pPr>
              <w:widowControl w:val="0"/>
              <w:autoSpaceDE w:val="0"/>
              <w:autoSpaceDN w:val="0"/>
              <w:adjustRightInd w:val="0"/>
              <w:jc w:val="right"/>
              <w:rPr>
                <w:rFonts w:ascii="Arial" w:hAnsi="Arial" w:cs="Arial"/>
                <w:b/>
                <w:noProof/>
                <w:sz w:val="18"/>
                <w:szCs w:val="18"/>
                <w:highlight w:val="yellow"/>
              </w:rPr>
            </w:pPr>
            <w:r w:rsidRPr="002956FF">
              <w:rPr>
                <w:rFonts w:ascii="Arial" w:hAnsi="Arial" w:cs="Arial"/>
                <w:b/>
                <w:sz w:val="18"/>
                <w:szCs w:val="18"/>
              </w:rPr>
              <w:t>281.368</w:t>
            </w:r>
          </w:p>
        </w:tc>
        <w:tc>
          <w:tcPr>
            <w:tcW w:w="1418" w:type="dxa"/>
            <w:tcBorders>
              <w:bottom w:val="single" w:sz="4" w:space="0" w:color="auto"/>
            </w:tcBorders>
            <w:vAlign w:val="bottom"/>
          </w:tcPr>
          <w:p w14:paraId="00A3460F" w14:textId="036D729E" w:rsidR="002956FF" w:rsidRPr="006637B6" w:rsidRDefault="002956FF" w:rsidP="002956FF">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sz w:val="18"/>
                <w:szCs w:val="18"/>
              </w:rPr>
              <w:t xml:space="preserve">43.335 </w:t>
            </w:r>
          </w:p>
        </w:tc>
      </w:tr>
      <w:tr w:rsidR="002956FF" w:rsidRPr="00AF3AB8" w14:paraId="341C89BF" w14:textId="77777777" w:rsidTr="003C2633">
        <w:trPr>
          <w:trHeight w:val="170"/>
        </w:trPr>
        <w:tc>
          <w:tcPr>
            <w:tcW w:w="4957" w:type="dxa"/>
          </w:tcPr>
          <w:p w14:paraId="6EAEDBA5"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"A"</w:t>
            </w:r>
          </w:p>
        </w:tc>
        <w:tc>
          <w:tcPr>
            <w:tcW w:w="1417" w:type="dxa"/>
            <w:tcBorders>
              <w:top w:val="single" w:sz="4" w:space="0" w:color="auto"/>
            </w:tcBorders>
            <w:vAlign w:val="bottom"/>
          </w:tcPr>
          <w:p w14:paraId="452D395F" w14:textId="4EEDC0EE"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4.990</w:t>
            </w:r>
          </w:p>
        </w:tc>
        <w:tc>
          <w:tcPr>
            <w:tcW w:w="1418" w:type="dxa"/>
            <w:tcBorders>
              <w:top w:val="single" w:sz="4" w:space="0" w:color="auto"/>
            </w:tcBorders>
            <w:vAlign w:val="bottom"/>
          </w:tcPr>
          <w:p w14:paraId="72FECD72" w14:textId="69BDC50B"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52 </w:t>
            </w:r>
          </w:p>
        </w:tc>
      </w:tr>
      <w:tr w:rsidR="002956FF" w:rsidRPr="00AF3AB8" w14:paraId="7388411C" w14:textId="77777777" w:rsidTr="003C2633">
        <w:trPr>
          <w:trHeight w:val="170"/>
        </w:trPr>
        <w:tc>
          <w:tcPr>
            <w:tcW w:w="4957" w:type="dxa"/>
          </w:tcPr>
          <w:p w14:paraId="45DD3DA0"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"B"</w:t>
            </w:r>
          </w:p>
        </w:tc>
        <w:tc>
          <w:tcPr>
            <w:tcW w:w="1417" w:type="dxa"/>
            <w:vAlign w:val="bottom"/>
          </w:tcPr>
          <w:p w14:paraId="539209C7" w14:textId="120F55C3"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69.567</w:t>
            </w:r>
          </w:p>
        </w:tc>
        <w:tc>
          <w:tcPr>
            <w:tcW w:w="1418" w:type="dxa"/>
            <w:vAlign w:val="bottom"/>
          </w:tcPr>
          <w:p w14:paraId="248DEB4A" w14:textId="376A31FA"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1.166 </w:t>
            </w:r>
          </w:p>
        </w:tc>
      </w:tr>
      <w:tr w:rsidR="002956FF" w:rsidRPr="00AF3AB8" w14:paraId="581330AB" w14:textId="77777777" w:rsidTr="003C2633">
        <w:trPr>
          <w:trHeight w:val="170"/>
        </w:trPr>
        <w:tc>
          <w:tcPr>
            <w:tcW w:w="4957" w:type="dxa"/>
          </w:tcPr>
          <w:p w14:paraId="4D36B719"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Sin garantías ni contragarantías preferidas</w:t>
            </w:r>
          </w:p>
        </w:tc>
        <w:tc>
          <w:tcPr>
            <w:tcW w:w="1417" w:type="dxa"/>
            <w:vAlign w:val="bottom"/>
          </w:tcPr>
          <w:p w14:paraId="471B1186" w14:textId="7159D182"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206.811</w:t>
            </w:r>
          </w:p>
        </w:tc>
        <w:tc>
          <w:tcPr>
            <w:tcW w:w="1418" w:type="dxa"/>
            <w:vAlign w:val="bottom"/>
          </w:tcPr>
          <w:p w14:paraId="747C1A8B" w14:textId="69BE4661"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42.117 </w:t>
            </w:r>
          </w:p>
        </w:tc>
      </w:tr>
      <w:tr w:rsidR="002956FF" w:rsidRPr="00AF3AB8" w14:paraId="27F8058E" w14:textId="77777777" w:rsidTr="003C2633">
        <w:trPr>
          <w:trHeight w:val="170"/>
        </w:trPr>
        <w:tc>
          <w:tcPr>
            <w:tcW w:w="4957" w:type="dxa"/>
          </w:tcPr>
          <w:p w14:paraId="733EF8CB" w14:textId="77777777" w:rsidR="002956FF" w:rsidRPr="00AF3AB8" w:rsidRDefault="002956FF" w:rsidP="002956FF">
            <w:pPr>
              <w:jc w:val="both"/>
              <w:rPr>
                <w:rFonts w:ascii="Arial" w:hAnsi="Arial" w:cs="Arial"/>
                <w:b/>
                <w:bCs/>
                <w:sz w:val="18"/>
                <w:szCs w:val="18"/>
              </w:rPr>
            </w:pPr>
          </w:p>
        </w:tc>
        <w:tc>
          <w:tcPr>
            <w:tcW w:w="1417" w:type="dxa"/>
            <w:vAlign w:val="bottom"/>
          </w:tcPr>
          <w:p w14:paraId="51DB7A6F" w14:textId="1DC766DC"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p>
        </w:tc>
        <w:tc>
          <w:tcPr>
            <w:tcW w:w="1418" w:type="dxa"/>
            <w:vAlign w:val="bottom"/>
          </w:tcPr>
          <w:p w14:paraId="6BF4C35F" w14:textId="3FD5FF6B"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w:t>
            </w:r>
          </w:p>
        </w:tc>
      </w:tr>
      <w:tr w:rsidR="002956FF" w:rsidRPr="00AF3AB8" w14:paraId="2E0A6782" w14:textId="77777777" w:rsidTr="003C2633">
        <w:trPr>
          <w:trHeight w:val="170"/>
        </w:trPr>
        <w:tc>
          <w:tcPr>
            <w:tcW w:w="4957" w:type="dxa"/>
          </w:tcPr>
          <w:p w14:paraId="70F9DDBE" w14:textId="77777777" w:rsidR="002956FF" w:rsidRPr="00AF3AB8" w:rsidRDefault="002956FF" w:rsidP="002956FF">
            <w:pPr>
              <w:jc w:val="both"/>
              <w:rPr>
                <w:rFonts w:ascii="Arial" w:hAnsi="Arial" w:cs="Arial"/>
                <w:b/>
                <w:bCs/>
                <w:sz w:val="18"/>
                <w:szCs w:val="18"/>
                <w:lang w:eastAsia="es-AR"/>
              </w:rPr>
            </w:pPr>
            <w:r w:rsidRPr="00AF3AB8">
              <w:rPr>
                <w:rFonts w:ascii="Arial" w:hAnsi="Arial" w:cs="Arial"/>
                <w:b/>
                <w:bCs/>
                <w:sz w:val="18"/>
                <w:szCs w:val="18"/>
              </w:rPr>
              <w:t>Irrecuperable por disposición técnica</w:t>
            </w:r>
          </w:p>
        </w:tc>
        <w:tc>
          <w:tcPr>
            <w:tcW w:w="1417" w:type="dxa"/>
            <w:tcBorders>
              <w:bottom w:val="single" w:sz="4" w:space="0" w:color="auto"/>
            </w:tcBorders>
            <w:vAlign w:val="bottom"/>
          </w:tcPr>
          <w:p w14:paraId="3CBCB4F7" w14:textId="05C1B881" w:rsidR="002956FF" w:rsidRPr="002956FF" w:rsidRDefault="002956FF" w:rsidP="002956FF">
            <w:pPr>
              <w:widowControl w:val="0"/>
              <w:autoSpaceDE w:val="0"/>
              <w:autoSpaceDN w:val="0"/>
              <w:adjustRightInd w:val="0"/>
              <w:jc w:val="right"/>
              <w:rPr>
                <w:rFonts w:ascii="Arial" w:hAnsi="Arial" w:cs="Arial"/>
                <w:b/>
                <w:noProof/>
                <w:sz w:val="18"/>
                <w:szCs w:val="18"/>
                <w:highlight w:val="yellow"/>
              </w:rPr>
            </w:pPr>
            <w:r w:rsidRPr="002956FF">
              <w:rPr>
                <w:rFonts w:ascii="Arial" w:hAnsi="Arial" w:cs="Arial"/>
                <w:b/>
                <w:sz w:val="18"/>
                <w:szCs w:val="18"/>
              </w:rPr>
              <w:t>1.835</w:t>
            </w:r>
          </w:p>
        </w:tc>
        <w:tc>
          <w:tcPr>
            <w:tcW w:w="1418" w:type="dxa"/>
            <w:tcBorders>
              <w:bottom w:val="single" w:sz="4" w:space="0" w:color="auto"/>
            </w:tcBorders>
            <w:vAlign w:val="bottom"/>
          </w:tcPr>
          <w:p w14:paraId="2E7733C9" w14:textId="1B2FAC27" w:rsidR="002956FF" w:rsidRPr="006637B6" w:rsidRDefault="002956FF" w:rsidP="002956FF">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sz w:val="18"/>
                <w:szCs w:val="18"/>
              </w:rPr>
              <w:t xml:space="preserve">2.351 </w:t>
            </w:r>
          </w:p>
        </w:tc>
      </w:tr>
      <w:tr w:rsidR="002956FF" w:rsidRPr="00AF3AB8" w14:paraId="0FA6CA76" w14:textId="77777777" w:rsidTr="003C2633">
        <w:trPr>
          <w:trHeight w:val="170"/>
        </w:trPr>
        <w:tc>
          <w:tcPr>
            <w:tcW w:w="4957" w:type="dxa"/>
          </w:tcPr>
          <w:p w14:paraId="6031B69F"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Con garantías preferidas y contragarantías "A"</w:t>
            </w:r>
          </w:p>
        </w:tc>
        <w:tc>
          <w:tcPr>
            <w:tcW w:w="1417" w:type="dxa"/>
            <w:tcBorders>
              <w:top w:val="single" w:sz="4" w:space="0" w:color="auto"/>
            </w:tcBorders>
            <w:vAlign w:val="bottom"/>
          </w:tcPr>
          <w:p w14:paraId="6E37EE24" w14:textId="73CFD147"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w:t>
            </w:r>
          </w:p>
        </w:tc>
        <w:tc>
          <w:tcPr>
            <w:tcW w:w="1418" w:type="dxa"/>
            <w:tcBorders>
              <w:top w:val="single" w:sz="4" w:space="0" w:color="auto"/>
            </w:tcBorders>
            <w:vAlign w:val="bottom"/>
          </w:tcPr>
          <w:p w14:paraId="72B7C8FF" w14:textId="146BE2E3"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 </w:t>
            </w:r>
          </w:p>
        </w:tc>
      </w:tr>
      <w:tr w:rsidR="002956FF" w:rsidRPr="00AF3AB8" w14:paraId="7200390F" w14:textId="77777777" w:rsidTr="003C2633">
        <w:trPr>
          <w:trHeight w:val="170"/>
        </w:trPr>
        <w:tc>
          <w:tcPr>
            <w:tcW w:w="4957" w:type="dxa"/>
          </w:tcPr>
          <w:p w14:paraId="0CB1D308"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Con garantías y contragarantías preferidas "B"</w:t>
            </w:r>
          </w:p>
        </w:tc>
        <w:tc>
          <w:tcPr>
            <w:tcW w:w="1417" w:type="dxa"/>
            <w:vAlign w:val="bottom"/>
          </w:tcPr>
          <w:p w14:paraId="1CF99C4C" w14:textId="069C7547"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w:t>
            </w:r>
          </w:p>
        </w:tc>
        <w:tc>
          <w:tcPr>
            <w:tcW w:w="1418" w:type="dxa"/>
            <w:vAlign w:val="bottom"/>
          </w:tcPr>
          <w:p w14:paraId="2EEDC08A" w14:textId="36FE9AEE"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 </w:t>
            </w:r>
          </w:p>
        </w:tc>
      </w:tr>
      <w:tr w:rsidR="002956FF" w:rsidRPr="00AF3AB8" w14:paraId="6A633F71" w14:textId="77777777" w:rsidTr="003C2633">
        <w:trPr>
          <w:trHeight w:val="170"/>
        </w:trPr>
        <w:tc>
          <w:tcPr>
            <w:tcW w:w="4957" w:type="dxa"/>
          </w:tcPr>
          <w:p w14:paraId="0D99E6DE" w14:textId="77777777" w:rsidR="002956FF" w:rsidRPr="00AF3AB8" w:rsidRDefault="002956FF" w:rsidP="002956FF">
            <w:pPr>
              <w:ind w:firstLineChars="200" w:firstLine="360"/>
              <w:jc w:val="both"/>
              <w:rPr>
                <w:rFonts w:ascii="Arial" w:hAnsi="Arial" w:cs="Arial"/>
                <w:sz w:val="18"/>
                <w:szCs w:val="18"/>
                <w:lang w:eastAsia="es-AR"/>
              </w:rPr>
            </w:pPr>
            <w:r w:rsidRPr="00AF3AB8">
              <w:rPr>
                <w:rFonts w:ascii="Arial" w:hAnsi="Arial" w:cs="Arial"/>
                <w:sz w:val="18"/>
                <w:szCs w:val="18"/>
              </w:rPr>
              <w:t>Sin garantías ni contragarantías preferidas</w:t>
            </w:r>
          </w:p>
        </w:tc>
        <w:tc>
          <w:tcPr>
            <w:tcW w:w="1417" w:type="dxa"/>
            <w:vAlign w:val="bottom"/>
          </w:tcPr>
          <w:p w14:paraId="643A9435" w14:textId="3B4BC83C" w:rsidR="002956FF" w:rsidRPr="002956FF" w:rsidRDefault="002956FF" w:rsidP="002956FF">
            <w:pPr>
              <w:widowControl w:val="0"/>
              <w:autoSpaceDE w:val="0"/>
              <w:autoSpaceDN w:val="0"/>
              <w:adjustRightInd w:val="0"/>
              <w:jc w:val="right"/>
              <w:rPr>
                <w:rFonts w:ascii="Arial" w:hAnsi="Arial" w:cs="Arial"/>
                <w:noProof/>
                <w:sz w:val="18"/>
                <w:szCs w:val="18"/>
                <w:highlight w:val="yellow"/>
              </w:rPr>
            </w:pPr>
            <w:r w:rsidRPr="002956FF">
              <w:rPr>
                <w:rFonts w:ascii="Arial" w:hAnsi="Arial" w:cs="Arial"/>
                <w:sz w:val="18"/>
                <w:szCs w:val="18"/>
              </w:rPr>
              <w:t>1.835</w:t>
            </w:r>
          </w:p>
        </w:tc>
        <w:tc>
          <w:tcPr>
            <w:tcW w:w="1418" w:type="dxa"/>
            <w:vAlign w:val="bottom"/>
          </w:tcPr>
          <w:p w14:paraId="3654B2FC" w14:textId="3A6ABF56" w:rsidR="002956FF" w:rsidRPr="006637B6" w:rsidRDefault="002956FF" w:rsidP="002956FF">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xml:space="preserve">2.351 </w:t>
            </w:r>
          </w:p>
        </w:tc>
      </w:tr>
      <w:tr w:rsidR="006637B6" w:rsidRPr="00AF3AB8" w14:paraId="14641E48" w14:textId="77777777" w:rsidTr="003C2633">
        <w:trPr>
          <w:trHeight w:val="80"/>
        </w:trPr>
        <w:tc>
          <w:tcPr>
            <w:tcW w:w="4957" w:type="dxa"/>
            <w:tcBorders>
              <w:bottom w:val="single" w:sz="4" w:space="0" w:color="auto"/>
            </w:tcBorders>
          </w:tcPr>
          <w:p w14:paraId="7C85C058" w14:textId="77777777" w:rsidR="006637B6" w:rsidRPr="00AF3AB8" w:rsidRDefault="006637B6" w:rsidP="00AA40A5">
            <w:pPr>
              <w:ind w:firstLineChars="200" w:firstLine="360"/>
              <w:jc w:val="both"/>
              <w:rPr>
                <w:rFonts w:ascii="Arial" w:hAnsi="Arial" w:cs="Arial"/>
                <w:sz w:val="18"/>
                <w:szCs w:val="18"/>
              </w:rPr>
            </w:pPr>
          </w:p>
        </w:tc>
        <w:tc>
          <w:tcPr>
            <w:tcW w:w="1417" w:type="dxa"/>
            <w:tcBorders>
              <w:bottom w:val="single" w:sz="4" w:space="0" w:color="auto"/>
            </w:tcBorders>
            <w:vAlign w:val="bottom"/>
          </w:tcPr>
          <w:p w14:paraId="3230D832" w14:textId="6C209202" w:rsidR="006637B6" w:rsidRPr="006637B6" w:rsidRDefault="006637B6" w:rsidP="006637B6">
            <w:pPr>
              <w:widowControl w:val="0"/>
              <w:autoSpaceDE w:val="0"/>
              <w:autoSpaceDN w:val="0"/>
              <w:adjustRightInd w:val="0"/>
              <w:jc w:val="right"/>
              <w:rPr>
                <w:rFonts w:ascii="Arial" w:hAnsi="Arial" w:cs="Arial"/>
                <w:noProof/>
                <w:sz w:val="18"/>
                <w:szCs w:val="18"/>
                <w:highlight w:val="yellow"/>
              </w:rPr>
            </w:pPr>
          </w:p>
        </w:tc>
        <w:tc>
          <w:tcPr>
            <w:tcW w:w="1418" w:type="dxa"/>
            <w:tcBorders>
              <w:bottom w:val="single" w:sz="4" w:space="0" w:color="auto"/>
            </w:tcBorders>
            <w:vAlign w:val="bottom"/>
          </w:tcPr>
          <w:p w14:paraId="16E2C31E" w14:textId="71A6EA2E" w:rsidR="006637B6" w:rsidRPr="006637B6" w:rsidRDefault="006637B6" w:rsidP="006637B6">
            <w:pPr>
              <w:widowControl w:val="0"/>
              <w:autoSpaceDE w:val="0"/>
              <w:autoSpaceDN w:val="0"/>
              <w:adjustRightInd w:val="0"/>
              <w:jc w:val="right"/>
              <w:rPr>
                <w:rFonts w:ascii="Arial" w:hAnsi="Arial" w:cs="Arial"/>
                <w:noProof/>
                <w:sz w:val="18"/>
                <w:szCs w:val="18"/>
                <w:highlight w:val="yellow"/>
              </w:rPr>
            </w:pPr>
            <w:r w:rsidRPr="006637B6">
              <w:rPr>
                <w:rFonts w:ascii="Arial" w:hAnsi="Arial" w:cs="Arial"/>
                <w:sz w:val="18"/>
                <w:szCs w:val="18"/>
              </w:rPr>
              <w:t> </w:t>
            </w:r>
          </w:p>
        </w:tc>
      </w:tr>
      <w:tr w:rsidR="006637B6" w:rsidRPr="00AF3AB8" w14:paraId="1B104E06" w14:textId="77777777" w:rsidTr="003C2633">
        <w:tc>
          <w:tcPr>
            <w:tcW w:w="4957" w:type="dxa"/>
            <w:tcBorders>
              <w:top w:val="single" w:sz="4" w:space="0" w:color="auto"/>
              <w:bottom w:val="single" w:sz="4" w:space="0" w:color="auto"/>
            </w:tcBorders>
          </w:tcPr>
          <w:p w14:paraId="5FEA7577" w14:textId="77777777" w:rsidR="006637B6" w:rsidRPr="00AF3AB8" w:rsidRDefault="006637B6" w:rsidP="00AA40A5">
            <w:pPr>
              <w:jc w:val="both"/>
              <w:rPr>
                <w:rFonts w:ascii="Arial" w:hAnsi="Arial" w:cs="Arial"/>
                <w:b/>
                <w:bCs/>
                <w:sz w:val="18"/>
                <w:szCs w:val="18"/>
                <w:lang w:eastAsia="es-AR"/>
              </w:rPr>
            </w:pPr>
            <w:r w:rsidRPr="00AF3AB8">
              <w:rPr>
                <w:rFonts w:ascii="Arial" w:hAnsi="Arial" w:cs="Arial"/>
                <w:b/>
                <w:bCs/>
                <w:sz w:val="18"/>
                <w:szCs w:val="18"/>
              </w:rPr>
              <w:t>TOTAL</w:t>
            </w:r>
          </w:p>
        </w:tc>
        <w:tc>
          <w:tcPr>
            <w:tcW w:w="1417" w:type="dxa"/>
            <w:tcBorders>
              <w:top w:val="single" w:sz="4" w:space="0" w:color="auto"/>
              <w:bottom w:val="single" w:sz="4" w:space="0" w:color="auto"/>
            </w:tcBorders>
            <w:vAlign w:val="bottom"/>
          </w:tcPr>
          <w:p w14:paraId="40A930BE" w14:textId="59CC56A6" w:rsidR="006637B6" w:rsidRPr="004F33B3" w:rsidRDefault="008844D4" w:rsidP="008844D4">
            <w:pPr>
              <w:jc w:val="right"/>
              <w:rPr>
                <w:rFonts w:ascii="Arial" w:hAnsi="Arial" w:cs="Arial"/>
                <w:b/>
                <w:bCs/>
                <w:sz w:val="18"/>
                <w:szCs w:val="18"/>
                <w:lang w:eastAsia="es-AR"/>
              </w:rPr>
            </w:pPr>
            <w:r>
              <w:rPr>
                <w:rFonts w:ascii="Arial" w:hAnsi="Arial" w:cs="Arial"/>
                <w:b/>
                <w:bCs/>
                <w:sz w:val="18"/>
                <w:szCs w:val="18"/>
              </w:rPr>
              <w:t>50.415.422</w:t>
            </w:r>
          </w:p>
        </w:tc>
        <w:tc>
          <w:tcPr>
            <w:tcW w:w="1418" w:type="dxa"/>
            <w:tcBorders>
              <w:top w:val="single" w:sz="4" w:space="0" w:color="auto"/>
              <w:bottom w:val="single" w:sz="4" w:space="0" w:color="auto"/>
            </w:tcBorders>
            <w:vAlign w:val="bottom"/>
          </w:tcPr>
          <w:p w14:paraId="35BFD30C" w14:textId="702E867B" w:rsidR="006637B6" w:rsidRPr="006637B6" w:rsidRDefault="006637B6" w:rsidP="006637B6">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sz w:val="18"/>
                <w:szCs w:val="18"/>
              </w:rPr>
              <w:t xml:space="preserve">40.959.717 </w:t>
            </w:r>
          </w:p>
        </w:tc>
      </w:tr>
      <w:tr w:rsidR="006637B6" w:rsidRPr="00AF3AB8" w14:paraId="187C1B79" w14:textId="77777777" w:rsidTr="003C2633">
        <w:trPr>
          <w:trHeight w:val="20"/>
        </w:trPr>
        <w:tc>
          <w:tcPr>
            <w:tcW w:w="4957" w:type="dxa"/>
            <w:tcBorders>
              <w:top w:val="single" w:sz="4" w:space="0" w:color="auto"/>
              <w:bottom w:val="single" w:sz="4" w:space="0" w:color="auto"/>
            </w:tcBorders>
          </w:tcPr>
          <w:p w14:paraId="5B8E0DC6" w14:textId="77777777" w:rsidR="006637B6" w:rsidRPr="00AF3AB8" w:rsidRDefault="006637B6" w:rsidP="00AA40A5">
            <w:pPr>
              <w:widowControl w:val="0"/>
              <w:autoSpaceDE w:val="0"/>
              <w:autoSpaceDN w:val="0"/>
              <w:adjustRightInd w:val="0"/>
              <w:jc w:val="both"/>
              <w:rPr>
                <w:rFonts w:ascii="Arial" w:hAnsi="Arial" w:cs="Arial"/>
                <w:noProof/>
                <w:sz w:val="10"/>
                <w:szCs w:val="10"/>
                <w:highlight w:val="yellow"/>
              </w:rPr>
            </w:pPr>
          </w:p>
        </w:tc>
        <w:tc>
          <w:tcPr>
            <w:tcW w:w="1417" w:type="dxa"/>
            <w:tcBorders>
              <w:top w:val="single" w:sz="4" w:space="0" w:color="auto"/>
              <w:bottom w:val="single" w:sz="4" w:space="0" w:color="auto"/>
            </w:tcBorders>
          </w:tcPr>
          <w:p w14:paraId="73B35DB6" w14:textId="448D7E1B" w:rsidR="006637B6" w:rsidRPr="006637B6" w:rsidRDefault="006637B6" w:rsidP="006637B6">
            <w:pPr>
              <w:widowControl w:val="0"/>
              <w:autoSpaceDE w:val="0"/>
              <w:autoSpaceDN w:val="0"/>
              <w:adjustRightInd w:val="0"/>
              <w:jc w:val="right"/>
              <w:rPr>
                <w:rFonts w:ascii="Arial" w:hAnsi="Arial" w:cs="Arial"/>
                <w:noProof/>
                <w:sz w:val="18"/>
                <w:szCs w:val="18"/>
                <w:highlight w:val="yellow"/>
              </w:rPr>
            </w:pPr>
          </w:p>
        </w:tc>
        <w:tc>
          <w:tcPr>
            <w:tcW w:w="1418" w:type="dxa"/>
            <w:tcBorders>
              <w:top w:val="single" w:sz="4" w:space="0" w:color="auto"/>
              <w:bottom w:val="single" w:sz="4" w:space="0" w:color="auto"/>
            </w:tcBorders>
          </w:tcPr>
          <w:p w14:paraId="431F07D4" w14:textId="02E25626" w:rsidR="006637B6" w:rsidRPr="006637B6" w:rsidRDefault="006637B6" w:rsidP="006637B6">
            <w:pPr>
              <w:widowControl w:val="0"/>
              <w:autoSpaceDE w:val="0"/>
              <w:autoSpaceDN w:val="0"/>
              <w:adjustRightInd w:val="0"/>
              <w:jc w:val="right"/>
              <w:rPr>
                <w:rFonts w:ascii="Arial" w:hAnsi="Arial" w:cs="Arial"/>
                <w:noProof/>
                <w:sz w:val="18"/>
                <w:szCs w:val="18"/>
                <w:highlight w:val="yellow"/>
              </w:rPr>
            </w:pPr>
            <w:r w:rsidRPr="006637B6">
              <w:rPr>
                <w:rFonts w:ascii="Arial" w:hAnsi="Arial" w:cs="Arial"/>
                <w:color w:val="000000"/>
                <w:sz w:val="18"/>
                <w:szCs w:val="18"/>
              </w:rPr>
              <w:t> </w:t>
            </w:r>
          </w:p>
        </w:tc>
      </w:tr>
      <w:tr w:rsidR="006637B6" w:rsidRPr="00AF3AB8" w14:paraId="164D4C1E" w14:textId="77777777" w:rsidTr="003C2633">
        <w:tc>
          <w:tcPr>
            <w:tcW w:w="4957" w:type="dxa"/>
            <w:tcBorders>
              <w:top w:val="single" w:sz="4" w:space="0" w:color="auto"/>
              <w:bottom w:val="single" w:sz="4" w:space="0" w:color="auto"/>
            </w:tcBorders>
          </w:tcPr>
          <w:p w14:paraId="40B4ED55" w14:textId="73D6CA00" w:rsidR="006637B6" w:rsidRPr="00AF3AB8" w:rsidRDefault="006637B6" w:rsidP="00AA40A5">
            <w:pPr>
              <w:jc w:val="both"/>
              <w:rPr>
                <w:rFonts w:ascii="Arial" w:hAnsi="Arial" w:cs="Arial"/>
                <w:b/>
                <w:bCs/>
                <w:sz w:val="18"/>
                <w:szCs w:val="18"/>
                <w:lang w:eastAsia="es-AR"/>
              </w:rPr>
            </w:pPr>
            <w:r w:rsidRPr="00AF3AB8">
              <w:rPr>
                <w:rFonts w:ascii="Arial" w:hAnsi="Arial" w:cs="Arial"/>
                <w:b/>
                <w:bCs/>
                <w:sz w:val="18"/>
                <w:szCs w:val="18"/>
              </w:rPr>
              <w:t>TOTAL GENERAL (1)</w:t>
            </w:r>
          </w:p>
        </w:tc>
        <w:tc>
          <w:tcPr>
            <w:tcW w:w="1417" w:type="dxa"/>
            <w:tcBorders>
              <w:top w:val="single" w:sz="4" w:space="0" w:color="auto"/>
              <w:bottom w:val="single" w:sz="4" w:space="0" w:color="auto"/>
            </w:tcBorders>
          </w:tcPr>
          <w:p w14:paraId="78019CAF" w14:textId="6698490B" w:rsidR="006637B6" w:rsidRPr="004F33B3" w:rsidRDefault="008844D4" w:rsidP="008844D4">
            <w:pPr>
              <w:jc w:val="right"/>
              <w:rPr>
                <w:rFonts w:ascii="Arial" w:hAnsi="Arial" w:cs="Arial"/>
                <w:b/>
                <w:bCs/>
                <w:color w:val="000000"/>
                <w:sz w:val="18"/>
                <w:szCs w:val="18"/>
                <w:lang w:eastAsia="es-AR"/>
              </w:rPr>
            </w:pPr>
            <w:r>
              <w:rPr>
                <w:rFonts w:ascii="Arial" w:hAnsi="Arial" w:cs="Arial"/>
                <w:b/>
                <w:bCs/>
                <w:color w:val="000000"/>
                <w:sz w:val="18"/>
                <w:szCs w:val="18"/>
              </w:rPr>
              <w:t>95.51</w:t>
            </w:r>
            <w:r w:rsidR="00831903">
              <w:rPr>
                <w:rFonts w:ascii="Arial" w:hAnsi="Arial" w:cs="Arial"/>
                <w:b/>
                <w:bCs/>
                <w:color w:val="000000"/>
                <w:sz w:val="18"/>
                <w:szCs w:val="18"/>
              </w:rPr>
              <w:t>1</w:t>
            </w:r>
            <w:r>
              <w:rPr>
                <w:rFonts w:ascii="Arial" w:hAnsi="Arial" w:cs="Arial"/>
                <w:b/>
                <w:bCs/>
                <w:color w:val="000000"/>
                <w:sz w:val="18"/>
                <w:szCs w:val="18"/>
              </w:rPr>
              <w:t>.</w:t>
            </w:r>
            <w:r w:rsidR="00831903">
              <w:rPr>
                <w:rFonts w:ascii="Arial" w:hAnsi="Arial" w:cs="Arial"/>
                <w:b/>
                <w:bCs/>
                <w:color w:val="000000"/>
                <w:sz w:val="18"/>
                <w:szCs w:val="18"/>
              </w:rPr>
              <w:t>929</w:t>
            </w:r>
          </w:p>
        </w:tc>
        <w:tc>
          <w:tcPr>
            <w:tcW w:w="1418" w:type="dxa"/>
            <w:tcBorders>
              <w:top w:val="single" w:sz="4" w:space="0" w:color="auto"/>
              <w:bottom w:val="single" w:sz="4" w:space="0" w:color="auto"/>
            </w:tcBorders>
          </w:tcPr>
          <w:p w14:paraId="70E4D85D" w14:textId="356D5682" w:rsidR="006637B6" w:rsidRPr="006637B6" w:rsidRDefault="006637B6" w:rsidP="006637B6">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color w:val="000000"/>
                <w:sz w:val="18"/>
                <w:szCs w:val="18"/>
              </w:rPr>
              <w:t xml:space="preserve">81.931.717 </w:t>
            </w:r>
          </w:p>
        </w:tc>
      </w:tr>
      <w:tr w:rsidR="00F246A3" w:rsidRPr="00AF3AB8" w14:paraId="06A85C89" w14:textId="77777777" w:rsidTr="003C2633">
        <w:tc>
          <w:tcPr>
            <w:tcW w:w="4957" w:type="dxa"/>
            <w:tcBorders>
              <w:top w:val="single" w:sz="4" w:space="0" w:color="auto"/>
            </w:tcBorders>
          </w:tcPr>
          <w:p w14:paraId="4BC54E2D" w14:textId="77777777" w:rsidR="00F246A3" w:rsidRPr="00AF3AB8" w:rsidRDefault="00F246A3" w:rsidP="00AA40A5">
            <w:pPr>
              <w:widowControl w:val="0"/>
              <w:autoSpaceDE w:val="0"/>
              <w:autoSpaceDN w:val="0"/>
              <w:adjustRightInd w:val="0"/>
              <w:jc w:val="both"/>
              <w:rPr>
                <w:rFonts w:ascii="Arial" w:hAnsi="Arial" w:cs="Arial"/>
                <w:noProof/>
                <w:sz w:val="18"/>
                <w:szCs w:val="18"/>
                <w:highlight w:val="yellow"/>
              </w:rPr>
            </w:pPr>
          </w:p>
        </w:tc>
        <w:tc>
          <w:tcPr>
            <w:tcW w:w="1417" w:type="dxa"/>
            <w:tcBorders>
              <w:top w:val="single" w:sz="4" w:space="0" w:color="auto"/>
            </w:tcBorders>
          </w:tcPr>
          <w:p w14:paraId="6B54F7DA" w14:textId="77777777" w:rsidR="00F246A3" w:rsidRPr="00AF3AB8" w:rsidRDefault="00F246A3" w:rsidP="00AA40A5">
            <w:pPr>
              <w:widowControl w:val="0"/>
              <w:autoSpaceDE w:val="0"/>
              <w:autoSpaceDN w:val="0"/>
              <w:adjustRightInd w:val="0"/>
              <w:jc w:val="both"/>
              <w:rPr>
                <w:rFonts w:ascii="Arial" w:hAnsi="Arial" w:cs="Arial"/>
                <w:noProof/>
                <w:sz w:val="18"/>
                <w:szCs w:val="18"/>
                <w:highlight w:val="yellow"/>
              </w:rPr>
            </w:pPr>
          </w:p>
        </w:tc>
        <w:tc>
          <w:tcPr>
            <w:tcW w:w="1418" w:type="dxa"/>
            <w:tcBorders>
              <w:top w:val="single" w:sz="4" w:space="0" w:color="auto"/>
            </w:tcBorders>
          </w:tcPr>
          <w:p w14:paraId="35B5486D" w14:textId="77777777" w:rsidR="00F246A3" w:rsidRPr="00AF3AB8" w:rsidRDefault="00F246A3" w:rsidP="00AA40A5">
            <w:pPr>
              <w:widowControl w:val="0"/>
              <w:autoSpaceDE w:val="0"/>
              <w:autoSpaceDN w:val="0"/>
              <w:adjustRightInd w:val="0"/>
              <w:jc w:val="both"/>
              <w:rPr>
                <w:rFonts w:ascii="Arial" w:hAnsi="Arial" w:cs="Arial"/>
                <w:noProof/>
                <w:sz w:val="18"/>
                <w:szCs w:val="18"/>
                <w:highlight w:val="yellow"/>
              </w:rPr>
            </w:pPr>
          </w:p>
        </w:tc>
      </w:tr>
      <w:tr w:rsidR="00F246A3" w14:paraId="7CD84CAA" w14:textId="77777777" w:rsidTr="003C2633">
        <w:tc>
          <w:tcPr>
            <w:tcW w:w="7792" w:type="dxa"/>
            <w:gridSpan w:val="3"/>
          </w:tcPr>
          <w:p w14:paraId="72FA0680" w14:textId="4E00CA9C" w:rsidR="00F246A3" w:rsidRPr="00F246A3" w:rsidRDefault="00F246A3" w:rsidP="00AA40A5">
            <w:pPr>
              <w:widowControl w:val="0"/>
              <w:autoSpaceDE w:val="0"/>
              <w:autoSpaceDN w:val="0"/>
              <w:adjustRightInd w:val="0"/>
              <w:jc w:val="both"/>
              <w:rPr>
                <w:rFonts w:ascii="Arial" w:hAnsi="Arial" w:cs="Arial"/>
                <w:b/>
                <w:noProof/>
                <w:sz w:val="18"/>
                <w:szCs w:val="18"/>
                <w:highlight w:val="yellow"/>
              </w:rPr>
            </w:pPr>
            <w:r w:rsidRPr="00F246A3">
              <w:rPr>
                <w:rFonts w:ascii="Arial" w:hAnsi="Arial" w:cs="Arial"/>
                <w:b/>
                <w:noProof/>
                <w:sz w:val="18"/>
                <w:szCs w:val="18"/>
              </w:rPr>
              <w:t>(1) Conciliación entre el Anexo B  y el Estado de Situacion Financiera:</w:t>
            </w:r>
          </w:p>
        </w:tc>
      </w:tr>
      <w:tr w:rsidR="008844D4" w14:paraId="51E31AC7" w14:textId="77777777" w:rsidTr="003C2633">
        <w:tc>
          <w:tcPr>
            <w:tcW w:w="4957" w:type="dxa"/>
          </w:tcPr>
          <w:p w14:paraId="110212D1" w14:textId="5B1BBAE5" w:rsidR="008844D4" w:rsidRPr="00F246A3" w:rsidRDefault="008844D4" w:rsidP="008844D4">
            <w:pPr>
              <w:jc w:val="both"/>
              <w:rPr>
                <w:rFonts w:ascii="Arial" w:hAnsi="Arial" w:cs="Arial"/>
                <w:b/>
                <w:bCs/>
                <w:color w:val="000000"/>
                <w:sz w:val="18"/>
                <w:szCs w:val="18"/>
                <w:lang w:eastAsia="es-AR"/>
              </w:rPr>
            </w:pPr>
            <w:r w:rsidRPr="00F246A3">
              <w:rPr>
                <w:rFonts w:ascii="Arial" w:hAnsi="Arial" w:cs="Arial"/>
                <w:b/>
                <w:bCs/>
                <w:color w:val="000000"/>
                <w:sz w:val="18"/>
                <w:szCs w:val="18"/>
              </w:rPr>
              <w:t>Préstamos y otras financiaciones</w:t>
            </w:r>
          </w:p>
        </w:tc>
        <w:tc>
          <w:tcPr>
            <w:tcW w:w="1417" w:type="dxa"/>
            <w:vAlign w:val="bottom"/>
          </w:tcPr>
          <w:p w14:paraId="1798958C" w14:textId="33754FC8" w:rsidR="008844D4" w:rsidRPr="004F33B3" w:rsidRDefault="008844D4" w:rsidP="008844D4">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88.38</w:t>
            </w:r>
            <w:r w:rsidR="00831903">
              <w:rPr>
                <w:rFonts w:ascii="Arial" w:hAnsi="Arial" w:cs="Arial"/>
                <w:b/>
                <w:bCs/>
                <w:sz w:val="18"/>
                <w:szCs w:val="18"/>
              </w:rPr>
              <w:t>1</w:t>
            </w:r>
            <w:r>
              <w:rPr>
                <w:rFonts w:ascii="Arial" w:hAnsi="Arial" w:cs="Arial"/>
                <w:b/>
                <w:bCs/>
                <w:sz w:val="18"/>
                <w:szCs w:val="18"/>
              </w:rPr>
              <w:t>.</w:t>
            </w:r>
            <w:r w:rsidR="00831903">
              <w:rPr>
                <w:rFonts w:ascii="Arial" w:hAnsi="Arial" w:cs="Arial"/>
                <w:b/>
                <w:bCs/>
                <w:sz w:val="18"/>
                <w:szCs w:val="18"/>
              </w:rPr>
              <w:t>94</w:t>
            </w:r>
            <w:r>
              <w:rPr>
                <w:rFonts w:ascii="Arial" w:hAnsi="Arial" w:cs="Arial"/>
                <w:b/>
                <w:bCs/>
                <w:sz w:val="18"/>
                <w:szCs w:val="18"/>
              </w:rPr>
              <w:t>9</w:t>
            </w:r>
          </w:p>
        </w:tc>
        <w:tc>
          <w:tcPr>
            <w:tcW w:w="1418" w:type="dxa"/>
            <w:vAlign w:val="bottom"/>
          </w:tcPr>
          <w:p w14:paraId="53ADE97C" w14:textId="07143A6D" w:rsidR="008844D4" w:rsidRPr="006637B6" w:rsidRDefault="008844D4" w:rsidP="008844D4">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sz w:val="18"/>
                <w:szCs w:val="18"/>
              </w:rPr>
              <w:t>77.531.869</w:t>
            </w:r>
          </w:p>
        </w:tc>
      </w:tr>
      <w:tr w:rsidR="008844D4" w14:paraId="6F6545F8" w14:textId="77777777" w:rsidTr="003C2633">
        <w:tc>
          <w:tcPr>
            <w:tcW w:w="4957" w:type="dxa"/>
          </w:tcPr>
          <w:p w14:paraId="1087313E" w14:textId="56A017EB" w:rsidR="008844D4" w:rsidRPr="00F246A3" w:rsidRDefault="008844D4" w:rsidP="008844D4">
            <w:pPr>
              <w:jc w:val="both"/>
              <w:rPr>
                <w:rFonts w:ascii="Arial" w:hAnsi="Arial" w:cs="Arial"/>
                <w:b/>
                <w:bCs/>
                <w:color w:val="000000"/>
                <w:sz w:val="18"/>
                <w:szCs w:val="18"/>
                <w:lang w:eastAsia="es-AR"/>
              </w:rPr>
            </w:pPr>
            <w:r w:rsidRPr="00F246A3">
              <w:rPr>
                <w:rFonts w:ascii="Arial" w:hAnsi="Arial" w:cs="Arial"/>
                <w:b/>
                <w:bCs/>
                <w:color w:val="000000"/>
                <w:sz w:val="18"/>
                <w:szCs w:val="18"/>
              </w:rPr>
              <w:t>Otros títulos de deuda</w:t>
            </w:r>
          </w:p>
        </w:tc>
        <w:tc>
          <w:tcPr>
            <w:tcW w:w="1417" w:type="dxa"/>
            <w:vAlign w:val="bottom"/>
          </w:tcPr>
          <w:p w14:paraId="2D78CF0C" w14:textId="42220AEF" w:rsidR="008844D4" w:rsidRPr="004F33B3" w:rsidRDefault="008844D4" w:rsidP="008844D4">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10.257.784</w:t>
            </w:r>
          </w:p>
        </w:tc>
        <w:tc>
          <w:tcPr>
            <w:tcW w:w="1418" w:type="dxa"/>
            <w:vAlign w:val="bottom"/>
          </w:tcPr>
          <w:p w14:paraId="0EABC9B1" w14:textId="2E1219CD" w:rsidR="008844D4" w:rsidRPr="006637B6" w:rsidRDefault="008844D4" w:rsidP="008844D4">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sz w:val="18"/>
                <w:szCs w:val="18"/>
              </w:rPr>
              <w:t>4.134.493</w:t>
            </w:r>
          </w:p>
        </w:tc>
      </w:tr>
      <w:tr w:rsidR="008844D4" w14:paraId="767EC60A" w14:textId="77777777" w:rsidTr="003C2633">
        <w:tc>
          <w:tcPr>
            <w:tcW w:w="4957" w:type="dxa"/>
          </w:tcPr>
          <w:p w14:paraId="0CC1DEA6" w14:textId="17F7CE55" w:rsidR="008844D4" w:rsidRPr="00F246A3" w:rsidRDefault="008844D4" w:rsidP="008844D4">
            <w:pPr>
              <w:jc w:val="both"/>
              <w:rPr>
                <w:rFonts w:ascii="Arial" w:hAnsi="Arial" w:cs="Arial"/>
                <w:b/>
                <w:bCs/>
                <w:color w:val="000000"/>
                <w:sz w:val="18"/>
                <w:szCs w:val="18"/>
                <w:lang w:eastAsia="es-AR"/>
              </w:rPr>
            </w:pPr>
            <w:r w:rsidRPr="00F246A3">
              <w:rPr>
                <w:rFonts w:ascii="Arial" w:hAnsi="Arial" w:cs="Arial"/>
                <w:b/>
                <w:bCs/>
                <w:color w:val="000000"/>
                <w:sz w:val="18"/>
                <w:szCs w:val="18"/>
              </w:rPr>
              <w:t>Partidas computables fuera de balance</w:t>
            </w:r>
          </w:p>
        </w:tc>
        <w:tc>
          <w:tcPr>
            <w:tcW w:w="1417" w:type="dxa"/>
            <w:vAlign w:val="bottom"/>
          </w:tcPr>
          <w:p w14:paraId="04874D91" w14:textId="2F0A3B48" w:rsidR="008844D4" w:rsidRPr="004F33B3" w:rsidRDefault="008844D4" w:rsidP="008844D4">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892.962</w:t>
            </w:r>
          </w:p>
        </w:tc>
        <w:tc>
          <w:tcPr>
            <w:tcW w:w="1418" w:type="dxa"/>
            <w:vAlign w:val="bottom"/>
          </w:tcPr>
          <w:p w14:paraId="55B75D2F" w14:textId="07749BC7" w:rsidR="008844D4" w:rsidRPr="006637B6" w:rsidRDefault="008844D4" w:rsidP="008844D4">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sz w:val="18"/>
                <w:szCs w:val="18"/>
              </w:rPr>
              <w:t>814.021</w:t>
            </w:r>
          </w:p>
        </w:tc>
      </w:tr>
      <w:tr w:rsidR="008844D4" w14:paraId="4E4B3580" w14:textId="77777777" w:rsidTr="003C2633">
        <w:tc>
          <w:tcPr>
            <w:tcW w:w="4957" w:type="dxa"/>
          </w:tcPr>
          <w:p w14:paraId="78805209" w14:textId="0F68B294" w:rsidR="008844D4" w:rsidRPr="00F246A3" w:rsidRDefault="008844D4" w:rsidP="008844D4">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más previsiones</w:t>
            </w:r>
          </w:p>
        </w:tc>
        <w:tc>
          <w:tcPr>
            <w:tcW w:w="1417" w:type="dxa"/>
            <w:vAlign w:val="bottom"/>
          </w:tcPr>
          <w:p w14:paraId="6DD80C64" w14:textId="1106E9C0" w:rsidR="008844D4" w:rsidRPr="004F33B3"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5.80</w:t>
            </w:r>
            <w:r w:rsidR="00E30B4A">
              <w:rPr>
                <w:rFonts w:ascii="Arial" w:hAnsi="Arial" w:cs="Arial"/>
                <w:color w:val="000000"/>
                <w:sz w:val="18"/>
                <w:szCs w:val="18"/>
              </w:rPr>
              <w:t>6.940</w:t>
            </w:r>
          </w:p>
        </w:tc>
        <w:tc>
          <w:tcPr>
            <w:tcW w:w="1418" w:type="dxa"/>
            <w:vAlign w:val="bottom"/>
          </w:tcPr>
          <w:p w14:paraId="1460528A" w14:textId="6AD823B6" w:rsidR="008844D4" w:rsidRPr="006637B6" w:rsidRDefault="008844D4" w:rsidP="008844D4">
            <w:pPr>
              <w:widowControl w:val="0"/>
              <w:autoSpaceDE w:val="0"/>
              <w:autoSpaceDN w:val="0"/>
              <w:adjustRightInd w:val="0"/>
              <w:jc w:val="right"/>
              <w:rPr>
                <w:rFonts w:ascii="Arial" w:hAnsi="Arial" w:cs="Arial"/>
                <w:noProof/>
                <w:sz w:val="18"/>
                <w:szCs w:val="18"/>
                <w:highlight w:val="yellow"/>
              </w:rPr>
            </w:pPr>
            <w:r w:rsidRPr="006637B6">
              <w:rPr>
                <w:rFonts w:ascii="Arial" w:hAnsi="Arial" w:cs="Arial"/>
                <w:color w:val="000000"/>
                <w:sz w:val="18"/>
                <w:szCs w:val="18"/>
              </w:rPr>
              <w:t>3.287.93</w:t>
            </w:r>
            <w:r>
              <w:rPr>
                <w:rFonts w:ascii="Arial" w:hAnsi="Arial" w:cs="Arial"/>
                <w:color w:val="000000"/>
                <w:sz w:val="18"/>
                <w:szCs w:val="18"/>
              </w:rPr>
              <w:t>6</w:t>
            </w:r>
          </w:p>
        </w:tc>
      </w:tr>
      <w:tr w:rsidR="008844D4" w14:paraId="16ADB9C4" w14:textId="77777777" w:rsidTr="003C2633">
        <w:tc>
          <w:tcPr>
            <w:tcW w:w="4957" w:type="dxa"/>
          </w:tcPr>
          <w:p w14:paraId="36504046" w14:textId="6062F558" w:rsidR="008844D4" w:rsidRPr="00F246A3" w:rsidRDefault="008844D4" w:rsidP="008844D4">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más ajustes NIIF no computables para el ESD</w:t>
            </w:r>
          </w:p>
        </w:tc>
        <w:tc>
          <w:tcPr>
            <w:tcW w:w="1417" w:type="dxa"/>
            <w:vAlign w:val="bottom"/>
          </w:tcPr>
          <w:p w14:paraId="3FBE8FED" w14:textId="748A49B7" w:rsidR="008844D4" w:rsidRPr="004F33B3" w:rsidRDefault="008844D4" w:rsidP="008844D4">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434.083</w:t>
            </w:r>
          </w:p>
        </w:tc>
        <w:tc>
          <w:tcPr>
            <w:tcW w:w="1418" w:type="dxa"/>
            <w:vAlign w:val="bottom"/>
          </w:tcPr>
          <w:p w14:paraId="0CA4506A" w14:textId="5E464786" w:rsidR="008844D4" w:rsidRPr="006637B6" w:rsidRDefault="008844D4" w:rsidP="008844D4">
            <w:pPr>
              <w:widowControl w:val="0"/>
              <w:autoSpaceDE w:val="0"/>
              <w:autoSpaceDN w:val="0"/>
              <w:adjustRightInd w:val="0"/>
              <w:jc w:val="right"/>
              <w:rPr>
                <w:rFonts w:ascii="Arial" w:hAnsi="Arial" w:cs="Arial"/>
                <w:noProof/>
                <w:sz w:val="18"/>
                <w:szCs w:val="18"/>
                <w:highlight w:val="yellow"/>
              </w:rPr>
            </w:pPr>
            <w:r w:rsidRPr="006637B6">
              <w:rPr>
                <w:rFonts w:ascii="Arial" w:hAnsi="Arial" w:cs="Arial"/>
                <w:color w:val="000000"/>
                <w:sz w:val="18"/>
                <w:szCs w:val="18"/>
              </w:rPr>
              <w:t>302.445</w:t>
            </w:r>
          </w:p>
        </w:tc>
      </w:tr>
      <w:tr w:rsidR="004F33B3" w14:paraId="43C076E8" w14:textId="77777777" w:rsidTr="003C2633">
        <w:tc>
          <w:tcPr>
            <w:tcW w:w="4957" w:type="dxa"/>
          </w:tcPr>
          <w:p w14:paraId="1FAB2E63" w14:textId="466DB0EB" w:rsidR="004F33B3" w:rsidRPr="00F246A3" w:rsidRDefault="004F33B3" w:rsidP="00AA40A5">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menos conceptos no computables para el ESD</w:t>
            </w:r>
          </w:p>
        </w:tc>
        <w:tc>
          <w:tcPr>
            <w:tcW w:w="1417" w:type="dxa"/>
            <w:vAlign w:val="bottom"/>
          </w:tcPr>
          <w:p w14:paraId="051F55D9" w14:textId="526ED8F2" w:rsidR="004F33B3" w:rsidRPr="00066653" w:rsidRDefault="008844D4" w:rsidP="004F33B3">
            <w:pPr>
              <w:widowControl w:val="0"/>
              <w:autoSpaceDE w:val="0"/>
              <w:autoSpaceDN w:val="0"/>
              <w:adjustRightInd w:val="0"/>
              <w:jc w:val="right"/>
              <w:rPr>
                <w:rFonts w:ascii="Arial" w:hAnsi="Arial" w:cs="Arial"/>
                <w:noProof/>
                <w:sz w:val="18"/>
                <w:szCs w:val="16"/>
              </w:rPr>
            </w:pPr>
            <w:r>
              <w:rPr>
                <w:rFonts w:ascii="Arial" w:hAnsi="Arial" w:cs="Arial"/>
                <w:noProof/>
                <w:sz w:val="18"/>
                <w:szCs w:val="16"/>
              </w:rPr>
              <w:t>(</w:t>
            </w:r>
            <w:r w:rsidR="00E30B4A">
              <w:rPr>
                <w:rFonts w:ascii="Arial" w:hAnsi="Arial" w:cs="Arial"/>
                <w:noProof/>
                <w:sz w:val="18"/>
                <w:szCs w:val="16"/>
              </w:rPr>
              <w:t>4.038</w:t>
            </w:r>
            <w:r>
              <w:rPr>
                <w:rFonts w:ascii="Arial" w:hAnsi="Arial" w:cs="Arial"/>
                <w:noProof/>
                <w:sz w:val="18"/>
                <w:szCs w:val="16"/>
              </w:rPr>
              <w:t>)</w:t>
            </w:r>
          </w:p>
        </w:tc>
        <w:tc>
          <w:tcPr>
            <w:tcW w:w="1418" w:type="dxa"/>
            <w:vAlign w:val="bottom"/>
          </w:tcPr>
          <w:p w14:paraId="1E2D1D0E" w14:textId="02B5067A" w:rsidR="004F33B3" w:rsidRPr="00066653" w:rsidRDefault="004F33B3" w:rsidP="00066653">
            <w:pPr>
              <w:widowControl w:val="0"/>
              <w:autoSpaceDE w:val="0"/>
              <w:autoSpaceDN w:val="0"/>
              <w:adjustRightInd w:val="0"/>
              <w:jc w:val="right"/>
              <w:rPr>
                <w:rFonts w:ascii="Arial" w:hAnsi="Arial" w:cs="Arial"/>
                <w:noProof/>
                <w:sz w:val="18"/>
                <w:szCs w:val="16"/>
              </w:rPr>
            </w:pPr>
            <w:r w:rsidRPr="00066653">
              <w:rPr>
                <w:rFonts w:ascii="Arial" w:hAnsi="Arial" w:cs="Arial"/>
                <w:noProof/>
                <w:sz w:val="18"/>
                <w:szCs w:val="16"/>
              </w:rPr>
              <w:t>(8.3</w:t>
            </w:r>
            <w:r>
              <w:rPr>
                <w:rFonts w:ascii="Arial" w:hAnsi="Arial" w:cs="Arial"/>
                <w:noProof/>
                <w:sz w:val="18"/>
                <w:szCs w:val="16"/>
              </w:rPr>
              <w:t>58</w:t>
            </w:r>
            <w:r w:rsidRPr="00066653">
              <w:rPr>
                <w:rFonts w:ascii="Arial" w:hAnsi="Arial" w:cs="Arial"/>
                <w:noProof/>
                <w:sz w:val="18"/>
                <w:szCs w:val="16"/>
              </w:rPr>
              <w:t>)</w:t>
            </w:r>
          </w:p>
        </w:tc>
      </w:tr>
      <w:tr w:rsidR="004F33B3" w14:paraId="525D7876" w14:textId="77777777" w:rsidTr="003C2633">
        <w:tc>
          <w:tcPr>
            <w:tcW w:w="4957" w:type="dxa"/>
          </w:tcPr>
          <w:p w14:paraId="499E6D6F" w14:textId="2FA364AC" w:rsidR="004F33B3" w:rsidRPr="00F246A3" w:rsidRDefault="004F33B3" w:rsidP="00AA40A5">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Menos Títulos Públicos valuados a Costo Amortizado</w:t>
            </w:r>
          </w:p>
        </w:tc>
        <w:tc>
          <w:tcPr>
            <w:tcW w:w="1417" w:type="dxa"/>
            <w:tcBorders>
              <w:bottom w:val="single" w:sz="4" w:space="0" w:color="auto"/>
            </w:tcBorders>
            <w:vAlign w:val="bottom"/>
          </w:tcPr>
          <w:p w14:paraId="5DD91C48" w14:textId="471C585A" w:rsidR="004F33B3" w:rsidRPr="008844D4" w:rsidRDefault="008844D4" w:rsidP="004F33B3">
            <w:pPr>
              <w:widowControl w:val="0"/>
              <w:autoSpaceDE w:val="0"/>
              <w:autoSpaceDN w:val="0"/>
              <w:adjustRightInd w:val="0"/>
              <w:jc w:val="right"/>
              <w:rPr>
                <w:rFonts w:ascii="Arial" w:hAnsi="Arial" w:cs="Arial"/>
                <w:sz w:val="18"/>
                <w:szCs w:val="16"/>
              </w:rPr>
            </w:pPr>
            <w:r w:rsidRPr="008844D4">
              <w:rPr>
                <w:rFonts w:ascii="Arial" w:hAnsi="Arial" w:cs="Arial"/>
                <w:sz w:val="18"/>
                <w:szCs w:val="16"/>
              </w:rPr>
              <w:t>(10.257.751)</w:t>
            </w:r>
          </w:p>
        </w:tc>
        <w:tc>
          <w:tcPr>
            <w:tcW w:w="1418" w:type="dxa"/>
            <w:tcBorders>
              <w:bottom w:val="single" w:sz="4" w:space="0" w:color="auto"/>
            </w:tcBorders>
            <w:vAlign w:val="bottom"/>
          </w:tcPr>
          <w:p w14:paraId="6D1ED1A4" w14:textId="503CC745" w:rsidR="004F33B3" w:rsidRPr="00066653" w:rsidRDefault="004F33B3" w:rsidP="00066653">
            <w:pPr>
              <w:widowControl w:val="0"/>
              <w:autoSpaceDE w:val="0"/>
              <w:autoSpaceDN w:val="0"/>
              <w:adjustRightInd w:val="0"/>
              <w:jc w:val="right"/>
              <w:rPr>
                <w:rFonts w:ascii="Arial" w:hAnsi="Arial" w:cs="Arial"/>
                <w:noProof/>
                <w:sz w:val="18"/>
                <w:szCs w:val="16"/>
                <w:highlight w:val="yellow"/>
              </w:rPr>
            </w:pPr>
            <w:r w:rsidRPr="00066653">
              <w:rPr>
                <w:rFonts w:ascii="Arial" w:hAnsi="Arial" w:cs="Arial"/>
                <w:sz w:val="18"/>
                <w:szCs w:val="16"/>
              </w:rPr>
              <w:t>(4.130.689)</w:t>
            </w:r>
          </w:p>
        </w:tc>
      </w:tr>
      <w:tr w:rsidR="004F33B3" w:rsidRPr="00F246A3" w14:paraId="5ABD8805" w14:textId="77777777" w:rsidTr="003C2633">
        <w:tc>
          <w:tcPr>
            <w:tcW w:w="4957" w:type="dxa"/>
          </w:tcPr>
          <w:p w14:paraId="66E338AE" w14:textId="46EDDAFE" w:rsidR="004F33B3" w:rsidRPr="00F246A3" w:rsidRDefault="004F33B3" w:rsidP="00AA40A5">
            <w:pPr>
              <w:widowControl w:val="0"/>
              <w:autoSpaceDE w:val="0"/>
              <w:autoSpaceDN w:val="0"/>
              <w:adjustRightInd w:val="0"/>
              <w:jc w:val="both"/>
              <w:rPr>
                <w:rFonts w:ascii="Arial" w:hAnsi="Arial" w:cs="Arial"/>
                <w:b/>
                <w:noProof/>
                <w:sz w:val="20"/>
                <w:szCs w:val="18"/>
                <w:highlight w:val="yellow"/>
              </w:rPr>
            </w:pPr>
            <w:r w:rsidRPr="00F246A3">
              <w:rPr>
                <w:rFonts w:ascii="Arial" w:hAnsi="Arial" w:cs="Arial"/>
                <w:b/>
                <w:noProof/>
                <w:sz w:val="20"/>
                <w:szCs w:val="18"/>
              </w:rPr>
              <w:t>Total</w:t>
            </w:r>
          </w:p>
        </w:tc>
        <w:tc>
          <w:tcPr>
            <w:tcW w:w="1417" w:type="dxa"/>
            <w:tcBorders>
              <w:top w:val="single" w:sz="4" w:space="0" w:color="auto"/>
              <w:bottom w:val="single" w:sz="4" w:space="0" w:color="auto"/>
            </w:tcBorders>
            <w:vAlign w:val="bottom"/>
          </w:tcPr>
          <w:p w14:paraId="3602680B" w14:textId="7B370EB9" w:rsidR="004F33B3" w:rsidRPr="004F33B3" w:rsidRDefault="008844D4" w:rsidP="00831903">
            <w:pPr>
              <w:jc w:val="right"/>
              <w:rPr>
                <w:rFonts w:ascii="Arial" w:hAnsi="Arial" w:cs="Arial"/>
                <w:b/>
                <w:bCs/>
                <w:sz w:val="18"/>
                <w:szCs w:val="18"/>
                <w:lang w:eastAsia="es-AR"/>
              </w:rPr>
            </w:pPr>
            <w:r>
              <w:rPr>
                <w:rFonts w:ascii="Arial" w:hAnsi="Arial" w:cs="Arial"/>
                <w:b/>
                <w:bCs/>
                <w:sz w:val="18"/>
                <w:szCs w:val="18"/>
              </w:rPr>
              <w:t>95.51</w:t>
            </w:r>
            <w:r w:rsidR="00831903">
              <w:rPr>
                <w:rFonts w:ascii="Arial" w:hAnsi="Arial" w:cs="Arial"/>
                <w:b/>
                <w:bCs/>
                <w:sz w:val="18"/>
                <w:szCs w:val="18"/>
              </w:rPr>
              <w:t>1</w:t>
            </w:r>
            <w:r>
              <w:rPr>
                <w:rFonts w:ascii="Arial" w:hAnsi="Arial" w:cs="Arial"/>
                <w:b/>
                <w:bCs/>
                <w:sz w:val="18"/>
                <w:szCs w:val="18"/>
              </w:rPr>
              <w:t>.</w:t>
            </w:r>
            <w:r w:rsidR="00831903">
              <w:rPr>
                <w:rFonts w:ascii="Arial" w:hAnsi="Arial" w:cs="Arial"/>
                <w:b/>
                <w:bCs/>
                <w:sz w:val="18"/>
                <w:szCs w:val="18"/>
              </w:rPr>
              <w:t>92</w:t>
            </w:r>
            <w:r>
              <w:rPr>
                <w:rFonts w:ascii="Arial" w:hAnsi="Arial" w:cs="Arial"/>
                <w:b/>
                <w:bCs/>
                <w:sz w:val="18"/>
                <w:szCs w:val="18"/>
              </w:rPr>
              <w:t>9</w:t>
            </w:r>
          </w:p>
        </w:tc>
        <w:tc>
          <w:tcPr>
            <w:tcW w:w="1418" w:type="dxa"/>
            <w:tcBorders>
              <w:top w:val="single" w:sz="4" w:space="0" w:color="auto"/>
              <w:bottom w:val="single" w:sz="4" w:space="0" w:color="auto"/>
            </w:tcBorders>
            <w:vAlign w:val="bottom"/>
          </w:tcPr>
          <w:p w14:paraId="155E3901" w14:textId="46B590CF" w:rsidR="004F33B3" w:rsidRPr="006637B6" w:rsidRDefault="004F33B3">
            <w:pPr>
              <w:widowControl w:val="0"/>
              <w:autoSpaceDE w:val="0"/>
              <w:autoSpaceDN w:val="0"/>
              <w:adjustRightInd w:val="0"/>
              <w:jc w:val="right"/>
              <w:rPr>
                <w:rFonts w:ascii="Arial" w:hAnsi="Arial" w:cs="Arial"/>
                <w:b/>
                <w:noProof/>
                <w:sz w:val="18"/>
                <w:szCs w:val="18"/>
                <w:highlight w:val="yellow"/>
              </w:rPr>
            </w:pPr>
            <w:r w:rsidRPr="006637B6">
              <w:rPr>
                <w:rFonts w:ascii="Arial" w:hAnsi="Arial" w:cs="Arial"/>
                <w:b/>
                <w:bCs/>
                <w:sz w:val="18"/>
                <w:szCs w:val="18"/>
              </w:rPr>
              <w:t>81.931.717</w:t>
            </w:r>
          </w:p>
        </w:tc>
      </w:tr>
      <w:bookmarkEnd w:id="36"/>
      <w:bookmarkEnd w:id="37"/>
    </w:tbl>
    <w:p w14:paraId="24EF38F7" w14:textId="77777777" w:rsidR="00125098" w:rsidRDefault="00125098" w:rsidP="00276790">
      <w:pPr>
        <w:rPr>
          <w:sz w:val="20"/>
          <w:lang w:eastAsia="es-AR"/>
        </w:rPr>
        <w:sectPr w:rsidR="00125098" w:rsidSect="0056456F">
          <w:headerReference w:type="default" r:id="rId27"/>
          <w:pgSz w:w="11907" w:h="16839" w:code="9"/>
          <w:pgMar w:top="1418" w:right="1701" w:bottom="1418" w:left="1701" w:header="567" w:footer="0" w:gutter="0"/>
          <w:cols w:space="708"/>
          <w:docGrid w:linePitch="360"/>
        </w:sectPr>
      </w:pPr>
    </w:p>
    <w:p w14:paraId="0400658A" w14:textId="453532EB" w:rsidR="00537732" w:rsidRPr="00701F32" w:rsidRDefault="00537732" w:rsidP="00276790">
      <w:pPr>
        <w:rPr>
          <w:sz w:val="20"/>
          <w:lang w:eastAsia="es-AR"/>
        </w:rPr>
      </w:pPr>
    </w:p>
    <w:tbl>
      <w:tblPr>
        <w:tblStyle w:val="Tablaconcuadrcula"/>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417"/>
        <w:gridCol w:w="1418"/>
        <w:gridCol w:w="1276"/>
        <w:gridCol w:w="1417"/>
      </w:tblGrid>
      <w:tr w:rsidR="0014647F" w:rsidRPr="00C17D08" w14:paraId="2D10FA03" w14:textId="77777777" w:rsidTr="00066653">
        <w:trPr>
          <w:trHeight w:val="248"/>
          <w:jc w:val="center"/>
        </w:trPr>
        <w:tc>
          <w:tcPr>
            <w:tcW w:w="326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6428F8" w14:textId="77777777" w:rsidR="0014647F" w:rsidRPr="007B34B2" w:rsidRDefault="0014647F" w:rsidP="00AA40A5">
            <w:pPr>
              <w:jc w:val="center"/>
              <w:rPr>
                <w:rFonts w:ascii="Arial" w:hAnsi="Arial" w:cs="Arial"/>
                <w:b/>
                <w:sz w:val="18"/>
                <w:szCs w:val="18"/>
              </w:rPr>
            </w:pPr>
            <w:bookmarkStart w:id="38" w:name="_Hlk9948038"/>
            <w:r w:rsidRPr="007B34B2">
              <w:rPr>
                <w:rFonts w:ascii="Arial" w:hAnsi="Arial" w:cs="Arial"/>
                <w:b/>
                <w:sz w:val="18"/>
                <w:szCs w:val="18"/>
              </w:rPr>
              <w:t>Número de cliente</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46B31" w14:textId="77777777" w:rsidR="0014647F" w:rsidRPr="007B34B2" w:rsidRDefault="0014647F" w:rsidP="00AA40A5">
            <w:pPr>
              <w:jc w:val="center"/>
              <w:rPr>
                <w:rFonts w:ascii="Arial" w:hAnsi="Arial" w:cs="Arial"/>
                <w:b/>
                <w:sz w:val="18"/>
                <w:szCs w:val="18"/>
              </w:rPr>
            </w:pPr>
            <w:r w:rsidRPr="007B34B2">
              <w:rPr>
                <w:rFonts w:ascii="Arial" w:hAnsi="Arial" w:cs="Arial"/>
                <w:b/>
                <w:sz w:val="18"/>
                <w:szCs w:val="18"/>
              </w:rPr>
              <w:t>FINANCIACIONES</w:t>
            </w:r>
          </w:p>
        </w:tc>
      </w:tr>
      <w:tr w:rsidR="0014647F" w:rsidRPr="00C17D08" w14:paraId="7C2D8B53" w14:textId="77777777" w:rsidTr="00066653">
        <w:trPr>
          <w:trHeight w:val="248"/>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541C4E" w14:textId="77777777" w:rsidR="0014647F" w:rsidRPr="007B34B2" w:rsidRDefault="0014647F" w:rsidP="00AA40A5">
            <w:pPr>
              <w:jc w:val="center"/>
              <w:rPr>
                <w:rFonts w:ascii="Arial" w:hAnsi="Arial" w:cs="Arial"/>
                <w:b/>
                <w:sz w:val="18"/>
                <w:szCs w:val="18"/>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CEDDA9" w14:textId="3C2F8DA7" w:rsidR="0014647F" w:rsidRPr="007B34B2" w:rsidRDefault="003C2633" w:rsidP="005D476E">
            <w:pPr>
              <w:jc w:val="center"/>
              <w:rPr>
                <w:rFonts w:ascii="Arial" w:hAnsi="Arial" w:cs="Arial"/>
                <w:b/>
                <w:sz w:val="18"/>
                <w:szCs w:val="18"/>
              </w:rPr>
            </w:pPr>
            <w:r>
              <w:rPr>
                <w:rFonts w:ascii="Arial" w:hAnsi="Arial" w:cs="Arial"/>
                <w:b/>
                <w:sz w:val="18"/>
                <w:szCs w:val="18"/>
              </w:rPr>
              <w:t>3</w:t>
            </w:r>
            <w:r w:rsidR="008F2926">
              <w:rPr>
                <w:rFonts w:ascii="Arial" w:hAnsi="Arial" w:cs="Arial"/>
                <w:b/>
                <w:sz w:val="18"/>
                <w:szCs w:val="18"/>
              </w:rPr>
              <w:t>1</w:t>
            </w:r>
            <w:r>
              <w:rPr>
                <w:rFonts w:ascii="Arial" w:hAnsi="Arial" w:cs="Arial"/>
                <w:b/>
                <w:sz w:val="18"/>
                <w:szCs w:val="18"/>
              </w:rPr>
              <w:t>/</w:t>
            </w:r>
            <w:r w:rsidR="008F2926">
              <w:rPr>
                <w:rFonts w:ascii="Arial" w:hAnsi="Arial" w:cs="Arial"/>
                <w:b/>
                <w:sz w:val="18"/>
                <w:szCs w:val="18"/>
              </w:rPr>
              <w:t>12</w:t>
            </w:r>
            <w:r>
              <w:rPr>
                <w:rFonts w:ascii="Arial" w:hAnsi="Arial" w:cs="Arial"/>
                <w:b/>
                <w:sz w:val="18"/>
                <w:szCs w:val="18"/>
              </w:rPr>
              <w:t>/2019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1A8A05" w14:textId="77777777" w:rsidR="0014647F" w:rsidRPr="007B34B2" w:rsidRDefault="0014647F" w:rsidP="00AA40A5">
            <w:pPr>
              <w:jc w:val="center"/>
              <w:rPr>
                <w:rFonts w:ascii="Arial" w:hAnsi="Arial" w:cs="Arial"/>
                <w:b/>
                <w:sz w:val="18"/>
                <w:szCs w:val="18"/>
              </w:rPr>
            </w:pPr>
            <w:r w:rsidRPr="007B34B2">
              <w:rPr>
                <w:rFonts w:ascii="Arial" w:hAnsi="Arial" w:cs="Arial"/>
                <w:b/>
                <w:sz w:val="18"/>
                <w:szCs w:val="18"/>
              </w:rPr>
              <w:t>31/12/2018</w:t>
            </w:r>
          </w:p>
        </w:tc>
      </w:tr>
      <w:tr w:rsidR="0014647F" w:rsidRPr="00C17D08" w14:paraId="41AFDF99" w14:textId="77777777" w:rsidTr="00066653">
        <w:trPr>
          <w:trHeight w:val="677"/>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46E11D" w14:textId="77777777" w:rsidR="0014647F" w:rsidRPr="007B34B2" w:rsidRDefault="0014647F" w:rsidP="00AA40A5">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372061" w14:textId="77777777" w:rsidR="0014647F" w:rsidRPr="007B34B2" w:rsidRDefault="0014647F" w:rsidP="00AA40A5">
            <w:pPr>
              <w:jc w:val="center"/>
              <w:rPr>
                <w:rFonts w:ascii="Arial" w:hAnsi="Arial" w:cs="Arial"/>
                <w:b/>
                <w:sz w:val="18"/>
                <w:szCs w:val="18"/>
              </w:rPr>
            </w:pPr>
            <w:r w:rsidRPr="007B34B2">
              <w:rPr>
                <w:rFonts w:ascii="Arial" w:hAnsi="Arial" w:cs="Arial"/>
                <w:b/>
                <w:sz w:val="18"/>
                <w:szCs w:val="18"/>
              </w:rPr>
              <w:t>Saldo de deuda</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E1F30B" w14:textId="77777777" w:rsidR="0014647F" w:rsidRPr="007B34B2" w:rsidRDefault="0014647F" w:rsidP="00AA40A5">
            <w:pPr>
              <w:jc w:val="center"/>
              <w:rPr>
                <w:rFonts w:ascii="Arial" w:hAnsi="Arial" w:cs="Arial"/>
                <w:b/>
                <w:sz w:val="18"/>
                <w:szCs w:val="18"/>
              </w:rPr>
            </w:pPr>
            <w:r w:rsidRPr="007B34B2">
              <w:rPr>
                <w:rFonts w:ascii="Arial" w:hAnsi="Arial" w:cs="Arial"/>
                <w:b/>
                <w:sz w:val="18"/>
                <w:szCs w:val="18"/>
              </w:rPr>
              <w:t>% sobre Cartera total</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35C39D" w14:textId="77777777" w:rsidR="0014647F" w:rsidRPr="007B34B2" w:rsidRDefault="0014647F" w:rsidP="00AA40A5">
            <w:pPr>
              <w:jc w:val="center"/>
              <w:rPr>
                <w:rFonts w:ascii="Arial" w:hAnsi="Arial" w:cs="Arial"/>
                <w:b/>
                <w:sz w:val="18"/>
                <w:szCs w:val="18"/>
              </w:rPr>
            </w:pPr>
            <w:r w:rsidRPr="007B34B2">
              <w:rPr>
                <w:rFonts w:ascii="Arial" w:hAnsi="Arial" w:cs="Arial"/>
                <w:b/>
                <w:sz w:val="18"/>
                <w:szCs w:val="18"/>
              </w:rPr>
              <w:t>Saldo de deuda</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9E36FA" w14:textId="77777777" w:rsidR="0014647F" w:rsidRPr="007B34B2" w:rsidRDefault="0014647F" w:rsidP="00AA40A5">
            <w:pPr>
              <w:jc w:val="center"/>
              <w:rPr>
                <w:rFonts w:ascii="Arial" w:hAnsi="Arial" w:cs="Arial"/>
                <w:b/>
                <w:sz w:val="18"/>
                <w:szCs w:val="18"/>
              </w:rPr>
            </w:pPr>
            <w:r w:rsidRPr="007B34B2">
              <w:rPr>
                <w:rFonts w:ascii="Arial" w:hAnsi="Arial" w:cs="Arial"/>
                <w:b/>
                <w:sz w:val="18"/>
                <w:szCs w:val="18"/>
              </w:rPr>
              <w:t>% sobre Cartera total</w:t>
            </w:r>
          </w:p>
        </w:tc>
      </w:tr>
      <w:tr w:rsidR="0014647F" w:rsidRPr="00C17D08" w14:paraId="0E6CC7B5" w14:textId="77777777" w:rsidTr="00066653">
        <w:trPr>
          <w:trHeight w:val="113"/>
          <w:jc w:val="center"/>
        </w:trPr>
        <w:tc>
          <w:tcPr>
            <w:tcW w:w="3261" w:type="dxa"/>
            <w:tcBorders>
              <w:top w:val="single" w:sz="4" w:space="0" w:color="auto"/>
            </w:tcBorders>
            <w:vAlign w:val="bottom"/>
          </w:tcPr>
          <w:p w14:paraId="1321D510" w14:textId="77777777" w:rsidR="0014647F" w:rsidRDefault="0014647F" w:rsidP="00AA40A5">
            <w:pPr>
              <w:rPr>
                <w:rFonts w:ascii="Arial" w:hAnsi="Arial" w:cs="Arial"/>
                <w:sz w:val="18"/>
                <w:szCs w:val="18"/>
              </w:rPr>
            </w:pPr>
          </w:p>
        </w:tc>
        <w:tc>
          <w:tcPr>
            <w:tcW w:w="1417" w:type="dxa"/>
            <w:tcBorders>
              <w:top w:val="single" w:sz="4" w:space="0" w:color="auto"/>
            </w:tcBorders>
          </w:tcPr>
          <w:p w14:paraId="13F7908C" w14:textId="77777777" w:rsidR="0014647F" w:rsidRPr="00C17D08" w:rsidRDefault="0014647F" w:rsidP="00AA40A5">
            <w:pPr>
              <w:rPr>
                <w:rFonts w:ascii="Arial" w:hAnsi="Arial" w:cs="Arial"/>
                <w:sz w:val="18"/>
                <w:szCs w:val="18"/>
              </w:rPr>
            </w:pPr>
          </w:p>
        </w:tc>
        <w:tc>
          <w:tcPr>
            <w:tcW w:w="1418" w:type="dxa"/>
            <w:tcBorders>
              <w:top w:val="single" w:sz="4" w:space="0" w:color="auto"/>
            </w:tcBorders>
          </w:tcPr>
          <w:p w14:paraId="1B70F426" w14:textId="77777777" w:rsidR="0014647F" w:rsidRPr="00C17D08" w:rsidRDefault="0014647F" w:rsidP="00AA40A5">
            <w:pPr>
              <w:rPr>
                <w:rFonts w:ascii="Arial" w:hAnsi="Arial" w:cs="Arial"/>
                <w:sz w:val="18"/>
                <w:szCs w:val="18"/>
              </w:rPr>
            </w:pPr>
          </w:p>
        </w:tc>
        <w:tc>
          <w:tcPr>
            <w:tcW w:w="1276" w:type="dxa"/>
            <w:tcBorders>
              <w:top w:val="single" w:sz="4" w:space="0" w:color="auto"/>
            </w:tcBorders>
          </w:tcPr>
          <w:p w14:paraId="57530C80" w14:textId="77777777" w:rsidR="0014647F" w:rsidRPr="00C17D08" w:rsidRDefault="0014647F" w:rsidP="00AA40A5">
            <w:pPr>
              <w:rPr>
                <w:rFonts w:ascii="Arial" w:hAnsi="Arial" w:cs="Arial"/>
                <w:sz w:val="18"/>
                <w:szCs w:val="18"/>
              </w:rPr>
            </w:pPr>
          </w:p>
        </w:tc>
        <w:tc>
          <w:tcPr>
            <w:tcW w:w="1417" w:type="dxa"/>
            <w:tcBorders>
              <w:top w:val="single" w:sz="4" w:space="0" w:color="auto"/>
            </w:tcBorders>
          </w:tcPr>
          <w:p w14:paraId="28137B45" w14:textId="77777777" w:rsidR="0014647F" w:rsidRPr="00C17D08" w:rsidRDefault="0014647F" w:rsidP="00AA40A5">
            <w:pPr>
              <w:rPr>
                <w:rFonts w:ascii="Arial" w:hAnsi="Arial" w:cs="Arial"/>
                <w:sz w:val="18"/>
                <w:szCs w:val="18"/>
              </w:rPr>
            </w:pPr>
          </w:p>
        </w:tc>
      </w:tr>
      <w:tr w:rsidR="00DF139A" w:rsidRPr="00C17D08" w14:paraId="679CDE2D" w14:textId="77777777" w:rsidTr="00E66306">
        <w:trPr>
          <w:trHeight w:val="454"/>
          <w:jc w:val="center"/>
        </w:trPr>
        <w:tc>
          <w:tcPr>
            <w:tcW w:w="3261" w:type="dxa"/>
            <w:vAlign w:val="center"/>
          </w:tcPr>
          <w:p w14:paraId="7E3622B9" w14:textId="77777777" w:rsidR="00DF139A" w:rsidRDefault="00DF139A" w:rsidP="00DF139A">
            <w:pPr>
              <w:rPr>
                <w:rFonts w:ascii="Arial" w:hAnsi="Arial" w:cs="Arial"/>
                <w:sz w:val="18"/>
                <w:szCs w:val="18"/>
              </w:rPr>
            </w:pPr>
            <w:r>
              <w:rPr>
                <w:rFonts w:ascii="Arial" w:hAnsi="Arial" w:cs="Arial"/>
                <w:sz w:val="18"/>
                <w:szCs w:val="18"/>
              </w:rPr>
              <w:t>10 mayores clientes</w:t>
            </w:r>
          </w:p>
        </w:tc>
        <w:tc>
          <w:tcPr>
            <w:tcW w:w="1417" w:type="dxa"/>
            <w:vAlign w:val="center"/>
          </w:tcPr>
          <w:p w14:paraId="7DDF0758" w14:textId="69C82C95" w:rsidR="00DF139A" w:rsidRPr="00E66306" w:rsidRDefault="00DF139A" w:rsidP="00DF139A">
            <w:pPr>
              <w:jc w:val="right"/>
              <w:rPr>
                <w:rFonts w:ascii="Arial" w:hAnsi="Arial" w:cs="Arial"/>
                <w:sz w:val="18"/>
                <w:szCs w:val="18"/>
              </w:rPr>
            </w:pPr>
            <w:r>
              <w:rPr>
                <w:rFonts w:ascii="Arial" w:hAnsi="Arial" w:cs="Arial"/>
                <w:sz w:val="18"/>
                <w:szCs w:val="18"/>
              </w:rPr>
              <w:t xml:space="preserve">12.095.853 </w:t>
            </w:r>
          </w:p>
        </w:tc>
        <w:tc>
          <w:tcPr>
            <w:tcW w:w="1418" w:type="dxa"/>
            <w:vAlign w:val="center"/>
          </w:tcPr>
          <w:p w14:paraId="7029A9C9" w14:textId="5E69F16E" w:rsidR="00DF139A" w:rsidRPr="00E66306" w:rsidRDefault="00DF139A" w:rsidP="00DF139A">
            <w:pPr>
              <w:jc w:val="right"/>
              <w:rPr>
                <w:rFonts w:ascii="Arial" w:hAnsi="Arial" w:cs="Arial"/>
                <w:sz w:val="18"/>
                <w:szCs w:val="18"/>
              </w:rPr>
            </w:pPr>
            <w:r>
              <w:rPr>
                <w:rFonts w:ascii="Arial" w:hAnsi="Arial" w:cs="Arial"/>
                <w:sz w:val="18"/>
                <w:szCs w:val="18"/>
              </w:rPr>
              <w:t>12,66%</w:t>
            </w:r>
          </w:p>
        </w:tc>
        <w:tc>
          <w:tcPr>
            <w:tcW w:w="1276" w:type="dxa"/>
            <w:vAlign w:val="center"/>
          </w:tcPr>
          <w:p w14:paraId="096376BD" w14:textId="408323CD" w:rsidR="00DF139A" w:rsidRPr="00756A6F" w:rsidRDefault="00DF139A" w:rsidP="00DF139A">
            <w:pPr>
              <w:jc w:val="right"/>
              <w:rPr>
                <w:rFonts w:ascii="Arial" w:hAnsi="Arial" w:cs="Arial"/>
                <w:sz w:val="18"/>
                <w:szCs w:val="18"/>
              </w:rPr>
            </w:pPr>
            <w:r w:rsidRPr="00756A6F">
              <w:rPr>
                <w:rFonts w:ascii="Arial" w:hAnsi="Arial" w:cs="Arial"/>
                <w:sz w:val="18"/>
                <w:szCs w:val="18"/>
              </w:rPr>
              <w:t xml:space="preserve">10.741.399 </w:t>
            </w:r>
          </w:p>
        </w:tc>
        <w:tc>
          <w:tcPr>
            <w:tcW w:w="1417" w:type="dxa"/>
            <w:vAlign w:val="center"/>
          </w:tcPr>
          <w:p w14:paraId="47CEE7BB" w14:textId="020137C8" w:rsidR="00DF139A" w:rsidRPr="00756A6F" w:rsidRDefault="00DF139A" w:rsidP="00DF139A">
            <w:pPr>
              <w:jc w:val="right"/>
              <w:rPr>
                <w:rFonts w:ascii="Arial" w:hAnsi="Arial" w:cs="Arial"/>
                <w:sz w:val="18"/>
                <w:szCs w:val="18"/>
              </w:rPr>
            </w:pPr>
            <w:r w:rsidRPr="00756A6F">
              <w:rPr>
                <w:rFonts w:ascii="Arial" w:hAnsi="Arial" w:cs="Arial"/>
                <w:sz w:val="18"/>
                <w:szCs w:val="18"/>
              </w:rPr>
              <w:t>13,11%</w:t>
            </w:r>
          </w:p>
        </w:tc>
      </w:tr>
      <w:tr w:rsidR="0014647F" w:rsidRPr="00C17D08" w14:paraId="55C01D96" w14:textId="77777777" w:rsidTr="00066653">
        <w:trPr>
          <w:trHeight w:val="299"/>
          <w:jc w:val="center"/>
        </w:trPr>
        <w:tc>
          <w:tcPr>
            <w:tcW w:w="3261" w:type="dxa"/>
            <w:vAlign w:val="center"/>
          </w:tcPr>
          <w:p w14:paraId="08045E1C" w14:textId="77777777" w:rsidR="0014647F" w:rsidRPr="00C17D08" w:rsidRDefault="0014647F" w:rsidP="00606E2A">
            <w:pPr>
              <w:rPr>
                <w:rFonts w:ascii="Arial" w:hAnsi="Arial" w:cs="Arial"/>
                <w:sz w:val="18"/>
                <w:szCs w:val="18"/>
              </w:rPr>
            </w:pPr>
          </w:p>
        </w:tc>
        <w:tc>
          <w:tcPr>
            <w:tcW w:w="1417" w:type="dxa"/>
            <w:vAlign w:val="center"/>
          </w:tcPr>
          <w:p w14:paraId="2A9B1205" w14:textId="77777777" w:rsidR="0014647F" w:rsidRPr="00C17D08" w:rsidRDefault="0014647F" w:rsidP="00606E2A">
            <w:pPr>
              <w:jc w:val="right"/>
              <w:rPr>
                <w:rFonts w:ascii="Arial" w:hAnsi="Arial" w:cs="Arial"/>
                <w:sz w:val="18"/>
                <w:szCs w:val="18"/>
              </w:rPr>
            </w:pPr>
          </w:p>
        </w:tc>
        <w:tc>
          <w:tcPr>
            <w:tcW w:w="1418" w:type="dxa"/>
            <w:vAlign w:val="center"/>
          </w:tcPr>
          <w:p w14:paraId="1A0F05FD" w14:textId="77777777" w:rsidR="0014647F" w:rsidRPr="00C17D08" w:rsidRDefault="0014647F" w:rsidP="00606E2A">
            <w:pPr>
              <w:jc w:val="right"/>
              <w:rPr>
                <w:rFonts w:ascii="Arial" w:hAnsi="Arial" w:cs="Arial"/>
                <w:sz w:val="18"/>
                <w:szCs w:val="18"/>
              </w:rPr>
            </w:pPr>
          </w:p>
        </w:tc>
        <w:tc>
          <w:tcPr>
            <w:tcW w:w="1276" w:type="dxa"/>
            <w:vAlign w:val="center"/>
          </w:tcPr>
          <w:p w14:paraId="4D6568EA" w14:textId="77777777" w:rsidR="0014647F" w:rsidRPr="00C17D08" w:rsidRDefault="0014647F" w:rsidP="00606E2A">
            <w:pPr>
              <w:jc w:val="right"/>
              <w:rPr>
                <w:rFonts w:ascii="Arial" w:hAnsi="Arial" w:cs="Arial"/>
                <w:sz w:val="18"/>
                <w:szCs w:val="18"/>
              </w:rPr>
            </w:pPr>
          </w:p>
        </w:tc>
        <w:tc>
          <w:tcPr>
            <w:tcW w:w="1417" w:type="dxa"/>
            <w:vAlign w:val="center"/>
          </w:tcPr>
          <w:p w14:paraId="4676C714" w14:textId="77777777" w:rsidR="0014647F" w:rsidRPr="00C17D08" w:rsidRDefault="0014647F" w:rsidP="00606E2A">
            <w:pPr>
              <w:jc w:val="right"/>
              <w:rPr>
                <w:rFonts w:ascii="Arial" w:hAnsi="Arial" w:cs="Arial"/>
                <w:sz w:val="18"/>
                <w:szCs w:val="18"/>
              </w:rPr>
            </w:pPr>
          </w:p>
        </w:tc>
      </w:tr>
      <w:tr w:rsidR="00DF139A" w:rsidRPr="00C17D08" w14:paraId="1C9F3FA1" w14:textId="77777777" w:rsidTr="00E66306">
        <w:trPr>
          <w:trHeight w:val="454"/>
          <w:jc w:val="center"/>
        </w:trPr>
        <w:tc>
          <w:tcPr>
            <w:tcW w:w="3261" w:type="dxa"/>
            <w:vAlign w:val="center"/>
          </w:tcPr>
          <w:p w14:paraId="463BDCBB" w14:textId="77777777" w:rsidR="00DF139A" w:rsidRPr="00C17D08" w:rsidRDefault="00DF139A" w:rsidP="00DF139A">
            <w:pPr>
              <w:rPr>
                <w:rFonts w:ascii="Arial" w:hAnsi="Arial" w:cs="Arial"/>
                <w:sz w:val="18"/>
                <w:szCs w:val="18"/>
              </w:rPr>
            </w:pPr>
            <w:r>
              <w:rPr>
                <w:rFonts w:ascii="Arial" w:hAnsi="Arial" w:cs="Arial"/>
                <w:sz w:val="18"/>
                <w:szCs w:val="18"/>
              </w:rPr>
              <w:t xml:space="preserve">50 siguientes mayores clientes </w:t>
            </w:r>
          </w:p>
        </w:tc>
        <w:tc>
          <w:tcPr>
            <w:tcW w:w="1417" w:type="dxa"/>
            <w:vAlign w:val="center"/>
          </w:tcPr>
          <w:p w14:paraId="018FD897" w14:textId="0A25C935" w:rsidR="00DF139A" w:rsidRPr="00E66306" w:rsidRDefault="00DF139A" w:rsidP="00DF139A">
            <w:pPr>
              <w:jc w:val="right"/>
              <w:rPr>
                <w:rFonts w:ascii="Arial" w:hAnsi="Arial" w:cs="Arial"/>
                <w:sz w:val="18"/>
                <w:szCs w:val="18"/>
              </w:rPr>
            </w:pPr>
            <w:r>
              <w:rPr>
                <w:rFonts w:ascii="Arial" w:hAnsi="Arial" w:cs="Arial"/>
                <w:sz w:val="18"/>
                <w:szCs w:val="18"/>
              </w:rPr>
              <w:t xml:space="preserve">16.923.044 </w:t>
            </w:r>
          </w:p>
        </w:tc>
        <w:tc>
          <w:tcPr>
            <w:tcW w:w="1418" w:type="dxa"/>
            <w:vAlign w:val="center"/>
          </w:tcPr>
          <w:p w14:paraId="0674C67E" w14:textId="582CA44B" w:rsidR="00DF139A" w:rsidRPr="00E66306" w:rsidRDefault="00DF139A" w:rsidP="00DF139A">
            <w:pPr>
              <w:jc w:val="right"/>
              <w:rPr>
                <w:rFonts w:ascii="Arial" w:hAnsi="Arial" w:cs="Arial"/>
                <w:sz w:val="18"/>
                <w:szCs w:val="18"/>
              </w:rPr>
            </w:pPr>
            <w:r>
              <w:rPr>
                <w:rFonts w:ascii="Arial" w:hAnsi="Arial" w:cs="Arial"/>
                <w:sz w:val="18"/>
                <w:szCs w:val="18"/>
              </w:rPr>
              <w:t>17,72%</w:t>
            </w:r>
          </w:p>
        </w:tc>
        <w:tc>
          <w:tcPr>
            <w:tcW w:w="1276" w:type="dxa"/>
            <w:vAlign w:val="center"/>
          </w:tcPr>
          <w:p w14:paraId="48EF74A4" w14:textId="277A24FF" w:rsidR="00DF139A" w:rsidRPr="00756A6F" w:rsidRDefault="00DF139A" w:rsidP="00DF139A">
            <w:pPr>
              <w:jc w:val="right"/>
              <w:rPr>
                <w:rFonts w:ascii="Arial" w:hAnsi="Arial" w:cs="Arial"/>
                <w:sz w:val="18"/>
                <w:szCs w:val="18"/>
              </w:rPr>
            </w:pPr>
            <w:r w:rsidRPr="00756A6F">
              <w:rPr>
                <w:rFonts w:ascii="Arial" w:hAnsi="Arial" w:cs="Arial"/>
                <w:sz w:val="18"/>
                <w:szCs w:val="18"/>
              </w:rPr>
              <w:t xml:space="preserve">12.720.768 </w:t>
            </w:r>
          </w:p>
        </w:tc>
        <w:tc>
          <w:tcPr>
            <w:tcW w:w="1417" w:type="dxa"/>
            <w:vAlign w:val="center"/>
          </w:tcPr>
          <w:p w14:paraId="255A84A4" w14:textId="13E9FF50" w:rsidR="00DF139A" w:rsidRPr="00756A6F" w:rsidRDefault="00DF139A" w:rsidP="00DF139A">
            <w:pPr>
              <w:jc w:val="right"/>
              <w:rPr>
                <w:rFonts w:ascii="Arial" w:hAnsi="Arial" w:cs="Arial"/>
                <w:sz w:val="18"/>
                <w:szCs w:val="18"/>
              </w:rPr>
            </w:pPr>
            <w:r w:rsidRPr="00756A6F">
              <w:rPr>
                <w:rFonts w:ascii="Arial" w:hAnsi="Arial" w:cs="Arial"/>
                <w:sz w:val="18"/>
                <w:szCs w:val="18"/>
              </w:rPr>
              <w:t>15,53%</w:t>
            </w:r>
          </w:p>
        </w:tc>
      </w:tr>
      <w:tr w:rsidR="0014647F" w:rsidRPr="00C17D08" w14:paraId="6FD95FEC" w14:textId="77777777" w:rsidTr="00066653">
        <w:trPr>
          <w:trHeight w:val="254"/>
          <w:jc w:val="center"/>
        </w:trPr>
        <w:tc>
          <w:tcPr>
            <w:tcW w:w="3261" w:type="dxa"/>
            <w:vAlign w:val="center"/>
          </w:tcPr>
          <w:p w14:paraId="2458B1DF" w14:textId="77777777" w:rsidR="0014647F" w:rsidRPr="00C17D08" w:rsidRDefault="0014647F" w:rsidP="00606E2A">
            <w:pPr>
              <w:rPr>
                <w:rFonts w:ascii="Arial" w:hAnsi="Arial" w:cs="Arial"/>
                <w:sz w:val="18"/>
                <w:szCs w:val="18"/>
              </w:rPr>
            </w:pPr>
          </w:p>
        </w:tc>
        <w:tc>
          <w:tcPr>
            <w:tcW w:w="1417" w:type="dxa"/>
            <w:vAlign w:val="center"/>
          </w:tcPr>
          <w:p w14:paraId="79AC7C31" w14:textId="77777777" w:rsidR="0014647F" w:rsidRPr="00C17D08" w:rsidRDefault="0014647F" w:rsidP="00606E2A">
            <w:pPr>
              <w:jc w:val="right"/>
              <w:rPr>
                <w:rFonts w:ascii="Arial" w:hAnsi="Arial" w:cs="Arial"/>
                <w:sz w:val="18"/>
                <w:szCs w:val="18"/>
              </w:rPr>
            </w:pPr>
          </w:p>
        </w:tc>
        <w:tc>
          <w:tcPr>
            <w:tcW w:w="1418" w:type="dxa"/>
            <w:vAlign w:val="center"/>
          </w:tcPr>
          <w:p w14:paraId="69256F3D" w14:textId="77777777" w:rsidR="0014647F" w:rsidRPr="00C17D08" w:rsidRDefault="0014647F" w:rsidP="00606E2A">
            <w:pPr>
              <w:jc w:val="right"/>
              <w:rPr>
                <w:rFonts w:ascii="Arial" w:hAnsi="Arial" w:cs="Arial"/>
                <w:sz w:val="18"/>
                <w:szCs w:val="18"/>
              </w:rPr>
            </w:pPr>
          </w:p>
        </w:tc>
        <w:tc>
          <w:tcPr>
            <w:tcW w:w="1276" w:type="dxa"/>
            <w:vAlign w:val="center"/>
          </w:tcPr>
          <w:p w14:paraId="5C2978B6" w14:textId="77777777" w:rsidR="0014647F" w:rsidRPr="00C17D08" w:rsidRDefault="0014647F" w:rsidP="00606E2A">
            <w:pPr>
              <w:jc w:val="right"/>
              <w:rPr>
                <w:rFonts w:ascii="Arial" w:hAnsi="Arial" w:cs="Arial"/>
                <w:sz w:val="18"/>
                <w:szCs w:val="18"/>
              </w:rPr>
            </w:pPr>
          </w:p>
        </w:tc>
        <w:tc>
          <w:tcPr>
            <w:tcW w:w="1417" w:type="dxa"/>
            <w:vAlign w:val="center"/>
          </w:tcPr>
          <w:p w14:paraId="3E08BA21" w14:textId="77777777" w:rsidR="0014647F" w:rsidRPr="00C17D08" w:rsidRDefault="0014647F" w:rsidP="00606E2A">
            <w:pPr>
              <w:jc w:val="right"/>
              <w:rPr>
                <w:rFonts w:ascii="Arial" w:hAnsi="Arial" w:cs="Arial"/>
                <w:sz w:val="18"/>
                <w:szCs w:val="18"/>
              </w:rPr>
            </w:pPr>
          </w:p>
        </w:tc>
      </w:tr>
      <w:tr w:rsidR="00DF139A" w:rsidRPr="00C17D08" w14:paraId="4F0F2E06" w14:textId="77777777" w:rsidTr="00E66306">
        <w:trPr>
          <w:trHeight w:val="454"/>
          <w:jc w:val="center"/>
        </w:trPr>
        <w:tc>
          <w:tcPr>
            <w:tcW w:w="3261" w:type="dxa"/>
            <w:vAlign w:val="center"/>
          </w:tcPr>
          <w:p w14:paraId="0141DC12" w14:textId="77777777" w:rsidR="00DF139A" w:rsidRPr="00C17D08" w:rsidRDefault="00DF139A" w:rsidP="00DF139A">
            <w:pPr>
              <w:rPr>
                <w:rFonts w:ascii="Arial" w:hAnsi="Arial" w:cs="Arial"/>
                <w:sz w:val="18"/>
                <w:szCs w:val="18"/>
              </w:rPr>
            </w:pPr>
            <w:r>
              <w:rPr>
                <w:rFonts w:ascii="Arial" w:hAnsi="Arial" w:cs="Arial"/>
                <w:sz w:val="18"/>
                <w:szCs w:val="18"/>
              </w:rPr>
              <w:t>100 siguientes mayores clientes</w:t>
            </w:r>
          </w:p>
        </w:tc>
        <w:tc>
          <w:tcPr>
            <w:tcW w:w="1417" w:type="dxa"/>
            <w:vAlign w:val="center"/>
          </w:tcPr>
          <w:p w14:paraId="56A4516A" w14:textId="70F2A623" w:rsidR="00DF139A" w:rsidRPr="00E66306" w:rsidRDefault="00DF139A" w:rsidP="00DF139A">
            <w:pPr>
              <w:jc w:val="right"/>
              <w:rPr>
                <w:rFonts w:ascii="Arial" w:hAnsi="Arial" w:cs="Arial"/>
                <w:sz w:val="18"/>
                <w:szCs w:val="18"/>
              </w:rPr>
            </w:pPr>
            <w:r>
              <w:rPr>
                <w:rFonts w:ascii="Arial" w:hAnsi="Arial" w:cs="Arial"/>
                <w:sz w:val="18"/>
                <w:szCs w:val="18"/>
              </w:rPr>
              <w:t xml:space="preserve">9.150.391 </w:t>
            </w:r>
          </w:p>
        </w:tc>
        <w:tc>
          <w:tcPr>
            <w:tcW w:w="1418" w:type="dxa"/>
            <w:vAlign w:val="center"/>
          </w:tcPr>
          <w:p w14:paraId="78D43628" w14:textId="51B554F3" w:rsidR="00DF139A" w:rsidRPr="00E66306" w:rsidRDefault="00DF139A" w:rsidP="00DF139A">
            <w:pPr>
              <w:jc w:val="right"/>
              <w:rPr>
                <w:rFonts w:ascii="Arial" w:hAnsi="Arial" w:cs="Arial"/>
                <w:sz w:val="18"/>
                <w:szCs w:val="18"/>
              </w:rPr>
            </w:pPr>
            <w:r>
              <w:rPr>
                <w:rFonts w:ascii="Arial" w:hAnsi="Arial" w:cs="Arial"/>
                <w:sz w:val="18"/>
                <w:szCs w:val="18"/>
              </w:rPr>
              <w:t>9,58%</w:t>
            </w:r>
          </w:p>
        </w:tc>
        <w:tc>
          <w:tcPr>
            <w:tcW w:w="1276" w:type="dxa"/>
            <w:vAlign w:val="center"/>
          </w:tcPr>
          <w:p w14:paraId="002EA25B" w14:textId="2A8EED56" w:rsidR="00DF139A" w:rsidRPr="00756A6F" w:rsidRDefault="00DF139A" w:rsidP="00DF139A">
            <w:pPr>
              <w:jc w:val="right"/>
              <w:rPr>
                <w:rFonts w:ascii="Arial" w:hAnsi="Arial" w:cs="Arial"/>
                <w:sz w:val="18"/>
                <w:szCs w:val="18"/>
              </w:rPr>
            </w:pPr>
            <w:r w:rsidRPr="00756A6F">
              <w:rPr>
                <w:rFonts w:ascii="Arial" w:hAnsi="Arial" w:cs="Arial"/>
                <w:sz w:val="18"/>
                <w:szCs w:val="18"/>
              </w:rPr>
              <w:t xml:space="preserve">7.164.839 </w:t>
            </w:r>
          </w:p>
        </w:tc>
        <w:tc>
          <w:tcPr>
            <w:tcW w:w="1417" w:type="dxa"/>
            <w:vAlign w:val="center"/>
          </w:tcPr>
          <w:p w14:paraId="1817406C" w14:textId="4833B7BC" w:rsidR="00DF139A" w:rsidRPr="00756A6F" w:rsidRDefault="00DF139A" w:rsidP="00DF139A">
            <w:pPr>
              <w:jc w:val="right"/>
              <w:rPr>
                <w:rFonts w:ascii="Arial" w:hAnsi="Arial" w:cs="Arial"/>
                <w:sz w:val="18"/>
                <w:szCs w:val="18"/>
              </w:rPr>
            </w:pPr>
            <w:r w:rsidRPr="00756A6F">
              <w:rPr>
                <w:rFonts w:ascii="Arial" w:hAnsi="Arial" w:cs="Arial"/>
                <w:sz w:val="18"/>
                <w:szCs w:val="18"/>
              </w:rPr>
              <w:t>8,74%</w:t>
            </w:r>
          </w:p>
        </w:tc>
      </w:tr>
      <w:tr w:rsidR="0014647F" w:rsidRPr="00C17D08" w14:paraId="168D767F" w14:textId="77777777" w:rsidTr="00066653">
        <w:trPr>
          <w:trHeight w:val="263"/>
          <w:jc w:val="center"/>
        </w:trPr>
        <w:tc>
          <w:tcPr>
            <w:tcW w:w="3261" w:type="dxa"/>
            <w:vAlign w:val="center"/>
          </w:tcPr>
          <w:p w14:paraId="14658CA2" w14:textId="77777777" w:rsidR="0014647F" w:rsidRPr="00C17D08" w:rsidRDefault="0014647F" w:rsidP="00606E2A">
            <w:pPr>
              <w:rPr>
                <w:rFonts w:ascii="Arial" w:hAnsi="Arial" w:cs="Arial"/>
                <w:sz w:val="18"/>
                <w:szCs w:val="18"/>
              </w:rPr>
            </w:pPr>
          </w:p>
        </w:tc>
        <w:tc>
          <w:tcPr>
            <w:tcW w:w="1417" w:type="dxa"/>
            <w:vAlign w:val="center"/>
          </w:tcPr>
          <w:p w14:paraId="16D0D07C" w14:textId="77777777" w:rsidR="0014647F" w:rsidRPr="00C17D08" w:rsidRDefault="0014647F" w:rsidP="00606E2A">
            <w:pPr>
              <w:jc w:val="right"/>
              <w:rPr>
                <w:rFonts w:ascii="Arial" w:hAnsi="Arial" w:cs="Arial"/>
                <w:sz w:val="18"/>
                <w:szCs w:val="18"/>
              </w:rPr>
            </w:pPr>
          </w:p>
        </w:tc>
        <w:tc>
          <w:tcPr>
            <w:tcW w:w="1418" w:type="dxa"/>
            <w:vAlign w:val="center"/>
          </w:tcPr>
          <w:p w14:paraId="63DAF046" w14:textId="77777777" w:rsidR="0014647F" w:rsidRPr="00C17D08" w:rsidRDefault="0014647F" w:rsidP="00606E2A">
            <w:pPr>
              <w:jc w:val="right"/>
              <w:rPr>
                <w:rFonts w:ascii="Arial" w:hAnsi="Arial" w:cs="Arial"/>
                <w:sz w:val="18"/>
                <w:szCs w:val="18"/>
              </w:rPr>
            </w:pPr>
          </w:p>
        </w:tc>
        <w:tc>
          <w:tcPr>
            <w:tcW w:w="1276" w:type="dxa"/>
            <w:vAlign w:val="center"/>
          </w:tcPr>
          <w:p w14:paraId="6140955B" w14:textId="77777777" w:rsidR="0014647F" w:rsidRPr="00C17D08" w:rsidRDefault="0014647F" w:rsidP="00606E2A">
            <w:pPr>
              <w:jc w:val="right"/>
              <w:rPr>
                <w:rFonts w:ascii="Arial" w:hAnsi="Arial" w:cs="Arial"/>
                <w:sz w:val="18"/>
                <w:szCs w:val="18"/>
              </w:rPr>
            </w:pPr>
          </w:p>
        </w:tc>
        <w:tc>
          <w:tcPr>
            <w:tcW w:w="1417" w:type="dxa"/>
            <w:vAlign w:val="center"/>
          </w:tcPr>
          <w:p w14:paraId="05AE9B6E" w14:textId="77777777" w:rsidR="0014647F" w:rsidRPr="00C17D08" w:rsidRDefault="0014647F" w:rsidP="00606E2A">
            <w:pPr>
              <w:jc w:val="right"/>
              <w:rPr>
                <w:rFonts w:ascii="Arial" w:hAnsi="Arial" w:cs="Arial"/>
                <w:sz w:val="18"/>
                <w:szCs w:val="18"/>
              </w:rPr>
            </w:pPr>
          </w:p>
        </w:tc>
      </w:tr>
      <w:tr w:rsidR="00DF139A" w:rsidRPr="00C17D08" w14:paraId="4FF7D0CF" w14:textId="77777777" w:rsidTr="00E66306">
        <w:trPr>
          <w:trHeight w:val="454"/>
          <w:jc w:val="center"/>
        </w:trPr>
        <w:tc>
          <w:tcPr>
            <w:tcW w:w="3261" w:type="dxa"/>
            <w:vAlign w:val="center"/>
          </w:tcPr>
          <w:p w14:paraId="4C07AE11" w14:textId="77777777" w:rsidR="00DF139A" w:rsidRPr="00C17D08" w:rsidRDefault="00DF139A" w:rsidP="00DF139A">
            <w:pPr>
              <w:rPr>
                <w:rFonts w:ascii="Arial" w:hAnsi="Arial" w:cs="Arial"/>
                <w:sz w:val="18"/>
                <w:szCs w:val="18"/>
              </w:rPr>
            </w:pPr>
            <w:r>
              <w:rPr>
                <w:rFonts w:ascii="Arial" w:hAnsi="Arial" w:cs="Arial"/>
                <w:sz w:val="18"/>
                <w:szCs w:val="18"/>
              </w:rPr>
              <w:t>Resto de clientes</w:t>
            </w:r>
          </w:p>
        </w:tc>
        <w:tc>
          <w:tcPr>
            <w:tcW w:w="1417" w:type="dxa"/>
            <w:vAlign w:val="center"/>
          </w:tcPr>
          <w:p w14:paraId="5DADAA66" w14:textId="386D3BE6" w:rsidR="00DF139A" w:rsidRPr="00E66306" w:rsidRDefault="00DF139A" w:rsidP="00DF139A">
            <w:pPr>
              <w:jc w:val="right"/>
              <w:rPr>
                <w:rFonts w:ascii="Arial" w:hAnsi="Arial" w:cs="Arial"/>
                <w:sz w:val="18"/>
                <w:szCs w:val="18"/>
              </w:rPr>
            </w:pPr>
            <w:r>
              <w:rPr>
                <w:rFonts w:ascii="Arial" w:hAnsi="Arial" w:cs="Arial"/>
                <w:sz w:val="18"/>
                <w:szCs w:val="18"/>
              </w:rPr>
              <w:t>57.342.</w:t>
            </w:r>
            <w:r w:rsidR="00831903">
              <w:rPr>
                <w:rFonts w:ascii="Arial" w:hAnsi="Arial" w:cs="Arial"/>
                <w:sz w:val="18"/>
                <w:szCs w:val="18"/>
              </w:rPr>
              <w:t>64</w:t>
            </w:r>
            <w:r>
              <w:rPr>
                <w:rFonts w:ascii="Arial" w:hAnsi="Arial" w:cs="Arial"/>
                <w:sz w:val="18"/>
                <w:szCs w:val="18"/>
              </w:rPr>
              <w:t xml:space="preserve">1 </w:t>
            </w:r>
          </w:p>
        </w:tc>
        <w:tc>
          <w:tcPr>
            <w:tcW w:w="1418" w:type="dxa"/>
            <w:vAlign w:val="center"/>
          </w:tcPr>
          <w:p w14:paraId="6A6EFE4B" w14:textId="042D318E" w:rsidR="00DF139A" w:rsidRPr="00E66306" w:rsidRDefault="00DF139A" w:rsidP="00DF139A">
            <w:pPr>
              <w:jc w:val="right"/>
              <w:rPr>
                <w:rFonts w:ascii="Arial" w:hAnsi="Arial" w:cs="Arial"/>
                <w:sz w:val="18"/>
                <w:szCs w:val="18"/>
              </w:rPr>
            </w:pPr>
            <w:r>
              <w:rPr>
                <w:rFonts w:ascii="Arial" w:hAnsi="Arial" w:cs="Arial"/>
                <w:sz w:val="18"/>
                <w:szCs w:val="18"/>
              </w:rPr>
              <w:t>60,04%</w:t>
            </w:r>
          </w:p>
        </w:tc>
        <w:tc>
          <w:tcPr>
            <w:tcW w:w="1276" w:type="dxa"/>
            <w:vAlign w:val="center"/>
          </w:tcPr>
          <w:p w14:paraId="3F1E6B06" w14:textId="6E00D09A" w:rsidR="00DF139A" w:rsidRPr="00756A6F" w:rsidRDefault="00DF139A" w:rsidP="00DF139A">
            <w:pPr>
              <w:jc w:val="right"/>
              <w:rPr>
                <w:rFonts w:ascii="Arial" w:hAnsi="Arial" w:cs="Arial"/>
                <w:sz w:val="18"/>
                <w:szCs w:val="18"/>
              </w:rPr>
            </w:pPr>
            <w:r w:rsidRPr="00756A6F">
              <w:rPr>
                <w:rFonts w:ascii="Arial" w:hAnsi="Arial" w:cs="Arial"/>
                <w:sz w:val="18"/>
                <w:szCs w:val="18"/>
              </w:rPr>
              <w:t xml:space="preserve">51.304.711 </w:t>
            </w:r>
          </w:p>
        </w:tc>
        <w:tc>
          <w:tcPr>
            <w:tcW w:w="1417" w:type="dxa"/>
            <w:vAlign w:val="center"/>
          </w:tcPr>
          <w:p w14:paraId="0CFC8E9D" w14:textId="304F9A42" w:rsidR="00DF139A" w:rsidRPr="00756A6F" w:rsidRDefault="00DF139A" w:rsidP="00DF139A">
            <w:pPr>
              <w:jc w:val="right"/>
              <w:rPr>
                <w:rFonts w:ascii="Arial" w:hAnsi="Arial" w:cs="Arial"/>
                <w:sz w:val="18"/>
                <w:szCs w:val="18"/>
              </w:rPr>
            </w:pPr>
            <w:r w:rsidRPr="00756A6F">
              <w:rPr>
                <w:rFonts w:ascii="Arial" w:hAnsi="Arial" w:cs="Arial"/>
                <w:sz w:val="18"/>
                <w:szCs w:val="18"/>
              </w:rPr>
              <w:t>62,62%</w:t>
            </w:r>
          </w:p>
        </w:tc>
      </w:tr>
      <w:tr w:rsidR="003E084A" w:rsidRPr="0014647F" w14:paraId="2BA53D6B" w14:textId="77777777" w:rsidTr="00066653">
        <w:trPr>
          <w:trHeight w:val="340"/>
          <w:jc w:val="center"/>
        </w:trPr>
        <w:tc>
          <w:tcPr>
            <w:tcW w:w="3261" w:type="dxa"/>
            <w:tcBorders>
              <w:top w:val="single" w:sz="4" w:space="0" w:color="auto"/>
              <w:bottom w:val="single" w:sz="4" w:space="0" w:color="auto"/>
            </w:tcBorders>
            <w:vAlign w:val="bottom"/>
          </w:tcPr>
          <w:p w14:paraId="5548907D" w14:textId="77777777" w:rsidR="003E084A" w:rsidRPr="0014647F" w:rsidRDefault="003E084A" w:rsidP="003E084A">
            <w:pPr>
              <w:rPr>
                <w:rFonts w:ascii="Arial" w:hAnsi="Arial" w:cs="Arial"/>
                <w:b/>
                <w:sz w:val="18"/>
                <w:szCs w:val="18"/>
              </w:rPr>
            </w:pPr>
            <w:r w:rsidRPr="0014647F">
              <w:rPr>
                <w:rFonts w:ascii="Arial" w:hAnsi="Arial" w:cs="Arial"/>
                <w:b/>
                <w:sz w:val="18"/>
                <w:szCs w:val="18"/>
              </w:rPr>
              <w:t>TOTAL</w:t>
            </w:r>
          </w:p>
        </w:tc>
        <w:tc>
          <w:tcPr>
            <w:tcW w:w="1417" w:type="dxa"/>
            <w:tcBorders>
              <w:top w:val="single" w:sz="4" w:space="0" w:color="auto"/>
              <w:bottom w:val="single" w:sz="4" w:space="0" w:color="auto"/>
            </w:tcBorders>
            <w:vAlign w:val="center"/>
          </w:tcPr>
          <w:p w14:paraId="5BDC0026" w14:textId="16BBC5F7" w:rsidR="003E084A" w:rsidRPr="00E66306" w:rsidRDefault="003E084A" w:rsidP="003E084A">
            <w:pPr>
              <w:jc w:val="right"/>
              <w:rPr>
                <w:rFonts w:ascii="Arial" w:hAnsi="Arial" w:cs="Arial"/>
                <w:b/>
                <w:bCs/>
                <w:sz w:val="18"/>
                <w:szCs w:val="18"/>
              </w:rPr>
            </w:pPr>
            <w:r>
              <w:rPr>
                <w:rFonts w:ascii="Arial" w:hAnsi="Arial" w:cs="Arial"/>
                <w:b/>
                <w:bCs/>
                <w:sz w:val="18"/>
                <w:szCs w:val="18"/>
              </w:rPr>
              <w:t>9</w:t>
            </w:r>
            <w:r w:rsidR="00DF139A">
              <w:rPr>
                <w:rFonts w:ascii="Arial" w:hAnsi="Arial" w:cs="Arial"/>
                <w:b/>
                <w:bCs/>
                <w:sz w:val="18"/>
                <w:szCs w:val="18"/>
              </w:rPr>
              <w:t>5</w:t>
            </w:r>
            <w:r>
              <w:rPr>
                <w:rFonts w:ascii="Arial" w:hAnsi="Arial" w:cs="Arial"/>
                <w:b/>
                <w:bCs/>
                <w:sz w:val="18"/>
                <w:szCs w:val="18"/>
              </w:rPr>
              <w:t>.</w:t>
            </w:r>
            <w:r w:rsidR="00DF139A">
              <w:rPr>
                <w:rFonts w:ascii="Arial" w:hAnsi="Arial" w:cs="Arial"/>
                <w:b/>
                <w:bCs/>
                <w:sz w:val="18"/>
                <w:szCs w:val="18"/>
              </w:rPr>
              <w:t>51</w:t>
            </w:r>
            <w:r w:rsidR="00831903">
              <w:rPr>
                <w:rFonts w:ascii="Arial" w:hAnsi="Arial" w:cs="Arial"/>
                <w:b/>
                <w:bCs/>
                <w:sz w:val="18"/>
                <w:szCs w:val="18"/>
              </w:rPr>
              <w:t>1</w:t>
            </w:r>
            <w:r>
              <w:rPr>
                <w:rFonts w:ascii="Arial" w:hAnsi="Arial" w:cs="Arial"/>
                <w:b/>
                <w:bCs/>
                <w:sz w:val="18"/>
                <w:szCs w:val="18"/>
              </w:rPr>
              <w:t>.</w:t>
            </w:r>
            <w:r w:rsidR="00831903">
              <w:rPr>
                <w:rFonts w:ascii="Arial" w:hAnsi="Arial" w:cs="Arial"/>
                <w:b/>
                <w:bCs/>
                <w:sz w:val="18"/>
                <w:szCs w:val="18"/>
              </w:rPr>
              <w:t>92</w:t>
            </w:r>
            <w:r w:rsidR="00DF139A">
              <w:rPr>
                <w:rFonts w:ascii="Arial" w:hAnsi="Arial" w:cs="Arial"/>
                <w:b/>
                <w:bCs/>
                <w:sz w:val="18"/>
                <w:szCs w:val="18"/>
              </w:rPr>
              <w:t>9</w:t>
            </w:r>
            <w:r>
              <w:rPr>
                <w:rFonts w:ascii="Arial" w:hAnsi="Arial" w:cs="Arial"/>
                <w:b/>
                <w:bCs/>
                <w:sz w:val="18"/>
                <w:szCs w:val="18"/>
              </w:rPr>
              <w:t xml:space="preserve"> </w:t>
            </w:r>
          </w:p>
        </w:tc>
        <w:tc>
          <w:tcPr>
            <w:tcW w:w="1418" w:type="dxa"/>
            <w:tcBorders>
              <w:top w:val="single" w:sz="4" w:space="0" w:color="auto"/>
              <w:bottom w:val="single" w:sz="4" w:space="0" w:color="auto"/>
            </w:tcBorders>
            <w:vAlign w:val="center"/>
          </w:tcPr>
          <w:p w14:paraId="21FE8B7F" w14:textId="5F8E5FF6" w:rsidR="003E084A" w:rsidRPr="00756A6F" w:rsidRDefault="003E084A" w:rsidP="003E084A">
            <w:pPr>
              <w:jc w:val="right"/>
              <w:rPr>
                <w:rFonts w:ascii="Arial" w:hAnsi="Arial" w:cs="Arial"/>
                <w:b/>
                <w:sz w:val="18"/>
                <w:szCs w:val="18"/>
              </w:rPr>
            </w:pPr>
            <w:r>
              <w:rPr>
                <w:rFonts w:ascii="Arial" w:hAnsi="Arial" w:cs="Arial"/>
                <w:b/>
                <w:bCs/>
                <w:sz w:val="18"/>
                <w:szCs w:val="18"/>
              </w:rPr>
              <w:t>100,00%</w:t>
            </w:r>
          </w:p>
        </w:tc>
        <w:tc>
          <w:tcPr>
            <w:tcW w:w="1276" w:type="dxa"/>
            <w:tcBorders>
              <w:top w:val="single" w:sz="4" w:space="0" w:color="auto"/>
              <w:bottom w:val="single" w:sz="4" w:space="0" w:color="auto"/>
            </w:tcBorders>
            <w:vAlign w:val="center"/>
          </w:tcPr>
          <w:p w14:paraId="3D3A4ADF" w14:textId="27D720C9" w:rsidR="003E084A" w:rsidRPr="00756A6F" w:rsidRDefault="003E084A" w:rsidP="003E084A">
            <w:pPr>
              <w:jc w:val="right"/>
              <w:rPr>
                <w:rFonts w:ascii="Arial" w:hAnsi="Arial" w:cs="Arial"/>
                <w:b/>
                <w:sz w:val="18"/>
                <w:szCs w:val="18"/>
              </w:rPr>
            </w:pPr>
            <w:r w:rsidRPr="00756A6F">
              <w:rPr>
                <w:rFonts w:ascii="Arial" w:hAnsi="Arial" w:cs="Arial"/>
                <w:b/>
                <w:sz w:val="18"/>
                <w:szCs w:val="18"/>
              </w:rPr>
              <w:t>81.931.717</w:t>
            </w:r>
          </w:p>
        </w:tc>
        <w:tc>
          <w:tcPr>
            <w:tcW w:w="1417" w:type="dxa"/>
            <w:tcBorders>
              <w:top w:val="single" w:sz="4" w:space="0" w:color="auto"/>
              <w:bottom w:val="single" w:sz="4" w:space="0" w:color="auto"/>
            </w:tcBorders>
            <w:vAlign w:val="center"/>
          </w:tcPr>
          <w:p w14:paraId="00572EA6" w14:textId="5FB08D01" w:rsidR="003E084A" w:rsidRPr="00756A6F" w:rsidRDefault="003E084A" w:rsidP="003E084A">
            <w:pPr>
              <w:jc w:val="right"/>
              <w:rPr>
                <w:rFonts w:ascii="Arial" w:hAnsi="Arial" w:cs="Arial"/>
                <w:b/>
                <w:sz w:val="18"/>
                <w:szCs w:val="18"/>
              </w:rPr>
            </w:pPr>
            <w:r w:rsidRPr="00756A6F">
              <w:rPr>
                <w:rFonts w:ascii="Arial" w:hAnsi="Arial" w:cs="Arial"/>
                <w:b/>
                <w:sz w:val="18"/>
                <w:szCs w:val="18"/>
              </w:rPr>
              <w:t>100,00%</w:t>
            </w:r>
          </w:p>
        </w:tc>
      </w:tr>
      <w:bookmarkEnd w:id="38"/>
    </w:tbl>
    <w:p w14:paraId="1E440533" w14:textId="77777777" w:rsidR="00211A4E" w:rsidRPr="00701F32" w:rsidRDefault="00211A4E" w:rsidP="00276790">
      <w:pPr>
        <w:rPr>
          <w:rFonts w:ascii="Arial" w:hAnsi="Arial" w:cs="Arial"/>
          <w:szCs w:val="24"/>
        </w:rPr>
        <w:sectPr w:rsidR="00211A4E" w:rsidRPr="00701F32" w:rsidSect="0056456F">
          <w:headerReference w:type="default" r:id="rId28"/>
          <w:pgSz w:w="11907" w:h="16839" w:code="9"/>
          <w:pgMar w:top="1418" w:right="1701" w:bottom="1418" w:left="1701" w:header="567" w:footer="0" w:gutter="0"/>
          <w:cols w:space="708"/>
          <w:docGrid w:linePitch="360"/>
        </w:sectPr>
      </w:pPr>
    </w:p>
    <w:p w14:paraId="25255C79" w14:textId="255946D4" w:rsidR="003A3E18" w:rsidRDefault="003A3E18" w:rsidP="00276790">
      <w:pPr>
        <w:rPr>
          <w:sz w:val="20"/>
          <w:lang w:eastAsia="es-AR"/>
        </w:rPr>
      </w:pPr>
    </w:p>
    <w:tbl>
      <w:tblPr>
        <w:tblStyle w:val="Tablaconcuadrcula"/>
        <w:tblW w:w="10059" w:type="dxa"/>
        <w:tblInd w:w="-365" w:type="dxa"/>
        <w:tblLook w:val="04A0" w:firstRow="1" w:lastRow="0" w:firstColumn="1" w:lastColumn="0" w:noHBand="0" w:noVBand="1"/>
      </w:tblPr>
      <w:tblGrid>
        <w:gridCol w:w="2244"/>
        <w:gridCol w:w="1055"/>
        <w:gridCol w:w="917"/>
        <w:gridCol w:w="917"/>
        <w:gridCol w:w="956"/>
        <w:gridCol w:w="956"/>
        <w:gridCol w:w="956"/>
        <w:gridCol w:w="1063"/>
        <w:gridCol w:w="995"/>
      </w:tblGrid>
      <w:tr w:rsidR="008B2A1C" w:rsidRPr="008B2A1C" w14:paraId="6A3ADB03" w14:textId="1D69BA05" w:rsidTr="00AA40A5">
        <w:trPr>
          <w:trHeight w:val="190"/>
        </w:trPr>
        <w:tc>
          <w:tcPr>
            <w:tcW w:w="24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ADECF9" w14:textId="61034ABF" w:rsidR="00326E79" w:rsidRPr="008B2A1C" w:rsidRDefault="00326E79" w:rsidP="003A3E18">
            <w:pPr>
              <w:jc w:val="center"/>
              <w:rPr>
                <w:rFonts w:ascii="Arial" w:hAnsi="Arial" w:cs="Arial"/>
                <w:b/>
                <w:sz w:val="14"/>
                <w:szCs w:val="14"/>
                <w:lang w:eastAsia="es-AR"/>
              </w:rPr>
            </w:pPr>
            <w:bookmarkStart w:id="39" w:name="_Hlk9948076"/>
            <w:bookmarkStart w:id="40" w:name="OLE_LINK2"/>
            <w:r w:rsidRPr="008B2A1C">
              <w:rPr>
                <w:rFonts w:ascii="Arial" w:hAnsi="Arial" w:cs="Arial"/>
                <w:b/>
                <w:sz w:val="14"/>
                <w:szCs w:val="14"/>
                <w:lang w:eastAsia="es-AR"/>
              </w:rPr>
              <w:t>Concepto</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68C674" w14:textId="0549FA77" w:rsidR="00326E79" w:rsidRPr="008B2A1C" w:rsidRDefault="00326E79" w:rsidP="003A3E18">
            <w:pPr>
              <w:jc w:val="center"/>
              <w:rPr>
                <w:rFonts w:ascii="Arial" w:hAnsi="Arial" w:cs="Arial"/>
                <w:b/>
                <w:sz w:val="14"/>
                <w:szCs w:val="14"/>
                <w:lang w:eastAsia="es-AR"/>
              </w:rPr>
            </w:pPr>
            <w:r w:rsidRPr="008B2A1C">
              <w:rPr>
                <w:rFonts w:ascii="Arial" w:hAnsi="Arial" w:cs="Arial"/>
                <w:b/>
                <w:sz w:val="14"/>
                <w:szCs w:val="14"/>
                <w:lang w:eastAsia="es-AR"/>
              </w:rPr>
              <w:t>Cartera Vencida</w:t>
            </w:r>
          </w:p>
        </w:tc>
        <w:tc>
          <w:tcPr>
            <w:tcW w:w="569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5966C2" w14:textId="580E96C1" w:rsidR="00326E79" w:rsidRPr="008B2A1C" w:rsidRDefault="00326E79" w:rsidP="003A3E18">
            <w:pPr>
              <w:jc w:val="center"/>
              <w:rPr>
                <w:rFonts w:ascii="Arial" w:hAnsi="Arial" w:cs="Arial"/>
                <w:b/>
                <w:sz w:val="14"/>
                <w:szCs w:val="14"/>
                <w:lang w:eastAsia="es-AR"/>
              </w:rPr>
            </w:pPr>
            <w:r w:rsidRPr="008B2A1C">
              <w:rPr>
                <w:rFonts w:ascii="Arial" w:hAnsi="Arial" w:cs="Arial"/>
                <w:b/>
                <w:sz w:val="14"/>
                <w:szCs w:val="14"/>
                <w:lang w:eastAsia="es-AR"/>
              </w:rPr>
              <w:t>Plazos que restan para su vencimiento</w:t>
            </w:r>
          </w:p>
        </w:tc>
        <w:tc>
          <w:tcPr>
            <w:tcW w:w="88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120E6E" w14:textId="37291FA7"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Total</w:t>
            </w:r>
          </w:p>
        </w:tc>
      </w:tr>
      <w:tr w:rsidR="00312755" w:rsidRPr="008B2A1C" w14:paraId="6C1ED384" w14:textId="5BC09024" w:rsidTr="00AA40A5">
        <w:trPr>
          <w:trHeight w:val="631"/>
        </w:trPr>
        <w:tc>
          <w:tcPr>
            <w:tcW w:w="2400" w:type="dxa"/>
            <w:vMerge/>
            <w:tcBorders>
              <w:top w:val="single" w:sz="4" w:space="0" w:color="auto"/>
              <w:bottom w:val="single" w:sz="4" w:space="0" w:color="auto"/>
            </w:tcBorders>
            <w:vAlign w:val="center"/>
          </w:tcPr>
          <w:p w14:paraId="6EF0FD32" w14:textId="77777777" w:rsidR="00326E79" w:rsidRPr="008B2A1C" w:rsidRDefault="00326E79" w:rsidP="003A3E18">
            <w:pPr>
              <w:jc w:val="center"/>
              <w:rPr>
                <w:rFonts w:ascii="Arial" w:hAnsi="Arial" w:cs="Arial"/>
                <w:b/>
                <w:sz w:val="14"/>
                <w:szCs w:val="14"/>
                <w:lang w:eastAsia="es-AR"/>
              </w:rPr>
            </w:pPr>
          </w:p>
        </w:tc>
        <w:tc>
          <w:tcPr>
            <w:tcW w:w="1080" w:type="dxa"/>
            <w:vMerge/>
            <w:tcBorders>
              <w:top w:val="single" w:sz="4" w:space="0" w:color="auto"/>
              <w:bottom w:val="single" w:sz="4" w:space="0" w:color="auto"/>
            </w:tcBorders>
            <w:vAlign w:val="center"/>
          </w:tcPr>
          <w:p w14:paraId="2E2E51B7" w14:textId="77777777" w:rsidR="00326E79" w:rsidRPr="008B2A1C" w:rsidRDefault="00326E79" w:rsidP="003A3E18">
            <w:pPr>
              <w:jc w:val="center"/>
              <w:rPr>
                <w:rFonts w:ascii="Arial" w:hAnsi="Arial" w:cs="Arial"/>
                <w:b/>
                <w:sz w:val="14"/>
                <w:szCs w:val="14"/>
                <w:lang w:eastAsia="es-AR"/>
              </w:rPr>
            </w:pPr>
          </w:p>
        </w:tc>
        <w:tc>
          <w:tcPr>
            <w:tcW w:w="872" w:type="dxa"/>
            <w:tcBorders>
              <w:top w:val="single" w:sz="4" w:space="0" w:color="auto"/>
              <w:bottom w:val="single" w:sz="4" w:space="0" w:color="auto"/>
            </w:tcBorders>
            <w:shd w:val="clear" w:color="auto" w:fill="BFBFBF" w:themeFill="background1" w:themeFillShade="BF"/>
            <w:vAlign w:val="center"/>
          </w:tcPr>
          <w:p w14:paraId="21F5B811" w14:textId="77777777"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1</w:t>
            </w:r>
          </w:p>
          <w:p w14:paraId="523E5104" w14:textId="6FB5867F"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 xml:space="preserve"> mes</w:t>
            </w:r>
          </w:p>
        </w:tc>
        <w:tc>
          <w:tcPr>
            <w:tcW w:w="858" w:type="dxa"/>
            <w:tcBorders>
              <w:top w:val="single" w:sz="4" w:space="0" w:color="auto"/>
              <w:bottom w:val="single" w:sz="4" w:space="0" w:color="auto"/>
            </w:tcBorders>
            <w:shd w:val="clear" w:color="auto" w:fill="BFBFBF" w:themeFill="background1" w:themeFillShade="BF"/>
            <w:vAlign w:val="center"/>
          </w:tcPr>
          <w:p w14:paraId="4FA45DF6" w14:textId="6438D4BC" w:rsidR="00326E79" w:rsidRPr="008B2A1C" w:rsidRDefault="00326E79" w:rsidP="00326E79">
            <w:pPr>
              <w:ind w:right="-210"/>
              <w:rPr>
                <w:rFonts w:ascii="Arial" w:hAnsi="Arial" w:cs="Arial"/>
                <w:b/>
                <w:sz w:val="14"/>
                <w:szCs w:val="14"/>
                <w:lang w:eastAsia="es-AR"/>
              </w:rPr>
            </w:pPr>
            <w:r w:rsidRPr="008B2A1C">
              <w:rPr>
                <w:rFonts w:ascii="Arial" w:hAnsi="Arial" w:cs="Arial"/>
                <w:b/>
                <w:sz w:val="14"/>
                <w:szCs w:val="14"/>
                <w:lang w:eastAsia="es-AR"/>
              </w:rPr>
              <w:t xml:space="preserve">     3</w:t>
            </w:r>
          </w:p>
          <w:p w14:paraId="3BB6F99E" w14:textId="50EDD8D6" w:rsidR="00326E79" w:rsidRPr="008B2A1C" w:rsidRDefault="00326E79" w:rsidP="00326E79">
            <w:pPr>
              <w:ind w:right="-210"/>
              <w:rPr>
                <w:rFonts w:ascii="Arial" w:hAnsi="Arial" w:cs="Arial"/>
                <w:b/>
                <w:sz w:val="14"/>
                <w:szCs w:val="14"/>
                <w:lang w:eastAsia="es-AR"/>
              </w:rPr>
            </w:pPr>
            <w:r w:rsidRPr="008B2A1C">
              <w:rPr>
                <w:rFonts w:ascii="Arial" w:hAnsi="Arial" w:cs="Arial"/>
                <w:b/>
                <w:sz w:val="14"/>
                <w:szCs w:val="14"/>
                <w:lang w:eastAsia="es-AR"/>
              </w:rPr>
              <w:t xml:space="preserve"> meses</w:t>
            </w:r>
          </w:p>
        </w:tc>
        <w:tc>
          <w:tcPr>
            <w:tcW w:w="960" w:type="dxa"/>
            <w:tcBorders>
              <w:top w:val="single" w:sz="4" w:space="0" w:color="auto"/>
              <w:bottom w:val="single" w:sz="4" w:space="0" w:color="auto"/>
            </w:tcBorders>
            <w:shd w:val="clear" w:color="auto" w:fill="BFBFBF" w:themeFill="background1" w:themeFillShade="BF"/>
            <w:vAlign w:val="center"/>
          </w:tcPr>
          <w:p w14:paraId="43272CC8" w14:textId="77777777"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 xml:space="preserve">6 </w:t>
            </w:r>
          </w:p>
          <w:p w14:paraId="75930334" w14:textId="1113E43A"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meses</w:t>
            </w:r>
          </w:p>
        </w:tc>
        <w:tc>
          <w:tcPr>
            <w:tcW w:w="960" w:type="dxa"/>
            <w:tcBorders>
              <w:top w:val="single" w:sz="4" w:space="0" w:color="auto"/>
              <w:bottom w:val="single" w:sz="4" w:space="0" w:color="auto"/>
            </w:tcBorders>
            <w:shd w:val="clear" w:color="auto" w:fill="BFBFBF" w:themeFill="background1" w:themeFillShade="BF"/>
            <w:vAlign w:val="center"/>
          </w:tcPr>
          <w:p w14:paraId="23EED5CF" w14:textId="5A4B8DB3"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12 meses</w:t>
            </w:r>
          </w:p>
        </w:tc>
        <w:tc>
          <w:tcPr>
            <w:tcW w:w="960" w:type="dxa"/>
            <w:tcBorders>
              <w:top w:val="single" w:sz="4" w:space="0" w:color="auto"/>
              <w:bottom w:val="single" w:sz="4" w:space="0" w:color="auto"/>
            </w:tcBorders>
            <w:shd w:val="clear" w:color="auto" w:fill="BFBFBF" w:themeFill="background1" w:themeFillShade="BF"/>
            <w:vAlign w:val="center"/>
          </w:tcPr>
          <w:p w14:paraId="1C8D19AD" w14:textId="143ACF4A" w:rsidR="00326E79" w:rsidRPr="008B2A1C" w:rsidRDefault="00326E79" w:rsidP="00326E79">
            <w:pPr>
              <w:jc w:val="center"/>
              <w:rPr>
                <w:rFonts w:ascii="Arial" w:hAnsi="Arial" w:cs="Arial"/>
                <w:b/>
                <w:sz w:val="14"/>
                <w:szCs w:val="14"/>
                <w:lang w:eastAsia="es-AR"/>
              </w:rPr>
            </w:pPr>
            <w:r w:rsidRPr="008B2A1C">
              <w:rPr>
                <w:rFonts w:ascii="Arial" w:hAnsi="Arial" w:cs="Arial"/>
                <w:b/>
                <w:sz w:val="14"/>
                <w:szCs w:val="14"/>
                <w:lang w:eastAsia="es-AR"/>
              </w:rPr>
              <w:t>24 meses</w:t>
            </w:r>
          </w:p>
        </w:tc>
        <w:tc>
          <w:tcPr>
            <w:tcW w:w="1080" w:type="dxa"/>
            <w:tcBorders>
              <w:top w:val="single" w:sz="4" w:space="0" w:color="auto"/>
              <w:bottom w:val="single" w:sz="4" w:space="0" w:color="auto"/>
            </w:tcBorders>
            <w:shd w:val="clear" w:color="auto" w:fill="BFBFBF" w:themeFill="background1" w:themeFillShade="BF"/>
            <w:vAlign w:val="center"/>
          </w:tcPr>
          <w:p w14:paraId="328BB442" w14:textId="232BF3E5" w:rsidR="00326E79" w:rsidRPr="008B2A1C" w:rsidRDefault="00326E79" w:rsidP="003A3E18">
            <w:pPr>
              <w:jc w:val="center"/>
              <w:rPr>
                <w:rFonts w:ascii="Arial" w:hAnsi="Arial" w:cs="Arial"/>
                <w:b/>
                <w:sz w:val="14"/>
                <w:szCs w:val="14"/>
                <w:lang w:eastAsia="es-AR"/>
              </w:rPr>
            </w:pPr>
            <w:r w:rsidRPr="008B2A1C">
              <w:rPr>
                <w:rFonts w:ascii="Arial" w:hAnsi="Arial" w:cs="Arial"/>
                <w:b/>
                <w:sz w:val="14"/>
                <w:szCs w:val="14"/>
                <w:lang w:eastAsia="es-AR"/>
              </w:rPr>
              <w:t>Mas de 24 meses</w:t>
            </w:r>
          </w:p>
        </w:tc>
        <w:tc>
          <w:tcPr>
            <w:tcW w:w="889" w:type="dxa"/>
            <w:vMerge/>
            <w:tcBorders>
              <w:top w:val="single" w:sz="4" w:space="0" w:color="auto"/>
              <w:bottom w:val="single" w:sz="4" w:space="0" w:color="auto"/>
            </w:tcBorders>
          </w:tcPr>
          <w:p w14:paraId="05668A6D" w14:textId="77777777" w:rsidR="00326E79" w:rsidRPr="008B2A1C" w:rsidRDefault="00326E79" w:rsidP="003A3E18">
            <w:pPr>
              <w:jc w:val="center"/>
              <w:rPr>
                <w:rFonts w:ascii="Arial" w:hAnsi="Arial" w:cs="Arial"/>
                <w:b/>
                <w:sz w:val="14"/>
                <w:szCs w:val="14"/>
                <w:lang w:eastAsia="es-AR"/>
              </w:rPr>
            </w:pPr>
          </w:p>
        </w:tc>
      </w:tr>
      <w:tr w:rsidR="008B2A1C" w:rsidRPr="008B2A1C" w14:paraId="31BE76DF" w14:textId="49D926CD" w:rsidTr="00326E79">
        <w:trPr>
          <w:trHeight w:val="454"/>
        </w:trPr>
        <w:tc>
          <w:tcPr>
            <w:tcW w:w="2400" w:type="dxa"/>
            <w:tcBorders>
              <w:top w:val="single" w:sz="4" w:space="0" w:color="auto"/>
              <w:left w:val="nil"/>
              <w:bottom w:val="nil"/>
              <w:right w:val="nil"/>
            </w:tcBorders>
          </w:tcPr>
          <w:p w14:paraId="75A56EB4" w14:textId="77777777" w:rsidR="00326E79" w:rsidRPr="008B2A1C" w:rsidRDefault="00326E79" w:rsidP="00276790">
            <w:pPr>
              <w:rPr>
                <w:rFonts w:ascii="Arial" w:hAnsi="Arial" w:cs="Arial"/>
                <w:sz w:val="14"/>
                <w:szCs w:val="14"/>
                <w:lang w:eastAsia="es-AR"/>
              </w:rPr>
            </w:pPr>
          </w:p>
        </w:tc>
        <w:tc>
          <w:tcPr>
            <w:tcW w:w="1080" w:type="dxa"/>
            <w:tcBorders>
              <w:top w:val="single" w:sz="4" w:space="0" w:color="auto"/>
              <w:left w:val="nil"/>
              <w:bottom w:val="nil"/>
              <w:right w:val="nil"/>
            </w:tcBorders>
          </w:tcPr>
          <w:p w14:paraId="6694E40D" w14:textId="77777777" w:rsidR="00326E79" w:rsidRPr="008B2A1C" w:rsidRDefault="00326E79" w:rsidP="00276790">
            <w:pPr>
              <w:rPr>
                <w:rFonts w:ascii="Arial" w:hAnsi="Arial" w:cs="Arial"/>
                <w:sz w:val="14"/>
                <w:szCs w:val="14"/>
                <w:lang w:eastAsia="es-AR"/>
              </w:rPr>
            </w:pPr>
          </w:p>
        </w:tc>
        <w:tc>
          <w:tcPr>
            <w:tcW w:w="872" w:type="dxa"/>
            <w:tcBorders>
              <w:top w:val="single" w:sz="4" w:space="0" w:color="auto"/>
              <w:left w:val="nil"/>
              <w:bottom w:val="nil"/>
              <w:right w:val="nil"/>
            </w:tcBorders>
          </w:tcPr>
          <w:p w14:paraId="39B70FED" w14:textId="77777777" w:rsidR="00326E79" w:rsidRPr="008B2A1C" w:rsidRDefault="00326E79" w:rsidP="00276790">
            <w:pPr>
              <w:rPr>
                <w:rFonts w:ascii="Arial" w:hAnsi="Arial" w:cs="Arial"/>
                <w:sz w:val="14"/>
                <w:szCs w:val="14"/>
                <w:lang w:eastAsia="es-AR"/>
              </w:rPr>
            </w:pPr>
          </w:p>
        </w:tc>
        <w:tc>
          <w:tcPr>
            <w:tcW w:w="858" w:type="dxa"/>
            <w:tcBorders>
              <w:top w:val="single" w:sz="4" w:space="0" w:color="auto"/>
              <w:left w:val="nil"/>
              <w:bottom w:val="nil"/>
              <w:right w:val="nil"/>
            </w:tcBorders>
          </w:tcPr>
          <w:p w14:paraId="3EEAD43C" w14:textId="77777777" w:rsidR="00326E79" w:rsidRPr="008B2A1C" w:rsidRDefault="00326E79" w:rsidP="00276790">
            <w:pPr>
              <w:rPr>
                <w:rFonts w:ascii="Arial" w:hAnsi="Arial" w:cs="Arial"/>
                <w:sz w:val="14"/>
                <w:szCs w:val="14"/>
                <w:lang w:eastAsia="es-AR"/>
              </w:rPr>
            </w:pPr>
          </w:p>
        </w:tc>
        <w:tc>
          <w:tcPr>
            <w:tcW w:w="960" w:type="dxa"/>
            <w:tcBorders>
              <w:top w:val="single" w:sz="4" w:space="0" w:color="auto"/>
              <w:left w:val="nil"/>
              <w:bottom w:val="nil"/>
              <w:right w:val="nil"/>
            </w:tcBorders>
          </w:tcPr>
          <w:p w14:paraId="51DCD32B" w14:textId="77777777" w:rsidR="00326E79" w:rsidRPr="008B2A1C" w:rsidRDefault="00326E79" w:rsidP="00276790">
            <w:pPr>
              <w:rPr>
                <w:rFonts w:ascii="Arial" w:hAnsi="Arial" w:cs="Arial"/>
                <w:sz w:val="14"/>
                <w:szCs w:val="14"/>
                <w:lang w:eastAsia="es-AR"/>
              </w:rPr>
            </w:pPr>
          </w:p>
        </w:tc>
        <w:tc>
          <w:tcPr>
            <w:tcW w:w="960" w:type="dxa"/>
            <w:tcBorders>
              <w:top w:val="single" w:sz="4" w:space="0" w:color="auto"/>
              <w:left w:val="nil"/>
              <w:bottom w:val="nil"/>
              <w:right w:val="nil"/>
            </w:tcBorders>
          </w:tcPr>
          <w:p w14:paraId="1F9DFC81" w14:textId="77777777" w:rsidR="00326E79" w:rsidRPr="008B2A1C" w:rsidRDefault="00326E79" w:rsidP="00276790">
            <w:pPr>
              <w:rPr>
                <w:rFonts w:ascii="Arial" w:hAnsi="Arial" w:cs="Arial"/>
                <w:sz w:val="14"/>
                <w:szCs w:val="14"/>
                <w:lang w:eastAsia="es-AR"/>
              </w:rPr>
            </w:pPr>
          </w:p>
        </w:tc>
        <w:tc>
          <w:tcPr>
            <w:tcW w:w="960" w:type="dxa"/>
            <w:tcBorders>
              <w:top w:val="single" w:sz="4" w:space="0" w:color="auto"/>
              <w:left w:val="nil"/>
              <w:bottom w:val="nil"/>
              <w:right w:val="nil"/>
            </w:tcBorders>
          </w:tcPr>
          <w:p w14:paraId="0AEC9937" w14:textId="77777777" w:rsidR="00326E79" w:rsidRPr="008B2A1C" w:rsidRDefault="00326E79" w:rsidP="00276790">
            <w:pPr>
              <w:rPr>
                <w:rFonts w:ascii="Arial" w:hAnsi="Arial" w:cs="Arial"/>
                <w:sz w:val="14"/>
                <w:szCs w:val="14"/>
                <w:lang w:eastAsia="es-AR"/>
              </w:rPr>
            </w:pPr>
          </w:p>
        </w:tc>
        <w:tc>
          <w:tcPr>
            <w:tcW w:w="1080" w:type="dxa"/>
            <w:tcBorders>
              <w:top w:val="single" w:sz="4" w:space="0" w:color="auto"/>
              <w:left w:val="nil"/>
              <w:bottom w:val="nil"/>
              <w:right w:val="nil"/>
            </w:tcBorders>
          </w:tcPr>
          <w:p w14:paraId="72140077" w14:textId="77777777" w:rsidR="00326E79" w:rsidRPr="008B2A1C" w:rsidRDefault="00326E79" w:rsidP="00276790">
            <w:pPr>
              <w:rPr>
                <w:rFonts w:ascii="Arial" w:hAnsi="Arial" w:cs="Arial"/>
                <w:sz w:val="14"/>
                <w:szCs w:val="14"/>
                <w:lang w:eastAsia="es-AR"/>
              </w:rPr>
            </w:pPr>
          </w:p>
        </w:tc>
        <w:tc>
          <w:tcPr>
            <w:tcW w:w="889" w:type="dxa"/>
            <w:tcBorders>
              <w:top w:val="single" w:sz="4" w:space="0" w:color="auto"/>
              <w:left w:val="nil"/>
              <w:bottom w:val="nil"/>
              <w:right w:val="nil"/>
            </w:tcBorders>
          </w:tcPr>
          <w:p w14:paraId="2AB270F3" w14:textId="77777777" w:rsidR="00326E79" w:rsidRPr="008B2A1C" w:rsidRDefault="00326E79" w:rsidP="00276790">
            <w:pPr>
              <w:rPr>
                <w:rFonts w:ascii="Arial" w:hAnsi="Arial" w:cs="Arial"/>
                <w:sz w:val="14"/>
                <w:szCs w:val="14"/>
                <w:lang w:eastAsia="es-AR"/>
              </w:rPr>
            </w:pPr>
          </w:p>
        </w:tc>
      </w:tr>
      <w:tr w:rsidR="008B2A1C" w:rsidRPr="008B2A1C" w14:paraId="1C43F0F2" w14:textId="1AA3D207" w:rsidTr="00BE26A8">
        <w:trPr>
          <w:trHeight w:val="454"/>
        </w:trPr>
        <w:tc>
          <w:tcPr>
            <w:tcW w:w="2400" w:type="dxa"/>
            <w:tcBorders>
              <w:top w:val="nil"/>
              <w:left w:val="nil"/>
              <w:bottom w:val="nil"/>
              <w:right w:val="nil"/>
            </w:tcBorders>
            <w:vAlign w:val="bottom"/>
          </w:tcPr>
          <w:p w14:paraId="72E32313" w14:textId="6909FC6E" w:rsidR="00782ED3" w:rsidRPr="008B2A1C" w:rsidRDefault="00782ED3" w:rsidP="00BE26A8">
            <w:pPr>
              <w:rPr>
                <w:rFonts w:ascii="Arial" w:hAnsi="Arial" w:cs="Arial"/>
                <w:sz w:val="14"/>
                <w:szCs w:val="14"/>
                <w:lang w:eastAsia="es-AR"/>
              </w:rPr>
            </w:pPr>
            <w:r w:rsidRPr="008B2A1C">
              <w:rPr>
                <w:rFonts w:ascii="Arial" w:hAnsi="Arial" w:cs="Arial"/>
                <w:sz w:val="14"/>
                <w:szCs w:val="14"/>
                <w:lang w:eastAsia="es-AR"/>
              </w:rPr>
              <w:t>Sector Público no financiero</w:t>
            </w:r>
          </w:p>
        </w:tc>
        <w:tc>
          <w:tcPr>
            <w:tcW w:w="1080" w:type="dxa"/>
            <w:tcBorders>
              <w:top w:val="nil"/>
              <w:left w:val="nil"/>
              <w:bottom w:val="nil"/>
              <w:right w:val="nil"/>
            </w:tcBorders>
            <w:vAlign w:val="bottom"/>
          </w:tcPr>
          <w:p w14:paraId="0EC5767C" w14:textId="6616E060"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w:t>
            </w:r>
          </w:p>
        </w:tc>
        <w:tc>
          <w:tcPr>
            <w:tcW w:w="872" w:type="dxa"/>
            <w:tcBorders>
              <w:top w:val="nil"/>
              <w:left w:val="nil"/>
              <w:bottom w:val="nil"/>
              <w:right w:val="nil"/>
            </w:tcBorders>
            <w:vAlign w:val="bottom"/>
          </w:tcPr>
          <w:p w14:paraId="036D0A57" w14:textId="03A66D2D"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3.980</w:t>
            </w:r>
          </w:p>
        </w:tc>
        <w:tc>
          <w:tcPr>
            <w:tcW w:w="858" w:type="dxa"/>
            <w:tcBorders>
              <w:top w:val="nil"/>
              <w:left w:val="nil"/>
              <w:bottom w:val="nil"/>
              <w:right w:val="nil"/>
            </w:tcBorders>
            <w:vAlign w:val="bottom"/>
          </w:tcPr>
          <w:p w14:paraId="093268AD" w14:textId="6B944A07"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4.351</w:t>
            </w:r>
          </w:p>
        </w:tc>
        <w:tc>
          <w:tcPr>
            <w:tcW w:w="960" w:type="dxa"/>
            <w:tcBorders>
              <w:top w:val="nil"/>
              <w:left w:val="nil"/>
              <w:bottom w:val="nil"/>
              <w:right w:val="nil"/>
            </w:tcBorders>
            <w:vAlign w:val="bottom"/>
          </w:tcPr>
          <w:p w14:paraId="6DE669BF" w14:textId="219DB756"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6.717</w:t>
            </w:r>
          </w:p>
        </w:tc>
        <w:tc>
          <w:tcPr>
            <w:tcW w:w="960" w:type="dxa"/>
            <w:tcBorders>
              <w:top w:val="nil"/>
              <w:left w:val="nil"/>
              <w:bottom w:val="nil"/>
              <w:right w:val="nil"/>
            </w:tcBorders>
            <w:vAlign w:val="bottom"/>
          </w:tcPr>
          <w:p w14:paraId="3B73A75E" w14:textId="357CEAE9"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14.050</w:t>
            </w:r>
          </w:p>
        </w:tc>
        <w:tc>
          <w:tcPr>
            <w:tcW w:w="960" w:type="dxa"/>
            <w:tcBorders>
              <w:top w:val="nil"/>
              <w:left w:val="nil"/>
              <w:bottom w:val="nil"/>
              <w:right w:val="nil"/>
            </w:tcBorders>
            <w:vAlign w:val="bottom"/>
          </w:tcPr>
          <w:p w14:paraId="5EE8990A" w14:textId="181C230B"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32.159</w:t>
            </w:r>
          </w:p>
        </w:tc>
        <w:tc>
          <w:tcPr>
            <w:tcW w:w="1080" w:type="dxa"/>
            <w:tcBorders>
              <w:top w:val="nil"/>
              <w:left w:val="nil"/>
              <w:bottom w:val="nil"/>
              <w:right w:val="nil"/>
            </w:tcBorders>
            <w:vAlign w:val="bottom"/>
          </w:tcPr>
          <w:p w14:paraId="5DF37D09" w14:textId="6EA72D81"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26.157</w:t>
            </w:r>
          </w:p>
        </w:tc>
        <w:tc>
          <w:tcPr>
            <w:tcW w:w="889" w:type="dxa"/>
            <w:tcBorders>
              <w:top w:val="nil"/>
              <w:left w:val="nil"/>
              <w:bottom w:val="nil"/>
              <w:right w:val="nil"/>
            </w:tcBorders>
            <w:vAlign w:val="bottom"/>
          </w:tcPr>
          <w:p w14:paraId="19BD0F6B" w14:textId="0E01E60E"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87.414</w:t>
            </w:r>
          </w:p>
        </w:tc>
      </w:tr>
      <w:tr w:rsidR="008B2A1C" w:rsidRPr="008B2A1C" w14:paraId="715379E7" w14:textId="05052A2E" w:rsidTr="00BE26A8">
        <w:trPr>
          <w:trHeight w:val="454"/>
        </w:trPr>
        <w:tc>
          <w:tcPr>
            <w:tcW w:w="2400" w:type="dxa"/>
            <w:tcBorders>
              <w:top w:val="nil"/>
              <w:left w:val="nil"/>
              <w:bottom w:val="nil"/>
              <w:right w:val="nil"/>
            </w:tcBorders>
            <w:vAlign w:val="bottom"/>
          </w:tcPr>
          <w:p w14:paraId="757F455C" w14:textId="238C2E19" w:rsidR="00782ED3" w:rsidRPr="008B2A1C" w:rsidRDefault="00782ED3" w:rsidP="00BE26A8">
            <w:pPr>
              <w:rPr>
                <w:rFonts w:ascii="Arial" w:hAnsi="Arial" w:cs="Arial"/>
                <w:sz w:val="14"/>
                <w:szCs w:val="14"/>
                <w:lang w:eastAsia="es-AR"/>
              </w:rPr>
            </w:pPr>
            <w:r w:rsidRPr="008B2A1C">
              <w:rPr>
                <w:rFonts w:ascii="Arial" w:hAnsi="Arial" w:cs="Arial"/>
                <w:sz w:val="14"/>
                <w:szCs w:val="14"/>
                <w:lang w:eastAsia="es-AR"/>
              </w:rPr>
              <w:t>Sector Fi</w:t>
            </w:r>
            <w:r w:rsidR="00945157" w:rsidRPr="008B2A1C">
              <w:rPr>
                <w:rFonts w:ascii="Arial" w:hAnsi="Arial" w:cs="Arial"/>
                <w:sz w:val="14"/>
                <w:szCs w:val="14"/>
                <w:lang w:eastAsia="es-AR"/>
              </w:rPr>
              <w:t>n</w:t>
            </w:r>
            <w:r w:rsidRPr="008B2A1C">
              <w:rPr>
                <w:rFonts w:ascii="Arial" w:hAnsi="Arial" w:cs="Arial"/>
                <w:sz w:val="14"/>
                <w:szCs w:val="14"/>
                <w:lang w:eastAsia="es-AR"/>
              </w:rPr>
              <w:t>anciero</w:t>
            </w:r>
          </w:p>
        </w:tc>
        <w:tc>
          <w:tcPr>
            <w:tcW w:w="1080" w:type="dxa"/>
            <w:tcBorders>
              <w:top w:val="nil"/>
              <w:left w:val="nil"/>
              <w:bottom w:val="nil"/>
              <w:right w:val="nil"/>
            </w:tcBorders>
            <w:vAlign w:val="bottom"/>
          </w:tcPr>
          <w:p w14:paraId="2E94C545" w14:textId="79E3565D"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w:t>
            </w:r>
          </w:p>
        </w:tc>
        <w:tc>
          <w:tcPr>
            <w:tcW w:w="872" w:type="dxa"/>
            <w:tcBorders>
              <w:top w:val="nil"/>
              <w:left w:val="nil"/>
              <w:bottom w:val="nil"/>
              <w:right w:val="nil"/>
            </w:tcBorders>
            <w:vAlign w:val="bottom"/>
          </w:tcPr>
          <w:p w14:paraId="471E3167" w14:textId="3A239D66"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39.375</w:t>
            </w:r>
          </w:p>
        </w:tc>
        <w:tc>
          <w:tcPr>
            <w:tcW w:w="858" w:type="dxa"/>
            <w:tcBorders>
              <w:top w:val="nil"/>
              <w:left w:val="nil"/>
              <w:bottom w:val="nil"/>
              <w:right w:val="nil"/>
            </w:tcBorders>
            <w:vAlign w:val="bottom"/>
          </w:tcPr>
          <w:p w14:paraId="6C5A0AB7" w14:textId="7F7343BB"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11.268</w:t>
            </w:r>
          </w:p>
        </w:tc>
        <w:tc>
          <w:tcPr>
            <w:tcW w:w="960" w:type="dxa"/>
            <w:tcBorders>
              <w:top w:val="nil"/>
              <w:left w:val="nil"/>
              <w:bottom w:val="nil"/>
              <w:right w:val="nil"/>
            </w:tcBorders>
            <w:vAlign w:val="bottom"/>
          </w:tcPr>
          <w:p w14:paraId="555A0790" w14:textId="59DF4A4B"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13</w:t>
            </w:r>
            <w:r w:rsidR="00B94E69">
              <w:rPr>
                <w:rFonts w:ascii="Arial" w:hAnsi="Arial" w:cs="Arial"/>
                <w:sz w:val="14"/>
                <w:szCs w:val="14"/>
                <w:lang w:eastAsia="es-AR"/>
              </w:rPr>
              <w:t>.</w:t>
            </w:r>
            <w:r>
              <w:rPr>
                <w:rFonts w:ascii="Arial" w:hAnsi="Arial" w:cs="Arial"/>
                <w:sz w:val="14"/>
                <w:szCs w:val="14"/>
                <w:lang w:eastAsia="es-AR"/>
              </w:rPr>
              <w:t>164</w:t>
            </w:r>
          </w:p>
        </w:tc>
        <w:tc>
          <w:tcPr>
            <w:tcW w:w="960" w:type="dxa"/>
            <w:tcBorders>
              <w:top w:val="nil"/>
              <w:left w:val="nil"/>
              <w:bottom w:val="nil"/>
              <w:right w:val="nil"/>
            </w:tcBorders>
            <w:vAlign w:val="bottom"/>
          </w:tcPr>
          <w:p w14:paraId="79E10D87" w14:textId="6DBC834C"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15.491</w:t>
            </w:r>
          </w:p>
        </w:tc>
        <w:tc>
          <w:tcPr>
            <w:tcW w:w="960" w:type="dxa"/>
            <w:tcBorders>
              <w:top w:val="nil"/>
              <w:left w:val="nil"/>
              <w:bottom w:val="nil"/>
              <w:right w:val="nil"/>
            </w:tcBorders>
            <w:vAlign w:val="bottom"/>
          </w:tcPr>
          <w:p w14:paraId="49D0FBAA" w14:textId="01AB555D"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43.490</w:t>
            </w:r>
          </w:p>
        </w:tc>
        <w:tc>
          <w:tcPr>
            <w:tcW w:w="1080" w:type="dxa"/>
            <w:tcBorders>
              <w:top w:val="nil"/>
              <w:left w:val="nil"/>
              <w:bottom w:val="nil"/>
              <w:right w:val="nil"/>
            </w:tcBorders>
            <w:vAlign w:val="bottom"/>
          </w:tcPr>
          <w:p w14:paraId="54B4D62E" w14:textId="24F6895C"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w:t>
            </w:r>
          </w:p>
        </w:tc>
        <w:tc>
          <w:tcPr>
            <w:tcW w:w="889" w:type="dxa"/>
            <w:tcBorders>
              <w:top w:val="nil"/>
              <w:left w:val="nil"/>
              <w:bottom w:val="nil"/>
              <w:right w:val="nil"/>
            </w:tcBorders>
            <w:vAlign w:val="bottom"/>
          </w:tcPr>
          <w:p w14:paraId="322FE3EE" w14:textId="1448BED3"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122.788</w:t>
            </w:r>
          </w:p>
        </w:tc>
      </w:tr>
      <w:tr w:rsidR="008B2A1C" w:rsidRPr="008B2A1C" w14:paraId="0F5C9F41" w14:textId="7247E44B" w:rsidTr="00BE26A8">
        <w:trPr>
          <w:trHeight w:val="454"/>
        </w:trPr>
        <w:tc>
          <w:tcPr>
            <w:tcW w:w="2400" w:type="dxa"/>
            <w:tcBorders>
              <w:top w:val="nil"/>
              <w:left w:val="nil"/>
              <w:bottom w:val="nil"/>
              <w:right w:val="nil"/>
            </w:tcBorders>
            <w:vAlign w:val="bottom"/>
          </w:tcPr>
          <w:p w14:paraId="2A788842" w14:textId="476E8778" w:rsidR="00782ED3" w:rsidRPr="008B2A1C" w:rsidRDefault="00782ED3" w:rsidP="00BE26A8">
            <w:pPr>
              <w:rPr>
                <w:rFonts w:ascii="Arial" w:hAnsi="Arial" w:cs="Arial"/>
                <w:sz w:val="14"/>
                <w:szCs w:val="14"/>
                <w:lang w:eastAsia="es-AR"/>
              </w:rPr>
            </w:pPr>
            <w:r w:rsidRPr="008B2A1C">
              <w:rPr>
                <w:rFonts w:ascii="Arial" w:hAnsi="Arial" w:cs="Arial"/>
                <w:sz w:val="14"/>
                <w:szCs w:val="14"/>
                <w:lang w:eastAsia="es-AR"/>
              </w:rPr>
              <w:t>Sector privado no financiero y residentes en el exterior</w:t>
            </w:r>
          </w:p>
        </w:tc>
        <w:tc>
          <w:tcPr>
            <w:tcW w:w="1080" w:type="dxa"/>
            <w:tcBorders>
              <w:top w:val="nil"/>
              <w:left w:val="nil"/>
              <w:bottom w:val="nil"/>
              <w:right w:val="nil"/>
            </w:tcBorders>
            <w:vAlign w:val="bottom"/>
          </w:tcPr>
          <w:p w14:paraId="6D1010D5" w14:textId="0CB885CE"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8.406.561</w:t>
            </w:r>
          </w:p>
        </w:tc>
        <w:tc>
          <w:tcPr>
            <w:tcW w:w="872" w:type="dxa"/>
            <w:tcBorders>
              <w:top w:val="nil"/>
              <w:left w:val="nil"/>
              <w:bottom w:val="nil"/>
              <w:right w:val="nil"/>
            </w:tcBorders>
            <w:vAlign w:val="bottom"/>
          </w:tcPr>
          <w:p w14:paraId="1258B9BD" w14:textId="31CB9087"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62.737.835</w:t>
            </w:r>
          </w:p>
        </w:tc>
        <w:tc>
          <w:tcPr>
            <w:tcW w:w="858" w:type="dxa"/>
            <w:tcBorders>
              <w:top w:val="nil"/>
              <w:left w:val="nil"/>
              <w:bottom w:val="nil"/>
              <w:right w:val="nil"/>
            </w:tcBorders>
            <w:vAlign w:val="bottom"/>
          </w:tcPr>
          <w:p w14:paraId="70DA47A5" w14:textId="057A335D"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21.672.090</w:t>
            </w:r>
          </w:p>
        </w:tc>
        <w:tc>
          <w:tcPr>
            <w:tcW w:w="960" w:type="dxa"/>
            <w:tcBorders>
              <w:top w:val="nil"/>
              <w:left w:val="nil"/>
              <w:bottom w:val="nil"/>
              <w:right w:val="nil"/>
            </w:tcBorders>
            <w:vAlign w:val="bottom"/>
          </w:tcPr>
          <w:p w14:paraId="00FB89CB" w14:textId="152B4EF9"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25.725.038</w:t>
            </w:r>
          </w:p>
        </w:tc>
        <w:tc>
          <w:tcPr>
            <w:tcW w:w="960" w:type="dxa"/>
            <w:tcBorders>
              <w:top w:val="nil"/>
              <w:left w:val="nil"/>
              <w:bottom w:val="nil"/>
              <w:right w:val="nil"/>
            </w:tcBorders>
            <w:vAlign w:val="bottom"/>
          </w:tcPr>
          <w:p w14:paraId="4CE1E62B" w14:textId="639C20F7"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28.910.835</w:t>
            </w:r>
          </w:p>
        </w:tc>
        <w:tc>
          <w:tcPr>
            <w:tcW w:w="960" w:type="dxa"/>
            <w:tcBorders>
              <w:top w:val="nil"/>
              <w:left w:val="nil"/>
              <w:bottom w:val="nil"/>
              <w:right w:val="nil"/>
            </w:tcBorders>
            <w:vAlign w:val="bottom"/>
          </w:tcPr>
          <w:p w14:paraId="1147ED05" w14:textId="56C5BBF1"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38.470.047</w:t>
            </w:r>
          </w:p>
        </w:tc>
        <w:tc>
          <w:tcPr>
            <w:tcW w:w="1080" w:type="dxa"/>
            <w:tcBorders>
              <w:top w:val="nil"/>
              <w:left w:val="nil"/>
              <w:bottom w:val="nil"/>
              <w:right w:val="nil"/>
            </w:tcBorders>
            <w:vAlign w:val="bottom"/>
          </w:tcPr>
          <w:p w14:paraId="0EEECE37" w14:textId="350D9DB6"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82.826.143</w:t>
            </w:r>
          </w:p>
        </w:tc>
        <w:tc>
          <w:tcPr>
            <w:tcW w:w="889" w:type="dxa"/>
            <w:tcBorders>
              <w:top w:val="nil"/>
              <w:left w:val="nil"/>
              <w:bottom w:val="nil"/>
              <w:right w:val="nil"/>
            </w:tcBorders>
            <w:vAlign w:val="bottom"/>
          </w:tcPr>
          <w:p w14:paraId="4B0E1259" w14:textId="02263371" w:rsidR="00782ED3" w:rsidRPr="008B2A1C" w:rsidRDefault="00312755" w:rsidP="00BE26A8">
            <w:pPr>
              <w:jc w:val="right"/>
              <w:rPr>
                <w:rFonts w:ascii="Arial" w:hAnsi="Arial" w:cs="Arial"/>
                <w:sz w:val="14"/>
                <w:szCs w:val="14"/>
                <w:lang w:eastAsia="es-AR"/>
              </w:rPr>
            </w:pPr>
            <w:r>
              <w:rPr>
                <w:rFonts w:ascii="Arial" w:hAnsi="Arial" w:cs="Arial"/>
                <w:sz w:val="14"/>
                <w:szCs w:val="14"/>
                <w:lang w:eastAsia="es-AR"/>
              </w:rPr>
              <w:t>268.748.549</w:t>
            </w:r>
          </w:p>
        </w:tc>
      </w:tr>
      <w:tr w:rsidR="008B2A1C" w:rsidRPr="008B2A1C" w14:paraId="30EAE332" w14:textId="77777777" w:rsidTr="00326E79">
        <w:trPr>
          <w:trHeight w:val="454"/>
        </w:trPr>
        <w:tc>
          <w:tcPr>
            <w:tcW w:w="2400" w:type="dxa"/>
            <w:tcBorders>
              <w:top w:val="nil"/>
              <w:left w:val="nil"/>
              <w:bottom w:val="single" w:sz="4" w:space="0" w:color="auto"/>
              <w:right w:val="nil"/>
            </w:tcBorders>
          </w:tcPr>
          <w:p w14:paraId="546ED7B7" w14:textId="77777777" w:rsidR="00782ED3" w:rsidRPr="008B2A1C" w:rsidRDefault="00782ED3" w:rsidP="00782ED3">
            <w:pPr>
              <w:rPr>
                <w:rFonts w:ascii="Arial" w:hAnsi="Arial" w:cs="Arial"/>
                <w:sz w:val="14"/>
                <w:szCs w:val="14"/>
                <w:lang w:eastAsia="es-AR"/>
              </w:rPr>
            </w:pPr>
          </w:p>
        </w:tc>
        <w:tc>
          <w:tcPr>
            <w:tcW w:w="1080" w:type="dxa"/>
            <w:tcBorders>
              <w:top w:val="nil"/>
              <w:left w:val="nil"/>
              <w:bottom w:val="single" w:sz="4" w:space="0" w:color="auto"/>
              <w:right w:val="nil"/>
            </w:tcBorders>
          </w:tcPr>
          <w:p w14:paraId="3B566BF6" w14:textId="77777777" w:rsidR="00782ED3" w:rsidRPr="008B2A1C" w:rsidRDefault="00782ED3" w:rsidP="00782ED3">
            <w:pPr>
              <w:rPr>
                <w:rFonts w:ascii="Arial" w:hAnsi="Arial" w:cs="Arial"/>
                <w:sz w:val="14"/>
                <w:szCs w:val="14"/>
                <w:lang w:eastAsia="es-AR"/>
              </w:rPr>
            </w:pPr>
          </w:p>
        </w:tc>
        <w:tc>
          <w:tcPr>
            <w:tcW w:w="872" w:type="dxa"/>
            <w:tcBorders>
              <w:top w:val="nil"/>
              <w:left w:val="nil"/>
              <w:bottom w:val="single" w:sz="4" w:space="0" w:color="auto"/>
              <w:right w:val="nil"/>
            </w:tcBorders>
          </w:tcPr>
          <w:p w14:paraId="7D788618" w14:textId="77777777" w:rsidR="00782ED3" w:rsidRPr="008B2A1C" w:rsidRDefault="00782ED3" w:rsidP="00782ED3">
            <w:pPr>
              <w:rPr>
                <w:rFonts w:ascii="Arial" w:hAnsi="Arial" w:cs="Arial"/>
                <w:sz w:val="14"/>
                <w:szCs w:val="14"/>
                <w:lang w:eastAsia="es-AR"/>
              </w:rPr>
            </w:pPr>
          </w:p>
        </w:tc>
        <w:tc>
          <w:tcPr>
            <w:tcW w:w="858" w:type="dxa"/>
            <w:tcBorders>
              <w:top w:val="nil"/>
              <w:left w:val="nil"/>
              <w:bottom w:val="single" w:sz="4" w:space="0" w:color="auto"/>
              <w:right w:val="nil"/>
            </w:tcBorders>
          </w:tcPr>
          <w:p w14:paraId="13BD3CBC" w14:textId="77777777" w:rsidR="00782ED3" w:rsidRPr="008B2A1C" w:rsidRDefault="00782ED3" w:rsidP="00782ED3">
            <w:pPr>
              <w:rPr>
                <w:rFonts w:ascii="Arial" w:hAnsi="Arial" w:cs="Arial"/>
                <w:sz w:val="14"/>
                <w:szCs w:val="14"/>
                <w:lang w:eastAsia="es-AR"/>
              </w:rPr>
            </w:pPr>
          </w:p>
        </w:tc>
        <w:tc>
          <w:tcPr>
            <w:tcW w:w="960" w:type="dxa"/>
            <w:tcBorders>
              <w:top w:val="nil"/>
              <w:left w:val="nil"/>
              <w:bottom w:val="single" w:sz="4" w:space="0" w:color="auto"/>
              <w:right w:val="nil"/>
            </w:tcBorders>
          </w:tcPr>
          <w:p w14:paraId="5DCFAF11" w14:textId="77777777" w:rsidR="00782ED3" w:rsidRPr="008B2A1C" w:rsidRDefault="00782ED3" w:rsidP="00782ED3">
            <w:pPr>
              <w:rPr>
                <w:rFonts w:ascii="Arial" w:hAnsi="Arial" w:cs="Arial"/>
                <w:sz w:val="14"/>
                <w:szCs w:val="14"/>
                <w:lang w:eastAsia="es-AR"/>
              </w:rPr>
            </w:pPr>
          </w:p>
        </w:tc>
        <w:tc>
          <w:tcPr>
            <w:tcW w:w="960" w:type="dxa"/>
            <w:tcBorders>
              <w:top w:val="nil"/>
              <w:left w:val="nil"/>
              <w:bottom w:val="single" w:sz="4" w:space="0" w:color="auto"/>
              <w:right w:val="nil"/>
            </w:tcBorders>
          </w:tcPr>
          <w:p w14:paraId="037C16EA" w14:textId="77777777" w:rsidR="00782ED3" w:rsidRPr="008B2A1C" w:rsidRDefault="00782ED3" w:rsidP="00782ED3">
            <w:pPr>
              <w:rPr>
                <w:rFonts w:ascii="Arial" w:hAnsi="Arial" w:cs="Arial"/>
                <w:sz w:val="14"/>
                <w:szCs w:val="14"/>
                <w:lang w:eastAsia="es-AR"/>
              </w:rPr>
            </w:pPr>
          </w:p>
        </w:tc>
        <w:tc>
          <w:tcPr>
            <w:tcW w:w="960" w:type="dxa"/>
            <w:tcBorders>
              <w:top w:val="nil"/>
              <w:left w:val="nil"/>
              <w:bottom w:val="single" w:sz="4" w:space="0" w:color="auto"/>
              <w:right w:val="nil"/>
            </w:tcBorders>
          </w:tcPr>
          <w:p w14:paraId="4A87CC86" w14:textId="77777777" w:rsidR="00782ED3" w:rsidRPr="008B2A1C" w:rsidRDefault="00782ED3" w:rsidP="00782ED3">
            <w:pPr>
              <w:rPr>
                <w:rFonts w:ascii="Arial" w:hAnsi="Arial" w:cs="Arial"/>
                <w:sz w:val="14"/>
                <w:szCs w:val="14"/>
                <w:lang w:eastAsia="es-AR"/>
              </w:rPr>
            </w:pPr>
          </w:p>
        </w:tc>
        <w:tc>
          <w:tcPr>
            <w:tcW w:w="1080" w:type="dxa"/>
            <w:tcBorders>
              <w:top w:val="nil"/>
              <w:left w:val="nil"/>
              <w:bottom w:val="single" w:sz="4" w:space="0" w:color="auto"/>
              <w:right w:val="nil"/>
            </w:tcBorders>
          </w:tcPr>
          <w:p w14:paraId="56BE0F63" w14:textId="77777777" w:rsidR="00782ED3" w:rsidRPr="008B2A1C" w:rsidRDefault="00782ED3" w:rsidP="00782ED3">
            <w:pPr>
              <w:rPr>
                <w:rFonts w:ascii="Arial" w:hAnsi="Arial" w:cs="Arial"/>
                <w:sz w:val="14"/>
                <w:szCs w:val="14"/>
                <w:lang w:eastAsia="es-AR"/>
              </w:rPr>
            </w:pPr>
          </w:p>
        </w:tc>
        <w:tc>
          <w:tcPr>
            <w:tcW w:w="889" w:type="dxa"/>
            <w:tcBorders>
              <w:top w:val="nil"/>
              <w:left w:val="nil"/>
              <w:bottom w:val="single" w:sz="4" w:space="0" w:color="auto"/>
              <w:right w:val="nil"/>
            </w:tcBorders>
          </w:tcPr>
          <w:p w14:paraId="54613995" w14:textId="77777777" w:rsidR="00782ED3" w:rsidRPr="008B2A1C" w:rsidRDefault="00782ED3" w:rsidP="00782ED3">
            <w:pPr>
              <w:rPr>
                <w:rFonts w:ascii="Arial" w:hAnsi="Arial" w:cs="Arial"/>
                <w:sz w:val="14"/>
                <w:szCs w:val="14"/>
                <w:lang w:eastAsia="es-AR"/>
              </w:rPr>
            </w:pPr>
          </w:p>
        </w:tc>
      </w:tr>
      <w:tr w:rsidR="008B2A1C" w:rsidRPr="008B2A1C" w14:paraId="35C8D177" w14:textId="77777777" w:rsidTr="00B30A0B">
        <w:trPr>
          <w:trHeight w:val="340"/>
        </w:trPr>
        <w:tc>
          <w:tcPr>
            <w:tcW w:w="2400" w:type="dxa"/>
            <w:tcBorders>
              <w:top w:val="single" w:sz="4" w:space="0" w:color="auto"/>
              <w:left w:val="nil"/>
              <w:right w:val="nil"/>
            </w:tcBorders>
            <w:vAlign w:val="center"/>
          </w:tcPr>
          <w:p w14:paraId="5BF34261" w14:textId="1C9EA29B" w:rsidR="00782ED3" w:rsidRPr="008B2A1C" w:rsidRDefault="00782ED3" w:rsidP="00782ED3">
            <w:pPr>
              <w:jc w:val="center"/>
              <w:rPr>
                <w:rFonts w:ascii="Arial" w:hAnsi="Arial" w:cs="Arial"/>
                <w:b/>
                <w:sz w:val="14"/>
                <w:szCs w:val="14"/>
                <w:lang w:eastAsia="es-AR"/>
              </w:rPr>
            </w:pPr>
            <w:r w:rsidRPr="008B2A1C">
              <w:rPr>
                <w:rFonts w:ascii="Arial" w:hAnsi="Arial" w:cs="Arial"/>
                <w:b/>
                <w:sz w:val="14"/>
                <w:szCs w:val="14"/>
                <w:lang w:eastAsia="es-AR"/>
              </w:rPr>
              <w:t>TOTAL</w:t>
            </w:r>
          </w:p>
        </w:tc>
        <w:tc>
          <w:tcPr>
            <w:tcW w:w="1080" w:type="dxa"/>
            <w:tcBorders>
              <w:top w:val="single" w:sz="4" w:space="0" w:color="auto"/>
              <w:left w:val="nil"/>
              <w:right w:val="nil"/>
            </w:tcBorders>
            <w:vAlign w:val="center"/>
          </w:tcPr>
          <w:p w14:paraId="1E46720F" w14:textId="2E843C94" w:rsidR="00782ED3" w:rsidRPr="008B2A1C" w:rsidRDefault="00312755" w:rsidP="00782ED3">
            <w:pPr>
              <w:jc w:val="right"/>
              <w:rPr>
                <w:rFonts w:ascii="Arial" w:hAnsi="Arial" w:cs="Arial"/>
                <w:b/>
                <w:sz w:val="14"/>
                <w:szCs w:val="14"/>
                <w:lang w:eastAsia="es-AR"/>
              </w:rPr>
            </w:pPr>
            <w:r>
              <w:rPr>
                <w:rFonts w:ascii="Arial" w:hAnsi="Arial" w:cs="Arial"/>
                <w:b/>
                <w:sz w:val="14"/>
                <w:szCs w:val="14"/>
                <w:lang w:eastAsia="es-AR"/>
              </w:rPr>
              <w:t>8.406.561</w:t>
            </w:r>
          </w:p>
        </w:tc>
        <w:tc>
          <w:tcPr>
            <w:tcW w:w="872" w:type="dxa"/>
            <w:tcBorders>
              <w:top w:val="single" w:sz="4" w:space="0" w:color="auto"/>
              <w:left w:val="nil"/>
              <w:right w:val="nil"/>
            </w:tcBorders>
            <w:vAlign w:val="center"/>
          </w:tcPr>
          <w:p w14:paraId="0F9275BB" w14:textId="1CA7E554" w:rsidR="00782ED3" w:rsidRPr="008B2A1C" w:rsidRDefault="00312755" w:rsidP="00782ED3">
            <w:pPr>
              <w:jc w:val="right"/>
              <w:rPr>
                <w:rFonts w:ascii="Arial" w:hAnsi="Arial" w:cs="Arial"/>
                <w:b/>
                <w:sz w:val="14"/>
                <w:szCs w:val="14"/>
                <w:lang w:eastAsia="es-AR"/>
              </w:rPr>
            </w:pPr>
            <w:r>
              <w:rPr>
                <w:rFonts w:ascii="Arial" w:hAnsi="Arial" w:cs="Arial"/>
                <w:b/>
                <w:sz w:val="14"/>
                <w:szCs w:val="14"/>
                <w:lang w:eastAsia="es-AR"/>
              </w:rPr>
              <w:t>62.781.190</w:t>
            </w:r>
          </w:p>
        </w:tc>
        <w:tc>
          <w:tcPr>
            <w:tcW w:w="858" w:type="dxa"/>
            <w:tcBorders>
              <w:top w:val="single" w:sz="4" w:space="0" w:color="auto"/>
              <w:left w:val="nil"/>
              <w:right w:val="nil"/>
            </w:tcBorders>
            <w:vAlign w:val="center"/>
          </w:tcPr>
          <w:p w14:paraId="00BB36F8" w14:textId="2B84852B" w:rsidR="00782ED3" w:rsidRPr="008B2A1C" w:rsidRDefault="00312755" w:rsidP="00782ED3">
            <w:pPr>
              <w:jc w:val="right"/>
              <w:rPr>
                <w:rFonts w:ascii="Arial" w:hAnsi="Arial" w:cs="Arial"/>
                <w:b/>
                <w:sz w:val="14"/>
                <w:szCs w:val="14"/>
                <w:lang w:eastAsia="es-AR"/>
              </w:rPr>
            </w:pPr>
            <w:r>
              <w:rPr>
                <w:rFonts w:ascii="Arial" w:hAnsi="Arial" w:cs="Arial"/>
                <w:b/>
                <w:sz w:val="14"/>
                <w:szCs w:val="14"/>
                <w:lang w:eastAsia="es-AR"/>
              </w:rPr>
              <w:t>21.687.709</w:t>
            </w:r>
          </w:p>
        </w:tc>
        <w:tc>
          <w:tcPr>
            <w:tcW w:w="960" w:type="dxa"/>
            <w:tcBorders>
              <w:top w:val="single" w:sz="4" w:space="0" w:color="auto"/>
              <w:left w:val="nil"/>
              <w:right w:val="nil"/>
            </w:tcBorders>
            <w:vAlign w:val="center"/>
          </w:tcPr>
          <w:p w14:paraId="293865C4" w14:textId="11A7EAC1" w:rsidR="00782ED3" w:rsidRPr="008B2A1C" w:rsidRDefault="00312755" w:rsidP="00782ED3">
            <w:pPr>
              <w:jc w:val="right"/>
              <w:rPr>
                <w:rFonts w:ascii="Arial" w:hAnsi="Arial" w:cs="Arial"/>
                <w:b/>
                <w:sz w:val="14"/>
                <w:szCs w:val="14"/>
                <w:lang w:eastAsia="es-AR"/>
              </w:rPr>
            </w:pPr>
            <w:r>
              <w:rPr>
                <w:rFonts w:ascii="Arial" w:hAnsi="Arial" w:cs="Arial"/>
                <w:b/>
                <w:sz w:val="14"/>
                <w:szCs w:val="14"/>
                <w:lang w:eastAsia="es-AR"/>
              </w:rPr>
              <w:t>25.744.919</w:t>
            </w:r>
          </w:p>
        </w:tc>
        <w:tc>
          <w:tcPr>
            <w:tcW w:w="960" w:type="dxa"/>
            <w:tcBorders>
              <w:top w:val="single" w:sz="4" w:space="0" w:color="auto"/>
              <w:left w:val="nil"/>
              <w:right w:val="nil"/>
            </w:tcBorders>
            <w:vAlign w:val="center"/>
          </w:tcPr>
          <w:p w14:paraId="73A4E758" w14:textId="7FA29BAD" w:rsidR="00782ED3" w:rsidRPr="008B2A1C" w:rsidRDefault="00312755" w:rsidP="00782ED3">
            <w:pPr>
              <w:jc w:val="right"/>
              <w:rPr>
                <w:rFonts w:ascii="Arial" w:hAnsi="Arial" w:cs="Arial"/>
                <w:b/>
                <w:sz w:val="14"/>
                <w:szCs w:val="14"/>
                <w:lang w:eastAsia="es-AR"/>
              </w:rPr>
            </w:pPr>
            <w:r>
              <w:rPr>
                <w:rFonts w:ascii="Arial" w:hAnsi="Arial" w:cs="Arial"/>
                <w:b/>
                <w:sz w:val="14"/>
                <w:szCs w:val="14"/>
                <w:lang w:eastAsia="es-AR"/>
              </w:rPr>
              <w:t>28.940.376</w:t>
            </w:r>
          </w:p>
        </w:tc>
        <w:tc>
          <w:tcPr>
            <w:tcW w:w="960" w:type="dxa"/>
            <w:tcBorders>
              <w:top w:val="single" w:sz="4" w:space="0" w:color="auto"/>
              <w:left w:val="nil"/>
              <w:right w:val="nil"/>
            </w:tcBorders>
            <w:vAlign w:val="center"/>
          </w:tcPr>
          <w:p w14:paraId="184C09D4" w14:textId="240651CF" w:rsidR="00782ED3" w:rsidRPr="008B2A1C" w:rsidRDefault="00312755" w:rsidP="00782ED3">
            <w:pPr>
              <w:jc w:val="right"/>
              <w:rPr>
                <w:rFonts w:ascii="Arial" w:hAnsi="Arial" w:cs="Arial"/>
                <w:b/>
                <w:sz w:val="14"/>
                <w:szCs w:val="14"/>
                <w:lang w:eastAsia="es-AR"/>
              </w:rPr>
            </w:pPr>
            <w:r>
              <w:rPr>
                <w:rFonts w:ascii="Arial" w:hAnsi="Arial" w:cs="Arial"/>
                <w:b/>
                <w:sz w:val="14"/>
                <w:szCs w:val="14"/>
                <w:lang w:eastAsia="es-AR"/>
              </w:rPr>
              <w:t>38.545.696</w:t>
            </w:r>
          </w:p>
        </w:tc>
        <w:tc>
          <w:tcPr>
            <w:tcW w:w="1080" w:type="dxa"/>
            <w:tcBorders>
              <w:top w:val="single" w:sz="4" w:space="0" w:color="auto"/>
              <w:left w:val="nil"/>
              <w:right w:val="nil"/>
            </w:tcBorders>
            <w:vAlign w:val="center"/>
          </w:tcPr>
          <w:p w14:paraId="3821C6A2" w14:textId="3CED13FD" w:rsidR="00782ED3" w:rsidRPr="008B2A1C" w:rsidRDefault="00312755" w:rsidP="00782ED3">
            <w:pPr>
              <w:jc w:val="right"/>
              <w:rPr>
                <w:rFonts w:ascii="Arial" w:hAnsi="Arial" w:cs="Arial"/>
                <w:b/>
                <w:sz w:val="14"/>
                <w:szCs w:val="14"/>
                <w:lang w:eastAsia="es-AR"/>
              </w:rPr>
            </w:pPr>
            <w:r>
              <w:rPr>
                <w:rFonts w:ascii="Arial" w:hAnsi="Arial" w:cs="Arial"/>
                <w:b/>
                <w:sz w:val="14"/>
                <w:szCs w:val="14"/>
                <w:lang w:eastAsia="es-AR"/>
              </w:rPr>
              <w:t>82.852.300</w:t>
            </w:r>
          </w:p>
        </w:tc>
        <w:tc>
          <w:tcPr>
            <w:tcW w:w="889" w:type="dxa"/>
            <w:tcBorders>
              <w:top w:val="single" w:sz="4" w:space="0" w:color="auto"/>
              <w:left w:val="nil"/>
              <w:right w:val="nil"/>
            </w:tcBorders>
            <w:vAlign w:val="center"/>
          </w:tcPr>
          <w:p w14:paraId="02CE0CAC" w14:textId="11990EE5" w:rsidR="00782ED3" w:rsidRPr="008B2A1C" w:rsidRDefault="00312755" w:rsidP="00782ED3">
            <w:pPr>
              <w:jc w:val="right"/>
              <w:rPr>
                <w:rFonts w:ascii="Arial" w:hAnsi="Arial" w:cs="Arial"/>
                <w:b/>
                <w:sz w:val="14"/>
                <w:szCs w:val="14"/>
                <w:lang w:eastAsia="es-AR"/>
              </w:rPr>
            </w:pPr>
            <w:r>
              <w:rPr>
                <w:rFonts w:ascii="Arial" w:hAnsi="Arial" w:cs="Arial"/>
                <w:b/>
                <w:sz w:val="14"/>
                <w:szCs w:val="14"/>
                <w:lang w:eastAsia="es-AR"/>
              </w:rPr>
              <w:t>268.958.751</w:t>
            </w:r>
          </w:p>
        </w:tc>
      </w:tr>
      <w:bookmarkEnd w:id="39"/>
      <w:bookmarkEnd w:id="40"/>
    </w:tbl>
    <w:p w14:paraId="6CFF07AF" w14:textId="0ED6A828" w:rsidR="003A3E18" w:rsidRDefault="003A3E18" w:rsidP="00276790">
      <w:pPr>
        <w:rPr>
          <w:sz w:val="20"/>
          <w:lang w:eastAsia="es-AR"/>
        </w:rPr>
      </w:pPr>
    </w:p>
    <w:p w14:paraId="5BFDC971" w14:textId="3225D5C2" w:rsidR="003A3E18" w:rsidRDefault="003A3E18" w:rsidP="00276790">
      <w:pPr>
        <w:rPr>
          <w:sz w:val="20"/>
          <w:lang w:eastAsia="es-AR"/>
        </w:rPr>
      </w:pPr>
    </w:p>
    <w:p w14:paraId="708647EB" w14:textId="6A81F768" w:rsidR="003A3E18" w:rsidRDefault="003A3E18" w:rsidP="00276790">
      <w:pPr>
        <w:rPr>
          <w:sz w:val="20"/>
          <w:lang w:eastAsia="es-AR"/>
        </w:rPr>
      </w:pPr>
    </w:p>
    <w:p w14:paraId="4508F01F" w14:textId="77777777" w:rsidR="008F2926" w:rsidRDefault="008F2926" w:rsidP="00276790">
      <w:pPr>
        <w:rPr>
          <w:sz w:val="20"/>
          <w:lang w:eastAsia="es-AR"/>
        </w:rPr>
        <w:sectPr w:rsidR="008F2926" w:rsidSect="0056456F">
          <w:headerReference w:type="default" r:id="rId29"/>
          <w:pgSz w:w="11907" w:h="16839" w:code="9"/>
          <w:pgMar w:top="1418" w:right="1701" w:bottom="1418" w:left="1701" w:header="567" w:footer="0" w:gutter="0"/>
          <w:cols w:space="708"/>
          <w:docGrid w:linePitch="360"/>
        </w:sectPr>
      </w:pPr>
    </w:p>
    <w:tbl>
      <w:tblPr>
        <w:tblW w:w="14521" w:type="dxa"/>
        <w:jc w:val="center"/>
        <w:tblCellMar>
          <w:left w:w="70" w:type="dxa"/>
          <w:right w:w="70" w:type="dxa"/>
        </w:tblCellMar>
        <w:tblLook w:val="04A0" w:firstRow="1" w:lastRow="0" w:firstColumn="1" w:lastColumn="0" w:noHBand="0" w:noVBand="1"/>
      </w:tblPr>
      <w:tblGrid>
        <w:gridCol w:w="2568"/>
        <w:gridCol w:w="941"/>
        <w:gridCol w:w="921"/>
        <w:gridCol w:w="1111"/>
        <w:gridCol w:w="1221"/>
        <w:gridCol w:w="960"/>
        <w:gridCol w:w="901"/>
        <w:gridCol w:w="1111"/>
        <w:gridCol w:w="771"/>
        <w:gridCol w:w="916"/>
        <w:gridCol w:w="1029"/>
        <w:gridCol w:w="1041"/>
        <w:gridCol w:w="1041"/>
      </w:tblGrid>
      <w:tr w:rsidR="00C171D4" w:rsidRPr="00C171D4" w14:paraId="518FC301" w14:textId="77777777" w:rsidTr="00F94F68">
        <w:trPr>
          <w:trHeight w:val="300"/>
          <w:jc w:val="center"/>
        </w:trPr>
        <w:tc>
          <w:tcPr>
            <w:tcW w:w="2568" w:type="dxa"/>
            <w:vMerge w:val="restart"/>
            <w:tcBorders>
              <w:top w:val="single" w:sz="4" w:space="0" w:color="363639"/>
              <w:left w:val="nil"/>
              <w:bottom w:val="single" w:sz="4" w:space="0" w:color="363639"/>
              <w:right w:val="single" w:sz="4" w:space="0" w:color="363639"/>
            </w:tcBorders>
            <w:shd w:val="clear" w:color="000000" w:fill="AC9F9B"/>
            <w:noWrap/>
            <w:vAlign w:val="center"/>
            <w:hideMark/>
          </w:tcPr>
          <w:p w14:paraId="0FE25772"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Concepto</w:t>
            </w:r>
          </w:p>
        </w:tc>
        <w:tc>
          <w:tcPr>
            <w:tcW w:w="941" w:type="dxa"/>
            <w:vMerge w:val="restart"/>
            <w:tcBorders>
              <w:top w:val="single" w:sz="4" w:space="0" w:color="363639"/>
              <w:left w:val="single" w:sz="4" w:space="0" w:color="363639"/>
              <w:bottom w:val="single" w:sz="4" w:space="0" w:color="363639"/>
              <w:right w:val="single" w:sz="4" w:space="0" w:color="363639"/>
            </w:tcBorders>
            <w:shd w:val="clear" w:color="000000" w:fill="AC9F9B"/>
            <w:vAlign w:val="center"/>
            <w:hideMark/>
          </w:tcPr>
          <w:p w14:paraId="79415CFE"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Valor de origen al inicio del ejercicio</w:t>
            </w:r>
          </w:p>
        </w:tc>
        <w:tc>
          <w:tcPr>
            <w:tcW w:w="921" w:type="dxa"/>
            <w:vMerge w:val="restart"/>
            <w:tcBorders>
              <w:top w:val="single" w:sz="4" w:space="0" w:color="363639"/>
              <w:left w:val="single" w:sz="4" w:space="0" w:color="363639"/>
              <w:bottom w:val="single" w:sz="4" w:space="0" w:color="363639"/>
              <w:right w:val="single" w:sz="4" w:space="0" w:color="363639"/>
            </w:tcBorders>
            <w:shd w:val="clear" w:color="000000" w:fill="AC9F9B"/>
            <w:vAlign w:val="center"/>
            <w:hideMark/>
          </w:tcPr>
          <w:p w14:paraId="5B997F66"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Vida Útil total estimada en años</w:t>
            </w:r>
          </w:p>
        </w:tc>
        <w:tc>
          <w:tcPr>
            <w:tcW w:w="2332" w:type="dxa"/>
            <w:gridSpan w:val="2"/>
            <w:tcBorders>
              <w:top w:val="single" w:sz="4" w:space="0" w:color="363639"/>
              <w:left w:val="single" w:sz="4" w:space="0" w:color="363639"/>
              <w:bottom w:val="single" w:sz="4" w:space="0" w:color="363639"/>
              <w:right w:val="single" w:sz="4" w:space="0" w:color="363639"/>
            </w:tcBorders>
            <w:shd w:val="clear" w:color="000000" w:fill="AC9F9B"/>
            <w:noWrap/>
            <w:hideMark/>
          </w:tcPr>
          <w:p w14:paraId="582537F5" w14:textId="266AA1F1"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Revaluación</w:t>
            </w:r>
          </w:p>
        </w:tc>
        <w:tc>
          <w:tcPr>
            <w:tcW w:w="960" w:type="dxa"/>
            <w:vMerge w:val="restart"/>
            <w:tcBorders>
              <w:top w:val="single" w:sz="4" w:space="0" w:color="363639"/>
              <w:left w:val="single" w:sz="4" w:space="0" w:color="363639"/>
              <w:right w:val="single" w:sz="4" w:space="0" w:color="363639"/>
            </w:tcBorders>
            <w:shd w:val="clear" w:color="000000" w:fill="AC9F9B"/>
            <w:vAlign w:val="center"/>
          </w:tcPr>
          <w:p w14:paraId="20033C24" w14:textId="1DC98CA4"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Altas</w:t>
            </w:r>
          </w:p>
        </w:tc>
        <w:tc>
          <w:tcPr>
            <w:tcW w:w="901" w:type="dxa"/>
            <w:vMerge w:val="restart"/>
            <w:tcBorders>
              <w:top w:val="single" w:sz="4" w:space="0" w:color="363639"/>
              <w:left w:val="single" w:sz="4" w:space="0" w:color="363639"/>
              <w:bottom w:val="single" w:sz="4" w:space="0" w:color="363639"/>
              <w:right w:val="single" w:sz="4" w:space="0" w:color="363639"/>
            </w:tcBorders>
            <w:shd w:val="clear" w:color="000000" w:fill="AC9F9B"/>
            <w:noWrap/>
            <w:vAlign w:val="center"/>
          </w:tcPr>
          <w:p w14:paraId="372705AC"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Bajas</w:t>
            </w:r>
          </w:p>
        </w:tc>
        <w:tc>
          <w:tcPr>
            <w:tcW w:w="3827" w:type="dxa"/>
            <w:gridSpan w:val="4"/>
            <w:tcBorders>
              <w:top w:val="single" w:sz="4" w:space="0" w:color="363639"/>
              <w:left w:val="single" w:sz="4" w:space="0" w:color="363639"/>
              <w:bottom w:val="single" w:sz="4" w:space="0" w:color="363639"/>
              <w:right w:val="single" w:sz="4" w:space="0" w:color="363639"/>
            </w:tcBorders>
            <w:shd w:val="clear" w:color="000000" w:fill="AC9F9B"/>
            <w:noWrap/>
            <w:vAlign w:val="center"/>
          </w:tcPr>
          <w:p w14:paraId="6F117418"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Depreciación</w:t>
            </w:r>
          </w:p>
        </w:tc>
        <w:tc>
          <w:tcPr>
            <w:tcW w:w="1030" w:type="dxa"/>
            <w:vMerge w:val="restart"/>
            <w:tcBorders>
              <w:top w:val="single" w:sz="4" w:space="0" w:color="363639"/>
              <w:left w:val="single" w:sz="4" w:space="0" w:color="363639"/>
              <w:right w:val="single" w:sz="4" w:space="0" w:color="363639"/>
            </w:tcBorders>
            <w:shd w:val="clear" w:color="000000" w:fill="AC9F9B"/>
            <w:vAlign w:val="center"/>
            <w:hideMark/>
          </w:tcPr>
          <w:p w14:paraId="0B9FAA0B" w14:textId="4A12DB4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Valor residual al 31/12/2019</w:t>
            </w:r>
          </w:p>
        </w:tc>
        <w:tc>
          <w:tcPr>
            <w:tcW w:w="1041" w:type="dxa"/>
            <w:vMerge w:val="restart"/>
            <w:tcBorders>
              <w:top w:val="single" w:sz="4" w:space="0" w:color="363639"/>
              <w:left w:val="single" w:sz="4" w:space="0" w:color="363639"/>
              <w:right w:val="single" w:sz="4" w:space="0" w:color="363639"/>
            </w:tcBorders>
            <w:shd w:val="clear" w:color="000000" w:fill="AC9F9B"/>
            <w:vAlign w:val="center"/>
            <w:hideMark/>
          </w:tcPr>
          <w:p w14:paraId="074B1C13" w14:textId="67E97DD5"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Valor residual al 31/12/2018</w:t>
            </w:r>
          </w:p>
        </w:tc>
      </w:tr>
      <w:tr w:rsidR="00C171D4" w:rsidRPr="00C171D4" w14:paraId="00EC1238" w14:textId="77777777" w:rsidTr="00F94F68">
        <w:trPr>
          <w:trHeight w:val="1219"/>
          <w:jc w:val="center"/>
        </w:trPr>
        <w:tc>
          <w:tcPr>
            <w:tcW w:w="2568" w:type="dxa"/>
            <w:vMerge/>
            <w:tcBorders>
              <w:top w:val="single" w:sz="4" w:space="0" w:color="363639"/>
              <w:left w:val="nil"/>
              <w:bottom w:val="single" w:sz="4" w:space="0" w:color="363639"/>
              <w:right w:val="single" w:sz="4" w:space="0" w:color="363639"/>
            </w:tcBorders>
            <w:vAlign w:val="center"/>
            <w:hideMark/>
          </w:tcPr>
          <w:p w14:paraId="1338CE97" w14:textId="77777777" w:rsidR="00C171D4" w:rsidRPr="00C171D4" w:rsidRDefault="00C171D4" w:rsidP="00572B51">
            <w:pPr>
              <w:rPr>
                <w:rFonts w:ascii="Arial" w:hAnsi="Arial" w:cs="Arial"/>
                <w:b/>
                <w:bCs/>
                <w:sz w:val="18"/>
                <w:szCs w:val="18"/>
                <w:lang w:eastAsia="es-AR"/>
              </w:rPr>
            </w:pPr>
          </w:p>
        </w:tc>
        <w:tc>
          <w:tcPr>
            <w:tcW w:w="941" w:type="dxa"/>
            <w:vMerge/>
            <w:tcBorders>
              <w:top w:val="single" w:sz="4" w:space="0" w:color="363639"/>
              <w:left w:val="single" w:sz="4" w:space="0" w:color="363639"/>
              <w:bottom w:val="single" w:sz="4" w:space="0" w:color="363639"/>
              <w:right w:val="single" w:sz="4" w:space="0" w:color="363639"/>
            </w:tcBorders>
            <w:vAlign w:val="center"/>
            <w:hideMark/>
          </w:tcPr>
          <w:p w14:paraId="055A2670" w14:textId="77777777" w:rsidR="00C171D4" w:rsidRPr="00C171D4" w:rsidRDefault="00C171D4" w:rsidP="00572B51">
            <w:pPr>
              <w:rPr>
                <w:rFonts w:ascii="Arial" w:hAnsi="Arial" w:cs="Arial"/>
                <w:b/>
                <w:bCs/>
                <w:sz w:val="18"/>
                <w:szCs w:val="18"/>
                <w:lang w:eastAsia="es-AR"/>
              </w:rPr>
            </w:pPr>
          </w:p>
        </w:tc>
        <w:tc>
          <w:tcPr>
            <w:tcW w:w="921" w:type="dxa"/>
            <w:vMerge/>
            <w:tcBorders>
              <w:top w:val="single" w:sz="4" w:space="0" w:color="363639"/>
              <w:left w:val="single" w:sz="4" w:space="0" w:color="363639"/>
              <w:bottom w:val="single" w:sz="4" w:space="0" w:color="363639"/>
              <w:right w:val="single" w:sz="4" w:space="0" w:color="363639"/>
            </w:tcBorders>
            <w:vAlign w:val="center"/>
            <w:hideMark/>
          </w:tcPr>
          <w:p w14:paraId="6E815746" w14:textId="77777777" w:rsidR="00C171D4" w:rsidRPr="00C171D4" w:rsidRDefault="00C171D4" w:rsidP="00572B51">
            <w:pPr>
              <w:rPr>
                <w:rFonts w:ascii="Arial" w:hAnsi="Arial" w:cs="Arial"/>
                <w:b/>
                <w:bCs/>
                <w:sz w:val="18"/>
                <w:szCs w:val="18"/>
                <w:lang w:eastAsia="es-AR"/>
              </w:rPr>
            </w:pPr>
          </w:p>
        </w:tc>
        <w:tc>
          <w:tcPr>
            <w:tcW w:w="1111" w:type="dxa"/>
            <w:tcBorders>
              <w:top w:val="nil"/>
              <w:left w:val="nil"/>
              <w:bottom w:val="single" w:sz="4" w:space="0" w:color="363639"/>
              <w:right w:val="single" w:sz="4" w:space="0" w:color="363639"/>
            </w:tcBorders>
            <w:shd w:val="clear" w:color="000000" w:fill="AC9F9B"/>
            <w:vAlign w:val="center"/>
            <w:hideMark/>
          </w:tcPr>
          <w:p w14:paraId="72FE084B"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Incremento</w:t>
            </w:r>
          </w:p>
        </w:tc>
        <w:tc>
          <w:tcPr>
            <w:tcW w:w="1221" w:type="dxa"/>
            <w:tcBorders>
              <w:left w:val="single" w:sz="4" w:space="0" w:color="363639"/>
              <w:bottom w:val="single" w:sz="4" w:space="0" w:color="363639"/>
              <w:right w:val="single" w:sz="4" w:space="0" w:color="363639"/>
            </w:tcBorders>
            <w:shd w:val="clear" w:color="000000" w:fill="AC9F9B"/>
            <w:vAlign w:val="center"/>
          </w:tcPr>
          <w:p w14:paraId="120DD05D" w14:textId="3A2F2F4D" w:rsidR="00C171D4" w:rsidRPr="00C171D4" w:rsidRDefault="00C171D4" w:rsidP="00C171D4">
            <w:pPr>
              <w:jc w:val="center"/>
              <w:rPr>
                <w:rFonts w:ascii="Arial" w:hAnsi="Arial" w:cs="Arial"/>
                <w:b/>
                <w:bCs/>
                <w:sz w:val="18"/>
                <w:szCs w:val="18"/>
                <w:lang w:eastAsia="es-AR"/>
              </w:rPr>
            </w:pPr>
            <w:r w:rsidRPr="00C171D4">
              <w:rPr>
                <w:rFonts w:ascii="Arial" w:hAnsi="Arial" w:cs="Arial"/>
                <w:b/>
                <w:bCs/>
                <w:sz w:val="18"/>
                <w:szCs w:val="18"/>
                <w:lang w:eastAsia="es-AR"/>
              </w:rPr>
              <w:t>Disminución</w:t>
            </w:r>
          </w:p>
        </w:tc>
        <w:tc>
          <w:tcPr>
            <w:tcW w:w="960" w:type="dxa"/>
            <w:vMerge/>
            <w:tcBorders>
              <w:left w:val="single" w:sz="4" w:space="0" w:color="363639"/>
              <w:bottom w:val="single" w:sz="4" w:space="0" w:color="363639"/>
              <w:right w:val="single" w:sz="4" w:space="0" w:color="363639"/>
            </w:tcBorders>
            <w:shd w:val="clear" w:color="000000" w:fill="AC9F9B"/>
            <w:vAlign w:val="center"/>
            <w:hideMark/>
          </w:tcPr>
          <w:p w14:paraId="16912CCB" w14:textId="26E09DAD" w:rsidR="00C171D4" w:rsidRPr="00C171D4" w:rsidRDefault="00C171D4" w:rsidP="00572B51">
            <w:pPr>
              <w:jc w:val="center"/>
              <w:rPr>
                <w:rFonts w:ascii="Arial" w:hAnsi="Arial" w:cs="Arial"/>
                <w:b/>
                <w:bCs/>
                <w:sz w:val="18"/>
                <w:szCs w:val="18"/>
                <w:lang w:eastAsia="es-AR"/>
              </w:rPr>
            </w:pPr>
          </w:p>
        </w:tc>
        <w:tc>
          <w:tcPr>
            <w:tcW w:w="901" w:type="dxa"/>
            <w:vMerge/>
            <w:tcBorders>
              <w:top w:val="single" w:sz="4" w:space="0" w:color="363639"/>
              <w:left w:val="single" w:sz="4" w:space="0" w:color="363639"/>
              <w:bottom w:val="single" w:sz="4" w:space="0" w:color="363639"/>
              <w:right w:val="single" w:sz="4" w:space="0" w:color="363639"/>
            </w:tcBorders>
            <w:vAlign w:val="center"/>
          </w:tcPr>
          <w:p w14:paraId="5A7031D9" w14:textId="77777777" w:rsidR="00C171D4" w:rsidRPr="00C171D4" w:rsidRDefault="00C171D4" w:rsidP="00572B51">
            <w:pPr>
              <w:rPr>
                <w:rFonts w:ascii="Arial" w:hAnsi="Arial" w:cs="Arial"/>
                <w:b/>
                <w:bCs/>
                <w:sz w:val="18"/>
                <w:szCs w:val="18"/>
                <w:lang w:eastAsia="es-AR"/>
              </w:rPr>
            </w:pPr>
          </w:p>
        </w:tc>
        <w:tc>
          <w:tcPr>
            <w:tcW w:w="1111" w:type="dxa"/>
            <w:tcBorders>
              <w:top w:val="single" w:sz="4" w:space="0" w:color="363639"/>
              <w:left w:val="single" w:sz="4" w:space="0" w:color="363639"/>
              <w:bottom w:val="single" w:sz="4" w:space="0" w:color="363639"/>
              <w:right w:val="single" w:sz="4" w:space="0" w:color="363639"/>
            </w:tcBorders>
            <w:shd w:val="clear" w:color="000000" w:fill="AC9F9B"/>
            <w:vAlign w:val="center"/>
          </w:tcPr>
          <w:p w14:paraId="1D354453" w14:textId="77777777" w:rsidR="00C171D4" w:rsidRPr="00C171D4" w:rsidRDefault="00C171D4" w:rsidP="00572B51">
            <w:pPr>
              <w:rPr>
                <w:rFonts w:ascii="Arial" w:hAnsi="Arial" w:cs="Arial"/>
                <w:b/>
                <w:bCs/>
                <w:sz w:val="18"/>
                <w:szCs w:val="18"/>
                <w:lang w:eastAsia="es-AR"/>
              </w:rPr>
            </w:pPr>
            <w:r w:rsidRPr="00C171D4">
              <w:rPr>
                <w:rFonts w:ascii="Arial" w:hAnsi="Arial" w:cs="Arial"/>
                <w:b/>
                <w:bCs/>
                <w:sz w:val="18"/>
                <w:szCs w:val="18"/>
                <w:lang w:eastAsia="es-AR"/>
              </w:rPr>
              <w:t>Acumulada</w:t>
            </w:r>
          </w:p>
        </w:tc>
        <w:tc>
          <w:tcPr>
            <w:tcW w:w="771" w:type="dxa"/>
            <w:tcBorders>
              <w:top w:val="nil"/>
              <w:left w:val="nil"/>
              <w:bottom w:val="single" w:sz="4" w:space="0" w:color="363639"/>
              <w:right w:val="single" w:sz="4" w:space="0" w:color="363639"/>
            </w:tcBorders>
            <w:shd w:val="clear" w:color="000000" w:fill="AC9F9B"/>
            <w:noWrap/>
            <w:vAlign w:val="center"/>
            <w:hideMark/>
          </w:tcPr>
          <w:p w14:paraId="1F8AEC9C"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Baja</w:t>
            </w:r>
          </w:p>
        </w:tc>
        <w:tc>
          <w:tcPr>
            <w:tcW w:w="916" w:type="dxa"/>
            <w:tcBorders>
              <w:top w:val="nil"/>
              <w:left w:val="nil"/>
              <w:bottom w:val="single" w:sz="4" w:space="0" w:color="363639"/>
              <w:right w:val="single" w:sz="4" w:space="0" w:color="363639"/>
            </w:tcBorders>
            <w:shd w:val="clear" w:color="000000" w:fill="AC9F9B"/>
            <w:vAlign w:val="center"/>
            <w:hideMark/>
          </w:tcPr>
          <w:p w14:paraId="2FA3E8F3"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Del ejercicio</w:t>
            </w:r>
          </w:p>
        </w:tc>
        <w:tc>
          <w:tcPr>
            <w:tcW w:w="1029" w:type="dxa"/>
            <w:tcBorders>
              <w:top w:val="nil"/>
              <w:left w:val="nil"/>
              <w:bottom w:val="single" w:sz="4" w:space="0" w:color="363639"/>
              <w:right w:val="single" w:sz="4" w:space="0" w:color="363639"/>
            </w:tcBorders>
            <w:shd w:val="clear" w:color="000000" w:fill="AC9F9B"/>
            <w:vAlign w:val="center"/>
            <w:hideMark/>
          </w:tcPr>
          <w:p w14:paraId="3E2C88AC"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Al cierre</w:t>
            </w:r>
          </w:p>
        </w:tc>
        <w:tc>
          <w:tcPr>
            <w:tcW w:w="1030" w:type="dxa"/>
            <w:vMerge/>
            <w:tcBorders>
              <w:left w:val="single" w:sz="4" w:space="0" w:color="363639"/>
              <w:bottom w:val="single" w:sz="4" w:space="0" w:color="363639"/>
              <w:right w:val="single" w:sz="4" w:space="0" w:color="363639"/>
            </w:tcBorders>
            <w:vAlign w:val="center"/>
            <w:hideMark/>
          </w:tcPr>
          <w:p w14:paraId="4D83F285" w14:textId="77777777" w:rsidR="00C171D4" w:rsidRPr="00C171D4" w:rsidRDefault="00C171D4" w:rsidP="00572B51">
            <w:pPr>
              <w:rPr>
                <w:rFonts w:ascii="Arial" w:hAnsi="Arial" w:cs="Arial"/>
                <w:b/>
                <w:bCs/>
                <w:sz w:val="18"/>
                <w:szCs w:val="18"/>
                <w:lang w:eastAsia="es-AR"/>
              </w:rPr>
            </w:pPr>
          </w:p>
        </w:tc>
        <w:tc>
          <w:tcPr>
            <w:tcW w:w="1041" w:type="dxa"/>
            <w:vMerge/>
            <w:tcBorders>
              <w:left w:val="single" w:sz="4" w:space="0" w:color="363639"/>
              <w:bottom w:val="single" w:sz="4" w:space="0" w:color="363639"/>
              <w:right w:val="single" w:sz="4" w:space="0" w:color="363639"/>
            </w:tcBorders>
            <w:vAlign w:val="center"/>
            <w:hideMark/>
          </w:tcPr>
          <w:p w14:paraId="59FBAF75" w14:textId="77777777" w:rsidR="00C171D4" w:rsidRPr="00C171D4" w:rsidRDefault="00C171D4" w:rsidP="00572B51">
            <w:pPr>
              <w:rPr>
                <w:rFonts w:ascii="Arial" w:hAnsi="Arial" w:cs="Arial"/>
                <w:b/>
                <w:bCs/>
                <w:sz w:val="18"/>
                <w:szCs w:val="18"/>
                <w:lang w:eastAsia="es-AR"/>
              </w:rPr>
            </w:pPr>
          </w:p>
        </w:tc>
      </w:tr>
      <w:tr w:rsidR="00C171D4" w:rsidRPr="00C171D4" w14:paraId="682D3C9F" w14:textId="77777777" w:rsidTr="00F94F68">
        <w:trPr>
          <w:trHeight w:val="124"/>
          <w:jc w:val="center"/>
        </w:trPr>
        <w:tc>
          <w:tcPr>
            <w:tcW w:w="2568" w:type="dxa"/>
            <w:tcBorders>
              <w:top w:val="nil"/>
              <w:left w:val="nil"/>
              <w:bottom w:val="nil"/>
              <w:right w:val="nil"/>
            </w:tcBorders>
            <w:shd w:val="clear" w:color="auto" w:fill="auto"/>
            <w:noWrap/>
            <w:vAlign w:val="bottom"/>
            <w:hideMark/>
          </w:tcPr>
          <w:p w14:paraId="7B83AF14" w14:textId="77777777" w:rsidR="00C171D4" w:rsidRPr="00C171D4" w:rsidRDefault="00C171D4" w:rsidP="00572B51">
            <w:pPr>
              <w:jc w:val="center"/>
              <w:rPr>
                <w:rFonts w:ascii="Arial" w:hAnsi="Arial" w:cs="Arial"/>
                <w:b/>
                <w:bCs/>
                <w:sz w:val="18"/>
                <w:szCs w:val="18"/>
                <w:lang w:eastAsia="es-AR"/>
              </w:rPr>
            </w:pPr>
          </w:p>
        </w:tc>
        <w:tc>
          <w:tcPr>
            <w:tcW w:w="941" w:type="dxa"/>
            <w:tcBorders>
              <w:top w:val="nil"/>
              <w:left w:val="nil"/>
              <w:bottom w:val="nil"/>
              <w:right w:val="nil"/>
            </w:tcBorders>
            <w:shd w:val="clear" w:color="auto" w:fill="auto"/>
            <w:vAlign w:val="bottom"/>
            <w:hideMark/>
          </w:tcPr>
          <w:p w14:paraId="05E09013" w14:textId="77777777" w:rsidR="00C171D4" w:rsidRPr="00C171D4" w:rsidRDefault="00C171D4" w:rsidP="00572B51">
            <w:pPr>
              <w:jc w:val="center"/>
              <w:rPr>
                <w:sz w:val="18"/>
                <w:szCs w:val="18"/>
                <w:lang w:eastAsia="es-AR"/>
              </w:rPr>
            </w:pPr>
          </w:p>
        </w:tc>
        <w:tc>
          <w:tcPr>
            <w:tcW w:w="921" w:type="dxa"/>
            <w:tcBorders>
              <w:top w:val="nil"/>
              <w:left w:val="nil"/>
              <w:bottom w:val="nil"/>
              <w:right w:val="nil"/>
            </w:tcBorders>
            <w:shd w:val="clear" w:color="auto" w:fill="auto"/>
            <w:vAlign w:val="bottom"/>
            <w:hideMark/>
          </w:tcPr>
          <w:p w14:paraId="1303E705" w14:textId="77777777" w:rsidR="00C171D4" w:rsidRPr="00C171D4" w:rsidRDefault="00C171D4" w:rsidP="00572B51">
            <w:pPr>
              <w:rPr>
                <w:sz w:val="18"/>
                <w:szCs w:val="18"/>
                <w:lang w:eastAsia="es-AR"/>
              </w:rPr>
            </w:pPr>
          </w:p>
        </w:tc>
        <w:tc>
          <w:tcPr>
            <w:tcW w:w="1111" w:type="dxa"/>
            <w:tcBorders>
              <w:top w:val="nil"/>
              <w:left w:val="nil"/>
              <w:bottom w:val="nil"/>
              <w:right w:val="nil"/>
            </w:tcBorders>
            <w:shd w:val="clear" w:color="auto" w:fill="auto"/>
            <w:vAlign w:val="center"/>
            <w:hideMark/>
          </w:tcPr>
          <w:p w14:paraId="17C2748C"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 </w:t>
            </w:r>
          </w:p>
        </w:tc>
        <w:tc>
          <w:tcPr>
            <w:tcW w:w="1221" w:type="dxa"/>
            <w:tcBorders>
              <w:top w:val="nil"/>
              <w:left w:val="nil"/>
              <w:bottom w:val="nil"/>
              <w:right w:val="nil"/>
            </w:tcBorders>
          </w:tcPr>
          <w:p w14:paraId="79CB4713" w14:textId="77777777" w:rsidR="00C171D4" w:rsidRPr="00C171D4" w:rsidRDefault="00C171D4" w:rsidP="00572B51">
            <w:pPr>
              <w:jc w:val="center"/>
              <w:rPr>
                <w:rFonts w:ascii="Arial" w:hAnsi="Arial" w:cs="Arial"/>
                <w:b/>
                <w:bCs/>
                <w:sz w:val="18"/>
                <w:szCs w:val="18"/>
                <w:lang w:eastAsia="es-AR"/>
              </w:rPr>
            </w:pPr>
          </w:p>
        </w:tc>
        <w:tc>
          <w:tcPr>
            <w:tcW w:w="960" w:type="dxa"/>
            <w:tcBorders>
              <w:top w:val="nil"/>
              <w:left w:val="nil"/>
              <w:bottom w:val="nil"/>
              <w:right w:val="nil"/>
            </w:tcBorders>
            <w:shd w:val="clear" w:color="auto" w:fill="auto"/>
            <w:noWrap/>
            <w:vAlign w:val="center"/>
            <w:hideMark/>
          </w:tcPr>
          <w:p w14:paraId="19FDEE83" w14:textId="36FF4372" w:rsidR="00C171D4" w:rsidRPr="00C171D4" w:rsidRDefault="00C171D4" w:rsidP="00572B51">
            <w:pPr>
              <w:jc w:val="center"/>
              <w:rPr>
                <w:rFonts w:ascii="Arial" w:hAnsi="Arial" w:cs="Arial"/>
                <w:b/>
                <w:bCs/>
                <w:sz w:val="18"/>
                <w:szCs w:val="18"/>
                <w:lang w:eastAsia="es-AR"/>
              </w:rPr>
            </w:pPr>
          </w:p>
        </w:tc>
        <w:tc>
          <w:tcPr>
            <w:tcW w:w="901" w:type="dxa"/>
            <w:tcBorders>
              <w:top w:val="nil"/>
              <w:left w:val="nil"/>
              <w:bottom w:val="nil"/>
              <w:right w:val="nil"/>
            </w:tcBorders>
            <w:shd w:val="clear" w:color="auto" w:fill="auto"/>
            <w:noWrap/>
            <w:vAlign w:val="center"/>
            <w:hideMark/>
          </w:tcPr>
          <w:p w14:paraId="3DB3CE4A" w14:textId="77777777" w:rsidR="00C171D4" w:rsidRPr="00C171D4" w:rsidRDefault="00C171D4" w:rsidP="00572B51">
            <w:pPr>
              <w:jc w:val="center"/>
              <w:rPr>
                <w:sz w:val="18"/>
                <w:szCs w:val="18"/>
                <w:lang w:eastAsia="es-AR"/>
              </w:rPr>
            </w:pPr>
          </w:p>
        </w:tc>
        <w:tc>
          <w:tcPr>
            <w:tcW w:w="1111" w:type="dxa"/>
            <w:tcBorders>
              <w:top w:val="nil"/>
              <w:left w:val="nil"/>
              <w:bottom w:val="nil"/>
              <w:right w:val="nil"/>
            </w:tcBorders>
            <w:shd w:val="clear" w:color="auto" w:fill="auto"/>
            <w:vAlign w:val="center"/>
            <w:hideMark/>
          </w:tcPr>
          <w:p w14:paraId="35FDB74A"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 </w:t>
            </w:r>
          </w:p>
        </w:tc>
        <w:tc>
          <w:tcPr>
            <w:tcW w:w="771" w:type="dxa"/>
            <w:tcBorders>
              <w:top w:val="nil"/>
              <w:left w:val="nil"/>
              <w:bottom w:val="nil"/>
              <w:right w:val="nil"/>
            </w:tcBorders>
            <w:shd w:val="clear" w:color="auto" w:fill="auto"/>
            <w:noWrap/>
            <w:vAlign w:val="center"/>
            <w:hideMark/>
          </w:tcPr>
          <w:p w14:paraId="616D5385"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 </w:t>
            </w:r>
          </w:p>
        </w:tc>
        <w:tc>
          <w:tcPr>
            <w:tcW w:w="916" w:type="dxa"/>
            <w:tcBorders>
              <w:top w:val="nil"/>
              <w:left w:val="nil"/>
              <w:bottom w:val="nil"/>
              <w:right w:val="nil"/>
            </w:tcBorders>
            <w:shd w:val="clear" w:color="auto" w:fill="auto"/>
            <w:vAlign w:val="center"/>
            <w:hideMark/>
          </w:tcPr>
          <w:p w14:paraId="3A29F3A7"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 </w:t>
            </w:r>
          </w:p>
        </w:tc>
        <w:tc>
          <w:tcPr>
            <w:tcW w:w="1029" w:type="dxa"/>
            <w:tcBorders>
              <w:top w:val="nil"/>
              <w:left w:val="nil"/>
              <w:bottom w:val="nil"/>
              <w:right w:val="nil"/>
            </w:tcBorders>
            <w:shd w:val="clear" w:color="auto" w:fill="auto"/>
            <w:vAlign w:val="center"/>
            <w:hideMark/>
          </w:tcPr>
          <w:p w14:paraId="76751B71" w14:textId="77777777" w:rsidR="00C171D4" w:rsidRPr="00C171D4" w:rsidRDefault="00C171D4" w:rsidP="00572B51">
            <w:pPr>
              <w:jc w:val="center"/>
              <w:rPr>
                <w:rFonts w:ascii="Arial" w:hAnsi="Arial" w:cs="Arial"/>
                <w:b/>
                <w:bCs/>
                <w:sz w:val="18"/>
                <w:szCs w:val="18"/>
                <w:lang w:eastAsia="es-AR"/>
              </w:rPr>
            </w:pPr>
            <w:r w:rsidRPr="00C171D4">
              <w:rPr>
                <w:rFonts w:ascii="Arial" w:hAnsi="Arial" w:cs="Arial"/>
                <w:b/>
                <w:bCs/>
                <w:sz w:val="18"/>
                <w:szCs w:val="18"/>
                <w:lang w:eastAsia="es-AR"/>
              </w:rPr>
              <w:t> </w:t>
            </w:r>
          </w:p>
        </w:tc>
        <w:tc>
          <w:tcPr>
            <w:tcW w:w="1030" w:type="dxa"/>
            <w:tcBorders>
              <w:top w:val="nil"/>
              <w:left w:val="nil"/>
              <w:bottom w:val="nil"/>
              <w:right w:val="nil"/>
            </w:tcBorders>
            <w:shd w:val="clear" w:color="auto" w:fill="auto"/>
            <w:vAlign w:val="center"/>
            <w:hideMark/>
          </w:tcPr>
          <w:p w14:paraId="05AAACB9" w14:textId="77777777" w:rsidR="00C171D4" w:rsidRPr="00C171D4" w:rsidRDefault="00C171D4" w:rsidP="00572B51">
            <w:pPr>
              <w:jc w:val="center"/>
              <w:rPr>
                <w:rFonts w:ascii="Arial" w:hAnsi="Arial" w:cs="Arial"/>
                <w:b/>
                <w:bCs/>
                <w:sz w:val="18"/>
                <w:szCs w:val="18"/>
                <w:lang w:eastAsia="es-AR"/>
              </w:rPr>
            </w:pPr>
          </w:p>
        </w:tc>
        <w:tc>
          <w:tcPr>
            <w:tcW w:w="1041" w:type="dxa"/>
            <w:tcBorders>
              <w:top w:val="nil"/>
              <w:left w:val="nil"/>
              <w:bottom w:val="nil"/>
              <w:right w:val="nil"/>
            </w:tcBorders>
            <w:shd w:val="clear" w:color="auto" w:fill="auto"/>
            <w:vAlign w:val="center"/>
            <w:hideMark/>
          </w:tcPr>
          <w:p w14:paraId="7FB0F39E" w14:textId="77777777" w:rsidR="00C171D4" w:rsidRPr="00C171D4" w:rsidRDefault="00C171D4" w:rsidP="00572B51">
            <w:pPr>
              <w:jc w:val="center"/>
              <w:rPr>
                <w:sz w:val="18"/>
                <w:szCs w:val="18"/>
                <w:lang w:eastAsia="es-AR"/>
              </w:rPr>
            </w:pPr>
          </w:p>
        </w:tc>
      </w:tr>
      <w:tr w:rsidR="00C171D4" w:rsidRPr="00C171D4" w14:paraId="52F6D350" w14:textId="77777777" w:rsidTr="00F94F68">
        <w:trPr>
          <w:trHeight w:val="255"/>
          <w:jc w:val="center"/>
        </w:trPr>
        <w:tc>
          <w:tcPr>
            <w:tcW w:w="2568" w:type="dxa"/>
            <w:tcBorders>
              <w:top w:val="nil"/>
              <w:left w:val="nil"/>
              <w:bottom w:val="nil"/>
              <w:right w:val="nil"/>
            </w:tcBorders>
            <w:shd w:val="clear" w:color="auto" w:fill="auto"/>
            <w:hideMark/>
          </w:tcPr>
          <w:p w14:paraId="2A7B8272" w14:textId="77777777" w:rsidR="00C171D4" w:rsidRPr="00C171D4" w:rsidRDefault="00C171D4" w:rsidP="00572B51">
            <w:pPr>
              <w:rPr>
                <w:rFonts w:ascii="Arial" w:hAnsi="Arial" w:cs="Arial"/>
                <w:b/>
                <w:bCs/>
                <w:sz w:val="18"/>
                <w:szCs w:val="18"/>
                <w:lang w:eastAsia="es-AR"/>
              </w:rPr>
            </w:pPr>
            <w:r w:rsidRPr="00C171D4">
              <w:rPr>
                <w:rFonts w:ascii="Arial" w:hAnsi="Arial" w:cs="Arial"/>
                <w:b/>
                <w:bCs/>
                <w:sz w:val="18"/>
                <w:szCs w:val="18"/>
                <w:lang w:eastAsia="es-AR"/>
              </w:rPr>
              <w:t>Medición al costo</w:t>
            </w:r>
          </w:p>
        </w:tc>
        <w:tc>
          <w:tcPr>
            <w:tcW w:w="941" w:type="dxa"/>
            <w:tcBorders>
              <w:top w:val="nil"/>
              <w:left w:val="nil"/>
              <w:bottom w:val="nil"/>
              <w:right w:val="nil"/>
            </w:tcBorders>
            <w:shd w:val="clear" w:color="auto" w:fill="auto"/>
            <w:noWrap/>
            <w:vAlign w:val="bottom"/>
            <w:hideMark/>
          </w:tcPr>
          <w:p w14:paraId="5F480B5B" w14:textId="77777777" w:rsidR="00C171D4" w:rsidRPr="00C171D4" w:rsidRDefault="00C171D4" w:rsidP="00572B51">
            <w:pPr>
              <w:jc w:val="right"/>
              <w:rPr>
                <w:rFonts w:ascii="Arial" w:hAnsi="Arial" w:cs="Arial"/>
                <w:b/>
                <w:bCs/>
                <w:sz w:val="18"/>
                <w:szCs w:val="18"/>
                <w:lang w:eastAsia="es-AR"/>
              </w:rPr>
            </w:pPr>
          </w:p>
        </w:tc>
        <w:tc>
          <w:tcPr>
            <w:tcW w:w="921" w:type="dxa"/>
            <w:tcBorders>
              <w:top w:val="nil"/>
              <w:left w:val="nil"/>
              <w:bottom w:val="nil"/>
              <w:right w:val="nil"/>
            </w:tcBorders>
            <w:shd w:val="clear" w:color="auto" w:fill="auto"/>
            <w:noWrap/>
            <w:vAlign w:val="bottom"/>
            <w:hideMark/>
          </w:tcPr>
          <w:p w14:paraId="69E887E2" w14:textId="77777777" w:rsidR="00C171D4" w:rsidRPr="00C171D4" w:rsidRDefault="00C171D4" w:rsidP="00572B51">
            <w:pPr>
              <w:jc w:val="right"/>
              <w:rPr>
                <w:sz w:val="18"/>
                <w:szCs w:val="18"/>
                <w:lang w:eastAsia="es-AR"/>
              </w:rPr>
            </w:pPr>
          </w:p>
        </w:tc>
        <w:tc>
          <w:tcPr>
            <w:tcW w:w="1111" w:type="dxa"/>
            <w:tcBorders>
              <w:top w:val="nil"/>
              <w:left w:val="nil"/>
              <w:bottom w:val="nil"/>
              <w:right w:val="nil"/>
            </w:tcBorders>
            <w:shd w:val="clear" w:color="auto" w:fill="auto"/>
            <w:noWrap/>
            <w:vAlign w:val="bottom"/>
            <w:hideMark/>
          </w:tcPr>
          <w:p w14:paraId="18B1E38A" w14:textId="77777777" w:rsidR="00C171D4" w:rsidRPr="00C171D4" w:rsidRDefault="00C171D4" w:rsidP="00572B51">
            <w:pPr>
              <w:jc w:val="right"/>
              <w:rPr>
                <w:sz w:val="18"/>
                <w:szCs w:val="18"/>
                <w:lang w:eastAsia="es-AR"/>
              </w:rPr>
            </w:pPr>
          </w:p>
        </w:tc>
        <w:tc>
          <w:tcPr>
            <w:tcW w:w="1221" w:type="dxa"/>
            <w:tcBorders>
              <w:top w:val="nil"/>
              <w:left w:val="nil"/>
              <w:bottom w:val="nil"/>
              <w:right w:val="nil"/>
            </w:tcBorders>
          </w:tcPr>
          <w:p w14:paraId="75D23FC7" w14:textId="77777777" w:rsidR="00C171D4" w:rsidRPr="00C171D4" w:rsidRDefault="00C171D4" w:rsidP="00572B51">
            <w:pPr>
              <w:jc w:val="right"/>
              <w:rPr>
                <w:sz w:val="18"/>
                <w:szCs w:val="18"/>
                <w:lang w:eastAsia="es-AR"/>
              </w:rPr>
            </w:pPr>
          </w:p>
        </w:tc>
        <w:tc>
          <w:tcPr>
            <w:tcW w:w="960" w:type="dxa"/>
            <w:tcBorders>
              <w:top w:val="nil"/>
              <w:left w:val="nil"/>
              <w:bottom w:val="nil"/>
              <w:right w:val="nil"/>
            </w:tcBorders>
            <w:shd w:val="clear" w:color="auto" w:fill="auto"/>
            <w:noWrap/>
            <w:vAlign w:val="bottom"/>
            <w:hideMark/>
          </w:tcPr>
          <w:p w14:paraId="7B72D0F6" w14:textId="06729BDE" w:rsidR="00C171D4" w:rsidRPr="00C171D4" w:rsidRDefault="00C171D4" w:rsidP="00572B51">
            <w:pPr>
              <w:jc w:val="right"/>
              <w:rPr>
                <w:sz w:val="18"/>
                <w:szCs w:val="18"/>
                <w:lang w:eastAsia="es-AR"/>
              </w:rPr>
            </w:pPr>
          </w:p>
        </w:tc>
        <w:tc>
          <w:tcPr>
            <w:tcW w:w="901" w:type="dxa"/>
            <w:tcBorders>
              <w:top w:val="nil"/>
              <w:left w:val="nil"/>
              <w:bottom w:val="nil"/>
              <w:right w:val="nil"/>
            </w:tcBorders>
            <w:shd w:val="clear" w:color="auto" w:fill="auto"/>
            <w:noWrap/>
            <w:vAlign w:val="bottom"/>
            <w:hideMark/>
          </w:tcPr>
          <w:p w14:paraId="7EC77788" w14:textId="77777777" w:rsidR="00C171D4" w:rsidRPr="00C171D4" w:rsidRDefault="00C171D4" w:rsidP="00572B51">
            <w:pPr>
              <w:jc w:val="right"/>
              <w:rPr>
                <w:sz w:val="18"/>
                <w:szCs w:val="18"/>
                <w:lang w:eastAsia="es-AR"/>
              </w:rPr>
            </w:pPr>
          </w:p>
        </w:tc>
        <w:tc>
          <w:tcPr>
            <w:tcW w:w="1111" w:type="dxa"/>
            <w:tcBorders>
              <w:top w:val="nil"/>
              <w:left w:val="nil"/>
              <w:bottom w:val="nil"/>
              <w:right w:val="nil"/>
            </w:tcBorders>
            <w:shd w:val="clear" w:color="auto" w:fill="auto"/>
            <w:noWrap/>
            <w:vAlign w:val="bottom"/>
            <w:hideMark/>
          </w:tcPr>
          <w:p w14:paraId="45419A83" w14:textId="77777777" w:rsidR="00C171D4" w:rsidRPr="00C171D4" w:rsidRDefault="00C171D4" w:rsidP="00572B51">
            <w:pPr>
              <w:jc w:val="right"/>
              <w:rPr>
                <w:sz w:val="18"/>
                <w:szCs w:val="18"/>
                <w:lang w:eastAsia="es-AR"/>
              </w:rPr>
            </w:pPr>
          </w:p>
        </w:tc>
        <w:tc>
          <w:tcPr>
            <w:tcW w:w="771" w:type="dxa"/>
            <w:tcBorders>
              <w:top w:val="nil"/>
              <w:left w:val="nil"/>
              <w:bottom w:val="nil"/>
              <w:right w:val="nil"/>
            </w:tcBorders>
            <w:shd w:val="clear" w:color="auto" w:fill="auto"/>
            <w:noWrap/>
            <w:vAlign w:val="bottom"/>
            <w:hideMark/>
          </w:tcPr>
          <w:p w14:paraId="00D1620B" w14:textId="77777777" w:rsidR="00C171D4" w:rsidRPr="00C171D4" w:rsidRDefault="00C171D4" w:rsidP="00572B51">
            <w:pPr>
              <w:jc w:val="right"/>
              <w:rPr>
                <w:sz w:val="18"/>
                <w:szCs w:val="18"/>
                <w:lang w:eastAsia="es-AR"/>
              </w:rPr>
            </w:pPr>
          </w:p>
        </w:tc>
        <w:tc>
          <w:tcPr>
            <w:tcW w:w="916" w:type="dxa"/>
            <w:tcBorders>
              <w:top w:val="nil"/>
              <w:left w:val="nil"/>
              <w:bottom w:val="nil"/>
              <w:right w:val="nil"/>
            </w:tcBorders>
            <w:shd w:val="clear" w:color="auto" w:fill="auto"/>
            <w:noWrap/>
            <w:vAlign w:val="bottom"/>
            <w:hideMark/>
          </w:tcPr>
          <w:p w14:paraId="7BAAFA49" w14:textId="77777777" w:rsidR="00C171D4" w:rsidRPr="00C171D4" w:rsidRDefault="00C171D4" w:rsidP="00572B51">
            <w:pPr>
              <w:jc w:val="right"/>
              <w:rPr>
                <w:sz w:val="18"/>
                <w:szCs w:val="18"/>
                <w:lang w:eastAsia="es-AR"/>
              </w:rPr>
            </w:pPr>
          </w:p>
        </w:tc>
        <w:tc>
          <w:tcPr>
            <w:tcW w:w="1029" w:type="dxa"/>
            <w:tcBorders>
              <w:top w:val="nil"/>
              <w:left w:val="nil"/>
              <w:bottom w:val="nil"/>
              <w:right w:val="nil"/>
            </w:tcBorders>
            <w:shd w:val="clear" w:color="auto" w:fill="auto"/>
            <w:noWrap/>
            <w:vAlign w:val="bottom"/>
            <w:hideMark/>
          </w:tcPr>
          <w:p w14:paraId="6950CEDC" w14:textId="77777777" w:rsidR="00C171D4" w:rsidRPr="00C171D4" w:rsidRDefault="00C171D4" w:rsidP="00572B51">
            <w:pPr>
              <w:jc w:val="right"/>
              <w:rPr>
                <w:sz w:val="18"/>
                <w:szCs w:val="18"/>
                <w:lang w:eastAsia="es-AR"/>
              </w:rPr>
            </w:pPr>
          </w:p>
        </w:tc>
        <w:tc>
          <w:tcPr>
            <w:tcW w:w="1030" w:type="dxa"/>
            <w:tcBorders>
              <w:top w:val="nil"/>
              <w:left w:val="nil"/>
              <w:bottom w:val="nil"/>
              <w:right w:val="nil"/>
            </w:tcBorders>
            <w:shd w:val="clear" w:color="auto" w:fill="auto"/>
            <w:noWrap/>
            <w:vAlign w:val="bottom"/>
            <w:hideMark/>
          </w:tcPr>
          <w:p w14:paraId="5C1CBB8A" w14:textId="77777777" w:rsidR="00C171D4" w:rsidRPr="00C171D4" w:rsidRDefault="00C171D4" w:rsidP="00572B51">
            <w:pPr>
              <w:jc w:val="right"/>
              <w:rPr>
                <w:sz w:val="18"/>
                <w:szCs w:val="18"/>
                <w:lang w:eastAsia="es-AR"/>
              </w:rPr>
            </w:pPr>
          </w:p>
        </w:tc>
        <w:tc>
          <w:tcPr>
            <w:tcW w:w="1041" w:type="dxa"/>
            <w:tcBorders>
              <w:top w:val="nil"/>
              <w:left w:val="nil"/>
              <w:bottom w:val="nil"/>
              <w:right w:val="nil"/>
            </w:tcBorders>
            <w:shd w:val="clear" w:color="auto" w:fill="auto"/>
            <w:noWrap/>
            <w:vAlign w:val="bottom"/>
            <w:hideMark/>
          </w:tcPr>
          <w:p w14:paraId="5553935E" w14:textId="77777777" w:rsidR="00C171D4" w:rsidRPr="00C171D4" w:rsidRDefault="00C171D4" w:rsidP="00572B51">
            <w:pPr>
              <w:jc w:val="right"/>
              <w:rPr>
                <w:sz w:val="18"/>
                <w:szCs w:val="18"/>
                <w:lang w:eastAsia="es-AR"/>
              </w:rPr>
            </w:pPr>
          </w:p>
        </w:tc>
      </w:tr>
      <w:tr w:rsidR="00C171D4" w:rsidRPr="00C171D4" w14:paraId="188C1CE7" w14:textId="77777777" w:rsidTr="00F94F68">
        <w:trPr>
          <w:trHeight w:val="255"/>
          <w:jc w:val="center"/>
        </w:trPr>
        <w:tc>
          <w:tcPr>
            <w:tcW w:w="2568" w:type="dxa"/>
            <w:tcBorders>
              <w:top w:val="nil"/>
              <w:left w:val="nil"/>
              <w:bottom w:val="nil"/>
              <w:right w:val="nil"/>
            </w:tcBorders>
            <w:shd w:val="clear" w:color="auto" w:fill="auto"/>
            <w:hideMark/>
          </w:tcPr>
          <w:p w14:paraId="62158ED5" w14:textId="77777777" w:rsidR="00C171D4" w:rsidRPr="00C171D4" w:rsidRDefault="00C171D4" w:rsidP="00C171D4">
            <w:pPr>
              <w:rPr>
                <w:rFonts w:ascii="Arial" w:hAnsi="Arial" w:cs="Arial"/>
                <w:sz w:val="18"/>
                <w:szCs w:val="18"/>
                <w:lang w:eastAsia="es-AR"/>
              </w:rPr>
            </w:pPr>
            <w:r w:rsidRPr="00C171D4">
              <w:rPr>
                <w:rFonts w:ascii="Arial" w:hAnsi="Arial" w:cs="Arial"/>
                <w:sz w:val="18"/>
                <w:szCs w:val="18"/>
                <w:lang w:eastAsia="es-AR"/>
              </w:rPr>
              <w:t>- Mobiliario e Instalaciones</w:t>
            </w:r>
          </w:p>
        </w:tc>
        <w:tc>
          <w:tcPr>
            <w:tcW w:w="941" w:type="dxa"/>
            <w:tcBorders>
              <w:top w:val="nil"/>
              <w:left w:val="nil"/>
              <w:bottom w:val="nil"/>
              <w:right w:val="nil"/>
            </w:tcBorders>
            <w:shd w:val="clear" w:color="auto" w:fill="auto"/>
            <w:noWrap/>
            <w:vAlign w:val="bottom"/>
          </w:tcPr>
          <w:p w14:paraId="70157B5C" w14:textId="38E87188"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152.868</w:t>
            </w:r>
          </w:p>
        </w:tc>
        <w:tc>
          <w:tcPr>
            <w:tcW w:w="921" w:type="dxa"/>
            <w:tcBorders>
              <w:top w:val="nil"/>
              <w:left w:val="nil"/>
              <w:bottom w:val="nil"/>
              <w:right w:val="nil"/>
            </w:tcBorders>
            <w:shd w:val="clear" w:color="auto" w:fill="auto"/>
            <w:noWrap/>
            <w:vAlign w:val="bottom"/>
          </w:tcPr>
          <w:p w14:paraId="032A6D8A" w14:textId="203F80C9" w:rsidR="00C171D4" w:rsidRPr="00C171D4" w:rsidRDefault="00C171D4" w:rsidP="00C171D4">
            <w:pPr>
              <w:jc w:val="right"/>
              <w:rPr>
                <w:rFonts w:ascii="Arial" w:hAnsi="Arial" w:cs="Arial"/>
                <w:sz w:val="18"/>
                <w:szCs w:val="18"/>
                <w:lang w:eastAsia="es-AR"/>
              </w:rPr>
            </w:pPr>
            <w:r>
              <w:rPr>
                <w:rFonts w:ascii="Arial" w:hAnsi="Arial" w:cs="Arial"/>
                <w:sz w:val="18"/>
                <w:szCs w:val="18"/>
              </w:rPr>
              <w:t>-</w:t>
            </w:r>
          </w:p>
        </w:tc>
        <w:tc>
          <w:tcPr>
            <w:tcW w:w="1111" w:type="dxa"/>
            <w:tcBorders>
              <w:top w:val="nil"/>
              <w:left w:val="nil"/>
              <w:bottom w:val="nil"/>
              <w:right w:val="nil"/>
            </w:tcBorders>
            <w:shd w:val="clear" w:color="auto" w:fill="auto"/>
            <w:noWrap/>
            <w:vAlign w:val="bottom"/>
          </w:tcPr>
          <w:p w14:paraId="0DB8F704" w14:textId="3F3C67DA" w:rsidR="00C171D4" w:rsidRPr="00C171D4" w:rsidRDefault="00C171D4" w:rsidP="00C171D4">
            <w:pPr>
              <w:jc w:val="right"/>
              <w:rPr>
                <w:rFonts w:ascii="Arial" w:hAnsi="Arial" w:cs="Arial"/>
                <w:sz w:val="18"/>
                <w:szCs w:val="18"/>
                <w:lang w:eastAsia="es-AR"/>
              </w:rPr>
            </w:pPr>
            <w:r>
              <w:rPr>
                <w:rFonts w:ascii="Arial" w:hAnsi="Arial" w:cs="Arial"/>
                <w:sz w:val="18"/>
                <w:szCs w:val="18"/>
                <w:lang w:eastAsia="es-AR"/>
              </w:rPr>
              <w:t>-</w:t>
            </w:r>
          </w:p>
        </w:tc>
        <w:tc>
          <w:tcPr>
            <w:tcW w:w="1221" w:type="dxa"/>
            <w:tcBorders>
              <w:top w:val="nil"/>
              <w:left w:val="nil"/>
              <w:bottom w:val="nil"/>
              <w:right w:val="nil"/>
            </w:tcBorders>
          </w:tcPr>
          <w:p w14:paraId="105C7BB8" w14:textId="0B68DEF4" w:rsidR="00C171D4" w:rsidRPr="00C171D4" w:rsidRDefault="00C171D4" w:rsidP="00C171D4">
            <w:pPr>
              <w:jc w:val="right"/>
              <w:rPr>
                <w:rFonts w:ascii="Arial" w:hAnsi="Arial" w:cs="Arial"/>
                <w:sz w:val="18"/>
                <w:szCs w:val="18"/>
                <w:lang w:eastAsia="es-AR"/>
              </w:rPr>
            </w:pPr>
            <w:r>
              <w:rPr>
                <w:rFonts w:ascii="Arial" w:hAnsi="Arial" w:cs="Arial"/>
                <w:sz w:val="18"/>
                <w:szCs w:val="18"/>
                <w:lang w:eastAsia="es-AR"/>
              </w:rPr>
              <w:t>-</w:t>
            </w:r>
          </w:p>
        </w:tc>
        <w:tc>
          <w:tcPr>
            <w:tcW w:w="960" w:type="dxa"/>
            <w:tcBorders>
              <w:top w:val="nil"/>
              <w:left w:val="nil"/>
              <w:bottom w:val="nil"/>
              <w:right w:val="nil"/>
            </w:tcBorders>
            <w:shd w:val="clear" w:color="auto" w:fill="auto"/>
            <w:noWrap/>
            <w:vAlign w:val="bottom"/>
          </w:tcPr>
          <w:p w14:paraId="0BE90A8F" w14:textId="09FF01F8"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18.669</w:t>
            </w:r>
          </w:p>
        </w:tc>
        <w:tc>
          <w:tcPr>
            <w:tcW w:w="901" w:type="dxa"/>
            <w:tcBorders>
              <w:top w:val="nil"/>
              <w:left w:val="nil"/>
              <w:bottom w:val="nil"/>
              <w:right w:val="nil"/>
            </w:tcBorders>
            <w:shd w:val="clear" w:color="auto" w:fill="auto"/>
            <w:noWrap/>
            <w:vAlign w:val="bottom"/>
          </w:tcPr>
          <w:p w14:paraId="0646B99D" w14:textId="7C069D51"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-1.322</w:t>
            </w:r>
          </w:p>
        </w:tc>
        <w:tc>
          <w:tcPr>
            <w:tcW w:w="1111" w:type="dxa"/>
            <w:tcBorders>
              <w:top w:val="nil"/>
              <w:left w:val="nil"/>
              <w:bottom w:val="nil"/>
              <w:right w:val="nil"/>
            </w:tcBorders>
            <w:shd w:val="clear" w:color="auto" w:fill="auto"/>
            <w:noWrap/>
            <w:vAlign w:val="bottom"/>
          </w:tcPr>
          <w:p w14:paraId="624B6F36" w14:textId="680F706C"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-75.560</w:t>
            </w:r>
          </w:p>
        </w:tc>
        <w:tc>
          <w:tcPr>
            <w:tcW w:w="771" w:type="dxa"/>
            <w:tcBorders>
              <w:top w:val="nil"/>
              <w:left w:val="nil"/>
              <w:bottom w:val="nil"/>
              <w:right w:val="nil"/>
            </w:tcBorders>
            <w:shd w:val="clear" w:color="auto" w:fill="auto"/>
            <w:noWrap/>
            <w:vAlign w:val="bottom"/>
          </w:tcPr>
          <w:p w14:paraId="02F646C8" w14:textId="49EA001D" w:rsidR="00C171D4" w:rsidRPr="00C171D4" w:rsidRDefault="00995C31" w:rsidP="00C171D4">
            <w:pPr>
              <w:jc w:val="right"/>
              <w:rPr>
                <w:rFonts w:ascii="Arial" w:hAnsi="Arial" w:cs="Arial"/>
                <w:sz w:val="18"/>
                <w:szCs w:val="18"/>
                <w:lang w:eastAsia="es-AR"/>
              </w:rPr>
            </w:pPr>
            <w:r>
              <w:rPr>
                <w:rFonts w:ascii="Arial" w:hAnsi="Arial" w:cs="Arial"/>
                <w:sz w:val="18"/>
                <w:szCs w:val="18"/>
              </w:rPr>
              <w:t>-</w:t>
            </w:r>
          </w:p>
        </w:tc>
        <w:tc>
          <w:tcPr>
            <w:tcW w:w="916" w:type="dxa"/>
            <w:tcBorders>
              <w:top w:val="nil"/>
              <w:left w:val="nil"/>
              <w:bottom w:val="nil"/>
              <w:right w:val="nil"/>
            </w:tcBorders>
            <w:shd w:val="clear" w:color="auto" w:fill="auto"/>
            <w:noWrap/>
            <w:vAlign w:val="bottom"/>
          </w:tcPr>
          <w:p w14:paraId="3D062A2B" w14:textId="6E05DC78"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-15.542</w:t>
            </w:r>
          </w:p>
        </w:tc>
        <w:tc>
          <w:tcPr>
            <w:tcW w:w="1029" w:type="dxa"/>
            <w:tcBorders>
              <w:top w:val="nil"/>
              <w:left w:val="nil"/>
              <w:bottom w:val="nil"/>
              <w:right w:val="nil"/>
            </w:tcBorders>
            <w:shd w:val="clear" w:color="auto" w:fill="auto"/>
            <w:noWrap/>
            <w:vAlign w:val="bottom"/>
          </w:tcPr>
          <w:p w14:paraId="308C805A" w14:textId="71E7D12A"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-91.102</w:t>
            </w:r>
          </w:p>
        </w:tc>
        <w:tc>
          <w:tcPr>
            <w:tcW w:w="1030" w:type="dxa"/>
            <w:tcBorders>
              <w:top w:val="nil"/>
              <w:left w:val="nil"/>
              <w:bottom w:val="nil"/>
              <w:right w:val="nil"/>
            </w:tcBorders>
            <w:shd w:val="clear" w:color="auto" w:fill="auto"/>
            <w:noWrap/>
            <w:vAlign w:val="bottom"/>
          </w:tcPr>
          <w:p w14:paraId="1924C72D" w14:textId="655035E9"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79.113</w:t>
            </w:r>
          </w:p>
        </w:tc>
        <w:tc>
          <w:tcPr>
            <w:tcW w:w="1041" w:type="dxa"/>
            <w:tcBorders>
              <w:top w:val="nil"/>
              <w:left w:val="nil"/>
              <w:bottom w:val="nil"/>
              <w:right w:val="nil"/>
            </w:tcBorders>
            <w:shd w:val="clear" w:color="auto" w:fill="auto"/>
            <w:noWrap/>
            <w:vAlign w:val="bottom"/>
          </w:tcPr>
          <w:p w14:paraId="32F9D1F4" w14:textId="51311D03"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77.308</w:t>
            </w:r>
          </w:p>
        </w:tc>
      </w:tr>
      <w:tr w:rsidR="00C171D4" w:rsidRPr="00C171D4" w14:paraId="53350398" w14:textId="77777777" w:rsidTr="00F94F68">
        <w:trPr>
          <w:trHeight w:val="255"/>
          <w:jc w:val="center"/>
        </w:trPr>
        <w:tc>
          <w:tcPr>
            <w:tcW w:w="2568" w:type="dxa"/>
            <w:tcBorders>
              <w:top w:val="nil"/>
              <w:left w:val="nil"/>
              <w:bottom w:val="nil"/>
              <w:right w:val="nil"/>
            </w:tcBorders>
            <w:shd w:val="clear" w:color="auto" w:fill="auto"/>
            <w:hideMark/>
          </w:tcPr>
          <w:p w14:paraId="523D9A04" w14:textId="77777777" w:rsidR="00C171D4" w:rsidRPr="00C171D4" w:rsidRDefault="00C171D4" w:rsidP="00C171D4">
            <w:pPr>
              <w:rPr>
                <w:rFonts w:ascii="Arial" w:hAnsi="Arial" w:cs="Arial"/>
                <w:sz w:val="18"/>
                <w:szCs w:val="18"/>
                <w:lang w:eastAsia="es-AR"/>
              </w:rPr>
            </w:pPr>
            <w:r w:rsidRPr="00C171D4">
              <w:rPr>
                <w:rFonts w:ascii="Arial" w:hAnsi="Arial" w:cs="Arial"/>
                <w:sz w:val="18"/>
                <w:szCs w:val="18"/>
                <w:lang w:eastAsia="es-AR"/>
              </w:rPr>
              <w:t>- Máquinas y equipos</w:t>
            </w:r>
          </w:p>
        </w:tc>
        <w:tc>
          <w:tcPr>
            <w:tcW w:w="941" w:type="dxa"/>
            <w:tcBorders>
              <w:top w:val="nil"/>
              <w:left w:val="nil"/>
              <w:bottom w:val="nil"/>
              <w:right w:val="nil"/>
            </w:tcBorders>
            <w:shd w:val="clear" w:color="auto" w:fill="auto"/>
            <w:noWrap/>
            <w:vAlign w:val="bottom"/>
          </w:tcPr>
          <w:p w14:paraId="204A6BF7" w14:textId="48584BB1"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702.000</w:t>
            </w:r>
          </w:p>
        </w:tc>
        <w:tc>
          <w:tcPr>
            <w:tcW w:w="921" w:type="dxa"/>
            <w:tcBorders>
              <w:top w:val="nil"/>
              <w:left w:val="nil"/>
              <w:bottom w:val="nil"/>
              <w:right w:val="nil"/>
            </w:tcBorders>
            <w:shd w:val="clear" w:color="auto" w:fill="auto"/>
            <w:noWrap/>
            <w:vAlign w:val="bottom"/>
          </w:tcPr>
          <w:p w14:paraId="621C9468" w14:textId="65AC9336"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10</w:t>
            </w:r>
          </w:p>
        </w:tc>
        <w:tc>
          <w:tcPr>
            <w:tcW w:w="1111" w:type="dxa"/>
            <w:tcBorders>
              <w:top w:val="nil"/>
              <w:left w:val="nil"/>
              <w:bottom w:val="nil"/>
              <w:right w:val="nil"/>
            </w:tcBorders>
            <w:shd w:val="clear" w:color="auto" w:fill="auto"/>
            <w:noWrap/>
            <w:vAlign w:val="bottom"/>
          </w:tcPr>
          <w:p w14:paraId="7D764407" w14:textId="65882E91" w:rsidR="00C171D4" w:rsidRPr="00C171D4" w:rsidRDefault="00C171D4" w:rsidP="00C171D4">
            <w:pPr>
              <w:jc w:val="right"/>
              <w:rPr>
                <w:rFonts w:ascii="Arial" w:hAnsi="Arial" w:cs="Arial"/>
                <w:sz w:val="18"/>
                <w:szCs w:val="18"/>
                <w:lang w:eastAsia="es-AR"/>
              </w:rPr>
            </w:pPr>
            <w:r>
              <w:rPr>
                <w:rFonts w:ascii="Arial" w:hAnsi="Arial" w:cs="Arial"/>
                <w:sz w:val="18"/>
                <w:szCs w:val="18"/>
                <w:lang w:eastAsia="es-AR"/>
              </w:rPr>
              <w:t>-</w:t>
            </w:r>
          </w:p>
        </w:tc>
        <w:tc>
          <w:tcPr>
            <w:tcW w:w="1221" w:type="dxa"/>
            <w:tcBorders>
              <w:top w:val="nil"/>
              <w:left w:val="nil"/>
              <w:bottom w:val="nil"/>
              <w:right w:val="nil"/>
            </w:tcBorders>
          </w:tcPr>
          <w:p w14:paraId="560BCDA9" w14:textId="346F5468" w:rsidR="00C171D4" w:rsidRPr="00C171D4" w:rsidRDefault="00C171D4" w:rsidP="00C171D4">
            <w:pPr>
              <w:jc w:val="right"/>
              <w:rPr>
                <w:rFonts w:ascii="Arial" w:hAnsi="Arial" w:cs="Arial"/>
                <w:sz w:val="18"/>
                <w:szCs w:val="18"/>
                <w:lang w:eastAsia="es-AR"/>
              </w:rPr>
            </w:pPr>
            <w:r>
              <w:rPr>
                <w:rFonts w:ascii="Arial" w:hAnsi="Arial" w:cs="Arial"/>
                <w:sz w:val="18"/>
                <w:szCs w:val="18"/>
                <w:lang w:eastAsia="es-AR"/>
              </w:rPr>
              <w:t>-</w:t>
            </w:r>
          </w:p>
        </w:tc>
        <w:tc>
          <w:tcPr>
            <w:tcW w:w="960" w:type="dxa"/>
            <w:tcBorders>
              <w:top w:val="nil"/>
              <w:left w:val="nil"/>
              <w:bottom w:val="nil"/>
              <w:right w:val="nil"/>
            </w:tcBorders>
            <w:shd w:val="clear" w:color="auto" w:fill="auto"/>
            <w:noWrap/>
            <w:vAlign w:val="bottom"/>
          </w:tcPr>
          <w:p w14:paraId="3D1CB01D" w14:textId="16FB4609"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99.779</w:t>
            </w:r>
          </w:p>
        </w:tc>
        <w:tc>
          <w:tcPr>
            <w:tcW w:w="901" w:type="dxa"/>
            <w:tcBorders>
              <w:top w:val="nil"/>
              <w:left w:val="nil"/>
              <w:bottom w:val="nil"/>
              <w:right w:val="nil"/>
            </w:tcBorders>
            <w:shd w:val="clear" w:color="auto" w:fill="auto"/>
            <w:noWrap/>
            <w:vAlign w:val="bottom"/>
          </w:tcPr>
          <w:p w14:paraId="109D0DD9" w14:textId="24CE3074"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-5.263</w:t>
            </w:r>
          </w:p>
        </w:tc>
        <w:tc>
          <w:tcPr>
            <w:tcW w:w="1111" w:type="dxa"/>
            <w:tcBorders>
              <w:top w:val="nil"/>
              <w:left w:val="nil"/>
              <w:bottom w:val="nil"/>
              <w:right w:val="nil"/>
            </w:tcBorders>
            <w:shd w:val="clear" w:color="auto" w:fill="auto"/>
            <w:noWrap/>
            <w:vAlign w:val="bottom"/>
          </w:tcPr>
          <w:p w14:paraId="7428F1FB" w14:textId="6432CF1C"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-433.465</w:t>
            </w:r>
          </w:p>
        </w:tc>
        <w:tc>
          <w:tcPr>
            <w:tcW w:w="771" w:type="dxa"/>
            <w:tcBorders>
              <w:top w:val="nil"/>
              <w:left w:val="nil"/>
              <w:bottom w:val="nil"/>
              <w:right w:val="nil"/>
            </w:tcBorders>
            <w:shd w:val="clear" w:color="auto" w:fill="auto"/>
            <w:noWrap/>
            <w:vAlign w:val="bottom"/>
          </w:tcPr>
          <w:p w14:paraId="61D81435" w14:textId="0C4048E8"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700</w:t>
            </w:r>
          </w:p>
        </w:tc>
        <w:tc>
          <w:tcPr>
            <w:tcW w:w="916" w:type="dxa"/>
            <w:tcBorders>
              <w:top w:val="nil"/>
              <w:left w:val="nil"/>
              <w:bottom w:val="nil"/>
              <w:right w:val="nil"/>
            </w:tcBorders>
            <w:shd w:val="clear" w:color="auto" w:fill="auto"/>
            <w:noWrap/>
            <w:vAlign w:val="bottom"/>
          </w:tcPr>
          <w:p w14:paraId="398C0FFE" w14:textId="193996B2"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-131.887</w:t>
            </w:r>
          </w:p>
        </w:tc>
        <w:tc>
          <w:tcPr>
            <w:tcW w:w="1029" w:type="dxa"/>
            <w:tcBorders>
              <w:top w:val="nil"/>
              <w:left w:val="nil"/>
              <w:bottom w:val="nil"/>
              <w:right w:val="nil"/>
            </w:tcBorders>
            <w:shd w:val="clear" w:color="auto" w:fill="auto"/>
            <w:noWrap/>
            <w:vAlign w:val="bottom"/>
          </w:tcPr>
          <w:p w14:paraId="4D4E5BD7" w14:textId="5156D6CC"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-564.652</w:t>
            </w:r>
          </w:p>
        </w:tc>
        <w:tc>
          <w:tcPr>
            <w:tcW w:w="1030" w:type="dxa"/>
            <w:tcBorders>
              <w:top w:val="nil"/>
              <w:left w:val="nil"/>
              <w:bottom w:val="nil"/>
              <w:right w:val="nil"/>
            </w:tcBorders>
            <w:shd w:val="clear" w:color="auto" w:fill="auto"/>
            <w:noWrap/>
            <w:vAlign w:val="bottom"/>
          </w:tcPr>
          <w:p w14:paraId="52261568" w14:textId="0B7B296D"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231.864</w:t>
            </w:r>
          </w:p>
        </w:tc>
        <w:tc>
          <w:tcPr>
            <w:tcW w:w="1041" w:type="dxa"/>
            <w:tcBorders>
              <w:top w:val="nil"/>
              <w:left w:val="nil"/>
              <w:bottom w:val="nil"/>
              <w:right w:val="nil"/>
            </w:tcBorders>
            <w:shd w:val="clear" w:color="auto" w:fill="auto"/>
            <w:noWrap/>
            <w:vAlign w:val="bottom"/>
          </w:tcPr>
          <w:p w14:paraId="1A100981" w14:textId="0EF101DC"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268.535</w:t>
            </w:r>
          </w:p>
        </w:tc>
      </w:tr>
      <w:tr w:rsidR="00C171D4" w:rsidRPr="00C171D4" w14:paraId="637D44FC" w14:textId="77777777" w:rsidTr="00F94F68">
        <w:trPr>
          <w:trHeight w:val="255"/>
          <w:jc w:val="center"/>
        </w:trPr>
        <w:tc>
          <w:tcPr>
            <w:tcW w:w="2568" w:type="dxa"/>
            <w:tcBorders>
              <w:top w:val="nil"/>
              <w:left w:val="nil"/>
              <w:bottom w:val="nil"/>
              <w:right w:val="nil"/>
            </w:tcBorders>
            <w:shd w:val="clear" w:color="auto" w:fill="auto"/>
            <w:hideMark/>
          </w:tcPr>
          <w:p w14:paraId="33D7AD32" w14:textId="77777777" w:rsidR="00C171D4" w:rsidRPr="00C171D4" w:rsidRDefault="00C171D4" w:rsidP="00C171D4">
            <w:pPr>
              <w:rPr>
                <w:rFonts w:ascii="Arial" w:hAnsi="Arial" w:cs="Arial"/>
                <w:sz w:val="18"/>
                <w:szCs w:val="18"/>
                <w:lang w:eastAsia="es-AR"/>
              </w:rPr>
            </w:pPr>
            <w:r w:rsidRPr="00C171D4">
              <w:rPr>
                <w:rFonts w:ascii="Arial" w:hAnsi="Arial" w:cs="Arial"/>
                <w:sz w:val="18"/>
                <w:szCs w:val="18"/>
                <w:lang w:eastAsia="es-AR"/>
              </w:rPr>
              <w:t>- Vehículos</w:t>
            </w:r>
          </w:p>
        </w:tc>
        <w:tc>
          <w:tcPr>
            <w:tcW w:w="941" w:type="dxa"/>
            <w:tcBorders>
              <w:top w:val="nil"/>
              <w:left w:val="nil"/>
              <w:bottom w:val="nil"/>
              <w:right w:val="nil"/>
            </w:tcBorders>
            <w:shd w:val="clear" w:color="auto" w:fill="auto"/>
            <w:noWrap/>
            <w:vAlign w:val="bottom"/>
          </w:tcPr>
          <w:p w14:paraId="741C1BDF" w14:textId="7E5CA49B"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63.268</w:t>
            </w:r>
          </w:p>
        </w:tc>
        <w:tc>
          <w:tcPr>
            <w:tcW w:w="921" w:type="dxa"/>
            <w:tcBorders>
              <w:top w:val="nil"/>
              <w:left w:val="nil"/>
              <w:bottom w:val="nil"/>
              <w:right w:val="nil"/>
            </w:tcBorders>
            <w:shd w:val="clear" w:color="auto" w:fill="auto"/>
            <w:noWrap/>
            <w:vAlign w:val="bottom"/>
          </w:tcPr>
          <w:p w14:paraId="75662981" w14:textId="28987B3A"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5</w:t>
            </w:r>
          </w:p>
        </w:tc>
        <w:tc>
          <w:tcPr>
            <w:tcW w:w="1111" w:type="dxa"/>
            <w:tcBorders>
              <w:top w:val="nil"/>
              <w:left w:val="nil"/>
              <w:bottom w:val="nil"/>
              <w:right w:val="nil"/>
            </w:tcBorders>
            <w:shd w:val="clear" w:color="auto" w:fill="auto"/>
            <w:noWrap/>
            <w:vAlign w:val="bottom"/>
          </w:tcPr>
          <w:p w14:paraId="6B531E7D" w14:textId="218F60DC" w:rsidR="00C171D4" w:rsidRPr="00C171D4" w:rsidRDefault="00C171D4" w:rsidP="00C171D4">
            <w:pPr>
              <w:jc w:val="right"/>
              <w:rPr>
                <w:rFonts w:ascii="Arial" w:hAnsi="Arial" w:cs="Arial"/>
                <w:sz w:val="18"/>
                <w:szCs w:val="18"/>
                <w:lang w:eastAsia="es-AR"/>
              </w:rPr>
            </w:pPr>
            <w:r>
              <w:rPr>
                <w:rFonts w:ascii="Arial" w:hAnsi="Arial" w:cs="Arial"/>
                <w:sz w:val="18"/>
                <w:szCs w:val="18"/>
                <w:lang w:eastAsia="es-AR"/>
              </w:rPr>
              <w:t>-</w:t>
            </w:r>
          </w:p>
        </w:tc>
        <w:tc>
          <w:tcPr>
            <w:tcW w:w="1221" w:type="dxa"/>
            <w:tcBorders>
              <w:top w:val="nil"/>
              <w:left w:val="nil"/>
              <w:bottom w:val="nil"/>
              <w:right w:val="nil"/>
            </w:tcBorders>
          </w:tcPr>
          <w:p w14:paraId="5CD46B3B" w14:textId="1483A387" w:rsidR="00C171D4" w:rsidRPr="00C171D4" w:rsidRDefault="00C171D4" w:rsidP="00C171D4">
            <w:pPr>
              <w:jc w:val="right"/>
              <w:rPr>
                <w:rFonts w:ascii="Arial" w:hAnsi="Arial" w:cs="Arial"/>
                <w:sz w:val="18"/>
                <w:szCs w:val="18"/>
                <w:lang w:eastAsia="es-AR"/>
              </w:rPr>
            </w:pPr>
            <w:r>
              <w:rPr>
                <w:rFonts w:ascii="Arial" w:hAnsi="Arial" w:cs="Arial"/>
                <w:sz w:val="18"/>
                <w:szCs w:val="18"/>
                <w:lang w:eastAsia="es-AR"/>
              </w:rPr>
              <w:t>-</w:t>
            </w:r>
          </w:p>
        </w:tc>
        <w:tc>
          <w:tcPr>
            <w:tcW w:w="960" w:type="dxa"/>
            <w:tcBorders>
              <w:top w:val="nil"/>
              <w:left w:val="nil"/>
              <w:bottom w:val="nil"/>
              <w:right w:val="nil"/>
            </w:tcBorders>
            <w:shd w:val="clear" w:color="auto" w:fill="auto"/>
            <w:noWrap/>
            <w:vAlign w:val="bottom"/>
          </w:tcPr>
          <w:p w14:paraId="6EC59F83" w14:textId="40BA90ED"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27.400</w:t>
            </w:r>
          </w:p>
        </w:tc>
        <w:tc>
          <w:tcPr>
            <w:tcW w:w="901" w:type="dxa"/>
            <w:tcBorders>
              <w:top w:val="nil"/>
              <w:left w:val="nil"/>
              <w:bottom w:val="nil"/>
              <w:right w:val="nil"/>
            </w:tcBorders>
            <w:shd w:val="clear" w:color="auto" w:fill="auto"/>
            <w:noWrap/>
            <w:vAlign w:val="bottom"/>
          </w:tcPr>
          <w:p w14:paraId="2E855968" w14:textId="152587B8"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-12.081</w:t>
            </w:r>
          </w:p>
        </w:tc>
        <w:tc>
          <w:tcPr>
            <w:tcW w:w="1111" w:type="dxa"/>
            <w:tcBorders>
              <w:top w:val="nil"/>
              <w:left w:val="nil"/>
              <w:bottom w:val="nil"/>
              <w:right w:val="nil"/>
            </w:tcBorders>
            <w:shd w:val="clear" w:color="auto" w:fill="auto"/>
            <w:noWrap/>
            <w:vAlign w:val="bottom"/>
          </w:tcPr>
          <w:p w14:paraId="4CC3A526" w14:textId="4EE0FE6E"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-18.698</w:t>
            </w:r>
          </w:p>
        </w:tc>
        <w:tc>
          <w:tcPr>
            <w:tcW w:w="771" w:type="dxa"/>
            <w:tcBorders>
              <w:top w:val="nil"/>
              <w:left w:val="nil"/>
              <w:bottom w:val="nil"/>
              <w:right w:val="nil"/>
            </w:tcBorders>
            <w:shd w:val="clear" w:color="auto" w:fill="auto"/>
            <w:noWrap/>
            <w:vAlign w:val="bottom"/>
          </w:tcPr>
          <w:p w14:paraId="08A38FC1" w14:textId="288DB3EE"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5.391</w:t>
            </w:r>
          </w:p>
        </w:tc>
        <w:tc>
          <w:tcPr>
            <w:tcW w:w="916" w:type="dxa"/>
            <w:tcBorders>
              <w:top w:val="nil"/>
              <w:left w:val="nil"/>
              <w:bottom w:val="nil"/>
              <w:right w:val="nil"/>
            </w:tcBorders>
            <w:shd w:val="clear" w:color="auto" w:fill="auto"/>
            <w:noWrap/>
            <w:vAlign w:val="bottom"/>
          </w:tcPr>
          <w:p w14:paraId="05CE96A4" w14:textId="5F3C6F80"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-13.224</w:t>
            </w:r>
          </w:p>
        </w:tc>
        <w:tc>
          <w:tcPr>
            <w:tcW w:w="1029" w:type="dxa"/>
            <w:tcBorders>
              <w:top w:val="nil"/>
              <w:left w:val="nil"/>
              <w:bottom w:val="nil"/>
              <w:right w:val="nil"/>
            </w:tcBorders>
            <w:shd w:val="clear" w:color="auto" w:fill="auto"/>
            <w:noWrap/>
            <w:vAlign w:val="bottom"/>
          </w:tcPr>
          <w:p w14:paraId="6175B58B" w14:textId="2C8E6AA0"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-26.531</w:t>
            </w:r>
          </w:p>
        </w:tc>
        <w:tc>
          <w:tcPr>
            <w:tcW w:w="1030" w:type="dxa"/>
            <w:tcBorders>
              <w:top w:val="nil"/>
              <w:left w:val="nil"/>
              <w:bottom w:val="nil"/>
              <w:right w:val="nil"/>
            </w:tcBorders>
            <w:shd w:val="clear" w:color="auto" w:fill="auto"/>
            <w:noWrap/>
            <w:vAlign w:val="bottom"/>
          </w:tcPr>
          <w:p w14:paraId="7BC27686" w14:textId="6E9D4FE4"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52.056</w:t>
            </w:r>
          </w:p>
        </w:tc>
        <w:tc>
          <w:tcPr>
            <w:tcW w:w="1041" w:type="dxa"/>
            <w:tcBorders>
              <w:top w:val="nil"/>
              <w:left w:val="nil"/>
              <w:bottom w:val="nil"/>
              <w:right w:val="nil"/>
            </w:tcBorders>
            <w:shd w:val="clear" w:color="auto" w:fill="auto"/>
            <w:noWrap/>
            <w:vAlign w:val="bottom"/>
          </w:tcPr>
          <w:p w14:paraId="6E49FB7F" w14:textId="240EE0E1"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44.570</w:t>
            </w:r>
          </w:p>
        </w:tc>
      </w:tr>
      <w:tr w:rsidR="00F94F68" w:rsidRPr="00C171D4" w14:paraId="1D8C1D84" w14:textId="77777777" w:rsidTr="00F94F68">
        <w:trPr>
          <w:trHeight w:val="255"/>
          <w:jc w:val="center"/>
        </w:trPr>
        <w:tc>
          <w:tcPr>
            <w:tcW w:w="2568" w:type="dxa"/>
            <w:tcBorders>
              <w:top w:val="nil"/>
              <w:left w:val="nil"/>
              <w:bottom w:val="nil"/>
              <w:right w:val="nil"/>
            </w:tcBorders>
            <w:shd w:val="clear" w:color="auto" w:fill="auto"/>
          </w:tcPr>
          <w:p w14:paraId="1A006816" w14:textId="3CB44DB7" w:rsidR="00F94F68" w:rsidRPr="00C171D4" w:rsidRDefault="00F94F68" w:rsidP="00C171D4">
            <w:pPr>
              <w:rPr>
                <w:rFonts w:ascii="Arial" w:hAnsi="Arial" w:cs="Arial"/>
                <w:sz w:val="18"/>
                <w:szCs w:val="18"/>
                <w:lang w:eastAsia="es-AR"/>
              </w:rPr>
            </w:pPr>
            <w:r>
              <w:rPr>
                <w:rFonts w:ascii="Arial" w:hAnsi="Arial" w:cs="Arial"/>
                <w:sz w:val="18"/>
                <w:szCs w:val="18"/>
                <w:lang w:eastAsia="es-AR"/>
              </w:rPr>
              <w:t>- Derechos de uso de Inmuebles arrendados</w:t>
            </w:r>
          </w:p>
        </w:tc>
        <w:tc>
          <w:tcPr>
            <w:tcW w:w="941" w:type="dxa"/>
            <w:tcBorders>
              <w:top w:val="nil"/>
              <w:left w:val="nil"/>
              <w:bottom w:val="nil"/>
              <w:right w:val="nil"/>
            </w:tcBorders>
            <w:shd w:val="clear" w:color="auto" w:fill="auto"/>
            <w:noWrap/>
            <w:vAlign w:val="bottom"/>
          </w:tcPr>
          <w:p w14:paraId="1CA5C885" w14:textId="31132FD4" w:rsidR="00F94F68" w:rsidRPr="00C171D4" w:rsidRDefault="00995C31" w:rsidP="00C171D4">
            <w:pPr>
              <w:jc w:val="right"/>
              <w:rPr>
                <w:rFonts w:ascii="Arial" w:hAnsi="Arial" w:cs="Arial"/>
                <w:sz w:val="18"/>
                <w:szCs w:val="18"/>
              </w:rPr>
            </w:pPr>
            <w:r>
              <w:rPr>
                <w:rFonts w:ascii="Arial" w:hAnsi="Arial" w:cs="Arial"/>
                <w:sz w:val="18"/>
                <w:szCs w:val="18"/>
              </w:rPr>
              <w:t>-</w:t>
            </w:r>
          </w:p>
        </w:tc>
        <w:tc>
          <w:tcPr>
            <w:tcW w:w="921" w:type="dxa"/>
            <w:tcBorders>
              <w:top w:val="nil"/>
              <w:left w:val="nil"/>
              <w:bottom w:val="nil"/>
              <w:right w:val="nil"/>
            </w:tcBorders>
            <w:shd w:val="clear" w:color="auto" w:fill="auto"/>
            <w:noWrap/>
            <w:vAlign w:val="bottom"/>
          </w:tcPr>
          <w:p w14:paraId="1F0A5675" w14:textId="0351EF3A" w:rsidR="00F94F68" w:rsidRPr="00C171D4" w:rsidRDefault="00F94F68" w:rsidP="00C171D4">
            <w:pPr>
              <w:jc w:val="right"/>
              <w:rPr>
                <w:rFonts w:ascii="Arial" w:hAnsi="Arial" w:cs="Arial"/>
                <w:sz w:val="18"/>
                <w:szCs w:val="18"/>
                <w:lang w:eastAsia="es-AR"/>
              </w:rPr>
            </w:pPr>
            <w:r>
              <w:rPr>
                <w:rFonts w:ascii="Arial" w:hAnsi="Arial" w:cs="Arial"/>
                <w:sz w:val="18"/>
                <w:szCs w:val="18"/>
                <w:lang w:eastAsia="es-AR"/>
              </w:rPr>
              <w:t>50</w:t>
            </w:r>
          </w:p>
        </w:tc>
        <w:tc>
          <w:tcPr>
            <w:tcW w:w="1111" w:type="dxa"/>
            <w:tcBorders>
              <w:top w:val="nil"/>
              <w:left w:val="nil"/>
              <w:bottom w:val="nil"/>
              <w:right w:val="nil"/>
            </w:tcBorders>
            <w:shd w:val="clear" w:color="auto" w:fill="auto"/>
            <w:noWrap/>
            <w:vAlign w:val="bottom"/>
          </w:tcPr>
          <w:p w14:paraId="6AA38C8F" w14:textId="574D020F" w:rsidR="00F94F68" w:rsidRDefault="00F94F68" w:rsidP="00C171D4">
            <w:pPr>
              <w:jc w:val="right"/>
              <w:rPr>
                <w:rFonts w:ascii="Arial" w:hAnsi="Arial" w:cs="Arial"/>
                <w:sz w:val="18"/>
                <w:szCs w:val="18"/>
                <w:lang w:eastAsia="es-AR"/>
              </w:rPr>
            </w:pPr>
            <w:r>
              <w:rPr>
                <w:rFonts w:ascii="Arial" w:hAnsi="Arial" w:cs="Arial"/>
                <w:sz w:val="18"/>
                <w:szCs w:val="18"/>
                <w:lang w:eastAsia="es-AR"/>
              </w:rPr>
              <w:t>-</w:t>
            </w:r>
          </w:p>
        </w:tc>
        <w:tc>
          <w:tcPr>
            <w:tcW w:w="1221" w:type="dxa"/>
            <w:tcBorders>
              <w:top w:val="nil"/>
              <w:left w:val="nil"/>
              <w:bottom w:val="nil"/>
              <w:right w:val="nil"/>
            </w:tcBorders>
          </w:tcPr>
          <w:p w14:paraId="1F5443C9" w14:textId="13D8516D" w:rsidR="00F94F68" w:rsidRDefault="00F94F68" w:rsidP="00C171D4">
            <w:pPr>
              <w:jc w:val="right"/>
              <w:rPr>
                <w:rFonts w:ascii="Arial" w:hAnsi="Arial" w:cs="Arial"/>
                <w:sz w:val="18"/>
                <w:szCs w:val="18"/>
                <w:lang w:eastAsia="es-AR"/>
              </w:rPr>
            </w:pPr>
          </w:p>
        </w:tc>
        <w:tc>
          <w:tcPr>
            <w:tcW w:w="960" w:type="dxa"/>
            <w:tcBorders>
              <w:top w:val="nil"/>
              <w:left w:val="nil"/>
              <w:bottom w:val="nil"/>
              <w:right w:val="nil"/>
            </w:tcBorders>
            <w:shd w:val="clear" w:color="auto" w:fill="auto"/>
            <w:noWrap/>
            <w:vAlign w:val="bottom"/>
          </w:tcPr>
          <w:p w14:paraId="7EB936D4" w14:textId="5A5DE9F7" w:rsidR="00F94F68" w:rsidRPr="00C171D4" w:rsidRDefault="00F94F68" w:rsidP="00C171D4">
            <w:pPr>
              <w:jc w:val="right"/>
              <w:rPr>
                <w:rFonts w:ascii="Arial" w:hAnsi="Arial" w:cs="Arial"/>
                <w:sz w:val="18"/>
                <w:szCs w:val="18"/>
              </w:rPr>
            </w:pPr>
            <w:r>
              <w:rPr>
                <w:rFonts w:ascii="Arial" w:hAnsi="Arial" w:cs="Arial"/>
                <w:sz w:val="18"/>
                <w:szCs w:val="18"/>
              </w:rPr>
              <w:t>9</w:t>
            </w:r>
            <w:r w:rsidR="00301D37">
              <w:rPr>
                <w:rFonts w:ascii="Arial" w:hAnsi="Arial" w:cs="Arial"/>
                <w:sz w:val="18"/>
                <w:szCs w:val="18"/>
              </w:rPr>
              <w:t>88</w:t>
            </w:r>
            <w:r>
              <w:rPr>
                <w:rFonts w:ascii="Arial" w:hAnsi="Arial" w:cs="Arial"/>
                <w:sz w:val="18"/>
                <w:szCs w:val="18"/>
              </w:rPr>
              <w:t>.38</w:t>
            </w:r>
            <w:r w:rsidR="00301D37">
              <w:rPr>
                <w:rFonts w:ascii="Arial" w:hAnsi="Arial" w:cs="Arial"/>
                <w:sz w:val="18"/>
                <w:szCs w:val="18"/>
              </w:rPr>
              <w:t>6</w:t>
            </w:r>
          </w:p>
        </w:tc>
        <w:tc>
          <w:tcPr>
            <w:tcW w:w="901" w:type="dxa"/>
            <w:tcBorders>
              <w:top w:val="nil"/>
              <w:left w:val="nil"/>
              <w:bottom w:val="nil"/>
              <w:right w:val="nil"/>
            </w:tcBorders>
            <w:shd w:val="clear" w:color="auto" w:fill="auto"/>
            <w:noWrap/>
            <w:vAlign w:val="bottom"/>
          </w:tcPr>
          <w:p w14:paraId="227967CA" w14:textId="4EFF02E3" w:rsidR="00F94F68" w:rsidRPr="00C171D4" w:rsidRDefault="00F94F68" w:rsidP="00C171D4">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noWrap/>
            <w:vAlign w:val="bottom"/>
          </w:tcPr>
          <w:p w14:paraId="268F8521" w14:textId="281E8DF7" w:rsidR="00F94F68" w:rsidRPr="00C171D4" w:rsidRDefault="00F94F68" w:rsidP="00C171D4">
            <w:pPr>
              <w:jc w:val="right"/>
              <w:rPr>
                <w:rFonts w:ascii="Arial" w:hAnsi="Arial" w:cs="Arial"/>
                <w:sz w:val="18"/>
                <w:szCs w:val="18"/>
              </w:rPr>
            </w:pPr>
            <w:r>
              <w:rPr>
                <w:rFonts w:ascii="Arial" w:hAnsi="Arial" w:cs="Arial"/>
                <w:sz w:val="18"/>
                <w:szCs w:val="18"/>
              </w:rPr>
              <w:t>-</w:t>
            </w:r>
          </w:p>
        </w:tc>
        <w:tc>
          <w:tcPr>
            <w:tcW w:w="771" w:type="dxa"/>
            <w:tcBorders>
              <w:top w:val="nil"/>
              <w:left w:val="nil"/>
              <w:bottom w:val="nil"/>
              <w:right w:val="nil"/>
            </w:tcBorders>
            <w:shd w:val="clear" w:color="auto" w:fill="auto"/>
            <w:noWrap/>
            <w:vAlign w:val="bottom"/>
          </w:tcPr>
          <w:p w14:paraId="6AF3072C" w14:textId="6EE9E924" w:rsidR="00F94F68" w:rsidRPr="00C171D4" w:rsidRDefault="00F94F68" w:rsidP="00C171D4">
            <w:pPr>
              <w:jc w:val="right"/>
              <w:rPr>
                <w:rFonts w:ascii="Arial" w:hAnsi="Arial" w:cs="Arial"/>
                <w:sz w:val="18"/>
                <w:szCs w:val="18"/>
              </w:rPr>
            </w:pPr>
            <w:r>
              <w:rPr>
                <w:rFonts w:ascii="Arial" w:hAnsi="Arial" w:cs="Arial"/>
                <w:sz w:val="18"/>
                <w:szCs w:val="18"/>
              </w:rPr>
              <w:t>483</w:t>
            </w:r>
          </w:p>
        </w:tc>
        <w:tc>
          <w:tcPr>
            <w:tcW w:w="916" w:type="dxa"/>
            <w:tcBorders>
              <w:top w:val="nil"/>
              <w:left w:val="nil"/>
              <w:bottom w:val="nil"/>
              <w:right w:val="nil"/>
            </w:tcBorders>
            <w:shd w:val="clear" w:color="auto" w:fill="auto"/>
            <w:noWrap/>
            <w:vAlign w:val="bottom"/>
          </w:tcPr>
          <w:p w14:paraId="08670811" w14:textId="04E87488" w:rsidR="00F94F68" w:rsidRPr="00C171D4" w:rsidRDefault="00F94F68" w:rsidP="00C171D4">
            <w:pPr>
              <w:jc w:val="right"/>
              <w:rPr>
                <w:rFonts w:ascii="Arial" w:hAnsi="Arial" w:cs="Arial"/>
                <w:sz w:val="18"/>
                <w:szCs w:val="18"/>
              </w:rPr>
            </w:pPr>
            <w:r>
              <w:rPr>
                <w:rFonts w:ascii="Arial" w:hAnsi="Arial" w:cs="Arial"/>
                <w:sz w:val="18"/>
                <w:szCs w:val="18"/>
              </w:rPr>
              <w:t>-36</w:t>
            </w:r>
            <w:r w:rsidR="00906881">
              <w:rPr>
                <w:rFonts w:ascii="Arial" w:hAnsi="Arial" w:cs="Arial"/>
                <w:sz w:val="18"/>
                <w:szCs w:val="18"/>
              </w:rPr>
              <w:t>8</w:t>
            </w:r>
            <w:r>
              <w:rPr>
                <w:rFonts w:ascii="Arial" w:hAnsi="Arial" w:cs="Arial"/>
                <w:sz w:val="18"/>
                <w:szCs w:val="18"/>
              </w:rPr>
              <w:t>.</w:t>
            </w:r>
            <w:r w:rsidR="00906881">
              <w:rPr>
                <w:rFonts w:ascii="Arial" w:hAnsi="Arial" w:cs="Arial"/>
                <w:sz w:val="18"/>
                <w:szCs w:val="18"/>
              </w:rPr>
              <w:t>301</w:t>
            </w:r>
          </w:p>
        </w:tc>
        <w:tc>
          <w:tcPr>
            <w:tcW w:w="1029" w:type="dxa"/>
            <w:tcBorders>
              <w:top w:val="nil"/>
              <w:left w:val="nil"/>
              <w:bottom w:val="nil"/>
              <w:right w:val="nil"/>
            </w:tcBorders>
            <w:shd w:val="clear" w:color="auto" w:fill="auto"/>
            <w:noWrap/>
            <w:vAlign w:val="bottom"/>
          </w:tcPr>
          <w:p w14:paraId="73AD28FF" w14:textId="62BF6E5E" w:rsidR="00F94F68" w:rsidRPr="00C171D4" w:rsidRDefault="00F94F68" w:rsidP="00C171D4">
            <w:pPr>
              <w:jc w:val="right"/>
              <w:rPr>
                <w:rFonts w:ascii="Arial" w:hAnsi="Arial" w:cs="Arial"/>
                <w:sz w:val="18"/>
                <w:szCs w:val="18"/>
              </w:rPr>
            </w:pPr>
            <w:r>
              <w:rPr>
                <w:rFonts w:ascii="Arial" w:hAnsi="Arial" w:cs="Arial"/>
                <w:sz w:val="18"/>
                <w:szCs w:val="18"/>
              </w:rPr>
              <w:t>-36</w:t>
            </w:r>
            <w:r w:rsidR="00906881">
              <w:rPr>
                <w:rFonts w:ascii="Arial" w:hAnsi="Arial" w:cs="Arial"/>
                <w:sz w:val="18"/>
                <w:szCs w:val="18"/>
              </w:rPr>
              <w:t>7</w:t>
            </w:r>
            <w:r>
              <w:rPr>
                <w:rFonts w:ascii="Arial" w:hAnsi="Arial" w:cs="Arial"/>
                <w:sz w:val="18"/>
                <w:szCs w:val="18"/>
              </w:rPr>
              <w:t>.</w:t>
            </w:r>
            <w:r w:rsidR="00906881">
              <w:rPr>
                <w:rFonts w:ascii="Arial" w:hAnsi="Arial" w:cs="Arial"/>
                <w:sz w:val="18"/>
                <w:szCs w:val="18"/>
              </w:rPr>
              <w:t>818</w:t>
            </w:r>
          </w:p>
        </w:tc>
        <w:tc>
          <w:tcPr>
            <w:tcW w:w="1030" w:type="dxa"/>
            <w:tcBorders>
              <w:top w:val="nil"/>
              <w:left w:val="nil"/>
              <w:bottom w:val="nil"/>
              <w:right w:val="nil"/>
            </w:tcBorders>
            <w:shd w:val="clear" w:color="auto" w:fill="auto"/>
            <w:noWrap/>
            <w:vAlign w:val="bottom"/>
          </w:tcPr>
          <w:p w14:paraId="550AC103" w14:textId="64A7EDAC" w:rsidR="00F94F68" w:rsidRPr="00C171D4" w:rsidRDefault="00906881" w:rsidP="00C171D4">
            <w:pPr>
              <w:jc w:val="right"/>
              <w:rPr>
                <w:rFonts w:ascii="Arial" w:hAnsi="Arial" w:cs="Arial"/>
                <w:sz w:val="18"/>
                <w:szCs w:val="18"/>
              </w:rPr>
            </w:pPr>
            <w:r>
              <w:rPr>
                <w:rFonts w:ascii="Arial" w:hAnsi="Arial" w:cs="Arial"/>
                <w:sz w:val="18"/>
                <w:szCs w:val="18"/>
              </w:rPr>
              <w:t>620</w:t>
            </w:r>
            <w:r w:rsidR="00F94F68">
              <w:rPr>
                <w:rFonts w:ascii="Arial" w:hAnsi="Arial" w:cs="Arial"/>
                <w:sz w:val="18"/>
                <w:szCs w:val="18"/>
              </w:rPr>
              <w:t>.</w:t>
            </w:r>
            <w:r>
              <w:rPr>
                <w:rFonts w:ascii="Arial" w:hAnsi="Arial" w:cs="Arial"/>
                <w:sz w:val="18"/>
                <w:szCs w:val="18"/>
              </w:rPr>
              <w:t>568</w:t>
            </w:r>
          </w:p>
        </w:tc>
        <w:tc>
          <w:tcPr>
            <w:tcW w:w="1041" w:type="dxa"/>
            <w:tcBorders>
              <w:top w:val="nil"/>
              <w:left w:val="nil"/>
              <w:bottom w:val="nil"/>
              <w:right w:val="nil"/>
            </w:tcBorders>
            <w:shd w:val="clear" w:color="auto" w:fill="auto"/>
            <w:noWrap/>
            <w:vAlign w:val="bottom"/>
          </w:tcPr>
          <w:p w14:paraId="189B6C08" w14:textId="24D7FBAC" w:rsidR="00F94F68" w:rsidRPr="00C171D4" w:rsidRDefault="00F94F68" w:rsidP="00C171D4">
            <w:pPr>
              <w:jc w:val="right"/>
              <w:rPr>
                <w:rFonts w:ascii="Arial" w:hAnsi="Arial" w:cs="Arial"/>
                <w:sz w:val="18"/>
                <w:szCs w:val="18"/>
              </w:rPr>
            </w:pPr>
            <w:r>
              <w:rPr>
                <w:rFonts w:ascii="Arial" w:hAnsi="Arial" w:cs="Arial"/>
                <w:sz w:val="18"/>
                <w:szCs w:val="18"/>
              </w:rPr>
              <w:t>-</w:t>
            </w:r>
          </w:p>
        </w:tc>
      </w:tr>
      <w:tr w:rsidR="00C171D4" w:rsidRPr="00C171D4" w14:paraId="2DDCF026" w14:textId="77777777" w:rsidTr="00F94F68">
        <w:trPr>
          <w:trHeight w:val="255"/>
          <w:jc w:val="center"/>
        </w:trPr>
        <w:tc>
          <w:tcPr>
            <w:tcW w:w="2568" w:type="dxa"/>
            <w:tcBorders>
              <w:top w:val="nil"/>
              <w:left w:val="nil"/>
              <w:bottom w:val="nil"/>
              <w:right w:val="nil"/>
            </w:tcBorders>
            <w:shd w:val="clear" w:color="auto" w:fill="auto"/>
            <w:hideMark/>
          </w:tcPr>
          <w:p w14:paraId="57CC50EF" w14:textId="77777777" w:rsidR="00C171D4" w:rsidRPr="00C171D4" w:rsidRDefault="00C171D4" w:rsidP="00C171D4">
            <w:pPr>
              <w:rPr>
                <w:rFonts w:ascii="Arial" w:hAnsi="Arial" w:cs="Arial"/>
                <w:sz w:val="18"/>
                <w:szCs w:val="18"/>
                <w:lang w:eastAsia="es-AR"/>
              </w:rPr>
            </w:pPr>
            <w:r w:rsidRPr="00C171D4">
              <w:rPr>
                <w:rFonts w:ascii="Arial" w:hAnsi="Arial" w:cs="Arial"/>
                <w:sz w:val="18"/>
                <w:szCs w:val="18"/>
                <w:lang w:eastAsia="es-AR"/>
              </w:rPr>
              <w:t>- Diversos</w:t>
            </w:r>
          </w:p>
        </w:tc>
        <w:tc>
          <w:tcPr>
            <w:tcW w:w="941" w:type="dxa"/>
            <w:tcBorders>
              <w:top w:val="nil"/>
              <w:left w:val="nil"/>
              <w:bottom w:val="nil"/>
              <w:right w:val="nil"/>
            </w:tcBorders>
            <w:shd w:val="clear" w:color="auto" w:fill="auto"/>
            <w:noWrap/>
            <w:vAlign w:val="bottom"/>
          </w:tcPr>
          <w:p w14:paraId="5449D569" w14:textId="3852F203"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304</w:t>
            </w:r>
          </w:p>
        </w:tc>
        <w:tc>
          <w:tcPr>
            <w:tcW w:w="921" w:type="dxa"/>
            <w:tcBorders>
              <w:top w:val="nil"/>
              <w:left w:val="nil"/>
              <w:bottom w:val="nil"/>
              <w:right w:val="nil"/>
            </w:tcBorders>
            <w:shd w:val="clear" w:color="auto" w:fill="auto"/>
            <w:noWrap/>
            <w:vAlign w:val="bottom"/>
          </w:tcPr>
          <w:p w14:paraId="2F8D0F43" w14:textId="54F4D44D"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lang w:eastAsia="es-AR"/>
              </w:rPr>
              <w:t>-</w:t>
            </w:r>
          </w:p>
        </w:tc>
        <w:tc>
          <w:tcPr>
            <w:tcW w:w="1111" w:type="dxa"/>
            <w:tcBorders>
              <w:top w:val="nil"/>
              <w:left w:val="nil"/>
              <w:bottom w:val="nil"/>
              <w:right w:val="nil"/>
            </w:tcBorders>
            <w:shd w:val="clear" w:color="auto" w:fill="auto"/>
            <w:noWrap/>
            <w:vAlign w:val="bottom"/>
          </w:tcPr>
          <w:p w14:paraId="518F4951" w14:textId="2B77124F" w:rsidR="00C171D4" w:rsidRPr="00C171D4" w:rsidRDefault="00C171D4" w:rsidP="00C171D4">
            <w:pPr>
              <w:jc w:val="right"/>
              <w:rPr>
                <w:rFonts w:ascii="Arial" w:hAnsi="Arial" w:cs="Arial"/>
                <w:sz w:val="18"/>
                <w:szCs w:val="18"/>
                <w:lang w:eastAsia="es-AR"/>
              </w:rPr>
            </w:pPr>
            <w:r>
              <w:rPr>
                <w:rFonts w:ascii="Arial" w:hAnsi="Arial" w:cs="Arial"/>
                <w:sz w:val="18"/>
                <w:szCs w:val="18"/>
                <w:lang w:eastAsia="es-AR"/>
              </w:rPr>
              <w:t>-</w:t>
            </w:r>
          </w:p>
        </w:tc>
        <w:tc>
          <w:tcPr>
            <w:tcW w:w="1221" w:type="dxa"/>
            <w:tcBorders>
              <w:top w:val="nil"/>
              <w:left w:val="nil"/>
              <w:bottom w:val="nil"/>
              <w:right w:val="nil"/>
            </w:tcBorders>
          </w:tcPr>
          <w:p w14:paraId="39DC875D" w14:textId="120636F2" w:rsidR="00C171D4" w:rsidRPr="00C171D4" w:rsidRDefault="00C171D4" w:rsidP="00C171D4">
            <w:pPr>
              <w:jc w:val="right"/>
              <w:rPr>
                <w:rFonts w:ascii="Arial" w:hAnsi="Arial" w:cs="Arial"/>
                <w:sz w:val="18"/>
                <w:szCs w:val="18"/>
                <w:lang w:eastAsia="es-AR"/>
              </w:rPr>
            </w:pPr>
            <w:r>
              <w:rPr>
                <w:rFonts w:ascii="Arial" w:hAnsi="Arial" w:cs="Arial"/>
                <w:sz w:val="18"/>
                <w:szCs w:val="18"/>
                <w:lang w:eastAsia="es-AR"/>
              </w:rPr>
              <w:t>-</w:t>
            </w:r>
          </w:p>
        </w:tc>
        <w:tc>
          <w:tcPr>
            <w:tcW w:w="960" w:type="dxa"/>
            <w:tcBorders>
              <w:top w:val="nil"/>
              <w:left w:val="nil"/>
              <w:bottom w:val="nil"/>
              <w:right w:val="nil"/>
            </w:tcBorders>
            <w:shd w:val="clear" w:color="auto" w:fill="auto"/>
            <w:noWrap/>
            <w:vAlign w:val="bottom"/>
          </w:tcPr>
          <w:p w14:paraId="00FC8950" w14:textId="2CA5942F"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w:t>
            </w:r>
          </w:p>
        </w:tc>
        <w:tc>
          <w:tcPr>
            <w:tcW w:w="901" w:type="dxa"/>
            <w:tcBorders>
              <w:top w:val="nil"/>
              <w:left w:val="nil"/>
              <w:bottom w:val="nil"/>
              <w:right w:val="nil"/>
            </w:tcBorders>
            <w:shd w:val="clear" w:color="auto" w:fill="auto"/>
            <w:noWrap/>
            <w:vAlign w:val="bottom"/>
          </w:tcPr>
          <w:p w14:paraId="732C7037" w14:textId="197C193D"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w:t>
            </w:r>
          </w:p>
        </w:tc>
        <w:tc>
          <w:tcPr>
            <w:tcW w:w="1111" w:type="dxa"/>
            <w:tcBorders>
              <w:top w:val="nil"/>
              <w:left w:val="nil"/>
              <w:bottom w:val="nil"/>
              <w:right w:val="nil"/>
            </w:tcBorders>
            <w:shd w:val="clear" w:color="auto" w:fill="auto"/>
            <w:noWrap/>
            <w:vAlign w:val="bottom"/>
          </w:tcPr>
          <w:p w14:paraId="0AD9E9FE" w14:textId="538E8278"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-304</w:t>
            </w:r>
          </w:p>
        </w:tc>
        <w:tc>
          <w:tcPr>
            <w:tcW w:w="771" w:type="dxa"/>
            <w:tcBorders>
              <w:top w:val="nil"/>
              <w:left w:val="nil"/>
              <w:bottom w:val="nil"/>
              <w:right w:val="nil"/>
            </w:tcBorders>
            <w:shd w:val="clear" w:color="auto" w:fill="auto"/>
            <w:noWrap/>
            <w:vAlign w:val="bottom"/>
          </w:tcPr>
          <w:p w14:paraId="64F2659A" w14:textId="7BAE8F2C"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w:t>
            </w:r>
          </w:p>
        </w:tc>
        <w:tc>
          <w:tcPr>
            <w:tcW w:w="916" w:type="dxa"/>
            <w:tcBorders>
              <w:top w:val="nil"/>
              <w:left w:val="nil"/>
              <w:bottom w:val="nil"/>
              <w:right w:val="nil"/>
            </w:tcBorders>
            <w:shd w:val="clear" w:color="auto" w:fill="auto"/>
            <w:noWrap/>
            <w:vAlign w:val="bottom"/>
          </w:tcPr>
          <w:p w14:paraId="4230A4DB" w14:textId="048C1766"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w:t>
            </w:r>
          </w:p>
        </w:tc>
        <w:tc>
          <w:tcPr>
            <w:tcW w:w="1029" w:type="dxa"/>
            <w:tcBorders>
              <w:top w:val="nil"/>
              <w:left w:val="nil"/>
              <w:bottom w:val="nil"/>
              <w:right w:val="nil"/>
            </w:tcBorders>
            <w:shd w:val="clear" w:color="auto" w:fill="auto"/>
            <w:noWrap/>
            <w:vAlign w:val="bottom"/>
          </w:tcPr>
          <w:p w14:paraId="5F312C37" w14:textId="61250C99"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-304</w:t>
            </w:r>
          </w:p>
        </w:tc>
        <w:tc>
          <w:tcPr>
            <w:tcW w:w="1030" w:type="dxa"/>
            <w:tcBorders>
              <w:top w:val="nil"/>
              <w:left w:val="nil"/>
              <w:bottom w:val="nil"/>
              <w:right w:val="nil"/>
            </w:tcBorders>
            <w:shd w:val="clear" w:color="auto" w:fill="auto"/>
            <w:noWrap/>
            <w:vAlign w:val="bottom"/>
          </w:tcPr>
          <w:p w14:paraId="7C7A1ED5" w14:textId="42765C0C"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w:t>
            </w:r>
          </w:p>
        </w:tc>
        <w:tc>
          <w:tcPr>
            <w:tcW w:w="1041" w:type="dxa"/>
            <w:tcBorders>
              <w:top w:val="nil"/>
              <w:left w:val="nil"/>
              <w:bottom w:val="nil"/>
              <w:right w:val="nil"/>
            </w:tcBorders>
            <w:shd w:val="clear" w:color="auto" w:fill="auto"/>
            <w:noWrap/>
            <w:vAlign w:val="bottom"/>
          </w:tcPr>
          <w:p w14:paraId="73FDBDF2" w14:textId="4E895B5B"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w:t>
            </w:r>
          </w:p>
        </w:tc>
      </w:tr>
      <w:tr w:rsidR="00C171D4" w:rsidRPr="00C171D4" w14:paraId="64B9141D" w14:textId="77777777" w:rsidTr="00F94F68">
        <w:trPr>
          <w:trHeight w:val="255"/>
          <w:jc w:val="center"/>
        </w:trPr>
        <w:tc>
          <w:tcPr>
            <w:tcW w:w="2568" w:type="dxa"/>
            <w:tcBorders>
              <w:top w:val="nil"/>
              <w:left w:val="nil"/>
              <w:bottom w:val="nil"/>
              <w:right w:val="nil"/>
            </w:tcBorders>
            <w:shd w:val="clear" w:color="auto" w:fill="auto"/>
            <w:hideMark/>
          </w:tcPr>
          <w:p w14:paraId="0FF5ABC3" w14:textId="77777777" w:rsidR="00C171D4" w:rsidRPr="00C171D4" w:rsidRDefault="00C171D4" w:rsidP="00C171D4">
            <w:pPr>
              <w:rPr>
                <w:rFonts w:ascii="Arial" w:hAnsi="Arial" w:cs="Arial"/>
                <w:sz w:val="18"/>
                <w:szCs w:val="18"/>
                <w:lang w:eastAsia="es-AR"/>
              </w:rPr>
            </w:pPr>
            <w:r w:rsidRPr="00C171D4">
              <w:rPr>
                <w:rFonts w:ascii="Arial" w:hAnsi="Arial" w:cs="Arial"/>
                <w:sz w:val="18"/>
                <w:szCs w:val="18"/>
                <w:lang w:eastAsia="es-AR"/>
              </w:rPr>
              <w:t>- Obras en curso</w:t>
            </w:r>
          </w:p>
        </w:tc>
        <w:tc>
          <w:tcPr>
            <w:tcW w:w="941" w:type="dxa"/>
            <w:tcBorders>
              <w:top w:val="nil"/>
              <w:left w:val="nil"/>
              <w:bottom w:val="nil"/>
              <w:right w:val="nil"/>
            </w:tcBorders>
            <w:shd w:val="clear" w:color="auto" w:fill="auto"/>
            <w:noWrap/>
            <w:vAlign w:val="bottom"/>
          </w:tcPr>
          <w:p w14:paraId="5ECB1607" w14:textId="611B23E5"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251.263</w:t>
            </w:r>
          </w:p>
        </w:tc>
        <w:tc>
          <w:tcPr>
            <w:tcW w:w="921" w:type="dxa"/>
            <w:tcBorders>
              <w:top w:val="nil"/>
              <w:left w:val="nil"/>
              <w:bottom w:val="nil"/>
              <w:right w:val="nil"/>
            </w:tcBorders>
            <w:shd w:val="clear" w:color="auto" w:fill="auto"/>
            <w:noWrap/>
            <w:vAlign w:val="bottom"/>
          </w:tcPr>
          <w:p w14:paraId="3019019B" w14:textId="3444538B"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lang w:eastAsia="es-AR"/>
              </w:rPr>
              <w:t>-</w:t>
            </w:r>
          </w:p>
        </w:tc>
        <w:tc>
          <w:tcPr>
            <w:tcW w:w="1111" w:type="dxa"/>
            <w:tcBorders>
              <w:top w:val="nil"/>
              <w:left w:val="nil"/>
              <w:bottom w:val="nil"/>
              <w:right w:val="nil"/>
            </w:tcBorders>
            <w:shd w:val="clear" w:color="auto" w:fill="auto"/>
            <w:noWrap/>
            <w:vAlign w:val="bottom"/>
          </w:tcPr>
          <w:p w14:paraId="4A5F62D6" w14:textId="60BCF340" w:rsidR="00C171D4" w:rsidRPr="00C171D4" w:rsidRDefault="00C171D4" w:rsidP="00C171D4">
            <w:pPr>
              <w:jc w:val="right"/>
              <w:rPr>
                <w:rFonts w:ascii="Arial" w:hAnsi="Arial" w:cs="Arial"/>
                <w:sz w:val="18"/>
                <w:szCs w:val="18"/>
                <w:lang w:eastAsia="es-AR"/>
              </w:rPr>
            </w:pPr>
            <w:r>
              <w:rPr>
                <w:rFonts w:ascii="Arial" w:hAnsi="Arial" w:cs="Arial"/>
                <w:sz w:val="18"/>
                <w:szCs w:val="18"/>
                <w:lang w:eastAsia="es-AR"/>
              </w:rPr>
              <w:t>-</w:t>
            </w:r>
          </w:p>
        </w:tc>
        <w:tc>
          <w:tcPr>
            <w:tcW w:w="1221" w:type="dxa"/>
            <w:tcBorders>
              <w:top w:val="nil"/>
              <w:left w:val="nil"/>
              <w:bottom w:val="nil"/>
              <w:right w:val="nil"/>
            </w:tcBorders>
          </w:tcPr>
          <w:p w14:paraId="62BDC45C" w14:textId="4BCCD84F" w:rsidR="00C171D4" w:rsidRPr="00C171D4" w:rsidRDefault="00C171D4" w:rsidP="00C171D4">
            <w:pPr>
              <w:jc w:val="right"/>
              <w:rPr>
                <w:rFonts w:ascii="Arial" w:hAnsi="Arial" w:cs="Arial"/>
                <w:sz w:val="18"/>
                <w:szCs w:val="18"/>
                <w:lang w:eastAsia="es-AR"/>
              </w:rPr>
            </w:pPr>
            <w:r>
              <w:rPr>
                <w:rFonts w:ascii="Arial" w:hAnsi="Arial" w:cs="Arial"/>
                <w:sz w:val="18"/>
                <w:szCs w:val="18"/>
                <w:lang w:eastAsia="es-AR"/>
              </w:rPr>
              <w:t>-</w:t>
            </w:r>
          </w:p>
        </w:tc>
        <w:tc>
          <w:tcPr>
            <w:tcW w:w="960" w:type="dxa"/>
            <w:tcBorders>
              <w:top w:val="nil"/>
              <w:left w:val="nil"/>
              <w:bottom w:val="nil"/>
              <w:right w:val="nil"/>
            </w:tcBorders>
            <w:shd w:val="clear" w:color="auto" w:fill="auto"/>
            <w:noWrap/>
            <w:vAlign w:val="bottom"/>
          </w:tcPr>
          <w:p w14:paraId="485F892D" w14:textId="51930103"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98.518</w:t>
            </w:r>
          </w:p>
        </w:tc>
        <w:tc>
          <w:tcPr>
            <w:tcW w:w="901" w:type="dxa"/>
            <w:tcBorders>
              <w:top w:val="nil"/>
              <w:left w:val="nil"/>
              <w:bottom w:val="nil"/>
              <w:right w:val="nil"/>
            </w:tcBorders>
            <w:shd w:val="clear" w:color="auto" w:fill="auto"/>
            <w:noWrap/>
            <w:vAlign w:val="bottom"/>
          </w:tcPr>
          <w:p w14:paraId="141E7099" w14:textId="7FF297AA"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-105.115</w:t>
            </w:r>
          </w:p>
        </w:tc>
        <w:tc>
          <w:tcPr>
            <w:tcW w:w="1111" w:type="dxa"/>
            <w:tcBorders>
              <w:top w:val="nil"/>
              <w:left w:val="nil"/>
              <w:bottom w:val="nil"/>
              <w:right w:val="nil"/>
            </w:tcBorders>
            <w:shd w:val="clear" w:color="auto" w:fill="auto"/>
            <w:noWrap/>
            <w:vAlign w:val="bottom"/>
          </w:tcPr>
          <w:p w14:paraId="6ED24A9D" w14:textId="5C62A404"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w:t>
            </w:r>
          </w:p>
        </w:tc>
        <w:tc>
          <w:tcPr>
            <w:tcW w:w="771" w:type="dxa"/>
            <w:tcBorders>
              <w:top w:val="nil"/>
              <w:left w:val="nil"/>
              <w:bottom w:val="nil"/>
              <w:right w:val="nil"/>
            </w:tcBorders>
            <w:shd w:val="clear" w:color="auto" w:fill="auto"/>
            <w:noWrap/>
            <w:vAlign w:val="bottom"/>
          </w:tcPr>
          <w:p w14:paraId="1485493F" w14:textId="260F5FDE"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w:t>
            </w:r>
          </w:p>
        </w:tc>
        <w:tc>
          <w:tcPr>
            <w:tcW w:w="916" w:type="dxa"/>
            <w:tcBorders>
              <w:top w:val="nil"/>
              <w:left w:val="nil"/>
              <w:bottom w:val="nil"/>
              <w:right w:val="nil"/>
            </w:tcBorders>
            <w:shd w:val="clear" w:color="auto" w:fill="auto"/>
            <w:noWrap/>
            <w:vAlign w:val="bottom"/>
          </w:tcPr>
          <w:p w14:paraId="5857B20E" w14:textId="6F218EBC"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w:t>
            </w:r>
          </w:p>
        </w:tc>
        <w:tc>
          <w:tcPr>
            <w:tcW w:w="1029" w:type="dxa"/>
            <w:tcBorders>
              <w:top w:val="nil"/>
              <w:left w:val="nil"/>
              <w:bottom w:val="nil"/>
              <w:right w:val="nil"/>
            </w:tcBorders>
            <w:shd w:val="clear" w:color="auto" w:fill="auto"/>
            <w:noWrap/>
            <w:vAlign w:val="bottom"/>
          </w:tcPr>
          <w:p w14:paraId="37569775" w14:textId="0DF6C3D2"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w:t>
            </w:r>
          </w:p>
        </w:tc>
        <w:tc>
          <w:tcPr>
            <w:tcW w:w="1030" w:type="dxa"/>
            <w:tcBorders>
              <w:top w:val="nil"/>
              <w:left w:val="nil"/>
              <w:bottom w:val="nil"/>
              <w:right w:val="nil"/>
            </w:tcBorders>
            <w:shd w:val="clear" w:color="auto" w:fill="auto"/>
            <w:noWrap/>
            <w:vAlign w:val="bottom"/>
          </w:tcPr>
          <w:p w14:paraId="0FFD2B37" w14:textId="5007EB34"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244.666</w:t>
            </w:r>
          </w:p>
        </w:tc>
        <w:tc>
          <w:tcPr>
            <w:tcW w:w="1041" w:type="dxa"/>
            <w:tcBorders>
              <w:top w:val="nil"/>
              <w:left w:val="nil"/>
              <w:bottom w:val="nil"/>
              <w:right w:val="nil"/>
            </w:tcBorders>
            <w:shd w:val="clear" w:color="auto" w:fill="auto"/>
            <w:noWrap/>
            <w:vAlign w:val="bottom"/>
          </w:tcPr>
          <w:p w14:paraId="7E6F89EF" w14:textId="5AD700A8"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251.263</w:t>
            </w:r>
          </w:p>
        </w:tc>
      </w:tr>
      <w:tr w:rsidR="00C171D4" w:rsidRPr="00C171D4" w14:paraId="2B95A62B" w14:textId="77777777" w:rsidTr="00F94F68">
        <w:trPr>
          <w:trHeight w:val="255"/>
          <w:jc w:val="center"/>
        </w:trPr>
        <w:tc>
          <w:tcPr>
            <w:tcW w:w="2568" w:type="dxa"/>
            <w:tcBorders>
              <w:top w:val="nil"/>
              <w:left w:val="nil"/>
              <w:bottom w:val="nil"/>
              <w:right w:val="nil"/>
            </w:tcBorders>
            <w:shd w:val="clear" w:color="auto" w:fill="auto"/>
            <w:hideMark/>
          </w:tcPr>
          <w:p w14:paraId="2B458A02" w14:textId="77777777" w:rsidR="00C171D4" w:rsidRPr="00C171D4" w:rsidRDefault="00C171D4" w:rsidP="00C171D4">
            <w:pPr>
              <w:rPr>
                <w:rFonts w:ascii="Arial" w:hAnsi="Arial" w:cs="Arial"/>
                <w:sz w:val="18"/>
                <w:szCs w:val="18"/>
                <w:lang w:eastAsia="es-AR"/>
              </w:rPr>
            </w:pPr>
          </w:p>
        </w:tc>
        <w:tc>
          <w:tcPr>
            <w:tcW w:w="941" w:type="dxa"/>
            <w:tcBorders>
              <w:top w:val="nil"/>
              <w:left w:val="nil"/>
              <w:bottom w:val="nil"/>
              <w:right w:val="nil"/>
            </w:tcBorders>
            <w:shd w:val="clear" w:color="auto" w:fill="auto"/>
            <w:noWrap/>
            <w:vAlign w:val="bottom"/>
          </w:tcPr>
          <w:p w14:paraId="25CC30AA" w14:textId="77777777" w:rsidR="00C171D4" w:rsidRPr="00C171D4" w:rsidRDefault="00C171D4" w:rsidP="00C171D4">
            <w:pPr>
              <w:jc w:val="right"/>
              <w:rPr>
                <w:sz w:val="18"/>
                <w:szCs w:val="18"/>
                <w:lang w:eastAsia="es-AR"/>
              </w:rPr>
            </w:pPr>
          </w:p>
        </w:tc>
        <w:tc>
          <w:tcPr>
            <w:tcW w:w="921" w:type="dxa"/>
            <w:tcBorders>
              <w:top w:val="nil"/>
              <w:left w:val="nil"/>
              <w:bottom w:val="nil"/>
              <w:right w:val="nil"/>
            </w:tcBorders>
            <w:shd w:val="clear" w:color="auto" w:fill="auto"/>
            <w:noWrap/>
            <w:vAlign w:val="bottom"/>
          </w:tcPr>
          <w:p w14:paraId="2573BD9B" w14:textId="77777777" w:rsidR="00C171D4" w:rsidRPr="00C171D4" w:rsidRDefault="00C171D4" w:rsidP="00C171D4">
            <w:pPr>
              <w:jc w:val="right"/>
              <w:rPr>
                <w:sz w:val="18"/>
                <w:szCs w:val="18"/>
                <w:lang w:eastAsia="es-AR"/>
              </w:rPr>
            </w:pPr>
          </w:p>
        </w:tc>
        <w:tc>
          <w:tcPr>
            <w:tcW w:w="1111" w:type="dxa"/>
            <w:tcBorders>
              <w:top w:val="nil"/>
              <w:left w:val="nil"/>
              <w:bottom w:val="nil"/>
              <w:right w:val="nil"/>
            </w:tcBorders>
            <w:shd w:val="clear" w:color="auto" w:fill="auto"/>
            <w:noWrap/>
            <w:vAlign w:val="bottom"/>
          </w:tcPr>
          <w:p w14:paraId="643DA099" w14:textId="77777777" w:rsidR="00C171D4" w:rsidRPr="00C171D4" w:rsidRDefault="00C171D4" w:rsidP="00C171D4">
            <w:pPr>
              <w:jc w:val="right"/>
              <w:rPr>
                <w:sz w:val="18"/>
                <w:szCs w:val="18"/>
                <w:lang w:eastAsia="es-AR"/>
              </w:rPr>
            </w:pPr>
          </w:p>
        </w:tc>
        <w:tc>
          <w:tcPr>
            <w:tcW w:w="1221" w:type="dxa"/>
            <w:tcBorders>
              <w:top w:val="nil"/>
              <w:left w:val="nil"/>
              <w:bottom w:val="nil"/>
              <w:right w:val="nil"/>
            </w:tcBorders>
          </w:tcPr>
          <w:p w14:paraId="450D927C" w14:textId="77777777" w:rsidR="00C171D4" w:rsidRPr="00C171D4" w:rsidRDefault="00C171D4" w:rsidP="00C171D4">
            <w:pPr>
              <w:jc w:val="right"/>
              <w:rPr>
                <w:sz w:val="18"/>
                <w:szCs w:val="18"/>
                <w:lang w:eastAsia="es-AR"/>
              </w:rPr>
            </w:pPr>
          </w:p>
        </w:tc>
        <w:tc>
          <w:tcPr>
            <w:tcW w:w="960" w:type="dxa"/>
            <w:tcBorders>
              <w:top w:val="nil"/>
              <w:left w:val="nil"/>
              <w:bottom w:val="nil"/>
              <w:right w:val="nil"/>
            </w:tcBorders>
            <w:shd w:val="clear" w:color="auto" w:fill="auto"/>
            <w:noWrap/>
            <w:vAlign w:val="bottom"/>
          </w:tcPr>
          <w:p w14:paraId="2B46FDC0" w14:textId="2522D9E3" w:rsidR="00C171D4" w:rsidRPr="00C171D4" w:rsidRDefault="00C171D4" w:rsidP="00C171D4">
            <w:pPr>
              <w:jc w:val="right"/>
              <w:rPr>
                <w:sz w:val="18"/>
                <w:szCs w:val="18"/>
                <w:lang w:eastAsia="es-AR"/>
              </w:rPr>
            </w:pPr>
          </w:p>
        </w:tc>
        <w:tc>
          <w:tcPr>
            <w:tcW w:w="901" w:type="dxa"/>
            <w:tcBorders>
              <w:top w:val="nil"/>
              <w:left w:val="nil"/>
              <w:bottom w:val="nil"/>
              <w:right w:val="nil"/>
            </w:tcBorders>
            <w:shd w:val="clear" w:color="auto" w:fill="auto"/>
            <w:noWrap/>
            <w:vAlign w:val="bottom"/>
          </w:tcPr>
          <w:p w14:paraId="5D81855E" w14:textId="77777777" w:rsidR="00C171D4" w:rsidRPr="00C171D4" w:rsidRDefault="00C171D4" w:rsidP="00C171D4">
            <w:pPr>
              <w:jc w:val="right"/>
              <w:rPr>
                <w:sz w:val="18"/>
                <w:szCs w:val="18"/>
                <w:lang w:eastAsia="es-AR"/>
              </w:rPr>
            </w:pPr>
          </w:p>
        </w:tc>
        <w:tc>
          <w:tcPr>
            <w:tcW w:w="1111" w:type="dxa"/>
            <w:tcBorders>
              <w:top w:val="nil"/>
              <w:left w:val="nil"/>
              <w:bottom w:val="nil"/>
              <w:right w:val="nil"/>
            </w:tcBorders>
            <w:shd w:val="clear" w:color="auto" w:fill="auto"/>
            <w:noWrap/>
            <w:vAlign w:val="bottom"/>
          </w:tcPr>
          <w:p w14:paraId="4CE64016" w14:textId="77777777" w:rsidR="00C171D4" w:rsidRPr="00C171D4" w:rsidRDefault="00C171D4" w:rsidP="00C171D4">
            <w:pPr>
              <w:jc w:val="right"/>
              <w:rPr>
                <w:sz w:val="18"/>
                <w:szCs w:val="18"/>
                <w:lang w:eastAsia="es-AR"/>
              </w:rPr>
            </w:pPr>
          </w:p>
        </w:tc>
        <w:tc>
          <w:tcPr>
            <w:tcW w:w="771" w:type="dxa"/>
            <w:tcBorders>
              <w:top w:val="nil"/>
              <w:left w:val="nil"/>
              <w:bottom w:val="nil"/>
              <w:right w:val="nil"/>
            </w:tcBorders>
            <w:shd w:val="clear" w:color="auto" w:fill="auto"/>
            <w:noWrap/>
            <w:vAlign w:val="bottom"/>
          </w:tcPr>
          <w:p w14:paraId="38357D22" w14:textId="77777777" w:rsidR="00C171D4" w:rsidRPr="00C171D4" w:rsidRDefault="00C171D4" w:rsidP="00C171D4">
            <w:pPr>
              <w:jc w:val="right"/>
              <w:rPr>
                <w:sz w:val="18"/>
                <w:szCs w:val="18"/>
                <w:lang w:eastAsia="es-AR"/>
              </w:rPr>
            </w:pPr>
          </w:p>
        </w:tc>
        <w:tc>
          <w:tcPr>
            <w:tcW w:w="916" w:type="dxa"/>
            <w:tcBorders>
              <w:top w:val="nil"/>
              <w:left w:val="nil"/>
              <w:bottom w:val="nil"/>
              <w:right w:val="nil"/>
            </w:tcBorders>
            <w:shd w:val="clear" w:color="auto" w:fill="auto"/>
            <w:noWrap/>
            <w:vAlign w:val="bottom"/>
          </w:tcPr>
          <w:p w14:paraId="770E65D4" w14:textId="77777777" w:rsidR="00C171D4" w:rsidRPr="00C171D4" w:rsidRDefault="00C171D4" w:rsidP="00C171D4">
            <w:pPr>
              <w:jc w:val="right"/>
              <w:rPr>
                <w:sz w:val="18"/>
                <w:szCs w:val="18"/>
                <w:lang w:eastAsia="es-AR"/>
              </w:rPr>
            </w:pPr>
          </w:p>
        </w:tc>
        <w:tc>
          <w:tcPr>
            <w:tcW w:w="1029" w:type="dxa"/>
            <w:tcBorders>
              <w:top w:val="nil"/>
              <w:left w:val="nil"/>
              <w:bottom w:val="nil"/>
              <w:right w:val="nil"/>
            </w:tcBorders>
            <w:shd w:val="clear" w:color="auto" w:fill="auto"/>
            <w:noWrap/>
            <w:vAlign w:val="bottom"/>
          </w:tcPr>
          <w:p w14:paraId="7E65661B" w14:textId="77777777" w:rsidR="00C171D4" w:rsidRPr="00C171D4" w:rsidRDefault="00C171D4" w:rsidP="00C171D4">
            <w:pPr>
              <w:jc w:val="right"/>
              <w:rPr>
                <w:sz w:val="18"/>
                <w:szCs w:val="18"/>
                <w:lang w:eastAsia="es-AR"/>
              </w:rPr>
            </w:pPr>
          </w:p>
        </w:tc>
        <w:tc>
          <w:tcPr>
            <w:tcW w:w="1030" w:type="dxa"/>
            <w:tcBorders>
              <w:top w:val="nil"/>
              <w:left w:val="nil"/>
              <w:bottom w:val="nil"/>
              <w:right w:val="nil"/>
            </w:tcBorders>
            <w:shd w:val="clear" w:color="auto" w:fill="auto"/>
            <w:noWrap/>
            <w:vAlign w:val="bottom"/>
          </w:tcPr>
          <w:p w14:paraId="130B0FD3" w14:textId="77777777" w:rsidR="00C171D4" w:rsidRPr="00C171D4" w:rsidRDefault="00C171D4" w:rsidP="00C171D4">
            <w:pPr>
              <w:jc w:val="right"/>
              <w:rPr>
                <w:sz w:val="18"/>
                <w:szCs w:val="18"/>
                <w:lang w:eastAsia="es-AR"/>
              </w:rPr>
            </w:pPr>
          </w:p>
        </w:tc>
        <w:tc>
          <w:tcPr>
            <w:tcW w:w="1041" w:type="dxa"/>
            <w:tcBorders>
              <w:top w:val="nil"/>
              <w:left w:val="nil"/>
              <w:bottom w:val="nil"/>
              <w:right w:val="nil"/>
            </w:tcBorders>
            <w:shd w:val="clear" w:color="auto" w:fill="auto"/>
            <w:noWrap/>
            <w:vAlign w:val="bottom"/>
          </w:tcPr>
          <w:p w14:paraId="2A6AC86D" w14:textId="77777777" w:rsidR="00C171D4" w:rsidRPr="00C171D4" w:rsidRDefault="00C171D4" w:rsidP="00C171D4">
            <w:pPr>
              <w:jc w:val="right"/>
              <w:rPr>
                <w:sz w:val="18"/>
                <w:szCs w:val="18"/>
                <w:lang w:eastAsia="es-AR"/>
              </w:rPr>
            </w:pPr>
          </w:p>
        </w:tc>
      </w:tr>
      <w:tr w:rsidR="00C171D4" w:rsidRPr="00C171D4" w14:paraId="0DD19857" w14:textId="77777777" w:rsidTr="00F94F68">
        <w:trPr>
          <w:trHeight w:val="255"/>
          <w:jc w:val="center"/>
        </w:trPr>
        <w:tc>
          <w:tcPr>
            <w:tcW w:w="2568" w:type="dxa"/>
            <w:tcBorders>
              <w:top w:val="nil"/>
              <w:left w:val="nil"/>
              <w:bottom w:val="nil"/>
              <w:right w:val="nil"/>
            </w:tcBorders>
            <w:shd w:val="clear" w:color="auto" w:fill="auto"/>
            <w:hideMark/>
          </w:tcPr>
          <w:p w14:paraId="271489E0" w14:textId="77777777" w:rsidR="00C171D4" w:rsidRPr="00C171D4" w:rsidRDefault="00C171D4" w:rsidP="00C171D4">
            <w:pPr>
              <w:rPr>
                <w:rFonts w:ascii="Arial" w:hAnsi="Arial" w:cs="Arial"/>
                <w:b/>
                <w:bCs/>
                <w:sz w:val="18"/>
                <w:szCs w:val="18"/>
                <w:lang w:eastAsia="es-AR"/>
              </w:rPr>
            </w:pPr>
            <w:r w:rsidRPr="00C171D4">
              <w:rPr>
                <w:rFonts w:ascii="Arial" w:hAnsi="Arial" w:cs="Arial"/>
                <w:b/>
                <w:bCs/>
                <w:sz w:val="18"/>
                <w:szCs w:val="18"/>
                <w:lang w:eastAsia="es-AR"/>
              </w:rPr>
              <w:t>Modelo de revaluación</w:t>
            </w:r>
          </w:p>
        </w:tc>
        <w:tc>
          <w:tcPr>
            <w:tcW w:w="941" w:type="dxa"/>
            <w:tcBorders>
              <w:top w:val="nil"/>
              <w:left w:val="nil"/>
              <w:bottom w:val="nil"/>
              <w:right w:val="nil"/>
            </w:tcBorders>
            <w:shd w:val="clear" w:color="auto" w:fill="auto"/>
            <w:noWrap/>
            <w:vAlign w:val="bottom"/>
          </w:tcPr>
          <w:p w14:paraId="59FA3070" w14:textId="77777777" w:rsidR="00C171D4" w:rsidRPr="00C171D4" w:rsidRDefault="00C171D4" w:rsidP="00C171D4">
            <w:pPr>
              <w:jc w:val="right"/>
              <w:rPr>
                <w:rFonts w:ascii="Arial" w:hAnsi="Arial" w:cs="Arial"/>
                <w:b/>
                <w:bCs/>
                <w:sz w:val="18"/>
                <w:szCs w:val="18"/>
                <w:lang w:eastAsia="es-AR"/>
              </w:rPr>
            </w:pPr>
          </w:p>
        </w:tc>
        <w:tc>
          <w:tcPr>
            <w:tcW w:w="921" w:type="dxa"/>
            <w:tcBorders>
              <w:top w:val="nil"/>
              <w:left w:val="nil"/>
              <w:bottom w:val="nil"/>
              <w:right w:val="nil"/>
            </w:tcBorders>
            <w:shd w:val="clear" w:color="auto" w:fill="auto"/>
            <w:noWrap/>
            <w:vAlign w:val="bottom"/>
          </w:tcPr>
          <w:p w14:paraId="6E211F43" w14:textId="77777777" w:rsidR="00C171D4" w:rsidRPr="00C171D4" w:rsidRDefault="00C171D4" w:rsidP="00C171D4">
            <w:pPr>
              <w:jc w:val="right"/>
              <w:rPr>
                <w:sz w:val="18"/>
                <w:szCs w:val="18"/>
                <w:lang w:eastAsia="es-AR"/>
              </w:rPr>
            </w:pPr>
          </w:p>
        </w:tc>
        <w:tc>
          <w:tcPr>
            <w:tcW w:w="1111" w:type="dxa"/>
            <w:tcBorders>
              <w:top w:val="nil"/>
              <w:left w:val="nil"/>
              <w:bottom w:val="nil"/>
              <w:right w:val="nil"/>
            </w:tcBorders>
            <w:shd w:val="clear" w:color="auto" w:fill="auto"/>
            <w:noWrap/>
            <w:vAlign w:val="bottom"/>
          </w:tcPr>
          <w:p w14:paraId="07B940BC" w14:textId="77777777" w:rsidR="00C171D4" w:rsidRPr="00C171D4" w:rsidRDefault="00C171D4" w:rsidP="00C171D4">
            <w:pPr>
              <w:jc w:val="right"/>
              <w:rPr>
                <w:sz w:val="18"/>
                <w:szCs w:val="18"/>
                <w:lang w:eastAsia="es-AR"/>
              </w:rPr>
            </w:pPr>
          </w:p>
        </w:tc>
        <w:tc>
          <w:tcPr>
            <w:tcW w:w="1221" w:type="dxa"/>
            <w:tcBorders>
              <w:top w:val="nil"/>
              <w:left w:val="nil"/>
              <w:bottom w:val="nil"/>
              <w:right w:val="nil"/>
            </w:tcBorders>
          </w:tcPr>
          <w:p w14:paraId="4BAFBF01" w14:textId="77777777" w:rsidR="00C171D4" w:rsidRPr="00C171D4" w:rsidRDefault="00C171D4" w:rsidP="00C171D4">
            <w:pPr>
              <w:jc w:val="right"/>
              <w:rPr>
                <w:sz w:val="18"/>
                <w:szCs w:val="18"/>
                <w:lang w:eastAsia="es-AR"/>
              </w:rPr>
            </w:pPr>
          </w:p>
        </w:tc>
        <w:tc>
          <w:tcPr>
            <w:tcW w:w="960" w:type="dxa"/>
            <w:tcBorders>
              <w:top w:val="nil"/>
              <w:left w:val="nil"/>
              <w:bottom w:val="nil"/>
              <w:right w:val="nil"/>
            </w:tcBorders>
            <w:shd w:val="clear" w:color="auto" w:fill="auto"/>
            <w:noWrap/>
            <w:vAlign w:val="bottom"/>
          </w:tcPr>
          <w:p w14:paraId="68F51548" w14:textId="34B981A7" w:rsidR="00C171D4" w:rsidRPr="00C171D4" w:rsidRDefault="00C171D4" w:rsidP="00C171D4">
            <w:pPr>
              <w:jc w:val="right"/>
              <w:rPr>
                <w:sz w:val="18"/>
                <w:szCs w:val="18"/>
                <w:lang w:eastAsia="es-AR"/>
              </w:rPr>
            </w:pPr>
          </w:p>
        </w:tc>
        <w:tc>
          <w:tcPr>
            <w:tcW w:w="901" w:type="dxa"/>
            <w:tcBorders>
              <w:top w:val="nil"/>
              <w:left w:val="nil"/>
              <w:bottom w:val="nil"/>
              <w:right w:val="nil"/>
            </w:tcBorders>
            <w:shd w:val="clear" w:color="auto" w:fill="auto"/>
            <w:noWrap/>
            <w:vAlign w:val="bottom"/>
          </w:tcPr>
          <w:p w14:paraId="1D3E52B6" w14:textId="77777777" w:rsidR="00C171D4" w:rsidRPr="00C171D4" w:rsidRDefault="00C171D4" w:rsidP="00C171D4">
            <w:pPr>
              <w:jc w:val="right"/>
              <w:rPr>
                <w:sz w:val="18"/>
                <w:szCs w:val="18"/>
                <w:lang w:eastAsia="es-AR"/>
              </w:rPr>
            </w:pPr>
          </w:p>
        </w:tc>
        <w:tc>
          <w:tcPr>
            <w:tcW w:w="1111" w:type="dxa"/>
            <w:tcBorders>
              <w:top w:val="nil"/>
              <w:left w:val="nil"/>
              <w:bottom w:val="nil"/>
              <w:right w:val="nil"/>
            </w:tcBorders>
            <w:shd w:val="clear" w:color="auto" w:fill="auto"/>
            <w:noWrap/>
            <w:vAlign w:val="bottom"/>
          </w:tcPr>
          <w:p w14:paraId="7AF7C4A3" w14:textId="77777777" w:rsidR="00C171D4" w:rsidRPr="00C171D4" w:rsidRDefault="00C171D4" w:rsidP="00C171D4">
            <w:pPr>
              <w:jc w:val="right"/>
              <w:rPr>
                <w:sz w:val="18"/>
                <w:szCs w:val="18"/>
                <w:lang w:eastAsia="es-AR"/>
              </w:rPr>
            </w:pPr>
          </w:p>
        </w:tc>
        <w:tc>
          <w:tcPr>
            <w:tcW w:w="771" w:type="dxa"/>
            <w:tcBorders>
              <w:top w:val="nil"/>
              <w:left w:val="nil"/>
              <w:bottom w:val="nil"/>
              <w:right w:val="nil"/>
            </w:tcBorders>
            <w:shd w:val="clear" w:color="auto" w:fill="auto"/>
            <w:noWrap/>
            <w:vAlign w:val="bottom"/>
          </w:tcPr>
          <w:p w14:paraId="0E3FAE15" w14:textId="77777777" w:rsidR="00C171D4" w:rsidRPr="00C171D4" w:rsidRDefault="00C171D4" w:rsidP="00C171D4">
            <w:pPr>
              <w:jc w:val="right"/>
              <w:rPr>
                <w:sz w:val="18"/>
                <w:szCs w:val="18"/>
                <w:lang w:eastAsia="es-AR"/>
              </w:rPr>
            </w:pPr>
          </w:p>
        </w:tc>
        <w:tc>
          <w:tcPr>
            <w:tcW w:w="916" w:type="dxa"/>
            <w:tcBorders>
              <w:top w:val="nil"/>
              <w:left w:val="nil"/>
              <w:bottom w:val="nil"/>
              <w:right w:val="nil"/>
            </w:tcBorders>
            <w:shd w:val="clear" w:color="auto" w:fill="auto"/>
            <w:noWrap/>
            <w:vAlign w:val="bottom"/>
          </w:tcPr>
          <w:p w14:paraId="3C0621B0" w14:textId="77777777" w:rsidR="00C171D4" w:rsidRPr="00C171D4" w:rsidRDefault="00C171D4" w:rsidP="00C171D4">
            <w:pPr>
              <w:jc w:val="right"/>
              <w:rPr>
                <w:sz w:val="18"/>
                <w:szCs w:val="18"/>
                <w:lang w:eastAsia="es-AR"/>
              </w:rPr>
            </w:pPr>
          </w:p>
        </w:tc>
        <w:tc>
          <w:tcPr>
            <w:tcW w:w="1029" w:type="dxa"/>
            <w:tcBorders>
              <w:top w:val="nil"/>
              <w:left w:val="nil"/>
              <w:bottom w:val="nil"/>
              <w:right w:val="nil"/>
            </w:tcBorders>
            <w:shd w:val="clear" w:color="auto" w:fill="auto"/>
            <w:noWrap/>
            <w:vAlign w:val="bottom"/>
          </w:tcPr>
          <w:p w14:paraId="52473068" w14:textId="77777777" w:rsidR="00C171D4" w:rsidRPr="00C171D4" w:rsidRDefault="00C171D4" w:rsidP="00C171D4">
            <w:pPr>
              <w:jc w:val="right"/>
              <w:rPr>
                <w:sz w:val="18"/>
                <w:szCs w:val="18"/>
                <w:lang w:eastAsia="es-AR"/>
              </w:rPr>
            </w:pPr>
          </w:p>
        </w:tc>
        <w:tc>
          <w:tcPr>
            <w:tcW w:w="1030" w:type="dxa"/>
            <w:tcBorders>
              <w:top w:val="nil"/>
              <w:left w:val="nil"/>
              <w:bottom w:val="nil"/>
              <w:right w:val="nil"/>
            </w:tcBorders>
            <w:shd w:val="clear" w:color="auto" w:fill="auto"/>
            <w:noWrap/>
            <w:vAlign w:val="bottom"/>
          </w:tcPr>
          <w:p w14:paraId="1018ECF6" w14:textId="77777777" w:rsidR="00C171D4" w:rsidRPr="00C171D4" w:rsidRDefault="00C171D4" w:rsidP="00C171D4">
            <w:pPr>
              <w:jc w:val="right"/>
              <w:rPr>
                <w:sz w:val="18"/>
                <w:szCs w:val="18"/>
                <w:lang w:eastAsia="es-AR"/>
              </w:rPr>
            </w:pPr>
          </w:p>
        </w:tc>
        <w:tc>
          <w:tcPr>
            <w:tcW w:w="1041" w:type="dxa"/>
            <w:tcBorders>
              <w:top w:val="nil"/>
              <w:left w:val="nil"/>
              <w:bottom w:val="nil"/>
              <w:right w:val="nil"/>
            </w:tcBorders>
            <w:shd w:val="clear" w:color="auto" w:fill="auto"/>
            <w:noWrap/>
            <w:vAlign w:val="bottom"/>
          </w:tcPr>
          <w:p w14:paraId="2747516A" w14:textId="77777777" w:rsidR="00C171D4" w:rsidRPr="00C171D4" w:rsidRDefault="00C171D4" w:rsidP="00C171D4">
            <w:pPr>
              <w:jc w:val="right"/>
              <w:rPr>
                <w:sz w:val="18"/>
                <w:szCs w:val="18"/>
                <w:lang w:eastAsia="es-AR"/>
              </w:rPr>
            </w:pPr>
          </w:p>
        </w:tc>
      </w:tr>
      <w:tr w:rsidR="00C171D4" w:rsidRPr="00C171D4" w14:paraId="5F89F69F" w14:textId="77777777" w:rsidTr="00F94F68">
        <w:trPr>
          <w:trHeight w:val="255"/>
          <w:jc w:val="center"/>
        </w:trPr>
        <w:tc>
          <w:tcPr>
            <w:tcW w:w="2568" w:type="dxa"/>
            <w:tcBorders>
              <w:top w:val="nil"/>
              <w:left w:val="nil"/>
              <w:bottom w:val="nil"/>
              <w:right w:val="nil"/>
            </w:tcBorders>
            <w:shd w:val="clear" w:color="auto" w:fill="auto"/>
            <w:hideMark/>
          </w:tcPr>
          <w:p w14:paraId="3CCE044B" w14:textId="77777777" w:rsidR="00C171D4" w:rsidRPr="00C171D4" w:rsidRDefault="00C171D4" w:rsidP="00C171D4">
            <w:pPr>
              <w:rPr>
                <w:rFonts w:ascii="Arial" w:hAnsi="Arial" w:cs="Arial"/>
                <w:sz w:val="18"/>
                <w:szCs w:val="18"/>
                <w:lang w:eastAsia="es-AR"/>
              </w:rPr>
            </w:pPr>
            <w:r w:rsidRPr="00C171D4">
              <w:rPr>
                <w:rFonts w:ascii="Arial" w:hAnsi="Arial" w:cs="Arial"/>
                <w:sz w:val="18"/>
                <w:szCs w:val="18"/>
                <w:lang w:eastAsia="es-AR"/>
              </w:rPr>
              <w:t>- Inmuebles</w:t>
            </w:r>
          </w:p>
        </w:tc>
        <w:tc>
          <w:tcPr>
            <w:tcW w:w="941" w:type="dxa"/>
            <w:tcBorders>
              <w:top w:val="nil"/>
              <w:left w:val="nil"/>
              <w:bottom w:val="nil"/>
              <w:right w:val="nil"/>
            </w:tcBorders>
            <w:shd w:val="clear" w:color="auto" w:fill="auto"/>
            <w:noWrap/>
            <w:vAlign w:val="bottom"/>
          </w:tcPr>
          <w:p w14:paraId="46877E0C" w14:textId="3D5B1F59"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1.146.045</w:t>
            </w:r>
          </w:p>
        </w:tc>
        <w:tc>
          <w:tcPr>
            <w:tcW w:w="921" w:type="dxa"/>
            <w:tcBorders>
              <w:top w:val="nil"/>
              <w:left w:val="nil"/>
              <w:bottom w:val="nil"/>
              <w:right w:val="nil"/>
            </w:tcBorders>
            <w:shd w:val="clear" w:color="auto" w:fill="auto"/>
            <w:noWrap/>
            <w:vAlign w:val="bottom"/>
          </w:tcPr>
          <w:p w14:paraId="56FB732A" w14:textId="6BCE6E13"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50</w:t>
            </w:r>
          </w:p>
        </w:tc>
        <w:tc>
          <w:tcPr>
            <w:tcW w:w="1111" w:type="dxa"/>
            <w:tcBorders>
              <w:top w:val="nil"/>
              <w:left w:val="nil"/>
              <w:bottom w:val="nil"/>
              <w:right w:val="nil"/>
            </w:tcBorders>
            <w:shd w:val="clear" w:color="auto" w:fill="auto"/>
            <w:noWrap/>
            <w:vAlign w:val="bottom"/>
          </w:tcPr>
          <w:p w14:paraId="077E062D" w14:textId="6961B973"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585.993</w:t>
            </w:r>
          </w:p>
        </w:tc>
        <w:tc>
          <w:tcPr>
            <w:tcW w:w="1221" w:type="dxa"/>
            <w:tcBorders>
              <w:top w:val="nil"/>
              <w:left w:val="nil"/>
              <w:bottom w:val="nil"/>
              <w:right w:val="nil"/>
            </w:tcBorders>
            <w:vAlign w:val="bottom"/>
          </w:tcPr>
          <w:p w14:paraId="0D3797C3" w14:textId="65145601"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-11.498</w:t>
            </w:r>
          </w:p>
        </w:tc>
        <w:tc>
          <w:tcPr>
            <w:tcW w:w="960" w:type="dxa"/>
            <w:tcBorders>
              <w:top w:val="nil"/>
              <w:left w:val="nil"/>
              <w:bottom w:val="nil"/>
              <w:right w:val="nil"/>
            </w:tcBorders>
            <w:shd w:val="clear" w:color="auto" w:fill="auto"/>
            <w:noWrap/>
            <w:vAlign w:val="bottom"/>
          </w:tcPr>
          <w:p w14:paraId="08BF9FC1" w14:textId="38000EA4"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lang w:eastAsia="es-AR"/>
              </w:rPr>
              <w:t>-</w:t>
            </w:r>
          </w:p>
        </w:tc>
        <w:tc>
          <w:tcPr>
            <w:tcW w:w="901" w:type="dxa"/>
            <w:tcBorders>
              <w:top w:val="nil"/>
              <w:left w:val="nil"/>
              <w:bottom w:val="nil"/>
              <w:right w:val="nil"/>
            </w:tcBorders>
            <w:shd w:val="clear" w:color="auto" w:fill="auto"/>
            <w:noWrap/>
            <w:vAlign w:val="bottom"/>
          </w:tcPr>
          <w:p w14:paraId="3A605374" w14:textId="62A3910A"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-92</w:t>
            </w:r>
          </w:p>
        </w:tc>
        <w:tc>
          <w:tcPr>
            <w:tcW w:w="1111" w:type="dxa"/>
            <w:tcBorders>
              <w:top w:val="nil"/>
              <w:left w:val="nil"/>
              <w:bottom w:val="nil"/>
              <w:right w:val="nil"/>
            </w:tcBorders>
            <w:shd w:val="clear" w:color="auto" w:fill="auto"/>
            <w:noWrap/>
            <w:vAlign w:val="bottom"/>
          </w:tcPr>
          <w:p w14:paraId="1C6E66A7" w14:textId="5109B110"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-58.543</w:t>
            </w:r>
          </w:p>
        </w:tc>
        <w:tc>
          <w:tcPr>
            <w:tcW w:w="771" w:type="dxa"/>
            <w:tcBorders>
              <w:top w:val="nil"/>
              <w:left w:val="nil"/>
              <w:bottom w:val="nil"/>
              <w:right w:val="nil"/>
            </w:tcBorders>
            <w:shd w:val="clear" w:color="auto" w:fill="auto"/>
            <w:noWrap/>
            <w:vAlign w:val="bottom"/>
          </w:tcPr>
          <w:p w14:paraId="5264E285" w14:textId="1955C564" w:rsidR="00C171D4" w:rsidRPr="00C171D4" w:rsidRDefault="00995C31" w:rsidP="00C171D4">
            <w:pPr>
              <w:jc w:val="right"/>
              <w:rPr>
                <w:rFonts w:ascii="Arial" w:hAnsi="Arial" w:cs="Arial"/>
                <w:sz w:val="18"/>
                <w:szCs w:val="18"/>
                <w:lang w:eastAsia="es-AR"/>
              </w:rPr>
            </w:pPr>
            <w:r>
              <w:rPr>
                <w:rFonts w:ascii="Arial" w:hAnsi="Arial" w:cs="Arial"/>
                <w:sz w:val="18"/>
                <w:szCs w:val="18"/>
              </w:rPr>
              <w:t>-</w:t>
            </w:r>
          </w:p>
        </w:tc>
        <w:tc>
          <w:tcPr>
            <w:tcW w:w="916" w:type="dxa"/>
            <w:tcBorders>
              <w:top w:val="nil"/>
              <w:left w:val="nil"/>
              <w:bottom w:val="nil"/>
              <w:right w:val="nil"/>
            </w:tcBorders>
            <w:shd w:val="clear" w:color="auto" w:fill="auto"/>
            <w:noWrap/>
            <w:vAlign w:val="bottom"/>
          </w:tcPr>
          <w:p w14:paraId="0352D798" w14:textId="0A66D370"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-23.952</w:t>
            </w:r>
          </w:p>
        </w:tc>
        <w:tc>
          <w:tcPr>
            <w:tcW w:w="1029" w:type="dxa"/>
            <w:tcBorders>
              <w:top w:val="nil"/>
              <w:left w:val="nil"/>
              <w:bottom w:val="nil"/>
              <w:right w:val="nil"/>
            </w:tcBorders>
            <w:shd w:val="clear" w:color="auto" w:fill="auto"/>
            <w:noWrap/>
            <w:vAlign w:val="bottom"/>
          </w:tcPr>
          <w:p w14:paraId="1C259C71" w14:textId="25CA2C4E"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-82.495</w:t>
            </w:r>
          </w:p>
        </w:tc>
        <w:tc>
          <w:tcPr>
            <w:tcW w:w="1030" w:type="dxa"/>
            <w:tcBorders>
              <w:top w:val="nil"/>
              <w:left w:val="nil"/>
              <w:bottom w:val="nil"/>
              <w:right w:val="nil"/>
            </w:tcBorders>
            <w:shd w:val="clear" w:color="auto" w:fill="auto"/>
            <w:noWrap/>
            <w:vAlign w:val="bottom"/>
          </w:tcPr>
          <w:p w14:paraId="69EF53B2" w14:textId="58128427"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1.637.953</w:t>
            </w:r>
          </w:p>
        </w:tc>
        <w:tc>
          <w:tcPr>
            <w:tcW w:w="1041" w:type="dxa"/>
            <w:tcBorders>
              <w:top w:val="nil"/>
              <w:left w:val="nil"/>
              <w:bottom w:val="nil"/>
              <w:right w:val="nil"/>
            </w:tcBorders>
            <w:shd w:val="clear" w:color="auto" w:fill="auto"/>
            <w:noWrap/>
            <w:vAlign w:val="bottom"/>
          </w:tcPr>
          <w:p w14:paraId="1D6AD0CC" w14:textId="5964A183" w:rsidR="00C171D4" w:rsidRPr="00C171D4" w:rsidRDefault="00C171D4" w:rsidP="00C171D4">
            <w:pPr>
              <w:jc w:val="right"/>
              <w:rPr>
                <w:rFonts w:ascii="Arial" w:hAnsi="Arial" w:cs="Arial"/>
                <w:sz w:val="18"/>
                <w:szCs w:val="18"/>
                <w:lang w:eastAsia="es-AR"/>
              </w:rPr>
            </w:pPr>
            <w:r w:rsidRPr="00C171D4">
              <w:rPr>
                <w:rFonts w:ascii="Arial" w:hAnsi="Arial" w:cs="Arial"/>
                <w:sz w:val="18"/>
                <w:szCs w:val="18"/>
              </w:rPr>
              <w:t>1.087.502</w:t>
            </w:r>
          </w:p>
        </w:tc>
      </w:tr>
      <w:tr w:rsidR="00C171D4" w:rsidRPr="00C171D4" w14:paraId="7262617C" w14:textId="77777777" w:rsidTr="00F94F68">
        <w:trPr>
          <w:trHeight w:val="80"/>
          <w:jc w:val="center"/>
        </w:trPr>
        <w:tc>
          <w:tcPr>
            <w:tcW w:w="2568" w:type="dxa"/>
            <w:tcBorders>
              <w:top w:val="nil"/>
              <w:left w:val="nil"/>
              <w:bottom w:val="nil"/>
              <w:right w:val="nil"/>
            </w:tcBorders>
            <w:shd w:val="clear" w:color="auto" w:fill="auto"/>
            <w:hideMark/>
          </w:tcPr>
          <w:p w14:paraId="4AC71AD0" w14:textId="77777777" w:rsidR="00C171D4" w:rsidRPr="00C171D4" w:rsidRDefault="00C171D4" w:rsidP="00C171D4">
            <w:pPr>
              <w:rPr>
                <w:rFonts w:ascii="Arial" w:hAnsi="Arial" w:cs="Arial"/>
                <w:sz w:val="18"/>
                <w:szCs w:val="18"/>
                <w:lang w:eastAsia="es-AR"/>
              </w:rPr>
            </w:pPr>
          </w:p>
        </w:tc>
        <w:tc>
          <w:tcPr>
            <w:tcW w:w="941" w:type="dxa"/>
            <w:tcBorders>
              <w:top w:val="nil"/>
              <w:left w:val="nil"/>
              <w:bottom w:val="nil"/>
              <w:right w:val="nil"/>
            </w:tcBorders>
            <w:shd w:val="clear" w:color="auto" w:fill="auto"/>
            <w:noWrap/>
            <w:vAlign w:val="bottom"/>
          </w:tcPr>
          <w:p w14:paraId="535C6A5D" w14:textId="77777777" w:rsidR="00C171D4" w:rsidRPr="00C171D4" w:rsidRDefault="00C171D4" w:rsidP="00C171D4">
            <w:pPr>
              <w:jc w:val="right"/>
              <w:rPr>
                <w:sz w:val="18"/>
                <w:szCs w:val="18"/>
                <w:lang w:eastAsia="es-AR"/>
              </w:rPr>
            </w:pPr>
          </w:p>
        </w:tc>
        <w:tc>
          <w:tcPr>
            <w:tcW w:w="921" w:type="dxa"/>
            <w:tcBorders>
              <w:top w:val="nil"/>
              <w:left w:val="nil"/>
              <w:bottom w:val="nil"/>
              <w:right w:val="nil"/>
            </w:tcBorders>
            <w:shd w:val="clear" w:color="auto" w:fill="auto"/>
            <w:noWrap/>
            <w:vAlign w:val="bottom"/>
          </w:tcPr>
          <w:p w14:paraId="1B695298" w14:textId="77777777" w:rsidR="00C171D4" w:rsidRPr="00C171D4" w:rsidRDefault="00C171D4" w:rsidP="00C171D4">
            <w:pPr>
              <w:jc w:val="right"/>
              <w:rPr>
                <w:sz w:val="18"/>
                <w:szCs w:val="18"/>
                <w:lang w:eastAsia="es-AR"/>
              </w:rPr>
            </w:pPr>
          </w:p>
        </w:tc>
        <w:tc>
          <w:tcPr>
            <w:tcW w:w="1111" w:type="dxa"/>
            <w:tcBorders>
              <w:top w:val="nil"/>
              <w:left w:val="nil"/>
              <w:bottom w:val="nil"/>
              <w:right w:val="nil"/>
            </w:tcBorders>
            <w:shd w:val="clear" w:color="auto" w:fill="auto"/>
            <w:noWrap/>
            <w:vAlign w:val="bottom"/>
          </w:tcPr>
          <w:p w14:paraId="32925EC5" w14:textId="77777777" w:rsidR="00C171D4" w:rsidRPr="00C171D4" w:rsidRDefault="00C171D4" w:rsidP="00C171D4">
            <w:pPr>
              <w:jc w:val="right"/>
              <w:rPr>
                <w:sz w:val="18"/>
                <w:szCs w:val="18"/>
                <w:lang w:eastAsia="es-AR"/>
              </w:rPr>
            </w:pPr>
          </w:p>
        </w:tc>
        <w:tc>
          <w:tcPr>
            <w:tcW w:w="1221" w:type="dxa"/>
            <w:tcBorders>
              <w:top w:val="nil"/>
              <w:left w:val="nil"/>
              <w:bottom w:val="nil"/>
              <w:right w:val="nil"/>
            </w:tcBorders>
          </w:tcPr>
          <w:p w14:paraId="45DE2736" w14:textId="77777777" w:rsidR="00C171D4" w:rsidRPr="00C171D4" w:rsidRDefault="00C171D4" w:rsidP="00C171D4">
            <w:pPr>
              <w:jc w:val="right"/>
              <w:rPr>
                <w:sz w:val="18"/>
                <w:szCs w:val="18"/>
                <w:lang w:eastAsia="es-AR"/>
              </w:rPr>
            </w:pPr>
          </w:p>
        </w:tc>
        <w:tc>
          <w:tcPr>
            <w:tcW w:w="960" w:type="dxa"/>
            <w:tcBorders>
              <w:top w:val="nil"/>
              <w:left w:val="nil"/>
              <w:bottom w:val="nil"/>
              <w:right w:val="nil"/>
            </w:tcBorders>
            <w:shd w:val="clear" w:color="auto" w:fill="auto"/>
            <w:noWrap/>
            <w:vAlign w:val="bottom"/>
          </w:tcPr>
          <w:p w14:paraId="344A8555" w14:textId="28C5C332" w:rsidR="00C171D4" w:rsidRPr="00C171D4" w:rsidRDefault="00C171D4" w:rsidP="00C171D4">
            <w:pPr>
              <w:jc w:val="right"/>
              <w:rPr>
                <w:sz w:val="18"/>
                <w:szCs w:val="18"/>
                <w:lang w:eastAsia="es-AR"/>
              </w:rPr>
            </w:pPr>
          </w:p>
        </w:tc>
        <w:tc>
          <w:tcPr>
            <w:tcW w:w="901" w:type="dxa"/>
            <w:tcBorders>
              <w:top w:val="nil"/>
              <w:left w:val="nil"/>
              <w:bottom w:val="nil"/>
              <w:right w:val="nil"/>
            </w:tcBorders>
            <w:shd w:val="clear" w:color="auto" w:fill="auto"/>
            <w:noWrap/>
            <w:vAlign w:val="bottom"/>
          </w:tcPr>
          <w:p w14:paraId="29E9D896" w14:textId="77777777" w:rsidR="00C171D4" w:rsidRPr="00C171D4" w:rsidRDefault="00C171D4" w:rsidP="00C171D4">
            <w:pPr>
              <w:jc w:val="right"/>
              <w:rPr>
                <w:sz w:val="18"/>
                <w:szCs w:val="18"/>
                <w:lang w:eastAsia="es-AR"/>
              </w:rPr>
            </w:pPr>
          </w:p>
        </w:tc>
        <w:tc>
          <w:tcPr>
            <w:tcW w:w="1111" w:type="dxa"/>
            <w:tcBorders>
              <w:top w:val="nil"/>
              <w:left w:val="nil"/>
              <w:bottom w:val="nil"/>
              <w:right w:val="nil"/>
            </w:tcBorders>
            <w:shd w:val="clear" w:color="auto" w:fill="auto"/>
            <w:noWrap/>
            <w:vAlign w:val="bottom"/>
          </w:tcPr>
          <w:p w14:paraId="0B26A9A5" w14:textId="77777777" w:rsidR="00C171D4" w:rsidRPr="00C171D4" w:rsidRDefault="00C171D4" w:rsidP="00C171D4">
            <w:pPr>
              <w:jc w:val="right"/>
              <w:rPr>
                <w:sz w:val="18"/>
                <w:szCs w:val="18"/>
                <w:lang w:eastAsia="es-AR"/>
              </w:rPr>
            </w:pPr>
          </w:p>
        </w:tc>
        <w:tc>
          <w:tcPr>
            <w:tcW w:w="771" w:type="dxa"/>
            <w:tcBorders>
              <w:top w:val="nil"/>
              <w:left w:val="nil"/>
              <w:bottom w:val="nil"/>
              <w:right w:val="nil"/>
            </w:tcBorders>
            <w:shd w:val="clear" w:color="auto" w:fill="auto"/>
            <w:noWrap/>
            <w:vAlign w:val="bottom"/>
          </w:tcPr>
          <w:p w14:paraId="6546C66D" w14:textId="77777777" w:rsidR="00C171D4" w:rsidRPr="00C171D4" w:rsidRDefault="00C171D4" w:rsidP="00C171D4">
            <w:pPr>
              <w:jc w:val="right"/>
              <w:rPr>
                <w:sz w:val="18"/>
                <w:szCs w:val="18"/>
                <w:lang w:eastAsia="es-AR"/>
              </w:rPr>
            </w:pPr>
          </w:p>
        </w:tc>
        <w:tc>
          <w:tcPr>
            <w:tcW w:w="916" w:type="dxa"/>
            <w:tcBorders>
              <w:top w:val="nil"/>
              <w:left w:val="nil"/>
              <w:bottom w:val="nil"/>
              <w:right w:val="nil"/>
            </w:tcBorders>
            <w:shd w:val="clear" w:color="auto" w:fill="auto"/>
            <w:noWrap/>
            <w:vAlign w:val="bottom"/>
          </w:tcPr>
          <w:p w14:paraId="6737393C" w14:textId="77777777" w:rsidR="00C171D4" w:rsidRPr="00C171D4" w:rsidRDefault="00C171D4" w:rsidP="00C171D4">
            <w:pPr>
              <w:jc w:val="right"/>
              <w:rPr>
                <w:sz w:val="18"/>
                <w:szCs w:val="18"/>
                <w:lang w:eastAsia="es-AR"/>
              </w:rPr>
            </w:pPr>
          </w:p>
        </w:tc>
        <w:tc>
          <w:tcPr>
            <w:tcW w:w="1029" w:type="dxa"/>
            <w:tcBorders>
              <w:top w:val="nil"/>
              <w:left w:val="nil"/>
              <w:bottom w:val="nil"/>
              <w:right w:val="nil"/>
            </w:tcBorders>
            <w:shd w:val="clear" w:color="auto" w:fill="auto"/>
            <w:noWrap/>
            <w:vAlign w:val="bottom"/>
          </w:tcPr>
          <w:p w14:paraId="4C9B9361" w14:textId="77777777" w:rsidR="00C171D4" w:rsidRPr="00C171D4" w:rsidRDefault="00C171D4" w:rsidP="00C171D4">
            <w:pPr>
              <w:jc w:val="right"/>
              <w:rPr>
                <w:sz w:val="18"/>
                <w:szCs w:val="18"/>
                <w:lang w:eastAsia="es-AR"/>
              </w:rPr>
            </w:pPr>
          </w:p>
        </w:tc>
        <w:tc>
          <w:tcPr>
            <w:tcW w:w="1030" w:type="dxa"/>
            <w:tcBorders>
              <w:top w:val="nil"/>
              <w:left w:val="nil"/>
              <w:bottom w:val="nil"/>
              <w:right w:val="nil"/>
            </w:tcBorders>
            <w:shd w:val="clear" w:color="auto" w:fill="auto"/>
            <w:noWrap/>
            <w:vAlign w:val="bottom"/>
          </w:tcPr>
          <w:p w14:paraId="0771CF40" w14:textId="77777777" w:rsidR="00C171D4" w:rsidRPr="00C171D4" w:rsidRDefault="00C171D4" w:rsidP="00C171D4">
            <w:pPr>
              <w:jc w:val="right"/>
              <w:rPr>
                <w:sz w:val="18"/>
                <w:szCs w:val="18"/>
                <w:lang w:eastAsia="es-AR"/>
              </w:rPr>
            </w:pPr>
          </w:p>
        </w:tc>
        <w:tc>
          <w:tcPr>
            <w:tcW w:w="1041" w:type="dxa"/>
            <w:tcBorders>
              <w:top w:val="nil"/>
              <w:left w:val="nil"/>
              <w:bottom w:val="nil"/>
              <w:right w:val="nil"/>
            </w:tcBorders>
            <w:shd w:val="clear" w:color="auto" w:fill="auto"/>
            <w:noWrap/>
            <w:vAlign w:val="bottom"/>
          </w:tcPr>
          <w:p w14:paraId="34288A04" w14:textId="77777777" w:rsidR="00C171D4" w:rsidRPr="00C171D4" w:rsidRDefault="00C171D4" w:rsidP="00C171D4">
            <w:pPr>
              <w:jc w:val="right"/>
              <w:rPr>
                <w:sz w:val="18"/>
                <w:szCs w:val="18"/>
                <w:lang w:eastAsia="es-AR"/>
              </w:rPr>
            </w:pPr>
          </w:p>
        </w:tc>
      </w:tr>
      <w:tr w:rsidR="00C171D4" w:rsidRPr="00C171D4" w14:paraId="6C1D7FF7" w14:textId="77777777" w:rsidTr="00F94F68">
        <w:trPr>
          <w:trHeight w:val="255"/>
          <w:jc w:val="center"/>
        </w:trPr>
        <w:tc>
          <w:tcPr>
            <w:tcW w:w="2568" w:type="dxa"/>
            <w:tcBorders>
              <w:top w:val="nil"/>
              <w:left w:val="nil"/>
              <w:bottom w:val="nil"/>
              <w:right w:val="nil"/>
            </w:tcBorders>
            <w:shd w:val="clear" w:color="auto" w:fill="auto"/>
            <w:hideMark/>
          </w:tcPr>
          <w:p w14:paraId="4342C211" w14:textId="77777777" w:rsidR="00C171D4" w:rsidRPr="00C171D4" w:rsidRDefault="00C171D4" w:rsidP="00C171D4">
            <w:pPr>
              <w:rPr>
                <w:rFonts w:ascii="Arial" w:hAnsi="Arial" w:cs="Arial"/>
                <w:b/>
                <w:bCs/>
                <w:sz w:val="18"/>
                <w:szCs w:val="18"/>
                <w:lang w:eastAsia="es-AR"/>
              </w:rPr>
            </w:pPr>
            <w:r w:rsidRPr="00C171D4">
              <w:rPr>
                <w:rFonts w:ascii="Arial" w:hAnsi="Arial" w:cs="Arial"/>
                <w:b/>
                <w:bCs/>
                <w:sz w:val="18"/>
                <w:szCs w:val="18"/>
                <w:lang w:eastAsia="es-AR"/>
              </w:rPr>
              <w:t>TOTAL PROPIEDAD PLANTA Y EQUIPO</w:t>
            </w:r>
          </w:p>
        </w:tc>
        <w:tc>
          <w:tcPr>
            <w:tcW w:w="941" w:type="dxa"/>
            <w:tcBorders>
              <w:top w:val="single" w:sz="4" w:space="0" w:color="auto"/>
              <w:left w:val="nil"/>
              <w:bottom w:val="single" w:sz="4" w:space="0" w:color="auto"/>
              <w:right w:val="nil"/>
            </w:tcBorders>
            <w:shd w:val="clear" w:color="auto" w:fill="auto"/>
            <w:noWrap/>
            <w:vAlign w:val="bottom"/>
          </w:tcPr>
          <w:p w14:paraId="731BCEEE" w14:textId="4EA9515D" w:rsidR="00C171D4" w:rsidRPr="00C171D4" w:rsidRDefault="00C171D4" w:rsidP="00C171D4">
            <w:pPr>
              <w:jc w:val="right"/>
              <w:rPr>
                <w:rFonts w:ascii="Arial" w:hAnsi="Arial" w:cs="Arial"/>
                <w:b/>
                <w:sz w:val="18"/>
                <w:szCs w:val="18"/>
                <w:lang w:eastAsia="es-AR"/>
              </w:rPr>
            </w:pPr>
            <w:r w:rsidRPr="00C171D4">
              <w:rPr>
                <w:rFonts w:ascii="Arial" w:hAnsi="Arial" w:cs="Arial"/>
                <w:b/>
                <w:sz w:val="18"/>
                <w:szCs w:val="18"/>
              </w:rPr>
              <w:t>2.315.748</w:t>
            </w:r>
          </w:p>
        </w:tc>
        <w:tc>
          <w:tcPr>
            <w:tcW w:w="921" w:type="dxa"/>
            <w:tcBorders>
              <w:top w:val="single" w:sz="4" w:space="0" w:color="auto"/>
              <w:left w:val="nil"/>
              <w:bottom w:val="single" w:sz="4" w:space="0" w:color="auto"/>
              <w:right w:val="nil"/>
            </w:tcBorders>
            <w:shd w:val="clear" w:color="auto" w:fill="auto"/>
            <w:noWrap/>
            <w:vAlign w:val="bottom"/>
          </w:tcPr>
          <w:p w14:paraId="0CDE689D" w14:textId="77777777" w:rsidR="00C171D4" w:rsidRPr="00C171D4" w:rsidRDefault="00C171D4" w:rsidP="00C171D4">
            <w:pPr>
              <w:jc w:val="right"/>
              <w:rPr>
                <w:rFonts w:ascii="Arial" w:hAnsi="Arial" w:cs="Arial"/>
                <w:b/>
                <w:bCs/>
                <w:sz w:val="18"/>
                <w:szCs w:val="18"/>
                <w:lang w:eastAsia="es-AR"/>
              </w:rPr>
            </w:pPr>
          </w:p>
        </w:tc>
        <w:tc>
          <w:tcPr>
            <w:tcW w:w="1111" w:type="dxa"/>
            <w:tcBorders>
              <w:top w:val="single" w:sz="4" w:space="0" w:color="auto"/>
              <w:left w:val="nil"/>
              <w:bottom w:val="single" w:sz="4" w:space="0" w:color="auto"/>
              <w:right w:val="nil"/>
            </w:tcBorders>
            <w:shd w:val="clear" w:color="auto" w:fill="auto"/>
            <w:noWrap/>
            <w:vAlign w:val="bottom"/>
          </w:tcPr>
          <w:p w14:paraId="4B601518" w14:textId="7EFAC9BA" w:rsidR="00C171D4" w:rsidRPr="00C171D4" w:rsidRDefault="00C171D4" w:rsidP="00C171D4">
            <w:pPr>
              <w:jc w:val="right"/>
              <w:rPr>
                <w:rFonts w:ascii="Arial" w:hAnsi="Arial" w:cs="Arial"/>
                <w:b/>
                <w:bCs/>
                <w:sz w:val="18"/>
                <w:szCs w:val="18"/>
                <w:lang w:eastAsia="es-AR"/>
              </w:rPr>
            </w:pPr>
            <w:r w:rsidRPr="00C171D4">
              <w:rPr>
                <w:rFonts w:ascii="Arial" w:hAnsi="Arial" w:cs="Arial"/>
                <w:b/>
                <w:sz w:val="18"/>
                <w:szCs w:val="18"/>
              </w:rPr>
              <w:t>585.993</w:t>
            </w:r>
          </w:p>
        </w:tc>
        <w:tc>
          <w:tcPr>
            <w:tcW w:w="1221" w:type="dxa"/>
            <w:tcBorders>
              <w:top w:val="single" w:sz="4" w:space="0" w:color="auto"/>
              <w:left w:val="nil"/>
              <w:bottom w:val="single" w:sz="4" w:space="0" w:color="auto"/>
              <w:right w:val="nil"/>
            </w:tcBorders>
            <w:vAlign w:val="bottom"/>
          </w:tcPr>
          <w:p w14:paraId="041F2D09" w14:textId="7619E3DF" w:rsidR="00C171D4" w:rsidRPr="00C171D4" w:rsidRDefault="00C171D4" w:rsidP="00C171D4">
            <w:pPr>
              <w:jc w:val="right"/>
              <w:rPr>
                <w:rFonts w:ascii="Arial" w:hAnsi="Arial" w:cs="Arial"/>
                <w:b/>
                <w:bCs/>
                <w:sz w:val="18"/>
                <w:szCs w:val="18"/>
                <w:lang w:eastAsia="es-AR"/>
              </w:rPr>
            </w:pPr>
            <w:r w:rsidRPr="00C171D4">
              <w:rPr>
                <w:rFonts w:ascii="Arial" w:hAnsi="Arial" w:cs="Arial"/>
                <w:b/>
                <w:sz w:val="18"/>
                <w:szCs w:val="18"/>
              </w:rPr>
              <w:t>-11.498</w:t>
            </w:r>
          </w:p>
        </w:tc>
        <w:tc>
          <w:tcPr>
            <w:tcW w:w="960" w:type="dxa"/>
            <w:tcBorders>
              <w:top w:val="single" w:sz="4" w:space="0" w:color="auto"/>
              <w:left w:val="nil"/>
              <w:bottom w:val="single" w:sz="4" w:space="0" w:color="auto"/>
              <w:right w:val="nil"/>
            </w:tcBorders>
            <w:shd w:val="clear" w:color="auto" w:fill="auto"/>
            <w:noWrap/>
            <w:vAlign w:val="bottom"/>
          </w:tcPr>
          <w:p w14:paraId="40160D30" w14:textId="422AEE70" w:rsidR="00C171D4" w:rsidRPr="00C171D4" w:rsidRDefault="00F94F68" w:rsidP="00C171D4">
            <w:pPr>
              <w:jc w:val="right"/>
              <w:rPr>
                <w:rFonts w:ascii="Arial" w:hAnsi="Arial" w:cs="Arial"/>
                <w:b/>
                <w:bCs/>
                <w:sz w:val="18"/>
                <w:szCs w:val="18"/>
                <w:lang w:eastAsia="es-AR"/>
              </w:rPr>
            </w:pPr>
            <w:r>
              <w:rPr>
                <w:rFonts w:ascii="Arial" w:hAnsi="Arial" w:cs="Arial"/>
                <w:b/>
                <w:bCs/>
                <w:sz w:val="18"/>
                <w:szCs w:val="18"/>
              </w:rPr>
              <w:t>1.</w:t>
            </w:r>
            <w:r w:rsidR="00301D37">
              <w:rPr>
                <w:rFonts w:ascii="Arial" w:hAnsi="Arial" w:cs="Arial"/>
                <w:b/>
                <w:bCs/>
                <w:sz w:val="18"/>
                <w:szCs w:val="18"/>
              </w:rPr>
              <w:t>232</w:t>
            </w:r>
            <w:r>
              <w:rPr>
                <w:rFonts w:ascii="Arial" w:hAnsi="Arial" w:cs="Arial"/>
                <w:b/>
                <w:bCs/>
                <w:sz w:val="18"/>
                <w:szCs w:val="18"/>
              </w:rPr>
              <w:t>.75</w:t>
            </w:r>
            <w:r w:rsidR="00301D37">
              <w:rPr>
                <w:rFonts w:ascii="Arial" w:hAnsi="Arial" w:cs="Arial"/>
                <w:b/>
                <w:bCs/>
                <w:sz w:val="18"/>
                <w:szCs w:val="18"/>
              </w:rPr>
              <w:t>2</w:t>
            </w:r>
          </w:p>
        </w:tc>
        <w:tc>
          <w:tcPr>
            <w:tcW w:w="901" w:type="dxa"/>
            <w:tcBorders>
              <w:top w:val="single" w:sz="4" w:space="0" w:color="auto"/>
              <w:left w:val="nil"/>
              <w:bottom w:val="single" w:sz="4" w:space="0" w:color="auto"/>
              <w:right w:val="nil"/>
            </w:tcBorders>
            <w:shd w:val="clear" w:color="auto" w:fill="auto"/>
            <w:noWrap/>
            <w:vAlign w:val="bottom"/>
          </w:tcPr>
          <w:p w14:paraId="2904D19E" w14:textId="30AB9FE3" w:rsidR="00C171D4" w:rsidRPr="00C171D4" w:rsidRDefault="00C171D4" w:rsidP="00C171D4">
            <w:pPr>
              <w:jc w:val="right"/>
              <w:rPr>
                <w:rFonts w:ascii="Arial" w:hAnsi="Arial" w:cs="Arial"/>
                <w:b/>
                <w:sz w:val="18"/>
                <w:szCs w:val="18"/>
                <w:lang w:eastAsia="es-AR"/>
              </w:rPr>
            </w:pPr>
            <w:r w:rsidRPr="00C171D4">
              <w:rPr>
                <w:rFonts w:ascii="Arial" w:hAnsi="Arial" w:cs="Arial"/>
                <w:b/>
                <w:sz w:val="18"/>
                <w:szCs w:val="18"/>
              </w:rPr>
              <w:t>-123.873</w:t>
            </w:r>
          </w:p>
        </w:tc>
        <w:tc>
          <w:tcPr>
            <w:tcW w:w="1111" w:type="dxa"/>
            <w:tcBorders>
              <w:top w:val="single" w:sz="4" w:space="0" w:color="auto"/>
              <w:left w:val="nil"/>
              <w:bottom w:val="single" w:sz="4" w:space="0" w:color="auto"/>
              <w:right w:val="nil"/>
            </w:tcBorders>
            <w:shd w:val="clear" w:color="auto" w:fill="auto"/>
            <w:noWrap/>
            <w:vAlign w:val="bottom"/>
          </w:tcPr>
          <w:p w14:paraId="38EA5272" w14:textId="5D45AD9C" w:rsidR="00C171D4" w:rsidRPr="00C171D4" w:rsidRDefault="00C171D4" w:rsidP="00C171D4">
            <w:pPr>
              <w:jc w:val="right"/>
              <w:rPr>
                <w:rFonts w:ascii="Arial" w:hAnsi="Arial" w:cs="Arial"/>
                <w:b/>
                <w:bCs/>
                <w:sz w:val="18"/>
                <w:szCs w:val="18"/>
                <w:lang w:eastAsia="es-AR"/>
              </w:rPr>
            </w:pPr>
            <w:r w:rsidRPr="00C171D4">
              <w:rPr>
                <w:rFonts w:ascii="Arial" w:hAnsi="Arial" w:cs="Arial"/>
                <w:b/>
                <w:sz w:val="18"/>
                <w:szCs w:val="18"/>
              </w:rPr>
              <w:t>-586.570</w:t>
            </w:r>
          </w:p>
        </w:tc>
        <w:tc>
          <w:tcPr>
            <w:tcW w:w="771" w:type="dxa"/>
            <w:tcBorders>
              <w:top w:val="single" w:sz="4" w:space="0" w:color="auto"/>
              <w:left w:val="nil"/>
              <w:bottom w:val="single" w:sz="4" w:space="0" w:color="auto"/>
              <w:right w:val="nil"/>
            </w:tcBorders>
            <w:shd w:val="clear" w:color="auto" w:fill="auto"/>
            <w:noWrap/>
            <w:vAlign w:val="bottom"/>
          </w:tcPr>
          <w:p w14:paraId="1069B429" w14:textId="670A289E" w:rsidR="00C171D4" w:rsidRPr="00C171D4" w:rsidRDefault="00C171D4" w:rsidP="00C171D4">
            <w:pPr>
              <w:jc w:val="right"/>
              <w:rPr>
                <w:rFonts w:ascii="Arial" w:hAnsi="Arial" w:cs="Arial"/>
                <w:b/>
                <w:bCs/>
                <w:sz w:val="18"/>
                <w:szCs w:val="18"/>
                <w:lang w:eastAsia="es-AR"/>
              </w:rPr>
            </w:pPr>
            <w:r w:rsidRPr="00C171D4">
              <w:rPr>
                <w:rFonts w:ascii="Arial" w:hAnsi="Arial" w:cs="Arial"/>
                <w:b/>
                <w:sz w:val="18"/>
                <w:szCs w:val="18"/>
              </w:rPr>
              <w:t>6.</w:t>
            </w:r>
            <w:r w:rsidR="00F94F68">
              <w:rPr>
                <w:rFonts w:ascii="Arial" w:hAnsi="Arial" w:cs="Arial"/>
                <w:b/>
                <w:sz w:val="18"/>
                <w:szCs w:val="18"/>
              </w:rPr>
              <w:t>574</w:t>
            </w:r>
          </w:p>
        </w:tc>
        <w:tc>
          <w:tcPr>
            <w:tcW w:w="916" w:type="dxa"/>
            <w:tcBorders>
              <w:top w:val="single" w:sz="4" w:space="0" w:color="auto"/>
              <w:left w:val="nil"/>
              <w:bottom w:val="single" w:sz="4" w:space="0" w:color="auto"/>
              <w:right w:val="nil"/>
            </w:tcBorders>
            <w:shd w:val="clear" w:color="auto" w:fill="auto"/>
            <w:noWrap/>
            <w:vAlign w:val="bottom"/>
          </w:tcPr>
          <w:p w14:paraId="42314D14" w14:textId="13E872DF" w:rsidR="00C171D4" w:rsidRPr="00C171D4" w:rsidRDefault="00C171D4" w:rsidP="00C171D4">
            <w:pPr>
              <w:jc w:val="right"/>
              <w:rPr>
                <w:rFonts w:ascii="Arial" w:hAnsi="Arial" w:cs="Arial"/>
                <w:b/>
                <w:bCs/>
                <w:sz w:val="18"/>
                <w:szCs w:val="18"/>
                <w:lang w:eastAsia="es-AR"/>
              </w:rPr>
            </w:pPr>
            <w:r w:rsidRPr="00C171D4">
              <w:rPr>
                <w:rFonts w:ascii="Arial" w:hAnsi="Arial" w:cs="Arial"/>
                <w:b/>
                <w:sz w:val="18"/>
                <w:szCs w:val="18"/>
              </w:rPr>
              <w:t>-</w:t>
            </w:r>
            <w:r w:rsidR="00F94F68">
              <w:rPr>
                <w:rFonts w:ascii="Arial" w:hAnsi="Arial" w:cs="Arial"/>
                <w:b/>
                <w:sz w:val="18"/>
                <w:szCs w:val="18"/>
              </w:rPr>
              <w:t>5</w:t>
            </w:r>
            <w:r w:rsidR="00906881">
              <w:rPr>
                <w:rFonts w:ascii="Arial" w:hAnsi="Arial" w:cs="Arial"/>
                <w:b/>
                <w:sz w:val="18"/>
                <w:szCs w:val="18"/>
              </w:rPr>
              <w:t>52</w:t>
            </w:r>
            <w:r w:rsidR="00F94F68">
              <w:rPr>
                <w:rFonts w:ascii="Arial" w:hAnsi="Arial" w:cs="Arial"/>
                <w:b/>
                <w:sz w:val="18"/>
                <w:szCs w:val="18"/>
              </w:rPr>
              <w:t>.</w:t>
            </w:r>
            <w:r w:rsidR="00906881">
              <w:rPr>
                <w:rFonts w:ascii="Arial" w:hAnsi="Arial" w:cs="Arial"/>
                <w:b/>
                <w:sz w:val="18"/>
                <w:szCs w:val="18"/>
              </w:rPr>
              <w:t>906</w:t>
            </w:r>
          </w:p>
        </w:tc>
        <w:tc>
          <w:tcPr>
            <w:tcW w:w="1029" w:type="dxa"/>
            <w:tcBorders>
              <w:top w:val="single" w:sz="4" w:space="0" w:color="auto"/>
              <w:left w:val="nil"/>
              <w:bottom w:val="single" w:sz="4" w:space="0" w:color="auto"/>
              <w:right w:val="nil"/>
            </w:tcBorders>
            <w:shd w:val="clear" w:color="auto" w:fill="auto"/>
            <w:noWrap/>
            <w:vAlign w:val="bottom"/>
          </w:tcPr>
          <w:p w14:paraId="7866DD57" w14:textId="0B84BED6" w:rsidR="00C171D4" w:rsidRPr="00C171D4" w:rsidRDefault="00C171D4" w:rsidP="00C171D4">
            <w:pPr>
              <w:jc w:val="right"/>
              <w:rPr>
                <w:rFonts w:ascii="Arial" w:hAnsi="Arial" w:cs="Arial"/>
                <w:b/>
                <w:bCs/>
                <w:sz w:val="18"/>
                <w:szCs w:val="18"/>
                <w:lang w:eastAsia="es-AR"/>
              </w:rPr>
            </w:pPr>
            <w:r w:rsidRPr="00C171D4">
              <w:rPr>
                <w:rFonts w:ascii="Arial" w:hAnsi="Arial" w:cs="Arial"/>
                <w:b/>
                <w:sz w:val="18"/>
                <w:szCs w:val="18"/>
              </w:rPr>
              <w:t>-</w:t>
            </w:r>
            <w:r w:rsidR="00F94F68">
              <w:rPr>
                <w:rFonts w:ascii="Arial" w:hAnsi="Arial" w:cs="Arial"/>
                <w:b/>
                <w:sz w:val="18"/>
                <w:szCs w:val="18"/>
              </w:rPr>
              <w:t>1.1</w:t>
            </w:r>
            <w:r w:rsidR="00906881">
              <w:rPr>
                <w:rFonts w:ascii="Arial" w:hAnsi="Arial" w:cs="Arial"/>
                <w:b/>
                <w:sz w:val="18"/>
                <w:szCs w:val="18"/>
              </w:rPr>
              <w:t>32</w:t>
            </w:r>
            <w:r w:rsidR="00F94F68">
              <w:rPr>
                <w:rFonts w:ascii="Arial" w:hAnsi="Arial" w:cs="Arial"/>
                <w:b/>
                <w:sz w:val="18"/>
                <w:szCs w:val="18"/>
              </w:rPr>
              <w:t>.</w:t>
            </w:r>
            <w:r w:rsidR="00906881">
              <w:rPr>
                <w:rFonts w:ascii="Arial" w:hAnsi="Arial" w:cs="Arial"/>
                <w:b/>
                <w:sz w:val="18"/>
                <w:szCs w:val="18"/>
              </w:rPr>
              <w:t>902</w:t>
            </w:r>
          </w:p>
        </w:tc>
        <w:tc>
          <w:tcPr>
            <w:tcW w:w="1030" w:type="dxa"/>
            <w:tcBorders>
              <w:top w:val="single" w:sz="4" w:space="0" w:color="auto"/>
              <w:left w:val="nil"/>
              <w:bottom w:val="single" w:sz="4" w:space="0" w:color="auto"/>
              <w:right w:val="nil"/>
            </w:tcBorders>
            <w:shd w:val="clear" w:color="auto" w:fill="auto"/>
            <w:noWrap/>
            <w:vAlign w:val="bottom"/>
          </w:tcPr>
          <w:p w14:paraId="1D465416" w14:textId="700FB2BE" w:rsidR="00C171D4" w:rsidRPr="00C171D4" w:rsidRDefault="00C171D4" w:rsidP="00C171D4">
            <w:pPr>
              <w:jc w:val="right"/>
              <w:rPr>
                <w:rFonts w:ascii="Arial" w:hAnsi="Arial" w:cs="Arial"/>
                <w:b/>
                <w:bCs/>
                <w:sz w:val="18"/>
                <w:szCs w:val="18"/>
                <w:lang w:eastAsia="es-AR"/>
              </w:rPr>
            </w:pPr>
            <w:r w:rsidRPr="00C171D4">
              <w:rPr>
                <w:rFonts w:ascii="Arial" w:hAnsi="Arial" w:cs="Arial"/>
                <w:b/>
                <w:sz w:val="18"/>
                <w:szCs w:val="18"/>
              </w:rPr>
              <w:t>2.</w:t>
            </w:r>
            <w:r w:rsidR="00F94F68">
              <w:rPr>
                <w:rFonts w:ascii="Arial" w:hAnsi="Arial" w:cs="Arial"/>
                <w:b/>
                <w:sz w:val="18"/>
                <w:szCs w:val="18"/>
              </w:rPr>
              <w:t>8</w:t>
            </w:r>
            <w:r w:rsidR="00906881">
              <w:rPr>
                <w:rFonts w:ascii="Arial" w:hAnsi="Arial" w:cs="Arial"/>
                <w:b/>
                <w:sz w:val="18"/>
                <w:szCs w:val="18"/>
              </w:rPr>
              <w:t>66</w:t>
            </w:r>
            <w:r w:rsidR="00F94F68">
              <w:rPr>
                <w:rFonts w:ascii="Arial" w:hAnsi="Arial" w:cs="Arial"/>
                <w:b/>
                <w:sz w:val="18"/>
                <w:szCs w:val="18"/>
              </w:rPr>
              <w:t>.</w:t>
            </w:r>
            <w:r w:rsidR="00906881">
              <w:rPr>
                <w:rFonts w:ascii="Arial" w:hAnsi="Arial" w:cs="Arial"/>
                <w:b/>
                <w:sz w:val="18"/>
                <w:szCs w:val="18"/>
              </w:rPr>
              <w:t>220</w:t>
            </w:r>
          </w:p>
        </w:tc>
        <w:tc>
          <w:tcPr>
            <w:tcW w:w="1041" w:type="dxa"/>
            <w:tcBorders>
              <w:top w:val="single" w:sz="4" w:space="0" w:color="auto"/>
              <w:left w:val="nil"/>
              <w:bottom w:val="single" w:sz="4" w:space="0" w:color="auto"/>
              <w:right w:val="nil"/>
            </w:tcBorders>
            <w:shd w:val="clear" w:color="auto" w:fill="auto"/>
            <w:noWrap/>
            <w:vAlign w:val="bottom"/>
          </w:tcPr>
          <w:p w14:paraId="2E147EAD" w14:textId="4E124BE0" w:rsidR="00C171D4" w:rsidRPr="00C171D4" w:rsidRDefault="00C171D4" w:rsidP="00C171D4">
            <w:pPr>
              <w:jc w:val="right"/>
              <w:rPr>
                <w:rFonts w:ascii="Arial" w:hAnsi="Arial" w:cs="Arial"/>
                <w:b/>
                <w:bCs/>
                <w:sz w:val="18"/>
                <w:szCs w:val="18"/>
                <w:lang w:eastAsia="es-AR"/>
              </w:rPr>
            </w:pPr>
            <w:r w:rsidRPr="00C171D4">
              <w:rPr>
                <w:rFonts w:ascii="Arial" w:hAnsi="Arial" w:cs="Arial"/>
                <w:b/>
                <w:sz w:val="18"/>
                <w:szCs w:val="18"/>
              </w:rPr>
              <w:t>1.729.178</w:t>
            </w:r>
          </w:p>
        </w:tc>
      </w:tr>
    </w:tbl>
    <w:p w14:paraId="6A10614E" w14:textId="713088AA" w:rsidR="004A148C" w:rsidRDefault="004A148C" w:rsidP="00276790">
      <w:pPr>
        <w:rPr>
          <w:sz w:val="20"/>
          <w:lang w:eastAsia="es-AR"/>
        </w:rPr>
      </w:pPr>
    </w:p>
    <w:p w14:paraId="6DF7CE1A" w14:textId="1710146E" w:rsidR="004A148C" w:rsidRDefault="004A148C">
      <w:pPr>
        <w:rPr>
          <w:sz w:val="20"/>
          <w:lang w:eastAsia="es-AR"/>
        </w:rPr>
      </w:pPr>
    </w:p>
    <w:tbl>
      <w:tblPr>
        <w:tblW w:w="13120" w:type="dxa"/>
        <w:tblInd w:w="75" w:type="dxa"/>
        <w:tblCellMar>
          <w:left w:w="70" w:type="dxa"/>
          <w:right w:w="70" w:type="dxa"/>
        </w:tblCellMar>
        <w:tblLook w:val="04A0" w:firstRow="1" w:lastRow="0" w:firstColumn="1" w:lastColumn="0" w:noHBand="0" w:noVBand="1"/>
      </w:tblPr>
      <w:tblGrid>
        <w:gridCol w:w="2160"/>
        <w:gridCol w:w="3300"/>
        <w:gridCol w:w="1520"/>
        <w:gridCol w:w="1620"/>
        <w:gridCol w:w="1620"/>
        <w:gridCol w:w="1620"/>
        <w:gridCol w:w="1280"/>
      </w:tblGrid>
      <w:tr w:rsidR="004A148C" w:rsidRPr="00FC5122" w14:paraId="284E11BD" w14:textId="77777777" w:rsidTr="004A148C">
        <w:trPr>
          <w:trHeight w:val="450"/>
        </w:trPr>
        <w:tc>
          <w:tcPr>
            <w:tcW w:w="2160" w:type="dxa"/>
            <w:tcBorders>
              <w:top w:val="single" w:sz="4" w:space="0" w:color="363639"/>
              <w:left w:val="single" w:sz="4" w:space="0" w:color="363639"/>
              <w:bottom w:val="nil"/>
              <w:right w:val="single" w:sz="4" w:space="0" w:color="363639"/>
            </w:tcBorders>
            <w:shd w:val="clear" w:color="auto" w:fill="BFBFBF" w:themeFill="background1" w:themeFillShade="BF"/>
            <w:noWrap/>
            <w:vAlign w:val="bottom"/>
            <w:hideMark/>
          </w:tcPr>
          <w:p w14:paraId="167CEF7F" w14:textId="77777777" w:rsidR="004A148C" w:rsidRPr="00FC5122" w:rsidRDefault="004A148C" w:rsidP="00572B51">
            <w:pPr>
              <w:jc w:val="center"/>
              <w:rPr>
                <w:rFonts w:ascii="Arial" w:hAnsi="Arial" w:cs="Arial"/>
                <w:b/>
                <w:bCs/>
                <w:sz w:val="20"/>
                <w:lang w:eastAsia="es-AR"/>
              </w:rPr>
            </w:pPr>
            <w:r w:rsidRPr="00FC5122">
              <w:rPr>
                <w:rFonts w:ascii="Arial" w:hAnsi="Arial" w:cs="Arial"/>
                <w:b/>
                <w:bCs/>
                <w:sz w:val="20"/>
                <w:lang w:eastAsia="es-AR"/>
              </w:rPr>
              <w:t>Detalle de Clases</w:t>
            </w:r>
          </w:p>
        </w:tc>
        <w:tc>
          <w:tcPr>
            <w:tcW w:w="3300" w:type="dxa"/>
            <w:tcBorders>
              <w:top w:val="single" w:sz="4" w:space="0" w:color="363639"/>
              <w:left w:val="nil"/>
              <w:bottom w:val="nil"/>
              <w:right w:val="single" w:sz="4" w:space="0" w:color="363639"/>
            </w:tcBorders>
            <w:shd w:val="clear" w:color="auto" w:fill="BFBFBF" w:themeFill="background1" w:themeFillShade="BF"/>
            <w:noWrap/>
            <w:vAlign w:val="bottom"/>
            <w:hideMark/>
          </w:tcPr>
          <w:p w14:paraId="51FCA624" w14:textId="77777777" w:rsidR="004A148C" w:rsidRPr="00FC5122" w:rsidRDefault="004A148C" w:rsidP="00572B51">
            <w:pPr>
              <w:jc w:val="center"/>
              <w:rPr>
                <w:rFonts w:ascii="Arial" w:hAnsi="Arial" w:cs="Arial"/>
                <w:b/>
                <w:bCs/>
                <w:sz w:val="20"/>
                <w:lang w:eastAsia="es-AR"/>
              </w:rPr>
            </w:pPr>
            <w:r w:rsidRPr="00FC5122">
              <w:rPr>
                <w:rFonts w:ascii="Arial" w:hAnsi="Arial" w:cs="Arial"/>
                <w:b/>
                <w:bCs/>
                <w:sz w:val="20"/>
                <w:lang w:eastAsia="es-AR"/>
              </w:rPr>
              <w:t>Tasador</w:t>
            </w:r>
          </w:p>
        </w:tc>
        <w:tc>
          <w:tcPr>
            <w:tcW w:w="1520"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647E8619" w14:textId="77777777" w:rsidR="004A148C" w:rsidRPr="00FC5122" w:rsidRDefault="004A148C" w:rsidP="00572B51">
            <w:pPr>
              <w:jc w:val="center"/>
              <w:rPr>
                <w:rFonts w:ascii="Arial" w:hAnsi="Arial" w:cs="Arial"/>
                <w:b/>
                <w:bCs/>
                <w:sz w:val="20"/>
                <w:lang w:eastAsia="es-AR"/>
              </w:rPr>
            </w:pPr>
            <w:r w:rsidRPr="00FC5122">
              <w:rPr>
                <w:rFonts w:ascii="Arial" w:hAnsi="Arial" w:cs="Arial"/>
                <w:b/>
                <w:bCs/>
                <w:sz w:val="20"/>
                <w:lang w:eastAsia="es-AR"/>
              </w:rPr>
              <w:t>Fecha de Revaluación</w:t>
            </w:r>
          </w:p>
        </w:tc>
        <w:tc>
          <w:tcPr>
            <w:tcW w:w="4860" w:type="dxa"/>
            <w:gridSpan w:val="3"/>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64EB50CF" w14:textId="77777777" w:rsidR="004A148C" w:rsidRPr="00FC5122" w:rsidRDefault="004A148C" w:rsidP="00572B51">
            <w:pPr>
              <w:jc w:val="center"/>
              <w:rPr>
                <w:rFonts w:ascii="Arial" w:hAnsi="Arial" w:cs="Arial"/>
                <w:b/>
                <w:bCs/>
                <w:sz w:val="20"/>
                <w:lang w:eastAsia="es-AR"/>
              </w:rPr>
            </w:pPr>
            <w:r w:rsidRPr="00FC5122">
              <w:rPr>
                <w:rFonts w:ascii="Arial" w:hAnsi="Arial" w:cs="Arial"/>
                <w:b/>
                <w:bCs/>
                <w:sz w:val="20"/>
                <w:lang w:eastAsia="es-AR"/>
              </w:rPr>
              <w:t>Ajuste por Revaluación - ORI acumulado</w:t>
            </w:r>
          </w:p>
        </w:tc>
        <w:tc>
          <w:tcPr>
            <w:tcW w:w="1280" w:type="dxa"/>
            <w:vMerge w:val="restart"/>
            <w:tcBorders>
              <w:top w:val="single" w:sz="4" w:space="0" w:color="363639"/>
              <w:left w:val="single" w:sz="4" w:space="0" w:color="363639"/>
              <w:bottom w:val="nil"/>
              <w:right w:val="single" w:sz="4" w:space="0" w:color="363639"/>
            </w:tcBorders>
            <w:shd w:val="clear" w:color="auto" w:fill="BFBFBF" w:themeFill="background1" w:themeFillShade="BF"/>
            <w:hideMark/>
          </w:tcPr>
          <w:p w14:paraId="32880C56" w14:textId="77777777" w:rsidR="004A148C" w:rsidRPr="00FC5122" w:rsidRDefault="004A148C" w:rsidP="00572B51">
            <w:pPr>
              <w:jc w:val="center"/>
              <w:rPr>
                <w:rFonts w:ascii="Arial" w:hAnsi="Arial" w:cs="Arial"/>
                <w:b/>
                <w:bCs/>
                <w:sz w:val="20"/>
                <w:lang w:eastAsia="es-AR"/>
              </w:rPr>
            </w:pPr>
            <w:r w:rsidRPr="00FC5122">
              <w:rPr>
                <w:rFonts w:ascii="Arial" w:hAnsi="Arial" w:cs="Arial"/>
                <w:b/>
                <w:bCs/>
                <w:sz w:val="20"/>
                <w:lang w:eastAsia="es-AR"/>
              </w:rPr>
              <w:t>Importe en libros s/ Modelo de costo</w:t>
            </w:r>
          </w:p>
        </w:tc>
      </w:tr>
      <w:tr w:rsidR="004A148C" w:rsidRPr="00FC5122" w14:paraId="1C0F4A72" w14:textId="77777777" w:rsidTr="004A148C">
        <w:trPr>
          <w:trHeight w:val="615"/>
        </w:trPr>
        <w:tc>
          <w:tcPr>
            <w:tcW w:w="2160" w:type="dxa"/>
            <w:tcBorders>
              <w:top w:val="nil"/>
              <w:left w:val="single" w:sz="4" w:space="0" w:color="363639"/>
              <w:bottom w:val="single" w:sz="4" w:space="0" w:color="auto"/>
              <w:right w:val="single" w:sz="4" w:space="0" w:color="363639"/>
            </w:tcBorders>
            <w:shd w:val="clear" w:color="auto" w:fill="BFBFBF" w:themeFill="background1" w:themeFillShade="BF"/>
            <w:noWrap/>
            <w:vAlign w:val="bottom"/>
            <w:hideMark/>
          </w:tcPr>
          <w:p w14:paraId="560B58F9" w14:textId="77777777" w:rsidR="004A148C" w:rsidRPr="00FC5122" w:rsidRDefault="004A148C" w:rsidP="00572B51">
            <w:pPr>
              <w:jc w:val="center"/>
              <w:rPr>
                <w:rFonts w:ascii="Arial" w:hAnsi="Arial" w:cs="Arial"/>
                <w:b/>
                <w:bCs/>
                <w:sz w:val="20"/>
                <w:lang w:eastAsia="es-AR"/>
              </w:rPr>
            </w:pPr>
            <w:r w:rsidRPr="00FC5122">
              <w:rPr>
                <w:rFonts w:ascii="Arial" w:hAnsi="Arial" w:cs="Arial"/>
                <w:b/>
                <w:bCs/>
                <w:sz w:val="20"/>
                <w:lang w:eastAsia="es-AR"/>
              </w:rPr>
              <w:t> </w:t>
            </w:r>
          </w:p>
        </w:tc>
        <w:tc>
          <w:tcPr>
            <w:tcW w:w="3300" w:type="dxa"/>
            <w:tcBorders>
              <w:top w:val="nil"/>
              <w:left w:val="nil"/>
              <w:bottom w:val="single" w:sz="4" w:space="0" w:color="auto"/>
              <w:right w:val="single" w:sz="4" w:space="0" w:color="363639"/>
            </w:tcBorders>
            <w:shd w:val="clear" w:color="auto" w:fill="BFBFBF" w:themeFill="background1" w:themeFillShade="BF"/>
            <w:noWrap/>
            <w:vAlign w:val="bottom"/>
            <w:hideMark/>
          </w:tcPr>
          <w:p w14:paraId="0C613615" w14:textId="77777777" w:rsidR="004A148C" w:rsidRPr="00FC5122" w:rsidRDefault="004A148C" w:rsidP="00572B51">
            <w:pPr>
              <w:rPr>
                <w:rFonts w:ascii="Arial" w:hAnsi="Arial" w:cs="Arial"/>
                <w:b/>
                <w:bCs/>
                <w:sz w:val="20"/>
                <w:lang w:eastAsia="es-AR"/>
              </w:rPr>
            </w:pPr>
            <w:r w:rsidRPr="00FC5122">
              <w:rPr>
                <w:rFonts w:ascii="Arial" w:hAnsi="Arial" w:cs="Arial"/>
                <w:b/>
                <w:bCs/>
                <w:sz w:val="20"/>
                <w:lang w:eastAsia="es-AR"/>
              </w:rPr>
              <w:t> </w:t>
            </w:r>
          </w:p>
        </w:tc>
        <w:tc>
          <w:tcPr>
            <w:tcW w:w="1520" w:type="dxa"/>
            <w:vMerge/>
            <w:tcBorders>
              <w:top w:val="single" w:sz="4" w:space="0" w:color="363639"/>
              <w:left w:val="single" w:sz="4" w:space="0" w:color="363639"/>
              <w:bottom w:val="single" w:sz="4" w:space="0" w:color="auto"/>
              <w:right w:val="single" w:sz="4" w:space="0" w:color="363639"/>
            </w:tcBorders>
            <w:shd w:val="clear" w:color="auto" w:fill="BFBFBF" w:themeFill="background1" w:themeFillShade="BF"/>
            <w:vAlign w:val="center"/>
            <w:hideMark/>
          </w:tcPr>
          <w:p w14:paraId="08646D25" w14:textId="77777777" w:rsidR="004A148C" w:rsidRPr="00FC5122" w:rsidRDefault="004A148C" w:rsidP="00572B51">
            <w:pPr>
              <w:rPr>
                <w:rFonts w:ascii="Arial" w:hAnsi="Arial" w:cs="Arial"/>
                <w:b/>
                <w:bCs/>
                <w:sz w:val="20"/>
                <w:lang w:eastAsia="es-AR"/>
              </w:rPr>
            </w:pPr>
          </w:p>
        </w:tc>
        <w:tc>
          <w:tcPr>
            <w:tcW w:w="1620" w:type="dxa"/>
            <w:tcBorders>
              <w:top w:val="nil"/>
              <w:left w:val="nil"/>
              <w:bottom w:val="single" w:sz="4" w:space="0" w:color="auto"/>
              <w:right w:val="single" w:sz="4" w:space="0" w:color="363639"/>
            </w:tcBorders>
            <w:shd w:val="clear" w:color="auto" w:fill="BFBFBF" w:themeFill="background1" w:themeFillShade="BF"/>
            <w:hideMark/>
          </w:tcPr>
          <w:p w14:paraId="0FBBC9AF" w14:textId="77777777" w:rsidR="004A148C" w:rsidRPr="00FC5122" w:rsidRDefault="004A148C" w:rsidP="00572B51">
            <w:pPr>
              <w:jc w:val="center"/>
              <w:rPr>
                <w:rFonts w:ascii="Arial" w:hAnsi="Arial" w:cs="Arial"/>
                <w:b/>
                <w:bCs/>
                <w:sz w:val="20"/>
                <w:lang w:eastAsia="es-AR"/>
              </w:rPr>
            </w:pPr>
            <w:r w:rsidRPr="00FC5122">
              <w:rPr>
                <w:rFonts w:ascii="Arial" w:hAnsi="Arial" w:cs="Arial"/>
                <w:b/>
                <w:bCs/>
                <w:sz w:val="20"/>
                <w:lang w:eastAsia="es-AR"/>
              </w:rPr>
              <w:t>Saldo al inicio del ejercicio</w:t>
            </w:r>
          </w:p>
        </w:tc>
        <w:tc>
          <w:tcPr>
            <w:tcW w:w="1620" w:type="dxa"/>
            <w:tcBorders>
              <w:top w:val="nil"/>
              <w:left w:val="nil"/>
              <w:bottom w:val="single" w:sz="4" w:space="0" w:color="auto"/>
              <w:right w:val="single" w:sz="4" w:space="0" w:color="363639"/>
            </w:tcBorders>
            <w:shd w:val="clear" w:color="auto" w:fill="BFBFBF" w:themeFill="background1" w:themeFillShade="BF"/>
            <w:hideMark/>
          </w:tcPr>
          <w:p w14:paraId="3234FC9E" w14:textId="77777777" w:rsidR="004A148C" w:rsidRPr="00FC5122" w:rsidRDefault="004A148C" w:rsidP="00572B51">
            <w:pPr>
              <w:jc w:val="center"/>
              <w:rPr>
                <w:rFonts w:ascii="Arial" w:hAnsi="Arial" w:cs="Arial"/>
                <w:b/>
                <w:bCs/>
                <w:sz w:val="20"/>
                <w:lang w:eastAsia="es-AR"/>
              </w:rPr>
            </w:pPr>
            <w:r w:rsidRPr="00FC5122">
              <w:rPr>
                <w:rFonts w:ascii="Arial" w:hAnsi="Arial" w:cs="Arial"/>
                <w:b/>
                <w:bCs/>
                <w:sz w:val="20"/>
                <w:lang w:eastAsia="es-AR"/>
              </w:rPr>
              <w:t>Cambio del ejercicio</w:t>
            </w:r>
          </w:p>
        </w:tc>
        <w:tc>
          <w:tcPr>
            <w:tcW w:w="1620" w:type="dxa"/>
            <w:tcBorders>
              <w:top w:val="nil"/>
              <w:left w:val="nil"/>
              <w:bottom w:val="single" w:sz="4" w:space="0" w:color="auto"/>
              <w:right w:val="single" w:sz="4" w:space="0" w:color="363639"/>
            </w:tcBorders>
            <w:shd w:val="clear" w:color="auto" w:fill="BFBFBF" w:themeFill="background1" w:themeFillShade="BF"/>
            <w:hideMark/>
          </w:tcPr>
          <w:p w14:paraId="35CBFC29" w14:textId="77777777" w:rsidR="004A148C" w:rsidRPr="00FC5122" w:rsidRDefault="004A148C" w:rsidP="00572B51">
            <w:pPr>
              <w:jc w:val="center"/>
              <w:rPr>
                <w:rFonts w:ascii="Arial" w:hAnsi="Arial" w:cs="Arial"/>
                <w:b/>
                <w:bCs/>
                <w:sz w:val="20"/>
                <w:lang w:eastAsia="es-AR"/>
              </w:rPr>
            </w:pPr>
            <w:r w:rsidRPr="00FC5122">
              <w:rPr>
                <w:rFonts w:ascii="Arial" w:hAnsi="Arial" w:cs="Arial"/>
                <w:b/>
                <w:bCs/>
                <w:sz w:val="20"/>
                <w:lang w:eastAsia="es-AR"/>
              </w:rPr>
              <w:t>Saldo al cierre del ejercicio</w:t>
            </w:r>
          </w:p>
        </w:tc>
        <w:tc>
          <w:tcPr>
            <w:tcW w:w="1280" w:type="dxa"/>
            <w:vMerge/>
            <w:tcBorders>
              <w:top w:val="single" w:sz="4" w:space="0" w:color="363639"/>
              <w:left w:val="single" w:sz="4" w:space="0" w:color="363639"/>
              <w:bottom w:val="single" w:sz="4" w:space="0" w:color="auto"/>
              <w:right w:val="single" w:sz="4" w:space="0" w:color="363639"/>
            </w:tcBorders>
            <w:shd w:val="clear" w:color="auto" w:fill="BFBFBF" w:themeFill="background1" w:themeFillShade="BF"/>
            <w:vAlign w:val="center"/>
            <w:hideMark/>
          </w:tcPr>
          <w:p w14:paraId="6D9584A9" w14:textId="77777777" w:rsidR="004A148C" w:rsidRPr="00FC5122" w:rsidRDefault="004A148C" w:rsidP="00572B51">
            <w:pPr>
              <w:rPr>
                <w:rFonts w:ascii="Arial" w:hAnsi="Arial" w:cs="Arial"/>
                <w:b/>
                <w:bCs/>
                <w:sz w:val="20"/>
                <w:lang w:eastAsia="es-AR"/>
              </w:rPr>
            </w:pPr>
          </w:p>
        </w:tc>
      </w:tr>
      <w:tr w:rsidR="004A148C" w:rsidRPr="00FC5122" w14:paraId="5607D489" w14:textId="77777777" w:rsidTr="004A148C">
        <w:trPr>
          <w:trHeight w:val="259"/>
        </w:trPr>
        <w:tc>
          <w:tcPr>
            <w:tcW w:w="2160" w:type="dxa"/>
            <w:tcBorders>
              <w:top w:val="single" w:sz="4" w:space="0" w:color="auto"/>
              <w:left w:val="nil"/>
              <w:bottom w:val="nil"/>
              <w:right w:val="nil"/>
            </w:tcBorders>
            <w:shd w:val="clear" w:color="auto" w:fill="auto"/>
            <w:noWrap/>
            <w:hideMark/>
          </w:tcPr>
          <w:p w14:paraId="11A7C56B" w14:textId="77777777" w:rsidR="004A148C" w:rsidRPr="00FC5122" w:rsidRDefault="004A148C" w:rsidP="00572B51">
            <w:pPr>
              <w:jc w:val="center"/>
              <w:rPr>
                <w:rFonts w:ascii="Arial" w:hAnsi="Arial" w:cs="Arial"/>
                <w:b/>
                <w:bCs/>
                <w:sz w:val="20"/>
                <w:lang w:eastAsia="es-AR"/>
              </w:rPr>
            </w:pPr>
          </w:p>
        </w:tc>
        <w:tc>
          <w:tcPr>
            <w:tcW w:w="3300" w:type="dxa"/>
            <w:tcBorders>
              <w:top w:val="single" w:sz="4" w:space="0" w:color="auto"/>
              <w:left w:val="nil"/>
              <w:bottom w:val="nil"/>
              <w:right w:val="nil"/>
            </w:tcBorders>
            <w:shd w:val="clear" w:color="auto" w:fill="auto"/>
            <w:noWrap/>
            <w:hideMark/>
          </w:tcPr>
          <w:p w14:paraId="6C4D50B7" w14:textId="77777777" w:rsidR="004A148C" w:rsidRPr="00FC5122" w:rsidRDefault="004A148C" w:rsidP="00572B51">
            <w:pPr>
              <w:rPr>
                <w:sz w:val="20"/>
                <w:lang w:eastAsia="es-AR"/>
              </w:rPr>
            </w:pPr>
          </w:p>
        </w:tc>
        <w:tc>
          <w:tcPr>
            <w:tcW w:w="1520" w:type="dxa"/>
            <w:tcBorders>
              <w:top w:val="single" w:sz="4" w:space="0" w:color="auto"/>
              <w:left w:val="nil"/>
              <w:bottom w:val="nil"/>
              <w:right w:val="nil"/>
            </w:tcBorders>
            <w:shd w:val="clear" w:color="auto" w:fill="auto"/>
            <w:noWrap/>
            <w:hideMark/>
          </w:tcPr>
          <w:p w14:paraId="6D1E7B2F" w14:textId="77777777" w:rsidR="004A148C" w:rsidRPr="00FC5122" w:rsidRDefault="004A148C" w:rsidP="00572B51">
            <w:pPr>
              <w:jc w:val="center"/>
              <w:rPr>
                <w:sz w:val="20"/>
                <w:lang w:eastAsia="es-AR"/>
              </w:rPr>
            </w:pPr>
          </w:p>
        </w:tc>
        <w:tc>
          <w:tcPr>
            <w:tcW w:w="1620" w:type="dxa"/>
            <w:tcBorders>
              <w:top w:val="single" w:sz="4" w:space="0" w:color="auto"/>
              <w:left w:val="nil"/>
              <w:bottom w:val="nil"/>
              <w:right w:val="nil"/>
            </w:tcBorders>
            <w:shd w:val="clear" w:color="auto" w:fill="auto"/>
            <w:noWrap/>
            <w:hideMark/>
          </w:tcPr>
          <w:p w14:paraId="456899E8" w14:textId="77777777" w:rsidR="004A148C" w:rsidRPr="00FC5122" w:rsidRDefault="004A148C" w:rsidP="00572B51">
            <w:pPr>
              <w:rPr>
                <w:sz w:val="20"/>
                <w:lang w:eastAsia="es-AR"/>
              </w:rPr>
            </w:pPr>
          </w:p>
        </w:tc>
        <w:tc>
          <w:tcPr>
            <w:tcW w:w="1620" w:type="dxa"/>
            <w:tcBorders>
              <w:top w:val="single" w:sz="4" w:space="0" w:color="auto"/>
              <w:left w:val="nil"/>
              <w:bottom w:val="nil"/>
              <w:right w:val="nil"/>
            </w:tcBorders>
            <w:shd w:val="clear" w:color="auto" w:fill="auto"/>
            <w:noWrap/>
            <w:hideMark/>
          </w:tcPr>
          <w:p w14:paraId="58E53F68" w14:textId="77777777" w:rsidR="004A148C" w:rsidRPr="00FC5122" w:rsidRDefault="004A148C" w:rsidP="00572B51">
            <w:pPr>
              <w:rPr>
                <w:sz w:val="20"/>
                <w:lang w:eastAsia="es-AR"/>
              </w:rPr>
            </w:pPr>
          </w:p>
        </w:tc>
        <w:tc>
          <w:tcPr>
            <w:tcW w:w="1620" w:type="dxa"/>
            <w:tcBorders>
              <w:top w:val="single" w:sz="4" w:space="0" w:color="auto"/>
              <w:left w:val="nil"/>
              <w:bottom w:val="nil"/>
              <w:right w:val="nil"/>
            </w:tcBorders>
            <w:shd w:val="clear" w:color="auto" w:fill="auto"/>
            <w:noWrap/>
            <w:hideMark/>
          </w:tcPr>
          <w:p w14:paraId="6DBE68B9" w14:textId="77777777" w:rsidR="004A148C" w:rsidRPr="00FC5122" w:rsidRDefault="004A148C" w:rsidP="00572B51">
            <w:pPr>
              <w:rPr>
                <w:sz w:val="20"/>
                <w:lang w:eastAsia="es-AR"/>
              </w:rPr>
            </w:pPr>
          </w:p>
        </w:tc>
        <w:tc>
          <w:tcPr>
            <w:tcW w:w="1280" w:type="dxa"/>
            <w:tcBorders>
              <w:top w:val="single" w:sz="4" w:space="0" w:color="auto"/>
              <w:left w:val="nil"/>
              <w:bottom w:val="nil"/>
              <w:right w:val="nil"/>
            </w:tcBorders>
            <w:shd w:val="clear" w:color="auto" w:fill="auto"/>
            <w:noWrap/>
            <w:hideMark/>
          </w:tcPr>
          <w:p w14:paraId="3CC46948" w14:textId="77777777" w:rsidR="004A148C" w:rsidRPr="00FC5122" w:rsidRDefault="004A148C" w:rsidP="00572B51">
            <w:pPr>
              <w:rPr>
                <w:sz w:val="20"/>
                <w:lang w:eastAsia="es-AR"/>
              </w:rPr>
            </w:pPr>
          </w:p>
        </w:tc>
      </w:tr>
      <w:tr w:rsidR="00FC5122" w:rsidRPr="00FC5122" w14:paraId="078309F6" w14:textId="77777777" w:rsidTr="00FC5122">
        <w:trPr>
          <w:trHeight w:val="259"/>
        </w:trPr>
        <w:tc>
          <w:tcPr>
            <w:tcW w:w="2160" w:type="dxa"/>
            <w:vMerge w:val="restart"/>
            <w:tcBorders>
              <w:top w:val="nil"/>
              <w:left w:val="nil"/>
              <w:right w:val="nil"/>
            </w:tcBorders>
            <w:shd w:val="clear" w:color="auto" w:fill="auto"/>
            <w:noWrap/>
            <w:vAlign w:val="center"/>
            <w:hideMark/>
          </w:tcPr>
          <w:p w14:paraId="05715C65" w14:textId="2DE0A44F" w:rsidR="00FC5122" w:rsidRPr="00FC5122" w:rsidRDefault="00FC5122" w:rsidP="00FC5122">
            <w:pPr>
              <w:jc w:val="center"/>
              <w:rPr>
                <w:sz w:val="20"/>
                <w:lang w:eastAsia="es-AR"/>
              </w:rPr>
            </w:pPr>
            <w:r w:rsidRPr="00FC5122">
              <w:rPr>
                <w:rFonts w:ascii="Arial" w:hAnsi="Arial" w:cs="Arial"/>
                <w:sz w:val="20"/>
                <w:lang w:eastAsia="es-AR"/>
              </w:rPr>
              <w:t>Inmuebles</w:t>
            </w:r>
          </w:p>
        </w:tc>
        <w:tc>
          <w:tcPr>
            <w:tcW w:w="3300" w:type="dxa"/>
            <w:tcBorders>
              <w:top w:val="nil"/>
              <w:left w:val="nil"/>
              <w:bottom w:val="nil"/>
              <w:right w:val="nil"/>
            </w:tcBorders>
            <w:shd w:val="clear" w:color="auto" w:fill="auto"/>
            <w:noWrap/>
            <w:hideMark/>
          </w:tcPr>
          <w:p w14:paraId="68F25340" w14:textId="77777777" w:rsidR="00FC5122" w:rsidRPr="00FC5122" w:rsidRDefault="00FC5122" w:rsidP="00FC5122">
            <w:pPr>
              <w:jc w:val="center"/>
              <w:rPr>
                <w:rFonts w:ascii="Arial" w:hAnsi="Arial" w:cs="Arial"/>
                <w:sz w:val="20"/>
                <w:lang w:eastAsia="es-AR"/>
              </w:rPr>
            </w:pPr>
            <w:r w:rsidRPr="00FC5122">
              <w:rPr>
                <w:rFonts w:ascii="Arial" w:hAnsi="Arial" w:cs="Arial"/>
                <w:sz w:val="20"/>
                <w:lang w:eastAsia="es-AR"/>
              </w:rPr>
              <w:t>Tribunal de Tasaciones de la Nación</w:t>
            </w:r>
          </w:p>
        </w:tc>
        <w:tc>
          <w:tcPr>
            <w:tcW w:w="1520" w:type="dxa"/>
            <w:vMerge w:val="restart"/>
            <w:tcBorders>
              <w:top w:val="nil"/>
              <w:left w:val="nil"/>
              <w:right w:val="nil"/>
            </w:tcBorders>
            <w:shd w:val="clear" w:color="auto" w:fill="auto"/>
            <w:noWrap/>
            <w:vAlign w:val="center"/>
          </w:tcPr>
          <w:p w14:paraId="33709FCF" w14:textId="06BEC343" w:rsidR="00FC5122" w:rsidRPr="00FC5122" w:rsidRDefault="00FC5122" w:rsidP="00FC5122">
            <w:pPr>
              <w:jc w:val="center"/>
              <w:rPr>
                <w:rFonts w:ascii="Arial" w:hAnsi="Arial" w:cs="Arial"/>
                <w:sz w:val="20"/>
                <w:lang w:eastAsia="es-AR"/>
              </w:rPr>
            </w:pPr>
            <w:r w:rsidRPr="00FC5122">
              <w:rPr>
                <w:rFonts w:ascii="Arial" w:hAnsi="Arial" w:cs="Arial"/>
                <w:sz w:val="20"/>
                <w:lang w:eastAsia="es-AR"/>
              </w:rPr>
              <w:t>31/12/2019</w:t>
            </w:r>
          </w:p>
        </w:tc>
        <w:tc>
          <w:tcPr>
            <w:tcW w:w="1620" w:type="dxa"/>
            <w:vMerge w:val="restart"/>
            <w:tcBorders>
              <w:top w:val="nil"/>
              <w:left w:val="nil"/>
              <w:right w:val="nil"/>
            </w:tcBorders>
            <w:shd w:val="clear" w:color="auto" w:fill="auto"/>
            <w:noWrap/>
            <w:vAlign w:val="center"/>
          </w:tcPr>
          <w:p w14:paraId="02AF8EB6" w14:textId="78373758" w:rsidR="00FC5122" w:rsidRPr="00FC5122" w:rsidRDefault="00FC5122" w:rsidP="00FC5122">
            <w:pPr>
              <w:jc w:val="right"/>
              <w:rPr>
                <w:rFonts w:ascii="Arial" w:hAnsi="Arial" w:cs="Arial"/>
                <w:sz w:val="20"/>
                <w:lang w:eastAsia="es-AR"/>
              </w:rPr>
            </w:pPr>
            <w:r w:rsidRPr="00FC5122">
              <w:rPr>
                <w:rFonts w:ascii="Arial" w:hAnsi="Arial" w:cs="Arial"/>
                <w:sz w:val="20"/>
              </w:rPr>
              <w:t>756.736</w:t>
            </w:r>
          </w:p>
        </w:tc>
        <w:tc>
          <w:tcPr>
            <w:tcW w:w="1620" w:type="dxa"/>
            <w:vMerge w:val="restart"/>
            <w:tcBorders>
              <w:top w:val="nil"/>
              <w:left w:val="nil"/>
              <w:right w:val="nil"/>
            </w:tcBorders>
            <w:shd w:val="clear" w:color="auto" w:fill="auto"/>
            <w:noWrap/>
            <w:vAlign w:val="center"/>
          </w:tcPr>
          <w:p w14:paraId="24028CAC" w14:textId="79533249" w:rsidR="00FC5122" w:rsidRPr="00FC5122" w:rsidRDefault="00FC5122" w:rsidP="00FC5122">
            <w:pPr>
              <w:jc w:val="right"/>
              <w:rPr>
                <w:rFonts w:ascii="Arial" w:hAnsi="Arial" w:cs="Arial"/>
                <w:sz w:val="20"/>
                <w:lang w:eastAsia="es-AR"/>
              </w:rPr>
            </w:pPr>
            <w:r w:rsidRPr="00FC5122">
              <w:rPr>
                <w:rFonts w:ascii="Arial" w:hAnsi="Arial" w:cs="Arial"/>
                <w:sz w:val="20"/>
              </w:rPr>
              <w:t>574.495</w:t>
            </w:r>
          </w:p>
        </w:tc>
        <w:tc>
          <w:tcPr>
            <w:tcW w:w="1620" w:type="dxa"/>
            <w:vMerge w:val="restart"/>
            <w:tcBorders>
              <w:top w:val="nil"/>
              <w:left w:val="nil"/>
              <w:right w:val="nil"/>
            </w:tcBorders>
            <w:shd w:val="clear" w:color="auto" w:fill="auto"/>
            <w:noWrap/>
            <w:vAlign w:val="center"/>
          </w:tcPr>
          <w:p w14:paraId="10DB70F1" w14:textId="07BD1C86" w:rsidR="00FC5122" w:rsidRPr="00FC5122" w:rsidRDefault="00FC5122" w:rsidP="00FC5122">
            <w:pPr>
              <w:jc w:val="right"/>
              <w:rPr>
                <w:rFonts w:ascii="Arial" w:hAnsi="Arial" w:cs="Arial"/>
                <w:sz w:val="20"/>
                <w:lang w:eastAsia="es-AR"/>
              </w:rPr>
            </w:pPr>
            <w:r w:rsidRPr="00FC5122">
              <w:rPr>
                <w:rFonts w:ascii="Arial" w:hAnsi="Arial" w:cs="Arial"/>
                <w:sz w:val="20"/>
              </w:rPr>
              <w:t>1.331.231</w:t>
            </w:r>
          </w:p>
        </w:tc>
        <w:tc>
          <w:tcPr>
            <w:tcW w:w="1280" w:type="dxa"/>
            <w:vMerge w:val="restart"/>
            <w:tcBorders>
              <w:top w:val="nil"/>
              <w:left w:val="nil"/>
              <w:right w:val="nil"/>
            </w:tcBorders>
            <w:shd w:val="clear" w:color="auto" w:fill="auto"/>
            <w:noWrap/>
            <w:vAlign w:val="center"/>
          </w:tcPr>
          <w:p w14:paraId="4D88787C" w14:textId="7CFBF9D9" w:rsidR="00FC5122" w:rsidRPr="00FC5122" w:rsidRDefault="00FC5122" w:rsidP="00FC5122">
            <w:pPr>
              <w:jc w:val="right"/>
              <w:rPr>
                <w:rFonts w:ascii="Arial" w:hAnsi="Arial" w:cs="Arial"/>
                <w:sz w:val="20"/>
                <w:lang w:eastAsia="es-AR"/>
              </w:rPr>
            </w:pPr>
            <w:r w:rsidRPr="00FC5122">
              <w:rPr>
                <w:rFonts w:ascii="Arial" w:hAnsi="Arial" w:cs="Arial"/>
                <w:sz w:val="20"/>
              </w:rPr>
              <w:t>329.719</w:t>
            </w:r>
          </w:p>
        </w:tc>
      </w:tr>
      <w:tr w:rsidR="00FC5122" w:rsidRPr="00FC5122" w14:paraId="7E132EA3" w14:textId="77777777" w:rsidTr="006B575B">
        <w:trPr>
          <w:trHeight w:val="259"/>
        </w:trPr>
        <w:tc>
          <w:tcPr>
            <w:tcW w:w="2160" w:type="dxa"/>
            <w:vMerge/>
            <w:tcBorders>
              <w:left w:val="nil"/>
              <w:right w:val="nil"/>
            </w:tcBorders>
            <w:shd w:val="clear" w:color="auto" w:fill="auto"/>
            <w:noWrap/>
            <w:hideMark/>
          </w:tcPr>
          <w:p w14:paraId="4921DED6" w14:textId="5EB70250" w:rsidR="00FC5122" w:rsidRPr="00FC5122" w:rsidRDefault="00FC5122" w:rsidP="00572B51">
            <w:pPr>
              <w:rPr>
                <w:rFonts w:ascii="Arial" w:hAnsi="Arial" w:cs="Arial"/>
                <w:sz w:val="20"/>
                <w:lang w:eastAsia="es-AR"/>
              </w:rPr>
            </w:pPr>
          </w:p>
        </w:tc>
        <w:tc>
          <w:tcPr>
            <w:tcW w:w="3300" w:type="dxa"/>
            <w:tcBorders>
              <w:top w:val="nil"/>
              <w:left w:val="nil"/>
              <w:bottom w:val="nil"/>
              <w:right w:val="nil"/>
            </w:tcBorders>
            <w:shd w:val="clear" w:color="auto" w:fill="auto"/>
            <w:noWrap/>
            <w:hideMark/>
          </w:tcPr>
          <w:p w14:paraId="336E819F" w14:textId="77777777" w:rsidR="00FC5122" w:rsidRPr="00FC5122" w:rsidRDefault="00FC5122" w:rsidP="00572B51">
            <w:pPr>
              <w:jc w:val="center"/>
              <w:rPr>
                <w:rFonts w:ascii="Arial" w:hAnsi="Arial" w:cs="Arial"/>
                <w:sz w:val="20"/>
                <w:lang w:eastAsia="es-AR"/>
              </w:rPr>
            </w:pPr>
            <w:r w:rsidRPr="00FC5122">
              <w:rPr>
                <w:rFonts w:ascii="Arial" w:hAnsi="Arial" w:cs="Arial"/>
                <w:sz w:val="20"/>
                <w:lang w:eastAsia="es-AR"/>
              </w:rPr>
              <w:t>CM Ingeniería en Valuaciones</w:t>
            </w:r>
          </w:p>
        </w:tc>
        <w:tc>
          <w:tcPr>
            <w:tcW w:w="1520" w:type="dxa"/>
            <w:vMerge/>
            <w:tcBorders>
              <w:left w:val="nil"/>
              <w:right w:val="nil"/>
            </w:tcBorders>
            <w:shd w:val="clear" w:color="auto" w:fill="auto"/>
            <w:noWrap/>
          </w:tcPr>
          <w:p w14:paraId="316F8E59" w14:textId="77777777" w:rsidR="00FC5122" w:rsidRPr="00FC5122" w:rsidRDefault="00FC5122" w:rsidP="00572B51">
            <w:pPr>
              <w:jc w:val="center"/>
              <w:rPr>
                <w:rFonts w:ascii="Arial" w:hAnsi="Arial" w:cs="Arial"/>
                <w:sz w:val="20"/>
                <w:lang w:eastAsia="es-AR"/>
              </w:rPr>
            </w:pPr>
          </w:p>
        </w:tc>
        <w:tc>
          <w:tcPr>
            <w:tcW w:w="1620" w:type="dxa"/>
            <w:vMerge/>
            <w:tcBorders>
              <w:left w:val="nil"/>
              <w:right w:val="nil"/>
            </w:tcBorders>
            <w:shd w:val="clear" w:color="auto" w:fill="auto"/>
            <w:noWrap/>
          </w:tcPr>
          <w:p w14:paraId="1FB4C127" w14:textId="77777777" w:rsidR="00FC5122" w:rsidRPr="00FC5122" w:rsidRDefault="00FC5122" w:rsidP="00572B51">
            <w:pPr>
              <w:rPr>
                <w:sz w:val="20"/>
                <w:lang w:eastAsia="es-AR"/>
              </w:rPr>
            </w:pPr>
          </w:p>
        </w:tc>
        <w:tc>
          <w:tcPr>
            <w:tcW w:w="1620" w:type="dxa"/>
            <w:vMerge/>
            <w:tcBorders>
              <w:left w:val="nil"/>
              <w:right w:val="nil"/>
            </w:tcBorders>
            <w:shd w:val="clear" w:color="auto" w:fill="auto"/>
            <w:noWrap/>
          </w:tcPr>
          <w:p w14:paraId="7462C051" w14:textId="77777777" w:rsidR="00FC5122" w:rsidRPr="00FC5122" w:rsidRDefault="00FC5122" w:rsidP="00572B51">
            <w:pPr>
              <w:rPr>
                <w:sz w:val="20"/>
                <w:lang w:eastAsia="es-AR"/>
              </w:rPr>
            </w:pPr>
          </w:p>
        </w:tc>
        <w:tc>
          <w:tcPr>
            <w:tcW w:w="1620" w:type="dxa"/>
            <w:vMerge/>
            <w:tcBorders>
              <w:left w:val="nil"/>
              <w:right w:val="nil"/>
            </w:tcBorders>
            <w:shd w:val="clear" w:color="auto" w:fill="auto"/>
            <w:noWrap/>
          </w:tcPr>
          <w:p w14:paraId="0B78EAC0" w14:textId="77777777" w:rsidR="00FC5122" w:rsidRPr="00FC5122" w:rsidRDefault="00FC5122" w:rsidP="00572B51">
            <w:pPr>
              <w:rPr>
                <w:sz w:val="20"/>
                <w:lang w:eastAsia="es-AR"/>
              </w:rPr>
            </w:pPr>
          </w:p>
        </w:tc>
        <w:tc>
          <w:tcPr>
            <w:tcW w:w="1280" w:type="dxa"/>
            <w:vMerge/>
            <w:tcBorders>
              <w:left w:val="nil"/>
              <w:right w:val="nil"/>
            </w:tcBorders>
            <w:shd w:val="clear" w:color="auto" w:fill="auto"/>
            <w:noWrap/>
          </w:tcPr>
          <w:p w14:paraId="38D27D06" w14:textId="77777777" w:rsidR="00FC5122" w:rsidRPr="00FC5122" w:rsidRDefault="00FC5122" w:rsidP="00572B51">
            <w:pPr>
              <w:rPr>
                <w:sz w:val="20"/>
                <w:lang w:eastAsia="es-AR"/>
              </w:rPr>
            </w:pPr>
          </w:p>
        </w:tc>
      </w:tr>
      <w:tr w:rsidR="00FC5122" w:rsidRPr="00FC5122" w14:paraId="5EBCDB8F" w14:textId="77777777" w:rsidTr="006B575B">
        <w:trPr>
          <w:trHeight w:val="259"/>
        </w:trPr>
        <w:tc>
          <w:tcPr>
            <w:tcW w:w="2160" w:type="dxa"/>
            <w:vMerge/>
            <w:tcBorders>
              <w:left w:val="nil"/>
              <w:right w:val="nil"/>
            </w:tcBorders>
            <w:shd w:val="clear" w:color="auto" w:fill="auto"/>
            <w:noWrap/>
            <w:hideMark/>
          </w:tcPr>
          <w:p w14:paraId="40F10CCA" w14:textId="77777777" w:rsidR="00FC5122" w:rsidRPr="00FC5122" w:rsidRDefault="00FC5122" w:rsidP="00572B51">
            <w:pPr>
              <w:rPr>
                <w:sz w:val="20"/>
                <w:lang w:eastAsia="es-AR"/>
              </w:rPr>
            </w:pPr>
          </w:p>
        </w:tc>
        <w:tc>
          <w:tcPr>
            <w:tcW w:w="3300" w:type="dxa"/>
            <w:tcBorders>
              <w:top w:val="nil"/>
              <w:left w:val="nil"/>
              <w:bottom w:val="nil"/>
              <w:right w:val="nil"/>
            </w:tcBorders>
            <w:shd w:val="clear" w:color="auto" w:fill="auto"/>
            <w:noWrap/>
            <w:hideMark/>
          </w:tcPr>
          <w:p w14:paraId="7A8478AC" w14:textId="77777777" w:rsidR="00FC5122" w:rsidRPr="00FC5122" w:rsidRDefault="00FC5122" w:rsidP="00572B51">
            <w:pPr>
              <w:jc w:val="center"/>
              <w:rPr>
                <w:rFonts w:ascii="Arial" w:hAnsi="Arial" w:cs="Arial"/>
                <w:sz w:val="20"/>
                <w:lang w:eastAsia="es-AR"/>
              </w:rPr>
            </w:pPr>
            <w:r w:rsidRPr="00FC5122">
              <w:rPr>
                <w:rFonts w:ascii="Arial" w:hAnsi="Arial" w:cs="Arial"/>
                <w:sz w:val="20"/>
                <w:lang w:eastAsia="es-AR"/>
              </w:rPr>
              <w:t>Serinco</w:t>
            </w:r>
          </w:p>
        </w:tc>
        <w:tc>
          <w:tcPr>
            <w:tcW w:w="1520" w:type="dxa"/>
            <w:vMerge/>
            <w:tcBorders>
              <w:left w:val="nil"/>
              <w:right w:val="nil"/>
            </w:tcBorders>
            <w:shd w:val="clear" w:color="auto" w:fill="auto"/>
            <w:noWrap/>
          </w:tcPr>
          <w:p w14:paraId="47164FC7" w14:textId="77777777" w:rsidR="00FC5122" w:rsidRPr="00FC5122" w:rsidRDefault="00FC5122" w:rsidP="00572B51">
            <w:pPr>
              <w:jc w:val="center"/>
              <w:rPr>
                <w:rFonts w:ascii="Arial" w:hAnsi="Arial" w:cs="Arial"/>
                <w:sz w:val="20"/>
                <w:lang w:eastAsia="es-AR"/>
              </w:rPr>
            </w:pPr>
          </w:p>
        </w:tc>
        <w:tc>
          <w:tcPr>
            <w:tcW w:w="1620" w:type="dxa"/>
            <w:vMerge/>
            <w:tcBorders>
              <w:left w:val="nil"/>
              <w:right w:val="nil"/>
            </w:tcBorders>
            <w:shd w:val="clear" w:color="auto" w:fill="auto"/>
            <w:noWrap/>
          </w:tcPr>
          <w:p w14:paraId="3DFF5158" w14:textId="77777777" w:rsidR="00FC5122" w:rsidRPr="00FC5122" w:rsidRDefault="00FC5122" w:rsidP="00572B51">
            <w:pPr>
              <w:rPr>
                <w:sz w:val="20"/>
                <w:lang w:eastAsia="es-AR"/>
              </w:rPr>
            </w:pPr>
          </w:p>
        </w:tc>
        <w:tc>
          <w:tcPr>
            <w:tcW w:w="1620" w:type="dxa"/>
            <w:vMerge/>
            <w:tcBorders>
              <w:left w:val="nil"/>
              <w:right w:val="nil"/>
            </w:tcBorders>
            <w:shd w:val="clear" w:color="auto" w:fill="auto"/>
            <w:noWrap/>
          </w:tcPr>
          <w:p w14:paraId="06E084D3" w14:textId="77777777" w:rsidR="00FC5122" w:rsidRPr="00FC5122" w:rsidRDefault="00FC5122" w:rsidP="00572B51">
            <w:pPr>
              <w:rPr>
                <w:sz w:val="20"/>
                <w:lang w:eastAsia="es-AR"/>
              </w:rPr>
            </w:pPr>
          </w:p>
        </w:tc>
        <w:tc>
          <w:tcPr>
            <w:tcW w:w="1620" w:type="dxa"/>
            <w:vMerge/>
            <w:tcBorders>
              <w:left w:val="nil"/>
              <w:right w:val="nil"/>
            </w:tcBorders>
            <w:shd w:val="clear" w:color="auto" w:fill="auto"/>
            <w:noWrap/>
          </w:tcPr>
          <w:p w14:paraId="6E543CAF" w14:textId="77777777" w:rsidR="00FC5122" w:rsidRPr="00FC5122" w:rsidRDefault="00FC5122" w:rsidP="00572B51">
            <w:pPr>
              <w:rPr>
                <w:sz w:val="20"/>
                <w:lang w:eastAsia="es-AR"/>
              </w:rPr>
            </w:pPr>
          </w:p>
        </w:tc>
        <w:tc>
          <w:tcPr>
            <w:tcW w:w="1280" w:type="dxa"/>
            <w:vMerge/>
            <w:tcBorders>
              <w:left w:val="nil"/>
              <w:right w:val="nil"/>
            </w:tcBorders>
            <w:shd w:val="clear" w:color="auto" w:fill="auto"/>
            <w:noWrap/>
          </w:tcPr>
          <w:p w14:paraId="30A901F5" w14:textId="77777777" w:rsidR="00FC5122" w:rsidRPr="00FC5122" w:rsidRDefault="00FC5122" w:rsidP="00572B51">
            <w:pPr>
              <w:rPr>
                <w:sz w:val="20"/>
                <w:lang w:eastAsia="es-AR"/>
              </w:rPr>
            </w:pPr>
          </w:p>
        </w:tc>
      </w:tr>
      <w:tr w:rsidR="00FC5122" w:rsidRPr="00FC5122" w14:paraId="0B17929A" w14:textId="77777777" w:rsidTr="006B575B">
        <w:trPr>
          <w:trHeight w:val="342"/>
        </w:trPr>
        <w:tc>
          <w:tcPr>
            <w:tcW w:w="2160" w:type="dxa"/>
            <w:vMerge/>
            <w:tcBorders>
              <w:left w:val="nil"/>
              <w:bottom w:val="nil"/>
              <w:right w:val="nil"/>
            </w:tcBorders>
            <w:shd w:val="clear" w:color="auto" w:fill="auto"/>
            <w:noWrap/>
            <w:hideMark/>
          </w:tcPr>
          <w:p w14:paraId="0E3FE8B3" w14:textId="77777777" w:rsidR="00FC5122" w:rsidRPr="00FC5122" w:rsidRDefault="00FC5122" w:rsidP="00572B51">
            <w:pPr>
              <w:rPr>
                <w:sz w:val="20"/>
                <w:lang w:eastAsia="es-AR"/>
              </w:rPr>
            </w:pPr>
          </w:p>
        </w:tc>
        <w:tc>
          <w:tcPr>
            <w:tcW w:w="3300" w:type="dxa"/>
            <w:tcBorders>
              <w:top w:val="nil"/>
              <w:left w:val="nil"/>
              <w:bottom w:val="nil"/>
              <w:right w:val="nil"/>
            </w:tcBorders>
            <w:shd w:val="clear" w:color="auto" w:fill="auto"/>
            <w:noWrap/>
            <w:hideMark/>
          </w:tcPr>
          <w:p w14:paraId="44CED625" w14:textId="77777777" w:rsidR="00FC5122" w:rsidRPr="00FC5122" w:rsidRDefault="00FC5122" w:rsidP="00572B51">
            <w:pPr>
              <w:jc w:val="center"/>
              <w:rPr>
                <w:rFonts w:ascii="Arial" w:hAnsi="Arial" w:cs="Arial"/>
                <w:sz w:val="20"/>
                <w:lang w:eastAsia="es-AR"/>
              </w:rPr>
            </w:pPr>
            <w:r w:rsidRPr="00FC5122">
              <w:rPr>
                <w:rFonts w:ascii="Arial" w:hAnsi="Arial" w:cs="Arial"/>
                <w:sz w:val="20"/>
                <w:lang w:eastAsia="es-AR"/>
              </w:rPr>
              <w:t>Reporte Inmobiliario</w:t>
            </w:r>
          </w:p>
        </w:tc>
        <w:tc>
          <w:tcPr>
            <w:tcW w:w="1520" w:type="dxa"/>
            <w:vMerge/>
            <w:tcBorders>
              <w:left w:val="nil"/>
              <w:bottom w:val="nil"/>
              <w:right w:val="nil"/>
            </w:tcBorders>
            <w:shd w:val="clear" w:color="auto" w:fill="auto"/>
            <w:noWrap/>
          </w:tcPr>
          <w:p w14:paraId="4DFA2F58" w14:textId="77777777" w:rsidR="00FC5122" w:rsidRPr="00FC5122" w:rsidRDefault="00FC5122" w:rsidP="00572B51">
            <w:pPr>
              <w:jc w:val="center"/>
              <w:rPr>
                <w:rFonts w:ascii="Arial" w:hAnsi="Arial" w:cs="Arial"/>
                <w:sz w:val="20"/>
                <w:lang w:eastAsia="es-AR"/>
              </w:rPr>
            </w:pPr>
          </w:p>
        </w:tc>
        <w:tc>
          <w:tcPr>
            <w:tcW w:w="1620" w:type="dxa"/>
            <w:vMerge/>
            <w:tcBorders>
              <w:left w:val="nil"/>
              <w:bottom w:val="nil"/>
              <w:right w:val="nil"/>
            </w:tcBorders>
            <w:shd w:val="clear" w:color="auto" w:fill="auto"/>
            <w:noWrap/>
          </w:tcPr>
          <w:p w14:paraId="11F71E02" w14:textId="77777777" w:rsidR="00FC5122" w:rsidRPr="00FC5122" w:rsidRDefault="00FC5122" w:rsidP="00572B51">
            <w:pPr>
              <w:rPr>
                <w:sz w:val="20"/>
                <w:lang w:eastAsia="es-AR"/>
              </w:rPr>
            </w:pPr>
          </w:p>
        </w:tc>
        <w:tc>
          <w:tcPr>
            <w:tcW w:w="1620" w:type="dxa"/>
            <w:vMerge/>
            <w:tcBorders>
              <w:left w:val="nil"/>
              <w:bottom w:val="nil"/>
              <w:right w:val="nil"/>
            </w:tcBorders>
            <w:shd w:val="clear" w:color="auto" w:fill="auto"/>
            <w:noWrap/>
          </w:tcPr>
          <w:p w14:paraId="504700CD" w14:textId="77777777" w:rsidR="00FC5122" w:rsidRPr="00FC5122" w:rsidRDefault="00FC5122" w:rsidP="00572B51">
            <w:pPr>
              <w:rPr>
                <w:sz w:val="20"/>
                <w:lang w:eastAsia="es-AR"/>
              </w:rPr>
            </w:pPr>
          </w:p>
        </w:tc>
        <w:tc>
          <w:tcPr>
            <w:tcW w:w="1620" w:type="dxa"/>
            <w:vMerge/>
            <w:tcBorders>
              <w:left w:val="nil"/>
              <w:bottom w:val="nil"/>
              <w:right w:val="nil"/>
            </w:tcBorders>
            <w:shd w:val="clear" w:color="auto" w:fill="auto"/>
            <w:noWrap/>
          </w:tcPr>
          <w:p w14:paraId="4EF69CA7" w14:textId="77777777" w:rsidR="00FC5122" w:rsidRPr="00FC5122" w:rsidRDefault="00FC5122" w:rsidP="00572B51">
            <w:pPr>
              <w:rPr>
                <w:sz w:val="20"/>
                <w:lang w:eastAsia="es-AR"/>
              </w:rPr>
            </w:pPr>
          </w:p>
        </w:tc>
        <w:tc>
          <w:tcPr>
            <w:tcW w:w="1280" w:type="dxa"/>
            <w:vMerge/>
            <w:tcBorders>
              <w:left w:val="nil"/>
              <w:bottom w:val="nil"/>
              <w:right w:val="nil"/>
            </w:tcBorders>
            <w:shd w:val="clear" w:color="auto" w:fill="auto"/>
            <w:noWrap/>
          </w:tcPr>
          <w:p w14:paraId="65E486E3" w14:textId="77777777" w:rsidR="00FC5122" w:rsidRPr="00FC5122" w:rsidRDefault="00FC5122" w:rsidP="00572B51">
            <w:pPr>
              <w:rPr>
                <w:sz w:val="20"/>
                <w:lang w:eastAsia="es-AR"/>
              </w:rPr>
            </w:pPr>
          </w:p>
        </w:tc>
      </w:tr>
      <w:tr w:rsidR="004A148C" w:rsidRPr="00FC5122" w14:paraId="7DD5387E" w14:textId="77777777" w:rsidTr="004A148C">
        <w:trPr>
          <w:trHeight w:val="342"/>
        </w:trPr>
        <w:tc>
          <w:tcPr>
            <w:tcW w:w="2160" w:type="dxa"/>
            <w:tcBorders>
              <w:top w:val="nil"/>
              <w:left w:val="nil"/>
              <w:bottom w:val="nil"/>
              <w:right w:val="nil"/>
            </w:tcBorders>
            <w:shd w:val="clear" w:color="auto" w:fill="auto"/>
            <w:noWrap/>
            <w:hideMark/>
          </w:tcPr>
          <w:p w14:paraId="225FD326" w14:textId="77777777" w:rsidR="004A148C" w:rsidRPr="00FC5122" w:rsidRDefault="004A148C" w:rsidP="00572B51">
            <w:pPr>
              <w:rPr>
                <w:sz w:val="20"/>
                <w:lang w:eastAsia="es-AR"/>
              </w:rPr>
            </w:pPr>
          </w:p>
        </w:tc>
        <w:tc>
          <w:tcPr>
            <w:tcW w:w="3300" w:type="dxa"/>
            <w:tcBorders>
              <w:top w:val="nil"/>
              <w:left w:val="nil"/>
              <w:bottom w:val="nil"/>
              <w:right w:val="nil"/>
            </w:tcBorders>
            <w:shd w:val="clear" w:color="auto" w:fill="auto"/>
            <w:noWrap/>
            <w:hideMark/>
          </w:tcPr>
          <w:p w14:paraId="51340AEE" w14:textId="77777777" w:rsidR="004A148C" w:rsidRPr="00FC5122" w:rsidRDefault="004A148C" w:rsidP="00572B51">
            <w:pPr>
              <w:rPr>
                <w:sz w:val="20"/>
                <w:lang w:eastAsia="es-AR"/>
              </w:rPr>
            </w:pPr>
          </w:p>
        </w:tc>
        <w:tc>
          <w:tcPr>
            <w:tcW w:w="1520" w:type="dxa"/>
            <w:tcBorders>
              <w:top w:val="nil"/>
              <w:left w:val="nil"/>
              <w:bottom w:val="nil"/>
              <w:right w:val="nil"/>
            </w:tcBorders>
            <w:shd w:val="clear" w:color="auto" w:fill="auto"/>
            <w:noWrap/>
          </w:tcPr>
          <w:p w14:paraId="54943A28" w14:textId="77777777" w:rsidR="004A148C" w:rsidRPr="00FC5122" w:rsidRDefault="004A148C" w:rsidP="00572B51">
            <w:pPr>
              <w:jc w:val="center"/>
              <w:rPr>
                <w:sz w:val="20"/>
                <w:lang w:eastAsia="es-AR"/>
              </w:rPr>
            </w:pPr>
          </w:p>
        </w:tc>
        <w:tc>
          <w:tcPr>
            <w:tcW w:w="1620" w:type="dxa"/>
            <w:tcBorders>
              <w:top w:val="nil"/>
              <w:left w:val="nil"/>
              <w:bottom w:val="nil"/>
              <w:right w:val="nil"/>
            </w:tcBorders>
            <w:shd w:val="clear" w:color="auto" w:fill="auto"/>
            <w:noWrap/>
          </w:tcPr>
          <w:p w14:paraId="5587E75F" w14:textId="77777777" w:rsidR="004A148C" w:rsidRPr="00FC5122" w:rsidRDefault="004A148C" w:rsidP="00572B51">
            <w:pPr>
              <w:rPr>
                <w:sz w:val="20"/>
                <w:lang w:eastAsia="es-AR"/>
              </w:rPr>
            </w:pPr>
          </w:p>
        </w:tc>
        <w:tc>
          <w:tcPr>
            <w:tcW w:w="1620" w:type="dxa"/>
            <w:tcBorders>
              <w:top w:val="nil"/>
              <w:left w:val="nil"/>
              <w:bottom w:val="nil"/>
              <w:right w:val="nil"/>
            </w:tcBorders>
            <w:shd w:val="clear" w:color="auto" w:fill="auto"/>
            <w:noWrap/>
          </w:tcPr>
          <w:p w14:paraId="59C4155B" w14:textId="77777777" w:rsidR="004A148C" w:rsidRPr="00FC5122" w:rsidRDefault="004A148C" w:rsidP="00572B51">
            <w:pPr>
              <w:rPr>
                <w:sz w:val="20"/>
                <w:lang w:eastAsia="es-AR"/>
              </w:rPr>
            </w:pPr>
          </w:p>
        </w:tc>
        <w:tc>
          <w:tcPr>
            <w:tcW w:w="1620" w:type="dxa"/>
            <w:tcBorders>
              <w:top w:val="nil"/>
              <w:left w:val="nil"/>
              <w:bottom w:val="nil"/>
              <w:right w:val="nil"/>
            </w:tcBorders>
            <w:shd w:val="clear" w:color="auto" w:fill="auto"/>
            <w:noWrap/>
          </w:tcPr>
          <w:p w14:paraId="527428D6" w14:textId="77777777" w:rsidR="004A148C" w:rsidRPr="00FC5122" w:rsidRDefault="004A148C" w:rsidP="00572B51">
            <w:pPr>
              <w:rPr>
                <w:sz w:val="20"/>
                <w:lang w:eastAsia="es-AR"/>
              </w:rPr>
            </w:pPr>
          </w:p>
        </w:tc>
        <w:tc>
          <w:tcPr>
            <w:tcW w:w="1280" w:type="dxa"/>
            <w:tcBorders>
              <w:top w:val="nil"/>
              <w:left w:val="nil"/>
              <w:bottom w:val="nil"/>
              <w:right w:val="nil"/>
            </w:tcBorders>
            <w:shd w:val="clear" w:color="auto" w:fill="auto"/>
            <w:noWrap/>
          </w:tcPr>
          <w:p w14:paraId="4D4F7F58" w14:textId="77777777" w:rsidR="004A148C" w:rsidRPr="00FC5122" w:rsidRDefault="004A148C" w:rsidP="00572B51">
            <w:pPr>
              <w:rPr>
                <w:sz w:val="20"/>
                <w:lang w:eastAsia="es-AR"/>
              </w:rPr>
            </w:pPr>
          </w:p>
        </w:tc>
      </w:tr>
      <w:tr w:rsidR="00FC5122" w:rsidRPr="00FC5122" w14:paraId="1FEF5087" w14:textId="77777777" w:rsidTr="006B575B">
        <w:trPr>
          <w:trHeight w:val="259"/>
        </w:trPr>
        <w:tc>
          <w:tcPr>
            <w:tcW w:w="2160" w:type="dxa"/>
            <w:tcBorders>
              <w:top w:val="nil"/>
              <w:left w:val="nil"/>
              <w:bottom w:val="nil"/>
              <w:right w:val="nil"/>
            </w:tcBorders>
            <w:shd w:val="clear" w:color="auto" w:fill="auto"/>
            <w:noWrap/>
            <w:hideMark/>
          </w:tcPr>
          <w:p w14:paraId="77E53EB1" w14:textId="77777777" w:rsidR="00FC5122" w:rsidRPr="00FC5122" w:rsidRDefault="00FC5122" w:rsidP="00FC5122">
            <w:pPr>
              <w:rPr>
                <w:rFonts w:ascii="Arial" w:hAnsi="Arial" w:cs="Arial"/>
                <w:b/>
                <w:bCs/>
                <w:sz w:val="20"/>
                <w:lang w:eastAsia="es-AR"/>
              </w:rPr>
            </w:pPr>
            <w:r w:rsidRPr="00FC5122">
              <w:rPr>
                <w:rFonts w:ascii="Arial" w:hAnsi="Arial" w:cs="Arial"/>
                <w:b/>
                <w:bCs/>
                <w:sz w:val="20"/>
                <w:lang w:eastAsia="es-AR"/>
              </w:rPr>
              <w:t>TOTALES</w:t>
            </w:r>
          </w:p>
        </w:tc>
        <w:tc>
          <w:tcPr>
            <w:tcW w:w="3300" w:type="dxa"/>
            <w:tcBorders>
              <w:top w:val="nil"/>
              <w:left w:val="nil"/>
              <w:bottom w:val="nil"/>
              <w:right w:val="nil"/>
            </w:tcBorders>
            <w:shd w:val="clear" w:color="auto" w:fill="auto"/>
            <w:noWrap/>
            <w:hideMark/>
          </w:tcPr>
          <w:p w14:paraId="30A3157F" w14:textId="77777777" w:rsidR="00FC5122" w:rsidRPr="00FC5122" w:rsidRDefault="00FC5122" w:rsidP="00FC5122">
            <w:pPr>
              <w:rPr>
                <w:rFonts w:ascii="Arial" w:hAnsi="Arial" w:cs="Arial"/>
                <w:b/>
                <w:bCs/>
                <w:sz w:val="20"/>
                <w:lang w:eastAsia="es-AR"/>
              </w:rPr>
            </w:pPr>
          </w:p>
        </w:tc>
        <w:tc>
          <w:tcPr>
            <w:tcW w:w="1520" w:type="dxa"/>
            <w:tcBorders>
              <w:top w:val="nil"/>
              <w:left w:val="nil"/>
              <w:bottom w:val="nil"/>
              <w:right w:val="nil"/>
            </w:tcBorders>
            <w:shd w:val="clear" w:color="auto" w:fill="auto"/>
            <w:noWrap/>
          </w:tcPr>
          <w:p w14:paraId="7B7C7316" w14:textId="77777777" w:rsidR="00FC5122" w:rsidRPr="00FC5122" w:rsidRDefault="00FC5122" w:rsidP="00FC5122">
            <w:pPr>
              <w:rPr>
                <w:sz w:val="20"/>
                <w:lang w:eastAsia="es-AR"/>
              </w:rPr>
            </w:pPr>
          </w:p>
        </w:tc>
        <w:tc>
          <w:tcPr>
            <w:tcW w:w="1620" w:type="dxa"/>
            <w:tcBorders>
              <w:top w:val="single" w:sz="4" w:space="0" w:color="auto"/>
              <w:left w:val="nil"/>
              <w:bottom w:val="single" w:sz="4" w:space="0" w:color="auto"/>
              <w:right w:val="nil"/>
            </w:tcBorders>
            <w:shd w:val="clear" w:color="auto" w:fill="auto"/>
            <w:noWrap/>
            <w:vAlign w:val="center"/>
          </w:tcPr>
          <w:p w14:paraId="70581DE8" w14:textId="2377F7F6" w:rsidR="00FC5122" w:rsidRPr="00FC5122" w:rsidRDefault="00FC5122" w:rsidP="00FC5122">
            <w:pPr>
              <w:jc w:val="right"/>
              <w:rPr>
                <w:rFonts w:ascii="Arial" w:hAnsi="Arial" w:cs="Arial"/>
                <w:b/>
                <w:bCs/>
                <w:sz w:val="20"/>
                <w:lang w:eastAsia="es-AR"/>
              </w:rPr>
            </w:pPr>
            <w:r w:rsidRPr="00FC5122">
              <w:rPr>
                <w:rFonts w:ascii="Arial" w:hAnsi="Arial" w:cs="Arial"/>
                <w:b/>
                <w:sz w:val="20"/>
              </w:rPr>
              <w:t>756.736</w:t>
            </w:r>
          </w:p>
        </w:tc>
        <w:tc>
          <w:tcPr>
            <w:tcW w:w="1620" w:type="dxa"/>
            <w:tcBorders>
              <w:top w:val="single" w:sz="4" w:space="0" w:color="auto"/>
              <w:left w:val="nil"/>
              <w:bottom w:val="single" w:sz="4" w:space="0" w:color="auto"/>
              <w:right w:val="nil"/>
            </w:tcBorders>
            <w:shd w:val="clear" w:color="auto" w:fill="auto"/>
            <w:noWrap/>
            <w:vAlign w:val="center"/>
          </w:tcPr>
          <w:p w14:paraId="7F80447D" w14:textId="4C705150" w:rsidR="00FC5122" w:rsidRPr="00FC5122" w:rsidRDefault="00FC5122" w:rsidP="00FC5122">
            <w:pPr>
              <w:jc w:val="right"/>
              <w:rPr>
                <w:rFonts w:ascii="Arial" w:hAnsi="Arial" w:cs="Arial"/>
                <w:b/>
                <w:bCs/>
                <w:sz w:val="20"/>
                <w:lang w:eastAsia="es-AR"/>
              </w:rPr>
            </w:pPr>
            <w:r w:rsidRPr="00FC5122">
              <w:rPr>
                <w:rFonts w:ascii="Arial" w:hAnsi="Arial" w:cs="Arial"/>
                <w:b/>
                <w:sz w:val="20"/>
              </w:rPr>
              <w:t>574.495</w:t>
            </w:r>
          </w:p>
        </w:tc>
        <w:tc>
          <w:tcPr>
            <w:tcW w:w="1620" w:type="dxa"/>
            <w:tcBorders>
              <w:top w:val="single" w:sz="4" w:space="0" w:color="auto"/>
              <w:left w:val="nil"/>
              <w:bottom w:val="single" w:sz="4" w:space="0" w:color="auto"/>
              <w:right w:val="nil"/>
            </w:tcBorders>
            <w:shd w:val="clear" w:color="auto" w:fill="auto"/>
            <w:noWrap/>
            <w:vAlign w:val="center"/>
          </w:tcPr>
          <w:p w14:paraId="76D06F4F" w14:textId="0BEC45B4" w:rsidR="00FC5122" w:rsidRPr="00FC5122" w:rsidRDefault="00FC5122" w:rsidP="00FC5122">
            <w:pPr>
              <w:jc w:val="right"/>
              <w:rPr>
                <w:rFonts w:ascii="Arial" w:hAnsi="Arial" w:cs="Arial"/>
                <w:b/>
                <w:bCs/>
                <w:sz w:val="20"/>
                <w:lang w:eastAsia="es-AR"/>
              </w:rPr>
            </w:pPr>
            <w:r w:rsidRPr="00FC5122">
              <w:rPr>
                <w:rFonts w:ascii="Arial" w:hAnsi="Arial" w:cs="Arial"/>
                <w:b/>
                <w:sz w:val="20"/>
              </w:rPr>
              <w:t>1.331.231</w:t>
            </w:r>
          </w:p>
        </w:tc>
        <w:tc>
          <w:tcPr>
            <w:tcW w:w="1280" w:type="dxa"/>
            <w:tcBorders>
              <w:top w:val="single" w:sz="4" w:space="0" w:color="auto"/>
              <w:left w:val="nil"/>
              <w:bottom w:val="single" w:sz="4" w:space="0" w:color="auto"/>
              <w:right w:val="nil"/>
            </w:tcBorders>
            <w:shd w:val="clear" w:color="auto" w:fill="auto"/>
            <w:noWrap/>
            <w:vAlign w:val="center"/>
          </w:tcPr>
          <w:p w14:paraId="354B2C4D" w14:textId="023AC37D" w:rsidR="00FC5122" w:rsidRPr="00FC5122" w:rsidRDefault="00FC5122" w:rsidP="00FC5122">
            <w:pPr>
              <w:jc w:val="right"/>
              <w:rPr>
                <w:rFonts w:ascii="Arial" w:hAnsi="Arial" w:cs="Arial"/>
                <w:b/>
                <w:bCs/>
                <w:sz w:val="20"/>
                <w:lang w:eastAsia="es-AR"/>
              </w:rPr>
            </w:pPr>
            <w:r w:rsidRPr="00FC5122">
              <w:rPr>
                <w:rFonts w:ascii="Arial" w:hAnsi="Arial" w:cs="Arial"/>
                <w:b/>
                <w:sz w:val="20"/>
              </w:rPr>
              <w:t>329.719</w:t>
            </w:r>
          </w:p>
        </w:tc>
      </w:tr>
    </w:tbl>
    <w:p w14:paraId="34D88344" w14:textId="18C23FEA" w:rsidR="004A148C" w:rsidRDefault="004A148C" w:rsidP="00276790">
      <w:pPr>
        <w:rPr>
          <w:sz w:val="20"/>
          <w:lang w:eastAsia="es-AR"/>
        </w:rPr>
      </w:pPr>
    </w:p>
    <w:p w14:paraId="6F1AB0D9" w14:textId="77777777" w:rsidR="004A148C" w:rsidRDefault="004A148C">
      <w:pPr>
        <w:rPr>
          <w:sz w:val="20"/>
          <w:lang w:eastAsia="es-AR"/>
        </w:rPr>
      </w:pPr>
      <w:r>
        <w:rPr>
          <w:sz w:val="20"/>
          <w:lang w:eastAsia="es-AR"/>
        </w:rPr>
        <w:br w:type="page"/>
      </w:r>
    </w:p>
    <w:tbl>
      <w:tblPr>
        <w:tblW w:w="13380" w:type="dxa"/>
        <w:jc w:val="center"/>
        <w:tblCellMar>
          <w:left w:w="70" w:type="dxa"/>
          <w:right w:w="70" w:type="dxa"/>
        </w:tblCellMar>
        <w:tblLook w:val="04A0" w:firstRow="1" w:lastRow="0" w:firstColumn="1" w:lastColumn="0" w:noHBand="0" w:noVBand="1"/>
      </w:tblPr>
      <w:tblGrid>
        <w:gridCol w:w="2811"/>
        <w:gridCol w:w="977"/>
        <w:gridCol w:w="1052"/>
        <w:gridCol w:w="1214"/>
        <w:gridCol w:w="941"/>
        <w:gridCol w:w="674"/>
        <w:gridCol w:w="1111"/>
        <w:gridCol w:w="1279"/>
        <w:gridCol w:w="977"/>
        <w:gridCol w:w="1172"/>
        <w:gridCol w:w="1172"/>
      </w:tblGrid>
      <w:tr w:rsidR="004A148C" w:rsidRPr="00FC5122" w14:paraId="3BC886E0" w14:textId="77777777" w:rsidTr="00FC5122">
        <w:trPr>
          <w:trHeight w:val="285"/>
          <w:jc w:val="center"/>
        </w:trPr>
        <w:tc>
          <w:tcPr>
            <w:tcW w:w="2811"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3C478D3E"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Concepto</w:t>
            </w:r>
          </w:p>
        </w:tc>
        <w:tc>
          <w:tcPr>
            <w:tcW w:w="977"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00257D2"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Valor de origen al inicio del ejercicio</w:t>
            </w:r>
          </w:p>
        </w:tc>
        <w:tc>
          <w:tcPr>
            <w:tcW w:w="1052"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14EFD408"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Vida Útil total estimada en años</w:t>
            </w:r>
          </w:p>
        </w:tc>
        <w:tc>
          <w:tcPr>
            <w:tcW w:w="1214"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4FA5E7FC"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Pérdida/ Ganancia Neta por medición a VR</w:t>
            </w:r>
          </w:p>
        </w:tc>
        <w:tc>
          <w:tcPr>
            <w:tcW w:w="941"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AC1876A"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Altas</w:t>
            </w:r>
          </w:p>
        </w:tc>
        <w:tc>
          <w:tcPr>
            <w:tcW w:w="674"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5D74B151"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Bajas</w:t>
            </w:r>
          </w:p>
        </w:tc>
        <w:tc>
          <w:tcPr>
            <w:tcW w:w="3367" w:type="dxa"/>
            <w:gridSpan w:val="3"/>
            <w:tcBorders>
              <w:top w:val="single" w:sz="4" w:space="0" w:color="363639"/>
              <w:left w:val="nil"/>
              <w:bottom w:val="single" w:sz="4" w:space="0" w:color="363639"/>
              <w:right w:val="nil"/>
            </w:tcBorders>
            <w:shd w:val="clear" w:color="auto" w:fill="BFBFBF" w:themeFill="background1" w:themeFillShade="BF"/>
            <w:hideMark/>
          </w:tcPr>
          <w:p w14:paraId="60C35906" w14:textId="77777777" w:rsidR="004A148C" w:rsidRPr="00FC5122" w:rsidRDefault="004A148C" w:rsidP="004A148C">
            <w:pPr>
              <w:ind w:firstLineChars="600" w:firstLine="1084"/>
              <w:rPr>
                <w:rFonts w:ascii="Arial" w:hAnsi="Arial" w:cs="Arial"/>
                <w:b/>
                <w:bCs/>
                <w:sz w:val="18"/>
                <w:szCs w:val="18"/>
                <w:lang w:eastAsia="es-AR"/>
              </w:rPr>
            </w:pPr>
            <w:r w:rsidRPr="00FC5122">
              <w:rPr>
                <w:rFonts w:ascii="Arial" w:hAnsi="Arial" w:cs="Arial"/>
                <w:b/>
                <w:bCs/>
                <w:sz w:val="18"/>
                <w:szCs w:val="18"/>
                <w:lang w:eastAsia="es-AR"/>
              </w:rPr>
              <w:t>Depreciación</w:t>
            </w:r>
          </w:p>
        </w:tc>
        <w:tc>
          <w:tcPr>
            <w:tcW w:w="1172"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413B2AE6" w14:textId="3797B91E"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Valor residual al 31/12/2019</w:t>
            </w:r>
          </w:p>
        </w:tc>
        <w:tc>
          <w:tcPr>
            <w:tcW w:w="1172"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15E98CBA" w14:textId="35B6CC43"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Valor residual al 31/12/2018</w:t>
            </w:r>
          </w:p>
        </w:tc>
      </w:tr>
      <w:tr w:rsidR="004A148C" w:rsidRPr="00FC5122" w14:paraId="1DF355ED" w14:textId="77777777" w:rsidTr="00FC5122">
        <w:trPr>
          <w:trHeight w:val="1095"/>
          <w:jc w:val="center"/>
        </w:trPr>
        <w:tc>
          <w:tcPr>
            <w:tcW w:w="2811" w:type="dxa"/>
            <w:vMerge/>
            <w:tcBorders>
              <w:top w:val="single" w:sz="4" w:space="0" w:color="363639"/>
              <w:left w:val="single" w:sz="4" w:space="0" w:color="363639"/>
              <w:bottom w:val="single" w:sz="4" w:space="0" w:color="363639"/>
              <w:right w:val="single" w:sz="4" w:space="0" w:color="363639"/>
            </w:tcBorders>
            <w:vAlign w:val="center"/>
            <w:hideMark/>
          </w:tcPr>
          <w:p w14:paraId="16EB07E9" w14:textId="77777777" w:rsidR="004A148C" w:rsidRPr="00FC5122" w:rsidRDefault="004A148C" w:rsidP="004A148C">
            <w:pPr>
              <w:rPr>
                <w:rFonts w:ascii="Arial" w:hAnsi="Arial" w:cs="Arial"/>
                <w:b/>
                <w:bCs/>
                <w:sz w:val="18"/>
                <w:szCs w:val="18"/>
                <w:lang w:eastAsia="es-AR"/>
              </w:rPr>
            </w:pPr>
          </w:p>
        </w:tc>
        <w:tc>
          <w:tcPr>
            <w:tcW w:w="977" w:type="dxa"/>
            <w:vMerge/>
            <w:tcBorders>
              <w:top w:val="single" w:sz="4" w:space="0" w:color="363639"/>
              <w:left w:val="single" w:sz="4" w:space="0" w:color="363639"/>
              <w:bottom w:val="single" w:sz="4" w:space="0" w:color="363639"/>
              <w:right w:val="single" w:sz="4" w:space="0" w:color="363639"/>
            </w:tcBorders>
            <w:vAlign w:val="center"/>
            <w:hideMark/>
          </w:tcPr>
          <w:p w14:paraId="519B2287" w14:textId="77777777" w:rsidR="004A148C" w:rsidRPr="00FC5122" w:rsidRDefault="004A148C" w:rsidP="004A148C">
            <w:pPr>
              <w:rPr>
                <w:rFonts w:ascii="Arial" w:hAnsi="Arial" w:cs="Arial"/>
                <w:b/>
                <w:bCs/>
                <w:sz w:val="18"/>
                <w:szCs w:val="18"/>
                <w:lang w:eastAsia="es-AR"/>
              </w:rPr>
            </w:pPr>
          </w:p>
        </w:tc>
        <w:tc>
          <w:tcPr>
            <w:tcW w:w="1052" w:type="dxa"/>
            <w:vMerge/>
            <w:tcBorders>
              <w:top w:val="single" w:sz="4" w:space="0" w:color="363639"/>
              <w:left w:val="single" w:sz="4" w:space="0" w:color="363639"/>
              <w:bottom w:val="single" w:sz="4" w:space="0" w:color="363639"/>
              <w:right w:val="single" w:sz="4" w:space="0" w:color="363639"/>
            </w:tcBorders>
            <w:vAlign w:val="center"/>
            <w:hideMark/>
          </w:tcPr>
          <w:p w14:paraId="47886750" w14:textId="77777777" w:rsidR="004A148C" w:rsidRPr="00FC5122" w:rsidRDefault="004A148C" w:rsidP="004A148C">
            <w:pPr>
              <w:rPr>
                <w:rFonts w:ascii="Arial" w:hAnsi="Arial" w:cs="Arial"/>
                <w:b/>
                <w:bCs/>
                <w:sz w:val="18"/>
                <w:szCs w:val="18"/>
                <w:lang w:eastAsia="es-AR"/>
              </w:rPr>
            </w:pPr>
          </w:p>
        </w:tc>
        <w:tc>
          <w:tcPr>
            <w:tcW w:w="1214" w:type="dxa"/>
            <w:vMerge/>
            <w:tcBorders>
              <w:top w:val="single" w:sz="4" w:space="0" w:color="363639"/>
              <w:left w:val="single" w:sz="4" w:space="0" w:color="363639"/>
              <w:bottom w:val="single" w:sz="4" w:space="0" w:color="363639"/>
              <w:right w:val="single" w:sz="4" w:space="0" w:color="363639"/>
            </w:tcBorders>
            <w:vAlign w:val="center"/>
            <w:hideMark/>
          </w:tcPr>
          <w:p w14:paraId="56F052D6" w14:textId="77777777" w:rsidR="004A148C" w:rsidRPr="00FC5122" w:rsidRDefault="004A148C" w:rsidP="004A148C">
            <w:pPr>
              <w:rPr>
                <w:rFonts w:ascii="Arial" w:hAnsi="Arial" w:cs="Arial"/>
                <w:b/>
                <w:bCs/>
                <w:sz w:val="18"/>
                <w:szCs w:val="18"/>
                <w:lang w:eastAsia="es-AR"/>
              </w:rPr>
            </w:pPr>
          </w:p>
        </w:tc>
        <w:tc>
          <w:tcPr>
            <w:tcW w:w="941" w:type="dxa"/>
            <w:vMerge/>
            <w:tcBorders>
              <w:top w:val="single" w:sz="4" w:space="0" w:color="363639"/>
              <w:left w:val="single" w:sz="4" w:space="0" w:color="363639"/>
              <w:bottom w:val="single" w:sz="4" w:space="0" w:color="363639"/>
              <w:right w:val="single" w:sz="4" w:space="0" w:color="363639"/>
            </w:tcBorders>
            <w:vAlign w:val="center"/>
            <w:hideMark/>
          </w:tcPr>
          <w:p w14:paraId="5CA6AF5C" w14:textId="77777777" w:rsidR="004A148C" w:rsidRPr="00FC5122" w:rsidRDefault="004A148C" w:rsidP="004A148C">
            <w:pPr>
              <w:rPr>
                <w:rFonts w:ascii="Arial" w:hAnsi="Arial" w:cs="Arial"/>
                <w:b/>
                <w:bCs/>
                <w:sz w:val="18"/>
                <w:szCs w:val="18"/>
                <w:lang w:eastAsia="es-AR"/>
              </w:rPr>
            </w:pPr>
          </w:p>
        </w:tc>
        <w:tc>
          <w:tcPr>
            <w:tcW w:w="674" w:type="dxa"/>
            <w:vMerge/>
            <w:tcBorders>
              <w:top w:val="single" w:sz="4" w:space="0" w:color="363639"/>
              <w:left w:val="single" w:sz="4" w:space="0" w:color="363639"/>
              <w:bottom w:val="single" w:sz="4" w:space="0" w:color="363639"/>
              <w:right w:val="single" w:sz="4" w:space="0" w:color="363639"/>
            </w:tcBorders>
            <w:vAlign w:val="center"/>
            <w:hideMark/>
          </w:tcPr>
          <w:p w14:paraId="01A2518A" w14:textId="77777777" w:rsidR="004A148C" w:rsidRPr="00FC5122" w:rsidRDefault="004A148C" w:rsidP="004A148C">
            <w:pPr>
              <w:rPr>
                <w:rFonts w:ascii="Arial" w:hAnsi="Arial" w:cs="Arial"/>
                <w:b/>
                <w:bCs/>
                <w:sz w:val="18"/>
                <w:szCs w:val="18"/>
                <w:lang w:eastAsia="es-AR"/>
              </w:rPr>
            </w:pPr>
          </w:p>
        </w:tc>
        <w:tc>
          <w:tcPr>
            <w:tcW w:w="1111" w:type="dxa"/>
            <w:tcBorders>
              <w:top w:val="nil"/>
              <w:left w:val="nil"/>
              <w:bottom w:val="single" w:sz="4" w:space="0" w:color="363639"/>
              <w:right w:val="single" w:sz="4" w:space="0" w:color="363639"/>
            </w:tcBorders>
            <w:shd w:val="clear" w:color="auto" w:fill="BFBFBF" w:themeFill="background1" w:themeFillShade="BF"/>
            <w:vAlign w:val="center"/>
            <w:hideMark/>
          </w:tcPr>
          <w:p w14:paraId="4B1ECAF0" w14:textId="544EC798" w:rsidR="004A148C" w:rsidRPr="00FC5122" w:rsidRDefault="00FC5122" w:rsidP="004A148C">
            <w:pPr>
              <w:jc w:val="center"/>
              <w:rPr>
                <w:rFonts w:ascii="Arial" w:hAnsi="Arial" w:cs="Arial"/>
                <w:b/>
                <w:bCs/>
                <w:sz w:val="18"/>
                <w:szCs w:val="18"/>
                <w:lang w:eastAsia="es-AR"/>
              </w:rPr>
            </w:pPr>
            <w:r w:rsidRPr="00FC5122">
              <w:rPr>
                <w:rFonts w:ascii="Arial" w:hAnsi="Arial" w:cs="Arial"/>
                <w:b/>
                <w:bCs/>
                <w:sz w:val="18"/>
                <w:szCs w:val="18"/>
                <w:lang w:eastAsia="es-AR"/>
              </w:rPr>
              <w:t>Acumulada</w:t>
            </w:r>
          </w:p>
        </w:tc>
        <w:tc>
          <w:tcPr>
            <w:tcW w:w="1279" w:type="dxa"/>
            <w:tcBorders>
              <w:top w:val="nil"/>
              <w:left w:val="nil"/>
              <w:bottom w:val="single" w:sz="4" w:space="0" w:color="363639"/>
              <w:right w:val="single" w:sz="4" w:space="0" w:color="363639"/>
            </w:tcBorders>
            <w:shd w:val="clear" w:color="auto" w:fill="BFBFBF" w:themeFill="background1" w:themeFillShade="BF"/>
            <w:vAlign w:val="center"/>
            <w:hideMark/>
          </w:tcPr>
          <w:p w14:paraId="775C2EAE" w14:textId="46D91523"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 xml:space="preserve">Del </w:t>
            </w:r>
            <w:r w:rsidR="00835461" w:rsidRPr="00FC5122">
              <w:rPr>
                <w:rFonts w:ascii="Arial" w:hAnsi="Arial" w:cs="Arial"/>
                <w:b/>
                <w:bCs/>
                <w:sz w:val="18"/>
                <w:szCs w:val="18"/>
                <w:lang w:eastAsia="es-AR"/>
              </w:rPr>
              <w:t>ejercicio</w:t>
            </w:r>
          </w:p>
        </w:tc>
        <w:tc>
          <w:tcPr>
            <w:tcW w:w="977" w:type="dxa"/>
            <w:tcBorders>
              <w:top w:val="nil"/>
              <w:left w:val="nil"/>
              <w:bottom w:val="single" w:sz="4" w:space="0" w:color="363639"/>
              <w:right w:val="single" w:sz="4" w:space="0" w:color="363639"/>
            </w:tcBorders>
            <w:shd w:val="clear" w:color="auto" w:fill="BFBFBF" w:themeFill="background1" w:themeFillShade="BF"/>
            <w:vAlign w:val="center"/>
            <w:hideMark/>
          </w:tcPr>
          <w:p w14:paraId="2677B82E"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Al cierre</w:t>
            </w:r>
          </w:p>
        </w:tc>
        <w:tc>
          <w:tcPr>
            <w:tcW w:w="1172" w:type="dxa"/>
            <w:vMerge/>
            <w:tcBorders>
              <w:top w:val="single" w:sz="4" w:space="0" w:color="363639"/>
              <w:left w:val="single" w:sz="4" w:space="0" w:color="363639"/>
              <w:bottom w:val="single" w:sz="4" w:space="0" w:color="363639"/>
              <w:right w:val="single" w:sz="4" w:space="0" w:color="363639"/>
            </w:tcBorders>
            <w:vAlign w:val="center"/>
            <w:hideMark/>
          </w:tcPr>
          <w:p w14:paraId="59E19700" w14:textId="77777777" w:rsidR="004A148C" w:rsidRPr="00FC5122" w:rsidRDefault="004A148C" w:rsidP="004A148C">
            <w:pPr>
              <w:rPr>
                <w:rFonts w:ascii="Arial" w:hAnsi="Arial" w:cs="Arial"/>
                <w:b/>
                <w:bCs/>
                <w:sz w:val="18"/>
                <w:szCs w:val="18"/>
                <w:lang w:eastAsia="es-AR"/>
              </w:rPr>
            </w:pPr>
          </w:p>
        </w:tc>
        <w:tc>
          <w:tcPr>
            <w:tcW w:w="1172" w:type="dxa"/>
            <w:vMerge/>
            <w:tcBorders>
              <w:top w:val="single" w:sz="4" w:space="0" w:color="363639"/>
              <w:left w:val="single" w:sz="4" w:space="0" w:color="363639"/>
              <w:bottom w:val="single" w:sz="4" w:space="0" w:color="363639"/>
              <w:right w:val="single" w:sz="4" w:space="0" w:color="363639"/>
            </w:tcBorders>
            <w:vAlign w:val="center"/>
            <w:hideMark/>
          </w:tcPr>
          <w:p w14:paraId="3E6AB01E" w14:textId="77777777" w:rsidR="004A148C" w:rsidRPr="00FC5122" w:rsidRDefault="004A148C" w:rsidP="004A148C">
            <w:pPr>
              <w:rPr>
                <w:rFonts w:ascii="Arial" w:hAnsi="Arial" w:cs="Arial"/>
                <w:b/>
                <w:bCs/>
                <w:sz w:val="18"/>
                <w:szCs w:val="18"/>
                <w:lang w:eastAsia="es-AR"/>
              </w:rPr>
            </w:pPr>
          </w:p>
        </w:tc>
      </w:tr>
      <w:tr w:rsidR="004A148C" w:rsidRPr="00FC5122" w14:paraId="4C21742D" w14:textId="77777777" w:rsidTr="00FC5122">
        <w:trPr>
          <w:trHeight w:val="285"/>
          <w:jc w:val="center"/>
        </w:trPr>
        <w:tc>
          <w:tcPr>
            <w:tcW w:w="2811" w:type="dxa"/>
            <w:tcBorders>
              <w:top w:val="nil"/>
              <w:left w:val="nil"/>
              <w:bottom w:val="nil"/>
              <w:right w:val="nil"/>
            </w:tcBorders>
            <w:shd w:val="clear" w:color="auto" w:fill="auto"/>
            <w:vAlign w:val="bottom"/>
            <w:hideMark/>
          </w:tcPr>
          <w:p w14:paraId="1B343593" w14:textId="77777777" w:rsidR="004A148C" w:rsidRPr="00FC5122" w:rsidRDefault="004A148C" w:rsidP="004A148C">
            <w:pPr>
              <w:ind w:firstLineChars="700" w:firstLine="1265"/>
              <w:rPr>
                <w:rFonts w:ascii="Arial" w:hAnsi="Arial" w:cs="Arial"/>
                <w:b/>
                <w:bCs/>
                <w:sz w:val="18"/>
                <w:szCs w:val="18"/>
                <w:lang w:eastAsia="es-AR"/>
              </w:rPr>
            </w:pPr>
            <w:r w:rsidRPr="00FC5122">
              <w:rPr>
                <w:rFonts w:ascii="Arial" w:hAnsi="Arial" w:cs="Arial"/>
                <w:b/>
                <w:bCs/>
                <w:sz w:val="18"/>
                <w:szCs w:val="18"/>
                <w:lang w:eastAsia="es-AR"/>
              </w:rPr>
              <w:t> </w:t>
            </w:r>
          </w:p>
        </w:tc>
        <w:tc>
          <w:tcPr>
            <w:tcW w:w="977" w:type="dxa"/>
            <w:tcBorders>
              <w:top w:val="nil"/>
              <w:left w:val="nil"/>
              <w:bottom w:val="nil"/>
              <w:right w:val="nil"/>
            </w:tcBorders>
            <w:shd w:val="clear" w:color="auto" w:fill="auto"/>
            <w:vAlign w:val="center"/>
            <w:hideMark/>
          </w:tcPr>
          <w:p w14:paraId="3CF7FF07" w14:textId="77777777" w:rsidR="004A148C" w:rsidRPr="00FC5122" w:rsidRDefault="004A148C" w:rsidP="004A148C">
            <w:pPr>
              <w:ind w:firstLineChars="700" w:firstLine="1265"/>
              <w:rPr>
                <w:rFonts w:ascii="Arial" w:hAnsi="Arial" w:cs="Arial"/>
                <w:b/>
                <w:bCs/>
                <w:sz w:val="18"/>
                <w:szCs w:val="18"/>
                <w:lang w:eastAsia="es-AR"/>
              </w:rPr>
            </w:pPr>
          </w:p>
        </w:tc>
        <w:tc>
          <w:tcPr>
            <w:tcW w:w="1052" w:type="dxa"/>
            <w:tcBorders>
              <w:top w:val="nil"/>
              <w:left w:val="nil"/>
              <w:bottom w:val="nil"/>
              <w:right w:val="nil"/>
            </w:tcBorders>
            <w:shd w:val="clear" w:color="auto" w:fill="auto"/>
            <w:vAlign w:val="center"/>
            <w:hideMark/>
          </w:tcPr>
          <w:p w14:paraId="10FF72FB" w14:textId="77777777" w:rsidR="004A148C" w:rsidRPr="00FC5122" w:rsidRDefault="004A148C" w:rsidP="004A148C">
            <w:pPr>
              <w:jc w:val="center"/>
              <w:rPr>
                <w:sz w:val="18"/>
                <w:szCs w:val="18"/>
                <w:lang w:eastAsia="es-AR"/>
              </w:rPr>
            </w:pPr>
          </w:p>
        </w:tc>
        <w:tc>
          <w:tcPr>
            <w:tcW w:w="1214" w:type="dxa"/>
            <w:tcBorders>
              <w:top w:val="nil"/>
              <w:left w:val="nil"/>
              <w:bottom w:val="nil"/>
              <w:right w:val="nil"/>
            </w:tcBorders>
            <w:shd w:val="clear" w:color="auto" w:fill="auto"/>
            <w:hideMark/>
          </w:tcPr>
          <w:p w14:paraId="32EACCF1" w14:textId="77777777" w:rsidR="004A148C" w:rsidRPr="00FC5122" w:rsidRDefault="004A148C" w:rsidP="004A148C">
            <w:pPr>
              <w:jc w:val="center"/>
              <w:rPr>
                <w:sz w:val="18"/>
                <w:szCs w:val="18"/>
                <w:lang w:eastAsia="es-AR"/>
              </w:rPr>
            </w:pPr>
          </w:p>
        </w:tc>
        <w:tc>
          <w:tcPr>
            <w:tcW w:w="941" w:type="dxa"/>
            <w:tcBorders>
              <w:top w:val="nil"/>
              <w:left w:val="nil"/>
              <w:bottom w:val="nil"/>
              <w:right w:val="nil"/>
            </w:tcBorders>
            <w:shd w:val="clear" w:color="auto" w:fill="auto"/>
            <w:vAlign w:val="center"/>
            <w:hideMark/>
          </w:tcPr>
          <w:p w14:paraId="74C51782" w14:textId="77777777" w:rsidR="004A148C" w:rsidRPr="00FC5122" w:rsidRDefault="004A148C" w:rsidP="004A148C">
            <w:pPr>
              <w:jc w:val="right"/>
              <w:rPr>
                <w:sz w:val="18"/>
                <w:szCs w:val="18"/>
                <w:lang w:eastAsia="es-AR"/>
              </w:rPr>
            </w:pPr>
          </w:p>
        </w:tc>
        <w:tc>
          <w:tcPr>
            <w:tcW w:w="674" w:type="dxa"/>
            <w:tcBorders>
              <w:top w:val="nil"/>
              <w:left w:val="nil"/>
              <w:bottom w:val="nil"/>
              <w:right w:val="nil"/>
            </w:tcBorders>
            <w:shd w:val="clear" w:color="auto" w:fill="auto"/>
            <w:vAlign w:val="center"/>
            <w:hideMark/>
          </w:tcPr>
          <w:p w14:paraId="4823CDE3" w14:textId="77777777" w:rsidR="004A148C" w:rsidRPr="00FC5122" w:rsidRDefault="004A148C" w:rsidP="004A148C">
            <w:pPr>
              <w:jc w:val="right"/>
              <w:rPr>
                <w:sz w:val="18"/>
                <w:szCs w:val="18"/>
                <w:lang w:eastAsia="es-AR"/>
              </w:rPr>
            </w:pPr>
          </w:p>
        </w:tc>
        <w:tc>
          <w:tcPr>
            <w:tcW w:w="1111" w:type="dxa"/>
            <w:tcBorders>
              <w:top w:val="nil"/>
              <w:left w:val="nil"/>
              <w:bottom w:val="nil"/>
              <w:right w:val="nil"/>
            </w:tcBorders>
            <w:shd w:val="clear" w:color="auto" w:fill="auto"/>
            <w:vAlign w:val="center"/>
            <w:hideMark/>
          </w:tcPr>
          <w:p w14:paraId="209E5A74" w14:textId="77777777" w:rsidR="004A148C" w:rsidRPr="00FC5122" w:rsidRDefault="004A148C" w:rsidP="004A148C">
            <w:pPr>
              <w:jc w:val="right"/>
              <w:rPr>
                <w:rFonts w:ascii="Arial" w:hAnsi="Arial" w:cs="Arial"/>
                <w:b/>
                <w:bCs/>
                <w:sz w:val="18"/>
                <w:szCs w:val="18"/>
                <w:lang w:eastAsia="es-AR"/>
              </w:rPr>
            </w:pPr>
            <w:r w:rsidRPr="00FC5122">
              <w:rPr>
                <w:rFonts w:ascii="Arial" w:hAnsi="Arial" w:cs="Arial"/>
                <w:b/>
                <w:bCs/>
                <w:sz w:val="18"/>
                <w:szCs w:val="18"/>
                <w:lang w:eastAsia="es-AR"/>
              </w:rPr>
              <w:t> </w:t>
            </w:r>
          </w:p>
        </w:tc>
        <w:tc>
          <w:tcPr>
            <w:tcW w:w="1279" w:type="dxa"/>
            <w:tcBorders>
              <w:top w:val="nil"/>
              <w:left w:val="nil"/>
              <w:bottom w:val="nil"/>
              <w:right w:val="nil"/>
            </w:tcBorders>
            <w:shd w:val="clear" w:color="auto" w:fill="auto"/>
            <w:hideMark/>
          </w:tcPr>
          <w:p w14:paraId="7600D793" w14:textId="77777777" w:rsidR="004A148C" w:rsidRPr="00FC5122" w:rsidRDefault="004A148C" w:rsidP="004A148C">
            <w:pPr>
              <w:jc w:val="right"/>
              <w:rPr>
                <w:rFonts w:ascii="Arial" w:hAnsi="Arial" w:cs="Arial"/>
                <w:b/>
                <w:bCs/>
                <w:sz w:val="18"/>
                <w:szCs w:val="18"/>
                <w:lang w:eastAsia="es-AR"/>
              </w:rPr>
            </w:pPr>
            <w:r w:rsidRPr="00FC5122">
              <w:rPr>
                <w:rFonts w:ascii="Arial" w:hAnsi="Arial" w:cs="Arial"/>
                <w:b/>
                <w:bCs/>
                <w:sz w:val="18"/>
                <w:szCs w:val="18"/>
                <w:lang w:eastAsia="es-AR"/>
              </w:rPr>
              <w:t> </w:t>
            </w:r>
          </w:p>
        </w:tc>
        <w:tc>
          <w:tcPr>
            <w:tcW w:w="977" w:type="dxa"/>
            <w:tcBorders>
              <w:top w:val="nil"/>
              <w:left w:val="nil"/>
              <w:bottom w:val="nil"/>
              <w:right w:val="nil"/>
            </w:tcBorders>
            <w:shd w:val="clear" w:color="auto" w:fill="auto"/>
            <w:hideMark/>
          </w:tcPr>
          <w:p w14:paraId="195B0E87" w14:textId="77777777" w:rsidR="004A148C" w:rsidRPr="00FC5122" w:rsidRDefault="004A148C" w:rsidP="004A148C">
            <w:pPr>
              <w:jc w:val="right"/>
              <w:rPr>
                <w:rFonts w:ascii="Arial" w:hAnsi="Arial" w:cs="Arial"/>
                <w:b/>
                <w:bCs/>
                <w:sz w:val="18"/>
                <w:szCs w:val="18"/>
                <w:lang w:eastAsia="es-AR"/>
              </w:rPr>
            </w:pPr>
            <w:r w:rsidRPr="00FC5122">
              <w:rPr>
                <w:rFonts w:ascii="Arial" w:hAnsi="Arial" w:cs="Arial"/>
                <w:b/>
                <w:bCs/>
                <w:sz w:val="18"/>
                <w:szCs w:val="18"/>
                <w:lang w:eastAsia="es-AR"/>
              </w:rPr>
              <w:t> </w:t>
            </w:r>
          </w:p>
        </w:tc>
        <w:tc>
          <w:tcPr>
            <w:tcW w:w="1172" w:type="dxa"/>
            <w:tcBorders>
              <w:top w:val="nil"/>
              <w:left w:val="nil"/>
              <w:bottom w:val="nil"/>
              <w:right w:val="nil"/>
            </w:tcBorders>
            <w:shd w:val="clear" w:color="auto" w:fill="auto"/>
            <w:hideMark/>
          </w:tcPr>
          <w:p w14:paraId="554908B7" w14:textId="77777777" w:rsidR="004A148C" w:rsidRPr="00FC5122" w:rsidRDefault="004A148C" w:rsidP="004A148C">
            <w:pPr>
              <w:jc w:val="right"/>
              <w:rPr>
                <w:rFonts w:ascii="Arial" w:hAnsi="Arial" w:cs="Arial"/>
                <w:b/>
                <w:bCs/>
                <w:sz w:val="18"/>
                <w:szCs w:val="18"/>
                <w:lang w:eastAsia="es-AR"/>
              </w:rPr>
            </w:pPr>
          </w:p>
        </w:tc>
        <w:tc>
          <w:tcPr>
            <w:tcW w:w="1172" w:type="dxa"/>
            <w:tcBorders>
              <w:top w:val="nil"/>
              <w:left w:val="nil"/>
              <w:bottom w:val="nil"/>
              <w:right w:val="nil"/>
            </w:tcBorders>
            <w:shd w:val="clear" w:color="auto" w:fill="auto"/>
            <w:hideMark/>
          </w:tcPr>
          <w:p w14:paraId="6DE02CBE" w14:textId="77777777" w:rsidR="004A148C" w:rsidRPr="00FC5122" w:rsidRDefault="004A148C" w:rsidP="004A148C">
            <w:pPr>
              <w:jc w:val="right"/>
              <w:rPr>
                <w:sz w:val="18"/>
                <w:szCs w:val="18"/>
                <w:lang w:eastAsia="es-AR"/>
              </w:rPr>
            </w:pPr>
          </w:p>
        </w:tc>
      </w:tr>
      <w:tr w:rsidR="004A148C" w:rsidRPr="00FC5122" w14:paraId="7F52F3A1" w14:textId="77777777" w:rsidTr="00FC5122">
        <w:trPr>
          <w:trHeight w:val="300"/>
          <w:jc w:val="center"/>
        </w:trPr>
        <w:tc>
          <w:tcPr>
            <w:tcW w:w="2811" w:type="dxa"/>
            <w:tcBorders>
              <w:top w:val="nil"/>
              <w:left w:val="nil"/>
              <w:bottom w:val="nil"/>
              <w:right w:val="nil"/>
            </w:tcBorders>
            <w:shd w:val="clear" w:color="auto" w:fill="auto"/>
            <w:hideMark/>
          </w:tcPr>
          <w:p w14:paraId="3A72C5A1" w14:textId="77777777" w:rsidR="004A148C" w:rsidRPr="00FC5122" w:rsidRDefault="004A148C" w:rsidP="004A148C">
            <w:pPr>
              <w:rPr>
                <w:rFonts w:ascii="Arial" w:hAnsi="Arial" w:cs="Arial"/>
                <w:b/>
                <w:bCs/>
                <w:sz w:val="18"/>
                <w:szCs w:val="18"/>
                <w:lang w:eastAsia="es-AR"/>
              </w:rPr>
            </w:pPr>
            <w:r w:rsidRPr="00FC5122">
              <w:rPr>
                <w:rFonts w:ascii="Arial" w:hAnsi="Arial" w:cs="Arial"/>
                <w:b/>
                <w:bCs/>
                <w:sz w:val="18"/>
                <w:szCs w:val="18"/>
                <w:lang w:eastAsia="es-AR"/>
              </w:rPr>
              <w:t>Medición al costo</w:t>
            </w:r>
          </w:p>
        </w:tc>
        <w:tc>
          <w:tcPr>
            <w:tcW w:w="977" w:type="dxa"/>
            <w:tcBorders>
              <w:top w:val="nil"/>
              <w:left w:val="nil"/>
              <w:bottom w:val="nil"/>
              <w:right w:val="nil"/>
            </w:tcBorders>
            <w:shd w:val="clear" w:color="auto" w:fill="auto"/>
            <w:noWrap/>
            <w:hideMark/>
          </w:tcPr>
          <w:p w14:paraId="60147ED0" w14:textId="77777777" w:rsidR="004A148C" w:rsidRPr="00FC5122" w:rsidRDefault="004A148C" w:rsidP="004A148C">
            <w:pPr>
              <w:rPr>
                <w:rFonts w:ascii="Arial" w:hAnsi="Arial" w:cs="Arial"/>
                <w:b/>
                <w:bCs/>
                <w:sz w:val="18"/>
                <w:szCs w:val="18"/>
                <w:lang w:eastAsia="es-AR"/>
              </w:rPr>
            </w:pPr>
          </w:p>
        </w:tc>
        <w:tc>
          <w:tcPr>
            <w:tcW w:w="1052" w:type="dxa"/>
            <w:tcBorders>
              <w:top w:val="nil"/>
              <w:left w:val="nil"/>
              <w:bottom w:val="nil"/>
              <w:right w:val="nil"/>
            </w:tcBorders>
            <w:shd w:val="clear" w:color="auto" w:fill="auto"/>
            <w:noWrap/>
            <w:hideMark/>
          </w:tcPr>
          <w:p w14:paraId="0D51DCCA" w14:textId="77777777" w:rsidR="004A148C" w:rsidRPr="00FC5122" w:rsidRDefault="004A148C" w:rsidP="004A148C">
            <w:pPr>
              <w:rPr>
                <w:sz w:val="18"/>
                <w:szCs w:val="18"/>
                <w:lang w:eastAsia="es-AR"/>
              </w:rPr>
            </w:pPr>
          </w:p>
        </w:tc>
        <w:tc>
          <w:tcPr>
            <w:tcW w:w="1214" w:type="dxa"/>
            <w:tcBorders>
              <w:top w:val="nil"/>
              <w:left w:val="nil"/>
              <w:bottom w:val="nil"/>
              <w:right w:val="nil"/>
            </w:tcBorders>
            <w:shd w:val="clear" w:color="auto" w:fill="auto"/>
            <w:noWrap/>
            <w:hideMark/>
          </w:tcPr>
          <w:p w14:paraId="188FE217" w14:textId="77777777" w:rsidR="004A148C" w:rsidRPr="00FC5122" w:rsidRDefault="004A148C" w:rsidP="004A148C">
            <w:pPr>
              <w:rPr>
                <w:sz w:val="18"/>
                <w:szCs w:val="18"/>
                <w:lang w:eastAsia="es-AR"/>
              </w:rPr>
            </w:pPr>
          </w:p>
        </w:tc>
        <w:tc>
          <w:tcPr>
            <w:tcW w:w="941" w:type="dxa"/>
            <w:tcBorders>
              <w:top w:val="nil"/>
              <w:left w:val="nil"/>
              <w:bottom w:val="nil"/>
              <w:right w:val="nil"/>
            </w:tcBorders>
            <w:shd w:val="clear" w:color="auto" w:fill="auto"/>
            <w:noWrap/>
            <w:hideMark/>
          </w:tcPr>
          <w:p w14:paraId="62E14261" w14:textId="77777777" w:rsidR="004A148C" w:rsidRPr="00FC5122" w:rsidRDefault="004A148C" w:rsidP="004A148C">
            <w:pPr>
              <w:jc w:val="right"/>
              <w:rPr>
                <w:sz w:val="18"/>
                <w:szCs w:val="18"/>
                <w:lang w:eastAsia="es-AR"/>
              </w:rPr>
            </w:pPr>
          </w:p>
        </w:tc>
        <w:tc>
          <w:tcPr>
            <w:tcW w:w="674" w:type="dxa"/>
            <w:tcBorders>
              <w:top w:val="nil"/>
              <w:left w:val="nil"/>
              <w:bottom w:val="nil"/>
              <w:right w:val="nil"/>
            </w:tcBorders>
            <w:shd w:val="clear" w:color="auto" w:fill="auto"/>
            <w:noWrap/>
            <w:hideMark/>
          </w:tcPr>
          <w:p w14:paraId="76BC5BA7" w14:textId="77777777" w:rsidR="004A148C" w:rsidRPr="00FC5122" w:rsidRDefault="004A148C" w:rsidP="004A148C">
            <w:pPr>
              <w:jc w:val="right"/>
              <w:rPr>
                <w:sz w:val="18"/>
                <w:szCs w:val="18"/>
                <w:lang w:eastAsia="es-AR"/>
              </w:rPr>
            </w:pPr>
          </w:p>
        </w:tc>
        <w:tc>
          <w:tcPr>
            <w:tcW w:w="1111" w:type="dxa"/>
            <w:tcBorders>
              <w:top w:val="nil"/>
              <w:left w:val="nil"/>
              <w:bottom w:val="nil"/>
              <w:right w:val="nil"/>
            </w:tcBorders>
            <w:shd w:val="clear" w:color="auto" w:fill="auto"/>
            <w:noWrap/>
            <w:hideMark/>
          </w:tcPr>
          <w:p w14:paraId="3314FC65" w14:textId="77777777" w:rsidR="004A148C" w:rsidRPr="00FC5122" w:rsidRDefault="004A148C" w:rsidP="004A148C">
            <w:pPr>
              <w:jc w:val="right"/>
              <w:rPr>
                <w:sz w:val="18"/>
                <w:szCs w:val="18"/>
                <w:lang w:eastAsia="es-AR"/>
              </w:rPr>
            </w:pPr>
          </w:p>
        </w:tc>
        <w:tc>
          <w:tcPr>
            <w:tcW w:w="1279" w:type="dxa"/>
            <w:tcBorders>
              <w:top w:val="nil"/>
              <w:left w:val="nil"/>
              <w:bottom w:val="nil"/>
              <w:right w:val="nil"/>
            </w:tcBorders>
            <w:shd w:val="clear" w:color="auto" w:fill="auto"/>
            <w:noWrap/>
            <w:hideMark/>
          </w:tcPr>
          <w:p w14:paraId="472389BB" w14:textId="77777777" w:rsidR="004A148C" w:rsidRPr="00FC5122" w:rsidRDefault="004A148C" w:rsidP="004A148C">
            <w:pPr>
              <w:jc w:val="right"/>
              <w:rPr>
                <w:sz w:val="18"/>
                <w:szCs w:val="18"/>
                <w:lang w:eastAsia="es-AR"/>
              </w:rPr>
            </w:pPr>
          </w:p>
        </w:tc>
        <w:tc>
          <w:tcPr>
            <w:tcW w:w="977" w:type="dxa"/>
            <w:tcBorders>
              <w:top w:val="nil"/>
              <w:left w:val="nil"/>
              <w:bottom w:val="nil"/>
              <w:right w:val="nil"/>
            </w:tcBorders>
            <w:shd w:val="clear" w:color="auto" w:fill="auto"/>
            <w:noWrap/>
            <w:hideMark/>
          </w:tcPr>
          <w:p w14:paraId="39679902" w14:textId="77777777" w:rsidR="004A148C" w:rsidRPr="00FC5122" w:rsidRDefault="004A148C" w:rsidP="004A148C">
            <w:pPr>
              <w:jc w:val="right"/>
              <w:rPr>
                <w:sz w:val="18"/>
                <w:szCs w:val="18"/>
                <w:lang w:eastAsia="es-AR"/>
              </w:rPr>
            </w:pPr>
          </w:p>
        </w:tc>
        <w:tc>
          <w:tcPr>
            <w:tcW w:w="1172" w:type="dxa"/>
            <w:tcBorders>
              <w:top w:val="nil"/>
              <w:left w:val="nil"/>
              <w:bottom w:val="nil"/>
              <w:right w:val="nil"/>
            </w:tcBorders>
            <w:shd w:val="clear" w:color="auto" w:fill="auto"/>
            <w:noWrap/>
            <w:hideMark/>
          </w:tcPr>
          <w:p w14:paraId="5665C5E8" w14:textId="77777777" w:rsidR="004A148C" w:rsidRPr="00FC5122" w:rsidRDefault="004A148C" w:rsidP="004A148C">
            <w:pPr>
              <w:jc w:val="right"/>
              <w:rPr>
                <w:sz w:val="18"/>
                <w:szCs w:val="18"/>
                <w:lang w:eastAsia="es-AR"/>
              </w:rPr>
            </w:pPr>
          </w:p>
        </w:tc>
        <w:tc>
          <w:tcPr>
            <w:tcW w:w="1172" w:type="dxa"/>
            <w:tcBorders>
              <w:top w:val="nil"/>
              <w:left w:val="nil"/>
              <w:bottom w:val="nil"/>
              <w:right w:val="nil"/>
            </w:tcBorders>
            <w:shd w:val="clear" w:color="auto" w:fill="auto"/>
            <w:noWrap/>
            <w:hideMark/>
          </w:tcPr>
          <w:p w14:paraId="19662981" w14:textId="77777777" w:rsidR="004A148C" w:rsidRPr="00FC5122" w:rsidRDefault="004A148C" w:rsidP="004A148C">
            <w:pPr>
              <w:jc w:val="right"/>
              <w:rPr>
                <w:sz w:val="18"/>
                <w:szCs w:val="18"/>
                <w:lang w:eastAsia="es-AR"/>
              </w:rPr>
            </w:pPr>
          </w:p>
        </w:tc>
      </w:tr>
      <w:tr w:rsidR="00FC5122" w:rsidRPr="00FC5122" w14:paraId="60E1EF4C" w14:textId="77777777" w:rsidTr="00FC5122">
        <w:trPr>
          <w:trHeight w:val="300"/>
          <w:jc w:val="center"/>
        </w:trPr>
        <w:tc>
          <w:tcPr>
            <w:tcW w:w="2811" w:type="dxa"/>
            <w:tcBorders>
              <w:top w:val="nil"/>
              <w:left w:val="nil"/>
              <w:bottom w:val="nil"/>
              <w:right w:val="nil"/>
            </w:tcBorders>
            <w:shd w:val="clear" w:color="auto" w:fill="auto"/>
            <w:hideMark/>
          </w:tcPr>
          <w:p w14:paraId="2C59696A" w14:textId="4DDA9A32" w:rsidR="00FC5122" w:rsidRPr="00FC5122" w:rsidRDefault="00FC5122" w:rsidP="00FC5122">
            <w:pPr>
              <w:rPr>
                <w:rFonts w:ascii="Arial" w:hAnsi="Arial" w:cs="Arial"/>
                <w:sz w:val="18"/>
                <w:szCs w:val="18"/>
                <w:lang w:eastAsia="es-AR"/>
              </w:rPr>
            </w:pPr>
            <w:r w:rsidRPr="00FC5122">
              <w:rPr>
                <w:rFonts w:ascii="Arial" w:hAnsi="Arial" w:cs="Arial"/>
                <w:sz w:val="18"/>
                <w:szCs w:val="18"/>
                <w:lang w:eastAsia="es-AR"/>
              </w:rPr>
              <w:t>Inmuebles alquilados</w:t>
            </w:r>
          </w:p>
        </w:tc>
        <w:tc>
          <w:tcPr>
            <w:tcW w:w="977" w:type="dxa"/>
            <w:tcBorders>
              <w:top w:val="nil"/>
              <w:left w:val="nil"/>
              <w:bottom w:val="nil"/>
              <w:right w:val="nil"/>
            </w:tcBorders>
            <w:shd w:val="clear" w:color="auto" w:fill="auto"/>
            <w:vAlign w:val="center"/>
            <w:hideMark/>
          </w:tcPr>
          <w:p w14:paraId="7D2DE025" w14:textId="271D5D3F"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5.995</w:t>
            </w:r>
          </w:p>
        </w:tc>
        <w:tc>
          <w:tcPr>
            <w:tcW w:w="1052" w:type="dxa"/>
            <w:tcBorders>
              <w:top w:val="nil"/>
              <w:left w:val="nil"/>
              <w:bottom w:val="nil"/>
              <w:right w:val="nil"/>
            </w:tcBorders>
            <w:shd w:val="clear" w:color="auto" w:fill="auto"/>
            <w:vAlign w:val="center"/>
            <w:hideMark/>
          </w:tcPr>
          <w:p w14:paraId="63FCE712" w14:textId="0448A289"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5</w:t>
            </w:r>
          </w:p>
        </w:tc>
        <w:tc>
          <w:tcPr>
            <w:tcW w:w="1214" w:type="dxa"/>
            <w:tcBorders>
              <w:top w:val="nil"/>
              <w:left w:val="nil"/>
              <w:bottom w:val="nil"/>
              <w:right w:val="nil"/>
            </w:tcBorders>
            <w:shd w:val="clear" w:color="auto" w:fill="auto"/>
            <w:vAlign w:val="center"/>
            <w:hideMark/>
          </w:tcPr>
          <w:p w14:paraId="783992A6" w14:textId="265243C3" w:rsidR="00FC5122" w:rsidRPr="00FC5122" w:rsidRDefault="00FC5122" w:rsidP="00FC5122">
            <w:pPr>
              <w:jc w:val="right"/>
              <w:rPr>
                <w:rFonts w:ascii="Arial" w:hAnsi="Arial" w:cs="Arial"/>
                <w:sz w:val="18"/>
                <w:szCs w:val="18"/>
                <w:lang w:eastAsia="es-AR"/>
              </w:rPr>
            </w:pPr>
            <w:r>
              <w:rPr>
                <w:rFonts w:ascii="Arial" w:hAnsi="Arial" w:cs="Arial"/>
                <w:sz w:val="18"/>
                <w:szCs w:val="18"/>
                <w:lang w:eastAsia="es-AR"/>
              </w:rPr>
              <w:t>-</w:t>
            </w:r>
          </w:p>
        </w:tc>
        <w:tc>
          <w:tcPr>
            <w:tcW w:w="941" w:type="dxa"/>
            <w:tcBorders>
              <w:top w:val="nil"/>
              <w:left w:val="nil"/>
              <w:bottom w:val="nil"/>
              <w:right w:val="nil"/>
            </w:tcBorders>
            <w:shd w:val="clear" w:color="auto" w:fill="auto"/>
            <w:vAlign w:val="center"/>
          </w:tcPr>
          <w:p w14:paraId="53BBE6D6" w14:textId="40357BEE"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19.203</w:t>
            </w:r>
          </w:p>
        </w:tc>
        <w:tc>
          <w:tcPr>
            <w:tcW w:w="674" w:type="dxa"/>
            <w:tcBorders>
              <w:top w:val="nil"/>
              <w:left w:val="nil"/>
              <w:bottom w:val="nil"/>
              <w:right w:val="nil"/>
            </w:tcBorders>
            <w:shd w:val="clear" w:color="auto" w:fill="auto"/>
            <w:vAlign w:val="center"/>
          </w:tcPr>
          <w:p w14:paraId="6A937562" w14:textId="2DED1651" w:rsidR="00FC5122" w:rsidRPr="00FC5122" w:rsidRDefault="007522BE" w:rsidP="00FC5122">
            <w:pPr>
              <w:jc w:val="right"/>
              <w:rPr>
                <w:rFonts w:ascii="Arial" w:hAnsi="Arial" w:cs="Arial"/>
                <w:sz w:val="18"/>
                <w:szCs w:val="18"/>
                <w:lang w:eastAsia="es-AR"/>
              </w:rPr>
            </w:pPr>
            <w:r>
              <w:rPr>
                <w:rFonts w:ascii="Arial" w:hAnsi="Arial" w:cs="Arial"/>
                <w:sz w:val="18"/>
                <w:szCs w:val="18"/>
                <w:lang w:eastAsia="es-AR"/>
              </w:rPr>
              <w:t>-</w:t>
            </w:r>
          </w:p>
        </w:tc>
        <w:tc>
          <w:tcPr>
            <w:tcW w:w="1111" w:type="dxa"/>
            <w:tcBorders>
              <w:top w:val="nil"/>
              <w:left w:val="nil"/>
              <w:bottom w:val="nil"/>
              <w:right w:val="nil"/>
            </w:tcBorders>
            <w:shd w:val="clear" w:color="auto" w:fill="auto"/>
            <w:vAlign w:val="center"/>
          </w:tcPr>
          <w:p w14:paraId="360B220B" w14:textId="550BFAFD"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-473</w:t>
            </w:r>
          </w:p>
        </w:tc>
        <w:tc>
          <w:tcPr>
            <w:tcW w:w="1279" w:type="dxa"/>
            <w:tcBorders>
              <w:top w:val="nil"/>
              <w:left w:val="nil"/>
              <w:bottom w:val="nil"/>
              <w:right w:val="nil"/>
            </w:tcBorders>
            <w:shd w:val="clear" w:color="auto" w:fill="auto"/>
            <w:vAlign w:val="center"/>
          </w:tcPr>
          <w:p w14:paraId="6425D9FC" w14:textId="04724AEE"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-2.087</w:t>
            </w:r>
          </w:p>
        </w:tc>
        <w:tc>
          <w:tcPr>
            <w:tcW w:w="977" w:type="dxa"/>
            <w:tcBorders>
              <w:top w:val="nil"/>
              <w:left w:val="nil"/>
              <w:bottom w:val="nil"/>
              <w:right w:val="nil"/>
            </w:tcBorders>
            <w:shd w:val="clear" w:color="auto" w:fill="auto"/>
            <w:vAlign w:val="center"/>
          </w:tcPr>
          <w:p w14:paraId="1B287828" w14:textId="2FB14230"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-2.560</w:t>
            </w:r>
          </w:p>
        </w:tc>
        <w:tc>
          <w:tcPr>
            <w:tcW w:w="1172" w:type="dxa"/>
            <w:tcBorders>
              <w:top w:val="nil"/>
              <w:left w:val="nil"/>
              <w:bottom w:val="nil"/>
              <w:right w:val="nil"/>
            </w:tcBorders>
            <w:shd w:val="clear" w:color="auto" w:fill="auto"/>
            <w:vAlign w:val="center"/>
          </w:tcPr>
          <w:p w14:paraId="7A9667AD" w14:textId="3E44E7FB"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22.638</w:t>
            </w:r>
          </w:p>
        </w:tc>
        <w:tc>
          <w:tcPr>
            <w:tcW w:w="1172" w:type="dxa"/>
            <w:tcBorders>
              <w:top w:val="nil"/>
              <w:left w:val="nil"/>
              <w:bottom w:val="nil"/>
              <w:right w:val="nil"/>
            </w:tcBorders>
            <w:shd w:val="clear" w:color="auto" w:fill="auto"/>
            <w:vAlign w:val="center"/>
          </w:tcPr>
          <w:p w14:paraId="77144D2F" w14:textId="74845907"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5.522</w:t>
            </w:r>
          </w:p>
        </w:tc>
      </w:tr>
      <w:tr w:rsidR="004A148C" w:rsidRPr="00FC5122" w14:paraId="2A7A1D8D" w14:textId="77777777" w:rsidTr="00FC5122">
        <w:trPr>
          <w:trHeight w:val="300"/>
          <w:jc w:val="center"/>
        </w:trPr>
        <w:tc>
          <w:tcPr>
            <w:tcW w:w="2811" w:type="dxa"/>
            <w:tcBorders>
              <w:top w:val="nil"/>
              <w:left w:val="nil"/>
              <w:bottom w:val="nil"/>
              <w:right w:val="nil"/>
            </w:tcBorders>
            <w:shd w:val="clear" w:color="auto" w:fill="auto"/>
            <w:hideMark/>
          </w:tcPr>
          <w:p w14:paraId="56A60DC0" w14:textId="77777777" w:rsidR="004A148C" w:rsidRPr="00FC5122" w:rsidRDefault="004A148C" w:rsidP="004A148C">
            <w:pPr>
              <w:rPr>
                <w:rFonts w:ascii="Arial" w:hAnsi="Arial" w:cs="Arial"/>
                <w:b/>
                <w:bCs/>
                <w:sz w:val="18"/>
                <w:szCs w:val="18"/>
                <w:lang w:eastAsia="es-AR"/>
              </w:rPr>
            </w:pPr>
            <w:r w:rsidRPr="00FC5122">
              <w:rPr>
                <w:rFonts w:ascii="Arial" w:hAnsi="Arial" w:cs="Arial"/>
                <w:b/>
                <w:bCs/>
                <w:sz w:val="18"/>
                <w:szCs w:val="18"/>
                <w:lang w:eastAsia="es-AR"/>
              </w:rPr>
              <w:t>Medición al valor razonable</w:t>
            </w:r>
          </w:p>
        </w:tc>
        <w:tc>
          <w:tcPr>
            <w:tcW w:w="977" w:type="dxa"/>
            <w:tcBorders>
              <w:top w:val="nil"/>
              <w:left w:val="nil"/>
              <w:bottom w:val="nil"/>
              <w:right w:val="nil"/>
            </w:tcBorders>
            <w:shd w:val="clear" w:color="auto" w:fill="auto"/>
            <w:noWrap/>
            <w:vAlign w:val="center"/>
            <w:hideMark/>
          </w:tcPr>
          <w:p w14:paraId="3B6A621B" w14:textId="77777777" w:rsidR="004A148C" w:rsidRPr="00FC5122" w:rsidRDefault="004A148C" w:rsidP="00FC5122">
            <w:pPr>
              <w:jc w:val="right"/>
              <w:rPr>
                <w:rFonts w:ascii="Arial" w:hAnsi="Arial" w:cs="Arial"/>
                <w:b/>
                <w:bCs/>
                <w:sz w:val="18"/>
                <w:szCs w:val="18"/>
                <w:lang w:eastAsia="es-AR"/>
              </w:rPr>
            </w:pPr>
          </w:p>
        </w:tc>
        <w:tc>
          <w:tcPr>
            <w:tcW w:w="1052" w:type="dxa"/>
            <w:tcBorders>
              <w:top w:val="nil"/>
              <w:left w:val="nil"/>
              <w:bottom w:val="nil"/>
              <w:right w:val="nil"/>
            </w:tcBorders>
            <w:shd w:val="clear" w:color="auto" w:fill="auto"/>
            <w:noWrap/>
            <w:vAlign w:val="center"/>
            <w:hideMark/>
          </w:tcPr>
          <w:p w14:paraId="7B427A1A" w14:textId="77777777" w:rsidR="004A148C" w:rsidRPr="00FC5122" w:rsidRDefault="004A148C" w:rsidP="00FC5122">
            <w:pPr>
              <w:jc w:val="right"/>
              <w:rPr>
                <w:sz w:val="18"/>
                <w:szCs w:val="18"/>
                <w:lang w:eastAsia="es-AR"/>
              </w:rPr>
            </w:pPr>
          </w:p>
        </w:tc>
        <w:tc>
          <w:tcPr>
            <w:tcW w:w="1214" w:type="dxa"/>
            <w:tcBorders>
              <w:top w:val="nil"/>
              <w:left w:val="nil"/>
              <w:bottom w:val="nil"/>
              <w:right w:val="nil"/>
            </w:tcBorders>
            <w:shd w:val="clear" w:color="auto" w:fill="auto"/>
            <w:noWrap/>
            <w:vAlign w:val="center"/>
            <w:hideMark/>
          </w:tcPr>
          <w:p w14:paraId="40531E8C" w14:textId="77777777" w:rsidR="004A148C" w:rsidRPr="00FC5122" w:rsidRDefault="004A148C" w:rsidP="00FC5122">
            <w:pPr>
              <w:jc w:val="right"/>
              <w:rPr>
                <w:sz w:val="18"/>
                <w:szCs w:val="18"/>
                <w:lang w:eastAsia="es-AR"/>
              </w:rPr>
            </w:pPr>
          </w:p>
        </w:tc>
        <w:tc>
          <w:tcPr>
            <w:tcW w:w="941" w:type="dxa"/>
            <w:tcBorders>
              <w:top w:val="nil"/>
              <w:left w:val="nil"/>
              <w:bottom w:val="nil"/>
              <w:right w:val="nil"/>
            </w:tcBorders>
            <w:shd w:val="clear" w:color="auto" w:fill="auto"/>
            <w:noWrap/>
            <w:vAlign w:val="center"/>
          </w:tcPr>
          <w:p w14:paraId="4FC7B84D" w14:textId="77777777" w:rsidR="004A148C" w:rsidRPr="00FC5122" w:rsidRDefault="004A148C" w:rsidP="00FC5122">
            <w:pPr>
              <w:jc w:val="right"/>
              <w:rPr>
                <w:sz w:val="18"/>
                <w:szCs w:val="18"/>
                <w:lang w:eastAsia="es-AR"/>
              </w:rPr>
            </w:pPr>
          </w:p>
        </w:tc>
        <w:tc>
          <w:tcPr>
            <w:tcW w:w="674" w:type="dxa"/>
            <w:tcBorders>
              <w:top w:val="nil"/>
              <w:left w:val="nil"/>
              <w:bottom w:val="nil"/>
              <w:right w:val="nil"/>
            </w:tcBorders>
            <w:shd w:val="clear" w:color="auto" w:fill="auto"/>
            <w:noWrap/>
            <w:vAlign w:val="center"/>
          </w:tcPr>
          <w:p w14:paraId="3BF63AD7" w14:textId="77777777" w:rsidR="004A148C" w:rsidRPr="00FC5122" w:rsidRDefault="004A148C" w:rsidP="00FC5122">
            <w:pPr>
              <w:jc w:val="right"/>
              <w:rPr>
                <w:sz w:val="18"/>
                <w:szCs w:val="18"/>
                <w:lang w:eastAsia="es-AR"/>
              </w:rPr>
            </w:pPr>
          </w:p>
        </w:tc>
        <w:tc>
          <w:tcPr>
            <w:tcW w:w="1111" w:type="dxa"/>
            <w:tcBorders>
              <w:top w:val="nil"/>
              <w:left w:val="nil"/>
              <w:bottom w:val="nil"/>
              <w:right w:val="nil"/>
            </w:tcBorders>
            <w:shd w:val="clear" w:color="auto" w:fill="auto"/>
            <w:noWrap/>
            <w:vAlign w:val="center"/>
          </w:tcPr>
          <w:p w14:paraId="703C0DEA" w14:textId="77777777" w:rsidR="004A148C" w:rsidRPr="00FC5122" w:rsidRDefault="004A148C" w:rsidP="00FC5122">
            <w:pPr>
              <w:jc w:val="right"/>
              <w:rPr>
                <w:sz w:val="18"/>
                <w:szCs w:val="18"/>
                <w:lang w:eastAsia="es-AR"/>
              </w:rPr>
            </w:pPr>
          </w:p>
        </w:tc>
        <w:tc>
          <w:tcPr>
            <w:tcW w:w="1279" w:type="dxa"/>
            <w:tcBorders>
              <w:top w:val="nil"/>
              <w:left w:val="nil"/>
              <w:bottom w:val="nil"/>
              <w:right w:val="nil"/>
            </w:tcBorders>
            <w:shd w:val="clear" w:color="auto" w:fill="auto"/>
            <w:noWrap/>
            <w:vAlign w:val="center"/>
          </w:tcPr>
          <w:p w14:paraId="4AEEB29B" w14:textId="77777777" w:rsidR="004A148C" w:rsidRPr="00FC5122" w:rsidRDefault="004A148C" w:rsidP="00FC5122">
            <w:pPr>
              <w:jc w:val="right"/>
              <w:rPr>
                <w:sz w:val="18"/>
                <w:szCs w:val="18"/>
                <w:lang w:eastAsia="es-AR"/>
              </w:rPr>
            </w:pPr>
          </w:p>
        </w:tc>
        <w:tc>
          <w:tcPr>
            <w:tcW w:w="977" w:type="dxa"/>
            <w:tcBorders>
              <w:top w:val="nil"/>
              <w:left w:val="nil"/>
              <w:bottom w:val="nil"/>
              <w:right w:val="nil"/>
            </w:tcBorders>
            <w:shd w:val="clear" w:color="auto" w:fill="auto"/>
            <w:noWrap/>
            <w:vAlign w:val="center"/>
          </w:tcPr>
          <w:p w14:paraId="4246D407" w14:textId="77777777" w:rsidR="004A148C" w:rsidRPr="00FC5122" w:rsidRDefault="004A148C" w:rsidP="00FC5122">
            <w:pPr>
              <w:jc w:val="right"/>
              <w:rPr>
                <w:sz w:val="18"/>
                <w:szCs w:val="18"/>
                <w:lang w:eastAsia="es-AR"/>
              </w:rPr>
            </w:pPr>
          </w:p>
        </w:tc>
        <w:tc>
          <w:tcPr>
            <w:tcW w:w="1172" w:type="dxa"/>
            <w:tcBorders>
              <w:top w:val="nil"/>
              <w:left w:val="nil"/>
              <w:bottom w:val="nil"/>
              <w:right w:val="nil"/>
            </w:tcBorders>
            <w:shd w:val="clear" w:color="auto" w:fill="auto"/>
            <w:noWrap/>
            <w:vAlign w:val="center"/>
          </w:tcPr>
          <w:p w14:paraId="3240E3B7" w14:textId="77777777" w:rsidR="004A148C" w:rsidRPr="00FC5122" w:rsidRDefault="004A148C" w:rsidP="00FC5122">
            <w:pPr>
              <w:jc w:val="right"/>
              <w:rPr>
                <w:sz w:val="18"/>
                <w:szCs w:val="18"/>
                <w:lang w:eastAsia="es-AR"/>
              </w:rPr>
            </w:pPr>
          </w:p>
        </w:tc>
        <w:tc>
          <w:tcPr>
            <w:tcW w:w="1172" w:type="dxa"/>
            <w:tcBorders>
              <w:top w:val="nil"/>
              <w:left w:val="nil"/>
              <w:bottom w:val="nil"/>
              <w:right w:val="nil"/>
            </w:tcBorders>
            <w:shd w:val="clear" w:color="auto" w:fill="auto"/>
            <w:noWrap/>
            <w:vAlign w:val="center"/>
          </w:tcPr>
          <w:p w14:paraId="7E6CAEC8" w14:textId="77777777" w:rsidR="004A148C" w:rsidRPr="00FC5122" w:rsidRDefault="004A148C" w:rsidP="00FC5122">
            <w:pPr>
              <w:jc w:val="right"/>
              <w:rPr>
                <w:sz w:val="18"/>
                <w:szCs w:val="18"/>
                <w:lang w:eastAsia="es-AR"/>
              </w:rPr>
            </w:pPr>
          </w:p>
        </w:tc>
      </w:tr>
      <w:tr w:rsidR="00FC5122" w:rsidRPr="00FC5122" w14:paraId="368C25D2" w14:textId="77777777" w:rsidTr="00FC5122">
        <w:trPr>
          <w:trHeight w:val="319"/>
          <w:jc w:val="center"/>
        </w:trPr>
        <w:tc>
          <w:tcPr>
            <w:tcW w:w="2811" w:type="dxa"/>
            <w:tcBorders>
              <w:top w:val="nil"/>
              <w:left w:val="nil"/>
              <w:bottom w:val="nil"/>
              <w:right w:val="nil"/>
            </w:tcBorders>
            <w:shd w:val="clear" w:color="auto" w:fill="auto"/>
            <w:hideMark/>
          </w:tcPr>
          <w:p w14:paraId="29CC7D78" w14:textId="3E258BCF" w:rsidR="00FC5122" w:rsidRPr="00FC5122" w:rsidRDefault="00FC5122" w:rsidP="00FC5122">
            <w:pPr>
              <w:rPr>
                <w:rFonts w:ascii="Arial" w:hAnsi="Arial" w:cs="Arial"/>
                <w:sz w:val="18"/>
                <w:szCs w:val="18"/>
                <w:lang w:eastAsia="es-AR"/>
              </w:rPr>
            </w:pPr>
            <w:r w:rsidRPr="00FC5122">
              <w:rPr>
                <w:rFonts w:ascii="Arial" w:hAnsi="Arial" w:cs="Arial"/>
                <w:sz w:val="18"/>
                <w:szCs w:val="18"/>
                <w:lang w:eastAsia="es-AR"/>
              </w:rPr>
              <w:t>Inmuebles alquilados</w:t>
            </w:r>
          </w:p>
        </w:tc>
        <w:tc>
          <w:tcPr>
            <w:tcW w:w="977" w:type="dxa"/>
            <w:tcBorders>
              <w:top w:val="nil"/>
              <w:left w:val="nil"/>
              <w:bottom w:val="nil"/>
              <w:right w:val="nil"/>
            </w:tcBorders>
            <w:shd w:val="clear" w:color="auto" w:fill="auto"/>
            <w:vAlign w:val="center"/>
          </w:tcPr>
          <w:p w14:paraId="24F636DE" w14:textId="7435CCD0"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407.300</w:t>
            </w:r>
          </w:p>
        </w:tc>
        <w:tc>
          <w:tcPr>
            <w:tcW w:w="1052" w:type="dxa"/>
            <w:tcBorders>
              <w:top w:val="nil"/>
              <w:left w:val="nil"/>
              <w:bottom w:val="nil"/>
              <w:right w:val="nil"/>
            </w:tcBorders>
            <w:shd w:val="clear" w:color="auto" w:fill="auto"/>
            <w:vAlign w:val="center"/>
          </w:tcPr>
          <w:p w14:paraId="14A3A710" w14:textId="4EFF4405"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50</w:t>
            </w:r>
          </w:p>
        </w:tc>
        <w:tc>
          <w:tcPr>
            <w:tcW w:w="1214" w:type="dxa"/>
            <w:tcBorders>
              <w:top w:val="nil"/>
              <w:left w:val="nil"/>
              <w:bottom w:val="nil"/>
              <w:right w:val="nil"/>
            </w:tcBorders>
            <w:shd w:val="clear" w:color="auto" w:fill="auto"/>
            <w:vAlign w:val="center"/>
          </w:tcPr>
          <w:p w14:paraId="654CBE11" w14:textId="31E1426B"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428.468</w:t>
            </w:r>
          </w:p>
        </w:tc>
        <w:tc>
          <w:tcPr>
            <w:tcW w:w="941" w:type="dxa"/>
            <w:tcBorders>
              <w:top w:val="nil"/>
              <w:left w:val="nil"/>
              <w:bottom w:val="nil"/>
              <w:right w:val="nil"/>
            </w:tcBorders>
            <w:shd w:val="clear" w:color="auto" w:fill="auto"/>
            <w:vAlign w:val="center"/>
          </w:tcPr>
          <w:p w14:paraId="4C24874A" w14:textId="29BDCB1B"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3.019.693</w:t>
            </w:r>
          </w:p>
        </w:tc>
        <w:tc>
          <w:tcPr>
            <w:tcW w:w="674" w:type="dxa"/>
            <w:tcBorders>
              <w:top w:val="nil"/>
              <w:left w:val="nil"/>
              <w:bottom w:val="nil"/>
              <w:right w:val="nil"/>
            </w:tcBorders>
            <w:shd w:val="clear" w:color="auto" w:fill="auto"/>
            <w:vAlign w:val="center"/>
          </w:tcPr>
          <w:p w14:paraId="3066F80D" w14:textId="478594A1"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-457</w:t>
            </w:r>
          </w:p>
        </w:tc>
        <w:tc>
          <w:tcPr>
            <w:tcW w:w="1111" w:type="dxa"/>
            <w:tcBorders>
              <w:top w:val="nil"/>
              <w:left w:val="nil"/>
              <w:bottom w:val="nil"/>
              <w:right w:val="nil"/>
            </w:tcBorders>
            <w:shd w:val="clear" w:color="auto" w:fill="auto"/>
            <w:vAlign w:val="center"/>
          </w:tcPr>
          <w:p w14:paraId="7946E036" w14:textId="3CFE4BEF" w:rsidR="00FC5122" w:rsidRPr="00FC5122" w:rsidRDefault="00FC5122" w:rsidP="00FC5122">
            <w:pPr>
              <w:jc w:val="right"/>
              <w:rPr>
                <w:rFonts w:ascii="Arial" w:hAnsi="Arial" w:cs="Arial"/>
                <w:sz w:val="18"/>
                <w:szCs w:val="18"/>
                <w:lang w:eastAsia="es-AR"/>
              </w:rPr>
            </w:pPr>
            <w:r>
              <w:rPr>
                <w:rFonts w:ascii="Arial" w:hAnsi="Arial" w:cs="Arial"/>
                <w:sz w:val="18"/>
                <w:szCs w:val="18"/>
                <w:lang w:eastAsia="es-AR"/>
              </w:rPr>
              <w:t>-</w:t>
            </w:r>
          </w:p>
        </w:tc>
        <w:tc>
          <w:tcPr>
            <w:tcW w:w="1279" w:type="dxa"/>
            <w:tcBorders>
              <w:top w:val="nil"/>
              <w:left w:val="nil"/>
              <w:bottom w:val="nil"/>
              <w:right w:val="nil"/>
            </w:tcBorders>
            <w:shd w:val="clear" w:color="auto" w:fill="auto"/>
            <w:vAlign w:val="center"/>
          </w:tcPr>
          <w:p w14:paraId="2F14817D" w14:textId="02B3DD3B" w:rsidR="00FC5122" w:rsidRPr="00FC5122" w:rsidRDefault="00FC5122" w:rsidP="00FC5122">
            <w:pPr>
              <w:jc w:val="right"/>
              <w:rPr>
                <w:rFonts w:ascii="Arial" w:hAnsi="Arial" w:cs="Arial"/>
                <w:sz w:val="18"/>
                <w:szCs w:val="18"/>
                <w:lang w:eastAsia="es-AR"/>
              </w:rPr>
            </w:pPr>
            <w:r>
              <w:rPr>
                <w:rFonts w:ascii="Arial" w:hAnsi="Arial" w:cs="Arial"/>
                <w:sz w:val="18"/>
                <w:szCs w:val="18"/>
                <w:lang w:eastAsia="es-AR"/>
              </w:rPr>
              <w:t>-</w:t>
            </w:r>
          </w:p>
        </w:tc>
        <w:tc>
          <w:tcPr>
            <w:tcW w:w="977" w:type="dxa"/>
            <w:tcBorders>
              <w:top w:val="nil"/>
              <w:left w:val="nil"/>
              <w:bottom w:val="nil"/>
              <w:right w:val="nil"/>
            </w:tcBorders>
            <w:shd w:val="clear" w:color="auto" w:fill="auto"/>
            <w:vAlign w:val="center"/>
          </w:tcPr>
          <w:p w14:paraId="40B85447" w14:textId="493AC5E6" w:rsidR="00FC5122" w:rsidRPr="00FC5122" w:rsidRDefault="00FC5122" w:rsidP="00FC5122">
            <w:pPr>
              <w:jc w:val="right"/>
              <w:rPr>
                <w:rFonts w:ascii="Arial" w:hAnsi="Arial" w:cs="Arial"/>
                <w:sz w:val="18"/>
                <w:szCs w:val="18"/>
                <w:lang w:eastAsia="es-AR"/>
              </w:rPr>
            </w:pPr>
            <w:r>
              <w:rPr>
                <w:rFonts w:ascii="Arial" w:hAnsi="Arial" w:cs="Arial"/>
                <w:sz w:val="18"/>
                <w:szCs w:val="18"/>
                <w:lang w:eastAsia="es-AR"/>
              </w:rPr>
              <w:t>-</w:t>
            </w:r>
          </w:p>
        </w:tc>
        <w:tc>
          <w:tcPr>
            <w:tcW w:w="1172" w:type="dxa"/>
            <w:tcBorders>
              <w:top w:val="nil"/>
              <w:left w:val="nil"/>
              <w:bottom w:val="nil"/>
              <w:right w:val="nil"/>
            </w:tcBorders>
            <w:shd w:val="clear" w:color="auto" w:fill="auto"/>
            <w:vAlign w:val="bottom"/>
          </w:tcPr>
          <w:p w14:paraId="7A8606A6" w14:textId="59E7080B"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3.855.004</w:t>
            </w:r>
          </w:p>
        </w:tc>
        <w:tc>
          <w:tcPr>
            <w:tcW w:w="1172" w:type="dxa"/>
            <w:tcBorders>
              <w:top w:val="nil"/>
              <w:left w:val="nil"/>
              <w:bottom w:val="nil"/>
              <w:right w:val="nil"/>
            </w:tcBorders>
            <w:shd w:val="clear" w:color="auto" w:fill="auto"/>
            <w:vAlign w:val="bottom"/>
          </w:tcPr>
          <w:p w14:paraId="02BA0CDD" w14:textId="37F9B2FF"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407.300</w:t>
            </w:r>
          </w:p>
        </w:tc>
      </w:tr>
      <w:tr w:rsidR="004A148C" w:rsidRPr="00FC5122" w14:paraId="0E4BCF0F" w14:textId="77777777" w:rsidTr="00FC5122">
        <w:trPr>
          <w:trHeight w:val="319"/>
          <w:jc w:val="center"/>
        </w:trPr>
        <w:tc>
          <w:tcPr>
            <w:tcW w:w="2811" w:type="dxa"/>
            <w:tcBorders>
              <w:top w:val="nil"/>
              <w:left w:val="nil"/>
              <w:bottom w:val="nil"/>
              <w:right w:val="nil"/>
            </w:tcBorders>
            <w:shd w:val="clear" w:color="auto" w:fill="auto"/>
            <w:hideMark/>
          </w:tcPr>
          <w:p w14:paraId="3993B139" w14:textId="77777777" w:rsidR="004A148C" w:rsidRPr="00FC5122" w:rsidRDefault="004A148C" w:rsidP="004A148C">
            <w:pPr>
              <w:rPr>
                <w:rFonts w:ascii="Arial" w:hAnsi="Arial" w:cs="Arial"/>
                <w:sz w:val="18"/>
                <w:szCs w:val="18"/>
                <w:lang w:eastAsia="es-AR"/>
              </w:rPr>
            </w:pPr>
          </w:p>
        </w:tc>
        <w:tc>
          <w:tcPr>
            <w:tcW w:w="977" w:type="dxa"/>
            <w:tcBorders>
              <w:top w:val="nil"/>
              <w:left w:val="nil"/>
              <w:bottom w:val="nil"/>
              <w:right w:val="nil"/>
            </w:tcBorders>
            <w:shd w:val="clear" w:color="auto" w:fill="auto"/>
            <w:vAlign w:val="center"/>
          </w:tcPr>
          <w:p w14:paraId="7202B092" w14:textId="77777777" w:rsidR="004A148C" w:rsidRPr="00FC5122" w:rsidRDefault="004A148C" w:rsidP="00FC5122">
            <w:pPr>
              <w:jc w:val="right"/>
              <w:rPr>
                <w:sz w:val="18"/>
                <w:szCs w:val="18"/>
                <w:lang w:eastAsia="es-AR"/>
              </w:rPr>
            </w:pPr>
          </w:p>
        </w:tc>
        <w:tc>
          <w:tcPr>
            <w:tcW w:w="1052" w:type="dxa"/>
            <w:tcBorders>
              <w:top w:val="nil"/>
              <w:left w:val="nil"/>
              <w:bottom w:val="nil"/>
              <w:right w:val="nil"/>
            </w:tcBorders>
            <w:shd w:val="clear" w:color="auto" w:fill="auto"/>
            <w:vAlign w:val="center"/>
          </w:tcPr>
          <w:p w14:paraId="6C3CBB36" w14:textId="77777777" w:rsidR="004A148C" w:rsidRPr="00FC5122" w:rsidRDefault="004A148C" w:rsidP="00FC5122">
            <w:pPr>
              <w:jc w:val="right"/>
              <w:rPr>
                <w:sz w:val="18"/>
                <w:szCs w:val="18"/>
                <w:lang w:eastAsia="es-AR"/>
              </w:rPr>
            </w:pPr>
          </w:p>
        </w:tc>
        <w:tc>
          <w:tcPr>
            <w:tcW w:w="1214" w:type="dxa"/>
            <w:tcBorders>
              <w:top w:val="nil"/>
              <w:left w:val="nil"/>
              <w:bottom w:val="nil"/>
              <w:right w:val="nil"/>
            </w:tcBorders>
            <w:shd w:val="clear" w:color="auto" w:fill="auto"/>
            <w:vAlign w:val="center"/>
          </w:tcPr>
          <w:p w14:paraId="70E6EF4A" w14:textId="77777777" w:rsidR="004A148C" w:rsidRPr="00FC5122" w:rsidRDefault="004A148C" w:rsidP="00FC5122">
            <w:pPr>
              <w:jc w:val="right"/>
              <w:rPr>
                <w:sz w:val="18"/>
                <w:szCs w:val="18"/>
                <w:lang w:eastAsia="es-AR"/>
              </w:rPr>
            </w:pPr>
          </w:p>
        </w:tc>
        <w:tc>
          <w:tcPr>
            <w:tcW w:w="941" w:type="dxa"/>
            <w:tcBorders>
              <w:top w:val="nil"/>
              <w:left w:val="nil"/>
              <w:bottom w:val="nil"/>
              <w:right w:val="nil"/>
            </w:tcBorders>
            <w:shd w:val="clear" w:color="auto" w:fill="auto"/>
            <w:vAlign w:val="center"/>
          </w:tcPr>
          <w:p w14:paraId="6676E0A4" w14:textId="77777777" w:rsidR="004A148C" w:rsidRPr="00FC5122" w:rsidRDefault="004A148C" w:rsidP="00FC5122">
            <w:pPr>
              <w:jc w:val="right"/>
              <w:rPr>
                <w:sz w:val="18"/>
                <w:szCs w:val="18"/>
                <w:lang w:eastAsia="es-AR"/>
              </w:rPr>
            </w:pPr>
          </w:p>
        </w:tc>
        <w:tc>
          <w:tcPr>
            <w:tcW w:w="674" w:type="dxa"/>
            <w:tcBorders>
              <w:top w:val="nil"/>
              <w:left w:val="nil"/>
              <w:bottom w:val="nil"/>
              <w:right w:val="nil"/>
            </w:tcBorders>
            <w:shd w:val="clear" w:color="auto" w:fill="auto"/>
            <w:vAlign w:val="center"/>
          </w:tcPr>
          <w:p w14:paraId="7994F008" w14:textId="77777777" w:rsidR="004A148C" w:rsidRPr="00FC5122" w:rsidRDefault="004A148C" w:rsidP="00FC5122">
            <w:pPr>
              <w:jc w:val="right"/>
              <w:rPr>
                <w:sz w:val="18"/>
                <w:szCs w:val="18"/>
                <w:lang w:eastAsia="es-AR"/>
              </w:rPr>
            </w:pPr>
          </w:p>
        </w:tc>
        <w:tc>
          <w:tcPr>
            <w:tcW w:w="1111" w:type="dxa"/>
            <w:tcBorders>
              <w:top w:val="nil"/>
              <w:left w:val="nil"/>
              <w:bottom w:val="nil"/>
              <w:right w:val="nil"/>
            </w:tcBorders>
            <w:shd w:val="clear" w:color="auto" w:fill="auto"/>
            <w:vAlign w:val="center"/>
          </w:tcPr>
          <w:p w14:paraId="61C957CB" w14:textId="77777777" w:rsidR="004A148C" w:rsidRPr="00FC5122" w:rsidRDefault="004A148C" w:rsidP="00FC5122">
            <w:pPr>
              <w:jc w:val="right"/>
              <w:rPr>
                <w:sz w:val="18"/>
                <w:szCs w:val="18"/>
                <w:lang w:eastAsia="es-AR"/>
              </w:rPr>
            </w:pPr>
          </w:p>
        </w:tc>
        <w:tc>
          <w:tcPr>
            <w:tcW w:w="1279" w:type="dxa"/>
            <w:tcBorders>
              <w:top w:val="nil"/>
              <w:left w:val="nil"/>
              <w:bottom w:val="nil"/>
              <w:right w:val="nil"/>
            </w:tcBorders>
            <w:shd w:val="clear" w:color="auto" w:fill="auto"/>
            <w:vAlign w:val="center"/>
          </w:tcPr>
          <w:p w14:paraId="0439EE60" w14:textId="77777777" w:rsidR="004A148C" w:rsidRPr="00FC5122" w:rsidRDefault="004A148C" w:rsidP="00FC5122">
            <w:pPr>
              <w:jc w:val="right"/>
              <w:rPr>
                <w:sz w:val="18"/>
                <w:szCs w:val="18"/>
                <w:lang w:eastAsia="es-AR"/>
              </w:rPr>
            </w:pPr>
          </w:p>
        </w:tc>
        <w:tc>
          <w:tcPr>
            <w:tcW w:w="977" w:type="dxa"/>
            <w:tcBorders>
              <w:top w:val="nil"/>
              <w:left w:val="nil"/>
              <w:bottom w:val="nil"/>
              <w:right w:val="nil"/>
            </w:tcBorders>
            <w:shd w:val="clear" w:color="auto" w:fill="auto"/>
            <w:vAlign w:val="center"/>
          </w:tcPr>
          <w:p w14:paraId="3D7A945E" w14:textId="77777777" w:rsidR="004A148C" w:rsidRPr="00FC5122" w:rsidRDefault="004A148C" w:rsidP="00FC5122">
            <w:pPr>
              <w:jc w:val="right"/>
              <w:rPr>
                <w:sz w:val="18"/>
                <w:szCs w:val="18"/>
                <w:lang w:eastAsia="es-AR"/>
              </w:rPr>
            </w:pPr>
          </w:p>
        </w:tc>
        <w:tc>
          <w:tcPr>
            <w:tcW w:w="1172" w:type="dxa"/>
            <w:tcBorders>
              <w:top w:val="nil"/>
              <w:left w:val="nil"/>
              <w:bottom w:val="nil"/>
              <w:right w:val="nil"/>
            </w:tcBorders>
            <w:shd w:val="clear" w:color="auto" w:fill="auto"/>
            <w:vAlign w:val="center"/>
          </w:tcPr>
          <w:p w14:paraId="229ABC88" w14:textId="77777777" w:rsidR="004A148C" w:rsidRPr="00FC5122" w:rsidRDefault="004A148C" w:rsidP="00FC5122">
            <w:pPr>
              <w:jc w:val="right"/>
              <w:rPr>
                <w:sz w:val="18"/>
                <w:szCs w:val="18"/>
                <w:lang w:eastAsia="es-AR"/>
              </w:rPr>
            </w:pPr>
          </w:p>
        </w:tc>
        <w:tc>
          <w:tcPr>
            <w:tcW w:w="1172" w:type="dxa"/>
            <w:tcBorders>
              <w:top w:val="nil"/>
              <w:left w:val="nil"/>
              <w:bottom w:val="nil"/>
              <w:right w:val="nil"/>
            </w:tcBorders>
            <w:shd w:val="clear" w:color="auto" w:fill="auto"/>
            <w:vAlign w:val="center"/>
          </w:tcPr>
          <w:p w14:paraId="253F73D7" w14:textId="77777777" w:rsidR="004A148C" w:rsidRPr="00FC5122" w:rsidRDefault="004A148C" w:rsidP="00FC5122">
            <w:pPr>
              <w:jc w:val="right"/>
              <w:rPr>
                <w:sz w:val="18"/>
                <w:szCs w:val="18"/>
                <w:lang w:eastAsia="es-AR"/>
              </w:rPr>
            </w:pPr>
          </w:p>
        </w:tc>
      </w:tr>
      <w:tr w:rsidR="00FC5122" w:rsidRPr="00FC5122" w14:paraId="06135609" w14:textId="77777777" w:rsidTr="00FC5122">
        <w:trPr>
          <w:trHeight w:val="285"/>
          <w:jc w:val="center"/>
        </w:trPr>
        <w:tc>
          <w:tcPr>
            <w:tcW w:w="2811" w:type="dxa"/>
            <w:tcBorders>
              <w:top w:val="nil"/>
              <w:left w:val="nil"/>
              <w:bottom w:val="nil"/>
              <w:right w:val="nil"/>
            </w:tcBorders>
            <w:shd w:val="clear" w:color="auto" w:fill="auto"/>
            <w:hideMark/>
          </w:tcPr>
          <w:p w14:paraId="0D531EA9" w14:textId="77777777" w:rsidR="00FC5122" w:rsidRPr="00FC5122" w:rsidRDefault="00FC5122" w:rsidP="00FC5122">
            <w:pPr>
              <w:rPr>
                <w:rFonts w:ascii="Arial" w:hAnsi="Arial" w:cs="Arial"/>
                <w:b/>
                <w:bCs/>
                <w:sz w:val="18"/>
                <w:szCs w:val="18"/>
                <w:lang w:eastAsia="es-AR"/>
              </w:rPr>
            </w:pPr>
            <w:r w:rsidRPr="00FC5122">
              <w:rPr>
                <w:rFonts w:ascii="Arial" w:hAnsi="Arial" w:cs="Arial"/>
                <w:b/>
                <w:bCs/>
                <w:sz w:val="18"/>
                <w:szCs w:val="18"/>
                <w:lang w:eastAsia="es-AR"/>
              </w:rPr>
              <w:t>TOTAL PROPIEDADES DE INVERSIÓN</w:t>
            </w:r>
          </w:p>
        </w:tc>
        <w:tc>
          <w:tcPr>
            <w:tcW w:w="977" w:type="dxa"/>
            <w:tcBorders>
              <w:top w:val="single" w:sz="4" w:space="0" w:color="auto"/>
              <w:left w:val="nil"/>
              <w:bottom w:val="single" w:sz="4" w:space="0" w:color="auto"/>
              <w:right w:val="nil"/>
            </w:tcBorders>
            <w:shd w:val="clear" w:color="auto" w:fill="auto"/>
            <w:vAlign w:val="center"/>
          </w:tcPr>
          <w:p w14:paraId="48CBF350" w14:textId="4CB936AB"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413.295</w:t>
            </w:r>
          </w:p>
        </w:tc>
        <w:tc>
          <w:tcPr>
            <w:tcW w:w="1052" w:type="dxa"/>
            <w:tcBorders>
              <w:top w:val="single" w:sz="4" w:space="0" w:color="auto"/>
              <w:left w:val="nil"/>
              <w:bottom w:val="single" w:sz="4" w:space="0" w:color="auto"/>
              <w:right w:val="nil"/>
            </w:tcBorders>
            <w:shd w:val="clear" w:color="auto" w:fill="auto"/>
            <w:vAlign w:val="center"/>
          </w:tcPr>
          <w:p w14:paraId="53422D90" w14:textId="431C0E02" w:rsidR="00FC5122" w:rsidRPr="00FC5122" w:rsidRDefault="00FC5122" w:rsidP="00FC5122">
            <w:pPr>
              <w:jc w:val="right"/>
              <w:rPr>
                <w:rFonts w:ascii="Arial" w:hAnsi="Arial" w:cs="Arial"/>
                <w:b/>
                <w:bCs/>
                <w:sz w:val="18"/>
                <w:szCs w:val="18"/>
                <w:lang w:eastAsia="es-AR"/>
              </w:rPr>
            </w:pPr>
          </w:p>
        </w:tc>
        <w:tc>
          <w:tcPr>
            <w:tcW w:w="1214" w:type="dxa"/>
            <w:tcBorders>
              <w:top w:val="single" w:sz="4" w:space="0" w:color="auto"/>
              <w:left w:val="nil"/>
              <w:bottom w:val="single" w:sz="4" w:space="0" w:color="auto"/>
              <w:right w:val="nil"/>
            </w:tcBorders>
            <w:shd w:val="clear" w:color="auto" w:fill="auto"/>
            <w:vAlign w:val="center"/>
          </w:tcPr>
          <w:p w14:paraId="2CDABD90" w14:textId="71E1103E"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428.468</w:t>
            </w:r>
          </w:p>
        </w:tc>
        <w:tc>
          <w:tcPr>
            <w:tcW w:w="941" w:type="dxa"/>
            <w:tcBorders>
              <w:top w:val="single" w:sz="4" w:space="0" w:color="auto"/>
              <w:left w:val="nil"/>
              <w:bottom w:val="single" w:sz="4" w:space="0" w:color="auto"/>
              <w:right w:val="nil"/>
            </w:tcBorders>
            <w:shd w:val="clear" w:color="auto" w:fill="auto"/>
            <w:vAlign w:val="center"/>
          </w:tcPr>
          <w:p w14:paraId="5EA70564" w14:textId="6239206B"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3.038.896</w:t>
            </w:r>
          </w:p>
        </w:tc>
        <w:tc>
          <w:tcPr>
            <w:tcW w:w="674" w:type="dxa"/>
            <w:tcBorders>
              <w:top w:val="single" w:sz="4" w:space="0" w:color="auto"/>
              <w:left w:val="nil"/>
              <w:bottom w:val="single" w:sz="4" w:space="0" w:color="auto"/>
              <w:right w:val="nil"/>
            </w:tcBorders>
            <w:shd w:val="clear" w:color="auto" w:fill="auto"/>
            <w:vAlign w:val="center"/>
          </w:tcPr>
          <w:p w14:paraId="4886C37D" w14:textId="06E71400" w:rsidR="00FC5122" w:rsidRPr="00FC5122" w:rsidRDefault="00FC5122" w:rsidP="00FC5122">
            <w:pPr>
              <w:jc w:val="right"/>
              <w:rPr>
                <w:rFonts w:ascii="Arial" w:hAnsi="Arial" w:cs="Arial"/>
                <w:b/>
                <w:sz w:val="18"/>
                <w:szCs w:val="18"/>
                <w:lang w:eastAsia="es-AR"/>
              </w:rPr>
            </w:pPr>
            <w:r w:rsidRPr="00FC5122">
              <w:rPr>
                <w:rFonts w:ascii="Arial" w:hAnsi="Arial" w:cs="Arial"/>
                <w:b/>
                <w:sz w:val="18"/>
                <w:szCs w:val="18"/>
              </w:rPr>
              <w:t>-457</w:t>
            </w:r>
          </w:p>
        </w:tc>
        <w:tc>
          <w:tcPr>
            <w:tcW w:w="1111" w:type="dxa"/>
            <w:tcBorders>
              <w:top w:val="single" w:sz="4" w:space="0" w:color="auto"/>
              <w:left w:val="nil"/>
              <w:bottom w:val="single" w:sz="4" w:space="0" w:color="auto"/>
              <w:right w:val="nil"/>
            </w:tcBorders>
            <w:shd w:val="clear" w:color="auto" w:fill="auto"/>
            <w:vAlign w:val="center"/>
          </w:tcPr>
          <w:p w14:paraId="75067D68" w14:textId="1D9C4EDC"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-473</w:t>
            </w:r>
          </w:p>
        </w:tc>
        <w:tc>
          <w:tcPr>
            <w:tcW w:w="1279" w:type="dxa"/>
            <w:tcBorders>
              <w:top w:val="single" w:sz="4" w:space="0" w:color="auto"/>
              <w:left w:val="nil"/>
              <w:bottom w:val="single" w:sz="4" w:space="0" w:color="auto"/>
              <w:right w:val="nil"/>
            </w:tcBorders>
            <w:shd w:val="clear" w:color="auto" w:fill="auto"/>
            <w:vAlign w:val="center"/>
          </w:tcPr>
          <w:p w14:paraId="1505E74F" w14:textId="0DE15A4A"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-2.087</w:t>
            </w:r>
          </w:p>
        </w:tc>
        <w:tc>
          <w:tcPr>
            <w:tcW w:w="977" w:type="dxa"/>
            <w:tcBorders>
              <w:top w:val="single" w:sz="4" w:space="0" w:color="auto"/>
              <w:left w:val="nil"/>
              <w:bottom w:val="single" w:sz="4" w:space="0" w:color="auto"/>
              <w:right w:val="nil"/>
            </w:tcBorders>
            <w:shd w:val="clear" w:color="auto" w:fill="auto"/>
            <w:vAlign w:val="center"/>
          </w:tcPr>
          <w:p w14:paraId="1E87842A" w14:textId="19519204"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-2.560</w:t>
            </w:r>
          </w:p>
        </w:tc>
        <w:tc>
          <w:tcPr>
            <w:tcW w:w="1172" w:type="dxa"/>
            <w:tcBorders>
              <w:top w:val="single" w:sz="4" w:space="0" w:color="auto"/>
              <w:left w:val="nil"/>
              <w:bottom w:val="single" w:sz="4" w:space="0" w:color="auto"/>
              <w:right w:val="nil"/>
            </w:tcBorders>
            <w:shd w:val="clear" w:color="auto" w:fill="auto"/>
            <w:vAlign w:val="center"/>
          </w:tcPr>
          <w:p w14:paraId="4FE5F727" w14:textId="695B61B7"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3.877.642</w:t>
            </w:r>
          </w:p>
        </w:tc>
        <w:tc>
          <w:tcPr>
            <w:tcW w:w="1172" w:type="dxa"/>
            <w:tcBorders>
              <w:top w:val="single" w:sz="4" w:space="0" w:color="auto"/>
              <w:left w:val="nil"/>
              <w:bottom w:val="single" w:sz="4" w:space="0" w:color="auto"/>
              <w:right w:val="nil"/>
            </w:tcBorders>
            <w:shd w:val="clear" w:color="auto" w:fill="auto"/>
            <w:vAlign w:val="center"/>
          </w:tcPr>
          <w:p w14:paraId="44478057" w14:textId="71C0A782"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412.822</w:t>
            </w:r>
          </w:p>
        </w:tc>
      </w:tr>
    </w:tbl>
    <w:p w14:paraId="17E073AC" w14:textId="77777777" w:rsidR="003A3E18" w:rsidRDefault="003A3E18" w:rsidP="00276790">
      <w:pPr>
        <w:rPr>
          <w:sz w:val="20"/>
          <w:lang w:eastAsia="es-AR"/>
        </w:rPr>
      </w:pPr>
    </w:p>
    <w:p w14:paraId="56FB239C" w14:textId="77777777" w:rsidR="003A3E18" w:rsidRPr="00701F32" w:rsidRDefault="003A3E18" w:rsidP="00276790">
      <w:pPr>
        <w:rPr>
          <w:sz w:val="20"/>
          <w:lang w:eastAsia="es-AR"/>
        </w:rPr>
      </w:pPr>
    </w:p>
    <w:p w14:paraId="371F9AC4" w14:textId="77777777" w:rsidR="004A148C" w:rsidRDefault="004A148C" w:rsidP="00276790">
      <w:pPr>
        <w:rPr>
          <w:rFonts w:ascii="Arial" w:hAnsi="Arial" w:cs="Arial"/>
          <w:szCs w:val="24"/>
        </w:rPr>
        <w:sectPr w:rsidR="004A148C" w:rsidSect="004A148C">
          <w:headerReference w:type="default" r:id="rId30"/>
          <w:pgSz w:w="16839" w:h="11907" w:orient="landscape" w:code="9"/>
          <w:pgMar w:top="1701" w:right="1418" w:bottom="1701" w:left="1418" w:header="567" w:footer="0" w:gutter="0"/>
          <w:cols w:space="708"/>
          <w:docGrid w:linePitch="360"/>
        </w:sectPr>
      </w:pPr>
    </w:p>
    <w:tbl>
      <w:tblPr>
        <w:tblW w:w="12460" w:type="dxa"/>
        <w:jc w:val="center"/>
        <w:tblCellMar>
          <w:left w:w="70" w:type="dxa"/>
          <w:right w:w="70" w:type="dxa"/>
        </w:tblCellMar>
        <w:tblLook w:val="04A0" w:firstRow="1" w:lastRow="0" w:firstColumn="1" w:lastColumn="0" w:noHBand="0" w:noVBand="1"/>
      </w:tblPr>
      <w:tblGrid>
        <w:gridCol w:w="2818"/>
        <w:gridCol w:w="1020"/>
        <w:gridCol w:w="1040"/>
        <w:gridCol w:w="940"/>
        <w:gridCol w:w="760"/>
        <w:gridCol w:w="1240"/>
        <w:gridCol w:w="600"/>
        <w:gridCol w:w="1000"/>
        <w:gridCol w:w="960"/>
        <w:gridCol w:w="1041"/>
        <w:gridCol w:w="1041"/>
      </w:tblGrid>
      <w:tr w:rsidR="004A148C" w:rsidRPr="00FC5122" w14:paraId="146C5C57" w14:textId="77777777" w:rsidTr="00FC5122">
        <w:trPr>
          <w:trHeight w:val="315"/>
          <w:jc w:val="center"/>
        </w:trPr>
        <w:tc>
          <w:tcPr>
            <w:tcW w:w="2818" w:type="dxa"/>
            <w:vMerge w:val="restart"/>
            <w:tcBorders>
              <w:top w:val="single" w:sz="4" w:space="0" w:color="363639"/>
              <w:left w:val="single" w:sz="4" w:space="0" w:color="auto"/>
              <w:bottom w:val="nil"/>
              <w:right w:val="single" w:sz="4" w:space="0" w:color="363639"/>
            </w:tcBorders>
            <w:shd w:val="clear" w:color="auto" w:fill="BFBFBF" w:themeFill="background1" w:themeFillShade="BF"/>
            <w:vAlign w:val="center"/>
            <w:hideMark/>
          </w:tcPr>
          <w:p w14:paraId="618988F7"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Concepto</w:t>
            </w:r>
          </w:p>
        </w:tc>
        <w:tc>
          <w:tcPr>
            <w:tcW w:w="1020"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74584E8F"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Valor de origen al inicio del ejercicio</w:t>
            </w:r>
          </w:p>
        </w:tc>
        <w:tc>
          <w:tcPr>
            <w:tcW w:w="1040"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7ACAB430"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Vida Útil total estimada en años</w:t>
            </w:r>
          </w:p>
        </w:tc>
        <w:tc>
          <w:tcPr>
            <w:tcW w:w="940"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4D6F9989"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Altas</w:t>
            </w:r>
          </w:p>
        </w:tc>
        <w:tc>
          <w:tcPr>
            <w:tcW w:w="760"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4D61FF99"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Bajas</w:t>
            </w:r>
          </w:p>
        </w:tc>
        <w:tc>
          <w:tcPr>
            <w:tcW w:w="3800" w:type="dxa"/>
            <w:gridSpan w:val="4"/>
            <w:tcBorders>
              <w:top w:val="single" w:sz="4" w:space="0" w:color="363639"/>
              <w:left w:val="single" w:sz="4" w:space="0" w:color="363639"/>
              <w:bottom w:val="single" w:sz="4" w:space="0" w:color="363639"/>
              <w:right w:val="single" w:sz="4" w:space="0" w:color="363639"/>
            </w:tcBorders>
            <w:shd w:val="clear" w:color="auto" w:fill="BFBFBF" w:themeFill="background1" w:themeFillShade="BF"/>
            <w:hideMark/>
          </w:tcPr>
          <w:p w14:paraId="439780D3"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Depreciación</w:t>
            </w:r>
          </w:p>
        </w:tc>
        <w:tc>
          <w:tcPr>
            <w:tcW w:w="1041"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2635FC3D" w14:textId="46E3FFBF"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Valor residual al 31/12/2019</w:t>
            </w:r>
          </w:p>
        </w:tc>
        <w:tc>
          <w:tcPr>
            <w:tcW w:w="1041"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001A84FC" w14:textId="5E76CDD6"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Valor residual al 31/12/2018</w:t>
            </w:r>
          </w:p>
        </w:tc>
      </w:tr>
      <w:tr w:rsidR="004A148C" w:rsidRPr="00FC5122" w14:paraId="7053B35E" w14:textId="77777777" w:rsidTr="00FC5122">
        <w:trPr>
          <w:trHeight w:val="1242"/>
          <w:jc w:val="center"/>
        </w:trPr>
        <w:tc>
          <w:tcPr>
            <w:tcW w:w="2818" w:type="dxa"/>
            <w:vMerge/>
            <w:tcBorders>
              <w:top w:val="single" w:sz="4" w:space="0" w:color="363639"/>
              <w:left w:val="single" w:sz="4" w:space="0" w:color="auto"/>
              <w:bottom w:val="nil"/>
              <w:right w:val="single" w:sz="4" w:space="0" w:color="363639"/>
            </w:tcBorders>
            <w:vAlign w:val="center"/>
            <w:hideMark/>
          </w:tcPr>
          <w:p w14:paraId="1C1F3034" w14:textId="77777777" w:rsidR="004A148C" w:rsidRPr="00FC5122" w:rsidRDefault="004A148C" w:rsidP="004A148C">
            <w:pPr>
              <w:rPr>
                <w:rFonts w:ascii="Arial" w:hAnsi="Arial" w:cs="Arial"/>
                <w:b/>
                <w:bCs/>
                <w:sz w:val="18"/>
                <w:szCs w:val="18"/>
                <w:lang w:eastAsia="es-AR"/>
              </w:rPr>
            </w:pPr>
          </w:p>
        </w:tc>
        <w:tc>
          <w:tcPr>
            <w:tcW w:w="1020" w:type="dxa"/>
            <w:vMerge/>
            <w:tcBorders>
              <w:top w:val="single" w:sz="4" w:space="0" w:color="363639"/>
              <w:left w:val="single" w:sz="4" w:space="0" w:color="363639"/>
              <w:bottom w:val="single" w:sz="4" w:space="0" w:color="000000"/>
              <w:right w:val="single" w:sz="4" w:space="0" w:color="363639"/>
            </w:tcBorders>
            <w:vAlign w:val="center"/>
            <w:hideMark/>
          </w:tcPr>
          <w:p w14:paraId="7388FE61" w14:textId="77777777" w:rsidR="004A148C" w:rsidRPr="00FC5122" w:rsidRDefault="004A148C" w:rsidP="004A148C">
            <w:pPr>
              <w:rPr>
                <w:rFonts w:ascii="Arial" w:hAnsi="Arial" w:cs="Arial"/>
                <w:b/>
                <w:bCs/>
                <w:sz w:val="18"/>
                <w:szCs w:val="18"/>
                <w:lang w:eastAsia="es-AR"/>
              </w:rPr>
            </w:pPr>
          </w:p>
        </w:tc>
        <w:tc>
          <w:tcPr>
            <w:tcW w:w="1040" w:type="dxa"/>
            <w:vMerge/>
            <w:tcBorders>
              <w:top w:val="single" w:sz="4" w:space="0" w:color="363639"/>
              <w:left w:val="single" w:sz="4" w:space="0" w:color="363639"/>
              <w:bottom w:val="nil"/>
              <w:right w:val="single" w:sz="4" w:space="0" w:color="363639"/>
            </w:tcBorders>
            <w:vAlign w:val="center"/>
            <w:hideMark/>
          </w:tcPr>
          <w:p w14:paraId="6993CA32" w14:textId="77777777" w:rsidR="004A148C" w:rsidRPr="00FC5122" w:rsidRDefault="004A148C" w:rsidP="004A148C">
            <w:pPr>
              <w:rPr>
                <w:rFonts w:ascii="Arial" w:hAnsi="Arial" w:cs="Arial"/>
                <w:b/>
                <w:bCs/>
                <w:sz w:val="18"/>
                <w:szCs w:val="18"/>
                <w:lang w:eastAsia="es-AR"/>
              </w:rPr>
            </w:pPr>
          </w:p>
        </w:tc>
        <w:tc>
          <w:tcPr>
            <w:tcW w:w="940" w:type="dxa"/>
            <w:vMerge/>
            <w:tcBorders>
              <w:top w:val="single" w:sz="4" w:space="0" w:color="363639"/>
              <w:left w:val="single" w:sz="4" w:space="0" w:color="363639"/>
              <w:bottom w:val="nil"/>
              <w:right w:val="single" w:sz="4" w:space="0" w:color="363639"/>
            </w:tcBorders>
            <w:vAlign w:val="center"/>
            <w:hideMark/>
          </w:tcPr>
          <w:p w14:paraId="65C0BCD9" w14:textId="77777777" w:rsidR="004A148C" w:rsidRPr="00FC5122" w:rsidRDefault="004A148C" w:rsidP="004A148C">
            <w:pPr>
              <w:rPr>
                <w:rFonts w:ascii="Arial" w:hAnsi="Arial" w:cs="Arial"/>
                <w:b/>
                <w:bCs/>
                <w:sz w:val="18"/>
                <w:szCs w:val="18"/>
                <w:lang w:eastAsia="es-AR"/>
              </w:rPr>
            </w:pPr>
          </w:p>
        </w:tc>
        <w:tc>
          <w:tcPr>
            <w:tcW w:w="760" w:type="dxa"/>
            <w:vMerge/>
            <w:tcBorders>
              <w:top w:val="single" w:sz="4" w:space="0" w:color="363639"/>
              <w:left w:val="single" w:sz="4" w:space="0" w:color="363639"/>
              <w:bottom w:val="nil"/>
              <w:right w:val="single" w:sz="4" w:space="0" w:color="363639"/>
            </w:tcBorders>
            <w:vAlign w:val="center"/>
            <w:hideMark/>
          </w:tcPr>
          <w:p w14:paraId="2E19C51F" w14:textId="77777777" w:rsidR="004A148C" w:rsidRPr="00FC5122" w:rsidRDefault="004A148C" w:rsidP="004A148C">
            <w:pPr>
              <w:rPr>
                <w:rFonts w:ascii="Arial" w:hAnsi="Arial" w:cs="Arial"/>
                <w:b/>
                <w:bCs/>
                <w:sz w:val="18"/>
                <w:szCs w:val="18"/>
                <w:lang w:eastAsia="es-AR"/>
              </w:rPr>
            </w:pPr>
          </w:p>
        </w:tc>
        <w:tc>
          <w:tcPr>
            <w:tcW w:w="1240" w:type="dxa"/>
            <w:tcBorders>
              <w:top w:val="nil"/>
              <w:left w:val="nil"/>
              <w:bottom w:val="nil"/>
              <w:right w:val="single" w:sz="4" w:space="0" w:color="363639"/>
            </w:tcBorders>
            <w:shd w:val="clear" w:color="auto" w:fill="BFBFBF" w:themeFill="background1" w:themeFillShade="BF"/>
            <w:vAlign w:val="center"/>
            <w:hideMark/>
          </w:tcPr>
          <w:p w14:paraId="2DAC0C81"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Acumulada</w:t>
            </w:r>
          </w:p>
        </w:tc>
        <w:tc>
          <w:tcPr>
            <w:tcW w:w="600" w:type="dxa"/>
            <w:tcBorders>
              <w:top w:val="nil"/>
              <w:left w:val="nil"/>
              <w:bottom w:val="nil"/>
              <w:right w:val="single" w:sz="4" w:space="0" w:color="363639"/>
            </w:tcBorders>
            <w:shd w:val="clear" w:color="auto" w:fill="BFBFBF" w:themeFill="background1" w:themeFillShade="BF"/>
            <w:vAlign w:val="center"/>
            <w:hideMark/>
          </w:tcPr>
          <w:p w14:paraId="3C688D53"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Baja</w:t>
            </w:r>
          </w:p>
        </w:tc>
        <w:tc>
          <w:tcPr>
            <w:tcW w:w="1000" w:type="dxa"/>
            <w:tcBorders>
              <w:top w:val="nil"/>
              <w:left w:val="nil"/>
              <w:bottom w:val="nil"/>
              <w:right w:val="single" w:sz="4" w:space="0" w:color="363639"/>
            </w:tcBorders>
            <w:shd w:val="clear" w:color="auto" w:fill="BFBFBF" w:themeFill="background1" w:themeFillShade="BF"/>
            <w:vAlign w:val="center"/>
            <w:hideMark/>
          </w:tcPr>
          <w:p w14:paraId="1202888A"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Del ejercicio</w:t>
            </w:r>
          </w:p>
        </w:tc>
        <w:tc>
          <w:tcPr>
            <w:tcW w:w="960" w:type="dxa"/>
            <w:tcBorders>
              <w:top w:val="nil"/>
              <w:left w:val="nil"/>
              <w:bottom w:val="nil"/>
              <w:right w:val="single" w:sz="4" w:space="0" w:color="363639"/>
            </w:tcBorders>
            <w:shd w:val="clear" w:color="auto" w:fill="BFBFBF" w:themeFill="background1" w:themeFillShade="BF"/>
            <w:vAlign w:val="center"/>
            <w:hideMark/>
          </w:tcPr>
          <w:p w14:paraId="063CD261"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Al cierre</w:t>
            </w:r>
          </w:p>
        </w:tc>
        <w:tc>
          <w:tcPr>
            <w:tcW w:w="1041" w:type="dxa"/>
            <w:vMerge/>
            <w:tcBorders>
              <w:top w:val="single" w:sz="4" w:space="0" w:color="363639"/>
              <w:left w:val="single" w:sz="4" w:space="0" w:color="363639"/>
              <w:bottom w:val="nil"/>
              <w:right w:val="single" w:sz="4" w:space="0" w:color="363639"/>
            </w:tcBorders>
            <w:vAlign w:val="center"/>
            <w:hideMark/>
          </w:tcPr>
          <w:p w14:paraId="665F8836" w14:textId="77777777" w:rsidR="004A148C" w:rsidRPr="00FC5122" w:rsidRDefault="004A148C" w:rsidP="004A148C">
            <w:pPr>
              <w:rPr>
                <w:rFonts w:ascii="Arial" w:hAnsi="Arial" w:cs="Arial"/>
                <w:b/>
                <w:bCs/>
                <w:sz w:val="18"/>
                <w:szCs w:val="18"/>
                <w:lang w:eastAsia="es-AR"/>
              </w:rPr>
            </w:pPr>
          </w:p>
        </w:tc>
        <w:tc>
          <w:tcPr>
            <w:tcW w:w="1041" w:type="dxa"/>
            <w:vMerge/>
            <w:tcBorders>
              <w:top w:val="single" w:sz="4" w:space="0" w:color="363639"/>
              <w:left w:val="single" w:sz="4" w:space="0" w:color="363639"/>
              <w:bottom w:val="nil"/>
              <w:right w:val="single" w:sz="4" w:space="0" w:color="363639"/>
            </w:tcBorders>
            <w:vAlign w:val="center"/>
            <w:hideMark/>
          </w:tcPr>
          <w:p w14:paraId="79F96990" w14:textId="77777777" w:rsidR="004A148C" w:rsidRPr="00FC5122" w:rsidRDefault="004A148C" w:rsidP="004A148C">
            <w:pPr>
              <w:rPr>
                <w:rFonts w:ascii="Arial" w:hAnsi="Arial" w:cs="Arial"/>
                <w:b/>
                <w:bCs/>
                <w:sz w:val="18"/>
                <w:szCs w:val="18"/>
                <w:lang w:eastAsia="es-AR"/>
              </w:rPr>
            </w:pPr>
          </w:p>
        </w:tc>
      </w:tr>
      <w:tr w:rsidR="004A148C" w:rsidRPr="00FC5122" w14:paraId="08B730B4" w14:textId="77777777" w:rsidTr="00FC5122">
        <w:trPr>
          <w:trHeight w:val="255"/>
          <w:jc w:val="center"/>
        </w:trPr>
        <w:tc>
          <w:tcPr>
            <w:tcW w:w="2818" w:type="dxa"/>
            <w:tcBorders>
              <w:top w:val="single" w:sz="4" w:space="0" w:color="auto"/>
              <w:bottom w:val="nil"/>
              <w:right w:val="nil"/>
            </w:tcBorders>
            <w:shd w:val="clear" w:color="auto" w:fill="auto"/>
            <w:vAlign w:val="center"/>
            <w:hideMark/>
          </w:tcPr>
          <w:p w14:paraId="5615194E"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 </w:t>
            </w:r>
          </w:p>
        </w:tc>
        <w:tc>
          <w:tcPr>
            <w:tcW w:w="1020" w:type="dxa"/>
            <w:tcBorders>
              <w:top w:val="nil"/>
              <w:left w:val="nil"/>
              <w:bottom w:val="nil"/>
              <w:right w:val="nil"/>
            </w:tcBorders>
            <w:shd w:val="clear" w:color="auto" w:fill="auto"/>
            <w:vAlign w:val="center"/>
            <w:hideMark/>
          </w:tcPr>
          <w:p w14:paraId="02789E6E" w14:textId="77777777" w:rsidR="004A148C" w:rsidRPr="00FC5122" w:rsidRDefault="004A148C" w:rsidP="004A148C">
            <w:pPr>
              <w:rPr>
                <w:rFonts w:ascii="Arial" w:hAnsi="Arial" w:cs="Arial"/>
                <w:b/>
                <w:bCs/>
                <w:sz w:val="18"/>
                <w:szCs w:val="18"/>
                <w:lang w:eastAsia="es-AR"/>
              </w:rPr>
            </w:pPr>
            <w:r w:rsidRPr="00FC5122">
              <w:rPr>
                <w:rFonts w:ascii="Arial" w:hAnsi="Arial" w:cs="Arial"/>
                <w:b/>
                <w:bCs/>
                <w:sz w:val="18"/>
                <w:szCs w:val="18"/>
                <w:lang w:eastAsia="es-AR"/>
              </w:rPr>
              <w:t> </w:t>
            </w:r>
          </w:p>
        </w:tc>
        <w:tc>
          <w:tcPr>
            <w:tcW w:w="1040" w:type="dxa"/>
            <w:tcBorders>
              <w:top w:val="single" w:sz="4" w:space="0" w:color="auto"/>
              <w:left w:val="nil"/>
              <w:bottom w:val="nil"/>
              <w:right w:val="nil"/>
            </w:tcBorders>
            <w:shd w:val="clear" w:color="auto" w:fill="auto"/>
            <w:vAlign w:val="center"/>
            <w:hideMark/>
          </w:tcPr>
          <w:p w14:paraId="68629450"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 </w:t>
            </w:r>
          </w:p>
        </w:tc>
        <w:tc>
          <w:tcPr>
            <w:tcW w:w="940" w:type="dxa"/>
            <w:tcBorders>
              <w:top w:val="single" w:sz="4" w:space="0" w:color="auto"/>
              <w:left w:val="nil"/>
              <w:bottom w:val="nil"/>
              <w:right w:val="nil"/>
            </w:tcBorders>
            <w:shd w:val="clear" w:color="auto" w:fill="auto"/>
            <w:vAlign w:val="center"/>
            <w:hideMark/>
          </w:tcPr>
          <w:p w14:paraId="28E09D4E"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 </w:t>
            </w:r>
          </w:p>
        </w:tc>
        <w:tc>
          <w:tcPr>
            <w:tcW w:w="760" w:type="dxa"/>
            <w:tcBorders>
              <w:top w:val="single" w:sz="4" w:space="0" w:color="auto"/>
              <w:left w:val="nil"/>
              <w:bottom w:val="nil"/>
              <w:right w:val="nil"/>
            </w:tcBorders>
            <w:shd w:val="clear" w:color="auto" w:fill="auto"/>
            <w:vAlign w:val="bottom"/>
            <w:hideMark/>
          </w:tcPr>
          <w:p w14:paraId="4BFF7474"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 </w:t>
            </w:r>
          </w:p>
        </w:tc>
        <w:tc>
          <w:tcPr>
            <w:tcW w:w="1240" w:type="dxa"/>
            <w:tcBorders>
              <w:top w:val="single" w:sz="4" w:space="0" w:color="auto"/>
              <w:left w:val="nil"/>
              <w:bottom w:val="nil"/>
              <w:right w:val="nil"/>
            </w:tcBorders>
            <w:shd w:val="clear" w:color="auto" w:fill="auto"/>
            <w:vAlign w:val="center"/>
            <w:hideMark/>
          </w:tcPr>
          <w:p w14:paraId="22236C0C"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 </w:t>
            </w:r>
          </w:p>
        </w:tc>
        <w:tc>
          <w:tcPr>
            <w:tcW w:w="600" w:type="dxa"/>
            <w:tcBorders>
              <w:top w:val="single" w:sz="4" w:space="0" w:color="auto"/>
              <w:left w:val="nil"/>
              <w:bottom w:val="nil"/>
              <w:right w:val="nil"/>
            </w:tcBorders>
            <w:shd w:val="clear" w:color="auto" w:fill="auto"/>
            <w:vAlign w:val="center"/>
            <w:hideMark/>
          </w:tcPr>
          <w:p w14:paraId="43F4BD09"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 </w:t>
            </w:r>
          </w:p>
        </w:tc>
        <w:tc>
          <w:tcPr>
            <w:tcW w:w="1000" w:type="dxa"/>
            <w:tcBorders>
              <w:top w:val="single" w:sz="4" w:space="0" w:color="auto"/>
              <w:left w:val="nil"/>
              <w:bottom w:val="nil"/>
              <w:right w:val="nil"/>
            </w:tcBorders>
            <w:shd w:val="clear" w:color="auto" w:fill="auto"/>
            <w:hideMark/>
          </w:tcPr>
          <w:p w14:paraId="1F04D059"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 </w:t>
            </w:r>
          </w:p>
        </w:tc>
        <w:tc>
          <w:tcPr>
            <w:tcW w:w="960" w:type="dxa"/>
            <w:tcBorders>
              <w:top w:val="single" w:sz="4" w:space="0" w:color="auto"/>
              <w:left w:val="nil"/>
              <w:bottom w:val="nil"/>
              <w:right w:val="nil"/>
            </w:tcBorders>
            <w:shd w:val="clear" w:color="auto" w:fill="auto"/>
            <w:hideMark/>
          </w:tcPr>
          <w:p w14:paraId="16B9A427"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 </w:t>
            </w:r>
          </w:p>
        </w:tc>
        <w:tc>
          <w:tcPr>
            <w:tcW w:w="1041" w:type="dxa"/>
            <w:tcBorders>
              <w:top w:val="single" w:sz="4" w:space="0" w:color="auto"/>
              <w:left w:val="nil"/>
              <w:bottom w:val="nil"/>
              <w:right w:val="nil"/>
            </w:tcBorders>
            <w:shd w:val="clear" w:color="auto" w:fill="auto"/>
            <w:vAlign w:val="center"/>
            <w:hideMark/>
          </w:tcPr>
          <w:p w14:paraId="6ADB1A06"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 </w:t>
            </w:r>
          </w:p>
        </w:tc>
        <w:tc>
          <w:tcPr>
            <w:tcW w:w="1041" w:type="dxa"/>
            <w:tcBorders>
              <w:top w:val="single" w:sz="4" w:space="0" w:color="auto"/>
              <w:left w:val="nil"/>
              <w:bottom w:val="nil"/>
              <w:right w:val="nil"/>
            </w:tcBorders>
            <w:shd w:val="clear" w:color="auto" w:fill="auto"/>
            <w:vAlign w:val="center"/>
            <w:hideMark/>
          </w:tcPr>
          <w:p w14:paraId="7282384F" w14:textId="77777777" w:rsidR="004A148C" w:rsidRPr="00FC5122" w:rsidRDefault="004A148C" w:rsidP="004A148C">
            <w:pPr>
              <w:jc w:val="center"/>
              <w:rPr>
                <w:rFonts w:ascii="Arial" w:hAnsi="Arial" w:cs="Arial"/>
                <w:b/>
                <w:bCs/>
                <w:sz w:val="18"/>
                <w:szCs w:val="18"/>
                <w:lang w:eastAsia="es-AR"/>
              </w:rPr>
            </w:pPr>
            <w:r w:rsidRPr="00FC5122">
              <w:rPr>
                <w:rFonts w:ascii="Arial" w:hAnsi="Arial" w:cs="Arial"/>
                <w:b/>
                <w:bCs/>
                <w:sz w:val="18"/>
                <w:szCs w:val="18"/>
                <w:lang w:eastAsia="es-AR"/>
              </w:rPr>
              <w:t> </w:t>
            </w:r>
          </w:p>
        </w:tc>
      </w:tr>
      <w:tr w:rsidR="004A148C" w:rsidRPr="00FC5122" w14:paraId="08545681" w14:textId="77777777" w:rsidTr="00FC5122">
        <w:trPr>
          <w:trHeight w:val="255"/>
          <w:jc w:val="center"/>
        </w:trPr>
        <w:tc>
          <w:tcPr>
            <w:tcW w:w="2818" w:type="dxa"/>
            <w:tcBorders>
              <w:top w:val="nil"/>
              <w:left w:val="nil"/>
              <w:bottom w:val="nil"/>
              <w:right w:val="nil"/>
            </w:tcBorders>
            <w:shd w:val="clear" w:color="auto" w:fill="auto"/>
            <w:hideMark/>
          </w:tcPr>
          <w:p w14:paraId="76D4228F" w14:textId="77777777" w:rsidR="004A148C" w:rsidRPr="00FC5122" w:rsidRDefault="004A148C" w:rsidP="004A148C">
            <w:pPr>
              <w:rPr>
                <w:rFonts w:ascii="Arial" w:hAnsi="Arial" w:cs="Arial"/>
                <w:b/>
                <w:bCs/>
                <w:sz w:val="18"/>
                <w:szCs w:val="18"/>
                <w:lang w:eastAsia="es-AR"/>
              </w:rPr>
            </w:pPr>
            <w:r w:rsidRPr="00FC5122">
              <w:rPr>
                <w:rFonts w:ascii="Arial" w:hAnsi="Arial" w:cs="Arial"/>
                <w:b/>
                <w:bCs/>
                <w:sz w:val="18"/>
                <w:szCs w:val="18"/>
                <w:lang w:eastAsia="es-AR"/>
              </w:rPr>
              <w:t>Medición al costo</w:t>
            </w:r>
          </w:p>
        </w:tc>
        <w:tc>
          <w:tcPr>
            <w:tcW w:w="1020" w:type="dxa"/>
            <w:tcBorders>
              <w:top w:val="nil"/>
              <w:left w:val="nil"/>
              <w:bottom w:val="nil"/>
              <w:right w:val="nil"/>
            </w:tcBorders>
            <w:shd w:val="clear" w:color="auto" w:fill="auto"/>
            <w:vAlign w:val="bottom"/>
            <w:hideMark/>
          </w:tcPr>
          <w:p w14:paraId="433EB87E" w14:textId="77777777" w:rsidR="004A148C" w:rsidRPr="00FC5122" w:rsidRDefault="004A148C" w:rsidP="004A148C">
            <w:pPr>
              <w:rPr>
                <w:rFonts w:ascii="Arial" w:hAnsi="Arial" w:cs="Arial"/>
                <w:b/>
                <w:bCs/>
                <w:sz w:val="18"/>
                <w:szCs w:val="18"/>
                <w:lang w:eastAsia="es-AR"/>
              </w:rPr>
            </w:pPr>
          </w:p>
        </w:tc>
        <w:tc>
          <w:tcPr>
            <w:tcW w:w="1040" w:type="dxa"/>
            <w:tcBorders>
              <w:top w:val="nil"/>
              <w:left w:val="nil"/>
              <w:bottom w:val="nil"/>
              <w:right w:val="nil"/>
            </w:tcBorders>
            <w:shd w:val="clear" w:color="auto" w:fill="auto"/>
            <w:vAlign w:val="bottom"/>
            <w:hideMark/>
          </w:tcPr>
          <w:p w14:paraId="58388D05" w14:textId="77777777" w:rsidR="004A148C" w:rsidRPr="00FC5122" w:rsidRDefault="004A148C" w:rsidP="004A148C">
            <w:pPr>
              <w:rPr>
                <w:sz w:val="18"/>
                <w:szCs w:val="18"/>
                <w:lang w:eastAsia="es-AR"/>
              </w:rPr>
            </w:pPr>
          </w:p>
        </w:tc>
        <w:tc>
          <w:tcPr>
            <w:tcW w:w="940" w:type="dxa"/>
            <w:tcBorders>
              <w:top w:val="nil"/>
              <w:left w:val="nil"/>
              <w:bottom w:val="nil"/>
              <w:right w:val="nil"/>
            </w:tcBorders>
            <w:shd w:val="clear" w:color="auto" w:fill="auto"/>
            <w:vAlign w:val="bottom"/>
            <w:hideMark/>
          </w:tcPr>
          <w:p w14:paraId="0C86CB17" w14:textId="77777777" w:rsidR="004A148C" w:rsidRPr="00FC5122" w:rsidRDefault="004A148C" w:rsidP="004A148C">
            <w:pPr>
              <w:jc w:val="center"/>
              <w:rPr>
                <w:sz w:val="18"/>
                <w:szCs w:val="18"/>
                <w:lang w:eastAsia="es-AR"/>
              </w:rPr>
            </w:pPr>
          </w:p>
        </w:tc>
        <w:tc>
          <w:tcPr>
            <w:tcW w:w="760" w:type="dxa"/>
            <w:tcBorders>
              <w:top w:val="nil"/>
              <w:left w:val="nil"/>
              <w:bottom w:val="nil"/>
              <w:right w:val="nil"/>
            </w:tcBorders>
            <w:shd w:val="clear" w:color="auto" w:fill="auto"/>
            <w:vAlign w:val="bottom"/>
            <w:hideMark/>
          </w:tcPr>
          <w:p w14:paraId="2A29F5C4" w14:textId="77777777" w:rsidR="004A148C" w:rsidRPr="00FC5122" w:rsidRDefault="004A148C" w:rsidP="004A148C">
            <w:pPr>
              <w:rPr>
                <w:sz w:val="18"/>
                <w:szCs w:val="18"/>
                <w:lang w:eastAsia="es-AR"/>
              </w:rPr>
            </w:pPr>
          </w:p>
        </w:tc>
        <w:tc>
          <w:tcPr>
            <w:tcW w:w="1240" w:type="dxa"/>
            <w:tcBorders>
              <w:top w:val="nil"/>
              <w:left w:val="nil"/>
              <w:bottom w:val="nil"/>
              <w:right w:val="nil"/>
            </w:tcBorders>
            <w:shd w:val="clear" w:color="auto" w:fill="auto"/>
            <w:vAlign w:val="bottom"/>
            <w:hideMark/>
          </w:tcPr>
          <w:p w14:paraId="26C633D3" w14:textId="77777777" w:rsidR="004A148C" w:rsidRPr="00FC5122" w:rsidRDefault="004A148C" w:rsidP="004A148C">
            <w:pPr>
              <w:rPr>
                <w:sz w:val="18"/>
                <w:szCs w:val="18"/>
                <w:lang w:eastAsia="es-AR"/>
              </w:rPr>
            </w:pPr>
          </w:p>
        </w:tc>
        <w:tc>
          <w:tcPr>
            <w:tcW w:w="600" w:type="dxa"/>
            <w:tcBorders>
              <w:top w:val="nil"/>
              <w:left w:val="nil"/>
              <w:bottom w:val="nil"/>
              <w:right w:val="nil"/>
            </w:tcBorders>
            <w:shd w:val="clear" w:color="auto" w:fill="auto"/>
            <w:vAlign w:val="bottom"/>
            <w:hideMark/>
          </w:tcPr>
          <w:p w14:paraId="1CBEF468" w14:textId="77777777" w:rsidR="004A148C" w:rsidRPr="00FC5122" w:rsidRDefault="004A148C" w:rsidP="004A148C">
            <w:pPr>
              <w:rPr>
                <w:sz w:val="18"/>
                <w:szCs w:val="18"/>
                <w:lang w:eastAsia="es-AR"/>
              </w:rPr>
            </w:pPr>
          </w:p>
        </w:tc>
        <w:tc>
          <w:tcPr>
            <w:tcW w:w="1000" w:type="dxa"/>
            <w:tcBorders>
              <w:top w:val="nil"/>
              <w:left w:val="nil"/>
              <w:bottom w:val="nil"/>
              <w:right w:val="nil"/>
            </w:tcBorders>
            <w:shd w:val="clear" w:color="auto" w:fill="auto"/>
            <w:vAlign w:val="bottom"/>
            <w:hideMark/>
          </w:tcPr>
          <w:p w14:paraId="64B2E995" w14:textId="77777777" w:rsidR="004A148C" w:rsidRPr="00FC5122" w:rsidRDefault="004A148C" w:rsidP="004A148C">
            <w:pPr>
              <w:rPr>
                <w:sz w:val="18"/>
                <w:szCs w:val="18"/>
                <w:lang w:eastAsia="es-AR"/>
              </w:rPr>
            </w:pPr>
          </w:p>
        </w:tc>
        <w:tc>
          <w:tcPr>
            <w:tcW w:w="960" w:type="dxa"/>
            <w:tcBorders>
              <w:top w:val="nil"/>
              <w:left w:val="nil"/>
              <w:bottom w:val="nil"/>
              <w:right w:val="nil"/>
            </w:tcBorders>
            <w:shd w:val="clear" w:color="auto" w:fill="auto"/>
            <w:vAlign w:val="bottom"/>
            <w:hideMark/>
          </w:tcPr>
          <w:p w14:paraId="3EB7F4FC" w14:textId="77777777" w:rsidR="004A148C" w:rsidRPr="00FC5122" w:rsidRDefault="004A148C" w:rsidP="004A148C">
            <w:pPr>
              <w:rPr>
                <w:sz w:val="18"/>
                <w:szCs w:val="18"/>
                <w:lang w:eastAsia="es-AR"/>
              </w:rPr>
            </w:pPr>
          </w:p>
        </w:tc>
        <w:tc>
          <w:tcPr>
            <w:tcW w:w="1041" w:type="dxa"/>
            <w:tcBorders>
              <w:top w:val="nil"/>
              <w:left w:val="nil"/>
              <w:bottom w:val="nil"/>
              <w:right w:val="nil"/>
            </w:tcBorders>
            <w:shd w:val="clear" w:color="auto" w:fill="auto"/>
            <w:vAlign w:val="bottom"/>
            <w:hideMark/>
          </w:tcPr>
          <w:p w14:paraId="323E4B0E" w14:textId="77777777" w:rsidR="004A148C" w:rsidRPr="00FC5122" w:rsidRDefault="004A148C" w:rsidP="004A148C">
            <w:pPr>
              <w:rPr>
                <w:sz w:val="18"/>
                <w:szCs w:val="18"/>
                <w:lang w:eastAsia="es-AR"/>
              </w:rPr>
            </w:pPr>
          </w:p>
        </w:tc>
        <w:tc>
          <w:tcPr>
            <w:tcW w:w="1041" w:type="dxa"/>
            <w:tcBorders>
              <w:top w:val="nil"/>
              <w:left w:val="nil"/>
              <w:bottom w:val="nil"/>
              <w:right w:val="nil"/>
            </w:tcBorders>
            <w:shd w:val="clear" w:color="auto" w:fill="auto"/>
            <w:noWrap/>
            <w:vAlign w:val="bottom"/>
            <w:hideMark/>
          </w:tcPr>
          <w:p w14:paraId="1AD213F5" w14:textId="77777777" w:rsidR="004A148C" w:rsidRPr="00FC5122" w:rsidRDefault="004A148C" w:rsidP="004A148C">
            <w:pPr>
              <w:rPr>
                <w:sz w:val="18"/>
                <w:szCs w:val="18"/>
                <w:lang w:eastAsia="es-AR"/>
              </w:rPr>
            </w:pPr>
          </w:p>
        </w:tc>
      </w:tr>
      <w:tr w:rsidR="004A148C" w:rsidRPr="00FC5122" w14:paraId="3E4E85F2" w14:textId="77777777" w:rsidTr="00FC5122">
        <w:trPr>
          <w:trHeight w:val="510"/>
          <w:jc w:val="center"/>
        </w:trPr>
        <w:tc>
          <w:tcPr>
            <w:tcW w:w="2818" w:type="dxa"/>
            <w:tcBorders>
              <w:top w:val="nil"/>
              <w:left w:val="nil"/>
              <w:bottom w:val="nil"/>
              <w:right w:val="nil"/>
            </w:tcBorders>
            <w:shd w:val="clear" w:color="auto" w:fill="auto"/>
            <w:hideMark/>
          </w:tcPr>
          <w:p w14:paraId="268744B1" w14:textId="77777777" w:rsidR="004A148C" w:rsidRPr="00FC5122" w:rsidRDefault="004A148C" w:rsidP="004A148C">
            <w:pPr>
              <w:rPr>
                <w:rFonts w:ascii="Arial" w:hAnsi="Arial" w:cs="Arial"/>
                <w:sz w:val="18"/>
                <w:szCs w:val="18"/>
                <w:lang w:eastAsia="es-AR"/>
              </w:rPr>
            </w:pPr>
            <w:r w:rsidRPr="00FC5122">
              <w:rPr>
                <w:rFonts w:ascii="Arial" w:hAnsi="Arial" w:cs="Arial"/>
                <w:sz w:val="18"/>
                <w:szCs w:val="18"/>
                <w:lang w:eastAsia="es-AR"/>
              </w:rPr>
              <w:t>Llave de negocio- Combinación de negocios</w:t>
            </w:r>
          </w:p>
        </w:tc>
        <w:tc>
          <w:tcPr>
            <w:tcW w:w="1020" w:type="dxa"/>
            <w:tcBorders>
              <w:top w:val="nil"/>
              <w:left w:val="nil"/>
              <w:bottom w:val="nil"/>
              <w:right w:val="nil"/>
            </w:tcBorders>
            <w:shd w:val="clear" w:color="auto" w:fill="auto"/>
            <w:vAlign w:val="bottom"/>
          </w:tcPr>
          <w:p w14:paraId="2E630C20" w14:textId="0C29C37E" w:rsidR="004A148C" w:rsidRPr="00FC5122" w:rsidRDefault="00FC5122" w:rsidP="00FC5122">
            <w:pPr>
              <w:jc w:val="right"/>
              <w:rPr>
                <w:rFonts w:ascii="Arial" w:hAnsi="Arial" w:cs="Arial"/>
                <w:sz w:val="18"/>
                <w:szCs w:val="18"/>
                <w:lang w:eastAsia="es-AR"/>
              </w:rPr>
            </w:pPr>
            <w:r w:rsidRPr="00FC5122">
              <w:rPr>
                <w:rFonts w:ascii="Arial" w:hAnsi="Arial" w:cs="Arial"/>
                <w:sz w:val="18"/>
                <w:szCs w:val="18"/>
              </w:rPr>
              <w:t>30.983</w:t>
            </w:r>
          </w:p>
        </w:tc>
        <w:tc>
          <w:tcPr>
            <w:tcW w:w="1040" w:type="dxa"/>
            <w:tcBorders>
              <w:top w:val="nil"/>
              <w:left w:val="nil"/>
              <w:bottom w:val="nil"/>
              <w:right w:val="nil"/>
            </w:tcBorders>
            <w:shd w:val="clear" w:color="auto" w:fill="auto"/>
            <w:vAlign w:val="bottom"/>
          </w:tcPr>
          <w:p w14:paraId="28D4E897" w14:textId="393D7817" w:rsidR="004A148C" w:rsidRPr="00FC5122" w:rsidRDefault="00FC5122" w:rsidP="004A148C">
            <w:pPr>
              <w:jc w:val="right"/>
              <w:rPr>
                <w:rFonts w:ascii="Arial" w:hAnsi="Arial" w:cs="Arial"/>
                <w:sz w:val="18"/>
                <w:szCs w:val="18"/>
                <w:lang w:eastAsia="es-AR"/>
              </w:rPr>
            </w:pPr>
            <w:r w:rsidRPr="00FC5122">
              <w:rPr>
                <w:rFonts w:ascii="Arial" w:hAnsi="Arial" w:cs="Arial"/>
                <w:sz w:val="18"/>
                <w:szCs w:val="18"/>
                <w:lang w:eastAsia="es-AR"/>
              </w:rPr>
              <w:t>-</w:t>
            </w:r>
          </w:p>
        </w:tc>
        <w:tc>
          <w:tcPr>
            <w:tcW w:w="940" w:type="dxa"/>
            <w:tcBorders>
              <w:top w:val="nil"/>
              <w:left w:val="nil"/>
              <w:bottom w:val="nil"/>
              <w:right w:val="nil"/>
            </w:tcBorders>
            <w:shd w:val="clear" w:color="auto" w:fill="auto"/>
            <w:vAlign w:val="bottom"/>
          </w:tcPr>
          <w:p w14:paraId="0AEBAED8" w14:textId="0634D07E" w:rsidR="004A148C" w:rsidRPr="00FC5122" w:rsidRDefault="00FC5122" w:rsidP="004A148C">
            <w:pPr>
              <w:jc w:val="right"/>
              <w:rPr>
                <w:rFonts w:ascii="Arial" w:hAnsi="Arial" w:cs="Arial"/>
                <w:sz w:val="18"/>
                <w:szCs w:val="18"/>
                <w:lang w:eastAsia="es-AR"/>
              </w:rPr>
            </w:pPr>
            <w:r w:rsidRPr="00FC5122">
              <w:rPr>
                <w:rFonts w:ascii="Arial" w:hAnsi="Arial" w:cs="Arial"/>
                <w:sz w:val="18"/>
                <w:szCs w:val="18"/>
                <w:lang w:eastAsia="es-AR"/>
              </w:rPr>
              <w:t>-</w:t>
            </w:r>
          </w:p>
        </w:tc>
        <w:tc>
          <w:tcPr>
            <w:tcW w:w="760" w:type="dxa"/>
            <w:tcBorders>
              <w:top w:val="nil"/>
              <w:left w:val="nil"/>
              <w:bottom w:val="nil"/>
              <w:right w:val="nil"/>
            </w:tcBorders>
            <w:shd w:val="clear" w:color="auto" w:fill="auto"/>
            <w:vAlign w:val="bottom"/>
          </w:tcPr>
          <w:p w14:paraId="0E9F3A9C" w14:textId="332F25DA" w:rsidR="004A148C" w:rsidRPr="00FC5122" w:rsidRDefault="00FC5122" w:rsidP="004A148C">
            <w:pPr>
              <w:jc w:val="right"/>
              <w:rPr>
                <w:rFonts w:ascii="Arial" w:hAnsi="Arial" w:cs="Arial"/>
                <w:sz w:val="18"/>
                <w:szCs w:val="18"/>
                <w:lang w:eastAsia="es-AR"/>
              </w:rPr>
            </w:pPr>
            <w:r w:rsidRPr="00FC5122">
              <w:rPr>
                <w:rFonts w:ascii="Arial" w:hAnsi="Arial" w:cs="Arial"/>
                <w:sz w:val="18"/>
                <w:szCs w:val="18"/>
                <w:lang w:eastAsia="es-AR"/>
              </w:rPr>
              <w:t>-</w:t>
            </w:r>
          </w:p>
        </w:tc>
        <w:tc>
          <w:tcPr>
            <w:tcW w:w="1240" w:type="dxa"/>
            <w:tcBorders>
              <w:top w:val="nil"/>
              <w:left w:val="nil"/>
              <w:bottom w:val="nil"/>
              <w:right w:val="nil"/>
            </w:tcBorders>
            <w:shd w:val="clear" w:color="auto" w:fill="auto"/>
            <w:vAlign w:val="bottom"/>
          </w:tcPr>
          <w:p w14:paraId="0D98379C" w14:textId="32CBD8E3" w:rsidR="004A148C" w:rsidRPr="00FC5122" w:rsidRDefault="00FC5122" w:rsidP="004A148C">
            <w:pPr>
              <w:jc w:val="right"/>
              <w:rPr>
                <w:rFonts w:ascii="Arial" w:hAnsi="Arial" w:cs="Arial"/>
                <w:sz w:val="18"/>
                <w:szCs w:val="18"/>
                <w:lang w:eastAsia="es-AR"/>
              </w:rPr>
            </w:pPr>
            <w:r w:rsidRPr="00FC5122">
              <w:rPr>
                <w:rFonts w:ascii="Arial" w:hAnsi="Arial" w:cs="Arial"/>
                <w:sz w:val="18"/>
                <w:szCs w:val="18"/>
                <w:lang w:eastAsia="es-AR"/>
              </w:rPr>
              <w:t>-</w:t>
            </w:r>
          </w:p>
        </w:tc>
        <w:tc>
          <w:tcPr>
            <w:tcW w:w="600" w:type="dxa"/>
            <w:tcBorders>
              <w:top w:val="nil"/>
              <w:left w:val="nil"/>
              <w:bottom w:val="nil"/>
              <w:right w:val="nil"/>
            </w:tcBorders>
            <w:shd w:val="clear" w:color="auto" w:fill="auto"/>
            <w:vAlign w:val="bottom"/>
          </w:tcPr>
          <w:p w14:paraId="239A1358" w14:textId="514C5B40" w:rsidR="004A148C" w:rsidRPr="00FC5122" w:rsidRDefault="00FC5122" w:rsidP="004A148C">
            <w:pPr>
              <w:jc w:val="right"/>
              <w:rPr>
                <w:rFonts w:ascii="Arial" w:hAnsi="Arial" w:cs="Arial"/>
                <w:sz w:val="18"/>
                <w:szCs w:val="18"/>
                <w:lang w:eastAsia="es-AR"/>
              </w:rPr>
            </w:pPr>
            <w:r w:rsidRPr="00FC5122">
              <w:rPr>
                <w:rFonts w:ascii="Arial" w:hAnsi="Arial" w:cs="Arial"/>
                <w:sz w:val="18"/>
                <w:szCs w:val="18"/>
                <w:lang w:eastAsia="es-AR"/>
              </w:rPr>
              <w:t>-</w:t>
            </w:r>
          </w:p>
        </w:tc>
        <w:tc>
          <w:tcPr>
            <w:tcW w:w="1000" w:type="dxa"/>
            <w:tcBorders>
              <w:top w:val="nil"/>
              <w:left w:val="nil"/>
              <w:bottom w:val="nil"/>
              <w:right w:val="nil"/>
            </w:tcBorders>
            <w:shd w:val="clear" w:color="auto" w:fill="auto"/>
            <w:vAlign w:val="bottom"/>
          </w:tcPr>
          <w:p w14:paraId="68E4EF3B" w14:textId="79557778" w:rsidR="004A148C" w:rsidRPr="00FC5122" w:rsidRDefault="00FC5122" w:rsidP="004A148C">
            <w:pPr>
              <w:jc w:val="right"/>
              <w:rPr>
                <w:rFonts w:ascii="Arial" w:hAnsi="Arial" w:cs="Arial"/>
                <w:sz w:val="18"/>
                <w:szCs w:val="18"/>
                <w:lang w:eastAsia="es-AR"/>
              </w:rPr>
            </w:pPr>
            <w:r w:rsidRPr="00FC5122">
              <w:rPr>
                <w:rFonts w:ascii="Arial" w:hAnsi="Arial" w:cs="Arial"/>
                <w:sz w:val="18"/>
                <w:szCs w:val="18"/>
                <w:lang w:eastAsia="es-AR"/>
              </w:rPr>
              <w:t>-</w:t>
            </w:r>
          </w:p>
        </w:tc>
        <w:tc>
          <w:tcPr>
            <w:tcW w:w="960" w:type="dxa"/>
            <w:tcBorders>
              <w:top w:val="nil"/>
              <w:left w:val="nil"/>
              <w:bottom w:val="nil"/>
              <w:right w:val="nil"/>
            </w:tcBorders>
            <w:shd w:val="clear" w:color="auto" w:fill="auto"/>
            <w:vAlign w:val="bottom"/>
          </w:tcPr>
          <w:p w14:paraId="31BAA997" w14:textId="5ED532E6" w:rsidR="004A148C" w:rsidRPr="00FC5122" w:rsidRDefault="00FC5122" w:rsidP="004A148C">
            <w:pPr>
              <w:jc w:val="right"/>
              <w:rPr>
                <w:rFonts w:ascii="Arial" w:hAnsi="Arial" w:cs="Arial"/>
                <w:sz w:val="18"/>
                <w:szCs w:val="18"/>
                <w:lang w:eastAsia="es-AR"/>
              </w:rPr>
            </w:pPr>
            <w:r w:rsidRPr="00FC5122">
              <w:rPr>
                <w:rFonts w:ascii="Arial" w:hAnsi="Arial" w:cs="Arial"/>
                <w:sz w:val="18"/>
                <w:szCs w:val="18"/>
                <w:lang w:eastAsia="es-AR"/>
              </w:rPr>
              <w:t>-</w:t>
            </w:r>
          </w:p>
        </w:tc>
        <w:tc>
          <w:tcPr>
            <w:tcW w:w="1041" w:type="dxa"/>
            <w:tcBorders>
              <w:top w:val="nil"/>
              <w:left w:val="nil"/>
              <w:bottom w:val="nil"/>
              <w:right w:val="nil"/>
            </w:tcBorders>
            <w:shd w:val="clear" w:color="auto" w:fill="auto"/>
            <w:vAlign w:val="bottom"/>
          </w:tcPr>
          <w:p w14:paraId="6108C2B2" w14:textId="6C33EB75" w:rsidR="004A148C" w:rsidRPr="00FC5122" w:rsidRDefault="00FC5122" w:rsidP="00FC5122">
            <w:pPr>
              <w:jc w:val="right"/>
              <w:rPr>
                <w:rFonts w:ascii="Arial" w:hAnsi="Arial" w:cs="Arial"/>
                <w:sz w:val="18"/>
                <w:szCs w:val="18"/>
                <w:lang w:eastAsia="es-AR"/>
              </w:rPr>
            </w:pPr>
            <w:r w:rsidRPr="00FC5122">
              <w:rPr>
                <w:rFonts w:ascii="Arial" w:hAnsi="Arial" w:cs="Arial"/>
                <w:sz w:val="18"/>
                <w:szCs w:val="18"/>
              </w:rPr>
              <w:t>30.983</w:t>
            </w:r>
          </w:p>
        </w:tc>
        <w:tc>
          <w:tcPr>
            <w:tcW w:w="1041" w:type="dxa"/>
            <w:tcBorders>
              <w:top w:val="nil"/>
              <w:left w:val="nil"/>
              <w:bottom w:val="nil"/>
              <w:right w:val="nil"/>
            </w:tcBorders>
            <w:shd w:val="clear" w:color="auto" w:fill="auto"/>
            <w:vAlign w:val="bottom"/>
          </w:tcPr>
          <w:p w14:paraId="28221363" w14:textId="7778D5C3" w:rsidR="004A148C" w:rsidRPr="00FC5122" w:rsidRDefault="00FC5122" w:rsidP="00FC5122">
            <w:pPr>
              <w:jc w:val="right"/>
              <w:rPr>
                <w:rFonts w:ascii="Arial" w:hAnsi="Arial" w:cs="Arial"/>
                <w:sz w:val="18"/>
                <w:szCs w:val="18"/>
                <w:lang w:eastAsia="es-AR"/>
              </w:rPr>
            </w:pPr>
            <w:r w:rsidRPr="00FC5122">
              <w:rPr>
                <w:rFonts w:ascii="Arial" w:hAnsi="Arial" w:cs="Arial"/>
                <w:sz w:val="18"/>
                <w:szCs w:val="18"/>
              </w:rPr>
              <w:t>30.983</w:t>
            </w:r>
          </w:p>
        </w:tc>
      </w:tr>
      <w:tr w:rsidR="00FC5122" w:rsidRPr="00FC5122" w14:paraId="140632D5" w14:textId="77777777" w:rsidTr="00FC5122">
        <w:trPr>
          <w:trHeight w:val="255"/>
          <w:jc w:val="center"/>
        </w:trPr>
        <w:tc>
          <w:tcPr>
            <w:tcW w:w="2818" w:type="dxa"/>
            <w:tcBorders>
              <w:top w:val="nil"/>
              <w:left w:val="nil"/>
              <w:bottom w:val="nil"/>
              <w:right w:val="nil"/>
            </w:tcBorders>
            <w:shd w:val="clear" w:color="auto" w:fill="auto"/>
            <w:hideMark/>
          </w:tcPr>
          <w:p w14:paraId="65756B9B" w14:textId="77777777" w:rsidR="00FC5122" w:rsidRPr="00FC5122" w:rsidRDefault="00FC5122" w:rsidP="00FC5122">
            <w:pPr>
              <w:rPr>
                <w:rFonts w:ascii="Arial" w:hAnsi="Arial" w:cs="Arial"/>
                <w:sz w:val="18"/>
                <w:szCs w:val="18"/>
                <w:lang w:eastAsia="es-AR"/>
              </w:rPr>
            </w:pPr>
            <w:r w:rsidRPr="00FC5122">
              <w:rPr>
                <w:rFonts w:ascii="Arial" w:hAnsi="Arial" w:cs="Arial"/>
                <w:sz w:val="18"/>
                <w:szCs w:val="18"/>
                <w:lang w:eastAsia="es-AR"/>
              </w:rPr>
              <w:t>Otros activos intangibles</w:t>
            </w:r>
          </w:p>
        </w:tc>
        <w:tc>
          <w:tcPr>
            <w:tcW w:w="1020" w:type="dxa"/>
            <w:tcBorders>
              <w:top w:val="nil"/>
              <w:left w:val="nil"/>
              <w:bottom w:val="nil"/>
              <w:right w:val="nil"/>
            </w:tcBorders>
            <w:shd w:val="clear" w:color="auto" w:fill="auto"/>
            <w:vAlign w:val="bottom"/>
          </w:tcPr>
          <w:p w14:paraId="64ADF937" w14:textId="3A5870FF"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598.989</w:t>
            </w:r>
          </w:p>
        </w:tc>
        <w:tc>
          <w:tcPr>
            <w:tcW w:w="1040" w:type="dxa"/>
            <w:tcBorders>
              <w:top w:val="nil"/>
              <w:left w:val="nil"/>
              <w:bottom w:val="nil"/>
              <w:right w:val="nil"/>
            </w:tcBorders>
            <w:shd w:val="clear" w:color="auto" w:fill="auto"/>
            <w:vAlign w:val="bottom"/>
          </w:tcPr>
          <w:p w14:paraId="013EA001" w14:textId="6DF3C2F2"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3</w:t>
            </w:r>
          </w:p>
        </w:tc>
        <w:tc>
          <w:tcPr>
            <w:tcW w:w="940" w:type="dxa"/>
            <w:tcBorders>
              <w:top w:val="nil"/>
              <w:left w:val="nil"/>
              <w:bottom w:val="nil"/>
              <w:right w:val="nil"/>
            </w:tcBorders>
            <w:shd w:val="clear" w:color="auto" w:fill="auto"/>
            <w:vAlign w:val="bottom"/>
          </w:tcPr>
          <w:p w14:paraId="5A8D04DA" w14:textId="59133B38"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567.182</w:t>
            </w:r>
          </w:p>
        </w:tc>
        <w:tc>
          <w:tcPr>
            <w:tcW w:w="760" w:type="dxa"/>
            <w:tcBorders>
              <w:top w:val="nil"/>
              <w:left w:val="nil"/>
              <w:bottom w:val="nil"/>
              <w:right w:val="nil"/>
            </w:tcBorders>
            <w:shd w:val="clear" w:color="auto" w:fill="auto"/>
            <w:vAlign w:val="bottom"/>
          </w:tcPr>
          <w:p w14:paraId="6F000BC4" w14:textId="5DF05E0F"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-3.168</w:t>
            </w:r>
          </w:p>
        </w:tc>
        <w:tc>
          <w:tcPr>
            <w:tcW w:w="1240" w:type="dxa"/>
            <w:tcBorders>
              <w:top w:val="nil"/>
              <w:left w:val="nil"/>
              <w:bottom w:val="nil"/>
              <w:right w:val="nil"/>
            </w:tcBorders>
            <w:shd w:val="clear" w:color="auto" w:fill="auto"/>
            <w:vAlign w:val="bottom"/>
          </w:tcPr>
          <w:p w14:paraId="6FD04B12" w14:textId="2648AD82"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-223.512</w:t>
            </w:r>
          </w:p>
        </w:tc>
        <w:tc>
          <w:tcPr>
            <w:tcW w:w="600" w:type="dxa"/>
            <w:tcBorders>
              <w:top w:val="nil"/>
              <w:left w:val="nil"/>
              <w:bottom w:val="nil"/>
              <w:right w:val="nil"/>
            </w:tcBorders>
            <w:shd w:val="clear" w:color="auto" w:fill="auto"/>
            <w:vAlign w:val="bottom"/>
          </w:tcPr>
          <w:p w14:paraId="24DCEEE5" w14:textId="4D351F01"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92</w:t>
            </w:r>
          </w:p>
        </w:tc>
        <w:tc>
          <w:tcPr>
            <w:tcW w:w="1000" w:type="dxa"/>
            <w:tcBorders>
              <w:top w:val="nil"/>
              <w:left w:val="nil"/>
              <w:bottom w:val="nil"/>
              <w:right w:val="nil"/>
            </w:tcBorders>
            <w:shd w:val="clear" w:color="auto" w:fill="auto"/>
            <w:vAlign w:val="bottom"/>
          </w:tcPr>
          <w:p w14:paraId="4AC59CAF" w14:textId="09F34DD9"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-216.328</w:t>
            </w:r>
          </w:p>
        </w:tc>
        <w:tc>
          <w:tcPr>
            <w:tcW w:w="960" w:type="dxa"/>
            <w:tcBorders>
              <w:top w:val="nil"/>
              <w:left w:val="nil"/>
              <w:bottom w:val="nil"/>
              <w:right w:val="nil"/>
            </w:tcBorders>
            <w:shd w:val="clear" w:color="auto" w:fill="auto"/>
            <w:vAlign w:val="bottom"/>
          </w:tcPr>
          <w:p w14:paraId="1A18C915" w14:textId="55FE2132"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-439.748</w:t>
            </w:r>
          </w:p>
        </w:tc>
        <w:tc>
          <w:tcPr>
            <w:tcW w:w="1041" w:type="dxa"/>
            <w:tcBorders>
              <w:top w:val="nil"/>
              <w:left w:val="nil"/>
              <w:bottom w:val="nil"/>
              <w:right w:val="nil"/>
            </w:tcBorders>
            <w:shd w:val="clear" w:color="auto" w:fill="auto"/>
            <w:vAlign w:val="bottom"/>
          </w:tcPr>
          <w:p w14:paraId="43E6E67F" w14:textId="114C712E"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723.255</w:t>
            </w:r>
          </w:p>
        </w:tc>
        <w:tc>
          <w:tcPr>
            <w:tcW w:w="1041" w:type="dxa"/>
            <w:tcBorders>
              <w:top w:val="nil"/>
              <w:left w:val="nil"/>
              <w:bottom w:val="nil"/>
              <w:right w:val="nil"/>
            </w:tcBorders>
            <w:shd w:val="clear" w:color="auto" w:fill="auto"/>
            <w:vAlign w:val="bottom"/>
          </w:tcPr>
          <w:p w14:paraId="0C257500" w14:textId="3C9EA869" w:rsidR="00FC5122" w:rsidRPr="00FC5122" w:rsidRDefault="00FC5122" w:rsidP="00FC5122">
            <w:pPr>
              <w:jc w:val="right"/>
              <w:rPr>
                <w:rFonts w:ascii="Arial" w:hAnsi="Arial" w:cs="Arial"/>
                <w:sz w:val="18"/>
                <w:szCs w:val="18"/>
                <w:lang w:eastAsia="es-AR"/>
              </w:rPr>
            </w:pPr>
            <w:r w:rsidRPr="00FC5122">
              <w:rPr>
                <w:rFonts w:ascii="Arial" w:hAnsi="Arial" w:cs="Arial"/>
                <w:sz w:val="18"/>
                <w:szCs w:val="18"/>
              </w:rPr>
              <w:t>375.477</w:t>
            </w:r>
          </w:p>
        </w:tc>
      </w:tr>
      <w:tr w:rsidR="004A148C" w:rsidRPr="00FC5122" w14:paraId="3ED4AF35" w14:textId="77777777" w:rsidTr="00FC5122">
        <w:trPr>
          <w:trHeight w:val="255"/>
          <w:jc w:val="center"/>
        </w:trPr>
        <w:tc>
          <w:tcPr>
            <w:tcW w:w="2818" w:type="dxa"/>
            <w:tcBorders>
              <w:top w:val="nil"/>
              <w:left w:val="nil"/>
              <w:bottom w:val="nil"/>
              <w:right w:val="nil"/>
            </w:tcBorders>
            <w:shd w:val="clear" w:color="auto" w:fill="auto"/>
            <w:hideMark/>
          </w:tcPr>
          <w:p w14:paraId="4CD8C0D6" w14:textId="77777777" w:rsidR="004A148C" w:rsidRPr="00FC5122" w:rsidRDefault="004A148C" w:rsidP="004A148C">
            <w:pPr>
              <w:rPr>
                <w:rFonts w:ascii="Arial" w:hAnsi="Arial" w:cs="Arial"/>
                <w:sz w:val="18"/>
                <w:szCs w:val="18"/>
                <w:lang w:eastAsia="es-AR"/>
              </w:rPr>
            </w:pPr>
          </w:p>
        </w:tc>
        <w:tc>
          <w:tcPr>
            <w:tcW w:w="1020" w:type="dxa"/>
            <w:tcBorders>
              <w:top w:val="nil"/>
              <w:left w:val="nil"/>
              <w:bottom w:val="nil"/>
              <w:right w:val="nil"/>
            </w:tcBorders>
            <w:shd w:val="clear" w:color="auto" w:fill="auto"/>
            <w:vAlign w:val="bottom"/>
          </w:tcPr>
          <w:p w14:paraId="326AB912" w14:textId="77777777" w:rsidR="004A148C" w:rsidRPr="00FC5122" w:rsidRDefault="004A148C" w:rsidP="004A148C">
            <w:pPr>
              <w:jc w:val="right"/>
              <w:rPr>
                <w:sz w:val="18"/>
                <w:szCs w:val="18"/>
                <w:lang w:eastAsia="es-AR"/>
              </w:rPr>
            </w:pPr>
          </w:p>
        </w:tc>
        <w:tc>
          <w:tcPr>
            <w:tcW w:w="1040" w:type="dxa"/>
            <w:tcBorders>
              <w:top w:val="nil"/>
              <w:left w:val="nil"/>
              <w:bottom w:val="nil"/>
              <w:right w:val="nil"/>
            </w:tcBorders>
            <w:shd w:val="clear" w:color="auto" w:fill="auto"/>
            <w:vAlign w:val="bottom"/>
          </w:tcPr>
          <w:p w14:paraId="434AAD86" w14:textId="77777777" w:rsidR="004A148C" w:rsidRPr="00FC5122" w:rsidRDefault="004A148C" w:rsidP="004A148C">
            <w:pPr>
              <w:jc w:val="right"/>
              <w:rPr>
                <w:sz w:val="18"/>
                <w:szCs w:val="18"/>
                <w:lang w:eastAsia="es-AR"/>
              </w:rPr>
            </w:pPr>
          </w:p>
        </w:tc>
        <w:tc>
          <w:tcPr>
            <w:tcW w:w="940" w:type="dxa"/>
            <w:tcBorders>
              <w:top w:val="nil"/>
              <w:left w:val="nil"/>
              <w:bottom w:val="nil"/>
              <w:right w:val="nil"/>
            </w:tcBorders>
            <w:shd w:val="clear" w:color="auto" w:fill="auto"/>
            <w:vAlign w:val="bottom"/>
          </w:tcPr>
          <w:p w14:paraId="22EFBA2F" w14:textId="77777777" w:rsidR="004A148C" w:rsidRPr="00FC5122" w:rsidRDefault="004A148C" w:rsidP="004A148C">
            <w:pPr>
              <w:jc w:val="right"/>
              <w:rPr>
                <w:sz w:val="18"/>
                <w:szCs w:val="18"/>
                <w:lang w:eastAsia="es-AR"/>
              </w:rPr>
            </w:pPr>
          </w:p>
        </w:tc>
        <w:tc>
          <w:tcPr>
            <w:tcW w:w="760" w:type="dxa"/>
            <w:tcBorders>
              <w:top w:val="nil"/>
              <w:left w:val="nil"/>
              <w:bottom w:val="nil"/>
              <w:right w:val="nil"/>
            </w:tcBorders>
            <w:shd w:val="clear" w:color="auto" w:fill="auto"/>
            <w:vAlign w:val="bottom"/>
          </w:tcPr>
          <w:p w14:paraId="61C66202" w14:textId="77777777" w:rsidR="004A148C" w:rsidRPr="00FC5122" w:rsidRDefault="004A148C" w:rsidP="004A148C">
            <w:pPr>
              <w:jc w:val="right"/>
              <w:rPr>
                <w:sz w:val="18"/>
                <w:szCs w:val="18"/>
                <w:lang w:eastAsia="es-AR"/>
              </w:rPr>
            </w:pPr>
          </w:p>
        </w:tc>
        <w:tc>
          <w:tcPr>
            <w:tcW w:w="1240" w:type="dxa"/>
            <w:tcBorders>
              <w:top w:val="nil"/>
              <w:left w:val="nil"/>
              <w:bottom w:val="nil"/>
              <w:right w:val="nil"/>
            </w:tcBorders>
            <w:shd w:val="clear" w:color="auto" w:fill="auto"/>
            <w:vAlign w:val="bottom"/>
          </w:tcPr>
          <w:p w14:paraId="12AAC4C4" w14:textId="77777777" w:rsidR="004A148C" w:rsidRPr="00FC5122" w:rsidRDefault="004A148C" w:rsidP="004A148C">
            <w:pPr>
              <w:jc w:val="right"/>
              <w:rPr>
                <w:sz w:val="18"/>
                <w:szCs w:val="18"/>
                <w:lang w:eastAsia="es-AR"/>
              </w:rPr>
            </w:pPr>
          </w:p>
        </w:tc>
        <w:tc>
          <w:tcPr>
            <w:tcW w:w="600" w:type="dxa"/>
            <w:tcBorders>
              <w:top w:val="nil"/>
              <w:left w:val="nil"/>
              <w:bottom w:val="nil"/>
              <w:right w:val="nil"/>
            </w:tcBorders>
            <w:shd w:val="clear" w:color="auto" w:fill="auto"/>
            <w:vAlign w:val="bottom"/>
          </w:tcPr>
          <w:p w14:paraId="3C4B451B" w14:textId="77777777" w:rsidR="004A148C" w:rsidRPr="00FC5122" w:rsidRDefault="004A148C" w:rsidP="004A148C">
            <w:pPr>
              <w:jc w:val="right"/>
              <w:rPr>
                <w:sz w:val="18"/>
                <w:szCs w:val="18"/>
                <w:lang w:eastAsia="es-AR"/>
              </w:rPr>
            </w:pPr>
          </w:p>
        </w:tc>
        <w:tc>
          <w:tcPr>
            <w:tcW w:w="1000" w:type="dxa"/>
            <w:tcBorders>
              <w:top w:val="nil"/>
              <w:left w:val="nil"/>
              <w:bottom w:val="nil"/>
              <w:right w:val="nil"/>
            </w:tcBorders>
            <w:shd w:val="clear" w:color="auto" w:fill="auto"/>
            <w:vAlign w:val="bottom"/>
          </w:tcPr>
          <w:p w14:paraId="2EA6F59A" w14:textId="77777777" w:rsidR="004A148C" w:rsidRPr="00FC5122" w:rsidRDefault="004A148C" w:rsidP="004A148C">
            <w:pPr>
              <w:jc w:val="right"/>
              <w:rPr>
                <w:sz w:val="18"/>
                <w:szCs w:val="18"/>
                <w:lang w:eastAsia="es-AR"/>
              </w:rPr>
            </w:pPr>
          </w:p>
        </w:tc>
        <w:tc>
          <w:tcPr>
            <w:tcW w:w="960" w:type="dxa"/>
            <w:tcBorders>
              <w:top w:val="nil"/>
              <w:left w:val="nil"/>
              <w:bottom w:val="nil"/>
              <w:right w:val="nil"/>
            </w:tcBorders>
            <w:shd w:val="clear" w:color="auto" w:fill="auto"/>
            <w:vAlign w:val="bottom"/>
          </w:tcPr>
          <w:p w14:paraId="5628D1C9" w14:textId="77777777" w:rsidR="004A148C" w:rsidRPr="00FC5122" w:rsidRDefault="004A148C" w:rsidP="004A148C">
            <w:pPr>
              <w:jc w:val="right"/>
              <w:rPr>
                <w:sz w:val="18"/>
                <w:szCs w:val="18"/>
                <w:lang w:eastAsia="es-AR"/>
              </w:rPr>
            </w:pPr>
          </w:p>
        </w:tc>
        <w:tc>
          <w:tcPr>
            <w:tcW w:w="1041" w:type="dxa"/>
            <w:tcBorders>
              <w:top w:val="nil"/>
              <w:left w:val="nil"/>
              <w:bottom w:val="nil"/>
              <w:right w:val="nil"/>
            </w:tcBorders>
            <w:shd w:val="clear" w:color="auto" w:fill="auto"/>
            <w:vAlign w:val="bottom"/>
          </w:tcPr>
          <w:p w14:paraId="7704F8BD" w14:textId="77777777" w:rsidR="004A148C" w:rsidRPr="00FC5122" w:rsidRDefault="004A148C" w:rsidP="004A148C">
            <w:pPr>
              <w:jc w:val="right"/>
              <w:rPr>
                <w:sz w:val="18"/>
                <w:szCs w:val="18"/>
                <w:lang w:eastAsia="es-AR"/>
              </w:rPr>
            </w:pPr>
          </w:p>
        </w:tc>
        <w:tc>
          <w:tcPr>
            <w:tcW w:w="1041" w:type="dxa"/>
            <w:tcBorders>
              <w:top w:val="nil"/>
              <w:left w:val="nil"/>
              <w:bottom w:val="nil"/>
              <w:right w:val="nil"/>
            </w:tcBorders>
            <w:shd w:val="clear" w:color="auto" w:fill="auto"/>
            <w:vAlign w:val="bottom"/>
          </w:tcPr>
          <w:p w14:paraId="14C75A02" w14:textId="77777777" w:rsidR="004A148C" w:rsidRPr="00FC5122" w:rsidRDefault="004A148C" w:rsidP="004A148C">
            <w:pPr>
              <w:jc w:val="right"/>
              <w:rPr>
                <w:sz w:val="18"/>
                <w:szCs w:val="18"/>
                <w:lang w:eastAsia="es-AR"/>
              </w:rPr>
            </w:pPr>
          </w:p>
        </w:tc>
      </w:tr>
      <w:tr w:rsidR="00FC5122" w:rsidRPr="00FC5122" w14:paraId="7F1AB412" w14:textId="77777777" w:rsidTr="00FC5122">
        <w:trPr>
          <w:trHeight w:val="510"/>
          <w:jc w:val="center"/>
        </w:trPr>
        <w:tc>
          <w:tcPr>
            <w:tcW w:w="2818" w:type="dxa"/>
            <w:tcBorders>
              <w:top w:val="nil"/>
              <w:left w:val="nil"/>
              <w:bottom w:val="nil"/>
              <w:right w:val="nil"/>
            </w:tcBorders>
            <w:shd w:val="clear" w:color="auto" w:fill="auto"/>
            <w:hideMark/>
          </w:tcPr>
          <w:p w14:paraId="26D07616" w14:textId="77777777" w:rsidR="00FC5122" w:rsidRPr="00FC5122" w:rsidRDefault="00FC5122" w:rsidP="00FC5122">
            <w:pPr>
              <w:rPr>
                <w:rFonts w:ascii="Arial" w:hAnsi="Arial" w:cs="Arial"/>
                <w:b/>
                <w:bCs/>
                <w:sz w:val="18"/>
                <w:szCs w:val="18"/>
                <w:lang w:eastAsia="es-AR"/>
              </w:rPr>
            </w:pPr>
            <w:r w:rsidRPr="00FC5122">
              <w:rPr>
                <w:rFonts w:ascii="Arial" w:hAnsi="Arial" w:cs="Arial"/>
                <w:b/>
                <w:bCs/>
                <w:sz w:val="18"/>
                <w:szCs w:val="18"/>
                <w:lang w:eastAsia="es-AR"/>
              </w:rPr>
              <w:t>TOTAL ACTIVOS INTANGIBLES</w:t>
            </w:r>
          </w:p>
        </w:tc>
        <w:tc>
          <w:tcPr>
            <w:tcW w:w="1020" w:type="dxa"/>
            <w:tcBorders>
              <w:top w:val="single" w:sz="4" w:space="0" w:color="auto"/>
              <w:left w:val="nil"/>
              <w:bottom w:val="single" w:sz="4" w:space="0" w:color="auto"/>
              <w:right w:val="nil"/>
            </w:tcBorders>
            <w:shd w:val="clear" w:color="auto" w:fill="auto"/>
            <w:vAlign w:val="center"/>
          </w:tcPr>
          <w:p w14:paraId="264EF2AD" w14:textId="7F6CF64F" w:rsidR="00FC5122" w:rsidRPr="00FC5122" w:rsidRDefault="00FC5122" w:rsidP="00FC5122">
            <w:pPr>
              <w:jc w:val="right"/>
              <w:rPr>
                <w:rFonts w:ascii="Arial" w:hAnsi="Arial" w:cs="Arial"/>
                <w:b/>
                <w:sz w:val="18"/>
                <w:szCs w:val="18"/>
                <w:lang w:eastAsia="es-AR"/>
              </w:rPr>
            </w:pPr>
            <w:r w:rsidRPr="00FC5122">
              <w:rPr>
                <w:rFonts w:ascii="Arial" w:hAnsi="Arial" w:cs="Arial"/>
                <w:b/>
                <w:sz w:val="18"/>
                <w:szCs w:val="18"/>
              </w:rPr>
              <w:t>629.972</w:t>
            </w:r>
          </w:p>
        </w:tc>
        <w:tc>
          <w:tcPr>
            <w:tcW w:w="1040" w:type="dxa"/>
            <w:tcBorders>
              <w:top w:val="single" w:sz="4" w:space="0" w:color="auto"/>
              <w:left w:val="nil"/>
              <w:bottom w:val="single" w:sz="4" w:space="0" w:color="auto"/>
              <w:right w:val="nil"/>
            </w:tcBorders>
            <w:shd w:val="clear" w:color="auto" w:fill="auto"/>
            <w:vAlign w:val="center"/>
          </w:tcPr>
          <w:p w14:paraId="3DC091AB" w14:textId="7A7AC493" w:rsidR="00FC5122" w:rsidRPr="00FC5122" w:rsidRDefault="00FC5122" w:rsidP="00FC5122">
            <w:pPr>
              <w:jc w:val="right"/>
              <w:rPr>
                <w:rFonts w:ascii="Arial" w:hAnsi="Arial" w:cs="Arial"/>
                <w:b/>
                <w:bCs/>
                <w:sz w:val="18"/>
                <w:szCs w:val="18"/>
                <w:lang w:eastAsia="es-AR"/>
              </w:rPr>
            </w:pPr>
          </w:p>
        </w:tc>
        <w:tc>
          <w:tcPr>
            <w:tcW w:w="940" w:type="dxa"/>
            <w:tcBorders>
              <w:top w:val="single" w:sz="4" w:space="0" w:color="auto"/>
              <w:left w:val="nil"/>
              <w:bottom w:val="single" w:sz="4" w:space="0" w:color="auto"/>
              <w:right w:val="nil"/>
            </w:tcBorders>
            <w:shd w:val="clear" w:color="auto" w:fill="auto"/>
            <w:vAlign w:val="center"/>
          </w:tcPr>
          <w:p w14:paraId="1FA11727" w14:textId="15142CC5" w:rsidR="00FC5122" w:rsidRPr="00FC5122" w:rsidRDefault="00FC5122" w:rsidP="00FC5122">
            <w:pPr>
              <w:jc w:val="right"/>
              <w:rPr>
                <w:rFonts w:ascii="Arial" w:hAnsi="Arial" w:cs="Arial"/>
                <w:b/>
                <w:sz w:val="18"/>
                <w:szCs w:val="18"/>
                <w:lang w:eastAsia="es-AR"/>
              </w:rPr>
            </w:pPr>
            <w:r w:rsidRPr="00FC5122">
              <w:rPr>
                <w:rFonts w:ascii="Arial" w:hAnsi="Arial" w:cs="Arial"/>
                <w:b/>
                <w:sz w:val="18"/>
                <w:szCs w:val="18"/>
              </w:rPr>
              <w:t>567.182</w:t>
            </w:r>
          </w:p>
        </w:tc>
        <w:tc>
          <w:tcPr>
            <w:tcW w:w="760" w:type="dxa"/>
            <w:tcBorders>
              <w:top w:val="single" w:sz="4" w:space="0" w:color="auto"/>
              <w:left w:val="nil"/>
              <w:bottom w:val="single" w:sz="4" w:space="0" w:color="auto"/>
              <w:right w:val="nil"/>
            </w:tcBorders>
            <w:shd w:val="clear" w:color="auto" w:fill="auto"/>
            <w:vAlign w:val="center"/>
          </w:tcPr>
          <w:p w14:paraId="0201F855" w14:textId="5507C433" w:rsidR="00FC5122" w:rsidRPr="00FC5122" w:rsidRDefault="00FC5122" w:rsidP="00FC5122">
            <w:pPr>
              <w:jc w:val="right"/>
              <w:rPr>
                <w:rFonts w:ascii="Arial" w:hAnsi="Arial" w:cs="Arial"/>
                <w:b/>
                <w:sz w:val="18"/>
                <w:szCs w:val="18"/>
                <w:lang w:eastAsia="es-AR"/>
              </w:rPr>
            </w:pPr>
            <w:r w:rsidRPr="00FC5122">
              <w:rPr>
                <w:rFonts w:ascii="Arial" w:hAnsi="Arial" w:cs="Arial"/>
                <w:b/>
                <w:sz w:val="18"/>
                <w:szCs w:val="18"/>
              </w:rPr>
              <w:t>-3.168</w:t>
            </w:r>
          </w:p>
        </w:tc>
        <w:tc>
          <w:tcPr>
            <w:tcW w:w="1240" w:type="dxa"/>
            <w:tcBorders>
              <w:top w:val="single" w:sz="4" w:space="0" w:color="auto"/>
              <w:left w:val="nil"/>
              <w:bottom w:val="single" w:sz="4" w:space="0" w:color="auto"/>
              <w:right w:val="nil"/>
            </w:tcBorders>
            <w:shd w:val="clear" w:color="auto" w:fill="auto"/>
            <w:vAlign w:val="center"/>
          </w:tcPr>
          <w:p w14:paraId="20A07B18" w14:textId="69746784"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-223.512</w:t>
            </w:r>
          </w:p>
        </w:tc>
        <w:tc>
          <w:tcPr>
            <w:tcW w:w="600" w:type="dxa"/>
            <w:tcBorders>
              <w:top w:val="single" w:sz="4" w:space="0" w:color="auto"/>
              <w:left w:val="nil"/>
              <w:bottom w:val="single" w:sz="4" w:space="0" w:color="auto"/>
              <w:right w:val="nil"/>
            </w:tcBorders>
            <w:shd w:val="clear" w:color="auto" w:fill="auto"/>
            <w:vAlign w:val="center"/>
          </w:tcPr>
          <w:p w14:paraId="479F13A0" w14:textId="31B428BE"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92</w:t>
            </w:r>
          </w:p>
        </w:tc>
        <w:tc>
          <w:tcPr>
            <w:tcW w:w="1000" w:type="dxa"/>
            <w:tcBorders>
              <w:top w:val="single" w:sz="4" w:space="0" w:color="auto"/>
              <w:left w:val="nil"/>
              <w:bottom w:val="single" w:sz="4" w:space="0" w:color="auto"/>
              <w:right w:val="nil"/>
            </w:tcBorders>
            <w:shd w:val="clear" w:color="auto" w:fill="auto"/>
            <w:vAlign w:val="center"/>
          </w:tcPr>
          <w:p w14:paraId="3CC0ABAE" w14:textId="678BC92D"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-216.328</w:t>
            </w:r>
          </w:p>
        </w:tc>
        <w:tc>
          <w:tcPr>
            <w:tcW w:w="960" w:type="dxa"/>
            <w:tcBorders>
              <w:top w:val="single" w:sz="4" w:space="0" w:color="auto"/>
              <w:left w:val="nil"/>
              <w:bottom w:val="single" w:sz="4" w:space="0" w:color="auto"/>
              <w:right w:val="nil"/>
            </w:tcBorders>
            <w:shd w:val="clear" w:color="auto" w:fill="auto"/>
            <w:vAlign w:val="center"/>
          </w:tcPr>
          <w:p w14:paraId="468701C9" w14:textId="78B1C07A"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-439.748</w:t>
            </w:r>
          </w:p>
        </w:tc>
        <w:tc>
          <w:tcPr>
            <w:tcW w:w="1041" w:type="dxa"/>
            <w:tcBorders>
              <w:top w:val="single" w:sz="4" w:space="0" w:color="auto"/>
              <w:left w:val="nil"/>
              <w:bottom w:val="single" w:sz="4" w:space="0" w:color="auto"/>
              <w:right w:val="nil"/>
            </w:tcBorders>
            <w:shd w:val="clear" w:color="auto" w:fill="auto"/>
            <w:vAlign w:val="center"/>
          </w:tcPr>
          <w:p w14:paraId="445C521D" w14:textId="5631EF32"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754.238</w:t>
            </w:r>
          </w:p>
        </w:tc>
        <w:tc>
          <w:tcPr>
            <w:tcW w:w="1041" w:type="dxa"/>
            <w:tcBorders>
              <w:top w:val="single" w:sz="4" w:space="0" w:color="auto"/>
              <w:left w:val="nil"/>
              <w:bottom w:val="single" w:sz="4" w:space="0" w:color="auto"/>
              <w:right w:val="nil"/>
            </w:tcBorders>
            <w:shd w:val="clear" w:color="auto" w:fill="auto"/>
            <w:vAlign w:val="center"/>
          </w:tcPr>
          <w:p w14:paraId="24C6F110" w14:textId="54B23A23" w:rsidR="00FC5122" w:rsidRPr="00FC5122" w:rsidRDefault="00FC5122" w:rsidP="00FC5122">
            <w:pPr>
              <w:jc w:val="right"/>
              <w:rPr>
                <w:rFonts w:ascii="Arial" w:hAnsi="Arial" w:cs="Arial"/>
                <w:b/>
                <w:bCs/>
                <w:sz w:val="18"/>
                <w:szCs w:val="18"/>
                <w:lang w:eastAsia="es-AR"/>
              </w:rPr>
            </w:pPr>
            <w:r w:rsidRPr="00FC5122">
              <w:rPr>
                <w:rFonts w:ascii="Arial" w:hAnsi="Arial" w:cs="Arial"/>
                <w:b/>
                <w:sz w:val="18"/>
                <w:szCs w:val="18"/>
              </w:rPr>
              <w:t>406.460</w:t>
            </w:r>
          </w:p>
        </w:tc>
      </w:tr>
    </w:tbl>
    <w:p w14:paraId="4D92D445" w14:textId="77777777" w:rsidR="00D47717" w:rsidRDefault="00D47717" w:rsidP="00276790">
      <w:pPr>
        <w:rPr>
          <w:rFonts w:ascii="Arial" w:hAnsi="Arial" w:cs="Arial"/>
          <w:szCs w:val="24"/>
        </w:rPr>
      </w:pPr>
    </w:p>
    <w:p w14:paraId="5D82E5B8" w14:textId="77777777" w:rsidR="004A148C" w:rsidRDefault="004A148C" w:rsidP="00276790">
      <w:pPr>
        <w:rPr>
          <w:rFonts w:ascii="Arial" w:hAnsi="Arial" w:cs="Arial"/>
          <w:szCs w:val="24"/>
        </w:rPr>
      </w:pPr>
    </w:p>
    <w:p w14:paraId="2E2C4AEE" w14:textId="14E62E17" w:rsidR="004A148C" w:rsidRPr="00701F32" w:rsidRDefault="004A148C" w:rsidP="00276790">
      <w:pPr>
        <w:rPr>
          <w:rFonts w:ascii="Arial" w:hAnsi="Arial" w:cs="Arial"/>
          <w:szCs w:val="24"/>
        </w:rPr>
        <w:sectPr w:rsidR="004A148C" w:rsidRPr="00701F32" w:rsidSect="004A148C">
          <w:headerReference w:type="default" r:id="rId31"/>
          <w:pgSz w:w="16839" w:h="11907" w:orient="landscape" w:code="9"/>
          <w:pgMar w:top="1701" w:right="1418" w:bottom="1701" w:left="1418" w:header="567" w:footer="0" w:gutter="0"/>
          <w:cols w:space="708"/>
          <w:docGrid w:linePitch="360"/>
        </w:sectPr>
      </w:pPr>
    </w:p>
    <w:p w14:paraId="119D222E" w14:textId="6AA1ACF4" w:rsidR="002F2ED6" w:rsidRDefault="002F2ED6" w:rsidP="00276790">
      <w:pPr>
        <w:rPr>
          <w:sz w:val="20"/>
          <w:lang w:eastAsia="es-AR"/>
        </w:rPr>
      </w:pPr>
    </w:p>
    <w:p w14:paraId="57750EE7" w14:textId="40C9989F" w:rsidR="00326E79" w:rsidRDefault="00326E79" w:rsidP="00276790">
      <w:pPr>
        <w:rPr>
          <w:sz w:val="20"/>
          <w:lang w:eastAsia="es-AR"/>
        </w:rPr>
      </w:pPr>
    </w:p>
    <w:tbl>
      <w:tblPr>
        <w:tblStyle w:val="Tablaconcuadrcula"/>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417"/>
        <w:gridCol w:w="1418"/>
        <w:gridCol w:w="1276"/>
        <w:gridCol w:w="1417"/>
      </w:tblGrid>
      <w:tr w:rsidR="00326E79" w:rsidRPr="00C17D08" w14:paraId="7333B8C2" w14:textId="77777777" w:rsidTr="00066653">
        <w:trPr>
          <w:trHeight w:val="248"/>
          <w:jc w:val="center"/>
        </w:trPr>
        <w:tc>
          <w:tcPr>
            <w:tcW w:w="326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C57223" w14:textId="77777777" w:rsidR="00326E79" w:rsidRPr="007B34B2" w:rsidRDefault="00326E79" w:rsidP="00AA40A5">
            <w:pPr>
              <w:jc w:val="center"/>
              <w:rPr>
                <w:rFonts w:ascii="Arial" w:hAnsi="Arial" w:cs="Arial"/>
                <w:b/>
                <w:sz w:val="18"/>
                <w:szCs w:val="18"/>
              </w:rPr>
            </w:pPr>
            <w:bookmarkStart w:id="41" w:name="_Hlk9948093"/>
            <w:r w:rsidRPr="007B34B2">
              <w:rPr>
                <w:rFonts w:ascii="Arial" w:hAnsi="Arial" w:cs="Arial"/>
                <w:b/>
                <w:sz w:val="18"/>
                <w:szCs w:val="18"/>
              </w:rPr>
              <w:t>Número de cliente</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B86CD3" w14:textId="54275C51" w:rsidR="00326E79" w:rsidRPr="007B34B2" w:rsidRDefault="00326E79" w:rsidP="00AA40A5">
            <w:pPr>
              <w:jc w:val="center"/>
              <w:rPr>
                <w:rFonts w:ascii="Arial" w:hAnsi="Arial" w:cs="Arial"/>
                <w:b/>
                <w:sz w:val="18"/>
                <w:szCs w:val="18"/>
              </w:rPr>
            </w:pPr>
            <w:r w:rsidRPr="007B34B2">
              <w:rPr>
                <w:rFonts w:ascii="Arial" w:hAnsi="Arial" w:cs="Arial"/>
                <w:b/>
                <w:sz w:val="18"/>
                <w:szCs w:val="18"/>
              </w:rPr>
              <w:t>DEPÓSITOS</w:t>
            </w:r>
          </w:p>
        </w:tc>
      </w:tr>
      <w:tr w:rsidR="00326E79" w:rsidRPr="00C17D08" w14:paraId="01FFB97E" w14:textId="77777777" w:rsidTr="00066653">
        <w:trPr>
          <w:trHeight w:val="248"/>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43F013" w14:textId="77777777" w:rsidR="00326E79" w:rsidRPr="007B34B2" w:rsidRDefault="00326E79" w:rsidP="00AA40A5">
            <w:pPr>
              <w:jc w:val="center"/>
              <w:rPr>
                <w:rFonts w:ascii="Arial" w:hAnsi="Arial" w:cs="Arial"/>
                <w:b/>
                <w:sz w:val="18"/>
                <w:szCs w:val="18"/>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5DDDA6" w14:textId="0B2BD311" w:rsidR="00326E79" w:rsidRPr="007B34B2" w:rsidRDefault="003C2633" w:rsidP="005D476E">
            <w:pPr>
              <w:jc w:val="center"/>
              <w:rPr>
                <w:rFonts w:ascii="Arial" w:hAnsi="Arial" w:cs="Arial"/>
                <w:b/>
                <w:sz w:val="18"/>
                <w:szCs w:val="18"/>
              </w:rPr>
            </w:pPr>
            <w:r>
              <w:rPr>
                <w:rFonts w:ascii="Arial" w:hAnsi="Arial" w:cs="Arial"/>
                <w:b/>
                <w:sz w:val="18"/>
                <w:szCs w:val="18"/>
              </w:rPr>
              <w:t>3</w:t>
            </w:r>
            <w:r w:rsidR="004A148C">
              <w:rPr>
                <w:rFonts w:ascii="Arial" w:hAnsi="Arial" w:cs="Arial"/>
                <w:b/>
                <w:sz w:val="18"/>
                <w:szCs w:val="18"/>
              </w:rPr>
              <w:t>1</w:t>
            </w:r>
            <w:r>
              <w:rPr>
                <w:rFonts w:ascii="Arial" w:hAnsi="Arial" w:cs="Arial"/>
                <w:b/>
                <w:sz w:val="18"/>
                <w:szCs w:val="18"/>
              </w:rPr>
              <w:t>/</w:t>
            </w:r>
            <w:r w:rsidR="004A148C">
              <w:rPr>
                <w:rFonts w:ascii="Arial" w:hAnsi="Arial" w:cs="Arial"/>
                <w:b/>
                <w:sz w:val="18"/>
                <w:szCs w:val="18"/>
              </w:rPr>
              <w:t>12</w:t>
            </w:r>
            <w:r>
              <w:rPr>
                <w:rFonts w:ascii="Arial" w:hAnsi="Arial" w:cs="Arial"/>
                <w:b/>
                <w:sz w:val="18"/>
                <w:szCs w:val="18"/>
              </w:rPr>
              <w:t>/2019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0CED7D" w14:textId="77777777" w:rsidR="00326E79" w:rsidRPr="007B34B2" w:rsidRDefault="00326E79" w:rsidP="00AA40A5">
            <w:pPr>
              <w:jc w:val="center"/>
              <w:rPr>
                <w:rFonts w:ascii="Arial" w:hAnsi="Arial" w:cs="Arial"/>
                <w:b/>
                <w:sz w:val="18"/>
                <w:szCs w:val="18"/>
              </w:rPr>
            </w:pPr>
            <w:r w:rsidRPr="007B34B2">
              <w:rPr>
                <w:rFonts w:ascii="Arial" w:hAnsi="Arial" w:cs="Arial"/>
                <w:b/>
                <w:sz w:val="18"/>
                <w:szCs w:val="18"/>
              </w:rPr>
              <w:t>31/12/2018</w:t>
            </w:r>
          </w:p>
        </w:tc>
      </w:tr>
      <w:tr w:rsidR="00326E79" w:rsidRPr="00C17D08" w14:paraId="354BD1FD" w14:textId="77777777" w:rsidTr="00066653">
        <w:trPr>
          <w:trHeight w:val="677"/>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7BCB86" w14:textId="77777777" w:rsidR="00326E79" w:rsidRPr="007B34B2" w:rsidRDefault="00326E79" w:rsidP="00AA40A5">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3BA8BB" w14:textId="058EE848" w:rsidR="00326E79" w:rsidRPr="007B34B2" w:rsidRDefault="00326E79" w:rsidP="00AA40A5">
            <w:pPr>
              <w:jc w:val="center"/>
              <w:rPr>
                <w:rFonts w:ascii="Arial" w:hAnsi="Arial" w:cs="Arial"/>
                <w:b/>
                <w:sz w:val="18"/>
                <w:szCs w:val="18"/>
              </w:rPr>
            </w:pPr>
            <w:r w:rsidRPr="007B34B2">
              <w:rPr>
                <w:rFonts w:ascii="Arial" w:hAnsi="Arial" w:cs="Arial"/>
                <w:b/>
                <w:sz w:val="18"/>
                <w:szCs w:val="18"/>
              </w:rPr>
              <w:t>Saldo de colocación</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C4B845" w14:textId="77777777" w:rsidR="00326E79" w:rsidRPr="007B34B2" w:rsidRDefault="00326E79" w:rsidP="00AA40A5">
            <w:pPr>
              <w:jc w:val="center"/>
              <w:rPr>
                <w:rFonts w:ascii="Arial" w:hAnsi="Arial" w:cs="Arial"/>
                <w:b/>
                <w:sz w:val="18"/>
                <w:szCs w:val="18"/>
              </w:rPr>
            </w:pPr>
            <w:r w:rsidRPr="007B34B2">
              <w:rPr>
                <w:rFonts w:ascii="Arial" w:hAnsi="Arial" w:cs="Arial"/>
                <w:b/>
                <w:sz w:val="18"/>
                <w:szCs w:val="18"/>
              </w:rPr>
              <w:t>% sobre Cartera total</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DDFA97" w14:textId="6044CF84" w:rsidR="00326E79" w:rsidRPr="007B34B2" w:rsidRDefault="00326E79" w:rsidP="00AA40A5">
            <w:pPr>
              <w:jc w:val="center"/>
              <w:rPr>
                <w:rFonts w:ascii="Arial" w:hAnsi="Arial" w:cs="Arial"/>
                <w:b/>
                <w:sz w:val="18"/>
                <w:szCs w:val="18"/>
              </w:rPr>
            </w:pPr>
            <w:r w:rsidRPr="007B34B2">
              <w:rPr>
                <w:rFonts w:ascii="Arial" w:hAnsi="Arial" w:cs="Arial"/>
                <w:b/>
                <w:sz w:val="18"/>
                <w:szCs w:val="18"/>
              </w:rPr>
              <w:t>Saldo de colocación</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E376A7" w14:textId="77777777" w:rsidR="00326E79" w:rsidRPr="007B34B2" w:rsidRDefault="00326E79" w:rsidP="00AA40A5">
            <w:pPr>
              <w:jc w:val="center"/>
              <w:rPr>
                <w:rFonts w:ascii="Arial" w:hAnsi="Arial" w:cs="Arial"/>
                <w:b/>
                <w:sz w:val="18"/>
                <w:szCs w:val="18"/>
              </w:rPr>
            </w:pPr>
            <w:r w:rsidRPr="007B34B2">
              <w:rPr>
                <w:rFonts w:ascii="Arial" w:hAnsi="Arial" w:cs="Arial"/>
                <w:b/>
                <w:sz w:val="18"/>
                <w:szCs w:val="18"/>
              </w:rPr>
              <w:t>% sobre Cartera total</w:t>
            </w:r>
          </w:p>
        </w:tc>
      </w:tr>
      <w:tr w:rsidR="00326E79" w:rsidRPr="00C17D08" w14:paraId="7D9F6B19" w14:textId="77777777" w:rsidTr="00066653">
        <w:trPr>
          <w:trHeight w:val="113"/>
          <w:jc w:val="center"/>
        </w:trPr>
        <w:tc>
          <w:tcPr>
            <w:tcW w:w="3261" w:type="dxa"/>
            <w:tcBorders>
              <w:top w:val="single" w:sz="4" w:space="0" w:color="auto"/>
            </w:tcBorders>
            <w:vAlign w:val="bottom"/>
          </w:tcPr>
          <w:p w14:paraId="38C3B146" w14:textId="77777777" w:rsidR="00326E79" w:rsidRDefault="00326E79" w:rsidP="00AA40A5">
            <w:pPr>
              <w:rPr>
                <w:rFonts w:ascii="Arial" w:hAnsi="Arial" w:cs="Arial"/>
                <w:sz w:val="18"/>
                <w:szCs w:val="18"/>
              </w:rPr>
            </w:pPr>
          </w:p>
        </w:tc>
        <w:tc>
          <w:tcPr>
            <w:tcW w:w="1417" w:type="dxa"/>
            <w:tcBorders>
              <w:top w:val="single" w:sz="4" w:space="0" w:color="auto"/>
            </w:tcBorders>
          </w:tcPr>
          <w:p w14:paraId="4674A684" w14:textId="77777777" w:rsidR="00326E79" w:rsidRPr="00C17D08" w:rsidRDefault="00326E79" w:rsidP="00AA40A5">
            <w:pPr>
              <w:rPr>
                <w:rFonts w:ascii="Arial" w:hAnsi="Arial" w:cs="Arial"/>
                <w:sz w:val="18"/>
                <w:szCs w:val="18"/>
              </w:rPr>
            </w:pPr>
          </w:p>
        </w:tc>
        <w:tc>
          <w:tcPr>
            <w:tcW w:w="1418" w:type="dxa"/>
            <w:tcBorders>
              <w:top w:val="single" w:sz="4" w:space="0" w:color="auto"/>
            </w:tcBorders>
          </w:tcPr>
          <w:p w14:paraId="0424F8DD" w14:textId="77777777" w:rsidR="00326E79" w:rsidRPr="00C17D08" w:rsidRDefault="00326E79" w:rsidP="00AA40A5">
            <w:pPr>
              <w:rPr>
                <w:rFonts w:ascii="Arial" w:hAnsi="Arial" w:cs="Arial"/>
                <w:sz w:val="18"/>
                <w:szCs w:val="18"/>
              </w:rPr>
            </w:pPr>
          </w:p>
        </w:tc>
        <w:tc>
          <w:tcPr>
            <w:tcW w:w="1276" w:type="dxa"/>
            <w:tcBorders>
              <w:top w:val="single" w:sz="4" w:space="0" w:color="auto"/>
            </w:tcBorders>
          </w:tcPr>
          <w:p w14:paraId="196BE0C6" w14:textId="77777777" w:rsidR="00326E79" w:rsidRPr="00C17D08" w:rsidRDefault="00326E79" w:rsidP="00AA40A5">
            <w:pPr>
              <w:rPr>
                <w:rFonts w:ascii="Arial" w:hAnsi="Arial" w:cs="Arial"/>
                <w:sz w:val="18"/>
                <w:szCs w:val="18"/>
              </w:rPr>
            </w:pPr>
          </w:p>
        </w:tc>
        <w:tc>
          <w:tcPr>
            <w:tcW w:w="1417" w:type="dxa"/>
            <w:tcBorders>
              <w:top w:val="single" w:sz="4" w:space="0" w:color="auto"/>
            </w:tcBorders>
          </w:tcPr>
          <w:p w14:paraId="5A9ABF08" w14:textId="77777777" w:rsidR="00326E79" w:rsidRPr="00C17D08" w:rsidRDefault="00326E79" w:rsidP="00AA40A5">
            <w:pPr>
              <w:rPr>
                <w:rFonts w:ascii="Arial" w:hAnsi="Arial" w:cs="Arial"/>
                <w:sz w:val="18"/>
                <w:szCs w:val="18"/>
              </w:rPr>
            </w:pPr>
          </w:p>
        </w:tc>
      </w:tr>
      <w:tr w:rsidR="00326E79" w:rsidRPr="00C17D08" w14:paraId="6E649852" w14:textId="77777777" w:rsidTr="00066653">
        <w:trPr>
          <w:trHeight w:val="454"/>
          <w:jc w:val="center"/>
        </w:trPr>
        <w:tc>
          <w:tcPr>
            <w:tcW w:w="3261" w:type="dxa"/>
            <w:vAlign w:val="center"/>
          </w:tcPr>
          <w:p w14:paraId="67DC8C13" w14:textId="77777777" w:rsidR="00326E79" w:rsidRDefault="00326E79" w:rsidP="00606E2A">
            <w:pPr>
              <w:rPr>
                <w:rFonts w:ascii="Arial" w:hAnsi="Arial" w:cs="Arial"/>
                <w:sz w:val="18"/>
                <w:szCs w:val="18"/>
              </w:rPr>
            </w:pPr>
            <w:r>
              <w:rPr>
                <w:rFonts w:ascii="Arial" w:hAnsi="Arial" w:cs="Arial"/>
                <w:sz w:val="18"/>
                <w:szCs w:val="18"/>
              </w:rPr>
              <w:t>10 mayores clientes</w:t>
            </w:r>
          </w:p>
        </w:tc>
        <w:tc>
          <w:tcPr>
            <w:tcW w:w="1417" w:type="dxa"/>
            <w:vAlign w:val="center"/>
          </w:tcPr>
          <w:p w14:paraId="12F6A79F" w14:textId="0443A6B7" w:rsidR="00326E79" w:rsidRPr="00C17D08" w:rsidRDefault="008D2A1D" w:rsidP="00606E2A">
            <w:pPr>
              <w:jc w:val="right"/>
              <w:rPr>
                <w:rFonts w:ascii="Arial" w:hAnsi="Arial" w:cs="Arial"/>
                <w:sz w:val="18"/>
                <w:szCs w:val="18"/>
              </w:rPr>
            </w:pPr>
            <w:r>
              <w:rPr>
                <w:rFonts w:ascii="Arial" w:hAnsi="Arial" w:cs="Arial"/>
                <w:sz w:val="18"/>
                <w:szCs w:val="18"/>
              </w:rPr>
              <w:t>11.913.933</w:t>
            </w:r>
          </w:p>
        </w:tc>
        <w:tc>
          <w:tcPr>
            <w:tcW w:w="1418" w:type="dxa"/>
            <w:vAlign w:val="center"/>
          </w:tcPr>
          <w:p w14:paraId="1B8935C3" w14:textId="4E0F8235" w:rsidR="00326E79" w:rsidRPr="00C17D08" w:rsidRDefault="008D2A1D" w:rsidP="00606E2A">
            <w:pPr>
              <w:jc w:val="center"/>
              <w:rPr>
                <w:rFonts w:ascii="Arial" w:hAnsi="Arial" w:cs="Arial"/>
                <w:sz w:val="18"/>
                <w:szCs w:val="18"/>
              </w:rPr>
            </w:pPr>
            <w:r>
              <w:rPr>
                <w:rFonts w:ascii="Arial" w:hAnsi="Arial" w:cs="Arial"/>
                <w:sz w:val="18"/>
                <w:szCs w:val="18"/>
              </w:rPr>
              <w:t>13,02%</w:t>
            </w:r>
          </w:p>
        </w:tc>
        <w:tc>
          <w:tcPr>
            <w:tcW w:w="1276" w:type="dxa"/>
            <w:vAlign w:val="center"/>
          </w:tcPr>
          <w:p w14:paraId="79E039C0" w14:textId="7364EDDF" w:rsidR="00326E79" w:rsidRPr="00C17D08" w:rsidRDefault="009E2492" w:rsidP="00606E2A">
            <w:pPr>
              <w:jc w:val="right"/>
              <w:rPr>
                <w:rFonts w:ascii="Arial" w:hAnsi="Arial" w:cs="Arial"/>
                <w:sz w:val="18"/>
                <w:szCs w:val="18"/>
              </w:rPr>
            </w:pPr>
            <w:r>
              <w:rPr>
                <w:rFonts w:ascii="Arial" w:hAnsi="Arial" w:cs="Arial"/>
                <w:sz w:val="18"/>
                <w:szCs w:val="18"/>
              </w:rPr>
              <w:t>21.904.492</w:t>
            </w:r>
          </w:p>
        </w:tc>
        <w:tc>
          <w:tcPr>
            <w:tcW w:w="1417" w:type="dxa"/>
            <w:vAlign w:val="center"/>
          </w:tcPr>
          <w:p w14:paraId="2A1478A2" w14:textId="5A22B30C" w:rsidR="00326E79" w:rsidRPr="00C17D08" w:rsidRDefault="009E2492" w:rsidP="00606E2A">
            <w:pPr>
              <w:jc w:val="center"/>
              <w:rPr>
                <w:rFonts w:ascii="Arial" w:hAnsi="Arial" w:cs="Arial"/>
                <w:sz w:val="18"/>
                <w:szCs w:val="18"/>
              </w:rPr>
            </w:pPr>
            <w:r>
              <w:rPr>
                <w:rFonts w:ascii="Arial" w:hAnsi="Arial" w:cs="Arial"/>
                <w:sz w:val="18"/>
                <w:szCs w:val="18"/>
              </w:rPr>
              <w:t>22</w:t>
            </w:r>
            <w:r w:rsidR="003C2633">
              <w:rPr>
                <w:rFonts w:ascii="Arial" w:hAnsi="Arial" w:cs="Arial"/>
                <w:sz w:val="18"/>
                <w:szCs w:val="18"/>
              </w:rPr>
              <w:t>,</w:t>
            </w:r>
            <w:r>
              <w:rPr>
                <w:rFonts w:ascii="Arial" w:hAnsi="Arial" w:cs="Arial"/>
                <w:sz w:val="18"/>
                <w:szCs w:val="18"/>
              </w:rPr>
              <w:t>90%</w:t>
            </w:r>
          </w:p>
        </w:tc>
      </w:tr>
      <w:tr w:rsidR="00326E79" w:rsidRPr="00C17D08" w14:paraId="23EB4D8C" w14:textId="77777777" w:rsidTr="00066653">
        <w:trPr>
          <w:trHeight w:val="218"/>
          <w:jc w:val="center"/>
        </w:trPr>
        <w:tc>
          <w:tcPr>
            <w:tcW w:w="3261" w:type="dxa"/>
            <w:vAlign w:val="center"/>
          </w:tcPr>
          <w:p w14:paraId="243467D8" w14:textId="77777777" w:rsidR="00326E79" w:rsidRPr="00C17D08" w:rsidRDefault="00326E79" w:rsidP="00606E2A">
            <w:pPr>
              <w:rPr>
                <w:rFonts w:ascii="Arial" w:hAnsi="Arial" w:cs="Arial"/>
                <w:sz w:val="18"/>
                <w:szCs w:val="18"/>
              </w:rPr>
            </w:pPr>
          </w:p>
        </w:tc>
        <w:tc>
          <w:tcPr>
            <w:tcW w:w="1417" w:type="dxa"/>
            <w:vAlign w:val="center"/>
          </w:tcPr>
          <w:p w14:paraId="09808C3C" w14:textId="77777777" w:rsidR="00326E79" w:rsidRPr="00C17D08" w:rsidRDefault="00326E79" w:rsidP="00606E2A">
            <w:pPr>
              <w:jc w:val="right"/>
              <w:rPr>
                <w:rFonts w:ascii="Arial" w:hAnsi="Arial" w:cs="Arial"/>
                <w:sz w:val="18"/>
                <w:szCs w:val="18"/>
              </w:rPr>
            </w:pPr>
          </w:p>
        </w:tc>
        <w:tc>
          <w:tcPr>
            <w:tcW w:w="1418" w:type="dxa"/>
            <w:vAlign w:val="center"/>
          </w:tcPr>
          <w:p w14:paraId="23908735" w14:textId="77777777" w:rsidR="00326E79" w:rsidRPr="00C17D08" w:rsidRDefault="00326E79" w:rsidP="00606E2A">
            <w:pPr>
              <w:jc w:val="center"/>
              <w:rPr>
                <w:rFonts w:ascii="Arial" w:hAnsi="Arial" w:cs="Arial"/>
                <w:sz w:val="18"/>
                <w:szCs w:val="18"/>
              </w:rPr>
            </w:pPr>
          </w:p>
        </w:tc>
        <w:tc>
          <w:tcPr>
            <w:tcW w:w="1276" w:type="dxa"/>
            <w:vAlign w:val="center"/>
          </w:tcPr>
          <w:p w14:paraId="7A9FB293" w14:textId="77777777" w:rsidR="00326E79" w:rsidRPr="00C17D08" w:rsidRDefault="00326E79" w:rsidP="00606E2A">
            <w:pPr>
              <w:jc w:val="right"/>
              <w:rPr>
                <w:rFonts w:ascii="Arial" w:hAnsi="Arial" w:cs="Arial"/>
                <w:sz w:val="18"/>
                <w:szCs w:val="18"/>
              </w:rPr>
            </w:pPr>
          </w:p>
        </w:tc>
        <w:tc>
          <w:tcPr>
            <w:tcW w:w="1417" w:type="dxa"/>
            <w:vAlign w:val="center"/>
          </w:tcPr>
          <w:p w14:paraId="5B92A5B1" w14:textId="77777777" w:rsidR="00326E79" w:rsidRPr="00C17D08" w:rsidRDefault="00326E79" w:rsidP="00606E2A">
            <w:pPr>
              <w:jc w:val="center"/>
              <w:rPr>
                <w:rFonts w:ascii="Arial" w:hAnsi="Arial" w:cs="Arial"/>
                <w:sz w:val="18"/>
                <w:szCs w:val="18"/>
              </w:rPr>
            </w:pPr>
          </w:p>
        </w:tc>
      </w:tr>
      <w:tr w:rsidR="00326E79" w:rsidRPr="00C17D08" w14:paraId="238B2D80" w14:textId="77777777" w:rsidTr="00066653">
        <w:trPr>
          <w:trHeight w:val="454"/>
          <w:jc w:val="center"/>
        </w:trPr>
        <w:tc>
          <w:tcPr>
            <w:tcW w:w="3261" w:type="dxa"/>
            <w:vAlign w:val="center"/>
          </w:tcPr>
          <w:p w14:paraId="150AA9F6" w14:textId="77777777" w:rsidR="00326E79" w:rsidRPr="00C17D08" w:rsidRDefault="00326E79" w:rsidP="00606E2A">
            <w:pPr>
              <w:rPr>
                <w:rFonts w:ascii="Arial" w:hAnsi="Arial" w:cs="Arial"/>
                <w:sz w:val="18"/>
                <w:szCs w:val="18"/>
              </w:rPr>
            </w:pPr>
            <w:r>
              <w:rPr>
                <w:rFonts w:ascii="Arial" w:hAnsi="Arial" w:cs="Arial"/>
                <w:sz w:val="18"/>
                <w:szCs w:val="18"/>
              </w:rPr>
              <w:t xml:space="preserve">50 siguientes mayores clientes </w:t>
            </w:r>
          </w:p>
        </w:tc>
        <w:tc>
          <w:tcPr>
            <w:tcW w:w="1417" w:type="dxa"/>
            <w:vAlign w:val="center"/>
          </w:tcPr>
          <w:p w14:paraId="5526FB63" w14:textId="44C09C2B" w:rsidR="00326E79" w:rsidRPr="00C17D08" w:rsidRDefault="008D2A1D" w:rsidP="00606E2A">
            <w:pPr>
              <w:jc w:val="right"/>
              <w:rPr>
                <w:rFonts w:ascii="Arial" w:hAnsi="Arial" w:cs="Arial"/>
                <w:sz w:val="18"/>
                <w:szCs w:val="18"/>
              </w:rPr>
            </w:pPr>
            <w:r>
              <w:rPr>
                <w:rFonts w:ascii="Arial" w:hAnsi="Arial" w:cs="Arial"/>
                <w:sz w:val="18"/>
                <w:szCs w:val="18"/>
              </w:rPr>
              <w:t>11.722.499</w:t>
            </w:r>
          </w:p>
        </w:tc>
        <w:tc>
          <w:tcPr>
            <w:tcW w:w="1418" w:type="dxa"/>
            <w:vAlign w:val="center"/>
          </w:tcPr>
          <w:p w14:paraId="5386E792" w14:textId="43D010EA" w:rsidR="00326E79" w:rsidRPr="00C17D08" w:rsidRDefault="008D2A1D" w:rsidP="00606E2A">
            <w:pPr>
              <w:jc w:val="center"/>
              <w:rPr>
                <w:rFonts w:ascii="Arial" w:hAnsi="Arial" w:cs="Arial"/>
                <w:sz w:val="18"/>
                <w:szCs w:val="18"/>
              </w:rPr>
            </w:pPr>
            <w:r>
              <w:rPr>
                <w:rFonts w:ascii="Arial" w:hAnsi="Arial" w:cs="Arial"/>
                <w:sz w:val="18"/>
                <w:szCs w:val="18"/>
              </w:rPr>
              <w:t>12,81%</w:t>
            </w:r>
          </w:p>
        </w:tc>
        <w:tc>
          <w:tcPr>
            <w:tcW w:w="1276" w:type="dxa"/>
            <w:vAlign w:val="center"/>
          </w:tcPr>
          <w:p w14:paraId="796EA760" w14:textId="15D514AA" w:rsidR="00326E79" w:rsidRPr="00C17D08" w:rsidRDefault="009E2492" w:rsidP="00606E2A">
            <w:pPr>
              <w:jc w:val="right"/>
              <w:rPr>
                <w:rFonts w:ascii="Arial" w:hAnsi="Arial" w:cs="Arial"/>
                <w:sz w:val="18"/>
                <w:szCs w:val="18"/>
              </w:rPr>
            </w:pPr>
            <w:r>
              <w:rPr>
                <w:rFonts w:ascii="Arial" w:hAnsi="Arial" w:cs="Arial"/>
                <w:sz w:val="18"/>
                <w:szCs w:val="18"/>
              </w:rPr>
              <w:t>15.122.034</w:t>
            </w:r>
          </w:p>
        </w:tc>
        <w:tc>
          <w:tcPr>
            <w:tcW w:w="1417" w:type="dxa"/>
            <w:vAlign w:val="center"/>
          </w:tcPr>
          <w:p w14:paraId="2517F7D3" w14:textId="0EC3546F" w:rsidR="00326E79" w:rsidRPr="00C17D08" w:rsidRDefault="009E2492" w:rsidP="00606E2A">
            <w:pPr>
              <w:jc w:val="center"/>
              <w:rPr>
                <w:rFonts w:ascii="Arial" w:hAnsi="Arial" w:cs="Arial"/>
                <w:sz w:val="18"/>
                <w:szCs w:val="18"/>
              </w:rPr>
            </w:pPr>
            <w:r>
              <w:rPr>
                <w:rFonts w:ascii="Arial" w:hAnsi="Arial" w:cs="Arial"/>
                <w:sz w:val="18"/>
                <w:szCs w:val="18"/>
              </w:rPr>
              <w:t>15</w:t>
            </w:r>
            <w:r w:rsidR="003C2633">
              <w:rPr>
                <w:rFonts w:ascii="Arial" w:hAnsi="Arial" w:cs="Arial"/>
                <w:sz w:val="18"/>
                <w:szCs w:val="18"/>
              </w:rPr>
              <w:t>,</w:t>
            </w:r>
            <w:r>
              <w:rPr>
                <w:rFonts w:ascii="Arial" w:hAnsi="Arial" w:cs="Arial"/>
                <w:sz w:val="18"/>
                <w:szCs w:val="18"/>
              </w:rPr>
              <w:t>81%</w:t>
            </w:r>
          </w:p>
        </w:tc>
      </w:tr>
      <w:tr w:rsidR="00326E79" w:rsidRPr="00C17D08" w14:paraId="703B6331" w14:textId="77777777" w:rsidTr="00066653">
        <w:trPr>
          <w:trHeight w:val="99"/>
          <w:jc w:val="center"/>
        </w:trPr>
        <w:tc>
          <w:tcPr>
            <w:tcW w:w="3261" w:type="dxa"/>
            <w:vAlign w:val="center"/>
          </w:tcPr>
          <w:p w14:paraId="2D5D44CB" w14:textId="77777777" w:rsidR="00326E79" w:rsidRPr="00C17D08" w:rsidRDefault="00326E79" w:rsidP="00606E2A">
            <w:pPr>
              <w:rPr>
                <w:rFonts w:ascii="Arial" w:hAnsi="Arial" w:cs="Arial"/>
                <w:sz w:val="18"/>
                <w:szCs w:val="18"/>
              </w:rPr>
            </w:pPr>
          </w:p>
        </w:tc>
        <w:tc>
          <w:tcPr>
            <w:tcW w:w="1417" w:type="dxa"/>
            <w:vAlign w:val="center"/>
          </w:tcPr>
          <w:p w14:paraId="6E24E98C" w14:textId="77777777" w:rsidR="00326E79" w:rsidRPr="00C17D08" w:rsidRDefault="00326E79" w:rsidP="00606E2A">
            <w:pPr>
              <w:jc w:val="right"/>
              <w:rPr>
                <w:rFonts w:ascii="Arial" w:hAnsi="Arial" w:cs="Arial"/>
                <w:sz w:val="18"/>
                <w:szCs w:val="18"/>
              </w:rPr>
            </w:pPr>
          </w:p>
        </w:tc>
        <w:tc>
          <w:tcPr>
            <w:tcW w:w="1418" w:type="dxa"/>
            <w:vAlign w:val="center"/>
          </w:tcPr>
          <w:p w14:paraId="19209CD8" w14:textId="77777777" w:rsidR="00326E79" w:rsidRPr="00C17D08" w:rsidRDefault="00326E79" w:rsidP="00606E2A">
            <w:pPr>
              <w:jc w:val="center"/>
              <w:rPr>
                <w:rFonts w:ascii="Arial" w:hAnsi="Arial" w:cs="Arial"/>
                <w:sz w:val="18"/>
                <w:szCs w:val="18"/>
              </w:rPr>
            </w:pPr>
          </w:p>
        </w:tc>
        <w:tc>
          <w:tcPr>
            <w:tcW w:w="1276" w:type="dxa"/>
            <w:vAlign w:val="center"/>
          </w:tcPr>
          <w:p w14:paraId="132DBD0C" w14:textId="77777777" w:rsidR="00326E79" w:rsidRPr="00C17D08" w:rsidRDefault="00326E79" w:rsidP="00606E2A">
            <w:pPr>
              <w:jc w:val="right"/>
              <w:rPr>
                <w:rFonts w:ascii="Arial" w:hAnsi="Arial" w:cs="Arial"/>
                <w:sz w:val="18"/>
                <w:szCs w:val="18"/>
              </w:rPr>
            </w:pPr>
          </w:p>
        </w:tc>
        <w:tc>
          <w:tcPr>
            <w:tcW w:w="1417" w:type="dxa"/>
            <w:vAlign w:val="center"/>
          </w:tcPr>
          <w:p w14:paraId="5CBA4023" w14:textId="77777777" w:rsidR="00326E79" w:rsidRPr="00C17D08" w:rsidRDefault="00326E79" w:rsidP="00606E2A">
            <w:pPr>
              <w:jc w:val="center"/>
              <w:rPr>
                <w:rFonts w:ascii="Arial" w:hAnsi="Arial" w:cs="Arial"/>
                <w:sz w:val="18"/>
                <w:szCs w:val="18"/>
              </w:rPr>
            </w:pPr>
          </w:p>
        </w:tc>
      </w:tr>
      <w:tr w:rsidR="00326E79" w:rsidRPr="00C17D08" w14:paraId="48DAA40C" w14:textId="77777777" w:rsidTr="00066653">
        <w:trPr>
          <w:trHeight w:val="454"/>
          <w:jc w:val="center"/>
        </w:trPr>
        <w:tc>
          <w:tcPr>
            <w:tcW w:w="3261" w:type="dxa"/>
            <w:vAlign w:val="center"/>
          </w:tcPr>
          <w:p w14:paraId="31593EE5" w14:textId="77777777" w:rsidR="00326E79" w:rsidRPr="00C17D08" w:rsidRDefault="00326E79" w:rsidP="00606E2A">
            <w:pPr>
              <w:rPr>
                <w:rFonts w:ascii="Arial" w:hAnsi="Arial" w:cs="Arial"/>
                <w:sz w:val="18"/>
                <w:szCs w:val="18"/>
              </w:rPr>
            </w:pPr>
            <w:r>
              <w:rPr>
                <w:rFonts w:ascii="Arial" w:hAnsi="Arial" w:cs="Arial"/>
                <w:sz w:val="18"/>
                <w:szCs w:val="18"/>
              </w:rPr>
              <w:t>100 siguientes mayores clientes</w:t>
            </w:r>
          </w:p>
        </w:tc>
        <w:tc>
          <w:tcPr>
            <w:tcW w:w="1417" w:type="dxa"/>
            <w:vAlign w:val="center"/>
          </w:tcPr>
          <w:p w14:paraId="47CEA6D7" w14:textId="1C921E06" w:rsidR="00326E79" w:rsidRPr="00C17D08" w:rsidRDefault="008D2A1D" w:rsidP="00606E2A">
            <w:pPr>
              <w:jc w:val="right"/>
              <w:rPr>
                <w:rFonts w:ascii="Arial" w:hAnsi="Arial" w:cs="Arial"/>
                <w:sz w:val="18"/>
                <w:szCs w:val="18"/>
              </w:rPr>
            </w:pPr>
            <w:r>
              <w:rPr>
                <w:rFonts w:ascii="Arial" w:hAnsi="Arial" w:cs="Arial"/>
                <w:sz w:val="18"/>
                <w:szCs w:val="18"/>
              </w:rPr>
              <w:t>6.008.831</w:t>
            </w:r>
          </w:p>
        </w:tc>
        <w:tc>
          <w:tcPr>
            <w:tcW w:w="1418" w:type="dxa"/>
            <w:vAlign w:val="center"/>
          </w:tcPr>
          <w:p w14:paraId="5DE3632A" w14:textId="6424757E" w:rsidR="00326E79" w:rsidRPr="00C17D08" w:rsidRDefault="008D2A1D" w:rsidP="00606E2A">
            <w:pPr>
              <w:jc w:val="center"/>
              <w:rPr>
                <w:rFonts w:ascii="Arial" w:hAnsi="Arial" w:cs="Arial"/>
                <w:sz w:val="18"/>
                <w:szCs w:val="18"/>
              </w:rPr>
            </w:pPr>
            <w:r>
              <w:rPr>
                <w:rFonts w:ascii="Arial" w:hAnsi="Arial" w:cs="Arial"/>
                <w:sz w:val="18"/>
                <w:szCs w:val="18"/>
              </w:rPr>
              <w:t>6,57%</w:t>
            </w:r>
          </w:p>
        </w:tc>
        <w:tc>
          <w:tcPr>
            <w:tcW w:w="1276" w:type="dxa"/>
            <w:vAlign w:val="center"/>
          </w:tcPr>
          <w:p w14:paraId="77603306" w14:textId="17BA24D2" w:rsidR="00326E79" w:rsidRPr="00C17D08" w:rsidRDefault="009E2492" w:rsidP="00606E2A">
            <w:pPr>
              <w:jc w:val="right"/>
              <w:rPr>
                <w:rFonts w:ascii="Arial" w:hAnsi="Arial" w:cs="Arial"/>
                <w:sz w:val="18"/>
                <w:szCs w:val="18"/>
              </w:rPr>
            </w:pPr>
            <w:r>
              <w:rPr>
                <w:rFonts w:ascii="Arial" w:hAnsi="Arial" w:cs="Arial"/>
                <w:sz w:val="18"/>
                <w:szCs w:val="18"/>
              </w:rPr>
              <w:t>5.743.157</w:t>
            </w:r>
          </w:p>
        </w:tc>
        <w:tc>
          <w:tcPr>
            <w:tcW w:w="1417" w:type="dxa"/>
            <w:vAlign w:val="center"/>
          </w:tcPr>
          <w:p w14:paraId="4092552E" w14:textId="46655DF0" w:rsidR="00326E79" w:rsidRPr="00C17D08" w:rsidRDefault="009E2492" w:rsidP="00606E2A">
            <w:pPr>
              <w:jc w:val="center"/>
              <w:rPr>
                <w:rFonts w:ascii="Arial" w:hAnsi="Arial" w:cs="Arial"/>
                <w:sz w:val="18"/>
                <w:szCs w:val="18"/>
              </w:rPr>
            </w:pPr>
            <w:r>
              <w:rPr>
                <w:rFonts w:ascii="Arial" w:hAnsi="Arial" w:cs="Arial"/>
                <w:sz w:val="18"/>
                <w:szCs w:val="18"/>
              </w:rPr>
              <w:t>6</w:t>
            </w:r>
            <w:r w:rsidR="003C2633">
              <w:rPr>
                <w:rFonts w:ascii="Arial" w:hAnsi="Arial" w:cs="Arial"/>
                <w:sz w:val="18"/>
                <w:szCs w:val="18"/>
              </w:rPr>
              <w:t>,</w:t>
            </w:r>
            <w:r>
              <w:rPr>
                <w:rFonts w:ascii="Arial" w:hAnsi="Arial" w:cs="Arial"/>
                <w:sz w:val="18"/>
                <w:szCs w:val="18"/>
              </w:rPr>
              <w:t>00%</w:t>
            </w:r>
          </w:p>
        </w:tc>
      </w:tr>
      <w:tr w:rsidR="00326E79" w:rsidRPr="00C17D08" w14:paraId="03F01628" w14:textId="77777777" w:rsidTr="00066653">
        <w:trPr>
          <w:trHeight w:val="97"/>
          <w:jc w:val="center"/>
        </w:trPr>
        <w:tc>
          <w:tcPr>
            <w:tcW w:w="3261" w:type="dxa"/>
            <w:vAlign w:val="center"/>
          </w:tcPr>
          <w:p w14:paraId="06D42E24" w14:textId="77777777" w:rsidR="00326E79" w:rsidRPr="00C17D08" w:rsidRDefault="00326E79" w:rsidP="00606E2A">
            <w:pPr>
              <w:rPr>
                <w:rFonts w:ascii="Arial" w:hAnsi="Arial" w:cs="Arial"/>
                <w:sz w:val="18"/>
                <w:szCs w:val="18"/>
              </w:rPr>
            </w:pPr>
          </w:p>
        </w:tc>
        <w:tc>
          <w:tcPr>
            <w:tcW w:w="1417" w:type="dxa"/>
            <w:vAlign w:val="center"/>
          </w:tcPr>
          <w:p w14:paraId="14FABD06" w14:textId="77777777" w:rsidR="00326E79" w:rsidRPr="00C17D08" w:rsidRDefault="00326E79" w:rsidP="00606E2A">
            <w:pPr>
              <w:jc w:val="right"/>
              <w:rPr>
                <w:rFonts w:ascii="Arial" w:hAnsi="Arial" w:cs="Arial"/>
                <w:sz w:val="18"/>
                <w:szCs w:val="18"/>
              </w:rPr>
            </w:pPr>
          </w:p>
        </w:tc>
        <w:tc>
          <w:tcPr>
            <w:tcW w:w="1418" w:type="dxa"/>
            <w:vAlign w:val="center"/>
          </w:tcPr>
          <w:p w14:paraId="72324D84" w14:textId="77777777" w:rsidR="00326E79" w:rsidRPr="00C17D08" w:rsidRDefault="00326E79" w:rsidP="00606E2A">
            <w:pPr>
              <w:jc w:val="center"/>
              <w:rPr>
                <w:rFonts w:ascii="Arial" w:hAnsi="Arial" w:cs="Arial"/>
                <w:sz w:val="18"/>
                <w:szCs w:val="18"/>
              </w:rPr>
            </w:pPr>
          </w:p>
        </w:tc>
        <w:tc>
          <w:tcPr>
            <w:tcW w:w="1276" w:type="dxa"/>
            <w:vAlign w:val="center"/>
          </w:tcPr>
          <w:p w14:paraId="0ED4C5F4" w14:textId="77777777" w:rsidR="00326E79" w:rsidRPr="00C17D08" w:rsidRDefault="00326E79" w:rsidP="00606E2A">
            <w:pPr>
              <w:jc w:val="right"/>
              <w:rPr>
                <w:rFonts w:ascii="Arial" w:hAnsi="Arial" w:cs="Arial"/>
                <w:sz w:val="18"/>
                <w:szCs w:val="18"/>
              </w:rPr>
            </w:pPr>
          </w:p>
        </w:tc>
        <w:tc>
          <w:tcPr>
            <w:tcW w:w="1417" w:type="dxa"/>
            <w:vAlign w:val="center"/>
          </w:tcPr>
          <w:p w14:paraId="13BAE501" w14:textId="77777777" w:rsidR="00326E79" w:rsidRPr="00C17D08" w:rsidRDefault="00326E79" w:rsidP="00606E2A">
            <w:pPr>
              <w:jc w:val="center"/>
              <w:rPr>
                <w:rFonts w:ascii="Arial" w:hAnsi="Arial" w:cs="Arial"/>
                <w:sz w:val="18"/>
                <w:szCs w:val="18"/>
              </w:rPr>
            </w:pPr>
          </w:p>
        </w:tc>
      </w:tr>
      <w:tr w:rsidR="00326E79" w:rsidRPr="00C17D08" w14:paraId="14498875" w14:textId="77777777" w:rsidTr="00066653">
        <w:trPr>
          <w:trHeight w:val="454"/>
          <w:jc w:val="center"/>
        </w:trPr>
        <w:tc>
          <w:tcPr>
            <w:tcW w:w="3261" w:type="dxa"/>
            <w:vAlign w:val="center"/>
          </w:tcPr>
          <w:p w14:paraId="2C8EB840" w14:textId="77777777" w:rsidR="00326E79" w:rsidRPr="00C17D08" w:rsidRDefault="00326E79" w:rsidP="00606E2A">
            <w:pPr>
              <w:rPr>
                <w:rFonts w:ascii="Arial" w:hAnsi="Arial" w:cs="Arial"/>
                <w:sz w:val="18"/>
                <w:szCs w:val="18"/>
              </w:rPr>
            </w:pPr>
            <w:r>
              <w:rPr>
                <w:rFonts w:ascii="Arial" w:hAnsi="Arial" w:cs="Arial"/>
                <w:sz w:val="18"/>
                <w:szCs w:val="18"/>
              </w:rPr>
              <w:t>Resto de clientes</w:t>
            </w:r>
          </w:p>
        </w:tc>
        <w:tc>
          <w:tcPr>
            <w:tcW w:w="1417" w:type="dxa"/>
            <w:vAlign w:val="center"/>
          </w:tcPr>
          <w:p w14:paraId="7A3F402B" w14:textId="562DB710" w:rsidR="00326E79" w:rsidRPr="00C17D08" w:rsidRDefault="008D2A1D" w:rsidP="00606E2A">
            <w:pPr>
              <w:jc w:val="right"/>
              <w:rPr>
                <w:rFonts w:ascii="Arial" w:hAnsi="Arial" w:cs="Arial"/>
                <w:sz w:val="18"/>
                <w:szCs w:val="18"/>
              </w:rPr>
            </w:pPr>
            <w:r>
              <w:rPr>
                <w:rFonts w:ascii="Arial" w:hAnsi="Arial" w:cs="Arial"/>
                <w:sz w:val="18"/>
                <w:szCs w:val="18"/>
              </w:rPr>
              <w:t>61.832.203</w:t>
            </w:r>
          </w:p>
        </w:tc>
        <w:tc>
          <w:tcPr>
            <w:tcW w:w="1418" w:type="dxa"/>
            <w:vAlign w:val="center"/>
          </w:tcPr>
          <w:p w14:paraId="678DB86A" w14:textId="50023D07" w:rsidR="00326E79" w:rsidRPr="00C17D08" w:rsidRDefault="008D2A1D" w:rsidP="00606E2A">
            <w:pPr>
              <w:jc w:val="center"/>
              <w:rPr>
                <w:rFonts w:ascii="Arial" w:hAnsi="Arial" w:cs="Arial"/>
                <w:sz w:val="18"/>
                <w:szCs w:val="18"/>
              </w:rPr>
            </w:pPr>
            <w:r>
              <w:rPr>
                <w:rFonts w:ascii="Arial" w:hAnsi="Arial" w:cs="Arial"/>
                <w:sz w:val="18"/>
                <w:szCs w:val="18"/>
              </w:rPr>
              <w:t>67,60%</w:t>
            </w:r>
          </w:p>
        </w:tc>
        <w:tc>
          <w:tcPr>
            <w:tcW w:w="1276" w:type="dxa"/>
            <w:vAlign w:val="center"/>
          </w:tcPr>
          <w:p w14:paraId="42E8B205" w14:textId="2B654B26" w:rsidR="00326E79" w:rsidRPr="00C17D08" w:rsidRDefault="009E2492" w:rsidP="00606E2A">
            <w:pPr>
              <w:jc w:val="right"/>
              <w:rPr>
                <w:rFonts w:ascii="Arial" w:hAnsi="Arial" w:cs="Arial"/>
                <w:sz w:val="18"/>
                <w:szCs w:val="18"/>
              </w:rPr>
            </w:pPr>
            <w:r>
              <w:rPr>
                <w:rFonts w:ascii="Arial" w:hAnsi="Arial" w:cs="Arial"/>
                <w:sz w:val="18"/>
                <w:szCs w:val="18"/>
              </w:rPr>
              <w:t>52.896.788</w:t>
            </w:r>
          </w:p>
        </w:tc>
        <w:tc>
          <w:tcPr>
            <w:tcW w:w="1417" w:type="dxa"/>
            <w:vAlign w:val="center"/>
          </w:tcPr>
          <w:p w14:paraId="740238CA" w14:textId="3765635B" w:rsidR="00326E79" w:rsidRPr="00C17D08" w:rsidRDefault="009E2492" w:rsidP="00606E2A">
            <w:pPr>
              <w:jc w:val="center"/>
              <w:rPr>
                <w:rFonts w:ascii="Arial" w:hAnsi="Arial" w:cs="Arial"/>
                <w:sz w:val="18"/>
                <w:szCs w:val="18"/>
              </w:rPr>
            </w:pPr>
            <w:r>
              <w:rPr>
                <w:rFonts w:ascii="Arial" w:hAnsi="Arial" w:cs="Arial"/>
                <w:sz w:val="18"/>
                <w:szCs w:val="18"/>
              </w:rPr>
              <w:t>55</w:t>
            </w:r>
            <w:r w:rsidR="003C2633">
              <w:rPr>
                <w:rFonts w:ascii="Arial" w:hAnsi="Arial" w:cs="Arial"/>
                <w:sz w:val="18"/>
                <w:szCs w:val="18"/>
              </w:rPr>
              <w:t>,</w:t>
            </w:r>
            <w:r>
              <w:rPr>
                <w:rFonts w:ascii="Arial" w:hAnsi="Arial" w:cs="Arial"/>
                <w:sz w:val="18"/>
                <w:szCs w:val="18"/>
              </w:rPr>
              <w:t>29%</w:t>
            </w:r>
          </w:p>
        </w:tc>
      </w:tr>
      <w:tr w:rsidR="00326E79" w:rsidRPr="0014647F" w14:paraId="51B66F7B" w14:textId="77777777" w:rsidTr="00066653">
        <w:trPr>
          <w:trHeight w:val="340"/>
          <w:jc w:val="center"/>
        </w:trPr>
        <w:tc>
          <w:tcPr>
            <w:tcW w:w="3261" w:type="dxa"/>
            <w:tcBorders>
              <w:top w:val="single" w:sz="4" w:space="0" w:color="auto"/>
              <w:bottom w:val="single" w:sz="4" w:space="0" w:color="auto"/>
            </w:tcBorders>
            <w:vAlign w:val="bottom"/>
          </w:tcPr>
          <w:p w14:paraId="34F87C55" w14:textId="77777777" w:rsidR="00326E79" w:rsidRPr="0014647F" w:rsidRDefault="00326E79" w:rsidP="00AA40A5">
            <w:pPr>
              <w:rPr>
                <w:rFonts w:ascii="Arial" w:hAnsi="Arial" w:cs="Arial"/>
                <w:b/>
                <w:sz w:val="18"/>
                <w:szCs w:val="18"/>
              </w:rPr>
            </w:pPr>
            <w:r w:rsidRPr="0014647F">
              <w:rPr>
                <w:rFonts w:ascii="Arial" w:hAnsi="Arial" w:cs="Arial"/>
                <w:b/>
                <w:sz w:val="18"/>
                <w:szCs w:val="18"/>
              </w:rPr>
              <w:t>TOTAL</w:t>
            </w:r>
          </w:p>
        </w:tc>
        <w:tc>
          <w:tcPr>
            <w:tcW w:w="1417" w:type="dxa"/>
            <w:tcBorders>
              <w:top w:val="single" w:sz="4" w:space="0" w:color="auto"/>
              <w:bottom w:val="single" w:sz="4" w:space="0" w:color="auto"/>
            </w:tcBorders>
            <w:vAlign w:val="center"/>
          </w:tcPr>
          <w:p w14:paraId="3BC69A1A" w14:textId="66F5090D" w:rsidR="00326E79" w:rsidRPr="0014647F" w:rsidRDefault="008D2A1D" w:rsidP="00606E2A">
            <w:pPr>
              <w:jc w:val="right"/>
              <w:rPr>
                <w:rFonts w:ascii="Arial" w:hAnsi="Arial" w:cs="Arial"/>
                <w:b/>
                <w:sz w:val="18"/>
                <w:szCs w:val="18"/>
              </w:rPr>
            </w:pPr>
            <w:r>
              <w:rPr>
                <w:rFonts w:ascii="Arial" w:hAnsi="Arial" w:cs="Arial"/>
                <w:b/>
                <w:sz w:val="18"/>
                <w:szCs w:val="18"/>
              </w:rPr>
              <w:t>91.477.466</w:t>
            </w:r>
          </w:p>
        </w:tc>
        <w:tc>
          <w:tcPr>
            <w:tcW w:w="1418" w:type="dxa"/>
            <w:tcBorders>
              <w:top w:val="single" w:sz="4" w:space="0" w:color="auto"/>
              <w:bottom w:val="single" w:sz="4" w:space="0" w:color="auto"/>
            </w:tcBorders>
            <w:vAlign w:val="center"/>
          </w:tcPr>
          <w:p w14:paraId="4D12AD63" w14:textId="1E35DB95" w:rsidR="00326E79" w:rsidRPr="0014647F" w:rsidRDefault="008D2A1D" w:rsidP="00606E2A">
            <w:pPr>
              <w:jc w:val="center"/>
              <w:rPr>
                <w:rFonts w:ascii="Arial" w:hAnsi="Arial" w:cs="Arial"/>
                <w:b/>
                <w:sz w:val="18"/>
                <w:szCs w:val="18"/>
              </w:rPr>
            </w:pPr>
            <w:r>
              <w:rPr>
                <w:rFonts w:ascii="Arial" w:hAnsi="Arial" w:cs="Arial"/>
                <w:b/>
                <w:sz w:val="18"/>
                <w:szCs w:val="18"/>
              </w:rPr>
              <w:t>100%</w:t>
            </w:r>
          </w:p>
        </w:tc>
        <w:tc>
          <w:tcPr>
            <w:tcW w:w="1276" w:type="dxa"/>
            <w:tcBorders>
              <w:top w:val="single" w:sz="4" w:space="0" w:color="auto"/>
              <w:bottom w:val="single" w:sz="4" w:space="0" w:color="auto"/>
            </w:tcBorders>
            <w:vAlign w:val="center"/>
          </w:tcPr>
          <w:p w14:paraId="609295EA" w14:textId="6C19FB08" w:rsidR="00326E79" w:rsidRPr="0014647F" w:rsidRDefault="008B5FEA" w:rsidP="00606E2A">
            <w:pPr>
              <w:jc w:val="right"/>
              <w:rPr>
                <w:rFonts w:ascii="Arial" w:hAnsi="Arial" w:cs="Arial"/>
                <w:b/>
                <w:sz w:val="18"/>
                <w:szCs w:val="18"/>
              </w:rPr>
            </w:pPr>
            <w:r>
              <w:rPr>
                <w:rFonts w:ascii="Arial" w:hAnsi="Arial" w:cs="Arial"/>
                <w:b/>
                <w:sz w:val="18"/>
                <w:szCs w:val="18"/>
              </w:rPr>
              <w:t>95.666.471</w:t>
            </w:r>
          </w:p>
        </w:tc>
        <w:tc>
          <w:tcPr>
            <w:tcW w:w="1417" w:type="dxa"/>
            <w:tcBorders>
              <w:top w:val="single" w:sz="4" w:space="0" w:color="auto"/>
              <w:bottom w:val="single" w:sz="4" w:space="0" w:color="auto"/>
            </w:tcBorders>
            <w:vAlign w:val="center"/>
          </w:tcPr>
          <w:p w14:paraId="728E21DF" w14:textId="3310CAEC" w:rsidR="00326E79" w:rsidRPr="0014647F" w:rsidRDefault="008B5FEA" w:rsidP="00606E2A">
            <w:pPr>
              <w:jc w:val="center"/>
              <w:rPr>
                <w:rFonts w:ascii="Arial" w:hAnsi="Arial" w:cs="Arial"/>
                <w:b/>
                <w:sz w:val="18"/>
                <w:szCs w:val="18"/>
              </w:rPr>
            </w:pPr>
            <w:r>
              <w:rPr>
                <w:rFonts w:ascii="Arial" w:hAnsi="Arial" w:cs="Arial"/>
                <w:b/>
                <w:sz w:val="18"/>
                <w:szCs w:val="18"/>
              </w:rPr>
              <w:t>100%</w:t>
            </w:r>
          </w:p>
        </w:tc>
      </w:tr>
      <w:bookmarkEnd w:id="41"/>
    </w:tbl>
    <w:p w14:paraId="10F0EA66" w14:textId="055D0E58" w:rsidR="00326E79" w:rsidRDefault="00326E79" w:rsidP="00276790">
      <w:pPr>
        <w:rPr>
          <w:sz w:val="20"/>
          <w:lang w:eastAsia="es-AR"/>
        </w:rPr>
      </w:pPr>
    </w:p>
    <w:p w14:paraId="5DFBFDCA" w14:textId="27441496" w:rsidR="00326E79" w:rsidRDefault="00326E79" w:rsidP="00276790">
      <w:pPr>
        <w:rPr>
          <w:sz w:val="20"/>
          <w:lang w:eastAsia="es-AR"/>
        </w:rPr>
      </w:pPr>
    </w:p>
    <w:p w14:paraId="2920DC9A" w14:textId="6CBBDBCE" w:rsidR="00326E79" w:rsidRDefault="00326E79" w:rsidP="00276790">
      <w:pPr>
        <w:rPr>
          <w:sz w:val="20"/>
          <w:lang w:eastAsia="es-AR"/>
        </w:rPr>
      </w:pPr>
    </w:p>
    <w:p w14:paraId="7DEC6232" w14:textId="77777777" w:rsidR="00326E79" w:rsidRPr="00701F32" w:rsidRDefault="00326E79" w:rsidP="00276790">
      <w:pPr>
        <w:rPr>
          <w:sz w:val="20"/>
          <w:lang w:eastAsia="es-AR"/>
        </w:rPr>
      </w:pPr>
    </w:p>
    <w:p w14:paraId="5434FFE6" w14:textId="1F4803C5" w:rsidR="007F3B18" w:rsidRPr="00701F32" w:rsidRDefault="007F3B18" w:rsidP="00276790">
      <w:pPr>
        <w:rPr>
          <w:rFonts w:ascii="Arial" w:hAnsi="Arial" w:cs="Arial"/>
          <w:szCs w:val="24"/>
        </w:rPr>
        <w:sectPr w:rsidR="007F3B18" w:rsidRPr="00701F32" w:rsidSect="002C6517">
          <w:headerReference w:type="default" r:id="rId32"/>
          <w:pgSz w:w="11907" w:h="16839" w:code="9"/>
          <w:pgMar w:top="1418" w:right="1701" w:bottom="1418" w:left="1701" w:header="567" w:footer="0" w:gutter="0"/>
          <w:cols w:space="708"/>
          <w:docGrid w:linePitch="360"/>
        </w:sectPr>
      </w:pPr>
    </w:p>
    <w:p w14:paraId="1049F572" w14:textId="676D6C53" w:rsidR="006F3DB5" w:rsidRPr="00701F32" w:rsidRDefault="000D4C17" w:rsidP="00B5057C">
      <w:pPr>
        <w:rPr>
          <w:sz w:val="20"/>
          <w:lang w:eastAsia="es-AR"/>
        </w:rPr>
      </w:pPr>
      <w:r w:rsidRPr="00701F32">
        <w:rPr>
          <w:sz w:val="20"/>
          <w:lang w:eastAsia="es-AR"/>
        </w:rPr>
        <w:t xml:space="preserve"> </w:t>
      </w:r>
    </w:p>
    <w:tbl>
      <w:tblPr>
        <w:tblStyle w:val="Tablaconcuadrcula"/>
        <w:tblW w:w="10185" w:type="dxa"/>
        <w:tblLayout w:type="fixed"/>
        <w:tblLook w:val="04A0" w:firstRow="1" w:lastRow="0" w:firstColumn="1" w:lastColumn="0" w:noHBand="0" w:noVBand="1"/>
      </w:tblPr>
      <w:tblGrid>
        <w:gridCol w:w="2235"/>
        <w:gridCol w:w="1146"/>
        <w:gridCol w:w="1276"/>
        <w:gridCol w:w="1134"/>
        <w:gridCol w:w="992"/>
        <w:gridCol w:w="1134"/>
        <w:gridCol w:w="1134"/>
        <w:gridCol w:w="1134"/>
      </w:tblGrid>
      <w:tr w:rsidR="00330471" w:rsidRPr="003A3E18" w14:paraId="201B1A36" w14:textId="77777777" w:rsidTr="006E1AF7">
        <w:tc>
          <w:tcPr>
            <w:tcW w:w="223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DEA494" w14:textId="77777777" w:rsidR="00B30A0B" w:rsidRPr="003A3E18" w:rsidRDefault="00B30A0B" w:rsidP="00AA40A5">
            <w:pPr>
              <w:jc w:val="center"/>
              <w:rPr>
                <w:rFonts w:ascii="Arial" w:hAnsi="Arial" w:cs="Arial"/>
                <w:b/>
                <w:sz w:val="18"/>
                <w:szCs w:val="18"/>
                <w:lang w:eastAsia="es-AR"/>
              </w:rPr>
            </w:pPr>
            <w:bookmarkStart w:id="42" w:name="_Hlk9948110"/>
            <w:r w:rsidRPr="003A3E18">
              <w:rPr>
                <w:rFonts w:ascii="Arial" w:hAnsi="Arial" w:cs="Arial"/>
                <w:b/>
                <w:sz w:val="18"/>
                <w:szCs w:val="18"/>
                <w:lang w:eastAsia="es-AR"/>
              </w:rPr>
              <w:t>Concepto</w:t>
            </w:r>
          </w:p>
        </w:tc>
        <w:tc>
          <w:tcPr>
            <w:tcW w:w="795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D7711B" w14:textId="74463FD0" w:rsidR="00B30A0B" w:rsidRPr="003A3E18" w:rsidRDefault="00B30A0B" w:rsidP="00B30A0B">
            <w:pPr>
              <w:jc w:val="center"/>
              <w:rPr>
                <w:rFonts w:ascii="Arial" w:hAnsi="Arial" w:cs="Arial"/>
                <w:b/>
                <w:sz w:val="18"/>
                <w:szCs w:val="18"/>
                <w:lang w:eastAsia="es-AR"/>
              </w:rPr>
            </w:pPr>
            <w:r w:rsidRPr="003A3E18">
              <w:rPr>
                <w:rFonts w:ascii="Arial" w:hAnsi="Arial" w:cs="Arial"/>
                <w:b/>
                <w:sz w:val="18"/>
                <w:szCs w:val="18"/>
                <w:lang w:eastAsia="es-AR"/>
              </w:rPr>
              <w:t>Plazos que restan para su vencimiento</w:t>
            </w:r>
          </w:p>
        </w:tc>
      </w:tr>
      <w:tr w:rsidR="00F71ED9" w:rsidRPr="003A3E18" w14:paraId="355DA941" w14:textId="77777777" w:rsidTr="00F71ED9">
        <w:tc>
          <w:tcPr>
            <w:tcW w:w="2235" w:type="dxa"/>
            <w:vMerge/>
            <w:tcBorders>
              <w:top w:val="single" w:sz="4" w:space="0" w:color="auto"/>
              <w:bottom w:val="single" w:sz="4" w:space="0" w:color="auto"/>
            </w:tcBorders>
            <w:shd w:val="clear" w:color="auto" w:fill="BFBFBF" w:themeFill="background1" w:themeFillShade="BF"/>
            <w:vAlign w:val="center"/>
          </w:tcPr>
          <w:p w14:paraId="4AC957C4" w14:textId="77777777" w:rsidR="00B30A0B" w:rsidRPr="003A3E18" w:rsidRDefault="00B30A0B" w:rsidP="00AA40A5">
            <w:pPr>
              <w:jc w:val="center"/>
              <w:rPr>
                <w:rFonts w:ascii="Arial" w:hAnsi="Arial" w:cs="Arial"/>
                <w:b/>
                <w:sz w:val="18"/>
                <w:szCs w:val="18"/>
                <w:lang w:eastAsia="es-AR"/>
              </w:rPr>
            </w:pPr>
          </w:p>
        </w:tc>
        <w:tc>
          <w:tcPr>
            <w:tcW w:w="1146" w:type="dxa"/>
            <w:tcBorders>
              <w:top w:val="single" w:sz="4" w:space="0" w:color="auto"/>
              <w:bottom w:val="single" w:sz="4" w:space="0" w:color="auto"/>
            </w:tcBorders>
            <w:shd w:val="clear" w:color="auto" w:fill="BFBFBF" w:themeFill="background1" w:themeFillShade="BF"/>
            <w:vAlign w:val="center"/>
          </w:tcPr>
          <w:p w14:paraId="06C37DCC" w14:textId="77777777" w:rsidR="00B30A0B" w:rsidRDefault="00B30A0B">
            <w:pPr>
              <w:jc w:val="center"/>
              <w:rPr>
                <w:rFonts w:ascii="Arial" w:hAnsi="Arial" w:cs="Arial"/>
                <w:b/>
                <w:sz w:val="18"/>
                <w:szCs w:val="18"/>
                <w:lang w:eastAsia="es-AR"/>
              </w:rPr>
            </w:pPr>
            <w:r w:rsidRPr="003A3E18">
              <w:rPr>
                <w:rFonts w:ascii="Arial" w:hAnsi="Arial" w:cs="Arial"/>
                <w:b/>
                <w:sz w:val="18"/>
                <w:szCs w:val="18"/>
                <w:lang w:eastAsia="es-AR"/>
              </w:rPr>
              <w:t>1</w:t>
            </w:r>
          </w:p>
          <w:p w14:paraId="14BDB542" w14:textId="65F22BCE" w:rsidR="00B30A0B" w:rsidRPr="003A3E18" w:rsidRDefault="00B30A0B">
            <w:pPr>
              <w:jc w:val="center"/>
              <w:rPr>
                <w:rFonts w:ascii="Arial" w:hAnsi="Arial" w:cs="Arial"/>
                <w:b/>
                <w:sz w:val="18"/>
                <w:szCs w:val="18"/>
                <w:lang w:eastAsia="es-AR"/>
              </w:rPr>
            </w:pPr>
            <w:r w:rsidRPr="003A3E18">
              <w:rPr>
                <w:rFonts w:ascii="Arial" w:hAnsi="Arial" w:cs="Arial"/>
                <w:b/>
                <w:sz w:val="18"/>
                <w:szCs w:val="18"/>
                <w:lang w:eastAsia="es-AR"/>
              </w:rPr>
              <w:t>mes</w:t>
            </w:r>
          </w:p>
        </w:tc>
        <w:tc>
          <w:tcPr>
            <w:tcW w:w="1276" w:type="dxa"/>
            <w:tcBorders>
              <w:top w:val="single" w:sz="4" w:space="0" w:color="auto"/>
              <w:bottom w:val="single" w:sz="4" w:space="0" w:color="auto"/>
            </w:tcBorders>
            <w:shd w:val="clear" w:color="auto" w:fill="BFBFBF" w:themeFill="background1" w:themeFillShade="BF"/>
            <w:vAlign w:val="center"/>
          </w:tcPr>
          <w:p w14:paraId="4CDF56A7" w14:textId="16875BCD" w:rsidR="00B30A0B" w:rsidRDefault="00B30A0B" w:rsidP="006E1AF7">
            <w:pPr>
              <w:ind w:right="-210"/>
              <w:jc w:val="center"/>
              <w:rPr>
                <w:rFonts w:ascii="Arial" w:hAnsi="Arial" w:cs="Arial"/>
                <w:b/>
                <w:sz w:val="18"/>
                <w:szCs w:val="18"/>
                <w:lang w:eastAsia="es-AR"/>
              </w:rPr>
            </w:pPr>
            <w:r w:rsidRPr="003A3E18">
              <w:rPr>
                <w:rFonts w:ascii="Arial" w:hAnsi="Arial" w:cs="Arial"/>
                <w:b/>
                <w:sz w:val="18"/>
                <w:szCs w:val="18"/>
                <w:lang w:eastAsia="es-AR"/>
              </w:rPr>
              <w:t>3</w:t>
            </w:r>
          </w:p>
          <w:p w14:paraId="2F0C2EEB" w14:textId="61D97268" w:rsidR="00B30A0B" w:rsidRPr="003A3E18" w:rsidRDefault="00B30A0B" w:rsidP="006E1AF7">
            <w:pPr>
              <w:ind w:right="-210"/>
              <w:jc w:val="center"/>
              <w:rPr>
                <w:rFonts w:ascii="Arial" w:hAnsi="Arial" w:cs="Arial"/>
                <w:b/>
                <w:sz w:val="18"/>
                <w:szCs w:val="18"/>
                <w:lang w:eastAsia="es-AR"/>
              </w:rPr>
            </w:pPr>
            <w:r w:rsidRPr="003A3E18">
              <w:rPr>
                <w:rFonts w:ascii="Arial" w:hAnsi="Arial" w:cs="Arial"/>
                <w:b/>
                <w:sz w:val="18"/>
                <w:szCs w:val="18"/>
                <w:lang w:eastAsia="es-AR"/>
              </w:rPr>
              <w:t>meses</w:t>
            </w:r>
          </w:p>
        </w:tc>
        <w:tc>
          <w:tcPr>
            <w:tcW w:w="1134" w:type="dxa"/>
            <w:tcBorders>
              <w:top w:val="single" w:sz="4" w:space="0" w:color="auto"/>
              <w:bottom w:val="single" w:sz="4" w:space="0" w:color="auto"/>
            </w:tcBorders>
            <w:shd w:val="clear" w:color="auto" w:fill="BFBFBF" w:themeFill="background1" w:themeFillShade="BF"/>
            <w:vAlign w:val="center"/>
          </w:tcPr>
          <w:p w14:paraId="0170B695" w14:textId="6E06DCB1" w:rsidR="00B30A0B" w:rsidRDefault="00B30A0B">
            <w:pPr>
              <w:jc w:val="center"/>
              <w:rPr>
                <w:rFonts w:ascii="Arial" w:hAnsi="Arial" w:cs="Arial"/>
                <w:b/>
                <w:sz w:val="18"/>
                <w:szCs w:val="18"/>
                <w:lang w:eastAsia="es-AR"/>
              </w:rPr>
            </w:pPr>
            <w:r w:rsidRPr="003A3E18">
              <w:rPr>
                <w:rFonts w:ascii="Arial" w:hAnsi="Arial" w:cs="Arial"/>
                <w:b/>
                <w:sz w:val="18"/>
                <w:szCs w:val="18"/>
                <w:lang w:eastAsia="es-AR"/>
              </w:rPr>
              <w:t>6</w:t>
            </w:r>
          </w:p>
          <w:p w14:paraId="5C1910FF" w14:textId="5B0A09BE" w:rsidR="00B30A0B" w:rsidRPr="003A3E18" w:rsidRDefault="00FC7945">
            <w:pPr>
              <w:jc w:val="center"/>
              <w:rPr>
                <w:rFonts w:ascii="Arial" w:hAnsi="Arial" w:cs="Arial"/>
                <w:b/>
                <w:sz w:val="18"/>
                <w:szCs w:val="18"/>
                <w:lang w:eastAsia="es-AR"/>
              </w:rPr>
            </w:pPr>
            <w:r w:rsidRPr="003A3E18">
              <w:rPr>
                <w:rFonts w:ascii="Arial" w:hAnsi="Arial" w:cs="Arial"/>
                <w:b/>
                <w:sz w:val="18"/>
                <w:szCs w:val="18"/>
                <w:lang w:eastAsia="es-AR"/>
              </w:rPr>
              <w:t>M</w:t>
            </w:r>
            <w:r w:rsidR="00B30A0B" w:rsidRPr="003A3E18">
              <w:rPr>
                <w:rFonts w:ascii="Arial" w:hAnsi="Arial" w:cs="Arial"/>
                <w:b/>
                <w:sz w:val="18"/>
                <w:szCs w:val="18"/>
                <w:lang w:eastAsia="es-AR"/>
              </w:rPr>
              <w:t>eses</w:t>
            </w:r>
          </w:p>
        </w:tc>
        <w:tc>
          <w:tcPr>
            <w:tcW w:w="992" w:type="dxa"/>
            <w:tcBorders>
              <w:top w:val="single" w:sz="4" w:space="0" w:color="auto"/>
              <w:bottom w:val="single" w:sz="4" w:space="0" w:color="auto"/>
            </w:tcBorders>
            <w:shd w:val="clear" w:color="auto" w:fill="BFBFBF" w:themeFill="background1" w:themeFillShade="BF"/>
            <w:vAlign w:val="center"/>
          </w:tcPr>
          <w:p w14:paraId="48AE008C" w14:textId="77777777" w:rsidR="00B30A0B" w:rsidRPr="003A3E18" w:rsidRDefault="00B30A0B">
            <w:pPr>
              <w:jc w:val="center"/>
              <w:rPr>
                <w:rFonts w:ascii="Arial" w:hAnsi="Arial" w:cs="Arial"/>
                <w:b/>
                <w:sz w:val="18"/>
                <w:szCs w:val="18"/>
                <w:lang w:eastAsia="es-AR"/>
              </w:rPr>
            </w:pPr>
            <w:r w:rsidRPr="003A3E18">
              <w:rPr>
                <w:rFonts w:ascii="Arial" w:hAnsi="Arial" w:cs="Arial"/>
                <w:b/>
                <w:sz w:val="18"/>
                <w:szCs w:val="18"/>
                <w:lang w:eastAsia="es-AR"/>
              </w:rPr>
              <w:t>12 meses</w:t>
            </w:r>
          </w:p>
        </w:tc>
        <w:tc>
          <w:tcPr>
            <w:tcW w:w="1134" w:type="dxa"/>
            <w:tcBorders>
              <w:top w:val="single" w:sz="4" w:space="0" w:color="auto"/>
              <w:bottom w:val="single" w:sz="4" w:space="0" w:color="auto"/>
            </w:tcBorders>
            <w:shd w:val="clear" w:color="auto" w:fill="BFBFBF" w:themeFill="background1" w:themeFillShade="BF"/>
            <w:vAlign w:val="center"/>
          </w:tcPr>
          <w:p w14:paraId="5657CE1B" w14:textId="77777777" w:rsidR="00B30A0B" w:rsidRPr="003A3E18" w:rsidRDefault="00B30A0B">
            <w:pPr>
              <w:jc w:val="center"/>
              <w:rPr>
                <w:rFonts w:ascii="Arial" w:hAnsi="Arial" w:cs="Arial"/>
                <w:b/>
                <w:sz w:val="18"/>
                <w:szCs w:val="18"/>
                <w:lang w:eastAsia="es-AR"/>
              </w:rPr>
            </w:pPr>
            <w:r w:rsidRPr="003A3E18">
              <w:rPr>
                <w:rFonts w:ascii="Arial" w:hAnsi="Arial" w:cs="Arial"/>
                <w:b/>
                <w:sz w:val="18"/>
                <w:szCs w:val="18"/>
                <w:lang w:eastAsia="es-AR"/>
              </w:rPr>
              <w:t>24 meses</w:t>
            </w:r>
          </w:p>
        </w:tc>
        <w:tc>
          <w:tcPr>
            <w:tcW w:w="1134" w:type="dxa"/>
            <w:tcBorders>
              <w:top w:val="single" w:sz="4" w:space="0" w:color="auto"/>
              <w:bottom w:val="single" w:sz="4" w:space="0" w:color="auto"/>
            </w:tcBorders>
            <w:shd w:val="clear" w:color="auto" w:fill="BFBFBF" w:themeFill="background1" w:themeFillShade="BF"/>
            <w:vAlign w:val="center"/>
          </w:tcPr>
          <w:p w14:paraId="018AB416" w14:textId="77777777" w:rsidR="00B30A0B" w:rsidRPr="003A3E18" w:rsidRDefault="00B30A0B">
            <w:pPr>
              <w:jc w:val="center"/>
              <w:rPr>
                <w:rFonts w:ascii="Arial" w:hAnsi="Arial" w:cs="Arial"/>
                <w:b/>
                <w:sz w:val="18"/>
                <w:szCs w:val="18"/>
                <w:lang w:eastAsia="es-AR"/>
              </w:rPr>
            </w:pPr>
            <w:r w:rsidRPr="003A3E18">
              <w:rPr>
                <w:rFonts w:ascii="Arial" w:hAnsi="Arial" w:cs="Arial"/>
                <w:b/>
                <w:sz w:val="18"/>
                <w:szCs w:val="18"/>
                <w:lang w:eastAsia="es-AR"/>
              </w:rPr>
              <w:t>Mas de 24 meses</w:t>
            </w:r>
          </w:p>
        </w:tc>
        <w:tc>
          <w:tcPr>
            <w:tcW w:w="1134" w:type="dxa"/>
            <w:tcBorders>
              <w:top w:val="single" w:sz="4" w:space="0" w:color="auto"/>
              <w:bottom w:val="single" w:sz="4" w:space="0" w:color="auto"/>
            </w:tcBorders>
            <w:shd w:val="clear" w:color="auto" w:fill="BFBFBF" w:themeFill="background1" w:themeFillShade="BF"/>
            <w:vAlign w:val="center"/>
          </w:tcPr>
          <w:p w14:paraId="412B4E0A" w14:textId="74D35B37" w:rsidR="00B30A0B" w:rsidRPr="003A3E18" w:rsidRDefault="00B30A0B">
            <w:pPr>
              <w:jc w:val="center"/>
              <w:rPr>
                <w:rFonts w:ascii="Arial" w:hAnsi="Arial" w:cs="Arial"/>
                <w:b/>
                <w:sz w:val="18"/>
                <w:szCs w:val="18"/>
                <w:lang w:eastAsia="es-AR"/>
              </w:rPr>
            </w:pPr>
            <w:r w:rsidRPr="00B30A0B">
              <w:rPr>
                <w:rFonts w:ascii="Arial" w:hAnsi="Arial" w:cs="Arial"/>
                <w:b/>
                <w:sz w:val="18"/>
                <w:szCs w:val="18"/>
                <w:lang w:eastAsia="es-AR"/>
              </w:rPr>
              <w:t>Total</w:t>
            </w:r>
          </w:p>
        </w:tc>
      </w:tr>
      <w:tr w:rsidR="00F71ED9" w:rsidRPr="00326E79" w14:paraId="0B590378" w14:textId="77777777" w:rsidTr="006E1AF7">
        <w:tc>
          <w:tcPr>
            <w:tcW w:w="2235" w:type="dxa"/>
            <w:tcBorders>
              <w:top w:val="single" w:sz="4" w:space="0" w:color="auto"/>
              <w:left w:val="nil"/>
              <w:bottom w:val="nil"/>
              <w:right w:val="nil"/>
            </w:tcBorders>
          </w:tcPr>
          <w:p w14:paraId="6532FCD3" w14:textId="77777777" w:rsidR="00B30A0B" w:rsidRPr="00326E79" w:rsidRDefault="00B30A0B" w:rsidP="00AA40A5">
            <w:pPr>
              <w:rPr>
                <w:rFonts w:ascii="Arial" w:hAnsi="Arial" w:cs="Arial"/>
                <w:sz w:val="16"/>
                <w:szCs w:val="18"/>
                <w:lang w:eastAsia="es-AR"/>
              </w:rPr>
            </w:pPr>
          </w:p>
        </w:tc>
        <w:tc>
          <w:tcPr>
            <w:tcW w:w="1146" w:type="dxa"/>
            <w:tcBorders>
              <w:top w:val="single" w:sz="4" w:space="0" w:color="auto"/>
              <w:left w:val="nil"/>
              <w:bottom w:val="nil"/>
              <w:right w:val="nil"/>
            </w:tcBorders>
          </w:tcPr>
          <w:p w14:paraId="352A7968" w14:textId="77777777" w:rsidR="00B30A0B" w:rsidRPr="00326E79" w:rsidRDefault="00B30A0B" w:rsidP="00AA40A5">
            <w:pPr>
              <w:rPr>
                <w:rFonts w:ascii="Arial" w:hAnsi="Arial" w:cs="Arial"/>
                <w:sz w:val="16"/>
                <w:szCs w:val="18"/>
                <w:lang w:eastAsia="es-AR"/>
              </w:rPr>
            </w:pPr>
          </w:p>
        </w:tc>
        <w:tc>
          <w:tcPr>
            <w:tcW w:w="1276" w:type="dxa"/>
            <w:tcBorders>
              <w:top w:val="single" w:sz="4" w:space="0" w:color="auto"/>
              <w:left w:val="nil"/>
              <w:bottom w:val="nil"/>
              <w:right w:val="nil"/>
            </w:tcBorders>
          </w:tcPr>
          <w:p w14:paraId="39805B08" w14:textId="77777777" w:rsidR="00B30A0B" w:rsidRPr="00326E79" w:rsidRDefault="00B30A0B" w:rsidP="00AA40A5">
            <w:pPr>
              <w:rPr>
                <w:rFonts w:ascii="Arial" w:hAnsi="Arial" w:cs="Arial"/>
                <w:sz w:val="16"/>
                <w:szCs w:val="18"/>
                <w:lang w:eastAsia="es-AR"/>
              </w:rPr>
            </w:pPr>
          </w:p>
        </w:tc>
        <w:tc>
          <w:tcPr>
            <w:tcW w:w="1134" w:type="dxa"/>
            <w:tcBorders>
              <w:top w:val="single" w:sz="4" w:space="0" w:color="auto"/>
              <w:left w:val="nil"/>
              <w:bottom w:val="nil"/>
              <w:right w:val="nil"/>
            </w:tcBorders>
          </w:tcPr>
          <w:p w14:paraId="0C3109FE" w14:textId="77777777" w:rsidR="00B30A0B" w:rsidRPr="00326E79" w:rsidRDefault="00B30A0B" w:rsidP="00AA40A5">
            <w:pPr>
              <w:rPr>
                <w:rFonts w:ascii="Arial" w:hAnsi="Arial" w:cs="Arial"/>
                <w:sz w:val="16"/>
                <w:szCs w:val="18"/>
                <w:lang w:eastAsia="es-AR"/>
              </w:rPr>
            </w:pPr>
          </w:p>
        </w:tc>
        <w:tc>
          <w:tcPr>
            <w:tcW w:w="992" w:type="dxa"/>
            <w:tcBorders>
              <w:top w:val="single" w:sz="4" w:space="0" w:color="auto"/>
              <w:left w:val="nil"/>
              <w:bottom w:val="nil"/>
              <w:right w:val="nil"/>
            </w:tcBorders>
          </w:tcPr>
          <w:p w14:paraId="5058FEB5" w14:textId="77777777" w:rsidR="00B30A0B" w:rsidRPr="00326E79" w:rsidRDefault="00B30A0B" w:rsidP="00AA40A5">
            <w:pPr>
              <w:rPr>
                <w:rFonts w:ascii="Arial" w:hAnsi="Arial" w:cs="Arial"/>
                <w:sz w:val="16"/>
                <w:szCs w:val="18"/>
                <w:lang w:eastAsia="es-AR"/>
              </w:rPr>
            </w:pPr>
          </w:p>
        </w:tc>
        <w:tc>
          <w:tcPr>
            <w:tcW w:w="1134" w:type="dxa"/>
            <w:tcBorders>
              <w:top w:val="single" w:sz="4" w:space="0" w:color="auto"/>
              <w:left w:val="nil"/>
              <w:bottom w:val="nil"/>
              <w:right w:val="nil"/>
            </w:tcBorders>
          </w:tcPr>
          <w:p w14:paraId="013050C1" w14:textId="77777777" w:rsidR="00B30A0B" w:rsidRPr="00326E79" w:rsidRDefault="00B30A0B" w:rsidP="00AA40A5">
            <w:pPr>
              <w:rPr>
                <w:rFonts w:ascii="Arial" w:hAnsi="Arial" w:cs="Arial"/>
                <w:sz w:val="16"/>
                <w:szCs w:val="18"/>
                <w:lang w:eastAsia="es-AR"/>
              </w:rPr>
            </w:pPr>
          </w:p>
        </w:tc>
        <w:tc>
          <w:tcPr>
            <w:tcW w:w="1134" w:type="dxa"/>
            <w:tcBorders>
              <w:top w:val="single" w:sz="4" w:space="0" w:color="auto"/>
              <w:left w:val="nil"/>
              <w:bottom w:val="nil"/>
              <w:right w:val="nil"/>
            </w:tcBorders>
          </w:tcPr>
          <w:p w14:paraId="3596BE47" w14:textId="77777777" w:rsidR="00B30A0B" w:rsidRPr="00326E79" w:rsidRDefault="00B30A0B" w:rsidP="00AA40A5">
            <w:pPr>
              <w:rPr>
                <w:rFonts w:ascii="Arial" w:hAnsi="Arial" w:cs="Arial"/>
                <w:sz w:val="16"/>
                <w:szCs w:val="18"/>
                <w:lang w:eastAsia="es-AR"/>
              </w:rPr>
            </w:pPr>
          </w:p>
        </w:tc>
        <w:tc>
          <w:tcPr>
            <w:tcW w:w="1134" w:type="dxa"/>
            <w:tcBorders>
              <w:top w:val="single" w:sz="4" w:space="0" w:color="auto"/>
              <w:left w:val="nil"/>
              <w:bottom w:val="nil"/>
              <w:right w:val="nil"/>
            </w:tcBorders>
          </w:tcPr>
          <w:p w14:paraId="730E6C2E" w14:textId="77777777" w:rsidR="00B30A0B" w:rsidRPr="00326E79" w:rsidRDefault="00B30A0B" w:rsidP="00AA40A5">
            <w:pPr>
              <w:rPr>
                <w:rFonts w:ascii="Arial" w:hAnsi="Arial" w:cs="Arial"/>
                <w:sz w:val="16"/>
                <w:szCs w:val="18"/>
                <w:lang w:eastAsia="es-AR"/>
              </w:rPr>
            </w:pPr>
          </w:p>
        </w:tc>
      </w:tr>
      <w:tr w:rsidR="00F71ED9" w:rsidRPr="00326E79" w14:paraId="497DD318" w14:textId="77777777" w:rsidTr="006E1AF7">
        <w:tc>
          <w:tcPr>
            <w:tcW w:w="2235" w:type="dxa"/>
            <w:tcBorders>
              <w:top w:val="nil"/>
              <w:left w:val="nil"/>
              <w:bottom w:val="nil"/>
              <w:right w:val="nil"/>
            </w:tcBorders>
            <w:vAlign w:val="bottom"/>
          </w:tcPr>
          <w:p w14:paraId="5F63CB97" w14:textId="0CCC62ED" w:rsidR="00B30A0B" w:rsidRPr="001A10B5" w:rsidRDefault="00B30A0B" w:rsidP="00B30A0B">
            <w:pPr>
              <w:rPr>
                <w:rFonts w:ascii="Arial" w:hAnsi="Arial" w:cs="Arial"/>
                <w:b/>
                <w:sz w:val="16"/>
                <w:szCs w:val="16"/>
                <w:lang w:eastAsia="es-AR"/>
              </w:rPr>
            </w:pPr>
            <w:r w:rsidRPr="00066653">
              <w:rPr>
                <w:rFonts w:ascii="Arial" w:hAnsi="Arial" w:cs="Arial"/>
                <w:b/>
                <w:sz w:val="16"/>
                <w:szCs w:val="16"/>
                <w:lang w:eastAsia="es-AR"/>
              </w:rPr>
              <w:t>Depósitos</w:t>
            </w:r>
          </w:p>
        </w:tc>
        <w:tc>
          <w:tcPr>
            <w:tcW w:w="1146" w:type="dxa"/>
            <w:tcBorders>
              <w:top w:val="nil"/>
              <w:left w:val="nil"/>
              <w:bottom w:val="nil"/>
              <w:right w:val="nil"/>
            </w:tcBorders>
            <w:vAlign w:val="bottom"/>
          </w:tcPr>
          <w:p w14:paraId="44D5B703" w14:textId="020FB6E1" w:rsidR="00B30A0B" w:rsidRPr="004708CB" w:rsidRDefault="00B30A0B" w:rsidP="00B30A0B">
            <w:pPr>
              <w:rPr>
                <w:rFonts w:ascii="Arial" w:hAnsi="Arial" w:cs="Arial"/>
                <w:sz w:val="16"/>
                <w:szCs w:val="16"/>
                <w:lang w:eastAsia="es-AR"/>
              </w:rPr>
            </w:pPr>
          </w:p>
        </w:tc>
        <w:tc>
          <w:tcPr>
            <w:tcW w:w="1276" w:type="dxa"/>
            <w:tcBorders>
              <w:top w:val="nil"/>
              <w:left w:val="nil"/>
              <w:bottom w:val="nil"/>
              <w:right w:val="nil"/>
            </w:tcBorders>
            <w:vAlign w:val="bottom"/>
          </w:tcPr>
          <w:p w14:paraId="55DAD9B0" w14:textId="77777777" w:rsidR="00B30A0B" w:rsidRPr="00F77F7F" w:rsidRDefault="00B30A0B" w:rsidP="00B30A0B">
            <w:pPr>
              <w:rPr>
                <w:rFonts w:ascii="Arial" w:hAnsi="Arial" w:cs="Arial"/>
                <w:sz w:val="16"/>
                <w:szCs w:val="16"/>
                <w:lang w:eastAsia="es-AR"/>
              </w:rPr>
            </w:pPr>
          </w:p>
        </w:tc>
        <w:tc>
          <w:tcPr>
            <w:tcW w:w="1134" w:type="dxa"/>
            <w:tcBorders>
              <w:top w:val="nil"/>
              <w:left w:val="nil"/>
              <w:bottom w:val="nil"/>
              <w:right w:val="nil"/>
            </w:tcBorders>
            <w:vAlign w:val="bottom"/>
          </w:tcPr>
          <w:p w14:paraId="47DE087B" w14:textId="77777777" w:rsidR="00B30A0B" w:rsidRPr="0012241E" w:rsidRDefault="00B30A0B" w:rsidP="00B30A0B">
            <w:pPr>
              <w:rPr>
                <w:rFonts w:ascii="Arial" w:hAnsi="Arial" w:cs="Arial"/>
                <w:sz w:val="16"/>
                <w:szCs w:val="16"/>
                <w:lang w:eastAsia="es-AR"/>
              </w:rPr>
            </w:pPr>
          </w:p>
        </w:tc>
        <w:tc>
          <w:tcPr>
            <w:tcW w:w="992" w:type="dxa"/>
            <w:tcBorders>
              <w:top w:val="nil"/>
              <w:left w:val="nil"/>
              <w:bottom w:val="nil"/>
              <w:right w:val="nil"/>
            </w:tcBorders>
            <w:vAlign w:val="bottom"/>
          </w:tcPr>
          <w:p w14:paraId="2BF844D4" w14:textId="77777777" w:rsidR="00B30A0B" w:rsidRPr="00B85009" w:rsidRDefault="00B30A0B" w:rsidP="00B30A0B">
            <w:pPr>
              <w:rPr>
                <w:rFonts w:ascii="Arial" w:hAnsi="Arial" w:cs="Arial"/>
                <w:sz w:val="16"/>
                <w:szCs w:val="16"/>
                <w:lang w:eastAsia="es-AR"/>
              </w:rPr>
            </w:pPr>
          </w:p>
        </w:tc>
        <w:tc>
          <w:tcPr>
            <w:tcW w:w="1134" w:type="dxa"/>
            <w:tcBorders>
              <w:top w:val="nil"/>
              <w:left w:val="nil"/>
              <w:bottom w:val="nil"/>
              <w:right w:val="nil"/>
            </w:tcBorders>
            <w:vAlign w:val="bottom"/>
          </w:tcPr>
          <w:p w14:paraId="6E75534D" w14:textId="77777777" w:rsidR="00B30A0B" w:rsidRPr="00EC10A9" w:rsidRDefault="00B30A0B" w:rsidP="00B30A0B">
            <w:pPr>
              <w:rPr>
                <w:rFonts w:ascii="Arial" w:hAnsi="Arial" w:cs="Arial"/>
                <w:sz w:val="16"/>
                <w:szCs w:val="16"/>
                <w:lang w:eastAsia="es-AR"/>
              </w:rPr>
            </w:pPr>
          </w:p>
        </w:tc>
        <w:tc>
          <w:tcPr>
            <w:tcW w:w="1134" w:type="dxa"/>
            <w:tcBorders>
              <w:top w:val="nil"/>
              <w:left w:val="nil"/>
              <w:bottom w:val="nil"/>
              <w:right w:val="nil"/>
            </w:tcBorders>
            <w:vAlign w:val="bottom"/>
          </w:tcPr>
          <w:p w14:paraId="2609AC75" w14:textId="77777777" w:rsidR="00B30A0B" w:rsidRPr="003D4ED0" w:rsidRDefault="00B30A0B" w:rsidP="00B30A0B">
            <w:pPr>
              <w:rPr>
                <w:rFonts w:ascii="Arial" w:hAnsi="Arial" w:cs="Arial"/>
                <w:sz w:val="16"/>
                <w:szCs w:val="16"/>
                <w:lang w:eastAsia="es-AR"/>
              </w:rPr>
            </w:pPr>
          </w:p>
        </w:tc>
        <w:tc>
          <w:tcPr>
            <w:tcW w:w="1134" w:type="dxa"/>
            <w:tcBorders>
              <w:top w:val="nil"/>
              <w:left w:val="nil"/>
              <w:bottom w:val="nil"/>
              <w:right w:val="nil"/>
            </w:tcBorders>
            <w:vAlign w:val="bottom"/>
          </w:tcPr>
          <w:p w14:paraId="5C29C52A" w14:textId="77777777" w:rsidR="00B30A0B" w:rsidRPr="00066653" w:rsidRDefault="00B30A0B" w:rsidP="00B30A0B">
            <w:pPr>
              <w:rPr>
                <w:rFonts w:ascii="Arial" w:hAnsi="Arial" w:cs="Arial"/>
                <w:sz w:val="16"/>
                <w:szCs w:val="16"/>
                <w:lang w:eastAsia="es-AR"/>
              </w:rPr>
            </w:pPr>
          </w:p>
        </w:tc>
      </w:tr>
      <w:tr w:rsidR="00F71ED9" w:rsidRPr="00326E79" w14:paraId="1F6343AA" w14:textId="77777777" w:rsidTr="006E1AF7">
        <w:tc>
          <w:tcPr>
            <w:tcW w:w="2235" w:type="dxa"/>
            <w:tcBorders>
              <w:top w:val="nil"/>
              <w:left w:val="nil"/>
              <w:bottom w:val="nil"/>
              <w:right w:val="nil"/>
            </w:tcBorders>
            <w:vAlign w:val="bottom"/>
          </w:tcPr>
          <w:p w14:paraId="70E6D5A7" w14:textId="77777777" w:rsidR="00B30A0B" w:rsidRPr="001A10B5" w:rsidRDefault="00B30A0B" w:rsidP="00B30A0B">
            <w:pPr>
              <w:rPr>
                <w:rFonts w:ascii="Arial" w:hAnsi="Arial" w:cs="Arial"/>
                <w:sz w:val="16"/>
                <w:szCs w:val="16"/>
                <w:lang w:eastAsia="es-AR"/>
              </w:rPr>
            </w:pPr>
            <w:r w:rsidRPr="001A10B5">
              <w:rPr>
                <w:rFonts w:ascii="Arial" w:hAnsi="Arial" w:cs="Arial"/>
                <w:sz w:val="16"/>
                <w:szCs w:val="16"/>
                <w:lang w:eastAsia="es-AR"/>
              </w:rPr>
              <w:t>Sector Público no financiero</w:t>
            </w:r>
          </w:p>
        </w:tc>
        <w:tc>
          <w:tcPr>
            <w:tcW w:w="1146" w:type="dxa"/>
            <w:tcBorders>
              <w:top w:val="nil"/>
              <w:left w:val="nil"/>
              <w:bottom w:val="nil"/>
              <w:right w:val="nil"/>
            </w:tcBorders>
            <w:vAlign w:val="bottom"/>
          </w:tcPr>
          <w:p w14:paraId="15E5646B" w14:textId="5BB27109" w:rsidR="00B30A0B" w:rsidRPr="004708CB" w:rsidRDefault="00AF1BF5">
            <w:pPr>
              <w:jc w:val="right"/>
              <w:rPr>
                <w:rFonts w:ascii="Arial" w:hAnsi="Arial" w:cs="Arial"/>
                <w:sz w:val="16"/>
                <w:szCs w:val="16"/>
                <w:lang w:eastAsia="es-AR"/>
              </w:rPr>
            </w:pPr>
            <w:r>
              <w:rPr>
                <w:rFonts w:ascii="Arial" w:hAnsi="Arial" w:cs="Arial"/>
                <w:sz w:val="16"/>
                <w:szCs w:val="16"/>
                <w:lang w:eastAsia="es-AR"/>
              </w:rPr>
              <w:t>4.991.453</w:t>
            </w:r>
          </w:p>
        </w:tc>
        <w:tc>
          <w:tcPr>
            <w:tcW w:w="1276" w:type="dxa"/>
            <w:tcBorders>
              <w:top w:val="nil"/>
              <w:left w:val="nil"/>
              <w:bottom w:val="nil"/>
              <w:right w:val="nil"/>
            </w:tcBorders>
            <w:vAlign w:val="bottom"/>
          </w:tcPr>
          <w:p w14:paraId="1C4A13DF" w14:textId="3B683BCA" w:rsidR="00B30A0B" w:rsidRPr="0012241E" w:rsidRDefault="00AF1BF5">
            <w:pPr>
              <w:jc w:val="right"/>
              <w:rPr>
                <w:rFonts w:ascii="Arial" w:hAnsi="Arial" w:cs="Arial"/>
                <w:sz w:val="16"/>
                <w:szCs w:val="16"/>
                <w:lang w:eastAsia="es-AR"/>
              </w:rPr>
            </w:pPr>
            <w:r>
              <w:rPr>
                <w:rFonts w:ascii="Arial" w:hAnsi="Arial" w:cs="Arial"/>
                <w:sz w:val="16"/>
                <w:szCs w:val="16"/>
                <w:lang w:eastAsia="es-AR"/>
              </w:rPr>
              <w:t>505.296</w:t>
            </w:r>
          </w:p>
        </w:tc>
        <w:tc>
          <w:tcPr>
            <w:tcW w:w="1134" w:type="dxa"/>
            <w:tcBorders>
              <w:top w:val="nil"/>
              <w:left w:val="nil"/>
              <w:bottom w:val="nil"/>
              <w:right w:val="nil"/>
            </w:tcBorders>
            <w:vAlign w:val="bottom"/>
          </w:tcPr>
          <w:p w14:paraId="60E911ED" w14:textId="254766F1" w:rsidR="00B30A0B" w:rsidRPr="00EC10A9" w:rsidRDefault="00AF1BF5">
            <w:pPr>
              <w:jc w:val="right"/>
              <w:rPr>
                <w:rFonts w:ascii="Arial" w:hAnsi="Arial" w:cs="Arial"/>
                <w:sz w:val="16"/>
                <w:szCs w:val="16"/>
                <w:lang w:eastAsia="es-AR"/>
              </w:rPr>
            </w:pPr>
            <w:r>
              <w:rPr>
                <w:rFonts w:ascii="Arial" w:hAnsi="Arial" w:cs="Arial"/>
                <w:sz w:val="16"/>
                <w:szCs w:val="16"/>
                <w:lang w:eastAsia="es-AR"/>
              </w:rPr>
              <w:t>17.116</w:t>
            </w:r>
          </w:p>
        </w:tc>
        <w:tc>
          <w:tcPr>
            <w:tcW w:w="992" w:type="dxa"/>
            <w:tcBorders>
              <w:top w:val="nil"/>
              <w:left w:val="nil"/>
              <w:bottom w:val="nil"/>
              <w:right w:val="nil"/>
            </w:tcBorders>
            <w:vAlign w:val="bottom"/>
          </w:tcPr>
          <w:p w14:paraId="6861889D" w14:textId="3F44F80E" w:rsidR="00B30A0B"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00C2CEDF" w14:textId="53ECF605" w:rsidR="00B30A0B"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4C8700B3" w14:textId="44A6FBDA" w:rsidR="00B30A0B"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7232BC00" w14:textId="78FDCAB7" w:rsidR="00B30A0B" w:rsidRPr="00066653" w:rsidRDefault="00AF1BF5">
            <w:pPr>
              <w:jc w:val="right"/>
              <w:rPr>
                <w:rFonts w:ascii="Arial" w:hAnsi="Arial" w:cs="Arial"/>
                <w:sz w:val="16"/>
                <w:szCs w:val="16"/>
                <w:lang w:eastAsia="es-AR"/>
              </w:rPr>
            </w:pPr>
            <w:r>
              <w:rPr>
                <w:rFonts w:ascii="Arial" w:hAnsi="Arial" w:cs="Arial"/>
                <w:sz w:val="16"/>
                <w:szCs w:val="16"/>
                <w:lang w:eastAsia="es-AR"/>
              </w:rPr>
              <w:t>5.513.865</w:t>
            </w:r>
          </w:p>
        </w:tc>
      </w:tr>
      <w:tr w:rsidR="00F71ED9" w:rsidRPr="00326E79" w14:paraId="179111F1" w14:textId="77777777" w:rsidTr="006E1AF7">
        <w:tc>
          <w:tcPr>
            <w:tcW w:w="2235" w:type="dxa"/>
            <w:tcBorders>
              <w:top w:val="nil"/>
              <w:left w:val="nil"/>
              <w:bottom w:val="nil"/>
              <w:right w:val="nil"/>
            </w:tcBorders>
            <w:vAlign w:val="bottom"/>
          </w:tcPr>
          <w:p w14:paraId="3E278762" w14:textId="05A46416" w:rsidR="00B30A0B" w:rsidRPr="004708CB" w:rsidRDefault="00B30A0B" w:rsidP="00B30A0B">
            <w:pPr>
              <w:rPr>
                <w:rFonts w:ascii="Arial" w:hAnsi="Arial" w:cs="Arial"/>
                <w:sz w:val="16"/>
                <w:szCs w:val="16"/>
                <w:lang w:eastAsia="es-AR"/>
              </w:rPr>
            </w:pPr>
            <w:r w:rsidRPr="001A10B5">
              <w:rPr>
                <w:rFonts w:ascii="Arial" w:hAnsi="Arial" w:cs="Arial"/>
                <w:sz w:val="16"/>
                <w:szCs w:val="16"/>
                <w:lang w:eastAsia="es-AR"/>
              </w:rPr>
              <w:t>Sector Fi</w:t>
            </w:r>
            <w:r w:rsidR="00BB3066" w:rsidRPr="001A10B5">
              <w:rPr>
                <w:rFonts w:ascii="Arial" w:hAnsi="Arial" w:cs="Arial"/>
                <w:sz w:val="16"/>
                <w:szCs w:val="16"/>
                <w:lang w:eastAsia="es-AR"/>
              </w:rPr>
              <w:t>n</w:t>
            </w:r>
            <w:r w:rsidRPr="004708CB">
              <w:rPr>
                <w:rFonts w:ascii="Arial" w:hAnsi="Arial" w:cs="Arial"/>
                <w:sz w:val="16"/>
                <w:szCs w:val="16"/>
                <w:lang w:eastAsia="es-AR"/>
              </w:rPr>
              <w:t>anciero</w:t>
            </w:r>
          </w:p>
        </w:tc>
        <w:tc>
          <w:tcPr>
            <w:tcW w:w="1146" w:type="dxa"/>
            <w:tcBorders>
              <w:top w:val="nil"/>
              <w:left w:val="nil"/>
              <w:bottom w:val="nil"/>
              <w:right w:val="nil"/>
            </w:tcBorders>
            <w:vAlign w:val="bottom"/>
          </w:tcPr>
          <w:p w14:paraId="3BCD0B64" w14:textId="3E8E152E" w:rsidR="00B30A0B" w:rsidRPr="00B85009" w:rsidRDefault="00AF1BF5">
            <w:pPr>
              <w:jc w:val="right"/>
              <w:rPr>
                <w:rFonts w:ascii="Arial" w:hAnsi="Arial" w:cs="Arial"/>
                <w:sz w:val="16"/>
                <w:szCs w:val="16"/>
                <w:lang w:eastAsia="es-AR"/>
              </w:rPr>
            </w:pPr>
            <w:r>
              <w:rPr>
                <w:rFonts w:ascii="Arial" w:hAnsi="Arial" w:cs="Arial"/>
                <w:sz w:val="16"/>
                <w:szCs w:val="16"/>
                <w:lang w:eastAsia="es-AR"/>
              </w:rPr>
              <w:t>28.0</w:t>
            </w:r>
            <w:r w:rsidR="00A13C3E">
              <w:rPr>
                <w:rFonts w:ascii="Arial" w:hAnsi="Arial" w:cs="Arial"/>
                <w:sz w:val="16"/>
                <w:szCs w:val="16"/>
                <w:lang w:eastAsia="es-AR"/>
              </w:rPr>
              <w:t>98</w:t>
            </w:r>
          </w:p>
        </w:tc>
        <w:tc>
          <w:tcPr>
            <w:tcW w:w="1276" w:type="dxa"/>
            <w:tcBorders>
              <w:top w:val="nil"/>
              <w:left w:val="nil"/>
              <w:bottom w:val="nil"/>
              <w:right w:val="nil"/>
            </w:tcBorders>
            <w:vAlign w:val="bottom"/>
          </w:tcPr>
          <w:p w14:paraId="443AD94A" w14:textId="601FF7E3" w:rsidR="00B30A0B" w:rsidRPr="003D4ED0"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20AEBD2F" w14:textId="4575ADFC" w:rsidR="00B30A0B"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992" w:type="dxa"/>
            <w:tcBorders>
              <w:top w:val="nil"/>
              <w:left w:val="nil"/>
              <w:bottom w:val="nil"/>
              <w:right w:val="nil"/>
            </w:tcBorders>
            <w:vAlign w:val="bottom"/>
          </w:tcPr>
          <w:p w14:paraId="6A9C6A9F" w14:textId="4EA07350" w:rsidR="00B30A0B"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0DB33898" w14:textId="7C74AAF0" w:rsidR="00B30A0B"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2F8EE919" w14:textId="22CEA217" w:rsidR="00B30A0B"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189141AC" w14:textId="55098935" w:rsidR="00B30A0B" w:rsidRPr="00066653" w:rsidRDefault="00AF1BF5">
            <w:pPr>
              <w:jc w:val="right"/>
              <w:rPr>
                <w:rFonts w:ascii="Arial" w:hAnsi="Arial" w:cs="Arial"/>
                <w:sz w:val="16"/>
                <w:szCs w:val="16"/>
                <w:lang w:eastAsia="es-AR"/>
              </w:rPr>
            </w:pPr>
            <w:r>
              <w:rPr>
                <w:rFonts w:ascii="Arial" w:hAnsi="Arial" w:cs="Arial"/>
                <w:sz w:val="16"/>
                <w:szCs w:val="16"/>
                <w:lang w:eastAsia="es-AR"/>
              </w:rPr>
              <w:t>28.0</w:t>
            </w:r>
            <w:r w:rsidR="00A13C3E">
              <w:rPr>
                <w:rFonts w:ascii="Arial" w:hAnsi="Arial" w:cs="Arial"/>
                <w:sz w:val="16"/>
                <w:szCs w:val="16"/>
                <w:lang w:eastAsia="es-AR"/>
              </w:rPr>
              <w:t>98</w:t>
            </w:r>
          </w:p>
        </w:tc>
      </w:tr>
      <w:tr w:rsidR="00F71ED9" w:rsidRPr="00326E79" w14:paraId="0031C3B2" w14:textId="77777777" w:rsidTr="006E1AF7">
        <w:tc>
          <w:tcPr>
            <w:tcW w:w="2235" w:type="dxa"/>
            <w:tcBorders>
              <w:top w:val="nil"/>
              <w:left w:val="nil"/>
              <w:bottom w:val="nil"/>
              <w:right w:val="nil"/>
            </w:tcBorders>
            <w:vAlign w:val="bottom"/>
          </w:tcPr>
          <w:p w14:paraId="336A15B4" w14:textId="77777777" w:rsidR="00B30A0B" w:rsidRPr="004708CB" w:rsidRDefault="00B30A0B" w:rsidP="00B30A0B">
            <w:pPr>
              <w:rPr>
                <w:rFonts w:ascii="Arial" w:hAnsi="Arial" w:cs="Arial"/>
                <w:sz w:val="16"/>
                <w:szCs w:val="16"/>
                <w:lang w:eastAsia="es-AR"/>
              </w:rPr>
            </w:pPr>
            <w:r w:rsidRPr="001A10B5">
              <w:rPr>
                <w:rFonts w:ascii="Arial" w:hAnsi="Arial" w:cs="Arial"/>
                <w:sz w:val="16"/>
                <w:szCs w:val="16"/>
                <w:lang w:eastAsia="es-AR"/>
              </w:rPr>
              <w:t>Sector privado no financiero y residentes en el exterior</w:t>
            </w:r>
          </w:p>
        </w:tc>
        <w:tc>
          <w:tcPr>
            <w:tcW w:w="1146" w:type="dxa"/>
            <w:tcBorders>
              <w:top w:val="nil"/>
              <w:left w:val="nil"/>
              <w:bottom w:val="nil"/>
              <w:right w:val="nil"/>
            </w:tcBorders>
            <w:vAlign w:val="bottom"/>
          </w:tcPr>
          <w:p w14:paraId="3DBBE0D2" w14:textId="405B1808" w:rsidR="00B30A0B" w:rsidRPr="0012241E" w:rsidRDefault="00AF1BF5">
            <w:pPr>
              <w:jc w:val="right"/>
              <w:rPr>
                <w:rFonts w:ascii="Arial" w:hAnsi="Arial" w:cs="Arial"/>
                <w:sz w:val="16"/>
                <w:szCs w:val="16"/>
                <w:lang w:eastAsia="es-AR"/>
              </w:rPr>
            </w:pPr>
            <w:r>
              <w:rPr>
                <w:rFonts w:ascii="Arial" w:hAnsi="Arial" w:cs="Arial"/>
                <w:sz w:val="16"/>
                <w:szCs w:val="16"/>
                <w:lang w:eastAsia="es-AR"/>
              </w:rPr>
              <w:t>74.</w:t>
            </w:r>
            <w:r w:rsidR="00330471">
              <w:rPr>
                <w:rFonts w:ascii="Arial" w:hAnsi="Arial" w:cs="Arial"/>
                <w:sz w:val="16"/>
                <w:szCs w:val="16"/>
                <w:lang w:eastAsia="es-AR"/>
              </w:rPr>
              <w:t>674.595</w:t>
            </w:r>
          </w:p>
        </w:tc>
        <w:tc>
          <w:tcPr>
            <w:tcW w:w="1276" w:type="dxa"/>
            <w:tcBorders>
              <w:top w:val="nil"/>
              <w:left w:val="nil"/>
              <w:bottom w:val="nil"/>
              <w:right w:val="nil"/>
            </w:tcBorders>
            <w:vAlign w:val="bottom"/>
          </w:tcPr>
          <w:p w14:paraId="6BACA9CF" w14:textId="4A3E6712" w:rsidR="00B30A0B" w:rsidRPr="00EC10A9" w:rsidRDefault="00330471">
            <w:pPr>
              <w:jc w:val="right"/>
              <w:rPr>
                <w:rFonts w:ascii="Arial" w:hAnsi="Arial" w:cs="Arial"/>
                <w:sz w:val="16"/>
                <w:szCs w:val="16"/>
                <w:lang w:eastAsia="es-AR"/>
              </w:rPr>
            </w:pPr>
            <w:r>
              <w:rPr>
                <w:rFonts w:ascii="Arial" w:hAnsi="Arial" w:cs="Arial"/>
                <w:sz w:val="16"/>
                <w:szCs w:val="16"/>
                <w:lang w:eastAsia="es-AR"/>
              </w:rPr>
              <w:t>7.072.815</w:t>
            </w:r>
          </w:p>
        </w:tc>
        <w:tc>
          <w:tcPr>
            <w:tcW w:w="1134" w:type="dxa"/>
            <w:tcBorders>
              <w:top w:val="nil"/>
              <w:left w:val="nil"/>
              <w:bottom w:val="nil"/>
              <w:right w:val="nil"/>
            </w:tcBorders>
            <w:vAlign w:val="bottom"/>
          </w:tcPr>
          <w:p w14:paraId="59FB5C04" w14:textId="71FF5241" w:rsidR="00B30A0B" w:rsidRPr="00066653" w:rsidRDefault="00330471">
            <w:pPr>
              <w:jc w:val="right"/>
              <w:rPr>
                <w:rFonts w:ascii="Arial" w:hAnsi="Arial" w:cs="Arial"/>
                <w:sz w:val="16"/>
                <w:szCs w:val="16"/>
                <w:lang w:eastAsia="es-AR"/>
              </w:rPr>
            </w:pPr>
            <w:r>
              <w:rPr>
                <w:rFonts w:ascii="Arial" w:hAnsi="Arial" w:cs="Arial"/>
                <w:sz w:val="16"/>
                <w:szCs w:val="16"/>
                <w:lang w:eastAsia="es-AR"/>
              </w:rPr>
              <w:t>4.499.893</w:t>
            </w:r>
          </w:p>
        </w:tc>
        <w:tc>
          <w:tcPr>
            <w:tcW w:w="992" w:type="dxa"/>
            <w:tcBorders>
              <w:top w:val="nil"/>
              <w:left w:val="nil"/>
              <w:bottom w:val="nil"/>
              <w:right w:val="nil"/>
            </w:tcBorders>
            <w:vAlign w:val="bottom"/>
          </w:tcPr>
          <w:p w14:paraId="1B05DBFF" w14:textId="596151B9" w:rsidR="00B30A0B" w:rsidRPr="00066653" w:rsidRDefault="00AF1BF5">
            <w:pPr>
              <w:jc w:val="right"/>
              <w:rPr>
                <w:rFonts w:ascii="Arial" w:hAnsi="Arial" w:cs="Arial"/>
                <w:sz w:val="16"/>
                <w:szCs w:val="16"/>
                <w:lang w:eastAsia="es-AR"/>
              </w:rPr>
            </w:pPr>
            <w:r>
              <w:rPr>
                <w:rFonts w:ascii="Arial" w:hAnsi="Arial" w:cs="Arial"/>
                <w:sz w:val="16"/>
                <w:szCs w:val="16"/>
                <w:lang w:eastAsia="es-AR"/>
              </w:rPr>
              <w:t>479.308</w:t>
            </w:r>
          </w:p>
        </w:tc>
        <w:tc>
          <w:tcPr>
            <w:tcW w:w="1134" w:type="dxa"/>
            <w:tcBorders>
              <w:top w:val="nil"/>
              <w:left w:val="nil"/>
              <w:bottom w:val="nil"/>
              <w:right w:val="nil"/>
            </w:tcBorders>
            <w:vAlign w:val="bottom"/>
          </w:tcPr>
          <w:p w14:paraId="4AD5979C" w14:textId="4411154D" w:rsidR="00B30A0B" w:rsidRPr="00066653" w:rsidRDefault="00AF1BF5">
            <w:pPr>
              <w:jc w:val="right"/>
              <w:rPr>
                <w:rFonts w:ascii="Arial" w:hAnsi="Arial" w:cs="Arial"/>
                <w:sz w:val="16"/>
                <w:szCs w:val="16"/>
                <w:lang w:eastAsia="es-AR"/>
              </w:rPr>
            </w:pPr>
            <w:r>
              <w:rPr>
                <w:rFonts w:ascii="Arial" w:hAnsi="Arial" w:cs="Arial"/>
                <w:sz w:val="16"/>
                <w:szCs w:val="16"/>
                <w:lang w:eastAsia="es-AR"/>
              </w:rPr>
              <w:t>2.245</w:t>
            </w:r>
          </w:p>
        </w:tc>
        <w:tc>
          <w:tcPr>
            <w:tcW w:w="1134" w:type="dxa"/>
            <w:tcBorders>
              <w:top w:val="nil"/>
              <w:left w:val="nil"/>
              <w:bottom w:val="nil"/>
              <w:right w:val="nil"/>
            </w:tcBorders>
            <w:vAlign w:val="bottom"/>
          </w:tcPr>
          <w:p w14:paraId="7F260A91" w14:textId="5E6B00EA" w:rsidR="00B30A0B"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71706724" w14:textId="326179D6" w:rsidR="00B30A0B" w:rsidRPr="00066653" w:rsidRDefault="00AF1BF5">
            <w:pPr>
              <w:jc w:val="right"/>
              <w:rPr>
                <w:rFonts w:ascii="Arial" w:hAnsi="Arial" w:cs="Arial"/>
                <w:sz w:val="16"/>
                <w:szCs w:val="16"/>
                <w:lang w:eastAsia="es-AR"/>
              </w:rPr>
            </w:pPr>
            <w:r>
              <w:rPr>
                <w:rFonts w:ascii="Arial" w:hAnsi="Arial" w:cs="Arial"/>
                <w:sz w:val="16"/>
                <w:szCs w:val="16"/>
                <w:lang w:eastAsia="es-AR"/>
              </w:rPr>
              <w:t>86.</w:t>
            </w:r>
            <w:r w:rsidR="00330471">
              <w:rPr>
                <w:rFonts w:ascii="Arial" w:hAnsi="Arial" w:cs="Arial"/>
                <w:sz w:val="16"/>
                <w:szCs w:val="16"/>
                <w:lang w:eastAsia="es-AR"/>
              </w:rPr>
              <w:t>728</w:t>
            </w:r>
            <w:r>
              <w:rPr>
                <w:rFonts w:ascii="Arial" w:hAnsi="Arial" w:cs="Arial"/>
                <w:sz w:val="16"/>
                <w:szCs w:val="16"/>
                <w:lang w:eastAsia="es-AR"/>
              </w:rPr>
              <w:t>.</w:t>
            </w:r>
            <w:r w:rsidR="00330471">
              <w:rPr>
                <w:rFonts w:ascii="Arial" w:hAnsi="Arial" w:cs="Arial"/>
                <w:sz w:val="16"/>
                <w:szCs w:val="16"/>
                <w:lang w:eastAsia="es-AR"/>
              </w:rPr>
              <w:t>856</w:t>
            </w:r>
          </w:p>
        </w:tc>
      </w:tr>
      <w:tr w:rsidR="00F71ED9" w:rsidRPr="00326E79" w14:paraId="3D69A376" w14:textId="77777777" w:rsidTr="006E1AF7">
        <w:tc>
          <w:tcPr>
            <w:tcW w:w="2235" w:type="dxa"/>
            <w:tcBorders>
              <w:top w:val="nil"/>
              <w:left w:val="nil"/>
              <w:bottom w:val="nil"/>
              <w:right w:val="nil"/>
            </w:tcBorders>
            <w:vAlign w:val="bottom"/>
          </w:tcPr>
          <w:p w14:paraId="0E29AFA0" w14:textId="77777777" w:rsidR="00B30A0B" w:rsidRPr="001A10B5" w:rsidRDefault="00B30A0B" w:rsidP="00B30A0B">
            <w:pPr>
              <w:rPr>
                <w:rFonts w:ascii="Arial" w:hAnsi="Arial" w:cs="Arial"/>
                <w:sz w:val="16"/>
                <w:szCs w:val="16"/>
                <w:lang w:eastAsia="es-AR"/>
              </w:rPr>
            </w:pPr>
          </w:p>
        </w:tc>
        <w:tc>
          <w:tcPr>
            <w:tcW w:w="1146" w:type="dxa"/>
            <w:tcBorders>
              <w:top w:val="nil"/>
              <w:left w:val="nil"/>
              <w:bottom w:val="nil"/>
              <w:right w:val="nil"/>
            </w:tcBorders>
            <w:vAlign w:val="bottom"/>
          </w:tcPr>
          <w:p w14:paraId="70433369" w14:textId="77777777" w:rsidR="00B30A0B" w:rsidRPr="004708CB" w:rsidRDefault="00B30A0B">
            <w:pPr>
              <w:jc w:val="right"/>
              <w:rPr>
                <w:rFonts w:ascii="Arial" w:hAnsi="Arial" w:cs="Arial"/>
                <w:sz w:val="16"/>
                <w:szCs w:val="16"/>
                <w:lang w:eastAsia="es-AR"/>
              </w:rPr>
            </w:pPr>
          </w:p>
        </w:tc>
        <w:tc>
          <w:tcPr>
            <w:tcW w:w="1276" w:type="dxa"/>
            <w:tcBorders>
              <w:top w:val="nil"/>
              <w:left w:val="nil"/>
              <w:bottom w:val="nil"/>
              <w:right w:val="nil"/>
            </w:tcBorders>
            <w:vAlign w:val="bottom"/>
          </w:tcPr>
          <w:p w14:paraId="5D183C61" w14:textId="77777777" w:rsidR="00B30A0B" w:rsidRPr="00F77F7F" w:rsidRDefault="00B30A0B">
            <w:pPr>
              <w:jc w:val="right"/>
              <w:rPr>
                <w:rFonts w:ascii="Arial" w:hAnsi="Arial" w:cs="Arial"/>
                <w:sz w:val="16"/>
                <w:szCs w:val="16"/>
                <w:lang w:eastAsia="es-AR"/>
              </w:rPr>
            </w:pPr>
          </w:p>
        </w:tc>
        <w:tc>
          <w:tcPr>
            <w:tcW w:w="1134" w:type="dxa"/>
            <w:tcBorders>
              <w:top w:val="nil"/>
              <w:left w:val="nil"/>
              <w:bottom w:val="nil"/>
              <w:right w:val="nil"/>
            </w:tcBorders>
            <w:vAlign w:val="bottom"/>
          </w:tcPr>
          <w:p w14:paraId="05D12B2F" w14:textId="77777777" w:rsidR="00B30A0B" w:rsidRPr="0012241E" w:rsidRDefault="00B30A0B">
            <w:pPr>
              <w:jc w:val="right"/>
              <w:rPr>
                <w:rFonts w:ascii="Arial" w:hAnsi="Arial" w:cs="Arial"/>
                <w:sz w:val="16"/>
                <w:szCs w:val="16"/>
                <w:lang w:eastAsia="es-AR"/>
              </w:rPr>
            </w:pPr>
          </w:p>
        </w:tc>
        <w:tc>
          <w:tcPr>
            <w:tcW w:w="992" w:type="dxa"/>
            <w:tcBorders>
              <w:top w:val="nil"/>
              <w:left w:val="nil"/>
              <w:bottom w:val="nil"/>
              <w:right w:val="nil"/>
            </w:tcBorders>
            <w:vAlign w:val="bottom"/>
          </w:tcPr>
          <w:p w14:paraId="44726AAA" w14:textId="77777777" w:rsidR="00B30A0B" w:rsidRPr="00B85009" w:rsidRDefault="00B30A0B">
            <w:pPr>
              <w:jc w:val="right"/>
              <w:rPr>
                <w:rFonts w:ascii="Arial" w:hAnsi="Arial" w:cs="Arial"/>
                <w:sz w:val="16"/>
                <w:szCs w:val="16"/>
                <w:lang w:eastAsia="es-AR"/>
              </w:rPr>
            </w:pPr>
          </w:p>
        </w:tc>
        <w:tc>
          <w:tcPr>
            <w:tcW w:w="1134" w:type="dxa"/>
            <w:tcBorders>
              <w:top w:val="nil"/>
              <w:left w:val="nil"/>
              <w:bottom w:val="nil"/>
              <w:right w:val="nil"/>
            </w:tcBorders>
            <w:vAlign w:val="bottom"/>
          </w:tcPr>
          <w:p w14:paraId="7472C542" w14:textId="77777777" w:rsidR="00B30A0B" w:rsidRPr="00EC10A9" w:rsidRDefault="00B30A0B">
            <w:pPr>
              <w:jc w:val="right"/>
              <w:rPr>
                <w:rFonts w:ascii="Arial" w:hAnsi="Arial" w:cs="Arial"/>
                <w:sz w:val="16"/>
                <w:szCs w:val="16"/>
                <w:lang w:eastAsia="es-AR"/>
              </w:rPr>
            </w:pPr>
          </w:p>
        </w:tc>
        <w:tc>
          <w:tcPr>
            <w:tcW w:w="1134" w:type="dxa"/>
            <w:tcBorders>
              <w:top w:val="nil"/>
              <w:left w:val="nil"/>
              <w:bottom w:val="nil"/>
              <w:right w:val="nil"/>
            </w:tcBorders>
            <w:vAlign w:val="bottom"/>
          </w:tcPr>
          <w:p w14:paraId="72067C72" w14:textId="77777777" w:rsidR="00B30A0B" w:rsidRPr="003D4ED0" w:rsidRDefault="00B30A0B">
            <w:pPr>
              <w:jc w:val="right"/>
              <w:rPr>
                <w:rFonts w:ascii="Arial" w:hAnsi="Arial" w:cs="Arial"/>
                <w:sz w:val="16"/>
                <w:szCs w:val="16"/>
                <w:lang w:eastAsia="es-AR"/>
              </w:rPr>
            </w:pPr>
          </w:p>
        </w:tc>
        <w:tc>
          <w:tcPr>
            <w:tcW w:w="1134" w:type="dxa"/>
            <w:tcBorders>
              <w:top w:val="nil"/>
              <w:left w:val="nil"/>
              <w:bottom w:val="nil"/>
              <w:right w:val="nil"/>
            </w:tcBorders>
            <w:vAlign w:val="bottom"/>
          </w:tcPr>
          <w:p w14:paraId="7DE10AD6" w14:textId="77777777" w:rsidR="00B30A0B" w:rsidRPr="00066653" w:rsidRDefault="00B30A0B">
            <w:pPr>
              <w:jc w:val="right"/>
              <w:rPr>
                <w:rFonts w:ascii="Arial" w:hAnsi="Arial" w:cs="Arial"/>
                <w:sz w:val="16"/>
                <w:szCs w:val="16"/>
                <w:lang w:eastAsia="es-AR"/>
              </w:rPr>
            </w:pPr>
          </w:p>
        </w:tc>
      </w:tr>
      <w:tr w:rsidR="00F71ED9" w:rsidRPr="00326E79" w14:paraId="36B217D5" w14:textId="77777777" w:rsidTr="006E1AF7">
        <w:tc>
          <w:tcPr>
            <w:tcW w:w="2235" w:type="dxa"/>
            <w:tcBorders>
              <w:top w:val="nil"/>
              <w:left w:val="nil"/>
              <w:bottom w:val="nil"/>
              <w:right w:val="nil"/>
            </w:tcBorders>
            <w:vAlign w:val="bottom"/>
          </w:tcPr>
          <w:p w14:paraId="24DCC290" w14:textId="4372E8E6" w:rsidR="00AF1BF5" w:rsidRPr="001A10B5" w:rsidRDefault="00AF1BF5" w:rsidP="00B30A0B">
            <w:pPr>
              <w:rPr>
                <w:rFonts w:ascii="Arial" w:hAnsi="Arial" w:cs="Arial"/>
                <w:sz w:val="16"/>
                <w:szCs w:val="16"/>
                <w:lang w:eastAsia="es-AR"/>
              </w:rPr>
            </w:pPr>
            <w:r>
              <w:rPr>
                <w:rFonts w:ascii="Arial" w:hAnsi="Arial" w:cs="Arial"/>
                <w:sz w:val="16"/>
                <w:szCs w:val="16"/>
                <w:lang w:eastAsia="es-AR"/>
              </w:rPr>
              <w:t>Pasivos a valor razonable con cambios en resultados</w:t>
            </w:r>
          </w:p>
        </w:tc>
        <w:tc>
          <w:tcPr>
            <w:tcW w:w="1146" w:type="dxa"/>
            <w:tcBorders>
              <w:top w:val="nil"/>
              <w:left w:val="nil"/>
              <w:bottom w:val="nil"/>
              <w:right w:val="nil"/>
            </w:tcBorders>
            <w:vAlign w:val="bottom"/>
          </w:tcPr>
          <w:p w14:paraId="4420DE43" w14:textId="616EFF1C" w:rsidR="00AF1BF5" w:rsidRPr="004708CB" w:rsidRDefault="00AF1BF5">
            <w:pPr>
              <w:jc w:val="right"/>
              <w:rPr>
                <w:rFonts w:ascii="Arial" w:hAnsi="Arial" w:cs="Arial"/>
                <w:sz w:val="16"/>
                <w:szCs w:val="16"/>
                <w:lang w:eastAsia="es-AR"/>
              </w:rPr>
            </w:pPr>
            <w:r>
              <w:rPr>
                <w:rFonts w:ascii="Arial" w:hAnsi="Arial" w:cs="Arial"/>
                <w:sz w:val="16"/>
                <w:szCs w:val="16"/>
                <w:lang w:eastAsia="es-AR"/>
              </w:rPr>
              <w:t>189.554</w:t>
            </w:r>
          </w:p>
        </w:tc>
        <w:tc>
          <w:tcPr>
            <w:tcW w:w="1276" w:type="dxa"/>
            <w:tcBorders>
              <w:top w:val="nil"/>
              <w:left w:val="nil"/>
              <w:bottom w:val="nil"/>
              <w:right w:val="nil"/>
            </w:tcBorders>
            <w:vAlign w:val="bottom"/>
          </w:tcPr>
          <w:p w14:paraId="3BFB82E9" w14:textId="7A3DD1A0" w:rsidR="00AF1BF5" w:rsidRPr="00F77F7F"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3ADA04EE" w14:textId="309FDC04" w:rsidR="00AF1BF5" w:rsidRPr="0012241E" w:rsidRDefault="00AF1BF5">
            <w:pPr>
              <w:jc w:val="right"/>
              <w:rPr>
                <w:rFonts w:ascii="Arial" w:hAnsi="Arial" w:cs="Arial"/>
                <w:sz w:val="16"/>
                <w:szCs w:val="16"/>
                <w:lang w:eastAsia="es-AR"/>
              </w:rPr>
            </w:pPr>
            <w:r>
              <w:rPr>
                <w:rFonts w:ascii="Arial" w:hAnsi="Arial" w:cs="Arial"/>
                <w:sz w:val="16"/>
                <w:szCs w:val="16"/>
                <w:lang w:eastAsia="es-AR"/>
              </w:rPr>
              <w:t>-</w:t>
            </w:r>
          </w:p>
        </w:tc>
        <w:tc>
          <w:tcPr>
            <w:tcW w:w="992" w:type="dxa"/>
            <w:tcBorders>
              <w:top w:val="nil"/>
              <w:left w:val="nil"/>
              <w:bottom w:val="nil"/>
              <w:right w:val="nil"/>
            </w:tcBorders>
            <w:vAlign w:val="bottom"/>
          </w:tcPr>
          <w:p w14:paraId="58FBE198" w14:textId="7FC846B6" w:rsidR="00AF1BF5" w:rsidRPr="00B85009"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520A7AD4" w14:textId="414DBC56" w:rsidR="00AF1BF5" w:rsidRPr="00EC10A9"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77170575" w14:textId="5E3F11C5" w:rsidR="00AF1BF5" w:rsidRPr="003D4ED0"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49394FAA" w14:textId="7383C235" w:rsidR="00AF1BF5" w:rsidRPr="00066653" w:rsidRDefault="00AF1BF5">
            <w:pPr>
              <w:jc w:val="right"/>
              <w:rPr>
                <w:rFonts w:ascii="Arial" w:hAnsi="Arial" w:cs="Arial"/>
                <w:sz w:val="16"/>
                <w:szCs w:val="16"/>
                <w:lang w:eastAsia="es-AR"/>
              </w:rPr>
            </w:pPr>
            <w:r>
              <w:rPr>
                <w:rFonts w:ascii="Arial" w:hAnsi="Arial" w:cs="Arial"/>
                <w:sz w:val="16"/>
                <w:szCs w:val="16"/>
                <w:lang w:eastAsia="es-AR"/>
              </w:rPr>
              <w:t>189.554</w:t>
            </w:r>
          </w:p>
        </w:tc>
      </w:tr>
      <w:tr w:rsidR="00F71ED9" w:rsidRPr="00326E79" w14:paraId="0351C306" w14:textId="77777777" w:rsidTr="006E1AF7">
        <w:tc>
          <w:tcPr>
            <w:tcW w:w="2235" w:type="dxa"/>
            <w:tcBorders>
              <w:top w:val="nil"/>
              <w:left w:val="nil"/>
              <w:bottom w:val="nil"/>
              <w:right w:val="nil"/>
            </w:tcBorders>
            <w:vAlign w:val="bottom"/>
          </w:tcPr>
          <w:p w14:paraId="352BF283" w14:textId="4169B218" w:rsidR="0043794C" w:rsidRPr="001A10B5" w:rsidRDefault="0043794C" w:rsidP="0043794C">
            <w:pPr>
              <w:rPr>
                <w:rFonts w:ascii="Arial" w:hAnsi="Arial" w:cs="Arial"/>
                <w:b/>
                <w:sz w:val="16"/>
                <w:szCs w:val="16"/>
                <w:lang w:eastAsia="es-AR"/>
              </w:rPr>
            </w:pPr>
            <w:r w:rsidRPr="001A10B5">
              <w:rPr>
                <w:rFonts w:ascii="Arial" w:hAnsi="Arial" w:cs="Arial"/>
                <w:b/>
                <w:sz w:val="16"/>
                <w:szCs w:val="16"/>
                <w:lang w:eastAsia="es-AR"/>
              </w:rPr>
              <w:t>Operaciones de pase</w:t>
            </w:r>
          </w:p>
        </w:tc>
        <w:tc>
          <w:tcPr>
            <w:tcW w:w="1146" w:type="dxa"/>
            <w:tcBorders>
              <w:top w:val="nil"/>
              <w:left w:val="nil"/>
              <w:bottom w:val="nil"/>
              <w:right w:val="nil"/>
            </w:tcBorders>
            <w:vAlign w:val="bottom"/>
          </w:tcPr>
          <w:p w14:paraId="720348A7" w14:textId="77777777" w:rsidR="0043794C" w:rsidRPr="004708CB" w:rsidRDefault="0043794C">
            <w:pPr>
              <w:jc w:val="right"/>
              <w:rPr>
                <w:rFonts w:ascii="Arial" w:hAnsi="Arial" w:cs="Arial"/>
                <w:sz w:val="16"/>
                <w:szCs w:val="16"/>
                <w:lang w:eastAsia="es-AR"/>
              </w:rPr>
            </w:pPr>
          </w:p>
        </w:tc>
        <w:tc>
          <w:tcPr>
            <w:tcW w:w="1276" w:type="dxa"/>
            <w:tcBorders>
              <w:top w:val="nil"/>
              <w:left w:val="nil"/>
              <w:bottom w:val="nil"/>
              <w:right w:val="nil"/>
            </w:tcBorders>
            <w:vAlign w:val="bottom"/>
          </w:tcPr>
          <w:p w14:paraId="0307304C" w14:textId="77777777" w:rsidR="0043794C" w:rsidRPr="00F77F7F"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45D49060" w14:textId="77777777" w:rsidR="0043794C" w:rsidRPr="0012241E" w:rsidRDefault="0043794C">
            <w:pPr>
              <w:jc w:val="right"/>
              <w:rPr>
                <w:rFonts w:ascii="Arial" w:hAnsi="Arial" w:cs="Arial"/>
                <w:sz w:val="16"/>
                <w:szCs w:val="16"/>
                <w:lang w:eastAsia="es-AR"/>
              </w:rPr>
            </w:pPr>
          </w:p>
        </w:tc>
        <w:tc>
          <w:tcPr>
            <w:tcW w:w="992" w:type="dxa"/>
            <w:tcBorders>
              <w:top w:val="nil"/>
              <w:left w:val="nil"/>
              <w:bottom w:val="nil"/>
              <w:right w:val="nil"/>
            </w:tcBorders>
            <w:vAlign w:val="bottom"/>
          </w:tcPr>
          <w:p w14:paraId="06B398A2" w14:textId="77777777" w:rsidR="0043794C" w:rsidRPr="00B85009"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32F33C98" w14:textId="77777777" w:rsidR="0043794C" w:rsidRPr="00EC10A9"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38686078" w14:textId="77777777" w:rsidR="0043794C" w:rsidRPr="003D4ED0"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1749BFDA" w14:textId="77777777" w:rsidR="0043794C" w:rsidRPr="00066653" w:rsidRDefault="0043794C">
            <w:pPr>
              <w:jc w:val="right"/>
              <w:rPr>
                <w:rFonts w:ascii="Arial" w:hAnsi="Arial" w:cs="Arial"/>
                <w:sz w:val="16"/>
                <w:szCs w:val="16"/>
                <w:lang w:eastAsia="es-AR"/>
              </w:rPr>
            </w:pPr>
          </w:p>
        </w:tc>
      </w:tr>
      <w:tr w:rsidR="00F71ED9" w:rsidRPr="00326E79" w14:paraId="68CBF823" w14:textId="77777777" w:rsidTr="006E1AF7">
        <w:tc>
          <w:tcPr>
            <w:tcW w:w="2235" w:type="dxa"/>
            <w:tcBorders>
              <w:top w:val="nil"/>
              <w:left w:val="nil"/>
              <w:bottom w:val="nil"/>
              <w:right w:val="nil"/>
            </w:tcBorders>
            <w:vAlign w:val="bottom"/>
          </w:tcPr>
          <w:p w14:paraId="56C2D5A3" w14:textId="35B4AE00" w:rsidR="0043794C" w:rsidRPr="00066653" w:rsidRDefault="0043794C" w:rsidP="0043794C">
            <w:pPr>
              <w:rPr>
                <w:rFonts w:ascii="Arial" w:hAnsi="Arial" w:cs="Arial"/>
                <w:sz w:val="16"/>
                <w:szCs w:val="16"/>
                <w:lang w:eastAsia="es-AR"/>
              </w:rPr>
            </w:pPr>
            <w:r w:rsidRPr="00066653">
              <w:rPr>
                <w:rFonts w:ascii="Arial" w:hAnsi="Arial" w:cs="Arial"/>
                <w:sz w:val="16"/>
                <w:szCs w:val="16"/>
                <w:lang w:eastAsia="es-AR"/>
              </w:rPr>
              <w:t>Otras entidades financieras</w:t>
            </w:r>
          </w:p>
        </w:tc>
        <w:tc>
          <w:tcPr>
            <w:tcW w:w="1146" w:type="dxa"/>
            <w:tcBorders>
              <w:top w:val="nil"/>
              <w:left w:val="nil"/>
              <w:bottom w:val="nil"/>
              <w:right w:val="nil"/>
            </w:tcBorders>
            <w:vAlign w:val="bottom"/>
          </w:tcPr>
          <w:p w14:paraId="0B8A9FE4" w14:textId="27A6A789" w:rsidR="0043794C" w:rsidRPr="004708CB" w:rsidRDefault="00AF1BF5">
            <w:pPr>
              <w:jc w:val="right"/>
              <w:rPr>
                <w:rFonts w:ascii="Arial" w:hAnsi="Arial" w:cs="Arial"/>
                <w:sz w:val="16"/>
                <w:szCs w:val="16"/>
                <w:lang w:eastAsia="es-AR"/>
              </w:rPr>
            </w:pPr>
            <w:r>
              <w:rPr>
                <w:rFonts w:ascii="Arial" w:hAnsi="Arial" w:cs="Arial"/>
                <w:sz w:val="16"/>
                <w:szCs w:val="16"/>
                <w:lang w:eastAsia="es-AR"/>
              </w:rPr>
              <w:t>319.817</w:t>
            </w:r>
          </w:p>
        </w:tc>
        <w:tc>
          <w:tcPr>
            <w:tcW w:w="1276" w:type="dxa"/>
            <w:tcBorders>
              <w:top w:val="nil"/>
              <w:left w:val="nil"/>
              <w:bottom w:val="nil"/>
              <w:right w:val="nil"/>
            </w:tcBorders>
            <w:vAlign w:val="bottom"/>
          </w:tcPr>
          <w:p w14:paraId="6024A0DA" w14:textId="3F75FE13" w:rsidR="0043794C" w:rsidRPr="0012241E"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783BBFC8" w14:textId="2CA0E76F" w:rsidR="0043794C" w:rsidRPr="00EC10A9" w:rsidRDefault="00AF1BF5">
            <w:pPr>
              <w:jc w:val="right"/>
              <w:rPr>
                <w:rFonts w:ascii="Arial" w:hAnsi="Arial" w:cs="Arial"/>
                <w:sz w:val="16"/>
                <w:szCs w:val="16"/>
                <w:lang w:eastAsia="es-AR"/>
              </w:rPr>
            </w:pPr>
            <w:r>
              <w:rPr>
                <w:rFonts w:ascii="Arial" w:hAnsi="Arial" w:cs="Arial"/>
                <w:sz w:val="16"/>
                <w:szCs w:val="16"/>
                <w:lang w:eastAsia="es-AR"/>
              </w:rPr>
              <w:t>-</w:t>
            </w:r>
          </w:p>
        </w:tc>
        <w:tc>
          <w:tcPr>
            <w:tcW w:w="992" w:type="dxa"/>
            <w:tcBorders>
              <w:top w:val="nil"/>
              <w:left w:val="nil"/>
              <w:bottom w:val="nil"/>
              <w:right w:val="nil"/>
            </w:tcBorders>
            <w:vAlign w:val="bottom"/>
          </w:tcPr>
          <w:p w14:paraId="27394DC6" w14:textId="33DB6092" w:rsidR="0043794C"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5C6970FB" w14:textId="02149350" w:rsidR="0043794C"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54203509" w14:textId="6A642878" w:rsidR="0043794C"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729F6AAA" w14:textId="5AFEDECC" w:rsidR="0043794C" w:rsidRPr="00066653" w:rsidRDefault="00AF1BF5">
            <w:pPr>
              <w:jc w:val="right"/>
              <w:rPr>
                <w:rFonts w:ascii="Arial" w:hAnsi="Arial" w:cs="Arial"/>
                <w:sz w:val="16"/>
                <w:szCs w:val="16"/>
                <w:lang w:eastAsia="es-AR"/>
              </w:rPr>
            </w:pPr>
            <w:r>
              <w:rPr>
                <w:rFonts w:ascii="Arial" w:hAnsi="Arial" w:cs="Arial"/>
                <w:sz w:val="16"/>
                <w:szCs w:val="16"/>
                <w:lang w:eastAsia="es-AR"/>
              </w:rPr>
              <w:t>319.817</w:t>
            </w:r>
          </w:p>
        </w:tc>
      </w:tr>
      <w:tr w:rsidR="00F71ED9" w:rsidRPr="00326E79" w14:paraId="01285939" w14:textId="77777777" w:rsidTr="006E1AF7">
        <w:tc>
          <w:tcPr>
            <w:tcW w:w="2235" w:type="dxa"/>
            <w:tcBorders>
              <w:top w:val="nil"/>
              <w:left w:val="nil"/>
              <w:bottom w:val="nil"/>
              <w:right w:val="nil"/>
            </w:tcBorders>
            <w:vAlign w:val="bottom"/>
          </w:tcPr>
          <w:p w14:paraId="3A99C8A7" w14:textId="77777777" w:rsidR="0043794C" w:rsidRPr="001A10B5" w:rsidRDefault="0043794C" w:rsidP="0043794C">
            <w:pPr>
              <w:rPr>
                <w:rFonts w:ascii="Arial" w:hAnsi="Arial" w:cs="Arial"/>
                <w:b/>
                <w:sz w:val="16"/>
                <w:szCs w:val="16"/>
                <w:lang w:eastAsia="es-AR"/>
              </w:rPr>
            </w:pPr>
          </w:p>
        </w:tc>
        <w:tc>
          <w:tcPr>
            <w:tcW w:w="1146" w:type="dxa"/>
            <w:tcBorders>
              <w:top w:val="nil"/>
              <w:left w:val="nil"/>
              <w:bottom w:val="nil"/>
              <w:right w:val="nil"/>
            </w:tcBorders>
            <w:vAlign w:val="bottom"/>
          </w:tcPr>
          <w:p w14:paraId="38B3819D" w14:textId="77777777" w:rsidR="0043794C" w:rsidRPr="004708CB" w:rsidRDefault="0043794C">
            <w:pPr>
              <w:jc w:val="right"/>
              <w:rPr>
                <w:rFonts w:ascii="Arial" w:hAnsi="Arial" w:cs="Arial"/>
                <w:sz w:val="16"/>
                <w:szCs w:val="16"/>
                <w:lang w:eastAsia="es-AR"/>
              </w:rPr>
            </w:pPr>
          </w:p>
        </w:tc>
        <w:tc>
          <w:tcPr>
            <w:tcW w:w="1276" w:type="dxa"/>
            <w:tcBorders>
              <w:top w:val="nil"/>
              <w:left w:val="nil"/>
              <w:bottom w:val="nil"/>
              <w:right w:val="nil"/>
            </w:tcBorders>
            <w:vAlign w:val="bottom"/>
          </w:tcPr>
          <w:p w14:paraId="598040CC" w14:textId="77777777" w:rsidR="0043794C" w:rsidRPr="00F77F7F"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2842A701" w14:textId="77777777" w:rsidR="0043794C" w:rsidRPr="0012241E" w:rsidRDefault="0043794C">
            <w:pPr>
              <w:jc w:val="right"/>
              <w:rPr>
                <w:rFonts w:ascii="Arial" w:hAnsi="Arial" w:cs="Arial"/>
                <w:sz w:val="16"/>
                <w:szCs w:val="16"/>
                <w:lang w:eastAsia="es-AR"/>
              </w:rPr>
            </w:pPr>
          </w:p>
        </w:tc>
        <w:tc>
          <w:tcPr>
            <w:tcW w:w="992" w:type="dxa"/>
            <w:tcBorders>
              <w:top w:val="nil"/>
              <w:left w:val="nil"/>
              <w:bottom w:val="nil"/>
              <w:right w:val="nil"/>
            </w:tcBorders>
            <w:vAlign w:val="bottom"/>
          </w:tcPr>
          <w:p w14:paraId="200DA37D" w14:textId="77777777" w:rsidR="0043794C" w:rsidRPr="00B85009"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4645A8E2" w14:textId="77777777" w:rsidR="0043794C" w:rsidRPr="00EC10A9"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796CC1F6" w14:textId="77777777" w:rsidR="0043794C" w:rsidRPr="003D4ED0"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5C59EEBB" w14:textId="77777777" w:rsidR="0043794C" w:rsidRPr="00066653" w:rsidRDefault="0043794C">
            <w:pPr>
              <w:jc w:val="right"/>
              <w:rPr>
                <w:rFonts w:ascii="Arial" w:hAnsi="Arial" w:cs="Arial"/>
                <w:sz w:val="16"/>
                <w:szCs w:val="16"/>
                <w:lang w:eastAsia="es-AR"/>
              </w:rPr>
            </w:pPr>
          </w:p>
        </w:tc>
      </w:tr>
      <w:tr w:rsidR="00F71ED9" w:rsidRPr="00326E79" w14:paraId="36E2C591" w14:textId="77777777" w:rsidTr="006E1AF7">
        <w:tc>
          <w:tcPr>
            <w:tcW w:w="2235" w:type="dxa"/>
            <w:tcBorders>
              <w:top w:val="nil"/>
              <w:left w:val="nil"/>
              <w:bottom w:val="nil"/>
              <w:right w:val="nil"/>
            </w:tcBorders>
            <w:vAlign w:val="bottom"/>
          </w:tcPr>
          <w:p w14:paraId="71A2EE54" w14:textId="28CBC9C2" w:rsidR="0043794C" w:rsidRPr="001A10B5" w:rsidRDefault="0043794C" w:rsidP="0043794C">
            <w:pPr>
              <w:rPr>
                <w:rFonts w:ascii="Arial" w:hAnsi="Arial" w:cs="Arial"/>
                <w:b/>
                <w:sz w:val="16"/>
                <w:szCs w:val="16"/>
                <w:lang w:eastAsia="es-AR"/>
              </w:rPr>
            </w:pPr>
            <w:r w:rsidRPr="001A10B5">
              <w:rPr>
                <w:rFonts w:ascii="Arial" w:hAnsi="Arial" w:cs="Arial"/>
                <w:b/>
                <w:sz w:val="16"/>
                <w:szCs w:val="16"/>
                <w:lang w:eastAsia="es-AR"/>
              </w:rPr>
              <w:t>Otros pasivos financieros</w:t>
            </w:r>
          </w:p>
        </w:tc>
        <w:tc>
          <w:tcPr>
            <w:tcW w:w="1146" w:type="dxa"/>
            <w:tcBorders>
              <w:top w:val="nil"/>
              <w:left w:val="nil"/>
              <w:bottom w:val="nil"/>
              <w:right w:val="nil"/>
            </w:tcBorders>
            <w:vAlign w:val="bottom"/>
          </w:tcPr>
          <w:p w14:paraId="129DF08C" w14:textId="7F1BD95E" w:rsidR="0043794C" w:rsidRPr="001A10B5" w:rsidRDefault="00AF1BF5">
            <w:pPr>
              <w:jc w:val="right"/>
              <w:rPr>
                <w:rFonts w:ascii="Arial" w:hAnsi="Arial" w:cs="Arial"/>
                <w:sz w:val="16"/>
                <w:szCs w:val="16"/>
                <w:lang w:eastAsia="es-AR"/>
              </w:rPr>
            </w:pPr>
            <w:r>
              <w:rPr>
                <w:rFonts w:ascii="Arial" w:hAnsi="Arial" w:cs="Arial"/>
                <w:sz w:val="16"/>
                <w:szCs w:val="16"/>
                <w:lang w:eastAsia="es-AR"/>
              </w:rPr>
              <w:t>4.</w:t>
            </w:r>
            <w:r w:rsidR="00330471">
              <w:rPr>
                <w:rFonts w:ascii="Arial" w:hAnsi="Arial" w:cs="Arial"/>
                <w:sz w:val="16"/>
                <w:szCs w:val="16"/>
                <w:lang w:eastAsia="es-AR"/>
              </w:rPr>
              <w:t>91</w:t>
            </w:r>
            <w:r w:rsidR="009939A1">
              <w:rPr>
                <w:rFonts w:ascii="Arial" w:hAnsi="Arial" w:cs="Arial"/>
                <w:sz w:val="16"/>
                <w:szCs w:val="16"/>
                <w:lang w:eastAsia="es-AR"/>
              </w:rPr>
              <w:t>8</w:t>
            </w:r>
            <w:r>
              <w:rPr>
                <w:rFonts w:ascii="Arial" w:hAnsi="Arial" w:cs="Arial"/>
                <w:sz w:val="16"/>
                <w:szCs w:val="16"/>
                <w:lang w:eastAsia="es-AR"/>
              </w:rPr>
              <w:t>.</w:t>
            </w:r>
            <w:r w:rsidR="009939A1">
              <w:rPr>
                <w:rFonts w:ascii="Arial" w:hAnsi="Arial" w:cs="Arial"/>
                <w:sz w:val="16"/>
                <w:szCs w:val="16"/>
                <w:lang w:eastAsia="es-AR"/>
              </w:rPr>
              <w:t>670</w:t>
            </w:r>
          </w:p>
        </w:tc>
        <w:tc>
          <w:tcPr>
            <w:tcW w:w="1276" w:type="dxa"/>
            <w:tcBorders>
              <w:top w:val="nil"/>
              <w:left w:val="nil"/>
              <w:bottom w:val="nil"/>
              <w:right w:val="nil"/>
            </w:tcBorders>
            <w:vAlign w:val="bottom"/>
          </w:tcPr>
          <w:p w14:paraId="5021F137" w14:textId="3E78344D" w:rsidR="0043794C" w:rsidRPr="001A10B5" w:rsidRDefault="00AF1BF5">
            <w:pPr>
              <w:jc w:val="right"/>
              <w:rPr>
                <w:rFonts w:ascii="Arial" w:hAnsi="Arial" w:cs="Arial"/>
                <w:sz w:val="16"/>
                <w:szCs w:val="16"/>
                <w:lang w:eastAsia="es-AR"/>
              </w:rPr>
            </w:pPr>
            <w:r>
              <w:rPr>
                <w:rFonts w:ascii="Arial" w:hAnsi="Arial" w:cs="Arial"/>
                <w:sz w:val="16"/>
                <w:szCs w:val="16"/>
                <w:lang w:eastAsia="es-AR"/>
              </w:rPr>
              <w:t>40</w:t>
            </w:r>
            <w:r w:rsidR="009939A1">
              <w:rPr>
                <w:rFonts w:ascii="Arial" w:hAnsi="Arial" w:cs="Arial"/>
                <w:sz w:val="16"/>
                <w:szCs w:val="16"/>
                <w:lang w:eastAsia="es-AR"/>
              </w:rPr>
              <w:t>8</w:t>
            </w:r>
            <w:r>
              <w:rPr>
                <w:rFonts w:ascii="Arial" w:hAnsi="Arial" w:cs="Arial"/>
                <w:sz w:val="16"/>
                <w:szCs w:val="16"/>
                <w:lang w:eastAsia="es-AR"/>
              </w:rPr>
              <w:t>.</w:t>
            </w:r>
            <w:r w:rsidR="009939A1">
              <w:rPr>
                <w:rFonts w:ascii="Arial" w:hAnsi="Arial" w:cs="Arial"/>
                <w:sz w:val="16"/>
                <w:szCs w:val="16"/>
                <w:lang w:eastAsia="es-AR"/>
              </w:rPr>
              <w:t>985</w:t>
            </w:r>
          </w:p>
        </w:tc>
        <w:tc>
          <w:tcPr>
            <w:tcW w:w="1134" w:type="dxa"/>
            <w:tcBorders>
              <w:top w:val="nil"/>
              <w:left w:val="nil"/>
              <w:bottom w:val="nil"/>
              <w:right w:val="nil"/>
            </w:tcBorders>
            <w:vAlign w:val="bottom"/>
          </w:tcPr>
          <w:p w14:paraId="412FBA53" w14:textId="25120FAE" w:rsidR="0043794C" w:rsidRPr="001A10B5" w:rsidRDefault="00330471">
            <w:pPr>
              <w:jc w:val="right"/>
              <w:rPr>
                <w:rFonts w:ascii="Arial" w:hAnsi="Arial" w:cs="Arial"/>
                <w:sz w:val="16"/>
                <w:szCs w:val="16"/>
                <w:lang w:eastAsia="es-AR"/>
              </w:rPr>
            </w:pPr>
            <w:r>
              <w:rPr>
                <w:rFonts w:ascii="Arial" w:hAnsi="Arial" w:cs="Arial"/>
                <w:sz w:val="16"/>
                <w:szCs w:val="16"/>
                <w:lang w:eastAsia="es-AR"/>
              </w:rPr>
              <w:t>55</w:t>
            </w:r>
            <w:r w:rsidR="009939A1">
              <w:rPr>
                <w:rFonts w:ascii="Arial" w:hAnsi="Arial" w:cs="Arial"/>
                <w:sz w:val="16"/>
                <w:szCs w:val="16"/>
                <w:lang w:eastAsia="es-AR"/>
              </w:rPr>
              <w:t>6</w:t>
            </w:r>
            <w:r>
              <w:rPr>
                <w:rFonts w:ascii="Arial" w:hAnsi="Arial" w:cs="Arial"/>
                <w:sz w:val="16"/>
                <w:szCs w:val="16"/>
                <w:lang w:eastAsia="es-AR"/>
              </w:rPr>
              <w:t>.</w:t>
            </w:r>
            <w:r w:rsidR="009939A1">
              <w:rPr>
                <w:rFonts w:ascii="Arial" w:hAnsi="Arial" w:cs="Arial"/>
                <w:sz w:val="16"/>
                <w:szCs w:val="16"/>
                <w:lang w:eastAsia="es-AR"/>
              </w:rPr>
              <w:t>549</w:t>
            </w:r>
          </w:p>
        </w:tc>
        <w:tc>
          <w:tcPr>
            <w:tcW w:w="992" w:type="dxa"/>
            <w:tcBorders>
              <w:top w:val="nil"/>
              <w:left w:val="nil"/>
              <w:bottom w:val="nil"/>
              <w:right w:val="nil"/>
            </w:tcBorders>
            <w:vAlign w:val="bottom"/>
          </w:tcPr>
          <w:p w14:paraId="5F0BD8D8" w14:textId="5F3494D1" w:rsidR="0043794C" w:rsidRPr="001A10B5" w:rsidRDefault="00AF1BF5">
            <w:pPr>
              <w:jc w:val="right"/>
              <w:rPr>
                <w:rFonts w:ascii="Arial" w:hAnsi="Arial" w:cs="Arial"/>
                <w:sz w:val="16"/>
                <w:szCs w:val="16"/>
                <w:lang w:eastAsia="es-AR"/>
              </w:rPr>
            </w:pPr>
            <w:r>
              <w:rPr>
                <w:rFonts w:ascii="Arial" w:hAnsi="Arial" w:cs="Arial"/>
                <w:sz w:val="16"/>
                <w:szCs w:val="16"/>
                <w:lang w:eastAsia="es-AR"/>
              </w:rPr>
              <w:t>5</w:t>
            </w:r>
            <w:r w:rsidR="009939A1">
              <w:rPr>
                <w:rFonts w:ascii="Arial" w:hAnsi="Arial" w:cs="Arial"/>
                <w:sz w:val="16"/>
                <w:szCs w:val="16"/>
                <w:lang w:eastAsia="es-AR"/>
              </w:rPr>
              <w:t>77</w:t>
            </w:r>
            <w:r>
              <w:rPr>
                <w:rFonts w:ascii="Arial" w:hAnsi="Arial" w:cs="Arial"/>
                <w:sz w:val="16"/>
                <w:szCs w:val="16"/>
                <w:lang w:eastAsia="es-AR"/>
              </w:rPr>
              <w:t>.</w:t>
            </w:r>
            <w:r w:rsidR="009939A1">
              <w:rPr>
                <w:rFonts w:ascii="Arial" w:hAnsi="Arial" w:cs="Arial"/>
                <w:sz w:val="16"/>
                <w:szCs w:val="16"/>
                <w:lang w:eastAsia="es-AR"/>
              </w:rPr>
              <w:t>851</w:t>
            </w:r>
          </w:p>
        </w:tc>
        <w:tc>
          <w:tcPr>
            <w:tcW w:w="1134" w:type="dxa"/>
            <w:tcBorders>
              <w:top w:val="nil"/>
              <w:left w:val="nil"/>
              <w:bottom w:val="nil"/>
              <w:right w:val="nil"/>
            </w:tcBorders>
            <w:vAlign w:val="bottom"/>
          </w:tcPr>
          <w:p w14:paraId="648AB660" w14:textId="518D1C86" w:rsidR="0043794C" w:rsidRPr="001A10B5" w:rsidRDefault="00AF1BF5">
            <w:pPr>
              <w:jc w:val="right"/>
              <w:rPr>
                <w:rFonts w:ascii="Arial" w:hAnsi="Arial" w:cs="Arial"/>
                <w:sz w:val="16"/>
                <w:szCs w:val="16"/>
                <w:lang w:eastAsia="es-AR"/>
              </w:rPr>
            </w:pPr>
            <w:r>
              <w:rPr>
                <w:rFonts w:ascii="Arial" w:hAnsi="Arial" w:cs="Arial"/>
                <w:sz w:val="16"/>
                <w:szCs w:val="16"/>
                <w:lang w:eastAsia="es-AR"/>
              </w:rPr>
              <w:t>3</w:t>
            </w:r>
            <w:r w:rsidR="009939A1">
              <w:rPr>
                <w:rFonts w:ascii="Arial" w:hAnsi="Arial" w:cs="Arial"/>
                <w:sz w:val="16"/>
                <w:szCs w:val="16"/>
                <w:lang w:eastAsia="es-AR"/>
              </w:rPr>
              <w:t>68</w:t>
            </w:r>
            <w:r>
              <w:rPr>
                <w:rFonts w:ascii="Arial" w:hAnsi="Arial" w:cs="Arial"/>
                <w:sz w:val="16"/>
                <w:szCs w:val="16"/>
                <w:lang w:eastAsia="es-AR"/>
              </w:rPr>
              <w:t>.</w:t>
            </w:r>
            <w:r w:rsidR="009939A1">
              <w:rPr>
                <w:rFonts w:ascii="Arial" w:hAnsi="Arial" w:cs="Arial"/>
                <w:sz w:val="16"/>
                <w:szCs w:val="16"/>
                <w:lang w:eastAsia="es-AR"/>
              </w:rPr>
              <w:t>592</w:t>
            </w:r>
          </w:p>
        </w:tc>
        <w:tc>
          <w:tcPr>
            <w:tcW w:w="1134" w:type="dxa"/>
            <w:tcBorders>
              <w:top w:val="nil"/>
              <w:left w:val="nil"/>
              <w:bottom w:val="nil"/>
              <w:right w:val="nil"/>
            </w:tcBorders>
            <w:vAlign w:val="bottom"/>
          </w:tcPr>
          <w:p w14:paraId="38836DE5" w14:textId="62477379" w:rsidR="0043794C" w:rsidRPr="001A10B5" w:rsidRDefault="00AF1BF5">
            <w:pPr>
              <w:jc w:val="right"/>
              <w:rPr>
                <w:rFonts w:ascii="Arial" w:hAnsi="Arial" w:cs="Arial"/>
                <w:sz w:val="16"/>
                <w:szCs w:val="16"/>
                <w:lang w:eastAsia="es-AR"/>
              </w:rPr>
            </w:pPr>
            <w:r>
              <w:rPr>
                <w:rFonts w:ascii="Arial" w:hAnsi="Arial" w:cs="Arial"/>
                <w:sz w:val="16"/>
                <w:szCs w:val="16"/>
                <w:lang w:eastAsia="es-AR"/>
              </w:rPr>
              <w:t>5</w:t>
            </w:r>
            <w:r w:rsidR="009939A1">
              <w:rPr>
                <w:rFonts w:ascii="Arial" w:hAnsi="Arial" w:cs="Arial"/>
                <w:sz w:val="16"/>
                <w:szCs w:val="16"/>
                <w:lang w:eastAsia="es-AR"/>
              </w:rPr>
              <w:t>33.279</w:t>
            </w:r>
          </w:p>
        </w:tc>
        <w:tc>
          <w:tcPr>
            <w:tcW w:w="1134" w:type="dxa"/>
            <w:tcBorders>
              <w:top w:val="nil"/>
              <w:left w:val="nil"/>
              <w:bottom w:val="nil"/>
              <w:right w:val="nil"/>
            </w:tcBorders>
            <w:vAlign w:val="bottom"/>
          </w:tcPr>
          <w:p w14:paraId="251BCF0C" w14:textId="47F66387" w:rsidR="0043794C" w:rsidRPr="001A10B5" w:rsidRDefault="00AF1BF5">
            <w:pPr>
              <w:jc w:val="right"/>
              <w:rPr>
                <w:rFonts w:ascii="Arial" w:hAnsi="Arial" w:cs="Arial"/>
                <w:sz w:val="16"/>
                <w:szCs w:val="16"/>
                <w:lang w:eastAsia="es-AR"/>
              </w:rPr>
            </w:pPr>
            <w:r>
              <w:rPr>
                <w:rFonts w:ascii="Arial" w:hAnsi="Arial" w:cs="Arial"/>
                <w:sz w:val="16"/>
                <w:szCs w:val="16"/>
                <w:lang w:eastAsia="es-AR"/>
              </w:rPr>
              <w:t>7.</w:t>
            </w:r>
            <w:r w:rsidR="00330471">
              <w:rPr>
                <w:rFonts w:ascii="Arial" w:hAnsi="Arial" w:cs="Arial"/>
                <w:sz w:val="16"/>
                <w:szCs w:val="16"/>
                <w:lang w:eastAsia="es-AR"/>
              </w:rPr>
              <w:t>3</w:t>
            </w:r>
            <w:r w:rsidR="009939A1">
              <w:rPr>
                <w:rFonts w:ascii="Arial" w:hAnsi="Arial" w:cs="Arial"/>
                <w:sz w:val="16"/>
                <w:szCs w:val="16"/>
                <w:lang w:eastAsia="es-AR"/>
              </w:rPr>
              <w:t>63</w:t>
            </w:r>
            <w:r>
              <w:rPr>
                <w:rFonts w:ascii="Arial" w:hAnsi="Arial" w:cs="Arial"/>
                <w:sz w:val="16"/>
                <w:szCs w:val="16"/>
                <w:lang w:eastAsia="es-AR"/>
              </w:rPr>
              <w:t>.</w:t>
            </w:r>
            <w:r w:rsidR="00330471">
              <w:rPr>
                <w:rFonts w:ascii="Arial" w:hAnsi="Arial" w:cs="Arial"/>
                <w:sz w:val="16"/>
                <w:szCs w:val="16"/>
                <w:lang w:eastAsia="es-AR"/>
              </w:rPr>
              <w:t>9</w:t>
            </w:r>
            <w:r w:rsidR="009939A1">
              <w:rPr>
                <w:rFonts w:ascii="Arial" w:hAnsi="Arial" w:cs="Arial"/>
                <w:sz w:val="16"/>
                <w:szCs w:val="16"/>
                <w:lang w:eastAsia="es-AR"/>
              </w:rPr>
              <w:t>26</w:t>
            </w:r>
          </w:p>
        </w:tc>
      </w:tr>
      <w:tr w:rsidR="00F71ED9" w:rsidRPr="00326E79" w14:paraId="0D8A77BB" w14:textId="77777777" w:rsidTr="006E1AF7">
        <w:tc>
          <w:tcPr>
            <w:tcW w:w="2235" w:type="dxa"/>
            <w:tcBorders>
              <w:top w:val="nil"/>
              <w:left w:val="nil"/>
              <w:bottom w:val="nil"/>
              <w:right w:val="nil"/>
            </w:tcBorders>
            <w:vAlign w:val="bottom"/>
          </w:tcPr>
          <w:p w14:paraId="0BF40A4D" w14:textId="77777777" w:rsidR="0043794C" w:rsidRPr="001A10B5" w:rsidRDefault="0043794C" w:rsidP="0043794C">
            <w:pPr>
              <w:rPr>
                <w:rFonts w:ascii="Arial" w:hAnsi="Arial" w:cs="Arial"/>
                <w:b/>
                <w:sz w:val="16"/>
                <w:szCs w:val="16"/>
                <w:lang w:eastAsia="es-AR"/>
              </w:rPr>
            </w:pPr>
          </w:p>
        </w:tc>
        <w:tc>
          <w:tcPr>
            <w:tcW w:w="1146" w:type="dxa"/>
            <w:tcBorders>
              <w:top w:val="nil"/>
              <w:left w:val="nil"/>
              <w:bottom w:val="nil"/>
              <w:right w:val="nil"/>
            </w:tcBorders>
            <w:vAlign w:val="bottom"/>
          </w:tcPr>
          <w:p w14:paraId="2C3BD569" w14:textId="77777777" w:rsidR="0043794C" w:rsidRPr="004708CB" w:rsidRDefault="0043794C">
            <w:pPr>
              <w:jc w:val="right"/>
              <w:rPr>
                <w:rFonts w:ascii="Arial" w:hAnsi="Arial" w:cs="Arial"/>
                <w:sz w:val="16"/>
                <w:szCs w:val="16"/>
                <w:lang w:eastAsia="es-AR"/>
              </w:rPr>
            </w:pPr>
          </w:p>
        </w:tc>
        <w:tc>
          <w:tcPr>
            <w:tcW w:w="1276" w:type="dxa"/>
            <w:tcBorders>
              <w:top w:val="nil"/>
              <w:left w:val="nil"/>
              <w:bottom w:val="nil"/>
              <w:right w:val="nil"/>
            </w:tcBorders>
            <w:vAlign w:val="bottom"/>
          </w:tcPr>
          <w:p w14:paraId="0E76E1C8" w14:textId="77777777" w:rsidR="0043794C" w:rsidRPr="00F77F7F"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01C077D2" w14:textId="77777777" w:rsidR="0043794C" w:rsidRPr="0012241E" w:rsidRDefault="0043794C">
            <w:pPr>
              <w:jc w:val="right"/>
              <w:rPr>
                <w:rFonts w:ascii="Arial" w:hAnsi="Arial" w:cs="Arial"/>
                <w:sz w:val="16"/>
                <w:szCs w:val="16"/>
                <w:lang w:eastAsia="es-AR"/>
              </w:rPr>
            </w:pPr>
          </w:p>
        </w:tc>
        <w:tc>
          <w:tcPr>
            <w:tcW w:w="992" w:type="dxa"/>
            <w:tcBorders>
              <w:top w:val="nil"/>
              <w:left w:val="nil"/>
              <w:bottom w:val="nil"/>
              <w:right w:val="nil"/>
            </w:tcBorders>
            <w:vAlign w:val="bottom"/>
          </w:tcPr>
          <w:p w14:paraId="4FC175AD" w14:textId="77777777" w:rsidR="0043794C" w:rsidRPr="00B85009"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4BCC4524" w14:textId="77777777" w:rsidR="0043794C" w:rsidRPr="00EC10A9"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76855802" w14:textId="77777777" w:rsidR="0043794C" w:rsidRPr="003D4ED0"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748E2E13" w14:textId="77777777" w:rsidR="0043794C" w:rsidRPr="00066653" w:rsidRDefault="0043794C">
            <w:pPr>
              <w:jc w:val="right"/>
              <w:rPr>
                <w:rFonts w:ascii="Arial" w:hAnsi="Arial" w:cs="Arial"/>
                <w:sz w:val="16"/>
                <w:szCs w:val="16"/>
                <w:lang w:eastAsia="es-AR"/>
              </w:rPr>
            </w:pPr>
          </w:p>
        </w:tc>
      </w:tr>
      <w:tr w:rsidR="004D5C01" w:rsidRPr="00326E79" w14:paraId="4ABF84D4" w14:textId="77777777" w:rsidTr="006E1AF7">
        <w:tc>
          <w:tcPr>
            <w:tcW w:w="2235" w:type="dxa"/>
            <w:tcBorders>
              <w:top w:val="nil"/>
              <w:left w:val="nil"/>
              <w:bottom w:val="nil"/>
              <w:right w:val="nil"/>
            </w:tcBorders>
            <w:vAlign w:val="bottom"/>
          </w:tcPr>
          <w:p w14:paraId="433019A8" w14:textId="2301C8FC" w:rsidR="004D5C01" w:rsidRPr="004708CB" w:rsidRDefault="004D5C01" w:rsidP="004D5C01">
            <w:pPr>
              <w:rPr>
                <w:rFonts w:ascii="Arial" w:hAnsi="Arial" w:cs="Arial"/>
                <w:b/>
                <w:sz w:val="16"/>
                <w:szCs w:val="16"/>
                <w:lang w:eastAsia="es-AR"/>
              </w:rPr>
            </w:pPr>
            <w:r w:rsidRPr="001A10B5">
              <w:rPr>
                <w:rFonts w:ascii="Arial" w:hAnsi="Arial" w:cs="Arial"/>
                <w:b/>
                <w:sz w:val="16"/>
                <w:szCs w:val="16"/>
                <w:lang w:eastAsia="es-AR"/>
              </w:rPr>
              <w:t xml:space="preserve">Financiaciones recibidas del BCRA y otras </w:t>
            </w:r>
            <w:r w:rsidRPr="004708CB">
              <w:rPr>
                <w:rFonts w:ascii="Arial" w:hAnsi="Arial" w:cs="Arial"/>
                <w:b/>
                <w:sz w:val="16"/>
                <w:szCs w:val="16"/>
                <w:lang w:eastAsia="es-AR"/>
              </w:rPr>
              <w:t>instituciones financieras</w:t>
            </w:r>
          </w:p>
        </w:tc>
        <w:tc>
          <w:tcPr>
            <w:tcW w:w="1146" w:type="dxa"/>
            <w:tcBorders>
              <w:top w:val="nil"/>
              <w:left w:val="nil"/>
              <w:bottom w:val="nil"/>
              <w:right w:val="nil"/>
            </w:tcBorders>
            <w:vAlign w:val="bottom"/>
          </w:tcPr>
          <w:p w14:paraId="275523BD" w14:textId="525512D9" w:rsidR="004D5C01" w:rsidRPr="001A10B5" w:rsidRDefault="004D5C01">
            <w:pPr>
              <w:jc w:val="right"/>
              <w:rPr>
                <w:rFonts w:ascii="Arial" w:hAnsi="Arial" w:cs="Arial"/>
                <w:sz w:val="16"/>
                <w:szCs w:val="16"/>
                <w:lang w:eastAsia="es-AR"/>
              </w:rPr>
            </w:pPr>
            <w:r>
              <w:rPr>
                <w:rFonts w:ascii="Arial" w:hAnsi="Arial" w:cs="Arial"/>
                <w:sz w:val="16"/>
                <w:szCs w:val="16"/>
              </w:rPr>
              <w:t xml:space="preserve">                 7.400.726 </w:t>
            </w:r>
          </w:p>
        </w:tc>
        <w:tc>
          <w:tcPr>
            <w:tcW w:w="1276" w:type="dxa"/>
            <w:tcBorders>
              <w:top w:val="nil"/>
              <w:left w:val="nil"/>
              <w:bottom w:val="nil"/>
              <w:right w:val="nil"/>
            </w:tcBorders>
            <w:vAlign w:val="bottom"/>
          </w:tcPr>
          <w:p w14:paraId="0848DE1C" w14:textId="24C102C0" w:rsidR="004D5C01" w:rsidRPr="001A10B5" w:rsidRDefault="004D5C01">
            <w:pPr>
              <w:jc w:val="right"/>
              <w:rPr>
                <w:rFonts w:ascii="Arial" w:hAnsi="Arial" w:cs="Arial"/>
                <w:sz w:val="16"/>
                <w:szCs w:val="16"/>
                <w:lang w:eastAsia="es-AR"/>
              </w:rPr>
            </w:pPr>
            <w:r>
              <w:rPr>
                <w:rFonts w:ascii="Arial" w:hAnsi="Arial" w:cs="Arial"/>
                <w:sz w:val="16"/>
                <w:szCs w:val="16"/>
              </w:rPr>
              <w:t xml:space="preserve">                 966.831 </w:t>
            </w:r>
          </w:p>
        </w:tc>
        <w:tc>
          <w:tcPr>
            <w:tcW w:w="1134" w:type="dxa"/>
            <w:tcBorders>
              <w:top w:val="nil"/>
              <w:left w:val="nil"/>
              <w:bottom w:val="nil"/>
              <w:right w:val="nil"/>
            </w:tcBorders>
            <w:vAlign w:val="bottom"/>
          </w:tcPr>
          <w:p w14:paraId="6E7D807B" w14:textId="1B933327" w:rsidR="004D5C01" w:rsidRPr="001A10B5" w:rsidRDefault="004D5C01">
            <w:pPr>
              <w:jc w:val="right"/>
              <w:rPr>
                <w:rFonts w:ascii="Arial" w:hAnsi="Arial" w:cs="Arial"/>
                <w:sz w:val="16"/>
                <w:szCs w:val="16"/>
                <w:lang w:eastAsia="es-AR"/>
              </w:rPr>
            </w:pPr>
            <w:r>
              <w:rPr>
                <w:rFonts w:ascii="Arial" w:hAnsi="Arial" w:cs="Arial"/>
                <w:sz w:val="16"/>
                <w:szCs w:val="16"/>
              </w:rPr>
              <w:t xml:space="preserve">              202.593 </w:t>
            </w:r>
          </w:p>
        </w:tc>
        <w:tc>
          <w:tcPr>
            <w:tcW w:w="992" w:type="dxa"/>
            <w:tcBorders>
              <w:top w:val="nil"/>
              <w:left w:val="nil"/>
              <w:bottom w:val="nil"/>
              <w:right w:val="nil"/>
            </w:tcBorders>
            <w:vAlign w:val="bottom"/>
          </w:tcPr>
          <w:p w14:paraId="5FB6E43F" w14:textId="791E29DE" w:rsidR="004D5C01" w:rsidRPr="001A10B5" w:rsidRDefault="004D5C01">
            <w:pPr>
              <w:jc w:val="right"/>
              <w:rPr>
                <w:rFonts w:ascii="Arial" w:hAnsi="Arial" w:cs="Arial"/>
                <w:sz w:val="16"/>
                <w:szCs w:val="16"/>
                <w:lang w:eastAsia="es-AR"/>
              </w:rPr>
            </w:pPr>
            <w:r>
              <w:rPr>
                <w:rFonts w:ascii="Arial" w:hAnsi="Arial" w:cs="Arial"/>
                <w:sz w:val="16"/>
                <w:szCs w:val="16"/>
              </w:rPr>
              <w:t xml:space="preserve">              355.116 </w:t>
            </w:r>
          </w:p>
        </w:tc>
        <w:tc>
          <w:tcPr>
            <w:tcW w:w="1134" w:type="dxa"/>
            <w:tcBorders>
              <w:top w:val="nil"/>
              <w:left w:val="nil"/>
              <w:bottom w:val="nil"/>
              <w:right w:val="nil"/>
            </w:tcBorders>
            <w:vAlign w:val="bottom"/>
          </w:tcPr>
          <w:p w14:paraId="065F1E94" w14:textId="15392D86" w:rsidR="004D5C01" w:rsidRPr="001A10B5" w:rsidRDefault="004D5C01">
            <w:pPr>
              <w:jc w:val="right"/>
              <w:rPr>
                <w:rFonts w:ascii="Arial" w:hAnsi="Arial" w:cs="Arial"/>
                <w:sz w:val="16"/>
                <w:szCs w:val="16"/>
                <w:lang w:eastAsia="es-AR"/>
              </w:rPr>
            </w:pPr>
            <w:r>
              <w:rPr>
                <w:rFonts w:ascii="Arial" w:hAnsi="Arial" w:cs="Arial"/>
                <w:sz w:val="16"/>
                <w:szCs w:val="16"/>
              </w:rPr>
              <w:t xml:space="preserve">                 572.505 </w:t>
            </w:r>
          </w:p>
        </w:tc>
        <w:tc>
          <w:tcPr>
            <w:tcW w:w="1134" w:type="dxa"/>
            <w:tcBorders>
              <w:top w:val="nil"/>
              <w:left w:val="nil"/>
              <w:bottom w:val="nil"/>
              <w:right w:val="nil"/>
            </w:tcBorders>
            <w:vAlign w:val="bottom"/>
          </w:tcPr>
          <w:p w14:paraId="0A24D781" w14:textId="4D943B88" w:rsidR="004D5C01" w:rsidRPr="001A10B5" w:rsidRDefault="004D5C01">
            <w:pPr>
              <w:jc w:val="right"/>
              <w:rPr>
                <w:rFonts w:ascii="Arial" w:hAnsi="Arial" w:cs="Arial"/>
                <w:sz w:val="16"/>
                <w:szCs w:val="16"/>
                <w:lang w:eastAsia="es-AR"/>
              </w:rPr>
            </w:pPr>
            <w:r>
              <w:rPr>
                <w:rFonts w:ascii="Arial" w:hAnsi="Arial" w:cs="Arial"/>
                <w:sz w:val="16"/>
                <w:szCs w:val="16"/>
              </w:rPr>
              <w:t xml:space="preserve">                 339.929 </w:t>
            </w:r>
          </w:p>
        </w:tc>
        <w:tc>
          <w:tcPr>
            <w:tcW w:w="1134" w:type="dxa"/>
            <w:tcBorders>
              <w:top w:val="nil"/>
              <w:left w:val="nil"/>
              <w:bottom w:val="nil"/>
              <w:right w:val="nil"/>
            </w:tcBorders>
            <w:vAlign w:val="bottom"/>
          </w:tcPr>
          <w:p w14:paraId="426C2B22" w14:textId="4ABC9FAE" w:rsidR="004D5C01" w:rsidRPr="001A10B5" w:rsidRDefault="004D5C01">
            <w:pPr>
              <w:jc w:val="right"/>
              <w:rPr>
                <w:rFonts w:ascii="Arial" w:hAnsi="Arial" w:cs="Arial"/>
                <w:sz w:val="16"/>
                <w:szCs w:val="16"/>
                <w:lang w:eastAsia="es-AR"/>
              </w:rPr>
            </w:pPr>
            <w:r>
              <w:rPr>
                <w:rFonts w:ascii="Arial" w:hAnsi="Arial" w:cs="Arial"/>
                <w:sz w:val="16"/>
                <w:szCs w:val="16"/>
              </w:rPr>
              <w:t xml:space="preserve">                  9.837.700 </w:t>
            </w:r>
          </w:p>
        </w:tc>
      </w:tr>
      <w:tr w:rsidR="00F71ED9" w:rsidRPr="00326E79" w14:paraId="44617732" w14:textId="77777777" w:rsidTr="006E1AF7">
        <w:tc>
          <w:tcPr>
            <w:tcW w:w="2235" w:type="dxa"/>
            <w:tcBorders>
              <w:top w:val="nil"/>
              <w:left w:val="nil"/>
              <w:bottom w:val="nil"/>
              <w:right w:val="nil"/>
            </w:tcBorders>
            <w:vAlign w:val="bottom"/>
          </w:tcPr>
          <w:p w14:paraId="142624E4" w14:textId="77777777" w:rsidR="0043794C" w:rsidRPr="001A10B5" w:rsidRDefault="0043794C" w:rsidP="0043794C">
            <w:pPr>
              <w:rPr>
                <w:rFonts w:ascii="Arial" w:hAnsi="Arial" w:cs="Arial"/>
                <w:b/>
                <w:sz w:val="16"/>
                <w:szCs w:val="16"/>
                <w:lang w:eastAsia="es-AR"/>
              </w:rPr>
            </w:pPr>
          </w:p>
        </w:tc>
        <w:tc>
          <w:tcPr>
            <w:tcW w:w="1146" w:type="dxa"/>
            <w:tcBorders>
              <w:top w:val="nil"/>
              <w:left w:val="nil"/>
              <w:bottom w:val="nil"/>
              <w:right w:val="nil"/>
            </w:tcBorders>
            <w:vAlign w:val="bottom"/>
          </w:tcPr>
          <w:p w14:paraId="1662008B" w14:textId="77777777" w:rsidR="0043794C" w:rsidRPr="004708CB" w:rsidRDefault="0043794C">
            <w:pPr>
              <w:jc w:val="right"/>
              <w:rPr>
                <w:rFonts w:ascii="Arial" w:hAnsi="Arial" w:cs="Arial"/>
                <w:sz w:val="16"/>
                <w:szCs w:val="16"/>
                <w:lang w:eastAsia="es-AR"/>
              </w:rPr>
            </w:pPr>
          </w:p>
        </w:tc>
        <w:tc>
          <w:tcPr>
            <w:tcW w:w="1276" w:type="dxa"/>
            <w:tcBorders>
              <w:top w:val="nil"/>
              <w:left w:val="nil"/>
              <w:bottom w:val="nil"/>
              <w:right w:val="nil"/>
            </w:tcBorders>
            <w:vAlign w:val="bottom"/>
          </w:tcPr>
          <w:p w14:paraId="48BB9370" w14:textId="77777777" w:rsidR="0043794C" w:rsidRPr="00F77F7F"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5F13F957" w14:textId="77777777" w:rsidR="0043794C" w:rsidRPr="0012241E" w:rsidRDefault="0043794C">
            <w:pPr>
              <w:jc w:val="right"/>
              <w:rPr>
                <w:rFonts w:ascii="Arial" w:hAnsi="Arial" w:cs="Arial"/>
                <w:sz w:val="16"/>
                <w:szCs w:val="16"/>
                <w:lang w:eastAsia="es-AR"/>
              </w:rPr>
            </w:pPr>
          </w:p>
        </w:tc>
        <w:tc>
          <w:tcPr>
            <w:tcW w:w="992" w:type="dxa"/>
            <w:tcBorders>
              <w:top w:val="nil"/>
              <w:left w:val="nil"/>
              <w:bottom w:val="nil"/>
              <w:right w:val="nil"/>
            </w:tcBorders>
            <w:vAlign w:val="bottom"/>
          </w:tcPr>
          <w:p w14:paraId="1C516DA7" w14:textId="77777777" w:rsidR="0043794C" w:rsidRPr="00B85009"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7AE85A7C" w14:textId="77777777" w:rsidR="0043794C" w:rsidRPr="00EC10A9"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3EE43771" w14:textId="77777777" w:rsidR="0043794C" w:rsidRPr="003D4ED0"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542FAF35" w14:textId="77777777" w:rsidR="0043794C" w:rsidRPr="00066653" w:rsidRDefault="0043794C">
            <w:pPr>
              <w:jc w:val="right"/>
              <w:rPr>
                <w:rFonts w:ascii="Arial" w:hAnsi="Arial" w:cs="Arial"/>
                <w:sz w:val="16"/>
                <w:szCs w:val="16"/>
                <w:lang w:eastAsia="es-AR"/>
              </w:rPr>
            </w:pPr>
          </w:p>
        </w:tc>
      </w:tr>
      <w:tr w:rsidR="00F71ED9" w:rsidRPr="00326E79" w14:paraId="43541D0F" w14:textId="77777777" w:rsidTr="006E1AF7">
        <w:tc>
          <w:tcPr>
            <w:tcW w:w="2235" w:type="dxa"/>
            <w:tcBorders>
              <w:top w:val="nil"/>
              <w:left w:val="nil"/>
              <w:bottom w:val="nil"/>
              <w:right w:val="nil"/>
            </w:tcBorders>
            <w:vAlign w:val="bottom"/>
          </w:tcPr>
          <w:p w14:paraId="59AB93B7" w14:textId="7AC6535F" w:rsidR="0043794C" w:rsidRPr="001A10B5" w:rsidRDefault="0043794C" w:rsidP="0043794C">
            <w:pPr>
              <w:rPr>
                <w:rFonts w:ascii="Arial" w:hAnsi="Arial" w:cs="Arial"/>
                <w:b/>
                <w:sz w:val="16"/>
                <w:szCs w:val="16"/>
                <w:lang w:eastAsia="es-AR"/>
              </w:rPr>
            </w:pPr>
            <w:r w:rsidRPr="001A10B5">
              <w:rPr>
                <w:rFonts w:ascii="Arial" w:hAnsi="Arial" w:cs="Arial"/>
                <w:b/>
                <w:sz w:val="16"/>
                <w:szCs w:val="16"/>
                <w:lang w:eastAsia="es-AR"/>
              </w:rPr>
              <w:t>Obligaciones negociables emitidas</w:t>
            </w:r>
          </w:p>
        </w:tc>
        <w:tc>
          <w:tcPr>
            <w:tcW w:w="1146" w:type="dxa"/>
            <w:tcBorders>
              <w:top w:val="nil"/>
              <w:left w:val="nil"/>
              <w:bottom w:val="nil"/>
              <w:right w:val="nil"/>
            </w:tcBorders>
            <w:vAlign w:val="bottom"/>
          </w:tcPr>
          <w:p w14:paraId="264EBF01" w14:textId="68D93C47" w:rsidR="0043794C" w:rsidRPr="004708CB" w:rsidRDefault="00AF1BF5">
            <w:pPr>
              <w:jc w:val="right"/>
              <w:rPr>
                <w:rFonts w:ascii="Arial" w:hAnsi="Arial" w:cs="Arial"/>
                <w:sz w:val="16"/>
                <w:szCs w:val="16"/>
                <w:lang w:eastAsia="es-AR"/>
              </w:rPr>
            </w:pPr>
            <w:r>
              <w:rPr>
                <w:rFonts w:ascii="Arial" w:hAnsi="Arial" w:cs="Arial"/>
                <w:sz w:val="16"/>
                <w:szCs w:val="16"/>
                <w:lang w:eastAsia="es-AR"/>
              </w:rPr>
              <w:t>-</w:t>
            </w:r>
          </w:p>
        </w:tc>
        <w:tc>
          <w:tcPr>
            <w:tcW w:w="1276" w:type="dxa"/>
            <w:tcBorders>
              <w:top w:val="nil"/>
              <w:left w:val="nil"/>
              <w:bottom w:val="nil"/>
              <w:right w:val="nil"/>
            </w:tcBorders>
            <w:vAlign w:val="bottom"/>
          </w:tcPr>
          <w:p w14:paraId="360255F1" w14:textId="01757AC0" w:rsidR="0043794C" w:rsidRPr="0012241E" w:rsidRDefault="00AF1BF5">
            <w:pPr>
              <w:jc w:val="right"/>
              <w:rPr>
                <w:rFonts w:ascii="Arial" w:hAnsi="Arial" w:cs="Arial"/>
                <w:sz w:val="16"/>
                <w:szCs w:val="16"/>
                <w:lang w:eastAsia="es-AR"/>
              </w:rPr>
            </w:pPr>
            <w:r>
              <w:rPr>
                <w:rFonts w:ascii="Arial" w:hAnsi="Arial" w:cs="Arial"/>
                <w:sz w:val="16"/>
                <w:szCs w:val="16"/>
                <w:lang w:eastAsia="es-AR"/>
              </w:rPr>
              <w:t>2.622.814</w:t>
            </w:r>
          </w:p>
        </w:tc>
        <w:tc>
          <w:tcPr>
            <w:tcW w:w="1134" w:type="dxa"/>
            <w:tcBorders>
              <w:top w:val="nil"/>
              <w:left w:val="nil"/>
              <w:bottom w:val="nil"/>
              <w:right w:val="nil"/>
            </w:tcBorders>
            <w:vAlign w:val="bottom"/>
          </w:tcPr>
          <w:p w14:paraId="12A7CA75" w14:textId="3CDCBA80" w:rsidR="0043794C" w:rsidRPr="00EC10A9" w:rsidRDefault="00AF1BF5">
            <w:pPr>
              <w:jc w:val="right"/>
              <w:rPr>
                <w:rFonts w:ascii="Arial" w:hAnsi="Arial" w:cs="Arial"/>
                <w:sz w:val="16"/>
                <w:szCs w:val="16"/>
                <w:lang w:eastAsia="es-AR"/>
              </w:rPr>
            </w:pPr>
            <w:r>
              <w:rPr>
                <w:rFonts w:ascii="Arial" w:hAnsi="Arial" w:cs="Arial"/>
                <w:sz w:val="16"/>
                <w:szCs w:val="16"/>
                <w:lang w:eastAsia="es-AR"/>
              </w:rPr>
              <w:t>451.878</w:t>
            </w:r>
          </w:p>
        </w:tc>
        <w:tc>
          <w:tcPr>
            <w:tcW w:w="992" w:type="dxa"/>
            <w:tcBorders>
              <w:top w:val="nil"/>
              <w:left w:val="nil"/>
              <w:bottom w:val="nil"/>
              <w:right w:val="nil"/>
            </w:tcBorders>
            <w:vAlign w:val="bottom"/>
          </w:tcPr>
          <w:p w14:paraId="4A0E9E0E" w14:textId="3F43D3BF" w:rsidR="0043794C" w:rsidRPr="00066653" w:rsidRDefault="00AF1BF5">
            <w:pPr>
              <w:jc w:val="right"/>
              <w:rPr>
                <w:rFonts w:ascii="Arial" w:hAnsi="Arial" w:cs="Arial"/>
                <w:sz w:val="16"/>
                <w:szCs w:val="16"/>
                <w:lang w:eastAsia="es-AR"/>
              </w:rPr>
            </w:pPr>
            <w:r>
              <w:rPr>
                <w:rFonts w:ascii="Arial" w:hAnsi="Arial" w:cs="Arial"/>
                <w:sz w:val="16"/>
                <w:szCs w:val="16"/>
                <w:lang w:eastAsia="es-AR"/>
              </w:rPr>
              <w:t>2.871.655</w:t>
            </w:r>
          </w:p>
        </w:tc>
        <w:tc>
          <w:tcPr>
            <w:tcW w:w="1134" w:type="dxa"/>
            <w:tcBorders>
              <w:top w:val="nil"/>
              <w:left w:val="nil"/>
              <w:bottom w:val="nil"/>
              <w:right w:val="nil"/>
            </w:tcBorders>
            <w:vAlign w:val="bottom"/>
          </w:tcPr>
          <w:p w14:paraId="2DD257BA" w14:textId="327E5318" w:rsidR="0043794C" w:rsidRPr="00066653" w:rsidRDefault="00AF1BF5">
            <w:pPr>
              <w:jc w:val="right"/>
              <w:rPr>
                <w:rFonts w:ascii="Arial" w:hAnsi="Arial" w:cs="Arial"/>
                <w:sz w:val="16"/>
                <w:szCs w:val="16"/>
                <w:lang w:eastAsia="es-AR"/>
              </w:rPr>
            </w:pPr>
            <w:r>
              <w:rPr>
                <w:rFonts w:ascii="Arial" w:hAnsi="Arial" w:cs="Arial"/>
                <w:sz w:val="16"/>
                <w:szCs w:val="16"/>
                <w:lang w:eastAsia="es-AR"/>
              </w:rPr>
              <w:t>1.946.204</w:t>
            </w:r>
          </w:p>
        </w:tc>
        <w:tc>
          <w:tcPr>
            <w:tcW w:w="1134" w:type="dxa"/>
            <w:tcBorders>
              <w:top w:val="nil"/>
              <w:left w:val="nil"/>
              <w:bottom w:val="nil"/>
              <w:right w:val="nil"/>
            </w:tcBorders>
            <w:vAlign w:val="bottom"/>
          </w:tcPr>
          <w:p w14:paraId="797C4FD6" w14:textId="04681CD2" w:rsidR="0043794C" w:rsidRPr="00066653" w:rsidRDefault="00AF1BF5">
            <w:pPr>
              <w:jc w:val="right"/>
              <w:rPr>
                <w:rFonts w:ascii="Arial" w:hAnsi="Arial" w:cs="Arial"/>
                <w:sz w:val="16"/>
                <w:szCs w:val="16"/>
                <w:lang w:eastAsia="es-AR"/>
              </w:rPr>
            </w:pPr>
            <w:r>
              <w:rPr>
                <w:rFonts w:ascii="Arial" w:hAnsi="Arial" w:cs="Arial"/>
                <w:sz w:val="16"/>
                <w:szCs w:val="16"/>
                <w:lang w:eastAsia="es-AR"/>
              </w:rPr>
              <w:t>1.925.997</w:t>
            </w:r>
          </w:p>
        </w:tc>
        <w:tc>
          <w:tcPr>
            <w:tcW w:w="1134" w:type="dxa"/>
            <w:tcBorders>
              <w:top w:val="nil"/>
              <w:left w:val="nil"/>
              <w:bottom w:val="nil"/>
              <w:right w:val="nil"/>
            </w:tcBorders>
            <w:vAlign w:val="bottom"/>
          </w:tcPr>
          <w:p w14:paraId="310FB9B5" w14:textId="3A038FA6" w:rsidR="0043794C" w:rsidRPr="00066653" w:rsidRDefault="00AF1BF5">
            <w:pPr>
              <w:jc w:val="right"/>
              <w:rPr>
                <w:rFonts w:ascii="Arial" w:hAnsi="Arial" w:cs="Arial"/>
                <w:sz w:val="16"/>
                <w:szCs w:val="16"/>
                <w:lang w:eastAsia="es-AR"/>
              </w:rPr>
            </w:pPr>
            <w:r>
              <w:rPr>
                <w:rFonts w:ascii="Arial" w:hAnsi="Arial" w:cs="Arial"/>
                <w:sz w:val="16"/>
                <w:szCs w:val="16"/>
                <w:lang w:eastAsia="es-AR"/>
              </w:rPr>
              <w:t>9.818.548</w:t>
            </w:r>
          </w:p>
        </w:tc>
      </w:tr>
      <w:tr w:rsidR="00F71ED9" w:rsidRPr="00326E79" w14:paraId="043013D3" w14:textId="77777777" w:rsidTr="006E1AF7">
        <w:tc>
          <w:tcPr>
            <w:tcW w:w="2235" w:type="dxa"/>
            <w:tcBorders>
              <w:top w:val="nil"/>
              <w:left w:val="nil"/>
              <w:bottom w:val="nil"/>
              <w:right w:val="nil"/>
            </w:tcBorders>
            <w:vAlign w:val="bottom"/>
          </w:tcPr>
          <w:p w14:paraId="4FC97731" w14:textId="77777777" w:rsidR="0043794C" w:rsidRPr="001A10B5" w:rsidRDefault="0043794C" w:rsidP="0043794C">
            <w:pPr>
              <w:rPr>
                <w:rFonts w:ascii="Arial" w:hAnsi="Arial" w:cs="Arial"/>
                <w:b/>
                <w:sz w:val="16"/>
                <w:szCs w:val="16"/>
                <w:lang w:eastAsia="es-AR"/>
              </w:rPr>
            </w:pPr>
          </w:p>
        </w:tc>
        <w:tc>
          <w:tcPr>
            <w:tcW w:w="1146" w:type="dxa"/>
            <w:tcBorders>
              <w:top w:val="nil"/>
              <w:left w:val="nil"/>
              <w:bottom w:val="nil"/>
              <w:right w:val="nil"/>
            </w:tcBorders>
            <w:vAlign w:val="bottom"/>
          </w:tcPr>
          <w:p w14:paraId="7EEE65BE" w14:textId="77777777" w:rsidR="0043794C" w:rsidRPr="004708CB" w:rsidRDefault="0043794C">
            <w:pPr>
              <w:jc w:val="right"/>
              <w:rPr>
                <w:rFonts w:ascii="Arial" w:hAnsi="Arial" w:cs="Arial"/>
                <w:sz w:val="16"/>
                <w:szCs w:val="16"/>
                <w:lang w:eastAsia="es-AR"/>
              </w:rPr>
            </w:pPr>
          </w:p>
        </w:tc>
        <w:tc>
          <w:tcPr>
            <w:tcW w:w="1276" w:type="dxa"/>
            <w:tcBorders>
              <w:top w:val="nil"/>
              <w:left w:val="nil"/>
              <w:bottom w:val="nil"/>
              <w:right w:val="nil"/>
            </w:tcBorders>
            <w:vAlign w:val="bottom"/>
          </w:tcPr>
          <w:p w14:paraId="1AC22D27" w14:textId="77777777" w:rsidR="0043794C" w:rsidRPr="00F77F7F"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264ADFDA" w14:textId="77777777" w:rsidR="0043794C" w:rsidRPr="0012241E" w:rsidRDefault="0043794C">
            <w:pPr>
              <w:jc w:val="right"/>
              <w:rPr>
                <w:rFonts w:ascii="Arial" w:hAnsi="Arial" w:cs="Arial"/>
                <w:sz w:val="16"/>
                <w:szCs w:val="16"/>
                <w:lang w:eastAsia="es-AR"/>
              </w:rPr>
            </w:pPr>
          </w:p>
        </w:tc>
        <w:tc>
          <w:tcPr>
            <w:tcW w:w="992" w:type="dxa"/>
            <w:tcBorders>
              <w:top w:val="nil"/>
              <w:left w:val="nil"/>
              <w:bottom w:val="nil"/>
              <w:right w:val="nil"/>
            </w:tcBorders>
            <w:vAlign w:val="bottom"/>
          </w:tcPr>
          <w:p w14:paraId="217A67E4" w14:textId="77777777" w:rsidR="0043794C" w:rsidRPr="00B85009"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6FF06A6B" w14:textId="77777777" w:rsidR="0043794C" w:rsidRPr="00EC10A9"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752F8DD8" w14:textId="77777777" w:rsidR="0043794C" w:rsidRPr="003D4ED0" w:rsidRDefault="0043794C">
            <w:pPr>
              <w:jc w:val="right"/>
              <w:rPr>
                <w:rFonts w:ascii="Arial" w:hAnsi="Arial" w:cs="Arial"/>
                <w:sz w:val="16"/>
                <w:szCs w:val="16"/>
                <w:lang w:eastAsia="es-AR"/>
              </w:rPr>
            </w:pPr>
          </w:p>
        </w:tc>
        <w:tc>
          <w:tcPr>
            <w:tcW w:w="1134" w:type="dxa"/>
            <w:tcBorders>
              <w:top w:val="nil"/>
              <w:left w:val="nil"/>
              <w:bottom w:val="nil"/>
              <w:right w:val="nil"/>
            </w:tcBorders>
            <w:vAlign w:val="bottom"/>
          </w:tcPr>
          <w:p w14:paraId="3C6184CA" w14:textId="77777777" w:rsidR="0043794C" w:rsidRPr="00066653" w:rsidRDefault="0043794C">
            <w:pPr>
              <w:jc w:val="right"/>
              <w:rPr>
                <w:rFonts w:ascii="Arial" w:hAnsi="Arial" w:cs="Arial"/>
                <w:sz w:val="16"/>
                <w:szCs w:val="16"/>
                <w:lang w:eastAsia="es-AR"/>
              </w:rPr>
            </w:pPr>
          </w:p>
        </w:tc>
      </w:tr>
      <w:tr w:rsidR="00F71ED9" w:rsidRPr="00326E79" w14:paraId="3E82F654" w14:textId="77777777" w:rsidTr="006E1AF7">
        <w:tc>
          <w:tcPr>
            <w:tcW w:w="2235" w:type="dxa"/>
            <w:tcBorders>
              <w:top w:val="nil"/>
              <w:left w:val="nil"/>
              <w:bottom w:val="nil"/>
              <w:right w:val="nil"/>
            </w:tcBorders>
            <w:vAlign w:val="bottom"/>
          </w:tcPr>
          <w:p w14:paraId="64B44943" w14:textId="5C8DD412" w:rsidR="0043794C" w:rsidRPr="004708CB" w:rsidRDefault="0043794C" w:rsidP="0043794C">
            <w:pPr>
              <w:rPr>
                <w:rFonts w:ascii="Arial" w:hAnsi="Arial" w:cs="Arial"/>
                <w:b/>
                <w:sz w:val="16"/>
                <w:szCs w:val="16"/>
                <w:lang w:eastAsia="es-AR"/>
              </w:rPr>
            </w:pPr>
            <w:r w:rsidRPr="001A10B5">
              <w:rPr>
                <w:rFonts w:ascii="Arial" w:hAnsi="Arial" w:cs="Arial"/>
                <w:b/>
                <w:sz w:val="16"/>
                <w:szCs w:val="16"/>
                <w:lang w:eastAsia="es-AR"/>
              </w:rPr>
              <w:t>Obligaciones negociables subordinadas</w:t>
            </w:r>
          </w:p>
        </w:tc>
        <w:tc>
          <w:tcPr>
            <w:tcW w:w="1146" w:type="dxa"/>
            <w:tcBorders>
              <w:top w:val="nil"/>
              <w:left w:val="nil"/>
              <w:bottom w:val="nil"/>
              <w:right w:val="nil"/>
            </w:tcBorders>
            <w:vAlign w:val="bottom"/>
          </w:tcPr>
          <w:p w14:paraId="736B83B3" w14:textId="35AAB3E3" w:rsidR="0043794C" w:rsidRPr="0012241E" w:rsidRDefault="00AF1BF5">
            <w:pPr>
              <w:jc w:val="right"/>
              <w:rPr>
                <w:rFonts w:ascii="Arial" w:hAnsi="Arial" w:cs="Arial"/>
                <w:sz w:val="16"/>
                <w:szCs w:val="16"/>
                <w:lang w:eastAsia="es-AR"/>
              </w:rPr>
            </w:pPr>
            <w:r>
              <w:rPr>
                <w:rFonts w:ascii="Arial" w:hAnsi="Arial" w:cs="Arial"/>
                <w:sz w:val="16"/>
                <w:szCs w:val="16"/>
                <w:lang w:eastAsia="es-AR"/>
              </w:rPr>
              <w:t>-</w:t>
            </w:r>
          </w:p>
        </w:tc>
        <w:tc>
          <w:tcPr>
            <w:tcW w:w="1276" w:type="dxa"/>
            <w:tcBorders>
              <w:top w:val="nil"/>
              <w:left w:val="nil"/>
              <w:bottom w:val="nil"/>
              <w:right w:val="nil"/>
            </w:tcBorders>
            <w:vAlign w:val="bottom"/>
          </w:tcPr>
          <w:p w14:paraId="7EA86D99" w14:textId="4EFCDEF6" w:rsidR="0043794C" w:rsidRPr="00EC10A9" w:rsidRDefault="00AF1BF5">
            <w:pPr>
              <w:jc w:val="right"/>
              <w:rPr>
                <w:rFonts w:ascii="Arial" w:hAnsi="Arial" w:cs="Arial"/>
                <w:sz w:val="16"/>
                <w:szCs w:val="16"/>
                <w:lang w:eastAsia="es-AR"/>
              </w:rPr>
            </w:pPr>
            <w:r>
              <w:rPr>
                <w:rFonts w:ascii="Arial" w:hAnsi="Arial" w:cs="Arial"/>
                <w:sz w:val="16"/>
                <w:szCs w:val="16"/>
                <w:lang w:eastAsia="es-AR"/>
              </w:rPr>
              <w:t>48.215</w:t>
            </w:r>
          </w:p>
        </w:tc>
        <w:tc>
          <w:tcPr>
            <w:tcW w:w="1134" w:type="dxa"/>
            <w:tcBorders>
              <w:top w:val="nil"/>
              <w:left w:val="nil"/>
              <w:bottom w:val="nil"/>
              <w:right w:val="nil"/>
            </w:tcBorders>
            <w:vAlign w:val="bottom"/>
          </w:tcPr>
          <w:p w14:paraId="1E81854A" w14:textId="474AD8FE" w:rsidR="0043794C" w:rsidRPr="00066653" w:rsidRDefault="00AF1BF5">
            <w:pPr>
              <w:jc w:val="right"/>
              <w:rPr>
                <w:rFonts w:ascii="Arial" w:hAnsi="Arial" w:cs="Arial"/>
                <w:sz w:val="16"/>
                <w:szCs w:val="16"/>
                <w:lang w:eastAsia="es-AR"/>
              </w:rPr>
            </w:pPr>
            <w:r>
              <w:rPr>
                <w:rFonts w:ascii="Arial" w:hAnsi="Arial" w:cs="Arial"/>
                <w:sz w:val="16"/>
                <w:szCs w:val="16"/>
                <w:lang w:eastAsia="es-AR"/>
              </w:rPr>
              <w:t>28.490</w:t>
            </w:r>
          </w:p>
        </w:tc>
        <w:tc>
          <w:tcPr>
            <w:tcW w:w="992" w:type="dxa"/>
            <w:tcBorders>
              <w:top w:val="nil"/>
              <w:left w:val="nil"/>
              <w:bottom w:val="nil"/>
              <w:right w:val="nil"/>
            </w:tcBorders>
            <w:vAlign w:val="bottom"/>
          </w:tcPr>
          <w:p w14:paraId="69E3215A" w14:textId="6F708DE4" w:rsidR="0043794C" w:rsidRPr="00066653" w:rsidRDefault="00AF1BF5">
            <w:pPr>
              <w:jc w:val="right"/>
              <w:rPr>
                <w:rFonts w:ascii="Arial" w:hAnsi="Arial" w:cs="Arial"/>
                <w:sz w:val="16"/>
                <w:szCs w:val="16"/>
                <w:lang w:eastAsia="es-AR"/>
              </w:rPr>
            </w:pPr>
            <w:r>
              <w:rPr>
                <w:rFonts w:ascii="Arial" w:hAnsi="Arial" w:cs="Arial"/>
                <w:sz w:val="16"/>
                <w:szCs w:val="16"/>
                <w:lang w:eastAsia="es-AR"/>
              </w:rPr>
              <w:t>1.424.132</w:t>
            </w:r>
          </w:p>
        </w:tc>
        <w:tc>
          <w:tcPr>
            <w:tcW w:w="1134" w:type="dxa"/>
            <w:tcBorders>
              <w:top w:val="nil"/>
              <w:left w:val="nil"/>
              <w:bottom w:val="nil"/>
              <w:right w:val="nil"/>
            </w:tcBorders>
            <w:vAlign w:val="bottom"/>
          </w:tcPr>
          <w:p w14:paraId="49835FBF" w14:textId="1D7A1355" w:rsidR="0043794C" w:rsidRPr="00066653" w:rsidRDefault="00AF1BF5">
            <w:pPr>
              <w:jc w:val="right"/>
              <w:rPr>
                <w:rFonts w:ascii="Arial" w:hAnsi="Arial" w:cs="Arial"/>
                <w:sz w:val="16"/>
                <w:szCs w:val="16"/>
                <w:lang w:eastAsia="es-AR"/>
              </w:rPr>
            </w:pPr>
            <w:r>
              <w:rPr>
                <w:rFonts w:ascii="Arial" w:hAnsi="Arial" w:cs="Arial"/>
                <w:sz w:val="16"/>
                <w:szCs w:val="16"/>
                <w:lang w:eastAsia="es-AR"/>
              </w:rPr>
              <w:t>862.185</w:t>
            </w:r>
          </w:p>
        </w:tc>
        <w:tc>
          <w:tcPr>
            <w:tcW w:w="1134" w:type="dxa"/>
            <w:tcBorders>
              <w:top w:val="nil"/>
              <w:left w:val="nil"/>
              <w:bottom w:val="nil"/>
              <w:right w:val="nil"/>
            </w:tcBorders>
            <w:vAlign w:val="bottom"/>
          </w:tcPr>
          <w:p w14:paraId="4FFD0B5C" w14:textId="6F447686" w:rsidR="0043794C" w:rsidRPr="00066653" w:rsidRDefault="00AF1BF5">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39A9B49E" w14:textId="04E7A08B" w:rsidR="0043794C" w:rsidRPr="00066653" w:rsidRDefault="00AF1BF5">
            <w:pPr>
              <w:jc w:val="right"/>
              <w:rPr>
                <w:rFonts w:ascii="Arial" w:hAnsi="Arial" w:cs="Arial"/>
                <w:sz w:val="16"/>
                <w:szCs w:val="16"/>
                <w:lang w:eastAsia="es-AR"/>
              </w:rPr>
            </w:pPr>
            <w:r>
              <w:rPr>
                <w:rFonts w:ascii="Arial" w:hAnsi="Arial" w:cs="Arial"/>
                <w:sz w:val="16"/>
                <w:szCs w:val="16"/>
                <w:lang w:eastAsia="es-AR"/>
              </w:rPr>
              <w:t>2.363</w:t>
            </w:r>
            <w:r w:rsidR="00A13C3E">
              <w:rPr>
                <w:rFonts w:ascii="Arial" w:hAnsi="Arial" w:cs="Arial"/>
                <w:sz w:val="16"/>
                <w:szCs w:val="16"/>
                <w:lang w:eastAsia="es-AR"/>
              </w:rPr>
              <w:t>.</w:t>
            </w:r>
            <w:r>
              <w:rPr>
                <w:rFonts w:ascii="Arial" w:hAnsi="Arial" w:cs="Arial"/>
                <w:sz w:val="16"/>
                <w:szCs w:val="16"/>
                <w:lang w:eastAsia="es-AR"/>
              </w:rPr>
              <w:t>022</w:t>
            </w:r>
          </w:p>
        </w:tc>
      </w:tr>
      <w:tr w:rsidR="00F71ED9" w:rsidRPr="00326E79" w14:paraId="3E7549BA" w14:textId="77777777" w:rsidTr="006E1AF7">
        <w:tc>
          <w:tcPr>
            <w:tcW w:w="2235" w:type="dxa"/>
            <w:tcBorders>
              <w:top w:val="nil"/>
              <w:left w:val="nil"/>
              <w:bottom w:val="single" w:sz="4" w:space="0" w:color="auto"/>
              <w:right w:val="nil"/>
            </w:tcBorders>
            <w:vAlign w:val="bottom"/>
          </w:tcPr>
          <w:p w14:paraId="102D41A2" w14:textId="77777777" w:rsidR="0043794C" w:rsidRPr="001A10B5" w:rsidRDefault="0043794C" w:rsidP="0043794C">
            <w:pPr>
              <w:rPr>
                <w:rFonts w:ascii="Arial" w:hAnsi="Arial" w:cs="Arial"/>
                <w:sz w:val="16"/>
                <w:szCs w:val="16"/>
                <w:lang w:eastAsia="es-AR"/>
              </w:rPr>
            </w:pPr>
          </w:p>
        </w:tc>
        <w:tc>
          <w:tcPr>
            <w:tcW w:w="1146" w:type="dxa"/>
            <w:tcBorders>
              <w:top w:val="nil"/>
              <w:left w:val="nil"/>
              <w:bottom w:val="single" w:sz="4" w:space="0" w:color="auto"/>
              <w:right w:val="nil"/>
            </w:tcBorders>
            <w:vAlign w:val="bottom"/>
          </w:tcPr>
          <w:p w14:paraId="11686334" w14:textId="77777777" w:rsidR="0043794C" w:rsidRPr="004708CB" w:rsidRDefault="0043794C">
            <w:pPr>
              <w:jc w:val="right"/>
              <w:rPr>
                <w:rFonts w:ascii="Arial" w:hAnsi="Arial" w:cs="Arial"/>
                <w:sz w:val="16"/>
                <w:szCs w:val="16"/>
                <w:lang w:eastAsia="es-AR"/>
              </w:rPr>
            </w:pPr>
          </w:p>
        </w:tc>
        <w:tc>
          <w:tcPr>
            <w:tcW w:w="1276" w:type="dxa"/>
            <w:tcBorders>
              <w:top w:val="nil"/>
              <w:left w:val="nil"/>
              <w:bottom w:val="single" w:sz="4" w:space="0" w:color="auto"/>
              <w:right w:val="nil"/>
            </w:tcBorders>
            <w:vAlign w:val="bottom"/>
          </w:tcPr>
          <w:p w14:paraId="6CB27AE9" w14:textId="77777777" w:rsidR="0043794C" w:rsidRPr="00F77F7F" w:rsidRDefault="0043794C">
            <w:pPr>
              <w:jc w:val="right"/>
              <w:rPr>
                <w:rFonts w:ascii="Arial" w:hAnsi="Arial" w:cs="Arial"/>
                <w:sz w:val="16"/>
                <w:szCs w:val="16"/>
                <w:lang w:eastAsia="es-AR"/>
              </w:rPr>
            </w:pPr>
          </w:p>
        </w:tc>
        <w:tc>
          <w:tcPr>
            <w:tcW w:w="1134" w:type="dxa"/>
            <w:tcBorders>
              <w:top w:val="nil"/>
              <w:left w:val="nil"/>
              <w:bottom w:val="single" w:sz="4" w:space="0" w:color="auto"/>
              <w:right w:val="nil"/>
            </w:tcBorders>
            <w:vAlign w:val="bottom"/>
          </w:tcPr>
          <w:p w14:paraId="16221F41" w14:textId="77777777" w:rsidR="0043794C" w:rsidRPr="0012241E" w:rsidRDefault="0043794C">
            <w:pPr>
              <w:jc w:val="right"/>
              <w:rPr>
                <w:rFonts w:ascii="Arial" w:hAnsi="Arial" w:cs="Arial"/>
                <w:sz w:val="16"/>
                <w:szCs w:val="16"/>
                <w:lang w:eastAsia="es-AR"/>
              </w:rPr>
            </w:pPr>
          </w:p>
        </w:tc>
        <w:tc>
          <w:tcPr>
            <w:tcW w:w="992" w:type="dxa"/>
            <w:tcBorders>
              <w:top w:val="nil"/>
              <w:left w:val="nil"/>
              <w:bottom w:val="single" w:sz="4" w:space="0" w:color="auto"/>
              <w:right w:val="nil"/>
            </w:tcBorders>
            <w:vAlign w:val="bottom"/>
          </w:tcPr>
          <w:p w14:paraId="3615B597" w14:textId="77777777" w:rsidR="0043794C" w:rsidRPr="00B85009" w:rsidRDefault="0043794C">
            <w:pPr>
              <w:jc w:val="right"/>
              <w:rPr>
                <w:rFonts w:ascii="Arial" w:hAnsi="Arial" w:cs="Arial"/>
                <w:sz w:val="16"/>
                <w:szCs w:val="16"/>
                <w:lang w:eastAsia="es-AR"/>
              </w:rPr>
            </w:pPr>
          </w:p>
        </w:tc>
        <w:tc>
          <w:tcPr>
            <w:tcW w:w="1134" w:type="dxa"/>
            <w:tcBorders>
              <w:top w:val="nil"/>
              <w:left w:val="nil"/>
              <w:bottom w:val="single" w:sz="4" w:space="0" w:color="auto"/>
              <w:right w:val="nil"/>
            </w:tcBorders>
            <w:vAlign w:val="bottom"/>
          </w:tcPr>
          <w:p w14:paraId="79E42570" w14:textId="77777777" w:rsidR="0043794C" w:rsidRPr="00EC10A9" w:rsidRDefault="0043794C">
            <w:pPr>
              <w:jc w:val="right"/>
              <w:rPr>
                <w:rFonts w:ascii="Arial" w:hAnsi="Arial" w:cs="Arial"/>
                <w:sz w:val="16"/>
                <w:szCs w:val="16"/>
                <w:lang w:eastAsia="es-AR"/>
              </w:rPr>
            </w:pPr>
          </w:p>
        </w:tc>
        <w:tc>
          <w:tcPr>
            <w:tcW w:w="1134" w:type="dxa"/>
            <w:tcBorders>
              <w:top w:val="nil"/>
              <w:left w:val="nil"/>
              <w:bottom w:val="single" w:sz="4" w:space="0" w:color="auto"/>
              <w:right w:val="nil"/>
            </w:tcBorders>
            <w:vAlign w:val="bottom"/>
          </w:tcPr>
          <w:p w14:paraId="407D33BF" w14:textId="77777777" w:rsidR="0043794C" w:rsidRPr="003D4ED0" w:rsidRDefault="0043794C">
            <w:pPr>
              <w:jc w:val="right"/>
              <w:rPr>
                <w:rFonts w:ascii="Arial" w:hAnsi="Arial" w:cs="Arial"/>
                <w:sz w:val="16"/>
                <w:szCs w:val="16"/>
                <w:lang w:eastAsia="es-AR"/>
              </w:rPr>
            </w:pPr>
          </w:p>
        </w:tc>
        <w:tc>
          <w:tcPr>
            <w:tcW w:w="1134" w:type="dxa"/>
            <w:tcBorders>
              <w:top w:val="nil"/>
              <w:left w:val="nil"/>
              <w:bottom w:val="single" w:sz="4" w:space="0" w:color="auto"/>
              <w:right w:val="nil"/>
            </w:tcBorders>
            <w:vAlign w:val="bottom"/>
          </w:tcPr>
          <w:p w14:paraId="1E36FC2F" w14:textId="77777777" w:rsidR="0043794C" w:rsidRPr="00066653" w:rsidRDefault="0043794C">
            <w:pPr>
              <w:jc w:val="right"/>
              <w:rPr>
                <w:rFonts w:ascii="Arial" w:hAnsi="Arial" w:cs="Arial"/>
                <w:sz w:val="16"/>
                <w:szCs w:val="16"/>
                <w:lang w:eastAsia="es-AR"/>
              </w:rPr>
            </w:pPr>
          </w:p>
        </w:tc>
      </w:tr>
      <w:tr w:rsidR="004D5C01" w:rsidRPr="00B30A0B" w14:paraId="3005E29A" w14:textId="77777777" w:rsidTr="006E1AF7">
        <w:tc>
          <w:tcPr>
            <w:tcW w:w="2235" w:type="dxa"/>
            <w:tcBorders>
              <w:top w:val="single" w:sz="4" w:space="0" w:color="auto"/>
              <w:left w:val="nil"/>
              <w:right w:val="nil"/>
            </w:tcBorders>
            <w:vAlign w:val="center"/>
          </w:tcPr>
          <w:p w14:paraId="349A3651" w14:textId="77777777" w:rsidR="004D5C01" w:rsidRPr="00B30A0B" w:rsidRDefault="004D5C01" w:rsidP="004D5C01">
            <w:pPr>
              <w:jc w:val="center"/>
              <w:rPr>
                <w:rFonts w:ascii="Arial" w:hAnsi="Arial" w:cs="Arial"/>
                <w:b/>
                <w:sz w:val="20"/>
                <w:szCs w:val="18"/>
                <w:lang w:eastAsia="es-AR"/>
              </w:rPr>
            </w:pPr>
            <w:r w:rsidRPr="00066653">
              <w:rPr>
                <w:rFonts w:ascii="Arial" w:hAnsi="Arial" w:cs="Arial"/>
                <w:b/>
                <w:sz w:val="16"/>
                <w:szCs w:val="18"/>
                <w:lang w:eastAsia="es-AR"/>
              </w:rPr>
              <w:t>TOTAL</w:t>
            </w:r>
          </w:p>
        </w:tc>
        <w:tc>
          <w:tcPr>
            <w:tcW w:w="1146" w:type="dxa"/>
            <w:tcBorders>
              <w:top w:val="single" w:sz="4" w:space="0" w:color="auto"/>
              <w:left w:val="nil"/>
              <w:right w:val="nil"/>
            </w:tcBorders>
            <w:vAlign w:val="bottom"/>
          </w:tcPr>
          <w:p w14:paraId="1AA56620" w14:textId="708AFB85" w:rsidR="004D5C01" w:rsidRPr="001A10B5" w:rsidRDefault="004D5C01">
            <w:pPr>
              <w:jc w:val="right"/>
              <w:rPr>
                <w:rFonts w:ascii="Arial" w:hAnsi="Arial" w:cs="Arial"/>
                <w:b/>
                <w:sz w:val="16"/>
                <w:szCs w:val="18"/>
                <w:lang w:eastAsia="es-AR"/>
              </w:rPr>
            </w:pPr>
            <w:r>
              <w:rPr>
                <w:rFonts w:ascii="Arial" w:hAnsi="Arial" w:cs="Arial"/>
                <w:b/>
                <w:bCs/>
                <w:sz w:val="16"/>
                <w:szCs w:val="16"/>
              </w:rPr>
              <w:t xml:space="preserve">92.522.913 </w:t>
            </w:r>
          </w:p>
        </w:tc>
        <w:tc>
          <w:tcPr>
            <w:tcW w:w="1276" w:type="dxa"/>
            <w:tcBorders>
              <w:top w:val="single" w:sz="4" w:space="0" w:color="auto"/>
              <w:left w:val="nil"/>
              <w:right w:val="nil"/>
            </w:tcBorders>
            <w:vAlign w:val="bottom"/>
          </w:tcPr>
          <w:p w14:paraId="564BA5C0" w14:textId="20BEE5D0" w:rsidR="004D5C01" w:rsidRPr="001A10B5" w:rsidRDefault="004D5C01">
            <w:pPr>
              <w:jc w:val="right"/>
              <w:rPr>
                <w:rFonts w:ascii="Arial" w:hAnsi="Arial" w:cs="Arial"/>
                <w:b/>
                <w:sz w:val="16"/>
                <w:szCs w:val="18"/>
                <w:lang w:eastAsia="es-AR"/>
              </w:rPr>
            </w:pPr>
            <w:r>
              <w:rPr>
                <w:rFonts w:ascii="Arial" w:hAnsi="Arial" w:cs="Arial"/>
                <w:b/>
                <w:bCs/>
                <w:sz w:val="16"/>
                <w:szCs w:val="16"/>
              </w:rPr>
              <w:t xml:space="preserve">11.624.956 </w:t>
            </w:r>
          </w:p>
        </w:tc>
        <w:tc>
          <w:tcPr>
            <w:tcW w:w="1134" w:type="dxa"/>
            <w:tcBorders>
              <w:top w:val="single" w:sz="4" w:space="0" w:color="auto"/>
              <w:left w:val="nil"/>
              <w:right w:val="nil"/>
            </w:tcBorders>
            <w:vAlign w:val="bottom"/>
          </w:tcPr>
          <w:p w14:paraId="2F22A592" w14:textId="0F51D7D2" w:rsidR="004D5C01" w:rsidRPr="001A10B5" w:rsidRDefault="004D5C01">
            <w:pPr>
              <w:jc w:val="right"/>
              <w:rPr>
                <w:rFonts w:ascii="Arial" w:hAnsi="Arial" w:cs="Arial"/>
                <w:b/>
                <w:sz w:val="16"/>
                <w:szCs w:val="18"/>
                <w:lang w:eastAsia="es-AR"/>
              </w:rPr>
            </w:pPr>
            <w:r>
              <w:rPr>
                <w:rFonts w:ascii="Arial" w:hAnsi="Arial" w:cs="Arial"/>
                <w:b/>
                <w:bCs/>
                <w:sz w:val="16"/>
                <w:szCs w:val="16"/>
              </w:rPr>
              <w:t xml:space="preserve">5.756.519 </w:t>
            </w:r>
          </w:p>
        </w:tc>
        <w:tc>
          <w:tcPr>
            <w:tcW w:w="992" w:type="dxa"/>
            <w:tcBorders>
              <w:top w:val="single" w:sz="4" w:space="0" w:color="auto"/>
              <w:left w:val="nil"/>
              <w:right w:val="nil"/>
            </w:tcBorders>
            <w:vAlign w:val="bottom"/>
          </w:tcPr>
          <w:p w14:paraId="5F369E51" w14:textId="6131FF57" w:rsidR="004D5C01" w:rsidRPr="001A10B5" w:rsidRDefault="004D5C01">
            <w:pPr>
              <w:jc w:val="right"/>
              <w:rPr>
                <w:rFonts w:ascii="Arial" w:hAnsi="Arial" w:cs="Arial"/>
                <w:b/>
                <w:sz w:val="16"/>
                <w:szCs w:val="18"/>
                <w:lang w:eastAsia="es-AR"/>
              </w:rPr>
            </w:pPr>
            <w:r>
              <w:rPr>
                <w:rFonts w:ascii="Arial" w:hAnsi="Arial" w:cs="Arial"/>
                <w:b/>
                <w:bCs/>
                <w:sz w:val="16"/>
                <w:szCs w:val="16"/>
              </w:rPr>
              <w:t xml:space="preserve">5.708.062 </w:t>
            </w:r>
          </w:p>
        </w:tc>
        <w:tc>
          <w:tcPr>
            <w:tcW w:w="1134" w:type="dxa"/>
            <w:tcBorders>
              <w:top w:val="single" w:sz="4" w:space="0" w:color="auto"/>
              <w:left w:val="nil"/>
              <w:right w:val="nil"/>
            </w:tcBorders>
            <w:vAlign w:val="bottom"/>
          </w:tcPr>
          <w:p w14:paraId="4D645FD1" w14:textId="7985412D" w:rsidR="004D5C01" w:rsidRPr="001A10B5" w:rsidRDefault="004D5C01">
            <w:pPr>
              <w:jc w:val="right"/>
              <w:rPr>
                <w:rFonts w:ascii="Arial" w:hAnsi="Arial" w:cs="Arial"/>
                <w:b/>
                <w:sz w:val="16"/>
                <w:szCs w:val="18"/>
                <w:lang w:eastAsia="es-AR"/>
              </w:rPr>
            </w:pPr>
            <w:r>
              <w:rPr>
                <w:rFonts w:ascii="Arial" w:hAnsi="Arial" w:cs="Arial"/>
                <w:b/>
                <w:bCs/>
                <w:sz w:val="16"/>
                <w:szCs w:val="16"/>
              </w:rPr>
              <w:t xml:space="preserve">3.751.731 </w:t>
            </w:r>
          </w:p>
        </w:tc>
        <w:tc>
          <w:tcPr>
            <w:tcW w:w="1134" w:type="dxa"/>
            <w:tcBorders>
              <w:top w:val="single" w:sz="4" w:space="0" w:color="auto"/>
              <w:left w:val="nil"/>
              <w:right w:val="nil"/>
            </w:tcBorders>
            <w:vAlign w:val="bottom"/>
          </w:tcPr>
          <w:p w14:paraId="1EBCBF54" w14:textId="0D0DBEBF" w:rsidR="004D5C01" w:rsidRPr="001A10B5" w:rsidRDefault="004D5C01">
            <w:pPr>
              <w:jc w:val="right"/>
              <w:rPr>
                <w:rFonts w:ascii="Arial" w:hAnsi="Arial" w:cs="Arial"/>
                <w:b/>
                <w:sz w:val="16"/>
                <w:szCs w:val="18"/>
                <w:lang w:eastAsia="es-AR"/>
              </w:rPr>
            </w:pPr>
            <w:r>
              <w:rPr>
                <w:rFonts w:ascii="Arial" w:hAnsi="Arial" w:cs="Arial"/>
                <w:b/>
                <w:bCs/>
                <w:sz w:val="16"/>
                <w:szCs w:val="16"/>
              </w:rPr>
              <w:t xml:space="preserve">2.799.205 </w:t>
            </w:r>
          </w:p>
        </w:tc>
        <w:tc>
          <w:tcPr>
            <w:tcW w:w="1134" w:type="dxa"/>
            <w:tcBorders>
              <w:top w:val="single" w:sz="4" w:space="0" w:color="auto"/>
              <w:left w:val="nil"/>
              <w:right w:val="nil"/>
            </w:tcBorders>
            <w:vAlign w:val="bottom"/>
          </w:tcPr>
          <w:p w14:paraId="4A04AA4B" w14:textId="31F89704" w:rsidR="004D5C01" w:rsidRPr="001A10B5" w:rsidRDefault="004D5C01">
            <w:pPr>
              <w:jc w:val="right"/>
              <w:rPr>
                <w:rFonts w:ascii="Arial" w:hAnsi="Arial" w:cs="Arial"/>
                <w:b/>
                <w:sz w:val="16"/>
                <w:szCs w:val="18"/>
                <w:lang w:eastAsia="es-AR"/>
              </w:rPr>
            </w:pPr>
            <w:r>
              <w:rPr>
                <w:rFonts w:ascii="Arial" w:hAnsi="Arial" w:cs="Arial"/>
                <w:b/>
                <w:bCs/>
                <w:sz w:val="16"/>
                <w:szCs w:val="16"/>
              </w:rPr>
              <w:t xml:space="preserve">122.163.386 </w:t>
            </w:r>
          </w:p>
        </w:tc>
      </w:tr>
      <w:bookmarkEnd w:id="42"/>
    </w:tbl>
    <w:p w14:paraId="19344FA7" w14:textId="77777777" w:rsidR="00C24422" w:rsidRDefault="00C24422" w:rsidP="00B5057C">
      <w:pPr>
        <w:rPr>
          <w:sz w:val="20"/>
          <w:lang w:eastAsia="es-AR"/>
        </w:rPr>
        <w:sectPr w:rsidR="00C24422" w:rsidSect="00DA660B">
          <w:headerReference w:type="default" r:id="rId33"/>
          <w:pgSz w:w="11907" w:h="16839" w:code="9"/>
          <w:pgMar w:top="1418" w:right="1701" w:bottom="1418" w:left="1134" w:header="567" w:footer="0" w:gutter="0"/>
          <w:cols w:space="708"/>
          <w:docGrid w:linePitch="360"/>
        </w:sectPr>
      </w:pPr>
    </w:p>
    <w:tbl>
      <w:tblPr>
        <w:tblW w:w="10062" w:type="dxa"/>
        <w:tblInd w:w="75" w:type="dxa"/>
        <w:tblCellMar>
          <w:left w:w="70" w:type="dxa"/>
          <w:right w:w="70" w:type="dxa"/>
        </w:tblCellMar>
        <w:tblLook w:val="04A0" w:firstRow="1" w:lastRow="0" w:firstColumn="1" w:lastColumn="0" w:noHBand="0" w:noVBand="1"/>
      </w:tblPr>
      <w:tblGrid>
        <w:gridCol w:w="2451"/>
        <w:gridCol w:w="1100"/>
        <w:gridCol w:w="1100"/>
        <w:gridCol w:w="1360"/>
        <w:gridCol w:w="908"/>
        <w:gridCol w:w="1723"/>
        <w:gridCol w:w="709"/>
        <w:gridCol w:w="711"/>
      </w:tblGrid>
      <w:tr w:rsidR="007B2AE2" w:rsidRPr="00122C95" w14:paraId="7535845B" w14:textId="77777777" w:rsidTr="006E1AF7">
        <w:trPr>
          <w:trHeight w:val="177"/>
        </w:trPr>
        <w:tc>
          <w:tcPr>
            <w:tcW w:w="2451"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308A4E37" w14:textId="77777777" w:rsidR="007B2AE2" w:rsidRPr="00122C95" w:rsidRDefault="007B2AE2" w:rsidP="00122C95">
            <w:pPr>
              <w:jc w:val="center"/>
              <w:rPr>
                <w:rFonts w:ascii="Arial" w:hAnsi="Arial" w:cs="Arial"/>
                <w:b/>
                <w:bCs/>
                <w:sz w:val="14"/>
                <w:szCs w:val="14"/>
                <w:lang w:eastAsia="es-AR"/>
              </w:rPr>
            </w:pPr>
            <w:r w:rsidRPr="00122C95">
              <w:rPr>
                <w:rFonts w:ascii="Arial" w:hAnsi="Arial" w:cs="Arial"/>
                <w:b/>
                <w:bCs/>
                <w:sz w:val="14"/>
                <w:szCs w:val="14"/>
                <w:lang w:eastAsia="es-AR"/>
              </w:rPr>
              <w:t>Conceptos</w:t>
            </w:r>
          </w:p>
        </w:tc>
        <w:tc>
          <w:tcPr>
            <w:tcW w:w="110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44E759F7" w14:textId="77777777" w:rsidR="007B2AE2" w:rsidRPr="00122C95" w:rsidRDefault="007B2AE2" w:rsidP="00122C95">
            <w:pPr>
              <w:jc w:val="center"/>
              <w:rPr>
                <w:rFonts w:ascii="Arial" w:hAnsi="Arial" w:cs="Arial"/>
                <w:b/>
                <w:bCs/>
                <w:sz w:val="14"/>
                <w:szCs w:val="14"/>
                <w:lang w:eastAsia="es-AR"/>
              </w:rPr>
            </w:pPr>
            <w:r w:rsidRPr="00122C95">
              <w:rPr>
                <w:rFonts w:ascii="Arial" w:hAnsi="Arial" w:cs="Arial"/>
                <w:b/>
                <w:bCs/>
                <w:sz w:val="14"/>
                <w:szCs w:val="14"/>
                <w:lang w:eastAsia="es-AR"/>
              </w:rPr>
              <w:t>Costo Amortizado</w:t>
            </w:r>
          </w:p>
        </w:tc>
        <w:tc>
          <w:tcPr>
            <w:tcW w:w="110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A73253B" w14:textId="77777777" w:rsidR="007B2AE2" w:rsidRPr="00122C95" w:rsidRDefault="007B2AE2" w:rsidP="00122C95">
            <w:pPr>
              <w:jc w:val="center"/>
              <w:rPr>
                <w:rFonts w:ascii="Arial" w:hAnsi="Arial" w:cs="Arial"/>
                <w:b/>
                <w:bCs/>
                <w:sz w:val="14"/>
                <w:szCs w:val="14"/>
                <w:lang w:eastAsia="es-AR"/>
              </w:rPr>
            </w:pPr>
            <w:r w:rsidRPr="00122C95">
              <w:rPr>
                <w:rFonts w:ascii="Arial" w:hAnsi="Arial" w:cs="Arial"/>
                <w:b/>
                <w:bCs/>
                <w:sz w:val="14"/>
                <w:szCs w:val="14"/>
                <w:lang w:eastAsia="es-AR"/>
              </w:rPr>
              <w:t>VR con cambios en ORI</w:t>
            </w:r>
          </w:p>
        </w:tc>
        <w:tc>
          <w:tcPr>
            <w:tcW w:w="2268"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hideMark/>
          </w:tcPr>
          <w:p w14:paraId="2E6833BB" w14:textId="77777777" w:rsidR="007B2AE2" w:rsidRPr="00122C95" w:rsidRDefault="007B2AE2" w:rsidP="00122C95">
            <w:pPr>
              <w:jc w:val="center"/>
              <w:rPr>
                <w:rFonts w:ascii="Arial" w:hAnsi="Arial" w:cs="Arial"/>
                <w:b/>
                <w:bCs/>
                <w:sz w:val="14"/>
                <w:szCs w:val="14"/>
                <w:lang w:eastAsia="es-AR"/>
              </w:rPr>
            </w:pPr>
            <w:r w:rsidRPr="00122C95">
              <w:rPr>
                <w:rFonts w:ascii="Arial" w:hAnsi="Arial" w:cs="Arial"/>
                <w:b/>
                <w:bCs/>
                <w:sz w:val="14"/>
                <w:szCs w:val="14"/>
                <w:lang w:eastAsia="es-AR"/>
              </w:rPr>
              <w:t>VR con cambios en resultados</w:t>
            </w:r>
          </w:p>
        </w:tc>
        <w:tc>
          <w:tcPr>
            <w:tcW w:w="3143" w:type="dxa"/>
            <w:gridSpan w:val="3"/>
            <w:vMerge w:val="restart"/>
            <w:tcBorders>
              <w:top w:val="single" w:sz="4" w:space="0" w:color="363639"/>
              <w:left w:val="single" w:sz="4" w:space="0" w:color="363639"/>
              <w:right w:val="single" w:sz="4" w:space="0" w:color="363639"/>
            </w:tcBorders>
            <w:shd w:val="clear" w:color="auto" w:fill="BFBFBF" w:themeFill="background1" w:themeFillShade="BF"/>
            <w:vAlign w:val="bottom"/>
            <w:hideMark/>
          </w:tcPr>
          <w:p w14:paraId="219AE5F5" w14:textId="77777777" w:rsidR="007B2AE2" w:rsidRPr="00122C95" w:rsidRDefault="007B2AE2" w:rsidP="007B2AE2">
            <w:pPr>
              <w:jc w:val="center"/>
              <w:rPr>
                <w:rFonts w:ascii="Arial" w:hAnsi="Arial" w:cs="Arial"/>
                <w:b/>
                <w:bCs/>
                <w:sz w:val="14"/>
                <w:szCs w:val="14"/>
                <w:lang w:eastAsia="es-AR"/>
              </w:rPr>
            </w:pPr>
            <w:r w:rsidRPr="00122C95">
              <w:rPr>
                <w:rFonts w:ascii="Arial" w:hAnsi="Arial" w:cs="Arial"/>
                <w:b/>
                <w:bCs/>
                <w:sz w:val="14"/>
                <w:szCs w:val="14"/>
                <w:lang w:eastAsia="es-AR"/>
              </w:rPr>
              <w:t>Jerarquía de valor razonable</w:t>
            </w:r>
          </w:p>
          <w:p w14:paraId="4E74AF8F" w14:textId="3D5A11E1" w:rsidR="007B2AE2" w:rsidRPr="00122C95" w:rsidRDefault="007B2AE2" w:rsidP="007B2AE2">
            <w:pPr>
              <w:jc w:val="center"/>
              <w:rPr>
                <w:rFonts w:ascii="Arial" w:hAnsi="Arial" w:cs="Arial"/>
                <w:b/>
                <w:bCs/>
                <w:sz w:val="14"/>
                <w:szCs w:val="14"/>
                <w:lang w:eastAsia="es-AR"/>
              </w:rPr>
            </w:pPr>
          </w:p>
          <w:p w14:paraId="6D7FECB2" w14:textId="436CAEB1" w:rsidR="007B2AE2" w:rsidRPr="00122C95" w:rsidRDefault="007B2AE2" w:rsidP="007B2AE2">
            <w:pPr>
              <w:jc w:val="center"/>
              <w:rPr>
                <w:rFonts w:ascii="Arial" w:hAnsi="Arial" w:cs="Arial"/>
                <w:b/>
                <w:bCs/>
                <w:sz w:val="14"/>
                <w:szCs w:val="14"/>
                <w:lang w:eastAsia="es-AR"/>
              </w:rPr>
            </w:pPr>
          </w:p>
          <w:p w14:paraId="6E956AF7" w14:textId="3B76A0DB" w:rsidR="007B2AE2" w:rsidRPr="00122C95" w:rsidRDefault="007B2AE2" w:rsidP="007B2AE2">
            <w:pPr>
              <w:jc w:val="center"/>
              <w:rPr>
                <w:rFonts w:ascii="Arial" w:hAnsi="Arial" w:cs="Arial"/>
                <w:b/>
                <w:bCs/>
                <w:sz w:val="14"/>
                <w:szCs w:val="14"/>
                <w:lang w:eastAsia="es-AR"/>
              </w:rPr>
            </w:pPr>
          </w:p>
        </w:tc>
      </w:tr>
      <w:tr w:rsidR="007B2AE2" w:rsidRPr="00122C95" w14:paraId="37D9DAB9" w14:textId="77777777" w:rsidTr="006E1AF7">
        <w:trPr>
          <w:trHeight w:val="559"/>
        </w:trPr>
        <w:tc>
          <w:tcPr>
            <w:tcW w:w="2451"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123965D" w14:textId="77777777" w:rsidR="007B2AE2" w:rsidRPr="00122C95" w:rsidRDefault="007B2AE2" w:rsidP="00122C95">
            <w:pPr>
              <w:rPr>
                <w:rFonts w:ascii="Arial" w:hAnsi="Arial" w:cs="Arial"/>
                <w:b/>
                <w:bCs/>
                <w:sz w:val="14"/>
                <w:szCs w:val="14"/>
                <w:lang w:eastAsia="es-AR"/>
              </w:rPr>
            </w:pPr>
          </w:p>
        </w:tc>
        <w:tc>
          <w:tcPr>
            <w:tcW w:w="110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6D4C38A3" w14:textId="77777777" w:rsidR="007B2AE2" w:rsidRPr="00122C95" w:rsidRDefault="007B2AE2" w:rsidP="00122C95">
            <w:pPr>
              <w:rPr>
                <w:rFonts w:ascii="Arial" w:hAnsi="Arial" w:cs="Arial"/>
                <w:b/>
                <w:bCs/>
                <w:sz w:val="14"/>
                <w:szCs w:val="14"/>
                <w:lang w:eastAsia="es-AR"/>
              </w:rPr>
            </w:pPr>
          </w:p>
        </w:tc>
        <w:tc>
          <w:tcPr>
            <w:tcW w:w="110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025B0AA" w14:textId="77777777" w:rsidR="007B2AE2" w:rsidRPr="00122C95" w:rsidRDefault="007B2AE2" w:rsidP="00122C95">
            <w:pPr>
              <w:rPr>
                <w:rFonts w:ascii="Arial" w:hAnsi="Arial" w:cs="Arial"/>
                <w:b/>
                <w:bCs/>
                <w:sz w:val="14"/>
                <w:szCs w:val="14"/>
                <w:lang w:eastAsia="es-AR"/>
              </w:rPr>
            </w:pPr>
          </w:p>
        </w:tc>
        <w:tc>
          <w:tcPr>
            <w:tcW w:w="1360" w:type="dxa"/>
            <w:vMerge w:val="restart"/>
            <w:tcBorders>
              <w:top w:val="nil"/>
              <w:left w:val="single" w:sz="4" w:space="0" w:color="363639"/>
              <w:bottom w:val="single" w:sz="4" w:space="0" w:color="363639"/>
              <w:right w:val="single" w:sz="4" w:space="0" w:color="363639"/>
            </w:tcBorders>
            <w:shd w:val="clear" w:color="auto" w:fill="BFBFBF" w:themeFill="background1" w:themeFillShade="BF"/>
            <w:hideMark/>
          </w:tcPr>
          <w:p w14:paraId="60F72F84" w14:textId="77777777" w:rsidR="007B2AE2" w:rsidRPr="00122C95" w:rsidRDefault="007B2AE2" w:rsidP="00122C95">
            <w:pPr>
              <w:jc w:val="center"/>
              <w:rPr>
                <w:rFonts w:ascii="Arial" w:hAnsi="Arial" w:cs="Arial"/>
                <w:b/>
                <w:bCs/>
                <w:sz w:val="14"/>
                <w:szCs w:val="14"/>
                <w:lang w:eastAsia="es-AR"/>
              </w:rPr>
            </w:pPr>
            <w:r w:rsidRPr="00122C95">
              <w:rPr>
                <w:rFonts w:ascii="Arial" w:hAnsi="Arial" w:cs="Arial"/>
                <w:b/>
                <w:bCs/>
                <w:sz w:val="14"/>
                <w:szCs w:val="14"/>
                <w:lang w:eastAsia="es-AR"/>
              </w:rPr>
              <w:t>Designados inicialmente o de acuerdo con el 6.7.1. de la NIIF 9</w:t>
            </w:r>
          </w:p>
        </w:tc>
        <w:tc>
          <w:tcPr>
            <w:tcW w:w="908"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05E6B8EB" w14:textId="77777777" w:rsidR="007B2AE2" w:rsidRPr="00122C95" w:rsidRDefault="007B2AE2" w:rsidP="00122C95">
            <w:pPr>
              <w:jc w:val="center"/>
              <w:rPr>
                <w:rFonts w:ascii="Arial" w:hAnsi="Arial" w:cs="Arial"/>
                <w:b/>
                <w:bCs/>
                <w:sz w:val="14"/>
                <w:szCs w:val="14"/>
                <w:lang w:eastAsia="es-AR"/>
              </w:rPr>
            </w:pPr>
            <w:r w:rsidRPr="00122C95">
              <w:rPr>
                <w:rFonts w:ascii="Arial" w:hAnsi="Arial" w:cs="Arial"/>
                <w:b/>
                <w:bCs/>
                <w:sz w:val="14"/>
                <w:szCs w:val="14"/>
                <w:lang w:eastAsia="es-AR"/>
              </w:rPr>
              <w:t>Medición obligatoria</w:t>
            </w:r>
          </w:p>
        </w:tc>
        <w:tc>
          <w:tcPr>
            <w:tcW w:w="3143" w:type="dxa"/>
            <w:gridSpan w:val="3"/>
            <w:vMerge/>
            <w:tcBorders>
              <w:left w:val="single" w:sz="4" w:space="0" w:color="363639"/>
              <w:bottom w:val="single" w:sz="4" w:space="0" w:color="363639"/>
              <w:right w:val="single" w:sz="4" w:space="0" w:color="363639"/>
            </w:tcBorders>
            <w:shd w:val="clear" w:color="auto" w:fill="BFBFBF" w:themeFill="background1" w:themeFillShade="BF"/>
            <w:vAlign w:val="center"/>
            <w:hideMark/>
          </w:tcPr>
          <w:p w14:paraId="6DA396B7" w14:textId="3BA770B0" w:rsidR="007B2AE2" w:rsidRPr="00122C95" w:rsidRDefault="007B2AE2" w:rsidP="00122C95">
            <w:pPr>
              <w:rPr>
                <w:rFonts w:ascii="Arial" w:hAnsi="Arial" w:cs="Arial"/>
                <w:b/>
                <w:bCs/>
                <w:sz w:val="14"/>
                <w:szCs w:val="14"/>
                <w:lang w:eastAsia="es-AR"/>
              </w:rPr>
            </w:pPr>
          </w:p>
        </w:tc>
      </w:tr>
      <w:tr w:rsidR="00122C95" w:rsidRPr="00122C95" w14:paraId="44C7CEA9" w14:textId="77777777" w:rsidTr="006E1AF7">
        <w:trPr>
          <w:trHeight w:val="221"/>
        </w:trPr>
        <w:tc>
          <w:tcPr>
            <w:tcW w:w="2451"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3BA8C8F1" w14:textId="77777777" w:rsidR="00122C95" w:rsidRPr="00122C95" w:rsidRDefault="00122C95" w:rsidP="00122C95">
            <w:pPr>
              <w:rPr>
                <w:rFonts w:ascii="Arial" w:hAnsi="Arial" w:cs="Arial"/>
                <w:b/>
                <w:bCs/>
                <w:sz w:val="14"/>
                <w:szCs w:val="14"/>
                <w:lang w:eastAsia="es-AR"/>
              </w:rPr>
            </w:pPr>
          </w:p>
        </w:tc>
        <w:tc>
          <w:tcPr>
            <w:tcW w:w="110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5531A84E" w14:textId="77777777" w:rsidR="00122C95" w:rsidRPr="00122C95" w:rsidRDefault="00122C95" w:rsidP="00122C95">
            <w:pPr>
              <w:rPr>
                <w:rFonts w:ascii="Arial" w:hAnsi="Arial" w:cs="Arial"/>
                <w:b/>
                <w:bCs/>
                <w:sz w:val="14"/>
                <w:szCs w:val="14"/>
                <w:lang w:eastAsia="es-AR"/>
              </w:rPr>
            </w:pPr>
          </w:p>
        </w:tc>
        <w:tc>
          <w:tcPr>
            <w:tcW w:w="110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6D12A19C" w14:textId="77777777" w:rsidR="00122C95" w:rsidRPr="00122C95" w:rsidRDefault="00122C95" w:rsidP="00122C95">
            <w:pPr>
              <w:rPr>
                <w:rFonts w:ascii="Arial" w:hAnsi="Arial" w:cs="Arial"/>
                <w:b/>
                <w:bCs/>
                <w:sz w:val="14"/>
                <w:szCs w:val="14"/>
                <w:lang w:eastAsia="es-AR"/>
              </w:rPr>
            </w:pPr>
          </w:p>
        </w:tc>
        <w:tc>
          <w:tcPr>
            <w:tcW w:w="1360"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7ECEBF60" w14:textId="77777777" w:rsidR="00122C95" w:rsidRPr="00122C95" w:rsidRDefault="00122C95" w:rsidP="00122C95">
            <w:pPr>
              <w:rPr>
                <w:rFonts w:ascii="Arial" w:hAnsi="Arial" w:cs="Arial"/>
                <w:b/>
                <w:bCs/>
                <w:sz w:val="14"/>
                <w:szCs w:val="14"/>
                <w:lang w:eastAsia="es-AR"/>
              </w:rPr>
            </w:pPr>
          </w:p>
        </w:tc>
        <w:tc>
          <w:tcPr>
            <w:tcW w:w="908"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5C90C0AE" w14:textId="77777777" w:rsidR="00122C95" w:rsidRPr="00122C95" w:rsidRDefault="00122C95" w:rsidP="00122C95">
            <w:pPr>
              <w:rPr>
                <w:rFonts w:ascii="Arial" w:hAnsi="Arial" w:cs="Arial"/>
                <w:b/>
                <w:bCs/>
                <w:sz w:val="14"/>
                <w:szCs w:val="14"/>
                <w:lang w:eastAsia="es-AR"/>
              </w:rPr>
            </w:pPr>
          </w:p>
        </w:tc>
        <w:tc>
          <w:tcPr>
            <w:tcW w:w="1723" w:type="dxa"/>
            <w:tcBorders>
              <w:top w:val="nil"/>
              <w:left w:val="nil"/>
              <w:bottom w:val="single" w:sz="4" w:space="0" w:color="363639"/>
              <w:right w:val="single" w:sz="4" w:space="0" w:color="363639"/>
            </w:tcBorders>
            <w:shd w:val="clear" w:color="auto" w:fill="BFBFBF" w:themeFill="background1" w:themeFillShade="BF"/>
            <w:vAlign w:val="center"/>
            <w:hideMark/>
          </w:tcPr>
          <w:p w14:paraId="383CC853"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Nivel 1</w:t>
            </w:r>
          </w:p>
        </w:tc>
        <w:tc>
          <w:tcPr>
            <w:tcW w:w="709" w:type="dxa"/>
            <w:tcBorders>
              <w:top w:val="nil"/>
              <w:left w:val="nil"/>
              <w:bottom w:val="single" w:sz="4" w:space="0" w:color="363639"/>
              <w:right w:val="single" w:sz="4" w:space="0" w:color="363639"/>
            </w:tcBorders>
            <w:shd w:val="clear" w:color="auto" w:fill="BFBFBF" w:themeFill="background1" w:themeFillShade="BF"/>
            <w:vAlign w:val="center"/>
            <w:hideMark/>
          </w:tcPr>
          <w:p w14:paraId="0EDDEE53"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Nivel 2</w:t>
            </w:r>
          </w:p>
        </w:tc>
        <w:tc>
          <w:tcPr>
            <w:tcW w:w="711" w:type="dxa"/>
            <w:tcBorders>
              <w:top w:val="nil"/>
              <w:left w:val="nil"/>
              <w:bottom w:val="single" w:sz="4" w:space="0" w:color="363639"/>
              <w:right w:val="single" w:sz="4" w:space="0" w:color="363639"/>
            </w:tcBorders>
            <w:shd w:val="clear" w:color="auto" w:fill="BFBFBF" w:themeFill="background1" w:themeFillShade="BF"/>
            <w:vAlign w:val="center"/>
            <w:hideMark/>
          </w:tcPr>
          <w:p w14:paraId="730C9548"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Nivel 3</w:t>
            </w:r>
          </w:p>
        </w:tc>
      </w:tr>
      <w:tr w:rsidR="00122C95" w:rsidRPr="00122C95" w14:paraId="6F97F683" w14:textId="77777777" w:rsidTr="006E1AF7">
        <w:trPr>
          <w:trHeight w:val="178"/>
        </w:trPr>
        <w:tc>
          <w:tcPr>
            <w:tcW w:w="2451" w:type="dxa"/>
            <w:tcBorders>
              <w:top w:val="nil"/>
              <w:left w:val="nil"/>
              <w:bottom w:val="nil"/>
              <w:right w:val="nil"/>
            </w:tcBorders>
            <w:shd w:val="clear" w:color="auto" w:fill="auto"/>
            <w:hideMark/>
          </w:tcPr>
          <w:p w14:paraId="40500BA0" w14:textId="77777777" w:rsidR="00122C95" w:rsidRPr="007B2AE2" w:rsidRDefault="00122C95" w:rsidP="00122C95">
            <w:pPr>
              <w:rPr>
                <w:rFonts w:ascii="Arial" w:hAnsi="Arial" w:cs="Arial"/>
                <w:b/>
                <w:bCs/>
                <w:sz w:val="14"/>
                <w:szCs w:val="14"/>
                <w:lang w:eastAsia="es-AR"/>
              </w:rPr>
            </w:pPr>
            <w:r w:rsidRPr="007B2AE2">
              <w:rPr>
                <w:rFonts w:ascii="Arial" w:hAnsi="Arial" w:cs="Arial"/>
                <w:b/>
                <w:bCs/>
                <w:sz w:val="14"/>
                <w:szCs w:val="14"/>
                <w:lang w:eastAsia="es-AR"/>
              </w:rPr>
              <w:t>ACTIVOS FINANCIEROS</w:t>
            </w:r>
          </w:p>
        </w:tc>
        <w:tc>
          <w:tcPr>
            <w:tcW w:w="1100" w:type="dxa"/>
            <w:tcBorders>
              <w:top w:val="nil"/>
              <w:left w:val="nil"/>
              <w:bottom w:val="nil"/>
              <w:right w:val="nil"/>
            </w:tcBorders>
            <w:shd w:val="clear" w:color="auto" w:fill="auto"/>
            <w:noWrap/>
            <w:hideMark/>
          </w:tcPr>
          <w:p w14:paraId="59DAD7FC"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1100" w:type="dxa"/>
            <w:tcBorders>
              <w:top w:val="nil"/>
              <w:left w:val="nil"/>
              <w:bottom w:val="nil"/>
              <w:right w:val="nil"/>
            </w:tcBorders>
            <w:shd w:val="clear" w:color="auto" w:fill="auto"/>
            <w:noWrap/>
            <w:hideMark/>
          </w:tcPr>
          <w:p w14:paraId="3B9CB6BD"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1360" w:type="dxa"/>
            <w:tcBorders>
              <w:top w:val="nil"/>
              <w:left w:val="nil"/>
              <w:bottom w:val="nil"/>
              <w:right w:val="nil"/>
            </w:tcBorders>
            <w:shd w:val="clear" w:color="auto" w:fill="auto"/>
            <w:noWrap/>
            <w:hideMark/>
          </w:tcPr>
          <w:p w14:paraId="061B427C"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908" w:type="dxa"/>
            <w:tcBorders>
              <w:top w:val="nil"/>
              <w:left w:val="nil"/>
              <w:bottom w:val="nil"/>
              <w:right w:val="nil"/>
            </w:tcBorders>
            <w:shd w:val="clear" w:color="auto" w:fill="auto"/>
            <w:noWrap/>
            <w:hideMark/>
          </w:tcPr>
          <w:p w14:paraId="5ED25002"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1723" w:type="dxa"/>
            <w:tcBorders>
              <w:top w:val="nil"/>
              <w:left w:val="nil"/>
              <w:bottom w:val="nil"/>
              <w:right w:val="nil"/>
            </w:tcBorders>
            <w:shd w:val="clear" w:color="auto" w:fill="auto"/>
            <w:noWrap/>
            <w:hideMark/>
          </w:tcPr>
          <w:p w14:paraId="45544913"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709" w:type="dxa"/>
            <w:tcBorders>
              <w:top w:val="nil"/>
              <w:left w:val="nil"/>
              <w:bottom w:val="nil"/>
              <w:right w:val="nil"/>
            </w:tcBorders>
            <w:shd w:val="clear" w:color="auto" w:fill="auto"/>
            <w:noWrap/>
            <w:hideMark/>
          </w:tcPr>
          <w:p w14:paraId="4D842A67"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711" w:type="dxa"/>
            <w:tcBorders>
              <w:top w:val="nil"/>
              <w:left w:val="nil"/>
              <w:bottom w:val="nil"/>
              <w:right w:val="nil"/>
            </w:tcBorders>
            <w:shd w:val="clear" w:color="auto" w:fill="auto"/>
            <w:noWrap/>
            <w:hideMark/>
          </w:tcPr>
          <w:p w14:paraId="625B9CB7"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r>
      <w:tr w:rsidR="00122C95" w:rsidRPr="00122C95" w14:paraId="3A6A6B2F" w14:textId="77777777" w:rsidTr="006E1AF7">
        <w:trPr>
          <w:trHeight w:val="255"/>
        </w:trPr>
        <w:tc>
          <w:tcPr>
            <w:tcW w:w="2451" w:type="dxa"/>
            <w:tcBorders>
              <w:top w:val="nil"/>
              <w:left w:val="nil"/>
              <w:bottom w:val="nil"/>
              <w:right w:val="nil"/>
            </w:tcBorders>
            <w:shd w:val="clear" w:color="auto" w:fill="auto"/>
            <w:hideMark/>
          </w:tcPr>
          <w:p w14:paraId="33D8FE38" w14:textId="77777777" w:rsidR="00122C95" w:rsidRPr="007B2AE2" w:rsidRDefault="00122C95" w:rsidP="00122C95">
            <w:pPr>
              <w:rPr>
                <w:rFonts w:ascii="Arial" w:hAnsi="Arial" w:cs="Arial"/>
                <w:sz w:val="14"/>
                <w:szCs w:val="14"/>
                <w:lang w:eastAsia="es-AR"/>
              </w:rPr>
            </w:pPr>
          </w:p>
        </w:tc>
        <w:tc>
          <w:tcPr>
            <w:tcW w:w="1100" w:type="dxa"/>
            <w:tcBorders>
              <w:top w:val="nil"/>
              <w:left w:val="nil"/>
              <w:bottom w:val="nil"/>
              <w:right w:val="nil"/>
            </w:tcBorders>
            <w:shd w:val="clear" w:color="auto" w:fill="auto"/>
            <w:noWrap/>
            <w:vAlign w:val="bottom"/>
            <w:hideMark/>
          </w:tcPr>
          <w:p w14:paraId="269D8349" w14:textId="77777777" w:rsidR="00122C95" w:rsidRPr="007B2AE2" w:rsidRDefault="00122C95" w:rsidP="007B2AE2">
            <w:pPr>
              <w:jc w:val="right"/>
              <w:rPr>
                <w:rFonts w:ascii="Arial" w:hAnsi="Arial" w:cs="Arial"/>
                <w:sz w:val="14"/>
                <w:szCs w:val="14"/>
                <w:lang w:eastAsia="es-AR"/>
              </w:rPr>
            </w:pPr>
          </w:p>
        </w:tc>
        <w:tc>
          <w:tcPr>
            <w:tcW w:w="1100" w:type="dxa"/>
            <w:tcBorders>
              <w:top w:val="nil"/>
              <w:left w:val="nil"/>
              <w:bottom w:val="nil"/>
              <w:right w:val="nil"/>
            </w:tcBorders>
            <w:shd w:val="clear" w:color="auto" w:fill="auto"/>
            <w:noWrap/>
            <w:vAlign w:val="bottom"/>
            <w:hideMark/>
          </w:tcPr>
          <w:p w14:paraId="03C2524D"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noWrap/>
            <w:vAlign w:val="bottom"/>
            <w:hideMark/>
          </w:tcPr>
          <w:p w14:paraId="50DC1216" w14:textId="77777777" w:rsidR="00122C95" w:rsidRPr="007B2AE2" w:rsidRDefault="00122C95" w:rsidP="007B2AE2">
            <w:pPr>
              <w:jc w:val="right"/>
              <w:rPr>
                <w:rFonts w:ascii="Arial" w:hAnsi="Arial" w:cs="Arial"/>
                <w:sz w:val="14"/>
                <w:szCs w:val="14"/>
                <w:lang w:eastAsia="es-AR"/>
              </w:rPr>
            </w:pPr>
          </w:p>
        </w:tc>
        <w:tc>
          <w:tcPr>
            <w:tcW w:w="908" w:type="dxa"/>
            <w:tcBorders>
              <w:top w:val="nil"/>
              <w:left w:val="nil"/>
              <w:bottom w:val="nil"/>
              <w:right w:val="nil"/>
            </w:tcBorders>
            <w:shd w:val="clear" w:color="auto" w:fill="auto"/>
            <w:noWrap/>
            <w:vAlign w:val="bottom"/>
            <w:hideMark/>
          </w:tcPr>
          <w:p w14:paraId="25AEC616" w14:textId="77777777" w:rsidR="00122C95" w:rsidRPr="007B2AE2" w:rsidRDefault="00122C95" w:rsidP="007B2AE2">
            <w:pPr>
              <w:jc w:val="right"/>
              <w:rPr>
                <w:rFonts w:ascii="Arial" w:hAnsi="Arial" w:cs="Arial"/>
                <w:sz w:val="14"/>
                <w:szCs w:val="14"/>
                <w:lang w:eastAsia="es-AR"/>
              </w:rPr>
            </w:pPr>
          </w:p>
        </w:tc>
        <w:tc>
          <w:tcPr>
            <w:tcW w:w="1723" w:type="dxa"/>
            <w:tcBorders>
              <w:top w:val="nil"/>
              <w:left w:val="nil"/>
              <w:bottom w:val="nil"/>
              <w:right w:val="nil"/>
            </w:tcBorders>
            <w:shd w:val="clear" w:color="auto" w:fill="auto"/>
            <w:noWrap/>
            <w:vAlign w:val="bottom"/>
            <w:hideMark/>
          </w:tcPr>
          <w:p w14:paraId="3CF209A4" w14:textId="77777777" w:rsidR="00122C95" w:rsidRPr="007B2AE2" w:rsidRDefault="00122C95" w:rsidP="007B2AE2">
            <w:pPr>
              <w:jc w:val="right"/>
              <w:rPr>
                <w:rFonts w:ascii="Arial" w:hAnsi="Arial" w:cs="Arial"/>
                <w:sz w:val="14"/>
                <w:szCs w:val="14"/>
                <w:lang w:eastAsia="es-AR"/>
              </w:rPr>
            </w:pPr>
          </w:p>
        </w:tc>
        <w:tc>
          <w:tcPr>
            <w:tcW w:w="709" w:type="dxa"/>
            <w:tcBorders>
              <w:top w:val="nil"/>
              <w:left w:val="nil"/>
              <w:bottom w:val="nil"/>
              <w:right w:val="nil"/>
            </w:tcBorders>
            <w:shd w:val="clear" w:color="auto" w:fill="auto"/>
            <w:noWrap/>
            <w:vAlign w:val="bottom"/>
            <w:hideMark/>
          </w:tcPr>
          <w:p w14:paraId="2C68B5A4" w14:textId="77777777" w:rsidR="00122C95" w:rsidRPr="007B2AE2" w:rsidRDefault="00122C95" w:rsidP="007B2AE2">
            <w:pPr>
              <w:jc w:val="right"/>
              <w:rPr>
                <w:rFonts w:ascii="Arial" w:hAnsi="Arial" w:cs="Arial"/>
                <w:sz w:val="14"/>
                <w:szCs w:val="14"/>
                <w:lang w:eastAsia="es-AR"/>
              </w:rPr>
            </w:pPr>
          </w:p>
        </w:tc>
        <w:tc>
          <w:tcPr>
            <w:tcW w:w="711" w:type="dxa"/>
            <w:tcBorders>
              <w:top w:val="nil"/>
              <w:left w:val="nil"/>
              <w:bottom w:val="nil"/>
              <w:right w:val="nil"/>
            </w:tcBorders>
            <w:shd w:val="clear" w:color="auto" w:fill="auto"/>
            <w:noWrap/>
            <w:vAlign w:val="bottom"/>
            <w:hideMark/>
          </w:tcPr>
          <w:p w14:paraId="480D1EFB" w14:textId="77777777" w:rsidR="00122C95" w:rsidRPr="007B2AE2" w:rsidRDefault="00122C95" w:rsidP="007B2AE2">
            <w:pPr>
              <w:jc w:val="right"/>
              <w:rPr>
                <w:rFonts w:ascii="Arial" w:hAnsi="Arial" w:cs="Arial"/>
                <w:sz w:val="14"/>
                <w:szCs w:val="14"/>
                <w:lang w:eastAsia="es-AR"/>
              </w:rPr>
            </w:pPr>
          </w:p>
        </w:tc>
      </w:tr>
      <w:tr w:rsidR="00122C95" w:rsidRPr="00122C95" w14:paraId="6E514675" w14:textId="77777777" w:rsidTr="006E1AF7">
        <w:trPr>
          <w:trHeight w:val="255"/>
        </w:trPr>
        <w:tc>
          <w:tcPr>
            <w:tcW w:w="2451" w:type="dxa"/>
            <w:tcBorders>
              <w:top w:val="nil"/>
              <w:left w:val="nil"/>
              <w:bottom w:val="nil"/>
              <w:right w:val="nil"/>
            </w:tcBorders>
            <w:shd w:val="clear" w:color="auto" w:fill="auto"/>
            <w:hideMark/>
          </w:tcPr>
          <w:p w14:paraId="1F9EC869" w14:textId="77777777" w:rsidR="00122C95" w:rsidRPr="007B2AE2" w:rsidRDefault="00122C95" w:rsidP="00122C95">
            <w:pPr>
              <w:rPr>
                <w:rFonts w:ascii="Arial" w:hAnsi="Arial" w:cs="Arial"/>
                <w:b/>
                <w:bCs/>
                <w:sz w:val="14"/>
                <w:szCs w:val="14"/>
                <w:lang w:eastAsia="es-AR"/>
              </w:rPr>
            </w:pPr>
            <w:r w:rsidRPr="007B2AE2">
              <w:rPr>
                <w:rFonts w:ascii="Arial" w:hAnsi="Arial" w:cs="Arial"/>
                <w:b/>
                <w:bCs/>
                <w:sz w:val="14"/>
                <w:szCs w:val="14"/>
                <w:lang w:eastAsia="es-AR"/>
              </w:rPr>
              <w:t>Efectivo y depósitos en Bancos</w:t>
            </w:r>
          </w:p>
        </w:tc>
        <w:tc>
          <w:tcPr>
            <w:tcW w:w="1100" w:type="dxa"/>
            <w:tcBorders>
              <w:top w:val="nil"/>
              <w:left w:val="nil"/>
              <w:bottom w:val="nil"/>
              <w:right w:val="nil"/>
            </w:tcBorders>
            <w:shd w:val="clear" w:color="auto" w:fill="auto"/>
            <w:vAlign w:val="bottom"/>
            <w:hideMark/>
          </w:tcPr>
          <w:p w14:paraId="297B31EC" w14:textId="77777777" w:rsidR="00122C95" w:rsidRPr="007B2AE2" w:rsidRDefault="00122C95" w:rsidP="007B2AE2">
            <w:pPr>
              <w:jc w:val="right"/>
              <w:rPr>
                <w:rFonts w:ascii="Arial" w:hAnsi="Arial" w:cs="Arial"/>
                <w:b/>
                <w:bCs/>
                <w:sz w:val="14"/>
                <w:szCs w:val="14"/>
                <w:lang w:eastAsia="es-AR"/>
              </w:rPr>
            </w:pPr>
          </w:p>
        </w:tc>
        <w:tc>
          <w:tcPr>
            <w:tcW w:w="1100" w:type="dxa"/>
            <w:tcBorders>
              <w:top w:val="nil"/>
              <w:left w:val="nil"/>
              <w:bottom w:val="nil"/>
              <w:right w:val="nil"/>
            </w:tcBorders>
            <w:shd w:val="clear" w:color="auto" w:fill="auto"/>
            <w:vAlign w:val="bottom"/>
            <w:hideMark/>
          </w:tcPr>
          <w:p w14:paraId="7636F30A"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hideMark/>
          </w:tcPr>
          <w:p w14:paraId="3516AB56" w14:textId="77777777" w:rsidR="00122C95" w:rsidRPr="007B2AE2" w:rsidRDefault="00122C95" w:rsidP="007B2AE2">
            <w:pPr>
              <w:jc w:val="right"/>
              <w:rPr>
                <w:rFonts w:ascii="Arial" w:hAnsi="Arial" w:cs="Arial"/>
                <w:sz w:val="14"/>
                <w:szCs w:val="14"/>
                <w:lang w:eastAsia="es-AR"/>
              </w:rPr>
            </w:pPr>
          </w:p>
        </w:tc>
        <w:tc>
          <w:tcPr>
            <w:tcW w:w="908" w:type="dxa"/>
            <w:tcBorders>
              <w:top w:val="nil"/>
              <w:left w:val="nil"/>
              <w:bottom w:val="nil"/>
              <w:right w:val="nil"/>
            </w:tcBorders>
            <w:shd w:val="clear" w:color="auto" w:fill="auto"/>
            <w:vAlign w:val="bottom"/>
            <w:hideMark/>
          </w:tcPr>
          <w:p w14:paraId="41B7E0E0" w14:textId="77777777" w:rsidR="00122C95" w:rsidRPr="007B2AE2" w:rsidRDefault="00122C95" w:rsidP="007B2AE2">
            <w:pPr>
              <w:jc w:val="right"/>
              <w:rPr>
                <w:rFonts w:ascii="Arial" w:hAnsi="Arial" w:cs="Arial"/>
                <w:sz w:val="14"/>
                <w:szCs w:val="14"/>
                <w:lang w:eastAsia="es-AR"/>
              </w:rPr>
            </w:pPr>
          </w:p>
        </w:tc>
        <w:tc>
          <w:tcPr>
            <w:tcW w:w="1723" w:type="dxa"/>
            <w:tcBorders>
              <w:top w:val="nil"/>
              <w:left w:val="nil"/>
              <w:bottom w:val="nil"/>
              <w:right w:val="nil"/>
            </w:tcBorders>
            <w:shd w:val="clear" w:color="auto" w:fill="auto"/>
            <w:vAlign w:val="bottom"/>
            <w:hideMark/>
          </w:tcPr>
          <w:p w14:paraId="463ADB06" w14:textId="77777777" w:rsidR="00122C95" w:rsidRPr="007B2AE2" w:rsidRDefault="00122C95" w:rsidP="007B2AE2">
            <w:pPr>
              <w:jc w:val="right"/>
              <w:rPr>
                <w:rFonts w:ascii="Arial" w:hAnsi="Arial" w:cs="Arial"/>
                <w:sz w:val="14"/>
                <w:szCs w:val="14"/>
                <w:lang w:eastAsia="es-AR"/>
              </w:rPr>
            </w:pPr>
          </w:p>
        </w:tc>
        <w:tc>
          <w:tcPr>
            <w:tcW w:w="709" w:type="dxa"/>
            <w:tcBorders>
              <w:top w:val="nil"/>
              <w:left w:val="nil"/>
              <w:bottom w:val="nil"/>
              <w:right w:val="nil"/>
            </w:tcBorders>
            <w:shd w:val="clear" w:color="auto" w:fill="auto"/>
            <w:vAlign w:val="bottom"/>
            <w:hideMark/>
          </w:tcPr>
          <w:p w14:paraId="5AF1535D" w14:textId="77777777" w:rsidR="00122C95" w:rsidRPr="007B2AE2" w:rsidRDefault="00122C95" w:rsidP="007B2AE2">
            <w:pPr>
              <w:jc w:val="right"/>
              <w:rPr>
                <w:rFonts w:ascii="Arial" w:hAnsi="Arial" w:cs="Arial"/>
                <w:sz w:val="14"/>
                <w:szCs w:val="14"/>
                <w:lang w:eastAsia="es-AR"/>
              </w:rPr>
            </w:pPr>
          </w:p>
        </w:tc>
        <w:tc>
          <w:tcPr>
            <w:tcW w:w="711" w:type="dxa"/>
            <w:tcBorders>
              <w:top w:val="nil"/>
              <w:left w:val="nil"/>
              <w:bottom w:val="nil"/>
              <w:right w:val="nil"/>
            </w:tcBorders>
            <w:shd w:val="clear" w:color="auto" w:fill="auto"/>
            <w:vAlign w:val="bottom"/>
            <w:hideMark/>
          </w:tcPr>
          <w:p w14:paraId="7717FCFC" w14:textId="77777777" w:rsidR="00122C95" w:rsidRPr="007B2AE2" w:rsidRDefault="00122C95" w:rsidP="007B2AE2">
            <w:pPr>
              <w:jc w:val="right"/>
              <w:rPr>
                <w:rFonts w:ascii="Arial" w:hAnsi="Arial" w:cs="Arial"/>
                <w:sz w:val="14"/>
                <w:szCs w:val="14"/>
                <w:lang w:eastAsia="es-AR"/>
              </w:rPr>
            </w:pPr>
          </w:p>
        </w:tc>
      </w:tr>
      <w:tr w:rsidR="00E376E9" w:rsidRPr="00122C95" w14:paraId="5561CD32" w14:textId="77777777" w:rsidTr="006E1AF7">
        <w:trPr>
          <w:trHeight w:val="255"/>
        </w:trPr>
        <w:tc>
          <w:tcPr>
            <w:tcW w:w="2451" w:type="dxa"/>
            <w:tcBorders>
              <w:top w:val="nil"/>
              <w:left w:val="nil"/>
              <w:bottom w:val="nil"/>
              <w:right w:val="nil"/>
            </w:tcBorders>
            <w:shd w:val="clear" w:color="auto" w:fill="auto"/>
            <w:hideMark/>
          </w:tcPr>
          <w:p w14:paraId="3F08DA89" w14:textId="77777777" w:rsidR="00E376E9" w:rsidRPr="007B2AE2" w:rsidRDefault="00E376E9" w:rsidP="00E376E9">
            <w:pPr>
              <w:ind w:firstLineChars="100" w:firstLine="140"/>
              <w:rPr>
                <w:rFonts w:ascii="Arial" w:hAnsi="Arial" w:cs="Arial"/>
                <w:sz w:val="14"/>
                <w:szCs w:val="14"/>
                <w:lang w:eastAsia="es-AR"/>
              </w:rPr>
            </w:pPr>
            <w:r w:rsidRPr="007B2AE2">
              <w:rPr>
                <w:rFonts w:ascii="Arial" w:hAnsi="Arial" w:cs="Arial"/>
                <w:sz w:val="14"/>
                <w:szCs w:val="14"/>
                <w:lang w:eastAsia="es-AR"/>
              </w:rPr>
              <w:t>Efectivo</w:t>
            </w:r>
          </w:p>
        </w:tc>
        <w:tc>
          <w:tcPr>
            <w:tcW w:w="1100" w:type="dxa"/>
            <w:tcBorders>
              <w:top w:val="nil"/>
              <w:left w:val="nil"/>
              <w:bottom w:val="nil"/>
              <w:right w:val="nil"/>
            </w:tcBorders>
            <w:shd w:val="clear" w:color="auto" w:fill="auto"/>
            <w:vAlign w:val="bottom"/>
          </w:tcPr>
          <w:p w14:paraId="51B48020" w14:textId="4ACB9F0C"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8.695.4</w:t>
            </w:r>
            <w:r w:rsidR="000240E7">
              <w:rPr>
                <w:rFonts w:ascii="Arial" w:hAnsi="Arial" w:cs="Arial"/>
                <w:sz w:val="14"/>
                <w:szCs w:val="14"/>
                <w:lang w:eastAsia="es-AR"/>
              </w:rPr>
              <w:t>9</w:t>
            </w:r>
            <w:r w:rsidRPr="007B2AE2">
              <w:rPr>
                <w:rFonts w:ascii="Arial" w:hAnsi="Arial" w:cs="Arial"/>
                <w:sz w:val="14"/>
                <w:szCs w:val="14"/>
                <w:lang w:eastAsia="es-AR"/>
              </w:rPr>
              <w:t>6</w:t>
            </w:r>
          </w:p>
        </w:tc>
        <w:tc>
          <w:tcPr>
            <w:tcW w:w="1100" w:type="dxa"/>
            <w:tcBorders>
              <w:top w:val="nil"/>
              <w:left w:val="nil"/>
              <w:bottom w:val="nil"/>
              <w:right w:val="nil"/>
            </w:tcBorders>
            <w:shd w:val="clear" w:color="auto" w:fill="auto"/>
            <w:vAlign w:val="bottom"/>
          </w:tcPr>
          <w:p w14:paraId="14A43AF9" w14:textId="3A442EB3"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7B7712C8" w14:textId="64C05620"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221888EE" w14:textId="41B5064E"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2249D91F" w14:textId="58BFC1C4"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061B38C1" w14:textId="4F795777"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5D5D0A52" w14:textId="7D1D5335"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r>
      <w:tr w:rsidR="00E376E9" w:rsidRPr="00122C95" w14:paraId="7E25CBF4" w14:textId="77777777" w:rsidTr="006E1AF7">
        <w:trPr>
          <w:trHeight w:val="255"/>
        </w:trPr>
        <w:tc>
          <w:tcPr>
            <w:tcW w:w="2451" w:type="dxa"/>
            <w:tcBorders>
              <w:top w:val="nil"/>
              <w:left w:val="nil"/>
              <w:bottom w:val="nil"/>
              <w:right w:val="nil"/>
            </w:tcBorders>
            <w:shd w:val="clear" w:color="auto" w:fill="auto"/>
            <w:hideMark/>
          </w:tcPr>
          <w:p w14:paraId="2409D61A" w14:textId="77777777" w:rsidR="00E376E9" w:rsidRPr="007B2AE2" w:rsidRDefault="00E376E9" w:rsidP="00E376E9">
            <w:pPr>
              <w:rPr>
                <w:rFonts w:ascii="Arial" w:hAnsi="Arial" w:cs="Arial"/>
                <w:sz w:val="14"/>
                <w:szCs w:val="14"/>
                <w:lang w:eastAsia="es-AR"/>
              </w:rPr>
            </w:pPr>
            <w:r w:rsidRPr="007B2AE2">
              <w:rPr>
                <w:rFonts w:ascii="Arial" w:hAnsi="Arial" w:cs="Arial"/>
                <w:sz w:val="14"/>
                <w:szCs w:val="14"/>
                <w:lang w:eastAsia="es-AR"/>
              </w:rPr>
              <w:t>Entidades Financieras y corresponsales</w:t>
            </w:r>
          </w:p>
        </w:tc>
        <w:tc>
          <w:tcPr>
            <w:tcW w:w="1100" w:type="dxa"/>
            <w:tcBorders>
              <w:top w:val="nil"/>
              <w:left w:val="nil"/>
              <w:bottom w:val="nil"/>
              <w:right w:val="nil"/>
            </w:tcBorders>
            <w:shd w:val="clear" w:color="auto" w:fill="auto"/>
            <w:vAlign w:val="bottom"/>
          </w:tcPr>
          <w:p w14:paraId="28675C3E" w14:textId="424E2584" w:rsidR="00E376E9" w:rsidRPr="007B2AE2" w:rsidRDefault="00144880" w:rsidP="007B2AE2">
            <w:pPr>
              <w:jc w:val="right"/>
              <w:rPr>
                <w:rFonts w:ascii="Arial" w:hAnsi="Arial" w:cs="Arial"/>
                <w:sz w:val="14"/>
                <w:szCs w:val="14"/>
                <w:lang w:eastAsia="es-AR"/>
              </w:rPr>
            </w:pPr>
            <w:r w:rsidRPr="00144880">
              <w:rPr>
                <w:rFonts w:ascii="Arial" w:hAnsi="Arial" w:cs="Arial"/>
                <w:sz w:val="14"/>
                <w:szCs w:val="14"/>
                <w:lang w:eastAsia="es-AR"/>
              </w:rPr>
              <w:t>17.107.624</w:t>
            </w:r>
          </w:p>
        </w:tc>
        <w:tc>
          <w:tcPr>
            <w:tcW w:w="1100" w:type="dxa"/>
            <w:tcBorders>
              <w:top w:val="nil"/>
              <w:left w:val="nil"/>
              <w:bottom w:val="nil"/>
              <w:right w:val="nil"/>
            </w:tcBorders>
            <w:shd w:val="clear" w:color="auto" w:fill="auto"/>
            <w:vAlign w:val="bottom"/>
          </w:tcPr>
          <w:p w14:paraId="204A843A" w14:textId="2B1B76D9"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65BF6668" w14:textId="1ED6A242"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7AC88C9A" w14:textId="31F1A869"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7AC6F491" w14:textId="20D1F6B1"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3DA14BFF" w14:textId="5C7F75AB"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6FED5013" w14:textId="690E166E"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r>
      <w:tr w:rsidR="00E376E9" w:rsidRPr="00122C95" w14:paraId="2343B243" w14:textId="77777777" w:rsidTr="006E1AF7">
        <w:trPr>
          <w:trHeight w:val="297"/>
        </w:trPr>
        <w:tc>
          <w:tcPr>
            <w:tcW w:w="2451" w:type="dxa"/>
            <w:tcBorders>
              <w:top w:val="nil"/>
              <w:left w:val="nil"/>
              <w:bottom w:val="nil"/>
              <w:right w:val="nil"/>
            </w:tcBorders>
            <w:shd w:val="clear" w:color="auto" w:fill="auto"/>
            <w:hideMark/>
          </w:tcPr>
          <w:p w14:paraId="0B0E54F1" w14:textId="77777777" w:rsidR="00E376E9" w:rsidRPr="007B2AE2" w:rsidRDefault="00E376E9" w:rsidP="00E376E9">
            <w:pPr>
              <w:ind w:firstLineChars="100" w:firstLine="140"/>
              <w:rPr>
                <w:rFonts w:ascii="Arial" w:hAnsi="Arial" w:cs="Arial"/>
                <w:sz w:val="14"/>
                <w:szCs w:val="14"/>
                <w:lang w:eastAsia="es-AR"/>
              </w:rPr>
            </w:pPr>
            <w:r w:rsidRPr="007B2AE2">
              <w:rPr>
                <w:rFonts w:ascii="Arial" w:hAnsi="Arial" w:cs="Arial"/>
                <w:sz w:val="14"/>
                <w:szCs w:val="14"/>
                <w:lang w:eastAsia="es-AR"/>
              </w:rPr>
              <w:t>Otros</w:t>
            </w:r>
          </w:p>
        </w:tc>
        <w:tc>
          <w:tcPr>
            <w:tcW w:w="1100" w:type="dxa"/>
            <w:tcBorders>
              <w:top w:val="nil"/>
              <w:left w:val="nil"/>
              <w:bottom w:val="nil"/>
              <w:right w:val="nil"/>
            </w:tcBorders>
            <w:shd w:val="clear" w:color="auto" w:fill="auto"/>
            <w:vAlign w:val="bottom"/>
          </w:tcPr>
          <w:p w14:paraId="3FDD5A6C" w14:textId="57AB3780" w:rsidR="00E376E9" w:rsidRPr="007B2AE2" w:rsidRDefault="00E376E9" w:rsidP="007B2AE2">
            <w:pPr>
              <w:ind w:firstLineChars="100" w:firstLine="140"/>
              <w:jc w:val="right"/>
              <w:rPr>
                <w:rFonts w:ascii="Arial" w:hAnsi="Arial" w:cs="Arial"/>
                <w:sz w:val="14"/>
                <w:szCs w:val="14"/>
                <w:lang w:eastAsia="es-AR"/>
              </w:rPr>
            </w:pPr>
            <w:r w:rsidRPr="007B2AE2">
              <w:rPr>
                <w:rFonts w:ascii="Arial" w:hAnsi="Arial" w:cs="Arial"/>
                <w:sz w:val="14"/>
                <w:szCs w:val="14"/>
                <w:lang w:eastAsia="es-AR"/>
              </w:rPr>
              <w:t>-</w:t>
            </w:r>
          </w:p>
        </w:tc>
        <w:tc>
          <w:tcPr>
            <w:tcW w:w="1100" w:type="dxa"/>
            <w:tcBorders>
              <w:top w:val="nil"/>
              <w:left w:val="nil"/>
              <w:bottom w:val="nil"/>
              <w:right w:val="nil"/>
            </w:tcBorders>
            <w:shd w:val="clear" w:color="auto" w:fill="auto"/>
            <w:vAlign w:val="bottom"/>
          </w:tcPr>
          <w:p w14:paraId="29E2B5E8" w14:textId="5E7D0D14"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7969427F" w14:textId="7E6BA176"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5628EB56" w14:textId="5746D76B"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 xml:space="preserve"> 29.910 </w:t>
            </w:r>
          </w:p>
        </w:tc>
        <w:tc>
          <w:tcPr>
            <w:tcW w:w="1723" w:type="dxa"/>
            <w:tcBorders>
              <w:top w:val="nil"/>
              <w:left w:val="nil"/>
              <w:bottom w:val="nil"/>
              <w:right w:val="nil"/>
            </w:tcBorders>
            <w:shd w:val="clear" w:color="auto" w:fill="auto"/>
            <w:vAlign w:val="bottom"/>
          </w:tcPr>
          <w:p w14:paraId="7AD91CFA" w14:textId="53C31948"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 xml:space="preserve"> 29.910 </w:t>
            </w:r>
          </w:p>
        </w:tc>
        <w:tc>
          <w:tcPr>
            <w:tcW w:w="709" w:type="dxa"/>
            <w:tcBorders>
              <w:top w:val="nil"/>
              <w:left w:val="nil"/>
              <w:bottom w:val="nil"/>
              <w:right w:val="nil"/>
            </w:tcBorders>
            <w:shd w:val="clear" w:color="auto" w:fill="auto"/>
            <w:vAlign w:val="bottom"/>
          </w:tcPr>
          <w:p w14:paraId="7639A1BF" w14:textId="021E2CF9"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1BFF1134" w14:textId="5AAFFEBC"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r>
      <w:tr w:rsidR="00122C95" w:rsidRPr="00122C95" w14:paraId="3517C790" w14:textId="77777777" w:rsidTr="006E1AF7">
        <w:trPr>
          <w:trHeight w:val="145"/>
        </w:trPr>
        <w:tc>
          <w:tcPr>
            <w:tcW w:w="2451" w:type="dxa"/>
            <w:tcBorders>
              <w:top w:val="nil"/>
              <w:left w:val="nil"/>
              <w:bottom w:val="nil"/>
              <w:right w:val="nil"/>
            </w:tcBorders>
            <w:shd w:val="clear" w:color="auto" w:fill="auto"/>
            <w:hideMark/>
          </w:tcPr>
          <w:p w14:paraId="771A7AEB" w14:textId="77777777" w:rsidR="00122C95" w:rsidRPr="007B2AE2" w:rsidRDefault="00122C95" w:rsidP="00122C95">
            <w:pPr>
              <w:rPr>
                <w:sz w:val="14"/>
                <w:szCs w:val="14"/>
                <w:lang w:eastAsia="es-AR"/>
              </w:rPr>
            </w:pPr>
          </w:p>
        </w:tc>
        <w:tc>
          <w:tcPr>
            <w:tcW w:w="1100" w:type="dxa"/>
            <w:tcBorders>
              <w:top w:val="nil"/>
              <w:left w:val="nil"/>
              <w:bottom w:val="nil"/>
              <w:right w:val="nil"/>
            </w:tcBorders>
            <w:shd w:val="clear" w:color="auto" w:fill="auto"/>
            <w:vAlign w:val="bottom"/>
          </w:tcPr>
          <w:p w14:paraId="4DEA8D9E" w14:textId="77777777" w:rsidR="00122C95" w:rsidRPr="007B2AE2" w:rsidRDefault="00122C95" w:rsidP="007B2AE2">
            <w:pPr>
              <w:ind w:firstLineChars="100" w:firstLine="140"/>
              <w:jc w:val="right"/>
              <w:rPr>
                <w:rFonts w:ascii="Arial" w:hAnsi="Arial" w:cs="Arial"/>
                <w:sz w:val="14"/>
                <w:szCs w:val="14"/>
                <w:lang w:eastAsia="es-AR"/>
              </w:rPr>
            </w:pPr>
          </w:p>
        </w:tc>
        <w:tc>
          <w:tcPr>
            <w:tcW w:w="1100" w:type="dxa"/>
            <w:tcBorders>
              <w:top w:val="nil"/>
              <w:left w:val="nil"/>
              <w:bottom w:val="nil"/>
              <w:right w:val="nil"/>
            </w:tcBorders>
            <w:shd w:val="clear" w:color="auto" w:fill="auto"/>
            <w:vAlign w:val="bottom"/>
          </w:tcPr>
          <w:p w14:paraId="3A47D72B"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71164E41" w14:textId="77777777" w:rsidR="00122C95" w:rsidRPr="007B2AE2" w:rsidRDefault="00122C95" w:rsidP="007B2AE2">
            <w:pPr>
              <w:jc w:val="right"/>
              <w:rPr>
                <w:rFonts w:ascii="Arial" w:hAnsi="Arial" w:cs="Arial"/>
                <w:sz w:val="14"/>
                <w:szCs w:val="14"/>
                <w:lang w:eastAsia="es-AR"/>
              </w:rPr>
            </w:pPr>
          </w:p>
        </w:tc>
        <w:tc>
          <w:tcPr>
            <w:tcW w:w="908" w:type="dxa"/>
            <w:tcBorders>
              <w:top w:val="nil"/>
              <w:left w:val="nil"/>
              <w:bottom w:val="nil"/>
              <w:right w:val="nil"/>
            </w:tcBorders>
            <w:shd w:val="clear" w:color="auto" w:fill="auto"/>
            <w:vAlign w:val="bottom"/>
          </w:tcPr>
          <w:p w14:paraId="7FC5184F" w14:textId="77777777" w:rsidR="00122C95" w:rsidRPr="007B2AE2" w:rsidRDefault="00122C95" w:rsidP="007B2AE2">
            <w:pPr>
              <w:jc w:val="right"/>
              <w:rPr>
                <w:rFonts w:ascii="Arial" w:hAnsi="Arial" w:cs="Arial"/>
                <w:sz w:val="14"/>
                <w:szCs w:val="14"/>
                <w:lang w:eastAsia="es-AR"/>
              </w:rPr>
            </w:pPr>
          </w:p>
        </w:tc>
        <w:tc>
          <w:tcPr>
            <w:tcW w:w="1723" w:type="dxa"/>
            <w:tcBorders>
              <w:top w:val="nil"/>
              <w:left w:val="nil"/>
              <w:bottom w:val="nil"/>
              <w:right w:val="nil"/>
            </w:tcBorders>
            <w:shd w:val="clear" w:color="auto" w:fill="auto"/>
            <w:vAlign w:val="bottom"/>
          </w:tcPr>
          <w:p w14:paraId="474282EA" w14:textId="77777777" w:rsidR="00122C95" w:rsidRPr="007B2AE2" w:rsidRDefault="00122C95" w:rsidP="007B2AE2">
            <w:pPr>
              <w:jc w:val="right"/>
              <w:rPr>
                <w:rFonts w:ascii="Arial" w:hAnsi="Arial" w:cs="Arial"/>
                <w:sz w:val="14"/>
                <w:szCs w:val="14"/>
                <w:lang w:eastAsia="es-AR"/>
              </w:rPr>
            </w:pPr>
          </w:p>
        </w:tc>
        <w:tc>
          <w:tcPr>
            <w:tcW w:w="709" w:type="dxa"/>
            <w:tcBorders>
              <w:top w:val="nil"/>
              <w:left w:val="nil"/>
              <w:bottom w:val="nil"/>
              <w:right w:val="nil"/>
            </w:tcBorders>
            <w:shd w:val="clear" w:color="auto" w:fill="auto"/>
            <w:vAlign w:val="bottom"/>
          </w:tcPr>
          <w:p w14:paraId="5DA51A5B" w14:textId="77777777" w:rsidR="00122C95" w:rsidRPr="007B2AE2" w:rsidRDefault="00122C95" w:rsidP="007B2AE2">
            <w:pPr>
              <w:jc w:val="right"/>
              <w:rPr>
                <w:rFonts w:ascii="Arial" w:hAnsi="Arial" w:cs="Arial"/>
                <w:sz w:val="14"/>
                <w:szCs w:val="14"/>
                <w:lang w:eastAsia="es-AR"/>
              </w:rPr>
            </w:pPr>
          </w:p>
        </w:tc>
        <w:tc>
          <w:tcPr>
            <w:tcW w:w="711" w:type="dxa"/>
            <w:tcBorders>
              <w:top w:val="nil"/>
              <w:left w:val="nil"/>
              <w:bottom w:val="nil"/>
              <w:right w:val="nil"/>
            </w:tcBorders>
            <w:shd w:val="clear" w:color="auto" w:fill="auto"/>
            <w:vAlign w:val="bottom"/>
          </w:tcPr>
          <w:p w14:paraId="21F0FC9D" w14:textId="77777777" w:rsidR="00122C95" w:rsidRPr="007B2AE2" w:rsidRDefault="00122C95" w:rsidP="007B2AE2">
            <w:pPr>
              <w:jc w:val="right"/>
              <w:rPr>
                <w:rFonts w:ascii="Arial" w:hAnsi="Arial" w:cs="Arial"/>
                <w:sz w:val="14"/>
                <w:szCs w:val="14"/>
                <w:lang w:eastAsia="es-AR"/>
              </w:rPr>
            </w:pPr>
          </w:p>
        </w:tc>
      </w:tr>
      <w:tr w:rsidR="00E376E9" w:rsidRPr="00122C95" w14:paraId="3E95D952" w14:textId="77777777" w:rsidTr="006E1AF7">
        <w:trPr>
          <w:trHeight w:val="268"/>
        </w:trPr>
        <w:tc>
          <w:tcPr>
            <w:tcW w:w="2451" w:type="dxa"/>
            <w:tcBorders>
              <w:top w:val="nil"/>
              <w:left w:val="nil"/>
              <w:bottom w:val="nil"/>
              <w:right w:val="nil"/>
            </w:tcBorders>
            <w:shd w:val="clear" w:color="auto" w:fill="auto"/>
            <w:hideMark/>
          </w:tcPr>
          <w:p w14:paraId="6C4F9F73" w14:textId="77777777" w:rsidR="00E376E9" w:rsidRPr="007B2AE2" w:rsidRDefault="00E376E9" w:rsidP="00E376E9">
            <w:pPr>
              <w:rPr>
                <w:rFonts w:ascii="Arial" w:hAnsi="Arial" w:cs="Arial"/>
                <w:b/>
                <w:bCs/>
                <w:sz w:val="14"/>
                <w:szCs w:val="14"/>
                <w:lang w:eastAsia="es-AR"/>
              </w:rPr>
            </w:pPr>
            <w:r w:rsidRPr="007B2AE2">
              <w:rPr>
                <w:rFonts w:ascii="Arial" w:hAnsi="Arial" w:cs="Arial"/>
                <w:b/>
                <w:bCs/>
                <w:sz w:val="14"/>
                <w:szCs w:val="14"/>
                <w:lang w:eastAsia="es-AR"/>
              </w:rPr>
              <w:t>Títulos de deuda a valor razonable con cambios en resultados</w:t>
            </w:r>
          </w:p>
        </w:tc>
        <w:tc>
          <w:tcPr>
            <w:tcW w:w="1100" w:type="dxa"/>
            <w:tcBorders>
              <w:top w:val="nil"/>
              <w:left w:val="nil"/>
              <w:bottom w:val="nil"/>
              <w:right w:val="nil"/>
            </w:tcBorders>
            <w:shd w:val="clear" w:color="auto" w:fill="auto"/>
            <w:vAlign w:val="bottom"/>
          </w:tcPr>
          <w:p w14:paraId="45A4EB33" w14:textId="2BC0F05A" w:rsidR="00E376E9" w:rsidRPr="007B2AE2" w:rsidRDefault="00E376E9" w:rsidP="007B2AE2">
            <w:pPr>
              <w:jc w:val="right"/>
              <w:rPr>
                <w:rFonts w:ascii="Arial" w:hAnsi="Arial" w:cs="Arial"/>
                <w:b/>
                <w:bCs/>
                <w:sz w:val="14"/>
                <w:szCs w:val="14"/>
                <w:lang w:eastAsia="es-AR"/>
              </w:rPr>
            </w:pPr>
            <w:r w:rsidRPr="007B2AE2">
              <w:rPr>
                <w:rFonts w:ascii="Arial" w:hAnsi="Arial" w:cs="Arial"/>
                <w:b/>
                <w:bCs/>
                <w:sz w:val="14"/>
                <w:szCs w:val="14"/>
                <w:lang w:eastAsia="es-AR"/>
              </w:rPr>
              <w:t>-</w:t>
            </w:r>
          </w:p>
        </w:tc>
        <w:tc>
          <w:tcPr>
            <w:tcW w:w="1100" w:type="dxa"/>
            <w:tcBorders>
              <w:top w:val="nil"/>
              <w:left w:val="nil"/>
              <w:bottom w:val="nil"/>
              <w:right w:val="nil"/>
            </w:tcBorders>
            <w:shd w:val="clear" w:color="auto" w:fill="auto"/>
            <w:vAlign w:val="bottom"/>
          </w:tcPr>
          <w:p w14:paraId="62DFD712" w14:textId="103A6853"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404ABBAF" w14:textId="33E26B48"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0E0F02DE" w14:textId="5DF6EDEE"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 xml:space="preserve"> </w:t>
            </w:r>
            <w:r w:rsidR="00144880" w:rsidRPr="00144880">
              <w:rPr>
                <w:rFonts w:ascii="Arial" w:hAnsi="Arial" w:cs="Arial"/>
                <w:sz w:val="14"/>
                <w:szCs w:val="14"/>
                <w:lang w:eastAsia="es-AR"/>
              </w:rPr>
              <w:t xml:space="preserve"> 405.068</w:t>
            </w:r>
          </w:p>
        </w:tc>
        <w:tc>
          <w:tcPr>
            <w:tcW w:w="1723" w:type="dxa"/>
            <w:tcBorders>
              <w:top w:val="nil"/>
              <w:left w:val="nil"/>
              <w:bottom w:val="nil"/>
              <w:right w:val="nil"/>
            </w:tcBorders>
            <w:shd w:val="clear" w:color="auto" w:fill="auto"/>
            <w:vAlign w:val="bottom"/>
          </w:tcPr>
          <w:p w14:paraId="70EDAD67" w14:textId="4A2E2822" w:rsidR="00E376E9" w:rsidRPr="007B2AE2" w:rsidRDefault="004378F9" w:rsidP="007B2AE2">
            <w:pPr>
              <w:jc w:val="right"/>
              <w:rPr>
                <w:rFonts w:ascii="Arial" w:hAnsi="Arial" w:cs="Arial"/>
                <w:sz w:val="14"/>
                <w:szCs w:val="14"/>
                <w:lang w:eastAsia="es-AR"/>
              </w:rPr>
            </w:pPr>
            <w:r w:rsidRPr="004378F9">
              <w:rPr>
                <w:rFonts w:ascii="Arial" w:hAnsi="Arial" w:cs="Arial"/>
                <w:sz w:val="14"/>
                <w:szCs w:val="14"/>
                <w:lang w:eastAsia="es-AR"/>
              </w:rPr>
              <w:t>4</w:t>
            </w:r>
            <w:r w:rsidR="001359FE">
              <w:rPr>
                <w:rFonts w:ascii="Arial" w:hAnsi="Arial" w:cs="Arial"/>
                <w:sz w:val="14"/>
                <w:szCs w:val="14"/>
                <w:lang w:eastAsia="es-AR"/>
              </w:rPr>
              <w:t>01.39</w:t>
            </w:r>
            <w:r w:rsidR="000966C6">
              <w:rPr>
                <w:rFonts w:ascii="Arial" w:hAnsi="Arial" w:cs="Arial"/>
                <w:sz w:val="14"/>
                <w:szCs w:val="14"/>
                <w:lang w:eastAsia="es-AR"/>
              </w:rPr>
              <w:t>7</w:t>
            </w:r>
          </w:p>
        </w:tc>
        <w:tc>
          <w:tcPr>
            <w:tcW w:w="709" w:type="dxa"/>
            <w:tcBorders>
              <w:top w:val="nil"/>
              <w:left w:val="nil"/>
              <w:bottom w:val="nil"/>
              <w:right w:val="nil"/>
            </w:tcBorders>
            <w:shd w:val="clear" w:color="auto" w:fill="auto"/>
            <w:vAlign w:val="bottom"/>
          </w:tcPr>
          <w:p w14:paraId="69222F71" w14:textId="083261A7" w:rsidR="00E376E9" w:rsidRPr="007B2AE2" w:rsidRDefault="007953AC" w:rsidP="007B2AE2">
            <w:pPr>
              <w:jc w:val="right"/>
              <w:rPr>
                <w:rFonts w:ascii="Arial" w:hAnsi="Arial" w:cs="Arial"/>
                <w:sz w:val="14"/>
                <w:szCs w:val="14"/>
                <w:lang w:eastAsia="es-AR"/>
              </w:rPr>
            </w:pPr>
            <w:r>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5F82F8F6" w14:textId="110F9DCF" w:rsidR="00E376E9" w:rsidRPr="007B2AE2" w:rsidRDefault="007953AC" w:rsidP="007B2AE2">
            <w:pPr>
              <w:jc w:val="right"/>
              <w:rPr>
                <w:rFonts w:ascii="Arial" w:hAnsi="Arial" w:cs="Arial"/>
                <w:sz w:val="14"/>
                <w:szCs w:val="14"/>
                <w:lang w:eastAsia="es-AR"/>
              </w:rPr>
            </w:pPr>
            <w:r w:rsidRPr="004378F9">
              <w:rPr>
                <w:rFonts w:ascii="Arial" w:hAnsi="Arial" w:cs="Arial"/>
                <w:sz w:val="14"/>
                <w:szCs w:val="14"/>
                <w:lang w:eastAsia="es-AR"/>
              </w:rPr>
              <w:t>3.67</w:t>
            </w:r>
            <w:r w:rsidR="000966C6">
              <w:rPr>
                <w:rFonts w:ascii="Arial" w:hAnsi="Arial" w:cs="Arial"/>
                <w:sz w:val="14"/>
                <w:szCs w:val="14"/>
                <w:lang w:eastAsia="es-AR"/>
              </w:rPr>
              <w:t>1.</w:t>
            </w:r>
          </w:p>
        </w:tc>
      </w:tr>
      <w:tr w:rsidR="00122C95" w:rsidRPr="00122C95" w14:paraId="38881DF0" w14:textId="77777777" w:rsidTr="006E1AF7">
        <w:trPr>
          <w:trHeight w:val="81"/>
        </w:trPr>
        <w:tc>
          <w:tcPr>
            <w:tcW w:w="2451" w:type="dxa"/>
            <w:tcBorders>
              <w:top w:val="nil"/>
              <w:left w:val="nil"/>
              <w:bottom w:val="nil"/>
              <w:right w:val="nil"/>
            </w:tcBorders>
            <w:shd w:val="clear" w:color="auto" w:fill="auto"/>
            <w:hideMark/>
          </w:tcPr>
          <w:p w14:paraId="15BF0478" w14:textId="77777777" w:rsidR="00122C95" w:rsidRPr="007B2AE2" w:rsidRDefault="00122C95" w:rsidP="00122C95">
            <w:pPr>
              <w:rPr>
                <w:sz w:val="14"/>
                <w:szCs w:val="14"/>
                <w:lang w:eastAsia="es-AR"/>
              </w:rPr>
            </w:pPr>
          </w:p>
        </w:tc>
        <w:tc>
          <w:tcPr>
            <w:tcW w:w="1100" w:type="dxa"/>
            <w:tcBorders>
              <w:top w:val="nil"/>
              <w:left w:val="nil"/>
              <w:bottom w:val="nil"/>
              <w:right w:val="nil"/>
            </w:tcBorders>
            <w:shd w:val="clear" w:color="auto" w:fill="auto"/>
            <w:vAlign w:val="bottom"/>
          </w:tcPr>
          <w:p w14:paraId="5C1B35BA" w14:textId="77777777" w:rsidR="00122C95" w:rsidRPr="007B2AE2" w:rsidRDefault="00122C95" w:rsidP="007B2AE2">
            <w:pPr>
              <w:jc w:val="right"/>
              <w:rPr>
                <w:rFonts w:ascii="Arial" w:hAnsi="Arial" w:cs="Arial"/>
                <w:sz w:val="14"/>
                <w:szCs w:val="14"/>
                <w:lang w:eastAsia="es-AR"/>
              </w:rPr>
            </w:pPr>
          </w:p>
        </w:tc>
        <w:tc>
          <w:tcPr>
            <w:tcW w:w="1100" w:type="dxa"/>
            <w:tcBorders>
              <w:top w:val="nil"/>
              <w:left w:val="nil"/>
              <w:bottom w:val="nil"/>
              <w:right w:val="nil"/>
            </w:tcBorders>
            <w:shd w:val="clear" w:color="auto" w:fill="auto"/>
            <w:vAlign w:val="bottom"/>
          </w:tcPr>
          <w:p w14:paraId="1AE8FB03"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76F25EC7" w14:textId="77777777" w:rsidR="00122C95" w:rsidRPr="007B2AE2" w:rsidRDefault="00122C95" w:rsidP="007B2AE2">
            <w:pPr>
              <w:jc w:val="right"/>
              <w:rPr>
                <w:rFonts w:ascii="Arial" w:hAnsi="Arial" w:cs="Arial"/>
                <w:sz w:val="14"/>
                <w:szCs w:val="14"/>
                <w:lang w:eastAsia="es-AR"/>
              </w:rPr>
            </w:pPr>
          </w:p>
        </w:tc>
        <w:tc>
          <w:tcPr>
            <w:tcW w:w="908" w:type="dxa"/>
            <w:tcBorders>
              <w:top w:val="nil"/>
              <w:left w:val="nil"/>
              <w:bottom w:val="nil"/>
              <w:right w:val="nil"/>
            </w:tcBorders>
            <w:shd w:val="clear" w:color="auto" w:fill="auto"/>
            <w:vAlign w:val="bottom"/>
          </w:tcPr>
          <w:p w14:paraId="4B2AFD71" w14:textId="77777777" w:rsidR="00122C95" w:rsidRPr="007B2AE2" w:rsidRDefault="00122C95" w:rsidP="007B2AE2">
            <w:pPr>
              <w:jc w:val="right"/>
              <w:rPr>
                <w:rFonts w:ascii="Arial" w:hAnsi="Arial" w:cs="Arial"/>
                <w:sz w:val="14"/>
                <w:szCs w:val="14"/>
                <w:lang w:eastAsia="es-AR"/>
              </w:rPr>
            </w:pPr>
          </w:p>
        </w:tc>
        <w:tc>
          <w:tcPr>
            <w:tcW w:w="1723" w:type="dxa"/>
            <w:tcBorders>
              <w:top w:val="nil"/>
              <w:left w:val="nil"/>
              <w:bottom w:val="nil"/>
              <w:right w:val="nil"/>
            </w:tcBorders>
            <w:shd w:val="clear" w:color="auto" w:fill="auto"/>
            <w:vAlign w:val="bottom"/>
          </w:tcPr>
          <w:p w14:paraId="4B49A959" w14:textId="77777777" w:rsidR="00122C95" w:rsidRPr="007B2AE2" w:rsidRDefault="00122C95" w:rsidP="007B2AE2">
            <w:pPr>
              <w:jc w:val="right"/>
              <w:rPr>
                <w:rFonts w:ascii="Arial" w:hAnsi="Arial" w:cs="Arial"/>
                <w:sz w:val="14"/>
                <w:szCs w:val="14"/>
                <w:lang w:eastAsia="es-AR"/>
              </w:rPr>
            </w:pPr>
          </w:p>
        </w:tc>
        <w:tc>
          <w:tcPr>
            <w:tcW w:w="709" w:type="dxa"/>
            <w:tcBorders>
              <w:top w:val="nil"/>
              <w:left w:val="nil"/>
              <w:bottom w:val="nil"/>
              <w:right w:val="nil"/>
            </w:tcBorders>
            <w:shd w:val="clear" w:color="auto" w:fill="auto"/>
            <w:vAlign w:val="bottom"/>
          </w:tcPr>
          <w:p w14:paraId="63F2983E" w14:textId="6598CC4F" w:rsidR="00122C95" w:rsidRPr="007B2AE2" w:rsidRDefault="00122C95" w:rsidP="007B2AE2">
            <w:pPr>
              <w:jc w:val="right"/>
              <w:rPr>
                <w:rFonts w:ascii="Arial" w:hAnsi="Arial" w:cs="Arial"/>
                <w:sz w:val="14"/>
                <w:szCs w:val="14"/>
                <w:lang w:eastAsia="es-AR"/>
              </w:rPr>
            </w:pPr>
          </w:p>
        </w:tc>
        <w:tc>
          <w:tcPr>
            <w:tcW w:w="711" w:type="dxa"/>
            <w:tcBorders>
              <w:top w:val="nil"/>
              <w:left w:val="nil"/>
              <w:bottom w:val="nil"/>
              <w:right w:val="nil"/>
            </w:tcBorders>
            <w:shd w:val="clear" w:color="auto" w:fill="auto"/>
            <w:vAlign w:val="bottom"/>
          </w:tcPr>
          <w:p w14:paraId="6CC7655A" w14:textId="77777777" w:rsidR="00122C95" w:rsidRPr="007B2AE2" w:rsidRDefault="00122C95" w:rsidP="007B2AE2">
            <w:pPr>
              <w:jc w:val="right"/>
              <w:rPr>
                <w:rFonts w:ascii="Arial" w:hAnsi="Arial" w:cs="Arial"/>
                <w:sz w:val="14"/>
                <w:szCs w:val="14"/>
                <w:lang w:eastAsia="es-AR"/>
              </w:rPr>
            </w:pPr>
          </w:p>
        </w:tc>
      </w:tr>
      <w:tr w:rsidR="00E376E9" w:rsidRPr="00122C95" w14:paraId="1A17F851" w14:textId="77777777" w:rsidTr="006E1AF7">
        <w:trPr>
          <w:trHeight w:val="106"/>
        </w:trPr>
        <w:tc>
          <w:tcPr>
            <w:tcW w:w="2451" w:type="dxa"/>
            <w:tcBorders>
              <w:top w:val="nil"/>
              <w:left w:val="nil"/>
              <w:bottom w:val="nil"/>
              <w:right w:val="nil"/>
            </w:tcBorders>
            <w:shd w:val="clear" w:color="auto" w:fill="auto"/>
            <w:hideMark/>
          </w:tcPr>
          <w:p w14:paraId="58F15DEC" w14:textId="77777777" w:rsidR="00E376E9" w:rsidRPr="007B2AE2" w:rsidRDefault="00E376E9" w:rsidP="00E376E9">
            <w:pPr>
              <w:rPr>
                <w:rFonts w:ascii="Arial" w:hAnsi="Arial" w:cs="Arial"/>
                <w:b/>
                <w:bCs/>
                <w:sz w:val="14"/>
                <w:szCs w:val="14"/>
                <w:lang w:eastAsia="es-AR"/>
              </w:rPr>
            </w:pPr>
            <w:r w:rsidRPr="007B2AE2">
              <w:rPr>
                <w:rFonts w:ascii="Arial" w:hAnsi="Arial" w:cs="Arial"/>
                <w:b/>
                <w:bCs/>
                <w:sz w:val="14"/>
                <w:szCs w:val="14"/>
                <w:lang w:eastAsia="es-AR"/>
              </w:rPr>
              <w:t>Instrumentos derivados</w:t>
            </w:r>
          </w:p>
        </w:tc>
        <w:tc>
          <w:tcPr>
            <w:tcW w:w="1100" w:type="dxa"/>
            <w:tcBorders>
              <w:top w:val="nil"/>
              <w:left w:val="nil"/>
              <w:bottom w:val="nil"/>
              <w:right w:val="nil"/>
            </w:tcBorders>
            <w:shd w:val="clear" w:color="auto" w:fill="auto"/>
            <w:vAlign w:val="bottom"/>
          </w:tcPr>
          <w:p w14:paraId="3EAD097E" w14:textId="23D16904" w:rsidR="00E376E9" w:rsidRPr="007B2AE2" w:rsidRDefault="00E376E9" w:rsidP="007B2AE2">
            <w:pPr>
              <w:jc w:val="right"/>
              <w:rPr>
                <w:rFonts w:ascii="Arial" w:hAnsi="Arial" w:cs="Arial"/>
                <w:b/>
                <w:bCs/>
                <w:sz w:val="14"/>
                <w:szCs w:val="14"/>
                <w:lang w:eastAsia="es-AR"/>
              </w:rPr>
            </w:pPr>
            <w:r w:rsidRPr="007B2AE2">
              <w:rPr>
                <w:rFonts w:ascii="Arial" w:hAnsi="Arial" w:cs="Arial"/>
                <w:b/>
                <w:bCs/>
                <w:sz w:val="14"/>
                <w:szCs w:val="14"/>
                <w:lang w:eastAsia="es-AR"/>
              </w:rPr>
              <w:t>-</w:t>
            </w:r>
          </w:p>
        </w:tc>
        <w:tc>
          <w:tcPr>
            <w:tcW w:w="1100" w:type="dxa"/>
            <w:tcBorders>
              <w:top w:val="nil"/>
              <w:left w:val="nil"/>
              <w:bottom w:val="nil"/>
              <w:right w:val="nil"/>
            </w:tcBorders>
            <w:shd w:val="clear" w:color="auto" w:fill="auto"/>
            <w:vAlign w:val="bottom"/>
          </w:tcPr>
          <w:p w14:paraId="0F51E9B0" w14:textId="33B67A66"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547EC048" w14:textId="7A825A84"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1DA35E9A" w14:textId="0FA2EB96"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 xml:space="preserve"> 257.587 </w:t>
            </w:r>
          </w:p>
        </w:tc>
        <w:tc>
          <w:tcPr>
            <w:tcW w:w="1723" w:type="dxa"/>
            <w:tcBorders>
              <w:top w:val="nil"/>
              <w:left w:val="nil"/>
              <w:bottom w:val="nil"/>
              <w:right w:val="nil"/>
            </w:tcBorders>
            <w:shd w:val="clear" w:color="auto" w:fill="auto"/>
            <w:vAlign w:val="bottom"/>
          </w:tcPr>
          <w:p w14:paraId="1F71089F" w14:textId="78348420"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 xml:space="preserve"> 257.587 </w:t>
            </w:r>
          </w:p>
        </w:tc>
        <w:tc>
          <w:tcPr>
            <w:tcW w:w="709" w:type="dxa"/>
            <w:tcBorders>
              <w:top w:val="nil"/>
              <w:left w:val="nil"/>
              <w:bottom w:val="nil"/>
              <w:right w:val="nil"/>
            </w:tcBorders>
            <w:shd w:val="clear" w:color="auto" w:fill="auto"/>
            <w:vAlign w:val="bottom"/>
          </w:tcPr>
          <w:p w14:paraId="4E648AF6" w14:textId="31E2E484"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0233D8FC" w14:textId="6865726B"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r>
      <w:tr w:rsidR="00122C95" w:rsidRPr="00122C95" w14:paraId="744D03E3" w14:textId="77777777" w:rsidTr="006E1AF7">
        <w:trPr>
          <w:trHeight w:val="255"/>
        </w:trPr>
        <w:tc>
          <w:tcPr>
            <w:tcW w:w="2451" w:type="dxa"/>
            <w:tcBorders>
              <w:top w:val="nil"/>
              <w:left w:val="nil"/>
              <w:bottom w:val="nil"/>
              <w:right w:val="nil"/>
            </w:tcBorders>
            <w:shd w:val="clear" w:color="auto" w:fill="auto"/>
            <w:hideMark/>
          </w:tcPr>
          <w:p w14:paraId="249DFAD2" w14:textId="77777777" w:rsidR="00122C95" w:rsidRPr="007B2AE2" w:rsidRDefault="00122C95" w:rsidP="00122C95">
            <w:pPr>
              <w:rPr>
                <w:sz w:val="14"/>
                <w:szCs w:val="14"/>
                <w:lang w:eastAsia="es-AR"/>
              </w:rPr>
            </w:pPr>
          </w:p>
        </w:tc>
        <w:tc>
          <w:tcPr>
            <w:tcW w:w="1100" w:type="dxa"/>
            <w:tcBorders>
              <w:top w:val="nil"/>
              <w:left w:val="nil"/>
              <w:bottom w:val="nil"/>
              <w:right w:val="nil"/>
            </w:tcBorders>
            <w:shd w:val="clear" w:color="auto" w:fill="auto"/>
            <w:vAlign w:val="bottom"/>
          </w:tcPr>
          <w:p w14:paraId="5BAC0807" w14:textId="77777777" w:rsidR="00122C95" w:rsidRPr="007B2AE2" w:rsidRDefault="00122C95" w:rsidP="007B2AE2">
            <w:pPr>
              <w:jc w:val="right"/>
              <w:rPr>
                <w:rFonts w:ascii="Arial" w:hAnsi="Arial" w:cs="Arial"/>
                <w:sz w:val="14"/>
                <w:szCs w:val="14"/>
                <w:lang w:eastAsia="es-AR"/>
              </w:rPr>
            </w:pPr>
          </w:p>
        </w:tc>
        <w:tc>
          <w:tcPr>
            <w:tcW w:w="1100" w:type="dxa"/>
            <w:tcBorders>
              <w:top w:val="nil"/>
              <w:left w:val="nil"/>
              <w:bottom w:val="nil"/>
              <w:right w:val="nil"/>
            </w:tcBorders>
            <w:shd w:val="clear" w:color="auto" w:fill="auto"/>
            <w:vAlign w:val="bottom"/>
          </w:tcPr>
          <w:p w14:paraId="71BCE828"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77232AC8" w14:textId="77777777" w:rsidR="00122C95" w:rsidRPr="007B2AE2" w:rsidRDefault="00122C95" w:rsidP="007B2AE2">
            <w:pPr>
              <w:jc w:val="right"/>
              <w:rPr>
                <w:rFonts w:ascii="Arial" w:hAnsi="Arial" w:cs="Arial"/>
                <w:sz w:val="14"/>
                <w:szCs w:val="14"/>
                <w:lang w:eastAsia="es-AR"/>
              </w:rPr>
            </w:pPr>
          </w:p>
        </w:tc>
        <w:tc>
          <w:tcPr>
            <w:tcW w:w="908" w:type="dxa"/>
            <w:tcBorders>
              <w:top w:val="nil"/>
              <w:left w:val="nil"/>
              <w:bottom w:val="nil"/>
              <w:right w:val="nil"/>
            </w:tcBorders>
            <w:shd w:val="clear" w:color="auto" w:fill="auto"/>
            <w:vAlign w:val="bottom"/>
          </w:tcPr>
          <w:p w14:paraId="1B2D3C5C" w14:textId="77777777" w:rsidR="00122C95" w:rsidRPr="007B2AE2" w:rsidRDefault="00122C95" w:rsidP="007B2AE2">
            <w:pPr>
              <w:jc w:val="right"/>
              <w:rPr>
                <w:rFonts w:ascii="Arial" w:hAnsi="Arial" w:cs="Arial"/>
                <w:sz w:val="14"/>
                <w:szCs w:val="14"/>
                <w:lang w:eastAsia="es-AR"/>
              </w:rPr>
            </w:pPr>
          </w:p>
        </w:tc>
        <w:tc>
          <w:tcPr>
            <w:tcW w:w="1723" w:type="dxa"/>
            <w:tcBorders>
              <w:top w:val="nil"/>
              <w:left w:val="nil"/>
              <w:bottom w:val="nil"/>
              <w:right w:val="nil"/>
            </w:tcBorders>
            <w:shd w:val="clear" w:color="auto" w:fill="auto"/>
            <w:vAlign w:val="bottom"/>
          </w:tcPr>
          <w:p w14:paraId="31715915" w14:textId="77777777" w:rsidR="00122C95" w:rsidRPr="007B2AE2" w:rsidRDefault="00122C95" w:rsidP="007B2AE2">
            <w:pPr>
              <w:jc w:val="right"/>
              <w:rPr>
                <w:rFonts w:ascii="Arial" w:hAnsi="Arial" w:cs="Arial"/>
                <w:sz w:val="14"/>
                <w:szCs w:val="14"/>
                <w:lang w:eastAsia="es-AR"/>
              </w:rPr>
            </w:pPr>
          </w:p>
        </w:tc>
        <w:tc>
          <w:tcPr>
            <w:tcW w:w="709" w:type="dxa"/>
            <w:tcBorders>
              <w:top w:val="nil"/>
              <w:left w:val="nil"/>
              <w:bottom w:val="nil"/>
              <w:right w:val="nil"/>
            </w:tcBorders>
            <w:shd w:val="clear" w:color="auto" w:fill="auto"/>
            <w:vAlign w:val="bottom"/>
          </w:tcPr>
          <w:p w14:paraId="6473554A" w14:textId="77777777" w:rsidR="00122C95" w:rsidRPr="007B2AE2" w:rsidRDefault="00122C95" w:rsidP="007B2AE2">
            <w:pPr>
              <w:jc w:val="right"/>
              <w:rPr>
                <w:rFonts w:ascii="Arial" w:hAnsi="Arial" w:cs="Arial"/>
                <w:sz w:val="14"/>
                <w:szCs w:val="14"/>
                <w:lang w:eastAsia="es-AR"/>
              </w:rPr>
            </w:pPr>
          </w:p>
        </w:tc>
        <w:tc>
          <w:tcPr>
            <w:tcW w:w="711" w:type="dxa"/>
            <w:tcBorders>
              <w:top w:val="nil"/>
              <w:left w:val="nil"/>
              <w:bottom w:val="nil"/>
              <w:right w:val="nil"/>
            </w:tcBorders>
            <w:shd w:val="clear" w:color="auto" w:fill="auto"/>
            <w:vAlign w:val="bottom"/>
          </w:tcPr>
          <w:p w14:paraId="379BEFD8" w14:textId="77777777" w:rsidR="00122C95" w:rsidRPr="007B2AE2" w:rsidRDefault="00122C95" w:rsidP="007B2AE2">
            <w:pPr>
              <w:jc w:val="right"/>
              <w:rPr>
                <w:rFonts w:ascii="Arial" w:hAnsi="Arial" w:cs="Arial"/>
                <w:sz w:val="14"/>
                <w:szCs w:val="14"/>
                <w:lang w:eastAsia="es-AR"/>
              </w:rPr>
            </w:pPr>
          </w:p>
        </w:tc>
      </w:tr>
      <w:tr w:rsidR="00E376E9" w:rsidRPr="00122C95" w14:paraId="1AB36016" w14:textId="77777777" w:rsidTr="006E1AF7">
        <w:trPr>
          <w:trHeight w:val="80"/>
        </w:trPr>
        <w:tc>
          <w:tcPr>
            <w:tcW w:w="2451" w:type="dxa"/>
            <w:tcBorders>
              <w:top w:val="nil"/>
              <w:left w:val="nil"/>
              <w:bottom w:val="nil"/>
              <w:right w:val="nil"/>
            </w:tcBorders>
            <w:shd w:val="clear" w:color="auto" w:fill="auto"/>
            <w:hideMark/>
          </w:tcPr>
          <w:p w14:paraId="19D3AAD6" w14:textId="77777777" w:rsidR="00E376E9" w:rsidRPr="007B2AE2" w:rsidRDefault="00E376E9" w:rsidP="00E376E9">
            <w:pPr>
              <w:rPr>
                <w:rFonts w:ascii="Arial" w:hAnsi="Arial" w:cs="Arial"/>
                <w:b/>
                <w:bCs/>
                <w:sz w:val="14"/>
                <w:szCs w:val="14"/>
                <w:lang w:eastAsia="es-AR"/>
              </w:rPr>
            </w:pPr>
            <w:r w:rsidRPr="007B2AE2">
              <w:rPr>
                <w:rFonts w:ascii="Arial" w:hAnsi="Arial" w:cs="Arial"/>
                <w:b/>
                <w:bCs/>
                <w:sz w:val="14"/>
                <w:szCs w:val="14"/>
                <w:lang w:eastAsia="es-AR"/>
              </w:rPr>
              <w:t>Otros activos financieros</w:t>
            </w:r>
          </w:p>
        </w:tc>
        <w:tc>
          <w:tcPr>
            <w:tcW w:w="1100" w:type="dxa"/>
            <w:tcBorders>
              <w:top w:val="nil"/>
              <w:left w:val="nil"/>
              <w:bottom w:val="nil"/>
              <w:right w:val="nil"/>
            </w:tcBorders>
            <w:shd w:val="clear" w:color="auto" w:fill="auto"/>
            <w:vAlign w:val="bottom"/>
          </w:tcPr>
          <w:p w14:paraId="684D96BA" w14:textId="47B0931E" w:rsidR="00E376E9" w:rsidRPr="007B2AE2" w:rsidRDefault="00144880" w:rsidP="007B2AE2">
            <w:pPr>
              <w:jc w:val="right"/>
              <w:rPr>
                <w:rFonts w:ascii="Arial" w:hAnsi="Arial" w:cs="Arial"/>
                <w:bCs/>
                <w:sz w:val="14"/>
                <w:szCs w:val="14"/>
                <w:lang w:eastAsia="es-AR"/>
              </w:rPr>
            </w:pPr>
            <w:r w:rsidRPr="00144880">
              <w:rPr>
                <w:rFonts w:ascii="Arial" w:hAnsi="Arial" w:cs="Arial"/>
                <w:bCs/>
                <w:sz w:val="14"/>
                <w:szCs w:val="14"/>
                <w:lang w:eastAsia="es-AR"/>
              </w:rPr>
              <w:t>772.180</w:t>
            </w:r>
          </w:p>
        </w:tc>
        <w:tc>
          <w:tcPr>
            <w:tcW w:w="1100" w:type="dxa"/>
            <w:tcBorders>
              <w:top w:val="nil"/>
              <w:left w:val="nil"/>
              <w:bottom w:val="nil"/>
              <w:right w:val="nil"/>
            </w:tcBorders>
            <w:shd w:val="clear" w:color="auto" w:fill="auto"/>
            <w:vAlign w:val="bottom"/>
          </w:tcPr>
          <w:p w14:paraId="039C4640" w14:textId="52C4A77A" w:rsidR="00E376E9" w:rsidRPr="007B2AE2" w:rsidRDefault="00E376E9" w:rsidP="007B2AE2">
            <w:pPr>
              <w:jc w:val="right"/>
              <w:rPr>
                <w:rFonts w:ascii="Arial" w:hAnsi="Arial" w:cs="Arial"/>
                <w:bCs/>
                <w:sz w:val="14"/>
                <w:szCs w:val="14"/>
                <w:lang w:eastAsia="es-AR"/>
              </w:rPr>
            </w:pPr>
            <w:r w:rsidRPr="007B2AE2">
              <w:rPr>
                <w:rFonts w:ascii="Arial" w:hAnsi="Arial" w:cs="Arial"/>
                <w:bCs/>
                <w:sz w:val="14"/>
                <w:szCs w:val="14"/>
                <w:lang w:eastAsia="es-AR"/>
              </w:rPr>
              <w:t xml:space="preserve"> -   </w:t>
            </w:r>
          </w:p>
        </w:tc>
        <w:tc>
          <w:tcPr>
            <w:tcW w:w="1360" w:type="dxa"/>
            <w:tcBorders>
              <w:top w:val="nil"/>
              <w:left w:val="nil"/>
              <w:bottom w:val="nil"/>
              <w:right w:val="nil"/>
            </w:tcBorders>
            <w:shd w:val="clear" w:color="auto" w:fill="auto"/>
            <w:vAlign w:val="bottom"/>
          </w:tcPr>
          <w:p w14:paraId="1D3FAF36" w14:textId="5D59C7C3" w:rsidR="00E376E9" w:rsidRPr="007B2AE2" w:rsidRDefault="00E376E9" w:rsidP="007B2AE2">
            <w:pPr>
              <w:jc w:val="right"/>
              <w:rPr>
                <w:rFonts w:ascii="Arial" w:hAnsi="Arial" w:cs="Arial"/>
                <w:bCs/>
                <w:sz w:val="14"/>
                <w:szCs w:val="14"/>
                <w:lang w:eastAsia="es-AR"/>
              </w:rPr>
            </w:pPr>
            <w:r w:rsidRPr="007B2AE2">
              <w:rPr>
                <w:rFonts w:ascii="Arial" w:hAnsi="Arial" w:cs="Arial"/>
                <w:bCs/>
                <w:sz w:val="14"/>
                <w:szCs w:val="14"/>
                <w:lang w:eastAsia="es-AR"/>
              </w:rPr>
              <w:t xml:space="preserve"> -   </w:t>
            </w:r>
          </w:p>
        </w:tc>
        <w:tc>
          <w:tcPr>
            <w:tcW w:w="908" w:type="dxa"/>
            <w:tcBorders>
              <w:top w:val="nil"/>
              <w:left w:val="nil"/>
              <w:bottom w:val="nil"/>
              <w:right w:val="nil"/>
            </w:tcBorders>
            <w:shd w:val="clear" w:color="auto" w:fill="auto"/>
            <w:vAlign w:val="bottom"/>
          </w:tcPr>
          <w:p w14:paraId="2F3179AB" w14:textId="585178E0" w:rsidR="00E376E9" w:rsidRPr="007B2AE2" w:rsidRDefault="00E376E9" w:rsidP="007B2AE2">
            <w:pPr>
              <w:jc w:val="right"/>
              <w:rPr>
                <w:rFonts w:ascii="Arial" w:hAnsi="Arial" w:cs="Arial"/>
                <w:bCs/>
                <w:sz w:val="14"/>
                <w:szCs w:val="14"/>
                <w:lang w:eastAsia="es-AR"/>
              </w:rPr>
            </w:pPr>
            <w:r w:rsidRPr="007B2AE2">
              <w:rPr>
                <w:rFonts w:ascii="Arial" w:hAnsi="Arial" w:cs="Arial"/>
                <w:bCs/>
                <w:sz w:val="14"/>
                <w:szCs w:val="14"/>
                <w:lang w:eastAsia="es-AR"/>
              </w:rPr>
              <w:t xml:space="preserve"> 167.672 </w:t>
            </w:r>
          </w:p>
        </w:tc>
        <w:tc>
          <w:tcPr>
            <w:tcW w:w="1723" w:type="dxa"/>
            <w:tcBorders>
              <w:top w:val="nil"/>
              <w:left w:val="nil"/>
              <w:bottom w:val="nil"/>
              <w:right w:val="nil"/>
            </w:tcBorders>
            <w:shd w:val="clear" w:color="auto" w:fill="auto"/>
            <w:vAlign w:val="bottom"/>
          </w:tcPr>
          <w:p w14:paraId="181560CD" w14:textId="48971EF0" w:rsidR="00E376E9" w:rsidRPr="007B2AE2" w:rsidRDefault="00E376E9" w:rsidP="007B2AE2">
            <w:pPr>
              <w:jc w:val="right"/>
              <w:rPr>
                <w:rFonts w:ascii="Arial" w:hAnsi="Arial" w:cs="Arial"/>
                <w:bCs/>
                <w:sz w:val="14"/>
                <w:szCs w:val="14"/>
                <w:lang w:eastAsia="es-AR"/>
              </w:rPr>
            </w:pPr>
            <w:r w:rsidRPr="007B2AE2">
              <w:rPr>
                <w:rFonts w:ascii="Arial" w:hAnsi="Arial" w:cs="Arial"/>
                <w:bCs/>
                <w:sz w:val="14"/>
                <w:szCs w:val="14"/>
                <w:lang w:eastAsia="es-AR"/>
              </w:rPr>
              <w:t xml:space="preserve"> 167.672 </w:t>
            </w:r>
          </w:p>
        </w:tc>
        <w:tc>
          <w:tcPr>
            <w:tcW w:w="709" w:type="dxa"/>
            <w:tcBorders>
              <w:top w:val="nil"/>
              <w:left w:val="nil"/>
              <w:bottom w:val="nil"/>
              <w:right w:val="nil"/>
            </w:tcBorders>
            <w:shd w:val="clear" w:color="auto" w:fill="auto"/>
            <w:vAlign w:val="bottom"/>
          </w:tcPr>
          <w:p w14:paraId="072F5D7C" w14:textId="2C894B2F" w:rsidR="00E376E9" w:rsidRPr="007B2AE2" w:rsidRDefault="00E376E9" w:rsidP="007B2AE2">
            <w:pPr>
              <w:jc w:val="right"/>
              <w:rPr>
                <w:rFonts w:ascii="Arial" w:hAnsi="Arial" w:cs="Arial"/>
                <w:bCs/>
                <w:sz w:val="14"/>
                <w:szCs w:val="14"/>
                <w:lang w:eastAsia="es-AR"/>
              </w:rPr>
            </w:pPr>
            <w:r w:rsidRPr="007B2AE2">
              <w:rPr>
                <w:rFonts w:ascii="Arial" w:hAnsi="Arial" w:cs="Arial"/>
                <w:bCs/>
                <w:sz w:val="14"/>
                <w:szCs w:val="14"/>
                <w:lang w:eastAsia="es-AR"/>
              </w:rPr>
              <w:t>-</w:t>
            </w:r>
          </w:p>
        </w:tc>
        <w:tc>
          <w:tcPr>
            <w:tcW w:w="711" w:type="dxa"/>
            <w:tcBorders>
              <w:top w:val="nil"/>
              <w:left w:val="nil"/>
              <w:bottom w:val="nil"/>
              <w:right w:val="nil"/>
            </w:tcBorders>
            <w:shd w:val="clear" w:color="auto" w:fill="auto"/>
            <w:vAlign w:val="bottom"/>
          </w:tcPr>
          <w:p w14:paraId="3F221CB0" w14:textId="16E3643E" w:rsidR="00E376E9" w:rsidRPr="007B2AE2" w:rsidRDefault="00E376E9" w:rsidP="007B2AE2">
            <w:pPr>
              <w:jc w:val="right"/>
              <w:rPr>
                <w:rFonts w:ascii="Arial" w:hAnsi="Arial" w:cs="Arial"/>
                <w:b/>
                <w:bCs/>
                <w:sz w:val="14"/>
                <w:szCs w:val="14"/>
                <w:lang w:eastAsia="es-AR"/>
              </w:rPr>
            </w:pPr>
            <w:r w:rsidRPr="007B2AE2">
              <w:rPr>
                <w:rFonts w:ascii="Arial" w:hAnsi="Arial" w:cs="Arial"/>
                <w:b/>
                <w:bCs/>
                <w:sz w:val="14"/>
                <w:szCs w:val="14"/>
                <w:lang w:eastAsia="es-AR"/>
              </w:rPr>
              <w:t>-</w:t>
            </w:r>
          </w:p>
        </w:tc>
      </w:tr>
      <w:tr w:rsidR="00122C95" w:rsidRPr="00122C95" w14:paraId="7255EE84" w14:textId="77777777" w:rsidTr="006E1AF7">
        <w:trPr>
          <w:trHeight w:val="255"/>
        </w:trPr>
        <w:tc>
          <w:tcPr>
            <w:tcW w:w="2451" w:type="dxa"/>
            <w:tcBorders>
              <w:top w:val="nil"/>
              <w:left w:val="nil"/>
              <w:bottom w:val="nil"/>
              <w:right w:val="nil"/>
            </w:tcBorders>
            <w:shd w:val="clear" w:color="auto" w:fill="auto"/>
            <w:hideMark/>
          </w:tcPr>
          <w:p w14:paraId="6E79DECB" w14:textId="77777777" w:rsidR="00122C95" w:rsidRPr="007B2AE2" w:rsidRDefault="00122C95" w:rsidP="00122C95">
            <w:pPr>
              <w:rPr>
                <w:sz w:val="14"/>
                <w:szCs w:val="14"/>
                <w:lang w:eastAsia="es-AR"/>
              </w:rPr>
            </w:pPr>
          </w:p>
        </w:tc>
        <w:tc>
          <w:tcPr>
            <w:tcW w:w="1100" w:type="dxa"/>
            <w:tcBorders>
              <w:top w:val="nil"/>
              <w:left w:val="nil"/>
              <w:bottom w:val="nil"/>
              <w:right w:val="nil"/>
            </w:tcBorders>
            <w:shd w:val="clear" w:color="auto" w:fill="auto"/>
            <w:vAlign w:val="bottom"/>
          </w:tcPr>
          <w:p w14:paraId="5464F16E" w14:textId="77777777" w:rsidR="00122C95" w:rsidRPr="007B2AE2" w:rsidRDefault="00122C95" w:rsidP="007B2AE2">
            <w:pPr>
              <w:jc w:val="right"/>
              <w:rPr>
                <w:rFonts w:ascii="Arial" w:hAnsi="Arial" w:cs="Arial"/>
                <w:sz w:val="14"/>
                <w:szCs w:val="14"/>
                <w:lang w:eastAsia="es-AR"/>
              </w:rPr>
            </w:pPr>
          </w:p>
        </w:tc>
        <w:tc>
          <w:tcPr>
            <w:tcW w:w="1100" w:type="dxa"/>
            <w:tcBorders>
              <w:top w:val="nil"/>
              <w:left w:val="nil"/>
              <w:bottom w:val="nil"/>
              <w:right w:val="nil"/>
            </w:tcBorders>
            <w:shd w:val="clear" w:color="auto" w:fill="auto"/>
            <w:vAlign w:val="bottom"/>
          </w:tcPr>
          <w:p w14:paraId="3F8EE127"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676066FD" w14:textId="77777777" w:rsidR="00122C95" w:rsidRPr="007B2AE2" w:rsidRDefault="00122C95" w:rsidP="007B2AE2">
            <w:pPr>
              <w:jc w:val="right"/>
              <w:rPr>
                <w:rFonts w:ascii="Arial" w:hAnsi="Arial" w:cs="Arial"/>
                <w:sz w:val="14"/>
                <w:szCs w:val="14"/>
                <w:lang w:eastAsia="es-AR"/>
              </w:rPr>
            </w:pPr>
          </w:p>
        </w:tc>
        <w:tc>
          <w:tcPr>
            <w:tcW w:w="908" w:type="dxa"/>
            <w:tcBorders>
              <w:top w:val="nil"/>
              <w:left w:val="nil"/>
              <w:bottom w:val="nil"/>
              <w:right w:val="nil"/>
            </w:tcBorders>
            <w:shd w:val="clear" w:color="auto" w:fill="auto"/>
            <w:vAlign w:val="bottom"/>
          </w:tcPr>
          <w:p w14:paraId="785BDF3C" w14:textId="77777777" w:rsidR="00122C95" w:rsidRPr="007B2AE2" w:rsidRDefault="00122C95" w:rsidP="007B2AE2">
            <w:pPr>
              <w:jc w:val="right"/>
              <w:rPr>
                <w:rFonts w:ascii="Arial" w:hAnsi="Arial" w:cs="Arial"/>
                <w:sz w:val="14"/>
                <w:szCs w:val="14"/>
                <w:lang w:eastAsia="es-AR"/>
              </w:rPr>
            </w:pPr>
          </w:p>
        </w:tc>
        <w:tc>
          <w:tcPr>
            <w:tcW w:w="1723" w:type="dxa"/>
            <w:tcBorders>
              <w:top w:val="nil"/>
              <w:left w:val="nil"/>
              <w:bottom w:val="nil"/>
              <w:right w:val="nil"/>
            </w:tcBorders>
            <w:shd w:val="clear" w:color="auto" w:fill="auto"/>
            <w:vAlign w:val="bottom"/>
          </w:tcPr>
          <w:p w14:paraId="778FED24" w14:textId="77777777" w:rsidR="00122C95" w:rsidRPr="007B2AE2" w:rsidRDefault="00122C95" w:rsidP="007B2AE2">
            <w:pPr>
              <w:jc w:val="right"/>
              <w:rPr>
                <w:rFonts w:ascii="Arial" w:hAnsi="Arial" w:cs="Arial"/>
                <w:sz w:val="14"/>
                <w:szCs w:val="14"/>
                <w:lang w:eastAsia="es-AR"/>
              </w:rPr>
            </w:pPr>
          </w:p>
        </w:tc>
        <w:tc>
          <w:tcPr>
            <w:tcW w:w="709" w:type="dxa"/>
            <w:tcBorders>
              <w:top w:val="nil"/>
              <w:left w:val="nil"/>
              <w:bottom w:val="nil"/>
              <w:right w:val="nil"/>
            </w:tcBorders>
            <w:shd w:val="clear" w:color="auto" w:fill="auto"/>
            <w:vAlign w:val="bottom"/>
          </w:tcPr>
          <w:p w14:paraId="67897117" w14:textId="77777777" w:rsidR="00122C95" w:rsidRPr="007B2AE2" w:rsidRDefault="00122C95" w:rsidP="007B2AE2">
            <w:pPr>
              <w:jc w:val="right"/>
              <w:rPr>
                <w:rFonts w:ascii="Arial" w:hAnsi="Arial" w:cs="Arial"/>
                <w:sz w:val="14"/>
                <w:szCs w:val="14"/>
                <w:lang w:eastAsia="es-AR"/>
              </w:rPr>
            </w:pPr>
          </w:p>
        </w:tc>
        <w:tc>
          <w:tcPr>
            <w:tcW w:w="711" w:type="dxa"/>
            <w:tcBorders>
              <w:top w:val="nil"/>
              <w:left w:val="nil"/>
              <w:bottom w:val="nil"/>
              <w:right w:val="nil"/>
            </w:tcBorders>
            <w:shd w:val="clear" w:color="auto" w:fill="auto"/>
            <w:vAlign w:val="bottom"/>
          </w:tcPr>
          <w:p w14:paraId="1EC478AB" w14:textId="77777777" w:rsidR="00122C95" w:rsidRPr="007B2AE2" w:rsidRDefault="00122C95" w:rsidP="007B2AE2">
            <w:pPr>
              <w:jc w:val="right"/>
              <w:rPr>
                <w:rFonts w:ascii="Arial" w:hAnsi="Arial" w:cs="Arial"/>
                <w:sz w:val="14"/>
                <w:szCs w:val="14"/>
                <w:lang w:eastAsia="es-AR"/>
              </w:rPr>
            </w:pPr>
          </w:p>
        </w:tc>
      </w:tr>
      <w:tr w:rsidR="00122C95" w:rsidRPr="00122C95" w14:paraId="2AD409D9" w14:textId="77777777" w:rsidTr="006E1AF7">
        <w:trPr>
          <w:trHeight w:val="255"/>
        </w:trPr>
        <w:tc>
          <w:tcPr>
            <w:tcW w:w="2451" w:type="dxa"/>
            <w:tcBorders>
              <w:top w:val="nil"/>
              <w:left w:val="nil"/>
              <w:bottom w:val="nil"/>
              <w:right w:val="nil"/>
            </w:tcBorders>
            <w:shd w:val="clear" w:color="auto" w:fill="auto"/>
            <w:hideMark/>
          </w:tcPr>
          <w:p w14:paraId="65AC3935" w14:textId="77777777" w:rsidR="00122C95" w:rsidRPr="007B2AE2" w:rsidRDefault="00122C95" w:rsidP="00122C95">
            <w:pPr>
              <w:rPr>
                <w:rFonts w:ascii="Arial" w:hAnsi="Arial" w:cs="Arial"/>
                <w:b/>
                <w:bCs/>
                <w:sz w:val="14"/>
                <w:szCs w:val="14"/>
                <w:lang w:eastAsia="es-AR"/>
              </w:rPr>
            </w:pPr>
            <w:r w:rsidRPr="007B2AE2">
              <w:rPr>
                <w:rFonts w:ascii="Arial" w:hAnsi="Arial" w:cs="Arial"/>
                <w:b/>
                <w:bCs/>
                <w:sz w:val="14"/>
                <w:szCs w:val="14"/>
                <w:lang w:eastAsia="es-AR"/>
              </w:rPr>
              <w:t>Préstamos y otras financiaciones</w:t>
            </w:r>
          </w:p>
        </w:tc>
        <w:tc>
          <w:tcPr>
            <w:tcW w:w="1100" w:type="dxa"/>
            <w:tcBorders>
              <w:top w:val="nil"/>
              <w:left w:val="nil"/>
              <w:bottom w:val="nil"/>
              <w:right w:val="nil"/>
            </w:tcBorders>
            <w:shd w:val="clear" w:color="auto" w:fill="auto"/>
            <w:vAlign w:val="bottom"/>
          </w:tcPr>
          <w:p w14:paraId="1B1B9ED1" w14:textId="77777777" w:rsidR="00122C95" w:rsidRPr="007B2AE2" w:rsidRDefault="00122C95" w:rsidP="007B2AE2">
            <w:pPr>
              <w:jc w:val="right"/>
              <w:rPr>
                <w:rFonts w:ascii="Arial" w:hAnsi="Arial" w:cs="Arial"/>
                <w:b/>
                <w:bCs/>
                <w:sz w:val="14"/>
                <w:szCs w:val="14"/>
                <w:lang w:eastAsia="es-AR"/>
              </w:rPr>
            </w:pPr>
          </w:p>
        </w:tc>
        <w:tc>
          <w:tcPr>
            <w:tcW w:w="1100" w:type="dxa"/>
            <w:tcBorders>
              <w:top w:val="nil"/>
              <w:left w:val="nil"/>
              <w:bottom w:val="nil"/>
              <w:right w:val="nil"/>
            </w:tcBorders>
            <w:shd w:val="clear" w:color="auto" w:fill="auto"/>
            <w:vAlign w:val="bottom"/>
          </w:tcPr>
          <w:p w14:paraId="0DA8755F"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12AB6EE4" w14:textId="77777777" w:rsidR="00122C95" w:rsidRPr="007B2AE2" w:rsidRDefault="00122C95" w:rsidP="007B2AE2">
            <w:pPr>
              <w:jc w:val="right"/>
              <w:rPr>
                <w:rFonts w:ascii="Arial" w:hAnsi="Arial" w:cs="Arial"/>
                <w:sz w:val="14"/>
                <w:szCs w:val="14"/>
                <w:lang w:eastAsia="es-AR"/>
              </w:rPr>
            </w:pPr>
          </w:p>
        </w:tc>
        <w:tc>
          <w:tcPr>
            <w:tcW w:w="908" w:type="dxa"/>
            <w:tcBorders>
              <w:top w:val="nil"/>
              <w:left w:val="nil"/>
              <w:bottom w:val="nil"/>
              <w:right w:val="nil"/>
            </w:tcBorders>
            <w:shd w:val="clear" w:color="auto" w:fill="auto"/>
            <w:vAlign w:val="bottom"/>
          </w:tcPr>
          <w:p w14:paraId="55C9EF34" w14:textId="77777777" w:rsidR="00122C95" w:rsidRPr="007B2AE2" w:rsidRDefault="00122C95" w:rsidP="007B2AE2">
            <w:pPr>
              <w:jc w:val="right"/>
              <w:rPr>
                <w:rFonts w:ascii="Arial" w:hAnsi="Arial" w:cs="Arial"/>
                <w:sz w:val="14"/>
                <w:szCs w:val="14"/>
                <w:lang w:eastAsia="es-AR"/>
              </w:rPr>
            </w:pPr>
          </w:p>
        </w:tc>
        <w:tc>
          <w:tcPr>
            <w:tcW w:w="1723" w:type="dxa"/>
            <w:tcBorders>
              <w:top w:val="nil"/>
              <w:left w:val="nil"/>
              <w:bottom w:val="nil"/>
              <w:right w:val="nil"/>
            </w:tcBorders>
            <w:shd w:val="clear" w:color="auto" w:fill="auto"/>
            <w:vAlign w:val="bottom"/>
          </w:tcPr>
          <w:p w14:paraId="3EEA7795" w14:textId="77777777" w:rsidR="00122C95" w:rsidRPr="007B2AE2" w:rsidRDefault="00122C95" w:rsidP="007B2AE2">
            <w:pPr>
              <w:jc w:val="right"/>
              <w:rPr>
                <w:rFonts w:ascii="Arial" w:hAnsi="Arial" w:cs="Arial"/>
                <w:sz w:val="14"/>
                <w:szCs w:val="14"/>
                <w:lang w:eastAsia="es-AR"/>
              </w:rPr>
            </w:pPr>
          </w:p>
        </w:tc>
        <w:tc>
          <w:tcPr>
            <w:tcW w:w="709" w:type="dxa"/>
            <w:tcBorders>
              <w:top w:val="nil"/>
              <w:left w:val="nil"/>
              <w:bottom w:val="nil"/>
              <w:right w:val="nil"/>
            </w:tcBorders>
            <w:shd w:val="clear" w:color="auto" w:fill="auto"/>
            <w:vAlign w:val="bottom"/>
          </w:tcPr>
          <w:p w14:paraId="43FA52DD" w14:textId="77777777" w:rsidR="00122C95" w:rsidRPr="007B2AE2" w:rsidRDefault="00122C95" w:rsidP="007B2AE2">
            <w:pPr>
              <w:jc w:val="right"/>
              <w:rPr>
                <w:rFonts w:ascii="Arial" w:hAnsi="Arial" w:cs="Arial"/>
                <w:sz w:val="14"/>
                <w:szCs w:val="14"/>
                <w:lang w:eastAsia="es-AR"/>
              </w:rPr>
            </w:pPr>
          </w:p>
        </w:tc>
        <w:tc>
          <w:tcPr>
            <w:tcW w:w="711" w:type="dxa"/>
            <w:tcBorders>
              <w:top w:val="nil"/>
              <w:left w:val="nil"/>
              <w:bottom w:val="nil"/>
              <w:right w:val="nil"/>
            </w:tcBorders>
            <w:shd w:val="clear" w:color="auto" w:fill="auto"/>
            <w:vAlign w:val="bottom"/>
          </w:tcPr>
          <w:p w14:paraId="7549C9EA" w14:textId="77777777" w:rsidR="00122C95" w:rsidRPr="007B2AE2" w:rsidRDefault="00122C95" w:rsidP="007B2AE2">
            <w:pPr>
              <w:jc w:val="right"/>
              <w:rPr>
                <w:rFonts w:ascii="Arial" w:hAnsi="Arial" w:cs="Arial"/>
                <w:sz w:val="14"/>
                <w:szCs w:val="14"/>
                <w:lang w:eastAsia="es-AR"/>
              </w:rPr>
            </w:pPr>
          </w:p>
        </w:tc>
      </w:tr>
      <w:tr w:rsidR="007B2AE2" w:rsidRPr="00122C95" w14:paraId="184DF1DA" w14:textId="77777777" w:rsidTr="006E1AF7">
        <w:trPr>
          <w:trHeight w:val="255"/>
        </w:trPr>
        <w:tc>
          <w:tcPr>
            <w:tcW w:w="2451" w:type="dxa"/>
            <w:tcBorders>
              <w:top w:val="nil"/>
              <w:left w:val="nil"/>
              <w:bottom w:val="nil"/>
              <w:right w:val="nil"/>
            </w:tcBorders>
            <w:shd w:val="clear" w:color="auto" w:fill="auto"/>
            <w:hideMark/>
          </w:tcPr>
          <w:p w14:paraId="238A9CC8" w14:textId="77777777" w:rsidR="007B2AE2" w:rsidRPr="007B2AE2" w:rsidRDefault="007B2AE2" w:rsidP="007B2AE2">
            <w:pPr>
              <w:ind w:firstLineChars="100" w:firstLine="140"/>
              <w:rPr>
                <w:rFonts w:ascii="Arial" w:hAnsi="Arial" w:cs="Arial"/>
                <w:sz w:val="14"/>
                <w:szCs w:val="14"/>
                <w:lang w:eastAsia="es-AR"/>
              </w:rPr>
            </w:pPr>
            <w:r w:rsidRPr="007B2AE2">
              <w:rPr>
                <w:rFonts w:ascii="Arial" w:hAnsi="Arial" w:cs="Arial"/>
                <w:sz w:val="14"/>
                <w:szCs w:val="14"/>
                <w:lang w:eastAsia="es-AR"/>
              </w:rPr>
              <w:t>Sector Público no Financiero</w:t>
            </w:r>
          </w:p>
        </w:tc>
        <w:tc>
          <w:tcPr>
            <w:tcW w:w="1100" w:type="dxa"/>
            <w:tcBorders>
              <w:top w:val="nil"/>
              <w:left w:val="nil"/>
              <w:bottom w:val="nil"/>
              <w:right w:val="nil"/>
            </w:tcBorders>
            <w:shd w:val="clear" w:color="auto" w:fill="auto"/>
            <w:vAlign w:val="bottom"/>
          </w:tcPr>
          <w:p w14:paraId="17AD5B0F" w14:textId="1D15046C" w:rsidR="007B2AE2"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28.872</w:t>
            </w:r>
          </w:p>
        </w:tc>
        <w:tc>
          <w:tcPr>
            <w:tcW w:w="1100" w:type="dxa"/>
            <w:tcBorders>
              <w:top w:val="nil"/>
              <w:left w:val="nil"/>
              <w:bottom w:val="nil"/>
              <w:right w:val="nil"/>
            </w:tcBorders>
            <w:shd w:val="clear" w:color="auto" w:fill="auto"/>
            <w:vAlign w:val="bottom"/>
          </w:tcPr>
          <w:p w14:paraId="708AFCFA" w14:textId="4D7A866C" w:rsidR="007B2AE2"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1F17FB4F" w14:textId="7083C5AF" w:rsidR="007B2AE2"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7610BC2B" w14:textId="0A43AC5C" w:rsidR="007B2AE2"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7B0FBFD8" w14:textId="6137FA8B" w:rsidR="007B2AE2"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263FB5FC" w14:textId="3B939E62" w:rsidR="007B2AE2"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75354967" w14:textId="292FE10E" w:rsidR="007B2AE2"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r>
      <w:tr w:rsidR="00122C95" w:rsidRPr="00122C95" w14:paraId="6AA55582" w14:textId="77777777" w:rsidTr="006E1AF7">
        <w:trPr>
          <w:trHeight w:val="255"/>
        </w:trPr>
        <w:tc>
          <w:tcPr>
            <w:tcW w:w="2451" w:type="dxa"/>
            <w:tcBorders>
              <w:top w:val="nil"/>
              <w:left w:val="nil"/>
              <w:bottom w:val="nil"/>
              <w:right w:val="nil"/>
            </w:tcBorders>
            <w:shd w:val="clear" w:color="auto" w:fill="auto"/>
            <w:hideMark/>
          </w:tcPr>
          <w:p w14:paraId="0143EE5F" w14:textId="77777777" w:rsidR="00122C95" w:rsidRPr="007B2AE2" w:rsidRDefault="00122C95" w:rsidP="00122C95">
            <w:pPr>
              <w:ind w:firstLineChars="100" w:firstLine="140"/>
              <w:rPr>
                <w:rFonts w:ascii="Arial" w:hAnsi="Arial" w:cs="Arial"/>
                <w:sz w:val="14"/>
                <w:szCs w:val="14"/>
                <w:lang w:eastAsia="es-AR"/>
              </w:rPr>
            </w:pPr>
            <w:r w:rsidRPr="007B2AE2">
              <w:rPr>
                <w:rFonts w:ascii="Arial" w:hAnsi="Arial" w:cs="Arial"/>
                <w:sz w:val="14"/>
                <w:szCs w:val="14"/>
                <w:lang w:eastAsia="es-AR"/>
              </w:rPr>
              <w:t>B.C.R.A.</w:t>
            </w:r>
          </w:p>
        </w:tc>
        <w:tc>
          <w:tcPr>
            <w:tcW w:w="1100" w:type="dxa"/>
            <w:tcBorders>
              <w:top w:val="nil"/>
              <w:left w:val="nil"/>
              <w:bottom w:val="nil"/>
              <w:right w:val="nil"/>
            </w:tcBorders>
            <w:shd w:val="clear" w:color="auto" w:fill="auto"/>
            <w:vAlign w:val="bottom"/>
          </w:tcPr>
          <w:p w14:paraId="261C7281" w14:textId="77777777" w:rsidR="00122C95" w:rsidRPr="007B2AE2" w:rsidRDefault="00122C95" w:rsidP="007B2AE2">
            <w:pPr>
              <w:ind w:firstLineChars="100" w:firstLine="140"/>
              <w:jc w:val="right"/>
              <w:rPr>
                <w:rFonts w:ascii="Arial" w:hAnsi="Arial" w:cs="Arial"/>
                <w:sz w:val="14"/>
                <w:szCs w:val="14"/>
                <w:lang w:eastAsia="es-AR"/>
              </w:rPr>
            </w:pPr>
          </w:p>
        </w:tc>
        <w:tc>
          <w:tcPr>
            <w:tcW w:w="1100" w:type="dxa"/>
            <w:tcBorders>
              <w:top w:val="nil"/>
              <w:left w:val="nil"/>
              <w:bottom w:val="nil"/>
              <w:right w:val="nil"/>
            </w:tcBorders>
            <w:shd w:val="clear" w:color="auto" w:fill="auto"/>
            <w:vAlign w:val="bottom"/>
          </w:tcPr>
          <w:p w14:paraId="2C6176FD"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321E88C3" w14:textId="77777777" w:rsidR="00122C95" w:rsidRPr="007B2AE2" w:rsidRDefault="00122C95" w:rsidP="007B2AE2">
            <w:pPr>
              <w:jc w:val="right"/>
              <w:rPr>
                <w:rFonts w:ascii="Arial" w:hAnsi="Arial" w:cs="Arial"/>
                <w:sz w:val="14"/>
                <w:szCs w:val="14"/>
                <w:lang w:eastAsia="es-AR"/>
              </w:rPr>
            </w:pPr>
          </w:p>
        </w:tc>
        <w:tc>
          <w:tcPr>
            <w:tcW w:w="908" w:type="dxa"/>
            <w:tcBorders>
              <w:top w:val="nil"/>
              <w:left w:val="nil"/>
              <w:bottom w:val="nil"/>
              <w:right w:val="nil"/>
            </w:tcBorders>
            <w:shd w:val="clear" w:color="auto" w:fill="auto"/>
            <w:vAlign w:val="bottom"/>
          </w:tcPr>
          <w:p w14:paraId="58716F8D" w14:textId="77777777" w:rsidR="00122C95" w:rsidRPr="007B2AE2" w:rsidRDefault="00122C95" w:rsidP="007B2AE2">
            <w:pPr>
              <w:jc w:val="right"/>
              <w:rPr>
                <w:rFonts w:ascii="Arial" w:hAnsi="Arial" w:cs="Arial"/>
                <w:sz w:val="14"/>
                <w:szCs w:val="14"/>
                <w:lang w:eastAsia="es-AR"/>
              </w:rPr>
            </w:pPr>
          </w:p>
        </w:tc>
        <w:tc>
          <w:tcPr>
            <w:tcW w:w="1723" w:type="dxa"/>
            <w:tcBorders>
              <w:top w:val="nil"/>
              <w:left w:val="nil"/>
              <w:bottom w:val="nil"/>
              <w:right w:val="nil"/>
            </w:tcBorders>
            <w:shd w:val="clear" w:color="auto" w:fill="auto"/>
            <w:vAlign w:val="bottom"/>
          </w:tcPr>
          <w:p w14:paraId="12D15A17" w14:textId="77777777" w:rsidR="00122C95" w:rsidRPr="007B2AE2" w:rsidRDefault="00122C95" w:rsidP="007B2AE2">
            <w:pPr>
              <w:jc w:val="right"/>
              <w:rPr>
                <w:rFonts w:ascii="Arial" w:hAnsi="Arial" w:cs="Arial"/>
                <w:sz w:val="14"/>
                <w:szCs w:val="14"/>
                <w:lang w:eastAsia="es-AR"/>
              </w:rPr>
            </w:pPr>
          </w:p>
        </w:tc>
        <w:tc>
          <w:tcPr>
            <w:tcW w:w="709" w:type="dxa"/>
            <w:tcBorders>
              <w:top w:val="nil"/>
              <w:left w:val="nil"/>
              <w:bottom w:val="nil"/>
              <w:right w:val="nil"/>
            </w:tcBorders>
            <w:shd w:val="clear" w:color="auto" w:fill="auto"/>
            <w:vAlign w:val="bottom"/>
          </w:tcPr>
          <w:p w14:paraId="0479E8B2" w14:textId="77777777" w:rsidR="00122C95" w:rsidRPr="007B2AE2" w:rsidRDefault="00122C95" w:rsidP="007B2AE2">
            <w:pPr>
              <w:jc w:val="right"/>
              <w:rPr>
                <w:rFonts w:ascii="Arial" w:hAnsi="Arial" w:cs="Arial"/>
                <w:sz w:val="14"/>
                <w:szCs w:val="14"/>
                <w:lang w:eastAsia="es-AR"/>
              </w:rPr>
            </w:pPr>
          </w:p>
        </w:tc>
        <w:tc>
          <w:tcPr>
            <w:tcW w:w="711" w:type="dxa"/>
            <w:tcBorders>
              <w:top w:val="nil"/>
              <w:left w:val="nil"/>
              <w:bottom w:val="nil"/>
              <w:right w:val="nil"/>
            </w:tcBorders>
            <w:shd w:val="clear" w:color="auto" w:fill="auto"/>
            <w:vAlign w:val="bottom"/>
          </w:tcPr>
          <w:p w14:paraId="53E09AF4" w14:textId="77777777" w:rsidR="00122C95" w:rsidRPr="007B2AE2" w:rsidRDefault="00122C95" w:rsidP="007B2AE2">
            <w:pPr>
              <w:jc w:val="right"/>
              <w:rPr>
                <w:rFonts w:ascii="Arial" w:hAnsi="Arial" w:cs="Arial"/>
                <w:sz w:val="14"/>
                <w:szCs w:val="14"/>
                <w:lang w:eastAsia="es-AR"/>
              </w:rPr>
            </w:pPr>
          </w:p>
        </w:tc>
      </w:tr>
      <w:tr w:rsidR="00122C95" w:rsidRPr="00122C95" w14:paraId="69DB7F6D" w14:textId="77777777" w:rsidTr="006E1AF7">
        <w:trPr>
          <w:trHeight w:val="255"/>
        </w:trPr>
        <w:tc>
          <w:tcPr>
            <w:tcW w:w="2451" w:type="dxa"/>
            <w:tcBorders>
              <w:top w:val="nil"/>
              <w:left w:val="nil"/>
              <w:bottom w:val="nil"/>
              <w:right w:val="nil"/>
            </w:tcBorders>
            <w:shd w:val="clear" w:color="auto" w:fill="auto"/>
            <w:hideMark/>
          </w:tcPr>
          <w:p w14:paraId="63CE5862" w14:textId="77777777" w:rsidR="00122C95" w:rsidRPr="007B2AE2" w:rsidRDefault="00122C95" w:rsidP="00122C95">
            <w:pPr>
              <w:ind w:firstLineChars="100" w:firstLine="140"/>
              <w:rPr>
                <w:rFonts w:ascii="Arial" w:hAnsi="Arial" w:cs="Arial"/>
                <w:sz w:val="14"/>
                <w:szCs w:val="14"/>
                <w:lang w:eastAsia="es-AR"/>
              </w:rPr>
            </w:pPr>
            <w:r w:rsidRPr="007B2AE2">
              <w:rPr>
                <w:rFonts w:ascii="Arial" w:hAnsi="Arial" w:cs="Arial"/>
                <w:sz w:val="14"/>
                <w:szCs w:val="14"/>
                <w:lang w:eastAsia="es-AR"/>
              </w:rPr>
              <w:t>Otras Entidades financieras</w:t>
            </w:r>
          </w:p>
        </w:tc>
        <w:tc>
          <w:tcPr>
            <w:tcW w:w="1100" w:type="dxa"/>
            <w:tcBorders>
              <w:top w:val="nil"/>
              <w:left w:val="nil"/>
              <w:bottom w:val="nil"/>
              <w:right w:val="nil"/>
            </w:tcBorders>
            <w:shd w:val="clear" w:color="auto" w:fill="auto"/>
            <w:vAlign w:val="bottom"/>
          </w:tcPr>
          <w:p w14:paraId="7E21809D" w14:textId="0B7982C2" w:rsidR="00122C95" w:rsidRPr="007B2AE2" w:rsidRDefault="00144880" w:rsidP="007B2AE2">
            <w:pPr>
              <w:jc w:val="right"/>
              <w:rPr>
                <w:rFonts w:ascii="Arial" w:hAnsi="Arial" w:cs="Arial"/>
                <w:sz w:val="14"/>
                <w:szCs w:val="14"/>
                <w:lang w:eastAsia="es-AR"/>
              </w:rPr>
            </w:pPr>
            <w:r w:rsidRPr="00144880">
              <w:rPr>
                <w:rFonts w:ascii="Arial" w:hAnsi="Arial" w:cs="Arial"/>
                <w:sz w:val="14"/>
                <w:szCs w:val="14"/>
                <w:lang w:eastAsia="es-AR"/>
              </w:rPr>
              <w:t>64.522</w:t>
            </w:r>
          </w:p>
        </w:tc>
        <w:tc>
          <w:tcPr>
            <w:tcW w:w="1100" w:type="dxa"/>
            <w:tcBorders>
              <w:top w:val="nil"/>
              <w:left w:val="nil"/>
              <w:bottom w:val="nil"/>
              <w:right w:val="nil"/>
            </w:tcBorders>
            <w:shd w:val="clear" w:color="auto" w:fill="auto"/>
            <w:vAlign w:val="bottom"/>
          </w:tcPr>
          <w:p w14:paraId="664FFF25" w14:textId="4D2A0228" w:rsidR="00122C95"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25FC0EE0" w14:textId="5FA18482" w:rsidR="00122C95"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51D37872" w14:textId="5265501C" w:rsidR="00122C95"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38C09BC9" w14:textId="13BF16B2" w:rsidR="00122C95"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502536D9" w14:textId="24D659F2" w:rsidR="00122C95"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3EB611F3" w14:textId="4E4563FE" w:rsidR="00122C95"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w:t>
            </w:r>
          </w:p>
        </w:tc>
      </w:tr>
      <w:tr w:rsidR="00144880" w:rsidRPr="00122C95" w14:paraId="58779DDD" w14:textId="77777777" w:rsidTr="006E1AF7">
        <w:trPr>
          <w:trHeight w:val="283"/>
        </w:trPr>
        <w:tc>
          <w:tcPr>
            <w:tcW w:w="2451" w:type="dxa"/>
            <w:tcBorders>
              <w:top w:val="nil"/>
              <w:left w:val="nil"/>
              <w:bottom w:val="nil"/>
              <w:right w:val="nil"/>
            </w:tcBorders>
            <w:shd w:val="clear" w:color="auto" w:fill="auto"/>
            <w:hideMark/>
          </w:tcPr>
          <w:p w14:paraId="24B464DF" w14:textId="77777777" w:rsidR="00144880" w:rsidRPr="007B2AE2" w:rsidRDefault="00144880" w:rsidP="00144880">
            <w:pPr>
              <w:rPr>
                <w:rFonts w:ascii="Arial" w:hAnsi="Arial" w:cs="Arial"/>
                <w:sz w:val="14"/>
                <w:szCs w:val="14"/>
                <w:lang w:eastAsia="es-AR"/>
              </w:rPr>
            </w:pPr>
            <w:r w:rsidRPr="007B2AE2">
              <w:rPr>
                <w:rFonts w:ascii="Arial" w:hAnsi="Arial" w:cs="Arial"/>
                <w:sz w:val="14"/>
                <w:szCs w:val="14"/>
                <w:lang w:eastAsia="es-AR"/>
              </w:rPr>
              <w:t>Sector Privado no Financiero y Residentes en el exterior</w:t>
            </w:r>
          </w:p>
        </w:tc>
        <w:tc>
          <w:tcPr>
            <w:tcW w:w="1100" w:type="dxa"/>
            <w:tcBorders>
              <w:top w:val="nil"/>
              <w:left w:val="nil"/>
              <w:bottom w:val="nil"/>
              <w:right w:val="nil"/>
            </w:tcBorders>
            <w:shd w:val="clear" w:color="auto" w:fill="auto"/>
            <w:vAlign w:val="bottom"/>
          </w:tcPr>
          <w:p w14:paraId="378E848C" w14:textId="20CA6247"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 xml:space="preserve"> </w:t>
            </w:r>
            <w:r w:rsidRPr="00144880">
              <w:rPr>
                <w:rFonts w:ascii="Arial" w:hAnsi="Arial" w:cs="Arial"/>
                <w:sz w:val="14"/>
                <w:szCs w:val="14"/>
                <w:lang w:eastAsia="es-AR"/>
              </w:rPr>
              <w:t xml:space="preserve"> 88.288.555</w:t>
            </w:r>
          </w:p>
        </w:tc>
        <w:tc>
          <w:tcPr>
            <w:tcW w:w="1100" w:type="dxa"/>
            <w:tcBorders>
              <w:top w:val="nil"/>
              <w:left w:val="nil"/>
              <w:bottom w:val="nil"/>
              <w:right w:val="nil"/>
            </w:tcBorders>
            <w:shd w:val="clear" w:color="auto" w:fill="auto"/>
            <w:vAlign w:val="bottom"/>
          </w:tcPr>
          <w:p w14:paraId="717FB7E9" w14:textId="77777777" w:rsidR="00144880" w:rsidRPr="007B2AE2" w:rsidRDefault="00144880" w:rsidP="00144880">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4BBF69AB" w14:textId="77777777" w:rsidR="00144880" w:rsidRPr="007B2AE2" w:rsidRDefault="00144880" w:rsidP="00144880">
            <w:pPr>
              <w:jc w:val="right"/>
              <w:rPr>
                <w:rFonts w:ascii="Arial" w:hAnsi="Arial" w:cs="Arial"/>
                <w:sz w:val="14"/>
                <w:szCs w:val="14"/>
                <w:lang w:eastAsia="es-AR"/>
              </w:rPr>
            </w:pPr>
          </w:p>
        </w:tc>
        <w:tc>
          <w:tcPr>
            <w:tcW w:w="908" w:type="dxa"/>
            <w:tcBorders>
              <w:top w:val="nil"/>
              <w:left w:val="nil"/>
              <w:bottom w:val="nil"/>
              <w:right w:val="nil"/>
            </w:tcBorders>
            <w:shd w:val="clear" w:color="auto" w:fill="auto"/>
            <w:vAlign w:val="bottom"/>
          </w:tcPr>
          <w:p w14:paraId="0945A110" w14:textId="77777777" w:rsidR="00144880" w:rsidRPr="007B2AE2" w:rsidRDefault="00144880" w:rsidP="00144880">
            <w:pPr>
              <w:jc w:val="right"/>
              <w:rPr>
                <w:rFonts w:ascii="Arial" w:hAnsi="Arial" w:cs="Arial"/>
                <w:sz w:val="14"/>
                <w:szCs w:val="14"/>
                <w:lang w:eastAsia="es-AR"/>
              </w:rPr>
            </w:pPr>
          </w:p>
        </w:tc>
        <w:tc>
          <w:tcPr>
            <w:tcW w:w="1723" w:type="dxa"/>
            <w:tcBorders>
              <w:top w:val="nil"/>
              <w:left w:val="nil"/>
              <w:bottom w:val="nil"/>
              <w:right w:val="nil"/>
            </w:tcBorders>
            <w:shd w:val="clear" w:color="auto" w:fill="auto"/>
            <w:vAlign w:val="bottom"/>
          </w:tcPr>
          <w:p w14:paraId="4F40916B" w14:textId="77777777" w:rsidR="00144880" w:rsidRPr="007B2AE2" w:rsidRDefault="00144880" w:rsidP="00144880">
            <w:pPr>
              <w:jc w:val="right"/>
              <w:rPr>
                <w:rFonts w:ascii="Arial" w:hAnsi="Arial" w:cs="Arial"/>
                <w:sz w:val="14"/>
                <w:szCs w:val="14"/>
                <w:lang w:eastAsia="es-AR"/>
              </w:rPr>
            </w:pPr>
          </w:p>
        </w:tc>
        <w:tc>
          <w:tcPr>
            <w:tcW w:w="709" w:type="dxa"/>
            <w:tcBorders>
              <w:top w:val="nil"/>
              <w:left w:val="nil"/>
              <w:bottom w:val="nil"/>
              <w:right w:val="nil"/>
            </w:tcBorders>
            <w:shd w:val="clear" w:color="auto" w:fill="auto"/>
            <w:vAlign w:val="bottom"/>
          </w:tcPr>
          <w:p w14:paraId="7B178EF5" w14:textId="77777777" w:rsidR="00144880" w:rsidRPr="007B2AE2" w:rsidRDefault="00144880" w:rsidP="00144880">
            <w:pPr>
              <w:jc w:val="right"/>
              <w:rPr>
                <w:rFonts w:ascii="Arial" w:hAnsi="Arial" w:cs="Arial"/>
                <w:sz w:val="14"/>
                <w:szCs w:val="14"/>
                <w:lang w:eastAsia="es-AR"/>
              </w:rPr>
            </w:pPr>
          </w:p>
        </w:tc>
        <w:tc>
          <w:tcPr>
            <w:tcW w:w="711" w:type="dxa"/>
            <w:tcBorders>
              <w:top w:val="nil"/>
              <w:left w:val="nil"/>
              <w:bottom w:val="nil"/>
              <w:right w:val="nil"/>
            </w:tcBorders>
            <w:shd w:val="clear" w:color="auto" w:fill="auto"/>
            <w:vAlign w:val="bottom"/>
          </w:tcPr>
          <w:p w14:paraId="51D44C15" w14:textId="77777777" w:rsidR="00144880" w:rsidRPr="007B2AE2" w:rsidRDefault="00144880" w:rsidP="00144880">
            <w:pPr>
              <w:jc w:val="right"/>
              <w:rPr>
                <w:rFonts w:ascii="Arial" w:hAnsi="Arial" w:cs="Arial"/>
                <w:sz w:val="14"/>
                <w:szCs w:val="14"/>
                <w:lang w:eastAsia="es-AR"/>
              </w:rPr>
            </w:pPr>
          </w:p>
        </w:tc>
      </w:tr>
      <w:tr w:rsidR="00144880" w:rsidRPr="00122C95" w14:paraId="5B8ACDA3" w14:textId="77777777" w:rsidTr="006E1AF7">
        <w:trPr>
          <w:trHeight w:val="255"/>
        </w:trPr>
        <w:tc>
          <w:tcPr>
            <w:tcW w:w="2451" w:type="dxa"/>
            <w:tcBorders>
              <w:top w:val="nil"/>
              <w:left w:val="nil"/>
              <w:bottom w:val="nil"/>
              <w:right w:val="nil"/>
            </w:tcBorders>
            <w:shd w:val="clear" w:color="auto" w:fill="auto"/>
            <w:hideMark/>
          </w:tcPr>
          <w:p w14:paraId="7FF01820" w14:textId="77777777" w:rsidR="00144880" w:rsidRPr="007B2AE2" w:rsidRDefault="00144880" w:rsidP="00144880">
            <w:pPr>
              <w:ind w:firstLineChars="200" w:firstLine="280"/>
              <w:rPr>
                <w:rFonts w:ascii="Arial" w:hAnsi="Arial" w:cs="Arial"/>
                <w:sz w:val="14"/>
                <w:szCs w:val="14"/>
                <w:lang w:eastAsia="es-AR"/>
              </w:rPr>
            </w:pPr>
            <w:r w:rsidRPr="007B2AE2">
              <w:rPr>
                <w:rFonts w:ascii="Arial" w:hAnsi="Arial" w:cs="Arial"/>
                <w:sz w:val="14"/>
                <w:szCs w:val="14"/>
                <w:lang w:eastAsia="es-AR"/>
              </w:rPr>
              <w:t>Adelantos</w:t>
            </w:r>
          </w:p>
        </w:tc>
        <w:tc>
          <w:tcPr>
            <w:tcW w:w="1100" w:type="dxa"/>
            <w:tcBorders>
              <w:top w:val="nil"/>
              <w:left w:val="nil"/>
              <w:bottom w:val="nil"/>
              <w:right w:val="nil"/>
            </w:tcBorders>
            <w:shd w:val="clear" w:color="auto" w:fill="auto"/>
            <w:vAlign w:val="bottom"/>
          </w:tcPr>
          <w:p w14:paraId="38DA7298" w14:textId="34EA05A1" w:rsidR="00144880" w:rsidRPr="007B2AE2" w:rsidRDefault="00144880" w:rsidP="00144880">
            <w:pPr>
              <w:jc w:val="right"/>
              <w:rPr>
                <w:rFonts w:ascii="Arial" w:hAnsi="Arial" w:cs="Arial"/>
                <w:sz w:val="14"/>
                <w:szCs w:val="14"/>
                <w:lang w:eastAsia="es-AR"/>
              </w:rPr>
            </w:pPr>
            <w:r w:rsidRPr="00144880">
              <w:rPr>
                <w:rFonts w:ascii="Arial" w:hAnsi="Arial" w:cs="Arial"/>
                <w:sz w:val="14"/>
                <w:szCs w:val="14"/>
                <w:lang w:eastAsia="es-AR"/>
              </w:rPr>
              <w:t>5.602.801</w:t>
            </w:r>
          </w:p>
        </w:tc>
        <w:tc>
          <w:tcPr>
            <w:tcW w:w="1100" w:type="dxa"/>
            <w:tcBorders>
              <w:top w:val="nil"/>
              <w:left w:val="nil"/>
              <w:bottom w:val="nil"/>
              <w:right w:val="nil"/>
            </w:tcBorders>
            <w:shd w:val="clear" w:color="auto" w:fill="auto"/>
            <w:vAlign w:val="bottom"/>
          </w:tcPr>
          <w:p w14:paraId="2F6B0B82" w14:textId="1BEE4FF2"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38A54F59" w14:textId="13BC5348"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38E1C9FF" w14:textId="13BEA4CF"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490F0C1C" w14:textId="64376E55"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61506B28" w14:textId="70479FEC"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652BC754" w14:textId="06CF1DCB"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r>
      <w:tr w:rsidR="00144880" w:rsidRPr="00122C95" w14:paraId="3CD69358" w14:textId="77777777" w:rsidTr="006E1AF7">
        <w:trPr>
          <w:trHeight w:val="255"/>
        </w:trPr>
        <w:tc>
          <w:tcPr>
            <w:tcW w:w="2451" w:type="dxa"/>
            <w:tcBorders>
              <w:top w:val="nil"/>
              <w:left w:val="nil"/>
              <w:bottom w:val="nil"/>
              <w:right w:val="nil"/>
            </w:tcBorders>
            <w:shd w:val="clear" w:color="auto" w:fill="auto"/>
            <w:hideMark/>
          </w:tcPr>
          <w:p w14:paraId="76FFC42C" w14:textId="77777777" w:rsidR="00144880" w:rsidRPr="007B2AE2" w:rsidRDefault="00144880" w:rsidP="00144880">
            <w:pPr>
              <w:ind w:firstLineChars="200" w:firstLine="280"/>
              <w:rPr>
                <w:rFonts w:ascii="Arial" w:hAnsi="Arial" w:cs="Arial"/>
                <w:sz w:val="14"/>
                <w:szCs w:val="14"/>
                <w:lang w:eastAsia="es-AR"/>
              </w:rPr>
            </w:pPr>
            <w:r w:rsidRPr="007B2AE2">
              <w:rPr>
                <w:rFonts w:ascii="Arial" w:hAnsi="Arial" w:cs="Arial"/>
                <w:sz w:val="14"/>
                <w:szCs w:val="14"/>
                <w:lang w:eastAsia="es-AR"/>
              </w:rPr>
              <w:t>Documentos</w:t>
            </w:r>
          </w:p>
        </w:tc>
        <w:tc>
          <w:tcPr>
            <w:tcW w:w="1100" w:type="dxa"/>
            <w:tcBorders>
              <w:top w:val="nil"/>
              <w:left w:val="nil"/>
              <w:bottom w:val="nil"/>
              <w:right w:val="nil"/>
            </w:tcBorders>
            <w:shd w:val="clear" w:color="auto" w:fill="auto"/>
            <w:vAlign w:val="bottom"/>
          </w:tcPr>
          <w:p w14:paraId="4D15C3A5" w14:textId="013B6562" w:rsidR="00144880" w:rsidRPr="007B2AE2" w:rsidRDefault="00144880" w:rsidP="00144880">
            <w:pPr>
              <w:jc w:val="right"/>
              <w:rPr>
                <w:rFonts w:ascii="Arial" w:hAnsi="Arial" w:cs="Arial"/>
                <w:sz w:val="14"/>
                <w:szCs w:val="14"/>
                <w:lang w:eastAsia="es-AR"/>
              </w:rPr>
            </w:pPr>
            <w:r w:rsidRPr="00144880">
              <w:rPr>
                <w:rFonts w:ascii="Arial" w:hAnsi="Arial" w:cs="Arial"/>
                <w:sz w:val="14"/>
                <w:szCs w:val="14"/>
                <w:lang w:eastAsia="es-AR"/>
              </w:rPr>
              <w:t>19.620.906</w:t>
            </w:r>
          </w:p>
        </w:tc>
        <w:tc>
          <w:tcPr>
            <w:tcW w:w="1100" w:type="dxa"/>
            <w:tcBorders>
              <w:top w:val="nil"/>
              <w:left w:val="nil"/>
              <w:bottom w:val="nil"/>
              <w:right w:val="nil"/>
            </w:tcBorders>
            <w:shd w:val="clear" w:color="auto" w:fill="auto"/>
            <w:vAlign w:val="bottom"/>
          </w:tcPr>
          <w:p w14:paraId="56FF6DED" w14:textId="207DC36B"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202906E6" w14:textId="3AD3A395"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60FA6B50" w14:textId="13C550E0"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01F3BA07" w14:textId="454C19C6"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7E344979" w14:textId="3D909F9A"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36F3AA3C" w14:textId="52B6AE5D"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r>
      <w:tr w:rsidR="00144880" w:rsidRPr="00122C95" w14:paraId="29420955" w14:textId="77777777" w:rsidTr="006E1AF7">
        <w:trPr>
          <w:trHeight w:val="255"/>
        </w:trPr>
        <w:tc>
          <w:tcPr>
            <w:tcW w:w="2451" w:type="dxa"/>
            <w:tcBorders>
              <w:top w:val="nil"/>
              <w:left w:val="nil"/>
              <w:bottom w:val="nil"/>
              <w:right w:val="nil"/>
            </w:tcBorders>
            <w:shd w:val="clear" w:color="auto" w:fill="auto"/>
            <w:hideMark/>
          </w:tcPr>
          <w:p w14:paraId="0EDF5EC1" w14:textId="77777777" w:rsidR="00144880" w:rsidRPr="007B2AE2" w:rsidRDefault="00144880" w:rsidP="00144880">
            <w:pPr>
              <w:ind w:firstLineChars="200" w:firstLine="280"/>
              <w:rPr>
                <w:rFonts w:ascii="Arial" w:hAnsi="Arial" w:cs="Arial"/>
                <w:sz w:val="14"/>
                <w:szCs w:val="14"/>
                <w:lang w:eastAsia="es-AR"/>
              </w:rPr>
            </w:pPr>
            <w:r w:rsidRPr="007B2AE2">
              <w:rPr>
                <w:rFonts w:ascii="Arial" w:hAnsi="Arial" w:cs="Arial"/>
                <w:sz w:val="14"/>
                <w:szCs w:val="14"/>
                <w:lang w:eastAsia="es-AR"/>
              </w:rPr>
              <w:t>Hipotecarios</w:t>
            </w:r>
          </w:p>
        </w:tc>
        <w:tc>
          <w:tcPr>
            <w:tcW w:w="1100" w:type="dxa"/>
            <w:tcBorders>
              <w:top w:val="nil"/>
              <w:left w:val="nil"/>
              <w:bottom w:val="nil"/>
              <w:right w:val="nil"/>
            </w:tcBorders>
            <w:shd w:val="clear" w:color="auto" w:fill="auto"/>
            <w:vAlign w:val="bottom"/>
          </w:tcPr>
          <w:p w14:paraId="2A42C60A" w14:textId="2DF13715"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 xml:space="preserve"> 7.917.020 </w:t>
            </w:r>
          </w:p>
        </w:tc>
        <w:tc>
          <w:tcPr>
            <w:tcW w:w="1100" w:type="dxa"/>
            <w:tcBorders>
              <w:top w:val="nil"/>
              <w:left w:val="nil"/>
              <w:bottom w:val="nil"/>
              <w:right w:val="nil"/>
            </w:tcBorders>
            <w:shd w:val="clear" w:color="auto" w:fill="auto"/>
            <w:vAlign w:val="bottom"/>
          </w:tcPr>
          <w:p w14:paraId="5EB442C0" w14:textId="4AD0E1ED"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4471A6C7" w14:textId="4A781CF6"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5717F0C4" w14:textId="7CFBD75D"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4C7C6C30" w14:textId="64820E5B"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5C4F573C" w14:textId="6C6DB7C3"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6AD284EB" w14:textId="482F9399"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r>
      <w:tr w:rsidR="00144880" w:rsidRPr="00122C95" w14:paraId="1337A9CA" w14:textId="77777777" w:rsidTr="006E1AF7">
        <w:trPr>
          <w:trHeight w:val="255"/>
        </w:trPr>
        <w:tc>
          <w:tcPr>
            <w:tcW w:w="2451" w:type="dxa"/>
            <w:tcBorders>
              <w:top w:val="nil"/>
              <w:left w:val="nil"/>
              <w:bottom w:val="nil"/>
              <w:right w:val="nil"/>
            </w:tcBorders>
            <w:shd w:val="clear" w:color="auto" w:fill="auto"/>
            <w:hideMark/>
          </w:tcPr>
          <w:p w14:paraId="656CD353" w14:textId="77777777" w:rsidR="00144880" w:rsidRPr="007B2AE2" w:rsidRDefault="00144880" w:rsidP="00144880">
            <w:pPr>
              <w:ind w:firstLineChars="200" w:firstLine="280"/>
              <w:rPr>
                <w:rFonts w:ascii="Arial" w:hAnsi="Arial" w:cs="Arial"/>
                <w:sz w:val="14"/>
                <w:szCs w:val="14"/>
                <w:lang w:eastAsia="es-AR"/>
              </w:rPr>
            </w:pPr>
            <w:r w:rsidRPr="007B2AE2">
              <w:rPr>
                <w:rFonts w:ascii="Arial" w:hAnsi="Arial" w:cs="Arial"/>
                <w:sz w:val="14"/>
                <w:szCs w:val="14"/>
                <w:lang w:eastAsia="es-AR"/>
              </w:rPr>
              <w:t>Prendarios</w:t>
            </w:r>
          </w:p>
        </w:tc>
        <w:tc>
          <w:tcPr>
            <w:tcW w:w="1100" w:type="dxa"/>
            <w:tcBorders>
              <w:top w:val="nil"/>
              <w:left w:val="nil"/>
              <w:bottom w:val="nil"/>
              <w:right w:val="nil"/>
            </w:tcBorders>
            <w:shd w:val="clear" w:color="auto" w:fill="auto"/>
            <w:vAlign w:val="bottom"/>
          </w:tcPr>
          <w:p w14:paraId="1AF40201" w14:textId="7EBF56AC" w:rsidR="00144880" w:rsidRPr="007B2AE2" w:rsidRDefault="00144880" w:rsidP="00144880">
            <w:pPr>
              <w:jc w:val="right"/>
              <w:rPr>
                <w:rFonts w:ascii="Arial" w:hAnsi="Arial" w:cs="Arial"/>
                <w:sz w:val="14"/>
                <w:szCs w:val="14"/>
                <w:lang w:eastAsia="es-AR"/>
              </w:rPr>
            </w:pPr>
            <w:r w:rsidRPr="00144880">
              <w:rPr>
                <w:rFonts w:ascii="Arial" w:hAnsi="Arial" w:cs="Arial"/>
                <w:sz w:val="14"/>
                <w:szCs w:val="14"/>
                <w:lang w:eastAsia="es-AR"/>
              </w:rPr>
              <w:t>1.189.797</w:t>
            </w:r>
          </w:p>
        </w:tc>
        <w:tc>
          <w:tcPr>
            <w:tcW w:w="1100" w:type="dxa"/>
            <w:tcBorders>
              <w:top w:val="nil"/>
              <w:left w:val="nil"/>
              <w:bottom w:val="nil"/>
              <w:right w:val="nil"/>
            </w:tcBorders>
            <w:shd w:val="clear" w:color="auto" w:fill="auto"/>
            <w:vAlign w:val="bottom"/>
          </w:tcPr>
          <w:p w14:paraId="1DFD9497" w14:textId="643E33D0"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243A2F7C" w14:textId="4156AD98"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673C7E96" w14:textId="354E83CD"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16D138D4" w14:textId="20231250"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737DEBEA" w14:textId="7C823B6F"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40D0541D" w14:textId="2B2F1041"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r>
      <w:tr w:rsidR="00144880" w:rsidRPr="00122C95" w14:paraId="1A7D31C2" w14:textId="77777777" w:rsidTr="006E1AF7">
        <w:trPr>
          <w:trHeight w:val="255"/>
        </w:trPr>
        <w:tc>
          <w:tcPr>
            <w:tcW w:w="2451" w:type="dxa"/>
            <w:tcBorders>
              <w:top w:val="nil"/>
              <w:left w:val="nil"/>
              <w:bottom w:val="nil"/>
              <w:right w:val="nil"/>
            </w:tcBorders>
            <w:shd w:val="clear" w:color="auto" w:fill="auto"/>
            <w:hideMark/>
          </w:tcPr>
          <w:p w14:paraId="59796846" w14:textId="77777777" w:rsidR="00144880" w:rsidRPr="007B2AE2" w:rsidRDefault="00144880" w:rsidP="00144880">
            <w:pPr>
              <w:ind w:firstLineChars="200" w:firstLine="280"/>
              <w:rPr>
                <w:rFonts w:ascii="Arial" w:hAnsi="Arial" w:cs="Arial"/>
                <w:sz w:val="14"/>
                <w:szCs w:val="14"/>
                <w:lang w:eastAsia="es-AR"/>
              </w:rPr>
            </w:pPr>
            <w:r w:rsidRPr="007B2AE2">
              <w:rPr>
                <w:rFonts w:ascii="Arial" w:hAnsi="Arial" w:cs="Arial"/>
                <w:sz w:val="14"/>
                <w:szCs w:val="14"/>
                <w:lang w:eastAsia="es-AR"/>
              </w:rPr>
              <w:t>Personales</w:t>
            </w:r>
          </w:p>
        </w:tc>
        <w:tc>
          <w:tcPr>
            <w:tcW w:w="1100" w:type="dxa"/>
            <w:tcBorders>
              <w:top w:val="nil"/>
              <w:left w:val="nil"/>
              <w:bottom w:val="nil"/>
              <w:right w:val="nil"/>
            </w:tcBorders>
            <w:shd w:val="clear" w:color="auto" w:fill="auto"/>
            <w:vAlign w:val="bottom"/>
          </w:tcPr>
          <w:p w14:paraId="21A2209F" w14:textId="27152B3F" w:rsidR="00144880" w:rsidRPr="007B2AE2" w:rsidRDefault="00144880" w:rsidP="00144880">
            <w:pPr>
              <w:jc w:val="right"/>
              <w:rPr>
                <w:rFonts w:ascii="Arial" w:hAnsi="Arial" w:cs="Arial"/>
                <w:sz w:val="14"/>
                <w:szCs w:val="14"/>
                <w:lang w:eastAsia="es-AR"/>
              </w:rPr>
            </w:pPr>
            <w:r w:rsidRPr="00144880">
              <w:rPr>
                <w:rFonts w:ascii="Arial" w:hAnsi="Arial" w:cs="Arial"/>
                <w:sz w:val="14"/>
                <w:szCs w:val="14"/>
                <w:lang w:eastAsia="es-AR"/>
              </w:rPr>
              <w:t>17.034.956</w:t>
            </w:r>
          </w:p>
        </w:tc>
        <w:tc>
          <w:tcPr>
            <w:tcW w:w="1100" w:type="dxa"/>
            <w:tcBorders>
              <w:top w:val="nil"/>
              <w:left w:val="nil"/>
              <w:bottom w:val="nil"/>
              <w:right w:val="nil"/>
            </w:tcBorders>
            <w:shd w:val="clear" w:color="auto" w:fill="auto"/>
            <w:vAlign w:val="bottom"/>
          </w:tcPr>
          <w:p w14:paraId="63CA2969" w14:textId="478F5C10"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5DA37D14" w14:textId="61CBB278"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64026399" w14:textId="5E8A8B92"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4AB3BDAC" w14:textId="0419420D"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6C804832" w14:textId="58079050"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105EA8C4" w14:textId="3538319E"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r>
      <w:tr w:rsidR="00144880" w:rsidRPr="00122C95" w14:paraId="6F77B990" w14:textId="77777777" w:rsidTr="006E1AF7">
        <w:trPr>
          <w:trHeight w:val="255"/>
        </w:trPr>
        <w:tc>
          <w:tcPr>
            <w:tcW w:w="2451" w:type="dxa"/>
            <w:tcBorders>
              <w:top w:val="nil"/>
              <w:left w:val="nil"/>
              <w:bottom w:val="nil"/>
              <w:right w:val="nil"/>
            </w:tcBorders>
            <w:shd w:val="clear" w:color="auto" w:fill="auto"/>
            <w:hideMark/>
          </w:tcPr>
          <w:p w14:paraId="4FEAAF0D" w14:textId="77777777" w:rsidR="00144880" w:rsidRPr="007B2AE2" w:rsidRDefault="00144880" w:rsidP="00144880">
            <w:pPr>
              <w:ind w:firstLineChars="200" w:firstLine="280"/>
              <w:rPr>
                <w:rFonts w:ascii="Arial" w:hAnsi="Arial" w:cs="Arial"/>
                <w:sz w:val="14"/>
                <w:szCs w:val="14"/>
                <w:lang w:eastAsia="es-AR"/>
              </w:rPr>
            </w:pPr>
            <w:r w:rsidRPr="007B2AE2">
              <w:rPr>
                <w:rFonts w:ascii="Arial" w:hAnsi="Arial" w:cs="Arial"/>
                <w:sz w:val="14"/>
                <w:szCs w:val="14"/>
                <w:lang w:eastAsia="es-AR"/>
              </w:rPr>
              <w:t>Tarjetas de Crédito</w:t>
            </w:r>
          </w:p>
        </w:tc>
        <w:tc>
          <w:tcPr>
            <w:tcW w:w="1100" w:type="dxa"/>
            <w:tcBorders>
              <w:top w:val="nil"/>
              <w:left w:val="nil"/>
              <w:bottom w:val="nil"/>
              <w:right w:val="nil"/>
            </w:tcBorders>
            <w:shd w:val="clear" w:color="auto" w:fill="auto"/>
            <w:vAlign w:val="bottom"/>
          </w:tcPr>
          <w:p w14:paraId="794A5BD0" w14:textId="2248A809" w:rsidR="00144880" w:rsidRPr="007B2AE2" w:rsidRDefault="00144880" w:rsidP="00144880">
            <w:pPr>
              <w:jc w:val="right"/>
              <w:rPr>
                <w:rFonts w:ascii="Arial" w:hAnsi="Arial" w:cs="Arial"/>
                <w:sz w:val="14"/>
                <w:szCs w:val="14"/>
                <w:lang w:eastAsia="es-AR"/>
              </w:rPr>
            </w:pPr>
            <w:r w:rsidRPr="00144880">
              <w:rPr>
                <w:rFonts w:ascii="Arial" w:hAnsi="Arial" w:cs="Arial"/>
                <w:sz w:val="14"/>
                <w:szCs w:val="14"/>
                <w:lang w:eastAsia="es-AR"/>
              </w:rPr>
              <w:t>12.952.507</w:t>
            </w:r>
          </w:p>
        </w:tc>
        <w:tc>
          <w:tcPr>
            <w:tcW w:w="1100" w:type="dxa"/>
            <w:tcBorders>
              <w:top w:val="nil"/>
              <w:left w:val="nil"/>
              <w:bottom w:val="nil"/>
              <w:right w:val="nil"/>
            </w:tcBorders>
            <w:shd w:val="clear" w:color="auto" w:fill="auto"/>
            <w:vAlign w:val="bottom"/>
          </w:tcPr>
          <w:p w14:paraId="34B12F74" w14:textId="47D44B19"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0C763668" w14:textId="3651C99C"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2E11EF47" w14:textId="7AB0431B"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011532D1" w14:textId="570B500E"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254B1BFF" w14:textId="680AFCA1"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4D7DD596" w14:textId="088A9AA3"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r>
      <w:tr w:rsidR="00144880" w:rsidRPr="00122C95" w14:paraId="04778525" w14:textId="77777777" w:rsidTr="006E1AF7">
        <w:trPr>
          <w:trHeight w:val="255"/>
        </w:trPr>
        <w:tc>
          <w:tcPr>
            <w:tcW w:w="2451" w:type="dxa"/>
            <w:tcBorders>
              <w:top w:val="nil"/>
              <w:left w:val="nil"/>
              <w:bottom w:val="nil"/>
              <w:right w:val="nil"/>
            </w:tcBorders>
            <w:shd w:val="clear" w:color="auto" w:fill="auto"/>
            <w:hideMark/>
          </w:tcPr>
          <w:p w14:paraId="5F16B834" w14:textId="77777777" w:rsidR="00144880" w:rsidRPr="007B2AE2" w:rsidRDefault="00144880" w:rsidP="00144880">
            <w:pPr>
              <w:ind w:firstLineChars="200" w:firstLine="280"/>
              <w:rPr>
                <w:rFonts w:ascii="Arial" w:hAnsi="Arial" w:cs="Arial"/>
                <w:sz w:val="14"/>
                <w:szCs w:val="14"/>
                <w:lang w:eastAsia="es-AR"/>
              </w:rPr>
            </w:pPr>
            <w:r w:rsidRPr="007B2AE2">
              <w:rPr>
                <w:rFonts w:ascii="Arial" w:hAnsi="Arial" w:cs="Arial"/>
                <w:sz w:val="14"/>
                <w:szCs w:val="14"/>
                <w:lang w:eastAsia="es-AR"/>
              </w:rPr>
              <w:t>Préstamos Comex</w:t>
            </w:r>
          </w:p>
        </w:tc>
        <w:tc>
          <w:tcPr>
            <w:tcW w:w="1100" w:type="dxa"/>
            <w:tcBorders>
              <w:top w:val="nil"/>
              <w:left w:val="nil"/>
              <w:bottom w:val="nil"/>
              <w:right w:val="nil"/>
            </w:tcBorders>
            <w:shd w:val="clear" w:color="auto" w:fill="auto"/>
            <w:vAlign w:val="bottom"/>
          </w:tcPr>
          <w:p w14:paraId="05A59C81" w14:textId="6E1F5E09"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 xml:space="preserve"> 14.786.934 </w:t>
            </w:r>
          </w:p>
        </w:tc>
        <w:tc>
          <w:tcPr>
            <w:tcW w:w="1100" w:type="dxa"/>
            <w:tcBorders>
              <w:top w:val="nil"/>
              <w:left w:val="nil"/>
              <w:bottom w:val="nil"/>
              <w:right w:val="nil"/>
            </w:tcBorders>
            <w:shd w:val="clear" w:color="auto" w:fill="auto"/>
            <w:vAlign w:val="bottom"/>
          </w:tcPr>
          <w:p w14:paraId="3D71ACC6" w14:textId="485B1324"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4CFDEC57" w14:textId="68FA2132"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4460993A" w14:textId="5ED86230"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48E314D2" w14:textId="2E3BC246"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4AA29275" w14:textId="4598D46A"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59D967FF" w14:textId="1319D04F"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r>
      <w:tr w:rsidR="00144880" w:rsidRPr="00122C95" w14:paraId="533E1B67" w14:textId="77777777" w:rsidTr="006E1AF7">
        <w:trPr>
          <w:trHeight w:val="255"/>
        </w:trPr>
        <w:tc>
          <w:tcPr>
            <w:tcW w:w="2451" w:type="dxa"/>
            <w:tcBorders>
              <w:top w:val="nil"/>
              <w:left w:val="nil"/>
              <w:bottom w:val="nil"/>
              <w:right w:val="nil"/>
            </w:tcBorders>
            <w:shd w:val="clear" w:color="auto" w:fill="auto"/>
            <w:hideMark/>
          </w:tcPr>
          <w:p w14:paraId="783B984E" w14:textId="77777777" w:rsidR="00144880" w:rsidRPr="007B2AE2" w:rsidRDefault="00144880" w:rsidP="00144880">
            <w:pPr>
              <w:ind w:firstLineChars="200" w:firstLine="280"/>
              <w:rPr>
                <w:rFonts w:ascii="Arial" w:hAnsi="Arial" w:cs="Arial"/>
                <w:sz w:val="14"/>
                <w:szCs w:val="14"/>
                <w:lang w:eastAsia="es-AR"/>
              </w:rPr>
            </w:pPr>
            <w:r w:rsidRPr="007B2AE2">
              <w:rPr>
                <w:rFonts w:ascii="Arial" w:hAnsi="Arial" w:cs="Arial"/>
                <w:sz w:val="14"/>
                <w:szCs w:val="14"/>
                <w:lang w:eastAsia="es-AR"/>
              </w:rPr>
              <w:t>Arrendamientos Financieros</w:t>
            </w:r>
          </w:p>
        </w:tc>
        <w:tc>
          <w:tcPr>
            <w:tcW w:w="1100" w:type="dxa"/>
            <w:tcBorders>
              <w:top w:val="nil"/>
              <w:left w:val="nil"/>
              <w:bottom w:val="nil"/>
              <w:right w:val="nil"/>
            </w:tcBorders>
            <w:shd w:val="clear" w:color="auto" w:fill="auto"/>
            <w:vAlign w:val="bottom"/>
          </w:tcPr>
          <w:p w14:paraId="214EED90" w14:textId="50CE9F7F" w:rsidR="00144880" w:rsidRPr="007B2AE2" w:rsidRDefault="00144880" w:rsidP="00144880">
            <w:pPr>
              <w:jc w:val="right"/>
              <w:rPr>
                <w:rFonts w:ascii="Arial" w:hAnsi="Arial" w:cs="Arial"/>
                <w:sz w:val="14"/>
                <w:szCs w:val="14"/>
                <w:lang w:eastAsia="es-AR"/>
              </w:rPr>
            </w:pPr>
            <w:r w:rsidRPr="00144880">
              <w:rPr>
                <w:rFonts w:ascii="Arial" w:hAnsi="Arial" w:cs="Arial"/>
                <w:sz w:val="14"/>
                <w:szCs w:val="14"/>
                <w:lang w:eastAsia="es-AR"/>
              </w:rPr>
              <w:t>3.186.689</w:t>
            </w:r>
          </w:p>
        </w:tc>
        <w:tc>
          <w:tcPr>
            <w:tcW w:w="1100" w:type="dxa"/>
            <w:tcBorders>
              <w:top w:val="nil"/>
              <w:left w:val="nil"/>
              <w:bottom w:val="nil"/>
              <w:right w:val="nil"/>
            </w:tcBorders>
            <w:shd w:val="clear" w:color="auto" w:fill="auto"/>
            <w:vAlign w:val="bottom"/>
          </w:tcPr>
          <w:p w14:paraId="6BFC5F4A" w14:textId="60592C75"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4BE079A4" w14:textId="580B6276"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7DA767CF" w14:textId="47CD4087"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1A466B3C" w14:textId="283157F5"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1A8C9A2A" w14:textId="08080E7A"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1F030E08" w14:textId="382001D6" w:rsidR="00144880" w:rsidRPr="007B2AE2" w:rsidRDefault="00144880" w:rsidP="00144880">
            <w:pPr>
              <w:jc w:val="right"/>
              <w:rPr>
                <w:rFonts w:ascii="Arial" w:hAnsi="Arial" w:cs="Arial"/>
                <w:sz w:val="14"/>
                <w:szCs w:val="14"/>
                <w:lang w:eastAsia="es-AR"/>
              </w:rPr>
            </w:pPr>
            <w:r w:rsidRPr="007B2AE2">
              <w:rPr>
                <w:rFonts w:ascii="Arial" w:hAnsi="Arial" w:cs="Arial"/>
                <w:sz w:val="14"/>
                <w:szCs w:val="14"/>
                <w:lang w:eastAsia="es-AR"/>
              </w:rPr>
              <w:t>-</w:t>
            </w:r>
          </w:p>
        </w:tc>
      </w:tr>
      <w:tr w:rsidR="00E376E9" w:rsidRPr="00122C95" w14:paraId="61D96747" w14:textId="77777777" w:rsidTr="006E1AF7">
        <w:trPr>
          <w:trHeight w:val="80"/>
        </w:trPr>
        <w:tc>
          <w:tcPr>
            <w:tcW w:w="2451" w:type="dxa"/>
            <w:tcBorders>
              <w:top w:val="nil"/>
              <w:left w:val="nil"/>
              <w:bottom w:val="nil"/>
              <w:right w:val="nil"/>
            </w:tcBorders>
            <w:shd w:val="clear" w:color="auto" w:fill="auto"/>
            <w:hideMark/>
          </w:tcPr>
          <w:p w14:paraId="10AE17BC" w14:textId="77777777" w:rsidR="00E376E9" w:rsidRPr="007B2AE2" w:rsidRDefault="00E376E9" w:rsidP="00E376E9">
            <w:pPr>
              <w:ind w:firstLineChars="200" w:firstLine="280"/>
              <w:rPr>
                <w:rFonts w:ascii="Arial" w:hAnsi="Arial" w:cs="Arial"/>
                <w:sz w:val="14"/>
                <w:szCs w:val="14"/>
                <w:lang w:eastAsia="es-AR"/>
              </w:rPr>
            </w:pPr>
            <w:r w:rsidRPr="007B2AE2">
              <w:rPr>
                <w:rFonts w:ascii="Arial" w:hAnsi="Arial" w:cs="Arial"/>
                <w:sz w:val="14"/>
                <w:szCs w:val="14"/>
                <w:lang w:eastAsia="es-AR"/>
              </w:rPr>
              <w:t>Otros</w:t>
            </w:r>
          </w:p>
        </w:tc>
        <w:tc>
          <w:tcPr>
            <w:tcW w:w="1100" w:type="dxa"/>
            <w:tcBorders>
              <w:top w:val="nil"/>
              <w:left w:val="nil"/>
              <w:bottom w:val="nil"/>
              <w:right w:val="nil"/>
            </w:tcBorders>
            <w:shd w:val="clear" w:color="auto" w:fill="auto"/>
            <w:vAlign w:val="bottom"/>
          </w:tcPr>
          <w:p w14:paraId="01D14E8F" w14:textId="36B38995" w:rsidR="00E376E9" w:rsidRPr="007B2AE2" w:rsidRDefault="00144880" w:rsidP="007B2AE2">
            <w:pPr>
              <w:jc w:val="right"/>
              <w:rPr>
                <w:rFonts w:ascii="Arial" w:hAnsi="Arial" w:cs="Arial"/>
                <w:sz w:val="14"/>
                <w:szCs w:val="14"/>
                <w:lang w:eastAsia="es-AR"/>
              </w:rPr>
            </w:pPr>
            <w:r w:rsidRPr="00144880">
              <w:rPr>
                <w:rFonts w:ascii="Arial" w:hAnsi="Arial" w:cs="Arial"/>
                <w:sz w:val="14"/>
                <w:szCs w:val="14"/>
                <w:lang w:eastAsia="es-AR"/>
              </w:rPr>
              <w:t>5.996.945</w:t>
            </w:r>
          </w:p>
        </w:tc>
        <w:tc>
          <w:tcPr>
            <w:tcW w:w="1100" w:type="dxa"/>
            <w:tcBorders>
              <w:top w:val="nil"/>
              <w:left w:val="nil"/>
              <w:bottom w:val="nil"/>
              <w:right w:val="nil"/>
            </w:tcBorders>
            <w:shd w:val="clear" w:color="auto" w:fill="auto"/>
            <w:vAlign w:val="bottom"/>
          </w:tcPr>
          <w:p w14:paraId="55BF6D75" w14:textId="3EF34C54"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2BD71379" w14:textId="16C40756"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7512DDFF" w14:textId="795A3964"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6FDB860E" w14:textId="1558B8A7"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09" w:type="dxa"/>
            <w:tcBorders>
              <w:top w:val="nil"/>
              <w:left w:val="nil"/>
              <w:bottom w:val="nil"/>
              <w:right w:val="nil"/>
            </w:tcBorders>
            <w:shd w:val="clear" w:color="auto" w:fill="auto"/>
            <w:vAlign w:val="bottom"/>
          </w:tcPr>
          <w:p w14:paraId="53B2C231" w14:textId="07B093F2"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0BD0BC6D" w14:textId="1C286403" w:rsidR="00E376E9" w:rsidRPr="007B2AE2" w:rsidRDefault="00E376E9" w:rsidP="007B2AE2">
            <w:pPr>
              <w:jc w:val="right"/>
              <w:rPr>
                <w:rFonts w:ascii="Arial" w:hAnsi="Arial" w:cs="Arial"/>
                <w:sz w:val="14"/>
                <w:szCs w:val="14"/>
                <w:lang w:eastAsia="es-AR"/>
              </w:rPr>
            </w:pPr>
            <w:r w:rsidRPr="007B2AE2">
              <w:rPr>
                <w:rFonts w:ascii="Arial" w:hAnsi="Arial" w:cs="Arial"/>
                <w:sz w:val="14"/>
                <w:szCs w:val="14"/>
                <w:lang w:eastAsia="es-AR"/>
              </w:rPr>
              <w:t>-</w:t>
            </w:r>
          </w:p>
        </w:tc>
      </w:tr>
      <w:tr w:rsidR="00122C95" w:rsidRPr="00122C95" w14:paraId="3A771E59" w14:textId="77777777" w:rsidTr="006E1AF7">
        <w:trPr>
          <w:trHeight w:val="177"/>
        </w:trPr>
        <w:tc>
          <w:tcPr>
            <w:tcW w:w="2451" w:type="dxa"/>
            <w:tcBorders>
              <w:top w:val="nil"/>
              <w:left w:val="nil"/>
              <w:bottom w:val="nil"/>
              <w:right w:val="nil"/>
            </w:tcBorders>
            <w:shd w:val="clear" w:color="auto" w:fill="auto"/>
            <w:hideMark/>
          </w:tcPr>
          <w:p w14:paraId="6C5C0C25" w14:textId="77777777" w:rsidR="00122C95" w:rsidRPr="007B2AE2" w:rsidRDefault="00122C95" w:rsidP="00122C95">
            <w:pPr>
              <w:rPr>
                <w:sz w:val="14"/>
                <w:szCs w:val="14"/>
                <w:lang w:eastAsia="es-AR"/>
              </w:rPr>
            </w:pPr>
          </w:p>
        </w:tc>
        <w:tc>
          <w:tcPr>
            <w:tcW w:w="1100" w:type="dxa"/>
            <w:tcBorders>
              <w:top w:val="nil"/>
              <w:left w:val="nil"/>
              <w:bottom w:val="nil"/>
              <w:right w:val="nil"/>
            </w:tcBorders>
            <w:shd w:val="clear" w:color="auto" w:fill="auto"/>
            <w:vAlign w:val="bottom"/>
          </w:tcPr>
          <w:p w14:paraId="224AE33A" w14:textId="77777777" w:rsidR="00122C95" w:rsidRPr="007B2AE2" w:rsidRDefault="00122C95" w:rsidP="007B2AE2">
            <w:pPr>
              <w:ind w:firstLineChars="200" w:firstLine="280"/>
              <w:jc w:val="right"/>
              <w:rPr>
                <w:rFonts w:ascii="Arial" w:hAnsi="Arial" w:cs="Arial"/>
                <w:sz w:val="14"/>
                <w:szCs w:val="14"/>
                <w:lang w:eastAsia="es-AR"/>
              </w:rPr>
            </w:pPr>
          </w:p>
        </w:tc>
        <w:tc>
          <w:tcPr>
            <w:tcW w:w="1100" w:type="dxa"/>
            <w:tcBorders>
              <w:top w:val="nil"/>
              <w:left w:val="nil"/>
              <w:bottom w:val="nil"/>
              <w:right w:val="nil"/>
            </w:tcBorders>
            <w:shd w:val="clear" w:color="auto" w:fill="auto"/>
            <w:vAlign w:val="bottom"/>
          </w:tcPr>
          <w:p w14:paraId="2DFBDE3F"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3289D6E0" w14:textId="77777777" w:rsidR="00122C95" w:rsidRPr="007B2AE2" w:rsidRDefault="00122C95" w:rsidP="007B2AE2">
            <w:pPr>
              <w:jc w:val="right"/>
              <w:rPr>
                <w:rFonts w:ascii="Arial" w:hAnsi="Arial" w:cs="Arial"/>
                <w:sz w:val="14"/>
                <w:szCs w:val="14"/>
                <w:lang w:eastAsia="es-AR"/>
              </w:rPr>
            </w:pPr>
          </w:p>
        </w:tc>
        <w:tc>
          <w:tcPr>
            <w:tcW w:w="908" w:type="dxa"/>
            <w:tcBorders>
              <w:top w:val="nil"/>
              <w:left w:val="nil"/>
              <w:bottom w:val="nil"/>
              <w:right w:val="nil"/>
            </w:tcBorders>
            <w:shd w:val="clear" w:color="auto" w:fill="auto"/>
            <w:vAlign w:val="bottom"/>
          </w:tcPr>
          <w:p w14:paraId="6D052DDB" w14:textId="77777777" w:rsidR="00122C95" w:rsidRPr="007B2AE2" w:rsidRDefault="00122C95" w:rsidP="007B2AE2">
            <w:pPr>
              <w:jc w:val="right"/>
              <w:rPr>
                <w:rFonts w:ascii="Arial" w:hAnsi="Arial" w:cs="Arial"/>
                <w:sz w:val="14"/>
                <w:szCs w:val="14"/>
                <w:lang w:eastAsia="es-AR"/>
              </w:rPr>
            </w:pPr>
          </w:p>
        </w:tc>
        <w:tc>
          <w:tcPr>
            <w:tcW w:w="1723" w:type="dxa"/>
            <w:tcBorders>
              <w:top w:val="nil"/>
              <w:left w:val="nil"/>
              <w:bottom w:val="nil"/>
              <w:right w:val="nil"/>
            </w:tcBorders>
            <w:shd w:val="clear" w:color="auto" w:fill="auto"/>
            <w:vAlign w:val="bottom"/>
          </w:tcPr>
          <w:p w14:paraId="7ABD2CA1" w14:textId="77777777" w:rsidR="00122C95" w:rsidRPr="007B2AE2" w:rsidRDefault="00122C95" w:rsidP="007B2AE2">
            <w:pPr>
              <w:jc w:val="right"/>
              <w:rPr>
                <w:rFonts w:ascii="Arial" w:hAnsi="Arial" w:cs="Arial"/>
                <w:sz w:val="14"/>
                <w:szCs w:val="14"/>
                <w:lang w:eastAsia="es-AR"/>
              </w:rPr>
            </w:pPr>
          </w:p>
        </w:tc>
        <w:tc>
          <w:tcPr>
            <w:tcW w:w="709" w:type="dxa"/>
            <w:tcBorders>
              <w:top w:val="nil"/>
              <w:left w:val="nil"/>
              <w:bottom w:val="nil"/>
              <w:right w:val="nil"/>
            </w:tcBorders>
            <w:shd w:val="clear" w:color="auto" w:fill="auto"/>
            <w:vAlign w:val="bottom"/>
          </w:tcPr>
          <w:p w14:paraId="46662947" w14:textId="77777777" w:rsidR="00122C95" w:rsidRPr="007B2AE2" w:rsidRDefault="00122C95" w:rsidP="007B2AE2">
            <w:pPr>
              <w:jc w:val="right"/>
              <w:rPr>
                <w:rFonts w:ascii="Arial" w:hAnsi="Arial" w:cs="Arial"/>
                <w:sz w:val="14"/>
                <w:szCs w:val="14"/>
                <w:lang w:eastAsia="es-AR"/>
              </w:rPr>
            </w:pPr>
          </w:p>
        </w:tc>
        <w:tc>
          <w:tcPr>
            <w:tcW w:w="711" w:type="dxa"/>
            <w:tcBorders>
              <w:top w:val="nil"/>
              <w:left w:val="nil"/>
              <w:bottom w:val="nil"/>
              <w:right w:val="nil"/>
            </w:tcBorders>
            <w:shd w:val="clear" w:color="auto" w:fill="auto"/>
            <w:vAlign w:val="bottom"/>
          </w:tcPr>
          <w:p w14:paraId="584A6E52" w14:textId="77777777" w:rsidR="00122C95" w:rsidRPr="007B2AE2" w:rsidRDefault="00122C95" w:rsidP="007B2AE2">
            <w:pPr>
              <w:jc w:val="right"/>
              <w:rPr>
                <w:rFonts w:ascii="Arial" w:hAnsi="Arial" w:cs="Arial"/>
                <w:sz w:val="14"/>
                <w:szCs w:val="14"/>
                <w:lang w:eastAsia="es-AR"/>
              </w:rPr>
            </w:pPr>
          </w:p>
        </w:tc>
      </w:tr>
      <w:tr w:rsidR="00792359" w:rsidRPr="00122C95" w14:paraId="222333BD" w14:textId="77777777" w:rsidTr="006E1AF7">
        <w:trPr>
          <w:trHeight w:val="80"/>
        </w:trPr>
        <w:tc>
          <w:tcPr>
            <w:tcW w:w="2451" w:type="dxa"/>
            <w:tcBorders>
              <w:top w:val="nil"/>
              <w:left w:val="nil"/>
              <w:bottom w:val="nil"/>
              <w:right w:val="nil"/>
            </w:tcBorders>
            <w:shd w:val="clear" w:color="auto" w:fill="auto"/>
            <w:hideMark/>
          </w:tcPr>
          <w:p w14:paraId="06D41F04" w14:textId="77777777" w:rsidR="00792359" w:rsidRPr="007B2AE2" w:rsidRDefault="00792359" w:rsidP="00792359">
            <w:pPr>
              <w:rPr>
                <w:rFonts w:ascii="Arial" w:hAnsi="Arial" w:cs="Arial"/>
                <w:b/>
                <w:bCs/>
                <w:sz w:val="14"/>
                <w:szCs w:val="14"/>
                <w:lang w:eastAsia="es-AR"/>
              </w:rPr>
            </w:pPr>
            <w:r w:rsidRPr="007B2AE2">
              <w:rPr>
                <w:rFonts w:ascii="Arial" w:hAnsi="Arial" w:cs="Arial"/>
                <w:b/>
                <w:bCs/>
                <w:sz w:val="14"/>
                <w:szCs w:val="14"/>
                <w:lang w:eastAsia="es-AR"/>
              </w:rPr>
              <w:t>Otros Títulos de Deuda</w:t>
            </w:r>
          </w:p>
        </w:tc>
        <w:tc>
          <w:tcPr>
            <w:tcW w:w="1100" w:type="dxa"/>
            <w:tcBorders>
              <w:top w:val="nil"/>
              <w:left w:val="nil"/>
              <w:bottom w:val="nil"/>
              <w:right w:val="nil"/>
            </w:tcBorders>
            <w:shd w:val="clear" w:color="auto" w:fill="auto"/>
          </w:tcPr>
          <w:p w14:paraId="12B69866" w14:textId="1F25B6BD" w:rsidR="00792359" w:rsidRPr="00792359" w:rsidRDefault="00792359">
            <w:pPr>
              <w:jc w:val="right"/>
              <w:rPr>
                <w:rFonts w:ascii="Arial" w:hAnsi="Arial" w:cs="Arial"/>
                <w:sz w:val="14"/>
                <w:szCs w:val="14"/>
                <w:lang w:eastAsia="es-AR"/>
              </w:rPr>
            </w:pPr>
            <w:r w:rsidRPr="006E1AF7">
              <w:rPr>
                <w:rFonts w:ascii="Arial" w:hAnsi="Arial" w:cs="Arial"/>
                <w:sz w:val="14"/>
                <w:szCs w:val="14"/>
              </w:rPr>
              <w:t xml:space="preserve">3.086.613 </w:t>
            </w:r>
          </w:p>
        </w:tc>
        <w:tc>
          <w:tcPr>
            <w:tcW w:w="1100" w:type="dxa"/>
            <w:tcBorders>
              <w:top w:val="nil"/>
              <w:left w:val="nil"/>
              <w:bottom w:val="nil"/>
              <w:right w:val="nil"/>
            </w:tcBorders>
            <w:shd w:val="clear" w:color="auto" w:fill="auto"/>
          </w:tcPr>
          <w:p w14:paraId="02014086" w14:textId="04E02E68" w:rsidR="00792359" w:rsidRPr="00792359" w:rsidRDefault="00792359">
            <w:pPr>
              <w:jc w:val="right"/>
              <w:rPr>
                <w:rFonts w:ascii="Arial" w:hAnsi="Arial" w:cs="Arial"/>
                <w:sz w:val="14"/>
                <w:szCs w:val="14"/>
                <w:lang w:eastAsia="es-AR"/>
              </w:rPr>
            </w:pPr>
            <w:r w:rsidRPr="006E1AF7">
              <w:rPr>
                <w:rFonts w:ascii="Arial" w:hAnsi="Arial" w:cs="Arial"/>
                <w:sz w:val="14"/>
                <w:szCs w:val="14"/>
              </w:rPr>
              <w:t xml:space="preserve">7.171.171 </w:t>
            </w:r>
          </w:p>
        </w:tc>
        <w:tc>
          <w:tcPr>
            <w:tcW w:w="1360" w:type="dxa"/>
            <w:tcBorders>
              <w:top w:val="nil"/>
              <w:left w:val="nil"/>
              <w:bottom w:val="nil"/>
              <w:right w:val="nil"/>
            </w:tcBorders>
            <w:shd w:val="clear" w:color="auto" w:fill="auto"/>
            <w:vAlign w:val="bottom"/>
          </w:tcPr>
          <w:p w14:paraId="05150264" w14:textId="309F3603" w:rsidR="00792359" w:rsidRPr="00792359" w:rsidRDefault="00792359">
            <w:pPr>
              <w:jc w:val="right"/>
              <w:rPr>
                <w:rFonts w:ascii="Arial" w:hAnsi="Arial" w:cs="Arial"/>
                <w:sz w:val="14"/>
                <w:szCs w:val="14"/>
                <w:lang w:eastAsia="es-AR"/>
              </w:rPr>
            </w:pPr>
            <w:r w:rsidRPr="00792359">
              <w:rPr>
                <w:rFonts w:ascii="Arial" w:hAnsi="Arial" w:cs="Arial"/>
                <w:sz w:val="14"/>
                <w:szCs w:val="14"/>
                <w:lang w:eastAsia="es-AR"/>
              </w:rPr>
              <w:t>-</w:t>
            </w:r>
          </w:p>
        </w:tc>
        <w:tc>
          <w:tcPr>
            <w:tcW w:w="908" w:type="dxa"/>
            <w:tcBorders>
              <w:top w:val="nil"/>
              <w:left w:val="nil"/>
              <w:bottom w:val="nil"/>
              <w:right w:val="nil"/>
            </w:tcBorders>
            <w:shd w:val="clear" w:color="auto" w:fill="auto"/>
            <w:vAlign w:val="bottom"/>
          </w:tcPr>
          <w:p w14:paraId="1209622B" w14:textId="2760F2AC" w:rsidR="00792359" w:rsidRPr="00792359" w:rsidRDefault="00792359">
            <w:pPr>
              <w:jc w:val="right"/>
              <w:rPr>
                <w:rFonts w:ascii="Arial" w:hAnsi="Arial" w:cs="Arial"/>
                <w:sz w:val="14"/>
                <w:szCs w:val="14"/>
                <w:lang w:eastAsia="es-AR"/>
              </w:rPr>
            </w:pPr>
            <w:r w:rsidRPr="00792359">
              <w:rPr>
                <w:rFonts w:ascii="Arial" w:hAnsi="Arial" w:cs="Arial"/>
                <w:sz w:val="14"/>
                <w:szCs w:val="14"/>
                <w:lang w:eastAsia="es-AR"/>
              </w:rPr>
              <w:t>-</w:t>
            </w:r>
          </w:p>
        </w:tc>
        <w:tc>
          <w:tcPr>
            <w:tcW w:w="1723" w:type="dxa"/>
            <w:tcBorders>
              <w:top w:val="nil"/>
              <w:left w:val="nil"/>
              <w:bottom w:val="nil"/>
              <w:right w:val="nil"/>
            </w:tcBorders>
            <w:shd w:val="clear" w:color="auto" w:fill="auto"/>
            <w:vAlign w:val="bottom"/>
          </w:tcPr>
          <w:p w14:paraId="0D07B9B2" w14:textId="4D4A6E60" w:rsidR="00792359" w:rsidRPr="006E1AF7" w:rsidRDefault="00792359">
            <w:pPr>
              <w:jc w:val="right"/>
              <w:rPr>
                <w:rFonts w:ascii="Arial" w:hAnsi="Arial" w:cs="Arial"/>
                <w:color w:val="000000"/>
                <w:sz w:val="14"/>
                <w:szCs w:val="14"/>
                <w:lang w:eastAsia="es-AR"/>
              </w:rPr>
            </w:pPr>
            <w:r w:rsidRPr="006E1AF7">
              <w:rPr>
                <w:rFonts w:ascii="Arial" w:hAnsi="Arial" w:cs="Arial"/>
                <w:color w:val="000000"/>
                <w:sz w:val="14"/>
                <w:szCs w:val="14"/>
              </w:rPr>
              <w:t xml:space="preserve">7.171.171 </w:t>
            </w:r>
          </w:p>
        </w:tc>
        <w:tc>
          <w:tcPr>
            <w:tcW w:w="709" w:type="dxa"/>
            <w:tcBorders>
              <w:top w:val="nil"/>
              <w:left w:val="nil"/>
              <w:bottom w:val="nil"/>
              <w:right w:val="nil"/>
            </w:tcBorders>
            <w:shd w:val="clear" w:color="auto" w:fill="auto"/>
            <w:vAlign w:val="bottom"/>
          </w:tcPr>
          <w:p w14:paraId="7C6BA116" w14:textId="6680886C" w:rsidR="00792359" w:rsidRPr="00792359" w:rsidRDefault="00792359">
            <w:pPr>
              <w:jc w:val="right"/>
              <w:rPr>
                <w:rFonts w:ascii="Arial" w:hAnsi="Arial" w:cs="Arial"/>
                <w:sz w:val="14"/>
                <w:szCs w:val="14"/>
                <w:lang w:eastAsia="es-AR"/>
              </w:rPr>
            </w:pPr>
            <w:r w:rsidRPr="00792359">
              <w:rPr>
                <w:rFonts w:ascii="Arial" w:hAnsi="Arial" w:cs="Arial"/>
                <w:sz w:val="14"/>
                <w:szCs w:val="14"/>
                <w:lang w:eastAsia="es-AR"/>
              </w:rPr>
              <w:t>-</w:t>
            </w:r>
          </w:p>
        </w:tc>
        <w:tc>
          <w:tcPr>
            <w:tcW w:w="711" w:type="dxa"/>
            <w:tcBorders>
              <w:top w:val="nil"/>
              <w:left w:val="nil"/>
              <w:bottom w:val="nil"/>
              <w:right w:val="nil"/>
            </w:tcBorders>
            <w:shd w:val="clear" w:color="auto" w:fill="auto"/>
            <w:vAlign w:val="bottom"/>
          </w:tcPr>
          <w:p w14:paraId="480FD31F" w14:textId="6BFE757E" w:rsidR="00792359" w:rsidRPr="00792359" w:rsidRDefault="00792359">
            <w:pPr>
              <w:jc w:val="right"/>
              <w:rPr>
                <w:rFonts w:ascii="Arial" w:hAnsi="Arial" w:cs="Arial"/>
                <w:sz w:val="14"/>
                <w:szCs w:val="14"/>
                <w:lang w:eastAsia="es-AR"/>
              </w:rPr>
            </w:pPr>
            <w:r w:rsidRPr="00792359">
              <w:rPr>
                <w:rFonts w:ascii="Arial" w:hAnsi="Arial" w:cs="Arial"/>
                <w:sz w:val="14"/>
                <w:szCs w:val="14"/>
                <w:lang w:eastAsia="es-AR"/>
              </w:rPr>
              <w:t>-</w:t>
            </w:r>
          </w:p>
        </w:tc>
      </w:tr>
      <w:tr w:rsidR="00122C95" w:rsidRPr="00122C95" w14:paraId="4E38FAF3" w14:textId="77777777" w:rsidTr="006E1AF7">
        <w:trPr>
          <w:trHeight w:val="125"/>
        </w:trPr>
        <w:tc>
          <w:tcPr>
            <w:tcW w:w="2451" w:type="dxa"/>
            <w:tcBorders>
              <w:top w:val="nil"/>
              <w:left w:val="nil"/>
              <w:bottom w:val="nil"/>
              <w:right w:val="nil"/>
            </w:tcBorders>
            <w:shd w:val="clear" w:color="auto" w:fill="auto"/>
            <w:hideMark/>
          </w:tcPr>
          <w:p w14:paraId="3B84AD95" w14:textId="77777777" w:rsidR="00122C95" w:rsidRPr="007B2AE2" w:rsidRDefault="00122C95" w:rsidP="00122C95">
            <w:pPr>
              <w:rPr>
                <w:sz w:val="14"/>
                <w:szCs w:val="14"/>
                <w:lang w:eastAsia="es-AR"/>
              </w:rPr>
            </w:pPr>
          </w:p>
        </w:tc>
        <w:tc>
          <w:tcPr>
            <w:tcW w:w="1100" w:type="dxa"/>
            <w:tcBorders>
              <w:top w:val="nil"/>
              <w:left w:val="nil"/>
              <w:bottom w:val="nil"/>
              <w:right w:val="nil"/>
            </w:tcBorders>
            <w:shd w:val="clear" w:color="auto" w:fill="auto"/>
            <w:vAlign w:val="bottom"/>
          </w:tcPr>
          <w:p w14:paraId="6C03F163" w14:textId="77777777" w:rsidR="00122C95" w:rsidRPr="00792359" w:rsidRDefault="00122C95">
            <w:pPr>
              <w:jc w:val="right"/>
              <w:rPr>
                <w:rFonts w:ascii="Arial" w:hAnsi="Arial" w:cs="Arial"/>
                <w:sz w:val="14"/>
                <w:szCs w:val="14"/>
                <w:lang w:eastAsia="es-AR"/>
              </w:rPr>
            </w:pPr>
          </w:p>
        </w:tc>
        <w:tc>
          <w:tcPr>
            <w:tcW w:w="1100" w:type="dxa"/>
            <w:tcBorders>
              <w:top w:val="nil"/>
              <w:left w:val="nil"/>
              <w:bottom w:val="nil"/>
              <w:right w:val="nil"/>
            </w:tcBorders>
            <w:shd w:val="clear" w:color="auto" w:fill="auto"/>
            <w:vAlign w:val="bottom"/>
          </w:tcPr>
          <w:p w14:paraId="6E504F02" w14:textId="77777777" w:rsidR="00122C95" w:rsidRPr="00792359" w:rsidRDefault="00122C95">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19F3FD3C" w14:textId="77777777" w:rsidR="00122C95" w:rsidRPr="00792359" w:rsidRDefault="00122C95">
            <w:pPr>
              <w:jc w:val="right"/>
              <w:rPr>
                <w:rFonts w:ascii="Arial" w:hAnsi="Arial" w:cs="Arial"/>
                <w:sz w:val="14"/>
                <w:szCs w:val="14"/>
                <w:lang w:eastAsia="es-AR"/>
              </w:rPr>
            </w:pPr>
          </w:p>
        </w:tc>
        <w:tc>
          <w:tcPr>
            <w:tcW w:w="908" w:type="dxa"/>
            <w:tcBorders>
              <w:top w:val="nil"/>
              <w:left w:val="nil"/>
              <w:bottom w:val="nil"/>
              <w:right w:val="nil"/>
            </w:tcBorders>
            <w:shd w:val="clear" w:color="auto" w:fill="auto"/>
            <w:vAlign w:val="bottom"/>
          </w:tcPr>
          <w:p w14:paraId="4046A3DD" w14:textId="77777777" w:rsidR="00122C95" w:rsidRPr="00792359" w:rsidRDefault="00122C95">
            <w:pPr>
              <w:jc w:val="right"/>
              <w:rPr>
                <w:rFonts w:ascii="Arial" w:hAnsi="Arial" w:cs="Arial"/>
                <w:sz w:val="14"/>
                <w:szCs w:val="14"/>
                <w:lang w:eastAsia="es-AR"/>
              </w:rPr>
            </w:pPr>
          </w:p>
        </w:tc>
        <w:tc>
          <w:tcPr>
            <w:tcW w:w="1723" w:type="dxa"/>
            <w:tcBorders>
              <w:top w:val="nil"/>
              <w:left w:val="nil"/>
              <w:bottom w:val="nil"/>
              <w:right w:val="nil"/>
            </w:tcBorders>
            <w:shd w:val="clear" w:color="auto" w:fill="auto"/>
            <w:vAlign w:val="bottom"/>
          </w:tcPr>
          <w:p w14:paraId="7109308C" w14:textId="77777777" w:rsidR="00122C95" w:rsidRPr="00792359" w:rsidRDefault="00122C95">
            <w:pPr>
              <w:jc w:val="right"/>
              <w:rPr>
                <w:rFonts w:ascii="Arial" w:hAnsi="Arial" w:cs="Arial"/>
                <w:sz w:val="14"/>
                <w:szCs w:val="14"/>
                <w:lang w:eastAsia="es-AR"/>
              </w:rPr>
            </w:pPr>
          </w:p>
        </w:tc>
        <w:tc>
          <w:tcPr>
            <w:tcW w:w="709" w:type="dxa"/>
            <w:tcBorders>
              <w:top w:val="nil"/>
              <w:left w:val="nil"/>
              <w:bottom w:val="nil"/>
              <w:right w:val="nil"/>
            </w:tcBorders>
            <w:shd w:val="clear" w:color="auto" w:fill="auto"/>
            <w:vAlign w:val="bottom"/>
          </w:tcPr>
          <w:p w14:paraId="08984DD8" w14:textId="77777777" w:rsidR="00122C95" w:rsidRPr="00792359" w:rsidRDefault="00122C95">
            <w:pPr>
              <w:jc w:val="right"/>
              <w:rPr>
                <w:rFonts w:ascii="Arial" w:hAnsi="Arial" w:cs="Arial"/>
                <w:sz w:val="14"/>
                <w:szCs w:val="14"/>
                <w:lang w:eastAsia="es-AR"/>
              </w:rPr>
            </w:pPr>
          </w:p>
        </w:tc>
        <w:tc>
          <w:tcPr>
            <w:tcW w:w="711" w:type="dxa"/>
            <w:tcBorders>
              <w:top w:val="nil"/>
              <w:left w:val="nil"/>
              <w:bottom w:val="nil"/>
              <w:right w:val="nil"/>
            </w:tcBorders>
            <w:shd w:val="clear" w:color="auto" w:fill="auto"/>
            <w:vAlign w:val="bottom"/>
          </w:tcPr>
          <w:p w14:paraId="55EF08FF" w14:textId="77777777" w:rsidR="00122C95" w:rsidRPr="00792359" w:rsidRDefault="00122C95">
            <w:pPr>
              <w:jc w:val="right"/>
              <w:rPr>
                <w:rFonts w:ascii="Arial" w:hAnsi="Arial" w:cs="Arial"/>
                <w:sz w:val="14"/>
                <w:szCs w:val="14"/>
                <w:lang w:eastAsia="es-AR"/>
              </w:rPr>
            </w:pPr>
          </w:p>
        </w:tc>
      </w:tr>
      <w:tr w:rsidR="00E376E9" w:rsidRPr="00122C95" w14:paraId="7F014471" w14:textId="77777777" w:rsidTr="006E1AF7">
        <w:trPr>
          <w:trHeight w:val="80"/>
        </w:trPr>
        <w:tc>
          <w:tcPr>
            <w:tcW w:w="2451" w:type="dxa"/>
            <w:tcBorders>
              <w:top w:val="nil"/>
              <w:left w:val="nil"/>
              <w:bottom w:val="nil"/>
              <w:right w:val="nil"/>
            </w:tcBorders>
            <w:shd w:val="clear" w:color="auto" w:fill="auto"/>
            <w:hideMark/>
          </w:tcPr>
          <w:p w14:paraId="7B000DB9" w14:textId="77777777" w:rsidR="00E376E9" w:rsidRPr="007B2AE2" w:rsidRDefault="00E376E9" w:rsidP="00E376E9">
            <w:pPr>
              <w:rPr>
                <w:rFonts w:ascii="Arial" w:hAnsi="Arial" w:cs="Arial"/>
                <w:b/>
                <w:bCs/>
                <w:sz w:val="14"/>
                <w:szCs w:val="14"/>
                <w:lang w:eastAsia="es-AR"/>
              </w:rPr>
            </w:pPr>
            <w:r w:rsidRPr="007B2AE2">
              <w:rPr>
                <w:rFonts w:ascii="Arial" w:hAnsi="Arial" w:cs="Arial"/>
                <w:b/>
                <w:bCs/>
                <w:sz w:val="14"/>
                <w:szCs w:val="14"/>
                <w:lang w:eastAsia="es-AR"/>
              </w:rPr>
              <w:t>Activos financieros entregados en garantía</w:t>
            </w:r>
          </w:p>
        </w:tc>
        <w:tc>
          <w:tcPr>
            <w:tcW w:w="1100" w:type="dxa"/>
            <w:tcBorders>
              <w:top w:val="nil"/>
              <w:left w:val="nil"/>
              <w:bottom w:val="nil"/>
              <w:right w:val="nil"/>
            </w:tcBorders>
            <w:shd w:val="clear" w:color="auto" w:fill="auto"/>
            <w:vAlign w:val="bottom"/>
          </w:tcPr>
          <w:p w14:paraId="4C1B5D0E" w14:textId="3B793410" w:rsidR="00E376E9" w:rsidRPr="006E1AF7" w:rsidRDefault="00792359">
            <w:pPr>
              <w:jc w:val="right"/>
              <w:rPr>
                <w:rFonts w:ascii="Arial" w:hAnsi="Arial" w:cs="Arial"/>
                <w:color w:val="000000"/>
                <w:sz w:val="14"/>
                <w:szCs w:val="14"/>
                <w:lang w:eastAsia="es-AR"/>
              </w:rPr>
            </w:pPr>
            <w:r w:rsidRPr="006E1AF7">
              <w:rPr>
                <w:rFonts w:ascii="Arial" w:hAnsi="Arial" w:cs="Arial"/>
                <w:color w:val="000000"/>
                <w:sz w:val="14"/>
                <w:szCs w:val="14"/>
              </w:rPr>
              <w:t>402.409</w:t>
            </w:r>
          </w:p>
        </w:tc>
        <w:tc>
          <w:tcPr>
            <w:tcW w:w="1100" w:type="dxa"/>
            <w:tcBorders>
              <w:top w:val="nil"/>
              <w:left w:val="nil"/>
              <w:bottom w:val="nil"/>
              <w:right w:val="nil"/>
            </w:tcBorders>
            <w:shd w:val="clear" w:color="auto" w:fill="auto"/>
            <w:vAlign w:val="bottom"/>
          </w:tcPr>
          <w:p w14:paraId="50CDBCD3" w14:textId="6F067123" w:rsidR="00E376E9" w:rsidRPr="00792359" w:rsidRDefault="00E376E9">
            <w:pPr>
              <w:jc w:val="right"/>
              <w:rPr>
                <w:rFonts w:ascii="Arial" w:hAnsi="Arial" w:cs="Arial"/>
                <w:bCs/>
                <w:sz w:val="14"/>
                <w:szCs w:val="14"/>
                <w:lang w:eastAsia="es-AR"/>
              </w:rPr>
            </w:pPr>
            <w:r w:rsidRPr="00792359">
              <w:rPr>
                <w:rFonts w:ascii="Arial" w:hAnsi="Arial" w:cs="Arial"/>
                <w:bCs/>
                <w:sz w:val="14"/>
                <w:szCs w:val="14"/>
                <w:lang w:eastAsia="es-AR"/>
              </w:rPr>
              <w:t>-</w:t>
            </w:r>
          </w:p>
        </w:tc>
        <w:tc>
          <w:tcPr>
            <w:tcW w:w="1360" w:type="dxa"/>
            <w:tcBorders>
              <w:top w:val="nil"/>
              <w:left w:val="nil"/>
              <w:bottom w:val="nil"/>
              <w:right w:val="nil"/>
            </w:tcBorders>
            <w:shd w:val="clear" w:color="auto" w:fill="auto"/>
            <w:vAlign w:val="bottom"/>
          </w:tcPr>
          <w:p w14:paraId="7FD1C337" w14:textId="5F2D6E66" w:rsidR="00E376E9" w:rsidRPr="00792359" w:rsidRDefault="00E376E9">
            <w:pPr>
              <w:jc w:val="right"/>
              <w:rPr>
                <w:rFonts w:ascii="Arial" w:hAnsi="Arial" w:cs="Arial"/>
                <w:bCs/>
                <w:sz w:val="14"/>
                <w:szCs w:val="14"/>
                <w:lang w:eastAsia="es-AR"/>
              </w:rPr>
            </w:pPr>
            <w:r w:rsidRPr="00792359">
              <w:rPr>
                <w:rFonts w:ascii="Arial" w:hAnsi="Arial" w:cs="Arial"/>
                <w:bCs/>
                <w:sz w:val="14"/>
                <w:szCs w:val="14"/>
                <w:lang w:eastAsia="es-AR"/>
              </w:rPr>
              <w:t>-</w:t>
            </w:r>
          </w:p>
        </w:tc>
        <w:tc>
          <w:tcPr>
            <w:tcW w:w="908" w:type="dxa"/>
            <w:tcBorders>
              <w:top w:val="nil"/>
              <w:left w:val="nil"/>
              <w:bottom w:val="nil"/>
              <w:right w:val="nil"/>
            </w:tcBorders>
            <w:shd w:val="clear" w:color="auto" w:fill="auto"/>
            <w:vAlign w:val="bottom"/>
          </w:tcPr>
          <w:p w14:paraId="2D3B09A5" w14:textId="7823FD0F" w:rsidR="00E376E9" w:rsidRPr="00792359" w:rsidRDefault="00E376E9">
            <w:pPr>
              <w:jc w:val="right"/>
              <w:rPr>
                <w:rFonts w:ascii="Arial" w:hAnsi="Arial" w:cs="Arial"/>
                <w:bCs/>
                <w:sz w:val="14"/>
                <w:szCs w:val="14"/>
                <w:lang w:eastAsia="es-AR"/>
              </w:rPr>
            </w:pPr>
            <w:r w:rsidRPr="00792359">
              <w:rPr>
                <w:rFonts w:ascii="Arial" w:hAnsi="Arial" w:cs="Arial"/>
                <w:bCs/>
                <w:sz w:val="14"/>
                <w:szCs w:val="14"/>
                <w:lang w:eastAsia="es-AR"/>
              </w:rPr>
              <w:t>4.924.540</w:t>
            </w:r>
          </w:p>
        </w:tc>
        <w:tc>
          <w:tcPr>
            <w:tcW w:w="1723" w:type="dxa"/>
            <w:tcBorders>
              <w:top w:val="nil"/>
              <w:left w:val="nil"/>
              <w:bottom w:val="nil"/>
              <w:right w:val="nil"/>
            </w:tcBorders>
            <w:shd w:val="clear" w:color="auto" w:fill="auto"/>
            <w:vAlign w:val="bottom"/>
          </w:tcPr>
          <w:p w14:paraId="4CEDD1BD" w14:textId="5B062C92" w:rsidR="00E376E9" w:rsidRPr="00792359" w:rsidRDefault="00E376E9">
            <w:pPr>
              <w:jc w:val="right"/>
              <w:rPr>
                <w:rFonts w:ascii="Arial" w:hAnsi="Arial" w:cs="Arial"/>
                <w:bCs/>
                <w:sz w:val="14"/>
                <w:szCs w:val="14"/>
                <w:lang w:eastAsia="es-AR"/>
              </w:rPr>
            </w:pPr>
            <w:r w:rsidRPr="00792359">
              <w:rPr>
                <w:rFonts w:ascii="Arial" w:hAnsi="Arial" w:cs="Arial"/>
                <w:bCs/>
                <w:sz w:val="14"/>
                <w:szCs w:val="14"/>
                <w:lang w:eastAsia="es-AR"/>
              </w:rPr>
              <w:t>4.924.540</w:t>
            </w:r>
          </w:p>
        </w:tc>
        <w:tc>
          <w:tcPr>
            <w:tcW w:w="709" w:type="dxa"/>
            <w:tcBorders>
              <w:top w:val="nil"/>
              <w:left w:val="nil"/>
              <w:bottom w:val="nil"/>
              <w:right w:val="nil"/>
            </w:tcBorders>
            <w:shd w:val="clear" w:color="auto" w:fill="auto"/>
            <w:vAlign w:val="bottom"/>
          </w:tcPr>
          <w:p w14:paraId="5A940E7C" w14:textId="5399069A" w:rsidR="00E376E9" w:rsidRPr="00792359" w:rsidRDefault="00E376E9">
            <w:pPr>
              <w:jc w:val="right"/>
              <w:rPr>
                <w:rFonts w:ascii="Arial" w:hAnsi="Arial" w:cs="Arial"/>
                <w:bCs/>
                <w:sz w:val="14"/>
                <w:szCs w:val="14"/>
                <w:lang w:eastAsia="es-AR"/>
              </w:rPr>
            </w:pPr>
            <w:r w:rsidRPr="00792359">
              <w:rPr>
                <w:rFonts w:ascii="Arial" w:hAnsi="Arial" w:cs="Arial"/>
                <w:bCs/>
                <w:sz w:val="14"/>
                <w:szCs w:val="14"/>
                <w:lang w:eastAsia="es-AR"/>
              </w:rPr>
              <w:t>-</w:t>
            </w:r>
          </w:p>
        </w:tc>
        <w:tc>
          <w:tcPr>
            <w:tcW w:w="711" w:type="dxa"/>
            <w:tcBorders>
              <w:top w:val="nil"/>
              <w:left w:val="nil"/>
              <w:bottom w:val="nil"/>
              <w:right w:val="nil"/>
            </w:tcBorders>
            <w:shd w:val="clear" w:color="auto" w:fill="auto"/>
            <w:vAlign w:val="bottom"/>
          </w:tcPr>
          <w:p w14:paraId="7CFC882E" w14:textId="3D612A1A" w:rsidR="00E376E9" w:rsidRPr="00792359" w:rsidRDefault="00E376E9">
            <w:pPr>
              <w:jc w:val="right"/>
              <w:rPr>
                <w:rFonts w:ascii="Arial" w:hAnsi="Arial" w:cs="Arial"/>
                <w:sz w:val="14"/>
                <w:szCs w:val="14"/>
                <w:lang w:eastAsia="es-AR"/>
              </w:rPr>
            </w:pPr>
            <w:r w:rsidRPr="00792359">
              <w:rPr>
                <w:rFonts w:ascii="Arial" w:hAnsi="Arial" w:cs="Arial"/>
                <w:sz w:val="14"/>
                <w:szCs w:val="14"/>
                <w:lang w:eastAsia="es-AR"/>
              </w:rPr>
              <w:t>-</w:t>
            </w:r>
          </w:p>
        </w:tc>
      </w:tr>
      <w:tr w:rsidR="00122C95" w:rsidRPr="00122C95" w14:paraId="31D2C9E3" w14:textId="77777777" w:rsidTr="006E1AF7">
        <w:trPr>
          <w:trHeight w:val="80"/>
        </w:trPr>
        <w:tc>
          <w:tcPr>
            <w:tcW w:w="2451" w:type="dxa"/>
            <w:tcBorders>
              <w:top w:val="nil"/>
              <w:left w:val="nil"/>
              <w:bottom w:val="nil"/>
              <w:right w:val="nil"/>
            </w:tcBorders>
            <w:shd w:val="clear" w:color="auto" w:fill="auto"/>
            <w:hideMark/>
          </w:tcPr>
          <w:p w14:paraId="6EABAD71" w14:textId="77777777" w:rsidR="00122C95" w:rsidRPr="007B2AE2" w:rsidRDefault="00122C95" w:rsidP="00122C95">
            <w:pPr>
              <w:rPr>
                <w:sz w:val="14"/>
                <w:szCs w:val="14"/>
                <w:lang w:eastAsia="es-AR"/>
              </w:rPr>
            </w:pPr>
          </w:p>
        </w:tc>
        <w:tc>
          <w:tcPr>
            <w:tcW w:w="1100" w:type="dxa"/>
            <w:tcBorders>
              <w:top w:val="nil"/>
              <w:left w:val="nil"/>
              <w:bottom w:val="nil"/>
              <w:right w:val="nil"/>
            </w:tcBorders>
            <w:shd w:val="clear" w:color="auto" w:fill="auto"/>
            <w:vAlign w:val="bottom"/>
          </w:tcPr>
          <w:p w14:paraId="4B29B4C5" w14:textId="77777777" w:rsidR="00122C95" w:rsidRPr="00792359" w:rsidRDefault="00122C95">
            <w:pPr>
              <w:jc w:val="right"/>
              <w:rPr>
                <w:rFonts w:ascii="Arial" w:hAnsi="Arial" w:cs="Arial"/>
                <w:bCs/>
                <w:sz w:val="14"/>
                <w:szCs w:val="14"/>
                <w:lang w:eastAsia="es-AR"/>
              </w:rPr>
            </w:pPr>
          </w:p>
        </w:tc>
        <w:tc>
          <w:tcPr>
            <w:tcW w:w="1100" w:type="dxa"/>
            <w:tcBorders>
              <w:top w:val="nil"/>
              <w:left w:val="nil"/>
              <w:bottom w:val="nil"/>
              <w:right w:val="nil"/>
            </w:tcBorders>
            <w:shd w:val="clear" w:color="auto" w:fill="auto"/>
            <w:vAlign w:val="bottom"/>
          </w:tcPr>
          <w:p w14:paraId="1A08D8FD" w14:textId="77777777" w:rsidR="00122C95" w:rsidRPr="00792359" w:rsidRDefault="00122C95">
            <w:pPr>
              <w:jc w:val="right"/>
              <w:rPr>
                <w:rFonts w:ascii="Arial" w:hAnsi="Arial" w:cs="Arial"/>
                <w:bCs/>
                <w:sz w:val="14"/>
                <w:szCs w:val="14"/>
                <w:lang w:eastAsia="es-AR"/>
              </w:rPr>
            </w:pPr>
          </w:p>
        </w:tc>
        <w:tc>
          <w:tcPr>
            <w:tcW w:w="1360" w:type="dxa"/>
            <w:tcBorders>
              <w:top w:val="nil"/>
              <w:left w:val="nil"/>
              <w:bottom w:val="nil"/>
              <w:right w:val="nil"/>
            </w:tcBorders>
            <w:shd w:val="clear" w:color="auto" w:fill="auto"/>
            <w:vAlign w:val="bottom"/>
          </w:tcPr>
          <w:p w14:paraId="60791935" w14:textId="77777777" w:rsidR="00122C95" w:rsidRPr="00792359" w:rsidRDefault="00122C95">
            <w:pPr>
              <w:jc w:val="right"/>
              <w:rPr>
                <w:rFonts w:ascii="Arial" w:hAnsi="Arial" w:cs="Arial"/>
                <w:bCs/>
                <w:sz w:val="14"/>
                <w:szCs w:val="14"/>
                <w:lang w:eastAsia="es-AR"/>
              </w:rPr>
            </w:pPr>
          </w:p>
        </w:tc>
        <w:tc>
          <w:tcPr>
            <w:tcW w:w="908" w:type="dxa"/>
            <w:tcBorders>
              <w:top w:val="nil"/>
              <w:left w:val="nil"/>
              <w:bottom w:val="nil"/>
              <w:right w:val="nil"/>
            </w:tcBorders>
            <w:shd w:val="clear" w:color="auto" w:fill="auto"/>
            <w:vAlign w:val="bottom"/>
          </w:tcPr>
          <w:p w14:paraId="20C8E20B" w14:textId="77777777" w:rsidR="00122C95" w:rsidRPr="00792359" w:rsidRDefault="00122C95">
            <w:pPr>
              <w:jc w:val="right"/>
              <w:rPr>
                <w:rFonts w:ascii="Arial" w:hAnsi="Arial" w:cs="Arial"/>
                <w:bCs/>
                <w:sz w:val="14"/>
                <w:szCs w:val="14"/>
                <w:lang w:eastAsia="es-AR"/>
              </w:rPr>
            </w:pPr>
          </w:p>
        </w:tc>
        <w:tc>
          <w:tcPr>
            <w:tcW w:w="1723" w:type="dxa"/>
            <w:tcBorders>
              <w:top w:val="nil"/>
              <w:left w:val="nil"/>
              <w:bottom w:val="nil"/>
              <w:right w:val="nil"/>
            </w:tcBorders>
            <w:shd w:val="clear" w:color="auto" w:fill="auto"/>
            <w:vAlign w:val="bottom"/>
          </w:tcPr>
          <w:p w14:paraId="55948707" w14:textId="77777777" w:rsidR="00122C95" w:rsidRPr="00792359" w:rsidRDefault="00122C95">
            <w:pPr>
              <w:jc w:val="right"/>
              <w:rPr>
                <w:rFonts w:ascii="Arial" w:hAnsi="Arial" w:cs="Arial"/>
                <w:bCs/>
                <w:sz w:val="14"/>
                <w:szCs w:val="14"/>
                <w:lang w:eastAsia="es-AR"/>
              </w:rPr>
            </w:pPr>
          </w:p>
        </w:tc>
        <w:tc>
          <w:tcPr>
            <w:tcW w:w="709" w:type="dxa"/>
            <w:tcBorders>
              <w:top w:val="nil"/>
              <w:left w:val="nil"/>
              <w:bottom w:val="nil"/>
              <w:right w:val="nil"/>
            </w:tcBorders>
            <w:shd w:val="clear" w:color="auto" w:fill="auto"/>
            <w:vAlign w:val="bottom"/>
          </w:tcPr>
          <w:p w14:paraId="3E0CF8E0" w14:textId="77777777" w:rsidR="00122C95" w:rsidRPr="00792359" w:rsidRDefault="00122C95">
            <w:pPr>
              <w:jc w:val="right"/>
              <w:rPr>
                <w:rFonts w:ascii="Arial" w:hAnsi="Arial" w:cs="Arial"/>
                <w:bCs/>
                <w:sz w:val="14"/>
                <w:szCs w:val="14"/>
                <w:lang w:eastAsia="es-AR"/>
              </w:rPr>
            </w:pPr>
          </w:p>
        </w:tc>
        <w:tc>
          <w:tcPr>
            <w:tcW w:w="711" w:type="dxa"/>
            <w:tcBorders>
              <w:top w:val="nil"/>
              <w:left w:val="nil"/>
              <w:bottom w:val="nil"/>
              <w:right w:val="nil"/>
            </w:tcBorders>
            <w:shd w:val="clear" w:color="auto" w:fill="auto"/>
            <w:vAlign w:val="bottom"/>
          </w:tcPr>
          <w:p w14:paraId="12B48158" w14:textId="77777777" w:rsidR="00122C95" w:rsidRPr="00792359" w:rsidRDefault="00122C95">
            <w:pPr>
              <w:jc w:val="right"/>
              <w:rPr>
                <w:rFonts w:ascii="Arial" w:hAnsi="Arial" w:cs="Arial"/>
                <w:bCs/>
                <w:sz w:val="14"/>
                <w:szCs w:val="14"/>
                <w:lang w:eastAsia="es-AR"/>
              </w:rPr>
            </w:pPr>
          </w:p>
        </w:tc>
      </w:tr>
      <w:tr w:rsidR="00E376E9" w:rsidRPr="00122C95" w14:paraId="41F3608C" w14:textId="77777777" w:rsidTr="006E1AF7">
        <w:trPr>
          <w:trHeight w:val="80"/>
        </w:trPr>
        <w:tc>
          <w:tcPr>
            <w:tcW w:w="2451" w:type="dxa"/>
            <w:tcBorders>
              <w:top w:val="nil"/>
              <w:left w:val="nil"/>
              <w:bottom w:val="nil"/>
              <w:right w:val="nil"/>
            </w:tcBorders>
            <w:shd w:val="clear" w:color="auto" w:fill="auto"/>
            <w:hideMark/>
          </w:tcPr>
          <w:p w14:paraId="7E97D6CA" w14:textId="77777777" w:rsidR="00E376E9" w:rsidRPr="007B2AE2" w:rsidRDefault="00E376E9" w:rsidP="00E376E9">
            <w:pPr>
              <w:rPr>
                <w:rFonts w:ascii="Arial" w:hAnsi="Arial" w:cs="Arial"/>
                <w:b/>
                <w:bCs/>
                <w:sz w:val="14"/>
                <w:szCs w:val="14"/>
                <w:lang w:eastAsia="es-AR"/>
              </w:rPr>
            </w:pPr>
            <w:r w:rsidRPr="007B2AE2">
              <w:rPr>
                <w:rFonts w:ascii="Arial" w:hAnsi="Arial" w:cs="Arial"/>
                <w:b/>
                <w:bCs/>
                <w:sz w:val="14"/>
                <w:szCs w:val="14"/>
                <w:lang w:eastAsia="es-AR"/>
              </w:rPr>
              <w:t>Inversiones en Instrumentos de Patrimonio</w:t>
            </w:r>
          </w:p>
        </w:tc>
        <w:tc>
          <w:tcPr>
            <w:tcW w:w="1100" w:type="dxa"/>
            <w:tcBorders>
              <w:top w:val="nil"/>
              <w:left w:val="nil"/>
              <w:bottom w:val="nil"/>
              <w:right w:val="nil"/>
            </w:tcBorders>
            <w:shd w:val="clear" w:color="auto" w:fill="auto"/>
            <w:vAlign w:val="bottom"/>
          </w:tcPr>
          <w:p w14:paraId="2217EE9B" w14:textId="5D9B418D" w:rsidR="00E376E9" w:rsidRPr="00792359" w:rsidRDefault="00E376E9">
            <w:pPr>
              <w:jc w:val="right"/>
              <w:rPr>
                <w:rFonts w:ascii="Arial" w:hAnsi="Arial" w:cs="Arial"/>
                <w:bCs/>
                <w:sz w:val="14"/>
                <w:szCs w:val="14"/>
                <w:lang w:eastAsia="es-AR"/>
              </w:rPr>
            </w:pPr>
            <w:r w:rsidRPr="00792359">
              <w:rPr>
                <w:rFonts w:ascii="Arial" w:hAnsi="Arial" w:cs="Arial"/>
                <w:bCs/>
                <w:sz w:val="14"/>
                <w:szCs w:val="14"/>
                <w:lang w:eastAsia="es-AR"/>
              </w:rPr>
              <w:t>-</w:t>
            </w:r>
          </w:p>
        </w:tc>
        <w:tc>
          <w:tcPr>
            <w:tcW w:w="1100" w:type="dxa"/>
            <w:tcBorders>
              <w:top w:val="nil"/>
              <w:left w:val="nil"/>
              <w:bottom w:val="nil"/>
              <w:right w:val="nil"/>
            </w:tcBorders>
            <w:shd w:val="clear" w:color="auto" w:fill="auto"/>
            <w:vAlign w:val="bottom"/>
          </w:tcPr>
          <w:p w14:paraId="0B298774" w14:textId="7A4675B0" w:rsidR="00E376E9" w:rsidRPr="00792359" w:rsidRDefault="00E376E9">
            <w:pPr>
              <w:jc w:val="right"/>
              <w:rPr>
                <w:rFonts w:ascii="Arial" w:hAnsi="Arial" w:cs="Arial"/>
                <w:bCs/>
                <w:sz w:val="14"/>
                <w:szCs w:val="14"/>
                <w:lang w:eastAsia="es-AR"/>
              </w:rPr>
            </w:pPr>
            <w:r w:rsidRPr="00792359">
              <w:rPr>
                <w:rFonts w:ascii="Arial" w:hAnsi="Arial" w:cs="Arial"/>
                <w:bCs/>
                <w:sz w:val="14"/>
                <w:szCs w:val="14"/>
                <w:lang w:eastAsia="es-AR"/>
              </w:rPr>
              <w:t>8.783</w:t>
            </w:r>
          </w:p>
        </w:tc>
        <w:tc>
          <w:tcPr>
            <w:tcW w:w="1360" w:type="dxa"/>
            <w:tcBorders>
              <w:top w:val="nil"/>
              <w:left w:val="nil"/>
              <w:bottom w:val="nil"/>
              <w:right w:val="nil"/>
            </w:tcBorders>
            <w:shd w:val="clear" w:color="auto" w:fill="auto"/>
            <w:vAlign w:val="bottom"/>
          </w:tcPr>
          <w:p w14:paraId="533E2A22" w14:textId="22E281ED" w:rsidR="00E376E9" w:rsidRPr="00792359" w:rsidRDefault="00E376E9">
            <w:pPr>
              <w:jc w:val="right"/>
              <w:rPr>
                <w:rFonts w:ascii="Arial" w:hAnsi="Arial" w:cs="Arial"/>
                <w:bCs/>
                <w:sz w:val="14"/>
                <w:szCs w:val="14"/>
                <w:lang w:eastAsia="es-AR"/>
              </w:rPr>
            </w:pPr>
            <w:r w:rsidRPr="00792359">
              <w:rPr>
                <w:rFonts w:ascii="Arial" w:hAnsi="Arial" w:cs="Arial"/>
                <w:bCs/>
                <w:sz w:val="14"/>
                <w:szCs w:val="14"/>
                <w:lang w:eastAsia="es-AR"/>
              </w:rPr>
              <w:t>-</w:t>
            </w:r>
          </w:p>
        </w:tc>
        <w:tc>
          <w:tcPr>
            <w:tcW w:w="908" w:type="dxa"/>
            <w:tcBorders>
              <w:top w:val="nil"/>
              <w:left w:val="nil"/>
              <w:bottom w:val="nil"/>
              <w:right w:val="nil"/>
            </w:tcBorders>
            <w:shd w:val="clear" w:color="auto" w:fill="auto"/>
            <w:vAlign w:val="bottom"/>
          </w:tcPr>
          <w:p w14:paraId="12E32EA6" w14:textId="718319B0" w:rsidR="00E376E9" w:rsidRPr="00792359" w:rsidRDefault="00144880">
            <w:pPr>
              <w:jc w:val="right"/>
              <w:rPr>
                <w:rFonts w:ascii="Arial" w:hAnsi="Arial" w:cs="Arial"/>
                <w:bCs/>
                <w:sz w:val="14"/>
                <w:szCs w:val="14"/>
                <w:lang w:eastAsia="es-AR"/>
              </w:rPr>
            </w:pPr>
            <w:r w:rsidRPr="00792359">
              <w:rPr>
                <w:rFonts w:ascii="Arial" w:hAnsi="Arial" w:cs="Arial"/>
                <w:bCs/>
                <w:sz w:val="14"/>
                <w:szCs w:val="14"/>
                <w:lang w:eastAsia="es-AR"/>
              </w:rPr>
              <w:t>5.796</w:t>
            </w:r>
          </w:p>
        </w:tc>
        <w:tc>
          <w:tcPr>
            <w:tcW w:w="1723" w:type="dxa"/>
            <w:tcBorders>
              <w:top w:val="nil"/>
              <w:left w:val="nil"/>
              <w:bottom w:val="nil"/>
              <w:right w:val="nil"/>
            </w:tcBorders>
            <w:shd w:val="clear" w:color="auto" w:fill="auto"/>
            <w:vAlign w:val="bottom"/>
          </w:tcPr>
          <w:p w14:paraId="3081570B" w14:textId="1A52E088" w:rsidR="00E376E9" w:rsidRPr="00792359" w:rsidRDefault="00144880">
            <w:pPr>
              <w:jc w:val="right"/>
              <w:rPr>
                <w:rFonts w:ascii="Arial" w:hAnsi="Arial" w:cs="Arial"/>
                <w:bCs/>
                <w:sz w:val="14"/>
                <w:szCs w:val="14"/>
                <w:lang w:eastAsia="es-AR"/>
              </w:rPr>
            </w:pPr>
            <w:r w:rsidRPr="00792359">
              <w:rPr>
                <w:rFonts w:ascii="Arial" w:hAnsi="Arial" w:cs="Arial"/>
                <w:bCs/>
                <w:sz w:val="14"/>
                <w:szCs w:val="14"/>
                <w:lang w:eastAsia="es-AR"/>
              </w:rPr>
              <w:t>5.796</w:t>
            </w:r>
          </w:p>
        </w:tc>
        <w:tc>
          <w:tcPr>
            <w:tcW w:w="709" w:type="dxa"/>
            <w:tcBorders>
              <w:top w:val="nil"/>
              <w:left w:val="nil"/>
              <w:bottom w:val="nil"/>
              <w:right w:val="nil"/>
            </w:tcBorders>
            <w:shd w:val="clear" w:color="auto" w:fill="auto"/>
            <w:vAlign w:val="bottom"/>
          </w:tcPr>
          <w:p w14:paraId="6CF5186F" w14:textId="1CDF8B93" w:rsidR="00E376E9" w:rsidRPr="00792359" w:rsidRDefault="00144880">
            <w:pPr>
              <w:jc w:val="right"/>
              <w:rPr>
                <w:rFonts w:ascii="Arial" w:hAnsi="Arial" w:cs="Arial"/>
                <w:bCs/>
                <w:sz w:val="14"/>
                <w:szCs w:val="14"/>
                <w:lang w:eastAsia="es-AR"/>
              </w:rPr>
            </w:pPr>
            <w:r w:rsidRPr="00792359">
              <w:rPr>
                <w:rFonts w:ascii="Arial" w:hAnsi="Arial" w:cs="Arial"/>
                <w:bCs/>
                <w:sz w:val="14"/>
                <w:szCs w:val="14"/>
                <w:lang w:eastAsia="es-AR"/>
              </w:rPr>
              <w:t>8.783</w:t>
            </w:r>
          </w:p>
        </w:tc>
        <w:tc>
          <w:tcPr>
            <w:tcW w:w="711" w:type="dxa"/>
            <w:tcBorders>
              <w:top w:val="nil"/>
              <w:left w:val="nil"/>
              <w:bottom w:val="nil"/>
              <w:right w:val="nil"/>
            </w:tcBorders>
            <w:shd w:val="clear" w:color="auto" w:fill="auto"/>
            <w:vAlign w:val="bottom"/>
          </w:tcPr>
          <w:p w14:paraId="11B7598E" w14:textId="215B0F28" w:rsidR="00E376E9" w:rsidRPr="00792359" w:rsidRDefault="00E376E9">
            <w:pPr>
              <w:jc w:val="right"/>
              <w:rPr>
                <w:rFonts w:ascii="Arial" w:hAnsi="Arial" w:cs="Arial"/>
                <w:bCs/>
                <w:sz w:val="14"/>
                <w:szCs w:val="14"/>
                <w:lang w:eastAsia="es-AR"/>
              </w:rPr>
            </w:pPr>
            <w:r w:rsidRPr="00792359">
              <w:rPr>
                <w:rFonts w:ascii="Arial" w:hAnsi="Arial" w:cs="Arial"/>
                <w:bCs/>
                <w:sz w:val="14"/>
                <w:szCs w:val="14"/>
                <w:lang w:eastAsia="es-AR"/>
              </w:rPr>
              <w:t>-</w:t>
            </w:r>
          </w:p>
        </w:tc>
      </w:tr>
      <w:tr w:rsidR="00122C95" w:rsidRPr="00122C95" w14:paraId="3709A528" w14:textId="77777777" w:rsidTr="006E1AF7">
        <w:trPr>
          <w:trHeight w:val="80"/>
        </w:trPr>
        <w:tc>
          <w:tcPr>
            <w:tcW w:w="2451" w:type="dxa"/>
            <w:tcBorders>
              <w:top w:val="nil"/>
              <w:left w:val="nil"/>
              <w:bottom w:val="nil"/>
              <w:right w:val="nil"/>
            </w:tcBorders>
            <w:shd w:val="clear" w:color="auto" w:fill="auto"/>
            <w:hideMark/>
          </w:tcPr>
          <w:p w14:paraId="30CBAB09" w14:textId="77777777" w:rsidR="00122C95" w:rsidRPr="007B2AE2" w:rsidRDefault="00122C95" w:rsidP="00122C95">
            <w:pPr>
              <w:rPr>
                <w:sz w:val="14"/>
                <w:szCs w:val="14"/>
                <w:lang w:eastAsia="es-AR"/>
              </w:rPr>
            </w:pPr>
          </w:p>
        </w:tc>
        <w:tc>
          <w:tcPr>
            <w:tcW w:w="1100" w:type="dxa"/>
            <w:tcBorders>
              <w:top w:val="nil"/>
              <w:left w:val="nil"/>
              <w:bottom w:val="nil"/>
              <w:right w:val="nil"/>
            </w:tcBorders>
            <w:shd w:val="clear" w:color="auto" w:fill="auto"/>
            <w:vAlign w:val="bottom"/>
          </w:tcPr>
          <w:p w14:paraId="106D3963" w14:textId="77777777" w:rsidR="00122C95" w:rsidRPr="00792359" w:rsidRDefault="00122C95">
            <w:pPr>
              <w:jc w:val="right"/>
              <w:rPr>
                <w:rFonts w:ascii="Arial" w:hAnsi="Arial" w:cs="Arial"/>
                <w:sz w:val="14"/>
                <w:szCs w:val="14"/>
                <w:lang w:eastAsia="es-AR"/>
              </w:rPr>
            </w:pPr>
          </w:p>
        </w:tc>
        <w:tc>
          <w:tcPr>
            <w:tcW w:w="1100" w:type="dxa"/>
            <w:tcBorders>
              <w:top w:val="nil"/>
              <w:left w:val="nil"/>
              <w:bottom w:val="nil"/>
              <w:right w:val="nil"/>
            </w:tcBorders>
            <w:shd w:val="clear" w:color="auto" w:fill="auto"/>
            <w:vAlign w:val="bottom"/>
          </w:tcPr>
          <w:p w14:paraId="493F3885" w14:textId="77777777" w:rsidR="00122C95" w:rsidRPr="00792359" w:rsidRDefault="00122C95">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196830F1" w14:textId="77777777" w:rsidR="00122C95" w:rsidRPr="00792359" w:rsidRDefault="00122C95">
            <w:pPr>
              <w:jc w:val="right"/>
              <w:rPr>
                <w:rFonts w:ascii="Arial" w:hAnsi="Arial" w:cs="Arial"/>
                <w:sz w:val="14"/>
                <w:szCs w:val="14"/>
                <w:lang w:eastAsia="es-AR"/>
              </w:rPr>
            </w:pPr>
          </w:p>
        </w:tc>
        <w:tc>
          <w:tcPr>
            <w:tcW w:w="908" w:type="dxa"/>
            <w:tcBorders>
              <w:top w:val="nil"/>
              <w:left w:val="nil"/>
              <w:bottom w:val="nil"/>
              <w:right w:val="nil"/>
            </w:tcBorders>
            <w:shd w:val="clear" w:color="auto" w:fill="auto"/>
            <w:vAlign w:val="bottom"/>
          </w:tcPr>
          <w:p w14:paraId="4D2A533C" w14:textId="77777777" w:rsidR="00122C95" w:rsidRPr="00792359" w:rsidRDefault="00122C95">
            <w:pPr>
              <w:jc w:val="right"/>
              <w:rPr>
                <w:rFonts w:ascii="Arial" w:hAnsi="Arial" w:cs="Arial"/>
                <w:sz w:val="14"/>
                <w:szCs w:val="14"/>
                <w:lang w:eastAsia="es-AR"/>
              </w:rPr>
            </w:pPr>
          </w:p>
        </w:tc>
        <w:tc>
          <w:tcPr>
            <w:tcW w:w="1723" w:type="dxa"/>
            <w:tcBorders>
              <w:top w:val="nil"/>
              <w:left w:val="nil"/>
              <w:bottom w:val="nil"/>
              <w:right w:val="nil"/>
            </w:tcBorders>
            <w:shd w:val="clear" w:color="auto" w:fill="auto"/>
            <w:vAlign w:val="bottom"/>
          </w:tcPr>
          <w:p w14:paraId="6BC7FBC9" w14:textId="77777777" w:rsidR="00122C95" w:rsidRPr="00792359" w:rsidRDefault="00122C95">
            <w:pPr>
              <w:jc w:val="right"/>
              <w:rPr>
                <w:rFonts w:ascii="Arial" w:hAnsi="Arial" w:cs="Arial"/>
                <w:sz w:val="14"/>
                <w:szCs w:val="14"/>
                <w:lang w:eastAsia="es-AR"/>
              </w:rPr>
            </w:pPr>
          </w:p>
        </w:tc>
        <w:tc>
          <w:tcPr>
            <w:tcW w:w="709" w:type="dxa"/>
            <w:tcBorders>
              <w:top w:val="nil"/>
              <w:left w:val="nil"/>
              <w:bottom w:val="nil"/>
              <w:right w:val="nil"/>
            </w:tcBorders>
            <w:shd w:val="clear" w:color="auto" w:fill="auto"/>
            <w:vAlign w:val="bottom"/>
          </w:tcPr>
          <w:p w14:paraId="721349CC" w14:textId="77777777" w:rsidR="00122C95" w:rsidRPr="00792359" w:rsidRDefault="00122C95">
            <w:pPr>
              <w:jc w:val="right"/>
              <w:rPr>
                <w:rFonts w:ascii="Arial" w:hAnsi="Arial" w:cs="Arial"/>
                <w:sz w:val="14"/>
                <w:szCs w:val="14"/>
                <w:lang w:eastAsia="es-AR"/>
              </w:rPr>
            </w:pPr>
          </w:p>
        </w:tc>
        <w:tc>
          <w:tcPr>
            <w:tcW w:w="711" w:type="dxa"/>
            <w:tcBorders>
              <w:top w:val="nil"/>
              <w:left w:val="nil"/>
              <w:bottom w:val="nil"/>
              <w:right w:val="nil"/>
            </w:tcBorders>
            <w:shd w:val="clear" w:color="auto" w:fill="auto"/>
            <w:vAlign w:val="bottom"/>
          </w:tcPr>
          <w:p w14:paraId="69031A02" w14:textId="77777777" w:rsidR="00122C95" w:rsidRPr="00792359" w:rsidRDefault="00122C95">
            <w:pPr>
              <w:jc w:val="right"/>
              <w:rPr>
                <w:rFonts w:ascii="Arial" w:hAnsi="Arial" w:cs="Arial"/>
                <w:sz w:val="14"/>
                <w:szCs w:val="14"/>
                <w:lang w:eastAsia="es-AR"/>
              </w:rPr>
            </w:pPr>
          </w:p>
        </w:tc>
      </w:tr>
      <w:tr w:rsidR="00792359" w:rsidRPr="00122C95" w14:paraId="0C9D1B59" w14:textId="77777777" w:rsidTr="006E1AF7">
        <w:trPr>
          <w:trHeight w:val="255"/>
        </w:trPr>
        <w:tc>
          <w:tcPr>
            <w:tcW w:w="2451" w:type="dxa"/>
            <w:tcBorders>
              <w:top w:val="nil"/>
              <w:left w:val="nil"/>
              <w:bottom w:val="nil"/>
              <w:right w:val="nil"/>
            </w:tcBorders>
            <w:shd w:val="clear" w:color="auto" w:fill="auto"/>
            <w:hideMark/>
          </w:tcPr>
          <w:p w14:paraId="0811AEA0" w14:textId="77777777" w:rsidR="00792359" w:rsidRPr="007B2AE2" w:rsidRDefault="00792359" w:rsidP="00792359">
            <w:pPr>
              <w:rPr>
                <w:rFonts w:ascii="Arial" w:hAnsi="Arial" w:cs="Arial"/>
                <w:b/>
                <w:bCs/>
                <w:sz w:val="14"/>
                <w:szCs w:val="14"/>
                <w:lang w:eastAsia="es-AR"/>
              </w:rPr>
            </w:pPr>
            <w:r w:rsidRPr="007B2AE2">
              <w:rPr>
                <w:rFonts w:ascii="Arial" w:hAnsi="Arial" w:cs="Arial"/>
                <w:b/>
                <w:bCs/>
                <w:sz w:val="14"/>
                <w:szCs w:val="14"/>
                <w:lang w:eastAsia="es-AR"/>
              </w:rPr>
              <w:t>TOTAL ACTIVOS FINANCIEROS</w:t>
            </w:r>
          </w:p>
        </w:tc>
        <w:tc>
          <w:tcPr>
            <w:tcW w:w="1100" w:type="dxa"/>
            <w:tcBorders>
              <w:top w:val="single" w:sz="4" w:space="0" w:color="auto"/>
              <w:left w:val="nil"/>
              <w:bottom w:val="single" w:sz="4" w:space="0" w:color="auto"/>
              <w:right w:val="nil"/>
            </w:tcBorders>
            <w:shd w:val="clear" w:color="auto" w:fill="auto"/>
            <w:vAlign w:val="bottom"/>
          </w:tcPr>
          <w:p w14:paraId="2964E15B" w14:textId="33CF25D3" w:rsidR="00792359" w:rsidRPr="00792359" w:rsidRDefault="00792359">
            <w:pPr>
              <w:jc w:val="right"/>
              <w:rPr>
                <w:rFonts w:ascii="Arial" w:hAnsi="Arial" w:cs="Arial"/>
                <w:b/>
                <w:bCs/>
                <w:sz w:val="14"/>
                <w:szCs w:val="14"/>
                <w:lang w:eastAsia="es-AR"/>
              </w:rPr>
            </w:pPr>
            <w:r w:rsidRPr="006E1AF7">
              <w:rPr>
                <w:rFonts w:ascii="Arial" w:hAnsi="Arial" w:cs="Arial"/>
                <w:b/>
                <w:bCs/>
                <w:color w:val="000000"/>
                <w:sz w:val="14"/>
                <w:szCs w:val="14"/>
              </w:rPr>
              <w:t xml:space="preserve">118.446.271 </w:t>
            </w:r>
          </w:p>
        </w:tc>
        <w:tc>
          <w:tcPr>
            <w:tcW w:w="1100" w:type="dxa"/>
            <w:tcBorders>
              <w:top w:val="single" w:sz="4" w:space="0" w:color="auto"/>
              <w:left w:val="nil"/>
              <w:bottom w:val="single" w:sz="4" w:space="0" w:color="auto"/>
              <w:right w:val="nil"/>
            </w:tcBorders>
            <w:shd w:val="clear" w:color="auto" w:fill="auto"/>
            <w:vAlign w:val="bottom"/>
          </w:tcPr>
          <w:p w14:paraId="1E262080" w14:textId="2CEAEB97" w:rsidR="00792359" w:rsidRPr="00792359" w:rsidRDefault="00792359">
            <w:pPr>
              <w:jc w:val="right"/>
              <w:rPr>
                <w:rFonts w:ascii="Arial" w:hAnsi="Arial" w:cs="Arial"/>
                <w:b/>
                <w:bCs/>
                <w:sz w:val="14"/>
                <w:szCs w:val="14"/>
                <w:lang w:eastAsia="es-AR"/>
              </w:rPr>
            </w:pPr>
            <w:r w:rsidRPr="006E1AF7">
              <w:rPr>
                <w:rFonts w:ascii="Arial" w:hAnsi="Arial" w:cs="Arial"/>
                <w:b/>
                <w:bCs/>
                <w:color w:val="000000"/>
                <w:sz w:val="14"/>
                <w:szCs w:val="14"/>
              </w:rPr>
              <w:t xml:space="preserve">7.179.954 </w:t>
            </w:r>
          </w:p>
        </w:tc>
        <w:tc>
          <w:tcPr>
            <w:tcW w:w="1360" w:type="dxa"/>
            <w:tcBorders>
              <w:top w:val="single" w:sz="4" w:space="0" w:color="auto"/>
              <w:left w:val="nil"/>
              <w:bottom w:val="single" w:sz="4" w:space="0" w:color="auto"/>
              <w:right w:val="nil"/>
            </w:tcBorders>
            <w:shd w:val="clear" w:color="auto" w:fill="auto"/>
            <w:vAlign w:val="bottom"/>
          </w:tcPr>
          <w:p w14:paraId="37B98A12" w14:textId="4B5CD4D3" w:rsidR="00792359" w:rsidRPr="00792359" w:rsidRDefault="00792359">
            <w:pPr>
              <w:jc w:val="right"/>
              <w:rPr>
                <w:rFonts w:ascii="Arial" w:hAnsi="Arial" w:cs="Arial"/>
                <w:b/>
                <w:bCs/>
                <w:sz w:val="14"/>
                <w:szCs w:val="14"/>
                <w:lang w:eastAsia="es-AR"/>
              </w:rPr>
            </w:pPr>
            <w:r w:rsidRPr="006E1AF7">
              <w:rPr>
                <w:rFonts w:ascii="Arial" w:hAnsi="Arial" w:cs="Arial"/>
                <w:b/>
                <w:bCs/>
                <w:color w:val="000000"/>
                <w:sz w:val="14"/>
                <w:szCs w:val="14"/>
              </w:rPr>
              <w:t xml:space="preserve">-   </w:t>
            </w:r>
          </w:p>
        </w:tc>
        <w:tc>
          <w:tcPr>
            <w:tcW w:w="908" w:type="dxa"/>
            <w:tcBorders>
              <w:top w:val="single" w:sz="4" w:space="0" w:color="auto"/>
              <w:left w:val="nil"/>
              <w:bottom w:val="single" w:sz="4" w:space="0" w:color="auto"/>
              <w:right w:val="nil"/>
            </w:tcBorders>
            <w:shd w:val="clear" w:color="auto" w:fill="auto"/>
            <w:vAlign w:val="bottom"/>
          </w:tcPr>
          <w:p w14:paraId="63F29786" w14:textId="435D7BBE" w:rsidR="00792359" w:rsidRPr="00792359" w:rsidRDefault="00792359">
            <w:pPr>
              <w:jc w:val="right"/>
              <w:rPr>
                <w:rFonts w:ascii="Arial" w:hAnsi="Arial" w:cs="Arial"/>
                <w:b/>
                <w:bCs/>
                <w:sz w:val="14"/>
                <w:szCs w:val="14"/>
                <w:lang w:eastAsia="es-AR"/>
              </w:rPr>
            </w:pPr>
            <w:r w:rsidRPr="006E1AF7">
              <w:rPr>
                <w:rFonts w:ascii="Arial" w:hAnsi="Arial" w:cs="Arial"/>
                <w:b/>
                <w:bCs/>
                <w:color w:val="000000"/>
                <w:sz w:val="14"/>
                <w:szCs w:val="14"/>
              </w:rPr>
              <w:t xml:space="preserve">5.790.573 </w:t>
            </w:r>
          </w:p>
        </w:tc>
        <w:tc>
          <w:tcPr>
            <w:tcW w:w="1723" w:type="dxa"/>
            <w:tcBorders>
              <w:top w:val="single" w:sz="4" w:space="0" w:color="auto"/>
              <w:left w:val="nil"/>
              <w:bottom w:val="single" w:sz="4" w:space="0" w:color="auto"/>
              <w:right w:val="nil"/>
            </w:tcBorders>
            <w:shd w:val="clear" w:color="auto" w:fill="auto"/>
            <w:vAlign w:val="bottom"/>
          </w:tcPr>
          <w:p w14:paraId="6CABD85A" w14:textId="1321F81D" w:rsidR="00792359" w:rsidRPr="00792359" w:rsidRDefault="001359FE">
            <w:pPr>
              <w:jc w:val="right"/>
              <w:rPr>
                <w:rFonts w:ascii="Arial" w:hAnsi="Arial" w:cs="Arial"/>
                <w:b/>
                <w:bCs/>
                <w:sz w:val="14"/>
                <w:szCs w:val="14"/>
                <w:lang w:eastAsia="es-AR"/>
              </w:rPr>
            </w:pPr>
            <w:r w:rsidRPr="001359FE">
              <w:rPr>
                <w:rFonts w:ascii="Arial" w:hAnsi="Arial" w:cs="Arial"/>
                <w:b/>
                <w:bCs/>
                <w:color w:val="000000"/>
                <w:sz w:val="14"/>
                <w:szCs w:val="14"/>
              </w:rPr>
              <w:t>12.958.07</w:t>
            </w:r>
            <w:r w:rsidR="000966C6">
              <w:rPr>
                <w:rFonts w:ascii="Arial" w:hAnsi="Arial" w:cs="Arial"/>
                <w:b/>
                <w:bCs/>
                <w:color w:val="000000"/>
                <w:sz w:val="14"/>
                <w:szCs w:val="14"/>
              </w:rPr>
              <w:t>3</w:t>
            </w:r>
            <w:r w:rsidRPr="001359FE">
              <w:rPr>
                <w:rFonts w:ascii="Arial" w:hAnsi="Arial" w:cs="Arial"/>
                <w:b/>
                <w:bCs/>
                <w:color w:val="000000"/>
                <w:sz w:val="14"/>
                <w:szCs w:val="14"/>
              </w:rPr>
              <w:t xml:space="preserve"> </w:t>
            </w:r>
            <w:r w:rsidR="004378F9" w:rsidRPr="004378F9">
              <w:rPr>
                <w:rFonts w:ascii="Arial" w:hAnsi="Arial" w:cs="Arial"/>
                <w:b/>
                <w:bCs/>
                <w:color w:val="000000"/>
                <w:sz w:val="14"/>
                <w:szCs w:val="14"/>
              </w:rPr>
              <w:t xml:space="preserve"> </w:t>
            </w:r>
          </w:p>
        </w:tc>
        <w:tc>
          <w:tcPr>
            <w:tcW w:w="709" w:type="dxa"/>
            <w:tcBorders>
              <w:top w:val="single" w:sz="4" w:space="0" w:color="auto"/>
              <w:left w:val="nil"/>
              <w:bottom w:val="single" w:sz="4" w:space="0" w:color="auto"/>
              <w:right w:val="nil"/>
            </w:tcBorders>
            <w:shd w:val="clear" w:color="auto" w:fill="auto"/>
            <w:vAlign w:val="bottom"/>
          </w:tcPr>
          <w:p w14:paraId="1797EB62" w14:textId="7F0D5F34" w:rsidR="00792359" w:rsidRPr="00792359" w:rsidRDefault="007953AC">
            <w:pPr>
              <w:jc w:val="right"/>
              <w:rPr>
                <w:rFonts w:ascii="Arial" w:hAnsi="Arial" w:cs="Arial"/>
                <w:b/>
                <w:bCs/>
                <w:sz w:val="14"/>
                <w:szCs w:val="14"/>
                <w:lang w:eastAsia="es-AR"/>
              </w:rPr>
            </w:pPr>
            <w:r>
              <w:rPr>
                <w:rFonts w:ascii="Arial" w:hAnsi="Arial" w:cs="Arial"/>
                <w:b/>
                <w:bCs/>
                <w:color w:val="000000"/>
                <w:sz w:val="14"/>
                <w:szCs w:val="14"/>
              </w:rPr>
              <w:t>8.783</w:t>
            </w:r>
            <w:r w:rsidR="004378F9" w:rsidRPr="004378F9">
              <w:rPr>
                <w:rFonts w:ascii="Arial" w:hAnsi="Arial" w:cs="Arial"/>
                <w:b/>
                <w:bCs/>
                <w:color w:val="000000"/>
                <w:sz w:val="14"/>
                <w:szCs w:val="14"/>
              </w:rPr>
              <w:t xml:space="preserve"> </w:t>
            </w:r>
          </w:p>
        </w:tc>
        <w:tc>
          <w:tcPr>
            <w:tcW w:w="711" w:type="dxa"/>
            <w:tcBorders>
              <w:top w:val="single" w:sz="4" w:space="0" w:color="auto"/>
              <w:left w:val="nil"/>
              <w:bottom w:val="single" w:sz="4" w:space="0" w:color="auto"/>
              <w:right w:val="nil"/>
            </w:tcBorders>
            <w:shd w:val="clear" w:color="auto" w:fill="auto"/>
            <w:vAlign w:val="bottom"/>
          </w:tcPr>
          <w:p w14:paraId="3A2DDDA7" w14:textId="6F1A9178" w:rsidR="00792359" w:rsidRPr="00792359" w:rsidRDefault="007953AC">
            <w:pPr>
              <w:jc w:val="right"/>
              <w:rPr>
                <w:rFonts w:ascii="Arial" w:hAnsi="Arial" w:cs="Arial"/>
                <w:b/>
                <w:bCs/>
                <w:sz w:val="14"/>
                <w:szCs w:val="14"/>
                <w:lang w:eastAsia="es-AR"/>
              </w:rPr>
            </w:pPr>
            <w:r>
              <w:rPr>
                <w:rFonts w:ascii="Arial" w:hAnsi="Arial" w:cs="Arial"/>
                <w:b/>
                <w:bCs/>
                <w:color w:val="000000"/>
                <w:sz w:val="14"/>
                <w:szCs w:val="14"/>
              </w:rPr>
              <w:t>3</w:t>
            </w:r>
            <w:r w:rsidR="000966C6">
              <w:rPr>
                <w:rFonts w:ascii="Arial" w:hAnsi="Arial" w:cs="Arial"/>
                <w:b/>
                <w:bCs/>
                <w:color w:val="000000"/>
                <w:sz w:val="14"/>
                <w:szCs w:val="14"/>
              </w:rPr>
              <w:t>.</w:t>
            </w:r>
            <w:r>
              <w:rPr>
                <w:rFonts w:ascii="Arial" w:hAnsi="Arial" w:cs="Arial"/>
                <w:b/>
                <w:bCs/>
                <w:color w:val="000000"/>
                <w:sz w:val="14"/>
                <w:szCs w:val="14"/>
              </w:rPr>
              <w:t>67</w:t>
            </w:r>
            <w:r w:rsidR="000966C6">
              <w:rPr>
                <w:rFonts w:ascii="Arial" w:hAnsi="Arial" w:cs="Arial"/>
                <w:b/>
                <w:bCs/>
                <w:color w:val="000000"/>
                <w:sz w:val="14"/>
                <w:szCs w:val="14"/>
              </w:rPr>
              <w:t>1</w:t>
            </w:r>
            <w:r w:rsidR="00792359" w:rsidRPr="006E1AF7">
              <w:rPr>
                <w:rFonts w:ascii="Arial" w:hAnsi="Arial" w:cs="Arial"/>
                <w:b/>
                <w:bCs/>
                <w:color w:val="000000"/>
                <w:sz w:val="14"/>
                <w:szCs w:val="14"/>
              </w:rPr>
              <w:t xml:space="preserve">   </w:t>
            </w:r>
          </w:p>
        </w:tc>
      </w:tr>
    </w:tbl>
    <w:p w14:paraId="29A6C277" w14:textId="109FBDF2" w:rsidR="00122C95" w:rsidRDefault="00122C95">
      <w:pPr>
        <w:rPr>
          <w:sz w:val="20"/>
          <w:lang w:eastAsia="es-AR"/>
        </w:rPr>
      </w:pPr>
      <w:r>
        <w:rPr>
          <w:sz w:val="20"/>
          <w:lang w:eastAsia="es-AR"/>
        </w:rPr>
        <w:br w:type="page"/>
      </w:r>
    </w:p>
    <w:tbl>
      <w:tblPr>
        <w:tblW w:w="10242" w:type="dxa"/>
        <w:tblInd w:w="75" w:type="dxa"/>
        <w:tblCellMar>
          <w:left w:w="70" w:type="dxa"/>
          <w:right w:w="70" w:type="dxa"/>
        </w:tblCellMar>
        <w:tblLook w:val="04A0" w:firstRow="1" w:lastRow="0" w:firstColumn="1" w:lastColumn="0" w:noHBand="0" w:noVBand="1"/>
      </w:tblPr>
      <w:tblGrid>
        <w:gridCol w:w="3412"/>
        <w:gridCol w:w="1220"/>
        <w:gridCol w:w="851"/>
        <w:gridCol w:w="1360"/>
        <w:gridCol w:w="920"/>
        <w:gridCol w:w="920"/>
        <w:gridCol w:w="708"/>
        <w:gridCol w:w="851"/>
      </w:tblGrid>
      <w:tr w:rsidR="00122C95" w:rsidRPr="00122C95" w14:paraId="6743F717" w14:textId="77777777" w:rsidTr="007B2AE2">
        <w:trPr>
          <w:trHeight w:val="177"/>
        </w:trPr>
        <w:tc>
          <w:tcPr>
            <w:tcW w:w="3412"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443DBBB"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Conceptos</w:t>
            </w:r>
          </w:p>
        </w:tc>
        <w:tc>
          <w:tcPr>
            <w:tcW w:w="122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3A515436" w14:textId="3540B471"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Costo Amort</w:t>
            </w:r>
            <w:r>
              <w:rPr>
                <w:rFonts w:ascii="Arial" w:hAnsi="Arial" w:cs="Arial"/>
                <w:b/>
                <w:bCs/>
                <w:sz w:val="14"/>
                <w:szCs w:val="14"/>
                <w:lang w:eastAsia="es-AR"/>
              </w:rPr>
              <w:t>I</w:t>
            </w:r>
            <w:r w:rsidRPr="00122C95">
              <w:rPr>
                <w:rFonts w:ascii="Arial" w:hAnsi="Arial" w:cs="Arial"/>
                <w:b/>
                <w:bCs/>
                <w:sz w:val="14"/>
                <w:szCs w:val="14"/>
                <w:lang w:eastAsia="es-AR"/>
              </w:rPr>
              <w:t>zado</w:t>
            </w:r>
          </w:p>
        </w:tc>
        <w:tc>
          <w:tcPr>
            <w:tcW w:w="851"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5D187172"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VR con cambios en ORI</w:t>
            </w:r>
          </w:p>
        </w:tc>
        <w:tc>
          <w:tcPr>
            <w:tcW w:w="2280"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hideMark/>
          </w:tcPr>
          <w:p w14:paraId="0DC51210"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VR con cambios en resultados</w:t>
            </w:r>
          </w:p>
        </w:tc>
        <w:tc>
          <w:tcPr>
            <w:tcW w:w="2479" w:type="dxa"/>
            <w:gridSpan w:val="3"/>
            <w:tcBorders>
              <w:top w:val="single" w:sz="4" w:space="0" w:color="363639"/>
              <w:left w:val="single" w:sz="4" w:space="0" w:color="363639"/>
              <w:bottom w:val="nil"/>
              <w:right w:val="single" w:sz="4" w:space="0" w:color="363639"/>
            </w:tcBorders>
            <w:shd w:val="clear" w:color="auto" w:fill="BFBFBF" w:themeFill="background1" w:themeFillShade="BF"/>
            <w:vAlign w:val="bottom"/>
            <w:hideMark/>
          </w:tcPr>
          <w:p w14:paraId="5C5295A6"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Jerarquía de valor razonable</w:t>
            </w:r>
          </w:p>
        </w:tc>
      </w:tr>
      <w:tr w:rsidR="00122C95" w:rsidRPr="00122C95" w14:paraId="26F63B12" w14:textId="77777777" w:rsidTr="007B2AE2">
        <w:trPr>
          <w:trHeight w:val="405"/>
        </w:trPr>
        <w:tc>
          <w:tcPr>
            <w:tcW w:w="3412"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356B1BE0" w14:textId="77777777" w:rsidR="00122C95" w:rsidRPr="00122C95" w:rsidRDefault="00122C95" w:rsidP="00122C95">
            <w:pPr>
              <w:rPr>
                <w:rFonts w:ascii="Arial" w:hAnsi="Arial" w:cs="Arial"/>
                <w:b/>
                <w:bCs/>
                <w:sz w:val="14"/>
                <w:szCs w:val="14"/>
                <w:lang w:eastAsia="es-AR"/>
              </w:rPr>
            </w:pPr>
          </w:p>
        </w:tc>
        <w:tc>
          <w:tcPr>
            <w:tcW w:w="122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69193724" w14:textId="77777777" w:rsidR="00122C95" w:rsidRPr="00122C95" w:rsidRDefault="00122C95" w:rsidP="00122C95">
            <w:pPr>
              <w:rPr>
                <w:rFonts w:ascii="Arial" w:hAnsi="Arial" w:cs="Arial"/>
                <w:b/>
                <w:bCs/>
                <w:sz w:val="14"/>
                <w:szCs w:val="14"/>
                <w:lang w:eastAsia="es-AR"/>
              </w:rPr>
            </w:pPr>
          </w:p>
        </w:tc>
        <w:tc>
          <w:tcPr>
            <w:tcW w:w="851"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76546F5" w14:textId="77777777" w:rsidR="00122C95" w:rsidRPr="00122C95" w:rsidRDefault="00122C95" w:rsidP="00122C95">
            <w:pPr>
              <w:rPr>
                <w:rFonts w:ascii="Arial" w:hAnsi="Arial" w:cs="Arial"/>
                <w:b/>
                <w:bCs/>
                <w:sz w:val="14"/>
                <w:szCs w:val="14"/>
                <w:lang w:eastAsia="es-AR"/>
              </w:rPr>
            </w:pPr>
          </w:p>
        </w:tc>
        <w:tc>
          <w:tcPr>
            <w:tcW w:w="1360" w:type="dxa"/>
            <w:vMerge w:val="restart"/>
            <w:tcBorders>
              <w:top w:val="nil"/>
              <w:left w:val="single" w:sz="4" w:space="0" w:color="363639"/>
              <w:bottom w:val="single" w:sz="4" w:space="0" w:color="363639"/>
              <w:right w:val="single" w:sz="4" w:space="0" w:color="363639"/>
            </w:tcBorders>
            <w:shd w:val="clear" w:color="auto" w:fill="BFBFBF" w:themeFill="background1" w:themeFillShade="BF"/>
            <w:hideMark/>
          </w:tcPr>
          <w:p w14:paraId="535FE78A"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Designados inicialmente o de acuerdo con el 6.7.1. de la NIIF 9</w:t>
            </w:r>
          </w:p>
        </w:tc>
        <w:tc>
          <w:tcPr>
            <w:tcW w:w="920"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21427E5D"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Medición obligatoria</w:t>
            </w:r>
          </w:p>
        </w:tc>
        <w:tc>
          <w:tcPr>
            <w:tcW w:w="920" w:type="dxa"/>
            <w:tcBorders>
              <w:top w:val="nil"/>
              <w:left w:val="nil"/>
              <w:bottom w:val="single" w:sz="4" w:space="0" w:color="363639"/>
              <w:right w:val="nil"/>
            </w:tcBorders>
            <w:shd w:val="clear" w:color="auto" w:fill="BFBFBF" w:themeFill="background1" w:themeFillShade="BF"/>
            <w:vAlign w:val="center"/>
            <w:hideMark/>
          </w:tcPr>
          <w:p w14:paraId="0EF6787A" w14:textId="77777777" w:rsidR="00122C95" w:rsidRPr="00122C95" w:rsidRDefault="00122C95" w:rsidP="00122C95">
            <w:pPr>
              <w:rPr>
                <w:rFonts w:ascii="Arial" w:hAnsi="Arial" w:cs="Arial"/>
                <w:b/>
                <w:bCs/>
                <w:sz w:val="14"/>
                <w:szCs w:val="14"/>
                <w:lang w:eastAsia="es-AR"/>
              </w:rPr>
            </w:pPr>
            <w:r w:rsidRPr="00122C95">
              <w:rPr>
                <w:rFonts w:ascii="Arial" w:hAnsi="Arial" w:cs="Arial"/>
                <w:b/>
                <w:bCs/>
                <w:sz w:val="14"/>
                <w:szCs w:val="14"/>
                <w:lang w:eastAsia="es-AR"/>
              </w:rPr>
              <w:t> </w:t>
            </w:r>
          </w:p>
        </w:tc>
        <w:tc>
          <w:tcPr>
            <w:tcW w:w="708" w:type="dxa"/>
            <w:tcBorders>
              <w:top w:val="nil"/>
              <w:left w:val="nil"/>
              <w:bottom w:val="single" w:sz="4" w:space="0" w:color="363639"/>
              <w:right w:val="nil"/>
            </w:tcBorders>
            <w:shd w:val="clear" w:color="auto" w:fill="BFBFBF" w:themeFill="background1" w:themeFillShade="BF"/>
            <w:vAlign w:val="center"/>
            <w:hideMark/>
          </w:tcPr>
          <w:p w14:paraId="207886C3" w14:textId="77777777" w:rsidR="00122C95" w:rsidRPr="00122C95" w:rsidRDefault="00122C95" w:rsidP="00122C95">
            <w:pPr>
              <w:rPr>
                <w:rFonts w:ascii="Arial" w:hAnsi="Arial" w:cs="Arial"/>
                <w:b/>
                <w:bCs/>
                <w:sz w:val="14"/>
                <w:szCs w:val="14"/>
                <w:lang w:eastAsia="es-AR"/>
              </w:rPr>
            </w:pPr>
            <w:r w:rsidRPr="00122C95">
              <w:rPr>
                <w:rFonts w:ascii="Arial" w:hAnsi="Arial" w:cs="Arial"/>
                <w:b/>
                <w:bCs/>
                <w:sz w:val="14"/>
                <w:szCs w:val="14"/>
                <w:lang w:eastAsia="es-AR"/>
              </w:rPr>
              <w:t> </w:t>
            </w:r>
          </w:p>
        </w:tc>
        <w:tc>
          <w:tcPr>
            <w:tcW w:w="851" w:type="dxa"/>
            <w:tcBorders>
              <w:top w:val="nil"/>
              <w:left w:val="nil"/>
              <w:bottom w:val="single" w:sz="4" w:space="0" w:color="363639"/>
              <w:right w:val="single" w:sz="4" w:space="0" w:color="363639"/>
            </w:tcBorders>
            <w:shd w:val="clear" w:color="auto" w:fill="BFBFBF" w:themeFill="background1" w:themeFillShade="BF"/>
            <w:vAlign w:val="center"/>
            <w:hideMark/>
          </w:tcPr>
          <w:p w14:paraId="4AD6A149" w14:textId="77777777" w:rsidR="00122C95" w:rsidRPr="00122C95" w:rsidRDefault="00122C95" w:rsidP="00122C95">
            <w:pPr>
              <w:rPr>
                <w:rFonts w:ascii="Arial" w:hAnsi="Arial" w:cs="Arial"/>
                <w:b/>
                <w:bCs/>
                <w:sz w:val="14"/>
                <w:szCs w:val="14"/>
                <w:lang w:eastAsia="es-AR"/>
              </w:rPr>
            </w:pPr>
            <w:r w:rsidRPr="00122C95">
              <w:rPr>
                <w:rFonts w:ascii="Arial" w:hAnsi="Arial" w:cs="Arial"/>
                <w:b/>
                <w:bCs/>
                <w:sz w:val="14"/>
                <w:szCs w:val="14"/>
                <w:lang w:eastAsia="es-AR"/>
              </w:rPr>
              <w:t> </w:t>
            </w:r>
          </w:p>
        </w:tc>
      </w:tr>
      <w:tr w:rsidR="00122C95" w:rsidRPr="00122C95" w14:paraId="6FF817E6" w14:textId="77777777" w:rsidTr="007B2AE2">
        <w:trPr>
          <w:trHeight w:val="375"/>
        </w:trPr>
        <w:tc>
          <w:tcPr>
            <w:tcW w:w="3412"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4F44FB4D" w14:textId="77777777" w:rsidR="00122C95" w:rsidRPr="00122C95" w:rsidRDefault="00122C95" w:rsidP="00122C95">
            <w:pPr>
              <w:rPr>
                <w:rFonts w:ascii="Arial" w:hAnsi="Arial" w:cs="Arial"/>
                <w:b/>
                <w:bCs/>
                <w:sz w:val="14"/>
                <w:szCs w:val="14"/>
                <w:lang w:eastAsia="es-AR"/>
              </w:rPr>
            </w:pPr>
          </w:p>
        </w:tc>
        <w:tc>
          <w:tcPr>
            <w:tcW w:w="122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469AA0B" w14:textId="77777777" w:rsidR="00122C95" w:rsidRPr="00122C95" w:rsidRDefault="00122C95" w:rsidP="00122C95">
            <w:pPr>
              <w:rPr>
                <w:rFonts w:ascii="Arial" w:hAnsi="Arial" w:cs="Arial"/>
                <w:b/>
                <w:bCs/>
                <w:sz w:val="14"/>
                <w:szCs w:val="14"/>
                <w:lang w:eastAsia="es-AR"/>
              </w:rPr>
            </w:pPr>
          </w:p>
        </w:tc>
        <w:tc>
          <w:tcPr>
            <w:tcW w:w="851"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4AD1F26" w14:textId="77777777" w:rsidR="00122C95" w:rsidRPr="00122C95" w:rsidRDefault="00122C95" w:rsidP="00122C95">
            <w:pPr>
              <w:rPr>
                <w:rFonts w:ascii="Arial" w:hAnsi="Arial" w:cs="Arial"/>
                <w:b/>
                <w:bCs/>
                <w:sz w:val="14"/>
                <w:szCs w:val="14"/>
                <w:lang w:eastAsia="es-AR"/>
              </w:rPr>
            </w:pPr>
          </w:p>
        </w:tc>
        <w:tc>
          <w:tcPr>
            <w:tcW w:w="1360"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00909C4C" w14:textId="77777777" w:rsidR="00122C95" w:rsidRPr="00122C95" w:rsidRDefault="00122C95" w:rsidP="00122C95">
            <w:pPr>
              <w:rPr>
                <w:rFonts w:ascii="Arial" w:hAnsi="Arial" w:cs="Arial"/>
                <w:b/>
                <w:bCs/>
                <w:sz w:val="14"/>
                <w:szCs w:val="14"/>
                <w:lang w:eastAsia="es-AR"/>
              </w:rPr>
            </w:pPr>
          </w:p>
        </w:tc>
        <w:tc>
          <w:tcPr>
            <w:tcW w:w="920"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46C8B885" w14:textId="77777777" w:rsidR="00122C95" w:rsidRPr="00122C95" w:rsidRDefault="00122C95" w:rsidP="00122C95">
            <w:pPr>
              <w:rPr>
                <w:rFonts w:ascii="Arial" w:hAnsi="Arial" w:cs="Arial"/>
                <w:b/>
                <w:bCs/>
                <w:sz w:val="14"/>
                <w:szCs w:val="14"/>
                <w:lang w:eastAsia="es-AR"/>
              </w:rPr>
            </w:pPr>
          </w:p>
        </w:tc>
        <w:tc>
          <w:tcPr>
            <w:tcW w:w="920" w:type="dxa"/>
            <w:tcBorders>
              <w:top w:val="nil"/>
              <w:left w:val="nil"/>
              <w:bottom w:val="single" w:sz="4" w:space="0" w:color="363639"/>
              <w:right w:val="single" w:sz="4" w:space="0" w:color="363639"/>
            </w:tcBorders>
            <w:shd w:val="clear" w:color="auto" w:fill="BFBFBF" w:themeFill="background1" w:themeFillShade="BF"/>
            <w:hideMark/>
          </w:tcPr>
          <w:p w14:paraId="1D5BA6E7"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Nivel 1</w:t>
            </w:r>
          </w:p>
        </w:tc>
        <w:tc>
          <w:tcPr>
            <w:tcW w:w="708" w:type="dxa"/>
            <w:tcBorders>
              <w:top w:val="nil"/>
              <w:left w:val="nil"/>
              <w:bottom w:val="single" w:sz="4" w:space="0" w:color="363639"/>
              <w:right w:val="single" w:sz="4" w:space="0" w:color="363639"/>
            </w:tcBorders>
            <w:shd w:val="clear" w:color="auto" w:fill="BFBFBF" w:themeFill="background1" w:themeFillShade="BF"/>
            <w:hideMark/>
          </w:tcPr>
          <w:p w14:paraId="601EB007"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Nivel 2</w:t>
            </w:r>
          </w:p>
        </w:tc>
        <w:tc>
          <w:tcPr>
            <w:tcW w:w="851" w:type="dxa"/>
            <w:tcBorders>
              <w:top w:val="nil"/>
              <w:left w:val="nil"/>
              <w:bottom w:val="single" w:sz="4" w:space="0" w:color="363639"/>
              <w:right w:val="single" w:sz="4" w:space="0" w:color="363639"/>
            </w:tcBorders>
            <w:shd w:val="clear" w:color="auto" w:fill="BFBFBF" w:themeFill="background1" w:themeFillShade="BF"/>
            <w:hideMark/>
          </w:tcPr>
          <w:p w14:paraId="1453DAA8" w14:textId="77777777" w:rsidR="00122C95" w:rsidRPr="00122C95" w:rsidRDefault="00122C95" w:rsidP="00122C95">
            <w:pPr>
              <w:jc w:val="center"/>
              <w:rPr>
                <w:rFonts w:ascii="Arial" w:hAnsi="Arial" w:cs="Arial"/>
                <w:b/>
                <w:bCs/>
                <w:sz w:val="14"/>
                <w:szCs w:val="14"/>
                <w:lang w:eastAsia="es-AR"/>
              </w:rPr>
            </w:pPr>
            <w:r w:rsidRPr="00122C95">
              <w:rPr>
                <w:rFonts w:ascii="Arial" w:hAnsi="Arial" w:cs="Arial"/>
                <w:b/>
                <w:bCs/>
                <w:sz w:val="14"/>
                <w:szCs w:val="14"/>
                <w:lang w:eastAsia="es-AR"/>
              </w:rPr>
              <w:t>Nivel 3</w:t>
            </w:r>
          </w:p>
        </w:tc>
      </w:tr>
      <w:tr w:rsidR="00122C95" w:rsidRPr="00122C95" w14:paraId="70436A3A" w14:textId="77777777" w:rsidTr="007B2AE2">
        <w:trPr>
          <w:trHeight w:val="255"/>
        </w:trPr>
        <w:tc>
          <w:tcPr>
            <w:tcW w:w="3412" w:type="dxa"/>
            <w:tcBorders>
              <w:top w:val="nil"/>
              <w:left w:val="nil"/>
              <w:bottom w:val="nil"/>
              <w:right w:val="nil"/>
            </w:tcBorders>
            <w:shd w:val="clear" w:color="auto" w:fill="auto"/>
            <w:hideMark/>
          </w:tcPr>
          <w:p w14:paraId="1BB9CD97" w14:textId="77777777" w:rsidR="00122C95" w:rsidRPr="00122C95" w:rsidRDefault="00122C95" w:rsidP="00122C95">
            <w:pPr>
              <w:rPr>
                <w:rFonts w:ascii="Arial" w:hAnsi="Arial" w:cs="Arial"/>
                <w:b/>
                <w:bCs/>
                <w:sz w:val="14"/>
                <w:szCs w:val="14"/>
                <w:lang w:eastAsia="es-AR"/>
              </w:rPr>
            </w:pPr>
            <w:r w:rsidRPr="00122C95">
              <w:rPr>
                <w:rFonts w:ascii="Arial" w:hAnsi="Arial" w:cs="Arial"/>
                <w:b/>
                <w:bCs/>
                <w:sz w:val="14"/>
                <w:szCs w:val="14"/>
                <w:lang w:eastAsia="es-AR"/>
              </w:rPr>
              <w:t>PASIVOS FINANCIEROS</w:t>
            </w:r>
          </w:p>
        </w:tc>
        <w:tc>
          <w:tcPr>
            <w:tcW w:w="1220" w:type="dxa"/>
            <w:tcBorders>
              <w:top w:val="nil"/>
              <w:left w:val="nil"/>
              <w:bottom w:val="nil"/>
              <w:right w:val="nil"/>
            </w:tcBorders>
            <w:shd w:val="clear" w:color="auto" w:fill="auto"/>
            <w:noWrap/>
            <w:hideMark/>
          </w:tcPr>
          <w:p w14:paraId="4210D739"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851" w:type="dxa"/>
            <w:tcBorders>
              <w:top w:val="nil"/>
              <w:left w:val="nil"/>
              <w:bottom w:val="nil"/>
              <w:right w:val="nil"/>
            </w:tcBorders>
            <w:shd w:val="clear" w:color="auto" w:fill="auto"/>
            <w:noWrap/>
            <w:hideMark/>
          </w:tcPr>
          <w:p w14:paraId="1B1D767B"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1360" w:type="dxa"/>
            <w:tcBorders>
              <w:top w:val="nil"/>
              <w:left w:val="nil"/>
              <w:bottom w:val="nil"/>
              <w:right w:val="nil"/>
            </w:tcBorders>
            <w:shd w:val="clear" w:color="auto" w:fill="auto"/>
            <w:noWrap/>
            <w:hideMark/>
          </w:tcPr>
          <w:p w14:paraId="54571F2E"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920" w:type="dxa"/>
            <w:tcBorders>
              <w:top w:val="nil"/>
              <w:left w:val="nil"/>
              <w:bottom w:val="nil"/>
              <w:right w:val="nil"/>
            </w:tcBorders>
            <w:shd w:val="clear" w:color="auto" w:fill="auto"/>
            <w:noWrap/>
            <w:hideMark/>
          </w:tcPr>
          <w:p w14:paraId="2D540107"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920" w:type="dxa"/>
            <w:tcBorders>
              <w:top w:val="nil"/>
              <w:left w:val="nil"/>
              <w:bottom w:val="nil"/>
              <w:right w:val="nil"/>
            </w:tcBorders>
            <w:shd w:val="clear" w:color="auto" w:fill="auto"/>
            <w:noWrap/>
            <w:hideMark/>
          </w:tcPr>
          <w:p w14:paraId="0AB830CE"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708" w:type="dxa"/>
            <w:tcBorders>
              <w:top w:val="nil"/>
              <w:left w:val="nil"/>
              <w:bottom w:val="nil"/>
              <w:right w:val="nil"/>
            </w:tcBorders>
            <w:shd w:val="clear" w:color="auto" w:fill="auto"/>
            <w:noWrap/>
            <w:hideMark/>
          </w:tcPr>
          <w:p w14:paraId="5734F858"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c>
          <w:tcPr>
            <w:tcW w:w="851" w:type="dxa"/>
            <w:tcBorders>
              <w:top w:val="nil"/>
              <w:left w:val="nil"/>
              <w:bottom w:val="nil"/>
              <w:right w:val="nil"/>
            </w:tcBorders>
            <w:shd w:val="clear" w:color="auto" w:fill="auto"/>
            <w:noWrap/>
            <w:hideMark/>
          </w:tcPr>
          <w:p w14:paraId="262839F0" w14:textId="77777777" w:rsidR="00122C95" w:rsidRPr="007B2AE2" w:rsidRDefault="00122C95" w:rsidP="00122C95">
            <w:pPr>
              <w:rPr>
                <w:rFonts w:ascii="Arial" w:hAnsi="Arial" w:cs="Arial"/>
                <w:sz w:val="14"/>
                <w:szCs w:val="14"/>
                <w:lang w:eastAsia="es-AR"/>
              </w:rPr>
            </w:pPr>
            <w:r w:rsidRPr="007B2AE2">
              <w:rPr>
                <w:rFonts w:ascii="Arial" w:hAnsi="Arial" w:cs="Arial"/>
                <w:sz w:val="14"/>
                <w:szCs w:val="14"/>
                <w:lang w:eastAsia="es-AR"/>
              </w:rPr>
              <w:t> </w:t>
            </w:r>
          </w:p>
        </w:tc>
      </w:tr>
      <w:tr w:rsidR="00122C95" w:rsidRPr="00122C95" w14:paraId="40BE46A4" w14:textId="77777777" w:rsidTr="007B2AE2">
        <w:trPr>
          <w:trHeight w:val="255"/>
        </w:trPr>
        <w:tc>
          <w:tcPr>
            <w:tcW w:w="3412" w:type="dxa"/>
            <w:tcBorders>
              <w:top w:val="nil"/>
              <w:left w:val="nil"/>
              <w:bottom w:val="nil"/>
              <w:right w:val="nil"/>
            </w:tcBorders>
            <w:shd w:val="clear" w:color="auto" w:fill="auto"/>
            <w:hideMark/>
          </w:tcPr>
          <w:p w14:paraId="654F1C31" w14:textId="77777777" w:rsidR="00122C95" w:rsidRPr="00122C95" w:rsidRDefault="00122C95" w:rsidP="00122C95">
            <w:pPr>
              <w:rPr>
                <w:rFonts w:ascii="Arial" w:hAnsi="Arial" w:cs="Arial"/>
                <w:sz w:val="14"/>
                <w:szCs w:val="14"/>
                <w:lang w:eastAsia="es-AR"/>
              </w:rPr>
            </w:pPr>
          </w:p>
        </w:tc>
        <w:tc>
          <w:tcPr>
            <w:tcW w:w="1220" w:type="dxa"/>
            <w:tcBorders>
              <w:top w:val="nil"/>
              <w:left w:val="nil"/>
              <w:bottom w:val="nil"/>
              <w:right w:val="nil"/>
            </w:tcBorders>
            <w:shd w:val="clear" w:color="auto" w:fill="auto"/>
            <w:noWrap/>
            <w:hideMark/>
          </w:tcPr>
          <w:p w14:paraId="26F97E03" w14:textId="77777777" w:rsidR="00122C95" w:rsidRPr="007B2AE2" w:rsidRDefault="00122C95" w:rsidP="00122C95">
            <w:pPr>
              <w:rPr>
                <w:rFonts w:ascii="Arial" w:hAnsi="Arial" w:cs="Arial"/>
                <w:sz w:val="14"/>
                <w:szCs w:val="14"/>
                <w:lang w:eastAsia="es-AR"/>
              </w:rPr>
            </w:pPr>
          </w:p>
        </w:tc>
        <w:tc>
          <w:tcPr>
            <w:tcW w:w="851" w:type="dxa"/>
            <w:tcBorders>
              <w:top w:val="nil"/>
              <w:left w:val="nil"/>
              <w:bottom w:val="nil"/>
              <w:right w:val="nil"/>
            </w:tcBorders>
            <w:shd w:val="clear" w:color="auto" w:fill="auto"/>
            <w:noWrap/>
            <w:hideMark/>
          </w:tcPr>
          <w:p w14:paraId="4C63F661" w14:textId="77777777" w:rsidR="00122C95" w:rsidRPr="007B2AE2" w:rsidRDefault="00122C95" w:rsidP="00122C95">
            <w:pPr>
              <w:rPr>
                <w:rFonts w:ascii="Arial" w:hAnsi="Arial" w:cs="Arial"/>
                <w:sz w:val="14"/>
                <w:szCs w:val="14"/>
                <w:lang w:eastAsia="es-AR"/>
              </w:rPr>
            </w:pPr>
          </w:p>
        </w:tc>
        <w:tc>
          <w:tcPr>
            <w:tcW w:w="1360" w:type="dxa"/>
            <w:tcBorders>
              <w:top w:val="nil"/>
              <w:left w:val="nil"/>
              <w:bottom w:val="nil"/>
              <w:right w:val="nil"/>
            </w:tcBorders>
            <w:shd w:val="clear" w:color="auto" w:fill="auto"/>
            <w:noWrap/>
            <w:hideMark/>
          </w:tcPr>
          <w:p w14:paraId="31EFD768" w14:textId="77777777" w:rsidR="00122C95" w:rsidRPr="007B2AE2" w:rsidRDefault="00122C95" w:rsidP="00122C95">
            <w:pPr>
              <w:rPr>
                <w:rFonts w:ascii="Arial" w:hAnsi="Arial" w:cs="Arial"/>
                <w:sz w:val="14"/>
                <w:szCs w:val="14"/>
                <w:lang w:eastAsia="es-AR"/>
              </w:rPr>
            </w:pPr>
          </w:p>
        </w:tc>
        <w:tc>
          <w:tcPr>
            <w:tcW w:w="920" w:type="dxa"/>
            <w:tcBorders>
              <w:top w:val="nil"/>
              <w:left w:val="nil"/>
              <w:bottom w:val="nil"/>
              <w:right w:val="nil"/>
            </w:tcBorders>
            <w:shd w:val="clear" w:color="auto" w:fill="auto"/>
            <w:noWrap/>
            <w:hideMark/>
          </w:tcPr>
          <w:p w14:paraId="59278766" w14:textId="77777777" w:rsidR="00122C95" w:rsidRPr="007B2AE2" w:rsidRDefault="00122C95" w:rsidP="00122C95">
            <w:pPr>
              <w:rPr>
                <w:rFonts w:ascii="Arial" w:hAnsi="Arial" w:cs="Arial"/>
                <w:sz w:val="14"/>
                <w:szCs w:val="14"/>
                <w:lang w:eastAsia="es-AR"/>
              </w:rPr>
            </w:pPr>
          </w:p>
        </w:tc>
        <w:tc>
          <w:tcPr>
            <w:tcW w:w="920" w:type="dxa"/>
            <w:tcBorders>
              <w:top w:val="nil"/>
              <w:left w:val="nil"/>
              <w:bottom w:val="nil"/>
              <w:right w:val="nil"/>
            </w:tcBorders>
            <w:shd w:val="clear" w:color="auto" w:fill="auto"/>
            <w:noWrap/>
            <w:hideMark/>
          </w:tcPr>
          <w:p w14:paraId="5C822CFE" w14:textId="77777777" w:rsidR="00122C95" w:rsidRPr="007B2AE2" w:rsidRDefault="00122C95" w:rsidP="00122C95">
            <w:pPr>
              <w:rPr>
                <w:rFonts w:ascii="Arial" w:hAnsi="Arial" w:cs="Arial"/>
                <w:sz w:val="14"/>
                <w:szCs w:val="14"/>
                <w:lang w:eastAsia="es-AR"/>
              </w:rPr>
            </w:pPr>
          </w:p>
        </w:tc>
        <w:tc>
          <w:tcPr>
            <w:tcW w:w="708" w:type="dxa"/>
            <w:tcBorders>
              <w:top w:val="nil"/>
              <w:left w:val="nil"/>
              <w:bottom w:val="nil"/>
              <w:right w:val="nil"/>
            </w:tcBorders>
            <w:shd w:val="clear" w:color="auto" w:fill="auto"/>
            <w:noWrap/>
            <w:hideMark/>
          </w:tcPr>
          <w:p w14:paraId="0904FD6B" w14:textId="77777777" w:rsidR="00122C95" w:rsidRPr="007B2AE2" w:rsidRDefault="00122C95" w:rsidP="00122C95">
            <w:pPr>
              <w:rPr>
                <w:rFonts w:ascii="Arial" w:hAnsi="Arial" w:cs="Arial"/>
                <w:sz w:val="14"/>
                <w:szCs w:val="14"/>
                <w:lang w:eastAsia="es-AR"/>
              </w:rPr>
            </w:pPr>
          </w:p>
        </w:tc>
        <w:tc>
          <w:tcPr>
            <w:tcW w:w="851" w:type="dxa"/>
            <w:tcBorders>
              <w:top w:val="nil"/>
              <w:left w:val="nil"/>
              <w:bottom w:val="nil"/>
              <w:right w:val="nil"/>
            </w:tcBorders>
            <w:shd w:val="clear" w:color="auto" w:fill="auto"/>
            <w:noWrap/>
            <w:hideMark/>
          </w:tcPr>
          <w:p w14:paraId="1F7AAFFD" w14:textId="77777777" w:rsidR="00122C95" w:rsidRPr="007B2AE2" w:rsidRDefault="00122C95" w:rsidP="00122C95">
            <w:pPr>
              <w:rPr>
                <w:rFonts w:ascii="Arial" w:hAnsi="Arial" w:cs="Arial"/>
                <w:sz w:val="14"/>
                <w:szCs w:val="14"/>
                <w:lang w:eastAsia="es-AR"/>
              </w:rPr>
            </w:pPr>
          </w:p>
        </w:tc>
      </w:tr>
      <w:tr w:rsidR="00122C95" w:rsidRPr="00122C95" w14:paraId="17C4CA26" w14:textId="77777777" w:rsidTr="007B2AE2">
        <w:trPr>
          <w:trHeight w:val="255"/>
        </w:trPr>
        <w:tc>
          <w:tcPr>
            <w:tcW w:w="3412" w:type="dxa"/>
            <w:tcBorders>
              <w:top w:val="nil"/>
              <w:left w:val="nil"/>
              <w:bottom w:val="nil"/>
              <w:right w:val="nil"/>
            </w:tcBorders>
            <w:shd w:val="clear" w:color="auto" w:fill="auto"/>
            <w:hideMark/>
          </w:tcPr>
          <w:p w14:paraId="5EA8D13A" w14:textId="77777777" w:rsidR="00122C95" w:rsidRPr="00122C95" w:rsidRDefault="00122C95" w:rsidP="00122C95">
            <w:pPr>
              <w:rPr>
                <w:rFonts w:ascii="Arial" w:hAnsi="Arial" w:cs="Arial"/>
                <w:b/>
                <w:bCs/>
                <w:sz w:val="14"/>
                <w:szCs w:val="14"/>
                <w:lang w:eastAsia="es-AR"/>
              </w:rPr>
            </w:pPr>
            <w:r w:rsidRPr="00122C95">
              <w:rPr>
                <w:rFonts w:ascii="Arial" w:hAnsi="Arial" w:cs="Arial"/>
                <w:b/>
                <w:bCs/>
                <w:sz w:val="14"/>
                <w:szCs w:val="14"/>
                <w:lang w:eastAsia="es-AR"/>
              </w:rPr>
              <w:t>Depósitos</w:t>
            </w:r>
          </w:p>
        </w:tc>
        <w:tc>
          <w:tcPr>
            <w:tcW w:w="1220" w:type="dxa"/>
            <w:tcBorders>
              <w:top w:val="nil"/>
              <w:left w:val="nil"/>
              <w:bottom w:val="nil"/>
              <w:right w:val="nil"/>
            </w:tcBorders>
            <w:shd w:val="clear" w:color="auto" w:fill="auto"/>
            <w:hideMark/>
          </w:tcPr>
          <w:p w14:paraId="0D6F7B22" w14:textId="77777777" w:rsidR="00122C95" w:rsidRPr="007B2AE2" w:rsidRDefault="00122C95" w:rsidP="00122C95">
            <w:pPr>
              <w:rPr>
                <w:rFonts w:ascii="Arial" w:hAnsi="Arial" w:cs="Arial"/>
                <w:b/>
                <w:bCs/>
                <w:sz w:val="14"/>
                <w:szCs w:val="14"/>
                <w:lang w:eastAsia="es-AR"/>
              </w:rPr>
            </w:pPr>
          </w:p>
        </w:tc>
        <w:tc>
          <w:tcPr>
            <w:tcW w:w="851" w:type="dxa"/>
            <w:tcBorders>
              <w:top w:val="nil"/>
              <w:left w:val="nil"/>
              <w:bottom w:val="nil"/>
              <w:right w:val="nil"/>
            </w:tcBorders>
            <w:shd w:val="clear" w:color="auto" w:fill="auto"/>
            <w:hideMark/>
          </w:tcPr>
          <w:p w14:paraId="08D391C2" w14:textId="77777777" w:rsidR="00122C95" w:rsidRPr="007B2AE2" w:rsidRDefault="00122C95" w:rsidP="00122C95">
            <w:pPr>
              <w:rPr>
                <w:rFonts w:ascii="Arial" w:hAnsi="Arial" w:cs="Arial"/>
                <w:sz w:val="14"/>
                <w:szCs w:val="14"/>
                <w:lang w:eastAsia="es-AR"/>
              </w:rPr>
            </w:pPr>
          </w:p>
        </w:tc>
        <w:tc>
          <w:tcPr>
            <w:tcW w:w="1360" w:type="dxa"/>
            <w:tcBorders>
              <w:top w:val="nil"/>
              <w:left w:val="nil"/>
              <w:bottom w:val="nil"/>
              <w:right w:val="nil"/>
            </w:tcBorders>
            <w:shd w:val="clear" w:color="auto" w:fill="auto"/>
            <w:hideMark/>
          </w:tcPr>
          <w:p w14:paraId="378B811D" w14:textId="77777777" w:rsidR="00122C95" w:rsidRPr="007B2AE2" w:rsidRDefault="00122C95" w:rsidP="00122C95">
            <w:pPr>
              <w:rPr>
                <w:rFonts w:ascii="Arial" w:hAnsi="Arial" w:cs="Arial"/>
                <w:sz w:val="14"/>
                <w:szCs w:val="14"/>
                <w:lang w:eastAsia="es-AR"/>
              </w:rPr>
            </w:pPr>
          </w:p>
        </w:tc>
        <w:tc>
          <w:tcPr>
            <w:tcW w:w="920" w:type="dxa"/>
            <w:tcBorders>
              <w:top w:val="nil"/>
              <w:left w:val="nil"/>
              <w:bottom w:val="nil"/>
              <w:right w:val="nil"/>
            </w:tcBorders>
            <w:shd w:val="clear" w:color="auto" w:fill="auto"/>
            <w:hideMark/>
          </w:tcPr>
          <w:p w14:paraId="7DE513DE" w14:textId="77777777" w:rsidR="00122C95" w:rsidRPr="007B2AE2" w:rsidRDefault="00122C95" w:rsidP="00122C95">
            <w:pPr>
              <w:rPr>
                <w:rFonts w:ascii="Arial" w:hAnsi="Arial" w:cs="Arial"/>
                <w:sz w:val="14"/>
                <w:szCs w:val="14"/>
                <w:lang w:eastAsia="es-AR"/>
              </w:rPr>
            </w:pPr>
          </w:p>
        </w:tc>
        <w:tc>
          <w:tcPr>
            <w:tcW w:w="920" w:type="dxa"/>
            <w:tcBorders>
              <w:top w:val="nil"/>
              <w:left w:val="nil"/>
              <w:bottom w:val="nil"/>
              <w:right w:val="nil"/>
            </w:tcBorders>
            <w:shd w:val="clear" w:color="auto" w:fill="auto"/>
            <w:hideMark/>
          </w:tcPr>
          <w:p w14:paraId="58381FC9" w14:textId="77777777" w:rsidR="00122C95" w:rsidRPr="007B2AE2" w:rsidRDefault="00122C95" w:rsidP="00122C95">
            <w:pPr>
              <w:rPr>
                <w:rFonts w:ascii="Arial" w:hAnsi="Arial" w:cs="Arial"/>
                <w:sz w:val="14"/>
                <w:szCs w:val="14"/>
                <w:lang w:eastAsia="es-AR"/>
              </w:rPr>
            </w:pPr>
          </w:p>
        </w:tc>
        <w:tc>
          <w:tcPr>
            <w:tcW w:w="708" w:type="dxa"/>
            <w:tcBorders>
              <w:top w:val="nil"/>
              <w:left w:val="nil"/>
              <w:bottom w:val="nil"/>
              <w:right w:val="nil"/>
            </w:tcBorders>
            <w:shd w:val="clear" w:color="auto" w:fill="auto"/>
            <w:hideMark/>
          </w:tcPr>
          <w:p w14:paraId="7C2850D6" w14:textId="77777777" w:rsidR="00122C95" w:rsidRPr="007B2AE2" w:rsidRDefault="00122C95" w:rsidP="00122C95">
            <w:pPr>
              <w:rPr>
                <w:rFonts w:ascii="Arial" w:hAnsi="Arial" w:cs="Arial"/>
                <w:sz w:val="14"/>
                <w:szCs w:val="14"/>
                <w:lang w:eastAsia="es-AR"/>
              </w:rPr>
            </w:pPr>
          </w:p>
        </w:tc>
        <w:tc>
          <w:tcPr>
            <w:tcW w:w="851" w:type="dxa"/>
            <w:tcBorders>
              <w:top w:val="nil"/>
              <w:left w:val="nil"/>
              <w:bottom w:val="nil"/>
              <w:right w:val="nil"/>
            </w:tcBorders>
            <w:shd w:val="clear" w:color="auto" w:fill="auto"/>
            <w:hideMark/>
          </w:tcPr>
          <w:p w14:paraId="31B21462" w14:textId="77777777" w:rsidR="00122C95" w:rsidRPr="007B2AE2" w:rsidRDefault="00122C95" w:rsidP="00122C95">
            <w:pPr>
              <w:rPr>
                <w:rFonts w:ascii="Arial" w:hAnsi="Arial" w:cs="Arial"/>
                <w:sz w:val="14"/>
                <w:szCs w:val="14"/>
                <w:lang w:eastAsia="es-AR"/>
              </w:rPr>
            </w:pPr>
          </w:p>
        </w:tc>
      </w:tr>
      <w:tr w:rsidR="007B2AE2" w:rsidRPr="00122C95" w14:paraId="061A5818" w14:textId="77777777" w:rsidTr="007B2AE2">
        <w:trPr>
          <w:trHeight w:val="255"/>
        </w:trPr>
        <w:tc>
          <w:tcPr>
            <w:tcW w:w="3412" w:type="dxa"/>
            <w:tcBorders>
              <w:top w:val="nil"/>
              <w:left w:val="nil"/>
              <w:bottom w:val="nil"/>
              <w:right w:val="nil"/>
            </w:tcBorders>
            <w:shd w:val="clear" w:color="auto" w:fill="auto"/>
            <w:hideMark/>
          </w:tcPr>
          <w:p w14:paraId="738BBF69" w14:textId="77777777" w:rsidR="007B2AE2" w:rsidRPr="00122C95" w:rsidRDefault="007B2AE2" w:rsidP="007B2AE2">
            <w:pPr>
              <w:ind w:firstLineChars="100" w:firstLine="140"/>
              <w:rPr>
                <w:rFonts w:ascii="Arial" w:hAnsi="Arial" w:cs="Arial"/>
                <w:sz w:val="14"/>
                <w:szCs w:val="14"/>
                <w:lang w:eastAsia="es-AR"/>
              </w:rPr>
            </w:pPr>
            <w:r w:rsidRPr="00122C95">
              <w:rPr>
                <w:rFonts w:ascii="Arial" w:hAnsi="Arial" w:cs="Arial"/>
                <w:sz w:val="14"/>
                <w:szCs w:val="14"/>
                <w:lang w:eastAsia="es-AR"/>
              </w:rPr>
              <w:t>Sector Público no Financiero</w:t>
            </w:r>
          </w:p>
        </w:tc>
        <w:tc>
          <w:tcPr>
            <w:tcW w:w="1220" w:type="dxa"/>
            <w:tcBorders>
              <w:top w:val="nil"/>
              <w:left w:val="nil"/>
              <w:bottom w:val="nil"/>
              <w:right w:val="nil"/>
            </w:tcBorders>
            <w:shd w:val="clear" w:color="auto" w:fill="auto"/>
            <w:vAlign w:val="bottom"/>
          </w:tcPr>
          <w:p w14:paraId="533B1468" w14:textId="7C33F9BA" w:rsidR="007B2AE2" w:rsidRPr="007B2AE2" w:rsidRDefault="007B2AE2" w:rsidP="007B2AE2">
            <w:pPr>
              <w:jc w:val="right"/>
              <w:rPr>
                <w:rFonts w:ascii="Arial" w:hAnsi="Arial" w:cs="Arial"/>
                <w:sz w:val="14"/>
                <w:szCs w:val="14"/>
                <w:lang w:eastAsia="es-AR"/>
              </w:rPr>
            </w:pPr>
            <w:r w:rsidRPr="007B2AE2">
              <w:rPr>
                <w:rFonts w:ascii="Arial" w:hAnsi="Arial" w:cs="Arial"/>
                <w:sz w:val="14"/>
                <w:szCs w:val="14"/>
              </w:rPr>
              <w:t xml:space="preserve"> 5.470.177 </w:t>
            </w:r>
          </w:p>
        </w:tc>
        <w:tc>
          <w:tcPr>
            <w:tcW w:w="851" w:type="dxa"/>
            <w:tcBorders>
              <w:top w:val="nil"/>
              <w:left w:val="nil"/>
              <w:bottom w:val="nil"/>
              <w:right w:val="nil"/>
            </w:tcBorders>
            <w:shd w:val="clear" w:color="auto" w:fill="auto"/>
            <w:vAlign w:val="bottom"/>
          </w:tcPr>
          <w:p w14:paraId="1C8ABDF6" w14:textId="35C49123"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11A65A97" w14:textId="5100B525"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35EE0CA0" w14:textId="2F496AF8"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086731B1" w14:textId="2E997BD2"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79EA056D" w14:textId="512FE4F4"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21DF144B" w14:textId="356F514A"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7B2AE2" w:rsidRPr="00122C95" w14:paraId="552BEB67" w14:textId="77777777" w:rsidTr="007B2AE2">
        <w:trPr>
          <w:trHeight w:val="255"/>
        </w:trPr>
        <w:tc>
          <w:tcPr>
            <w:tcW w:w="3412" w:type="dxa"/>
            <w:tcBorders>
              <w:top w:val="nil"/>
              <w:left w:val="nil"/>
              <w:bottom w:val="nil"/>
              <w:right w:val="nil"/>
            </w:tcBorders>
            <w:shd w:val="clear" w:color="auto" w:fill="auto"/>
            <w:hideMark/>
          </w:tcPr>
          <w:p w14:paraId="3BB231D6" w14:textId="77777777" w:rsidR="007B2AE2" w:rsidRPr="00122C95" w:rsidRDefault="007B2AE2" w:rsidP="007B2AE2">
            <w:pPr>
              <w:ind w:firstLineChars="100" w:firstLine="140"/>
              <w:rPr>
                <w:rFonts w:ascii="Arial" w:hAnsi="Arial" w:cs="Arial"/>
                <w:sz w:val="14"/>
                <w:szCs w:val="14"/>
                <w:lang w:eastAsia="es-AR"/>
              </w:rPr>
            </w:pPr>
            <w:r w:rsidRPr="00122C95">
              <w:rPr>
                <w:rFonts w:ascii="Arial" w:hAnsi="Arial" w:cs="Arial"/>
                <w:sz w:val="14"/>
                <w:szCs w:val="14"/>
                <w:lang w:eastAsia="es-AR"/>
              </w:rPr>
              <w:t>Sector Financiero</w:t>
            </w:r>
          </w:p>
        </w:tc>
        <w:tc>
          <w:tcPr>
            <w:tcW w:w="1220" w:type="dxa"/>
            <w:tcBorders>
              <w:top w:val="nil"/>
              <w:left w:val="nil"/>
              <w:bottom w:val="nil"/>
              <w:right w:val="nil"/>
            </w:tcBorders>
            <w:shd w:val="clear" w:color="auto" w:fill="auto"/>
            <w:vAlign w:val="bottom"/>
          </w:tcPr>
          <w:p w14:paraId="3E2EC385" w14:textId="103E7D74" w:rsidR="007B2AE2" w:rsidRPr="007B2AE2" w:rsidRDefault="00144880" w:rsidP="007B2AE2">
            <w:pPr>
              <w:jc w:val="right"/>
              <w:rPr>
                <w:rFonts w:ascii="Arial" w:hAnsi="Arial" w:cs="Arial"/>
                <w:sz w:val="14"/>
                <w:szCs w:val="14"/>
                <w:lang w:eastAsia="es-AR"/>
              </w:rPr>
            </w:pPr>
            <w:r w:rsidRPr="00144880">
              <w:rPr>
                <w:rFonts w:ascii="Arial" w:hAnsi="Arial" w:cs="Arial"/>
                <w:sz w:val="14"/>
                <w:szCs w:val="14"/>
              </w:rPr>
              <w:t>28.098</w:t>
            </w:r>
          </w:p>
        </w:tc>
        <w:tc>
          <w:tcPr>
            <w:tcW w:w="851" w:type="dxa"/>
            <w:tcBorders>
              <w:top w:val="nil"/>
              <w:left w:val="nil"/>
              <w:bottom w:val="nil"/>
              <w:right w:val="nil"/>
            </w:tcBorders>
            <w:shd w:val="clear" w:color="auto" w:fill="auto"/>
            <w:vAlign w:val="bottom"/>
          </w:tcPr>
          <w:p w14:paraId="230FAAEC" w14:textId="55FEE94F"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2B1CDEE7" w14:textId="23322695"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0D9FFC1E" w14:textId="16DCF7BD"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4D97C737" w14:textId="495D2EE6"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52C26B49" w14:textId="0F1C3D02"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079AB55A" w14:textId="0A8E45E6"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7B2AE2" w:rsidRPr="00122C95" w14:paraId="1C8CB6B5" w14:textId="77777777" w:rsidTr="007B2AE2">
        <w:trPr>
          <w:trHeight w:val="510"/>
        </w:trPr>
        <w:tc>
          <w:tcPr>
            <w:tcW w:w="3412" w:type="dxa"/>
            <w:tcBorders>
              <w:top w:val="nil"/>
              <w:left w:val="nil"/>
              <w:bottom w:val="nil"/>
              <w:right w:val="nil"/>
            </w:tcBorders>
            <w:shd w:val="clear" w:color="auto" w:fill="auto"/>
            <w:hideMark/>
          </w:tcPr>
          <w:p w14:paraId="10F2A09E" w14:textId="77777777" w:rsidR="007B2AE2" w:rsidRPr="00122C95" w:rsidRDefault="007B2AE2" w:rsidP="007B2AE2">
            <w:pPr>
              <w:rPr>
                <w:rFonts w:ascii="Arial" w:hAnsi="Arial" w:cs="Arial"/>
                <w:sz w:val="14"/>
                <w:szCs w:val="14"/>
                <w:lang w:eastAsia="es-AR"/>
              </w:rPr>
            </w:pPr>
            <w:r w:rsidRPr="00122C95">
              <w:rPr>
                <w:rFonts w:ascii="Arial" w:hAnsi="Arial" w:cs="Arial"/>
                <w:sz w:val="14"/>
                <w:szCs w:val="14"/>
                <w:lang w:eastAsia="es-AR"/>
              </w:rPr>
              <w:t>Sector Privado no Financiero y Residentes en el exterior</w:t>
            </w:r>
          </w:p>
        </w:tc>
        <w:tc>
          <w:tcPr>
            <w:tcW w:w="1220" w:type="dxa"/>
            <w:tcBorders>
              <w:top w:val="nil"/>
              <w:left w:val="nil"/>
              <w:bottom w:val="nil"/>
              <w:right w:val="nil"/>
            </w:tcBorders>
            <w:shd w:val="clear" w:color="auto" w:fill="auto"/>
            <w:vAlign w:val="bottom"/>
          </w:tcPr>
          <w:p w14:paraId="47088AD7" w14:textId="4B999F53" w:rsidR="007B2AE2" w:rsidRPr="007B2AE2" w:rsidRDefault="00144880" w:rsidP="007B2AE2">
            <w:pPr>
              <w:jc w:val="right"/>
              <w:rPr>
                <w:rFonts w:ascii="Arial" w:hAnsi="Arial" w:cs="Arial"/>
                <w:sz w:val="14"/>
                <w:szCs w:val="14"/>
                <w:lang w:eastAsia="es-AR"/>
              </w:rPr>
            </w:pPr>
            <w:r w:rsidRPr="00144880">
              <w:rPr>
                <w:rFonts w:ascii="Arial" w:hAnsi="Arial" w:cs="Arial"/>
                <w:sz w:val="14"/>
                <w:szCs w:val="14"/>
              </w:rPr>
              <w:t>85.979.191</w:t>
            </w:r>
          </w:p>
        </w:tc>
        <w:tc>
          <w:tcPr>
            <w:tcW w:w="851" w:type="dxa"/>
            <w:tcBorders>
              <w:top w:val="nil"/>
              <w:left w:val="nil"/>
              <w:bottom w:val="nil"/>
              <w:right w:val="nil"/>
            </w:tcBorders>
            <w:shd w:val="clear" w:color="auto" w:fill="auto"/>
            <w:vAlign w:val="bottom"/>
          </w:tcPr>
          <w:p w14:paraId="2DC331D9" w14:textId="0FB31AAE"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345C2035" w14:textId="65133610"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4D4C6AF1" w14:textId="2D0DEE23"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07AF89A7" w14:textId="0A7584E4"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744086EF" w14:textId="5977DFF1"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6A8572A9" w14:textId="66D6F478"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7B2AE2" w:rsidRPr="00122C95" w14:paraId="35BF5043" w14:textId="77777777" w:rsidTr="007B2AE2">
        <w:trPr>
          <w:trHeight w:val="255"/>
        </w:trPr>
        <w:tc>
          <w:tcPr>
            <w:tcW w:w="3412" w:type="dxa"/>
            <w:tcBorders>
              <w:top w:val="nil"/>
              <w:left w:val="nil"/>
              <w:bottom w:val="nil"/>
              <w:right w:val="nil"/>
            </w:tcBorders>
            <w:shd w:val="clear" w:color="auto" w:fill="auto"/>
            <w:hideMark/>
          </w:tcPr>
          <w:p w14:paraId="5D49F426" w14:textId="77777777" w:rsidR="007B2AE2" w:rsidRPr="00122C95" w:rsidRDefault="007B2AE2" w:rsidP="007B2AE2">
            <w:pPr>
              <w:ind w:firstLineChars="200" w:firstLine="280"/>
              <w:rPr>
                <w:rFonts w:ascii="Arial" w:hAnsi="Arial" w:cs="Arial"/>
                <w:sz w:val="14"/>
                <w:szCs w:val="14"/>
                <w:lang w:eastAsia="es-AR"/>
              </w:rPr>
            </w:pPr>
            <w:r w:rsidRPr="00122C95">
              <w:rPr>
                <w:rFonts w:ascii="Arial" w:hAnsi="Arial" w:cs="Arial"/>
                <w:sz w:val="14"/>
                <w:szCs w:val="14"/>
                <w:lang w:eastAsia="es-AR"/>
              </w:rPr>
              <w:t>Cuentas corrientes</w:t>
            </w:r>
          </w:p>
        </w:tc>
        <w:tc>
          <w:tcPr>
            <w:tcW w:w="1220" w:type="dxa"/>
            <w:tcBorders>
              <w:top w:val="nil"/>
              <w:left w:val="nil"/>
              <w:bottom w:val="nil"/>
              <w:right w:val="nil"/>
            </w:tcBorders>
            <w:shd w:val="clear" w:color="auto" w:fill="auto"/>
            <w:vAlign w:val="bottom"/>
          </w:tcPr>
          <w:p w14:paraId="7928510F" w14:textId="096E59E6" w:rsidR="007B2AE2" w:rsidRPr="007B2AE2" w:rsidRDefault="00144880" w:rsidP="007B2AE2">
            <w:pPr>
              <w:jc w:val="right"/>
              <w:rPr>
                <w:rFonts w:ascii="Arial" w:hAnsi="Arial" w:cs="Arial"/>
                <w:sz w:val="14"/>
                <w:szCs w:val="14"/>
                <w:lang w:eastAsia="es-AR"/>
              </w:rPr>
            </w:pPr>
            <w:r w:rsidRPr="00144880">
              <w:rPr>
                <w:rFonts w:ascii="Arial" w:hAnsi="Arial" w:cs="Arial"/>
                <w:sz w:val="14"/>
                <w:szCs w:val="14"/>
              </w:rPr>
              <w:t>12.936.131</w:t>
            </w:r>
          </w:p>
        </w:tc>
        <w:tc>
          <w:tcPr>
            <w:tcW w:w="851" w:type="dxa"/>
            <w:tcBorders>
              <w:top w:val="nil"/>
              <w:left w:val="nil"/>
              <w:bottom w:val="nil"/>
              <w:right w:val="nil"/>
            </w:tcBorders>
            <w:shd w:val="clear" w:color="auto" w:fill="auto"/>
            <w:vAlign w:val="bottom"/>
          </w:tcPr>
          <w:p w14:paraId="1ABAA4F0" w14:textId="5F6D8A37"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055641AA" w14:textId="085C4C08"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5921CC41" w14:textId="57DD7F89"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00A5CDFB" w14:textId="67728030"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73DBCD07" w14:textId="2EAC8DFA"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5255843F" w14:textId="2CCF6FD0"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7B2AE2" w:rsidRPr="00122C95" w14:paraId="78F1D28D" w14:textId="77777777" w:rsidTr="007B2AE2">
        <w:trPr>
          <w:trHeight w:val="255"/>
        </w:trPr>
        <w:tc>
          <w:tcPr>
            <w:tcW w:w="3412" w:type="dxa"/>
            <w:tcBorders>
              <w:top w:val="nil"/>
              <w:left w:val="nil"/>
              <w:bottom w:val="nil"/>
              <w:right w:val="nil"/>
            </w:tcBorders>
            <w:shd w:val="clear" w:color="auto" w:fill="auto"/>
            <w:hideMark/>
          </w:tcPr>
          <w:p w14:paraId="0776D8FC" w14:textId="77777777" w:rsidR="007B2AE2" w:rsidRPr="00122C95" w:rsidRDefault="007B2AE2" w:rsidP="007B2AE2">
            <w:pPr>
              <w:ind w:firstLineChars="200" w:firstLine="280"/>
              <w:rPr>
                <w:rFonts w:ascii="Arial" w:hAnsi="Arial" w:cs="Arial"/>
                <w:sz w:val="14"/>
                <w:szCs w:val="14"/>
                <w:lang w:eastAsia="es-AR"/>
              </w:rPr>
            </w:pPr>
            <w:r w:rsidRPr="00122C95">
              <w:rPr>
                <w:rFonts w:ascii="Arial" w:hAnsi="Arial" w:cs="Arial"/>
                <w:sz w:val="14"/>
                <w:szCs w:val="14"/>
                <w:lang w:eastAsia="es-AR"/>
              </w:rPr>
              <w:t>Caja de ahorros</w:t>
            </w:r>
          </w:p>
        </w:tc>
        <w:tc>
          <w:tcPr>
            <w:tcW w:w="1220" w:type="dxa"/>
            <w:tcBorders>
              <w:top w:val="nil"/>
              <w:left w:val="nil"/>
              <w:bottom w:val="nil"/>
              <w:right w:val="nil"/>
            </w:tcBorders>
            <w:shd w:val="clear" w:color="auto" w:fill="auto"/>
            <w:vAlign w:val="bottom"/>
          </w:tcPr>
          <w:p w14:paraId="756EE953" w14:textId="3A1B4DD1" w:rsidR="007B2AE2" w:rsidRPr="007B2AE2" w:rsidRDefault="007B2AE2" w:rsidP="007B2AE2">
            <w:pPr>
              <w:jc w:val="right"/>
              <w:rPr>
                <w:rFonts w:ascii="Arial" w:hAnsi="Arial" w:cs="Arial"/>
                <w:sz w:val="14"/>
                <w:szCs w:val="14"/>
                <w:lang w:eastAsia="es-AR"/>
              </w:rPr>
            </w:pPr>
            <w:r w:rsidRPr="007B2AE2">
              <w:rPr>
                <w:rFonts w:ascii="Arial" w:hAnsi="Arial" w:cs="Arial"/>
                <w:sz w:val="14"/>
                <w:szCs w:val="14"/>
              </w:rPr>
              <w:t xml:space="preserve"> </w:t>
            </w:r>
            <w:r w:rsidR="00144880" w:rsidRPr="00144880">
              <w:rPr>
                <w:rFonts w:ascii="Arial" w:hAnsi="Arial" w:cs="Arial"/>
                <w:sz w:val="14"/>
                <w:szCs w:val="14"/>
              </w:rPr>
              <w:t xml:space="preserve"> 39.992.352</w:t>
            </w:r>
          </w:p>
        </w:tc>
        <w:tc>
          <w:tcPr>
            <w:tcW w:w="851" w:type="dxa"/>
            <w:tcBorders>
              <w:top w:val="nil"/>
              <w:left w:val="nil"/>
              <w:bottom w:val="nil"/>
              <w:right w:val="nil"/>
            </w:tcBorders>
            <w:shd w:val="clear" w:color="auto" w:fill="auto"/>
            <w:vAlign w:val="bottom"/>
          </w:tcPr>
          <w:p w14:paraId="3AFA14AE" w14:textId="2D0136AF"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26F8370C" w14:textId="229BB34A"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1B64870D" w14:textId="4A39DDF2"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7A9DC055" w14:textId="2904725E"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10E86914" w14:textId="2AA457BE"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3F13E2D5" w14:textId="7DC6D475"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7B2AE2" w:rsidRPr="00122C95" w14:paraId="6F8053F4" w14:textId="77777777" w:rsidTr="007B2AE2">
        <w:trPr>
          <w:trHeight w:val="255"/>
        </w:trPr>
        <w:tc>
          <w:tcPr>
            <w:tcW w:w="3412" w:type="dxa"/>
            <w:tcBorders>
              <w:top w:val="nil"/>
              <w:left w:val="nil"/>
              <w:bottom w:val="nil"/>
              <w:right w:val="nil"/>
            </w:tcBorders>
            <w:shd w:val="clear" w:color="auto" w:fill="auto"/>
            <w:hideMark/>
          </w:tcPr>
          <w:p w14:paraId="70276EDE" w14:textId="77777777" w:rsidR="007B2AE2" w:rsidRPr="00122C95" w:rsidRDefault="007B2AE2" w:rsidP="007B2AE2">
            <w:pPr>
              <w:ind w:firstLineChars="200" w:firstLine="280"/>
              <w:rPr>
                <w:rFonts w:ascii="Arial" w:hAnsi="Arial" w:cs="Arial"/>
                <w:sz w:val="14"/>
                <w:szCs w:val="14"/>
                <w:lang w:eastAsia="es-AR"/>
              </w:rPr>
            </w:pPr>
            <w:r w:rsidRPr="00122C95">
              <w:rPr>
                <w:rFonts w:ascii="Arial" w:hAnsi="Arial" w:cs="Arial"/>
                <w:sz w:val="14"/>
                <w:szCs w:val="14"/>
                <w:lang w:eastAsia="es-AR"/>
              </w:rPr>
              <w:t>Plazo fijo e inversiones a plazo</w:t>
            </w:r>
          </w:p>
        </w:tc>
        <w:tc>
          <w:tcPr>
            <w:tcW w:w="1220" w:type="dxa"/>
            <w:tcBorders>
              <w:top w:val="nil"/>
              <w:left w:val="nil"/>
              <w:bottom w:val="nil"/>
              <w:right w:val="nil"/>
            </w:tcBorders>
            <w:shd w:val="clear" w:color="auto" w:fill="auto"/>
            <w:vAlign w:val="bottom"/>
          </w:tcPr>
          <w:p w14:paraId="33D54066" w14:textId="3501C940" w:rsidR="007B2AE2" w:rsidRPr="007B2AE2" w:rsidRDefault="00144880" w:rsidP="007B2AE2">
            <w:pPr>
              <w:jc w:val="right"/>
              <w:rPr>
                <w:rFonts w:ascii="Arial" w:hAnsi="Arial" w:cs="Arial"/>
                <w:sz w:val="14"/>
                <w:szCs w:val="14"/>
                <w:lang w:eastAsia="es-AR"/>
              </w:rPr>
            </w:pPr>
            <w:r w:rsidRPr="00144880">
              <w:rPr>
                <w:rFonts w:ascii="Arial" w:hAnsi="Arial" w:cs="Arial"/>
                <w:sz w:val="14"/>
                <w:szCs w:val="14"/>
              </w:rPr>
              <w:t>30.073.630</w:t>
            </w:r>
          </w:p>
        </w:tc>
        <w:tc>
          <w:tcPr>
            <w:tcW w:w="851" w:type="dxa"/>
            <w:tcBorders>
              <w:top w:val="nil"/>
              <w:left w:val="nil"/>
              <w:bottom w:val="nil"/>
              <w:right w:val="nil"/>
            </w:tcBorders>
            <w:shd w:val="clear" w:color="auto" w:fill="auto"/>
            <w:vAlign w:val="bottom"/>
          </w:tcPr>
          <w:p w14:paraId="17144560" w14:textId="4FD194CC"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7FB62FD0" w14:textId="36463F89"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0B554AC2" w14:textId="4000340D"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6221A242" w14:textId="62D9A2EC"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3F5A9724" w14:textId="524C2D85"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11651FC4" w14:textId="4F7B35D6"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7B2AE2" w:rsidRPr="00122C95" w14:paraId="13F7885F" w14:textId="77777777" w:rsidTr="007B2AE2">
        <w:trPr>
          <w:trHeight w:val="255"/>
        </w:trPr>
        <w:tc>
          <w:tcPr>
            <w:tcW w:w="3412" w:type="dxa"/>
            <w:tcBorders>
              <w:top w:val="nil"/>
              <w:left w:val="nil"/>
              <w:bottom w:val="nil"/>
              <w:right w:val="nil"/>
            </w:tcBorders>
            <w:shd w:val="clear" w:color="auto" w:fill="auto"/>
            <w:hideMark/>
          </w:tcPr>
          <w:p w14:paraId="2921A8DC" w14:textId="77777777" w:rsidR="007B2AE2" w:rsidRPr="00122C95" w:rsidRDefault="007B2AE2" w:rsidP="007B2AE2">
            <w:pPr>
              <w:ind w:firstLineChars="200" w:firstLine="280"/>
              <w:rPr>
                <w:rFonts w:ascii="Arial" w:hAnsi="Arial" w:cs="Arial"/>
                <w:sz w:val="14"/>
                <w:szCs w:val="14"/>
                <w:lang w:eastAsia="es-AR"/>
              </w:rPr>
            </w:pPr>
            <w:r w:rsidRPr="00122C95">
              <w:rPr>
                <w:rFonts w:ascii="Arial" w:hAnsi="Arial" w:cs="Arial"/>
                <w:sz w:val="14"/>
                <w:szCs w:val="14"/>
                <w:lang w:eastAsia="es-AR"/>
              </w:rPr>
              <w:t>Otros</w:t>
            </w:r>
          </w:p>
        </w:tc>
        <w:tc>
          <w:tcPr>
            <w:tcW w:w="1220" w:type="dxa"/>
            <w:tcBorders>
              <w:top w:val="nil"/>
              <w:left w:val="nil"/>
              <w:bottom w:val="nil"/>
              <w:right w:val="nil"/>
            </w:tcBorders>
            <w:shd w:val="clear" w:color="auto" w:fill="auto"/>
            <w:vAlign w:val="bottom"/>
          </w:tcPr>
          <w:p w14:paraId="0B57C516" w14:textId="694B9144" w:rsidR="007B2AE2" w:rsidRPr="007B2AE2" w:rsidRDefault="00144880" w:rsidP="007B2AE2">
            <w:pPr>
              <w:jc w:val="right"/>
              <w:rPr>
                <w:rFonts w:ascii="Arial" w:hAnsi="Arial" w:cs="Arial"/>
                <w:sz w:val="14"/>
                <w:szCs w:val="14"/>
                <w:lang w:eastAsia="es-AR"/>
              </w:rPr>
            </w:pPr>
            <w:r w:rsidRPr="00144880">
              <w:rPr>
                <w:rFonts w:ascii="Arial" w:hAnsi="Arial" w:cs="Arial"/>
                <w:sz w:val="14"/>
                <w:szCs w:val="14"/>
              </w:rPr>
              <w:t>2.977.07</w:t>
            </w:r>
            <w:r w:rsidR="00A96DEC">
              <w:rPr>
                <w:rFonts w:ascii="Arial" w:hAnsi="Arial" w:cs="Arial"/>
                <w:sz w:val="14"/>
                <w:szCs w:val="14"/>
              </w:rPr>
              <w:t>8</w:t>
            </w:r>
          </w:p>
        </w:tc>
        <w:tc>
          <w:tcPr>
            <w:tcW w:w="851" w:type="dxa"/>
            <w:tcBorders>
              <w:top w:val="nil"/>
              <w:left w:val="nil"/>
              <w:bottom w:val="nil"/>
              <w:right w:val="nil"/>
            </w:tcBorders>
            <w:shd w:val="clear" w:color="auto" w:fill="auto"/>
            <w:vAlign w:val="bottom"/>
          </w:tcPr>
          <w:p w14:paraId="41308335" w14:textId="44CD2982"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7D265427" w14:textId="0DBE471B"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42775C72" w14:textId="57BA9958"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78225A0D" w14:textId="2C99AA33"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58E5A05A" w14:textId="1E232937"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7C4591CE" w14:textId="45F0EFC8"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122C95" w:rsidRPr="00122C95" w14:paraId="02BC2DBC" w14:textId="77777777" w:rsidTr="007B2AE2">
        <w:trPr>
          <w:trHeight w:val="255"/>
        </w:trPr>
        <w:tc>
          <w:tcPr>
            <w:tcW w:w="3412" w:type="dxa"/>
            <w:tcBorders>
              <w:top w:val="nil"/>
              <w:left w:val="nil"/>
              <w:bottom w:val="nil"/>
              <w:right w:val="nil"/>
            </w:tcBorders>
            <w:shd w:val="clear" w:color="auto" w:fill="auto"/>
            <w:hideMark/>
          </w:tcPr>
          <w:p w14:paraId="1A3753CB" w14:textId="77777777" w:rsidR="00122C95" w:rsidRPr="00122C95" w:rsidRDefault="00122C95" w:rsidP="00122C95">
            <w:pPr>
              <w:rPr>
                <w:sz w:val="14"/>
                <w:szCs w:val="14"/>
                <w:lang w:eastAsia="es-AR"/>
              </w:rPr>
            </w:pPr>
          </w:p>
        </w:tc>
        <w:tc>
          <w:tcPr>
            <w:tcW w:w="1220" w:type="dxa"/>
            <w:tcBorders>
              <w:top w:val="nil"/>
              <w:left w:val="nil"/>
              <w:bottom w:val="nil"/>
              <w:right w:val="nil"/>
            </w:tcBorders>
            <w:shd w:val="clear" w:color="auto" w:fill="auto"/>
            <w:vAlign w:val="bottom"/>
          </w:tcPr>
          <w:p w14:paraId="57965DD3" w14:textId="77777777" w:rsidR="00122C95" w:rsidRPr="007B2AE2" w:rsidRDefault="00122C95" w:rsidP="007B2AE2">
            <w:pPr>
              <w:ind w:firstLineChars="200" w:firstLine="280"/>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3E9A41A4"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3ED51030"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0EDAD297"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7BCD9377" w14:textId="77777777" w:rsidR="00122C95" w:rsidRPr="007B2AE2" w:rsidRDefault="00122C95" w:rsidP="007B2AE2">
            <w:pPr>
              <w:jc w:val="right"/>
              <w:rPr>
                <w:rFonts w:ascii="Arial" w:hAnsi="Arial" w:cs="Arial"/>
                <w:sz w:val="14"/>
                <w:szCs w:val="14"/>
                <w:lang w:eastAsia="es-AR"/>
              </w:rPr>
            </w:pPr>
          </w:p>
        </w:tc>
        <w:tc>
          <w:tcPr>
            <w:tcW w:w="708" w:type="dxa"/>
            <w:tcBorders>
              <w:top w:val="nil"/>
              <w:left w:val="nil"/>
              <w:bottom w:val="nil"/>
              <w:right w:val="nil"/>
            </w:tcBorders>
            <w:shd w:val="clear" w:color="auto" w:fill="auto"/>
            <w:vAlign w:val="bottom"/>
          </w:tcPr>
          <w:p w14:paraId="189F274E"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2CB3A48B" w14:textId="77777777" w:rsidR="00122C95" w:rsidRPr="007B2AE2" w:rsidRDefault="00122C95" w:rsidP="007B2AE2">
            <w:pPr>
              <w:jc w:val="right"/>
              <w:rPr>
                <w:rFonts w:ascii="Arial" w:hAnsi="Arial" w:cs="Arial"/>
                <w:sz w:val="14"/>
                <w:szCs w:val="14"/>
                <w:lang w:eastAsia="es-AR"/>
              </w:rPr>
            </w:pPr>
          </w:p>
        </w:tc>
      </w:tr>
      <w:tr w:rsidR="007B2AE2" w:rsidRPr="00122C95" w14:paraId="3132F6A4" w14:textId="77777777" w:rsidTr="007B2AE2">
        <w:trPr>
          <w:trHeight w:val="245"/>
        </w:trPr>
        <w:tc>
          <w:tcPr>
            <w:tcW w:w="3412" w:type="dxa"/>
            <w:tcBorders>
              <w:top w:val="nil"/>
              <w:left w:val="nil"/>
              <w:bottom w:val="nil"/>
              <w:right w:val="nil"/>
            </w:tcBorders>
            <w:shd w:val="clear" w:color="auto" w:fill="auto"/>
            <w:hideMark/>
          </w:tcPr>
          <w:p w14:paraId="0833327B" w14:textId="77777777" w:rsidR="007B2AE2" w:rsidRPr="00122C95" w:rsidRDefault="007B2AE2" w:rsidP="007B2AE2">
            <w:pPr>
              <w:rPr>
                <w:rFonts w:ascii="Arial" w:hAnsi="Arial" w:cs="Arial"/>
                <w:b/>
                <w:bCs/>
                <w:sz w:val="14"/>
                <w:szCs w:val="14"/>
                <w:lang w:eastAsia="es-AR"/>
              </w:rPr>
            </w:pPr>
            <w:r w:rsidRPr="00122C95">
              <w:rPr>
                <w:rFonts w:ascii="Arial" w:hAnsi="Arial" w:cs="Arial"/>
                <w:b/>
                <w:bCs/>
                <w:sz w:val="14"/>
                <w:szCs w:val="14"/>
                <w:lang w:eastAsia="es-AR"/>
              </w:rPr>
              <w:t>Pasivos a valor razonable con cambios en resultados</w:t>
            </w:r>
          </w:p>
        </w:tc>
        <w:tc>
          <w:tcPr>
            <w:tcW w:w="1220" w:type="dxa"/>
            <w:tcBorders>
              <w:top w:val="nil"/>
              <w:left w:val="nil"/>
              <w:bottom w:val="nil"/>
              <w:right w:val="nil"/>
            </w:tcBorders>
            <w:shd w:val="clear" w:color="auto" w:fill="auto"/>
            <w:vAlign w:val="bottom"/>
          </w:tcPr>
          <w:p w14:paraId="2F246078" w14:textId="55951FD8" w:rsidR="007B2AE2" w:rsidRPr="007B2AE2" w:rsidRDefault="007B2AE2" w:rsidP="007B2AE2">
            <w:pPr>
              <w:jc w:val="right"/>
              <w:rPr>
                <w:rFonts w:ascii="Arial" w:hAnsi="Arial" w:cs="Arial"/>
                <w:b/>
                <w:bCs/>
                <w:sz w:val="14"/>
                <w:szCs w:val="14"/>
                <w:lang w:eastAsia="es-AR"/>
              </w:rPr>
            </w:pPr>
            <w:r w:rsidRPr="007B2AE2">
              <w:rPr>
                <w:rFonts w:ascii="Arial" w:hAnsi="Arial" w:cs="Arial"/>
                <w:b/>
                <w:bCs/>
                <w:sz w:val="14"/>
                <w:szCs w:val="14"/>
                <w:lang w:eastAsia="es-AR"/>
              </w:rPr>
              <w:t>-</w:t>
            </w:r>
          </w:p>
        </w:tc>
        <w:tc>
          <w:tcPr>
            <w:tcW w:w="851" w:type="dxa"/>
            <w:tcBorders>
              <w:top w:val="nil"/>
              <w:left w:val="nil"/>
              <w:bottom w:val="nil"/>
              <w:right w:val="nil"/>
            </w:tcBorders>
            <w:shd w:val="clear" w:color="auto" w:fill="auto"/>
            <w:vAlign w:val="bottom"/>
          </w:tcPr>
          <w:p w14:paraId="2195A684" w14:textId="472BAC77"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0521D2C3" w14:textId="71841EC7"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7D9F3287" w14:textId="46C91F05" w:rsidR="007B2AE2" w:rsidRPr="007B2AE2" w:rsidRDefault="00144880" w:rsidP="007B2AE2">
            <w:pPr>
              <w:jc w:val="right"/>
              <w:rPr>
                <w:rFonts w:ascii="Arial" w:hAnsi="Arial" w:cs="Arial"/>
                <w:sz w:val="14"/>
                <w:szCs w:val="14"/>
                <w:lang w:eastAsia="es-AR"/>
              </w:rPr>
            </w:pPr>
            <w:r w:rsidRPr="00144880">
              <w:rPr>
                <w:rFonts w:ascii="Arial" w:hAnsi="Arial" w:cs="Arial"/>
                <w:sz w:val="14"/>
                <w:szCs w:val="14"/>
              </w:rPr>
              <w:t>189.554</w:t>
            </w:r>
          </w:p>
        </w:tc>
        <w:tc>
          <w:tcPr>
            <w:tcW w:w="920" w:type="dxa"/>
            <w:tcBorders>
              <w:top w:val="nil"/>
              <w:left w:val="nil"/>
              <w:bottom w:val="nil"/>
              <w:right w:val="nil"/>
            </w:tcBorders>
            <w:shd w:val="clear" w:color="auto" w:fill="auto"/>
            <w:vAlign w:val="bottom"/>
          </w:tcPr>
          <w:p w14:paraId="5F6269A1" w14:textId="287609A2" w:rsidR="007B2AE2" w:rsidRPr="007B2AE2" w:rsidRDefault="00144880" w:rsidP="007B2AE2">
            <w:pPr>
              <w:jc w:val="right"/>
              <w:rPr>
                <w:rFonts w:ascii="Arial" w:hAnsi="Arial" w:cs="Arial"/>
                <w:sz w:val="14"/>
                <w:szCs w:val="14"/>
                <w:lang w:eastAsia="es-AR"/>
              </w:rPr>
            </w:pPr>
            <w:r w:rsidRPr="00144880">
              <w:rPr>
                <w:rFonts w:ascii="Arial" w:hAnsi="Arial" w:cs="Arial"/>
                <w:sz w:val="14"/>
                <w:szCs w:val="14"/>
              </w:rPr>
              <w:t>189.554</w:t>
            </w:r>
          </w:p>
        </w:tc>
        <w:tc>
          <w:tcPr>
            <w:tcW w:w="708" w:type="dxa"/>
            <w:tcBorders>
              <w:top w:val="nil"/>
              <w:left w:val="nil"/>
              <w:bottom w:val="nil"/>
              <w:right w:val="nil"/>
            </w:tcBorders>
            <w:shd w:val="clear" w:color="auto" w:fill="auto"/>
            <w:vAlign w:val="bottom"/>
          </w:tcPr>
          <w:p w14:paraId="5D7B1C07" w14:textId="61B8D216"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56EF30E0" w14:textId="749DB86B"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122C95" w:rsidRPr="00122C95" w14:paraId="36962B6D" w14:textId="77777777" w:rsidTr="007B2AE2">
        <w:trPr>
          <w:trHeight w:val="255"/>
        </w:trPr>
        <w:tc>
          <w:tcPr>
            <w:tcW w:w="3412" w:type="dxa"/>
            <w:tcBorders>
              <w:top w:val="nil"/>
              <w:left w:val="nil"/>
              <w:bottom w:val="nil"/>
              <w:right w:val="nil"/>
            </w:tcBorders>
            <w:shd w:val="clear" w:color="auto" w:fill="auto"/>
            <w:hideMark/>
          </w:tcPr>
          <w:p w14:paraId="0B2CAF53" w14:textId="77777777" w:rsidR="00122C95" w:rsidRPr="00122C95" w:rsidRDefault="00122C95" w:rsidP="00122C95">
            <w:pPr>
              <w:rPr>
                <w:sz w:val="14"/>
                <w:szCs w:val="14"/>
                <w:lang w:eastAsia="es-AR"/>
              </w:rPr>
            </w:pPr>
          </w:p>
        </w:tc>
        <w:tc>
          <w:tcPr>
            <w:tcW w:w="1220" w:type="dxa"/>
            <w:tcBorders>
              <w:top w:val="nil"/>
              <w:left w:val="nil"/>
              <w:bottom w:val="nil"/>
              <w:right w:val="nil"/>
            </w:tcBorders>
            <w:shd w:val="clear" w:color="auto" w:fill="auto"/>
            <w:vAlign w:val="bottom"/>
          </w:tcPr>
          <w:p w14:paraId="4C4EAA0A"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00DE25E4"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656050A7"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3B02F2AF"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7B24E49C" w14:textId="77777777" w:rsidR="00122C95" w:rsidRPr="007B2AE2" w:rsidRDefault="00122C95" w:rsidP="007B2AE2">
            <w:pPr>
              <w:jc w:val="right"/>
              <w:rPr>
                <w:rFonts w:ascii="Arial" w:hAnsi="Arial" w:cs="Arial"/>
                <w:sz w:val="14"/>
                <w:szCs w:val="14"/>
                <w:lang w:eastAsia="es-AR"/>
              </w:rPr>
            </w:pPr>
          </w:p>
        </w:tc>
        <w:tc>
          <w:tcPr>
            <w:tcW w:w="708" w:type="dxa"/>
            <w:tcBorders>
              <w:top w:val="nil"/>
              <w:left w:val="nil"/>
              <w:bottom w:val="nil"/>
              <w:right w:val="nil"/>
            </w:tcBorders>
            <w:shd w:val="clear" w:color="auto" w:fill="auto"/>
            <w:vAlign w:val="bottom"/>
          </w:tcPr>
          <w:p w14:paraId="516327FC"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6401DD5D" w14:textId="77777777" w:rsidR="00122C95" w:rsidRPr="007B2AE2" w:rsidRDefault="00122C95" w:rsidP="007B2AE2">
            <w:pPr>
              <w:jc w:val="right"/>
              <w:rPr>
                <w:rFonts w:ascii="Arial" w:hAnsi="Arial" w:cs="Arial"/>
                <w:sz w:val="14"/>
                <w:szCs w:val="14"/>
                <w:lang w:eastAsia="es-AR"/>
              </w:rPr>
            </w:pPr>
          </w:p>
        </w:tc>
      </w:tr>
      <w:tr w:rsidR="007B2AE2" w:rsidRPr="00122C95" w14:paraId="6B52ADC0" w14:textId="77777777" w:rsidTr="007B2AE2">
        <w:trPr>
          <w:trHeight w:val="255"/>
        </w:trPr>
        <w:tc>
          <w:tcPr>
            <w:tcW w:w="3412" w:type="dxa"/>
            <w:tcBorders>
              <w:top w:val="nil"/>
              <w:left w:val="nil"/>
              <w:bottom w:val="nil"/>
              <w:right w:val="nil"/>
            </w:tcBorders>
            <w:shd w:val="clear" w:color="auto" w:fill="auto"/>
            <w:hideMark/>
          </w:tcPr>
          <w:p w14:paraId="46411522" w14:textId="77777777" w:rsidR="007B2AE2" w:rsidRPr="00122C95" w:rsidRDefault="007B2AE2" w:rsidP="007B2AE2">
            <w:pPr>
              <w:rPr>
                <w:rFonts w:ascii="Arial" w:hAnsi="Arial" w:cs="Arial"/>
                <w:b/>
                <w:bCs/>
                <w:sz w:val="14"/>
                <w:szCs w:val="14"/>
                <w:lang w:eastAsia="es-AR"/>
              </w:rPr>
            </w:pPr>
            <w:r w:rsidRPr="00122C95">
              <w:rPr>
                <w:rFonts w:ascii="Arial" w:hAnsi="Arial" w:cs="Arial"/>
                <w:b/>
                <w:bCs/>
                <w:sz w:val="14"/>
                <w:szCs w:val="14"/>
                <w:lang w:eastAsia="es-AR"/>
              </w:rPr>
              <w:t>Operaciones de pase</w:t>
            </w:r>
          </w:p>
        </w:tc>
        <w:tc>
          <w:tcPr>
            <w:tcW w:w="1220" w:type="dxa"/>
            <w:tcBorders>
              <w:top w:val="nil"/>
              <w:left w:val="nil"/>
              <w:bottom w:val="nil"/>
              <w:right w:val="nil"/>
            </w:tcBorders>
            <w:shd w:val="clear" w:color="auto" w:fill="auto"/>
            <w:vAlign w:val="bottom"/>
          </w:tcPr>
          <w:p w14:paraId="49D498A9" w14:textId="77777777" w:rsidR="007B2AE2" w:rsidRPr="007B2AE2" w:rsidRDefault="007B2AE2" w:rsidP="007B2AE2">
            <w:pPr>
              <w:jc w:val="right"/>
              <w:rPr>
                <w:rFonts w:ascii="Arial" w:hAnsi="Arial" w:cs="Arial"/>
                <w:b/>
                <w:bCs/>
                <w:sz w:val="14"/>
                <w:szCs w:val="14"/>
                <w:lang w:eastAsia="es-AR"/>
              </w:rPr>
            </w:pPr>
          </w:p>
        </w:tc>
        <w:tc>
          <w:tcPr>
            <w:tcW w:w="851" w:type="dxa"/>
            <w:tcBorders>
              <w:top w:val="nil"/>
              <w:left w:val="nil"/>
              <w:bottom w:val="nil"/>
              <w:right w:val="nil"/>
            </w:tcBorders>
            <w:shd w:val="clear" w:color="auto" w:fill="auto"/>
            <w:vAlign w:val="bottom"/>
          </w:tcPr>
          <w:p w14:paraId="7BF16707" w14:textId="77777777" w:rsidR="007B2AE2" w:rsidRPr="007B2AE2" w:rsidRDefault="007B2AE2"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770A7D5D" w14:textId="77777777" w:rsidR="007B2AE2" w:rsidRPr="007B2AE2" w:rsidRDefault="007B2AE2"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68784282" w14:textId="77777777" w:rsidR="007B2AE2" w:rsidRPr="007B2AE2" w:rsidRDefault="007B2AE2"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689C5A74" w14:textId="77777777" w:rsidR="007B2AE2" w:rsidRPr="007B2AE2" w:rsidRDefault="007B2AE2" w:rsidP="007B2AE2">
            <w:pPr>
              <w:jc w:val="right"/>
              <w:rPr>
                <w:rFonts w:ascii="Arial" w:hAnsi="Arial" w:cs="Arial"/>
                <w:sz w:val="14"/>
                <w:szCs w:val="14"/>
                <w:lang w:eastAsia="es-AR"/>
              </w:rPr>
            </w:pPr>
          </w:p>
        </w:tc>
        <w:tc>
          <w:tcPr>
            <w:tcW w:w="708" w:type="dxa"/>
            <w:tcBorders>
              <w:top w:val="nil"/>
              <w:left w:val="nil"/>
              <w:bottom w:val="nil"/>
              <w:right w:val="nil"/>
            </w:tcBorders>
            <w:shd w:val="clear" w:color="auto" w:fill="auto"/>
            <w:vAlign w:val="bottom"/>
          </w:tcPr>
          <w:p w14:paraId="5146FD30" w14:textId="77777777" w:rsidR="007B2AE2" w:rsidRPr="007B2AE2" w:rsidRDefault="007B2AE2"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2B6C0D9B" w14:textId="77777777" w:rsidR="007B2AE2" w:rsidRPr="007B2AE2" w:rsidRDefault="007B2AE2" w:rsidP="007B2AE2">
            <w:pPr>
              <w:jc w:val="right"/>
              <w:rPr>
                <w:rFonts w:ascii="Arial" w:hAnsi="Arial" w:cs="Arial"/>
                <w:sz w:val="14"/>
                <w:szCs w:val="14"/>
                <w:lang w:eastAsia="es-AR"/>
              </w:rPr>
            </w:pPr>
          </w:p>
        </w:tc>
      </w:tr>
      <w:tr w:rsidR="007B2AE2" w:rsidRPr="00122C95" w14:paraId="017BD184" w14:textId="77777777" w:rsidTr="007B2AE2">
        <w:trPr>
          <w:trHeight w:val="255"/>
        </w:trPr>
        <w:tc>
          <w:tcPr>
            <w:tcW w:w="3412" w:type="dxa"/>
            <w:tcBorders>
              <w:top w:val="nil"/>
              <w:left w:val="nil"/>
              <w:bottom w:val="nil"/>
              <w:right w:val="nil"/>
            </w:tcBorders>
            <w:shd w:val="clear" w:color="auto" w:fill="auto"/>
            <w:hideMark/>
          </w:tcPr>
          <w:p w14:paraId="6236B9A5" w14:textId="77777777" w:rsidR="007B2AE2" w:rsidRPr="00122C95" w:rsidRDefault="007B2AE2" w:rsidP="007B2AE2">
            <w:pPr>
              <w:rPr>
                <w:rFonts w:ascii="Arial" w:hAnsi="Arial" w:cs="Arial"/>
                <w:sz w:val="14"/>
                <w:szCs w:val="14"/>
                <w:lang w:eastAsia="es-AR"/>
              </w:rPr>
            </w:pPr>
            <w:r w:rsidRPr="00122C95">
              <w:rPr>
                <w:rFonts w:ascii="Arial" w:hAnsi="Arial" w:cs="Arial"/>
                <w:sz w:val="14"/>
                <w:szCs w:val="14"/>
                <w:lang w:eastAsia="es-AR"/>
              </w:rPr>
              <w:t xml:space="preserve">     Otras Entidades financieras</w:t>
            </w:r>
          </w:p>
        </w:tc>
        <w:tc>
          <w:tcPr>
            <w:tcW w:w="1220" w:type="dxa"/>
            <w:tcBorders>
              <w:top w:val="nil"/>
              <w:left w:val="nil"/>
              <w:bottom w:val="nil"/>
              <w:right w:val="nil"/>
            </w:tcBorders>
            <w:shd w:val="clear" w:color="auto" w:fill="auto"/>
            <w:vAlign w:val="bottom"/>
          </w:tcPr>
          <w:p w14:paraId="687CE075" w14:textId="76FED096" w:rsidR="007B2AE2" w:rsidRPr="007B2AE2" w:rsidRDefault="00144880" w:rsidP="007B2AE2">
            <w:pPr>
              <w:jc w:val="right"/>
              <w:rPr>
                <w:rFonts w:ascii="Arial" w:hAnsi="Arial" w:cs="Arial"/>
                <w:sz w:val="14"/>
                <w:szCs w:val="14"/>
                <w:lang w:eastAsia="es-AR"/>
              </w:rPr>
            </w:pPr>
            <w:r w:rsidRPr="00144880">
              <w:rPr>
                <w:rFonts w:ascii="Arial" w:hAnsi="Arial" w:cs="Arial"/>
                <w:sz w:val="14"/>
                <w:szCs w:val="14"/>
              </w:rPr>
              <w:t>319.817</w:t>
            </w:r>
          </w:p>
        </w:tc>
        <w:tc>
          <w:tcPr>
            <w:tcW w:w="851" w:type="dxa"/>
            <w:tcBorders>
              <w:top w:val="nil"/>
              <w:left w:val="nil"/>
              <w:bottom w:val="nil"/>
              <w:right w:val="nil"/>
            </w:tcBorders>
            <w:shd w:val="clear" w:color="auto" w:fill="auto"/>
            <w:vAlign w:val="bottom"/>
          </w:tcPr>
          <w:p w14:paraId="19BBC977" w14:textId="56E5287F"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542C8F5B" w14:textId="304F7EBB"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4C846795" w14:textId="74BDA9AA"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0E868A96" w14:textId="2B22E7E1"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5A7F4C98" w14:textId="752665CC"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60AA5495" w14:textId="5D1C32C0"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122C95" w:rsidRPr="00122C95" w14:paraId="787AEFBA" w14:textId="77777777" w:rsidTr="007B2AE2">
        <w:trPr>
          <w:trHeight w:val="255"/>
        </w:trPr>
        <w:tc>
          <w:tcPr>
            <w:tcW w:w="3412" w:type="dxa"/>
            <w:tcBorders>
              <w:top w:val="nil"/>
              <w:left w:val="nil"/>
              <w:bottom w:val="nil"/>
              <w:right w:val="nil"/>
            </w:tcBorders>
            <w:shd w:val="clear" w:color="auto" w:fill="auto"/>
            <w:hideMark/>
          </w:tcPr>
          <w:p w14:paraId="06217253" w14:textId="77777777" w:rsidR="00122C95" w:rsidRPr="00122C95" w:rsidRDefault="00122C95" w:rsidP="00122C95">
            <w:pPr>
              <w:rPr>
                <w:sz w:val="14"/>
                <w:szCs w:val="14"/>
                <w:lang w:eastAsia="es-AR"/>
              </w:rPr>
            </w:pPr>
          </w:p>
        </w:tc>
        <w:tc>
          <w:tcPr>
            <w:tcW w:w="1220" w:type="dxa"/>
            <w:tcBorders>
              <w:top w:val="nil"/>
              <w:left w:val="nil"/>
              <w:bottom w:val="nil"/>
              <w:right w:val="nil"/>
            </w:tcBorders>
            <w:shd w:val="clear" w:color="auto" w:fill="auto"/>
            <w:vAlign w:val="bottom"/>
          </w:tcPr>
          <w:p w14:paraId="4C2B8490"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3C89664E"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7E269EB1"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2AA2DCC5"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44FC3DC5" w14:textId="77777777" w:rsidR="00122C95" w:rsidRPr="007B2AE2" w:rsidRDefault="00122C95" w:rsidP="007B2AE2">
            <w:pPr>
              <w:jc w:val="right"/>
              <w:rPr>
                <w:rFonts w:ascii="Arial" w:hAnsi="Arial" w:cs="Arial"/>
                <w:sz w:val="14"/>
                <w:szCs w:val="14"/>
                <w:lang w:eastAsia="es-AR"/>
              </w:rPr>
            </w:pPr>
          </w:p>
        </w:tc>
        <w:tc>
          <w:tcPr>
            <w:tcW w:w="708" w:type="dxa"/>
            <w:tcBorders>
              <w:top w:val="nil"/>
              <w:left w:val="nil"/>
              <w:bottom w:val="nil"/>
              <w:right w:val="nil"/>
            </w:tcBorders>
            <w:shd w:val="clear" w:color="auto" w:fill="auto"/>
            <w:vAlign w:val="bottom"/>
          </w:tcPr>
          <w:p w14:paraId="1BDA7DFE"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2820416E" w14:textId="77777777" w:rsidR="00122C95" w:rsidRPr="007B2AE2" w:rsidRDefault="00122C95" w:rsidP="007B2AE2">
            <w:pPr>
              <w:jc w:val="right"/>
              <w:rPr>
                <w:rFonts w:ascii="Arial" w:hAnsi="Arial" w:cs="Arial"/>
                <w:sz w:val="14"/>
                <w:szCs w:val="14"/>
                <w:lang w:eastAsia="es-AR"/>
              </w:rPr>
            </w:pPr>
          </w:p>
        </w:tc>
      </w:tr>
      <w:tr w:rsidR="007B2AE2" w:rsidRPr="00122C95" w14:paraId="435C5F93" w14:textId="77777777" w:rsidTr="007B2AE2">
        <w:trPr>
          <w:trHeight w:val="255"/>
        </w:trPr>
        <w:tc>
          <w:tcPr>
            <w:tcW w:w="3412" w:type="dxa"/>
            <w:tcBorders>
              <w:top w:val="nil"/>
              <w:left w:val="nil"/>
              <w:bottom w:val="nil"/>
              <w:right w:val="nil"/>
            </w:tcBorders>
            <w:shd w:val="clear" w:color="auto" w:fill="auto"/>
            <w:hideMark/>
          </w:tcPr>
          <w:p w14:paraId="1F4B9973" w14:textId="77777777" w:rsidR="007B2AE2" w:rsidRPr="00122C95" w:rsidRDefault="007B2AE2" w:rsidP="007B2AE2">
            <w:pPr>
              <w:rPr>
                <w:rFonts w:ascii="Arial" w:hAnsi="Arial" w:cs="Arial"/>
                <w:b/>
                <w:bCs/>
                <w:sz w:val="14"/>
                <w:szCs w:val="14"/>
                <w:lang w:eastAsia="es-AR"/>
              </w:rPr>
            </w:pPr>
            <w:r w:rsidRPr="00122C95">
              <w:rPr>
                <w:rFonts w:ascii="Arial" w:hAnsi="Arial" w:cs="Arial"/>
                <w:b/>
                <w:bCs/>
                <w:sz w:val="14"/>
                <w:szCs w:val="14"/>
                <w:lang w:eastAsia="es-AR"/>
              </w:rPr>
              <w:t>Otros pasivos financieros</w:t>
            </w:r>
          </w:p>
        </w:tc>
        <w:tc>
          <w:tcPr>
            <w:tcW w:w="1220" w:type="dxa"/>
            <w:tcBorders>
              <w:top w:val="nil"/>
              <w:left w:val="nil"/>
              <w:bottom w:val="nil"/>
              <w:right w:val="nil"/>
            </w:tcBorders>
            <w:shd w:val="clear" w:color="auto" w:fill="auto"/>
            <w:vAlign w:val="bottom"/>
          </w:tcPr>
          <w:p w14:paraId="324A9364" w14:textId="6BBD47FA" w:rsidR="007B2AE2" w:rsidRPr="007B2AE2" w:rsidRDefault="00144880" w:rsidP="007B2AE2">
            <w:pPr>
              <w:jc w:val="right"/>
              <w:rPr>
                <w:rFonts w:ascii="Arial" w:hAnsi="Arial" w:cs="Arial"/>
                <w:sz w:val="14"/>
                <w:szCs w:val="14"/>
                <w:lang w:eastAsia="es-AR"/>
              </w:rPr>
            </w:pPr>
            <w:r w:rsidRPr="00144880">
              <w:rPr>
                <w:rFonts w:ascii="Arial" w:hAnsi="Arial" w:cs="Arial"/>
                <w:sz w:val="14"/>
                <w:szCs w:val="14"/>
                <w:lang w:eastAsia="es-AR"/>
              </w:rPr>
              <w:t>921.813</w:t>
            </w:r>
          </w:p>
        </w:tc>
        <w:tc>
          <w:tcPr>
            <w:tcW w:w="851" w:type="dxa"/>
            <w:tcBorders>
              <w:top w:val="nil"/>
              <w:left w:val="nil"/>
              <w:bottom w:val="nil"/>
              <w:right w:val="nil"/>
            </w:tcBorders>
            <w:shd w:val="clear" w:color="auto" w:fill="auto"/>
            <w:vAlign w:val="bottom"/>
          </w:tcPr>
          <w:p w14:paraId="72052929" w14:textId="633B26DE"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4B08EED3" w14:textId="7AECA321"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30BEE1E8" w14:textId="1310D478" w:rsidR="007B2AE2" w:rsidRPr="007B2AE2" w:rsidRDefault="007953AC" w:rsidP="007B2AE2">
            <w:pPr>
              <w:jc w:val="right"/>
              <w:rPr>
                <w:rFonts w:ascii="Arial" w:hAnsi="Arial" w:cs="Arial"/>
                <w:sz w:val="14"/>
                <w:szCs w:val="14"/>
                <w:lang w:eastAsia="es-AR"/>
              </w:rPr>
            </w:pPr>
            <w:r w:rsidRPr="007953AC">
              <w:rPr>
                <w:rFonts w:ascii="Arial" w:hAnsi="Arial" w:cs="Arial"/>
                <w:sz w:val="14"/>
                <w:szCs w:val="14"/>
              </w:rPr>
              <w:t>5.996.738</w:t>
            </w:r>
          </w:p>
        </w:tc>
        <w:tc>
          <w:tcPr>
            <w:tcW w:w="920" w:type="dxa"/>
            <w:tcBorders>
              <w:top w:val="nil"/>
              <w:left w:val="nil"/>
              <w:bottom w:val="nil"/>
              <w:right w:val="nil"/>
            </w:tcBorders>
            <w:shd w:val="clear" w:color="auto" w:fill="auto"/>
            <w:vAlign w:val="bottom"/>
          </w:tcPr>
          <w:p w14:paraId="25ED3F2D" w14:textId="07B3AF40" w:rsidR="007B2AE2" w:rsidRPr="007B2AE2" w:rsidRDefault="007953AC" w:rsidP="007B2AE2">
            <w:pPr>
              <w:jc w:val="right"/>
              <w:rPr>
                <w:rFonts w:ascii="Arial" w:hAnsi="Arial" w:cs="Arial"/>
                <w:sz w:val="14"/>
                <w:szCs w:val="14"/>
                <w:lang w:eastAsia="es-AR"/>
              </w:rPr>
            </w:pPr>
            <w:r>
              <w:rPr>
                <w:rFonts w:ascii="Arial" w:hAnsi="Arial" w:cs="Arial"/>
                <w:sz w:val="14"/>
                <w:szCs w:val="14"/>
              </w:rPr>
              <w:t>5.996.738</w:t>
            </w:r>
          </w:p>
        </w:tc>
        <w:tc>
          <w:tcPr>
            <w:tcW w:w="708" w:type="dxa"/>
            <w:tcBorders>
              <w:top w:val="nil"/>
              <w:left w:val="nil"/>
              <w:bottom w:val="nil"/>
              <w:right w:val="nil"/>
            </w:tcBorders>
            <w:shd w:val="clear" w:color="auto" w:fill="auto"/>
            <w:vAlign w:val="bottom"/>
          </w:tcPr>
          <w:p w14:paraId="199D562D" w14:textId="64A3CC97"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43FFB1FF" w14:textId="1DD3E278" w:rsidR="007B2AE2"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122C95" w:rsidRPr="00122C95" w14:paraId="02AE71B6" w14:textId="77777777" w:rsidTr="007B2AE2">
        <w:trPr>
          <w:trHeight w:val="255"/>
        </w:trPr>
        <w:tc>
          <w:tcPr>
            <w:tcW w:w="3412" w:type="dxa"/>
            <w:tcBorders>
              <w:top w:val="nil"/>
              <w:left w:val="nil"/>
              <w:bottom w:val="nil"/>
              <w:right w:val="nil"/>
            </w:tcBorders>
            <w:shd w:val="clear" w:color="auto" w:fill="auto"/>
            <w:hideMark/>
          </w:tcPr>
          <w:p w14:paraId="49CB5F5F" w14:textId="77777777" w:rsidR="00122C95" w:rsidRPr="00122C95" w:rsidRDefault="00122C95" w:rsidP="00122C95">
            <w:pPr>
              <w:rPr>
                <w:sz w:val="14"/>
                <w:szCs w:val="14"/>
                <w:lang w:eastAsia="es-AR"/>
              </w:rPr>
            </w:pPr>
          </w:p>
        </w:tc>
        <w:tc>
          <w:tcPr>
            <w:tcW w:w="1220" w:type="dxa"/>
            <w:tcBorders>
              <w:top w:val="nil"/>
              <w:left w:val="nil"/>
              <w:bottom w:val="nil"/>
              <w:right w:val="nil"/>
            </w:tcBorders>
            <w:shd w:val="clear" w:color="auto" w:fill="auto"/>
            <w:vAlign w:val="bottom"/>
          </w:tcPr>
          <w:p w14:paraId="1A16989B"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6FE924A8"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5E3043A1"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7C9F6867"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0A752D5C" w14:textId="77777777" w:rsidR="00122C95" w:rsidRPr="007B2AE2" w:rsidRDefault="00122C95" w:rsidP="007B2AE2">
            <w:pPr>
              <w:jc w:val="right"/>
              <w:rPr>
                <w:rFonts w:ascii="Arial" w:hAnsi="Arial" w:cs="Arial"/>
                <w:sz w:val="14"/>
                <w:szCs w:val="14"/>
                <w:lang w:eastAsia="es-AR"/>
              </w:rPr>
            </w:pPr>
          </w:p>
        </w:tc>
        <w:tc>
          <w:tcPr>
            <w:tcW w:w="708" w:type="dxa"/>
            <w:tcBorders>
              <w:top w:val="nil"/>
              <w:left w:val="nil"/>
              <w:bottom w:val="nil"/>
              <w:right w:val="nil"/>
            </w:tcBorders>
            <w:shd w:val="clear" w:color="auto" w:fill="auto"/>
            <w:vAlign w:val="bottom"/>
          </w:tcPr>
          <w:p w14:paraId="4C59D24D"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2CE5B070" w14:textId="77777777" w:rsidR="00122C95" w:rsidRPr="007B2AE2" w:rsidRDefault="00122C95" w:rsidP="007B2AE2">
            <w:pPr>
              <w:jc w:val="right"/>
              <w:rPr>
                <w:rFonts w:ascii="Arial" w:hAnsi="Arial" w:cs="Arial"/>
                <w:sz w:val="14"/>
                <w:szCs w:val="14"/>
                <w:lang w:eastAsia="es-AR"/>
              </w:rPr>
            </w:pPr>
          </w:p>
        </w:tc>
      </w:tr>
      <w:tr w:rsidR="00122C95" w:rsidRPr="00122C95" w14:paraId="2787EFFD" w14:textId="77777777" w:rsidTr="007B2AE2">
        <w:trPr>
          <w:trHeight w:val="510"/>
        </w:trPr>
        <w:tc>
          <w:tcPr>
            <w:tcW w:w="3412" w:type="dxa"/>
            <w:tcBorders>
              <w:top w:val="nil"/>
              <w:left w:val="nil"/>
              <w:bottom w:val="nil"/>
              <w:right w:val="nil"/>
            </w:tcBorders>
            <w:shd w:val="clear" w:color="auto" w:fill="auto"/>
            <w:hideMark/>
          </w:tcPr>
          <w:p w14:paraId="794D0F5B" w14:textId="77777777" w:rsidR="00122C95" w:rsidRPr="00122C95" w:rsidRDefault="00122C95" w:rsidP="00122C95">
            <w:pPr>
              <w:rPr>
                <w:rFonts w:ascii="Arial" w:hAnsi="Arial" w:cs="Arial"/>
                <w:b/>
                <w:bCs/>
                <w:sz w:val="14"/>
                <w:szCs w:val="14"/>
                <w:lang w:eastAsia="es-AR"/>
              </w:rPr>
            </w:pPr>
            <w:r w:rsidRPr="00122C95">
              <w:rPr>
                <w:rFonts w:ascii="Arial" w:hAnsi="Arial" w:cs="Arial"/>
                <w:b/>
                <w:bCs/>
                <w:sz w:val="14"/>
                <w:szCs w:val="14"/>
                <w:lang w:eastAsia="es-AR"/>
              </w:rPr>
              <w:t>Financiaciones recibidas del BCRA y otras instituciones financieras</w:t>
            </w:r>
          </w:p>
        </w:tc>
        <w:tc>
          <w:tcPr>
            <w:tcW w:w="1220" w:type="dxa"/>
            <w:tcBorders>
              <w:top w:val="nil"/>
              <w:left w:val="nil"/>
              <w:bottom w:val="nil"/>
              <w:right w:val="nil"/>
            </w:tcBorders>
            <w:shd w:val="clear" w:color="auto" w:fill="auto"/>
            <w:vAlign w:val="bottom"/>
          </w:tcPr>
          <w:p w14:paraId="1C5317C4" w14:textId="2A712F22" w:rsidR="00122C95" w:rsidRPr="007B2AE2" w:rsidRDefault="00144880" w:rsidP="007B2AE2">
            <w:pPr>
              <w:jc w:val="right"/>
              <w:rPr>
                <w:rFonts w:ascii="Arial" w:hAnsi="Arial" w:cs="Arial"/>
                <w:sz w:val="14"/>
                <w:szCs w:val="14"/>
                <w:lang w:eastAsia="es-AR"/>
              </w:rPr>
            </w:pPr>
            <w:r w:rsidRPr="00144880">
              <w:rPr>
                <w:rFonts w:ascii="Arial" w:hAnsi="Arial" w:cs="Arial"/>
                <w:sz w:val="14"/>
                <w:szCs w:val="14"/>
                <w:lang w:eastAsia="es-AR"/>
              </w:rPr>
              <w:t>9.014.608</w:t>
            </w:r>
          </w:p>
        </w:tc>
        <w:tc>
          <w:tcPr>
            <w:tcW w:w="851" w:type="dxa"/>
            <w:tcBorders>
              <w:top w:val="nil"/>
              <w:left w:val="nil"/>
              <w:bottom w:val="nil"/>
              <w:right w:val="nil"/>
            </w:tcBorders>
            <w:shd w:val="clear" w:color="auto" w:fill="auto"/>
            <w:vAlign w:val="bottom"/>
          </w:tcPr>
          <w:p w14:paraId="3AC36E6E" w14:textId="6F4EF27B"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76703C96" w14:textId="42B93EBC"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4AD14366" w14:textId="57A89B6C"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5913721A" w14:textId="7A5F5200"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5A0D2550" w14:textId="35D9CD0D"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455D4E0C" w14:textId="7F9C39B8"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122C95" w:rsidRPr="00122C95" w14:paraId="345C7F1C" w14:textId="77777777" w:rsidTr="007B2AE2">
        <w:trPr>
          <w:trHeight w:val="255"/>
        </w:trPr>
        <w:tc>
          <w:tcPr>
            <w:tcW w:w="3412" w:type="dxa"/>
            <w:tcBorders>
              <w:top w:val="nil"/>
              <w:left w:val="nil"/>
              <w:bottom w:val="nil"/>
              <w:right w:val="nil"/>
            </w:tcBorders>
            <w:shd w:val="clear" w:color="auto" w:fill="auto"/>
            <w:hideMark/>
          </w:tcPr>
          <w:p w14:paraId="250E7748" w14:textId="77777777" w:rsidR="00122C95" w:rsidRPr="00122C95" w:rsidRDefault="00122C95" w:rsidP="00122C95">
            <w:pPr>
              <w:rPr>
                <w:sz w:val="14"/>
                <w:szCs w:val="14"/>
                <w:lang w:eastAsia="es-AR"/>
              </w:rPr>
            </w:pPr>
          </w:p>
        </w:tc>
        <w:tc>
          <w:tcPr>
            <w:tcW w:w="1220" w:type="dxa"/>
            <w:tcBorders>
              <w:top w:val="nil"/>
              <w:left w:val="nil"/>
              <w:bottom w:val="nil"/>
              <w:right w:val="nil"/>
            </w:tcBorders>
            <w:shd w:val="clear" w:color="auto" w:fill="auto"/>
            <w:vAlign w:val="bottom"/>
          </w:tcPr>
          <w:p w14:paraId="3702CBBD"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014EEF8D"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4C489830"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18034A79"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514CCB83" w14:textId="77777777" w:rsidR="00122C95" w:rsidRPr="007B2AE2" w:rsidRDefault="00122C95" w:rsidP="007B2AE2">
            <w:pPr>
              <w:jc w:val="right"/>
              <w:rPr>
                <w:rFonts w:ascii="Arial" w:hAnsi="Arial" w:cs="Arial"/>
                <w:sz w:val="14"/>
                <w:szCs w:val="14"/>
                <w:lang w:eastAsia="es-AR"/>
              </w:rPr>
            </w:pPr>
          </w:p>
        </w:tc>
        <w:tc>
          <w:tcPr>
            <w:tcW w:w="708" w:type="dxa"/>
            <w:tcBorders>
              <w:top w:val="nil"/>
              <w:left w:val="nil"/>
              <w:bottom w:val="nil"/>
              <w:right w:val="nil"/>
            </w:tcBorders>
            <w:shd w:val="clear" w:color="auto" w:fill="auto"/>
            <w:vAlign w:val="bottom"/>
          </w:tcPr>
          <w:p w14:paraId="0A284C57"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470560B9" w14:textId="77777777" w:rsidR="00122C95" w:rsidRPr="007B2AE2" w:rsidRDefault="00122C95" w:rsidP="007B2AE2">
            <w:pPr>
              <w:jc w:val="right"/>
              <w:rPr>
                <w:rFonts w:ascii="Arial" w:hAnsi="Arial" w:cs="Arial"/>
                <w:sz w:val="14"/>
                <w:szCs w:val="14"/>
                <w:lang w:eastAsia="es-AR"/>
              </w:rPr>
            </w:pPr>
          </w:p>
        </w:tc>
      </w:tr>
      <w:tr w:rsidR="00122C95" w:rsidRPr="00122C95" w14:paraId="1AC3B260" w14:textId="77777777" w:rsidTr="007B2AE2">
        <w:trPr>
          <w:trHeight w:val="255"/>
        </w:trPr>
        <w:tc>
          <w:tcPr>
            <w:tcW w:w="3412" w:type="dxa"/>
            <w:tcBorders>
              <w:top w:val="nil"/>
              <w:left w:val="nil"/>
              <w:bottom w:val="nil"/>
              <w:right w:val="nil"/>
            </w:tcBorders>
            <w:shd w:val="clear" w:color="auto" w:fill="auto"/>
            <w:hideMark/>
          </w:tcPr>
          <w:p w14:paraId="5B853035" w14:textId="77777777" w:rsidR="00122C95" w:rsidRPr="00122C95" w:rsidRDefault="00122C95" w:rsidP="00122C95">
            <w:pPr>
              <w:rPr>
                <w:rFonts w:ascii="Arial" w:hAnsi="Arial" w:cs="Arial"/>
                <w:b/>
                <w:bCs/>
                <w:sz w:val="14"/>
                <w:szCs w:val="14"/>
                <w:lang w:eastAsia="es-AR"/>
              </w:rPr>
            </w:pPr>
            <w:r w:rsidRPr="00122C95">
              <w:rPr>
                <w:rFonts w:ascii="Arial" w:hAnsi="Arial" w:cs="Arial"/>
                <w:b/>
                <w:bCs/>
                <w:sz w:val="14"/>
                <w:szCs w:val="14"/>
                <w:lang w:eastAsia="es-AR"/>
              </w:rPr>
              <w:t>Obligaciones negociables emitidas</w:t>
            </w:r>
          </w:p>
        </w:tc>
        <w:tc>
          <w:tcPr>
            <w:tcW w:w="1220" w:type="dxa"/>
            <w:tcBorders>
              <w:top w:val="nil"/>
              <w:left w:val="nil"/>
              <w:bottom w:val="nil"/>
              <w:right w:val="nil"/>
            </w:tcBorders>
            <w:shd w:val="clear" w:color="auto" w:fill="auto"/>
            <w:vAlign w:val="bottom"/>
          </w:tcPr>
          <w:p w14:paraId="1F9755B2" w14:textId="7AC071F1" w:rsidR="00122C95"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6.070.917</w:t>
            </w:r>
          </w:p>
        </w:tc>
        <w:tc>
          <w:tcPr>
            <w:tcW w:w="851" w:type="dxa"/>
            <w:tcBorders>
              <w:top w:val="nil"/>
              <w:left w:val="nil"/>
              <w:bottom w:val="nil"/>
              <w:right w:val="nil"/>
            </w:tcBorders>
            <w:shd w:val="clear" w:color="auto" w:fill="auto"/>
            <w:vAlign w:val="bottom"/>
          </w:tcPr>
          <w:p w14:paraId="0BBF4B7C" w14:textId="275F4B6B"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44BF81E7" w14:textId="11A11CF6"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01E75B0E" w14:textId="079F1AC7"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239CDD49" w14:textId="230A8022"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53E21203" w14:textId="5DFE9693"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22D9DB6D" w14:textId="530B39B1"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122C95" w:rsidRPr="00122C95" w14:paraId="6B9AE78F" w14:textId="77777777" w:rsidTr="007B2AE2">
        <w:trPr>
          <w:trHeight w:val="255"/>
        </w:trPr>
        <w:tc>
          <w:tcPr>
            <w:tcW w:w="3412" w:type="dxa"/>
            <w:tcBorders>
              <w:top w:val="nil"/>
              <w:left w:val="nil"/>
              <w:bottom w:val="nil"/>
              <w:right w:val="nil"/>
            </w:tcBorders>
            <w:shd w:val="clear" w:color="auto" w:fill="auto"/>
            <w:hideMark/>
          </w:tcPr>
          <w:p w14:paraId="609ED52E" w14:textId="77777777" w:rsidR="00122C95" w:rsidRPr="00122C95" w:rsidRDefault="00122C95" w:rsidP="00122C95">
            <w:pPr>
              <w:rPr>
                <w:sz w:val="14"/>
                <w:szCs w:val="14"/>
                <w:lang w:eastAsia="es-AR"/>
              </w:rPr>
            </w:pPr>
          </w:p>
        </w:tc>
        <w:tc>
          <w:tcPr>
            <w:tcW w:w="1220" w:type="dxa"/>
            <w:tcBorders>
              <w:top w:val="nil"/>
              <w:left w:val="nil"/>
              <w:bottom w:val="nil"/>
              <w:right w:val="nil"/>
            </w:tcBorders>
            <w:shd w:val="clear" w:color="auto" w:fill="auto"/>
            <w:vAlign w:val="bottom"/>
          </w:tcPr>
          <w:p w14:paraId="48652A6A"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6C190324"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169A65BB"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3C3D6EE8"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1BD4880F" w14:textId="77777777" w:rsidR="00122C95" w:rsidRPr="007B2AE2" w:rsidRDefault="00122C95" w:rsidP="007B2AE2">
            <w:pPr>
              <w:jc w:val="right"/>
              <w:rPr>
                <w:rFonts w:ascii="Arial" w:hAnsi="Arial" w:cs="Arial"/>
                <w:sz w:val="14"/>
                <w:szCs w:val="14"/>
                <w:lang w:eastAsia="es-AR"/>
              </w:rPr>
            </w:pPr>
          </w:p>
        </w:tc>
        <w:tc>
          <w:tcPr>
            <w:tcW w:w="708" w:type="dxa"/>
            <w:tcBorders>
              <w:top w:val="nil"/>
              <w:left w:val="nil"/>
              <w:bottom w:val="nil"/>
              <w:right w:val="nil"/>
            </w:tcBorders>
            <w:shd w:val="clear" w:color="auto" w:fill="auto"/>
            <w:vAlign w:val="bottom"/>
          </w:tcPr>
          <w:p w14:paraId="43746FC1"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64F023D1" w14:textId="77777777" w:rsidR="00122C95" w:rsidRPr="007B2AE2" w:rsidRDefault="00122C95" w:rsidP="007B2AE2">
            <w:pPr>
              <w:jc w:val="right"/>
              <w:rPr>
                <w:rFonts w:ascii="Arial" w:hAnsi="Arial" w:cs="Arial"/>
                <w:sz w:val="14"/>
                <w:szCs w:val="14"/>
                <w:lang w:eastAsia="es-AR"/>
              </w:rPr>
            </w:pPr>
          </w:p>
        </w:tc>
      </w:tr>
      <w:tr w:rsidR="00122C95" w:rsidRPr="00122C95" w14:paraId="31E1E6A7" w14:textId="77777777" w:rsidTr="007B2AE2">
        <w:trPr>
          <w:trHeight w:val="255"/>
        </w:trPr>
        <w:tc>
          <w:tcPr>
            <w:tcW w:w="3412" w:type="dxa"/>
            <w:tcBorders>
              <w:top w:val="nil"/>
              <w:left w:val="nil"/>
              <w:bottom w:val="nil"/>
              <w:right w:val="nil"/>
            </w:tcBorders>
            <w:shd w:val="clear" w:color="auto" w:fill="auto"/>
            <w:hideMark/>
          </w:tcPr>
          <w:p w14:paraId="30B24299" w14:textId="77777777" w:rsidR="00122C95" w:rsidRPr="00122C95" w:rsidRDefault="00122C95" w:rsidP="00122C95">
            <w:pPr>
              <w:rPr>
                <w:rFonts w:ascii="Arial" w:hAnsi="Arial" w:cs="Arial"/>
                <w:b/>
                <w:bCs/>
                <w:sz w:val="14"/>
                <w:szCs w:val="14"/>
                <w:lang w:eastAsia="es-AR"/>
              </w:rPr>
            </w:pPr>
            <w:r w:rsidRPr="00122C95">
              <w:rPr>
                <w:rFonts w:ascii="Arial" w:hAnsi="Arial" w:cs="Arial"/>
                <w:b/>
                <w:bCs/>
                <w:sz w:val="14"/>
                <w:szCs w:val="14"/>
                <w:lang w:eastAsia="es-AR"/>
              </w:rPr>
              <w:t>Obligaciones negociables subordinadas</w:t>
            </w:r>
          </w:p>
        </w:tc>
        <w:tc>
          <w:tcPr>
            <w:tcW w:w="1220" w:type="dxa"/>
            <w:tcBorders>
              <w:top w:val="nil"/>
              <w:left w:val="nil"/>
              <w:bottom w:val="nil"/>
              <w:right w:val="nil"/>
            </w:tcBorders>
            <w:shd w:val="clear" w:color="auto" w:fill="auto"/>
            <w:vAlign w:val="bottom"/>
          </w:tcPr>
          <w:p w14:paraId="41B1C5EB" w14:textId="16B44856" w:rsidR="00122C95" w:rsidRPr="007B2AE2" w:rsidRDefault="007B2AE2" w:rsidP="007B2AE2">
            <w:pPr>
              <w:jc w:val="right"/>
              <w:rPr>
                <w:rFonts w:ascii="Arial" w:hAnsi="Arial" w:cs="Arial"/>
                <w:sz w:val="14"/>
                <w:szCs w:val="14"/>
                <w:lang w:eastAsia="es-AR"/>
              </w:rPr>
            </w:pPr>
            <w:r w:rsidRPr="007B2AE2">
              <w:rPr>
                <w:rFonts w:ascii="Arial" w:hAnsi="Arial" w:cs="Arial"/>
                <w:sz w:val="14"/>
                <w:szCs w:val="14"/>
                <w:lang w:eastAsia="es-AR"/>
              </w:rPr>
              <w:t>2.119.888</w:t>
            </w:r>
          </w:p>
        </w:tc>
        <w:tc>
          <w:tcPr>
            <w:tcW w:w="851" w:type="dxa"/>
            <w:tcBorders>
              <w:top w:val="nil"/>
              <w:left w:val="nil"/>
              <w:bottom w:val="nil"/>
              <w:right w:val="nil"/>
            </w:tcBorders>
            <w:shd w:val="clear" w:color="auto" w:fill="auto"/>
            <w:vAlign w:val="bottom"/>
          </w:tcPr>
          <w:p w14:paraId="5C029625" w14:textId="0DDD2037"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6A46F81C" w14:textId="7729975F"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3FA92EE0" w14:textId="6CE0D02C"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920" w:type="dxa"/>
            <w:tcBorders>
              <w:top w:val="nil"/>
              <w:left w:val="nil"/>
              <w:bottom w:val="nil"/>
              <w:right w:val="nil"/>
            </w:tcBorders>
            <w:shd w:val="clear" w:color="auto" w:fill="auto"/>
            <w:vAlign w:val="bottom"/>
          </w:tcPr>
          <w:p w14:paraId="58782602" w14:textId="7DD30241"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14570461" w14:textId="64E27064"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c>
          <w:tcPr>
            <w:tcW w:w="851" w:type="dxa"/>
            <w:tcBorders>
              <w:top w:val="nil"/>
              <w:left w:val="nil"/>
              <w:bottom w:val="nil"/>
              <w:right w:val="nil"/>
            </w:tcBorders>
            <w:shd w:val="clear" w:color="auto" w:fill="auto"/>
            <w:vAlign w:val="bottom"/>
          </w:tcPr>
          <w:p w14:paraId="694FB50F" w14:textId="0AE374F9" w:rsidR="00122C95" w:rsidRPr="007B2AE2" w:rsidRDefault="007B2AE2" w:rsidP="007B2AE2">
            <w:pPr>
              <w:jc w:val="right"/>
              <w:rPr>
                <w:rFonts w:ascii="Arial" w:hAnsi="Arial" w:cs="Arial"/>
                <w:sz w:val="14"/>
                <w:szCs w:val="14"/>
                <w:lang w:eastAsia="es-AR"/>
              </w:rPr>
            </w:pPr>
            <w:r>
              <w:rPr>
                <w:rFonts w:ascii="Arial" w:hAnsi="Arial" w:cs="Arial"/>
                <w:sz w:val="14"/>
                <w:szCs w:val="14"/>
                <w:lang w:eastAsia="es-AR"/>
              </w:rPr>
              <w:t>-</w:t>
            </w:r>
          </w:p>
        </w:tc>
      </w:tr>
      <w:tr w:rsidR="00122C95" w:rsidRPr="00122C95" w14:paraId="525AA540" w14:textId="77777777" w:rsidTr="007B2AE2">
        <w:trPr>
          <w:trHeight w:val="255"/>
        </w:trPr>
        <w:tc>
          <w:tcPr>
            <w:tcW w:w="3412" w:type="dxa"/>
            <w:tcBorders>
              <w:top w:val="nil"/>
              <w:left w:val="nil"/>
              <w:bottom w:val="nil"/>
              <w:right w:val="nil"/>
            </w:tcBorders>
            <w:shd w:val="clear" w:color="auto" w:fill="auto"/>
            <w:hideMark/>
          </w:tcPr>
          <w:p w14:paraId="425A6537" w14:textId="77777777" w:rsidR="00122C95" w:rsidRPr="00122C95" w:rsidRDefault="00122C95" w:rsidP="00122C95">
            <w:pPr>
              <w:rPr>
                <w:sz w:val="14"/>
                <w:szCs w:val="14"/>
                <w:lang w:eastAsia="es-AR"/>
              </w:rPr>
            </w:pPr>
          </w:p>
        </w:tc>
        <w:tc>
          <w:tcPr>
            <w:tcW w:w="1220" w:type="dxa"/>
            <w:tcBorders>
              <w:top w:val="nil"/>
              <w:left w:val="nil"/>
              <w:bottom w:val="nil"/>
              <w:right w:val="nil"/>
            </w:tcBorders>
            <w:shd w:val="clear" w:color="auto" w:fill="auto"/>
            <w:vAlign w:val="bottom"/>
          </w:tcPr>
          <w:p w14:paraId="20E9D2F0"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454E0080" w14:textId="77777777" w:rsidR="00122C95" w:rsidRPr="007B2AE2" w:rsidRDefault="00122C95" w:rsidP="007B2AE2">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5C761AFF"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39F68313" w14:textId="77777777" w:rsidR="00122C95" w:rsidRPr="007B2AE2" w:rsidRDefault="00122C95" w:rsidP="007B2AE2">
            <w:pPr>
              <w:jc w:val="right"/>
              <w:rPr>
                <w:rFonts w:ascii="Arial" w:hAnsi="Arial" w:cs="Arial"/>
                <w:sz w:val="14"/>
                <w:szCs w:val="14"/>
                <w:lang w:eastAsia="es-AR"/>
              </w:rPr>
            </w:pPr>
          </w:p>
        </w:tc>
        <w:tc>
          <w:tcPr>
            <w:tcW w:w="920" w:type="dxa"/>
            <w:tcBorders>
              <w:top w:val="nil"/>
              <w:left w:val="nil"/>
              <w:bottom w:val="nil"/>
              <w:right w:val="nil"/>
            </w:tcBorders>
            <w:shd w:val="clear" w:color="auto" w:fill="auto"/>
            <w:vAlign w:val="bottom"/>
          </w:tcPr>
          <w:p w14:paraId="410F52F5" w14:textId="77777777" w:rsidR="00122C95" w:rsidRPr="007B2AE2" w:rsidRDefault="00122C95" w:rsidP="007B2AE2">
            <w:pPr>
              <w:jc w:val="right"/>
              <w:rPr>
                <w:rFonts w:ascii="Arial" w:hAnsi="Arial" w:cs="Arial"/>
                <w:sz w:val="14"/>
                <w:szCs w:val="14"/>
                <w:lang w:eastAsia="es-AR"/>
              </w:rPr>
            </w:pPr>
          </w:p>
        </w:tc>
        <w:tc>
          <w:tcPr>
            <w:tcW w:w="708" w:type="dxa"/>
            <w:tcBorders>
              <w:top w:val="nil"/>
              <w:left w:val="nil"/>
              <w:bottom w:val="nil"/>
              <w:right w:val="nil"/>
            </w:tcBorders>
            <w:shd w:val="clear" w:color="auto" w:fill="auto"/>
            <w:vAlign w:val="bottom"/>
          </w:tcPr>
          <w:p w14:paraId="03EE5FCB" w14:textId="77777777" w:rsidR="00122C95" w:rsidRPr="007B2AE2" w:rsidRDefault="00122C95" w:rsidP="007B2AE2">
            <w:pPr>
              <w:jc w:val="right"/>
              <w:rPr>
                <w:rFonts w:ascii="Arial" w:hAnsi="Arial" w:cs="Arial"/>
                <w:sz w:val="14"/>
                <w:szCs w:val="14"/>
                <w:lang w:eastAsia="es-AR"/>
              </w:rPr>
            </w:pPr>
          </w:p>
        </w:tc>
        <w:tc>
          <w:tcPr>
            <w:tcW w:w="851" w:type="dxa"/>
            <w:tcBorders>
              <w:top w:val="nil"/>
              <w:left w:val="nil"/>
              <w:bottom w:val="nil"/>
              <w:right w:val="nil"/>
            </w:tcBorders>
            <w:shd w:val="clear" w:color="auto" w:fill="auto"/>
            <w:vAlign w:val="bottom"/>
          </w:tcPr>
          <w:p w14:paraId="6ADD999A" w14:textId="77777777" w:rsidR="00122C95" w:rsidRPr="007B2AE2" w:rsidRDefault="00122C95" w:rsidP="007B2AE2">
            <w:pPr>
              <w:jc w:val="right"/>
              <w:rPr>
                <w:rFonts w:ascii="Arial" w:hAnsi="Arial" w:cs="Arial"/>
                <w:sz w:val="14"/>
                <w:szCs w:val="14"/>
                <w:lang w:eastAsia="es-AR"/>
              </w:rPr>
            </w:pPr>
          </w:p>
        </w:tc>
      </w:tr>
      <w:tr w:rsidR="007B2AE2" w:rsidRPr="00122C95" w14:paraId="4C81066A" w14:textId="77777777" w:rsidTr="007B2AE2">
        <w:trPr>
          <w:trHeight w:val="255"/>
        </w:trPr>
        <w:tc>
          <w:tcPr>
            <w:tcW w:w="3412" w:type="dxa"/>
            <w:tcBorders>
              <w:top w:val="nil"/>
              <w:left w:val="nil"/>
              <w:bottom w:val="nil"/>
              <w:right w:val="nil"/>
            </w:tcBorders>
            <w:shd w:val="clear" w:color="auto" w:fill="auto"/>
            <w:hideMark/>
          </w:tcPr>
          <w:p w14:paraId="7A826F46" w14:textId="77777777" w:rsidR="007B2AE2" w:rsidRPr="00122C95" w:rsidRDefault="007B2AE2" w:rsidP="007B2AE2">
            <w:pPr>
              <w:rPr>
                <w:rFonts w:ascii="Arial" w:hAnsi="Arial" w:cs="Arial"/>
                <w:b/>
                <w:bCs/>
                <w:sz w:val="14"/>
                <w:szCs w:val="14"/>
                <w:lang w:eastAsia="es-AR"/>
              </w:rPr>
            </w:pPr>
            <w:r w:rsidRPr="00122C95">
              <w:rPr>
                <w:rFonts w:ascii="Arial" w:hAnsi="Arial" w:cs="Arial"/>
                <w:b/>
                <w:bCs/>
                <w:sz w:val="14"/>
                <w:szCs w:val="14"/>
                <w:lang w:eastAsia="es-AR"/>
              </w:rPr>
              <w:t>TOTAL PASIVOS FINANCIEROS</w:t>
            </w:r>
          </w:p>
        </w:tc>
        <w:tc>
          <w:tcPr>
            <w:tcW w:w="1220" w:type="dxa"/>
            <w:tcBorders>
              <w:top w:val="single" w:sz="4" w:space="0" w:color="auto"/>
              <w:left w:val="nil"/>
              <w:bottom w:val="single" w:sz="4" w:space="0" w:color="auto"/>
              <w:right w:val="nil"/>
            </w:tcBorders>
            <w:shd w:val="clear" w:color="auto" w:fill="auto"/>
            <w:vAlign w:val="bottom"/>
          </w:tcPr>
          <w:p w14:paraId="78F3C743" w14:textId="297BF18F" w:rsidR="007B2AE2" w:rsidRPr="007B2AE2" w:rsidRDefault="00144880" w:rsidP="007B2AE2">
            <w:pPr>
              <w:jc w:val="right"/>
              <w:rPr>
                <w:rFonts w:ascii="Arial" w:hAnsi="Arial" w:cs="Arial"/>
                <w:b/>
                <w:bCs/>
                <w:sz w:val="14"/>
                <w:szCs w:val="14"/>
                <w:lang w:eastAsia="es-AR"/>
              </w:rPr>
            </w:pPr>
            <w:r w:rsidRPr="00144880">
              <w:rPr>
                <w:rFonts w:ascii="Arial" w:hAnsi="Arial" w:cs="Arial"/>
                <w:b/>
                <w:bCs/>
                <w:sz w:val="14"/>
                <w:szCs w:val="14"/>
                <w:lang w:eastAsia="es-AR"/>
              </w:rPr>
              <w:t>109.924.509</w:t>
            </w:r>
          </w:p>
        </w:tc>
        <w:tc>
          <w:tcPr>
            <w:tcW w:w="851" w:type="dxa"/>
            <w:tcBorders>
              <w:top w:val="single" w:sz="4" w:space="0" w:color="auto"/>
              <w:left w:val="nil"/>
              <w:bottom w:val="single" w:sz="4" w:space="0" w:color="auto"/>
              <w:right w:val="nil"/>
            </w:tcBorders>
            <w:shd w:val="clear" w:color="auto" w:fill="auto"/>
            <w:vAlign w:val="bottom"/>
          </w:tcPr>
          <w:p w14:paraId="3B3058D7" w14:textId="26AE35E0" w:rsidR="007B2AE2" w:rsidRPr="007B2AE2" w:rsidRDefault="007B2AE2" w:rsidP="007B2AE2">
            <w:pPr>
              <w:jc w:val="right"/>
              <w:rPr>
                <w:rFonts w:ascii="Arial" w:hAnsi="Arial" w:cs="Arial"/>
                <w:b/>
                <w:bCs/>
                <w:sz w:val="14"/>
                <w:szCs w:val="14"/>
                <w:lang w:eastAsia="es-AR"/>
              </w:rPr>
            </w:pPr>
            <w:r>
              <w:rPr>
                <w:rFonts w:ascii="Arial" w:hAnsi="Arial" w:cs="Arial"/>
                <w:b/>
                <w:bCs/>
                <w:sz w:val="14"/>
                <w:szCs w:val="14"/>
                <w:lang w:eastAsia="es-AR"/>
              </w:rPr>
              <w:t>-</w:t>
            </w:r>
          </w:p>
        </w:tc>
        <w:tc>
          <w:tcPr>
            <w:tcW w:w="1360" w:type="dxa"/>
            <w:tcBorders>
              <w:top w:val="single" w:sz="4" w:space="0" w:color="auto"/>
              <w:left w:val="nil"/>
              <w:bottom w:val="single" w:sz="4" w:space="0" w:color="auto"/>
              <w:right w:val="nil"/>
            </w:tcBorders>
            <w:shd w:val="clear" w:color="auto" w:fill="auto"/>
            <w:vAlign w:val="bottom"/>
          </w:tcPr>
          <w:p w14:paraId="48CD018D" w14:textId="1356F1CF" w:rsidR="007B2AE2" w:rsidRPr="007B2AE2" w:rsidRDefault="007B2AE2" w:rsidP="007B2AE2">
            <w:pPr>
              <w:jc w:val="right"/>
              <w:rPr>
                <w:rFonts w:ascii="Arial" w:hAnsi="Arial" w:cs="Arial"/>
                <w:b/>
                <w:bCs/>
                <w:sz w:val="14"/>
                <w:szCs w:val="14"/>
                <w:lang w:eastAsia="es-AR"/>
              </w:rPr>
            </w:pPr>
            <w:r>
              <w:rPr>
                <w:rFonts w:ascii="Arial" w:hAnsi="Arial" w:cs="Arial"/>
                <w:b/>
                <w:bCs/>
                <w:sz w:val="14"/>
                <w:szCs w:val="14"/>
                <w:lang w:eastAsia="es-AR"/>
              </w:rPr>
              <w:t>-</w:t>
            </w:r>
          </w:p>
        </w:tc>
        <w:tc>
          <w:tcPr>
            <w:tcW w:w="920" w:type="dxa"/>
            <w:tcBorders>
              <w:top w:val="single" w:sz="4" w:space="0" w:color="auto"/>
              <w:left w:val="nil"/>
              <w:bottom w:val="single" w:sz="4" w:space="0" w:color="auto"/>
              <w:right w:val="nil"/>
            </w:tcBorders>
            <w:shd w:val="clear" w:color="auto" w:fill="auto"/>
            <w:vAlign w:val="bottom"/>
          </w:tcPr>
          <w:p w14:paraId="7BC16911" w14:textId="09875796" w:rsidR="007B2AE2" w:rsidRPr="007B2AE2" w:rsidRDefault="007B2AE2" w:rsidP="007B2AE2">
            <w:pPr>
              <w:jc w:val="right"/>
              <w:rPr>
                <w:rFonts w:ascii="Arial" w:hAnsi="Arial" w:cs="Arial"/>
                <w:b/>
                <w:bCs/>
                <w:sz w:val="14"/>
                <w:szCs w:val="14"/>
                <w:lang w:eastAsia="es-AR"/>
              </w:rPr>
            </w:pPr>
            <w:r w:rsidRPr="007B2AE2">
              <w:rPr>
                <w:rFonts w:ascii="Arial" w:hAnsi="Arial" w:cs="Arial"/>
                <w:b/>
                <w:bCs/>
                <w:sz w:val="14"/>
                <w:szCs w:val="14"/>
                <w:lang w:eastAsia="es-AR"/>
              </w:rPr>
              <w:t xml:space="preserve"> </w:t>
            </w:r>
            <w:r w:rsidR="00144880" w:rsidRPr="00144880">
              <w:rPr>
                <w:rFonts w:ascii="Arial" w:hAnsi="Arial" w:cs="Arial"/>
                <w:b/>
                <w:bCs/>
                <w:sz w:val="14"/>
                <w:szCs w:val="14"/>
                <w:lang w:eastAsia="es-AR"/>
              </w:rPr>
              <w:t xml:space="preserve"> </w:t>
            </w:r>
            <w:r w:rsidR="007953AC" w:rsidRPr="007953AC">
              <w:rPr>
                <w:rFonts w:ascii="Arial" w:hAnsi="Arial" w:cs="Arial"/>
                <w:b/>
                <w:bCs/>
                <w:sz w:val="14"/>
                <w:szCs w:val="14"/>
                <w:lang w:eastAsia="es-AR"/>
              </w:rPr>
              <w:t xml:space="preserve"> 6.186.292</w:t>
            </w:r>
          </w:p>
        </w:tc>
        <w:tc>
          <w:tcPr>
            <w:tcW w:w="920" w:type="dxa"/>
            <w:tcBorders>
              <w:top w:val="single" w:sz="4" w:space="0" w:color="auto"/>
              <w:left w:val="nil"/>
              <w:bottom w:val="single" w:sz="4" w:space="0" w:color="auto"/>
              <w:right w:val="nil"/>
            </w:tcBorders>
            <w:shd w:val="clear" w:color="auto" w:fill="auto"/>
            <w:vAlign w:val="bottom"/>
          </w:tcPr>
          <w:p w14:paraId="45E8B221" w14:textId="004AD694" w:rsidR="007B2AE2" w:rsidRPr="007B2AE2" w:rsidRDefault="007953AC" w:rsidP="007B2AE2">
            <w:pPr>
              <w:jc w:val="right"/>
              <w:rPr>
                <w:rFonts w:ascii="Arial" w:hAnsi="Arial" w:cs="Arial"/>
                <w:b/>
                <w:bCs/>
                <w:sz w:val="14"/>
                <w:szCs w:val="14"/>
                <w:lang w:eastAsia="es-AR"/>
              </w:rPr>
            </w:pPr>
            <w:r w:rsidRPr="007953AC">
              <w:rPr>
                <w:rFonts w:ascii="Arial" w:hAnsi="Arial" w:cs="Arial"/>
                <w:b/>
                <w:bCs/>
                <w:sz w:val="14"/>
                <w:szCs w:val="14"/>
                <w:lang w:eastAsia="es-AR"/>
              </w:rPr>
              <w:t>6.186.292</w:t>
            </w:r>
          </w:p>
        </w:tc>
        <w:tc>
          <w:tcPr>
            <w:tcW w:w="708" w:type="dxa"/>
            <w:tcBorders>
              <w:top w:val="single" w:sz="4" w:space="0" w:color="auto"/>
              <w:left w:val="nil"/>
              <w:bottom w:val="single" w:sz="4" w:space="0" w:color="auto"/>
              <w:right w:val="nil"/>
            </w:tcBorders>
            <w:shd w:val="clear" w:color="auto" w:fill="auto"/>
            <w:vAlign w:val="bottom"/>
          </w:tcPr>
          <w:p w14:paraId="0B0666B2" w14:textId="70B10ED8" w:rsidR="007B2AE2" w:rsidRPr="007B2AE2" w:rsidRDefault="007B2AE2" w:rsidP="007B2AE2">
            <w:pPr>
              <w:jc w:val="right"/>
              <w:rPr>
                <w:rFonts w:ascii="Arial" w:hAnsi="Arial" w:cs="Arial"/>
                <w:b/>
                <w:bCs/>
                <w:sz w:val="14"/>
                <w:szCs w:val="14"/>
                <w:lang w:eastAsia="es-AR"/>
              </w:rPr>
            </w:pPr>
            <w:r>
              <w:rPr>
                <w:rFonts w:ascii="Arial" w:hAnsi="Arial" w:cs="Arial"/>
                <w:b/>
                <w:bCs/>
                <w:sz w:val="14"/>
                <w:szCs w:val="14"/>
                <w:lang w:eastAsia="es-AR"/>
              </w:rPr>
              <w:t>-</w:t>
            </w:r>
          </w:p>
        </w:tc>
        <w:tc>
          <w:tcPr>
            <w:tcW w:w="851" w:type="dxa"/>
            <w:tcBorders>
              <w:top w:val="single" w:sz="4" w:space="0" w:color="auto"/>
              <w:left w:val="nil"/>
              <w:bottom w:val="single" w:sz="4" w:space="0" w:color="auto"/>
              <w:right w:val="nil"/>
            </w:tcBorders>
            <w:shd w:val="clear" w:color="auto" w:fill="auto"/>
            <w:vAlign w:val="bottom"/>
          </w:tcPr>
          <w:p w14:paraId="0F9E71D1" w14:textId="5393629D" w:rsidR="007B2AE2" w:rsidRPr="007B2AE2" w:rsidRDefault="007B2AE2" w:rsidP="007B2AE2">
            <w:pPr>
              <w:jc w:val="right"/>
              <w:rPr>
                <w:rFonts w:ascii="Arial" w:hAnsi="Arial" w:cs="Arial"/>
                <w:b/>
                <w:bCs/>
                <w:sz w:val="14"/>
                <w:szCs w:val="14"/>
                <w:lang w:eastAsia="es-AR"/>
              </w:rPr>
            </w:pPr>
            <w:r>
              <w:rPr>
                <w:rFonts w:ascii="Arial" w:hAnsi="Arial" w:cs="Arial"/>
                <w:b/>
                <w:bCs/>
                <w:sz w:val="14"/>
                <w:szCs w:val="14"/>
                <w:lang w:eastAsia="es-AR"/>
              </w:rPr>
              <w:t>-</w:t>
            </w:r>
          </w:p>
        </w:tc>
      </w:tr>
    </w:tbl>
    <w:p w14:paraId="313F11C1" w14:textId="77777777" w:rsidR="00122C95" w:rsidRDefault="00122C95" w:rsidP="00B5057C">
      <w:pPr>
        <w:rPr>
          <w:sz w:val="20"/>
          <w:lang w:eastAsia="es-AR"/>
        </w:rPr>
        <w:sectPr w:rsidR="00122C95" w:rsidSect="00DA660B">
          <w:headerReference w:type="default" r:id="rId34"/>
          <w:pgSz w:w="11907" w:h="16839" w:code="9"/>
          <w:pgMar w:top="1418" w:right="1701" w:bottom="1418" w:left="1134" w:header="567" w:footer="0" w:gutter="0"/>
          <w:cols w:space="708"/>
          <w:docGrid w:linePitch="360"/>
        </w:sectPr>
      </w:pPr>
    </w:p>
    <w:tbl>
      <w:tblPr>
        <w:tblW w:w="10080" w:type="dxa"/>
        <w:tblInd w:w="75" w:type="dxa"/>
        <w:tblCellMar>
          <w:left w:w="70" w:type="dxa"/>
          <w:right w:w="70" w:type="dxa"/>
        </w:tblCellMar>
        <w:tblLook w:val="04A0" w:firstRow="1" w:lastRow="0" w:firstColumn="1" w:lastColumn="0" w:noHBand="0" w:noVBand="1"/>
      </w:tblPr>
      <w:tblGrid>
        <w:gridCol w:w="6240"/>
        <w:gridCol w:w="1478"/>
        <w:gridCol w:w="1319"/>
        <w:gridCol w:w="1043"/>
      </w:tblGrid>
      <w:tr w:rsidR="006A451F" w:rsidRPr="006A451F" w14:paraId="2C63ACCE" w14:textId="77777777" w:rsidTr="006A451F">
        <w:trPr>
          <w:trHeight w:val="259"/>
        </w:trPr>
        <w:tc>
          <w:tcPr>
            <w:tcW w:w="6240" w:type="dxa"/>
            <w:vMerge w:val="restart"/>
            <w:tcBorders>
              <w:top w:val="single" w:sz="4" w:space="0" w:color="363639"/>
              <w:left w:val="single" w:sz="4" w:space="0" w:color="363639"/>
              <w:bottom w:val="single" w:sz="4" w:space="0" w:color="363639"/>
              <w:right w:val="single" w:sz="4" w:space="0" w:color="363639"/>
            </w:tcBorders>
            <w:shd w:val="clear" w:color="000000" w:fill="B2B2B2"/>
            <w:vAlign w:val="center"/>
            <w:hideMark/>
          </w:tcPr>
          <w:p w14:paraId="328FA82B" w14:textId="77777777" w:rsidR="006A451F" w:rsidRPr="006A451F" w:rsidRDefault="006A451F" w:rsidP="006A451F">
            <w:pPr>
              <w:jc w:val="center"/>
              <w:rPr>
                <w:rFonts w:ascii="Arial" w:hAnsi="Arial" w:cs="Arial"/>
                <w:b/>
                <w:bCs/>
                <w:sz w:val="16"/>
                <w:szCs w:val="16"/>
                <w:lang w:eastAsia="es-AR"/>
              </w:rPr>
            </w:pPr>
            <w:r w:rsidRPr="006A451F">
              <w:rPr>
                <w:rFonts w:ascii="Arial" w:hAnsi="Arial" w:cs="Arial"/>
                <w:b/>
                <w:bCs/>
                <w:sz w:val="16"/>
                <w:szCs w:val="16"/>
                <w:lang w:eastAsia="es-AR"/>
              </w:rPr>
              <w:t>Conceptos</w:t>
            </w:r>
          </w:p>
        </w:tc>
        <w:tc>
          <w:tcPr>
            <w:tcW w:w="2797" w:type="dxa"/>
            <w:gridSpan w:val="2"/>
            <w:tcBorders>
              <w:top w:val="single" w:sz="4" w:space="0" w:color="363639"/>
              <w:left w:val="single" w:sz="4" w:space="0" w:color="363639"/>
              <w:bottom w:val="single" w:sz="4" w:space="0" w:color="363639"/>
              <w:right w:val="single" w:sz="4" w:space="0" w:color="363639"/>
            </w:tcBorders>
            <w:shd w:val="clear" w:color="000000" w:fill="B2B2B2"/>
            <w:hideMark/>
          </w:tcPr>
          <w:p w14:paraId="4C33351D" w14:textId="77777777" w:rsidR="006A451F" w:rsidRPr="006A451F" w:rsidRDefault="006A451F" w:rsidP="006A451F">
            <w:pPr>
              <w:jc w:val="center"/>
              <w:rPr>
                <w:rFonts w:ascii="Arial" w:hAnsi="Arial" w:cs="Arial"/>
                <w:b/>
                <w:bCs/>
                <w:sz w:val="16"/>
                <w:szCs w:val="16"/>
                <w:lang w:eastAsia="es-AR"/>
              </w:rPr>
            </w:pPr>
            <w:r w:rsidRPr="006A451F">
              <w:rPr>
                <w:rFonts w:ascii="Arial" w:hAnsi="Arial" w:cs="Arial"/>
                <w:b/>
                <w:bCs/>
                <w:sz w:val="16"/>
                <w:szCs w:val="16"/>
                <w:lang w:eastAsia="es-AR"/>
              </w:rPr>
              <w:t>Ingreso/(Egreso) Financiero Neto</w:t>
            </w:r>
          </w:p>
        </w:tc>
        <w:tc>
          <w:tcPr>
            <w:tcW w:w="1043" w:type="dxa"/>
            <w:vMerge w:val="restart"/>
            <w:tcBorders>
              <w:top w:val="single" w:sz="4" w:space="0" w:color="363639"/>
              <w:left w:val="single" w:sz="4" w:space="0" w:color="363639"/>
              <w:bottom w:val="single" w:sz="4" w:space="0" w:color="363639"/>
              <w:right w:val="single" w:sz="4" w:space="0" w:color="363639"/>
            </w:tcBorders>
            <w:shd w:val="clear" w:color="000000" w:fill="B2B2B2"/>
            <w:vAlign w:val="center"/>
            <w:hideMark/>
          </w:tcPr>
          <w:p w14:paraId="63897BEA" w14:textId="77777777" w:rsidR="006A451F" w:rsidRPr="006A451F" w:rsidRDefault="006A451F" w:rsidP="006A451F">
            <w:pPr>
              <w:ind w:firstLineChars="200" w:firstLine="321"/>
              <w:rPr>
                <w:rFonts w:ascii="Arial" w:hAnsi="Arial" w:cs="Arial"/>
                <w:b/>
                <w:bCs/>
                <w:sz w:val="16"/>
                <w:szCs w:val="16"/>
                <w:lang w:eastAsia="es-AR"/>
              </w:rPr>
            </w:pPr>
            <w:r w:rsidRPr="006A451F">
              <w:rPr>
                <w:rFonts w:ascii="Arial" w:hAnsi="Arial" w:cs="Arial"/>
                <w:b/>
                <w:bCs/>
                <w:sz w:val="16"/>
                <w:szCs w:val="16"/>
                <w:lang w:eastAsia="es-AR"/>
              </w:rPr>
              <w:t>ORI</w:t>
            </w:r>
          </w:p>
        </w:tc>
      </w:tr>
      <w:tr w:rsidR="006A451F" w:rsidRPr="006A451F" w14:paraId="521ADE3A" w14:textId="77777777" w:rsidTr="006A451F">
        <w:trPr>
          <w:trHeight w:val="702"/>
        </w:trPr>
        <w:tc>
          <w:tcPr>
            <w:tcW w:w="6240" w:type="dxa"/>
            <w:vMerge/>
            <w:tcBorders>
              <w:top w:val="single" w:sz="4" w:space="0" w:color="363639"/>
              <w:left w:val="single" w:sz="4" w:space="0" w:color="363639"/>
              <w:bottom w:val="single" w:sz="4" w:space="0" w:color="363639"/>
              <w:right w:val="single" w:sz="4" w:space="0" w:color="363639"/>
            </w:tcBorders>
            <w:vAlign w:val="center"/>
            <w:hideMark/>
          </w:tcPr>
          <w:p w14:paraId="06E92ACA" w14:textId="77777777" w:rsidR="006A451F" w:rsidRPr="006A451F" w:rsidRDefault="006A451F" w:rsidP="006A451F">
            <w:pPr>
              <w:rPr>
                <w:rFonts w:ascii="Arial" w:hAnsi="Arial" w:cs="Arial"/>
                <w:b/>
                <w:bCs/>
                <w:sz w:val="16"/>
                <w:szCs w:val="16"/>
                <w:lang w:eastAsia="es-AR"/>
              </w:rPr>
            </w:pPr>
          </w:p>
        </w:tc>
        <w:tc>
          <w:tcPr>
            <w:tcW w:w="1478" w:type="dxa"/>
            <w:tcBorders>
              <w:top w:val="nil"/>
              <w:left w:val="nil"/>
              <w:bottom w:val="single" w:sz="4" w:space="0" w:color="363639"/>
              <w:right w:val="single" w:sz="4" w:space="0" w:color="363639"/>
            </w:tcBorders>
            <w:shd w:val="clear" w:color="000000" w:fill="B2B2B2"/>
            <w:hideMark/>
          </w:tcPr>
          <w:p w14:paraId="3A1B3397" w14:textId="77777777" w:rsidR="006A451F" w:rsidRPr="006A451F" w:rsidRDefault="006A451F" w:rsidP="006A451F">
            <w:pPr>
              <w:jc w:val="center"/>
              <w:rPr>
                <w:rFonts w:ascii="Arial" w:hAnsi="Arial" w:cs="Arial"/>
                <w:sz w:val="16"/>
                <w:szCs w:val="16"/>
                <w:lang w:eastAsia="es-AR"/>
              </w:rPr>
            </w:pPr>
            <w:r w:rsidRPr="006A451F">
              <w:rPr>
                <w:rFonts w:ascii="Arial" w:hAnsi="Arial" w:cs="Arial"/>
                <w:b/>
                <w:bCs/>
                <w:sz w:val="16"/>
                <w:szCs w:val="16"/>
                <w:lang w:eastAsia="es-AR"/>
              </w:rPr>
              <w:t>Designados inicialmente o de acuerdo con el</w:t>
            </w:r>
            <w:r w:rsidRPr="006A451F">
              <w:rPr>
                <w:rFonts w:ascii="Arial" w:hAnsi="Arial" w:cs="Arial"/>
                <w:b/>
                <w:bCs/>
                <w:sz w:val="16"/>
                <w:szCs w:val="16"/>
                <w:lang w:eastAsia="es-AR"/>
              </w:rPr>
              <w:br/>
              <w:t>6.7.1. de la NIIF 9</w:t>
            </w:r>
          </w:p>
        </w:tc>
        <w:tc>
          <w:tcPr>
            <w:tcW w:w="1319" w:type="dxa"/>
            <w:tcBorders>
              <w:top w:val="nil"/>
              <w:left w:val="nil"/>
              <w:bottom w:val="single" w:sz="4" w:space="0" w:color="363639"/>
              <w:right w:val="single" w:sz="4" w:space="0" w:color="363639"/>
            </w:tcBorders>
            <w:shd w:val="clear" w:color="000000" w:fill="B2B2B2"/>
            <w:vAlign w:val="center"/>
            <w:hideMark/>
          </w:tcPr>
          <w:p w14:paraId="40970823" w14:textId="77777777" w:rsidR="006A451F" w:rsidRPr="006A451F" w:rsidRDefault="006A451F" w:rsidP="006A451F">
            <w:pPr>
              <w:jc w:val="center"/>
              <w:rPr>
                <w:rFonts w:ascii="Arial" w:hAnsi="Arial" w:cs="Arial"/>
                <w:b/>
                <w:bCs/>
                <w:sz w:val="16"/>
                <w:szCs w:val="16"/>
                <w:lang w:eastAsia="es-AR"/>
              </w:rPr>
            </w:pPr>
            <w:r w:rsidRPr="006A451F">
              <w:rPr>
                <w:rFonts w:ascii="Arial" w:hAnsi="Arial" w:cs="Arial"/>
                <w:b/>
                <w:bCs/>
                <w:sz w:val="16"/>
                <w:szCs w:val="16"/>
                <w:lang w:eastAsia="es-AR"/>
              </w:rPr>
              <w:t>Medición obligatoria</w:t>
            </w:r>
          </w:p>
        </w:tc>
        <w:tc>
          <w:tcPr>
            <w:tcW w:w="1043" w:type="dxa"/>
            <w:vMerge/>
            <w:tcBorders>
              <w:top w:val="single" w:sz="4" w:space="0" w:color="363639"/>
              <w:left w:val="single" w:sz="4" w:space="0" w:color="363639"/>
              <w:bottom w:val="single" w:sz="4" w:space="0" w:color="363639"/>
              <w:right w:val="single" w:sz="4" w:space="0" w:color="363639"/>
            </w:tcBorders>
            <w:vAlign w:val="center"/>
            <w:hideMark/>
          </w:tcPr>
          <w:p w14:paraId="7D201036" w14:textId="77777777" w:rsidR="006A451F" w:rsidRPr="006A451F" w:rsidRDefault="006A451F" w:rsidP="006A451F">
            <w:pPr>
              <w:rPr>
                <w:rFonts w:ascii="Arial" w:hAnsi="Arial" w:cs="Arial"/>
                <w:b/>
                <w:bCs/>
                <w:sz w:val="16"/>
                <w:szCs w:val="16"/>
                <w:lang w:eastAsia="es-AR"/>
              </w:rPr>
            </w:pPr>
          </w:p>
        </w:tc>
      </w:tr>
      <w:tr w:rsidR="006A451F" w:rsidRPr="006A451F" w14:paraId="354B018C" w14:textId="77777777" w:rsidTr="006A451F">
        <w:trPr>
          <w:trHeight w:val="137"/>
        </w:trPr>
        <w:tc>
          <w:tcPr>
            <w:tcW w:w="6240" w:type="dxa"/>
            <w:tcBorders>
              <w:top w:val="nil"/>
              <w:left w:val="nil"/>
              <w:bottom w:val="nil"/>
              <w:right w:val="nil"/>
            </w:tcBorders>
            <w:shd w:val="clear" w:color="auto" w:fill="auto"/>
            <w:vAlign w:val="bottom"/>
            <w:hideMark/>
          </w:tcPr>
          <w:p w14:paraId="6BCC4596" w14:textId="77777777" w:rsidR="006A451F" w:rsidRPr="006A451F" w:rsidRDefault="006A451F" w:rsidP="006A451F">
            <w:pPr>
              <w:jc w:val="center"/>
              <w:rPr>
                <w:rFonts w:ascii="Arial" w:hAnsi="Arial" w:cs="Arial"/>
                <w:b/>
                <w:bCs/>
                <w:sz w:val="16"/>
                <w:szCs w:val="16"/>
                <w:lang w:eastAsia="es-AR"/>
              </w:rPr>
            </w:pPr>
            <w:r w:rsidRPr="006A451F">
              <w:rPr>
                <w:rFonts w:ascii="Arial" w:hAnsi="Arial" w:cs="Arial"/>
                <w:b/>
                <w:bCs/>
                <w:sz w:val="16"/>
                <w:szCs w:val="16"/>
                <w:lang w:eastAsia="es-AR"/>
              </w:rPr>
              <w:t> </w:t>
            </w:r>
          </w:p>
        </w:tc>
        <w:tc>
          <w:tcPr>
            <w:tcW w:w="1478" w:type="dxa"/>
            <w:tcBorders>
              <w:top w:val="nil"/>
              <w:left w:val="nil"/>
              <w:bottom w:val="nil"/>
              <w:right w:val="nil"/>
            </w:tcBorders>
            <w:shd w:val="clear" w:color="auto" w:fill="auto"/>
            <w:hideMark/>
          </w:tcPr>
          <w:p w14:paraId="169688A0" w14:textId="77777777" w:rsidR="006A451F" w:rsidRPr="006A451F" w:rsidRDefault="006A451F" w:rsidP="006A451F">
            <w:pPr>
              <w:jc w:val="center"/>
              <w:rPr>
                <w:rFonts w:ascii="Arial" w:hAnsi="Arial" w:cs="Arial"/>
                <w:sz w:val="16"/>
                <w:szCs w:val="16"/>
                <w:lang w:eastAsia="es-AR"/>
              </w:rPr>
            </w:pPr>
            <w:r w:rsidRPr="006A451F">
              <w:rPr>
                <w:rFonts w:ascii="Arial" w:hAnsi="Arial" w:cs="Arial"/>
                <w:sz w:val="16"/>
                <w:szCs w:val="16"/>
                <w:lang w:eastAsia="es-AR"/>
              </w:rPr>
              <w:t> </w:t>
            </w:r>
          </w:p>
        </w:tc>
        <w:tc>
          <w:tcPr>
            <w:tcW w:w="1319" w:type="dxa"/>
            <w:tcBorders>
              <w:top w:val="nil"/>
              <w:left w:val="nil"/>
              <w:bottom w:val="nil"/>
              <w:right w:val="nil"/>
            </w:tcBorders>
            <w:shd w:val="clear" w:color="auto" w:fill="auto"/>
            <w:hideMark/>
          </w:tcPr>
          <w:p w14:paraId="280422CA" w14:textId="77777777" w:rsidR="006A451F" w:rsidRPr="006A451F" w:rsidRDefault="006A451F" w:rsidP="006A451F">
            <w:pPr>
              <w:jc w:val="center"/>
              <w:rPr>
                <w:rFonts w:ascii="Arial" w:hAnsi="Arial" w:cs="Arial"/>
                <w:b/>
                <w:bCs/>
                <w:sz w:val="16"/>
                <w:szCs w:val="16"/>
                <w:lang w:eastAsia="es-AR"/>
              </w:rPr>
            </w:pPr>
            <w:r w:rsidRPr="006A451F">
              <w:rPr>
                <w:rFonts w:ascii="Arial" w:hAnsi="Arial" w:cs="Arial"/>
                <w:b/>
                <w:bCs/>
                <w:sz w:val="16"/>
                <w:szCs w:val="16"/>
                <w:lang w:eastAsia="es-AR"/>
              </w:rPr>
              <w:t> </w:t>
            </w:r>
          </w:p>
        </w:tc>
        <w:tc>
          <w:tcPr>
            <w:tcW w:w="1043" w:type="dxa"/>
            <w:tcBorders>
              <w:top w:val="nil"/>
              <w:left w:val="nil"/>
              <w:bottom w:val="nil"/>
              <w:right w:val="nil"/>
            </w:tcBorders>
            <w:shd w:val="clear" w:color="auto" w:fill="auto"/>
            <w:vAlign w:val="center"/>
            <w:hideMark/>
          </w:tcPr>
          <w:p w14:paraId="41B76FDB" w14:textId="77777777" w:rsidR="006A451F" w:rsidRPr="006A451F" w:rsidRDefault="006A451F" w:rsidP="006A451F">
            <w:pPr>
              <w:jc w:val="center"/>
              <w:rPr>
                <w:rFonts w:ascii="Arial" w:hAnsi="Arial" w:cs="Arial"/>
                <w:b/>
                <w:bCs/>
                <w:sz w:val="16"/>
                <w:szCs w:val="16"/>
                <w:lang w:eastAsia="es-AR"/>
              </w:rPr>
            </w:pPr>
          </w:p>
        </w:tc>
      </w:tr>
      <w:tr w:rsidR="006A451F" w:rsidRPr="006A451F" w14:paraId="76BD1B51" w14:textId="77777777" w:rsidTr="006A451F">
        <w:trPr>
          <w:trHeight w:val="510"/>
        </w:trPr>
        <w:tc>
          <w:tcPr>
            <w:tcW w:w="6240" w:type="dxa"/>
            <w:tcBorders>
              <w:top w:val="nil"/>
              <w:left w:val="nil"/>
              <w:bottom w:val="nil"/>
              <w:right w:val="nil"/>
            </w:tcBorders>
            <w:shd w:val="clear" w:color="auto" w:fill="auto"/>
            <w:hideMark/>
          </w:tcPr>
          <w:p w14:paraId="19871B4C" w14:textId="77777777" w:rsidR="006A451F" w:rsidRPr="006A451F" w:rsidRDefault="006A451F" w:rsidP="006A451F">
            <w:pPr>
              <w:rPr>
                <w:rFonts w:ascii="Arial" w:hAnsi="Arial" w:cs="Arial"/>
                <w:b/>
                <w:bCs/>
                <w:sz w:val="16"/>
                <w:szCs w:val="16"/>
                <w:lang w:eastAsia="es-AR"/>
              </w:rPr>
            </w:pPr>
            <w:r w:rsidRPr="006A451F">
              <w:rPr>
                <w:rFonts w:ascii="Arial" w:hAnsi="Arial" w:cs="Arial"/>
                <w:b/>
                <w:bCs/>
                <w:sz w:val="16"/>
                <w:szCs w:val="16"/>
                <w:lang w:eastAsia="es-AR"/>
              </w:rPr>
              <w:t>Por medición de activos financieros a valor razonable con cambios en resultados</w:t>
            </w:r>
          </w:p>
        </w:tc>
        <w:tc>
          <w:tcPr>
            <w:tcW w:w="1478" w:type="dxa"/>
            <w:tcBorders>
              <w:top w:val="nil"/>
              <w:left w:val="nil"/>
              <w:bottom w:val="nil"/>
              <w:right w:val="nil"/>
            </w:tcBorders>
            <w:shd w:val="clear" w:color="auto" w:fill="auto"/>
            <w:noWrap/>
          </w:tcPr>
          <w:p w14:paraId="6F2EF85D" w14:textId="30D24458" w:rsidR="006A451F" w:rsidRPr="006A451F" w:rsidRDefault="006A451F" w:rsidP="006A451F">
            <w:pPr>
              <w:jc w:val="right"/>
              <w:rPr>
                <w:rFonts w:ascii="Arial" w:hAnsi="Arial" w:cs="Arial"/>
                <w:b/>
                <w:bCs/>
                <w:sz w:val="16"/>
                <w:szCs w:val="16"/>
                <w:lang w:eastAsia="es-AR"/>
              </w:rPr>
            </w:pPr>
          </w:p>
        </w:tc>
        <w:tc>
          <w:tcPr>
            <w:tcW w:w="1319" w:type="dxa"/>
            <w:tcBorders>
              <w:top w:val="nil"/>
              <w:left w:val="nil"/>
              <w:bottom w:val="nil"/>
              <w:right w:val="nil"/>
            </w:tcBorders>
            <w:shd w:val="clear" w:color="auto" w:fill="auto"/>
            <w:noWrap/>
          </w:tcPr>
          <w:p w14:paraId="77FB0C1B" w14:textId="1EFED230" w:rsidR="006A451F" w:rsidRPr="006A451F" w:rsidRDefault="00941A39" w:rsidP="006A451F">
            <w:pPr>
              <w:jc w:val="right"/>
              <w:rPr>
                <w:rFonts w:ascii="Arial" w:hAnsi="Arial" w:cs="Arial"/>
                <w:b/>
                <w:bCs/>
                <w:sz w:val="16"/>
                <w:szCs w:val="16"/>
                <w:lang w:eastAsia="es-AR"/>
              </w:rPr>
            </w:pPr>
            <w:r>
              <w:rPr>
                <w:rFonts w:ascii="Arial" w:hAnsi="Arial" w:cs="Arial"/>
                <w:b/>
                <w:bCs/>
                <w:sz w:val="16"/>
                <w:szCs w:val="16"/>
                <w:lang w:eastAsia="es-AR"/>
              </w:rPr>
              <w:t>16.125.854</w:t>
            </w:r>
          </w:p>
        </w:tc>
        <w:tc>
          <w:tcPr>
            <w:tcW w:w="1043" w:type="dxa"/>
            <w:tcBorders>
              <w:top w:val="nil"/>
              <w:left w:val="nil"/>
              <w:bottom w:val="nil"/>
              <w:right w:val="nil"/>
            </w:tcBorders>
            <w:shd w:val="clear" w:color="auto" w:fill="auto"/>
            <w:noWrap/>
          </w:tcPr>
          <w:p w14:paraId="750C5F9E" w14:textId="7F3FD7F2" w:rsidR="006A451F" w:rsidRPr="006A451F" w:rsidRDefault="00941A39" w:rsidP="006A451F">
            <w:pPr>
              <w:jc w:val="right"/>
              <w:rPr>
                <w:rFonts w:ascii="Arial" w:hAnsi="Arial" w:cs="Arial"/>
                <w:b/>
                <w:bCs/>
                <w:sz w:val="16"/>
                <w:szCs w:val="16"/>
                <w:lang w:eastAsia="es-AR"/>
              </w:rPr>
            </w:pPr>
            <w:r>
              <w:rPr>
                <w:rFonts w:ascii="Arial" w:hAnsi="Arial" w:cs="Arial"/>
                <w:b/>
                <w:bCs/>
                <w:sz w:val="16"/>
                <w:szCs w:val="16"/>
                <w:lang w:eastAsia="es-AR"/>
              </w:rPr>
              <w:t>10.32</w:t>
            </w:r>
            <w:r w:rsidR="0042374A">
              <w:rPr>
                <w:rFonts w:ascii="Arial" w:hAnsi="Arial" w:cs="Arial"/>
                <w:b/>
                <w:bCs/>
                <w:sz w:val="16"/>
                <w:szCs w:val="16"/>
                <w:lang w:eastAsia="es-AR"/>
              </w:rPr>
              <w:t>2</w:t>
            </w:r>
          </w:p>
        </w:tc>
      </w:tr>
      <w:tr w:rsidR="006A451F" w:rsidRPr="006A451F" w14:paraId="1559F9B9" w14:textId="77777777" w:rsidTr="006A451F">
        <w:trPr>
          <w:trHeight w:val="255"/>
        </w:trPr>
        <w:tc>
          <w:tcPr>
            <w:tcW w:w="6240" w:type="dxa"/>
            <w:tcBorders>
              <w:top w:val="nil"/>
              <w:left w:val="nil"/>
              <w:bottom w:val="nil"/>
              <w:right w:val="nil"/>
            </w:tcBorders>
            <w:shd w:val="clear" w:color="auto" w:fill="auto"/>
            <w:hideMark/>
          </w:tcPr>
          <w:p w14:paraId="4FCDFA6C" w14:textId="77777777" w:rsidR="006A451F" w:rsidRPr="006A451F" w:rsidRDefault="006A451F" w:rsidP="006A451F">
            <w:pPr>
              <w:ind w:firstLineChars="100" w:firstLine="160"/>
              <w:rPr>
                <w:rFonts w:ascii="Arial" w:hAnsi="Arial" w:cs="Arial"/>
                <w:sz w:val="16"/>
                <w:szCs w:val="16"/>
                <w:lang w:eastAsia="es-AR"/>
              </w:rPr>
            </w:pPr>
            <w:r w:rsidRPr="006A451F">
              <w:rPr>
                <w:rFonts w:ascii="Arial" w:hAnsi="Arial" w:cs="Arial"/>
                <w:sz w:val="16"/>
                <w:szCs w:val="16"/>
                <w:lang w:eastAsia="es-AR"/>
              </w:rPr>
              <w:t>Resultado de títulos públicos</w:t>
            </w:r>
          </w:p>
        </w:tc>
        <w:tc>
          <w:tcPr>
            <w:tcW w:w="1478" w:type="dxa"/>
            <w:tcBorders>
              <w:top w:val="nil"/>
              <w:left w:val="nil"/>
              <w:bottom w:val="nil"/>
              <w:right w:val="nil"/>
            </w:tcBorders>
            <w:shd w:val="clear" w:color="auto" w:fill="auto"/>
          </w:tcPr>
          <w:p w14:paraId="2C0CCEC9" w14:textId="77777777" w:rsidR="006A451F" w:rsidRPr="006A451F" w:rsidRDefault="006A451F" w:rsidP="006A451F">
            <w:pPr>
              <w:ind w:firstLineChars="100" w:firstLine="16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0265CECA" w14:textId="3890E451"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15.483.186</w:t>
            </w:r>
          </w:p>
        </w:tc>
        <w:tc>
          <w:tcPr>
            <w:tcW w:w="1043" w:type="dxa"/>
            <w:tcBorders>
              <w:top w:val="nil"/>
              <w:left w:val="nil"/>
              <w:bottom w:val="nil"/>
              <w:right w:val="nil"/>
            </w:tcBorders>
            <w:shd w:val="clear" w:color="auto" w:fill="auto"/>
          </w:tcPr>
          <w:p w14:paraId="16BABFBA" w14:textId="4F4C6A48"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10.</w:t>
            </w:r>
            <w:r w:rsidR="0042374A">
              <w:rPr>
                <w:rFonts w:ascii="Arial" w:hAnsi="Arial" w:cs="Arial"/>
                <w:sz w:val="16"/>
                <w:szCs w:val="16"/>
                <w:lang w:eastAsia="es-AR"/>
              </w:rPr>
              <w:t>340</w:t>
            </w:r>
          </w:p>
        </w:tc>
      </w:tr>
      <w:tr w:rsidR="006A451F" w:rsidRPr="006A451F" w14:paraId="48F2A2D0" w14:textId="77777777" w:rsidTr="006A451F">
        <w:trPr>
          <w:trHeight w:val="255"/>
        </w:trPr>
        <w:tc>
          <w:tcPr>
            <w:tcW w:w="6240" w:type="dxa"/>
            <w:tcBorders>
              <w:top w:val="nil"/>
              <w:left w:val="nil"/>
              <w:bottom w:val="nil"/>
              <w:right w:val="nil"/>
            </w:tcBorders>
            <w:shd w:val="clear" w:color="auto" w:fill="auto"/>
            <w:hideMark/>
          </w:tcPr>
          <w:p w14:paraId="37CDECB3" w14:textId="77777777" w:rsidR="006A451F" w:rsidRPr="006A451F" w:rsidRDefault="006A451F" w:rsidP="006A451F">
            <w:pPr>
              <w:ind w:firstLineChars="100" w:firstLine="160"/>
              <w:rPr>
                <w:rFonts w:ascii="Arial" w:hAnsi="Arial" w:cs="Arial"/>
                <w:sz w:val="16"/>
                <w:szCs w:val="16"/>
                <w:lang w:eastAsia="es-AR"/>
              </w:rPr>
            </w:pPr>
            <w:r w:rsidRPr="006A451F">
              <w:rPr>
                <w:rFonts w:ascii="Arial" w:hAnsi="Arial" w:cs="Arial"/>
                <w:sz w:val="16"/>
                <w:szCs w:val="16"/>
                <w:lang w:eastAsia="es-AR"/>
              </w:rPr>
              <w:t>Resultado de títulos privados</w:t>
            </w:r>
          </w:p>
        </w:tc>
        <w:tc>
          <w:tcPr>
            <w:tcW w:w="1478" w:type="dxa"/>
            <w:tcBorders>
              <w:top w:val="nil"/>
              <w:left w:val="nil"/>
              <w:bottom w:val="nil"/>
              <w:right w:val="nil"/>
            </w:tcBorders>
            <w:shd w:val="clear" w:color="auto" w:fill="auto"/>
          </w:tcPr>
          <w:p w14:paraId="71FE553C" w14:textId="77777777" w:rsidR="006A451F" w:rsidRPr="006A451F" w:rsidRDefault="006A451F" w:rsidP="006A451F">
            <w:pPr>
              <w:ind w:firstLineChars="100" w:firstLine="16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4518C034" w14:textId="2E1012EF"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18.377</w:t>
            </w:r>
          </w:p>
        </w:tc>
        <w:tc>
          <w:tcPr>
            <w:tcW w:w="1043" w:type="dxa"/>
            <w:tcBorders>
              <w:top w:val="nil"/>
              <w:left w:val="nil"/>
              <w:bottom w:val="nil"/>
              <w:right w:val="nil"/>
            </w:tcBorders>
            <w:shd w:val="clear" w:color="auto" w:fill="auto"/>
          </w:tcPr>
          <w:p w14:paraId="619269D3" w14:textId="77777777" w:rsidR="006A451F" w:rsidRPr="006A451F" w:rsidRDefault="006A451F" w:rsidP="006A451F">
            <w:pPr>
              <w:jc w:val="right"/>
              <w:rPr>
                <w:rFonts w:ascii="Arial" w:hAnsi="Arial" w:cs="Arial"/>
                <w:sz w:val="16"/>
                <w:szCs w:val="16"/>
                <w:lang w:eastAsia="es-AR"/>
              </w:rPr>
            </w:pPr>
          </w:p>
        </w:tc>
      </w:tr>
      <w:tr w:rsidR="006A451F" w:rsidRPr="006A451F" w14:paraId="2FA0D929" w14:textId="77777777" w:rsidTr="006A451F">
        <w:trPr>
          <w:trHeight w:val="255"/>
        </w:trPr>
        <w:tc>
          <w:tcPr>
            <w:tcW w:w="6240" w:type="dxa"/>
            <w:tcBorders>
              <w:top w:val="nil"/>
              <w:left w:val="nil"/>
              <w:bottom w:val="nil"/>
              <w:right w:val="nil"/>
            </w:tcBorders>
            <w:shd w:val="clear" w:color="auto" w:fill="auto"/>
            <w:hideMark/>
          </w:tcPr>
          <w:p w14:paraId="1F5CD344"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Resultado de Instrumentos financieros derivados</w:t>
            </w:r>
          </w:p>
        </w:tc>
        <w:tc>
          <w:tcPr>
            <w:tcW w:w="1478" w:type="dxa"/>
            <w:tcBorders>
              <w:top w:val="nil"/>
              <w:left w:val="nil"/>
              <w:bottom w:val="nil"/>
              <w:right w:val="nil"/>
            </w:tcBorders>
            <w:shd w:val="clear" w:color="auto" w:fill="auto"/>
          </w:tcPr>
          <w:p w14:paraId="4721990A" w14:textId="77777777" w:rsidR="006A451F" w:rsidRPr="006A451F" w:rsidRDefault="006A451F" w:rsidP="006A451F">
            <w:pPr>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6EF8FD74" w14:textId="6ED6D355"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614.343</w:t>
            </w:r>
          </w:p>
        </w:tc>
        <w:tc>
          <w:tcPr>
            <w:tcW w:w="1043" w:type="dxa"/>
            <w:tcBorders>
              <w:top w:val="nil"/>
              <w:left w:val="nil"/>
              <w:bottom w:val="nil"/>
              <w:right w:val="nil"/>
            </w:tcBorders>
            <w:shd w:val="clear" w:color="auto" w:fill="auto"/>
          </w:tcPr>
          <w:p w14:paraId="61204FC3" w14:textId="77777777" w:rsidR="006A451F" w:rsidRPr="006A451F" w:rsidRDefault="006A451F" w:rsidP="006A451F">
            <w:pPr>
              <w:jc w:val="right"/>
              <w:rPr>
                <w:rFonts w:ascii="Arial" w:hAnsi="Arial" w:cs="Arial"/>
                <w:sz w:val="16"/>
                <w:szCs w:val="16"/>
                <w:lang w:eastAsia="es-AR"/>
              </w:rPr>
            </w:pPr>
          </w:p>
        </w:tc>
      </w:tr>
      <w:tr w:rsidR="006A451F" w:rsidRPr="006A451F" w14:paraId="187EB2C5" w14:textId="77777777" w:rsidTr="006A451F">
        <w:trPr>
          <w:trHeight w:val="255"/>
        </w:trPr>
        <w:tc>
          <w:tcPr>
            <w:tcW w:w="6240" w:type="dxa"/>
            <w:tcBorders>
              <w:top w:val="nil"/>
              <w:left w:val="nil"/>
              <w:bottom w:val="nil"/>
              <w:right w:val="nil"/>
            </w:tcBorders>
            <w:shd w:val="clear" w:color="auto" w:fill="auto"/>
            <w:hideMark/>
          </w:tcPr>
          <w:p w14:paraId="48B7D442"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Operaciones a término</w:t>
            </w:r>
          </w:p>
        </w:tc>
        <w:tc>
          <w:tcPr>
            <w:tcW w:w="1478" w:type="dxa"/>
            <w:tcBorders>
              <w:top w:val="nil"/>
              <w:left w:val="nil"/>
              <w:bottom w:val="nil"/>
              <w:right w:val="nil"/>
            </w:tcBorders>
            <w:shd w:val="clear" w:color="auto" w:fill="auto"/>
          </w:tcPr>
          <w:p w14:paraId="4F56C410" w14:textId="77777777" w:rsidR="006A451F" w:rsidRPr="006A451F" w:rsidRDefault="006A451F" w:rsidP="006A451F">
            <w:pPr>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4EAC7CB8"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4A396FB1" w14:textId="77777777" w:rsidR="006A451F" w:rsidRPr="006A451F" w:rsidRDefault="006A451F" w:rsidP="006A451F">
            <w:pPr>
              <w:jc w:val="right"/>
              <w:rPr>
                <w:sz w:val="16"/>
                <w:szCs w:val="16"/>
                <w:lang w:eastAsia="es-AR"/>
              </w:rPr>
            </w:pPr>
          </w:p>
        </w:tc>
      </w:tr>
      <w:tr w:rsidR="006A451F" w:rsidRPr="006A451F" w14:paraId="12AEEECE" w14:textId="77777777" w:rsidTr="006A451F">
        <w:trPr>
          <w:trHeight w:val="255"/>
        </w:trPr>
        <w:tc>
          <w:tcPr>
            <w:tcW w:w="6240" w:type="dxa"/>
            <w:tcBorders>
              <w:top w:val="nil"/>
              <w:left w:val="nil"/>
              <w:bottom w:val="nil"/>
              <w:right w:val="nil"/>
            </w:tcBorders>
            <w:shd w:val="clear" w:color="auto" w:fill="auto"/>
            <w:hideMark/>
          </w:tcPr>
          <w:p w14:paraId="4F9CDE65"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Permutas de tasa</w:t>
            </w:r>
          </w:p>
        </w:tc>
        <w:tc>
          <w:tcPr>
            <w:tcW w:w="1478" w:type="dxa"/>
            <w:tcBorders>
              <w:top w:val="nil"/>
              <w:left w:val="nil"/>
              <w:bottom w:val="nil"/>
              <w:right w:val="nil"/>
            </w:tcBorders>
            <w:shd w:val="clear" w:color="auto" w:fill="auto"/>
          </w:tcPr>
          <w:p w14:paraId="500CB6AF" w14:textId="77777777" w:rsidR="006A451F" w:rsidRPr="006A451F" w:rsidRDefault="006A451F" w:rsidP="006A451F">
            <w:pPr>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12C94A4B"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4F33D63E" w14:textId="77777777" w:rsidR="006A451F" w:rsidRPr="006A451F" w:rsidRDefault="006A451F" w:rsidP="006A451F">
            <w:pPr>
              <w:jc w:val="right"/>
              <w:rPr>
                <w:sz w:val="16"/>
                <w:szCs w:val="16"/>
                <w:lang w:eastAsia="es-AR"/>
              </w:rPr>
            </w:pPr>
          </w:p>
        </w:tc>
      </w:tr>
      <w:tr w:rsidR="006A451F" w:rsidRPr="006A451F" w14:paraId="02053393" w14:textId="77777777" w:rsidTr="006A451F">
        <w:trPr>
          <w:trHeight w:val="255"/>
        </w:trPr>
        <w:tc>
          <w:tcPr>
            <w:tcW w:w="6240" w:type="dxa"/>
            <w:tcBorders>
              <w:top w:val="nil"/>
              <w:left w:val="nil"/>
              <w:bottom w:val="nil"/>
              <w:right w:val="nil"/>
            </w:tcBorders>
            <w:shd w:val="clear" w:color="auto" w:fill="auto"/>
            <w:hideMark/>
          </w:tcPr>
          <w:p w14:paraId="5C0C05FD"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Opciones</w:t>
            </w:r>
          </w:p>
        </w:tc>
        <w:tc>
          <w:tcPr>
            <w:tcW w:w="1478" w:type="dxa"/>
            <w:tcBorders>
              <w:top w:val="nil"/>
              <w:left w:val="nil"/>
              <w:bottom w:val="nil"/>
              <w:right w:val="nil"/>
            </w:tcBorders>
            <w:shd w:val="clear" w:color="auto" w:fill="auto"/>
          </w:tcPr>
          <w:p w14:paraId="544E9ABE" w14:textId="77777777" w:rsidR="006A451F" w:rsidRPr="006A451F" w:rsidRDefault="006A451F" w:rsidP="006A451F">
            <w:pPr>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66935113"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3C9A2EE1" w14:textId="77777777" w:rsidR="006A451F" w:rsidRPr="006A451F" w:rsidRDefault="006A451F" w:rsidP="006A451F">
            <w:pPr>
              <w:jc w:val="right"/>
              <w:rPr>
                <w:sz w:val="16"/>
                <w:szCs w:val="16"/>
                <w:lang w:eastAsia="es-AR"/>
              </w:rPr>
            </w:pPr>
          </w:p>
        </w:tc>
      </w:tr>
      <w:tr w:rsidR="006A451F" w:rsidRPr="006A451F" w14:paraId="13311D83" w14:textId="77777777" w:rsidTr="006A451F">
        <w:trPr>
          <w:trHeight w:val="255"/>
        </w:trPr>
        <w:tc>
          <w:tcPr>
            <w:tcW w:w="6240" w:type="dxa"/>
            <w:tcBorders>
              <w:top w:val="nil"/>
              <w:left w:val="nil"/>
              <w:bottom w:val="nil"/>
              <w:right w:val="nil"/>
            </w:tcBorders>
            <w:shd w:val="clear" w:color="auto" w:fill="auto"/>
            <w:hideMark/>
          </w:tcPr>
          <w:p w14:paraId="1C984CF8" w14:textId="77777777" w:rsidR="006A451F" w:rsidRPr="006A451F" w:rsidRDefault="006A451F" w:rsidP="006A451F">
            <w:pPr>
              <w:ind w:firstLineChars="100" w:firstLine="160"/>
              <w:rPr>
                <w:rFonts w:ascii="Arial" w:hAnsi="Arial" w:cs="Arial"/>
                <w:sz w:val="16"/>
                <w:szCs w:val="16"/>
                <w:lang w:eastAsia="es-AR"/>
              </w:rPr>
            </w:pPr>
            <w:r w:rsidRPr="006A451F">
              <w:rPr>
                <w:rFonts w:ascii="Arial" w:hAnsi="Arial" w:cs="Arial"/>
                <w:sz w:val="16"/>
                <w:szCs w:val="16"/>
                <w:lang w:eastAsia="es-AR"/>
              </w:rPr>
              <w:t>Resultado de otros activos financieros</w:t>
            </w:r>
          </w:p>
        </w:tc>
        <w:tc>
          <w:tcPr>
            <w:tcW w:w="1478" w:type="dxa"/>
            <w:tcBorders>
              <w:top w:val="nil"/>
              <w:left w:val="nil"/>
              <w:bottom w:val="nil"/>
              <w:right w:val="nil"/>
            </w:tcBorders>
            <w:shd w:val="clear" w:color="auto" w:fill="auto"/>
          </w:tcPr>
          <w:p w14:paraId="19CD9346" w14:textId="77777777" w:rsidR="006A451F" w:rsidRPr="006A451F" w:rsidRDefault="006A451F" w:rsidP="006A451F">
            <w:pPr>
              <w:ind w:firstLineChars="100" w:firstLine="16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7E97B25A" w14:textId="0D25E5A8" w:rsidR="006A451F" w:rsidRPr="006E1AF7" w:rsidRDefault="00941A39" w:rsidP="006A451F">
            <w:pPr>
              <w:jc w:val="right"/>
              <w:rPr>
                <w:rFonts w:ascii="Arial" w:hAnsi="Arial" w:cs="Arial"/>
                <w:sz w:val="16"/>
                <w:szCs w:val="16"/>
                <w:lang w:eastAsia="es-AR"/>
              </w:rPr>
            </w:pPr>
            <w:r w:rsidRPr="006E1AF7">
              <w:rPr>
                <w:rFonts w:ascii="Arial" w:hAnsi="Arial" w:cs="Arial"/>
                <w:sz w:val="16"/>
                <w:szCs w:val="16"/>
                <w:lang w:eastAsia="es-AR"/>
              </w:rPr>
              <w:t>9.948</w:t>
            </w:r>
          </w:p>
        </w:tc>
        <w:tc>
          <w:tcPr>
            <w:tcW w:w="1043" w:type="dxa"/>
            <w:tcBorders>
              <w:top w:val="nil"/>
              <w:left w:val="nil"/>
              <w:bottom w:val="nil"/>
              <w:right w:val="nil"/>
            </w:tcBorders>
            <w:shd w:val="clear" w:color="auto" w:fill="auto"/>
          </w:tcPr>
          <w:p w14:paraId="1CA2234E" w14:textId="77777777" w:rsidR="006A451F" w:rsidRPr="006E1AF7" w:rsidRDefault="006A451F" w:rsidP="006A451F">
            <w:pPr>
              <w:jc w:val="right"/>
              <w:rPr>
                <w:rFonts w:ascii="Arial" w:hAnsi="Arial" w:cs="Arial"/>
                <w:sz w:val="16"/>
                <w:szCs w:val="16"/>
                <w:lang w:eastAsia="es-AR"/>
              </w:rPr>
            </w:pPr>
          </w:p>
        </w:tc>
      </w:tr>
      <w:tr w:rsidR="006A451F" w:rsidRPr="006A451F" w14:paraId="6943F032" w14:textId="77777777" w:rsidTr="006A451F">
        <w:trPr>
          <w:trHeight w:val="255"/>
        </w:trPr>
        <w:tc>
          <w:tcPr>
            <w:tcW w:w="6240" w:type="dxa"/>
            <w:tcBorders>
              <w:top w:val="nil"/>
              <w:left w:val="nil"/>
              <w:bottom w:val="nil"/>
              <w:right w:val="nil"/>
            </w:tcBorders>
            <w:shd w:val="clear" w:color="auto" w:fill="auto"/>
            <w:hideMark/>
          </w:tcPr>
          <w:p w14:paraId="5E45EA94" w14:textId="77777777" w:rsidR="006A451F" w:rsidRPr="006A451F" w:rsidRDefault="006A451F" w:rsidP="006A451F">
            <w:pPr>
              <w:ind w:firstLineChars="100" w:firstLine="160"/>
              <w:rPr>
                <w:rFonts w:ascii="Arial" w:hAnsi="Arial" w:cs="Arial"/>
                <w:sz w:val="16"/>
                <w:szCs w:val="16"/>
                <w:lang w:eastAsia="es-AR"/>
              </w:rPr>
            </w:pPr>
            <w:r w:rsidRPr="006A451F">
              <w:rPr>
                <w:rFonts w:ascii="Arial" w:hAnsi="Arial" w:cs="Arial"/>
                <w:sz w:val="16"/>
                <w:szCs w:val="16"/>
                <w:lang w:eastAsia="es-AR"/>
              </w:rPr>
              <w:t>Resultado de préstamos y otras financiaciones</w:t>
            </w:r>
          </w:p>
        </w:tc>
        <w:tc>
          <w:tcPr>
            <w:tcW w:w="1478" w:type="dxa"/>
            <w:tcBorders>
              <w:top w:val="nil"/>
              <w:left w:val="nil"/>
              <w:bottom w:val="nil"/>
              <w:right w:val="nil"/>
            </w:tcBorders>
            <w:shd w:val="clear" w:color="auto" w:fill="auto"/>
          </w:tcPr>
          <w:p w14:paraId="3B450E40" w14:textId="77777777" w:rsidR="006A451F" w:rsidRPr="006A451F" w:rsidRDefault="006A451F" w:rsidP="006A451F">
            <w:pPr>
              <w:ind w:firstLineChars="100" w:firstLine="16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634088F6"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3DD32BCB" w14:textId="77777777" w:rsidR="006A451F" w:rsidRPr="006A451F" w:rsidRDefault="006A451F" w:rsidP="006A451F">
            <w:pPr>
              <w:jc w:val="right"/>
              <w:rPr>
                <w:sz w:val="16"/>
                <w:szCs w:val="16"/>
                <w:lang w:eastAsia="es-AR"/>
              </w:rPr>
            </w:pPr>
          </w:p>
        </w:tc>
      </w:tr>
      <w:tr w:rsidR="006A451F" w:rsidRPr="006A451F" w14:paraId="76F33E5E" w14:textId="77777777" w:rsidTr="006A451F">
        <w:trPr>
          <w:trHeight w:val="255"/>
        </w:trPr>
        <w:tc>
          <w:tcPr>
            <w:tcW w:w="6240" w:type="dxa"/>
            <w:tcBorders>
              <w:top w:val="nil"/>
              <w:left w:val="nil"/>
              <w:bottom w:val="nil"/>
              <w:right w:val="nil"/>
            </w:tcBorders>
            <w:shd w:val="clear" w:color="auto" w:fill="auto"/>
            <w:hideMark/>
          </w:tcPr>
          <w:p w14:paraId="6E62AC1E" w14:textId="77777777" w:rsidR="006A451F" w:rsidRPr="006A451F" w:rsidRDefault="006A451F" w:rsidP="006A451F">
            <w:pPr>
              <w:ind w:firstLineChars="200" w:firstLine="320"/>
              <w:rPr>
                <w:rFonts w:ascii="Arial" w:hAnsi="Arial" w:cs="Arial"/>
                <w:sz w:val="16"/>
                <w:szCs w:val="16"/>
                <w:lang w:eastAsia="es-AR"/>
              </w:rPr>
            </w:pPr>
            <w:r w:rsidRPr="006A451F">
              <w:rPr>
                <w:rFonts w:ascii="Arial" w:hAnsi="Arial" w:cs="Arial"/>
                <w:sz w:val="16"/>
                <w:szCs w:val="16"/>
                <w:lang w:eastAsia="es-AR"/>
              </w:rPr>
              <w:t>Sector Público no Financiero</w:t>
            </w:r>
          </w:p>
        </w:tc>
        <w:tc>
          <w:tcPr>
            <w:tcW w:w="1478" w:type="dxa"/>
            <w:tcBorders>
              <w:top w:val="nil"/>
              <w:left w:val="nil"/>
              <w:bottom w:val="nil"/>
              <w:right w:val="nil"/>
            </w:tcBorders>
            <w:shd w:val="clear" w:color="auto" w:fill="auto"/>
          </w:tcPr>
          <w:p w14:paraId="5A71E1B3" w14:textId="77777777" w:rsidR="006A451F" w:rsidRPr="006A451F" w:rsidRDefault="006A451F" w:rsidP="006A451F">
            <w:pPr>
              <w:ind w:firstLineChars="200" w:firstLine="32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5DEC71F5"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52DCAD5A" w14:textId="77777777" w:rsidR="006A451F" w:rsidRPr="006A451F" w:rsidRDefault="006A451F" w:rsidP="006A451F">
            <w:pPr>
              <w:jc w:val="right"/>
              <w:rPr>
                <w:sz w:val="16"/>
                <w:szCs w:val="16"/>
                <w:lang w:eastAsia="es-AR"/>
              </w:rPr>
            </w:pPr>
          </w:p>
        </w:tc>
      </w:tr>
      <w:tr w:rsidR="006A451F" w:rsidRPr="006A451F" w14:paraId="18E3BC35" w14:textId="77777777" w:rsidTr="006A451F">
        <w:trPr>
          <w:trHeight w:val="255"/>
        </w:trPr>
        <w:tc>
          <w:tcPr>
            <w:tcW w:w="6240" w:type="dxa"/>
            <w:tcBorders>
              <w:top w:val="nil"/>
              <w:left w:val="nil"/>
              <w:bottom w:val="nil"/>
              <w:right w:val="nil"/>
            </w:tcBorders>
            <w:shd w:val="clear" w:color="auto" w:fill="auto"/>
            <w:hideMark/>
          </w:tcPr>
          <w:p w14:paraId="6CAC92D5" w14:textId="77777777" w:rsidR="006A451F" w:rsidRPr="006A451F" w:rsidRDefault="006A451F" w:rsidP="006A451F">
            <w:pPr>
              <w:ind w:firstLineChars="200" w:firstLine="320"/>
              <w:rPr>
                <w:rFonts w:ascii="Arial" w:hAnsi="Arial" w:cs="Arial"/>
                <w:sz w:val="16"/>
                <w:szCs w:val="16"/>
                <w:lang w:eastAsia="es-AR"/>
              </w:rPr>
            </w:pPr>
            <w:r w:rsidRPr="006A451F">
              <w:rPr>
                <w:rFonts w:ascii="Arial" w:hAnsi="Arial" w:cs="Arial"/>
                <w:sz w:val="16"/>
                <w:szCs w:val="16"/>
                <w:lang w:eastAsia="es-AR"/>
              </w:rPr>
              <w:t>B.C.R.A.</w:t>
            </w:r>
          </w:p>
        </w:tc>
        <w:tc>
          <w:tcPr>
            <w:tcW w:w="1478" w:type="dxa"/>
            <w:tcBorders>
              <w:top w:val="nil"/>
              <w:left w:val="nil"/>
              <w:bottom w:val="nil"/>
              <w:right w:val="nil"/>
            </w:tcBorders>
            <w:shd w:val="clear" w:color="auto" w:fill="auto"/>
          </w:tcPr>
          <w:p w14:paraId="3389EACB" w14:textId="77777777" w:rsidR="006A451F" w:rsidRPr="006A451F" w:rsidRDefault="006A451F" w:rsidP="006A451F">
            <w:pPr>
              <w:ind w:firstLineChars="200" w:firstLine="32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4D013980"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4307AF7A" w14:textId="77777777" w:rsidR="006A451F" w:rsidRPr="006A451F" w:rsidRDefault="006A451F" w:rsidP="006A451F">
            <w:pPr>
              <w:jc w:val="right"/>
              <w:rPr>
                <w:sz w:val="16"/>
                <w:szCs w:val="16"/>
                <w:lang w:eastAsia="es-AR"/>
              </w:rPr>
            </w:pPr>
          </w:p>
        </w:tc>
      </w:tr>
      <w:tr w:rsidR="006A451F" w:rsidRPr="006A451F" w14:paraId="2FE8A2EE" w14:textId="77777777" w:rsidTr="006A451F">
        <w:trPr>
          <w:trHeight w:val="255"/>
        </w:trPr>
        <w:tc>
          <w:tcPr>
            <w:tcW w:w="6240" w:type="dxa"/>
            <w:tcBorders>
              <w:top w:val="nil"/>
              <w:left w:val="nil"/>
              <w:bottom w:val="nil"/>
              <w:right w:val="nil"/>
            </w:tcBorders>
            <w:shd w:val="clear" w:color="auto" w:fill="auto"/>
            <w:hideMark/>
          </w:tcPr>
          <w:p w14:paraId="73B7EB68" w14:textId="77777777" w:rsidR="006A451F" w:rsidRPr="006A451F" w:rsidRDefault="006A451F" w:rsidP="006A451F">
            <w:pPr>
              <w:ind w:firstLineChars="200" w:firstLine="320"/>
              <w:rPr>
                <w:rFonts w:ascii="Arial" w:hAnsi="Arial" w:cs="Arial"/>
                <w:sz w:val="16"/>
                <w:szCs w:val="16"/>
                <w:lang w:eastAsia="es-AR"/>
              </w:rPr>
            </w:pPr>
            <w:r w:rsidRPr="006A451F">
              <w:rPr>
                <w:rFonts w:ascii="Arial" w:hAnsi="Arial" w:cs="Arial"/>
                <w:sz w:val="16"/>
                <w:szCs w:val="16"/>
                <w:lang w:eastAsia="es-AR"/>
              </w:rPr>
              <w:t>Sector Financiero</w:t>
            </w:r>
          </w:p>
        </w:tc>
        <w:tc>
          <w:tcPr>
            <w:tcW w:w="1478" w:type="dxa"/>
            <w:tcBorders>
              <w:top w:val="nil"/>
              <w:left w:val="nil"/>
              <w:bottom w:val="nil"/>
              <w:right w:val="nil"/>
            </w:tcBorders>
            <w:shd w:val="clear" w:color="auto" w:fill="auto"/>
          </w:tcPr>
          <w:p w14:paraId="71CEF0C9" w14:textId="77777777" w:rsidR="006A451F" w:rsidRPr="006A451F" w:rsidRDefault="006A451F" w:rsidP="006A451F">
            <w:pPr>
              <w:ind w:firstLineChars="200" w:firstLine="32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2AF8408A"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10D0A8CE" w14:textId="77777777" w:rsidR="006A451F" w:rsidRPr="006A451F" w:rsidRDefault="006A451F" w:rsidP="006A451F">
            <w:pPr>
              <w:jc w:val="right"/>
              <w:rPr>
                <w:sz w:val="16"/>
                <w:szCs w:val="16"/>
                <w:lang w:eastAsia="es-AR"/>
              </w:rPr>
            </w:pPr>
          </w:p>
        </w:tc>
      </w:tr>
      <w:tr w:rsidR="006A451F" w:rsidRPr="006A451F" w14:paraId="41559F4F" w14:textId="77777777" w:rsidTr="006A451F">
        <w:trPr>
          <w:trHeight w:val="255"/>
        </w:trPr>
        <w:tc>
          <w:tcPr>
            <w:tcW w:w="6240" w:type="dxa"/>
            <w:tcBorders>
              <w:top w:val="nil"/>
              <w:left w:val="nil"/>
              <w:bottom w:val="nil"/>
              <w:right w:val="nil"/>
            </w:tcBorders>
            <w:shd w:val="clear" w:color="auto" w:fill="auto"/>
            <w:hideMark/>
          </w:tcPr>
          <w:p w14:paraId="0ABF51DE" w14:textId="77777777" w:rsidR="006A451F" w:rsidRPr="006A451F" w:rsidRDefault="006A451F" w:rsidP="006A451F">
            <w:pPr>
              <w:ind w:firstLineChars="200" w:firstLine="320"/>
              <w:rPr>
                <w:rFonts w:ascii="Arial" w:hAnsi="Arial" w:cs="Arial"/>
                <w:sz w:val="16"/>
                <w:szCs w:val="16"/>
                <w:lang w:eastAsia="es-AR"/>
              </w:rPr>
            </w:pPr>
            <w:r w:rsidRPr="006A451F">
              <w:rPr>
                <w:rFonts w:ascii="Arial" w:hAnsi="Arial" w:cs="Arial"/>
                <w:sz w:val="16"/>
                <w:szCs w:val="16"/>
                <w:lang w:eastAsia="es-AR"/>
              </w:rPr>
              <w:t>Sector Privado no Financiero</w:t>
            </w:r>
          </w:p>
        </w:tc>
        <w:tc>
          <w:tcPr>
            <w:tcW w:w="1478" w:type="dxa"/>
            <w:tcBorders>
              <w:top w:val="nil"/>
              <w:left w:val="nil"/>
              <w:bottom w:val="nil"/>
              <w:right w:val="nil"/>
            </w:tcBorders>
            <w:shd w:val="clear" w:color="auto" w:fill="auto"/>
          </w:tcPr>
          <w:p w14:paraId="68B4571C" w14:textId="77777777" w:rsidR="006A451F" w:rsidRPr="006A451F" w:rsidRDefault="006A451F" w:rsidP="006A451F">
            <w:pPr>
              <w:ind w:firstLineChars="200" w:firstLine="32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697EC67B"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3F913972" w14:textId="77777777" w:rsidR="006A451F" w:rsidRPr="006A451F" w:rsidRDefault="006A451F" w:rsidP="006A451F">
            <w:pPr>
              <w:jc w:val="right"/>
              <w:rPr>
                <w:sz w:val="16"/>
                <w:szCs w:val="16"/>
                <w:lang w:eastAsia="es-AR"/>
              </w:rPr>
            </w:pPr>
          </w:p>
        </w:tc>
      </w:tr>
      <w:tr w:rsidR="006A451F" w:rsidRPr="006A451F" w14:paraId="3915815B" w14:textId="77777777" w:rsidTr="006A451F">
        <w:trPr>
          <w:trHeight w:val="255"/>
        </w:trPr>
        <w:tc>
          <w:tcPr>
            <w:tcW w:w="6240" w:type="dxa"/>
            <w:tcBorders>
              <w:top w:val="nil"/>
              <w:left w:val="nil"/>
              <w:bottom w:val="nil"/>
              <w:right w:val="nil"/>
            </w:tcBorders>
            <w:shd w:val="clear" w:color="auto" w:fill="auto"/>
            <w:hideMark/>
          </w:tcPr>
          <w:p w14:paraId="0CCD6BD3"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Adelantos</w:t>
            </w:r>
          </w:p>
        </w:tc>
        <w:tc>
          <w:tcPr>
            <w:tcW w:w="1478" w:type="dxa"/>
            <w:tcBorders>
              <w:top w:val="nil"/>
              <w:left w:val="nil"/>
              <w:bottom w:val="nil"/>
              <w:right w:val="nil"/>
            </w:tcBorders>
            <w:shd w:val="clear" w:color="auto" w:fill="auto"/>
          </w:tcPr>
          <w:p w14:paraId="3FAE3420" w14:textId="77777777" w:rsidR="006A451F" w:rsidRPr="006A451F" w:rsidRDefault="006A451F" w:rsidP="006A451F">
            <w:pPr>
              <w:ind w:firstLineChars="400" w:firstLine="64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19128B7D"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777E0868" w14:textId="77777777" w:rsidR="006A451F" w:rsidRPr="006A451F" w:rsidRDefault="006A451F" w:rsidP="006A451F">
            <w:pPr>
              <w:jc w:val="right"/>
              <w:rPr>
                <w:sz w:val="16"/>
                <w:szCs w:val="16"/>
                <w:lang w:eastAsia="es-AR"/>
              </w:rPr>
            </w:pPr>
          </w:p>
        </w:tc>
      </w:tr>
      <w:tr w:rsidR="006A451F" w:rsidRPr="006A451F" w14:paraId="56086A17" w14:textId="77777777" w:rsidTr="006A451F">
        <w:trPr>
          <w:trHeight w:val="255"/>
        </w:trPr>
        <w:tc>
          <w:tcPr>
            <w:tcW w:w="6240" w:type="dxa"/>
            <w:tcBorders>
              <w:top w:val="nil"/>
              <w:left w:val="nil"/>
              <w:bottom w:val="nil"/>
              <w:right w:val="nil"/>
            </w:tcBorders>
            <w:shd w:val="clear" w:color="auto" w:fill="auto"/>
            <w:hideMark/>
          </w:tcPr>
          <w:p w14:paraId="09105867"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Documentos</w:t>
            </w:r>
          </w:p>
        </w:tc>
        <w:tc>
          <w:tcPr>
            <w:tcW w:w="1478" w:type="dxa"/>
            <w:tcBorders>
              <w:top w:val="nil"/>
              <w:left w:val="nil"/>
              <w:bottom w:val="nil"/>
              <w:right w:val="nil"/>
            </w:tcBorders>
            <w:shd w:val="clear" w:color="auto" w:fill="auto"/>
          </w:tcPr>
          <w:p w14:paraId="531C20D0" w14:textId="77777777" w:rsidR="006A451F" w:rsidRPr="006A451F" w:rsidRDefault="006A451F" w:rsidP="006A451F">
            <w:pPr>
              <w:ind w:firstLineChars="400" w:firstLine="64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7923AAA5"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68566909" w14:textId="77777777" w:rsidR="006A451F" w:rsidRPr="006A451F" w:rsidRDefault="006A451F" w:rsidP="006A451F">
            <w:pPr>
              <w:jc w:val="right"/>
              <w:rPr>
                <w:sz w:val="16"/>
                <w:szCs w:val="16"/>
                <w:lang w:eastAsia="es-AR"/>
              </w:rPr>
            </w:pPr>
          </w:p>
        </w:tc>
      </w:tr>
      <w:tr w:rsidR="006A451F" w:rsidRPr="006A451F" w14:paraId="02B0D07A" w14:textId="77777777" w:rsidTr="006A451F">
        <w:trPr>
          <w:trHeight w:val="255"/>
        </w:trPr>
        <w:tc>
          <w:tcPr>
            <w:tcW w:w="6240" w:type="dxa"/>
            <w:tcBorders>
              <w:top w:val="nil"/>
              <w:left w:val="nil"/>
              <w:bottom w:val="nil"/>
              <w:right w:val="nil"/>
            </w:tcBorders>
            <w:shd w:val="clear" w:color="auto" w:fill="auto"/>
            <w:hideMark/>
          </w:tcPr>
          <w:p w14:paraId="1BDADCCF"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Hipotecarios</w:t>
            </w:r>
          </w:p>
        </w:tc>
        <w:tc>
          <w:tcPr>
            <w:tcW w:w="1478" w:type="dxa"/>
            <w:tcBorders>
              <w:top w:val="nil"/>
              <w:left w:val="nil"/>
              <w:bottom w:val="nil"/>
              <w:right w:val="nil"/>
            </w:tcBorders>
            <w:shd w:val="clear" w:color="auto" w:fill="auto"/>
          </w:tcPr>
          <w:p w14:paraId="3655AC9E" w14:textId="77777777" w:rsidR="006A451F" w:rsidRPr="006A451F" w:rsidRDefault="006A451F" w:rsidP="006A451F">
            <w:pPr>
              <w:ind w:firstLineChars="400" w:firstLine="64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0FCC04D0"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20E16A1E" w14:textId="77777777" w:rsidR="006A451F" w:rsidRPr="006A451F" w:rsidRDefault="006A451F" w:rsidP="006A451F">
            <w:pPr>
              <w:jc w:val="right"/>
              <w:rPr>
                <w:sz w:val="16"/>
                <w:szCs w:val="16"/>
                <w:lang w:eastAsia="es-AR"/>
              </w:rPr>
            </w:pPr>
          </w:p>
        </w:tc>
      </w:tr>
      <w:tr w:rsidR="006A451F" w:rsidRPr="006A451F" w14:paraId="64E6704D" w14:textId="77777777" w:rsidTr="006A451F">
        <w:trPr>
          <w:trHeight w:val="255"/>
        </w:trPr>
        <w:tc>
          <w:tcPr>
            <w:tcW w:w="6240" w:type="dxa"/>
            <w:tcBorders>
              <w:top w:val="nil"/>
              <w:left w:val="nil"/>
              <w:bottom w:val="nil"/>
              <w:right w:val="nil"/>
            </w:tcBorders>
            <w:shd w:val="clear" w:color="auto" w:fill="auto"/>
            <w:hideMark/>
          </w:tcPr>
          <w:p w14:paraId="543A880C"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Prendarios</w:t>
            </w:r>
          </w:p>
        </w:tc>
        <w:tc>
          <w:tcPr>
            <w:tcW w:w="1478" w:type="dxa"/>
            <w:tcBorders>
              <w:top w:val="nil"/>
              <w:left w:val="nil"/>
              <w:bottom w:val="nil"/>
              <w:right w:val="nil"/>
            </w:tcBorders>
            <w:shd w:val="clear" w:color="auto" w:fill="auto"/>
          </w:tcPr>
          <w:p w14:paraId="6482293F" w14:textId="77777777" w:rsidR="006A451F" w:rsidRPr="006A451F" w:rsidRDefault="006A451F" w:rsidP="006A451F">
            <w:pPr>
              <w:ind w:firstLineChars="400" w:firstLine="64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70755483"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603824BE" w14:textId="77777777" w:rsidR="006A451F" w:rsidRPr="006A451F" w:rsidRDefault="006A451F" w:rsidP="006A451F">
            <w:pPr>
              <w:jc w:val="right"/>
              <w:rPr>
                <w:sz w:val="16"/>
                <w:szCs w:val="16"/>
                <w:lang w:eastAsia="es-AR"/>
              </w:rPr>
            </w:pPr>
          </w:p>
        </w:tc>
      </w:tr>
      <w:tr w:rsidR="006A451F" w:rsidRPr="006A451F" w14:paraId="1207B394" w14:textId="77777777" w:rsidTr="006A451F">
        <w:trPr>
          <w:trHeight w:val="255"/>
        </w:trPr>
        <w:tc>
          <w:tcPr>
            <w:tcW w:w="6240" w:type="dxa"/>
            <w:tcBorders>
              <w:top w:val="nil"/>
              <w:left w:val="nil"/>
              <w:bottom w:val="nil"/>
              <w:right w:val="nil"/>
            </w:tcBorders>
            <w:shd w:val="clear" w:color="auto" w:fill="auto"/>
            <w:hideMark/>
          </w:tcPr>
          <w:p w14:paraId="776F2DA9"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Personales</w:t>
            </w:r>
          </w:p>
        </w:tc>
        <w:tc>
          <w:tcPr>
            <w:tcW w:w="1478" w:type="dxa"/>
            <w:tcBorders>
              <w:top w:val="nil"/>
              <w:left w:val="nil"/>
              <w:bottom w:val="nil"/>
              <w:right w:val="nil"/>
            </w:tcBorders>
            <w:shd w:val="clear" w:color="auto" w:fill="auto"/>
          </w:tcPr>
          <w:p w14:paraId="7F37979D" w14:textId="77777777" w:rsidR="006A451F" w:rsidRPr="006A451F" w:rsidRDefault="006A451F" w:rsidP="006A451F">
            <w:pPr>
              <w:ind w:firstLineChars="400" w:firstLine="64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12C05F8B"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791E148F" w14:textId="77777777" w:rsidR="006A451F" w:rsidRPr="006A451F" w:rsidRDefault="006A451F" w:rsidP="006A451F">
            <w:pPr>
              <w:jc w:val="right"/>
              <w:rPr>
                <w:sz w:val="16"/>
                <w:szCs w:val="16"/>
                <w:lang w:eastAsia="es-AR"/>
              </w:rPr>
            </w:pPr>
          </w:p>
        </w:tc>
      </w:tr>
      <w:tr w:rsidR="006A451F" w:rsidRPr="006A451F" w14:paraId="1FAB2D13" w14:textId="77777777" w:rsidTr="006A451F">
        <w:trPr>
          <w:trHeight w:val="255"/>
        </w:trPr>
        <w:tc>
          <w:tcPr>
            <w:tcW w:w="6240" w:type="dxa"/>
            <w:tcBorders>
              <w:top w:val="nil"/>
              <w:left w:val="nil"/>
              <w:bottom w:val="nil"/>
              <w:right w:val="nil"/>
            </w:tcBorders>
            <w:shd w:val="clear" w:color="auto" w:fill="auto"/>
            <w:hideMark/>
          </w:tcPr>
          <w:p w14:paraId="4C80F188"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Tarjetas de Crédito</w:t>
            </w:r>
          </w:p>
        </w:tc>
        <w:tc>
          <w:tcPr>
            <w:tcW w:w="1478" w:type="dxa"/>
            <w:tcBorders>
              <w:top w:val="nil"/>
              <w:left w:val="nil"/>
              <w:bottom w:val="nil"/>
              <w:right w:val="nil"/>
            </w:tcBorders>
            <w:shd w:val="clear" w:color="auto" w:fill="auto"/>
          </w:tcPr>
          <w:p w14:paraId="09BED42A" w14:textId="77777777" w:rsidR="006A451F" w:rsidRPr="006A451F" w:rsidRDefault="006A451F" w:rsidP="006A451F">
            <w:pPr>
              <w:ind w:firstLineChars="400" w:firstLine="64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78DDF5FE"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76330DF3" w14:textId="77777777" w:rsidR="006A451F" w:rsidRPr="006A451F" w:rsidRDefault="006A451F" w:rsidP="006A451F">
            <w:pPr>
              <w:jc w:val="right"/>
              <w:rPr>
                <w:sz w:val="16"/>
                <w:szCs w:val="16"/>
                <w:lang w:eastAsia="es-AR"/>
              </w:rPr>
            </w:pPr>
          </w:p>
        </w:tc>
      </w:tr>
      <w:tr w:rsidR="006A451F" w:rsidRPr="006A451F" w14:paraId="6F366D44" w14:textId="77777777" w:rsidTr="006A451F">
        <w:trPr>
          <w:trHeight w:val="255"/>
        </w:trPr>
        <w:tc>
          <w:tcPr>
            <w:tcW w:w="6240" w:type="dxa"/>
            <w:tcBorders>
              <w:top w:val="nil"/>
              <w:left w:val="nil"/>
              <w:bottom w:val="nil"/>
              <w:right w:val="nil"/>
            </w:tcBorders>
            <w:shd w:val="clear" w:color="auto" w:fill="auto"/>
            <w:hideMark/>
          </w:tcPr>
          <w:p w14:paraId="04ECE6E1"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Otros</w:t>
            </w:r>
          </w:p>
        </w:tc>
        <w:tc>
          <w:tcPr>
            <w:tcW w:w="1478" w:type="dxa"/>
            <w:tcBorders>
              <w:top w:val="nil"/>
              <w:left w:val="nil"/>
              <w:bottom w:val="nil"/>
              <w:right w:val="nil"/>
            </w:tcBorders>
            <w:shd w:val="clear" w:color="auto" w:fill="auto"/>
          </w:tcPr>
          <w:p w14:paraId="0F620954" w14:textId="77777777" w:rsidR="006A451F" w:rsidRPr="006A451F" w:rsidRDefault="006A451F" w:rsidP="006A451F">
            <w:pPr>
              <w:ind w:firstLineChars="400" w:firstLine="64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3F0C88D9"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5EEAC28C" w14:textId="77777777" w:rsidR="006A451F" w:rsidRPr="006A451F" w:rsidRDefault="006A451F" w:rsidP="006A451F">
            <w:pPr>
              <w:jc w:val="right"/>
              <w:rPr>
                <w:sz w:val="16"/>
                <w:szCs w:val="16"/>
                <w:lang w:eastAsia="es-AR"/>
              </w:rPr>
            </w:pPr>
          </w:p>
        </w:tc>
      </w:tr>
      <w:tr w:rsidR="006A451F" w:rsidRPr="006A451F" w14:paraId="0EAB8708" w14:textId="77777777" w:rsidTr="006A451F">
        <w:trPr>
          <w:trHeight w:val="255"/>
        </w:trPr>
        <w:tc>
          <w:tcPr>
            <w:tcW w:w="6240" w:type="dxa"/>
            <w:tcBorders>
              <w:top w:val="nil"/>
              <w:left w:val="nil"/>
              <w:bottom w:val="nil"/>
              <w:right w:val="nil"/>
            </w:tcBorders>
            <w:shd w:val="clear" w:color="auto" w:fill="auto"/>
            <w:hideMark/>
          </w:tcPr>
          <w:p w14:paraId="160AC5F0" w14:textId="77777777" w:rsidR="006A451F" w:rsidRPr="006A451F" w:rsidRDefault="006A451F" w:rsidP="006A451F">
            <w:pPr>
              <w:ind w:firstLineChars="200" w:firstLine="320"/>
              <w:rPr>
                <w:rFonts w:ascii="Arial" w:hAnsi="Arial" w:cs="Arial"/>
                <w:sz w:val="16"/>
                <w:szCs w:val="16"/>
                <w:lang w:eastAsia="es-AR"/>
              </w:rPr>
            </w:pPr>
            <w:r w:rsidRPr="006A451F">
              <w:rPr>
                <w:rFonts w:ascii="Arial" w:hAnsi="Arial" w:cs="Arial"/>
                <w:sz w:val="16"/>
                <w:szCs w:val="16"/>
                <w:lang w:eastAsia="es-AR"/>
              </w:rPr>
              <w:t>Residentes en el exterior</w:t>
            </w:r>
          </w:p>
        </w:tc>
        <w:tc>
          <w:tcPr>
            <w:tcW w:w="1478" w:type="dxa"/>
            <w:tcBorders>
              <w:top w:val="nil"/>
              <w:left w:val="nil"/>
              <w:bottom w:val="nil"/>
              <w:right w:val="nil"/>
            </w:tcBorders>
            <w:shd w:val="clear" w:color="auto" w:fill="auto"/>
          </w:tcPr>
          <w:p w14:paraId="365841F5" w14:textId="77777777" w:rsidR="006A451F" w:rsidRPr="006A451F" w:rsidRDefault="006A451F" w:rsidP="006A451F">
            <w:pPr>
              <w:ind w:firstLineChars="200" w:firstLine="32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72E72F90"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2A18A62B" w14:textId="77777777" w:rsidR="006A451F" w:rsidRPr="006A451F" w:rsidRDefault="006A451F" w:rsidP="006A451F">
            <w:pPr>
              <w:jc w:val="right"/>
              <w:rPr>
                <w:sz w:val="16"/>
                <w:szCs w:val="16"/>
                <w:lang w:eastAsia="es-AR"/>
              </w:rPr>
            </w:pPr>
          </w:p>
        </w:tc>
      </w:tr>
      <w:tr w:rsidR="006A451F" w:rsidRPr="006A451F" w14:paraId="28DB6444" w14:textId="77777777" w:rsidTr="006A451F">
        <w:trPr>
          <w:trHeight w:val="255"/>
        </w:trPr>
        <w:tc>
          <w:tcPr>
            <w:tcW w:w="6240" w:type="dxa"/>
            <w:tcBorders>
              <w:top w:val="nil"/>
              <w:left w:val="nil"/>
              <w:bottom w:val="nil"/>
              <w:right w:val="nil"/>
            </w:tcBorders>
            <w:shd w:val="clear" w:color="auto" w:fill="auto"/>
            <w:hideMark/>
          </w:tcPr>
          <w:p w14:paraId="6567F55A" w14:textId="77777777" w:rsidR="006A451F" w:rsidRPr="006A451F" w:rsidRDefault="006A451F" w:rsidP="006A451F">
            <w:pPr>
              <w:ind w:firstLineChars="100" w:firstLine="160"/>
              <w:rPr>
                <w:rFonts w:ascii="Arial" w:hAnsi="Arial" w:cs="Arial"/>
                <w:sz w:val="16"/>
                <w:szCs w:val="16"/>
                <w:lang w:eastAsia="es-AR"/>
              </w:rPr>
            </w:pPr>
            <w:r w:rsidRPr="006A451F">
              <w:rPr>
                <w:rFonts w:ascii="Arial" w:hAnsi="Arial" w:cs="Arial"/>
                <w:sz w:val="16"/>
                <w:szCs w:val="16"/>
                <w:lang w:eastAsia="es-AR"/>
              </w:rPr>
              <w:t>Por inversiones en Instrumentos de Patrimonio</w:t>
            </w:r>
          </w:p>
        </w:tc>
        <w:tc>
          <w:tcPr>
            <w:tcW w:w="1478" w:type="dxa"/>
            <w:tcBorders>
              <w:top w:val="nil"/>
              <w:left w:val="nil"/>
              <w:bottom w:val="nil"/>
              <w:right w:val="nil"/>
            </w:tcBorders>
            <w:shd w:val="clear" w:color="auto" w:fill="auto"/>
          </w:tcPr>
          <w:p w14:paraId="603C676B" w14:textId="77777777" w:rsidR="006A451F" w:rsidRPr="006A451F" w:rsidRDefault="006A451F" w:rsidP="006A451F">
            <w:pPr>
              <w:ind w:firstLineChars="100" w:firstLine="16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08585907"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405C1D43" w14:textId="40277DD2"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-18</w:t>
            </w:r>
          </w:p>
        </w:tc>
      </w:tr>
      <w:tr w:rsidR="006A451F" w:rsidRPr="006A451F" w14:paraId="1068CDBB" w14:textId="77777777" w:rsidTr="006A451F">
        <w:trPr>
          <w:trHeight w:val="255"/>
        </w:trPr>
        <w:tc>
          <w:tcPr>
            <w:tcW w:w="6240" w:type="dxa"/>
            <w:tcBorders>
              <w:top w:val="nil"/>
              <w:left w:val="nil"/>
              <w:bottom w:val="nil"/>
              <w:right w:val="nil"/>
            </w:tcBorders>
            <w:shd w:val="clear" w:color="auto" w:fill="auto"/>
            <w:hideMark/>
          </w:tcPr>
          <w:p w14:paraId="03A23EC7" w14:textId="77777777" w:rsidR="006A451F" w:rsidRPr="006A451F" w:rsidRDefault="006A451F" w:rsidP="006A451F">
            <w:pPr>
              <w:ind w:firstLineChars="100" w:firstLine="160"/>
              <w:rPr>
                <w:rFonts w:ascii="Arial" w:hAnsi="Arial" w:cs="Arial"/>
                <w:sz w:val="16"/>
                <w:szCs w:val="16"/>
                <w:lang w:eastAsia="es-AR"/>
              </w:rPr>
            </w:pPr>
            <w:r w:rsidRPr="006A451F">
              <w:rPr>
                <w:rFonts w:ascii="Arial" w:hAnsi="Arial" w:cs="Arial"/>
                <w:sz w:val="16"/>
                <w:szCs w:val="16"/>
                <w:lang w:eastAsia="es-AR"/>
              </w:rPr>
              <w:t>Resultado por venta o baja de activos financieros a valor razonable</w:t>
            </w:r>
          </w:p>
        </w:tc>
        <w:tc>
          <w:tcPr>
            <w:tcW w:w="1478" w:type="dxa"/>
            <w:tcBorders>
              <w:top w:val="nil"/>
              <w:left w:val="nil"/>
              <w:bottom w:val="nil"/>
              <w:right w:val="nil"/>
            </w:tcBorders>
            <w:shd w:val="clear" w:color="auto" w:fill="auto"/>
          </w:tcPr>
          <w:p w14:paraId="024F0302" w14:textId="77777777" w:rsidR="006A451F" w:rsidRPr="006A451F" w:rsidRDefault="006A451F" w:rsidP="006A451F">
            <w:pPr>
              <w:ind w:firstLineChars="100" w:firstLine="160"/>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2C33055F"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3C61D658" w14:textId="77777777" w:rsidR="006A451F" w:rsidRPr="006A451F" w:rsidRDefault="006A451F" w:rsidP="006A451F">
            <w:pPr>
              <w:jc w:val="right"/>
              <w:rPr>
                <w:sz w:val="16"/>
                <w:szCs w:val="16"/>
                <w:lang w:eastAsia="es-AR"/>
              </w:rPr>
            </w:pPr>
          </w:p>
        </w:tc>
      </w:tr>
      <w:tr w:rsidR="006A451F" w:rsidRPr="006A451F" w14:paraId="36599967" w14:textId="77777777" w:rsidTr="006A451F">
        <w:trPr>
          <w:trHeight w:val="80"/>
        </w:trPr>
        <w:tc>
          <w:tcPr>
            <w:tcW w:w="6240" w:type="dxa"/>
            <w:tcBorders>
              <w:top w:val="nil"/>
              <w:left w:val="nil"/>
              <w:bottom w:val="nil"/>
              <w:right w:val="nil"/>
            </w:tcBorders>
            <w:shd w:val="clear" w:color="auto" w:fill="auto"/>
            <w:hideMark/>
          </w:tcPr>
          <w:p w14:paraId="1FA937A8" w14:textId="77777777" w:rsidR="006A451F" w:rsidRPr="006A451F" w:rsidRDefault="006A451F" w:rsidP="006A451F">
            <w:pPr>
              <w:rPr>
                <w:sz w:val="16"/>
                <w:szCs w:val="16"/>
                <w:lang w:eastAsia="es-AR"/>
              </w:rPr>
            </w:pPr>
          </w:p>
        </w:tc>
        <w:tc>
          <w:tcPr>
            <w:tcW w:w="1478" w:type="dxa"/>
            <w:tcBorders>
              <w:top w:val="nil"/>
              <w:left w:val="nil"/>
              <w:bottom w:val="nil"/>
              <w:right w:val="nil"/>
            </w:tcBorders>
            <w:shd w:val="clear" w:color="auto" w:fill="auto"/>
          </w:tcPr>
          <w:p w14:paraId="39C8EEC4" w14:textId="77777777" w:rsidR="006A451F" w:rsidRPr="006A451F" w:rsidRDefault="006A451F" w:rsidP="006A451F">
            <w:pPr>
              <w:ind w:firstLineChars="100" w:firstLine="160"/>
              <w:jc w:val="right"/>
              <w:rPr>
                <w:sz w:val="16"/>
                <w:szCs w:val="16"/>
                <w:lang w:eastAsia="es-AR"/>
              </w:rPr>
            </w:pPr>
          </w:p>
        </w:tc>
        <w:tc>
          <w:tcPr>
            <w:tcW w:w="1319" w:type="dxa"/>
            <w:tcBorders>
              <w:top w:val="nil"/>
              <w:left w:val="nil"/>
              <w:bottom w:val="nil"/>
              <w:right w:val="nil"/>
            </w:tcBorders>
            <w:shd w:val="clear" w:color="auto" w:fill="auto"/>
          </w:tcPr>
          <w:p w14:paraId="6C7C9AA9"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03462DD9" w14:textId="77777777" w:rsidR="006A451F" w:rsidRPr="006A451F" w:rsidRDefault="006A451F" w:rsidP="006A451F">
            <w:pPr>
              <w:jc w:val="right"/>
              <w:rPr>
                <w:sz w:val="16"/>
                <w:szCs w:val="16"/>
                <w:lang w:eastAsia="es-AR"/>
              </w:rPr>
            </w:pPr>
          </w:p>
        </w:tc>
      </w:tr>
      <w:tr w:rsidR="006A451F" w:rsidRPr="006A451F" w14:paraId="4757E749" w14:textId="77777777" w:rsidTr="006A451F">
        <w:trPr>
          <w:trHeight w:val="241"/>
        </w:trPr>
        <w:tc>
          <w:tcPr>
            <w:tcW w:w="6240" w:type="dxa"/>
            <w:tcBorders>
              <w:top w:val="nil"/>
              <w:left w:val="nil"/>
              <w:bottom w:val="nil"/>
              <w:right w:val="nil"/>
            </w:tcBorders>
            <w:shd w:val="clear" w:color="auto" w:fill="auto"/>
            <w:hideMark/>
          </w:tcPr>
          <w:p w14:paraId="265EC768" w14:textId="77777777" w:rsidR="006A451F" w:rsidRPr="006A451F" w:rsidRDefault="006A451F" w:rsidP="006A451F">
            <w:pPr>
              <w:rPr>
                <w:rFonts w:ascii="Arial" w:hAnsi="Arial" w:cs="Arial"/>
                <w:b/>
                <w:bCs/>
                <w:sz w:val="16"/>
                <w:szCs w:val="16"/>
                <w:lang w:eastAsia="es-AR"/>
              </w:rPr>
            </w:pPr>
            <w:r w:rsidRPr="006A451F">
              <w:rPr>
                <w:rFonts w:ascii="Arial" w:hAnsi="Arial" w:cs="Arial"/>
                <w:b/>
                <w:bCs/>
                <w:sz w:val="16"/>
                <w:szCs w:val="16"/>
                <w:lang w:eastAsia="es-AR"/>
              </w:rPr>
              <w:t>Por medición pasivos financieros a valor razonable con cambios en resultados</w:t>
            </w:r>
          </w:p>
        </w:tc>
        <w:tc>
          <w:tcPr>
            <w:tcW w:w="1478" w:type="dxa"/>
            <w:tcBorders>
              <w:top w:val="nil"/>
              <w:left w:val="nil"/>
              <w:bottom w:val="nil"/>
              <w:right w:val="nil"/>
            </w:tcBorders>
            <w:shd w:val="clear" w:color="auto" w:fill="auto"/>
            <w:noWrap/>
          </w:tcPr>
          <w:p w14:paraId="1D14BA19" w14:textId="77777777" w:rsidR="006A451F" w:rsidRPr="006A451F" w:rsidRDefault="006A451F" w:rsidP="006A451F">
            <w:pPr>
              <w:jc w:val="right"/>
              <w:rPr>
                <w:rFonts w:ascii="Arial" w:hAnsi="Arial" w:cs="Arial"/>
                <w:b/>
                <w:bCs/>
                <w:sz w:val="16"/>
                <w:szCs w:val="16"/>
                <w:lang w:eastAsia="es-AR"/>
              </w:rPr>
            </w:pPr>
          </w:p>
        </w:tc>
        <w:tc>
          <w:tcPr>
            <w:tcW w:w="1319" w:type="dxa"/>
            <w:tcBorders>
              <w:top w:val="nil"/>
              <w:left w:val="nil"/>
              <w:bottom w:val="nil"/>
              <w:right w:val="nil"/>
            </w:tcBorders>
            <w:shd w:val="clear" w:color="auto" w:fill="auto"/>
            <w:noWrap/>
          </w:tcPr>
          <w:p w14:paraId="3F341857"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noWrap/>
          </w:tcPr>
          <w:p w14:paraId="4C96917B" w14:textId="77777777" w:rsidR="006A451F" w:rsidRPr="006A451F" w:rsidRDefault="006A451F" w:rsidP="006A451F">
            <w:pPr>
              <w:jc w:val="right"/>
              <w:rPr>
                <w:sz w:val="16"/>
                <w:szCs w:val="16"/>
                <w:lang w:eastAsia="es-AR"/>
              </w:rPr>
            </w:pPr>
          </w:p>
        </w:tc>
      </w:tr>
      <w:tr w:rsidR="006A451F" w:rsidRPr="006A451F" w14:paraId="2D4701D6" w14:textId="77777777" w:rsidTr="006A451F">
        <w:trPr>
          <w:trHeight w:val="255"/>
        </w:trPr>
        <w:tc>
          <w:tcPr>
            <w:tcW w:w="6240" w:type="dxa"/>
            <w:tcBorders>
              <w:top w:val="nil"/>
              <w:left w:val="nil"/>
              <w:bottom w:val="nil"/>
              <w:right w:val="nil"/>
            </w:tcBorders>
            <w:shd w:val="clear" w:color="auto" w:fill="auto"/>
            <w:hideMark/>
          </w:tcPr>
          <w:p w14:paraId="1250BFED"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Resultado de Instrumentos financieros derivados</w:t>
            </w:r>
          </w:p>
        </w:tc>
        <w:tc>
          <w:tcPr>
            <w:tcW w:w="1478" w:type="dxa"/>
            <w:tcBorders>
              <w:top w:val="nil"/>
              <w:left w:val="nil"/>
              <w:bottom w:val="nil"/>
              <w:right w:val="nil"/>
            </w:tcBorders>
            <w:shd w:val="clear" w:color="auto" w:fill="auto"/>
          </w:tcPr>
          <w:p w14:paraId="3EDFA9DC" w14:textId="77777777" w:rsidR="006A451F" w:rsidRPr="006A451F" w:rsidRDefault="006A451F" w:rsidP="006A451F">
            <w:pPr>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258430B2"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5B4CD2FC" w14:textId="77777777" w:rsidR="006A451F" w:rsidRPr="006A451F" w:rsidRDefault="006A451F" w:rsidP="006A451F">
            <w:pPr>
              <w:jc w:val="right"/>
              <w:rPr>
                <w:sz w:val="16"/>
                <w:szCs w:val="16"/>
                <w:lang w:eastAsia="es-AR"/>
              </w:rPr>
            </w:pPr>
          </w:p>
        </w:tc>
      </w:tr>
      <w:tr w:rsidR="006A451F" w:rsidRPr="006A451F" w14:paraId="173921A2" w14:textId="77777777" w:rsidTr="006A451F">
        <w:trPr>
          <w:trHeight w:val="255"/>
        </w:trPr>
        <w:tc>
          <w:tcPr>
            <w:tcW w:w="6240" w:type="dxa"/>
            <w:tcBorders>
              <w:top w:val="nil"/>
              <w:left w:val="nil"/>
              <w:bottom w:val="nil"/>
              <w:right w:val="nil"/>
            </w:tcBorders>
            <w:shd w:val="clear" w:color="auto" w:fill="auto"/>
            <w:hideMark/>
          </w:tcPr>
          <w:p w14:paraId="181E44FD"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Operaciones a término</w:t>
            </w:r>
          </w:p>
        </w:tc>
        <w:tc>
          <w:tcPr>
            <w:tcW w:w="1478" w:type="dxa"/>
            <w:tcBorders>
              <w:top w:val="nil"/>
              <w:left w:val="nil"/>
              <w:bottom w:val="nil"/>
              <w:right w:val="nil"/>
            </w:tcBorders>
            <w:shd w:val="clear" w:color="auto" w:fill="auto"/>
          </w:tcPr>
          <w:p w14:paraId="5C495402" w14:textId="77777777" w:rsidR="006A451F" w:rsidRPr="006A451F" w:rsidRDefault="006A451F" w:rsidP="006A451F">
            <w:pPr>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0428B01D"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27F904C8" w14:textId="77777777" w:rsidR="006A451F" w:rsidRPr="006A451F" w:rsidRDefault="006A451F" w:rsidP="006A451F">
            <w:pPr>
              <w:jc w:val="right"/>
              <w:rPr>
                <w:sz w:val="16"/>
                <w:szCs w:val="16"/>
                <w:lang w:eastAsia="es-AR"/>
              </w:rPr>
            </w:pPr>
          </w:p>
        </w:tc>
      </w:tr>
      <w:tr w:rsidR="006A451F" w:rsidRPr="006A451F" w14:paraId="71F0E69B" w14:textId="77777777" w:rsidTr="006A451F">
        <w:trPr>
          <w:trHeight w:val="255"/>
        </w:trPr>
        <w:tc>
          <w:tcPr>
            <w:tcW w:w="6240" w:type="dxa"/>
            <w:tcBorders>
              <w:top w:val="nil"/>
              <w:left w:val="nil"/>
              <w:bottom w:val="nil"/>
              <w:right w:val="nil"/>
            </w:tcBorders>
            <w:shd w:val="clear" w:color="auto" w:fill="auto"/>
            <w:hideMark/>
          </w:tcPr>
          <w:p w14:paraId="05CC0771"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Permutas de tasa</w:t>
            </w:r>
          </w:p>
        </w:tc>
        <w:tc>
          <w:tcPr>
            <w:tcW w:w="1478" w:type="dxa"/>
            <w:tcBorders>
              <w:top w:val="nil"/>
              <w:left w:val="nil"/>
              <w:bottom w:val="nil"/>
              <w:right w:val="nil"/>
            </w:tcBorders>
            <w:shd w:val="clear" w:color="auto" w:fill="auto"/>
          </w:tcPr>
          <w:p w14:paraId="7F462761" w14:textId="77777777" w:rsidR="006A451F" w:rsidRPr="006A451F" w:rsidRDefault="006A451F" w:rsidP="006A451F">
            <w:pPr>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4161B052"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5BB60BD6" w14:textId="77777777" w:rsidR="006A451F" w:rsidRPr="006A451F" w:rsidRDefault="006A451F" w:rsidP="006A451F">
            <w:pPr>
              <w:jc w:val="right"/>
              <w:rPr>
                <w:sz w:val="16"/>
                <w:szCs w:val="16"/>
                <w:lang w:eastAsia="es-AR"/>
              </w:rPr>
            </w:pPr>
          </w:p>
        </w:tc>
      </w:tr>
      <w:tr w:rsidR="006A451F" w:rsidRPr="006A451F" w14:paraId="1211032F" w14:textId="77777777" w:rsidTr="006A451F">
        <w:trPr>
          <w:trHeight w:val="255"/>
        </w:trPr>
        <w:tc>
          <w:tcPr>
            <w:tcW w:w="6240" w:type="dxa"/>
            <w:tcBorders>
              <w:top w:val="nil"/>
              <w:left w:val="nil"/>
              <w:bottom w:val="nil"/>
              <w:right w:val="nil"/>
            </w:tcBorders>
            <w:shd w:val="clear" w:color="auto" w:fill="auto"/>
            <w:hideMark/>
          </w:tcPr>
          <w:p w14:paraId="41CBCEA8"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Opciones</w:t>
            </w:r>
          </w:p>
        </w:tc>
        <w:tc>
          <w:tcPr>
            <w:tcW w:w="1478" w:type="dxa"/>
            <w:tcBorders>
              <w:top w:val="nil"/>
              <w:left w:val="nil"/>
              <w:bottom w:val="nil"/>
              <w:right w:val="nil"/>
            </w:tcBorders>
            <w:shd w:val="clear" w:color="auto" w:fill="auto"/>
          </w:tcPr>
          <w:p w14:paraId="42C3D0BB" w14:textId="77777777" w:rsidR="006A451F" w:rsidRPr="006A451F" w:rsidRDefault="006A451F" w:rsidP="006A451F">
            <w:pPr>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6D2B7DA2"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387F98AD" w14:textId="77777777" w:rsidR="006A451F" w:rsidRPr="006A451F" w:rsidRDefault="006A451F" w:rsidP="006A451F">
            <w:pPr>
              <w:jc w:val="right"/>
              <w:rPr>
                <w:sz w:val="16"/>
                <w:szCs w:val="16"/>
                <w:lang w:eastAsia="es-AR"/>
              </w:rPr>
            </w:pPr>
          </w:p>
        </w:tc>
      </w:tr>
      <w:tr w:rsidR="006A451F" w:rsidRPr="006A451F" w14:paraId="55B8AC54" w14:textId="77777777" w:rsidTr="006A451F">
        <w:trPr>
          <w:trHeight w:val="255"/>
        </w:trPr>
        <w:tc>
          <w:tcPr>
            <w:tcW w:w="6240" w:type="dxa"/>
            <w:tcBorders>
              <w:top w:val="nil"/>
              <w:left w:val="nil"/>
              <w:bottom w:val="nil"/>
              <w:right w:val="nil"/>
            </w:tcBorders>
            <w:shd w:val="clear" w:color="auto" w:fill="auto"/>
            <w:hideMark/>
          </w:tcPr>
          <w:p w14:paraId="31B3EFDA"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Resultado de otros pasivos financieros</w:t>
            </w:r>
          </w:p>
        </w:tc>
        <w:tc>
          <w:tcPr>
            <w:tcW w:w="1478" w:type="dxa"/>
            <w:tcBorders>
              <w:top w:val="nil"/>
              <w:left w:val="nil"/>
              <w:bottom w:val="nil"/>
              <w:right w:val="nil"/>
            </w:tcBorders>
            <w:shd w:val="clear" w:color="auto" w:fill="auto"/>
          </w:tcPr>
          <w:p w14:paraId="5F054680" w14:textId="77777777" w:rsidR="006A451F" w:rsidRPr="006A451F" w:rsidRDefault="006A451F" w:rsidP="006A451F">
            <w:pPr>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686E8134"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725F8686" w14:textId="77777777" w:rsidR="006A451F" w:rsidRPr="006A451F" w:rsidRDefault="006A451F" w:rsidP="006A451F">
            <w:pPr>
              <w:jc w:val="right"/>
              <w:rPr>
                <w:sz w:val="16"/>
                <w:szCs w:val="16"/>
                <w:lang w:eastAsia="es-AR"/>
              </w:rPr>
            </w:pPr>
          </w:p>
        </w:tc>
      </w:tr>
      <w:tr w:rsidR="006A451F" w:rsidRPr="006A451F" w14:paraId="2D275C22" w14:textId="77777777" w:rsidTr="006A451F">
        <w:trPr>
          <w:trHeight w:val="255"/>
        </w:trPr>
        <w:tc>
          <w:tcPr>
            <w:tcW w:w="6240" w:type="dxa"/>
            <w:tcBorders>
              <w:top w:val="nil"/>
              <w:left w:val="nil"/>
              <w:bottom w:val="nil"/>
              <w:right w:val="nil"/>
            </w:tcBorders>
            <w:shd w:val="clear" w:color="auto" w:fill="auto"/>
            <w:hideMark/>
          </w:tcPr>
          <w:p w14:paraId="28B7F0DA"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Resultado de obligaciones negociables emitidas</w:t>
            </w:r>
          </w:p>
        </w:tc>
        <w:tc>
          <w:tcPr>
            <w:tcW w:w="1478" w:type="dxa"/>
            <w:tcBorders>
              <w:top w:val="nil"/>
              <w:left w:val="nil"/>
              <w:bottom w:val="nil"/>
              <w:right w:val="nil"/>
            </w:tcBorders>
            <w:shd w:val="clear" w:color="auto" w:fill="auto"/>
          </w:tcPr>
          <w:p w14:paraId="339FA8F9" w14:textId="77777777" w:rsidR="006A451F" w:rsidRPr="006A451F" w:rsidRDefault="006A451F" w:rsidP="006A451F">
            <w:pPr>
              <w:jc w:val="right"/>
              <w:rPr>
                <w:rFonts w:ascii="Arial" w:hAnsi="Arial" w:cs="Arial"/>
                <w:sz w:val="16"/>
                <w:szCs w:val="16"/>
                <w:lang w:eastAsia="es-AR"/>
              </w:rPr>
            </w:pPr>
          </w:p>
        </w:tc>
        <w:tc>
          <w:tcPr>
            <w:tcW w:w="1319" w:type="dxa"/>
            <w:tcBorders>
              <w:top w:val="nil"/>
              <w:left w:val="nil"/>
              <w:bottom w:val="nil"/>
              <w:right w:val="nil"/>
            </w:tcBorders>
            <w:shd w:val="clear" w:color="auto" w:fill="auto"/>
          </w:tcPr>
          <w:p w14:paraId="0F2220C4" w14:textId="77777777" w:rsidR="006A451F" w:rsidRPr="006A451F" w:rsidRDefault="006A451F" w:rsidP="006A451F">
            <w:pPr>
              <w:jc w:val="right"/>
              <w:rPr>
                <w:sz w:val="16"/>
                <w:szCs w:val="16"/>
                <w:lang w:eastAsia="es-AR"/>
              </w:rPr>
            </w:pPr>
          </w:p>
        </w:tc>
        <w:tc>
          <w:tcPr>
            <w:tcW w:w="1043" w:type="dxa"/>
            <w:tcBorders>
              <w:top w:val="nil"/>
              <w:left w:val="nil"/>
              <w:bottom w:val="nil"/>
              <w:right w:val="nil"/>
            </w:tcBorders>
            <w:shd w:val="clear" w:color="auto" w:fill="auto"/>
          </w:tcPr>
          <w:p w14:paraId="2B4FBD8C" w14:textId="77777777" w:rsidR="006A451F" w:rsidRPr="006A451F" w:rsidRDefault="006A451F" w:rsidP="006A451F">
            <w:pPr>
              <w:jc w:val="right"/>
              <w:rPr>
                <w:sz w:val="16"/>
                <w:szCs w:val="16"/>
                <w:lang w:eastAsia="es-AR"/>
              </w:rPr>
            </w:pPr>
          </w:p>
        </w:tc>
      </w:tr>
      <w:tr w:rsidR="006A451F" w:rsidRPr="006A451F" w14:paraId="5AEFB1A2" w14:textId="77777777" w:rsidTr="006A451F">
        <w:trPr>
          <w:trHeight w:val="255"/>
        </w:trPr>
        <w:tc>
          <w:tcPr>
            <w:tcW w:w="6240" w:type="dxa"/>
            <w:tcBorders>
              <w:top w:val="nil"/>
              <w:left w:val="nil"/>
              <w:bottom w:val="nil"/>
              <w:right w:val="nil"/>
            </w:tcBorders>
            <w:shd w:val="clear" w:color="auto" w:fill="auto"/>
            <w:hideMark/>
          </w:tcPr>
          <w:p w14:paraId="5A0647A3"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Resultado de obligaciones negociables subordinadas</w:t>
            </w:r>
          </w:p>
        </w:tc>
        <w:tc>
          <w:tcPr>
            <w:tcW w:w="1478" w:type="dxa"/>
            <w:tcBorders>
              <w:top w:val="nil"/>
              <w:left w:val="nil"/>
              <w:bottom w:val="nil"/>
              <w:right w:val="nil"/>
            </w:tcBorders>
            <w:shd w:val="clear" w:color="auto" w:fill="auto"/>
            <w:hideMark/>
          </w:tcPr>
          <w:p w14:paraId="3DF71666" w14:textId="77777777" w:rsidR="006A451F" w:rsidRPr="006A451F" w:rsidRDefault="006A451F" w:rsidP="006A451F">
            <w:pPr>
              <w:rPr>
                <w:rFonts w:ascii="Arial" w:hAnsi="Arial" w:cs="Arial"/>
                <w:sz w:val="16"/>
                <w:szCs w:val="16"/>
                <w:lang w:eastAsia="es-AR"/>
              </w:rPr>
            </w:pPr>
          </w:p>
        </w:tc>
        <w:tc>
          <w:tcPr>
            <w:tcW w:w="1319" w:type="dxa"/>
            <w:tcBorders>
              <w:top w:val="nil"/>
              <w:left w:val="nil"/>
              <w:bottom w:val="nil"/>
              <w:right w:val="nil"/>
            </w:tcBorders>
            <w:shd w:val="clear" w:color="auto" w:fill="auto"/>
            <w:hideMark/>
          </w:tcPr>
          <w:p w14:paraId="4B232D42" w14:textId="77777777" w:rsidR="006A451F" w:rsidRPr="006A451F" w:rsidRDefault="006A451F" w:rsidP="006A451F">
            <w:pPr>
              <w:rPr>
                <w:sz w:val="16"/>
                <w:szCs w:val="16"/>
                <w:lang w:eastAsia="es-AR"/>
              </w:rPr>
            </w:pPr>
          </w:p>
        </w:tc>
        <w:tc>
          <w:tcPr>
            <w:tcW w:w="1043" w:type="dxa"/>
            <w:tcBorders>
              <w:top w:val="nil"/>
              <w:left w:val="nil"/>
              <w:bottom w:val="nil"/>
              <w:right w:val="nil"/>
            </w:tcBorders>
            <w:shd w:val="clear" w:color="auto" w:fill="auto"/>
            <w:hideMark/>
          </w:tcPr>
          <w:p w14:paraId="1F8C0D87" w14:textId="77777777" w:rsidR="006A451F" w:rsidRPr="006A451F" w:rsidRDefault="006A451F" w:rsidP="006A451F">
            <w:pPr>
              <w:rPr>
                <w:sz w:val="16"/>
                <w:szCs w:val="16"/>
                <w:lang w:eastAsia="es-AR"/>
              </w:rPr>
            </w:pPr>
          </w:p>
        </w:tc>
      </w:tr>
      <w:tr w:rsidR="006A451F" w:rsidRPr="006A451F" w14:paraId="5B92FF80" w14:textId="77777777" w:rsidTr="006A451F">
        <w:trPr>
          <w:trHeight w:val="80"/>
        </w:trPr>
        <w:tc>
          <w:tcPr>
            <w:tcW w:w="6240" w:type="dxa"/>
            <w:tcBorders>
              <w:top w:val="nil"/>
              <w:left w:val="nil"/>
              <w:bottom w:val="nil"/>
              <w:right w:val="nil"/>
            </w:tcBorders>
            <w:shd w:val="clear" w:color="auto" w:fill="auto"/>
            <w:hideMark/>
          </w:tcPr>
          <w:p w14:paraId="387E7988" w14:textId="77777777" w:rsidR="006A451F" w:rsidRPr="006A451F" w:rsidRDefault="006A451F" w:rsidP="006A451F">
            <w:pPr>
              <w:rPr>
                <w:sz w:val="16"/>
                <w:szCs w:val="16"/>
                <w:lang w:eastAsia="es-AR"/>
              </w:rPr>
            </w:pPr>
          </w:p>
        </w:tc>
        <w:tc>
          <w:tcPr>
            <w:tcW w:w="1478" w:type="dxa"/>
            <w:tcBorders>
              <w:top w:val="nil"/>
              <w:left w:val="nil"/>
              <w:bottom w:val="nil"/>
              <w:right w:val="nil"/>
            </w:tcBorders>
            <w:shd w:val="clear" w:color="auto" w:fill="auto"/>
            <w:hideMark/>
          </w:tcPr>
          <w:p w14:paraId="67091C89" w14:textId="77777777" w:rsidR="006A451F" w:rsidRPr="006A451F" w:rsidRDefault="006A451F" w:rsidP="006A451F">
            <w:pPr>
              <w:rPr>
                <w:sz w:val="16"/>
                <w:szCs w:val="16"/>
                <w:lang w:eastAsia="es-AR"/>
              </w:rPr>
            </w:pPr>
          </w:p>
        </w:tc>
        <w:tc>
          <w:tcPr>
            <w:tcW w:w="1319" w:type="dxa"/>
            <w:tcBorders>
              <w:top w:val="nil"/>
              <w:left w:val="nil"/>
              <w:bottom w:val="nil"/>
              <w:right w:val="nil"/>
            </w:tcBorders>
            <w:shd w:val="clear" w:color="auto" w:fill="auto"/>
            <w:hideMark/>
          </w:tcPr>
          <w:p w14:paraId="6398B492" w14:textId="77777777" w:rsidR="006A451F" w:rsidRPr="006A451F" w:rsidRDefault="006A451F" w:rsidP="006A451F">
            <w:pPr>
              <w:rPr>
                <w:sz w:val="16"/>
                <w:szCs w:val="16"/>
                <w:lang w:eastAsia="es-AR"/>
              </w:rPr>
            </w:pPr>
          </w:p>
        </w:tc>
        <w:tc>
          <w:tcPr>
            <w:tcW w:w="1043" w:type="dxa"/>
            <w:tcBorders>
              <w:top w:val="nil"/>
              <w:left w:val="nil"/>
              <w:bottom w:val="nil"/>
              <w:right w:val="nil"/>
            </w:tcBorders>
            <w:shd w:val="clear" w:color="auto" w:fill="auto"/>
            <w:hideMark/>
          </w:tcPr>
          <w:p w14:paraId="74542817" w14:textId="77777777" w:rsidR="006A451F" w:rsidRPr="006A451F" w:rsidRDefault="006A451F" w:rsidP="006A451F">
            <w:pPr>
              <w:rPr>
                <w:sz w:val="16"/>
                <w:szCs w:val="16"/>
                <w:lang w:eastAsia="es-AR"/>
              </w:rPr>
            </w:pPr>
          </w:p>
        </w:tc>
      </w:tr>
      <w:tr w:rsidR="006A451F" w:rsidRPr="006A451F" w14:paraId="619F06BC" w14:textId="77777777" w:rsidTr="006E1AF7">
        <w:trPr>
          <w:trHeight w:val="255"/>
        </w:trPr>
        <w:tc>
          <w:tcPr>
            <w:tcW w:w="6240" w:type="dxa"/>
            <w:tcBorders>
              <w:top w:val="nil"/>
              <w:left w:val="nil"/>
              <w:bottom w:val="nil"/>
              <w:right w:val="nil"/>
            </w:tcBorders>
            <w:shd w:val="clear" w:color="auto" w:fill="auto"/>
            <w:hideMark/>
          </w:tcPr>
          <w:p w14:paraId="3160C929" w14:textId="77777777" w:rsidR="006A451F" w:rsidRPr="006A451F" w:rsidRDefault="006A451F" w:rsidP="006A451F">
            <w:pPr>
              <w:rPr>
                <w:rFonts w:ascii="Arial" w:hAnsi="Arial" w:cs="Arial"/>
                <w:b/>
                <w:bCs/>
                <w:sz w:val="16"/>
                <w:szCs w:val="16"/>
                <w:lang w:eastAsia="es-AR"/>
              </w:rPr>
            </w:pPr>
            <w:r w:rsidRPr="006A451F">
              <w:rPr>
                <w:rFonts w:ascii="Arial" w:hAnsi="Arial" w:cs="Arial"/>
                <w:b/>
                <w:bCs/>
                <w:sz w:val="16"/>
                <w:szCs w:val="16"/>
                <w:lang w:eastAsia="es-AR"/>
              </w:rPr>
              <w:t>TOTAL</w:t>
            </w:r>
          </w:p>
        </w:tc>
        <w:tc>
          <w:tcPr>
            <w:tcW w:w="1478" w:type="dxa"/>
            <w:tcBorders>
              <w:top w:val="single" w:sz="4" w:space="0" w:color="auto"/>
              <w:left w:val="nil"/>
              <w:bottom w:val="single" w:sz="4" w:space="0" w:color="auto"/>
              <w:right w:val="nil"/>
            </w:tcBorders>
            <w:shd w:val="clear" w:color="auto" w:fill="auto"/>
          </w:tcPr>
          <w:p w14:paraId="691206CE" w14:textId="74D5891E" w:rsidR="006A451F" w:rsidRPr="006A451F" w:rsidRDefault="006A451F" w:rsidP="006A451F">
            <w:pPr>
              <w:rPr>
                <w:rFonts w:ascii="Arial" w:hAnsi="Arial" w:cs="Arial"/>
                <w:sz w:val="16"/>
                <w:szCs w:val="16"/>
                <w:lang w:eastAsia="es-AR"/>
              </w:rPr>
            </w:pPr>
          </w:p>
        </w:tc>
        <w:tc>
          <w:tcPr>
            <w:tcW w:w="1319" w:type="dxa"/>
            <w:tcBorders>
              <w:top w:val="single" w:sz="4" w:space="0" w:color="auto"/>
              <w:left w:val="nil"/>
              <w:bottom w:val="single" w:sz="4" w:space="0" w:color="auto"/>
              <w:right w:val="nil"/>
            </w:tcBorders>
            <w:shd w:val="clear" w:color="auto" w:fill="auto"/>
            <w:vAlign w:val="center"/>
          </w:tcPr>
          <w:p w14:paraId="739BEFAA" w14:textId="24950046" w:rsidR="006A451F" w:rsidRPr="006E1AF7" w:rsidRDefault="00941A39">
            <w:pPr>
              <w:jc w:val="right"/>
              <w:rPr>
                <w:rFonts w:ascii="Arial" w:hAnsi="Arial" w:cs="Arial"/>
                <w:b/>
                <w:sz w:val="16"/>
                <w:szCs w:val="16"/>
                <w:lang w:eastAsia="es-AR"/>
              </w:rPr>
            </w:pPr>
            <w:r w:rsidRPr="006E1AF7">
              <w:rPr>
                <w:rFonts w:ascii="Arial" w:hAnsi="Arial" w:cs="Arial"/>
                <w:b/>
                <w:sz w:val="16"/>
                <w:szCs w:val="16"/>
                <w:lang w:eastAsia="es-AR"/>
              </w:rPr>
              <w:t>16.125.854</w:t>
            </w:r>
          </w:p>
        </w:tc>
        <w:tc>
          <w:tcPr>
            <w:tcW w:w="1043" w:type="dxa"/>
            <w:tcBorders>
              <w:top w:val="single" w:sz="4" w:space="0" w:color="auto"/>
              <w:left w:val="nil"/>
              <w:bottom w:val="single" w:sz="4" w:space="0" w:color="auto"/>
              <w:right w:val="nil"/>
            </w:tcBorders>
            <w:shd w:val="clear" w:color="auto" w:fill="auto"/>
            <w:vAlign w:val="center"/>
          </w:tcPr>
          <w:p w14:paraId="40463D00" w14:textId="4196204D" w:rsidR="006A451F" w:rsidRPr="006E1AF7" w:rsidRDefault="00941A39">
            <w:pPr>
              <w:jc w:val="right"/>
              <w:rPr>
                <w:rFonts w:ascii="Arial" w:hAnsi="Arial" w:cs="Arial"/>
                <w:b/>
                <w:sz w:val="16"/>
                <w:szCs w:val="16"/>
                <w:lang w:eastAsia="es-AR"/>
              </w:rPr>
            </w:pPr>
            <w:r w:rsidRPr="006E1AF7">
              <w:rPr>
                <w:rFonts w:ascii="Arial" w:hAnsi="Arial" w:cs="Arial"/>
                <w:b/>
                <w:sz w:val="16"/>
                <w:szCs w:val="16"/>
                <w:lang w:eastAsia="es-AR"/>
              </w:rPr>
              <w:t>10.32</w:t>
            </w:r>
            <w:r w:rsidR="0042374A">
              <w:rPr>
                <w:rFonts w:ascii="Arial" w:hAnsi="Arial" w:cs="Arial"/>
                <w:b/>
                <w:sz w:val="16"/>
                <w:szCs w:val="16"/>
                <w:lang w:eastAsia="es-AR"/>
              </w:rPr>
              <w:t>2</w:t>
            </w:r>
          </w:p>
        </w:tc>
      </w:tr>
    </w:tbl>
    <w:p w14:paraId="564ADA26" w14:textId="7A971BDC" w:rsidR="00122C95" w:rsidRDefault="00122C95">
      <w:pPr>
        <w:rPr>
          <w:sz w:val="20"/>
          <w:lang w:eastAsia="es-AR"/>
        </w:rPr>
      </w:pPr>
      <w:r>
        <w:rPr>
          <w:sz w:val="20"/>
          <w:lang w:eastAsia="es-AR"/>
        </w:rPr>
        <w:br w:type="page"/>
      </w:r>
    </w:p>
    <w:tbl>
      <w:tblPr>
        <w:tblW w:w="9520" w:type="dxa"/>
        <w:tblInd w:w="75" w:type="dxa"/>
        <w:tblCellMar>
          <w:left w:w="70" w:type="dxa"/>
          <w:right w:w="70" w:type="dxa"/>
        </w:tblCellMar>
        <w:tblLook w:val="04A0" w:firstRow="1" w:lastRow="0" w:firstColumn="1" w:lastColumn="0" w:noHBand="0" w:noVBand="1"/>
      </w:tblPr>
      <w:tblGrid>
        <w:gridCol w:w="7260"/>
        <w:gridCol w:w="2260"/>
      </w:tblGrid>
      <w:tr w:rsidR="006A451F" w:rsidRPr="006A451F" w14:paraId="7B5F8E5B" w14:textId="77777777" w:rsidTr="006A451F">
        <w:trPr>
          <w:trHeight w:val="401"/>
        </w:trPr>
        <w:tc>
          <w:tcPr>
            <w:tcW w:w="7260" w:type="dxa"/>
            <w:tcBorders>
              <w:top w:val="single" w:sz="4" w:space="0" w:color="363639"/>
              <w:left w:val="single" w:sz="4" w:space="0" w:color="363639"/>
              <w:bottom w:val="single" w:sz="4" w:space="0" w:color="363639"/>
              <w:right w:val="single" w:sz="4" w:space="0" w:color="363639"/>
            </w:tcBorders>
            <w:shd w:val="clear" w:color="000000" w:fill="B2B2B2"/>
            <w:hideMark/>
          </w:tcPr>
          <w:p w14:paraId="037E64DF" w14:textId="77777777" w:rsidR="006A451F" w:rsidRPr="006A451F" w:rsidRDefault="006A451F" w:rsidP="006A451F">
            <w:pPr>
              <w:rPr>
                <w:rFonts w:ascii="Arial" w:hAnsi="Arial" w:cs="Arial"/>
                <w:b/>
                <w:bCs/>
                <w:sz w:val="16"/>
                <w:szCs w:val="16"/>
                <w:lang w:eastAsia="es-AR"/>
              </w:rPr>
            </w:pPr>
            <w:r w:rsidRPr="006A451F">
              <w:rPr>
                <w:rFonts w:ascii="Arial" w:hAnsi="Arial" w:cs="Arial"/>
                <w:b/>
                <w:bCs/>
                <w:sz w:val="16"/>
                <w:szCs w:val="16"/>
                <w:lang w:eastAsia="es-AR"/>
              </w:rPr>
              <w:t>Intereses y ajustes por aplicación de tasa de interés efectiva de activos financieros medidos a costo amortizado</w:t>
            </w:r>
          </w:p>
        </w:tc>
        <w:tc>
          <w:tcPr>
            <w:tcW w:w="2260" w:type="dxa"/>
            <w:tcBorders>
              <w:top w:val="single" w:sz="4" w:space="0" w:color="363639"/>
              <w:left w:val="nil"/>
              <w:bottom w:val="single" w:sz="4" w:space="0" w:color="363639"/>
              <w:right w:val="single" w:sz="4" w:space="0" w:color="363639"/>
            </w:tcBorders>
            <w:shd w:val="clear" w:color="000000" w:fill="B2B2B2"/>
            <w:hideMark/>
          </w:tcPr>
          <w:p w14:paraId="22F06501" w14:textId="77777777" w:rsidR="006A451F" w:rsidRPr="006A451F" w:rsidRDefault="006A451F" w:rsidP="006A451F">
            <w:pPr>
              <w:jc w:val="center"/>
              <w:rPr>
                <w:rFonts w:ascii="Arial" w:hAnsi="Arial" w:cs="Arial"/>
                <w:b/>
                <w:bCs/>
                <w:sz w:val="16"/>
                <w:szCs w:val="16"/>
                <w:lang w:eastAsia="es-AR"/>
              </w:rPr>
            </w:pPr>
            <w:r w:rsidRPr="006A451F">
              <w:rPr>
                <w:rFonts w:ascii="Arial" w:hAnsi="Arial" w:cs="Arial"/>
                <w:b/>
                <w:bCs/>
                <w:sz w:val="16"/>
                <w:szCs w:val="16"/>
                <w:lang w:eastAsia="es-AR"/>
              </w:rPr>
              <w:t>Ingreso/(Egreso) Financiero</w:t>
            </w:r>
          </w:p>
        </w:tc>
      </w:tr>
      <w:tr w:rsidR="006A451F" w:rsidRPr="006A451F" w14:paraId="01BD8334" w14:textId="77777777" w:rsidTr="006A451F">
        <w:trPr>
          <w:trHeight w:val="255"/>
        </w:trPr>
        <w:tc>
          <w:tcPr>
            <w:tcW w:w="7260" w:type="dxa"/>
            <w:tcBorders>
              <w:top w:val="nil"/>
              <w:left w:val="nil"/>
              <w:bottom w:val="nil"/>
              <w:right w:val="nil"/>
            </w:tcBorders>
            <w:shd w:val="clear" w:color="auto" w:fill="auto"/>
            <w:hideMark/>
          </w:tcPr>
          <w:p w14:paraId="1BE545B4" w14:textId="77777777" w:rsidR="006A451F" w:rsidRPr="006A451F" w:rsidRDefault="006A451F" w:rsidP="006A451F">
            <w:pPr>
              <w:rPr>
                <w:rFonts w:ascii="Arial" w:hAnsi="Arial" w:cs="Arial"/>
                <w:b/>
                <w:bCs/>
                <w:sz w:val="16"/>
                <w:szCs w:val="16"/>
                <w:lang w:eastAsia="es-AR"/>
              </w:rPr>
            </w:pPr>
            <w:r w:rsidRPr="006A451F">
              <w:rPr>
                <w:rFonts w:ascii="Arial" w:hAnsi="Arial" w:cs="Arial"/>
                <w:b/>
                <w:bCs/>
                <w:sz w:val="16"/>
                <w:szCs w:val="16"/>
                <w:lang w:eastAsia="es-AR"/>
              </w:rPr>
              <w:t> </w:t>
            </w:r>
          </w:p>
        </w:tc>
        <w:tc>
          <w:tcPr>
            <w:tcW w:w="2260" w:type="dxa"/>
            <w:tcBorders>
              <w:top w:val="nil"/>
              <w:left w:val="nil"/>
              <w:bottom w:val="nil"/>
              <w:right w:val="nil"/>
            </w:tcBorders>
            <w:shd w:val="clear" w:color="auto" w:fill="auto"/>
            <w:hideMark/>
          </w:tcPr>
          <w:p w14:paraId="45AFBB9E" w14:textId="77777777" w:rsidR="006A451F" w:rsidRPr="006A451F" w:rsidRDefault="006A451F" w:rsidP="006A451F">
            <w:pPr>
              <w:ind w:firstLineChars="200" w:firstLine="321"/>
              <w:rPr>
                <w:rFonts w:ascii="Arial" w:hAnsi="Arial" w:cs="Arial"/>
                <w:b/>
                <w:bCs/>
                <w:sz w:val="16"/>
                <w:szCs w:val="16"/>
                <w:lang w:eastAsia="es-AR"/>
              </w:rPr>
            </w:pPr>
            <w:r w:rsidRPr="006A451F">
              <w:rPr>
                <w:rFonts w:ascii="Arial" w:hAnsi="Arial" w:cs="Arial"/>
                <w:b/>
                <w:bCs/>
                <w:sz w:val="16"/>
                <w:szCs w:val="16"/>
                <w:lang w:eastAsia="es-AR"/>
              </w:rPr>
              <w:t> </w:t>
            </w:r>
          </w:p>
        </w:tc>
      </w:tr>
      <w:tr w:rsidR="006A451F" w:rsidRPr="006A451F" w14:paraId="7612A578" w14:textId="77777777" w:rsidTr="006A451F">
        <w:trPr>
          <w:trHeight w:val="259"/>
        </w:trPr>
        <w:tc>
          <w:tcPr>
            <w:tcW w:w="7260" w:type="dxa"/>
            <w:tcBorders>
              <w:top w:val="nil"/>
              <w:left w:val="nil"/>
              <w:bottom w:val="nil"/>
              <w:right w:val="nil"/>
            </w:tcBorders>
            <w:shd w:val="clear" w:color="auto" w:fill="auto"/>
            <w:hideMark/>
          </w:tcPr>
          <w:p w14:paraId="62D864A2" w14:textId="77777777" w:rsidR="006A451F" w:rsidRPr="006A451F" w:rsidRDefault="006A451F" w:rsidP="006A451F">
            <w:pPr>
              <w:rPr>
                <w:rFonts w:ascii="Arial" w:hAnsi="Arial" w:cs="Arial"/>
                <w:b/>
                <w:bCs/>
                <w:sz w:val="16"/>
                <w:szCs w:val="16"/>
                <w:lang w:eastAsia="es-AR"/>
              </w:rPr>
            </w:pPr>
            <w:r w:rsidRPr="006A451F">
              <w:rPr>
                <w:rFonts w:ascii="Arial" w:hAnsi="Arial" w:cs="Arial"/>
                <w:b/>
                <w:bCs/>
                <w:sz w:val="16"/>
                <w:szCs w:val="16"/>
                <w:lang w:eastAsia="es-AR"/>
              </w:rPr>
              <w:t>Ingresos por intereses</w:t>
            </w:r>
          </w:p>
        </w:tc>
        <w:tc>
          <w:tcPr>
            <w:tcW w:w="2260" w:type="dxa"/>
            <w:tcBorders>
              <w:top w:val="nil"/>
              <w:left w:val="nil"/>
              <w:bottom w:val="nil"/>
              <w:right w:val="nil"/>
            </w:tcBorders>
            <w:shd w:val="clear" w:color="auto" w:fill="auto"/>
            <w:hideMark/>
          </w:tcPr>
          <w:p w14:paraId="229981BB" w14:textId="77777777" w:rsidR="006A451F" w:rsidRPr="006A451F" w:rsidRDefault="006A451F" w:rsidP="006A451F">
            <w:pPr>
              <w:rPr>
                <w:rFonts w:ascii="Arial" w:hAnsi="Arial" w:cs="Arial"/>
                <w:b/>
                <w:bCs/>
                <w:sz w:val="16"/>
                <w:szCs w:val="16"/>
                <w:lang w:eastAsia="es-AR"/>
              </w:rPr>
            </w:pPr>
          </w:p>
        </w:tc>
      </w:tr>
      <w:tr w:rsidR="006A451F" w:rsidRPr="006A451F" w14:paraId="25850C48" w14:textId="77777777" w:rsidTr="006A451F">
        <w:trPr>
          <w:trHeight w:val="259"/>
        </w:trPr>
        <w:tc>
          <w:tcPr>
            <w:tcW w:w="7260" w:type="dxa"/>
            <w:tcBorders>
              <w:top w:val="nil"/>
              <w:left w:val="nil"/>
              <w:bottom w:val="nil"/>
              <w:right w:val="nil"/>
            </w:tcBorders>
            <w:shd w:val="clear" w:color="auto" w:fill="auto"/>
            <w:hideMark/>
          </w:tcPr>
          <w:p w14:paraId="4462D1D2"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Por efectivo y depósitos en bancos </w:t>
            </w:r>
          </w:p>
        </w:tc>
        <w:tc>
          <w:tcPr>
            <w:tcW w:w="2260" w:type="dxa"/>
            <w:tcBorders>
              <w:top w:val="nil"/>
              <w:left w:val="nil"/>
              <w:bottom w:val="nil"/>
              <w:right w:val="nil"/>
            </w:tcBorders>
            <w:shd w:val="clear" w:color="auto" w:fill="auto"/>
            <w:vAlign w:val="bottom"/>
          </w:tcPr>
          <w:p w14:paraId="1E184E6A" w14:textId="76E53AEE"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2.749</w:t>
            </w:r>
          </w:p>
        </w:tc>
      </w:tr>
      <w:tr w:rsidR="006A451F" w:rsidRPr="006A451F" w14:paraId="4851BEEA" w14:textId="77777777" w:rsidTr="006A451F">
        <w:trPr>
          <w:trHeight w:val="259"/>
        </w:trPr>
        <w:tc>
          <w:tcPr>
            <w:tcW w:w="7260" w:type="dxa"/>
            <w:tcBorders>
              <w:top w:val="nil"/>
              <w:left w:val="nil"/>
              <w:bottom w:val="nil"/>
              <w:right w:val="nil"/>
            </w:tcBorders>
            <w:shd w:val="clear" w:color="auto" w:fill="auto"/>
            <w:hideMark/>
          </w:tcPr>
          <w:p w14:paraId="7C34DC7A"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Por títulos privados </w:t>
            </w:r>
          </w:p>
        </w:tc>
        <w:tc>
          <w:tcPr>
            <w:tcW w:w="2260" w:type="dxa"/>
            <w:tcBorders>
              <w:top w:val="nil"/>
              <w:left w:val="nil"/>
              <w:bottom w:val="nil"/>
              <w:right w:val="nil"/>
            </w:tcBorders>
            <w:shd w:val="clear" w:color="auto" w:fill="auto"/>
            <w:vAlign w:val="bottom"/>
          </w:tcPr>
          <w:p w14:paraId="12FB289D" w14:textId="388DEA79"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3.322</w:t>
            </w:r>
          </w:p>
        </w:tc>
      </w:tr>
      <w:tr w:rsidR="006A451F" w:rsidRPr="006A451F" w14:paraId="7766566D" w14:textId="77777777" w:rsidTr="006A451F">
        <w:trPr>
          <w:trHeight w:val="259"/>
        </w:trPr>
        <w:tc>
          <w:tcPr>
            <w:tcW w:w="7260" w:type="dxa"/>
            <w:tcBorders>
              <w:top w:val="nil"/>
              <w:left w:val="nil"/>
              <w:bottom w:val="nil"/>
              <w:right w:val="nil"/>
            </w:tcBorders>
            <w:shd w:val="clear" w:color="auto" w:fill="auto"/>
            <w:hideMark/>
          </w:tcPr>
          <w:p w14:paraId="0315F379"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Por títulos públicos </w:t>
            </w:r>
          </w:p>
        </w:tc>
        <w:tc>
          <w:tcPr>
            <w:tcW w:w="2260" w:type="dxa"/>
            <w:tcBorders>
              <w:top w:val="nil"/>
              <w:left w:val="nil"/>
              <w:bottom w:val="nil"/>
              <w:right w:val="nil"/>
            </w:tcBorders>
            <w:shd w:val="clear" w:color="auto" w:fill="auto"/>
            <w:vAlign w:val="bottom"/>
          </w:tcPr>
          <w:p w14:paraId="7C2A21F9" w14:textId="3EC37D56"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1.996.114</w:t>
            </w:r>
          </w:p>
        </w:tc>
      </w:tr>
      <w:tr w:rsidR="006A451F" w:rsidRPr="006A451F" w14:paraId="34BEB5D2" w14:textId="77777777" w:rsidTr="006A451F">
        <w:trPr>
          <w:trHeight w:val="259"/>
        </w:trPr>
        <w:tc>
          <w:tcPr>
            <w:tcW w:w="7260" w:type="dxa"/>
            <w:tcBorders>
              <w:top w:val="nil"/>
              <w:left w:val="nil"/>
              <w:bottom w:val="nil"/>
              <w:right w:val="nil"/>
            </w:tcBorders>
            <w:shd w:val="clear" w:color="auto" w:fill="auto"/>
            <w:hideMark/>
          </w:tcPr>
          <w:p w14:paraId="2C0E8604"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Por otros activos financieros </w:t>
            </w:r>
          </w:p>
        </w:tc>
        <w:tc>
          <w:tcPr>
            <w:tcW w:w="2260" w:type="dxa"/>
            <w:tcBorders>
              <w:top w:val="nil"/>
              <w:left w:val="nil"/>
              <w:bottom w:val="nil"/>
              <w:right w:val="nil"/>
            </w:tcBorders>
            <w:shd w:val="clear" w:color="auto" w:fill="auto"/>
            <w:vAlign w:val="bottom"/>
          </w:tcPr>
          <w:p w14:paraId="44380904" w14:textId="2B7370F4"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170</w:t>
            </w:r>
          </w:p>
        </w:tc>
      </w:tr>
      <w:tr w:rsidR="006A451F" w:rsidRPr="006A451F" w14:paraId="5ADC165F" w14:textId="77777777" w:rsidTr="006A451F">
        <w:trPr>
          <w:trHeight w:val="259"/>
        </w:trPr>
        <w:tc>
          <w:tcPr>
            <w:tcW w:w="7260" w:type="dxa"/>
            <w:tcBorders>
              <w:top w:val="nil"/>
              <w:left w:val="nil"/>
              <w:bottom w:val="nil"/>
              <w:right w:val="nil"/>
            </w:tcBorders>
            <w:shd w:val="clear" w:color="auto" w:fill="auto"/>
            <w:hideMark/>
          </w:tcPr>
          <w:p w14:paraId="13520B30"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Por préstamos y otras financiaciones </w:t>
            </w:r>
          </w:p>
        </w:tc>
        <w:tc>
          <w:tcPr>
            <w:tcW w:w="2260" w:type="dxa"/>
            <w:tcBorders>
              <w:top w:val="nil"/>
              <w:left w:val="nil"/>
              <w:bottom w:val="nil"/>
              <w:right w:val="nil"/>
            </w:tcBorders>
            <w:shd w:val="clear" w:color="auto" w:fill="auto"/>
            <w:vAlign w:val="bottom"/>
          </w:tcPr>
          <w:p w14:paraId="4D83F85E" w14:textId="77777777" w:rsidR="006A451F" w:rsidRPr="006A451F" w:rsidRDefault="006A451F" w:rsidP="006A451F">
            <w:pPr>
              <w:rPr>
                <w:rFonts w:ascii="Arial" w:hAnsi="Arial" w:cs="Arial"/>
                <w:sz w:val="16"/>
                <w:szCs w:val="16"/>
                <w:lang w:eastAsia="es-AR"/>
              </w:rPr>
            </w:pPr>
          </w:p>
        </w:tc>
      </w:tr>
      <w:tr w:rsidR="006A451F" w:rsidRPr="006A451F" w14:paraId="6D7A3278" w14:textId="77777777" w:rsidTr="006A451F">
        <w:trPr>
          <w:trHeight w:val="259"/>
        </w:trPr>
        <w:tc>
          <w:tcPr>
            <w:tcW w:w="7260" w:type="dxa"/>
            <w:tcBorders>
              <w:top w:val="nil"/>
              <w:left w:val="nil"/>
              <w:bottom w:val="nil"/>
              <w:right w:val="nil"/>
            </w:tcBorders>
            <w:shd w:val="clear" w:color="auto" w:fill="auto"/>
            <w:hideMark/>
          </w:tcPr>
          <w:p w14:paraId="48532DC0"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Al Sector Financiero</w:t>
            </w:r>
          </w:p>
        </w:tc>
        <w:tc>
          <w:tcPr>
            <w:tcW w:w="2260" w:type="dxa"/>
            <w:tcBorders>
              <w:top w:val="nil"/>
              <w:left w:val="nil"/>
              <w:bottom w:val="nil"/>
              <w:right w:val="nil"/>
            </w:tcBorders>
            <w:shd w:val="clear" w:color="auto" w:fill="auto"/>
            <w:vAlign w:val="bottom"/>
          </w:tcPr>
          <w:p w14:paraId="3A0F0687" w14:textId="66C0B2EB"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126.444</w:t>
            </w:r>
          </w:p>
        </w:tc>
      </w:tr>
      <w:tr w:rsidR="006A451F" w:rsidRPr="006A451F" w14:paraId="63D15D7A" w14:textId="77777777" w:rsidTr="006A451F">
        <w:trPr>
          <w:trHeight w:val="259"/>
        </w:trPr>
        <w:tc>
          <w:tcPr>
            <w:tcW w:w="7260" w:type="dxa"/>
            <w:tcBorders>
              <w:top w:val="nil"/>
              <w:left w:val="nil"/>
              <w:bottom w:val="nil"/>
              <w:right w:val="nil"/>
            </w:tcBorders>
            <w:shd w:val="clear" w:color="auto" w:fill="auto"/>
            <w:hideMark/>
          </w:tcPr>
          <w:p w14:paraId="03EF261A"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Adelantos</w:t>
            </w:r>
          </w:p>
        </w:tc>
        <w:tc>
          <w:tcPr>
            <w:tcW w:w="2260" w:type="dxa"/>
            <w:tcBorders>
              <w:top w:val="nil"/>
              <w:left w:val="nil"/>
              <w:bottom w:val="nil"/>
              <w:right w:val="nil"/>
            </w:tcBorders>
            <w:shd w:val="clear" w:color="auto" w:fill="auto"/>
            <w:vAlign w:val="bottom"/>
          </w:tcPr>
          <w:p w14:paraId="08955458" w14:textId="3BC978F7"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3.789.259</w:t>
            </w:r>
          </w:p>
        </w:tc>
      </w:tr>
      <w:tr w:rsidR="006A451F" w:rsidRPr="006A451F" w14:paraId="4665A5DC" w14:textId="77777777" w:rsidTr="006A451F">
        <w:trPr>
          <w:trHeight w:val="259"/>
        </w:trPr>
        <w:tc>
          <w:tcPr>
            <w:tcW w:w="7260" w:type="dxa"/>
            <w:tcBorders>
              <w:top w:val="nil"/>
              <w:left w:val="nil"/>
              <w:bottom w:val="nil"/>
              <w:right w:val="nil"/>
            </w:tcBorders>
            <w:shd w:val="clear" w:color="auto" w:fill="auto"/>
            <w:hideMark/>
          </w:tcPr>
          <w:p w14:paraId="71FC0349"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Documentos</w:t>
            </w:r>
          </w:p>
        </w:tc>
        <w:tc>
          <w:tcPr>
            <w:tcW w:w="2260" w:type="dxa"/>
            <w:tcBorders>
              <w:top w:val="nil"/>
              <w:left w:val="nil"/>
              <w:bottom w:val="nil"/>
              <w:right w:val="nil"/>
            </w:tcBorders>
            <w:shd w:val="clear" w:color="auto" w:fill="auto"/>
            <w:vAlign w:val="bottom"/>
          </w:tcPr>
          <w:p w14:paraId="6C16EBEC" w14:textId="6E5C540E"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8.850.013</w:t>
            </w:r>
          </w:p>
        </w:tc>
      </w:tr>
      <w:tr w:rsidR="006A451F" w:rsidRPr="006A451F" w14:paraId="220B57BA" w14:textId="77777777" w:rsidTr="006A451F">
        <w:trPr>
          <w:trHeight w:val="259"/>
        </w:trPr>
        <w:tc>
          <w:tcPr>
            <w:tcW w:w="7260" w:type="dxa"/>
            <w:tcBorders>
              <w:top w:val="nil"/>
              <w:left w:val="nil"/>
              <w:bottom w:val="nil"/>
              <w:right w:val="nil"/>
            </w:tcBorders>
            <w:shd w:val="clear" w:color="auto" w:fill="auto"/>
            <w:hideMark/>
          </w:tcPr>
          <w:p w14:paraId="4498BCC4"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Hipotecarios</w:t>
            </w:r>
          </w:p>
        </w:tc>
        <w:tc>
          <w:tcPr>
            <w:tcW w:w="2260" w:type="dxa"/>
            <w:tcBorders>
              <w:top w:val="nil"/>
              <w:left w:val="nil"/>
              <w:bottom w:val="nil"/>
              <w:right w:val="nil"/>
            </w:tcBorders>
            <w:shd w:val="clear" w:color="auto" w:fill="auto"/>
            <w:vAlign w:val="bottom"/>
          </w:tcPr>
          <w:p w14:paraId="328E8EDC" w14:textId="6E7B351F"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391.235</w:t>
            </w:r>
          </w:p>
        </w:tc>
      </w:tr>
      <w:tr w:rsidR="006A451F" w:rsidRPr="006A451F" w14:paraId="51648F04" w14:textId="77777777" w:rsidTr="006A451F">
        <w:trPr>
          <w:trHeight w:val="259"/>
        </w:trPr>
        <w:tc>
          <w:tcPr>
            <w:tcW w:w="7260" w:type="dxa"/>
            <w:tcBorders>
              <w:top w:val="nil"/>
              <w:left w:val="nil"/>
              <w:bottom w:val="nil"/>
              <w:right w:val="nil"/>
            </w:tcBorders>
            <w:shd w:val="clear" w:color="auto" w:fill="auto"/>
            <w:hideMark/>
          </w:tcPr>
          <w:p w14:paraId="28315130"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Prendarios</w:t>
            </w:r>
          </w:p>
        </w:tc>
        <w:tc>
          <w:tcPr>
            <w:tcW w:w="2260" w:type="dxa"/>
            <w:tcBorders>
              <w:top w:val="nil"/>
              <w:left w:val="nil"/>
              <w:bottom w:val="nil"/>
              <w:right w:val="nil"/>
            </w:tcBorders>
            <w:shd w:val="clear" w:color="auto" w:fill="auto"/>
            <w:vAlign w:val="bottom"/>
          </w:tcPr>
          <w:p w14:paraId="07047762" w14:textId="6306F01B"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413.675</w:t>
            </w:r>
          </w:p>
        </w:tc>
      </w:tr>
      <w:tr w:rsidR="006A451F" w:rsidRPr="006A451F" w14:paraId="2C34F93C" w14:textId="77777777" w:rsidTr="006A451F">
        <w:trPr>
          <w:trHeight w:val="259"/>
        </w:trPr>
        <w:tc>
          <w:tcPr>
            <w:tcW w:w="7260" w:type="dxa"/>
            <w:tcBorders>
              <w:top w:val="nil"/>
              <w:left w:val="nil"/>
              <w:bottom w:val="nil"/>
              <w:right w:val="nil"/>
            </w:tcBorders>
            <w:shd w:val="clear" w:color="auto" w:fill="auto"/>
            <w:hideMark/>
          </w:tcPr>
          <w:p w14:paraId="19CF70EF"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Personales</w:t>
            </w:r>
          </w:p>
        </w:tc>
        <w:tc>
          <w:tcPr>
            <w:tcW w:w="2260" w:type="dxa"/>
            <w:tcBorders>
              <w:top w:val="nil"/>
              <w:left w:val="nil"/>
              <w:bottom w:val="nil"/>
              <w:right w:val="nil"/>
            </w:tcBorders>
            <w:shd w:val="clear" w:color="auto" w:fill="auto"/>
            <w:vAlign w:val="bottom"/>
          </w:tcPr>
          <w:p w14:paraId="462C4A8E" w14:textId="14A3C938"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8.358.726</w:t>
            </w:r>
          </w:p>
        </w:tc>
      </w:tr>
      <w:tr w:rsidR="006A451F" w:rsidRPr="006A451F" w14:paraId="4C2FD927" w14:textId="77777777" w:rsidTr="006A451F">
        <w:trPr>
          <w:trHeight w:val="259"/>
        </w:trPr>
        <w:tc>
          <w:tcPr>
            <w:tcW w:w="7260" w:type="dxa"/>
            <w:tcBorders>
              <w:top w:val="nil"/>
              <w:left w:val="nil"/>
              <w:bottom w:val="nil"/>
              <w:right w:val="nil"/>
            </w:tcBorders>
            <w:shd w:val="clear" w:color="auto" w:fill="auto"/>
            <w:hideMark/>
          </w:tcPr>
          <w:p w14:paraId="074A4FDD"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Tarjetas de Crédito</w:t>
            </w:r>
          </w:p>
        </w:tc>
        <w:tc>
          <w:tcPr>
            <w:tcW w:w="2260" w:type="dxa"/>
            <w:tcBorders>
              <w:top w:val="nil"/>
              <w:left w:val="nil"/>
              <w:bottom w:val="nil"/>
              <w:right w:val="nil"/>
            </w:tcBorders>
            <w:shd w:val="clear" w:color="auto" w:fill="auto"/>
            <w:vAlign w:val="bottom"/>
          </w:tcPr>
          <w:p w14:paraId="48E67553" w14:textId="55311446"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3.892.710</w:t>
            </w:r>
          </w:p>
        </w:tc>
      </w:tr>
      <w:tr w:rsidR="006A451F" w:rsidRPr="006A451F" w14:paraId="5063D8E2" w14:textId="77777777" w:rsidTr="006A451F">
        <w:trPr>
          <w:trHeight w:val="259"/>
        </w:trPr>
        <w:tc>
          <w:tcPr>
            <w:tcW w:w="7260" w:type="dxa"/>
            <w:tcBorders>
              <w:top w:val="nil"/>
              <w:left w:val="nil"/>
              <w:bottom w:val="nil"/>
              <w:right w:val="nil"/>
            </w:tcBorders>
            <w:shd w:val="clear" w:color="auto" w:fill="auto"/>
            <w:hideMark/>
          </w:tcPr>
          <w:p w14:paraId="62AA8B80"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Arrendamientos Financieros</w:t>
            </w:r>
          </w:p>
        </w:tc>
        <w:tc>
          <w:tcPr>
            <w:tcW w:w="2260" w:type="dxa"/>
            <w:tcBorders>
              <w:top w:val="nil"/>
              <w:left w:val="nil"/>
              <w:bottom w:val="nil"/>
              <w:right w:val="nil"/>
            </w:tcBorders>
            <w:shd w:val="clear" w:color="auto" w:fill="auto"/>
            <w:vAlign w:val="bottom"/>
          </w:tcPr>
          <w:p w14:paraId="43B6A1A4" w14:textId="71C40641"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878.057</w:t>
            </w:r>
          </w:p>
        </w:tc>
      </w:tr>
      <w:tr w:rsidR="006A451F" w:rsidRPr="006A451F" w14:paraId="2DB4183E" w14:textId="77777777" w:rsidTr="006A451F">
        <w:trPr>
          <w:trHeight w:val="259"/>
        </w:trPr>
        <w:tc>
          <w:tcPr>
            <w:tcW w:w="7260" w:type="dxa"/>
            <w:tcBorders>
              <w:top w:val="nil"/>
              <w:left w:val="nil"/>
              <w:bottom w:val="nil"/>
              <w:right w:val="nil"/>
            </w:tcBorders>
            <w:shd w:val="clear" w:color="auto" w:fill="auto"/>
            <w:hideMark/>
          </w:tcPr>
          <w:p w14:paraId="21843ACF" w14:textId="77777777" w:rsidR="006A451F" w:rsidRPr="006A451F" w:rsidRDefault="006A451F" w:rsidP="006A451F">
            <w:pPr>
              <w:ind w:firstLineChars="400" w:firstLine="640"/>
              <w:rPr>
                <w:rFonts w:ascii="Arial" w:hAnsi="Arial" w:cs="Arial"/>
                <w:sz w:val="16"/>
                <w:szCs w:val="16"/>
                <w:lang w:eastAsia="es-AR"/>
              </w:rPr>
            </w:pPr>
            <w:r w:rsidRPr="006A451F">
              <w:rPr>
                <w:rFonts w:ascii="Arial" w:hAnsi="Arial" w:cs="Arial"/>
                <w:sz w:val="16"/>
                <w:szCs w:val="16"/>
                <w:lang w:eastAsia="es-AR"/>
              </w:rPr>
              <w:t>Otros</w:t>
            </w:r>
          </w:p>
        </w:tc>
        <w:tc>
          <w:tcPr>
            <w:tcW w:w="2260" w:type="dxa"/>
            <w:tcBorders>
              <w:top w:val="nil"/>
              <w:left w:val="nil"/>
              <w:bottom w:val="nil"/>
              <w:right w:val="nil"/>
            </w:tcBorders>
            <w:shd w:val="clear" w:color="auto" w:fill="auto"/>
            <w:vAlign w:val="bottom"/>
          </w:tcPr>
          <w:p w14:paraId="68D0CF78" w14:textId="15511FD0"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7.336.247</w:t>
            </w:r>
          </w:p>
        </w:tc>
      </w:tr>
      <w:tr w:rsidR="006A451F" w:rsidRPr="006A451F" w14:paraId="40AB388D" w14:textId="77777777" w:rsidTr="006A451F">
        <w:trPr>
          <w:trHeight w:val="259"/>
        </w:trPr>
        <w:tc>
          <w:tcPr>
            <w:tcW w:w="7260" w:type="dxa"/>
            <w:tcBorders>
              <w:top w:val="nil"/>
              <w:left w:val="nil"/>
              <w:bottom w:val="nil"/>
              <w:right w:val="nil"/>
            </w:tcBorders>
            <w:shd w:val="clear" w:color="auto" w:fill="auto"/>
            <w:hideMark/>
          </w:tcPr>
          <w:p w14:paraId="7112E0B5"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Por operaciones de pase</w:t>
            </w:r>
          </w:p>
        </w:tc>
        <w:tc>
          <w:tcPr>
            <w:tcW w:w="2260" w:type="dxa"/>
            <w:tcBorders>
              <w:top w:val="nil"/>
              <w:left w:val="nil"/>
              <w:bottom w:val="nil"/>
              <w:right w:val="nil"/>
            </w:tcBorders>
            <w:shd w:val="clear" w:color="auto" w:fill="auto"/>
            <w:vAlign w:val="bottom"/>
          </w:tcPr>
          <w:p w14:paraId="7C4365F4" w14:textId="77777777" w:rsidR="006A451F" w:rsidRPr="006A451F" w:rsidRDefault="006A451F" w:rsidP="006A451F">
            <w:pPr>
              <w:rPr>
                <w:rFonts w:ascii="Arial" w:hAnsi="Arial" w:cs="Arial"/>
                <w:sz w:val="16"/>
                <w:szCs w:val="16"/>
                <w:lang w:eastAsia="es-AR"/>
              </w:rPr>
            </w:pPr>
          </w:p>
        </w:tc>
      </w:tr>
      <w:tr w:rsidR="006A451F" w:rsidRPr="006A451F" w14:paraId="1F4DD592" w14:textId="77777777" w:rsidTr="006A451F">
        <w:trPr>
          <w:trHeight w:val="259"/>
        </w:trPr>
        <w:tc>
          <w:tcPr>
            <w:tcW w:w="7260" w:type="dxa"/>
            <w:tcBorders>
              <w:top w:val="nil"/>
              <w:left w:val="nil"/>
              <w:bottom w:val="nil"/>
              <w:right w:val="nil"/>
            </w:tcBorders>
            <w:shd w:val="clear" w:color="auto" w:fill="auto"/>
            <w:hideMark/>
          </w:tcPr>
          <w:p w14:paraId="03A55D42" w14:textId="77777777" w:rsidR="006A451F" w:rsidRPr="006A451F" w:rsidRDefault="006A451F" w:rsidP="006A451F">
            <w:pPr>
              <w:ind w:firstLineChars="200" w:firstLine="320"/>
              <w:rPr>
                <w:rFonts w:ascii="Arial" w:hAnsi="Arial" w:cs="Arial"/>
                <w:sz w:val="16"/>
                <w:szCs w:val="16"/>
                <w:lang w:eastAsia="es-AR"/>
              </w:rPr>
            </w:pPr>
            <w:r w:rsidRPr="006A451F">
              <w:rPr>
                <w:rFonts w:ascii="Arial" w:hAnsi="Arial" w:cs="Arial"/>
                <w:sz w:val="16"/>
                <w:szCs w:val="16"/>
                <w:lang w:eastAsia="es-AR"/>
              </w:rPr>
              <w:t>Banco Central de la República Argentina</w:t>
            </w:r>
          </w:p>
        </w:tc>
        <w:tc>
          <w:tcPr>
            <w:tcW w:w="2260" w:type="dxa"/>
            <w:tcBorders>
              <w:top w:val="nil"/>
              <w:left w:val="nil"/>
              <w:bottom w:val="nil"/>
              <w:right w:val="nil"/>
            </w:tcBorders>
            <w:shd w:val="clear" w:color="auto" w:fill="auto"/>
            <w:vAlign w:val="bottom"/>
          </w:tcPr>
          <w:p w14:paraId="79F74CE5" w14:textId="6C94C0A0"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429.719</w:t>
            </w:r>
          </w:p>
        </w:tc>
      </w:tr>
      <w:tr w:rsidR="006A451F" w:rsidRPr="006A451F" w14:paraId="0FE38FFD" w14:textId="77777777" w:rsidTr="006A451F">
        <w:trPr>
          <w:trHeight w:val="259"/>
        </w:trPr>
        <w:tc>
          <w:tcPr>
            <w:tcW w:w="7260" w:type="dxa"/>
            <w:tcBorders>
              <w:top w:val="nil"/>
              <w:left w:val="nil"/>
              <w:bottom w:val="nil"/>
              <w:right w:val="nil"/>
            </w:tcBorders>
            <w:shd w:val="clear" w:color="auto" w:fill="auto"/>
            <w:hideMark/>
          </w:tcPr>
          <w:p w14:paraId="0806F691" w14:textId="77777777" w:rsidR="006A451F" w:rsidRPr="006A451F" w:rsidRDefault="006A451F" w:rsidP="006A451F">
            <w:pPr>
              <w:ind w:firstLineChars="200" w:firstLine="320"/>
              <w:rPr>
                <w:rFonts w:ascii="Arial" w:hAnsi="Arial" w:cs="Arial"/>
                <w:sz w:val="16"/>
                <w:szCs w:val="16"/>
                <w:lang w:eastAsia="es-AR"/>
              </w:rPr>
            </w:pPr>
            <w:r w:rsidRPr="006A451F">
              <w:rPr>
                <w:rFonts w:ascii="Arial" w:hAnsi="Arial" w:cs="Arial"/>
                <w:sz w:val="16"/>
                <w:szCs w:val="16"/>
                <w:lang w:eastAsia="es-AR"/>
              </w:rPr>
              <w:t>Otras Entidades Financieras</w:t>
            </w:r>
          </w:p>
        </w:tc>
        <w:tc>
          <w:tcPr>
            <w:tcW w:w="2260" w:type="dxa"/>
            <w:tcBorders>
              <w:top w:val="nil"/>
              <w:left w:val="nil"/>
              <w:bottom w:val="nil"/>
              <w:right w:val="nil"/>
            </w:tcBorders>
            <w:shd w:val="clear" w:color="auto" w:fill="auto"/>
            <w:vAlign w:val="bottom"/>
          </w:tcPr>
          <w:p w14:paraId="0E2DD8D1" w14:textId="7321CDDE"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67.306</w:t>
            </w:r>
          </w:p>
        </w:tc>
      </w:tr>
      <w:tr w:rsidR="006A451F" w:rsidRPr="006A451F" w14:paraId="4169D8E6" w14:textId="77777777" w:rsidTr="006A451F">
        <w:trPr>
          <w:trHeight w:val="80"/>
        </w:trPr>
        <w:tc>
          <w:tcPr>
            <w:tcW w:w="7260" w:type="dxa"/>
            <w:tcBorders>
              <w:top w:val="nil"/>
              <w:left w:val="nil"/>
              <w:bottom w:val="nil"/>
              <w:right w:val="nil"/>
            </w:tcBorders>
            <w:shd w:val="clear" w:color="auto" w:fill="auto"/>
            <w:hideMark/>
          </w:tcPr>
          <w:p w14:paraId="28178A05" w14:textId="77777777" w:rsidR="006A451F" w:rsidRPr="006A451F" w:rsidRDefault="006A451F" w:rsidP="006A451F">
            <w:pPr>
              <w:jc w:val="right"/>
              <w:rPr>
                <w:rFonts w:ascii="Arial" w:hAnsi="Arial" w:cs="Arial"/>
                <w:sz w:val="16"/>
                <w:szCs w:val="16"/>
                <w:lang w:eastAsia="es-AR"/>
              </w:rPr>
            </w:pPr>
          </w:p>
        </w:tc>
        <w:tc>
          <w:tcPr>
            <w:tcW w:w="2260" w:type="dxa"/>
            <w:tcBorders>
              <w:top w:val="nil"/>
              <w:left w:val="nil"/>
              <w:bottom w:val="nil"/>
              <w:right w:val="nil"/>
            </w:tcBorders>
            <w:shd w:val="clear" w:color="auto" w:fill="auto"/>
            <w:vAlign w:val="bottom"/>
          </w:tcPr>
          <w:p w14:paraId="2A16A2A2" w14:textId="77777777" w:rsidR="006A451F" w:rsidRPr="006A451F" w:rsidRDefault="006A451F" w:rsidP="006A451F">
            <w:pPr>
              <w:rPr>
                <w:sz w:val="16"/>
                <w:szCs w:val="16"/>
                <w:lang w:eastAsia="es-AR"/>
              </w:rPr>
            </w:pPr>
          </w:p>
        </w:tc>
      </w:tr>
      <w:tr w:rsidR="006A451F" w:rsidRPr="006A451F" w14:paraId="058B1D9D" w14:textId="77777777" w:rsidTr="006A451F">
        <w:trPr>
          <w:trHeight w:val="259"/>
        </w:trPr>
        <w:tc>
          <w:tcPr>
            <w:tcW w:w="7260" w:type="dxa"/>
            <w:tcBorders>
              <w:top w:val="nil"/>
              <w:left w:val="nil"/>
              <w:bottom w:val="nil"/>
              <w:right w:val="nil"/>
            </w:tcBorders>
            <w:shd w:val="clear" w:color="auto" w:fill="auto"/>
            <w:hideMark/>
          </w:tcPr>
          <w:p w14:paraId="14B2C44D" w14:textId="77777777" w:rsidR="006A451F" w:rsidRPr="006A451F" w:rsidRDefault="006A451F" w:rsidP="006A451F">
            <w:pPr>
              <w:rPr>
                <w:rFonts w:ascii="Arial" w:hAnsi="Arial" w:cs="Arial"/>
                <w:b/>
                <w:bCs/>
                <w:sz w:val="16"/>
                <w:szCs w:val="16"/>
                <w:lang w:eastAsia="es-AR"/>
              </w:rPr>
            </w:pPr>
            <w:r w:rsidRPr="006A451F">
              <w:rPr>
                <w:rFonts w:ascii="Arial" w:hAnsi="Arial" w:cs="Arial"/>
                <w:b/>
                <w:bCs/>
                <w:sz w:val="16"/>
                <w:szCs w:val="16"/>
                <w:lang w:eastAsia="es-AR"/>
              </w:rPr>
              <w:t>TOTAL</w:t>
            </w:r>
          </w:p>
        </w:tc>
        <w:tc>
          <w:tcPr>
            <w:tcW w:w="2260" w:type="dxa"/>
            <w:tcBorders>
              <w:top w:val="single" w:sz="4" w:space="0" w:color="auto"/>
              <w:left w:val="nil"/>
              <w:bottom w:val="single" w:sz="4" w:space="0" w:color="auto"/>
              <w:right w:val="nil"/>
            </w:tcBorders>
            <w:shd w:val="clear" w:color="auto" w:fill="auto"/>
            <w:vAlign w:val="bottom"/>
          </w:tcPr>
          <w:p w14:paraId="29218229" w14:textId="0B39D578" w:rsidR="006A451F" w:rsidRPr="006A451F" w:rsidRDefault="00941A39" w:rsidP="006A451F">
            <w:pPr>
              <w:jc w:val="right"/>
              <w:rPr>
                <w:rFonts w:ascii="Arial" w:hAnsi="Arial" w:cs="Arial"/>
                <w:b/>
                <w:bCs/>
                <w:sz w:val="16"/>
                <w:szCs w:val="16"/>
                <w:lang w:eastAsia="es-AR"/>
              </w:rPr>
            </w:pPr>
            <w:r>
              <w:rPr>
                <w:rFonts w:ascii="Arial" w:hAnsi="Arial" w:cs="Arial"/>
                <w:b/>
                <w:bCs/>
                <w:sz w:val="16"/>
                <w:szCs w:val="16"/>
                <w:lang w:eastAsia="es-AR"/>
              </w:rPr>
              <w:t>36.535.746</w:t>
            </w:r>
          </w:p>
        </w:tc>
      </w:tr>
      <w:tr w:rsidR="006A451F" w:rsidRPr="006A451F" w14:paraId="1F42CDDF" w14:textId="77777777" w:rsidTr="006A451F">
        <w:trPr>
          <w:trHeight w:val="259"/>
        </w:trPr>
        <w:tc>
          <w:tcPr>
            <w:tcW w:w="7260" w:type="dxa"/>
            <w:tcBorders>
              <w:top w:val="nil"/>
              <w:left w:val="nil"/>
              <w:bottom w:val="nil"/>
              <w:right w:val="nil"/>
            </w:tcBorders>
            <w:shd w:val="clear" w:color="auto" w:fill="auto"/>
            <w:noWrap/>
            <w:hideMark/>
          </w:tcPr>
          <w:p w14:paraId="44FBC4C9" w14:textId="77777777" w:rsidR="006A451F" w:rsidRPr="006A451F" w:rsidRDefault="006A451F" w:rsidP="006A451F">
            <w:pPr>
              <w:jc w:val="right"/>
              <w:rPr>
                <w:rFonts w:ascii="Arial" w:hAnsi="Arial" w:cs="Arial"/>
                <w:b/>
                <w:bCs/>
                <w:sz w:val="16"/>
                <w:szCs w:val="16"/>
                <w:lang w:eastAsia="es-AR"/>
              </w:rPr>
            </w:pPr>
          </w:p>
        </w:tc>
        <w:tc>
          <w:tcPr>
            <w:tcW w:w="2260" w:type="dxa"/>
            <w:tcBorders>
              <w:top w:val="nil"/>
              <w:left w:val="nil"/>
              <w:bottom w:val="nil"/>
              <w:right w:val="nil"/>
            </w:tcBorders>
            <w:shd w:val="clear" w:color="auto" w:fill="auto"/>
            <w:vAlign w:val="bottom"/>
          </w:tcPr>
          <w:p w14:paraId="09B92811" w14:textId="77777777" w:rsidR="006A451F" w:rsidRPr="006A451F" w:rsidRDefault="006A451F" w:rsidP="006A451F">
            <w:pPr>
              <w:rPr>
                <w:sz w:val="16"/>
                <w:szCs w:val="16"/>
                <w:lang w:eastAsia="es-AR"/>
              </w:rPr>
            </w:pPr>
          </w:p>
        </w:tc>
      </w:tr>
      <w:tr w:rsidR="006A451F" w:rsidRPr="006A451F" w14:paraId="310D8460" w14:textId="77777777" w:rsidTr="006A451F">
        <w:trPr>
          <w:trHeight w:val="259"/>
        </w:trPr>
        <w:tc>
          <w:tcPr>
            <w:tcW w:w="7260" w:type="dxa"/>
            <w:tcBorders>
              <w:top w:val="nil"/>
              <w:left w:val="nil"/>
              <w:bottom w:val="nil"/>
              <w:right w:val="nil"/>
            </w:tcBorders>
            <w:shd w:val="clear" w:color="auto" w:fill="auto"/>
            <w:hideMark/>
          </w:tcPr>
          <w:p w14:paraId="1AB352AB" w14:textId="77777777" w:rsidR="006A451F" w:rsidRPr="006A451F" w:rsidRDefault="006A451F" w:rsidP="006A451F">
            <w:pPr>
              <w:rPr>
                <w:rFonts w:ascii="Arial" w:hAnsi="Arial" w:cs="Arial"/>
                <w:b/>
                <w:bCs/>
                <w:sz w:val="16"/>
                <w:szCs w:val="16"/>
                <w:lang w:eastAsia="es-AR"/>
              </w:rPr>
            </w:pPr>
            <w:r w:rsidRPr="006A451F">
              <w:rPr>
                <w:rFonts w:ascii="Arial" w:hAnsi="Arial" w:cs="Arial"/>
                <w:b/>
                <w:bCs/>
                <w:sz w:val="16"/>
                <w:szCs w:val="16"/>
                <w:lang w:eastAsia="es-AR"/>
              </w:rPr>
              <w:t>Egresos por intereses</w:t>
            </w:r>
          </w:p>
        </w:tc>
        <w:tc>
          <w:tcPr>
            <w:tcW w:w="2260" w:type="dxa"/>
            <w:tcBorders>
              <w:top w:val="nil"/>
              <w:left w:val="nil"/>
              <w:bottom w:val="nil"/>
              <w:right w:val="nil"/>
            </w:tcBorders>
            <w:shd w:val="clear" w:color="auto" w:fill="auto"/>
            <w:vAlign w:val="bottom"/>
          </w:tcPr>
          <w:p w14:paraId="6C771FD8" w14:textId="77777777" w:rsidR="006A451F" w:rsidRPr="006A451F" w:rsidRDefault="006A451F" w:rsidP="006A451F">
            <w:pPr>
              <w:rPr>
                <w:rFonts w:ascii="Arial" w:hAnsi="Arial" w:cs="Arial"/>
                <w:b/>
                <w:bCs/>
                <w:sz w:val="16"/>
                <w:szCs w:val="16"/>
                <w:lang w:eastAsia="es-AR"/>
              </w:rPr>
            </w:pPr>
          </w:p>
        </w:tc>
      </w:tr>
      <w:tr w:rsidR="006A451F" w:rsidRPr="006A451F" w14:paraId="38F544D4" w14:textId="77777777" w:rsidTr="006A451F">
        <w:trPr>
          <w:trHeight w:val="259"/>
        </w:trPr>
        <w:tc>
          <w:tcPr>
            <w:tcW w:w="7260" w:type="dxa"/>
            <w:tcBorders>
              <w:top w:val="nil"/>
              <w:left w:val="nil"/>
              <w:bottom w:val="nil"/>
              <w:right w:val="nil"/>
            </w:tcBorders>
            <w:shd w:val="clear" w:color="auto" w:fill="auto"/>
            <w:hideMark/>
          </w:tcPr>
          <w:p w14:paraId="6E9C27B8"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Por Depósitos </w:t>
            </w:r>
          </w:p>
        </w:tc>
        <w:tc>
          <w:tcPr>
            <w:tcW w:w="2260" w:type="dxa"/>
            <w:tcBorders>
              <w:top w:val="nil"/>
              <w:left w:val="nil"/>
              <w:bottom w:val="nil"/>
              <w:right w:val="nil"/>
            </w:tcBorders>
            <w:shd w:val="clear" w:color="auto" w:fill="auto"/>
            <w:vAlign w:val="bottom"/>
          </w:tcPr>
          <w:p w14:paraId="77ACBDAB" w14:textId="77777777" w:rsidR="006A451F" w:rsidRPr="006A451F" w:rsidRDefault="006A451F" w:rsidP="006A451F">
            <w:pPr>
              <w:rPr>
                <w:rFonts w:ascii="Arial" w:hAnsi="Arial" w:cs="Arial"/>
                <w:sz w:val="16"/>
                <w:szCs w:val="16"/>
                <w:lang w:eastAsia="es-AR"/>
              </w:rPr>
            </w:pPr>
          </w:p>
        </w:tc>
      </w:tr>
      <w:tr w:rsidR="006A451F" w:rsidRPr="006A451F" w14:paraId="100D1FF3" w14:textId="77777777" w:rsidTr="006A451F">
        <w:trPr>
          <w:trHeight w:val="259"/>
        </w:trPr>
        <w:tc>
          <w:tcPr>
            <w:tcW w:w="7260" w:type="dxa"/>
            <w:tcBorders>
              <w:top w:val="nil"/>
              <w:left w:val="nil"/>
              <w:bottom w:val="nil"/>
              <w:right w:val="nil"/>
            </w:tcBorders>
            <w:shd w:val="clear" w:color="auto" w:fill="auto"/>
            <w:hideMark/>
          </w:tcPr>
          <w:p w14:paraId="345E4EA9"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Cuentas corrientes</w:t>
            </w:r>
          </w:p>
        </w:tc>
        <w:tc>
          <w:tcPr>
            <w:tcW w:w="2260" w:type="dxa"/>
            <w:tcBorders>
              <w:top w:val="nil"/>
              <w:left w:val="nil"/>
              <w:bottom w:val="nil"/>
              <w:right w:val="nil"/>
            </w:tcBorders>
            <w:shd w:val="clear" w:color="auto" w:fill="auto"/>
            <w:vAlign w:val="bottom"/>
          </w:tcPr>
          <w:p w14:paraId="20FC747A" w14:textId="4AD7129F"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-5.158.143</w:t>
            </w:r>
          </w:p>
        </w:tc>
      </w:tr>
      <w:tr w:rsidR="006A451F" w:rsidRPr="006A451F" w14:paraId="3302DAFE" w14:textId="77777777" w:rsidTr="006A451F">
        <w:trPr>
          <w:trHeight w:val="259"/>
        </w:trPr>
        <w:tc>
          <w:tcPr>
            <w:tcW w:w="7260" w:type="dxa"/>
            <w:tcBorders>
              <w:top w:val="nil"/>
              <w:left w:val="nil"/>
              <w:bottom w:val="nil"/>
              <w:right w:val="nil"/>
            </w:tcBorders>
            <w:shd w:val="clear" w:color="auto" w:fill="auto"/>
            <w:hideMark/>
          </w:tcPr>
          <w:p w14:paraId="628F6685"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Cajas de ahorro</w:t>
            </w:r>
          </w:p>
        </w:tc>
        <w:tc>
          <w:tcPr>
            <w:tcW w:w="2260" w:type="dxa"/>
            <w:tcBorders>
              <w:top w:val="nil"/>
              <w:left w:val="nil"/>
              <w:bottom w:val="nil"/>
              <w:right w:val="nil"/>
            </w:tcBorders>
            <w:shd w:val="clear" w:color="auto" w:fill="auto"/>
            <w:vAlign w:val="bottom"/>
          </w:tcPr>
          <w:p w14:paraId="325CF3D4" w14:textId="5E26C7F7"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-7.298</w:t>
            </w:r>
          </w:p>
        </w:tc>
      </w:tr>
      <w:tr w:rsidR="006A451F" w:rsidRPr="006A451F" w14:paraId="72166379" w14:textId="77777777" w:rsidTr="006A451F">
        <w:trPr>
          <w:trHeight w:val="259"/>
        </w:trPr>
        <w:tc>
          <w:tcPr>
            <w:tcW w:w="7260" w:type="dxa"/>
            <w:tcBorders>
              <w:top w:val="nil"/>
              <w:left w:val="nil"/>
              <w:bottom w:val="nil"/>
              <w:right w:val="nil"/>
            </w:tcBorders>
            <w:shd w:val="clear" w:color="auto" w:fill="auto"/>
            <w:hideMark/>
          </w:tcPr>
          <w:p w14:paraId="0F9806FC"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Plazo fijo e inversiones a plazo</w:t>
            </w:r>
          </w:p>
        </w:tc>
        <w:tc>
          <w:tcPr>
            <w:tcW w:w="2260" w:type="dxa"/>
            <w:tcBorders>
              <w:top w:val="nil"/>
              <w:left w:val="nil"/>
              <w:bottom w:val="nil"/>
              <w:right w:val="nil"/>
            </w:tcBorders>
            <w:shd w:val="clear" w:color="auto" w:fill="auto"/>
            <w:vAlign w:val="bottom"/>
          </w:tcPr>
          <w:p w14:paraId="5650BAAD" w14:textId="18F3F466"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-13.625.988</w:t>
            </w:r>
          </w:p>
        </w:tc>
      </w:tr>
      <w:tr w:rsidR="006A451F" w:rsidRPr="006A451F" w14:paraId="39E953FA" w14:textId="77777777" w:rsidTr="006A451F">
        <w:trPr>
          <w:trHeight w:val="259"/>
        </w:trPr>
        <w:tc>
          <w:tcPr>
            <w:tcW w:w="7260" w:type="dxa"/>
            <w:tcBorders>
              <w:top w:val="nil"/>
              <w:left w:val="nil"/>
              <w:bottom w:val="nil"/>
              <w:right w:val="nil"/>
            </w:tcBorders>
            <w:shd w:val="clear" w:color="auto" w:fill="auto"/>
            <w:hideMark/>
          </w:tcPr>
          <w:p w14:paraId="5FF316FC"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Otros</w:t>
            </w:r>
          </w:p>
        </w:tc>
        <w:tc>
          <w:tcPr>
            <w:tcW w:w="2260" w:type="dxa"/>
            <w:tcBorders>
              <w:top w:val="nil"/>
              <w:left w:val="nil"/>
              <w:bottom w:val="nil"/>
              <w:right w:val="nil"/>
            </w:tcBorders>
            <w:shd w:val="clear" w:color="auto" w:fill="auto"/>
            <w:vAlign w:val="bottom"/>
          </w:tcPr>
          <w:p w14:paraId="0BC5AF78" w14:textId="40D4F819"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-2.734.101</w:t>
            </w:r>
          </w:p>
        </w:tc>
      </w:tr>
      <w:tr w:rsidR="006A451F" w:rsidRPr="006A451F" w14:paraId="146E766A" w14:textId="77777777" w:rsidTr="006A451F">
        <w:trPr>
          <w:trHeight w:val="259"/>
        </w:trPr>
        <w:tc>
          <w:tcPr>
            <w:tcW w:w="7260" w:type="dxa"/>
            <w:tcBorders>
              <w:top w:val="nil"/>
              <w:left w:val="nil"/>
              <w:bottom w:val="nil"/>
              <w:right w:val="nil"/>
            </w:tcBorders>
            <w:shd w:val="clear" w:color="auto" w:fill="auto"/>
            <w:hideMark/>
          </w:tcPr>
          <w:p w14:paraId="47477F4D"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Por financiaciones recibidas del BCRA y otras instituciones financieras</w:t>
            </w:r>
          </w:p>
        </w:tc>
        <w:tc>
          <w:tcPr>
            <w:tcW w:w="2260" w:type="dxa"/>
            <w:tcBorders>
              <w:top w:val="nil"/>
              <w:left w:val="nil"/>
              <w:bottom w:val="nil"/>
              <w:right w:val="nil"/>
            </w:tcBorders>
            <w:shd w:val="clear" w:color="auto" w:fill="auto"/>
            <w:vAlign w:val="bottom"/>
          </w:tcPr>
          <w:p w14:paraId="1CEB92E1" w14:textId="488E5D62"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-646.168</w:t>
            </w:r>
          </w:p>
        </w:tc>
      </w:tr>
      <w:tr w:rsidR="006A451F" w:rsidRPr="006A451F" w14:paraId="6D0280FE" w14:textId="77777777" w:rsidTr="006A451F">
        <w:trPr>
          <w:trHeight w:val="259"/>
        </w:trPr>
        <w:tc>
          <w:tcPr>
            <w:tcW w:w="7260" w:type="dxa"/>
            <w:tcBorders>
              <w:top w:val="nil"/>
              <w:left w:val="nil"/>
              <w:bottom w:val="nil"/>
              <w:right w:val="nil"/>
            </w:tcBorders>
            <w:shd w:val="clear" w:color="auto" w:fill="auto"/>
            <w:hideMark/>
          </w:tcPr>
          <w:p w14:paraId="6CC18E95"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Por operaciones de pase</w:t>
            </w:r>
          </w:p>
        </w:tc>
        <w:tc>
          <w:tcPr>
            <w:tcW w:w="2260" w:type="dxa"/>
            <w:tcBorders>
              <w:top w:val="nil"/>
              <w:left w:val="nil"/>
              <w:bottom w:val="nil"/>
              <w:right w:val="nil"/>
            </w:tcBorders>
            <w:shd w:val="clear" w:color="auto" w:fill="auto"/>
            <w:vAlign w:val="bottom"/>
          </w:tcPr>
          <w:p w14:paraId="5887CE4F" w14:textId="77777777" w:rsidR="006A451F" w:rsidRPr="006A451F" w:rsidRDefault="006A451F" w:rsidP="006A451F">
            <w:pPr>
              <w:rPr>
                <w:rFonts w:ascii="Arial" w:hAnsi="Arial" w:cs="Arial"/>
                <w:sz w:val="16"/>
                <w:szCs w:val="16"/>
                <w:lang w:eastAsia="es-AR"/>
              </w:rPr>
            </w:pPr>
          </w:p>
        </w:tc>
      </w:tr>
      <w:tr w:rsidR="006A451F" w:rsidRPr="006A451F" w14:paraId="58047D4A" w14:textId="77777777" w:rsidTr="006A451F">
        <w:trPr>
          <w:trHeight w:val="259"/>
        </w:trPr>
        <w:tc>
          <w:tcPr>
            <w:tcW w:w="7260" w:type="dxa"/>
            <w:tcBorders>
              <w:top w:val="nil"/>
              <w:left w:val="nil"/>
              <w:bottom w:val="nil"/>
              <w:right w:val="nil"/>
            </w:tcBorders>
            <w:shd w:val="clear" w:color="auto" w:fill="auto"/>
            <w:hideMark/>
          </w:tcPr>
          <w:p w14:paraId="141B7761"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Banco Central de la República Argentina</w:t>
            </w:r>
          </w:p>
        </w:tc>
        <w:tc>
          <w:tcPr>
            <w:tcW w:w="2260" w:type="dxa"/>
            <w:tcBorders>
              <w:top w:val="nil"/>
              <w:left w:val="nil"/>
              <w:bottom w:val="nil"/>
              <w:right w:val="nil"/>
            </w:tcBorders>
            <w:shd w:val="clear" w:color="auto" w:fill="auto"/>
            <w:vAlign w:val="bottom"/>
          </w:tcPr>
          <w:p w14:paraId="7CBF7550" w14:textId="77777777" w:rsidR="006A451F" w:rsidRPr="006A451F" w:rsidRDefault="006A451F" w:rsidP="006A451F">
            <w:pPr>
              <w:rPr>
                <w:rFonts w:ascii="Arial" w:hAnsi="Arial" w:cs="Arial"/>
                <w:sz w:val="16"/>
                <w:szCs w:val="16"/>
                <w:lang w:eastAsia="es-AR"/>
              </w:rPr>
            </w:pPr>
          </w:p>
        </w:tc>
      </w:tr>
      <w:tr w:rsidR="006A451F" w:rsidRPr="006A451F" w14:paraId="04A19414" w14:textId="77777777" w:rsidTr="006A451F">
        <w:trPr>
          <w:trHeight w:val="259"/>
        </w:trPr>
        <w:tc>
          <w:tcPr>
            <w:tcW w:w="7260" w:type="dxa"/>
            <w:tcBorders>
              <w:top w:val="nil"/>
              <w:left w:val="nil"/>
              <w:bottom w:val="nil"/>
              <w:right w:val="nil"/>
            </w:tcBorders>
            <w:shd w:val="clear" w:color="auto" w:fill="auto"/>
            <w:hideMark/>
          </w:tcPr>
          <w:p w14:paraId="3F476A35"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 xml:space="preserve">     Otras Entidades financieras</w:t>
            </w:r>
          </w:p>
        </w:tc>
        <w:tc>
          <w:tcPr>
            <w:tcW w:w="2260" w:type="dxa"/>
            <w:tcBorders>
              <w:top w:val="nil"/>
              <w:left w:val="nil"/>
              <w:bottom w:val="nil"/>
              <w:right w:val="nil"/>
            </w:tcBorders>
            <w:shd w:val="clear" w:color="auto" w:fill="auto"/>
            <w:vAlign w:val="bottom"/>
          </w:tcPr>
          <w:p w14:paraId="31C2436E" w14:textId="3C32D32A"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-492.024</w:t>
            </w:r>
          </w:p>
        </w:tc>
      </w:tr>
      <w:tr w:rsidR="006A451F" w:rsidRPr="006A451F" w14:paraId="04ED60B2" w14:textId="77777777" w:rsidTr="006A451F">
        <w:trPr>
          <w:trHeight w:val="259"/>
        </w:trPr>
        <w:tc>
          <w:tcPr>
            <w:tcW w:w="7260" w:type="dxa"/>
            <w:tcBorders>
              <w:top w:val="nil"/>
              <w:left w:val="nil"/>
              <w:bottom w:val="nil"/>
              <w:right w:val="nil"/>
            </w:tcBorders>
            <w:shd w:val="clear" w:color="auto" w:fill="auto"/>
            <w:hideMark/>
          </w:tcPr>
          <w:p w14:paraId="45BA70D2"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Por otros pasivos financieros</w:t>
            </w:r>
          </w:p>
        </w:tc>
        <w:tc>
          <w:tcPr>
            <w:tcW w:w="2260" w:type="dxa"/>
            <w:tcBorders>
              <w:top w:val="nil"/>
              <w:left w:val="nil"/>
              <w:bottom w:val="nil"/>
              <w:right w:val="nil"/>
            </w:tcBorders>
            <w:shd w:val="clear" w:color="auto" w:fill="auto"/>
            <w:vAlign w:val="bottom"/>
          </w:tcPr>
          <w:p w14:paraId="1C8712EA" w14:textId="1D32745D"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-5.719.777</w:t>
            </w:r>
          </w:p>
        </w:tc>
      </w:tr>
      <w:tr w:rsidR="006A451F" w:rsidRPr="006A451F" w14:paraId="75C4C54B" w14:textId="77777777" w:rsidTr="00941A39">
        <w:trPr>
          <w:trHeight w:val="259"/>
        </w:trPr>
        <w:tc>
          <w:tcPr>
            <w:tcW w:w="7260" w:type="dxa"/>
            <w:tcBorders>
              <w:top w:val="nil"/>
              <w:left w:val="nil"/>
              <w:bottom w:val="nil"/>
              <w:right w:val="nil"/>
            </w:tcBorders>
            <w:shd w:val="clear" w:color="auto" w:fill="auto"/>
            <w:hideMark/>
          </w:tcPr>
          <w:p w14:paraId="21A33D4B"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Por obligaciones negociables emitidas</w:t>
            </w:r>
          </w:p>
        </w:tc>
        <w:tc>
          <w:tcPr>
            <w:tcW w:w="2260" w:type="dxa"/>
            <w:tcBorders>
              <w:top w:val="nil"/>
              <w:left w:val="nil"/>
              <w:bottom w:val="nil"/>
              <w:right w:val="nil"/>
            </w:tcBorders>
            <w:shd w:val="clear" w:color="auto" w:fill="auto"/>
            <w:vAlign w:val="bottom"/>
          </w:tcPr>
          <w:p w14:paraId="0E733BAB" w14:textId="4543CBC0" w:rsidR="006A451F" w:rsidRPr="006A451F" w:rsidRDefault="006A451F" w:rsidP="00941A39">
            <w:pPr>
              <w:jc w:val="right"/>
              <w:rPr>
                <w:rFonts w:ascii="Arial" w:hAnsi="Arial" w:cs="Arial"/>
                <w:sz w:val="16"/>
                <w:szCs w:val="16"/>
                <w:lang w:eastAsia="es-AR"/>
              </w:rPr>
            </w:pPr>
          </w:p>
        </w:tc>
      </w:tr>
      <w:tr w:rsidR="006A451F" w:rsidRPr="006A451F" w14:paraId="61E897A1" w14:textId="77777777" w:rsidTr="006A451F">
        <w:trPr>
          <w:trHeight w:val="259"/>
        </w:trPr>
        <w:tc>
          <w:tcPr>
            <w:tcW w:w="7260" w:type="dxa"/>
            <w:tcBorders>
              <w:top w:val="nil"/>
              <w:left w:val="nil"/>
              <w:bottom w:val="nil"/>
              <w:right w:val="nil"/>
            </w:tcBorders>
            <w:shd w:val="clear" w:color="auto" w:fill="auto"/>
            <w:hideMark/>
          </w:tcPr>
          <w:p w14:paraId="18D1B49A" w14:textId="77777777" w:rsidR="006A451F" w:rsidRPr="006A451F" w:rsidRDefault="006A451F" w:rsidP="006A451F">
            <w:pPr>
              <w:rPr>
                <w:rFonts w:ascii="Arial" w:hAnsi="Arial" w:cs="Arial"/>
                <w:sz w:val="16"/>
                <w:szCs w:val="16"/>
                <w:lang w:eastAsia="es-AR"/>
              </w:rPr>
            </w:pPr>
            <w:r w:rsidRPr="006A451F">
              <w:rPr>
                <w:rFonts w:ascii="Arial" w:hAnsi="Arial" w:cs="Arial"/>
                <w:sz w:val="16"/>
                <w:szCs w:val="16"/>
                <w:lang w:eastAsia="es-AR"/>
              </w:rPr>
              <w:t>Por otras obligaciones negociables subordinadas</w:t>
            </w:r>
          </w:p>
        </w:tc>
        <w:tc>
          <w:tcPr>
            <w:tcW w:w="2260" w:type="dxa"/>
            <w:tcBorders>
              <w:top w:val="nil"/>
              <w:left w:val="nil"/>
              <w:bottom w:val="nil"/>
              <w:right w:val="nil"/>
            </w:tcBorders>
            <w:shd w:val="clear" w:color="auto" w:fill="auto"/>
            <w:vAlign w:val="bottom"/>
          </w:tcPr>
          <w:p w14:paraId="400A3037" w14:textId="5B0AB80E" w:rsidR="006A451F" w:rsidRPr="006A451F" w:rsidRDefault="00941A39" w:rsidP="006A451F">
            <w:pPr>
              <w:jc w:val="right"/>
              <w:rPr>
                <w:rFonts w:ascii="Arial" w:hAnsi="Arial" w:cs="Arial"/>
                <w:sz w:val="16"/>
                <w:szCs w:val="16"/>
                <w:lang w:eastAsia="es-AR"/>
              </w:rPr>
            </w:pPr>
            <w:r>
              <w:rPr>
                <w:rFonts w:ascii="Arial" w:hAnsi="Arial" w:cs="Arial"/>
                <w:sz w:val="16"/>
                <w:szCs w:val="16"/>
                <w:lang w:eastAsia="es-AR"/>
              </w:rPr>
              <w:t>-111.198</w:t>
            </w:r>
          </w:p>
        </w:tc>
      </w:tr>
      <w:tr w:rsidR="006A451F" w:rsidRPr="006A451F" w14:paraId="6BD00D7C" w14:textId="77777777" w:rsidTr="006A451F">
        <w:trPr>
          <w:trHeight w:val="80"/>
        </w:trPr>
        <w:tc>
          <w:tcPr>
            <w:tcW w:w="7260" w:type="dxa"/>
            <w:tcBorders>
              <w:top w:val="nil"/>
              <w:left w:val="nil"/>
              <w:bottom w:val="nil"/>
              <w:right w:val="nil"/>
            </w:tcBorders>
            <w:shd w:val="clear" w:color="auto" w:fill="auto"/>
            <w:hideMark/>
          </w:tcPr>
          <w:p w14:paraId="330DD9AD" w14:textId="77777777" w:rsidR="006A451F" w:rsidRPr="006A451F" w:rsidRDefault="006A451F" w:rsidP="006A451F">
            <w:pPr>
              <w:jc w:val="right"/>
              <w:rPr>
                <w:rFonts w:ascii="Arial" w:hAnsi="Arial" w:cs="Arial"/>
                <w:sz w:val="16"/>
                <w:szCs w:val="16"/>
                <w:lang w:eastAsia="es-AR"/>
              </w:rPr>
            </w:pPr>
          </w:p>
        </w:tc>
        <w:tc>
          <w:tcPr>
            <w:tcW w:w="2260" w:type="dxa"/>
            <w:tcBorders>
              <w:top w:val="nil"/>
              <w:left w:val="nil"/>
              <w:bottom w:val="nil"/>
              <w:right w:val="nil"/>
            </w:tcBorders>
            <w:shd w:val="clear" w:color="auto" w:fill="auto"/>
            <w:vAlign w:val="bottom"/>
          </w:tcPr>
          <w:p w14:paraId="356481B0" w14:textId="77777777" w:rsidR="006A451F" w:rsidRPr="006A451F" w:rsidRDefault="006A451F" w:rsidP="006A451F">
            <w:pPr>
              <w:rPr>
                <w:sz w:val="16"/>
                <w:szCs w:val="16"/>
                <w:lang w:eastAsia="es-AR"/>
              </w:rPr>
            </w:pPr>
          </w:p>
        </w:tc>
      </w:tr>
      <w:tr w:rsidR="006A451F" w:rsidRPr="006A451F" w14:paraId="041D0C17" w14:textId="77777777" w:rsidTr="00941A39">
        <w:trPr>
          <w:trHeight w:val="259"/>
        </w:trPr>
        <w:tc>
          <w:tcPr>
            <w:tcW w:w="7260" w:type="dxa"/>
            <w:tcBorders>
              <w:top w:val="nil"/>
              <w:left w:val="nil"/>
              <w:bottom w:val="nil"/>
              <w:right w:val="nil"/>
            </w:tcBorders>
            <w:shd w:val="clear" w:color="auto" w:fill="auto"/>
            <w:hideMark/>
          </w:tcPr>
          <w:p w14:paraId="27A23201" w14:textId="77777777" w:rsidR="006A451F" w:rsidRPr="006A451F" w:rsidRDefault="006A451F" w:rsidP="006A451F">
            <w:pPr>
              <w:rPr>
                <w:rFonts w:ascii="Arial" w:hAnsi="Arial" w:cs="Arial"/>
                <w:b/>
                <w:bCs/>
                <w:sz w:val="16"/>
                <w:szCs w:val="16"/>
                <w:lang w:eastAsia="es-AR"/>
              </w:rPr>
            </w:pPr>
            <w:r w:rsidRPr="006A451F">
              <w:rPr>
                <w:rFonts w:ascii="Arial" w:hAnsi="Arial" w:cs="Arial"/>
                <w:b/>
                <w:bCs/>
                <w:sz w:val="16"/>
                <w:szCs w:val="16"/>
                <w:lang w:eastAsia="es-AR"/>
              </w:rPr>
              <w:t>TOTAL</w:t>
            </w:r>
          </w:p>
        </w:tc>
        <w:tc>
          <w:tcPr>
            <w:tcW w:w="2260" w:type="dxa"/>
            <w:tcBorders>
              <w:top w:val="single" w:sz="4" w:space="0" w:color="auto"/>
              <w:left w:val="nil"/>
              <w:bottom w:val="single" w:sz="4" w:space="0" w:color="auto"/>
              <w:right w:val="nil"/>
            </w:tcBorders>
            <w:shd w:val="clear" w:color="auto" w:fill="auto"/>
            <w:vAlign w:val="center"/>
          </w:tcPr>
          <w:p w14:paraId="14650FD5" w14:textId="156A6DDC" w:rsidR="006A451F" w:rsidRPr="006A451F" w:rsidRDefault="00941A39" w:rsidP="00941A39">
            <w:pPr>
              <w:jc w:val="right"/>
              <w:rPr>
                <w:rFonts w:ascii="Arial" w:hAnsi="Arial" w:cs="Arial"/>
                <w:b/>
                <w:bCs/>
                <w:sz w:val="16"/>
                <w:szCs w:val="16"/>
                <w:lang w:eastAsia="es-AR"/>
              </w:rPr>
            </w:pPr>
            <w:r>
              <w:rPr>
                <w:rFonts w:ascii="Arial" w:hAnsi="Arial" w:cs="Arial"/>
                <w:b/>
                <w:bCs/>
                <w:sz w:val="16"/>
                <w:szCs w:val="16"/>
                <w:lang w:eastAsia="es-AR"/>
              </w:rPr>
              <w:t>-28.494.697</w:t>
            </w:r>
          </w:p>
        </w:tc>
      </w:tr>
    </w:tbl>
    <w:p w14:paraId="0F033CF8" w14:textId="5CFE129C" w:rsidR="00122C95" w:rsidRDefault="00122C95">
      <w:pPr>
        <w:rPr>
          <w:sz w:val="20"/>
          <w:lang w:eastAsia="es-AR"/>
        </w:rPr>
      </w:pPr>
      <w:r>
        <w:rPr>
          <w:sz w:val="20"/>
          <w:lang w:eastAsia="es-AR"/>
        </w:rPr>
        <w:br w:type="page"/>
      </w:r>
    </w:p>
    <w:tbl>
      <w:tblPr>
        <w:tblW w:w="9520" w:type="dxa"/>
        <w:tblInd w:w="75" w:type="dxa"/>
        <w:tblCellMar>
          <w:left w:w="70" w:type="dxa"/>
          <w:right w:w="70" w:type="dxa"/>
        </w:tblCellMar>
        <w:tblLook w:val="04A0" w:firstRow="1" w:lastRow="0" w:firstColumn="1" w:lastColumn="0" w:noHBand="0" w:noVBand="1"/>
      </w:tblPr>
      <w:tblGrid>
        <w:gridCol w:w="7880"/>
        <w:gridCol w:w="1640"/>
      </w:tblGrid>
      <w:tr w:rsidR="006A451F" w:rsidRPr="006A451F" w14:paraId="1A930195" w14:textId="77777777" w:rsidTr="006A451F">
        <w:trPr>
          <w:trHeight w:val="630"/>
        </w:trPr>
        <w:tc>
          <w:tcPr>
            <w:tcW w:w="7880" w:type="dxa"/>
            <w:tcBorders>
              <w:top w:val="single" w:sz="4" w:space="0" w:color="auto"/>
              <w:left w:val="single" w:sz="4" w:space="0" w:color="auto"/>
              <w:bottom w:val="single" w:sz="4" w:space="0" w:color="auto"/>
              <w:right w:val="single" w:sz="4" w:space="0" w:color="auto"/>
            </w:tcBorders>
            <w:shd w:val="clear" w:color="000000" w:fill="B2B2B2"/>
            <w:vAlign w:val="center"/>
            <w:hideMark/>
          </w:tcPr>
          <w:p w14:paraId="181AC35E" w14:textId="77777777" w:rsidR="006A451F" w:rsidRPr="006A451F" w:rsidRDefault="006A451F" w:rsidP="006A451F">
            <w:pPr>
              <w:rPr>
                <w:rFonts w:ascii="Arial" w:hAnsi="Arial" w:cs="Arial"/>
                <w:b/>
                <w:bCs/>
                <w:sz w:val="18"/>
                <w:szCs w:val="18"/>
                <w:lang w:eastAsia="es-AR"/>
              </w:rPr>
            </w:pPr>
            <w:r w:rsidRPr="006A451F">
              <w:rPr>
                <w:rFonts w:ascii="Arial" w:hAnsi="Arial" w:cs="Arial"/>
                <w:b/>
                <w:bCs/>
                <w:sz w:val="18"/>
                <w:szCs w:val="18"/>
                <w:lang w:eastAsia="es-AR"/>
              </w:rPr>
              <w:t>Ingresos por Comisiones</w:t>
            </w:r>
          </w:p>
        </w:tc>
        <w:tc>
          <w:tcPr>
            <w:tcW w:w="1640" w:type="dxa"/>
            <w:tcBorders>
              <w:top w:val="single" w:sz="4" w:space="0" w:color="auto"/>
              <w:left w:val="nil"/>
              <w:bottom w:val="single" w:sz="4" w:space="0" w:color="auto"/>
              <w:right w:val="single" w:sz="4" w:space="0" w:color="auto"/>
            </w:tcBorders>
            <w:shd w:val="clear" w:color="000000" w:fill="B2B2B2"/>
            <w:hideMark/>
          </w:tcPr>
          <w:p w14:paraId="55C5A68B" w14:textId="77777777" w:rsidR="006A451F" w:rsidRPr="006A451F" w:rsidRDefault="006A451F" w:rsidP="006A451F">
            <w:pPr>
              <w:jc w:val="center"/>
              <w:rPr>
                <w:rFonts w:ascii="Arial" w:hAnsi="Arial" w:cs="Arial"/>
                <w:b/>
                <w:bCs/>
                <w:sz w:val="18"/>
                <w:szCs w:val="18"/>
                <w:lang w:eastAsia="es-AR"/>
              </w:rPr>
            </w:pPr>
            <w:r w:rsidRPr="006A451F">
              <w:rPr>
                <w:rFonts w:ascii="Arial" w:hAnsi="Arial" w:cs="Arial"/>
                <w:b/>
                <w:bCs/>
                <w:sz w:val="18"/>
                <w:szCs w:val="18"/>
                <w:lang w:eastAsia="es-AR"/>
              </w:rPr>
              <w:t>Resultado del ejercicio</w:t>
            </w:r>
          </w:p>
        </w:tc>
      </w:tr>
      <w:tr w:rsidR="006A451F" w:rsidRPr="006A451F" w14:paraId="19EF477A" w14:textId="77777777" w:rsidTr="006A451F">
        <w:trPr>
          <w:trHeight w:val="255"/>
        </w:trPr>
        <w:tc>
          <w:tcPr>
            <w:tcW w:w="7880" w:type="dxa"/>
            <w:tcBorders>
              <w:top w:val="nil"/>
              <w:left w:val="nil"/>
              <w:bottom w:val="nil"/>
              <w:right w:val="nil"/>
            </w:tcBorders>
            <w:shd w:val="clear" w:color="auto" w:fill="auto"/>
            <w:hideMark/>
          </w:tcPr>
          <w:p w14:paraId="14B077DD" w14:textId="77777777" w:rsidR="006A451F" w:rsidRPr="006A451F" w:rsidRDefault="006A451F" w:rsidP="006A451F">
            <w:pPr>
              <w:jc w:val="center"/>
              <w:rPr>
                <w:rFonts w:ascii="Arial" w:hAnsi="Arial" w:cs="Arial"/>
                <w:b/>
                <w:bCs/>
                <w:sz w:val="18"/>
                <w:szCs w:val="18"/>
                <w:lang w:eastAsia="es-AR"/>
              </w:rPr>
            </w:pPr>
          </w:p>
        </w:tc>
        <w:tc>
          <w:tcPr>
            <w:tcW w:w="1640" w:type="dxa"/>
            <w:tcBorders>
              <w:top w:val="nil"/>
              <w:left w:val="nil"/>
              <w:bottom w:val="nil"/>
              <w:right w:val="nil"/>
            </w:tcBorders>
            <w:shd w:val="clear" w:color="auto" w:fill="auto"/>
            <w:hideMark/>
          </w:tcPr>
          <w:p w14:paraId="50F31EBE" w14:textId="77777777" w:rsidR="006A451F" w:rsidRPr="006A451F" w:rsidRDefault="006A451F" w:rsidP="006A451F">
            <w:pPr>
              <w:rPr>
                <w:sz w:val="18"/>
                <w:szCs w:val="18"/>
                <w:lang w:eastAsia="es-AR"/>
              </w:rPr>
            </w:pPr>
          </w:p>
        </w:tc>
      </w:tr>
      <w:tr w:rsidR="006A451F" w:rsidRPr="006A451F" w14:paraId="798E1774" w14:textId="77777777" w:rsidTr="006A451F">
        <w:trPr>
          <w:trHeight w:val="255"/>
        </w:trPr>
        <w:tc>
          <w:tcPr>
            <w:tcW w:w="7880" w:type="dxa"/>
            <w:tcBorders>
              <w:top w:val="nil"/>
              <w:left w:val="nil"/>
              <w:bottom w:val="nil"/>
              <w:right w:val="nil"/>
            </w:tcBorders>
            <w:shd w:val="clear" w:color="auto" w:fill="auto"/>
            <w:hideMark/>
          </w:tcPr>
          <w:p w14:paraId="0B95CEBE" w14:textId="77777777" w:rsidR="006A451F" w:rsidRPr="006A451F" w:rsidRDefault="006A451F" w:rsidP="006A451F">
            <w:pPr>
              <w:rPr>
                <w:rFonts w:ascii="Arial" w:hAnsi="Arial" w:cs="Arial"/>
                <w:sz w:val="18"/>
                <w:szCs w:val="18"/>
                <w:lang w:eastAsia="es-AR"/>
              </w:rPr>
            </w:pPr>
            <w:r w:rsidRPr="006A451F">
              <w:rPr>
                <w:rFonts w:ascii="Arial" w:hAnsi="Arial" w:cs="Arial"/>
                <w:sz w:val="18"/>
                <w:szCs w:val="18"/>
                <w:lang w:eastAsia="es-AR"/>
              </w:rPr>
              <w:t>Comisiones vinculadas con obligaciones</w:t>
            </w:r>
          </w:p>
        </w:tc>
        <w:tc>
          <w:tcPr>
            <w:tcW w:w="1640" w:type="dxa"/>
            <w:tcBorders>
              <w:top w:val="nil"/>
              <w:left w:val="nil"/>
              <w:bottom w:val="nil"/>
              <w:right w:val="nil"/>
            </w:tcBorders>
            <w:shd w:val="clear" w:color="auto" w:fill="auto"/>
            <w:vAlign w:val="bottom"/>
          </w:tcPr>
          <w:p w14:paraId="0D290413" w14:textId="510558E7" w:rsidR="006A451F" w:rsidRPr="006A451F" w:rsidRDefault="00941A39" w:rsidP="006A451F">
            <w:pPr>
              <w:jc w:val="right"/>
              <w:rPr>
                <w:rFonts w:ascii="Arial" w:hAnsi="Arial" w:cs="Arial"/>
                <w:sz w:val="18"/>
                <w:szCs w:val="18"/>
                <w:lang w:eastAsia="es-AR"/>
              </w:rPr>
            </w:pPr>
            <w:r>
              <w:rPr>
                <w:rFonts w:ascii="Arial" w:hAnsi="Arial" w:cs="Arial"/>
                <w:sz w:val="18"/>
                <w:szCs w:val="18"/>
                <w:lang w:eastAsia="es-AR"/>
              </w:rPr>
              <w:t>2.839.517</w:t>
            </w:r>
          </w:p>
        </w:tc>
      </w:tr>
      <w:tr w:rsidR="006A451F" w:rsidRPr="006A451F" w14:paraId="7A0843AF" w14:textId="77777777" w:rsidTr="006A451F">
        <w:trPr>
          <w:trHeight w:val="255"/>
        </w:trPr>
        <w:tc>
          <w:tcPr>
            <w:tcW w:w="7880" w:type="dxa"/>
            <w:tcBorders>
              <w:top w:val="nil"/>
              <w:left w:val="nil"/>
              <w:bottom w:val="nil"/>
              <w:right w:val="nil"/>
            </w:tcBorders>
            <w:shd w:val="clear" w:color="auto" w:fill="auto"/>
            <w:hideMark/>
          </w:tcPr>
          <w:p w14:paraId="5B26B314" w14:textId="77777777" w:rsidR="006A451F" w:rsidRPr="006A451F" w:rsidRDefault="006A451F" w:rsidP="006A451F">
            <w:pPr>
              <w:rPr>
                <w:rFonts w:ascii="Arial" w:hAnsi="Arial" w:cs="Arial"/>
                <w:sz w:val="18"/>
                <w:szCs w:val="18"/>
                <w:lang w:eastAsia="es-AR"/>
              </w:rPr>
            </w:pPr>
            <w:r w:rsidRPr="006A451F">
              <w:rPr>
                <w:rFonts w:ascii="Arial" w:hAnsi="Arial" w:cs="Arial"/>
                <w:sz w:val="18"/>
                <w:szCs w:val="18"/>
                <w:lang w:eastAsia="es-AR"/>
              </w:rPr>
              <w:t>Comisiones vinculadas con créditos</w:t>
            </w:r>
          </w:p>
        </w:tc>
        <w:tc>
          <w:tcPr>
            <w:tcW w:w="1640" w:type="dxa"/>
            <w:tcBorders>
              <w:top w:val="nil"/>
              <w:left w:val="nil"/>
              <w:bottom w:val="nil"/>
              <w:right w:val="nil"/>
            </w:tcBorders>
            <w:shd w:val="clear" w:color="auto" w:fill="auto"/>
            <w:vAlign w:val="bottom"/>
          </w:tcPr>
          <w:p w14:paraId="76B0DC81" w14:textId="15E6D62C" w:rsidR="006A451F" w:rsidRPr="006A451F" w:rsidRDefault="00941A39" w:rsidP="006A451F">
            <w:pPr>
              <w:jc w:val="right"/>
              <w:rPr>
                <w:rFonts w:ascii="Arial" w:hAnsi="Arial" w:cs="Arial"/>
                <w:sz w:val="18"/>
                <w:szCs w:val="18"/>
                <w:lang w:eastAsia="es-AR"/>
              </w:rPr>
            </w:pPr>
            <w:r>
              <w:rPr>
                <w:rFonts w:ascii="Arial" w:hAnsi="Arial" w:cs="Arial"/>
                <w:sz w:val="18"/>
                <w:szCs w:val="18"/>
                <w:lang w:eastAsia="es-AR"/>
              </w:rPr>
              <w:t>2.714.852</w:t>
            </w:r>
          </w:p>
        </w:tc>
      </w:tr>
      <w:tr w:rsidR="006A451F" w:rsidRPr="006A451F" w14:paraId="682D73AE" w14:textId="77777777" w:rsidTr="006A451F">
        <w:trPr>
          <w:trHeight w:val="255"/>
        </w:trPr>
        <w:tc>
          <w:tcPr>
            <w:tcW w:w="7880" w:type="dxa"/>
            <w:tcBorders>
              <w:top w:val="nil"/>
              <w:left w:val="nil"/>
              <w:bottom w:val="nil"/>
              <w:right w:val="nil"/>
            </w:tcBorders>
            <w:shd w:val="clear" w:color="auto" w:fill="auto"/>
            <w:hideMark/>
          </w:tcPr>
          <w:p w14:paraId="2A199679" w14:textId="77777777" w:rsidR="006A451F" w:rsidRPr="006A451F" w:rsidRDefault="006A451F" w:rsidP="006A451F">
            <w:pPr>
              <w:rPr>
                <w:rFonts w:ascii="Arial" w:hAnsi="Arial" w:cs="Arial"/>
                <w:sz w:val="18"/>
                <w:szCs w:val="18"/>
                <w:lang w:eastAsia="es-AR"/>
              </w:rPr>
            </w:pPr>
            <w:r w:rsidRPr="006A451F">
              <w:rPr>
                <w:rFonts w:ascii="Arial" w:hAnsi="Arial" w:cs="Arial"/>
                <w:sz w:val="18"/>
                <w:szCs w:val="18"/>
                <w:lang w:eastAsia="es-AR"/>
              </w:rPr>
              <w:t>Comisiones vinculadas con compromisos de préstamos y garantías financieras</w:t>
            </w:r>
          </w:p>
        </w:tc>
        <w:tc>
          <w:tcPr>
            <w:tcW w:w="1640" w:type="dxa"/>
            <w:tcBorders>
              <w:top w:val="nil"/>
              <w:left w:val="nil"/>
              <w:bottom w:val="nil"/>
              <w:right w:val="nil"/>
            </w:tcBorders>
            <w:shd w:val="clear" w:color="auto" w:fill="auto"/>
            <w:vAlign w:val="bottom"/>
          </w:tcPr>
          <w:p w14:paraId="32AE6A36" w14:textId="6D51D389" w:rsidR="006A451F" w:rsidRPr="006A451F" w:rsidRDefault="00941A39" w:rsidP="006A451F">
            <w:pPr>
              <w:jc w:val="right"/>
              <w:rPr>
                <w:rFonts w:ascii="Arial" w:hAnsi="Arial" w:cs="Arial"/>
                <w:sz w:val="18"/>
                <w:szCs w:val="18"/>
                <w:lang w:eastAsia="es-AR"/>
              </w:rPr>
            </w:pPr>
            <w:r>
              <w:rPr>
                <w:rFonts w:ascii="Arial" w:hAnsi="Arial" w:cs="Arial"/>
                <w:sz w:val="18"/>
                <w:szCs w:val="18"/>
                <w:lang w:eastAsia="es-AR"/>
              </w:rPr>
              <w:t>17.194</w:t>
            </w:r>
          </w:p>
        </w:tc>
      </w:tr>
      <w:tr w:rsidR="006A451F" w:rsidRPr="006A451F" w14:paraId="1097D57F" w14:textId="77777777" w:rsidTr="006A451F">
        <w:trPr>
          <w:trHeight w:val="255"/>
        </w:trPr>
        <w:tc>
          <w:tcPr>
            <w:tcW w:w="7880" w:type="dxa"/>
            <w:tcBorders>
              <w:top w:val="nil"/>
              <w:left w:val="nil"/>
              <w:bottom w:val="nil"/>
              <w:right w:val="nil"/>
            </w:tcBorders>
            <w:shd w:val="clear" w:color="auto" w:fill="auto"/>
            <w:hideMark/>
          </w:tcPr>
          <w:p w14:paraId="32BBC0CA" w14:textId="77777777" w:rsidR="006A451F" w:rsidRPr="006A451F" w:rsidRDefault="006A451F" w:rsidP="006A451F">
            <w:pPr>
              <w:rPr>
                <w:rFonts w:ascii="Arial" w:hAnsi="Arial" w:cs="Arial"/>
                <w:sz w:val="18"/>
                <w:szCs w:val="18"/>
                <w:lang w:eastAsia="es-AR"/>
              </w:rPr>
            </w:pPr>
            <w:r w:rsidRPr="006A451F">
              <w:rPr>
                <w:rFonts w:ascii="Arial" w:hAnsi="Arial" w:cs="Arial"/>
                <w:sz w:val="18"/>
                <w:szCs w:val="18"/>
                <w:lang w:eastAsia="es-AR"/>
              </w:rPr>
              <w:t>Comisiones vinculadas con valores mobiliarios</w:t>
            </w:r>
          </w:p>
        </w:tc>
        <w:tc>
          <w:tcPr>
            <w:tcW w:w="1640" w:type="dxa"/>
            <w:tcBorders>
              <w:top w:val="nil"/>
              <w:left w:val="nil"/>
              <w:bottom w:val="nil"/>
              <w:right w:val="nil"/>
            </w:tcBorders>
            <w:shd w:val="clear" w:color="auto" w:fill="auto"/>
            <w:vAlign w:val="bottom"/>
          </w:tcPr>
          <w:p w14:paraId="67DFD268" w14:textId="4ACF1235" w:rsidR="006A451F" w:rsidRPr="006A451F" w:rsidRDefault="00941A39" w:rsidP="006A451F">
            <w:pPr>
              <w:jc w:val="right"/>
              <w:rPr>
                <w:rFonts w:ascii="Arial" w:hAnsi="Arial" w:cs="Arial"/>
                <w:sz w:val="18"/>
                <w:szCs w:val="18"/>
                <w:lang w:eastAsia="es-AR"/>
              </w:rPr>
            </w:pPr>
            <w:r>
              <w:rPr>
                <w:rFonts w:ascii="Arial" w:hAnsi="Arial" w:cs="Arial"/>
                <w:sz w:val="18"/>
                <w:szCs w:val="18"/>
                <w:lang w:eastAsia="es-AR"/>
              </w:rPr>
              <w:t>7.992</w:t>
            </w:r>
          </w:p>
        </w:tc>
      </w:tr>
      <w:tr w:rsidR="006A451F" w:rsidRPr="006A451F" w14:paraId="6F199F22" w14:textId="77777777" w:rsidTr="006A451F">
        <w:trPr>
          <w:trHeight w:val="255"/>
        </w:trPr>
        <w:tc>
          <w:tcPr>
            <w:tcW w:w="7880" w:type="dxa"/>
            <w:tcBorders>
              <w:top w:val="nil"/>
              <w:left w:val="nil"/>
              <w:bottom w:val="nil"/>
              <w:right w:val="nil"/>
            </w:tcBorders>
            <w:shd w:val="clear" w:color="auto" w:fill="auto"/>
            <w:hideMark/>
          </w:tcPr>
          <w:p w14:paraId="2BE62A53" w14:textId="77777777" w:rsidR="006A451F" w:rsidRPr="006A451F" w:rsidRDefault="006A451F" w:rsidP="006A451F">
            <w:pPr>
              <w:rPr>
                <w:rFonts w:ascii="Arial" w:hAnsi="Arial" w:cs="Arial"/>
                <w:sz w:val="18"/>
                <w:szCs w:val="18"/>
                <w:lang w:eastAsia="es-AR"/>
              </w:rPr>
            </w:pPr>
            <w:r w:rsidRPr="006A451F">
              <w:rPr>
                <w:rFonts w:ascii="Arial" w:hAnsi="Arial" w:cs="Arial"/>
                <w:sz w:val="18"/>
                <w:szCs w:val="18"/>
                <w:lang w:eastAsia="es-AR"/>
              </w:rPr>
              <w:t>Comisiones por gestión de cobranza</w:t>
            </w:r>
          </w:p>
        </w:tc>
        <w:tc>
          <w:tcPr>
            <w:tcW w:w="1640" w:type="dxa"/>
            <w:tcBorders>
              <w:top w:val="nil"/>
              <w:left w:val="nil"/>
              <w:bottom w:val="nil"/>
              <w:right w:val="nil"/>
            </w:tcBorders>
            <w:shd w:val="clear" w:color="auto" w:fill="auto"/>
            <w:vAlign w:val="bottom"/>
          </w:tcPr>
          <w:p w14:paraId="37F28D0B" w14:textId="77777777" w:rsidR="006A451F" w:rsidRPr="006A451F" w:rsidRDefault="006A451F" w:rsidP="006A451F">
            <w:pPr>
              <w:rPr>
                <w:rFonts w:ascii="Arial" w:hAnsi="Arial" w:cs="Arial"/>
                <w:sz w:val="18"/>
                <w:szCs w:val="18"/>
                <w:lang w:eastAsia="es-AR"/>
              </w:rPr>
            </w:pPr>
          </w:p>
        </w:tc>
      </w:tr>
      <w:tr w:rsidR="006A451F" w:rsidRPr="006A451F" w14:paraId="0F3A721B" w14:textId="77777777" w:rsidTr="006A451F">
        <w:trPr>
          <w:trHeight w:val="255"/>
        </w:trPr>
        <w:tc>
          <w:tcPr>
            <w:tcW w:w="7880" w:type="dxa"/>
            <w:tcBorders>
              <w:top w:val="nil"/>
              <w:left w:val="nil"/>
              <w:bottom w:val="nil"/>
              <w:right w:val="nil"/>
            </w:tcBorders>
            <w:shd w:val="clear" w:color="auto" w:fill="auto"/>
            <w:hideMark/>
          </w:tcPr>
          <w:p w14:paraId="44FAC7C6" w14:textId="77777777" w:rsidR="006A451F" w:rsidRPr="006A451F" w:rsidRDefault="006A451F" w:rsidP="006A451F">
            <w:pPr>
              <w:rPr>
                <w:rFonts w:ascii="Arial" w:hAnsi="Arial" w:cs="Arial"/>
                <w:sz w:val="18"/>
                <w:szCs w:val="18"/>
                <w:lang w:eastAsia="es-AR"/>
              </w:rPr>
            </w:pPr>
            <w:r w:rsidRPr="006A451F">
              <w:rPr>
                <w:rFonts w:ascii="Arial" w:hAnsi="Arial" w:cs="Arial"/>
                <w:sz w:val="18"/>
                <w:szCs w:val="18"/>
                <w:lang w:eastAsia="es-AR"/>
              </w:rPr>
              <w:t>Alquiler de cajas de seguridad</w:t>
            </w:r>
          </w:p>
        </w:tc>
        <w:tc>
          <w:tcPr>
            <w:tcW w:w="1640" w:type="dxa"/>
            <w:tcBorders>
              <w:top w:val="nil"/>
              <w:left w:val="nil"/>
              <w:bottom w:val="nil"/>
              <w:right w:val="nil"/>
            </w:tcBorders>
            <w:shd w:val="clear" w:color="auto" w:fill="auto"/>
            <w:vAlign w:val="bottom"/>
          </w:tcPr>
          <w:p w14:paraId="63CECA79" w14:textId="77777777" w:rsidR="006A451F" w:rsidRPr="006A451F" w:rsidRDefault="006A451F" w:rsidP="006A451F">
            <w:pPr>
              <w:rPr>
                <w:rFonts w:ascii="Arial" w:hAnsi="Arial" w:cs="Arial"/>
                <w:sz w:val="18"/>
                <w:szCs w:val="18"/>
                <w:lang w:eastAsia="es-AR"/>
              </w:rPr>
            </w:pPr>
          </w:p>
        </w:tc>
      </w:tr>
      <w:tr w:rsidR="006A451F" w:rsidRPr="006A451F" w14:paraId="18855789" w14:textId="77777777" w:rsidTr="006A451F">
        <w:trPr>
          <w:trHeight w:val="255"/>
        </w:trPr>
        <w:tc>
          <w:tcPr>
            <w:tcW w:w="7880" w:type="dxa"/>
            <w:tcBorders>
              <w:top w:val="nil"/>
              <w:left w:val="nil"/>
              <w:bottom w:val="nil"/>
              <w:right w:val="nil"/>
            </w:tcBorders>
            <w:shd w:val="clear" w:color="auto" w:fill="auto"/>
            <w:hideMark/>
          </w:tcPr>
          <w:p w14:paraId="503829BC" w14:textId="77777777" w:rsidR="006A451F" w:rsidRPr="006A451F" w:rsidRDefault="006A451F" w:rsidP="006A451F">
            <w:pPr>
              <w:rPr>
                <w:rFonts w:ascii="Arial" w:hAnsi="Arial" w:cs="Arial"/>
                <w:sz w:val="18"/>
                <w:szCs w:val="18"/>
                <w:lang w:eastAsia="es-AR"/>
              </w:rPr>
            </w:pPr>
            <w:r w:rsidRPr="006A451F">
              <w:rPr>
                <w:rFonts w:ascii="Arial" w:hAnsi="Arial" w:cs="Arial"/>
                <w:sz w:val="18"/>
                <w:szCs w:val="18"/>
                <w:lang w:eastAsia="es-AR"/>
              </w:rPr>
              <w:t>Comisiones por operaciones de exterior y cambio</w:t>
            </w:r>
          </w:p>
        </w:tc>
        <w:tc>
          <w:tcPr>
            <w:tcW w:w="1640" w:type="dxa"/>
            <w:tcBorders>
              <w:top w:val="nil"/>
              <w:left w:val="nil"/>
              <w:bottom w:val="nil"/>
              <w:right w:val="nil"/>
            </w:tcBorders>
            <w:shd w:val="clear" w:color="auto" w:fill="auto"/>
            <w:vAlign w:val="bottom"/>
          </w:tcPr>
          <w:p w14:paraId="15A5E66B" w14:textId="7BB01ED8" w:rsidR="006A451F" w:rsidRPr="006A451F" w:rsidRDefault="00941A39" w:rsidP="006A451F">
            <w:pPr>
              <w:jc w:val="right"/>
              <w:rPr>
                <w:rFonts w:ascii="Arial" w:hAnsi="Arial" w:cs="Arial"/>
                <w:sz w:val="18"/>
                <w:szCs w:val="18"/>
                <w:lang w:eastAsia="es-AR"/>
              </w:rPr>
            </w:pPr>
            <w:r>
              <w:rPr>
                <w:rFonts w:ascii="Arial" w:hAnsi="Arial" w:cs="Arial"/>
                <w:sz w:val="18"/>
                <w:szCs w:val="18"/>
                <w:lang w:eastAsia="es-AR"/>
              </w:rPr>
              <w:t>284.117</w:t>
            </w:r>
          </w:p>
        </w:tc>
      </w:tr>
      <w:tr w:rsidR="006A451F" w:rsidRPr="006A451F" w14:paraId="2AAF5B07" w14:textId="77777777" w:rsidTr="006A451F">
        <w:trPr>
          <w:trHeight w:val="255"/>
        </w:trPr>
        <w:tc>
          <w:tcPr>
            <w:tcW w:w="7880" w:type="dxa"/>
            <w:tcBorders>
              <w:top w:val="nil"/>
              <w:left w:val="nil"/>
              <w:bottom w:val="nil"/>
              <w:right w:val="nil"/>
            </w:tcBorders>
            <w:shd w:val="clear" w:color="auto" w:fill="auto"/>
            <w:hideMark/>
          </w:tcPr>
          <w:p w14:paraId="4E7BF33E" w14:textId="77777777" w:rsidR="006A451F" w:rsidRPr="006A451F" w:rsidRDefault="006A451F" w:rsidP="006A451F">
            <w:pPr>
              <w:rPr>
                <w:rFonts w:ascii="Arial" w:hAnsi="Arial" w:cs="Arial"/>
                <w:sz w:val="18"/>
                <w:szCs w:val="18"/>
                <w:lang w:eastAsia="es-AR"/>
              </w:rPr>
            </w:pPr>
            <w:r w:rsidRPr="006A451F">
              <w:rPr>
                <w:rFonts w:ascii="Arial" w:hAnsi="Arial" w:cs="Arial"/>
                <w:sz w:val="18"/>
                <w:szCs w:val="18"/>
                <w:lang w:eastAsia="es-AR"/>
              </w:rPr>
              <w:t>Otros</w:t>
            </w:r>
          </w:p>
        </w:tc>
        <w:tc>
          <w:tcPr>
            <w:tcW w:w="1640" w:type="dxa"/>
            <w:tcBorders>
              <w:top w:val="nil"/>
              <w:left w:val="nil"/>
              <w:bottom w:val="nil"/>
              <w:right w:val="nil"/>
            </w:tcBorders>
            <w:shd w:val="clear" w:color="auto" w:fill="auto"/>
            <w:vAlign w:val="bottom"/>
          </w:tcPr>
          <w:p w14:paraId="042F6E83" w14:textId="5EA2D6E2" w:rsidR="006A451F" w:rsidRPr="006A451F" w:rsidRDefault="00941A39" w:rsidP="006A451F">
            <w:pPr>
              <w:jc w:val="right"/>
              <w:rPr>
                <w:rFonts w:ascii="Arial" w:hAnsi="Arial" w:cs="Arial"/>
                <w:sz w:val="18"/>
                <w:szCs w:val="18"/>
                <w:lang w:eastAsia="es-AR"/>
              </w:rPr>
            </w:pPr>
            <w:r>
              <w:rPr>
                <w:rFonts w:ascii="Arial" w:hAnsi="Arial" w:cs="Arial"/>
                <w:sz w:val="18"/>
                <w:szCs w:val="18"/>
                <w:lang w:eastAsia="es-AR"/>
              </w:rPr>
              <w:t>400.497</w:t>
            </w:r>
          </w:p>
        </w:tc>
      </w:tr>
      <w:tr w:rsidR="006A451F" w:rsidRPr="006A451F" w14:paraId="07C0B620" w14:textId="77777777" w:rsidTr="006A451F">
        <w:trPr>
          <w:trHeight w:val="255"/>
        </w:trPr>
        <w:tc>
          <w:tcPr>
            <w:tcW w:w="7880" w:type="dxa"/>
            <w:tcBorders>
              <w:top w:val="nil"/>
              <w:left w:val="nil"/>
              <w:bottom w:val="nil"/>
              <w:right w:val="nil"/>
            </w:tcBorders>
            <w:shd w:val="clear" w:color="auto" w:fill="auto"/>
            <w:hideMark/>
          </w:tcPr>
          <w:p w14:paraId="2443E14E" w14:textId="77777777" w:rsidR="006A451F" w:rsidRPr="006A451F" w:rsidRDefault="006A451F" w:rsidP="006A451F">
            <w:pPr>
              <w:jc w:val="right"/>
              <w:rPr>
                <w:rFonts w:ascii="Arial" w:hAnsi="Arial" w:cs="Arial"/>
                <w:sz w:val="18"/>
                <w:szCs w:val="18"/>
                <w:lang w:eastAsia="es-AR"/>
              </w:rPr>
            </w:pPr>
          </w:p>
        </w:tc>
        <w:tc>
          <w:tcPr>
            <w:tcW w:w="1640" w:type="dxa"/>
            <w:tcBorders>
              <w:top w:val="nil"/>
              <w:left w:val="nil"/>
              <w:bottom w:val="nil"/>
              <w:right w:val="nil"/>
            </w:tcBorders>
            <w:shd w:val="clear" w:color="auto" w:fill="auto"/>
            <w:vAlign w:val="bottom"/>
          </w:tcPr>
          <w:p w14:paraId="5B2724EE" w14:textId="77777777" w:rsidR="006A451F" w:rsidRPr="006A451F" w:rsidRDefault="006A451F" w:rsidP="006A451F">
            <w:pPr>
              <w:rPr>
                <w:sz w:val="18"/>
                <w:szCs w:val="18"/>
                <w:lang w:eastAsia="es-AR"/>
              </w:rPr>
            </w:pPr>
          </w:p>
        </w:tc>
      </w:tr>
      <w:tr w:rsidR="006A451F" w:rsidRPr="006A451F" w14:paraId="38080DCE" w14:textId="77777777" w:rsidTr="00941A39">
        <w:trPr>
          <w:trHeight w:val="255"/>
        </w:trPr>
        <w:tc>
          <w:tcPr>
            <w:tcW w:w="7880" w:type="dxa"/>
            <w:tcBorders>
              <w:top w:val="nil"/>
              <w:left w:val="nil"/>
              <w:bottom w:val="nil"/>
              <w:right w:val="nil"/>
            </w:tcBorders>
            <w:shd w:val="clear" w:color="auto" w:fill="auto"/>
            <w:hideMark/>
          </w:tcPr>
          <w:p w14:paraId="0717A02D" w14:textId="77777777" w:rsidR="006A451F" w:rsidRPr="006A451F" w:rsidRDefault="006A451F" w:rsidP="006A451F">
            <w:pPr>
              <w:rPr>
                <w:rFonts w:ascii="Arial" w:hAnsi="Arial" w:cs="Arial"/>
                <w:b/>
                <w:bCs/>
                <w:sz w:val="18"/>
                <w:szCs w:val="18"/>
                <w:lang w:eastAsia="es-AR"/>
              </w:rPr>
            </w:pPr>
            <w:r w:rsidRPr="006A451F">
              <w:rPr>
                <w:rFonts w:ascii="Arial" w:hAnsi="Arial" w:cs="Arial"/>
                <w:b/>
                <w:bCs/>
                <w:sz w:val="18"/>
                <w:szCs w:val="18"/>
                <w:lang w:eastAsia="es-AR"/>
              </w:rPr>
              <w:t>TOTAL</w:t>
            </w:r>
          </w:p>
        </w:tc>
        <w:tc>
          <w:tcPr>
            <w:tcW w:w="1640" w:type="dxa"/>
            <w:tcBorders>
              <w:top w:val="single" w:sz="4" w:space="0" w:color="auto"/>
              <w:left w:val="nil"/>
              <w:bottom w:val="single" w:sz="4" w:space="0" w:color="auto"/>
              <w:right w:val="nil"/>
            </w:tcBorders>
            <w:shd w:val="clear" w:color="auto" w:fill="auto"/>
            <w:vAlign w:val="center"/>
          </w:tcPr>
          <w:p w14:paraId="30689AD1" w14:textId="4904F73A" w:rsidR="006A451F" w:rsidRPr="006A451F" w:rsidRDefault="00941A39" w:rsidP="00941A39">
            <w:pPr>
              <w:jc w:val="right"/>
              <w:rPr>
                <w:rFonts w:ascii="Arial" w:hAnsi="Arial" w:cs="Arial"/>
                <w:b/>
                <w:bCs/>
                <w:sz w:val="18"/>
                <w:szCs w:val="18"/>
                <w:lang w:eastAsia="es-AR"/>
              </w:rPr>
            </w:pPr>
            <w:r>
              <w:rPr>
                <w:rFonts w:ascii="Arial" w:hAnsi="Arial" w:cs="Arial"/>
                <w:b/>
                <w:bCs/>
                <w:sz w:val="18"/>
                <w:szCs w:val="18"/>
                <w:lang w:eastAsia="es-AR"/>
              </w:rPr>
              <w:t>6.264.169</w:t>
            </w:r>
          </w:p>
        </w:tc>
      </w:tr>
      <w:tr w:rsidR="006A451F" w:rsidRPr="006A451F" w14:paraId="3FA4353D" w14:textId="77777777" w:rsidTr="006A451F">
        <w:trPr>
          <w:trHeight w:val="255"/>
        </w:trPr>
        <w:tc>
          <w:tcPr>
            <w:tcW w:w="7880" w:type="dxa"/>
            <w:tcBorders>
              <w:top w:val="nil"/>
              <w:left w:val="nil"/>
              <w:bottom w:val="nil"/>
              <w:right w:val="nil"/>
            </w:tcBorders>
            <w:shd w:val="clear" w:color="auto" w:fill="auto"/>
            <w:hideMark/>
          </w:tcPr>
          <w:p w14:paraId="2806756C" w14:textId="77777777" w:rsidR="006A451F" w:rsidRPr="006A451F" w:rsidRDefault="006A451F" w:rsidP="006A451F">
            <w:pPr>
              <w:jc w:val="right"/>
              <w:rPr>
                <w:rFonts w:ascii="Arial" w:hAnsi="Arial" w:cs="Arial"/>
                <w:b/>
                <w:bCs/>
                <w:sz w:val="18"/>
                <w:szCs w:val="18"/>
                <w:lang w:eastAsia="es-AR"/>
              </w:rPr>
            </w:pPr>
          </w:p>
        </w:tc>
        <w:tc>
          <w:tcPr>
            <w:tcW w:w="1640" w:type="dxa"/>
            <w:tcBorders>
              <w:top w:val="nil"/>
              <w:left w:val="nil"/>
              <w:bottom w:val="nil"/>
              <w:right w:val="nil"/>
            </w:tcBorders>
            <w:shd w:val="clear" w:color="auto" w:fill="auto"/>
            <w:vAlign w:val="bottom"/>
            <w:hideMark/>
          </w:tcPr>
          <w:p w14:paraId="1AD3850E" w14:textId="77777777" w:rsidR="006A451F" w:rsidRPr="006A451F" w:rsidRDefault="006A451F" w:rsidP="006A451F">
            <w:pPr>
              <w:rPr>
                <w:sz w:val="18"/>
                <w:szCs w:val="18"/>
                <w:lang w:eastAsia="es-AR"/>
              </w:rPr>
            </w:pPr>
          </w:p>
        </w:tc>
      </w:tr>
      <w:tr w:rsidR="006A451F" w:rsidRPr="006A451F" w14:paraId="7B5D4F7C" w14:textId="77777777" w:rsidTr="006A451F">
        <w:trPr>
          <w:trHeight w:val="255"/>
        </w:trPr>
        <w:tc>
          <w:tcPr>
            <w:tcW w:w="7880" w:type="dxa"/>
            <w:tcBorders>
              <w:top w:val="nil"/>
              <w:left w:val="nil"/>
              <w:bottom w:val="nil"/>
              <w:right w:val="nil"/>
            </w:tcBorders>
            <w:shd w:val="clear" w:color="auto" w:fill="auto"/>
            <w:hideMark/>
          </w:tcPr>
          <w:p w14:paraId="199B461F" w14:textId="77777777" w:rsidR="006A451F" w:rsidRPr="006A451F" w:rsidRDefault="006A451F" w:rsidP="006A451F">
            <w:pPr>
              <w:rPr>
                <w:sz w:val="18"/>
                <w:szCs w:val="18"/>
                <w:lang w:eastAsia="es-AR"/>
              </w:rPr>
            </w:pPr>
          </w:p>
        </w:tc>
        <w:tc>
          <w:tcPr>
            <w:tcW w:w="1640" w:type="dxa"/>
            <w:tcBorders>
              <w:top w:val="nil"/>
              <w:left w:val="nil"/>
              <w:bottom w:val="nil"/>
              <w:right w:val="nil"/>
            </w:tcBorders>
            <w:shd w:val="clear" w:color="auto" w:fill="auto"/>
            <w:vAlign w:val="bottom"/>
            <w:hideMark/>
          </w:tcPr>
          <w:p w14:paraId="74DDC862" w14:textId="77777777" w:rsidR="006A451F" w:rsidRPr="006A451F" w:rsidRDefault="006A451F" w:rsidP="006A451F">
            <w:pPr>
              <w:rPr>
                <w:sz w:val="18"/>
                <w:szCs w:val="18"/>
                <w:lang w:eastAsia="es-AR"/>
              </w:rPr>
            </w:pPr>
          </w:p>
        </w:tc>
      </w:tr>
      <w:tr w:rsidR="006A451F" w:rsidRPr="006A451F" w14:paraId="7DEF8195" w14:textId="77777777" w:rsidTr="006A451F">
        <w:trPr>
          <w:trHeight w:val="510"/>
        </w:trPr>
        <w:tc>
          <w:tcPr>
            <w:tcW w:w="7880" w:type="dxa"/>
            <w:tcBorders>
              <w:top w:val="single" w:sz="4" w:space="0" w:color="auto"/>
              <w:left w:val="single" w:sz="4" w:space="0" w:color="auto"/>
              <w:bottom w:val="single" w:sz="4" w:space="0" w:color="auto"/>
              <w:right w:val="single" w:sz="4" w:space="0" w:color="auto"/>
            </w:tcBorders>
            <w:shd w:val="clear" w:color="000000" w:fill="B2B2B2"/>
            <w:vAlign w:val="center"/>
            <w:hideMark/>
          </w:tcPr>
          <w:p w14:paraId="2525E7D0" w14:textId="77777777" w:rsidR="006A451F" w:rsidRPr="006A451F" w:rsidRDefault="006A451F" w:rsidP="006A451F">
            <w:pPr>
              <w:rPr>
                <w:rFonts w:ascii="Arial" w:hAnsi="Arial" w:cs="Arial"/>
                <w:b/>
                <w:bCs/>
                <w:sz w:val="18"/>
                <w:szCs w:val="18"/>
                <w:lang w:eastAsia="es-AR"/>
              </w:rPr>
            </w:pPr>
            <w:r w:rsidRPr="006A451F">
              <w:rPr>
                <w:rFonts w:ascii="Arial" w:hAnsi="Arial" w:cs="Arial"/>
                <w:b/>
                <w:bCs/>
                <w:sz w:val="18"/>
                <w:szCs w:val="18"/>
                <w:lang w:eastAsia="es-AR"/>
              </w:rPr>
              <w:t>Gastos por comisiones</w:t>
            </w:r>
          </w:p>
        </w:tc>
        <w:tc>
          <w:tcPr>
            <w:tcW w:w="1640" w:type="dxa"/>
            <w:tcBorders>
              <w:top w:val="single" w:sz="4" w:space="0" w:color="auto"/>
              <w:left w:val="nil"/>
              <w:bottom w:val="single" w:sz="4" w:space="0" w:color="auto"/>
              <w:right w:val="single" w:sz="4" w:space="0" w:color="auto"/>
            </w:tcBorders>
            <w:shd w:val="clear" w:color="000000" w:fill="B2B2B2"/>
            <w:hideMark/>
          </w:tcPr>
          <w:p w14:paraId="3A3AD44E" w14:textId="77777777" w:rsidR="006A451F" w:rsidRPr="006A451F" w:rsidRDefault="006A451F" w:rsidP="006A451F">
            <w:pPr>
              <w:jc w:val="center"/>
              <w:rPr>
                <w:rFonts w:ascii="Arial" w:hAnsi="Arial" w:cs="Arial"/>
                <w:b/>
                <w:bCs/>
                <w:sz w:val="18"/>
                <w:szCs w:val="18"/>
                <w:lang w:eastAsia="es-AR"/>
              </w:rPr>
            </w:pPr>
            <w:r w:rsidRPr="006A451F">
              <w:rPr>
                <w:rFonts w:ascii="Arial" w:hAnsi="Arial" w:cs="Arial"/>
                <w:b/>
                <w:bCs/>
                <w:sz w:val="18"/>
                <w:szCs w:val="18"/>
                <w:lang w:eastAsia="es-AR"/>
              </w:rPr>
              <w:t>Resultado del ejercicio</w:t>
            </w:r>
          </w:p>
        </w:tc>
      </w:tr>
      <w:tr w:rsidR="006A451F" w:rsidRPr="006A451F" w14:paraId="13F64829" w14:textId="77777777" w:rsidTr="006A451F">
        <w:trPr>
          <w:trHeight w:val="255"/>
        </w:trPr>
        <w:tc>
          <w:tcPr>
            <w:tcW w:w="7880" w:type="dxa"/>
            <w:tcBorders>
              <w:top w:val="nil"/>
              <w:left w:val="nil"/>
              <w:bottom w:val="nil"/>
              <w:right w:val="nil"/>
            </w:tcBorders>
            <w:shd w:val="clear" w:color="auto" w:fill="auto"/>
            <w:hideMark/>
          </w:tcPr>
          <w:p w14:paraId="684B3BBE" w14:textId="77777777" w:rsidR="006A451F" w:rsidRPr="006A451F" w:rsidRDefault="006A451F" w:rsidP="006A451F">
            <w:pPr>
              <w:jc w:val="center"/>
              <w:rPr>
                <w:rFonts w:ascii="Arial" w:hAnsi="Arial" w:cs="Arial"/>
                <w:b/>
                <w:bCs/>
                <w:sz w:val="18"/>
                <w:szCs w:val="18"/>
                <w:lang w:eastAsia="es-AR"/>
              </w:rPr>
            </w:pPr>
          </w:p>
        </w:tc>
        <w:tc>
          <w:tcPr>
            <w:tcW w:w="1640" w:type="dxa"/>
            <w:tcBorders>
              <w:top w:val="nil"/>
              <w:left w:val="nil"/>
              <w:bottom w:val="nil"/>
              <w:right w:val="nil"/>
            </w:tcBorders>
            <w:shd w:val="clear" w:color="auto" w:fill="auto"/>
            <w:hideMark/>
          </w:tcPr>
          <w:p w14:paraId="293FE9BA" w14:textId="77777777" w:rsidR="006A451F" w:rsidRPr="006A451F" w:rsidRDefault="006A451F" w:rsidP="006A451F">
            <w:pPr>
              <w:rPr>
                <w:sz w:val="18"/>
                <w:szCs w:val="18"/>
                <w:lang w:eastAsia="es-AR"/>
              </w:rPr>
            </w:pPr>
          </w:p>
        </w:tc>
      </w:tr>
      <w:tr w:rsidR="006A451F" w:rsidRPr="006A451F" w14:paraId="1CC10F6F" w14:textId="77777777" w:rsidTr="006A451F">
        <w:trPr>
          <w:trHeight w:val="255"/>
        </w:trPr>
        <w:tc>
          <w:tcPr>
            <w:tcW w:w="7880" w:type="dxa"/>
            <w:tcBorders>
              <w:top w:val="nil"/>
              <w:left w:val="nil"/>
              <w:bottom w:val="nil"/>
              <w:right w:val="nil"/>
            </w:tcBorders>
            <w:shd w:val="clear" w:color="auto" w:fill="auto"/>
            <w:hideMark/>
          </w:tcPr>
          <w:p w14:paraId="6A3AFA39" w14:textId="77777777" w:rsidR="006A451F" w:rsidRPr="006A451F" w:rsidRDefault="006A451F" w:rsidP="006A451F">
            <w:pPr>
              <w:rPr>
                <w:rFonts w:ascii="Arial" w:hAnsi="Arial" w:cs="Arial"/>
                <w:sz w:val="18"/>
                <w:szCs w:val="18"/>
                <w:lang w:eastAsia="es-AR"/>
              </w:rPr>
            </w:pPr>
            <w:r w:rsidRPr="006A451F">
              <w:rPr>
                <w:rFonts w:ascii="Arial" w:hAnsi="Arial" w:cs="Arial"/>
                <w:sz w:val="18"/>
                <w:szCs w:val="18"/>
                <w:lang w:eastAsia="es-AR"/>
              </w:rPr>
              <w:t>Servicios de administración por transferencia de cartera</w:t>
            </w:r>
          </w:p>
        </w:tc>
        <w:tc>
          <w:tcPr>
            <w:tcW w:w="1640" w:type="dxa"/>
            <w:tcBorders>
              <w:top w:val="nil"/>
              <w:left w:val="nil"/>
              <w:bottom w:val="nil"/>
              <w:right w:val="nil"/>
            </w:tcBorders>
            <w:shd w:val="clear" w:color="auto" w:fill="auto"/>
            <w:vAlign w:val="bottom"/>
            <w:hideMark/>
          </w:tcPr>
          <w:p w14:paraId="739E58C9" w14:textId="77777777" w:rsidR="006A451F" w:rsidRPr="006A451F" w:rsidRDefault="006A451F" w:rsidP="006A451F">
            <w:pPr>
              <w:rPr>
                <w:rFonts w:ascii="Arial" w:hAnsi="Arial" w:cs="Arial"/>
                <w:sz w:val="18"/>
                <w:szCs w:val="18"/>
                <w:lang w:eastAsia="es-AR"/>
              </w:rPr>
            </w:pPr>
          </w:p>
        </w:tc>
      </w:tr>
      <w:tr w:rsidR="006A451F" w:rsidRPr="006A451F" w14:paraId="27580C85" w14:textId="77777777" w:rsidTr="006A451F">
        <w:trPr>
          <w:trHeight w:val="255"/>
        </w:trPr>
        <w:tc>
          <w:tcPr>
            <w:tcW w:w="7880" w:type="dxa"/>
            <w:tcBorders>
              <w:top w:val="nil"/>
              <w:left w:val="nil"/>
              <w:bottom w:val="nil"/>
              <w:right w:val="nil"/>
            </w:tcBorders>
            <w:shd w:val="clear" w:color="auto" w:fill="auto"/>
            <w:hideMark/>
          </w:tcPr>
          <w:p w14:paraId="3579C4E8" w14:textId="77777777" w:rsidR="006A451F" w:rsidRPr="006A451F" w:rsidRDefault="006A451F" w:rsidP="006A451F">
            <w:pPr>
              <w:rPr>
                <w:rFonts w:ascii="Arial" w:hAnsi="Arial" w:cs="Arial"/>
                <w:sz w:val="18"/>
                <w:szCs w:val="18"/>
                <w:lang w:eastAsia="es-AR"/>
              </w:rPr>
            </w:pPr>
            <w:r w:rsidRPr="006A451F">
              <w:rPr>
                <w:rFonts w:ascii="Arial" w:hAnsi="Arial" w:cs="Arial"/>
                <w:sz w:val="18"/>
                <w:szCs w:val="18"/>
                <w:lang w:eastAsia="es-AR"/>
              </w:rPr>
              <w:t>Comisiones vinculadas con operaciones con títulos valores</w:t>
            </w:r>
          </w:p>
        </w:tc>
        <w:tc>
          <w:tcPr>
            <w:tcW w:w="1640" w:type="dxa"/>
            <w:tcBorders>
              <w:top w:val="nil"/>
              <w:left w:val="nil"/>
              <w:bottom w:val="nil"/>
              <w:right w:val="nil"/>
            </w:tcBorders>
            <w:shd w:val="clear" w:color="auto" w:fill="auto"/>
            <w:vAlign w:val="bottom"/>
          </w:tcPr>
          <w:p w14:paraId="1B83B8DF" w14:textId="1C798D2E" w:rsidR="006A451F" w:rsidRPr="006A451F" w:rsidRDefault="00941A39" w:rsidP="006A451F">
            <w:pPr>
              <w:jc w:val="right"/>
              <w:rPr>
                <w:rFonts w:ascii="Arial" w:hAnsi="Arial" w:cs="Arial"/>
                <w:sz w:val="18"/>
                <w:szCs w:val="18"/>
                <w:lang w:eastAsia="es-AR"/>
              </w:rPr>
            </w:pPr>
            <w:r>
              <w:rPr>
                <w:rFonts w:ascii="Arial" w:hAnsi="Arial" w:cs="Arial"/>
                <w:sz w:val="18"/>
                <w:szCs w:val="18"/>
                <w:lang w:eastAsia="es-AR"/>
              </w:rPr>
              <w:t>-19.763</w:t>
            </w:r>
          </w:p>
        </w:tc>
      </w:tr>
      <w:tr w:rsidR="006A451F" w:rsidRPr="006A451F" w14:paraId="2221CFBB" w14:textId="77777777" w:rsidTr="006A451F">
        <w:trPr>
          <w:trHeight w:val="255"/>
        </w:trPr>
        <w:tc>
          <w:tcPr>
            <w:tcW w:w="7880" w:type="dxa"/>
            <w:tcBorders>
              <w:top w:val="nil"/>
              <w:left w:val="nil"/>
              <w:bottom w:val="nil"/>
              <w:right w:val="nil"/>
            </w:tcBorders>
            <w:shd w:val="clear" w:color="auto" w:fill="auto"/>
            <w:hideMark/>
          </w:tcPr>
          <w:p w14:paraId="77E5050F" w14:textId="77777777" w:rsidR="006A451F" w:rsidRPr="006A451F" w:rsidRDefault="006A451F" w:rsidP="006A451F">
            <w:pPr>
              <w:rPr>
                <w:rFonts w:ascii="Arial" w:hAnsi="Arial" w:cs="Arial"/>
                <w:sz w:val="18"/>
                <w:szCs w:val="18"/>
                <w:lang w:eastAsia="es-AR"/>
              </w:rPr>
            </w:pPr>
            <w:r w:rsidRPr="006A451F">
              <w:rPr>
                <w:rFonts w:ascii="Arial" w:hAnsi="Arial" w:cs="Arial"/>
                <w:sz w:val="18"/>
                <w:szCs w:val="18"/>
                <w:lang w:eastAsia="es-AR"/>
              </w:rPr>
              <w:t>Otros</w:t>
            </w:r>
          </w:p>
        </w:tc>
        <w:tc>
          <w:tcPr>
            <w:tcW w:w="1640" w:type="dxa"/>
            <w:tcBorders>
              <w:top w:val="nil"/>
              <w:left w:val="nil"/>
              <w:bottom w:val="nil"/>
              <w:right w:val="nil"/>
            </w:tcBorders>
            <w:shd w:val="clear" w:color="auto" w:fill="auto"/>
            <w:vAlign w:val="bottom"/>
          </w:tcPr>
          <w:p w14:paraId="27FFF9E0" w14:textId="3835E037" w:rsidR="006A451F" w:rsidRPr="006A451F" w:rsidRDefault="00941A39" w:rsidP="006A451F">
            <w:pPr>
              <w:jc w:val="right"/>
              <w:rPr>
                <w:rFonts w:ascii="Arial" w:hAnsi="Arial" w:cs="Arial"/>
                <w:sz w:val="18"/>
                <w:szCs w:val="18"/>
                <w:lang w:eastAsia="es-AR"/>
              </w:rPr>
            </w:pPr>
            <w:r>
              <w:rPr>
                <w:rFonts w:ascii="Arial" w:hAnsi="Arial" w:cs="Arial"/>
                <w:sz w:val="18"/>
                <w:szCs w:val="18"/>
                <w:lang w:eastAsia="es-AR"/>
              </w:rPr>
              <w:t>-2.045.036</w:t>
            </w:r>
          </w:p>
        </w:tc>
      </w:tr>
      <w:tr w:rsidR="006A451F" w:rsidRPr="006A451F" w14:paraId="03C1A812" w14:textId="77777777" w:rsidTr="006A451F">
        <w:trPr>
          <w:trHeight w:val="255"/>
        </w:trPr>
        <w:tc>
          <w:tcPr>
            <w:tcW w:w="7880" w:type="dxa"/>
            <w:tcBorders>
              <w:top w:val="nil"/>
              <w:left w:val="nil"/>
              <w:bottom w:val="nil"/>
              <w:right w:val="nil"/>
            </w:tcBorders>
            <w:shd w:val="clear" w:color="auto" w:fill="auto"/>
            <w:hideMark/>
          </w:tcPr>
          <w:p w14:paraId="062B0C1C" w14:textId="77777777" w:rsidR="006A451F" w:rsidRPr="006A451F" w:rsidRDefault="006A451F" w:rsidP="006A451F">
            <w:pPr>
              <w:jc w:val="right"/>
              <w:rPr>
                <w:rFonts w:ascii="Arial" w:hAnsi="Arial" w:cs="Arial"/>
                <w:sz w:val="18"/>
                <w:szCs w:val="18"/>
                <w:lang w:eastAsia="es-AR"/>
              </w:rPr>
            </w:pPr>
          </w:p>
        </w:tc>
        <w:tc>
          <w:tcPr>
            <w:tcW w:w="1640" w:type="dxa"/>
            <w:tcBorders>
              <w:top w:val="nil"/>
              <w:left w:val="nil"/>
              <w:bottom w:val="nil"/>
              <w:right w:val="nil"/>
            </w:tcBorders>
            <w:shd w:val="clear" w:color="auto" w:fill="auto"/>
            <w:vAlign w:val="bottom"/>
          </w:tcPr>
          <w:p w14:paraId="3C7C331D" w14:textId="77777777" w:rsidR="006A451F" w:rsidRPr="006A451F" w:rsidRDefault="006A451F" w:rsidP="006A451F">
            <w:pPr>
              <w:rPr>
                <w:sz w:val="18"/>
                <w:szCs w:val="18"/>
                <w:lang w:eastAsia="es-AR"/>
              </w:rPr>
            </w:pPr>
          </w:p>
        </w:tc>
      </w:tr>
      <w:tr w:rsidR="006A451F" w:rsidRPr="006A451F" w14:paraId="120C7BA4" w14:textId="77777777" w:rsidTr="00941A39">
        <w:trPr>
          <w:trHeight w:val="255"/>
        </w:trPr>
        <w:tc>
          <w:tcPr>
            <w:tcW w:w="7880" w:type="dxa"/>
            <w:tcBorders>
              <w:top w:val="nil"/>
              <w:left w:val="nil"/>
              <w:bottom w:val="nil"/>
              <w:right w:val="nil"/>
            </w:tcBorders>
            <w:shd w:val="clear" w:color="auto" w:fill="auto"/>
            <w:hideMark/>
          </w:tcPr>
          <w:p w14:paraId="3759676C" w14:textId="77777777" w:rsidR="006A451F" w:rsidRPr="006A451F" w:rsidRDefault="006A451F" w:rsidP="006A451F">
            <w:pPr>
              <w:rPr>
                <w:rFonts w:ascii="Arial" w:hAnsi="Arial" w:cs="Arial"/>
                <w:b/>
                <w:bCs/>
                <w:sz w:val="18"/>
                <w:szCs w:val="18"/>
                <w:lang w:eastAsia="es-AR"/>
              </w:rPr>
            </w:pPr>
            <w:r w:rsidRPr="006A451F">
              <w:rPr>
                <w:rFonts w:ascii="Arial" w:hAnsi="Arial" w:cs="Arial"/>
                <w:b/>
                <w:bCs/>
                <w:sz w:val="18"/>
                <w:szCs w:val="18"/>
                <w:lang w:eastAsia="es-AR"/>
              </w:rPr>
              <w:t>TOTAL</w:t>
            </w:r>
          </w:p>
        </w:tc>
        <w:tc>
          <w:tcPr>
            <w:tcW w:w="1640" w:type="dxa"/>
            <w:tcBorders>
              <w:top w:val="single" w:sz="4" w:space="0" w:color="auto"/>
              <w:left w:val="nil"/>
              <w:bottom w:val="single" w:sz="4" w:space="0" w:color="auto"/>
              <w:right w:val="nil"/>
            </w:tcBorders>
            <w:shd w:val="clear" w:color="auto" w:fill="auto"/>
            <w:vAlign w:val="center"/>
          </w:tcPr>
          <w:p w14:paraId="7BE16C81" w14:textId="4E29762C" w:rsidR="006A451F" w:rsidRPr="006A451F" w:rsidRDefault="00941A39" w:rsidP="00941A39">
            <w:pPr>
              <w:jc w:val="right"/>
              <w:rPr>
                <w:rFonts w:ascii="Arial" w:hAnsi="Arial" w:cs="Arial"/>
                <w:b/>
                <w:bCs/>
                <w:sz w:val="18"/>
                <w:szCs w:val="18"/>
                <w:lang w:eastAsia="es-AR"/>
              </w:rPr>
            </w:pPr>
            <w:r>
              <w:rPr>
                <w:rFonts w:ascii="Arial" w:hAnsi="Arial" w:cs="Arial"/>
                <w:b/>
                <w:bCs/>
                <w:sz w:val="18"/>
                <w:szCs w:val="18"/>
                <w:lang w:eastAsia="es-AR"/>
              </w:rPr>
              <w:t>-2.064.799</w:t>
            </w:r>
          </w:p>
        </w:tc>
      </w:tr>
    </w:tbl>
    <w:p w14:paraId="55B00305" w14:textId="77777777" w:rsidR="00572B51" w:rsidRDefault="00572B51" w:rsidP="00B5057C">
      <w:pPr>
        <w:rPr>
          <w:sz w:val="20"/>
          <w:lang w:eastAsia="es-AR"/>
        </w:rPr>
      </w:pPr>
    </w:p>
    <w:p w14:paraId="3017EA86" w14:textId="77777777" w:rsidR="00501443" w:rsidRDefault="00501443" w:rsidP="00B5057C">
      <w:pPr>
        <w:rPr>
          <w:sz w:val="20"/>
          <w:lang w:eastAsia="es-AR"/>
        </w:rPr>
      </w:pPr>
    </w:p>
    <w:p w14:paraId="360DF651" w14:textId="493FCFE9" w:rsidR="00122C95" w:rsidRDefault="00122C95" w:rsidP="00B5057C">
      <w:pPr>
        <w:rPr>
          <w:sz w:val="20"/>
          <w:lang w:eastAsia="es-AR"/>
        </w:rPr>
        <w:sectPr w:rsidR="00122C95" w:rsidSect="00DA660B">
          <w:headerReference w:type="default" r:id="rId35"/>
          <w:pgSz w:w="11907" w:h="16839" w:code="9"/>
          <w:pgMar w:top="1418" w:right="1701" w:bottom="1418" w:left="1134" w:header="567" w:footer="0" w:gutter="0"/>
          <w:cols w:space="708"/>
          <w:docGrid w:linePitch="360"/>
        </w:sectPr>
      </w:pPr>
    </w:p>
    <w:p w14:paraId="31EE6321" w14:textId="1184FDEC" w:rsidR="00910815" w:rsidRDefault="00910815" w:rsidP="00B5057C">
      <w:pPr>
        <w:rPr>
          <w:sz w:val="20"/>
          <w:lang w:eastAsia="es-AR"/>
        </w:rPr>
      </w:pPr>
    </w:p>
    <w:tbl>
      <w:tblPr>
        <w:tblW w:w="9443" w:type="dxa"/>
        <w:jc w:val="center"/>
        <w:tblLayout w:type="fixed"/>
        <w:tblCellMar>
          <w:left w:w="70" w:type="dxa"/>
          <w:right w:w="70" w:type="dxa"/>
        </w:tblCellMar>
        <w:tblLook w:val="04A0" w:firstRow="1" w:lastRow="0" w:firstColumn="1" w:lastColumn="0" w:noHBand="0" w:noVBand="1"/>
      </w:tblPr>
      <w:tblGrid>
        <w:gridCol w:w="2340"/>
        <w:gridCol w:w="1030"/>
        <w:gridCol w:w="1218"/>
        <w:gridCol w:w="1268"/>
        <w:gridCol w:w="1134"/>
        <w:gridCol w:w="1177"/>
        <w:gridCol w:w="1276"/>
      </w:tblGrid>
      <w:tr w:rsidR="00910815" w:rsidRPr="00910815" w14:paraId="2F08EF2F" w14:textId="77777777" w:rsidTr="00BF746E">
        <w:trPr>
          <w:trHeight w:val="343"/>
          <w:jc w:val="center"/>
        </w:trPr>
        <w:tc>
          <w:tcPr>
            <w:tcW w:w="2340"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215DA3F6" w14:textId="77777777" w:rsidR="00910815" w:rsidRPr="00534414" w:rsidRDefault="00910815" w:rsidP="00910815">
            <w:pPr>
              <w:jc w:val="center"/>
              <w:rPr>
                <w:rFonts w:ascii="Arial" w:hAnsi="Arial" w:cs="Arial"/>
                <w:b/>
                <w:bCs/>
                <w:sz w:val="16"/>
                <w:szCs w:val="16"/>
                <w:lang w:eastAsia="es-AR"/>
              </w:rPr>
            </w:pPr>
            <w:bookmarkStart w:id="43" w:name="_Hlk9948142"/>
            <w:r w:rsidRPr="00534414">
              <w:rPr>
                <w:rFonts w:ascii="Arial" w:hAnsi="Arial" w:cs="Arial"/>
                <w:b/>
                <w:bCs/>
                <w:sz w:val="16"/>
                <w:szCs w:val="16"/>
                <w:lang w:eastAsia="es-AR"/>
              </w:rPr>
              <w:t>Conceptos</w:t>
            </w:r>
          </w:p>
        </w:tc>
        <w:tc>
          <w:tcPr>
            <w:tcW w:w="1030"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2067C5F9" w14:textId="77777777" w:rsidR="00910815" w:rsidRPr="00534414" w:rsidRDefault="00910815" w:rsidP="00910815">
            <w:pPr>
              <w:jc w:val="center"/>
              <w:rPr>
                <w:rFonts w:ascii="Arial" w:hAnsi="Arial" w:cs="Arial"/>
                <w:b/>
                <w:bCs/>
                <w:sz w:val="16"/>
                <w:szCs w:val="16"/>
                <w:lang w:eastAsia="es-AR"/>
              </w:rPr>
            </w:pPr>
            <w:r w:rsidRPr="00534414">
              <w:rPr>
                <w:rFonts w:ascii="Arial" w:hAnsi="Arial" w:cs="Arial"/>
                <w:b/>
                <w:bCs/>
                <w:sz w:val="16"/>
                <w:szCs w:val="16"/>
                <w:lang w:eastAsia="es-AR"/>
              </w:rPr>
              <w:t>Saldos al inicio del ejercicio</w:t>
            </w:r>
          </w:p>
        </w:tc>
        <w:tc>
          <w:tcPr>
            <w:tcW w:w="1218"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48229E60" w14:textId="77777777" w:rsidR="00910815" w:rsidRPr="00534414" w:rsidRDefault="00910815" w:rsidP="00910815">
            <w:pPr>
              <w:jc w:val="center"/>
              <w:rPr>
                <w:rFonts w:ascii="Arial" w:hAnsi="Arial" w:cs="Arial"/>
                <w:b/>
                <w:bCs/>
                <w:sz w:val="16"/>
                <w:szCs w:val="16"/>
                <w:lang w:eastAsia="es-AR"/>
              </w:rPr>
            </w:pPr>
            <w:r w:rsidRPr="00534414">
              <w:rPr>
                <w:rFonts w:ascii="Arial" w:hAnsi="Arial" w:cs="Arial"/>
                <w:b/>
                <w:bCs/>
                <w:sz w:val="16"/>
                <w:szCs w:val="16"/>
                <w:lang w:eastAsia="es-AR"/>
              </w:rPr>
              <w:t>Aumentos</w:t>
            </w:r>
          </w:p>
        </w:tc>
        <w:tc>
          <w:tcPr>
            <w:tcW w:w="2402"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hideMark/>
          </w:tcPr>
          <w:p w14:paraId="73229633" w14:textId="77777777" w:rsidR="00910815" w:rsidRPr="00534414" w:rsidRDefault="00910815" w:rsidP="00910815">
            <w:pPr>
              <w:jc w:val="center"/>
              <w:rPr>
                <w:rFonts w:ascii="Arial" w:hAnsi="Arial" w:cs="Arial"/>
                <w:b/>
                <w:bCs/>
                <w:sz w:val="16"/>
                <w:szCs w:val="16"/>
                <w:lang w:eastAsia="es-AR"/>
              </w:rPr>
            </w:pPr>
            <w:r w:rsidRPr="00534414">
              <w:rPr>
                <w:rFonts w:ascii="Arial" w:hAnsi="Arial" w:cs="Arial"/>
                <w:b/>
                <w:bCs/>
                <w:sz w:val="16"/>
                <w:szCs w:val="16"/>
                <w:lang w:eastAsia="es-AR"/>
              </w:rPr>
              <w:t>Disminuciones</w:t>
            </w:r>
          </w:p>
        </w:tc>
        <w:tc>
          <w:tcPr>
            <w:tcW w:w="1177"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10E90DC1" w14:textId="4288EA5C" w:rsidR="00910815" w:rsidRPr="00534414" w:rsidRDefault="005D476E" w:rsidP="005D476E">
            <w:pPr>
              <w:jc w:val="center"/>
              <w:rPr>
                <w:rFonts w:ascii="Arial" w:hAnsi="Arial" w:cs="Arial"/>
                <w:b/>
                <w:bCs/>
                <w:sz w:val="16"/>
                <w:szCs w:val="16"/>
                <w:lang w:eastAsia="es-AR"/>
              </w:rPr>
            </w:pPr>
            <w:r>
              <w:rPr>
                <w:rFonts w:ascii="Arial" w:hAnsi="Arial" w:cs="Arial"/>
                <w:b/>
                <w:bCs/>
                <w:sz w:val="16"/>
                <w:szCs w:val="16"/>
                <w:lang w:eastAsia="es-AR"/>
              </w:rPr>
              <w:t xml:space="preserve">Saldo al </w:t>
            </w:r>
            <w:r w:rsidR="003C2633">
              <w:rPr>
                <w:rFonts w:ascii="Arial" w:hAnsi="Arial" w:cs="Arial"/>
                <w:b/>
                <w:bCs/>
                <w:sz w:val="16"/>
                <w:szCs w:val="16"/>
                <w:lang w:eastAsia="es-AR"/>
              </w:rPr>
              <w:t>3</w:t>
            </w:r>
            <w:r w:rsidR="006A451F">
              <w:rPr>
                <w:rFonts w:ascii="Arial" w:hAnsi="Arial" w:cs="Arial"/>
                <w:b/>
                <w:bCs/>
                <w:sz w:val="16"/>
                <w:szCs w:val="16"/>
                <w:lang w:eastAsia="es-AR"/>
              </w:rPr>
              <w:t>1</w:t>
            </w:r>
            <w:r w:rsidR="003C2633">
              <w:rPr>
                <w:rFonts w:ascii="Arial" w:hAnsi="Arial" w:cs="Arial"/>
                <w:b/>
                <w:bCs/>
                <w:sz w:val="16"/>
                <w:szCs w:val="16"/>
                <w:lang w:eastAsia="es-AR"/>
              </w:rPr>
              <w:t>/</w:t>
            </w:r>
            <w:r w:rsidR="006A451F">
              <w:rPr>
                <w:rFonts w:ascii="Arial" w:hAnsi="Arial" w:cs="Arial"/>
                <w:b/>
                <w:bCs/>
                <w:sz w:val="16"/>
                <w:szCs w:val="16"/>
                <w:lang w:eastAsia="es-AR"/>
              </w:rPr>
              <w:t>12</w:t>
            </w:r>
            <w:r w:rsidR="003C2633">
              <w:rPr>
                <w:rFonts w:ascii="Arial" w:hAnsi="Arial" w:cs="Arial"/>
                <w:b/>
                <w:bCs/>
                <w:sz w:val="16"/>
                <w:szCs w:val="16"/>
                <w:lang w:eastAsia="es-AR"/>
              </w:rPr>
              <w:t>/2019</w:t>
            </w:r>
          </w:p>
        </w:tc>
        <w:tc>
          <w:tcPr>
            <w:tcW w:w="1276"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57C155E4" w14:textId="77777777" w:rsidR="00910815" w:rsidRPr="00534414" w:rsidRDefault="00910815" w:rsidP="00910815">
            <w:pPr>
              <w:jc w:val="center"/>
              <w:rPr>
                <w:rFonts w:ascii="Arial" w:hAnsi="Arial" w:cs="Arial"/>
                <w:b/>
                <w:bCs/>
                <w:sz w:val="16"/>
                <w:szCs w:val="16"/>
                <w:lang w:eastAsia="es-AR"/>
              </w:rPr>
            </w:pPr>
            <w:r w:rsidRPr="00534414">
              <w:rPr>
                <w:rFonts w:ascii="Arial" w:hAnsi="Arial" w:cs="Arial"/>
                <w:b/>
                <w:bCs/>
                <w:sz w:val="16"/>
                <w:szCs w:val="16"/>
                <w:lang w:eastAsia="es-AR"/>
              </w:rPr>
              <w:t>Saldo al 31/12/2018</w:t>
            </w:r>
          </w:p>
        </w:tc>
      </w:tr>
      <w:tr w:rsidR="00910815" w:rsidRPr="00910815" w14:paraId="163AE72F" w14:textId="77777777" w:rsidTr="00BF746E">
        <w:trPr>
          <w:trHeight w:val="630"/>
          <w:jc w:val="center"/>
        </w:trPr>
        <w:tc>
          <w:tcPr>
            <w:tcW w:w="2340" w:type="dxa"/>
            <w:vMerge/>
            <w:tcBorders>
              <w:top w:val="single" w:sz="4" w:space="0" w:color="363639"/>
              <w:left w:val="single" w:sz="4" w:space="0" w:color="363639"/>
              <w:bottom w:val="nil"/>
              <w:right w:val="single" w:sz="4" w:space="0" w:color="363639"/>
            </w:tcBorders>
            <w:vAlign w:val="center"/>
            <w:hideMark/>
          </w:tcPr>
          <w:p w14:paraId="04CCB25F" w14:textId="77777777" w:rsidR="00910815" w:rsidRPr="00534414" w:rsidRDefault="00910815" w:rsidP="00910815">
            <w:pPr>
              <w:rPr>
                <w:rFonts w:ascii="Arial" w:hAnsi="Arial" w:cs="Arial"/>
                <w:b/>
                <w:bCs/>
                <w:sz w:val="16"/>
                <w:szCs w:val="16"/>
                <w:lang w:eastAsia="es-AR"/>
              </w:rPr>
            </w:pPr>
          </w:p>
        </w:tc>
        <w:tc>
          <w:tcPr>
            <w:tcW w:w="1030" w:type="dxa"/>
            <w:vMerge/>
            <w:tcBorders>
              <w:top w:val="single" w:sz="4" w:space="0" w:color="363639"/>
              <w:left w:val="single" w:sz="4" w:space="0" w:color="363639"/>
              <w:bottom w:val="single" w:sz="4" w:space="0" w:color="000000"/>
              <w:right w:val="single" w:sz="4" w:space="0" w:color="363639"/>
            </w:tcBorders>
            <w:vAlign w:val="center"/>
            <w:hideMark/>
          </w:tcPr>
          <w:p w14:paraId="3BE3A740" w14:textId="77777777" w:rsidR="00910815" w:rsidRPr="00534414" w:rsidRDefault="00910815" w:rsidP="00910815">
            <w:pPr>
              <w:rPr>
                <w:rFonts w:ascii="Arial" w:hAnsi="Arial" w:cs="Arial"/>
                <w:b/>
                <w:bCs/>
                <w:sz w:val="16"/>
                <w:szCs w:val="16"/>
                <w:lang w:eastAsia="es-AR"/>
              </w:rPr>
            </w:pPr>
          </w:p>
        </w:tc>
        <w:tc>
          <w:tcPr>
            <w:tcW w:w="1218" w:type="dxa"/>
            <w:vMerge/>
            <w:tcBorders>
              <w:top w:val="single" w:sz="4" w:space="0" w:color="363639"/>
              <w:left w:val="single" w:sz="4" w:space="0" w:color="363639"/>
              <w:bottom w:val="nil"/>
              <w:right w:val="single" w:sz="4" w:space="0" w:color="363639"/>
            </w:tcBorders>
            <w:vAlign w:val="center"/>
            <w:hideMark/>
          </w:tcPr>
          <w:p w14:paraId="279419B1" w14:textId="77777777" w:rsidR="00910815" w:rsidRPr="00534414" w:rsidRDefault="00910815" w:rsidP="00910815">
            <w:pPr>
              <w:rPr>
                <w:rFonts w:ascii="Arial" w:hAnsi="Arial" w:cs="Arial"/>
                <w:b/>
                <w:bCs/>
                <w:sz w:val="16"/>
                <w:szCs w:val="16"/>
                <w:lang w:eastAsia="es-AR"/>
              </w:rPr>
            </w:pPr>
          </w:p>
        </w:tc>
        <w:tc>
          <w:tcPr>
            <w:tcW w:w="1268" w:type="dxa"/>
            <w:tcBorders>
              <w:top w:val="nil"/>
              <w:left w:val="nil"/>
              <w:bottom w:val="nil"/>
              <w:right w:val="single" w:sz="4" w:space="0" w:color="363639"/>
            </w:tcBorders>
            <w:shd w:val="clear" w:color="auto" w:fill="BFBFBF" w:themeFill="background1" w:themeFillShade="BF"/>
            <w:hideMark/>
          </w:tcPr>
          <w:p w14:paraId="77AA742A" w14:textId="60EDF655" w:rsidR="00910815" w:rsidRPr="00534414" w:rsidRDefault="00910815" w:rsidP="00910815">
            <w:pPr>
              <w:jc w:val="center"/>
              <w:rPr>
                <w:rFonts w:ascii="Arial" w:hAnsi="Arial" w:cs="Arial"/>
                <w:b/>
                <w:bCs/>
                <w:sz w:val="16"/>
                <w:szCs w:val="16"/>
                <w:lang w:eastAsia="es-AR"/>
              </w:rPr>
            </w:pPr>
            <w:r w:rsidRPr="00534414">
              <w:rPr>
                <w:rFonts w:ascii="Arial" w:hAnsi="Arial" w:cs="Arial"/>
                <w:b/>
                <w:bCs/>
                <w:sz w:val="16"/>
                <w:szCs w:val="16"/>
                <w:lang w:eastAsia="es-AR"/>
              </w:rPr>
              <w:t xml:space="preserve">Desafecta </w:t>
            </w:r>
            <w:r w:rsidR="00AE73E8" w:rsidRPr="00534414">
              <w:rPr>
                <w:rFonts w:ascii="Arial" w:hAnsi="Arial" w:cs="Arial"/>
                <w:b/>
                <w:bCs/>
                <w:sz w:val="16"/>
                <w:szCs w:val="16"/>
                <w:lang w:eastAsia="es-AR"/>
              </w:rPr>
              <w:t>ci</w:t>
            </w:r>
            <w:r w:rsidR="007A27FB">
              <w:rPr>
                <w:rFonts w:ascii="Arial" w:hAnsi="Arial" w:cs="Arial"/>
                <w:b/>
                <w:bCs/>
                <w:sz w:val="16"/>
                <w:szCs w:val="16"/>
                <w:lang w:eastAsia="es-AR"/>
              </w:rPr>
              <w:t>o</w:t>
            </w:r>
            <w:r w:rsidR="00AE73E8" w:rsidRPr="00534414">
              <w:rPr>
                <w:rFonts w:ascii="Arial" w:hAnsi="Arial" w:cs="Arial"/>
                <w:b/>
                <w:bCs/>
                <w:sz w:val="16"/>
                <w:szCs w:val="16"/>
                <w:lang w:eastAsia="es-AR"/>
              </w:rPr>
              <w:t>nes</w:t>
            </w:r>
          </w:p>
        </w:tc>
        <w:tc>
          <w:tcPr>
            <w:tcW w:w="1134" w:type="dxa"/>
            <w:tcBorders>
              <w:top w:val="nil"/>
              <w:left w:val="nil"/>
              <w:bottom w:val="nil"/>
              <w:right w:val="single" w:sz="4" w:space="0" w:color="363639"/>
            </w:tcBorders>
            <w:shd w:val="clear" w:color="auto" w:fill="BFBFBF" w:themeFill="background1" w:themeFillShade="BF"/>
            <w:hideMark/>
          </w:tcPr>
          <w:p w14:paraId="6137596E" w14:textId="0520545A" w:rsidR="00910815" w:rsidRPr="00534414" w:rsidRDefault="00910815" w:rsidP="00910815">
            <w:pPr>
              <w:jc w:val="center"/>
              <w:rPr>
                <w:rFonts w:ascii="Arial" w:hAnsi="Arial" w:cs="Arial"/>
                <w:b/>
                <w:bCs/>
                <w:sz w:val="16"/>
                <w:szCs w:val="16"/>
                <w:lang w:eastAsia="es-AR"/>
              </w:rPr>
            </w:pPr>
            <w:r w:rsidRPr="00534414">
              <w:rPr>
                <w:rFonts w:ascii="Arial" w:hAnsi="Arial" w:cs="Arial"/>
                <w:b/>
                <w:bCs/>
                <w:sz w:val="16"/>
                <w:szCs w:val="16"/>
                <w:lang w:eastAsia="es-AR"/>
              </w:rPr>
              <w:t>Aplicaciones</w:t>
            </w:r>
          </w:p>
        </w:tc>
        <w:tc>
          <w:tcPr>
            <w:tcW w:w="1177" w:type="dxa"/>
            <w:vMerge/>
            <w:tcBorders>
              <w:top w:val="single" w:sz="4" w:space="0" w:color="363639"/>
              <w:left w:val="single" w:sz="4" w:space="0" w:color="363639"/>
              <w:bottom w:val="single" w:sz="4" w:space="0" w:color="000000"/>
              <w:right w:val="single" w:sz="4" w:space="0" w:color="363639"/>
            </w:tcBorders>
            <w:vAlign w:val="center"/>
            <w:hideMark/>
          </w:tcPr>
          <w:p w14:paraId="236EB9A3" w14:textId="77777777" w:rsidR="00910815" w:rsidRPr="00534414" w:rsidRDefault="00910815" w:rsidP="00910815">
            <w:pPr>
              <w:rPr>
                <w:rFonts w:ascii="Arial" w:hAnsi="Arial" w:cs="Arial"/>
                <w:b/>
                <w:bCs/>
                <w:sz w:val="16"/>
                <w:szCs w:val="16"/>
                <w:lang w:eastAsia="es-AR"/>
              </w:rPr>
            </w:pPr>
          </w:p>
        </w:tc>
        <w:tc>
          <w:tcPr>
            <w:tcW w:w="1276" w:type="dxa"/>
            <w:vMerge/>
            <w:tcBorders>
              <w:top w:val="single" w:sz="4" w:space="0" w:color="363639"/>
              <w:left w:val="single" w:sz="4" w:space="0" w:color="363639"/>
              <w:bottom w:val="single" w:sz="4" w:space="0" w:color="000000"/>
              <w:right w:val="single" w:sz="4" w:space="0" w:color="363639"/>
            </w:tcBorders>
            <w:shd w:val="clear" w:color="auto" w:fill="BDB3BD"/>
            <w:vAlign w:val="center"/>
            <w:hideMark/>
          </w:tcPr>
          <w:p w14:paraId="69D47289" w14:textId="77777777" w:rsidR="00910815" w:rsidRPr="00534414" w:rsidRDefault="00910815" w:rsidP="00910815">
            <w:pPr>
              <w:rPr>
                <w:rFonts w:ascii="Arial" w:hAnsi="Arial" w:cs="Arial"/>
                <w:b/>
                <w:bCs/>
                <w:sz w:val="16"/>
                <w:szCs w:val="16"/>
                <w:lang w:eastAsia="es-AR"/>
              </w:rPr>
            </w:pPr>
          </w:p>
        </w:tc>
      </w:tr>
      <w:tr w:rsidR="00910815" w:rsidRPr="00910815" w14:paraId="7FFD0A0A" w14:textId="77777777" w:rsidTr="00BF746E">
        <w:trPr>
          <w:trHeight w:val="219"/>
          <w:jc w:val="center"/>
        </w:trPr>
        <w:tc>
          <w:tcPr>
            <w:tcW w:w="2340" w:type="dxa"/>
            <w:tcBorders>
              <w:top w:val="single" w:sz="4" w:space="0" w:color="auto"/>
              <w:left w:val="nil"/>
              <w:bottom w:val="nil"/>
              <w:right w:val="nil"/>
            </w:tcBorders>
            <w:shd w:val="clear" w:color="auto" w:fill="auto"/>
            <w:vAlign w:val="center"/>
            <w:hideMark/>
          </w:tcPr>
          <w:p w14:paraId="6CC3C1C0" w14:textId="77777777" w:rsidR="00910815" w:rsidRPr="00534414" w:rsidRDefault="00910815" w:rsidP="00910815">
            <w:pPr>
              <w:jc w:val="center"/>
              <w:rPr>
                <w:rFonts w:ascii="Arial" w:hAnsi="Arial" w:cs="Arial"/>
                <w:sz w:val="16"/>
                <w:szCs w:val="16"/>
                <w:lang w:eastAsia="es-AR"/>
              </w:rPr>
            </w:pPr>
            <w:r w:rsidRPr="00534414">
              <w:rPr>
                <w:rFonts w:ascii="Arial" w:hAnsi="Arial" w:cs="Arial"/>
                <w:sz w:val="16"/>
                <w:szCs w:val="16"/>
                <w:lang w:eastAsia="es-AR"/>
              </w:rPr>
              <w:t> </w:t>
            </w:r>
          </w:p>
        </w:tc>
        <w:tc>
          <w:tcPr>
            <w:tcW w:w="1030" w:type="dxa"/>
            <w:tcBorders>
              <w:top w:val="nil"/>
              <w:left w:val="nil"/>
              <w:bottom w:val="nil"/>
              <w:right w:val="nil"/>
            </w:tcBorders>
            <w:shd w:val="clear" w:color="auto" w:fill="auto"/>
            <w:hideMark/>
          </w:tcPr>
          <w:p w14:paraId="2CECCE20" w14:textId="77777777" w:rsidR="00910815" w:rsidRPr="00534414" w:rsidRDefault="00910815" w:rsidP="00910815">
            <w:pPr>
              <w:jc w:val="center"/>
              <w:rPr>
                <w:rFonts w:ascii="Arial" w:hAnsi="Arial" w:cs="Arial"/>
                <w:sz w:val="16"/>
                <w:szCs w:val="16"/>
                <w:lang w:eastAsia="es-AR"/>
              </w:rPr>
            </w:pPr>
            <w:r w:rsidRPr="00534414">
              <w:rPr>
                <w:rFonts w:ascii="Arial" w:hAnsi="Arial" w:cs="Arial"/>
                <w:sz w:val="16"/>
                <w:szCs w:val="16"/>
                <w:lang w:eastAsia="es-AR"/>
              </w:rPr>
              <w:t> </w:t>
            </w:r>
          </w:p>
        </w:tc>
        <w:tc>
          <w:tcPr>
            <w:tcW w:w="1218" w:type="dxa"/>
            <w:tcBorders>
              <w:top w:val="single" w:sz="4" w:space="0" w:color="auto"/>
              <w:left w:val="nil"/>
              <w:bottom w:val="nil"/>
              <w:right w:val="nil"/>
            </w:tcBorders>
            <w:shd w:val="clear" w:color="auto" w:fill="auto"/>
            <w:vAlign w:val="center"/>
            <w:hideMark/>
          </w:tcPr>
          <w:p w14:paraId="13AC6058" w14:textId="77777777" w:rsidR="00910815" w:rsidRPr="00534414" w:rsidRDefault="00910815" w:rsidP="00910815">
            <w:pPr>
              <w:jc w:val="center"/>
              <w:rPr>
                <w:rFonts w:ascii="Arial" w:hAnsi="Arial" w:cs="Arial"/>
                <w:sz w:val="16"/>
                <w:szCs w:val="16"/>
                <w:lang w:eastAsia="es-AR"/>
              </w:rPr>
            </w:pPr>
            <w:r w:rsidRPr="00534414">
              <w:rPr>
                <w:rFonts w:ascii="Arial" w:hAnsi="Arial" w:cs="Arial"/>
                <w:sz w:val="16"/>
                <w:szCs w:val="16"/>
                <w:lang w:eastAsia="es-AR"/>
              </w:rPr>
              <w:t> </w:t>
            </w:r>
          </w:p>
        </w:tc>
        <w:tc>
          <w:tcPr>
            <w:tcW w:w="1268" w:type="dxa"/>
            <w:tcBorders>
              <w:top w:val="single" w:sz="4" w:space="0" w:color="auto"/>
              <w:left w:val="nil"/>
              <w:bottom w:val="nil"/>
              <w:right w:val="nil"/>
            </w:tcBorders>
            <w:shd w:val="clear" w:color="auto" w:fill="auto"/>
            <w:hideMark/>
          </w:tcPr>
          <w:p w14:paraId="56F8C4B8" w14:textId="77777777" w:rsidR="00910815" w:rsidRPr="00534414" w:rsidRDefault="00910815" w:rsidP="00910815">
            <w:pPr>
              <w:jc w:val="center"/>
              <w:rPr>
                <w:rFonts w:ascii="Arial" w:hAnsi="Arial" w:cs="Arial"/>
                <w:sz w:val="16"/>
                <w:szCs w:val="16"/>
                <w:lang w:eastAsia="es-AR"/>
              </w:rPr>
            </w:pPr>
            <w:r w:rsidRPr="00534414">
              <w:rPr>
                <w:rFonts w:ascii="Arial" w:hAnsi="Arial" w:cs="Arial"/>
                <w:sz w:val="16"/>
                <w:szCs w:val="16"/>
                <w:lang w:eastAsia="es-AR"/>
              </w:rPr>
              <w:t> </w:t>
            </w:r>
          </w:p>
        </w:tc>
        <w:tc>
          <w:tcPr>
            <w:tcW w:w="1134" w:type="dxa"/>
            <w:tcBorders>
              <w:top w:val="single" w:sz="4" w:space="0" w:color="auto"/>
              <w:left w:val="nil"/>
              <w:bottom w:val="nil"/>
              <w:right w:val="nil"/>
            </w:tcBorders>
            <w:shd w:val="clear" w:color="auto" w:fill="auto"/>
            <w:hideMark/>
          </w:tcPr>
          <w:p w14:paraId="209F9BE4" w14:textId="77777777" w:rsidR="00910815" w:rsidRPr="00534414" w:rsidRDefault="00910815" w:rsidP="00910815">
            <w:pPr>
              <w:jc w:val="center"/>
              <w:rPr>
                <w:rFonts w:ascii="Arial" w:hAnsi="Arial" w:cs="Arial"/>
                <w:sz w:val="16"/>
                <w:szCs w:val="16"/>
                <w:lang w:eastAsia="es-AR"/>
              </w:rPr>
            </w:pPr>
            <w:r w:rsidRPr="00534414">
              <w:rPr>
                <w:rFonts w:ascii="Arial" w:hAnsi="Arial" w:cs="Arial"/>
                <w:sz w:val="16"/>
                <w:szCs w:val="16"/>
                <w:lang w:eastAsia="es-AR"/>
              </w:rPr>
              <w:t> </w:t>
            </w:r>
          </w:p>
        </w:tc>
        <w:tc>
          <w:tcPr>
            <w:tcW w:w="1177" w:type="dxa"/>
            <w:tcBorders>
              <w:top w:val="nil"/>
              <w:left w:val="nil"/>
              <w:bottom w:val="nil"/>
              <w:right w:val="nil"/>
            </w:tcBorders>
            <w:shd w:val="clear" w:color="auto" w:fill="auto"/>
            <w:hideMark/>
          </w:tcPr>
          <w:p w14:paraId="262C3386" w14:textId="77777777" w:rsidR="00910815" w:rsidRPr="00534414" w:rsidRDefault="00910815" w:rsidP="00910815">
            <w:pPr>
              <w:jc w:val="center"/>
              <w:rPr>
                <w:rFonts w:ascii="Arial" w:hAnsi="Arial" w:cs="Arial"/>
                <w:sz w:val="16"/>
                <w:szCs w:val="16"/>
                <w:lang w:eastAsia="es-AR"/>
              </w:rPr>
            </w:pPr>
            <w:r w:rsidRPr="00534414">
              <w:rPr>
                <w:rFonts w:ascii="Arial" w:hAnsi="Arial" w:cs="Arial"/>
                <w:sz w:val="16"/>
                <w:szCs w:val="16"/>
                <w:lang w:eastAsia="es-AR"/>
              </w:rPr>
              <w:t> </w:t>
            </w:r>
          </w:p>
        </w:tc>
        <w:tc>
          <w:tcPr>
            <w:tcW w:w="1276" w:type="dxa"/>
            <w:tcBorders>
              <w:top w:val="nil"/>
              <w:left w:val="nil"/>
              <w:bottom w:val="nil"/>
              <w:right w:val="nil"/>
            </w:tcBorders>
            <w:shd w:val="clear" w:color="auto" w:fill="auto"/>
            <w:hideMark/>
          </w:tcPr>
          <w:p w14:paraId="08C17047" w14:textId="77777777" w:rsidR="00910815" w:rsidRPr="00534414" w:rsidRDefault="00910815" w:rsidP="00910815">
            <w:pPr>
              <w:jc w:val="center"/>
              <w:rPr>
                <w:rFonts w:ascii="Arial" w:hAnsi="Arial" w:cs="Arial"/>
                <w:sz w:val="16"/>
                <w:szCs w:val="16"/>
                <w:lang w:eastAsia="es-AR"/>
              </w:rPr>
            </w:pPr>
            <w:r w:rsidRPr="00534414">
              <w:rPr>
                <w:rFonts w:ascii="Arial" w:hAnsi="Arial" w:cs="Arial"/>
                <w:sz w:val="16"/>
                <w:szCs w:val="16"/>
                <w:lang w:eastAsia="es-AR"/>
              </w:rPr>
              <w:t> </w:t>
            </w:r>
          </w:p>
        </w:tc>
      </w:tr>
      <w:tr w:rsidR="00910815" w:rsidRPr="00910815" w14:paraId="4CCD857E" w14:textId="77777777" w:rsidTr="006A451F">
        <w:trPr>
          <w:trHeight w:val="300"/>
          <w:jc w:val="center"/>
        </w:trPr>
        <w:tc>
          <w:tcPr>
            <w:tcW w:w="2340" w:type="dxa"/>
            <w:tcBorders>
              <w:top w:val="nil"/>
              <w:left w:val="nil"/>
              <w:bottom w:val="nil"/>
              <w:right w:val="nil"/>
            </w:tcBorders>
            <w:shd w:val="clear" w:color="auto" w:fill="auto"/>
            <w:vAlign w:val="bottom"/>
            <w:hideMark/>
          </w:tcPr>
          <w:p w14:paraId="29770EF4" w14:textId="77777777" w:rsidR="00910815" w:rsidRPr="00534414" w:rsidRDefault="00910815">
            <w:pPr>
              <w:rPr>
                <w:rFonts w:ascii="Arial" w:hAnsi="Arial" w:cs="Arial"/>
                <w:sz w:val="16"/>
                <w:szCs w:val="16"/>
                <w:lang w:eastAsia="es-AR"/>
              </w:rPr>
            </w:pPr>
            <w:r w:rsidRPr="00534414">
              <w:rPr>
                <w:rFonts w:ascii="Arial" w:hAnsi="Arial" w:cs="Arial"/>
                <w:sz w:val="16"/>
                <w:szCs w:val="16"/>
                <w:lang w:eastAsia="es-AR"/>
              </w:rPr>
              <w:t>Otros activos financieros</w:t>
            </w:r>
          </w:p>
        </w:tc>
        <w:tc>
          <w:tcPr>
            <w:tcW w:w="1030" w:type="dxa"/>
            <w:tcBorders>
              <w:top w:val="nil"/>
              <w:left w:val="nil"/>
              <w:bottom w:val="nil"/>
              <w:right w:val="nil"/>
            </w:tcBorders>
            <w:shd w:val="clear" w:color="auto" w:fill="auto"/>
            <w:vAlign w:val="bottom"/>
          </w:tcPr>
          <w:p w14:paraId="57858114" w14:textId="5984FEA3" w:rsidR="00910815" w:rsidRPr="00534414" w:rsidRDefault="008454EC">
            <w:pPr>
              <w:jc w:val="right"/>
              <w:rPr>
                <w:rFonts w:ascii="Arial" w:hAnsi="Arial" w:cs="Arial"/>
                <w:sz w:val="16"/>
                <w:szCs w:val="16"/>
                <w:lang w:eastAsia="es-AR"/>
              </w:rPr>
            </w:pPr>
            <w:r>
              <w:rPr>
                <w:rFonts w:ascii="Arial" w:hAnsi="Arial" w:cs="Arial"/>
                <w:sz w:val="16"/>
                <w:szCs w:val="16"/>
                <w:lang w:eastAsia="es-AR"/>
              </w:rPr>
              <w:t>654</w:t>
            </w:r>
          </w:p>
        </w:tc>
        <w:tc>
          <w:tcPr>
            <w:tcW w:w="1218" w:type="dxa"/>
            <w:tcBorders>
              <w:top w:val="nil"/>
              <w:left w:val="nil"/>
              <w:bottom w:val="nil"/>
              <w:right w:val="nil"/>
            </w:tcBorders>
            <w:shd w:val="clear" w:color="auto" w:fill="auto"/>
            <w:vAlign w:val="bottom"/>
          </w:tcPr>
          <w:p w14:paraId="37B5BF52" w14:textId="6DB155B2" w:rsidR="00910815" w:rsidRPr="00823628" w:rsidRDefault="008454EC" w:rsidP="00823628">
            <w:pPr>
              <w:jc w:val="right"/>
              <w:rPr>
                <w:rFonts w:ascii="Arial" w:hAnsi="Arial" w:cs="Arial"/>
                <w:sz w:val="16"/>
                <w:szCs w:val="16"/>
                <w:lang w:eastAsia="es-AR"/>
              </w:rPr>
            </w:pPr>
            <w:r>
              <w:rPr>
                <w:rFonts w:ascii="Arial" w:hAnsi="Arial" w:cs="Arial"/>
                <w:sz w:val="16"/>
                <w:szCs w:val="16"/>
                <w:lang w:eastAsia="es-AR"/>
              </w:rPr>
              <w:t>63.560</w:t>
            </w:r>
          </w:p>
        </w:tc>
        <w:tc>
          <w:tcPr>
            <w:tcW w:w="1268" w:type="dxa"/>
            <w:tcBorders>
              <w:top w:val="nil"/>
              <w:left w:val="nil"/>
              <w:bottom w:val="nil"/>
              <w:right w:val="nil"/>
            </w:tcBorders>
            <w:shd w:val="clear" w:color="auto" w:fill="auto"/>
            <w:vAlign w:val="bottom"/>
          </w:tcPr>
          <w:p w14:paraId="52798B93" w14:textId="0DBD995E" w:rsidR="00910815" w:rsidRPr="00823628" w:rsidRDefault="007E7C6E" w:rsidP="00823628">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shd w:val="clear" w:color="auto" w:fill="auto"/>
            <w:vAlign w:val="bottom"/>
          </w:tcPr>
          <w:p w14:paraId="1BEC57A1" w14:textId="205BC276" w:rsidR="00910815" w:rsidRPr="00823628" w:rsidRDefault="008454EC" w:rsidP="00823628">
            <w:pPr>
              <w:jc w:val="right"/>
              <w:rPr>
                <w:rFonts w:ascii="Arial" w:hAnsi="Arial" w:cs="Arial"/>
                <w:sz w:val="16"/>
                <w:szCs w:val="16"/>
                <w:lang w:eastAsia="es-AR"/>
              </w:rPr>
            </w:pPr>
            <w:r>
              <w:rPr>
                <w:rFonts w:ascii="Arial" w:hAnsi="Arial" w:cs="Arial"/>
                <w:sz w:val="16"/>
                <w:szCs w:val="16"/>
                <w:lang w:eastAsia="es-AR"/>
              </w:rPr>
              <w:t>-654</w:t>
            </w:r>
          </w:p>
        </w:tc>
        <w:tc>
          <w:tcPr>
            <w:tcW w:w="1177" w:type="dxa"/>
            <w:tcBorders>
              <w:top w:val="nil"/>
              <w:left w:val="nil"/>
              <w:bottom w:val="nil"/>
              <w:right w:val="nil"/>
            </w:tcBorders>
            <w:shd w:val="clear" w:color="auto" w:fill="auto"/>
            <w:vAlign w:val="bottom"/>
          </w:tcPr>
          <w:p w14:paraId="54EA6B11" w14:textId="758F93FC" w:rsidR="00910815" w:rsidRPr="00823628" w:rsidRDefault="008454EC" w:rsidP="00823628">
            <w:pPr>
              <w:jc w:val="right"/>
              <w:rPr>
                <w:rFonts w:ascii="Arial" w:hAnsi="Arial" w:cs="Arial"/>
                <w:color w:val="000000"/>
                <w:sz w:val="16"/>
                <w:szCs w:val="16"/>
                <w:lang w:eastAsia="es-AR"/>
              </w:rPr>
            </w:pPr>
            <w:r>
              <w:rPr>
                <w:rFonts w:ascii="Arial" w:hAnsi="Arial" w:cs="Arial"/>
                <w:color w:val="000000"/>
                <w:sz w:val="16"/>
                <w:szCs w:val="16"/>
                <w:lang w:eastAsia="es-AR"/>
              </w:rPr>
              <w:t>63.560</w:t>
            </w:r>
          </w:p>
        </w:tc>
        <w:tc>
          <w:tcPr>
            <w:tcW w:w="1276" w:type="dxa"/>
            <w:tcBorders>
              <w:top w:val="nil"/>
              <w:left w:val="nil"/>
              <w:bottom w:val="nil"/>
              <w:right w:val="nil"/>
            </w:tcBorders>
            <w:shd w:val="clear" w:color="auto" w:fill="auto"/>
            <w:vAlign w:val="bottom"/>
            <w:hideMark/>
          </w:tcPr>
          <w:p w14:paraId="401A5221" w14:textId="77777777" w:rsidR="00910815" w:rsidRPr="00534414" w:rsidRDefault="00910815">
            <w:pPr>
              <w:jc w:val="right"/>
              <w:rPr>
                <w:rFonts w:ascii="Arial" w:hAnsi="Arial" w:cs="Arial"/>
                <w:sz w:val="16"/>
                <w:szCs w:val="16"/>
                <w:lang w:eastAsia="es-AR"/>
              </w:rPr>
            </w:pPr>
            <w:r w:rsidRPr="00534414">
              <w:rPr>
                <w:rFonts w:ascii="Arial" w:hAnsi="Arial" w:cs="Arial"/>
                <w:sz w:val="16"/>
                <w:szCs w:val="16"/>
                <w:lang w:eastAsia="es-AR"/>
              </w:rPr>
              <w:t>654</w:t>
            </w:r>
          </w:p>
        </w:tc>
      </w:tr>
      <w:tr w:rsidR="00910815" w:rsidRPr="00910815" w14:paraId="1F2A9138" w14:textId="77777777" w:rsidTr="006A451F">
        <w:trPr>
          <w:trHeight w:val="80"/>
          <w:jc w:val="center"/>
        </w:trPr>
        <w:tc>
          <w:tcPr>
            <w:tcW w:w="2340" w:type="dxa"/>
            <w:tcBorders>
              <w:top w:val="nil"/>
              <w:left w:val="nil"/>
              <w:bottom w:val="nil"/>
              <w:right w:val="nil"/>
            </w:tcBorders>
            <w:shd w:val="clear" w:color="auto" w:fill="auto"/>
            <w:vAlign w:val="bottom"/>
            <w:hideMark/>
          </w:tcPr>
          <w:p w14:paraId="038713E2" w14:textId="77777777" w:rsidR="00910815" w:rsidRPr="00534414" w:rsidRDefault="00910815" w:rsidP="00534414">
            <w:pPr>
              <w:rPr>
                <w:rFonts w:ascii="Arial" w:hAnsi="Arial" w:cs="Arial"/>
                <w:sz w:val="16"/>
                <w:szCs w:val="16"/>
                <w:lang w:eastAsia="es-AR"/>
              </w:rPr>
            </w:pPr>
          </w:p>
        </w:tc>
        <w:tc>
          <w:tcPr>
            <w:tcW w:w="1030" w:type="dxa"/>
            <w:tcBorders>
              <w:top w:val="nil"/>
              <w:left w:val="nil"/>
              <w:bottom w:val="nil"/>
              <w:right w:val="nil"/>
            </w:tcBorders>
            <w:shd w:val="clear" w:color="auto" w:fill="auto"/>
            <w:vAlign w:val="bottom"/>
          </w:tcPr>
          <w:p w14:paraId="70128829" w14:textId="77777777" w:rsidR="00910815" w:rsidRPr="00534414" w:rsidRDefault="00910815" w:rsidP="00534414">
            <w:pPr>
              <w:jc w:val="right"/>
              <w:rPr>
                <w:sz w:val="16"/>
                <w:szCs w:val="16"/>
                <w:lang w:eastAsia="es-AR"/>
              </w:rPr>
            </w:pPr>
          </w:p>
        </w:tc>
        <w:tc>
          <w:tcPr>
            <w:tcW w:w="1218" w:type="dxa"/>
            <w:tcBorders>
              <w:top w:val="nil"/>
              <w:left w:val="nil"/>
              <w:bottom w:val="nil"/>
              <w:right w:val="nil"/>
            </w:tcBorders>
            <w:shd w:val="clear" w:color="auto" w:fill="auto"/>
            <w:vAlign w:val="bottom"/>
          </w:tcPr>
          <w:p w14:paraId="11FE7C8A" w14:textId="77777777" w:rsidR="00910815" w:rsidRPr="00823628" w:rsidRDefault="00910815" w:rsidP="00823628">
            <w:pPr>
              <w:jc w:val="right"/>
              <w:rPr>
                <w:rFonts w:ascii="Arial" w:hAnsi="Arial" w:cs="Arial"/>
                <w:sz w:val="16"/>
                <w:szCs w:val="16"/>
                <w:lang w:eastAsia="es-AR"/>
              </w:rPr>
            </w:pPr>
          </w:p>
        </w:tc>
        <w:tc>
          <w:tcPr>
            <w:tcW w:w="1268" w:type="dxa"/>
            <w:tcBorders>
              <w:top w:val="nil"/>
              <w:left w:val="nil"/>
              <w:bottom w:val="nil"/>
              <w:right w:val="nil"/>
            </w:tcBorders>
            <w:shd w:val="clear" w:color="auto" w:fill="auto"/>
            <w:vAlign w:val="bottom"/>
          </w:tcPr>
          <w:p w14:paraId="6AFC867C" w14:textId="77777777" w:rsidR="00910815" w:rsidRPr="00823628" w:rsidRDefault="00910815" w:rsidP="00823628">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74C02068" w14:textId="77777777" w:rsidR="00910815" w:rsidRPr="00823628" w:rsidRDefault="00910815" w:rsidP="00823628">
            <w:pPr>
              <w:jc w:val="right"/>
              <w:rPr>
                <w:rFonts w:ascii="Arial" w:hAnsi="Arial" w:cs="Arial"/>
                <w:sz w:val="16"/>
                <w:szCs w:val="16"/>
                <w:lang w:eastAsia="es-AR"/>
              </w:rPr>
            </w:pPr>
          </w:p>
        </w:tc>
        <w:tc>
          <w:tcPr>
            <w:tcW w:w="1177" w:type="dxa"/>
            <w:tcBorders>
              <w:top w:val="nil"/>
              <w:left w:val="nil"/>
              <w:bottom w:val="nil"/>
              <w:right w:val="nil"/>
            </w:tcBorders>
            <w:shd w:val="clear" w:color="auto" w:fill="auto"/>
            <w:vAlign w:val="bottom"/>
          </w:tcPr>
          <w:p w14:paraId="09A81C36" w14:textId="77777777" w:rsidR="00910815" w:rsidRPr="00823628" w:rsidRDefault="00910815" w:rsidP="00823628">
            <w:pPr>
              <w:jc w:val="right"/>
              <w:rPr>
                <w:rFonts w:ascii="Arial" w:hAnsi="Arial" w:cs="Arial"/>
                <w:sz w:val="16"/>
                <w:szCs w:val="16"/>
                <w:lang w:eastAsia="es-AR"/>
              </w:rPr>
            </w:pPr>
          </w:p>
        </w:tc>
        <w:tc>
          <w:tcPr>
            <w:tcW w:w="1276" w:type="dxa"/>
            <w:tcBorders>
              <w:top w:val="nil"/>
              <w:left w:val="nil"/>
              <w:bottom w:val="nil"/>
              <w:right w:val="nil"/>
            </w:tcBorders>
            <w:shd w:val="clear" w:color="auto" w:fill="auto"/>
            <w:vAlign w:val="bottom"/>
            <w:hideMark/>
          </w:tcPr>
          <w:p w14:paraId="114F02C9" w14:textId="77777777" w:rsidR="00910815" w:rsidRPr="00534414" w:rsidRDefault="00910815" w:rsidP="00534414">
            <w:pPr>
              <w:jc w:val="right"/>
              <w:rPr>
                <w:sz w:val="16"/>
                <w:szCs w:val="16"/>
                <w:lang w:eastAsia="es-AR"/>
              </w:rPr>
            </w:pPr>
          </w:p>
        </w:tc>
      </w:tr>
      <w:tr w:rsidR="00910815" w:rsidRPr="00910815" w14:paraId="265BD58F" w14:textId="77777777" w:rsidTr="006A451F">
        <w:trPr>
          <w:trHeight w:val="300"/>
          <w:jc w:val="center"/>
        </w:trPr>
        <w:tc>
          <w:tcPr>
            <w:tcW w:w="2340" w:type="dxa"/>
            <w:tcBorders>
              <w:top w:val="nil"/>
              <w:left w:val="nil"/>
              <w:bottom w:val="nil"/>
              <w:right w:val="nil"/>
            </w:tcBorders>
            <w:shd w:val="clear" w:color="auto" w:fill="auto"/>
            <w:vAlign w:val="bottom"/>
            <w:hideMark/>
          </w:tcPr>
          <w:p w14:paraId="3F11CDA9" w14:textId="77777777" w:rsidR="00910815" w:rsidRPr="00534414" w:rsidRDefault="00910815">
            <w:pPr>
              <w:rPr>
                <w:rFonts w:ascii="Arial" w:hAnsi="Arial" w:cs="Arial"/>
                <w:sz w:val="16"/>
                <w:szCs w:val="16"/>
                <w:lang w:eastAsia="es-AR"/>
              </w:rPr>
            </w:pPr>
            <w:r w:rsidRPr="00534414">
              <w:rPr>
                <w:rFonts w:ascii="Arial" w:hAnsi="Arial" w:cs="Arial"/>
                <w:sz w:val="16"/>
                <w:szCs w:val="16"/>
                <w:lang w:eastAsia="es-AR"/>
              </w:rPr>
              <w:t>Préstamos y otras financiaciones</w:t>
            </w:r>
          </w:p>
        </w:tc>
        <w:tc>
          <w:tcPr>
            <w:tcW w:w="1030" w:type="dxa"/>
            <w:tcBorders>
              <w:top w:val="nil"/>
              <w:left w:val="nil"/>
              <w:bottom w:val="nil"/>
              <w:right w:val="nil"/>
            </w:tcBorders>
            <w:shd w:val="clear" w:color="auto" w:fill="auto"/>
            <w:vAlign w:val="bottom"/>
          </w:tcPr>
          <w:p w14:paraId="290BAEB4" w14:textId="77777777" w:rsidR="00910815" w:rsidRPr="00534414" w:rsidRDefault="00910815" w:rsidP="00534414">
            <w:pPr>
              <w:jc w:val="right"/>
              <w:rPr>
                <w:rFonts w:ascii="Arial" w:hAnsi="Arial" w:cs="Arial"/>
                <w:sz w:val="16"/>
                <w:szCs w:val="16"/>
                <w:lang w:eastAsia="es-AR"/>
              </w:rPr>
            </w:pPr>
          </w:p>
        </w:tc>
        <w:tc>
          <w:tcPr>
            <w:tcW w:w="1218" w:type="dxa"/>
            <w:tcBorders>
              <w:top w:val="nil"/>
              <w:left w:val="nil"/>
              <w:bottom w:val="nil"/>
              <w:right w:val="nil"/>
            </w:tcBorders>
            <w:shd w:val="clear" w:color="auto" w:fill="auto"/>
            <w:vAlign w:val="bottom"/>
          </w:tcPr>
          <w:p w14:paraId="4039EEDB" w14:textId="77777777" w:rsidR="00910815" w:rsidRPr="00823628" w:rsidRDefault="00910815" w:rsidP="00823628">
            <w:pPr>
              <w:jc w:val="right"/>
              <w:rPr>
                <w:rFonts w:ascii="Arial" w:hAnsi="Arial" w:cs="Arial"/>
                <w:sz w:val="16"/>
                <w:szCs w:val="16"/>
                <w:lang w:eastAsia="es-AR"/>
              </w:rPr>
            </w:pPr>
          </w:p>
        </w:tc>
        <w:tc>
          <w:tcPr>
            <w:tcW w:w="1268" w:type="dxa"/>
            <w:tcBorders>
              <w:top w:val="nil"/>
              <w:left w:val="nil"/>
              <w:bottom w:val="nil"/>
              <w:right w:val="nil"/>
            </w:tcBorders>
            <w:shd w:val="clear" w:color="auto" w:fill="auto"/>
            <w:vAlign w:val="bottom"/>
          </w:tcPr>
          <w:p w14:paraId="098D1BA2" w14:textId="77777777" w:rsidR="00910815" w:rsidRPr="00823628" w:rsidRDefault="00910815" w:rsidP="00823628">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0569C1B0" w14:textId="77777777" w:rsidR="00910815" w:rsidRPr="00823628" w:rsidRDefault="00910815" w:rsidP="00823628">
            <w:pPr>
              <w:jc w:val="right"/>
              <w:rPr>
                <w:rFonts w:ascii="Arial" w:hAnsi="Arial" w:cs="Arial"/>
                <w:sz w:val="16"/>
                <w:szCs w:val="16"/>
                <w:lang w:eastAsia="es-AR"/>
              </w:rPr>
            </w:pPr>
          </w:p>
        </w:tc>
        <w:tc>
          <w:tcPr>
            <w:tcW w:w="1177" w:type="dxa"/>
            <w:tcBorders>
              <w:top w:val="nil"/>
              <w:left w:val="nil"/>
              <w:bottom w:val="nil"/>
              <w:right w:val="nil"/>
            </w:tcBorders>
            <w:shd w:val="clear" w:color="auto" w:fill="auto"/>
            <w:vAlign w:val="bottom"/>
          </w:tcPr>
          <w:p w14:paraId="45383A61" w14:textId="77777777" w:rsidR="00910815" w:rsidRPr="00823628" w:rsidRDefault="00910815" w:rsidP="00823628">
            <w:pPr>
              <w:jc w:val="right"/>
              <w:rPr>
                <w:rFonts w:ascii="Arial" w:hAnsi="Arial" w:cs="Arial"/>
                <w:sz w:val="16"/>
                <w:szCs w:val="16"/>
                <w:lang w:eastAsia="es-AR"/>
              </w:rPr>
            </w:pPr>
          </w:p>
        </w:tc>
        <w:tc>
          <w:tcPr>
            <w:tcW w:w="1276" w:type="dxa"/>
            <w:tcBorders>
              <w:top w:val="nil"/>
              <w:left w:val="nil"/>
              <w:bottom w:val="nil"/>
              <w:right w:val="nil"/>
            </w:tcBorders>
            <w:shd w:val="clear" w:color="auto" w:fill="auto"/>
            <w:vAlign w:val="bottom"/>
            <w:hideMark/>
          </w:tcPr>
          <w:p w14:paraId="192472FB" w14:textId="77777777" w:rsidR="00910815" w:rsidRPr="00534414" w:rsidRDefault="00910815" w:rsidP="00534414">
            <w:pPr>
              <w:jc w:val="right"/>
              <w:rPr>
                <w:sz w:val="16"/>
                <w:szCs w:val="16"/>
                <w:lang w:eastAsia="es-AR"/>
              </w:rPr>
            </w:pPr>
          </w:p>
        </w:tc>
      </w:tr>
      <w:tr w:rsidR="00910815" w:rsidRPr="00910815" w14:paraId="79410220" w14:textId="77777777" w:rsidTr="006A451F">
        <w:trPr>
          <w:trHeight w:val="300"/>
          <w:jc w:val="center"/>
        </w:trPr>
        <w:tc>
          <w:tcPr>
            <w:tcW w:w="2340" w:type="dxa"/>
            <w:tcBorders>
              <w:top w:val="nil"/>
              <w:left w:val="nil"/>
              <w:bottom w:val="nil"/>
              <w:right w:val="nil"/>
            </w:tcBorders>
            <w:shd w:val="clear" w:color="auto" w:fill="auto"/>
            <w:vAlign w:val="bottom"/>
            <w:hideMark/>
          </w:tcPr>
          <w:p w14:paraId="2C1CA8A4" w14:textId="77777777" w:rsidR="00910815" w:rsidRPr="00534414" w:rsidRDefault="00910815" w:rsidP="00534414">
            <w:pPr>
              <w:ind w:firstLineChars="200" w:firstLine="320"/>
              <w:rPr>
                <w:rFonts w:ascii="Arial" w:hAnsi="Arial" w:cs="Arial"/>
                <w:sz w:val="16"/>
                <w:szCs w:val="16"/>
                <w:lang w:eastAsia="es-AR"/>
              </w:rPr>
            </w:pPr>
            <w:r w:rsidRPr="00534414">
              <w:rPr>
                <w:rFonts w:ascii="Arial" w:hAnsi="Arial" w:cs="Arial"/>
                <w:sz w:val="16"/>
                <w:szCs w:val="16"/>
                <w:lang w:eastAsia="es-AR"/>
              </w:rPr>
              <w:t>Otras Entidades Financieras</w:t>
            </w:r>
          </w:p>
        </w:tc>
        <w:tc>
          <w:tcPr>
            <w:tcW w:w="1030" w:type="dxa"/>
            <w:tcBorders>
              <w:top w:val="nil"/>
              <w:left w:val="nil"/>
              <w:bottom w:val="nil"/>
              <w:right w:val="nil"/>
            </w:tcBorders>
            <w:shd w:val="clear" w:color="auto" w:fill="auto"/>
            <w:vAlign w:val="bottom"/>
          </w:tcPr>
          <w:p w14:paraId="627E5F50" w14:textId="483B85BB" w:rsidR="00910815" w:rsidRPr="00534414" w:rsidRDefault="007E7C6E">
            <w:pPr>
              <w:jc w:val="right"/>
              <w:rPr>
                <w:rFonts w:ascii="Arial" w:hAnsi="Arial" w:cs="Arial"/>
                <w:sz w:val="16"/>
                <w:szCs w:val="16"/>
                <w:lang w:eastAsia="es-AR"/>
              </w:rPr>
            </w:pPr>
            <w:r>
              <w:rPr>
                <w:rFonts w:ascii="Arial" w:hAnsi="Arial" w:cs="Arial"/>
                <w:sz w:val="16"/>
                <w:szCs w:val="16"/>
                <w:lang w:eastAsia="es-AR"/>
              </w:rPr>
              <w:t>29.812</w:t>
            </w:r>
          </w:p>
        </w:tc>
        <w:tc>
          <w:tcPr>
            <w:tcW w:w="1218" w:type="dxa"/>
            <w:tcBorders>
              <w:top w:val="nil"/>
              <w:left w:val="nil"/>
              <w:bottom w:val="nil"/>
              <w:right w:val="nil"/>
            </w:tcBorders>
            <w:shd w:val="clear" w:color="auto" w:fill="auto"/>
            <w:vAlign w:val="bottom"/>
          </w:tcPr>
          <w:p w14:paraId="251B61B2" w14:textId="3DB16E82" w:rsidR="00910815" w:rsidRPr="00823628" w:rsidRDefault="007E7C6E" w:rsidP="00823628">
            <w:pPr>
              <w:jc w:val="right"/>
              <w:rPr>
                <w:rFonts w:ascii="Arial" w:hAnsi="Arial" w:cs="Arial"/>
                <w:sz w:val="16"/>
                <w:szCs w:val="16"/>
                <w:lang w:eastAsia="es-AR"/>
              </w:rPr>
            </w:pPr>
            <w:r>
              <w:rPr>
                <w:rFonts w:ascii="Arial" w:hAnsi="Arial" w:cs="Arial"/>
                <w:sz w:val="16"/>
                <w:szCs w:val="16"/>
                <w:lang w:eastAsia="es-AR"/>
              </w:rPr>
              <w:t>-</w:t>
            </w:r>
          </w:p>
        </w:tc>
        <w:tc>
          <w:tcPr>
            <w:tcW w:w="1268" w:type="dxa"/>
            <w:tcBorders>
              <w:top w:val="nil"/>
              <w:left w:val="nil"/>
              <w:bottom w:val="nil"/>
              <w:right w:val="nil"/>
            </w:tcBorders>
            <w:shd w:val="clear" w:color="auto" w:fill="auto"/>
            <w:vAlign w:val="bottom"/>
          </w:tcPr>
          <w:p w14:paraId="267FB724" w14:textId="3DCB4CDD" w:rsidR="00910815" w:rsidRPr="00823628" w:rsidRDefault="007E7C6E" w:rsidP="00823628">
            <w:pPr>
              <w:jc w:val="right"/>
              <w:rPr>
                <w:rFonts w:ascii="Arial" w:hAnsi="Arial" w:cs="Arial"/>
                <w:sz w:val="16"/>
                <w:szCs w:val="16"/>
                <w:lang w:eastAsia="es-AR"/>
              </w:rPr>
            </w:pPr>
            <w:r>
              <w:rPr>
                <w:rFonts w:ascii="Arial" w:hAnsi="Arial" w:cs="Arial"/>
                <w:sz w:val="16"/>
                <w:szCs w:val="16"/>
                <w:lang w:eastAsia="es-AR"/>
              </w:rPr>
              <w:t>-17.732</w:t>
            </w:r>
          </w:p>
        </w:tc>
        <w:tc>
          <w:tcPr>
            <w:tcW w:w="1134" w:type="dxa"/>
            <w:tcBorders>
              <w:top w:val="nil"/>
              <w:left w:val="nil"/>
              <w:bottom w:val="nil"/>
              <w:right w:val="nil"/>
            </w:tcBorders>
            <w:shd w:val="clear" w:color="auto" w:fill="auto"/>
            <w:vAlign w:val="bottom"/>
          </w:tcPr>
          <w:p w14:paraId="0CA1B2E1" w14:textId="5AE95661" w:rsidR="00910815" w:rsidRPr="00823628" w:rsidRDefault="007E7C6E" w:rsidP="00823628">
            <w:pPr>
              <w:jc w:val="right"/>
              <w:rPr>
                <w:rFonts w:ascii="Arial" w:hAnsi="Arial" w:cs="Arial"/>
                <w:sz w:val="16"/>
                <w:szCs w:val="16"/>
                <w:lang w:eastAsia="es-AR"/>
              </w:rPr>
            </w:pPr>
            <w:r>
              <w:rPr>
                <w:rFonts w:ascii="Arial" w:hAnsi="Arial" w:cs="Arial"/>
                <w:sz w:val="16"/>
                <w:szCs w:val="16"/>
                <w:lang w:eastAsia="es-AR"/>
              </w:rPr>
              <w:t>-</w:t>
            </w:r>
          </w:p>
        </w:tc>
        <w:tc>
          <w:tcPr>
            <w:tcW w:w="1177" w:type="dxa"/>
            <w:tcBorders>
              <w:top w:val="nil"/>
              <w:left w:val="nil"/>
              <w:bottom w:val="nil"/>
              <w:right w:val="nil"/>
            </w:tcBorders>
            <w:shd w:val="clear" w:color="auto" w:fill="auto"/>
            <w:vAlign w:val="bottom"/>
          </w:tcPr>
          <w:p w14:paraId="32580A33" w14:textId="1102EAA1" w:rsidR="00910815" w:rsidRPr="00823628" w:rsidRDefault="007E7C6E" w:rsidP="00823628">
            <w:pPr>
              <w:jc w:val="right"/>
              <w:rPr>
                <w:rFonts w:ascii="Arial" w:hAnsi="Arial" w:cs="Arial"/>
                <w:color w:val="000000"/>
                <w:sz w:val="16"/>
                <w:szCs w:val="16"/>
                <w:lang w:eastAsia="es-AR"/>
              </w:rPr>
            </w:pPr>
            <w:r>
              <w:rPr>
                <w:rFonts w:ascii="Arial" w:hAnsi="Arial" w:cs="Arial"/>
                <w:color w:val="000000"/>
                <w:sz w:val="16"/>
                <w:szCs w:val="16"/>
                <w:lang w:eastAsia="es-AR"/>
              </w:rPr>
              <w:t>12.080</w:t>
            </w:r>
          </w:p>
        </w:tc>
        <w:tc>
          <w:tcPr>
            <w:tcW w:w="1276" w:type="dxa"/>
            <w:tcBorders>
              <w:top w:val="nil"/>
              <w:left w:val="nil"/>
              <w:bottom w:val="nil"/>
              <w:right w:val="nil"/>
            </w:tcBorders>
            <w:shd w:val="clear" w:color="auto" w:fill="auto"/>
            <w:vAlign w:val="bottom"/>
            <w:hideMark/>
          </w:tcPr>
          <w:p w14:paraId="768C23A9" w14:textId="77777777" w:rsidR="00910815" w:rsidRPr="00534414" w:rsidRDefault="00910815">
            <w:pPr>
              <w:jc w:val="right"/>
              <w:rPr>
                <w:rFonts w:ascii="Arial" w:hAnsi="Arial" w:cs="Arial"/>
                <w:sz w:val="16"/>
                <w:szCs w:val="16"/>
                <w:lang w:eastAsia="es-AR"/>
              </w:rPr>
            </w:pPr>
            <w:r w:rsidRPr="00534414">
              <w:rPr>
                <w:rFonts w:ascii="Arial" w:hAnsi="Arial" w:cs="Arial"/>
                <w:sz w:val="16"/>
                <w:szCs w:val="16"/>
                <w:lang w:eastAsia="es-AR"/>
              </w:rPr>
              <w:t>29.812</w:t>
            </w:r>
          </w:p>
        </w:tc>
      </w:tr>
      <w:tr w:rsidR="00910815" w:rsidRPr="00910815" w14:paraId="1747317F" w14:textId="77777777" w:rsidTr="006A451F">
        <w:trPr>
          <w:trHeight w:val="510"/>
          <w:jc w:val="center"/>
        </w:trPr>
        <w:tc>
          <w:tcPr>
            <w:tcW w:w="2340" w:type="dxa"/>
            <w:tcBorders>
              <w:top w:val="nil"/>
              <w:left w:val="nil"/>
              <w:bottom w:val="nil"/>
              <w:right w:val="nil"/>
            </w:tcBorders>
            <w:shd w:val="clear" w:color="auto" w:fill="auto"/>
            <w:vAlign w:val="bottom"/>
            <w:hideMark/>
          </w:tcPr>
          <w:p w14:paraId="4DFB9004" w14:textId="77777777" w:rsidR="00910815" w:rsidRPr="00534414" w:rsidRDefault="00910815" w:rsidP="00534414">
            <w:pPr>
              <w:ind w:firstLineChars="200" w:firstLine="320"/>
              <w:rPr>
                <w:rFonts w:ascii="Arial" w:hAnsi="Arial" w:cs="Arial"/>
                <w:sz w:val="16"/>
                <w:szCs w:val="16"/>
                <w:lang w:eastAsia="es-AR"/>
              </w:rPr>
            </w:pPr>
            <w:r w:rsidRPr="00534414">
              <w:rPr>
                <w:rFonts w:ascii="Arial" w:hAnsi="Arial" w:cs="Arial"/>
                <w:sz w:val="16"/>
                <w:szCs w:val="16"/>
                <w:lang w:eastAsia="es-AR"/>
              </w:rPr>
              <w:t>Sector privado no financiero y residentes en el Exterior</w:t>
            </w:r>
          </w:p>
        </w:tc>
        <w:tc>
          <w:tcPr>
            <w:tcW w:w="1030" w:type="dxa"/>
            <w:tcBorders>
              <w:top w:val="nil"/>
              <w:left w:val="nil"/>
              <w:bottom w:val="nil"/>
              <w:right w:val="nil"/>
            </w:tcBorders>
            <w:shd w:val="clear" w:color="auto" w:fill="auto"/>
            <w:vAlign w:val="bottom"/>
          </w:tcPr>
          <w:p w14:paraId="46D0D62D" w14:textId="77777777" w:rsidR="00910815" w:rsidRPr="00534414" w:rsidRDefault="00910815" w:rsidP="00534414">
            <w:pPr>
              <w:ind w:firstLineChars="200" w:firstLine="320"/>
              <w:jc w:val="right"/>
              <w:rPr>
                <w:rFonts w:ascii="Arial" w:hAnsi="Arial" w:cs="Arial"/>
                <w:sz w:val="16"/>
                <w:szCs w:val="16"/>
                <w:lang w:eastAsia="es-AR"/>
              </w:rPr>
            </w:pPr>
          </w:p>
        </w:tc>
        <w:tc>
          <w:tcPr>
            <w:tcW w:w="1218" w:type="dxa"/>
            <w:tcBorders>
              <w:top w:val="nil"/>
              <w:left w:val="nil"/>
              <w:bottom w:val="nil"/>
              <w:right w:val="nil"/>
            </w:tcBorders>
            <w:shd w:val="clear" w:color="auto" w:fill="auto"/>
            <w:vAlign w:val="bottom"/>
          </w:tcPr>
          <w:p w14:paraId="54B54554" w14:textId="77777777" w:rsidR="00910815" w:rsidRPr="00823628" w:rsidRDefault="00910815" w:rsidP="00823628">
            <w:pPr>
              <w:jc w:val="right"/>
              <w:rPr>
                <w:rFonts w:ascii="Arial" w:hAnsi="Arial" w:cs="Arial"/>
                <w:sz w:val="16"/>
                <w:szCs w:val="16"/>
                <w:lang w:eastAsia="es-AR"/>
              </w:rPr>
            </w:pPr>
          </w:p>
        </w:tc>
        <w:tc>
          <w:tcPr>
            <w:tcW w:w="1268" w:type="dxa"/>
            <w:tcBorders>
              <w:top w:val="nil"/>
              <w:left w:val="nil"/>
              <w:bottom w:val="nil"/>
              <w:right w:val="nil"/>
            </w:tcBorders>
            <w:shd w:val="clear" w:color="auto" w:fill="auto"/>
            <w:vAlign w:val="bottom"/>
          </w:tcPr>
          <w:p w14:paraId="49317E35" w14:textId="77777777" w:rsidR="00910815" w:rsidRPr="00823628" w:rsidRDefault="00910815" w:rsidP="00823628">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0AC3972A" w14:textId="77777777" w:rsidR="00910815" w:rsidRPr="00823628" w:rsidRDefault="00910815" w:rsidP="00823628">
            <w:pPr>
              <w:jc w:val="right"/>
              <w:rPr>
                <w:rFonts w:ascii="Arial" w:hAnsi="Arial" w:cs="Arial"/>
                <w:sz w:val="16"/>
                <w:szCs w:val="16"/>
                <w:lang w:eastAsia="es-AR"/>
              </w:rPr>
            </w:pPr>
          </w:p>
        </w:tc>
        <w:tc>
          <w:tcPr>
            <w:tcW w:w="1177" w:type="dxa"/>
            <w:tcBorders>
              <w:top w:val="nil"/>
              <w:left w:val="nil"/>
              <w:bottom w:val="nil"/>
              <w:right w:val="nil"/>
            </w:tcBorders>
            <w:shd w:val="clear" w:color="auto" w:fill="auto"/>
            <w:vAlign w:val="bottom"/>
          </w:tcPr>
          <w:p w14:paraId="0C8AECEB" w14:textId="77777777" w:rsidR="00910815" w:rsidRPr="00823628" w:rsidRDefault="00910815" w:rsidP="00823628">
            <w:pPr>
              <w:jc w:val="right"/>
              <w:rPr>
                <w:rFonts w:ascii="Arial" w:hAnsi="Arial" w:cs="Arial"/>
                <w:sz w:val="16"/>
                <w:szCs w:val="16"/>
                <w:lang w:eastAsia="es-AR"/>
              </w:rPr>
            </w:pPr>
          </w:p>
        </w:tc>
        <w:tc>
          <w:tcPr>
            <w:tcW w:w="1276" w:type="dxa"/>
            <w:tcBorders>
              <w:top w:val="nil"/>
              <w:left w:val="nil"/>
              <w:bottom w:val="nil"/>
              <w:right w:val="nil"/>
            </w:tcBorders>
            <w:shd w:val="clear" w:color="auto" w:fill="auto"/>
            <w:vAlign w:val="bottom"/>
            <w:hideMark/>
          </w:tcPr>
          <w:p w14:paraId="48AFB1DC" w14:textId="77777777" w:rsidR="00910815" w:rsidRPr="00534414" w:rsidRDefault="00910815" w:rsidP="00534414">
            <w:pPr>
              <w:jc w:val="right"/>
              <w:rPr>
                <w:sz w:val="16"/>
                <w:szCs w:val="16"/>
                <w:lang w:eastAsia="es-AR"/>
              </w:rPr>
            </w:pPr>
          </w:p>
        </w:tc>
      </w:tr>
      <w:tr w:rsidR="00102567" w:rsidRPr="00910815" w14:paraId="2D3D0E85" w14:textId="77777777" w:rsidTr="006A451F">
        <w:trPr>
          <w:trHeight w:val="300"/>
          <w:jc w:val="center"/>
        </w:trPr>
        <w:tc>
          <w:tcPr>
            <w:tcW w:w="2340" w:type="dxa"/>
            <w:tcBorders>
              <w:top w:val="nil"/>
              <w:left w:val="nil"/>
              <w:bottom w:val="nil"/>
              <w:right w:val="nil"/>
            </w:tcBorders>
            <w:shd w:val="clear" w:color="auto" w:fill="auto"/>
            <w:vAlign w:val="bottom"/>
            <w:hideMark/>
          </w:tcPr>
          <w:p w14:paraId="2142902F" w14:textId="77777777" w:rsidR="00102567" w:rsidRPr="00534414" w:rsidRDefault="00102567" w:rsidP="00102567">
            <w:pPr>
              <w:ind w:firstLineChars="400" w:firstLine="640"/>
              <w:rPr>
                <w:rFonts w:ascii="Arial" w:hAnsi="Arial" w:cs="Arial"/>
                <w:sz w:val="16"/>
                <w:szCs w:val="16"/>
                <w:lang w:eastAsia="es-AR"/>
              </w:rPr>
            </w:pPr>
            <w:r w:rsidRPr="00534414">
              <w:rPr>
                <w:rFonts w:ascii="Arial" w:hAnsi="Arial" w:cs="Arial"/>
                <w:sz w:val="16"/>
                <w:szCs w:val="16"/>
                <w:lang w:eastAsia="es-AR"/>
              </w:rPr>
              <w:t>Adelantos</w:t>
            </w:r>
          </w:p>
        </w:tc>
        <w:tc>
          <w:tcPr>
            <w:tcW w:w="1030" w:type="dxa"/>
            <w:tcBorders>
              <w:top w:val="nil"/>
              <w:left w:val="nil"/>
              <w:bottom w:val="nil"/>
              <w:right w:val="nil"/>
            </w:tcBorders>
            <w:shd w:val="clear" w:color="auto" w:fill="auto"/>
            <w:vAlign w:val="bottom"/>
          </w:tcPr>
          <w:p w14:paraId="11A213A6" w14:textId="47335B0D" w:rsidR="00102567" w:rsidRPr="00534414" w:rsidRDefault="007E7C6E" w:rsidP="00102567">
            <w:pPr>
              <w:jc w:val="right"/>
              <w:rPr>
                <w:rFonts w:ascii="Arial" w:hAnsi="Arial" w:cs="Arial"/>
                <w:sz w:val="16"/>
                <w:szCs w:val="16"/>
                <w:lang w:eastAsia="es-AR"/>
              </w:rPr>
            </w:pPr>
            <w:r>
              <w:rPr>
                <w:rFonts w:ascii="Arial" w:hAnsi="Arial" w:cs="Arial"/>
                <w:sz w:val="16"/>
                <w:szCs w:val="16"/>
                <w:lang w:eastAsia="es-AR"/>
              </w:rPr>
              <w:t>112.389</w:t>
            </w:r>
          </w:p>
        </w:tc>
        <w:tc>
          <w:tcPr>
            <w:tcW w:w="1218" w:type="dxa"/>
            <w:tcBorders>
              <w:top w:val="nil"/>
              <w:left w:val="nil"/>
              <w:bottom w:val="nil"/>
              <w:right w:val="nil"/>
            </w:tcBorders>
            <w:shd w:val="clear" w:color="auto" w:fill="auto"/>
            <w:vAlign w:val="bottom"/>
          </w:tcPr>
          <w:p w14:paraId="11D8801A" w14:textId="6998B902"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929.132</w:t>
            </w:r>
          </w:p>
        </w:tc>
        <w:tc>
          <w:tcPr>
            <w:tcW w:w="1268" w:type="dxa"/>
            <w:tcBorders>
              <w:top w:val="nil"/>
              <w:left w:val="nil"/>
              <w:bottom w:val="nil"/>
              <w:right w:val="nil"/>
            </w:tcBorders>
            <w:shd w:val="clear" w:color="auto" w:fill="auto"/>
            <w:vAlign w:val="bottom"/>
          </w:tcPr>
          <w:p w14:paraId="39B73326" w14:textId="44A3A952"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shd w:val="clear" w:color="auto" w:fill="auto"/>
            <w:vAlign w:val="bottom"/>
          </w:tcPr>
          <w:p w14:paraId="4431FA24" w14:textId="7F667DFD"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-89.284</w:t>
            </w:r>
          </w:p>
        </w:tc>
        <w:tc>
          <w:tcPr>
            <w:tcW w:w="1177" w:type="dxa"/>
            <w:tcBorders>
              <w:top w:val="nil"/>
              <w:left w:val="nil"/>
              <w:bottom w:val="nil"/>
              <w:right w:val="nil"/>
            </w:tcBorders>
            <w:shd w:val="clear" w:color="auto" w:fill="auto"/>
            <w:vAlign w:val="bottom"/>
          </w:tcPr>
          <w:p w14:paraId="4C561FE7" w14:textId="1E390D0C"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952.237</w:t>
            </w:r>
          </w:p>
        </w:tc>
        <w:tc>
          <w:tcPr>
            <w:tcW w:w="1276" w:type="dxa"/>
            <w:tcBorders>
              <w:top w:val="nil"/>
              <w:left w:val="nil"/>
              <w:bottom w:val="nil"/>
              <w:right w:val="nil"/>
            </w:tcBorders>
            <w:shd w:val="clear" w:color="auto" w:fill="auto"/>
            <w:vAlign w:val="bottom"/>
            <w:hideMark/>
          </w:tcPr>
          <w:p w14:paraId="1F12BF2E" w14:textId="77777777" w:rsidR="00102567" w:rsidRPr="00534414" w:rsidRDefault="00102567" w:rsidP="00102567">
            <w:pPr>
              <w:jc w:val="right"/>
              <w:rPr>
                <w:rFonts w:ascii="Arial" w:hAnsi="Arial" w:cs="Arial"/>
                <w:sz w:val="16"/>
                <w:szCs w:val="16"/>
                <w:lang w:eastAsia="es-AR"/>
              </w:rPr>
            </w:pPr>
            <w:r w:rsidRPr="00534414">
              <w:rPr>
                <w:rFonts w:ascii="Arial" w:hAnsi="Arial" w:cs="Arial"/>
                <w:sz w:val="16"/>
                <w:szCs w:val="16"/>
                <w:lang w:eastAsia="es-AR"/>
              </w:rPr>
              <w:t>112.389</w:t>
            </w:r>
          </w:p>
        </w:tc>
      </w:tr>
      <w:tr w:rsidR="00102567" w:rsidRPr="00910815" w14:paraId="09F125BC" w14:textId="77777777" w:rsidTr="006A451F">
        <w:trPr>
          <w:trHeight w:val="300"/>
          <w:jc w:val="center"/>
        </w:trPr>
        <w:tc>
          <w:tcPr>
            <w:tcW w:w="2340" w:type="dxa"/>
            <w:tcBorders>
              <w:top w:val="nil"/>
              <w:left w:val="nil"/>
              <w:bottom w:val="nil"/>
              <w:right w:val="nil"/>
            </w:tcBorders>
            <w:shd w:val="clear" w:color="auto" w:fill="auto"/>
            <w:vAlign w:val="bottom"/>
            <w:hideMark/>
          </w:tcPr>
          <w:p w14:paraId="1A62D0BF" w14:textId="77777777" w:rsidR="00102567" w:rsidRPr="00534414" w:rsidRDefault="00102567" w:rsidP="00102567">
            <w:pPr>
              <w:ind w:firstLineChars="400" w:firstLine="640"/>
              <w:rPr>
                <w:rFonts w:ascii="Arial" w:hAnsi="Arial" w:cs="Arial"/>
                <w:sz w:val="16"/>
                <w:szCs w:val="16"/>
                <w:lang w:eastAsia="es-AR"/>
              </w:rPr>
            </w:pPr>
            <w:r w:rsidRPr="00534414">
              <w:rPr>
                <w:rFonts w:ascii="Arial" w:hAnsi="Arial" w:cs="Arial"/>
                <w:sz w:val="16"/>
                <w:szCs w:val="16"/>
                <w:lang w:eastAsia="es-AR"/>
              </w:rPr>
              <w:t>Documentos</w:t>
            </w:r>
          </w:p>
        </w:tc>
        <w:tc>
          <w:tcPr>
            <w:tcW w:w="1030" w:type="dxa"/>
            <w:tcBorders>
              <w:top w:val="nil"/>
              <w:left w:val="nil"/>
              <w:bottom w:val="nil"/>
              <w:right w:val="nil"/>
            </w:tcBorders>
            <w:shd w:val="clear" w:color="auto" w:fill="auto"/>
            <w:vAlign w:val="bottom"/>
          </w:tcPr>
          <w:p w14:paraId="5BEEED5A" w14:textId="25F8DD3A" w:rsidR="00102567" w:rsidRPr="00534414" w:rsidRDefault="007E7C6E" w:rsidP="00102567">
            <w:pPr>
              <w:jc w:val="right"/>
              <w:rPr>
                <w:rFonts w:ascii="Arial" w:hAnsi="Arial" w:cs="Arial"/>
                <w:sz w:val="16"/>
                <w:szCs w:val="16"/>
                <w:lang w:eastAsia="es-AR"/>
              </w:rPr>
            </w:pPr>
            <w:r>
              <w:rPr>
                <w:rFonts w:ascii="Arial" w:hAnsi="Arial" w:cs="Arial"/>
                <w:sz w:val="16"/>
                <w:szCs w:val="16"/>
                <w:lang w:eastAsia="es-AR"/>
              </w:rPr>
              <w:t>199.694</w:t>
            </w:r>
          </w:p>
        </w:tc>
        <w:tc>
          <w:tcPr>
            <w:tcW w:w="1218" w:type="dxa"/>
            <w:tcBorders>
              <w:top w:val="nil"/>
              <w:left w:val="nil"/>
              <w:bottom w:val="nil"/>
              <w:right w:val="nil"/>
            </w:tcBorders>
            <w:shd w:val="clear" w:color="auto" w:fill="auto"/>
            <w:vAlign w:val="bottom"/>
          </w:tcPr>
          <w:p w14:paraId="781477D9" w14:textId="37620323"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342.28</w:t>
            </w:r>
            <w:r w:rsidR="0002243C">
              <w:rPr>
                <w:rFonts w:ascii="Arial" w:hAnsi="Arial" w:cs="Arial"/>
                <w:sz w:val="16"/>
                <w:szCs w:val="16"/>
                <w:lang w:eastAsia="es-AR"/>
              </w:rPr>
              <w:t>7</w:t>
            </w:r>
          </w:p>
        </w:tc>
        <w:tc>
          <w:tcPr>
            <w:tcW w:w="1268" w:type="dxa"/>
            <w:tcBorders>
              <w:top w:val="nil"/>
              <w:left w:val="nil"/>
              <w:bottom w:val="nil"/>
              <w:right w:val="nil"/>
            </w:tcBorders>
            <w:shd w:val="clear" w:color="auto" w:fill="auto"/>
            <w:vAlign w:val="bottom"/>
          </w:tcPr>
          <w:p w14:paraId="4446BE16" w14:textId="7BE8085A"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shd w:val="clear" w:color="auto" w:fill="auto"/>
            <w:vAlign w:val="bottom"/>
          </w:tcPr>
          <w:p w14:paraId="68F72E60" w14:textId="64A56501"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-123.098</w:t>
            </w:r>
          </w:p>
        </w:tc>
        <w:tc>
          <w:tcPr>
            <w:tcW w:w="1177" w:type="dxa"/>
            <w:tcBorders>
              <w:top w:val="nil"/>
              <w:left w:val="nil"/>
              <w:bottom w:val="nil"/>
              <w:right w:val="nil"/>
            </w:tcBorders>
            <w:shd w:val="clear" w:color="auto" w:fill="auto"/>
            <w:vAlign w:val="bottom"/>
          </w:tcPr>
          <w:p w14:paraId="6DBB17A7" w14:textId="50ADFDB6"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418.883</w:t>
            </w:r>
          </w:p>
        </w:tc>
        <w:tc>
          <w:tcPr>
            <w:tcW w:w="1276" w:type="dxa"/>
            <w:tcBorders>
              <w:top w:val="nil"/>
              <w:left w:val="nil"/>
              <w:bottom w:val="nil"/>
              <w:right w:val="nil"/>
            </w:tcBorders>
            <w:shd w:val="clear" w:color="auto" w:fill="auto"/>
            <w:vAlign w:val="bottom"/>
            <w:hideMark/>
          </w:tcPr>
          <w:p w14:paraId="3D874865" w14:textId="77777777" w:rsidR="00102567" w:rsidRPr="00534414" w:rsidRDefault="00102567" w:rsidP="00102567">
            <w:pPr>
              <w:jc w:val="right"/>
              <w:rPr>
                <w:rFonts w:ascii="Arial" w:hAnsi="Arial" w:cs="Arial"/>
                <w:sz w:val="16"/>
                <w:szCs w:val="16"/>
                <w:lang w:eastAsia="es-AR"/>
              </w:rPr>
            </w:pPr>
            <w:r w:rsidRPr="00534414">
              <w:rPr>
                <w:rFonts w:ascii="Arial" w:hAnsi="Arial" w:cs="Arial"/>
                <w:sz w:val="16"/>
                <w:szCs w:val="16"/>
                <w:lang w:eastAsia="es-AR"/>
              </w:rPr>
              <w:t>199.694</w:t>
            </w:r>
          </w:p>
        </w:tc>
      </w:tr>
      <w:tr w:rsidR="00102567" w:rsidRPr="00910815" w14:paraId="501EF85F" w14:textId="77777777" w:rsidTr="006A451F">
        <w:trPr>
          <w:trHeight w:val="300"/>
          <w:jc w:val="center"/>
        </w:trPr>
        <w:tc>
          <w:tcPr>
            <w:tcW w:w="2340" w:type="dxa"/>
            <w:tcBorders>
              <w:top w:val="nil"/>
              <w:left w:val="nil"/>
              <w:bottom w:val="nil"/>
              <w:right w:val="nil"/>
            </w:tcBorders>
            <w:shd w:val="clear" w:color="auto" w:fill="auto"/>
            <w:vAlign w:val="bottom"/>
            <w:hideMark/>
          </w:tcPr>
          <w:p w14:paraId="03414503" w14:textId="77777777" w:rsidR="00102567" w:rsidRPr="00534414" w:rsidRDefault="00102567" w:rsidP="00102567">
            <w:pPr>
              <w:ind w:firstLineChars="400" w:firstLine="640"/>
              <w:rPr>
                <w:rFonts w:ascii="Arial" w:hAnsi="Arial" w:cs="Arial"/>
                <w:sz w:val="16"/>
                <w:szCs w:val="16"/>
                <w:lang w:eastAsia="es-AR"/>
              </w:rPr>
            </w:pPr>
            <w:r w:rsidRPr="00534414">
              <w:rPr>
                <w:rFonts w:ascii="Arial" w:hAnsi="Arial" w:cs="Arial"/>
                <w:sz w:val="16"/>
                <w:szCs w:val="16"/>
                <w:lang w:eastAsia="es-AR"/>
              </w:rPr>
              <w:t>Hipotecarios</w:t>
            </w:r>
          </w:p>
        </w:tc>
        <w:tc>
          <w:tcPr>
            <w:tcW w:w="1030" w:type="dxa"/>
            <w:tcBorders>
              <w:top w:val="nil"/>
              <w:left w:val="nil"/>
              <w:bottom w:val="nil"/>
              <w:right w:val="nil"/>
            </w:tcBorders>
            <w:shd w:val="clear" w:color="auto" w:fill="auto"/>
            <w:vAlign w:val="bottom"/>
          </w:tcPr>
          <w:p w14:paraId="7A0141E7" w14:textId="7F938A51" w:rsidR="00102567" w:rsidRPr="00534414" w:rsidRDefault="007E7C6E" w:rsidP="00102567">
            <w:pPr>
              <w:jc w:val="right"/>
              <w:rPr>
                <w:rFonts w:ascii="Arial" w:hAnsi="Arial" w:cs="Arial"/>
                <w:sz w:val="16"/>
                <w:szCs w:val="16"/>
                <w:lang w:eastAsia="es-AR"/>
              </w:rPr>
            </w:pPr>
            <w:r>
              <w:rPr>
                <w:rFonts w:ascii="Arial" w:hAnsi="Arial" w:cs="Arial"/>
                <w:sz w:val="16"/>
                <w:szCs w:val="16"/>
                <w:lang w:eastAsia="es-AR"/>
              </w:rPr>
              <w:t>59.084</w:t>
            </w:r>
          </w:p>
        </w:tc>
        <w:tc>
          <w:tcPr>
            <w:tcW w:w="1218" w:type="dxa"/>
            <w:tcBorders>
              <w:top w:val="nil"/>
              <w:left w:val="nil"/>
              <w:bottom w:val="nil"/>
              <w:right w:val="nil"/>
            </w:tcBorders>
            <w:shd w:val="clear" w:color="auto" w:fill="auto"/>
            <w:vAlign w:val="bottom"/>
          </w:tcPr>
          <w:p w14:paraId="1D4A3581" w14:textId="2DEA3A4A"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575.111</w:t>
            </w:r>
          </w:p>
        </w:tc>
        <w:tc>
          <w:tcPr>
            <w:tcW w:w="1268" w:type="dxa"/>
            <w:tcBorders>
              <w:top w:val="nil"/>
              <w:left w:val="nil"/>
              <w:bottom w:val="nil"/>
              <w:right w:val="nil"/>
            </w:tcBorders>
            <w:shd w:val="clear" w:color="auto" w:fill="auto"/>
            <w:vAlign w:val="bottom"/>
          </w:tcPr>
          <w:p w14:paraId="42F366B6" w14:textId="0DCAF6A9"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shd w:val="clear" w:color="auto" w:fill="auto"/>
            <w:vAlign w:val="bottom"/>
          </w:tcPr>
          <w:p w14:paraId="0EB82D96" w14:textId="3E6579B3"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w:t>
            </w:r>
          </w:p>
        </w:tc>
        <w:tc>
          <w:tcPr>
            <w:tcW w:w="1177" w:type="dxa"/>
            <w:tcBorders>
              <w:top w:val="nil"/>
              <w:left w:val="nil"/>
              <w:bottom w:val="nil"/>
              <w:right w:val="nil"/>
            </w:tcBorders>
            <w:shd w:val="clear" w:color="auto" w:fill="auto"/>
            <w:vAlign w:val="bottom"/>
          </w:tcPr>
          <w:p w14:paraId="4AB98252" w14:textId="5A2E8E37"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634.195</w:t>
            </w:r>
          </w:p>
        </w:tc>
        <w:tc>
          <w:tcPr>
            <w:tcW w:w="1276" w:type="dxa"/>
            <w:tcBorders>
              <w:top w:val="nil"/>
              <w:left w:val="nil"/>
              <w:bottom w:val="nil"/>
              <w:right w:val="nil"/>
            </w:tcBorders>
            <w:shd w:val="clear" w:color="auto" w:fill="auto"/>
            <w:vAlign w:val="bottom"/>
            <w:hideMark/>
          </w:tcPr>
          <w:p w14:paraId="49C971C9" w14:textId="77777777" w:rsidR="00102567" w:rsidRPr="00534414" w:rsidRDefault="00102567" w:rsidP="00102567">
            <w:pPr>
              <w:jc w:val="right"/>
              <w:rPr>
                <w:rFonts w:ascii="Arial" w:hAnsi="Arial" w:cs="Arial"/>
                <w:sz w:val="16"/>
                <w:szCs w:val="16"/>
                <w:lang w:eastAsia="es-AR"/>
              </w:rPr>
            </w:pPr>
            <w:r w:rsidRPr="00534414">
              <w:rPr>
                <w:rFonts w:ascii="Arial" w:hAnsi="Arial" w:cs="Arial"/>
                <w:sz w:val="16"/>
                <w:szCs w:val="16"/>
                <w:lang w:eastAsia="es-AR"/>
              </w:rPr>
              <w:t>59.084</w:t>
            </w:r>
          </w:p>
        </w:tc>
      </w:tr>
      <w:tr w:rsidR="00102567" w:rsidRPr="00910815" w14:paraId="0DF5D061" w14:textId="77777777" w:rsidTr="006A451F">
        <w:trPr>
          <w:trHeight w:val="300"/>
          <w:jc w:val="center"/>
        </w:trPr>
        <w:tc>
          <w:tcPr>
            <w:tcW w:w="2340" w:type="dxa"/>
            <w:tcBorders>
              <w:top w:val="nil"/>
              <w:left w:val="nil"/>
              <w:bottom w:val="nil"/>
              <w:right w:val="nil"/>
            </w:tcBorders>
            <w:shd w:val="clear" w:color="auto" w:fill="auto"/>
            <w:vAlign w:val="bottom"/>
            <w:hideMark/>
          </w:tcPr>
          <w:p w14:paraId="4F2B31DF" w14:textId="77777777" w:rsidR="00102567" w:rsidRPr="00534414" w:rsidRDefault="00102567" w:rsidP="00102567">
            <w:pPr>
              <w:ind w:firstLineChars="400" w:firstLine="640"/>
              <w:rPr>
                <w:rFonts w:ascii="Arial" w:hAnsi="Arial" w:cs="Arial"/>
                <w:sz w:val="16"/>
                <w:szCs w:val="16"/>
                <w:lang w:eastAsia="es-AR"/>
              </w:rPr>
            </w:pPr>
            <w:r w:rsidRPr="00534414">
              <w:rPr>
                <w:rFonts w:ascii="Arial" w:hAnsi="Arial" w:cs="Arial"/>
                <w:sz w:val="16"/>
                <w:szCs w:val="16"/>
                <w:lang w:eastAsia="es-AR"/>
              </w:rPr>
              <w:t>Prendarios</w:t>
            </w:r>
          </w:p>
        </w:tc>
        <w:tc>
          <w:tcPr>
            <w:tcW w:w="1030" w:type="dxa"/>
            <w:tcBorders>
              <w:top w:val="nil"/>
              <w:left w:val="nil"/>
              <w:bottom w:val="nil"/>
              <w:right w:val="nil"/>
            </w:tcBorders>
            <w:shd w:val="clear" w:color="auto" w:fill="auto"/>
            <w:vAlign w:val="bottom"/>
          </w:tcPr>
          <w:p w14:paraId="47251E4A" w14:textId="38D01291" w:rsidR="00102567" w:rsidRPr="00534414" w:rsidRDefault="007E7C6E" w:rsidP="00102567">
            <w:pPr>
              <w:jc w:val="right"/>
              <w:rPr>
                <w:rFonts w:ascii="Arial" w:hAnsi="Arial" w:cs="Arial"/>
                <w:sz w:val="16"/>
                <w:szCs w:val="16"/>
                <w:lang w:eastAsia="es-AR"/>
              </w:rPr>
            </w:pPr>
            <w:r>
              <w:rPr>
                <w:rFonts w:ascii="Arial" w:hAnsi="Arial" w:cs="Arial"/>
                <w:sz w:val="16"/>
                <w:szCs w:val="16"/>
                <w:lang w:eastAsia="es-AR"/>
              </w:rPr>
              <w:t>14.340</w:t>
            </w:r>
          </w:p>
        </w:tc>
        <w:tc>
          <w:tcPr>
            <w:tcW w:w="1218" w:type="dxa"/>
            <w:tcBorders>
              <w:top w:val="nil"/>
              <w:left w:val="nil"/>
              <w:bottom w:val="nil"/>
              <w:right w:val="nil"/>
            </w:tcBorders>
            <w:shd w:val="clear" w:color="auto" w:fill="auto"/>
            <w:vAlign w:val="bottom"/>
          </w:tcPr>
          <w:p w14:paraId="7607D465" w14:textId="461F3566"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98.</w:t>
            </w:r>
            <w:r w:rsidR="0002243C">
              <w:rPr>
                <w:rFonts w:ascii="Arial" w:hAnsi="Arial" w:cs="Arial"/>
                <w:sz w:val="16"/>
                <w:szCs w:val="16"/>
                <w:lang w:eastAsia="es-AR"/>
              </w:rPr>
              <w:t>945</w:t>
            </w:r>
          </w:p>
        </w:tc>
        <w:tc>
          <w:tcPr>
            <w:tcW w:w="1268" w:type="dxa"/>
            <w:tcBorders>
              <w:top w:val="nil"/>
              <w:left w:val="nil"/>
              <w:bottom w:val="nil"/>
              <w:right w:val="nil"/>
            </w:tcBorders>
            <w:shd w:val="clear" w:color="auto" w:fill="auto"/>
            <w:vAlign w:val="bottom"/>
          </w:tcPr>
          <w:p w14:paraId="256C2CE4" w14:textId="60D5D4F4"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shd w:val="clear" w:color="auto" w:fill="auto"/>
            <w:vAlign w:val="bottom"/>
          </w:tcPr>
          <w:p w14:paraId="4202E698" w14:textId="481549FB"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-29.371</w:t>
            </w:r>
          </w:p>
        </w:tc>
        <w:tc>
          <w:tcPr>
            <w:tcW w:w="1177" w:type="dxa"/>
            <w:tcBorders>
              <w:top w:val="nil"/>
              <w:left w:val="nil"/>
              <w:bottom w:val="nil"/>
              <w:right w:val="nil"/>
            </w:tcBorders>
            <w:shd w:val="clear" w:color="auto" w:fill="auto"/>
            <w:vAlign w:val="bottom"/>
          </w:tcPr>
          <w:p w14:paraId="04551ECD" w14:textId="12473BFA"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83.914</w:t>
            </w:r>
          </w:p>
        </w:tc>
        <w:tc>
          <w:tcPr>
            <w:tcW w:w="1276" w:type="dxa"/>
            <w:tcBorders>
              <w:top w:val="nil"/>
              <w:left w:val="nil"/>
              <w:bottom w:val="nil"/>
              <w:right w:val="nil"/>
            </w:tcBorders>
            <w:shd w:val="clear" w:color="auto" w:fill="auto"/>
            <w:vAlign w:val="bottom"/>
            <w:hideMark/>
          </w:tcPr>
          <w:p w14:paraId="508B602F" w14:textId="77777777" w:rsidR="00102567" w:rsidRPr="00534414" w:rsidRDefault="00102567" w:rsidP="00102567">
            <w:pPr>
              <w:jc w:val="right"/>
              <w:rPr>
                <w:rFonts w:ascii="Arial" w:hAnsi="Arial" w:cs="Arial"/>
                <w:sz w:val="16"/>
                <w:szCs w:val="16"/>
                <w:lang w:eastAsia="es-AR"/>
              </w:rPr>
            </w:pPr>
            <w:r w:rsidRPr="00534414">
              <w:rPr>
                <w:rFonts w:ascii="Arial" w:hAnsi="Arial" w:cs="Arial"/>
                <w:sz w:val="16"/>
                <w:szCs w:val="16"/>
                <w:lang w:eastAsia="es-AR"/>
              </w:rPr>
              <w:t>14.340</w:t>
            </w:r>
          </w:p>
        </w:tc>
      </w:tr>
      <w:tr w:rsidR="00102567" w:rsidRPr="00910815" w14:paraId="6EA062A7" w14:textId="77777777" w:rsidTr="006A451F">
        <w:trPr>
          <w:trHeight w:val="300"/>
          <w:jc w:val="center"/>
        </w:trPr>
        <w:tc>
          <w:tcPr>
            <w:tcW w:w="2340" w:type="dxa"/>
            <w:tcBorders>
              <w:top w:val="nil"/>
              <w:left w:val="nil"/>
              <w:bottom w:val="nil"/>
              <w:right w:val="nil"/>
            </w:tcBorders>
            <w:shd w:val="clear" w:color="auto" w:fill="auto"/>
            <w:vAlign w:val="bottom"/>
            <w:hideMark/>
          </w:tcPr>
          <w:p w14:paraId="2A47E2E5" w14:textId="77777777" w:rsidR="00102567" w:rsidRPr="00534414" w:rsidRDefault="00102567" w:rsidP="00102567">
            <w:pPr>
              <w:ind w:firstLineChars="400" w:firstLine="640"/>
              <w:rPr>
                <w:rFonts w:ascii="Arial" w:hAnsi="Arial" w:cs="Arial"/>
                <w:sz w:val="16"/>
                <w:szCs w:val="16"/>
                <w:lang w:eastAsia="es-AR"/>
              </w:rPr>
            </w:pPr>
            <w:r w:rsidRPr="00534414">
              <w:rPr>
                <w:rFonts w:ascii="Arial" w:hAnsi="Arial" w:cs="Arial"/>
                <w:sz w:val="16"/>
                <w:szCs w:val="16"/>
                <w:lang w:eastAsia="es-AR"/>
              </w:rPr>
              <w:t>Personales</w:t>
            </w:r>
          </w:p>
        </w:tc>
        <w:tc>
          <w:tcPr>
            <w:tcW w:w="1030" w:type="dxa"/>
            <w:tcBorders>
              <w:top w:val="nil"/>
              <w:left w:val="nil"/>
              <w:bottom w:val="nil"/>
              <w:right w:val="nil"/>
            </w:tcBorders>
            <w:shd w:val="clear" w:color="auto" w:fill="auto"/>
            <w:vAlign w:val="bottom"/>
          </w:tcPr>
          <w:p w14:paraId="22D833E0" w14:textId="255D4C70" w:rsidR="00102567" w:rsidRPr="00534414" w:rsidRDefault="007E7C6E" w:rsidP="00102567">
            <w:pPr>
              <w:jc w:val="right"/>
              <w:rPr>
                <w:rFonts w:ascii="Arial" w:hAnsi="Arial" w:cs="Arial"/>
                <w:sz w:val="16"/>
                <w:szCs w:val="16"/>
                <w:lang w:eastAsia="es-AR"/>
              </w:rPr>
            </w:pPr>
            <w:r>
              <w:rPr>
                <w:rFonts w:ascii="Arial" w:hAnsi="Arial" w:cs="Arial"/>
                <w:sz w:val="16"/>
                <w:szCs w:val="16"/>
                <w:lang w:eastAsia="es-AR"/>
              </w:rPr>
              <w:t>1.101.057</w:t>
            </w:r>
          </w:p>
        </w:tc>
        <w:tc>
          <w:tcPr>
            <w:tcW w:w="1218" w:type="dxa"/>
            <w:tcBorders>
              <w:top w:val="nil"/>
              <w:left w:val="nil"/>
              <w:bottom w:val="nil"/>
              <w:right w:val="nil"/>
            </w:tcBorders>
            <w:shd w:val="clear" w:color="auto" w:fill="auto"/>
            <w:vAlign w:val="bottom"/>
          </w:tcPr>
          <w:p w14:paraId="5B4AD331" w14:textId="755E7BB7"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1.321.653</w:t>
            </w:r>
          </w:p>
        </w:tc>
        <w:tc>
          <w:tcPr>
            <w:tcW w:w="1268" w:type="dxa"/>
            <w:tcBorders>
              <w:top w:val="nil"/>
              <w:left w:val="nil"/>
              <w:bottom w:val="nil"/>
              <w:right w:val="nil"/>
            </w:tcBorders>
            <w:shd w:val="clear" w:color="auto" w:fill="auto"/>
            <w:vAlign w:val="bottom"/>
          </w:tcPr>
          <w:p w14:paraId="6094EF31" w14:textId="44BCFFE2"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shd w:val="clear" w:color="auto" w:fill="auto"/>
            <w:vAlign w:val="bottom"/>
          </w:tcPr>
          <w:p w14:paraId="4CA91653" w14:textId="2C29505C"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-1.217.354</w:t>
            </w:r>
          </w:p>
        </w:tc>
        <w:tc>
          <w:tcPr>
            <w:tcW w:w="1177" w:type="dxa"/>
            <w:tcBorders>
              <w:top w:val="nil"/>
              <w:left w:val="nil"/>
              <w:bottom w:val="nil"/>
              <w:right w:val="nil"/>
            </w:tcBorders>
            <w:shd w:val="clear" w:color="auto" w:fill="auto"/>
            <w:vAlign w:val="bottom"/>
          </w:tcPr>
          <w:p w14:paraId="0DCA3ABC" w14:textId="495BFA6E"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1.205.356</w:t>
            </w:r>
          </w:p>
        </w:tc>
        <w:tc>
          <w:tcPr>
            <w:tcW w:w="1276" w:type="dxa"/>
            <w:tcBorders>
              <w:top w:val="nil"/>
              <w:left w:val="nil"/>
              <w:bottom w:val="nil"/>
              <w:right w:val="nil"/>
            </w:tcBorders>
            <w:shd w:val="clear" w:color="auto" w:fill="auto"/>
            <w:vAlign w:val="bottom"/>
            <w:hideMark/>
          </w:tcPr>
          <w:p w14:paraId="223BE3D7" w14:textId="77777777" w:rsidR="00102567" w:rsidRPr="00534414" w:rsidRDefault="00102567" w:rsidP="00102567">
            <w:pPr>
              <w:jc w:val="right"/>
              <w:rPr>
                <w:rFonts w:ascii="Arial" w:hAnsi="Arial" w:cs="Arial"/>
                <w:sz w:val="16"/>
                <w:szCs w:val="16"/>
                <w:lang w:eastAsia="es-AR"/>
              </w:rPr>
            </w:pPr>
            <w:r w:rsidRPr="00534414">
              <w:rPr>
                <w:rFonts w:ascii="Arial" w:hAnsi="Arial" w:cs="Arial"/>
                <w:sz w:val="16"/>
                <w:szCs w:val="16"/>
                <w:lang w:eastAsia="es-AR"/>
              </w:rPr>
              <w:t>1.101.057</w:t>
            </w:r>
          </w:p>
        </w:tc>
      </w:tr>
      <w:tr w:rsidR="00102567" w:rsidRPr="00910815" w14:paraId="4909491E" w14:textId="77777777" w:rsidTr="006A451F">
        <w:trPr>
          <w:trHeight w:val="300"/>
          <w:jc w:val="center"/>
        </w:trPr>
        <w:tc>
          <w:tcPr>
            <w:tcW w:w="2340" w:type="dxa"/>
            <w:tcBorders>
              <w:top w:val="nil"/>
              <w:left w:val="nil"/>
              <w:bottom w:val="nil"/>
              <w:right w:val="nil"/>
            </w:tcBorders>
            <w:shd w:val="clear" w:color="auto" w:fill="auto"/>
            <w:vAlign w:val="bottom"/>
            <w:hideMark/>
          </w:tcPr>
          <w:p w14:paraId="19F59FAD" w14:textId="77777777" w:rsidR="00102567" w:rsidRPr="00534414" w:rsidRDefault="00102567" w:rsidP="00102567">
            <w:pPr>
              <w:ind w:firstLineChars="400" w:firstLine="640"/>
              <w:rPr>
                <w:rFonts w:ascii="Arial" w:hAnsi="Arial" w:cs="Arial"/>
                <w:sz w:val="16"/>
                <w:szCs w:val="16"/>
                <w:lang w:eastAsia="es-AR"/>
              </w:rPr>
            </w:pPr>
            <w:r w:rsidRPr="00534414">
              <w:rPr>
                <w:rFonts w:ascii="Arial" w:hAnsi="Arial" w:cs="Arial"/>
                <w:sz w:val="16"/>
                <w:szCs w:val="16"/>
                <w:lang w:eastAsia="es-AR"/>
              </w:rPr>
              <w:t>Tarjetas de Crédito</w:t>
            </w:r>
          </w:p>
        </w:tc>
        <w:tc>
          <w:tcPr>
            <w:tcW w:w="1030" w:type="dxa"/>
            <w:tcBorders>
              <w:top w:val="nil"/>
              <w:left w:val="nil"/>
              <w:bottom w:val="nil"/>
              <w:right w:val="nil"/>
            </w:tcBorders>
            <w:shd w:val="clear" w:color="auto" w:fill="auto"/>
            <w:vAlign w:val="bottom"/>
          </w:tcPr>
          <w:p w14:paraId="7EFB5ED3" w14:textId="64EB77C3" w:rsidR="00102567" w:rsidRPr="00534414" w:rsidRDefault="007E7C6E" w:rsidP="00102567">
            <w:pPr>
              <w:jc w:val="right"/>
              <w:rPr>
                <w:rFonts w:ascii="Arial" w:hAnsi="Arial" w:cs="Arial"/>
                <w:sz w:val="16"/>
                <w:szCs w:val="16"/>
                <w:lang w:eastAsia="es-AR"/>
              </w:rPr>
            </w:pPr>
            <w:r>
              <w:rPr>
                <w:rFonts w:ascii="Arial" w:hAnsi="Arial" w:cs="Arial"/>
                <w:sz w:val="16"/>
                <w:szCs w:val="16"/>
                <w:lang w:eastAsia="es-AR"/>
              </w:rPr>
              <w:t>518.760</w:t>
            </w:r>
          </w:p>
        </w:tc>
        <w:tc>
          <w:tcPr>
            <w:tcW w:w="1218" w:type="dxa"/>
            <w:tcBorders>
              <w:top w:val="nil"/>
              <w:left w:val="nil"/>
              <w:bottom w:val="nil"/>
              <w:right w:val="nil"/>
            </w:tcBorders>
            <w:shd w:val="clear" w:color="auto" w:fill="auto"/>
            <w:vAlign w:val="bottom"/>
          </w:tcPr>
          <w:p w14:paraId="0C71C096" w14:textId="5DEE6891"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991.371</w:t>
            </w:r>
          </w:p>
        </w:tc>
        <w:tc>
          <w:tcPr>
            <w:tcW w:w="1268" w:type="dxa"/>
            <w:tcBorders>
              <w:top w:val="nil"/>
              <w:left w:val="nil"/>
              <w:bottom w:val="nil"/>
              <w:right w:val="nil"/>
            </w:tcBorders>
            <w:shd w:val="clear" w:color="auto" w:fill="auto"/>
            <w:vAlign w:val="bottom"/>
          </w:tcPr>
          <w:p w14:paraId="02F5FEC2" w14:textId="44D73654"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-24</w:t>
            </w:r>
            <w:r w:rsidR="00E77434">
              <w:rPr>
                <w:rFonts w:ascii="Arial" w:hAnsi="Arial" w:cs="Arial"/>
                <w:sz w:val="16"/>
                <w:szCs w:val="16"/>
                <w:lang w:eastAsia="es-AR"/>
              </w:rPr>
              <w:t>.</w:t>
            </w:r>
            <w:r>
              <w:rPr>
                <w:rFonts w:ascii="Arial" w:hAnsi="Arial" w:cs="Arial"/>
                <w:sz w:val="16"/>
                <w:szCs w:val="16"/>
                <w:lang w:eastAsia="es-AR"/>
              </w:rPr>
              <w:t>122</w:t>
            </w:r>
          </w:p>
        </w:tc>
        <w:tc>
          <w:tcPr>
            <w:tcW w:w="1134" w:type="dxa"/>
            <w:tcBorders>
              <w:top w:val="nil"/>
              <w:left w:val="nil"/>
              <w:bottom w:val="nil"/>
              <w:right w:val="nil"/>
            </w:tcBorders>
            <w:shd w:val="clear" w:color="auto" w:fill="auto"/>
            <w:vAlign w:val="bottom"/>
          </w:tcPr>
          <w:p w14:paraId="323AF7CC" w14:textId="28ADEE1E"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-928.645</w:t>
            </w:r>
          </w:p>
        </w:tc>
        <w:tc>
          <w:tcPr>
            <w:tcW w:w="1177" w:type="dxa"/>
            <w:tcBorders>
              <w:top w:val="nil"/>
              <w:left w:val="nil"/>
              <w:bottom w:val="nil"/>
              <w:right w:val="nil"/>
            </w:tcBorders>
            <w:shd w:val="clear" w:color="auto" w:fill="auto"/>
            <w:vAlign w:val="bottom"/>
          </w:tcPr>
          <w:p w14:paraId="1B41241B" w14:textId="61D2A096"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557.364</w:t>
            </w:r>
          </w:p>
        </w:tc>
        <w:tc>
          <w:tcPr>
            <w:tcW w:w="1276" w:type="dxa"/>
            <w:tcBorders>
              <w:top w:val="nil"/>
              <w:left w:val="nil"/>
              <w:bottom w:val="nil"/>
              <w:right w:val="nil"/>
            </w:tcBorders>
            <w:shd w:val="clear" w:color="auto" w:fill="auto"/>
            <w:vAlign w:val="bottom"/>
            <w:hideMark/>
          </w:tcPr>
          <w:p w14:paraId="2D12E5DE" w14:textId="77777777" w:rsidR="00102567" w:rsidRPr="00534414" w:rsidRDefault="00102567" w:rsidP="00102567">
            <w:pPr>
              <w:jc w:val="right"/>
              <w:rPr>
                <w:rFonts w:ascii="Arial" w:hAnsi="Arial" w:cs="Arial"/>
                <w:sz w:val="16"/>
                <w:szCs w:val="16"/>
                <w:lang w:eastAsia="es-AR"/>
              </w:rPr>
            </w:pPr>
            <w:r w:rsidRPr="00534414">
              <w:rPr>
                <w:rFonts w:ascii="Arial" w:hAnsi="Arial" w:cs="Arial"/>
                <w:sz w:val="16"/>
                <w:szCs w:val="16"/>
                <w:lang w:eastAsia="es-AR"/>
              </w:rPr>
              <w:t>518.760</w:t>
            </w:r>
          </w:p>
        </w:tc>
      </w:tr>
      <w:tr w:rsidR="00102567" w:rsidRPr="00910815" w14:paraId="6693ED38" w14:textId="77777777" w:rsidTr="006A451F">
        <w:trPr>
          <w:trHeight w:val="300"/>
          <w:jc w:val="center"/>
        </w:trPr>
        <w:tc>
          <w:tcPr>
            <w:tcW w:w="2340" w:type="dxa"/>
            <w:tcBorders>
              <w:top w:val="nil"/>
              <w:left w:val="nil"/>
              <w:bottom w:val="nil"/>
              <w:right w:val="nil"/>
            </w:tcBorders>
            <w:shd w:val="clear" w:color="auto" w:fill="auto"/>
            <w:vAlign w:val="bottom"/>
            <w:hideMark/>
          </w:tcPr>
          <w:p w14:paraId="0446EB14" w14:textId="77777777" w:rsidR="00102567" w:rsidRPr="00534414" w:rsidRDefault="00102567" w:rsidP="00102567">
            <w:pPr>
              <w:ind w:firstLineChars="400" w:firstLine="640"/>
              <w:rPr>
                <w:rFonts w:ascii="Arial" w:hAnsi="Arial" w:cs="Arial"/>
                <w:sz w:val="16"/>
                <w:szCs w:val="16"/>
                <w:lang w:eastAsia="es-AR"/>
              </w:rPr>
            </w:pPr>
            <w:r w:rsidRPr="00534414">
              <w:rPr>
                <w:rFonts w:ascii="Arial" w:hAnsi="Arial" w:cs="Arial"/>
                <w:sz w:val="16"/>
                <w:szCs w:val="16"/>
                <w:lang w:eastAsia="es-AR"/>
              </w:rPr>
              <w:t>Arrendamientos Financieros</w:t>
            </w:r>
          </w:p>
        </w:tc>
        <w:tc>
          <w:tcPr>
            <w:tcW w:w="1030" w:type="dxa"/>
            <w:tcBorders>
              <w:top w:val="nil"/>
              <w:left w:val="nil"/>
              <w:bottom w:val="nil"/>
              <w:right w:val="nil"/>
            </w:tcBorders>
            <w:shd w:val="clear" w:color="auto" w:fill="auto"/>
            <w:vAlign w:val="bottom"/>
          </w:tcPr>
          <w:p w14:paraId="2FB51650" w14:textId="0FA3E45F" w:rsidR="00102567" w:rsidRPr="00534414" w:rsidRDefault="007E7C6E" w:rsidP="00102567">
            <w:pPr>
              <w:jc w:val="right"/>
              <w:rPr>
                <w:rFonts w:ascii="Arial" w:hAnsi="Arial" w:cs="Arial"/>
                <w:sz w:val="16"/>
                <w:szCs w:val="16"/>
                <w:lang w:eastAsia="es-AR"/>
              </w:rPr>
            </w:pPr>
            <w:r>
              <w:rPr>
                <w:rFonts w:ascii="Arial" w:hAnsi="Arial" w:cs="Arial"/>
                <w:sz w:val="16"/>
                <w:szCs w:val="16"/>
                <w:lang w:eastAsia="es-AR"/>
              </w:rPr>
              <w:t>54.901</w:t>
            </w:r>
          </w:p>
        </w:tc>
        <w:tc>
          <w:tcPr>
            <w:tcW w:w="1218" w:type="dxa"/>
            <w:tcBorders>
              <w:top w:val="nil"/>
              <w:left w:val="nil"/>
              <w:bottom w:val="nil"/>
              <w:right w:val="nil"/>
            </w:tcBorders>
            <w:shd w:val="clear" w:color="auto" w:fill="auto"/>
            <w:vAlign w:val="bottom"/>
          </w:tcPr>
          <w:p w14:paraId="5125CFCE" w14:textId="1AB40658"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59.870</w:t>
            </w:r>
          </w:p>
        </w:tc>
        <w:tc>
          <w:tcPr>
            <w:tcW w:w="1268" w:type="dxa"/>
            <w:tcBorders>
              <w:top w:val="nil"/>
              <w:left w:val="nil"/>
              <w:bottom w:val="nil"/>
              <w:right w:val="nil"/>
            </w:tcBorders>
            <w:shd w:val="clear" w:color="auto" w:fill="auto"/>
            <w:vAlign w:val="bottom"/>
          </w:tcPr>
          <w:p w14:paraId="32A1FC63" w14:textId="2791B5F8" w:rsidR="00102567" w:rsidRPr="00823628" w:rsidRDefault="007E7C6E" w:rsidP="00823628">
            <w:pPr>
              <w:jc w:val="right"/>
              <w:rPr>
                <w:rFonts w:ascii="Arial" w:hAnsi="Arial" w:cs="Arial"/>
                <w:sz w:val="16"/>
                <w:szCs w:val="16"/>
                <w:lang w:eastAsia="es-AR"/>
              </w:rPr>
            </w:pPr>
            <w:r>
              <w:rPr>
                <w:rFonts w:ascii="Arial" w:hAnsi="Arial" w:cs="Arial"/>
                <w:sz w:val="16"/>
                <w:szCs w:val="16"/>
                <w:lang w:eastAsia="es-AR"/>
              </w:rPr>
              <w:t>-12.634</w:t>
            </w:r>
          </w:p>
        </w:tc>
        <w:tc>
          <w:tcPr>
            <w:tcW w:w="1134" w:type="dxa"/>
            <w:tcBorders>
              <w:top w:val="nil"/>
              <w:left w:val="nil"/>
              <w:bottom w:val="nil"/>
              <w:right w:val="nil"/>
            </w:tcBorders>
            <w:shd w:val="clear" w:color="auto" w:fill="auto"/>
            <w:vAlign w:val="bottom"/>
          </w:tcPr>
          <w:p w14:paraId="0B5C20AF" w14:textId="7A1027AD" w:rsidR="00102567" w:rsidRPr="00823628" w:rsidRDefault="00E77434" w:rsidP="00823628">
            <w:pPr>
              <w:jc w:val="right"/>
              <w:rPr>
                <w:rFonts w:ascii="Arial" w:hAnsi="Arial" w:cs="Arial"/>
                <w:sz w:val="16"/>
                <w:szCs w:val="16"/>
                <w:lang w:eastAsia="es-AR"/>
              </w:rPr>
            </w:pPr>
            <w:r>
              <w:rPr>
                <w:rFonts w:ascii="Arial" w:hAnsi="Arial" w:cs="Arial"/>
                <w:sz w:val="16"/>
                <w:szCs w:val="16"/>
                <w:lang w:eastAsia="es-AR"/>
              </w:rPr>
              <w:t>-20.085</w:t>
            </w:r>
          </w:p>
        </w:tc>
        <w:tc>
          <w:tcPr>
            <w:tcW w:w="1177" w:type="dxa"/>
            <w:tcBorders>
              <w:top w:val="nil"/>
              <w:left w:val="nil"/>
              <w:bottom w:val="nil"/>
              <w:right w:val="nil"/>
            </w:tcBorders>
            <w:shd w:val="clear" w:color="auto" w:fill="auto"/>
            <w:vAlign w:val="bottom"/>
          </w:tcPr>
          <w:p w14:paraId="685E8E52" w14:textId="4D8927AF" w:rsidR="00102567" w:rsidRPr="00823628" w:rsidRDefault="00E77434" w:rsidP="00823628">
            <w:pPr>
              <w:jc w:val="right"/>
              <w:rPr>
                <w:rFonts w:ascii="Arial" w:hAnsi="Arial" w:cs="Arial"/>
                <w:sz w:val="16"/>
                <w:szCs w:val="16"/>
                <w:lang w:eastAsia="es-AR"/>
              </w:rPr>
            </w:pPr>
            <w:r>
              <w:rPr>
                <w:rFonts w:ascii="Arial" w:hAnsi="Arial" w:cs="Arial"/>
                <w:sz w:val="16"/>
                <w:szCs w:val="16"/>
                <w:lang w:eastAsia="es-AR"/>
              </w:rPr>
              <w:t>82.052</w:t>
            </w:r>
          </w:p>
        </w:tc>
        <w:tc>
          <w:tcPr>
            <w:tcW w:w="1276" w:type="dxa"/>
            <w:tcBorders>
              <w:top w:val="nil"/>
              <w:left w:val="nil"/>
              <w:bottom w:val="nil"/>
              <w:right w:val="nil"/>
            </w:tcBorders>
            <w:shd w:val="clear" w:color="auto" w:fill="auto"/>
            <w:vAlign w:val="bottom"/>
            <w:hideMark/>
          </w:tcPr>
          <w:p w14:paraId="0E86DB33" w14:textId="77777777" w:rsidR="00102567" w:rsidRPr="00534414" w:rsidRDefault="00102567" w:rsidP="00102567">
            <w:pPr>
              <w:jc w:val="right"/>
              <w:rPr>
                <w:rFonts w:ascii="Arial" w:hAnsi="Arial" w:cs="Arial"/>
                <w:sz w:val="16"/>
                <w:szCs w:val="16"/>
                <w:lang w:eastAsia="es-AR"/>
              </w:rPr>
            </w:pPr>
            <w:r w:rsidRPr="00534414">
              <w:rPr>
                <w:rFonts w:ascii="Arial" w:hAnsi="Arial" w:cs="Arial"/>
                <w:sz w:val="16"/>
                <w:szCs w:val="16"/>
                <w:lang w:eastAsia="es-AR"/>
              </w:rPr>
              <w:t>54.901</w:t>
            </w:r>
          </w:p>
        </w:tc>
      </w:tr>
      <w:tr w:rsidR="00102567" w:rsidRPr="00910815" w14:paraId="7EB5CF29" w14:textId="77777777" w:rsidTr="006A451F">
        <w:trPr>
          <w:trHeight w:val="300"/>
          <w:jc w:val="center"/>
        </w:trPr>
        <w:tc>
          <w:tcPr>
            <w:tcW w:w="2340" w:type="dxa"/>
            <w:tcBorders>
              <w:top w:val="nil"/>
              <w:left w:val="nil"/>
              <w:bottom w:val="nil"/>
              <w:right w:val="nil"/>
            </w:tcBorders>
            <w:shd w:val="clear" w:color="auto" w:fill="auto"/>
            <w:vAlign w:val="bottom"/>
            <w:hideMark/>
          </w:tcPr>
          <w:p w14:paraId="5400784D" w14:textId="77777777" w:rsidR="00102567" w:rsidRPr="00534414" w:rsidRDefault="00102567" w:rsidP="00102567">
            <w:pPr>
              <w:ind w:firstLineChars="400" w:firstLine="640"/>
              <w:rPr>
                <w:rFonts w:ascii="Arial" w:hAnsi="Arial" w:cs="Arial"/>
                <w:sz w:val="16"/>
                <w:szCs w:val="16"/>
                <w:lang w:eastAsia="es-AR"/>
              </w:rPr>
            </w:pPr>
            <w:r w:rsidRPr="00534414">
              <w:rPr>
                <w:rFonts w:ascii="Arial" w:hAnsi="Arial" w:cs="Arial"/>
                <w:sz w:val="16"/>
                <w:szCs w:val="16"/>
                <w:lang w:eastAsia="es-AR"/>
              </w:rPr>
              <w:t>Otros</w:t>
            </w:r>
          </w:p>
        </w:tc>
        <w:tc>
          <w:tcPr>
            <w:tcW w:w="1030" w:type="dxa"/>
            <w:tcBorders>
              <w:top w:val="nil"/>
              <w:left w:val="nil"/>
              <w:bottom w:val="nil"/>
              <w:right w:val="nil"/>
            </w:tcBorders>
            <w:shd w:val="clear" w:color="auto" w:fill="auto"/>
            <w:vAlign w:val="bottom"/>
          </w:tcPr>
          <w:p w14:paraId="3113FE96" w14:textId="3833AFA7" w:rsidR="00102567" w:rsidRPr="00534414" w:rsidRDefault="00E77434" w:rsidP="00102567">
            <w:pPr>
              <w:jc w:val="right"/>
              <w:rPr>
                <w:rFonts w:ascii="Arial" w:hAnsi="Arial" w:cs="Arial"/>
                <w:sz w:val="16"/>
                <w:szCs w:val="16"/>
                <w:lang w:eastAsia="es-AR"/>
              </w:rPr>
            </w:pPr>
            <w:r>
              <w:rPr>
                <w:rFonts w:ascii="Arial" w:hAnsi="Arial" w:cs="Arial"/>
                <w:sz w:val="16"/>
                <w:szCs w:val="16"/>
                <w:lang w:eastAsia="es-AR"/>
              </w:rPr>
              <w:t>1.197.899</w:t>
            </w:r>
          </w:p>
        </w:tc>
        <w:tc>
          <w:tcPr>
            <w:tcW w:w="1218" w:type="dxa"/>
            <w:tcBorders>
              <w:top w:val="nil"/>
              <w:left w:val="nil"/>
              <w:bottom w:val="nil"/>
              <w:right w:val="nil"/>
            </w:tcBorders>
            <w:shd w:val="clear" w:color="auto" w:fill="auto"/>
            <w:vAlign w:val="bottom"/>
          </w:tcPr>
          <w:p w14:paraId="671A8772" w14:textId="3650622C" w:rsidR="00102567" w:rsidRPr="00823628" w:rsidRDefault="00E77434" w:rsidP="00823628">
            <w:pPr>
              <w:jc w:val="right"/>
              <w:rPr>
                <w:rFonts w:ascii="Arial" w:hAnsi="Arial" w:cs="Arial"/>
                <w:sz w:val="16"/>
                <w:szCs w:val="16"/>
                <w:lang w:eastAsia="es-AR"/>
              </w:rPr>
            </w:pPr>
            <w:r>
              <w:rPr>
                <w:rFonts w:ascii="Arial" w:hAnsi="Arial" w:cs="Arial"/>
                <w:sz w:val="16"/>
                <w:szCs w:val="16"/>
                <w:lang w:eastAsia="es-AR"/>
              </w:rPr>
              <w:t>1.291.</w:t>
            </w:r>
            <w:r w:rsidR="0002243C">
              <w:rPr>
                <w:rFonts w:ascii="Arial" w:hAnsi="Arial" w:cs="Arial"/>
                <w:sz w:val="16"/>
                <w:szCs w:val="16"/>
                <w:lang w:eastAsia="es-AR"/>
              </w:rPr>
              <w:t>266</w:t>
            </w:r>
          </w:p>
        </w:tc>
        <w:tc>
          <w:tcPr>
            <w:tcW w:w="1268" w:type="dxa"/>
            <w:tcBorders>
              <w:top w:val="nil"/>
              <w:left w:val="nil"/>
              <w:bottom w:val="nil"/>
              <w:right w:val="nil"/>
            </w:tcBorders>
            <w:shd w:val="clear" w:color="auto" w:fill="auto"/>
            <w:vAlign w:val="bottom"/>
          </w:tcPr>
          <w:p w14:paraId="7FCB2123" w14:textId="77CFEA72" w:rsidR="00102567" w:rsidRPr="00823628" w:rsidRDefault="00E77434" w:rsidP="00823628">
            <w:pPr>
              <w:jc w:val="right"/>
              <w:rPr>
                <w:rFonts w:ascii="Arial" w:hAnsi="Arial" w:cs="Arial"/>
                <w:sz w:val="16"/>
                <w:szCs w:val="16"/>
                <w:lang w:eastAsia="es-AR"/>
              </w:rPr>
            </w:pPr>
            <w:r>
              <w:rPr>
                <w:rFonts w:ascii="Arial" w:hAnsi="Arial" w:cs="Arial"/>
                <w:sz w:val="16"/>
                <w:szCs w:val="16"/>
                <w:lang w:eastAsia="es-AR"/>
              </w:rPr>
              <w:t>-2.000</w:t>
            </w:r>
          </w:p>
        </w:tc>
        <w:tc>
          <w:tcPr>
            <w:tcW w:w="1134" w:type="dxa"/>
            <w:tcBorders>
              <w:top w:val="nil"/>
              <w:left w:val="nil"/>
              <w:bottom w:val="nil"/>
              <w:right w:val="nil"/>
            </w:tcBorders>
            <w:shd w:val="clear" w:color="auto" w:fill="auto"/>
            <w:vAlign w:val="bottom"/>
          </w:tcPr>
          <w:p w14:paraId="2EC33E2B" w14:textId="44D2FCD6" w:rsidR="00102567" w:rsidRPr="00823628" w:rsidRDefault="00E77434" w:rsidP="00823628">
            <w:pPr>
              <w:jc w:val="right"/>
              <w:rPr>
                <w:rFonts w:ascii="Arial" w:hAnsi="Arial" w:cs="Arial"/>
                <w:sz w:val="16"/>
                <w:szCs w:val="16"/>
                <w:lang w:eastAsia="es-AR"/>
              </w:rPr>
            </w:pPr>
            <w:r>
              <w:rPr>
                <w:rFonts w:ascii="Arial" w:hAnsi="Arial" w:cs="Arial"/>
                <w:sz w:val="16"/>
                <w:szCs w:val="16"/>
                <w:lang w:eastAsia="es-AR"/>
              </w:rPr>
              <w:t>-626.30</w:t>
            </w:r>
            <w:r w:rsidR="0002243C">
              <w:rPr>
                <w:rFonts w:ascii="Arial" w:hAnsi="Arial" w:cs="Arial"/>
                <w:sz w:val="16"/>
                <w:szCs w:val="16"/>
                <w:lang w:eastAsia="es-AR"/>
              </w:rPr>
              <w:t>6</w:t>
            </w:r>
          </w:p>
        </w:tc>
        <w:tc>
          <w:tcPr>
            <w:tcW w:w="1177" w:type="dxa"/>
            <w:tcBorders>
              <w:top w:val="nil"/>
              <w:left w:val="nil"/>
              <w:bottom w:val="nil"/>
              <w:right w:val="nil"/>
            </w:tcBorders>
            <w:shd w:val="clear" w:color="auto" w:fill="auto"/>
            <w:vAlign w:val="bottom"/>
          </w:tcPr>
          <w:p w14:paraId="1334B43E" w14:textId="6D3A8930" w:rsidR="00102567" w:rsidRPr="00823628" w:rsidRDefault="00E77434" w:rsidP="00823628">
            <w:pPr>
              <w:jc w:val="right"/>
              <w:rPr>
                <w:rFonts w:ascii="Arial" w:hAnsi="Arial" w:cs="Arial"/>
                <w:sz w:val="16"/>
                <w:szCs w:val="16"/>
                <w:lang w:eastAsia="es-AR"/>
              </w:rPr>
            </w:pPr>
            <w:r>
              <w:rPr>
                <w:rFonts w:ascii="Arial" w:hAnsi="Arial" w:cs="Arial"/>
                <w:sz w:val="16"/>
                <w:szCs w:val="16"/>
                <w:lang w:eastAsia="es-AR"/>
              </w:rPr>
              <w:t>1.860.85</w:t>
            </w:r>
            <w:r w:rsidR="0002243C">
              <w:rPr>
                <w:rFonts w:ascii="Arial" w:hAnsi="Arial" w:cs="Arial"/>
                <w:sz w:val="16"/>
                <w:szCs w:val="16"/>
                <w:lang w:eastAsia="es-AR"/>
              </w:rPr>
              <w:t>9</w:t>
            </w:r>
          </w:p>
        </w:tc>
        <w:tc>
          <w:tcPr>
            <w:tcW w:w="1276" w:type="dxa"/>
            <w:tcBorders>
              <w:top w:val="nil"/>
              <w:left w:val="nil"/>
              <w:bottom w:val="nil"/>
              <w:right w:val="nil"/>
            </w:tcBorders>
            <w:shd w:val="clear" w:color="auto" w:fill="auto"/>
            <w:vAlign w:val="bottom"/>
            <w:hideMark/>
          </w:tcPr>
          <w:p w14:paraId="67F35FF9" w14:textId="77777777" w:rsidR="00102567" w:rsidRPr="00534414" w:rsidRDefault="00102567" w:rsidP="00102567">
            <w:pPr>
              <w:jc w:val="right"/>
              <w:rPr>
                <w:rFonts w:ascii="Arial" w:hAnsi="Arial" w:cs="Arial"/>
                <w:sz w:val="16"/>
                <w:szCs w:val="16"/>
                <w:lang w:eastAsia="es-AR"/>
              </w:rPr>
            </w:pPr>
            <w:r w:rsidRPr="00534414">
              <w:rPr>
                <w:rFonts w:ascii="Arial" w:hAnsi="Arial" w:cs="Arial"/>
                <w:sz w:val="16"/>
                <w:szCs w:val="16"/>
                <w:lang w:eastAsia="es-AR"/>
              </w:rPr>
              <w:t>1.197.899</w:t>
            </w:r>
          </w:p>
        </w:tc>
      </w:tr>
      <w:tr w:rsidR="00910815" w:rsidRPr="00910815" w14:paraId="66AE1D2A" w14:textId="77777777" w:rsidTr="006A451F">
        <w:trPr>
          <w:trHeight w:val="120"/>
          <w:jc w:val="center"/>
        </w:trPr>
        <w:tc>
          <w:tcPr>
            <w:tcW w:w="2340" w:type="dxa"/>
            <w:tcBorders>
              <w:top w:val="nil"/>
              <w:left w:val="nil"/>
              <w:bottom w:val="nil"/>
              <w:right w:val="nil"/>
            </w:tcBorders>
            <w:shd w:val="clear" w:color="auto" w:fill="auto"/>
            <w:vAlign w:val="bottom"/>
            <w:hideMark/>
          </w:tcPr>
          <w:p w14:paraId="1FD953D4" w14:textId="77777777" w:rsidR="00910815" w:rsidRPr="00534414" w:rsidRDefault="00910815" w:rsidP="00534414">
            <w:pPr>
              <w:rPr>
                <w:rFonts w:ascii="Arial" w:hAnsi="Arial" w:cs="Arial"/>
                <w:sz w:val="16"/>
                <w:szCs w:val="16"/>
                <w:lang w:eastAsia="es-AR"/>
              </w:rPr>
            </w:pPr>
          </w:p>
        </w:tc>
        <w:tc>
          <w:tcPr>
            <w:tcW w:w="1030" w:type="dxa"/>
            <w:tcBorders>
              <w:top w:val="nil"/>
              <w:left w:val="nil"/>
              <w:bottom w:val="nil"/>
              <w:right w:val="nil"/>
            </w:tcBorders>
            <w:shd w:val="clear" w:color="auto" w:fill="auto"/>
            <w:vAlign w:val="bottom"/>
          </w:tcPr>
          <w:p w14:paraId="6F71B046" w14:textId="77777777" w:rsidR="00910815" w:rsidRPr="00534414" w:rsidRDefault="00910815" w:rsidP="00534414">
            <w:pPr>
              <w:ind w:firstLineChars="400" w:firstLine="640"/>
              <w:jc w:val="right"/>
              <w:rPr>
                <w:sz w:val="16"/>
                <w:szCs w:val="16"/>
                <w:lang w:eastAsia="es-AR"/>
              </w:rPr>
            </w:pPr>
          </w:p>
        </w:tc>
        <w:tc>
          <w:tcPr>
            <w:tcW w:w="1218" w:type="dxa"/>
            <w:tcBorders>
              <w:top w:val="nil"/>
              <w:left w:val="nil"/>
              <w:bottom w:val="nil"/>
              <w:right w:val="nil"/>
            </w:tcBorders>
            <w:shd w:val="clear" w:color="auto" w:fill="auto"/>
            <w:vAlign w:val="bottom"/>
          </w:tcPr>
          <w:p w14:paraId="77845979" w14:textId="77777777" w:rsidR="00910815" w:rsidRPr="00823628" w:rsidRDefault="00910815" w:rsidP="00823628">
            <w:pPr>
              <w:jc w:val="right"/>
              <w:rPr>
                <w:rFonts w:ascii="Arial" w:hAnsi="Arial" w:cs="Arial"/>
                <w:sz w:val="16"/>
                <w:szCs w:val="16"/>
                <w:lang w:eastAsia="es-AR"/>
              </w:rPr>
            </w:pPr>
          </w:p>
        </w:tc>
        <w:tc>
          <w:tcPr>
            <w:tcW w:w="1268" w:type="dxa"/>
            <w:tcBorders>
              <w:top w:val="nil"/>
              <w:left w:val="nil"/>
              <w:bottom w:val="nil"/>
              <w:right w:val="nil"/>
            </w:tcBorders>
            <w:shd w:val="clear" w:color="auto" w:fill="auto"/>
            <w:vAlign w:val="bottom"/>
          </w:tcPr>
          <w:p w14:paraId="2B697477" w14:textId="77777777" w:rsidR="00910815" w:rsidRPr="00823628" w:rsidRDefault="00910815" w:rsidP="00823628">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07A5B64D" w14:textId="77777777" w:rsidR="00910815" w:rsidRPr="00823628" w:rsidRDefault="00910815" w:rsidP="00823628">
            <w:pPr>
              <w:jc w:val="right"/>
              <w:rPr>
                <w:rFonts w:ascii="Arial" w:hAnsi="Arial" w:cs="Arial"/>
                <w:sz w:val="16"/>
                <w:szCs w:val="16"/>
                <w:lang w:eastAsia="es-AR"/>
              </w:rPr>
            </w:pPr>
          </w:p>
        </w:tc>
        <w:tc>
          <w:tcPr>
            <w:tcW w:w="1177" w:type="dxa"/>
            <w:tcBorders>
              <w:top w:val="nil"/>
              <w:left w:val="nil"/>
              <w:bottom w:val="nil"/>
              <w:right w:val="nil"/>
            </w:tcBorders>
            <w:shd w:val="clear" w:color="auto" w:fill="auto"/>
            <w:vAlign w:val="bottom"/>
          </w:tcPr>
          <w:p w14:paraId="7B4F5CDE" w14:textId="77777777" w:rsidR="00910815" w:rsidRPr="00823628" w:rsidRDefault="00910815" w:rsidP="00823628">
            <w:pPr>
              <w:jc w:val="right"/>
              <w:rPr>
                <w:rFonts w:ascii="Arial" w:hAnsi="Arial" w:cs="Arial"/>
                <w:sz w:val="16"/>
                <w:szCs w:val="16"/>
                <w:lang w:eastAsia="es-AR"/>
              </w:rPr>
            </w:pPr>
          </w:p>
        </w:tc>
        <w:tc>
          <w:tcPr>
            <w:tcW w:w="1276" w:type="dxa"/>
            <w:tcBorders>
              <w:top w:val="nil"/>
              <w:left w:val="nil"/>
              <w:bottom w:val="nil"/>
              <w:right w:val="nil"/>
            </w:tcBorders>
            <w:shd w:val="clear" w:color="auto" w:fill="auto"/>
            <w:vAlign w:val="bottom"/>
            <w:hideMark/>
          </w:tcPr>
          <w:p w14:paraId="2EAAB9FE" w14:textId="77777777" w:rsidR="00910815" w:rsidRPr="00534414" w:rsidRDefault="00910815" w:rsidP="00534414">
            <w:pPr>
              <w:jc w:val="right"/>
              <w:rPr>
                <w:sz w:val="16"/>
                <w:szCs w:val="16"/>
                <w:lang w:eastAsia="es-AR"/>
              </w:rPr>
            </w:pPr>
          </w:p>
        </w:tc>
      </w:tr>
      <w:tr w:rsidR="00910815" w:rsidRPr="00910815" w14:paraId="483002F3" w14:textId="77777777" w:rsidTr="006A451F">
        <w:trPr>
          <w:trHeight w:val="300"/>
          <w:jc w:val="center"/>
        </w:trPr>
        <w:tc>
          <w:tcPr>
            <w:tcW w:w="2340" w:type="dxa"/>
            <w:tcBorders>
              <w:top w:val="nil"/>
              <w:left w:val="nil"/>
              <w:bottom w:val="nil"/>
              <w:right w:val="nil"/>
            </w:tcBorders>
            <w:shd w:val="clear" w:color="auto" w:fill="auto"/>
            <w:vAlign w:val="bottom"/>
            <w:hideMark/>
          </w:tcPr>
          <w:p w14:paraId="40A1B092" w14:textId="42793EA1" w:rsidR="00910815" w:rsidRPr="00534414" w:rsidRDefault="00910815">
            <w:pPr>
              <w:rPr>
                <w:rFonts w:ascii="Arial" w:hAnsi="Arial" w:cs="Arial"/>
                <w:sz w:val="16"/>
                <w:szCs w:val="16"/>
                <w:lang w:eastAsia="es-AR"/>
              </w:rPr>
            </w:pPr>
            <w:r>
              <w:rPr>
                <w:rFonts w:ascii="Arial" w:hAnsi="Arial" w:cs="Arial"/>
                <w:sz w:val="16"/>
                <w:szCs w:val="16"/>
                <w:lang w:eastAsia="es-AR"/>
              </w:rPr>
              <w:t>Títulos Privados</w:t>
            </w:r>
          </w:p>
        </w:tc>
        <w:tc>
          <w:tcPr>
            <w:tcW w:w="1030" w:type="dxa"/>
            <w:tcBorders>
              <w:top w:val="nil"/>
              <w:left w:val="nil"/>
              <w:bottom w:val="nil"/>
              <w:right w:val="nil"/>
            </w:tcBorders>
            <w:shd w:val="clear" w:color="auto" w:fill="auto"/>
            <w:vAlign w:val="bottom"/>
          </w:tcPr>
          <w:p w14:paraId="15FFA27D" w14:textId="62F6A21D" w:rsidR="00910815" w:rsidRPr="00534414" w:rsidRDefault="00E77434">
            <w:pPr>
              <w:jc w:val="right"/>
              <w:rPr>
                <w:rFonts w:ascii="Arial" w:hAnsi="Arial" w:cs="Arial"/>
                <w:sz w:val="16"/>
                <w:szCs w:val="16"/>
                <w:lang w:eastAsia="es-AR"/>
              </w:rPr>
            </w:pPr>
            <w:r>
              <w:rPr>
                <w:rFonts w:ascii="Arial" w:hAnsi="Arial" w:cs="Arial"/>
                <w:sz w:val="16"/>
                <w:szCs w:val="16"/>
                <w:lang w:eastAsia="es-AR"/>
              </w:rPr>
              <w:t>74</w:t>
            </w:r>
          </w:p>
        </w:tc>
        <w:tc>
          <w:tcPr>
            <w:tcW w:w="1218" w:type="dxa"/>
            <w:tcBorders>
              <w:top w:val="nil"/>
              <w:left w:val="nil"/>
              <w:bottom w:val="nil"/>
              <w:right w:val="nil"/>
            </w:tcBorders>
            <w:shd w:val="clear" w:color="auto" w:fill="auto"/>
            <w:vAlign w:val="bottom"/>
          </w:tcPr>
          <w:p w14:paraId="0B0959E6" w14:textId="4A0DE1EC" w:rsidR="00910815" w:rsidRPr="00823628" w:rsidRDefault="00E77434" w:rsidP="00823628">
            <w:pPr>
              <w:jc w:val="right"/>
              <w:rPr>
                <w:rFonts w:ascii="Arial" w:hAnsi="Arial" w:cs="Arial"/>
                <w:sz w:val="16"/>
                <w:szCs w:val="16"/>
                <w:lang w:eastAsia="es-AR"/>
              </w:rPr>
            </w:pPr>
            <w:r>
              <w:rPr>
                <w:rFonts w:ascii="Arial" w:hAnsi="Arial" w:cs="Arial"/>
                <w:sz w:val="16"/>
                <w:szCs w:val="16"/>
                <w:lang w:eastAsia="es-AR"/>
              </w:rPr>
              <w:t>3.555</w:t>
            </w:r>
          </w:p>
        </w:tc>
        <w:tc>
          <w:tcPr>
            <w:tcW w:w="1268" w:type="dxa"/>
            <w:tcBorders>
              <w:top w:val="nil"/>
              <w:left w:val="nil"/>
              <w:bottom w:val="nil"/>
              <w:right w:val="nil"/>
            </w:tcBorders>
            <w:shd w:val="clear" w:color="auto" w:fill="auto"/>
            <w:vAlign w:val="bottom"/>
          </w:tcPr>
          <w:p w14:paraId="00CA80C9" w14:textId="11A0F793" w:rsidR="00910815" w:rsidRPr="00823628" w:rsidRDefault="00E77434" w:rsidP="00823628">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shd w:val="clear" w:color="auto" w:fill="auto"/>
            <w:vAlign w:val="bottom"/>
          </w:tcPr>
          <w:p w14:paraId="73BB4348" w14:textId="674677E6" w:rsidR="00910815" w:rsidRPr="00823628" w:rsidRDefault="00E77434" w:rsidP="00823628">
            <w:pPr>
              <w:jc w:val="right"/>
              <w:rPr>
                <w:rFonts w:ascii="Arial" w:hAnsi="Arial" w:cs="Arial"/>
                <w:sz w:val="16"/>
                <w:szCs w:val="16"/>
                <w:lang w:eastAsia="es-AR"/>
              </w:rPr>
            </w:pPr>
            <w:r>
              <w:rPr>
                <w:rFonts w:ascii="Arial" w:hAnsi="Arial" w:cs="Arial"/>
                <w:sz w:val="16"/>
                <w:szCs w:val="16"/>
                <w:lang w:eastAsia="es-AR"/>
              </w:rPr>
              <w:t>-</w:t>
            </w:r>
          </w:p>
        </w:tc>
        <w:tc>
          <w:tcPr>
            <w:tcW w:w="1177" w:type="dxa"/>
            <w:tcBorders>
              <w:top w:val="nil"/>
              <w:left w:val="nil"/>
              <w:bottom w:val="nil"/>
              <w:right w:val="nil"/>
            </w:tcBorders>
            <w:shd w:val="clear" w:color="auto" w:fill="auto"/>
            <w:vAlign w:val="bottom"/>
          </w:tcPr>
          <w:p w14:paraId="72111E0F" w14:textId="1ADF60EF" w:rsidR="00910815" w:rsidRPr="00823628" w:rsidRDefault="00E77434" w:rsidP="00823628">
            <w:pPr>
              <w:jc w:val="right"/>
              <w:rPr>
                <w:rFonts w:ascii="Arial" w:hAnsi="Arial" w:cs="Arial"/>
                <w:color w:val="000000"/>
                <w:sz w:val="16"/>
                <w:szCs w:val="16"/>
                <w:lang w:eastAsia="es-AR"/>
              </w:rPr>
            </w:pPr>
            <w:r>
              <w:rPr>
                <w:rFonts w:ascii="Arial" w:hAnsi="Arial" w:cs="Arial"/>
                <w:color w:val="000000"/>
                <w:sz w:val="16"/>
                <w:szCs w:val="16"/>
                <w:lang w:eastAsia="es-AR"/>
              </w:rPr>
              <w:t>3.629</w:t>
            </w:r>
          </w:p>
        </w:tc>
        <w:tc>
          <w:tcPr>
            <w:tcW w:w="1276" w:type="dxa"/>
            <w:tcBorders>
              <w:top w:val="nil"/>
              <w:left w:val="nil"/>
              <w:bottom w:val="nil"/>
              <w:right w:val="nil"/>
            </w:tcBorders>
            <w:shd w:val="clear" w:color="auto" w:fill="auto"/>
            <w:vAlign w:val="bottom"/>
            <w:hideMark/>
          </w:tcPr>
          <w:p w14:paraId="15BB2967" w14:textId="77777777" w:rsidR="00910815" w:rsidRPr="00534414" w:rsidRDefault="00910815">
            <w:pPr>
              <w:jc w:val="right"/>
              <w:rPr>
                <w:rFonts w:ascii="Arial" w:hAnsi="Arial" w:cs="Arial"/>
                <w:sz w:val="16"/>
                <w:szCs w:val="16"/>
                <w:lang w:eastAsia="es-AR"/>
              </w:rPr>
            </w:pPr>
            <w:r w:rsidRPr="00534414">
              <w:rPr>
                <w:rFonts w:ascii="Arial" w:hAnsi="Arial" w:cs="Arial"/>
                <w:sz w:val="16"/>
                <w:szCs w:val="16"/>
                <w:lang w:eastAsia="es-AR"/>
              </w:rPr>
              <w:t>74</w:t>
            </w:r>
          </w:p>
        </w:tc>
      </w:tr>
      <w:tr w:rsidR="00910815" w:rsidRPr="00910815" w14:paraId="54F8F7B1" w14:textId="77777777" w:rsidTr="006A451F">
        <w:trPr>
          <w:trHeight w:val="80"/>
          <w:jc w:val="center"/>
        </w:trPr>
        <w:tc>
          <w:tcPr>
            <w:tcW w:w="2340" w:type="dxa"/>
            <w:tcBorders>
              <w:top w:val="nil"/>
              <w:left w:val="nil"/>
              <w:bottom w:val="nil"/>
              <w:right w:val="nil"/>
            </w:tcBorders>
            <w:shd w:val="clear" w:color="auto" w:fill="auto"/>
            <w:vAlign w:val="bottom"/>
            <w:hideMark/>
          </w:tcPr>
          <w:p w14:paraId="74EDF665" w14:textId="77777777" w:rsidR="00910815" w:rsidRPr="00534414" w:rsidRDefault="00910815" w:rsidP="00534414">
            <w:pPr>
              <w:rPr>
                <w:rFonts w:ascii="Arial" w:hAnsi="Arial" w:cs="Arial"/>
                <w:sz w:val="16"/>
                <w:szCs w:val="16"/>
                <w:lang w:eastAsia="es-AR"/>
              </w:rPr>
            </w:pPr>
          </w:p>
        </w:tc>
        <w:tc>
          <w:tcPr>
            <w:tcW w:w="1030" w:type="dxa"/>
            <w:tcBorders>
              <w:top w:val="nil"/>
              <w:left w:val="nil"/>
              <w:bottom w:val="nil"/>
              <w:right w:val="nil"/>
            </w:tcBorders>
            <w:shd w:val="clear" w:color="auto" w:fill="auto"/>
            <w:vAlign w:val="bottom"/>
          </w:tcPr>
          <w:p w14:paraId="681283E4" w14:textId="77777777" w:rsidR="00910815" w:rsidRPr="00534414" w:rsidRDefault="00910815" w:rsidP="00534414">
            <w:pPr>
              <w:jc w:val="right"/>
              <w:rPr>
                <w:sz w:val="16"/>
                <w:szCs w:val="16"/>
                <w:lang w:eastAsia="es-AR"/>
              </w:rPr>
            </w:pPr>
          </w:p>
        </w:tc>
        <w:tc>
          <w:tcPr>
            <w:tcW w:w="1218" w:type="dxa"/>
            <w:tcBorders>
              <w:top w:val="nil"/>
              <w:left w:val="nil"/>
              <w:bottom w:val="nil"/>
              <w:right w:val="nil"/>
            </w:tcBorders>
            <w:shd w:val="clear" w:color="auto" w:fill="auto"/>
            <w:vAlign w:val="bottom"/>
          </w:tcPr>
          <w:p w14:paraId="295A9DC4" w14:textId="591C0D78" w:rsidR="00910815" w:rsidRPr="00823628" w:rsidRDefault="00910815" w:rsidP="00823628">
            <w:pPr>
              <w:jc w:val="right"/>
              <w:rPr>
                <w:rFonts w:ascii="Arial" w:hAnsi="Arial" w:cs="Arial"/>
                <w:sz w:val="16"/>
                <w:szCs w:val="16"/>
                <w:lang w:eastAsia="es-AR"/>
              </w:rPr>
            </w:pPr>
          </w:p>
        </w:tc>
        <w:tc>
          <w:tcPr>
            <w:tcW w:w="1268" w:type="dxa"/>
            <w:tcBorders>
              <w:top w:val="nil"/>
              <w:left w:val="nil"/>
              <w:bottom w:val="nil"/>
              <w:right w:val="nil"/>
            </w:tcBorders>
            <w:shd w:val="clear" w:color="auto" w:fill="auto"/>
            <w:vAlign w:val="bottom"/>
          </w:tcPr>
          <w:p w14:paraId="14633D2D" w14:textId="77777777" w:rsidR="00910815" w:rsidRPr="00823628" w:rsidRDefault="00910815" w:rsidP="00823628">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3E2E9A13" w14:textId="77777777" w:rsidR="00910815" w:rsidRPr="00823628" w:rsidRDefault="00910815" w:rsidP="00823628">
            <w:pPr>
              <w:jc w:val="right"/>
              <w:rPr>
                <w:rFonts w:ascii="Arial" w:hAnsi="Arial" w:cs="Arial"/>
                <w:sz w:val="16"/>
                <w:szCs w:val="16"/>
                <w:lang w:eastAsia="es-AR"/>
              </w:rPr>
            </w:pPr>
          </w:p>
        </w:tc>
        <w:tc>
          <w:tcPr>
            <w:tcW w:w="1177" w:type="dxa"/>
            <w:tcBorders>
              <w:top w:val="nil"/>
              <w:left w:val="nil"/>
              <w:bottom w:val="nil"/>
              <w:right w:val="nil"/>
            </w:tcBorders>
            <w:shd w:val="clear" w:color="auto" w:fill="auto"/>
            <w:vAlign w:val="bottom"/>
          </w:tcPr>
          <w:p w14:paraId="1CD9A39F" w14:textId="77777777" w:rsidR="00910815" w:rsidRPr="00823628" w:rsidRDefault="00910815" w:rsidP="00823628">
            <w:pPr>
              <w:jc w:val="right"/>
              <w:rPr>
                <w:rFonts w:ascii="Arial" w:hAnsi="Arial" w:cs="Arial"/>
                <w:sz w:val="16"/>
                <w:szCs w:val="16"/>
                <w:lang w:eastAsia="es-AR"/>
              </w:rPr>
            </w:pPr>
          </w:p>
        </w:tc>
        <w:tc>
          <w:tcPr>
            <w:tcW w:w="1276" w:type="dxa"/>
            <w:tcBorders>
              <w:top w:val="nil"/>
              <w:left w:val="nil"/>
              <w:bottom w:val="nil"/>
              <w:right w:val="nil"/>
            </w:tcBorders>
            <w:shd w:val="clear" w:color="auto" w:fill="auto"/>
            <w:vAlign w:val="bottom"/>
            <w:hideMark/>
          </w:tcPr>
          <w:p w14:paraId="6466C0A2" w14:textId="77777777" w:rsidR="00910815" w:rsidRPr="00534414" w:rsidRDefault="00910815" w:rsidP="00534414">
            <w:pPr>
              <w:jc w:val="right"/>
              <w:rPr>
                <w:sz w:val="16"/>
                <w:szCs w:val="16"/>
                <w:lang w:eastAsia="es-AR"/>
              </w:rPr>
            </w:pPr>
          </w:p>
        </w:tc>
      </w:tr>
      <w:tr w:rsidR="00910815" w:rsidRPr="00910815" w14:paraId="2015FFAD" w14:textId="77777777" w:rsidTr="006A451F">
        <w:trPr>
          <w:trHeight w:val="319"/>
          <w:jc w:val="center"/>
        </w:trPr>
        <w:tc>
          <w:tcPr>
            <w:tcW w:w="2340" w:type="dxa"/>
            <w:tcBorders>
              <w:top w:val="nil"/>
              <w:left w:val="nil"/>
              <w:bottom w:val="nil"/>
              <w:right w:val="nil"/>
            </w:tcBorders>
            <w:shd w:val="clear" w:color="auto" w:fill="auto"/>
            <w:vAlign w:val="bottom"/>
            <w:hideMark/>
          </w:tcPr>
          <w:p w14:paraId="6E433044" w14:textId="0627BCD5" w:rsidR="00910815" w:rsidRPr="00534414" w:rsidRDefault="00910815">
            <w:pPr>
              <w:rPr>
                <w:rFonts w:ascii="Arial" w:hAnsi="Arial" w:cs="Arial"/>
                <w:sz w:val="16"/>
                <w:szCs w:val="16"/>
                <w:lang w:eastAsia="es-AR"/>
              </w:rPr>
            </w:pPr>
            <w:r w:rsidRPr="00534414">
              <w:rPr>
                <w:rFonts w:ascii="Arial" w:hAnsi="Arial" w:cs="Arial"/>
                <w:sz w:val="16"/>
                <w:szCs w:val="16"/>
                <w:lang w:eastAsia="es-AR"/>
              </w:rPr>
              <w:t>Compromisos eventuales (</w:t>
            </w:r>
            <w:r w:rsidR="000B17D6">
              <w:rPr>
                <w:rFonts w:ascii="Arial" w:hAnsi="Arial" w:cs="Arial"/>
                <w:sz w:val="16"/>
                <w:szCs w:val="16"/>
                <w:lang w:eastAsia="es-AR"/>
              </w:rPr>
              <w:t>1</w:t>
            </w:r>
            <w:r w:rsidRPr="00534414">
              <w:rPr>
                <w:rFonts w:ascii="Arial" w:hAnsi="Arial" w:cs="Arial"/>
                <w:sz w:val="16"/>
                <w:szCs w:val="16"/>
                <w:lang w:eastAsia="es-AR"/>
              </w:rPr>
              <w:t>)</w:t>
            </w:r>
          </w:p>
        </w:tc>
        <w:tc>
          <w:tcPr>
            <w:tcW w:w="1030" w:type="dxa"/>
            <w:tcBorders>
              <w:top w:val="nil"/>
              <w:left w:val="nil"/>
              <w:bottom w:val="nil"/>
              <w:right w:val="nil"/>
            </w:tcBorders>
            <w:shd w:val="clear" w:color="auto" w:fill="auto"/>
            <w:vAlign w:val="bottom"/>
          </w:tcPr>
          <w:p w14:paraId="229FA148" w14:textId="223D201A" w:rsidR="00910815" w:rsidRPr="00534414" w:rsidRDefault="00E77434">
            <w:pPr>
              <w:jc w:val="right"/>
              <w:rPr>
                <w:rFonts w:ascii="Arial" w:hAnsi="Arial" w:cs="Arial"/>
                <w:sz w:val="16"/>
                <w:szCs w:val="16"/>
                <w:lang w:eastAsia="es-AR"/>
              </w:rPr>
            </w:pPr>
            <w:r>
              <w:rPr>
                <w:rFonts w:ascii="Arial" w:hAnsi="Arial" w:cs="Arial"/>
                <w:sz w:val="16"/>
                <w:szCs w:val="16"/>
                <w:lang w:eastAsia="es-AR"/>
              </w:rPr>
              <w:t>1.196</w:t>
            </w:r>
          </w:p>
        </w:tc>
        <w:tc>
          <w:tcPr>
            <w:tcW w:w="1218" w:type="dxa"/>
            <w:tcBorders>
              <w:top w:val="nil"/>
              <w:left w:val="nil"/>
              <w:bottom w:val="nil"/>
              <w:right w:val="nil"/>
            </w:tcBorders>
            <w:shd w:val="clear" w:color="auto" w:fill="auto"/>
            <w:vAlign w:val="bottom"/>
          </w:tcPr>
          <w:p w14:paraId="60FB154E" w14:textId="1E0553BF" w:rsidR="00910815" w:rsidRPr="00823628" w:rsidRDefault="00E77434" w:rsidP="00823628">
            <w:pPr>
              <w:jc w:val="right"/>
              <w:rPr>
                <w:rFonts w:ascii="Arial" w:hAnsi="Arial" w:cs="Arial"/>
                <w:sz w:val="16"/>
                <w:szCs w:val="16"/>
                <w:lang w:eastAsia="es-AR"/>
              </w:rPr>
            </w:pPr>
            <w:r>
              <w:rPr>
                <w:rFonts w:ascii="Arial" w:hAnsi="Arial" w:cs="Arial"/>
                <w:sz w:val="16"/>
                <w:szCs w:val="16"/>
                <w:lang w:eastAsia="es-AR"/>
              </w:rPr>
              <w:t>-</w:t>
            </w:r>
          </w:p>
        </w:tc>
        <w:tc>
          <w:tcPr>
            <w:tcW w:w="1268" w:type="dxa"/>
            <w:tcBorders>
              <w:top w:val="nil"/>
              <w:left w:val="nil"/>
              <w:bottom w:val="nil"/>
              <w:right w:val="nil"/>
            </w:tcBorders>
            <w:shd w:val="clear" w:color="auto" w:fill="auto"/>
            <w:vAlign w:val="bottom"/>
          </w:tcPr>
          <w:p w14:paraId="1B6D3C7C" w14:textId="34EBE979" w:rsidR="00910815" w:rsidRPr="00823628" w:rsidRDefault="00E77434" w:rsidP="00823628">
            <w:pPr>
              <w:jc w:val="right"/>
              <w:rPr>
                <w:rFonts w:ascii="Arial" w:hAnsi="Arial" w:cs="Arial"/>
                <w:sz w:val="16"/>
                <w:szCs w:val="16"/>
                <w:lang w:eastAsia="es-AR"/>
              </w:rPr>
            </w:pPr>
            <w:r>
              <w:rPr>
                <w:rFonts w:ascii="Arial" w:hAnsi="Arial" w:cs="Arial"/>
                <w:sz w:val="16"/>
                <w:szCs w:val="16"/>
                <w:lang w:eastAsia="es-AR"/>
              </w:rPr>
              <w:t>-829</w:t>
            </w:r>
          </w:p>
        </w:tc>
        <w:tc>
          <w:tcPr>
            <w:tcW w:w="1134" w:type="dxa"/>
            <w:tcBorders>
              <w:top w:val="nil"/>
              <w:left w:val="nil"/>
              <w:bottom w:val="nil"/>
              <w:right w:val="nil"/>
            </w:tcBorders>
            <w:shd w:val="clear" w:color="auto" w:fill="auto"/>
            <w:vAlign w:val="bottom"/>
          </w:tcPr>
          <w:p w14:paraId="48B63125" w14:textId="596887FE" w:rsidR="00910815" w:rsidRPr="00823628" w:rsidRDefault="00E77434" w:rsidP="00823628">
            <w:pPr>
              <w:jc w:val="right"/>
              <w:rPr>
                <w:rFonts w:ascii="Arial" w:hAnsi="Arial" w:cs="Arial"/>
                <w:sz w:val="16"/>
                <w:szCs w:val="16"/>
                <w:lang w:eastAsia="es-AR"/>
              </w:rPr>
            </w:pPr>
            <w:r>
              <w:rPr>
                <w:rFonts w:ascii="Arial" w:hAnsi="Arial" w:cs="Arial"/>
                <w:sz w:val="16"/>
                <w:szCs w:val="16"/>
                <w:lang w:eastAsia="es-AR"/>
              </w:rPr>
              <w:t>-</w:t>
            </w:r>
          </w:p>
        </w:tc>
        <w:tc>
          <w:tcPr>
            <w:tcW w:w="1177" w:type="dxa"/>
            <w:tcBorders>
              <w:top w:val="nil"/>
              <w:left w:val="nil"/>
              <w:bottom w:val="nil"/>
              <w:right w:val="nil"/>
            </w:tcBorders>
            <w:shd w:val="clear" w:color="auto" w:fill="auto"/>
            <w:vAlign w:val="bottom"/>
          </w:tcPr>
          <w:p w14:paraId="108838F4" w14:textId="27500C78" w:rsidR="00910815" w:rsidRPr="00823628" w:rsidRDefault="00E77434" w:rsidP="00823628">
            <w:pPr>
              <w:jc w:val="right"/>
              <w:rPr>
                <w:rFonts w:ascii="Arial" w:hAnsi="Arial" w:cs="Arial"/>
                <w:color w:val="000000"/>
                <w:sz w:val="16"/>
                <w:szCs w:val="16"/>
                <w:lang w:eastAsia="es-AR"/>
              </w:rPr>
            </w:pPr>
            <w:r>
              <w:rPr>
                <w:rFonts w:ascii="Arial" w:hAnsi="Arial" w:cs="Arial"/>
                <w:color w:val="000000"/>
                <w:sz w:val="16"/>
                <w:szCs w:val="16"/>
                <w:lang w:eastAsia="es-AR"/>
              </w:rPr>
              <w:t>367</w:t>
            </w:r>
          </w:p>
        </w:tc>
        <w:tc>
          <w:tcPr>
            <w:tcW w:w="1276" w:type="dxa"/>
            <w:tcBorders>
              <w:top w:val="nil"/>
              <w:left w:val="nil"/>
              <w:bottom w:val="nil"/>
              <w:right w:val="nil"/>
            </w:tcBorders>
            <w:shd w:val="clear" w:color="auto" w:fill="auto"/>
            <w:vAlign w:val="bottom"/>
            <w:hideMark/>
          </w:tcPr>
          <w:p w14:paraId="54FD9A51" w14:textId="77777777" w:rsidR="00910815" w:rsidRPr="00534414" w:rsidRDefault="00910815">
            <w:pPr>
              <w:jc w:val="right"/>
              <w:rPr>
                <w:rFonts w:ascii="Arial" w:hAnsi="Arial" w:cs="Arial"/>
                <w:sz w:val="16"/>
                <w:szCs w:val="16"/>
                <w:lang w:eastAsia="es-AR"/>
              </w:rPr>
            </w:pPr>
            <w:r w:rsidRPr="00534414">
              <w:rPr>
                <w:rFonts w:ascii="Arial" w:hAnsi="Arial" w:cs="Arial"/>
                <w:sz w:val="16"/>
                <w:szCs w:val="16"/>
                <w:lang w:eastAsia="es-AR"/>
              </w:rPr>
              <w:t>1.196</w:t>
            </w:r>
          </w:p>
        </w:tc>
      </w:tr>
      <w:tr w:rsidR="00910815" w:rsidRPr="00910815" w14:paraId="5FD43F60" w14:textId="77777777" w:rsidTr="006A451F">
        <w:trPr>
          <w:trHeight w:val="120"/>
          <w:jc w:val="center"/>
        </w:trPr>
        <w:tc>
          <w:tcPr>
            <w:tcW w:w="2340" w:type="dxa"/>
            <w:tcBorders>
              <w:top w:val="nil"/>
              <w:left w:val="nil"/>
              <w:bottom w:val="nil"/>
              <w:right w:val="nil"/>
            </w:tcBorders>
            <w:shd w:val="clear" w:color="auto" w:fill="auto"/>
            <w:vAlign w:val="bottom"/>
            <w:hideMark/>
          </w:tcPr>
          <w:p w14:paraId="06FE590E" w14:textId="77777777" w:rsidR="00910815" w:rsidRPr="00534414" w:rsidRDefault="00910815" w:rsidP="00534414">
            <w:pPr>
              <w:rPr>
                <w:rFonts w:ascii="Arial" w:hAnsi="Arial" w:cs="Arial"/>
                <w:sz w:val="16"/>
                <w:szCs w:val="16"/>
                <w:lang w:eastAsia="es-AR"/>
              </w:rPr>
            </w:pPr>
          </w:p>
        </w:tc>
        <w:tc>
          <w:tcPr>
            <w:tcW w:w="1030" w:type="dxa"/>
            <w:tcBorders>
              <w:top w:val="nil"/>
              <w:left w:val="nil"/>
              <w:bottom w:val="nil"/>
              <w:right w:val="nil"/>
            </w:tcBorders>
            <w:shd w:val="clear" w:color="auto" w:fill="auto"/>
            <w:vAlign w:val="bottom"/>
          </w:tcPr>
          <w:p w14:paraId="66AB3351" w14:textId="77777777" w:rsidR="00910815" w:rsidRPr="00534414" w:rsidRDefault="00910815" w:rsidP="00534414">
            <w:pPr>
              <w:jc w:val="right"/>
              <w:rPr>
                <w:sz w:val="16"/>
                <w:szCs w:val="16"/>
                <w:lang w:eastAsia="es-AR"/>
              </w:rPr>
            </w:pPr>
          </w:p>
        </w:tc>
        <w:tc>
          <w:tcPr>
            <w:tcW w:w="1218" w:type="dxa"/>
            <w:tcBorders>
              <w:top w:val="nil"/>
              <w:left w:val="nil"/>
              <w:bottom w:val="nil"/>
              <w:right w:val="nil"/>
            </w:tcBorders>
            <w:shd w:val="clear" w:color="auto" w:fill="auto"/>
            <w:vAlign w:val="bottom"/>
          </w:tcPr>
          <w:p w14:paraId="50DCA455" w14:textId="77777777" w:rsidR="00910815" w:rsidRPr="00823628" w:rsidRDefault="00910815" w:rsidP="00823628">
            <w:pPr>
              <w:jc w:val="right"/>
              <w:rPr>
                <w:rFonts w:ascii="Arial" w:hAnsi="Arial" w:cs="Arial"/>
                <w:sz w:val="16"/>
                <w:szCs w:val="16"/>
                <w:lang w:eastAsia="es-AR"/>
              </w:rPr>
            </w:pPr>
          </w:p>
        </w:tc>
        <w:tc>
          <w:tcPr>
            <w:tcW w:w="1268" w:type="dxa"/>
            <w:tcBorders>
              <w:top w:val="nil"/>
              <w:left w:val="nil"/>
              <w:bottom w:val="nil"/>
              <w:right w:val="nil"/>
            </w:tcBorders>
            <w:shd w:val="clear" w:color="auto" w:fill="auto"/>
            <w:vAlign w:val="bottom"/>
          </w:tcPr>
          <w:p w14:paraId="3B993F06" w14:textId="77777777" w:rsidR="00910815" w:rsidRPr="00823628" w:rsidRDefault="00910815" w:rsidP="00823628">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bottom"/>
          </w:tcPr>
          <w:p w14:paraId="0113A379" w14:textId="77777777" w:rsidR="00910815" w:rsidRPr="00823628" w:rsidRDefault="00910815" w:rsidP="00823628">
            <w:pPr>
              <w:jc w:val="right"/>
              <w:rPr>
                <w:rFonts w:ascii="Arial" w:hAnsi="Arial" w:cs="Arial"/>
                <w:sz w:val="16"/>
                <w:szCs w:val="16"/>
                <w:lang w:eastAsia="es-AR"/>
              </w:rPr>
            </w:pPr>
          </w:p>
        </w:tc>
        <w:tc>
          <w:tcPr>
            <w:tcW w:w="1177" w:type="dxa"/>
            <w:tcBorders>
              <w:top w:val="nil"/>
              <w:left w:val="nil"/>
              <w:bottom w:val="nil"/>
              <w:right w:val="nil"/>
            </w:tcBorders>
            <w:shd w:val="clear" w:color="auto" w:fill="auto"/>
            <w:vAlign w:val="bottom"/>
          </w:tcPr>
          <w:p w14:paraId="697307B6" w14:textId="77777777" w:rsidR="00910815" w:rsidRPr="00823628" w:rsidRDefault="00910815" w:rsidP="00823628">
            <w:pPr>
              <w:jc w:val="right"/>
              <w:rPr>
                <w:rFonts w:ascii="Arial" w:hAnsi="Arial" w:cs="Arial"/>
                <w:sz w:val="16"/>
                <w:szCs w:val="16"/>
                <w:lang w:eastAsia="es-AR"/>
              </w:rPr>
            </w:pPr>
          </w:p>
        </w:tc>
        <w:tc>
          <w:tcPr>
            <w:tcW w:w="1276" w:type="dxa"/>
            <w:tcBorders>
              <w:top w:val="nil"/>
              <w:left w:val="nil"/>
              <w:bottom w:val="nil"/>
              <w:right w:val="nil"/>
            </w:tcBorders>
            <w:shd w:val="clear" w:color="auto" w:fill="auto"/>
            <w:vAlign w:val="bottom"/>
            <w:hideMark/>
          </w:tcPr>
          <w:p w14:paraId="7CFBB824" w14:textId="77777777" w:rsidR="00910815" w:rsidRPr="00534414" w:rsidRDefault="00910815" w:rsidP="00534414">
            <w:pPr>
              <w:jc w:val="right"/>
              <w:rPr>
                <w:sz w:val="16"/>
                <w:szCs w:val="16"/>
                <w:lang w:eastAsia="es-AR"/>
              </w:rPr>
            </w:pPr>
          </w:p>
        </w:tc>
      </w:tr>
      <w:tr w:rsidR="00102567" w:rsidRPr="00910815" w14:paraId="58E83B26" w14:textId="77777777" w:rsidTr="006A451F">
        <w:trPr>
          <w:trHeight w:val="319"/>
          <w:jc w:val="center"/>
        </w:trPr>
        <w:tc>
          <w:tcPr>
            <w:tcW w:w="2340" w:type="dxa"/>
            <w:tcBorders>
              <w:top w:val="nil"/>
              <w:left w:val="nil"/>
              <w:bottom w:val="nil"/>
              <w:right w:val="nil"/>
            </w:tcBorders>
            <w:shd w:val="clear" w:color="auto" w:fill="auto"/>
            <w:vAlign w:val="bottom"/>
            <w:hideMark/>
          </w:tcPr>
          <w:p w14:paraId="6C904148" w14:textId="77777777" w:rsidR="00102567" w:rsidRPr="00534414" w:rsidRDefault="00102567" w:rsidP="00102567">
            <w:pPr>
              <w:rPr>
                <w:rFonts w:ascii="Arial" w:hAnsi="Arial" w:cs="Arial"/>
                <w:b/>
                <w:bCs/>
                <w:sz w:val="16"/>
                <w:szCs w:val="16"/>
                <w:lang w:eastAsia="es-AR"/>
              </w:rPr>
            </w:pPr>
            <w:r w:rsidRPr="00534414">
              <w:rPr>
                <w:rFonts w:ascii="Arial" w:hAnsi="Arial" w:cs="Arial"/>
                <w:b/>
                <w:bCs/>
                <w:sz w:val="16"/>
                <w:szCs w:val="16"/>
                <w:lang w:eastAsia="es-AR"/>
              </w:rPr>
              <w:t>TOTAL DE PREVISIONES</w:t>
            </w:r>
          </w:p>
        </w:tc>
        <w:tc>
          <w:tcPr>
            <w:tcW w:w="1030" w:type="dxa"/>
            <w:tcBorders>
              <w:top w:val="single" w:sz="4" w:space="0" w:color="auto"/>
              <w:left w:val="nil"/>
              <w:bottom w:val="single" w:sz="4" w:space="0" w:color="auto"/>
              <w:right w:val="nil"/>
            </w:tcBorders>
            <w:shd w:val="clear" w:color="auto" w:fill="auto"/>
            <w:vAlign w:val="bottom"/>
          </w:tcPr>
          <w:p w14:paraId="75254736" w14:textId="54FABDB5" w:rsidR="00102567" w:rsidRPr="00534414" w:rsidRDefault="00E77434" w:rsidP="00102567">
            <w:pPr>
              <w:jc w:val="right"/>
              <w:rPr>
                <w:rFonts w:ascii="Arial" w:hAnsi="Arial" w:cs="Arial"/>
                <w:b/>
                <w:bCs/>
                <w:sz w:val="16"/>
                <w:szCs w:val="16"/>
                <w:lang w:eastAsia="es-AR"/>
              </w:rPr>
            </w:pPr>
            <w:r>
              <w:rPr>
                <w:rFonts w:ascii="Arial" w:hAnsi="Arial" w:cs="Arial"/>
                <w:b/>
                <w:bCs/>
                <w:sz w:val="16"/>
                <w:szCs w:val="16"/>
                <w:lang w:eastAsia="es-AR"/>
              </w:rPr>
              <w:t>3.289.860</w:t>
            </w:r>
          </w:p>
        </w:tc>
        <w:tc>
          <w:tcPr>
            <w:tcW w:w="1218" w:type="dxa"/>
            <w:tcBorders>
              <w:top w:val="single" w:sz="4" w:space="0" w:color="auto"/>
              <w:left w:val="nil"/>
              <w:bottom w:val="single" w:sz="4" w:space="0" w:color="auto"/>
              <w:right w:val="nil"/>
            </w:tcBorders>
            <w:shd w:val="clear" w:color="auto" w:fill="auto"/>
            <w:vAlign w:val="bottom"/>
          </w:tcPr>
          <w:p w14:paraId="3229DDBA" w14:textId="35D7ECE4" w:rsidR="00102567" w:rsidRPr="00823628" w:rsidRDefault="00E77434" w:rsidP="00823628">
            <w:pPr>
              <w:jc w:val="right"/>
              <w:rPr>
                <w:rFonts w:ascii="Arial" w:hAnsi="Arial" w:cs="Arial"/>
                <w:b/>
                <w:bCs/>
                <w:color w:val="000000"/>
                <w:sz w:val="16"/>
                <w:szCs w:val="16"/>
                <w:lang w:eastAsia="es-AR"/>
              </w:rPr>
            </w:pPr>
            <w:r>
              <w:rPr>
                <w:rFonts w:ascii="Arial" w:hAnsi="Arial" w:cs="Arial"/>
                <w:b/>
                <w:bCs/>
                <w:color w:val="000000"/>
                <w:sz w:val="16"/>
                <w:szCs w:val="16"/>
                <w:lang w:eastAsia="es-AR"/>
              </w:rPr>
              <w:t>5.676.750</w:t>
            </w:r>
          </w:p>
        </w:tc>
        <w:tc>
          <w:tcPr>
            <w:tcW w:w="1268" w:type="dxa"/>
            <w:tcBorders>
              <w:top w:val="single" w:sz="4" w:space="0" w:color="auto"/>
              <w:left w:val="nil"/>
              <w:bottom w:val="single" w:sz="4" w:space="0" w:color="auto"/>
              <w:right w:val="nil"/>
            </w:tcBorders>
            <w:shd w:val="clear" w:color="auto" w:fill="auto"/>
            <w:vAlign w:val="bottom"/>
          </w:tcPr>
          <w:p w14:paraId="0B2BECD5" w14:textId="02C3FD88" w:rsidR="00102567" w:rsidRPr="00823628" w:rsidRDefault="00E77434" w:rsidP="00823628">
            <w:pPr>
              <w:jc w:val="right"/>
              <w:rPr>
                <w:rFonts w:ascii="Arial" w:hAnsi="Arial" w:cs="Arial"/>
                <w:b/>
                <w:bCs/>
                <w:color w:val="000000"/>
                <w:sz w:val="16"/>
                <w:szCs w:val="16"/>
                <w:lang w:eastAsia="es-AR"/>
              </w:rPr>
            </w:pPr>
            <w:r>
              <w:rPr>
                <w:rFonts w:ascii="Arial" w:hAnsi="Arial" w:cs="Arial"/>
                <w:b/>
                <w:bCs/>
                <w:color w:val="000000"/>
                <w:sz w:val="16"/>
                <w:szCs w:val="16"/>
                <w:lang w:eastAsia="es-AR"/>
              </w:rPr>
              <w:t>-57.317</w:t>
            </w:r>
          </w:p>
        </w:tc>
        <w:tc>
          <w:tcPr>
            <w:tcW w:w="1134" w:type="dxa"/>
            <w:tcBorders>
              <w:top w:val="single" w:sz="4" w:space="0" w:color="auto"/>
              <w:left w:val="nil"/>
              <w:bottom w:val="single" w:sz="4" w:space="0" w:color="auto"/>
              <w:right w:val="nil"/>
            </w:tcBorders>
            <w:shd w:val="clear" w:color="auto" w:fill="auto"/>
            <w:vAlign w:val="bottom"/>
          </w:tcPr>
          <w:p w14:paraId="2F296D10" w14:textId="5692452A" w:rsidR="00102567" w:rsidRPr="00823628" w:rsidRDefault="00E77434" w:rsidP="00823628">
            <w:pPr>
              <w:jc w:val="right"/>
              <w:rPr>
                <w:rFonts w:ascii="Arial" w:hAnsi="Arial" w:cs="Arial"/>
                <w:b/>
                <w:bCs/>
                <w:sz w:val="16"/>
                <w:szCs w:val="16"/>
                <w:lang w:eastAsia="es-AR"/>
              </w:rPr>
            </w:pPr>
            <w:r>
              <w:rPr>
                <w:rFonts w:ascii="Arial" w:hAnsi="Arial" w:cs="Arial"/>
                <w:b/>
                <w:bCs/>
                <w:sz w:val="16"/>
                <w:szCs w:val="16"/>
                <w:lang w:eastAsia="es-AR"/>
              </w:rPr>
              <w:t>-3.034.797</w:t>
            </w:r>
          </w:p>
        </w:tc>
        <w:tc>
          <w:tcPr>
            <w:tcW w:w="1177" w:type="dxa"/>
            <w:tcBorders>
              <w:top w:val="single" w:sz="4" w:space="0" w:color="auto"/>
              <w:left w:val="nil"/>
              <w:bottom w:val="single" w:sz="4" w:space="0" w:color="auto"/>
              <w:right w:val="nil"/>
            </w:tcBorders>
            <w:shd w:val="clear" w:color="auto" w:fill="auto"/>
            <w:vAlign w:val="bottom"/>
          </w:tcPr>
          <w:p w14:paraId="6349D5CD" w14:textId="3EC7069A" w:rsidR="00102567" w:rsidRPr="00823628" w:rsidRDefault="00E77434" w:rsidP="00823628">
            <w:pPr>
              <w:jc w:val="right"/>
              <w:rPr>
                <w:rFonts w:ascii="Arial" w:hAnsi="Arial" w:cs="Arial"/>
                <w:b/>
                <w:bCs/>
                <w:sz w:val="16"/>
                <w:szCs w:val="16"/>
                <w:lang w:eastAsia="es-AR"/>
              </w:rPr>
            </w:pPr>
            <w:r>
              <w:rPr>
                <w:rFonts w:ascii="Arial" w:hAnsi="Arial" w:cs="Arial"/>
                <w:b/>
                <w:bCs/>
                <w:sz w:val="16"/>
                <w:szCs w:val="16"/>
                <w:lang w:eastAsia="es-AR"/>
              </w:rPr>
              <w:t>5.874.496</w:t>
            </w:r>
          </w:p>
        </w:tc>
        <w:tc>
          <w:tcPr>
            <w:tcW w:w="1276" w:type="dxa"/>
            <w:tcBorders>
              <w:top w:val="single" w:sz="4" w:space="0" w:color="auto"/>
              <w:left w:val="nil"/>
              <w:bottom w:val="single" w:sz="4" w:space="0" w:color="auto"/>
              <w:right w:val="nil"/>
            </w:tcBorders>
            <w:shd w:val="clear" w:color="auto" w:fill="auto"/>
            <w:vAlign w:val="bottom"/>
            <w:hideMark/>
          </w:tcPr>
          <w:p w14:paraId="229C1542" w14:textId="77777777" w:rsidR="00102567" w:rsidRPr="00534414" w:rsidRDefault="00102567" w:rsidP="00102567">
            <w:pPr>
              <w:jc w:val="right"/>
              <w:rPr>
                <w:rFonts w:ascii="Arial" w:hAnsi="Arial" w:cs="Arial"/>
                <w:b/>
                <w:bCs/>
                <w:sz w:val="16"/>
                <w:szCs w:val="16"/>
                <w:lang w:eastAsia="es-AR"/>
              </w:rPr>
            </w:pPr>
            <w:r w:rsidRPr="00534414">
              <w:rPr>
                <w:rFonts w:ascii="Arial" w:hAnsi="Arial" w:cs="Arial"/>
                <w:b/>
                <w:bCs/>
                <w:sz w:val="16"/>
                <w:szCs w:val="16"/>
                <w:lang w:eastAsia="es-AR"/>
              </w:rPr>
              <w:t>3.289.860</w:t>
            </w:r>
          </w:p>
        </w:tc>
      </w:tr>
      <w:bookmarkEnd w:id="43"/>
    </w:tbl>
    <w:p w14:paraId="78B529E5" w14:textId="7F992A08" w:rsidR="00E340E9" w:rsidRPr="00534414" w:rsidRDefault="00E340E9" w:rsidP="00B5057C">
      <w:pPr>
        <w:rPr>
          <w:sz w:val="16"/>
          <w:szCs w:val="16"/>
          <w:lang w:eastAsia="es-AR"/>
        </w:rPr>
      </w:pPr>
    </w:p>
    <w:p w14:paraId="7BE7BBE7" w14:textId="77777777" w:rsidR="00967546" w:rsidRDefault="00967546" w:rsidP="00B5057C">
      <w:pPr>
        <w:rPr>
          <w:sz w:val="16"/>
          <w:szCs w:val="16"/>
          <w:lang w:eastAsia="es-AR"/>
        </w:rPr>
      </w:pPr>
    </w:p>
    <w:p w14:paraId="1EA98D8D" w14:textId="0C6D6A01" w:rsidR="00910815" w:rsidRPr="00066653" w:rsidRDefault="00762A85" w:rsidP="00910815">
      <w:pPr>
        <w:rPr>
          <w:rFonts w:ascii="Calibri" w:hAnsi="Calibri"/>
          <w:sz w:val="22"/>
          <w:szCs w:val="22"/>
          <w:lang w:eastAsia="es-AR"/>
        </w:rPr>
      </w:pPr>
      <w:bookmarkStart w:id="44" w:name="_Hlk9948149"/>
      <w:r w:rsidRPr="00D9473F">
        <w:rPr>
          <w:rFonts w:ascii="Arial" w:hAnsi="Arial" w:cs="Arial"/>
          <w:sz w:val="16"/>
          <w:szCs w:val="16"/>
          <w:lang w:eastAsia="es-AR"/>
        </w:rPr>
        <w:t xml:space="preserve">La línea Cargo por incobrabilidad </w:t>
      </w:r>
      <w:r w:rsidR="00910815" w:rsidRPr="00D9473F">
        <w:rPr>
          <w:rFonts w:ascii="Arial" w:hAnsi="Arial" w:cs="Arial"/>
          <w:sz w:val="16"/>
          <w:szCs w:val="16"/>
          <w:lang w:eastAsia="es-AR"/>
        </w:rPr>
        <w:t xml:space="preserve">del Estado de Resultados incluye </w:t>
      </w:r>
      <w:r w:rsidR="00E77434">
        <w:rPr>
          <w:rFonts w:ascii="Arial" w:hAnsi="Arial" w:cs="Arial"/>
          <w:sz w:val="16"/>
          <w:szCs w:val="16"/>
          <w:lang w:eastAsia="es-AR"/>
        </w:rPr>
        <w:t>718.</w:t>
      </w:r>
      <w:r w:rsidR="00341CB2">
        <w:rPr>
          <w:rFonts w:ascii="Arial" w:hAnsi="Arial" w:cs="Arial"/>
          <w:sz w:val="16"/>
          <w:szCs w:val="16"/>
          <w:lang w:eastAsia="es-AR"/>
        </w:rPr>
        <w:t>670</w:t>
      </w:r>
      <w:r w:rsidR="001D1869" w:rsidRPr="00066653">
        <w:rPr>
          <w:rFonts w:ascii="Calibri" w:hAnsi="Calibri"/>
          <w:sz w:val="22"/>
          <w:szCs w:val="22"/>
          <w:lang w:eastAsia="es-AR"/>
        </w:rPr>
        <w:t xml:space="preserve"> </w:t>
      </w:r>
      <w:r w:rsidR="00910815" w:rsidRPr="00D9473F">
        <w:rPr>
          <w:rFonts w:ascii="Arial" w:hAnsi="Arial" w:cs="Arial"/>
          <w:sz w:val="16"/>
          <w:szCs w:val="16"/>
          <w:lang w:eastAsia="es-AR"/>
        </w:rPr>
        <w:t>en concepto de cargo directo a resultados.</w:t>
      </w:r>
    </w:p>
    <w:p w14:paraId="7A77711B" w14:textId="311316BC" w:rsidR="00910815" w:rsidRPr="00D9473F" w:rsidRDefault="00910815" w:rsidP="00910815">
      <w:pPr>
        <w:rPr>
          <w:rFonts w:ascii="Arial" w:hAnsi="Arial" w:cs="Arial"/>
          <w:sz w:val="16"/>
          <w:szCs w:val="16"/>
          <w:lang w:eastAsia="es-AR"/>
        </w:rPr>
      </w:pPr>
      <w:r w:rsidRPr="00D9473F">
        <w:rPr>
          <w:rFonts w:ascii="Arial" w:hAnsi="Arial" w:cs="Arial"/>
          <w:sz w:val="16"/>
          <w:szCs w:val="16"/>
          <w:lang w:eastAsia="es-AR"/>
        </w:rPr>
        <w:t xml:space="preserve"> (1) La Previsión de Compromisos Eventuales no imputa a Cargo por Incobrabilidad. Su contrapartida se contabiliza en Otros Gastos Operativos.</w:t>
      </w:r>
    </w:p>
    <w:bookmarkEnd w:id="44"/>
    <w:p w14:paraId="6461B1CE" w14:textId="77777777" w:rsidR="006A451F" w:rsidRDefault="006A451F" w:rsidP="00B5057C">
      <w:pPr>
        <w:rPr>
          <w:sz w:val="16"/>
          <w:szCs w:val="16"/>
          <w:lang w:eastAsia="es-AR"/>
        </w:rPr>
        <w:sectPr w:rsidR="006A451F" w:rsidSect="00DA660B">
          <w:headerReference w:type="default" r:id="rId36"/>
          <w:pgSz w:w="11907" w:h="16839" w:code="9"/>
          <w:pgMar w:top="1418" w:right="1701" w:bottom="1418" w:left="1134" w:header="567" w:footer="0" w:gutter="0"/>
          <w:cols w:space="708"/>
          <w:docGrid w:linePitch="360"/>
        </w:sectPr>
      </w:pPr>
    </w:p>
    <w:p w14:paraId="7184BC8D" w14:textId="54127D67" w:rsidR="00967546" w:rsidRDefault="00967546" w:rsidP="00B5057C">
      <w:pPr>
        <w:rPr>
          <w:sz w:val="16"/>
          <w:szCs w:val="16"/>
          <w:lang w:eastAsia="es-AR"/>
        </w:rPr>
      </w:pPr>
    </w:p>
    <w:tbl>
      <w:tblPr>
        <w:tblW w:w="8520" w:type="dxa"/>
        <w:tblInd w:w="70" w:type="dxa"/>
        <w:tblCellMar>
          <w:left w:w="70" w:type="dxa"/>
          <w:right w:w="70" w:type="dxa"/>
        </w:tblCellMar>
        <w:tblLook w:val="04A0" w:firstRow="1" w:lastRow="0" w:firstColumn="1" w:lastColumn="0" w:noHBand="0" w:noVBand="1"/>
      </w:tblPr>
      <w:tblGrid>
        <w:gridCol w:w="7320"/>
        <w:gridCol w:w="1200"/>
      </w:tblGrid>
      <w:tr w:rsidR="00AA49C7" w:rsidRPr="006A451F" w14:paraId="054C083E" w14:textId="77777777" w:rsidTr="006E1AF7">
        <w:trPr>
          <w:trHeight w:val="255"/>
        </w:trPr>
        <w:tc>
          <w:tcPr>
            <w:tcW w:w="7320" w:type="dxa"/>
            <w:tcBorders>
              <w:top w:val="nil"/>
              <w:left w:val="nil"/>
              <w:bottom w:val="nil"/>
              <w:right w:val="nil"/>
            </w:tcBorders>
            <w:shd w:val="clear" w:color="auto" w:fill="auto"/>
            <w:vAlign w:val="center"/>
            <w:hideMark/>
          </w:tcPr>
          <w:p w14:paraId="7403797A" w14:textId="77777777" w:rsidR="00AA49C7" w:rsidRPr="006A451F" w:rsidRDefault="00AA49C7" w:rsidP="00AA49C7">
            <w:pPr>
              <w:rPr>
                <w:rFonts w:ascii="Arial" w:hAnsi="Arial" w:cs="Arial"/>
                <w:b/>
                <w:bCs/>
                <w:color w:val="000000"/>
                <w:sz w:val="20"/>
                <w:lang w:eastAsia="es-AR"/>
              </w:rPr>
            </w:pPr>
            <w:r w:rsidRPr="006A451F">
              <w:rPr>
                <w:rFonts w:ascii="Arial" w:hAnsi="Arial" w:cs="Arial"/>
                <w:b/>
                <w:bCs/>
                <w:color w:val="000000"/>
                <w:sz w:val="20"/>
                <w:lang w:eastAsia="es-AR"/>
              </w:rPr>
              <w:t>RESULTADOS NO ASIGNADOS</w:t>
            </w:r>
          </w:p>
        </w:tc>
        <w:tc>
          <w:tcPr>
            <w:tcW w:w="1200" w:type="dxa"/>
            <w:tcBorders>
              <w:top w:val="nil"/>
              <w:left w:val="nil"/>
              <w:bottom w:val="single" w:sz="4" w:space="0" w:color="auto"/>
              <w:right w:val="nil"/>
            </w:tcBorders>
            <w:shd w:val="clear" w:color="auto" w:fill="auto"/>
            <w:vAlign w:val="bottom"/>
          </w:tcPr>
          <w:p w14:paraId="445829E5" w14:textId="5216A070" w:rsidR="00AA49C7" w:rsidRPr="00B93DA4" w:rsidRDefault="00AA49C7" w:rsidP="00AA49C7">
            <w:pPr>
              <w:jc w:val="right"/>
              <w:rPr>
                <w:rFonts w:ascii="Arial" w:hAnsi="Arial" w:cs="Arial"/>
                <w:b/>
                <w:color w:val="000000"/>
                <w:sz w:val="20"/>
                <w:lang w:eastAsia="es-AR"/>
              </w:rPr>
            </w:pPr>
            <w:r>
              <w:rPr>
                <w:rFonts w:ascii="Arial" w:hAnsi="Arial" w:cs="Arial"/>
                <w:b/>
                <w:bCs/>
                <w:sz w:val="20"/>
              </w:rPr>
              <w:t xml:space="preserve">3.320.416 </w:t>
            </w:r>
          </w:p>
        </w:tc>
      </w:tr>
      <w:tr w:rsidR="00AA49C7" w:rsidRPr="006A451F" w14:paraId="1CC736AC" w14:textId="77777777" w:rsidTr="006E1AF7">
        <w:trPr>
          <w:trHeight w:val="255"/>
        </w:trPr>
        <w:tc>
          <w:tcPr>
            <w:tcW w:w="7320" w:type="dxa"/>
            <w:tcBorders>
              <w:top w:val="nil"/>
              <w:left w:val="nil"/>
              <w:bottom w:val="nil"/>
              <w:right w:val="nil"/>
            </w:tcBorders>
            <w:shd w:val="clear" w:color="auto" w:fill="auto"/>
            <w:vAlign w:val="center"/>
            <w:hideMark/>
          </w:tcPr>
          <w:p w14:paraId="50E4E207" w14:textId="77777777" w:rsidR="00AA49C7" w:rsidRPr="006A451F" w:rsidRDefault="00AA49C7" w:rsidP="00AA49C7">
            <w:pPr>
              <w:jc w:val="right"/>
              <w:rPr>
                <w:rFonts w:ascii="Arial" w:hAnsi="Arial" w:cs="Arial"/>
                <w:color w:val="000000"/>
                <w:sz w:val="20"/>
                <w:lang w:eastAsia="es-AR"/>
              </w:rPr>
            </w:pPr>
          </w:p>
        </w:tc>
        <w:tc>
          <w:tcPr>
            <w:tcW w:w="1200" w:type="dxa"/>
            <w:tcBorders>
              <w:top w:val="nil"/>
              <w:left w:val="nil"/>
              <w:bottom w:val="nil"/>
              <w:right w:val="nil"/>
            </w:tcBorders>
            <w:shd w:val="clear" w:color="auto" w:fill="auto"/>
            <w:vAlign w:val="bottom"/>
          </w:tcPr>
          <w:p w14:paraId="77C00686" w14:textId="4F0C1E87" w:rsidR="00AA49C7" w:rsidRPr="006A451F" w:rsidRDefault="00AA49C7" w:rsidP="00AA49C7">
            <w:pPr>
              <w:jc w:val="right"/>
              <w:rPr>
                <w:sz w:val="20"/>
                <w:lang w:eastAsia="es-AR"/>
              </w:rPr>
            </w:pPr>
            <w:r>
              <w:rPr>
                <w:rFonts w:ascii="Arial" w:hAnsi="Arial" w:cs="Arial"/>
                <w:sz w:val="20"/>
              </w:rPr>
              <w:t> </w:t>
            </w:r>
          </w:p>
        </w:tc>
      </w:tr>
      <w:tr w:rsidR="00AA49C7" w:rsidRPr="006A451F" w14:paraId="310108F7" w14:textId="77777777" w:rsidTr="006E1AF7">
        <w:trPr>
          <w:trHeight w:val="255"/>
        </w:trPr>
        <w:tc>
          <w:tcPr>
            <w:tcW w:w="7320" w:type="dxa"/>
            <w:tcBorders>
              <w:top w:val="nil"/>
              <w:left w:val="nil"/>
              <w:bottom w:val="nil"/>
              <w:right w:val="nil"/>
            </w:tcBorders>
            <w:shd w:val="clear" w:color="auto" w:fill="auto"/>
            <w:vAlign w:val="center"/>
            <w:hideMark/>
          </w:tcPr>
          <w:p w14:paraId="21891EDB"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A Reserva Legal ( 20% s/ pesos)</w:t>
            </w:r>
          </w:p>
        </w:tc>
        <w:tc>
          <w:tcPr>
            <w:tcW w:w="1200" w:type="dxa"/>
            <w:tcBorders>
              <w:top w:val="nil"/>
              <w:left w:val="nil"/>
              <w:bottom w:val="nil"/>
              <w:right w:val="nil"/>
            </w:tcBorders>
            <w:shd w:val="clear" w:color="auto" w:fill="auto"/>
            <w:vAlign w:val="bottom"/>
          </w:tcPr>
          <w:p w14:paraId="24717E25" w14:textId="4915DD21" w:rsidR="00AA49C7" w:rsidRPr="006A451F" w:rsidRDefault="00AA49C7" w:rsidP="00AA49C7">
            <w:pPr>
              <w:jc w:val="right"/>
              <w:rPr>
                <w:rFonts w:ascii="Arial" w:hAnsi="Arial" w:cs="Arial"/>
                <w:color w:val="000000"/>
                <w:sz w:val="20"/>
                <w:lang w:eastAsia="es-AR"/>
              </w:rPr>
            </w:pPr>
            <w:r>
              <w:rPr>
                <w:rFonts w:ascii="Arial" w:hAnsi="Arial" w:cs="Arial"/>
                <w:sz w:val="20"/>
              </w:rPr>
              <w:t xml:space="preserve">664.083 </w:t>
            </w:r>
          </w:p>
        </w:tc>
      </w:tr>
      <w:tr w:rsidR="00AA49C7" w:rsidRPr="006A451F" w14:paraId="5AD3D723" w14:textId="77777777" w:rsidTr="006E1AF7">
        <w:trPr>
          <w:trHeight w:val="255"/>
        </w:trPr>
        <w:tc>
          <w:tcPr>
            <w:tcW w:w="7320" w:type="dxa"/>
            <w:tcBorders>
              <w:top w:val="nil"/>
              <w:left w:val="nil"/>
              <w:bottom w:val="nil"/>
              <w:right w:val="nil"/>
            </w:tcBorders>
            <w:shd w:val="clear" w:color="auto" w:fill="auto"/>
            <w:vAlign w:val="center"/>
            <w:hideMark/>
          </w:tcPr>
          <w:p w14:paraId="0FC1B610" w14:textId="77777777" w:rsidR="00AA49C7" w:rsidRPr="006A451F" w:rsidRDefault="00AA49C7" w:rsidP="00AA49C7">
            <w:pPr>
              <w:jc w:val="right"/>
              <w:rPr>
                <w:rFonts w:ascii="Arial" w:hAnsi="Arial" w:cs="Arial"/>
                <w:color w:val="000000"/>
                <w:sz w:val="20"/>
                <w:lang w:eastAsia="es-AR"/>
              </w:rPr>
            </w:pPr>
          </w:p>
        </w:tc>
        <w:tc>
          <w:tcPr>
            <w:tcW w:w="1200" w:type="dxa"/>
            <w:tcBorders>
              <w:top w:val="nil"/>
              <w:left w:val="nil"/>
              <w:bottom w:val="nil"/>
              <w:right w:val="nil"/>
            </w:tcBorders>
            <w:shd w:val="clear" w:color="auto" w:fill="auto"/>
            <w:vAlign w:val="bottom"/>
          </w:tcPr>
          <w:p w14:paraId="15723E7C" w14:textId="65FDA6F6" w:rsidR="00AA49C7" w:rsidRPr="006A451F" w:rsidRDefault="00AA49C7" w:rsidP="00AA49C7">
            <w:pPr>
              <w:jc w:val="right"/>
              <w:rPr>
                <w:sz w:val="20"/>
                <w:lang w:eastAsia="es-AR"/>
              </w:rPr>
            </w:pPr>
            <w:r>
              <w:rPr>
                <w:rFonts w:ascii="Arial" w:hAnsi="Arial" w:cs="Arial"/>
                <w:sz w:val="20"/>
              </w:rPr>
              <w:t> </w:t>
            </w:r>
          </w:p>
        </w:tc>
      </w:tr>
      <w:tr w:rsidR="00AA49C7" w:rsidRPr="006A451F" w14:paraId="1162FB8A" w14:textId="77777777" w:rsidTr="006E1AF7">
        <w:trPr>
          <w:trHeight w:val="255"/>
        </w:trPr>
        <w:tc>
          <w:tcPr>
            <w:tcW w:w="7320" w:type="dxa"/>
            <w:tcBorders>
              <w:top w:val="nil"/>
              <w:left w:val="nil"/>
              <w:bottom w:val="nil"/>
              <w:right w:val="nil"/>
            </w:tcBorders>
            <w:shd w:val="clear" w:color="auto" w:fill="auto"/>
            <w:vAlign w:val="center"/>
            <w:hideMark/>
          </w:tcPr>
          <w:p w14:paraId="0BF14D7C"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A Reserva Estatutaria</w:t>
            </w:r>
          </w:p>
        </w:tc>
        <w:tc>
          <w:tcPr>
            <w:tcW w:w="1200" w:type="dxa"/>
            <w:tcBorders>
              <w:top w:val="nil"/>
              <w:left w:val="nil"/>
              <w:bottom w:val="nil"/>
              <w:right w:val="nil"/>
            </w:tcBorders>
            <w:shd w:val="clear" w:color="auto" w:fill="auto"/>
            <w:vAlign w:val="bottom"/>
          </w:tcPr>
          <w:p w14:paraId="43363383" w14:textId="66D10730" w:rsidR="00AA49C7" w:rsidRPr="006A451F" w:rsidRDefault="00AA49C7" w:rsidP="00AA49C7">
            <w:pPr>
              <w:jc w:val="right"/>
              <w:rPr>
                <w:rFonts w:ascii="Arial" w:hAnsi="Arial" w:cs="Arial"/>
                <w:color w:val="000000"/>
                <w:sz w:val="20"/>
                <w:lang w:eastAsia="es-AR"/>
              </w:rPr>
            </w:pPr>
            <w:r>
              <w:rPr>
                <w:rFonts w:ascii="Arial" w:hAnsi="Arial" w:cs="Arial"/>
                <w:sz w:val="20"/>
              </w:rPr>
              <w:t xml:space="preserve">- </w:t>
            </w:r>
          </w:p>
        </w:tc>
      </w:tr>
      <w:tr w:rsidR="00AA49C7" w:rsidRPr="006A451F" w14:paraId="003F6519" w14:textId="77777777" w:rsidTr="006E1AF7">
        <w:trPr>
          <w:trHeight w:val="255"/>
        </w:trPr>
        <w:tc>
          <w:tcPr>
            <w:tcW w:w="7320" w:type="dxa"/>
            <w:tcBorders>
              <w:top w:val="nil"/>
              <w:left w:val="nil"/>
              <w:bottom w:val="nil"/>
              <w:right w:val="nil"/>
            </w:tcBorders>
            <w:shd w:val="clear" w:color="auto" w:fill="auto"/>
            <w:vAlign w:val="center"/>
            <w:hideMark/>
          </w:tcPr>
          <w:p w14:paraId="1D589388" w14:textId="77777777" w:rsidR="00AA49C7" w:rsidRPr="006A451F" w:rsidRDefault="00AA49C7" w:rsidP="00AA49C7">
            <w:pPr>
              <w:jc w:val="right"/>
              <w:rPr>
                <w:rFonts w:ascii="Arial" w:hAnsi="Arial" w:cs="Arial"/>
                <w:color w:val="000000"/>
                <w:sz w:val="20"/>
                <w:lang w:eastAsia="es-AR"/>
              </w:rPr>
            </w:pPr>
          </w:p>
        </w:tc>
        <w:tc>
          <w:tcPr>
            <w:tcW w:w="1200" w:type="dxa"/>
            <w:tcBorders>
              <w:top w:val="nil"/>
              <w:left w:val="nil"/>
              <w:bottom w:val="nil"/>
              <w:right w:val="nil"/>
            </w:tcBorders>
            <w:shd w:val="clear" w:color="auto" w:fill="auto"/>
            <w:vAlign w:val="bottom"/>
          </w:tcPr>
          <w:p w14:paraId="6A209D4C" w14:textId="5C0FFEA5" w:rsidR="00AA49C7" w:rsidRPr="006A451F" w:rsidRDefault="00AA49C7" w:rsidP="00AA49C7">
            <w:pPr>
              <w:jc w:val="right"/>
              <w:rPr>
                <w:sz w:val="20"/>
                <w:lang w:eastAsia="es-AR"/>
              </w:rPr>
            </w:pPr>
            <w:r>
              <w:rPr>
                <w:rFonts w:ascii="Arial" w:hAnsi="Arial" w:cs="Arial"/>
                <w:sz w:val="20"/>
              </w:rPr>
              <w:t> </w:t>
            </w:r>
          </w:p>
        </w:tc>
      </w:tr>
      <w:tr w:rsidR="00AA49C7" w:rsidRPr="006A451F" w14:paraId="0028A52B" w14:textId="77777777" w:rsidTr="006E1AF7">
        <w:trPr>
          <w:trHeight w:val="255"/>
        </w:trPr>
        <w:tc>
          <w:tcPr>
            <w:tcW w:w="7320" w:type="dxa"/>
            <w:tcBorders>
              <w:top w:val="nil"/>
              <w:left w:val="nil"/>
              <w:bottom w:val="nil"/>
              <w:right w:val="nil"/>
            </w:tcBorders>
            <w:shd w:val="clear" w:color="auto" w:fill="auto"/>
            <w:vAlign w:val="center"/>
            <w:hideMark/>
          </w:tcPr>
          <w:p w14:paraId="1B16268F"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A Reserva Especial "Aplicación Primera Vez de las NIIF "</w:t>
            </w:r>
          </w:p>
        </w:tc>
        <w:tc>
          <w:tcPr>
            <w:tcW w:w="1200" w:type="dxa"/>
            <w:tcBorders>
              <w:top w:val="nil"/>
              <w:left w:val="nil"/>
              <w:bottom w:val="nil"/>
              <w:right w:val="nil"/>
            </w:tcBorders>
            <w:shd w:val="clear" w:color="auto" w:fill="auto"/>
            <w:vAlign w:val="bottom"/>
          </w:tcPr>
          <w:p w14:paraId="3BD1F173" w14:textId="7C0DB239" w:rsidR="00AA49C7" w:rsidRPr="006A451F" w:rsidRDefault="00AA49C7" w:rsidP="00AA49C7">
            <w:pPr>
              <w:jc w:val="right"/>
              <w:rPr>
                <w:rFonts w:ascii="Arial" w:hAnsi="Arial" w:cs="Arial"/>
                <w:color w:val="000000"/>
                <w:sz w:val="20"/>
                <w:lang w:eastAsia="es-AR"/>
              </w:rPr>
            </w:pPr>
            <w:r>
              <w:rPr>
                <w:rFonts w:ascii="Arial" w:hAnsi="Arial" w:cs="Arial"/>
                <w:sz w:val="20"/>
              </w:rPr>
              <w:t xml:space="preserve">- </w:t>
            </w:r>
          </w:p>
        </w:tc>
      </w:tr>
      <w:tr w:rsidR="00AA49C7" w:rsidRPr="006A451F" w14:paraId="76608DF7" w14:textId="77777777" w:rsidTr="006E1AF7">
        <w:trPr>
          <w:trHeight w:val="255"/>
        </w:trPr>
        <w:tc>
          <w:tcPr>
            <w:tcW w:w="7320" w:type="dxa"/>
            <w:tcBorders>
              <w:top w:val="nil"/>
              <w:left w:val="nil"/>
              <w:bottom w:val="nil"/>
              <w:right w:val="nil"/>
            </w:tcBorders>
            <w:shd w:val="clear" w:color="auto" w:fill="auto"/>
            <w:vAlign w:val="center"/>
            <w:hideMark/>
          </w:tcPr>
          <w:p w14:paraId="325514AD" w14:textId="77777777" w:rsidR="00AA49C7" w:rsidRPr="006A451F" w:rsidRDefault="00AA49C7" w:rsidP="00AA49C7">
            <w:pPr>
              <w:jc w:val="right"/>
              <w:rPr>
                <w:rFonts w:ascii="Arial" w:hAnsi="Arial" w:cs="Arial"/>
                <w:color w:val="000000"/>
                <w:sz w:val="20"/>
                <w:lang w:eastAsia="es-AR"/>
              </w:rPr>
            </w:pPr>
          </w:p>
        </w:tc>
        <w:tc>
          <w:tcPr>
            <w:tcW w:w="1200" w:type="dxa"/>
            <w:tcBorders>
              <w:top w:val="nil"/>
              <w:left w:val="nil"/>
              <w:bottom w:val="nil"/>
              <w:right w:val="nil"/>
            </w:tcBorders>
            <w:shd w:val="clear" w:color="auto" w:fill="auto"/>
            <w:vAlign w:val="bottom"/>
          </w:tcPr>
          <w:p w14:paraId="0506F137" w14:textId="468C38BA" w:rsidR="00AA49C7" w:rsidRPr="006A451F" w:rsidRDefault="00AA49C7" w:rsidP="00AA49C7">
            <w:pPr>
              <w:jc w:val="right"/>
              <w:rPr>
                <w:sz w:val="20"/>
                <w:lang w:eastAsia="es-AR"/>
              </w:rPr>
            </w:pPr>
            <w:r>
              <w:rPr>
                <w:rFonts w:ascii="Arial" w:hAnsi="Arial" w:cs="Arial"/>
                <w:sz w:val="20"/>
              </w:rPr>
              <w:t> </w:t>
            </w:r>
          </w:p>
        </w:tc>
      </w:tr>
      <w:tr w:rsidR="00AA49C7" w:rsidRPr="006A451F" w14:paraId="6A01D5CD" w14:textId="77777777" w:rsidTr="006E1AF7">
        <w:trPr>
          <w:trHeight w:val="255"/>
        </w:trPr>
        <w:tc>
          <w:tcPr>
            <w:tcW w:w="7320" w:type="dxa"/>
            <w:tcBorders>
              <w:top w:val="nil"/>
              <w:left w:val="nil"/>
              <w:bottom w:val="nil"/>
              <w:right w:val="nil"/>
            </w:tcBorders>
            <w:shd w:val="clear" w:color="auto" w:fill="auto"/>
            <w:vAlign w:val="center"/>
            <w:hideMark/>
          </w:tcPr>
          <w:p w14:paraId="71332567"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Ajuste del punto 2.3. y 2,4, del T.O. de "Distribución de resultados"</w:t>
            </w:r>
          </w:p>
        </w:tc>
        <w:tc>
          <w:tcPr>
            <w:tcW w:w="1200" w:type="dxa"/>
            <w:tcBorders>
              <w:top w:val="nil"/>
              <w:left w:val="nil"/>
              <w:bottom w:val="nil"/>
              <w:right w:val="nil"/>
            </w:tcBorders>
            <w:shd w:val="clear" w:color="auto" w:fill="auto"/>
            <w:vAlign w:val="bottom"/>
          </w:tcPr>
          <w:p w14:paraId="522ED72E" w14:textId="347B233A" w:rsidR="00AA49C7" w:rsidRPr="006A451F" w:rsidRDefault="00AA49C7" w:rsidP="00AA49C7">
            <w:pPr>
              <w:jc w:val="right"/>
              <w:rPr>
                <w:rFonts w:ascii="Arial" w:hAnsi="Arial" w:cs="Arial"/>
                <w:color w:val="000000"/>
                <w:sz w:val="20"/>
                <w:lang w:eastAsia="es-AR"/>
              </w:rPr>
            </w:pPr>
            <w:r>
              <w:rPr>
                <w:rFonts w:ascii="Arial" w:hAnsi="Arial" w:cs="Arial"/>
                <w:sz w:val="20"/>
              </w:rPr>
              <w:t xml:space="preserve">- </w:t>
            </w:r>
          </w:p>
        </w:tc>
      </w:tr>
      <w:tr w:rsidR="00AA49C7" w:rsidRPr="006A451F" w14:paraId="207BF938" w14:textId="77777777" w:rsidTr="006E1AF7">
        <w:trPr>
          <w:trHeight w:val="270"/>
        </w:trPr>
        <w:tc>
          <w:tcPr>
            <w:tcW w:w="7320" w:type="dxa"/>
            <w:tcBorders>
              <w:top w:val="nil"/>
              <w:left w:val="nil"/>
              <w:bottom w:val="nil"/>
              <w:right w:val="nil"/>
            </w:tcBorders>
            <w:shd w:val="clear" w:color="auto" w:fill="auto"/>
            <w:vAlign w:val="center"/>
            <w:hideMark/>
          </w:tcPr>
          <w:p w14:paraId="63740E5C" w14:textId="77777777" w:rsidR="00AA49C7" w:rsidRPr="006A451F" w:rsidRDefault="00AA49C7" w:rsidP="00AA49C7">
            <w:pPr>
              <w:jc w:val="right"/>
              <w:rPr>
                <w:rFonts w:ascii="Arial" w:hAnsi="Arial" w:cs="Arial"/>
                <w:color w:val="000000"/>
                <w:sz w:val="20"/>
                <w:lang w:eastAsia="es-AR"/>
              </w:rPr>
            </w:pPr>
          </w:p>
        </w:tc>
        <w:tc>
          <w:tcPr>
            <w:tcW w:w="1200" w:type="dxa"/>
            <w:tcBorders>
              <w:top w:val="nil"/>
              <w:left w:val="nil"/>
              <w:bottom w:val="single" w:sz="8" w:space="0" w:color="auto"/>
              <w:right w:val="nil"/>
            </w:tcBorders>
            <w:shd w:val="clear" w:color="auto" w:fill="auto"/>
            <w:vAlign w:val="bottom"/>
          </w:tcPr>
          <w:p w14:paraId="7657C70B" w14:textId="34AFDCC4" w:rsidR="00AA49C7" w:rsidRPr="006A451F" w:rsidRDefault="00AA49C7" w:rsidP="00AA49C7">
            <w:pPr>
              <w:jc w:val="right"/>
              <w:rPr>
                <w:rFonts w:ascii="Arial" w:hAnsi="Arial" w:cs="Arial"/>
                <w:color w:val="000000"/>
                <w:sz w:val="20"/>
                <w:lang w:eastAsia="es-AR"/>
              </w:rPr>
            </w:pPr>
            <w:r>
              <w:rPr>
                <w:rFonts w:ascii="Arial" w:hAnsi="Arial" w:cs="Arial"/>
                <w:sz w:val="20"/>
              </w:rPr>
              <w:t> </w:t>
            </w:r>
          </w:p>
        </w:tc>
      </w:tr>
      <w:tr w:rsidR="00AA49C7" w:rsidRPr="006A451F" w14:paraId="3B842313" w14:textId="77777777" w:rsidTr="006E1AF7">
        <w:trPr>
          <w:trHeight w:val="270"/>
        </w:trPr>
        <w:tc>
          <w:tcPr>
            <w:tcW w:w="7320" w:type="dxa"/>
            <w:tcBorders>
              <w:top w:val="nil"/>
              <w:left w:val="nil"/>
              <w:bottom w:val="nil"/>
              <w:right w:val="nil"/>
            </w:tcBorders>
            <w:shd w:val="clear" w:color="auto" w:fill="auto"/>
            <w:vAlign w:val="center"/>
            <w:hideMark/>
          </w:tcPr>
          <w:p w14:paraId="4F149583" w14:textId="77777777" w:rsidR="00AA49C7" w:rsidRPr="006A451F" w:rsidRDefault="00AA49C7" w:rsidP="00AA49C7">
            <w:pPr>
              <w:jc w:val="right"/>
              <w:rPr>
                <w:rFonts w:ascii="Arial" w:hAnsi="Arial" w:cs="Arial"/>
                <w:b/>
                <w:bCs/>
                <w:color w:val="000000"/>
                <w:sz w:val="20"/>
                <w:lang w:eastAsia="es-AR"/>
              </w:rPr>
            </w:pPr>
            <w:r w:rsidRPr="006A451F">
              <w:rPr>
                <w:rFonts w:ascii="Arial" w:hAnsi="Arial" w:cs="Arial"/>
                <w:b/>
                <w:bCs/>
                <w:color w:val="000000"/>
                <w:sz w:val="20"/>
                <w:lang w:eastAsia="es-AR"/>
              </w:rPr>
              <w:t>SUBTOTAL 1</w:t>
            </w:r>
          </w:p>
        </w:tc>
        <w:tc>
          <w:tcPr>
            <w:tcW w:w="1200" w:type="dxa"/>
            <w:tcBorders>
              <w:top w:val="nil"/>
              <w:left w:val="nil"/>
              <w:bottom w:val="single" w:sz="8" w:space="0" w:color="auto"/>
              <w:right w:val="nil"/>
            </w:tcBorders>
            <w:shd w:val="clear" w:color="auto" w:fill="auto"/>
            <w:vAlign w:val="bottom"/>
          </w:tcPr>
          <w:p w14:paraId="63B896F5" w14:textId="73033EE9" w:rsidR="00AA49C7" w:rsidRPr="00B93DA4" w:rsidRDefault="00AA49C7" w:rsidP="00AA49C7">
            <w:pPr>
              <w:jc w:val="right"/>
              <w:rPr>
                <w:rFonts w:ascii="Arial" w:hAnsi="Arial" w:cs="Arial"/>
                <w:b/>
                <w:color w:val="000000"/>
                <w:sz w:val="20"/>
                <w:lang w:eastAsia="es-AR"/>
              </w:rPr>
            </w:pPr>
            <w:r>
              <w:rPr>
                <w:rFonts w:ascii="Arial" w:hAnsi="Arial" w:cs="Arial"/>
                <w:b/>
                <w:bCs/>
                <w:sz w:val="20"/>
              </w:rPr>
              <w:t xml:space="preserve">2.656.333 </w:t>
            </w:r>
          </w:p>
        </w:tc>
      </w:tr>
      <w:tr w:rsidR="006A451F" w:rsidRPr="006A451F" w14:paraId="01DEDC92" w14:textId="77777777" w:rsidTr="00FD37DD">
        <w:trPr>
          <w:trHeight w:val="255"/>
        </w:trPr>
        <w:tc>
          <w:tcPr>
            <w:tcW w:w="7320" w:type="dxa"/>
            <w:tcBorders>
              <w:top w:val="nil"/>
              <w:left w:val="nil"/>
              <w:bottom w:val="nil"/>
              <w:right w:val="nil"/>
            </w:tcBorders>
            <w:shd w:val="clear" w:color="auto" w:fill="auto"/>
            <w:vAlign w:val="center"/>
            <w:hideMark/>
          </w:tcPr>
          <w:p w14:paraId="57426339" w14:textId="77777777" w:rsidR="006A451F" w:rsidRPr="006A451F" w:rsidRDefault="006A451F" w:rsidP="006A451F">
            <w:pPr>
              <w:rPr>
                <w:rFonts w:ascii="Arial" w:hAnsi="Arial" w:cs="Arial"/>
                <w:color w:val="000000"/>
                <w:sz w:val="20"/>
                <w:lang w:eastAsia="es-AR"/>
              </w:rPr>
            </w:pPr>
          </w:p>
        </w:tc>
        <w:tc>
          <w:tcPr>
            <w:tcW w:w="1200" w:type="dxa"/>
            <w:tcBorders>
              <w:top w:val="nil"/>
              <w:left w:val="nil"/>
              <w:bottom w:val="nil"/>
              <w:right w:val="nil"/>
            </w:tcBorders>
            <w:shd w:val="clear" w:color="auto" w:fill="auto"/>
            <w:vAlign w:val="center"/>
          </w:tcPr>
          <w:p w14:paraId="28E55AF3" w14:textId="77777777" w:rsidR="006A451F" w:rsidRPr="006A451F" w:rsidRDefault="006A451F" w:rsidP="006A451F">
            <w:pPr>
              <w:jc w:val="right"/>
              <w:rPr>
                <w:sz w:val="20"/>
                <w:lang w:eastAsia="es-AR"/>
              </w:rPr>
            </w:pPr>
          </w:p>
        </w:tc>
      </w:tr>
      <w:tr w:rsidR="006A451F" w:rsidRPr="006A451F" w14:paraId="6DE2BC0B" w14:textId="77777777" w:rsidTr="00FD37DD">
        <w:trPr>
          <w:trHeight w:val="255"/>
        </w:trPr>
        <w:tc>
          <w:tcPr>
            <w:tcW w:w="7320" w:type="dxa"/>
            <w:tcBorders>
              <w:top w:val="nil"/>
              <w:left w:val="nil"/>
              <w:bottom w:val="nil"/>
              <w:right w:val="nil"/>
            </w:tcBorders>
            <w:shd w:val="clear" w:color="auto" w:fill="auto"/>
            <w:vAlign w:val="center"/>
            <w:hideMark/>
          </w:tcPr>
          <w:p w14:paraId="5DC07AAB" w14:textId="77777777" w:rsidR="006A451F" w:rsidRPr="006A451F" w:rsidRDefault="006A451F" w:rsidP="006A451F">
            <w:pPr>
              <w:rPr>
                <w:rFonts w:ascii="Arial" w:hAnsi="Arial" w:cs="Arial"/>
                <w:color w:val="000000"/>
                <w:sz w:val="20"/>
                <w:lang w:eastAsia="es-AR"/>
              </w:rPr>
            </w:pPr>
            <w:r w:rsidRPr="006A451F">
              <w:rPr>
                <w:rFonts w:ascii="Arial" w:hAnsi="Arial" w:cs="Arial"/>
                <w:color w:val="000000"/>
                <w:sz w:val="20"/>
                <w:lang w:eastAsia="es-AR"/>
              </w:rPr>
              <w:t>A Reserva Normativa – Especial para Instrumentos de Deuda Subordinada</w:t>
            </w:r>
          </w:p>
        </w:tc>
        <w:tc>
          <w:tcPr>
            <w:tcW w:w="1200" w:type="dxa"/>
            <w:tcBorders>
              <w:top w:val="nil"/>
              <w:left w:val="nil"/>
              <w:bottom w:val="nil"/>
              <w:right w:val="nil"/>
            </w:tcBorders>
            <w:shd w:val="clear" w:color="auto" w:fill="auto"/>
            <w:vAlign w:val="center"/>
          </w:tcPr>
          <w:p w14:paraId="3C2EE3B7" w14:textId="50BB06BA" w:rsidR="006A451F" w:rsidRPr="006A451F" w:rsidRDefault="00B93DA4" w:rsidP="006A451F">
            <w:pPr>
              <w:jc w:val="right"/>
              <w:rPr>
                <w:rFonts w:ascii="Arial" w:hAnsi="Arial" w:cs="Arial"/>
                <w:color w:val="000000"/>
                <w:sz w:val="20"/>
                <w:lang w:eastAsia="es-AR"/>
              </w:rPr>
            </w:pPr>
            <w:r>
              <w:rPr>
                <w:rFonts w:ascii="Arial" w:hAnsi="Arial" w:cs="Arial"/>
                <w:color w:val="000000"/>
                <w:sz w:val="20"/>
                <w:lang w:eastAsia="es-AR"/>
              </w:rPr>
              <w:t>-</w:t>
            </w:r>
          </w:p>
        </w:tc>
      </w:tr>
      <w:tr w:rsidR="006A451F" w:rsidRPr="006A451F" w14:paraId="4A0A8AA0" w14:textId="77777777" w:rsidTr="00FD37DD">
        <w:trPr>
          <w:trHeight w:val="255"/>
        </w:trPr>
        <w:tc>
          <w:tcPr>
            <w:tcW w:w="7320" w:type="dxa"/>
            <w:tcBorders>
              <w:top w:val="nil"/>
              <w:left w:val="nil"/>
              <w:bottom w:val="nil"/>
              <w:right w:val="nil"/>
            </w:tcBorders>
            <w:shd w:val="clear" w:color="auto" w:fill="auto"/>
            <w:vAlign w:val="center"/>
            <w:hideMark/>
          </w:tcPr>
          <w:p w14:paraId="2E54E6A9" w14:textId="77777777" w:rsidR="006A451F" w:rsidRPr="006A451F" w:rsidRDefault="006A451F" w:rsidP="006A451F">
            <w:pPr>
              <w:jc w:val="right"/>
              <w:rPr>
                <w:rFonts w:ascii="Arial" w:hAnsi="Arial" w:cs="Arial"/>
                <w:color w:val="000000"/>
                <w:sz w:val="20"/>
                <w:lang w:eastAsia="es-AR"/>
              </w:rPr>
            </w:pPr>
          </w:p>
        </w:tc>
        <w:tc>
          <w:tcPr>
            <w:tcW w:w="1200" w:type="dxa"/>
            <w:tcBorders>
              <w:top w:val="nil"/>
              <w:left w:val="nil"/>
              <w:bottom w:val="nil"/>
              <w:right w:val="nil"/>
            </w:tcBorders>
            <w:shd w:val="clear" w:color="auto" w:fill="auto"/>
            <w:vAlign w:val="center"/>
          </w:tcPr>
          <w:p w14:paraId="0A21B432" w14:textId="77777777" w:rsidR="006A451F" w:rsidRPr="006A451F" w:rsidRDefault="006A451F" w:rsidP="006A451F">
            <w:pPr>
              <w:jc w:val="right"/>
              <w:rPr>
                <w:sz w:val="20"/>
                <w:lang w:eastAsia="es-AR"/>
              </w:rPr>
            </w:pPr>
          </w:p>
        </w:tc>
      </w:tr>
      <w:tr w:rsidR="006A451F" w:rsidRPr="006A451F" w14:paraId="2EA439FF" w14:textId="77777777" w:rsidTr="00FD37DD">
        <w:trPr>
          <w:trHeight w:val="255"/>
        </w:trPr>
        <w:tc>
          <w:tcPr>
            <w:tcW w:w="7320" w:type="dxa"/>
            <w:tcBorders>
              <w:top w:val="nil"/>
              <w:left w:val="nil"/>
              <w:bottom w:val="nil"/>
              <w:right w:val="nil"/>
            </w:tcBorders>
            <w:shd w:val="clear" w:color="auto" w:fill="auto"/>
            <w:vAlign w:val="center"/>
            <w:hideMark/>
          </w:tcPr>
          <w:p w14:paraId="1174F944" w14:textId="77777777" w:rsidR="006A451F" w:rsidRPr="006A451F" w:rsidRDefault="006A451F" w:rsidP="006A451F">
            <w:pPr>
              <w:rPr>
                <w:rFonts w:ascii="Arial" w:hAnsi="Arial" w:cs="Arial"/>
                <w:color w:val="000000"/>
                <w:sz w:val="20"/>
                <w:lang w:eastAsia="es-AR"/>
              </w:rPr>
            </w:pPr>
            <w:r w:rsidRPr="006A451F">
              <w:rPr>
                <w:rFonts w:ascii="Arial" w:hAnsi="Arial" w:cs="Arial"/>
                <w:color w:val="000000"/>
                <w:sz w:val="20"/>
                <w:lang w:eastAsia="es-AR"/>
              </w:rPr>
              <w:t>Ajuste del punto 2.1. del T.O. de "Distribución de resultados"</w:t>
            </w:r>
          </w:p>
        </w:tc>
        <w:tc>
          <w:tcPr>
            <w:tcW w:w="1200" w:type="dxa"/>
            <w:tcBorders>
              <w:top w:val="nil"/>
              <w:left w:val="nil"/>
              <w:bottom w:val="nil"/>
              <w:right w:val="nil"/>
            </w:tcBorders>
            <w:shd w:val="clear" w:color="auto" w:fill="auto"/>
            <w:vAlign w:val="center"/>
          </w:tcPr>
          <w:p w14:paraId="4F8B50B6" w14:textId="31FDE90F" w:rsidR="006A451F" w:rsidRPr="006A451F" w:rsidRDefault="00B93DA4" w:rsidP="006A451F">
            <w:pPr>
              <w:jc w:val="right"/>
              <w:rPr>
                <w:rFonts w:ascii="Arial" w:hAnsi="Arial" w:cs="Arial"/>
                <w:color w:val="000000"/>
                <w:sz w:val="20"/>
                <w:lang w:eastAsia="es-AR"/>
              </w:rPr>
            </w:pPr>
            <w:r>
              <w:rPr>
                <w:rFonts w:ascii="Arial" w:hAnsi="Arial" w:cs="Arial"/>
                <w:color w:val="000000"/>
                <w:sz w:val="20"/>
                <w:lang w:eastAsia="es-AR"/>
              </w:rPr>
              <w:t>-</w:t>
            </w:r>
          </w:p>
        </w:tc>
      </w:tr>
      <w:tr w:rsidR="006A451F" w:rsidRPr="006A451F" w14:paraId="41BA8EA2" w14:textId="77777777" w:rsidTr="00FD37DD">
        <w:trPr>
          <w:trHeight w:val="255"/>
        </w:trPr>
        <w:tc>
          <w:tcPr>
            <w:tcW w:w="7320" w:type="dxa"/>
            <w:tcBorders>
              <w:top w:val="nil"/>
              <w:left w:val="nil"/>
              <w:bottom w:val="nil"/>
              <w:right w:val="nil"/>
            </w:tcBorders>
            <w:shd w:val="clear" w:color="auto" w:fill="auto"/>
            <w:vAlign w:val="center"/>
            <w:hideMark/>
          </w:tcPr>
          <w:p w14:paraId="6D51CA58" w14:textId="77777777" w:rsidR="006A451F" w:rsidRPr="006A451F" w:rsidRDefault="006A451F" w:rsidP="006A451F">
            <w:pPr>
              <w:jc w:val="right"/>
              <w:rPr>
                <w:rFonts w:ascii="Arial" w:hAnsi="Arial" w:cs="Arial"/>
                <w:color w:val="000000"/>
                <w:sz w:val="20"/>
                <w:lang w:eastAsia="es-AR"/>
              </w:rPr>
            </w:pPr>
          </w:p>
        </w:tc>
        <w:tc>
          <w:tcPr>
            <w:tcW w:w="1200" w:type="dxa"/>
            <w:tcBorders>
              <w:top w:val="nil"/>
              <w:left w:val="nil"/>
              <w:bottom w:val="nil"/>
              <w:right w:val="nil"/>
            </w:tcBorders>
            <w:shd w:val="clear" w:color="auto" w:fill="auto"/>
            <w:vAlign w:val="center"/>
          </w:tcPr>
          <w:p w14:paraId="75CC8295" w14:textId="77777777" w:rsidR="006A451F" w:rsidRPr="006A451F" w:rsidRDefault="006A451F" w:rsidP="006A451F">
            <w:pPr>
              <w:jc w:val="right"/>
              <w:rPr>
                <w:sz w:val="20"/>
                <w:lang w:eastAsia="es-AR"/>
              </w:rPr>
            </w:pPr>
          </w:p>
        </w:tc>
      </w:tr>
      <w:tr w:rsidR="006A451F" w:rsidRPr="006A451F" w14:paraId="258B15F7" w14:textId="77777777" w:rsidTr="00FD37DD">
        <w:trPr>
          <w:trHeight w:val="255"/>
        </w:trPr>
        <w:tc>
          <w:tcPr>
            <w:tcW w:w="7320" w:type="dxa"/>
            <w:tcBorders>
              <w:top w:val="nil"/>
              <w:left w:val="nil"/>
              <w:bottom w:val="nil"/>
              <w:right w:val="nil"/>
            </w:tcBorders>
            <w:shd w:val="clear" w:color="auto" w:fill="auto"/>
            <w:vAlign w:val="center"/>
            <w:hideMark/>
          </w:tcPr>
          <w:p w14:paraId="2CFEA41C" w14:textId="77777777" w:rsidR="006A451F" w:rsidRPr="006A451F" w:rsidRDefault="006A451F" w:rsidP="006A451F">
            <w:pPr>
              <w:rPr>
                <w:rFonts w:ascii="Arial" w:hAnsi="Arial" w:cs="Arial"/>
                <w:color w:val="000000"/>
                <w:sz w:val="20"/>
                <w:lang w:eastAsia="es-AR"/>
              </w:rPr>
            </w:pPr>
            <w:r w:rsidRPr="006A451F">
              <w:rPr>
                <w:rFonts w:ascii="Arial" w:hAnsi="Arial" w:cs="Arial"/>
                <w:color w:val="000000"/>
                <w:sz w:val="20"/>
                <w:lang w:eastAsia="es-AR"/>
              </w:rPr>
              <w:t>Ajuste del punto 2.2. del T.O. de "Distribución de resultados"</w:t>
            </w:r>
          </w:p>
        </w:tc>
        <w:tc>
          <w:tcPr>
            <w:tcW w:w="1200" w:type="dxa"/>
            <w:tcBorders>
              <w:top w:val="nil"/>
              <w:left w:val="nil"/>
              <w:bottom w:val="nil"/>
              <w:right w:val="nil"/>
            </w:tcBorders>
            <w:shd w:val="clear" w:color="auto" w:fill="auto"/>
            <w:vAlign w:val="center"/>
          </w:tcPr>
          <w:p w14:paraId="3FEA960C" w14:textId="77777777" w:rsidR="006A451F" w:rsidRPr="006A451F" w:rsidRDefault="006A451F" w:rsidP="006A451F">
            <w:pPr>
              <w:jc w:val="right"/>
              <w:rPr>
                <w:rFonts w:ascii="Arial" w:hAnsi="Arial" w:cs="Arial"/>
                <w:color w:val="000000"/>
                <w:sz w:val="20"/>
                <w:lang w:eastAsia="es-AR"/>
              </w:rPr>
            </w:pPr>
          </w:p>
        </w:tc>
      </w:tr>
      <w:tr w:rsidR="006A451F" w:rsidRPr="006A451F" w14:paraId="0D924213" w14:textId="77777777" w:rsidTr="00FD37DD">
        <w:trPr>
          <w:trHeight w:val="510"/>
        </w:trPr>
        <w:tc>
          <w:tcPr>
            <w:tcW w:w="7320" w:type="dxa"/>
            <w:tcBorders>
              <w:top w:val="nil"/>
              <w:left w:val="nil"/>
              <w:bottom w:val="nil"/>
              <w:right w:val="nil"/>
            </w:tcBorders>
            <w:shd w:val="clear" w:color="auto" w:fill="auto"/>
            <w:vAlign w:val="center"/>
            <w:hideMark/>
          </w:tcPr>
          <w:p w14:paraId="63D662C5" w14:textId="77777777" w:rsidR="006A451F" w:rsidRPr="006A451F" w:rsidRDefault="006A451F" w:rsidP="006A451F">
            <w:pPr>
              <w:rPr>
                <w:rFonts w:ascii="Arial" w:hAnsi="Arial" w:cs="Arial"/>
                <w:color w:val="000000"/>
                <w:sz w:val="20"/>
                <w:lang w:eastAsia="es-AR"/>
              </w:rPr>
            </w:pPr>
            <w:r w:rsidRPr="006A451F">
              <w:rPr>
                <w:rFonts w:ascii="Arial" w:hAnsi="Arial" w:cs="Arial"/>
                <w:color w:val="000000"/>
                <w:sz w:val="20"/>
                <w:lang w:eastAsia="es-AR"/>
              </w:rPr>
              <w:t>Resultado proveniente de revaluación de Propiedad, planta y equipo y de propiedades de inversión.</w:t>
            </w:r>
          </w:p>
        </w:tc>
        <w:tc>
          <w:tcPr>
            <w:tcW w:w="1200" w:type="dxa"/>
            <w:tcBorders>
              <w:top w:val="nil"/>
              <w:left w:val="nil"/>
              <w:bottom w:val="nil"/>
              <w:right w:val="nil"/>
            </w:tcBorders>
            <w:shd w:val="clear" w:color="auto" w:fill="auto"/>
            <w:vAlign w:val="center"/>
          </w:tcPr>
          <w:p w14:paraId="045F75DC" w14:textId="77777777" w:rsidR="00B93DA4" w:rsidRDefault="00B93DA4" w:rsidP="006A451F">
            <w:pPr>
              <w:jc w:val="right"/>
              <w:rPr>
                <w:rFonts w:ascii="Arial" w:hAnsi="Arial" w:cs="Arial"/>
                <w:color w:val="000000"/>
                <w:sz w:val="20"/>
                <w:lang w:eastAsia="es-AR"/>
              </w:rPr>
            </w:pPr>
          </w:p>
          <w:p w14:paraId="329808B1" w14:textId="2E0B58EE" w:rsidR="006A451F" w:rsidRPr="006A451F" w:rsidRDefault="00B93DA4" w:rsidP="006A451F">
            <w:pPr>
              <w:jc w:val="right"/>
              <w:rPr>
                <w:rFonts w:ascii="Arial" w:hAnsi="Arial" w:cs="Arial"/>
                <w:color w:val="000000"/>
                <w:sz w:val="20"/>
                <w:lang w:eastAsia="es-AR"/>
              </w:rPr>
            </w:pPr>
            <w:r>
              <w:rPr>
                <w:rFonts w:ascii="Arial" w:hAnsi="Arial" w:cs="Arial"/>
                <w:color w:val="000000"/>
                <w:sz w:val="20"/>
                <w:lang w:eastAsia="es-AR"/>
              </w:rPr>
              <w:t>877.474</w:t>
            </w:r>
          </w:p>
        </w:tc>
      </w:tr>
      <w:tr w:rsidR="006A451F" w:rsidRPr="006A451F" w14:paraId="7CEB63E0" w14:textId="77777777" w:rsidTr="00FD37DD">
        <w:trPr>
          <w:trHeight w:val="270"/>
        </w:trPr>
        <w:tc>
          <w:tcPr>
            <w:tcW w:w="7320" w:type="dxa"/>
            <w:tcBorders>
              <w:top w:val="nil"/>
              <w:left w:val="nil"/>
              <w:bottom w:val="nil"/>
              <w:right w:val="nil"/>
            </w:tcBorders>
            <w:shd w:val="clear" w:color="auto" w:fill="auto"/>
            <w:vAlign w:val="center"/>
            <w:hideMark/>
          </w:tcPr>
          <w:p w14:paraId="3EFD893A" w14:textId="77777777" w:rsidR="006A451F" w:rsidRPr="006A451F" w:rsidRDefault="006A451F" w:rsidP="006A451F">
            <w:pPr>
              <w:jc w:val="right"/>
              <w:rPr>
                <w:rFonts w:ascii="Arial" w:hAnsi="Arial" w:cs="Arial"/>
                <w:color w:val="000000"/>
                <w:sz w:val="20"/>
                <w:lang w:eastAsia="es-AR"/>
              </w:rPr>
            </w:pPr>
          </w:p>
        </w:tc>
        <w:tc>
          <w:tcPr>
            <w:tcW w:w="1200" w:type="dxa"/>
            <w:tcBorders>
              <w:top w:val="nil"/>
              <w:left w:val="nil"/>
              <w:bottom w:val="single" w:sz="8" w:space="0" w:color="auto"/>
              <w:right w:val="nil"/>
            </w:tcBorders>
            <w:shd w:val="clear" w:color="auto" w:fill="auto"/>
            <w:vAlign w:val="center"/>
          </w:tcPr>
          <w:p w14:paraId="1F8643FF" w14:textId="7685C601" w:rsidR="006A451F" w:rsidRPr="006A451F" w:rsidRDefault="006A451F" w:rsidP="006A451F">
            <w:pPr>
              <w:jc w:val="right"/>
              <w:rPr>
                <w:rFonts w:ascii="Arial" w:hAnsi="Arial" w:cs="Arial"/>
                <w:color w:val="000000"/>
                <w:sz w:val="20"/>
                <w:lang w:eastAsia="es-AR"/>
              </w:rPr>
            </w:pPr>
          </w:p>
        </w:tc>
      </w:tr>
      <w:tr w:rsidR="006A451F" w:rsidRPr="006A451F" w14:paraId="12E24712" w14:textId="77777777" w:rsidTr="00FD37DD">
        <w:trPr>
          <w:trHeight w:val="270"/>
        </w:trPr>
        <w:tc>
          <w:tcPr>
            <w:tcW w:w="7320" w:type="dxa"/>
            <w:tcBorders>
              <w:top w:val="nil"/>
              <w:left w:val="nil"/>
              <w:bottom w:val="nil"/>
              <w:right w:val="nil"/>
            </w:tcBorders>
            <w:shd w:val="clear" w:color="auto" w:fill="auto"/>
            <w:vAlign w:val="center"/>
            <w:hideMark/>
          </w:tcPr>
          <w:p w14:paraId="6D638B33" w14:textId="77777777" w:rsidR="006A451F" w:rsidRPr="006A451F" w:rsidRDefault="006A451F" w:rsidP="006A451F">
            <w:pPr>
              <w:jc w:val="right"/>
              <w:rPr>
                <w:rFonts w:ascii="Arial" w:hAnsi="Arial" w:cs="Arial"/>
                <w:b/>
                <w:bCs/>
                <w:color w:val="000000"/>
                <w:sz w:val="20"/>
                <w:lang w:eastAsia="es-AR"/>
              </w:rPr>
            </w:pPr>
            <w:r w:rsidRPr="006A451F">
              <w:rPr>
                <w:rFonts w:ascii="Arial" w:hAnsi="Arial" w:cs="Arial"/>
                <w:b/>
                <w:bCs/>
                <w:color w:val="000000"/>
                <w:sz w:val="20"/>
                <w:lang w:eastAsia="es-AR"/>
              </w:rPr>
              <w:t>SUBTOTAL 2</w:t>
            </w:r>
          </w:p>
        </w:tc>
        <w:tc>
          <w:tcPr>
            <w:tcW w:w="1200" w:type="dxa"/>
            <w:tcBorders>
              <w:top w:val="nil"/>
              <w:left w:val="nil"/>
              <w:bottom w:val="single" w:sz="8" w:space="0" w:color="auto"/>
              <w:right w:val="nil"/>
            </w:tcBorders>
            <w:shd w:val="clear" w:color="auto" w:fill="auto"/>
            <w:vAlign w:val="center"/>
          </w:tcPr>
          <w:p w14:paraId="1EE00310" w14:textId="5E915E7D" w:rsidR="006A451F" w:rsidRPr="00B93DA4" w:rsidRDefault="00AA49C7">
            <w:pPr>
              <w:jc w:val="right"/>
              <w:rPr>
                <w:rFonts w:ascii="Arial" w:hAnsi="Arial" w:cs="Arial"/>
                <w:b/>
                <w:color w:val="000000"/>
                <w:sz w:val="20"/>
                <w:lang w:eastAsia="es-AR"/>
              </w:rPr>
            </w:pPr>
            <w:r>
              <w:rPr>
                <w:rFonts w:ascii="Arial" w:hAnsi="Arial" w:cs="Arial"/>
                <w:b/>
                <w:bCs/>
                <w:sz w:val="20"/>
              </w:rPr>
              <w:t>1.778.859</w:t>
            </w:r>
          </w:p>
        </w:tc>
      </w:tr>
      <w:tr w:rsidR="006A451F" w:rsidRPr="006A451F" w14:paraId="19EF3AB0" w14:textId="77777777" w:rsidTr="00FD37DD">
        <w:trPr>
          <w:trHeight w:val="270"/>
        </w:trPr>
        <w:tc>
          <w:tcPr>
            <w:tcW w:w="7320" w:type="dxa"/>
            <w:tcBorders>
              <w:top w:val="nil"/>
              <w:left w:val="nil"/>
              <w:bottom w:val="nil"/>
              <w:right w:val="nil"/>
            </w:tcBorders>
            <w:shd w:val="clear" w:color="auto" w:fill="auto"/>
            <w:vAlign w:val="center"/>
            <w:hideMark/>
          </w:tcPr>
          <w:p w14:paraId="0DCD313E" w14:textId="77777777" w:rsidR="006A451F" w:rsidRPr="006A451F" w:rsidRDefault="006A451F" w:rsidP="006A451F">
            <w:pPr>
              <w:jc w:val="right"/>
              <w:rPr>
                <w:rFonts w:ascii="Arial" w:hAnsi="Arial" w:cs="Arial"/>
                <w:color w:val="000000"/>
                <w:sz w:val="20"/>
                <w:lang w:eastAsia="es-AR"/>
              </w:rPr>
            </w:pPr>
          </w:p>
        </w:tc>
        <w:tc>
          <w:tcPr>
            <w:tcW w:w="1200" w:type="dxa"/>
            <w:tcBorders>
              <w:top w:val="nil"/>
              <w:left w:val="nil"/>
              <w:bottom w:val="single" w:sz="8" w:space="0" w:color="auto"/>
              <w:right w:val="nil"/>
            </w:tcBorders>
            <w:shd w:val="clear" w:color="auto" w:fill="auto"/>
            <w:vAlign w:val="center"/>
          </w:tcPr>
          <w:p w14:paraId="13E6D7BD" w14:textId="5395617C" w:rsidR="006A451F" w:rsidRPr="006A451F" w:rsidRDefault="006A451F" w:rsidP="006A451F">
            <w:pPr>
              <w:jc w:val="right"/>
              <w:rPr>
                <w:rFonts w:ascii="Arial" w:hAnsi="Arial" w:cs="Arial"/>
                <w:color w:val="000000"/>
                <w:sz w:val="20"/>
                <w:lang w:eastAsia="es-AR"/>
              </w:rPr>
            </w:pPr>
          </w:p>
        </w:tc>
      </w:tr>
      <w:tr w:rsidR="006A451F" w:rsidRPr="006A451F" w14:paraId="023C0E6E" w14:textId="77777777" w:rsidTr="00FD37DD">
        <w:trPr>
          <w:trHeight w:val="270"/>
        </w:trPr>
        <w:tc>
          <w:tcPr>
            <w:tcW w:w="7320" w:type="dxa"/>
            <w:tcBorders>
              <w:top w:val="nil"/>
              <w:left w:val="nil"/>
              <w:bottom w:val="nil"/>
              <w:right w:val="nil"/>
            </w:tcBorders>
            <w:shd w:val="clear" w:color="auto" w:fill="auto"/>
            <w:vAlign w:val="center"/>
            <w:hideMark/>
          </w:tcPr>
          <w:p w14:paraId="09AB414A" w14:textId="0EFCAF33" w:rsidR="006A451F" w:rsidRPr="006A451F" w:rsidRDefault="006A451F" w:rsidP="006A451F">
            <w:pPr>
              <w:jc w:val="right"/>
              <w:rPr>
                <w:rFonts w:ascii="Arial" w:hAnsi="Arial" w:cs="Arial"/>
                <w:b/>
                <w:bCs/>
                <w:color w:val="000000"/>
                <w:sz w:val="20"/>
                <w:lang w:eastAsia="es-AR"/>
              </w:rPr>
            </w:pPr>
            <w:r w:rsidRPr="006A451F">
              <w:rPr>
                <w:rFonts w:ascii="Arial" w:hAnsi="Arial" w:cs="Arial"/>
                <w:b/>
                <w:bCs/>
                <w:color w:val="000000"/>
                <w:sz w:val="20"/>
                <w:lang w:eastAsia="es-AR"/>
              </w:rPr>
              <w:t>SALDO DISTRIBUIBLE</w:t>
            </w:r>
            <w:r w:rsidR="00E71D59">
              <w:rPr>
                <w:rFonts w:ascii="Arial" w:hAnsi="Arial" w:cs="Arial"/>
                <w:b/>
                <w:bCs/>
                <w:color w:val="000000"/>
                <w:sz w:val="20"/>
                <w:lang w:eastAsia="es-AR"/>
              </w:rPr>
              <w:t xml:space="preserve"> (Ver restricción en nota 14.9)</w:t>
            </w:r>
          </w:p>
        </w:tc>
        <w:tc>
          <w:tcPr>
            <w:tcW w:w="1200" w:type="dxa"/>
            <w:tcBorders>
              <w:top w:val="nil"/>
              <w:left w:val="nil"/>
              <w:bottom w:val="single" w:sz="8" w:space="0" w:color="auto"/>
              <w:right w:val="nil"/>
            </w:tcBorders>
            <w:shd w:val="clear" w:color="auto" w:fill="auto"/>
            <w:vAlign w:val="center"/>
          </w:tcPr>
          <w:p w14:paraId="09F47513" w14:textId="09E2C658" w:rsidR="006A451F" w:rsidRPr="00B93DA4" w:rsidRDefault="00AA49C7">
            <w:pPr>
              <w:jc w:val="right"/>
              <w:rPr>
                <w:rFonts w:ascii="Arial" w:hAnsi="Arial" w:cs="Arial"/>
                <w:b/>
                <w:color w:val="000000"/>
                <w:sz w:val="20"/>
                <w:lang w:eastAsia="es-AR"/>
              </w:rPr>
            </w:pPr>
            <w:r>
              <w:rPr>
                <w:rFonts w:ascii="Arial" w:hAnsi="Arial" w:cs="Arial"/>
                <w:b/>
                <w:bCs/>
                <w:sz w:val="20"/>
              </w:rPr>
              <w:t>1.778.859</w:t>
            </w:r>
          </w:p>
        </w:tc>
      </w:tr>
      <w:tr w:rsidR="006A451F" w:rsidRPr="006A451F" w14:paraId="0CECC057" w14:textId="77777777" w:rsidTr="00FD37DD">
        <w:trPr>
          <w:trHeight w:val="255"/>
        </w:trPr>
        <w:tc>
          <w:tcPr>
            <w:tcW w:w="7320" w:type="dxa"/>
            <w:tcBorders>
              <w:top w:val="nil"/>
              <w:left w:val="nil"/>
              <w:bottom w:val="nil"/>
              <w:right w:val="nil"/>
            </w:tcBorders>
            <w:shd w:val="clear" w:color="auto" w:fill="auto"/>
            <w:vAlign w:val="center"/>
            <w:hideMark/>
          </w:tcPr>
          <w:p w14:paraId="55025219" w14:textId="77777777" w:rsidR="006A451F" w:rsidRPr="006A451F" w:rsidRDefault="006A451F" w:rsidP="006A451F">
            <w:pPr>
              <w:jc w:val="right"/>
              <w:rPr>
                <w:rFonts w:ascii="Arial" w:hAnsi="Arial" w:cs="Arial"/>
                <w:color w:val="000000"/>
                <w:sz w:val="20"/>
                <w:lang w:eastAsia="es-AR"/>
              </w:rPr>
            </w:pPr>
          </w:p>
        </w:tc>
        <w:tc>
          <w:tcPr>
            <w:tcW w:w="1200" w:type="dxa"/>
            <w:tcBorders>
              <w:top w:val="nil"/>
              <w:left w:val="nil"/>
              <w:bottom w:val="nil"/>
              <w:right w:val="nil"/>
            </w:tcBorders>
            <w:shd w:val="clear" w:color="auto" w:fill="auto"/>
            <w:vAlign w:val="center"/>
          </w:tcPr>
          <w:p w14:paraId="55147581" w14:textId="77777777" w:rsidR="006A451F" w:rsidRPr="006A451F" w:rsidRDefault="006A451F" w:rsidP="006A451F">
            <w:pPr>
              <w:jc w:val="right"/>
              <w:rPr>
                <w:sz w:val="20"/>
                <w:lang w:eastAsia="es-AR"/>
              </w:rPr>
            </w:pPr>
          </w:p>
        </w:tc>
      </w:tr>
      <w:tr w:rsidR="006A451F" w:rsidRPr="006A451F" w14:paraId="1D9AD735" w14:textId="77777777" w:rsidTr="00FD37DD">
        <w:trPr>
          <w:trHeight w:val="255"/>
        </w:trPr>
        <w:tc>
          <w:tcPr>
            <w:tcW w:w="7320" w:type="dxa"/>
            <w:tcBorders>
              <w:top w:val="nil"/>
              <w:left w:val="nil"/>
              <w:bottom w:val="nil"/>
              <w:right w:val="nil"/>
            </w:tcBorders>
            <w:shd w:val="clear" w:color="auto" w:fill="auto"/>
            <w:vAlign w:val="center"/>
            <w:hideMark/>
          </w:tcPr>
          <w:p w14:paraId="719B8159" w14:textId="77777777" w:rsidR="006A451F" w:rsidRPr="006A451F" w:rsidRDefault="006A451F" w:rsidP="006A451F">
            <w:pPr>
              <w:rPr>
                <w:rFonts w:ascii="Arial" w:hAnsi="Arial" w:cs="Arial"/>
                <w:b/>
                <w:bCs/>
                <w:color w:val="000000"/>
                <w:sz w:val="20"/>
                <w:lang w:eastAsia="es-AR"/>
              </w:rPr>
            </w:pPr>
            <w:r w:rsidRPr="006A451F">
              <w:rPr>
                <w:rFonts w:ascii="Arial" w:hAnsi="Arial" w:cs="Arial"/>
                <w:b/>
                <w:bCs/>
                <w:color w:val="000000"/>
                <w:sz w:val="20"/>
                <w:lang w:eastAsia="es-AR"/>
              </w:rPr>
              <w:t>RESULTADOS DISTRIBUIDOS</w:t>
            </w:r>
          </w:p>
        </w:tc>
        <w:tc>
          <w:tcPr>
            <w:tcW w:w="1200" w:type="dxa"/>
            <w:tcBorders>
              <w:top w:val="nil"/>
              <w:left w:val="nil"/>
              <w:bottom w:val="single" w:sz="4" w:space="0" w:color="auto"/>
              <w:right w:val="nil"/>
            </w:tcBorders>
            <w:shd w:val="clear" w:color="auto" w:fill="auto"/>
            <w:vAlign w:val="center"/>
          </w:tcPr>
          <w:p w14:paraId="75BE38ED" w14:textId="5BDFC4C8" w:rsidR="006A451F" w:rsidRPr="006A451F" w:rsidRDefault="00433CBE" w:rsidP="006A451F">
            <w:pPr>
              <w:jc w:val="right"/>
              <w:rPr>
                <w:rFonts w:ascii="Arial" w:hAnsi="Arial" w:cs="Arial"/>
                <w:color w:val="000000"/>
                <w:sz w:val="20"/>
                <w:lang w:eastAsia="es-AR"/>
              </w:rPr>
            </w:pPr>
            <w:r>
              <w:rPr>
                <w:rFonts w:ascii="Arial" w:hAnsi="Arial" w:cs="Arial"/>
                <w:b/>
                <w:bCs/>
                <w:sz w:val="20"/>
              </w:rPr>
              <w:t>1.778.859</w:t>
            </w:r>
          </w:p>
        </w:tc>
      </w:tr>
      <w:tr w:rsidR="006A451F" w:rsidRPr="006A451F" w14:paraId="23C7CD35" w14:textId="77777777" w:rsidTr="00FD37DD">
        <w:trPr>
          <w:trHeight w:val="255"/>
        </w:trPr>
        <w:tc>
          <w:tcPr>
            <w:tcW w:w="7320" w:type="dxa"/>
            <w:tcBorders>
              <w:top w:val="nil"/>
              <w:left w:val="nil"/>
              <w:bottom w:val="nil"/>
              <w:right w:val="nil"/>
            </w:tcBorders>
            <w:shd w:val="clear" w:color="auto" w:fill="auto"/>
            <w:vAlign w:val="center"/>
            <w:hideMark/>
          </w:tcPr>
          <w:p w14:paraId="583ED083" w14:textId="77777777" w:rsidR="006A451F" w:rsidRPr="006A451F" w:rsidRDefault="006A451F" w:rsidP="006A451F">
            <w:pPr>
              <w:jc w:val="right"/>
              <w:rPr>
                <w:rFonts w:ascii="Arial" w:hAnsi="Arial" w:cs="Arial"/>
                <w:color w:val="000000"/>
                <w:sz w:val="20"/>
                <w:lang w:eastAsia="es-AR"/>
              </w:rPr>
            </w:pPr>
          </w:p>
        </w:tc>
        <w:tc>
          <w:tcPr>
            <w:tcW w:w="1200" w:type="dxa"/>
            <w:tcBorders>
              <w:top w:val="nil"/>
              <w:left w:val="nil"/>
              <w:bottom w:val="nil"/>
              <w:right w:val="nil"/>
            </w:tcBorders>
            <w:shd w:val="clear" w:color="auto" w:fill="auto"/>
            <w:vAlign w:val="center"/>
          </w:tcPr>
          <w:p w14:paraId="7CD21DA2" w14:textId="77777777" w:rsidR="006A451F" w:rsidRPr="006A451F" w:rsidRDefault="006A451F" w:rsidP="006A451F">
            <w:pPr>
              <w:jc w:val="right"/>
              <w:rPr>
                <w:sz w:val="20"/>
                <w:lang w:eastAsia="es-AR"/>
              </w:rPr>
            </w:pPr>
          </w:p>
        </w:tc>
      </w:tr>
      <w:tr w:rsidR="006A451F" w:rsidRPr="006A451F" w14:paraId="381BBE0F" w14:textId="77777777" w:rsidTr="00FD37DD">
        <w:trPr>
          <w:trHeight w:val="255"/>
        </w:trPr>
        <w:tc>
          <w:tcPr>
            <w:tcW w:w="7320" w:type="dxa"/>
            <w:tcBorders>
              <w:top w:val="nil"/>
              <w:left w:val="nil"/>
              <w:bottom w:val="nil"/>
              <w:right w:val="nil"/>
            </w:tcBorders>
            <w:shd w:val="clear" w:color="auto" w:fill="auto"/>
            <w:vAlign w:val="center"/>
            <w:hideMark/>
          </w:tcPr>
          <w:p w14:paraId="43183FBF" w14:textId="77777777" w:rsidR="006A451F" w:rsidRPr="006A451F" w:rsidRDefault="006A451F" w:rsidP="006A451F">
            <w:pPr>
              <w:rPr>
                <w:rFonts w:ascii="Arial" w:hAnsi="Arial" w:cs="Arial"/>
                <w:color w:val="000000"/>
                <w:sz w:val="20"/>
                <w:lang w:eastAsia="es-AR"/>
              </w:rPr>
            </w:pPr>
            <w:r w:rsidRPr="006A451F">
              <w:rPr>
                <w:rFonts w:ascii="Arial" w:hAnsi="Arial" w:cs="Arial"/>
                <w:color w:val="000000"/>
                <w:sz w:val="20"/>
                <w:lang w:eastAsia="es-AR"/>
              </w:rPr>
              <w:t>A Reservas Facultativas</w:t>
            </w:r>
          </w:p>
        </w:tc>
        <w:tc>
          <w:tcPr>
            <w:tcW w:w="1200" w:type="dxa"/>
            <w:tcBorders>
              <w:top w:val="nil"/>
              <w:left w:val="nil"/>
              <w:bottom w:val="nil"/>
              <w:right w:val="nil"/>
            </w:tcBorders>
            <w:shd w:val="clear" w:color="auto" w:fill="auto"/>
            <w:vAlign w:val="center"/>
          </w:tcPr>
          <w:p w14:paraId="145265E5" w14:textId="328D09F1" w:rsidR="006A451F" w:rsidRPr="00433CBE" w:rsidRDefault="00433CBE" w:rsidP="006A451F">
            <w:pPr>
              <w:jc w:val="right"/>
              <w:rPr>
                <w:rFonts w:ascii="Arial" w:hAnsi="Arial" w:cs="Arial"/>
                <w:color w:val="000000"/>
                <w:sz w:val="20"/>
                <w:lang w:eastAsia="es-AR"/>
              </w:rPr>
            </w:pPr>
            <w:r w:rsidRPr="006E1AF7">
              <w:rPr>
                <w:rFonts w:ascii="Arial" w:hAnsi="Arial" w:cs="Arial"/>
                <w:color w:val="000000"/>
                <w:sz w:val="20"/>
                <w:lang w:eastAsia="es-AR"/>
              </w:rPr>
              <w:t>1.7</w:t>
            </w:r>
            <w:r>
              <w:rPr>
                <w:rFonts w:ascii="Arial" w:hAnsi="Arial" w:cs="Arial"/>
                <w:color w:val="000000"/>
                <w:sz w:val="20"/>
                <w:lang w:eastAsia="es-AR"/>
              </w:rPr>
              <w:t>78.859</w:t>
            </w:r>
          </w:p>
        </w:tc>
      </w:tr>
      <w:tr w:rsidR="006A451F" w:rsidRPr="006A451F" w14:paraId="45F976A6" w14:textId="77777777" w:rsidTr="00FD37DD">
        <w:trPr>
          <w:trHeight w:val="255"/>
        </w:trPr>
        <w:tc>
          <w:tcPr>
            <w:tcW w:w="7320" w:type="dxa"/>
            <w:tcBorders>
              <w:top w:val="nil"/>
              <w:left w:val="nil"/>
              <w:bottom w:val="nil"/>
              <w:right w:val="nil"/>
            </w:tcBorders>
            <w:shd w:val="clear" w:color="auto" w:fill="auto"/>
            <w:vAlign w:val="center"/>
            <w:hideMark/>
          </w:tcPr>
          <w:p w14:paraId="1B572450" w14:textId="77777777" w:rsidR="006A451F" w:rsidRPr="006A451F" w:rsidRDefault="006A451F" w:rsidP="006A451F">
            <w:pPr>
              <w:jc w:val="right"/>
              <w:rPr>
                <w:rFonts w:ascii="Arial" w:hAnsi="Arial" w:cs="Arial"/>
                <w:color w:val="000000"/>
                <w:sz w:val="20"/>
                <w:lang w:eastAsia="es-AR"/>
              </w:rPr>
            </w:pPr>
          </w:p>
        </w:tc>
        <w:tc>
          <w:tcPr>
            <w:tcW w:w="1200" w:type="dxa"/>
            <w:tcBorders>
              <w:top w:val="nil"/>
              <w:left w:val="nil"/>
              <w:bottom w:val="nil"/>
              <w:right w:val="nil"/>
            </w:tcBorders>
            <w:shd w:val="clear" w:color="auto" w:fill="auto"/>
            <w:vAlign w:val="center"/>
          </w:tcPr>
          <w:p w14:paraId="7918C2E3" w14:textId="77777777" w:rsidR="006A451F" w:rsidRPr="006A451F" w:rsidRDefault="006A451F" w:rsidP="006A451F">
            <w:pPr>
              <w:jc w:val="right"/>
              <w:rPr>
                <w:sz w:val="20"/>
                <w:lang w:eastAsia="es-AR"/>
              </w:rPr>
            </w:pPr>
          </w:p>
        </w:tc>
      </w:tr>
      <w:tr w:rsidR="006A451F" w:rsidRPr="006A451F" w14:paraId="290DC73F" w14:textId="77777777" w:rsidTr="00FD37DD">
        <w:trPr>
          <w:trHeight w:val="255"/>
        </w:trPr>
        <w:tc>
          <w:tcPr>
            <w:tcW w:w="7320" w:type="dxa"/>
            <w:tcBorders>
              <w:top w:val="nil"/>
              <w:left w:val="nil"/>
              <w:bottom w:val="nil"/>
              <w:right w:val="nil"/>
            </w:tcBorders>
            <w:shd w:val="clear" w:color="auto" w:fill="auto"/>
            <w:vAlign w:val="center"/>
            <w:hideMark/>
          </w:tcPr>
          <w:p w14:paraId="0E49A5A2" w14:textId="77777777" w:rsidR="006A451F" w:rsidRPr="006A451F" w:rsidRDefault="006A451F" w:rsidP="006A451F">
            <w:pPr>
              <w:rPr>
                <w:rFonts w:ascii="Arial" w:hAnsi="Arial" w:cs="Arial"/>
                <w:color w:val="000000"/>
                <w:sz w:val="20"/>
                <w:lang w:eastAsia="es-AR"/>
              </w:rPr>
            </w:pPr>
            <w:r w:rsidRPr="006A451F">
              <w:rPr>
                <w:rFonts w:ascii="Arial" w:hAnsi="Arial" w:cs="Arial"/>
                <w:color w:val="000000"/>
                <w:sz w:val="20"/>
                <w:lang w:eastAsia="es-AR"/>
              </w:rPr>
              <w:t>A Dividendos en acciones (  % s/ 0 pesos)</w:t>
            </w:r>
          </w:p>
        </w:tc>
        <w:tc>
          <w:tcPr>
            <w:tcW w:w="1200" w:type="dxa"/>
            <w:tcBorders>
              <w:top w:val="nil"/>
              <w:left w:val="nil"/>
              <w:bottom w:val="nil"/>
              <w:right w:val="nil"/>
            </w:tcBorders>
            <w:shd w:val="clear" w:color="auto" w:fill="auto"/>
            <w:vAlign w:val="center"/>
          </w:tcPr>
          <w:p w14:paraId="3A63FDD6" w14:textId="1D06AD30" w:rsidR="006A451F" w:rsidRPr="006A451F" w:rsidRDefault="00B93DA4" w:rsidP="006A451F">
            <w:pPr>
              <w:jc w:val="right"/>
              <w:rPr>
                <w:rFonts w:ascii="Arial" w:hAnsi="Arial" w:cs="Arial"/>
                <w:color w:val="000000"/>
                <w:sz w:val="20"/>
                <w:lang w:eastAsia="es-AR"/>
              </w:rPr>
            </w:pPr>
            <w:r>
              <w:rPr>
                <w:rFonts w:ascii="Arial" w:hAnsi="Arial" w:cs="Arial"/>
                <w:color w:val="000000"/>
                <w:sz w:val="20"/>
                <w:lang w:eastAsia="es-AR"/>
              </w:rPr>
              <w:t>-</w:t>
            </w:r>
          </w:p>
        </w:tc>
      </w:tr>
      <w:tr w:rsidR="006A451F" w:rsidRPr="006A451F" w14:paraId="5946066B" w14:textId="77777777" w:rsidTr="00FD37DD">
        <w:trPr>
          <w:trHeight w:val="255"/>
        </w:trPr>
        <w:tc>
          <w:tcPr>
            <w:tcW w:w="7320" w:type="dxa"/>
            <w:tcBorders>
              <w:top w:val="nil"/>
              <w:left w:val="nil"/>
              <w:bottom w:val="nil"/>
              <w:right w:val="nil"/>
            </w:tcBorders>
            <w:shd w:val="clear" w:color="auto" w:fill="auto"/>
            <w:vAlign w:val="center"/>
            <w:hideMark/>
          </w:tcPr>
          <w:p w14:paraId="10A180D3" w14:textId="77777777" w:rsidR="006A451F" w:rsidRPr="006A451F" w:rsidRDefault="006A451F" w:rsidP="006A451F">
            <w:pPr>
              <w:jc w:val="right"/>
              <w:rPr>
                <w:rFonts w:ascii="Arial" w:hAnsi="Arial" w:cs="Arial"/>
                <w:color w:val="000000"/>
                <w:sz w:val="20"/>
                <w:lang w:eastAsia="es-AR"/>
              </w:rPr>
            </w:pPr>
          </w:p>
        </w:tc>
        <w:tc>
          <w:tcPr>
            <w:tcW w:w="1200" w:type="dxa"/>
            <w:tcBorders>
              <w:top w:val="nil"/>
              <w:left w:val="nil"/>
              <w:bottom w:val="nil"/>
              <w:right w:val="nil"/>
            </w:tcBorders>
            <w:shd w:val="clear" w:color="auto" w:fill="auto"/>
            <w:vAlign w:val="center"/>
          </w:tcPr>
          <w:p w14:paraId="1ED7D654" w14:textId="77777777" w:rsidR="006A451F" w:rsidRPr="006A451F" w:rsidRDefault="006A451F" w:rsidP="006A451F">
            <w:pPr>
              <w:jc w:val="right"/>
              <w:rPr>
                <w:sz w:val="20"/>
                <w:lang w:eastAsia="es-AR"/>
              </w:rPr>
            </w:pPr>
          </w:p>
        </w:tc>
      </w:tr>
      <w:tr w:rsidR="006A451F" w:rsidRPr="006A451F" w14:paraId="03E13F4F" w14:textId="77777777" w:rsidTr="00FD37DD">
        <w:trPr>
          <w:trHeight w:val="255"/>
        </w:trPr>
        <w:tc>
          <w:tcPr>
            <w:tcW w:w="7320" w:type="dxa"/>
            <w:tcBorders>
              <w:top w:val="nil"/>
              <w:left w:val="nil"/>
              <w:bottom w:val="nil"/>
              <w:right w:val="nil"/>
            </w:tcBorders>
            <w:shd w:val="clear" w:color="auto" w:fill="auto"/>
            <w:vAlign w:val="center"/>
            <w:hideMark/>
          </w:tcPr>
          <w:p w14:paraId="6E710FA9" w14:textId="77777777" w:rsidR="006A451F" w:rsidRPr="006A451F" w:rsidRDefault="006A451F" w:rsidP="006A451F">
            <w:pPr>
              <w:rPr>
                <w:rFonts w:ascii="Arial" w:hAnsi="Arial" w:cs="Arial"/>
                <w:color w:val="000000"/>
                <w:sz w:val="20"/>
                <w:lang w:eastAsia="es-AR"/>
              </w:rPr>
            </w:pPr>
            <w:r w:rsidRPr="006A451F">
              <w:rPr>
                <w:rFonts w:ascii="Arial" w:hAnsi="Arial" w:cs="Arial"/>
                <w:color w:val="000000"/>
                <w:sz w:val="20"/>
                <w:lang w:eastAsia="es-AR"/>
              </w:rPr>
              <w:t>A Dividendos en efectivo</w:t>
            </w:r>
          </w:p>
        </w:tc>
        <w:tc>
          <w:tcPr>
            <w:tcW w:w="1200" w:type="dxa"/>
            <w:tcBorders>
              <w:top w:val="nil"/>
              <w:left w:val="nil"/>
              <w:bottom w:val="nil"/>
              <w:right w:val="nil"/>
            </w:tcBorders>
            <w:shd w:val="clear" w:color="auto" w:fill="auto"/>
            <w:vAlign w:val="center"/>
          </w:tcPr>
          <w:p w14:paraId="0272A99B" w14:textId="77777777" w:rsidR="006A451F" w:rsidRPr="006A451F" w:rsidRDefault="006A451F" w:rsidP="006A451F">
            <w:pPr>
              <w:jc w:val="right"/>
              <w:rPr>
                <w:rFonts w:ascii="Arial" w:hAnsi="Arial" w:cs="Arial"/>
                <w:color w:val="000000"/>
                <w:sz w:val="20"/>
                <w:lang w:eastAsia="es-AR"/>
              </w:rPr>
            </w:pPr>
          </w:p>
        </w:tc>
      </w:tr>
      <w:tr w:rsidR="006A451F" w:rsidRPr="006A451F" w14:paraId="43DC893E" w14:textId="77777777" w:rsidTr="00FD37DD">
        <w:trPr>
          <w:trHeight w:val="255"/>
        </w:trPr>
        <w:tc>
          <w:tcPr>
            <w:tcW w:w="7320" w:type="dxa"/>
            <w:tcBorders>
              <w:top w:val="nil"/>
              <w:left w:val="nil"/>
              <w:bottom w:val="nil"/>
              <w:right w:val="nil"/>
            </w:tcBorders>
            <w:shd w:val="clear" w:color="auto" w:fill="auto"/>
            <w:vAlign w:val="center"/>
            <w:hideMark/>
          </w:tcPr>
          <w:p w14:paraId="73465C51" w14:textId="77777777" w:rsidR="006A451F" w:rsidRPr="006A451F" w:rsidRDefault="006A451F" w:rsidP="006A451F">
            <w:pPr>
              <w:rPr>
                <w:rFonts w:ascii="Arial" w:hAnsi="Arial" w:cs="Arial"/>
                <w:color w:val="000000"/>
                <w:sz w:val="20"/>
                <w:lang w:eastAsia="es-AR"/>
              </w:rPr>
            </w:pPr>
            <w:r w:rsidRPr="006A451F">
              <w:rPr>
                <w:rFonts w:ascii="Arial" w:hAnsi="Arial" w:cs="Arial"/>
                <w:color w:val="000000"/>
                <w:sz w:val="20"/>
                <w:lang w:eastAsia="es-AR"/>
              </w:rPr>
              <w:t xml:space="preserve">   -Acciones preferidas (  % s/ 0 pesos)</w:t>
            </w:r>
          </w:p>
        </w:tc>
        <w:tc>
          <w:tcPr>
            <w:tcW w:w="1200" w:type="dxa"/>
            <w:tcBorders>
              <w:top w:val="nil"/>
              <w:left w:val="nil"/>
              <w:bottom w:val="nil"/>
              <w:right w:val="nil"/>
            </w:tcBorders>
            <w:shd w:val="clear" w:color="auto" w:fill="auto"/>
            <w:vAlign w:val="center"/>
          </w:tcPr>
          <w:p w14:paraId="6D507D1C" w14:textId="242EDC69" w:rsidR="006A451F" w:rsidRPr="006A451F" w:rsidRDefault="00B93DA4" w:rsidP="006A451F">
            <w:pPr>
              <w:jc w:val="right"/>
              <w:rPr>
                <w:rFonts w:ascii="Arial" w:hAnsi="Arial" w:cs="Arial"/>
                <w:color w:val="000000"/>
                <w:sz w:val="20"/>
                <w:lang w:eastAsia="es-AR"/>
              </w:rPr>
            </w:pPr>
            <w:r>
              <w:rPr>
                <w:rFonts w:ascii="Arial" w:hAnsi="Arial" w:cs="Arial"/>
                <w:color w:val="000000"/>
                <w:sz w:val="20"/>
                <w:lang w:eastAsia="es-AR"/>
              </w:rPr>
              <w:t>-</w:t>
            </w:r>
          </w:p>
        </w:tc>
      </w:tr>
      <w:tr w:rsidR="006A451F" w:rsidRPr="006A451F" w14:paraId="6321DD4B" w14:textId="77777777" w:rsidTr="00FD37DD">
        <w:trPr>
          <w:trHeight w:val="255"/>
        </w:trPr>
        <w:tc>
          <w:tcPr>
            <w:tcW w:w="7320" w:type="dxa"/>
            <w:tcBorders>
              <w:top w:val="nil"/>
              <w:left w:val="nil"/>
              <w:bottom w:val="nil"/>
              <w:right w:val="nil"/>
            </w:tcBorders>
            <w:shd w:val="clear" w:color="auto" w:fill="auto"/>
            <w:vAlign w:val="center"/>
            <w:hideMark/>
          </w:tcPr>
          <w:p w14:paraId="7E89E2EA" w14:textId="77777777" w:rsidR="006A451F" w:rsidRPr="006A451F" w:rsidRDefault="006A451F" w:rsidP="006A451F">
            <w:pPr>
              <w:rPr>
                <w:rFonts w:ascii="Arial" w:hAnsi="Arial" w:cs="Arial"/>
                <w:color w:val="000000"/>
                <w:sz w:val="20"/>
                <w:lang w:eastAsia="es-AR"/>
              </w:rPr>
            </w:pPr>
            <w:r w:rsidRPr="006A451F">
              <w:rPr>
                <w:rFonts w:ascii="Arial" w:hAnsi="Arial" w:cs="Arial"/>
                <w:color w:val="000000"/>
                <w:sz w:val="20"/>
                <w:lang w:eastAsia="es-AR"/>
              </w:rPr>
              <w:t xml:space="preserve">   -Acciones ordinarias (  % s/ 0 pesos)</w:t>
            </w:r>
          </w:p>
        </w:tc>
        <w:tc>
          <w:tcPr>
            <w:tcW w:w="1200" w:type="dxa"/>
            <w:tcBorders>
              <w:top w:val="nil"/>
              <w:left w:val="nil"/>
              <w:bottom w:val="nil"/>
              <w:right w:val="nil"/>
            </w:tcBorders>
            <w:shd w:val="clear" w:color="auto" w:fill="auto"/>
            <w:vAlign w:val="center"/>
          </w:tcPr>
          <w:p w14:paraId="0AD33195" w14:textId="34CA770C" w:rsidR="006A451F" w:rsidRPr="006A451F" w:rsidRDefault="00B93DA4" w:rsidP="006A451F">
            <w:pPr>
              <w:jc w:val="right"/>
              <w:rPr>
                <w:rFonts w:ascii="Arial" w:hAnsi="Arial" w:cs="Arial"/>
                <w:color w:val="000000"/>
                <w:sz w:val="20"/>
                <w:lang w:eastAsia="es-AR"/>
              </w:rPr>
            </w:pPr>
            <w:r>
              <w:rPr>
                <w:rFonts w:ascii="Arial" w:hAnsi="Arial" w:cs="Arial"/>
                <w:color w:val="000000"/>
                <w:sz w:val="20"/>
                <w:lang w:eastAsia="es-AR"/>
              </w:rPr>
              <w:t>-</w:t>
            </w:r>
          </w:p>
        </w:tc>
      </w:tr>
      <w:tr w:rsidR="006A451F" w:rsidRPr="006A451F" w14:paraId="3244D226" w14:textId="77777777" w:rsidTr="00FD37DD">
        <w:trPr>
          <w:trHeight w:val="255"/>
        </w:trPr>
        <w:tc>
          <w:tcPr>
            <w:tcW w:w="7320" w:type="dxa"/>
            <w:tcBorders>
              <w:top w:val="nil"/>
              <w:left w:val="nil"/>
              <w:bottom w:val="nil"/>
              <w:right w:val="nil"/>
            </w:tcBorders>
            <w:shd w:val="clear" w:color="auto" w:fill="auto"/>
            <w:vAlign w:val="center"/>
            <w:hideMark/>
          </w:tcPr>
          <w:p w14:paraId="253380FB" w14:textId="77777777" w:rsidR="006A451F" w:rsidRPr="006A451F" w:rsidRDefault="006A451F" w:rsidP="006A451F">
            <w:pPr>
              <w:jc w:val="right"/>
              <w:rPr>
                <w:rFonts w:ascii="Arial" w:hAnsi="Arial" w:cs="Arial"/>
                <w:color w:val="000000"/>
                <w:sz w:val="20"/>
                <w:lang w:eastAsia="es-AR"/>
              </w:rPr>
            </w:pPr>
          </w:p>
        </w:tc>
        <w:tc>
          <w:tcPr>
            <w:tcW w:w="1200" w:type="dxa"/>
            <w:tcBorders>
              <w:top w:val="nil"/>
              <w:left w:val="nil"/>
              <w:bottom w:val="nil"/>
              <w:right w:val="nil"/>
            </w:tcBorders>
            <w:shd w:val="clear" w:color="auto" w:fill="auto"/>
            <w:vAlign w:val="center"/>
          </w:tcPr>
          <w:p w14:paraId="43E7E4E4" w14:textId="77777777" w:rsidR="006A451F" w:rsidRPr="006A451F" w:rsidRDefault="006A451F" w:rsidP="006A451F">
            <w:pPr>
              <w:jc w:val="right"/>
              <w:rPr>
                <w:sz w:val="20"/>
                <w:lang w:eastAsia="es-AR"/>
              </w:rPr>
            </w:pPr>
          </w:p>
        </w:tc>
      </w:tr>
      <w:tr w:rsidR="006A451F" w:rsidRPr="006A451F" w14:paraId="14CCCD4D" w14:textId="77777777" w:rsidTr="00FD37DD">
        <w:trPr>
          <w:trHeight w:val="255"/>
        </w:trPr>
        <w:tc>
          <w:tcPr>
            <w:tcW w:w="7320" w:type="dxa"/>
            <w:tcBorders>
              <w:top w:val="nil"/>
              <w:left w:val="nil"/>
              <w:bottom w:val="nil"/>
              <w:right w:val="nil"/>
            </w:tcBorders>
            <w:shd w:val="clear" w:color="auto" w:fill="auto"/>
            <w:vAlign w:val="center"/>
            <w:hideMark/>
          </w:tcPr>
          <w:p w14:paraId="153ED50C" w14:textId="77777777" w:rsidR="006A451F" w:rsidRPr="006A451F" w:rsidRDefault="006A451F" w:rsidP="006A451F">
            <w:pPr>
              <w:rPr>
                <w:rFonts w:ascii="Arial" w:hAnsi="Arial" w:cs="Arial"/>
                <w:color w:val="000000"/>
                <w:sz w:val="20"/>
                <w:lang w:eastAsia="es-AR"/>
              </w:rPr>
            </w:pPr>
            <w:r w:rsidRPr="006A451F">
              <w:rPr>
                <w:rFonts w:ascii="Arial" w:hAnsi="Arial" w:cs="Arial"/>
                <w:color w:val="000000"/>
                <w:sz w:val="20"/>
                <w:lang w:eastAsia="es-AR"/>
              </w:rPr>
              <w:t>A Otros destinos</w:t>
            </w:r>
          </w:p>
        </w:tc>
        <w:tc>
          <w:tcPr>
            <w:tcW w:w="1200" w:type="dxa"/>
            <w:tcBorders>
              <w:top w:val="nil"/>
              <w:left w:val="nil"/>
              <w:bottom w:val="nil"/>
              <w:right w:val="nil"/>
            </w:tcBorders>
            <w:shd w:val="clear" w:color="auto" w:fill="auto"/>
            <w:vAlign w:val="center"/>
          </w:tcPr>
          <w:p w14:paraId="267FEDA6" w14:textId="5645C519" w:rsidR="006A451F" w:rsidRPr="006A451F" w:rsidRDefault="00B93DA4" w:rsidP="006A451F">
            <w:pPr>
              <w:jc w:val="right"/>
              <w:rPr>
                <w:rFonts w:ascii="Arial" w:hAnsi="Arial" w:cs="Arial"/>
                <w:color w:val="000000"/>
                <w:sz w:val="20"/>
                <w:lang w:eastAsia="es-AR"/>
              </w:rPr>
            </w:pPr>
            <w:r>
              <w:rPr>
                <w:rFonts w:ascii="Arial" w:hAnsi="Arial" w:cs="Arial"/>
                <w:color w:val="000000"/>
                <w:sz w:val="20"/>
                <w:lang w:eastAsia="es-AR"/>
              </w:rPr>
              <w:t>-</w:t>
            </w:r>
          </w:p>
        </w:tc>
      </w:tr>
      <w:tr w:rsidR="006A451F" w:rsidRPr="006A451F" w14:paraId="0560D383" w14:textId="77777777" w:rsidTr="00FD37DD">
        <w:trPr>
          <w:trHeight w:val="270"/>
        </w:trPr>
        <w:tc>
          <w:tcPr>
            <w:tcW w:w="7320" w:type="dxa"/>
            <w:tcBorders>
              <w:top w:val="nil"/>
              <w:left w:val="nil"/>
              <w:bottom w:val="nil"/>
              <w:right w:val="nil"/>
            </w:tcBorders>
            <w:shd w:val="clear" w:color="auto" w:fill="auto"/>
            <w:vAlign w:val="center"/>
            <w:hideMark/>
          </w:tcPr>
          <w:p w14:paraId="0FECCE34" w14:textId="77777777" w:rsidR="006A451F" w:rsidRPr="006A451F" w:rsidRDefault="006A451F" w:rsidP="006A451F">
            <w:pPr>
              <w:jc w:val="right"/>
              <w:rPr>
                <w:rFonts w:ascii="Arial" w:hAnsi="Arial" w:cs="Arial"/>
                <w:color w:val="000000"/>
                <w:sz w:val="20"/>
                <w:lang w:eastAsia="es-AR"/>
              </w:rPr>
            </w:pPr>
          </w:p>
        </w:tc>
        <w:tc>
          <w:tcPr>
            <w:tcW w:w="1200" w:type="dxa"/>
            <w:tcBorders>
              <w:top w:val="nil"/>
              <w:left w:val="nil"/>
              <w:bottom w:val="single" w:sz="8" w:space="0" w:color="auto"/>
              <w:right w:val="nil"/>
            </w:tcBorders>
            <w:shd w:val="clear" w:color="auto" w:fill="auto"/>
            <w:vAlign w:val="center"/>
          </w:tcPr>
          <w:p w14:paraId="0AAF6275" w14:textId="0290AA07" w:rsidR="006A451F" w:rsidRPr="006A451F" w:rsidRDefault="006A451F" w:rsidP="006A451F">
            <w:pPr>
              <w:jc w:val="right"/>
              <w:rPr>
                <w:rFonts w:ascii="Arial" w:hAnsi="Arial" w:cs="Arial"/>
                <w:color w:val="000000"/>
                <w:sz w:val="20"/>
                <w:lang w:eastAsia="es-AR"/>
              </w:rPr>
            </w:pPr>
          </w:p>
        </w:tc>
      </w:tr>
      <w:tr w:rsidR="006A451F" w:rsidRPr="006A451F" w14:paraId="4D482AD0" w14:textId="77777777" w:rsidTr="00FD37DD">
        <w:trPr>
          <w:trHeight w:val="270"/>
        </w:trPr>
        <w:tc>
          <w:tcPr>
            <w:tcW w:w="7320" w:type="dxa"/>
            <w:tcBorders>
              <w:top w:val="nil"/>
              <w:left w:val="nil"/>
              <w:bottom w:val="nil"/>
              <w:right w:val="nil"/>
            </w:tcBorders>
            <w:shd w:val="clear" w:color="auto" w:fill="auto"/>
            <w:vAlign w:val="center"/>
            <w:hideMark/>
          </w:tcPr>
          <w:p w14:paraId="6E9EF41F" w14:textId="77777777" w:rsidR="006A451F" w:rsidRPr="006A451F" w:rsidRDefault="006A451F" w:rsidP="006A451F">
            <w:pPr>
              <w:jc w:val="right"/>
              <w:rPr>
                <w:rFonts w:ascii="Arial" w:hAnsi="Arial" w:cs="Arial"/>
                <w:b/>
                <w:bCs/>
                <w:color w:val="000000"/>
                <w:sz w:val="20"/>
                <w:lang w:eastAsia="es-AR"/>
              </w:rPr>
            </w:pPr>
            <w:r w:rsidRPr="006A451F">
              <w:rPr>
                <w:rFonts w:ascii="Arial" w:hAnsi="Arial" w:cs="Arial"/>
                <w:b/>
                <w:bCs/>
                <w:color w:val="000000"/>
                <w:sz w:val="20"/>
                <w:lang w:eastAsia="es-AR"/>
              </w:rPr>
              <w:t>RESULTADOS NO DISTRIBUIDOS</w:t>
            </w:r>
          </w:p>
        </w:tc>
        <w:tc>
          <w:tcPr>
            <w:tcW w:w="1200" w:type="dxa"/>
            <w:tcBorders>
              <w:top w:val="nil"/>
              <w:left w:val="nil"/>
              <w:bottom w:val="single" w:sz="8" w:space="0" w:color="auto"/>
              <w:right w:val="nil"/>
            </w:tcBorders>
            <w:shd w:val="clear" w:color="auto" w:fill="auto"/>
            <w:vAlign w:val="center"/>
          </w:tcPr>
          <w:p w14:paraId="6308378E" w14:textId="67C341DC" w:rsidR="006A451F" w:rsidRPr="00B93DA4" w:rsidRDefault="00433CBE" w:rsidP="006A451F">
            <w:pPr>
              <w:jc w:val="right"/>
              <w:rPr>
                <w:rFonts w:ascii="Arial" w:hAnsi="Arial" w:cs="Arial"/>
                <w:b/>
                <w:color w:val="000000"/>
                <w:sz w:val="20"/>
                <w:lang w:eastAsia="es-AR"/>
              </w:rPr>
            </w:pPr>
            <w:r>
              <w:rPr>
                <w:rFonts w:ascii="Arial" w:hAnsi="Arial" w:cs="Arial"/>
                <w:b/>
                <w:color w:val="000000"/>
                <w:sz w:val="20"/>
                <w:lang w:eastAsia="es-AR"/>
              </w:rPr>
              <w:t>-</w:t>
            </w:r>
          </w:p>
        </w:tc>
      </w:tr>
    </w:tbl>
    <w:p w14:paraId="0808C8F8" w14:textId="2DCB12F8" w:rsidR="006A451F" w:rsidRDefault="006A451F" w:rsidP="00B5057C">
      <w:pPr>
        <w:rPr>
          <w:sz w:val="16"/>
          <w:szCs w:val="16"/>
          <w:lang w:eastAsia="es-AR"/>
        </w:rPr>
      </w:pPr>
    </w:p>
    <w:p w14:paraId="62A37A73" w14:textId="77777777" w:rsidR="006A451F" w:rsidRPr="00534414" w:rsidRDefault="006A451F" w:rsidP="00B5057C">
      <w:pPr>
        <w:rPr>
          <w:sz w:val="16"/>
          <w:szCs w:val="16"/>
          <w:lang w:eastAsia="es-AR"/>
        </w:rPr>
      </w:pPr>
    </w:p>
    <w:p w14:paraId="2A147F17" w14:textId="77777777" w:rsidR="00967546" w:rsidRPr="00534414" w:rsidRDefault="00967546" w:rsidP="00B5057C">
      <w:pPr>
        <w:rPr>
          <w:sz w:val="16"/>
          <w:szCs w:val="16"/>
          <w:lang w:eastAsia="es-AR"/>
        </w:rPr>
        <w:sectPr w:rsidR="00967546" w:rsidRPr="00534414" w:rsidSect="00DA660B">
          <w:headerReference w:type="default" r:id="rId37"/>
          <w:footerReference w:type="default" r:id="rId38"/>
          <w:pgSz w:w="11907" w:h="16839" w:code="9"/>
          <w:pgMar w:top="1418" w:right="1701" w:bottom="1418" w:left="1134" w:header="567" w:footer="0" w:gutter="0"/>
          <w:cols w:space="708"/>
          <w:docGrid w:linePitch="360"/>
        </w:sectPr>
      </w:pPr>
    </w:p>
    <w:p w14:paraId="68DF5450" w14:textId="21CDC1C0" w:rsidR="00967546" w:rsidRDefault="00967546" w:rsidP="00D878CB">
      <w:pPr>
        <w:jc w:val="center"/>
        <w:rPr>
          <w:sz w:val="20"/>
          <w:lang w:eastAsia="es-AR"/>
        </w:rPr>
      </w:pPr>
    </w:p>
    <w:p w14:paraId="6C2D57C1" w14:textId="77777777" w:rsidR="00967546" w:rsidRDefault="00967546" w:rsidP="00B5057C">
      <w:pPr>
        <w:rPr>
          <w:sz w:val="20"/>
          <w:lang w:eastAsia="es-AR"/>
        </w:rPr>
      </w:pPr>
    </w:p>
    <w:p w14:paraId="38EC0FF3" w14:textId="77777777" w:rsidR="00D90995" w:rsidRPr="00701F32" w:rsidRDefault="00D90995" w:rsidP="007045C3">
      <w:pPr>
        <w:pStyle w:val="Ttuloprincipal"/>
        <w:jc w:val="left"/>
        <w:rPr>
          <w:rFonts w:ascii="Arial" w:hAnsi="Arial" w:cs="Arial"/>
          <w:szCs w:val="24"/>
        </w:rPr>
      </w:pPr>
    </w:p>
    <w:p w14:paraId="532CBEE8" w14:textId="77777777" w:rsidR="007045C3" w:rsidRPr="00701F32" w:rsidRDefault="007045C3" w:rsidP="007045C3">
      <w:pPr>
        <w:pStyle w:val="Ttuloprincipal"/>
        <w:jc w:val="left"/>
        <w:rPr>
          <w:rFonts w:ascii="Arial" w:hAnsi="Arial" w:cs="Arial"/>
          <w:szCs w:val="24"/>
        </w:rPr>
      </w:pPr>
    </w:p>
    <w:p w14:paraId="3BF29DAA" w14:textId="77777777" w:rsidR="006470AD" w:rsidRPr="00701F32" w:rsidRDefault="006470AD" w:rsidP="007045C3">
      <w:pPr>
        <w:pStyle w:val="Ttuloprincipal"/>
        <w:jc w:val="left"/>
        <w:rPr>
          <w:rFonts w:ascii="Arial" w:hAnsi="Arial" w:cs="Arial"/>
          <w:szCs w:val="24"/>
        </w:rPr>
      </w:pPr>
    </w:p>
    <w:p w14:paraId="6597503B" w14:textId="77777777" w:rsidR="006470AD" w:rsidRPr="00701F32" w:rsidRDefault="006470AD" w:rsidP="007045C3">
      <w:pPr>
        <w:pStyle w:val="Ttuloprincipal"/>
        <w:jc w:val="left"/>
        <w:rPr>
          <w:rFonts w:ascii="Arial" w:hAnsi="Arial" w:cs="Arial"/>
          <w:szCs w:val="24"/>
        </w:rPr>
      </w:pPr>
    </w:p>
    <w:p w14:paraId="78EDE097" w14:textId="77777777" w:rsidR="006470AD" w:rsidRPr="00701F32" w:rsidRDefault="006470AD" w:rsidP="007045C3">
      <w:pPr>
        <w:pStyle w:val="Ttuloprincipal"/>
        <w:jc w:val="left"/>
        <w:rPr>
          <w:rFonts w:ascii="Arial" w:hAnsi="Arial" w:cs="Arial"/>
          <w:szCs w:val="24"/>
        </w:rPr>
      </w:pPr>
    </w:p>
    <w:p w14:paraId="58CDF60B" w14:textId="77777777" w:rsidR="006470AD" w:rsidRPr="00701F32" w:rsidRDefault="006470AD" w:rsidP="007045C3">
      <w:pPr>
        <w:pStyle w:val="Ttuloprincipal"/>
        <w:jc w:val="left"/>
        <w:rPr>
          <w:rFonts w:ascii="Arial" w:hAnsi="Arial" w:cs="Arial"/>
          <w:szCs w:val="24"/>
        </w:rPr>
      </w:pPr>
    </w:p>
    <w:p w14:paraId="7064E121" w14:textId="77777777" w:rsidR="006470AD" w:rsidRPr="00701F32" w:rsidRDefault="006470AD" w:rsidP="007045C3">
      <w:pPr>
        <w:pStyle w:val="Ttuloprincipal"/>
        <w:jc w:val="left"/>
        <w:rPr>
          <w:rFonts w:ascii="Arial" w:hAnsi="Arial" w:cs="Arial"/>
          <w:szCs w:val="24"/>
        </w:rPr>
      </w:pPr>
    </w:p>
    <w:p w14:paraId="76A4BE1E" w14:textId="77777777" w:rsidR="007045C3" w:rsidRPr="00701F32" w:rsidRDefault="007045C3" w:rsidP="007045C3">
      <w:pPr>
        <w:pStyle w:val="Ttuloprincipal"/>
        <w:jc w:val="left"/>
        <w:rPr>
          <w:rFonts w:ascii="Arial" w:hAnsi="Arial" w:cs="Arial"/>
          <w:szCs w:val="24"/>
        </w:rPr>
      </w:pPr>
      <w:r w:rsidRPr="00701F32">
        <w:rPr>
          <w:rFonts w:ascii="Arial" w:hAnsi="Arial" w:cs="Arial"/>
          <w:szCs w:val="24"/>
        </w:rPr>
        <w:t>BANCO SUPERVIELLE S.A.</w:t>
      </w:r>
    </w:p>
    <w:p w14:paraId="291E7E0F" w14:textId="77777777" w:rsidR="007045C3" w:rsidRPr="00701F32" w:rsidRDefault="007045C3" w:rsidP="007045C3">
      <w:pPr>
        <w:pStyle w:val="Ttuloprincipal"/>
        <w:ind w:left="-120"/>
        <w:rPr>
          <w:rFonts w:ascii="Arial" w:hAnsi="Arial" w:cs="Arial"/>
          <w:szCs w:val="24"/>
        </w:rPr>
      </w:pPr>
    </w:p>
    <w:p w14:paraId="11D6D45A" w14:textId="77777777" w:rsidR="007045C3" w:rsidRPr="00701F32" w:rsidRDefault="007045C3" w:rsidP="007045C3">
      <w:pPr>
        <w:pStyle w:val="Ttuloprincipal"/>
        <w:ind w:left="-120"/>
        <w:jc w:val="left"/>
        <w:rPr>
          <w:rFonts w:ascii="Arial" w:hAnsi="Arial" w:cs="Arial"/>
          <w:szCs w:val="24"/>
        </w:rPr>
      </w:pPr>
    </w:p>
    <w:p w14:paraId="799D3E6F" w14:textId="4E235E45" w:rsidR="007045C3" w:rsidRPr="00701F32" w:rsidRDefault="007045C3" w:rsidP="007045C3">
      <w:pPr>
        <w:pStyle w:val="Ttuloprincipal"/>
        <w:ind w:left="-120"/>
        <w:jc w:val="left"/>
        <w:rPr>
          <w:rFonts w:ascii="Arial" w:hAnsi="Arial" w:cs="Arial"/>
          <w:szCs w:val="24"/>
        </w:rPr>
      </w:pPr>
      <w:r w:rsidRPr="00701F32">
        <w:rPr>
          <w:rFonts w:ascii="Arial" w:hAnsi="Arial" w:cs="Arial"/>
          <w:szCs w:val="24"/>
        </w:rPr>
        <w:t xml:space="preserve">Estados </w:t>
      </w:r>
      <w:r w:rsidR="00B0586C" w:rsidRPr="00701F32">
        <w:rPr>
          <w:rFonts w:ascii="Arial" w:hAnsi="Arial" w:cs="Arial"/>
          <w:szCs w:val="24"/>
        </w:rPr>
        <w:t>f</w:t>
      </w:r>
      <w:r w:rsidR="009D3B80" w:rsidRPr="00701F32">
        <w:rPr>
          <w:rFonts w:ascii="Arial" w:hAnsi="Arial" w:cs="Arial"/>
          <w:szCs w:val="24"/>
        </w:rPr>
        <w:t>i</w:t>
      </w:r>
      <w:r w:rsidR="0055495D" w:rsidRPr="00701F32">
        <w:rPr>
          <w:rFonts w:ascii="Arial" w:hAnsi="Arial" w:cs="Arial"/>
          <w:szCs w:val="24"/>
        </w:rPr>
        <w:t>n</w:t>
      </w:r>
      <w:r w:rsidR="009D3B80" w:rsidRPr="00701F32">
        <w:rPr>
          <w:rFonts w:ascii="Arial" w:hAnsi="Arial" w:cs="Arial"/>
          <w:szCs w:val="24"/>
        </w:rPr>
        <w:t xml:space="preserve">ancieros </w:t>
      </w:r>
      <w:r w:rsidR="003A0A33" w:rsidRPr="00701F32">
        <w:rPr>
          <w:rFonts w:ascii="Arial" w:hAnsi="Arial" w:cs="Arial"/>
          <w:szCs w:val="24"/>
        </w:rPr>
        <w:t>separados</w:t>
      </w:r>
    </w:p>
    <w:p w14:paraId="20711BF1" w14:textId="77777777" w:rsidR="007045C3" w:rsidRPr="00701F32" w:rsidRDefault="007045C3" w:rsidP="007045C3">
      <w:pPr>
        <w:pStyle w:val="Ttuloprincipal"/>
        <w:ind w:left="-120"/>
        <w:jc w:val="left"/>
        <w:rPr>
          <w:rFonts w:ascii="Arial" w:hAnsi="Arial" w:cs="Arial"/>
          <w:szCs w:val="24"/>
        </w:rPr>
      </w:pPr>
    </w:p>
    <w:p w14:paraId="706DD809" w14:textId="7989927A" w:rsidR="000924A1" w:rsidRPr="00701F32" w:rsidRDefault="000924A1" w:rsidP="000924A1">
      <w:pPr>
        <w:pStyle w:val="Ttuloprincipal"/>
        <w:ind w:left="-120"/>
        <w:jc w:val="left"/>
        <w:rPr>
          <w:rFonts w:ascii="Arial" w:hAnsi="Arial" w:cs="Arial"/>
          <w:b w:val="0"/>
          <w:szCs w:val="24"/>
        </w:rPr>
      </w:pPr>
      <w:r w:rsidRPr="00701F32">
        <w:rPr>
          <w:rFonts w:ascii="Arial" w:hAnsi="Arial" w:cs="Arial"/>
          <w:b w:val="0"/>
          <w:szCs w:val="24"/>
        </w:rPr>
        <w:t xml:space="preserve">Correspondientes al </w:t>
      </w:r>
      <w:r w:rsidR="00D214D1">
        <w:rPr>
          <w:rFonts w:ascii="Arial" w:hAnsi="Arial" w:cs="Arial"/>
          <w:b w:val="0"/>
          <w:szCs w:val="24"/>
        </w:rPr>
        <w:t>ejercicio económico</w:t>
      </w:r>
      <w:r w:rsidRPr="00701F32">
        <w:rPr>
          <w:rFonts w:ascii="Arial" w:hAnsi="Arial" w:cs="Arial"/>
          <w:b w:val="0"/>
          <w:szCs w:val="24"/>
        </w:rPr>
        <w:t xml:space="preserve"> finalizado el </w:t>
      </w:r>
    </w:p>
    <w:p w14:paraId="5B1F6C1C" w14:textId="009068A0" w:rsidR="000D1F5D" w:rsidRPr="00701F32" w:rsidRDefault="000924A1" w:rsidP="007E1BCD">
      <w:pPr>
        <w:pStyle w:val="Ttuloprincipal"/>
        <w:ind w:left="-120"/>
        <w:jc w:val="left"/>
        <w:rPr>
          <w:rFonts w:ascii="Arial" w:hAnsi="Arial" w:cs="Arial"/>
          <w:b w:val="0"/>
          <w:szCs w:val="24"/>
        </w:rPr>
        <w:sectPr w:rsidR="000D1F5D" w:rsidRPr="00701F32" w:rsidSect="005B295D">
          <w:headerReference w:type="even" r:id="rId39"/>
          <w:headerReference w:type="default" r:id="rId40"/>
          <w:footerReference w:type="default" r:id="rId41"/>
          <w:headerReference w:type="first" r:id="rId42"/>
          <w:pgSz w:w="11907" w:h="16839" w:code="9"/>
          <w:pgMar w:top="1418" w:right="1701" w:bottom="1418" w:left="1701" w:header="680" w:footer="720" w:gutter="0"/>
          <w:paperSrc w:first="256" w:other="256"/>
          <w:cols w:space="720"/>
          <w:docGrid w:linePitch="326"/>
        </w:sectPr>
      </w:pPr>
      <w:r w:rsidRPr="00701F32">
        <w:rPr>
          <w:rFonts w:ascii="Arial" w:hAnsi="Arial" w:cs="Arial"/>
          <w:b w:val="0"/>
          <w:szCs w:val="24"/>
        </w:rPr>
        <w:t>3</w:t>
      </w:r>
      <w:r w:rsidR="00D214D1">
        <w:rPr>
          <w:rFonts w:ascii="Arial" w:hAnsi="Arial" w:cs="Arial"/>
          <w:b w:val="0"/>
          <w:szCs w:val="24"/>
        </w:rPr>
        <w:t>1</w:t>
      </w:r>
      <w:r w:rsidRPr="00701F32">
        <w:rPr>
          <w:rFonts w:ascii="Arial" w:hAnsi="Arial" w:cs="Arial"/>
          <w:b w:val="0"/>
          <w:szCs w:val="24"/>
        </w:rPr>
        <w:t xml:space="preserve"> de </w:t>
      </w:r>
      <w:r w:rsidR="00D214D1">
        <w:rPr>
          <w:rFonts w:ascii="Arial" w:hAnsi="Arial" w:cs="Arial"/>
          <w:b w:val="0"/>
          <w:szCs w:val="24"/>
        </w:rPr>
        <w:t>diciembre</w:t>
      </w:r>
      <w:r w:rsidRPr="00701F32">
        <w:rPr>
          <w:rFonts w:ascii="Arial" w:hAnsi="Arial" w:cs="Arial"/>
          <w:b w:val="0"/>
          <w:szCs w:val="24"/>
        </w:rPr>
        <w:t xml:space="preserve"> de 201</w:t>
      </w:r>
      <w:r>
        <w:rPr>
          <w:rFonts w:ascii="Arial" w:hAnsi="Arial" w:cs="Arial"/>
          <w:b w:val="0"/>
          <w:szCs w:val="24"/>
        </w:rPr>
        <w:t>9</w:t>
      </w:r>
      <w:r w:rsidRPr="00701F32">
        <w:rPr>
          <w:rFonts w:ascii="Arial" w:hAnsi="Arial" w:cs="Arial"/>
          <w:b w:val="0"/>
          <w:szCs w:val="24"/>
        </w:rPr>
        <w:t>, presentados en forma comparativa</w:t>
      </w:r>
      <w:r w:rsidRPr="00701F32" w:rsidDel="000924A1">
        <w:rPr>
          <w:rFonts w:ascii="Arial" w:hAnsi="Arial" w:cs="Arial"/>
          <w:b w:val="0"/>
          <w:szCs w:val="24"/>
        </w:rPr>
        <w:t xml:space="preserve"> </w:t>
      </w:r>
    </w:p>
    <w:p w14:paraId="0F56B2CA" w14:textId="77777777" w:rsidR="0003705B" w:rsidRPr="00701F32" w:rsidRDefault="007A4B5A">
      <w:pPr>
        <w:pStyle w:val="Encabezado"/>
        <w:jc w:val="center"/>
        <w:rPr>
          <w:sz w:val="20"/>
          <w:lang w:eastAsia="es-AR"/>
        </w:rPr>
      </w:pPr>
      <w:r w:rsidRPr="00701F32">
        <w:rPr>
          <w:sz w:val="20"/>
          <w:lang w:eastAsia="es-AR"/>
        </w:rPr>
        <w:t xml:space="preserve"> </w:t>
      </w:r>
      <w:r w:rsidR="00A70353" w:rsidRPr="00701F32">
        <w:rPr>
          <w:sz w:val="20"/>
          <w:lang w:eastAsia="es-AR"/>
        </w:rPr>
        <w:t xml:space="preserve"> </w:t>
      </w:r>
    </w:p>
    <w:tbl>
      <w:tblPr>
        <w:tblW w:w="4836" w:type="pct"/>
        <w:tblLayout w:type="fixed"/>
        <w:tblCellMar>
          <w:left w:w="70" w:type="dxa"/>
          <w:right w:w="70" w:type="dxa"/>
        </w:tblCellMar>
        <w:tblLook w:val="04A0" w:firstRow="1" w:lastRow="0" w:firstColumn="1" w:lastColumn="0" w:noHBand="0" w:noVBand="1"/>
      </w:tblPr>
      <w:tblGrid>
        <w:gridCol w:w="4518"/>
        <w:gridCol w:w="821"/>
        <w:gridCol w:w="1442"/>
        <w:gridCol w:w="1580"/>
      </w:tblGrid>
      <w:tr w:rsidR="00426B7A" w:rsidRPr="0003705B" w14:paraId="520FC77A" w14:textId="77777777" w:rsidTr="00940F38">
        <w:trPr>
          <w:trHeight w:val="300"/>
        </w:trPr>
        <w:tc>
          <w:tcPr>
            <w:tcW w:w="4518" w:type="dxa"/>
            <w:vMerge w:val="restart"/>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0C15AB07" w14:textId="77777777" w:rsidR="00426B7A" w:rsidRPr="0003705B" w:rsidRDefault="00426B7A" w:rsidP="0003705B">
            <w:pPr>
              <w:jc w:val="center"/>
              <w:rPr>
                <w:rFonts w:ascii="Arial" w:hAnsi="Arial" w:cs="Arial"/>
                <w:b/>
                <w:bCs/>
                <w:sz w:val="16"/>
                <w:szCs w:val="16"/>
                <w:lang w:eastAsia="es-AR"/>
              </w:rPr>
            </w:pPr>
            <w:r w:rsidRPr="0003705B">
              <w:rPr>
                <w:rFonts w:ascii="Arial" w:hAnsi="Arial" w:cs="Arial"/>
                <w:b/>
                <w:bCs/>
                <w:sz w:val="16"/>
                <w:szCs w:val="16"/>
                <w:lang w:eastAsia="es-AR"/>
              </w:rPr>
              <w:t>Conceptos</w:t>
            </w:r>
          </w:p>
        </w:tc>
        <w:tc>
          <w:tcPr>
            <w:tcW w:w="821" w:type="dxa"/>
            <w:vMerge w:val="restart"/>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364EF580" w14:textId="77777777" w:rsidR="00426B7A" w:rsidRPr="0003705B" w:rsidRDefault="00426B7A" w:rsidP="0003705B">
            <w:pPr>
              <w:jc w:val="center"/>
              <w:rPr>
                <w:rFonts w:ascii="Arial" w:hAnsi="Arial" w:cs="Arial"/>
                <w:b/>
                <w:bCs/>
                <w:sz w:val="16"/>
                <w:szCs w:val="16"/>
                <w:lang w:eastAsia="es-AR"/>
              </w:rPr>
            </w:pPr>
            <w:r w:rsidRPr="0003705B">
              <w:rPr>
                <w:rFonts w:ascii="Arial" w:hAnsi="Arial" w:cs="Arial"/>
                <w:b/>
                <w:bCs/>
                <w:sz w:val="16"/>
                <w:szCs w:val="16"/>
                <w:lang w:eastAsia="es-AR"/>
              </w:rPr>
              <w:t>Notas</w:t>
            </w:r>
          </w:p>
        </w:tc>
        <w:tc>
          <w:tcPr>
            <w:tcW w:w="1442" w:type="dxa"/>
            <w:vMerge w:val="restart"/>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0E2CEDB2" w14:textId="01934301" w:rsidR="00426B7A" w:rsidRPr="0003705B" w:rsidRDefault="003C2633" w:rsidP="00BD3EC5">
            <w:pPr>
              <w:jc w:val="center"/>
              <w:rPr>
                <w:rFonts w:ascii="Arial" w:hAnsi="Arial" w:cs="Arial"/>
                <w:b/>
                <w:bCs/>
                <w:sz w:val="16"/>
                <w:szCs w:val="16"/>
                <w:lang w:eastAsia="es-AR"/>
              </w:rPr>
            </w:pPr>
            <w:r>
              <w:rPr>
                <w:rFonts w:ascii="Arial" w:hAnsi="Arial" w:cs="Arial"/>
                <w:b/>
                <w:bCs/>
                <w:sz w:val="16"/>
                <w:szCs w:val="16"/>
                <w:lang w:eastAsia="es-AR"/>
              </w:rPr>
              <w:t>3</w:t>
            </w:r>
            <w:r w:rsidR="002D0A6E">
              <w:rPr>
                <w:rFonts w:ascii="Arial" w:hAnsi="Arial" w:cs="Arial"/>
                <w:b/>
                <w:bCs/>
                <w:sz w:val="16"/>
                <w:szCs w:val="16"/>
                <w:lang w:eastAsia="es-AR"/>
              </w:rPr>
              <w:t>1</w:t>
            </w:r>
            <w:r>
              <w:rPr>
                <w:rFonts w:ascii="Arial" w:hAnsi="Arial" w:cs="Arial"/>
                <w:b/>
                <w:bCs/>
                <w:sz w:val="16"/>
                <w:szCs w:val="16"/>
                <w:lang w:eastAsia="es-AR"/>
              </w:rPr>
              <w:t>/</w:t>
            </w:r>
            <w:r w:rsidR="002D0A6E">
              <w:rPr>
                <w:rFonts w:ascii="Arial" w:hAnsi="Arial" w:cs="Arial"/>
                <w:b/>
                <w:bCs/>
                <w:sz w:val="16"/>
                <w:szCs w:val="16"/>
                <w:lang w:eastAsia="es-AR"/>
              </w:rPr>
              <w:t>12</w:t>
            </w:r>
            <w:r>
              <w:rPr>
                <w:rFonts w:ascii="Arial" w:hAnsi="Arial" w:cs="Arial"/>
                <w:b/>
                <w:bCs/>
                <w:sz w:val="16"/>
                <w:szCs w:val="16"/>
                <w:lang w:eastAsia="es-AR"/>
              </w:rPr>
              <w:t>/2019</w:t>
            </w:r>
          </w:p>
        </w:tc>
        <w:tc>
          <w:tcPr>
            <w:tcW w:w="1580" w:type="dxa"/>
            <w:vMerge w:val="restart"/>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6CA76FFF" w14:textId="69D53ECC" w:rsidR="00426B7A" w:rsidRPr="0003705B" w:rsidRDefault="00426B7A">
            <w:pPr>
              <w:jc w:val="center"/>
              <w:rPr>
                <w:rFonts w:ascii="Arial" w:hAnsi="Arial" w:cs="Arial"/>
                <w:b/>
                <w:bCs/>
                <w:sz w:val="16"/>
                <w:szCs w:val="16"/>
                <w:lang w:eastAsia="es-AR"/>
              </w:rPr>
            </w:pPr>
            <w:r w:rsidRPr="0003705B">
              <w:rPr>
                <w:rFonts w:ascii="Arial" w:hAnsi="Arial" w:cs="Arial"/>
                <w:b/>
                <w:bCs/>
                <w:sz w:val="16"/>
                <w:szCs w:val="16"/>
                <w:lang w:eastAsia="es-AR"/>
              </w:rPr>
              <w:t>31/12/201</w:t>
            </w:r>
            <w:r>
              <w:rPr>
                <w:rFonts w:ascii="Arial" w:hAnsi="Arial" w:cs="Arial"/>
                <w:b/>
                <w:bCs/>
                <w:sz w:val="16"/>
                <w:szCs w:val="16"/>
                <w:lang w:eastAsia="es-AR"/>
              </w:rPr>
              <w:t>8</w:t>
            </w:r>
          </w:p>
        </w:tc>
      </w:tr>
      <w:tr w:rsidR="00426B7A" w:rsidRPr="0003705B" w14:paraId="373913A3" w14:textId="77777777" w:rsidTr="00940F38">
        <w:trPr>
          <w:trHeight w:val="300"/>
        </w:trPr>
        <w:tc>
          <w:tcPr>
            <w:tcW w:w="4518" w:type="dxa"/>
            <w:vMerge/>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426480A4" w14:textId="77777777" w:rsidR="00426B7A" w:rsidRPr="0003705B" w:rsidRDefault="00426B7A" w:rsidP="0003705B">
            <w:pPr>
              <w:rPr>
                <w:rFonts w:ascii="Arial" w:hAnsi="Arial" w:cs="Arial"/>
                <w:b/>
                <w:bCs/>
                <w:sz w:val="16"/>
                <w:szCs w:val="16"/>
                <w:lang w:eastAsia="es-AR"/>
              </w:rPr>
            </w:pPr>
          </w:p>
        </w:tc>
        <w:tc>
          <w:tcPr>
            <w:tcW w:w="821" w:type="dxa"/>
            <w:vMerge/>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24A7EDF2" w14:textId="77777777" w:rsidR="00426B7A" w:rsidRPr="0003705B" w:rsidRDefault="00426B7A" w:rsidP="0003705B">
            <w:pPr>
              <w:rPr>
                <w:rFonts w:ascii="Arial" w:hAnsi="Arial" w:cs="Arial"/>
                <w:b/>
                <w:bCs/>
                <w:sz w:val="16"/>
                <w:szCs w:val="16"/>
                <w:lang w:eastAsia="es-AR"/>
              </w:rPr>
            </w:pPr>
          </w:p>
        </w:tc>
        <w:tc>
          <w:tcPr>
            <w:tcW w:w="1442" w:type="dxa"/>
            <w:vMerge/>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596012A3" w14:textId="77777777" w:rsidR="00426B7A" w:rsidRPr="0003705B" w:rsidRDefault="00426B7A" w:rsidP="0003705B">
            <w:pPr>
              <w:rPr>
                <w:rFonts w:ascii="Arial" w:hAnsi="Arial" w:cs="Arial"/>
                <w:b/>
                <w:bCs/>
                <w:sz w:val="16"/>
                <w:szCs w:val="16"/>
                <w:lang w:eastAsia="es-AR"/>
              </w:rPr>
            </w:pPr>
          </w:p>
        </w:tc>
        <w:tc>
          <w:tcPr>
            <w:tcW w:w="1580" w:type="dxa"/>
            <w:vMerge/>
            <w:tcBorders>
              <w:top w:val="single" w:sz="4" w:space="0" w:color="363639"/>
              <w:left w:val="single" w:sz="4" w:space="0" w:color="363639"/>
              <w:bottom w:val="single" w:sz="4" w:space="0" w:color="363639"/>
              <w:right w:val="single" w:sz="4" w:space="0" w:color="363639"/>
            </w:tcBorders>
            <w:shd w:val="clear" w:color="auto" w:fill="C5C5C5"/>
            <w:vAlign w:val="center"/>
            <w:hideMark/>
          </w:tcPr>
          <w:p w14:paraId="55B7DA1F" w14:textId="77777777" w:rsidR="00426B7A" w:rsidRPr="0003705B" w:rsidRDefault="00426B7A" w:rsidP="0003705B">
            <w:pPr>
              <w:rPr>
                <w:rFonts w:ascii="Arial" w:hAnsi="Arial" w:cs="Arial"/>
                <w:b/>
                <w:bCs/>
                <w:sz w:val="16"/>
                <w:szCs w:val="16"/>
                <w:lang w:eastAsia="es-AR"/>
              </w:rPr>
            </w:pPr>
          </w:p>
        </w:tc>
      </w:tr>
      <w:tr w:rsidR="00426B7A" w:rsidRPr="0003705B" w14:paraId="52CFABC4" w14:textId="77777777" w:rsidTr="00940F38">
        <w:trPr>
          <w:trHeight w:val="300"/>
        </w:trPr>
        <w:tc>
          <w:tcPr>
            <w:tcW w:w="4518" w:type="dxa"/>
            <w:tcBorders>
              <w:top w:val="nil"/>
              <w:left w:val="nil"/>
              <w:bottom w:val="nil"/>
              <w:right w:val="nil"/>
            </w:tcBorders>
            <w:shd w:val="clear" w:color="auto" w:fill="auto"/>
            <w:vAlign w:val="center"/>
            <w:hideMark/>
          </w:tcPr>
          <w:p w14:paraId="23B32969" w14:textId="77777777" w:rsidR="00426B7A" w:rsidRPr="0003705B" w:rsidRDefault="00426B7A" w:rsidP="0003705B">
            <w:pPr>
              <w:jc w:val="center"/>
              <w:rPr>
                <w:rFonts w:ascii="Arial" w:hAnsi="Arial" w:cs="Arial"/>
                <w:b/>
                <w:bCs/>
                <w:sz w:val="16"/>
                <w:szCs w:val="16"/>
                <w:lang w:eastAsia="es-AR"/>
              </w:rPr>
            </w:pPr>
            <w:r w:rsidRPr="0003705B">
              <w:rPr>
                <w:rFonts w:ascii="Arial" w:hAnsi="Arial" w:cs="Arial"/>
                <w:b/>
                <w:bCs/>
                <w:sz w:val="16"/>
                <w:szCs w:val="16"/>
                <w:lang w:eastAsia="es-AR"/>
              </w:rPr>
              <w:t> </w:t>
            </w:r>
          </w:p>
        </w:tc>
        <w:tc>
          <w:tcPr>
            <w:tcW w:w="821" w:type="dxa"/>
            <w:tcBorders>
              <w:top w:val="nil"/>
              <w:left w:val="nil"/>
              <w:bottom w:val="nil"/>
              <w:right w:val="nil"/>
            </w:tcBorders>
            <w:shd w:val="clear" w:color="auto" w:fill="auto"/>
            <w:vAlign w:val="center"/>
            <w:hideMark/>
          </w:tcPr>
          <w:p w14:paraId="2B4868C7" w14:textId="77777777" w:rsidR="00426B7A" w:rsidRPr="0003705B" w:rsidRDefault="00426B7A" w:rsidP="0003705B">
            <w:pPr>
              <w:jc w:val="center"/>
              <w:rPr>
                <w:rFonts w:ascii="Arial" w:hAnsi="Arial" w:cs="Arial"/>
                <w:b/>
                <w:bCs/>
                <w:sz w:val="16"/>
                <w:szCs w:val="16"/>
                <w:lang w:eastAsia="es-AR"/>
              </w:rPr>
            </w:pPr>
            <w:r w:rsidRPr="0003705B">
              <w:rPr>
                <w:rFonts w:ascii="Arial" w:hAnsi="Arial" w:cs="Arial"/>
                <w:b/>
                <w:bCs/>
                <w:sz w:val="16"/>
                <w:szCs w:val="16"/>
                <w:lang w:eastAsia="es-AR"/>
              </w:rPr>
              <w:t> </w:t>
            </w:r>
          </w:p>
        </w:tc>
        <w:tc>
          <w:tcPr>
            <w:tcW w:w="1442" w:type="dxa"/>
            <w:tcBorders>
              <w:top w:val="nil"/>
              <w:left w:val="nil"/>
              <w:bottom w:val="nil"/>
              <w:right w:val="nil"/>
            </w:tcBorders>
            <w:shd w:val="clear" w:color="auto" w:fill="auto"/>
            <w:noWrap/>
            <w:vAlign w:val="center"/>
            <w:hideMark/>
          </w:tcPr>
          <w:p w14:paraId="13E866A6" w14:textId="77777777" w:rsidR="00426B7A" w:rsidRPr="0003705B" w:rsidRDefault="00426B7A" w:rsidP="0003705B">
            <w:pPr>
              <w:jc w:val="center"/>
              <w:rPr>
                <w:rFonts w:ascii="Arial" w:hAnsi="Arial" w:cs="Arial"/>
                <w:color w:val="000000"/>
                <w:sz w:val="16"/>
                <w:szCs w:val="16"/>
                <w:lang w:eastAsia="es-AR"/>
              </w:rPr>
            </w:pPr>
            <w:r w:rsidRPr="0003705B">
              <w:rPr>
                <w:rFonts w:ascii="Arial" w:hAnsi="Arial" w:cs="Arial"/>
                <w:color w:val="000000"/>
                <w:sz w:val="16"/>
                <w:szCs w:val="16"/>
                <w:lang w:eastAsia="es-AR"/>
              </w:rPr>
              <w:t> </w:t>
            </w:r>
          </w:p>
        </w:tc>
        <w:tc>
          <w:tcPr>
            <w:tcW w:w="1580" w:type="dxa"/>
            <w:tcBorders>
              <w:top w:val="nil"/>
              <w:left w:val="nil"/>
              <w:bottom w:val="nil"/>
              <w:right w:val="nil"/>
            </w:tcBorders>
            <w:shd w:val="clear" w:color="auto" w:fill="auto"/>
            <w:noWrap/>
            <w:vAlign w:val="center"/>
            <w:hideMark/>
          </w:tcPr>
          <w:p w14:paraId="55B6A54D" w14:textId="77777777" w:rsidR="00426B7A" w:rsidRPr="0003705B" w:rsidRDefault="00426B7A" w:rsidP="0003705B">
            <w:pPr>
              <w:jc w:val="center"/>
              <w:rPr>
                <w:rFonts w:ascii="Arial" w:hAnsi="Arial" w:cs="Arial"/>
                <w:color w:val="000000"/>
                <w:sz w:val="16"/>
                <w:szCs w:val="16"/>
                <w:lang w:eastAsia="es-AR"/>
              </w:rPr>
            </w:pPr>
            <w:r w:rsidRPr="0003705B">
              <w:rPr>
                <w:rFonts w:ascii="Arial" w:hAnsi="Arial" w:cs="Arial"/>
                <w:color w:val="000000"/>
                <w:sz w:val="16"/>
                <w:szCs w:val="16"/>
                <w:lang w:eastAsia="es-AR"/>
              </w:rPr>
              <w:t> </w:t>
            </w:r>
          </w:p>
        </w:tc>
      </w:tr>
      <w:tr w:rsidR="00426B7A" w:rsidRPr="0003705B" w14:paraId="5DFD73C7" w14:textId="77777777" w:rsidTr="00940F38">
        <w:trPr>
          <w:trHeight w:val="300"/>
        </w:trPr>
        <w:tc>
          <w:tcPr>
            <w:tcW w:w="4518" w:type="dxa"/>
            <w:tcBorders>
              <w:top w:val="nil"/>
              <w:left w:val="nil"/>
              <w:bottom w:val="nil"/>
              <w:right w:val="nil"/>
            </w:tcBorders>
            <w:shd w:val="clear" w:color="auto" w:fill="auto"/>
            <w:hideMark/>
          </w:tcPr>
          <w:p w14:paraId="03FD5E0A" w14:textId="77777777" w:rsidR="00426B7A" w:rsidRPr="0003705B" w:rsidRDefault="00426B7A" w:rsidP="0003705B">
            <w:pPr>
              <w:rPr>
                <w:rFonts w:ascii="Arial" w:hAnsi="Arial" w:cs="Arial"/>
                <w:b/>
                <w:bCs/>
                <w:sz w:val="16"/>
                <w:szCs w:val="16"/>
                <w:lang w:eastAsia="es-AR"/>
              </w:rPr>
            </w:pPr>
            <w:r w:rsidRPr="0003705B">
              <w:rPr>
                <w:rFonts w:ascii="Arial" w:hAnsi="Arial" w:cs="Arial"/>
                <w:b/>
                <w:bCs/>
                <w:sz w:val="16"/>
                <w:szCs w:val="16"/>
                <w:lang w:eastAsia="es-AR"/>
              </w:rPr>
              <w:t>ACTIVO</w:t>
            </w:r>
          </w:p>
        </w:tc>
        <w:tc>
          <w:tcPr>
            <w:tcW w:w="821" w:type="dxa"/>
            <w:tcBorders>
              <w:top w:val="nil"/>
              <w:left w:val="nil"/>
              <w:bottom w:val="nil"/>
              <w:right w:val="nil"/>
            </w:tcBorders>
            <w:shd w:val="clear" w:color="auto" w:fill="auto"/>
            <w:noWrap/>
            <w:hideMark/>
          </w:tcPr>
          <w:p w14:paraId="2A0D6553" w14:textId="77777777" w:rsidR="00426B7A" w:rsidRPr="0003705B" w:rsidRDefault="00426B7A" w:rsidP="0003705B">
            <w:pPr>
              <w:rPr>
                <w:rFonts w:ascii="Arial" w:hAnsi="Arial" w:cs="Arial"/>
                <w:b/>
                <w:bCs/>
                <w:sz w:val="16"/>
                <w:szCs w:val="16"/>
                <w:lang w:eastAsia="es-AR"/>
              </w:rPr>
            </w:pPr>
          </w:p>
        </w:tc>
        <w:tc>
          <w:tcPr>
            <w:tcW w:w="1442" w:type="dxa"/>
            <w:tcBorders>
              <w:top w:val="nil"/>
              <w:left w:val="nil"/>
              <w:bottom w:val="nil"/>
              <w:right w:val="nil"/>
            </w:tcBorders>
            <w:shd w:val="clear" w:color="auto" w:fill="auto"/>
            <w:noWrap/>
            <w:hideMark/>
          </w:tcPr>
          <w:p w14:paraId="5EF4E3C3" w14:textId="77777777" w:rsidR="00426B7A" w:rsidRPr="0003705B" w:rsidRDefault="00426B7A" w:rsidP="0003705B">
            <w:pPr>
              <w:jc w:val="center"/>
              <w:rPr>
                <w:rFonts w:ascii="Arial" w:hAnsi="Arial" w:cs="Arial"/>
                <w:sz w:val="16"/>
                <w:szCs w:val="16"/>
                <w:lang w:eastAsia="es-AR"/>
              </w:rPr>
            </w:pPr>
          </w:p>
        </w:tc>
        <w:tc>
          <w:tcPr>
            <w:tcW w:w="1580" w:type="dxa"/>
            <w:tcBorders>
              <w:top w:val="nil"/>
              <w:left w:val="nil"/>
              <w:bottom w:val="nil"/>
              <w:right w:val="nil"/>
            </w:tcBorders>
            <w:shd w:val="clear" w:color="auto" w:fill="auto"/>
            <w:noWrap/>
            <w:hideMark/>
          </w:tcPr>
          <w:p w14:paraId="73D29C09" w14:textId="77777777" w:rsidR="00426B7A" w:rsidRPr="0003705B" w:rsidRDefault="00426B7A" w:rsidP="0003705B">
            <w:pPr>
              <w:rPr>
                <w:rFonts w:ascii="Arial" w:hAnsi="Arial" w:cs="Arial"/>
                <w:sz w:val="16"/>
                <w:szCs w:val="16"/>
                <w:lang w:eastAsia="es-AR"/>
              </w:rPr>
            </w:pPr>
          </w:p>
        </w:tc>
      </w:tr>
      <w:tr w:rsidR="00F71ED9" w:rsidRPr="0003705B" w14:paraId="6D7F1A61" w14:textId="77777777" w:rsidTr="006E1AF7">
        <w:trPr>
          <w:trHeight w:val="300"/>
        </w:trPr>
        <w:tc>
          <w:tcPr>
            <w:tcW w:w="4518" w:type="dxa"/>
            <w:tcBorders>
              <w:top w:val="nil"/>
              <w:left w:val="nil"/>
              <w:bottom w:val="nil"/>
              <w:right w:val="nil"/>
            </w:tcBorders>
            <w:shd w:val="clear" w:color="auto" w:fill="auto"/>
            <w:vAlign w:val="center"/>
            <w:hideMark/>
          </w:tcPr>
          <w:p w14:paraId="5F4F7D9F" w14:textId="72BCB991"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 xml:space="preserve">Efectivo y Depósitos en Bancos </w:t>
            </w:r>
            <w:r w:rsidRPr="007D7797">
              <w:rPr>
                <w:rFonts w:ascii="Arial" w:hAnsi="Arial" w:cs="Arial"/>
                <w:b/>
                <w:sz w:val="16"/>
                <w:szCs w:val="16"/>
                <w:lang w:eastAsia="es-AR"/>
              </w:rPr>
              <w:t>(Anexo P)</w:t>
            </w:r>
          </w:p>
        </w:tc>
        <w:tc>
          <w:tcPr>
            <w:tcW w:w="821" w:type="dxa"/>
            <w:tcBorders>
              <w:top w:val="nil"/>
              <w:left w:val="nil"/>
              <w:bottom w:val="nil"/>
              <w:right w:val="nil"/>
            </w:tcBorders>
            <w:shd w:val="clear" w:color="auto" w:fill="auto"/>
            <w:vAlign w:val="center"/>
          </w:tcPr>
          <w:p w14:paraId="07931EEC" w14:textId="62BD47DC" w:rsidR="00F71ED9" w:rsidRPr="008940E2" w:rsidRDefault="00F71ED9" w:rsidP="00F71ED9">
            <w:pPr>
              <w:jc w:val="center"/>
              <w:rPr>
                <w:rFonts w:ascii="Arial" w:hAnsi="Arial" w:cs="Arial"/>
                <w:sz w:val="16"/>
                <w:szCs w:val="16"/>
                <w:lang w:eastAsia="es-AR"/>
              </w:rPr>
            </w:pPr>
            <w:r w:rsidRPr="008940E2">
              <w:rPr>
                <w:rFonts w:ascii="Arial" w:hAnsi="Arial" w:cs="Arial"/>
                <w:sz w:val="16"/>
                <w:szCs w:val="16"/>
                <w:lang w:eastAsia="es-AR"/>
              </w:rPr>
              <w:t>1.6</w:t>
            </w:r>
          </w:p>
        </w:tc>
        <w:tc>
          <w:tcPr>
            <w:tcW w:w="1442" w:type="dxa"/>
            <w:tcBorders>
              <w:top w:val="nil"/>
              <w:left w:val="nil"/>
              <w:bottom w:val="nil"/>
              <w:right w:val="nil"/>
            </w:tcBorders>
            <w:shd w:val="clear" w:color="auto" w:fill="auto"/>
            <w:noWrap/>
            <w:vAlign w:val="center"/>
          </w:tcPr>
          <w:p w14:paraId="3215F543" w14:textId="48C2708F" w:rsidR="00F71ED9" w:rsidRPr="00F71ED9" w:rsidRDefault="00F71ED9">
            <w:pPr>
              <w:jc w:val="right"/>
              <w:rPr>
                <w:rFonts w:ascii="Arial" w:hAnsi="Arial" w:cs="Arial"/>
                <w:sz w:val="16"/>
                <w:szCs w:val="16"/>
              </w:rPr>
            </w:pPr>
            <w:r w:rsidRPr="006E1AF7">
              <w:rPr>
                <w:rFonts w:ascii="Arial" w:hAnsi="Arial" w:cs="Arial"/>
                <w:sz w:val="16"/>
                <w:szCs w:val="16"/>
              </w:rPr>
              <w:t xml:space="preserve">25.585.044 </w:t>
            </w:r>
          </w:p>
        </w:tc>
        <w:tc>
          <w:tcPr>
            <w:tcW w:w="1580" w:type="dxa"/>
            <w:tcBorders>
              <w:top w:val="nil"/>
              <w:left w:val="nil"/>
              <w:bottom w:val="nil"/>
              <w:right w:val="nil"/>
            </w:tcBorders>
            <w:shd w:val="clear" w:color="auto" w:fill="auto"/>
            <w:noWrap/>
            <w:vAlign w:val="center"/>
            <w:hideMark/>
          </w:tcPr>
          <w:p w14:paraId="0F6EE7A8" w14:textId="44C36F69"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33.537.262</w:t>
            </w:r>
          </w:p>
        </w:tc>
      </w:tr>
      <w:tr w:rsidR="00F71ED9" w:rsidRPr="0003705B" w14:paraId="1DC02D0E" w14:textId="77777777" w:rsidTr="006E1AF7">
        <w:trPr>
          <w:trHeight w:val="300"/>
        </w:trPr>
        <w:tc>
          <w:tcPr>
            <w:tcW w:w="4518" w:type="dxa"/>
            <w:tcBorders>
              <w:top w:val="nil"/>
              <w:left w:val="nil"/>
              <w:bottom w:val="nil"/>
              <w:right w:val="nil"/>
            </w:tcBorders>
            <w:shd w:val="clear" w:color="auto" w:fill="auto"/>
            <w:vAlign w:val="center"/>
            <w:hideMark/>
          </w:tcPr>
          <w:p w14:paraId="4023FC31" w14:textId="77777777" w:rsidR="00F71ED9" w:rsidRPr="0003705B" w:rsidRDefault="00F71ED9" w:rsidP="00F71ED9">
            <w:pPr>
              <w:ind w:firstLineChars="300" w:firstLine="480"/>
              <w:rPr>
                <w:rFonts w:ascii="Arial" w:hAnsi="Arial" w:cs="Arial"/>
                <w:sz w:val="16"/>
                <w:szCs w:val="16"/>
                <w:lang w:eastAsia="es-AR"/>
              </w:rPr>
            </w:pPr>
            <w:r w:rsidRPr="0003705B">
              <w:rPr>
                <w:rFonts w:ascii="Arial" w:hAnsi="Arial" w:cs="Arial"/>
                <w:sz w:val="16"/>
                <w:szCs w:val="16"/>
                <w:lang w:eastAsia="es-AR"/>
              </w:rPr>
              <w:t>Efectivo</w:t>
            </w:r>
          </w:p>
        </w:tc>
        <w:tc>
          <w:tcPr>
            <w:tcW w:w="821" w:type="dxa"/>
            <w:tcBorders>
              <w:top w:val="nil"/>
              <w:left w:val="nil"/>
              <w:bottom w:val="nil"/>
              <w:right w:val="nil"/>
            </w:tcBorders>
            <w:shd w:val="clear" w:color="auto" w:fill="auto"/>
            <w:vAlign w:val="center"/>
          </w:tcPr>
          <w:p w14:paraId="3F8EAE81" w14:textId="77777777" w:rsidR="00F71ED9" w:rsidRPr="008940E2" w:rsidRDefault="00F71ED9" w:rsidP="00F71ED9">
            <w:pPr>
              <w:ind w:firstLineChars="300" w:firstLine="480"/>
              <w:rPr>
                <w:rFonts w:ascii="Arial" w:hAnsi="Arial" w:cs="Arial"/>
                <w:sz w:val="16"/>
                <w:szCs w:val="16"/>
                <w:lang w:eastAsia="es-AR"/>
              </w:rPr>
            </w:pPr>
          </w:p>
        </w:tc>
        <w:tc>
          <w:tcPr>
            <w:tcW w:w="1442" w:type="dxa"/>
            <w:tcBorders>
              <w:top w:val="nil"/>
              <w:left w:val="nil"/>
              <w:bottom w:val="nil"/>
              <w:right w:val="nil"/>
            </w:tcBorders>
            <w:shd w:val="clear" w:color="auto" w:fill="auto"/>
            <w:noWrap/>
            <w:vAlign w:val="center"/>
          </w:tcPr>
          <w:p w14:paraId="5FC9685F" w14:textId="6664FD68" w:rsidR="00F71ED9" w:rsidRPr="00F71ED9" w:rsidRDefault="00F71ED9">
            <w:pPr>
              <w:jc w:val="right"/>
              <w:rPr>
                <w:rFonts w:ascii="Arial" w:hAnsi="Arial" w:cs="Arial"/>
                <w:sz w:val="16"/>
                <w:szCs w:val="16"/>
              </w:rPr>
            </w:pPr>
            <w:r w:rsidRPr="006E1AF7">
              <w:rPr>
                <w:rFonts w:ascii="Arial" w:hAnsi="Arial" w:cs="Arial"/>
                <w:sz w:val="16"/>
                <w:szCs w:val="16"/>
              </w:rPr>
              <w:t xml:space="preserve">8.695.486 </w:t>
            </w:r>
          </w:p>
        </w:tc>
        <w:tc>
          <w:tcPr>
            <w:tcW w:w="1580" w:type="dxa"/>
            <w:tcBorders>
              <w:top w:val="nil"/>
              <w:left w:val="nil"/>
              <w:bottom w:val="nil"/>
              <w:right w:val="nil"/>
            </w:tcBorders>
            <w:shd w:val="clear" w:color="auto" w:fill="auto"/>
            <w:noWrap/>
            <w:vAlign w:val="center"/>
            <w:hideMark/>
          </w:tcPr>
          <w:p w14:paraId="4CB5F8BA" w14:textId="4B4E4F40"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4.739.362</w:t>
            </w:r>
          </w:p>
        </w:tc>
      </w:tr>
      <w:tr w:rsidR="00F71ED9" w:rsidRPr="0003705B" w14:paraId="09BA30D0" w14:textId="77777777" w:rsidTr="006E1AF7">
        <w:trPr>
          <w:trHeight w:val="300"/>
        </w:trPr>
        <w:tc>
          <w:tcPr>
            <w:tcW w:w="4518" w:type="dxa"/>
            <w:tcBorders>
              <w:top w:val="nil"/>
              <w:left w:val="nil"/>
              <w:bottom w:val="nil"/>
              <w:right w:val="nil"/>
            </w:tcBorders>
            <w:shd w:val="clear" w:color="auto" w:fill="auto"/>
            <w:vAlign w:val="center"/>
            <w:hideMark/>
          </w:tcPr>
          <w:p w14:paraId="708D2ACE" w14:textId="77777777" w:rsidR="00F71ED9" w:rsidRPr="0003705B" w:rsidRDefault="00F71ED9" w:rsidP="00F71ED9">
            <w:pPr>
              <w:ind w:firstLineChars="300" w:firstLine="480"/>
              <w:rPr>
                <w:rFonts w:ascii="Arial" w:hAnsi="Arial" w:cs="Arial"/>
                <w:sz w:val="16"/>
                <w:szCs w:val="16"/>
                <w:lang w:eastAsia="es-AR"/>
              </w:rPr>
            </w:pPr>
            <w:r w:rsidRPr="0003705B">
              <w:rPr>
                <w:rFonts w:ascii="Arial" w:hAnsi="Arial" w:cs="Arial"/>
                <w:sz w:val="16"/>
                <w:szCs w:val="16"/>
                <w:lang w:eastAsia="es-AR"/>
              </w:rPr>
              <w:t>Entidades Financieras y corresponsales</w:t>
            </w:r>
          </w:p>
        </w:tc>
        <w:tc>
          <w:tcPr>
            <w:tcW w:w="821" w:type="dxa"/>
            <w:tcBorders>
              <w:top w:val="nil"/>
              <w:left w:val="nil"/>
              <w:bottom w:val="nil"/>
              <w:right w:val="nil"/>
            </w:tcBorders>
            <w:shd w:val="clear" w:color="auto" w:fill="auto"/>
            <w:vAlign w:val="center"/>
          </w:tcPr>
          <w:p w14:paraId="72B00DEE" w14:textId="77777777" w:rsidR="00F71ED9" w:rsidRPr="008940E2" w:rsidRDefault="00F71ED9" w:rsidP="00F71ED9">
            <w:pPr>
              <w:ind w:firstLineChars="300" w:firstLine="480"/>
              <w:rPr>
                <w:rFonts w:ascii="Arial" w:hAnsi="Arial" w:cs="Arial"/>
                <w:sz w:val="16"/>
                <w:szCs w:val="16"/>
                <w:lang w:eastAsia="es-AR"/>
              </w:rPr>
            </w:pPr>
          </w:p>
        </w:tc>
        <w:tc>
          <w:tcPr>
            <w:tcW w:w="1442" w:type="dxa"/>
            <w:tcBorders>
              <w:top w:val="nil"/>
              <w:left w:val="nil"/>
              <w:bottom w:val="nil"/>
              <w:right w:val="nil"/>
            </w:tcBorders>
            <w:shd w:val="clear" w:color="auto" w:fill="auto"/>
            <w:noWrap/>
            <w:vAlign w:val="center"/>
          </w:tcPr>
          <w:p w14:paraId="67134F48" w14:textId="77777777" w:rsidR="00F71ED9" w:rsidRPr="00F71ED9" w:rsidRDefault="00F71ED9">
            <w:pPr>
              <w:jc w:val="right"/>
              <w:rPr>
                <w:rFonts w:ascii="Arial" w:hAnsi="Arial" w:cs="Arial"/>
                <w:sz w:val="16"/>
                <w:szCs w:val="16"/>
              </w:rPr>
            </w:pPr>
          </w:p>
        </w:tc>
        <w:tc>
          <w:tcPr>
            <w:tcW w:w="1580" w:type="dxa"/>
            <w:tcBorders>
              <w:top w:val="nil"/>
              <w:left w:val="nil"/>
              <w:bottom w:val="nil"/>
              <w:right w:val="nil"/>
            </w:tcBorders>
            <w:shd w:val="clear" w:color="auto" w:fill="auto"/>
            <w:noWrap/>
            <w:vAlign w:val="center"/>
            <w:hideMark/>
          </w:tcPr>
          <w:p w14:paraId="6AD565AE" w14:textId="77777777" w:rsidR="00F71ED9" w:rsidRPr="0003705B" w:rsidRDefault="00F71ED9" w:rsidP="00F71ED9">
            <w:pPr>
              <w:jc w:val="right"/>
              <w:rPr>
                <w:rFonts w:ascii="Arial" w:hAnsi="Arial" w:cs="Arial"/>
                <w:sz w:val="16"/>
                <w:szCs w:val="16"/>
                <w:lang w:eastAsia="es-AR"/>
              </w:rPr>
            </w:pPr>
          </w:p>
        </w:tc>
      </w:tr>
      <w:tr w:rsidR="00F71ED9" w:rsidRPr="0003705B" w14:paraId="5C8E137A" w14:textId="77777777" w:rsidTr="006E1AF7">
        <w:trPr>
          <w:trHeight w:val="300"/>
        </w:trPr>
        <w:tc>
          <w:tcPr>
            <w:tcW w:w="4518" w:type="dxa"/>
            <w:tcBorders>
              <w:top w:val="nil"/>
              <w:left w:val="nil"/>
              <w:bottom w:val="nil"/>
              <w:right w:val="nil"/>
            </w:tcBorders>
            <w:shd w:val="clear" w:color="auto" w:fill="auto"/>
            <w:vAlign w:val="center"/>
            <w:hideMark/>
          </w:tcPr>
          <w:p w14:paraId="46EF4E10" w14:textId="77777777" w:rsidR="00F71ED9" w:rsidRPr="0003705B" w:rsidRDefault="00F71ED9" w:rsidP="00F71ED9">
            <w:pPr>
              <w:ind w:firstLineChars="500" w:firstLine="800"/>
              <w:rPr>
                <w:rFonts w:ascii="Arial" w:hAnsi="Arial" w:cs="Arial"/>
                <w:sz w:val="16"/>
                <w:szCs w:val="16"/>
                <w:lang w:eastAsia="es-AR"/>
              </w:rPr>
            </w:pPr>
            <w:r w:rsidRPr="0003705B">
              <w:rPr>
                <w:rFonts w:ascii="Arial" w:hAnsi="Arial" w:cs="Arial"/>
                <w:sz w:val="16"/>
                <w:szCs w:val="16"/>
                <w:lang w:eastAsia="es-AR"/>
              </w:rPr>
              <w:t>BCRA</w:t>
            </w:r>
          </w:p>
        </w:tc>
        <w:tc>
          <w:tcPr>
            <w:tcW w:w="821" w:type="dxa"/>
            <w:tcBorders>
              <w:top w:val="nil"/>
              <w:left w:val="nil"/>
              <w:bottom w:val="nil"/>
              <w:right w:val="nil"/>
            </w:tcBorders>
            <w:shd w:val="clear" w:color="auto" w:fill="auto"/>
            <w:vAlign w:val="center"/>
          </w:tcPr>
          <w:p w14:paraId="6592A5FC" w14:textId="77777777" w:rsidR="00F71ED9" w:rsidRPr="008940E2" w:rsidRDefault="00F71ED9" w:rsidP="00F71ED9">
            <w:pPr>
              <w:ind w:firstLineChars="500" w:firstLine="800"/>
              <w:rPr>
                <w:rFonts w:ascii="Arial" w:hAnsi="Arial" w:cs="Arial"/>
                <w:sz w:val="16"/>
                <w:szCs w:val="16"/>
                <w:lang w:eastAsia="es-AR"/>
              </w:rPr>
            </w:pPr>
          </w:p>
        </w:tc>
        <w:tc>
          <w:tcPr>
            <w:tcW w:w="1442" w:type="dxa"/>
            <w:tcBorders>
              <w:top w:val="nil"/>
              <w:left w:val="nil"/>
              <w:bottom w:val="nil"/>
              <w:right w:val="nil"/>
            </w:tcBorders>
            <w:shd w:val="clear" w:color="auto" w:fill="auto"/>
            <w:noWrap/>
            <w:vAlign w:val="center"/>
          </w:tcPr>
          <w:p w14:paraId="45F69D26" w14:textId="4B5A685B" w:rsidR="00F71ED9" w:rsidRPr="00F71ED9" w:rsidRDefault="00F71ED9">
            <w:pPr>
              <w:jc w:val="right"/>
              <w:rPr>
                <w:rFonts w:ascii="Arial" w:hAnsi="Arial" w:cs="Arial"/>
                <w:sz w:val="16"/>
                <w:szCs w:val="16"/>
              </w:rPr>
            </w:pPr>
            <w:r w:rsidRPr="006E1AF7">
              <w:rPr>
                <w:rFonts w:ascii="Arial" w:hAnsi="Arial" w:cs="Arial"/>
                <w:sz w:val="16"/>
                <w:szCs w:val="16"/>
              </w:rPr>
              <w:t xml:space="preserve">15.806.426 </w:t>
            </w:r>
          </w:p>
        </w:tc>
        <w:tc>
          <w:tcPr>
            <w:tcW w:w="1580" w:type="dxa"/>
            <w:tcBorders>
              <w:top w:val="nil"/>
              <w:left w:val="nil"/>
              <w:bottom w:val="nil"/>
              <w:right w:val="nil"/>
            </w:tcBorders>
            <w:shd w:val="clear" w:color="auto" w:fill="auto"/>
            <w:noWrap/>
            <w:vAlign w:val="center"/>
            <w:hideMark/>
          </w:tcPr>
          <w:p w14:paraId="20F78429" w14:textId="2B057E6C"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27.388.784</w:t>
            </w:r>
          </w:p>
        </w:tc>
      </w:tr>
      <w:tr w:rsidR="00F71ED9" w:rsidRPr="0003705B" w14:paraId="47B1FCAC" w14:textId="77777777" w:rsidTr="006E1AF7">
        <w:trPr>
          <w:trHeight w:val="300"/>
        </w:trPr>
        <w:tc>
          <w:tcPr>
            <w:tcW w:w="4518" w:type="dxa"/>
            <w:tcBorders>
              <w:top w:val="nil"/>
              <w:left w:val="nil"/>
              <w:bottom w:val="nil"/>
              <w:right w:val="nil"/>
            </w:tcBorders>
            <w:shd w:val="clear" w:color="auto" w:fill="auto"/>
            <w:vAlign w:val="center"/>
            <w:hideMark/>
          </w:tcPr>
          <w:p w14:paraId="518E1E37" w14:textId="77777777" w:rsidR="00F71ED9" w:rsidRPr="0003705B" w:rsidRDefault="00F71ED9" w:rsidP="00F71ED9">
            <w:pPr>
              <w:ind w:firstLineChars="500" w:firstLine="800"/>
              <w:rPr>
                <w:rFonts w:ascii="Arial" w:hAnsi="Arial" w:cs="Arial"/>
                <w:sz w:val="16"/>
                <w:szCs w:val="16"/>
                <w:lang w:eastAsia="es-AR"/>
              </w:rPr>
            </w:pPr>
            <w:r w:rsidRPr="0003705B">
              <w:rPr>
                <w:rFonts w:ascii="Arial" w:hAnsi="Arial" w:cs="Arial"/>
                <w:sz w:val="16"/>
                <w:szCs w:val="16"/>
                <w:lang w:eastAsia="es-AR"/>
              </w:rPr>
              <w:t>Otras del país y del exterior</w:t>
            </w:r>
          </w:p>
        </w:tc>
        <w:tc>
          <w:tcPr>
            <w:tcW w:w="821" w:type="dxa"/>
            <w:tcBorders>
              <w:top w:val="nil"/>
              <w:left w:val="nil"/>
              <w:bottom w:val="nil"/>
              <w:right w:val="nil"/>
            </w:tcBorders>
            <w:shd w:val="clear" w:color="auto" w:fill="auto"/>
            <w:vAlign w:val="center"/>
          </w:tcPr>
          <w:p w14:paraId="5429F73A" w14:textId="77777777" w:rsidR="00F71ED9" w:rsidRPr="008940E2" w:rsidRDefault="00F71ED9" w:rsidP="00F71ED9">
            <w:pPr>
              <w:ind w:firstLineChars="500" w:firstLine="800"/>
              <w:rPr>
                <w:rFonts w:ascii="Arial" w:hAnsi="Arial" w:cs="Arial"/>
                <w:sz w:val="16"/>
                <w:szCs w:val="16"/>
                <w:lang w:eastAsia="es-AR"/>
              </w:rPr>
            </w:pPr>
          </w:p>
        </w:tc>
        <w:tc>
          <w:tcPr>
            <w:tcW w:w="1442" w:type="dxa"/>
            <w:tcBorders>
              <w:top w:val="nil"/>
              <w:left w:val="nil"/>
              <w:bottom w:val="nil"/>
              <w:right w:val="nil"/>
            </w:tcBorders>
            <w:shd w:val="clear" w:color="auto" w:fill="auto"/>
            <w:noWrap/>
            <w:vAlign w:val="center"/>
          </w:tcPr>
          <w:p w14:paraId="68FE3E57" w14:textId="66624246" w:rsidR="00F71ED9" w:rsidRPr="00F71ED9" w:rsidRDefault="00F71ED9">
            <w:pPr>
              <w:jc w:val="right"/>
              <w:rPr>
                <w:rFonts w:ascii="Arial" w:hAnsi="Arial" w:cs="Arial"/>
                <w:sz w:val="16"/>
                <w:szCs w:val="16"/>
              </w:rPr>
            </w:pPr>
            <w:r w:rsidRPr="006E1AF7">
              <w:rPr>
                <w:rFonts w:ascii="Arial" w:hAnsi="Arial" w:cs="Arial"/>
                <w:sz w:val="16"/>
                <w:szCs w:val="16"/>
              </w:rPr>
              <w:t xml:space="preserve">1.053.222 </w:t>
            </w:r>
          </w:p>
        </w:tc>
        <w:tc>
          <w:tcPr>
            <w:tcW w:w="1580" w:type="dxa"/>
            <w:tcBorders>
              <w:top w:val="nil"/>
              <w:left w:val="nil"/>
              <w:bottom w:val="nil"/>
              <w:right w:val="nil"/>
            </w:tcBorders>
            <w:shd w:val="clear" w:color="auto" w:fill="auto"/>
            <w:noWrap/>
            <w:vAlign w:val="center"/>
            <w:hideMark/>
          </w:tcPr>
          <w:p w14:paraId="7CAA7A60" w14:textId="19A9F033"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1.398.717</w:t>
            </w:r>
          </w:p>
        </w:tc>
      </w:tr>
      <w:tr w:rsidR="00F71ED9" w:rsidRPr="0003705B" w14:paraId="16D7034D" w14:textId="77777777" w:rsidTr="006E1AF7">
        <w:trPr>
          <w:trHeight w:val="300"/>
        </w:trPr>
        <w:tc>
          <w:tcPr>
            <w:tcW w:w="4518" w:type="dxa"/>
            <w:tcBorders>
              <w:top w:val="nil"/>
              <w:left w:val="nil"/>
              <w:bottom w:val="nil"/>
              <w:right w:val="nil"/>
            </w:tcBorders>
            <w:shd w:val="clear" w:color="auto" w:fill="auto"/>
            <w:vAlign w:val="center"/>
            <w:hideMark/>
          </w:tcPr>
          <w:p w14:paraId="123728A8" w14:textId="77777777" w:rsidR="00F71ED9" w:rsidRPr="0003705B" w:rsidRDefault="00F71ED9" w:rsidP="00F71ED9">
            <w:pPr>
              <w:ind w:firstLineChars="300" w:firstLine="480"/>
              <w:rPr>
                <w:rFonts w:ascii="Arial" w:hAnsi="Arial" w:cs="Arial"/>
                <w:sz w:val="16"/>
                <w:szCs w:val="16"/>
                <w:lang w:eastAsia="es-AR"/>
              </w:rPr>
            </w:pPr>
            <w:r w:rsidRPr="0003705B">
              <w:rPr>
                <w:rFonts w:ascii="Arial" w:hAnsi="Arial" w:cs="Arial"/>
                <w:sz w:val="16"/>
                <w:szCs w:val="16"/>
                <w:lang w:eastAsia="es-AR"/>
              </w:rPr>
              <w:t>Otros</w:t>
            </w:r>
          </w:p>
        </w:tc>
        <w:tc>
          <w:tcPr>
            <w:tcW w:w="821" w:type="dxa"/>
            <w:tcBorders>
              <w:top w:val="nil"/>
              <w:left w:val="nil"/>
              <w:bottom w:val="nil"/>
              <w:right w:val="nil"/>
            </w:tcBorders>
            <w:shd w:val="clear" w:color="auto" w:fill="auto"/>
            <w:vAlign w:val="center"/>
          </w:tcPr>
          <w:p w14:paraId="691F6429" w14:textId="77777777" w:rsidR="00F71ED9" w:rsidRPr="008940E2" w:rsidRDefault="00F71ED9" w:rsidP="00F71ED9">
            <w:pPr>
              <w:ind w:firstLineChars="300" w:firstLine="480"/>
              <w:rPr>
                <w:rFonts w:ascii="Arial" w:hAnsi="Arial" w:cs="Arial"/>
                <w:sz w:val="16"/>
                <w:szCs w:val="16"/>
                <w:lang w:eastAsia="es-AR"/>
              </w:rPr>
            </w:pPr>
          </w:p>
        </w:tc>
        <w:tc>
          <w:tcPr>
            <w:tcW w:w="1442" w:type="dxa"/>
            <w:tcBorders>
              <w:top w:val="nil"/>
              <w:left w:val="nil"/>
              <w:bottom w:val="nil"/>
              <w:right w:val="nil"/>
            </w:tcBorders>
            <w:shd w:val="clear" w:color="auto" w:fill="auto"/>
            <w:noWrap/>
            <w:vAlign w:val="center"/>
          </w:tcPr>
          <w:p w14:paraId="74525C65" w14:textId="629561C0" w:rsidR="00F71ED9" w:rsidRPr="00F71ED9" w:rsidRDefault="00F71ED9">
            <w:pPr>
              <w:jc w:val="right"/>
              <w:rPr>
                <w:rFonts w:ascii="Arial" w:hAnsi="Arial" w:cs="Arial"/>
                <w:sz w:val="16"/>
                <w:szCs w:val="16"/>
              </w:rPr>
            </w:pPr>
            <w:r w:rsidRPr="006E1AF7">
              <w:rPr>
                <w:rFonts w:ascii="Arial" w:hAnsi="Arial" w:cs="Arial"/>
                <w:sz w:val="16"/>
                <w:szCs w:val="16"/>
              </w:rPr>
              <w:t xml:space="preserve">29.910 </w:t>
            </w:r>
          </w:p>
        </w:tc>
        <w:tc>
          <w:tcPr>
            <w:tcW w:w="1580" w:type="dxa"/>
            <w:tcBorders>
              <w:top w:val="nil"/>
              <w:left w:val="nil"/>
              <w:bottom w:val="nil"/>
              <w:right w:val="nil"/>
            </w:tcBorders>
            <w:shd w:val="clear" w:color="auto" w:fill="auto"/>
            <w:noWrap/>
            <w:vAlign w:val="center"/>
            <w:hideMark/>
          </w:tcPr>
          <w:p w14:paraId="16AF974A" w14:textId="25BF01C6"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10.399</w:t>
            </w:r>
          </w:p>
        </w:tc>
      </w:tr>
      <w:tr w:rsidR="00F71ED9" w:rsidRPr="0003705B" w14:paraId="1D9C7A9E" w14:textId="77777777" w:rsidTr="006E1AF7">
        <w:trPr>
          <w:trHeight w:val="510"/>
        </w:trPr>
        <w:tc>
          <w:tcPr>
            <w:tcW w:w="4518" w:type="dxa"/>
            <w:tcBorders>
              <w:top w:val="nil"/>
              <w:left w:val="nil"/>
              <w:bottom w:val="nil"/>
              <w:right w:val="nil"/>
            </w:tcBorders>
            <w:shd w:val="clear" w:color="auto" w:fill="auto"/>
            <w:vAlign w:val="center"/>
            <w:hideMark/>
          </w:tcPr>
          <w:p w14:paraId="51A66EAC" w14:textId="37B9B214"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 xml:space="preserve">Títulos de deuda a valor razonable con cambios en resultados </w:t>
            </w:r>
            <w:r w:rsidRPr="0003705B">
              <w:rPr>
                <w:rFonts w:ascii="Arial" w:hAnsi="Arial" w:cs="Arial"/>
                <w:b/>
                <w:bCs/>
                <w:sz w:val="16"/>
                <w:szCs w:val="16"/>
                <w:lang w:eastAsia="es-AR"/>
              </w:rPr>
              <w:t>(Anexo</w:t>
            </w:r>
            <w:r>
              <w:rPr>
                <w:rFonts w:ascii="Arial" w:hAnsi="Arial" w:cs="Arial"/>
                <w:b/>
                <w:bCs/>
                <w:sz w:val="16"/>
                <w:szCs w:val="16"/>
                <w:lang w:eastAsia="es-AR"/>
              </w:rPr>
              <w:t>s</w:t>
            </w:r>
            <w:r w:rsidRPr="0003705B">
              <w:rPr>
                <w:rFonts w:ascii="Arial" w:hAnsi="Arial" w:cs="Arial"/>
                <w:b/>
                <w:bCs/>
                <w:sz w:val="16"/>
                <w:szCs w:val="16"/>
                <w:lang w:eastAsia="es-AR"/>
              </w:rPr>
              <w:t xml:space="preserve"> A</w:t>
            </w:r>
            <w:r>
              <w:rPr>
                <w:rFonts w:ascii="Arial" w:hAnsi="Arial" w:cs="Arial"/>
                <w:b/>
                <w:bCs/>
                <w:sz w:val="16"/>
                <w:szCs w:val="16"/>
                <w:lang w:eastAsia="es-AR"/>
              </w:rPr>
              <w:t xml:space="preserve"> y P</w:t>
            </w:r>
            <w:r w:rsidRPr="0003705B">
              <w:rPr>
                <w:rFonts w:ascii="Arial" w:hAnsi="Arial" w:cs="Arial"/>
                <w:b/>
                <w:bCs/>
                <w:sz w:val="16"/>
                <w:szCs w:val="16"/>
                <w:lang w:eastAsia="es-AR"/>
              </w:rPr>
              <w:t>)</w:t>
            </w:r>
          </w:p>
        </w:tc>
        <w:tc>
          <w:tcPr>
            <w:tcW w:w="821" w:type="dxa"/>
            <w:tcBorders>
              <w:top w:val="nil"/>
              <w:left w:val="nil"/>
              <w:bottom w:val="nil"/>
              <w:right w:val="nil"/>
            </w:tcBorders>
            <w:shd w:val="clear" w:color="auto" w:fill="auto"/>
            <w:vAlign w:val="center"/>
          </w:tcPr>
          <w:p w14:paraId="78F0A42F" w14:textId="3F9C4E03" w:rsidR="00F71ED9" w:rsidRPr="008940E2" w:rsidRDefault="00F71ED9" w:rsidP="00F71ED9">
            <w:pPr>
              <w:jc w:val="center"/>
              <w:rPr>
                <w:rFonts w:ascii="Arial" w:hAnsi="Arial" w:cs="Arial"/>
                <w:sz w:val="16"/>
                <w:szCs w:val="16"/>
                <w:lang w:eastAsia="es-AR"/>
              </w:rPr>
            </w:pPr>
            <w:r w:rsidRPr="008940E2">
              <w:rPr>
                <w:rFonts w:ascii="Arial" w:hAnsi="Arial" w:cs="Arial"/>
                <w:sz w:val="16"/>
                <w:szCs w:val="16"/>
                <w:lang w:eastAsia="es-AR"/>
              </w:rPr>
              <w:t>1.</w:t>
            </w:r>
            <w:r>
              <w:rPr>
                <w:rFonts w:ascii="Arial" w:hAnsi="Arial" w:cs="Arial"/>
                <w:sz w:val="16"/>
                <w:szCs w:val="16"/>
                <w:lang w:eastAsia="es-AR"/>
              </w:rPr>
              <w:t>6</w:t>
            </w:r>
            <w:r w:rsidRPr="008940E2">
              <w:rPr>
                <w:rFonts w:ascii="Arial" w:hAnsi="Arial" w:cs="Arial"/>
                <w:sz w:val="16"/>
                <w:szCs w:val="16"/>
                <w:lang w:eastAsia="es-AR"/>
              </w:rPr>
              <w:t xml:space="preserve">, </w:t>
            </w:r>
            <w:r>
              <w:rPr>
                <w:rFonts w:ascii="Arial" w:hAnsi="Arial" w:cs="Arial"/>
                <w:sz w:val="16"/>
                <w:szCs w:val="16"/>
                <w:lang w:eastAsia="es-AR"/>
              </w:rPr>
              <w:t>6.1</w:t>
            </w:r>
          </w:p>
        </w:tc>
        <w:tc>
          <w:tcPr>
            <w:tcW w:w="1442" w:type="dxa"/>
            <w:tcBorders>
              <w:top w:val="nil"/>
              <w:left w:val="nil"/>
              <w:bottom w:val="nil"/>
              <w:right w:val="nil"/>
            </w:tcBorders>
            <w:shd w:val="clear" w:color="auto" w:fill="auto"/>
            <w:noWrap/>
            <w:vAlign w:val="center"/>
          </w:tcPr>
          <w:p w14:paraId="42D787E6" w14:textId="17D3F94A" w:rsidR="00F71ED9" w:rsidRPr="00F71ED9" w:rsidRDefault="00F71ED9">
            <w:pPr>
              <w:jc w:val="right"/>
              <w:rPr>
                <w:rFonts w:ascii="Arial" w:hAnsi="Arial" w:cs="Arial"/>
                <w:sz w:val="16"/>
                <w:szCs w:val="16"/>
              </w:rPr>
            </w:pPr>
            <w:r w:rsidRPr="006E1AF7">
              <w:rPr>
                <w:rFonts w:ascii="Arial" w:hAnsi="Arial" w:cs="Arial"/>
                <w:sz w:val="16"/>
                <w:szCs w:val="16"/>
              </w:rPr>
              <w:t xml:space="preserve">312.306 </w:t>
            </w:r>
          </w:p>
        </w:tc>
        <w:tc>
          <w:tcPr>
            <w:tcW w:w="1580" w:type="dxa"/>
            <w:tcBorders>
              <w:top w:val="nil"/>
              <w:left w:val="nil"/>
              <w:bottom w:val="nil"/>
              <w:right w:val="nil"/>
            </w:tcBorders>
            <w:shd w:val="clear" w:color="auto" w:fill="auto"/>
            <w:noWrap/>
            <w:vAlign w:val="center"/>
            <w:hideMark/>
          </w:tcPr>
          <w:p w14:paraId="618560E3" w14:textId="69CDC47C"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14.941.290</w:t>
            </w:r>
          </w:p>
        </w:tc>
      </w:tr>
      <w:tr w:rsidR="00F71ED9" w:rsidRPr="0003705B" w14:paraId="58C4D3AF" w14:textId="77777777" w:rsidTr="006E1AF7">
        <w:trPr>
          <w:trHeight w:val="300"/>
        </w:trPr>
        <w:tc>
          <w:tcPr>
            <w:tcW w:w="4518" w:type="dxa"/>
            <w:tcBorders>
              <w:top w:val="nil"/>
              <w:left w:val="nil"/>
              <w:bottom w:val="nil"/>
              <w:right w:val="nil"/>
            </w:tcBorders>
            <w:shd w:val="clear" w:color="auto" w:fill="auto"/>
            <w:vAlign w:val="center"/>
            <w:hideMark/>
          </w:tcPr>
          <w:p w14:paraId="1718BDBE" w14:textId="69F178FD"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 xml:space="preserve">Instrumentos derivados </w:t>
            </w:r>
            <w:r w:rsidRPr="007D7797">
              <w:rPr>
                <w:rFonts w:ascii="Arial" w:hAnsi="Arial" w:cs="Arial"/>
                <w:b/>
                <w:sz w:val="16"/>
                <w:szCs w:val="16"/>
                <w:lang w:eastAsia="es-AR"/>
              </w:rPr>
              <w:t>(Anexo P)</w:t>
            </w:r>
          </w:p>
        </w:tc>
        <w:tc>
          <w:tcPr>
            <w:tcW w:w="821" w:type="dxa"/>
            <w:tcBorders>
              <w:top w:val="nil"/>
              <w:left w:val="nil"/>
              <w:bottom w:val="nil"/>
              <w:right w:val="nil"/>
            </w:tcBorders>
            <w:shd w:val="clear" w:color="auto" w:fill="auto"/>
            <w:vAlign w:val="center"/>
          </w:tcPr>
          <w:p w14:paraId="2B33DA4C" w14:textId="720EE66A"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6.2</w:t>
            </w:r>
          </w:p>
        </w:tc>
        <w:tc>
          <w:tcPr>
            <w:tcW w:w="1442" w:type="dxa"/>
            <w:tcBorders>
              <w:top w:val="nil"/>
              <w:left w:val="nil"/>
              <w:bottom w:val="nil"/>
              <w:right w:val="nil"/>
            </w:tcBorders>
            <w:shd w:val="clear" w:color="auto" w:fill="auto"/>
            <w:noWrap/>
            <w:vAlign w:val="center"/>
          </w:tcPr>
          <w:p w14:paraId="7F4A58E4" w14:textId="3A0F4CFF" w:rsidR="00F71ED9" w:rsidRPr="00F71ED9" w:rsidRDefault="00F71ED9">
            <w:pPr>
              <w:jc w:val="right"/>
              <w:rPr>
                <w:rFonts w:ascii="Arial" w:hAnsi="Arial" w:cs="Arial"/>
                <w:sz w:val="16"/>
                <w:szCs w:val="16"/>
              </w:rPr>
            </w:pPr>
            <w:r w:rsidRPr="006E1AF7">
              <w:rPr>
                <w:rFonts w:ascii="Arial" w:hAnsi="Arial" w:cs="Arial"/>
                <w:sz w:val="16"/>
                <w:szCs w:val="16"/>
              </w:rPr>
              <w:t xml:space="preserve">257.587 </w:t>
            </w:r>
          </w:p>
        </w:tc>
        <w:tc>
          <w:tcPr>
            <w:tcW w:w="1580" w:type="dxa"/>
            <w:tcBorders>
              <w:top w:val="nil"/>
              <w:left w:val="nil"/>
              <w:bottom w:val="nil"/>
              <w:right w:val="nil"/>
            </w:tcBorders>
            <w:shd w:val="clear" w:color="auto" w:fill="auto"/>
            <w:noWrap/>
            <w:vAlign w:val="center"/>
            <w:hideMark/>
          </w:tcPr>
          <w:p w14:paraId="62412760" w14:textId="276B61B0"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15.924</w:t>
            </w:r>
          </w:p>
        </w:tc>
      </w:tr>
      <w:tr w:rsidR="00F71ED9" w:rsidRPr="0003705B" w14:paraId="5FC82C35" w14:textId="77777777" w:rsidTr="006E1AF7">
        <w:trPr>
          <w:trHeight w:val="300"/>
        </w:trPr>
        <w:tc>
          <w:tcPr>
            <w:tcW w:w="4518" w:type="dxa"/>
            <w:tcBorders>
              <w:top w:val="nil"/>
              <w:left w:val="nil"/>
              <w:bottom w:val="nil"/>
              <w:right w:val="nil"/>
            </w:tcBorders>
            <w:shd w:val="clear" w:color="auto" w:fill="auto"/>
            <w:vAlign w:val="center"/>
            <w:hideMark/>
          </w:tcPr>
          <w:p w14:paraId="1C3D48D4" w14:textId="6FBB65F0"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 xml:space="preserve">Otros activos financieros </w:t>
            </w:r>
            <w:r w:rsidRPr="007D7797">
              <w:rPr>
                <w:rFonts w:ascii="Arial" w:hAnsi="Arial" w:cs="Arial"/>
                <w:b/>
                <w:sz w:val="16"/>
                <w:szCs w:val="16"/>
                <w:lang w:eastAsia="es-AR"/>
              </w:rPr>
              <w:t>(Anexo P)</w:t>
            </w:r>
          </w:p>
        </w:tc>
        <w:tc>
          <w:tcPr>
            <w:tcW w:w="821" w:type="dxa"/>
            <w:tcBorders>
              <w:top w:val="nil"/>
              <w:left w:val="nil"/>
              <w:bottom w:val="nil"/>
              <w:right w:val="nil"/>
            </w:tcBorders>
            <w:shd w:val="clear" w:color="auto" w:fill="auto"/>
            <w:vAlign w:val="center"/>
          </w:tcPr>
          <w:p w14:paraId="761FA1D6" w14:textId="56E005BA"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6.3</w:t>
            </w:r>
          </w:p>
        </w:tc>
        <w:tc>
          <w:tcPr>
            <w:tcW w:w="1442" w:type="dxa"/>
            <w:tcBorders>
              <w:top w:val="nil"/>
              <w:left w:val="nil"/>
              <w:bottom w:val="nil"/>
              <w:right w:val="nil"/>
            </w:tcBorders>
            <w:shd w:val="clear" w:color="auto" w:fill="auto"/>
            <w:noWrap/>
            <w:vAlign w:val="center"/>
          </w:tcPr>
          <w:p w14:paraId="3690911E" w14:textId="7809A68E" w:rsidR="00F71ED9" w:rsidRPr="00F71ED9" w:rsidRDefault="00F71ED9">
            <w:pPr>
              <w:jc w:val="right"/>
              <w:rPr>
                <w:rFonts w:ascii="Arial" w:hAnsi="Arial" w:cs="Arial"/>
                <w:sz w:val="16"/>
                <w:szCs w:val="16"/>
              </w:rPr>
            </w:pPr>
            <w:r w:rsidRPr="006E1AF7">
              <w:rPr>
                <w:rFonts w:ascii="Arial" w:hAnsi="Arial" w:cs="Arial"/>
                <w:sz w:val="16"/>
                <w:szCs w:val="16"/>
              </w:rPr>
              <w:t xml:space="preserve">679.997 </w:t>
            </w:r>
          </w:p>
        </w:tc>
        <w:tc>
          <w:tcPr>
            <w:tcW w:w="1580" w:type="dxa"/>
            <w:tcBorders>
              <w:top w:val="nil"/>
              <w:left w:val="nil"/>
              <w:bottom w:val="nil"/>
              <w:right w:val="nil"/>
            </w:tcBorders>
            <w:shd w:val="clear" w:color="auto" w:fill="auto"/>
            <w:noWrap/>
            <w:vAlign w:val="center"/>
            <w:hideMark/>
          </w:tcPr>
          <w:p w14:paraId="631C07D5" w14:textId="2B69AFAD"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699.631</w:t>
            </w:r>
          </w:p>
        </w:tc>
      </w:tr>
      <w:tr w:rsidR="00F71ED9" w:rsidRPr="0003705B" w14:paraId="73600620" w14:textId="77777777" w:rsidTr="006E1AF7">
        <w:trPr>
          <w:trHeight w:val="300"/>
        </w:trPr>
        <w:tc>
          <w:tcPr>
            <w:tcW w:w="4518" w:type="dxa"/>
            <w:tcBorders>
              <w:top w:val="nil"/>
              <w:left w:val="nil"/>
              <w:bottom w:val="nil"/>
              <w:right w:val="nil"/>
            </w:tcBorders>
            <w:shd w:val="clear" w:color="auto" w:fill="auto"/>
            <w:vAlign w:val="center"/>
            <w:hideMark/>
          </w:tcPr>
          <w:p w14:paraId="1D54C5F9" w14:textId="5F0EBFD2"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 xml:space="preserve">Préstamos y otras financiaciones </w:t>
            </w:r>
            <w:r w:rsidRPr="007D7797">
              <w:rPr>
                <w:rFonts w:ascii="Arial" w:hAnsi="Arial" w:cs="Arial"/>
                <w:b/>
                <w:sz w:val="16"/>
                <w:szCs w:val="16"/>
                <w:lang w:eastAsia="es-AR"/>
              </w:rPr>
              <w:t>(Anexos B, C, D y P)</w:t>
            </w:r>
          </w:p>
        </w:tc>
        <w:tc>
          <w:tcPr>
            <w:tcW w:w="821" w:type="dxa"/>
            <w:tcBorders>
              <w:top w:val="nil"/>
              <w:left w:val="nil"/>
              <w:bottom w:val="nil"/>
              <w:right w:val="nil"/>
            </w:tcBorders>
            <w:shd w:val="clear" w:color="auto" w:fill="auto"/>
            <w:vAlign w:val="center"/>
          </w:tcPr>
          <w:p w14:paraId="583B9754" w14:textId="427748D2"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6.4</w:t>
            </w:r>
          </w:p>
        </w:tc>
        <w:tc>
          <w:tcPr>
            <w:tcW w:w="1442" w:type="dxa"/>
            <w:tcBorders>
              <w:top w:val="nil"/>
              <w:left w:val="nil"/>
              <w:bottom w:val="nil"/>
              <w:right w:val="nil"/>
            </w:tcBorders>
            <w:shd w:val="clear" w:color="auto" w:fill="auto"/>
            <w:noWrap/>
            <w:vAlign w:val="center"/>
          </w:tcPr>
          <w:p w14:paraId="0129625D" w14:textId="25478036" w:rsidR="00F71ED9" w:rsidRPr="00F71ED9" w:rsidRDefault="00F71ED9">
            <w:pPr>
              <w:jc w:val="right"/>
              <w:rPr>
                <w:rFonts w:ascii="Arial" w:hAnsi="Arial" w:cs="Arial"/>
                <w:sz w:val="16"/>
                <w:szCs w:val="16"/>
              </w:rPr>
            </w:pPr>
            <w:r w:rsidRPr="006E1AF7">
              <w:rPr>
                <w:rFonts w:ascii="Arial" w:hAnsi="Arial" w:cs="Arial"/>
                <w:sz w:val="16"/>
                <w:szCs w:val="16"/>
              </w:rPr>
              <w:t xml:space="preserve">84.029.439 </w:t>
            </w:r>
          </w:p>
        </w:tc>
        <w:tc>
          <w:tcPr>
            <w:tcW w:w="1580" w:type="dxa"/>
            <w:tcBorders>
              <w:top w:val="nil"/>
              <w:left w:val="nil"/>
              <w:bottom w:val="nil"/>
              <w:right w:val="nil"/>
            </w:tcBorders>
            <w:shd w:val="clear" w:color="auto" w:fill="auto"/>
            <w:noWrap/>
            <w:vAlign w:val="center"/>
            <w:hideMark/>
          </w:tcPr>
          <w:p w14:paraId="2BAF2C07" w14:textId="2A834B2C"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72.865.654</w:t>
            </w:r>
          </w:p>
        </w:tc>
      </w:tr>
      <w:tr w:rsidR="00F71ED9" w:rsidRPr="0003705B" w14:paraId="08F3B15F" w14:textId="77777777" w:rsidTr="006E1AF7">
        <w:trPr>
          <w:trHeight w:val="300"/>
        </w:trPr>
        <w:tc>
          <w:tcPr>
            <w:tcW w:w="4518" w:type="dxa"/>
            <w:tcBorders>
              <w:top w:val="nil"/>
              <w:left w:val="nil"/>
              <w:bottom w:val="nil"/>
              <w:right w:val="nil"/>
            </w:tcBorders>
            <w:shd w:val="clear" w:color="auto" w:fill="auto"/>
            <w:vAlign w:val="center"/>
            <w:hideMark/>
          </w:tcPr>
          <w:p w14:paraId="45D7F389" w14:textId="77777777" w:rsidR="00F71ED9" w:rsidRPr="0003705B" w:rsidRDefault="00F71ED9" w:rsidP="00F71ED9">
            <w:pPr>
              <w:ind w:firstLineChars="300" w:firstLine="480"/>
              <w:rPr>
                <w:rFonts w:ascii="Arial" w:hAnsi="Arial" w:cs="Arial"/>
                <w:sz w:val="16"/>
                <w:szCs w:val="16"/>
                <w:lang w:eastAsia="es-AR"/>
              </w:rPr>
            </w:pPr>
            <w:r w:rsidRPr="0003705B">
              <w:rPr>
                <w:rFonts w:ascii="Arial" w:hAnsi="Arial" w:cs="Arial"/>
                <w:sz w:val="16"/>
                <w:szCs w:val="16"/>
                <w:lang w:eastAsia="es-AR"/>
              </w:rPr>
              <w:t>Sector Público no Financiero</w:t>
            </w:r>
          </w:p>
        </w:tc>
        <w:tc>
          <w:tcPr>
            <w:tcW w:w="821" w:type="dxa"/>
            <w:tcBorders>
              <w:top w:val="nil"/>
              <w:left w:val="nil"/>
              <w:bottom w:val="nil"/>
              <w:right w:val="nil"/>
            </w:tcBorders>
            <w:shd w:val="clear" w:color="auto" w:fill="auto"/>
            <w:vAlign w:val="center"/>
          </w:tcPr>
          <w:p w14:paraId="08A696A1" w14:textId="77777777" w:rsidR="00F71ED9" w:rsidRPr="008940E2" w:rsidRDefault="00F71ED9" w:rsidP="00F71ED9">
            <w:pPr>
              <w:ind w:firstLineChars="300" w:firstLine="480"/>
              <w:rPr>
                <w:rFonts w:ascii="Arial" w:hAnsi="Arial" w:cs="Arial"/>
                <w:sz w:val="16"/>
                <w:szCs w:val="16"/>
                <w:lang w:eastAsia="es-AR"/>
              </w:rPr>
            </w:pPr>
          </w:p>
        </w:tc>
        <w:tc>
          <w:tcPr>
            <w:tcW w:w="1442" w:type="dxa"/>
            <w:tcBorders>
              <w:top w:val="nil"/>
              <w:left w:val="nil"/>
              <w:bottom w:val="nil"/>
              <w:right w:val="nil"/>
            </w:tcBorders>
            <w:shd w:val="clear" w:color="auto" w:fill="auto"/>
            <w:noWrap/>
            <w:vAlign w:val="center"/>
          </w:tcPr>
          <w:p w14:paraId="79ED5961" w14:textId="430E5D60" w:rsidR="00F71ED9" w:rsidRPr="00F71ED9" w:rsidRDefault="00F71ED9">
            <w:pPr>
              <w:jc w:val="right"/>
              <w:rPr>
                <w:rFonts w:ascii="Arial" w:hAnsi="Arial" w:cs="Arial"/>
                <w:sz w:val="16"/>
                <w:szCs w:val="16"/>
              </w:rPr>
            </w:pPr>
            <w:r w:rsidRPr="006E1AF7">
              <w:rPr>
                <w:rFonts w:ascii="Arial" w:hAnsi="Arial" w:cs="Arial"/>
                <w:sz w:val="16"/>
                <w:szCs w:val="16"/>
              </w:rPr>
              <w:t xml:space="preserve">28.872 </w:t>
            </w:r>
          </w:p>
        </w:tc>
        <w:tc>
          <w:tcPr>
            <w:tcW w:w="1580" w:type="dxa"/>
            <w:tcBorders>
              <w:top w:val="nil"/>
              <w:left w:val="nil"/>
              <w:bottom w:val="nil"/>
              <w:right w:val="nil"/>
            </w:tcBorders>
            <w:shd w:val="clear" w:color="auto" w:fill="auto"/>
            <w:noWrap/>
            <w:vAlign w:val="center"/>
            <w:hideMark/>
          </w:tcPr>
          <w:p w14:paraId="218AD59A" w14:textId="17AE2961"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32.802</w:t>
            </w:r>
          </w:p>
        </w:tc>
      </w:tr>
      <w:tr w:rsidR="00F71ED9" w:rsidRPr="0003705B" w14:paraId="34E00C1B" w14:textId="77777777" w:rsidTr="006E1AF7">
        <w:trPr>
          <w:trHeight w:val="300"/>
        </w:trPr>
        <w:tc>
          <w:tcPr>
            <w:tcW w:w="4518" w:type="dxa"/>
            <w:tcBorders>
              <w:top w:val="nil"/>
              <w:left w:val="nil"/>
              <w:bottom w:val="nil"/>
              <w:right w:val="nil"/>
            </w:tcBorders>
            <w:shd w:val="clear" w:color="auto" w:fill="auto"/>
            <w:vAlign w:val="center"/>
            <w:hideMark/>
          </w:tcPr>
          <w:p w14:paraId="07E84DC6" w14:textId="77777777" w:rsidR="00F71ED9" w:rsidRPr="0003705B" w:rsidRDefault="00F71ED9" w:rsidP="00F71ED9">
            <w:pPr>
              <w:ind w:firstLineChars="300" w:firstLine="480"/>
              <w:rPr>
                <w:rFonts w:ascii="Arial" w:hAnsi="Arial" w:cs="Arial"/>
                <w:sz w:val="16"/>
                <w:szCs w:val="16"/>
                <w:lang w:eastAsia="es-AR"/>
              </w:rPr>
            </w:pPr>
            <w:r w:rsidRPr="0003705B">
              <w:rPr>
                <w:rFonts w:ascii="Arial" w:hAnsi="Arial" w:cs="Arial"/>
                <w:sz w:val="16"/>
                <w:szCs w:val="16"/>
                <w:lang w:eastAsia="es-AR"/>
              </w:rPr>
              <w:t>Otras Entidades financieras</w:t>
            </w:r>
          </w:p>
        </w:tc>
        <w:tc>
          <w:tcPr>
            <w:tcW w:w="821" w:type="dxa"/>
            <w:tcBorders>
              <w:top w:val="nil"/>
              <w:left w:val="nil"/>
              <w:bottom w:val="nil"/>
              <w:right w:val="nil"/>
            </w:tcBorders>
            <w:shd w:val="clear" w:color="auto" w:fill="auto"/>
            <w:vAlign w:val="center"/>
          </w:tcPr>
          <w:p w14:paraId="75FC6A9C" w14:textId="77777777" w:rsidR="00F71ED9" w:rsidRPr="008940E2" w:rsidRDefault="00F71ED9" w:rsidP="00F71ED9">
            <w:pPr>
              <w:ind w:firstLineChars="300" w:firstLine="480"/>
              <w:rPr>
                <w:rFonts w:ascii="Arial" w:hAnsi="Arial" w:cs="Arial"/>
                <w:sz w:val="16"/>
                <w:szCs w:val="16"/>
                <w:lang w:eastAsia="es-AR"/>
              </w:rPr>
            </w:pPr>
          </w:p>
        </w:tc>
        <w:tc>
          <w:tcPr>
            <w:tcW w:w="1442" w:type="dxa"/>
            <w:tcBorders>
              <w:top w:val="nil"/>
              <w:left w:val="nil"/>
              <w:bottom w:val="nil"/>
              <w:right w:val="nil"/>
            </w:tcBorders>
            <w:shd w:val="clear" w:color="auto" w:fill="auto"/>
            <w:noWrap/>
            <w:vAlign w:val="center"/>
          </w:tcPr>
          <w:p w14:paraId="6F92E006" w14:textId="192109D6" w:rsidR="00F71ED9" w:rsidRPr="00F71ED9" w:rsidRDefault="00F71ED9">
            <w:pPr>
              <w:jc w:val="right"/>
              <w:rPr>
                <w:rFonts w:ascii="Arial" w:hAnsi="Arial" w:cs="Arial"/>
                <w:sz w:val="16"/>
                <w:szCs w:val="16"/>
              </w:rPr>
            </w:pPr>
            <w:r w:rsidRPr="006E1AF7">
              <w:rPr>
                <w:rFonts w:ascii="Arial" w:hAnsi="Arial" w:cs="Arial"/>
                <w:sz w:val="16"/>
                <w:szCs w:val="16"/>
              </w:rPr>
              <w:t xml:space="preserve">1.195.768 </w:t>
            </w:r>
          </w:p>
        </w:tc>
        <w:tc>
          <w:tcPr>
            <w:tcW w:w="1580" w:type="dxa"/>
            <w:tcBorders>
              <w:top w:val="nil"/>
              <w:left w:val="nil"/>
              <w:bottom w:val="nil"/>
              <w:right w:val="nil"/>
            </w:tcBorders>
            <w:shd w:val="clear" w:color="auto" w:fill="auto"/>
            <w:noWrap/>
            <w:vAlign w:val="center"/>
            <w:hideMark/>
          </w:tcPr>
          <w:p w14:paraId="70A94209" w14:textId="44E39987"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2.950.923</w:t>
            </w:r>
          </w:p>
        </w:tc>
      </w:tr>
      <w:tr w:rsidR="00F71ED9" w:rsidRPr="0003705B" w14:paraId="330D14DD" w14:textId="77777777" w:rsidTr="006E1AF7">
        <w:trPr>
          <w:trHeight w:val="510"/>
        </w:trPr>
        <w:tc>
          <w:tcPr>
            <w:tcW w:w="4518" w:type="dxa"/>
            <w:tcBorders>
              <w:top w:val="nil"/>
              <w:left w:val="nil"/>
              <w:bottom w:val="nil"/>
              <w:right w:val="nil"/>
            </w:tcBorders>
            <w:shd w:val="clear" w:color="auto" w:fill="auto"/>
            <w:vAlign w:val="center"/>
            <w:hideMark/>
          </w:tcPr>
          <w:p w14:paraId="123D4985" w14:textId="77777777" w:rsidR="00F71ED9" w:rsidRPr="0003705B" w:rsidRDefault="00F71ED9" w:rsidP="00F71ED9">
            <w:pPr>
              <w:ind w:firstLineChars="300" w:firstLine="480"/>
              <w:rPr>
                <w:rFonts w:ascii="Arial" w:hAnsi="Arial" w:cs="Arial"/>
                <w:sz w:val="16"/>
                <w:szCs w:val="16"/>
                <w:lang w:eastAsia="es-AR"/>
              </w:rPr>
            </w:pPr>
            <w:r w:rsidRPr="0003705B">
              <w:rPr>
                <w:rFonts w:ascii="Arial" w:hAnsi="Arial" w:cs="Arial"/>
                <w:sz w:val="16"/>
                <w:szCs w:val="16"/>
                <w:lang w:eastAsia="es-AR"/>
              </w:rPr>
              <w:t>Sector Privado no Financiero y Residentes en el exterior</w:t>
            </w:r>
          </w:p>
        </w:tc>
        <w:tc>
          <w:tcPr>
            <w:tcW w:w="821" w:type="dxa"/>
            <w:tcBorders>
              <w:top w:val="nil"/>
              <w:left w:val="nil"/>
              <w:bottom w:val="nil"/>
              <w:right w:val="nil"/>
            </w:tcBorders>
            <w:shd w:val="clear" w:color="auto" w:fill="auto"/>
            <w:vAlign w:val="center"/>
          </w:tcPr>
          <w:p w14:paraId="543A2165" w14:textId="77777777" w:rsidR="00F71ED9" w:rsidRPr="008940E2" w:rsidRDefault="00F71ED9" w:rsidP="00F71ED9">
            <w:pPr>
              <w:ind w:firstLineChars="300" w:firstLine="480"/>
              <w:rPr>
                <w:rFonts w:ascii="Arial" w:hAnsi="Arial" w:cs="Arial"/>
                <w:sz w:val="16"/>
                <w:szCs w:val="16"/>
                <w:lang w:eastAsia="es-AR"/>
              </w:rPr>
            </w:pPr>
          </w:p>
        </w:tc>
        <w:tc>
          <w:tcPr>
            <w:tcW w:w="1442" w:type="dxa"/>
            <w:tcBorders>
              <w:top w:val="nil"/>
              <w:left w:val="nil"/>
              <w:bottom w:val="nil"/>
              <w:right w:val="nil"/>
            </w:tcBorders>
            <w:shd w:val="clear" w:color="auto" w:fill="auto"/>
            <w:noWrap/>
            <w:vAlign w:val="center"/>
          </w:tcPr>
          <w:p w14:paraId="552014BA" w14:textId="2383280B" w:rsidR="00F71ED9" w:rsidRPr="00F71ED9" w:rsidRDefault="00F71ED9">
            <w:pPr>
              <w:jc w:val="right"/>
              <w:rPr>
                <w:rFonts w:ascii="Arial" w:hAnsi="Arial" w:cs="Arial"/>
                <w:sz w:val="16"/>
                <w:szCs w:val="16"/>
              </w:rPr>
            </w:pPr>
            <w:r w:rsidRPr="006E1AF7">
              <w:rPr>
                <w:rFonts w:ascii="Arial" w:hAnsi="Arial" w:cs="Arial"/>
                <w:sz w:val="16"/>
                <w:szCs w:val="16"/>
              </w:rPr>
              <w:t xml:space="preserve">82.804.799 </w:t>
            </w:r>
          </w:p>
        </w:tc>
        <w:tc>
          <w:tcPr>
            <w:tcW w:w="1580" w:type="dxa"/>
            <w:tcBorders>
              <w:top w:val="nil"/>
              <w:left w:val="nil"/>
              <w:bottom w:val="nil"/>
              <w:right w:val="nil"/>
            </w:tcBorders>
            <w:shd w:val="clear" w:color="auto" w:fill="auto"/>
            <w:noWrap/>
            <w:vAlign w:val="center"/>
            <w:hideMark/>
          </w:tcPr>
          <w:p w14:paraId="4AC81922" w14:textId="3D11320A"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69.881.929</w:t>
            </w:r>
          </w:p>
        </w:tc>
      </w:tr>
      <w:tr w:rsidR="00F71ED9" w:rsidRPr="0003705B" w14:paraId="71166952" w14:textId="77777777" w:rsidTr="006E1AF7">
        <w:trPr>
          <w:trHeight w:val="300"/>
        </w:trPr>
        <w:tc>
          <w:tcPr>
            <w:tcW w:w="4518" w:type="dxa"/>
            <w:tcBorders>
              <w:top w:val="nil"/>
              <w:left w:val="nil"/>
              <w:bottom w:val="nil"/>
              <w:right w:val="nil"/>
            </w:tcBorders>
            <w:shd w:val="clear" w:color="auto" w:fill="auto"/>
            <w:vAlign w:val="center"/>
            <w:hideMark/>
          </w:tcPr>
          <w:p w14:paraId="17E621C1" w14:textId="7047B4E2"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 xml:space="preserve">Otros Títulos de Deuda </w:t>
            </w:r>
            <w:r w:rsidRPr="0003705B">
              <w:rPr>
                <w:rFonts w:ascii="Arial" w:hAnsi="Arial" w:cs="Arial"/>
                <w:b/>
                <w:bCs/>
                <w:sz w:val="16"/>
                <w:szCs w:val="16"/>
                <w:lang w:eastAsia="es-AR"/>
              </w:rPr>
              <w:t>(Anexo</w:t>
            </w:r>
            <w:r>
              <w:rPr>
                <w:rFonts w:ascii="Arial" w:hAnsi="Arial" w:cs="Arial"/>
                <w:b/>
                <w:bCs/>
                <w:sz w:val="16"/>
                <w:szCs w:val="16"/>
                <w:lang w:eastAsia="es-AR"/>
              </w:rPr>
              <w:t>s</w:t>
            </w:r>
            <w:r w:rsidRPr="0003705B">
              <w:rPr>
                <w:rFonts w:ascii="Arial" w:hAnsi="Arial" w:cs="Arial"/>
                <w:b/>
                <w:bCs/>
                <w:sz w:val="16"/>
                <w:szCs w:val="16"/>
                <w:lang w:eastAsia="es-AR"/>
              </w:rPr>
              <w:t xml:space="preserve"> A</w:t>
            </w:r>
            <w:r>
              <w:rPr>
                <w:rFonts w:ascii="Arial" w:hAnsi="Arial" w:cs="Arial"/>
                <w:b/>
                <w:bCs/>
                <w:sz w:val="16"/>
                <w:szCs w:val="16"/>
                <w:lang w:eastAsia="es-AR"/>
              </w:rPr>
              <w:t xml:space="preserve"> y P</w:t>
            </w:r>
            <w:r w:rsidRPr="0003705B">
              <w:rPr>
                <w:rFonts w:ascii="Arial" w:hAnsi="Arial" w:cs="Arial"/>
                <w:b/>
                <w:bCs/>
                <w:sz w:val="16"/>
                <w:szCs w:val="16"/>
                <w:lang w:eastAsia="es-AR"/>
              </w:rPr>
              <w:t>)</w:t>
            </w:r>
          </w:p>
        </w:tc>
        <w:tc>
          <w:tcPr>
            <w:tcW w:w="821" w:type="dxa"/>
            <w:tcBorders>
              <w:top w:val="nil"/>
              <w:left w:val="nil"/>
              <w:bottom w:val="nil"/>
              <w:right w:val="nil"/>
            </w:tcBorders>
            <w:shd w:val="clear" w:color="auto" w:fill="auto"/>
            <w:vAlign w:val="center"/>
          </w:tcPr>
          <w:p w14:paraId="72A996D1" w14:textId="3A3C664F"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6.5</w:t>
            </w:r>
          </w:p>
        </w:tc>
        <w:tc>
          <w:tcPr>
            <w:tcW w:w="1442" w:type="dxa"/>
            <w:tcBorders>
              <w:top w:val="nil"/>
              <w:left w:val="nil"/>
              <w:bottom w:val="nil"/>
              <w:right w:val="nil"/>
            </w:tcBorders>
            <w:shd w:val="clear" w:color="auto" w:fill="auto"/>
            <w:noWrap/>
            <w:vAlign w:val="center"/>
          </w:tcPr>
          <w:p w14:paraId="6F0BC87C" w14:textId="79A3E48A" w:rsidR="00F71ED9" w:rsidRPr="00F71ED9" w:rsidRDefault="00F71ED9">
            <w:pPr>
              <w:jc w:val="right"/>
              <w:rPr>
                <w:rFonts w:ascii="Arial" w:hAnsi="Arial" w:cs="Arial"/>
                <w:sz w:val="16"/>
                <w:szCs w:val="16"/>
              </w:rPr>
            </w:pPr>
            <w:r w:rsidRPr="006E1AF7">
              <w:rPr>
                <w:rFonts w:ascii="Arial" w:hAnsi="Arial" w:cs="Arial"/>
                <w:sz w:val="16"/>
                <w:szCs w:val="16"/>
              </w:rPr>
              <w:t xml:space="preserve">10.613.265 </w:t>
            </w:r>
          </w:p>
        </w:tc>
        <w:tc>
          <w:tcPr>
            <w:tcW w:w="1580" w:type="dxa"/>
            <w:tcBorders>
              <w:top w:val="nil"/>
              <w:left w:val="nil"/>
              <w:bottom w:val="nil"/>
              <w:right w:val="nil"/>
            </w:tcBorders>
            <w:shd w:val="clear" w:color="auto" w:fill="auto"/>
            <w:noWrap/>
            <w:vAlign w:val="center"/>
            <w:hideMark/>
          </w:tcPr>
          <w:p w14:paraId="321720ED" w14:textId="73C0C3F3"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4.134.493</w:t>
            </w:r>
          </w:p>
        </w:tc>
      </w:tr>
      <w:tr w:rsidR="00F71ED9" w:rsidRPr="0003705B" w14:paraId="6E1B7E62" w14:textId="77777777" w:rsidTr="006E1AF7">
        <w:trPr>
          <w:trHeight w:val="300"/>
        </w:trPr>
        <w:tc>
          <w:tcPr>
            <w:tcW w:w="4518" w:type="dxa"/>
            <w:tcBorders>
              <w:top w:val="nil"/>
              <w:left w:val="nil"/>
              <w:bottom w:val="nil"/>
              <w:right w:val="nil"/>
            </w:tcBorders>
            <w:shd w:val="clear" w:color="auto" w:fill="auto"/>
            <w:vAlign w:val="center"/>
            <w:hideMark/>
          </w:tcPr>
          <w:p w14:paraId="03D36B19" w14:textId="09F331F9"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 xml:space="preserve">Activos financieros entregados en garantía </w:t>
            </w:r>
            <w:r w:rsidRPr="007D7797">
              <w:rPr>
                <w:rFonts w:ascii="Arial" w:hAnsi="Arial" w:cs="Arial"/>
                <w:b/>
                <w:sz w:val="16"/>
                <w:szCs w:val="16"/>
                <w:lang w:eastAsia="es-AR"/>
              </w:rPr>
              <w:t>(Anexo P)</w:t>
            </w:r>
          </w:p>
        </w:tc>
        <w:tc>
          <w:tcPr>
            <w:tcW w:w="821" w:type="dxa"/>
            <w:tcBorders>
              <w:top w:val="nil"/>
              <w:left w:val="nil"/>
              <w:bottom w:val="nil"/>
              <w:right w:val="nil"/>
            </w:tcBorders>
            <w:shd w:val="clear" w:color="auto" w:fill="auto"/>
            <w:vAlign w:val="center"/>
          </w:tcPr>
          <w:p w14:paraId="60C05EBE" w14:textId="69032647"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6.6</w:t>
            </w:r>
          </w:p>
        </w:tc>
        <w:tc>
          <w:tcPr>
            <w:tcW w:w="1442" w:type="dxa"/>
            <w:tcBorders>
              <w:top w:val="nil"/>
              <w:left w:val="nil"/>
              <w:bottom w:val="nil"/>
              <w:right w:val="nil"/>
            </w:tcBorders>
            <w:shd w:val="clear" w:color="auto" w:fill="auto"/>
            <w:noWrap/>
            <w:vAlign w:val="center"/>
          </w:tcPr>
          <w:p w14:paraId="4EFF95DC" w14:textId="1F838B54" w:rsidR="00F71ED9" w:rsidRPr="00F71ED9" w:rsidRDefault="00F71ED9">
            <w:pPr>
              <w:jc w:val="right"/>
              <w:rPr>
                <w:rFonts w:ascii="Arial" w:hAnsi="Arial" w:cs="Arial"/>
                <w:sz w:val="16"/>
                <w:szCs w:val="16"/>
              </w:rPr>
            </w:pPr>
            <w:r w:rsidRPr="006E1AF7">
              <w:rPr>
                <w:rFonts w:ascii="Arial" w:hAnsi="Arial" w:cs="Arial"/>
                <w:sz w:val="16"/>
                <w:szCs w:val="16"/>
              </w:rPr>
              <w:t xml:space="preserve">4.924.540 </w:t>
            </w:r>
          </w:p>
        </w:tc>
        <w:tc>
          <w:tcPr>
            <w:tcW w:w="1580" w:type="dxa"/>
            <w:tcBorders>
              <w:top w:val="nil"/>
              <w:left w:val="nil"/>
              <w:bottom w:val="nil"/>
              <w:right w:val="nil"/>
            </w:tcBorders>
            <w:shd w:val="clear" w:color="auto" w:fill="auto"/>
            <w:noWrap/>
            <w:vAlign w:val="center"/>
            <w:hideMark/>
          </w:tcPr>
          <w:p w14:paraId="3E24F5E9" w14:textId="7913A504"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1.882.600</w:t>
            </w:r>
          </w:p>
        </w:tc>
      </w:tr>
      <w:tr w:rsidR="00F71ED9" w:rsidRPr="0003705B" w14:paraId="3F693B2E" w14:textId="77777777" w:rsidTr="006E1AF7">
        <w:trPr>
          <w:trHeight w:val="300"/>
        </w:trPr>
        <w:tc>
          <w:tcPr>
            <w:tcW w:w="4518" w:type="dxa"/>
            <w:tcBorders>
              <w:top w:val="nil"/>
              <w:left w:val="nil"/>
              <w:bottom w:val="nil"/>
              <w:right w:val="nil"/>
            </w:tcBorders>
            <w:shd w:val="clear" w:color="auto" w:fill="auto"/>
            <w:vAlign w:val="center"/>
            <w:hideMark/>
          </w:tcPr>
          <w:p w14:paraId="2FCC79ED" w14:textId="77777777"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Activos por impuestos a las ganancias corriente</w:t>
            </w:r>
          </w:p>
        </w:tc>
        <w:tc>
          <w:tcPr>
            <w:tcW w:w="821" w:type="dxa"/>
            <w:tcBorders>
              <w:top w:val="nil"/>
              <w:left w:val="nil"/>
              <w:bottom w:val="nil"/>
              <w:right w:val="nil"/>
            </w:tcBorders>
            <w:shd w:val="clear" w:color="auto" w:fill="auto"/>
            <w:vAlign w:val="center"/>
          </w:tcPr>
          <w:p w14:paraId="526E4A8B" w14:textId="77777777" w:rsidR="00F71ED9" w:rsidRPr="008940E2" w:rsidRDefault="00F71ED9" w:rsidP="00F71ED9">
            <w:pPr>
              <w:rPr>
                <w:rFonts w:ascii="Arial" w:hAnsi="Arial" w:cs="Arial"/>
                <w:sz w:val="16"/>
                <w:szCs w:val="16"/>
                <w:lang w:eastAsia="es-AR"/>
              </w:rPr>
            </w:pPr>
          </w:p>
        </w:tc>
        <w:tc>
          <w:tcPr>
            <w:tcW w:w="1442" w:type="dxa"/>
            <w:tcBorders>
              <w:top w:val="nil"/>
              <w:left w:val="nil"/>
              <w:bottom w:val="nil"/>
              <w:right w:val="nil"/>
            </w:tcBorders>
            <w:shd w:val="clear" w:color="auto" w:fill="auto"/>
            <w:noWrap/>
            <w:vAlign w:val="center"/>
          </w:tcPr>
          <w:p w14:paraId="6C2EA157" w14:textId="1484DF79" w:rsidR="00F71ED9" w:rsidRPr="00F71ED9" w:rsidRDefault="00F71ED9">
            <w:pPr>
              <w:jc w:val="right"/>
              <w:rPr>
                <w:rFonts w:ascii="Arial" w:hAnsi="Arial" w:cs="Arial"/>
                <w:sz w:val="16"/>
                <w:szCs w:val="16"/>
              </w:rPr>
            </w:pPr>
            <w:r w:rsidRPr="006E1AF7">
              <w:rPr>
                <w:rFonts w:ascii="Arial" w:hAnsi="Arial" w:cs="Arial"/>
                <w:sz w:val="16"/>
                <w:szCs w:val="16"/>
              </w:rPr>
              <w:t xml:space="preserve">293.192 </w:t>
            </w:r>
          </w:p>
        </w:tc>
        <w:tc>
          <w:tcPr>
            <w:tcW w:w="1580" w:type="dxa"/>
            <w:tcBorders>
              <w:top w:val="nil"/>
              <w:left w:val="nil"/>
              <w:bottom w:val="nil"/>
              <w:right w:val="nil"/>
            </w:tcBorders>
            <w:shd w:val="clear" w:color="auto" w:fill="auto"/>
            <w:noWrap/>
            <w:vAlign w:val="center"/>
            <w:hideMark/>
          </w:tcPr>
          <w:p w14:paraId="53F0878E" w14:textId="1CA607D6"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415.251</w:t>
            </w:r>
          </w:p>
        </w:tc>
      </w:tr>
      <w:tr w:rsidR="00F71ED9" w:rsidRPr="0003705B" w14:paraId="57B5DB82" w14:textId="77777777" w:rsidTr="006E1AF7">
        <w:trPr>
          <w:trHeight w:val="300"/>
        </w:trPr>
        <w:tc>
          <w:tcPr>
            <w:tcW w:w="4518" w:type="dxa"/>
            <w:tcBorders>
              <w:top w:val="nil"/>
              <w:left w:val="nil"/>
              <w:bottom w:val="nil"/>
              <w:right w:val="nil"/>
            </w:tcBorders>
            <w:shd w:val="clear" w:color="auto" w:fill="auto"/>
            <w:vAlign w:val="center"/>
            <w:hideMark/>
          </w:tcPr>
          <w:p w14:paraId="43102190" w14:textId="264F3518"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 xml:space="preserve">Inversiones en Instrumentos de Patrimonio </w:t>
            </w:r>
            <w:r w:rsidRPr="0003705B">
              <w:rPr>
                <w:rFonts w:ascii="Arial" w:hAnsi="Arial" w:cs="Arial"/>
                <w:b/>
                <w:bCs/>
                <w:sz w:val="16"/>
                <w:szCs w:val="16"/>
                <w:lang w:eastAsia="es-AR"/>
              </w:rPr>
              <w:t>(Anexo</w:t>
            </w:r>
            <w:r>
              <w:rPr>
                <w:rFonts w:ascii="Arial" w:hAnsi="Arial" w:cs="Arial"/>
                <w:b/>
                <w:bCs/>
                <w:sz w:val="16"/>
                <w:szCs w:val="16"/>
                <w:lang w:eastAsia="es-AR"/>
              </w:rPr>
              <w:t>s</w:t>
            </w:r>
            <w:r w:rsidRPr="0003705B">
              <w:rPr>
                <w:rFonts w:ascii="Arial" w:hAnsi="Arial" w:cs="Arial"/>
                <w:b/>
                <w:bCs/>
                <w:sz w:val="16"/>
                <w:szCs w:val="16"/>
                <w:lang w:eastAsia="es-AR"/>
              </w:rPr>
              <w:t xml:space="preserve"> A</w:t>
            </w:r>
            <w:r>
              <w:rPr>
                <w:rFonts w:ascii="Arial" w:hAnsi="Arial" w:cs="Arial"/>
                <w:b/>
                <w:bCs/>
                <w:sz w:val="16"/>
                <w:szCs w:val="16"/>
                <w:lang w:eastAsia="es-AR"/>
              </w:rPr>
              <w:t xml:space="preserve"> y P</w:t>
            </w:r>
            <w:r w:rsidRPr="0003705B">
              <w:rPr>
                <w:rFonts w:ascii="Arial" w:hAnsi="Arial" w:cs="Arial"/>
                <w:b/>
                <w:bCs/>
                <w:sz w:val="16"/>
                <w:szCs w:val="16"/>
                <w:lang w:eastAsia="es-AR"/>
              </w:rPr>
              <w:t>)</w:t>
            </w:r>
          </w:p>
        </w:tc>
        <w:tc>
          <w:tcPr>
            <w:tcW w:w="821" w:type="dxa"/>
            <w:tcBorders>
              <w:top w:val="nil"/>
              <w:left w:val="nil"/>
              <w:bottom w:val="nil"/>
              <w:right w:val="nil"/>
            </w:tcBorders>
            <w:shd w:val="clear" w:color="auto" w:fill="auto"/>
            <w:vAlign w:val="center"/>
          </w:tcPr>
          <w:p w14:paraId="5CE46096" w14:textId="168D595D" w:rsidR="00F71ED9" w:rsidRPr="008940E2" w:rsidRDefault="00011E62" w:rsidP="00F71ED9">
            <w:pPr>
              <w:jc w:val="center"/>
              <w:rPr>
                <w:rFonts w:ascii="Arial" w:hAnsi="Arial" w:cs="Arial"/>
                <w:sz w:val="16"/>
                <w:szCs w:val="16"/>
                <w:lang w:eastAsia="es-AR"/>
              </w:rPr>
            </w:pPr>
            <w:r>
              <w:rPr>
                <w:rFonts w:ascii="Arial" w:hAnsi="Arial" w:cs="Arial"/>
                <w:sz w:val="16"/>
                <w:szCs w:val="16"/>
                <w:lang w:eastAsia="es-AR"/>
              </w:rPr>
              <w:t>20</w:t>
            </w:r>
          </w:p>
        </w:tc>
        <w:tc>
          <w:tcPr>
            <w:tcW w:w="1442" w:type="dxa"/>
            <w:tcBorders>
              <w:top w:val="nil"/>
              <w:left w:val="nil"/>
              <w:bottom w:val="nil"/>
              <w:right w:val="nil"/>
            </w:tcBorders>
            <w:shd w:val="clear" w:color="auto" w:fill="auto"/>
            <w:noWrap/>
            <w:vAlign w:val="center"/>
          </w:tcPr>
          <w:p w14:paraId="405A3B13" w14:textId="487DE326" w:rsidR="00F71ED9" w:rsidRPr="00F71ED9" w:rsidRDefault="00F71ED9">
            <w:pPr>
              <w:jc w:val="right"/>
              <w:rPr>
                <w:rFonts w:ascii="Arial" w:hAnsi="Arial" w:cs="Arial"/>
                <w:sz w:val="16"/>
                <w:szCs w:val="16"/>
              </w:rPr>
            </w:pPr>
            <w:r w:rsidRPr="006E1AF7">
              <w:rPr>
                <w:rFonts w:ascii="Arial" w:hAnsi="Arial" w:cs="Arial"/>
                <w:sz w:val="16"/>
                <w:szCs w:val="16"/>
              </w:rPr>
              <w:t xml:space="preserve">14.579 </w:t>
            </w:r>
          </w:p>
        </w:tc>
        <w:tc>
          <w:tcPr>
            <w:tcW w:w="1580" w:type="dxa"/>
            <w:tcBorders>
              <w:top w:val="nil"/>
              <w:left w:val="nil"/>
              <w:bottom w:val="nil"/>
              <w:right w:val="nil"/>
            </w:tcBorders>
            <w:shd w:val="clear" w:color="auto" w:fill="auto"/>
            <w:noWrap/>
            <w:vAlign w:val="center"/>
            <w:hideMark/>
          </w:tcPr>
          <w:p w14:paraId="609926E9" w14:textId="65CAD6BC"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10.404</w:t>
            </w:r>
          </w:p>
        </w:tc>
      </w:tr>
      <w:tr w:rsidR="00F71ED9" w:rsidRPr="0003705B" w14:paraId="484E632F" w14:textId="77777777" w:rsidTr="006E1AF7">
        <w:trPr>
          <w:trHeight w:val="303"/>
        </w:trPr>
        <w:tc>
          <w:tcPr>
            <w:tcW w:w="4518" w:type="dxa"/>
            <w:tcBorders>
              <w:top w:val="nil"/>
              <w:left w:val="nil"/>
              <w:bottom w:val="nil"/>
              <w:right w:val="nil"/>
            </w:tcBorders>
            <w:shd w:val="clear" w:color="auto" w:fill="auto"/>
            <w:vAlign w:val="center"/>
            <w:hideMark/>
          </w:tcPr>
          <w:p w14:paraId="76B2F273" w14:textId="35388FA0"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Inversión en subsidiarias, asociadas y negocios conjuntos</w:t>
            </w:r>
            <w:r>
              <w:rPr>
                <w:rFonts w:ascii="Arial" w:hAnsi="Arial" w:cs="Arial"/>
                <w:sz w:val="16"/>
                <w:szCs w:val="16"/>
                <w:lang w:eastAsia="es-AR"/>
              </w:rPr>
              <w:t xml:space="preserve"> </w:t>
            </w:r>
            <w:r w:rsidRPr="00856288">
              <w:rPr>
                <w:rFonts w:ascii="Arial" w:hAnsi="Arial" w:cs="Arial"/>
                <w:b/>
                <w:sz w:val="16"/>
                <w:szCs w:val="16"/>
                <w:lang w:eastAsia="es-AR"/>
              </w:rPr>
              <w:t>(Anexo E)</w:t>
            </w:r>
            <w:r w:rsidRPr="0003705B">
              <w:rPr>
                <w:rFonts w:ascii="Arial" w:hAnsi="Arial" w:cs="Arial"/>
                <w:sz w:val="16"/>
                <w:szCs w:val="16"/>
                <w:lang w:eastAsia="es-AR"/>
              </w:rPr>
              <w:t xml:space="preserve"> </w:t>
            </w:r>
          </w:p>
        </w:tc>
        <w:tc>
          <w:tcPr>
            <w:tcW w:w="821" w:type="dxa"/>
            <w:tcBorders>
              <w:top w:val="nil"/>
              <w:left w:val="nil"/>
              <w:bottom w:val="nil"/>
              <w:right w:val="nil"/>
            </w:tcBorders>
            <w:shd w:val="clear" w:color="auto" w:fill="auto"/>
            <w:vAlign w:val="center"/>
          </w:tcPr>
          <w:p w14:paraId="4A0C1904" w14:textId="00E84685" w:rsidR="00F71ED9" w:rsidRPr="008940E2" w:rsidRDefault="00F71ED9" w:rsidP="00F71ED9">
            <w:pPr>
              <w:jc w:val="center"/>
              <w:rPr>
                <w:rFonts w:ascii="Arial" w:hAnsi="Arial" w:cs="Arial"/>
                <w:sz w:val="16"/>
                <w:szCs w:val="16"/>
                <w:lang w:eastAsia="es-AR"/>
              </w:rPr>
            </w:pPr>
          </w:p>
        </w:tc>
        <w:tc>
          <w:tcPr>
            <w:tcW w:w="1442" w:type="dxa"/>
            <w:tcBorders>
              <w:top w:val="nil"/>
              <w:left w:val="nil"/>
              <w:bottom w:val="nil"/>
              <w:right w:val="nil"/>
            </w:tcBorders>
            <w:shd w:val="clear" w:color="auto" w:fill="auto"/>
            <w:noWrap/>
            <w:vAlign w:val="center"/>
          </w:tcPr>
          <w:p w14:paraId="4D289661" w14:textId="207FF981" w:rsidR="00F71ED9" w:rsidRPr="00F71ED9" w:rsidRDefault="00F71ED9">
            <w:pPr>
              <w:jc w:val="right"/>
              <w:rPr>
                <w:rFonts w:ascii="Arial" w:hAnsi="Arial" w:cs="Arial"/>
                <w:sz w:val="16"/>
                <w:szCs w:val="16"/>
              </w:rPr>
            </w:pPr>
            <w:r w:rsidRPr="006E1AF7">
              <w:rPr>
                <w:rFonts w:ascii="Arial" w:hAnsi="Arial" w:cs="Arial"/>
                <w:sz w:val="16"/>
                <w:szCs w:val="16"/>
              </w:rPr>
              <w:t xml:space="preserve">2.427.461 </w:t>
            </w:r>
          </w:p>
        </w:tc>
        <w:tc>
          <w:tcPr>
            <w:tcW w:w="1580" w:type="dxa"/>
            <w:tcBorders>
              <w:top w:val="nil"/>
              <w:left w:val="nil"/>
              <w:bottom w:val="nil"/>
              <w:right w:val="nil"/>
            </w:tcBorders>
            <w:shd w:val="clear" w:color="auto" w:fill="auto"/>
            <w:noWrap/>
            <w:vAlign w:val="center"/>
            <w:hideMark/>
          </w:tcPr>
          <w:p w14:paraId="291DDE9B" w14:textId="581310A9"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1.236.879</w:t>
            </w:r>
          </w:p>
        </w:tc>
      </w:tr>
      <w:tr w:rsidR="00F71ED9" w:rsidRPr="0003705B" w14:paraId="46298F42" w14:textId="77777777" w:rsidTr="006E1AF7">
        <w:trPr>
          <w:trHeight w:val="300"/>
        </w:trPr>
        <w:tc>
          <w:tcPr>
            <w:tcW w:w="4518" w:type="dxa"/>
            <w:tcBorders>
              <w:top w:val="nil"/>
              <w:left w:val="nil"/>
              <w:bottom w:val="nil"/>
              <w:right w:val="nil"/>
            </w:tcBorders>
            <w:shd w:val="clear" w:color="auto" w:fill="auto"/>
            <w:vAlign w:val="center"/>
            <w:hideMark/>
          </w:tcPr>
          <w:p w14:paraId="023FEA4E" w14:textId="29C7D82B"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 xml:space="preserve">Propiedad, planta y equipo </w:t>
            </w:r>
            <w:r w:rsidRPr="007D7797">
              <w:rPr>
                <w:rFonts w:ascii="Arial" w:hAnsi="Arial" w:cs="Arial"/>
                <w:b/>
                <w:sz w:val="16"/>
                <w:szCs w:val="16"/>
                <w:lang w:eastAsia="es-AR"/>
              </w:rPr>
              <w:t>(Anexo F)</w:t>
            </w:r>
          </w:p>
        </w:tc>
        <w:tc>
          <w:tcPr>
            <w:tcW w:w="821" w:type="dxa"/>
            <w:tcBorders>
              <w:top w:val="nil"/>
              <w:left w:val="nil"/>
              <w:bottom w:val="nil"/>
              <w:right w:val="nil"/>
            </w:tcBorders>
            <w:shd w:val="clear" w:color="auto" w:fill="auto"/>
            <w:vAlign w:val="center"/>
          </w:tcPr>
          <w:p w14:paraId="690C58D9" w14:textId="10F8C98F" w:rsidR="00F71ED9" w:rsidRPr="008940E2" w:rsidRDefault="00F71ED9" w:rsidP="00F71ED9">
            <w:pPr>
              <w:jc w:val="center"/>
              <w:rPr>
                <w:rFonts w:ascii="Arial" w:hAnsi="Arial" w:cs="Arial"/>
                <w:sz w:val="16"/>
                <w:szCs w:val="16"/>
                <w:lang w:val="es-ES_tradnl" w:eastAsia="es-AR"/>
              </w:rPr>
            </w:pPr>
            <w:r>
              <w:rPr>
                <w:rFonts w:ascii="Arial" w:hAnsi="Arial" w:cs="Arial"/>
                <w:sz w:val="16"/>
                <w:szCs w:val="16"/>
                <w:lang w:eastAsia="es-AR"/>
              </w:rPr>
              <w:t>8</w:t>
            </w:r>
          </w:p>
        </w:tc>
        <w:tc>
          <w:tcPr>
            <w:tcW w:w="1442" w:type="dxa"/>
            <w:tcBorders>
              <w:top w:val="nil"/>
              <w:left w:val="nil"/>
              <w:bottom w:val="nil"/>
              <w:right w:val="nil"/>
            </w:tcBorders>
            <w:shd w:val="clear" w:color="auto" w:fill="auto"/>
            <w:noWrap/>
            <w:vAlign w:val="center"/>
          </w:tcPr>
          <w:p w14:paraId="19B9649D" w14:textId="68939564" w:rsidR="00F71ED9" w:rsidRPr="00F71ED9" w:rsidRDefault="00F71ED9">
            <w:pPr>
              <w:jc w:val="right"/>
              <w:rPr>
                <w:rFonts w:ascii="Arial" w:hAnsi="Arial" w:cs="Arial"/>
                <w:sz w:val="16"/>
                <w:szCs w:val="16"/>
              </w:rPr>
            </w:pPr>
            <w:r w:rsidRPr="006E1AF7">
              <w:rPr>
                <w:rFonts w:ascii="Arial" w:hAnsi="Arial" w:cs="Arial"/>
                <w:sz w:val="16"/>
                <w:szCs w:val="16"/>
              </w:rPr>
              <w:t xml:space="preserve">2.827.098 </w:t>
            </w:r>
          </w:p>
        </w:tc>
        <w:tc>
          <w:tcPr>
            <w:tcW w:w="1580" w:type="dxa"/>
            <w:tcBorders>
              <w:top w:val="nil"/>
              <w:left w:val="nil"/>
              <w:bottom w:val="nil"/>
              <w:right w:val="nil"/>
            </w:tcBorders>
            <w:shd w:val="clear" w:color="auto" w:fill="auto"/>
            <w:noWrap/>
            <w:vAlign w:val="center"/>
            <w:hideMark/>
          </w:tcPr>
          <w:p w14:paraId="7855951A" w14:textId="6EEFCD96"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1.675.282</w:t>
            </w:r>
          </w:p>
        </w:tc>
      </w:tr>
      <w:tr w:rsidR="00F71ED9" w:rsidRPr="0003705B" w14:paraId="0ABB6B55" w14:textId="77777777" w:rsidTr="006E1AF7">
        <w:trPr>
          <w:trHeight w:val="300"/>
        </w:trPr>
        <w:tc>
          <w:tcPr>
            <w:tcW w:w="4518" w:type="dxa"/>
            <w:tcBorders>
              <w:top w:val="nil"/>
              <w:left w:val="nil"/>
              <w:bottom w:val="nil"/>
              <w:right w:val="nil"/>
            </w:tcBorders>
            <w:shd w:val="clear" w:color="auto" w:fill="auto"/>
            <w:vAlign w:val="center"/>
            <w:hideMark/>
          </w:tcPr>
          <w:p w14:paraId="4369ADBE" w14:textId="475E49BE"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 xml:space="preserve">Activos intangibles </w:t>
            </w:r>
            <w:r w:rsidRPr="007D7797">
              <w:rPr>
                <w:rFonts w:ascii="Arial" w:hAnsi="Arial" w:cs="Arial"/>
                <w:b/>
                <w:sz w:val="16"/>
                <w:szCs w:val="16"/>
                <w:lang w:eastAsia="es-AR"/>
              </w:rPr>
              <w:t>(Anexo G)</w:t>
            </w:r>
          </w:p>
        </w:tc>
        <w:tc>
          <w:tcPr>
            <w:tcW w:w="821" w:type="dxa"/>
            <w:tcBorders>
              <w:top w:val="nil"/>
              <w:left w:val="nil"/>
              <w:bottom w:val="nil"/>
              <w:right w:val="nil"/>
            </w:tcBorders>
            <w:shd w:val="clear" w:color="auto" w:fill="auto"/>
            <w:vAlign w:val="center"/>
          </w:tcPr>
          <w:p w14:paraId="483B38E6" w14:textId="005D1BAB" w:rsidR="00F71ED9" w:rsidRPr="008940E2" w:rsidRDefault="00F71ED9" w:rsidP="00F71ED9">
            <w:pPr>
              <w:jc w:val="center"/>
              <w:rPr>
                <w:rFonts w:ascii="Arial" w:hAnsi="Arial" w:cs="Arial"/>
                <w:sz w:val="16"/>
                <w:szCs w:val="16"/>
                <w:lang w:val="es-ES_tradnl" w:eastAsia="es-AR"/>
              </w:rPr>
            </w:pPr>
            <w:r>
              <w:rPr>
                <w:rFonts w:ascii="Arial" w:hAnsi="Arial" w:cs="Arial"/>
                <w:sz w:val="16"/>
                <w:szCs w:val="16"/>
                <w:lang w:eastAsia="es-AR"/>
              </w:rPr>
              <w:t>9</w:t>
            </w:r>
          </w:p>
        </w:tc>
        <w:tc>
          <w:tcPr>
            <w:tcW w:w="1442" w:type="dxa"/>
            <w:tcBorders>
              <w:top w:val="nil"/>
              <w:left w:val="nil"/>
              <w:bottom w:val="nil"/>
              <w:right w:val="nil"/>
            </w:tcBorders>
            <w:shd w:val="clear" w:color="auto" w:fill="auto"/>
            <w:noWrap/>
            <w:vAlign w:val="center"/>
          </w:tcPr>
          <w:p w14:paraId="2302B875" w14:textId="00D6FAC5" w:rsidR="00F71ED9" w:rsidRPr="00F71ED9" w:rsidRDefault="00F71ED9">
            <w:pPr>
              <w:jc w:val="right"/>
              <w:rPr>
                <w:rFonts w:ascii="Arial" w:hAnsi="Arial" w:cs="Arial"/>
                <w:sz w:val="16"/>
                <w:szCs w:val="16"/>
              </w:rPr>
            </w:pPr>
            <w:r w:rsidRPr="006E1AF7">
              <w:rPr>
                <w:rFonts w:ascii="Arial" w:hAnsi="Arial" w:cs="Arial"/>
                <w:sz w:val="16"/>
                <w:szCs w:val="16"/>
              </w:rPr>
              <w:t xml:space="preserve">700.709 </w:t>
            </w:r>
          </w:p>
        </w:tc>
        <w:tc>
          <w:tcPr>
            <w:tcW w:w="1580" w:type="dxa"/>
            <w:tcBorders>
              <w:top w:val="nil"/>
              <w:left w:val="nil"/>
              <w:bottom w:val="nil"/>
              <w:right w:val="nil"/>
            </w:tcBorders>
            <w:shd w:val="clear" w:color="auto" w:fill="auto"/>
            <w:noWrap/>
            <w:vAlign w:val="center"/>
            <w:hideMark/>
          </w:tcPr>
          <w:p w14:paraId="3A6B1F5F" w14:textId="45F0E632"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352.581</w:t>
            </w:r>
          </w:p>
        </w:tc>
      </w:tr>
      <w:tr w:rsidR="00F71ED9" w:rsidRPr="0003705B" w14:paraId="52A98E8D" w14:textId="77777777" w:rsidTr="006E1AF7">
        <w:trPr>
          <w:trHeight w:val="300"/>
        </w:trPr>
        <w:tc>
          <w:tcPr>
            <w:tcW w:w="4518" w:type="dxa"/>
            <w:tcBorders>
              <w:top w:val="nil"/>
              <w:left w:val="nil"/>
              <w:bottom w:val="nil"/>
              <w:right w:val="nil"/>
            </w:tcBorders>
            <w:shd w:val="clear" w:color="auto" w:fill="auto"/>
            <w:vAlign w:val="center"/>
            <w:hideMark/>
          </w:tcPr>
          <w:p w14:paraId="53115652" w14:textId="77777777"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Activos por impuesto a las ganancias diferido</w:t>
            </w:r>
          </w:p>
        </w:tc>
        <w:tc>
          <w:tcPr>
            <w:tcW w:w="821" w:type="dxa"/>
            <w:tcBorders>
              <w:top w:val="nil"/>
              <w:left w:val="nil"/>
              <w:bottom w:val="nil"/>
              <w:right w:val="nil"/>
            </w:tcBorders>
            <w:shd w:val="clear" w:color="auto" w:fill="auto"/>
            <w:vAlign w:val="center"/>
          </w:tcPr>
          <w:p w14:paraId="5B297BB4" w14:textId="1F8A48C6" w:rsidR="00F71ED9" w:rsidRPr="008940E2" w:rsidRDefault="00A322C5" w:rsidP="00F71ED9">
            <w:pPr>
              <w:jc w:val="center"/>
              <w:rPr>
                <w:rFonts w:ascii="Arial" w:hAnsi="Arial" w:cs="Arial"/>
                <w:sz w:val="16"/>
                <w:szCs w:val="16"/>
                <w:lang w:val="es-ES_tradnl" w:eastAsia="es-AR"/>
              </w:rPr>
            </w:pPr>
            <w:r>
              <w:rPr>
                <w:rFonts w:ascii="Arial" w:hAnsi="Arial" w:cs="Arial"/>
                <w:sz w:val="16"/>
                <w:szCs w:val="16"/>
                <w:lang w:val="es-ES_tradnl" w:eastAsia="es-AR"/>
              </w:rPr>
              <w:t>4</w:t>
            </w:r>
          </w:p>
        </w:tc>
        <w:tc>
          <w:tcPr>
            <w:tcW w:w="1442" w:type="dxa"/>
            <w:tcBorders>
              <w:top w:val="nil"/>
              <w:left w:val="nil"/>
              <w:bottom w:val="nil"/>
              <w:right w:val="nil"/>
            </w:tcBorders>
            <w:shd w:val="clear" w:color="auto" w:fill="auto"/>
            <w:noWrap/>
            <w:vAlign w:val="center"/>
          </w:tcPr>
          <w:p w14:paraId="617B8227" w14:textId="525EF816" w:rsidR="00F71ED9" w:rsidRPr="00F71ED9" w:rsidRDefault="00F71ED9">
            <w:pPr>
              <w:jc w:val="right"/>
              <w:rPr>
                <w:rFonts w:ascii="Arial" w:hAnsi="Arial" w:cs="Arial"/>
                <w:sz w:val="16"/>
                <w:szCs w:val="16"/>
              </w:rPr>
            </w:pPr>
            <w:r w:rsidRPr="006E1AF7">
              <w:rPr>
                <w:rFonts w:ascii="Arial" w:hAnsi="Arial" w:cs="Arial"/>
                <w:sz w:val="16"/>
                <w:szCs w:val="16"/>
              </w:rPr>
              <w:t xml:space="preserve">615.538 </w:t>
            </w:r>
          </w:p>
        </w:tc>
        <w:tc>
          <w:tcPr>
            <w:tcW w:w="1580" w:type="dxa"/>
            <w:tcBorders>
              <w:top w:val="nil"/>
              <w:left w:val="nil"/>
              <w:bottom w:val="nil"/>
              <w:right w:val="nil"/>
            </w:tcBorders>
            <w:shd w:val="clear" w:color="auto" w:fill="auto"/>
            <w:noWrap/>
            <w:vAlign w:val="center"/>
            <w:hideMark/>
          </w:tcPr>
          <w:p w14:paraId="5A3D033C" w14:textId="64EAF7E9"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11.298</w:t>
            </w:r>
          </w:p>
        </w:tc>
      </w:tr>
      <w:tr w:rsidR="00F71ED9" w:rsidRPr="0003705B" w14:paraId="291369EB" w14:textId="77777777" w:rsidTr="006E1AF7">
        <w:trPr>
          <w:trHeight w:val="300"/>
        </w:trPr>
        <w:tc>
          <w:tcPr>
            <w:tcW w:w="4518" w:type="dxa"/>
            <w:tcBorders>
              <w:top w:val="nil"/>
              <w:left w:val="nil"/>
              <w:bottom w:val="nil"/>
              <w:right w:val="nil"/>
            </w:tcBorders>
            <w:shd w:val="clear" w:color="auto" w:fill="auto"/>
            <w:vAlign w:val="center"/>
            <w:hideMark/>
          </w:tcPr>
          <w:p w14:paraId="4DCE8692" w14:textId="77777777" w:rsidR="00F71ED9" w:rsidRPr="0003705B" w:rsidRDefault="00F71ED9" w:rsidP="00F71ED9">
            <w:pPr>
              <w:rPr>
                <w:rFonts w:ascii="Arial" w:hAnsi="Arial" w:cs="Arial"/>
                <w:sz w:val="16"/>
                <w:szCs w:val="16"/>
                <w:lang w:eastAsia="es-AR"/>
              </w:rPr>
            </w:pPr>
            <w:r w:rsidRPr="0003705B">
              <w:rPr>
                <w:rFonts w:ascii="Arial" w:hAnsi="Arial" w:cs="Arial"/>
                <w:sz w:val="16"/>
                <w:szCs w:val="16"/>
                <w:lang w:eastAsia="es-AR"/>
              </w:rPr>
              <w:t>Otros activos no financieros</w:t>
            </w:r>
          </w:p>
        </w:tc>
        <w:tc>
          <w:tcPr>
            <w:tcW w:w="821" w:type="dxa"/>
            <w:tcBorders>
              <w:top w:val="nil"/>
              <w:left w:val="nil"/>
              <w:bottom w:val="nil"/>
              <w:right w:val="nil"/>
            </w:tcBorders>
            <w:shd w:val="clear" w:color="auto" w:fill="auto"/>
            <w:vAlign w:val="center"/>
          </w:tcPr>
          <w:p w14:paraId="070D7698" w14:textId="47192A1D"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6.7</w:t>
            </w:r>
          </w:p>
        </w:tc>
        <w:tc>
          <w:tcPr>
            <w:tcW w:w="1442" w:type="dxa"/>
            <w:tcBorders>
              <w:top w:val="nil"/>
              <w:left w:val="nil"/>
              <w:bottom w:val="nil"/>
              <w:right w:val="nil"/>
            </w:tcBorders>
            <w:shd w:val="clear" w:color="auto" w:fill="auto"/>
            <w:noWrap/>
            <w:vAlign w:val="center"/>
          </w:tcPr>
          <w:p w14:paraId="2A8B59BF" w14:textId="20603764" w:rsidR="00F71ED9" w:rsidRPr="00F71ED9" w:rsidRDefault="00F71ED9">
            <w:pPr>
              <w:jc w:val="right"/>
              <w:rPr>
                <w:rFonts w:ascii="Arial" w:hAnsi="Arial" w:cs="Arial"/>
                <w:sz w:val="16"/>
                <w:szCs w:val="16"/>
              </w:rPr>
            </w:pPr>
            <w:r w:rsidRPr="006E1AF7">
              <w:rPr>
                <w:rFonts w:ascii="Arial" w:hAnsi="Arial" w:cs="Arial"/>
                <w:sz w:val="16"/>
                <w:szCs w:val="16"/>
              </w:rPr>
              <w:t xml:space="preserve">4.649.613 </w:t>
            </w:r>
          </w:p>
        </w:tc>
        <w:tc>
          <w:tcPr>
            <w:tcW w:w="1580" w:type="dxa"/>
            <w:tcBorders>
              <w:top w:val="nil"/>
              <w:left w:val="nil"/>
              <w:bottom w:val="nil"/>
              <w:right w:val="nil"/>
            </w:tcBorders>
            <w:shd w:val="clear" w:color="auto" w:fill="auto"/>
            <w:noWrap/>
            <w:vAlign w:val="center"/>
            <w:hideMark/>
          </w:tcPr>
          <w:p w14:paraId="3EFEB487" w14:textId="2CBA6456"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973.455</w:t>
            </w:r>
          </w:p>
        </w:tc>
      </w:tr>
      <w:tr w:rsidR="00F71ED9" w:rsidRPr="0003705B" w14:paraId="0027809E" w14:textId="77777777" w:rsidTr="006E1AF7">
        <w:trPr>
          <w:trHeight w:val="300"/>
        </w:trPr>
        <w:tc>
          <w:tcPr>
            <w:tcW w:w="4518" w:type="dxa"/>
            <w:tcBorders>
              <w:top w:val="nil"/>
              <w:left w:val="nil"/>
              <w:bottom w:val="nil"/>
              <w:right w:val="nil"/>
            </w:tcBorders>
            <w:shd w:val="clear" w:color="auto" w:fill="auto"/>
            <w:vAlign w:val="center"/>
          </w:tcPr>
          <w:p w14:paraId="7E1FE316" w14:textId="43D3D5A6" w:rsidR="00F71ED9" w:rsidRPr="0003705B" w:rsidRDefault="00F71ED9" w:rsidP="00F71ED9">
            <w:pPr>
              <w:rPr>
                <w:rFonts w:ascii="Arial" w:hAnsi="Arial" w:cs="Arial"/>
                <w:sz w:val="16"/>
                <w:szCs w:val="16"/>
                <w:lang w:eastAsia="es-AR"/>
              </w:rPr>
            </w:pPr>
            <w:r w:rsidRPr="002E1AEA">
              <w:rPr>
                <w:rFonts w:ascii="Arial" w:hAnsi="Arial" w:cs="Arial"/>
                <w:sz w:val="16"/>
                <w:szCs w:val="16"/>
                <w:lang w:eastAsia="es-AR"/>
              </w:rPr>
              <w:t>Activos no corrientes mantenidos para la venta</w:t>
            </w:r>
          </w:p>
        </w:tc>
        <w:tc>
          <w:tcPr>
            <w:tcW w:w="821" w:type="dxa"/>
            <w:tcBorders>
              <w:top w:val="nil"/>
              <w:left w:val="nil"/>
              <w:bottom w:val="nil"/>
              <w:right w:val="nil"/>
            </w:tcBorders>
            <w:shd w:val="clear" w:color="auto" w:fill="auto"/>
            <w:vAlign w:val="center"/>
          </w:tcPr>
          <w:p w14:paraId="2857B5EF" w14:textId="05A812E2" w:rsidR="00F71ED9" w:rsidRPr="008940E2" w:rsidRDefault="00F71ED9" w:rsidP="00F71ED9">
            <w:pPr>
              <w:jc w:val="center"/>
              <w:rPr>
                <w:rFonts w:ascii="Arial" w:hAnsi="Arial" w:cs="Arial"/>
                <w:sz w:val="16"/>
                <w:szCs w:val="16"/>
                <w:lang w:eastAsia="es-AR"/>
              </w:rPr>
            </w:pPr>
          </w:p>
        </w:tc>
        <w:tc>
          <w:tcPr>
            <w:tcW w:w="1442" w:type="dxa"/>
            <w:tcBorders>
              <w:top w:val="nil"/>
              <w:left w:val="nil"/>
              <w:bottom w:val="nil"/>
              <w:right w:val="nil"/>
            </w:tcBorders>
            <w:shd w:val="clear" w:color="auto" w:fill="auto"/>
            <w:noWrap/>
            <w:vAlign w:val="center"/>
          </w:tcPr>
          <w:p w14:paraId="47EB5DE0" w14:textId="2639BCA4" w:rsidR="00F71ED9" w:rsidRPr="00F71ED9" w:rsidRDefault="00F71ED9">
            <w:pPr>
              <w:jc w:val="right"/>
              <w:rPr>
                <w:rFonts w:ascii="Arial" w:hAnsi="Arial" w:cs="Arial"/>
                <w:sz w:val="16"/>
                <w:szCs w:val="16"/>
              </w:rPr>
            </w:pPr>
            <w:r w:rsidRPr="006E1AF7">
              <w:rPr>
                <w:rFonts w:ascii="Arial" w:hAnsi="Arial" w:cs="Arial"/>
                <w:sz w:val="16"/>
                <w:szCs w:val="16"/>
              </w:rPr>
              <w:t xml:space="preserve">- </w:t>
            </w:r>
          </w:p>
        </w:tc>
        <w:tc>
          <w:tcPr>
            <w:tcW w:w="1580" w:type="dxa"/>
            <w:tcBorders>
              <w:top w:val="nil"/>
              <w:left w:val="nil"/>
              <w:bottom w:val="nil"/>
              <w:right w:val="nil"/>
            </w:tcBorders>
            <w:shd w:val="clear" w:color="auto" w:fill="auto"/>
            <w:noWrap/>
            <w:vAlign w:val="center"/>
          </w:tcPr>
          <w:p w14:paraId="2B7D423A" w14:textId="59AB64BD" w:rsidR="00F71ED9" w:rsidRPr="0003705B" w:rsidRDefault="00F71ED9" w:rsidP="00F71ED9">
            <w:pPr>
              <w:jc w:val="right"/>
              <w:rPr>
                <w:rFonts w:ascii="Arial" w:hAnsi="Arial" w:cs="Arial"/>
                <w:sz w:val="16"/>
                <w:szCs w:val="16"/>
                <w:lang w:eastAsia="es-AR"/>
              </w:rPr>
            </w:pPr>
            <w:r w:rsidRPr="002E1AEA">
              <w:rPr>
                <w:rFonts w:ascii="Arial" w:hAnsi="Arial" w:cs="Arial"/>
                <w:sz w:val="16"/>
                <w:szCs w:val="16"/>
              </w:rPr>
              <w:t>2.800</w:t>
            </w:r>
          </w:p>
        </w:tc>
      </w:tr>
      <w:tr w:rsidR="00F71ED9" w:rsidRPr="0003705B" w14:paraId="1DFD823F" w14:textId="77777777" w:rsidTr="006E1AF7">
        <w:trPr>
          <w:trHeight w:val="202"/>
        </w:trPr>
        <w:tc>
          <w:tcPr>
            <w:tcW w:w="4518" w:type="dxa"/>
            <w:tcBorders>
              <w:top w:val="nil"/>
              <w:left w:val="nil"/>
              <w:bottom w:val="nil"/>
              <w:right w:val="nil"/>
            </w:tcBorders>
            <w:shd w:val="clear" w:color="auto" w:fill="auto"/>
            <w:vAlign w:val="center"/>
            <w:hideMark/>
          </w:tcPr>
          <w:p w14:paraId="68D31D2F" w14:textId="77777777" w:rsidR="00F71ED9" w:rsidRPr="0003705B" w:rsidRDefault="00F71ED9" w:rsidP="00F71ED9">
            <w:pPr>
              <w:rPr>
                <w:rFonts w:ascii="Arial" w:hAnsi="Arial" w:cs="Arial"/>
                <w:sz w:val="16"/>
                <w:szCs w:val="16"/>
                <w:lang w:eastAsia="es-AR"/>
              </w:rPr>
            </w:pPr>
          </w:p>
        </w:tc>
        <w:tc>
          <w:tcPr>
            <w:tcW w:w="821" w:type="dxa"/>
            <w:tcBorders>
              <w:top w:val="nil"/>
              <w:left w:val="nil"/>
              <w:bottom w:val="nil"/>
              <w:right w:val="nil"/>
            </w:tcBorders>
            <w:shd w:val="clear" w:color="auto" w:fill="auto"/>
            <w:vAlign w:val="center"/>
            <w:hideMark/>
          </w:tcPr>
          <w:p w14:paraId="0613727D" w14:textId="77777777" w:rsidR="00F71ED9" w:rsidRPr="0003705B" w:rsidRDefault="00F71ED9" w:rsidP="00F71ED9">
            <w:pPr>
              <w:rPr>
                <w:rFonts w:ascii="Arial" w:hAnsi="Arial" w:cs="Arial"/>
                <w:sz w:val="16"/>
                <w:szCs w:val="16"/>
                <w:lang w:eastAsia="es-AR"/>
              </w:rPr>
            </w:pPr>
          </w:p>
        </w:tc>
        <w:tc>
          <w:tcPr>
            <w:tcW w:w="1442" w:type="dxa"/>
            <w:tcBorders>
              <w:top w:val="nil"/>
              <w:left w:val="nil"/>
              <w:bottom w:val="single" w:sz="4" w:space="0" w:color="auto"/>
              <w:right w:val="nil"/>
            </w:tcBorders>
            <w:shd w:val="clear" w:color="auto" w:fill="auto"/>
            <w:noWrap/>
            <w:vAlign w:val="center"/>
          </w:tcPr>
          <w:p w14:paraId="331BD3CB" w14:textId="7A98E8E8" w:rsidR="00F71ED9" w:rsidRPr="00F71ED9" w:rsidRDefault="00F71ED9">
            <w:pPr>
              <w:jc w:val="right"/>
              <w:rPr>
                <w:rFonts w:ascii="Arial" w:hAnsi="Arial" w:cs="Arial"/>
                <w:sz w:val="16"/>
                <w:szCs w:val="16"/>
              </w:rPr>
            </w:pPr>
          </w:p>
        </w:tc>
        <w:tc>
          <w:tcPr>
            <w:tcW w:w="1580" w:type="dxa"/>
            <w:tcBorders>
              <w:top w:val="nil"/>
              <w:left w:val="nil"/>
              <w:bottom w:val="single" w:sz="4" w:space="0" w:color="auto"/>
              <w:right w:val="nil"/>
            </w:tcBorders>
            <w:shd w:val="clear" w:color="auto" w:fill="auto"/>
            <w:noWrap/>
            <w:vAlign w:val="center"/>
            <w:hideMark/>
          </w:tcPr>
          <w:p w14:paraId="4D98D6EE" w14:textId="77777777" w:rsidR="00F71ED9" w:rsidRPr="0003705B" w:rsidRDefault="00F71ED9" w:rsidP="00F71ED9">
            <w:pPr>
              <w:jc w:val="right"/>
              <w:rPr>
                <w:rFonts w:ascii="Arial" w:hAnsi="Arial" w:cs="Arial"/>
                <w:sz w:val="16"/>
                <w:szCs w:val="16"/>
                <w:lang w:eastAsia="es-AR"/>
              </w:rPr>
            </w:pPr>
          </w:p>
        </w:tc>
      </w:tr>
      <w:tr w:rsidR="00F71ED9" w:rsidRPr="0003705B" w14:paraId="1A631D15" w14:textId="77777777" w:rsidTr="006E1AF7">
        <w:trPr>
          <w:trHeight w:val="300"/>
        </w:trPr>
        <w:tc>
          <w:tcPr>
            <w:tcW w:w="4518" w:type="dxa"/>
            <w:tcBorders>
              <w:top w:val="nil"/>
              <w:left w:val="nil"/>
              <w:bottom w:val="nil"/>
              <w:right w:val="nil"/>
            </w:tcBorders>
            <w:shd w:val="clear" w:color="auto" w:fill="auto"/>
            <w:vAlign w:val="center"/>
            <w:hideMark/>
          </w:tcPr>
          <w:p w14:paraId="217A7FEF" w14:textId="77777777" w:rsidR="00F71ED9" w:rsidRPr="0003705B" w:rsidRDefault="00F71ED9" w:rsidP="00F71ED9">
            <w:pPr>
              <w:rPr>
                <w:rFonts w:ascii="Arial" w:hAnsi="Arial" w:cs="Arial"/>
                <w:b/>
                <w:bCs/>
                <w:sz w:val="16"/>
                <w:szCs w:val="16"/>
                <w:lang w:eastAsia="es-AR"/>
              </w:rPr>
            </w:pPr>
            <w:r w:rsidRPr="0003705B">
              <w:rPr>
                <w:rFonts w:ascii="Arial" w:hAnsi="Arial" w:cs="Arial"/>
                <w:b/>
                <w:bCs/>
                <w:sz w:val="16"/>
                <w:szCs w:val="16"/>
                <w:lang w:eastAsia="es-AR"/>
              </w:rPr>
              <w:t>TOTAL DEL ACTIVO</w:t>
            </w:r>
          </w:p>
        </w:tc>
        <w:tc>
          <w:tcPr>
            <w:tcW w:w="821" w:type="dxa"/>
            <w:tcBorders>
              <w:top w:val="nil"/>
              <w:left w:val="nil"/>
              <w:bottom w:val="nil"/>
              <w:right w:val="nil"/>
            </w:tcBorders>
            <w:shd w:val="clear" w:color="auto" w:fill="auto"/>
            <w:vAlign w:val="center"/>
            <w:hideMark/>
          </w:tcPr>
          <w:p w14:paraId="738AAD84" w14:textId="77777777" w:rsidR="00F71ED9" w:rsidRPr="0003705B" w:rsidRDefault="00F71ED9" w:rsidP="00F71ED9">
            <w:pPr>
              <w:rPr>
                <w:rFonts w:ascii="Arial" w:hAnsi="Arial" w:cs="Arial"/>
                <w:b/>
                <w:bCs/>
                <w:sz w:val="16"/>
                <w:szCs w:val="16"/>
                <w:lang w:eastAsia="es-AR"/>
              </w:rPr>
            </w:pPr>
          </w:p>
        </w:tc>
        <w:tc>
          <w:tcPr>
            <w:tcW w:w="1442" w:type="dxa"/>
            <w:tcBorders>
              <w:top w:val="single" w:sz="4" w:space="0" w:color="auto"/>
              <w:left w:val="nil"/>
              <w:bottom w:val="single" w:sz="4" w:space="0" w:color="auto"/>
              <w:right w:val="nil"/>
            </w:tcBorders>
            <w:shd w:val="clear" w:color="auto" w:fill="auto"/>
            <w:noWrap/>
            <w:vAlign w:val="center"/>
          </w:tcPr>
          <w:p w14:paraId="2A2F9BEA" w14:textId="100693BB" w:rsidR="00F71ED9" w:rsidRPr="00F71ED9" w:rsidRDefault="00F71ED9">
            <w:pPr>
              <w:jc w:val="right"/>
              <w:rPr>
                <w:rFonts w:ascii="Arial" w:hAnsi="Arial" w:cs="Arial"/>
                <w:b/>
                <w:sz w:val="16"/>
                <w:szCs w:val="16"/>
              </w:rPr>
            </w:pPr>
            <w:r w:rsidRPr="006E1AF7">
              <w:rPr>
                <w:rFonts w:ascii="Arial" w:hAnsi="Arial" w:cs="Arial"/>
                <w:b/>
                <w:bCs/>
                <w:sz w:val="16"/>
                <w:szCs w:val="16"/>
              </w:rPr>
              <w:t xml:space="preserve">137.930.368 </w:t>
            </w:r>
          </w:p>
        </w:tc>
        <w:tc>
          <w:tcPr>
            <w:tcW w:w="1580" w:type="dxa"/>
            <w:tcBorders>
              <w:top w:val="single" w:sz="4" w:space="0" w:color="auto"/>
              <w:left w:val="nil"/>
              <w:bottom w:val="single" w:sz="4" w:space="0" w:color="auto"/>
              <w:right w:val="nil"/>
            </w:tcBorders>
            <w:shd w:val="clear" w:color="auto" w:fill="auto"/>
            <w:noWrap/>
            <w:vAlign w:val="center"/>
            <w:hideMark/>
          </w:tcPr>
          <w:p w14:paraId="7F7D1654" w14:textId="219DE4B3" w:rsidR="00F71ED9" w:rsidRPr="0003705B" w:rsidRDefault="00F71ED9" w:rsidP="00F71ED9">
            <w:pPr>
              <w:jc w:val="right"/>
              <w:rPr>
                <w:rFonts w:ascii="Arial" w:hAnsi="Arial" w:cs="Arial"/>
                <w:b/>
                <w:bCs/>
                <w:sz w:val="16"/>
                <w:szCs w:val="16"/>
                <w:lang w:eastAsia="es-AR"/>
              </w:rPr>
            </w:pPr>
            <w:r w:rsidRPr="002E1AEA">
              <w:rPr>
                <w:rFonts w:ascii="Arial" w:hAnsi="Arial" w:cs="Arial"/>
                <w:b/>
                <w:bCs/>
                <w:sz w:val="16"/>
                <w:szCs w:val="16"/>
              </w:rPr>
              <w:t>132.754.804</w:t>
            </w:r>
          </w:p>
        </w:tc>
      </w:tr>
    </w:tbl>
    <w:p w14:paraId="5F834610" w14:textId="1B6679D2" w:rsidR="00EC2B51" w:rsidRPr="00701F32" w:rsidRDefault="002B2055">
      <w:pPr>
        <w:pStyle w:val="Encabezado"/>
        <w:jc w:val="center"/>
        <w:rPr>
          <w:sz w:val="20"/>
          <w:lang w:eastAsia="es-AR"/>
        </w:rPr>
      </w:pPr>
      <w:r w:rsidRPr="00701F32">
        <w:rPr>
          <w:sz w:val="20"/>
          <w:lang w:eastAsia="es-AR"/>
        </w:rPr>
        <w:t xml:space="preserve"> </w:t>
      </w:r>
    </w:p>
    <w:p w14:paraId="4A23B020" w14:textId="77777777" w:rsidR="00D24C22" w:rsidRPr="00701F32" w:rsidRDefault="00D24C22" w:rsidP="00FB4E04">
      <w:pPr>
        <w:pStyle w:val="Encabezado"/>
        <w:rPr>
          <w:rFonts w:ascii="Arial" w:hAnsi="Arial" w:cs="Arial"/>
          <w:b/>
          <w:szCs w:val="24"/>
          <w:lang w:val="es-ES_tradnl"/>
        </w:rPr>
      </w:pPr>
    </w:p>
    <w:p w14:paraId="56288D12" w14:textId="77777777" w:rsidR="00D24C22" w:rsidRPr="00701F32" w:rsidRDefault="00D24C22" w:rsidP="00FB4E04">
      <w:pPr>
        <w:pStyle w:val="Encabezado"/>
        <w:rPr>
          <w:rFonts w:ascii="Arial" w:hAnsi="Arial" w:cs="Arial"/>
          <w:b/>
          <w:szCs w:val="24"/>
          <w:lang w:val="es-ES_tradnl"/>
        </w:rPr>
      </w:pPr>
    </w:p>
    <w:p w14:paraId="4958FB04" w14:textId="77777777" w:rsidR="00A6292B" w:rsidRPr="00A6292B" w:rsidRDefault="007A4B5A" w:rsidP="00FB4E04">
      <w:pPr>
        <w:pStyle w:val="Encabezado"/>
        <w:rPr>
          <w:rFonts w:ascii="Arial" w:hAnsi="Arial" w:cs="Arial"/>
          <w:b/>
          <w:sz w:val="10"/>
          <w:szCs w:val="10"/>
          <w:lang w:val="es-ES_tradnl"/>
        </w:rPr>
      </w:pPr>
      <w:r w:rsidRPr="00A6292B">
        <w:rPr>
          <w:rFonts w:ascii="Arial" w:hAnsi="Arial" w:cs="Arial"/>
          <w:b/>
          <w:sz w:val="10"/>
          <w:szCs w:val="10"/>
          <w:lang w:val="es-ES_tradnl"/>
        </w:rPr>
        <w:t xml:space="preserve"> </w:t>
      </w:r>
    </w:p>
    <w:tbl>
      <w:tblPr>
        <w:tblW w:w="4878" w:type="pct"/>
        <w:tblCellMar>
          <w:left w:w="70" w:type="dxa"/>
          <w:right w:w="70" w:type="dxa"/>
        </w:tblCellMar>
        <w:tblLook w:val="04A0" w:firstRow="1" w:lastRow="0" w:firstColumn="1" w:lastColumn="0" w:noHBand="0" w:noVBand="1"/>
      </w:tblPr>
      <w:tblGrid>
        <w:gridCol w:w="4408"/>
        <w:gridCol w:w="766"/>
        <w:gridCol w:w="1813"/>
        <w:gridCol w:w="1447"/>
      </w:tblGrid>
      <w:tr w:rsidR="0083616E" w:rsidRPr="00A6292B" w14:paraId="551A5AC9" w14:textId="77777777" w:rsidTr="006E1AF7">
        <w:trPr>
          <w:trHeight w:val="595"/>
        </w:trPr>
        <w:tc>
          <w:tcPr>
            <w:tcW w:w="2613"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5A2A9EF" w14:textId="77777777" w:rsidR="0083616E" w:rsidRPr="00A6292B" w:rsidRDefault="0083616E" w:rsidP="00A6292B">
            <w:pPr>
              <w:jc w:val="center"/>
              <w:rPr>
                <w:rFonts w:ascii="Arial" w:hAnsi="Arial" w:cs="Arial"/>
                <w:b/>
                <w:bCs/>
                <w:sz w:val="16"/>
                <w:szCs w:val="16"/>
                <w:lang w:eastAsia="es-AR"/>
              </w:rPr>
            </w:pPr>
            <w:r w:rsidRPr="00A6292B">
              <w:rPr>
                <w:rFonts w:ascii="Arial" w:hAnsi="Arial" w:cs="Arial"/>
                <w:b/>
                <w:bCs/>
                <w:sz w:val="16"/>
                <w:szCs w:val="16"/>
                <w:lang w:eastAsia="es-AR"/>
              </w:rPr>
              <w:t>Conceptos</w:t>
            </w:r>
          </w:p>
        </w:tc>
        <w:tc>
          <w:tcPr>
            <w:tcW w:w="454"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C5E1BB9" w14:textId="77777777" w:rsidR="0083616E" w:rsidRPr="00A6292B" w:rsidRDefault="0083616E" w:rsidP="00A6292B">
            <w:pPr>
              <w:jc w:val="center"/>
              <w:rPr>
                <w:rFonts w:ascii="Arial" w:hAnsi="Arial" w:cs="Arial"/>
                <w:b/>
                <w:bCs/>
                <w:sz w:val="16"/>
                <w:szCs w:val="16"/>
                <w:lang w:eastAsia="es-AR"/>
              </w:rPr>
            </w:pPr>
            <w:r w:rsidRPr="00A6292B">
              <w:rPr>
                <w:rFonts w:ascii="Arial" w:hAnsi="Arial" w:cs="Arial"/>
                <w:b/>
                <w:bCs/>
                <w:sz w:val="16"/>
                <w:szCs w:val="16"/>
                <w:lang w:eastAsia="es-AR"/>
              </w:rPr>
              <w:t>Notas</w:t>
            </w:r>
          </w:p>
        </w:tc>
        <w:tc>
          <w:tcPr>
            <w:tcW w:w="1075"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0796C585" w14:textId="4FBA1E70" w:rsidR="0083616E" w:rsidRDefault="003C2633" w:rsidP="00BD3EC5">
            <w:pPr>
              <w:jc w:val="center"/>
              <w:rPr>
                <w:rFonts w:ascii="Arial" w:hAnsi="Arial" w:cs="Arial"/>
                <w:b/>
                <w:bCs/>
                <w:sz w:val="16"/>
                <w:szCs w:val="16"/>
                <w:lang w:eastAsia="es-AR"/>
              </w:rPr>
            </w:pPr>
            <w:r>
              <w:rPr>
                <w:rFonts w:ascii="Arial" w:hAnsi="Arial" w:cs="Arial"/>
                <w:b/>
                <w:bCs/>
                <w:sz w:val="16"/>
                <w:szCs w:val="16"/>
                <w:lang w:eastAsia="es-AR"/>
              </w:rPr>
              <w:t>3</w:t>
            </w:r>
            <w:r w:rsidR="002D0A6E">
              <w:rPr>
                <w:rFonts w:ascii="Arial" w:hAnsi="Arial" w:cs="Arial"/>
                <w:b/>
                <w:bCs/>
                <w:sz w:val="16"/>
                <w:szCs w:val="16"/>
                <w:lang w:eastAsia="es-AR"/>
              </w:rPr>
              <w:t>1</w:t>
            </w:r>
            <w:r>
              <w:rPr>
                <w:rFonts w:ascii="Arial" w:hAnsi="Arial" w:cs="Arial"/>
                <w:b/>
                <w:bCs/>
                <w:sz w:val="16"/>
                <w:szCs w:val="16"/>
                <w:lang w:eastAsia="es-AR"/>
              </w:rPr>
              <w:t>/</w:t>
            </w:r>
            <w:r w:rsidR="002D0A6E">
              <w:rPr>
                <w:rFonts w:ascii="Arial" w:hAnsi="Arial" w:cs="Arial"/>
                <w:b/>
                <w:bCs/>
                <w:sz w:val="16"/>
                <w:szCs w:val="16"/>
                <w:lang w:eastAsia="es-AR"/>
              </w:rPr>
              <w:t>12</w:t>
            </w:r>
            <w:r>
              <w:rPr>
                <w:rFonts w:ascii="Arial" w:hAnsi="Arial" w:cs="Arial"/>
                <w:b/>
                <w:bCs/>
                <w:sz w:val="16"/>
                <w:szCs w:val="16"/>
                <w:lang w:eastAsia="es-AR"/>
              </w:rPr>
              <w:t>/2019</w:t>
            </w:r>
          </w:p>
        </w:tc>
        <w:tc>
          <w:tcPr>
            <w:tcW w:w="858"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415A899C" w14:textId="6E1DC837" w:rsidR="0083616E" w:rsidRPr="00A6292B" w:rsidRDefault="0083616E" w:rsidP="00A6292B">
            <w:pPr>
              <w:jc w:val="center"/>
              <w:rPr>
                <w:rFonts w:ascii="Arial" w:hAnsi="Arial" w:cs="Arial"/>
                <w:b/>
                <w:bCs/>
                <w:sz w:val="16"/>
                <w:szCs w:val="16"/>
                <w:lang w:eastAsia="es-AR"/>
              </w:rPr>
            </w:pPr>
            <w:r>
              <w:rPr>
                <w:rFonts w:ascii="Arial" w:hAnsi="Arial" w:cs="Arial"/>
                <w:b/>
                <w:bCs/>
                <w:sz w:val="16"/>
                <w:szCs w:val="16"/>
                <w:lang w:eastAsia="es-AR"/>
              </w:rPr>
              <w:t>31</w:t>
            </w:r>
            <w:r w:rsidRPr="00A6292B">
              <w:rPr>
                <w:rFonts w:ascii="Arial" w:hAnsi="Arial" w:cs="Arial"/>
                <w:b/>
                <w:bCs/>
                <w:sz w:val="16"/>
                <w:szCs w:val="16"/>
                <w:lang w:eastAsia="es-AR"/>
              </w:rPr>
              <w:t>/</w:t>
            </w:r>
            <w:r>
              <w:rPr>
                <w:rFonts w:ascii="Arial" w:hAnsi="Arial" w:cs="Arial"/>
                <w:b/>
                <w:bCs/>
                <w:sz w:val="16"/>
                <w:szCs w:val="16"/>
                <w:lang w:eastAsia="es-AR"/>
              </w:rPr>
              <w:t>12</w:t>
            </w:r>
            <w:r w:rsidRPr="00A6292B">
              <w:rPr>
                <w:rFonts w:ascii="Arial" w:hAnsi="Arial" w:cs="Arial"/>
                <w:b/>
                <w:bCs/>
                <w:sz w:val="16"/>
                <w:szCs w:val="16"/>
                <w:lang w:eastAsia="es-AR"/>
              </w:rPr>
              <w:t>/2018</w:t>
            </w:r>
          </w:p>
        </w:tc>
      </w:tr>
      <w:tr w:rsidR="0083616E" w:rsidRPr="00A6292B" w14:paraId="2B55B49F" w14:textId="77777777" w:rsidTr="006E1AF7">
        <w:trPr>
          <w:trHeight w:val="185"/>
        </w:trPr>
        <w:tc>
          <w:tcPr>
            <w:tcW w:w="2613" w:type="pct"/>
            <w:tcBorders>
              <w:top w:val="nil"/>
              <w:left w:val="nil"/>
              <w:bottom w:val="nil"/>
              <w:right w:val="nil"/>
            </w:tcBorders>
            <w:shd w:val="clear" w:color="auto" w:fill="auto"/>
            <w:vAlign w:val="center"/>
            <w:hideMark/>
          </w:tcPr>
          <w:p w14:paraId="454B1CD8" w14:textId="77777777" w:rsidR="0083616E" w:rsidRPr="00A6292B" w:rsidRDefault="0083616E" w:rsidP="00A6292B">
            <w:pPr>
              <w:jc w:val="center"/>
              <w:rPr>
                <w:rFonts w:ascii="Arial" w:hAnsi="Arial" w:cs="Arial"/>
                <w:b/>
                <w:bCs/>
                <w:sz w:val="10"/>
                <w:szCs w:val="10"/>
                <w:lang w:eastAsia="es-AR"/>
              </w:rPr>
            </w:pPr>
            <w:r w:rsidRPr="00A6292B">
              <w:rPr>
                <w:rFonts w:ascii="Arial" w:hAnsi="Arial" w:cs="Arial"/>
                <w:b/>
                <w:bCs/>
                <w:sz w:val="10"/>
                <w:szCs w:val="10"/>
                <w:lang w:eastAsia="es-AR"/>
              </w:rPr>
              <w:t> </w:t>
            </w:r>
          </w:p>
        </w:tc>
        <w:tc>
          <w:tcPr>
            <w:tcW w:w="454" w:type="pct"/>
            <w:tcBorders>
              <w:top w:val="nil"/>
              <w:left w:val="nil"/>
              <w:bottom w:val="nil"/>
              <w:right w:val="nil"/>
            </w:tcBorders>
            <w:shd w:val="clear" w:color="auto" w:fill="auto"/>
            <w:vAlign w:val="center"/>
            <w:hideMark/>
          </w:tcPr>
          <w:p w14:paraId="6D9E7683" w14:textId="0C71EDA7" w:rsidR="0083616E" w:rsidRPr="00A6292B" w:rsidRDefault="0083616E" w:rsidP="00A6292B">
            <w:pPr>
              <w:jc w:val="center"/>
              <w:rPr>
                <w:rFonts w:ascii="Arial" w:hAnsi="Arial" w:cs="Arial"/>
                <w:b/>
                <w:bCs/>
                <w:sz w:val="10"/>
                <w:szCs w:val="10"/>
                <w:lang w:eastAsia="es-AR"/>
              </w:rPr>
            </w:pPr>
          </w:p>
        </w:tc>
        <w:tc>
          <w:tcPr>
            <w:tcW w:w="1075" w:type="pct"/>
            <w:tcBorders>
              <w:top w:val="single" w:sz="4" w:space="0" w:color="363639"/>
              <w:left w:val="nil"/>
              <w:bottom w:val="nil"/>
              <w:right w:val="nil"/>
            </w:tcBorders>
          </w:tcPr>
          <w:p w14:paraId="07E0A765" w14:textId="77777777" w:rsidR="0083616E" w:rsidRPr="00A6292B" w:rsidRDefault="0083616E" w:rsidP="00A6292B">
            <w:pPr>
              <w:jc w:val="center"/>
              <w:rPr>
                <w:rFonts w:ascii="Arial" w:hAnsi="Arial" w:cs="Arial"/>
                <w:color w:val="000000"/>
                <w:sz w:val="10"/>
                <w:szCs w:val="10"/>
                <w:lang w:eastAsia="es-AR"/>
              </w:rPr>
            </w:pPr>
          </w:p>
        </w:tc>
        <w:tc>
          <w:tcPr>
            <w:tcW w:w="858" w:type="pct"/>
            <w:tcBorders>
              <w:top w:val="nil"/>
              <w:left w:val="nil"/>
              <w:bottom w:val="nil"/>
              <w:right w:val="nil"/>
            </w:tcBorders>
            <w:shd w:val="clear" w:color="auto" w:fill="auto"/>
            <w:noWrap/>
            <w:vAlign w:val="center"/>
            <w:hideMark/>
          </w:tcPr>
          <w:p w14:paraId="73357CF1" w14:textId="1CFF4401" w:rsidR="0083616E" w:rsidRPr="00A6292B" w:rsidRDefault="0083616E" w:rsidP="00A6292B">
            <w:pPr>
              <w:jc w:val="center"/>
              <w:rPr>
                <w:rFonts w:ascii="Arial" w:hAnsi="Arial" w:cs="Arial"/>
                <w:color w:val="000000"/>
                <w:sz w:val="10"/>
                <w:szCs w:val="10"/>
                <w:lang w:eastAsia="es-AR"/>
              </w:rPr>
            </w:pPr>
            <w:r w:rsidRPr="00A6292B">
              <w:rPr>
                <w:rFonts w:ascii="Arial" w:hAnsi="Arial" w:cs="Arial"/>
                <w:color w:val="000000"/>
                <w:sz w:val="10"/>
                <w:szCs w:val="10"/>
                <w:lang w:eastAsia="es-AR"/>
              </w:rPr>
              <w:t> </w:t>
            </w:r>
          </w:p>
        </w:tc>
      </w:tr>
      <w:tr w:rsidR="0083616E" w:rsidRPr="00A6292B" w14:paraId="4E9CB7A3" w14:textId="77777777" w:rsidTr="006E1AF7">
        <w:trPr>
          <w:trHeight w:val="285"/>
        </w:trPr>
        <w:tc>
          <w:tcPr>
            <w:tcW w:w="2613" w:type="pct"/>
            <w:tcBorders>
              <w:top w:val="nil"/>
              <w:left w:val="nil"/>
              <w:bottom w:val="nil"/>
              <w:right w:val="nil"/>
            </w:tcBorders>
            <w:shd w:val="clear" w:color="auto" w:fill="auto"/>
            <w:hideMark/>
          </w:tcPr>
          <w:p w14:paraId="11FF1281" w14:textId="77777777" w:rsidR="0083616E" w:rsidRPr="00A6292B" w:rsidRDefault="0083616E" w:rsidP="00A6292B">
            <w:pPr>
              <w:rPr>
                <w:rFonts w:ascii="Arial" w:hAnsi="Arial" w:cs="Arial"/>
                <w:b/>
                <w:bCs/>
                <w:sz w:val="16"/>
                <w:szCs w:val="16"/>
                <w:lang w:eastAsia="es-AR"/>
              </w:rPr>
            </w:pPr>
            <w:r w:rsidRPr="00A6292B">
              <w:rPr>
                <w:rFonts w:ascii="Arial" w:hAnsi="Arial" w:cs="Arial"/>
                <w:b/>
                <w:bCs/>
                <w:sz w:val="16"/>
                <w:szCs w:val="16"/>
                <w:lang w:eastAsia="es-AR"/>
              </w:rPr>
              <w:t>PASIVO</w:t>
            </w:r>
          </w:p>
        </w:tc>
        <w:tc>
          <w:tcPr>
            <w:tcW w:w="454" w:type="pct"/>
            <w:tcBorders>
              <w:top w:val="nil"/>
              <w:left w:val="nil"/>
              <w:bottom w:val="nil"/>
              <w:right w:val="nil"/>
            </w:tcBorders>
            <w:shd w:val="clear" w:color="auto" w:fill="auto"/>
            <w:hideMark/>
          </w:tcPr>
          <w:p w14:paraId="01759112" w14:textId="77777777" w:rsidR="0083616E" w:rsidRPr="00A6292B" w:rsidRDefault="0083616E" w:rsidP="00A6292B">
            <w:pPr>
              <w:jc w:val="center"/>
              <w:rPr>
                <w:rFonts w:ascii="Arial" w:hAnsi="Arial" w:cs="Arial"/>
                <w:b/>
                <w:bCs/>
                <w:sz w:val="16"/>
                <w:szCs w:val="16"/>
                <w:lang w:eastAsia="es-AR"/>
              </w:rPr>
            </w:pPr>
          </w:p>
        </w:tc>
        <w:tc>
          <w:tcPr>
            <w:tcW w:w="1075" w:type="pct"/>
            <w:tcBorders>
              <w:top w:val="nil"/>
              <w:left w:val="nil"/>
              <w:bottom w:val="nil"/>
              <w:right w:val="nil"/>
            </w:tcBorders>
          </w:tcPr>
          <w:p w14:paraId="380FB266" w14:textId="77777777" w:rsidR="0083616E" w:rsidRPr="00A6292B" w:rsidRDefault="0083616E" w:rsidP="00A6292B">
            <w:pPr>
              <w:jc w:val="center"/>
              <w:rPr>
                <w:rFonts w:ascii="Arial" w:hAnsi="Arial" w:cs="Arial"/>
                <w:sz w:val="16"/>
                <w:szCs w:val="16"/>
                <w:lang w:eastAsia="es-AR"/>
              </w:rPr>
            </w:pPr>
          </w:p>
        </w:tc>
        <w:tc>
          <w:tcPr>
            <w:tcW w:w="858" w:type="pct"/>
            <w:tcBorders>
              <w:top w:val="nil"/>
              <w:left w:val="nil"/>
              <w:bottom w:val="nil"/>
              <w:right w:val="nil"/>
            </w:tcBorders>
            <w:shd w:val="clear" w:color="auto" w:fill="auto"/>
            <w:hideMark/>
          </w:tcPr>
          <w:p w14:paraId="164B077B" w14:textId="508276AD" w:rsidR="0083616E" w:rsidRPr="00A6292B" w:rsidRDefault="0083616E" w:rsidP="00A6292B">
            <w:pPr>
              <w:jc w:val="center"/>
              <w:rPr>
                <w:rFonts w:ascii="Arial" w:hAnsi="Arial" w:cs="Arial"/>
                <w:sz w:val="16"/>
                <w:szCs w:val="16"/>
                <w:lang w:eastAsia="es-AR"/>
              </w:rPr>
            </w:pPr>
          </w:p>
        </w:tc>
      </w:tr>
      <w:tr w:rsidR="00F71ED9" w:rsidRPr="00A6292B" w14:paraId="77BAF614" w14:textId="77777777" w:rsidTr="006E1AF7">
        <w:trPr>
          <w:trHeight w:val="285"/>
        </w:trPr>
        <w:tc>
          <w:tcPr>
            <w:tcW w:w="2613" w:type="pct"/>
            <w:tcBorders>
              <w:top w:val="nil"/>
              <w:left w:val="nil"/>
              <w:bottom w:val="nil"/>
              <w:right w:val="nil"/>
            </w:tcBorders>
            <w:shd w:val="clear" w:color="auto" w:fill="auto"/>
            <w:vAlign w:val="center"/>
            <w:hideMark/>
          </w:tcPr>
          <w:p w14:paraId="6D3DD04A" w14:textId="04842919" w:rsidR="00F71ED9" w:rsidRPr="00A6292B" w:rsidRDefault="00F71ED9" w:rsidP="00F71ED9">
            <w:pPr>
              <w:rPr>
                <w:rFonts w:ascii="Arial" w:hAnsi="Arial" w:cs="Arial"/>
                <w:sz w:val="16"/>
                <w:szCs w:val="16"/>
                <w:lang w:eastAsia="es-AR"/>
              </w:rPr>
            </w:pPr>
            <w:r w:rsidRPr="00A6292B">
              <w:rPr>
                <w:rFonts w:ascii="Arial" w:hAnsi="Arial" w:cs="Arial"/>
                <w:sz w:val="16"/>
                <w:szCs w:val="16"/>
                <w:lang w:eastAsia="es-AR"/>
              </w:rPr>
              <w:t xml:space="preserve">Depósitos </w:t>
            </w:r>
            <w:r w:rsidRPr="00A6292B">
              <w:rPr>
                <w:rFonts w:ascii="Arial" w:hAnsi="Arial" w:cs="Arial"/>
                <w:b/>
                <w:bCs/>
                <w:sz w:val="16"/>
                <w:szCs w:val="16"/>
                <w:lang w:eastAsia="es-AR"/>
              </w:rPr>
              <w:t>(Anexos H</w:t>
            </w:r>
            <w:r>
              <w:rPr>
                <w:rFonts w:ascii="Arial" w:hAnsi="Arial" w:cs="Arial"/>
                <w:b/>
                <w:bCs/>
                <w:sz w:val="16"/>
                <w:szCs w:val="16"/>
                <w:lang w:eastAsia="es-AR"/>
              </w:rPr>
              <w:t>, I y P</w:t>
            </w:r>
            <w:r w:rsidRPr="00A6292B">
              <w:rPr>
                <w:rFonts w:ascii="Arial" w:hAnsi="Arial" w:cs="Arial"/>
                <w:b/>
                <w:bCs/>
                <w:sz w:val="16"/>
                <w:szCs w:val="16"/>
                <w:lang w:eastAsia="es-AR"/>
              </w:rPr>
              <w:t>)</w:t>
            </w:r>
          </w:p>
        </w:tc>
        <w:tc>
          <w:tcPr>
            <w:tcW w:w="454" w:type="pct"/>
            <w:tcBorders>
              <w:top w:val="nil"/>
              <w:left w:val="nil"/>
              <w:bottom w:val="nil"/>
              <w:right w:val="nil"/>
            </w:tcBorders>
            <w:shd w:val="clear" w:color="auto" w:fill="auto"/>
          </w:tcPr>
          <w:p w14:paraId="776C8C2F" w14:textId="6526C92E" w:rsidR="00F71ED9" w:rsidRPr="002D0A6E" w:rsidRDefault="00F71ED9" w:rsidP="00F71ED9">
            <w:pPr>
              <w:jc w:val="center"/>
              <w:rPr>
                <w:rFonts w:ascii="Arial" w:hAnsi="Arial" w:cs="Arial"/>
                <w:sz w:val="16"/>
                <w:szCs w:val="16"/>
                <w:highlight w:val="yellow"/>
                <w:lang w:eastAsia="es-AR"/>
              </w:rPr>
            </w:pPr>
            <w:r>
              <w:rPr>
                <w:rFonts w:ascii="Arial" w:hAnsi="Arial" w:cs="Arial"/>
                <w:sz w:val="16"/>
                <w:szCs w:val="16"/>
                <w:lang w:eastAsia="es-AR"/>
              </w:rPr>
              <w:t>6.8</w:t>
            </w:r>
          </w:p>
        </w:tc>
        <w:tc>
          <w:tcPr>
            <w:tcW w:w="1075" w:type="pct"/>
            <w:tcBorders>
              <w:top w:val="nil"/>
              <w:left w:val="nil"/>
              <w:bottom w:val="nil"/>
              <w:right w:val="nil"/>
            </w:tcBorders>
            <w:vAlign w:val="center"/>
          </w:tcPr>
          <w:p w14:paraId="0A587D0E" w14:textId="675E3097" w:rsidR="00F71ED9" w:rsidRPr="00F71ED9" w:rsidRDefault="00F71ED9">
            <w:pPr>
              <w:jc w:val="right"/>
              <w:rPr>
                <w:rFonts w:ascii="Arial" w:hAnsi="Arial" w:cs="Arial"/>
                <w:sz w:val="16"/>
                <w:szCs w:val="16"/>
              </w:rPr>
            </w:pPr>
            <w:r w:rsidRPr="006E1AF7">
              <w:rPr>
                <w:rFonts w:ascii="Arial" w:hAnsi="Arial" w:cs="Arial"/>
                <w:sz w:val="16"/>
                <w:szCs w:val="16"/>
              </w:rPr>
              <w:t xml:space="preserve">89.737.069 </w:t>
            </w:r>
          </w:p>
        </w:tc>
        <w:tc>
          <w:tcPr>
            <w:tcW w:w="858" w:type="pct"/>
            <w:tcBorders>
              <w:top w:val="nil"/>
              <w:left w:val="nil"/>
              <w:bottom w:val="nil"/>
              <w:right w:val="nil"/>
            </w:tcBorders>
            <w:shd w:val="clear" w:color="auto" w:fill="auto"/>
            <w:noWrap/>
            <w:vAlign w:val="center"/>
          </w:tcPr>
          <w:p w14:paraId="1A4AD718" w14:textId="4D3BCDF1"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94.025.078</w:t>
            </w:r>
          </w:p>
        </w:tc>
      </w:tr>
      <w:tr w:rsidR="00F71ED9" w:rsidRPr="00A6292B" w14:paraId="0938C975" w14:textId="77777777" w:rsidTr="006E1AF7">
        <w:trPr>
          <w:trHeight w:val="285"/>
        </w:trPr>
        <w:tc>
          <w:tcPr>
            <w:tcW w:w="2613" w:type="pct"/>
            <w:tcBorders>
              <w:top w:val="nil"/>
              <w:left w:val="nil"/>
              <w:bottom w:val="nil"/>
              <w:right w:val="nil"/>
            </w:tcBorders>
            <w:shd w:val="clear" w:color="auto" w:fill="auto"/>
            <w:vAlign w:val="center"/>
            <w:hideMark/>
          </w:tcPr>
          <w:p w14:paraId="5A7F4929" w14:textId="77777777" w:rsidR="00F71ED9" w:rsidRPr="00A6292B" w:rsidRDefault="00F71ED9" w:rsidP="00F71ED9">
            <w:pPr>
              <w:ind w:firstLineChars="300" w:firstLine="480"/>
              <w:rPr>
                <w:rFonts w:ascii="Arial" w:hAnsi="Arial" w:cs="Arial"/>
                <w:sz w:val="16"/>
                <w:szCs w:val="16"/>
                <w:lang w:eastAsia="es-AR"/>
              </w:rPr>
            </w:pPr>
            <w:r w:rsidRPr="00A6292B">
              <w:rPr>
                <w:rFonts w:ascii="Arial" w:hAnsi="Arial" w:cs="Arial"/>
                <w:sz w:val="16"/>
                <w:szCs w:val="16"/>
                <w:lang w:eastAsia="es-AR"/>
              </w:rPr>
              <w:t>Sector Público no Financiero</w:t>
            </w:r>
          </w:p>
        </w:tc>
        <w:tc>
          <w:tcPr>
            <w:tcW w:w="454" w:type="pct"/>
            <w:tcBorders>
              <w:top w:val="nil"/>
              <w:left w:val="nil"/>
              <w:bottom w:val="nil"/>
              <w:right w:val="nil"/>
            </w:tcBorders>
            <w:shd w:val="clear" w:color="auto" w:fill="auto"/>
            <w:vAlign w:val="center"/>
          </w:tcPr>
          <w:p w14:paraId="60269950" w14:textId="77777777" w:rsidR="00F71ED9" w:rsidRPr="008940E2" w:rsidRDefault="00F71ED9" w:rsidP="00F71ED9">
            <w:pPr>
              <w:ind w:firstLineChars="300" w:firstLine="480"/>
              <w:jc w:val="center"/>
              <w:rPr>
                <w:rFonts w:ascii="Arial" w:hAnsi="Arial" w:cs="Arial"/>
                <w:sz w:val="16"/>
                <w:szCs w:val="16"/>
                <w:lang w:eastAsia="es-AR"/>
              </w:rPr>
            </w:pPr>
          </w:p>
        </w:tc>
        <w:tc>
          <w:tcPr>
            <w:tcW w:w="1075" w:type="pct"/>
            <w:tcBorders>
              <w:top w:val="nil"/>
              <w:left w:val="nil"/>
              <w:bottom w:val="nil"/>
              <w:right w:val="nil"/>
            </w:tcBorders>
            <w:vAlign w:val="center"/>
          </w:tcPr>
          <w:p w14:paraId="5B5686E9" w14:textId="237B11E2" w:rsidR="00F71ED9" w:rsidRPr="00F71ED9" w:rsidRDefault="00F71ED9">
            <w:pPr>
              <w:jc w:val="right"/>
              <w:rPr>
                <w:rFonts w:ascii="Arial" w:hAnsi="Arial" w:cs="Arial"/>
                <w:sz w:val="16"/>
                <w:szCs w:val="16"/>
              </w:rPr>
            </w:pPr>
            <w:r w:rsidRPr="006E1AF7">
              <w:rPr>
                <w:rFonts w:ascii="Arial" w:hAnsi="Arial" w:cs="Arial"/>
                <w:sz w:val="16"/>
                <w:szCs w:val="16"/>
              </w:rPr>
              <w:t xml:space="preserve">5.470.177 </w:t>
            </w:r>
          </w:p>
        </w:tc>
        <w:tc>
          <w:tcPr>
            <w:tcW w:w="858" w:type="pct"/>
            <w:tcBorders>
              <w:top w:val="nil"/>
              <w:left w:val="nil"/>
              <w:bottom w:val="nil"/>
              <w:right w:val="nil"/>
            </w:tcBorders>
            <w:shd w:val="clear" w:color="auto" w:fill="auto"/>
            <w:noWrap/>
            <w:vAlign w:val="center"/>
          </w:tcPr>
          <w:p w14:paraId="43D46FB9" w14:textId="7FC24824"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11.105.477</w:t>
            </w:r>
          </w:p>
        </w:tc>
      </w:tr>
      <w:tr w:rsidR="00F71ED9" w:rsidRPr="00A6292B" w14:paraId="10DEE8B8" w14:textId="77777777" w:rsidTr="006E1AF7">
        <w:trPr>
          <w:trHeight w:val="285"/>
        </w:trPr>
        <w:tc>
          <w:tcPr>
            <w:tcW w:w="2613" w:type="pct"/>
            <w:tcBorders>
              <w:top w:val="nil"/>
              <w:left w:val="nil"/>
              <w:bottom w:val="nil"/>
              <w:right w:val="nil"/>
            </w:tcBorders>
            <w:shd w:val="clear" w:color="auto" w:fill="auto"/>
            <w:vAlign w:val="center"/>
            <w:hideMark/>
          </w:tcPr>
          <w:p w14:paraId="62953F1B" w14:textId="77777777" w:rsidR="00F71ED9" w:rsidRPr="00A6292B" w:rsidRDefault="00F71ED9" w:rsidP="00F71ED9">
            <w:pPr>
              <w:ind w:firstLineChars="300" w:firstLine="480"/>
              <w:rPr>
                <w:rFonts w:ascii="Arial" w:hAnsi="Arial" w:cs="Arial"/>
                <w:sz w:val="16"/>
                <w:szCs w:val="16"/>
                <w:lang w:eastAsia="es-AR"/>
              </w:rPr>
            </w:pPr>
            <w:r w:rsidRPr="00A6292B">
              <w:rPr>
                <w:rFonts w:ascii="Arial" w:hAnsi="Arial" w:cs="Arial"/>
                <w:sz w:val="16"/>
                <w:szCs w:val="16"/>
                <w:lang w:eastAsia="es-AR"/>
              </w:rPr>
              <w:t>Sector Financiero</w:t>
            </w:r>
          </w:p>
        </w:tc>
        <w:tc>
          <w:tcPr>
            <w:tcW w:w="454" w:type="pct"/>
            <w:tcBorders>
              <w:top w:val="nil"/>
              <w:left w:val="nil"/>
              <w:bottom w:val="nil"/>
              <w:right w:val="nil"/>
            </w:tcBorders>
            <w:shd w:val="clear" w:color="auto" w:fill="auto"/>
            <w:vAlign w:val="center"/>
          </w:tcPr>
          <w:p w14:paraId="12A2D217" w14:textId="77777777" w:rsidR="00F71ED9" w:rsidRPr="008940E2" w:rsidRDefault="00F71ED9" w:rsidP="00F71ED9">
            <w:pPr>
              <w:ind w:firstLineChars="300" w:firstLine="480"/>
              <w:jc w:val="center"/>
              <w:rPr>
                <w:rFonts w:ascii="Arial" w:hAnsi="Arial" w:cs="Arial"/>
                <w:sz w:val="16"/>
                <w:szCs w:val="16"/>
                <w:lang w:eastAsia="es-AR"/>
              </w:rPr>
            </w:pPr>
          </w:p>
        </w:tc>
        <w:tc>
          <w:tcPr>
            <w:tcW w:w="1075" w:type="pct"/>
            <w:tcBorders>
              <w:top w:val="nil"/>
              <w:left w:val="nil"/>
              <w:bottom w:val="nil"/>
              <w:right w:val="nil"/>
            </w:tcBorders>
            <w:vAlign w:val="center"/>
          </w:tcPr>
          <w:p w14:paraId="26743971" w14:textId="4369DCB3" w:rsidR="00F71ED9" w:rsidRPr="00F71ED9" w:rsidRDefault="00F71ED9">
            <w:pPr>
              <w:jc w:val="right"/>
              <w:rPr>
                <w:rFonts w:ascii="Arial" w:hAnsi="Arial" w:cs="Arial"/>
                <w:sz w:val="16"/>
                <w:szCs w:val="16"/>
              </w:rPr>
            </w:pPr>
            <w:r w:rsidRPr="006E1AF7">
              <w:rPr>
                <w:rFonts w:ascii="Arial" w:hAnsi="Arial" w:cs="Arial"/>
                <w:sz w:val="16"/>
                <w:szCs w:val="16"/>
              </w:rPr>
              <w:t xml:space="preserve">37.358 </w:t>
            </w:r>
          </w:p>
        </w:tc>
        <w:tc>
          <w:tcPr>
            <w:tcW w:w="858" w:type="pct"/>
            <w:tcBorders>
              <w:top w:val="nil"/>
              <w:left w:val="nil"/>
              <w:bottom w:val="nil"/>
              <w:right w:val="nil"/>
            </w:tcBorders>
            <w:shd w:val="clear" w:color="auto" w:fill="auto"/>
            <w:noWrap/>
            <w:vAlign w:val="center"/>
          </w:tcPr>
          <w:p w14:paraId="0B6289AF" w14:textId="21827FF9"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33.099</w:t>
            </w:r>
          </w:p>
        </w:tc>
      </w:tr>
      <w:tr w:rsidR="00F71ED9" w:rsidRPr="00A6292B" w14:paraId="1DB5D792" w14:textId="77777777" w:rsidTr="006E1AF7">
        <w:trPr>
          <w:trHeight w:val="285"/>
        </w:trPr>
        <w:tc>
          <w:tcPr>
            <w:tcW w:w="2613" w:type="pct"/>
            <w:tcBorders>
              <w:top w:val="nil"/>
              <w:left w:val="nil"/>
              <w:bottom w:val="nil"/>
              <w:right w:val="nil"/>
            </w:tcBorders>
            <w:shd w:val="clear" w:color="auto" w:fill="auto"/>
            <w:vAlign w:val="center"/>
            <w:hideMark/>
          </w:tcPr>
          <w:p w14:paraId="52928CE5" w14:textId="77777777" w:rsidR="00F71ED9" w:rsidRPr="00A6292B" w:rsidRDefault="00F71ED9" w:rsidP="00F71ED9">
            <w:pPr>
              <w:ind w:firstLineChars="300" w:firstLine="480"/>
              <w:rPr>
                <w:rFonts w:ascii="Arial" w:hAnsi="Arial" w:cs="Arial"/>
                <w:sz w:val="16"/>
                <w:szCs w:val="16"/>
                <w:lang w:eastAsia="es-AR"/>
              </w:rPr>
            </w:pPr>
            <w:r w:rsidRPr="00A6292B">
              <w:rPr>
                <w:rFonts w:ascii="Arial" w:hAnsi="Arial" w:cs="Arial"/>
                <w:sz w:val="16"/>
                <w:szCs w:val="16"/>
                <w:lang w:eastAsia="es-AR"/>
              </w:rPr>
              <w:t>Sector Privado no Financiero y Residentes en el exterior</w:t>
            </w:r>
          </w:p>
        </w:tc>
        <w:tc>
          <w:tcPr>
            <w:tcW w:w="454" w:type="pct"/>
            <w:tcBorders>
              <w:top w:val="nil"/>
              <w:left w:val="nil"/>
              <w:bottom w:val="nil"/>
              <w:right w:val="nil"/>
            </w:tcBorders>
            <w:shd w:val="clear" w:color="auto" w:fill="auto"/>
            <w:vAlign w:val="center"/>
          </w:tcPr>
          <w:p w14:paraId="5B3413EB" w14:textId="77777777" w:rsidR="00F71ED9" w:rsidRPr="008940E2" w:rsidRDefault="00F71ED9" w:rsidP="00F71ED9">
            <w:pPr>
              <w:ind w:firstLineChars="300" w:firstLine="480"/>
              <w:jc w:val="center"/>
              <w:rPr>
                <w:rFonts w:ascii="Arial" w:hAnsi="Arial" w:cs="Arial"/>
                <w:sz w:val="16"/>
                <w:szCs w:val="16"/>
                <w:lang w:eastAsia="es-AR"/>
              </w:rPr>
            </w:pPr>
          </w:p>
        </w:tc>
        <w:tc>
          <w:tcPr>
            <w:tcW w:w="1075" w:type="pct"/>
            <w:tcBorders>
              <w:top w:val="nil"/>
              <w:left w:val="nil"/>
              <w:bottom w:val="nil"/>
              <w:right w:val="nil"/>
            </w:tcBorders>
            <w:vAlign w:val="center"/>
          </w:tcPr>
          <w:p w14:paraId="6506BC85" w14:textId="4F449173" w:rsidR="00F71ED9" w:rsidRPr="00F71ED9" w:rsidRDefault="00F71ED9">
            <w:pPr>
              <w:jc w:val="right"/>
              <w:rPr>
                <w:rFonts w:ascii="Arial" w:hAnsi="Arial" w:cs="Arial"/>
                <w:sz w:val="16"/>
                <w:szCs w:val="16"/>
              </w:rPr>
            </w:pPr>
            <w:r w:rsidRPr="006E1AF7">
              <w:rPr>
                <w:rFonts w:ascii="Arial" w:hAnsi="Arial" w:cs="Arial"/>
                <w:sz w:val="16"/>
                <w:szCs w:val="16"/>
              </w:rPr>
              <w:t xml:space="preserve">84.229.534 </w:t>
            </w:r>
          </w:p>
        </w:tc>
        <w:tc>
          <w:tcPr>
            <w:tcW w:w="858" w:type="pct"/>
            <w:tcBorders>
              <w:top w:val="nil"/>
              <w:left w:val="nil"/>
              <w:bottom w:val="nil"/>
              <w:right w:val="nil"/>
            </w:tcBorders>
            <w:shd w:val="clear" w:color="auto" w:fill="auto"/>
            <w:noWrap/>
            <w:vAlign w:val="center"/>
          </w:tcPr>
          <w:p w14:paraId="77ECF955" w14:textId="53CC708D"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82.886.502</w:t>
            </w:r>
          </w:p>
        </w:tc>
      </w:tr>
      <w:tr w:rsidR="00F71ED9" w:rsidRPr="00A6292B" w14:paraId="2DF63F19" w14:textId="77777777" w:rsidTr="006E1AF7">
        <w:trPr>
          <w:trHeight w:val="275"/>
        </w:trPr>
        <w:tc>
          <w:tcPr>
            <w:tcW w:w="2613" w:type="pct"/>
            <w:tcBorders>
              <w:top w:val="nil"/>
              <w:left w:val="nil"/>
              <w:bottom w:val="nil"/>
              <w:right w:val="nil"/>
            </w:tcBorders>
            <w:shd w:val="clear" w:color="auto" w:fill="auto"/>
            <w:vAlign w:val="center"/>
            <w:hideMark/>
          </w:tcPr>
          <w:p w14:paraId="641BB535" w14:textId="143F2F93" w:rsidR="00F71ED9" w:rsidRPr="00A6292B" w:rsidRDefault="00F71ED9" w:rsidP="00F71ED9">
            <w:pPr>
              <w:rPr>
                <w:rFonts w:ascii="Arial" w:hAnsi="Arial" w:cs="Arial"/>
                <w:sz w:val="16"/>
                <w:szCs w:val="16"/>
                <w:lang w:eastAsia="es-AR"/>
              </w:rPr>
            </w:pPr>
            <w:r w:rsidRPr="00A6292B">
              <w:rPr>
                <w:rFonts w:ascii="Arial" w:hAnsi="Arial" w:cs="Arial"/>
                <w:sz w:val="16"/>
                <w:szCs w:val="16"/>
                <w:lang w:eastAsia="es-AR"/>
              </w:rPr>
              <w:t>Pasivos a valor razonable con cambios en resultados</w:t>
            </w:r>
            <w:r>
              <w:rPr>
                <w:rFonts w:ascii="Arial" w:hAnsi="Arial" w:cs="Arial"/>
                <w:sz w:val="16"/>
                <w:szCs w:val="16"/>
                <w:lang w:eastAsia="es-AR"/>
              </w:rPr>
              <w:t xml:space="preserve"> </w:t>
            </w:r>
            <w:r w:rsidRPr="007D7797">
              <w:rPr>
                <w:rFonts w:ascii="Arial" w:hAnsi="Arial" w:cs="Arial"/>
                <w:b/>
                <w:sz w:val="16"/>
                <w:szCs w:val="16"/>
                <w:lang w:eastAsia="es-AR"/>
              </w:rPr>
              <w:t>(Anexo P)</w:t>
            </w:r>
          </w:p>
        </w:tc>
        <w:tc>
          <w:tcPr>
            <w:tcW w:w="454" w:type="pct"/>
            <w:tcBorders>
              <w:top w:val="nil"/>
              <w:left w:val="nil"/>
              <w:bottom w:val="nil"/>
              <w:right w:val="nil"/>
            </w:tcBorders>
            <w:shd w:val="clear" w:color="auto" w:fill="auto"/>
            <w:vAlign w:val="center"/>
          </w:tcPr>
          <w:p w14:paraId="1603A2CD" w14:textId="24E88264" w:rsidR="00F71ED9" w:rsidRPr="008940E2" w:rsidRDefault="00F71ED9" w:rsidP="00F71ED9">
            <w:pPr>
              <w:jc w:val="center"/>
              <w:rPr>
                <w:rFonts w:ascii="Arial" w:hAnsi="Arial" w:cs="Arial"/>
                <w:sz w:val="16"/>
                <w:szCs w:val="16"/>
                <w:lang w:eastAsia="es-AR"/>
              </w:rPr>
            </w:pPr>
            <w:r w:rsidRPr="008940E2">
              <w:rPr>
                <w:rFonts w:ascii="Arial" w:hAnsi="Arial" w:cs="Arial"/>
                <w:sz w:val="16"/>
                <w:szCs w:val="16"/>
                <w:lang w:eastAsia="es-AR"/>
              </w:rPr>
              <w:t>6.9</w:t>
            </w:r>
          </w:p>
        </w:tc>
        <w:tc>
          <w:tcPr>
            <w:tcW w:w="1075" w:type="pct"/>
            <w:tcBorders>
              <w:top w:val="nil"/>
              <w:left w:val="nil"/>
              <w:bottom w:val="nil"/>
              <w:right w:val="nil"/>
            </w:tcBorders>
            <w:vAlign w:val="center"/>
          </w:tcPr>
          <w:p w14:paraId="63620CF6" w14:textId="148CBB20" w:rsidR="00F71ED9" w:rsidRPr="00F71ED9" w:rsidRDefault="00F71ED9">
            <w:pPr>
              <w:jc w:val="right"/>
              <w:rPr>
                <w:rFonts w:ascii="Arial" w:hAnsi="Arial" w:cs="Arial"/>
                <w:sz w:val="16"/>
                <w:szCs w:val="16"/>
              </w:rPr>
            </w:pPr>
            <w:r w:rsidRPr="006E1AF7">
              <w:rPr>
                <w:rFonts w:ascii="Arial" w:hAnsi="Arial" w:cs="Arial"/>
                <w:sz w:val="16"/>
                <w:szCs w:val="16"/>
              </w:rPr>
              <w:t xml:space="preserve">133.300 </w:t>
            </w:r>
          </w:p>
        </w:tc>
        <w:tc>
          <w:tcPr>
            <w:tcW w:w="858" w:type="pct"/>
            <w:tcBorders>
              <w:top w:val="nil"/>
              <w:left w:val="nil"/>
              <w:bottom w:val="nil"/>
              <w:right w:val="nil"/>
            </w:tcBorders>
            <w:shd w:val="clear" w:color="auto" w:fill="auto"/>
            <w:noWrap/>
            <w:vAlign w:val="center"/>
          </w:tcPr>
          <w:p w14:paraId="24893F35" w14:textId="4E7B185A"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613.686</w:t>
            </w:r>
          </w:p>
        </w:tc>
      </w:tr>
      <w:tr w:rsidR="00F71ED9" w:rsidRPr="00A6292B" w14:paraId="7E1EA147" w14:textId="77777777" w:rsidTr="006E1AF7">
        <w:trPr>
          <w:trHeight w:val="285"/>
        </w:trPr>
        <w:tc>
          <w:tcPr>
            <w:tcW w:w="2613" w:type="pct"/>
            <w:tcBorders>
              <w:top w:val="nil"/>
              <w:left w:val="nil"/>
              <w:bottom w:val="nil"/>
              <w:right w:val="nil"/>
            </w:tcBorders>
            <w:shd w:val="clear" w:color="auto" w:fill="auto"/>
            <w:vAlign w:val="center"/>
            <w:hideMark/>
          </w:tcPr>
          <w:p w14:paraId="5ADF77E0" w14:textId="25B05420" w:rsidR="00F71ED9" w:rsidRPr="00A6292B" w:rsidRDefault="00F71ED9" w:rsidP="00F71ED9">
            <w:pPr>
              <w:rPr>
                <w:rFonts w:ascii="Arial" w:hAnsi="Arial" w:cs="Arial"/>
                <w:sz w:val="16"/>
                <w:szCs w:val="16"/>
                <w:lang w:eastAsia="es-AR"/>
              </w:rPr>
            </w:pPr>
            <w:r w:rsidRPr="00A6292B">
              <w:rPr>
                <w:rFonts w:ascii="Arial" w:hAnsi="Arial" w:cs="Arial"/>
                <w:sz w:val="16"/>
                <w:szCs w:val="16"/>
                <w:lang w:eastAsia="es-AR"/>
              </w:rPr>
              <w:t xml:space="preserve">Instrumentos derivados </w:t>
            </w:r>
          </w:p>
        </w:tc>
        <w:tc>
          <w:tcPr>
            <w:tcW w:w="454" w:type="pct"/>
            <w:tcBorders>
              <w:top w:val="nil"/>
              <w:left w:val="nil"/>
              <w:bottom w:val="nil"/>
              <w:right w:val="nil"/>
            </w:tcBorders>
            <w:shd w:val="clear" w:color="auto" w:fill="auto"/>
            <w:vAlign w:val="center"/>
          </w:tcPr>
          <w:p w14:paraId="4A06A564" w14:textId="326F9F82"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6.2</w:t>
            </w:r>
          </w:p>
        </w:tc>
        <w:tc>
          <w:tcPr>
            <w:tcW w:w="1075" w:type="pct"/>
            <w:tcBorders>
              <w:top w:val="nil"/>
              <w:left w:val="nil"/>
              <w:bottom w:val="nil"/>
              <w:right w:val="nil"/>
            </w:tcBorders>
            <w:vAlign w:val="center"/>
          </w:tcPr>
          <w:p w14:paraId="3BFD6BBD" w14:textId="75F38600" w:rsidR="00F71ED9" w:rsidRPr="00F71ED9" w:rsidRDefault="00F71ED9">
            <w:pPr>
              <w:jc w:val="right"/>
              <w:rPr>
                <w:rFonts w:ascii="Arial" w:hAnsi="Arial" w:cs="Arial"/>
                <w:sz w:val="16"/>
                <w:szCs w:val="16"/>
              </w:rPr>
            </w:pPr>
            <w:r w:rsidRPr="006E1AF7">
              <w:rPr>
                <w:rFonts w:ascii="Arial" w:hAnsi="Arial" w:cs="Arial"/>
                <w:sz w:val="16"/>
                <w:szCs w:val="16"/>
              </w:rPr>
              <w:t xml:space="preserve">- </w:t>
            </w:r>
          </w:p>
        </w:tc>
        <w:tc>
          <w:tcPr>
            <w:tcW w:w="858" w:type="pct"/>
            <w:tcBorders>
              <w:top w:val="nil"/>
              <w:left w:val="nil"/>
              <w:bottom w:val="nil"/>
              <w:right w:val="nil"/>
            </w:tcBorders>
            <w:shd w:val="clear" w:color="auto" w:fill="auto"/>
            <w:noWrap/>
            <w:vAlign w:val="center"/>
          </w:tcPr>
          <w:p w14:paraId="7C03BF12" w14:textId="43981228"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94.222</w:t>
            </w:r>
          </w:p>
        </w:tc>
      </w:tr>
      <w:tr w:rsidR="00F71ED9" w:rsidRPr="00A6292B" w14:paraId="7BA35AD1" w14:textId="77777777" w:rsidTr="006E1AF7">
        <w:trPr>
          <w:trHeight w:val="285"/>
        </w:trPr>
        <w:tc>
          <w:tcPr>
            <w:tcW w:w="2613" w:type="pct"/>
            <w:tcBorders>
              <w:top w:val="nil"/>
              <w:left w:val="nil"/>
              <w:bottom w:val="nil"/>
              <w:right w:val="nil"/>
            </w:tcBorders>
            <w:shd w:val="clear" w:color="auto" w:fill="auto"/>
            <w:vAlign w:val="center"/>
            <w:hideMark/>
          </w:tcPr>
          <w:p w14:paraId="781E2DBB" w14:textId="5710DCDD" w:rsidR="00F71ED9" w:rsidRPr="00A6292B" w:rsidRDefault="00F71ED9" w:rsidP="00F71ED9">
            <w:pPr>
              <w:rPr>
                <w:rFonts w:ascii="Arial" w:hAnsi="Arial" w:cs="Arial"/>
                <w:sz w:val="16"/>
                <w:szCs w:val="16"/>
                <w:lang w:eastAsia="es-AR"/>
              </w:rPr>
            </w:pPr>
            <w:r w:rsidRPr="00A6292B">
              <w:rPr>
                <w:rFonts w:ascii="Arial" w:hAnsi="Arial" w:cs="Arial"/>
                <w:sz w:val="16"/>
                <w:szCs w:val="16"/>
                <w:lang w:eastAsia="es-AR"/>
              </w:rPr>
              <w:t xml:space="preserve">Operaciones de pase </w:t>
            </w:r>
            <w:r w:rsidRPr="007D7797">
              <w:rPr>
                <w:rFonts w:ascii="Arial" w:hAnsi="Arial" w:cs="Arial"/>
                <w:b/>
                <w:sz w:val="16"/>
                <w:szCs w:val="16"/>
                <w:lang w:eastAsia="es-AR"/>
              </w:rPr>
              <w:t>(Anexo P)</w:t>
            </w:r>
          </w:p>
        </w:tc>
        <w:tc>
          <w:tcPr>
            <w:tcW w:w="454" w:type="pct"/>
            <w:tcBorders>
              <w:top w:val="nil"/>
              <w:left w:val="nil"/>
              <w:bottom w:val="nil"/>
              <w:right w:val="nil"/>
            </w:tcBorders>
            <w:shd w:val="clear" w:color="auto" w:fill="auto"/>
            <w:vAlign w:val="center"/>
          </w:tcPr>
          <w:p w14:paraId="38CD5266" w14:textId="10A9FD85"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6.10</w:t>
            </w:r>
          </w:p>
        </w:tc>
        <w:tc>
          <w:tcPr>
            <w:tcW w:w="1075" w:type="pct"/>
            <w:tcBorders>
              <w:top w:val="nil"/>
              <w:left w:val="nil"/>
              <w:bottom w:val="nil"/>
              <w:right w:val="nil"/>
            </w:tcBorders>
            <w:vAlign w:val="center"/>
          </w:tcPr>
          <w:p w14:paraId="19A9A0CD" w14:textId="1A68A3DD" w:rsidR="00F71ED9" w:rsidRPr="00F71ED9" w:rsidRDefault="00F71ED9">
            <w:pPr>
              <w:jc w:val="right"/>
              <w:rPr>
                <w:rFonts w:ascii="Arial" w:hAnsi="Arial" w:cs="Arial"/>
                <w:sz w:val="16"/>
                <w:szCs w:val="16"/>
              </w:rPr>
            </w:pPr>
            <w:r w:rsidRPr="006E1AF7">
              <w:rPr>
                <w:rFonts w:ascii="Arial" w:hAnsi="Arial" w:cs="Arial"/>
                <w:sz w:val="16"/>
                <w:szCs w:val="16"/>
              </w:rPr>
              <w:t xml:space="preserve">240.493 </w:t>
            </w:r>
          </w:p>
        </w:tc>
        <w:tc>
          <w:tcPr>
            <w:tcW w:w="858" w:type="pct"/>
            <w:tcBorders>
              <w:top w:val="nil"/>
              <w:left w:val="nil"/>
              <w:bottom w:val="nil"/>
              <w:right w:val="nil"/>
            </w:tcBorders>
            <w:shd w:val="clear" w:color="auto" w:fill="auto"/>
            <w:noWrap/>
            <w:vAlign w:val="center"/>
          </w:tcPr>
          <w:p w14:paraId="37DEE973" w14:textId="041AF806"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w:t>
            </w:r>
          </w:p>
        </w:tc>
      </w:tr>
      <w:tr w:rsidR="00F71ED9" w:rsidRPr="00A6292B" w14:paraId="400EA984" w14:textId="77777777" w:rsidTr="006E1AF7">
        <w:trPr>
          <w:trHeight w:val="285"/>
        </w:trPr>
        <w:tc>
          <w:tcPr>
            <w:tcW w:w="2613" w:type="pct"/>
            <w:tcBorders>
              <w:top w:val="nil"/>
              <w:left w:val="nil"/>
              <w:bottom w:val="nil"/>
              <w:right w:val="nil"/>
            </w:tcBorders>
            <w:shd w:val="clear" w:color="auto" w:fill="auto"/>
            <w:vAlign w:val="center"/>
            <w:hideMark/>
          </w:tcPr>
          <w:p w14:paraId="44E0058D" w14:textId="3CF5E88C" w:rsidR="00F71ED9" w:rsidRPr="00A6292B" w:rsidRDefault="00F71ED9" w:rsidP="00F71ED9">
            <w:pPr>
              <w:rPr>
                <w:rFonts w:ascii="Arial" w:hAnsi="Arial" w:cs="Arial"/>
                <w:sz w:val="16"/>
                <w:szCs w:val="16"/>
                <w:lang w:eastAsia="es-AR"/>
              </w:rPr>
            </w:pPr>
            <w:r w:rsidRPr="00A6292B">
              <w:rPr>
                <w:rFonts w:ascii="Arial" w:hAnsi="Arial" w:cs="Arial"/>
                <w:sz w:val="16"/>
                <w:szCs w:val="16"/>
                <w:lang w:eastAsia="es-AR"/>
              </w:rPr>
              <w:t>Otros pasivos financieros</w:t>
            </w:r>
            <w:r w:rsidRPr="007D7797">
              <w:rPr>
                <w:rFonts w:ascii="Arial" w:hAnsi="Arial" w:cs="Arial"/>
                <w:b/>
                <w:sz w:val="16"/>
                <w:szCs w:val="16"/>
                <w:lang w:eastAsia="es-AR"/>
              </w:rPr>
              <w:t>(Anexo P)</w:t>
            </w:r>
            <w:r w:rsidRPr="00A6292B">
              <w:rPr>
                <w:rFonts w:ascii="Arial" w:hAnsi="Arial" w:cs="Arial"/>
                <w:sz w:val="16"/>
                <w:szCs w:val="16"/>
                <w:lang w:eastAsia="es-AR"/>
              </w:rPr>
              <w:t xml:space="preserve"> </w:t>
            </w:r>
          </w:p>
        </w:tc>
        <w:tc>
          <w:tcPr>
            <w:tcW w:w="454" w:type="pct"/>
            <w:tcBorders>
              <w:top w:val="nil"/>
              <w:left w:val="nil"/>
              <w:bottom w:val="nil"/>
              <w:right w:val="nil"/>
            </w:tcBorders>
            <w:shd w:val="clear" w:color="auto" w:fill="auto"/>
            <w:vAlign w:val="center"/>
          </w:tcPr>
          <w:p w14:paraId="6141D55A" w14:textId="081BB3BE"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6.11</w:t>
            </w:r>
          </w:p>
        </w:tc>
        <w:tc>
          <w:tcPr>
            <w:tcW w:w="1075" w:type="pct"/>
            <w:tcBorders>
              <w:top w:val="nil"/>
              <w:left w:val="nil"/>
              <w:bottom w:val="nil"/>
              <w:right w:val="nil"/>
            </w:tcBorders>
            <w:vAlign w:val="center"/>
          </w:tcPr>
          <w:p w14:paraId="2CAF0062" w14:textId="3B63247C" w:rsidR="00F71ED9" w:rsidRPr="00F71ED9" w:rsidRDefault="00F71ED9">
            <w:pPr>
              <w:jc w:val="right"/>
              <w:rPr>
                <w:rFonts w:ascii="Arial" w:hAnsi="Arial" w:cs="Arial"/>
                <w:sz w:val="16"/>
                <w:szCs w:val="16"/>
              </w:rPr>
            </w:pPr>
            <w:r w:rsidRPr="006E1AF7">
              <w:rPr>
                <w:rFonts w:ascii="Arial" w:hAnsi="Arial" w:cs="Arial"/>
                <w:sz w:val="16"/>
                <w:szCs w:val="16"/>
              </w:rPr>
              <w:t xml:space="preserve">6.084.762 </w:t>
            </w:r>
          </w:p>
        </w:tc>
        <w:tc>
          <w:tcPr>
            <w:tcW w:w="858" w:type="pct"/>
            <w:tcBorders>
              <w:top w:val="nil"/>
              <w:left w:val="nil"/>
              <w:bottom w:val="nil"/>
              <w:right w:val="nil"/>
            </w:tcBorders>
            <w:shd w:val="clear" w:color="auto" w:fill="auto"/>
            <w:noWrap/>
            <w:vAlign w:val="center"/>
          </w:tcPr>
          <w:p w14:paraId="35A2C373" w14:textId="1B8A88CE"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3.145.719</w:t>
            </w:r>
          </w:p>
        </w:tc>
      </w:tr>
      <w:tr w:rsidR="00F71ED9" w:rsidRPr="00A6292B" w14:paraId="4BB24A29" w14:textId="77777777" w:rsidTr="006E1AF7">
        <w:trPr>
          <w:trHeight w:val="510"/>
        </w:trPr>
        <w:tc>
          <w:tcPr>
            <w:tcW w:w="2613" w:type="pct"/>
            <w:tcBorders>
              <w:top w:val="nil"/>
              <w:left w:val="nil"/>
              <w:bottom w:val="nil"/>
              <w:right w:val="nil"/>
            </w:tcBorders>
            <w:shd w:val="clear" w:color="auto" w:fill="auto"/>
            <w:vAlign w:val="center"/>
            <w:hideMark/>
          </w:tcPr>
          <w:p w14:paraId="0D8A0838" w14:textId="40E709AB" w:rsidR="00F71ED9" w:rsidRPr="00A6292B" w:rsidRDefault="00F71ED9" w:rsidP="00F71ED9">
            <w:pPr>
              <w:rPr>
                <w:rFonts w:ascii="Arial" w:hAnsi="Arial" w:cs="Arial"/>
                <w:sz w:val="16"/>
                <w:szCs w:val="16"/>
                <w:lang w:eastAsia="es-AR"/>
              </w:rPr>
            </w:pPr>
            <w:r w:rsidRPr="00A6292B">
              <w:rPr>
                <w:rFonts w:ascii="Arial" w:hAnsi="Arial" w:cs="Arial"/>
                <w:sz w:val="16"/>
                <w:szCs w:val="16"/>
                <w:lang w:eastAsia="es-AR"/>
              </w:rPr>
              <w:t xml:space="preserve">Financiaciones recibidas del BCRA y otras instituciones financieras </w:t>
            </w:r>
            <w:r w:rsidRPr="007D7797">
              <w:rPr>
                <w:rFonts w:ascii="Arial" w:hAnsi="Arial" w:cs="Arial"/>
                <w:b/>
                <w:sz w:val="16"/>
                <w:szCs w:val="16"/>
                <w:lang w:eastAsia="es-AR"/>
              </w:rPr>
              <w:t>(Anexo P)</w:t>
            </w:r>
          </w:p>
        </w:tc>
        <w:tc>
          <w:tcPr>
            <w:tcW w:w="454" w:type="pct"/>
            <w:tcBorders>
              <w:top w:val="nil"/>
              <w:left w:val="nil"/>
              <w:bottom w:val="nil"/>
              <w:right w:val="nil"/>
            </w:tcBorders>
            <w:shd w:val="clear" w:color="auto" w:fill="auto"/>
            <w:vAlign w:val="center"/>
          </w:tcPr>
          <w:p w14:paraId="036A08F7" w14:textId="6827B523"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6.12</w:t>
            </w:r>
          </w:p>
        </w:tc>
        <w:tc>
          <w:tcPr>
            <w:tcW w:w="1075" w:type="pct"/>
            <w:tcBorders>
              <w:top w:val="nil"/>
              <w:left w:val="nil"/>
              <w:bottom w:val="nil"/>
              <w:right w:val="nil"/>
            </w:tcBorders>
            <w:vAlign w:val="center"/>
          </w:tcPr>
          <w:p w14:paraId="4FFBA6D4" w14:textId="657B82A9" w:rsidR="00F71ED9" w:rsidRPr="00F71ED9" w:rsidRDefault="00F71ED9">
            <w:pPr>
              <w:jc w:val="right"/>
              <w:rPr>
                <w:rFonts w:ascii="Arial" w:hAnsi="Arial" w:cs="Arial"/>
                <w:sz w:val="16"/>
                <w:szCs w:val="16"/>
              </w:rPr>
            </w:pPr>
            <w:r w:rsidRPr="006E1AF7">
              <w:rPr>
                <w:rFonts w:ascii="Arial" w:hAnsi="Arial" w:cs="Arial"/>
                <w:sz w:val="16"/>
                <w:szCs w:val="16"/>
              </w:rPr>
              <w:t xml:space="preserve">9.011.337 </w:t>
            </w:r>
          </w:p>
        </w:tc>
        <w:tc>
          <w:tcPr>
            <w:tcW w:w="858" w:type="pct"/>
            <w:tcBorders>
              <w:top w:val="nil"/>
              <w:left w:val="nil"/>
              <w:bottom w:val="nil"/>
              <w:right w:val="nil"/>
            </w:tcBorders>
            <w:shd w:val="clear" w:color="auto" w:fill="auto"/>
            <w:noWrap/>
            <w:vAlign w:val="center"/>
          </w:tcPr>
          <w:p w14:paraId="15E69D30" w14:textId="50AE7642"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8.010.059</w:t>
            </w:r>
          </w:p>
        </w:tc>
      </w:tr>
      <w:tr w:rsidR="00F71ED9" w:rsidRPr="00A6292B" w14:paraId="5A803BA0" w14:textId="77777777" w:rsidTr="006E1AF7">
        <w:trPr>
          <w:trHeight w:val="285"/>
        </w:trPr>
        <w:tc>
          <w:tcPr>
            <w:tcW w:w="2613" w:type="pct"/>
            <w:tcBorders>
              <w:top w:val="nil"/>
              <w:left w:val="nil"/>
              <w:bottom w:val="nil"/>
              <w:right w:val="nil"/>
            </w:tcBorders>
            <w:shd w:val="clear" w:color="auto" w:fill="auto"/>
            <w:vAlign w:val="center"/>
            <w:hideMark/>
          </w:tcPr>
          <w:p w14:paraId="11D3E515" w14:textId="7A6AB18B" w:rsidR="00F71ED9" w:rsidRPr="00A6292B" w:rsidRDefault="00F71ED9" w:rsidP="00F71ED9">
            <w:pPr>
              <w:rPr>
                <w:rFonts w:ascii="Arial" w:hAnsi="Arial" w:cs="Arial"/>
                <w:sz w:val="16"/>
                <w:szCs w:val="16"/>
                <w:lang w:eastAsia="es-AR"/>
              </w:rPr>
            </w:pPr>
            <w:r w:rsidRPr="00A6292B">
              <w:rPr>
                <w:rFonts w:ascii="Arial" w:hAnsi="Arial" w:cs="Arial"/>
                <w:sz w:val="16"/>
                <w:szCs w:val="16"/>
                <w:lang w:eastAsia="es-AR"/>
              </w:rPr>
              <w:t xml:space="preserve">Obligaciones negociables emitidas </w:t>
            </w:r>
            <w:r w:rsidRPr="007D7797">
              <w:rPr>
                <w:rFonts w:ascii="Arial" w:hAnsi="Arial" w:cs="Arial"/>
                <w:b/>
                <w:sz w:val="16"/>
                <w:szCs w:val="16"/>
                <w:lang w:eastAsia="es-AR"/>
              </w:rPr>
              <w:t>(Anexo P)</w:t>
            </w:r>
          </w:p>
        </w:tc>
        <w:tc>
          <w:tcPr>
            <w:tcW w:w="454" w:type="pct"/>
            <w:tcBorders>
              <w:top w:val="nil"/>
              <w:left w:val="nil"/>
              <w:bottom w:val="nil"/>
              <w:right w:val="nil"/>
            </w:tcBorders>
            <w:shd w:val="clear" w:color="auto" w:fill="auto"/>
            <w:vAlign w:val="center"/>
          </w:tcPr>
          <w:p w14:paraId="09081679" w14:textId="3FF4F478"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14</w:t>
            </w:r>
            <w:r w:rsidRPr="008940E2">
              <w:rPr>
                <w:rFonts w:ascii="Arial" w:hAnsi="Arial" w:cs="Arial"/>
                <w:sz w:val="16"/>
                <w:szCs w:val="16"/>
                <w:lang w:eastAsia="es-AR"/>
              </w:rPr>
              <w:t>.8</w:t>
            </w:r>
          </w:p>
        </w:tc>
        <w:tc>
          <w:tcPr>
            <w:tcW w:w="1075" w:type="pct"/>
            <w:tcBorders>
              <w:top w:val="nil"/>
              <w:left w:val="nil"/>
              <w:bottom w:val="nil"/>
              <w:right w:val="nil"/>
            </w:tcBorders>
            <w:vAlign w:val="center"/>
          </w:tcPr>
          <w:p w14:paraId="0CC8FEE7" w14:textId="4E507086" w:rsidR="00F71ED9" w:rsidRPr="00F71ED9" w:rsidRDefault="00F71ED9">
            <w:pPr>
              <w:jc w:val="right"/>
              <w:rPr>
                <w:rFonts w:ascii="Arial" w:hAnsi="Arial" w:cs="Arial"/>
                <w:sz w:val="16"/>
                <w:szCs w:val="16"/>
              </w:rPr>
            </w:pPr>
            <w:r w:rsidRPr="006E1AF7">
              <w:rPr>
                <w:rFonts w:ascii="Arial" w:hAnsi="Arial" w:cs="Arial"/>
                <w:sz w:val="16"/>
                <w:szCs w:val="16"/>
              </w:rPr>
              <w:t xml:space="preserve">6.070.917 </w:t>
            </w:r>
          </w:p>
        </w:tc>
        <w:tc>
          <w:tcPr>
            <w:tcW w:w="858" w:type="pct"/>
            <w:tcBorders>
              <w:top w:val="nil"/>
              <w:left w:val="nil"/>
              <w:bottom w:val="nil"/>
              <w:right w:val="nil"/>
            </w:tcBorders>
            <w:shd w:val="clear" w:color="auto" w:fill="auto"/>
            <w:noWrap/>
            <w:vAlign w:val="center"/>
          </w:tcPr>
          <w:p w14:paraId="1652CA25" w14:textId="043BFF97"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7.924.029</w:t>
            </w:r>
          </w:p>
        </w:tc>
      </w:tr>
      <w:tr w:rsidR="00F71ED9" w:rsidRPr="00A6292B" w14:paraId="4A8A2BED" w14:textId="77777777" w:rsidTr="006E1AF7">
        <w:trPr>
          <w:trHeight w:val="285"/>
        </w:trPr>
        <w:tc>
          <w:tcPr>
            <w:tcW w:w="2613" w:type="pct"/>
            <w:tcBorders>
              <w:top w:val="nil"/>
              <w:left w:val="nil"/>
              <w:bottom w:val="nil"/>
              <w:right w:val="nil"/>
            </w:tcBorders>
            <w:shd w:val="clear" w:color="auto" w:fill="auto"/>
            <w:vAlign w:val="center"/>
            <w:hideMark/>
          </w:tcPr>
          <w:p w14:paraId="047C4F10" w14:textId="5A01FFF9" w:rsidR="00F71ED9" w:rsidRPr="00A6292B" w:rsidRDefault="00F71ED9" w:rsidP="00F71ED9">
            <w:pPr>
              <w:rPr>
                <w:rFonts w:ascii="Arial" w:hAnsi="Arial" w:cs="Arial"/>
                <w:sz w:val="16"/>
                <w:szCs w:val="16"/>
                <w:lang w:eastAsia="es-AR"/>
              </w:rPr>
            </w:pPr>
            <w:r w:rsidRPr="00A6292B">
              <w:rPr>
                <w:rFonts w:ascii="Arial" w:hAnsi="Arial" w:cs="Arial"/>
                <w:sz w:val="16"/>
                <w:szCs w:val="16"/>
                <w:lang w:eastAsia="es-AR"/>
              </w:rPr>
              <w:t>Pasivo impuestos a las ganancias corriente</w:t>
            </w:r>
          </w:p>
        </w:tc>
        <w:tc>
          <w:tcPr>
            <w:tcW w:w="454" w:type="pct"/>
            <w:tcBorders>
              <w:top w:val="nil"/>
              <w:left w:val="nil"/>
              <w:bottom w:val="nil"/>
              <w:right w:val="nil"/>
            </w:tcBorders>
            <w:shd w:val="clear" w:color="auto" w:fill="auto"/>
            <w:vAlign w:val="center"/>
          </w:tcPr>
          <w:p w14:paraId="2FF1DC8D" w14:textId="1716A3BB" w:rsidR="00F71ED9" w:rsidRPr="008940E2" w:rsidRDefault="00A322C5" w:rsidP="00F71ED9">
            <w:pPr>
              <w:jc w:val="center"/>
              <w:rPr>
                <w:rFonts w:ascii="Arial" w:hAnsi="Arial" w:cs="Arial"/>
                <w:sz w:val="16"/>
                <w:szCs w:val="16"/>
                <w:lang w:eastAsia="es-AR"/>
              </w:rPr>
            </w:pPr>
            <w:r>
              <w:rPr>
                <w:rFonts w:ascii="Arial" w:hAnsi="Arial" w:cs="Arial"/>
                <w:sz w:val="16"/>
                <w:szCs w:val="16"/>
                <w:lang w:eastAsia="es-AR"/>
              </w:rPr>
              <w:t>4</w:t>
            </w:r>
          </w:p>
        </w:tc>
        <w:tc>
          <w:tcPr>
            <w:tcW w:w="1075" w:type="pct"/>
            <w:tcBorders>
              <w:top w:val="nil"/>
              <w:left w:val="nil"/>
              <w:bottom w:val="nil"/>
              <w:right w:val="nil"/>
            </w:tcBorders>
            <w:vAlign w:val="center"/>
          </w:tcPr>
          <w:p w14:paraId="716B4691" w14:textId="7EF9AA6E" w:rsidR="00F71ED9" w:rsidRPr="00F71ED9" w:rsidRDefault="00F71ED9">
            <w:pPr>
              <w:jc w:val="right"/>
              <w:rPr>
                <w:rFonts w:ascii="Arial" w:hAnsi="Arial" w:cs="Arial"/>
                <w:sz w:val="16"/>
                <w:szCs w:val="16"/>
              </w:rPr>
            </w:pPr>
            <w:r w:rsidRPr="006E1AF7">
              <w:rPr>
                <w:rFonts w:ascii="Arial" w:hAnsi="Arial" w:cs="Arial"/>
                <w:sz w:val="16"/>
                <w:szCs w:val="16"/>
              </w:rPr>
              <w:t xml:space="preserve">167.618 </w:t>
            </w:r>
          </w:p>
        </w:tc>
        <w:tc>
          <w:tcPr>
            <w:tcW w:w="858" w:type="pct"/>
            <w:tcBorders>
              <w:top w:val="nil"/>
              <w:left w:val="nil"/>
              <w:bottom w:val="nil"/>
              <w:right w:val="nil"/>
            </w:tcBorders>
            <w:shd w:val="clear" w:color="auto" w:fill="auto"/>
            <w:noWrap/>
            <w:vAlign w:val="center"/>
          </w:tcPr>
          <w:p w14:paraId="6CA6C87D" w14:textId="15E79C7E"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330.228</w:t>
            </w:r>
          </w:p>
        </w:tc>
      </w:tr>
      <w:tr w:rsidR="00F71ED9" w:rsidRPr="00A6292B" w14:paraId="0E501F5F" w14:textId="77777777" w:rsidTr="006E1AF7">
        <w:trPr>
          <w:trHeight w:val="285"/>
        </w:trPr>
        <w:tc>
          <w:tcPr>
            <w:tcW w:w="2613" w:type="pct"/>
            <w:tcBorders>
              <w:top w:val="nil"/>
              <w:left w:val="nil"/>
              <w:bottom w:val="nil"/>
              <w:right w:val="nil"/>
            </w:tcBorders>
            <w:shd w:val="clear" w:color="auto" w:fill="auto"/>
            <w:vAlign w:val="center"/>
            <w:hideMark/>
          </w:tcPr>
          <w:p w14:paraId="31C3F7FE" w14:textId="6A2A2C30" w:rsidR="00F71ED9" w:rsidRPr="00A6292B" w:rsidRDefault="00F71ED9" w:rsidP="00F71ED9">
            <w:pPr>
              <w:rPr>
                <w:rFonts w:ascii="Arial" w:hAnsi="Arial" w:cs="Arial"/>
                <w:sz w:val="16"/>
                <w:szCs w:val="16"/>
                <w:lang w:eastAsia="es-AR"/>
              </w:rPr>
            </w:pPr>
            <w:r w:rsidRPr="00A6292B">
              <w:rPr>
                <w:rFonts w:ascii="Arial" w:hAnsi="Arial" w:cs="Arial"/>
                <w:sz w:val="16"/>
                <w:szCs w:val="16"/>
                <w:lang w:eastAsia="es-AR"/>
              </w:rPr>
              <w:t xml:space="preserve">Obligaciones negociables subordinadas </w:t>
            </w:r>
            <w:r w:rsidRPr="007D7797">
              <w:rPr>
                <w:rFonts w:ascii="Arial" w:hAnsi="Arial" w:cs="Arial"/>
                <w:b/>
                <w:sz w:val="16"/>
                <w:szCs w:val="16"/>
                <w:lang w:eastAsia="es-AR"/>
              </w:rPr>
              <w:t>(Anexo P)</w:t>
            </w:r>
          </w:p>
        </w:tc>
        <w:tc>
          <w:tcPr>
            <w:tcW w:w="454" w:type="pct"/>
            <w:tcBorders>
              <w:top w:val="nil"/>
              <w:left w:val="nil"/>
              <w:bottom w:val="nil"/>
              <w:right w:val="nil"/>
            </w:tcBorders>
            <w:shd w:val="clear" w:color="auto" w:fill="auto"/>
            <w:vAlign w:val="center"/>
          </w:tcPr>
          <w:p w14:paraId="460D9D65" w14:textId="7FDDF072" w:rsidR="00F71ED9" w:rsidRPr="008940E2" w:rsidRDefault="00F71ED9" w:rsidP="00F71ED9">
            <w:pPr>
              <w:jc w:val="center"/>
              <w:rPr>
                <w:rFonts w:ascii="Arial" w:hAnsi="Arial" w:cs="Arial"/>
                <w:sz w:val="16"/>
                <w:szCs w:val="16"/>
                <w:lang w:eastAsia="es-AR"/>
              </w:rPr>
            </w:pPr>
            <w:r>
              <w:rPr>
                <w:rFonts w:ascii="Arial" w:hAnsi="Arial" w:cs="Arial"/>
                <w:sz w:val="16"/>
                <w:szCs w:val="16"/>
                <w:lang w:eastAsia="es-AR"/>
              </w:rPr>
              <w:t>14</w:t>
            </w:r>
            <w:r w:rsidRPr="008940E2">
              <w:rPr>
                <w:rFonts w:ascii="Arial" w:hAnsi="Arial" w:cs="Arial"/>
                <w:sz w:val="16"/>
                <w:szCs w:val="16"/>
                <w:lang w:eastAsia="es-AR"/>
              </w:rPr>
              <w:t>.8</w:t>
            </w:r>
          </w:p>
        </w:tc>
        <w:tc>
          <w:tcPr>
            <w:tcW w:w="1075" w:type="pct"/>
            <w:tcBorders>
              <w:top w:val="nil"/>
              <w:left w:val="nil"/>
              <w:bottom w:val="nil"/>
              <w:right w:val="nil"/>
            </w:tcBorders>
            <w:vAlign w:val="center"/>
          </w:tcPr>
          <w:p w14:paraId="167E6670" w14:textId="4B0C316D" w:rsidR="00F71ED9" w:rsidRPr="00F71ED9" w:rsidRDefault="00F71ED9">
            <w:pPr>
              <w:jc w:val="right"/>
              <w:rPr>
                <w:rFonts w:ascii="Arial" w:hAnsi="Arial" w:cs="Arial"/>
                <w:sz w:val="16"/>
                <w:szCs w:val="16"/>
              </w:rPr>
            </w:pPr>
            <w:r w:rsidRPr="006E1AF7">
              <w:rPr>
                <w:rFonts w:ascii="Arial" w:hAnsi="Arial" w:cs="Arial"/>
                <w:sz w:val="16"/>
                <w:szCs w:val="16"/>
              </w:rPr>
              <w:t xml:space="preserve">2.119.888 </w:t>
            </w:r>
          </w:p>
        </w:tc>
        <w:tc>
          <w:tcPr>
            <w:tcW w:w="858" w:type="pct"/>
            <w:tcBorders>
              <w:top w:val="nil"/>
              <w:left w:val="nil"/>
              <w:bottom w:val="nil"/>
              <w:right w:val="nil"/>
            </w:tcBorders>
            <w:shd w:val="clear" w:color="auto" w:fill="auto"/>
            <w:noWrap/>
            <w:vAlign w:val="center"/>
          </w:tcPr>
          <w:p w14:paraId="135C0888" w14:textId="3B7F1CBE"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1.383.817</w:t>
            </w:r>
          </w:p>
        </w:tc>
      </w:tr>
      <w:tr w:rsidR="00F71ED9" w:rsidRPr="00A6292B" w14:paraId="78CC24FC" w14:textId="77777777" w:rsidTr="006E1AF7">
        <w:trPr>
          <w:trHeight w:val="285"/>
        </w:trPr>
        <w:tc>
          <w:tcPr>
            <w:tcW w:w="2613" w:type="pct"/>
            <w:tcBorders>
              <w:top w:val="nil"/>
              <w:left w:val="nil"/>
              <w:bottom w:val="nil"/>
              <w:right w:val="nil"/>
            </w:tcBorders>
            <w:shd w:val="clear" w:color="auto" w:fill="auto"/>
            <w:vAlign w:val="center"/>
            <w:hideMark/>
          </w:tcPr>
          <w:p w14:paraId="32D0317D" w14:textId="77777777" w:rsidR="00F71ED9" w:rsidRPr="00A6292B" w:rsidRDefault="00F71ED9" w:rsidP="00F71ED9">
            <w:pPr>
              <w:rPr>
                <w:rFonts w:ascii="Arial" w:hAnsi="Arial" w:cs="Arial"/>
                <w:sz w:val="16"/>
                <w:szCs w:val="16"/>
                <w:lang w:eastAsia="es-AR"/>
              </w:rPr>
            </w:pPr>
            <w:r w:rsidRPr="00A6292B">
              <w:rPr>
                <w:rFonts w:ascii="Arial" w:hAnsi="Arial" w:cs="Arial"/>
                <w:sz w:val="16"/>
                <w:szCs w:val="16"/>
                <w:lang w:eastAsia="es-AR"/>
              </w:rPr>
              <w:t xml:space="preserve">Provisiones </w:t>
            </w:r>
            <w:r w:rsidRPr="00A6292B">
              <w:rPr>
                <w:rFonts w:ascii="Arial" w:hAnsi="Arial" w:cs="Arial"/>
                <w:b/>
                <w:bCs/>
                <w:sz w:val="16"/>
                <w:szCs w:val="16"/>
                <w:lang w:eastAsia="es-AR"/>
              </w:rPr>
              <w:t>(Anexo J)</w:t>
            </w:r>
          </w:p>
        </w:tc>
        <w:tc>
          <w:tcPr>
            <w:tcW w:w="454" w:type="pct"/>
            <w:tcBorders>
              <w:top w:val="nil"/>
              <w:left w:val="nil"/>
              <w:bottom w:val="nil"/>
              <w:right w:val="nil"/>
            </w:tcBorders>
            <w:shd w:val="clear" w:color="auto" w:fill="auto"/>
            <w:vAlign w:val="center"/>
          </w:tcPr>
          <w:p w14:paraId="7807682A" w14:textId="30178FB9" w:rsidR="00F71ED9" w:rsidRPr="008940E2" w:rsidRDefault="00F71ED9" w:rsidP="00F71ED9">
            <w:pPr>
              <w:jc w:val="center"/>
              <w:rPr>
                <w:rFonts w:ascii="Arial" w:hAnsi="Arial" w:cs="Arial"/>
                <w:sz w:val="16"/>
                <w:szCs w:val="16"/>
                <w:lang w:eastAsia="es-AR"/>
              </w:rPr>
            </w:pPr>
            <w:r w:rsidRPr="008940E2">
              <w:rPr>
                <w:rFonts w:ascii="Arial" w:hAnsi="Arial" w:cs="Arial"/>
                <w:sz w:val="16"/>
                <w:szCs w:val="16"/>
                <w:lang w:eastAsia="es-AR"/>
              </w:rPr>
              <w:t>6.13</w:t>
            </w:r>
            <w:r w:rsidR="000966C6">
              <w:rPr>
                <w:rFonts w:ascii="Arial" w:hAnsi="Arial" w:cs="Arial"/>
                <w:sz w:val="16"/>
                <w:szCs w:val="16"/>
                <w:lang w:eastAsia="es-AR"/>
              </w:rPr>
              <w:t>, 11</w:t>
            </w:r>
          </w:p>
        </w:tc>
        <w:tc>
          <w:tcPr>
            <w:tcW w:w="1075" w:type="pct"/>
            <w:tcBorders>
              <w:top w:val="nil"/>
              <w:left w:val="nil"/>
              <w:bottom w:val="nil"/>
              <w:right w:val="nil"/>
            </w:tcBorders>
            <w:vAlign w:val="center"/>
          </w:tcPr>
          <w:p w14:paraId="6D077909" w14:textId="2DD0F8FE" w:rsidR="00F71ED9" w:rsidRPr="00F71ED9" w:rsidRDefault="00F71ED9">
            <w:pPr>
              <w:jc w:val="right"/>
              <w:rPr>
                <w:rFonts w:ascii="Arial" w:hAnsi="Arial" w:cs="Arial"/>
                <w:sz w:val="16"/>
                <w:szCs w:val="16"/>
              </w:rPr>
            </w:pPr>
            <w:r w:rsidRPr="006E1AF7">
              <w:rPr>
                <w:rFonts w:ascii="Arial" w:hAnsi="Arial" w:cs="Arial"/>
                <w:sz w:val="16"/>
                <w:szCs w:val="16"/>
              </w:rPr>
              <w:t xml:space="preserve">553.898 </w:t>
            </w:r>
          </w:p>
        </w:tc>
        <w:tc>
          <w:tcPr>
            <w:tcW w:w="858" w:type="pct"/>
            <w:tcBorders>
              <w:top w:val="nil"/>
              <w:left w:val="nil"/>
              <w:bottom w:val="nil"/>
              <w:right w:val="nil"/>
            </w:tcBorders>
            <w:shd w:val="clear" w:color="auto" w:fill="auto"/>
            <w:noWrap/>
            <w:vAlign w:val="center"/>
          </w:tcPr>
          <w:p w14:paraId="4F3418B4" w14:textId="0A2CA01F"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44.259</w:t>
            </w:r>
          </w:p>
        </w:tc>
      </w:tr>
      <w:tr w:rsidR="00F71ED9" w:rsidRPr="00A6292B" w14:paraId="59895A6A" w14:textId="77777777" w:rsidTr="006E1AF7">
        <w:trPr>
          <w:trHeight w:val="285"/>
        </w:trPr>
        <w:tc>
          <w:tcPr>
            <w:tcW w:w="2613" w:type="pct"/>
            <w:tcBorders>
              <w:top w:val="nil"/>
              <w:left w:val="nil"/>
              <w:bottom w:val="nil"/>
              <w:right w:val="nil"/>
            </w:tcBorders>
            <w:shd w:val="clear" w:color="auto" w:fill="auto"/>
            <w:vAlign w:val="center"/>
            <w:hideMark/>
          </w:tcPr>
          <w:p w14:paraId="5587CE59" w14:textId="77777777" w:rsidR="00F71ED9" w:rsidRPr="00A6292B" w:rsidRDefault="00F71ED9" w:rsidP="00F71ED9">
            <w:pPr>
              <w:rPr>
                <w:rFonts w:ascii="Arial" w:hAnsi="Arial" w:cs="Arial"/>
                <w:sz w:val="16"/>
                <w:szCs w:val="16"/>
                <w:lang w:eastAsia="es-AR"/>
              </w:rPr>
            </w:pPr>
            <w:r w:rsidRPr="00A6292B">
              <w:rPr>
                <w:rFonts w:ascii="Arial" w:hAnsi="Arial" w:cs="Arial"/>
                <w:sz w:val="16"/>
                <w:szCs w:val="16"/>
                <w:lang w:eastAsia="es-AR"/>
              </w:rPr>
              <w:t>Otros pasivos no financieros</w:t>
            </w:r>
          </w:p>
        </w:tc>
        <w:tc>
          <w:tcPr>
            <w:tcW w:w="454" w:type="pct"/>
            <w:tcBorders>
              <w:top w:val="nil"/>
              <w:left w:val="nil"/>
              <w:bottom w:val="nil"/>
              <w:right w:val="nil"/>
            </w:tcBorders>
            <w:shd w:val="clear" w:color="auto" w:fill="auto"/>
            <w:vAlign w:val="center"/>
          </w:tcPr>
          <w:p w14:paraId="56040A37" w14:textId="218F05D2" w:rsidR="00F71ED9" w:rsidRPr="008940E2" w:rsidRDefault="00F71ED9" w:rsidP="00F71ED9">
            <w:pPr>
              <w:jc w:val="center"/>
              <w:rPr>
                <w:rFonts w:ascii="Arial" w:hAnsi="Arial" w:cs="Arial"/>
                <w:sz w:val="16"/>
                <w:szCs w:val="16"/>
                <w:lang w:eastAsia="es-AR"/>
              </w:rPr>
            </w:pPr>
            <w:r w:rsidRPr="008940E2">
              <w:rPr>
                <w:rFonts w:ascii="Arial" w:hAnsi="Arial" w:cs="Arial"/>
                <w:sz w:val="16"/>
                <w:szCs w:val="16"/>
                <w:lang w:eastAsia="es-AR"/>
              </w:rPr>
              <w:t>6.14</w:t>
            </w:r>
          </w:p>
        </w:tc>
        <w:tc>
          <w:tcPr>
            <w:tcW w:w="1075" w:type="pct"/>
            <w:tcBorders>
              <w:top w:val="nil"/>
              <w:left w:val="nil"/>
              <w:bottom w:val="nil"/>
              <w:right w:val="nil"/>
            </w:tcBorders>
            <w:vAlign w:val="center"/>
          </w:tcPr>
          <w:p w14:paraId="73F289FA" w14:textId="44ECEC4F" w:rsidR="00F71ED9" w:rsidRPr="00F71ED9" w:rsidRDefault="00F71ED9">
            <w:pPr>
              <w:jc w:val="right"/>
              <w:rPr>
                <w:rFonts w:ascii="Arial" w:hAnsi="Arial" w:cs="Arial"/>
                <w:sz w:val="16"/>
                <w:szCs w:val="16"/>
              </w:rPr>
            </w:pPr>
            <w:r w:rsidRPr="006E1AF7">
              <w:rPr>
                <w:rFonts w:ascii="Arial" w:hAnsi="Arial" w:cs="Arial"/>
                <w:sz w:val="16"/>
                <w:szCs w:val="16"/>
              </w:rPr>
              <w:t xml:space="preserve">6.373.959 </w:t>
            </w:r>
          </w:p>
        </w:tc>
        <w:tc>
          <w:tcPr>
            <w:tcW w:w="858" w:type="pct"/>
            <w:tcBorders>
              <w:top w:val="nil"/>
              <w:left w:val="nil"/>
              <w:bottom w:val="nil"/>
              <w:right w:val="nil"/>
            </w:tcBorders>
            <w:shd w:val="clear" w:color="auto" w:fill="auto"/>
            <w:noWrap/>
            <w:vAlign w:val="center"/>
          </w:tcPr>
          <w:p w14:paraId="7408D0AB" w14:textId="0C3BDFD2"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3.998.22</w:t>
            </w:r>
            <w:r w:rsidR="00FE52BB">
              <w:rPr>
                <w:rFonts w:ascii="Arial" w:hAnsi="Arial" w:cs="Arial"/>
                <w:sz w:val="16"/>
                <w:szCs w:val="16"/>
              </w:rPr>
              <w:t>8</w:t>
            </w:r>
          </w:p>
        </w:tc>
      </w:tr>
      <w:tr w:rsidR="00F71ED9" w:rsidRPr="00A6292B" w14:paraId="1A4AC199" w14:textId="77777777" w:rsidTr="006E1AF7">
        <w:trPr>
          <w:trHeight w:val="285"/>
        </w:trPr>
        <w:tc>
          <w:tcPr>
            <w:tcW w:w="2613" w:type="pct"/>
            <w:tcBorders>
              <w:top w:val="nil"/>
              <w:left w:val="nil"/>
              <w:bottom w:val="nil"/>
              <w:right w:val="nil"/>
            </w:tcBorders>
            <w:shd w:val="clear" w:color="auto" w:fill="auto"/>
            <w:vAlign w:val="center"/>
            <w:hideMark/>
          </w:tcPr>
          <w:p w14:paraId="055E8295" w14:textId="77777777" w:rsidR="00F71ED9" w:rsidRPr="00A6292B" w:rsidRDefault="00F71ED9" w:rsidP="00F71ED9">
            <w:pPr>
              <w:rPr>
                <w:rFonts w:ascii="Arial" w:hAnsi="Arial" w:cs="Arial"/>
                <w:b/>
                <w:bCs/>
                <w:sz w:val="16"/>
                <w:szCs w:val="16"/>
                <w:lang w:eastAsia="es-AR"/>
              </w:rPr>
            </w:pPr>
            <w:r w:rsidRPr="00A6292B">
              <w:rPr>
                <w:rFonts w:ascii="Arial" w:hAnsi="Arial" w:cs="Arial"/>
                <w:b/>
                <w:bCs/>
                <w:sz w:val="16"/>
                <w:szCs w:val="16"/>
                <w:lang w:eastAsia="es-AR"/>
              </w:rPr>
              <w:t>TOTAL DEL PASIVO</w:t>
            </w:r>
          </w:p>
        </w:tc>
        <w:tc>
          <w:tcPr>
            <w:tcW w:w="454" w:type="pct"/>
            <w:tcBorders>
              <w:top w:val="nil"/>
              <w:left w:val="nil"/>
              <w:bottom w:val="nil"/>
              <w:right w:val="nil"/>
            </w:tcBorders>
            <w:shd w:val="clear" w:color="auto" w:fill="auto"/>
            <w:vAlign w:val="center"/>
            <w:hideMark/>
          </w:tcPr>
          <w:p w14:paraId="15C4468E" w14:textId="77777777" w:rsidR="00F71ED9" w:rsidRPr="00A6292B" w:rsidRDefault="00F71ED9" w:rsidP="00F71ED9">
            <w:pPr>
              <w:jc w:val="center"/>
              <w:rPr>
                <w:rFonts w:ascii="Arial" w:hAnsi="Arial" w:cs="Arial"/>
                <w:b/>
                <w:bCs/>
                <w:sz w:val="16"/>
                <w:szCs w:val="16"/>
                <w:lang w:eastAsia="es-AR"/>
              </w:rPr>
            </w:pPr>
          </w:p>
        </w:tc>
        <w:tc>
          <w:tcPr>
            <w:tcW w:w="1075" w:type="pct"/>
            <w:tcBorders>
              <w:top w:val="single" w:sz="4" w:space="0" w:color="auto"/>
              <w:left w:val="nil"/>
              <w:bottom w:val="nil"/>
              <w:right w:val="nil"/>
            </w:tcBorders>
            <w:vAlign w:val="center"/>
          </w:tcPr>
          <w:p w14:paraId="4A321D68" w14:textId="503269D7" w:rsidR="00F71ED9" w:rsidRPr="00F71ED9" w:rsidRDefault="00F71ED9">
            <w:pPr>
              <w:jc w:val="right"/>
              <w:rPr>
                <w:rFonts w:ascii="Arial" w:hAnsi="Arial" w:cs="Arial"/>
                <w:b/>
                <w:sz w:val="16"/>
                <w:szCs w:val="16"/>
              </w:rPr>
            </w:pPr>
            <w:r w:rsidRPr="006E1AF7">
              <w:rPr>
                <w:rFonts w:ascii="Arial" w:hAnsi="Arial" w:cs="Arial"/>
                <w:b/>
                <w:bCs/>
                <w:sz w:val="16"/>
                <w:szCs w:val="16"/>
              </w:rPr>
              <w:t xml:space="preserve">120.493.241 </w:t>
            </w:r>
          </w:p>
        </w:tc>
        <w:tc>
          <w:tcPr>
            <w:tcW w:w="858" w:type="pct"/>
            <w:tcBorders>
              <w:top w:val="single" w:sz="4" w:space="0" w:color="auto"/>
              <w:left w:val="nil"/>
              <w:bottom w:val="nil"/>
              <w:right w:val="nil"/>
            </w:tcBorders>
            <w:shd w:val="clear" w:color="auto" w:fill="auto"/>
            <w:noWrap/>
            <w:vAlign w:val="center"/>
          </w:tcPr>
          <w:p w14:paraId="25D36072" w14:textId="70063B0D" w:rsidR="00F71ED9" w:rsidRPr="002E1AEA" w:rsidRDefault="00F71ED9" w:rsidP="00F71ED9">
            <w:pPr>
              <w:jc w:val="right"/>
              <w:rPr>
                <w:rFonts w:ascii="Arial" w:hAnsi="Arial" w:cs="Arial"/>
                <w:b/>
                <w:bCs/>
                <w:sz w:val="16"/>
                <w:szCs w:val="16"/>
                <w:lang w:eastAsia="es-AR"/>
              </w:rPr>
            </w:pPr>
            <w:r w:rsidRPr="002E1AEA">
              <w:rPr>
                <w:rFonts w:ascii="Arial" w:hAnsi="Arial" w:cs="Arial"/>
                <w:b/>
                <w:bCs/>
                <w:sz w:val="16"/>
                <w:szCs w:val="16"/>
              </w:rPr>
              <w:t>119.569.32</w:t>
            </w:r>
            <w:r w:rsidR="00FE52BB">
              <w:rPr>
                <w:rFonts w:ascii="Arial" w:hAnsi="Arial" w:cs="Arial"/>
                <w:b/>
                <w:bCs/>
                <w:sz w:val="16"/>
                <w:szCs w:val="16"/>
              </w:rPr>
              <w:t>5</w:t>
            </w:r>
          </w:p>
        </w:tc>
      </w:tr>
      <w:tr w:rsidR="003E487A" w:rsidRPr="00A6292B" w14:paraId="70AD46D0" w14:textId="77777777" w:rsidTr="006E1AF7">
        <w:trPr>
          <w:trHeight w:val="80"/>
        </w:trPr>
        <w:tc>
          <w:tcPr>
            <w:tcW w:w="2613" w:type="pct"/>
            <w:tcBorders>
              <w:top w:val="nil"/>
              <w:left w:val="nil"/>
              <w:bottom w:val="nil"/>
              <w:right w:val="nil"/>
            </w:tcBorders>
            <w:shd w:val="clear" w:color="auto" w:fill="auto"/>
            <w:hideMark/>
          </w:tcPr>
          <w:p w14:paraId="40F1C553" w14:textId="77777777" w:rsidR="003E487A" w:rsidRPr="00A6292B" w:rsidRDefault="003E487A" w:rsidP="003E487A">
            <w:pPr>
              <w:rPr>
                <w:rFonts w:ascii="Arial" w:hAnsi="Arial" w:cs="Arial"/>
                <w:b/>
                <w:bCs/>
                <w:sz w:val="10"/>
                <w:szCs w:val="10"/>
                <w:lang w:eastAsia="es-AR"/>
              </w:rPr>
            </w:pPr>
          </w:p>
        </w:tc>
        <w:tc>
          <w:tcPr>
            <w:tcW w:w="454" w:type="pct"/>
            <w:tcBorders>
              <w:top w:val="nil"/>
              <w:left w:val="nil"/>
              <w:bottom w:val="nil"/>
              <w:right w:val="nil"/>
            </w:tcBorders>
            <w:shd w:val="clear" w:color="auto" w:fill="auto"/>
            <w:vAlign w:val="center"/>
            <w:hideMark/>
          </w:tcPr>
          <w:p w14:paraId="162BEA94" w14:textId="77777777" w:rsidR="003E487A" w:rsidRPr="00A6292B" w:rsidRDefault="003E487A" w:rsidP="003E487A">
            <w:pPr>
              <w:jc w:val="center"/>
              <w:rPr>
                <w:rFonts w:ascii="Arial" w:hAnsi="Arial" w:cs="Arial"/>
                <w:sz w:val="10"/>
                <w:szCs w:val="10"/>
                <w:lang w:eastAsia="es-AR"/>
              </w:rPr>
            </w:pPr>
          </w:p>
        </w:tc>
        <w:tc>
          <w:tcPr>
            <w:tcW w:w="1075" w:type="pct"/>
            <w:tcBorders>
              <w:top w:val="nil"/>
              <w:left w:val="nil"/>
              <w:bottom w:val="nil"/>
              <w:right w:val="nil"/>
            </w:tcBorders>
            <w:vAlign w:val="center"/>
          </w:tcPr>
          <w:p w14:paraId="0FF9E5D8" w14:textId="77777777" w:rsidR="003E487A" w:rsidRPr="003E487A" w:rsidRDefault="003E487A" w:rsidP="003E487A">
            <w:pPr>
              <w:jc w:val="right"/>
              <w:rPr>
                <w:rFonts w:ascii="Arial" w:hAnsi="Arial" w:cs="Arial"/>
                <w:b/>
                <w:sz w:val="16"/>
                <w:szCs w:val="16"/>
                <w:lang w:eastAsia="es-AR"/>
              </w:rPr>
            </w:pPr>
          </w:p>
        </w:tc>
        <w:tc>
          <w:tcPr>
            <w:tcW w:w="858" w:type="pct"/>
            <w:tcBorders>
              <w:top w:val="nil"/>
              <w:left w:val="nil"/>
              <w:bottom w:val="nil"/>
              <w:right w:val="nil"/>
            </w:tcBorders>
            <w:shd w:val="clear" w:color="auto" w:fill="auto"/>
            <w:noWrap/>
            <w:vAlign w:val="center"/>
          </w:tcPr>
          <w:p w14:paraId="2DD2F90C" w14:textId="7F9EF3BF" w:rsidR="003E487A" w:rsidRPr="002E1AEA" w:rsidRDefault="003E487A" w:rsidP="003E487A">
            <w:pPr>
              <w:jc w:val="right"/>
              <w:rPr>
                <w:rFonts w:ascii="Arial" w:hAnsi="Arial" w:cs="Arial"/>
                <w:sz w:val="16"/>
                <w:szCs w:val="16"/>
                <w:lang w:eastAsia="es-AR"/>
              </w:rPr>
            </w:pPr>
          </w:p>
        </w:tc>
      </w:tr>
      <w:tr w:rsidR="003E487A" w:rsidRPr="00A6292B" w14:paraId="15493709" w14:textId="77777777" w:rsidTr="006E1AF7">
        <w:trPr>
          <w:trHeight w:val="285"/>
        </w:trPr>
        <w:tc>
          <w:tcPr>
            <w:tcW w:w="2613" w:type="pct"/>
            <w:tcBorders>
              <w:top w:val="nil"/>
              <w:left w:val="nil"/>
              <w:bottom w:val="nil"/>
              <w:right w:val="nil"/>
            </w:tcBorders>
            <w:shd w:val="clear" w:color="auto" w:fill="auto"/>
            <w:hideMark/>
          </w:tcPr>
          <w:p w14:paraId="428296B1" w14:textId="638599D7" w:rsidR="003E487A" w:rsidRPr="00A6292B" w:rsidRDefault="003E487A" w:rsidP="003E487A">
            <w:pPr>
              <w:rPr>
                <w:rFonts w:ascii="Arial" w:hAnsi="Arial" w:cs="Arial"/>
                <w:b/>
                <w:bCs/>
                <w:sz w:val="16"/>
                <w:szCs w:val="16"/>
                <w:lang w:eastAsia="es-AR"/>
              </w:rPr>
            </w:pPr>
            <w:r w:rsidRPr="00A6292B">
              <w:rPr>
                <w:rFonts w:ascii="Arial" w:hAnsi="Arial" w:cs="Arial"/>
                <w:b/>
                <w:bCs/>
                <w:sz w:val="16"/>
                <w:szCs w:val="16"/>
                <w:lang w:eastAsia="es-AR"/>
              </w:rPr>
              <w:t>PATRIMONIO NETO (Según estado respectivo)</w:t>
            </w:r>
          </w:p>
        </w:tc>
        <w:tc>
          <w:tcPr>
            <w:tcW w:w="454" w:type="pct"/>
            <w:tcBorders>
              <w:top w:val="nil"/>
              <w:left w:val="nil"/>
              <w:bottom w:val="nil"/>
              <w:right w:val="nil"/>
            </w:tcBorders>
            <w:shd w:val="clear" w:color="auto" w:fill="auto"/>
            <w:vAlign w:val="center"/>
            <w:hideMark/>
          </w:tcPr>
          <w:p w14:paraId="26DBEB54" w14:textId="77777777" w:rsidR="003E487A" w:rsidRPr="00A6292B" w:rsidRDefault="003E487A" w:rsidP="003E487A">
            <w:pPr>
              <w:jc w:val="center"/>
              <w:rPr>
                <w:rFonts w:ascii="Arial" w:hAnsi="Arial" w:cs="Arial"/>
                <w:b/>
                <w:bCs/>
                <w:sz w:val="16"/>
                <w:szCs w:val="16"/>
                <w:lang w:eastAsia="es-AR"/>
              </w:rPr>
            </w:pPr>
          </w:p>
        </w:tc>
        <w:tc>
          <w:tcPr>
            <w:tcW w:w="1075" w:type="pct"/>
            <w:tcBorders>
              <w:top w:val="nil"/>
              <w:left w:val="nil"/>
              <w:bottom w:val="nil"/>
              <w:right w:val="nil"/>
            </w:tcBorders>
            <w:vAlign w:val="center"/>
          </w:tcPr>
          <w:p w14:paraId="0F33D166" w14:textId="77777777" w:rsidR="003E487A" w:rsidRPr="003E487A" w:rsidRDefault="003E487A" w:rsidP="003E487A">
            <w:pPr>
              <w:jc w:val="right"/>
              <w:rPr>
                <w:rFonts w:ascii="Arial" w:hAnsi="Arial" w:cs="Arial"/>
                <w:sz w:val="16"/>
                <w:szCs w:val="16"/>
                <w:lang w:eastAsia="es-AR"/>
              </w:rPr>
            </w:pPr>
          </w:p>
        </w:tc>
        <w:tc>
          <w:tcPr>
            <w:tcW w:w="858" w:type="pct"/>
            <w:tcBorders>
              <w:top w:val="nil"/>
              <w:left w:val="nil"/>
              <w:bottom w:val="nil"/>
              <w:right w:val="nil"/>
            </w:tcBorders>
            <w:shd w:val="clear" w:color="auto" w:fill="auto"/>
            <w:noWrap/>
            <w:vAlign w:val="center"/>
          </w:tcPr>
          <w:p w14:paraId="5DDFC5FD" w14:textId="00F341E6" w:rsidR="003E487A" w:rsidRPr="002E1AEA" w:rsidRDefault="003E487A" w:rsidP="003E487A">
            <w:pPr>
              <w:jc w:val="right"/>
              <w:rPr>
                <w:rFonts w:ascii="Arial" w:hAnsi="Arial" w:cs="Arial"/>
                <w:sz w:val="16"/>
                <w:szCs w:val="16"/>
                <w:lang w:eastAsia="es-AR"/>
              </w:rPr>
            </w:pPr>
          </w:p>
        </w:tc>
      </w:tr>
      <w:tr w:rsidR="00F71ED9" w:rsidRPr="00A6292B" w14:paraId="155AC4B0" w14:textId="77777777" w:rsidTr="006E1AF7">
        <w:trPr>
          <w:trHeight w:val="285"/>
        </w:trPr>
        <w:tc>
          <w:tcPr>
            <w:tcW w:w="2613" w:type="pct"/>
            <w:tcBorders>
              <w:top w:val="nil"/>
              <w:left w:val="nil"/>
              <w:bottom w:val="nil"/>
              <w:right w:val="nil"/>
            </w:tcBorders>
            <w:shd w:val="clear" w:color="auto" w:fill="auto"/>
            <w:vAlign w:val="center"/>
            <w:hideMark/>
          </w:tcPr>
          <w:p w14:paraId="34D10BDE" w14:textId="0C1235AF" w:rsidR="00F71ED9" w:rsidRPr="00A6292B" w:rsidRDefault="00F71ED9" w:rsidP="00F71ED9">
            <w:pPr>
              <w:ind w:firstLineChars="300" w:firstLine="480"/>
              <w:rPr>
                <w:rFonts w:ascii="Arial" w:hAnsi="Arial" w:cs="Arial"/>
                <w:sz w:val="16"/>
                <w:szCs w:val="16"/>
                <w:lang w:eastAsia="es-AR"/>
              </w:rPr>
            </w:pPr>
            <w:r w:rsidRPr="00A6292B">
              <w:rPr>
                <w:rFonts w:ascii="Arial" w:hAnsi="Arial" w:cs="Arial"/>
                <w:sz w:val="16"/>
                <w:szCs w:val="16"/>
                <w:lang w:eastAsia="es-AR"/>
              </w:rPr>
              <w:t xml:space="preserve">Capital social </w:t>
            </w:r>
            <w:r w:rsidRPr="00856288">
              <w:rPr>
                <w:rFonts w:ascii="Arial" w:hAnsi="Arial" w:cs="Arial"/>
                <w:b/>
                <w:sz w:val="16"/>
                <w:szCs w:val="16"/>
                <w:lang w:eastAsia="es-AR"/>
              </w:rPr>
              <w:t>(Anexo K)</w:t>
            </w:r>
          </w:p>
        </w:tc>
        <w:tc>
          <w:tcPr>
            <w:tcW w:w="454" w:type="pct"/>
            <w:tcBorders>
              <w:top w:val="nil"/>
              <w:left w:val="nil"/>
              <w:bottom w:val="nil"/>
              <w:right w:val="nil"/>
            </w:tcBorders>
            <w:shd w:val="clear" w:color="auto" w:fill="auto"/>
            <w:vAlign w:val="center"/>
            <w:hideMark/>
          </w:tcPr>
          <w:p w14:paraId="52C114F2" w14:textId="77777777" w:rsidR="00F71ED9" w:rsidRPr="00A6292B" w:rsidRDefault="00F71ED9" w:rsidP="00F71ED9">
            <w:pPr>
              <w:ind w:firstLineChars="300" w:firstLine="480"/>
              <w:jc w:val="center"/>
              <w:rPr>
                <w:rFonts w:ascii="Arial" w:hAnsi="Arial" w:cs="Arial"/>
                <w:sz w:val="16"/>
                <w:szCs w:val="16"/>
                <w:lang w:eastAsia="es-AR"/>
              </w:rPr>
            </w:pPr>
          </w:p>
        </w:tc>
        <w:tc>
          <w:tcPr>
            <w:tcW w:w="1075" w:type="pct"/>
            <w:tcBorders>
              <w:top w:val="nil"/>
              <w:left w:val="nil"/>
              <w:bottom w:val="nil"/>
              <w:right w:val="nil"/>
            </w:tcBorders>
            <w:vAlign w:val="center"/>
          </w:tcPr>
          <w:p w14:paraId="3E8442FD" w14:textId="39134076" w:rsidR="00F71ED9" w:rsidRPr="00F71ED9" w:rsidRDefault="00F71ED9">
            <w:pPr>
              <w:jc w:val="right"/>
              <w:rPr>
                <w:rFonts w:ascii="Arial" w:hAnsi="Arial" w:cs="Arial"/>
                <w:sz w:val="16"/>
                <w:szCs w:val="16"/>
              </w:rPr>
            </w:pPr>
            <w:r w:rsidRPr="006E1AF7">
              <w:rPr>
                <w:rFonts w:ascii="Arial" w:hAnsi="Arial" w:cs="Arial"/>
                <w:sz w:val="16"/>
                <w:szCs w:val="16"/>
              </w:rPr>
              <w:t xml:space="preserve">829.564 </w:t>
            </w:r>
          </w:p>
        </w:tc>
        <w:tc>
          <w:tcPr>
            <w:tcW w:w="858" w:type="pct"/>
            <w:tcBorders>
              <w:top w:val="nil"/>
              <w:left w:val="nil"/>
              <w:bottom w:val="nil"/>
              <w:right w:val="nil"/>
            </w:tcBorders>
            <w:shd w:val="clear" w:color="auto" w:fill="auto"/>
            <w:noWrap/>
            <w:vAlign w:val="center"/>
          </w:tcPr>
          <w:p w14:paraId="544D64D3" w14:textId="51F4FC6A"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808.852</w:t>
            </w:r>
          </w:p>
        </w:tc>
      </w:tr>
      <w:tr w:rsidR="00F71ED9" w:rsidRPr="00A6292B" w14:paraId="05306769" w14:textId="77777777" w:rsidTr="006E1AF7">
        <w:trPr>
          <w:trHeight w:val="285"/>
        </w:trPr>
        <w:tc>
          <w:tcPr>
            <w:tcW w:w="2613" w:type="pct"/>
            <w:tcBorders>
              <w:top w:val="nil"/>
              <w:left w:val="nil"/>
              <w:bottom w:val="nil"/>
              <w:right w:val="nil"/>
            </w:tcBorders>
            <w:shd w:val="clear" w:color="auto" w:fill="auto"/>
            <w:vAlign w:val="center"/>
            <w:hideMark/>
          </w:tcPr>
          <w:p w14:paraId="56384264" w14:textId="77777777" w:rsidR="00F71ED9" w:rsidRPr="00A6292B" w:rsidRDefault="00F71ED9" w:rsidP="00F71ED9">
            <w:pPr>
              <w:ind w:firstLineChars="300" w:firstLine="480"/>
              <w:rPr>
                <w:rFonts w:ascii="Arial" w:hAnsi="Arial" w:cs="Arial"/>
                <w:sz w:val="16"/>
                <w:szCs w:val="16"/>
                <w:lang w:eastAsia="es-AR"/>
              </w:rPr>
            </w:pPr>
            <w:r w:rsidRPr="00A6292B">
              <w:rPr>
                <w:rFonts w:ascii="Arial" w:hAnsi="Arial" w:cs="Arial"/>
                <w:sz w:val="16"/>
                <w:szCs w:val="16"/>
                <w:lang w:eastAsia="es-AR"/>
              </w:rPr>
              <w:t>Aportes no capitalizados</w:t>
            </w:r>
          </w:p>
        </w:tc>
        <w:tc>
          <w:tcPr>
            <w:tcW w:w="454" w:type="pct"/>
            <w:tcBorders>
              <w:top w:val="nil"/>
              <w:left w:val="nil"/>
              <w:bottom w:val="nil"/>
              <w:right w:val="nil"/>
            </w:tcBorders>
            <w:shd w:val="clear" w:color="auto" w:fill="auto"/>
            <w:vAlign w:val="center"/>
            <w:hideMark/>
          </w:tcPr>
          <w:p w14:paraId="4757E7D8" w14:textId="77777777" w:rsidR="00F71ED9" w:rsidRPr="00A6292B" w:rsidRDefault="00F71ED9" w:rsidP="00F71ED9">
            <w:pPr>
              <w:ind w:firstLineChars="300" w:firstLine="480"/>
              <w:jc w:val="center"/>
              <w:rPr>
                <w:rFonts w:ascii="Arial" w:hAnsi="Arial" w:cs="Arial"/>
                <w:sz w:val="16"/>
                <w:szCs w:val="16"/>
                <w:lang w:eastAsia="es-AR"/>
              </w:rPr>
            </w:pPr>
          </w:p>
        </w:tc>
        <w:tc>
          <w:tcPr>
            <w:tcW w:w="1075" w:type="pct"/>
            <w:tcBorders>
              <w:top w:val="nil"/>
              <w:left w:val="nil"/>
              <w:bottom w:val="nil"/>
              <w:right w:val="nil"/>
            </w:tcBorders>
            <w:vAlign w:val="center"/>
          </w:tcPr>
          <w:p w14:paraId="7FD60CA2" w14:textId="329CC32A" w:rsidR="00F71ED9" w:rsidRPr="00F71ED9" w:rsidRDefault="00F71ED9">
            <w:pPr>
              <w:jc w:val="right"/>
              <w:rPr>
                <w:rFonts w:ascii="Arial" w:hAnsi="Arial" w:cs="Arial"/>
                <w:sz w:val="16"/>
                <w:szCs w:val="16"/>
              </w:rPr>
            </w:pPr>
            <w:r w:rsidRPr="006E1AF7">
              <w:rPr>
                <w:rFonts w:ascii="Arial" w:hAnsi="Arial" w:cs="Arial"/>
                <w:sz w:val="16"/>
                <w:szCs w:val="16"/>
              </w:rPr>
              <w:t xml:space="preserve">6.898.635 </w:t>
            </w:r>
          </w:p>
        </w:tc>
        <w:tc>
          <w:tcPr>
            <w:tcW w:w="858" w:type="pct"/>
            <w:tcBorders>
              <w:top w:val="nil"/>
              <w:left w:val="nil"/>
              <w:bottom w:val="nil"/>
              <w:right w:val="nil"/>
            </w:tcBorders>
            <w:shd w:val="clear" w:color="auto" w:fill="auto"/>
            <w:noWrap/>
            <w:vAlign w:val="center"/>
          </w:tcPr>
          <w:p w14:paraId="12662A6E" w14:textId="730AC936"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6.444.347</w:t>
            </w:r>
          </w:p>
        </w:tc>
      </w:tr>
      <w:tr w:rsidR="00F71ED9" w:rsidRPr="00A6292B" w14:paraId="608B26BD" w14:textId="77777777" w:rsidTr="006E1AF7">
        <w:trPr>
          <w:trHeight w:val="285"/>
        </w:trPr>
        <w:tc>
          <w:tcPr>
            <w:tcW w:w="2613" w:type="pct"/>
            <w:tcBorders>
              <w:top w:val="nil"/>
              <w:left w:val="nil"/>
              <w:bottom w:val="nil"/>
              <w:right w:val="nil"/>
            </w:tcBorders>
            <w:shd w:val="clear" w:color="auto" w:fill="auto"/>
            <w:vAlign w:val="center"/>
            <w:hideMark/>
          </w:tcPr>
          <w:p w14:paraId="53168AFA" w14:textId="77777777" w:rsidR="00F71ED9" w:rsidRPr="00A6292B" w:rsidRDefault="00F71ED9" w:rsidP="00F71ED9">
            <w:pPr>
              <w:ind w:firstLineChars="300" w:firstLine="480"/>
              <w:rPr>
                <w:rFonts w:ascii="Arial" w:hAnsi="Arial" w:cs="Arial"/>
                <w:sz w:val="16"/>
                <w:szCs w:val="16"/>
                <w:lang w:eastAsia="es-AR"/>
              </w:rPr>
            </w:pPr>
            <w:r w:rsidRPr="00A6292B">
              <w:rPr>
                <w:rFonts w:ascii="Arial" w:hAnsi="Arial" w:cs="Arial"/>
                <w:sz w:val="16"/>
                <w:szCs w:val="16"/>
                <w:lang w:eastAsia="es-AR"/>
              </w:rPr>
              <w:t>Ganancias reservadas</w:t>
            </w:r>
          </w:p>
        </w:tc>
        <w:tc>
          <w:tcPr>
            <w:tcW w:w="454" w:type="pct"/>
            <w:tcBorders>
              <w:top w:val="nil"/>
              <w:left w:val="nil"/>
              <w:bottom w:val="nil"/>
              <w:right w:val="nil"/>
            </w:tcBorders>
            <w:shd w:val="clear" w:color="auto" w:fill="auto"/>
            <w:vAlign w:val="center"/>
            <w:hideMark/>
          </w:tcPr>
          <w:p w14:paraId="22DE74E9" w14:textId="77777777" w:rsidR="00F71ED9" w:rsidRPr="00A6292B" w:rsidRDefault="00F71ED9" w:rsidP="00F71ED9">
            <w:pPr>
              <w:ind w:firstLineChars="300" w:firstLine="480"/>
              <w:jc w:val="center"/>
              <w:rPr>
                <w:rFonts w:ascii="Arial" w:hAnsi="Arial" w:cs="Arial"/>
                <w:sz w:val="16"/>
                <w:szCs w:val="16"/>
                <w:lang w:eastAsia="es-AR"/>
              </w:rPr>
            </w:pPr>
          </w:p>
        </w:tc>
        <w:tc>
          <w:tcPr>
            <w:tcW w:w="1075" w:type="pct"/>
            <w:tcBorders>
              <w:top w:val="nil"/>
              <w:left w:val="nil"/>
              <w:bottom w:val="nil"/>
              <w:right w:val="nil"/>
            </w:tcBorders>
            <w:vAlign w:val="center"/>
          </w:tcPr>
          <w:p w14:paraId="30D75689" w14:textId="42F7E2FF" w:rsidR="00F71ED9" w:rsidRPr="00F71ED9" w:rsidRDefault="00F71ED9">
            <w:pPr>
              <w:jc w:val="right"/>
              <w:rPr>
                <w:rFonts w:ascii="Arial" w:hAnsi="Arial" w:cs="Arial"/>
                <w:sz w:val="16"/>
                <w:szCs w:val="16"/>
              </w:rPr>
            </w:pPr>
            <w:r w:rsidRPr="006E1AF7">
              <w:rPr>
                <w:rFonts w:ascii="Arial" w:hAnsi="Arial" w:cs="Arial"/>
                <w:sz w:val="16"/>
                <w:szCs w:val="16"/>
              </w:rPr>
              <w:t xml:space="preserve">5.342.776 </w:t>
            </w:r>
          </w:p>
        </w:tc>
        <w:tc>
          <w:tcPr>
            <w:tcW w:w="858" w:type="pct"/>
            <w:tcBorders>
              <w:top w:val="nil"/>
              <w:left w:val="nil"/>
              <w:bottom w:val="nil"/>
              <w:right w:val="nil"/>
            </w:tcBorders>
            <w:shd w:val="clear" w:color="auto" w:fill="auto"/>
            <w:noWrap/>
            <w:vAlign w:val="center"/>
          </w:tcPr>
          <w:p w14:paraId="4B37CB30" w14:textId="5ADB79AA"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4.602.483</w:t>
            </w:r>
          </w:p>
        </w:tc>
      </w:tr>
      <w:tr w:rsidR="00F71ED9" w:rsidRPr="00A6292B" w14:paraId="289FFF1F" w14:textId="77777777" w:rsidTr="006E1AF7">
        <w:trPr>
          <w:trHeight w:val="285"/>
        </w:trPr>
        <w:tc>
          <w:tcPr>
            <w:tcW w:w="2613" w:type="pct"/>
            <w:tcBorders>
              <w:top w:val="nil"/>
              <w:left w:val="nil"/>
              <w:bottom w:val="nil"/>
              <w:right w:val="nil"/>
            </w:tcBorders>
            <w:shd w:val="clear" w:color="auto" w:fill="auto"/>
            <w:vAlign w:val="center"/>
            <w:hideMark/>
          </w:tcPr>
          <w:p w14:paraId="555A0EA7" w14:textId="77777777" w:rsidR="00F71ED9" w:rsidRPr="00A6292B" w:rsidRDefault="00F71ED9" w:rsidP="00F71ED9">
            <w:pPr>
              <w:ind w:firstLineChars="300" w:firstLine="480"/>
              <w:rPr>
                <w:rFonts w:ascii="Arial" w:hAnsi="Arial" w:cs="Arial"/>
                <w:sz w:val="16"/>
                <w:szCs w:val="16"/>
                <w:lang w:eastAsia="es-AR"/>
              </w:rPr>
            </w:pPr>
            <w:r w:rsidRPr="00A6292B">
              <w:rPr>
                <w:rFonts w:ascii="Arial" w:hAnsi="Arial" w:cs="Arial"/>
                <w:sz w:val="16"/>
                <w:szCs w:val="16"/>
                <w:lang w:eastAsia="es-AR"/>
              </w:rPr>
              <w:t>Resultados no asignados</w:t>
            </w:r>
          </w:p>
        </w:tc>
        <w:tc>
          <w:tcPr>
            <w:tcW w:w="454" w:type="pct"/>
            <w:tcBorders>
              <w:top w:val="nil"/>
              <w:left w:val="nil"/>
              <w:bottom w:val="nil"/>
              <w:right w:val="nil"/>
            </w:tcBorders>
            <w:shd w:val="clear" w:color="auto" w:fill="auto"/>
            <w:vAlign w:val="center"/>
            <w:hideMark/>
          </w:tcPr>
          <w:p w14:paraId="7AF10F61" w14:textId="77777777" w:rsidR="00F71ED9" w:rsidRPr="00A6292B" w:rsidRDefault="00F71ED9" w:rsidP="00F71ED9">
            <w:pPr>
              <w:ind w:firstLineChars="300" w:firstLine="480"/>
              <w:jc w:val="center"/>
              <w:rPr>
                <w:rFonts w:ascii="Arial" w:hAnsi="Arial" w:cs="Arial"/>
                <w:sz w:val="16"/>
                <w:szCs w:val="16"/>
                <w:lang w:eastAsia="es-AR"/>
              </w:rPr>
            </w:pPr>
          </w:p>
        </w:tc>
        <w:tc>
          <w:tcPr>
            <w:tcW w:w="1075" w:type="pct"/>
            <w:tcBorders>
              <w:top w:val="nil"/>
              <w:left w:val="nil"/>
              <w:bottom w:val="nil"/>
              <w:right w:val="nil"/>
            </w:tcBorders>
            <w:vAlign w:val="center"/>
          </w:tcPr>
          <w:p w14:paraId="65C571AA" w14:textId="3ACC2814" w:rsidR="00F71ED9" w:rsidRPr="00F71ED9" w:rsidRDefault="00F71ED9">
            <w:pPr>
              <w:jc w:val="right"/>
              <w:rPr>
                <w:rFonts w:ascii="Arial" w:hAnsi="Arial" w:cs="Arial"/>
                <w:sz w:val="16"/>
                <w:szCs w:val="16"/>
              </w:rPr>
            </w:pPr>
            <w:r w:rsidRPr="006E1AF7">
              <w:rPr>
                <w:rFonts w:ascii="Arial" w:hAnsi="Arial" w:cs="Arial"/>
                <w:sz w:val="16"/>
                <w:szCs w:val="16"/>
              </w:rPr>
              <w:t xml:space="preserve">8.623 </w:t>
            </w:r>
          </w:p>
        </w:tc>
        <w:tc>
          <w:tcPr>
            <w:tcW w:w="858" w:type="pct"/>
            <w:tcBorders>
              <w:top w:val="nil"/>
              <w:left w:val="nil"/>
              <w:bottom w:val="nil"/>
              <w:right w:val="nil"/>
            </w:tcBorders>
            <w:shd w:val="clear" w:color="auto" w:fill="auto"/>
            <w:noWrap/>
            <w:vAlign w:val="center"/>
          </w:tcPr>
          <w:p w14:paraId="0CE7FFF7" w14:textId="3A1451AB"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-930.22</w:t>
            </w:r>
            <w:r w:rsidR="00FE52BB">
              <w:rPr>
                <w:rFonts w:ascii="Arial" w:hAnsi="Arial" w:cs="Arial"/>
                <w:sz w:val="16"/>
                <w:szCs w:val="16"/>
              </w:rPr>
              <w:t>2</w:t>
            </w:r>
          </w:p>
        </w:tc>
      </w:tr>
      <w:tr w:rsidR="00F71ED9" w:rsidRPr="00A6292B" w14:paraId="55F705CA" w14:textId="77777777" w:rsidTr="006E1AF7">
        <w:trPr>
          <w:trHeight w:val="285"/>
        </w:trPr>
        <w:tc>
          <w:tcPr>
            <w:tcW w:w="2613" w:type="pct"/>
            <w:tcBorders>
              <w:top w:val="nil"/>
              <w:left w:val="nil"/>
              <w:bottom w:val="nil"/>
              <w:right w:val="nil"/>
            </w:tcBorders>
            <w:shd w:val="clear" w:color="auto" w:fill="auto"/>
            <w:vAlign w:val="center"/>
            <w:hideMark/>
          </w:tcPr>
          <w:p w14:paraId="1D0B08B4" w14:textId="77777777" w:rsidR="00F71ED9" w:rsidRPr="00A6292B" w:rsidRDefault="00F71ED9" w:rsidP="00F71ED9">
            <w:pPr>
              <w:ind w:firstLineChars="300" w:firstLine="480"/>
              <w:rPr>
                <w:rFonts w:ascii="Arial" w:hAnsi="Arial" w:cs="Arial"/>
                <w:sz w:val="16"/>
                <w:szCs w:val="16"/>
                <w:lang w:eastAsia="es-AR"/>
              </w:rPr>
            </w:pPr>
            <w:r w:rsidRPr="00A6292B">
              <w:rPr>
                <w:rFonts w:ascii="Arial" w:hAnsi="Arial" w:cs="Arial"/>
                <w:sz w:val="16"/>
                <w:szCs w:val="16"/>
                <w:lang w:eastAsia="es-AR"/>
              </w:rPr>
              <w:t>Otros Resultados Integrales acumulados</w:t>
            </w:r>
          </w:p>
        </w:tc>
        <w:tc>
          <w:tcPr>
            <w:tcW w:w="454" w:type="pct"/>
            <w:tcBorders>
              <w:top w:val="nil"/>
              <w:left w:val="nil"/>
              <w:bottom w:val="nil"/>
              <w:right w:val="nil"/>
            </w:tcBorders>
            <w:shd w:val="clear" w:color="auto" w:fill="auto"/>
            <w:vAlign w:val="center"/>
            <w:hideMark/>
          </w:tcPr>
          <w:p w14:paraId="4B599CF5" w14:textId="77777777" w:rsidR="00F71ED9" w:rsidRPr="00A6292B" w:rsidRDefault="00F71ED9" w:rsidP="00F71ED9">
            <w:pPr>
              <w:ind w:firstLineChars="300" w:firstLine="480"/>
              <w:jc w:val="center"/>
              <w:rPr>
                <w:rFonts w:ascii="Arial" w:hAnsi="Arial" w:cs="Arial"/>
                <w:sz w:val="16"/>
                <w:szCs w:val="16"/>
                <w:lang w:eastAsia="es-AR"/>
              </w:rPr>
            </w:pPr>
          </w:p>
        </w:tc>
        <w:tc>
          <w:tcPr>
            <w:tcW w:w="1075" w:type="pct"/>
            <w:tcBorders>
              <w:top w:val="nil"/>
              <w:left w:val="nil"/>
              <w:bottom w:val="nil"/>
              <w:right w:val="nil"/>
            </w:tcBorders>
            <w:vAlign w:val="center"/>
          </w:tcPr>
          <w:p w14:paraId="26C89D3E" w14:textId="452A6021" w:rsidR="00F71ED9" w:rsidRPr="00F71ED9" w:rsidRDefault="00F71ED9">
            <w:pPr>
              <w:jc w:val="right"/>
              <w:rPr>
                <w:rFonts w:ascii="Arial" w:hAnsi="Arial" w:cs="Arial"/>
                <w:sz w:val="16"/>
                <w:szCs w:val="16"/>
              </w:rPr>
            </w:pPr>
            <w:r w:rsidRPr="006E1AF7">
              <w:rPr>
                <w:rFonts w:ascii="Arial" w:hAnsi="Arial" w:cs="Arial"/>
                <w:sz w:val="16"/>
                <w:szCs w:val="16"/>
              </w:rPr>
              <w:t xml:space="preserve">1.037.113 </w:t>
            </w:r>
          </w:p>
        </w:tc>
        <w:tc>
          <w:tcPr>
            <w:tcW w:w="858" w:type="pct"/>
            <w:tcBorders>
              <w:top w:val="nil"/>
              <w:left w:val="nil"/>
              <w:bottom w:val="nil"/>
              <w:right w:val="nil"/>
            </w:tcBorders>
            <w:shd w:val="clear" w:color="auto" w:fill="auto"/>
            <w:noWrap/>
            <w:vAlign w:val="center"/>
          </w:tcPr>
          <w:p w14:paraId="47E74C5A" w14:textId="62A6744D"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589.504</w:t>
            </w:r>
          </w:p>
        </w:tc>
      </w:tr>
      <w:tr w:rsidR="00F71ED9" w:rsidRPr="00A6292B" w14:paraId="428553B8" w14:textId="77777777" w:rsidTr="006E1AF7">
        <w:trPr>
          <w:trHeight w:val="285"/>
        </w:trPr>
        <w:tc>
          <w:tcPr>
            <w:tcW w:w="2613" w:type="pct"/>
            <w:tcBorders>
              <w:top w:val="nil"/>
              <w:left w:val="nil"/>
              <w:bottom w:val="nil"/>
              <w:right w:val="nil"/>
            </w:tcBorders>
            <w:shd w:val="clear" w:color="auto" w:fill="auto"/>
            <w:vAlign w:val="center"/>
            <w:hideMark/>
          </w:tcPr>
          <w:p w14:paraId="00A6086E" w14:textId="110CB98F" w:rsidR="00F71ED9" w:rsidRPr="00A6292B" w:rsidRDefault="00F71ED9" w:rsidP="00F71ED9">
            <w:pPr>
              <w:ind w:firstLineChars="300" w:firstLine="480"/>
              <w:rPr>
                <w:rFonts w:ascii="Arial" w:hAnsi="Arial" w:cs="Arial"/>
                <w:sz w:val="16"/>
                <w:szCs w:val="16"/>
                <w:lang w:eastAsia="es-AR"/>
              </w:rPr>
            </w:pPr>
            <w:r w:rsidRPr="00A6292B">
              <w:rPr>
                <w:rFonts w:ascii="Arial" w:hAnsi="Arial" w:cs="Arial"/>
                <w:sz w:val="16"/>
                <w:szCs w:val="16"/>
                <w:lang w:eastAsia="es-AR"/>
              </w:rPr>
              <w:t xml:space="preserve">Resultado del </w:t>
            </w:r>
            <w:r>
              <w:rPr>
                <w:rFonts w:ascii="Arial" w:hAnsi="Arial" w:cs="Arial"/>
                <w:sz w:val="16"/>
                <w:szCs w:val="16"/>
                <w:lang w:eastAsia="es-AR"/>
              </w:rPr>
              <w:t>ejercicio</w:t>
            </w:r>
          </w:p>
        </w:tc>
        <w:tc>
          <w:tcPr>
            <w:tcW w:w="454" w:type="pct"/>
            <w:tcBorders>
              <w:top w:val="nil"/>
              <w:left w:val="nil"/>
              <w:bottom w:val="nil"/>
              <w:right w:val="nil"/>
            </w:tcBorders>
            <w:shd w:val="clear" w:color="auto" w:fill="auto"/>
            <w:vAlign w:val="center"/>
            <w:hideMark/>
          </w:tcPr>
          <w:p w14:paraId="7C9E029A" w14:textId="77777777" w:rsidR="00F71ED9" w:rsidRPr="00A6292B" w:rsidRDefault="00F71ED9" w:rsidP="00F71ED9">
            <w:pPr>
              <w:ind w:firstLineChars="300" w:firstLine="480"/>
              <w:jc w:val="center"/>
              <w:rPr>
                <w:rFonts w:ascii="Arial" w:hAnsi="Arial" w:cs="Arial"/>
                <w:sz w:val="16"/>
                <w:szCs w:val="16"/>
                <w:lang w:eastAsia="es-AR"/>
              </w:rPr>
            </w:pPr>
          </w:p>
        </w:tc>
        <w:tc>
          <w:tcPr>
            <w:tcW w:w="1075" w:type="pct"/>
            <w:tcBorders>
              <w:top w:val="nil"/>
              <w:left w:val="nil"/>
              <w:bottom w:val="nil"/>
              <w:right w:val="nil"/>
            </w:tcBorders>
            <w:vAlign w:val="center"/>
          </w:tcPr>
          <w:p w14:paraId="6C660BEA" w14:textId="05B6BC2A" w:rsidR="00F71ED9" w:rsidRPr="00F71ED9" w:rsidRDefault="00F71ED9">
            <w:pPr>
              <w:jc w:val="right"/>
              <w:rPr>
                <w:rFonts w:ascii="Arial" w:hAnsi="Arial" w:cs="Arial"/>
                <w:sz w:val="16"/>
                <w:szCs w:val="16"/>
              </w:rPr>
            </w:pPr>
            <w:r w:rsidRPr="006E1AF7">
              <w:rPr>
                <w:rFonts w:ascii="Arial" w:hAnsi="Arial" w:cs="Arial"/>
                <w:sz w:val="16"/>
                <w:szCs w:val="16"/>
              </w:rPr>
              <w:t xml:space="preserve">3.320.416 </w:t>
            </w:r>
          </w:p>
        </w:tc>
        <w:tc>
          <w:tcPr>
            <w:tcW w:w="858" w:type="pct"/>
            <w:tcBorders>
              <w:top w:val="nil"/>
              <w:left w:val="nil"/>
              <w:bottom w:val="nil"/>
              <w:right w:val="nil"/>
            </w:tcBorders>
            <w:shd w:val="clear" w:color="auto" w:fill="auto"/>
            <w:noWrap/>
            <w:vAlign w:val="center"/>
          </w:tcPr>
          <w:p w14:paraId="54D6D950" w14:textId="7945233E" w:rsidR="00F71ED9" w:rsidRPr="002E1AEA" w:rsidRDefault="00F71ED9" w:rsidP="00F71ED9">
            <w:pPr>
              <w:jc w:val="right"/>
              <w:rPr>
                <w:rFonts w:ascii="Arial" w:hAnsi="Arial" w:cs="Arial"/>
                <w:sz w:val="16"/>
                <w:szCs w:val="16"/>
                <w:lang w:eastAsia="es-AR"/>
              </w:rPr>
            </w:pPr>
            <w:r w:rsidRPr="002E1AEA">
              <w:rPr>
                <w:rFonts w:ascii="Arial" w:hAnsi="Arial" w:cs="Arial"/>
                <w:sz w:val="16"/>
                <w:szCs w:val="16"/>
              </w:rPr>
              <w:t>1.670.515</w:t>
            </w:r>
          </w:p>
        </w:tc>
      </w:tr>
      <w:tr w:rsidR="00B517A8" w:rsidRPr="00A6292B" w14:paraId="699B1724" w14:textId="77777777" w:rsidTr="006E1AF7">
        <w:trPr>
          <w:trHeight w:val="80"/>
        </w:trPr>
        <w:tc>
          <w:tcPr>
            <w:tcW w:w="2613" w:type="pct"/>
            <w:tcBorders>
              <w:top w:val="nil"/>
              <w:left w:val="nil"/>
              <w:bottom w:val="nil"/>
              <w:right w:val="nil"/>
            </w:tcBorders>
            <w:shd w:val="clear" w:color="auto" w:fill="auto"/>
            <w:hideMark/>
          </w:tcPr>
          <w:p w14:paraId="47589BC8" w14:textId="77777777" w:rsidR="00B517A8" w:rsidRPr="00A6292B" w:rsidRDefault="00B517A8" w:rsidP="00B517A8">
            <w:pPr>
              <w:rPr>
                <w:rFonts w:ascii="Arial" w:hAnsi="Arial" w:cs="Arial"/>
                <w:sz w:val="10"/>
                <w:szCs w:val="10"/>
                <w:lang w:eastAsia="es-AR"/>
              </w:rPr>
            </w:pPr>
          </w:p>
        </w:tc>
        <w:tc>
          <w:tcPr>
            <w:tcW w:w="454" w:type="pct"/>
            <w:tcBorders>
              <w:top w:val="nil"/>
              <w:left w:val="nil"/>
              <w:bottom w:val="nil"/>
              <w:right w:val="nil"/>
            </w:tcBorders>
            <w:shd w:val="clear" w:color="auto" w:fill="auto"/>
            <w:vAlign w:val="center"/>
            <w:hideMark/>
          </w:tcPr>
          <w:p w14:paraId="2D5D3594" w14:textId="77777777" w:rsidR="00B517A8" w:rsidRPr="00A6292B" w:rsidRDefault="00B517A8" w:rsidP="00B517A8">
            <w:pPr>
              <w:jc w:val="center"/>
              <w:rPr>
                <w:rFonts w:ascii="Arial" w:hAnsi="Arial" w:cs="Arial"/>
                <w:sz w:val="10"/>
                <w:szCs w:val="10"/>
                <w:lang w:eastAsia="es-AR"/>
              </w:rPr>
            </w:pPr>
          </w:p>
        </w:tc>
        <w:tc>
          <w:tcPr>
            <w:tcW w:w="1075" w:type="pct"/>
            <w:tcBorders>
              <w:top w:val="nil"/>
              <w:left w:val="nil"/>
              <w:bottom w:val="nil"/>
              <w:right w:val="nil"/>
            </w:tcBorders>
            <w:vAlign w:val="center"/>
          </w:tcPr>
          <w:p w14:paraId="42635AFD" w14:textId="38FDDE1A" w:rsidR="00B517A8" w:rsidRPr="00B517A8" w:rsidRDefault="00B517A8" w:rsidP="00B517A8">
            <w:pPr>
              <w:jc w:val="right"/>
              <w:rPr>
                <w:rFonts w:ascii="Arial" w:hAnsi="Arial" w:cs="Arial"/>
                <w:sz w:val="16"/>
                <w:szCs w:val="16"/>
                <w:lang w:eastAsia="es-AR"/>
              </w:rPr>
            </w:pPr>
          </w:p>
        </w:tc>
        <w:tc>
          <w:tcPr>
            <w:tcW w:w="858" w:type="pct"/>
            <w:tcBorders>
              <w:top w:val="nil"/>
              <w:left w:val="nil"/>
              <w:bottom w:val="nil"/>
              <w:right w:val="nil"/>
            </w:tcBorders>
            <w:shd w:val="clear" w:color="auto" w:fill="auto"/>
            <w:noWrap/>
            <w:vAlign w:val="center"/>
            <w:hideMark/>
          </w:tcPr>
          <w:p w14:paraId="6BDD3426" w14:textId="21E3FCBB" w:rsidR="00B517A8" w:rsidRPr="002E1AEA" w:rsidRDefault="00B517A8" w:rsidP="00B517A8">
            <w:pPr>
              <w:jc w:val="right"/>
              <w:rPr>
                <w:rFonts w:ascii="Arial" w:hAnsi="Arial" w:cs="Arial"/>
                <w:sz w:val="16"/>
                <w:szCs w:val="16"/>
                <w:lang w:eastAsia="es-AR"/>
              </w:rPr>
            </w:pPr>
          </w:p>
        </w:tc>
      </w:tr>
      <w:tr w:rsidR="00B517A8" w:rsidRPr="00A6292B" w14:paraId="66731B5D" w14:textId="77777777" w:rsidTr="006E1AF7">
        <w:trPr>
          <w:trHeight w:val="285"/>
        </w:trPr>
        <w:tc>
          <w:tcPr>
            <w:tcW w:w="2613" w:type="pct"/>
            <w:tcBorders>
              <w:top w:val="nil"/>
              <w:left w:val="nil"/>
              <w:bottom w:val="nil"/>
              <w:right w:val="nil"/>
            </w:tcBorders>
            <w:shd w:val="clear" w:color="auto" w:fill="auto"/>
            <w:hideMark/>
          </w:tcPr>
          <w:p w14:paraId="7DD3B064" w14:textId="77777777" w:rsidR="00B517A8" w:rsidRPr="00A6292B" w:rsidRDefault="00B517A8" w:rsidP="00B517A8">
            <w:pPr>
              <w:rPr>
                <w:rFonts w:ascii="Arial" w:hAnsi="Arial" w:cs="Arial"/>
                <w:b/>
                <w:bCs/>
                <w:sz w:val="16"/>
                <w:szCs w:val="16"/>
                <w:lang w:eastAsia="es-AR"/>
              </w:rPr>
            </w:pPr>
            <w:r w:rsidRPr="00A6292B">
              <w:rPr>
                <w:rFonts w:ascii="Arial" w:hAnsi="Arial" w:cs="Arial"/>
                <w:b/>
                <w:bCs/>
                <w:sz w:val="16"/>
                <w:szCs w:val="16"/>
                <w:lang w:eastAsia="es-AR"/>
              </w:rPr>
              <w:t>TOTAL DEL PATRIMONIO NETO</w:t>
            </w:r>
          </w:p>
        </w:tc>
        <w:tc>
          <w:tcPr>
            <w:tcW w:w="454" w:type="pct"/>
            <w:tcBorders>
              <w:top w:val="nil"/>
              <w:left w:val="nil"/>
              <w:bottom w:val="nil"/>
              <w:right w:val="nil"/>
            </w:tcBorders>
            <w:shd w:val="clear" w:color="auto" w:fill="auto"/>
            <w:vAlign w:val="center"/>
            <w:hideMark/>
          </w:tcPr>
          <w:p w14:paraId="3D22F73F" w14:textId="77777777" w:rsidR="00B517A8" w:rsidRPr="00A6292B" w:rsidRDefault="00B517A8" w:rsidP="00B517A8">
            <w:pPr>
              <w:jc w:val="center"/>
              <w:rPr>
                <w:rFonts w:ascii="Arial" w:hAnsi="Arial" w:cs="Arial"/>
                <w:b/>
                <w:bCs/>
                <w:sz w:val="16"/>
                <w:szCs w:val="16"/>
                <w:lang w:eastAsia="es-AR"/>
              </w:rPr>
            </w:pPr>
          </w:p>
        </w:tc>
        <w:tc>
          <w:tcPr>
            <w:tcW w:w="1075" w:type="pct"/>
            <w:tcBorders>
              <w:top w:val="single" w:sz="4" w:space="0" w:color="auto"/>
              <w:left w:val="nil"/>
              <w:bottom w:val="nil"/>
              <w:right w:val="nil"/>
            </w:tcBorders>
            <w:vAlign w:val="center"/>
          </w:tcPr>
          <w:p w14:paraId="2592B1D4" w14:textId="6E3F267D" w:rsidR="00B517A8" w:rsidRPr="00B517A8" w:rsidRDefault="00B517A8" w:rsidP="00B517A8">
            <w:pPr>
              <w:jc w:val="right"/>
              <w:rPr>
                <w:rFonts w:ascii="Arial" w:hAnsi="Arial" w:cs="Arial"/>
                <w:b/>
                <w:bCs/>
                <w:sz w:val="16"/>
                <w:szCs w:val="16"/>
              </w:rPr>
            </w:pPr>
            <w:r w:rsidRPr="00B517A8">
              <w:rPr>
                <w:rFonts w:ascii="Arial" w:hAnsi="Arial" w:cs="Arial"/>
                <w:b/>
                <w:bCs/>
                <w:sz w:val="16"/>
                <w:szCs w:val="16"/>
              </w:rPr>
              <w:t>17.4</w:t>
            </w:r>
            <w:r w:rsidR="00F71ED9">
              <w:rPr>
                <w:rFonts w:ascii="Arial" w:hAnsi="Arial" w:cs="Arial"/>
                <w:b/>
                <w:bCs/>
                <w:sz w:val="16"/>
                <w:szCs w:val="16"/>
              </w:rPr>
              <w:t>37</w:t>
            </w:r>
            <w:r w:rsidRPr="00B517A8">
              <w:rPr>
                <w:rFonts w:ascii="Arial" w:hAnsi="Arial" w:cs="Arial"/>
                <w:b/>
                <w:bCs/>
                <w:sz w:val="16"/>
                <w:szCs w:val="16"/>
              </w:rPr>
              <w:t>.</w:t>
            </w:r>
            <w:r w:rsidR="00F71ED9">
              <w:rPr>
                <w:rFonts w:ascii="Arial" w:hAnsi="Arial" w:cs="Arial"/>
                <w:b/>
                <w:bCs/>
                <w:sz w:val="16"/>
                <w:szCs w:val="16"/>
              </w:rPr>
              <w:t>127</w:t>
            </w:r>
          </w:p>
        </w:tc>
        <w:tc>
          <w:tcPr>
            <w:tcW w:w="858" w:type="pct"/>
            <w:tcBorders>
              <w:top w:val="single" w:sz="4" w:space="0" w:color="auto"/>
              <w:left w:val="nil"/>
              <w:bottom w:val="nil"/>
              <w:right w:val="nil"/>
            </w:tcBorders>
            <w:shd w:val="clear" w:color="auto" w:fill="auto"/>
            <w:noWrap/>
            <w:vAlign w:val="center"/>
          </w:tcPr>
          <w:p w14:paraId="0173FCBD" w14:textId="334A666D" w:rsidR="00B517A8" w:rsidRPr="002E1AEA" w:rsidRDefault="00B517A8" w:rsidP="00B517A8">
            <w:pPr>
              <w:jc w:val="right"/>
              <w:rPr>
                <w:rFonts w:ascii="Arial" w:hAnsi="Arial" w:cs="Arial"/>
                <w:b/>
                <w:bCs/>
                <w:sz w:val="16"/>
                <w:szCs w:val="16"/>
                <w:lang w:eastAsia="es-AR"/>
              </w:rPr>
            </w:pPr>
            <w:r w:rsidRPr="002E1AEA">
              <w:rPr>
                <w:rFonts w:ascii="Arial" w:hAnsi="Arial" w:cs="Arial"/>
                <w:b/>
                <w:bCs/>
                <w:sz w:val="16"/>
                <w:szCs w:val="16"/>
              </w:rPr>
              <w:t>13.185.</w:t>
            </w:r>
            <w:r w:rsidR="00FE52BB" w:rsidRPr="002E1AEA">
              <w:rPr>
                <w:rFonts w:ascii="Arial" w:hAnsi="Arial" w:cs="Arial"/>
                <w:b/>
                <w:bCs/>
                <w:sz w:val="16"/>
                <w:szCs w:val="16"/>
              </w:rPr>
              <w:t>4</w:t>
            </w:r>
            <w:r w:rsidR="00FE52BB">
              <w:rPr>
                <w:rFonts w:ascii="Arial" w:hAnsi="Arial" w:cs="Arial"/>
                <w:b/>
                <w:bCs/>
                <w:sz w:val="16"/>
                <w:szCs w:val="16"/>
              </w:rPr>
              <w:t>79</w:t>
            </w:r>
          </w:p>
        </w:tc>
      </w:tr>
      <w:tr w:rsidR="003E487A" w:rsidRPr="00A6292B" w14:paraId="7DC1CB39" w14:textId="77777777" w:rsidTr="006E1AF7">
        <w:trPr>
          <w:trHeight w:val="80"/>
        </w:trPr>
        <w:tc>
          <w:tcPr>
            <w:tcW w:w="2613" w:type="pct"/>
            <w:tcBorders>
              <w:top w:val="nil"/>
              <w:left w:val="nil"/>
              <w:bottom w:val="nil"/>
              <w:right w:val="nil"/>
            </w:tcBorders>
            <w:shd w:val="clear" w:color="auto" w:fill="auto"/>
            <w:hideMark/>
          </w:tcPr>
          <w:p w14:paraId="68EDA97B" w14:textId="77777777" w:rsidR="003E487A" w:rsidRPr="00A6292B" w:rsidRDefault="003E487A" w:rsidP="003E487A">
            <w:pPr>
              <w:rPr>
                <w:rFonts w:ascii="Arial" w:hAnsi="Arial" w:cs="Arial"/>
                <w:b/>
                <w:bCs/>
                <w:sz w:val="10"/>
                <w:szCs w:val="10"/>
                <w:lang w:eastAsia="es-AR"/>
              </w:rPr>
            </w:pPr>
          </w:p>
        </w:tc>
        <w:tc>
          <w:tcPr>
            <w:tcW w:w="454" w:type="pct"/>
            <w:tcBorders>
              <w:top w:val="nil"/>
              <w:left w:val="nil"/>
              <w:bottom w:val="nil"/>
              <w:right w:val="nil"/>
            </w:tcBorders>
            <w:shd w:val="clear" w:color="auto" w:fill="auto"/>
            <w:vAlign w:val="center"/>
            <w:hideMark/>
          </w:tcPr>
          <w:p w14:paraId="008BC6B4" w14:textId="77777777" w:rsidR="003E487A" w:rsidRPr="00A6292B" w:rsidRDefault="003E487A" w:rsidP="003E487A">
            <w:pPr>
              <w:jc w:val="center"/>
              <w:rPr>
                <w:rFonts w:ascii="Arial" w:hAnsi="Arial" w:cs="Arial"/>
                <w:sz w:val="10"/>
                <w:szCs w:val="10"/>
                <w:lang w:eastAsia="es-AR"/>
              </w:rPr>
            </w:pPr>
          </w:p>
        </w:tc>
        <w:tc>
          <w:tcPr>
            <w:tcW w:w="1075" w:type="pct"/>
            <w:tcBorders>
              <w:top w:val="nil"/>
              <w:left w:val="nil"/>
              <w:bottom w:val="nil"/>
              <w:right w:val="nil"/>
            </w:tcBorders>
            <w:vAlign w:val="center"/>
          </w:tcPr>
          <w:p w14:paraId="72E2628F" w14:textId="77777777" w:rsidR="003E487A" w:rsidRPr="003E487A" w:rsidRDefault="003E487A" w:rsidP="003E487A">
            <w:pPr>
              <w:jc w:val="right"/>
              <w:rPr>
                <w:rFonts w:ascii="Arial" w:hAnsi="Arial" w:cs="Arial"/>
                <w:b/>
                <w:bCs/>
                <w:sz w:val="16"/>
                <w:szCs w:val="16"/>
              </w:rPr>
            </w:pPr>
          </w:p>
        </w:tc>
        <w:tc>
          <w:tcPr>
            <w:tcW w:w="858" w:type="pct"/>
            <w:tcBorders>
              <w:top w:val="nil"/>
              <w:left w:val="nil"/>
              <w:bottom w:val="nil"/>
              <w:right w:val="nil"/>
            </w:tcBorders>
            <w:shd w:val="clear" w:color="auto" w:fill="auto"/>
            <w:noWrap/>
            <w:vAlign w:val="center"/>
          </w:tcPr>
          <w:p w14:paraId="0D5293E7" w14:textId="07BCD920" w:rsidR="003E487A" w:rsidRPr="002E1AEA" w:rsidRDefault="003E487A" w:rsidP="003E487A">
            <w:pPr>
              <w:jc w:val="right"/>
              <w:rPr>
                <w:rFonts w:ascii="Arial" w:hAnsi="Arial" w:cs="Arial"/>
                <w:sz w:val="16"/>
                <w:szCs w:val="16"/>
                <w:lang w:eastAsia="es-AR"/>
              </w:rPr>
            </w:pPr>
          </w:p>
        </w:tc>
      </w:tr>
      <w:tr w:rsidR="003E487A" w:rsidRPr="00A6292B" w14:paraId="35CF163E" w14:textId="77777777" w:rsidTr="006E1AF7">
        <w:trPr>
          <w:trHeight w:val="285"/>
        </w:trPr>
        <w:tc>
          <w:tcPr>
            <w:tcW w:w="2613" w:type="pct"/>
            <w:tcBorders>
              <w:top w:val="nil"/>
              <w:left w:val="nil"/>
              <w:bottom w:val="nil"/>
              <w:right w:val="nil"/>
            </w:tcBorders>
            <w:shd w:val="clear" w:color="auto" w:fill="auto"/>
            <w:hideMark/>
          </w:tcPr>
          <w:p w14:paraId="0E9E50D8" w14:textId="77777777" w:rsidR="003E487A" w:rsidRPr="00A6292B" w:rsidRDefault="003E487A" w:rsidP="003E487A">
            <w:pPr>
              <w:rPr>
                <w:rFonts w:ascii="Arial" w:hAnsi="Arial" w:cs="Arial"/>
                <w:b/>
                <w:bCs/>
                <w:sz w:val="16"/>
                <w:szCs w:val="16"/>
                <w:lang w:eastAsia="es-AR"/>
              </w:rPr>
            </w:pPr>
            <w:r w:rsidRPr="00A6292B">
              <w:rPr>
                <w:rFonts w:ascii="Arial" w:hAnsi="Arial" w:cs="Arial"/>
                <w:b/>
                <w:bCs/>
                <w:sz w:val="16"/>
                <w:szCs w:val="16"/>
                <w:lang w:eastAsia="es-AR"/>
              </w:rPr>
              <w:t>TOTAL PASIVO MAS PATRIMONIO NETO</w:t>
            </w:r>
          </w:p>
        </w:tc>
        <w:tc>
          <w:tcPr>
            <w:tcW w:w="454" w:type="pct"/>
            <w:tcBorders>
              <w:top w:val="nil"/>
              <w:left w:val="nil"/>
              <w:bottom w:val="nil"/>
              <w:right w:val="nil"/>
            </w:tcBorders>
            <w:shd w:val="clear" w:color="auto" w:fill="auto"/>
            <w:vAlign w:val="center"/>
            <w:hideMark/>
          </w:tcPr>
          <w:p w14:paraId="6A902564" w14:textId="77777777" w:rsidR="003E487A" w:rsidRPr="00A6292B" w:rsidRDefault="003E487A" w:rsidP="003E487A">
            <w:pPr>
              <w:jc w:val="center"/>
              <w:rPr>
                <w:rFonts w:ascii="Arial" w:hAnsi="Arial" w:cs="Arial"/>
                <w:b/>
                <w:bCs/>
                <w:sz w:val="16"/>
                <w:szCs w:val="16"/>
                <w:lang w:eastAsia="es-AR"/>
              </w:rPr>
            </w:pPr>
          </w:p>
        </w:tc>
        <w:tc>
          <w:tcPr>
            <w:tcW w:w="1075" w:type="pct"/>
            <w:tcBorders>
              <w:top w:val="single" w:sz="4" w:space="0" w:color="auto"/>
              <w:left w:val="nil"/>
              <w:bottom w:val="single" w:sz="4" w:space="0" w:color="auto"/>
              <w:right w:val="nil"/>
            </w:tcBorders>
            <w:vAlign w:val="center"/>
          </w:tcPr>
          <w:p w14:paraId="061B9C44" w14:textId="07B482F3" w:rsidR="003E487A" w:rsidRPr="00B517A8" w:rsidRDefault="00407B2D" w:rsidP="00B517A8">
            <w:pPr>
              <w:jc w:val="right"/>
              <w:rPr>
                <w:rFonts w:ascii="Arial" w:hAnsi="Arial" w:cs="Arial"/>
                <w:b/>
                <w:bCs/>
                <w:sz w:val="16"/>
                <w:szCs w:val="16"/>
                <w:lang w:eastAsia="es-AR"/>
              </w:rPr>
            </w:pPr>
            <w:r>
              <w:rPr>
                <w:rFonts w:ascii="Arial" w:hAnsi="Arial" w:cs="Arial"/>
                <w:b/>
                <w:bCs/>
                <w:sz w:val="16"/>
                <w:szCs w:val="16"/>
              </w:rPr>
              <w:t>137.930.368</w:t>
            </w:r>
          </w:p>
        </w:tc>
        <w:tc>
          <w:tcPr>
            <w:tcW w:w="858" w:type="pct"/>
            <w:tcBorders>
              <w:top w:val="single" w:sz="4" w:space="0" w:color="auto"/>
              <w:left w:val="nil"/>
              <w:bottom w:val="single" w:sz="4" w:space="0" w:color="auto"/>
              <w:right w:val="nil"/>
            </w:tcBorders>
            <w:shd w:val="clear" w:color="auto" w:fill="auto"/>
            <w:noWrap/>
            <w:vAlign w:val="center"/>
          </w:tcPr>
          <w:p w14:paraId="36F74CA3" w14:textId="71EC0228" w:rsidR="003E487A" w:rsidRPr="002E1AEA" w:rsidRDefault="003E487A" w:rsidP="003E487A">
            <w:pPr>
              <w:jc w:val="right"/>
              <w:rPr>
                <w:rFonts w:ascii="Arial" w:hAnsi="Arial" w:cs="Arial"/>
                <w:b/>
                <w:bCs/>
                <w:sz w:val="16"/>
                <w:szCs w:val="16"/>
                <w:lang w:eastAsia="es-AR"/>
              </w:rPr>
            </w:pPr>
            <w:r w:rsidRPr="002E1AEA">
              <w:rPr>
                <w:rFonts w:ascii="Arial" w:hAnsi="Arial" w:cs="Arial"/>
                <w:b/>
                <w:bCs/>
                <w:sz w:val="16"/>
                <w:szCs w:val="16"/>
                <w:lang w:eastAsia="es-AR"/>
              </w:rPr>
              <w:t>132.754.804</w:t>
            </w:r>
          </w:p>
        </w:tc>
      </w:tr>
    </w:tbl>
    <w:p w14:paraId="6CB8D662" w14:textId="429E2E0A" w:rsidR="00D24C22" w:rsidRPr="00701F32" w:rsidRDefault="00D24C22" w:rsidP="00FB4E04">
      <w:pPr>
        <w:pStyle w:val="Encabezado"/>
        <w:rPr>
          <w:rFonts w:ascii="Arial" w:hAnsi="Arial" w:cs="Arial"/>
          <w:b/>
          <w:szCs w:val="24"/>
          <w:lang w:val="es-ES_tradnl"/>
        </w:rPr>
      </w:pPr>
    </w:p>
    <w:p w14:paraId="0A056E8F" w14:textId="77777777" w:rsidR="005C2DE7" w:rsidRPr="00701F32" w:rsidRDefault="005C2DE7" w:rsidP="00164DE9">
      <w:pPr>
        <w:rPr>
          <w:rFonts w:ascii="Arial" w:hAnsi="Arial" w:cs="Arial"/>
          <w:b/>
          <w:szCs w:val="24"/>
          <w:lang w:val="es-ES_tradnl"/>
        </w:rPr>
        <w:sectPr w:rsidR="005C2DE7" w:rsidRPr="00701F32" w:rsidSect="00444CFF">
          <w:headerReference w:type="default" r:id="rId43"/>
          <w:footerReference w:type="default" r:id="rId44"/>
          <w:pgSz w:w="11907" w:h="16839" w:code="9"/>
          <w:pgMar w:top="1418" w:right="1701" w:bottom="1418" w:left="1701" w:header="680" w:footer="0" w:gutter="0"/>
          <w:paperSrc w:first="256" w:other="256"/>
          <w:cols w:space="720"/>
          <w:docGrid w:linePitch="326"/>
        </w:sectPr>
      </w:pPr>
    </w:p>
    <w:tbl>
      <w:tblPr>
        <w:tblpPr w:leftFromText="141" w:rightFromText="141" w:vertAnchor="text" w:tblpY="1"/>
        <w:tblOverlap w:val="never"/>
        <w:tblW w:w="4894" w:type="pct"/>
        <w:tblLayout w:type="fixed"/>
        <w:tblCellMar>
          <w:left w:w="70" w:type="dxa"/>
          <w:right w:w="70" w:type="dxa"/>
        </w:tblCellMar>
        <w:tblLook w:val="04A0" w:firstRow="1" w:lastRow="0" w:firstColumn="1" w:lastColumn="0" w:noHBand="0" w:noVBand="1"/>
      </w:tblPr>
      <w:tblGrid>
        <w:gridCol w:w="5458"/>
        <w:gridCol w:w="719"/>
        <w:gridCol w:w="1153"/>
        <w:gridCol w:w="1132"/>
      </w:tblGrid>
      <w:tr w:rsidR="002D0A6E" w:rsidRPr="000C5202" w14:paraId="124C2B66" w14:textId="77777777" w:rsidTr="00940F38">
        <w:trPr>
          <w:trHeight w:val="963"/>
        </w:trPr>
        <w:tc>
          <w:tcPr>
            <w:tcW w:w="3225"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E71B232" w14:textId="77777777" w:rsidR="002D0A6E" w:rsidRPr="000C5202" w:rsidRDefault="002D0A6E" w:rsidP="00222614">
            <w:pPr>
              <w:jc w:val="center"/>
              <w:rPr>
                <w:rFonts w:ascii="Arial" w:hAnsi="Arial" w:cs="Arial"/>
                <w:b/>
                <w:bCs/>
                <w:sz w:val="16"/>
                <w:szCs w:val="16"/>
                <w:lang w:eastAsia="es-AR"/>
              </w:rPr>
            </w:pPr>
            <w:r w:rsidRPr="000C5202">
              <w:rPr>
                <w:rFonts w:ascii="Arial" w:hAnsi="Arial" w:cs="Arial"/>
                <w:b/>
                <w:bCs/>
                <w:sz w:val="16"/>
                <w:szCs w:val="16"/>
                <w:lang w:eastAsia="es-AR"/>
              </w:rPr>
              <w:t>Conceptos</w:t>
            </w:r>
          </w:p>
        </w:tc>
        <w:tc>
          <w:tcPr>
            <w:tcW w:w="425" w:type="pct"/>
            <w:tcBorders>
              <w:top w:val="single" w:sz="4" w:space="0" w:color="363639"/>
              <w:left w:val="single" w:sz="4" w:space="0" w:color="363639"/>
              <w:bottom w:val="single" w:sz="4" w:space="0" w:color="363639"/>
              <w:right w:val="single" w:sz="4" w:space="0" w:color="auto"/>
            </w:tcBorders>
            <w:shd w:val="clear" w:color="auto" w:fill="BFBFBF" w:themeFill="background1" w:themeFillShade="BF"/>
            <w:vAlign w:val="center"/>
            <w:hideMark/>
          </w:tcPr>
          <w:p w14:paraId="6ACE2BF6" w14:textId="77777777" w:rsidR="002D0A6E" w:rsidRPr="000C5202" w:rsidRDefault="002D0A6E" w:rsidP="00222614">
            <w:pPr>
              <w:jc w:val="center"/>
              <w:rPr>
                <w:rFonts w:ascii="Arial" w:hAnsi="Arial" w:cs="Arial"/>
                <w:b/>
                <w:bCs/>
                <w:sz w:val="16"/>
                <w:szCs w:val="16"/>
                <w:lang w:eastAsia="es-AR"/>
              </w:rPr>
            </w:pPr>
            <w:r w:rsidRPr="000C5202">
              <w:rPr>
                <w:rFonts w:ascii="Arial" w:hAnsi="Arial" w:cs="Arial"/>
                <w:b/>
                <w:bCs/>
                <w:sz w:val="16"/>
                <w:szCs w:val="16"/>
                <w:lang w:eastAsia="es-AR"/>
              </w:rPr>
              <w:t>Notas</w:t>
            </w:r>
          </w:p>
        </w:tc>
        <w:tc>
          <w:tcPr>
            <w:tcW w:w="68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D69B7A" w14:textId="796201C9" w:rsidR="002D0A6E" w:rsidRDefault="002D0A6E" w:rsidP="00222614">
            <w:pPr>
              <w:jc w:val="center"/>
              <w:rPr>
                <w:rFonts w:ascii="Arial" w:hAnsi="Arial" w:cs="Arial"/>
                <w:b/>
                <w:bCs/>
                <w:sz w:val="16"/>
                <w:szCs w:val="16"/>
                <w:lang w:eastAsia="es-AR"/>
              </w:rPr>
            </w:pPr>
            <w:r w:rsidRPr="00826C1B">
              <w:rPr>
                <w:rFonts w:ascii="Arial" w:hAnsi="Arial" w:cs="Arial"/>
                <w:b/>
                <w:bCs/>
                <w:sz w:val="16"/>
                <w:szCs w:val="16"/>
                <w:lang w:eastAsia="es-AR"/>
              </w:rPr>
              <w:t>A</w:t>
            </w:r>
            <w:r>
              <w:rPr>
                <w:rFonts w:ascii="Arial" w:hAnsi="Arial" w:cs="Arial"/>
                <w:b/>
                <w:bCs/>
                <w:sz w:val="16"/>
                <w:szCs w:val="16"/>
                <w:lang w:eastAsia="es-AR"/>
              </w:rPr>
              <w:t>l</w:t>
            </w:r>
          </w:p>
          <w:p w14:paraId="06D85F61" w14:textId="0605B45A" w:rsidR="002D0A6E" w:rsidRPr="000C5202" w:rsidRDefault="002D0A6E" w:rsidP="00222614">
            <w:pPr>
              <w:jc w:val="center"/>
              <w:rPr>
                <w:rFonts w:ascii="Arial" w:hAnsi="Arial" w:cs="Arial"/>
                <w:b/>
                <w:bCs/>
                <w:sz w:val="16"/>
                <w:szCs w:val="16"/>
                <w:lang w:eastAsia="es-AR"/>
              </w:rPr>
            </w:pPr>
            <w:r>
              <w:rPr>
                <w:rFonts w:ascii="Arial" w:hAnsi="Arial" w:cs="Arial"/>
                <w:b/>
                <w:bCs/>
                <w:sz w:val="16"/>
                <w:szCs w:val="16"/>
                <w:lang w:eastAsia="es-AR"/>
              </w:rPr>
              <w:t>31/12/2019</w:t>
            </w:r>
          </w:p>
        </w:tc>
        <w:tc>
          <w:tcPr>
            <w:tcW w:w="669" w:type="pct"/>
            <w:tcBorders>
              <w:top w:val="single" w:sz="4" w:space="0" w:color="363639"/>
              <w:left w:val="single" w:sz="4" w:space="0" w:color="auto"/>
              <w:bottom w:val="single" w:sz="4" w:space="0" w:color="363639"/>
              <w:right w:val="single" w:sz="4" w:space="0" w:color="363639"/>
            </w:tcBorders>
            <w:shd w:val="clear" w:color="auto" w:fill="BFBFBF" w:themeFill="background1" w:themeFillShade="BF"/>
            <w:vAlign w:val="center"/>
            <w:hideMark/>
          </w:tcPr>
          <w:p w14:paraId="7916AEBE" w14:textId="3FEB7242" w:rsidR="002D0A6E" w:rsidRDefault="002D0A6E" w:rsidP="00222614">
            <w:pPr>
              <w:jc w:val="center"/>
              <w:rPr>
                <w:rFonts w:ascii="Arial" w:hAnsi="Arial" w:cs="Arial"/>
                <w:b/>
                <w:bCs/>
                <w:sz w:val="16"/>
                <w:szCs w:val="16"/>
                <w:lang w:eastAsia="es-AR"/>
              </w:rPr>
            </w:pPr>
            <w:r>
              <w:rPr>
                <w:rFonts w:ascii="Arial" w:hAnsi="Arial" w:cs="Arial"/>
                <w:b/>
                <w:bCs/>
                <w:sz w:val="16"/>
                <w:szCs w:val="16"/>
                <w:lang w:eastAsia="es-AR"/>
              </w:rPr>
              <w:t>Al</w:t>
            </w:r>
          </w:p>
          <w:p w14:paraId="7F5C483C" w14:textId="22D2283B" w:rsidR="002D0A6E" w:rsidRPr="000C5202" w:rsidRDefault="002D0A6E" w:rsidP="00222614">
            <w:pPr>
              <w:jc w:val="center"/>
              <w:rPr>
                <w:rFonts w:ascii="Arial" w:hAnsi="Arial" w:cs="Arial"/>
                <w:b/>
                <w:bCs/>
                <w:sz w:val="16"/>
                <w:szCs w:val="16"/>
                <w:lang w:eastAsia="es-AR"/>
              </w:rPr>
            </w:pPr>
            <w:r>
              <w:rPr>
                <w:rFonts w:ascii="Arial" w:hAnsi="Arial" w:cs="Arial"/>
                <w:b/>
                <w:bCs/>
                <w:sz w:val="16"/>
                <w:szCs w:val="16"/>
                <w:lang w:eastAsia="es-AR"/>
              </w:rPr>
              <w:t>31/12/2018</w:t>
            </w:r>
          </w:p>
        </w:tc>
      </w:tr>
      <w:tr w:rsidR="002D0A6E" w:rsidRPr="000C5202" w14:paraId="43958AA1" w14:textId="77777777" w:rsidTr="00940F38">
        <w:trPr>
          <w:trHeight w:val="220"/>
        </w:trPr>
        <w:tc>
          <w:tcPr>
            <w:tcW w:w="3225" w:type="pct"/>
            <w:tcBorders>
              <w:top w:val="nil"/>
              <w:left w:val="nil"/>
              <w:bottom w:val="nil"/>
              <w:right w:val="nil"/>
            </w:tcBorders>
            <w:shd w:val="clear" w:color="auto" w:fill="auto"/>
            <w:vAlign w:val="center"/>
            <w:hideMark/>
          </w:tcPr>
          <w:p w14:paraId="0B34B89C" w14:textId="77777777" w:rsidR="002D0A6E" w:rsidRPr="000C5202" w:rsidRDefault="002D0A6E" w:rsidP="00BD3EC5">
            <w:pPr>
              <w:jc w:val="center"/>
              <w:rPr>
                <w:rFonts w:ascii="Arial" w:hAnsi="Arial" w:cs="Arial"/>
                <w:b/>
                <w:bCs/>
                <w:sz w:val="10"/>
                <w:szCs w:val="10"/>
                <w:lang w:eastAsia="es-AR"/>
              </w:rPr>
            </w:pPr>
          </w:p>
        </w:tc>
        <w:tc>
          <w:tcPr>
            <w:tcW w:w="425" w:type="pct"/>
            <w:tcBorders>
              <w:top w:val="nil"/>
              <w:left w:val="nil"/>
              <w:bottom w:val="nil"/>
              <w:right w:val="nil"/>
            </w:tcBorders>
            <w:shd w:val="clear" w:color="auto" w:fill="auto"/>
            <w:vAlign w:val="center"/>
            <w:hideMark/>
          </w:tcPr>
          <w:p w14:paraId="009AFE6F" w14:textId="77777777" w:rsidR="002D0A6E" w:rsidRPr="000C5202" w:rsidRDefault="002D0A6E" w:rsidP="00BD3EC5">
            <w:pPr>
              <w:jc w:val="center"/>
              <w:rPr>
                <w:rFonts w:ascii="Arial" w:hAnsi="Arial" w:cs="Arial"/>
                <w:sz w:val="10"/>
                <w:szCs w:val="10"/>
                <w:lang w:eastAsia="es-AR"/>
              </w:rPr>
            </w:pPr>
          </w:p>
        </w:tc>
        <w:tc>
          <w:tcPr>
            <w:tcW w:w="681" w:type="pct"/>
            <w:tcBorders>
              <w:top w:val="single" w:sz="4" w:space="0" w:color="auto"/>
              <w:left w:val="nil"/>
              <w:bottom w:val="nil"/>
              <w:right w:val="nil"/>
            </w:tcBorders>
            <w:shd w:val="clear" w:color="auto" w:fill="auto"/>
            <w:vAlign w:val="center"/>
            <w:hideMark/>
          </w:tcPr>
          <w:p w14:paraId="3946F209" w14:textId="6FAD5BFF" w:rsidR="002D0A6E" w:rsidRPr="000C5202" w:rsidRDefault="002D0A6E" w:rsidP="00BD3EC5">
            <w:pPr>
              <w:jc w:val="center"/>
              <w:rPr>
                <w:rFonts w:ascii="Arial" w:hAnsi="Arial" w:cs="Arial"/>
                <w:sz w:val="10"/>
                <w:szCs w:val="10"/>
                <w:lang w:eastAsia="es-AR"/>
              </w:rPr>
            </w:pPr>
          </w:p>
        </w:tc>
        <w:tc>
          <w:tcPr>
            <w:tcW w:w="669" w:type="pct"/>
            <w:tcBorders>
              <w:top w:val="nil"/>
              <w:left w:val="nil"/>
              <w:bottom w:val="nil"/>
              <w:right w:val="nil"/>
            </w:tcBorders>
            <w:shd w:val="clear" w:color="auto" w:fill="auto"/>
            <w:vAlign w:val="center"/>
            <w:hideMark/>
          </w:tcPr>
          <w:p w14:paraId="6E9775F8" w14:textId="54091248" w:rsidR="002D0A6E" w:rsidRPr="000C5202" w:rsidRDefault="002D0A6E" w:rsidP="00BD3EC5">
            <w:pPr>
              <w:jc w:val="center"/>
              <w:rPr>
                <w:rFonts w:ascii="Arial" w:hAnsi="Arial" w:cs="Arial"/>
                <w:sz w:val="10"/>
                <w:szCs w:val="10"/>
                <w:lang w:eastAsia="es-AR"/>
              </w:rPr>
            </w:pPr>
          </w:p>
        </w:tc>
      </w:tr>
      <w:tr w:rsidR="00407B2D" w:rsidRPr="000C5202" w14:paraId="0B78CC32" w14:textId="77777777" w:rsidTr="006E1AF7">
        <w:trPr>
          <w:trHeight w:val="285"/>
        </w:trPr>
        <w:tc>
          <w:tcPr>
            <w:tcW w:w="3225" w:type="pct"/>
            <w:tcBorders>
              <w:top w:val="nil"/>
              <w:left w:val="nil"/>
              <w:bottom w:val="nil"/>
              <w:right w:val="nil"/>
            </w:tcBorders>
            <w:shd w:val="clear" w:color="auto" w:fill="auto"/>
            <w:vAlign w:val="center"/>
            <w:hideMark/>
          </w:tcPr>
          <w:p w14:paraId="5AF40CBE" w14:textId="1BE2F965"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 xml:space="preserve">Ingresos por intereses </w:t>
            </w:r>
            <w:r w:rsidRPr="00856288">
              <w:rPr>
                <w:rFonts w:ascii="Arial" w:hAnsi="Arial" w:cs="Arial"/>
                <w:b/>
                <w:sz w:val="16"/>
                <w:szCs w:val="16"/>
                <w:lang w:eastAsia="es-AR"/>
              </w:rPr>
              <w:t>(Anexo Q)</w:t>
            </w:r>
          </w:p>
        </w:tc>
        <w:tc>
          <w:tcPr>
            <w:tcW w:w="425" w:type="pct"/>
            <w:tcBorders>
              <w:top w:val="nil"/>
              <w:left w:val="nil"/>
              <w:bottom w:val="nil"/>
              <w:right w:val="nil"/>
            </w:tcBorders>
            <w:shd w:val="clear" w:color="auto" w:fill="auto"/>
            <w:vAlign w:val="center"/>
          </w:tcPr>
          <w:p w14:paraId="5F99AF16" w14:textId="166F8942" w:rsidR="00407B2D" w:rsidRPr="00817C72" w:rsidRDefault="00407B2D" w:rsidP="00407B2D">
            <w:pPr>
              <w:jc w:val="center"/>
              <w:rPr>
                <w:rFonts w:ascii="Arial" w:hAnsi="Arial" w:cs="Arial"/>
                <w:sz w:val="16"/>
                <w:szCs w:val="16"/>
                <w:lang w:eastAsia="es-AR"/>
              </w:rPr>
            </w:pPr>
            <w:r>
              <w:rPr>
                <w:rFonts w:ascii="Arial" w:hAnsi="Arial" w:cs="Arial"/>
                <w:sz w:val="16"/>
                <w:szCs w:val="16"/>
                <w:lang w:eastAsia="es-AR"/>
              </w:rPr>
              <w:t>6.15</w:t>
            </w:r>
          </w:p>
        </w:tc>
        <w:tc>
          <w:tcPr>
            <w:tcW w:w="681" w:type="pct"/>
            <w:tcBorders>
              <w:top w:val="nil"/>
              <w:left w:val="nil"/>
              <w:bottom w:val="nil"/>
              <w:right w:val="nil"/>
            </w:tcBorders>
            <w:shd w:val="clear" w:color="auto" w:fill="auto"/>
            <w:noWrap/>
            <w:vAlign w:val="center"/>
          </w:tcPr>
          <w:p w14:paraId="6E4E3F10" w14:textId="3310495E"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33.778.961 </w:t>
            </w:r>
          </w:p>
        </w:tc>
        <w:tc>
          <w:tcPr>
            <w:tcW w:w="669" w:type="pct"/>
            <w:tcBorders>
              <w:top w:val="nil"/>
              <w:left w:val="nil"/>
              <w:bottom w:val="nil"/>
              <w:right w:val="nil"/>
            </w:tcBorders>
            <w:shd w:val="clear" w:color="auto" w:fill="auto"/>
            <w:noWrap/>
            <w:vAlign w:val="center"/>
          </w:tcPr>
          <w:p w14:paraId="1829824F" w14:textId="330AEC6E" w:rsidR="00407B2D" w:rsidRPr="00262BD5" w:rsidRDefault="00407B2D" w:rsidP="00407B2D">
            <w:pPr>
              <w:jc w:val="right"/>
              <w:rPr>
                <w:rFonts w:ascii="Arial" w:hAnsi="Arial" w:cs="Arial"/>
                <w:sz w:val="16"/>
                <w:szCs w:val="16"/>
                <w:lang w:eastAsia="es-AR"/>
              </w:rPr>
            </w:pPr>
            <w:r>
              <w:rPr>
                <w:rFonts w:ascii="Arial" w:hAnsi="Arial" w:cs="Arial"/>
                <w:sz w:val="16"/>
                <w:szCs w:val="16"/>
              </w:rPr>
              <w:t>21.514.284</w:t>
            </w:r>
          </w:p>
        </w:tc>
      </w:tr>
      <w:tr w:rsidR="00407B2D" w:rsidRPr="000C5202" w14:paraId="3A6F6EDF" w14:textId="77777777" w:rsidTr="006E1AF7">
        <w:trPr>
          <w:trHeight w:val="285"/>
        </w:trPr>
        <w:tc>
          <w:tcPr>
            <w:tcW w:w="3225" w:type="pct"/>
            <w:tcBorders>
              <w:top w:val="nil"/>
              <w:left w:val="nil"/>
              <w:bottom w:val="nil"/>
              <w:right w:val="nil"/>
            </w:tcBorders>
            <w:shd w:val="clear" w:color="auto" w:fill="auto"/>
            <w:vAlign w:val="center"/>
            <w:hideMark/>
          </w:tcPr>
          <w:p w14:paraId="343E562F" w14:textId="6EB73049"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 xml:space="preserve">Egresos por intereses </w:t>
            </w:r>
            <w:r w:rsidRPr="00856288">
              <w:rPr>
                <w:rFonts w:ascii="Arial" w:hAnsi="Arial" w:cs="Arial"/>
                <w:b/>
                <w:sz w:val="16"/>
                <w:szCs w:val="16"/>
                <w:lang w:eastAsia="es-AR"/>
              </w:rPr>
              <w:t>(Anexo Q)</w:t>
            </w:r>
          </w:p>
        </w:tc>
        <w:tc>
          <w:tcPr>
            <w:tcW w:w="425" w:type="pct"/>
            <w:tcBorders>
              <w:top w:val="nil"/>
              <w:left w:val="nil"/>
              <w:bottom w:val="nil"/>
              <w:right w:val="nil"/>
            </w:tcBorders>
            <w:shd w:val="clear" w:color="auto" w:fill="auto"/>
            <w:vAlign w:val="center"/>
          </w:tcPr>
          <w:p w14:paraId="567D0F81" w14:textId="3F2FB442" w:rsidR="00407B2D" w:rsidRPr="00817C72" w:rsidRDefault="00407B2D" w:rsidP="00407B2D">
            <w:pPr>
              <w:jc w:val="center"/>
              <w:rPr>
                <w:rFonts w:ascii="Arial" w:hAnsi="Arial" w:cs="Arial"/>
                <w:sz w:val="16"/>
                <w:szCs w:val="16"/>
                <w:lang w:eastAsia="es-AR"/>
              </w:rPr>
            </w:pPr>
            <w:r>
              <w:rPr>
                <w:rFonts w:ascii="Arial" w:hAnsi="Arial" w:cs="Arial"/>
                <w:sz w:val="16"/>
                <w:szCs w:val="16"/>
                <w:lang w:eastAsia="es-AR"/>
              </w:rPr>
              <w:t>6.17</w:t>
            </w:r>
          </w:p>
        </w:tc>
        <w:tc>
          <w:tcPr>
            <w:tcW w:w="681" w:type="pct"/>
            <w:tcBorders>
              <w:top w:val="nil"/>
              <w:left w:val="nil"/>
              <w:bottom w:val="nil"/>
              <w:right w:val="nil"/>
            </w:tcBorders>
            <w:shd w:val="clear" w:color="auto" w:fill="auto"/>
            <w:noWrap/>
            <w:vAlign w:val="center"/>
          </w:tcPr>
          <w:p w14:paraId="2E3496EC" w14:textId="12DB719E"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-27.095.878 </w:t>
            </w:r>
          </w:p>
        </w:tc>
        <w:tc>
          <w:tcPr>
            <w:tcW w:w="669" w:type="pct"/>
            <w:tcBorders>
              <w:top w:val="nil"/>
              <w:left w:val="nil"/>
              <w:bottom w:val="nil"/>
              <w:right w:val="nil"/>
            </w:tcBorders>
            <w:shd w:val="clear" w:color="auto" w:fill="auto"/>
            <w:noWrap/>
            <w:vAlign w:val="center"/>
          </w:tcPr>
          <w:p w14:paraId="2310112B" w14:textId="02CB8A7E" w:rsidR="00407B2D" w:rsidRPr="00262BD5" w:rsidRDefault="00407B2D" w:rsidP="00407B2D">
            <w:pPr>
              <w:jc w:val="right"/>
              <w:rPr>
                <w:rFonts w:ascii="Arial" w:hAnsi="Arial" w:cs="Arial"/>
                <w:sz w:val="16"/>
                <w:szCs w:val="16"/>
                <w:lang w:eastAsia="es-AR"/>
              </w:rPr>
            </w:pPr>
            <w:r>
              <w:rPr>
                <w:rFonts w:ascii="Arial" w:hAnsi="Arial" w:cs="Arial"/>
                <w:sz w:val="16"/>
                <w:szCs w:val="16"/>
              </w:rPr>
              <w:t>-13.853.433</w:t>
            </w:r>
          </w:p>
        </w:tc>
      </w:tr>
      <w:tr w:rsidR="00407B2D" w:rsidRPr="000C5202" w14:paraId="246B0301" w14:textId="77777777" w:rsidTr="006E1AF7">
        <w:trPr>
          <w:trHeight w:val="285"/>
        </w:trPr>
        <w:tc>
          <w:tcPr>
            <w:tcW w:w="3225" w:type="pct"/>
            <w:tcBorders>
              <w:top w:val="nil"/>
              <w:left w:val="nil"/>
              <w:bottom w:val="nil"/>
              <w:right w:val="nil"/>
            </w:tcBorders>
            <w:shd w:val="clear" w:color="auto" w:fill="auto"/>
            <w:vAlign w:val="center"/>
            <w:hideMark/>
          </w:tcPr>
          <w:p w14:paraId="5FFD2917" w14:textId="77777777" w:rsidR="00407B2D" w:rsidRPr="000C5202" w:rsidRDefault="00407B2D" w:rsidP="00407B2D">
            <w:pPr>
              <w:rPr>
                <w:rFonts w:ascii="Arial" w:hAnsi="Arial" w:cs="Arial"/>
                <w:b/>
                <w:bCs/>
                <w:sz w:val="16"/>
                <w:szCs w:val="16"/>
                <w:lang w:eastAsia="es-AR"/>
              </w:rPr>
            </w:pPr>
            <w:r w:rsidRPr="000C5202">
              <w:rPr>
                <w:rFonts w:ascii="Arial" w:hAnsi="Arial" w:cs="Arial"/>
                <w:b/>
                <w:bCs/>
                <w:sz w:val="16"/>
                <w:szCs w:val="16"/>
                <w:lang w:eastAsia="es-AR"/>
              </w:rPr>
              <w:t>Resultado neto por intereses</w:t>
            </w:r>
          </w:p>
        </w:tc>
        <w:tc>
          <w:tcPr>
            <w:tcW w:w="425" w:type="pct"/>
            <w:tcBorders>
              <w:top w:val="nil"/>
              <w:left w:val="nil"/>
              <w:bottom w:val="nil"/>
              <w:right w:val="nil"/>
            </w:tcBorders>
            <w:shd w:val="clear" w:color="auto" w:fill="auto"/>
            <w:vAlign w:val="center"/>
          </w:tcPr>
          <w:p w14:paraId="0E1E4D85" w14:textId="77777777" w:rsidR="00407B2D" w:rsidRPr="00817C72" w:rsidRDefault="00407B2D" w:rsidP="00407B2D">
            <w:pPr>
              <w:jc w:val="center"/>
              <w:rPr>
                <w:rFonts w:ascii="Arial" w:hAnsi="Arial" w:cs="Arial"/>
                <w:b/>
                <w:bCs/>
                <w:sz w:val="16"/>
                <w:szCs w:val="16"/>
                <w:lang w:eastAsia="es-AR"/>
              </w:rPr>
            </w:pPr>
          </w:p>
        </w:tc>
        <w:tc>
          <w:tcPr>
            <w:tcW w:w="681" w:type="pct"/>
            <w:tcBorders>
              <w:top w:val="nil"/>
              <w:left w:val="nil"/>
              <w:bottom w:val="nil"/>
              <w:right w:val="nil"/>
            </w:tcBorders>
            <w:shd w:val="clear" w:color="auto" w:fill="auto"/>
            <w:noWrap/>
            <w:vAlign w:val="center"/>
          </w:tcPr>
          <w:p w14:paraId="382171CE" w14:textId="07A28568" w:rsidR="00407B2D" w:rsidRPr="00262BD5" w:rsidRDefault="00407B2D" w:rsidP="00A056FF">
            <w:pPr>
              <w:jc w:val="right"/>
              <w:rPr>
                <w:rFonts w:ascii="Arial" w:hAnsi="Arial" w:cs="Arial"/>
                <w:b/>
                <w:bCs/>
                <w:sz w:val="16"/>
                <w:szCs w:val="16"/>
                <w:lang w:eastAsia="es-AR"/>
              </w:rPr>
            </w:pPr>
            <w:r>
              <w:rPr>
                <w:rFonts w:ascii="Arial" w:hAnsi="Arial" w:cs="Arial"/>
                <w:b/>
                <w:bCs/>
                <w:sz w:val="16"/>
                <w:szCs w:val="16"/>
              </w:rPr>
              <w:t xml:space="preserve">6.683.083 </w:t>
            </w:r>
          </w:p>
        </w:tc>
        <w:tc>
          <w:tcPr>
            <w:tcW w:w="669" w:type="pct"/>
            <w:tcBorders>
              <w:top w:val="nil"/>
              <w:left w:val="nil"/>
              <w:bottom w:val="nil"/>
              <w:right w:val="nil"/>
            </w:tcBorders>
            <w:shd w:val="clear" w:color="auto" w:fill="auto"/>
            <w:noWrap/>
            <w:vAlign w:val="center"/>
          </w:tcPr>
          <w:p w14:paraId="05839801" w14:textId="10455C1D" w:rsidR="00407B2D" w:rsidRPr="00262BD5" w:rsidRDefault="00407B2D" w:rsidP="00407B2D">
            <w:pPr>
              <w:jc w:val="right"/>
              <w:rPr>
                <w:rFonts w:ascii="Arial" w:hAnsi="Arial" w:cs="Arial"/>
                <w:b/>
                <w:bCs/>
                <w:sz w:val="16"/>
                <w:szCs w:val="16"/>
                <w:lang w:eastAsia="es-AR"/>
              </w:rPr>
            </w:pPr>
            <w:r>
              <w:rPr>
                <w:rFonts w:ascii="Arial" w:hAnsi="Arial" w:cs="Arial"/>
                <w:b/>
                <w:bCs/>
                <w:sz w:val="16"/>
                <w:szCs w:val="16"/>
              </w:rPr>
              <w:t>7.660.851</w:t>
            </w:r>
          </w:p>
        </w:tc>
      </w:tr>
      <w:tr w:rsidR="00407B2D" w:rsidRPr="000C5202" w14:paraId="1BE0A829" w14:textId="77777777" w:rsidTr="006E1AF7">
        <w:trPr>
          <w:trHeight w:val="132"/>
        </w:trPr>
        <w:tc>
          <w:tcPr>
            <w:tcW w:w="3225" w:type="pct"/>
            <w:tcBorders>
              <w:top w:val="nil"/>
              <w:left w:val="nil"/>
              <w:bottom w:val="nil"/>
              <w:right w:val="nil"/>
            </w:tcBorders>
            <w:shd w:val="clear" w:color="auto" w:fill="auto"/>
            <w:vAlign w:val="center"/>
            <w:hideMark/>
          </w:tcPr>
          <w:p w14:paraId="385F1062" w14:textId="77777777" w:rsidR="00407B2D" w:rsidRPr="000C5202" w:rsidRDefault="00407B2D" w:rsidP="00407B2D">
            <w:pPr>
              <w:rPr>
                <w:rFonts w:ascii="Arial" w:hAnsi="Arial" w:cs="Arial"/>
                <w:b/>
                <w:bCs/>
                <w:sz w:val="10"/>
                <w:szCs w:val="10"/>
                <w:lang w:eastAsia="es-AR"/>
              </w:rPr>
            </w:pPr>
          </w:p>
        </w:tc>
        <w:tc>
          <w:tcPr>
            <w:tcW w:w="425" w:type="pct"/>
            <w:tcBorders>
              <w:top w:val="nil"/>
              <w:left w:val="nil"/>
              <w:bottom w:val="nil"/>
              <w:right w:val="nil"/>
            </w:tcBorders>
            <w:shd w:val="clear" w:color="auto" w:fill="auto"/>
            <w:vAlign w:val="center"/>
          </w:tcPr>
          <w:p w14:paraId="32046355" w14:textId="77777777" w:rsidR="00407B2D" w:rsidRPr="00817C72" w:rsidRDefault="00407B2D" w:rsidP="00407B2D">
            <w:pPr>
              <w:jc w:val="center"/>
              <w:rPr>
                <w:rFonts w:ascii="Arial" w:hAnsi="Arial" w:cs="Arial"/>
                <w:sz w:val="10"/>
                <w:szCs w:val="10"/>
                <w:lang w:eastAsia="es-AR"/>
              </w:rPr>
            </w:pPr>
          </w:p>
        </w:tc>
        <w:tc>
          <w:tcPr>
            <w:tcW w:w="681" w:type="pct"/>
            <w:tcBorders>
              <w:top w:val="nil"/>
              <w:left w:val="nil"/>
              <w:bottom w:val="nil"/>
              <w:right w:val="nil"/>
            </w:tcBorders>
            <w:shd w:val="clear" w:color="auto" w:fill="auto"/>
            <w:noWrap/>
            <w:vAlign w:val="center"/>
          </w:tcPr>
          <w:p w14:paraId="1DE4CD2B" w14:textId="0CD804C8" w:rsidR="00407B2D" w:rsidRPr="00262BD5" w:rsidRDefault="00407B2D" w:rsidP="00A056FF">
            <w:pPr>
              <w:jc w:val="right"/>
              <w:rPr>
                <w:rFonts w:ascii="Arial" w:hAnsi="Arial" w:cs="Arial"/>
                <w:sz w:val="16"/>
                <w:szCs w:val="16"/>
                <w:lang w:eastAsia="es-AR"/>
              </w:rPr>
            </w:pPr>
          </w:p>
        </w:tc>
        <w:tc>
          <w:tcPr>
            <w:tcW w:w="669" w:type="pct"/>
            <w:tcBorders>
              <w:top w:val="nil"/>
              <w:left w:val="nil"/>
              <w:bottom w:val="nil"/>
              <w:right w:val="nil"/>
            </w:tcBorders>
            <w:shd w:val="clear" w:color="auto" w:fill="auto"/>
            <w:noWrap/>
            <w:vAlign w:val="center"/>
          </w:tcPr>
          <w:p w14:paraId="1F6FB788" w14:textId="145DD953" w:rsidR="00407B2D" w:rsidRPr="00262BD5" w:rsidRDefault="00407B2D" w:rsidP="00407B2D">
            <w:pPr>
              <w:jc w:val="right"/>
              <w:rPr>
                <w:rFonts w:ascii="Arial" w:hAnsi="Arial" w:cs="Arial"/>
                <w:sz w:val="16"/>
                <w:szCs w:val="16"/>
                <w:lang w:eastAsia="es-AR"/>
              </w:rPr>
            </w:pPr>
          </w:p>
        </w:tc>
      </w:tr>
      <w:tr w:rsidR="00407B2D" w:rsidRPr="000C5202" w14:paraId="12999409" w14:textId="77777777" w:rsidTr="006E1AF7">
        <w:trPr>
          <w:trHeight w:val="285"/>
        </w:trPr>
        <w:tc>
          <w:tcPr>
            <w:tcW w:w="3225" w:type="pct"/>
            <w:tcBorders>
              <w:top w:val="nil"/>
              <w:left w:val="nil"/>
              <w:bottom w:val="nil"/>
              <w:right w:val="nil"/>
            </w:tcBorders>
            <w:shd w:val="clear" w:color="auto" w:fill="auto"/>
            <w:vAlign w:val="center"/>
            <w:hideMark/>
          </w:tcPr>
          <w:p w14:paraId="149FF8E0" w14:textId="04C45EA1"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 xml:space="preserve">Ingresos por comisiones </w:t>
            </w:r>
            <w:r w:rsidRPr="00856288">
              <w:rPr>
                <w:rFonts w:ascii="Arial" w:hAnsi="Arial" w:cs="Arial"/>
                <w:b/>
                <w:sz w:val="16"/>
                <w:szCs w:val="16"/>
                <w:lang w:eastAsia="es-AR"/>
              </w:rPr>
              <w:t>(Anexo Q)</w:t>
            </w:r>
          </w:p>
        </w:tc>
        <w:tc>
          <w:tcPr>
            <w:tcW w:w="425" w:type="pct"/>
            <w:tcBorders>
              <w:top w:val="nil"/>
              <w:left w:val="nil"/>
              <w:bottom w:val="nil"/>
              <w:right w:val="nil"/>
            </w:tcBorders>
            <w:shd w:val="clear" w:color="auto" w:fill="auto"/>
            <w:vAlign w:val="center"/>
          </w:tcPr>
          <w:p w14:paraId="581B63E5" w14:textId="2A96C0CB" w:rsidR="00407B2D" w:rsidRPr="00817C72" w:rsidRDefault="00407B2D" w:rsidP="00407B2D">
            <w:pPr>
              <w:jc w:val="center"/>
              <w:rPr>
                <w:rFonts w:ascii="Arial" w:hAnsi="Arial" w:cs="Arial"/>
                <w:sz w:val="16"/>
                <w:szCs w:val="16"/>
                <w:lang w:eastAsia="es-AR"/>
              </w:rPr>
            </w:pPr>
            <w:r>
              <w:rPr>
                <w:rFonts w:ascii="Arial" w:hAnsi="Arial" w:cs="Arial"/>
                <w:sz w:val="16"/>
                <w:szCs w:val="16"/>
                <w:lang w:eastAsia="es-AR"/>
              </w:rPr>
              <w:t>6.16</w:t>
            </w:r>
          </w:p>
        </w:tc>
        <w:tc>
          <w:tcPr>
            <w:tcW w:w="681" w:type="pct"/>
            <w:tcBorders>
              <w:top w:val="nil"/>
              <w:left w:val="nil"/>
              <w:bottom w:val="nil"/>
              <w:right w:val="nil"/>
            </w:tcBorders>
            <w:shd w:val="clear" w:color="auto" w:fill="auto"/>
            <w:noWrap/>
            <w:vAlign w:val="center"/>
          </w:tcPr>
          <w:p w14:paraId="3D5E47C3" w14:textId="00E49371"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5.290.299 </w:t>
            </w:r>
          </w:p>
        </w:tc>
        <w:tc>
          <w:tcPr>
            <w:tcW w:w="669" w:type="pct"/>
            <w:tcBorders>
              <w:top w:val="nil"/>
              <w:left w:val="nil"/>
              <w:bottom w:val="nil"/>
              <w:right w:val="nil"/>
            </w:tcBorders>
            <w:shd w:val="clear" w:color="auto" w:fill="auto"/>
            <w:noWrap/>
            <w:vAlign w:val="center"/>
          </w:tcPr>
          <w:p w14:paraId="7855E75B" w14:textId="158AB23C" w:rsidR="00407B2D" w:rsidRPr="00262BD5" w:rsidRDefault="00407B2D" w:rsidP="00407B2D">
            <w:pPr>
              <w:jc w:val="right"/>
              <w:rPr>
                <w:rFonts w:ascii="Arial" w:hAnsi="Arial" w:cs="Arial"/>
                <w:sz w:val="16"/>
                <w:szCs w:val="16"/>
                <w:lang w:eastAsia="es-AR"/>
              </w:rPr>
            </w:pPr>
            <w:r>
              <w:rPr>
                <w:rFonts w:ascii="Arial" w:hAnsi="Arial" w:cs="Arial"/>
                <w:sz w:val="16"/>
                <w:szCs w:val="16"/>
              </w:rPr>
              <w:t>3.557.300</w:t>
            </w:r>
          </w:p>
        </w:tc>
      </w:tr>
      <w:tr w:rsidR="00407B2D" w:rsidRPr="000C5202" w14:paraId="36F2D92F" w14:textId="77777777" w:rsidTr="006E1AF7">
        <w:trPr>
          <w:trHeight w:val="285"/>
        </w:trPr>
        <w:tc>
          <w:tcPr>
            <w:tcW w:w="3225" w:type="pct"/>
            <w:tcBorders>
              <w:top w:val="nil"/>
              <w:left w:val="nil"/>
              <w:bottom w:val="nil"/>
              <w:right w:val="nil"/>
            </w:tcBorders>
            <w:shd w:val="clear" w:color="auto" w:fill="auto"/>
            <w:vAlign w:val="center"/>
            <w:hideMark/>
          </w:tcPr>
          <w:p w14:paraId="28D0C80E" w14:textId="7C6F0580"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 xml:space="preserve">Egresos por comisiones </w:t>
            </w:r>
            <w:r w:rsidRPr="00856288">
              <w:rPr>
                <w:rFonts w:ascii="Arial" w:hAnsi="Arial" w:cs="Arial"/>
                <w:b/>
                <w:sz w:val="16"/>
                <w:szCs w:val="16"/>
                <w:lang w:eastAsia="es-AR"/>
              </w:rPr>
              <w:t>(Anexo Q)</w:t>
            </w:r>
          </w:p>
        </w:tc>
        <w:tc>
          <w:tcPr>
            <w:tcW w:w="425" w:type="pct"/>
            <w:tcBorders>
              <w:top w:val="nil"/>
              <w:left w:val="nil"/>
              <w:bottom w:val="nil"/>
              <w:right w:val="nil"/>
            </w:tcBorders>
            <w:shd w:val="clear" w:color="auto" w:fill="auto"/>
            <w:vAlign w:val="center"/>
          </w:tcPr>
          <w:p w14:paraId="6C97900F" w14:textId="124AF6C4" w:rsidR="00407B2D" w:rsidRPr="00817C72" w:rsidRDefault="00407B2D" w:rsidP="00407B2D">
            <w:pPr>
              <w:jc w:val="center"/>
              <w:rPr>
                <w:rFonts w:ascii="Arial" w:hAnsi="Arial" w:cs="Arial"/>
                <w:sz w:val="16"/>
                <w:szCs w:val="16"/>
                <w:lang w:eastAsia="es-AR"/>
              </w:rPr>
            </w:pPr>
            <w:r>
              <w:rPr>
                <w:rFonts w:ascii="Arial" w:hAnsi="Arial" w:cs="Arial"/>
                <w:sz w:val="16"/>
                <w:szCs w:val="16"/>
                <w:lang w:eastAsia="es-AR"/>
              </w:rPr>
              <w:t>6.18</w:t>
            </w:r>
          </w:p>
        </w:tc>
        <w:tc>
          <w:tcPr>
            <w:tcW w:w="681" w:type="pct"/>
            <w:tcBorders>
              <w:top w:val="nil"/>
              <w:left w:val="nil"/>
              <w:bottom w:val="nil"/>
              <w:right w:val="nil"/>
            </w:tcBorders>
            <w:shd w:val="clear" w:color="auto" w:fill="auto"/>
            <w:noWrap/>
            <w:vAlign w:val="center"/>
          </w:tcPr>
          <w:p w14:paraId="482F2FE2" w14:textId="5BF9136A"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-1.347.016 </w:t>
            </w:r>
          </w:p>
        </w:tc>
        <w:tc>
          <w:tcPr>
            <w:tcW w:w="669" w:type="pct"/>
            <w:tcBorders>
              <w:top w:val="nil"/>
              <w:left w:val="nil"/>
              <w:bottom w:val="nil"/>
              <w:right w:val="nil"/>
            </w:tcBorders>
            <w:shd w:val="clear" w:color="auto" w:fill="auto"/>
            <w:noWrap/>
            <w:vAlign w:val="center"/>
          </w:tcPr>
          <w:p w14:paraId="00BB9294" w14:textId="4685EA00" w:rsidR="00407B2D" w:rsidRPr="00262BD5" w:rsidRDefault="00407B2D" w:rsidP="00407B2D">
            <w:pPr>
              <w:jc w:val="right"/>
              <w:rPr>
                <w:rFonts w:ascii="Arial" w:hAnsi="Arial" w:cs="Arial"/>
                <w:sz w:val="16"/>
                <w:szCs w:val="16"/>
                <w:lang w:eastAsia="es-AR"/>
              </w:rPr>
            </w:pPr>
            <w:r>
              <w:rPr>
                <w:rFonts w:ascii="Arial" w:hAnsi="Arial" w:cs="Arial"/>
                <w:sz w:val="16"/>
                <w:szCs w:val="16"/>
              </w:rPr>
              <w:t>-850.277</w:t>
            </w:r>
          </w:p>
        </w:tc>
      </w:tr>
      <w:tr w:rsidR="00407B2D" w:rsidRPr="000C5202" w14:paraId="7AD1CDB5" w14:textId="77777777" w:rsidTr="006E1AF7">
        <w:trPr>
          <w:trHeight w:val="285"/>
        </w:trPr>
        <w:tc>
          <w:tcPr>
            <w:tcW w:w="3225" w:type="pct"/>
            <w:tcBorders>
              <w:top w:val="nil"/>
              <w:left w:val="nil"/>
              <w:bottom w:val="nil"/>
              <w:right w:val="nil"/>
            </w:tcBorders>
            <w:shd w:val="clear" w:color="auto" w:fill="auto"/>
            <w:vAlign w:val="center"/>
            <w:hideMark/>
          </w:tcPr>
          <w:p w14:paraId="1D82BA5E" w14:textId="77777777" w:rsidR="00407B2D" w:rsidRPr="000C5202" w:rsidRDefault="00407B2D" w:rsidP="00407B2D">
            <w:pPr>
              <w:rPr>
                <w:rFonts w:ascii="Arial" w:hAnsi="Arial" w:cs="Arial"/>
                <w:b/>
                <w:bCs/>
                <w:sz w:val="16"/>
                <w:szCs w:val="16"/>
                <w:lang w:eastAsia="es-AR"/>
              </w:rPr>
            </w:pPr>
            <w:r w:rsidRPr="000C5202">
              <w:rPr>
                <w:rFonts w:ascii="Arial" w:hAnsi="Arial" w:cs="Arial"/>
                <w:b/>
                <w:bCs/>
                <w:sz w:val="16"/>
                <w:szCs w:val="16"/>
                <w:lang w:eastAsia="es-AR"/>
              </w:rPr>
              <w:t>Resultado neto por comisiones</w:t>
            </w:r>
          </w:p>
        </w:tc>
        <w:tc>
          <w:tcPr>
            <w:tcW w:w="425" w:type="pct"/>
            <w:tcBorders>
              <w:top w:val="nil"/>
              <w:left w:val="nil"/>
              <w:bottom w:val="nil"/>
              <w:right w:val="nil"/>
            </w:tcBorders>
            <w:shd w:val="clear" w:color="auto" w:fill="auto"/>
            <w:vAlign w:val="center"/>
          </w:tcPr>
          <w:p w14:paraId="3B34625E" w14:textId="77777777" w:rsidR="00407B2D" w:rsidRPr="00817C72" w:rsidRDefault="00407B2D" w:rsidP="00407B2D">
            <w:pPr>
              <w:jc w:val="center"/>
              <w:rPr>
                <w:rFonts w:ascii="Arial" w:hAnsi="Arial" w:cs="Arial"/>
                <w:b/>
                <w:bCs/>
                <w:sz w:val="16"/>
                <w:szCs w:val="16"/>
                <w:lang w:eastAsia="es-AR"/>
              </w:rPr>
            </w:pPr>
          </w:p>
        </w:tc>
        <w:tc>
          <w:tcPr>
            <w:tcW w:w="681" w:type="pct"/>
            <w:tcBorders>
              <w:top w:val="nil"/>
              <w:left w:val="nil"/>
              <w:bottom w:val="nil"/>
              <w:right w:val="nil"/>
            </w:tcBorders>
            <w:shd w:val="clear" w:color="auto" w:fill="auto"/>
            <w:noWrap/>
            <w:vAlign w:val="center"/>
          </w:tcPr>
          <w:p w14:paraId="3AB6D7A9" w14:textId="7D6AC0A4" w:rsidR="00407B2D" w:rsidRPr="00262BD5" w:rsidRDefault="00407B2D" w:rsidP="00A056FF">
            <w:pPr>
              <w:jc w:val="right"/>
              <w:rPr>
                <w:rFonts w:ascii="Arial" w:hAnsi="Arial" w:cs="Arial"/>
                <w:b/>
                <w:bCs/>
                <w:sz w:val="16"/>
                <w:szCs w:val="16"/>
                <w:lang w:eastAsia="es-AR"/>
              </w:rPr>
            </w:pPr>
            <w:r>
              <w:rPr>
                <w:rFonts w:ascii="Arial" w:hAnsi="Arial" w:cs="Arial"/>
                <w:b/>
                <w:bCs/>
                <w:sz w:val="16"/>
                <w:szCs w:val="16"/>
              </w:rPr>
              <w:t xml:space="preserve">3.943.283 </w:t>
            </w:r>
          </w:p>
        </w:tc>
        <w:tc>
          <w:tcPr>
            <w:tcW w:w="669" w:type="pct"/>
            <w:tcBorders>
              <w:top w:val="nil"/>
              <w:left w:val="nil"/>
              <w:bottom w:val="nil"/>
              <w:right w:val="nil"/>
            </w:tcBorders>
            <w:shd w:val="clear" w:color="auto" w:fill="auto"/>
            <w:noWrap/>
            <w:vAlign w:val="center"/>
          </w:tcPr>
          <w:p w14:paraId="1F7C3389" w14:textId="2936E151" w:rsidR="00407B2D" w:rsidRPr="00262BD5" w:rsidRDefault="00407B2D" w:rsidP="00407B2D">
            <w:pPr>
              <w:jc w:val="right"/>
              <w:rPr>
                <w:rFonts w:ascii="Arial" w:hAnsi="Arial" w:cs="Arial"/>
                <w:b/>
                <w:bCs/>
                <w:sz w:val="16"/>
                <w:szCs w:val="16"/>
                <w:lang w:eastAsia="es-AR"/>
              </w:rPr>
            </w:pPr>
            <w:r>
              <w:rPr>
                <w:rFonts w:ascii="Arial" w:hAnsi="Arial" w:cs="Arial"/>
                <w:b/>
                <w:bCs/>
                <w:sz w:val="16"/>
                <w:szCs w:val="16"/>
              </w:rPr>
              <w:t>2.707.023</w:t>
            </w:r>
          </w:p>
        </w:tc>
      </w:tr>
      <w:tr w:rsidR="00407B2D" w:rsidRPr="000C5202" w14:paraId="035B29B8" w14:textId="77777777" w:rsidTr="006E1AF7">
        <w:trPr>
          <w:trHeight w:val="145"/>
        </w:trPr>
        <w:tc>
          <w:tcPr>
            <w:tcW w:w="3225" w:type="pct"/>
            <w:tcBorders>
              <w:top w:val="nil"/>
              <w:left w:val="nil"/>
              <w:bottom w:val="nil"/>
              <w:right w:val="nil"/>
            </w:tcBorders>
            <w:shd w:val="clear" w:color="auto" w:fill="auto"/>
            <w:vAlign w:val="center"/>
            <w:hideMark/>
          </w:tcPr>
          <w:p w14:paraId="5DCD88C5" w14:textId="77777777" w:rsidR="00407B2D" w:rsidRPr="000C5202" w:rsidRDefault="00407B2D" w:rsidP="00407B2D">
            <w:pPr>
              <w:rPr>
                <w:rFonts w:ascii="Arial" w:hAnsi="Arial" w:cs="Arial"/>
                <w:b/>
                <w:bCs/>
                <w:sz w:val="10"/>
                <w:szCs w:val="10"/>
                <w:lang w:eastAsia="es-AR"/>
              </w:rPr>
            </w:pPr>
          </w:p>
        </w:tc>
        <w:tc>
          <w:tcPr>
            <w:tcW w:w="425" w:type="pct"/>
            <w:tcBorders>
              <w:top w:val="nil"/>
              <w:left w:val="nil"/>
              <w:bottom w:val="nil"/>
              <w:right w:val="nil"/>
            </w:tcBorders>
            <w:shd w:val="clear" w:color="auto" w:fill="auto"/>
            <w:vAlign w:val="center"/>
          </w:tcPr>
          <w:p w14:paraId="3104DCB0" w14:textId="77777777" w:rsidR="00407B2D" w:rsidRPr="00817C72" w:rsidRDefault="00407B2D" w:rsidP="00407B2D">
            <w:pPr>
              <w:jc w:val="center"/>
              <w:rPr>
                <w:rFonts w:ascii="Arial" w:hAnsi="Arial" w:cs="Arial"/>
                <w:sz w:val="10"/>
                <w:szCs w:val="10"/>
                <w:lang w:eastAsia="es-AR"/>
              </w:rPr>
            </w:pPr>
          </w:p>
        </w:tc>
        <w:tc>
          <w:tcPr>
            <w:tcW w:w="681" w:type="pct"/>
            <w:tcBorders>
              <w:top w:val="nil"/>
              <w:left w:val="nil"/>
              <w:bottom w:val="nil"/>
              <w:right w:val="nil"/>
            </w:tcBorders>
            <w:shd w:val="clear" w:color="auto" w:fill="auto"/>
            <w:noWrap/>
            <w:vAlign w:val="center"/>
          </w:tcPr>
          <w:p w14:paraId="7E825E7A" w14:textId="3E579606" w:rsidR="00407B2D" w:rsidRPr="00262BD5" w:rsidRDefault="00407B2D" w:rsidP="00A056FF">
            <w:pPr>
              <w:jc w:val="right"/>
              <w:rPr>
                <w:rFonts w:ascii="Arial" w:hAnsi="Arial" w:cs="Arial"/>
                <w:sz w:val="16"/>
                <w:szCs w:val="16"/>
                <w:lang w:eastAsia="es-AR"/>
              </w:rPr>
            </w:pPr>
          </w:p>
        </w:tc>
        <w:tc>
          <w:tcPr>
            <w:tcW w:w="669" w:type="pct"/>
            <w:tcBorders>
              <w:top w:val="nil"/>
              <w:left w:val="nil"/>
              <w:bottom w:val="nil"/>
              <w:right w:val="nil"/>
            </w:tcBorders>
            <w:shd w:val="clear" w:color="auto" w:fill="auto"/>
            <w:noWrap/>
            <w:vAlign w:val="center"/>
          </w:tcPr>
          <w:p w14:paraId="4CE4DF66" w14:textId="461EE668" w:rsidR="00407B2D" w:rsidRPr="00262BD5" w:rsidRDefault="00407B2D" w:rsidP="00407B2D">
            <w:pPr>
              <w:jc w:val="right"/>
              <w:rPr>
                <w:rFonts w:ascii="Arial" w:hAnsi="Arial" w:cs="Arial"/>
                <w:sz w:val="16"/>
                <w:szCs w:val="16"/>
                <w:lang w:eastAsia="es-AR"/>
              </w:rPr>
            </w:pPr>
          </w:p>
        </w:tc>
      </w:tr>
      <w:tr w:rsidR="00407B2D" w:rsidRPr="000C5202" w14:paraId="5807CE79" w14:textId="77777777" w:rsidTr="006E1AF7">
        <w:trPr>
          <w:trHeight w:val="510"/>
        </w:trPr>
        <w:tc>
          <w:tcPr>
            <w:tcW w:w="3225" w:type="pct"/>
            <w:tcBorders>
              <w:top w:val="nil"/>
              <w:left w:val="nil"/>
              <w:bottom w:val="nil"/>
              <w:right w:val="nil"/>
            </w:tcBorders>
            <w:shd w:val="clear" w:color="auto" w:fill="auto"/>
            <w:vAlign w:val="center"/>
            <w:hideMark/>
          </w:tcPr>
          <w:p w14:paraId="5B5C2D44" w14:textId="4A32F67C"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 xml:space="preserve">Resultado neto por medición de instrumentos financieros a valor razonable con cambios en resultados </w:t>
            </w:r>
            <w:r w:rsidRPr="00856288">
              <w:rPr>
                <w:rFonts w:ascii="Arial" w:hAnsi="Arial" w:cs="Arial"/>
                <w:b/>
                <w:sz w:val="16"/>
                <w:szCs w:val="16"/>
                <w:lang w:eastAsia="es-AR"/>
              </w:rPr>
              <w:t>(Anexo Q)</w:t>
            </w:r>
          </w:p>
        </w:tc>
        <w:tc>
          <w:tcPr>
            <w:tcW w:w="425" w:type="pct"/>
            <w:tcBorders>
              <w:top w:val="nil"/>
              <w:left w:val="nil"/>
              <w:bottom w:val="nil"/>
              <w:right w:val="nil"/>
            </w:tcBorders>
            <w:shd w:val="clear" w:color="auto" w:fill="auto"/>
            <w:vAlign w:val="center"/>
          </w:tcPr>
          <w:p w14:paraId="7A417718" w14:textId="0CD87FEB" w:rsidR="00407B2D" w:rsidRPr="00817C72" w:rsidRDefault="00407B2D" w:rsidP="00407B2D">
            <w:pPr>
              <w:jc w:val="center"/>
              <w:rPr>
                <w:rFonts w:ascii="Arial" w:hAnsi="Arial" w:cs="Arial"/>
                <w:sz w:val="16"/>
                <w:szCs w:val="16"/>
                <w:lang w:eastAsia="es-AR"/>
              </w:rPr>
            </w:pPr>
            <w:r>
              <w:rPr>
                <w:rFonts w:ascii="Arial" w:hAnsi="Arial" w:cs="Arial"/>
                <w:sz w:val="16"/>
                <w:szCs w:val="16"/>
                <w:lang w:eastAsia="es-AR"/>
              </w:rPr>
              <w:t>6.19</w:t>
            </w:r>
          </w:p>
        </w:tc>
        <w:tc>
          <w:tcPr>
            <w:tcW w:w="681" w:type="pct"/>
            <w:tcBorders>
              <w:top w:val="nil"/>
              <w:left w:val="nil"/>
              <w:bottom w:val="nil"/>
              <w:right w:val="nil"/>
            </w:tcBorders>
            <w:shd w:val="clear" w:color="auto" w:fill="auto"/>
            <w:noWrap/>
            <w:vAlign w:val="center"/>
          </w:tcPr>
          <w:p w14:paraId="0328498D" w14:textId="036D57E8"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15.920.233 </w:t>
            </w:r>
          </w:p>
        </w:tc>
        <w:tc>
          <w:tcPr>
            <w:tcW w:w="669" w:type="pct"/>
            <w:tcBorders>
              <w:top w:val="nil"/>
              <w:left w:val="nil"/>
              <w:bottom w:val="nil"/>
              <w:right w:val="nil"/>
            </w:tcBorders>
            <w:shd w:val="clear" w:color="auto" w:fill="auto"/>
            <w:noWrap/>
            <w:vAlign w:val="center"/>
          </w:tcPr>
          <w:p w14:paraId="2DE57D61" w14:textId="629FD16A" w:rsidR="00407B2D" w:rsidRPr="00262BD5" w:rsidRDefault="00407B2D" w:rsidP="00407B2D">
            <w:pPr>
              <w:jc w:val="right"/>
              <w:rPr>
                <w:rFonts w:ascii="Arial" w:hAnsi="Arial" w:cs="Arial"/>
                <w:sz w:val="16"/>
                <w:szCs w:val="16"/>
                <w:lang w:eastAsia="es-AR"/>
              </w:rPr>
            </w:pPr>
            <w:r>
              <w:rPr>
                <w:rFonts w:ascii="Arial" w:hAnsi="Arial" w:cs="Arial"/>
                <w:sz w:val="16"/>
                <w:szCs w:val="16"/>
              </w:rPr>
              <w:t>5.116.608</w:t>
            </w:r>
          </w:p>
        </w:tc>
      </w:tr>
      <w:tr w:rsidR="00407B2D" w:rsidRPr="000C5202" w14:paraId="23CCD232" w14:textId="77777777" w:rsidTr="006E1AF7">
        <w:trPr>
          <w:trHeight w:val="285"/>
        </w:trPr>
        <w:tc>
          <w:tcPr>
            <w:tcW w:w="3225" w:type="pct"/>
            <w:tcBorders>
              <w:top w:val="nil"/>
              <w:left w:val="nil"/>
              <w:bottom w:val="nil"/>
              <w:right w:val="nil"/>
            </w:tcBorders>
            <w:shd w:val="clear" w:color="auto" w:fill="auto"/>
            <w:vAlign w:val="center"/>
            <w:hideMark/>
          </w:tcPr>
          <w:p w14:paraId="49B6967A" w14:textId="2C04DB47"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Diferencia de cotización de oro y moneda extranjera</w:t>
            </w:r>
          </w:p>
        </w:tc>
        <w:tc>
          <w:tcPr>
            <w:tcW w:w="425" w:type="pct"/>
            <w:tcBorders>
              <w:top w:val="nil"/>
              <w:left w:val="nil"/>
              <w:bottom w:val="nil"/>
              <w:right w:val="nil"/>
            </w:tcBorders>
            <w:shd w:val="clear" w:color="auto" w:fill="auto"/>
            <w:vAlign w:val="center"/>
          </w:tcPr>
          <w:p w14:paraId="7CB7B36A" w14:textId="77777777" w:rsidR="00407B2D" w:rsidRPr="00817C72" w:rsidRDefault="00407B2D" w:rsidP="00407B2D">
            <w:pPr>
              <w:jc w:val="center"/>
              <w:rPr>
                <w:rFonts w:ascii="Arial" w:hAnsi="Arial" w:cs="Arial"/>
                <w:sz w:val="16"/>
                <w:szCs w:val="16"/>
                <w:lang w:eastAsia="es-AR"/>
              </w:rPr>
            </w:pPr>
          </w:p>
        </w:tc>
        <w:tc>
          <w:tcPr>
            <w:tcW w:w="681" w:type="pct"/>
            <w:tcBorders>
              <w:top w:val="nil"/>
              <w:left w:val="nil"/>
              <w:bottom w:val="nil"/>
              <w:right w:val="nil"/>
            </w:tcBorders>
            <w:shd w:val="clear" w:color="auto" w:fill="auto"/>
            <w:noWrap/>
            <w:vAlign w:val="center"/>
          </w:tcPr>
          <w:p w14:paraId="5386E00A" w14:textId="14D20A5E"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-218.331 </w:t>
            </w:r>
          </w:p>
        </w:tc>
        <w:tc>
          <w:tcPr>
            <w:tcW w:w="669" w:type="pct"/>
            <w:tcBorders>
              <w:top w:val="nil"/>
              <w:left w:val="nil"/>
              <w:bottom w:val="nil"/>
              <w:right w:val="nil"/>
            </w:tcBorders>
            <w:shd w:val="clear" w:color="auto" w:fill="auto"/>
            <w:noWrap/>
            <w:vAlign w:val="center"/>
          </w:tcPr>
          <w:p w14:paraId="5B0D2EE4" w14:textId="18341F3A" w:rsidR="00407B2D" w:rsidRPr="00262BD5" w:rsidRDefault="00407B2D" w:rsidP="00407B2D">
            <w:pPr>
              <w:jc w:val="right"/>
              <w:rPr>
                <w:rFonts w:ascii="Arial" w:hAnsi="Arial" w:cs="Arial"/>
                <w:sz w:val="16"/>
                <w:szCs w:val="16"/>
                <w:lang w:eastAsia="es-AR"/>
              </w:rPr>
            </w:pPr>
            <w:r>
              <w:rPr>
                <w:rFonts w:ascii="Arial" w:hAnsi="Arial" w:cs="Arial"/>
                <w:sz w:val="16"/>
                <w:szCs w:val="16"/>
              </w:rPr>
              <w:t>837.835</w:t>
            </w:r>
          </w:p>
        </w:tc>
      </w:tr>
      <w:tr w:rsidR="00407B2D" w:rsidRPr="000C5202" w14:paraId="47A8FCC5" w14:textId="77777777" w:rsidTr="006E1AF7">
        <w:trPr>
          <w:trHeight w:val="285"/>
        </w:trPr>
        <w:tc>
          <w:tcPr>
            <w:tcW w:w="3225" w:type="pct"/>
            <w:tcBorders>
              <w:top w:val="nil"/>
              <w:left w:val="nil"/>
              <w:bottom w:val="nil"/>
              <w:right w:val="nil"/>
            </w:tcBorders>
            <w:shd w:val="clear" w:color="auto" w:fill="auto"/>
            <w:vAlign w:val="center"/>
            <w:hideMark/>
          </w:tcPr>
          <w:p w14:paraId="03A89B30" w14:textId="77777777"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Otros ingresos operativos</w:t>
            </w:r>
          </w:p>
        </w:tc>
        <w:tc>
          <w:tcPr>
            <w:tcW w:w="425" w:type="pct"/>
            <w:tcBorders>
              <w:top w:val="nil"/>
              <w:left w:val="nil"/>
              <w:bottom w:val="nil"/>
              <w:right w:val="nil"/>
            </w:tcBorders>
            <w:shd w:val="clear" w:color="auto" w:fill="auto"/>
            <w:vAlign w:val="center"/>
          </w:tcPr>
          <w:p w14:paraId="76563DCD" w14:textId="7745296B" w:rsidR="00407B2D" w:rsidRPr="00817C72" w:rsidRDefault="00407B2D" w:rsidP="00407B2D">
            <w:pPr>
              <w:jc w:val="center"/>
              <w:rPr>
                <w:rFonts w:ascii="Arial" w:hAnsi="Arial" w:cs="Arial"/>
                <w:sz w:val="16"/>
                <w:szCs w:val="16"/>
                <w:lang w:eastAsia="es-AR"/>
              </w:rPr>
            </w:pPr>
            <w:r>
              <w:rPr>
                <w:rFonts w:ascii="Arial" w:hAnsi="Arial" w:cs="Arial"/>
                <w:sz w:val="16"/>
                <w:szCs w:val="16"/>
                <w:lang w:eastAsia="es-AR"/>
              </w:rPr>
              <w:t>6.20</w:t>
            </w:r>
          </w:p>
        </w:tc>
        <w:tc>
          <w:tcPr>
            <w:tcW w:w="681" w:type="pct"/>
            <w:tcBorders>
              <w:top w:val="nil"/>
              <w:left w:val="nil"/>
              <w:bottom w:val="nil"/>
              <w:right w:val="nil"/>
            </w:tcBorders>
            <w:shd w:val="clear" w:color="auto" w:fill="auto"/>
            <w:noWrap/>
            <w:vAlign w:val="center"/>
          </w:tcPr>
          <w:p w14:paraId="0DBBAB52" w14:textId="58E47CA2"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2.218.609 </w:t>
            </w:r>
          </w:p>
        </w:tc>
        <w:tc>
          <w:tcPr>
            <w:tcW w:w="669" w:type="pct"/>
            <w:tcBorders>
              <w:top w:val="nil"/>
              <w:left w:val="nil"/>
              <w:bottom w:val="nil"/>
              <w:right w:val="nil"/>
            </w:tcBorders>
            <w:shd w:val="clear" w:color="auto" w:fill="auto"/>
            <w:noWrap/>
            <w:vAlign w:val="center"/>
          </w:tcPr>
          <w:p w14:paraId="1553B73B" w14:textId="3B54FA1E" w:rsidR="00407B2D" w:rsidRPr="00262BD5" w:rsidRDefault="00407B2D" w:rsidP="00407B2D">
            <w:pPr>
              <w:jc w:val="right"/>
              <w:rPr>
                <w:rFonts w:ascii="Arial" w:hAnsi="Arial" w:cs="Arial"/>
                <w:sz w:val="16"/>
                <w:szCs w:val="16"/>
                <w:lang w:eastAsia="es-AR"/>
              </w:rPr>
            </w:pPr>
            <w:r>
              <w:rPr>
                <w:rFonts w:ascii="Arial" w:hAnsi="Arial" w:cs="Arial"/>
                <w:sz w:val="16"/>
                <w:szCs w:val="16"/>
              </w:rPr>
              <w:t>1.516.524</w:t>
            </w:r>
          </w:p>
        </w:tc>
      </w:tr>
      <w:tr w:rsidR="00407B2D" w:rsidRPr="000C5202" w14:paraId="671A4437" w14:textId="77777777" w:rsidTr="006E1AF7">
        <w:trPr>
          <w:trHeight w:val="285"/>
        </w:trPr>
        <w:tc>
          <w:tcPr>
            <w:tcW w:w="3225" w:type="pct"/>
            <w:tcBorders>
              <w:top w:val="nil"/>
              <w:left w:val="nil"/>
              <w:bottom w:val="nil"/>
              <w:right w:val="nil"/>
            </w:tcBorders>
            <w:shd w:val="clear" w:color="auto" w:fill="auto"/>
            <w:vAlign w:val="center"/>
            <w:hideMark/>
          </w:tcPr>
          <w:p w14:paraId="38F5DD18" w14:textId="77777777"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 xml:space="preserve">Cargo por incobrabilidad </w:t>
            </w:r>
            <w:r w:rsidRPr="000C5202">
              <w:rPr>
                <w:rFonts w:ascii="Arial" w:hAnsi="Arial" w:cs="Arial"/>
                <w:b/>
                <w:bCs/>
                <w:sz w:val="16"/>
                <w:szCs w:val="16"/>
                <w:lang w:eastAsia="es-AR"/>
              </w:rPr>
              <w:t>(Anexo R)</w:t>
            </w:r>
          </w:p>
        </w:tc>
        <w:tc>
          <w:tcPr>
            <w:tcW w:w="425" w:type="pct"/>
            <w:tcBorders>
              <w:top w:val="nil"/>
              <w:left w:val="nil"/>
              <w:bottom w:val="nil"/>
              <w:right w:val="nil"/>
            </w:tcBorders>
            <w:shd w:val="clear" w:color="auto" w:fill="auto"/>
            <w:vAlign w:val="center"/>
          </w:tcPr>
          <w:p w14:paraId="4B2FBF27" w14:textId="77777777" w:rsidR="00407B2D" w:rsidRPr="00817C72" w:rsidRDefault="00407B2D" w:rsidP="00407B2D">
            <w:pPr>
              <w:jc w:val="center"/>
              <w:rPr>
                <w:rFonts w:ascii="Arial" w:hAnsi="Arial" w:cs="Arial"/>
                <w:sz w:val="16"/>
                <w:szCs w:val="16"/>
                <w:lang w:eastAsia="es-AR"/>
              </w:rPr>
            </w:pPr>
          </w:p>
        </w:tc>
        <w:tc>
          <w:tcPr>
            <w:tcW w:w="681" w:type="pct"/>
            <w:tcBorders>
              <w:top w:val="nil"/>
              <w:left w:val="nil"/>
              <w:bottom w:val="nil"/>
              <w:right w:val="nil"/>
            </w:tcBorders>
            <w:shd w:val="clear" w:color="auto" w:fill="auto"/>
            <w:noWrap/>
            <w:vAlign w:val="center"/>
          </w:tcPr>
          <w:p w14:paraId="03AC3DE8" w14:textId="508E2D70"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-5.195.343 </w:t>
            </w:r>
          </w:p>
        </w:tc>
        <w:tc>
          <w:tcPr>
            <w:tcW w:w="669" w:type="pct"/>
            <w:tcBorders>
              <w:top w:val="nil"/>
              <w:left w:val="nil"/>
              <w:bottom w:val="nil"/>
              <w:right w:val="nil"/>
            </w:tcBorders>
            <w:shd w:val="clear" w:color="auto" w:fill="auto"/>
            <w:noWrap/>
            <w:vAlign w:val="center"/>
          </w:tcPr>
          <w:p w14:paraId="164B7027" w14:textId="5C999D47" w:rsidR="00407B2D" w:rsidRPr="00262BD5" w:rsidRDefault="00407B2D" w:rsidP="00407B2D">
            <w:pPr>
              <w:jc w:val="right"/>
              <w:rPr>
                <w:rFonts w:ascii="Arial" w:hAnsi="Arial" w:cs="Arial"/>
                <w:sz w:val="16"/>
                <w:szCs w:val="16"/>
                <w:lang w:eastAsia="es-AR"/>
              </w:rPr>
            </w:pPr>
            <w:r>
              <w:rPr>
                <w:rFonts w:ascii="Arial" w:hAnsi="Arial" w:cs="Arial"/>
                <w:sz w:val="16"/>
                <w:szCs w:val="16"/>
              </w:rPr>
              <w:t>-2.303.264</w:t>
            </w:r>
          </w:p>
        </w:tc>
      </w:tr>
      <w:tr w:rsidR="00407B2D" w:rsidRPr="000C5202" w14:paraId="29FDD5C2" w14:textId="77777777" w:rsidTr="006E1AF7">
        <w:trPr>
          <w:trHeight w:val="96"/>
        </w:trPr>
        <w:tc>
          <w:tcPr>
            <w:tcW w:w="3225" w:type="pct"/>
            <w:tcBorders>
              <w:top w:val="nil"/>
              <w:left w:val="nil"/>
              <w:bottom w:val="nil"/>
              <w:right w:val="nil"/>
            </w:tcBorders>
            <w:shd w:val="clear" w:color="auto" w:fill="auto"/>
            <w:vAlign w:val="center"/>
            <w:hideMark/>
          </w:tcPr>
          <w:p w14:paraId="75B7D6D0" w14:textId="77777777" w:rsidR="00407B2D" w:rsidRPr="000C5202" w:rsidRDefault="00407B2D" w:rsidP="00407B2D">
            <w:pPr>
              <w:rPr>
                <w:rFonts w:ascii="Arial" w:hAnsi="Arial" w:cs="Arial"/>
                <w:sz w:val="10"/>
                <w:szCs w:val="10"/>
                <w:lang w:eastAsia="es-AR"/>
              </w:rPr>
            </w:pPr>
          </w:p>
        </w:tc>
        <w:tc>
          <w:tcPr>
            <w:tcW w:w="425" w:type="pct"/>
            <w:tcBorders>
              <w:top w:val="nil"/>
              <w:left w:val="nil"/>
              <w:bottom w:val="nil"/>
              <w:right w:val="nil"/>
            </w:tcBorders>
            <w:shd w:val="clear" w:color="auto" w:fill="auto"/>
            <w:vAlign w:val="center"/>
          </w:tcPr>
          <w:p w14:paraId="28B8DE01" w14:textId="77777777" w:rsidR="00407B2D" w:rsidRPr="00817C72" w:rsidRDefault="00407B2D" w:rsidP="00407B2D">
            <w:pPr>
              <w:jc w:val="center"/>
              <w:rPr>
                <w:rFonts w:ascii="Arial" w:hAnsi="Arial" w:cs="Arial"/>
                <w:sz w:val="10"/>
                <w:szCs w:val="10"/>
                <w:lang w:eastAsia="es-AR"/>
              </w:rPr>
            </w:pPr>
          </w:p>
        </w:tc>
        <w:tc>
          <w:tcPr>
            <w:tcW w:w="681" w:type="pct"/>
            <w:tcBorders>
              <w:top w:val="nil"/>
              <w:left w:val="nil"/>
              <w:bottom w:val="nil"/>
              <w:right w:val="nil"/>
            </w:tcBorders>
            <w:shd w:val="clear" w:color="auto" w:fill="auto"/>
            <w:noWrap/>
            <w:vAlign w:val="center"/>
          </w:tcPr>
          <w:p w14:paraId="6FAC9AAB" w14:textId="4161211E" w:rsidR="00407B2D" w:rsidRPr="00262BD5" w:rsidRDefault="00407B2D" w:rsidP="00A056FF">
            <w:pPr>
              <w:jc w:val="right"/>
              <w:rPr>
                <w:rFonts w:ascii="Arial" w:hAnsi="Arial" w:cs="Arial"/>
                <w:sz w:val="16"/>
                <w:szCs w:val="16"/>
                <w:lang w:eastAsia="es-AR"/>
              </w:rPr>
            </w:pPr>
          </w:p>
        </w:tc>
        <w:tc>
          <w:tcPr>
            <w:tcW w:w="669" w:type="pct"/>
            <w:tcBorders>
              <w:top w:val="nil"/>
              <w:left w:val="nil"/>
              <w:bottom w:val="nil"/>
              <w:right w:val="nil"/>
            </w:tcBorders>
            <w:shd w:val="clear" w:color="auto" w:fill="auto"/>
            <w:noWrap/>
            <w:vAlign w:val="center"/>
          </w:tcPr>
          <w:p w14:paraId="35CD8F43" w14:textId="5AC2124B" w:rsidR="00407B2D" w:rsidRPr="00262BD5" w:rsidRDefault="00407B2D" w:rsidP="00407B2D">
            <w:pPr>
              <w:jc w:val="right"/>
              <w:rPr>
                <w:rFonts w:ascii="Arial" w:hAnsi="Arial" w:cs="Arial"/>
                <w:sz w:val="16"/>
                <w:szCs w:val="16"/>
                <w:lang w:eastAsia="es-AR"/>
              </w:rPr>
            </w:pPr>
          </w:p>
        </w:tc>
      </w:tr>
      <w:tr w:rsidR="00407B2D" w:rsidRPr="000C5202" w14:paraId="074C80D9" w14:textId="77777777" w:rsidTr="006E1AF7">
        <w:trPr>
          <w:trHeight w:val="285"/>
        </w:trPr>
        <w:tc>
          <w:tcPr>
            <w:tcW w:w="3225" w:type="pct"/>
            <w:tcBorders>
              <w:top w:val="nil"/>
              <w:left w:val="nil"/>
              <w:bottom w:val="nil"/>
              <w:right w:val="nil"/>
            </w:tcBorders>
            <w:shd w:val="clear" w:color="auto" w:fill="auto"/>
            <w:vAlign w:val="center"/>
            <w:hideMark/>
          </w:tcPr>
          <w:p w14:paraId="09FE33D8" w14:textId="77777777" w:rsidR="00407B2D" w:rsidRPr="000C5202" w:rsidRDefault="00407B2D" w:rsidP="00407B2D">
            <w:pPr>
              <w:rPr>
                <w:rFonts w:ascii="Arial" w:hAnsi="Arial" w:cs="Arial"/>
                <w:b/>
                <w:bCs/>
                <w:sz w:val="16"/>
                <w:szCs w:val="16"/>
                <w:lang w:eastAsia="es-AR"/>
              </w:rPr>
            </w:pPr>
            <w:r w:rsidRPr="000C5202">
              <w:rPr>
                <w:rFonts w:ascii="Arial" w:hAnsi="Arial" w:cs="Arial"/>
                <w:b/>
                <w:bCs/>
                <w:sz w:val="16"/>
                <w:szCs w:val="16"/>
                <w:lang w:eastAsia="es-AR"/>
              </w:rPr>
              <w:t>Ingreso operativo neto</w:t>
            </w:r>
          </w:p>
        </w:tc>
        <w:tc>
          <w:tcPr>
            <w:tcW w:w="425" w:type="pct"/>
            <w:tcBorders>
              <w:top w:val="nil"/>
              <w:left w:val="nil"/>
              <w:bottom w:val="nil"/>
              <w:right w:val="nil"/>
            </w:tcBorders>
            <w:shd w:val="clear" w:color="auto" w:fill="auto"/>
            <w:vAlign w:val="center"/>
          </w:tcPr>
          <w:p w14:paraId="78179A11" w14:textId="77777777" w:rsidR="00407B2D" w:rsidRPr="00817C72" w:rsidRDefault="00407B2D" w:rsidP="00407B2D">
            <w:pPr>
              <w:jc w:val="center"/>
              <w:rPr>
                <w:rFonts w:ascii="Arial" w:hAnsi="Arial" w:cs="Arial"/>
                <w:b/>
                <w:bCs/>
                <w:sz w:val="16"/>
                <w:szCs w:val="16"/>
                <w:lang w:eastAsia="es-AR"/>
              </w:rPr>
            </w:pPr>
          </w:p>
        </w:tc>
        <w:tc>
          <w:tcPr>
            <w:tcW w:w="681" w:type="pct"/>
            <w:tcBorders>
              <w:top w:val="nil"/>
              <w:left w:val="nil"/>
              <w:bottom w:val="nil"/>
              <w:right w:val="nil"/>
            </w:tcBorders>
            <w:shd w:val="clear" w:color="auto" w:fill="auto"/>
            <w:noWrap/>
            <w:vAlign w:val="center"/>
          </w:tcPr>
          <w:p w14:paraId="58F48151" w14:textId="797212AD" w:rsidR="00407B2D" w:rsidRPr="00262BD5" w:rsidRDefault="00407B2D" w:rsidP="00A056FF">
            <w:pPr>
              <w:jc w:val="right"/>
              <w:rPr>
                <w:rFonts w:ascii="Arial" w:hAnsi="Arial" w:cs="Arial"/>
                <w:b/>
                <w:bCs/>
                <w:sz w:val="16"/>
                <w:szCs w:val="16"/>
                <w:lang w:eastAsia="es-AR"/>
              </w:rPr>
            </w:pPr>
            <w:r>
              <w:rPr>
                <w:rFonts w:ascii="Arial" w:hAnsi="Arial" w:cs="Arial"/>
                <w:b/>
                <w:bCs/>
                <w:sz w:val="16"/>
                <w:szCs w:val="16"/>
              </w:rPr>
              <w:t xml:space="preserve">23.351.534 </w:t>
            </w:r>
          </w:p>
        </w:tc>
        <w:tc>
          <w:tcPr>
            <w:tcW w:w="669" w:type="pct"/>
            <w:tcBorders>
              <w:top w:val="nil"/>
              <w:left w:val="nil"/>
              <w:bottom w:val="nil"/>
              <w:right w:val="nil"/>
            </w:tcBorders>
            <w:shd w:val="clear" w:color="auto" w:fill="auto"/>
            <w:noWrap/>
            <w:vAlign w:val="center"/>
          </w:tcPr>
          <w:p w14:paraId="431492B2" w14:textId="3272A77D" w:rsidR="00407B2D" w:rsidRPr="00262BD5" w:rsidRDefault="00407B2D" w:rsidP="00407B2D">
            <w:pPr>
              <w:jc w:val="right"/>
              <w:rPr>
                <w:rFonts w:ascii="Arial" w:hAnsi="Arial" w:cs="Arial"/>
                <w:b/>
                <w:bCs/>
                <w:sz w:val="16"/>
                <w:szCs w:val="16"/>
                <w:lang w:eastAsia="es-AR"/>
              </w:rPr>
            </w:pPr>
            <w:r>
              <w:rPr>
                <w:rFonts w:ascii="Arial" w:hAnsi="Arial" w:cs="Arial"/>
                <w:b/>
                <w:bCs/>
                <w:sz w:val="16"/>
                <w:szCs w:val="16"/>
              </w:rPr>
              <w:t>15.535.577</w:t>
            </w:r>
          </w:p>
        </w:tc>
      </w:tr>
      <w:tr w:rsidR="00407B2D" w:rsidRPr="000C5202" w14:paraId="3583AA0F" w14:textId="77777777" w:rsidTr="006E1AF7">
        <w:trPr>
          <w:trHeight w:val="285"/>
        </w:trPr>
        <w:tc>
          <w:tcPr>
            <w:tcW w:w="3225" w:type="pct"/>
            <w:tcBorders>
              <w:top w:val="nil"/>
              <w:left w:val="nil"/>
              <w:bottom w:val="nil"/>
              <w:right w:val="nil"/>
            </w:tcBorders>
            <w:shd w:val="clear" w:color="auto" w:fill="auto"/>
            <w:vAlign w:val="center"/>
            <w:hideMark/>
          </w:tcPr>
          <w:p w14:paraId="1CF7B191" w14:textId="77777777"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Beneficios al personal</w:t>
            </w:r>
          </w:p>
        </w:tc>
        <w:tc>
          <w:tcPr>
            <w:tcW w:w="425" w:type="pct"/>
            <w:tcBorders>
              <w:top w:val="nil"/>
              <w:left w:val="nil"/>
              <w:bottom w:val="nil"/>
              <w:right w:val="nil"/>
            </w:tcBorders>
            <w:shd w:val="clear" w:color="auto" w:fill="auto"/>
            <w:vAlign w:val="center"/>
          </w:tcPr>
          <w:p w14:paraId="6563CC02" w14:textId="00EA2A35" w:rsidR="00407B2D" w:rsidRPr="00817C72" w:rsidRDefault="00407B2D" w:rsidP="00407B2D">
            <w:pPr>
              <w:jc w:val="center"/>
              <w:rPr>
                <w:rFonts w:ascii="Arial" w:hAnsi="Arial" w:cs="Arial"/>
                <w:sz w:val="16"/>
                <w:szCs w:val="16"/>
                <w:lang w:eastAsia="es-AR"/>
              </w:rPr>
            </w:pPr>
            <w:r>
              <w:rPr>
                <w:rFonts w:ascii="Arial" w:hAnsi="Arial" w:cs="Arial"/>
                <w:sz w:val="16"/>
                <w:szCs w:val="16"/>
                <w:lang w:eastAsia="es-AR"/>
              </w:rPr>
              <w:t>6.21</w:t>
            </w:r>
          </w:p>
        </w:tc>
        <w:tc>
          <w:tcPr>
            <w:tcW w:w="681" w:type="pct"/>
            <w:tcBorders>
              <w:top w:val="nil"/>
              <w:left w:val="nil"/>
              <w:bottom w:val="nil"/>
              <w:right w:val="nil"/>
            </w:tcBorders>
            <w:shd w:val="clear" w:color="auto" w:fill="auto"/>
            <w:noWrap/>
            <w:vAlign w:val="center"/>
          </w:tcPr>
          <w:p w14:paraId="634A5AE4" w14:textId="284373C1"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-10.134.151 </w:t>
            </w:r>
          </w:p>
        </w:tc>
        <w:tc>
          <w:tcPr>
            <w:tcW w:w="669" w:type="pct"/>
            <w:tcBorders>
              <w:top w:val="nil"/>
              <w:left w:val="nil"/>
              <w:bottom w:val="nil"/>
              <w:right w:val="nil"/>
            </w:tcBorders>
            <w:shd w:val="clear" w:color="auto" w:fill="auto"/>
            <w:noWrap/>
            <w:vAlign w:val="center"/>
          </w:tcPr>
          <w:p w14:paraId="7ACA148F" w14:textId="7B6E9D6D" w:rsidR="00407B2D" w:rsidRPr="00262BD5" w:rsidRDefault="00407B2D" w:rsidP="00407B2D">
            <w:pPr>
              <w:jc w:val="right"/>
              <w:rPr>
                <w:rFonts w:ascii="Arial" w:hAnsi="Arial" w:cs="Arial"/>
                <w:sz w:val="16"/>
                <w:szCs w:val="16"/>
                <w:lang w:eastAsia="es-AR"/>
              </w:rPr>
            </w:pPr>
            <w:r>
              <w:rPr>
                <w:rFonts w:ascii="Arial" w:hAnsi="Arial" w:cs="Arial"/>
                <w:sz w:val="16"/>
                <w:szCs w:val="16"/>
              </w:rPr>
              <w:t>-5.864.301</w:t>
            </w:r>
          </w:p>
        </w:tc>
      </w:tr>
      <w:tr w:rsidR="00407B2D" w:rsidRPr="000C5202" w14:paraId="04AFA011" w14:textId="77777777" w:rsidTr="006E1AF7">
        <w:trPr>
          <w:trHeight w:val="285"/>
        </w:trPr>
        <w:tc>
          <w:tcPr>
            <w:tcW w:w="3225" w:type="pct"/>
            <w:tcBorders>
              <w:top w:val="nil"/>
              <w:left w:val="nil"/>
              <w:bottom w:val="nil"/>
              <w:right w:val="nil"/>
            </w:tcBorders>
            <w:shd w:val="clear" w:color="auto" w:fill="auto"/>
            <w:vAlign w:val="center"/>
            <w:hideMark/>
          </w:tcPr>
          <w:p w14:paraId="171FE1E2" w14:textId="77777777"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Gastos de administración</w:t>
            </w:r>
          </w:p>
        </w:tc>
        <w:tc>
          <w:tcPr>
            <w:tcW w:w="425" w:type="pct"/>
            <w:tcBorders>
              <w:top w:val="nil"/>
              <w:left w:val="nil"/>
              <w:bottom w:val="nil"/>
              <w:right w:val="nil"/>
            </w:tcBorders>
            <w:shd w:val="clear" w:color="auto" w:fill="auto"/>
            <w:vAlign w:val="center"/>
          </w:tcPr>
          <w:p w14:paraId="3D296C2D" w14:textId="05E2F4F8" w:rsidR="00407B2D" w:rsidRPr="00817C72" w:rsidRDefault="00407B2D" w:rsidP="00407B2D">
            <w:pPr>
              <w:jc w:val="center"/>
              <w:rPr>
                <w:rFonts w:ascii="Arial" w:hAnsi="Arial" w:cs="Arial"/>
                <w:sz w:val="16"/>
                <w:szCs w:val="16"/>
                <w:lang w:eastAsia="es-AR"/>
              </w:rPr>
            </w:pPr>
            <w:r>
              <w:rPr>
                <w:rFonts w:ascii="Arial" w:hAnsi="Arial" w:cs="Arial"/>
                <w:sz w:val="16"/>
                <w:szCs w:val="16"/>
                <w:lang w:eastAsia="es-AR"/>
              </w:rPr>
              <w:t>6.22</w:t>
            </w:r>
          </w:p>
        </w:tc>
        <w:tc>
          <w:tcPr>
            <w:tcW w:w="681" w:type="pct"/>
            <w:tcBorders>
              <w:top w:val="nil"/>
              <w:left w:val="nil"/>
              <w:bottom w:val="nil"/>
              <w:right w:val="nil"/>
            </w:tcBorders>
            <w:shd w:val="clear" w:color="auto" w:fill="auto"/>
            <w:noWrap/>
            <w:vAlign w:val="center"/>
          </w:tcPr>
          <w:p w14:paraId="0557E5E5" w14:textId="3EBC8529"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-4.809.358 </w:t>
            </w:r>
          </w:p>
        </w:tc>
        <w:tc>
          <w:tcPr>
            <w:tcW w:w="669" w:type="pct"/>
            <w:tcBorders>
              <w:top w:val="nil"/>
              <w:left w:val="nil"/>
              <w:bottom w:val="nil"/>
              <w:right w:val="nil"/>
            </w:tcBorders>
            <w:shd w:val="clear" w:color="auto" w:fill="auto"/>
            <w:noWrap/>
            <w:vAlign w:val="center"/>
          </w:tcPr>
          <w:p w14:paraId="64575047" w14:textId="03E94A9B" w:rsidR="00407B2D" w:rsidRPr="00262BD5" w:rsidRDefault="00407B2D" w:rsidP="00407B2D">
            <w:pPr>
              <w:jc w:val="right"/>
              <w:rPr>
                <w:rFonts w:ascii="Arial" w:hAnsi="Arial" w:cs="Arial"/>
                <w:sz w:val="16"/>
                <w:szCs w:val="16"/>
                <w:lang w:eastAsia="es-AR"/>
              </w:rPr>
            </w:pPr>
            <w:r>
              <w:rPr>
                <w:rFonts w:ascii="Arial" w:hAnsi="Arial" w:cs="Arial"/>
                <w:sz w:val="16"/>
                <w:szCs w:val="16"/>
              </w:rPr>
              <w:t>-3.526.023</w:t>
            </w:r>
          </w:p>
        </w:tc>
      </w:tr>
      <w:tr w:rsidR="00407B2D" w:rsidRPr="000C5202" w14:paraId="53B4952F" w14:textId="77777777" w:rsidTr="006E1AF7">
        <w:trPr>
          <w:trHeight w:val="285"/>
        </w:trPr>
        <w:tc>
          <w:tcPr>
            <w:tcW w:w="3225" w:type="pct"/>
            <w:tcBorders>
              <w:top w:val="nil"/>
              <w:left w:val="nil"/>
              <w:bottom w:val="nil"/>
              <w:right w:val="nil"/>
            </w:tcBorders>
            <w:shd w:val="clear" w:color="auto" w:fill="auto"/>
            <w:vAlign w:val="center"/>
            <w:hideMark/>
          </w:tcPr>
          <w:p w14:paraId="609C71B5" w14:textId="77777777"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 xml:space="preserve">Depreciaciones y desvalorizaciones de bienes </w:t>
            </w:r>
          </w:p>
        </w:tc>
        <w:tc>
          <w:tcPr>
            <w:tcW w:w="425" w:type="pct"/>
            <w:tcBorders>
              <w:top w:val="nil"/>
              <w:left w:val="nil"/>
              <w:bottom w:val="nil"/>
              <w:right w:val="nil"/>
            </w:tcBorders>
            <w:shd w:val="clear" w:color="auto" w:fill="auto"/>
            <w:vAlign w:val="center"/>
          </w:tcPr>
          <w:p w14:paraId="6CC31C2B" w14:textId="66D97C0D" w:rsidR="00407B2D" w:rsidRPr="00817C72" w:rsidRDefault="00407B2D" w:rsidP="00407B2D">
            <w:pPr>
              <w:jc w:val="center"/>
              <w:rPr>
                <w:rFonts w:ascii="Arial" w:hAnsi="Arial" w:cs="Arial"/>
                <w:sz w:val="16"/>
                <w:szCs w:val="16"/>
                <w:lang w:eastAsia="es-AR"/>
              </w:rPr>
            </w:pPr>
            <w:r>
              <w:rPr>
                <w:rFonts w:ascii="Arial" w:hAnsi="Arial" w:cs="Arial"/>
                <w:sz w:val="16"/>
                <w:szCs w:val="16"/>
                <w:lang w:eastAsia="es-AR"/>
              </w:rPr>
              <w:t>6.24</w:t>
            </w:r>
          </w:p>
        </w:tc>
        <w:tc>
          <w:tcPr>
            <w:tcW w:w="681" w:type="pct"/>
            <w:tcBorders>
              <w:top w:val="nil"/>
              <w:left w:val="nil"/>
              <w:bottom w:val="nil"/>
              <w:right w:val="nil"/>
            </w:tcBorders>
            <w:shd w:val="clear" w:color="auto" w:fill="auto"/>
            <w:noWrap/>
            <w:vAlign w:val="center"/>
          </w:tcPr>
          <w:p w14:paraId="297212E1" w14:textId="614D4BC3"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-816.646 </w:t>
            </w:r>
          </w:p>
        </w:tc>
        <w:tc>
          <w:tcPr>
            <w:tcW w:w="669" w:type="pct"/>
            <w:tcBorders>
              <w:top w:val="nil"/>
              <w:left w:val="nil"/>
              <w:bottom w:val="nil"/>
              <w:right w:val="nil"/>
            </w:tcBorders>
            <w:shd w:val="clear" w:color="auto" w:fill="auto"/>
            <w:noWrap/>
            <w:vAlign w:val="center"/>
          </w:tcPr>
          <w:p w14:paraId="13B2F6D9" w14:textId="50AEBE21" w:rsidR="00407B2D" w:rsidRPr="00262BD5" w:rsidRDefault="00407B2D" w:rsidP="00407B2D">
            <w:pPr>
              <w:jc w:val="right"/>
              <w:rPr>
                <w:rFonts w:ascii="Arial" w:hAnsi="Arial" w:cs="Arial"/>
                <w:sz w:val="16"/>
                <w:szCs w:val="16"/>
                <w:lang w:eastAsia="es-AR"/>
              </w:rPr>
            </w:pPr>
            <w:r>
              <w:rPr>
                <w:rFonts w:ascii="Arial" w:hAnsi="Arial" w:cs="Arial"/>
                <w:sz w:val="16"/>
                <w:szCs w:val="16"/>
              </w:rPr>
              <w:t>-298.671</w:t>
            </w:r>
          </w:p>
        </w:tc>
      </w:tr>
      <w:tr w:rsidR="00407B2D" w:rsidRPr="000C5202" w14:paraId="5AB7C130" w14:textId="77777777" w:rsidTr="006E1AF7">
        <w:trPr>
          <w:trHeight w:val="285"/>
        </w:trPr>
        <w:tc>
          <w:tcPr>
            <w:tcW w:w="3225" w:type="pct"/>
            <w:tcBorders>
              <w:top w:val="nil"/>
              <w:left w:val="nil"/>
              <w:bottom w:val="nil"/>
              <w:right w:val="nil"/>
            </w:tcBorders>
            <w:shd w:val="clear" w:color="auto" w:fill="auto"/>
            <w:vAlign w:val="center"/>
            <w:hideMark/>
          </w:tcPr>
          <w:p w14:paraId="51CC084F" w14:textId="77777777"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Otros gastos operativos</w:t>
            </w:r>
          </w:p>
        </w:tc>
        <w:tc>
          <w:tcPr>
            <w:tcW w:w="425" w:type="pct"/>
            <w:tcBorders>
              <w:top w:val="nil"/>
              <w:left w:val="nil"/>
              <w:bottom w:val="nil"/>
              <w:right w:val="nil"/>
            </w:tcBorders>
            <w:shd w:val="clear" w:color="auto" w:fill="auto"/>
            <w:vAlign w:val="center"/>
          </w:tcPr>
          <w:p w14:paraId="1B67AF8B" w14:textId="60CF5C0F" w:rsidR="00407B2D" w:rsidRPr="00817C72" w:rsidRDefault="00407B2D" w:rsidP="00407B2D">
            <w:pPr>
              <w:jc w:val="center"/>
              <w:rPr>
                <w:rFonts w:ascii="Arial" w:hAnsi="Arial" w:cs="Arial"/>
                <w:sz w:val="16"/>
                <w:szCs w:val="16"/>
                <w:lang w:eastAsia="es-AR"/>
              </w:rPr>
            </w:pPr>
            <w:r>
              <w:rPr>
                <w:rFonts w:ascii="Arial" w:hAnsi="Arial" w:cs="Arial"/>
                <w:sz w:val="16"/>
                <w:szCs w:val="16"/>
                <w:lang w:eastAsia="es-AR"/>
              </w:rPr>
              <w:t>6.23</w:t>
            </w:r>
          </w:p>
        </w:tc>
        <w:tc>
          <w:tcPr>
            <w:tcW w:w="681" w:type="pct"/>
            <w:tcBorders>
              <w:top w:val="nil"/>
              <w:left w:val="nil"/>
              <w:bottom w:val="nil"/>
              <w:right w:val="nil"/>
            </w:tcBorders>
            <w:shd w:val="clear" w:color="auto" w:fill="auto"/>
            <w:noWrap/>
            <w:vAlign w:val="center"/>
          </w:tcPr>
          <w:p w14:paraId="15302FA9" w14:textId="6D6057D2"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-4.580.612 </w:t>
            </w:r>
          </w:p>
        </w:tc>
        <w:tc>
          <w:tcPr>
            <w:tcW w:w="669" w:type="pct"/>
            <w:tcBorders>
              <w:top w:val="nil"/>
              <w:left w:val="nil"/>
              <w:bottom w:val="nil"/>
              <w:right w:val="nil"/>
            </w:tcBorders>
            <w:shd w:val="clear" w:color="auto" w:fill="auto"/>
            <w:noWrap/>
            <w:vAlign w:val="center"/>
          </w:tcPr>
          <w:p w14:paraId="6769A3A4" w14:textId="345DCB3F" w:rsidR="00407B2D" w:rsidRPr="00262BD5" w:rsidRDefault="00407B2D" w:rsidP="00407B2D">
            <w:pPr>
              <w:jc w:val="right"/>
              <w:rPr>
                <w:rFonts w:ascii="Arial" w:hAnsi="Arial" w:cs="Arial"/>
                <w:sz w:val="16"/>
                <w:szCs w:val="16"/>
                <w:lang w:eastAsia="es-AR"/>
              </w:rPr>
            </w:pPr>
            <w:r>
              <w:rPr>
                <w:rFonts w:ascii="Arial" w:hAnsi="Arial" w:cs="Arial"/>
                <w:sz w:val="16"/>
                <w:szCs w:val="16"/>
              </w:rPr>
              <w:t>-2.979.066</w:t>
            </w:r>
          </w:p>
        </w:tc>
      </w:tr>
      <w:tr w:rsidR="00407B2D" w:rsidRPr="000C5202" w14:paraId="66C111A7" w14:textId="77777777" w:rsidTr="006E1AF7">
        <w:trPr>
          <w:trHeight w:val="136"/>
        </w:trPr>
        <w:tc>
          <w:tcPr>
            <w:tcW w:w="3225" w:type="pct"/>
            <w:tcBorders>
              <w:top w:val="nil"/>
              <w:left w:val="nil"/>
              <w:bottom w:val="nil"/>
              <w:right w:val="nil"/>
            </w:tcBorders>
            <w:shd w:val="clear" w:color="auto" w:fill="auto"/>
            <w:vAlign w:val="center"/>
            <w:hideMark/>
          </w:tcPr>
          <w:p w14:paraId="567B3CE1" w14:textId="77777777" w:rsidR="00407B2D" w:rsidRPr="000C5202" w:rsidRDefault="00407B2D" w:rsidP="00407B2D">
            <w:pPr>
              <w:rPr>
                <w:rFonts w:ascii="Arial" w:hAnsi="Arial" w:cs="Arial"/>
                <w:sz w:val="10"/>
                <w:szCs w:val="10"/>
                <w:lang w:eastAsia="es-AR"/>
              </w:rPr>
            </w:pPr>
          </w:p>
        </w:tc>
        <w:tc>
          <w:tcPr>
            <w:tcW w:w="425" w:type="pct"/>
            <w:tcBorders>
              <w:top w:val="nil"/>
              <w:left w:val="nil"/>
              <w:bottom w:val="nil"/>
              <w:right w:val="nil"/>
            </w:tcBorders>
            <w:shd w:val="clear" w:color="auto" w:fill="auto"/>
            <w:vAlign w:val="center"/>
          </w:tcPr>
          <w:p w14:paraId="50DB79E6" w14:textId="77777777" w:rsidR="00407B2D" w:rsidRPr="00817C72" w:rsidRDefault="00407B2D" w:rsidP="00407B2D">
            <w:pPr>
              <w:jc w:val="center"/>
              <w:rPr>
                <w:rFonts w:ascii="Arial" w:hAnsi="Arial" w:cs="Arial"/>
                <w:sz w:val="10"/>
                <w:szCs w:val="10"/>
                <w:lang w:eastAsia="es-AR"/>
              </w:rPr>
            </w:pPr>
          </w:p>
        </w:tc>
        <w:tc>
          <w:tcPr>
            <w:tcW w:w="681" w:type="pct"/>
            <w:tcBorders>
              <w:top w:val="nil"/>
              <w:left w:val="nil"/>
              <w:bottom w:val="nil"/>
              <w:right w:val="nil"/>
            </w:tcBorders>
            <w:shd w:val="clear" w:color="auto" w:fill="auto"/>
            <w:noWrap/>
            <w:vAlign w:val="center"/>
          </w:tcPr>
          <w:p w14:paraId="4F8BA4BF" w14:textId="0D00FA11" w:rsidR="00407B2D" w:rsidRPr="00262BD5" w:rsidRDefault="00407B2D" w:rsidP="00A056FF">
            <w:pPr>
              <w:jc w:val="right"/>
              <w:rPr>
                <w:rFonts w:ascii="Arial" w:hAnsi="Arial" w:cs="Arial"/>
                <w:sz w:val="16"/>
                <w:szCs w:val="16"/>
                <w:lang w:eastAsia="es-AR"/>
              </w:rPr>
            </w:pPr>
          </w:p>
        </w:tc>
        <w:tc>
          <w:tcPr>
            <w:tcW w:w="669" w:type="pct"/>
            <w:tcBorders>
              <w:top w:val="nil"/>
              <w:left w:val="nil"/>
              <w:bottom w:val="nil"/>
              <w:right w:val="nil"/>
            </w:tcBorders>
            <w:shd w:val="clear" w:color="auto" w:fill="auto"/>
            <w:noWrap/>
            <w:vAlign w:val="center"/>
          </w:tcPr>
          <w:p w14:paraId="0C104203" w14:textId="29307661" w:rsidR="00407B2D" w:rsidRPr="00262BD5" w:rsidRDefault="00407B2D" w:rsidP="00407B2D">
            <w:pPr>
              <w:jc w:val="right"/>
              <w:rPr>
                <w:rFonts w:ascii="Arial" w:hAnsi="Arial" w:cs="Arial"/>
                <w:sz w:val="16"/>
                <w:szCs w:val="16"/>
                <w:lang w:eastAsia="es-AR"/>
              </w:rPr>
            </w:pPr>
          </w:p>
        </w:tc>
      </w:tr>
      <w:tr w:rsidR="00407B2D" w:rsidRPr="000C5202" w14:paraId="713A75F2" w14:textId="77777777" w:rsidTr="006E1AF7">
        <w:trPr>
          <w:trHeight w:val="285"/>
        </w:trPr>
        <w:tc>
          <w:tcPr>
            <w:tcW w:w="3225" w:type="pct"/>
            <w:tcBorders>
              <w:top w:val="nil"/>
              <w:left w:val="nil"/>
              <w:bottom w:val="nil"/>
              <w:right w:val="nil"/>
            </w:tcBorders>
            <w:shd w:val="clear" w:color="auto" w:fill="auto"/>
            <w:vAlign w:val="center"/>
            <w:hideMark/>
          </w:tcPr>
          <w:p w14:paraId="17CF2616" w14:textId="77777777" w:rsidR="00407B2D" w:rsidRPr="000C5202" w:rsidRDefault="00407B2D" w:rsidP="00407B2D">
            <w:pPr>
              <w:rPr>
                <w:rFonts w:ascii="Arial" w:hAnsi="Arial" w:cs="Arial"/>
                <w:b/>
                <w:bCs/>
                <w:sz w:val="16"/>
                <w:szCs w:val="16"/>
                <w:lang w:eastAsia="es-AR"/>
              </w:rPr>
            </w:pPr>
            <w:r w:rsidRPr="000C5202">
              <w:rPr>
                <w:rFonts w:ascii="Arial" w:hAnsi="Arial" w:cs="Arial"/>
                <w:b/>
                <w:bCs/>
                <w:sz w:val="16"/>
                <w:szCs w:val="16"/>
                <w:lang w:eastAsia="es-AR"/>
              </w:rPr>
              <w:t>Resultado operativo</w:t>
            </w:r>
          </w:p>
        </w:tc>
        <w:tc>
          <w:tcPr>
            <w:tcW w:w="425" w:type="pct"/>
            <w:tcBorders>
              <w:top w:val="nil"/>
              <w:left w:val="nil"/>
              <w:bottom w:val="nil"/>
              <w:right w:val="nil"/>
            </w:tcBorders>
            <w:shd w:val="clear" w:color="auto" w:fill="auto"/>
            <w:vAlign w:val="center"/>
          </w:tcPr>
          <w:p w14:paraId="00F4DB7C" w14:textId="77777777" w:rsidR="00407B2D" w:rsidRPr="00817C72" w:rsidRDefault="00407B2D" w:rsidP="00407B2D">
            <w:pPr>
              <w:jc w:val="center"/>
              <w:rPr>
                <w:rFonts w:ascii="Arial" w:hAnsi="Arial" w:cs="Arial"/>
                <w:b/>
                <w:bCs/>
                <w:sz w:val="16"/>
                <w:szCs w:val="16"/>
                <w:lang w:eastAsia="es-AR"/>
              </w:rPr>
            </w:pPr>
          </w:p>
        </w:tc>
        <w:tc>
          <w:tcPr>
            <w:tcW w:w="681" w:type="pct"/>
            <w:tcBorders>
              <w:top w:val="nil"/>
              <w:left w:val="nil"/>
              <w:bottom w:val="nil"/>
              <w:right w:val="nil"/>
            </w:tcBorders>
            <w:shd w:val="clear" w:color="auto" w:fill="auto"/>
            <w:noWrap/>
            <w:vAlign w:val="center"/>
          </w:tcPr>
          <w:p w14:paraId="03B2D1A7" w14:textId="24160748" w:rsidR="00407B2D" w:rsidRPr="00262BD5" w:rsidRDefault="00407B2D" w:rsidP="00A056FF">
            <w:pPr>
              <w:jc w:val="right"/>
              <w:rPr>
                <w:rFonts w:ascii="Arial" w:hAnsi="Arial" w:cs="Arial"/>
                <w:b/>
                <w:bCs/>
                <w:sz w:val="16"/>
                <w:szCs w:val="16"/>
                <w:lang w:eastAsia="es-AR"/>
              </w:rPr>
            </w:pPr>
            <w:r>
              <w:rPr>
                <w:rFonts w:ascii="Arial" w:hAnsi="Arial" w:cs="Arial"/>
                <w:b/>
                <w:bCs/>
                <w:sz w:val="16"/>
                <w:szCs w:val="16"/>
              </w:rPr>
              <w:t xml:space="preserve">3.010.767 </w:t>
            </w:r>
          </w:p>
        </w:tc>
        <w:tc>
          <w:tcPr>
            <w:tcW w:w="669" w:type="pct"/>
            <w:tcBorders>
              <w:top w:val="nil"/>
              <w:left w:val="nil"/>
              <w:bottom w:val="nil"/>
              <w:right w:val="nil"/>
            </w:tcBorders>
            <w:shd w:val="clear" w:color="auto" w:fill="auto"/>
            <w:noWrap/>
            <w:vAlign w:val="center"/>
          </w:tcPr>
          <w:p w14:paraId="6B1073E1" w14:textId="10F22B11" w:rsidR="00407B2D" w:rsidRPr="00262BD5" w:rsidRDefault="00407B2D" w:rsidP="00407B2D">
            <w:pPr>
              <w:jc w:val="right"/>
              <w:rPr>
                <w:rFonts w:ascii="Arial" w:hAnsi="Arial" w:cs="Arial"/>
                <w:b/>
                <w:bCs/>
                <w:sz w:val="16"/>
                <w:szCs w:val="16"/>
                <w:lang w:eastAsia="es-AR"/>
              </w:rPr>
            </w:pPr>
            <w:r>
              <w:rPr>
                <w:rFonts w:ascii="Arial" w:hAnsi="Arial" w:cs="Arial"/>
                <w:b/>
                <w:bCs/>
                <w:sz w:val="16"/>
                <w:szCs w:val="16"/>
              </w:rPr>
              <w:t>2.867.516</w:t>
            </w:r>
          </w:p>
        </w:tc>
      </w:tr>
      <w:tr w:rsidR="00407B2D" w:rsidRPr="000C5202" w14:paraId="5D2BC1D5" w14:textId="77777777" w:rsidTr="006E1AF7">
        <w:trPr>
          <w:trHeight w:val="345"/>
        </w:trPr>
        <w:tc>
          <w:tcPr>
            <w:tcW w:w="3225" w:type="pct"/>
            <w:tcBorders>
              <w:top w:val="nil"/>
              <w:left w:val="nil"/>
              <w:bottom w:val="nil"/>
              <w:right w:val="nil"/>
            </w:tcBorders>
            <w:shd w:val="clear" w:color="auto" w:fill="auto"/>
            <w:vAlign w:val="center"/>
            <w:hideMark/>
          </w:tcPr>
          <w:p w14:paraId="6ACBC4D0" w14:textId="77777777"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Resultado por subsidiarias asociadas y negocios conjuntos</w:t>
            </w:r>
          </w:p>
        </w:tc>
        <w:tc>
          <w:tcPr>
            <w:tcW w:w="425" w:type="pct"/>
            <w:tcBorders>
              <w:top w:val="nil"/>
              <w:left w:val="nil"/>
              <w:bottom w:val="nil"/>
              <w:right w:val="nil"/>
            </w:tcBorders>
            <w:shd w:val="clear" w:color="auto" w:fill="auto"/>
            <w:vAlign w:val="center"/>
          </w:tcPr>
          <w:p w14:paraId="264A622A" w14:textId="77777777" w:rsidR="00407B2D" w:rsidRPr="00817C72" w:rsidRDefault="00407B2D" w:rsidP="00407B2D">
            <w:pPr>
              <w:jc w:val="center"/>
              <w:rPr>
                <w:rFonts w:ascii="Arial" w:hAnsi="Arial" w:cs="Arial"/>
                <w:sz w:val="16"/>
                <w:szCs w:val="16"/>
                <w:lang w:eastAsia="es-AR"/>
              </w:rPr>
            </w:pPr>
          </w:p>
        </w:tc>
        <w:tc>
          <w:tcPr>
            <w:tcW w:w="681" w:type="pct"/>
            <w:tcBorders>
              <w:top w:val="nil"/>
              <w:left w:val="nil"/>
              <w:bottom w:val="nil"/>
              <w:right w:val="nil"/>
            </w:tcBorders>
            <w:shd w:val="clear" w:color="auto" w:fill="auto"/>
            <w:noWrap/>
            <w:vAlign w:val="center"/>
          </w:tcPr>
          <w:p w14:paraId="5EF98E23" w14:textId="7C220F86"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-234.419 </w:t>
            </w:r>
          </w:p>
        </w:tc>
        <w:tc>
          <w:tcPr>
            <w:tcW w:w="669" w:type="pct"/>
            <w:tcBorders>
              <w:top w:val="nil"/>
              <w:left w:val="nil"/>
              <w:bottom w:val="nil"/>
              <w:right w:val="nil"/>
            </w:tcBorders>
            <w:shd w:val="clear" w:color="auto" w:fill="auto"/>
            <w:noWrap/>
            <w:vAlign w:val="center"/>
          </w:tcPr>
          <w:p w14:paraId="617B95B9" w14:textId="618D4B96" w:rsidR="00407B2D" w:rsidRPr="00262BD5" w:rsidRDefault="00407B2D" w:rsidP="00407B2D">
            <w:pPr>
              <w:jc w:val="right"/>
              <w:rPr>
                <w:rFonts w:ascii="Arial" w:hAnsi="Arial" w:cs="Arial"/>
                <w:sz w:val="16"/>
                <w:szCs w:val="16"/>
                <w:lang w:eastAsia="es-AR"/>
              </w:rPr>
            </w:pPr>
            <w:r>
              <w:rPr>
                <w:rFonts w:ascii="Arial" w:hAnsi="Arial" w:cs="Arial"/>
                <w:sz w:val="16"/>
                <w:szCs w:val="16"/>
              </w:rPr>
              <w:t>-592.233</w:t>
            </w:r>
          </w:p>
        </w:tc>
      </w:tr>
      <w:tr w:rsidR="00407B2D" w:rsidRPr="000C5202" w14:paraId="66FAC79C" w14:textId="77777777" w:rsidTr="006E1AF7">
        <w:trPr>
          <w:trHeight w:val="80"/>
        </w:trPr>
        <w:tc>
          <w:tcPr>
            <w:tcW w:w="3225" w:type="pct"/>
            <w:tcBorders>
              <w:top w:val="nil"/>
              <w:left w:val="nil"/>
              <w:bottom w:val="nil"/>
              <w:right w:val="nil"/>
            </w:tcBorders>
            <w:shd w:val="clear" w:color="auto" w:fill="auto"/>
            <w:vAlign w:val="center"/>
            <w:hideMark/>
          </w:tcPr>
          <w:p w14:paraId="72B7EA3C" w14:textId="77777777" w:rsidR="00407B2D" w:rsidRPr="000C5202" w:rsidRDefault="00407B2D" w:rsidP="00407B2D">
            <w:pPr>
              <w:rPr>
                <w:rFonts w:ascii="Arial" w:hAnsi="Arial" w:cs="Arial"/>
                <w:sz w:val="10"/>
                <w:szCs w:val="10"/>
                <w:lang w:eastAsia="es-AR"/>
              </w:rPr>
            </w:pPr>
          </w:p>
        </w:tc>
        <w:tc>
          <w:tcPr>
            <w:tcW w:w="425" w:type="pct"/>
            <w:tcBorders>
              <w:top w:val="nil"/>
              <w:left w:val="nil"/>
              <w:bottom w:val="nil"/>
              <w:right w:val="nil"/>
            </w:tcBorders>
            <w:shd w:val="clear" w:color="auto" w:fill="auto"/>
            <w:vAlign w:val="center"/>
          </w:tcPr>
          <w:p w14:paraId="14A1E22E" w14:textId="77777777" w:rsidR="00407B2D" w:rsidRPr="002D0A6E" w:rsidRDefault="00407B2D" w:rsidP="00407B2D">
            <w:pPr>
              <w:jc w:val="center"/>
              <w:rPr>
                <w:rFonts w:ascii="Arial" w:hAnsi="Arial" w:cs="Arial"/>
                <w:sz w:val="10"/>
                <w:szCs w:val="10"/>
                <w:highlight w:val="yellow"/>
                <w:lang w:eastAsia="es-AR"/>
              </w:rPr>
            </w:pPr>
          </w:p>
        </w:tc>
        <w:tc>
          <w:tcPr>
            <w:tcW w:w="681" w:type="pct"/>
            <w:tcBorders>
              <w:top w:val="nil"/>
              <w:left w:val="nil"/>
              <w:bottom w:val="nil"/>
              <w:right w:val="nil"/>
            </w:tcBorders>
            <w:shd w:val="clear" w:color="auto" w:fill="auto"/>
            <w:noWrap/>
            <w:vAlign w:val="center"/>
          </w:tcPr>
          <w:p w14:paraId="3190CC43" w14:textId="097D4E97" w:rsidR="00407B2D" w:rsidRPr="00262BD5" w:rsidRDefault="00407B2D" w:rsidP="00A056FF">
            <w:pPr>
              <w:jc w:val="right"/>
              <w:rPr>
                <w:rFonts w:ascii="Arial" w:hAnsi="Arial" w:cs="Arial"/>
                <w:sz w:val="16"/>
                <w:szCs w:val="16"/>
                <w:lang w:eastAsia="es-AR"/>
              </w:rPr>
            </w:pPr>
          </w:p>
        </w:tc>
        <w:tc>
          <w:tcPr>
            <w:tcW w:w="669" w:type="pct"/>
            <w:tcBorders>
              <w:top w:val="nil"/>
              <w:left w:val="nil"/>
              <w:bottom w:val="nil"/>
              <w:right w:val="nil"/>
            </w:tcBorders>
            <w:shd w:val="clear" w:color="auto" w:fill="auto"/>
            <w:noWrap/>
            <w:vAlign w:val="center"/>
          </w:tcPr>
          <w:p w14:paraId="5BD3CA0A" w14:textId="401964A3" w:rsidR="00407B2D" w:rsidRPr="00262BD5" w:rsidRDefault="00407B2D" w:rsidP="00407B2D">
            <w:pPr>
              <w:jc w:val="right"/>
              <w:rPr>
                <w:rFonts w:ascii="Arial" w:hAnsi="Arial" w:cs="Arial"/>
                <w:sz w:val="16"/>
                <w:szCs w:val="16"/>
                <w:lang w:eastAsia="es-AR"/>
              </w:rPr>
            </w:pPr>
          </w:p>
        </w:tc>
      </w:tr>
      <w:tr w:rsidR="00407B2D" w:rsidRPr="000C5202" w14:paraId="4D39CB2C" w14:textId="77777777" w:rsidTr="006E1AF7">
        <w:trPr>
          <w:trHeight w:val="510"/>
        </w:trPr>
        <w:tc>
          <w:tcPr>
            <w:tcW w:w="3225" w:type="pct"/>
            <w:tcBorders>
              <w:top w:val="nil"/>
              <w:left w:val="nil"/>
              <w:bottom w:val="nil"/>
              <w:right w:val="nil"/>
            </w:tcBorders>
            <w:shd w:val="clear" w:color="auto" w:fill="auto"/>
            <w:vAlign w:val="center"/>
            <w:hideMark/>
          </w:tcPr>
          <w:p w14:paraId="3DC88DAE" w14:textId="77777777" w:rsidR="00407B2D" w:rsidRPr="000C5202" w:rsidRDefault="00407B2D" w:rsidP="00407B2D">
            <w:pPr>
              <w:rPr>
                <w:rFonts w:ascii="Arial" w:hAnsi="Arial" w:cs="Arial"/>
                <w:b/>
                <w:bCs/>
                <w:sz w:val="16"/>
                <w:szCs w:val="16"/>
                <w:lang w:eastAsia="es-AR"/>
              </w:rPr>
            </w:pPr>
            <w:r w:rsidRPr="000C5202">
              <w:rPr>
                <w:rFonts w:ascii="Arial" w:hAnsi="Arial" w:cs="Arial"/>
                <w:b/>
                <w:bCs/>
                <w:sz w:val="16"/>
                <w:szCs w:val="16"/>
                <w:lang w:eastAsia="es-AR"/>
              </w:rPr>
              <w:t>Resultado antes de impuesto de las actividades que continúan</w:t>
            </w:r>
          </w:p>
        </w:tc>
        <w:tc>
          <w:tcPr>
            <w:tcW w:w="425" w:type="pct"/>
            <w:tcBorders>
              <w:top w:val="nil"/>
              <w:left w:val="nil"/>
              <w:bottom w:val="nil"/>
              <w:right w:val="nil"/>
            </w:tcBorders>
            <w:shd w:val="clear" w:color="auto" w:fill="auto"/>
            <w:vAlign w:val="center"/>
          </w:tcPr>
          <w:p w14:paraId="51F0162A" w14:textId="7A65B10E" w:rsidR="00407B2D" w:rsidRPr="002D0A6E" w:rsidRDefault="00407B2D" w:rsidP="00407B2D">
            <w:pPr>
              <w:jc w:val="center"/>
              <w:rPr>
                <w:rFonts w:ascii="Arial" w:hAnsi="Arial" w:cs="Arial"/>
                <w:sz w:val="16"/>
                <w:szCs w:val="16"/>
                <w:highlight w:val="yellow"/>
                <w:lang w:eastAsia="es-AR"/>
              </w:rPr>
            </w:pPr>
          </w:p>
        </w:tc>
        <w:tc>
          <w:tcPr>
            <w:tcW w:w="681" w:type="pct"/>
            <w:tcBorders>
              <w:top w:val="nil"/>
              <w:left w:val="nil"/>
              <w:bottom w:val="nil"/>
              <w:right w:val="nil"/>
            </w:tcBorders>
            <w:shd w:val="clear" w:color="auto" w:fill="auto"/>
            <w:noWrap/>
            <w:vAlign w:val="center"/>
          </w:tcPr>
          <w:p w14:paraId="49DD5543" w14:textId="41BA74A0" w:rsidR="00407B2D" w:rsidRPr="00262BD5" w:rsidRDefault="00407B2D" w:rsidP="00A056FF">
            <w:pPr>
              <w:jc w:val="right"/>
              <w:rPr>
                <w:rFonts w:ascii="Arial" w:hAnsi="Arial" w:cs="Arial"/>
                <w:b/>
                <w:bCs/>
                <w:sz w:val="16"/>
                <w:szCs w:val="16"/>
                <w:lang w:eastAsia="es-AR"/>
              </w:rPr>
            </w:pPr>
            <w:r>
              <w:rPr>
                <w:rFonts w:ascii="Arial" w:hAnsi="Arial" w:cs="Arial"/>
                <w:b/>
                <w:bCs/>
                <w:sz w:val="16"/>
                <w:szCs w:val="16"/>
              </w:rPr>
              <w:t xml:space="preserve">2.776.348 </w:t>
            </w:r>
          </w:p>
        </w:tc>
        <w:tc>
          <w:tcPr>
            <w:tcW w:w="669" w:type="pct"/>
            <w:tcBorders>
              <w:top w:val="nil"/>
              <w:left w:val="nil"/>
              <w:bottom w:val="nil"/>
              <w:right w:val="nil"/>
            </w:tcBorders>
            <w:shd w:val="clear" w:color="auto" w:fill="auto"/>
            <w:noWrap/>
            <w:vAlign w:val="center"/>
          </w:tcPr>
          <w:p w14:paraId="27A05717" w14:textId="15147A44" w:rsidR="00407B2D" w:rsidRPr="00262BD5" w:rsidRDefault="00407B2D" w:rsidP="00407B2D">
            <w:pPr>
              <w:jc w:val="right"/>
              <w:rPr>
                <w:rFonts w:ascii="Arial" w:hAnsi="Arial" w:cs="Arial"/>
                <w:b/>
                <w:bCs/>
                <w:sz w:val="16"/>
                <w:szCs w:val="16"/>
                <w:lang w:eastAsia="es-AR"/>
              </w:rPr>
            </w:pPr>
            <w:r>
              <w:rPr>
                <w:rFonts w:ascii="Arial" w:hAnsi="Arial" w:cs="Arial"/>
                <w:b/>
                <w:bCs/>
                <w:sz w:val="16"/>
                <w:szCs w:val="16"/>
              </w:rPr>
              <w:t>2.275.283</w:t>
            </w:r>
          </w:p>
        </w:tc>
      </w:tr>
      <w:tr w:rsidR="00407B2D" w:rsidRPr="000C5202" w14:paraId="0021F159" w14:textId="77777777" w:rsidTr="006E1AF7">
        <w:trPr>
          <w:trHeight w:val="285"/>
        </w:trPr>
        <w:tc>
          <w:tcPr>
            <w:tcW w:w="3225" w:type="pct"/>
            <w:tcBorders>
              <w:top w:val="nil"/>
              <w:left w:val="nil"/>
              <w:bottom w:val="nil"/>
              <w:right w:val="nil"/>
            </w:tcBorders>
            <w:shd w:val="clear" w:color="auto" w:fill="auto"/>
            <w:vAlign w:val="center"/>
            <w:hideMark/>
          </w:tcPr>
          <w:p w14:paraId="3D342B34" w14:textId="77777777" w:rsidR="00407B2D" w:rsidRPr="000C5202" w:rsidRDefault="00407B2D" w:rsidP="00407B2D">
            <w:pPr>
              <w:rPr>
                <w:rFonts w:ascii="Arial" w:hAnsi="Arial" w:cs="Arial"/>
                <w:sz w:val="16"/>
                <w:szCs w:val="16"/>
                <w:lang w:eastAsia="es-AR"/>
              </w:rPr>
            </w:pPr>
            <w:r w:rsidRPr="000C5202">
              <w:rPr>
                <w:rFonts w:ascii="Arial" w:hAnsi="Arial" w:cs="Arial"/>
                <w:sz w:val="16"/>
                <w:szCs w:val="16"/>
                <w:lang w:eastAsia="es-AR"/>
              </w:rPr>
              <w:t>Impuesto a las ganancias de las actividades que continúan</w:t>
            </w:r>
          </w:p>
        </w:tc>
        <w:tc>
          <w:tcPr>
            <w:tcW w:w="425" w:type="pct"/>
            <w:tcBorders>
              <w:top w:val="nil"/>
              <w:left w:val="nil"/>
              <w:bottom w:val="nil"/>
              <w:right w:val="nil"/>
            </w:tcBorders>
            <w:shd w:val="clear" w:color="auto" w:fill="auto"/>
            <w:vAlign w:val="center"/>
          </w:tcPr>
          <w:p w14:paraId="156A4A07" w14:textId="5A940191" w:rsidR="00407B2D" w:rsidRPr="002D0A6E" w:rsidRDefault="00A322C5" w:rsidP="00407B2D">
            <w:pPr>
              <w:jc w:val="center"/>
              <w:rPr>
                <w:rFonts w:ascii="Arial" w:hAnsi="Arial" w:cs="Arial"/>
                <w:sz w:val="16"/>
                <w:szCs w:val="16"/>
                <w:highlight w:val="yellow"/>
                <w:lang w:eastAsia="es-AR"/>
              </w:rPr>
            </w:pPr>
            <w:r w:rsidRPr="00A059FB">
              <w:rPr>
                <w:rFonts w:ascii="Arial" w:hAnsi="Arial" w:cs="Arial"/>
                <w:sz w:val="16"/>
                <w:szCs w:val="16"/>
                <w:lang w:eastAsia="es-AR"/>
              </w:rPr>
              <w:t>4</w:t>
            </w:r>
          </w:p>
        </w:tc>
        <w:tc>
          <w:tcPr>
            <w:tcW w:w="681" w:type="pct"/>
            <w:tcBorders>
              <w:top w:val="nil"/>
              <w:left w:val="nil"/>
              <w:bottom w:val="nil"/>
              <w:right w:val="nil"/>
            </w:tcBorders>
            <w:shd w:val="clear" w:color="auto" w:fill="auto"/>
            <w:noWrap/>
            <w:vAlign w:val="center"/>
          </w:tcPr>
          <w:p w14:paraId="78E48883" w14:textId="2918FC29" w:rsidR="00407B2D" w:rsidRPr="00262BD5" w:rsidRDefault="00407B2D" w:rsidP="00A056FF">
            <w:pPr>
              <w:jc w:val="right"/>
              <w:rPr>
                <w:rFonts w:ascii="Arial" w:hAnsi="Arial" w:cs="Arial"/>
                <w:sz w:val="16"/>
                <w:szCs w:val="16"/>
                <w:lang w:eastAsia="es-AR"/>
              </w:rPr>
            </w:pPr>
            <w:r>
              <w:rPr>
                <w:rFonts w:ascii="Arial" w:hAnsi="Arial" w:cs="Arial"/>
                <w:sz w:val="16"/>
                <w:szCs w:val="16"/>
              </w:rPr>
              <w:t xml:space="preserve">544.068 </w:t>
            </w:r>
          </w:p>
        </w:tc>
        <w:tc>
          <w:tcPr>
            <w:tcW w:w="669" w:type="pct"/>
            <w:tcBorders>
              <w:top w:val="nil"/>
              <w:left w:val="nil"/>
              <w:bottom w:val="nil"/>
              <w:right w:val="nil"/>
            </w:tcBorders>
            <w:shd w:val="clear" w:color="auto" w:fill="auto"/>
            <w:noWrap/>
            <w:vAlign w:val="center"/>
          </w:tcPr>
          <w:p w14:paraId="66FC825C" w14:textId="0B3C9F0C" w:rsidR="00407B2D" w:rsidRPr="00262BD5" w:rsidRDefault="00407B2D" w:rsidP="00407B2D">
            <w:pPr>
              <w:jc w:val="right"/>
              <w:rPr>
                <w:rFonts w:ascii="Arial" w:hAnsi="Arial" w:cs="Arial"/>
                <w:sz w:val="16"/>
                <w:szCs w:val="16"/>
                <w:lang w:eastAsia="es-AR"/>
              </w:rPr>
            </w:pPr>
            <w:r>
              <w:rPr>
                <w:rFonts w:ascii="Arial" w:hAnsi="Arial" w:cs="Arial"/>
                <w:sz w:val="16"/>
                <w:szCs w:val="16"/>
              </w:rPr>
              <w:t>-604.768</w:t>
            </w:r>
          </w:p>
        </w:tc>
      </w:tr>
      <w:tr w:rsidR="00407B2D" w:rsidRPr="000C5202" w14:paraId="39898F24" w14:textId="77777777" w:rsidTr="006E1AF7">
        <w:trPr>
          <w:trHeight w:val="285"/>
        </w:trPr>
        <w:tc>
          <w:tcPr>
            <w:tcW w:w="3225" w:type="pct"/>
            <w:tcBorders>
              <w:top w:val="nil"/>
              <w:left w:val="nil"/>
              <w:bottom w:val="nil"/>
              <w:right w:val="nil"/>
            </w:tcBorders>
            <w:shd w:val="clear" w:color="auto" w:fill="auto"/>
            <w:vAlign w:val="center"/>
            <w:hideMark/>
          </w:tcPr>
          <w:p w14:paraId="3134825B" w14:textId="77777777" w:rsidR="00407B2D" w:rsidRPr="000C5202" w:rsidRDefault="00407B2D" w:rsidP="00407B2D">
            <w:pPr>
              <w:rPr>
                <w:rFonts w:ascii="Arial" w:hAnsi="Arial" w:cs="Arial"/>
                <w:sz w:val="16"/>
                <w:szCs w:val="16"/>
                <w:lang w:eastAsia="es-AR"/>
              </w:rPr>
            </w:pPr>
          </w:p>
        </w:tc>
        <w:tc>
          <w:tcPr>
            <w:tcW w:w="425" w:type="pct"/>
            <w:tcBorders>
              <w:top w:val="nil"/>
              <w:left w:val="nil"/>
              <w:bottom w:val="nil"/>
              <w:right w:val="nil"/>
            </w:tcBorders>
            <w:shd w:val="clear" w:color="auto" w:fill="auto"/>
            <w:vAlign w:val="center"/>
            <w:hideMark/>
          </w:tcPr>
          <w:p w14:paraId="4679982E" w14:textId="77777777" w:rsidR="00407B2D" w:rsidRPr="002D0A6E" w:rsidRDefault="00407B2D" w:rsidP="00407B2D">
            <w:pPr>
              <w:jc w:val="center"/>
              <w:rPr>
                <w:rFonts w:ascii="Arial" w:hAnsi="Arial" w:cs="Arial"/>
                <w:sz w:val="16"/>
                <w:szCs w:val="16"/>
                <w:highlight w:val="yellow"/>
                <w:lang w:eastAsia="es-AR"/>
              </w:rPr>
            </w:pPr>
          </w:p>
        </w:tc>
        <w:tc>
          <w:tcPr>
            <w:tcW w:w="681" w:type="pct"/>
            <w:tcBorders>
              <w:top w:val="nil"/>
              <w:left w:val="nil"/>
              <w:bottom w:val="nil"/>
              <w:right w:val="nil"/>
            </w:tcBorders>
            <w:shd w:val="clear" w:color="auto" w:fill="auto"/>
            <w:noWrap/>
            <w:vAlign w:val="center"/>
          </w:tcPr>
          <w:p w14:paraId="60694575" w14:textId="36B2D71A" w:rsidR="00407B2D" w:rsidRPr="00262BD5" w:rsidRDefault="00407B2D" w:rsidP="00A056FF">
            <w:pPr>
              <w:jc w:val="right"/>
              <w:rPr>
                <w:rFonts w:ascii="Arial" w:hAnsi="Arial" w:cs="Arial"/>
                <w:sz w:val="16"/>
                <w:szCs w:val="16"/>
                <w:lang w:eastAsia="es-AR"/>
              </w:rPr>
            </w:pPr>
          </w:p>
        </w:tc>
        <w:tc>
          <w:tcPr>
            <w:tcW w:w="669" w:type="pct"/>
            <w:tcBorders>
              <w:top w:val="nil"/>
              <w:left w:val="nil"/>
              <w:bottom w:val="nil"/>
              <w:right w:val="nil"/>
            </w:tcBorders>
            <w:shd w:val="clear" w:color="auto" w:fill="auto"/>
            <w:noWrap/>
            <w:vAlign w:val="center"/>
          </w:tcPr>
          <w:p w14:paraId="5DAC641D" w14:textId="277C7D5C" w:rsidR="00407B2D" w:rsidRPr="00262BD5" w:rsidRDefault="00407B2D" w:rsidP="00407B2D">
            <w:pPr>
              <w:jc w:val="right"/>
              <w:rPr>
                <w:rFonts w:ascii="Arial" w:hAnsi="Arial" w:cs="Arial"/>
                <w:sz w:val="16"/>
                <w:szCs w:val="16"/>
                <w:lang w:eastAsia="es-AR"/>
              </w:rPr>
            </w:pPr>
          </w:p>
        </w:tc>
      </w:tr>
      <w:tr w:rsidR="00407B2D" w:rsidRPr="000C5202" w14:paraId="6E1E69E4" w14:textId="77777777" w:rsidTr="006E1AF7">
        <w:trPr>
          <w:trHeight w:val="285"/>
        </w:trPr>
        <w:tc>
          <w:tcPr>
            <w:tcW w:w="3225" w:type="pct"/>
            <w:tcBorders>
              <w:top w:val="nil"/>
              <w:left w:val="nil"/>
              <w:bottom w:val="nil"/>
              <w:right w:val="nil"/>
            </w:tcBorders>
            <w:shd w:val="clear" w:color="auto" w:fill="auto"/>
            <w:vAlign w:val="center"/>
            <w:hideMark/>
          </w:tcPr>
          <w:p w14:paraId="6D45336A" w14:textId="77777777" w:rsidR="00407B2D" w:rsidRPr="000C5202" w:rsidRDefault="00407B2D" w:rsidP="00407B2D">
            <w:pPr>
              <w:rPr>
                <w:rFonts w:ascii="Arial" w:hAnsi="Arial" w:cs="Arial"/>
                <w:b/>
                <w:bCs/>
                <w:sz w:val="16"/>
                <w:szCs w:val="16"/>
                <w:lang w:eastAsia="es-AR"/>
              </w:rPr>
            </w:pPr>
            <w:r w:rsidRPr="000C5202">
              <w:rPr>
                <w:rFonts w:ascii="Arial" w:hAnsi="Arial" w:cs="Arial"/>
                <w:b/>
                <w:bCs/>
                <w:sz w:val="16"/>
                <w:szCs w:val="16"/>
                <w:lang w:eastAsia="es-AR"/>
              </w:rPr>
              <w:t>Resultado neto de las actividades que continúan</w:t>
            </w:r>
          </w:p>
        </w:tc>
        <w:tc>
          <w:tcPr>
            <w:tcW w:w="425" w:type="pct"/>
            <w:tcBorders>
              <w:top w:val="nil"/>
              <w:left w:val="nil"/>
              <w:bottom w:val="nil"/>
              <w:right w:val="nil"/>
            </w:tcBorders>
            <w:shd w:val="clear" w:color="auto" w:fill="auto"/>
            <w:vAlign w:val="center"/>
            <w:hideMark/>
          </w:tcPr>
          <w:p w14:paraId="12D25376" w14:textId="77777777" w:rsidR="00407B2D" w:rsidRPr="002D0A6E" w:rsidRDefault="00407B2D" w:rsidP="00407B2D">
            <w:pPr>
              <w:jc w:val="center"/>
              <w:rPr>
                <w:rFonts w:ascii="Arial" w:hAnsi="Arial" w:cs="Arial"/>
                <w:b/>
                <w:bCs/>
                <w:sz w:val="16"/>
                <w:szCs w:val="16"/>
                <w:highlight w:val="yellow"/>
                <w:lang w:eastAsia="es-AR"/>
              </w:rPr>
            </w:pPr>
          </w:p>
        </w:tc>
        <w:tc>
          <w:tcPr>
            <w:tcW w:w="681" w:type="pct"/>
            <w:tcBorders>
              <w:top w:val="nil"/>
              <w:left w:val="nil"/>
              <w:bottom w:val="nil"/>
              <w:right w:val="nil"/>
            </w:tcBorders>
            <w:shd w:val="clear" w:color="auto" w:fill="auto"/>
            <w:noWrap/>
            <w:vAlign w:val="center"/>
          </w:tcPr>
          <w:p w14:paraId="7233D0FC" w14:textId="3E8E8929" w:rsidR="00407B2D" w:rsidRPr="00262BD5" w:rsidRDefault="00407B2D" w:rsidP="00A056FF">
            <w:pPr>
              <w:jc w:val="right"/>
              <w:rPr>
                <w:rFonts w:ascii="Arial" w:hAnsi="Arial" w:cs="Arial"/>
                <w:b/>
                <w:bCs/>
                <w:sz w:val="16"/>
                <w:szCs w:val="16"/>
                <w:lang w:eastAsia="es-AR"/>
              </w:rPr>
            </w:pPr>
            <w:r>
              <w:rPr>
                <w:rFonts w:ascii="Arial" w:hAnsi="Arial" w:cs="Arial"/>
                <w:b/>
                <w:bCs/>
                <w:sz w:val="16"/>
                <w:szCs w:val="16"/>
              </w:rPr>
              <w:t xml:space="preserve">3.320.416 </w:t>
            </w:r>
          </w:p>
        </w:tc>
        <w:tc>
          <w:tcPr>
            <w:tcW w:w="669" w:type="pct"/>
            <w:tcBorders>
              <w:top w:val="nil"/>
              <w:left w:val="nil"/>
              <w:bottom w:val="nil"/>
              <w:right w:val="nil"/>
            </w:tcBorders>
            <w:shd w:val="clear" w:color="auto" w:fill="auto"/>
            <w:noWrap/>
            <w:vAlign w:val="center"/>
          </w:tcPr>
          <w:p w14:paraId="1E639A2D" w14:textId="4CCAEBF4" w:rsidR="00407B2D" w:rsidRPr="00262BD5" w:rsidRDefault="00407B2D" w:rsidP="00407B2D">
            <w:pPr>
              <w:jc w:val="right"/>
              <w:rPr>
                <w:rFonts w:ascii="Arial" w:hAnsi="Arial" w:cs="Arial"/>
                <w:b/>
                <w:bCs/>
                <w:sz w:val="16"/>
                <w:szCs w:val="16"/>
                <w:lang w:eastAsia="es-AR"/>
              </w:rPr>
            </w:pPr>
            <w:r>
              <w:rPr>
                <w:rFonts w:ascii="Arial" w:hAnsi="Arial" w:cs="Arial"/>
                <w:b/>
                <w:bCs/>
                <w:sz w:val="16"/>
                <w:szCs w:val="16"/>
              </w:rPr>
              <w:t>1.670.515</w:t>
            </w:r>
          </w:p>
        </w:tc>
      </w:tr>
      <w:tr w:rsidR="002D0A6E" w:rsidRPr="000C5202" w14:paraId="0671F530" w14:textId="77777777" w:rsidTr="00940F38">
        <w:trPr>
          <w:trHeight w:val="285"/>
        </w:trPr>
        <w:tc>
          <w:tcPr>
            <w:tcW w:w="3225" w:type="pct"/>
            <w:tcBorders>
              <w:top w:val="nil"/>
              <w:left w:val="nil"/>
              <w:bottom w:val="nil"/>
              <w:right w:val="nil"/>
            </w:tcBorders>
            <w:shd w:val="clear" w:color="auto" w:fill="auto"/>
            <w:vAlign w:val="center"/>
            <w:hideMark/>
          </w:tcPr>
          <w:p w14:paraId="1E58DD11" w14:textId="5FB6135F" w:rsidR="002D0A6E" w:rsidRPr="000C5202" w:rsidRDefault="002D0A6E" w:rsidP="00D32128">
            <w:pPr>
              <w:rPr>
                <w:rFonts w:ascii="Arial" w:hAnsi="Arial" w:cs="Arial"/>
                <w:b/>
                <w:bCs/>
                <w:sz w:val="16"/>
                <w:szCs w:val="16"/>
                <w:lang w:eastAsia="es-AR"/>
              </w:rPr>
            </w:pPr>
            <w:r w:rsidRPr="000C5202">
              <w:rPr>
                <w:rFonts w:ascii="Arial" w:hAnsi="Arial" w:cs="Arial"/>
                <w:b/>
                <w:bCs/>
                <w:sz w:val="16"/>
                <w:szCs w:val="16"/>
                <w:lang w:eastAsia="es-AR"/>
              </w:rPr>
              <w:t>Resultado neto del</w:t>
            </w:r>
            <w:r>
              <w:rPr>
                <w:rFonts w:ascii="Arial" w:hAnsi="Arial" w:cs="Arial"/>
                <w:b/>
                <w:bCs/>
                <w:sz w:val="16"/>
                <w:szCs w:val="16"/>
                <w:lang w:eastAsia="es-AR"/>
              </w:rPr>
              <w:t xml:space="preserve"> ejercicio</w:t>
            </w:r>
          </w:p>
        </w:tc>
        <w:tc>
          <w:tcPr>
            <w:tcW w:w="425" w:type="pct"/>
            <w:tcBorders>
              <w:top w:val="nil"/>
              <w:left w:val="nil"/>
              <w:bottom w:val="nil"/>
              <w:right w:val="nil"/>
            </w:tcBorders>
            <w:shd w:val="clear" w:color="auto" w:fill="auto"/>
            <w:vAlign w:val="center"/>
            <w:hideMark/>
          </w:tcPr>
          <w:p w14:paraId="522599CF" w14:textId="77777777" w:rsidR="002D0A6E" w:rsidRPr="002D0A6E" w:rsidRDefault="002D0A6E" w:rsidP="00D32128">
            <w:pPr>
              <w:jc w:val="center"/>
              <w:rPr>
                <w:rFonts w:ascii="Arial" w:hAnsi="Arial" w:cs="Arial"/>
                <w:b/>
                <w:bCs/>
                <w:sz w:val="16"/>
                <w:szCs w:val="16"/>
                <w:highlight w:val="yellow"/>
                <w:lang w:eastAsia="es-AR"/>
              </w:rPr>
            </w:pPr>
          </w:p>
        </w:tc>
        <w:tc>
          <w:tcPr>
            <w:tcW w:w="681" w:type="pct"/>
            <w:tcBorders>
              <w:top w:val="single" w:sz="4" w:space="0" w:color="auto"/>
              <w:left w:val="nil"/>
              <w:bottom w:val="nil"/>
              <w:right w:val="nil"/>
            </w:tcBorders>
            <w:shd w:val="clear" w:color="auto" w:fill="auto"/>
            <w:noWrap/>
            <w:vAlign w:val="center"/>
          </w:tcPr>
          <w:p w14:paraId="67C5DBF4" w14:textId="7D30C2AE" w:rsidR="002D0A6E" w:rsidRPr="00262BD5" w:rsidRDefault="00407B2D" w:rsidP="00940F38">
            <w:pPr>
              <w:jc w:val="right"/>
              <w:rPr>
                <w:rFonts w:ascii="Arial" w:hAnsi="Arial" w:cs="Arial"/>
                <w:b/>
                <w:bCs/>
                <w:sz w:val="16"/>
                <w:szCs w:val="16"/>
                <w:lang w:eastAsia="es-AR"/>
              </w:rPr>
            </w:pPr>
            <w:r>
              <w:rPr>
                <w:rFonts w:ascii="Arial" w:hAnsi="Arial" w:cs="Arial"/>
                <w:b/>
                <w:bCs/>
                <w:sz w:val="16"/>
                <w:szCs w:val="16"/>
              </w:rPr>
              <w:t>3.320.416</w:t>
            </w:r>
          </w:p>
        </w:tc>
        <w:tc>
          <w:tcPr>
            <w:tcW w:w="669" w:type="pct"/>
            <w:tcBorders>
              <w:top w:val="single" w:sz="4" w:space="0" w:color="auto"/>
              <w:left w:val="nil"/>
              <w:bottom w:val="nil"/>
              <w:right w:val="nil"/>
            </w:tcBorders>
            <w:shd w:val="clear" w:color="auto" w:fill="auto"/>
            <w:noWrap/>
            <w:vAlign w:val="center"/>
          </w:tcPr>
          <w:p w14:paraId="4934B78A" w14:textId="446C0527" w:rsidR="002D0A6E" w:rsidRPr="00262BD5" w:rsidRDefault="00940F38" w:rsidP="00D32128">
            <w:pPr>
              <w:jc w:val="right"/>
              <w:rPr>
                <w:rFonts w:ascii="Arial" w:hAnsi="Arial" w:cs="Arial"/>
                <w:b/>
                <w:bCs/>
                <w:sz w:val="16"/>
                <w:szCs w:val="16"/>
                <w:lang w:eastAsia="es-AR"/>
              </w:rPr>
            </w:pPr>
            <w:r>
              <w:rPr>
                <w:rFonts w:ascii="Arial" w:hAnsi="Arial" w:cs="Arial"/>
                <w:b/>
                <w:bCs/>
                <w:sz w:val="16"/>
                <w:szCs w:val="16"/>
              </w:rPr>
              <w:t>1.670.515</w:t>
            </w:r>
          </w:p>
        </w:tc>
      </w:tr>
    </w:tbl>
    <w:p w14:paraId="7EBA4627" w14:textId="43D57ABD" w:rsidR="00BA1EB9" w:rsidRPr="00701F32" w:rsidRDefault="000C5202" w:rsidP="009919E0">
      <w:pPr>
        <w:tabs>
          <w:tab w:val="left" w:pos="1365"/>
        </w:tabs>
        <w:jc w:val="center"/>
        <w:rPr>
          <w:sz w:val="20"/>
          <w:lang w:eastAsia="es-AR"/>
        </w:rPr>
      </w:pPr>
      <w:r>
        <w:rPr>
          <w:sz w:val="20"/>
          <w:lang w:eastAsia="es-AR"/>
        </w:rPr>
        <w:br w:type="textWrapping" w:clear="all"/>
      </w:r>
    </w:p>
    <w:p w14:paraId="4B223DC1" w14:textId="77777777" w:rsidR="00BA1EB9" w:rsidRPr="00701F32" w:rsidRDefault="00BA1EB9" w:rsidP="009919E0">
      <w:pPr>
        <w:tabs>
          <w:tab w:val="left" w:pos="1365"/>
        </w:tabs>
        <w:jc w:val="center"/>
        <w:rPr>
          <w:sz w:val="20"/>
          <w:lang w:eastAsia="es-AR"/>
        </w:rPr>
        <w:sectPr w:rsidR="00BA1EB9" w:rsidRPr="00701F32" w:rsidSect="007045C3">
          <w:headerReference w:type="default" r:id="rId45"/>
          <w:pgSz w:w="11907" w:h="16839" w:code="9"/>
          <w:pgMar w:top="1418" w:right="1701" w:bottom="1418" w:left="1701" w:header="567" w:footer="0" w:gutter="0"/>
          <w:paperSrc w:first="256" w:other="256"/>
          <w:cols w:space="720"/>
          <w:docGrid w:linePitch="326"/>
        </w:sectPr>
      </w:pPr>
    </w:p>
    <w:tbl>
      <w:tblPr>
        <w:tblW w:w="7941" w:type="dxa"/>
        <w:tblInd w:w="70" w:type="dxa"/>
        <w:tblCellMar>
          <w:left w:w="70" w:type="dxa"/>
          <w:right w:w="70" w:type="dxa"/>
        </w:tblCellMar>
        <w:tblLook w:val="04A0" w:firstRow="1" w:lastRow="0" w:firstColumn="1" w:lastColumn="0" w:noHBand="0" w:noVBand="1"/>
      </w:tblPr>
      <w:tblGrid>
        <w:gridCol w:w="5621"/>
        <w:gridCol w:w="1160"/>
        <w:gridCol w:w="1160"/>
      </w:tblGrid>
      <w:tr w:rsidR="00877006" w:rsidRPr="000A0696" w14:paraId="59E6111A" w14:textId="77777777" w:rsidTr="00877006">
        <w:trPr>
          <w:trHeight w:val="510"/>
        </w:trPr>
        <w:tc>
          <w:tcPr>
            <w:tcW w:w="5621"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hideMark/>
          </w:tcPr>
          <w:p w14:paraId="76A86C80" w14:textId="77777777" w:rsidR="00877006" w:rsidRPr="000A0696" w:rsidRDefault="00877006" w:rsidP="00222614">
            <w:pPr>
              <w:jc w:val="center"/>
              <w:rPr>
                <w:rFonts w:ascii="Arial" w:hAnsi="Arial" w:cs="Arial"/>
                <w:b/>
                <w:bCs/>
                <w:sz w:val="16"/>
                <w:szCs w:val="16"/>
                <w:lang w:eastAsia="es-AR"/>
              </w:rPr>
            </w:pPr>
            <w:r w:rsidRPr="000A0696">
              <w:rPr>
                <w:rFonts w:ascii="Arial" w:hAnsi="Arial" w:cs="Arial"/>
                <w:b/>
                <w:bCs/>
                <w:sz w:val="16"/>
                <w:szCs w:val="16"/>
                <w:lang w:eastAsia="es-AR"/>
              </w:rPr>
              <w:t>Concepto</w:t>
            </w:r>
          </w:p>
        </w:tc>
        <w:tc>
          <w:tcPr>
            <w:tcW w:w="1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B704AB" w14:textId="21E9CB65" w:rsidR="00877006" w:rsidRDefault="00877006" w:rsidP="00222614">
            <w:pPr>
              <w:jc w:val="center"/>
              <w:rPr>
                <w:rFonts w:ascii="Arial" w:hAnsi="Arial" w:cs="Arial"/>
                <w:b/>
                <w:bCs/>
                <w:sz w:val="16"/>
                <w:szCs w:val="16"/>
                <w:lang w:eastAsia="es-AR"/>
              </w:rPr>
            </w:pPr>
            <w:r w:rsidRPr="00826C1B">
              <w:rPr>
                <w:rFonts w:ascii="Arial" w:hAnsi="Arial" w:cs="Arial"/>
                <w:b/>
                <w:bCs/>
                <w:sz w:val="16"/>
                <w:szCs w:val="16"/>
                <w:lang w:eastAsia="es-AR"/>
              </w:rPr>
              <w:t>A</w:t>
            </w:r>
            <w:r>
              <w:rPr>
                <w:rFonts w:ascii="Arial" w:hAnsi="Arial" w:cs="Arial"/>
                <w:b/>
                <w:bCs/>
                <w:sz w:val="16"/>
                <w:szCs w:val="16"/>
                <w:lang w:eastAsia="es-AR"/>
              </w:rPr>
              <w:t>l</w:t>
            </w:r>
          </w:p>
          <w:p w14:paraId="6171BBA9" w14:textId="7D15AA54" w:rsidR="00877006" w:rsidRPr="000A0696" w:rsidRDefault="00877006" w:rsidP="00222614">
            <w:pPr>
              <w:jc w:val="center"/>
              <w:rPr>
                <w:rFonts w:ascii="Arial" w:hAnsi="Arial" w:cs="Arial"/>
                <w:b/>
                <w:bCs/>
                <w:sz w:val="16"/>
                <w:szCs w:val="16"/>
                <w:lang w:eastAsia="es-AR"/>
              </w:rPr>
            </w:pPr>
            <w:r>
              <w:rPr>
                <w:rFonts w:ascii="Arial" w:hAnsi="Arial" w:cs="Arial"/>
                <w:b/>
                <w:bCs/>
                <w:sz w:val="16"/>
                <w:szCs w:val="16"/>
                <w:lang w:eastAsia="es-AR"/>
              </w:rPr>
              <w:t>31/12/2019</w:t>
            </w:r>
          </w:p>
        </w:tc>
        <w:tc>
          <w:tcPr>
            <w:tcW w:w="1160" w:type="dxa"/>
            <w:tcBorders>
              <w:top w:val="single" w:sz="4" w:space="0" w:color="363639"/>
              <w:left w:val="single" w:sz="4" w:space="0" w:color="auto"/>
              <w:bottom w:val="single" w:sz="4" w:space="0" w:color="363639"/>
              <w:right w:val="single" w:sz="4" w:space="0" w:color="363639"/>
            </w:tcBorders>
            <w:shd w:val="clear" w:color="auto" w:fill="BFBFBF" w:themeFill="background1" w:themeFillShade="BF"/>
            <w:vAlign w:val="center"/>
            <w:hideMark/>
          </w:tcPr>
          <w:p w14:paraId="2499A327" w14:textId="10BB7D1E" w:rsidR="00877006" w:rsidRDefault="00877006" w:rsidP="00222614">
            <w:pPr>
              <w:jc w:val="center"/>
              <w:rPr>
                <w:rFonts w:ascii="Arial" w:hAnsi="Arial" w:cs="Arial"/>
                <w:b/>
                <w:bCs/>
                <w:sz w:val="16"/>
                <w:szCs w:val="16"/>
                <w:lang w:eastAsia="es-AR"/>
              </w:rPr>
            </w:pPr>
            <w:r>
              <w:rPr>
                <w:rFonts w:ascii="Arial" w:hAnsi="Arial" w:cs="Arial"/>
                <w:b/>
                <w:bCs/>
                <w:sz w:val="16"/>
                <w:szCs w:val="16"/>
                <w:lang w:eastAsia="es-AR"/>
              </w:rPr>
              <w:t>Al</w:t>
            </w:r>
          </w:p>
          <w:p w14:paraId="52211316" w14:textId="62CDEAF4" w:rsidR="00877006" w:rsidRPr="000A0696" w:rsidRDefault="00877006" w:rsidP="00222614">
            <w:pPr>
              <w:jc w:val="center"/>
              <w:rPr>
                <w:rFonts w:ascii="Arial" w:hAnsi="Arial" w:cs="Arial"/>
                <w:b/>
                <w:bCs/>
                <w:sz w:val="16"/>
                <w:szCs w:val="16"/>
                <w:lang w:eastAsia="es-AR"/>
              </w:rPr>
            </w:pPr>
            <w:r>
              <w:rPr>
                <w:rFonts w:ascii="Arial" w:hAnsi="Arial" w:cs="Arial"/>
                <w:b/>
                <w:bCs/>
                <w:sz w:val="16"/>
                <w:szCs w:val="16"/>
                <w:lang w:eastAsia="es-AR"/>
              </w:rPr>
              <w:t>31/12/2018</w:t>
            </w:r>
          </w:p>
        </w:tc>
      </w:tr>
      <w:tr w:rsidR="00877006" w:rsidRPr="000A0696" w14:paraId="0B3E6FA1" w14:textId="77777777" w:rsidTr="00877006">
        <w:trPr>
          <w:trHeight w:val="285"/>
        </w:trPr>
        <w:tc>
          <w:tcPr>
            <w:tcW w:w="5621" w:type="dxa"/>
            <w:tcBorders>
              <w:top w:val="nil"/>
              <w:left w:val="nil"/>
              <w:bottom w:val="nil"/>
              <w:right w:val="nil"/>
            </w:tcBorders>
            <w:shd w:val="clear" w:color="auto" w:fill="auto"/>
            <w:hideMark/>
          </w:tcPr>
          <w:p w14:paraId="6A2AF1AD" w14:textId="77777777" w:rsidR="00877006" w:rsidRPr="000A0696" w:rsidRDefault="00877006" w:rsidP="00222614">
            <w:pPr>
              <w:jc w:val="center"/>
              <w:rPr>
                <w:rFonts w:ascii="Arial" w:hAnsi="Arial" w:cs="Arial"/>
                <w:b/>
                <w:bCs/>
                <w:sz w:val="16"/>
                <w:szCs w:val="16"/>
                <w:lang w:eastAsia="es-AR"/>
              </w:rPr>
            </w:pPr>
            <w:r w:rsidRPr="000A0696">
              <w:rPr>
                <w:rFonts w:ascii="Arial" w:hAnsi="Arial" w:cs="Arial"/>
                <w:b/>
                <w:bCs/>
                <w:sz w:val="16"/>
                <w:szCs w:val="16"/>
                <w:lang w:eastAsia="es-AR"/>
              </w:rPr>
              <w:t> </w:t>
            </w:r>
          </w:p>
        </w:tc>
        <w:tc>
          <w:tcPr>
            <w:tcW w:w="1160" w:type="dxa"/>
            <w:tcBorders>
              <w:top w:val="single" w:sz="4" w:space="0" w:color="auto"/>
              <w:left w:val="nil"/>
              <w:bottom w:val="nil"/>
              <w:right w:val="nil"/>
            </w:tcBorders>
          </w:tcPr>
          <w:p w14:paraId="20A3DF7B" w14:textId="41367D01" w:rsidR="00877006" w:rsidRPr="000A0696" w:rsidRDefault="00877006" w:rsidP="00222614">
            <w:pPr>
              <w:jc w:val="center"/>
              <w:rPr>
                <w:rFonts w:ascii="Arial" w:hAnsi="Arial" w:cs="Arial"/>
                <w:b/>
                <w:bCs/>
                <w:sz w:val="16"/>
                <w:szCs w:val="16"/>
                <w:lang w:eastAsia="es-AR"/>
              </w:rPr>
            </w:pPr>
            <w:r w:rsidRPr="000A0696">
              <w:rPr>
                <w:rFonts w:ascii="Arial" w:hAnsi="Arial" w:cs="Arial"/>
                <w:b/>
                <w:bCs/>
                <w:sz w:val="16"/>
                <w:szCs w:val="16"/>
                <w:lang w:eastAsia="es-AR"/>
              </w:rPr>
              <w:t> </w:t>
            </w:r>
          </w:p>
        </w:tc>
        <w:tc>
          <w:tcPr>
            <w:tcW w:w="1160" w:type="dxa"/>
            <w:tcBorders>
              <w:top w:val="nil"/>
              <w:left w:val="nil"/>
              <w:bottom w:val="nil"/>
              <w:right w:val="nil"/>
            </w:tcBorders>
            <w:shd w:val="clear" w:color="auto" w:fill="auto"/>
            <w:hideMark/>
          </w:tcPr>
          <w:p w14:paraId="1D3EBF52" w14:textId="77777777" w:rsidR="00877006" w:rsidRPr="000A0696" w:rsidRDefault="00877006" w:rsidP="00222614">
            <w:pPr>
              <w:jc w:val="center"/>
              <w:rPr>
                <w:rFonts w:ascii="Arial" w:hAnsi="Arial" w:cs="Arial"/>
                <w:b/>
                <w:bCs/>
                <w:sz w:val="16"/>
                <w:szCs w:val="16"/>
                <w:lang w:eastAsia="es-AR"/>
              </w:rPr>
            </w:pPr>
            <w:r w:rsidRPr="000A0696">
              <w:rPr>
                <w:rFonts w:ascii="Arial" w:hAnsi="Arial" w:cs="Arial"/>
                <w:b/>
                <w:bCs/>
                <w:sz w:val="16"/>
                <w:szCs w:val="16"/>
                <w:lang w:eastAsia="es-AR"/>
              </w:rPr>
              <w:t> </w:t>
            </w:r>
          </w:p>
        </w:tc>
      </w:tr>
      <w:tr w:rsidR="00877006" w:rsidRPr="000A0696" w14:paraId="404E7899" w14:textId="77777777" w:rsidTr="00877006">
        <w:trPr>
          <w:trHeight w:val="285"/>
        </w:trPr>
        <w:tc>
          <w:tcPr>
            <w:tcW w:w="5621" w:type="dxa"/>
            <w:tcBorders>
              <w:top w:val="nil"/>
              <w:left w:val="nil"/>
              <w:bottom w:val="nil"/>
              <w:right w:val="nil"/>
            </w:tcBorders>
            <w:shd w:val="clear" w:color="auto" w:fill="auto"/>
            <w:hideMark/>
          </w:tcPr>
          <w:p w14:paraId="754D27DC" w14:textId="77777777" w:rsidR="00877006" w:rsidRPr="000A0696" w:rsidRDefault="00877006" w:rsidP="00222614">
            <w:pPr>
              <w:rPr>
                <w:rFonts w:ascii="Arial" w:hAnsi="Arial" w:cs="Arial"/>
                <w:b/>
                <w:bCs/>
                <w:sz w:val="16"/>
                <w:szCs w:val="16"/>
                <w:lang w:eastAsia="es-AR"/>
              </w:rPr>
            </w:pPr>
            <w:r w:rsidRPr="000A0696">
              <w:rPr>
                <w:rFonts w:ascii="Arial" w:hAnsi="Arial" w:cs="Arial"/>
                <w:b/>
                <w:bCs/>
                <w:sz w:val="16"/>
                <w:szCs w:val="16"/>
                <w:lang w:eastAsia="es-AR"/>
              </w:rPr>
              <w:t>NUMERADOR</w:t>
            </w:r>
          </w:p>
        </w:tc>
        <w:tc>
          <w:tcPr>
            <w:tcW w:w="1160" w:type="dxa"/>
            <w:tcBorders>
              <w:top w:val="nil"/>
              <w:left w:val="nil"/>
              <w:bottom w:val="nil"/>
              <w:right w:val="nil"/>
            </w:tcBorders>
          </w:tcPr>
          <w:p w14:paraId="138FF27D" w14:textId="0A4F297E" w:rsidR="00877006" w:rsidRPr="000A0696" w:rsidRDefault="00877006" w:rsidP="00222614">
            <w:pPr>
              <w:rPr>
                <w:rFonts w:ascii="Arial" w:hAnsi="Arial" w:cs="Arial"/>
                <w:b/>
                <w:bCs/>
                <w:sz w:val="16"/>
                <w:szCs w:val="16"/>
                <w:lang w:eastAsia="es-AR"/>
              </w:rPr>
            </w:pPr>
          </w:p>
        </w:tc>
        <w:tc>
          <w:tcPr>
            <w:tcW w:w="1160" w:type="dxa"/>
            <w:tcBorders>
              <w:top w:val="nil"/>
              <w:left w:val="nil"/>
              <w:bottom w:val="nil"/>
              <w:right w:val="nil"/>
            </w:tcBorders>
            <w:shd w:val="clear" w:color="auto" w:fill="auto"/>
            <w:hideMark/>
          </w:tcPr>
          <w:p w14:paraId="75C276A4" w14:textId="77777777" w:rsidR="00877006" w:rsidRPr="000A0696" w:rsidRDefault="00877006" w:rsidP="00222614">
            <w:pPr>
              <w:rPr>
                <w:rFonts w:ascii="Arial" w:hAnsi="Arial" w:cs="Arial"/>
                <w:sz w:val="16"/>
                <w:szCs w:val="16"/>
                <w:lang w:eastAsia="es-AR"/>
              </w:rPr>
            </w:pPr>
          </w:p>
        </w:tc>
      </w:tr>
      <w:tr w:rsidR="00877006" w:rsidRPr="000A0696" w14:paraId="6EEBD9F6" w14:textId="77777777" w:rsidTr="00877006">
        <w:trPr>
          <w:trHeight w:val="285"/>
        </w:trPr>
        <w:tc>
          <w:tcPr>
            <w:tcW w:w="5621" w:type="dxa"/>
            <w:tcBorders>
              <w:top w:val="nil"/>
              <w:left w:val="nil"/>
              <w:bottom w:val="nil"/>
              <w:right w:val="nil"/>
            </w:tcBorders>
            <w:shd w:val="clear" w:color="auto" w:fill="auto"/>
            <w:hideMark/>
          </w:tcPr>
          <w:p w14:paraId="1D756BB6" w14:textId="77777777" w:rsidR="00877006" w:rsidRPr="000A0696" w:rsidRDefault="00877006" w:rsidP="00222614">
            <w:pPr>
              <w:rPr>
                <w:rFonts w:ascii="Arial" w:hAnsi="Arial" w:cs="Arial"/>
                <w:sz w:val="16"/>
                <w:szCs w:val="16"/>
                <w:lang w:eastAsia="es-AR"/>
              </w:rPr>
            </w:pPr>
          </w:p>
        </w:tc>
        <w:tc>
          <w:tcPr>
            <w:tcW w:w="1160" w:type="dxa"/>
            <w:tcBorders>
              <w:top w:val="nil"/>
              <w:left w:val="nil"/>
              <w:bottom w:val="nil"/>
              <w:right w:val="nil"/>
            </w:tcBorders>
          </w:tcPr>
          <w:p w14:paraId="525D0E73" w14:textId="4542249F" w:rsidR="00877006" w:rsidRPr="000A0696" w:rsidRDefault="00877006" w:rsidP="00222614">
            <w:pPr>
              <w:rPr>
                <w:rFonts w:ascii="Arial" w:hAnsi="Arial" w:cs="Arial"/>
                <w:sz w:val="16"/>
                <w:szCs w:val="16"/>
                <w:lang w:eastAsia="es-AR"/>
              </w:rPr>
            </w:pPr>
          </w:p>
        </w:tc>
        <w:tc>
          <w:tcPr>
            <w:tcW w:w="1160" w:type="dxa"/>
            <w:tcBorders>
              <w:top w:val="nil"/>
              <w:left w:val="nil"/>
              <w:bottom w:val="nil"/>
              <w:right w:val="nil"/>
            </w:tcBorders>
            <w:shd w:val="clear" w:color="auto" w:fill="auto"/>
            <w:hideMark/>
          </w:tcPr>
          <w:p w14:paraId="111F0ABE" w14:textId="77777777" w:rsidR="00877006" w:rsidRPr="000A0696" w:rsidRDefault="00877006" w:rsidP="00222614">
            <w:pPr>
              <w:rPr>
                <w:rFonts w:ascii="Arial" w:hAnsi="Arial" w:cs="Arial"/>
                <w:sz w:val="16"/>
                <w:szCs w:val="16"/>
                <w:lang w:eastAsia="es-AR"/>
              </w:rPr>
            </w:pPr>
          </w:p>
        </w:tc>
      </w:tr>
      <w:tr w:rsidR="00407B2D" w:rsidRPr="000A0696" w14:paraId="035486B3" w14:textId="77777777" w:rsidTr="006E1AF7">
        <w:trPr>
          <w:trHeight w:val="285"/>
        </w:trPr>
        <w:tc>
          <w:tcPr>
            <w:tcW w:w="5621" w:type="dxa"/>
            <w:tcBorders>
              <w:top w:val="nil"/>
              <w:left w:val="nil"/>
              <w:bottom w:val="nil"/>
              <w:right w:val="nil"/>
            </w:tcBorders>
            <w:shd w:val="clear" w:color="auto" w:fill="auto"/>
            <w:vAlign w:val="center"/>
            <w:hideMark/>
          </w:tcPr>
          <w:p w14:paraId="6915A262" w14:textId="3D933903" w:rsidR="00407B2D" w:rsidRPr="000A0696" w:rsidRDefault="00407B2D" w:rsidP="00407B2D">
            <w:pPr>
              <w:rPr>
                <w:rFonts w:ascii="Arial" w:hAnsi="Arial" w:cs="Arial"/>
                <w:sz w:val="16"/>
                <w:szCs w:val="16"/>
                <w:lang w:eastAsia="es-AR"/>
              </w:rPr>
            </w:pPr>
            <w:r w:rsidRPr="000A0696">
              <w:rPr>
                <w:rFonts w:ascii="Arial" w:hAnsi="Arial" w:cs="Arial"/>
                <w:sz w:val="16"/>
                <w:szCs w:val="16"/>
                <w:lang w:eastAsia="es-AR"/>
              </w:rPr>
              <w:t xml:space="preserve">Ganancia neta </w:t>
            </w:r>
          </w:p>
        </w:tc>
        <w:tc>
          <w:tcPr>
            <w:tcW w:w="1160" w:type="dxa"/>
            <w:tcBorders>
              <w:top w:val="nil"/>
              <w:left w:val="nil"/>
              <w:bottom w:val="nil"/>
              <w:right w:val="nil"/>
            </w:tcBorders>
            <w:vAlign w:val="center"/>
          </w:tcPr>
          <w:p w14:paraId="407011B6" w14:textId="52A996C7" w:rsidR="00407B2D" w:rsidRDefault="00407B2D">
            <w:pPr>
              <w:jc w:val="right"/>
              <w:rPr>
                <w:rFonts w:ascii="Arial" w:hAnsi="Arial" w:cs="Arial"/>
                <w:sz w:val="16"/>
                <w:szCs w:val="16"/>
              </w:rPr>
            </w:pPr>
            <w:r>
              <w:rPr>
                <w:rFonts w:ascii="Arial" w:hAnsi="Arial" w:cs="Arial"/>
                <w:sz w:val="16"/>
                <w:szCs w:val="16"/>
              </w:rPr>
              <w:t xml:space="preserve">3.320.416 </w:t>
            </w:r>
          </w:p>
        </w:tc>
        <w:tc>
          <w:tcPr>
            <w:tcW w:w="1160" w:type="dxa"/>
            <w:tcBorders>
              <w:top w:val="nil"/>
              <w:left w:val="nil"/>
              <w:bottom w:val="nil"/>
              <w:right w:val="nil"/>
            </w:tcBorders>
            <w:shd w:val="clear" w:color="auto" w:fill="auto"/>
            <w:vAlign w:val="center"/>
          </w:tcPr>
          <w:p w14:paraId="663B12FE" w14:textId="2D1A3C48" w:rsidR="00407B2D" w:rsidRPr="008435AA" w:rsidRDefault="00407B2D">
            <w:pPr>
              <w:jc w:val="right"/>
              <w:rPr>
                <w:rFonts w:ascii="Arial" w:hAnsi="Arial" w:cs="Arial"/>
                <w:sz w:val="16"/>
                <w:szCs w:val="16"/>
                <w:lang w:eastAsia="es-AR"/>
              </w:rPr>
            </w:pPr>
            <w:r>
              <w:rPr>
                <w:rFonts w:ascii="Arial" w:hAnsi="Arial" w:cs="Arial"/>
                <w:sz w:val="16"/>
                <w:szCs w:val="16"/>
              </w:rPr>
              <w:t>1.670.515</w:t>
            </w:r>
          </w:p>
        </w:tc>
      </w:tr>
      <w:tr w:rsidR="00407B2D" w:rsidRPr="000A0696" w14:paraId="0C61E12F" w14:textId="77777777" w:rsidTr="006E1AF7">
        <w:trPr>
          <w:trHeight w:val="447"/>
        </w:trPr>
        <w:tc>
          <w:tcPr>
            <w:tcW w:w="5621" w:type="dxa"/>
            <w:tcBorders>
              <w:top w:val="nil"/>
              <w:left w:val="nil"/>
              <w:bottom w:val="nil"/>
              <w:right w:val="nil"/>
            </w:tcBorders>
            <w:shd w:val="clear" w:color="auto" w:fill="auto"/>
            <w:vAlign w:val="bottom"/>
            <w:hideMark/>
          </w:tcPr>
          <w:p w14:paraId="5CC02E22" w14:textId="77777777" w:rsidR="00407B2D" w:rsidRPr="000A0696" w:rsidRDefault="00407B2D" w:rsidP="00407B2D">
            <w:pPr>
              <w:rPr>
                <w:rFonts w:ascii="Arial" w:hAnsi="Arial" w:cs="Arial"/>
                <w:sz w:val="16"/>
                <w:szCs w:val="16"/>
                <w:lang w:eastAsia="es-AR"/>
              </w:rPr>
            </w:pPr>
            <w:r w:rsidRPr="000A0696">
              <w:rPr>
                <w:rFonts w:ascii="Arial" w:hAnsi="Arial" w:cs="Arial"/>
                <w:sz w:val="16"/>
                <w:szCs w:val="16"/>
                <w:lang w:eastAsia="es-AR"/>
              </w:rPr>
              <w:t>MAS: Efectos dilusivos inherentes a las acciones ordinarias potenciales</w:t>
            </w:r>
          </w:p>
        </w:tc>
        <w:tc>
          <w:tcPr>
            <w:tcW w:w="1160" w:type="dxa"/>
            <w:tcBorders>
              <w:top w:val="nil"/>
              <w:left w:val="nil"/>
              <w:bottom w:val="nil"/>
              <w:right w:val="nil"/>
            </w:tcBorders>
            <w:vAlign w:val="center"/>
          </w:tcPr>
          <w:p w14:paraId="71BAFB3B" w14:textId="4F0A3D03" w:rsidR="00407B2D" w:rsidRDefault="00407B2D">
            <w:pPr>
              <w:jc w:val="right"/>
              <w:rPr>
                <w:rFonts w:ascii="Arial" w:hAnsi="Arial" w:cs="Arial"/>
                <w:sz w:val="16"/>
                <w:szCs w:val="16"/>
              </w:rPr>
            </w:pPr>
            <w:r>
              <w:rPr>
                <w:rFonts w:ascii="Arial" w:hAnsi="Arial" w:cs="Arial"/>
                <w:sz w:val="16"/>
                <w:szCs w:val="16"/>
              </w:rPr>
              <w:t xml:space="preserve">- </w:t>
            </w:r>
          </w:p>
        </w:tc>
        <w:tc>
          <w:tcPr>
            <w:tcW w:w="1160" w:type="dxa"/>
            <w:tcBorders>
              <w:top w:val="nil"/>
              <w:left w:val="nil"/>
              <w:bottom w:val="nil"/>
              <w:right w:val="nil"/>
            </w:tcBorders>
            <w:shd w:val="clear" w:color="auto" w:fill="auto"/>
            <w:vAlign w:val="center"/>
          </w:tcPr>
          <w:p w14:paraId="235EF175" w14:textId="1AC137D8" w:rsidR="00407B2D" w:rsidRPr="008435AA" w:rsidRDefault="00407B2D">
            <w:pPr>
              <w:jc w:val="right"/>
              <w:rPr>
                <w:rFonts w:ascii="Arial" w:hAnsi="Arial" w:cs="Arial"/>
                <w:sz w:val="16"/>
                <w:szCs w:val="16"/>
                <w:lang w:eastAsia="es-AR"/>
              </w:rPr>
            </w:pPr>
            <w:r>
              <w:rPr>
                <w:rFonts w:ascii="Arial" w:hAnsi="Arial" w:cs="Arial"/>
                <w:sz w:val="16"/>
                <w:szCs w:val="16"/>
              </w:rPr>
              <w:t>-</w:t>
            </w:r>
          </w:p>
        </w:tc>
      </w:tr>
      <w:tr w:rsidR="00407B2D" w:rsidRPr="000A0696" w14:paraId="15D61CCE" w14:textId="77777777" w:rsidTr="006E1AF7">
        <w:trPr>
          <w:trHeight w:val="510"/>
        </w:trPr>
        <w:tc>
          <w:tcPr>
            <w:tcW w:w="5621" w:type="dxa"/>
            <w:tcBorders>
              <w:top w:val="nil"/>
              <w:left w:val="nil"/>
              <w:bottom w:val="nil"/>
              <w:right w:val="nil"/>
            </w:tcBorders>
            <w:shd w:val="clear" w:color="auto" w:fill="auto"/>
            <w:vAlign w:val="center"/>
            <w:hideMark/>
          </w:tcPr>
          <w:p w14:paraId="22088D16" w14:textId="5B9BE18F" w:rsidR="00407B2D" w:rsidRPr="000A0696" w:rsidRDefault="00407B2D" w:rsidP="00407B2D">
            <w:pPr>
              <w:rPr>
                <w:rFonts w:ascii="Arial" w:hAnsi="Arial" w:cs="Arial"/>
                <w:sz w:val="16"/>
                <w:szCs w:val="16"/>
                <w:lang w:eastAsia="es-AR"/>
              </w:rPr>
            </w:pPr>
            <w:r w:rsidRPr="000A0696">
              <w:rPr>
                <w:rFonts w:ascii="Arial" w:hAnsi="Arial" w:cs="Arial"/>
                <w:sz w:val="16"/>
                <w:szCs w:val="16"/>
                <w:lang w:eastAsia="es-AR"/>
              </w:rPr>
              <w:t>Ganancia neta ajustada por el efecto de la dilución</w:t>
            </w:r>
          </w:p>
        </w:tc>
        <w:tc>
          <w:tcPr>
            <w:tcW w:w="1160" w:type="dxa"/>
            <w:tcBorders>
              <w:top w:val="nil"/>
              <w:left w:val="nil"/>
              <w:bottom w:val="nil"/>
              <w:right w:val="nil"/>
            </w:tcBorders>
            <w:vAlign w:val="center"/>
          </w:tcPr>
          <w:p w14:paraId="4CF40356" w14:textId="56D38B6F" w:rsidR="00407B2D" w:rsidRDefault="00407B2D">
            <w:pPr>
              <w:jc w:val="right"/>
              <w:rPr>
                <w:rFonts w:ascii="Arial" w:hAnsi="Arial" w:cs="Arial"/>
                <w:sz w:val="16"/>
                <w:szCs w:val="16"/>
              </w:rPr>
            </w:pPr>
            <w:r>
              <w:rPr>
                <w:rFonts w:ascii="Arial" w:hAnsi="Arial" w:cs="Arial"/>
                <w:sz w:val="16"/>
                <w:szCs w:val="16"/>
              </w:rPr>
              <w:t xml:space="preserve">3.320.416 </w:t>
            </w:r>
          </w:p>
        </w:tc>
        <w:tc>
          <w:tcPr>
            <w:tcW w:w="1160" w:type="dxa"/>
            <w:tcBorders>
              <w:top w:val="nil"/>
              <w:left w:val="nil"/>
              <w:bottom w:val="nil"/>
              <w:right w:val="nil"/>
            </w:tcBorders>
            <w:shd w:val="clear" w:color="auto" w:fill="auto"/>
            <w:vAlign w:val="center"/>
          </w:tcPr>
          <w:p w14:paraId="0D447200" w14:textId="32013833" w:rsidR="00407B2D" w:rsidRPr="008435AA" w:rsidRDefault="00407B2D">
            <w:pPr>
              <w:jc w:val="right"/>
              <w:rPr>
                <w:rFonts w:ascii="Arial" w:hAnsi="Arial" w:cs="Arial"/>
                <w:sz w:val="16"/>
                <w:szCs w:val="16"/>
                <w:lang w:eastAsia="es-AR"/>
              </w:rPr>
            </w:pPr>
            <w:r>
              <w:rPr>
                <w:rFonts w:ascii="Arial" w:hAnsi="Arial" w:cs="Arial"/>
                <w:sz w:val="16"/>
                <w:szCs w:val="16"/>
              </w:rPr>
              <w:t>1.670.515</w:t>
            </w:r>
          </w:p>
        </w:tc>
      </w:tr>
      <w:tr w:rsidR="00407B2D" w:rsidRPr="000A0696" w14:paraId="3A96E2FB" w14:textId="77777777" w:rsidTr="006E1AF7">
        <w:trPr>
          <w:trHeight w:val="285"/>
        </w:trPr>
        <w:tc>
          <w:tcPr>
            <w:tcW w:w="5621" w:type="dxa"/>
            <w:tcBorders>
              <w:top w:val="nil"/>
              <w:left w:val="nil"/>
              <w:bottom w:val="nil"/>
              <w:right w:val="nil"/>
            </w:tcBorders>
            <w:shd w:val="clear" w:color="auto" w:fill="auto"/>
            <w:vAlign w:val="center"/>
            <w:hideMark/>
          </w:tcPr>
          <w:p w14:paraId="521BC428" w14:textId="77777777" w:rsidR="00407B2D" w:rsidRPr="000A0696" w:rsidRDefault="00407B2D" w:rsidP="00407B2D">
            <w:pPr>
              <w:rPr>
                <w:rFonts w:ascii="Arial" w:hAnsi="Arial" w:cs="Arial"/>
                <w:sz w:val="16"/>
                <w:szCs w:val="16"/>
                <w:lang w:eastAsia="es-AR"/>
              </w:rPr>
            </w:pPr>
          </w:p>
        </w:tc>
        <w:tc>
          <w:tcPr>
            <w:tcW w:w="1160" w:type="dxa"/>
            <w:tcBorders>
              <w:top w:val="nil"/>
              <w:left w:val="nil"/>
              <w:bottom w:val="nil"/>
              <w:right w:val="nil"/>
            </w:tcBorders>
            <w:vAlign w:val="center"/>
          </w:tcPr>
          <w:p w14:paraId="15F707C7" w14:textId="7BE61E44" w:rsidR="00407B2D" w:rsidRPr="008435AA" w:rsidRDefault="00407B2D">
            <w:pPr>
              <w:jc w:val="right"/>
              <w:rPr>
                <w:rFonts w:ascii="Arial" w:hAnsi="Arial" w:cs="Arial"/>
                <w:sz w:val="16"/>
                <w:szCs w:val="16"/>
                <w:lang w:eastAsia="es-AR"/>
              </w:rPr>
            </w:pPr>
          </w:p>
        </w:tc>
        <w:tc>
          <w:tcPr>
            <w:tcW w:w="1160" w:type="dxa"/>
            <w:tcBorders>
              <w:top w:val="nil"/>
              <w:left w:val="nil"/>
              <w:bottom w:val="nil"/>
              <w:right w:val="nil"/>
            </w:tcBorders>
            <w:shd w:val="clear" w:color="auto" w:fill="auto"/>
            <w:vAlign w:val="center"/>
          </w:tcPr>
          <w:p w14:paraId="70424D28" w14:textId="77777777" w:rsidR="00407B2D" w:rsidRPr="008435AA" w:rsidRDefault="00407B2D">
            <w:pPr>
              <w:jc w:val="right"/>
              <w:rPr>
                <w:rFonts w:ascii="Arial" w:hAnsi="Arial" w:cs="Arial"/>
                <w:sz w:val="16"/>
                <w:szCs w:val="16"/>
                <w:lang w:eastAsia="es-AR"/>
              </w:rPr>
            </w:pPr>
          </w:p>
        </w:tc>
      </w:tr>
      <w:tr w:rsidR="00407B2D" w:rsidRPr="000A0696" w14:paraId="0350CA74" w14:textId="77777777" w:rsidTr="006E1AF7">
        <w:trPr>
          <w:trHeight w:val="285"/>
        </w:trPr>
        <w:tc>
          <w:tcPr>
            <w:tcW w:w="5621" w:type="dxa"/>
            <w:tcBorders>
              <w:top w:val="nil"/>
              <w:left w:val="nil"/>
              <w:bottom w:val="nil"/>
              <w:right w:val="nil"/>
            </w:tcBorders>
            <w:shd w:val="clear" w:color="auto" w:fill="auto"/>
            <w:vAlign w:val="bottom"/>
            <w:hideMark/>
          </w:tcPr>
          <w:p w14:paraId="498E7CF1" w14:textId="77777777" w:rsidR="00407B2D" w:rsidRPr="000A0696" w:rsidRDefault="00407B2D" w:rsidP="00407B2D">
            <w:pPr>
              <w:rPr>
                <w:rFonts w:ascii="Arial" w:hAnsi="Arial" w:cs="Arial"/>
                <w:b/>
                <w:bCs/>
                <w:sz w:val="16"/>
                <w:szCs w:val="16"/>
                <w:lang w:eastAsia="es-AR"/>
              </w:rPr>
            </w:pPr>
            <w:r w:rsidRPr="000A0696">
              <w:rPr>
                <w:rFonts w:ascii="Arial" w:hAnsi="Arial" w:cs="Arial"/>
                <w:b/>
                <w:bCs/>
                <w:sz w:val="16"/>
                <w:szCs w:val="16"/>
                <w:lang w:eastAsia="es-AR"/>
              </w:rPr>
              <w:t>DENOMINADOR</w:t>
            </w:r>
          </w:p>
        </w:tc>
        <w:tc>
          <w:tcPr>
            <w:tcW w:w="1160" w:type="dxa"/>
            <w:tcBorders>
              <w:top w:val="nil"/>
              <w:left w:val="nil"/>
              <w:bottom w:val="nil"/>
              <w:right w:val="nil"/>
            </w:tcBorders>
            <w:vAlign w:val="center"/>
          </w:tcPr>
          <w:p w14:paraId="202416A1" w14:textId="7244ABF4" w:rsidR="00407B2D" w:rsidRPr="008435AA" w:rsidRDefault="00407B2D">
            <w:pPr>
              <w:jc w:val="right"/>
              <w:rPr>
                <w:rFonts w:ascii="Arial" w:hAnsi="Arial" w:cs="Arial"/>
                <w:b/>
                <w:bCs/>
                <w:sz w:val="16"/>
                <w:szCs w:val="16"/>
                <w:lang w:eastAsia="es-AR"/>
              </w:rPr>
            </w:pPr>
          </w:p>
        </w:tc>
        <w:tc>
          <w:tcPr>
            <w:tcW w:w="1160" w:type="dxa"/>
            <w:tcBorders>
              <w:top w:val="nil"/>
              <w:left w:val="nil"/>
              <w:bottom w:val="nil"/>
              <w:right w:val="nil"/>
            </w:tcBorders>
            <w:shd w:val="clear" w:color="auto" w:fill="auto"/>
            <w:vAlign w:val="center"/>
          </w:tcPr>
          <w:p w14:paraId="3798FDE3" w14:textId="77777777" w:rsidR="00407B2D" w:rsidRPr="008435AA" w:rsidRDefault="00407B2D">
            <w:pPr>
              <w:jc w:val="right"/>
              <w:rPr>
                <w:rFonts w:ascii="Arial" w:hAnsi="Arial" w:cs="Arial"/>
                <w:sz w:val="16"/>
                <w:szCs w:val="16"/>
                <w:lang w:eastAsia="es-AR"/>
              </w:rPr>
            </w:pPr>
          </w:p>
        </w:tc>
      </w:tr>
      <w:tr w:rsidR="00407B2D" w:rsidRPr="000A0696" w14:paraId="500D352C" w14:textId="77777777" w:rsidTr="006E1AF7">
        <w:trPr>
          <w:trHeight w:val="285"/>
        </w:trPr>
        <w:tc>
          <w:tcPr>
            <w:tcW w:w="5621" w:type="dxa"/>
            <w:tcBorders>
              <w:top w:val="nil"/>
              <w:left w:val="nil"/>
              <w:bottom w:val="nil"/>
              <w:right w:val="nil"/>
            </w:tcBorders>
            <w:shd w:val="clear" w:color="auto" w:fill="auto"/>
            <w:vAlign w:val="bottom"/>
            <w:hideMark/>
          </w:tcPr>
          <w:p w14:paraId="4D738793" w14:textId="77777777" w:rsidR="00407B2D" w:rsidRPr="000A0696" w:rsidRDefault="00407B2D" w:rsidP="00407B2D">
            <w:pPr>
              <w:rPr>
                <w:rFonts w:ascii="Arial" w:hAnsi="Arial" w:cs="Arial"/>
                <w:sz w:val="16"/>
                <w:szCs w:val="16"/>
                <w:lang w:eastAsia="es-AR"/>
              </w:rPr>
            </w:pPr>
          </w:p>
        </w:tc>
        <w:tc>
          <w:tcPr>
            <w:tcW w:w="1160" w:type="dxa"/>
            <w:tcBorders>
              <w:top w:val="nil"/>
              <w:left w:val="nil"/>
              <w:bottom w:val="nil"/>
              <w:right w:val="nil"/>
            </w:tcBorders>
            <w:vAlign w:val="center"/>
          </w:tcPr>
          <w:p w14:paraId="3DE72F52" w14:textId="54537ED6" w:rsidR="00407B2D" w:rsidRPr="008435AA" w:rsidRDefault="00407B2D">
            <w:pPr>
              <w:jc w:val="right"/>
              <w:rPr>
                <w:rFonts w:ascii="Arial" w:hAnsi="Arial" w:cs="Arial"/>
                <w:sz w:val="16"/>
                <w:szCs w:val="16"/>
                <w:lang w:eastAsia="es-AR"/>
              </w:rPr>
            </w:pPr>
          </w:p>
        </w:tc>
        <w:tc>
          <w:tcPr>
            <w:tcW w:w="1160" w:type="dxa"/>
            <w:tcBorders>
              <w:top w:val="nil"/>
              <w:left w:val="nil"/>
              <w:bottom w:val="nil"/>
              <w:right w:val="nil"/>
            </w:tcBorders>
            <w:shd w:val="clear" w:color="auto" w:fill="auto"/>
            <w:vAlign w:val="center"/>
          </w:tcPr>
          <w:p w14:paraId="7A454FA4" w14:textId="77777777" w:rsidR="00407B2D" w:rsidRPr="008435AA" w:rsidRDefault="00407B2D">
            <w:pPr>
              <w:jc w:val="right"/>
              <w:rPr>
                <w:rFonts w:ascii="Arial" w:hAnsi="Arial" w:cs="Arial"/>
                <w:sz w:val="16"/>
                <w:szCs w:val="16"/>
                <w:lang w:eastAsia="es-AR"/>
              </w:rPr>
            </w:pPr>
          </w:p>
        </w:tc>
      </w:tr>
      <w:tr w:rsidR="00407B2D" w:rsidRPr="000A0696" w14:paraId="39FFDC57" w14:textId="77777777" w:rsidTr="006E1AF7">
        <w:trPr>
          <w:trHeight w:val="510"/>
        </w:trPr>
        <w:tc>
          <w:tcPr>
            <w:tcW w:w="5621" w:type="dxa"/>
            <w:tcBorders>
              <w:top w:val="nil"/>
              <w:left w:val="nil"/>
              <w:bottom w:val="nil"/>
              <w:right w:val="nil"/>
            </w:tcBorders>
            <w:shd w:val="clear" w:color="auto" w:fill="auto"/>
            <w:vAlign w:val="center"/>
            <w:hideMark/>
          </w:tcPr>
          <w:p w14:paraId="25BDB6B9" w14:textId="28D625FB" w:rsidR="00407B2D" w:rsidRPr="000A0696" w:rsidRDefault="00407B2D" w:rsidP="00407B2D">
            <w:pPr>
              <w:rPr>
                <w:rFonts w:ascii="Arial" w:hAnsi="Arial" w:cs="Arial"/>
                <w:sz w:val="16"/>
                <w:szCs w:val="16"/>
                <w:lang w:eastAsia="es-AR"/>
              </w:rPr>
            </w:pPr>
            <w:r w:rsidRPr="000A0696">
              <w:rPr>
                <w:rFonts w:ascii="Arial" w:hAnsi="Arial" w:cs="Arial"/>
                <w:sz w:val="16"/>
                <w:szCs w:val="16"/>
                <w:lang w:eastAsia="es-AR"/>
              </w:rPr>
              <w:t xml:space="preserve">Promedio ponderado de acciones ordinarias en circulación del </w:t>
            </w:r>
            <w:r>
              <w:rPr>
                <w:rFonts w:ascii="Arial" w:hAnsi="Arial" w:cs="Arial"/>
                <w:sz w:val="16"/>
                <w:szCs w:val="16"/>
                <w:lang w:eastAsia="es-AR"/>
              </w:rPr>
              <w:t>ejercicio</w:t>
            </w:r>
          </w:p>
        </w:tc>
        <w:tc>
          <w:tcPr>
            <w:tcW w:w="1160" w:type="dxa"/>
            <w:tcBorders>
              <w:top w:val="nil"/>
              <w:left w:val="nil"/>
              <w:bottom w:val="nil"/>
              <w:right w:val="nil"/>
            </w:tcBorders>
            <w:vAlign w:val="center"/>
          </w:tcPr>
          <w:p w14:paraId="05230D85" w14:textId="0C98F805" w:rsidR="00407B2D" w:rsidRDefault="00407B2D">
            <w:pPr>
              <w:jc w:val="right"/>
              <w:rPr>
                <w:rFonts w:ascii="Arial" w:hAnsi="Arial" w:cs="Arial"/>
                <w:sz w:val="16"/>
                <w:szCs w:val="16"/>
              </w:rPr>
            </w:pPr>
            <w:r>
              <w:rPr>
                <w:rFonts w:ascii="Arial" w:hAnsi="Arial" w:cs="Arial"/>
                <w:sz w:val="16"/>
                <w:szCs w:val="16"/>
              </w:rPr>
              <w:t xml:space="preserve">818.782 </w:t>
            </w:r>
          </w:p>
        </w:tc>
        <w:tc>
          <w:tcPr>
            <w:tcW w:w="1160" w:type="dxa"/>
            <w:tcBorders>
              <w:top w:val="nil"/>
              <w:left w:val="nil"/>
              <w:bottom w:val="nil"/>
              <w:right w:val="nil"/>
            </w:tcBorders>
            <w:shd w:val="clear" w:color="auto" w:fill="auto"/>
            <w:vAlign w:val="center"/>
          </w:tcPr>
          <w:p w14:paraId="75863DDA" w14:textId="1BE48BA8" w:rsidR="00407B2D" w:rsidRPr="008435AA" w:rsidRDefault="00407B2D">
            <w:pPr>
              <w:jc w:val="right"/>
              <w:rPr>
                <w:rFonts w:ascii="Arial" w:hAnsi="Arial" w:cs="Arial"/>
                <w:sz w:val="16"/>
                <w:szCs w:val="16"/>
                <w:lang w:eastAsia="es-AR"/>
              </w:rPr>
            </w:pPr>
            <w:r>
              <w:rPr>
                <w:rFonts w:ascii="Arial" w:hAnsi="Arial" w:cs="Arial"/>
                <w:sz w:val="16"/>
                <w:szCs w:val="16"/>
              </w:rPr>
              <w:t>767.948</w:t>
            </w:r>
          </w:p>
        </w:tc>
      </w:tr>
      <w:tr w:rsidR="00407B2D" w:rsidRPr="000A0696" w14:paraId="7A4B3D49" w14:textId="77777777" w:rsidTr="006E1AF7">
        <w:trPr>
          <w:trHeight w:val="510"/>
        </w:trPr>
        <w:tc>
          <w:tcPr>
            <w:tcW w:w="5621" w:type="dxa"/>
            <w:tcBorders>
              <w:top w:val="nil"/>
              <w:left w:val="nil"/>
              <w:bottom w:val="nil"/>
              <w:right w:val="nil"/>
            </w:tcBorders>
            <w:shd w:val="clear" w:color="auto" w:fill="auto"/>
            <w:vAlign w:val="center"/>
            <w:hideMark/>
          </w:tcPr>
          <w:p w14:paraId="27B4D118" w14:textId="77777777" w:rsidR="00407B2D" w:rsidRPr="000A0696" w:rsidRDefault="00407B2D" w:rsidP="00407B2D">
            <w:pPr>
              <w:rPr>
                <w:rFonts w:ascii="Arial" w:hAnsi="Arial" w:cs="Arial"/>
                <w:sz w:val="16"/>
                <w:szCs w:val="16"/>
                <w:lang w:eastAsia="es-AR"/>
              </w:rPr>
            </w:pPr>
            <w:r w:rsidRPr="000A0696">
              <w:rPr>
                <w:rFonts w:ascii="Arial" w:hAnsi="Arial" w:cs="Arial"/>
                <w:sz w:val="16"/>
                <w:szCs w:val="16"/>
                <w:lang w:eastAsia="es-AR"/>
              </w:rPr>
              <w:t>MAS: Promedio ponderado del número de acciones ordinarias adicionales con efectos dilusivos.</w:t>
            </w:r>
          </w:p>
        </w:tc>
        <w:tc>
          <w:tcPr>
            <w:tcW w:w="1160" w:type="dxa"/>
            <w:tcBorders>
              <w:top w:val="nil"/>
              <w:left w:val="nil"/>
              <w:bottom w:val="nil"/>
              <w:right w:val="nil"/>
            </w:tcBorders>
            <w:vAlign w:val="center"/>
          </w:tcPr>
          <w:p w14:paraId="6C2EF6B7" w14:textId="636F915C" w:rsidR="00407B2D" w:rsidRDefault="00407B2D">
            <w:pPr>
              <w:jc w:val="right"/>
              <w:rPr>
                <w:rFonts w:ascii="Arial" w:hAnsi="Arial" w:cs="Arial"/>
                <w:sz w:val="16"/>
                <w:szCs w:val="16"/>
              </w:rPr>
            </w:pPr>
            <w:r>
              <w:rPr>
                <w:rFonts w:ascii="Arial" w:hAnsi="Arial" w:cs="Arial"/>
                <w:sz w:val="16"/>
                <w:szCs w:val="16"/>
              </w:rPr>
              <w:t xml:space="preserve">- </w:t>
            </w:r>
          </w:p>
        </w:tc>
        <w:tc>
          <w:tcPr>
            <w:tcW w:w="1160" w:type="dxa"/>
            <w:tcBorders>
              <w:top w:val="nil"/>
              <w:left w:val="nil"/>
              <w:bottom w:val="nil"/>
              <w:right w:val="nil"/>
            </w:tcBorders>
            <w:shd w:val="clear" w:color="auto" w:fill="auto"/>
            <w:vAlign w:val="center"/>
          </w:tcPr>
          <w:p w14:paraId="7A0DB0F9" w14:textId="669273CB" w:rsidR="00407B2D" w:rsidRPr="008435AA" w:rsidRDefault="00407B2D">
            <w:pPr>
              <w:jc w:val="right"/>
              <w:rPr>
                <w:rFonts w:ascii="Arial" w:hAnsi="Arial" w:cs="Arial"/>
                <w:sz w:val="16"/>
                <w:szCs w:val="16"/>
                <w:lang w:eastAsia="es-AR"/>
              </w:rPr>
            </w:pPr>
            <w:r>
              <w:rPr>
                <w:rFonts w:ascii="Arial" w:hAnsi="Arial" w:cs="Arial"/>
                <w:sz w:val="16"/>
                <w:szCs w:val="16"/>
              </w:rPr>
              <w:t>-</w:t>
            </w:r>
          </w:p>
        </w:tc>
      </w:tr>
      <w:tr w:rsidR="00407B2D" w:rsidRPr="000A0696" w14:paraId="4B01465D" w14:textId="77777777" w:rsidTr="006E1AF7">
        <w:trPr>
          <w:trHeight w:val="510"/>
        </w:trPr>
        <w:tc>
          <w:tcPr>
            <w:tcW w:w="5621" w:type="dxa"/>
            <w:tcBorders>
              <w:top w:val="nil"/>
              <w:left w:val="nil"/>
              <w:bottom w:val="nil"/>
              <w:right w:val="nil"/>
            </w:tcBorders>
            <w:shd w:val="clear" w:color="auto" w:fill="auto"/>
            <w:vAlign w:val="center"/>
            <w:hideMark/>
          </w:tcPr>
          <w:p w14:paraId="337B0B09" w14:textId="588A2FE4" w:rsidR="00407B2D" w:rsidRPr="000A0696" w:rsidRDefault="00407B2D" w:rsidP="00407B2D">
            <w:pPr>
              <w:rPr>
                <w:rFonts w:ascii="Arial" w:hAnsi="Arial" w:cs="Arial"/>
                <w:sz w:val="16"/>
                <w:szCs w:val="16"/>
                <w:lang w:eastAsia="es-AR"/>
              </w:rPr>
            </w:pPr>
            <w:r w:rsidRPr="000A0696">
              <w:rPr>
                <w:rFonts w:ascii="Arial" w:hAnsi="Arial" w:cs="Arial"/>
                <w:sz w:val="16"/>
                <w:szCs w:val="16"/>
                <w:lang w:eastAsia="es-AR"/>
              </w:rPr>
              <w:t xml:space="preserve">Promedio ponderado de acciones ordinarias en circulación del </w:t>
            </w:r>
            <w:r>
              <w:rPr>
                <w:rFonts w:ascii="Arial" w:hAnsi="Arial" w:cs="Arial"/>
                <w:sz w:val="16"/>
                <w:szCs w:val="16"/>
                <w:lang w:eastAsia="es-AR"/>
              </w:rPr>
              <w:t>ejercicio</w:t>
            </w:r>
            <w:r w:rsidRPr="000A0696">
              <w:rPr>
                <w:rFonts w:ascii="Arial" w:hAnsi="Arial" w:cs="Arial"/>
                <w:sz w:val="16"/>
                <w:szCs w:val="16"/>
                <w:lang w:eastAsia="es-AR"/>
              </w:rPr>
              <w:t xml:space="preserve"> ajustado por el efecto de la dilución</w:t>
            </w:r>
          </w:p>
        </w:tc>
        <w:tc>
          <w:tcPr>
            <w:tcW w:w="1160" w:type="dxa"/>
            <w:tcBorders>
              <w:top w:val="nil"/>
              <w:left w:val="nil"/>
              <w:bottom w:val="nil"/>
              <w:right w:val="nil"/>
            </w:tcBorders>
            <w:vAlign w:val="center"/>
          </w:tcPr>
          <w:p w14:paraId="1C50704C" w14:textId="4A286371" w:rsidR="00407B2D" w:rsidRDefault="00407B2D">
            <w:pPr>
              <w:jc w:val="right"/>
              <w:rPr>
                <w:rFonts w:ascii="Arial" w:hAnsi="Arial" w:cs="Arial"/>
                <w:sz w:val="16"/>
                <w:szCs w:val="16"/>
              </w:rPr>
            </w:pPr>
            <w:r>
              <w:rPr>
                <w:rFonts w:ascii="Arial" w:hAnsi="Arial" w:cs="Arial"/>
                <w:sz w:val="16"/>
                <w:szCs w:val="16"/>
              </w:rPr>
              <w:t xml:space="preserve">818.782 </w:t>
            </w:r>
          </w:p>
        </w:tc>
        <w:tc>
          <w:tcPr>
            <w:tcW w:w="1160" w:type="dxa"/>
            <w:tcBorders>
              <w:top w:val="nil"/>
              <w:left w:val="nil"/>
              <w:bottom w:val="nil"/>
              <w:right w:val="nil"/>
            </w:tcBorders>
            <w:shd w:val="clear" w:color="auto" w:fill="auto"/>
            <w:vAlign w:val="center"/>
          </w:tcPr>
          <w:p w14:paraId="039A216F" w14:textId="23D3D24B" w:rsidR="00407B2D" w:rsidRPr="008435AA" w:rsidRDefault="00407B2D">
            <w:pPr>
              <w:jc w:val="right"/>
              <w:rPr>
                <w:rFonts w:ascii="Arial" w:hAnsi="Arial" w:cs="Arial"/>
                <w:sz w:val="16"/>
                <w:szCs w:val="16"/>
                <w:lang w:eastAsia="es-AR"/>
              </w:rPr>
            </w:pPr>
            <w:r>
              <w:rPr>
                <w:rFonts w:ascii="Arial" w:hAnsi="Arial" w:cs="Arial"/>
                <w:sz w:val="16"/>
                <w:szCs w:val="16"/>
              </w:rPr>
              <w:t>767.948</w:t>
            </w:r>
          </w:p>
        </w:tc>
      </w:tr>
      <w:tr w:rsidR="00407B2D" w:rsidRPr="000A0696" w14:paraId="108DBBF6" w14:textId="77777777" w:rsidTr="006E1AF7">
        <w:trPr>
          <w:trHeight w:val="285"/>
        </w:trPr>
        <w:tc>
          <w:tcPr>
            <w:tcW w:w="5621" w:type="dxa"/>
            <w:tcBorders>
              <w:top w:val="nil"/>
              <w:left w:val="nil"/>
              <w:bottom w:val="nil"/>
              <w:right w:val="nil"/>
            </w:tcBorders>
            <w:shd w:val="clear" w:color="auto" w:fill="auto"/>
            <w:vAlign w:val="bottom"/>
            <w:hideMark/>
          </w:tcPr>
          <w:p w14:paraId="0AF5299E" w14:textId="77777777" w:rsidR="00407B2D" w:rsidRPr="000A0696" w:rsidRDefault="00407B2D" w:rsidP="00407B2D">
            <w:pPr>
              <w:rPr>
                <w:rFonts w:ascii="Arial" w:hAnsi="Arial" w:cs="Arial"/>
                <w:sz w:val="16"/>
                <w:szCs w:val="16"/>
                <w:lang w:eastAsia="es-AR"/>
              </w:rPr>
            </w:pPr>
          </w:p>
        </w:tc>
        <w:tc>
          <w:tcPr>
            <w:tcW w:w="1160" w:type="dxa"/>
            <w:tcBorders>
              <w:top w:val="nil"/>
              <w:left w:val="nil"/>
              <w:bottom w:val="nil"/>
              <w:right w:val="nil"/>
            </w:tcBorders>
            <w:vAlign w:val="center"/>
          </w:tcPr>
          <w:p w14:paraId="34A50212" w14:textId="3A7249BA" w:rsidR="00407B2D" w:rsidRPr="008435AA" w:rsidRDefault="00407B2D">
            <w:pPr>
              <w:jc w:val="right"/>
              <w:rPr>
                <w:rFonts w:ascii="Arial" w:hAnsi="Arial" w:cs="Arial"/>
                <w:sz w:val="16"/>
                <w:szCs w:val="16"/>
                <w:lang w:eastAsia="es-AR"/>
              </w:rPr>
            </w:pPr>
          </w:p>
        </w:tc>
        <w:tc>
          <w:tcPr>
            <w:tcW w:w="1160" w:type="dxa"/>
            <w:tcBorders>
              <w:top w:val="nil"/>
              <w:left w:val="nil"/>
              <w:bottom w:val="nil"/>
              <w:right w:val="nil"/>
            </w:tcBorders>
            <w:shd w:val="clear" w:color="auto" w:fill="auto"/>
            <w:vAlign w:val="center"/>
          </w:tcPr>
          <w:p w14:paraId="0D5EFFF3" w14:textId="77777777" w:rsidR="00407B2D" w:rsidRPr="008435AA" w:rsidRDefault="00407B2D">
            <w:pPr>
              <w:jc w:val="right"/>
              <w:rPr>
                <w:rFonts w:ascii="Arial" w:hAnsi="Arial" w:cs="Arial"/>
                <w:sz w:val="16"/>
                <w:szCs w:val="16"/>
                <w:lang w:eastAsia="es-AR"/>
              </w:rPr>
            </w:pPr>
          </w:p>
        </w:tc>
      </w:tr>
      <w:tr w:rsidR="00407B2D" w:rsidRPr="000A0696" w14:paraId="15067BA7" w14:textId="77777777" w:rsidTr="006E1AF7">
        <w:trPr>
          <w:trHeight w:val="285"/>
        </w:trPr>
        <w:tc>
          <w:tcPr>
            <w:tcW w:w="5621" w:type="dxa"/>
            <w:tcBorders>
              <w:top w:val="nil"/>
              <w:left w:val="nil"/>
              <w:bottom w:val="nil"/>
              <w:right w:val="nil"/>
            </w:tcBorders>
            <w:shd w:val="clear" w:color="auto" w:fill="auto"/>
            <w:vAlign w:val="bottom"/>
            <w:hideMark/>
          </w:tcPr>
          <w:p w14:paraId="28708610" w14:textId="77777777" w:rsidR="00407B2D" w:rsidRPr="000A0696" w:rsidRDefault="00407B2D" w:rsidP="00407B2D">
            <w:pPr>
              <w:rPr>
                <w:rFonts w:ascii="Arial" w:hAnsi="Arial" w:cs="Arial"/>
                <w:b/>
                <w:bCs/>
                <w:sz w:val="16"/>
                <w:szCs w:val="16"/>
                <w:lang w:eastAsia="es-AR"/>
              </w:rPr>
            </w:pPr>
            <w:r w:rsidRPr="000A0696">
              <w:rPr>
                <w:rFonts w:ascii="Arial" w:hAnsi="Arial" w:cs="Arial"/>
                <w:b/>
                <w:bCs/>
                <w:sz w:val="16"/>
                <w:szCs w:val="16"/>
                <w:lang w:eastAsia="es-AR"/>
              </w:rPr>
              <w:t>Ganancia por acción Básica</w:t>
            </w:r>
          </w:p>
        </w:tc>
        <w:tc>
          <w:tcPr>
            <w:tcW w:w="1160" w:type="dxa"/>
            <w:tcBorders>
              <w:top w:val="nil"/>
              <w:left w:val="nil"/>
              <w:bottom w:val="nil"/>
              <w:right w:val="nil"/>
            </w:tcBorders>
            <w:vAlign w:val="center"/>
          </w:tcPr>
          <w:p w14:paraId="61C0495F" w14:textId="0A7BCAE8" w:rsidR="00407B2D" w:rsidRDefault="00407B2D">
            <w:pPr>
              <w:jc w:val="right"/>
              <w:rPr>
                <w:rFonts w:ascii="Arial" w:hAnsi="Arial" w:cs="Arial"/>
                <w:sz w:val="16"/>
                <w:szCs w:val="16"/>
              </w:rPr>
            </w:pPr>
            <w:r>
              <w:rPr>
                <w:rFonts w:ascii="Arial" w:hAnsi="Arial" w:cs="Arial"/>
                <w:sz w:val="16"/>
                <w:szCs w:val="16"/>
              </w:rPr>
              <w:t>4,06</w:t>
            </w:r>
          </w:p>
        </w:tc>
        <w:tc>
          <w:tcPr>
            <w:tcW w:w="1160" w:type="dxa"/>
            <w:tcBorders>
              <w:top w:val="nil"/>
              <w:left w:val="nil"/>
              <w:bottom w:val="nil"/>
              <w:right w:val="nil"/>
            </w:tcBorders>
            <w:shd w:val="clear" w:color="auto" w:fill="auto"/>
            <w:vAlign w:val="center"/>
          </w:tcPr>
          <w:p w14:paraId="7F87BA64" w14:textId="542892F5" w:rsidR="00407B2D" w:rsidRPr="008435AA" w:rsidRDefault="00407B2D">
            <w:pPr>
              <w:jc w:val="right"/>
              <w:rPr>
                <w:rFonts w:ascii="Arial" w:hAnsi="Arial" w:cs="Arial"/>
                <w:sz w:val="16"/>
                <w:szCs w:val="16"/>
                <w:lang w:eastAsia="es-AR"/>
              </w:rPr>
            </w:pPr>
            <w:r>
              <w:rPr>
                <w:rFonts w:ascii="Arial" w:hAnsi="Arial" w:cs="Arial"/>
                <w:sz w:val="16"/>
                <w:szCs w:val="16"/>
              </w:rPr>
              <w:t>2,18</w:t>
            </w:r>
          </w:p>
        </w:tc>
      </w:tr>
      <w:tr w:rsidR="00407B2D" w:rsidRPr="000A0696" w14:paraId="3FFFB2F2" w14:textId="77777777" w:rsidTr="006E1AF7">
        <w:trPr>
          <w:trHeight w:val="285"/>
        </w:trPr>
        <w:tc>
          <w:tcPr>
            <w:tcW w:w="5621" w:type="dxa"/>
            <w:tcBorders>
              <w:top w:val="nil"/>
              <w:left w:val="nil"/>
              <w:bottom w:val="nil"/>
              <w:right w:val="nil"/>
            </w:tcBorders>
            <w:shd w:val="clear" w:color="auto" w:fill="auto"/>
            <w:vAlign w:val="bottom"/>
            <w:hideMark/>
          </w:tcPr>
          <w:p w14:paraId="34C269BF" w14:textId="77777777" w:rsidR="00407B2D" w:rsidRPr="000A0696" w:rsidRDefault="00407B2D" w:rsidP="00407B2D">
            <w:pPr>
              <w:rPr>
                <w:rFonts w:ascii="Arial" w:hAnsi="Arial" w:cs="Arial"/>
                <w:b/>
                <w:bCs/>
                <w:sz w:val="16"/>
                <w:szCs w:val="16"/>
                <w:lang w:val="es-ES_tradnl" w:eastAsia="es-AR"/>
              </w:rPr>
            </w:pPr>
            <w:r w:rsidRPr="000A0696">
              <w:rPr>
                <w:rFonts w:ascii="Arial" w:hAnsi="Arial" w:cs="Arial"/>
                <w:b/>
                <w:bCs/>
                <w:sz w:val="16"/>
                <w:szCs w:val="16"/>
                <w:lang w:eastAsia="es-AR"/>
              </w:rPr>
              <w:t>Ganancia por acción Diluida</w:t>
            </w:r>
          </w:p>
        </w:tc>
        <w:tc>
          <w:tcPr>
            <w:tcW w:w="1160" w:type="dxa"/>
            <w:tcBorders>
              <w:top w:val="nil"/>
              <w:left w:val="nil"/>
              <w:bottom w:val="nil"/>
              <w:right w:val="nil"/>
            </w:tcBorders>
            <w:vAlign w:val="center"/>
          </w:tcPr>
          <w:p w14:paraId="25CBC09A" w14:textId="4A23EC7D" w:rsidR="00407B2D" w:rsidRDefault="00407B2D">
            <w:pPr>
              <w:jc w:val="right"/>
              <w:rPr>
                <w:rFonts w:ascii="Arial" w:hAnsi="Arial" w:cs="Arial"/>
                <w:sz w:val="16"/>
                <w:szCs w:val="16"/>
              </w:rPr>
            </w:pPr>
            <w:r>
              <w:rPr>
                <w:rFonts w:ascii="Arial" w:hAnsi="Arial" w:cs="Arial"/>
                <w:sz w:val="16"/>
                <w:szCs w:val="16"/>
              </w:rPr>
              <w:t>4,06</w:t>
            </w:r>
          </w:p>
        </w:tc>
        <w:tc>
          <w:tcPr>
            <w:tcW w:w="1160" w:type="dxa"/>
            <w:tcBorders>
              <w:top w:val="nil"/>
              <w:left w:val="nil"/>
              <w:bottom w:val="nil"/>
              <w:right w:val="nil"/>
            </w:tcBorders>
            <w:shd w:val="clear" w:color="auto" w:fill="auto"/>
            <w:vAlign w:val="center"/>
          </w:tcPr>
          <w:p w14:paraId="67E7BB0C" w14:textId="4D304245" w:rsidR="00407B2D" w:rsidRPr="008435AA" w:rsidRDefault="00407B2D">
            <w:pPr>
              <w:jc w:val="right"/>
              <w:rPr>
                <w:rFonts w:ascii="Arial" w:hAnsi="Arial" w:cs="Arial"/>
                <w:sz w:val="16"/>
                <w:szCs w:val="16"/>
                <w:lang w:eastAsia="es-AR"/>
              </w:rPr>
            </w:pPr>
            <w:r>
              <w:rPr>
                <w:rFonts w:ascii="Arial" w:hAnsi="Arial" w:cs="Arial"/>
                <w:sz w:val="16"/>
                <w:szCs w:val="16"/>
              </w:rPr>
              <w:t>2,18</w:t>
            </w:r>
          </w:p>
        </w:tc>
      </w:tr>
    </w:tbl>
    <w:p w14:paraId="7BA7EB0D" w14:textId="77777777" w:rsidR="00287667" w:rsidRPr="00701F32" w:rsidRDefault="00287667" w:rsidP="00287667">
      <w:pPr>
        <w:tabs>
          <w:tab w:val="left" w:pos="1365"/>
        </w:tabs>
        <w:rPr>
          <w:sz w:val="20"/>
          <w:lang w:eastAsia="es-AR"/>
        </w:rPr>
      </w:pPr>
    </w:p>
    <w:p w14:paraId="73F15F09" w14:textId="566542FD" w:rsidR="00F55C3D" w:rsidRPr="00701F32" w:rsidRDefault="00F55C3D" w:rsidP="005C2DE7">
      <w:pPr>
        <w:tabs>
          <w:tab w:val="left" w:pos="1365"/>
        </w:tabs>
        <w:rPr>
          <w:lang w:val="es-ES_tradnl"/>
        </w:rPr>
      </w:pPr>
    </w:p>
    <w:p w14:paraId="0DD7CC4A" w14:textId="0EC11F16" w:rsidR="00F55C3D" w:rsidRPr="00701F32" w:rsidRDefault="00F55C3D" w:rsidP="005C2DE7">
      <w:pPr>
        <w:tabs>
          <w:tab w:val="left" w:pos="1365"/>
        </w:tabs>
        <w:rPr>
          <w:lang w:val="es-ES_tradnl"/>
        </w:rPr>
        <w:sectPr w:rsidR="00F55C3D" w:rsidRPr="00701F32" w:rsidSect="007045C3">
          <w:headerReference w:type="default" r:id="rId46"/>
          <w:pgSz w:w="11907" w:h="16839" w:code="9"/>
          <w:pgMar w:top="1418" w:right="1701" w:bottom="1418" w:left="1701" w:header="567" w:footer="0" w:gutter="0"/>
          <w:paperSrc w:first="256" w:other="256"/>
          <w:cols w:space="720"/>
          <w:docGrid w:linePitch="326"/>
        </w:sectPr>
      </w:pPr>
    </w:p>
    <w:tbl>
      <w:tblPr>
        <w:tblW w:w="4960" w:type="pct"/>
        <w:tblLayout w:type="fixed"/>
        <w:tblCellMar>
          <w:left w:w="70" w:type="dxa"/>
          <w:right w:w="70" w:type="dxa"/>
        </w:tblCellMar>
        <w:tblLook w:val="04A0" w:firstRow="1" w:lastRow="0" w:firstColumn="1" w:lastColumn="0" w:noHBand="0" w:noVBand="1"/>
      </w:tblPr>
      <w:tblGrid>
        <w:gridCol w:w="6025"/>
        <w:gridCol w:w="1276"/>
        <w:gridCol w:w="1275"/>
      </w:tblGrid>
      <w:tr w:rsidR="00877006" w:rsidRPr="000A0696" w14:paraId="3AE42781" w14:textId="77777777" w:rsidTr="00AD0051">
        <w:trPr>
          <w:trHeight w:val="1023"/>
        </w:trPr>
        <w:tc>
          <w:tcPr>
            <w:tcW w:w="6025" w:type="dxa"/>
            <w:tcBorders>
              <w:top w:val="single" w:sz="4" w:space="0" w:color="363639"/>
              <w:left w:val="single" w:sz="4" w:space="0" w:color="363639"/>
              <w:bottom w:val="single" w:sz="4" w:space="0" w:color="363639"/>
              <w:right w:val="nil"/>
            </w:tcBorders>
            <w:shd w:val="clear" w:color="auto" w:fill="BFBFBF" w:themeFill="background1" w:themeFillShade="BF"/>
            <w:noWrap/>
            <w:vAlign w:val="center"/>
            <w:hideMark/>
          </w:tcPr>
          <w:p w14:paraId="04D77F9B" w14:textId="77777777" w:rsidR="00877006" w:rsidRPr="000A0696" w:rsidRDefault="00877006" w:rsidP="008201EC">
            <w:pPr>
              <w:jc w:val="center"/>
              <w:rPr>
                <w:rFonts w:ascii="Arial" w:hAnsi="Arial" w:cs="Arial"/>
                <w:b/>
                <w:bCs/>
                <w:sz w:val="16"/>
                <w:szCs w:val="16"/>
                <w:lang w:eastAsia="es-AR"/>
              </w:rPr>
            </w:pPr>
            <w:r w:rsidRPr="000A0696">
              <w:rPr>
                <w:rFonts w:ascii="Arial" w:hAnsi="Arial" w:cs="Arial"/>
                <w:b/>
                <w:bCs/>
                <w:sz w:val="16"/>
                <w:szCs w:val="16"/>
                <w:lang w:eastAsia="es-AR"/>
              </w:rPr>
              <w:t>Conceptos</w:t>
            </w: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2D839810" w14:textId="411583B6" w:rsidR="00877006" w:rsidRDefault="00877006" w:rsidP="008201EC">
            <w:pPr>
              <w:jc w:val="center"/>
              <w:rPr>
                <w:rFonts w:ascii="Arial" w:hAnsi="Arial" w:cs="Arial"/>
                <w:b/>
                <w:bCs/>
                <w:sz w:val="16"/>
                <w:szCs w:val="16"/>
                <w:lang w:eastAsia="es-AR"/>
              </w:rPr>
            </w:pPr>
            <w:r>
              <w:rPr>
                <w:rFonts w:ascii="Arial" w:hAnsi="Arial" w:cs="Arial"/>
                <w:b/>
                <w:bCs/>
                <w:sz w:val="16"/>
                <w:szCs w:val="16"/>
                <w:lang w:eastAsia="es-AR"/>
              </w:rPr>
              <w:t>Al</w:t>
            </w:r>
          </w:p>
          <w:p w14:paraId="2997AFF3" w14:textId="0F6F65E8" w:rsidR="00877006" w:rsidRPr="000A0696" w:rsidRDefault="00877006" w:rsidP="008201EC">
            <w:pPr>
              <w:jc w:val="center"/>
              <w:rPr>
                <w:rFonts w:ascii="Arial" w:hAnsi="Arial" w:cs="Arial"/>
                <w:b/>
                <w:bCs/>
                <w:sz w:val="16"/>
                <w:szCs w:val="16"/>
                <w:lang w:eastAsia="es-AR"/>
              </w:rPr>
            </w:pPr>
            <w:r>
              <w:rPr>
                <w:rFonts w:ascii="Arial" w:hAnsi="Arial" w:cs="Arial"/>
                <w:b/>
                <w:bCs/>
                <w:sz w:val="16"/>
                <w:szCs w:val="16"/>
                <w:lang w:eastAsia="es-AR"/>
              </w:rPr>
              <w:t>31/12/2019</w:t>
            </w:r>
          </w:p>
        </w:tc>
        <w:tc>
          <w:tcPr>
            <w:tcW w:w="1275" w:type="dxa"/>
            <w:tcBorders>
              <w:top w:val="single" w:sz="4" w:space="0" w:color="auto"/>
              <w:left w:val="single" w:sz="4" w:space="0" w:color="auto"/>
              <w:bottom w:val="single" w:sz="4" w:space="0" w:color="363639"/>
              <w:right w:val="single" w:sz="4" w:space="0" w:color="auto"/>
            </w:tcBorders>
            <w:shd w:val="clear" w:color="auto" w:fill="BFBFBF" w:themeFill="background1" w:themeFillShade="BF"/>
            <w:vAlign w:val="center"/>
            <w:hideMark/>
          </w:tcPr>
          <w:p w14:paraId="009BC6C8" w14:textId="3E41AA57" w:rsidR="00877006" w:rsidRDefault="00877006" w:rsidP="008201EC">
            <w:pPr>
              <w:jc w:val="center"/>
              <w:rPr>
                <w:rFonts w:ascii="Arial" w:hAnsi="Arial" w:cs="Arial"/>
                <w:b/>
                <w:bCs/>
                <w:sz w:val="16"/>
                <w:szCs w:val="16"/>
                <w:lang w:eastAsia="es-AR"/>
              </w:rPr>
            </w:pPr>
            <w:r>
              <w:rPr>
                <w:rFonts w:ascii="Arial" w:hAnsi="Arial" w:cs="Arial"/>
                <w:b/>
                <w:bCs/>
                <w:sz w:val="16"/>
                <w:szCs w:val="16"/>
                <w:lang w:eastAsia="es-AR"/>
              </w:rPr>
              <w:t>Al</w:t>
            </w:r>
          </w:p>
          <w:p w14:paraId="7C35E6CC" w14:textId="708DD901" w:rsidR="00877006" w:rsidRPr="000A0696" w:rsidRDefault="00877006" w:rsidP="008201EC">
            <w:pPr>
              <w:jc w:val="center"/>
              <w:rPr>
                <w:rFonts w:ascii="Arial" w:hAnsi="Arial" w:cs="Arial"/>
                <w:b/>
                <w:bCs/>
                <w:sz w:val="16"/>
                <w:szCs w:val="16"/>
                <w:lang w:eastAsia="es-AR"/>
              </w:rPr>
            </w:pPr>
            <w:r>
              <w:rPr>
                <w:rFonts w:ascii="Arial" w:hAnsi="Arial" w:cs="Arial"/>
                <w:b/>
                <w:bCs/>
                <w:sz w:val="16"/>
                <w:szCs w:val="16"/>
                <w:lang w:eastAsia="es-AR"/>
              </w:rPr>
              <w:t>31/12/2018</w:t>
            </w:r>
          </w:p>
        </w:tc>
      </w:tr>
      <w:tr w:rsidR="00410DCC" w:rsidRPr="000A0696" w14:paraId="0F11A937" w14:textId="77777777" w:rsidTr="00410DCC">
        <w:trPr>
          <w:trHeight w:val="285"/>
        </w:trPr>
        <w:tc>
          <w:tcPr>
            <w:tcW w:w="6025" w:type="dxa"/>
            <w:tcBorders>
              <w:top w:val="nil"/>
              <w:left w:val="nil"/>
              <w:bottom w:val="nil"/>
              <w:right w:val="nil"/>
            </w:tcBorders>
            <w:shd w:val="clear" w:color="auto" w:fill="auto"/>
            <w:vAlign w:val="bottom"/>
            <w:hideMark/>
          </w:tcPr>
          <w:p w14:paraId="4C7C7040" w14:textId="52304AA4" w:rsidR="00410DCC" w:rsidRPr="000A0696" w:rsidRDefault="00410DCC" w:rsidP="00410DCC">
            <w:pPr>
              <w:rPr>
                <w:rFonts w:ascii="Arial" w:hAnsi="Arial" w:cs="Arial"/>
                <w:b/>
                <w:bCs/>
                <w:sz w:val="16"/>
                <w:szCs w:val="16"/>
                <w:lang w:eastAsia="es-AR"/>
              </w:rPr>
            </w:pPr>
            <w:r w:rsidRPr="000A0696">
              <w:rPr>
                <w:rFonts w:ascii="Arial" w:hAnsi="Arial" w:cs="Arial"/>
                <w:b/>
                <w:bCs/>
                <w:sz w:val="16"/>
                <w:szCs w:val="16"/>
                <w:lang w:eastAsia="es-AR"/>
              </w:rPr>
              <w:t xml:space="preserve">Resultado </w:t>
            </w:r>
            <w:r>
              <w:rPr>
                <w:rFonts w:ascii="Arial" w:hAnsi="Arial" w:cs="Arial"/>
                <w:b/>
                <w:bCs/>
                <w:sz w:val="16"/>
                <w:szCs w:val="16"/>
                <w:lang w:eastAsia="es-AR"/>
              </w:rPr>
              <w:t>neto del ejercicio</w:t>
            </w:r>
          </w:p>
        </w:tc>
        <w:tc>
          <w:tcPr>
            <w:tcW w:w="1276" w:type="dxa"/>
            <w:tcBorders>
              <w:top w:val="single" w:sz="4" w:space="0" w:color="auto"/>
              <w:left w:val="nil"/>
              <w:bottom w:val="nil"/>
              <w:right w:val="nil"/>
            </w:tcBorders>
            <w:shd w:val="clear" w:color="auto" w:fill="auto"/>
            <w:noWrap/>
            <w:vAlign w:val="bottom"/>
          </w:tcPr>
          <w:p w14:paraId="00BE4662" w14:textId="764028DB" w:rsidR="00410DCC" w:rsidRPr="00BF51C8" w:rsidRDefault="00410DCC" w:rsidP="00410DCC">
            <w:pPr>
              <w:jc w:val="right"/>
              <w:rPr>
                <w:rFonts w:ascii="Arial" w:hAnsi="Arial" w:cs="Arial"/>
                <w:sz w:val="16"/>
                <w:szCs w:val="16"/>
                <w:lang w:eastAsia="es-AR"/>
              </w:rPr>
            </w:pPr>
            <w:r>
              <w:rPr>
                <w:rFonts w:ascii="Arial" w:hAnsi="Arial" w:cs="Arial"/>
                <w:sz w:val="16"/>
                <w:szCs w:val="16"/>
              </w:rPr>
              <w:t>3.3</w:t>
            </w:r>
            <w:r w:rsidR="0086456F">
              <w:rPr>
                <w:rFonts w:ascii="Arial" w:hAnsi="Arial" w:cs="Arial"/>
                <w:sz w:val="16"/>
                <w:szCs w:val="16"/>
              </w:rPr>
              <w:t>20</w:t>
            </w:r>
            <w:r>
              <w:rPr>
                <w:rFonts w:ascii="Arial" w:hAnsi="Arial" w:cs="Arial"/>
                <w:sz w:val="16"/>
                <w:szCs w:val="16"/>
              </w:rPr>
              <w:t>.</w:t>
            </w:r>
            <w:r w:rsidR="0086456F">
              <w:rPr>
                <w:rFonts w:ascii="Arial" w:hAnsi="Arial" w:cs="Arial"/>
                <w:sz w:val="16"/>
                <w:szCs w:val="16"/>
              </w:rPr>
              <w:t>4</w:t>
            </w:r>
            <w:r>
              <w:rPr>
                <w:rFonts w:ascii="Arial" w:hAnsi="Arial" w:cs="Arial"/>
                <w:sz w:val="16"/>
                <w:szCs w:val="16"/>
              </w:rPr>
              <w:t>1</w:t>
            </w:r>
            <w:r w:rsidR="0086456F">
              <w:rPr>
                <w:rFonts w:ascii="Arial" w:hAnsi="Arial" w:cs="Arial"/>
                <w:sz w:val="16"/>
                <w:szCs w:val="16"/>
              </w:rPr>
              <w:t>6</w:t>
            </w:r>
          </w:p>
        </w:tc>
        <w:tc>
          <w:tcPr>
            <w:tcW w:w="1275" w:type="dxa"/>
            <w:tcBorders>
              <w:top w:val="nil"/>
              <w:left w:val="nil"/>
              <w:bottom w:val="nil"/>
              <w:right w:val="nil"/>
            </w:tcBorders>
            <w:shd w:val="clear" w:color="auto" w:fill="auto"/>
            <w:noWrap/>
            <w:vAlign w:val="bottom"/>
          </w:tcPr>
          <w:p w14:paraId="4B18BCD9" w14:textId="4085815F" w:rsidR="00410DCC" w:rsidRPr="00BF51C8" w:rsidRDefault="00410DCC" w:rsidP="00410DCC">
            <w:pPr>
              <w:jc w:val="right"/>
              <w:rPr>
                <w:rFonts w:ascii="Arial" w:hAnsi="Arial" w:cs="Arial"/>
                <w:sz w:val="16"/>
                <w:szCs w:val="16"/>
                <w:lang w:eastAsia="es-AR"/>
              </w:rPr>
            </w:pPr>
            <w:r w:rsidRPr="00594E4D">
              <w:rPr>
                <w:rFonts w:ascii="Arial" w:hAnsi="Arial" w:cs="Arial"/>
                <w:sz w:val="16"/>
                <w:szCs w:val="16"/>
              </w:rPr>
              <w:t>1.670.515</w:t>
            </w:r>
          </w:p>
        </w:tc>
      </w:tr>
      <w:tr w:rsidR="00410DCC" w:rsidRPr="000A0696" w14:paraId="7B7452A3" w14:textId="77777777" w:rsidTr="00410DCC">
        <w:trPr>
          <w:trHeight w:val="80"/>
        </w:trPr>
        <w:tc>
          <w:tcPr>
            <w:tcW w:w="6025" w:type="dxa"/>
            <w:tcBorders>
              <w:top w:val="nil"/>
              <w:left w:val="nil"/>
              <w:bottom w:val="nil"/>
              <w:right w:val="nil"/>
            </w:tcBorders>
            <w:shd w:val="clear" w:color="auto" w:fill="auto"/>
            <w:vAlign w:val="bottom"/>
            <w:hideMark/>
          </w:tcPr>
          <w:p w14:paraId="33954CA4" w14:textId="77777777" w:rsidR="00410DCC" w:rsidRPr="000A0696" w:rsidRDefault="00410DCC" w:rsidP="00410DCC">
            <w:pPr>
              <w:rPr>
                <w:rFonts w:ascii="Arial" w:hAnsi="Arial" w:cs="Arial"/>
                <w:sz w:val="10"/>
                <w:szCs w:val="10"/>
                <w:lang w:eastAsia="es-AR"/>
              </w:rPr>
            </w:pPr>
          </w:p>
        </w:tc>
        <w:tc>
          <w:tcPr>
            <w:tcW w:w="1276" w:type="dxa"/>
            <w:tcBorders>
              <w:top w:val="nil"/>
              <w:left w:val="nil"/>
              <w:bottom w:val="nil"/>
              <w:right w:val="nil"/>
            </w:tcBorders>
            <w:shd w:val="clear" w:color="auto" w:fill="auto"/>
            <w:noWrap/>
            <w:vAlign w:val="bottom"/>
          </w:tcPr>
          <w:p w14:paraId="12054954" w14:textId="77582380" w:rsidR="00410DCC" w:rsidRPr="00594E4D" w:rsidRDefault="00410DCC" w:rsidP="00410DCC">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bottom"/>
          </w:tcPr>
          <w:p w14:paraId="380A3A88" w14:textId="6B88BA18" w:rsidR="00410DCC" w:rsidRPr="00594E4D" w:rsidRDefault="00410DCC" w:rsidP="00410DCC">
            <w:pPr>
              <w:jc w:val="right"/>
              <w:rPr>
                <w:rFonts w:ascii="Arial" w:hAnsi="Arial" w:cs="Arial"/>
                <w:sz w:val="16"/>
                <w:szCs w:val="16"/>
                <w:lang w:eastAsia="es-AR"/>
              </w:rPr>
            </w:pPr>
          </w:p>
        </w:tc>
      </w:tr>
      <w:tr w:rsidR="00410DCC" w:rsidRPr="000A0696" w14:paraId="00771970" w14:textId="77777777" w:rsidTr="00410DCC">
        <w:trPr>
          <w:trHeight w:val="510"/>
        </w:trPr>
        <w:tc>
          <w:tcPr>
            <w:tcW w:w="6025" w:type="dxa"/>
            <w:tcBorders>
              <w:top w:val="nil"/>
              <w:left w:val="nil"/>
              <w:bottom w:val="nil"/>
              <w:right w:val="nil"/>
            </w:tcBorders>
            <w:shd w:val="clear" w:color="auto" w:fill="auto"/>
            <w:vAlign w:val="bottom"/>
            <w:hideMark/>
          </w:tcPr>
          <w:p w14:paraId="3893323F" w14:textId="567CCAF3" w:rsidR="00410DCC" w:rsidRPr="000A0696" w:rsidRDefault="00410DCC" w:rsidP="00410DCC">
            <w:pPr>
              <w:rPr>
                <w:rFonts w:ascii="Arial" w:hAnsi="Arial" w:cs="Arial"/>
                <w:b/>
                <w:bCs/>
                <w:sz w:val="16"/>
                <w:szCs w:val="16"/>
                <w:lang w:eastAsia="es-AR"/>
              </w:rPr>
            </w:pPr>
            <w:r w:rsidRPr="000A0696">
              <w:rPr>
                <w:rFonts w:ascii="Arial" w:hAnsi="Arial" w:cs="Arial"/>
                <w:b/>
                <w:bCs/>
                <w:sz w:val="16"/>
                <w:szCs w:val="16"/>
                <w:lang w:eastAsia="es-AR"/>
              </w:rPr>
              <w:t xml:space="preserve">Componentes de Otro Resultado Integral que no se reclasificarán al resultado del </w:t>
            </w:r>
            <w:r>
              <w:rPr>
                <w:rFonts w:ascii="Arial" w:hAnsi="Arial" w:cs="Arial"/>
                <w:b/>
                <w:bCs/>
                <w:sz w:val="16"/>
                <w:szCs w:val="16"/>
                <w:lang w:eastAsia="es-AR"/>
              </w:rPr>
              <w:t>ejercicio</w:t>
            </w:r>
          </w:p>
        </w:tc>
        <w:tc>
          <w:tcPr>
            <w:tcW w:w="1276" w:type="dxa"/>
            <w:tcBorders>
              <w:top w:val="nil"/>
              <w:left w:val="nil"/>
              <w:bottom w:val="nil"/>
              <w:right w:val="nil"/>
            </w:tcBorders>
            <w:shd w:val="clear" w:color="auto" w:fill="auto"/>
            <w:noWrap/>
            <w:vAlign w:val="bottom"/>
          </w:tcPr>
          <w:p w14:paraId="1E851E7C" w14:textId="67D1F132" w:rsidR="00410DCC" w:rsidRPr="00594E4D" w:rsidRDefault="00410DCC" w:rsidP="00410DCC">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bottom"/>
          </w:tcPr>
          <w:p w14:paraId="3D36F58E" w14:textId="2A556B89" w:rsidR="00410DCC" w:rsidRPr="00594E4D" w:rsidRDefault="00410DCC" w:rsidP="00410DCC">
            <w:pPr>
              <w:jc w:val="right"/>
              <w:rPr>
                <w:rFonts w:ascii="Arial" w:hAnsi="Arial" w:cs="Arial"/>
                <w:sz w:val="16"/>
                <w:szCs w:val="16"/>
                <w:lang w:eastAsia="es-AR"/>
              </w:rPr>
            </w:pPr>
          </w:p>
        </w:tc>
      </w:tr>
      <w:tr w:rsidR="00410DCC" w:rsidRPr="000A0696" w14:paraId="26DEFAC5" w14:textId="77777777" w:rsidTr="00410DCC">
        <w:trPr>
          <w:trHeight w:val="87"/>
        </w:trPr>
        <w:tc>
          <w:tcPr>
            <w:tcW w:w="6025" w:type="dxa"/>
            <w:tcBorders>
              <w:top w:val="nil"/>
              <w:left w:val="nil"/>
              <w:bottom w:val="nil"/>
              <w:right w:val="nil"/>
            </w:tcBorders>
            <w:shd w:val="clear" w:color="auto" w:fill="auto"/>
            <w:vAlign w:val="bottom"/>
            <w:hideMark/>
          </w:tcPr>
          <w:p w14:paraId="741790C9" w14:textId="77777777" w:rsidR="00410DCC" w:rsidRPr="000A0696" w:rsidRDefault="00410DCC" w:rsidP="00410DCC">
            <w:pPr>
              <w:rPr>
                <w:rFonts w:ascii="Arial" w:hAnsi="Arial" w:cs="Arial"/>
                <w:sz w:val="10"/>
                <w:szCs w:val="10"/>
                <w:lang w:eastAsia="es-AR"/>
              </w:rPr>
            </w:pPr>
          </w:p>
        </w:tc>
        <w:tc>
          <w:tcPr>
            <w:tcW w:w="1276" w:type="dxa"/>
            <w:tcBorders>
              <w:top w:val="nil"/>
              <w:left w:val="nil"/>
              <w:bottom w:val="nil"/>
              <w:right w:val="nil"/>
            </w:tcBorders>
            <w:shd w:val="clear" w:color="auto" w:fill="auto"/>
            <w:noWrap/>
            <w:vAlign w:val="bottom"/>
          </w:tcPr>
          <w:p w14:paraId="12E9DC5D" w14:textId="4C1E1CAD" w:rsidR="00410DCC" w:rsidRPr="00594E4D" w:rsidRDefault="00410DCC" w:rsidP="00410DCC">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bottom"/>
          </w:tcPr>
          <w:p w14:paraId="0F8971CA" w14:textId="09BAF4E1" w:rsidR="00410DCC" w:rsidRPr="00594E4D" w:rsidRDefault="00410DCC" w:rsidP="00410DCC">
            <w:pPr>
              <w:jc w:val="right"/>
              <w:rPr>
                <w:rFonts w:ascii="Arial" w:hAnsi="Arial" w:cs="Arial"/>
                <w:sz w:val="16"/>
                <w:szCs w:val="16"/>
                <w:lang w:eastAsia="es-AR"/>
              </w:rPr>
            </w:pPr>
          </w:p>
        </w:tc>
      </w:tr>
      <w:tr w:rsidR="00410DCC" w:rsidRPr="00BF51C8" w14:paraId="21FA93D6" w14:textId="77777777" w:rsidTr="00410DCC">
        <w:trPr>
          <w:trHeight w:val="185"/>
        </w:trPr>
        <w:tc>
          <w:tcPr>
            <w:tcW w:w="6025" w:type="dxa"/>
            <w:tcBorders>
              <w:top w:val="nil"/>
              <w:left w:val="nil"/>
              <w:bottom w:val="single" w:sz="4" w:space="0" w:color="auto"/>
              <w:right w:val="nil"/>
            </w:tcBorders>
            <w:shd w:val="clear" w:color="auto" w:fill="auto"/>
            <w:vAlign w:val="bottom"/>
            <w:hideMark/>
          </w:tcPr>
          <w:p w14:paraId="53472DBC" w14:textId="77777777" w:rsidR="00410DCC" w:rsidRPr="00BF51C8" w:rsidRDefault="00410DCC" w:rsidP="00410DCC">
            <w:pPr>
              <w:rPr>
                <w:rFonts w:ascii="Arial" w:hAnsi="Arial" w:cs="Arial"/>
                <w:b/>
                <w:bCs/>
                <w:sz w:val="16"/>
                <w:szCs w:val="16"/>
                <w:lang w:eastAsia="es-AR"/>
              </w:rPr>
            </w:pPr>
            <w:r w:rsidRPr="00BF51C8">
              <w:rPr>
                <w:rFonts w:ascii="Arial" w:hAnsi="Arial" w:cs="Arial"/>
                <w:b/>
                <w:bCs/>
                <w:sz w:val="16"/>
                <w:szCs w:val="16"/>
                <w:lang w:eastAsia="es-AR"/>
              </w:rPr>
              <w:t>Revaluación de propiedad, planta y equipo e intangibles</w:t>
            </w:r>
          </w:p>
        </w:tc>
        <w:tc>
          <w:tcPr>
            <w:tcW w:w="1276" w:type="dxa"/>
            <w:tcBorders>
              <w:top w:val="nil"/>
              <w:left w:val="nil"/>
              <w:bottom w:val="single" w:sz="4" w:space="0" w:color="auto"/>
              <w:right w:val="nil"/>
            </w:tcBorders>
            <w:shd w:val="clear" w:color="auto" w:fill="auto"/>
            <w:noWrap/>
            <w:vAlign w:val="bottom"/>
          </w:tcPr>
          <w:p w14:paraId="0C4718B3" w14:textId="166C5F15" w:rsidR="00410DCC" w:rsidRPr="00594E4D" w:rsidRDefault="00410DCC" w:rsidP="00410DCC">
            <w:pPr>
              <w:jc w:val="right"/>
              <w:rPr>
                <w:rFonts w:ascii="Arial" w:hAnsi="Arial" w:cs="Arial"/>
                <w:b/>
                <w:bCs/>
                <w:sz w:val="16"/>
                <w:szCs w:val="16"/>
                <w:lang w:eastAsia="es-AR"/>
              </w:rPr>
            </w:pPr>
            <w:r>
              <w:rPr>
                <w:rFonts w:ascii="Arial" w:hAnsi="Arial" w:cs="Arial"/>
                <w:b/>
                <w:bCs/>
                <w:sz w:val="16"/>
                <w:szCs w:val="16"/>
              </w:rPr>
              <w:t>449.00</w:t>
            </w:r>
            <w:r w:rsidR="0086456F">
              <w:rPr>
                <w:rFonts w:ascii="Arial" w:hAnsi="Arial" w:cs="Arial"/>
                <w:b/>
                <w:bCs/>
                <w:sz w:val="16"/>
                <w:szCs w:val="16"/>
              </w:rPr>
              <w:t>5</w:t>
            </w:r>
          </w:p>
        </w:tc>
        <w:tc>
          <w:tcPr>
            <w:tcW w:w="1275" w:type="dxa"/>
            <w:tcBorders>
              <w:top w:val="nil"/>
              <w:left w:val="nil"/>
              <w:bottom w:val="single" w:sz="4" w:space="0" w:color="auto"/>
              <w:right w:val="nil"/>
            </w:tcBorders>
            <w:shd w:val="clear" w:color="auto" w:fill="auto"/>
            <w:noWrap/>
            <w:vAlign w:val="bottom"/>
          </w:tcPr>
          <w:p w14:paraId="5FAA43DE" w14:textId="5B8DFDA2" w:rsidR="00410DCC" w:rsidRPr="00594E4D" w:rsidRDefault="00410DCC" w:rsidP="00410DCC">
            <w:pPr>
              <w:jc w:val="right"/>
              <w:rPr>
                <w:rFonts w:ascii="Arial" w:hAnsi="Arial" w:cs="Arial"/>
                <w:b/>
                <w:bCs/>
                <w:sz w:val="16"/>
                <w:szCs w:val="16"/>
                <w:lang w:eastAsia="es-AR"/>
              </w:rPr>
            </w:pPr>
            <w:r w:rsidRPr="00594E4D">
              <w:rPr>
                <w:rFonts w:ascii="Arial" w:hAnsi="Arial" w:cs="Arial"/>
                <w:b/>
                <w:bCs/>
                <w:sz w:val="16"/>
                <w:szCs w:val="16"/>
              </w:rPr>
              <w:t>441.528</w:t>
            </w:r>
          </w:p>
        </w:tc>
      </w:tr>
      <w:tr w:rsidR="00410DCC" w:rsidRPr="000A0696" w14:paraId="745645B7" w14:textId="77777777" w:rsidTr="00410DCC">
        <w:trPr>
          <w:trHeight w:val="510"/>
        </w:trPr>
        <w:tc>
          <w:tcPr>
            <w:tcW w:w="6025" w:type="dxa"/>
            <w:tcBorders>
              <w:top w:val="nil"/>
              <w:left w:val="nil"/>
              <w:bottom w:val="nil"/>
              <w:right w:val="nil"/>
            </w:tcBorders>
            <w:shd w:val="clear" w:color="auto" w:fill="auto"/>
            <w:vAlign w:val="bottom"/>
            <w:hideMark/>
          </w:tcPr>
          <w:p w14:paraId="250639B5" w14:textId="2A8EDED1" w:rsidR="00410DCC" w:rsidRPr="000A0696" w:rsidRDefault="00410DCC" w:rsidP="00410DCC">
            <w:pPr>
              <w:rPr>
                <w:rFonts w:ascii="Arial" w:hAnsi="Arial" w:cs="Arial"/>
                <w:sz w:val="16"/>
                <w:szCs w:val="16"/>
                <w:lang w:eastAsia="es-AR"/>
              </w:rPr>
            </w:pPr>
            <w:r>
              <w:rPr>
                <w:rFonts w:ascii="Arial" w:hAnsi="Arial" w:cs="Arial"/>
                <w:sz w:val="16"/>
                <w:szCs w:val="16"/>
                <w:lang w:eastAsia="es-AR"/>
              </w:rPr>
              <w:t>Revaluaciones del ejercicio</w:t>
            </w:r>
            <w:r w:rsidRPr="000A0696">
              <w:rPr>
                <w:rFonts w:ascii="Arial" w:hAnsi="Arial" w:cs="Arial"/>
                <w:sz w:val="16"/>
                <w:szCs w:val="16"/>
                <w:lang w:eastAsia="es-AR"/>
              </w:rPr>
              <w:t xml:space="preserve"> de propiedad, planta y equipo e intangibles</w:t>
            </w:r>
          </w:p>
        </w:tc>
        <w:tc>
          <w:tcPr>
            <w:tcW w:w="1276" w:type="dxa"/>
            <w:tcBorders>
              <w:top w:val="nil"/>
              <w:left w:val="nil"/>
              <w:bottom w:val="nil"/>
              <w:right w:val="nil"/>
            </w:tcBorders>
            <w:shd w:val="clear" w:color="auto" w:fill="auto"/>
            <w:noWrap/>
            <w:vAlign w:val="bottom"/>
          </w:tcPr>
          <w:p w14:paraId="45A83D44" w14:textId="5688767A" w:rsidR="00410DCC" w:rsidRPr="00594E4D" w:rsidRDefault="00410DCC" w:rsidP="00410DCC">
            <w:pPr>
              <w:jc w:val="right"/>
              <w:rPr>
                <w:rFonts w:ascii="Arial" w:hAnsi="Arial" w:cs="Arial"/>
                <w:sz w:val="16"/>
                <w:szCs w:val="16"/>
                <w:lang w:eastAsia="es-AR"/>
              </w:rPr>
            </w:pPr>
            <w:r>
              <w:rPr>
                <w:rFonts w:ascii="Arial" w:hAnsi="Arial" w:cs="Arial"/>
                <w:sz w:val="16"/>
                <w:szCs w:val="16"/>
              </w:rPr>
              <w:t>598.67</w:t>
            </w:r>
            <w:r w:rsidR="0086456F">
              <w:rPr>
                <w:rFonts w:ascii="Arial" w:hAnsi="Arial" w:cs="Arial"/>
                <w:sz w:val="16"/>
                <w:szCs w:val="16"/>
              </w:rPr>
              <w:t>3</w:t>
            </w:r>
          </w:p>
        </w:tc>
        <w:tc>
          <w:tcPr>
            <w:tcW w:w="1275" w:type="dxa"/>
            <w:tcBorders>
              <w:top w:val="nil"/>
              <w:left w:val="nil"/>
              <w:bottom w:val="nil"/>
              <w:right w:val="nil"/>
            </w:tcBorders>
            <w:shd w:val="clear" w:color="auto" w:fill="auto"/>
            <w:noWrap/>
            <w:vAlign w:val="bottom"/>
          </w:tcPr>
          <w:p w14:paraId="48C979E6" w14:textId="744995BA" w:rsidR="00410DCC" w:rsidRPr="00594E4D" w:rsidRDefault="00410DCC" w:rsidP="00410DCC">
            <w:pPr>
              <w:jc w:val="right"/>
              <w:rPr>
                <w:rFonts w:ascii="Arial" w:hAnsi="Arial" w:cs="Arial"/>
                <w:sz w:val="16"/>
                <w:szCs w:val="16"/>
                <w:lang w:eastAsia="es-AR"/>
              </w:rPr>
            </w:pPr>
            <w:r w:rsidRPr="00594E4D">
              <w:rPr>
                <w:rFonts w:ascii="Arial" w:hAnsi="Arial" w:cs="Arial"/>
                <w:sz w:val="16"/>
                <w:szCs w:val="16"/>
              </w:rPr>
              <w:t>588.705</w:t>
            </w:r>
          </w:p>
        </w:tc>
      </w:tr>
      <w:tr w:rsidR="00410DCC" w:rsidRPr="000A0696" w14:paraId="7EBADF6D" w14:textId="77777777" w:rsidTr="00410DCC">
        <w:trPr>
          <w:trHeight w:val="285"/>
        </w:trPr>
        <w:tc>
          <w:tcPr>
            <w:tcW w:w="6025" w:type="dxa"/>
            <w:tcBorders>
              <w:top w:val="nil"/>
              <w:left w:val="nil"/>
              <w:bottom w:val="nil"/>
              <w:right w:val="nil"/>
            </w:tcBorders>
            <w:shd w:val="clear" w:color="auto" w:fill="auto"/>
            <w:vAlign w:val="bottom"/>
            <w:hideMark/>
          </w:tcPr>
          <w:p w14:paraId="142CC1B4" w14:textId="77777777" w:rsidR="00410DCC" w:rsidRPr="000A0696" w:rsidRDefault="00410DCC" w:rsidP="00410DCC">
            <w:pPr>
              <w:rPr>
                <w:rFonts w:ascii="Arial" w:hAnsi="Arial" w:cs="Arial"/>
                <w:sz w:val="16"/>
                <w:szCs w:val="16"/>
                <w:lang w:eastAsia="es-AR"/>
              </w:rPr>
            </w:pPr>
            <w:r w:rsidRPr="000A0696">
              <w:rPr>
                <w:rFonts w:ascii="Arial" w:hAnsi="Arial" w:cs="Arial"/>
                <w:sz w:val="16"/>
                <w:szCs w:val="16"/>
                <w:lang w:eastAsia="es-AR"/>
              </w:rPr>
              <w:t>Impuesto a las ganancias</w:t>
            </w:r>
          </w:p>
        </w:tc>
        <w:tc>
          <w:tcPr>
            <w:tcW w:w="1276" w:type="dxa"/>
            <w:tcBorders>
              <w:top w:val="nil"/>
              <w:left w:val="nil"/>
              <w:bottom w:val="nil"/>
              <w:right w:val="nil"/>
            </w:tcBorders>
            <w:shd w:val="clear" w:color="auto" w:fill="auto"/>
            <w:noWrap/>
            <w:vAlign w:val="bottom"/>
          </w:tcPr>
          <w:p w14:paraId="73DE6561" w14:textId="4FDC909E" w:rsidR="00410DCC" w:rsidRPr="00594E4D" w:rsidRDefault="00410DCC" w:rsidP="00410DCC">
            <w:pPr>
              <w:jc w:val="right"/>
              <w:rPr>
                <w:rFonts w:ascii="Arial" w:hAnsi="Arial" w:cs="Arial"/>
                <w:sz w:val="16"/>
                <w:szCs w:val="16"/>
                <w:lang w:eastAsia="es-AR"/>
              </w:rPr>
            </w:pPr>
            <w:r>
              <w:rPr>
                <w:rFonts w:ascii="Arial" w:hAnsi="Arial" w:cs="Arial"/>
                <w:sz w:val="16"/>
                <w:szCs w:val="16"/>
              </w:rPr>
              <w:t>-149.668</w:t>
            </w:r>
          </w:p>
        </w:tc>
        <w:tc>
          <w:tcPr>
            <w:tcW w:w="1275" w:type="dxa"/>
            <w:tcBorders>
              <w:top w:val="nil"/>
              <w:left w:val="nil"/>
              <w:bottom w:val="nil"/>
              <w:right w:val="nil"/>
            </w:tcBorders>
            <w:shd w:val="clear" w:color="auto" w:fill="auto"/>
            <w:noWrap/>
            <w:vAlign w:val="bottom"/>
          </w:tcPr>
          <w:p w14:paraId="0D472DF6" w14:textId="76B696EC" w:rsidR="00410DCC" w:rsidRPr="00594E4D" w:rsidRDefault="00410DCC" w:rsidP="00410DCC">
            <w:pPr>
              <w:jc w:val="right"/>
              <w:rPr>
                <w:rFonts w:ascii="Arial" w:hAnsi="Arial" w:cs="Arial"/>
                <w:sz w:val="16"/>
                <w:szCs w:val="16"/>
                <w:lang w:eastAsia="es-AR"/>
              </w:rPr>
            </w:pPr>
            <w:r w:rsidRPr="00594E4D">
              <w:rPr>
                <w:rFonts w:ascii="Arial" w:hAnsi="Arial" w:cs="Arial"/>
                <w:sz w:val="16"/>
                <w:szCs w:val="16"/>
              </w:rPr>
              <w:t>-147.177</w:t>
            </w:r>
          </w:p>
        </w:tc>
      </w:tr>
      <w:tr w:rsidR="00410DCC" w:rsidRPr="00BF51C8" w14:paraId="785262CB" w14:textId="77777777" w:rsidTr="00410DCC">
        <w:trPr>
          <w:trHeight w:val="765"/>
        </w:trPr>
        <w:tc>
          <w:tcPr>
            <w:tcW w:w="6025" w:type="dxa"/>
            <w:tcBorders>
              <w:top w:val="nil"/>
              <w:left w:val="nil"/>
              <w:bottom w:val="single" w:sz="4" w:space="0" w:color="auto"/>
              <w:right w:val="nil"/>
            </w:tcBorders>
            <w:shd w:val="clear" w:color="auto" w:fill="auto"/>
            <w:vAlign w:val="bottom"/>
            <w:hideMark/>
          </w:tcPr>
          <w:p w14:paraId="621A471D" w14:textId="78306AB4" w:rsidR="00410DCC" w:rsidRPr="00BF51C8" w:rsidRDefault="00410DCC" w:rsidP="00410DCC">
            <w:pPr>
              <w:rPr>
                <w:rFonts w:ascii="Arial" w:hAnsi="Arial" w:cs="Arial"/>
                <w:b/>
                <w:bCs/>
                <w:sz w:val="16"/>
                <w:szCs w:val="16"/>
                <w:lang w:eastAsia="es-AR"/>
              </w:rPr>
            </w:pPr>
            <w:r w:rsidRPr="00BF51C8">
              <w:rPr>
                <w:rFonts w:ascii="Arial" w:hAnsi="Arial" w:cs="Arial"/>
                <w:b/>
                <w:bCs/>
                <w:sz w:val="16"/>
                <w:szCs w:val="16"/>
                <w:lang w:eastAsia="es-AR"/>
              </w:rPr>
              <w:t>Ganancias o pérdidas por instrumentos de patrimonio a valor razonable con cambios en el ORI (Puntos 5.7.5</w:t>
            </w:r>
            <w:r w:rsidR="00A95F91">
              <w:rPr>
                <w:rFonts w:ascii="Arial" w:hAnsi="Arial" w:cs="Arial"/>
                <w:b/>
                <w:bCs/>
                <w:sz w:val="16"/>
                <w:szCs w:val="16"/>
                <w:lang w:eastAsia="es-AR"/>
              </w:rPr>
              <w:t xml:space="preserve"> </w:t>
            </w:r>
            <w:r w:rsidRPr="00BF51C8">
              <w:rPr>
                <w:rFonts w:ascii="Arial" w:hAnsi="Arial" w:cs="Arial"/>
                <w:b/>
                <w:bCs/>
                <w:sz w:val="16"/>
                <w:szCs w:val="16"/>
                <w:lang w:eastAsia="es-AR"/>
              </w:rPr>
              <w:t>de la NIIF 9)</w:t>
            </w:r>
          </w:p>
        </w:tc>
        <w:tc>
          <w:tcPr>
            <w:tcW w:w="1276" w:type="dxa"/>
            <w:tcBorders>
              <w:top w:val="nil"/>
              <w:left w:val="nil"/>
              <w:bottom w:val="single" w:sz="4" w:space="0" w:color="auto"/>
              <w:right w:val="nil"/>
            </w:tcBorders>
            <w:shd w:val="clear" w:color="auto" w:fill="auto"/>
            <w:noWrap/>
            <w:vAlign w:val="bottom"/>
          </w:tcPr>
          <w:p w14:paraId="06F499A5" w14:textId="61406A08" w:rsidR="00410DCC" w:rsidRPr="00594E4D" w:rsidRDefault="00410DCC" w:rsidP="00410DCC">
            <w:pPr>
              <w:jc w:val="right"/>
              <w:rPr>
                <w:rFonts w:ascii="Arial" w:hAnsi="Arial" w:cs="Arial"/>
                <w:b/>
                <w:bCs/>
                <w:sz w:val="16"/>
                <w:szCs w:val="16"/>
                <w:lang w:eastAsia="es-AR"/>
              </w:rPr>
            </w:pPr>
            <w:r>
              <w:rPr>
                <w:rFonts w:ascii="Arial" w:hAnsi="Arial" w:cs="Arial"/>
                <w:b/>
                <w:bCs/>
                <w:sz w:val="16"/>
                <w:szCs w:val="16"/>
              </w:rPr>
              <w:t>-13</w:t>
            </w:r>
          </w:p>
        </w:tc>
        <w:tc>
          <w:tcPr>
            <w:tcW w:w="1275" w:type="dxa"/>
            <w:tcBorders>
              <w:top w:val="nil"/>
              <w:left w:val="nil"/>
              <w:bottom w:val="single" w:sz="4" w:space="0" w:color="auto"/>
              <w:right w:val="nil"/>
            </w:tcBorders>
            <w:shd w:val="clear" w:color="auto" w:fill="auto"/>
            <w:noWrap/>
            <w:vAlign w:val="bottom"/>
          </w:tcPr>
          <w:p w14:paraId="39A7E03D" w14:textId="45AFFCBA" w:rsidR="00410DCC" w:rsidRPr="00594E4D" w:rsidRDefault="00410DCC" w:rsidP="00410DCC">
            <w:pPr>
              <w:jc w:val="right"/>
              <w:rPr>
                <w:rFonts w:ascii="Arial" w:hAnsi="Arial" w:cs="Arial"/>
                <w:b/>
                <w:bCs/>
                <w:sz w:val="16"/>
                <w:szCs w:val="16"/>
                <w:lang w:eastAsia="es-AR"/>
              </w:rPr>
            </w:pPr>
            <w:r w:rsidRPr="00594E4D">
              <w:rPr>
                <w:rFonts w:ascii="Arial" w:hAnsi="Arial" w:cs="Arial"/>
                <w:b/>
                <w:bCs/>
                <w:sz w:val="16"/>
                <w:szCs w:val="16"/>
              </w:rPr>
              <w:t>618</w:t>
            </w:r>
          </w:p>
        </w:tc>
      </w:tr>
      <w:tr w:rsidR="00410DCC" w:rsidRPr="000A0696" w14:paraId="786BA44B" w14:textId="77777777" w:rsidTr="00410DCC">
        <w:trPr>
          <w:trHeight w:val="510"/>
        </w:trPr>
        <w:tc>
          <w:tcPr>
            <w:tcW w:w="6025" w:type="dxa"/>
            <w:tcBorders>
              <w:top w:val="nil"/>
              <w:left w:val="nil"/>
              <w:bottom w:val="nil"/>
              <w:right w:val="nil"/>
            </w:tcBorders>
            <w:shd w:val="clear" w:color="auto" w:fill="auto"/>
            <w:vAlign w:val="bottom"/>
            <w:hideMark/>
          </w:tcPr>
          <w:p w14:paraId="0BA4EF66" w14:textId="7C03157F" w:rsidR="00410DCC" w:rsidRPr="000A0696" w:rsidRDefault="00410DCC" w:rsidP="00410DCC">
            <w:pPr>
              <w:rPr>
                <w:rFonts w:ascii="Arial" w:hAnsi="Arial" w:cs="Arial"/>
                <w:sz w:val="16"/>
                <w:szCs w:val="16"/>
                <w:lang w:eastAsia="es-AR"/>
              </w:rPr>
            </w:pPr>
            <w:r w:rsidRPr="000A0696">
              <w:rPr>
                <w:rFonts w:ascii="Arial" w:hAnsi="Arial" w:cs="Arial"/>
                <w:sz w:val="16"/>
                <w:szCs w:val="16"/>
                <w:lang w:eastAsia="es-AR"/>
              </w:rPr>
              <w:t xml:space="preserve">Resultado del </w:t>
            </w:r>
            <w:r>
              <w:rPr>
                <w:rFonts w:ascii="Arial" w:hAnsi="Arial" w:cs="Arial"/>
                <w:sz w:val="16"/>
                <w:szCs w:val="16"/>
                <w:lang w:eastAsia="es-AR"/>
              </w:rPr>
              <w:t>ejercicio</w:t>
            </w:r>
            <w:r w:rsidRPr="000A0696">
              <w:rPr>
                <w:rFonts w:ascii="Arial" w:hAnsi="Arial" w:cs="Arial"/>
                <w:sz w:val="16"/>
                <w:szCs w:val="16"/>
                <w:lang w:eastAsia="es-AR"/>
              </w:rPr>
              <w:t xml:space="preserve"> por instrumentos de patrimonio a valor razonable con cambios en el ORI</w:t>
            </w:r>
          </w:p>
        </w:tc>
        <w:tc>
          <w:tcPr>
            <w:tcW w:w="1276" w:type="dxa"/>
            <w:tcBorders>
              <w:top w:val="nil"/>
              <w:left w:val="nil"/>
              <w:bottom w:val="nil"/>
              <w:right w:val="nil"/>
            </w:tcBorders>
            <w:shd w:val="clear" w:color="auto" w:fill="auto"/>
            <w:noWrap/>
            <w:vAlign w:val="bottom"/>
          </w:tcPr>
          <w:p w14:paraId="4427B818" w14:textId="094214A0" w:rsidR="00410DCC" w:rsidRPr="00594E4D" w:rsidRDefault="00410DCC" w:rsidP="00410DCC">
            <w:pPr>
              <w:jc w:val="right"/>
              <w:rPr>
                <w:rFonts w:ascii="Arial" w:hAnsi="Arial" w:cs="Arial"/>
                <w:sz w:val="16"/>
                <w:szCs w:val="16"/>
                <w:lang w:eastAsia="es-AR"/>
              </w:rPr>
            </w:pPr>
            <w:r>
              <w:rPr>
                <w:rFonts w:ascii="Arial" w:hAnsi="Arial" w:cs="Arial"/>
                <w:sz w:val="16"/>
                <w:szCs w:val="16"/>
              </w:rPr>
              <w:t>-18</w:t>
            </w:r>
          </w:p>
        </w:tc>
        <w:tc>
          <w:tcPr>
            <w:tcW w:w="1275" w:type="dxa"/>
            <w:tcBorders>
              <w:top w:val="nil"/>
              <w:left w:val="nil"/>
              <w:bottom w:val="nil"/>
              <w:right w:val="nil"/>
            </w:tcBorders>
            <w:shd w:val="clear" w:color="auto" w:fill="auto"/>
            <w:noWrap/>
            <w:vAlign w:val="bottom"/>
          </w:tcPr>
          <w:p w14:paraId="00AFEEDF" w14:textId="2A9F9573" w:rsidR="00410DCC" w:rsidRPr="00594E4D" w:rsidRDefault="00410DCC" w:rsidP="00410DCC">
            <w:pPr>
              <w:jc w:val="right"/>
              <w:rPr>
                <w:rFonts w:ascii="Arial" w:hAnsi="Arial" w:cs="Arial"/>
                <w:sz w:val="16"/>
                <w:szCs w:val="16"/>
                <w:lang w:eastAsia="es-AR"/>
              </w:rPr>
            </w:pPr>
            <w:r w:rsidRPr="00594E4D">
              <w:rPr>
                <w:rFonts w:ascii="Arial" w:hAnsi="Arial" w:cs="Arial"/>
                <w:sz w:val="16"/>
                <w:szCs w:val="16"/>
              </w:rPr>
              <w:t>883</w:t>
            </w:r>
          </w:p>
        </w:tc>
      </w:tr>
      <w:tr w:rsidR="00410DCC" w:rsidRPr="000A0696" w14:paraId="30FFB11E" w14:textId="77777777" w:rsidTr="00410DCC">
        <w:trPr>
          <w:trHeight w:val="285"/>
        </w:trPr>
        <w:tc>
          <w:tcPr>
            <w:tcW w:w="6025" w:type="dxa"/>
            <w:tcBorders>
              <w:top w:val="nil"/>
              <w:left w:val="nil"/>
              <w:bottom w:val="nil"/>
              <w:right w:val="nil"/>
            </w:tcBorders>
            <w:shd w:val="clear" w:color="auto" w:fill="auto"/>
            <w:vAlign w:val="bottom"/>
            <w:hideMark/>
          </w:tcPr>
          <w:p w14:paraId="3561E0D7" w14:textId="77777777" w:rsidR="00410DCC" w:rsidRPr="000A0696" w:rsidRDefault="00410DCC" w:rsidP="00410DCC">
            <w:pPr>
              <w:rPr>
                <w:rFonts w:ascii="Arial" w:hAnsi="Arial" w:cs="Arial"/>
                <w:sz w:val="16"/>
                <w:szCs w:val="16"/>
                <w:lang w:eastAsia="es-AR"/>
              </w:rPr>
            </w:pPr>
            <w:r w:rsidRPr="000A0696">
              <w:rPr>
                <w:rFonts w:ascii="Arial" w:hAnsi="Arial" w:cs="Arial"/>
                <w:sz w:val="16"/>
                <w:szCs w:val="16"/>
                <w:lang w:eastAsia="es-AR"/>
              </w:rPr>
              <w:t>Impuesto a las ganancias</w:t>
            </w:r>
          </w:p>
        </w:tc>
        <w:tc>
          <w:tcPr>
            <w:tcW w:w="1276" w:type="dxa"/>
            <w:tcBorders>
              <w:top w:val="nil"/>
              <w:left w:val="nil"/>
              <w:bottom w:val="nil"/>
              <w:right w:val="nil"/>
            </w:tcBorders>
            <w:shd w:val="clear" w:color="auto" w:fill="auto"/>
            <w:noWrap/>
            <w:vAlign w:val="bottom"/>
          </w:tcPr>
          <w:p w14:paraId="0C949D9A" w14:textId="63546C68" w:rsidR="00410DCC" w:rsidRPr="00594E4D" w:rsidRDefault="00410DCC" w:rsidP="00410DCC">
            <w:pPr>
              <w:jc w:val="right"/>
              <w:rPr>
                <w:rFonts w:ascii="Arial" w:hAnsi="Arial" w:cs="Arial"/>
                <w:sz w:val="16"/>
                <w:szCs w:val="16"/>
                <w:lang w:eastAsia="es-AR"/>
              </w:rPr>
            </w:pPr>
            <w:r>
              <w:rPr>
                <w:rFonts w:ascii="Arial" w:hAnsi="Arial" w:cs="Arial"/>
                <w:sz w:val="16"/>
                <w:szCs w:val="16"/>
              </w:rPr>
              <w:t>5</w:t>
            </w:r>
          </w:p>
        </w:tc>
        <w:tc>
          <w:tcPr>
            <w:tcW w:w="1275" w:type="dxa"/>
            <w:tcBorders>
              <w:top w:val="nil"/>
              <w:left w:val="nil"/>
              <w:bottom w:val="nil"/>
              <w:right w:val="nil"/>
            </w:tcBorders>
            <w:shd w:val="clear" w:color="auto" w:fill="auto"/>
            <w:noWrap/>
            <w:vAlign w:val="bottom"/>
          </w:tcPr>
          <w:p w14:paraId="045AF899" w14:textId="5E43CB2A" w:rsidR="00410DCC" w:rsidRPr="00594E4D" w:rsidRDefault="00410DCC" w:rsidP="00410DCC">
            <w:pPr>
              <w:jc w:val="right"/>
              <w:rPr>
                <w:rFonts w:ascii="Arial" w:hAnsi="Arial" w:cs="Arial"/>
                <w:sz w:val="16"/>
                <w:szCs w:val="16"/>
                <w:lang w:eastAsia="es-AR"/>
              </w:rPr>
            </w:pPr>
            <w:r w:rsidRPr="00594E4D">
              <w:rPr>
                <w:rFonts w:ascii="Arial" w:hAnsi="Arial" w:cs="Arial"/>
                <w:sz w:val="16"/>
                <w:szCs w:val="16"/>
              </w:rPr>
              <w:t>-265</w:t>
            </w:r>
          </w:p>
        </w:tc>
      </w:tr>
      <w:tr w:rsidR="00410DCC" w:rsidRPr="00BF51C8" w14:paraId="114ECCAE" w14:textId="77777777" w:rsidTr="00410DCC">
        <w:trPr>
          <w:trHeight w:val="510"/>
        </w:trPr>
        <w:tc>
          <w:tcPr>
            <w:tcW w:w="6025" w:type="dxa"/>
            <w:tcBorders>
              <w:top w:val="single" w:sz="4" w:space="0" w:color="auto"/>
              <w:left w:val="nil"/>
              <w:bottom w:val="nil"/>
              <w:right w:val="nil"/>
            </w:tcBorders>
            <w:shd w:val="clear" w:color="auto" w:fill="auto"/>
            <w:hideMark/>
          </w:tcPr>
          <w:p w14:paraId="5C3A93D4" w14:textId="0B765B36" w:rsidR="00410DCC" w:rsidRPr="000A0696" w:rsidRDefault="00410DCC" w:rsidP="00410DCC">
            <w:pPr>
              <w:rPr>
                <w:rFonts w:ascii="Arial" w:hAnsi="Arial" w:cs="Arial"/>
                <w:b/>
                <w:bCs/>
                <w:sz w:val="16"/>
                <w:szCs w:val="16"/>
                <w:lang w:val="es-ES_tradnl" w:eastAsia="es-AR"/>
              </w:rPr>
            </w:pPr>
            <w:r w:rsidRPr="000A0696">
              <w:rPr>
                <w:rFonts w:ascii="Arial" w:hAnsi="Arial" w:cs="Arial"/>
                <w:b/>
                <w:bCs/>
                <w:sz w:val="16"/>
                <w:szCs w:val="16"/>
                <w:lang w:eastAsia="es-AR"/>
              </w:rPr>
              <w:t xml:space="preserve">Total Otro Resultado Integral que no se reclasificará al resultado del </w:t>
            </w:r>
            <w:r>
              <w:rPr>
                <w:rFonts w:ascii="Arial" w:hAnsi="Arial" w:cs="Arial"/>
                <w:b/>
                <w:bCs/>
                <w:sz w:val="16"/>
                <w:szCs w:val="16"/>
                <w:lang w:eastAsia="es-AR"/>
              </w:rPr>
              <w:t>ejercicio</w:t>
            </w:r>
          </w:p>
        </w:tc>
        <w:tc>
          <w:tcPr>
            <w:tcW w:w="1276" w:type="dxa"/>
            <w:tcBorders>
              <w:top w:val="single" w:sz="4" w:space="0" w:color="auto"/>
              <w:left w:val="nil"/>
              <w:bottom w:val="nil"/>
              <w:right w:val="nil"/>
            </w:tcBorders>
            <w:shd w:val="clear" w:color="auto" w:fill="auto"/>
            <w:noWrap/>
            <w:vAlign w:val="bottom"/>
          </w:tcPr>
          <w:p w14:paraId="57563FD4" w14:textId="4C361BF5" w:rsidR="00410DCC" w:rsidRPr="00594E4D" w:rsidRDefault="00410DCC" w:rsidP="00410DCC">
            <w:pPr>
              <w:jc w:val="right"/>
              <w:rPr>
                <w:rFonts w:ascii="Arial" w:hAnsi="Arial" w:cs="Arial"/>
                <w:b/>
                <w:bCs/>
                <w:sz w:val="16"/>
                <w:szCs w:val="16"/>
                <w:lang w:eastAsia="es-AR"/>
              </w:rPr>
            </w:pPr>
            <w:r>
              <w:rPr>
                <w:rFonts w:ascii="Arial" w:hAnsi="Arial" w:cs="Arial"/>
                <w:b/>
                <w:bCs/>
                <w:sz w:val="16"/>
                <w:szCs w:val="16"/>
              </w:rPr>
              <w:t>448.99</w:t>
            </w:r>
            <w:r w:rsidR="009707DD">
              <w:rPr>
                <w:rFonts w:ascii="Arial" w:hAnsi="Arial" w:cs="Arial"/>
                <w:b/>
                <w:bCs/>
                <w:sz w:val="16"/>
                <w:szCs w:val="16"/>
              </w:rPr>
              <w:t>2</w:t>
            </w:r>
          </w:p>
        </w:tc>
        <w:tc>
          <w:tcPr>
            <w:tcW w:w="1275" w:type="dxa"/>
            <w:tcBorders>
              <w:top w:val="single" w:sz="4" w:space="0" w:color="auto"/>
              <w:left w:val="nil"/>
              <w:bottom w:val="nil"/>
              <w:right w:val="nil"/>
            </w:tcBorders>
            <w:shd w:val="clear" w:color="auto" w:fill="auto"/>
            <w:noWrap/>
            <w:vAlign w:val="bottom"/>
          </w:tcPr>
          <w:p w14:paraId="5D5E9A35" w14:textId="69D5FED8" w:rsidR="00410DCC" w:rsidRPr="00594E4D" w:rsidRDefault="00410DCC" w:rsidP="00410DCC">
            <w:pPr>
              <w:jc w:val="right"/>
              <w:rPr>
                <w:rFonts w:ascii="Arial" w:hAnsi="Arial" w:cs="Arial"/>
                <w:b/>
                <w:bCs/>
                <w:sz w:val="16"/>
                <w:szCs w:val="16"/>
                <w:lang w:eastAsia="es-AR"/>
              </w:rPr>
            </w:pPr>
            <w:r w:rsidRPr="00594E4D">
              <w:rPr>
                <w:rFonts w:ascii="Arial" w:hAnsi="Arial" w:cs="Arial"/>
                <w:b/>
                <w:bCs/>
                <w:sz w:val="16"/>
                <w:szCs w:val="16"/>
              </w:rPr>
              <w:t>442.146</w:t>
            </w:r>
          </w:p>
        </w:tc>
      </w:tr>
      <w:tr w:rsidR="00410DCC" w:rsidRPr="000A0696" w14:paraId="727C9861" w14:textId="77777777" w:rsidTr="00410DCC">
        <w:trPr>
          <w:trHeight w:val="80"/>
        </w:trPr>
        <w:tc>
          <w:tcPr>
            <w:tcW w:w="6025" w:type="dxa"/>
            <w:tcBorders>
              <w:top w:val="nil"/>
              <w:left w:val="nil"/>
              <w:bottom w:val="nil"/>
              <w:right w:val="nil"/>
            </w:tcBorders>
            <w:shd w:val="clear" w:color="auto" w:fill="auto"/>
            <w:vAlign w:val="bottom"/>
            <w:hideMark/>
          </w:tcPr>
          <w:p w14:paraId="170EF87E" w14:textId="77777777" w:rsidR="00410DCC" w:rsidRPr="000A0696" w:rsidRDefault="00410DCC" w:rsidP="00410DCC">
            <w:pPr>
              <w:rPr>
                <w:rFonts w:ascii="Arial" w:hAnsi="Arial" w:cs="Arial"/>
                <w:b/>
                <w:bCs/>
                <w:sz w:val="10"/>
                <w:szCs w:val="10"/>
                <w:lang w:eastAsia="es-AR"/>
              </w:rPr>
            </w:pPr>
          </w:p>
        </w:tc>
        <w:tc>
          <w:tcPr>
            <w:tcW w:w="1276" w:type="dxa"/>
            <w:tcBorders>
              <w:top w:val="nil"/>
              <w:left w:val="nil"/>
              <w:bottom w:val="nil"/>
              <w:right w:val="nil"/>
            </w:tcBorders>
            <w:shd w:val="clear" w:color="auto" w:fill="auto"/>
            <w:noWrap/>
            <w:vAlign w:val="bottom"/>
          </w:tcPr>
          <w:p w14:paraId="4160540B" w14:textId="13C4EA0A" w:rsidR="00410DCC" w:rsidRPr="00594E4D" w:rsidRDefault="00410DCC" w:rsidP="00410DCC">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bottom"/>
          </w:tcPr>
          <w:p w14:paraId="347B1FB8" w14:textId="6A088B4B" w:rsidR="00410DCC" w:rsidRPr="00594E4D" w:rsidRDefault="00410DCC" w:rsidP="00410DCC">
            <w:pPr>
              <w:jc w:val="right"/>
              <w:rPr>
                <w:rFonts w:ascii="Arial" w:hAnsi="Arial" w:cs="Arial"/>
                <w:sz w:val="16"/>
                <w:szCs w:val="16"/>
                <w:lang w:eastAsia="es-AR"/>
              </w:rPr>
            </w:pPr>
          </w:p>
        </w:tc>
      </w:tr>
      <w:tr w:rsidR="00410DCC" w:rsidRPr="000A0696" w14:paraId="07757D23" w14:textId="77777777" w:rsidTr="00410DCC">
        <w:trPr>
          <w:trHeight w:val="80"/>
        </w:trPr>
        <w:tc>
          <w:tcPr>
            <w:tcW w:w="6025" w:type="dxa"/>
            <w:tcBorders>
              <w:top w:val="nil"/>
              <w:left w:val="nil"/>
              <w:bottom w:val="nil"/>
              <w:right w:val="nil"/>
            </w:tcBorders>
            <w:shd w:val="clear" w:color="auto" w:fill="auto"/>
            <w:vAlign w:val="bottom"/>
          </w:tcPr>
          <w:p w14:paraId="31543C3C" w14:textId="6665753E" w:rsidR="00410DCC" w:rsidRPr="00410DCC" w:rsidRDefault="00410DCC" w:rsidP="00410DCC">
            <w:pPr>
              <w:rPr>
                <w:rFonts w:ascii="Arial" w:hAnsi="Arial" w:cs="Arial"/>
                <w:b/>
                <w:bCs/>
                <w:sz w:val="16"/>
                <w:szCs w:val="16"/>
                <w:lang w:eastAsia="es-AR"/>
              </w:rPr>
            </w:pPr>
            <w:r>
              <w:rPr>
                <w:rFonts w:ascii="Arial" w:hAnsi="Arial" w:cs="Arial"/>
                <w:b/>
                <w:bCs/>
                <w:sz w:val="16"/>
                <w:szCs w:val="16"/>
              </w:rPr>
              <w:t>Componentes de Otro Resultado Integral que se reclasificarán al resultado del ejercicio</w:t>
            </w:r>
          </w:p>
        </w:tc>
        <w:tc>
          <w:tcPr>
            <w:tcW w:w="1276" w:type="dxa"/>
            <w:tcBorders>
              <w:top w:val="nil"/>
              <w:left w:val="nil"/>
              <w:bottom w:val="nil"/>
              <w:right w:val="nil"/>
            </w:tcBorders>
            <w:shd w:val="clear" w:color="auto" w:fill="auto"/>
            <w:noWrap/>
            <w:vAlign w:val="bottom"/>
          </w:tcPr>
          <w:p w14:paraId="07979C99" w14:textId="77777777" w:rsidR="00410DCC" w:rsidRPr="00594E4D" w:rsidRDefault="00410DCC" w:rsidP="00410DCC">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bottom"/>
          </w:tcPr>
          <w:p w14:paraId="5E5F420B" w14:textId="77777777" w:rsidR="00410DCC" w:rsidRPr="00594E4D" w:rsidRDefault="00410DCC" w:rsidP="00410DCC">
            <w:pPr>
              <w:jc w:val="right"/>
              <w:rPr>
                <w:rFonts w:ascii="Arial" w:hAnsi="Arial" w:cs="Arial"/>
                <w:sz w:val="16"/>
                <w:szCs w:val="16"/>
                <w:lang w:eastAsia="es-AR"/>
              </w:rPr>
            </w:pPr>
          </w:p>
        </w:tc>
      </w:tr>
      <w:tr w:rsidR="00410DCC" w:rsidRPr="000A0696" w14:paraId="1E6DE728" w14:textId="77777777" w:rsidTr="00410DCC">
        <w:trPr>
          <w:trHeight w:val="80"/>
        </w:trPr>
        <w:tc>
          <w:tcPr>
            <w:tcW w:w="6025" w:type="dxa"/>
            <w:tcBorders>
              <w:top w:val="nil"/>
              <w:left w:val="nil"/>
              <w:bottom w:val="nil"/>
              <w:right w:val="nil"/>
            </w:tcBorders>
            <w:shd w:val="clear" w:color="auto" w:fill="auto"/>
            <w:vAlign w:val="bottom"/>
          </w:tcPr>
          <w:p w14:paraId="18F23868" w14:textId="77777777" w:rsidR="00410DCC" w:rsidRPr="000A0696" w:rsidRDefault="00410DCC" w:rsidP="00410DCC">
            <w:pPr>
              <w:rPr>
                <w:rFonts w:ascii="Arial" w:hAnsi="Arial" w:cs="Arial"/>
                <w:b/>
                <w:bCs/>
                <w:sz w:val="10"/>
                <w:szCs w:val="10"/>
                <w:lang w:eastAsia="es-AR"/>
              </w:rPr>
            </w:pPr>
          </w:p>
        </w:tc>
        <w:tc>
          <w:tcPr>
            <w:tcW w:w="1276" w:type="dxa"/>
            <w:tcBorders>
              <w:top w:val="nil"/>
              <w:left w:val="nil"/>
              <w:bottom w:val="nil"/>
              <w:right w:val="nil"/>
            </w:tcBorders>
            <w:shd w:val="clear" w:color="auto" w:fill="auto"/>
            <w:noWrap/>
            <w:vAlign w:val="bottom"/>
          </w:tcPr>
          <w:p w14:paraId="1F6AAB3A" w14:textId="77777777" w:rsidR="00410DCC" w:rsidRPr="00594E4D" w:rsidRDefault="00410DCC" w:rsidP="00410DCC">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bottom"/>
          </w:tcPr>
          <w:p w14:paraId="5A378172" w14:textId="77777777" w:rsidR="00410DCC" w:rsidRPr="00594E4D" w:rsidRDefault="00410DCC" w:rsidP="00410DCC">
            <w:pPr>
              <w:jc w:val="right"/>
              <w:rPr>
                <w:rFonts w:ascii="Arial" w:hAnsi="Arial" w:cs="Arial"/>
                <w:sz w:val="16"/>
                <w:szCs w:val="16"/>
                <w:lang w:eastAsia="es-AR"/>
              </w:rPr>
            </w:pPr>
          </w:p>
        </w:tc>
      </w:tr>
      <w:tr w:rsidR="00410DCC" w:rsidRPr="000A0696" w14:paraId="4EFCA786" w14:textId="77777777" w:rsidTr="00410DCC">
        <w:trPr>
          <w:trHeight w:val="384"/>
        </w:trPr>
        <w:tc>
          <w:tcPr>
            <w:tcW w:w="6025" w:type="dxa"/>
            <w:tcBorders>
              <w:top w:val="nil"/>
              <w:left w:val="nil"/>
              <w:bottom w:val="single" w:sz="4" w:space="0" w:color="auto"/>
              <w:right w:val="nil"/>
            </w:tcBorders>
            <w:shd w:val="clear" w:color="auto" w:fill="auto"/>
            <w:vAlign w:val="bottom"/>
            <w:hideMark/>
          </w:tcPr>
          <w:p w14:paraId="28DEF711" w14:textId="77777777" w:rsidR="00410DCC" w:rsidRPr="000A0696" w:rsidRDefault="00410DCC" w:rsidP="00410DCC">
            <w:pPr>
              <w:rPr>
                <w:rFonts w:ascii="Arial" w:hAnsi="Arial" w:cs="Arial"/>
                <w:b/>
                <w:bCs/>
                <w:sz w:val="16"/>
                <w:szCs w:val="16"/>
                <w:lang w:eastAsia="es-AR"/>
              </w:rPr>
            </w:pPr>
            <w:r w:rsidRPr="000A0696">
              <w:rPr>
                <w:rFonts w:ascii="Arial" w:hAnsi="Arial" w:cs="Arial"/>
                <w:b/>
                <w:bCs/>
                <w:sz w:val="16"/>
                <w:szCs w:val="16"/>
                <w:lang w:eastAsia="es-AR"/>
              </w:rPr>
              <w:t>Ganancias o pérdidas por instrumentos financieros a valor razonable con cambios en el ORI (Punto 4.1.2a de la NIIF 9)</w:t>
            </w:r>
          </w:p>
        </w:tc>
        <w:tc>
          <w:tcPr>
            <w:tcW w:w="1276" w:type="dxa"/>
            <w:tcBorders>
              <w:top w:val="nil"/>
              <w:left w:val="nil"/>
              <w:bottom w:val="single" w:sz="4" w:space="0" w:color="auto"/>
              <w:right w:val="nil"/>
            </w:tcBorders>
            <w:shd w:val="clear" w:color="auto" w:fill="auto"/>
            <w:noWrap/>
            <w:vAlign w:val="bottom"/>
          </w:tcPr>
          <w:p w14:paraId="32DCC1FF" w14:textId="52DB6696" w:rsidR="00410DCC" w:rsidRPr="00594E4D" w:rsidRDefault="00410DCC" w:rsidP="00410DCC">
            <w:pPr>
              <w:jc w:val="right"/>
              <w:rPr>
                <w:rFonts w:ascii="Arial" w:hAnsi="Arial" w:cs="Arial"/>
                <w:b/>
                <w:bCs/>
                <w:sz w:val="16"/>
                <w:szCs w:val="16"/>
                <w:lang w:eastAsia="es-AR"/>
              </w:rPr>
            </w:pPr>
            <w:r>
              <w:rPr>
                <w:rFonts w:ascii="Arial" w:hAnsi="Arial" w:cs="Arial"/>
                <w:b/>
                <w:bCs/>
                <w:sz w:val="16"/>
                <w:szCs w:val="16"/>
              </w:rPr>
              <w:t>7.2</w:t>
            </w:r>
            <w:r w:rsidR="009707DD">
              <w:rPr>
                <w:rFonts w:ascii="Arial" w:hAnsi="Arial" w:cs="Arial"/>
                <w:b/>
                <w:bCs/>
                <w:sz w:val="16"/>
                <w:szCs w:val="16"/>
              </w:rPr>
              <w:t>40</w:t>
            </w:r>
          </w:p>
        </w:tc>
        <w:tc>
          <w:tcPr>
            <w:tcW w:w="1275" w:type="dxa"/>
            <w:tcBorders>
              <w:top w:val="nil"/>
              <w:left w:val="nil"/>
              <w:bottom w:val="single" w:sz="4" w:space="0" w:color="auto"/>
              <w:right w:val="nil"/>
            </w:tcBorders>
            <w:shd w:val="clear" w:color="auto" w:fill="auto"/>
            <w:noWrap/>
            <w:vAlign w:val="bottom"/>
          </w:tcPr>
          <w:p w14:paraId="762D9D68" w14:textId="1707CF9C" w:rsidR="00410DCC" w:rsidRPr="00594E4D" w:rsidRDefault="00410DCC" w:rsidP="00410DCC">
            <w:pPr>
              <w:jc w:val="right"/>
              <w:rPr>
                <w:rFonts w:ascii="Arial" w:hAnsi="Arial" w:cs="Arial"/>
                <w:b/>
                <w:bCs/>
                <w:sz w:val="16"/>
                <w:szCs w:val="16"/>
                <w:lang w:eastAsia="es-AR"/>
              </w:rPr>
            </w:pPr>
            <w:r>
              <w:rPr>
                <w:rFonts w:ascii="Arial" w:hAnsi="Arial" w:cs="Arial"/>
                <w:b/>
                <w:bCs/>
                <w:sz w:val="16"/>
                <w:szCs w:val="16"/>
                <w:lang w:eastAsia="es-AR"/>
              </w:rPr>
              <w:t>-</w:t>
            </w:r>
          </w:p>
        </w:tc>
      </w:tr>
      <w:tr w:rsidR="00410DCC" w:rsidRPr="000A0696" w14:paraId="622470A0" w14:textId="77777777" w:rsidTr="00410DCC">
        <w:trPr>
          <w:trHeight w:val="510"/>
        </w:trPr>
        <w:tc>
          <w:tcPr>
            <w:tcW w:w="6025" w:type="dxa"/>
            <w:tcBorders>
              <w:top w:val="nil"/>
              <w:left w:val="nil"/>
              <w:bottom w:val="nil"/>
              <w:right w:val="nil"/>
            </w:tcBorders>
            <w:shd w:val="clear" w:color="auto" w:fill="auto"/>
            <w:vAlign w:val="bottom"/>
            <w:hideMark/>
          </w:tcPr>
          <w:p w14:paraId="4DB3AC8D" w14:textId="128728AF" w:rsidR="00410DCC" w:rsidRPr="000A0696" w:rsidRDefault="00410DCC" w:rsidP="00410DCC">
            <w:pPr>
              <w:rPr>
                <w:rFonts w:ascii="Arial" w:hAnsi="Arial" w:cs="Arial"/>
                <w:sz w:val="16"/>
                <w:szCs w:val="16"/>
                <w:lang w:eastAsia="es-AR"/>
              </w:rPr>
            </w:pPr>
            <w:r>
              <w:rPr>
                <w:rFonts w:ascii="Arial" w:hAnsi="Arial" w:cs="Arial"/>
                <w:sz w:val="16"/>
                <w:szCs w:val="16"/>
                <w:lang w:eastAsia="es-AR"/>
              </w:rPr>
              <w:t>Resultado del ejercicio</w:t>
            </w:r>
            <w:r w:rsidRPr="000A0696">
              <w:rPr>
                <w:rFonts w:ascii="Arial" w:hAnsi="Arial" w:cs="Arial"/>
                <w:sz w:val="16"/>
                <w:szCs w:val="16"/>
                <w:lang w:eastAsia="es-AR"/>
              </w:rPr>
              <w:t xml:space="preserve"> por instrumentos financieros a valor razonable con cambios en el ORI</w:t>
            </w:r>
          </w:p>
        </w:tc>
        <w:tc>
          <w:tcPr>
            <w:tcW w:w="1276" w:type="dxa"/>
            <w:tcBorders>
              <w:top w:val="nil"/>
              <w:left w:val="nil"/>
              <w:bottom w:val="nil"/>
              <w:right w:val="nil"/>
            </w:tcBorders>
            <w:shd w:val="clear" w:color="auto" w:fill="auto"/>
            <w:noWrap/>
            <w:vAlign w:val="bottom"/>
          </w:tcPr>
          <w:p w14:paraId="34F5B6B4" w14:textId="76E3F158" w:rsidR="00410DCC" w:rsidRPr="00594E4D" w:rsidRDefault="00410DCC" w:rsidP="00410DCC">
            <w:pPr>
              <w:jc w:val="right"/>
              <w:rPr>
                <w:rFonts w:ascii="Arial" w:hAnsi="Arial" w:cs="Arial"/>
                <w:sz w:val="16"/>
                <w:szCs w:val="16"/>
                <w:lang w:eastAsia="es-AR"/>
              </w:rPr>
            </w:pPr>
            <w:r>
              <w:rPr>
                <w:rFonts w:ascii="Arial" w:hAnsi="Arial" w:cs="Arial"/>
                <w:sz w:val="16"/>
                <w:szCs w:val="16"/>
              </w:rPr>
              <w:t>10.340</w:t>
            </w:r>
          </w:p>
        </w:tc>
        <w:tc>
          <w:tcPr>
            <w:tcW w:w="1275" w:type="dxa"/>
            <w:tcBorders>
              <w:top w:val="nil"/>
              <w:left w:val="nil"/>
              <w:bottom w:val="nil"/>
              <w:right w:val="nil"/>
            </w:tcBorders>
            <w:shd w:val="clear" w:color="auto" w:fill="auto"/>
            <w:noWrap/>
            <w:vAlign w:val="bottom"/>
          </w:tcPr>
          <w:p w14:paraId="25F5CF75" w14:textId="1FBDA494" w:rsidR="00410DCC" w:rsidRPr="00594E4D" w:rsidRDefault="00410DCC" w:rsidP="00410DCC">
            <w:pPr>
              <w:jc w:val="right"/>
              <w:rPr>
                <w:rFonts w:ascii="Arial" w:hAnsi="Arial" w:cs="Arial"/>
                <w:sz w:val="16"/>
                <w:szCs w:val="16"/>
                <w:lang w:eastAsia="es-AR"/>
              </w:rPr>
            </w:pPr>
            <w:r>
              <w:rPr>
                <w:rFonts w:ascii="Arial" w:hAnsi="Arial" w:cs="Arial"/>
                <w:sz w:val="16"/>
                <w:szCs w:val="16"/>
                <w:lang w:eastAsia="es-AR"/>
              </w:rPr>
              <w:t>-</w:t>
            </w:r>
          </w:p>
        </w:tc>
      </w:tr>
      <w:tr w:rsidR="00410DCC" w:rsidRPr="000A0696" w14:paraId="4EFFC684" w14:textId="77777777" w:rsidTr="00410DCC">
        <w:trPr>
          <w:trHeight w:val="285"/>
        </w:trPr>
        <w:tc>
          <w:tcPr>
            <w:tcW w:w="6025" w:type="dxa"/>
            <w:tcBorders>
              <w:top w:val="nil"/>
              <w:left w:val="nil"/>
              <w:bottom w:val="nil"/>
              <w:right w:val="nil"/>
            </w:tcBorders>
            <w:shd w:val="clear" w:color="auto" w:fill="auto"/>
            <w:vAlign w:val="bottom"/>
            <w:hideMark/>
          </w:tcPr>
          <w:p w14:paraId="0418C693" w14:textId="77777777" w:rsidR="00410DCC" w:rsidRPr="000A0696" w:rsidRDefault="00410DCC" w:rsidP="00410DCC">
            <w:pPr>
              <w:rPr>
                <w:rFonts w:ascii="Arial" w:hAnsi="Arial" w:cs="Arial"/>
                <w:sz w:val="16"/>
                <w:szCs w:val="16"/>
                <w:lang w:eastAsia="es-AR"/>
              </w:rPr>
            </w:pPr>
            <w:r w:rsidRPr="000A0696">
              <w:rPr>
                <w:rFonts w:ascii="Arial" w:hAnsi="Arial" w:cs="Arial"/>
                <w:sz w:val="16"/>
                <w:szCs w:val="16"/>
                <w:lang w:eastAsia="es-AR"/>
              </w:rPr>
              <w:t>Impuesto a las ganancias</w:t>
            </w:r>
          </w:p>
        </w:tc>
        <w:tc>
          <w:tcPr>
            <w:tcW w:w="1276" w:type="dxa"/>
            <w:tcBorders>
              <w:top w:val="nil"/>
              <w:left w:val="nil"/>
              <w:bottom w:val="nil"/>
              <w:right w:val="nil"/>
            </w:tcBorders>
            <w:shd w:val="clear" w:color="auto" w:fill="auto"/>
            <w:noWrap/>
            <w:vAlign w:val="bottom"/>
          </w:tcPr>
          <w:p w14:paraId="59BBA574" w14:textId="45FB6780" w:rsidR="00410DCC" w:rsidRPr="00594E4D" w:rsidRDefault="00410DCC" w:rsidP="00410DCC">
            <w:pPr>
              <w:jc w:val="right"/>
              <w:rPr>
                <w:rFonts w:ascii="Arial" w:hAnsi="Arial" w:cs="Arial"/>
                <w:sz w:val="16"/>
                <w:szCs w:val="16"/>
                <w:lang w:eastAsia="es-AR"/>
              </w:rPr>
            </w:pPr>
            <w:r>
              <w:rPr>
                <w:rFonts w:ascii="Arial" w:hAnsi="Arial" w:cs="Arial"/>
                <w:sz w:val="16"/>
                <w:szCs w:val="16"/>
              </w:rPr>
              <w:t>-3.10</w:t>
            </w:r>
            <w:r w:rsidR="009707DD">
              <w:rPr>
                <w:rFonts w:ascii="Arial" w:hAnsi="Arial" w:cs="Arial"/>
                <w:sz w:val="16"/>
                <w:szCs w:val="16"/>
              </w:rPr>
              <w:t>0</w:t>
            </w:r>
          </w:p>
        </w:tc>
        <w:tc>
          <w:tcPr>
            <w:tcW w:w="1275" w:type="dxa"/>
            <w:tcBorders>
              <w:top w:val="nil"/>
              <w:left w:val="nil"/>
              <w:bottom w:val="nil"/>
              <w:right w:val="nil"/>
            </w:tcBorders>
            <w:shd w:val="clear" w:color="auto" w:fill="auto"/>
            <w:noWrap/>
            <w:vAlign w:val="bottom"/>
          </w:tcPr>
          <w:p w14:paraId="0B90D9CA" w14:textId="495F7C49" w:rsidR="00410DCC" w:rsidRPr="00594E4D" w:rsidRDefault="00410DCC" w:rsidP="00410DCC">
            <w:pPr>
              <w:jc w:val="right"/>
              <w:rPr>
                <w:rFonts w:ascii="Arial" w:hAnsi="Arial" w:cs="Arial"/>
                <w:sz w:val="16"/>
                <w:szCs w:val="16"/>
                <w:lang w:eastAsia="es-AR"/>
              </w:rPr>
            </w:pPr>
            <w:r>
              <w:rPr>
                <w:rFonts w:ascii="Arial" w:hAnsi="Arial" w:cs="Arial"/>
                <w:sz w:val="16"/>
                <w:szCs w:val="16"/>
                <w:lang w:eastAsia="es-AR"/>
              </w:rPr>
              <w:t>-</w:t>
            </w:r>
          </w:p>
        </w:tc>
      </w:tr>
      <w:tr w:rsidR="00410DCC" w:rsidRPr="000A0696" w14:paraId="21B92BE2" w14:textId="77777777" w:rsidTr="00410DCC">
        <w:trPr>
          <w:trHeight w:val="510"/>
        </w:trPr>
        <w:tc>
          <w:tcPr>
            <w:tcW w:w="6025" w:type="dxa"/>
            <w:tcBorders>
              <w:top w:val="single" w:sz="4" w:space="0" w:color="auto"/>
              <w:left w:val="nil"/>
              <w:bottom w:val="nil"/>
              <w:right w:val="nil"/>
            </w:tcBorders>
            <w:shd w:val="clear" w:color="auto" w:fill="auto"/>
            <w:vAlign w:val="bottom"/>
            <w:hideMark/>
          </w:tcPr>
          <w:p w14:paraId="456F8F45" w14:textId="4EFC0F75" w:rsidR="00410DCC" w:rsidRPr="000A0696" w:rsidRDefault="00410DCC" w:rsidP="00410DCC">
            <w:pPr>
              <w:rPr>
                <w:rFonts w:ascii="Arial" w:hAnsi="Arial" w:cs="Arial"/>
                <w:b/>
                <w:bCs/>
                <w:sz w:val="16"/>
                <w:szCs w:val="16"/>
                <w:lang w:eastAsia="es-AR"/>
              </w:rPr>
            </w:pPr>
            <w:r w:rsidRPr="000A0696">
              <w:rPr>
                <w:rFonts w:ascii="Arial" w:hAnsi="Arial" w:cs="Arial"/>
                <w:b/>
                <w:bCs/>
                <w:sz w:val="16"/>
                <w:szCs w:val="16"/>
                <w:lang w:eastAsia="es-AR"/>
              </w:rPr>
              <w:t>Total Otro Resultado Integral que se reclas</w:t>
            </w:r>
            <w:r>
              <w:rPr>
                <w:rFonts w:ascii="Arial" w:hAnsi="Arial" w:cs="Arial"/>
                <w:b/>
                <w:bCs/>
                <w:sz w:val="16"/>
                <w:szCs w:val="16"/>
                <w:lang w:eastAsia="es-AR"/>
              </w:rPr>
              <w:t>ificará al resultado del ejercicio</w:t>
            </w:r>
          </w:p>
        </w:tc>
        <w:tc>
          <w:tcPr>
            <w:tcW w:w="1276" w:type="dxa"/>
            <w:tcBorders>
              <w:top w:val="single" w:sz="4" w:space="0" w:color="auto"/>
              <w:left w:val="nil"/>
              <w:bottom w:val="nil"/>
              <w:right w:val="nil"/>
            </w:tcBorders>
            <w:shd w:val="clear" w:color="auto" w:fill="auto"/>
            <w:noWrap/>
            <w:vAlign w:val="bottom"/>
          </w:tcPr>
          <w:p w14:paraId="4AEC7125" w14:textId="58BE7FA0" w:rsidR="00410DCC" w:rsidRPr="00594E4D" w:rsidRDefault="00410DCC" w:rsidP="00410DCC">
            <w:pPr>
              <w:jc w:val="right"/>
              <w:rPr>
                <w:rFonts w:ascii="Arial" w:hAnsi="Arial" w:cs="Arial"/>
                <w:b/>
                <w:bCs/>
                <w:sz w:val="16"/>
                <w:szCs w:val="16"/>
                <w:lang w:eastAsia="es-AR"/>
              </w:rPr>
            </w:pPr>
            <w:r>
              <w:rPr>
                <w:rFonts w:ascii="Arial" w:hAnsi="Arial" w:cs="Arial"/>
                <w:b/>
                <w:bCs/>
                <w:sz w:val="16"/>
                <w:szCs w:val="16"/>
              </w:rPr>
              <w:t>7.2</w:t>
            </w:r>
            <w:r w:rsidR="009707DD">
              <w:rPr>
                <w:rFonts w:ascii="Arial" w:hAnsi="Arial" w:cs="Arial"/>
                <w:b/>
                <w:bCs/>
                <w:sz w:val="16"/>
                <w:szCs w:val="16"/>
              </w:rPr>
              <w:t>40</w:t>
            </w:r>
          </w:p>
        </w:tc>
        <w:tc>
          <w:tcPr>
            <w:tcW w:w="1275" w:type="dxa"/>
            <w:tcBorders>
              <w:top w:val="single" w:sz="4" w:space="0" w:color="auto"/>
              <w:left w:val="nil"/>
              <w:bottom w:val="nil"/>
              <w:right w:val="nil"/>
            </w:tcBorders>
            <w:shd w:val="clear" w:color="auto" w:fill="auto"/>
            <w:noWrap/>
            <w:vAlign w:val="bottom"/>
          </w:tcPr>
          <w:p w14:paraId="5F6E3376" w14:textId="6F2FD109" w:rsidR="00410DCC" w:rsidRPr="00594E4D" w:rsidRDefault="00410DCC" w:rsidP="00410DCC">
            <w:pPr>
              <w:jc w:val="right"/>
              <w:rPr>
                <w:rFonts w:ascii="Arial" w:hAnsi="Arial" w:cs="Arial"/>
                <w:b/>
                <w:bCs/>
                <w:sz w:val="16"/>
                <w:szCs w:val="16"/>
                <w:lang w:eastAsia="es-AR"/>
              </w:rPr>
            </w:pPr>
            <w:r>
              <w:rPr>
                <w:rFonts w:ascii="Arial" w:hAnsi="Arial" w:cs="Arial"/>
                <w:b/>
                <w:bCs/>
                <w:sz w:val="16"/>
                <w:szCs w:val="16"/>
                <w:lang w:eastAsia="es-AR"/>
              </w:rPr>
              <w:t>-</w:t>
            </w:r>
          </w:p>
        </w:tc>
      </w:tr>
      <w:tr w:rsidR="00410DCC" w:rsidRPr="007B44FD" w14:paraId="507D4D6A" w14:textId="77777777" w:rsidTr="00410DCC">
        <w:trPr>
          <w:trHeight w:val="123"/>
        </w:trPr>
        <w:tc>
          <w:tcPr>
            <w:tcW w:w="6025" w:type="dxa"/>
            <w:tcBorders>
              <w:top w:val="nil"/>
              <w:left w:val="nil"/>
              <w:bottom w:val="nil"/>
              <w:right w:val="nil"/>
            </w:tcBorders>
            <w:shd w:val="clear" w:color="auto" w:fill="auto"/>
            <w:vAlign w:val="bottom"/>
            <w:hideMark/>
          </w:tcPr>
          <w:p w14:paraId="57D533CC" w14:textId="77777777" w:rsidR="00410DCC" w:rsidRPr="007B44FD" w:rsidRDefault="00410DCC" w:rsidP="00410DCC">
            <w:pPr>
              <w:rPr>
                <w:rFonts w:ascii="Arial" w:hAnsi="Arial" w:cs="Arial"/>
                <w:b/>
                <w:bCs/>
                <w:sz w:val="10"/>
                <w:szCs w:val="10"/>
                <w:lang w:eastAsia="es-AR"/>
              </w:rPr>
            </w:pPr>
          </w:p>
        </w:tc>
        <w:tc>
          <w:tcPr>
            <w:tcW w:w="1276" w:type="dxa"/>
            <w:tcBorders>
              <w:top w:val="nil"/>
              <w:left w:val="nil"/>
              <w:bottom w:val="nil"/>
              <w:right w:val="nil"/>
            </w:tcBorders>
            <w:shd w:val="clear" w:color="auto" w:fill="auto"/>
            <w:noWrap/>
            <w:vAlign w:val="bottom"/>
          </w:tcPr>
          <w:p w14:paraId="23184736" w14:textId="1D5C4C21" w:rsidR="00410DCC" w:rsidRPr="00594E4D" w:rsidRDefault="00410DCC" w:rsidP="00410DCC">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bottom"/>
          </w:tcPr>
          <w:p w14:paraId="7F2BDAFE" w14:textId="68DD1F7B" w:rsidR="00410DCC" w:rsidRPr="00594E4D" w:rsidRDefault="00410DCC" w:rsidP="00410DCC">
            <w:pPr>
              <w:jc w:val="right"/>
              <w:rPr>
                <w:rFonts w:ascii="Arial" w:hAnsi="Arial" w:cs="Arial"/>
                <w:sz w:val="16"/>
                <w:szCs w:val="16"/>
                <w:lang w:eastAsia="es-AR"/>
              </w:rPr>
            </w:pPr>
          </w:p>
        </w:tc>
      </w:tr>
      <w:tr w:rsidR="00410DCC" w:rsidRPr="000A0696" w14:paraId="2CBFA658" w14:textId="77777777" w:rsidTr="00410DCC">
        <w:trPr>
          <w:trHeight w:val="319"/>
        </w:trPr>
        <w:tc>
          <w:tcPr>
            <w:tcW w:w="6025" w:type="dxa"/>
            <w:tcBorders>
              <w:top w:val="single" w:sz="4" w:space="0" w:color="auto"/>
              <w:left w:val="nil"/>
              <w:bottom w:val="single" w:sz="4" w:space="0" w:color="auto"/>
              <w:right w:val="nil"/>
            </w:tcBorders>
            <w:shd w:val="clear" w:color="auto" w:fill="auto"/>
            <w:vAlign w:val="center"/>
            <w:hideMark/>
          </w:tcPr>
          <w:p w14:paraId="720FC12F" w14:textId="77777777" w:rsidR="00410DCC" w:rsidRPr="000A0696" w:rsidRDefault="00410DCC" w:rsidP="00410DCC">
            <w:pPr>
              <w:rPr>
                <w:rFonts w:ascii="Arial" w:hAnsi="Arial" w:cs="Arial"/>
                <w:b/>
                <w:bCs/>
                <w:sz w:val="16"/>
                <w:szCs w:val="16"/>
                <w:lang w:eastAsia="es-AR"/>
              </w:rPr>
            </w:pPr>
            <w:r w:rsidRPr="000A0696">
              <w:rPr>
                <w:rFonts w:ascii="Arial" w:hAnsi="Arial" w:cs="Arial"/>
                <w:b/>
                <w:bCs/>
                <w:sz w:val="16"/>
                <w:szCs w:val="16"/>
                <w:lang w:eastAsia="es-AR"/>
              </w:rPr>
              <w:t>Total Otro Resultado Integral</w:t>
            </w:r>
          </w:p>
        </w:tc>
        <w:tc>
          <w:tcPr>
            <w:tcW w:w="1276" w:type="dxa"/>
            <w:tcBorders>
              <w:top w:val="single" w:sz="4" w:space="0" w:color="auto"/>
              <w:left w:val="nil"/>
              <w:bottom w:val="single" w:sz="4" w:space="0" w:color="auto"/>
              <w:right w:val="nil"/>
            </w:tcBorders>
            <w:shd w:val="clear" w:color="auto" w:fill="auto"/>
            <w:noWrap/>
            <w:vAlign w:val="bottom"/>
          </w:tcPr>
          <w:p w14:paraId="039DCE61" w14:textId="626426DB" w:rsidR="00410DCC" w:rsidRPr="00594E4D" w:rsidRDefault="00410DCC" w:rsidP="00410DCC">
            <w:pPr>
              <w:jc w:val="right"/>
              <w:rPr>
                <w:rFonts w:ascii="Arial" w:hAnsi="Arial" w:cs="Arial"/>
                <w:b/>
                <w:bCs/>
                <w:sz w:val="16"/>
                <w:szCs w:val="16"/>
                <w:lang w:eastAsia="es-AR"/>
              </w:rPr>
            </w:pPr>
            <w:r>
              <w:rPr>
                <w:rFonts w:ascii="Arial" w:hAnsi="Arial" w:cs="Arial"/>
                <w:b/>
                <w:bCs/>
                <w:sz w:val="16"/>
                <w:szCs w:val="16"/>
              </w:rPr>
              <w:t>456.232</w:t>
            </w:r>
          </w:p>
        </w:tc>
        <w:tc>
          <w:tcPr>
            <w:tcW w:w="1275" w:type="dxa"/>
            <w:tcBorders>
              <w:top w:val="single" w:sz="4" w:space="0" w:color="auto"/>
              <w:left w:val="nil"/>
              <w:bottom w:val="single" w:sz="4" w:space="0" w:color="auto"/>
              <w:right w:val="nil"/>
            </w:tcBorders>
            <w:shd w:val="clear" w:color="auto" w:fill="auto"/>
            <w:noWrap/>
            <w:vAlign w:val="bottom"/>
          </w:tcPr>
          <w:p w14:paraId="09AF7F9F" w14:textId="087B34F2" w:rsidR="00410DCC" w:rsidRPr="00594E4D" w:rsidRDefault="00410DCC" w:rsidP="00410DCC">
            <w:pPr>
              <w:jc w:val="right"/>
              <w:rPr>
                <w:rFonts w:ascii="Arial" w:hAnsi="Arial" w:cs="Arial"/>
                <w:b/>
                <w:bCs/>
                <w:sz w:val="16"/>
                <w:szCs w:val="16"/>
                <w:lang w:eastAsia="es-AR"/>
              </w:rPr>
            </w:pPr>
            <w:r w:rsidRPr="00594E4D">
              <w:rPr>
                <w:rFonts w:ascii="Arial" w:hAnsi="Arial" w:cs="Arial"/>
                <w:b/>
                <w:bCs/>
                <w:sz w:val="16"/>
                <w:szCs w:val="16"/>
              </w:rPr>
              <w:t>442.146</w:t>
            </w:r>
          </w:p>
        </w:tc>
      </w:tr>
      <w:tr w:rsidR="00410DCC" w:rsidRPr="000A0696" w14:paraId="3DC9414D" w14:textId="77777777" w:rsidTr="00410DCC">
        <w:trPr>
          <w:trHeight w:val="319"/>
        </w:trPr>
        <w:tc>
          <w:tcPr>
            <w:tcW w:w="6025" w:type="dxa"/>
            <w:tcBorders>
              <w:top w:val="nil"/>
              <w:left w:val="nil"/>
              <w:bottom w:val="nil"/>
              <w:right w:val="nil"/>
            </w:tcBorders>
            <w:shd w:val="clear" w:color="auto" w:fill="auto"/>
            <w:vAlign w:val="center"/>
            <w:hideMark/>
          </w:tcPr>
          <w:p w14:paraId="4F5D3E8E" w14:textId="77777777" w:rsidR="00410DCC" w:rsidRPr="000A0696" w:rsidRDefault="00410DCC" w:rsidP="00410DCC">
            <w:pPr>
              <w:rPr>
                <w:rFonts w:ascii="Arial" w:hAnsi="Arial" w:cs="Arial"/>
                <w:b/>
                <w:bCs/>
                <w:sz w:val="16"/>
                <w:szCs w:val="16"/>
                <w:lang w:eastAsia="es-AR"/>
              </w:rPr>
            </w:pPr>
          </w:p>
        </w:tc>
        <w:tc>
          <w:tcPr>
            <w:tcW w:w="1276" w:type="dxa"/>
            <w:tcBorders>
              <w:top w:val="nil"/>
              <w:left w:val="nil"/>
              <w:bottom w:val="nil"/>
              <w:right w:val="nil"/>
            </w:tcBorders>
            <w:shd w:val="clear" w:color="auto" w:fill="auto"/>
            <w:noWrap/>
            <w:vAlign w:val="bottom"/>
          </w:tcPr>
          <w:p w14:paraId="0BC11650" w14:textId="1C3AAB5B" w:rsidR="00410DCC" w:rsidRPr="00594E4D" w:rsidRDefault="00410DCC" w:rsidP="00410DCC">
            <w:pPr>
              <w:jc w:val="right"/>
              <w:rPr>
                <w:rFonts w:ascii="Arial" w:hAnsi="Arial" w:cs="Arial"/>
                <w:sz w:val="16"/>
                <w:szCs w:val="16"/>
                <w:lang w:eastAsia="es-AR"/>
              </w:rPr>
            </w:pPr>
          </w:p>
        </w:tc>
        <w:tc>
          <w:tcPr>
            <w:tcW w:w="1275" w:type="dxa"/>
            <w:tcBorders>
              <w:top w:val="nil"/>
              <w:left w:val="nil"/>
              <w:bottom w:val="nil"/>
              <w:right w:val="nil"/>
            </w:tcBorders>
            <w:shd w:val="clear" w:color="auto" w:fill="auto"/>
            <w:noWrap/>
            <w:vAlign w:val="bottom"/>
          </w:tcPr>
          <w:p w14:paraId="5259100A" w14:textId="58BCB570" w:rsidR="00410DCC" w:rsidRPr="00594E4D" w:rsidRDefault="00410DCC" w:rsidP="00410DCC">
            <w:pPr>
              <w:jc w:val="right"/>
              <w:rPr>
                <w:rFonts w:ascii="Arial" w:hAnsi="Arial" w:cs="Arial"/>
                <w:sz w:val="16"/>
                <w:szCs w:val="16"/>
                <w:lang w:eastAsia="es-AR"/>
              </w:rPr>
            </w:pPr>
          </w:p>
        </w:tc>
      </w:tr>
      <w:tr w:rsidR="00410DCC" w:rsidRPr="000A0696" w14:paraId="60D69BBF" w14:textId="77777777" w:rsidTr="00410DCC">
        <w:trPr>
          <w:trHeight w:val="253"/>
        </w:trPr>
        <w:tc>
          <w:tcPr>
            <w:tcW w:w="6025" w:type="dxa"/>
            <w:tcBorders>
              <w:top w:val="single" w:sz="4" w:space="0" w:color="auto"/>
              <w:left w:val="nil"/>
              <w:bottom w:val="single" w:sz="4" w:space="0" w:color="auto"/>
              <w:right w:val="nil"/>
            </w:tcBorders>
            <w:shd w:val="clear" w:color="auto" w:fill="auto"/>
            <w:vAlign w:val="center"/>
            <w:hideMark/>
          </w:tcPr>
          <w:p w14:paraId="6CDAEF80" w14:textId="77777777" w:rsidR="00410DCC" w:rsidRPr="000A0696" w:rsidRDefault="00410DCC" w:rsidP="00410DCC">
            <w:pPr>
              <w:rPr>
                <w:rFonts w:ascii="Arial" w:hAnsi="Arial" w:cs="Arial"/>
                <w:b/>
                <w:bCs/>
                <w:sz w:val="16"/>
                <w:szCs w:val="16"/>
                <w:lang w:eastAsia="es-AR"/>
              </w:rPr>
            </w:pPr>
            <w:r w:rsidRPr="000A0696">
              <w:rPr>
                <w:rFonts w:ascii="Arial" w:hAnsi="Arial" w:cs="Arial"/>
                <w:b/>
                <w:bCs/>
                <w:sz w:val="16"/>
                <w:szCs w:val="16"/>
                <w:lang w:eastAsia="es-AR"/>
              </w:rPr>
              <w:t>RESULTADO INTEGRAL TOTAL</w:t>
            </w:r>
          </w:p>
        </w:tc>
        <w:tc>
          <w:tcPr>
            <w:tcW w:w="1276" w:type="dxa"/>
            <w:tcBorders>
              <w:top w:val="single" w:sz="4" w:space="0" w:color="auto"/>
              <w:left w:val="nil"/>
              <w:bottom w:val="single" w:sz="4" w:space="0" w:color="auto"/>
              <w:right w:val="nil"/>
            </w:tcBorders>
            <w:shd w:val="clear" w:color="auto" w:fill="auto"/>
            <w:noWrap/>
            <w:vAlign w:val="bottom"/>
          </w:tcPr>
          <w:p w14:paraId="00AD40B3" w14:textId="04892D41" w:rsidR="00410DCC" w:rsidRPr="00594E4D" w:rsidRDefault="00410DCC" w:rsidP="00410DCC">
            <w:pPr>
              <w:jc w:val="right"/>
              <w:rPr>
                <w:rFonts w:ascii="Arial" w:hAnsi="Arial" w:cs="Arial"/>
                <w:b/>
                <w:bCs/>
                <w:sz w:val="16"/>
                <w:szCs w:val="16"/>
                <w:lang w:eastAsia="es-AR"/>
              </w:rPr>
            </w:pPr>
            <w:r>
              <w:rPr>
                <w:rFonts w:ascii="Arial" w:hAnsi="Arial" w:cs="Arial"/>
                <w:b/>
                <w:bCs/>
                <w:sz w:val="16"/>
                <w:szCs w:val="16"/>
              </w:rPr>
              <w:t>3.7</w:t>
            </w:r>
            <w:r w:rsidR="009707DD">
              <w:rPr>
                <w:rFonts w:ascii="Arial" w:hAnsi="Arial" w:cs="Arial"/>
                <w:b/>
                <w:bCs/>
                <w:sz w:val="16"/>
                <w:szCs w:val="16"/>
              </w:rPr>
              <w:t>76</w:t>
            </w:r>
            <w:r>
              <w:rPr>
                <w:rFonts w:ascii="Arial" w:hAnsi="Arial" w:cs="Arial"/>
                <w:b/>
                <w:bCs/>
                <w:sz w:val="16"/>
                <w:szCs w:val="16"/>
              </w:rPr>
              <w:t>.</w:t>
            </w:r>
            <w:r w:rsidR="009707DD">
              <w:rPr>
                <w:rFonts w:ascii="Arial" w:hAnsi="Arial" w:cs="Arial"/>
                <w:b/>
                <w:bCs/>
                <w:sz w:val="16"/>
                <w:szCs w:val="16"/>
              </w:rPr>
              <w:t>648</w:t>
            </w:r>
          </w:p>
        </w:tc>
        <w:tc>
          <w:tcPr>
            <w:tcW w:w="1275" w:type="dxa"/>
            <w:tcBorders>
              <w:top w:val="single" w:sz="4" w:space="0" w:color="auto"/>
              <w:left w:val="nil"/>
              <w:bottom w:val="single" w:sz="4" w:space="0" w:color="auto"/>
              <w:right w:val="nil"/>
            </w:tcBorders>
            <w:shd w:val="clear" w:color="auto" w:fill="auto"/>
            <w:noWrap/>
            <w:vAlign w:val="bottom"/>
          </w:tcPr>
          <w:p w14:paraId="051A6663" w14:textId="59029E9E" w:rsidR="00410DCC" w:rsidRPr="00594E4D" w:rsidRDefault="00410DCC" w:rsidP="00410DCC">
            <w:pPr>
              <w:jc w:val="right"/>
              <w:rPr>
                <w:rFonts w:ascii="Arial" w:hAnsi="Arial" w:cs="Arial"/>
                <w:b/>
                <w:bCs/>
                <w:sz w:val="16"/>
                <w:szCs w:val="16"/>
                <w:lang w:eastAsia="es-AR"/>
              </w:rPr>
            </w:pPr>
            <w:r w:rsidRPr="00594E4D">
              <w:rPr>
                <w:rFonts w:ascii="Arial" w:hAnsi="Arial" w:cs="Arial"/>
                <w:b/>
                <w:bCs/>
                <w:sz w:val="16"/>
                <w:szCs w:val="16"/>
              </w:rPr>
              <w:t>2.112.661</w:t>
            </w:r>
          </w:p>
        </w:tc>
      </w:tr>
    </w:tbl>
    <w:p w14:paraId="2AC4FBA4" w14:textId="77777777" w:rsidR="00343F2B" w:rsidRPr="00701F32" w:rsidRDefault="00343F2B" w:rsidP="005C2DE7">
      <w:pPr>
        <w:tabs>
          <w:tab w:val="left" w:pos="1365"/>
        </w:tabs>
        <w:rPr>
          <w:lang w:val="es-ES_tradnl"/>
        </w:rPr>
      </w:pPr>
    </w:p>
    <w:p w14:paraId="61F6845D" w14:textId="77777777" w:rsidR="00F55C3D" w:rsidRPr="00701F32" w:rsidRDefault="00F55C3D" w:rsidP="005C2DE7">
      <w:pPr>
        <w:tabs>
          <w:tab w:val="left" w:pos="1365"/>
        </w:tabs>
        <w:rPr>
          <w:lang w:val="es-ES_tradnl"/>
        </w:rPr>
      </w:pPr>
    </w:p>
    <w:p w14:paraId="4940D00E" w14:textId="7D5B802C" w:rsidR="00F55C3D" w:rsidRPr="00701F32" w:rsidRDefault="00F55C3D" w:rsidP="005C2DE7">
      <w:pPr>
        <w:tabs>
          <w:tab w:val="left" w:pos="1365"/>
        </w:tabs>
        <w:rPr>
          <w:lang w:val="es-ES_tradnl"/>
        </w:rPr>
        <w:sectPr w:rsidR="00F55C3D" w:rsidRPr="00701F32" w:rsidSect="007045C3">
          <w:headerReference w:type="default" r:id="rId47"/>
          <w:pgSz w:w="11907" w:h="16839" w:code="9"/>
          <w:pgMar w:top="1418" w:right="1701" w:bottom="1418" w:left="1701" w:header="567" w:footer="0" w:gutter="0"/>
          <w:paperSrc w:first="256" w:other="256"/>
          <w:cols w:space="720"/>
          <w:docGrid w:linePitch="326"/>
        </w:sectPr>
      </w:pPr>
    </w:p>
    <w:tbl>
      <w:tblPr>
        <w:tblW w:w="13305" w:type="dxa"/>
        <w:tblLayout w:type="fixed"/>
        <w:tblCellMar>
          <w:left w:w="70" w:type="dxa"/>
          <w:right w:w="70" w:type="dxa"/>
        </w:tblCellMar>
        <w:tblLook w:val="04A0" w:firstRow="1" w:lastRow="0" w:firstColumn="1" w:lastColumn="0" w:noHBand="0" w:noVBand="1"/>
      </w:tblPr>
      <w:tblGrid>
        <w:gridCol w:w="3783"/>
        <w:gridCol w:w="880"/>
        <w:gridCol w:w="1057"/>
        <w:gridCol w:w="1272"/>
        <w:gridCol w:w="931"/>
        <w:gridCol w:w="957"/>
        <w:gridCol w:w="1043"/>
        <w:gridCol w:w="1031"/>
        <w:gridCol w:w="1165"/>
        <w:gridCol w:w="1186"/>
      </w:tblGrid>
      <w:tr w:rsidR="005078C4" w:rsidRPr="007368F0" w14:paraId="7D752844" w14:textId="77777777" w:rsidTr="00556388">
        <w:trPr>
          <w:trHeight w:val="512"/>
        </w:trPr>
        <w:tc>
          <w:tcPr>
            <w:tcW w:w="3783"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432A4DCC" w14:textId="77777777" w:rsidR="005078C4" w:rsidRPr="007368F0" w:rsidRDefault="005078C4" w:rsidP="005078C4">
            <w:pPr>
              <w:jc w:val="center"/>
              <w:rPr>
                <w:rFonts w:ascii="Arial" w:hAnsi="Arial" w:cs="Arial"/>
                <w:b/>
                <w:bCs/>
                <w:sz w:val="16"/>
                <w:szCs w:val="16"/>
                <w:lang w:eastAsia="es-AR"/>
              </w:rPr>
            </w:pPr>
            <w:bookmarkStart w:id="45" w:name="OLE_LINK5"/>
            <w:r w:rsidRPr="007368F0">
              <w:rPr>
                <w:rFonts w:ascii="Arial" w:hAnsi="Arial" w:cs="Arial"/>
                <w:b/>
                <w:bCs/>
                <w:sz w:val="16"/>
                <w:szCs w:val="16"/>
                <w:lang w:eastAsia="es-AR"/>
              </w:rPr>
              <w:t>Movimientos</w:t>
            </w:r>
          </w:p>
        </w:tc>
        <w:tc>
          <w:tcPr>
            <w:tcW w:w="88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48F7731C" w14:textId="77777777" w:rsidR="005078C4" w:rsidRPr="007368F0" w:rsidRDefault="005078C4" w:rsidP="005078C4">
            <w:pPr>
              <w:jc w:val="center"/>
              <w:rPr>
                <w:rFonts w:ascii="Arial" w:hAnsi="Arial" w:cs="Arial"/>
                <w:b/>
                <w:bCs/>
                <w:sz w:val="16"/>
                <w:szCs w:val="16"/>
                <w:lang w:eastAsia="es-AR"/>
              </w:rPr>
            </w:pPr>
            <w:r w:rsidRPr="007368F0">
              <w:rPr>
                <w:rFonts w:ascii="Arial" w:hAnsi="Arial" w:cs="Arial"/>
                <w:b/>
                <w:bCs/>
                <w:sz w:val="16"/>
                <w:szCs w:val="16"/>
                <w:lang w:eastAsia="es-AR"/>
              </w:rPr>
              <w:t>Nota</w:t>
            </w:r>
          </w:p>
        </w:tc>
        <w:tc>
          <w:tcPr>
            <w:tcW w:w="1057"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74EBB9B4" w14:textId="77777777" w:rsidR="005078C4" w:rsidRPr="007368F0" w:rsidRDefault="005078C4" w:rsidP="005078C4">
            <w:pPr>
              <w:jc w:val="center"/>
              <w:rPr>
                <w:rFonts w:ascii="Arial" w:hAnsi="Arial" w:cs="Arial"/>
                <w:b/>
                <w:bCs/>
                <w:sz w:val="16"/>
                <w:szCs w:val="16"/>
                <w:lang w:eastAsia="es-AR"/>
              </w:rPr>
            </w:pPr>
            <w:r w:rsidRPr="007368F0">
              <w:rPr>
                <w:rFonts w:ascii="Arial" w:hAnsi="Arial" w:cs="Arial"/>
                <w:b/>
                <w:bCs/>
                <w:sz w:val="16"/>
                <w:szCs w:val="16"/>
                <w:lang w:eastAsia="es-AR"/>
              </w:rPr>
              <w:t>Capital Social</w:t>
            </w:r>
          </w:p>
        </w:tc>
        <w:tc>
          <w:tcPr>
            <w:tcW w:w="1272"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5807D781" w14:textId="54F6CC44" w:rsidR="005078C4" w:rsidRPr="007368F0" w:rsidRDefault="005078C4" w:rsidP="005078C4">
            <w:pPr>
              <w:jc w:val="center"/>
              <w:rPr>
                <w:rFonts w:ascii="Arial" w:hAnsi="Arial" w:cs="Arial"/>
                <w:b/>
                <w:bCs/>
                <w:sz w:val="16"/>
                <w:szCs w:val="16"/>
                <w:lang w:eastAsia="es-AR"/>
              </w:rPr>
            </w:pPr>
            <w:r w:rsidRPr="007368F0">
              <w:rPr>
                <w:rFonts w:ascii="Arial" w:hAnsi="Arial" w:cs="Arial"/>
                <w:b/>
                <w:bCs/>
                <w:sz w:val="16"/>
                <w:szCs w:val="16"/>
                <w:lang w:eastAsia="es-AR"/>
              </w:rPr>
              <w:t>Aportes no capitalizados</w:t>
            </w:r>
          </w:p>
        </w:tc>
        <w:tc>
          <w:tcPr>
            <w:tcW w:w="1888"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3FE36401" w14:textId="24ACC7F1" w:rsidR="005078C4" w:rsidRPr="007368F0" w:rsidRDefault="005078C4">
            <w:pPr>
              <w:jc w:val="center"/>
              <w:rPr>
                <w:rFonts w:ascii="Arial" w:hAnsi="Arial" w:cs="Arial"/>
                <w:b/>
                <w:bCs/>
                <w:sz w:val="16"/>
                <w:szCs w:val="16"/>
                <w:lang w:eastAsia="es-AR"/>
              </w:rPr>
            </w:pPr>
            <w:r w:rsidRPr="007368F0">
              <w:rPr>
                <w:rFonts w:ascii="Arial" w:hAnsi="Arial" w:cs="Arial"/>
                <w:b/>
                <w:bCs/>
                <w:sz w:val="16"/>
                <w:szCs w:val="16"/>
                <w:lang w:eastAsia="es-AR"/>
              </w:rPr>
              <w:t>Otros Resultados Integrales</w:t>
            </w:r>
          </w:p>
        </w:tc>
        <w:tc>
          <w:tcPr>
            <w:tcW w:w="2074" w:type="dxa"/>
            <w:gridSpan w:val="2"/>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098FF3C6" w14:textId="1EA8829F" w:rsidR="005078C4" w:rsidRPr="007368F0" w:rsidRDefault="005078C4">
            <w:pPr>
              <w:jc w:val="center"/>
              <w:rPr>
                <w:rFonts w:ascii="Arial" w:hAnsi="Arial" w:cs="Arial"/>
                <w:b/>
                <w:bCs/>
                <w:sz w:val="16"/>
                <w:szCs w:val="16"/>
                <w:lang w:eastAsia="es-AR"/>
              </w:rPr>
            </w:pPr>
            <w:r w:rsidRPr="007368F0">
              <w:rPr>
                <w:rFonts w:ascii="Arial" w:hAnsi="Arial" w:cs="Arial"/>
                <w:b/>
                <w:bCs/>
                <w:sz w:val="16"/>
                <w:szCs w:val="16"/>
                <w:lang w:eastAsia="es-AR"/>
              </w:rPr>
              <w:t>Reserva de utilidades</w:t>
            </w:r>
          </w:p>
        </w:tc>
        <w:tc>
          <w:tcPr>
            <w:tcW w:w="1165" w:type="dxa"/>
            <w:vMerge w:val="restart"/>
            <w:tcBorders>
              <w:top w:val="single" w:sz="4" w:space="0" w:color="363639"/>
              <w:left w:val="single" w:sz="4" w:space="0" w:color="363639"/>
              <w:right w:val="single" w:sz="4" w:space="0" w:color="363639"/>
            </w:tcBorders>
            <w:shd w:val="clear" w:color="auto" w:fill="BFBFBF" w:themeFill="background1" w:themeFillShade="BF"/>
            <w:vAlign w:val="center"/>
            <w:hideMark/>
          </w:tcPr>
          <w:p w14:paraId="5C304349" w14:textId="38332603" w:rsidR="005078C4" w:rsidRPr="007368F0" w:rsidRDefault="005078C4" w:rsidP="00534414">
            <w:pPr>
              <w:jc w:val="center"/>
              <w:rPr>
                <w:rFonts w:ascii="Arial" w:hAnsi="Arial" w:cs="Arial"/>
                <w:b/>
                <w:bCs/>
                <w:sz w:val="16"/>
                <w:szCs w:val="16"/>
                <w:lang w:eastAsia="es-AR"/>
              </w:rPr>
            </w:pPr>
            <w:r w:rsidRPr="007368F0">
              <w:rPr>
                <w:rFonts w:ascii="Arial" w:hAnsi="Arial" w:cs="Arial"/>
                <w:b/>
                <w:bCs/>
                <w:sz w:val="16"/>
                <w:szCs w:val="16"/>
                <w:lang w:eastAsia="es-AR"/>
              </w:rPr>
              <w:t>Resultados no Asignados</w:t>
            </w:r>
          </w:p>
        </w:tc>
        <w:tc>
          <w:tcPr>
            <w:tcW w:w="1186" w:type="dxa"/>
            <w:vMerge w:val="restart"/>
            <w:tcBorders>
              <w:top w:val="single" w:sz="4" w:space="0" w:color="363639"/>
              <w:left w:val="single" w:sz="4" w:space="0" w:color="363639"/>
              <w:right w:val="single" w:sz="4" w:space="0" w:color="363639"/>
            </w:tcBorders>
            <w:shd w:val="clear" w:color="auto" w:fill="BFBFBF" w:themeFill="background1" w:themeFillShade="BF"/>
            <w:vAlign w:val="center"/>
            <w:hideMark/>
          </w:tcPr>
          <w:p w14:paraId="4292312B" w14:textId="1618A33F" w:rsidR="005078C4" w:rsidRPr="007368F0" w:rsidRDefault="005078C4" w:rsidP="005A6E14">
            <w:pPr>
              <w:jc w:val="center"/>
              <w:rPr>
                <w:rFonts w:ascii="Arial" w:hAnsi="Arial" w:cs="Arial"/>
                <w:b/>
                <w:bCs/>
                <w:sz w:val="16"/>
                <w:szCs w:val="16"/>
                <w:lang w:eastAsia="es-AR"/>
              </w:rPr>
            </w:pPr>
            <w:r w:rsidRPr="007368F0">
              <w:rPr>
                <w:rFonts w:ascii="Arial" w:hAnsi="Arial" w:cs="Arial"/>
                <w:b/>
                <w:bCs/>
                <w:sz w:val="16"/>
                <w:szCs w:val="16"/>
                <w:lang w:eastAsia="es-AR"/>
              </w:rPr>
              <w:t>Total PN al</w:t>
            </w:r>
            <w:r w:rsidR="005A6E14" w:rsidRPr="007368F0">
              <w:rPr>
                <w:rFonts w:ascii="Arial" w:hAnsi="Arial" w:cs="Arial"/>
                <w:b/>
                <w:bCs/>
                <w:sz w:val="16"/>
                <w:szCs w:val="16"/>
                <w:lang w:eastAsia="es-AR"/>
              </w:rPr>
              <w:t xml:space="preserve"> </w:t>
            </w:r>
            <w:r w:rsidR="003C2633">
              <w:rPr>
                <w:rFonts w:ascii="Arial" w:hAnsi="Arial" w:cs="Arial"/>
                <w:b/>
                <w:bCs/>
                <w:sz w:val="16"/>
                <w:szCs w:val="16"/>
                <w:lang w:eastAsia="es-AR"/>
              </w:rPr>
              <w:t>3</w:t>
            </w:r>
            <w:r w:rsidR="009326EC">
              <w:rPr>
                <w:rFonts w:ascii="Arial" w:hAnsi="Arial" w:cs="Arial"/>
                <w:b/>
                <w:bCs/>
                <w:sz w:val="16"/>
                <w:szCs w:val="16"/>
                <w:lang w:eastAsia="es-AR"/>
              </w:rPr>
              <w:t>1</w:t>
            </w:r>
            <w:r w:rsidR="003C2633">
              <w:rPr>
                <w:rFonts w:ascii="Arial" w:hAnsi="Arial" w:cs="Arial"/>
                <w:b/>
                <w:bCs/>
                <w:sz w:val="16"/>
                <w:szCs w:val="16"/>
                <w:lang w:eastAsia="es-AR"/>
              </w:rPr>
              <w:t>/</w:t>
            </w:r>
            <w:r w:rsidR="009326EC">
              <w:rPr>
                <w:rFonts w:ascii="Arial" w:hAnsi="Arial" w:cs="Arial"/>
                <w:b/>
                <w:bCs/>
                <w:sz w:val="16"/>
                <w:szCs w:val="16"/>
                <w:lang w:eastAsia="es-AR"/>
              </w:rPr>
              <w:t>12</w:t>
            </w:r>
            <w:r w:rsidR="003C2633">
              <w:rPr>
                <w:rFonts w:ascii="Arial" w:hAnsi="Arial" w:cs="Arial"/>
                <w:b/>
                <w:bCs/>
                <w:sz w:val="16"/>
                <w:szCs w:val="16"/>
                <w:lang w:eastAsia="es-AR"/>
              </w:rPr>
              <w:t>/2019</w:t>
            </w:r>
          </w:p>
        </w:tc>
      </w:tr>
      <w:tr w:rsidR="005078C4" w:rsidRPr="007368F0" w14:paraId="6DF54F1C" w14:textId="77777777" w:rsidTr="009326EC">
        <w:trPr>
          <w:trHeight w:val="1350"/>
        </w:trPr>
        <w:tc>
          <w:tcPr>
            <w:tcW w:w="3783" w:type="dxa"/>
            <w:vMerge/>
            <w:tcBorders>
              <w:top w:val="single" w:sz="4" w:space="0" w:color="363639"/>
              <w:left w:val="single" w:sz="4" w:space="0" w:color="363639"/>
              <w:bottom w:val="single" w:sz="4" w:space="0" w:color="363639"/>
              <w:right w:val="single" w:sz="4" w:space="0" w:color="363639"/>
            </w:tcBorders>
            <w:vAlign w:val="center"/>
            <w:hideMark/>
          </w:tcPr>
          <w:p w14:paraId="1296BD41" w14:textId="77777777" w:rsidR="005078C4" w:rsidRPr="007368F0" w:rsidRDefault="005078C4" w:rsidP="005078C4">
            <w:pPr>
              <w:rPr>
                <w:rFonts w:ascii="Arial" w:hAnsi="Arial" w:cs="Arial"/>
                <w:b/>
                <w:bCs/>
                <w:sz w:val="16"/>
                <w:szCs w:val="16"/>
                <w:lang w:eastAsia="es-AR"/>
              </w:rPr>
            </w:pPr>
          </w:p>
        </w:tc>
        <w:tc>
          <w:tcPr>
            <w:tcW w:w="880" w:type="dxa"/>
            <w:vMerge/>
            <w:tcBorders>
              <w:top w:val="single" w:sz="4" w:space="0" w:color="363639"/>
              <w:left w:val="single" w:sz="4" w:space="0" w:color="363639"/>
              <w:bottom w:val="single" w:sz="4" w:space="0" w:color="363639"/>
              <w:right w:val="single" w:sz="4" w:space="0" w:color="363639"/>
            </w:tcBorders>
            <w:vAlign w:val="center"/>
            <w:hideMark/>
          </w:tcPr>
          <w:p w14:paraId="3BE72687" w14:textId="77777777" w:rsidR="005078C4" w:rsidRPr="007368F0" w:rsidRDefault="005078C4" w:rsidP="005078C4">
            <w:pPr>
              <w:rPr>
                <w:rFonts w:ascii="Arial" w:hAnsi="Arial" w:cs="Arial"/>
                <w:b/>
                <w:bCs/>
                <w:sz w:val="16"/>
                <w:szCs w:val="16"/>
                <w:lang w:eastAsia="es-AR"/>
              </w:rPr>
            </w:pPr>
          </w:p>
        </w:tc>
        <w:tc>
          <w:tcPr>
            <w:tcW w:w="1057" w:type="dxa"/>
            <w:tcBorders>
              <w:top w:val="nil"/>
              <w:left w:val="nil"/>
              <w:bottom w:val="single" w:sz="4" w:space="0" w:color="363639"/>
              <w:right w:val="single" w:sz="4" w:space="0" w:color="363639"/>
            </w:tcBorders>
            <w:shd w:val="clear" w:color="auto" w:fill="BFBFBF" w:themeFill="background1" w:themeFillShade="BF"/>
            <w:vAlign w:val="center"/>
            <w:hideMark/>
          </w:tcPr>
          <w:p w14:paraId="2DBDE090" w14:textId="77777777" w:rsidR="005078C4" w:rsidRPr="007368F0" w:rsidRDefault="005078C4" w:rsidP="005078C4">
            <w:pPr>
              <w:jc w:val="center"/>
              <w:rPr>
                <w:rFonts w:ascii="Arial" w:hAnsi="Arial" w:cs="Arial"/>
                <w:b/>
                <w:bCs/>
                <w:sz w:val="16"/>
                <w:szCs w:val="16"/>
                <w:lang w:eastAsia="es-AR"/>
              </w:rPr>
            </w:pPr>
            <w:r w:rsidRPr="007368F0">
              <w:rPr>
                <w:rFonts w:ascii="Arial" w:hAnsi="Arial" w:cs="Arial"/>
                <w:b/>
                <w:bCs/>
                <w:sz w:val="16"/>
                <w:szCs w:val="16"/>
                <w:lang w:eastAsia="es-AR"/>
              </w:rPr>
              <w:t>En circula ción</w:t>
            </w:r>
          </w:p>
        </w:tc>
        <w:tc>
          <w:tcPr>
            <w:tcW w:w="1272" w:type="dxa"/>
            <w:tcBorders>
              <w:top w:val="nil"/>
              <w:left w:val="nil"/>
              <w:bottom w:val="single" w:sz="4" w:space="0" w:color="363639"/>
              <w:right w:val="single" w:sz="4" w:space="0" w:color="363639"/>
            </w:tcBorders>
            <w:shd w:val="clear" w:color="auto" w:fill="BFBFBF" w:themeFill="background1" w:themeFillShade="BF"/>
            <w:vAlign w:val="center"/>
            <w:hideMark/>
          </w:tcPr>
          <w:p w14:paraId="685CADC8" w14:textId="77777777" w:rsidR="005078C4" w:rsidRPr="007368F0" w:rsidRDefault="005078C4" w:rsidP="005078C4">
            <w:pPr>
              <w:jc w:val="center"/>
              <w:rPr>
                <w:rFonts w:ascii="Arial" w:hAnsi="Arial" w:cs="Arial"/>
                <w:b/>
                <w:bCs/>
                <w:sz w:val="16"/>
                <w:szCs w:val="16"/>
                <w:lang w:eastAsia="es-AR"/>
              </w:rPr>
            </w:pPr>
            <w:r w:rsidRPr="007368F0">
              <w:rPr>
                <w:rFonts w:ascii="Arial" w:hAnsi="Arial" w:cs="Arial"/>
                <w:b/>
                <w:bCs/>
                <w:sz w:val="16"/>
                <w:szCs w:val="16"/>
                <w:lang w:eastAsia="es-AR"/>
              </w:rPr>
              <w:t>Primas de emisión de acciones</w:t>
            </w:r>
          </w:p>
        </w:tc>
        <w:tc>
          <w:tcPr>
            <w:tcW w:w="931" w:type="dxa"/>
            <w:tcBorders>
              <w:top w:val="nil"/>
              <w:left w:val="nil"/>
              <w:bottom w:val="single" w:sz="4" w:space="0" w:color="363639"/>
              <w:right w:val="single" w:sz="4" w:space="0" w:color="363639"/>
            </w:tcBorders>
            <w:shd w:val="clear" w:color="auto" w:fill="BFBFBF" w:themeFill="background1" w:themeFillShade="BF"/>
            <w:vAlign w:val="center"/>
            <w:hideMark/>
          </w:tcPr>
          <w:p w14:paraId="4683B7B5" w14:textId="77777777" w:rsidR="005078C4" w:rsidRPr="007368F0" w:rsidRDefault="005078C4" w:rsidP="005078C4">
            <w:pPr>
              <w:jc w:val="center"/>
              <w:rPr>
                <w:rFonts w:ascii="Arial" w:hAnsi="Arial" w:cs="Arial"/>
                <w:b/>
                <w:bCs/>
                <w:sz w:val="16"/>
                <w:szCs w:val="16"/>
                <w:lang w:eastAsia="es-AR"/>
              </w:rPr>
            </w:pPr>
            <w:r w:rsidRPr="007368F0">
              <w:rPr>
                <w:rFonts w:ascii="Arial" w:hAnsi="Arial" w:cs="Arial"/>
                <w:b/>
                <w:bCs/>
                <w:sz w:val="16"/>
                <w:szCs w:val="16"/>
                <w:lang w:eastAsia="es-AR"/>
              </w:rPr>
              <w:t>Revaluac de PPE e Intang.</w:t>
            </w:r>
          </w:p>
        </w:tc>
        <w:tc>
          <w:tcPr>
            <w:tcW w:w="957" w:type="dxa"/>
            <w:tcBorders>
              <w:top w:val="nil"/>
              <w:left w:val="nil"/>
              <w:bottom w:val="single" w:sz="4" w:space="0" w:color="363639"/>
              <w:right w:val="single" w:sz="4" w:space="0" w:color="363639"/>
            </w:tcBorders>
            <w:shd w:val="clear" w:color="auto" w:fill="BFBFBF" w:themeFill="background1" w:themeFillShade="BF"/>
            <w:vAlign w:val="center"/>
            <w:hideMark/>
          </w:tcPr>
          <w:p w14:paraId="462B83BA" w14:textId="77777777" w:rsidR="005078C4" w:rsidRPr="007368F0" w:rsidRDefault="005078C4" w:rsidP="005078C4">
            <w:pPr>
              <w:jc w:val="center"/>
              <w:rPr>
                <w:rFonts w:ascii="Arial" w:hAnsi="Arial" w:cs="Arial"/>
                <w:b/>
                <w:bCs/>
                <w:sz w:val="16"/>
                <w:szCs w:val="16"/>
                <w:lang w:eastAsia="es-AR"/>
              </w:rPr>
            </w:pPr>
            <w:r w:rsidRPr="007368F0">
              <w:rPr>
                <w:rFonts w:ascii="Arial" w:hAnsi="Arial" w:cs="Arial"/>
                <w:b/>
                <w:bCs/>
                <w:sz w:val="16"/>
                <w:szCs w:val="16"/>
                <w:lang w:eastAsia="es-AR"/>
              </w:rPr>
              <w:t>Gcias. o pérdidas acum por Inst.</w:t>
            </w:r>
            <w:r w:rsidRPr="007368F0">
              <w:rPr>
                <w:rFonts w:ascii="Arial" w:hAnsi="Arial" w:cs="Arial"/>
                <w:b/>
                <w:bCs/>
                <w:sz w:val="16"/>
                <w:szCs w:val="16"/>
                <w:lang w:eastAsia="es-AR"/>
              </w:rPr>
              <w:br/>
              <w:t>Fcieros. a VRCORI</w:t>
            </w:r>
          </w:p>
        </w:tc>
        <w:tc>
          <w:tcPr>
            <w:tcW w:w="1043" w:type="dxa"/>
            <w:tcBorders>
              <w:top w:val="nil"/>
              <w:left w:val="nil"/>
              <w:bottom w:val="single" w:sz="4" w:space="0" w:color="363639"/>
              <w:right w:val="single" w:sz="4" w:space="0" w:color="363639"/>
            </w:tcBorders>
            <w:shd w:val="clear" w:color="auto" w:fill="BFBFBF" w:themeFill="background1" w:themeFillShade="BF"/>
            <w:vAlign w:val="center"/>
            <w:hideMark/>
          </w:tcPr>
          <w:p w14:paraId="0E6962C5" w14:textId="77777777" w:rsidR="005078C4" w:rsidRPr="007368F0" w:rsidRDefault="005078C4" w:rsidP="005078C4">
            <w:pPr>
              <w:jc w:val="center"/>
              <w:rPr>
                <w:rFonts w:ascii="Arial" w:hAnsi="Arial" w:cs="Arial"/>
                <w:b/>
                <w:bCs/>
                <w:sz w:val="16"/>
                <w:szCs w:val="16"/>
                <w:lang w:eastAsia="es-AR"/>
              </w:rPr>
            </w:pPr>
            <w:r w:rsidRPr="007368F0">
              <w:rPr>
                <w:rFonts w:ascii="Arial" w:hAnsi="Arial" w:cs="Arial"/>
                <w:b/>
                <w:bCs/>
                <w:sz w:val="16"/>
                <w:szCs w:val="16"/>
                <w:lang w:eastAsia="es-AR"/>
              </w:rPr>
              <w:t>Legal</w:t>
            </w:r>
          </w:p>
        </w:tc>
        <w:tc>
          <w:tcPr>
            <w:tcW w:w="1031" w:type="dxa"/>
            <w:tcBorders>
              <w:top w:val="nil"/>
              <w:left w:val="nil"/>
              <w:bottom w:val="single" w:sz="4" w:space="0" w:color="363639"/>
              <w:right w:val="single" w:sz="4" w:space="0" w:color="363639"/>
            </w:tcBorders>
            <w:shd w:val="clear" w:color="auto" w:fill="BFBFBF" w:themeFill="background1" w:themeFillShade="BF"/>
            <w:vAlign w:val="center"/>
            <w:hideMark/>
          </w:tcPr>
          <w:p w14:paraId="7BFEDE21" w14:textId="77777777" w:rsidR="005078C4" w:rsidRPr="007368F0" w:rsidRDefault="005078C4" w:rsidP="005078C4">
            <w:pPr>
              <w:jc w:val="center"/>
              <w:rPr>
                <w:rFonts w:ascii="Arial" w:hAnsi="Arial" w:cs="Arial"/>
                <w:b/>
                <w:bCs/>
                <w:sz w:val="16"/>
                <w:szCs w:val="16"/>
                <w:lang w:eastAsia="es-AR"/>
              </w:rPr>
            </w:pPr>
            <w:r w:rsidRPr="007368F0">
              <w:rPr>
                <w:rFonts w:ascii="Arial" w:hAnsi="Arial" w:cs="Arial"/>
                <w:b/>
                <w:bCs/>
                <w:sz w:val="16"/>
                <w:szCs w:val="16"/>
                <w:lang w:eastAsia="es-AR"/>
              </w:rPr>
              <w:t>Otras</w:t>
            </w:r>
          </w:p>
        </w:tc>
        <w:tc>
          <w:tcPr>
            <w:tcW w:w="1165" w:type="dxa"/>
            <w:vMerge/>
            <w:tcBorders>
              <w:left w:val="single" w:sz="4" w:space="0" w:color="363639"/>
              <w:bottom w:val="single" w:sz="4" w:space="0" w:color="auto"/>
              <w:right w:val="single" w:sz="4" w:space="0" w:color="363639"/>
            </w:tcBorders>
            <w:vAlign w:val="center"/>
            <w:hideMark/>
          </w:tcPr>
          <w:p w14:paraId="7B9C8B86" w14:textId="20C81DFD" w:rsidR="005078C4" w:rsidRPr="007368F0" w:rsidRDefault="005078C4" w:rsidP="005078C4">
            <w:pPr>
              <w:rPr>
                <w:sz w:val="16"/>
                <w:szCs w:val="16"/>
                <w:lang w:eastAsia="es-AR"/>
              </w:rPr>
            </w:pPr>
          </w:p>
        </w:tc>
        <w:tc>
          <w:tcPr>
            <w:tcW w:w="1186" w:type="dxa"/>
            <w:vMerge/>
            <w:tcBorders>
              <w:left w:val="single" w:sz="4" w:space="0" w:color="363639"/>
              <w:bottom w:val="single" w:sz="4" w:space="0" w:color="auto"/>
              <w:right w:val="single" w:sz="4" w:space="0" w:color="363639"/>
            </w:tcBorders>
            <w:vAlign w:val="center"/>
            <w:hideMark/>
          </w:tcPr>
          <w:p w14:paraId="3FA1977B" w14:textId="542C7FE9" w:rsidR="005078C4" w:rsidRPr="007368F0" w:rsidRDefault="005078C4" w:rsidP="005078C4">
            <w:pPr>
              <w:rPr>
                <w:sz w:val="16"/>
                <w:szCs w:val="16"/>
                <w:lang w:eastAsia="es-AR"/>
              </w:rPr>
            </w:pPr>
          </w:p>
        </w:tc>
      </w:tr>
      <w:tr w:rsidR="005078C4" w:rsidRPr="007368F0" w14:paraId="070B32F2" w14:textId="77777777" w:rsidTr="00556388">
        <w:trPr>
          <w:trHeight w:val="301"/>
        </w:trPr>
        <w:tc>
          <w:tcPr>
            <w:tcW w:w="3783" w:type="dxa"/>
            <w:tcBorders>
              <w:top w:val="nil"/>
              <w:left w:val="nil"/>
              <w:bottom w:val="nil"/>
              <w:right w:val="nil"/>
            </w:tcBorders>
            <w:shd w:val="clear" w:color="auto" w:fill="auto"/>
            <w:noWrap/>
            <w:vAlign w:val="center"/>
            <w:hideMark/>
          </w:tcPr>
          <w:p w14:paraId="76E8DC14" w14:textId="77777777" w:rsidR="005078C4" w:rsidRPr="007368F0" w:rsidRDefault="005078C4" w:rsidP="005078C4">
            <w:pPr>
              <w:jc w:val="center"/>
              <w:rPr>
                <w:rFonts w:ascii="Arial" w:hAnsi="Arial" w:cs="Arial"/>
                <w:b/>
                <w:bCs/>
                <w:sz w:val="16"/>
                <w:szCs w:val="16"/>
                <w:lang w:eastAsia="es-AR"/>
              </w:rPr>
            </w:pPr>
          </w:p>
        </w:tc>
        <w:tc>
          <w:tcPr>
            <w:tcW w:w="880" w:type="dxa"/>
            <w:tcBorders>
              <w:top w:val="nil"/>
              <w:left w:val="nil"/>
              <w:bottom w:val="nil"/>
              <w:right w:val="nil"/>
            </w:tcBorders>
            <w:shd w:val="clear" w:color="auto" w:fill="auto"/>
            <w:noWrap/>
            <w:vAlign w:val="center"/>
            <w:hideMark/>
          </w:tcPr>
          <w:p w14:paraId="5E4FF5A8" w14:textId="77777777" w:rsidR="005078C4" w:rsidRPr="007368F0" w:rsidRDefault="005078C4" w:rsidP="005078C4">
            <w:pPr>
              <w:jc w:val="center"/>
              <w:rPr>
                <w:sz w:val="16"/>
                <w:szCs w:val="16"/>
                <w:lang w:eastAsia="es-AR"/>
              </w:rPr>
            </w:pPr>
          </w:p>
        </w:tc>
        <w:tc>
          <w:tcPr>
            <w:tcW w:w="1057" w:type="dxa"/>
            <w:tcBorders>
              <w:top w:val="nil"/>
              <w:left w:val="nil"/>
              <w:bottom w:val="nil"/>
              <w:right w:val="nil"/>
            </w:tcBorders>
            <w:shd w:val="clear" w:color="auto" w:fill="auto"/>
            <w:vAlign w:val="center"/>
            <w:hideMark/>
          </w:tcPr>
          <w:p w14:paraId="3C901AC1" w14:textId="77777777" w:rsidR="005078C4" w:rsidRPr="007368F0" w:rsidRDefault="005078C4" w:rsidP="005078C4">
            <w:pPr>
              <w:rPr>
                <w:sz w:val="16"/>
                <w:szCs w:val="16"/>
                <w:lang w:eastAsia="es-AR"/>
              </w:rPr>
            </w:pPr>
          </w:p>
        </w:tc>
        <w:tc>
          <w:tcPr>
            <w:tcW w:w="1272" w:type="dxa"/>
            <w:tcBorders>
              <w:top w:val="nil"/>
              <w:left w:val="nil"/>
              <w:bottom w:val="nil"/>
              <w:right w:val="nil"/>
            </w:tcBorders>
            <w:shd w:val="clear" w:color="auto" w:fill="auto"/>
            <w:vAlign w:val="center"/>
            <w:hideMark/>
          </w:tcPr>
          <w:p w14:paraId="7F5F2717" w14:textId="77777777" w:rsidR="005078C4" w:rsidRPr="007368F0" w:rsidRDefault="005078C4" w:rsidP="005078C4">
            <w:pPr>
              <w:jc w:val="center"/>
              <w:rPr>
                <w:sz w:val="16"/>
                <w:szCs w:val="16"/>
                <w:lang w:eastAsia="es-AR"/>
              </w:rPr>
            </w:pPr>
          </w:p>
        </w:tc>
        <w:tc>
          <w:tcPr>
            <w:tcW w:w="931" w:type="dxa"/>
            <w:tcBorders>
              <w:top w:val="nil"/>
              <w:left w:val="nil"/>
              <w:bottom w:val="nil"/>
              <w:right w:val="nil"/>
            </w:tcBorders>
            <w:shd w:val="clear" w:color="auto" w:fill="auto"/>
            <w:vAlign w:val="center"/>
            <w:hideMark/>
          </w:tcPr>
          <w:p w14:paraId="006B9A6A" w14:textId="77777777" w:rsidR="005078C4" w:rsidRPr="007368F0" w:rsidRDefault="005078C4" w:rsidP="005078C4">
            <w:pPr>
              <w:jc w:val="center"/>
              <w:rPr>
                <w:sz w:val="16"/>
                <w:szCs w:val="16"/>
                <w:lang w:eastAsia="es-AR"/>
              </w:rPr>
            </w:pPr>
          </w:p>
        </w:tc>
        <w:tc>
          <w:tcPr>
            <w:tcW w:w="957" w:type="dxa"/>
            <w:tcBorders>
              <w:top w:val="nil"/>
              <w:left w:val="nil"/>
              <w:bottom w:val="nil"/>
              <w:right w:val="nil"/>
            </w:tcBorders>
            <w:shd w:val="clear" w:color="auto" w:fill="auto"/>
            <w:vAlign w:val="center"/>
            <w:hideMark/>
          </w:tcPr>
          <w:p w14:paraId="3B0F8E21" w14:textId="77777777" w:rsidR="005078C4" w:rsidRPr="007368F0" w:rsidRDefault="005078C4" w:rsidP="005078C4">
            <w:pPr>
              <w:jc w:val="center"/>
              <w:rPr>
                <w:sz w:val="16"/>
                <w:szCs w:val="16"/>
                <w:lang w:eastAsia="es-AR"/>
              </w:rPr>
            </w:pPr>
          </w:p>
        </w:tc>
        <w:tc>
          <w:tcPr>
            <w:tcW w:w="1043" w:type="dxa"/>
            <w:tcBorders>
              <w:top w:val="single" w:sz="4" w:space="0" w:color="auto"/>
              <w:left w:val="nil"/>
              <w:bottom w:val="nil"/>
              <w:right w:val="nil"/>
            </w:tcBorders>
            <w:shd w:val="clear" w:color="auto" w:fill="auto"/>
            <w:vAlign w:val="center"/>
            <w:hideMark/>
          </w:tcPr>
          <w:p w14:paraId="5ECC559D" w14:textId="77777777" w:rsidR="005078C4" w:rsidRPr="007368F0" w:rsidRDefault="005078C4" w:rsidP="005078C4">
            <w:pPr>
              <w:jc w:val="center"/>
              <w:rPr>
                <w:sz w:val="16"/>
                <w:szCs w:val="16"/>
                <w:lang w:eastAsia="es-AR"/>
              </w:rPr>
            </w:pPr>
          </w:p>
        </w:tc>
        <w:tc>
          <w:tcPr>
            <w:tcW w:w="1031" w:type="dxa"/>
            <w:tcBorders>
              <w:top w:val="single" w:sz="4" w:space="0" w:color="auto"/>
              <w:left w:val="nil"/>
              <w:bottom w:val="nil"/>
              <w:right w:val="nil"/>
            </w:tcBorders>
            <w:shd w:val="clear" w:color="auto" w:fill="auto"/>
            <w:vAlign w:val="center"/>
            <w:hideMark/>
          </w:tcPr>
          <w:p w14:paraId="5FFD543B" w14:textId="77777777" w:rsidR="005078C4" w:rsidRPr="007368F0" w:rsidRDefault="005078C4" w:rsidP="005078C4">
            <w:pPr>
              <w:jc w:val="center"/>
              <w:rPr>
                <w:sz w:val="16"/>
                <w:szCs w:val="16"/>
                <w:lang w:eastAsia="es-AR"/>
              </w:rPr>
            </w:pPr>
          </w:p>
        </w:tc>
        <w:tc>
          <w:tcPr>
            <w:tcW w:w="1165" w:type="dxa"/>
            <w:tcBorders>
              <w:top w:val="single" w:sz="4" w:space="0" w:color="auto"/>
              <w:left w:val="nil"/>
              <w:bottom w:val="nil"/>
              <w:right w:val="nil"/>
            </w:tcBorders>
            <w:shd w:val="clear" w:color="auto" w:fill="auto"/>
            <w:noWrap/>
            <w:vAlign w:val="bottom"/>
            <w:hideMark/>
          </w:tcPr>
          <w:p w14:paraId="1495405D" w14:textId="77777777" w:rsidR="005078C4" w:rsidRPr="007368F0" w:rsidRDefault="005078C4" w:rsidP="005078C4">
            <w:pPr>
              <w:jc w:val="center"/>
              <w:rPr>
                <w:sz w:val="16"/>
                <w:szCs w:val="16"/>
                <w:lang w:eastAsia="es-AR"/>
              </w:rPr>
            </w:pPr>
          </w:p>
        </w:tc>
        <w:tc>
          <w:tcPr>
            <w:tcW w:w="1186" w:type="dxa"/>
            <w:tcBorders>
              <w:top w:val="single" w:sz="4" w:space="0" w:color="auto"/>
              <w:left w:val="nil"/>
              <w:bottom w:val="nil"/>
              <w:right w:val="nil"/>
            </w:tcBorders>
            <w:shd w:val="clear" w:color="auto" w:fill="auto"/>
            <w:noWrap/>
            <w:vAlign w:val="center"/>
            <w:hideMark/>
          </w:tcPr>
          <w:p w14:paraId="3CD2FCF6" w14:textId="77777777" w:rsidR="005078C4" w:rsidRPr="007368F0" w:rsidRDefault="005078C4" w:rsidP="005078C4">
            <w:pPr>
              <w:jc w:val="center"/>
              <w:rPr>
                <w:sz w:val="16"/>
                <w:szCs w:val="16"/>
                <w:lang w:eastAsia="es-AR"/>
              </w:rPr>
            </w:pPr>
          </w:p>
        </w:tc>
      </w:tr>
      <w:tr w:rsidR="005078C4" w:rsidRPr="007368F0" w14:paraId="7C699234" w14:textId="77777777" w:rsidTr="00546B41">
        <w:trPr>
          <w:trHeight w:val="165"/>
        </w:trPr>
        <w:tc>
          <w:tcPr>
            <w:tcW w:w="3783" w:type="dxa"/>
            <w:tcBorders>
              <w:top w:val="nil"/>
              <w:left w:val="nil"/>
              <w:bottom w:val="nil"/>
              <w:right w:val="nil"/>
            </w:tcBorders>
            <w:shd w:val="clear" w:color="auto" w:fill="auto"/>
            <w:hideMark/>
          </w:tcPr>
          <w:p w14:paraId="53AE1EC4" w14:textId="77777777" w:rsidR="005078C4" w:rsidRPr="007368F0" w:rsidRDefault="005078C4" w:rsidP="005078C4">
            <w:pPr>
              <w:rPr>
                <w:rFonts w:ascii="Arial" w:hAnsi="Arial" w:cs="Arial"/>
                <w:b/>
                <w:bCs/>
                <w:sz w:val="16"/>
                <w:szCs w:val="16"/>
                <w:lang w:eastAsia="es-AR"/>
              </w:rPr>
            </w:pPr>
            <w:r w:rsidRPr="007368F0">
              <w:rPr>
                <w:rFonts w:ascii="Arial" w:hAnsi="Arial" w:cs="Arial"/>
                <w:b/>
                <w:bCs/>
                <w:sz w:val="16"/>
                <w:szCs w:val="16"/>
                <w:lang w:eastAsia="es-AR"/>
              </w:rPr>
              <w:t>Saldos al comienzo del ejercicio</w:t>
            </w:r>
          </w:p>
        </w:tc>
        <w:tc>
          <w:tcPr>
            <w:tcW w:w="880" w:type="dxa"/>
            <w:tcBorders>
              <w:top w:val="nil"/>
              <w:left w:val="nil"/>
              <w:bottom w:val="nil"/>
              <w:right w:val="nil"/>
            </w:tcBorders>
            <w:shd w:val="clear" w:color="auto" w:fill="auto"/>
            <w:noWrap/>
            <w:hideMark/>
          </w:tcPr>
          <w:p w14:paraId="59DF2F86" w14:textId="77777777" w:rsidR="005078C4" w:rsidRPr="007368F0" w:rsidRDefault="005078C4" w:rsidP="005078C4">
            <w:pPr>
              <w:rPr>
                <w:rFonts w:ascii="Arial" w:hAnsi="Arial" w:cs="Arial"/>
                <w:b/>
                <w:bCs/>
                <w:sz w:val="16"/>
                <w:szCs w:val="16"/>
                <w:lang w:eastAsia="es-AR"/>
              </w:rPr>
            </w:pPr>
          </w:p>
        </w:tc>
        <w:tc>
          <w:tcPr>
            <w:tcW w:w="1057" w:type="dxa"/>
            <w:tcBorders>
              <w:top w:val="nil"/>
              <w:left w:val="nil"/>
              <w:bottom w:val="nil"/>
              <w:right w:val="nil"/>
            </w:tcBorders>
            <w:shd w:val="clear" w:color="auto" w:fill="auto"/>
            <w:noWrap/>
            <w:vAlign w:val="center"/>
            <w:hideMark/>
          </w:tcPr>
          <w:p w14:paraId="622F1E37" w14:textId="3399AE21" w:rsidR="005078C4" w:rsidRPr="00546B41" w:rsidRDefault="005078C4" w:rsidP="00534414">
            <w:pPr>
              <w:jc w:val="right"/>
              <w:rPr>
                <w:rFonts w:ascii="Arial" w:hAnsi="Arial" w:cs="Arial"/>
                <w:sz w:val="16"/>
                <w:szCs w:val="16"/>
                <w:lang w:eastAsia="es-AR"/>
              </w:rPr>
            </w:pPr>
            <w:r w:rsidRPr="00546B41">
              <w:rPr>
                <w:rFonts w:ascii="Arial" w:hAnsi="Arial" w:cs="Arial"/>
                <w:sz w:val="16"/>
                <w:szCs w:val="16"/>
                <w:lang w:eastAsia="es-AR"/>
              </w:rPr>
              <w:t>808.852</w:t>
            </w:r>
          </w:p>
        </w:tc>
        <w:tc>
          <w:tcPr>
            <w:tcW w:w="1272" w:type="dxa"/>
            <w:tcBorders>
              <w:top w:val="nil"/>
              <w:left w:val="nil"/>
              <w:bottom w:val="nil"/>
              <w:right w:val="nil"/>
            </w:tcBorders>
            <w:shd w:val="clear" w:color="auto" w:fill="auto"/>
            <w:noWrap/>
            <w:vAlign w:val="center"/>
            <w:hideMark/>
          </w:tcPr>
          <w:p w14:paraId="44A70B75" w14:textId="5E300758" w:rsidR="005078C4" w:rsidRPr="00546B41" w:rsidRDefault="005078C4" w:rsidP="00534414">
            <w:pPr>
              <w:jc w:val="right"/>
              <w:rPr>
                <w:rFonts w:ascii="Arial" w:hAnsi="Arial" w:cs="Arial"/>
                <w:sz w:val="16"/>
                <w:szCs w:val="16"/>
                <w:lang w:eastAsia="es-AR"/>
              </w:rPr>
            </w:pPr>
            <w:r w:rsidRPr="00546B41">
              <w:rPr>
                <w:rFonts w:ascii="Arial" w:hAnsi="Arial" w:cs="Arial"/>
                <w:sz w:val="16"/>
                <w:szCs w:val="16"/>
                <w:lang w:eastAsia="es-AR"/>
              </w:rPr>
              <w:t>6.444.347</w:t>
            </w:r>
          </w:p>
        </w:tc>
        <w:tc>
          <w:tcPr>
            <w:tcW w:w="931" w:type="dxa"/>
            <w:tcBorders>
              <w:top w:val="nil"/>
              <w:left w:val="nil"/>
              <w:bottom w:val="nil"/>
              <w:right w:val="nil"/>
            </w:tcBorders>
            <w:shd w:val="clear" w:color="auto" w:fill="auto"/>
            <w:noWrap/>
            <w:vAlign w:val="center"/>
            <w:hideMark/>
          </w:tcPr>
          <w:p w14:paraId="576F5B6C" w14:textId="13DB0D1B" w:rsidR="005078C4" w:rsidRPr="00546B41" w:rsidRDefault="005078C4" w:rsidP="00534414">
            <w:pPr>
              <w:jc w:val="right"/>
              <w:rPr>
                <w:rFonts w:ascii="Arial" w:hAnsi="Arial" w:cs="Arial"/>
                <w:sz w:val="16"/>
                <w:szCs w:val="16"/>
                <w:lang w:eastAsia="es-AR"/>
              </w:rPr>
            </w:pPr>
            <w:r w:rsidRPr="00546B41">
              <w:rPr>
                <w:rFonts w:ascii="Arial" w:hAnsi="Arial" w:cs="Arial"/>
                <w:sz w:val="16"/>
                <w:szCs w:val="16"/>
                <w:lang w:eastAsia="es-AR"/>
              </w:rPr>
              <w:t>583.54</w:t>
            </w:r>
            <w:r w:rsidR="00304F6C" w:rsidRPr="00546B41">
              <w:rPr>
                <w:rFonts w:ascii="Arial" w:hAnsi="Arial" w:cs="Arial"/>
                <w:sz w:val="16"/>
                <w:szCs w:val="16"/>
                <w:lang w:eastAsia="es-AR"/>
              </w:rPr>
              <w:t>3</w:t>
            </w:r>
          </w:p>
        </w:tc>
        <w:tc>
          <w:tcPr>
            <w:tcW w:w="957" w:type="dxa"/>
            <w:tcBorders>
              <w:top w:val="nil"/>
              <w:left w:val="nil"/>
              <w:bottom w:val="nil"/>
              <w:right w:val="nil"/>
            </w:tcBorders>
            <w:shd w:val="clear" w:color="auto" w:fill="auto"/>
            <w:noWrap/>
            <w:vAlign w:val="center"/>
            <w:hideMark/>
          </w:tcPr>
          <w:p w14:paraId="661328DB" w14:textId="55927BF4" w:rsidR="005078C4" w:rsidRPr="00546B41" w:rsidRDefault="005078C4" w:rsidP="00534414">
            <w:pPr>
              <w:jc w:val="right"/>
              <w:rPr>
                <w:rFonts w:ascii="Arial" w:hAnsi="Arial" w:cs="Arial"/>
                <w:sz w:val="16"/>
                <w:szCs w:val="16"/>
                <w:lang w:eastAsia="es-AR"/>
              </w:rPr>
            </w:pPr>
            <w:r w:rsidRPr="00546B41">
              <w:rPr>
                <w:rFonts w:ascii="Arial" w:hAnsi="Arial" w:cs="Arial"/>
                <w:sz w:val="16"/>
                <w:szCs w:val="16"/>
                <w:lang w:eastAsia="es-AR"/>
              </w:rPr>
              <w:t>5.96</w:t>
            </w:r>
            <w:r w:rsidR="00304F6C" w:rsidRPr="00546B41">
              <w:rPr>
                <w:rFonts w:ascii="Arial" w:hAnsi="Arial" w:cs="Arial"/>
                <w:sz w:val="16"/>
                <w:szCs w:val="16"/>
                <w:lang w:eastAsia="es-AR"/>
              </w:rPr>
              <w:t>1</w:t>
            </w:r>
          </w:p>
        </w:tc>
        <w:tc>
          <w:tcPr>
            <w:tcW w:w="1043" w:type="dxa"/>
            <w:tcBorders>
              <w:top w:val="nil"/>
              <w:left w:val="nil"/>
              <w:bottom w:val="nil"/>
              <w:right w:val="nil"/>
            </w:tcBorders>
            <w:shd w:val="clear" w:color="auto" w:fill="auto"/>
            <w:noWrap/>
            <w:vAlign w:val="center"/>
            <w:hideMark/>
          </w:tcPr>
          <w:p w14:paraId="0813459C" w14:textId="67BA7D60" w:rsidR="005078C4" w:rsidRPr="00546B41" w:rsidRDefault="005078C4" w:rsidP="00534414">
            <w:pPr>
              <w:jc w:val="right"/>
              <w:rPr>
                <w:rFonts w:ascii="Arial" w:hAnsi="Arial" w:cs="Arial"/>
                <w:sz w:val="16"/>
                <w:szCs w:val="16"/>
                <w:lang w:eastAsia="es-AR"/>
              </w:rPr>
            </w:pPr>
            <w:r w:rsidRPr="00546B41">
              <w:rPr>
                <w:rFonts w:ascii="Arial" w:hAnsi="Arial" w:cs="Arial"/>
                <w:sz w:val="16"/>
                <w:szCs w:val="16"/>
                <w:lang w:eastAsia="es-AR"/>
              </w:rPr>
              <w:t>962.193</w:t>
            </w:r>
          </w:p>
        </w:tc>
        <w:tc>
          <w:tcPr>
            <w:tcW w:w="1031" w:type="dxa"/>
            <w:tcBorders>
              <w:top w:val="nil"/>
              <w:left w:val="nil"/>
              <w:bottom w:val="nil"/>
              <w:right w:val="nil"/>
            </w:tcBorders>
            <w:shd w:val="clear" w:color="auto" w:fill="auto"/>
            <w:noWrap/>
            <w:vAlign w:val="center"/>
            <w:hideMark/>
          </w:tcPr>
          <w:p w14:paraId="6662224C" w14:textId="6242884C" w:rsidR="005078C4" w:rsidRPr="00546B41" w:rsidRDefault="005078C4" w:rsidP="00534414">
            <w:pPr>
              <w:jc w:val="right"/>
              <w:rPr>
                <w:rFonts w:ascii="Arial" w:hAnsi="Arial" w:cs="Arial"/>
                <w:sz w:val="16"/>
                <w:szCs w:val="16"/>
                <w:lang w:eastAsia="es-AR"/>
              </w:rPr>
            </w:pPr>
            <w:r w:rsidRPr="00546B41">
              <w:rPr>
                <w:rFonts w:ascii="Arial" w:hAnsi="Arial" w:cs="Arial"/>
                <w:sz w:val="16"/>
                <w:szCs w:val="16"/>
                <w:lang w:eastAsia="es-AR"/>
              </w:rPr>
              <w:t>3.640.290</w:t>
            </w:r>
          </w:p>
        </w:tc>
        <w:tc>
          <w:tcPr>
            <w:tcW w:w="1165" w:type="dxa"/>
            <w:tcBorders>
              <w:top w:val="nil"/>
              <w:left w:val="nil"/>
              <w:bottom w:val="nil"/>
              <w:right w:val="nil"/>
            </w:tcBorders>
            <w:shd w:val="clear" w:color="auto" w:fill="auto"/>
            <w:noWrap/>
            <w:vAlign w:val="center"/>
            <w:hideMark/>
          </w:tcPr>
          <w:p w14:paraId="5DCAB964" w14:textId="1833ABD0" w:rsidR="005078C4" w:rsidRPr="00546B41" w:rsidRDefault="005078C4" w:rsidP="00534414">
            <w:pPr>
              <w:jc w:val="right"/>
              <w:rPr>
                <w:rFonts w:ascii="Arial" w:hAnsi="Arial" w:cs="Arial"/>
                <w:sz w:val="16"/>
                <w:szCs w:val="16"/>
                <w:lang w:eastAsia="es-AR"/>
              </w:rPr>
            </w:pPr>
            <w:r w:rsidRPr="00546B41">
              <w:rPr>
                <w:rFonts w:ascii="Arial" w:hAnsi="Arial" w:cs="Arial"/>
                <w:sz w:val="16"/>
                <w:szCs w:val="16"/>
                <w:lang w:eastAsia="es-AR"/>
              </w:rPr>
              <w:t>740.29</w:t>
            </w:r>
            <w:r w:rsidR="00C9200A" w:rsidRPr="00546B41">
              <w:rPr>
                <w:rFonts w:ascii="Arial" w:hAnsi="Arial" w:cs="Arial"/>
                <w:sz w:val="16"/>
                <w:szCs w:val="16"/>
                <w:lang w:eastAsia="es-AR"/>
              </w:rPr>
              <w:t>3</w:t>
            </w:r>
          </w:p>
        </w:tc>
        <w:tc>
          <w:tcPr>
            <w:tcW w:w="1186" w:type="dxa"/>
            <w:tcBorders>
              <w:top w:val="nil"/>
              <w:left w:val="nil"/>
              <w:bottom w:val="nil"/>
              <w:right w:val="nil"/>
            </w:tcBorders>
            <w:shd w:val="clear" w:color="auto" w:fill="auto"/>
            <w:noWrap/>
            <w:vAlign w:val="center"/>
            <w:hideMark/>
          </w:tcPr>
          <w:p w14:paraId="45370DDD" w14:textId="3A7AFF62" w:rsidR="005078C4" w:rsidRPr="00546B41" w:rsidRDefault="005078C4" w:rsidP="00534414">
            <w:pPr>
              <w:jc w:val="right"/>
              <w:rPr>
                <w:rFonts w:ascii="Arial" w:hAnsi="Arial" w:cs="Arial"/>
                <w:sz w:val="16"/>
                <w:szCs w:val="16"/>
                <w:lang w:eastAsia="es-AR"/>
              </w:rPr>
            </w:pPr>
            <w:r w:rsidRPr="00546B41">
              <w:rPr>
                <w:rFonts w:ascii="Arial" w:hAnsi="Arial" w:cs="Arial"/>
                <w:sz w:val="16"/>
                <w:szCs w:val="16"/>
                <w:lang w:eastAsia="es-AR"/>
              </w:rPr>
              <w:t>13.185.4</w:t>
            </w:r>
            <w:r w:rsidR="00C9200A" w:rsidRPr="00546B41">
              <w:rPr>
                <w:rFonts w:ascii="Arial" w:hAnsi="Arial" w:cs="Arial"/>
                <w:sz w:val="16"/>
                <w:szCs w:val="16"/>
                <w:lang w:eastAsia="es-AR"/>
              </w:rPr>
              <w:t>79</w:t>
            </w:r>
          </w:p>
        </w:tc>
      </w:tr>
      <w:tr w:rsidR="005078C4" w:rsidRPr="007368F0" w14:paraId="59712BA5" w14:textId="77777777" w:rsidTr="00556388">
        <w:trPr>
          <w:trHeight w:val="142"/>
        </w:trPr>
        <w:tc>
          <w:tcPr>
            <w:tcW w:w="3783" w:type="dxa"/>
            <w:tcBorders>
              <w:top w:val="nil"/>
              <w:left w:val="nil"/>
              <w:bottom w:val="nil"/>
              <w:right w:val="nil"/>
            </w:tcBorders>
            <w:shd w:val="clear" w:color="auto" w:fill="auto"/>
            <w:hideMark/>
          </w:tcPr>
          <w:p w14:paraId="791ACF18" w14:textId="77777777" w:rsidR="005078C4" w:rsidRPr="007368F0" w:rsidRDefault="005078C4" w:rsidP="005078C4">
            <w:pPr>
              <w:rPr>
                <w:rFonts w:ascii="Arial" w:hAnsi="Arial" w:cs="Arial"/>
                <w:sz w:val="16"/>
                <w:szCs w:val="16"/>
                <w:lang w:eastAsia="es-AR"/>
              </w:rPr>
            </w:pPr>
          </w:p>
        </w:tc>
        <w:tc>
          <w:tcPr>
            <w:tcW w:w="880" w:type="dxa"/>
            <w:tcBorders>
              <w:top w:val="nil"/>
              <w:left w:val="nil"/>
              <w:bottom w:val="nil"/>
              <w:right w:val="nil"/>
            </w:tcBorders>
            <w:shd w:val="clear" w:color="auto" w:fill="auto"/>
            <w:noWrap/>
            <w:hideMark/>
          </w:tcPr>
          <w:p w14:paraId="1487D5D1" w14:textId="77777777" w:rsidR="005078C4" w:rsidRPr="007368F0" w:rsidRDefault="005078C4" w:rsidP="005078C4">
            <w:pPr>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hideMark/>
          </w:tcPr>
          <w:p w14:paraId="3A225D69" w14:textId="77777777" w:rsidR="005078C4" w:rsidRPr="00546B41" w:rsidRDefault="005078C4" w:rsidP="00534414">
            <w:pPr>
              <w:jc w:val="right"/>
              <w:rPr>
                <w:rFonts w:ascii="Arial" w:hAnsi="Arial" w:cs="Arial"/>
                <w:sz w:val="16"/>
                <w:szCs w:val="16"/>
                <w:lang w:eastAsia="es-AR"/>
              </w:rPr>
            </w:pPr>
          </w:p>
        </w:tc>
        <w:tc>
          <w:tcPr>
            <w:tcW w:w="1272" w:type="dxa"/>
            <w:tcBorders>
              <w:top w:val="nil"/>
              <w:left w:val="nil"/>
              <w:bottom w:val="nil"/>
              <w:right w:val="nil"/>
            </w:tcBorders>
            <w:shd w:val="clear" w:color="auto" w:fill="auto"/>
            <w:noWrap/>
            <w:vAlign w:val="center"/>
            <w:hideMark/>
          </w:tcPr>
          <w:p w14:paraId="53665E9C" w14:textId="77777777" w:rsidR="005078C4" w:rsidRPr="00546B41" w:rsidRDefault="005078C4" w:rsidP="00534414">
            <w:pPr>
              <w:jc w:val="right"/>
              <w:rPr>
                <w:rFonts w:ascii="Arial" w:hAnsi="Arial" w:cs="Arial"/>
                <w:sz w:val="16"/>
                <w:szCs w:val="16"/>
                <w:lang w:eastAsia="es-AR"/>
              </w:rPr>
            </w:pPr>
          </w:p>
        </w:tc>
        <w:tc>
          <w:tcPr>
            <w:tcW w:w="931" w:type="dxa"/>
            <w:tcBorders>
              <w:top w:val="nil"/>
              <w:left w:val="nil"/>
              <w:bottom w:val="nil"/>
              <w:right w:val="nil"/>
            </w:tcBorders>
            <w:shd w:val="clear" w:color="auto" w:fill="auto"/>
            <w:noWrap/>
            <w:vAlign w:val="center"/>
            <w:hideMark/>
          </w:tcPr>
          <w:p w14:paraId="19485BDE" w14:textId="77777777" w:rsidR="005078C4" w:rsidRPr="00546B41" w:rsidRDefault="005078C4" w:rsidP="00534414">
            <w:pPr>
              <w:jc w:val="right"/>
              <w:rPr>
                <w:rFonts w:ascii="Arial" w:hAnsi="Arial" w:cs="Arial"/>
                <w:sz w:val="16"/>
                <w:szCs w:val="16"/>
                <w:lang w:eastAsia="es-AR"/>
              </w:rPr>
            </w:pPr>
          </w:p>
        </w:tc>
        <w:tc>
          <w:tcPr>
            <w:tcW w:w="957" w:type="dxa"/>
            <w:tcBorders>
              <w:top w:val="nil"/>
              <w:left w:val="nil"/>
              <w:bottom w:val="nil"/>
              <w:right w:val="nil"/>
            </w:tcBorders>
            <w:shd w:val="clear" w:color="auto" w:fill="auto"/>
            <w:noWrap/>
            <w:vAlign w:val="center"/>
            <w:hideMark/>
          </w:tcPr>
          <w:p w14:paraId="07F91B49" w14:textId="77777777" w:rsidR="005078C4" w:rsidRPr="00546B41" w:rsidRDefault="005078C4" w:rsidP="00534414">
            <w:pPr>
              <w:jc w:val="right"/>
              <w:rPr>
                <w:rFonts w:ascii="Arial" w:hAnsi="Arial" w:cs="Arial"/>
                <w:sz w:val="16"/>
                <w:szCs w:val="16"/>
                <w:lang w:eastAsia="es-AR"/>
              </w:rPr>
            </w:pPr>
          </w:p>
        </w:tc>
        <w:tc>
          <w:tcPr>
            <w:tcW w:w="1043" w:type="dxa"/>
            <w:tcBorders>
              <w:top w:val="nil"/>
              <w:left w:val="nil"/>
              <w:bottom w:val="nil"/>
              <w:right w:val="nil"/>
            </w:tcBorders>
            <w:shd w:val="clear" w:color="auto" w:fill="auto"/>
            <w:noWrap/>
            <w:vAlign w:val="center"/>
            <w:hideMark/>
          </w:tcPr>
          <w:p w14:paraId="7A986581" w14:textId="77777777" w:rsidR="005078C4" w:rsidRPr="00546B41" w:rsidRDefault="005078C4" w:rsidP="00534414">
            <w:pPr>
              <w:jc w:val="right"/>
              <w:rPr>
                <w:rFonts w:ascii="Arial" w:hAnsi="Arial" w:cs="Arial"/>
                <w:sz w:val="16"/>
                <w:szCs w:val="16"/>
                <w:lang w:eastAsia="es-AR"/>
              </w:rPr>
            </w:pPr>
          </w:p>
        </w:tc>
        <w:tc>
          <w:tcPr>
            <w:tcW w:w="1031" w:type="dxa"/>
            <w:tcBorders>
              <w:top w:val="nil"/>
              <w:left w:val="nil"/>
              <w:bottom w:val="nil"/>
              <w:right w:val="nil"/>
            </w:tcBorders>
            <w:shd w:val="clear" w:color="auto" w:fill="auto"/>
            <w:noWrap/>
            <w:vAlign w:val="center"/>
            <w:hideMark/>
          </w:tcPr>
          <w:p w14:paraId="437B0996" w14:textId="77777777" w:rsidR="005078C4" w:rsidRPr="00546B41" w:rsidRDefault="005078C4" w:rsidP="00534414">
            <w:pPr>
              <w:jc w:val="right"/>
              <w:rPr>
                <w:rFonts w:ascii="Arial" w:hAnsi="Arial" w:cs="Arial"/>
                <w:sz w:val="16"/>
                <w:szCs w:val="16"/>
                <w:lang w:eastAsia="es-AR"/>
              </w:rPr>
            </w:pPr>
          </w:p>
        </w:tc>
        <w:tc>
          <w:tcPr>
            <w:tcW w:w="1165" w:type="dxa"/>
            <w:tcBorders>
              <w:top w:val="nil"/>
              <w:left w:val="nil"/>
              <w:bottom w:val="nil"/>
              <w:right w:val="nil"/>
            </w:tcBorders>
            <w:shd w:val="clear" w:color="auto" w:fill="auto"/>
            <w:noWrap/>
            <w:vAlign w:val="center"/>
            <w:hideMark/>
          </w:tcPr>
          <w:p w14:paraId="622BA5EB" w14:textId="77777777" w:rsidR="005078C4" w:rsidRPr="00546B41" w:rsidRDefault="005078C4" w:rsidP="00534414">
            <w:pPr>
              <w:jc w:val="right"/>
              <w:rPr>
                <w:rFonts w:ascii="Arial" w:hAnsi="Arial" w:cs="Arial"/>
                <w:sz w:val="16"/>
                <w:szCs w:val="16"/>
                <w:lang w:eastAsia="es-AR"/>
              </w:rPr>
            </w:pPr>
          </w:p>
        </w:tc>
        <w:tc>
          <w:tcPr>
            <w:tcW w:w="1186" w:type="dxa"/>
            <w:tcBorders>
              <w:top w:val="nil"/>
              <w:left w:val="nil"/>
              <w:bottom w:val="nil"/>
              <w:right w:val="nil"/>
            </w:tcBorders>
            <w:shd w:val="clear" w:color="auto" w:fill="auto"/>
            <w:noWrap/>
            <w:vAlign w:val="center"/>
            <w:hideMark/>
          </w:tcPr>
          <w:p w14:paraId="3F890DD3" w14:textId="77777777" w:rsidR="005078C4" w:rsidRPr="00546B41" w:rsidRDefault="005078C4" w:rsidP="00534414">
            <w:pPr>
              <w:jc w:val="right"/>
              <w:rPr>
                <w:rFonts w:ascii="Arial" w:hAnsi="Arial" w:cs="Arial"/>
                <w:sz w:val="16"/>
                <w:szCs w:val="16"/>
                <w:lang w:eastAsia="es-AR"/>
              </w:rPr>
            </w:pPr>
          </w:p>
        </w:tc>
      </w:tr>
      <w:tr w:rsidR="005078C4" w:rsidRPr="007368F0" w14:paraId="08FB4A0D" w14:textId="77777777" w:rsidTr="00546B41">
        <w:trPr>
          <w:trHeight w:val="251"/>
        </w:trPr>
        <w:tc>
          <w:tcPr>
            <w:tcW w:w="3783" w:type="dxa"/>
            <w:tcBorders>
              <w:top w:val="nil"/>
              <w:left w:val="nil"/>
              <w:bottom w:val="nil"/>
              <w:right w:val="nil"/>
            </w:tcBorders>
            <w:shd w:val="clear" w:color="auto" w:fill="auto"/>
            <w:hideMark/>
          </w:tcPr>
          <w:p w14:paraId="65A43733" w14:textId="6E8053BA" w:rsidR="005078C4" w:rsidRPr="007368F0" w:rsidRDefault="005078C4" w:rsidP="005078C4">
            <w:pPr>
              <w:rPr>
                <w:rFonts w:ascii="Arial" w:hAnsi="Arial" w:cs="Arial"/>
                <w:b/>
                <w:bCs/>
                <w:sz w:val="16"/>
                <w:szCs w:val="16"/>
                <w:lang w:eastAsia="es-AR"/>
              </w:rPr>
            </w:pPr>
            <w:r w:rsidRPr="007368F0">
              <w:rPr>
                <w:rFonts w:ascii="Arial" w:hAnsi="Arial" w:cs="Arial"/>
                <w:b/>
                <w:bCs/>
                <w:sz w:val="16"/>
                <w:szCs w:val="16"/>
                <w:lang w:eastAsia="es-AR"/>
              </w:rPr>
              <w:t xml:space="preserve">Resultado total integral del </w:t>
            </w:r>
            <w:r w:rsidR="009E23DC">
              <w:rPr>
                <w:rFonts w:ascii="Arial" w:hAnsi="Arial" w:cs="Arial"/>
                <w:b/>
                <w:bCs/>
                <w:sz w:val="16"/>
                <w:szCs w:val="16"/>
                <w:lang w:eastAsia="es-AR"/>
              </w:rPr>
              <w:t>ejercicio</w:t>
            </w:r>
          </w:p>
        </w:tc>
        <w:tc>
          <w:tcPr>
            <w:tcW w:w="880" w:type="dxa"/>
            <w:tcBorders>
              <w:top w:val="nil"/>
              <w:left w:val="nil"/>
              <w:bottom w:val="nil"/>
              <w:right w:val="nil"/>
            </w:tcBorders>
            <w:shd w:val="clear" w:color="auto" w:fill="auto"/>
            <w:noWrap/>
            <w:hideMark/>
          </w:tcPr>
          <w:p w14:paraId="67E68CB2" w14:textId="77777777" w:rsidR="005078C4" w:rsidRPr="007368F0" w:rsidRDefault="005078C4" w:rsidP="005078C4">
            <w:pPr>
              <w:rPr>
                <w:rFonts w:ascii="Arial" w:hAnsi="Arial" w:cs="Arial"/>
                <w:b/>
                <w:bCs/>
                <w:sz w:val="16"/>
                <w:szCs w:val="16"/>
                <w:lang w:eastAsia="es-AR"/>
              </w:rPr>
            </w:pPr>
          </w:p>
        </w:tc>
        <w:tc>
          <w:tcPr>
            <w:tcW w:w="1057" w:type="dxa"/>
            <w:tcBorders>
              <w:top w:val="nil"/>
              <w:left w:val="nil"/>
              <w:bottom w:val="nil"/>
              <w:right w:val="nil"/>
            </w:tcBorders>
            <w:shd w:val="clear" w:color="auto" w:fill="auto"/>
            <w:noWrap/>
            <w:vAlign w:val="center"/>
            <w:hideMark/>
          </w:tcPr>
          <w:p w14:paraId="12B07B75" w14:textId="77777777" w:rsidR="005078C4" w:rsidRPr="00546B41" w:rsidRDefault="005078C4" w:rsidP="00534414">
            <w:pPr>
              <w:jc w:val="right"/>
              <w:rPr>
                <w:rFonts w:ascii="Arial" w:hAnsi="Arial" w:cs="Arial"/>
                <w:sz w:val="16"/>
                <w:szCs w:val="16"/>
                <w:lang w:eastAsia="es-AR"/>
              </w:rPr>
            </w:pPr>
          </w:p>
        </w:tc>
        <w:tc>
          <w:tcPr>
            <w:tcW w:w="1272" w:type="dxa"/>
            <w:tcBorders>
              <w:top w:val="nil"/>
              <w:left w:val="nil"/>
              <w:bottom w:val="nil"/>
              <w:right w:val="nil"/>
            </w:tcBorders>
            <w:shd w:val="clear" w:color="auto" w:fill="auto"/>
            <w:noWrap/>
            <w:vAlign w:val="center"/>
            <w:hideMark/>
          </w:tcPr>
          <w:p w14:paraId="177CF579" w14:textId="77777777" w:rsidR="005078C4" w:rsidRPr="00546B41" w:rsidRDefault="005078C4" w:rsidP="00534414">
            <w:pPr>
              <w:jc w:val="right"/>
              <w:rPr>
                <w:rFonts w:ascii="Arial" w:hAnsi="Arial" w:cs="Arial"/>
                <w:sz w:val="16"/>
                <w:szCs w:val="16"/>
                <w:lang w:eastAsia="es-AR"/>
              </w:rPr>
            </w:pPr>
          </w:p>
        </w:tc>
        <w:tc>
          <w:tcPr>
            <w:tcW w:w="931" w:type="dxa"/>
            <w:tcBorders>
              <w:top w:val="nil"/>
              <w:left w:val="nil"/>
              <w:bottom w:val="nil"/>
              <w:right w:val="nil"/>
            </w:tcBorders>
            <w:shd w:val="clear" w:color="auto" w:fill="auto"/>
            <w:noWrap/>
            <w:vAlign w:val="center"/>
            <w:hideMark/>
          </w:tcPr>
          <w:p w14:paraId="2FE1DEC0" w14:textId="77777777" w:rsidR="005078C4" w:rsidRPr="00546B41" w:rsidRDefault="005078C4" w:rsidP="00534414">
            <w:pPr>
              <w:jc w:val="right"/>
              <w:rPr>
                <w:rFonts w:ascii="Arial" w:hAnsi="Arial" w:cs="Arial"/>
                <w:sz w:val="16"/>
                <w:szCs w:val="16"/>
                <w:lang w:eastAsia="es-AR"/>
              </w:rPr>
            </w:pPr>
          </w:p>
        </w:tc>
        <w:tc>
          <w:tcPr>
            <w:tcW w:w="957" w:type="dxa"/>
            <w:tcBorders>
              <w:top w:val="nil"/>
              <w:left w:val="nil"/>
              <w:bottom w:val="nil"/>
              <w:right w:val="nil"/>
            </w:tcBorders>
            <w:shd w:val="clear" w:color="auto" w:fill="auto"/>
            <w:noWrap/>
            <w:vAlign w:val="center"/>
            <w:hideMark/>
          </w:tcPr>
          <w:p w14:paraId="072B43A5" w14:textId="77777777" w:rsidR="005078C4" w:rsidRPr="00546B41" w:rsidRDefault="005078C4" w:rsidP="00534414">
            <w:pPr>
              <w:jc w:val="right"/>
              <w:rPr>
                <w:rFonts w:ascii="Arial" w:hAnsi="Arial" w:cs="Arial"/>
                <w:sz w:val="16"/>
                <w:szCs w:val="16"/>
                <w:lang w:eastAsia="es-AR"/>
              </w:rPr>
            </w:pPr>
          </w:p>
        </w:tc>
        <w:tc>
          <w:tcPr>
            <w:tcW w:w="1043" w:type="dxa"/>
            <w:tcBorders>
              <w:top w:val="nil"/>
              <w:left w:val="nil"/>
              <w:bottom w:val="nil"/>
              <w:right w:val="nil"/>
            </w:tcBorders>
            <w:shd w:val="clear" w:color="auto" w:fill="auto"/>
            <w:noWrap/>
            <w:vAlign w:val="center"/>
            <w:hideMark/>
          </w:tcPr>
          <w:p w14:paraId="21CEC6E4" w14:textId="77777777" w:rsidR="005078C4" w:rsidRPr="00546B41" w:rsidRDefault="005078C4" w:rsidP="00534414">
            <w:pPr>
              <w:jc w:val="right"/>
              <w:rPr>
                <w:rFonts w:ascii="Arial" w:hAnsi="Arial" w:cs="Arial"/>
                <w:sz w:val="16"/>
                <w:szCs w:val="16"/>
                <w:lang w:eastAsia="es-AR"/>
              </w:rPr>
            </w:pPr>
          </w:p>
        </w:tc>
        <w:tc>
          <w:tcPr>
            <w:tcW w:w="1031" w:type="dxa"/>
            <w:tcBorders>
              <w:top w:val="nil"/>
              <w:left w:val="nil"/>
              <w:bottom w:val="nil"/>
              <w:right w:val="nil"/>
            </w:tcBorders>
            <w:shd w:val="clear" w:color="auto" w:fill="auto"/>
            <w:noWrap/>
            <w:vAlign w:val="center"/>
            <w:hideMark/>
          </w:tcPr>
          <w:p w14:paraId="14B0EA47" w14:textId="77777777" w:rsidR="005078C4" w:rsidRPr="00546B41" w:rsidRDefault="005078C4" w:rsidP="00534414">
            <w:pPr>
              <w:jc w:val="right"/>
              <w:rPr>
                <w:rFonts w:ascii="Arial" w:hAnsi="Arial" w:cs="Arial"/>
                <w:sz w:val="16"/>
                <w:szCs w:val="16"/>
                <w:lang w:eastAsia="es-AR"/>
              </w:rPr>
            </w:pPr>
          </w:p>
        </w:tc>
        <w:tc>
          <w:tcPr>
            <w:tcW w:w="1165" w:type="dxa"/>
            <w:tcBorders>
              <w:top w:val="nil"/>
              <w:left w:val="nil"/>
              <w:bottom w:val="nil"/>
              <w:right w:val="nil"/>
            </w:tcBorders>
            <w:shd w:val="clear" w:color="auto" w:fill="auto"/>
            <w:noWrap/>
            <w:vAlign w:val="center"/>
            <w:hideMark/>
          </w:tcPr>
          <w:p w14:paraId="62186A47" w14:textId="77777777" w:rsidR="005078C4" w:rsidRPr="00546B41" w:rsidRDefault="005078C4" w:rsidP="00534414">
            <w:pPr>
              <w:jc w:val="right"/>
              <w:rPr>
                <w:rFonts w:ascii="Arial" w:hAnsi="Arial" w:cs="Arial"/>
                <w:sz w:val="16"/>
                <w:szCs w:val="16"/>
                <w:lang w:eastAsia="es-AR"/>
              </w:rPr>
            </w:pPr>
          </w:p>
        </w:tc>
        <w:tc>
          <w:tcPr>
            <w:tcW w:w="1186" w:type="dxa"/>
            <w:tcBorders>
              <w:top w:val="nil"/>
              <w:left w:val="nil"/>
              <w:bottom w:val="nil"/>
              <w:right w:val="nil"/>
            </w:tcBorders>
            <w:shd w:val="clear" w:color="auto" w:fill="auto"/>
            <w:noWrap/>
            <w:vAlign w:val="center"/>
            <w:hideMark/>
          </w:tcPr>
          <w:p w14:paraId="5DB20061" w14:textId="77777777" w:rsidR="005078C4" w:rsidRPr="00546B41" w:rsidRDefault="005078C4" w:rsidP="00534414">
            <w:pPr>
              <w:jc w:val="right"/>
              <w:rPr>
                <w:rFonts w:ascii="Arial" w:hAnsi="Arial" w:cs="Arial"/>
                <w:sz w:val="16"/>
                <w:szCs w:val="16"/>
                <w:lang w:eastAsia="es-AR"/>
              </w:rPr>
            </w:pPr>
          </w:p>
        </w:tc>
      </w:tr>
      <w:tr w:rsidR="00410DCC" w:rsidRPr="007368F0" w14:paraId="7D2C4130" w14:textId="77777777" w:rsidTr="00410DCC">
        <w:trPr>
          <w:trHeight w:val="242"/>
        </w:trPr>
        <w:tc>
          <w:tcPr>
            <w:tcW w:w="3783" w:type="dxa"/>
            <w:tcBorders>
              <w:top w:val="nil"/>
              <w:left w:val="nil"/>
              <w:bottom w:val="nil"/>
              <w:right w:val="nil"/>
            </w:tcBorders>
            <w:shd w:val="clear" w:color="auto" w:fill="auto"/>
            <w:hideMark/>
          </w:tcPr>
          <w:p w14:paraId="2B5498FC" w14:textId="6AB7A31E" w:rsidR="00410DCC" w:rsidRPr="007368F0" w:rsidRDefault="00410DCC" w:rsidP="00410DCC">
            <w:pPr>
              <w:rPr>
                <w:rFonts w:ascii="Arial" w:hAnsi="Arial" w:cs="Arial"/>
                <w:sz w:val="16"/>
                <w:szCs w:val="16"/>
                <w:lang w:eastAsia="es-AR"/>
              </w:rPr>
            </w:pPr>
            <w:r w:rsidRPr="007368F0">
              <w:rPr>
                <w:rFonts w:ascii="Arial" w:hAnsi="Arial" w:cs="Arial"/>
                <w:sz w:val="16"/>
                <w:szCs w:val="16"/>
                <w:lang w:eastAsia="es-AR"/>
              </w:rPr>
              <w:t xml:space="preserve">- Resultado neto del </w:t>
            </w:r>
            <w:r w:rsidRPr="009E23DC">
              <w:rPr>
                <w:rFonts w:ascii="Arial" w:hAnsi="Arial" w:cs="Arial"/>
                <w:bCs/>
                <w:sz w:val="16"/>
                <w:szCs w:val="16"/>
                <w:lang w:eastAsia="es-AR"/>
              </w:rPr>
              <w:t>ejercicio</w:t>
            </w:r>
          </w:p>
        </w:tc>
        <w:tc>
          <w:tcPr>
            <w:tcW w:w="880" w:type="dxa"/>
            <w:tcBorders>
              <w:top w:val="nil"/>
              <w:left w:val="nil"/>
              <w:bottom w:val="nil"/>
              <w:right w:val="nil"/>
            </w:tcBorders>
            <w:shd w:val="clear" w:color="auto" w:fill="auto"/>
            <w:noWrap/>
            <w:hideMark/>
          </w:tcPr>
          <w:p w14:paraId="677DC13A" w14:textId="77777777" w:rsidR="00410DCC" w:rsidRPr="007368F0" w:rsidRDefault="00410DCC" w:rsidP="00410DCC">
            <w:pPr>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hideMark/>
          </w:tcPr>
          <w:p w14:paraId="5E6ACB6C" w14:textId="02CE4E41" w:rsidR="00410DCC" w:rsidRPr="00546B41" w:rsidRDefault="00410DCC" w:rsidP="00410DCC">
            <w:pPr>
              <w:jc w:val="right"/>
              <w:rPr>
                <w:rFonts w:ascii="Arial" w:hAnsi="Arial" w:cs="Arial"/>
                <w:sz w:val="16"/>
                <w:szCs w:val="16"/>
                <w:lang w:eastAsia="es-AR"/>
              </w:rPr>
            </w:pPr>
            <w:r w:rsidRPr="00546B41">
              <w:rPr>
                <w:rFonts w:ascii="Arial" w:hAnsi="Arial" w:cs="Arial"/>
                <w:sz w:val="16"/>
                <w:szCs w:val="16"/>
                <w:lang w:eastAsia="es-AR"/>
              </w:rPr>
              <w:t>-</w:t>
            </w:r>
          </w:p>
        </w:tc>
        <w:tc>
          <w:tcPr>
            <w:tcW w:w="1272" w:type="dxa"/>
            <w:tcBorders>
              <w:top w:val="nil"/>
              <w:left w:val="nil"/>
              <w:bottom w:val="nil"/>
              <w:right w:val="nil"/>
            </w:tcBorders>
            <w:shd w:val="clear" w:color="auto" w:fill="auto"/>
            <w:noWrap/>
            <w:vAlign w:val="center"/>
            <w:hideMark/>
          </w:tcPr>
          <w:p w14:paraId="420AEA04" w14:textId="7A49E926" w:rsidR="00410DCC" w:rsidRPr="00546B41" w:rsidRDefault="00410DCC" w:rsidP="00410DCC">
            <w:pPr>
              <w:jc w:val="right"/>
              <w:rPr>
                <w:rFonts w:ascii="Arial" w:hAnsi="Arial" w:cs="Arial"/>
                <w:sz w:val="16"/>
                <w:szCs w:val="16"/>
                <w:lang w:eastAsia="es-AR"/>
              </w:rPr>
            </w:pPr>
            <w:r w:rsidRPr="00546B41">
              <w:rPr>
                <w:rFonts w:ascii="Arial" w:hAnsi="Arial" w:cs="Arial"/>
                <w:sz w:val="16"/>
                <w:szCs w:val="16"/>
                <w:lang w:eastAsia="es-AR"/>
              </w:rPr>
              <w:t>-</w:t>
            </w:r>
          </w:p>
        </w:tc>
        <w:tc>
          <w:tcPr>
            <w:tcW w:w="931" w:type="dxa"/>
            <w:tcBorders>
              <w:top w:val="nil"/>
              <w:left w:val="nil"/>
              <w:bottom w:val="nil"/>
              <w:right w:val="nil"/>
            </w:tcBorders>
            <w:shd w:val="clear" w:color="auto" w:fill="auto"/>
            <w:noWrap/>
            <w:vAlign w:val="center"/>
            <w:hideMark/>
          </w:tcPr>
          <w:p w14:paraId="37C077FE" w14:textId="7D5A4C86" w:rsidR="00410DCC" w:rsidRPr="00546B41" w:rsidRDefault="00410DCC" w:rsidP="00410DCC">
            <w:pPr>
              <w:jc w:val="right"/>
              <w:rPr>
                <w:rFonts w:ascii="Arial" w:hAnsi="Arial" w:cs="Arial"/>
                <w:sz w:val="16"/>
                <w:szCs w:val="16"/>
                <w:lang w:eastAsia="es-AR"/>
              </w:rPr>
            </w:pPr>
            <w:r>
              <w:rPr>
                <w:rFonts w:ascii="Arial" w:hAnsi="Arial" w:cs="Arial"/>
                <w:sz w:val="16"/>
                <w:szCs w:val="16"/>
              </w:rPr>
              <w:t>-</w:t>
            </w:r>
          </w:p>
        </w:tc>
        <w:tc>
          <w:tcPr>
            <w:tcW w:w="957" w:type="dxa"/>
            <w:tcBorders>
              <w:top w:val="nil"/>
              <w:left w:val="nil"/>
              <w:bottom w:val="nil"/>
              <w:right w:val="nil"/>
            </w:tcBorders>
            <w:shd w:val="clear" w:color="auto" w:fill="auto"/>
            <w:noWrap/>
            <w:vAlign w:val="center"/>
          </w:tcPr>
          <w:p w14:paraId="6DC80B42" w14:textId="26F93933" w:rsidR="00410DCC" w:rsidRPr="00546B41" w:rsidRDefault="00410DCC" w:rsidP="00410DCC">
            <w:pPr>
              <w:jc w:val="right"/>
              <w:rPr>
                <w:rFonts w:ascii="Arial" w:hAnsi="Arial" w:cs="Arial"/>
                <w:sz w:val="16"/>
                <w:szCs w:val="16"/>
                <w:lang w:eastAsia="es-AR"/>
              </w:rPr>
            </w:pPr>
            <w:r>
              <w:rPr>
                <w:rFonts w:ascii="Arial" w:hAnsi="Arial" w:cs="Arial"/>
                <w:sz w:val="16"/>
                <w:szCs w:val="16"/>
              </w:rPr>
              <w:t>-</w:t>
            </w:r>
          </w:p>
        </w:tc>
        <w:tc>
          <w:tcPr>
            <w:tcW w:w="1043" w:type="dxa"/>
            <w:tcBorders>
              <w:top w:val="nil"/>
              <w:left w:val="nil"/>
              <w:bottom w:val="nil"/>
              <w:right w:val="nil"/>
            </w:tcBorders>
            <w:shd w:val="clear" w:color="auto" w:fill="auto"/>
            <w:noWrap/>
            <w:vAlign w:val="center"/>
          </w:tcPr>
          <w:p w14:paraId="2E64E7D3" w14:textId="178E422A" w:rsidR="00410DCC" w:rsidRPr="00546B41" w:rsidRDefault="00410DCC" w:rsidP="00410DCC">
            <w:pPr>
              <w:jc w:val="right"/>
              <w:rPr>
                <w:rFonts w:ascii="Arial" w:hAnsi="Arial" w:cs="Arial"/>
                <w:sz w:val="16"/>
                <w:szCs w:val="16"/>
                <w:lang w:eastAsia="es-AR"/>
              </w:rPr>
            </w:pPr>
            <w:r>
              <w:rPr>
                <w:rFonts w:ascii="Arial" w:hAnsi="Arial" w:cs="Arial"/>
                <w:sz w:val="16"/>
                <w:szCs w:val="16"/>
              </w:rPr>
              <w:t>-</w:t>
            </w:r>
          </w:p>
        </w:tc>
        <w:tc>
          <w:tcPr>
            <w:tcW w:w="1031" w:type="dxa"/>
            <w:tcBorders>
              <w:top w:val="nil"/>
              <w:left w:val="nil"/>
              <w:bottom w:val="nil"/>
              <w:right w:val="nil"/>
            </w:tcBorders>
            <w:shd w:val="clear" w:color="auto" w:fill="auto"/>
            <w:noWrap/>
            <w:vAlign w:val="center"/>
          </w:tcPr>
          <w:p w14:paraId="701E6570" w14:textId="09D54BF1" w:rsidR="00410DCC" w:rsidRPr="00546B41" w:rsidRDefault="00410DCC" w:rsidP="00410DCC">
            <w:pPr>
              <w:jc w:val="right"/>
              <w:rPr>
                <w:rFonts w:ascii="Arial" w:hAnsi="Arial" w:cs="Arial"/>
                <w:sz w:val="16"/>
                <w:szCs w:val="16"/>
                <w:lang w:eastAsia="es-AR"/>
              </w:rPr>
            </w:pPr>
            <w:r>
              <w:rPr>
                <w:rFonts w:ascii="Arial" w:hAnsi="Arial" w:cs="Arial"/>
                <w:sz w:val="16"/>
                <w:szCs w:val="16"/>
              </w:rPr>
              <w:t>-</w:t>
            </w:r>
          </w:p>
        </w:tc>
        <w:tc>
          <w:tcPr>
            <w:tcW w:w="1165" w:type="dxa"/>
            <w:tcBorders>
              <w:top w:val="nil"/>
              <w:left w:val="nil"/>
              <w:bottom w:val="nil"/>
              <w:right w:val="nil"/>
            </w:tcBorders>
            <w:shd w:val="clear" w:color="auto" w:fill="auto"/>
            <w:noWrap/>
            <w:vAlign w:val="center"/>
          </w:tcPr>
          <w:p w14:paraId="59266715" w14:textId="31A2723E" w:rsidR="00410DCC" w:rsidRPr="00546B41" w:rsidRDefault="00410DCC" w:rsidP="00410DCC">
            <w:pPr>
              <w:jc w:val="right"/>
              <w:rPr>
                <w:rFonts w:ascii="Arial" w:hAnsi="Arial" w:cs="Arial"/>
                <w:sz w:val="16"/>
                <w:szCs w:val="16"/>
                <w:lang w:eastAsia="es-AR"/>
              </w:rPr>
            </w:pPr>
            <w:r>
              <w:rPr>
                <w:rFonts w:ascii="Arial" w:hAnsi="Arial" w:cs="Arial"/>
                <w:sz w:val="16"/>
                <w:szCs w:val="16"/>
              </w:rPr>
              <w:t>3.3</w:t>
            </w:r>
            <w:r w:rsidR="009707DD">
              <w:rPr>
                <w:rFonts w:ascii="Arial" w:hAnsi="Arial" w:cs="Arial"/>
                <w:sz w:val="16"/>
                <w:szCs w:val="16"/>
              </w:rPr>
              <w:t>20</w:t>
            </w:r>
            <w:r>
              <w:rPr>
                <w:rFonts w:ascii="Arial" w:hAnsi="Arial" w:cs="Arial"/>
                <w:sz w:val="16"/>
                <w:szCs w:val="16"/>
              </w:rPr>
              <w:t>.</w:t>
            </w:r>
            <w:r w:rsidR="009707DD">
              <w:rPr>
                <w:rFonts w:ascii="Arial" w:hAnsi="Arial" w:cs="Arial"/>
                <w:sz w:val="16"/>
                <w:szCs w:val="16"/>
              </w:rPr>
              <w:t>416</w:t>
            </w:r>
          </w:p>
        </w:tc>
        <w:tc>
          <w:tcPr>
            <w:tcW w:w="1186" w:type="dxa"/>
            <w:tcBorders>
              <w:top w:val="nil"/>
              <w:left w:val="nil"/>
              <w:bottom w:val="nil"/>
              <w:right w:val="nil"/>
            </w:tcBorders>
            <w:shd w:val="clear" w:color="auto" w:fill="auto"/>
            <w:noWrap/>
            <w:vAlign w:val="center"/>
          </w:tcPr>
          <w:p w14:paraId="314D71F6" w14:textId="2DA11513" w:rsidR="00410DCC" w:rsidRPr="00546B41" w:rsidRDefault="00410DCC" w:rsidP="00410DCC">
            <w:pPr>
              <w:jc w:val="right"/>
              <w:rPr>
                <w:rFonts w:ascii="Arial" w:hAnsi="Arial" w:cs="Arial"/>
                <w:sz w:val="16"/>
                <w:szCs w:val="16"/>
                <w:lang w:eastAsia="es-AR"/>
              </w:rPr>
            </w:pPr>
            <w:r>
              <w:rPr>
                <w:rFonts w:ascii="Arial" w:hAnsi="Arial" w:cs="Arial"/>
                <w:sz w:val="16"/>
                <w:szCs w:val="16"/>
              </w:rPr>
              <w:t>3.3</w:t>
            </w:r>
            <w:r w:rsidR="009707DD">
              <w:rPr>
                <w:rFonts w:ascii="Arial" w:hAnsi="Arial" w:cs="Arial"/>
                <w:sz w:val="16"/>
                <w:szCs w:val="16"/>
              </w:rPr>
              <w:t>20</w:t>
            </w:r>
            <w:r>
              <w:rPr>
                <w:rFonts w:ascii="Arial" w:hAnsi="Arial" w:cs="Arial"/>
                <w:sz w:val="16"/>
                <w:szCs w:val="16"/>
              </w:rPr>
              <w:t>.</w:t>
            </w:r>
            <w:r w:rsidR="009707DD">
              <w:rPr>
                <w:rFonts w:ascii="Arial" w:hAnsi="Arial" w:cs="Arial"/>
                <w:sz w:val="16"/>
                <w:szCs w:val="16"/>
              </w:rPr>
              <w:t>416</w:t>
            </w:r>
          </w:p>
        </w:tc>
      </w:tr>
      <w:tr w:rsidR="00410DCC" w:rsidRPr="007368F0" w14:paraId="5F7509D4" w14:textId="77777777" w:rsidTr="00410DCC">
        <w:trPr>
          <w:trHeight w:val="273"/>
        </w:trPr>
        <w:tc>
          <w:tcPr>
            <w:tcW w:w="3783" w:type="dxa"/>
            <w:tcBorders>
              <w:top w:val="nil"/>
              <w:left w:val="nil"/>
              <w:bottom w:val="nil"/>
              <w:right w:val="nil"/>
            </w:tcBorders>
            <w:shd w:val="clear" w:color="auto" w:fill="auto"/>
            <w:hideMark/>
          </w:tcPr>
          <w:p w14:paraId="25CDB996" w14:textId="6A03139E" w:rsidR="00410DCC" w:rsidRPr="007368F0" w:rsidRDefault="00410DCC" w:rsidP="00410DCC">
            <w:pPr>
              <w:rPr>
                <w:rFonts w:ascii="Arial" w:hAnsi="Arial" w:cs="Arial"/>
                <w:sz w:val="16"/>
                <w:szCs w:val="16"/>
                <w:lang w:eastAsia="es-AR"/>
              </w:rPr>
            </w:pPr>
            <w:r w:rsidRPr="007368F0">
              <w:rPr>
                <w:rFonts w:ascii="Arial" w:hAnsi="Arial" w:cs="Arial"/>
                <w:sz w:val="16"/>
                <w:szCs w:val="16"/>
                <w:lang w:eastAsia="es-AR"/>
              </w:rPr>
              <w:t xml:space="preserve">- Otro Resultado Integral del </w:t>
            </w:r>
            <w:r w:rsidRPr="009E23DC">
              <w:rPr>
                <w:rFonts w:ascii="Arial" w:hAnsi="Arial" w:cs="Arial"/>
                <w:bCs/>
                <w:sz w:val="16"/>
                <w:szCs w:val="16"/>
                <w:lang w:eastAsia="es-AR"/>
              </w:rPr>
              <w:t>ejercicio</w:t>
            </w:r>
          </w:p>
        </w:tc>
        <w:tc>
          <w:tcPr>
            <w:tcW w:w="880" w:type="dxa"/>
            <w:tcBorders>
              <w:top w:val="nil"/>
              <w:left w:val="nil"/>
              <w:bottom w:val="nil"/>
              <w:right w:val="nil"/>
            </w:tcBorders>
            <w:shd w:val="clear" w:color="auto" w:fill="auto"/>
            <w:noWrap/>
            <w:hideMark/>
          </w:tcPr>
          <w:p w14:paraId="60557FBD" w14:textId="77777777" w:rsidR="00410DCC" w:rsidRPr="007368F0" w:rsidRDefault="00410DCC" w:rsidP="00410DCC">
            <w:pPr>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hideMark/>
          </w:tcPr>
          <w:p w14:paraId="4B12641B" w14:textId="5323D7F1" w:rsidR="00410DCC" w:rsidRPr="00546B41" w:rsidRDefault="00410DCC" w:rsidP="00410DCC">
            <w:pPr>
              <w:jc w:val="right"/>
              <w:rPr>
                <w:rFonts w:ascii="Arial" w:hAnsi="Arial" w:cs="Arial"/>
                <w:sz w:val="16"/>
                <w:szCs w:val="16"/>
                <w:lang w:eastAsia="es-AR"/>
              </w:rPr>
            </w:pPr>
            <w:r w:rsidRPr="00546B41">
              <w:rPr>
                <w:rFonts w:ascii="Arial" w:hAnsi="Arial" w:cs="Arial"/>
                <w:sz w:val="16"/>
                <w:szCs w:val="16"/>
                <w:lang w:eastAsia="es-AR"/>
              </w:rPr>
              <w:t>-</w:t>
            </w:r>
          </w:p>
        </w:tc>
        <w:tc>
          <w:tcPr>
            <w:tcW w:w="1272" w:type="dxa"/>
            <w:tcBorders>
              <w:top w:val="nil"/>
              <w:left w:val="nil"/>
              <w:bottom w:val="nil"/>
              <w:right w:val="nil"/>
            </w:tcBorders>
            <w:shd w:val="clear" w:color="auto" w:fill="auto"/>
            <w:noWrap/>
            <w:vAlign w:val="center"/>
            <w:hideMark/>
          </w:tcPr>
          <w:p w14:paraId="1B972F9C" w14:textId="68B01E01" w:rsidR="00410DCC" w:rsidRPr="00546B41" w:rsidRDefault="00410DCC" w:rsidP="00410DCC">
            <w:pPr>
              <w:jc w:val="right"/>
              <w:rPr>
                <w:rFonts w:ascii="Arial" w:hAnsi="Arial" w:cs="Arial"/>
                <w:sz w:val="16"/>
                <w:szCs w:val="16"/>
                <w:lang w:eastAsia="es-AR"/>
              </w:rPr>
            </w:pPr>
            <w:r w:rsidRPr="00546B41">
              <w:rPr>
                <w:rFonts w:ascii="Arial" w:hAnsi="Arial" w:cs="Arial"/>
                <w:sz w:val="16"/>
                <w:szCs w:val="16"/>
                <w:lang w:eastAsia="es-AR"/>
              </w:rPr>
              <w:t>-</w:t>
            </w:r>
          </w:p>
        </w:tc>
        <w:tc>
          <w:tcPr>
            <w:tcW w:w="931" w:type="dxa"/>
            <w:tcBorders>
              <w:top w:val="nil"/>
              <w:left w:val="nil"/>
              <w:bottom w:val="nil"/>
              <w:right w:val="nil"/>
            </w:tcBorders>
            <w:shd w:val="clear" w:color="auto" w:fill="auto"/>
            <w:noWrap/>
            <w:vAlign w:val="center"/>
          </w:tcPr>
          <w:p w14:paraId="120A384F" w14:textId="17B243EF" w:rsidR="00410DCC" w:rsidRPr="00546B41" w:rsidRDefault="00410DCC" w:rsidP="00410DCC">
            <w:pPr>
              <w:jc w:val="right"/>
              <w:rPr>
                <w:rFonts w:ascii="Arial" w:hAnsi="Arial" w:cs="Arial"/>
                <w:sz w:val="16"/>
                <w:szCs w:val="16"/>
                <w:lang w:eastAsia="es-AR"/>
              </w:rPr>
            </w:pPr>
            <w:r>
              <w:rPr>
                <w:rFonts w:ascii="Arial" w:hAnsi="Arial" w:cs="Arial"/>
                <w:sz w:val="16"/>
                <w:szCs w:val="16"/>
              </w:rPr>
              <w:t>449.00</w:t>
            </w:r>
            <w:r w:rsidR="009707DD">
              <w:rPr>
                <w:rFonts w:ascii="Arial" w:hAnsi="Arial" w:cs="Arial"/>
                <w:sz w:val="16"/>
                <w:szCs w:val="16"/>
              </w:rPr>
              <w:t>5</w:t>
            </w:r>
          </w:p>
        </w:tc>
        <w:tc>
          <w:tcPr>
            <w:tcW w:w="957" w:type="dxa"/>
            <w:tcBorders>
              <w:top w:val="nil"/>
              <w:left w:val="nil"/>
              <w:bottom w:val="nil"/>
              <w:right w:val="nil"/>
            </w:tcBorders>
            <w:shd w:val="clear" w:color="auto" w:fill="auto"/>
            <w:noWrap/>
            <w:vAlign w:val="center"/>
          </w:tcPr>
          <w:p w14:paraId="2D1EF0DD" w14:textId="2CE4ECFC" w:rsidR="00410DCC" w:rsidRPr="00546B41" w:rsidRDefault="00410DCC" w:rsidP="00410DCC">
            <w:pPr>
              <w:jc w:val="right"/>
              <w:rPr>
                <w:rFonts w:ascii="Arial" w:hAnsi="Arial" w:cs="Arial"/>
                <w:sz w:val="16"/>
                <w:szCs w:val="16"/>
                <w:lang w:eastAsia="es-AR"/>
              </w:rPr>
            </w:pPr>
            <w:r>
              <w:rPr>
                <w:rFonts w:ascii="Arial" w:hAnsi="Arial" w:cs="Arial"/>
                <w:sz w:val="16"/>
                <w:szCs w:val="16"/>
              </w:rPr>
              <w:t>7.22</w:t>
            </w:r>
            <w:r w:rsidR="009707DD">
              <w:rPr>
                <w:rFonts w:ascii="Arial" w:hAnsi="Arial" w:cs="Arial"/>
                <w:sz w:val="16"/>
                <w:szCs w:val="16"/>
              </w:rPr>
              <w:t>7</w:t>
            </w:r>
          </w:p>
        </w:tc>
        <w:tc>
          <w:tcPr>
            <w:tcW w:w="1043" w:type="dxa"/>
            <w:tcBorders>
              <w:top w:val="nil"/>
              <w:left w:val="nil"/>
              <w:bottom w:val="nil"/>
              <w:right w:val="nil"/>
            </w:tcBorders>
            <w:shd w:val="clear" w:color="auto" w:fill="auto"/>
            <w:noWrap/>
            <w:vAlign w:val="center"/>
          </w:tcPr>
          <w:p w14:paraId="170B10AD" w14:textId="2F5930BB" w:rsidR="00410DCC" w:rsidRPr="00546B41" w:rsidRDefault="00410DCC" w:rsidP="00410DCC">
            <w:pPr>
              <w:jc w:val="right"/>
              <w:rPr>
                <w:rFonts w:ascii="Arial" w:hAnsi="Arial" w:cs="Arial"/>
                <w:sz w:val="16"/>
                <w:szCs w:val="16"/>
                <w:lang w:eastAsia="es-AR"/>
              </w:rPr>
            </w:pPr>
            <w:r>
              <w:rPr>
                <w:rFonts w:ascii="Arial" w:hAnsi="Arial" w:cs="Arial"/>
                <w:sz w:val="16"/>
                <w:szCs w:val="16"/>
              </w:rPr>
              <w:t>-</w:t>
            </w:r>
          </w:p>
        </w:tc>
        <w:tc>
          <w:tcPr>
            <w:tcW w:w="1031" w:type="dxa"/>
            <w:tcBorders>
              <w:top w:val="nil"/>
              <w:left w:val="nil"/>
              <w:bottom w:val="nil"/>
              <w:right w:val="nil"/>
            </w:tcBorders>
            <w:shd w:val="clear" w:color="auto" w:fill="auto"/>
            <w:noWrap/>
            <w:vAlign w:val="center"/>
          </w:tcPr>
          <w:p w14:paraId="1E8B6DC7" w14:textId="5C3E7703" w:rsidR="00410DCC" w:rsidRPr="00546B41" w:rsidRDefault="00410DCC" w:rsidP="00410DCC">
            <w:pPr>
              <w:jc w:val="right"/>
              <w:rPr>
                <w:rFonts w:ascii="Arial" w:hAnsi="Arial" w:cs="Arial"/>
                <w:sz w:val="16"/>
                <w:szCs w:val="16"/>
                <w:lang w:eastAsia="es-AR"/>
              </w:rPr>
            </w:pPr>
            <w:r>
              <w:rPr>
                <w:rFonts w:ascii="Arial" w:hAnsi="Arial" w:cs="Arial"/>
                <w:sz w:val="16"/>
                <w:szCs w:val="16"/>
              </w:rPr>
              <w:t>-</w:t>
            </w:r>
          </w:p>
        </w:tc>
        <w:tc>
          <w:tcPr>
            <w:tcW w:w="1165" w:type="dxa"/>
            <w:tcBorders>
              <w:top w:val="nil"/>
              <w:left w:val="nil"/>
              <w:bottom w:val="nil"/>
              <w:right w:val="nil"/>
            </w:tcBorders>
            <w:shd w:val="clear" w:color="auto" w:fill="auto"/>
            <w:noWrap/>
            <w:vAlign w:val="center"/>
          </w:tcPr>
          <w:p w14:paraId="65FF3638" w14:textId="3B956E3F" w:rsidR="00410DCC" w:rsidRPr="00546B41" w:rsidRDefault="00410DCC" w:rsidP="00410DCC">
            <w:pPr>
              <w:jc w:val="right"/>
              <w:rPr>
                <w:rFonts w:ascii="Arial" w:hAnsi="Arial" w:cs="Arial"/>
                <w:sz w:val="16"/>
                <w:szCs w:val="16"/>
                <w:lang w:eastAsia="es-AR"/>
              </w:rPr>
            </w:pPr>
            <w:r>
              <w:rPr>
                <w:rFonts w:ascii="Arial" w:hAnsi="Arial" w:cs="Arial"/>
                <w:sz w:val="16"/>
                <w:szCs w:val="16"/>
              </w:rPr>
              <w:t>-</w:t>
            </w:r>
          </w:p>
        </w:tc>
        <w:tc>
          <w:tcPr>
            <w:tcW w:w="1186" w:type="dxa"/>
            <w:tcBorders>
              <w:top w:val="nil"/>
              <w:left w:val="nil"/>
              <w:bottom w:val="nil"/>
              <w:right w:val="nil"/>
            </w:tcBorders>
            <w:shd w:val="clear" w:color="auto" w:fill="auto"/>
            <w:noWrap/>
            <w:vAlign w:val="center"/>
          </w:tcPr>
          <w:p w14:paraId="0ACFF4C3" w14:textId="6D2E9818" w:rsidR="00410DCC" w:rsidRPr="00546B41" w:rsidRDefault="00410DCC" w:rsidP="00410DCC">
            <w:pPr>
              <w:jc w:val="right"/>
              <w:rPr>
                <w:rFonts w:ascii="Arial" w:hAnsi="Arial" w:cs="Arial"/>
                <w:sz w:val="16"/>
                <w:szCs w:val="16"/>
                <w:lang w:eastAsia="es-AR"/>
              </w:rPr>
            </w:pPr>
            <w:r>
              <w:rPr>
                <w:rFonts w:ascii="Arial" w:hAnsi="Arial" w:cs="Arial"/>
                <w:sz w:val="16"/>
                <w:szCs w:val="16"/>
              </w:rPr>
              <w:t>456.232</w:t>
            </w:r>
          </w:p>
        </w:tc>
      </w:tr>
      <w:tr w:rsidR="00BF2F2A" w:rsidRPr="007368F0" w14:paraId="490BF324" w14:textId="77777777" w:rsidTr="00C9200A">
        <w:trPr>
          <w:trHeight w:hRule="exact" w:val="383"/>
        </w:trPr>
        <w:tc>
          <w:tcPr>
            <w:tcW w:w="3783" w:type="dxa"/>
            <w:tcBorders>
              <w:top w:val="nil"/>
              <w:left w:val="nil"/>
              <w:bottom w:val="nil"/>
              <w:right w:val="nil"/>
            </w:tcBorders>
            <w:shd w:val="clear" w:color="auto" w:fill="auto"/>
          </w:tcPr>
          <w:p w14:paraId="0A454472" w14:textId="23D1496F" w:rsidR="00BF2F2A" w:rsidRPr="007368F0" w:rsidRDefault="00BF2F2A" w:rsidP="00BF2F2A">
            <w:pPr>
              <w:rPr>
                <w:rFonts w:ascii="Arial" w:hAnsi="Arial" w:cs="Arial"/>
                <w:sz w:val="16"/>
                <w:szCs w:val="16"/>
                <w:lang w:eastAsia="es-AR"/>
              </w:rPr>
            </w:pPr>
            <w:r w:rsidRPr="007368F0">
              <w:rPr>
                <w:rFonts w:ascii="Arial" w:hAnsi="Arial" w:cs="Arial"/>
                <w:sz w:val="16"/>
                <w:szCs w:val="16"/>
                <w:lang w:eastAsia="es-AR"/>
              </w:rPr>
              <w:t>- Distribución de RNA aprobados por la Asamblea Ordinaria de Accionistas del 12/04/2019.</w:t>
            </w:r>
          </w:p>
        </w:tc>
        <w:tc>
          <w:tcPr>
            <w:tcW w:w="880" w:type="dxa"/>
            <w:tcBorders>
              <w:top w:val="nil"/>
              <w:left w:val="nil"/>
              <w:bottom w:val="nil"/>
              <w:right w:val="nil"/>
            </w:tcBorders>
            <w:shd w:val="clear" w:color="auto" w:fill="auto"/>
            <w:noWrap/>
          </w:tcPr>
          <w:p w14:paraId="1E5F9000" w14:textId="77777777" w:rsidR="00BF2F2A" w:rsidRPr="007368F0" w:rsidRDefault="00BF2F2A" w:rsidP="00BF2F2A">
            <w:pPr>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tcPr>
          <w:p w14:paraId="53240785" w14:textId="77777777" w:rsidR="00BF2F2A" w:rsidRPr="00546B41" w:rsidRDefault="00BF2F2A" w:rsidP="00BF2F2A">
            <w:pPr>
              <w:jc w:val="right"/>
              <w:rPr>
                <w:rFonts w:ascii="Arial" w:hAnsi="Arial" w:cs="Arial"/>
                <w:sz w:val="16"/>
                <w:szCs w:val="16"/>
                <w:lang w:eastAsia="es-AR"/>
              </w:rPr>
            </w:pPr>
          </w:p>
        </w:tc>
        <w:tc>
          <w:tcPr>
            <w:tcW w:w="1272" w:type="dxa"/>
            <w:tcBorders>
              <w:top w:val="nil"/>
              <w:left w:val="nil"/>
              <w:bottom w:val="nil"/>
              <w:right w:val="nil"/>
            </w:tcBorders>
            <w:shd w:val="clear" w:color="auto" w:fill="auto"/>
            <w:noWrap/>
            <w:vAlign w:val="center"/>
          </w:tcPr>
          <w:p w14:paraId="28416A03" w14:textId="77777777" w:rsidR="00BF2F2A" w:rsidRPr="00546B41" w:rsidRDefault="00BF2F2A" w:rsidP="00BF2F2A">
            <w:pPr>
              <w:jc w:val="right"/>
              <w:rPr>
                <w:rFonts w:ascii="Arial" w:hAnsi="Arial" w:cs="Arial"/>
                <w:sz w:val="16"/>
                <w:szCs w:val="16"/>
                <w:lang w:eastAsia="es-AR"/>
              </w:rPr>
            </w:pPr>
          </w:p>
        </w:tc>
        <w:tc>
          <w:tcPr>
            <w:tcW w:w="931" w:type="dxa"/>
            <w:tcBorders>
              <w:top w:val="nil"/>
              <w:left w:val="nil"/>
              <w:bottom w:val="nil"/>
              <w:right w:val="nil"/>
            </w:tcBorders>
            <w:shd w:val="clear" w:color="auto" w:fill="auto"/>
            <w:noWrap/>
            <w:vAlign w:val="center"/>
          </w:tcPr>
          <w:p w14:paraId="708CAFC2" w14:textId="77777777" w:rsidR="00BF2F2A" w:rsidRPr="00546B41" w:rsidRDefault="00BF2F2A" w:rsidP="00BF2F2A">
            <w:pPr>
              <w:jc w:val="right"/>
              <w:rPr>
                <w:rFonts w:ascii="Arial" w:hAnsi="Arial" w:cs="Arial"/>
                <w:sz w:val="16"/>
                <w:szCs w:val="16"/>
                <w:lang w:eastAsia="es-AR"/>
              </w:rPr>
            </w:pPr>
          </w:p>
        </w:tc>
        <w:tc>
          <w:tcPr>
            <w:tcW w:w="957" w:type="dxa"/>
            <w:tcBorders>
              <w:top w:val="nil"/>
              <w:left w:val="nil"/>
              <w:bottom w:val="nil"/>
              <w:right w:val="nil"/>
            </w:tcBorders>
            <w:shd w:val="clear" w:color="auto" w:fill="auto"/>
            <w:noWrap/>
            <w:vAlign w:val="center"/>
          </w:tcPr>
          <w:p w14:paraId="603F87EE" w14:textId="77777777" w:rsidR="00BF2F2A" w:rsidRPr="00546B41" w:rsidRDefault="00BF2F2A" w:rsidP="00BF2F2A">
            <w:pPr>
              <w:jc w:val="right"/>
              <w:rPr>
                <w:rFonts w:ascii="Arial" w:hAnsi="Arial" w:cs="Arial"/>
                <w:sz w:val="16"/>
                <w:szCs w:val="16"/>
                <w:lang w:eastAsia="es-AR"/>
              </w:rPr>
            </w:pPr>
          </w:p>
        </w:tc>
        <w:tc>
          <w:tcPr>
            <w:tcW w:w="1043" w:type="dxa"/>
            <w:tcBorders>
              <w:top w:val="nil"/>
              <w:left w:val="nil"/>
              <w:bottom w:val="nil"/>
              <w:right w:val="nil"/>
            </w:tcBorders>
            <w:shd w:val="clear" w:color="auto" w:fill="auto"/>
            <w:noWrap/>
            <w:vAlign w:val="center"/>
          </w:tcPr>
          <w:p w14:paraId="004EA961" w14:textId="77777777" w:rsidR="00BF2F2A" w:rsidRPr="00546B41" w:rsidRDefault="00BF2F2A" w:rsidP="00BF2F2A">
            <w:pPr>
              <w:jc w:val="right"/>
              <w:rPr>
                <w:rFonts w:ascii="Arial" w:hAnsi="Arial" w:cs="Arial"/>
                <w:sz w:val="16"/>
                <w:szCs w:val="16"/>
                <w:lang w:eastAsia="es-AR"/>
              </w:rPr>
            </w:pPr>
          </w:p>
        </w:tc>
        <w:tc>
          <w:tcPr>
            <w:tcW w:w="1031" w:type="dxa"/>
            <w:tcBorders>
              <w:top w:val="nil"/>
              <w:left w:val="nil"/>
              <w:bottom w:val="nil"/>
              <w:right w:val="nil"/>
            </w:tcBorders>
            <w:shd w:val="clear" w:color="auto" w:fill="auto"/>
            <w:noWrap/>
            <w:vAlign w:val="center"/>
          </w:tcPr>
          <w:p w14:paraId="64C4A1A3" w14:textId="77777777" w:rsidR="00BF2F2A" w:rsidRPr="00546B41" w:rsidRDefault="00BF2F2A" w:rsidP="00BF2F2A">
            <w:pPr>
              <w:jc w:val="right"/>
              <w:rPr>
                <w:rFonts w:ascii="Arial" w:hAnsi="Arial" w:cs="Arial"/>
                <w:sz w:val="16"/>
                <w:szCs w:val="16"/>
                <w:lang w:eastAsia="es-AR"/>
              </w:rPr>
            </w:pPr>
          </w:p>
        </w:tc>
        <w:tc>
          <w:tcPr>
            <w:tcW w:w="1165" w:type="dxa"/>
            <w:tcBorders>
              <w:top w:val="nil"/>
              <w:left w:val="nil"/>
              <w:bottom w:val="nil"/>
              <w:right w:val="nil"/>
            </w:tcBorders>
            <w:shd w:val="clear" w:color="auto" w:fill="auto"/>
            <w:noWrap/>
            <w:vAlign w:val="center"/>
          </w:tcPr>
          <w:p w14:paraId="6679DB48" w14:textId="77777777" w:rsidR="00BF2F2A" w:rsidRPr="00546B41" w:rsidRDefault="00BF2F2A" w:rsidP="00BF2F2A">
            <w:pPr>
              <w:jc w:val="right"/>
              <w:rPr>
                <w:rFonts w:ascii="Arial" w:hAnsi="Arial" w:cs="Arial"/>
                <w:sz w:val="16"/>
                <w:szCs w:val="16"/>
                <w:lang w:eastAsia="es-AR"/>
              </w:rPr>
            </w:pPr>
          </w:p>
        </w:tc>
        <w:tc>
          <w:tcPr>
            <w:tcW w:w="1186" w:type="dxa"/>
            <w:tcBorders>
              <w:top w:val="nil"/>
              <w:left w:val="nil"/>
              <w:bottom w:val="nil"/>
              <w:right w:val="nil"/>
            </w:tcBorders>
            <w:shd w:val="clear" w:color="auto" w:fill="auto"/>
            <w:noWrap/>
            <w:vAlign w:val="center"/>
          </w:tcPr>
          <w:p w14:paraId="6BDE450D" w14:textId="77777777" w:rsidR="00BF2F2A" w:rsidRPr="00546B41" w:rsidRDefault="00BF2F2A" w:rsidP="00BF2F2A">
            <w:pPr>
              <w:jc w:val="right"/>
              <w:rPr>
                <w:rFonts w:ascii="Arial" w:hAnsi="Arial" w:cs="Arial"/>
                <w:sz w:val="16"/>
                <w:szCs w:val="16"/>
                <w:lang w:eastAsia="es-AR"/>
              </w:rPr>
            </w:pPr>
          </w:p>
        </w:tc>
      </w:tr>
      <w:tr w:rsidR="00BF2F2A" w:rsidRPr="007368F0" w14:paraId="73FB2E31" w14:textId="77777777" w:rsidTr="007368F0">
        <w:trPr>
          <w:trHeight w:val="147"/>
        </w:trPr>
        <w:tc>
          <w:tcPr>
            <w:tcW w:w="3783" w:type="dxa"/>
            <w:tcBorders>
              <w:top w:val="nil"/>
              <w:left w:val="nil"/>
              <w:bottom w:val="nil"/>
              <w:right w:val="nil"/>
            </w:tcBorders>
            <w:shd w:val="clear" w:color="auto" w:fill="auto"/>
          </w:tcPr>
          <w:p w14:paraId="2B8456A7" w14:textId="51102951" w:rsidR="00BF2F2A" w:rsidRPr="007368F0" w:rsidRDefault="00BF2F2A" w:rsidP="00BF2F2A">
            <w:pPr>
              <w:rPr>
                <w:rFonts w:ascii="Arial" w:hAnsi="Arial" w:cs="Arial"/>
                <w:sz w:val="16"/>
                <w:szCs w:val="16"/>
                <w:lang w:eastAsia="es-AR"/>
              </w:rPr>
            </w:pPr>
            <w:r w:rsidRPr="007368F0">
              <w:rPr>
                <w:rFonts w:ascii="Arial" w:hAnsi="Arial" w:cs="Arial"/>
                <w:sz w:val="16"/>
                <w:szCs w:val="16"/>
                <w:lang w:eastAsia="es-AR"/>
              </w:rPr>
              <w:t xml:space="preserve">  Reserva Legal</w:t>
            </w:r>
          </w:p>
        </w:tc>
        <w:tc>
          <w:tcPr>
            <w:tcW w:w="880" w:type="dxa"/>
            <w:tcBorders>
              <w:top w:val="nil"/>
              <w:left w:val="nil"/>
              <w:bottom w:val="nil"/>
              <w:right w:val="nil"/>
            </w:tcBorders>
            <w:shd w:val="clear" w:color="auto" w:fill="auto"/>
            <w:noWrap/>
          </w:tcPr>
          <w:p w14:paraId="0EFCFD18" w14:textId="77777777" w:rsidR="00BF2F2A" w:rsidRPr="007368F0" w:rsidRDefault="00BF2F2A" w:rsidP="00BF2F2A">
            <w:pPr>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tcPr>
          <w:p w14:paraId="1A862C95" w14:textId="41B0EC84"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1272" w:type="dxa"/>
            <w:tcBorders>
              <w:top w:val="nil"/>
              <w:left w:val="nil"/>
              <w:bottom w:val="nil"/>
              <w:right w:val="nil"/>
            </w:tcBorders>
            <w:shd w:val="clear" w:color="auto" w:fill="auto"/>
            <w:noWrap/>
            <w:vAlign w:val="center"/>
          </w:tcPr>
          <w:p w14:paraId="2868FFB6" w14:textId="3B6E6822"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931" w:type="dxa"/>
            <w:tcBorders>
              <w:top w:val="nil"/>
              <w:left w:val="nil"/>
              <w:bottom w:val="nil"/>
              <w:right w:val="nil"/>
            </w:tcBorders>
            <w:shd w:val="clear" w:color="auto" w:fill="auto"/>
            <w:noWrap/>
            <w:vAlign w:val="center"/>
          </w:tcPr>
          <w:p w14:paraId="5F26A9B4" w14:textId="159DB493"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957" w:type="dxa"/>
            <w:tcBorders>
              <w:top w:val="nil"/>
              <w:left w:val="nil"/>
              <w:bottom w:val="nil"/>
              <w:right w:val="nil"/>
            </w:tcBorders>
            <w:shd w:val="clear" w:color="auto" w:fill="auto"/>
            <w:noWrap/>
            <w:vAlign w:val="center"/>
          </w:tcPr>
          <w:p w14:paraId="69494E42" w14:textId="5E25252C"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1043" w:type="dxa"/>
            <w:tcBorders>
              <w:top w:val="nil"/>
              <w:left w:val="nil"/>
              <w:bottom w:val="nil"/>
              <w:right w:val="nil"/>
            </w:tcBorders>
            <w:shd w:val="clear" w:color="auto" w:fill="auto"/>
            <w:noWrap/>
            <w:vAlign w:val="center"/>
          </w:tcPr>
          <w:p w14:paraId="3C4C1B16" w14:textId="071FD72E"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148.059</w:t>
            </w:r>
          </w:p>
        </w:tc>
        <w:tc>
          <w:tcPr>
            <w:tcW w:w="1031" w:type="dxa"/>
            <w:tcBorders>
              <w:top w:val="nil"/>
              <w:left w:val="nil"/>
              <w:bottom w:val="nil"/>
              <w:right w:val="nil"/>
            </w:tcBorders>
            <w:shd w:val="clear" w:color="auto" w:fill="auto"/>
            <w:noWrap/>
            <w:vAlign w:val="center"/>
          </w:tcPr>
          <w:p w14:paraId="4EB7DE0D" w14:textId="14100A31"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1165" w:type="dxa"/>
            <w:tcBorders>
              <w:top w:val="nil"/>
              <w:left w:val="nil"/>
              <w:bottom w:val="nil"/>
              <w:right w:val="nil"/>
            </w:tcBorders>
            <w:shd w:val="clear" w:color="auto" w:fill="auto"/>
            <w:noWrap/>
            <w:vAlign w:val="center"/>
          </w:tcPr>
          <w:p w14:paraId="7ECE885D" w14:textId="1318D36B"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rPr>
              <w:t>-148.059</w:t>
            </w:r>
          </w:p>
        </w:tc>
        <w:tc>
          <w:tcPr>
            <w:tcW w:w="1186" w:type="dxa"/>
            <w:tcBorders>
              <w:top w:val="nil"/>
              <w:left w:val="nil"/>
              <w:bottom w:val="nil"/>
              <w:right w:val="nil"/>
            </w:tcBorders>
            <w:shd w:val="clear" w:color="auto" w:fill="auto"/>
            <w:noWrap/>
            <w:vAlign w:val="center"/>
          </w:tcPr>
          <w:p w14:paraId="54524A59" w14:textId="76331076"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rPr>
              <w:t>-</w:t>
            </w:r>
          </w:p>
        </w:tc>
      </w:tr>
      <w:tr w:rsidR="00BF2F2A" w:rsidRPr="007368F0" w14:paraId="7496F4DB" w14:textId="77777777" w:rsidTr="00546B41">
        <w:trPr>
          <w:trHeight w:val="202"/>
        </w:trPr>
        <w:tc>
          <w:tcPr>
            <w:tcW w:w="3783" w:type="dxa"/>
            <w:tcBorders>
              <w:top w:val="nil"/>
              <w:left w:val="nil"/>
              <w:bottom w:val="nil"/>
              <w:right w:val="nil"/>
            </w:tcBorders>
            <w:shd w:val="clear" w:color="auto" w:fill="auto"/>
          </w:tcPr>
          <w:p w14:paraId="4638038E" w14:textId="2273986F" w:rsidR="00BF2F2A" w:rsidRPr="007368F0" w:rsidRDefault="00BF2F2A" w:rsidP="00BF2F2A">
            <w:pPr>
              <w:rPr>
                <w:rFonts w:ascii="Arial" w:hAnsi="Arial" w:cs="Arial"/>
                <w:sz w:val="16"/>
                <w:szCs w:val="16"/>
                <w:lang w:eastAsia="es-AR"/>
              </w:rPr>
            </w:pPr>
            <w:r w:rsidRPr="007368F0">
              <w:rPr>
                <w:rFonts w:ascii="Arial" w:hAnsi="Arial" w:cs="Arial"/>
                <w:sz w:val="16"/>
                <w:szCs w:val="16"/>
                <w:lang w:eastAsia="es-AR"/>
              </w:rPr>
              <w:t xml:space="preserve">  Otras</w:t>
            </w:r>
          </w:p>
        </w:tc>
        <w:tc>
          <w:tcPr>
            <w:tcW w:w="880" w:type="dxa"/>
            <w:tcBorders>
              <w:top w:val="nil"/>
              <w:left w:val="nil"/>
              <w:bottom w:val="nil"/>
              <w:right w:val="nil"/>
            </w:tcBorders>
            <w:shd w:val="clear" w:color="auto" w:fill="auto"/>
            <w:noWrap/>
          </w:tcPr>
          <w:p w14:paraId="6DED460F" w14:textId="77777777" w:rsidR="00BF2F2A" w:rsidRPr="007368F0" w:rsidRDefault="00BF2F2A" w:rsidP="00BF2F2A">
            <w:pPr>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tcPr>
          <w:p w14:paraId="42A5A7BB" w14:textId="413FEDB9"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1272" w:type="dxa"/>
            <w:tcBorders>
              <w:top w:val="nil"/>
              <w:left w:val="nil"/>
              <w:bottom w:val="nil"/>
              <w:right w:val="nil"/>
            </w:tcBorders>
            <w:shd w:val="clear" w:color="auto" w:fill="auto"/>
            <w:noWrap/>
            <w:vAlign w:val="center"/>
          </w:tcPr>
          <w:p w14:paraId="68209B8E" w14:textId="4C8FB3B0"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931" w:type="dxa"/>
            <w:tcBorders>
              <w:top w:val="nil"/>
              <w:left w:val="nil"/>
              <w:bottom w:val="nil"/>
              <w:right w:val="nil"/>
            </w:tcBorders>
            <w:shd w:val="clear" w:color="auto" w:fill="auto"/>
            <w:noWrap/>
            <w:vAlign w:val="center"/>
          </w:tcPr>
          <w:p w14:paraId="45FC82A2" w14:textId="3FED4CD7"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957" w:type="dxa"/>
            <w:tcBorders>
              <w:top w:val="nil"/>
              <w:left w:val="nil"/>
              <w:bottom w:val="nil"/>
              <w:right w:val="nil"/>
            </w:tcBorders>
            <w:shd w:val="clear" w:color="auto" w:fill="auto"/>
            <w:noWrap/>
            <w:vAlign w:val="center"/>
          </w:tcPr>
          <w:p w14:paraId="032C57D9" w14:textId="0DA9AF26"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1043" w:type="dxa"/>
            <w:tcBorders>
              <w:top w:val="nil"/>
              <w:left w:val="nil"/>
              <w:bottom w:val="nil"/>
              <w:right w:val="nil"/>
            </w:tcBorders>
            <w:shd w:val="clear" w:color="auto" w:fill="auto"/>
            <w:noWrap/>
            <w:vAlign w:val="center"/>
          </w:tcPr>
          <w:p w14:paraId="5732CEE3" w14:textId="0A7DF237"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1031" w:type="dxa"/>
            <w:tcBorders>
              <w:top w:val="nil"/>
              <w:left w:val="nil"/>
              <w:bottom w:val="nil"/>
              <w:right w:val="nil"/>
            </w:tcBorders>
            <w:shd w:val="clear" w:color="auto" w:fill="auto"/>
            <w:noWrap/>
            <w:vAlign w:val="center"/>
          </w:tcPr>
          <w:p w14:paraId="5337B701" w14:textId="46B75982"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592.234</w:t>
            </w:r>
          </w:p>
        </w:tc>
        <w:tc>
          <w:tcPr>
            <w:tcW w:w="1165" w:type="dxa"/>
            <w:tcBorders>
              <w:top w:val="nil"/>
              <w:left w:val="nil"/>
              <w:bottom w:val="nil"/>
              <w:right w:val="nil"/>
            </w:tcBorders>
            <w:shd w:val="clear" w:color="auto" w:fill="auto"/>
            <w:noWrap/>
            <w:vAlign w:val="center"/>
          </w:tcPr>
          <w:p w14:paraId="1B74785C" w14:textId="7128691D"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rPr>
              <w:t>-592.234</w:t>
            </w:r>
          </w:p>
        </w:tc>
        <w:tc>
          <w:tcPr>
            <w:tcW w:w="1186" w:type="dxa"/>
            <w:tcBorders>
              <w:top w:val="nil"/>
              <w:left w:val="nil"/>
              <w:bottom w:val="nil"/>
              <w:right w:val="nil"/>
            </w:tcBorders>
            <w:shd w:val="clear" w:color="auto" w:fill="auto"/>
            <w:noWrap/>
            <w:vAlign w:val="center"/>
          </w:tcPr>
          <w:p w14:paraId="5E3A107A" w14:textId="0541D5F7"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rPr>
              <w:t>-</w:t>
            </w:r>
          </w:p>
        </w:tc>
      </w:tr>
      <w:tr w:rsidR="00546B41" w:rsidRPr="007368F0" w14:paraId="72796B0F" w14:textId="77777777" w:rsidTr="00546B41">
        <w:trPr>
          <w:trHeight w:val="132"/>
        </w:trPr>
        <w:tc>
          <w:tcPr>
            <w:tcW w:w="3783" w:type="dxa"/>
            <w:tcBorders>
              <w:top w:val="nil"/>
              <w:left w:val="nil"/>
              <w:bottom w:val="nil"/>
              <w:right w:val="nil"/>
            </w:tcBorders>
            <w:shd w:val="clear" w:color="auto" w:fill="auto"/>
          </w:tcPr>
          <w:p w14:paraId="5C950973" w14:textId="507B368C" w:rsidR="00546B41" w:rsidRPr="007368F0" w:rsidRDefault="00546B41" w:rsidP="00BF2F2A">
            <w:pPr>
              <w:rPr>
                <w:rFonts w:ascii="Arial" w:hAnsi="Arial" w:cs="Arial"/>
                <w:sz w:val="16"/>
                <w:szCs w:val="16"/>
                <w:lang w:eastAsia="es-AR"/>
              </w:rPr>
            </w:pPr>
            <w:r w:rsidRPr="007368F0">
              <w:rPr>
                <w:rFonts w:ascii="Arial" w:hAnsi="Arial" w:cs="Arial"/>
                <w:sz w:val="16"/>
                <w:szCs w:val="16"/>
                <w:lang w:eastAsia="es-AR"/>
              </w:rPr>
              <w:t xml:space="preserve">- </w:t>
            </w:r>
            <w:r>
              <w:rPr>
                <w:rFonts w:ascii="Arial" w:hAnsi="Arial" w:cs="Arial"/>
                <w:sz w:val="16"/>
                <w:szCs w:val="16"/>
                <w:lang w:eastAsia="es-AR"/>
              </w:rPr>
              <w:t>Capitalización de aportes irrevocables</w:t>
            </w:r>
          </w:p>
        </w:tc>
        <w:tc>
          <w:tcPr>
            <w:tcW w:w="880" w:type="dxa"/>
            <w:tcBorders>
              <w:top w:val="nil"/>
              <w:left w:val="nil"/>
              <w:bottom w:val="nil"/>
              <w:right w:val="nil"/>
            </w:tcBorders>
            <w:shd w:val="clear" w:color="auto" w:fill="auto"/>
            <w:noWrap/>
          </w:tcPr>
          <w:p w14:paraId="5C986734" w14:textId="77777777" w:rsidR="00546B41" w:rsidRPr="007368F0" w:rsidRDefault="00546B41" w:rsidP="00BF2F2A">
            <w:pPr>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tcPr>
          <w:p w14:paraId="5DBC1B58" w14:textId="61CDA3EE" w:rsidR="00546B41" w:rsidRPr="00546B41" w:rsidRDefault="00546B41" w:rsidP="00BF2F2A">
            <w:pPr>
              <w:jc w:val="right"/>
              <w:rPr>
                <w:rFonts w:ascii="Arial" w:hAnsi="Arial" w:cs="Arial"/>
                <w:sz w:val="16"/>
                <w:szCs w:val="16"/>
                <w:lang w:eastAsia="es-AR"/>
              </w:rPr>
            </w:pPr>
            <w:r>
              <w:rPr>
                <w:rFonts w:ascii="Arial" w:hAnsi="Arial" w:cs="Arial"/>
                <w:sz w:val="16"/>
                <w:szCs w:val="16"/>
                <w:lang w:eastAsia="es-AR"/>
              </w:rPr>
              <w:t>20.712</w:t>
            </w:r>
          </w:p>
        </w:tc>
        <w:tc>
          <w:tcPr>
            <w:tcW w:w="1272" w:type="dxa"/>
            <w:tcBorders>
              <w:top w:val="nil"/>
              <w:left w:val="nil"/>
              <w:bottom w:val="nil"/>
              <w:right w:val="nil"/>
            </w:tcBorders>
            <w:shd w:val="clear" w:color="auto" w:fill="auto"/>
            <w:noWrap/>
            <w:vAlign w:val="center"/>
          </w:tcPr>
          <w:p w14:paraId="1471D690" w14:textId="30A843FA" w:rsidR="00546B41" w:rsidRPr="00546B41" w:rsidRDefault="00546B41" w:rsidP="00BF2F2A">
            <w:pPr>
              <w:jc w:val="right"/>
              <w:rPr>
                <w:rFonts w:ascii="Arial" w:hAnsi="Arial" w:cs="Arial"/>
                <w:sz w:val="16"/>
                <w:szCs w:val="16"/>
                <w:lang w:eastAsia="es-AR"/>
              </w:rPr>
            </w:pPr>
            <w:r>
              <w:rPr>
                <w:rFonts w:ascii="Arial" w:hAnsi="Arial" w:cs="Arial"/>
                <w:sz w:val="16"/>
                <w:szCs w:val="16"/>
                <w:lang w:eastAsia="es-AR"/>
              </w:rPr>
              <w:t>-20.712</w:t>
            </w:r>
          </w:p>
        </w:tc>
        <w:tc>
          <w:tcPr>
            <w:tcW w:w="931" w:type="dxa"/>
            <w:tcBorders>
              <w:top w:val="nil"/>
              <w:left w:val="nil"/>
              <w:bottom w:val="nil"/>
              <w:right w:val="nil"/>
            </w:tcBorders>
            <w:shd w:val="clear" w:color="auto" w:fill="auto"/>
            <w:noWrap/>
            <w:vAlign w:val="center"/>
          </w:tcPr>
          <w:p w14:paraId="6E4112C0" w14:textId="42448831" w:rsidR="00546B41" w:rsidRPr="00546B41" w:rsidRDefault="00546B41" w:rsidP="00BF2F2A">
            <w:pPr>
              <w:jc w:val="right"/>
              <w:rPr>
                <w:rFonts w:ascii="Arial" w:hAnsi="Arial" w:cs="Arial"/>
                <w:sz w:val="16"/>
                <w:szCs w:val="16"/>
                <w:lang w:eastAsia="es-AR"/>
              </w:rPr>
            </w:pPr>
            <w:r>
              <w:rPr>
                <w:rFonts w:ascii="Arial" w:hAnsi="Arial" w:cs="Arial"/>
                <w:sz w:val="16"/>
                <w:szCs w:val="16"/>
                <w:lang w:eastAsia="es-AR"/>
              </w:rPr>
              <w:t>-</w:t>
            </w:r>
          </w:p>
        </w:tc>
        <w:tc>
          <w:tcPr>
            <w:tcW w:w="957" w:type="dxa"/>
            <w:tcBorders>
              <w:top w:val="nil"/>
              <w:left w:val="nil"/>
              <w:bottom w:val="nil"/>
              <w:right w:val="nil"/>
            </w:tcBorders>
            <w:shd w:val="clear" w:color="auto" w:fill="auto"/>
            <w:noWrap/>
            <w:vAlign w:val="center"/>
          </w:tcPr>
          <w:p w14:paraId="517931AE" w14:textId="5A298662" w:rsidR="00546B41" w:rsidRPr="00546B41" w:rsidRDefault="00546B41" w:rsidP="00BF2F2A">
            <w:pPr>
              <w:jc w:val="right"/>
              <w:rPr>
                <w:rFonts w:ascii="Arial" w:hAnsi="Arial" w:cs="Arial"/>
                <w:sz w:val="16"/>
                <w:szCs w:val="16"/>
                <w:lang w:eastAsia="es-AR"/>
              </w:rPr>
            </w:pPr>
            <w:r>
              <w:rPr>
                <w:rFonts w:ascii="Arial" w:hAnsi="Arial" w:cs="Arial"/>
                <w:sz w:val="16"/>
                <w:szCs w:val="16"/>
                <w:lang w:eastAsia="es-AR"/>
              </w:rPr>
              <w:t>-</w:t>
            </w:r>
          </w:p>
        </w:tc>
        <w:tc>
          <w:tcPr>
            <w:tcW w:w="1043" w:type="dxa"/>
            <w:tcBorders>
              <w:top w:val="nil"/>
              <w:left w:val="nil"/>
              <w:bottom w:val="nil"/>
              <w:right w:val="nil"/>
            </w:tcBorders>
            <w:shd w:val="clear" w:color="auto" w:fill="auto"/>
            <w:noWrap/>
            <w:vAlign w:val="center"/>
          </w:tcPr>
          <w:p w14:paraId="3173C9A3" w14:textId="06153B7E" w:rsidR="00546B41" w:rsidRPr="00546B41" w:rsidRDefault="00546B41" w:rsidP="00BF2F2A">
            <w:pPr>
              <w:jc w:val="right"/>
              <w:rPr>
                <w:rFonts w:ascii="Arial" w:hAnsi="Arial" w:cs="Arial"/>
                <w:sz w:val="16"/>
                <w:szCs w:val="16"/>
                <w:lang w:eastAsia="es-AR"/>
              </w:rPr>
            </w:pPr>
            <w:r>
              <w:rPr>
                <w:rFonts w:ascii="Arial" w:hAnsi="Arial" w:cs="Arial"/>
                <w:sz w:val="16"/>
                <w:szCs w:val="16"/>
                <w:lang w:eastAsia="es-AR"/>
              </w:rPr>
              <w:t>-</w:t>
            </w:r>
          </w:p>
        </w:tc>
        <w:tc>
          <w:tcPr>
            <w:tcW w:w="1031" w:type="dxa"/>
            <w:tcBorders>
              <w:top w:val="nil"/>
              <w:left w:val="nil"/>
              <w:bottom w:val="nil"/>
              <w:right w:val="nil"/>
            </w:tcBorders>
            <w:shd w:val="clear" w:color="auto" w:fill="auto"/>
            <w:noWrap/>
            <w:vAlign w:val="center"/>
          </w:tcPr>
          <w:p w14:paraId="420B3B7F" w14:textId="7797F4BC" w:rsidR="00546B41" w:rsidRPr="00546B41" w:rsidRDefault="00546B41" w:rsidP="00BF2F2A">
            <w:pPr>
              <w:jc w:val="right"/>
              <w:rPr>
                <w:rFonts w:ascii="Arial" w:hAnsi="Arial" w:cs="Arial"/>
                <w:sz w:val="16"/>
                <w:szCs w:val="16"/>
                <w:lang w:eastAsia="es-AR"/>
              </w:rPr>
            </w:pPr>
            <w:r>
              <w:rPr>
                <w:rFonts w:ascii="Arial" w:hAnsi="Arial" w:cs="Arial"/>
                <w:sz w:val="16"/>
                <w:szCs w:val="16"/>
                <w:lang w:eastAsia="es-AR"/>
              </w:rPr>
              <w:t>-</w:t>
            </w:r>
          </w:p>
        </w:tc>
        <w:tc>
          <w:tcPr>
            <w:tcW w:w="1165" w:type="dxa"/>
            <w:tcBorders>
              <w:top w:val="nil"/>
              <w:left w:val="nil"/>
              <w:bottom w:val="nil"/>
              <w:right w:val="nil"/>
            </w:tcBorders>
            <w:shd w:val="clear" w:color="auto" w:fill="auto"/>
            <w:noWrap/>
            <w:vAlign w:val="center"/>
          </w:tcPr>
          <w:p w14:paraId="43F64357" w14:textId="1B94D7B2" w:rsidR="00546B41" w:rsidRPr="00546B41" w:rsidRDefault="00546B41" w:rsidP="00BF2F2A">
            <w:pPr>
              <w:jc w:val="right"/>
              <w:rPr>
                <w:rFonts w:ascii="Arial" w:hAnsi="Arial" w:cs="Arial"/>
                <w:sz w:val="16"/>
                <w:szCs w:val="16"/>
              </w:rPr>
            </w:pPr>
            <w:r>
              <w:rPr>
                <w:rFonts w:ascii="Arial" w:hAnsi="Arial" w:cs="Arial"/>
                <w:sz w:val="16"/>
                <w:szCs w:val="16"/>
              </w:rPr>
              <w:t>-</w:t>
            </w:r>
          </w:p>
        </w:tc>
        <w:tc>
          <w:tcPr>
            <w:tcW w:w="1186" w:type="dxa"/>
            <w:tcBorders>
              <w:top w:val="nil"/>
              <w:left w:val="nil"/>
              <w:bottom w:val="nil"/>
              <w:right w:val="nil"/>
            </w:tcBorders>
            <w:shd w:val="clear" w:color="auto" w:fill="auto"/>
            <w:noWrap/>
            <w:vAlign w:val="center"/>
          </w:tcPr>
          <w:p w14:paraId="59823007" w14:textId="382383D5" w:rsidR="00546B41" w:rsidRPr="00546B41" w:rsidRDefault="00546B41" w:rsidP="00BF2F2A">
            <w:pPr>
              <w:jc w:val="right"/>
              <w:rPr>
                <w:rFonts w:ascii="Arial" w:hAnsi="Arial" w:cs="Arial"/>
                <w:sz w:val="16"/>
                <w:szCs w:val="16"/>
              </w:rPr>
            </w:pPr>
            <w:r>
              <w:rPr>
                <w:rFonts w:ascii="Arial" w:hAnsi="Arial" w:cs="Arial"/>
                <w:sz w:val="16"/>
                <w:szCs w:val="16"/>
              </w:rPr>
              <w:t>-</w:t>
            </w:r>
          </w:p>
        </w:tc>
      </w:tr>
      <w:tr w:rsidR="00BF2F2A" w:rsidRPr="007368F0" w14:paraId="1B487C8A" w14:textId="77777777" w:rsidTr="00533566">
        <w:trPr>
          <w:trHeight w:val="398"/>
        </w:trPr>
        <w:tc>
          <w:tcPr>
            <w:tcW w:w="3783" w:type="dxa"/>
            <w:tcBorders>
              <w:top w:val="nil"/>
              <w:left w:val="nil"/>
              <w:bottom w:val="nil"/>
              <w:right w:val="nil"/>
            </w:tcBorders>
            <w:shd w:val="clear" w:color="auto" w:fill="auto"/>
            <w:hideMark/>
          </w:tcPr>
          <w:p w14:paraId="2806EB80" w14:textId="0FC73E04" w:rsidR="00BF2F2A" w:rsidRPr="007368F0" w:rsidRDefault="00BF2F2A" w:rsidP="00BF2F2A">
            <w:pPr>
              <w:rPr>
                <w:rFonts w:ascii="Arial" w:hAnsi="Arial" w:cs="Arial"/>
                <w:sz w:val="16"/>
                <w:szCs w:val="16"/>
                <w:lang w:eastAsia="es-AR"/>
              </w:rPr>
            </w:pPr>
            <w:r w:rsidRPr="007368F0">
              <w:rPr>
                <w:rFonts w:ascii="Arial" w:hAnsi="Arial" w:cs="Arial"/>
                <w:sz w:val="16"/>
                <w:szCs w:val="16"/>
                <w:lang w:eastAsia="es-AR"/>
              </w:rPr>
              <w:t xml:space="preserve"> - Aportes irrevocables para futuros aumentos de capital recibidos durante el ejercicio</w:t>
            </w:r>
          </w:p>
        </w:tc>
        <w:tc>
          <w:tcPr>
            <w:tcW w:w="880" w:type="dxa"/>
            <w:tcBorders>
              <w:top w:val="nil"/>
              <w:left w:val="nil"/>
              <w:bottom w:val="nil"/>
              <w:right w:val="nil"/>
            </w:tcBorders>
            <w:shd w:val="clear" w:color="auto" w:fill="auto"/>
            <w:noWrap/>
            <w:vAlign w:val="center"/>
            <w:hideMark/>
          </w:tcPr>
          <w:p w14:paraId="2C854D0A" w14:textId="65644C1F" w:rsidR="00BF2F2A" w:rsidRPr="007368F0" w:rsidRDefault="008D77FC" w:rsidP="00BF2F2A">
            <w:pPr>
              <w:jc w:val="right"/>
              <w:rPr>
                <w:rFonts w:ascii="Arial" w:hAnsi="Arial" w:cs="Arial"/>
                <w:sz w:val="16"/>
                <w:szCs w:val="16"/>
                <w:lang w:eastAsia="es-AR"/>
              </w:rPr>
            </w:pPr>
            <w:r>
              <w:rPr>
                <w:rFonts w:ascii="Arial" w:hAnsi="Arial" w:cs="Arial"/>
                <w:sz w:val="16"/>
                <w:szCs w:val="16"/>
                <w:lang w:eastAsia="es-AR"/>
              </w:rPr>
              <w:t>14</w:t>
            </w:r>
            <w:r w:rsidR="00BF2F2A">
              <w:rPr>
                <w:rFonts w:ascii="Arial" w:hAnsi="Arial" w:cs="Arial"/>
                <w:sz w:val="16"/>
                <w:szCs w:val="16"/>
                <w:lang w:eastAsia="es-AR"/>
              </w:rPr>
              <w:t>.3</w:t>
            </w:r>
          </w:p>
        </w:tc>
        <w:tc>
          <w:tcPr>
            <w:tcW w:w="1057" w:type="dxa"/>
            <w:tcBorders>
              <w:top w:val="nil"/>
              <w:left w:val="nil"/>
              <w:bottom w:val="nil"/>
              <w:right w:val="nil"/>
            </w:tcBorders>
            <w:shd w:val="clear" w:color="auto" w:fill="auto"/>
            <w:noWrap/>
            <w:vAlign w:val="center"/>
            <w:hideMark/>
          </w:tcPr>
          <w:p w14:paraId="10E953AD" w14:textId="69A2CF1B"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1272" w:type="dxa"/>
            <w:tcBorders>
              <w:top w:val="nil"/>
              <w:left w:val="nil"/>
              <w:bottom w:val="nil"/>
              <w:right w:val="nil"/>
            </w:tcBorders>
            <w:shd w:val="clear" w:color="auto" w:fill="auto"/>
            <w:noWrap/>
            <w:vAlign w:val="center"/>
            <w:hideMark/>
          </w:tcPr>
          <w:p w14:paraId="623BBB8F" w14:textId="644379D9"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475.000</w:t>
            </w:r>
          </w:p>
        </w:tc>
        <w:tc>
          <w:tcPr>
            <w:tcW w:w="931" w:type="dxa"/>
            <w:tcBorders>
              <w:top w:val="nil"/>
              <w:left w:val="nil"/>
              <w:bottom w:val="nil"/>
              <w:right w:val="nil"/>
            </w:tcBorders>
            <w:shd w:val="clear" w:color="auto" w:fill="auto"/>
            <w:noWrap/>
            <w:vAlign w:val="center"/>
            <w:hideMark/>
          </w:tcPr>
          <w:p w14:paraId="28974121" w14:textId="0BA6746B"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957" w:type="dxa"/>
            <w:tcBorders>
              <w:top w:val="nil"/>
              <w:left w:val="nil"/>
              <w:bottom w:val="nil"/>
              <w:right w:val="nil"/>
            </w:tcBorders>
            <w:shd w:val="clear" w:color="auto" w:fill="auto"/>
            <w:noWrap/>
            <w:vAlign w:val="center"/>
          </w:tcPr>
          <w:p w14:paraId="4DAA6335" w14:textId="0BCCF21C"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1043" w:type="dxa"/>
            <w:tcBorders>
              <w:top w:val="nil"/>
              <w:left w:val="nil"/>
              <w:bottom w:val="nil"/>
              <w:right w:val="nil"/>
            </w:tcBorders>
            <w:shd w:val="clear" w:color="auto" w:fill="auto"/>
            <w:noWrap/>
            <w:vAlign w:val="center"/>
          </w:tcPr>
          <w:p w14:paraId="1CACC864" w14:textId="5070C95A"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1031" w:type="dxa"/>
            <w:tcBorders>
              <w:top w:val="nil"/>
              <w:left w:val="nil"/>
              <w:bottom w:val="nil"/>
              <w:right w:val="nil"/>
            </w:tcBorders>
            <w:shd w:val="clear" w:color="auto" w:fill="auto"/>
            <w:noWrap/>
            <w:vAlign w:val="center"/>
          </w:tcPr>
          <w:p w14:paraId="2B905987" w14:textId="11E96FD8"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lang w:eastAsia="es-AR"/>
              </w:rPr>
              <w:t>-</w:t>
            </w:r>
          </w:p>
        </w:tc>
        <w:tc>
          <w:tcPr>
            <w:tcW w:w="1165" w:type="dxa"/>
            <w:tcBorders>
              <w:top w:val="nil"/>
              <w:left w:val="nil"/>
              <w:bottom w:val="nil"/>
              <w:right w:val="nil"/>
            </w:tcBorders>
            <w:shd w:val="clear" w:color="auto" w:fill="auto"/>
            <w:noWrap/>
            <w:vAlign w:val="center"/>
          </w:tcPr>
          <w:p w14:paraId="5BC76888" w14:textId="031A1C9C"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rPr>
              <w:t>-</w:t>
            </w:r>
          </w:p>
        </w:tc>
        <w:tc>
          <w:tcPr>
            <w:tcW w:w="1186" w:type="dxa"/>
            <w:tcBorders>
              <w:top w:val="nil"/>
              <w:left w:val="nil"/>
              <w:bottom w:val="nil"/>
              <w:right w:val="nil"/>
            </w:tcBorders>
            <w:shd w:val="clear" w:color="auto" w:fill="auto"/>
            <w:noWrap/>
            <w:vAlign w:val="center"/>
          </w:tcPr>
          <w:p w14:paraId="0C02171B" w14:textId="6E880A00" w:rsidR="00BF2F2A" w:rsidRPr="00546B41" w:rsidRDefault="00BF2F2A" w:rsidP="00BF2F2A">
            <w:pPr>
              <w:jc w:val="right"/>
              <w:rPr>
                <w:rFonts w:ascii="Arial" w:hAnsi="Arial" w:cs="Arial"/>
                <w:sz w:val="16"/>
                <w:szCs w:val="16"/>
                <w:lang w:eastAsia="es-AR"/>
              </w:rPr>
            </w:pPr>
            <w:r w:rsidRPr="00546B41">
              <w:rPr>
                <w:rFonts w:ascii="Arial" w:hAnsi="Arial" w:cs="Arial"/>
                <w:sz w:val="16"/>
                <w:szCs w:val="16"/>
              </w:rPr>
              <w:t>475.000</w:t>
            </w:r>
          </w:p>
        </w:tc>
      </w:tr>
      <w:tr w:rsidR="006C5A8B" w:rsidRPr="007368F0" w14:paraId="1717471A" w14:textId="77777777" w:rsidTr="005A1F48">
        <w:trPr>
          <w:trHeight w:val="398"/>
        </w:trPr>
        <w:tc>
          <w:tcPr>
            <w:tcW w:w="3783" w:type="dxa"/>
            <w:tcBorders>
              <w:top w:val="nil"/>
              <w:left w:val="nil"/>
              <w:bottom w:val="nil"/>
              <w:right w:val="nil"/>
            </w:tcBorders>
            <w:shd w:val="clear" w:color="auto" w:fill="auto"/>
            <w:vAlign w:val="center"/>
          </w:tcPr>
          <w:p w14:paraId="18D83847" w14:textId="01C59F11" w:rsidR="006C5A8B" w:rsidRPr="005A1F48" w:rsidRDefault="006C5A8B">
            <w:pPr>
              <w:rPr>
                <w:rFonts w:ascii="Arial" w:hAnsi="Arial" w:cs="Arial"/>
                <w:sz w:val="16"/>
                <w:szCs w:val="16"/>
                <w:lang w:eastAsia="es-AR"/>
              </w:rPr>
            </w:pPr>
            <w:r w:rsidRPr="007368F0">
              <w:rPr>
                <w:rFonts w:ascii="Arial" w:hAnsi="Arial" w:cs="Arial"/>
                <w:sz w:val="16"/>
                <w:szCs w:val="16"/>
                <w:lang w:eastAsia="es-AR"/>
              </w:rPr>
              <w:t xml:space="preserve">- </w:t>
            </w:r>
            <w:r>
              <w:rPr>
                <w:rFonts w:ascii="Arial" w:hAnsi="Arial" w:cs="Arial"/>
                <w:sz w:val="16"/>
                <w:szCs w:val="16"/>
                <w:lang w:eastAsia="es-AR"/>
              </w:rPr>
              <w:t>Otros movimientos</w:t>
            </w:r>
          </w:p>
        </w:tc>
        <w:tc>
          <w:tcPr>
            <w:tcW w:w="880" w:type="dxa"/>
            <w:tcBorders>
              <w:top w:val="nil"/>
              <w:left w:val="nil"/>
              <w:bottom w:val="nil"/>
              <w:right w:val="nil"/>
            </w:tcBorders>
            <w:shd w:val="clear" w:color="auto" w:fill="auto"/>
            <w:noWrap/>
            <w:vAlign w:val="center"/>
          </w:tcPr>
          <w:p w14:paraId="39F3BC4F" w14:textId="77777777" w:rsidR="006C5A8B" w:rsidRDefault="006C5A8B" w:rsidP="00BF2F2A">
            <w:pPr>
              <w:jc w:val="right"/>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tcPr>
          <w:p w14:paraId="568BE53C" w14:textId="349DDB2F" w:rsidR="006C5A8B" w:rsidRPr="00546B41" w:rsidRDefault="006C5A8B" w:rsidP="00BF2F2A">
            <w:pPr>
              <w:jc w:val="right"/>
              <w:rPr>
                <w:rFonts w:ascii="Arial" w:hAnsi="Arial" w:cs="Arial"/>
                <w:sz w:val="16"/>
                <w:szCs w:val="16"/>
                <w:lang w:eastAsia="es-AR"/>
              </w:rPr>
            </w:pPr>
            <w:r>
              <w:rPr>
                <w:rFonts w:ascii="Arial" w:hAnsi="Arial" w:cs="Arial"/>
                <w:sz w:val="16"/>
                <w:szCs w:val="16"/>
                <w:lang w:eastAsia="es-AR"/>
              </w:rPr>
              <w:t>-</w:t>
            </w:r>
          </w:p>
        </w:tc>
        <w:tc>
          <w:tcPr>
            <w:tcW w:w="1272" w:type="dxa"/>
            <w:tcBorders>
              <w:top w:val="nil"/>
              <w:left w:val="nil"/>
              <w:bottom w:val="nil"/>
              <w:right w:val="nil"/>
            </w:tcBorders>
            <w:shd w:val="clear" w:color="auto" w:fill="auto"/>
            <w:noWrap/>
            <w:vAlign w:val="center"/>
          </w:tcPr>
          <w:p w14:paraId="4FE61406" w14:textId="26EE6A53" w:rsidR="006C5A8B" w:rsidRPr="00546B41" w:rsidRDefault="006C5A8B" w:rsidP="00BF2F2A">
            <w:pPr>
              <w:jc w:val="right"/>
              <w:rPr>
                <w:rFonts w:ascii="Arial" w:hAnsi="Arial" w:cs="Arial"/>
                <w:sz w:val="16"/>
                <w:szCs w:val="16"/>
                <w:lang w:eastAsia="es-AR"/>
              </w:rPr>
            </w:pPr>
            <w:r>
              <w:rPr>
                <w:rFonts w:ascii="Arial" w:hAnsi="Arial" w:cs="Arial"/>
                <w:sz w:val="16"/>
                <w:szCs w:val="16"/>
                <w:lang w:eastAsia="es-AR"/>
              </w:rPr>
              <w:t>-</w:t>
            </w:r>
          </w:p>
        </w:tc>
        <w:tc>
          <w:tcPr>
            <w:tcW w:w="931" w:type="dxa"/>
            <w:tcBorders>
              <w:top w:val="nil"/>
              <w:left w:val="nil"/>
              <w:bottom w:val="nil"/>
              <w:right w:val="nil"/>
            </w:tcBorders>
            <w:shd w:val="clear" w:color="auto" w:fill="auto"/>
            <w:noWrap/>
            <w:vAlign w:val="center"/>
          </w:tcPr>
          <w:p w14:paraId="489B133B" w14:textId="1EDBD0D9" w:rsidR="006C5A8B" w:rsidRPr="00546B41" w:rsidRDefault="006C5A8B" w:rsidP="00BF2F2A">
            <w:pPr>
              <w:jc w:val="right"/>
              <w:rPr>
                <w:rFonts w:ascii="Arial" w:hAnsi="Arial" w:cs="Arial"/>
                <w:sz w:val="16"/>
                <w:szCs w:val="16"/>
                <w:lang w:eastAsia="es-AR"/>
              </w:rPr>
            </w:pPr>
            <w:r>
              <w:rPr>
                <w:rFonts w:ascii="Arial" w:hAnsi="Arial" w:cs="Arial"/>
                <w:sz w:val="16"/>
                <w:szCs w:val="16"/>
                <w:lang w:eastAsia="es-AR"/>
              </w:rPr>
              <w:t>-8.623</w:t>
            </w:r>
          </w:p>
        </w:tc>
        <w:tc>
          <w:tcPr>
            <w:tcW w:w="957" w:type="dxa"/>
            <w:tcBorders>
              <w:top w:val="nil"/>
              <w:left w:val="nil"/>
              <w:bottom w:val="nil"/>
              <w:right w:val="nil"/>
            </w:tcBorders>
            <w:shd w:val="clear" w:color="auto" w:fill="auto"/>
            <w:noWrap/>
            <w:vAlign w:val="center"/>
          </w:tcPr>
          <w:p w14:paraId="003D8B3D" w14:textId="71E7DC89" w:rsidR="006C5A8B" w:rsidRPr="00546B41" w:rsidRDefault="006C5A8B" w:rsidP="00BF2F2A">
            <w:pPr>
              <w:jc w:val="right"/>
              <w:rPr>
                <w:rFonts w:ascii="Arial" w:hAnsi="Arial" w:cs="Arial"/>
                <w:sz w:val="16"/>
                <w:szCs w:val="16"/>
                <w:lang w:eastAsia="es-AR"/>
              </w:rPr>
            </w:pPr>
            <w:r>
              <w:rPr>
                <w:rFonts w:ascii="Arial" w:hAnsi="Arial" w:cs="Arial"/>
                <w:sz w:val="16"/>
                <w:szCs w:val="16"/>
                <w:lang w:eastAsia="es-AR"/>
              </w:rPr>
              <w:t>-</w:t>
            </w:r>
          </w:p>
        </w:tc>
        <w:tc>
          <w:tcPr>
            <w:tcW w:w="1043" w:type="dxa"/>
            <w:tcBorders>
              <w:top w:val="nil"/>
              <w:left w:val="nil"/>
              <w:bottom w:val="nil"/>
              <w:right w:val="nil"/>
            </w:tcBorders>
            <w:shd w:val="clear" w:color="auto" w:fill="auto"/>
            <w:noWrap/>
            <w:vAlign w:val="center"/>
          </w:tcPr>
          <w:p w14:paraId="54135D9A" w14:textId="67046D73" w:rsidR="006C5A8B" w:rsidRPr="00546B41" w:rsidRDefault="006C5A8B" w:rsidP="00BF2F2A">
            <w:pPr>
              <w:jc w:val="right"/>
              <w:rPr>
                <w:rFonts w:ascii="Arial" w:hAnsi="Arial" w:cs="Arial"/>
                <w:sz w:val="16"/>
                <w:szCs w:val="16"/>
                <w:lang w:eastAsia="es-AR"/>
              </w:rPr>
            </w:pPr>
            <w:r>
              <w:rPr>
                <w:rFonts w:ascii="Arial" w:hAnsi="Arial" w:cs="Arial"/>
                <w:sz w:val="16"/>
                <w:szCs w:val="16"/>
                <w:lang w:eastAsia="es-AR"/>
              </w:rPr>
              <w:t>-</w:t>
            </w:r>
          </w:p>
        </w:tc>
        <w:tc>
          <w:tcPr>
            <w:tcW w:w="1031" w:type="dxa"/>
            <w:tcBorders>
              <w:top w:val="nil"/>
              <w:left w:val="nil"/>
              <w:bottom w:val="nil"/>
              <w:right w:val="nil"/>
            </w:tcBorders>
            <w:shd w:val="clear" w:color="auto" w:fill="auto"/>
            <w:noWrap/>
            <w:vAlign w:val="center"/>
          </w:tcPr>
          <w:p w14:paraId="05FAD0DD" w14:textId="2FE7D462" w:rsidR="006C5A8B" w:rsidRPr="00546B41" w:rsidRDefault="006C5A8B" w:rsidP="00BF2F2A">
            <w:pPr>
              <w:jc w:val="right"/>
              <w:rPr>
                <w:rFonts w:ascii="Arial" w:hAnsi="Arial" w:cs="Arial"/>
                <w:sz w:val="16"/>
                <w:szCs w:val="16"/>
                <w:lang w:eastAsia="es-AR"/>
              </w:rPr>
            </w:pPr>
            <w:r>
              <w:rPr>
                <w:rFonts w:ascii="Arial" w:hAnsi="Arial" w:cs="Arial"/>
                <w:sz w:val="16"/>
                <w:szCs w:val="16"/>
                <w:lang w:eastAsia="es-AR"/>
              </w:rPr>
              <w:t>-</w:t>
            </w:r>
          </w:p>
        </w:tc>
        <w:tc>
          <w:tcPr>
            <w:tcW w:w="1165" w:type="dxa"/>
            <w:tcBorders>
              <w:top w:val="nil"/>
              <w:left w:val="nil"/>
              <w:bottom w:val="nil"/>
              <w:right w:val="nil"/>
            </w:tcBorders>
            <w:shd w:val="clear" w:color="auto" w:fill="auto"/>
            <w:noWrap/>
            <w:vAlign w:val="center"/>
          </w:tcPr>
          <w:p w14:paraId="022B7014" w14:textId="2015A7E3" w:rsidR="006C5A8B" w:rsidRPr="00546B41" w:rsidRDefault="006C5A8B" w:rsidP="00BF2F2A">
            <w:pPr>
              <w:jc w:val="right"/>
              <w:rPr>
                <w:rFonts w:ascii="Arial" w:hAnsi="Arial" w:cs="Arial"/>
                <w:sz w:val="16"/>
                <w:szCs w:val="16"/>
              </w:rPr>
            </w:pPr>
            <w:r>
              <w:rPr>
                <w:rFonts w:ascii="Arial" w:hAnsi="Arial" w:cs="Arial"/>
                <w:sz w:val="16"/>
                <w:szCs w:val="16"/>
              </w:rPr>
              <w:t>8.623</w:t>
            </w:r>
          </w:p>
        </w:tc>
        <w:tc>
          <w:tcPr>
            <w:tcW w:w="1186" w:type="dxa"/>
            <w:tcBorders>
              <w:top w:val="nil"/>
              <w:left w:val="nil"/>
              <w:bottom w:val="nil"/>
              <w:right w:val="nil"/>
            </w:tcBorders>
            <w:shd w:val="clear" w:color="auto" w:fill="auto"/>
            <w:noWrap/>
            <w:vAlign w:val="center"/>
          </w:tcPr>
          <w:p w14:paraId="57774ECF" w14:textId="79D67D9D" w:rsidR="006C5A8B" w:rsidRPr="00546B41" w:rsidRDefault="006C5A8B" w:rsidP="00BF2F2A">
            <w:pPr>
              <w:jc w:val="right"/>
              <w:rPr>
                <w:rFonts w:ascii="Arial" w:hAnsi="Arial" w:cs="Arial"/>
                <w:sz w:val="16"/>
                <w:szCs w:val="16"/>
              </w:rPr>
            </w:pPr>
            <w:r>
              <w:rPr>
                <w:rFonts w:ascii="Arial" w:hAnsi="Arial" w:cs="Arial"/>
                <w:sz w:val="16"/>
                <w:szCs w:val="16"/>
              </w:rPr>
              <w:t>-</w:t>
            </w:r>
          </w:p>
        </w:tc>
      </w:tr>
      <w:tr w:rsidR="00410DCC" w:rsidRPr="007368F0" w14:paraId="3D994C1C" w14:textId="77777777" w:rsidTr="00410DCC">
        <w:trPr>
          <w:trHeight w:val="166"/>
        </w:trPr>
        <w:tc>
          <w:tcPr>
            <w:tcW w:w="3783" w:type="dxa"/>
            <w:tcBorders>
              <w:top w:val="nil"/>
              <w:left w:val="nil"/>
              <w:bottom w:val="nil"/>
              <w:right w:val="nil"/>
            </w:tcBorders>
            <w:shd w:val="clear" w:color="auto" w:fill="auto"/>
            <w:hideMark/>
          </w:tcPr>
          <w:p w14:paraId="46DE7254" w14:textId="16341987" w:rsidR="00410DCC" w:rsidRPr="007368F0" w:rsidRDefault="00410DCC" w:rsidP="00410DCC">
            <w:pPr>
              <w:rPr>
                <w:rFonts w:ascii="Arial" w:hAnsi="Arial" w:cs="Arial"/>
                <w:b/>
                <w:bCs/>
                <w:sz w:val="16"/>
                <w:szCs w:val="16"/>
                <w:lang w:eastAsia="es-AR"/>
              </w:rPr>
            </w:pPr>
            <w:r w:rsidRPr="007368F0">
              <w:rPr>
                <w:rFonts w:ascii="Arial" w:hAnsi="Arial" w:cs="Arial"/>
                <w:b/>
                <w:bCs/>
                <w:sz w:val="16"/>
                <w:szCs w:val="16"/>
                <w:lang w:eastAsia="es-AR"/>
              </w:rPr>
              <w:t xml:space="preserve">Saldos al cierre del </w:t>
            </w:r>
            <w:r w:rsidRPr="009E23DC">
              <w:rPr>
                <w:rFonts w:ascii="Arial" w:hAnsi="Arial" w:cs="Arial"/>
                <w:b/>
                <w:bCs/>
                <w:sz w:val="16"/>
                <w:szCs w:val="16"/>
                <w:lang w:eastAsia="es-AR"/>
              </w:rPr>
              <w:t>ejercicio</w:t>
            </w:r>
          </w:p>
        </w:tc>
        <w:tc>
          <w:tcPr>
            <w:tcW w:w="880" w:type="dxa"/>
            <w:tcBorders>
              <w:top w:val="nil"/>
              <w:left w:val="nil"/>
              <w:bottom w:val="nil"/>
              <w:right w:val="nil"/>
            </w:tcBorders>
            <w:shd w:val="clear" w:color="auto" w:fill="auto"/>
            <w:noWrap/>
            <w:hideMark/>
          </w:tcPr>
          <w:p w14:paraId="5ED4E332" w14:textId="77777777" w:rsidR="00410DCC" w:rsidRPr="007368F0" w:rsidRDefault="00410DCC" w:rsidP="00410DCC">
            <w:pPr>
              <w:rPr>
                <w:rFonts w:ascii="Arial" w:hAnsi="Arial" w:cs="Arial"/>
                <w:b/>
                <w:bCs/>
                <w:sz w:val="16"/>
                <w:szCs w:val="16"/>
                <w:lang w:eastAsia="es-AR"/>
              </w:rPr>
            </w:pPr>
          </w:p>
        </w:tc>
        <w:tc>
          <w:tcPr>
            <w:tcW w:w="1057" w:type="dxa"/>
            <w:tcBorders>
              <w:top w:val="single" w:sz="4" w:space="0" w:color="auto"/>
              <w:left w:val="nil"/>
              <w:bottom w:val="single" w:sz="4" w:space="0" w:color="auto"/>
              <w:right w:val="nil"/>
            </w:tcBorders>
            <w:shd w:val="clear" w:color="auto" w:fill="auto"/>
            <w:noWrap/>
            <w:hideMark/>
          </w:tcPr>
          <w:p w14:paraId="281CD779" w14:textId="0F975F4A" w:rsidR="00410DCC" w:rsidRPr="00546B41" w:rsidRDefault="00410DCC" w:rsidP="00410DCC">
            <w:pPr>
              <w:jc w:val="right"/>
              <w:rPr>
                <w:rFonts w:ascii="Arial" w:hAnsi="Arial" w:cs="Arial"/>
                <w:b/>
                <w:bCs/>
                <w:sz w:val="16"/>
                <w:szCs w:val="16"/>
                <w:lang w:eastAsia="es-AR"/>
              </w:rPr>
            </w:pPr>
            <w:r w:rsidRPr="00546B41">
              <w:rPr>
                <w:rFonts w:ascii="Arial" w:hAnsi="Arial" w:cs="Arial"/>
                <w:b/>
                <w:bCs/>
                <w:sz w:val="16"/>
                <w:szCs w:val="16"/>
                <w:lang w:eastAsia="es-AR"/>
              </w:rPr>
              <w:t>8</w:t>
            </w:r>
            <w:r>
              <w:rPr>
                <w:rFonts w:ascii="Arial" w:hAnsi="Arial" w:cs="Arial"/>
                <w:b/>
                <w:bCs/>
                <w:sz w:val="16"/>
                <w:szCs w:val="16"/>
                <w:lang w:eastAsia="es-AR"/>
              </w:rPr>
              <w:t>29</w:t>
            </w:r>
            <w:r w:rsidRPr="00546B41">
              <w:rPr>
                <w:rFonts w:ascii="Arial" w:hAnsi="Arial" w:cs="Arial"/>
                <w:b/>
                <w:bCs/>
                <w:sz w:val="16"/>
                <w:szCs w:val="16"/>
                <w:lang w:eastAsia="es-AR"/>
              </w:rPr>
              <w:t>.</w:t>
            </w:r>
            <w:r>
              <w:rPr>
                <w:rFonts w:ascii="Arial" w:hAnsi="Arial" w:cs="Arial"/>
                <w:b/>
                <w:bCs/>
                <w:sz w:val="16"/>
                <w:szCs w:val="16"/>
                <w:lang w:eastAsia="es-AR"/>
              </w:rPr>
              <w:t>564</w:t>
            </w:r>
          </w:p>
        </w:tc>
        <w:tc>
          <w:tcPr>
            <w:tcW w:w="1272" w:type="dxa"/>
            <w:tcBorders>
              <w:top w:val="single" w:sz="4" w:space="0" w:color="auto"/>
              <w:left w:val="nil"/>
              <w:bottom w:val="single" w:sz="4" w:space="0" w:color="auto"/>
              <w:right w:val="nil"/>
            </w:tcBorders>
            <w:shd w:val="clear" w:color="auto" w:fill="auto"/>
            <w:noWrap/>
            <w:hideMark/>
          </w:tcPr>
          <w:p w14:paraId="7582FC6B" w14:textId="756D52E9" w:rsidR="00410DCC" w:rsidRPr="00546B41" w:rsidRDefault="00410DCC" w:rsidP="00410DCC">
            <w:pPr>
              <w:jc w:val="right"/>
              <w:rPr>
                <w:rFonts w:ascii="Arial" w:hAnsi="Arial" w:cs="Arial"/>
                <w:b/>
                <w:bCs/>
                <w:sz w:val="16"/>
                <w:szCs w:val="16"/>
                <w:lang w:eastAsia="es-AR"/>
              </w:rPr>
            </w:pPr>
            <w:r w:rsidRPr="00546B41">
              <w:rPr>
                <w:rFonts w:ascii="Arial" w:hAnsi="Arial" w:cs="Arial"/>
                <w:b/>
                <w:bCs/>
                <w:sz w:val="16"/>
                <w:szCs w:val="16"/>
                <w:lang w:eastAsia="es-AR"/>
              </w:rPr>
              <w:t>6.</w:t>
            </w:r>
            <w:r>
              <w:rPr>
                <w:rFonts w:ascii="Arial" w:hAnsi="Arial" w:cs="Arial"/>
                <w:b/>
                <w:bCs/>
                <w:sz w:val="16"/>
                <w:szCs w:val="16"/>
                <w:lang w:eastAsia="es-AR"/>
              </w:rPr>
              <w:t>898</w:t>
            </w:r>
            <w:r w:rsidRPr="00546B41">
              <w:rPr>
                <w:rFonts w:ascii="Arial" w:hAnsi="Arial" w:cs="Arial"/>
                <w:b/>
                <w:bCs/>
                <w:sz w:val="16"/>
                <w:szCs w:val="16"/>
                <w:lang w:eastAsia="es-AR"/>
              </w:rPr>
              <w:t>.</w:t>
            </w:r>
            <w:r>
              <w:rPr>
                <w:rFonts w:ascii="Arial" w:hAnsi="Arial" w:cs="Arial"/>
                <w:b/>
                <w:bCs/>
                <w:sz w:val="16"/>
                <w:szCs w:val="16"/>
                <w:lang w:eastAsia="es-AR"/>
              </w:rPr>
              <w:t>635</w:t>
            </w:r>
          </w:p>
        </w:tc>
        <w:tc>
          <w:tcPr>
            <w:tcW w:w="931" w:type="dxa"/>
            <w:tcBorders>
              <w:top w:val="single" w:sz="4" w:space="0" w:color="auto"/>
              <w:left w:val="nil"/>
              <w:bottom w:val="single" w:sz="4" w:space="0" w:color="auto"/>
              <w:right w:val="nil"/>
            </w:tcBorders>
            <w:shd w:val="clear" w:color="auto" w:fill="auto"/>
            <w:noWrap/>
            <w:vAlign w:val="center"/>
          </w:tcPr>
          <w:p w14:paraId="3D1A8F4E" w14:textId="53C93387" w:rsidR="00410DCC" w:rsidRPr="00546B41" w:rsidRDefault="00410DCC" w:rsidP="00410DCC">
            <w:pPr>
              <w:jc w:val="right"/>
              <w:rPr>
                <w:rFonts w:ascii="Arial" w:hAnsi="Arial" w:cs="Arial"/>
                <w:b/>
                <w:bCs/>
                <w:sz w:val="16"/>
                <w:szCs w:val="16"/>
                <w:lang w:eastAsia="es-AR"/>
              </w:rPr>
            </w:pPr>
            <w:r>
              <w:rPr>
                <w:rFonts w:ascii="Arial" w:hAnsi="Arial" w:cs="Arial"/>
                <w:b/>
                <w:bCs/>
                <w:sz w:val="16"/>
                <w:szCs w:val="16"/>
              </w:rPr>
              <w:t>1.023.92</w:t>
            </w:r>
            <w:r w:rsidR="009707DD">
              <w:rPr>
                <w:rFonts w:ascii="Arial" w:hAnsi="Arial" w:cs="Arial"/>
                <w:b/>
                <w:bCs/>
                <w:sz w:val="16"/>
                <w:szCs w:val="16"/>
              </w:rPr>
              <w:t>5</w:t>
            </w:r>
          </w:p>
        </w:tc>
        <w:tc>
          <w:tcPr>
            <w:tcW w:w="957" w:type="dxa"/>
            <w:tcBorders>
              <w:top w:val="single" w:sz="4" w:space="0" w:color="auto"/>
              <w:left w:val="nil"/>
              <w:bottom w:val="single" w:sz="4" w:space="0" w:color="auto"/>
              <w:right w:val="nil"/>
            </w:tcBorders>
            <w:shd w:val="clear" w:color="auto" w:fill="auto"/>
            <w:noWrap/>
            <w:vAlign w:val="center"/>
          </w:tcPr>
          <w:p w14:paraId="3EF875AF" w14:textId="68CA9BF4" w:rsidR="00410DCC" w:rsidRPr="00546B41" w:rsidRDefault="00410DCC" w:rsidP="00410DCC">
            <w:pPr>
              <w:jc w:val="right"/>
              <w:rPr>
                <w:rFonts w:ascii="Arial" w:hAnsi="Arial" w:cs="Arial"/>
                <w:b/>
                <w:bCs/>
                <w:sz w:val="16"/>
                <w:szCs w:val="16"/>
                <w:lang w:eastAsia="es-AR"/>
              </w:rPr>
            </w:pPr>
            <w:r>
              <w:rPr>
                <w:rFonts w:ascii="Arial" w:hAnsi="Arial" w:cs="Arial"/>
                <w:b/>
                <w:bCs/>
                <w:sz w:val="16"/>
                <w:szCs w:val="16"/>
              </w:rPr>
              <w:t>13.18</w:t>
            </w:r>
            <w:r w:rsidR="009707DD">
              <w:rPr>
                <w:rFonts w:ascii="Arial" w:hAnsi="Arial" w:cs="Arial"/>
                <w:b/>
                <w:bCs/>
                <w:sz w:val="16"/>
                <w:szCs w:val="16"/>
              </w:rPr>
              <w:t>8</w:t>
            </w:r>
          </w:p>
        </w:tc>
        <w:tc>
          <w:tcPr>
            <w:tcW w:w="1043" w:type="dxa"/>
            <w:tcBorders>
              <w:top w:val="single" w:sz="4" w:space="0" w:color="auto"/>
              <w:left w:val="nil"/>
              <w:bottom w:val="single" w:sz="4" w:space="0" w:color="auto"/>
              <w:right w:val="nil"/>
            </w:tcBorders>
            <w:shd w:val="clear" w:color="auto" w:fill="auto"/>
            <w:noWrap/>
            <w:vAlign w:val="center"/>
          </w:tcPr>
          <w:p w14:paraId="5CC785F3" w14:textId="30DE555D" w:rsidR="00410DCC" w:rsidRPr="00546B41" w:rsidRDefault="00410DCC" w:rsidP="00410DCC">
            <w:pPr>
              <w:jc w:val="right"/>
              <w:rPr>
                <w:rFonts w:ascii="Arial" w:hAnsi="Arial" w:cs="Arial"/>
                <w:b/>
                <w:bCs/>
                <w:sz w:val="16"/>
                <w:szCs w:val="16"/>
                <w:lang w:eastAsia="es-AR"/>
              </w:rPr>
            </w:pPr>
            <w:r>
              <w:rPr>
                <w:rFonts w:ascii="Arial" w:hAnsi="Arial" w:cs="Arial"/>
                <w:b/>
                <w:bCs/>
                <w:sz w:val="16"/>
                <w:szCs w:val="16"/>
              </w:rPr>
              <w:t>1.110.252</w:t>
            </w:r>
          </w:p>
        </w:tc>
        <w:tc>
          <w:tcPr>
            <w:tcW w:w="1031" w:type="dxa"/>
            <w:tcBorders>
              <w:top w:val="single" w:sz="4" w:space="0" w:color="auto"/>
              <w:left w:val="nil"/>
              <w:bottom w:val="single" w:sz="4" w:space="0" w:color="auto"/>
              <w:right w:val="nil"/>
            </w:tcBorders>
            <w:shd w:val="clear" w:color="auto" w:fill="auto"/>
            <w:noWrap/>
            <w:vAlign w:val="center"/>
          </w:tcPr>
          <w:p w14:paraId="6D6AB123" w14:textId="591F0F4B" w:rsidR="00410DCC" w:rsidRPr="00546B41" w:rsidRDefault="00410DCC" w:rsidP="00410DCC">
            <w:pPr>
              <w:jc w:val="right"/>
              <w:rPr>
                <w:rFonts w:ascii="Arial" w:hAnsi="Arial" w:cs="Arial"/>
                <w:b/>
                <w:bCs/>
                <w:sz w:val="16"/>
                <w:szCs w:val="16"/>
                <w:lang w:eastAsia="es-AR"/>
              </w:rPr>
            </w:pPr>
            <w:r>
              <w:rPr>
                <w:rFonts w:ascii="Arial" w:hAnsi="Arial" w:cs="Arial"/>
                <w:b/>
                <w:bCs/>
                <w:sz w:val="16"/>
                <w:szCs w:val="16"/>
              </w:rPr>
              <w:t>4.232.524</w:t>
            </w:r>
          </w:p>
        </w:tc>
        <w:tc>
          <w:tcPr>
            <w:tcW w:w="1165" w:type="dxa"/>
            <w:tcBorders>
              <w:top w:val="single" w:sz="4" w:space="0" w:color="auto"/>
              <w:left w:val="nil"/>
              <w:bottom w:val="single" w:sz="4" w:space="0" w:color="auto"/>
              <w:right w:val="nil"/>
            </w:tcBorders>
            <w:shd w:val="clear" w:color="auto" w:fill="auto"/>
            <w:noWrap/>
            <w:vAlign w:val="center"/>
          </w:tcPr>
          <w:p w14:paraId="311A8134" w14:textId="57E33535" w:rsidR="00410DCC" w:rsidRPr="00546B41" w:rsidRDefault="00410DCC" w:rsidP="00410DCC">
            <w:pPr>
              <w:jc w:val="right"/>
              <w:rPr>
                <w:rFonts w:ascii="Arial" w:hAnsi="Arial" w:cs="Arial"/>
                <w:b/>
                <w:bCs/>
                <w:sz w:val="16"/>
                <w:szCs w:val="16"/>
                <w:lang w:eastAsia="es-AR"/>
              </w:rPr>
            </w:pPr>
            <w:r>
              <w:rPr>
                <w:rFonts w:ascii="Arial" w:hAnsi="Arial" w:cs="Arial"/>
                <w:b/>
                <w:bCs/>
                <w:sz w:val="16"/>
                <w:szCs w:val="16"/>
              </w:rPr>
              <w:t>3.3</w:t>
            </w:r>
            <w:r w:rsidR="009707DD">
              <w:rPr>
                <w:rFonts w:ascii="Arial" w:hAnsi="Arial" w:cs="Arial"/>
                <w:b/>
                <w:bCs/>
                <w:sz w:val="16"/>
                <w:szCs w:val="16"/>
              </w:rPr>
              <w:t>29</w:t>
            </w:r>
            <w:r>
              <w:rPr>
                <w:rFonts w:ascii="Arial" w:hAnsi="Arial" w:cs="Arial"/>
                <w:b/>
                <w:bCs/>
                <w:sz w:val="16"/>
                <w:szCs w:val="16"/>
              </w:rPr>
              <w:t>.</w:t>
            </w:r>
            <w:r w:rsidR="009707DD">
              <w:rPr>
                <w:rFonts w:ascii="Arial" w:hAnsi="Arial" w:cs="Arial"/>
                <w:b/>
                <w:bCs/>
                <w:sz w:val="16"/>
                <w:szCs w:val="16"/>
              </w:rPr>
              <w:t>039</w:t>
            </w:r>
          </w:p>
        </w:tc>
        <w:tc>
          <w:tcPr>
            <w:tcW w:w="1186" w:type="dxa"/>
            <w:tcBorders>
              <w:top w:val="single" w:sz="4" w:space="0" w:color="auto"/>
              <w:left w:val="nil"/>
              <w:bottom w:val="single" w:sz="4" w:space="0" w:color="auto"/>
              <w:right w:val="nil"/>
            </w:tcBorders>
            <w:shd w:val="clear" w:color="auto" w:fill="auto"/>
            <w:noWrap/>
            <w:vAlign w:val="center"/>
          </w:tcPr>
          <w:p w14:paraId="60DB7A89" w14:textId="56565793" w:rsidR="00410DCC" w:rsidRPr="00546B41" w:rsidRDefault="00410DCC" w:rsidP="00410DCC">
            <w:pPr>
              <w:jc w:val="right"/>
              <w:rPr>
                <w:rFonts w:ascii="Arial" w:hAnsi="Arial" w:cs="Arial"/>
                <w:b/>
                <w:bCs/>
                <w:sz w:val="16"/>
                <w:szCs w:val="16"/>
                <w:lang w:eastAsia="es-AR"/>
              </w:rPr>
            </w:pPr>
            <w:r>
              <w:rPr>
                <w:rFonts w:ascii="Arial" w:hAnsi="Arial" w:cs="Arial"/>
                <w:b/>
                <w:bCs/>
                <w:sz w:val="16"/>
                <w:szCs w:val="16"/>
              </w:rPr>
              <w:t>17.4</w:t>
            </w:r>
            <w:r w:rsidR="009707DD">
              <w:rPr>
                <w:rFonts w:ascii="Arial" w:hAnsi="Arial" w:cs="Arial"/>
                <w:b/>
                <w:bCs/>
                <w:sz w:val="16"/>
                <w:szCs w:val="16"/>
              </w:rPr>
              <w:t>37</w:t>
            </w:r>
            <w:r>
              <w:rPr>
                <w:rFonts w:ascii="Arial" w:hAnsi="Arial" w:cs="Arial"/>
                <w:b/>
                <w:bCs/>
                <w:sz w:val="16"/>
                <w:szCs w:val="16"/>
              </w:rPr>
              <w:t>.</w:t>
            </w:r>
            <w:r w:rsidR="009707DD">
              <w:rPr>
                <w:rFonts w:ascii="Arial" w:hAnsi="Arial" w:cs="Arial"/>
                <w:b/>
                <w:bCs/>
                <w:sz w:val="16"/>
                <w:szCs w:val="16"/>
              </w:rPr>
              <w:t>1</w:t>
            </w:r>
            <w:r>
              <w:rPr>
                <w:rFonts w:ascii="Arial" w:hAnsi="Arial" w:cs="Arial"/>
                <w:b/>
                <w:bCs/>
                <w:sz w:val="16"/>
                <w:szCs w:val="16"/>
              </w:rPr>
              <w:t>2</w:t>
            </w:r>
            <w:r w:rsidR="009707DD">
              <w:rPr>
                <w:rFonts w:ascii="Arial" w:hAnsi="Arial" w:cs="Arial"/>
                <w:b/>
                <w:bCs/>
                <w:sz w:val="16"/>
                <w:szCs w:val="16"/>
              </w:rPr>
              <w:t>7</w:t>
            </w:r>
          </w:p>
        </w:tc>
      </w:tr>
      <w:bookmarkEnd w:id="45"/>
    </w:tbl>
    <w:p w14:paraId="0A56B6FB" w14:textId="77777777" w:rsidR="006C5A8B" w:rsidRDefault="006C5A8B" w:rsidP="005A1F48">
      <w:pPr>
        <w:tabs>
          <w:tab w:val="left" w:pos="1365"/>
        </w:tabs>
        <w:rPr>
          <w:sz w:val="10"/>
          <w:szCs w:val="10"/>
          <w:lang w:val="es-ES_tradnl"/>
        </w:rPr>
      </w:pPr>
    </w:p>
    <w:tbl>
      <w:tblPr>
        <w:tblW w:w="14454" w:type="dxa"/>
        <w:tblLayout w:type="fixed"/>
        <w:tblCellMar>
          <w:left w:w="70" w:type="dxa"/>
          <w:right w:w="70" w:type="dxa"/>
        </w:tblCellMar>
        <w:tblLook w:val="04A0" w:firstRow="1" w:lastRow="0" w:firstColumn="1" w:lastColumn="0" w:noHBand="0" w:noVBand="1"/>
      </w:tblPr>
      <w:tblGrid>
        <w:gridCol w:w="4980"/>
        <w:gridCol w:w="880"/>
        <w:gridCol w:w="1057"/>
        <w:gridCol w:w="1271"/>
        <w:gridCol w:w="931"/>
        <w:gridCol w:w="957"/>
        <w:gridCol w:w="981"/>
        <w:gridCol w:w="1030"/>
        <w:gridCol w:w="1057"/>
        <w:gridCol w:w="54"/>
        <w:gridCol w:w="1256"/>
      </w:tblGrid>
      <w:tr w:rsidR="008916DF" w:rsidRPr="00C9200A" w14:paraId="458DED55" w14:textId="77777777" w:rsidTr="00886AE1">
        <w:trPr>
          <w:trHeight w:val="510"/>
        </w:trPr>
        <w:tc>
          <w:tcPr>
            <w:tcW w:w="498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5702D7B5" w14:textId="77777777"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Movimientos</w:t>
            </w:r>
          </w:p>
        </w:tc>
        <w:tc>
          <w:tcPr>
            <w:tcW w:w="88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231A0D67" w14:textId="77777777"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Nota</w:t>
            </w:r>
          </w:p>
        </w:tc>
        <w:tc>
          <w:tcPr>
            <w:tcW w:w="1057"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1F401028" w14:textId="77777777"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Capital Social</w:t>
            </w:r>
          </w:p>
        </w:tc>
        <w:tc>
          <w:tcPr>
            <w:tcW w:w="1271" w:type="dxa"/>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tcPr>
          <w:p w14:paraId="3980E94E" w14:textId="109DA295"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Aportes no capitalizados</w:t>
            </w:r>
          </w:p>
        </w:tc>
        <w:tc>
          <w:tcPr>
            <w:tcW w:w="1888"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hideMark/>
          </w:tcPr>
          <w:p w14:paraId="21833AB7" w14:textId="390F4416"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Otros Resultados Integrales</w:t>
            </w:r>
          </w:p>
        </w:tc>
        <w:tc>
          <w:tcPr>
            <w:tcW w:w="2011" w:type="dxa"/>
            <w:gridSpan w:val="2"/>
            <w:tcBorders>
              <w:top w:val="single" w:sz="4" w:space="0" w:color="363639"/>
              <w:left w:val="nil"/>
              <w:bottom w:val="single" w:sz="4" w:space="0" w:color="363639"/>
              <w:right w:val="single" w:sz="4" w:space="0" w:color="auto"/>
            </w:tcBorders>
            <w:shd w:val="clear" w:color="auto" w:fill="BFBFBF" w:themeFill="background1" w:themeFillShade="BF"/>
            <w:vAlign w:val="center"/>
            <w:hideMark/>
          </w:tcPr>
          <w:p w14:paraId="5DAA40BB" w14:textId="6D8DB911" w:rsidR="008916DF" w:rsidRPr="00C9200A" w:rsidRDefault="008916DF" w:rsidP="00534414">
            <w:pPr>
              <w:jc w:val="center"/>
              <w:rPr>
                <w:rFonts w:ascii="Arial" w:hAnsi="Arial" w:cs="Arial"/>
                <w:b/>
                <w:bCs/>
                <w:sz w:val="16"/>
                <w:szCs w:val="16"/>
                <w:lang w:eastAsia="es-AR"/>
              </w:rPr>
            </w:pPr>
            <w:r w:rsidRPr="00C9200A">
              <w:rPr>
                <w:rFonts w:ascii="Arial" w:hAnsi="Arial" w:cs="Arial"/>
                <w:b/>
                <w:bCs/>
                <w:sz w:val="16"/>
                <w:szCs w:val="16"/>
                <w:lang w:eastAsia="es-AR"/>
              </w:rPr>
              <w:t>Reserva de utilidades</w:t>
            </w:r>
          </w:p>
        </w:tc>
        <w:tc>
          <w:tcPr>
            <w:tcW w:w="1111"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978EB4" w14:textId="5E04CE62"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Resultados no Asignados</w:t>
            </w:r>
          </w:p>
        </w:tc>
        <w:tc>
          <w:tcPr>
            <w:tcW w:w="1256" w:type="dxa"/>
            <w:vMerge w:val="restart"/>
            <w:tcBorders>
              <w:top w:val="single" w:sz="4" w:space="0" w:color="363639"/>
              <w:left w:val="single" w:sz="4" w:space="0" w:color="auto"/>
              <w:bottom w:val="single" w:sz="4" w:space="0" w:color="363639"/>
              <w:right w:val="single" w:sz="4" w:space="0" w:color="363639"/>
            </w:tcBorders>
            <w:shd w:val="clear" w:color="auto" w:fill="BFBFBF" w:themeFill="background1" w:themeFillShade="BF"/>
            <w:vAlign w:val="center"/>
            <w:hideMark/>
          </w:tcPr>
          <w:p w14:paraId="754A7C42" w14:textId="66D30CC4" w:rsidR="008916DF" w:rsidRPr="00C9200A" w:rsidRDefault="00886AE1" w:rsidP="00886AE1">
            <w:pPr>
              <w:jc w:val="center"/>
              <w:rPr>
                <w:rFonts w:ascii="Arial" w:hAnsi="Arial" w:cs="Arial"/>
                <w:b/>
                <w:bCs/>
                <w:sz w:val="16"/>
                <w:szCs w:val="16"/>
                <w:lang w:eastAsia="es-AR"/>
              </w:rPr>
            </w:pPr>
            <w:r w:rsidRPr="00C9200A">
              <w:rPr>
                <w:rFonts w:ascii="Arial" w:hAnsi="Arial" w:cs="Arial"/>
                <w:b/>
                <w:bCs/>
                <w:sz w:val="16"/>
                <w:szCs w:val="16"/>
                <w:lang w:eastAsia="es-AR"/>
              </w:rPr>
              <w:t xml:space="preserve">Total PN al </w:t>
            </w:r>
            <w:r w:rsidR="003C2633">
              <w:rPr>
                <w:rFonts w:ascii="Arial" w:hAnsi="Arial" w:cs="Arial"/>
                <w:b/>
                <w:bCs/>
                <w:sz w:val="16"/>
                <w:szCs w:val="16"/>
                <w:lang w:eastAsia="es-AR"/>
              </w:rPr>
              <w:t>3</w:t>
            </w:r>
            <w:r w:rsidR="009326EC">
              <w:rPr>
                <w:rFonts w:ascii="Arial" w:hAnsi="Arial" w:cs="Arial"/>
                <w:b/>
                <w:bCs/>
                <w:sz w:val="16"/>
                <w:szCs w:val="16"/>
                <w:lang w:eastAsia="es-AR"/>
              </w:rPr>
              <w:t>1</w:t>
            </w:r>
            <w:r w:rsidR="003C2633">
              <w:rPr>
                <w:rFonts w:ascii="Arial" w:hAnsi="Arial" w:cs="Arial"/>
                <w:b/>
                <w:bCs/>
                <w:sz w:val="16"/>
                <w:szCs w:val="16"/>
                <w:lang w:eastAsia="es-AR"/>
              </w:rPr>
              <w:t>/</w:t>
            </w:r>
            <w:r w:rsidR="009326EC">
              <w:rPr>
                <w:rFonts w:ascii="Arial" w:hAnsi="Arial" w:cs="Arial"/>
                <w:b/>
                <w:bCs/>
                <w:sz w:val="16"/>
                <w:szCs w:val="16"/>
                <w:lang w:eastAsia="es-AR"/>
              </w:rPr>
              <w:t>12</w:t>
            </w:r>
            <w:r w:rsidR="003C2633">
              <w:rPr>
                <w:rFonts w:ascii="Arial" w:hAnsi="Arial" w:cs="Arial"/>
                <w:b/>
                <w:bCs/>
                <w:sz w:val="16"/>
                <w:szCs w:val="16"/>
                <w:lang w:eastAsia="es-AR"/>
              </w:rPr>
              <w:t>/2018</w:t>
            </w:r>
          </w:p>
        </w:tc>
      </w:tr>
      <w:tr w:rsidR="008916DF" w:rsidRPr="00C9200A" w14:paraId="2AA2309A" w14:textId="77777777" w:rsidTr="008E201C">
        <w:trPr>
          <w:trHeight w:val="1067"/>
        </w:trPr>
        <w:tc>
          <w:tcPr>
            <w:tcW w:w="498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0D6AB5F" w14:textId="77777777" w:rsidR="008916DF" w:rsidRPr="00C9200A" w:rsidRDefault="008916DF" w:rsidP="005078C4">
            <w:pPr>
              <w:rPr>
                <w:rFonts w:ascii="Arial" w:hAnsi="Arial" w:cs="Arial"/>
                <w:b/>
                <w:bCs/>
                <w:sz w:val="16"/>
                <w:szCs w:val="16"/>
                <w:lang w:eastAsia="es-AR"/>
              </w:rPr>
            </w:pPr>
          </w:p>
        </w:tc>
        <w:tc>
          <w:tcPr>
            <w:tcW w:w="88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6793F03" w14:textId="77777777" w:rsidR="008916DF" w:rsidRPr="00C9200A" w:rsidRDefault="008916DF" w:rsidP="005078C4">
            <w:pPr>
              <w:rPr>
                <w:rFonts w:ascii="Arial" w:hAnsi="Arial" w:cs="Arial"/>
                <w:b/>
                <w:bCs/>
                <w:sz w:val="16"/>
                <w:szCs w:val="16"/>
                <w:lang w:eastAsia="es-AR"/>
              </w:rPr>
            </w:pPr>
          </w:p>
        </w:tc>
        <w:tc>
          <w:tcPr>
            <w:tcW w:w="1057" w:type="dxa"/>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24735EB0" w14:textId="77777777"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En circula ción</w:t>
            </w:r>
          </w:p>
        </w:tc>
        <w:tc>
          <w:tcPr>
            <w:tcW w:w="1271" w:type="dxa"/>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79043E81" w14:textId="77777777"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Primas de emisión de acciones</w:t>
            </w:r>
          </w:p>
        </w:tc>
        <w:tc>
          <w:tcPr>
            <w:tcW w:w="931" w:type="dxa"/>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32DEE063" w14:textId="77777777"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Revaluac de PPE e Intang.</w:t>
            </w:r>
          </w:p>
        </w:tc>
        <w:tc>
          <w:tcPr>
            <w:tcW w:w="957" w:type="dxa"/>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2B5303D1" w14:textId="77777777"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Gcias. o pérdidas acum por Inst.</w:t>
            </w:r>
            <w:r w:rsidRPr="00C9200A">
              <w:rPr>
                <w:rFonts w:ascii="Arial" w:hAnsi="Arial" w:cs="Arial"/>
                <w:b/>
                <w:bCs/>
                <w:sz w:val="16"/>
                <w:szCs w:val="16"/>
                <w:lang w:eastAsia="es-AR"/>
              </w:rPr>
              <w:br/>
              <w:t>Fcieros. a VRCORI</w:t>
            </w:r>
          </w:p>
        </w:tc>
        <w:tc>
          <w:tcPr>
            <w:tcW w:w="981" w:type="dxa"/>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2AC63834" w14:textId="77777777"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Legal</w:t>
            </w:r>
          </w:p>
        </w:tc>
        <w:tc>
          <w:tcPr>
            <w:tcW w:w="1030" w:type="dxa"/>
            <w:tcBorders>
              <w:top w:val="single" w:sz="4" w:space="0" w:color="363639"/>
              <w:left w:val="nil"/>
              <w:bottom w:val="single" w:sz="4" w:space="0" w:color="363639"/>
              <w:right w:val="single" w:sz="4" w:space="0" w:color="auto"/>
            </w:tcBorders>
            <w:shd w:val="clear" w:color="auto" w:fill="BFBFBF" w:themeFill="background1" w:themeFillShade="BF"/>
            <w:vAlign w:val="center"/>
            <w:hideMark/>
          </w:tcPr>
          <w:p w14:paraId="1166DD1D" w14:textId="77777777" w:rsidR="008916DF" w:rsidRPr="00C9200A" w:rsidRDefault="008916DF" w:rsidP="005078C4">
            <w:pPr>
              <w:jc w:val="center"/>
              <w:rPr>
                <w:rFonts w:ascii="Arial" w:hAnsi="Arial" w:cs="Arial"/>
                <w:b/>
                <w:bCs/>
                <w:sz w:val="16"/>
                <w:szCs w:val="16"/>
                <w:lang w:eastAsia="es-AR"/>
              </w:rPr>
            </w:pPr>
            <w:r w:rsidRPr="00C9200A">
              <w:rPr>
                <w:rFonts w:ascii="Arial" w:hAnsi="Arial" w:cs="Arial"/>
                <w:b/>
                <w:bCs/>
                <w:sz w:val="16"/>
                <w:szCs w:val="16"/>
                <w:lang w:eastAsia="es-AR"/>
              </w:rPr>
              <w:t>Otras</w:t>
            </w:r>
          </w:p>
        </w:tc>
        <w:tc>
          <w:tcPr>
            <w:tcW w:w="1111" w:type="dxa"/>
            <w:gridSpan w:val="2"/>
            <w:vMerge/>
            <w:tcBorders>
              <w:top w:val="single" w:sz="4" w:space="0" w:color="363639"/>
              <w:left w:val="single" w:sz="4" w:space="0" w:color="auto"/>
              <w:bottom w:val="single" w:sz="4" w:space="0" w:color="auto"/>
              <w:right w:val="single" w:sz="4" w:space="0" w:color="auto"/>
            </w:tcBorders>
            <w:shd w:val="clear" w:color="auto" w:fill="BFBFBF" w:themeFill="background1" w:themeFillShade="BF"/>
            <w:vAlign w:val="center"/>
            <w:hideMark/>
          </w:tcPr>
          <w:p w14:paraId="54D4DACC" w14:textId="77777777" w:rsidR="008916DF" w:rsidRPr="00C9200A" w:rsidRDefault="008916DF" w:rsidP="005078C4">
            <w:pPr>
              <w:rPr>
                <w:sz w:val="16"/>
                <w:szCs w:val="16"/>
                <w:lang w:eastAsia="es-AR"/>
              </w:rPr>
            </w:pPr>
          </w:p>
        </w:tc>
        <w:tc>
          <w:tcPr>
            <w:tcW w:w="1256" w:type="dxa"/>
            <w:vMerge/>
            <w:tcBorders>
              <w:top w:val="single" w:sz="4" w:space="0" w:color="363639"/>
              <w:left w:val="single" w:sz="4" w:space="0" w:color="auto"/>
              <w:bottom w:val="single" w:sz="4" w:space="0" w:color="363639"/>
              <w:right w:val="single" w:sz="4" w:space="0" w:color="363639"/>
            </w:tcBorders>
            <w:shd w:val="clear" w:color="auto" w:fill="BFBFBF" w:themeFill="background1" w:themeFillShade="BF"/>
            <w:vAlign w:val="center"/>
            <w:hideMark/>
          </w:tcPr>
          <w:p w14:paraId="04DAB75A" w14:textId="77777777" w:rsidR="008916DF" w:rsidRPr="00C9200A" w:rsidRDefault="008916DF" w:rsidP="005078C4">
            <w:pPr>
              <w:rPr>
                <w:rFonts w:ascii="Arial" w:hAnsi="Arial" w:cs="Arial"/>
                <w:b/>
                <w:bCs/>
                <w:sz w:val="16"/>
                <w:szCs w:val="16"/>
                <w:lang w:eastAsia="es-AR"/>
              </w:rPr>
            </w:pPr>
          </w:p>
        </w:tc>
      </w:tr>
      <w:tr w:rsidR="008916DF" w:rsidRPr="00C9200A" w14:paraId="721D5523" w14:textId="77777777" w:rsidTr="005A1F48">
        <w:trPr>
          <w:trHeight w:val="98"/>
        </w:trPr>
        <w:tc>
          <w:tcPr>
            <w:tcW w:w="4980" w:type="dxa"/>
            <w:tcBorders>
              <w:top w:val="nil"/>
              <w:left w:val="nil"/>
              <w:bottom w:val="nil"/>
              <w:right w:val="nil"/>
            </w:tcBorders>
            <w:shd w:val="clear" w:color="auto" w:fill="auto"/>
            <w:noWrap/>
            <w:vAlign w:val="center"/>
            <w:hideMark/>
          </w:tcPr>
          <w:p w14:paraId="2B2F5E16" w14:textId="77777777" w:rsidR="008916DF" w:rsidRPr="00C9200A" w:rsidRDefault="008916DF" w:rsidP="005078C4">
            <w:pPr>
              <w:jc w:val="center"/>
              <w:rPr>
                <w:rFonts w:ascii="Arial" w:hAnsi="Arial" w:cs="Arial"/>
                <w:b/>
                <w:bCs/>
                <w:sz w:val="16"/>
                <w:szCs w:val="16"/>
                <w:lang w:eastAsia="es-AR"/>
              </w:rPr>
            </w:pPr>
          </w:p>
        </w:tc>
        <w:tc>
          <w:tcPr>
            <w:tcW w:w="880" w:type="dxa"/>
            <w:tcBorders>
              <w:top w:val="nil"/>
              <w:left w:val="nil"/>
              <w:bottom w:val="nil"/>
              <w:right w:val="nil"/>
            </w:tcBorders>
            <w:shd w:val="clear" w:color="auto" w:fill="auto"/>
            <w:noWrap/>
            <w:vAlign w:val="center"/>
            <w:hideMark/>
          </w:tcPr>
          <w:p w14:paraId="5339392C" w14:textId="77777777" w:rsidR="008916DF" w:rsidRPr="00C9200A" w:rsidRDefault="008916DF" w:rsidP="005078C4">
            <w:pPr>
              <w:jc w:val="center"/>
              <w:rPr>
                <w:sz w:val="16"/>
                <w:szCs w:val="16"/>
                <w:lang w:eastAsia="es-AR"/>
              </w:rPr>
            </w:pPr>
          </w:p>
        </w:tc>
        <w:tc>
          <w:tcPr>
            <w:tcW w:w="1057" w:type="dxa"/>
            <w:tcBorders>
              <w:top w:val="nil"/>
              <w:left w:val="nil"/>
              <w:bottom w:val="nil"/>
              <w:right w:val="nil"/>
            </w:tcBorders>
            <w:shd w:val="clear" w:color="auto" w:fill="auto"/>
            <w:vAlign w:val="center"/>
            <w:hideMark/>
          </w:tcPr>
          <w:p w14:paraId="55533C40" w14:textId="77777777" w:rsidR="008916DF" w:rsidRPr="00C9200A" w:rsidRDefault="008916DF" w:rsidP="005078C4">
            <w:pPr>
              <w:rPr>
                <w:sz w:val="16"/>
                <w:szCs w:val="16"/>
                <w:lang w:eastAsia="es-AR"/>
              </w:rPr>
            </w:pPr>
          </w:p>
        </w:tc>
        <w:tc>
          <w:tcPr>
            <w:tcW w:w="1271" w:type="dxa"/>
            <w:tcBorders>
              <w:top w:val="nil"/>
              <w:left w:val="nil"/>
              <w:bottom w:val="nil"/>
              <w:right w:val="nil"/>
            </w:tcBorders>
            <w:shd w:val="clear" w:color="auto" w:fill="auto"/>
            <w:vAlign w:val="center"/>
            <w:hideMark/>
          </w:tcPr>
          <w:p w14:paraId="753B5956" w14:textId="77777777" w:rsidR="008916DF" w:rsidRPr="00C9200A" w:rsidRDefault="008916DF" w:rsidP="005078C4">
            <w:pPr>
              <w:jc w:val="center"/>
              <w:rPr>
                <w:sz w:val="16"/>
                <w:szCs w:val="16"/>
                <w:lang w:eastAsia="es-AR"/>
              </w:rPr>
            </w:pPr>
          </w:p>
        </w:tc>
        <w:tc>
          <w:tcPr>
            <w:tcW w:w="931" w:type="dxa"/>
            <w:tcBorders>
              <w:top w:val="nil"/>
              <w:left w:val="nil"/>
              <w:bottom w:val="nil"/>
              <w:right w:val="nil"/>
            </w:tcBorders>
            <w:shd w:val="clear" w:color="auto" w:fill="auto"/>
            <w:vAlign w:val="center"/>
            <w:hideMark/>
          </w:tcPr>
          <w:p w14:paraId="00DF1C47" w14:textId="77777777" w:rsidR="008916DF" w:rsidRPr="00C9200A" w:rsidRDefault="008916DF" w:rsidP="005078C4">
            <w:pPr>
              <w:jc w:val="center"/>
              <w:rPr>
                <w:sz w:val="16"/>
                <w:szCs w:val="16"/>
                <w:lang w:eastAsia="es-AR"/>
              </w:rPr>
            </w:pPr>
          </w:p>
        </w:tc>
        <w:tc>
          <w:tcPr>
            <w:tcW w:w="957" w:type="dxa"/>
            <w:tcBorders>
              <w:top w:val="nil"/>
              <w:left w:val="nil"/>
              <w:bottom w:val="nil"/>
              <w:right w:val="nil"/>
            </w:tcBorders>
            <w:shd w:val="clear" w:color="auto" w:fill="auto"/>
            <w:vAlign w:val="center"/>
            <w:hideMark/>
          </w:tcPr>
          <w:p w14:paraId="0A4C6FCA" w14:textId="77777777" w:rsidR="008916DF" w:rsidRPr="00C9200A" w:rsidRDefault="008916DF" w:rsidP="005078C4">
            <w:pPr>
              <w:jc w:val="center"/>
              <w:rPr>
                <w:sz w:val="16"/>
                <w:szCs w:val="16"/>
                <w:lang w:eastAsia="es-AR"/>
              </w:rPr>
            </w:pPr>
          </w:p>
        </w:tc>
        <w:tc>
          <w:tcPr>
            <w:tcW w:w="981" w:type="dxa"/>
            <w:tcBorders>
              <w:top w:val="nil"/>
              <w:left w:val="nil"/>
              <w:bottom w:val="nil"/>
              <w:right w:val="nil"/>
            </w:tcBorders>
            <w:shd w:val="clear" w:color="auto" w:fill="auto"/>
            <w:vAlign w:val="center"/>
            <w:hideMark/>
          </w:tcPr>
          <w:p w14:paraId="3169615E" w14:textId="77777777" w:rsidR="008916DF" w:rsidRPr="00C9200A" w:rsidRDefault="008916DF" w:rsidP="005078C4">
            <w:pPr>
              <w:jc w:val="center"/>
              <w:rPr>
                <w:sz w:val="16"/>
                <w:szCs w:val="16"/>
                <w:lang w:eastAsia="es-AR"/>
              </w:rPr>
            </w:pPr>
          </w:p>
        </w:tc>
        <w:tc>
          <w:tcPr>
            <w:tcW w:w="1030" w:type="dxa"/>
            <w:tcBorders>
              <w:top w:val="nil"/>
              <w:left w:val="nil"/>
              <w:bottom w:val="nil"/>
              <w:right w:val="nil"/>
            </w:tcBorders>
            <w:shd w:val="clear" w:color="auto" w:fill="auto"/>
            <w:vAlign w:val="center"/>
            <w:hideMark/>
          </w:tcPr>
          <w:p w14:paraId="32C90EFB" w14:textId="77777777" w:rsidR="008916DF" w:rsidRPr="00C9200A" w:rsidRDefault="008916DF" w:rsidP="005078C4">
            <w:pPr>
              <w:jc w:val="center"/>
              <w:rPr>
                <w:sz w:val="16"/>
                <w:szCs w:val="16"/>
                <w:lang w:eastAsia="es-AR"/>
              </w:rPr>
            </w:pPr>
          </w:p>
        </w:tc>
        <w:tc>
          <w:tcPr>
            <w:tcW w:w="1057" w:type="dxa"/>
            <w:tcBorders>
              <w:top w:val="nil"/>
              <w:left w:val="nil"/>
              <w:bottom w:val="nil"/>
              <w:right w:val="nil"/>
            </w:tcBorders>
            <w:shd w:val="clear" w:color="auto" w:fill="auto"/>
            <w:noWrap/>
            <w:vAlign w:val="bottom"/>
            <w:hideMark/>
          </w:tcPr>
          <w:p w14:paraId="66507B60" w14:textId="77777777" w:rsidR="008916DF" w:rsidRPr="00C9200A" w:rsidRDefault="008916DF" w:rsidP="005078C4">
            <w:pPr>
              <w:jc w:val="center"/>
              <w:rPr>
                <w:sz w:val="16"/>
                <w:szCs w:val="16"/>
                <w:lang w:eastAsia="es-AR"/>
              </w:rPr>
            </w:pPr>
          </w:p>
        </w:tc>
        <w:tc>
          <w:tcPr>
            <w:tcW w:w="1310" w:type="dxa"/>
            <w:gridSpan w:val="2"/>
            <w:tcBorders>
              <w:top w:val="nil"/>
              <w:left w:val="nil"/>
              <w:bottom w:val="nil"/>
              <w:right w:val="nil"/>
            </w:tcBorders>
            <w:shd w:val="clear" w:color="auto" w:fill="auto"/>
            <w:noWrap/>
            <w:vAlign w:val="center"/>
            <w:hideMark/>
          </w:tcPr>
          <w:p w14:paraId="3899FF4F" w14:textId="77777777" w:rsidR="008916DF" w:rsidRPr="00C9200A" w:rsidRDefault="008916DF" w:rsidP="005078C4">
            <w:pPr>
              <w:jc w:val="center"/>
              <w:rPr>
                <w:sz w:val="16"/>
                <w:szCs w:val="16"/>
                <w:lang w:eastAsia="es-AR"/>
              </w:rPr>
            </w:pPr>
          </w:p>
        </w:tc>
      </w:tr>
      <w:tr w:rsidR="008E201C" w:rsidRPr="00C9200A" w14:paraId="2BB06114" w14:textId="77777777" w:rsidTr="008E201C">
        <w:trPr>
          <w:trHeight w:val="300"/>
        </w:trPr>
        <w:tc>
          <w:tcPr>
            <w:tcW w:w="4980" w:type="dxa"/>
            <w:tcBorders>
              <w:top w:val="nil"/>
              <w:left w:val="nil"/>
              <w:bottom w:val="nil"/>
              <w:right w:val="nil"/>
            </w:tcBorders>
            <w:shd w:val="clear" w:color="auto" w:fill="auto"/>
            <w:hideMark/>
          </w:tcPr>
          <w:p w14:paraId="6A5826F5" w14:textId="77777777" w:rsidR="008E201C" w:rsidRPr="00C9200A" w:rsidRDefault="008E201C" w:rsidP="008E201C">
            <w:pPr>
              <w:rPr>
                <w:rFonts w:ascii="Arial" w:hAnsi="Arial" w:cs="Arial"/>
                <w:b/>
                <w:bCs/>
                <w:sz w:val="16"/>
                <w:szCs w:val="16"/>
                <w:lang w:eastAsia="es-AR"/>
              </w:rPr>
            </w:pPr>
            <w:r w:rsidRPr="00C9200A">
              <w:rPr>
                <w:rFonts w:ascii="Arial" w:hAnsi="Arial" w:cs="Arial"/>
                <w:b/>
                <w:bCs/>
                <w:sz w:val="16"/>
                <w:szCs w:val="16"/>
                <w:lang w:eastAsia="es-AR"/>
              </w:rPr>
              <w:t>Saldos al comienzo del ejercicio</w:t>
            </w:r>
          </w:p>
        </w:tc>
        <w:tc>
          <w:tcPr>
            <w:tcW w:w="880" w:type="dxa"/>
            <w:tcBorders>
              <w:top w:val="nil"/>
              <w:left w:val="nil"/>
              <w:bottom w:val="nil"/>
              <w:right w:val="nil"/>
            </w:tcBorders>
            <w:shd w:val="clear" w:color="auto" w:fill="auto"/>
            <w:noWrap/>
            <w:hideMark/>
          </w:tcPr>
          <w:p w14:paraId="52DB7FF6" w14:textId="77777777" w:rsidR="008E201C" w:rsidRPr="00C9200A" w:rsidRDefault="008E201C" w:rsidP="008E201C">
            <w:pPr>
              <w:rPr>
                <w:rFonts w:ascii="Arial" w:hAnsi="Arial" w:cs="Arial"/>
                <w:b/>
                <w:bCs/>
                <w:sz w:val="16"/>
                <w:szCs w:val="16"/>
                <w:lang w:eastAsia="es-AR"/>
              </w:rPr>
            </w:pPr>
          </w:p>
        </w:tc>
        <w:tc>
          <w:tcPr>
            <w:tcW w:w="1057" w:type="dxa"/>
            <w:tcBorders>
              <w:top w:val="nil"/>
              <w:left w:val="nil"/>
              <w:bottom w:val="nil"/>
              <w:right w:val="nil"/>
            </w:tcBorders>
            <w:shd w:val="clear" w:color="auto" w:fill="auto"/>
            <w:noWrap/>
            <w:vAlign w:val="center"/>
            <w:hideMark/>
          </w:tcPr>
          <w:p w14:paraId="49C8DCFA" w14:textId="0485D58D" w:rsidR="008E201C" w:rsidRPr="00C9200A" w:rsidRDefault="008E201C" w:rsidP="008E201C">
            <w:pPr>
              <w:jc w:val="right"/>
              <w:rPr>
                <w:rFonts w:ascii="Arial" w:hAnsi="Arial" w:cs="Arial"/>
                <w:sz w:val="16"/>
                <w:szCs w:val="16"/>
                <w:lang w:eastAsia="es-AR"/>
              </w:rPr>
            </w:pPr>
            <w:r w:rsidRPr="00C9200A">
              <w:rPr>
                <w:rFonts w:ascii="Arial" w:hAnsi="Arial" w:cs="Arial"/>
                <w:sz w:val="16"/>
                <w:szCs w:val="16"/>
                <w:lang w:eastAsia="es-AR"/>
              </w:rPr>
              <w:t>744.386</w:t>
            </w:r>
          </w:p>
        </w:tc>
        <w:tc>
          <w:tcPr>
            <w:tcW w:w="1271" w:type="dxa"/>
            <w:tcBorders>
              <w:top w:val="nil"/>
              <w:left w:val="nil"/>
              <w:bottom w:val="nil"/>
              <w:right w:val="nil"/>
            </w:tcBorders>
            <w:shd w:val="clear" w:color="auto" w:fill="auto"/>
            <w:noWrap/>
            <w:vAlign w:val="center"/>
            <w:hideMark/>
          </w:tcPr>
          <w:p w14:paraId="39D25024" w14:textId="3F5F06CF" w:rsidR="008E201C" w:rsidRPr="00C9200A" w:rsidRDefault="008E201C" w:rsidP="008E201C">
            <w:pPr>
              <w:jc w:val="right"/>
              <w:rPr>
                <w:rFonts w:ascii="Arial" w:hAnsi="Arial" w:cs="Arial"/>
                <w:sz w:val="16"/>
                <w:szCs w:val="16"/>
                <w:lang w:eastAsia="es-AR"/>
              </w:rPr>
            </w:pPr>
            <w:r w:rsidRPr="00C9200A">
              <w:rPr>
                <w:rFonts w:ascii="Arial" w:hAnsi="Arial" w:cs="Arial"/>
                <w:sz w:val="16"/>
                <w:szCs w:val="16"/>
                <w:lang w:eastAsia="es-AR"/>
              </w:rPr>
              <w:t>4.647.818</w:t>
            </w:r>
          </w:p>
        </w:tc>
        <w:tc>
          <w:tcPr>
            <w:tcW w:w="931" w:type="dxa"/>
            <w:tcBorders>
              <w:top w:val="nil"/>
              <w:left w:val="nil"/>
              <w:bottom w:val="nil"/>
              <w:right w:val="nil"/>
            </w:tcBorders>
            <w:shd w:val="clear" w:color="auto" w:fill="auto"/>
            <w:noWrap/>
            <w:vAlign w:val="center"/>
            <w:hideMark/>
          </w:tcPr>
          <w:p w14:paraId="54594F71" w14:textId="48482503" w:rsidR="008E201C" w:rsidRPr="00C9200A" w:rsidRDefault="008E201C" w:rsidP="008E201C">
            <w:pPr>
              <w:jc w:val="right"/>
              <w:rPr>
                <w:rFonts w:ascii="Arial" w:hAnsi="Arial" w:cs="Arial"/>
                <w:sz w:val="16"/>
                <w:szCs w:val="16"/>
                <w:lang w:eastAsia="es-AR"/>
              </w:rPr>
            </w:pPr>
            <w:r w:rsidRPr="008E201C">
              <w:rPr>
                <w:rFonts w:ascii="Arial" w:hAnsi="Arial" w:cs="Arial"/>
                <w:sz w:val="16"/>
                <w:szCs w:val="16"/>
                <w:lang w:eastAsia="es-AR"/>
              </w:rPr>
              <w:t xml:space="preserve"> 142.01</w:t>
            </w:r>
            <w:r w:rsidR="000D798B">
              <w:rPr>
                <w:rFonts w:ascii="Arial" w:hAnsi="Arial" w:cs="Arial"/>
                <w:sz w:val="16"/>
                <w:szCs w:val="16"/>
                <w:lang w:eastAsia="es-AR"/>
              </w:rPr>
              <w:t>5</w:t>
            </w:r>
            <w:r w:rsidRPr="008E201C">
              <w:rPr>
                <w:rFonts w:ascii="Arial" w:hAnsi="Arial" w:cs="Arial"/>
                <w:sz w:val="16"/>
                <w:szCs w:val="16"/>
                <w:lang w:eastAsia="es-AR"/>
              </w:rPr>
              <w:t xml:space="preserve"> </w:t>
            </w:r>
          </w:p>
        </w:tc>
        <w:tc>
          <w:tcPr>
            <w:tcW w:w="957" w:type="dxa"/>
            <w:tcBorders>
              <w:top w:val="nil"/>
              <w:left w:val="nil"/>
              <w:bottom w:val="nil"/>
              <w:right w:val="nil"/>
            </w:tcBorders>
            <w:shd w:val="clear" w:color="auto" w:fill="auto"/>
            <w:noWrap/>
            <w:vAlign w:val="center"/>
            <w:hideMark/>
          </w:tcPr>
          <w:p w14:paraId="01497E24" w14:textId="3B50ECE4" w:rsidR="008E201C" w:rsidRPr="00C9200A" w:rsidRDefault="008E201C" w:rsidP="008E201C">
            <w:pPr>
              <w:jc w:val="right"/>
              <w:rPr>
                <w:rFonts w:ascii="Arial" w:hAnsi="Arial" w:cs="Arial"/>
                <w:sz w:val="16"/>
                <w:szCs w:val="16"/>
                <w:lang w:eastAsia="es-AR"/>
              </w:rPr>
            </w:pPr>
            <w:r w:rsidRPr="008E201C">
              <w:rPr>
                <w:rFonts w:ascii="Arial" w:hAnsi="Arial" w:cs="Arial"/>
                <w:sz w:val="16"/>
                <w:szCs w:val="16"/>
                <w:lang w:eastAsia="es-AR"/>
              </w:rPr>
              <w:t xml:space="preserve"> 5.343 </w:t>
            </w:r>
          </w:p>
        </w:tc>
        <w:tc>
          <w:tcPr>
            <w:tcW w:w="981" w:type="dxa"/>
            <w:tcBorders>
              <w:top w:val="nil"/>
              <w:left w:val="nil"/>
              <w:bottom w:val="nil"/>
              <w:right w:val="nil"/>
            </w:tcBorders>
            <w:shd w:val="clear" w:color="auto" w:fill="auto"/>
            <w:noWrap/>
            <w:vAlign w:val="center"/>
            <w:hideMark/>
          </w:tcPr>
          <w:p w14:paraId="7B78E79E" w14:textId="4A0FE5C6" w:rsidR="008E201C" w:rsidRPr="00C9200A" w:rsidRDefault="008E201C" w:rsidP="008E201C">
            <w:pPr>
              <w:jc w:val="right"/>
              <w:rPr>
                <w:rFonts w:ascii="Arial" w:hAnsi="Arial" w:cs="Arial"/>
                <w:sz w:val="16"/>
                <w:szCs w:val="16"/>
                <w:lang w:eastAsia="es-AR"/>
              </w:rPr>
            </w:pPr>
            <w:r w:rsidRPr="00C9200A">
              <w:rPr>
                <w:rFonts w:ascii="Arial" w:hAnsi="Arial" w:cs="Arial"/>
                <w:sz w:val="16"/>
                <w:szCs w:val="16"/>
                <w:lang w:eastAsia="es-AR"/>
              </w:rPr>
              <w:t>676.447</w:t>
            </w:r>
          </w:p>
        </w:tc>
        <w:tc>
          <w:tcPr>
            <w:tcW w:w="1030" w:type="dxa"/>
            <w:tcBorders>
              <w:top w:val="nil"/>
              <w:left w:val="nil"/>
              <w:bottom w:val="nil"/>
              <w:right w:val="nil"/>
            </w:tcBorders>
            <w:shd w:val="clear" w:color="auto" w:fill="auto"/>
            <w:noWrap/>
            <w:vAlign w:val="center"/>
            <w:hideMark/>
          </w:tcPr>
          <w:p w14:paraId="685A8F9C" w14:textId="09255B60" w:rsidR="008E201C" w:rsidRPr="00C9200A" w:rsidRDefault="008E201C" w:rsidP="008E201C">
            <w:pPr>
              <w:jc w:val="right"/>
              <w:rPr>
                <w:rFonts w:ascii="Arial" w:hAnsi="Arial" w:cs="Arial"/>
                <w:sz w:val="16"/>
                <w:szCs w:val="16"/>
                <w:lang w:eastAsia="es-AR"/>
              </w:rPr>
            </w:pPr>
            <w:r w:rsidRPr="00C9200A">
              <w:rPr>
                <w:rFonts w:ascii="Arial" w:hAnsi="Arial" w:cs="Arial"/>
                <w:sz w:val="16"/>
                <w:szCs w:val="16"/>
                <w:lang w:eastAsia="es-AR"/>
              </w:rPr>
              <w:t>2.497.308</w:t>
            </w:r>
          </w:p>
        </w:tc>
        <w:tc>
          <w:tcPr>
            <w:tcW w:w="1057" w:type="dxa"/>
            <w:tcBorders>
              <w:top w:val="nil"/>
              <w:left w:val="nil"/>
              <w:bottom w:val="nil"/>
              <w:right w:val="nil"/>
            </w:tcBorders>
            <w:shd w:val="clear" w:color="auto" w:fill="auto"/>
            <w:noWrap/>
            <w:vAlign w:val="center"/>
            <w:hideMark/>
          </w:tcPr>
          <w:p w14:paraId="754438BF" w14:textId="12C0AD86" w:rsidR="008E201C" w:rsidRPr="00C9200A" w:rsidRDefault="008E201C" w:rsidP="008E201C">
            <w:pPr>
              <w:jc w:val="right"/>
              <w:rPr>
                <w:rFonts w:ascii="Arial" w:hAnsi="Arial" w:cs="Arial"/>
                <w:sz w:val="16"/>
                <w:szCs w:val="16"/>
                <w:lang w:eastAsia="es-AR"/>
              </w:rPr>
            </w:pPr>
            <w:r w:rsidRPr="00C9200A">
              <w:rPr>
                <w:rFonts w:ascii="Arial" w:hAnsi="Arial" w:cs="Arial"/>
                <w:sz w:val="16"/>
                <w:szCs w:val="16"/>
                <w:lang w:eastAsia="es-AR"/>
              </w:rPr>
              <w:t>498.50</w:t>
            </w:r>
            <w:r w:rsidR="00FE52BB">
              <w:rPr>
                <w:rFonts w:ascii="Arial" w:hAnsi="Arial" w:cs="Arial"/>
                <w:sz w:val="16"/>
                <w:szCs w:val="16"/>
                <w:lang w:eastAsia="es-AR"/>
              </w:rPr>
              <w:t>1</w:t>
            </w:r>
          </w:p>
        </w:tc>
        <w:tc>
          <w:tcPr>
            <w:tcW w:w="1310" w:type="dxa"/>
            <w:gridSpan w:val="2"/>
            <w:tcBorders>
              <w:top w:val="nil"/>
              <w:left w:val="nil"/>
              <w:bottom w:val="nil"/>
              <w:right w:val="nil"/>
            </w:tcBorders>
            <w:shd w:val="clear" w:color="auto" w:fill="auto"/>
            <w:noWrap/>
            <w:vAlign w:val="center"/>
            <w:hideMark/>
          </w:tcPr>
          <w:p w14:paraId="5541F8DD" w14:textId="04CDA176" w:rsidR="008E201C" w:rsidRPr="00C9200A" w:rsidRDefault="008E201C" w:rsidP="008E201C">
            <w:pPr>
              <w:jc w:val="right"/>
              <w:rPr>
                <w:rFonts w:ascii="Arial" w:hAnsi="Arial" w:cs="Arial"/>
                <w:sz w:val="16"/>
                <w:szCs w:val="16"/>
                <w:lang w:eastAsia="es-AR"/>
              </w:rPr>
            </w:pPr>
            <w:r w:rsidRPr="00C9200A">
              <w:rPr>
                <w:rFonts w:ascii="Arial" w:hAnsi="Arial" w:cs="Arial"/>
                <w:sz w:val="16"/>
                <w:szCs w:val="16"/>
                <w:lang w:eastAsia="es-AR"/>
              </w:rPr>
              <w:t>9.211.8</w:t>
            </w:r>
            <w:r>
              <w:rPr>
                <w:rFonts w:ascii="Arial" w:hAnsi="Arial" w:cs="Arial"/>
                <w:sz w:val="16"/>
                <w:szCs w:val="16"/>
                <w:lang w:eastAsia="es-AR"/>
              </w:rPr>
              <w:t>1</w:t>
            </w:r>
            <w:r w:rsidR="000D798B">
              <w:rPr>
                <w:rFonts w:ascii="Arial" w:hAnsi="Arial" w:cs="Arial"/>
                <w:sz w:val="16"/>
                <w:szCs w:val="16"/>
                <w:lang w:eastAsia="es-AR"/>
              </w:rPr>
              <w:t>8</w:t>
            </w:r>
          </w:p>
        </w:tc>
      </w:tr>
      <w:tr w:rsidR="008916DF" w:rsidRPr="00C9200A" w14:paraId="0B30CECC" w14:textId="77777777" w:rsidTr="005A1F48">
        <w:trPr>
          <w:trHeight w:val="80"/>
        </w:trPr>
        <w:tc>
          <w:tcPr>
            <w:tcW w:w="4980" w:type="dxa"/>
            <w:tcBorders>
              <w:top w:val="nil"/>
              <w:left w:val="nil"/>
              <w:bottom w:val="nil"/>
              <w:right w:val="nil"/>
            </w:tcBorders>
            <w:shd w:val="clear" w:color="auto" w:fill="auto"/>
            <w:hideMark/>
          </w:tcPr>
          <w:p w14:paraId="28891283" w14:textId="77777777" w:rsidR="008916DF" w:rsidRPr="00C9200A" w:rsidRDefault="008916DF" w:rsidP="005078C4">
            <w:pPr>
              <w:rPr>
                <w:rFonts w:ascii="Arial" w:hAnsi="Arial" w:cs="Arial"/>
                <w:sz w:val="16"/>
                <w:szCs w:val="16"/>
                <w:lang w:eastAsia="es-AR"/>
              </w:rPr>
            </w:pPr>
          </w:p>
        </w:tc>
        <w:tc>
          <w:tcPr>
            <w:tcW w:w="880" w:type="dxa"/>
            <w:tcBorders>
              <w:top w:val="nil"/>
              <w:left w:val="nil"/>
              <w:bottom w:val="nil"/>
              <w:right w:val="nil"/>
            </w:tcBorders>
            <w:shd w:val="clear" w:color="auto" w:fill="auto"/>
            <w:noWrap/>
            <w:hideMark/>
          </w:tcPr>
          <w:p w14:paraId="2D97E1B1" w14:textId="77777777" w:rsidR="008916DF" w:rsidRPr="00C9200A" w:rsidRDefault="008916DF" w:rsidP="005078C4">
            <w:pPr>
              <w:rPr>
                <w:sz w:val="16"/>
                <w:szCs w:val="16"/>
                <w:lang w:eastAsia="es-AR"/>
              </w:rPr>
            </w:pPr>
          </w:p>
        </w:tc>
        <w:tc>
          <w:tcPr>
            <w:tcW w:w="1057" w:type="dxa"/>
            <w:tcBorders>
              <w:top w:val="nil"/>
              <w:left w:val="nil"/>
              <w:bottom w:val="nil"/>
              <w:right w:val="nil"/>
            </w:tcBorders>
            <w:shd w:val="clear" w:color="auto" w:fill="auto"/>
            <w:noWrap/>
            <w:vAlign w:val="center"/>
            <w:hideMark/>
          </w:tcPr>
          <w:p w14:paraId="36B9FC52" w14:textId="77777777" w:rsidR="008916DF" w:rsidRPr="00C9200A" w:rsidRDefault="008916DF" w:rsidP="00534414">
            <w:pPr>
              <w:jc w:val="right"/>
              <w:rPr>
                <w:rFonts w:ascii="Arial" w:hAnsi="Arial" w:cs="Arial"/>
                <w:sz w:val="16"/>
                <w:szCs w:val="16"/>
                <w:lang w:eastAsia="es-AR"/>
              </w:rPr>
            </w:pPr>
          </w:p>
        </w:tc>
        <w:tc>
          <w:tcPr>
            <w:tcW w:w="1271" w:type="dxa"/>
            <w:tcBorders>
              <w:top w:val="nil"/>
              <w:left w:val="nil"/>
              <w:bottom w:val="nil"/>
              <w:right w:val="nil"/>
            </w:tcBorders>
            <w:shd w:val="clear" w:color="auto" w:fill="auto"/>
            <w:noWrap/>
            <w:vAlign w:val="center"/>
            <w:hideMark/>
          </w:tcPr>
          <w:p w14:paraId="1811B866" w14:textId="77777777" w:rsidR="008916DF" w:rsidRPr="00C9200A" w:rsidRDefault="008916DF" w:rsidP="00534414">
            <w:pPr>
              <w:jc w:val="right"/>
              <w:rPr>
                <w:rFonts w:ascii="Arial" w:hAnsi="Arial" w:cs="Arial"/>
                <w:sz w:val="16"/>
                <w:szCs w:val="16"/>
                <w:lang w:eastAsia="es-AR"/>
              </w:rPr>
            </w:pPr>
          </w:p>
        </w:tc>
        <w:tc>
          <w:tcPr>
            <w:tcW w:w="931" w:type="dxa"/>
            <w:tcBorders>
              <w:top w:val="nil"/>
              <w:left w:val="nil"/>
              <w:bottom w:val="nil"/>
              <w:right w:val="nil"/>
            </w:tcBorders>
            <w:shd w:val="clear" w:color="auto" w:fill="auto"/>
            <w:noWrap/>
            <w:vAlign w:val="center"/>
            <w:hideMark/>
          </w:tcPr>
          <w:p w14:paraId="7ADBD607" w14:textId="77777777" w:rsidR="008916DF" w:rsidRPr="00C9200A" w:rsidRDefault="008916DF" w:rsidP="00534414">
            <w:pPr>
              <w:jc w:val="right"/>
              <w:rPr>
                <w:rFonts w:ascii="Arial" w:hAnsi="Arial" w:cs="Arial"/>
                <w:sz w:val="16"/>
                <w:szCs w:val="16"/>
                <w:lang w:eastAsia="es-AR"/>
              </w:rPr>
            </w:pPr>
          </w:p>
        </w:tc>
        <w:tc>
          <w:tcPr>
            <w:tcW w:w="957" w:type="dxa"/>
            <w:tcBorders>
              <w:top w:val="nil"/>
              <w:left w:val="nil"/>
              <w:bottom w:val="nil"/>
              <w:right w:val="nil"/>
            </w:tcBorders>
            <w:shd w:val="clear" w:color="auto" w:fill="auto"/>
            <w:noWrap/>
            <w:vAlign w:val="center"/>
            <w:hideMark/>
          </w:tcPr>
          <w:p w14:paraId="5EAEB47D" w14:textId="77777777" w:rsidR="008916DF" w:rsidRPr="00C9200A" w:rsidRDefault="008916DF" w:rsidP="00534414">
            <w:pPr>
              <w:jc w:val="right"/>
              <w:rPr>
                <w:rFonts w:ascii="Arial" w:hAnsi="Arial" w:cs="Arial"/>
                <w:sz w:val="16"/>
                <w:szCs w:val="16"/>
                <w:lang w:eastAsia="es-AR"/>
              </w:rPr>
            </w:pPr>
          </w:p>
        </w:tc>
        <w:tc>
          <w:tcPr>
            <w:tcW w:w="981" w:type="dxa"/>
            <w:tcBorders>
              <w:top w:val="nil"/>
              <w:left w:val="nil"/>
              <w:bottom w:val="nil"/>
              <w:right w:val="nil"/>
            </w:tcBorders>
            <w:shd w:val="clear" w:color="auto" w:fill="auto"/>
            <w:noWrap/>
            <w:vAlign w:val="center"/>
            <w:hideMark/>
          </w:tcPr>
          <w:p w14:paraId="6F4F199E" w14:textId="77777777" w:rsidR="008916DF" w:rsidRPr="00C9200A" w:rsidRDefault="008916DF" w:rsidP="00534414">
            <w:pPr>
              <w:jc w:val="right"/>
              <w:rPr>
                <w:rFonts w:ascii="Arial" w:hAnsi="Arial" w:cs="Arial"/>
                <w:sz w:val="16"/>
                <w:szCs w:val="16"/>
                <w:lang w:eastAsia="es-AR"/>
              </w:rPr>
            </w:pPr>
          </w:p>
        </w:tc>
        <w:tc>
          <w:tcPr>
            <w:tcW w:w="1030" w:type="dxa"/>
            <w:tcBorders>
              <w:top w:val="nil"/>
              <w:left w:val="nil"/>
              <w:bottom w:val="nil"/>
              <w:right w:val="nil"/>
            </w:tcBorders>
            <w:shd w:val="clear" w:color="auto" w:fill="auto"/>
            <w:noWrap/>
            <w:vAlign w:val="center"/>
            <w:hideMark/>
          </w:tcPr>
          <w:p w14:paraId="4896A60E" w14:textId="77777777" w:rsidR="008916DF" w:rsidRPr="00C9200A" w:rsidRDefault="008916DF" w:rsidP="00534414">
            <w:pPr>
              <w:jc w:val="right"/>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hideMark/>
          </w:tcPr>
          <w:p w14:paraId="566D310A" w14:textId="77777777" w:rsidR="008916DF" w:rsidRPr="00C9200A" w:rsidRDefault="008916DF" w:rsidP="00534414">
            <w:pPr>
              <w:jc w:val="right"/>
              <w:rPr>
                <w:rFonts w:ascii="Arial" w:hAnsi="Arial" w:cs="Arial"/>
                <w:sz w:val="16"/>
                <w:szCs w:val="16"/>
                <w:lang w:eastAsia="es-AR"/>
              </w:rPr>
            </w:pPr>
          </w:p>
        </w:tc>
        <w:tc>
          <w:tcPr>
            <w:tcW w:w="1310" w:type="dxa"/>
            <w:gridSpan w:val="2"/>
            <w:tcBorders>
              <w:top w:val="nil"/>
              <w:left w:val="nil"/>
              <w:bottom w:val="nil"/>
              <w:right w:val="nil"/>
            </w:tcBorders>
            <w:shd w:val="clear" w:color="auto" w:fill="auto"/>
            <w:noWrap/>
            <w:vAlign w:val="center"/>
            <w:hideMark/>
          </w:tcPr>
          <w:p w14:paraId="35FF3130" w14:textId="77777777" w:rsidR="008916DF" w:rsidRPr="00C9200A" w:rsidRDefault="008916DF" w:rsidP="00534414">
            <w:pPr>
              <w:jc w:val="right"/>
              <w:rPr>
                <w:rFonts w:ascii="Arial" w:hAnsi="Arial" w:cs="Arial"/>
                <w:sz w:val="16"/>
                <w:szCs w:val="16"/>
                <w:lang w:eastAsia="es-AR"/>
              </w:rPr>
            </w:pPr>
          </w:p>
        </w:tc>
      </w:tr>
      <w:tr w:rsidR="008916DF" w:rsidRPr="00C9200A" w14:paraId="7E359382" w14:textId="77777777" w:rsidTr="00534414">
        <w:trPr>
          <w:trHeight w:val="300"/>
        </w:trPr>
        <w:tc>
          <w:tcPr>
            <w:tcW w:w="4980" w:type="dxa"/>
            <w:tcBorders>
              <w:top w:val="nil"/>
              <w:left w:val="nil"/>
              <w:bottom w:val="nil"/>
              <w:right w:val="nil"/>
            </w:tcBorders>
            <w:shd w:val="clear" w:color="auto" w:fill="auto"/>
            <w:hideMark/>
          </w:tcPr>
          <w:p w14:paraId="6A7A2FF7" w14:textId="636EC1F8" w:rsidR="008916DF" w:rsidRPr="00C9200A" w:rsidRDefault="008916DF" w:rsidP="005078C4">
            <w:pPr>
              <w:rPr>
                <w:rFonts w:ascii="Arial" w:hAnsi="Arial" w:cs="Arial"/>
                <w:b/>
                <w:bCs/>
                <w:sz w:val="16"/>
                <w:szCs w:val="16"/>
                <w:lang w:eastAsia="es-AR"/>
              </w:rPr>
            </w:pPr>
            <w:r w:rsidRPr="00C9200A">
              <w:rPr>
                <w:rFonts w:ascii="Arial" w:hAnsi="Arial" w:cs="Arial"/>
                <w:b/>
                <w:bCs/>
                <w:sz w:val="16"/>
                <w:szCs w:val="16"/>
                <w:lang w:eastAsia="es-AR"/>
              </w:rPr>
              <w:t xml:space="preserve">Resultado total integral del </w:t>
            </w:r>
            <w:r w:rsidR="009326EC">
              <w:rPr>
                <w:rFonts w:ascii="Arial" w:hAnsi="Arial" w:cs="Arial"/>
                <w:b/>
                <w:bCs/>
                <w:sz w:val="16"/>
                <w:szCs w:val="16"/>
                <w:lang w:eastAsia="es-AR"/>
              </w:rPr>
              <w:t>ejercicio</w:t>
            </w:r>
          </w:p>
        </w:tc>
        <w:tc>
          <w:tcPr>
            <w:tcW w:w="880" w:type="dxa"/>
            <w:tcBorders>
              <w:top w:val="nil"/>
              <w:left w:val="nil"/>
              <w:bottom w:val="nil"/>
              <w:right w:val="nil"/>
            </w:tcBorders>
            <w:shd w:val="clear" w:color="auto" w:fill="auto"/>
            <w:noWrap/>
            <w:hideMark/>
          </w:tcPr>
          <w:p w14:paraId="6C8EF7FC" w14:textId="77777777" w:rsidR="008916DF" w:rsidRPr="00C9200A" w:rsidRDefault="008916DF" w:rsidP="005078C4">
            <w:pPr>
              <w:rPr>
                <w:rFonts w:ascii="Arial" w:hAnsi="Arial" w:cs="Arial"/>
                <w:b/>
                <w:bCs/>
                <w:sz w:val="16"/>
                <w:szCs w:val="16"/>
                <w:lang w:eastAsia="es-AR"/>
              </w:rPr>
            </w:pPr>
          </w:p>
        </w:tc>
        <w:tc>
          <w:tcPr>
            <w:tcW w:w="1057" w:type="dxa"/>
            <w:tcBorders>
              <w:top w:val="nil"/>
              <w:left w:val="nil"/>
              <w:bottom w:val="nil"/>
              <w:right w:val="nil"/>
            </w:tcBorders>
            <w:shd w:val="clear" w:color="auto" w:fill="auto"/>
            <w:noWrap/>
            <w:vAlign w:val="center"/>
            <w:hideMark/>
          </w:tcPr>
          <w:p w14:paraId="43CC75E8" w14:textId="77777777" w:rsidR="008916DF" w:rsidRPr="00C9200A" w:rsidRDefault="008916DF" w:rsidP="00534414">
            <w:pPr>
              <w:jc w:val="right"/>
              <w:rPr>
                <w:rFonts w:ascii="Arial" w:hAnsi="Arial" w:cs="Arial"/>
                <w:sz w:val="16"/>
                <w:szCs w:val="16"/>
                <w:lang w:eastAsia="es-AR"/>
              </w:rPr>
            </w:pPr>
          </w:p>
        </w:tc>
        <w:tc>
          <w:tcPr>
            <w:tcW w:w="1271" w:type="dxa"/>
            <w:tcBorders>
              <w:top w:val="nil"/>
              <w:left w:val="nil"/>
              <w:bottom w:val="nil"/>
              <w:right w:val="nil"/>
            </w:tcBorders>
            <w:shd w:val="clear" w:color="auto" w:fill="auto"/>
            <w:noWrap/>
            <w:vAlign w:val="center"/>
            <w:hideMark/>
          </w:tcPr>
          <w:p w14:paraId="15D42CC3" w14:textId="77777777" w:rsidR="008916DF" w:rsidRPr="00C9200A" w:rsidRDefault="008916DF" w:rsidP="00534414">
            <w:pPr>
              <w:jc w:val="right"/>
              <w:rPr>
                <w:rFonts w:ascii="Arial" w:hAnsi="Arial" w:cs="Arial"/>
                <w:sz w:val="16"/>
                <w:szCs w:val="16"/>
                <w:lang w:eastAsia="es-AR"/>
              </w:rPr>
            </w:pPr>
          </w:p>
        </w:tc>
        <w:tc>
          <w:tcPr>
            <w:tcW w:w="931" w:type="dxa"/>
            <w:tcBorders>
              <w:top w:val="nil"/>
              <w:left w:val="nil"/>
              <w:bottom w:val="nil"/>
              <w:right w:val="nil"/>
            </w:tcBorders>
            <w:shd w:val="clear" w:color="auto" w:fill="auto"/>
            <w:noWrap/>
            <w:vAlign w:val="center"/>
            <w:hideMark/>
          </w:tcPr>
          <w:p w14:paraId="07C5E266" w14:textId="77777777" w:rsidR="008916DF" w:rsidRPr="00C9200A" w:rsidRDefault="008916DF" w:rsidP="00534414">
            <w:pPr>
              <w:jc w:val="right"/>
              <w:rPr>
                <w:rFonts w:ascii="Arial" w:hAnsi="Arial" w:cs="Arial"/>
                <w:sz w:val="16"/>
                <w:szCs w:val="16"/>
                <w:lang w:eastAsia="es-AR"/>
              </w:rPr>
            </w:pPr>
          </w:p>
        </w:tc>
        <w:tc>
          <w:tcPr>
            <w:tcW w:w="957" w:type="dxa"/>
            <w:tcBorders>
              <w:top w:val="nil"/>
              <w:left w:val="nil"/>
              <w:bottom w:val="nil"/>
              <w:right w:val="nil"/>
            </w:tcBorders>
            <w:shd w:val="clear" w:color="auto" w:fill="auto"/>
            <w:noWrap/>
            <w:vAlign w:val="center"/>
            <w:hideMark/>
          </w:tcPr>
          <w:p w14:paraId="4D8B2750" w14:textId="77777777" w:rsidR="008916DF" w:rsidRPr="00C9200A" w:rsidRDefault="008916DF" w:rsidP="00534414">
            <w:pPr>
              <w:jc w:val="right"/>
              <w:rPr>
                <w:rFonts w:ascii="Arial" w:hAnsi="Arial" w:cs="Arial"/>
                <w:sz w:val="16"/>
                <w:szCs w:val="16"/>
                <w:lang w:eastAsia="es-AR"/>
              </w:rPr>
            </w:pPr>
          </w:p>
        </w:tc>
        <w:tc>
          <w:tcPr>
            <w:tcW w:w="981" w:type="dxa"/>
            <w:tcBorders>
              <w:top w:val="nil"/>
              <w:left w:val="nil"/>
              <w:bottom w:val="nil"/>
              <w:right w:val="nil"/>
            </w:tcBorders>
            <w:shd w:val="clear" w:color="auto" w:fill="auto"/>
            <w:noWrap/>
            <w:vAlign w:val="center"/>
            <w:hideMark/>
          </w:tcPr>
          <w:p w14:paraId="6E70141B" w14:textId="77777777" w:rsidR="008916DF" w:rsidRPr="00C9200A" w:rsidRDefault="008916DF" w:rsidP="00534414">
            <w:pPr>
              <w:jc w:val="right"/>
              <w:rPr>
                <w:rFonts w:ascii="Arial" w:hAnsi="Arial" w:cs="Arial"/>
                <w:sz w:val="16"/>
                <w:szCs w:val="16"/>
                <w:lang w:eastAsia="es-AR"/>
              </w:rPr>
            </w:pPr>
          </w:p>
        </w:tc>
        <w:tc>
          <w:tcPr>
            <w:tcW w:w="1030" w:type="dxa"/>
            <w:tcBorders>
              <w:top w:val="nil"/>
              <w:left w:val="nil"/>
              <w:bottom w:val="nil"/>
              <w:right w:val="nil"/>
            </w:tcBorders>
            <w:shd w:val="clear" w:color="auto" w:fill="auto"/>
            <w:noWrap/>
            <w:vAlign w:val="center"/>
            <w:hideMark/>
          </w:tcPr>
          <w:p w14:paraId="5CC04D2A" w14:textId="77777777" w:rsidR="008916DF" w:rsidRPr="00C9200A" w:rsidRDefault="008916DF" w:rsidP="00534414">
            <w:pPr>
              <w:jc w:val="right"/>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hideMark/>
          </w:tcPr>
          <w:p w14:paraId="585D19C0" w14:textId="77777777" w:rsidR="008916DF" w:rsidRPr="00C9200A" w:rsidRDefault="008916DF" w:rsidP="00534414">
            <w:pPr>
              <w:jc w:val="right"/>
              <w:rPr>
                <w:rFonts w:ascii="Arial" w:hAnsi="Arial" w:cs="Arial"/>
                <w:sz w:val="16"/>
                <w:szCs w:val="16"/>
                <w:lang w:eastAsia="es-AR"/>
              </w:rPr>
            </w:pPr>
          </w:p>
        </w:tc>
        <w:tc>
          <w:tcPr>
            <w:tcW w:w="1310" w:type="dxa"/>
            <w:gridSpan w:val="2"/>
            <w:tcBorders>
              <w:top w:val="nil"/>
              <w:left w:val="nil"/>
              <w:bottom w:val="nil"/>
              <w:right w:val="nil"/>
            </w:tcBorders>
            <w:shd w:val="clear" w:color="auto" w:fill="auto"/>
            <w:noWrap/>
            <w:vAlign w:val="center"/>
            <w:hideMark/>
          </w:tcPr>
          <w:p w14:paraId="06B1BE42" w14:textId="77777777" w:rsidR="008916DF" w:rsidRPr="00C9200A" w:rsidRDefault="008916DF" w:rsidP="00534414">
            <w:pPr>
              <w:jc w:val="right"/>
              <w:rPr>
                <w:rFonts w:ascii="Arial" w:hAnsi="Arial" w:cs="Arial"/>
                <w:sz w:val="16"/>
                <w:szCs w:val="16"/>
                <w:lang w:eastAsia="es-AR"/>
              </w:rPr>
            </w:pPr>
          </w:p>
        </w:tc>
      </w:tr>
      <w:tr w:rsidR="008907DF" w:rsidRPr="00C9200A" w14:paraId="46BD18F5" w14:textId="77777777" w:rsidTr="00886AE1">
        <w:trPr>
          <w:trHeight w:val="300"/>
        </w:trPr>
        <w:tc>
          <w:tcPr>
            <w:tcW w:w="4980" w:type="dxa"/>
            <w:tcBorders>
              <w:top w:val="nil"/>
              <w:left w:val="nil"/>
              <w:bottom w:val="nil"/>
              <w:right w:val="nil"/>
            </w:tcBorders>
            <w:shd w:val="clear" w:color="auto" w:fill="auto"/>
            <w:hideMark/>
          </w:tcPr>
          <w:p w14:paraId="6868CF65" w14:textId="43C0C320" w:rsidR="008907DF" w:rsidRPr="00C9200A" w:rsidRDefault="008907DF" w:rsidP="008907DF">
            <w:pPr>
              <w:rPr>
                <w:rFonts w:ascii="Arial" w:hAnsi="Arial" w:cs="Arial"/>
                <w:sz w:val="16"/>
                <w:szCs w:val="16"/>
                <w:lang w:eastAsia="es-AR"/>
              </w:rPr>
            </w:pPr>
            <w:r w:rsidRPr="00C9200A">
              <w:rPr>
                <w:rFonts w:ascii="Arial" w:hAnsi="Arial" w:cs="Arial"/>
                <w:sz w:val="16"/>
                <w:szCs w:val="16"/>
                <w:lang w:eastAsia="es-AR"/>
              </w:rPr>
              <w:t xml:space="preserve">- Resultado neto del </w:t>
            </w:r>
            <w:r>
              <w:rPr>
                <w:rFonts w:ascii="Arial" w:hAnsi="Arial" w:cs="Arial"/>
                <w:sz w:val="16"/>
                <w:szCs w:val="16"/>
                <w:lang w:eastAsia="es-AR"/>
              </w:rPr>
              <w:t>ejercicio</w:t>
            </w:r>
          </w:p>
        </w:tc>
        <w:tc>
          <w:tcPr>
            <w:tcW w:w="880" w:type="dxa"/>
            <w:tcBorders>
              <w:top w:val="nil"/>
              <w:left w:val="nil"/>
              <w:bottom w:val="nil"/>
              <w:right w:val="nil"/>
            </w:tcBorders>
            <w:shd w:val="clear" w:color="auto" w:fill="auto"/>
            <w:noWrap/>
            <w:hideMark/>
          </w:tcPr>
          <w:p w14:paraId="17E9488F" w14:textId="77777777" w:rsidR="008907DF" w:rsidRPr="00C9200A" w:rsidRDefault="008907DF" w:rsidP="008907DF">
            <w:pPr>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hideMark/>
          </w:tcPr>
          <w:p w14:paraId="6B915AE2" w14:textId="61AB0F2F" w:rsidR="008907DF" w:rsidRPr="00C9200A" w:rsidRDefault="008907DF" w:rsidP="008907DF">
            <w:pPr>
              <w:jc w:val="right"/>
              <w:rPr>
                <w:rFonts w:ascii="Arial" w:hAnsi="Arial" w:cs="Arial"/>
                <w:sz w:val="16"/>
                <w:szCs w:val="16"/>
                <w:lang w:eastAsia="es-AR"/>
              </w:rPr>
            </w:pPr>
            <w:r w:rsidRPr="00C9200A">
              <w:rPr>
                <w:rFonts w:ascii="Arial" w:hAnsi="Arial" w:cs="Arial"/>
                <w:sz w:val="16"/>
                <w:szCs w:val="16"/>
                <w:lang w:eastAsia="es-AR"/>
              </w:rPr>
              <w:t>-</w:t>
            </w:r>
          </w:p>
        </w:tc>
        <w:tc>
          <w:tcPr>
            <w:tcW w:w="1271" w:type="dxa"/>
            <w:tcBorders>
              <w:top w:val="nil"/>
              <w:left w:val="nil"/>
              <w:bottom w:val="nil"/>
              <w:right w:val="nil"/>
            </w:tcBorders>
            <w:shd w:val="clear" w:color="auto" w:fill="auto"/>
            <w:noWrap/>
            <w:vAlign w:val="center"/>
            <w:hideMark/>
          </w:tcPr>
          <w:p w14:paraId="42586E23" w14:textId="142149F4" w:rsidR="008907DF" w:rsidRPr="00C9200A" w:rsidRDefault="008907DF" w:rsidP="008907DF">
            <w:pPr>
              <w:jc w:val="right"/>
              <w:rPr>
                <w:rFonts w:ascii="Arial" w:hAnsi="Arial" w:cs="Arial"/>
                <w:sz w:val="16"/>
                <w:szCs w:val="16"/>
                <w:lang w:eastAsia="es-AR"/>
              </w:rPr>
            </w:pPr>
            <w:r w:rsidRPr="00C9200A">
              <w:rPr>
                <w:rFonts w:ascii="Arial" w:hAnsi="Arial" w:cs="Arial"/>
                <w:sz w:val="16"/>
                <w:szCs w:val="16"/>
                <w:lang w:eastAsia="es-AR"/>
              </w:rPr>
              <w:t>-</w:t>
            </w:r>
          </w:p>
        </w:tc>
        <w:tc>
          <w:tcPr>
            <w:tcW w:w="931" w:type="dxa"/>
            <w:tcBorders>
              <w:top w:val="nil"/>
              <w:left w:val="nil"/>
              <w:bottom w:val="nil"/>
              <w:right w:val="nil"/>
            </w:tcBorders>
            <w:shd w:val="clear" w:color="auto" w:fill="auto"/>
            <w:noWrap/>
            <w:vAlign w:val="center"/>
          </w:tcPr>
          <w:p w14:paraId="55860D0E" w14:textId="762208A7" w:rsidR="008907DF" w:rsidRPr="00C9200A" w:rsidRDefault="008907DF" w:rsidP="008907DF">
            <w:pPr>
              <w:jc w:val="right"/>
              <w:rPr>
                <w:rFonts w:ascii="Arial" w:hAnsi="Arial" w:cs="Arial"/>
                <w:sz w:val="16"/>
                <w:szCs w:val="16"/>
                <w:lang w:eastAsia="es-AR"/>
              </w:rPr>
            </w:pPr>
            <w:r w:rsidRPr="00C9200A">
              <w:rPr>
                <w:rFonts w:ascii="Arial" w:hAnsi="Arial" w:cs="Arial"/>
                <w:sz w:val="16"/>
                <w:szCs w:val="16"/>
                <w:lang w:eastAsia="es-AR"/>
              </w:rPr>
              <w:t>-</w:t>
            </w:r>
          </w:p>
        </w:tc>
        <w:tc>
          <w:tcPr>
            <w:tcW w:w="957" w:type="dxa"/>
            <w:tcBorders>
              <w:top w:val="nil"/>
              <w:left w:val="nil"/>
              <w:bottom w:val="nil"/>
              <w:right w:val="nil"/>
            </w:tcBorders>
            <w:shd w:val="clear" w:color="auto" w:fill="auto"/>
            <w:noWrap/>
            <w:vAlign w:val="center"/>
          </w:tcPr>
          <w:p w14:paraId="12AFB1D9" w14:textId="12B2D7F2" w:rsidR="008907DF" w:rsidRPr="00C9200A" w:rsidRDefault="008907DF" w:rsidP="008907DF">
            <w:pPr>
              <w:jc w:val="right"/>
              <w:rPr>
                <w:rFonts w:ascii="Arial" w:hAnsi="Arial" w:cs="Arial"/>
                <w:sz w:val="16"/>
                <w:szCs w:val="16"/>
                <w:lang w:eastAsia="es-AR"/>
              </w:rPr>
            </w:pPr>
            <w:r w:rsidRPr="00C9200A">
              <w:rPr>
                <w:rFonts w:ascii="Arial" w:hAnsi="Arial" w:cs="Arial"/>
                <w:sz w:val="16"/>
                <w:szCs w:val="16"/>
                <w:lang w:eastAsia="es-AR"/>
              </w:rPr>
              <w:t>-</w:t>
            </w:r>
          </w:p>
        </w:tc>
        <w:tc>
          <w:tcPr>
            <w:tcW w:w="981" w:type="dxa"/>
            <w:tcBorders>
              <w:top w:val="nil"/>
              <w:left w:val="nil"/>
              <w:bottom w:val="nil"/>
              <w:right w:val="nil"/>
            </w:tcBorders>
            <w:shd w:val="clear" w:color="auto" w:fill="auto"/>
            <w:noWrap/>
            <w:vAlign w:val="center"/>
          </w:tcPr>
          <w:p w14:paraId="79468A8D" w14:textId="5125A9CD" w:rsidR="008907DF" w:rsidRPr="00C9200A" w:rsidRDefault="008907DF" w:rsidP="008907DF">
            <w:pPr>
              <w:jc w:val="right"/>
              <w:rPr>
                <w:rFonts w:ascii="Arial" w:hAnsi="Arial" w:cs="Arial"/>
                <w:sz w:val="16"/>
                <w:szCs w:val="16"/>
                <w:lang w:eastAsia="es-AR"/>
              </w:rPr>
            </w:pPr>
            <w:r w:rsidRPr="00C9200A">
              <w:rPr>
                <w:rFonts w:ascii="Arial" w:hAnsi="Arial" w:cs="Arial"/>
                <w:sz w:val="16"/>
                <w:szCs w:val="16"/>
                <w:lang w:eastAsia="es-AR"/>
              </w:rPr>
              <w:t>-</w:t>
            </w:r>
          </w:p>
        </w:tc>
        <w:tc>
          <w:tcPr>
            <w:tcW w:w="1030" w:type="dxa"/>
            <w:tcBorders>
              <w:top w:val="nil"/>
              <w:left w:val="nil"/>
              <w:bottom w:val="nil"/>
              <w:right w:val="nil"/>
            </w:tcBorders>
            <w:shd w:val="clear" w:color="auto" w:fill="auto"/>
            <w:noWrap/>
            <w:vAlign w:val="center"/>
          </w:tcPr>
          <w:p w14:paraId="223E3052" w14:textId="2CEFED0C" w:rsidR="008907DF" w:rsidRPr="00C9200A" w:rsidRDefault="008907DF" w:rsidP="008907DF">
            <w:pPr>
              <w:jc w:val="right"/>
              <w:rPr>
                <w:rFonts w:ascii="Arial" w:hAnsi="Arial" w:cs="Arial"/>
                <w:sz w:val="16"/>
                <w:szCs w:val="16"/>
                <w:lang w:eastAsia="es-AR"/>
              </w:rPr>
            </w:pPr>
            <w:r w:rsidRPr="00C9200A">
              <w:rPr>
                <w:rFonts w:ascii="Arial" w:hAnsi="Arial" w:cs="Arial"/>
                <w:sz w:val="16"/>
                <w:szCs w:val="16"/>
                <w:lang w:eastAsia="es-AR"/>
              </w:rPr>
              <w:t>-</w:t>
            </w:r>
          </w:p>
        </w:tc>
        <w:tc>
          <w:tcPr>
            <w:tcW w:w="1057" w:type="dxa"/>
            <w:tcBorders>
              <w:top w:val="nil"/>
              <w:left w:val="nil"/>
              <w:bottom w:val="nil"/>
              <w:right w:val="nil"/>
            </w:tcBorders>
            <w:shd w:val="clear" w:color="auto" w:fill="auto"/>
            <w:noWrap/>
            <w:vAlign w:val="center"/>
          </w:tcPr>
          <w:p w14:paraId="46D07F3F" w14:textId="066BBAAE" w:rsidR="008907DF" w:rsidRPr="008907DF" w:rsidRDefault="008907DF" w:rsidP="008907DF">
            <w:pPr>
              <w:jc w:val="right"/>
              <w:rPr>
                <w:rFonts w:ascii="Arial" w:hAnsi="Arial" w:cs="Arial"/>
                <w:sz w:val="16"/>
                <w:szCs w:val="16"/>
                <w:lang w:eastAsia="es-AR"/>
              </w:rPr>
            </w:pPr>
            <w:r w:rsidRPr="008907DF">
              <w:rPr>
                <w:rFonts w:ascii="Arial" w:hAnsi="Arial" w:cs="Arial"/>
                <w:sz w:val="16"/>
                <w:szCs w:val="16"/>
              </w:rPr>
              <w:t>1.670.515</w:t>
            </w:r>
          </w:p>
        </w:tc>
        <w:tc>
          <w:tcPr>
            <w:tcW w:w="1310" w:type="dxa"/>
            <w:gridSpan w:val="2"/>
            <w:tcBorders>
              <w:top w:val="nil"/>
              <w:left w:val="nil"/>
              <w:bottom w:val="nil"/>
              <w:right w:val="nil"/>
            </w:tcBorders>
            <w:shd w:val="clear" w:color="auto" w:fill="auto"/>
            <w:noWrap/>
            <w:vAlign w:val="center"/>
          </w:tcPr>
          <w:p w14:paraId="47AE7C56" w14:textId="110CBAAF" w:rsidR="008907DF" w:rsidRPr="008907DF" w:rsidRDefault="008907DF" w:rsidP="008907DF">
            <w:pPr>
              <w:jc w:val="right"/>
              <w:rPr>
                <w:rFonts w:ascii="Arial" w:hAnsi="Arial" w:cs="Arial"/>
                <w:sz w:val="16"/>
                <w:szCs w:val="16"/>
                <w:lang w:eastAsia="es-AR"/>
              </w:rPr>
            </w:pPr>
            <w:r w:rsidRPr="008907DF">
              <w:rPr>
                <w:rFonts w:ascii="Arial" w:hAnsi="Arial" w:cs="Arial"/>
                <w:sz w:val="16"/>
                <w:szCs w:val="16"/>
              </w:rPr>
              <w:t>1.670.515</w:t>
            </w:r>
          </w:p>
        </w:tc>
      </w:tr>
      <w:tr w:rsidR="008907DF" w:rsidRPr="00C9200A" w14:paraId="44E1F73E" w14:textId="77777777" w:rsidTr="00886AE1">
        <w:trPr>
          <w:trHeight w:val="300"/>
        </w:trPr>
        <w:tc>
          <w:tcPr>
            <w:tcW w:w="4980" w:type="dxa"/>
            <w:tcBorders>
              <w:top w:val="nil"/>
              <w:left w:val="nil"/>
              <w:bottom w:val="nil"/>
              <w:right w:val="nil"/>
            </w:tcBorders>
            <w:shd w:val="clear" w:color="auto" w:fill="auto"/>
            <w:hideMark/>
          </w:tcPr>
          <w:p w14:paraId="5F733D87" w14:textId="105B1BA0" w:rsidR="008907DF" w:rsidRPr="00C9200A" w:rsidRDefault="008907DF" w:rsidP="008907DF">
            <w:pPr>
              <w:rPr>
                <w:rFonts w:ascii="Arial" w:hAnsi="Arial" w:cs="Arial"/>
                <w:sz w:val="16"/>
                <w:szCs w:val="16"/>
                <w:lang w:eastAsia="es-AR"/>
              </w:rPr>
            </w:pPr>
            <w:r w:rsidRPr="00C9200A">
              <w:rPr>
                <w:rFonts w:ascii="Arial" w:hAnsi="Arial" w:cs="Arial"/>
                <w:sz w:val="16"/>
                <w:szCs w:val="16"/>
                <w:lang w:eastAsia="es-AR"/>
              </w:rPr>
              <w:t xml:space="preserve">- Otro Resultado Integral del </w:t>
            </w:r>
            <w:r>
              <w:rPr>
                <w:rFonts w:ascii="Arial" w:hAnsi="Arial" w:cs="Arial"/>
                <w:sz w:val="16"/>
                <w:szCs w:val="16"/>
                <w:lang w:eastAsia="es-AR"/>
              </w:rPr>
              <w:t>ejercicio</w:t>
            </w:r>
          </w:p>
        </w:tc>
        <w:tc>
          <w:tcPr>
            <w:tcW w:w="880" w:type="dxa"/>
            <w:tcBorders>
              <w:top w:val="nil"/>
              <w:left w:val="nil"/>
              <w:bottom w:val="nil"/>
              <w:right w:val="nil"/>
            </w:tcBorders>
            <w:shd w:val="clear" w:color="auto" w:fill="auto"/>
            <w:noWrap/>
            <w:hideMark/>
          </w:tcPr>
          <w:p w14:paraId="630C4BAB" w14:textId="77777777" w:rsidR="008907DF" w:rsidRPr="00C9200A" w:rsidRDefault="008907DF" w:rsidP="008907DF">
            <w:pPr>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hideMark/>
          </w:tcPr>
          <w:p w14:paraId="69BFC0FA" w14:textId="286F4BCD" w:rsidR="008907DF" w:rsidRPr="00C9200A" w:rsidRDefault="008907DF" w:rsidP="008907DF">
            <w:pPr>
              <w:jc w:val="right"/>
              <w:rPr>
                <w:rFonts w:ascii="Arial" w:hAnsi="Arial" w:cs="Arial"/>
                <w:sz w:val="16"/>
                <w:szCs w:val="16"/>
                <w:lang w:eastAsia="es-AR"/>
              </w:rPr>
            </w:pPr>
            <w:r w:rsidRPr="00C9200A">
              <w:rPr>
                <w:rFonts w:ascii="Arial" w:hAnsi="Arial" w:cs="Arial"/>
                <w:sz w:val="16"/>
                <w:szCs w:val="16"/>
                <w:lang w:eastAsia="es-AR"/>
              </w:rPr>
              <w:t>-</w:t>
            </w:r>
          </w:p>
        </w:tc>
        <w:tc>
          <w:tcPr>
            <w:tcW w:w="1271" w:type="dxa"/>
            <w:tcBorders>
              <w:top w:val="nil"/>
              <w:left w:val="nil"/>
              <w:bottom w:val="nil"/>
              <w:right w:val="nil"/>
            </w:tcBorders>
            <w:shd w:val="clear" w:color="auto" w:fill="auto"/>
            <w:noWrap/>
            <w:vAlign w:val="center"/>
            <w:hideMark/>
          </w:tcPr>
          <w:p w14:paraId="7C5B1933" w14:textId="50905947" w:rsidR="008907DF" w:rsidRPr="00C9200A" w:rsidRDefault="008907DF" w:rsidP="008907DF">
            <w:pPr>
              <w:jc w:val="right"/>
              <w:rPr>
                <w:rFonts w:ascii="Arial" w:hAnsi="Arial" w:cs="Arial"/>
                <w:sz w:val="16"/>
                <w:szCs w:val="16"/>
                <w:lang w:eastAsia="es-AR"/>
              </w:rPr>
            </w:pPr>
            <w:r w:rsidRPr="00C9200A">
              <w:rPr>
                <w:rFonts w:ascii="Arial" w:hAnsi="Arial" w:cs="Arial"/>
                <w:sz w:val="16"/>
                <w:szCs w:val="16"/>
                <w:lang w:eastAsia="es-AR"/>
              </w:rPr>
              <w:t>-</w:t>
            </w:r>
          </w:p>
        </w:tc>
        <w:tc>
          <w:tcPr>
            <w:tcW w:w="931" w:type="dxa"/>
            <w:tcBorders>
              <w:top w:val="nil"/>
              <w:left w:val="nil"/>
              <w:bottom w:val="nil"/>
              <w:right w:val="nil"/>
            </w:tcBorders>
            <w:shd w:val="clear" w:color="auto" w:fill="auto"/>
            <w:noWrap/>
            <w:vAlign w:val="center"/>
          </w:tcPr>
          <w:p w14:paraId="4DE2A653" w14:textId="5FB7CCAF" w:rsidR="008907DF" w:rsidRPr="008907DF" w:rsidRDefault="008907DF" w:rsidP="008907DF">
            <w:pPr>
              <w:jc w:val="right"/>
              <w:rPr>
                <w:rFonts w:ascii="Arial" w:hAnsi="Arial" w:cs="Arial"/>
                <w:sz w:val="16"/>
                <w:szCs w:val="16"/>
                <w:lang w:eastAsia="es-AR"/>
              </w:rPr>
            </w:pPr>
            <w:r w:rsidRPr="008907DF">
              <w:rPr>
                <w:rFonts w:ascii="Arial" w:hAnsi="Arial" w:cs="Arial"/>
                <w:sz w:val="16"/>
                <w:szCs w:val="16"/>
              </w:rPr>
              <w:t>441.52</w:t>
            </w:r>
            <w:r w:rsidR="000D798B">
              <w:rPr>
                <w:rFonts w:ascii="Arial" w:hAnsi="Arial" w:cs="Arial"/>
                <w:sz w:val="16"/>
                <w:szCs w:val="16"/>
              </w:rPr>
              <w:t>8</w:t>
            </w:r>
          </w:p>
        </w:tc>
        <w:tc>
          <w:tcPr>
            <w:tcW w:w="957" w:type="dxa"/>
            <w:tcBorders>
              <w:top w:val="nil"/>
              <w:left w:val="nil"/>
              <w:bottom w:val="nil"/>
              <w:right w:val="nil"/>
            </w:tcBorders>
            <w:shd w:val="clear" w:color="auto" w:fill="auto"/>
            <w:noWrap/>
            <w:vAlign w:val="center"/>
          </w:tcPr>
          <w:p w14:paraId="0B138E1B" w14:textId="4F312477" w:rsidR="008907DF" w:rsidRPr="008907DF" w:rsidRDefault="008907DF" w:rsidP="008907DF">
            <w:pPr>
              <w:jc w:val="right"/>
              <w:rPr>
                <w:rFonts w:ascii="Arial" w:hAnsi="Arial" w:cs="Arial"/>
                <w:sz w:val="16"/>
                <w:szCs w:val="16"/>
                <w:lang w:eastAsia="es-AR"/>
              </w:rPr>
            </w:pPr>
            <w:r w:rsidRPr="008907DF">
              <w:rPr>
                <w:rFonts w:ascii="Arial" w:hAnsi="Arial" w:cs="Arial"/>
                <w:sz w:val="16"/>
                <w:szCs w:val="16"/>
              </w:rPr>
              <w:t>618</w:t>
            </w:r>
          </w:p>
        </w:tc>
        <w:tc>
          <w:tcPr>
            <w:tcW w:w="981" w:type="dxa"/>
            <w:tcBorders>
              <w:top w:val="nil"/>
              <w:left w:val="nil"/>
              <w:bottom w:val="nil"/>
              <w:right w:val="nil"/>
            </w:tcBorders>
            <w:shd w:val="clear" w:color="auto" w:fill="auto"/>
            <w:noWrap/>
            <w:vAlign w:val="center"/>
          </w:tcPr>
          <w:p w14:paraId="083F4E05" w14:textId="0865AC58" w:rsidR="008907DF" w:rsidRPr="00C9200A" w:rsidRDefault="008907DF" w:rsidP="008907DF">
            <w:pPr>
              <w:jc w:val="right"/>
              <w:rPr>
                <w:rFonts w:ascii="Arial" w:hAnsi="Arial" w:cs="Arial"/>
                <w:sz w:val="16"/>
                <w:szCs w:val="16"/>
                <w:lang w:eastAsia="es-AR"/>
              </w:rPr>
            </w:pPr>
            <w:r w:rsidRPr="00C9200A">
              <w:rPr>
                <w:rFonts w:ascii="Arial" w:hAnsi="Arial" w:cs="Arial"/>
                <w:sz w:val="16"/>
                <w:szCs w:val="16"/>
                <w:lang w:eastAsia="es-AR"/>
              </w:rPr>
              <w:t>-</w:t>
            </w:r>
          </w:p>
        </w:tc>
        <w:tc>
          <w:tcPr>
            <w:tcW w:w="1030" w:type="dxa"/>
            <w:tcBorders>
              <w:top w:val="nil"/>
              <w:left w:val="nil"/>
              <w:bottom w:val="nil"/>
              <w:right w:val="nil"/>
            </w:tcBorders>
            <w:shd w:val="clear" w:color="auto" w:fill="auto"/>
            <w:noWrap/>
            <w:vAlign w:val="center"/>
          </w:tcPr>
          <w:p w14:paraId="7FA0CFBB" w14:textId="3F9162AB" w:rsidR="008907DF" w:rsidRPr="00C9200A" w:rsidRDefault="008907DF" w:rsidP="008907DF">
            <w:pPr>
              <w:jc w:val="right"/>
              <w:rPr>
                <w:rFonts w:ascii="Arial" w:hAnsi="Arial" w:cs="Arial"/>
                <w:sz w:val="16"/>
                <w:szCs w:val="16"/>
                <w:lang w:eastAsia="es-AR"/>
              </w:rPr>
            </w:pPr>
            <w:r w:rsidRPr="00C9200A">
              <w:rPr>
                <w:rFonts w:ascii="Arial" w:hAnsi="Arial" w:cs="Arial"/>
                <w:sz w:val="16"/>
                <w:szCs w:val="16"/>
                <w:lang w:eastAsia="es-AR"/>
              </w:rPr>
              <w:t>-</w:t>
            </w:r>
          </w:p>
        </w:tc>
        <w:tc>
          <w:tcPr>
            <w:tcW w:w="1057" w:type="dxa"/>
            <w:tcBorders>
              <w:top w:val="nil"/>
              <w:left w:val="nil"/>
              <w:bottom w:val="nil"/>
              <w:right w:val="nil"/>
            </w:tcBorders>
            <w:shd w:val="clear" w:color="auto" w:fill="auto"/>
            <w:noWrap/>
            <w:vAlign w:val="center"/>
          </w:tcPr>
          <w:p w14:paraId="574E48CB" w14:textId="4EADDC03" w:rsidR="008907DF" w:rsidRPr="008907DF" w:rsidRDefault="008907DF" w:rsidP="008907DF">
            <w:pPr>
              <w:jc w:val="right"/>
              <w:rPr>
                <w:rFonts w:ascii="Arial" w:hAnsi="Arial" w:cs="Arial"/>
                <w:sz w:val="16"/>
                <w:szCs w:val="16"/>
                <w:lang w:eastAsia="es-AR"/>
              </w:rPr>
            </w:pPr>
            <w:r w:rsidRPr="008907DF">
              <w:rPr>
                <w:rFonts w:ascii="Arial" w:hAnsi="Arial" w:cs="Arial"/>
                <w:sz w:val="16"/>
                <w:szCs w:val="16"/>
              </w:rPr>
              <w:t>-</w:t>
            </w:r>
          </w:p>
        </w:tc>
        <w:tc>
          <w:tcPr>
            <w:tcW w:w="1310" w:type="dxa"/>
            <w:gridSpan w:val="2"/>
            <w:tcBorders>
              <w:top w:val="nil"/>
              <w:left w:val="nil"/>
              <w:bottom w:val="nil"/>
              <w:right w:val="nil"/>
            </w:tcBorders>
            <w:shd w:val="clear" w:color="auto" w:fill="auto"/>
            <w:noWrap/>
            <w:vAlign w:val="center"/>
          </w:tcPr>
          <w:p w14:paraId="714B8A5B" w14:textId="293444D8" w:rsidR="008907DF" w:rsidRPr="008907DF" w:rsidRDefault="008907DF" w:rsidP="008907DF">
            <w:pPr>
              <w:jc w:val="right"/>
              <w:rPr>
                <w:rFonts w:ascii="Arial" w:hAnsi="Arial" w:cs="Arial"/>
                <w:sz w:val="16"/>
                <w:szCs w:val="16"/>
                <w:lang w:eastAsia="es-AR"/>
              </w:rPr>
            </w:pPr>
            <w:r w:rsidRPr="008907DF">
              <w:rPr>
                <w:rFonts w:ascii="Arial" w:hAnsi="Arial" w:cs="Arial"/>
                <w:sz w:val="16"/>
                <w:szCs w:val="16"/>
              </w:rPr>
              <w:t>442.14</w:t>
            </w:r>
            <w:r w:rsidR="000D798B">
              <w:rPr>
                <w:rFonts w:ascii="Arial" w:hAnsi="Arial" w:cs="Arial"/>
                <w:sz w:val="16"/>
                <w:szCs w:val="16"/>
              </w:rPr>
              <w:t>6</w:t>
            </w:r>
          </w:p>
        </w:tc>
      </w:tr>
      <w:tr w:rsidR="00E91468" w:rsidRPr="00C9200A" w14:paraId="15A1E48C" w14:textId="77777777" w:rsidTr="00E91468">
        <w:trPr>
          <w:trHeight w:val="511"/>
        </w:trPr>
        <w:tc>
          <w:tcPr>
            <w:tcW w:w="4980" w:type="dxa"/>
            <w:tcBorders>
              <w:top w:val="nil"/>
              <w:left w:val="nil"/>
              <w:bottom w:val="nil"/>
              <w:right w:val="nil"/>
            </w:tcBorders>
            <w:shd w:val="clear" w:color="auto" w:fill="auto"/>
          </w:tcPr>
          <w:p w14:paraId="4FC95C7C" w14:textId="23E54577" w:rsidR="00E91468" w:rsidRPr="00C9200A" w:rsidRDefault="00E91468" w:rsidP="00E91468">
            <w:pPr>
              <w:rPr>
                <w:rFonts w:ascii="Arial" w:hAnsi="Arial" w:cs="Arial"/>
                <w:sz w:val="16"/>
                <w:szCs w:val="16"/>
                <w:lang w:eastAsia="es-AR"/>
              </w:rPr>
            </w:pPr>
            <w:r w:rsidRPr="00C9200A">
              <w:rPr>
                <w:rFonts w:ascii="Arial" w:hAnsi="Arial" w:cs="Arial"/>
                <w:sz w:val="16"/>
                <w:szCs w:val="16"/>
                <w:lang w:eastAsia="es-AR"/>
              </w:rPr>
              <w:t>- Distribución de RNA aprobada por la Asamblea Ordinaria y Extraordinaria de Accionistas del 19/04/2018.</w:t>
            </w:r>
          </w:p>
        </w:tc>
        <w:tc>
          <w:tcPr>
            <w:tcW w:w="880" w:type="dxa"/>
            <w:tcBorders>
              <w:top w:val="nil"/>
              <w:left w:val="nil"/>
              <w:bottom w:val="nil"/>
              <w:right w:val="nil"/>
            </w:tcBorders>
            <w:shd w:val="clear" w:color="auto" w:fill="auto"/>
            <w:noWrap/>
          </w:tcPr>
          <w:p w14:paraId="7AEDE992" w14:textId="77777777" w:rsidR="00E91468" w:rsidRPr="00C9200A" w:rsidRDefault="00E91468" w:rsidP="00E91468">
            <w:pPr>
              <w:rPr>
                <w:sz w:val="16"/>
                <w:szCs w:val="16"/>
                <w:lang w:eastAsia="es-AR"/>
              </w:rPr>
            </w:pPr>
          </w:p>
        </w:tc>
        <w:tc>
          <w:tcPr>
            <w:tcW w:w="1057" w:type="dxa"/>
            <w:tcBorders>
              <w:top w:val="nil"/>
              <w:left w:val="nil"/>
              <w:bottom w:val="nil"/>
              <w:right w:val="nil"/>
            </w:tcBorders>
            <w:shd w:val="clear" w:color="auto" w:fill="auto"/>
            <w:noWrap/>
            <w:vAlign w:val="center"/>
          </w:tcPr>
          <w:p w14:paraId="14266ECB" w14:textId="77777777" w:rsidR="00E91468" w:rsidRPr="00C9200A" w:rsidRDefault="00E91468" w:rsidP="00E91468">
            <w:pPr>
              <w:jc w:val="right"/>
              <w:rPr>
                <w:rFonts w:ascii="Arial" w:hAnsi="Arial" w:cs="Arial"/>
                <w:sz w:val="16"/>
                <w:szCs w:val="16"/>
                <w:lang w:eastAsia="es-AR"/>
              </w:rPr>
            </w:pPr>
          </w:p>
        </w:tc>
        <w:tc>
          <w:tcPr>
            <w:tcW w:w="1271" w:type="dxa"/>
            <w:tcBorders>
              <w:top w:val="nil"/>
              <w:left w:val="nil"/>
              <w:bottom w:val="nil"/>
              <w:right w:val="nil"/>
            </w:tcBorders>
            <w:shd w:val="clear" w:color="auto" w:fill="auto"/>
            <w:noWrap/>
            <w:vAlign w:val="center"/>
          </w:tcPr>
          <w:p w14:paraId="217512D4" w14:textId="77777777" w:rsidR="00E91468" w:rsidRPr="00C9200A" w:rsidRDefault="00E91468" w:rsidP="00E91468">
            <w:pPr>
              <w:jc w:val="right"/>
              <w:rPr>
                <w:rFonts w:ascii="Arial" w:hAnsi="Arial" w:cs="Arial"/>
                <w:sz w:val="16"/>
                <w:szCs w:val="16"/>
                <w:lang w:eastAsia="es-AR"/>
              </w:rPr>
            </w:pPr>
          </w:p>
        </w:tc>
        <w:tc>
          <w:tcPr>
            <w:tcW w:w="931" w:type="dxa"/>
            <w:tcBorders>
              <w:top w:val="nil"/>
              <w:left w:val="nil"/>
              <w:bottom w:val="nil"/>
              <w:right w:val="nil"/>
            </w:tcBorders>
            <w:shd w:val="clear" w:color="auto" w:fill="auto"/>
            <w:noWrap/>
            <w:vAlign w:val="center"/>
          </w:tcPr>
          <w:p w14:paraId="23600185" w14:textId="77777777" w:rsidR="00E91468" w:rsidRPr="00C9200A" w:rsidRDefault="00E91468" w:rsidP="00E91468">
            <w:pPr>
              <w:jc w:val="right"/>
              <w:rPr>
                <w:rFonts w:ascii="Arial" w:hAnsi="Arial" w:cs="Arial"/>
                <w:sz w:val="16"/>
                <w:szCs w:val="16"/>
                <w:lang w:eastAsia="es-AR"/>
              </w:rPr>
            </w:pPr>
          </w:p>
        </w:tc>
        <w:tc>
          <w:tcPr>
            <w:tcW w:w="957" w:type="dxa"/>
            <w:tcBorders>
              <w:top w:val="nil"/>
              <w:left w:val="nil"/>
              <w:bottom w:val="nil"/>
              <w:right w:val="nil"/>
            </w:tcBorders>
            <w:shd w:val="clear" w:color="auto" w:fill="auto"/>
            <w:noWrap/>
            <w:vAlign w:val="center"/>
          </w:tcPr>
          <w:p w14:paraId="35270F21" w14:textId="77777777" w:rsidR="00E91468" w:rsidRPr="00C9200A" w:rsidRDefault="00E91468" w:rsidP="00E91468">
            <w:pPr>
              <w:jc w:val="right"/>
              <w:rPr>
                <w:rFonts w:ascii="Arial" w:hAnsi="Arial" w:cs="Arial"/>
                <w:sz w:val="16"/>
                <w:szCs w:val="16"/>
                <w:lang w:eastAsia="es-AR"/>
              </w:rPr>
            </w:pPr>
          </w:p>
        </w:tc>
        <w:tc>
          <w:tcPr>
            <w:tcW w:w="981" w:type="dxa"/>
            <w:tcBorders>
              <w:top w:val="nil"/>
              <w:left w:val="nil"/>
              <w:bottom w:val="nil"/>
              <w:right w:val="nil"/>
            </w:tcBorders>
            <w:shd w:val="clear" w:color="auto" w:fill="auto"/>
            <w:noWrap/>
            <w:vAlign w:val="center"/>
          </w:tcPr>
          <w:p w14:paraId="367C273A" w14:textId="77777777" w:rsidR="00E91468" w:rsidRPr="00C9200A" w:rsidRDefault="00E91468" w:rsidP="00E91468">
            <w:pPr>
              <w:jc w:val="right"/>
              <w:rPr>
                <w:rFonts w:ascii="Arial" w:hAnsi="Arial" w:cs="Arial"/>
                <w:sz w:val="16"/>
                <w:szCs w:val="16"/>
                <w:lang w:eastAsia="es-AR"/>
              </w:rPr>
            </w:pPr>
          </w:p>
        </w:tc>
        <w:tc>
          <w:tcPr>
            <w:tcW w:w="1030" w:type="dxa"/>
            <w:tcBorders>
              <w:top w:val="nil"/>
              <w:left w:val="nil"/>
              <w:bottom w:val="nil"/>
              <w:right w:val="nil"/>
            </w:tcBorders>
            <w:shd w:val="clear" w:color="auto" w:fill="auto"/>
            <w:noWrap/>
            <w:vAlign w:val="center"/>
          </w:tcPr>
          <w:p w14:paraId="53F9A56D" w14:textId="77777777" w:rsidR="00E91468" w:rsidRPr="00C9200A" w:rsidRDefault="00E91468" w:rsidP="00E91468">
            <w:pPr>
              <w:jc w:val="right"/>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tcPr>
          <w:p w14:paraId="2B4C19C5" w14:textId="77777777" w:rsidR="00E91468" w:rsidRPr="00C9200A" w:rsidRDefault="00E91468" w:rsidP="00E91468">
            <w:pPr>
              <w:jc w:val="right"/>
              <w:rPr>
                <w:rFonts w:ascii="Arial" w:hAnsi="Arial" w:cs="Arial"/>
                <w:sz w:val="16"/>
                <w:szCs w:val="16"/>
                <w:lang w:eastAsia="es-AR"/>
              </w:rPr>
            </w:pPr>
          </w:p>
        </w:tc>
        <w:tc>
          <w:tcPr>
            <w:tcW w:w="1310" w:type="dxa"/>
            <w:gridSpan w:val="2"/>
            <w:tcBorders>
              <w:top w:val="nil"/>
              <w:left w:val="nil"/>
              <w:bottom w:val="nil"/>
              <w:right w:val="nil"/>
            </w:tcBorders>
            <w:shd w:val="clear" w:color="auto" w:fill="auto"/>
            <w:noWrap/>
            <w:vAlign w:val="center"/>
          </w:tcPr>
          <w:p w14:paraId="218565DF" w14:textId="77777777" w:rsidR="00E91468" w:rsidRPr="00C9200A" w:rsidRDefault="00E91468" w:rsidP="00E91468">
            <w:pPr>
              <w:jc w:val="right"/>
              <w:rPr>
                <w:rFonts w:ascii="Arial" w:hAnsi="Arial" w:cs="Arial"/>
                <w:sz w:val="16"/>
                <w:szCs w:val="16"/>
                <w:lang w:eastAsia="es-AR"/>
              </w:rPr>
            </w:pPr>
          </w:p>
        </w:tc>
      </w:tr>
      <w:tr w:rsidR="00E91468" w:rsidRPr="00C9200A" w14:paraId="4DA6B0D8" w14:textId="77777777" w:rsidTr="00886AE1">
        <w:trPr>
          <w:trHeight w:val="300"/>
        </w:trPr>
        <w:tc>
          <w:tcPr>
            <w:tcW w:w="4980" w:type="dxa"/>
            <w:tcBorders>
              <w:top w:val="nil"/>
              <w:left w:val="nil"/>
              <w:bottom w:val="nil"/>
              <w:right w:val="nil"/>
            </w:tcBorders>
            <w:shd w:val="clear" w:color="auto" w:fill="auto"/>
          </w:tcPr>
          <w:p w14:paraId="73B6C5B6" w14:textId="4CDB2729" w:rsidR="00E91468" w:rsidRPr="00C9200A" w:rsidRDefault="00E91468" w:rsidP="00E91468">
            <w:pPr>
              <w:rPr>
                <w:rFonts w:ascii="Arial" w:hAnsi="Arial" w:cs="Arial"/>
                <w:sz w:val="16"/>
                <w:szCs w:val="16"/>
                <w:lang w:eastAsia="es-AR"/>
              </w:rPr>
            </w:pPr>
            <w:r w:rsidRPr="00C9200A">
              <w:rPr>
                <w:rFonts w:ascii="Arial" w:hAnsi="Arial" w:cs="Arial"/>
                <w:sz w:val="16"/>
                <w:szCs w:val="16"/>
                <w:lang w:eastAsia="es-AR"/>
              </w:rPr>
              <w:t xml:space="preserve"> Reserva Legal</w:t>
            </w:r>
          </w:p>
        </w:tc>
        <w:tc>
          <w:tcPr>
            <w:tcW w:w="880" w:type="dxa"/>
            <w:tcBorders>
              <w:top w:val="nil"/>
              <w:left w:val="nil"/>
              <w:bottom w:val="nil"/>
              <w:right w:val="nil"/>
            </w:tcBorders>
            <w:shd w:val="clear" w:color="auto" w:fill="auto"/>
            <w:noWrap/>
          </w:tcPr>
          <w:p w14:paraId="45CBCF4D" w14:textId="77777777" w:rsidR="00E91468" w:rsidRPr="00C9200A" w:rsidRDefault="00E91468" w:rsidP="00E91468">
            <w:pPr>
              <w:rPr>
                <w:sz w:val="16"/>
                <w:szCs w:val="16"/>
                <w:lang w:eastAsia="es-AR"/>
              </w:rPr>
            </w:pPr>
          </w:p>
        </w:tc>
        <w:tc>
          <w:tcPr>
            <w:tcW w:w="1057" w:type="dxa"/>
            <w:tcBorders>
              <w:top w:val="nil"/>
              <w:left w:val="nil"/>
              <w:bottom w:val="nil"/>
              <w:right w:val="nil"/>
            </w:tcBorders>
            <w:shd w:val="clear" w:color="auto" w:fill="auto"/>
            <w:noWrap/>
            <w:vAlign w:val="center"/>
          </w:tcPr>
          <w:p w14:paraId="36DCA44D" w14:textId="11A9B1E1"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1271" w:type="dxa"/>
            <w:tcBorders>
              <w:top w:val="nil"/>
              <w:left w:val="nil"/>
              <w:bottom w:val="nil"/>
              <w:right w:val="nil"/>
            </w:tcBorders>
            <w:shd w:val="clear" w:color="auto" w:fill="auto"/>
            <w:noWrap/>
            <w:vAlign w:val="center"/>
          </w:tcPr>
          <w:p w14:paraId="4997E3F5" w14:textId="3619C16E"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931" w:type="dxa"/>
            <w:tcBorders>
              <w:top w:val="nil"/>
              <w:left w:val="nil"/>
              <w:bottom w:val="nil"/>
              <w:right w:val="nil"/>
            </w:tcBorders>
            <w:shd w:val="clear" w:color="auto" w:fill="auto"/>
            <w:noWrap/>
            <w:vAlign w:val="center"/>
          </w:tcPr>
          <w:p w14:paraId="6310FA81" w14:textId="151E77C0"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957" w:type="dxa"/>
            <w:tcBorders>
              <w:top w:val="nil"/>
              <w:left w:val="nil"/>
              <w:bottom w:val="nil"/>
              <w:right w:val="nil"/>
            </w:tcBorders>
            <w:shd w:val="clear" w:color="auto" w:fill="auto"/>
            <w:noWrap/>
            <w:vAlign w:val="center"/>
          </w:tcPr>
          <w:p w14:paraId="1D67122A" w14:textId="4CE4AB9C"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981" w:type="dxa"/>
            <w:tcBorders>
              <w:top w:val="nil"/>
              <w:left w:val="nil"/>
              <w:bottom w:val="nil"/>
              <w:right w:val="nil"/>
            </w:tcBorders>
            <w:shd w:val="clear" w:color="auto" w:fill="auto"/>
            <w:noWrap/>
            <w:vAlign w:val="center"/>
          </w:tcPr>
          <w:p w14:paraId="16308CEF" w14:textId="7887DCBE"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285.746</w:t>
            </w:r>
          </w:p>
        </w:tc>
        <w:tc>
          <w:tcPr>
            <w:tcW w:w="1030" w:type="dxa"/>
            <w:tcBorders>
              <w:top w:val="nil"/>
              <w:left w:val="nil"/>
              <w:bottom w:val="nil"/>
              <w:right w:val="nil"/>
            </w:tcBorders>
            <w:shd w:val="clear" w:color="auto" w:fill="auto"/>
            <w:noWrap/>
            <w:vAlign w:val="center"/>
          </w:tcPr>
          <w:p w14:paraId="5F9B5EBA" w14:textId="0F2C57F7"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1057" w:type="dxa"/>
            <w:tcBorders>
              <w:top w:val="nil"/>
              <w:left w:val="nil"/>
              <w:bottom w:val="nil"/>
              <w:right w:val="nil"/>
            </w:tcBorders>
            <w:shd w:val="clear" w:color="auto" w:fill="auto"/>
            <w:noWrap/>
            <w:vAlign w:val="center"/>
          </w:tcPr>
          <w:p w14:paraId="668DDE5C" w14:textId="6A0EAD0C"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-285.746</w:t>
            </w:r>
          </w:p>
        </w:tc>
        <w:tc>
          <w:tcPr>
            <w:tcW w:w="1310" w:type="dxa"/>
            <w:gridSpan w:val="2"/>
            <w:tcBorders>
              <w:top w:val="nil"/>
              <w:left w:val="nil"/>
              <w:bottom w:val="nil"/>
              <w:right w:val="nil"/>
            </w:tcBorders>
            <w:shd w:val="clear" w:color="auto" w:fill="auto"/>
            <w:noWrap/>
            <w:vAlign w:val="center"/>
          </w:tcPr>
          <w:p w14:paraId="6B9852A0" w14:textId="5011A017"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r>
      <w:tr w:rsidR="00E91468" w:rsidRPr="00C9200A" w14:paraId="281F7746" w14:textId="77777777" w:rsidTr="00886AE1">
        <w:trPr>
          <w:trHeight w:val="300"/>
        </w:trPr>
        <w:tc>
          <w:tcPr>
            <w:tcW w:w="4980" w:type="dxa"/>
            <w:tcBorders>
              <w:top w:val="nil"/>
              <w:left w:val="nil"/>
              <w:bottom w:val="nil"/>
              <w:right w:val="nil"/>
            </w:tcBorders>
            <w:shd w:val="clear" w:color="auto" w:fill="auto"/>
          </w:tcPr>
          <w:p w14:paraId="3363FB20" w14:textId="1744D611" w:rsidR="00E91468" w:rsidRPr="00C9200A" w:rsidRDefault="00E91468" w:rsidP="00E91468">
            <w:pPr>
              <w:rPr>
                <w:rFonts w:ascii="Arial" w:hAnsi="Arial" w:cs="Arial"/>
                <w:sz w:val="16"/>
                <w:szCs w:val="16"/>
                <w:lang w:eastAsia="es-AR"/>
              </w:rPr>
            </w:pPr>
            <w:r w:rsidRPr="00C9200A">
              <w:rPr>
                <w:rFonts w:ascii="Arial" w:hAnsi="Arial" w:cs="Arial"/>
                <w:sz w:val="16"/>
                <w:szCs w:val="16"/>
                <w:lang w:eastAsia="es-AR"/>
              </w:rPr>
              <w:t xml:space="preserve">  Otras</w:t>
            </w:r>
          </w:p>
        </w:tc>
        <w:tc>
          <w:tcPr>
            <w:tcW w:w="880" w:type="dxa"/>
            <w:tcBorders>
              <w:top w:val="nil"/>
              <w:left w:val="nil"/>
              <w:bottom w:val="nil"/>
              <w:right w:val="nil"/>
            </w:tcBorders>
            <w:shd w:val="clear" w:color="auto" w:fill="auto"/>
            <w:noWrap/>
          </w:tcPr>
          <w:p w14:paraId="1DA5C39C" w14:textId="77777777" w:rsidR="00E91468" w:rsidRPr="00C9200A" w:rsidRDefault="00E91468" w:rsidP="00E91468">
            <w:pPr>
              <w:rPr>
                <w:sz w:val="16"/>
                <w:szCs w:val="16"/>
                <w:lang w:eastAsia="es-AR"/>
              </w:rPr>
            </w:pPr>
          </w:p>
        </w:tc>
        <w:tc>
          <w:tcPr>
            <w:tcW w:w="1057" w:type="dxa"/>
            <w:tcBorders>
              <w:top w:val="nil"/>
              <w:left w:val="nil"/>
              <w:bottom w:val="nil"/>
              <w:right w:val="nil"/>
            </w:tcBorders>
            <w:shd w:val="clear" w:color="auto" w:fill="auto"/>
            <w:noWrap/>
            <w:vAlign w:val="center"/>
          </w:tcPr>
          <w:p w14:paraId="7B4DF662" w14:textId="4F37806D"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1271" w:type="dxa"/>
            <w:tcBorders>
              <w:top w:val="nil"/>
              <w:left w:val="nil"/>
              <w:bottom w:val="nil"/>
              <w:right w:val="nil"/>
            </w:tcBorders>
            <w:shd w:val="clear" w:color="auto" w:fill="auto"/>
            <w:noWrap/>
            <w:vAlign w:val="center"/>
          </w:tcPr>
          <w:p w14:paraId="78F20F13" w14:textId="1F46A8EC"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931" w:type="dxa"/>
            <w:tcBorders>
              <w:top w:val="nil"/>
              <w:left w:val="nil"/>
              <w:bottom w:val="nil"/>
              <w:right w:val="nil"/>
            </w:tcBorders>
            <w:shd w:val="clear" w:color="auto" w:fill="auto"/>
            <w:noWrap/>
            <w:vAlign w:val="center"/>
          </w:tcPr>
          <w:p w14:paraId="7939474E" w14:textId="74CB189C"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957" w:type="dxa"/>
            <w:tcBorders>
              <w:top w:val="nil"/>
              <w:left w:val="nil"/>
              <w:bottom w:val="nil"/>
              <w:right w:val="nil"/>
            </w:tcBorders>
            <w:shd w:val="clear" w:color="auto" w:fill="auto"/>
            <w:noWrap/>
            <w:vAlign w:val="center"/>
          </w:tcPr>
          <w:p w14:paraId="257181D6" w14:textId="2E7BFF53"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981" w:type="dxa"/>
            <w:tcBorders>
              <w:top w:val="nil"/>
              <w:left w:val="nil"/>
              <w:bottom w:val="nil"/>
              <w:right w:val="nil"/>
            </w:tcBorders>
            <w:shd w:val="clear" w:color="auto" w:fill="auto"/>
            <w:noWrap/>
            <w:vAlign w:val="center"/>
          </w:tcPr>
          <w:p w14:paraId="0E8EA405" w14:textId="65FEE74B"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1030" w:type="dxa"/>
            <w:tcBorders>
              <w:top w:val="nil"/>
              <w:left w:val="nil"/>
              <w:bottom w:val="nil"/>
              <w:right w:val="nil"/>
            </w:tcBorders>
            <w:shd w:val="clear" w:color="auto" w:fill="auto"/>
            <w:noWrap/>
            <w:vAlign w:val="center"/>
          </w:tcPr>
          <w:p w14:paraId="11370CEA" w14:textId="304BB139"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1.142.982</w:t>
            </w:r>
          </w:p>
        </w:tc>
        <w:tc>
          <w:tcPr>
            <w:tcW w:w="1057" w:type="dxa"/>
            <w:tcBorders>
              <w:top w:val="nil"/>
              <w:left w:val="nil"/>
              <w:bottom w:val="nil"/>
              <w:right w:val="nil"/>
            </w:tcBorders>
            <w:shd w:val="clear" w:color="auto" w:fill="auto"/>
            <w:noWrap/>
            <w:vAlign w:val="center"/>
          </w:tcPr>
          <w:p w14:paraId="07F73039" w14:textId="49B1EF37"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-1.142.982</w:t>
            </w:r>
          </w:p>
        </w:tc>
        <w:tc>
          <w:tcPr>
            <w:tcW w:w="1310" w:type="dxa"/>
            <w:gridSpan w:val="2"/>
            <w:tcBorders>
              <w:top w:val="nil"/>
              <w:left w:val="nil"/>
              <w:bottom w:val="nil"/>
              <w:right w:val="nil"/>
            </w:tcBorders>
            <w:shd w:val="clear" w:color="auto" w:fill="auto"/>
            <w:noWrap/>
            <w:vAlign w:val="center"/>
          </w:tcPr>
          <w:p w14:paraId="3101AB90" w14:textId="4A32E726"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r>
      <w:tr w:rsidR="008E201C" w:rsidRPr="00C9200A" w14:paraId="5AB27AE9" w14:textId="77777777" w:rsidTr="00886AE1">
        <w:trPr>
          <w:trHeight w:val="300"/>
        </w:trPr>
        <w:tc>
          <w:tcPr>
            <w:tcW w:w="4980" w:type="dxa"/>
            <w:tcBorders>
              <w:top w:val="nil"/>
              <w:left w:val="nil"/>
              <w:bottom w:val="nil"/>
              <w:right w:val="nil"/>
            </w:tcBorders>
            <w:shd w:val="clear" w:color="auto" w:fill="auto"/>
          </w:tcPr>
          <w:p w14:paraId="06592DEB" w14:textId="2C199371" w:rsidR="008E201C" w:rsidRPr="00C9200A" w:rsidRDefault="008E201C" w:rsidP="00E91468">
            <w:pPr>
              <w:rPr>
                <w:rFonts w:ascii="Arial" w:hAnsi="Arial" w:cs="Arial"/>
                <w:sz w:val="16"/>
                <w:szCs w:val="16"/>
                <w:lang w:eastAsia="es-AR"/>
              </w:rPr>
            </w:pPr>
            <w:r w:rsidRPr="008E201C">
              <w:rPr>
                <w:rFonts w:ascii="Arial" w:hAnsi="Arial" w:cs="Arial"/>
                <w:sz w:val="16"/>
                <w:szCs w:val="16"/>
                <w:lang w:eastAsia="es-AR"/>
              </w:rPr>
              <w:t>- Aportes irrevocables para futuros aumentos de cap</w:t>
            </w:r>
            <w:r>
              <w:rPr>
                <w:rFonts w:ascii="Arial" w:hAnsi="Arial" w:cs="Arial"/>
                <w:sz w:val="16"/>
                <w:szCs w:val="16"/>
                <w:lang w:eastAsia="es-AR"/>
              </w:rPr>
              <w:t>ital</w:t>
            </w:r>
            <w:r w:rsidRPr="008E201C">
              <w:rPr>
                <w:rFonts w:ascii="Arial" w:hAnsi="Arial" w:cs="Arial"/>
                <w:sz w:val="16"/>
                <w:szCs w:val="16"/>
                <w:lang w:eastAsia="es-AR"/>
              </w:rPr>
              <w:t xml:space="preserve"> recibidos durante el ejercicio</w:t>
            </w:r>
          </w:p>
        </w:tc>
        <w:tc>
          <w:tcPr>
            <w:tcW w:w="880" w:type="dxa"/>
            <w:tcBorders>
              <w:top w:val="nil"/>
              <w:left w:val="nil"/>
              <w:bottom w:val="nil"/>
              <w:right w:val="nil"/>
            </w:tcBorders>
            <w:shd w:val="clear" w:color="auto" w:fill="auto"/>
            <w:noWrap/>
          </w:tcPr>
          <w:p w14:paraId="26435289" w14:textId="77777777" w:rsidR="008E201C" w:rsidRPr="00C9200A" w:rsidRDefault="008E201C" w:rsidP="00E91468">
            <w:pPr>
              <w:rPr>
                <w:sz w:val="16"/>
                <w:szCs w:val="16"/>
                <w:lang w:eastAsia="es-AR"/>
              </w:rPr>
            </w:pPr>
          </w:p>
        </w:tc>
        <w:tc>
          <w:tcPr>
            <w:tcW w:w="1057" w:type="dxa"/>
            <w:tcBorders>
              <w:top w:val="nil"/>
              <w:left w:val="nil"/>
              <w:bottom w:val="nil"/>
              <w:right w:val="nil"/>
            </w:tcBorders>
            <w:shd w:val="clear" w:color="auto" w:fill="auto"/>
            <w:noWrap/>
            <w:vAlign w:val="center"/>
          </w:tcPr>
          <w:p w14:paraId="7FC21427" w14:textId="04B81F00" w:rsidR="008E201C" w:rsidRPr="00C9200A" w:rsidRDefault="008E201C" w:rsidP="00E91468">
            <w:pPr>
              <w:jc w:val="right"/>
              <w:rPr>
                <w:rFonts w:ascii="Arial" w:hAnsi="Arial" w:cs="Arial"/>
                <w:sz w:val="16"/>
                <w:szCs w:val="16"/>
                <w:lang w:eastAsia="es-AR"/>
              </w:rPr>
            </w:pPr>
            <w:r w:rsidRPr="008E201C">
              <w:rPr>
                <w:rFonts w:ascii="Arial" w:hAnsi="Arial" w:cs="Arial"/>
                <w:sz w:val="16"/>
                <w:szCs w:val="16"/>
                <w:lang w:eastAsia="es-AR"/>
              </w:rPr>
              <w:t>36.887</w:t>
            </w:r>
          </w:p>
        </w:tc>
        <w:tc>
          <w:tcPr>
            <w:tcW w:w="1271" w:type="dxa"/>
            <w:tcBorders>
              <w:top w:val="nil"/>
              <w:left w:val="nil"/>
              <w:bottom w:val="nil"/>
              <w:right w:val="nil"/>
            </w:tcBorders>
            <w:shd w:val="clear" w:color="auto" w:fill="auto"/>
            <w:noWrap/>
            <w:vAlign w:val="center"/>
          </w:tcPr>
          <w:p w14:paraId="538C19D2" w14:textId="42144B4A" w:rsidR="008E201C" w:rsidRPr="00C9200A" w:rsidRDefault="008E201C" w:rsidP="00E91468">
            <w:pPr>
              <w:jc w:val="right"/>
              <w:rPr>
                <w:rFonts w:ascii="Arial" w:hAnsi="Arial" w:cs="Arial"/>
                <w:sz w:val="16"/>
                <w:szCs w:val="16"/>
                <w:lang w:eastAsia="es-AR"/>
              </w:rPr>
            </w:pPr>
            <w:r w:rsidRPr="008E201C">
              <w:rPr>
                <w:rFonts w:ascii="Arial" w:hAnsi="Arial" w:cs="Arial"/>
                <w:sz w:val="16"/>
                <w:szCs w:val="16"/>
                <w:lang w:eastAsia="es-AR"/>
              </w:rPr>
              <w:t>963.113</w:t>
            </w:r>
          </w:p>
        </w:tc>
        <w:tc>
          <w:tcPr>
            <w:tcW w:w="931" w:type="dxa"/>
            <w:tcBorders>
              <w:top w:val="nil"/>
              <w:left w:val="nil"/>
              <w:bottom w:val="nil"/>
              <w:right w:val="nil"/>
            </w:tcBorders>
            <w:shd w:val="clear" w:color="auto" w:fill="auto"/>
            <w:noWrap/>
            <w:vAlign w:val="center"/>
          </w:tcPr>
          <w:p w14:paraId="40C77EA8" w14:textId="1F9925D5" w:rsidR="008E201C" w:rsidRPr="00C9200A" w:rsidRDefault="008E201C" w:rsidP="00E91468">
            <w:pPr>
              <w:jc w:val="right"/>
              <w:rPr>
                <w:rFonts w:ascii="Arial" w:hAnsi="Arial" w:cs="Arial"/>
                <w:sz w:val="16"/>
                <w:szCs w:val="16"/>
                <w:lang w:eastAsia="es-AR"/>
              </w:rPr>
            </w:pPr>
            <w:r>
              <w:rPr>
                <w:rFonts w:ascii="Arial" w:hAnsi="Arial" w:cs="Arial"/>
                <w:sz w:val="16"/>
                <w:szCs w:val="16"/>
                <w:lang w:eastAsia="es-AR"/>
              </w:rPr>
              <w:t>-</w:t>
            </w:r>
          </w:p>
        </w:tc>
        <w:tc>
          <w:tcPr>
            <w:tcW w:w="957" w:type="dxa"/>
            <w:tcBorders>
              <w:top w:val="nil"/>
              <w:left w:val="nil"/>
              <w:bottom w:val="nil"/>
              <w:right w:val="nil"/>
            </w:tcBorders>
            <w:shd w:val="clear" w:color="auto" w:fill="auto"/>
            <w:noWrap/>
            <w:vAlign w:val="center"/>
          </w:tcPr>
          <w:p w14:paraId="4052C60D" w14:textId="514D2EF3" w:rsidR="008E201C" w:rsidRPr="00C9200A" w:rsidRDefault="008E201C" w:rsidP="00E91468">
            <w:pPr>
              <w:jc w:val="right"/>
              <w:rPr>
                <w:rFonts w:ascii="Arial" w:hAnsi="Arial" w:cs="Arial"/>
                <w:sz w:val="16"/>
                <w:szCs w:val="16"/>
                <w:lang w:eastAsia="es-AR"/>
              </w:rPr>
            </w:pPr>
            <w:r>
              <w:rPr>
                <w:rFonts w:ascii="Arial" w:hAnsi="Arial" w:cs="Arial"/>
                <w:sz w:val="16"/>
                <w:szCs w:val="16"/>
                <w:lang w:eastAsia="es-AR"/>
              </w:rPr>
              <w:t>-</w:t>
            </w:r>
          </w:p>
        </w:tc>
        <w:tc>
          <w:tcPr>
            <w:tcW w:w="981" w:type="dxa"/>
            <w:tcBorders>
              <w:top w:val="nil"/>
              <w:left w:val="nil"/>
              <w:bottom w:val="nil"/>
              <w:right w:val="nil"/>
            </w:tcBorders>
            <w:shd w:val="clear" w:color="auto" w:fill="auto"/>
            <w:noWrap/>
            <w:vAlign w:val="center"/>
          </w:tcPr>
          <w:p w14:paraId="4284C474" w14:textId="190F0090" w:rsidR="008E201C" w:rsidRPr="00C9200A" w:rsidRDefault="008E201C" w:rsidP="00E91468">
            <w:pPr>
              <w:jc w:val="right"/>
              <w:rPr>
                <w:rFonts w:ascii="Arial" w:hAnsi="Arial" w:cs="Arial"/>
                <w:sz w:val="16"/>
                <w:szCs w:val="16"/>
                <w:lang w:eastAsia="es-AR"/>
              </w:rPr>
            </w:pPr>
            <w:r>
              <w:rPr>
                <w:rFonts w:ascii="Arial" w:hAnsi="Arial" w:cs="Arial"/>
                <w:sz w:val="16"/>
                <w:szCs w:val="16"/>
                <w:lang w:eastAsia="es-AR"/>
              </w:rPr>
              <w:t>-</w:t>
            </w:r>
          </w:p>
        </w:tc>
        <w:tc>
          <w:tcPr>
            <w:tcW w:w="1030" w:type="dxa"/>
            <w:tcBorders>
              <w:top w:val="nil"/>
              <w:left w:val="nil"/>
              <w:bottom w:val="nil"/>
              <w:right w:val="nil"/>
            </w:tcBorders>
            <w:shd w:val="clear" w:color="auto" w:fill="auto"/>
            <w:noWrap/>
            <w:vAlign w:val="center"/>
          </w:tcPr>
          <w:p w14:paraId="7A7166E9" w14:textId="6F955772" w:rsidR="008E201C" w:rsidRPr="00C9200A" w:rsidRDefault="008E201C" w:rsidP="00E91468">
            <w:pPr>
              <w:jc w:val="right"/>
              <w:rPr>
                <w:rFonts w:ascii="Arial" w:hAnsi="Arial" w:cs="Arial"/>
                <w:sz w:val="16"/>
                <w:szCs w:val="16"/>
                <w:lang w:eastAsia="es-AR"/>
              </w:rPr>
            </w:pPr>
            <w:r>
              <w:rPr>
                <w:rFonts w:ascii="Arial" w:hAnsi="Arial" w:cs="Arial"/>
                <w:sz w:val="16"/>
                <w:szCs w:val="16"/>
                <w:lang w:eastAsia="es-AR"/>
              </w:rPr>
              <w:t>-</w:t>
            </w:r>
          </w:p>
        </w:tc>
        <w:tc>
          <w:tcPr>
            <w:tcW w:w="1057" w:type="dxa"/>
            <w:tcBorders>
              <w:top w:val="nil"/>
              <w:left w:val="nil"/>
              <w:bottom w:val="nil"/>
              <w:right w:val="nil"/>
            </w:tcBorders>
            <w:shd w:val="clear" w:color="auto" w:fill="auto"/>
            <w:noWrap/>
            <w:vAlign w:val="center"/>
          </w:tcPr>
          <w:p w14:paraId="6B85F180" w14:textId="4F48A706" w:rsidR="008E201C" w:rsidRPr="00C9200A" w:rsidRDefault="008E201C" w:rsidP="00E91468">
            <w:pPr>
              <w:jc w:val="right"/>
              <w:rPr>
                <w:rFonts w:ascii="Arial" w:hAnsi="Arial" w:cs="Arial"/>
                <w:sz w:val="16"/>
                <w:szCs w:val="16"/>
                <w:lang w:eastAsia="es-AR"/>
              </w:rPr>
            </w:pPr>
            <w:r>
              <w:rPr>
                <w:rFonts w:ascii="Arial" w:hAnsi="Arial" w:cs="Arial"/>
                <w:sz w:val="16"/>
                <w:szCs w:val="16"/>
                <w:lang w:eastAsia="es-AR"/>
              </w:rPr>
              <w:t>-</w:t>
            </w:r>
          </w:p>
        </w:tc>
        <w:tc>
          <w:tcPr>
            <w:tcW w:w="1310" w:type="dxa"/>
            <w:gridSpan w:val="2"/>
            <w:tcBorders>
              <w:top w:val="nil"/>
              <w:left w:val="nil"/>
              <w:bottom w:val="nil"/>
              <w:right w:val="nil"/>
            </w:tcBorders>
            <w:shd w:val="clear" w:color="auto" w:fill="auto"/>
            <w:noWrap/>
            <w:vAlign w:val="center"/>
          </w:tcPr>
          <w:p w14:paraId="0C8EBB42" w14:textId="458E753F" w:rsidR="008E201C" w:rsidRPr="00C9200A" w:rsidRDefault="008E201C" w:rsidP="00E91468">
            <w:pPr>
              <w:jc w:val="right"/>
              <w:rPr>
                <w:rFonts w:ascii="Arial" w:hAnsi="Arial" w:cs="Arial"/>
                <w:sz w:val="16"/>
                <w:szCs w:val="16"/>
                <w:lang w:eastAsia="es-AR"/>
              </w:rPr>
            </w:pPr>
            <w:r>
              <w:rPr>
                <w:rFonts w:ascii="Arial" w:hAnsi="Arial" w:cs="Arial"/>
                <w:sz w:val="16"/>
                <w:szCs w:val="16"/>
                <w:lang w:eastAsia="es-AR"/>
              </w:rPr>
              <w:t>1.000.000</w:t>
            </w:r>
          </w:p>
        </w:tc>
      </w:tr>
      <w:tr w:rsidR="00E91468" w:rsidRPr="00C9200A" w14:paraId="7A812E03" w14:textId="77777777" w:rsidTr="00886AE1">
        <w:trPr>
          <w:trHeight w:val="300"/>
        </w:trPr>
        <w:tc>
          <w:tcPr>
            <w:tcW w:w="4980" w:type="dxa"/>
            <w:tcBorders>
              <w:top w:val="nil"/>
              <w:left w:val="nil"/>
              <w:bottom w:val="nil"/>
              <w:right w:val="nil"/>
            </w:tcBorders>
            <w:shd w:val="clear" w:color="auto" w:fill="auto"/>
          </w:tcPr>
          <w:p w14:paraId="5BC618D5" w14:textId="63C02BAF" w:rsidR="00E91468" w:rsidRPr="00C9200A" w:rsidRDefault="00E91468" w:rsidP="00E91468">
            <w:pPr>
              <w:rPr>
                <w:rFonts w:ascii="Arial" w:hAnsi="Arial" w:cs="Arial"/>
                <w:sz w:val="16"/>
                <w:szCs w:val="16"/>
                <w:lang w:eastAsia="es-AR"/>
              </w:rPr>
            </w:pPr>
            <w:r w:rsidRPr="00C9200A">
              <w:rPr>
                <w:rFonts w:ascii="Arial" w:hAnsi="Arial" w:cs="Arial"/>
                <w:sz w:val="16"/>
                <w:szCs w:val="16"/>
                <w:lang w:eastAsia="es-AR"/>
              </w:rPr>
              <w:t>- Capitalización de aportes irrevocables</w:t>
            </w:r>
          </w:p>
        </w:tc>
        <w:tc>
          <w:tcPr>
            <w:tcW w:w="880" w:type="dxa"/>
            <w:tcBorders>
              <w:top w:val="nil"/>
              <w:left w:val="nil"/>
              <w:bottom w:val="nil"/>
              <w:right w:val="nil"/>
            </w:tcBorders>
            <w:shd w:val="clear" w:color="auto" w:fill="auto"/>
            <w:noWrap/>
          </w:tcPr>
          <w:p w14:paraId="59B37B6B" w14:textId="77777777" w:rsidR="00E91468" w:rsidRPr="00C9200A" w:rsidRDefault="00E91468" w:rsidP="00E91468">
            <w:pPr>
              <w:rPr>
                <w:sz w:val="16"/>
                <w:szCs w:val="16"/>
                <w:lang w:eastAsia="es-AR"/>
              </w:rPr>
            </w:pPr>
          </w:p>
        </w:tc>
        <w:tc>
          <w:tcPr>
            <w:tcW w:w="1057" w:type="dxa"/>
            <w:tcBorders>
              <w:top w:val="nil"/>
              <w:left w:val="nil"/>
              <w:bottom w:val="nil"/>
              <w:right w:val="nil"/>
            </w:tcBorders>
            <w:shd w:val="clear" w:color="auto" w:fill="auto"/>
            <w:noWrap/>
            <w:vAlign w:val="center"/>
          </w:tcPr>
          <w:p w14:paraId="5592A21E" w14:textId="11B7CF30"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27.579</w:t>
            </w:r>
          </w:p>
        </w:tc>
        <w:tc>
          <w:tcPr>
            <w:tcW w:w="1271" w:type="dxa"/>
            <w:tcBorders>
              <w:top w:val="nil"/>
              <w:left w:val="nil"/>
              <w:bottom w:val="nil"/>
              <w:right w:val="nil"/>
            </w:tcBorders>
            <w:shd w:val="clear" w:color="auto" w:fill="auto"/>
            <w:noWrap/>
            <w:vAlign w:val="center"/>
          </w:tcPr>
          <w:p w14:paraId="75624877" w14:textId="1B2CEA2E"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833.416</w:t>
            </w:r>
          </w:p>
        </w:tc>
        <w:tc>
          <w:tcPr>
            <w:tcW w:w="931" w:type="dxa"/>
            <w:tcBorders>
              <w:top w:val="nil"/>
              <w:left w:val="nil"/>
              <w:bottom w:val="nil"/>
              <w:right w:val="nil"/>
            </w:tcBorders>
            <w:shd w:val="clear" w:color="auto" w:fill="auto"/>
            <w:noWrap/>
            <w:vAlign w:val="center"/>
          </w:tcPr>
          <w:p w14:paraId="5682E8D4" w14:textId="2520A701"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957" w:type="dxa"/>
            <w:tcBorders>
              <w:top w:val="nil"/>
              <w:left w:val="nil"/>
              <w:bottom w:val="nil"/>
              <w:right w:val="nil"/>
            </w:tcBorders>
            <w:shd w:val="clear" w:color="auto" w:fill="auto"/>
            <w:noWrap/>
            <w:vAlign w:val="center"/>
          </w:tcPr>
          <w:p w14:paraId="772AE08F" w14:textId="70B38D61"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981" w:type="dxa"/>
            <w:tcBorders>
              <w:top w:val="nil"/>
              <w:left w:val="nil"/>
              <w:bottom w:val="nil"/>
              <w:right w:val="nil"/>
            </w:tcBorders>
            <w:shd w:val="clear" w:color="auto" w:fill="auto"/>
            <w:noWrap/>
            <w:vAlign w:val="center"/>
          </w:tcPr>
          <w:p w14:paraId="42F5BC18" w14:textId="3343AF09"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1030" w:type="dxa"/>
            <w:tcBorders>
              <w:top w:val="nil"/>
              <w:left w:val="nil"/>
              <w:bottom w:val="nil"/>
              <w:right w:val="nil"/>
            </w:tcBorders>
            <w:shd w:val="clear" w:color="auto" w:fill="auto"/>
            <w:noWrap/>
            <w:vAlign w:val="center"/>
          </w:tcPr>
          <w:p w14:paraId="683DBF28" w14:textId="469EBC38"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w:t>
            </w:r>
          </w:p>
        </w:tc>
        <w:tc>
          <w:tcPr>
            <w:tcW w:w="1057" w:type="dxa"/>
            <w:tcBorders>
              <w:top w:val="nil"/>
              <w:left w:val="nil"/>
              <w:bottom w:val="nil"/>
              <w:right w:val="nil"/>
            </w:tcBorders>
            <w:shd w:val="clear" w:color="auto" w:fill="auto"/>
            <w:noWrap/>
            <w:vAlign w:val="center"/>
          </w:tcPr>
          <w:p w14:paraId="23DB4497" w14:textId="52A782EA"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5</w:t>
            </w:r>
          </w:p>
        </w:tc>
        <w:tc>
          <w:tcPr>
            <w:tcW w:w="1310" w:type="dxa"/>
            <w:gridSpan w:val="2"/>
            <w:tcBorders>
              <w:top w:val="nil"/>
              <w:left w:val="nil"/>
              <w:bottom w:val="nil"/>
              <w:right w:val="nil"/>
            </w:tcBorders>
            <w:shd w:val="clear" w:color="auto" w:fill="auto"/>
            <w:noWrap/>
            <w:vAlign w:val="center"/>
          </w:tcPr>
          <w:p w14:paraId="2DE30D47" w14:textId="02E27EB9" w:rsidR="00E91468" w:rsidRPr="00C9200A" w:rsidRDefault="00E91468" w:rsidP="00E91468">
            <w:pPr>
              <w:jc w:val="right"/>
              <w:rPr>
                <w:rFonts w:ascii="Arial" w:hAnsi="Arial" w:cs="Arial"/>
                <w:sz w:val="16"/>
                <w:szCs w:val="16"/>
                <w:lang w:eastAsia="es-AR"/>
              </w:rPr>
            </w:pPr>
            <w:r w:rsidRPr="00C9200A">
              <w:rPr>
                <w:rFonts w:ascii="Arial" w:hAnsi="Arial" w:cs="Arial"/>
                <w:sz w:val="16"/>
                <w:szCs w:val="16"/>
                <w:lang w:eastAsia="es-AR"/>
              </w:rPr>
              <w:t>861.000</w:t>
            </w:r>
          </w:p>
        </w:tc>
      </w:tr>
      <w:tr w:rsidR="00E91468" w:rsidRPr="00C9200A" w14:paraId="0537313D" w14:textId="77777777" w:rsidTr="00557382">
        <w:trPr>
          <w:trHeight w:val="204"/>
        </w:trPr>
        <w:tc>
          <w:tcPr>
            <w:tcW w:w="4980" w:type="dxa"/>
            <w:tcBorders>
              <w:top w:val="nil"/>
              <w:left w:val="nil"/>
              <w:bottom w:val="nil"/>
              <w:right w:val="nil"/>
            </w:tcBorders>
            <w:shd w:val="clear" w:color="auto" w:fill="auto"/>
            <w:hideMark/>
          </w:tcPr>
          <w:p w14:paraId="2BD6D626" w14:textId="77777777" w:rsidR="00E91468" w:rsidRPr="00C9200A" w:rsidRDefault="00E91468" w:rsidP="00E91468">
            <w:pPr>
              <w:rPr>
                <w:rFonts w:ascii="Arial" w:hAnsi="Arial" w:cs="Arial"/>
                <w:sz w:val="16"/>
                <w:szCs w:val="16"/>
                <w:lang w:eastAsia="es-AR"/>
              </w:rPr>
            </w:pPr>
          </w:p>
        </w:tc>
        <w:tc>
          <w:tcPr>
            <w:tcW w:w="880" w:type="dxa"/>
            <w:tcBorders>
              <w:top w:val="nil"/>
              <w:left w:val="nil"/>
              <w:bottom w:val="nil"/>
              <w:right w:val="nil"/>
            </w:tcBorders>
            <w:shd w:val="clear" w:color="auto" w:fill="auto"/>
            <w:noWrap/>
            <w:hideMark/>
          </w:tcPr>
          <w:p w14:paraId="6BE2345D" w14:textId="77777777" w:rsidR="00E91468" w:rsidRPr="00C9200A" w:rsidRDefault="00E91468" w:rsidP="00E91468">
            <w:pPr>
              <w:rPr>
                <w:sz w:val="16"/>
                <w:szCs w:val="16"/>
                <w:lang w:eastAsia="es-AR"/>
              </w:rPr>
            </w:pPr>
          </w:p>
        </w:tc>
        <w:tc>
          <w:tcPr>
            <w:tcW w:w="1057" w:type="dxa"/>
            <w:tcBorders>
              <w:top w:val="nil"/>
              <w:left w:val="nil"/>
              <w:bottom w:val="nil"/>
              <w:right w:val="nil"/>
            </w:tcBorders>
            <w:shd w:val="clear" w:color="auto" w:fill="auto"/>
            <w:noWrap/>
            <w:vAlign w:val="center"/>
            <w:hideMark/>
          </w:tcPr>
          <w:p w14:paraId="5FFFB557" w14:textId="77777777" w:rsidR="00E91468" w:rsidRPr="00C9200A" w:rsidRDefault="00E91468" w:rsidP="00E91468">
            <w:pPr>
              <w:jc w:val="right"/>
              <w:rPr>
                <w:rFonts w:ascii="Arial" w:hAnsi="Arial" w:cs="Arial"/>
                <w:sz w:val="16"/>
                <w:szCs w:val="16"/>
                <w:lang w:eastAsia="es-AR"/>
              </w:rPr>
            </w:pPr>
          </w:p>
        </w:tc>
        <w:tc>
          <w:tcPr>
            <w:tcW w:w="1271" w:type="dxa"/>
            <w:tcBorders>
              <w:top w:val="nil"/>
              <w:left w:val="nil"/>
              <w:bottom w:val="nil"/>
              <w:right w:val="nil"/>
            </w:tcBorders>
            <w:shd w:val="clear" w:color="auto" w:fill="auto"/>
            <w:noWrap/>
            <w:vAlign w:val="center"/>
            <w:hideMark/>
          </w:tcPr>
          <w:p w14:paraId="6FDCB7A0" w14:textId="77777777" w:rsidR="00E91468" w:rsidRPr="00C9200A" w:rsidRDefault="00E91468" w:rsidP="00E91468">
            <w:pPr>
              <w:jc w:val="right"/>
              <w:rPr>
                <w:rFonts w:ascii="Arial" w:hAnsi="Arial" w:cs="Arial"/>
                <w:sz w:val="16"/>
                <w:szCs w:val="16"/>
                <w:lang w:eastAsia="es-AR"/>
              </w:rPr>
            </w:pPr>
          </w:p>
        </w:tc>
        <w:tc>
          <w:tcPr>
            <w:tcW w:w="931" w:type="dxa"/>
            <w:tcBorders>
              <w:top w:val="nil"/>
              <w:left w:val="nil"/>
              <w:bottom w:val="nil"/>
              <w:right w:val="nil"/>
            </w:tcBorders>
            <w:shd w:val="clear" w:color="auto" w:fill="auto"/>
            <w:noWrap/>
            <w:vAlign w:val="center"/>
          </w:tcPr>
          <w:p w14:paraId="017D59FC" w14:textId="77777777" w:rsidR="00E91468" w:rsidRPr="00C9200A" w:rsidRDefault="00E91468" w:rsidP="00E91468">
            <w:pPr>
              <w:jc w:val="right"/>
              <w:rPr>
                <w:rFonts w:ascii="Arial" w:hAnsi="Arial" w:cs="Arial"/>
                <w:sz w:val="16"/>
                <w:szCs w:val="16"/>
                <w:lang w:eastAsia="es-AR"/>
              </w:rPr>
            </w:pPr>
          </w:p>
        </w:tc>
        <w:tc>
          <w:tcPr>
            <w:tcW w:w="957" w:type="dxa"/>
            <w:tcBorders>
              <w:top w:val="nil"/>
              <w:left w:val="nil"/>
              <w:bottom w:val="nil"/>
              <w:right w:val="nil"/>
            </w:tcBorders>
            <w:shd w:val="clear" w:color="auto" w:fill="auto"/>
            <w:noWrap/>
            <w:vAlign w:val="center"/>
          </w:tcPr>
          <w:p w14:paraId="40F1B88B" w14:textId="77777777" w:rsidR="00E91468" w:rsidRPr="00C9200A" w:rsidRDefault="00E91468" w:rsidP="00E91468">
            <w:pPr>
              <w:jc w:val="right"/>
              <w:rPr>
                <w:rFonts w:ascii="Arial" w:hAnsi="Arial" w:cs="Arial"/>
                <w:sz w:val="16"/>
                <w:szCs w:val="16"/>
                <w:lang w:eastAsia="es-AR"/>
              </w:rPr>
            </w:pPr>
          </w:p>
        </w:tc>
        <w:tc>
          <w:tcPr>
            <w:tcW w:w="981" w:type="dxa"/>
            <w:tcBorders>
              <w:top w:val="nil"/>
              <w:left w:val="nil"/>
              <w:bottom w:val="nil"/>
              <w:right w:val="nil"/>
            </w:tcBorders>
            <w:shd w:val="clear" w:color="auto" w:fill="auto"/>
            <w:noWrap/>
            <w:vAlign w:val="center"/>
          </w:tcPr>
          <w:p w14:paraId="1441757B" w14:textId="77777777" w:rsidR="00E91468" w:rsidRPr="00C9200A" w:rsidRDefault="00E91468" w:rsidP="00E91468">
            <w:pPr>
              <w:jc w:val="right"/>
              <w:rPr>
                <w:rFonts w:ascii="Arial" w:hAnsi="Arial" w:cs="Arial"/>
                <w:sz w:val="16"/>
                <w:szCs w:val="16"/>
                <w:lang w:eastAsia="es-AR"/>
              </w:rPr>
            </w:pPr>
          </w:p>
        </w:tc>
        <w:tc>
          <w:tcPr>
            <w:tcW w:w="1030" w:type="dxa"/>
            <w:tcBorders>
              <w:top w:val="nil"/>
              <w:left w:val="nil"/>
              <w:bottom w:val="nil"/>
              <w:right w:val="nil"/>
            </w:tcBorders>
            <w:shd w:val="clear" w:color="auto" w:fill="auto"/>
            <w:noWrap/>
            <w:vAlign w:val="center"/>
          </w:tcPr>
          <w:p w14:paraId="2E44AB7A" w14:textId="77777777" w:rsidR="00E91468" w:rsidRPr="00C9200A" w:rsidRDefault="00E91468" w:rsidP="00E91468">
            <w:pPr>
              <w:jc w:val="right"/>
              <w:rPr>
                <w:rFonts w:ascii="Arial" w:hAnsi="Arial" w:cs="Arial"/>
                <w:sz w:val="16"/>
                <w:szCs w:val="16"/>
                <w:lang w:eastAsia="es-AR"/>
              </w:rPr>
            </w:pPr>
          </w:p>
        </w:tc>
        <w:tc>
          <w:tcPr>
            <w:tcW w:w="1057" w:type="dxa"/>
            <w:tcBorders>
              <w:top w:val="nil"/>
              <w:left w:val="nil"/>
              <w:bottom w:val="nil"/>
              <w:right w:val="nil"/>
            </w:tcBorders>
            <w:shd w:val="clear" w:color="auto" w:fill="auto"/>
            <w:noWrap/>
            <w:vAlign w:val="center"/>
          </w:tcPr>
          <w:p w14:paraId="1B733F37" w14:textId="77777777" w:rsidR="00E91468" w:rsidRPr="00C9200A" w:rsidRDefault="00E91468" w:rsidP="00E91468">
            <w:pPr>
              <w:jc w:val="right"/>
              <w:rPr>
                <w:rFonts w:ascii="Arial" w:hAnsi="Arial" w:cs="Arial"/>
                <w:sz w:val="16"/>
                <w:szCs w:val="16"/>
                <w:lang w:eastAsia="es-AR"/>
              </w:rPr>
            </w:pPr>
          </w:p>
        </w:tc>
        <w:tc>
          <w:tcPr>
            <w:tcW w:w="1310" w:type="dxa"/>
            <w:gridSpan w:val="2"/>
            <w:tcBorders>
              <w:top w:val="nil"/>
              <w:left w:val="nil"/>
              <w:bottom w:val="nil"/>
              <w:right w:val="nil"/>
            </w:tcBorders>
            <w:shd w:val="clear" w:color="auto" w:fill="auto"/>
            <w:noWrap/>
            <w:vAlign w:val="center"/>
          </w:tcPr>
          <w:p w14:paraId="2F4CD6EE" w14:textId="77777777" w:rsidR="00E91468" w:rsidRPr="00C9200A" w:rsidRDefault="00E91468" w:rsidP="00E91468">
            <w:pPr>
              <w:jc w:val="right"/>
              <w:rPr>
                <w:rFonts w:ascii="Arial" w:hAnsi="Arial" w:cs="Arial"/>
                <w:sz w:val="16"/>
                <w:szCs w:val="16"/>
                <w:lang w:eastAsia="es-AR"/>
              </w:rPr>
            </w:pPr>
          </w:p>
        </w:tc>
      </w:tr>
      <w:tr w:rsidR="008E201C" w:rsidRPr="00C9200A" w14:paraId="538A7263" w14:textId="77777777" w:rsidTr="008E201C">
        <w:trPr>
          <w:trHeight w:val="300"/>
        </w:trPr>
        <w:tc>
          <w:tcPr>
            <w:tcW w:w="4980" w:type="dxa"/>
            <w:tcBorders>
              <w:top w:val="nil"/>
              <w:left w:val="nil"/>
              <w:bottom w:val="nil"/>
              <w:right w:val="nil"/>
            </w:tcBorders>
            <w:shd w:val="clear" w:color="auto" w:fill="auto"/>
            <w:hideMark/>
          </w:tcPr>
          <w:p w14:paraId="31689CC5" w14:textId="2C5C066D" w:rsidR="008E201C" w:rsidRPr="00C9200A" w:rsidRDefault="008E201C" w:rsidP="008E201C">
            <w:pPr>
              <w:rPr>
                <w:rFonts w:ascii="Arial" w:hAnsi="Arial" w:cs="Arial"/>
                <w:b/>
                <w:bCs/>
                <w:sz w:val="16"/>
                <w:szCs w:val="16"/>
                <w:lang w:eastAsia="es-AR"/>
              </w:rPr>
            </w:pPr>
            <w:r w:rsidRPr="00C9200A">
              <w:rPr>
                <w:rFonts w:ascii="Arial" w:hAnsi="Arial" w:cs="Arial"/>
                <w:b/>
                <w:bCs/>
                <w:sz w:val="16"/>
                <w:szCs w:val="16"/>
                <w:lang w:eastAsia="es-AR"/>
              </w:rPr>
              <w:t xml:space="preserve">Saldos al cierre del </w:t>
            </w:r>
            <w:r>
              <w:rPr>
                <w:rFonts w:ascii="Arial" w:hAnsi="Arial" w:cs="Arial"/>
                <w:b/>
                <w:bCs/>
                <w:sz w:val="16"/>
                <w:szCs w:val="16"/>
                <w:lang w:eastAsia="es-AR"/>
              </w:rPr>
              <w:t>ejercicio</w:t>
            </w:r>
          </w:p>
        </w:tc>
        <w:tc>
          <w:tcPr>
            <w:tcW w:w="880" w:type="dxa"/>
            <w:tcBorders>
              <w:top w:val="nil"/>
              <w:left w:val="nil"/>
              <w:bottom w:val="nil"/>
              <w:right w:val="nil"/>
            </w:tcBorders>
            <w:shd w:val="clear" w:color="auto" w:fill="auto"/>
            <w:noWrap/>
            <w:hideMark/>
          </w:tcPr>
          <w:p w14:paraId="15530078" w14:textId="77777777" w:rsidR="008E201C" w:rsidRPr="00C9200A" w:rsidRDefault="008E201C" w:rsidP="008E201C">
            <w:pPr>
              <w:rPr>
                <w:rFonts w:ascii="Arial" w:hAnsi="Arial" w:cs="Arial"/>
                <w:b/>
                <w:bCs/>
                <w:sz w:val="16"/>
                <w:szCs w:val="16"/>
                <w:lang w:eastAsia="es-AR"/>
              </w:rPr>
            </w:pPr>
          </w:p>
        </w:tc>
        <w:tc>
          <w:tcPr>
            <w:tcW w:w="1057" w:type="dxa"/>
            <w:tcBorders>
              <w:top w:val="single" w:sz="4" w:space="0" w:color="auto"/>
              <w:left w:val="nil"/>
              <w:bottom w:val="single" w:sz="4" w:space="0" w:color="auto"/>
              <w:right w:val="nil"/>
            </w:tcBorders>
            <w:shd w:val="clear" w:color="auto" w:fill="auto"/>
            <w:noWrap/>
            <w:vAlign w:val="center"/>
            <w:hideMark/>
          </w:tcPr>
          <w:p w14:paraId="2C45B956" w14:textId="70EC635A" w:rsidR="008E201C" w:rsidRPr="00C9200A" w:rsidRDefault="008D77FC" w:rsidP="008E201C">
            <w:pPr>
              <w:jc w:val="right"/>
              <w:rPr>
                <w:rFonts w:ascii="Arial" w:hAnsi="Arial" w:cs="Arial"/>
                <w:b/>
                <w:bCs/>
                <w:sz w:val="16"/>
                <w:szCs w:val="16"/>
                <w:lang w:eastAsia="es-AR"/>
              </w:rPr>
            </w:pPr>
            <w:r>
              <w:rPr>
                <w:rFonts w:ascii="Arial" w:hAnsi="Arial" w:cs="Arial"/>
                <w:b/>
                <w:bCs/>
                <w:sz w:val="16"/>
                <w:szCs w:val="16"/>
                <w:lang w:eastAsia="es-AR"/>
              </w:rPr>
              <w:t>808.852</w:t>
            </w:r>
          </w:p>
        </w:tc>
        <w:tc>
          <w:tcPr>
            <w:tcW w:w="1271" w:type="dxa"/>
            <w:tcBorders>
              <w:top w:val="single" w:sz="4" w:space="0" w:color="auto"/>
              <w:left w:val="nil"/>
              <w:bottom w:val="single" w:sz="4" w:space="0" w:color="auto"/>
              <w:right w:val="nil"/>
            </w:tcBorders>
            <w:shd w:val="clear" w:color="auto" w:fill="auto"/>
            <w:noWrap/>
            <w:vAlign w:val="center"/>
            <w:hideMark/>
          </w:tcPr>
          <w:p w14:paraId="09E3E57F" w14:textId="37AC6E81" w:rsidR="008E201C" w:rsidRPr="00C9200A" w:rsidRDefault="008D77FC" w:rsidP="008E201C">
            <w:pPr>
              <w:jc w:val="right"/>
              <w:rPr>
                <w:rFonts w:ascii="Arial" w:hAnsi="Arial" w:cs="Arial"/>
                <w:b/>
                <w:bCs/>
                <w:sz w:val="16"/>
                <w:szCs w:val="16"/>
                <w:lang w:eastAsia="es-AR"/>
              </w:rPr>
            </w:pPr>
            <w:r>
              <w:rPr>
                <w:rFonts w:ascii="Arial" w:hAnsi="Arial" w:cs="Arial"/>
                <w:b/>
                <w:bCs/>
                <w:sz w:val="16"/>
                <w:szCs w:val="16"/>
                <w:lang w:eastAsia="es-AR"/>
              </w:rPr>
              <w:t>6.444.347</w:t>
            </w:r>
          </w:p>
        </w:tc>
        <w:tc>
          <w:tcPr>
            <w:tcW w:w="931" w:type="dxa"/>
            <w:tcBorders>
              <w:top w:val="single" w:sz="4" w:space="0" w:color="auto"/>
              <w:left w:val="nil"/>
              <w:bottom w:val="single" w:sz="4" w:space="0" w:color="auto"/>
              <w:right w:val="nil"/>
            </w:tcBorders>
            <w:shd w:val="clear" w:color="auto" w:fill="auto"/>
            <w:noWrap/>
            <w:vAlign w:val="center"/>
          </w:tcPr>
          <w:p w14:paraId="06E7F708" w14:textId="2292C8E9" w:rsidR="008E201C" w:rsidRPr="00C9200A" w:rsidRDefault="008E201C" w:rsidP="008E201C">
            <w:pPr>
              <w:jc w:val="right"/>
              <w:rPr>
                <w:rFonts w:ascii="Arial" w:hAnsi="Arial" w:cs="Arial"/>
                <w:b/>
                <w:bCs/>
                <w:sz w:val="16"/>
                <w:szCs w:val="16"/>
                <w:lang w:eastAsia="es-AR"/>
              </w:rPr>
            </w:pPr>
            <w:r w:rsidRPr="008E201C">
              <w:rPr>
                <w:rFonts w:ascii="Arial" w:hAnsi="Arial" w:cs="Arial"/>
                <w:b/>
                <w:bCs/>
                <w:sz w:val="16"/>
                <w:szCs w:val="16"/>
                <w:lang w:eastAsia="es-AR"/>
              </w:rPr>
              <w:t>583.543</w:t>
            </w:r>
          </w:p>
        </w:tc>
        <w:tc>
          <w:tcPr>
            <w:tcW w:w="957" w:type="dxa"/>
            <w:tcBorders>
              <w:top w:val="single" w:sz="4" w:space="0" w:color="auto"/>
              <w:left w:val="nil"/>
              <w:bottom w:val="single" w:sz="4" w:space="0" w:color="auto"/>
              <w:right w:val="nil"/>
            </w:tcBorders>
            <w:shd w:val="clear" w:color="auto" w:fill="auto"/>
            <w:noWrap/>
            <w:vAlign w:val="center"/>
          </w:tcPr>
          <w:p w14:paraId="0BFCA2BC" w14:textId="4C05D367" w:rsidR="008E201C" w:rsidRPr="00C9200A" w:rsidRDefault="008E201C" w:rsidP="008E201C">
            <w:pPr>
              <w:jc w:val="right"/>
              <w:rPr>
                <w:rFonts w:ascii="Arial" w:hAnsi="Arial" w:cs="Arial"/>
                <w:b/>
                <w:bCs/>
                <w:sz w:val="16"/>
                <w:szCs w:val="16"/>
                <w:lang w:eastAsia="es-AR"/>
              </w:rPr>
            </w:pPr>
            <w:r w:rsidRPr="008E201C">
              <w:rPr>
                <w:rFonts w:ascii="Arial" w:hAnsi="Arial" w:cs="Arial"/>
                <w:b/>
                <w:bCs/>
                <w:sz w:val="16"/>
                <w:szCs w:val="16"/>
                <w:lang w:eastAsia="es-AR"/>
              </w:rPr>
              <w:t>5.961</w:t>
            </w:r>
          </w:p>
        </w:tc>
        <w:tc>
          <w:tcPr>
            <w:tcW w:w="981" w:type="dxa"/>
            <w:tcBorders>
              <w:top w:val="single" w:sz="4" w:space="0" w:color="auto"/>
              <w:left w:val="nil"/>
              <w:bottom w:val="single" w:sz="4" w:space="0" w:color="auto"/>
              <w:right w:val="nil"/>
            </w:tcBorders>
            <w:shd w:val="clear" w:color="auto" w:fill="auto"/>
            <w:noWrap/>
            <w:vAlign w:val="center"/>
          </w:tcPr>
          <w:p w14:paraId="75FBBBF1" w14:textId="176A431A" w:rsidR="008E201C" w:rsidRPr="00C9200A" w:rsidRDefault="008E201C" w:rsidP="008E201C">
            <w:pPr>
              <w:jc w:val="right"/>
              <w:rPr>
                <w:rFonts w:ascii="Arial" w:hAnsi="Arial" w:cs="Arial"/>
                <w:b/>
                <w:bCs/>
                <w:sz w:val="16"/>
                <w:szCs w:val="16"/>
                <w:lang w:eastAsia="es-AR"/>
              </w:rPr>
            </w:pPr>
            <w:r w:rsidRPr="00C9200A">
              <w:rPr>
                <w:rFonts w:ascii="Arial" w:hAnsi="Arial" w:cs="Arial"/>
                <w:b/>
                <w:bCs/>
                <w:sz w:val="16"/>
                <w:szCs w:val="16"/>
                <w:lang w:eastAsia="es-AR"/>
              </w:rPr>
              <w:t>962.193</w:t>
            </w:r>
          </w:p>
        </w:tc>
        <w:tc>
          <w:tcPr>
            <w:tcW w:w="1030" w:type="dxa"/>
            <w:tcBorders>
              <w:top w:val="single" w:sz="4" w:space="0" w:color="auto"/>
              <w:left w:val="nil"/>
              <w:bottom w:val="single" w:sz="4" w:space="0" w:color="auto"/>
              <w:right w:val="nil"/>
            </w:tcBorders>
            <w:shd w:val="clear" w:color="auto" w:fill="auto"/>
            <w:noWrap/>
            <w:vAlign w:val="center"/>
          </w:tcPr>
          <w:p w14:paraId="55660EDA" w14:textId="047F0945" w:rsidR="008E201C" w:rsidRPr="00C9200A" w:rsidRDefault="008E201C" w:rsidP="008E201C">
            <w:pPr>
              <w:jc w:val="right"/>
              <w:rPr>
                <w:rFonts w:ascii="Arial" w:hAnsi="Arial" w:cs="Arial"/>
                <w:b/>
                <w:bCs/>
                <w:sz w:val="16"/>
                <w:szCs w:val="16"/>
                <w:lang w:eastAsia="es-AR"/>
              </w:rPr>
            </w:pPr>
            <w:r w:rsidRPr="00C9200A">
              <w:rPr>
                <w:rFonts w:ascii="Arial" w:hAnsi="Arial" w:cs="Arial"/>
                <w:b/>
                <w:bCs/>
                <w:sz w:val="16"/>
                <w:szCs w:val="16"/>
                <w:lang w:eastAsia="es-AR"/>
              </w:rPr>
              <w:t>3.640.290</w:t>
            </w:r>
          </w:p>
        </w:tc>
        <w:tc>
          <w:tcPr>
            <w:tcW w:w="1057" w:type="dxa"/>
            <w:tcBorders>
              <w:top w:val="single" w:sz="4" w:space="0" w:color="auto"/>
              <w:left w:val="nil"/>
              <w:bottom w:val="single" w:sz="4" w:space="0" w:color="auto"/>
              <w:right w:val="nil"/>
            </w:tcBorders>
            <w:shd w:val="clear" w:color="auto" w:fill="auto"/>
            <w:noWrap/>
            <w:vAlign w:val="center"/>
          </w:tcPr>
          <w:p w14:paraId="4754963D" w14:textId="5541E231" w:rsidR="008E201C" w:rsidRPr="00C9200A" w:rsidRDefault="008E201C" w:rsidP="008E201C">
            <w:pPr>
              <w:jc w:val="right"/>
              <w:rPr>
                <w:rFonts w:ascii="Arial" w:hAnsi="Arial" w:cs="Arial"/>
                <w:b/>
                <w:bCs/>
                <w:sz w:val="16"/>
                <w:szCs w:val="16"/>
                <w:lang w:eastAsia="es-AR"/>
              </w:rPr>
            </w:pPr>
            <w:r w:rsidRPr="008E201C">
              <w:rPr>
                <w:rFonts w:ascii="Arial" w:hAnsi="Arial" w:cs="Arial"/>
                <w:b/>
                <w:bCs/>
                <w:sz w:val="16"/>
                <w:szCs w:val="16"/>
                <w:lang w:eastAsia="es-AR"/>
              </w:rPr>
              <w:t xml:space="preserve"> 740.</w:t>
            </w:r>
            <w:r w:rsidR="00FE52BB" w:rsidRPr="008E201C">
              <w:rPr>
                <w:rFonts w:ascii="Arial" w:hAnsi="Arial" w:cs="Arial"/>
                <w:b/>
                <w:bCs/>
                <w:sz w:val="16"/>
                <w:szCs w:val="16"/>
                <w:lang w:eastAsia="es-AR"/>
              </w:rPr>
              <w:t>29</w:t>
            </w:r>
            <w:r w:rsidR="00FE52BB">
              <w:rPr>
                <w:rFonts w:ascii="Arial" w:hAnsi="Arial" w:cs="Arial"/>
                <w:b/>
                <w:bCs/>
                <w:sz w:val="16"/>
                <w:szCs w:val="16"/>
                <w:lang w:eastAsia="es-AR"/>
              </w:rPr>
              <w:t>3</w:t>
            </w:r>
            <w:r w:rsidR="00FE52BB" w:rsidRPr="008E201C">
              <w:rPr>
                <w:rFonts w:ascii="Arial" w:hAnsi="Arial" w:cs="Arial"/>
                <w:b/>
                <w:bCs/>
                <w:sz w:val="16"/>
                <w:szCs w:val="16"/>
                <w:lang w:eastAsia="es-AR"/>
              </w:rPr>
              <w:t xml:space="preserve"> </w:t>
            </w:r>
          </w:p>
        </w:tc>
        <w:tc>
          <w:tcPr>
            <w:tcW w:w="1310" w:type="dxa"/>
            <w:gridSpan w:val="2"/>
            <w:tcBorders>
              <w:top w:val="single" w:sz="4" w:space="0" w:color="auto"/>
              <w:left w:val="nil"/>
              <w:bottom w:val="single" w:sz="4" w:space="0" w:color="auto"/>
              <w:right w:val="nil"/>
            </w:tcBorders>
            <w:shd w:val="clear" w:color="auto" w:fill="auto"/>
            <w:noWrap/>
            <w:vAlign w:val="center"/>
          </w:tcPr>
          <w:p w14:paraId="13148239" w14:textId="5B8F55D4" w:rsidR="008E201C" w:rsidRPr="00C9200A" w:rsidRDefault="008E201C" w:rsidP="008E201C">
            <w:pPr>
              <w:jc w:val="right"/>
              <w:rPr>
                <w:rFonts w:ascii="Arial" w:hAnsi="Arial" w:cs="Arial"/>
                <w:b/>
                <w:bCs/>
                <w:sz w:val="16"/>
                <w:szCs w:val="16"/>
                <w:lang w:eastAsia="es-AR"/>
              </w:rPr>
            </w:pPr>
            <w:r w:rsidRPr="008E201C">
              <w:rPr>
                <w:rFonts w:ascii="Arial" w:hAnsi="Arial" w:cs="Arial"/>
                <w:b/>
                <w:bCs/>
                <w:sz w:val="16"/>
                <w:szCs w:val="16"/>
                <w:lang w:eastAsia="es-AR"/>
              </w:rPr>
              <w:t xml:space="preserve"> 13.185.</w:t>
            </w:r>
            <w:r w:rsidR="00FE52BB" w:rsidRPr="008E201C">
              <w:rPr>
                <w:rFonts w:ascii="Arial" w:hAnsi="Arial" w:cs="Arial"/>
                <w:b/>
                <w:bCs/>
                <w:sz w:val="16"/>
                <w:szCs w:val="16"/>
                <w:lang w:eastAsia="es-AR"/>
              </w:rPr>
              <w:t>4</w:t>
            </w:r>
            <w:r w:rsidR="00FE52BB">
              <w:rPr>
                <w:rFonts w:ascii="Arial" w:hAnsi="Arial" w:cs="Arial"/>
                <w:b/>
                <w:bCs/>
                <w:sz w:val="16"/>
                <w:szCs w:val="16"/>
                <w:lang w:eastAsia="es-AR"/>
              </w:rPr>
              <w:t>79</w:t>
            </w:r>
            <w:r w:rsidR="00FE52BB" w:rsidRPr="008E201C">
              <w:rPr>
                <w:rFonts w:ascii="Arial" w:hAnsi="Arial" w:cs="Arial"/>
                <w:b/>
                <w:bCs/>
                <w:sz w:val="16"/>
                <w:szCs w:val="16"/>
                <w:lang w:eastAsia="es-AR"/>
              </w:rPr>
              <w:t xml:space="preserve"> </w:t>
            </w:r>
          </w:p>
        </w:tc>
      </w:tr>
    </w:tbl>
    <w:p w14:paraId="4ECB019B" w14:textId="77777777" w:rsidR="00343F2B" w:rsidRPr="00C870A0" w:rsidRDefault="00343F2B" w:rsidP="005C2DE7">
      <w:pPr>
        <w:tabs>
          <w:tab w:val="left" w:pos="1365"/>
        </w:tabs>
        <w:rPr>
          <w:sz w:val="10"/>
          <w:szCs w:val="10"/>
          <w:lang w:val="es-ES_tradnl"/>
        </w:rPr>
        <w:sectPr w:rsidR="00343F2B" w:rsidRPr="00C870A0" w:rsidSect="00D26299">
          <w:headerReference w:type="default" r:id="rId48"/>
          <w:pgSz w:w="16839" w:h="11907" w:orient="landscape" w:code="9"/>
          <w:pgMar w:top="1701" w:right="1418" w:bottom="1701" w:left="1418" w:header="567" w:footer="0" w:gutter="0"/>
          <w:paperSrc w:first="256" w:other="256"/>
          <w:cols w:space="720"/>
          <w:docGrid w:linePitch="326"/>
        </w:sectPr>
      </w:pPr>
    </w:p>
    <w:tbl>
      <w:tblPr>
        <w:tblW w:w="4944" w:type="pct"/>
        <w:tblLayout w:type="fixed"/>
        <w:tblCellMar>
          <w:left w:w="70" w:type="dxa"/>
          <w:right w:w="70" w:type="dxa"/>
        </w:tblCellMar>
        <w:tblLook w:val="04A0" w:firstRow="1" w:lastRow="0" w:firstColumn="1" w:lastColumn="0" w:noHBand="0" w:noVBand="1"/>
      </w:tblPr>
      <w:tblGrid>
        <w:gridCol w:w="5568"/>
        <w:gridCol w:w="703"/>
        <w:gridCol w:w="1031"/>
        <w:gridCol w:w="1246"/>
      </w:tblGrid>
      <w:tr w:rsidR="002B72BA" w:rsidRPr="002D55D1" w14:paraId="00FBB53E" w14:textId="77777777" w:rsidTr="00F30A15">
        <w:trPr>
          <w:trHeight w:val="390"/>
        </w:trPr>
        <w:tc>
          <w:tcPr>
            <w:tcW w:w="3257" w:type="pc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50A1557" w14:textId="77777777" w:rsidR="002B72BA" w:rsidRPr="002D55D1" w:rsidRDefault="002B72BA" w:rsidP="00F30A15">
            <w:pPr>
              <w:jc w:val="center"/>
              <w:rPr>
                <w:rFonts w:ascii="Arial" w:hAnsi="Arial" w:cs="Arial"/>
                <w:b/>
                <w:bCs/>
                <w:sz w:val="16"/>
                <w:szCs w:val="16"/>
                <w:lang w:eastAsia="es-AR"/>
              </w:rPr>
            </w:pPr>
            <w:r w:rsidRPr="002D55D1">
              <w:rPr>
                <w:rFonts w:ascii="Arial" w:hAnsi="Arial" w:cs="Arial"/>
                <w:b/>
                <w:bCs/>
                <w:sz w:val="16"/>
                <w:szCs w:val="16"/>
                <w:lang w:eastAsia="es-AR"/>
              </w:rPr>
              <w:t>Conceptos</w:t>
            </w:r>
          </w:p>
        </w:tc>
        <w:tc>
          <w:tcPr>
            <w:tcW w:w="411" w:type="pct"/>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0EE179E2" w14:textId="77777777" w:rsidR="002B72BA" w:rsidRPr="002D55D1" w:rsidRDefault="002B72BA" w:rsidP="00F30A15">
            <w:pPr>
              <w:jc w:val="center"/>
              <w:rPr>
                <w:rFonts w:ascii="Arial" w:hAnsi="Arial" w:cs="Arial"/>
                <w:b/>
                <w:bCs/>
                <w:sz w:val="16"/>
                <w:szCs w:val="16"/>
                <w:lang w:eastAsia="es-AR"/>
              </w:rPr>
            </w:pPr>
            <w:r w:rsidRPr="002D55D1">
              <w:rPr>
                <w:rFonts w:ascii="Arial" w:hAnsi="Arial" w:cs="Arial"/>
                <w:b/>
                <w:bCs/>
                <w:sz w:val="16"/>
                <w:szCs w:val="16"/>
                <w:lang w:eastAsia="es-AR"/>
              </w:rPr>
              <w:t>Notas</w:t>
            </w:r>
          </w:p>
        </w:tc>
        <w:tc>
          <w:tcPr>
            <w:tcW w:w="603" w:type="pct"/>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7B0D8D51" w14:textId="492687BD" w:rsidR="002B72BA" w:rsidRPr="002D55D1" w:rsidRDefault="002B72BA" w:rsidP="00F30A15">
            <w:pPr>
              <w:jc w:val="center"/>
              <w:rPr>
                <w:rFonts w:ascii="Arial" w:hAnsi="Arial" w:cs="Arial"/>
                <w:b/>
                <w:bCs/>
                <w:sz w:val="16"/>
                <w:szCs w:val="16"/>
                <w:lang w:eastAsia="es-AR"/>
              </w:rPr>
            </w:pPr>
            <w:r>
              <w:rPr>
                <w:rFonts w:ascii="Arial" w:hAnsi="Arial" w:cs="Arial"/>
                <w:b/>
                <w:bCs/>
                <w:sz w:val="16"/>
                <w:szCs w:val="16"/>
                <w:lang w:eastAsia="es-AR"/>
              </w:rPr>
              <w:t>3</w:t>
            </w:r>
            <w:r w:rsidR="009326EC">
              <w:rPr>
                <w:rFonts w:ascii="Arial" w:hAnsi="Arial" w:cs="Arial"/>
                <w:b/>
                <w:bCs/>
                <w:sz w:val="16"/>
                <w:szCs w:val="16"/>
                <w:lang w:eastAsia="es-AR"/>
              </w:rPr>
              <w:t>1</w:t>
            </w:r>
            <w:r w:rsidRPr="002D55D1">
              <w:rPr>
                <w:rFonts w:ascii="Arial" w:hAnsi="Arial" w:cs="Arial"/>
                <w:b/>
                <w:bCs/>
                <w:sz w:val="16"/>
                <w:szCs w:val="16"/>
                <w:lang w:eastAsia="es-AR"/>
              </w:rPr>
              <w:t>/</w:t>
            </w:r>
            <w:r w:rsidR="009326EC">
              <w:rPr>
                <w:rFonts w:ascii="Arial" w:hAnsi="Arial" w:cs="Arial"/>
                <w:b/>
                <w:bCs/>
                <w:sz w:val="16"/>
                <w:szCs w:val="16"/>
                <w:lang w:eastAsia="es-AR"/>
              </w:rPr>
              <w:t>12</w:t>
            </w:r>
            <w:r w:rsidRPr="002D55D1">
              <w:rPr>
                <w:rFonts w:ascii="Arial" w:hAnsi="Arial" w:cs="Arial"/>
                <w:b/>
                <w:bCs/>
                <w:sz w:val="16"/>
                <w:szCs w:val="16"/>
                <w:lang w:eastAsia="es-AR"/>
              </w:rPr>
              <w:t>/201</w:t>
            </w:r>
            <w:r>
              <w:rPr>
                <w:rFonts w:ascii="Arial" w:hAnsi="Arial" w:cs="Arial"/>
                <w:b/>
                <w:bCs/>
                <w:sz w:val="16"/>
                <w:szCs w:val="16"/>
                <w:lang w:eastAsia="es-AR"/>
              </w:rPr>
              <w:t>9</w:t>
            </w:r>
          </w:p>
        </w:tc>
        <w:tc>
          <w:tcPr>
            <w:tcW w:w="729" w:type="pct"/>
            <w:tcBorders>
              <w:top w:val="single" w:sz="4" w:space="0" w:color="363639"/>
              <w:left w:val="nil"/>
              <w:bottom w:val="single" w:sz="4" w:space="0" w:color="363639"/>
              <w:right w:val="single" w:sz="4" w:space="0" w:color="363639"/>
            </w:tcBorders>
            <w:shd w:val="clear" w:color="auto" w:fill="BFBFBF" w:themeFill="background1" w:themeFillShade="BF"/>
            <w:vAlign w:val="center"/>
            <w:hideMark/>
          </w:tcPr>
          <w:p w14:paraId="51F361CC" w14:textId="25E13361" w:rsidR="002B72BA" w:rsidRPr="002D55D1" w:rsidRDefault="002B72BA" w:rsidP="00F30A15">
            <w:pPr>
              <w:jc w:val="center"/>
              <w:rPr>
                <w:rFonts w:ascii="Arial" w:hAnsi="Arial" w:cs="Arial"/>
                <w:b/>
                <w:bCs/>
                <w:sz w:val="16"/>
                <w:szCs w:val="16"/>
                <w:lang w:eastAsia="es-AR"/>
              </w:rPr>
            </w:pPr>
            <w:r w:rsidRPr="002D55D1">
              <w:rPr>
                <w:rFonts w:ascii="Arial" w:hAnsi="Arial" w:cs="Arial"/>
                <w:b/>
                <w:bCs/>
                <w:sz w:val="16"/>
                <w:szCs w:val="16"/>
                <w:lang w:eastAsia="es-AR"/>
              </w:rPr>
              <w:t>3</w:t>
            </w:r>
            <w:r w:rsidR="009326EC">
              <w:rPr>
                <w:rFonts w:ascii="Arial" w:hAnsi="Arial" w:cs="Arial"/>
                <w:b/>
                <w:bCs/>
                <w:sz w:val="16"/>
                <w:szCs w:val="16"/>
                <w:lang w:eastAsia="es-AR"/>
              </w:rPr>
              <w:t>1</w:t>
            </w:r>
            <w:r w:rsidRPr="002D55D1">
              <w:rPr>
                <w:rFonts w:ascii="Arial" w:hAnsi="Arial" w:cs="Arial"/>
                <w:b/>
                <w:bCs/>
                <w:sz w:val="16"/>
                <w:szCs w:val="16"/>
                <w:lang w:eastAsia="es-AR"/>
              </w:rPr>
              <w:t>/</w:t>
            </w:r>
            <w:r w:rsidR="009326EC">
              <w:rPr>
                <w:rFonts w:ascii="Arial" w:hAnsi="Arial" w:cs="Arial"/>
                <w:b/>
                <w:bCs/>
                <w:sz w:val="16"/>
                <w:szCs w:val="16"/>
                <w:lang w:eastAsia="es-AR"/>
              </w:rPr>
              <w:t>12</w:t>
            </w:r>
            <w:r w:rsidRPr="002D55D1">
              <w:rPr>
                <w:rFonts w:ascii="Arial" w:hAnsi="Arial" w:cs="Arial"/>
                <w:b/>
                <w:bCs/>
                <w:sz w:val="16"/>
                <w:szCs w:val="16"/>
                <w:lang w:eastAsia="es-AR"/>
              </w:rPr>
              <w:t>/201</w:t>
            </w:r>
            <w:r>
              <w:rPr>
                <w:rFonts w:ascii="Arial" w:hAnsi="Arial" w:cs="Arial"/>
                <w:b/>
                <w:bCs/>
                <w:sz w:val="16"/>
                <w:szCs w:val="16"/>
                <w:lang w:eastAsia="es-AR"/>
              </w:rPr>
              <w:t>8</w:t>
            </w:r>
          </w:p>
        </w:tc>
      </w:tr>
      <w:tr w:rsidR="002B72BA" w:rsidRPr="002D55D1" w14:paraId="682BF7E5" w14:textId="77777777" w:rsidTr="00F30A15">
        <w:trPr>
          <w:trHeight w:val="285"/>
        </w:trPr>
        <w:tc>
          <w:tcPr>
            <w:tcW w:w="3257" w:type="pct"/>
            <w:tcBorders>
              <w:top w:val="nil"/>
              <w:left w:val="nil"/>
              <w:bottom w:val="nil"/>
              <w:right w:val="nil"/>
            </w:tcBorders>
            <w:shd w:val="clear" w:color="auto" w:fill="auto"/>
            <w:hideMark/>
          </w:tcPr>
          <w:p w14:paraId="5364AEBD" w14:textId="77777777" w:rsidR="002B72BA" w:rsidRPr="002D55D1" w:rsidRDefault="002B72BA" w:rsidP="00F30A15">
            <w:pPr>
              <w:rPr>
                <w:rFonts w:ascii="Arial" w:hAnsi="Arial" w:cs="Arial"/>
                <w:b/>
                <w:bCs/>
                <w:sz w:val="16"/>
                <w:szCs w:val="16"/>
                <w:lang w:eastAsia="es-AR"/>
              </w:rPr>
            </w:pPr>
            <w:r w:rsidRPr="002D55D1">
              <w:rPr>
                <w:rFonts w:ascii="Arial" w:hAnsi="Arial" w:cs="Arial"/>
                <w:b/>
                <w:bCs/>
                <w:sz w:val="16"/>
                <w:szCs w:val="16"/>
                <w:lang w:eastAsia="es-AR"/>
              </w:rPr>
              <w:t>FLUJOS DE EFECTIVO DE LAS ACTIVIDADES OPERATIVAS</w:t>
            </w:r>
          </w:p>
        </w:tc>
        <w:tc>
          <w:tcPr>
            <w:tcW w:w="411" w:type="pct"/>
            <w:tcBorders>
              <w:top w:val="nil"/>
              <w:left w:val="nil"/>
              <w:bottom w:val="nil"/>
              <w:right w:val="nil"/>
            </w:tcBorders>
            <w:shd w:val="clear" w:color="auto" w:fill="auto"/>
            <w:noWrap/>
            <w:hideMark/>
          </w:tcPr>
          <w:p w14:paraId="589070BC" w14:textId="77777777" w:rsidR="002B72BA" w:rsidRPr="002D55D1" w:rsidRDefault="002B72BA" w:rsidP="00F30A15">
            <w:pPr>
              <w:jc w:val="center"/>
              <w:rPr>
                <w:rFonts w:ascii="Arial" w:hAnsi="Arial" w:cs="Arial"/>
                <w:sz w:val="16"/>
                <w:szCs w:val="16"/>
                <w:lang w:eastAsia="es-AR"/>
              </w:rPr>
            </w:pPr>
            <w:r w:rsidRPr="002D55D1">
              <w:rPr>
                <w:rFonts w:ascii="Arial" w:hAnsi="Arial" w:cs="Arial"/>
                <w:sz w:val="16"/>
                <w:szCs w:val="16"/>
                <w:lang w:eastAsia="es-AR"/>
              </w:rPr>
              <w:t> </w:t>
            </w:r>
          </w:p>
        </w:tc>
        <w:tc>
          <w:tcPr>
            <w:tcW w:w="603" w:type="pct"/>
            <w:tcBorders>
              <w:top w:val="nil"/>
              <w:left w:val="nil"/>
              <w:bottom w:val="nil"/>
              <w:right w:val="nil"/>
            </w:tcBorders>
            <w:shd w:val="clear" w:color="auto" w:fill="auto"/>
            <w:noWrap/>
          </w:tcPr>
          <w:p w14:paraId="3841CD11" w14:textId="504E8DB8" w:rsidR="002B72BA" w:rsidRPr="002D55D1"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noWrap/>
          </w:tcPr>
          <w:p w14:paraId="4F64C6D0" w14:textId="77777777" w:rsidR="002B72BA" w:rsidRPr="002D55D1" w:rsidRDefault="002B72BA" w:rsidP="00F30A15">
            <w:pPr>
              <w:jc w:val="right"/>
              <w:rPr>
                <w:rFonts w:ascii="Arial" w:hAnsi="Arial" w:cs="Arial"/>
                <w:sz w:val="16"/>
                <w:szCs w:val="16"/>
                <w:lang w:eastAsia="es-AR"/>
              </w:rPr>
            </w:pPr>
          </w:p>
        </w:tc>
      </w:tr>
      <w:tr w:rsidR="002B72BA" w:rsidRPr="002D55D1" w14:paraId="120C07A4" w14:textId="77777777" w:rsidTr="00F30A15">
        <w:trPr>
          <w:trHeight w:val="80"/>
        </w:trPr>
        <w:tc>
          <w:tcPr>
            <w:tcW w:w="3257" w:type="pct"/>
            <w:tcBorders>
              <w:top w:val="nil"/>
              <w:left w:val="nil"/>
              <w:bottom w:val="nil"/>
              <w:right w:val="nil"/>
            </w:tcBorders>
            <w:shd w:val="clear" w:color="auto" w:fill="auto"/>
            <w:hideMark/>
          </w:tcPr>
          <w:p w14:paraId="79D20054" w14:textId="77777777" w:rsidR="002B72BA" w:rsidRPr="002D55D1" w:rsidRDefault="002B72BA" w:rsidP="00F30A15">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08638530" w14:textId="77777777" w:rsidR="002B72BA" w:rsidRPr="002D55D1" w:rsidRDefault="002B72BA" w:rsidP="00F30A15">
            <w:pPr>
              <w:rPr>
                <w:rFonts w:ascii="Arial" w:hAnsi="Arial" w:cs="Arial"/>
                <w:sz w:val="10"/>
                <w:szCs w:val="10"/>
                <w:lang w:eastAsia="es-AR"/>
              </w:rPr>
            </w:pPr>
          </w:p>
        </w:tc>
        <w:tc>
          <w:tcPr>
            <w:tcW w:w="603" w:type="pct"/>
            <w:tcBorders>
              <w:top w:val="nil"/>
              <w:left w:val="nil"/>
              <w:bottom w:val="nil"/>
              <w:right w:val="nil"/>
            </w:tcBorders>
            <w:shd w:val="clear" w:color="auto" w:fill="auto"/>
            <w:hideMark/>
          </w:tcPr>
          <w:p w14:paraId="6CF940DA" w14:textId="77777777" w:rsidR="002B72BA" w:rsidRPr="002D55D1" w:rsidRDefault="002B72BA" w:rsidP="00F30A15">
            <w:pPr>
              <w:jc w:val="center"/>
              <w:rPr>
                <w:rFonts w:ascii="Arial" w:hAnsi="Arial" w:cs="Arial"/>
                <w:sz w:val="10"/>
                <w:szCs w:val="10"/>
                <w:lang w:eastAsia="es-AR"/>
              </w:rPr>
            </w:pPr>
          </w:p>
        </w:tc>
        <w:tc>
          <w:tcPr>
            <w:tcW w:w="729" w:type="pct"/>
            <w:tcBorders>
              <w:top w:val="nil"/>
              <w:left w:val="nil"/>
              <w:bottom w:val="nil"/>
              <w:right w:val="nil"/>
            </w:tcBorders>
            <w:shd w:val="clear" w:color="auto" w:fill="auto"/>
            <w:hideMark/>
          </w:tcPr>
          <w:p w14:paraId="3139D0CD" w14:textId="77777777" w:rsidR="002B72BA" w:rsidRPr="002D55D1" w:rsidRDefault="002B72BA" w:rsidP="00F30A15">
            <w:pPr>
              <w:jc w:val="right"/>
              <w:rPr>
                <w:rFonts w:ascii="Arial" w:hAnsi="Arial" w:cs="Arial"/>
                <w:sz w:val="10"/>
                <w:szCs w:val="10"/>
                <w:lang w:eastAsia="es-AR"/>
              </w:rPr>
            </w:pPr>
          </w:p>
        </w:tc>
      </w:tr>
      <w:tr w:rsidR="002B72BA" w:rsidRPr="002D55D1" w14:paraId="5E3BD843" w14:textId="77777777" w:rsidTr="00F30A15">
        <w:trPr>
          <w:trHeight w:val="285"/>
        </w:trPr>
        <w:tc>
          <w:tcPr>
            <w:tcW w:w="3257" w:type="pct"/>
            <w:tcBorders>
              <w:top w:val="nil"/>
              <w:left w:val="nil"/>
              <w:bottom w:val="nil"/>
              <w:right w:val="nil"/>
            </w:tcBorders>
            <w:shd w:val="clear" w:color="auto" w:fill="auto"/>
            <w:hideMark/>
          </w:tcPr>
          <w:p w14:paraId="728DD6C6" w14:textId="6164E789" w:rsidR="002B72BA" w:rsidRPr="002D55D1" w:rsidRDefault="002B72BA" w:rsidP="00F30A15">
            <w:pPr>
              <w:rPr>
                <w:rFonts w:ascii="Arial" w:hAnsi="Arial" w:cs="Arial"/>
                <w:b/>
                <w:bCs/>
                <w:sz w:val="16"/>
                <w:szCs w:val="16"/>
                <w:lang w:eastAsia="es-AR"/>
              </w:rPr>
            </w:pPr>
            <w:r w:rsidRPr="002D55D1">
              <w:rPr>
                <w:rFonts w:ascii="Arial" w:hAnsi="Arial" w:cs="Arial"/>
                <w:b/>
                <w:bCs/>
                <w:sz w:val="16"/>
                <w:szCs w:val="16"/>
                <w:lang w:eastAsia="es-AR"/>
              </w:rPr>
              <w:t xml:space="preserve">Resultado del </w:t>
            </w:r>
            <w:r w:rsidR="009326EC">
              <w:rPr>
                <w:rFonts w:ascii="Arial" w:hAnsi="Arial" w:cs="Arial"/>
                <w:b/>
                <w:bCs/>
                <w:sz w:val="16"/>
                <w:szCs w:val="16"/>
                <w:lang w:eastAsia="es-AR"/>
              </w:rPr>
              <w:t>ejercicio</w:t>
            </w:r>
            <w:r w:rsidRPr="002D55D1">
              <w:rPr>
                <w:rFonts w:ascii="Arial" w:hAnsi="Arial" w:cs="Arial"/>
                <w:b/>
                <w:bCs/>
                <w:sz w:val="16"/>
                <w:szCs w:val="16"/>
                <w:lang w:eastAsia="es-AR"/>
              </w:rPr>
              <w:t xml:space="preserve"> antes del Impuesto a las Ganancias</w:t>
            </w:r>
          </w:p>
        </w:tc>
        <w:tc>
          <w:tcPr>
            <w:tcW w:w="411" w:type="pct"/>
            <w:tcBorders>
              <w:top w:val="nil"/>
              <w:left w:val="nil"/>
              <w:bottom w:val="nil"/>
              <w:right w:val="nil"/>
            </w:tcBorders>
            <w:shd w:val="clear" w:color="auto" w:fill="auto"/>
            <w:hideMark/>
          </w:tcPr>
          <w:p w14:paraId="46754C9C" w14:textId="77777777" w:rsidR="002B72BA" w:rsidRPr="002D55D1" w:rsidRDefault="002B72BA" w:rsidP="00F30A1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1D08DF0E" w14:textId="6D18199C" w:rsidR="002B72BA" w:rsidRPr="00593C40" w:rsidRDefault="0061625F" w:rsidP="00F30A15">
            <w:pPr>
              <w:jc w:val="right"/>
              <w:rPr>
                <w:rFonts w:ascii="Arial" w:hAnsi="Arial" w:cs="Arial"/>
                <w:sz w:val="16"/>
                <w:szCs w:val="16"/>
                <w:lang w:eastAsia="es-AR"/>
              </w:rPr>
            </w:pPr>
            <w:r w:rsidRPr="0061625F">
              <w:rPr>
                <w:rFonts w:ascii="Arial" w:hAnsi="Arial" w:cs="Arial"/>
                <w:sz w:val="16"/>
                <w:szCs w:val="16"/>
                <w:lang w:eastAsia="es-AR"/>
              </w:rPr>
              <w:t>2.776.348</w:t>
            </w:r>
          </w:p>
        </w:tc>
        <w:tc>
          <w:tcPr>
            <w:tcW w:w="729" w:type="pct"/>
            <w:tcBorders>
              <w:top w:val="nil"/>
              <w:left w:val="nil"/>
              <w:bottom w:val="nil"/>
              <w:right w:val="nil"/>
            </w:tcBorders>
            <w:shd w:val="clear" w:color="auto" w:fill="auto"/>
            <w:vAlign w:val="bottom"/>
          </w:tcPr>
          <w:p w14:paraId="7861E284" w14:textId="3DFDBF69"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2.275.283</w:t>
            </w:r>
          </w:p>
        </w:tc>
      </w:tr>
      <w:tr w:rsidR="002B72BA" w:rsidRPr="00593C40" w14:paraId="25F80BC2" w14:textId="77777777" w:rsidTr="00F30A15">
        <w:trPr>
          <w:trHeight w:val="121"/>
        </w:trPr>
        <w:tc>
          <w:tcPr>
            <w:tcW w:w="3257" w:type="pct"/>
            <w:tcBorders>
              <w:top w:val="nil"/>
              <w:left w:val="nil"/>
              <w:bottom w:val="nil"/>
              <w:right w:val="nil"/>
            </w:tcBorders>
            <w:shd w:val="clear" w:color="auto" w:fill="auto"/>
            <w:hideMark/>
          </w:tcPr>
          <w:p w14:paraId="38E47B5A" w14:textId="77777777" w:rsidR="002B72BA" w:rsidRPr="00593C40" w:rsidRDefault="002B72BA" w:rsidP="00F30A15">
            <w:pPr>
              <w:jc w:val="right"/>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305CEC96" w14:textId="77777777" w:rsidR="002B72BA" w:rsidRPr="00593C40" w:rsidRDefault="002B72BA" w:rsidP="00F30A15">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77ECF581" w14:textId="77777777" w:rsidR="002B72BA" w:rsidRPr="00593C40" w:rsidRDefault="002B72BA" w:rsidP="00F30A15">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58934CD9" w14:textId="77777777" w:rsidR="002B72BA" w:rsidRPr="00593C40" w:rsidRDefault="002B72BA" w:rsidP="00F30A15">
            <w:pPr>
              <w:jc w:val="right"/>
              <w:rPr>
                <w:rFonts w:ascii="Arial" w:hAnsi="Arial" w:cs="Arial"/>
                <w:sz w:val="10"/>
                <w:szCs w:val="10"/>
                <w:lang w:eastAsia="es-AR"/>
              </w:rPr>
            </w:pPr>
          </w:p>
        </w:tc>
      </w:tr>
      <w:tr w:rsidR="002B72BA" w:rsidRPr="002D55D1" w14:paraId="2800ECFC" w14:textId="77777777" w:rsidTr="00F30A15">
        <w:trPr>
          <w:trHeight w:val="293"/>
        </w:trPr>
        <w:tc>
          <w:tcPr>
            <w:tcW w:w="3257" w:type="pct"/>
            <w:tcBorders>
              <w:top w:val="nil"/>
              <w:left w:val="nil"/>
              <w:bottom w:val="nil"/>
              <w:right w:val="nil"/>
            </w:tcBorders>
            <w:shd w:val="clear" w:color="auto" w:fill="auto"/>
            <w:hideMark/>
          </w:tcPr>
          <w:p w14:paraId="37E7CCAC" w14:textId="77777777" w:rsidR="002B72BA" w:rsidRPr="002D55D1" w:rsidRDefault="002B72BA" w:rsidP="00F30A15">
            <w:pPr>
              <w:rPr>
                <w:rFonts w:ascii="Arial" w:hAnsi="Arial" w:cs="Arial"/>
                <w:b/>
                <w:bCs/>
                <w:sz w:val="16"/>
                <w:szCs w:val="16"/>
                <w:lang w:eastAsia="es-AR"/>
              </w:rPr>
            </w:pPr>
            <w:r w:rsidRPr="002D55D1">
              <w:rPr>
                <w:rFonts w:ascii="Arial" w:hAnsi="Arial" w:cs="Arial"/>
                <w:b/>
                <w:bCs/>
                <w:sz w:val="16"/>
                <w:szCs w:val="16"/>
                <w:lang w:eastAsia="es-AR"/>
              </w:rPr>
              <w:t>Ajustes para obtener los flujos provenientes de actividades operativas:</w:t>
            </w:r>
          </w:p>
        </w:tc>
        <w:tc>
          <w:tcPr>
            <w:tcW w:w="411" w:type="pct"/>
            <w:tcBorders>
              <w:top w:val="nil"/>
              <w:left w:val="nil"/>
              <w:bottom w:val="nil"/>
              <w:right w:val="nil"/>
            </w:tcBorders>
            <w:shd w:val="clear" w:color="auto" w:fill="auto"/>
            <w:hideMark/>
          </w:tcPr>
          <w:p w14:paraId="52A3A8FE" w14:textId="77777777" w:rsidR="002B72BA" w:rsidRPr="002D55D1" w:rsidRDefault="002B72BA" w:rsidP="00F30A1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6B96EF30" w14:textId="77777777" w:rsidR="002B72BA" w:rsidRPr="00593C40"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1862F941" w14:textId="77777777" w:rsidR="002B72BA" w:rsidRPr="00593C40" w:rsidRDefault="002B72BA" w:rsidP="00F30A15">
            <w:pPr>
              <w:jc w:val="right"/>
              <w:rPr>
                <w:rFonts w:ascii="Arial" w:hAnsi="Arial" w:cs="Arial"/>
                <w:sz w:val="16"/>
                <w:szCs w:val="16"/>
                <w:lang w:eastAsia="es-AR"/>
              </w:rPr>
            </w:pPr>
          </w:p>
        </w:tc>
      </w:tr>
      <w:tr w:rsidR="002B72BA" w:rsidRPr="002D55D1" w14:paraId="4E8BE7B1" w14:textId="77777777" w:rsidTr="002E2271">
        <w:trPr>
          <w:trHeight w:val="285"/>
        </w:trPr>
        <w:tc>
          <w:tcPr>
            <w:tcW w:w="3257" w:type="pct"/>
            <w:tcBorders>
              <w:top w:val="nil"/>
              <w:left w:val="nil"/>
              <w:bottom w:val="nil"/>
              <w:right w:val="nil"/>
            </w:tcBorders>
            <w:shd w:val="clear" w:color="auto" w:fill="auto"/>
            <w:vAlign w:val="bottom"/>
            <w:hideMark/>
          </w:tcPr>
          <w:p w14:paraId="46904621"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Amortizaciones y desvalorizaciones</w:t>
            </w:r>
          </w:p>
        </w:tc>
        <w:tc>
          <w:tcPr>
            <w:tcW w:w="411" w:type="pct"/>
            <w:tcBorders>
              <w:top w:val="nil"/>
              <w:left w:val="nil"/>
              <w:bottom w:val="nil"/>
              <w:right w:val="nil"/>
            </w:tcBorders>
            <w:shd w:val="clear" w:color="auto" w:fill="auto"/>
            <w:hideMark/>
          </w:tcPr>
          <w:p w14:paraId="27DF3DE0"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3A5584B4" w14:textId="76790A88" w:rsidR="002B72BA" w:rsidRPr="00593C40" w:rsidRDefault="002E1925" w:rsidP="00F30A15">
            <w:pPr>
              <w:jc w:val="right"/>
              <w:rPr>
                <w:rFonts w:ascii="Arial" w:hAnsi="Arial" w:cs="Arial"/>
                <w:sz w:val="16"/>
                <w:szCs w:val="16"/>
                <w:lang w:eastAsia="es-AR"/>
              </w:rPr>
            </w:pPr>
            <w:r w:rsidRPr="002E1925">
              <w:rPr>
                <w:rFonts w:ascii="Arial" w:hAnsi="Arial" w:cs="Arial"/>
                <w:sz w:val="16"/>
                <w:szCs w:val="16"/>
                <w:lang w:eastAsia="es-AR"/>
              </w:rPr>
              <w:t xml:space="preserve">816.646 </w:t>
            </w:r>
          </w:p>
        </w:tc>
        <w:tc>
          <w:tcPr>
            <w:tcW w:w="729" w:type="pct"/>
            <w:tcBorders>
              <w:top w:val="nil"/>
              <w:left w:val="nil"/>
              <w:bottom w:val="nil"/>
              <w:right w:val="nil"/>
            </w:tcBorders>
            <w:shd w:val="clear" w:color="auto" w:fill="auto"/>
            <w:vAlign w:val="bottom"/>
          </w:tcPr>
          <w:p w14:paraId="7DD0CE6B" w14:textId="318326D9" w:rsidR="002B72BA" w:rsidRPr="00593C40" w:rsidRDefault="00A10D09" w:rsidP="00F30A15">
            <w:pPr>
              <w:jc w:val="right"/>
              <w:rPr>
                <w:rFonts w:ascii="Arial" w:hAnsi="Arial" w:cs="Arial"/>
                <w:sz w:val="16"/>
                <w:szCs w:val="16"/>
                <w:lang w:eastAsia="es-AR"/>
              </w:rPr>
            </w:pPr>
            <w:r>
              <w:rPr>
                <w:rFonts w:ascii="Arial" w:hAnsi="Arial" w:cs="Arial"/>
                <w:sz w:val="16"/>
                <w:szCs w:val="16"/>
                <w:lang w:eastAsia="es-AR"/>
              </w:rPr>
              <w:t>298.671</w:t>
            </w:r>
          </w:p>
        </w:tc>
      </w:tr>
      <w:tr w:rsidR="002B72BA" w:rsidRPr="002D55D1" w14:paraId="51C72A93" w14:textId="77777777" w:rsidTr="002E2271">
        <w:trPr>
          <w:trHeight w:val="285"/>
        </w:trPr>
        <w:tc>
          <w:tcPr>
            <w:tcW w:w="3257" w:type="pct"/>
            <w:tcBorders>
              <w:top w:val="nil"/>
              <w:left w:val="nil"/>
              <w:bottom w:val="nil"/>
              <w:right w:val="nil"/>
            </w:tcBorders>
            <w:shd w:val="clear" w:color="auto" w:fill="auto"/>
            <w:vAlign w:val="bottom"/>
            <w:hideMark/>
          </w:tcPr>
          <w:p w14:paraId="68443ED9"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Cargo por incobrabilidad</w:t>
            </w:r>
          </w:p>
        </w:tc>
        <w:tc>
          <w:tcPr>
            <w:tcW w:w="411" w:type="pct"/>
            <w:tcBorders>
              <w:top w:val="nil"/>
              <w:left w:val="nil"/>
              <w:bottom w:val="nil"/>
              <w:right w:val="nil"/>
            </w:tcBorders>
            <w:shd w:val="clear" w:color="auto" w:fill="auto"/>
            <w:hideMark/>
          </w:tcPr>
          <w:p w14:paraId="1D2C0AF6"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3DAD4A12" w14:textId="1C95F4DA" w:rsidR="002B72BA" w:rsidRPr="00593C40" w:rsidRDefault="0061625F" w:rsidP="00F30A15">
            <w:pPr>
              <w:jc w:val="right"/>
              <w:rPr>
                <w:rFonts w:ascii="Arial" w:hAnsi="Arial" w:cs="Arial"/>
                <w:sz w:val="16"/>
                <w:szCs w:val="16"/>
                <w:lang w:eastAsia="es-AR"/>
              </w:rPr>
            </w:pPr>
            <w:r w:rsidRPr="0061625F">
              <w:rPr>
                <w:rFonts w:ascii="Arial" w:hAnsi="Arial" w:cs="Arial"/>
                <w:sz w:val="16"/>
                <w:szCs w:val="16"/>
                <w:lang w:eastAsia="es-AR"/>
              </w:rPr>
              <w:t>5.195.343</w:t>
            </w:r>
          </w:p>
        </w:tc>
        <w:tc>
          <w:tcPr>
            <w:tcW w:w="729" w:type="pct"/>
            <w:tcBorders>
              <w:top w:val="nil"/>
              <w:left w:val="nil"/>
              <w:bottom w:val="nil"/>
              <w:right w:val="nil"/>
            </w:tcBorders>
            <w:shd w:val="clear" w:color="auto" w:fill="auto"/>
            <w:vAlign w:val="bottom"/>
          </w:tcPr>
          <w:p w14:paraId="3BFF720D" w14:textId="463813FF"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2.303.264</w:t>
            </w:r>
          </w:p>
        </w:tc>
      </w:tr>
      <w:tr w:rsidR="002B72BA" w:rsidRPr="002D55D1" w14:paraId="44D16749" w14:textId="77777777" w:rsidTr="002E2271">
        <w:trPr>
          <w:trHeight w:val="285"/>
        </w:trPr>
        <w:tc>
          <w:tcPr>
            <w:tcW w:w="3257" w:type="pct"/>
            <w:tcBorders>
              <w:top w:val="nil"/>
              <w:left w:val="nil"/>
              <w:bottom w:val="nil"/>
              <w:right w:val="nil"/>
            </w:tcBorders>
            <w:shd w:val="clear" w:color="auto" w:fill="auto"/>
            <w:vAlign w:val="bottom"/>
          </w:tcPr>
          <w:p w14:paraId="60B918AD" w14:textId="77777777" w:rsidR="002B72BA" w:rsidRPr="002D55D1" w:rsidRDefault="002B72BA" w:rsidP="002E2271">
            <w:pPr>
              <w:ind w:firstLineChars="100" w:firstLine="160"/>
              <w:rPr>
                <w:rFonts w:ascii="Arial" w:hAnsi="Arial" w:cs="Arial"/>
                <w:sz w:val="16"/>
                <w:szCs w:val="16"/>
                <w:lang w:eastAsia="es-AR"/>
              </w:rPr>
            </w:pPr>
            <w:r w:rsidRPr="006F757F">
              <w:rPr>
                <w:rFonts w:ascii="Arial" w:hAnsi="Arial" w:cs="Arial"/>
                <w:sz w:val="16"/>
                <w:szCs w:val="16"/>
                <w:lang w:eastAsia="es-AR"/>
              </w:rPr>
              <w:t>Intereses de préstamos y otras financiaciones</w:t>
            </w:r>
          </w:p>
        </w:tc>
        <w:tc>
          <w:tcPr>
            <w:tcW w:w="411" w:type="pct"/>
            <w:tcBorders>
              <w:top w:val="nil"/>
              <w:left w:val="nil"/>
              <w:bottom w:val="nil"/>
              <w:right w:val="nil"/>
            </w:tcBorders>
            <w:shd w:val="clear" w:color="auto" w:fill="auto"/>
          </w:tcPr>
          <w:p w14:paraId="37F4856E"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3AAFABF8" w14:textId="0DC03266" w:rsidR="002B72BA" w:rsidRPr="006F757F" w:rsidRDefault="00881345" w:rsidP="00F30A15">
            <w:pPr>
              <w:jc w:val="right"/>
              <w:rPr>
                <w:rFonts w:ascii="Arial" w:hAnsi="Arial" w:cs="Arial"/>
                <w:sz w:val="16"/>
                <w:szCs w:val="16"/>
                <w:lang w:eastAsia="es-AR"/>
              </w:rPr>
            </w:pPr>
            <w:r w:rsidRPr="00881345">
              <w:rPr>
                <w:rFonts w:ascii="Arial" w:hAnsi="Arial" w:cs="Arial"/>
                <w:sz w:val="16"/>
                <w:szCs w:val="16"/>
                <w:lang w:eastAsia="es-AR"/>
              </w:rPr>
              <w:t>-10.305.850</w:t>
            </w:r>
          </w:p>
        </w:tc>
        <w:tc>
          <w:tcPr>
            <w:tcW w:w="729" w:type="pct"/>
            <w:tcBorders>
              <w:top w:val="nil"/>
              <w:left w:val="nil"/>
              <w:bottom w:val="nil"/>
              <w:right w:val="nil"/>
            </w:tcBorders>
            <w:shd w:val="clear" w:color="auto" w:fill="auto"/>
            <w:vAlign w:val="bottom"/>
          </w:tcPr>
          <w:p w14:paraId="00652F3A" w14:textId="755E2D7E" w:rsidR="002B72BA" w:rsidRPr="00593C40" w:rsidRDefault="00F91A5E" w:rsidP="00F30A15">
            <w:pPr>
              <w:jc w:val="right"/>
              <w:rPr>
                <w:rFonts w:ascii="Arial" w:hAnsi="Arial" w:cs="Arial"/>
                <w:sz w:val="16"/>
                <w:szCs w:val="16"/>
                <w:lang w:eastAsia="es-AR"/>
              </w:rPr>
            </w:pPr>
            <w:r w:rsidRPr="00F91A5E">
              <w:rPr>
                <w:rFonts w:ascii="Arial" w:hAnsi="Arial" w:cs="Arial"/>
                <w:sz w:val="16"/>
                <w:szCs w:val="16"/>
                <w:lang w:eastAsia="es-AR"/>
              </w:rPr>
              <w:t>-5.289.219</w:t>
            </w:r>
          </w:p>
        </w:tc>
      </w:tr>
      <w:tr w:rsidR="002B72BA" w:rsidRPr="002D55D1" w14:paraId="4ECAC1B8" w14:textId="77777777" w:rsidTr="002E2271">
        <w:trPr>
          <w:trHeight w:val="285"/>
        </w:trPr>
        <w:tc>
          <w:tcPr>
            <w:tcW w:w="3257" w:type="pct"/>
            <w:tcBorders>
              <w:top w:val="nil"/>
              <w:left w:val="nil"/>
              <w:bottom w:val="nil"/>
              <w:right w:val="nil"/>
            </w:tcBorders>
            <w:shd w:val="clear" w:color="auto" w:fill="auto"/>
            <w:vAlign w:val="bottom"/>
          </w:tcPr>
          <w:p w14:paraId="30744399" w14:textId="77777777" w:rsidR="002B72BA" w:rsidRPr="002D55D1" w:rsidRDefault="002B72BA" w:rsidP="002E2271">
            <w:pPr>
              <w:ind w:firstLineChars="100" w:firstLine="160"/>
              <w:rPr>
                <w:rFonts w:ascii="Arial" w:hAnsi="Arial" w:cs="Arial"/>
                <w:sz w:val="16"/>
                <w:szCs w:val="16"/>
                <w:lang w:eastAsia="es-AR"/>
              </w:rPr>
            </w:pPr>
            <w:r w:rsidRPr="006F757F">
              <w:rPr>
                <w:rFonts w:ascii="Arial" w:hAnsi="Arial" w:cs="Arial"/>
                <w:sz w:val="16"/>
                <w:szCs w:val="16"/>
                <w:lang w:eastAsia="es-AR"/>
              </w:rPr>
              <w:t>Intereses de depósitos y financiaciones recibidas de otras instituciones financieras</w:t>
            </w:r>
          </w:p>
        </w:tc>
        <w:tc>
          <w:tcPr>
            <w:tcW w:w="411" w:type="pct"/>
            <w:tcBorders>
              <w:top w:val="nil"/>
              <w:left w:val="nil"/>
              <w:bottom w:val="nil"/>
              <w:right w:val="nil"/>
            </w:tcBorders>
            <w:shd w:val="clear" w:color="auto" w:fill="auto"/>
          </w:tcPr>
          <w:p w14:paraId="775211E8"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285DC81" w14:textId="3F6893E4" w:rsidR="002B72BA" w:rsidRPr="006F757F" w:rsidRDefault="00881345" w:rsidP="00F30A15">
            <w:pPr>
              <w:jc w:val="right"/>
              <w:rPr>
                <w:rFonts w:ascii="Arial" w:hAnsi="Arial" w:cs="Arial"/>
                <w:sz w:val="16"/>
                <w:szCs w:val="16"/>
                <w:lang w:eastAsia="es-AR"/>
              </w:rPr>
            </w:pPr>
            <w:r w:rsidRPr="00881345">
              <w:rPr>
                <w:rFonts w:ascii="Arial" w:hAnsi="Arial" w:cs="Arial"/>
                <w:sz w:val="16"/>
                <w:szCs w:val="16"/>
                <w:lang w:eastAsia="es-AR"/>
              </w:rPr>
              <w:t>1.680.372</w:t>
            </w:r>
          </w:p>
        </w:tc>
        <w:tc>
          <w:tcPr>
            <w:tcW w:w="729" w:type="pct"/>
            <w:tcBorders>
              <w:top w:val="nil"/>
              <w:left w:val="nil"/>
              <w:bottom w:val="nil"/>
              <w:right w:val="nil"/>
            </w:tcBorders>
            <w:shd w:val="clear" w:color="auto" w:fill="auto"/>
            <w:vAlign w:val="bottom"/>
          </w:tcPr>
          <w:p w14:paraId="04691802" w14:textId="292E792C" w:rsidR="002B72BA" w:rsidRPr="00593C40" w:rsidRDefault="00F91A5E" w:rsidP="00F30A15">
            <w:pPr>
              <w:jc w:val="right"/>
              <w:rPr>
                <w:rFonts w:ascii="Arial" w:hAnsi="Arial" w:cs="Arial"/>
                <w:sz w:val="16"/>
                <w:szCs w:val="16"/>
                <w:lang w:eastAsia="es-AR"/>
              </w:rPr>
            </w:pPr>
            <w:r w:rsidRPr="00F91A5E">
              <w:rPr>
                <w:rFonts w:ascii="Arial" w:hAnsi="Arial" w:cs="Arial"/>
                <w:sz w:val="16"/>
                <w:szCs w:val="16"/>
                <w:lang w:eastAsia="es-AR"/>
              </w:rPr>
              <w:t>827.088</w:t>
            </w:r>
          </w:p>
        </w:tc>
      </w:tr>
      <w:tr w:rsidR="002B72BA" w:rsidRPr="002D55D1" w14:paraId="0061DE44" w14:textId="77777777" w:rsidTr="002E2271">
        <w:trPr>
          <w:trHeight w:val="285"/>
        </w:trPr>
        <w:tc>
          <w:tcPr>
            <w:tcW w:w="3257" w:type="pct"/>
            <w:tcBorders>
              <w:top w:val="nil"/>
              <w:left w:val="nil"/>
              <w:bottom w:val="nil"/>
              <w:right w:val="nil"/>
            </w:tcBorders>
            <w:shd w:val="clear" w:color="auto" w:fill="auto"/>
            <w:vAlign w:val="bottom"/>
          </w:tcPr>
          <w:p w14:paraId="53768423" w14:textId="77777777" w:rsidR="002B72BA" w:rsidRPr="002D55D1" w:rsidRDefault="002B72BA" w:rsidP="002E2271">
            <w:pPr>
              <w:ind w:firstLineChars="100" w:firstLine="160"/>
              <w:rPr>
                <w:rFonts w:ascii="Arial" w:hAnsi="Arial" w:cs="Arial"/>
                <w:sz w:val="16"/>
                <w:szCs w:val="16"/>
                <w:lang w:eastAsia="es-AR"/>
              </w:rPr>
            </w:pPr>
            <w:r>
              <w:rPr>
                <w:rFonts w:ascii="Arial" w:hAnsi="Arial" w:cs="Arial"/>
                <w:sz w:val="16"/>
                <w:szCs w:val="16"/>
                <w:lang w:eastAsia="es-AR"/>
              </w:rPr>
              <w:t>Intereses obligaciones negociables</w:t>
            </w:r>
          </w:p>
        </w:tc>
        <w:tc>
          <w:tcPr>
            <w:tcW w:w="411" w:type="pct"/>
            <w:tcBorders>
              <w:top w:val="nil"/>
              <w:left w:val="nil"/>
              <w:bottom w:val="nil"/>
              <w:right w:val="nil"/>
            </w:tcBorders>
            <w:shd w:val="clear" w:color="auto" w:fill="auto"/>
          </w:tcPr>
          <w:p w14:paraId="04B819D2"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5C33E5E" w14:textId="0196D430" w:rsidR="002B72BA" w:rsidRPr="006F757F" w:rsidRDefault="00881345" w:rsidP="00F30A15">
            <w:pPr>
              <w:jc w:val="right"/>
              <w:rPr>
                <w:rFonts w:ascii="Arial" w:hAnsi="Arial" w:cs="Arial"/>
                <w:sz w:val="16"/>
                <w:szCs w:val="16"/>
                <w:lang w:eastAsia="es-AR"/>
              </w:rPr>
            </w:pPr>
            <w:r w:rsidRPr="00881345">
              <w:rPr>
                <w:rFonts w:ascii="Arial" w:hAnsi="Arial" w:cs="Arial"/>
                <w:sz w:val="16"/>
                <w:szCs w:val="16"/>
                <w:lang w:eastAsia="es-AR"/>
              </w:rPr>
              <w:t>417.901</w:t>
            </w:r>
          </w:p>
        </w:tc>
        <w:tc>
          <w:tcPr>
            <w:tcW w:w="729" w:type="pct"/>
            <w:tcBorders>
              <w:top w:val="nil"/>
              <w:left w:val="nil"/>
              <w:bottom w:val="nil"/>
              <w:right w:val="nil"/>
            </w:tcBorders>
            <w:shd w:val="clear" w:color="auto" w:fill="auto"/>
            <w:vAlign w:val="bottom"/>
          </w:tcPr>
          <w:p w14:paraId="4E3C7503" w14:textId="51422D89" w:rsidR="002B72BA" w:rsidRPr="00593C40" w:rsidRDefault="00F91A5E" w:rsidP="00F30A15">
            <w:pPr>
              <w:jc w:val="right"/>
              <w:rPr>
                <w:rFonts w:ascii="Arial" w:hAnsi="Arial" w:cs="Arial"/>
                <w:sz w:val="16"/>
                <w:szCs w:val="16"/>
                <w:lang w:eastAsia="es-AR"/>
              </w:rPr>
            </w:pPr>
            <w:r>
              <w:rPr>
                <w:rFonts w:ascii="Arial" w:hAnsi="Arial" w:cs="Arial"/>
                <w:sz w:val="16"/>
                <w:szCs w:val="16"/>
                <w:lang w:eastAsia="es-AR"/>
              </w:rPr>
              <w:t>531.232</w:t>
            </w:r>
          </w:p>
        </w:tc>
      </w:tr>
      <w:tr w:rsidR="002B72BA" w:rsidRPr="002D55D1" w14:paraId="4CCAC707" w14:textId="77777777" w:rsidTr="002E2271">
        <w:trPr>
          <w:trHeight w:val="285"/>
        </w:trPr>
        <w:tc>
          <w:tcPr>
            <w:tcW w:w="3257" w:type="pct"/>
            <w:tcBorders>
              <w:top w:val="nil"/>
              <w:left w:val="nil"/>
              <w:bottom w:val="nil"/>
              <w:right w:val="nil"/>
            </w:tcBorders>
            <w:shd w:val="clear" w:color="auto" w:fill="auto"/>
            <w:vAlign w:val="bottom"/>
          </w:tcPr>
          <w:p w14:paraId="459898F1" w14:textId="3B10D6C7" w:rsidR="002B72BA" w:rsidRPr="006F757F" w:rsidRDefault="00B05BE2" w:rsidP="002E2271">
            <w:pPr>
              <w:ind w:firstLineChars="100" w:firstLine="160"/>
              <w:rPr>
                <w:rFonts w:ascii="Arial" w:hAnsi="Arial" w:cs="Arial"/>
                <w:sz w:val="16"/>
                <w:szCs w:val="16"/>
                <w:lang w:eastAsia="es-AR"/>
              </w:rPr>
            </w:pPr>
            <w:r>
              <w:rPr>
                <w:rFonts w:ascii="Arial" w:hAnsi="Arial" w:cs="Arial"/>
                <w:sz w:val="16"/>
                <w:szCs w:val="16"/>
                <w:lang w:eastAsia="es-AR"/>
              </w:rPr>
              <w:t>Gastos de Administración</w:t>
            </w:r>
          </w:p>
        </w:tc>
        <w:tc>
          <w:tcPr>
            <w:tcW w:w="411" w:type="pct"/>
            <w:tcBorders>
              <w:top w:val="nil"/>
              <w:left w:val="nil"/>
              <w:bottom w:val="nil"/>
              <w:right w:val="nil"/>
            </w:tcBorders>
            <w:shd w:val="clear" w:color="auto" w:fill="auto"/>
          </w:tcPr>
          <w:p w14:paraId="0A301EE9"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31E8BD6" w14:textId="4E74E7DB" w:rsidR="002B72BA" w:rsidRPr="006F757F" w:rsidRDefault="00881345" w:rsidP="00F30A15">
            <w:pPr>
              <w:jc w:val="right"/>
              <w:rPr>
                <w:rFonts w:ascii="Arial" w:hAnsi="Arial" w:cs="Arial"/>
                <w:sz w:val="16"/>
                <w:szCs w:val="16"/>
                <w:lang w:eastAsia="es-AR"/>
              </w:rPr>
            </w:pPr>
            <w:r w:rsidRPr="00881345">
              <w:rPr>
                <w:rFonts w:ascii="Arial" w:hAnsi="Arial" w:cs="Arial"/>
                <w:sz w:val="16"/>
                <w:szCs w:val="16"/>
                <w:lang w:eastAsia="es-AR"/>
              </w:rPr>
              <w:t>2.101.280</w:t>
            </w:r>
          </w:p>
        </w:tc>
        <w:tc>
          <w:tcPr>
            <w:tcW w:w="729" w:type="pct"/>
            <w:tcBorders>
              <w:top w:val="nil"/>
              <w:left w:val="nil"/>
              <w:bottom w:val="nil"/>
              <w:right w:val="nil"/>
            </w:tcBorders>
            <w:shd w:val="clear" w:color="auto" w:fill="auto"/>
            <w:vAlign w:val="bottom"/>
          </w:tcPr>
          <w:p w14:paraId="75E77D9C" w14:textId="68E88451" w:rsidR="002B72BA" w:rsidRPr="00593C40" w:rsidRDefault="00F91A5E" w:rsidP="00F30A15">
            <w:pPr>
              <w:jc w:val="right"/>
              <w:rPr>
                <w:rFonts w:ascii="Arial" w:hAnsi="Arial" w:cs="Arial"/>
                <w:sz w:val="16"/>
                <w:szCs w:val="16"/>
                <w:lang w:eastAsia="es-AR"/>
              </w:rPr>
            </w:pPr>
            <w:r w:rsidRPr="00F91A5E">
              <w:rPr>
                <w:rFonts w:ascii="Arial" w:hAnsi="Arial" w:cs="Arial"/>
                <w:sz w:val="16"/>
                <w:szCs w:val="16"/>
                <w:lang w:eastAsia="es-AR"/>
              </w:rPr>
              <w:t>936.752</w:t>
            </w:r>
          </w:p>
        </w:tc>
      </w:tr>
      <w:tr w:rsidR="002B72BA" w:rsidRPr="002D55D1" w14:paraId="3F0F222D" w14:textId="77777777" w:rsidTr="002E2271">
        <w:trPr>
          <w:trHeight w:val="281"/>
        </w:trPr>
        <w:tc>
          <w:tcPr>
            <w:tcW w:w="3257" w:type="pct"/>
            <w:tcBorders>
              <w:top w:val="nil"/>
              <w:left w:val="nil"/>
              <w:bottom w:val="nil"/>
              <w:right w:val="nil"/>
            </w:tcBorders>
            <w:shd w:val="clear" w:color="auto" w:fill="auto"/>
            <w:vAlign w:val="bottom"/>
          </w:tcPr>
          <w:p w14:paraId="1A422D0A" w14:textId="77777777" w:rsidR="002B72BA" w:rsidRPr="006F757F" w:rsidRDefault="002B72BA" w:rsidP="002E2271">
            <w:pPr>
              <w:ind w:firstLineChars="100" w:firstLine="160"/>
              <w:rPr>
                <w:rFonts w:ascii="Arial" w:hAnsi="Arial" w:cs="Arial"/>
                <w:sz w:val="16"/>
                <w:szCs w:val="16"/>
                <w:lang w:eastAsia="es-AR"/>
              </w:rPr>
            </w:pPr>
            <w:r>
              <w:rPr>
                <w:rFonts w:ascii="Arial" w:hAnsi="Arial" w:cs="Arial"/>
                <w:sz w:val="16"/>
                <w:szCs w:val="16"/>
                <w:lang w:eastAsia="es-AR"/>
              </w:rPr>
              <w:t>Efecto variación tipo de cambio</w:t>
            </w:r>
          </w:p>
        </w:tc>
        <w:tc>
          <w:tcPr>
            <w:tcW w:w="411" w:type="pct"/>
            <w:tcBorders>
              <w:top w:val="nil"/>
              <w:left w:val="nil"/>
              <w:bottom w:val="nil"/>
              <w:right w:val="nil"/>
            </w:tcBorders>
            <w:shd w:val="clear" w:color="auto" w:fill="auto"/>
          </w:tcPr>
          <w:p w14:paraId="77C695C5"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86CAF2A" w14:textId="49D909D6" w:rsidR="002B72BA" w:rsidRPr="006F757F" w:rsidRDefault="00881345" w:rsidP="00F30A15">
            <w:pPr>
              <w:jc w:val="right"/>
              <w:rPr>
                <w:rFonts w:ascii="Arial" w:hAnsi="Arial" w:cs="Arial"/>
                <w:sz w:val="16"/>
                <w:szCs w:val="16"/>
                <w:lang w:eastAsia="es-AR"/>
              </w:rPr>
            </w:pPr>
            <w:r w:rsidRPr="00881345">
              <w:rPr>
                <w:rFonts w:ascii="Arial" w:hAnsi="Arial" w:cs="Arial"/>
                <w:sz w:val="16"/>
                <w:szCs w:val="16"/>
                <w:lang w:eastAsia="es-AR"/>
              </w:rPr>
              <w:t>-4.913.725</w:t>
            </w:r>
          </w:p>
        </w:tc>
        <w:tc>
          <w:tcPr>
            <w:tcW w:w="729" w:type="pct"/>
            <w:tcBorders>
              <w:top w:val="nil"/>
              <w:left w:val="nil"/>
              <w:bottom w:val="nil"/>
              <w:right w:val="nil"/>
            </w:tcBorders>
            <w:shd w:val="clear" w:color="auto" w:fill="auto"/>
            <w:vAlign w:val="bottom"/>
          </w:tcPr>
          <w:p w14:paraId="1C8896D5" w14:textId="444763B0" w:rsidR="002B72BA" w:rsidRPr="00593C40" w:rsidRDefault="00F91A5E" w:rsidP="00F30A15">
            <w:pPr>
              <w:jc w:val="right"/>
              <w:rPr>
                <w:rFonts w:ascii="Arial" w:hAnsi="Arial" w:cs="Arial"/>
                <w:sz w:val="16"/>
                <w:szCs w:val="16"/>
                <w:lang w:eastAsia="es-AR"/>
              </w:rPr>
            </w:pPr>
            <w:r w:rsidRPr="00F91A5E">
              <w:rPr>
                <w:rFonts w:ascii="Arial" w:hAnsi="Arial" w:cs="Arial"/>
                <w:sz w:val="16"/>
                <w:szCs w:val="16"/>
                <w:lang w:eastAsia="es-AR"/>
              </w:rPr>
              <w:t>-6.152.172</w:t>
            </w:r>
          </w:p>
        </w:tc>
      </w:tr>
      <w:tr w:rsidR="002B72BA" w:rsidRPr="002D55D1" w14:paraId="23C10E1C" w14:textId="77777777" w:rsidTr="002E2271">
        <w:trPr>
          <w:trHeight w:val="285"/>
        </w:trPr>
        <w:tc>
          <w:tcPr>
            <w:tcW w:w="3257" w:type="pct"/>
            <w:tcBorders>
              <w:top w:val="nil"/>
              <w:left w:val="nil"/>
              <w:bottom w:val="nil"/>
              <w:right w:val="nil"/>
            </w:tcBorders>
            <w:shd w:val="clear" w:color="auto" w:fill="auto"/>
            <w:vAlign w:val="bottom"/>
          </w:tcPr>
          <w:p w14:paraId="429EE60C" w14:textId="77777777" w:rsidR="002B72BA" w:rsidRDefault="002B72BA" w:rsidP="002E2271">
            <w:pPr>
              <w:ind w:firstLineChars="100" w:firstLine="160"/>
              <w:rPr>
                <w:rFonts w:ascii="Arial" w:hAnsi="Arial" w:cs="Arial"/>
                <w:sz w:val="16"/>
                <w:szCs w:val="16"/>
                <w:lang w:eastAsia="es-AR"/>
              </w:rPr>
            </w:pPr>
            <w:r>
              <w:rPr>
                <w:rFonts w:ascii="Arial" w:hAnsi="Arial" w:cs="Arial"/>
                <w:sz w:val="16"/>
                <w:szCs w:val="16"/>
                <w:lang w:eastAsia="es-AR"/>
              </w:rPr>
              <w:t xml:space="preserve">Intereses pasivos por arrendamientos </w:t>
            </w:r>
          </w:p>
        </w:tc>
        <w:tc>
          <w:tcPr>
            <w:tcW w:w="411" w:type="pct"/>
            <w:tcBorders>
              <w:top w:val="nil"/>
              <w:left w:val="nil"/>
              <w:bottom w:val="nil"/>
              <w:right w:val="nil"/>
            </w:tcBorders>
            <w:shd w:val="clear" w:color="auto" w:fill="auto"/>
          </w:tcPr>
          <w:p w14:paraId="64EC420F"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56AF2246" w14:textId="3FDF02F9" w:rsidR="002B72BA" w:rsidRPr="005F0795" w:rsidRDefault="0061625F" w:rsidP="00F30A15">
            <w:pPr>
              <w:jc w:val="right"/>
              <w:rPr>
                <w:rFonts w:ascii="Arial" w:hAnsi="Arial" w:cs="Arial"/>
                <w:sz w:val="16"/>
                <w:szCs w:val="16"/>
                <w:lang w:eastAsia="es-AR"/>
              </w:rPr>
            </w:pPr>
            <w:r w:rsidRPr="0061625F">
              <w:rPr>
                <w:rFonts w:ascii="Arial" w:hAnsi="Arial" w:cs="Arial"/>
                <w:sz w:val="16"/>
                <w:szCs w:val="16"/>
                <w:lang w:eastAsia="es-AR"/>
              </w:rPr>
              <w:t>173.964</w:t>
            </w:r>
          </w:p>
        </w:tc>
        <w:tc>
          <w:tcPr>
            <w:tcW w:w="729" w:type="pct"/>
            <w:tcBorders>
              <w:top w:val="nil"/>
              <w:left w:val="nil"/>
              <w:bottom w:val="nil"/>
              <w:right w:val="nil"/>
            </w:tcBorders>
            <w:shd w:val="clear" w:color="auto" w:fill="auto"/>
            <w:vAlign w:val="bottom"/>
          </w:tcPr>
          <w:p w14:paraId="17C2B5B1" w14:textId="01C8235E" w:rsidR="002B72BA" w:rsidRPr="00593C40" w:rsidRDefault="00F91A5E" w:rsidP="00F30A15">
            <w:pPr>
              <w:jc w:val="right"/>
              <w:rPr>
                <w:rFonts w:ascii="Arial" w:hAnsi="Arial" w:cs="Arial"/>
                <w:sz w:val="16"/>
                <w:szCs w:val="16"/>
                <w:lang w:eastAsia="es-AR"/>
              </w:rPr>
            </w:pPr>
            <w:r>
              <w:rPr>
                <w:rFonts w:ascii="Arial" w:hAnsi="Arial" w:cs="Arial"/>
                <w:sz w:val="16"/>
                <w:szCs w:val="16"/>
                <w:lang w:eastAsia="es-AR"/>
              </w:rPr>
              <w:t>-</w:t>
            </w:r>
          </w:p>
        </w:tc>
      </w:tr>
      <w:tr w:rsidR="00B05BE2" w:rsidRPr="002D55D1" w14:paraId="66B96E74" w14:textId="77777777" w:rsidTr="002E2271">
        <w:trPr>
          <w:trHeight w:val="285"/>
        </w:trPr>
        <w:tc>
          <w:tcPr>
            <w:tcW w:w="3257" w:type="pct"/>
            <w:tcBorders>
              <w:top w:val="nil"/>
              <w:left w:val="nil"/>
              <w:bottom w:val="nil"/>
              <w:right w:val="nil"/>
            </w:tcBorders>
            <w:shd w:val="clear" w:color="auto" w:fill="auto"/>
            <w:vAlign w:val="bottom"/>
          </w:tcPr>
          <w:p w14:paraId="20225D4A" w14:textId="752DFD95" w:rsidR="00B05BE2" w:rsidRDefault="00B05BE2" w:rsidP="002E2271">
            <w:pPr>
              <w:ind w:firstLineChars="100" w:firstLine="160"/>
              <w:rPr>
                <w:rFonts w:ascii="Arial" w:hAnsi="Arial" w:cs="Arial"/>
                <w:sz w:val="16"/>
                <w:szCs w:val="16"/>
                <w:lang w:eastAsia="es-AR"/>
              </w:rPr>
            </w:pPr>
            <w:r>
              <w:rPr>
                <w:rFonts w:ascii="Arial" w:hAnsi="Arial" w:cs="Arial"/>
                <w:sz w:val="16"/>
                <w:szCs w:val="16"/>
                <w:lang w:eastAsia="es-AR"/>
              </w:rPr>
              <w:t>Efecto del tipo de cambio de las ON Subordinadas</w:t>
            </w:r>
          </w:p>
        </w:tc>
        <w:tc>
          <w:tcPr>
            <w:tcW w:w="411" w:type="pct"/>
            <w:tcBorders>
              <w:top w:val="nil"/>
              <w:left w:val="nil"/>
              <w:bottom w:val="nil"/>
              <w:right w:val="nil"/>
            </w:tcBorders>
            <w:shd w:val="clear" w:color="auto" w:fill="auto"/>
          </w:tcPr>
          <w:p w14:paraId="6161AD0F" w14:textId="77777777" w:rsidR="00B05BE2" w:rsidRPr="002D55D1" w:rsidRDefault="00B05BE2"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B390CBC" w14:textId="5038B523" w:rsidR="00B05BE2" w:rsidRPr="005F0795" w:rsidRDefault="00881345" w:rsidP="00F30A15">
            <w:pPr>
              <w:jc w:val="right"/>
              <w:rPr>
                <w:rFonts w:ascii="Arial" w:hAnsi="Arial" w:cs="Arial"/>
                <w:sz w:val="16"/>
                <w:szCs w:val="16"/>
                <w:lang w:eastAsia="es-AR"/>
              </w:rPr>
            </w:pPr>
            <w:r w:rsidRPr="00881345">
              <w:rPr>
                <w:rFonts w:ascii="Arial" w:hAnsi="Arial" w:cs="Arial"/>
                <w:sz w:val="16"/>
                <w:szCs w:val="16"/>
                <w:lang w:eastAsia="es-AR"/>
              </w:rPr>
              <w:t>794.515</w:t>
            </w:r>
          </w:p>
        </w:tc>
        <w:tc>
          <w:tcPr>
            <w:tcW w:w="729" w:type="pct"/>
            <w:tcBorders>
              <w:top w:val="nil"/>
              <w:left w:val="nil"/>
              <w:bottom w:val="nil"/>
              <w:right w:val="nil"/>
            </w:tcBorders>
            <w:shd w:val="clear" w:color="auto" w:fill="auto"/>
            <w:vAlign w:val="bottom"/>
          </w:tcPr>
          <w:p w14:paraId="56AA84E7" w14:textId="08A7BC5E" w:rsidR="00B05BE2" w:rsidRDefault="00F91A5E" w:rsidP="00F30A15">
            <w:pPr>
              <w:jc w:val="right"/>
              <w:rPr>
                <w:rFonts w:ascii="Arial" w:hAnsi="Arial" w:cs="Arial"/>
                <w:sz w:val="16"/>
                <w:szCs w:val="16"/>
                <w:lang w:eastAsia="es-AR"/>
              </w:rPr>
            </w:pPr>
            <w:r w:rsidRPr="00F91A5E">
              <w:rPr>
                <w:rFonts w:ascii="Arial" w:hAnsi="Arial" w:cs="Arial"/>
                <w:sz w:val="16"/>
                <w:szCs w:val="16"/>
                <w:lang w:eastAsia="es-AR"/>
              </w:rPr>
              <w:t>684.779</w:t>
            </w:r>
          </w:p>
        </w:tc>
      </w:tr>
      <w:tr w:rsidR="002B72BA" w:rsidRPr="002D55D1" w14:paraId="207FC81A" w14:textId="77777777" w:rsidTr="002E2271">
        <w:trPr>
          <w:trHeight w:val="205"/>
        </w:trPr>
        <w:tc>
          <w:tcPr>
            <w:tcW w:w="3257" w:type="pct"/>
            <w:tcBorders>
              <w:top w:val="nil"/>
              <w:left w:val="nil"/>
              <w:bottom w:val="nil"/>
              <w:right w:val="nil"/>
            </w:tcBorders>
            <w:shd w:val="clear" w:color="auto" w:fill="auto"/>
            <w:vAlign w:val="bottom"/>
            <w:hideMark/>
          </w:tcPr>
          <w:p w14:paraId="40471499"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Otros ajustes</w:t>
            </w:r>
          </w:p>
        </w:tc>
        <w:tc>
          <w:tcPr>
            <w:tcW w:w="411" w:type="pct"/>
            <w:tcBorders>
              <w:top w:val="nil"/>
              <w:left w:val="nil"/>
              <w:bottom w:val="nil"/>
              <w:right w:val="nil"/>
            </w:tcBorders>
            <w:shd w:val="clear" w:color="auto" w:fill="auto"/>
            <w:hideMark/>
          </w:tcPr>
          <w:p w14:paraId="01EE15EA"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5CB6DCD" w14:textId="3454497C" w:rsidR="002B72BA" w:rsidRPr="00593C40" w:rsidRDefault="00881345" w:rsidP="00F30A15">
            <w:pPr>
              <w:jc w:val="right"/>
              <w:rPr>
                <w:rFonts w:ascii="Arial" w:hAnsi="Arial" w:cs="Arial"/>
                <w:sz w:val="16"/>
                <w:szCs w:val="16"/>
                <w:lang w:eastAsia="es-AR"/>
              </w:rPr>
            </w:pPr>
            <w:r w:rsidRPr="00881345">
              <w:rPr>
                <w:rFonts w:ascii="Arial" w:hAnsi="Arial" w:cs="Arial"/>
                <w:sz w:val="16"/>
                <w:szCs w:val="16"/>
                <w:lang w:eastAsia="es-AR"/>
              </w:rPr>
              <w:t>370.</w:t>
            </w:r>
            <w:r w:rsidR="005A786D">
              <w:rPr>
                <w:rFonts w:ascii="Arial" w:hAnsi="Arial" w:cs="Arial"/>
                <w:sz w:val="16"/>
                <w:szCs w:val="16"/>
                <w:lang w:eastAsia="es-AR"/>
              </w:rPr>
              <w:t>383</w:t>
            </w:r>
          </w:p>
        </w:tc>
        <w:tc>
          <w:tcPr>
            <w:tcW w:w="729" w:type="pct"/>
            <w:tcBorders>
              <w:top w:val="nil"/>
              <w:left w:val="nil"/>
              <w:bottom w:val="nil"/>
              <w:right w:val="nil"/>
            </w:tcBorders>
            <w:shd w:val="clear" w:color="auto" w:fill="auto"/>
            <w:vAlign w:val="bottom"/>
          </w:tcPr>
          <w:p w14:paraId="0840295F" w14:textId="5DF920A7" w:rsidR="002B72BA" w:rsidRPr="00593C40" w:rsidRDefault="00A10D09" w:rsidP="00F30A15">
            <w:pPr>
              <w:jc w:val="right"/>
              <w:rPr>
                <w:rFonts w:ascii="Arial" w:hAnsi="Arial" w:cs="Arial"/>
                <w:sz w:val="16"/>
                <w:szCs w:val="16"/>
                <w:lang w:eastAsia="es-AR"/>
              </w:rPr>
            </w:pPr>
            <w:r>
              <w:rPr>
                <w:rFonts w:ascii="Arial" w:hAnsi="Arial" w:cs="Arial"/>
                <w:sz w:val="16"/>
                <w:szCs w:val="16"/>
                <w:lang w:eastAsia="es-AR"/>
              </w:rPr>
              <w:t>636.448</w:t>
            </w:r>
          </w:p>
        </w:tc>
      </w:tr>
      <w:tr w:rsidR="002B72BA" w:rsidRPr="00593C40" w14:paraId="305EFB52" w14:textId="77777777" w:rsidTr="002E2271">
        <w:trPr>
          <w:trHeight w:val="101"/>
        </w:trPr>
        <w:tc>
          <w:tcPr>
            <w:tcW w:w="3257" w:type="pct"/>
            <w:tcBorders>
              <w:top w:val="nil"/>
              <w:left w:val="nil"/>
              <w:bottom w:val="nil"/>
              <w:right w:val="nil"/>
            </w:tcBorders>
            <w:shd w:val="clear" w:color="auto" w:fill="auto"/>
            <w:vAlign w:val="bottom"/>
            <w:hideMark/>
          </w:tcPr>
          <w:p w14:paraId="612C55D3" w14:textId="77777777" w:rsidR="002B72BA" w:rsidRPr="00593C40" w:rsidRDefault="002B72BA" w:rsidP="002E2271">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7CE56B52" w14:textId="77777777" w:rsidR="002B72BA" w:rsidRPr="00593C40" w:rsidRDefault="002B72BA" w:rsidP="00F30A15">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085329AB" w14:textId="77777777" w:rsidR="002B72BA" w:rsidRPr="00593C40" w:rsidRDefault="002B72BA" w:rsidP="00F30A15">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797248C7" w14:textId="77777777" w:rsidR="002B72BA" w:rsidRPr="00593C40" w:rsidRDefault="002B72BA" w:rsidP="00F30A15">
            <w:pPr>
              <w:jc w:val="right"/>
              <w:rPr>
                <w:rFonts w:ascii="Arial" w:hAnsi="Arial" w:cs="Arial"/>
                <w:sz w:val="10"/>
                <w:szCs w:val="10"/>
                <w:lang w:eastAsia="es-AR"/>
              </w:rPr>
            </w:pPr>
          </w:p>
        </w:tc>
      </w:tr>
      <w:tr w:rsidR="002B72BA" w:rsidRPr="002D55D1" w14:paraId="1037AF4A" w14:textId="77777777" w:rsidTr="002E2271">
        <w:trPr>
          <w:trHeight w:val="269"/>
        </w:trPr>
        <w:tc>
          <w:tcPr>
            <w:tcW w:w="3257" w:type="pct"/>
            <w:tcBorders>
              <w:top w:val="nil"/>
              <w:left w:val="nil"/>
              <w:bottom w:val="nil"/>
              <w:right w:val="nil"/>
            </w:tcBorders>
            <w:shd w:val="clear" w:color="auto" w:fill="auto"/>
            <w:vAlign w:val="bottom"/>
            <w:hideMark/>
          </w:tcPr>
          <w:p w14:paraId="46DC4A89" w14:textId="7C93042A" w:rsidR="002B72BA" w:rsidRPr="002D55D1" w:rsidRDefault="002B72BA" w:rsidP="002E2271">
            <w:pPr>
              <w:rPr>
                <w:rFonts w:ascii="Arial" w:hAnsi="Arial" w:cs="Arial"/>
                <w:b/>
                <w:bCs/>
                <w:sz w:val="16"/>
                <w:szCs w:val="16"/>
                <w:lang w:eastAsia="es-AR"/>
              </w:rPr>
            </w:pPr>
            <w:r w:rsidRPr="002D55D1">
              <w:rPr>
                <w:rFonts w:ascii="Arial" w:hAnsi="Arial" w:cs="Arial"/>
                <w:b/>
                <w:bCs/>
                <w:sz w:val="16"/>
                <w:szCs w:val="16"/>
                <w:lang w:eastAsia="es-AR"/>
              </w:rPr>
              <w:t>Aumentos / disminuciones net</w:t>
            </w:r>
            <w:r>
              <w:rPr>
                <w:rFonts w:ascii="Arial" w:hAnsi="Arial" w:cs="Arial"/>
                <w:b/>
                <w:bCs/>
                <w:sz w:val="16"/>
                <w:szCs w:val="16"/>
                <w:lang w:eastAsia="es-AR"/>
              </w:rPr>
              <w:t>as</w:t>
            </w:r>
            <w:r w:rsidRPr="002D55D1">
              <w:rPr>
                <w:rFonts w:ascii="Arial" w:hAnsi="Arial" w:cs="Arial"/>
                <w:b/>
                <w:bCs/>
                <w:sz w:val="16"/>
                <w:szCs w:val="16"/>
                <w:lang w:eastAsia="es-AR"/>
              </w:rPr>
              <w:t xml:space="preserve"> proveniente</w:t>
            </w:r>
            <w:r w:rsidR="00B05BE2">
              <w:rPr>
                <w:rFonts w:ascii="Arial" w:hAnsi="Arial" w:cs="Arial"/>
                <w:b/>
                <w:bCs/>
                <w:sz w:val="16"/>
                <w:szCs w:val="16"/>
                <w:lang w:eastAsia="es-AR"/>
              </w:rPr>
              <w:t>s</w:t>
            </w:r>
            <w:r w:rsidRPr="002D55D1">
              <w:rPr>
                <w:rFonts w:ascii="Arial" w:hAnsi="Arial" w:cs="Arial"/>
                <w:b/>
                <w:bCs/>
                <w:sz w:val="16"/>
                <w:szCs w:val="16"/>
                <w:lang w:eastAsia="es-AR"/>
              </w:rPr>
              <w:t xml:space="preserve"> de activos operativos:</w:t>
            </w:r>
          </w:p>
        </w:tc>
        <w:tc>
          <w:tcPr>
            <w:tcW w:w="411" w:type="pct"/>
            <w:tcBorders>
              <w:top w:val="nil"/>
              <w:left w:val="nil"/>
              <w:bottom w:val="nil"/>
              <w:right w:val="nil"/>
            </w:tcBorders>
            <w:shd w:val="clear" w:color="auto" w:fill="auto"/>
            <w:hideMark/>
          </w:tcPr>
          <w:p w14:paraId="0C244A21" w14:textId="77777777" w:rsidR="002B72BA" w:rsidRPr="002D55D1" w:rsidRDefault="002B72BA" w:rsidP="00F30A1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673C9E17" w14:textId="77777777" w:rsidR="002B72BA" w:rsidRPr="00593C40"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1B89CAD9" w14:textId="77777777" w:rsidR="002B72BA" w:rsidRPr="00593C40" w:rsidRDefault="002B72BA" w:rsidP="00F30A15">
            <w:pPr>
              <w:jc w:val="right"/>
              <w:rPr>
                <w:rFonts w:ascii="Arial" w:hAnsi="Arial" w:cs="Arial"/>
                <w:sz w:val="16"/>
                <w:szCs w:val="16"/>
                <w:lang w:eastAsia="es-AR"/>
              </w:rPr>
            </w:pPr>
          </w:p>
        </w:tc>
      </w:tr>
      <w:tr w:rsidR="002B72BA" w:rsidRPr="002D55D1" w14:paraId="56B301F2" w14:textId="77777777" w:rsidTr="002E2271">
        <w:trPr>
          <w:trHeight w:val="285"/>
        </w:trPr>
        <w:tc>
          <w:tcPr>
            <w:tcW w:w="3257" w:type="pct"/>
            <w:tcBorders>
              <w:top w:val="nil"/>
              <w:left w:val="nil"/>
              <w:bottom w:val="nil"/>
              <w:right w:val="nil"/>
            </w:tcBorders>
            <w:shd w:val="clear" w:color="auto" w:fill="auto"/>
            <w:vAlign w:val="bottom"/>
            <w:hideMark/>
          </w:tcPr>
          <w:p w14:paraId="434C7629"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Títulos de deuda a valor razonable con cambios en resultados</w:t>
            </w:r>
          </w:p>
        </w:tc>
        <w:tc>
          <w:tcPr>
            <w:tcW w:w="411" w:type="pct"/>
            <w:tcBorders>
              <w:top w:val="nil"/>
              <w:left w:val="nil"/>
              <w:bottom w:val="nil"/>
              <w:right w:val="nil"/>
            </w:tcBorders>
            <w:shd w:val="clear" w:color="auto" w:fill="auto"/>
            <w:hideMark/>
          </w:tcPr>
          <w:p w14:paraId="675DD949"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665AFEC" w14:textId="4CCB7332" w:rsidR="002B72BA" w:rsidRPr="00593C40" w:rsidRDefault="00881345" w:rsidP="00F30A15">
            <w:pPr>
              <w:jc w:val="right"/>
              <w:rPr>
                <w:rFonts w:ascii="Arial" w:hAnsi="Arial" w:cs="Arial"/>
                <w:sz w:val="16"/>
                <w:szCs w:val="16"/>
                <w:lang w:eastAsia="es-AR"/>
              </w:rPr>
            </w:pPr>
            <w:r w:rsidRPr="00881345">
              <w:rPr>
                <w:rFonts w:ascii="Arial" w:hAnsi="Arial" w:cs="Arial"/>
                <w:sz w:val="16"/>
                <w:szCs w:val="16"/>
                <w:lang w:eastAsia="es-AR"/>
              </w:rPr>
              <w:t>3.109.754</w:t>
            </w:r>
          </w:p>
        </w:tc>
        <w:tc>
          <w:tcPr>
            <w:tcW w:w="729" w:type="pct"/>
            <w:tcBorders>
              <w:top w:val="nil"/>
              <w:left w:val="nil"/>
              <w:bottom w:val="nil"/>
              <w:right w:val="nil"/>
            </w:tcBorders>
            <w:shd w:val="clear" w:color="auto" w:fill="auto"/>
            <w:vAlign w:val="bottom"/>
          </w:tcPr>
          <w:p w14:paraId="561AA183" w14:textId="49253ACD"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-2.204.718</w:t>
            </w:r>
          </w:p>
        </w:tc>
      </w:tr>
      <w:tr w:rsidR="002B72BA" w:rsidRPr="002D55D1" w14:paraId="42FBEBF5" w14:textId="77777777" w:rsidTr="002E2271">
        <w:trPr>
          <w:trHeight w:val="285"/>
        </w:trPr>
        <w:tc>
          <w:tcPr>
            <w:tcW w:w="3257" w:type="pct"/>
            <w:tcBorders>
              <w:top w:val="nil"/>
              <w:left w:val="nil"/>
              <w:bottom w:val="nil"/>
              <w:right w:val="nil"/>
            </w:tcBorders>
            <w:shd w:val="clear" w:color="auto" w:fill="auto"/>
            <w:vAlign w:val="bottom"/>
            <w:hideMark/>
          </w:tcPr>
          <w:p w14:paraId="2C5E7536"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Instrumentos derivados</w:t>
            </w:r>
          </w:p>
        </w:tc>
        <w:tc>
          <w:tcPr>
            <w:tcW w:w="411" w:type="pct"/>
            <w:tcBorders>
              <w:top w:val="nil"/>
              <w:left w:val="nil"/>
              <w:bottom w:val="nil"/>
              <w:right w:val="nil"/>
            </w:tcBorders>
            <w:shd w:val="clear" w:color="auto" w:fill="auto"/>
            <w:hideMark/>
          </w:tcPr>
          <w:p w14:paraId="3EC3595B"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6747CF7F" w14:textId="3A93C645" w:rsidR="002B72BA" w:rsidRPr="00593C40" w:rsidRDefault="00881345" w:rsidP="00F30A15">
            <w:pPr>
              <w:jc w:val="right"/>
              <w:rPr>
                <w:rFonts w:ascii="Arial" w:hAnsi="Arial" w:cs="Arial"/>
                <w:sz w:val="16"/>
                <w:szCs w:val="16"/>
                <w:lang w:eastAsia="es-AR"/>
              </w:rPr>
            </w:pPr>
            <w:r w:rsidRPr="00881345">
              <w:rPr>
                <w:rFonts w:ascii="Arial" w:hAnsi="Arial" w:cs="Arial"/>
                <w:sz w:val="16"/>
                <w:szCs w:val="16"/>
                <w:lang w:eastAsia="es-AR"/>
              </w:rPr>
              <w:t>-241.663</w:t>
            </w:r>
          </w:p>
        </w:tc>
        <w:tc>
          <w:tcPr>
            <w:tcW w:w="729" w:type="pct"/>
            <w:tcBorders>
              <w:top w:val="nil"/>
              <w:left w:val="nil"/>
              <w:bottom w:val="nil"/>
              <w:right w:val="nil"/>
            </w:tcBorders>
            <w:shd w:val="clear" w:color="auto" w:fill="auto"/>
            <w:vAlign w:val="bottom"/>
          </w:tcPr>
          <w:p w14:paraId="48F03A5D" w14:textId="3ABF6AAB"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10.992</w:t>
            </w:r>
          </w:p>
        </w:tc>
      </w:tr>
      <w:tr w:rsidR="002B72BA" w:rsidRPr="002D55D1" w14:paraId="63A4C1BB" w14:textId="77777777" w:rsidTr="002E2271">
        <w:trPr>
          <w:trHeight w:val="285"/>
        </w:trPr>
        <w:tc>
          <w:tcPr>
            <w:tcW w:w="3257" w:type="pct"/>
            <w:tcBorders>
              <w:top w:val="nil"/>
              <w:left w:val="nil"/>
              <w:bottom w:val="nil"/>
              <w:right w:val="nil"/>
            </w:tcBorders>
            <w:shd w:val="clear" w:color="auto" w:fill="auto"/>
            <w:vAlign w:val="bottom"/>
            <w:hideMark/>
          </w:tcPr>
          <w:p w14:paraId="5597FE9A"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Operaciones de pase</w:t>
            </w:r>
          </w:p>
        </w:tc>
        <w:tc>
          <w:tcPr>
            <w:tcW w:w="411" w:type="pct"/>
            <w:tcBorders>
              <w:top w:val="nil"/>
              <w:left w:val="nil"/>
              <w:bottom w:val="nil"/>
              <w:right w:val="nil"/>
            </w:tcBorders>
            <w:shd w:val="clear" w:color="auto" w:fill="auto"/>
            <w:hideMark/>
          </w:tcPr>
          <w:p w14:paraId="430F49AA"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3C89D1EE" w14:textId="7982291E" w:rsidR="002B72BA" w:rsidRPr="00593C40" w:rsidRDefault="00881345" w:rsidP="00F30A15">
            <w:pPr>
              <w:jc w:val="right"/>
              <w:rPr>
                <w:rFonts w:ascii="Arial" w:hAnsi="Arial" w:cs="Arial"/>
                <w:sz w:val="16"/>
                <w:szCs w:val="16"/>
                <w:lang w:eastAsia="es-AR"/>
              </w:rPr>
            </w:pPr>
            <w:r>
              <w:rPr>
                <w:rFonts w:ascii="Arial" w:hAnsi="Arial" w:cs="Arial"/>
                <w:sz w:val="16"/>
                <w:szCs w:val="16"/>
                <w:lang w:eastAsia="es-AR"/>
              </w:rPr>
              <w:t>-</w:t>
            </w:r>
          </w:p>
        </w:tc>
        <w:tc>
          <w:tcPr>
            <w:tcW w:w="729" w:type="pct"/>
            <w:tcBorders>
              <w:top w:val="nil"/>
              <w:left w:val="nil"/>
              <w:bottom w:val="nil"/>
              <w:right w:val="nil"/>
            </w:tcBorders>
            <w:shd w:val="clear" w:color="auto" w:fill="auto"/>
            <w:vAlign w:val="bottom"/>
          </w:tcPr>
          <w:p w14:paraId="0E4762C4" w14:textId="550508CA"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3.349.822</w:t>
            </w:r>
          </w:p>
        </w:tc>
      </w:tr>
      <w:tr w:rsidR="002B72BA" w:rsidRPr="002D55D1" w14:paraId="1025EAAD" w14:textId="77777777" w:rsidTr="002E2271">
        <w:trPr>
          <w:trHeight w:val="285"/>
        </w:trPr>
        <w:tc>
          <w:tcPr>
            <w:tcW w:w="3257" w:type="pct"/>
            <w:tcBorders>
              <w:top w:val="nil"/>
              <w:left w:val="nil"/>
              <w:bottom w:val="nil"/>
              <w:right w:val="nil"/>
            </w:tcBorders>
            <w:shd w:val="clear" w:color="auto" w:fill="auto"/>
            <w:vAlign w:val="bottom"/>
            <w:hideMark/>
          </w:tcPr>
          <w:p w14:paraId="42A91C8B"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Préstamos y otras financiaciones</w:t>
            </w:r>
          </w:p>
        </w:tc>
        <w:tc>
          <w:tcPr>
            <w:tcW w:w="411" w:type="pct"/>
            <w:tcBorders>
              <w:top w:val="nil"/>
              <w:left w:val="nil"/>
              <w:bottom w:val="nil"/>
              <w:right w:val="nil"/>
            </w:tcBorders>
            <w:shd w:val="clear" w:color="auto" w:fill="auto"/>
            <w:hideMark/>
          </w:tcPr>
          <w:p w14:paraId="6CB8D2C4"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097A93FB" w14:textId="57A7DCE4" w:rsidR="002B72BA" w:rsidRPr="00593C40"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3E8BB184" w14:textId="77777777" w:rsidR="002B72BA" w:rsidRPr="00593C40" w:rsidRDefault="002B72BA" w:rsidP="00F30A15">
            <w:pPr>
              <w:jc w:val="right"/>
              <w:rPr>
                <w:rFonts w:ascii="Arial" w:hAnsi="Arial" w:cs="Arial"/>
                <w:sz w:val="16"/>
                <w:szCs w:val="16"/>
                <w:lang w:eastAsia="es-AR"/>
              </w:rPr>
            </w:pPr>
          </w:p>
        </w:tc>
      </w:tr>
      <w:tr w:rsidR="002B72BA" w:rsidRPr="002D55D1" w14:paraId="76DB9AF4" w14:textId="77777777" w:rsidTr="002E2271">
        <w:trPr>
          <w:trHeight w:val="285"/>
        </w:trPr>
        <w:tc>
          <w:tcPr>
            <w:tcW w:w="3257" w:type="pct"/>
            <w:tcBorders>
              <w:top w:val="nil"/>
              <w:left w:val="nil"/>
              <w:bottom w:val="nil"/>
              <w:right w:val="nil"/>
            </w:tcBorders>
            <w:shd w:val="clear" w:color="auto" w:fill="auto"/>
            <w:vAlign w:val="bottom"/>
            <w:hideMark/>
          </w:tcPr>
          <w:p w14:paraId="19A89A89" w14:textId="77777777" w:rsidR="002B72BA" w:rsidRPr="002D55D1" w:rsidRDefault="002B72BA" w:rsidP="002E2271">
            <w:pPr>
              <w:ind w:firstLineChars="200" w:firstLine="320"/>
              <w:rPr>
                <w:rFonts w:ascii="Arial" w:hAnsi="Arial" w:cs="Arial"/>
                <w:sz w:val="16"/>
                <w:szCs w:val="16"/>
                <w:lang w:eastAsia="es-AR"/>
              </w:rPr>
            </w:pPr>
            <w:r w:rsidRPr="002D55D1">
              <w:rPr>
                <w:rFonts w:ascii="Arial" w:hAnsi="Arial" w:cs="Arial"/>
                <w:sz w:val="16"/>
                <w:szCs w:val="16"/>
                <w:lang w:eastAsia="es-AR"/>
              </w:rPr>
              <w:t>Sector Público no Financiero</w:t>
            </w:r>
          </w:p>
        </w:tc>
        <w:tc>
          <w:tcPr>
            <w:tcW w:w="411" w:type="pct"/>
            <w:tcBorders>
              <w:top w:val="nil"/>
              <w:left w:val="nil"/>
              <w:bottom w:val="nil"/>
              <w:right w:val="nil"/>
            </w:tcBorders>
            <w:shd w:val="clear" w:color="auto" w:fill="auto"/>
            <w:hideMark/>
          </w:tcPr>
          <w:p w14:paraId="743D2945" w14:textId="77777777" w:rsidR="002B72BA" w:rsidRPr="002D55D1" w:rsidRDefault="002B72BA" w:rsidP="00F30A15">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69654269" w14:textId="6457EF0F" w:rsidR="002B72BA" w:rsidRPr="00593C40" w:rsidRDefault="00881345" w:rsidP="00F30A15">
            <w:pPr>
              <w:jc w:val="right"/>
              <w:rPr>
                <w:rFonts w:ascii="Arial" w:hAnsi="Arial" w:cs="Arial"/>
                <w:sz w:val="16"/>
                <w:szCs w:val="16"/>
                <w:lang w:eastAsia="es-AR"/>
              </w:rPr>
            </w:pPr>
            <w:r w:rsidRPr="00881345">
              <w:rPr>
                <w:rFonts w:ascii="Arial" w:hAnsi="Arial" w:cs="Arial"/>
                <w:sz w:val="16"/>
                <w:szCs w:val="16"/>
                <w:lang w:eastAsia="es-AR"/>
              </w:rPr>
              <w:t>6.059</w:t>
            </w:r>
          </w:p>
        </w:tc>
        <w:tc>
          <w:tcPr>
            <w:tcW w:w="729" w:type="pct"/>
            <w:tcBorders>
              <w:top w:val="nil"/>
              <w:left w:val="nil"/>
              <w:bottom w:val="nil"/>
              <w:right w:val="nil"/>
            </w:tcBorders>
            <w:shd w:val="clear" w:color="auto" w:fill="auto"/>
            <w:vAlign w:val="bottom"/>
          </w:tcPr>
          <w:p w14:paraId="6CB1AA35" w14:textId="0A3BC73E"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2.783</w:t>
            </w:r>
          </w:p>
        </w:tc>
      </w:tr>
      <w:tr w:rsidR="002B72BA" w:rsidRPr="002D55D1" w14:paraId="75BDDE31" w14:textId="77777777" w:rsidTr="002E2271">
        <w:trPr>
          <w:trHeight w:val="285"/>
        </w:trPr>
        <w:tc>
          <w:tcPr>
            <w:tcW w:w="3257" w:type="pct"/>
            <w:tcBorders>
              <w:top w:val="nil"/>
              <w:left w:val="nil"/>
              <w:bottom w:val="nil"/>
              <w:right w:val="nil"/>
            </w:tcBorders>
            <w:shd w:val="clear" w:color="auto" w:fill="auto"/>
            <w:vAlign w:val="bottom"/>
            <w:hideMark/>
          </w:tcPr>
          <w:p w14:paraId="61D46B77" w14:textId="77777777" w:rsidR="002B72BA" w:rsidRPr="002D55D1" w:rsidRDefault="002B72BA" w:rsidP="002E2271">
            <w:pPr>
              <w:ind w:firstLineChars="200" w:firstLine="320"/>
              <w:rPr>
                <w:rFonts w:ascii="Arial" w:hAnsi="Arial" w:cs="Arial"/>
                <w:sz w:val="16"/>
                <w:szCs w:val="16"/>
                <w:lang w:eastAsia="es-AR"/>
              </w:rPr>
            </w:pPr>
            <w:r w:rsidRPr="002D55D1">
              <w:rPr>
                <w:rFonts w:ascii="Arial" w:hAnsi="Arial" w:cs="Arial"/>
                <w:sz w:val="16"/>
                <w:szCs w:val="16"/>
                <w:lang w:eastAsia="es-AR"/>
              </w:rPr>
              <w:t>Otras Entidades financieras</w:t>
            </w:r>
          </w:p>
        </w:tc>
        <w:tc>
          <w:tcPr>
            <w:tcW w:w="411" w:type="pct"/>
            <w:tcBorders>
              <w:top w:val="nil"/>
              <w:left w:val="nil"/>
              <w:bottom w:val="nil"/>
              <w:right w:val="nil"/>
            </w:tcBorders>
            <w:shd w:val="clear" w:color="auto" w:fill="auto"/>
            <w:hideMark/>
          </w:tcPr>
          <w:p w14:paraId="2D2B9291" w14:textId="77777777" w:rsidR="002B72BA" w:rsidRPr="002D55D1" w:rsidRDefault="002B72BA" w:rsidP="00F30A15">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BA29273" w14:textId="460BCBE3" w:rsidR="002B72BA" w:rsidRPr="00593C40" w:rsidRDefault="00881345" w:rsidP="00F30A15">
            <w:pPr>
              <w:jc w:val="right"/>
              <w:rPr>
                <w:rFonts w:ascii="Arial" w:hAnsi="Arial" w:cs="Arial"/>
                <w:sz w:val="16"/>
                <w:szCs w:val="16"/>
                <w:lang w:eastAsia="es-AR"/>
              </w:rPr>
            </w:pPr>
            <w:r w:rsidRPr="00881345">
              <w:rPr>
                <w:rFonts w:ascii="Arial" w:hAnsi="Arial" w:cs="Arial"/>
                <w:sz w:val="16"/>
                <w:szCs w:val="16"/>
                <w:lang w:eastAsia="es-AR"/>
              </w:rPr>
              <w:t>1.</w:t>
            </w:r>
            <w:r w:rsidR="00A10D09">
              <w:rPr>
                <w:rFonts w:ascii="Arial" w:hAnsi="Arial" w:cs="Arial"/>
                <w:sz w:val="16"/>
                <w:szCs w:val="16"/>
                <w:lang w:eastAsia="es-AR"/>
              </w:rPr>
              <w:t>758.395</w:t>
            </w:r>
          </w:p>
        </w:tc>
        <w:tc>
          <w:tcPr>
            <w:tcW w:w="729" w:type="pct"/>
            <w:tcBorders>
              <w:top w:val="nil"/>
              <w:left w:val="nil"/>
              <w:bottom w:val="nil"/>
              <w:right w:val="nil"/>
            </w:tcBorders>
            <w:shd w:val="clear" w:color="auto" w:fill="auto"/>
            <w:vAlign w:val="bottom"/>
          </w:tcPr>
          <w:p w14:paraId="26D93473" w14:textId="5A1814DD"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-736.203</w:t>
            </w:r>
          </w:p>
        </w:tc>
      </w:tr>
      <w:tr w:rsidR="002B72BA" w:rsidRPr="002D55D1" w14:paraId="26BC6C99" w14:textId="77777777" w:rsidTr="002E2271">
        <w:trPr>
          <w:trHeight w:val="285"/>
        </w:trPr>
        <w:tc>
          <w:tcPr>
            <w:tcW w:w="3257" w:type="pct"/>
            <w:tcBorders>
              <w:top w:val="nil"/>
              <w:left w:val="nil"/>
              <w:bottom w:val="nil"/>
              <w:right w:val="nil"/>
            </w:tcBorders>
            <w:shd w:val="clear" w:color="auto" w:fill="auto"/>
            <w:vAlign w:val="bottom"/>
            <w:hideMark/>
          </w:tcPr>
          <w:p w14:paraId="1001E368" w14:textId="77777777" w:rsidR="002B72BA" w:rsidRPr="002D55D1" w:rsidRDefault="002B72BA" w:rsidP="002E2271">
            <w:pPr>
              <w:ind w:firstLineChars="200" w:firstLine="320"/>
              <w:rPr>
                <w:rFonts w:ascii="Arial" w:hAnsi="Arial" w:cs="Arial"/>
                <w:sz w:val="16"/>
                <w:szCs w:val="16"/>
                <w:lang w:eastAsia="es-AR"/>
              </w:rPr>
            </w:pPr>
            <w:r w:rsidRPr="002D55D1">
              <w:rPr>
                <w:rFonts w:ascii="Arial" w:hAnsi="Arial" w:cs="Arial"/>
                <w:sz w:val="16"/>
                <w:szCs w:val="16"/>
                <w:lang w:eastAsia="es-AR"/>
              </w:rPr>
              <w:t>Sector Privado no Financiero y Residentes en el exterior</w:t>
            </w:r>
          </w:p>
        </w:tc>
        <w:tc>
          <w:tcPr>
            <w:tcW w:w="411" w:type="pct"/>
            <w:tcBorders>
              <w:top w:val="nil"/>
              <w:left w:val="nil"/>
              <w:bottom w:val="nil"/>
              <w:right w:val="nil"/>
            </w:tcBorders>
            <w:shd w:val="clear" w:color="auto" w:fill="auto"/>
            <w:hideMark/>
          </w:tcPr>
          <w:p w14:paraId="337DCBF2" w14:textId="77777777" w:rsidR="002B72BA" w:rsidRPr="002D55D1" w:rsidRDefault="002B72BA" w:rsidP="00F30A15">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C05E178" w14:textId="08362AE9" w:rsidR="002B72BA" w:rsidRPr="00593C40" w:rsidRDefault="00817C72" w:rsidP="00F30A15">
            <w:pPr>
              <w:jc w:val="right"/>
              <w:rPr>
                <w:rFonts w:ascii="Arial" w:hAnsi="Arial" w:cs="Arial"/>
                <w:sz w:val="16"/>
                <w:szCs w:val="16"/>
                <w:lang w:eastAsia="es-AR"/>
              </w:rPr>
            </w:pPr>
            <w:r w:rsidRPr="00817C72">
              <w:rPr>
                <w:rFonts w:ascii="Arial" w:hAnsi="Arial" w:cs="Arial"/>
                <w:sz w:val="16"/>
                <w:szCs w:val="16"/>
                <w:lang w:eastAsia="es-AR"/>
              </w:rPr>
              <w:t>-10.910.236</w:t>
            </w:r>
          </w:p>
        </w:tc>
        <w:tc>
          <w:tcPr>
            <w:tcW w:w="729" w:type="pct"/>
            <w:tcBorders>
              <w:top w:val="nil"/>
              <w:left w:val="nil"/>
              <w:bottom w:val="nil"/>
              <w:right w:val="nil"/>
            </w:tcBorders>
            <w:shd w:val="clear" w:color="auto" w:fill="auto"/>
            <w:vAlign w:val="bottom"/>
          </w:tcPr>
          <w:p w14:paraId="08A7C1A4" w14:textId="748C8228"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-14.497.457</w:t>
            </w:r>
          </w:p>
        </w:tc>
      </w:tr>
      <w:tr w:rsidR="002B72BA" w:rsidRPr="002D55D1" w14:paraId="604CA94C" w14:textId="77777777" w:rsidTr="002E2271">
        <w:trPr>
          <w:trHeight w:val="285"/>
        </w:trPr>
        <w:tc>
          <w:tcPr>
            <w:tcW w:w="3257" w:type="pct"/>
            <w:tcBorders>
              <w:top w:val="nil"/>
              <w:left w:val="nil"/>
              <w:bottom w:val="nil"/>
              <w:right w:val="nil"/>
            </w:tcBorders>
            <w:shd w:val="clear" w:color="auto" w:fill="auto"/>
            <w:vAlign w:val="bottom"/>
            <w:hideMark/>
          </w:tcPr>
          <w:p w14:paraId="259EF004"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Otros Títulos de Deuda</w:t>
            </w:r>
          </w:p>
        </w:tc>
        <w:tc>
          <w:tcPr>
            <w:tcW w:w="411" w:type="pct"/>
            <w:tcBorders>
              <w:top w:val="nil"/>
              <w:left w:val="nil"/>
              <w:bottom w:val="nil"/>
              <w:right w:val="nil"/>
            </w:tcBorders>
            <w:shd w:val="clear" w:color="auto" w:fill="auto"/>
            <w:hideMark/>
          </w:tcPr>
          <w:p w14:paraId="5D6A9966"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5D8BD6FD" w14:textId="102A973B" w:rsidR="002B72BA" w:rsidRPr="00593C40" w:rsidRDefault="00881345" w:rsidP="00F30A15">
            <w:pPr>
              <w:jc w:val="right"/>
              <w:rPr>
                <w:rFonts w:ascii="Arial" w:hAnsi="Arial" w:cs="Arial"/>
                <w:sz w:val="16"/>
                <w:szCs w:val="16"/>
                <w:lang w:eastAsia="es-AR"/>
              </w:rPr>
            </w:pPr>
            <w:r w:rsidRPr="00881345">
              <w:rPr>
                <w:rFonts w:ascii="Arial" w:hAnsi="Arial" w:cs="Arial"/>
                <w:sz w:val="16"/>
                <w:szCs w:val="16"/>
                <w:lang w:eastAsia="es-AR"/>
              </w:rPr>
              <w:t>-6.</w:t>
            </w:r>
            <w:r w:rsidR="00A10D09">
              <w:rPr>
                <w:rFonts w:ascii="Arial" w:hAnsi="Arial" w:cs="Arial"/>
                <w:sz w:val="16"/>
                <w:szCs w:val="16"/>
                <w:lang w:eastAsia="es-AR"/>
              </w:rPr>
              <w:t>471.988</w:t>
            </w:r>
          </w:p>
        </w:tc>
        <w:tc>
          <w:tcPr>
            <w:tcW w:w="729" w:type="pct"/>
            <w:tcBorders>
              <w:top w:val="nil"/>
              <w:left w:val="nil"/>
              <w:bottom w:val="nil"/>
              <w:right w:val="nil"/>
            </w:tcBorders>
            <w:shd w:val="clear" w:color="auto" w:fill="auto"/>
            <w:vAlign w:val="bottom"/>
          </w:tcPr>
          <w:p w14:paraId="58C38831" w14:textId="3664F552" w:rsidR="002B72BA" w:rsidRPr="00593C40" w:rsidRDefault="00FC564B" w:rsidP="00F30A15">
            <w:pPr>
              <w:ind w:left="432" w:hanging="432"/>
              <w:jc w:val="right"/>
              <w:rPr>
                <w:rFonts w:ascii="Arial" w:hAnsi="Arial" w:cs="Arial"/>
                <w:sz w:val="16"/>
                <w:szCs w:val="16"/>
                <w:lang w:eastAsia="es-AR"/>
              </w:rPr>
            </w:pPr>
            <w:r>
              <w:rPr>
                <w:rFonts w:ascii="Arial" w:hAnsi="Arial" w:cs="Arial"/>
                <w:sz w:val="16"/>
                <w:szCs w:val="16"/>
                <w:lang w:eastAsia="es-AR"/>
              </w:rPr>
              <w:t>-3.877.564</w:t>
            </w:r>
          </w:p>
        </w:tc>
      </w:tr>
      <w:tr w:rsidR="002B72BA" w:rsidRPr="002D55D1" w14:paraId="4E9C150F" w14:textId="77777777" w:rsidTr="002E2271">
        <w:trPr>
          <w:trHeight w:val="285"/>
        </w:trPr>
        <w:tc>
          <w:tcPr>
            <w:tcW w:w="3257" w:type="pct"/>
            <w:tcBorders>
              <w:top w:val="nil"/>
              <w:left w:val="nil"/>
              <w:bottom w:val="nil"/>
              <w:right w:val="nil"/>
            </w:tcBorders>
            <w:shd w:val="clear" w:color="auto" w:fill="auto"/>
            <w:vAlign w:val="bottom"/>
            <w:hideMark/>
          </w:tcPr>
          <w:p w14:paraId="7807BF38"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Activos financieros entregados en garantía</w:t>
            </w:r>
          </w:p>
        </w:tc>
        <w:tc>
          <w:tcPr>
            <w:tcW w:w="411" w:type="pct"/>
            <w:tcBorders>
              <w:top w:val="nil"/>
              <w:left w:val="nil"/>
              <w:bottom w:val="nil"/>
              <w:right w:val="nil"/>
            </w:tcBorders>
            <w:shd w:val="clear" w:color="auto" w:fill="auto"/>
            <w:hideMark/>
          </w:tcPr>
          <w:p w14:paraId="5C3FB5C9"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132DD656" w14:textId="7542A164" w:rsidR="002B72BA" w:rsidRPr="00593C40" w:rsidRDefault="00881345" w:rsidP="00F30A15">
            <w:pPr>
              <w:jc w:val="right"/>
              <w:rPr>
                <w:rFonts w:ascii="Arial" w:hAnsi="Arial" w:cs="Arial"/>
                <w:sz w:val="16"/>
                <w:szCs w:val="16"/>
                <w:lang w:eastAsia="es-AR"/>
              </w:rPr>
            </w:pPr>
            <w:r w:rsidRPr="00881345">
              <w:rPr>
                <w:rFonts w:ascii="Arial" w:hAnsi="Arial" w:cs="Arial"/>
                <w:sz w:val="16"/>
                <w:szCs w:val="16"/>
                <w:lang w:eastAsia="es-AR"/>
              </w:rPr>
              <w:t>-3.041.940</w:t>
            </w:r>
          </w:p>
        </w:tc>
        <w:tc>
          <w:tcPr>
            <w:tcW w:w="729" w:type="pct"/>
            <w:tcBorders>
              <w:top w:val="nil"/>
              <w:left w:val="nil"/>
              <w:bottom w:val="nil"/>
              <w:right w:val="nil"/>
            </w:tcBorders>
            <w:shd w:val="clear" w:color="auto" w:fill="auto"/>
            <w:vAlign w:val="bottom"/>
          </w:tcPr>
          <w:p w14:paraId="60844D73" w14:textId="2B590925"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-702.513</w:t>
            </w:r>
          </w:p>
        </w:tc>
      </w:tr>
      <w:tr w:rsidR="002B72BA" w:rsidRPr="002D55D1" w14:paraId="1E4FFF3C" w14:textId="77777777" w:rsidTr="002E2271">
        <w:trPr>
          <w:trHeight w:val="285"/>
        </w:trPr>
        <w:tc>
          <w:tcPr>
            <w:tcW w:w="3257" w:type="pct"/>
            <w:tcBorders>
              <w:top w:val="nil"/>
              <w:left w:val="nil"/>
              <w:bottom w:val="nil"/>
              <w:right w:val="nil"/>
            </w:tcBorders>
            <w:shd w:val="clear" w:color="auto" w:fill="auto"/>
            <w:vAlign w:val="bottom"/>
            <w:hideMark/>
          </w:tcPr>
          <w:p w14:paraId="54E0C9F3" w14:textId="77777777" w:rsidR="002B72BA" w:rsidRPr="002D55D1" w:rsidRDefault="002B72BA" w:rsidP="002E2271">
            <w:pPr>
              <w:rPr>
                <w:rFonts w:ascii="Arial" w:hAnsi="Arial" w:cs="Arial"/>
                <w:sz w:val="16"/>
                <w:szCs w:val="16"/>
                <w:lang w:eastAsia="es-AR"/>
              </w:rPr>
            </w:pPr>
            <w:r>
              <w:rPr>
                <w:rFonts w:ascii="Arial" w:hAnsi="Arial" w:cs="Arial"/>
                <w:sz w:val="16"/>
                <w:szCs w:val="16"/>
                <w:lang w:eastAsia="es-AR"/>
              </w:rPr>
              <w:t xml:space="preserve">   </w:t>
            </w:r>
            <w:r w:rsidRPr="002D55D1">
              <w:rPr>
                <w:rFonts w:ascii="Arial" w:hAnsi="Arial" w:cs="Arial"/>
                <w:sz w:val="16"/>
                <w:szCs w:val="16"/>
                <w:lang w:eastAsia="es-AR"/>
              </w:rPr>
              <w:t>Inversiones en Instrumentos de Patrimonio</w:t>
            </w:r>
          </w:p>
        </w:tc>
        <w:tc>
          <w:tcPr>
            <w:tcW w:w="411" w:type="pct"/>
            <w:tcBorders>
              <w:top w:val="nil"/>
              <w:left w:val="nil"/>
              <w:bottom w:val="nil"/>
              <w:right w:val="nil"/>
            </w:tcBorders>
            <w:shd w:val="clear" w:color="auto" w:fill="auto"/>
            <w:hideMark/>
          </w:tcPr>
          <w:p w14:paraId="4EB03F86"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5A81E61F" w14:textId="382CED3D" w:rsidR="002B72BA" w:rsidRPr="00593C40" w:rsidRDefault="00881345" w:rsidP="00F30A15">
            <w:pPr>
              <w:jc w:val="right"/>
              <w:rPr>
                <w:rFonts w:ascii="Arial" w:hAnsi="Arial" w:cs="Arial"/>
                <w:sz w:val="16"/>
                <w:szCs w:val="16"/>
                <w:lang w:eastAsia="es-AR"/>
              </w:rPr>
            </w:pPr>
            <w:r w:rsidRPr="00881345">
              <w:rPr>
                <w:rFonts w:ascii="Arial" w:hAnsi="Arial" w:cs="Arial"/>
                <w:sz w:val="16"/>
                <w:szCs w:val="16"/>
                <w:lang w:eastAsia="es-AR"/>
              </w:rPr>
              <w:t>-4.193</w:t>
            </w:r>
          </w:p>
        </w:tc>
        <w:tc>
          <w:tcPr>
            <w:tcW w:w="729" w:type="pct"/>
            <w:tcBorders>
              <w:top w:val="nil"/>
              <w:left w:val="nil"/>
              <w:bottom w:val="nil"/>
              <w:right w:val="nil"/>
            </w:tcBorders>
            <w:shd w:val="clear" w:color="auto" w:fill="auto"/>
            <w:vAlign w:val="bottom"/>
          </w:tcPr>
          <w:p w14:paraId="4466296C" w14:textId="3E60F3FB"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36.398</w:t>
            </w:r>
          </w:p>
        </w:tc>
      </w:tr>
      <w:tr w:rsidR="002B72BA" w:rsidRPr="002D55D1" w14:paraId="6421FE19" w14:textId="77777777" w:rsidTr="002E2271">
        <w:trPr>
          <w:trHeight w:val="285"/>
        </w:trPr>
        <w:tc>
          <w:tcPr>
            <w:tcW w:w="3257" w:type="pct"/>
            <w:tcBorders>
              <w:top w:val="nil"/>
              <w:left w:val="nil"/>
              <w:bottom w:val="nil"/>
              <w:right w:val="nil"/>
            </w:tcBorders>
            <w:shd w:val="clear" w:color="auto" w:fill="auto"/>
            <w:vAlign w:val="bottom"/>
            <w:hideMark/>
          </w:tcPr>
          <w:p w14:paraId="7DFF62F5"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Otros activos</w:t>
            </w:r>
          </w:p>
        </w:tc>
        <w:tc>
          <w:tcPr>
            <w:tcW w:w="411" w:type="pct"/>
            <w:tcBorders>
              <w:top w:val="nil"/>
              <w:left w:val="nil"/>
              <w:bottom w:val="nil"/>
              <w:right w:val="nil"/>
            </w:tcBorders>
            <w:shd w:val="clear" w:color="auto" w:fill="auto"/>
            <w:hideMark/>
          </w:tcPr>
          <w:p w14:paraId="498439C1"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0A8788D" w14:textId="657C0E98" w:rsidR="002B72BA" w:rsidRPr="00593C40" w:rsidRDefault="005D3595" w:rsidP="00F30A15">
            <w:pPr>
              <w:jc w:val="right"/>
              <w:rPr>
                <w:rFonts w:ascii="Arial" w:hAnsi="Arial" w:cs="Arial"/>
                <w:sz w:val="16"/>
                <w:szCs w:val="16"/>
                <w:lang w:eastAsia="es-AR"/>
              </w:rPr>
            </w:pPr>
            <w:r w:rsidRPr="005D3595">
              <w:rPr>
                <w:rFonts w:ascii="Arial" w:hAnsi="Arial" w:cs="Arial"/>
                <w:sz w:val="16"/>
                <w:szCs w:val="16"/>
                <w:lang w:eastAsia="es-AR"/>
              </w:rPr>
              <w:t xml:space="preserve">-345.538 </w:t>
            </w:r>
          </w:p>
        </w:tc>
        <w:tc>
          <w:tcPr>
            <w:tcW w:w="729" w:type="pct"/>
            <w:tcBorders>
              <w:top w:val="nil"/>
              <w:left w:val="nil"/>
              <w:bottom w:val="nil"/>
              <w:right w:val="nil"/>
            </w:tcBorders>
            <w:shd w:val="clear" w:color="auto" w:fill="auto"/>
            <w:vAlign w:val="bottom"/>
          </w:tcPr>
          <w:p w14:paraId="0A25B874" w14:textId="4B36A481"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-792.744</w:t>
            </w:r>
          </w:p>
        </w:tc>
      </w:tr>
      <w:tr w:rsidR="002B72BA" w:rsidRPr="00593C40" w14:paraId="528A77B2" w14:textId="77777777" w:rsidTr="002E2271">
        <w:trPr>
          <w:trHeight w:val="134"/>
        </w:trPr>
        <w:tc>
          <w:tcPr>
            <w:tcW w:w="3257" w:type="pct"/>
            <w:tcBorders>
              <w:top w:val="nil"/>
              <w:left w:val="nil"/>
              <w:bottom w:val="nil"/>
              <w:right w:val="nil"/>
            </w:tcBorders>
            <w:shd w:val="clear" w:color="auto" w:fill="auto"/>
            <w:vAlign w:val="bottom"/>
            <w:hideMark/>
          </w:tcPr>
          <w:p w14:paraId="071DFB9F" w14:textId="77777777" w:rsidR="002B72BA" w:rsidRPr="00593C40" w:rsidRDefault="002B72BA" w:rsidP="002E2271">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244AC3E0" w14:textId="77777777" w:rsidR="002B72BA" w:rsidRPr="00593C40" w:rsidRDefault="002B72BA" w:rsidP="00F30A15">
            <w:pPr>
              <w:rPr>
                <w:rFonts w:ascii="Arial" w:hAnsi="Arial" w:cs="Arial"/>
                <w:sz w:val="10"/>
                <w:szCs w:val="10"/>
                <w:lang w:eastAsia="es-AR"/>
              </w:rPr>
            </w:pPr>
          </w:p>
        </w:tc>
        <w:tc>
          <w:tcPr>
            <w:tcW w:w="603" w:type="pct"/>
            <w:tcBorders>
              <w:top w:val="nil"/>
              <w:left w:val="nil"/>
              <w:bottom w:val="nil"/>
              <w:right w:val="nil"/>
            </w:tcBorders>
            <w:shd w:val="clear" w:color="auto" w:fill="auto"/>
            <w:vAlign w:val="bottom"/>
          </w:tcPr>
          <w:p w14:paraId="63493C4B" w14:textId="77777777" w:rsidR="002B72BA" w:rsidRPr="00593C40" w:rsidRDefault="002B72BA" w:rsidP="00F30A15">
            <w:pPr>
              <w:jc w:val="right"/>
              <w:rPr>
                <w:rFonts w:ascii="Arial" w:hAnsi="Arial" w:cs="Arial"/>
                <w:sz w:val="10"/>
                <w:szCs w:val="10"/>
                <w:lang w:eastAsia="es-AR"/>
              </w:rPr>
            </w:pPr>
          </w:p>
        </w:tc>
        <w:tc>
          <w:tcPr>
            <w:tcW w:w="729" w:type="pct"/>
            <w:tcBorders>
              <w:top w:val="nil"/>
              <w:left w:val="nil"/>
              <w:bottom w:val="nil"/>
              <w:right w:val="nil"/>
            </w:tcBorders>
            <w:shd w:val="clear" w:color="auto" w:fill="auto"/>
            <w:vAlign w:val="bottom"/>
          </w:tcPr>
          <w:p w14:paraId="0B9AF3DF" w14:textId="77777777" w:rsidR="002B72BA" w:rsidRPr="00593C40" w:rsidRDefault="002B72BA" w:rsidP="00F30A15">
            <w:pPr>
              <w:jc w:val="right"/>
              <w:rPr>
                <w:rFonts w:ascii="Arial" w:hAnsi="Arial" w:cs="Arial"/>
                <w:sz w:val="10"/>
                <w:szCs w:val="10"/>
                <w:lang w:eastAsia="es-AR"/>
              </w:rPr>
            </w:pPr>
          </w:p>
        </w:tc>
      </w:tr>
      <w:tr w:rsidR="002B72BA" w:rsidRPr="002D55D1" w14:paraId="5B0B37FE" w14:textId="77777777" w:rsidTr="002E2271">
        <w:trPr>
          <w:trHeight w:val="277"/>
        </w:trPr>
        <w:tc>
          <w:tcPr>
            <w:tcW w:w="3257" w:type="pct"/>
            <w:tcBorders>
              <w:top w:val="nil"/>
              <w:left w:val="nil"/>
              <w:bottom w:val="nil"/>
              <w:right w:val="nil"/>
            </w:tcBorders>
            <w:shd w:val="clear" w:color="auto" w:fill="auto"/>
            <w:vAlign w:val="bottom"/>
            <w:hideMark/>
          </w:tcPr>
          <w:p w14:paraId="251EBEA8" w14:textId="447F8D69" w:rsidR="002B72BA" w:rsidRPr="002D55D1" w:rsidRDefault="002B72BA" w:rsidP="002E2271">
            <w:pPr>
              <w:rPr>
                <w:rFonts w:ascii="Arial" w:hAnsi="Arial" w:cs="Arial"/>
                <w:b/>
                <w:bCs/>
                <w:sz w:val="16"/>
                <w:szCs w:val="16"/>
                <w:lang w:eastAsia="es-AR"/>
              </w:rPr>
            </w:pPr>
            <w:r w:rsidRPr="002D55D1">
              <w:rPr>
                <w:rFonts w:ascii="Arial" w:hAnsi="Arial" w:cs="Arial"/>
                <w:b/>
                <w:bCs/>
                <w:sz w:val="16"/>
                <w:szCs w:val="16"/>
                <w:lang w:eastAsia="es-AR"/>
              </w:rPr>
              <w:t>Aumentos / disminuciones netas proveniente</w:t>
            </w:r>
            <w:r w:rsidR="00B05BE2">
              <w:rPr>
                <w:rFonts w:ascii="Arial" w:hAnsi="Arial" w:cs="Arial"/>
                <w:b/>
                <w:bCs/>
                <w:sz w:val="16"/>
                <w:szCs w:val="16"/>
                <w:lang w:eastAsia="es-AR"/>
              </w:rPr>
              <w:t>s</w:t>
            </w:r>
            <w:r w:rsidRPr="002D55D1">
              <w:rPr>
                <w:rFonts w:ascii="Arial" w:hAnsi="Arial" w:cs="Arial"/>
                <w:b/>
                <w:bCs/>
                <w:sz w:val="16"/>
                <w:szCs w:val="16"/>
                <w:lang w:eastAsia="es-AR"/>
              </w:rPr>
              <w:t xml:space="preserve"> de pasivos operativos:</w:t>
            </w:r>
          </w:p>
        </w:tc>
        <w:tc>
          <w:tcPr>
            <w:tcW w:w="411" w:type="pct"/>
            <w:tcBorders>
              <w:top w:val="nil"/>
              <w:left w:val="nil"/>
              <w:bottom w:val="nil"/>
              <w:right w:val="nil"/>
            </w:tcBorders>
            <w:shd w:val="clear" w:color="auto" w:fill="auto"/>
            <w:hideMark/>
          </w:tcPr>
          <w:p w14:paraId="27850874" w14:textId="77777777" w:rsidR="002B72BA" w:rsidRPr="002D55D1" w:rsidRDefault="002B72BA" w:rsidP="00F30A1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35A20051" w14:textId="77777777" w:rsidR="002B72BA" w:rsidRPr="00593C40"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22F2E36B" w14:textId="77777777" w:rsidR="002B72BA" w:rsidRPr="00593C40" w:rsidRDefault="002B72BA" w:rsidP="00F30A15">
            <w:pPr>
              <w:jc w:val="right"/>
              <w:rPr>
                <w:rFonts w:ascii="Arial" w:hAnsi="Arial" w:cs="Arial"/>
                <w:sz w:val="16"/>
                <w:szCs w:val="16"/>
                <w:lang w:eastAsia="es-AR"/>
              </w:rPr>
            </w:pPr>
          </w:p>
        </w:tc>
      </w:tr>
      <w:tr w:rsidR="002B72BA" w:rsidRPr="002D55D1" w14:paraId="68B20E99" w14:textId="77777777" w:rsidTr="002E2271">
        <w:trPr>
          <w:trHeight w:val="285"/>
        </w:trPr>
        <w:tc>
          <w:tcPr>
            <w:tcW w:w="3257" w:type="pct"/>
            <w:tcBorders>
              <w:top w:val="nil"/>
              <w:left w:val="nil"/>
              <w:bottom w:val="nil"/>
              <w:right w:val="nil"/>
            </w:tcBorders>
            <w:shd w:val="clear" w:color="auto" w:fill="auto"/>
            <w:vAlign w:val="bottom"/>
            <w:hideMark/>
          </w:tcPr>
          <w:p w14:paraId="586FE6FC"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Depósitos</w:t>
            </w:r>
          </w:p>
        </w:tc>
        <w:tc>
          <w:tcPr>
            <w:tcW w:w="411" w:type="pct"/>
            <w:tcBorders>
              <w:top w:val="nil"/>
              <w:left w:val="nil"/>
              <w:bottom w:val="nil"/>
              <w:right w:val="nil"/>
            </w:tcBorders>
            <w:shd w:val="clear" w:color="auto" w:fill="auto"/>
            <w:hideMark/>
          </w:tcPr>
          <w:p w14:paraId="57FD37F9"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85930E9" w14:textId="40B8DF7A" w:rsidR="002B72BA" w:rsidRPr="00593C40"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00B6323D" w14:textId="77777777" w:rsidR="002B72BA" w:rsidRPr="00593C40" w:rsidRDefault="002B72BA" w:rsidP="00F30A15">
            <w:pPr>
              <w:jc w:val="right"/>
              <w:rPr>
                <w:rFonts w:ascii="Arial" w:hAnsi="Arial" w:cs="Arial"/>
                <w:sz w:val="16"/>
                <w:szCs w:val="16"/>
                <w:lang w:eastAsia="es-AR"/>
              </w:rPr>
            </w:pPr>
          </w:p>
        </w:tc>
      </w:tr>
      <w:tr w:rsidR="00CE528A" w:rsidRPr="002D55D1" w14:paraId="68DC52BE" w14:textId="77777777" w:rsidTr="002E2271">
        <w:trPr>
          <w:trHeight w:val="285"/>
        </w:trPr>
        <w:tc>
          <w:tcPr>
            <w:tcW w:w="3257" w:type="pct"/>
            <w:tcBorders>
              <w:top w:val="nil"/>
              <w:left w:val="nil"/>
              <w:bottom w:val="nil"/>
              <w:right w:val="nil"/>
            </w:tcBorders>
            <w:shd w:val="clear" w:color="auto" w:fill="auto"/>
            <w:vAlign w:val="bottom"/>
            <w:hideMark/>
          </w:tcPr>
          <w:p w14:paraId="11E6E585" w14:textId="77777777" w:rsidR="00CE528A" w:rsidRPr="002D55D1" w:rsidRDefault="00CE528A" w:rsidP="00CE528A">
            <w:pPr>
              <w:ind w:firstLineChars="200" w:firstLine="320"/>
              <w:rPr>
                <w:rFonts w:ascii="Arial" w:hAnsi="Arial" w:cs="Arial"/>
                <w:sz w:val="16"/>
                <w:szCs w:val="16"/>
                <w:lang w:eastAsia="es-AR"/>
              </w:rPr>
            </w:pPr>
            <w:r w:rsidRPr="002D55D1">
              <w:rPr>
                <w:rFonts w:ascii="Arial" w:hAnsi="Arial" w:cs="Arial"/>
                <w:sz w:val="16"/>
                <w:szCs w:val="16"/>
                <w:lang w:eastAsia="es-AR"/>
              </w:rPr>
              <w:t>Sector Público no Financiero</w:t>
            </w:r>
          </w:p>
        </w:tc>
        <w:tc>
          <w:tcPr>
            <w:tcW w:w="411" w:type="pct"/>
            <w:tcBorders>
              <w:top w:val="nil"/>
              <w:left w:val="nil"/>
              <w:bottom w:val="nil"/>
              <w:right w:val="nil"/>
            </w:tcBorders>
            <w:shd w:val="clear" w:color="auto" w:fill="auto"/>
            <w:hideMark/>
          </w:tcPr>
          <w:p w14:paraId="61FFC767" w14:textId="77777777" w:rsidR="00CE528A" w:rsidRPr="002D55D1" w:rsidRDefault="00CE528A" w:rsidP="00CE528A">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C919B14" w14:textId="76599C8B" w:rsidR="00CE528A" w:rsidRPr="00593C40" w:rsidRDefault="00CE528A" w:rsidP="00CE528A">
            <w:pPr>
              <w:jc w:val="right"/>
              <w:rPr>
                <w:rFonts w:ascii="Arial" w:hAnsi="Arial" w:cs="Arial"/>
                <w:sz w:val="16"/>
                <w:szCs w:val="16"/>
                <w:lang w:eastAsia="es-AR"/>
              </w:rPr>
            </w:pPr>
            <w:r w:rsidRPr="00CE528A">
              <w:rPr>
                <w:rFonts w:ascii="Arial" w:hAnsi="Arial" w:cs="Arial"/>
                <w:sz w:val="16"/>
                <w:szCs w:val="16"/>
                <w:lang w:eastAsia="es-AR"/>
              </w:rPr>
              <w:t>-5.666.104</w:t>
            </w:r>
          </w:p>
        </w:tc>
        <w:tc>
          <w:tcPr>
            <w:tcW w:w="729" w:type="pct"/>
            <w:tcBorders>
              <w:top w:val="nil"/>
              <w:left w:val="nil"/>
              <w:bottom w:val="nil"/>
              <w:right w:val="nil"/>
            </w:tcBorders>
            <w:shd w:val="clear" w:color="auto" w:fill="auto"/>
            <w:vAlign w:val="bottom"/>
          </w:tcPr>
          <w:p w14:paraId="68F70DE1" w14:textId="5A146066" w:rsidR="00FC564B" w:rsidRPr="00593C40" w:rsidRDefault="00FC564B" w:rsidP="00FC564B">
            <w:pPr>
              <w:jc w:val="right"/>
              <w:rPr>
                <w:rFonts w:ascii="Arial" w:hAnsi="Arial" w:cs="Arial"/>
                <w:sz w:val="16"/>
                <w:szCs w:val="16"/>
                <w:lang w:eastAsia="es-AR"/>
              </w:rPr>
            </w:pPr>
            <w:r>
              <w:rPr>
                <w:rFonts w:ascii="Arial" w:hAnsi="Arial" w:cs="Arial"/>
                <w:sz w:val="16"/>
                <w:szCs w:val="16"/>
                <w:lang w:eastAsia="es-AR"/>
              </w:rPr>
              <w:t>4.887.925</w:t>
            </w:r>
          </w:p>
        </w:tc>
      </w:tr>
      <w:tr w:rsidR="00CE528A" w:rsidRPr="002D55D1" w14:paraId="50342CD2" w14:textId="77777777" w:rsidTr="002E2271">
        <w:trPr>
          <w:trHeight w:val="285"/>
        </w:trPr>
        <w:tc>
          <w:tcPr>
            <w:tcW w:w="3257" w:type="pct"/>
            <w:tcBorders>
              <w:top w:val="nil"/>
              <w:left w:val="nil"/>
              <w:bottom w:val="nil"/>
              <w:right w:val="nil"/>
            </w:tcBorders>
            <w:shd w:val="clear" w:color="auto" w:fill="auto"/>
            <w:vAlign w:val="bottom"/>
            <w:hideMark/>
          </w:tcPr>
          <w:p w14:paraId="675F3357" w14:textId="77777777" w:rsidR="00CE528A" w:rsidRPr="002D55D1" w:rsidRDefault="00CE528A" w:rsidP="00CE528A">
            <w:pPr>
              <w:ind w:firstLineChars="200" w:firstLine="320"/>
              <w:rPr>
                <w:rFonts w:ascii="Arial" w:hAnsi="Arial" w:cs="Arial"/>
                <w:sz w:val="16"/>
                <w:szCs w:val="16"/>
                <w:lang w:eastAsia="es-AR"/>
              </w:rPr>
            </w:pPr>
            <w:r w:rsidRPr="002D55D1">
              <w:rPr>
                <w:rFonts w:ascii="Arial" w:hAnsi="Arial" w:cs="Arial"/>
                <w:sz w:val="16"/>
                <w:szCs w:val="16"/>
                <w:lang w:eastAsia="es-AR"/>
              </w:rPr>
              <w:t>Sector Financiero</w:t>
            </w:r>
          </w:p>
        </w:tc>
        <w:tc>
          <w:tcPr>
            <w:tcW w:w="411" w:type="pct"/>
            <w:tcBorders>
              <w:top w:val="nil"/>
              <w:left w:val="nil"/>
              <w:bottom w:val="nil"/>
              <w:right w:val="nil"/>
            </w:tcBorders>
            <w:shd w:val="clear" w:color="auto" w:fill="auto"/>
            <w:hideMark/>
          </w:tcPr>
          <w:p w14:paraId="4A417529" w14:textId="77777777" w:rsidR="00CE528A" w:rsidRPr="002D55D1" w:rsidRDefault="00CE528A" w:rsidP="00CE528A">
            <w:pPr>
              <w:ind w:firstLineChars="200" w:firstLine="32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4C387698" w14:textId="75CFD4FE" w:rsidR="00CE528A" w:rsidRPr="00593C40" w:rsidRDefault="00CE528A" w:rsidP="00CE528A">
            <w:pPr>
              <w:jc w:val="right"/>
              <w:rPr>
                <w:rFonts w:ascii="Arial" w:hAnsi="Arial" w:cs="Arial"/>
                <w:sz w:val="16"/>
                <w:szCs w:val="16"/>
                <w:lang w:eastAsia="es-AR"/>
              </w:rPr>
            </w:pPr>
            <w:r w:rsidRPr="00CE528A">
              <w:rPr>
                <w:rFonts w:ascii="Arial" w:hAnsi="Arial" w:cs="Arial"/>
                <w:sz w:val="16"/>
                <w:szCs w:val="16"/>
                <w:lang w:eastAsia="es-AR"/>
              </w:rPr>
              <w:t>4.259</w:t>
            </w:r>
          </w:p>
        </w:tc>
        <w:tc>
          <w:tcPr>
            <w:tcW w:w="729" w:type="pct"/>
            <w:tcBorders>
              <w:top w:val="nil"/>
              <w:left w:val="nil"/>
              <w:bottom w:val="nil"/>
              <w:right w:val="nil"/>
            </w:tcBorders>
            <w:shd w:val="clear" w:color="auto" w:fill="auto"/>
            <w:vAlign w:val="bottom"/>
          </w:tcPr>
          <w:p w14:paraId="2D2A70BF" w14:textId="598B1E70" w:rsidR="00CE528A" w:rsidRPr="00593C40" w:rsidRDefault="00FC564B" w:rsidP="00FC564B">
            <w:pPr>
              <w:jc w:val="right"/>
              <w:rPr>
                <w:rFonts w:ascii="Arial" w:hAnsi="Arial" w:cs="Arial"/>
                <w:sz w:val="16"/>
                <w:szCs w:val="16"/>
                <w:lang w:eastAsia="es-AR"/>
              </w:rPr>
            </w:pPr>
            <w:r>
              <w:rPr>
                <w:rFonts w:ascii="Arial" w:hAnsi="Arial" w:cs="Arial"/>
                <w:sz w:val="16"/>
                <w:szCs w:val="16"/>
                <w:lang w:eastAsia="es-AR"/>
              </w:rPr>
              <w:t>13.002</w:t>
            </w:r>
          </w:p>
        </w:tc>
      </w:tr>
      <w:tr w:rsidR="00CE528A" w:rsidRPr="002D55D1" w14:paraId="2CCBAD1A" w14:textId="77777777" w:rsidTr="002E2271">
        <w:trPr>
          <w:trHeight w:val="285"/>
        </w:trPr>
        <w:tc>
          <w:tcPr>
            <w:tcW w:w="3257" w:type="pct"/>
            <w:tcBorders>
              <w:top w:val="nil"/>
              <w:left w:val="nil"/>
              <w:right w:val="nil"/>
            </w:tcBorders>
            <w:shd w:val="clear" w:color="auto" w:fill="auto"/>
            <w:vAlign w:val="bottom"/>
            <w:hideMark/>
          </w:tcPr>
          <w:p w14:paraId="7CA86188" w14:textId="77777777" w:rsidR="00CE528A" w:rsidRPr="002D55D1" w:rsidRDefault="00CE528A" w:rsidP="00CE528A">
            <w:pPr>
              <w:ind w:firstLineChars="200" w:firstLine="320"/>
              <w:rPr>
                <w:rFonts w:ascii="Arial" w:hAnsi="Arial" w:cs="Arial"/>
                <w:sz w:val="16"/>
                <w:szCs w:val="16"/>
                <w:lang w:eastAsia="es-AR"/>
              </w:rPr>
            </w:pPr>
            <w:r w:rsidRPr="002D55D1">
              <w:rPr>
                <w:rFonts w:ascii="Arial" w:hAnsi="Arial" w:cs="Arial"/>
                <w:sz w:val="16"/>
                <w:szCs w:val="16"/>
                <w:lang w:eastAsia="es-AR"/>
              </w:rPr>
              <w:t>Sector Privado no Financiero y Residentes en el exterior</w:t>
            </w:r>
          </w:p>
        </w:tc>
        <w:tc>
          <w:tcPr>
            <w:tcW w:w="411" w:type="pct"/>
            <w:tcBorders>
              <w:top w:val="nil"/>
              <w:left w:val="nil"/>
              <w:right w:val="nil"/>
            </w:tcBorders>
            <w:shd w:val="clear" w:color="auto" w:fill="auto"/>
            <w:hideMark/>
          </w:tcPr>
          <w:p w14:paraId="62B2982A" w14:textId="77777777" w:rsidR="00CE528A" w:rsidRPr="002D55D1" w:rsidRDefault="00CE528A" w:rsidP="00CE528A">
            <w:pPr>
              <w:ind w:firstLineChars="200" w:firstLine="320"/>
              <w:rPr>
                <w:rFonts w:ascii="Arial" w:hAnsi="Arial" w:cs="Arial"/>
                <w:sz w:val="16"/>
                <w:szCs w:val="16"/>
                <w:lang w:eastAsia="es-AR"/>
              </w:rPr>
            </w:pPr>
          </w:p>
        </w:tc>
        <w:tc>
          <w:tcPr>
            <w:tcW w:w="603" w:type="pct"/>
            <w:tcBorders>
              <w:top w:val="nil"/>
              <w:left w:val="nil"/>
              <w:right w:val="nil"/>
            </w:tcBorders>
            <w:shd w:val="clear" w:color="auto" w:fill="auto"/>
            <w:vAlign w:val="bottom"/>
          </w:tcPr>
          <w:p w14:paraId="7884638A" w14:textId="2D1C39BA" w:rsidR="00CE528A" w:rsidRPr="00593C40" w:rsidRDefault="00CE528A" w:rsidP="00CE528A">
            <w:pPr>
              <w:jc w:val="right"/>
              <w:rPr>
                <w:rFonts w:ascii="Arial" w:hAnsi="Arial" w:cs="Arial"/>
                <w:sz w:val="16"/>
                <w:szCs w:val="16"/>
                <w:lang w:eastAsia="es-AR"/>
              </w:rPr>
            </w:pPr>
            <w:r w:rsidRPr="00CE528A">
              <w:rPr>
                <w:rFonts w:ascii="Arial" w:hAnsi="Arial" w:cs="Arial"/>
                <w:sz w:val="16"/>
                <w:szCs w:val="16"/>
                <w:lang w:eastAsia="es-AR"/>
              </w:rPr>
              <w:t>-306.536</w:t>
            </w:r>
          </w:p>
        </w:tc>
        <w:tc>
          <w:tcPr>
            <w:tcW w:w="729" w:type="pct"/>
            <w:tcBorders>
              <w:top w:val="nil"/>
              <w:left w:val="nil"/>
              <w:right w:val="nil"/>
            </w:tcBorders>
            <w:shd w:val="clear" w:color="auto" w:fill="auto"/>
            <w:vAlign w:val="bottom"/>
          </w:tcPr>
          <w:p w14:paraId="09EB8EA3" w14:textId="7D0A3F86" w:rsidR="00CE528A" w:rsidRPr="00593C40" w:rsidRDefault="00FC564B" w:rsidP="00CE528A">
            <w:pPr>
              <w:jc w:val="right"/>
              <w:rPr>
                <w:rFonts w:ascii="Arial" w:hAnsi="Arial" w:cs="Arial"/>
                <w:sz w:val="16"/>
                <w:szCs w:val="16"/>
                <w:lang w:eastAsia="es-AR"/>
              </w:rPr>
            </w:pPr>
            <w:r>
              <w:rPr>
                <w:rFonts w:ascii="Arial" w:hAnsi="Arial" w:cs="Arial"/>
                <w:sz w:val="16"/>
                <w:szCs w:val="16"/>
                <w:lang w:eastAsia="es-AR"/>
              </w:rPr>
              <w:t>32.415.710</w:t>
            </w:r>
          </w:p>
        </w:tc>
      </w:tr>
      <w:tr w:rsidR="00CE528A" w:rsidRPr="002D55D1" w14:paraId="5A4A9ED8" w14:textId="77777777" w:rsidTr="002E2271">
        <w:trPr>
          <w:trHeight w:val="285"/>
        </w:trPr>
        <w:tc>
          <w:tcPr>
            <w:tcW w:w="3257" w:type="pct"/>
            <w:tcBorders>
              <w:top w:val="nil"/>
              <w:left w:val="nil"/>
              <w:right w:val="nil"/>
            </w:tcBorders>
            <w:shd w:val="clear" w:color="auto" w:fill="auto"/>
            <w:vAlign w:val="bottom"/>
            <w:hideMark/>
          </w:tcPr>
          <w:p w14:paraId="1CBC8687" w14:textId="77777777" w:rsidR="00CE528A" w:rsidRPr="002D55D1" w:rsidRDefault="00CE528A" w:rsidP="00CE528A">
            <w:pPr>
              <w:ind w:firstLineChars="100" w:firstLine="160"/>
              <w:rPr>
                <w:rFonts w:ascii="Arial" w:hAnsi="Arial" w:cs="Arial"/>
                <w:sz w:val="16"/>
                <w:szCs w:val="16"/>
                <w:lang w:eastAsia="es-AR"/>
              </w:rPr>
            </w:pPr>
            <w:r w:rsidRPr="002D55D1">
              <w:rPr>
                <w:rFonts w:ascii="Arial" w:hAnsi="Arial" w:cs="Arial"/>
                <w:sz w:val="16"/>
                <w:szCs w:val="16"/>
                <w:lang w:eastAsia="es-AR"/>
              </w:rPr>
              <w:t>Pasivos a valor razonable con cambios en resultados</w:t>
            </w:r>
          </w:p>
        </w:tc>
        <w:tc>
          <w:tcPr>
            <w:tcW w:w="411" w:type="pct"/>
            <w:tcBorders>
              <w:top w:val="nil"/>
              <w:left w:val="nil"/>
              <w:right w:val="nil"/>
            </w:tcBorders>
            <w:shd w:val="clear" w:color="auto" w:fill="auto"/>
            <w:hideMark/>
          </w:tcPr>
          <w:p w14:paraId="0781B8D8" w14:textId="77777777" w:rsidR="00CE528A" w:rsidRPr="002D55D1" w:rsidRDefault="00CE528A" w:rsidP="00CE528A">
            <w:pPr>
              <w:ind w:firstLineChars="100" w:firstLine="160"/>
              <w:rPr>
                <w:rFonts w:ascii="Arial" w:hAnsi="Arial" w:cs="Arial"/>
                <w:sz w:val="16"/>
                <w:szCs w:val="16"/>
                <w:lang w:eastAsia="es-AR"/>
              </w:rPr>
            </w:pPr>
          </w:p>
        </w:tc>
        <w:tc>
          <w:tcPr>
            <w:tcW w:w="603" w:type="pct"/>
            <w:tcBorders>
              <w:top w:val="nil"/>
              <w:left w:val="nil"/>
              <w:right w:val="nil"/>
            </w:tcBorders>
            <w:shd w:val="clear" w:color="auto" w:fill="auto"/>
            <w:vAlign w:val="bottom"/>
          </w:tcPr>
          <w:p w14:paraId="169CFB1B" w14:textId="496848AD" w:rsidR="00CE528A" w:rsidRPr="00593C40" w:rsidRDefault="00CE528A" w:rsidP="00CE528A">
            <w:pPr>
              <w:jc w:val="right"/>
              <w:rPr>
                <w:rFonts w:ascii="Arial" w:hAnsi="Arial" w:cs="Arial"/>
                <w:sz w:val="16"/>
                <w:szCs w:val="16"/>
                <w:lang w:eastAsia="es-AR"/>
              </w:rPr>
            </w:pPr>
            <w:r w:rsidRPr="00CE528A">
              <w:rPr>
                <w:rFonts w:ascii="Arial" w:hAnsi="Arial" w:cs="Arial"/>
                <w:sz w:val="16"/>
                <w:szCs w:val="16"/>
                <w:lang w:eastAsia="es-AR"/>
              </w:rPr>
              <w:t>-480.386</w:t>
            </w:r>
          </w:p>
        </w:tc>
        <w:tc>
          <w:tcPr>
            <w:tcW w:w="729" w:type="pct"/>
            <w:tcBorders>
              <w:top w:val="nil"/>
              <w:left w:val="nil"/>
              <w:right w:val="nil"/>
            </w:tcBorders>
            <w:shd w:val="clear" w:color="auto" w:fill="auto"/>
            <w:vAlign w:val="bottom"/>
          </w:tcPr>
          <w:p w14:paraId="1F59FCF9" w14:textId="6EC0DC57" w:rsidR="00CE528A" w:rsidRPr="00593C40" w:rsidRDefault="00FC564B" w:rsidP="00CE528A">
            <w:pPr>
              <w:jc w:val="right"/>
              <w:rPr>
                <w:rFonts w:ascii="Arial" w:hAnsi="Arial" w:cs="Arial"/>
                <w:sz w:val="16"/>
                <w:szCs w:val="16"/>
                <w:lang w:eastAsia="es-AR"/>
              </w:rPr>
            </w:pPr>
            <w:r>
              <w:rPr>
                <w:rFonts w:ascii="Arial" w:hAnsi="Arial" w:cs="Arial"/>
                <w:sz w:val="16"/>
                <w:szCs w:val="16"/>
                <w:lang w:eastAsia="es-AR"/>
              </w:rPr>
              <w:t>-3.562.354</w:t>
            </w:r>
          </w:p>
        </w:tc>
      </w:tr>
      <w:tr w:rsidR="002B72BA" w:rsidRPr="002D55D1" w14:paraId="0106BBA7" w14:textId="77777777" w:rsidTr="00F30A15">
        <w:trPr>
          <w:trHeight w:val="285"/>
        </w:trPr>
        <w:tc>
          <w:tcPr>
            <w:tcW w:w="3257" w:type="pct"/>
            <w:tcBorders>
              <w:top w:val="nil"/>
              <w:left w:val="nil"/>
              <w:right w:val="nil"/>
            </w:tcBorders>
            <w:shd w:val="clear" w:color="auto" w:fill="auto"/>
          </w:tcPr>
          <w:p w14:paraId="7BBC9BC2" w14:textId="77777777" w:rsidR="002B72BA" w:rsidRPr="002D55D1" w:rsidRDefault="002B72BA" w:rsidP="00F30A15">
            <w:pPr>
              <w:ind w:firstLineChars="100" w:firstLine="160"/>
              <w:rPr>
                <w:rFonts w:ascii="Arial" w:hAnsi="Arial" w:cs="Arial"/>
                <w:sz w:val="16"/>
                <w:szCs w:val="16"/>
                <w:lang w:eastAsia="es-AR"/>
              </w:rPr>
            </w:pPr>
          </w:p>
        </w:tc>
        <w:tc>
          <w:tcPr>
            <w:tcW w:w="411" w:type="pct"/>
            <w:tcBorders>
              <w:top w:val="nil"/>
              <w:left w:val="nil"/>
              <w:right w:val="nil"/>
            </w:tcBorders>
            <w:shd w:val="clear" w:color="auto" w:fill="auto"/>
          </w:tcPr>
          <w:p w14:paraId="0DB052C6"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right w:val="nil"/>
            </w:tcBorders>
            <w:shd w:val="clear" w:color="auto" w:fill="auto"/>
            <w:vAlign w:val="bottom"/>
          </w:tcPr>
          <w:p w14:paraId="40641B9E" w14:textId="77777777" w:rsidR="002B72BA" w:rsidRPr="006F757F" w:rsidRDefault="002B72BA" w:rsidP="00F30A15">
            <w:pPr>
              <w:jc w:val="right"/>
              <w:rPr>
                <w:rFonts w:ascii="Arial" w:hAnsi="Arial" w:cs="Arial"/>
                <w:sz w:val="16"/>
                <w:szCs w:val="16"/>
                <w:lang w:eastAsia="es-AR"/>
              </w:rPr>
            </w:pPr>
          </w:p>
        </w:tc>
        <w:tc>
          <w:tcPr>
            <w:tcW w:w="729" w:type="pct"/>
            <w:tcBorders>
              <w:top w:val="nil"/>
              <w:left w:val="nil"/>
              <w:right w:val="nil"/>
            </w:tcBorders>
            <w:shd w:val="clear" w:color="auto" w:fill="auto"/>
            <w:vAlign w:val="bottom"/>
          </w:tcPr>
          <w:p w14:paraId="5B84643F" w14:textId="77777777" w:rsidR="002B72BA" w:rsidRPr="00593C40" w:rsidRDefault="002B72BA" w:rsidP="00F30A15">
            <w:pPr>
              <w:jc w:val="right"/>
              <w:rPr>
                <w:rFonts w:ascii="Arial" w:hAnsi="Arial" w:cs="Arial"/>
                <w:sz w:val="16"/>
                <w:szCs w:val="16"/>
                <w:lang w:eastAsia="es-AR"/>
              </w:rPr>
            </w:pPr>
          </w:p>
        </w:tc>
      </w:tr>
      <w:tr w:rsidR="002B72BA" w:rsidRPr="002D55D1" w14:paraId="37EF5B59" w14:textId="77777777" w:rsidTr="00F30A15">
        <w:trPr>
          <w:trHeight w:val="285"/>
        </w:trPr>
        <w:tc>
          <w:tcPr>
            <w:tcW w:w="3257" w:type="pct"/>
            <w:tcBorders>
              <w:top w:val="nil"/>
              <w:left w:val="nil"/>
              <w:right w:val="nil"/>
            </w:tcBorders>
            <w:shd w:val="clear" w:color="auto" w:fill="auto"/>
          </w:tcPr>
          <w:p w14:paraId="63F7EEBE" w14:textId="77777777" w:rsidR="002B72BA" w:rsidRPr="002D55D1" w:rsidRDefault="002B72BA" w:rsidP="00F30A15">
            <w:pPr>
              <w:ind w:firstLineChars="100" w:firstLine="160"/>
              <w:rPr>
                <w:rFonts w:ascii="Arial" w:hAnsi="Arial" w:cs="Arial"/>
                <w:sz w:val="16"/>
                <w:szCs w:val="16"/>
                <w:lang w:eastAsia="es-AR"/>
              </w:rPr>
            </w:pPr>
          </w:p>
        </w:tc>
        <w:tc>
          <w:tcPr>
            <w:tcW w:w="411" w:type="pct"/>
            <w:tcBorders>
              <w:top w:val="nil"/>
              <w:left w:val="nil"/>
              <w:right w:val="nil"/>
            </w:tcBorders>
            <w:shd w:val="clear" w:color="auto" w:fill="auto"/>
          </w:tcPr>
          <w:p w14:paraId="398EE4BD"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right w:val="nil"/>
            </w:tcBorders>
            <w:shd w:val="clear" w:color="auto" w:fill="auto"/>
            <w:vAlign w:val="bottom"/>
          </w:tcPr>
          <w:p w14:paraId="39E9E7D9" w14:textId="77777777" w:rsidR="002B72BA" w:rsidRPr="006F757F" w:rsidRDefault="002B72BA" w:rsidP="00F30A15">
            <w:pPr>
              <w:jc w:val="right"/>
              <w:rPr>
                <w:rFonts w:ascii="Arial" w:hAnsi="Arial" w:cs="Arial"/>
                <w:sz w:val="16"/>
                <w:szCs w:val="16"/>
                <w:lang w:eastAsia="es-AR"/>
              </w:rPr>
            </w:pPr>
          </w:p>
        </w:tc>
        <w:tc>
          <w:tcPr>
            <w:tcW w:w="729" w:type="pct"/>
            <w:tcBorders>
              <w:top w:val="nil"/>
              <w:left w:val="nil"/>
              <w:right w:val="nil"/>
            </w:tcBorders>
            <w:shd w:val="clear" w:color="auto" w:fill="auto"/>
            <w:vAlign w:val="bottom"/>
          </w:tcPr>
          <w:p w14:paraId="5D704AB8" w14:textId="77777777" w:rsidR="002B72BA" w:rsidRPr="00593C40" w:rsidRDefault="002B72BA" w:rsidP="00F30A15">
            <w:pPr>
              <w:jc w:val="right"/>
              <w:rPr>
                <w:rFonts w:ascii="Arial" w:hAnsi="Arial" w:cs="Arial"/>
                <w:sz w:val="16"/>
                <w:szCs w:val="16"/>
                <w:lang w:eastAsia="es-AR"/>
              </w:rPr>
            </w:pPr>
          </w:p>
        </w:tc>
      </w:tr>
      <w:tr w:rsidR="002B72BA" w:rsidRPr="006D010A" w14:paraId="78FDABAE" w14:textId="77777777" w:rsidTr="00424FCE">
        <w:trPr>
          <w:trHeight w:val="285"/>
        </w:trPr>
        <w:tc>
          <w:tcPr>
            <w:tcW w:w="3257" w:type="pct"/>
            <w:tcBorders>
              <w:top w:val="nil"/>
              <w:left w:val="nil"/>
              <w:bottom w:val="single" w:sz="4" w:space="0" w:color="auto"/>
              <w:right w:val="nil"/>
            </w:tcBorders>
            <w:shd w:val="clear" w:color="auto" w:fill="auto"/>
          </w:tcPr>
          <w:p w14:paraId="6A544B5D" w14:textId="77777777" w:rsidR="002B72BA" w:rsidRPr="00424FCE" w:rsidRDefault="002B72BA" w:rsidP="00F30A15">
            <w:pPr>
              <w:ind w:firstLineChars="100" w:firstLine="100"/>
              <w:rPr>
                <w:rFonts w:ascii="Arial" w:hAnsi="Arial" w:cs="Arial"/>
                <w:sz w:val="10"/>
                <w:szCs w:val="10"/>
                <w:lang w:eastAsia="es-AR"/>
              </w:rPr>
            </w:pPr>
          </w:p>
        </w:tc>
        <w:tc>
          <w:tcPr>
            <w:tcW w:w="411" w:type="pct"/>
            <w:tcBorders>
              <w:top w:val="nil"/>
              <w:left w:val="nil"/>
              <w:bottom w:val="single" w:sz="4" w:space="0" w:color="auto"/>
              <w:right w:val="nil"/>
            </w:tcBorders>
            <w:shd w:val="clear" w:color="auto" w:fill="auto"/>
          </w:tcPr>
          <w:p w14:paraId="3EDC2805" w14:textId="77777777" w:rsidR="002B72BA" w:rsidRPr="00424FCE" w:rsidRDefault="002B72BA" w:rsidP="00F30A15">
            <w:pPr>
              <w:ind w:firstLineChars="100" w:firstLine="100"/>
              <w:rPr>
                <w:rFonts w:ascii="Arial" w:hAnsi="Arial" w:cs="Arial"/>
                <w:sz w:val="10"/>
                <w:szCs w:val="10"/>
                <w:lang w:eastAsia="es-AR"/>
              </w:rPr>
            </w:pPr>
          </w:p>
        </w:tc>
        <w:tc>
          <w:tcPr>
            <w:tcW w:w="603" w:type="pct"/>
            <w:tcBorders>
              <w:top w:val="nil"/>
              <w:left w:val="nil"/>
              <w:bottom w:val="single" w:sz="4" w:space="0" w:color="auto"/>
              <w:right w:val="nil"/>
            </w:tcBorders>
            <w:shd w:val="clear" w:color="auto" w:fill="auto"/>
            <w:vAlign w:val="bottom"/>
          </w:tcPr>
          <w:p w14:paraId="1EF81D9D" w14:textId="77777777" w:rsidR="002B72BA" w:rsidRPr="00424FCE" w:rsidRDefault="002B72BA" w:rsidP="00F30A15">
            <w:pPr>
              <w:jc w:val="right"/>
              <w:rPr>
                <w:rFonts w:ascii="Arial" w:hAnsi="Arial" w:cs="Arial"/>
                <w:sz w:val="10"/>
                <w:szCs w:val="10"/>
                <w:lang w:eastAsia="es-AR"/>
              </w:rPr>
            </w:pPr>
          </w:p>
        </w:tc>
        <w:tc>
          <w:tcPr>
            <w:tcW w:w="729" w:type="pct"/>
            <w:tcBorders>
              <w:top w:val="nil"/>
              <w:left w:val="nil"/>
              <w:bottom w:val="single" w:sz="4" w:space="0" w:color="auto"/>
              <w:right w:val="nil"/>
            </w:tcBorders>
            <w:shd w:val="clear" w:color="auto" w:fill="auto"/>
            <w:vAlign w:val="bottom"/>
          </w:tcPr>
          <w:p w14:paraId="2F94C2B0" w14:textId="77777777" w:rsidR="002B72BA" w:rsidRPr="00424FCE" w:rsidRDefault="002B72BA" w:rsidP="00F30A15">
            <w:pPr>
              <w:jc w:val="right"/>
              <w:rPr>
                <w:rFonts w:ascii="Arial" w:hAnsi="Arial" w:cs="Arial"/>
                <w:sz w:val="10"/>
                <w:szCs w:val="10"/>
                <w:lang w:eastAsia="es-AR"/>
              </w:rPr>
            </w:pPr>
          </w:p>
        </w:tc>
      </w:tr>
      <w:tr w:rsidR="002B72BA" w:rsidRPr="002D55D1" w14:paraId="384C7E24" w14:textId="77777777" w:rsidTr="00424FCE">
        <w:trPr>
          <w:trHeight w:val="285"/>
        </w:trPr>
        <w:tc>
          <w:tcPr>
            <w:tcW w:w="3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59A552" w14:textId="77777777" w:rsidR="002B72BA" w:rsidRPr="005F0795" w:rsidRDefault="002B72BA" w:rsidP="00F30A15">
            <w:pPr>
              <w:jc w:val="center"/>
              <w:rPr>
                <w:rFonts w:ascii="Arial" w:hAnsi="Arial" w:cs="Arial"/>
                <w:b/>
                <w:bCs/>
                <w:sz w:val="16"/>
                <w:szCs w:val="16"/>
                <w:lang w:eastAsia="es-AR"/>
              </w:rPr>
            </w:pPr>
            <w:r w:rsidRPr="00593C40">
              <w:rPr>
                <w:rFonts w:ascii="Arial" w:hAnsi="Arial" w:cs="Arial"/>
                <w:b/>
                <w:bCs/>
                <w:sz w:val="16"/>
                <w:szCs w:val="16"/>
                <w:lang w:eastAsia="es-AR"/>
              </w:rPr>
              <w:t>Conceptos</w:t>
            </w:r>
          </w:p>
        </w:tc>
        <w:tc>
          <w:tcPr>
            <w:tcW w:w="41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2828B5" w14:textId="77777777" w:rsidR="002B72BA" w:rsidRPr="005F0795" w:rsidRDefault="002B72BA" w:rsidP="00F30A15">
            <w:pPr>
              <w:jc w:val="center"/>
              <w:rPr>
                <w:rFonts w:ascii="Arial" w:hAnsi="Arial" w:cs="Arial"/>
                <w:b/>
                <w:bCs/>
                <w:sz w:val="16"/>
                <w:szCs w:val="16"/>
                <w:lang w:eastAsia="es-AR"/>
              </w:rPr>
            </w:pPr>
            <w:r w:rsidRPr="00593C40">
              <w:rPr>
                <w:rFonts w:ascii="Arial" w:hAnsi="Arial" w:cs="Arial"/>
                <w:b/>
                <w:bCs/>
                <w:sz w:val="16"/>
                <w:szCs w:val="16"/>
                <w:lang w:eastAsia="es-AR"/>
              </w:rPr>
              <w:t>Notas</w:t>
            </w:r>
          </w:p>
        </w:tc>
        <w:tc>
          <w:tcPr>
            <w:tcW w:w="6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AE9F1E" w14:textId="7C07A7FC" w:rsidR="002B72BA" w:rsidRPr="005F0795" w:rsidRDefault="002B72BA" w:rsidP="00F30A15">
            <w:pPr>
              <w:jc w:val="center"/>
              <w:rPr>
                <w:rFonts w:ascii="Arial" w:hAnsi="Arial" w:cs="Arial"/>
                <w:b/>
                <w:bCs/>
                <w:sz w:val="16"/>
                <w:szCs w:val="16"/>
                <w:lang w:eastAsia="es-AR"/>
              </w:rPr>
            </w:pPr>
            <w:r>
              <w:rPr>
                <w:rFonts w:ascii="Arial" w:hAnsi="Arial" w:cs="Arial"/>
                <w:b/>
                <w:bCs/>
                <w:sz w:val="16"/>
                <w:szCs w:val="16"/>
                <w:lang w:eastAsia="es-AR"/>
              </w:rPr>
              <w:t>3</w:t>
            </w:r>
            <w:r w:rsidR="009326EC">
              <w:rPr>
                <w:rFonts w:ascii="Arial" w:hAnsi="Arial" w:cs="Arial"/>
                <w:b/>
                <w:bCs/>
                <w:sz w:val="16"/>
                <w:szCs w:val="16"/>
                <w:lang w:eastAsia="es-AR"/>
              </w:rPr>
              <w:t>1</w:t>
            </w:r>
            <w:r>
              <w:rPr>
                <w:rFonts w:ascii="Arial" w:hAnsi="Arial" w:cs="Arial"/>
                <w:b/>
                <w:bCs/>
                <w:sz w:val="16"/>
                <w:szCs w:val="16"/>
                <w:lang w:eastAsia="es-AR"/>
              </w:rPr>
              <w:t>/</w:t>
            </w:r>
            <w:r w:rsidR="009326EC">
              <w:rPr>
                <w:rFonts w:ascii="Arial" w:hAnsi="Arial" w:cs="Arial"/>
                <w:b/>
                <w:bCs/>
                <w:sz w:val="16"/>
                <w:szCs w:val="16"/>
                <w:lang w:eastAsia="es-AR"/>
              </w:rPr>
              <w:t>12</w:t>
            </w:r>
            <w:r>
              <w:rPr>
                <w:rFonts w:ascii="Arial" w:hAnsi="Arial" w:cs="Arial"/>
                <w:b/>
                <w:bCs/>
                <w:sz w:val="16"/>
                <w:szCs w:val="16"/>
                <w:lang w:eastAsia="es-AR"/>
              </w:rPr>
              <w:t>/2019</w:t>
            </w:r>
          </w:p>
        </w:tc>
        <w:tc>
          <w:tcPr>
            <w:tcW w:w="7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1B02F0" w14:textId="2503DAA3" w:rsidR="002B72BA" w:rsidRPr="005F0795" w:rsidRDefault="002B72BA" w:rsidP="00F30A15">
            <w:pPr>
              <w:jc w:val="center"/>
              <w:rPr>
                <w:rFonts w:ascii="Arial" w:hAnsi="Arial" w:cs="Arial"/>
                <w:b/>
                <w:bCs/>
                <w:sz w:val="16"/>
                <w:szCs w:val="16"/>
                <w:lang w:eastAsia="es-AR"/>
              </w:rPr>
            </w:pPr>
            <w:r>
              <w:rPr>
                <w:rFonts w:ascii="Arial" w:hAnsi="Arial" w:cs="Arial"/>
                <w:b/>
                <w:bCs/>
                <w:sz w:val="16"/>
                <w:szCs w:val="16"/>
                <w:lang w:eastAsia="es-AR"/>
              </w:rPr>
              <w:t>3</w:t>
            </w:r>
            <w:r w:rsidR="009326EC">
              <w:rPr>
                <w:rFonts w:ascii="Arial" w:hAnsi="Arial" w:cs="Arial"/>
                <w:b/>
                <w:bCs/>
                <w:sz w:val="16"/>
                <w:szCs w:val="16"/>
                <w:lang w:eastAsia="es-AR"/>
              </w:rPr>
              <w:t>1</w:t>
            </w:r>
            <w:r>
              <w:rPr>
                <w:rFonts w:ascii="Arial" w:hAnsi="Arial" w:cs="Arial"/>
                <w:b/>
                <w:bCs/>
                <w:sz w:val="16"/>
                <w:szCs w:val="16"/>
                <w:lang w:eastAsia="es-AR"/>
              </w:rPr>
              <w:t>/</w:t>
            </w:r>
            <w:r w:rsidR="009326EC">
              <w:rPr>
                <w:rFonts w:ascii="Arial" w:hAnsi="Arial" w:cs="Arial"/>
                <w:b/>
                <w:bCs/>
                <w:sz w:val="16"/>
                <w:szCs w:val="16"/>
                <w:lang w:eastAsia="es-AR"/>
              </w:rPr>
              <w:t>12</w:t>
            </w:r>
            <w:r>
              <w:rPr>
                <w:rFonts w:ascii="Arial" w:hAnsi="Arial" w:cs="Arial"/>
                <w:b/>
                <w:bCs/>
                <w:sz w:val="16"/>
                <w:szCs w:val="16"/>
                <w:lang w:eastAsia="es-AR"/>
              </w:rPr>
              <w:t>/2018</w:t>
            </w:r>
          </w:p>
        </w:tc>
      </w:tr>
      <w:tr w:rsidR="002B72BA" w:rsidRPr="002D55D1" w14:paraId="535EDAA7" w14:textId="77777777" w:rsidTr="002E2271">
        <w:trPr>
          <w:trHeight w:val="305"/>
        </w:trPr>
        <w:tc>
          <w:tcPr>
            <w:tcW w:w="3257" w:type="pct"/>
            <w:tcBorders>
              <w:top w:val="single" w:sz="4" w:space="0" w:color="auto"/>
              <w:left w:val="nil"/>
              <w:bottom w:val="nil"/>
              <w:right w:val="nil"/>
            </w:tcBorders>
            <w:shd w:val="clear" w:color="auto" w:fill="auto"/>
            <w:vAlign w:val="bottom"/>
            <w:hideMark/>
          </w:tcPr>
          <w:p w14:paraId="698FF375"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Instrumentos derivados</w:t>
            </w:r>
          </w:p>
        </w:tc>
        <w:tc>
          <w:tcPr>
            <w:tcW w:w="411" w:type="pct"/>
            <w:tcBorders>
              <w:top w:val="single" w:sz="4" w:space="0" w:color="auto"/>
              <w:left w:val="nil"/>
              <w:bottom w:val="nil"/>
              <w:right w:val="nil"/>
            </w:tcBorders>
            <w:shd w:val="clear" w:color="auto" w:fill="auto"/>
            <w:hideMark/>
          </w:tcPr>
          <w:p w14:paraId="527BBB2D"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single" w:sz="4" w:space="0" w:color="auto"/>
              <w:left w:val="nil"/>
              <w:bottom w:val="nil"/>
              <w:right w:val="nil"/>
            </w:tcBorders>
            <w:shd w:val="clear" w:color="auto" w:fill="auto"/>
            <w:vAlign w:val="bottom"/>
          </w:tcPr>
          <w:p w14:paraId="6FC887DC" w14:textId="1C683C1C" w:rsidR="002B72BA" w:rsidRPr="00593C40" w:rsidRDefault="00CE528A" w:rsidP="00F30A15">
            <w:pPr>
              <w:jc w:val="right"/>
              <w:rPr>
                <w:rFonts w:ascii="Arial" w:hAnsi="Arial" w:cs="Arial"/>
                <w:sz w:val="16"/>
                <w:szCs w:val="16"/>
                <w:lang w:eastAsia="es-AR"/>
              </w:rPr>
            </w:pPr>
            <w:r w:rsidRPr="00CE528A">
              <w:rPr>
                <w:rFonts w:ascii="Arial" w:hAnsi="Arial" w:cs="Arial"/>
                <w:sz w:val="16"/>
                <w:szCs w:val="16"/>
                <w:lang w:eastAsia="es-AR"/>
              </w:rPr>
              <w:t>-94.222</w:t>
            </w:r>
          </w:p>
        </w:tc>
        <w:tc>
          <w:tcPr>
            <w:tcW w:w="729" w:type="pct"/>
            <w:tcBorders>
              <w:top w:val="single" w:sz="4" w:space="0" w:color="auto"/>
              <w:left w:val="nil"/>
              <w:bottom w:val="nil"/>
              <w:right w:val="nil"/>
            </w:tcBorders>
            <w:shd w:val="clear" w:color="auto" w:fill="auto"/>
            <w:vAlign w:val="bottom"/>
          </w:tcPr>
          <w:p w14:paraId="7B10ECF1" w14:textId="272FAEF3"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94.222</w:t>
            </w:r>
          </w:p>
        </w:tc>
      </w:tr>
      <w:tr w:rsidR="002B72BA" w:rsidRPr="00FC564B" w14:paraId="7E3C16B4" w14:textId="77777777" w:rsidTr="002E2271">
        <w:trPr>
          <w:trHeight w:val="285"/>
        </w:trPr>
        <w:tc>
          <w:tcPr>
            <w:tcW w:w="3257" w:type="pct"/>
            <w:tcBorders>
              <w:top w:val="nil"/>
              <w:left w:val="nil"/>
              <w:bottom w:val="nil"/>
              <w:right w:val="nil"/>
            </w:tcBorders>
            <w:shd w:val="clear" w:color="auto" w:fill="auto"/>
            <w:vAlign w:val="bottom"/>
            <w:hideMark/>
          </w:tcPr>
          <w:p w14:paraId="78F7114E"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Operaciones de pase</w:t>
            </w:r>
          </w:p>
        </w:tc>
        <w:tc>
          <w:tcPr>
            <w:tcW w:w="411" w:type="pct"/>
            <w:tcBorders>
              <w:top w:val="nil"/>
              <w:left w:val="nil"/>
              <w:bottom w:val="nil"/>
              <w:right w:val="nil"/>
            </w:tcBorders>
            <w:shd w:val="clear" w:color="auto" w:fill="auto"/>
            <w:hideMark/>
          </w:tcPr>
          <w:p w14:paraId="395FD8F8"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D1370D8" w14:textId="53ACD55E" w:rsidR="002B72BA" w:rsidRPr="00593C40" w:rsidRDefault="00CE528A" w:rsidP="00F30A15">
            <w:pPr>
              <w:jc w:val="right"/>
              <w:rPr>
                <w:rFonts w:ascii="Arial" w:hAnsi="Arial" w:cs="Arial"/>
                <w:sz w:val="16"/>
                <w:szCs w:val="16"/>
                <w:lang w:eastAsia="es-AR"/>
              </w:rPr>
            </w:pPr>
            <w:r w:rsidRPr="00CE528A">
              <w:rPr>
                <w:rFonts w:ascii="Arial" w:hAnsi="Arial" w:cs="Arial"/>
                <w:sz w:val="16"/>
                <w:szCs w:val="16"/>
                <w:lang w:eastAsia="es-AR"/>
              </w:rPr>
              <w:t>240.493</w:t>
            </w:r>
          </w:p>
        </w:tc>
        <w:tc>
          <w:tcPr>
            <w:tcW w:w="729" w:type="pct"/>
            <w:tcBorders>
              <w:top w:val="nil"/>
              <w:left w:val="nil"/>
              <w:bottom w:val="nil"/>
              <w:right w:val="nil"/>
            </w:tcBorders>
            <w:shd w:val="clear" w:color="auto" w:fill="auto"/>
            <w:vAlign w:val="bottom"/>
          </w:tcPr>
          <w:p w14:paraId="5DDCE4A3" w14:textId="430E2037" w:rsidR="002B72BA" w:rsidRPr="00593C40" w:rsidRDefault="00FC564B" w:rsidP="00FC564B">
            <w:pPr>
              <w:jc w:val="right"/>
              <w:rPr>
                <w:rFonts w:ascii="Arial" w:hAnsi="Arial" w:cs="Arial"/>
                <w:sz w:val="16"/>
                <w:szCs w:val="16"/>
                <w:lang w:eastAsia="es-AR"/>
              </w:rPr>
            </w:pPr>
            <w:r>
              <w:rPr>
                <w:rFonts w:ascii="Arial" w:hAnsi="Arial" w:cs="Arial"/>
                <w:sz w:val="16"/>
                <w:szCs w:val="16"/>
                <w:lang w:eastAsia="es-AR"/>
              </w:rPr>
              <w:t>-</w:t>
            </w:r>
          </w:p>
        </w:tc>
      </w:tr>
      <w:tr w:rsidR="002B72BA" w:rsidRPr="002D55D1" w14:paraId="69382077" w14:textId="77777777" w:rsidTr="002E2271">
        <w:trPr>
          <w:trHeight w:val="281"/>
        </w:trPr>
        <w:tc>
          <w:tcPr>
            <w:tcW w:w="3257" w:type="pct"/>
            <w:tcBorders>
              <w:top w:val="nil"/>
              <w:left w:val="nil"/>
              <w:bottom w:val="nil"/>
              <w:right w:val="nil"/>
            </w:tcBorders>
            <w:shd w:val="clear" w:color="auto" w:fill="auto"/>
            <w:vAlign w:val="bottom"/>
            <w:hideMark/>
          </w:tcPr>
          <w:p w14:paraId="62400142" w14:textId="77777777" w:rsidR="002B72BA" w:rsidRPr="002D55D1" w:rsidRDefault="002B72BA" w:rsidP="002E2271">
            <w:pPr>
              <w:ind w:firstLineChars="100" w:firstLine="160"/>
              <w:rPr>
                <w:rFonts w:ascii="Arial" w:hAnsi="Arial" w:cs="Arial"/>
                <w:sz w:val="16"/>
                <w:szCs w:val="16"/>
                <w:lang w:eastAsia="es-AR"/>
              </w:rPr>
            </w:pPr>
            <w:r w:rsidRPr="002D55D1">
              <w:rPr>
                <w:rFonts w:ascii="Arial" w:hAnsi="Arial" w:cs="Arial"/>
                <w:sz w:val="16"/>
                <w:szCs w:val="16"/>
                <w:lang w:eastAsia="es-AR"/>
              </w:rPr>
              <w:t>Otros pasivos</w:t>
            </w:r>
          </w:p>
        </w:tc>
        <w:tc>
          <w:tcPr>
            <w:tcW w:w="411" w:type="pct"/>
            <w:tcBorders>
              <w:top w:val="nil"/>
              <w:left w:val="nil"/>
              <w:bottom w:val="nil"/>
              <w:right w:val="nil"/>
            </w:tcBorders>
            <w:shd w:val="clear" w:color="auto" w:fill="auto"/>
            <w:hideMark/>
          </w:tcPr>
          <w:p w14:paraId="4C7D2335" w14:textId="77777777" w:rsidR="002B72BA" w:rsidRPr="002D55D1" w:rsidRDefault="002B72BA" w:rsidP="00F30A15">
            <w:pPr>
              <w:ind w:firstLineChars="100" w:firstLine="160"/>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77BC871C" w14:textId="6348C9DD" w:rsidR="002B72BA" w:rsidRPr="00593C40" w:rsidRDefault="005A786D" w:rsidP="00F30A15">
            <w:pPr>
              <w:jc w:val="right"/>
              <w:rPr>
                <w:rFonts w:ascii="Arial" w:hAnsi="Arial" w:cs="Arial"/>
                <w:sz w:val="16"/>
                <w:szCs w:val="16"/>
                <w:lang w:eastAsia="es-AR"/>
              </w:rPr>
            </w:pPr>
            <w:r w:rsidRPr="005A786D">
              <w:rPr>
                <w:rFonts w:ascii="Arial" w:hAnsi="Arial" w:cs="Arial"/>
                <w:sz w:val="16"/>
                <w:szCs w:val="16"/>
                <w:lang w:eastAsia="es-AR"/>
              </w:rPr>
              <w:t>3.881.701</w:t>
            </w:r>
          </w:p>
        </w:tc>
        <w:tc>
          <w:tcPr>
            <w:tcW w:w="729" w:type="pct"/>
            <w:tcBorders>
              <w:top w:val="nil"/>
              <w:left w:val="nil"/>
              <w:bottom w:val="nil"/>
              <w:right w:val="nil"/>
            </w:tcBorders>
            <w:shd w:val="clear" w:color="auto" w:fill="auto"/>
            <w:vAlign w:val="bottom"/>
          </w:tcPr>
          <w:p w14:paraId="16983BBB" w14:textId="1F918B2E" w:rsidR="002B72BA" w:rsidRPr="00593C40" w:rsidRDefault="00FC564B" w:rsidP="00FC564B">
            <w:pPr>
              <w:jc w:val="right"/>
              <w:rPr>
                <w:rFonts w:ascii="Arial" w:hAnsi="Arial" w:cs="Arial"/>
                <w:sz w:val="16"/>
                <w:szCs w:val="16"/>
                <w:lang w:eastAsia="es-AR"/>
              </w:rPr>
            </w:pPr>
            <w:r>
              <w:rPr>
                <w:rFonts w:ascii="Arial" w:hAnsi="Arial" w:cs="Arial"/>
                <w:sz w:val="16"/>
                <w:szCs w:val="16"/>
                <w:lang w:eastAsia="es-AR"/>
              </w:rPr>
              <w:t>240.406</w:t>
            </w:r>
          </w:p>
        </w:tc>
      </w:tr>
      <w:tr w:rsidR="002B72BA" w:rsidRPr="002D55D1" w14:paraId="2A1285DF" w14:textId="77777777" w:rsidTr="002E2271">
        <w:trPr>
          <w:trHeight w:val="80"/>
        </w:trPr>
        <w:tc>
          <w:tcPr>
            <w:tcW w:w="3257" w:type="pct"/>
            <w:tcBorders>
              <w:top w:val="nil"/>
              <w:left w:val="nil"/>
              <w:bottom w:val="nil"/>
              <w:right w:val="nil"/>
            </w:tcBorders>
            <w:shd w:val="clear" w:color="auto" w:fill="auto"/>
            <w:vAlign w:val="bottom"/>
            <w:hideMark/>
          </w:tcPr>
          <w:p w14:paraId="29426387" w14:textId="77777777" w:rsidR="002B72BA" w:rsidRPr="002D55D1" w:rsidRDefault="002B72BA" w:rsidP="002E2271">
            <w:pPr>
              <w:rPr>
                <w:rFonts w:ascii="Arial" w:hAnsi="Arial" w:cs="Arial"/>
                <w:sz w:val="16"/>
                <w:szCs w:val="16"/>
                <w:lang w:eastAsia="es-AR"/>
              </w:rPr>
            </w:pPr>
          </w:p>
        </w:tc>
        <w:tc>
          <w:tcPr>
            <w:tcW w:w="411" w:type="pct"/>
            <w:tcBorders>
              <w:top w:val="nil"/>
              <w:left w:val="nil"/>
              <w:bottom w:val="nil"/>
              <w:right w:val="nil"/>
            </w:tcBorders>
            <w:shd w:val="clear" w:color="auto" w:fill="auto"/>
            <w:hideMark/>
          </w:tcPr>
          <w:p w14:paraId="72F0F3E7" w14:textId="77777777" w:rsidR="002B72BA" w:rsidRPr="002D55D1" w:rsidRDefault="002B72BA" w:rsidP="00F30A15">
            <w:pPr>
              <w:rPr>
                <w:rFonts w:ascii="Arial" w:hAnsi="Arial" w:cs="Arial"/>
                <w:sz w:val="16"/>
                <w:szCs w:val="16"/>
                <w:lang w:eastAsia="es-AR"/>
              </w:rPr>
            </w:pPr>
          </w:p>
        </w:tc>
        <w:tc>
          <w:tcPr>
            <w:tcW w:w="603" w:type="pct"/>
            <w:tcBorders>
              <w:top w:val="nil"/>
              <w:left w:val="nil"/>
              <w:bottom w:val="nil"/>
              <w:right w:val="nil"/>
            </w:tcBorders>
            <w:shd w:val="clear" w:color="auto" w:fill="auto"/>
            <w:vAlign w:val="bottom"/>
          </w:tcPr>
          <w:p w14:paraId="20C9D829" w14:textId="77777777" w:rsidR="002B72BA" w:rsidRPr="00593C40" w:rsidRDefault="002B72BA" w:rsidP="00F30A15">
            <w:pPr>
              <w:jc w:val="right"/>
              <w:rPr>
                <w:rFonts w:ascii="Arial" w:hAnsi="Arial" w:cs="Arial"/>
                <w:sz w:val="16"/>
                <w:szCs w:val="16"/>
                <w:lang w:eastAsia="es-AR"/>
              </w:rPr>
            </w:pPr>
          </w:p>
        </w:tc>
        <w:tc>
          <w:tcPr>
            <w:tcW w:w="729" w:type="pct"/>
            <w:tcBorders>
              <w:top w:val="nil"/>
              <w:left w:val="nil"/>
              <w:bottom w:val="nil"/>
              <w:right w:val="nil"/>
            </w:tcBorders>
            <w:shd w:val="clear" w:color="auto" w:fill="auto"/>
            <w:vAlign w:val="bottom"/>
          </w:tcPr>
          <w:p w14:paraId="7A765E74" w14:textId="77777777" w:rsidR="002B72BA" w:rsidRPr="00593C40" w:rsidRDefault="002B72BA" w:rsidP="00F30A15">
            <w:pPr>
              <w:jc w:val="right"/>
              <w:rPr>
                <w:rFonts w:ascii="Arial" w:hAnsi="Arial" w:cs="Arial"/>
                <w:sz w:val="16"/>
                <w:szCs w:val="16"/>
                <w:lang w:eastAsia="es-AR"/>
              </w:rPr>
            </w:pPr>
          </w:p>
        </w:tc>
      </w:tr>
      <w:tr w:rsidR="002B72BA" w:rsidRPr="002D55D1" w14:paraId="2887DD4D" w14:textId="77777777" w:rsidTr="002E2271">
        <w:trPr>
          <w:trHeight w:val="280"/>
        </w:trPr>
        <w:tc>
          <w:tcPr>
            <w:tcW w:w="3257" w:type="pct"/>
            <w:tcBorders>
              <w:top w:val="nil"/>
              <w:left w:val="nil"/>
              <w:bottom w:val="nil"/>
              <w:right w:val="nil"/>
            </w:tcBorders>
            <w:shd w:val="clear" w:color="auto" w:fill="auto"/>
            <w:vAlign w:val="bottom"/>
            <w:hideMark/>
          </w:tcPr>
          <w:p w14:paraId="23A68E0F" w14:textId="77777777" w:rsidR="002B72BA" w:rsidRPr="002D55D1" w:rsidRDefault="002B72BA" w:rsidP="002E2271">
            <w:pPr>
              <w:rPr>
                <w:rFonts w:ascii="Arial" w:hAnsi="Arial" w:cs="Arial"/>
                <w:b/>
                <w:bCs/>
                <w:sz w:val="16"/>
                <w:szCs w:val="16"/>
                <w:lang w:eastAsia="es-AR"/>
              </w:rPr>
            </w:pPr>
            <w:r>
              <w:rPr>
                <w:rFonts w:ascii="Arial" w:hAnsi="Arial" w:cs="Arial"/>
                <w:b/>
                <w:bCs/>
                <w:sz w:val="16"/>
                <w:szCs w:val="16"/>
                <w:lang w:eastAsia="es-AR"/>
              </w:rPr>
              <w:t>P</w:t>
            </w:r>
            <w:r w:rsidRPr="002D55D1">
              <w:rPr>
                <w:rFonts w:ascii="Arial" w:hAnsi="Arial" w:cs="Arial"/>
                <w:b/>
                <w:bCs/>
                <w:sz w:val="16"/>
                <w:szCs w:val="16"/>
                <w:lang w:eastAsia="es-AR"/>
              </w:rPr>
              <w:t>agos por Impuesto a las Ganancias</w:t>
            </w:r>
          </w:p>
        </w:tc>
        <w:tc>
          <w:tcPr>
            <w:tcW w:w="411" w:type="pct"/>
            <w:tcBorders>
              <w:top w:val="nil"/>
              <w:left w:val="nil"/>
              <w:bottom w:val="nil"/>
              <w:right w:val="nil"/>
            </w:tcBorders>
            <w:shd w:val="clear" w:color="auto" w:fill="auto"/>
            <w:hideMark/>
          </w:tcPr>
          <w:p w14:paraId="47A4AB51" w14:textId="77777777" w:rsidR="002B72BA" w:rsidRPr="002D55D1" w:rsidRDefault="002B72BA" w:rsidP="00F30A15">
            <w:pPr>
              <w:rPr>
                <w:rFonts w:ascii="Arial" w:hAnsi="Arial" w:cs="Arial"/>
                <w:b/>
                <w:bCs/>
                <w:sz w:val="16"/>
                <w:szCs w:val="16"/>
                <w:lang w:eastAsia="es-AR"/>
              </w:rPr>
            </w:pPr>
          </w:p>
        </w:tc>
        <w:tc>
          <w:tcPr>
            <w:tcW w:w="603" w:type="pct"/>
            <w:tcBorders>
              <w:top w:val="nil"/>
              <w:left w:val="nil"/>
              <w:bottom w:val="nil"/>
              <w:right w:val="nil"/>
            </w:tcBorders>
            <w:shd w:val="clear" w:color="auto" w:fill="auto"/>
            <w:vAlign w:val="bottom"/>
          </w:tcPr>
          <w:p w14:paraId="134D2269" w14:textId="7421041A"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w:t>
            </w:r>
          </w:p>
        </w:tc>
        <w:tc>
          <w:tcPr>
            <w:tcW w:w="729" w:type="pct"/>
            <w:tcBorders>
              <w:top w:val="nil"/>
              <w:left w:val="nil"/>
              <w:bottom w:val="nil"/>
              <w:right w:val="nil"/>
            </w:tcBorders>
            <w:shd w:val="clear" w:color="auto" w:fill="auto"/>
            <w:vAlign w:val="bottom"/>
          </w:tcPr>
          <w:p w14:paraId="112DE3C6" w14:textId="46C1D427" w:rsidR="002B72BA" w:rsidRPr="00593C40" w:rsidRDefault="00FC564B" w:rsidP="00F30A15">
            <w:pPr>
              <w:jc w:val="right"/>
              <w:rPr>
                <w:rFonts w:ascii="Arial" w:hAnsi="Arial" w:cs="Arial"/>
                <w:sz w:val="16"/>
                <w:szCs w:val="16"/>
                <w:lang w:eastAsia="es-AR"/>
              </w:rPr>
            </w:pPr>
            <w:r>
              <w:rPr>
                <w:rFonts w:ascii="Arial" w:hAnsi="Arial" w:cs="Arial"/>
                <w:sz w:val="16"/>
                <w:szCs w:val="16"/>
                <w:lang w:eastAsia="es-AR"/>
              </w:rPr>
              <w:t>-379.285</w:t>
            </w:r>
          </w:p>
        </w:tc>
      </w:tr>
      <w:tr w:rsidR="002B72BA" w:rsidRPr="00593C40" w14:paraId="3A484892" w14:textId="77777777" w:rsidTr="002E2271">
        <w:trPr>
          <w:trHeight w:val="113"/>
        </w:trPr>
        <w:tc>
          <w:tcPr>
            <w:tcW w:w="3257" w:type="pct"/>
            <w:tcBorders>
              <w:top w:val="nil"/>
              <w:left w:val="nil"/>
              <w:bottom w:val="nil"/>
              <w:right w:val="nil"/>
            </w:tcBorders>
            <w:shd w:val="clear" w:color="auto" w:fill="auto"/>
            <w:vAlign w:val="bottom"/>
            <w:hideMark/>
          </w:tcPr>
          <w:p w14:paraId="7F41998D" w14:textId="77777777" w:rsidR="002B72BA" w:rsidRPr="00593C40" w:rsidRDefault="002B72BA" w:rsidP="002E2271">
            <w:pPr>
              <w:rPr>
                <w:rFonts w:ascii="Arial" w:hAnsi="Arial" w:cs="Arial"/>
                <w:sz w:val="10"/>
                <w:szCs w:val="10"/>
                <w:lang w:eastAsia="es-AR"/>
              </w:rPr>
            </w:pPr>
          </w:p>
        </w:tc>
        <w:tc>
          <w:tcPr>
            <w:tcW w:w="411" w:type="pct"/>
            <w:tcBorders>
              <w:top w:val="nil"/>
              <w:left w:val="nil"/>
              <w:bottom w:val="nil"/>
              <w:right w:val="nil"/>
            </w:tcBorders>
            <w:shd w:val="clear" w:color="auto" w:fill="auto"/>
            <w:hideMark/>
          </w:tcPr>
          <w:p w14:paraId="12ACBA79" w14:textId="77777777" w:rsidR="002B72BA" w:rsidRPr="00593C40" w:rsidRDefault="002B72BA" w:rsidP="00F30A15">
            <w:pPr>
              <w:rPr>
                <w:rFonts w:ascii="Arial" w:hAnsi="Arial" w:cs="Arial"/>
                <w:sz w:val="10"/>
                <w:szCs w:val="10"/>
                <w:lang w:eastAsia="es-AR"/>
              </w:rPr>
            </w:pPr>
          </w:p>
        </w:tc>
        <w:tc>
          <w:tcPr>
            <w:tcW w:w="603" w:type="pct"/>
            <w:tcBorders>
              <w:top w:val="nil"/>
              <w:left w:val="nil"/>
              <w:bottom w:val="single" w:sz="4" w:space="0" w:color="auto"/>
              <w:right w:val="nil"/>
            </w:tcBorders>
            <w:shd w:val="clear" w:color="auto" w:fill="auto"/>
            <w:vAlign w:val="bottom"/>
          </w:tcPr>
          <w:p w14:paraId="077A7E5D" w14:textId="77777777" w:rsidR="002B72BA" w:rsidRPr="00593C40" w:rsidRDefault="002B72BA" w:rsidP="00F30A15">
            <w:pPr>
              <w:jc w:val="right"/>
              <w:rPr>
                <w:rFonts w:ascii="Arial" w:hAnsi="Arial" w:cs="Arial"/>
                <w:sz w:val="10"/>
                <w:szCs w:val="10"/>
                <w:lang w:eastAsia="es-AR"/>
              </w:rPr>
            </w:pPr>
          </w:p>
        </w:tc>
        <w:tc>
          <w:tcPr>
            <w:tcW w:w="729" w:type="pct"/>
            <w:tcBorders>
              <w:top w:val="nil"/>
              <w:left w:val="nil"/>
              <w:bottom w:val="single" w:sz="4" w:space="0" w:color="auto"/>
              <w:right w:val="nil"/>
            </w:tcBorders>
            <w:shd w:val="clear" w:color="auto" w:fill="auto"/>
            <w:vAlign w:val="bottom"/>
          </w:tcPr>
          <w:p w14:paraId="014E776D" w14:textId="77777777" w:rsidR="002B72BA" w:rsidRPr="00593C40" w:rsidRDefault="002B72BA" w:rsidP="00F30A15">
            <w:pPr>
              <w:jc w:val="right"/>
              <w:rPr>
                <w:rFonts w:ascii="Arial" w:hAnsi="Arial" w:cs="Arial"/>
                <w:sz w:val="10"/>
                <w:szCs w:val="10"/>
                <w:lang w:eastAsia="es-AR"/>
              </w:rPr>
            </w:pPr>
          </w:p>
        </w:tc>
      </w:tr>
      <w:tr w:rsidR="002B72BA" w:rsidRPr="002D55D1" w14:paraId="7031044C" w14:textId="77777777" w:rsidTr="002E2271">
        <w:trPr>
          <w:trHeight w:val="70"/>
        </w:trPr>
        <w:tc>
          <w:tcPr>
            <w:tcW w:w="3257" w:type="pct"/>
            <w:tcBorders>
              <w:top w:val="nil"/>
              <w:left w:val="nil"/>
              <w:right w:val="nil"/>
            </w:tcBorders>
            <w:shd w:val="clear" w:color="auto" w:fill="auto"/>
            <w:vAlign w:val="bottom"/>
            <w:hideMark/>
          </w:tcPr>
          <w:p w14:paraId="0214D6D2" w14:textId="77777777" w:rsidR="002B72BA" w:rsidRPr="002D55D1" w:rsidRDefault="002B72BA" w:rsidP="002E2271">
            <w:pPr>
              <w:rPr>
                <w:rFonts w:ascii="Arial" w:hAnsi="Arial" w:cs="Arial"/>
                <w:b/>
                <w:bCs/>
                <w:sz w:val="16"/>
                <w:szCs w:val="16"/>
                <w:lang w:eastAsia="es-AR"/>
              </w:rPr>
            </w:pPr>
            <w:r w:rsidRPr="002D55D1">
              <w:rPr>
                <w:rFonts w:ascii="Arial" w:hAnsi="Arial" w:cs="Arial"/>
                <w:b/>
                <w:bCs/>
                <w:sz w:val="16"/>
                <w:szCs w:val="16"/>
                <w:lang w:eastAsia="es-AR"/>
              </w:rPr>
              <w:t>TOTAL DE LAS ACTIVIDADES OPERATIVAS (A)</w:t>
            </w:r>
          </w:p>
        </w:tc>
        <w:tc>
          <w:tcPr>
            <w:tcW w:w="411" w:type="pct"/>
            <w:tcBorders>
              <w:top w:val="nil"/>
              <w:left w:val="nil"/>
              <w:right w:val="nil"/>
            </w:tcBorders>
            <w:shd w:val="clear" w:color="auto" w:fill="auto"/>
            <w:hideMark/>
          </w:tcPr>
          <w:p w14:paraId="7481E3B1" w14:textId="77777777" w:rsidR="002B72BA" w:rsidRPr="002D55D1" w:rsidRDefault="002B72BA" w:rsidP="00F30A15">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3609005B" w14:textId="774D2D34" w:rsidR="002B72BA" w:rsidRPr="00593C40" w:rsidRDefault="005A786D" w:rsidP="00F30A15">
            <w:pPr>
              <w:jc w:val="right"/>
              <w:rPr>
                <w:rFonts w:ascii="Arial" w:hAnsi="Arial" w:cs="Arial"/>
                <w:b/>
                <w:bCs/>
                <w:sz w:val="16"/>
                <w:szCs w:val="16"/>
                <w:lang w:val="es-ES_tradnl" w:eastAsia="es-AR"/>
              </w:rPr>
            </w:pPr>
            <w:r w:rsidRPr="005A786D">
              <w:rPr>
                <w:rFonts w:ascii="Arial" w:hAnsi="Arial" w:cs="Arial"/>
                <w:b/>
                <w:bCs/>
                <w:sz w:val="16"/>
                <w:szCs w:val="16"/>
                <w:lang w:val="es-ES_tradnl" w:eastAsia="es-AR"/>
              </w:rPr>
              <w:t>-19.454.96</w:t>
            </w:r>
            <w:r w:rsidR="00F71ED9">
              <w:rPr>
                <w:rFonts w:ascii="Arial" w:hAnsi="Arial" w:cs="Arial"/>
                <w:b/>
                <w:bCs/>
                <w:sz w:val="16"/>
                <w:szCs w:val="16"/>
                <w:lang w:val="es-ES_tradnl" w:eastAsia="es-AR"/>
              </w:rPr>
              <w:t>8</w:t>
            </w:r>
          </w:p>
        </w:tc>
        <w:tc>
          <w:tcPr>
            <w:tcW w:w="729" w:type="pct"/>
            <w:tcBorders>
              <w:top w:val="single" w:sz="4" w:space="0" w:color="auto"/>
              <w:left w:val="nil"/>
              <w:bottom w:val="single" w:sz="4" w:space="0" w:color="auto"/>
              <w:right w:val="nil"/>
            </w:tcBorders>
            <w:shd w:val="clear" w:color="auto" w:fill="auto"/>
            <w:vAlign w:val="bottom"/>
          </w:tcPr>
          <w:p w14:paraId="125F61A0" w14:textId="38D1A927" w:rsidR="002B72BA" w:rsidRPr="00593C40" w:rsidRDefault="00FC564B" w:rsidP="00F30A15">
            <w:pPr>
              <w:jc w:val="right"/>
              <w:rPr>
                <w:rFonts w:ascii="Arial" w:hAnsi="Arial" w:cs="Arial"/>
                <w:b/>
                <w:bCs/>
                <w:sz w:val="16"/>
                <w:szCs w:val="16"/>
                <w:lang w:val="es-ES_tradnl" w:eastAsia="es-AR"/>
              </w:rPr>
            </w:pPr>
            <w:r>
              <w:rPr>
                <w:rFonts w:ascii="Arial" w:hAnsi="Arial" w:cs="Arial"/>
                <w:b/>
                <w:bCs/>
                <w:sz w:val="16"/>
                <w:szCs w:val="16"/>
                <w:lang w:val="es-ES_tradnl" w:eastAsia="es-AR"/>
              </w:rPr>
              <w:t>11.350.548</w:t>
            </w:r>
          </w:p>
        </w:tc>
      </w:tr>
      <w:tr w:rsidR="002B72BA" w:rsidRPr="002D55D1" w14:paraId="39EA32B0" w14:textId="77777777" w:rsidTr="002E2271">
        <w:trPr>
          <w:trHeight w:val="108"/>
        </w:trPr>
        <w:tc>
          <w:tcPr>
            <w:tcW w:w="3257" w:type="pct"/>
            <w:tcBorders>
              <w:left w:val="nil"/>
              <w:right w:val="nil"/>
            </w:tcBorders>
            <w:shd w:val="clear" w:color="auto" w:fill="auto"/>
            <w:vAlign w:val="bottom"/>
          </w:tcPr>
          <w:p w14:paraId="237EDB43" w14:textId="77777777" w:rsidR="002B72BA" w:rsidRPr="005F0795" w:rsidRDefault="002B72BA" w:rsidP="002E2271">
            <w:pPr>
              <w:rPr>
                <w:rFonts w:ascii="Arial" w:hAnsi="Arial" w:cs="Arial"/>
                <w:b/>
                <w:bCs/>
                <w:sz w:val="14"/>
                <w:szCs w:val="16"/>
                <w:lang w:eastAsia="es-AR"/>
              </w:rPr>
            </w:pPr>
          </w:p>
        </w:tc>
        <w:tc>
          <w:tcPr>
            <w:tcW w:w="411" w:type="pct"/>
            <w:tcBorders>
              <w:left w:val="nil"/>
              <w:right w:val="nil"/>
            </w:tcBorders>
            <w:shd w:val="clear" w:color="auto" w:fill="auto"/>
          </w:tcPr>
          <w:p w14:paraId="54AE525C" w14:textId="77777777" w:rsidR="002B72BA" w:rsidRPr="002D55D1" w:rsidRDefault="002B72BA" w:rsidP="00F30A15">
            <w:pPr>
              <w:rPr>
                <w:rFonts w:ascii="Arial" w:hAnsi="Arial" w:cs="Arial"/>
                <w:b/>
                <w:bCs/>
                <w:sz w:val="16"/>
                <w:szCs w:val="16"/>
                <w:lang w:eastAsia="es-AR"/>
              </w:rPr>
            </w:pPr>
          </w:p>
        </w:tc>
        <w:tc>
          <w:tcPr>
            <w:tcW w:w="603" w:type="pct"/>
            <w:tcBorders>
              <w:top w:val="single" w:sz="4" w:space="0" w:color="auto"/>
              <w:left w:val="nil"/>
              <w:right w:val="nil"/>
            </w:tcBorders>
            <w:shd w:val="clear" w:color="auto" w:fill="auto"/>
            <w:vAlign w:val="bottom"/>
          </w:tcPr>
          <w:p w14:paraId="3E9A7607" w14:textId="77777777" w:rsidR="002B72BA" w:rsidRPr="006F757F" w:rsidRDefault="002B72BA" w:rsidP="00F30A15">
            <w:pPr>
              <w:jc w:val="right"/>
              <w:rPr>
                <w:rFonts w:ascii="Arial" w:hAnsi="Arial" w:cs="Arial"/>
                <w:b/>
                <w:bCs/>
                <w:sz w:val="16"/>
                <w:szCs w:val="16"/>
                <w:lang w:val="es-ES_tradnl" w:eastAsia="es-AR"/>
              </w:rPr>
            </w:pPr>
          </w:p>
        </w:tc>
        <w:tc>
          <w:tcPr>
            <w:tcW w:w="729" w:type="pct"/>
            <w:tcBorders>
              <w:top w:val="single" w:sz="4" w:space="0" w:color="auto"/>
              <w:left w:val="nil"/>
              <w:right w:val="nil"/>
            </w:tcBorders>
            <w:shd w:val="clear" w:color="auto" w:fill="auto"/>
            <w:vAlign w:val="bottom"/>
          </w:tcPr>
          <w:p w14:paraId="46AEC5E1" w14:textId="77777777" w:rsidR="002B72BA" w:rsidRPr="00593C40" w:rsidRDefault="002B72BA" w:rsidP="00F30A15">
            <w:pPr>
              <w:jc w:val="right"/>
              <w:rPr>
                <w:rFonts w:ascii="Arial" w:hAnsi="Arial" w:cs="Arial"/>
                <w:b/>
                <w:bCs/>
                <w:sz w:val="16"/>
                <w:szCs w:val="16"/>
                <w:lang w:val="es-ES_tradnl" w:eastAsia="es-AR"/>
              </w:rPr>
            </w:pPr>
          </w:p>
        </w:tc>
      </w:tr>
      <w:tr w:rsidR="002B72BA" w:rsidRPr="00593C40" w14:paraId="4EFFB8C6" w14:textId="77777777" w:rsidTr="002E2271">
        <w:trPr>
          <w:trHeight w:val="235"/>
        </w:trPr>
        <w:tc>
          <w:tcPr>
            <w:tcW w:w="3257" w:type="pct"/>
            <w:tcBorders>
              <w:left w:val="nil"/>
              <w:bottom w:val="nil"/>
              <w:right w:val="nil"/>
            </w:tcBorders>
            <w:shd w:val="clear" w:color="auto" w:fill="auto"/>
            <w:vAlign w:val="bottom"/>
            <w:hideMark/>
          </w:tcPr>
          <w:p w14:paraId="68A75DA1"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FLUJOS DE EFECTIVO DE LAS ACTIVIDADES DE INVERSIÓN</w:t>
            </w:r>
          </w:p>
        </w:tc>
        <w:tc>
          <w:tcPr>
            <w:tcW w:w="411" w:type="pct"/>
            <w:tcBorders>
              <w:left w:val="nil"/>
              <w:bottom w:val="nil"/>
              <w:right w:val="nil"/>
            </w:tcBorders>
            <w:shd w:val="clear" w:color="auto" w:fill="auto"/>
            <w:hideMark/>
          </w:tcPr>
          <w:p w14:paraId="77BFE591" w14:textId="77777777" w:rsidR="002B72BA" w:rsidRPr="00593C40" w:rsidRDefault="002B72BA" w:rsidP="00F30A15">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left w:val="nil"/>
              <w:right w:val="nil"/>
            </w:tcBorders>
            <w:shd w:val="clear" w:color="auto" w:fill="auto"/>
          </w:tcPr>
          <w:p w14:paraId="17D6E417" w14:textId="51B6D792" w:rsidR="002B72BA" w:rsidRPr="00593C40" w:rsidRDefault="002B72BA" w:rsidP="00F30A15">
            <w:pPr>
              <w:jc w:val="right"/>
              <w:rPr>
                <w:rFonts w:ascii="Arial" w:hAnsi="Arial" w:cs="Arial"/>
                <w:b/>
                <w:bCs/>
                <w:sz w:val="16"/>
                <w:szCs w:val="16"/>
              </w:rPr>
            </w:pPr>
          </w:p>
        </w:tc>
        <w:tc>
          <w:tcPr>
            <w:tcW w:w="729" w:type="pct"/>
            <w:tcBorders>
              <w:left w:val="nil"/>
              <w:right w:val="nil"/>
            </w:tcBorders>
            <w:shd w:val="clear" w:color="auto" w:fill="auto"/>
          </w:tcPr>
          <w:p w14:paraId="29F8F5F0" w14:textId="4F3224B3" w:rsidR="002B72BA" w:rsidRPr="00593C40" w:rsidRDefault="002B72BA" w:rsidP="00F30A15">
            <w:pPr>
              <w:jc w:val="right"/>
              <w:rPr>
                <w:rFonts w:ascii="Arial" w:hAnsi="Arial" w:cs="Arial"/>
                <w:b/>
                <w:bCs/>
                <w:sz w:val="16"/>
                <w:szCs w:val="16"/>
              </w:rPr>
            </w:pPr>
          </w:p>
        </w:tc>
      </w:tr>
      <w:tr w:rsidR="002B72BA" w:rsidRPr="00593C40" w14:paraId="17927604" w14:textId="77777777" w:rsidTr="002E2271">
        <w:trPr>
          <w:trHeight w:val="80"/>
        </w:trPr>
        <w:tc>
          <w:tcPr>
            <w:tcW w:w="3257" w:type="pct"/>
            <w:tcBorders>
              <w:top w:val="nil"/>
              <w:left w:val="nil"/>
              <w:bottom w:val="nil"/>
              <w:right w:val="nil"/>
            </w:tcBorders>
            <w:shd w:val="clear" w:color="auto" w:fill="auto"/>
            <w:vAlign w:val="bottom"/>
            <w:hideMark/>
          </w:tcPr>
          <w:p w14:paraId="436073CC"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66473A37" w14:textId="77777777" w:rsidR="002B72BA" w:rsidRPr="00593C40" w:rsidRDefault="002B72BA" w:rsidP="00F30A15">
            <w:pPr>
              <w:rPr>
                <w:rFonts w:ascii="Arial" w:hAnsi="Arial" w:cs="Arial"/>
                <w:b/>
                <w:bCs/>
                <w:sz w:val="10"/>
                <w:szCs w:val="10"/>
                <w:lang w:eastAsia="es-AR"/>
              </w:rPr>
            </w:pPr>
          </w:p>
        </w:tc>
        <w:tc>
          <w:tcPr>
            <w:tcW w:w="603" w:type="pct"/>
            <w:tcBorders>
              <w:left w:val="nil"/>
              <w:right w:val="nil"/>
            </w:tcBorders>
            <w:shd w:val="clear" w:color="auto" w:fill="auto"/>
          </w:tcPr>
          <w:p w14:paraId="55913967" w14:textId="77777777" w:rsidR="002B72BA" w:rsidRPr="00593C40" w:rsidRDefault="002B72BA" w:rsidP="00F30A15">
            <w:pPr>
              <w:jc w:val="right"/>
              <w:rPr>
                <w:rFonts w:ascii="Arial" w:hAnsi="Arial" w:cs="Arial"/>
                <w:b/>
                <w:bCs/>
                <w:sz w:val="10"/>
                <w:szCs w:val="10"/>
              </w:rPr>
            </w:pPr>
          </w:p>
        </w:tc>
        <w:tc>
          <w:tcPr>
            <w:tcW w:w="729" w:type="pct"/>
            <w:tcBorders>
              <w:left w:val="nil"/>
              <w:right w:val="nil"/>
            </w:tcBorders>
            <w:shd w:val="clear" w:color="auto" w:fill="auto"/>
          </w:tcPr>
          <w:p w14:paraId="3F541410" w14:textId="77777777" w:rsidR="002B72BA" w:rsidRPr="00593C40" w:rsidRDefault="002B72BA" w:rsidP="00F30A15">
            <w:pPr>
              <w:jc w:val="right"/>
              <w:rPr>
                <w:rFonts w:ascii="Arial" w:hAnsi="Arial" w:cs="Arial"/>
                <w:b/>
                <w:bCs/>
                <w:sz w:val="10"/>
                <w:szCs w:val="10"/>
              </w:rPr>
            </w:pPr>
          </w:p>
        </w:tc>
      </w:tr>
      <w:tr w:rsidR="002B72BA" w:rsidRPr="00593C40" w14:paraId="327CE9A4" w14:textId="77777777" w:rsidTr="002E2271">
        <w:trPr>
          <w:trHeight w:val="113"/>
        </w:trPr>
        <w:tc>
          <w:tcPr>
            <w:tcW w:w="3257" w:type="pct"/>
            <w:tcBorders>
              <w:top w:val="nil"/>
              <w:left w:val="nil"/>
              <w:bottom w:val="nil"/>
              <w:right w:val="nil"/>
            </w:tcBorders>
            <w:shd w:val="clear" w:color="auto" w:fill="auto"/>
            <w:vAlign w:val="bottom"/>
            <w:hideMark/>
          </w:tcPr>
          <w:p w14:paraId="68C646E0"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Pagos:</w:t>
            </w:r>
          </w:p>
        </w:tc>
        <w:tc>
          <w:tcPr>
            <w:tcW w:w="411" w:type="pct"/>
            <w:tcBorders>
              <w:top w:val="nil"/>
              <w:left w:val="nil"/>
              <w:bottom w:val="nil"/>
              <w:right w:val="nil"/>
            </w:tcBorders>
            <w:shd w:val="clear" w:color="auto" w:fill="auto"/>
            <w:hideMark/>
          </w:tcPr>
          <w:p w14:paraId="1999EDE6"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tcPr>
          <w:p w14:paraId="414840F5" w14:textId="77777777" w:rsidR="002B72BA" w:rsidRPr="00593C40" w:rsidRDefault="002B72BA" w:rsidP="00F30A15">
            <w:pPr>
              <w:jc w:val="right"/>
              <w:rPr>
                <w:rFonts w:ascii="Arial" w:hAnsi="Arial" w:cs="Arial"/>
                <w:b/>
                <w:bCs/>
                <w:sz w:val="16"/>
                <w:szCs w:val="16"/>
              </w:rPr>
            </w:pPr>
          </w:p>
        </w:tc>
        <w:tc>
          <w:tcPr>
            <w:tcW w:w="729" w:type="pct"/>
            <w:tcBorders>
              <w:left w:val="nil"/>
              <w:right w:val="nil"/>
            </w:tcBorders>
            <w:shd w:val="clear" w:color="auto" w:fill="auto"/>
          </w:tcPr>
          <w:p w14:paraId="0BF0DDE2" w14:textId="77777777" w:rsidR="002B72BA" w:rsidRPr="00593C40" w:rsidRDefault="002B72BA" w:rsidP="00F30A15">
            <w:pPr>
              <w:jc w:val="right"/>
              <w:rPr>
                <w:rFonts w:ascii="Arial" w:hAnsi="Arial" w:cs="Arial"/>
                <w:b/>
                <w:bCs/>
                <w:sz w:val="16"/>
                <w:szCs w:val="16"/>
              </w:rPr>
            </w:pPr>
          </w:p>
        </w:tc>
      </w:tr>
      <w:tr w:rsidR="002B72BA" w:rsidRPr="00593C40" w14:paraId="24E65C00" w14:textId="77777777" w:rsidTr="002E2271">
        <w:trPr>
          <w:trHeight w:val="285"/>
        </w:trPr>
        <w:tc>
          <w:tcPr>
            <w:tcW w:w="3257" w:type="pct"/>
            <w:tcBorders>
              <w:top w:val="nil"/>
              <w:left w:val="nil"/>
              <w:bottom w:val="nil"/>
              <w:right w:val="nil"/>
            </w:tcBorders>
            <w:shd w:val="clear" w:color="auto" w:fill="auto"/>
            <w:vAlign w:val="bottom"/>
            <w:hideMark/>
          </w:tcPr>
          <w:p w14:paraId="7D1BF771"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Compra de PPE, activos intangibles y otros activos</w:t>
            </w:r>
          </w:p>
        </w:tc>
        <w:tc>
          <w:tcPr>
            <w:tcW w:w="411" w:type="pct"/>
            <w:tcBorders>
              <w:top w:val="nil"/>
              <w:left w:val="nil"/>
              <w:bottom w:val="nil"/>
              <w:right w:val="nil"/>
            </w:tcBorders>
            <w:shd w:val="clear" w:color="auto" w:fill="auto"/>
            <w:hideMark/>
          </w:tcPr>
          <w:p w14:paraId="34F0931A"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0C481966" w14:textId="66CC29C9" w:rsidR="002B72BA" w:rsidRPr="00593C40" w:rsidRDefault="005A786D" w:rsidP="00F30A15">
            <w:pPr>
              <w:jc w:val="right"/>
              <w:rPr>
                <w:rFonts w:ascii="Arial" w:hAnsi="Arial" w:cs="Arial"/>
                <w:bCs/>
                <w:sz w:val="16"/>
                <w:szCs w:val="16"/>
              </w:rPr>
            </w:pPr>
            <w:r w:rsidRPr="005A786D">
              <w:rPr>
                <w:rFonts w:ascii="Arial" w:hAnsi="Arial" w:cs="Arial"/>
                <w:bCs/>
                <w:sz w:val="16"/>
                <w:szCs w:val="16"/>
              </w:rPr>
              <w:t>-1.781.005</w:t>
            </w:r>
          </w:p>
        </w:tc>
        <w:tc>
          <w:tcPr>
            <w:tcW w:w="729" w:type="pct"/>
            <w:tcBorders>
              <w:left w:val="nil"/>
              <w:right w:val="nil"/>
            </w:tcBorders>
            <w:shd w:val="clear" w:color="auto" w:fill="auto"/>
            <w:vAlign w:val="bottom"/>
          </w:tcPr>
          <w:p w14:paraId="4503266F" w14:textId="5823C4CC" w:rsidR="002B72BA" w:rsidRPr="00593C40" w:rsidRDefault="00FC564B" w:rsidP="00F30A15">
            <w:pPr>
              <w:jc w:val="right"/>
              <w:rPr>
                <w:rFonts w:ascii="Arial" w:hAnsi="Arial" w:cs="Arial"/>
                <w:bCs/>
                <w:sz w:val="16"/>
                <w:szCs w:val="16"/>
              </w:rPr>
            </w:pPr>
            <w:r>
              <w:rPr>
                <w:rFonts w:ascii="Arial" w:hAnsi="Arial" w:cs="Arial"/>
                <w:bCs/>
                <w:sz w:val="16"/>
                <w:szCs w:val="16"/>
              </w:rPr>
              <w:t>-593.764</w:t>
            </w:r>
          </w:p>
        </w:tc>
      </w:tr>
      <w:tr w:rsidR="002B72BA" w:rsidRPr="00593C40" w14:paraId="06A3B803" w14:textId="77777777" w:rsidTr="002E2271">
        <w:trPr>
          <w:trHeight w:val="285"/>
        </w:trPr>
        <w:tc>
          <w:tcPr>
            <w:tcW w:w="3257" w:type="pct"/>
            <w:tcBorders>
              <w:top w:val="nil"/>
              <w:left w:val="nil"/>
              <w:bottom w:val="nil"/>
              <w:right w:val="nil"/>
            </w:tcBorders>
            <w:shd w:val="clear" w:color="auto" w:fill="auto"/>
            <w:vAlign w:val="bottom"/>
            <w:hideMark/>
          </w:tcPr>
          <w:p w14:paraId="34642027"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Obtención de control de subsidiarias u otros negocios</w:t>
            </w:r>
          </w:p>
        </w:tc>
        <w:tc>
          <w:tcPr>
            <w:tcW w:w="411" w:type="pct"/>
            <w:tcBorders>
              <w:top w:val="nil"/>
              <w:left w:val="nil"/>
              <w:bottom w:val="nil"/>
              <w:right w:val="nil"/>
            </w:tcBorders>
            <w:shd w:val="clear" w:color="auto" w:fill="auto"/>
            <w:hideMark/>
          </w:tcPr>
          <w:p w14:paraId="00323BD5"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222E0EAE" w14:textId="416BF4A3" w:rsidR="002B72BA" w:rsidRPr="00593C40" w:rsidRDefault="005A786D" w:rsidP="00F30A15">
            <w:pPr>
              <w:jc w:val="right"/>
              <w:rPr>
                <w:rFonts w:ascii="Arial" w:hAnsi="Arial" w:cs="Arial"/>
                <w:bCs/>
                <w:sz w:val="16"/>
                <w:szCs w:val="16"/>
              </w:rPr>
            </w:pPr>
            <w:r w:rsidRPr="005A786D">
              <w:rPr>
                <w:rFonts w:ascii="Arial" w:hAnsi="Arial" w:cs="Arial"/>
                <w:bCs/>
                <w:sz w:val="16"/>
                <w:szCs w:val="16"/>
              </w:rPr>
              <w:t>-1.425.001</w:t>
            </w:r>
          </w:p>
        </w:tc>
        <w:tc>
          <w:tcPr>
            <w:tcW w:w="729" w:type="pct"/>
            <w:tcBorders>
              <w:left w:val="nil"/>
              <w:right w:val="nil"/>
            </w:tcBorders>
            <w:shd w:val="clear" w:color="auto" w:fill="auto"/>
            <w:vAlign w:val="bottom"/>
          </w:tcPr>
          <w:p w14:paraId="5BF5FACF" w14:textId="7B300791" w:rsidR="002B72BA" w:rsidRPr="00593C40" w:rsidRDefault="00FC564B" w:rsidP="00F30A15">
            <w:pPr>
              <w:jc w:val="right"/>
              <w:rPr>
                <w:rFonts w:ascii="Arial" w:hAnsi="Arial" w:cs="Arial"/>
                <w:bCs/>
                <w:sz w:val="16"/>
                <w:szCs w:val="16"/>
              </w:rPr>
            </w:pPr>
            <w:r>
              <w:rPr>
                <w:rFonts w:ascii="Arial" w:hAnsi="Arial" w:cs="Arial"/>
                <w:bCs/>
                <w:sz w:val="16"/>
                <w:szCs w:val="16"/>
              </w:rPr>
              <w:t>-391.000</w:t>
            </w:r>
          </w:p>
        </w:tc>
      </w:tr>
      <w:tr w:rsidR="002B72BA" w:rsidRPr="00593C40" w14:paraId="64DC818F" w14:textId="77777777" w:rsidTr="002E2271">
        <w:trPr>
          <w:trHeight w:val="80"/>
        </w:trPr>
        <w:tc>
          <w:tcPr>
            <w:tcW w:w="3257" w:type="pct"/>
            <w:tcBorders>
              <w:top w:val="nil"/>
              <w:left w:val="nil"/>
              <w:bottom w:val="nil"/>
              <w:right w:val="nil"/>
            </w:tcBorders>
            <w:shd w:val="clear" w:color="auto" w:fill="auto"/>
            <w:vAlign w:val="bottom"/>
            <w:hideMark/>
          </w:tcPr>
          <w:p w14:paraId="51D6F247"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3E19678F" w14:textId="77777777" w:rsidR="002B72BA" w:rsidRPr="00593C40" w:rsidRDefault="002B72BA" w:rsidP="00F30A15">
            <w:pPr>
              <w:rPr>
                <w:rFonts w:ascii="Arial" w:hAnsi="Arial" w:cs="Arial"/>
                <w:b/>
                <w:bCs/>
                <w:sz w:val="10"/>
                <w:szCs w:val="10"/>
                <w:lang w:eastAsia="es-AR"/>
              </w:rPr>
            </w:pPr>
          </w:p>
        </w:tc>
        <w:tc>
          <w:tcPr>
            <w:tcW w:w="603" w:type="pct"/>
            <w:tcBorders>
              <w:left w:val="nil"/>
              <w:right w:val="nil"/>
            </w:tcBorders>
            <w:shd w:val="clear" w:color="auto" w:fill="auto"/>
            <w:vAlign w:val="bottom"/>
          </w:tcPr>
          <w:p w14:paraId="6FA6A3A6" w14:textId="77777777" w:rsidR="002B72BA" w:rsidRPr="00593C40" w:rsidRDefault="002B72BA" w:rsidP="00F30A15">
            <w:pPr>
              <w:jc w:val="right"/>
              <w:rPr>
                <w:rFonts w:ascii="Arial" w:hAnsi="Arial" w:cs="Arial"/>
                <w:bCs/>
                <w:sz w:val="10"/>
                <w:szCs w:val="10"/>
              </w:rPr>
            </w:pPr>
          </w:p>
        </w:tc>
        <w:tc>
          <w:tcPr>
            <w:tcW w:w="729" w:type="pct"/>
            <w:tcBorders>
              <w:left w:val="nil"/>
              <w:right w:val="nil"/>
            </w:tcBorders>
            <w:shd w:val="clear" w:color="auto" w:fill="auto"/>
            <w:vAlign w:val="bottom"/>
          </w:tcPr>
          <w:p w14:paraId="66E11B2D" w14:textId="77777777" w:rsidR="002B72BA" w:rsidRPr="00593C40" w:rsidRDefault="002B72BA" w:rsidP="00F30A15">
            <w:pPr>
              <w:jc w:val="right"/>
              <w:rPr>
                <w:rFonts w:ascii="Arial" w:hAnsi="Arial" w:cs="Arial"/>
                <w:bCs/>
                <w:sz w:val="10"/>
                <w:szCs w:val="10"/>
              </w:rPr>
            </w:pPr>
          </w:p>
        </w:tc>
      </w:tr>
      <w:tr w:rsidR="002B72BA" w:rsidRPr="00593C40" w14:paraId="66B12566" w14:textId="77777777" w:rsidTr="002E2271">
        <w:trPr>
          <w:trHeight w:val="111"/>
        </w:trPr>
        <w:tc>
          <w:tcPr>
            <w:tcW w:w="3257" w:type="pct"/>
            <w:tcBorders>
              <w:top w:val="nil"/>
              <w:left w:val="nil"/>
              <w:bottom w:val="nil"/>
              <w:right w:val="nil"/>
            </w:tcBorders>
            <w:shd w:val="clear" w:color="auto" w:fill="auto"/>
            <w:vAlign w:val="bottom"/>
            <w:hideMark/>
          </w:tcPr>
          <w:p w14:paraId="7A634095"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Cobros:</w:t>
            </w:r>
          </w:p>
        </w:tc>
        <w:tc>
          <w:tcPr>
            <w:tcW w:w="411" w:type="pct"/>
            <w:tcBorders>
              <w:top w:val="nil"/>
              <w:left w:val="nil"/>
              <w:bottom w:val="nil"/>
              <w:right w:val="nil"/>
            </w:tcBorders>
            <w:shd w:val="clear" w:color="auto" w:fill="auto"/>
            <w:hideMark/>
          </w:tcPr>
          <w:p w14:paraId="4CB19B13"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549706FC" w14:textId="77777777" w:rsidR="002B72BA" w:rsidRPr="00593C40" w:rsidRDefault="002B72BA" w:rsidP="00F30A15">
            <w:pPr>
              <w:jc w:val="right"/>
              <w:rPr>
                <w:rFonts w:ascii="Arial" w:hAnsi="Arial" w:cs="Arial"/>
                <w:bCs/>
                <w:sz w:val="16"/>
                <w:szCs w:val="16"/>
              </w:rPr>
            </w:pPr>
          </w:p>
        </w:tc>
        <w:tc>
          <w:tcPr>
            <w:tcW w:w="729" w:type="pct"/>
            <w:tcBorders>
              <w:left w:val="nil"/>
              <w:right w:val="nil"/>
            </w:tcBorders>
            <w:shd w:val="clear" w:color="auto" w:fill="auto"/>
            <w:vAlign w:val="bottom"/>
          </w:tcPr>
          <w:p w14:paraId="40F3DEA5" w14:textId="77777777" w:rsidR="002B72BA" w:rsidRPr="00593C40" w:rsidRDefault="002B72BA" w:rsidP="00F30A15">
            <w:pPr>
              <w:jc w:val="right"/>
              <w:rPr>
                <w:rFonts w:ascii="Arial" w:hAnsi="Arial" w:cs="Arial"/>
                <w:bCs/>
                <w:sz w:val="16"/>
                <w:szCs w:val="16"/>
              </w:rPr>
            </w:pPr>
          </w:p>
        </w:tc>
      </w:tr>
      <w:tr w:rsidR="002B72BA" w:rsidRPr="00593C40" w14:paraId="37263C9C" w14:textId="77777777" w:rsidTr="002E2271">
        <w:trPr>
          <w:trHeight w:val="285"/>
        </w:trPr>
        <w:tc>
          <w:tcPr>
            <w:tcW w:w="3257" w:type="pct"/>
            <w:tcBorders>
              <w:top w:val="nil"/>
              <w:left w:val="nil"/>
              <w:bottom w:val="nil"/>
              <w:right w:val="nil"/>
            </w:tcBorders>
            <w:shd w:val="clear" w:color="auto" w:fill="auto"/>
            <w:vAlign w:val="bottom"/>
            <w:hideMark/>
          </w:tcPr>
          <w:p w14:paraId="34F4A281"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Venta de PPE, activos intangibles y otros activos</w:t>
            </w:r>
          </w:p>
        </w:tc>
        <w:tc>
          <w:tcPr>
            <w:tcW w:w="411" w:type="pct"/>
            <w:tcBorders>
              <w:top w:val="nil"/>
              <w:left w:val="nil"/>
              <w:bottom w:val="nil"/>
              <w:right w:val="nil"/>
            </w:tcBorders>
            <w:shd w:val="clear" w:color="auto" w:fill="auto"/>
            <w:hideMark/>
          </w:tcPr>
          <w:p w14:paraId="280B10A6"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4B8A655B" w14:textId="6594EB47" w:rsidR="002B72BA" w:rsidRPr="00593C40" w:rsidRDefault="005A786D" w:rsidP="00F30A15">
            <w:pPr>
              <w:jc w:val="right"/>
              <w:rPr>
                <w:rFonts w:ascii="Arial" w:hAnsi="Arial" w:cs="Arial"/>
                <w:bCs/>
                <w:sz w:val="16"/>
                <w:szCs w:val="16"/>
              </w:rPr>
            </w:pPr>
            <w:r w:rsidRPr="005A786D">
              <w:rPr>
                <w:rFonts w:ascii="Arial" w:hAnsi="Arial" w:cs="Arial"/>
                <w:bCs/>
                <w:sz w:val="16"/>
                <w:szCs w:val="16"/>
              </w:rPr>
              <w:t>124.882</w:t>
            </w:r>
          </w:p>
        </w:tc>
        <w:tc>
          <w:tcPr>
            <w:tcW w:w="729" w:type="pct"/>
            <w:tcBorders>
              <w:left w:val="nil"/>
              <w:right w:val="nil"/>
            </w:tcBorders>
            <w:shd w:val="clear" w:color="auto" w:fill="auto"/>
            <w:vAlign w:val="bottom"/>
          </w:tcPr>
          <w:p w14:paraId="175F1E9D" w14:textId="6247303D" w:rsidR="002B72BA" w:rsidRPr="00593C40" w:rsidRDefault="00FC564B" w:rsidP="00F30A15">
            <w:pPr>
              <w:jc w:val="right"/>
              <w:rPr>
                <w:rFonts w:ascii="Arial" w:hAnsi="Arial" w:cs="Arial"/>
                <w:bCs/>
                <w:sz w:val="16"/>
                <w:szCs w:val="16"/>
              </w:rPr>
            </w:pPr>
            <w:r>
              <w:rPr>
                <w:rFonts w:ascii="Arial" w:hAnsi="Arial" w:cs="Arial"/>
                <w:bCs/>
                <w:sz w:val="16"/>
                <w:szCs w:val="16"/>
              </w:rPr>
              <w:t>147.479</w:t>
            </w:r>
          </w:p>
        </w:tc>
      </w:tr>
      <w:tr w:rsidR="002B72BA" w:rsidRPr="00593C40" w14:paraId="555E4459" w14:textId="77777777" w:rsidTr="002E2271">
        <w:trPr>
          <w:trHeight w:val="80"/>
        </w:trPr>
        <w:tc>
          <w:tcPr>
            <w:tcW w:w="3257" w:type="pct"/>
            <w:tcBorders>
              <w:top w:val="nil"/>
              <w:left w:val="nil"/>
              <w:bottom w:val="nil"/>
              <w:right w:val="nil"/>
            </w:tcBorders>
            <w:shd w:val="clear" w:color="auto" w:fill="auto"/>
            <w:vAlign w:val="bottom"/>
            <w:hideMark/>
          </w:tcPr>
          <w:p w14:paraId="50F002C4"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22A6E7BB" w14:textId="77777777" w:rsidR="002B72BA" w:rsidRPr="00593C40" w:rsidRDefault="002B72BA" w:rsidP="00F30A15">
            <w:pPr>
              <w:rPr>
                <w:rFonts w:ascii="Arial" w:hAnsi="Arial" w:cs="Arial"/>
                <w:b/>
                <w:bCs/>
                <w:sz w:val="10"/>
                <w:szCs w:val="10"/>
                <w:lang w:eastAsia="es-AR"/>
              </w:rPr>
            </w:pPr>
          </w:p>
        </w:tc>
        <w:tc>
          <w:tcPr>
            <w:tcW w:w="603" w:type="pct"/>
            <w:tcBorders>
              <w:left w:val="nil"/>
              <w:bottom w:val="single" w:sz="4" w:space="0" w:color="auto"/>
              <w:right w:val="nil"/>
            </w:tcBorders>
            <w:shd w:val="clear" w:color="auto" w:fill="auto"/>
            <w:vAlign w:val="bottom"/>
          </w:tcPr>
          <w:p w14:paraId="7814B231" w14:textId="77777777" w:rsidR="002B72BA" w:rsidRPr="00593C40" w:rsidRDefault="002B72BA" w:rsidP="00F30A15">
            <w:pPr>
              <w:jc w:val="right"/>
              <w:rPr>
                <w:rFonts w:ascii="Arial" w:hAnsi="Arial" w:cs="Arial"/>
                <w:bCs/>
                <w:sz w:val="10"/>
                <w:szCs w:val="10"/>
              </w:rPr>
            </w:pPr>
          </w:p>
        </w:tc>
        <w:tc>
          <w:tcPr>
            <w:tcW w:w="729" w:type="pct"/>
            <w:tcBorders>
              <w:left w:val="nil"/>
              <w:bottom w:val="single" w:sz="4" w:space="0" w:color="auto"/>
              <w:right w:val="nil"/>
            </w:tcBorders>
            <w:shd w:val="clear" w:color="auto" w:fill="auto"/>
            <w:vAlign w:val="bottom"/>
          </w:tcPr>
          <w:p w14:paraId="4D050A05" w14:textId="77777777" w:rsidR="002B72BA" w:rsidRPr="00593C40" w:rsidRDefault="002B72BA" w:rsidP="00F30A15">
            <w:pPr>
              <w:jc w:val="right"/>
              <w:rPr>
                <w:rFonts w:ascii="Arial" w:hAnsi="Arial" w:cs="Arial"/>
                <w:bCs/>
                <w:sz w:val="10"/>
                <w:szCs w:val="10"/>
              </w:rPr>
            </w:pPr>
          </w:p>
        </w:tc>
      </w:tr>
      <w:tr w:rsidR="002B72BA" w:rsidRPr="00593C40" w14:paraId="1BEEE0AF" w14:textId="77777777" w:rsidTr="002E2271">
        <w:trPr>
          <w:trHeight w:val="179"/>
        </w:trPr>
        <w:tc>
          <w:tcPr>
            <w:tcW w:w="3257" w:type="pct"/>
            <w:tcBorders>
              <w:top w:val="nil"/>
              <w:left w:val="nil"/>
              <w:bottom w:val="nil"/>
              <w:right w:val="nil"/>
            </w:tcBorders>
            <w:shd w:val="clear" w:color="auto" w:fill="auto"/>
            <w:vAlign w:val="bottom"/>
            <w:hideMark/>
          </w:tcPr>
          <w:p w14:paraId="1C70DEB4"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TOTAL DE LAS ACTIVIDADES DE INVERSIÓN (B)</w:t>
            </w:r>
          </w:p>
        </w:tc>
        <w:tc>
          <w:tcPr>
            <w:tcW w:w="411" w:type="pct"/>
            <w:tcBorders>
              <w:top w:val="nil"/>
              <w:left w:val="nil"/>
              <w:bottom w:val="nil"/>
              <w:right w:val="nil"/>
            </w:tcBorders>
            <w:shd w:val="clear" w:color="auto" w:fill="auto"/>
            <w:hideMark/>
          </w:tcPr>
          <w:p w14:paraId="311C6719" w14:textId="77777777" w:rsidR="002B72BA" w:rsidRPr="00593C40" w:rsidRDefault="002B72BA" w:rsidP="00F30A15">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29ABFD67" w14:textId="798FAE89" w:rsidR="002B72BA" w:rsidRPr="00593C40" w:rsidRDefault="005A786D" w:rsidP="00F30A15">
            <w:pPr>
              <w:jc w:val="right"/>
              <w:rPr>
                <w:rFonts w:ascii="Arial" w:hAnsi="Arial" w:cs="Arial"/>
                <w:b/>
                <w:bCs/>
                <w:sz w:val="16"/>
                <w:szCs w:val="16"/>
              </w:rPr>
            </w:pPr>
            <w:r w:rsidRPr="005A786D">
              <w:rPr>
                <w:rFonts w:ascii="Arial" w:hAnsi="Arial" w:cs="Arial"/>
                <w:b/>
                <w:bCs/>
                <w:sz w:val="16"/>
                <w:szCs w:val="16"/>
              </w:rPr>
              <w:t>-3.081.124</w:t>
            </w:r>
          </w:p>
        </w:tc>
        <w:tc>
          <w:tcPr>
            <w:tcW w:w="729" w:type="pct"/>
            <w:tcBorders>
              <w:top w:val="single" w:sz="4" w:space="0" w:color="auto"/>
              <w:left w:val="nil"/>
              <w:bottom w:val="single" w:sz="4" w:space="0" w:color="auto"/>
              <w:right w:val="nil"/>
            </w:tcBorders>
            <w:shd w:val="clear" w:color="auto" w:fill="auto"/>
            <w:vAlign w:val="bottom"/>
          </w:tcPr>
          <w:p w14:paraId="462531A8" w14:textId="56681D73" w:rsidR="002B72BA" w:rsidRPr="00593C40" w:rsidRDefault="00FC564B" w:rsidP="00F30A15">
            <w:pPr>
              <w:jc w:val="right"/>
              <w:rPr>
                <w:rFonts w:ascii="Arial" w:hAnsi="Arial" w:cs="Arial"/>
                <w:b/>
                <w:bCs/>
                <w:sz w:val="16"/>
                <w:szCs w:val="16"/>
              </w:rPr>
            </w:pPr>
            <w:r>
              <w:rPr>
                <w:rFonts w:ascii="Arial" w:hAnsi="Arial" w:cs="Arial"/>
                <w:b/>
                <w:bCs/>
                <w:sz w:val="16"/>
                <w:szCs w:val="16"/>
              </w:rPr>
              <w:t>-837.285</w:t>
            </w:r>
          </w:p>
        </w:tc>
      </w:tr>
      <w:tr w:rsidR="002B72BA" w:rsidRPr="00593C40" w14:paraId="19EE8F75" w14:textId="77777777" w:rsidTr="002E2271">
        <w:trPr>
          <w:trHeight w:val="70"/>
        </w:trPr>
        <w:tc>
          <w:tcPr>
            <w:tcW w:w="3257" w:type="pct"/>
            <w:tcBorders>
              <w:top w:val="nil"/>
              <w:left w:val="nil"/>
              <w:bottom w:val="nil"/>
              <w:right w:val="nil"/>
            </w:tcBorders>
            <w:shd w:val="clear" w:color="auto" w:fill="auto"/>
            <w:vAlign w:val="bottom"/>
            <w:hideMark/>
          </w:tcPr>
          <w:p w14:paraId="362E6D92"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2E2E4545" w14:textId="77777777" w:rsidR="002B72BA" w:rsidRPr="00593C40" w:rsidRDefault="002B72BA" w:rsidP="00F30A15">
            <w:pPr>
              <w:rPr>
                <w:rFonts w:ascii="Arial" w:hAnsi="Arial" w:cs="Arial"/>
                <w:b/>
                <w:bCs/>
                <w:sz w:val="10"/>
                <w:szCs w:val="10"/>
                <w:lang w:eastAsia="es-AR"/>
              </w:rPr>
            </w:pPr>
          </w:p>
        </w:tc>
        <w:tc>
          <w:tcPr>
            <w:tcW w:w="603" w:type="pct"/>
            <w:tcBorders>
              <w:top w:val="single" w:sz="4" w:space="0" w:color="auto"/>
              <w:left w:val="nil"/>
              <w:right w:val="nil"/>
            </w:tcBorders>
            <w:shd w:val="clear" w:color="auto" w:fill="auto"/>
            <w:vAlign w:val="bottom"/>
          </w:tcPr>
          <w:p w14:paraId="402429A1" w14:textId="77777777" w:rsidR="002B72BA" w:rsidRPr="00593C40" w:rsidRDefault="002B72BA" w:rsidP="00F30A15">
            <w:pPr>
              <w:jc w:val="right"/>
              <w:rPr>
                <w:rFonts w:ascii="Arial" w:hAnsi="Arial" w:cs="Arial"/>
                <w:b/>
                <w:bCs/>
                <w:sz w:val="10"/>
                <w:szCs w:val="10"/>
              </w:rPr>
            </w:pPr>
          </w:p>
        </w:tc>
        <w:tc>
          <w:tcPr>
            <w:tcW w:w="729" w:type="pct"/>
            <w:tcBorders>
              <w:top w:val="single" w:sz="4" w:space="0" w:color="auto"/>
              <w:left w:val="nil"/>
              <w:right w:val="nil"/>
            </w:tcBorders>
            <w:shd w:val="clear" w:color="auto" w:fill="auto"/>
            <w:vAlign w:val="bottom"/>
          </w:tcPr>
          <w:p w14:paraId="465DDCDB" w14:textId="77777777" w:rsidR="002B72BA" w:rsidRPr="00593C40" w:rsidRDefault="002B72BA" w:rsidP="00F30A15">
            <w:pPr>
              <w:jc w:val="right"/>
              <w:rPr>
                <w:rFonts w:ascii="Arial" w:hAnsi="Arial" w:cs="Arial"/>
                <w:b/>
                <w:bCs/>
                <w:sz w:val="10"/>
                <w:szCs w:val="10"/>
              </w:rPr>
            </w:pPr>
          </w:p>
        </w:tc>
      </w:tr>
      <w:tr w:rsidR="002B72BA" w:rsidRPr="00593C40" w14:paraId="57AFBC64" w14:textId="77777777" w:rsidTr="002E2271">
        <w:trPr>
          <w:trHeight w:val="285"/>
        </w:trPr>
        <w:tc>
          <w:tcPr>
            <w:tcW w:w="3257" w:type="pct"/>
            <w:tcBorders>
              <w:top w:val="nil"/>
              <w:left w:val="nil"/>
              <w:bottom w:val="nil"/>
              <w:right w:val="nil"/>
            </w:tcBorders>
            <w:shd w:val="clear" w:color="auto" w:fill="auto"/>
            <w:vAlign w:val="bottom"/>
            <w:hideMark/>
          </w:tcPr>
          <w:p w14:paraId="7002436F"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FLUJOS DE EFECTIVO DE LAS ACTIVIDADES DE FINANCIACIÓN</w:t>
            </w:r>
          </w:p>
        </w:tc>
        <w:tc>
          <w:tcPr>
            <w:tcW w:w="411" w:type="pct"/>
            <w:tcBorders>
              <w:top w:val="nil"/>
              <w:left w:val="nil"/>
              <w:bottom w:val="nil"/>
              <w:right w:val="nil"/>
            </w:tcBorders>
            <w:shd w:val="clear" w:color="auto" w:fill="auto"/>
            <w:hideMark/>
          </w:tcPr>
          <w:p w14:paraId="21E1E18D"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7196AB2C" w14:textId="77777777" w:rsidR="002B72BA" w:rsidRPr="00593C40" w:rsidRDefault="002B72BA" w:rsidP="00F30A15">
            <w:pPr>
              <w:jc w:val="right"/>
              <w:rPr>
                <w:rFonts w:ascii="Arial" w:hAnsi="Arial" w:cs="Arial"/>
                <w:b/>
                <w:bCs/>
                <w:sz w:val="16"/>
                <w:szCs w:val="16"/>
              </w:rPr>
            </w:pPr>
          </w:p>
        </w:tc>
        <w:tc>
          <w:tcPr>
            <w:tcW w:w="729" w:type="pct"/>
            <w:tcBorders>
              <w:left w:val="nil"/>
              <w:right w:val="nil"/>
            </w:tcBorders>
            <w:shd w:val="clear" w:color="auto" w:fill="auto"/>
            <w:vAlign w:val="bottom"/>
          </w:tcPr>
          <w:p w14:paraId="3C31A5BB" w14:textId="77777777" w:rsidR="002B72BA" w:rsidRPr="00593C40" w:rsidRDefault="002B72BA" w:rsidP="00F30A15">
            <w:pPr>
              <w:jc w:val="right"/>
              <w:rPr>
                <w:rFonts w:ascii="Arial" w:hAnsi="Arial" w:cs="Arial"/>
                <w:b/>
                <w:bCs/>
                <w:sz w:val="16"/>
                <w:szCs w:val="16"/>
              </w:rPr>
            </w:pPr>
          </w:p>
        </w:tc>
      </w:tr>
      <w:tr w:rsidR="002B72BA" w:rsidRPr="00593C40" w14:paraId="685E8DC1" w14:textId="77777777" w:rsidTr="002E2271">
        <w:trPr>
          <w:trHeight w:val="116"/>
        </w:trPr>
        <w:tc>
          <w:tcPr>
            <w:tcW w:w="3257" w:type="pct"/>
            <w:tcBorders>
              <w:top w:val="nil"/>
              <w:left w:val="nil"/>
              <w:bottom w:val="nil"/>
              <w:right w:val="nil"/>
            </w:tcBorders>
            <w:shd w:val="clear" w:color="auto" w:fill="auto"/>
            <w:vAlign w:val="bottom"/>
            <w:hideMark/>
          </w:tcPr>
          <w:p w14:paraId="0BDB30C8"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72EB2412" w14:textId="77777777" w:rsidR="002B72BA" w:rsidRPr="00593C40" w:rsidRDefault="002B72BA" w:rsidP="00F30A15">
            <w:pPr>
              <w:rPr>
                <w:rFonts w:ascii="Arial" w:hAnsi="Arial" w:cs="Arial"/>
                <w:b/>
                <w:bCs/>
                <w:sz w:val="10"/>
                <w:szCs w:val="10"/>
                <w:lang w:eastAsia="es-AR"/>
              </w:rPr>
            </w:pPr>
          </w:p>
        </w:tc>
        <w:tc>
          <w:tcPr>
            <w:tcW w:w="603" w:type="pct"/>
            <w:tcBorders>
              <w:left w:val="nil"/>
              <w:right w:val="nil"/>
            </w:tcBorders>
            <w:shd w:val="clear" w:color="auto" w:fill="auto"/>
            <w:vAlign w:val="bottom"/>
          </w:tcPr>
          <w:p w14:paraId="41D3C851" w14:textId="77777777" w:rsidR="002B72BA" w:rsidRPr="00593C40" w:rsidRDefault="002B72BA" w:rsidP="00F30A15">
            <w:pPr>
              <w:jc w:val="right"/>
              <w:rPr>
                <w:rFonts w:ascii="Arial" w:hAnsi="Arial" w:cs="Arial"/>
                <w:b/>
                <w:bCs/>
                <w:sz w:val="10"/>
                <w:szCs w:val="10"/>
              </w:rPr>
            </w:pPr>
          </w:p>
        </w:tc>
        <w:tc>
          <w:tcPr>
            <w:tcW w:w="729" w:type="pct"/>
            <w:tcBorders>
              <w:left w:val="nil"/>
              <w:right w:val="nil"/>
            </w:tcBorders>
            <w:shd w:val="clear" w:color="auto" w:fill="auto"/>
            <w:vAlign w:val="bottom"/>
          </w:tcPr>
          <w:p w14:paraId="74B895FA" w14:textId="77777777" w:rsidR="002B72BA" w:rsidRPr="00593C40" w:rsidRDefault="002B72BA" w:rsidP="00F30A15">
            <w:pPr>
              <w:jc w:val="right"/>
              <w:rPr>
                <w:rFonts w:ascii="Arial" w:hAnsi="Arial" w:cs="Arial"/>
                <w:b/>
                <w:bCs/>
                <w:sz w:val="10"/>
                <w:szCs w:val="10"/>
              </w:rPr>
            </w:pPr>
          </w:p>
        </w:tc>
      </w:tr>
      <w:tr w:rsidR="002B72BA" w:rsidRPr="00593C40" w14:paraId="1D2EFB1E" w14:textId="77777777" w:rsidTr="002E2271">
        <w:trPr>
          <w:trHeight w:val="161"/>
        </w:trPr>
        <w:tc>
          <w:tcPr>
            <w:tcW w:w="3257" w:type="pct"/>
            <w:tcBorders>
              <w:top w:val="nil"/>
              <w:left w:val="nil"/>
              <w:bottom w:val="nil"/>
              <w:right w:val="nil"/>
            </w:tcBorders>
            <w:shd w:val="clear" w:color="auto" w:fill="auto"/>
            <w:vAlign w:val="bottom"/>
            <w:hideMark/>
          </w:tcPr>
          <w:p w14:paraId="0E7121B9"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Pagos:</w:t>
            </w:r>
          </w:p>
        </w:tc>
        <w:tc>
          <w:tcPr>
            <w:tcW w:w="411" w:type="pct"/>
            <w:tcBorders>
              <w:top w:val="nil"/>
              <w:left w:val="nil"/>
              <w:bottom w:val="nil"/>
              <w:right w:val="nil"/>
            </w:tcBorders>
            <w:shd w:val="clear" w:color="auto" w:fill="auto"/>
            <w:hideMark/>
          </w:tcPr>
          <w:p w14:paraId="25276C4F"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7472CBB7" w14:textId="77777777" w:rsidR="002B72BA" w:rsidRPr="00593C40" w:rsidRDefault="002B72BA" w:rsidP="00F30A15">
            <w:pPr>
              <w:jc w:val="right"/>
              <w:rPr>
                <w:rFonts w:ascii="Arial" w:hAnsi="Arial" w:cs="Arial"/>
                <w:b/>
                <w:bCs/>
                <w:sz w:val="16"/>
                <w:szCs w:val="16"/>
              </w:rPr>
            </w:pPr>
          </w:p>
        </w:tc>
        <w:tc>
          <w:tcPr>
            <w:tcW w:w="729" w:type="pct"/>
            <w:tcBorders>
              <w:left w:val="nil"/>
              <w:right w:val="nil"/>
            </w:tcBorders>
            <w:shd w:val="clear" w:color="auto" w:fill="auto"/>
            <w:vAlign w:val="bottom"/>
          </w:tcPr>
          <w:p w14:paraId="72FE3472" w14:textId="77777777" w:rsidR="002B72BA" w:rsidRPr="00593C40" w:rsidRDefault="002B72BA" w:rsidP="00F30A15">
            <w:pPr>
              <w:jc w:val="right"/>
              <w:rPr>
                <w:rFonts w:ascii="Arial" w:hAnsi="Arial" w:cs="Arial"/>
                <w:b/>
                <w:bCs/>
                <w:sz w:val="16"/>
                <w:szCs w:val="16"/>
              </w:rPr>
            </w:pPr>
          </w:p>
        </w:tc>
      </w:tr>
      <w:tr w:rsidR="002B72BA" w:rsidRPr="00593C40" w14:paraId="572B25C6" w14:textId="77777777" w:rsidTr="002E2271">
        <w:trPr>
          <w:trHeight w:val="285"/>
        </w:trPr>
        <w:tc>
          <w:tcPr>
            <w:tcW w:w="3257" w:type="pct"/>
            <w:tcBorders>
              <w:top w:val="nil"/>
              <w:left w:val="nil"/>
              <w:bottom w:val="nil"/>
              <w:right w:val="nil"/>
            </w:tcBorders>
            <w:shd w:val="clear" w:color="auto" w:fill="auto"/>
            <w:vAlign w:val="bottom"/>
            <w:hideMark/>
          </w:tcPr>
          <w:p w14:paraId="2E64718F"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Obligaciones negociables no subordinadas</w:t>
            </w:r>
          </w:p>
        </w:tc>
        <w:tc>
          <w:tcPr>
            <w:tcW w:w="411" w:type="pct"/>
            <w:tcBorders>
              <w:top w:val="nil"/>
              <w:left w:val="nil"/>
              <w:bottom w:val="nil"/>
              <w:right w:val="nil"/>
            </w:tcBorders>
            <w:shd w:val="clear" w:color="auto" w:fill="auto"/>
            <w:hideMark/>
          </w:tcPr>
          <w:p w14:paraId="5E65559C"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709239A1" w14:textId="097C268A" w:rsidR="002B72BA" w:rsidRPr="00593C40" w:rsidRDefault="00CE528A" w:rsidP="00F30A15">
            <w:pPr>
              <w:jc w:val="right"/>
              <w:rPr>
                <w:rFonts w:ascii="Arial" w:hAnsi="Arial" w:cs="Arial"/>
                <w:bCs/>
                <w:sz w:val="16"/>
                <w:szCs w:val="16"/>
              </w:rPr>
            </w:pPr>
            <w:r w:rsidRPr="00CE528A">
              <w:rPr>
                <w:rFonts w:ascii="Arial" w:hAnsi="Arial" w:cs="Arial"/>
                <w:bCs/>
                <w:sz w:val="16"/>
                <w:szCs w:val="16"/>
              </w:rPr>
              <w:t>-11.156.535</w:t>
            </w:r>
          </w:p>
        </w:tc>
        <w:tc>
          <w:tcPr>
            <w:tcW w:w="729" w:type="pct"/>
            <w:tcBorders>
              <w:left w:val="nil"/>
              <w:right w:val="nil"/>
            </w:tcBorders>
            <w:shd w:val="clear" w:color="auto" w:fill="auto"/>
            <w:vAlign w:val="bottom"/>
          </w:tcPr>
          <w:p w14:paraId="34B9CE46" w14:textId="5BFEA5B4" w:rsidR="002B72BA" w:rsidRPr="00593C40" w:rsidRDefault="00FC564B" w:rsidP="00F30A15">
            <w:pPr>
              <w:jc w:val="right"/>
              <w:rPr>
                <w:rFonts w:ascii="Arial" w:hAnsi="Arial" w:cs="Arial"/>
                <w:bCs/>
                <w:sz w:val="16"/>
                <w:szCs w:val="16"/>
              </w:rPr>
            </w:pPr>
            <w:r>
              <w:rPr>
                <w:rFonts w:ascii="Arial" w:hAnsi="Arial" w:cs="Arial"/>
                <w:bCs/>
                <w:sz w:val="16"/>
                <w:szCs w:val="16"/>
              </w:rPr>
              <w:t>-2.275.718</w:t>
            </w:r>
          </w:p>
        </w:tc>
      </w:tr>
      <w:tr w:rsidR="002B72BA" w:rsidRPr="00593C40" w14:paraId="4787673D" w14:textId="77777777" w:rsidTr="002E2271">
        <w:trPr>
          <w:trHeight w:val="285"/>
        </w:trPr>
        <w:tc>
          <w:tcPr>
            <w:tcW w:w="3257" w:type="pct"/>
            <w:tcBorders>
              <w:top w:val="nil"/>
              <w:left w:val="nil"/>
              <w:bottom w:val="nil"/>
              <w:right w:val="nil"/>
            </w:tcBorders>
            <w:shd w:val="clear" w:color="auto" w:fill="auto"/>
            <w:vAlign w:val="bottom"/>
            <w:hideMark/>
          </w:tcPr>
          <w:p w14:paraId="2D550EAC"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Financiaciones de entidades financieras locales</w:t>
            </w:r>
          </w:p>
        </w:tc>
        <w:tc>
          <w:tcPr>
            <w:tcW w:w="411" w:type="pct"/>
            <w:tcBorders>
              <w:top w:val="nil"/>
              <w:left w:val="nil"/>
              <w:bottom w:val="nil"/>
              <w:right w:val="nil"/>
            </w:tcBorders>
            <w:shd w:val="clear" w:color="auto" w:fill="auto"/>
            <w:hideMark/>
          </w:tcPr>
          <w:p w14:paraId="3320ABFC"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0772B1AD" w14:textId="611AB774" w:rsidR="002B72BA" w:rsidRPr="00593C40" w:rsidRDefault="00CE528A" w:rsidP="00F30A15">
            <w:pPr>
              <w:jc w:val="right"/>
              <w:rPr>
                <w:rFonts w:ascii="Arial" w:hAnsi="Arial" w:cs="Arial"/>
                <w:bCs/>
                <w:sz w:val="16"/>
                <w:szCs w:val="16"/>
              </w:rPr>
            </w:pPr>
            <w:r w:rsidRPr="00CE528A">
              <w:rPr>
                <w:rFonts w:ascii="Arial" w:hAnsi="Arial" w:cs="Arial"/>
                <w:bCs/>
                <w:sz w:val="16"/>
                <w:szCs w:val="16"/>
              </w:rPr>
              <w:t>-76.533.757</w:t>
            </w:r>
          </w:p>
        </w:tc>
        <w:tc>
          <w:tcPr>
            <w:tcW w:w="729" w:type="pct"/>
            <w:tcBorders>
              <w:left w:val="nil"/>
              <w:right w:val="nil"/>
            </w:tcBorders>
            <w:shd w:val="clear" w:color="auto" w:fill="auto"/>
            <w:vAlign w:val="bottom"/>
          </w:tcPr>
          <w:p w14:paraId="5616E621" w14:textId="68F1D58F" w:rsidR="002B72BA" w:rsidRPr="00593C40" w:rsidRDefault="00FC564B" w:rsidP="00F30A15">
            <w:pPr>
              <w:jc w:val="right"/>
              <w:rPr>
                <w:rFonts w:ascii="Arial" w:hAnsi="Arial" w:cs="Arial"/>
                <w:bCs/>
                <w:sz w:val="16"/>
                <w:szCs w:val="16"/>
              </w:rPr>
            </w:pPr>
            <w:r>
              <w:rPr>
                <w:rFonts w:ascii="Arial" w:hAnsi="Arial" w:cs="Arial"/>
                <w:bCs/>
                <w:sz w:val="16"/>
                <w:szCs w:val="16"/>
              </w:rPr>
              <w:t>-54.689.431</w:t>
            </w:r>
          </w:p>
        </w:tc>
      </w:tr>
      <w:tr w:rsidR="002B72BA" w:rsidRPr="00593C40" w14:paraId="7D3A9685" w14:textId="77777777" w:rsidTr="002E2271">
        <w:trPr>
          <w:trHeight w:val="285"/>
        </w:trPr>
        <w:tc>
          <w:tcPr>
            <w:tcW w:w="3257" w:type="pct"/>
            <w:tcBorders>
              <w:top w:val="nil"/>
              <w:left w:val="nil"/>
              <w:bottom w:val="nil"/>
              <w:right w:val="nil"/>
            </w:tcBorders>
            <w:shd w:val="clear" w:color="auto" w:fill="auto"/>
            <w:vAlign w:val="bottom"/>
            <w:hideMark/>
          </w:tcPr>
          <w:p w14:paraId="3090748A"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Obligaciones subordinadas</w:t>
            </w:r>
          </w:p>
        </w:tc>
        <w:tc>
          <w:tcPr>
            <w:tcW w:w="411" w:type="pct"/>
            <w:tcBorders>
              <w:top w:val="nil"/>
              <w:left w:val="nil"/>
              <w:bottom w:val="nil"/>
              <w:right w:val="nil"/>
            </w:tcBorders>
            <w:shd w:val="clear" w:color="auto" w:fill="auto"/>
            <w:hideMark/>
          </w:tcPr>
          <w:p w14:paraId="30D3A2C2"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4217B109" w14:textId="3D15FD4E" w:rsidR="002B72BA" w:rsidRPr="00593C40" w:rsidRDefault="00CE528A" w:rsidP="00F30A15">
            <w:pPr>
              <w:jc w:val="right"/>
              <w:rPr>
                <w:rFonts w:ascii="Arial" w:hAnsi="Arial" w:cs="Arial"/>
                <w:bCs/>
                <w:sz w:val="16"/>
                <w:szCs w:val="16"/>
              </w:rPr>
            </w:pPr>
            <w:r w:rsidRPr="00CE528A">
              <w:rPr>
                <w:rFonts w:ascii="Arial" w:hAnsi="Arial" w:cs="Arial"/>
                <w:bCs/>
                <w:sz w:val="16"/>
                <w:szCs w:val="16"/>
              </w:rPr>
              <w:t>-98.024</w:t>
            </w:r>
          </w:p>
        </w:tc>
        <w:tc>
          <w:tcPr>
            <w:tcW w:w="729" w:type="pct"/>
            <w:tcBorders>
              <w:left w:val="nil"/>
              <w:right w:val="nil"/>
            </w:tcBorders>
            <w:shd w:val="clear" w:color="auto" w:fill="auto"/>
            <w:vAlign w:val="bottom"/>
          </w:tcPr>
          <w:p w14:paraId="21EF87D4" w14:textId="4607BFDC" w:rsidR="002B72BA" w:rsidRPr="00593C40" w:rsidRDefault="00FC564B" w:rsidP="00F30A15">
            <w:pPr>
              <w:jc w:val="right"/>
              <w:rPr>
                <w:rFonts w:ascii="Arial" w:hAnsi="Arial" w:cs="Arial"/>
                <w:bCs/>
                <w:sz w:val="16"/>
                <w:szCs w:val="16"/>
              </w:rPr>
            </w:pPr>
            <w:r>
              <w:rPr>
                <w:rFonts w:ascii="Arial" w:hAnsi="Arial" w:cs="Arial"/>
                <w:bCs/>
                <w:sz w:val="16"/>
                <w:szCs w:val="16"/>
              </w:rPr>
              <w:t>-12.985</w:t>
            </w:r>
          </w:p>
        </w:tc>
      </w:tr>
      <w:tr w:rsidR="002B72BA" w:rsidRPr="00593C40" w14:paraId="78329AE3" w14:textId="77777777" w:rsidTr="002E2271">
        <w:trPr>
          <w:trHeight w:val="285"/>
        </w:trPr>
        <w:tc>
          <w:tcPr>
            <w:tcW w:w="3257" w:type="pct"/>
            <w:tcBorders>
              <w:top w:val="nil"/>
              <w:left w:val="nil"/>
              <w:bottom w:val="nil"/>
              <w:right w:val="nil"/>
            </w:tcBorders>
            <w:shd w:val="clear" w:color="auto" w:fill="auto"/>
            <w:vAlign w:val="bottom"/>
          </w:tcPr>
          <w:p w14:paraId="4BAD6999" w14:textId="77777777" w:rsidR="002B72BA" w:rsidRPr="00AC4F4B" w:rsidRDefault="002B72BA" w:rsidP="002E2271">
            <w:pPr>
              <w:ind w:firstLine="284"/>
              <w:rPr>
                <w:rFonts w:ascii="Arial" w:hAnsi="Arial" w:cs="Arial"/>
                <w:bCs/>
                <w:sz w:val="16"/>
                <w:szCs w:val="16"/>
                <w:lang w:eastAsia="es-AR"/>
              </w:rPr>
            </w:pPr>
            <w:r w:rsidRPr="006F757F">
              <w:rPr>
                <w:rFonts w:ascii="Arial" w:hAnsi="Arial" w:cs="Arial"/>
                <w:bCs/>
                <w:sz w:val="16"/>
                <w:szCs w:val="16"/>
                <w:lang w:eastAsia="es-AR"/>
              </w:rPr>
              <w:t>Pagos por arrendamientos financieros</w:t>
            </w:r>
          </w:p>
        </w:tc>
        <w:tc>
          <w:tcPr>
            <w:tcW w:w="411" w:type="pct"/>
            <w:tcBorders>
              <w:top w:val="nil"/>
              <w:left w:val="nil"/>
              <w:bottom w:val="nil"/>
              <w:right w:val="nil"/>
            </w:tcBorders>
            <w:shd w:val="clear" w:color="auto" w:fill="auto"/>
          </w:tcPr>
          <w:p w14:paraId="56B8E108"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0D9DD091" w14:textId="1827B37C" w:rsidR="002B72BA" w:rsidRPr="006F757F" w:rsidRDefault="005A786D" w:rsidP="00F30A15">
            <w:pPr>
              <w:jc w:val="right"/>
              <w:rPr>
                <w:rFonts w:ascii="Arial" w:hAnsi="Arial" w:cs="Arial"/>
                <w:bCs/>
                <w:sz w:val="16"/>
                <w:szCs w:val="16"/>
              </w:rPr>
            </w:pPr>
            <w:r w:rsidRPr="005A786D">
              <w:rPr>
                <w:rFonts w:ascii="Arial" w:hAnsi="Arial" w:cs="Arial"/>
                <w:bCs/>
                <w:sz w:val="16"/>
                <w:szCs w:val="16"/>
              </w:rPr>
              <w:t>-995.901</w:t>
            </w:r>
          </w:p>
        </w:tc>
        <w:tc>
          <w:tcPr>
            <w:tcW w:w="729" w:type="pct"/>
            <w:tcBorders>
              <w:left w:val="nil"/>
              <w:right w:val="nil"/>
            </w:tcBorders>
            <w:shd w:val="clear" w:color="auto" w:fill="auto"/>
            <w:vAlign w:val="bottom"/>
          </w:tcPr>
          <w:p w14:paraId="7A570A49" w14:textId="32582FAB" w:rsidR="002B72BA" w:rsidRPr="00593C40" w:rsidRDefault="00FC564B" w:rsidP="00F30A15">
            <w:pPr>
              <w:jc w:val="right"/>
              <w:rPr>
                <w:rFonts w:ascii="Arial" w:hAnsi="Arial" w:cs="Arial"/>
                <w:bCs/>
                <w:sz w:val="16"/>
                <w:szCs w:val="16"/>
              </w:rPr>
            </w:pPr>
            <w:r>
              <w:rPr>
                <w:rFonts w:ascii="Arial" w:hAnsi="Arial" w:cs="Arial"/>
                <w:bCs/>
                <w:sz w:val="16"/>
                <w:szCs w:val="16"/>
              </w:rPr>
              <w:t>-</w:t>
            </w:r>
          </w:p>
        </w:tc>
      </w:tr>
      <w:tr w:rsidR="002B72BA" w:rsidRPr="00593C40" w14:paraId="51827347" w14:textId="77777777" w:rsidTr="002E2271">
        <w:trPr>
          <w:trHeight w:val="82"/>
        </w:trPr>
        <w:tc>
          <w:tcPr>
            <w:tcW w:w="3257" w:type="pct"/>
            <w:tcBorders>
              <w:top w:val="nil"/>
              <w:left w:val="nil"/>
              <w:bottom w:val="nil"/>
              <w:right w:val="nil"/>
            </w:tcBorders>
            <w:shd w:val="clear" w:color="auto" w:fill="auto"/>
            <w:vAlign w:val="bottom"/>
            <w:hideMark/>
          </w:tcPr>
          <w:p w14:paraId="486CE6C8"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14DE6B4A" w14:textId="77777777" w:rsidR="002B72BA" w:rsidRPr="00593C40" w:rsidRDefault="002B72BA" w:rsidP="00F30A15">
            <w:pPr>
              <w:rPr>
                <w:rFonts w:ascii="Arial" w:hAnsi="Arial" w:cs="Arial"/>
                <w:b/>
                <w:bCs/>
                <w:sz w:val="10"/>
                <w:szCs w:val="10"/>
                <w:lang w:eastAsia="es-AR"/>
              </w:rPr>
            </w:pPr>
          </w:p>
        </w:tc>
        <w:tc>
          <w:tcPr>
            <w:tcW w:w="603" w:type="pct"/>
            <w:tcBorders>
              <w:left w:val="nil"/>
              <w:right w:val="nil"/>
            </w:tcBorders>
            <w:shd w:val="clear" w:color="auto" w:fill="auto"/>
            <w:vAlign w:val="bottom"/>
          </w:tcPr>
          <w:p w14:paraId="33C6A730" w14:textId="77777777" w:rsidR="002B72BA" w:rsidRPr="00593C40" w:rsidRDefault="002B72BA" w:rsidP="00F30A15">
            <w:pPr>
              <w:jc w:val="right"/>
              <w:rPr>
                <w:rFonts w:ascii="Arial" w:hAnsi="Arial" w:cs="Arial"/>
                <w:bCs/>
                <w:sz w:val="10"/>
                <w:szCs w:val="10"/>
              </w:rPr>
            </w:pPr>
          </w:p>
        </w:tc>
        <w:tc>
          <w:tcPr>
            <w:tcW w:w="729" w:type="pct"/>
            <w:tcBorders>
              <w:left w:val="nil"/>
              <w:right w:val="nil"/>
            </w:tcBorders>
            <w:shd w:val="clear" w:color="auto" w:fill="auto"/>
            <w:vAlign w:val="bottom"/>
          </w:tcPr>
          <w:p w14:paraId="6708A3D8" w14:textId="77777777" w:rsidR="002B72BA" w:rsidRPr="00593C40" w:rsidRDefault="002B72BA" w:rsidP="00F30A15">
            <w:pPr>
              <w:jc w:val="right"/>
              <w:rPr>
                <w:rFonts w:ascii="Arial" w:hAnsi="Arial" w:cs="Arial"/>
                <w:bCs/>
                <w:sz w:val="10"/>
                <w:szCs w:val="10"/>
              </w:rPr>
            </w:pPr>
          </w:p>
        </w:tc>
      </w:tr>
      <w:tr w:rsidR="002B72BA" w:rsidRPr="00593C40" w14:paraId="50B8DF2F" w14:textId="77777777" w:rsidTr="002E2271">
        <w:trPr>
          <w:trHeight w:val="140"/>
        </w:trPr>
        <w:tc>
          <w:tcPr>
            <w:tcW w:w="3257" w:type="pct"/>
            <w:tcBorders>
              <w:top w:val="nil"/>
              <w:left w:val="nil"/>
              <w:bottom w:val="nil"/>
              <w:right w:val="nil"/>
            </w:tcBorders>
            <w:shd w:val="clear" w:color="auto" w:fill="auto"/>
            <w:vAlign w:val="bottom"/>
            <w:hideMark/>
          </w:tcPr>
          <w:p w14:paraId="148D5485"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Cobros:</w:t>
            </w:r>
          </w:p>
        </w:tc>
        <w:tc>
          <w:tcPr>
            <w:tcW w:w="411" w:type="pct"/>
            <w:tcBorders>
              <w:top w:val="nil"/>
              <w:left w:val="nil"/>
              <w:bottom w:val="nil"/>
              <w:right w:val="nil"/>
            </w:tcBorders>
            <w:shd w:val="clear" w:color="auto" w:fill="auto"/>
            <w:hideMark/>
          </w:tcPr>
          <w:p w14:paraId="0CF0311C"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7598BAE3" w14:textId="77777777" w:rsidR="002B72BA" w:rsidRPr="00593C40" w:rsidRDefault="002B72BA" w:rsidP="00F30A15">
            <w:pPr>
              <w:jc w:val="right"/>
              <w:rPr>
                <w:rFonts w:ascii="Arial" w:hAnsi="Arial" w:cs="Arial"/>
                <w:bCs/>
                <w:sz w:val="16"/>
                <w:szCs w:val="16"/>
              </w:rPr>
            </w:pPr>
          </w:p>
        </w:tc>
        <w:tc>
          <w:tcPr>
            <w:tcW w:w="729" w:type="pct"/>
            <w:tcBorders>
              <w:left w:val="nil"/>
              <w:right w:val="nil"/>
            </w:tcBorders>
            <w:shd w:val="clear" w:color="auto" w:fill="auto"/>
            <w:vAlign w:val="bottom"/>
          </w:tcPr>
          <w:p w14:paraId="7F468DBF" w14:textId="77777777" w:rsidR="002B72BA" w:rsidRPr="00593C40" w:rsidRDefault="002B72BA" w:rsidP="00F30A15">
            <w:pPr>
              <w:jc w:val="right"/>
              <w:rPr>
                <w:rFonts w:ascii="Arial" w:hAnsi="Arial" w:cs="Arial"/>
                <w:bCs/>
                <w:sz w:val="16"/>
                <w:szCs w:val="16"/>
              </w:rPr>
            </w:pPr>
          </w:p>
        </w:tc>
      </w:tr>
      <w:tr w:rsidR="002B72BA" w:rsidRPr="00593C40" w14:paraId="4EF533EF" w14:textId="77777777" w:rsidTr="002E2271">
        <w:trPr>
          <w:trHeight w:val="285"/>
        </w:trPr>
        <w:tc>
          <w:tcPr>
            <w:tcW w:w="3257" w:type="pct"/>
            <w:tcBorders>
              <w:top w:val="nil"/>
              <w:left w:val="nil"/>
              <w:bottom w:val="nil"/>
              <w:right w:val="nil"/>
            </w:tcBorders>
            <w:shd w:val="clear" w:color="auto" w:fill="auto"/>
            <w:vAlign w:val="bottom"/>
            <w:hideMark/>
          </w:tcPr>
          <w:p w14:paraId="5F56DF38"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Emisión de instrumentos de patrimonio propio</w:t>
            </w:r>
          </w:p>
        </w:tc>
        <w:tc>
          <w:tcPr>
            <w:tcW w:w="411" w:type="pct"/>
            <w:tcBorders>
              <w:top w:val="nil"/>
              <w:left w:val="nil"/>
              <w:bottom w:val="nil"/>
              <w:right w:val="nil"/>
            </w:tcBorders>
            <w:shd w:val="clear" w:color="auto" w:fill="auto"/>
            <w:hideMark/>
          </w:tcPr>
          <w:p w14:paraId="22BE5CAF"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7BF66A48" w14:textId="3BE98022" w:rsidR="002B72BA" w:rsidRPr="00593C40" w:rsidRDefault="00276EBF" w:rsidP="00F30A15">
            <w:pPr>
              <w:jc w:val="right"/>
              <w:rPr>
                <w:rFonts w:ascii="Arial" w:hAnsi="Arial" w:cs="Arial"/>
                <w:bCs/>
                <w:sz w:val="16"/>
                <w:szCs w:val="16"/>
              </w:rPr>
            </w:pPr>
            <w:r w:rsidRPr="00276EBF">
              <w:rPr>
                <w:rFonts w:ascii="Arial" w:hAnsi="Arial" w:cs="Arial"/>
                <w:bCs/>
                <w:sz w:val="16"/>
                <w:szCs w:val="16"/>
              </w:rPr>
              <w:t>475.000</w:t>
            </w:r>
          </w:p>
        </w:tc>
        <w:tc>
          <w:tcPr>
            <w:tcW w:w="729" w:type="pct"/>
            <w:tcBorders>
              <w:left w:val="nil"/>
              <w:right w:val="nil"/>
            </w:tcBorders>
            <w:shd w:val="clear" w:color="auto" w:fill="auto"/>
            <w:vAlign w:val="bottom"/>
          </w:tcPr>
          <w:p w14:paraId="37583BA7" w14:textId="632ADAE2" w:rsidR="002B72BA" w:rsidRPr="00593C40" w:rsidRDefault="00FC564B" w:rsidP="00F30A15">
            <w:pPr>
              <w:jc w:val="right"/>
              <w:rPr>
                <w:rFonts w:ascii="Arial" w:hAnsi="Arial" w:cs="Arial"/>
                <w:bCs/>
                <w:sz w:val="16"/>
                <w:szCs w:val="16"/>
              </w:rPr>
            </w:pPr>
            <w:r>
              <w:rPr>
                <w:rFonts w:ascii="Arial" w:hAnsi="Arial" w:cs="Arial"/>
                <w:bCs/>
                <w:sz w:val="16"/>
                <w:szCs w:val="16"/>
              </w:rPr>
              <w:t>1.861</w:t>
            </w:r>
            <w:r w:rsidR="008D77FC">
              <w:rPr>
                <w:rFonts w:ascii="Arial" w:hAnsi="Arial" w:cs="Arial"/>
                <w:bCs/>
                <w:sz w:val="16"/>
                <w:szCs w:val="16"/>
              </w:rPr>
              <w:t>.000</w:t>
            </w:r>
          </w:p>
        </w:tc>
      </w:tr>
      <w:tr w:rsidR="002B72BA" w:rsidRPr="00593C40" w14:paraId="1635DACA" w14:textId="77777777" w:rsidTr="002E2271">
        <w:trPr>
          <w:trHeight w:val="285"/>
        </w:trPr>
        <w:tc>
          <w:tcPr>
            <w:tcW w:w="3257" w:type="pct"/>
            <w:tcBorders>
              <w:top w:val="nil"/>
              <w:left w:val="nil"/>
              <w:bottom w:val="nil"/>
              <w:right w:val="nil"/>
            </w:tcBorders>
            <w:shd w:val="clear" w:color="auto" w:fill="auto"/>
            <w:vAlign w:val="bottom"/>
            <w:hideMark/>
          </w:tcPr>
          <w:p w14:paraId="2FD62F7E"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Obligaciones negociables no subordinadas</w:t>
            </w:r>
          </w:p>
        </w:tc>
        <w:tc>
          <w:tcPr>
            <w:tcW w:w="411" w:type="pct"/>
            <w:tcBorders>
              <w:top w:val="nil"/>
              <w:left w:val="nil"/>
              <w:bottom w:val="nil"/>
              <w:right w:val="nil"/>
            </w:tcBorders>
            <w:shd w:val="clear" w:color="auto" w:fill="auto"/>
            <w:hideMark/>
          </w:tcPr>
          <w:p w14:paraId="46E8BC2E"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69880E85" w14:textId="769635A1" w:rsidR="002B72BA" w:rsidRPr="00593C40" w:rsidRDefault="00276EBF" w:rsidP="00F30A15">
            <w:pPr>
              <w:jc w:val="right"/>
              <w:rPr>
                <w:rFonts w:ascii="Arial" w:hAnsi="Arial" w:cs="Arial"/>
                <w:bCs/>
                <w:sz w:val="16"/>
                <w:szCs w:val="16"/>
              </w:rPr>
            </w:pPr>
            <w:r w:rsidRPr="00276EBF">
              <w:rPr>
                <w:rFonts w:ascii="Arial" w:hAnsi="Arial" w:cs="Arial"/>
                <w:bCs/>
                <w:sz w:val="16"/>
                <w:szCs w:val="16"/>
              </w:rPr>
              <w:t>8.925.101</w:t>
            </w:r>
          </w:p>
        </w:tc>
        <w:tc>
          <w:tcPr>
            <w:tcW w:w="729" w:type="pct"/>
            <w:tcBorders>
              <w:left w:val="nil"/>
              <w:right w:val="nil"/>
            </w:tcBorders>
            <w:shd w:val="clear" w:color="auto" w:fill="auto"/>
            <w:vAlign w:val="bottom"/>
          </w:tcPr>
          <w:p w14:paraId="23A1EE0B" w14:textId="72A754ED" w:rsidR="002B72BA" w:rsidRPr="00593C40" w:rsidRDefault="00FC564B" w:rsidP="00F30A15">
            <w:pPr>
              <w:jc w:val="right"/>
              <w:rPr>
                <w:rFonts w:ascii="Arial" w:hAnsi="Arial" w:cs="Arial"/>
                <w:bCs/>
                <w:sz w:val="16"/>
                <w:szCs w:val="16"/>
              </w:rPr>
            </w:pPr>
            <w:r>
              <w:rPr>
                <w:rFonts w:ascii="Arial" w:hAnsi="Arial" w:cs="Arial"/>
                <w:bCs/>
                <w:sz w:val="16"/>
                <w:szCs w:val="16"/>
              </w:rPr>
              <w:t>3.042.745</w:t>
            </w:r>
          </w:p>
        </w:tc>
      </w:tr>
      <w:tr w:rsidR="002B72BA" w:rsidRPr="00593C40" w14:paraId="63195B0B" w14:textId="77777777" w:rsidTr="002E2271">
        <w:trPr>
          <w:trHeight w:val="285"/>
        </w:trPr>
        <w:tc>
          <w:tcPr>
            <w:tcW w:w="3257" w:type="pct"/>
            <w:tcBorders>
              <w:top w:val="nil"/>
              <w:left w:val="nil"/>
              <w:bottom w:val="nil"/>
              <w:right w:val="nil"/>
            </w:tcBorders>
            <w:shd w:val="clear" w:color="auto" w:fill="auto"/>
            <w:vAlign w:val="bottom"/>
            <w:hideMark/>
          </w:tcPr>
          <w:p w14:paraId="2B17331A" w14:textId="77777777" w:rsidR="002B72BA" w:rsidRPr="00AC4F4B" w:rsidRDefault="002B72BA" w:rsidP="002E2271">
            <w:pPr>
              <w:ind w:firstLine="284"/>
              <w:rPr>
                <w:rFonts w:ascii="Arial" w:hAnsi="Arial" w:cs="Arial"/>
                <w:bCs/>
                <w:sz w:val="16"/>
                <w:szCs w:val="16"/>
                <w:lang w:eastAsia="es-AR"/>
              </w:rPr>
            </w:pPr>
            <w:r w:rsidRPr="00AC4F4B">
              <w:rPr>
                <w:rFonts w:ascii="Arial" w:hAnsi="Arial" w:cs="Arial"/>
                <w:bCs/>
                <w:sz w:val="16"/>
                <w:szCs w:val="16"/>
                <w:lang w:eastAsia="es-AR"/>
              </w:rPr>
              <w:t>Financiaciones de entidades financieras locales</w:t>
            </w:r>
          </w:p>
        </w:tc>
        <w:tc>
          <w:tcPr>
            <w:tcW w:w="411" w:type="pct"/>
            <w:tcBorders>
              <w:top w:val="nil"/>
              <w:left w:val="nil"/>
              <w:bottom w:val="nil"/>
              <w:right w:val="nil"/>
            </w:tcBorders>
            <w:shd w:val="clear" w:color="auto" w:fill="auto"/>
            <w:hideMark/>
          </w:tcPr>
          <w:p w14:paraId="34103D5E" w14:textId="77777777" w:rsidR="002B72BA" w:rsidRPr="00593C40" w:rsidRDefault="002B72BA" w:rsidP="00F30A15">
            <w:pPr>
              <w:rPr>
                <w:rFonts w:ascii="Arial" w:hAnsi="Arial" w:cs="Arial"/>
                <w:b/>
                <w:bCs/>
                <w:sz w:val="16"/>
                <w:szCs w:val="16"/>
                <w:lang w:eastAsia="es-AR"/>
              </w:rPr>
            </w:pPr>
          </w:p>
        </w:tc>
        <w:tc>
          <w:tcPr>
            <w:tcW w:w="603" w:type="pct"/>
            <w:tcBorders>
              <w:left w:val="nil"/>
              <w:right w:val="nil"/>
            </w:tcBorders>
            <w:shd w:val="clear" w:color="auto" w:fill="auto"/>
            <w:vAlign w:val="bottom"/>
          </w:tcPr>
          <w:p w14:paraId="6E0F1F94" w14:textId="0961AF26" w:rsidR="002B72BA" w:rsidRPr="00593C40" w:rsidRDefault="00276EBF" w:rsidP="00F30A15">
            <w:pPr>
              <w:jc w:val="right"/>
              <w:rPr>
                <w:rFonts w:ascii="Arial" w:hAnsi="Arial" w:cs="Arial"/>
                <w:bCs/>
                <w:sz w:val="16"/>
                <w:szCs w:val="16"/>
              </w:rPr>
            </w:pPr>
            <w:r w:rsidRPr="00276EBF">
              <w:rPr>
                <w:rFonts w:ascii="Arial" w:hAnsi="Arial" w:cs="Arial"/>
                <w:bCs/>
                <w:sz w:val="16"/>
                <w:szCs w:val="16"/>
              </w:rPr>
              <w:t>77.535.035</w:t>
            </w:r>
          </w:p>
        </w:tc>
        <w:tc>
          <w:tcPr>
            <w:tcW w:w="729" w:type="pct"/>
            <w:tcBorders>
              <w:left w:val="nil"/>
              <w:right w:val="nil"/>
            </w:tcBorders>
            <w:shd w:val="clear" w:color="auto" w:fill="auto"/>
            <w:vAlign w:val="bottom"/>
          </w:tcPr>
          <w:p w14:paraId="553B6833" w14:textId="461D5D4F" w:rsidR="002B72BA" w:rsidRPr="00593C40" w:rsidRDefault="00CA1BB5" w:rsidP="00F30A15">
            <w:pPr>
              <w:jc w:val="right"/>
              <w:rPr>
                <w:rFonts w:ascii="Arial" w:hAnsi="Arial" w:cs="Arial"/>
                <w:bCs/>
                <w:sz w:val="16"/>
                <w:szCs w:val="16"/>
              </w:rPr>
            </w:pPr>
            <w:r>
              <w:rPr>
                <w:rFonts w:ascii="Arial" w:hAnsi="Arial" w:cs="Arial"/>
                <w:bCs/>
                <w:sz w:val="16"/>
                <w:szCs w:val="16"/>
              </w:rPr>
              <w:t>59.323.99</w:t>
            </w:r>
            <w:r w:rsidR="0068711D">
              <w:rPr>
                <w:rFonts w:ascii="Arial" w:hAnsi="Arial" w:cs="Arial"/>
                <w:bCs/>
                <w:sz w:val="16"/>
                <w:szCs w:val="16"/>
              </w:rPr>
              <w:t>8</w:t>
            </w:r>
          </w:p>
        </w:tc>
      </w:tr>
      <w:tr w:rsidR="002B72BA" w:rsidRPr="00593C40" w14:paraId="6B934447" w14:textId="77777777" w:rsidTr="002E2271">
        <w:trPr>
          <w:trHeight w:val="80"/>
        </w:trPr>
        <w:tc>
          <w:tcPr>
            <w:tcW w:w="3257" w:type="pct"/>
            <w:tcBorders>
              <w:top w:val="nil"/>
              <w:left w:val="nil"/>
              <w:bottom w:val="nil"/>
              <w:right w:val="nil"/>
            </w:tcBorders>
            <w:shd w:val="clear" w:color="auto" w:fill="auto"/>
            <w:vAlign w:val="bottom"/>
            <w:hideMark/>
          </w:tcPr>
          <w:p w14:paraId="5EC6B220" w14:textId="77777777" w:rsidR="002B72BA" w:rsidRPr="00593C40"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hideMark/>
          </w:tcPr>
          <w:p w14:paraId="07AC5C81" w14:textId="77777777" w:rsidR="002B72BA" w:rsidRPr="00593C40" w:rsidRDefault="002B72BA" w:rsidP="00F30A15">
            <w:pPr>
              <w:rPr>
                <w:rFonts w:ascii="Arial" w:hAnsi="Arial" w:cs="Arial"/>
                <w:b/>
                <w:bCs/>
                <w:sz w:val="10"/>
                <w:szCs w:val="10"/>
                <w:lang w:eastAsia="es-AR"/>
              </w:rPr>
            </w:pPr>
          </w:p>
        </w:tc>
        <w:tc>
          <w:tcPr>
            <w:tcW w:w="603" w:type="pct"/>
            <w:tcBorders>
              <w:left w:val="nil"/>
              <w:bottom w:val="single" w:sz="4" w:space="0" w:color="auto"/>
              <w:right w:val="nil"/>
            </w:tcBorders>
            <w:shd w:val="clear" w:color="auto" w:fill="auto"/>
            <w:vAlign w:val="bottom"/>
          </w:tcPr>
          <w:p w14:paraId="7A658365" w14:textId="77777777" w:rsidR="002B72BA" w:rsidRPr="00593C40" w:rsidRDefault="002B72BA" w:rsidP="00F30A15">
            <w:pPr>
              <w:jc w:val="right"/>
              <w:rPr>
                <w:rFonts w:ascii="Arial" w:hAnsi="Arial" w:cs="Arial"/>
                <w:bCs/>
                <w:sz w:val="10"/>
                <w:szCs w:val="10"/>
              </w:rPr>
            </w:pPr>
          </w:p>
        </w:tc>
        <w:tc>
          <w:tcPr>
            <w:tcW w:w="729" w:type="pct"/>
            <w:tcBorders>
              <w:left w:val="nil"/>
              <w:bottom w:val="single" w:sz="4" w:space="0" w:color="auto"/>
              <w:right w:val="nil"/>
            </w:tcBorders>
            <w:shd w:val="clear" w:color="auto" w:fill="auto"/>
            <w:vAlign w:val="bottom"/>
          </w:tcPr>
          <w:p w14:paraId="236EC549" w14:textId="77777777" w:rsidR="002B72BA" w:rsidRPr="00593C40" w:rsidRDefault="002B72BA" w:rsidP="00F30A15">
            <w:pPr>
              <w:jc w:val="right"/>
              <w:rPr>
                <w:rFonts w:ascii="Arial" w:hAnsi="Arial" w:cs="Arial"/>
                <w:bCs/>
                <w:sz w:val="10"/>
                <w:szCs w:val="10"/>
              </w:rPr>
            </w:pPr>
          </w:p>
        </w:tc>
      </w:tr>
      <w:tr w:rsidR="002B72BA" w:rsidRPr="00593C40" w14:paraId="0BF73A67" w14:textId="77777777" w:rsidTr="002E2271">
        <w:trPr>
          <w:trHeight w:val="110"/>
        </w:trPr>
        <w:tc>
          <w:tcPr>
            <w:tcW w:w="3257" w:type="pct"/>
            <w:tcBorders>
              <w:top w:val="nil"/>
              <w:left w:val="nil"/>
              <w:bottom w:val="nil"/>
              <w:right w:val="nil"/>
            </w:tcBorders>
            <w:shd w:val="clear" w:color="auto" w:fill="auto"/>
            <w:vAlign w:val="bottom"/>
            <w:hideMark/>
          </w:tcPr>
          <w:p w14:paraId="0BAF51EE"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TOTAL DE LAS ACTIVIDADES DE FINANCIACIÓN (C)</w:t>
            </w:r>
          </w:p>
        </w:tc>
        <w:tc>
          <w:tcPr>
            <w:tcW w:w="411" w:type="pct"/>
            <w:tcBorders>
              <w:top w:val="nil"/>
              <w:left w:val="nil"/>
              <w:bottom w:val="nil"/>
              <w:right w:val="nil"/>
            </w:tcBorders>
            <w:shd w:val="clear" w:color="auto" w:fill="auto"/>
            <w:hideMark/>
          </w:tcPr>
          <w:p w14:paraId="5FE6CDEF" w14:textId="77777777" w:rsidR="002B72BA" w:rsidRPr="00593C40" w:rsidRDefault="002B72BA" w:rsidP="00F30A15">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347725B0" w14:textId="6F91818E" w:rsidR="002B72BA" w:rsidRPr="00593C40" w:rsidRDefault="005A786D" w:rsidP="00F30A15">
            <w:pPr>
              <w:jc w:val="right"/>
              <w:rPr>
                <w:rFonts w:ascii="Arial" w:hAnsi="Arial" w:cs="Arial"/>
                <w:b/>
                <w:bCs/>
                <w:sz w:val="16"/>
                <w:szCs w:val="16"/>
              </w:rPr>
            </w:pPr>
            <w:r w:rsidRPr="005A786D">
              <w:rPr>
                <w:rFonts w:ascii="Arial" w:hAnsi="Arial" w:cs="Arial"/>
                <w:b/>
                <w:bCs/>
                <w:sz w:val="16"/>
                <w:szCs w:val="16"/>
              </w:rPr>
              <w:t>-1.849.081</w:t>
            </w:r>
          </w:p>
        </w:tc>
        <w:tc>
          <w:tcPr>
            <w:tcW w:w="729" w:type="pct"/>
            <w:tcBorders>
              <w:top w:val="single" w:sz="4" w:space="0" w:color="auto"/>
              <w:left w:val="nil"/>
              <w:bottom w:val="single" w:sz="4" w:space="0" w:color="auto"/>
              <w:right w:val="nil"/>
            </w:tcBorders>
            <w:shd w:val="clear" w:color="auto" w:fill="auto"/>
            <w:vAlign w:val="bottom"/>
          </w:tcPr>
          <w:p w14:paraId="59ED9EF0" w14:textId="3727A49A" w:rsidR="002B72BA" w:rsidRPr="00593C40" w:rsidRDefault="00CA1BB5" w:rsidP="00F30A15">
            <w:pPr>
              <w:jc w:val="right"/>
              <w:rPr>
                <w:rFonts w:ascii="Arial" w:hAnsi="Arial" w:cs="Arial"/>
                <w:b/>
                <w:bCs/>
                <w:sz w:val="16"/>
                <w:szCs w:val="16"/>
              </w:rPr>
            </w:pPr>
            <w:r>
              <w:rPr>
                <w:rFonts w:ascii="Arial" w:hAnsi="Arial" w:cs="Arial"/>
                <w:b/>
                <w:bCs/>
                <w:sz w:val="16"/>
                <w:szCs w:val="16"/>
              </w:rPr>
              <w:t>7.249.609</w:t>
            </w:r>
          </w:p>
        </w:tc>
      </w:tr>
      <w:tr w:rsidR="002B72BA" w:rsidRPr="00AC4F4B" w14:paraId="655ECD46" w14:textId="77777777" w:rsidTr="002E2271">
        <w:trPr>
          <w:trHeight w:val="197"/>
        </w:trPr>
        <w:tc>
          <w:tcPr>
            <w:tcW w:w="3257" w:type="pct"/>
            <w:tcBorders>
              <w:top w:val="nil"/>
              <w:left w:val="nil"/>
              <w:bottom w:val="nil"/>
              <w:right w:val="nil"/>
            </w:tcBorders>
            <w:shd w:val="clear" w:color="auto" w:fill="auto"/>
            <w:vAlign w:val="bottom"/>
            <w:hideMark/>
          </w:tcPr>
          <w:p w14:paraId="26883366" w14:textId="77777777" w:rsidR="002B72BA" w:rsidRPr="00AC4F4B" w:rsidRDefault="002B72BA" w:rsidP="002E2271">
            <w:pPr>
              <w:rPr>
                <w:rFonts w:ascii="Arial" w:hAnsi="Arial" w:cs="Arial"/>
                <w:b/>
                <w:bCs/>
                <w:sz w:val="10"/>
                <w:szCs w:val="10"/>
                <w:lang w:eastAsia="es-AR"/>
              </w:rPr>
            </w:pPr>
          </w:p>
        </w:tc>
        <w:tc>
          <w:tcPr>
            <w:tcW w:w="411" w:type="pct"/>
            <w:tcBorders>
              <w:top w:val="nil"/>
              <w:left w:val="nil"/>
              <w:bottom w:val="nil"/>
              <w:right w:val="nil"/>
            </w:tcBorders>
            <w:shd w:val="clear" w:color="auto" w:fill="auto"/>
            <w:vAlign w:val="center"/>
            <w:hideMark/>
          </w:tcPr>
          <w:p w14:paraId="52288973" w14:textId="77777777" w:rsidR="002B72BA" w:rsidRPr="00AC4F4B" w:rsidRDefault="002B72BA" w:rsidP="00F30A15">
            <w:pPr>
              <w:jc w:val="center"/>
              <w:rPr>
                <w:rFonts w:ascii="Arial" w:hAnsi="Arial" w:cs="Arial"/>
                <w:b/>
                <w:bCs/>
                <w:sz w:val="10"/>
                <w:szCs w:val="10"/>
                <w:lang w:eastAsia="es-AR"/>
              </w:rPr>
            </w:pPr>
          </w:p>
        </w:tc>
        <w:tc>
          <w:tcPr>
            <w:tcW w:w="603" w:type="pct"/>
            <w:tcBorders>
              <w:top w:val="single" w:sz="4" w:space="0" w:color="auto"/>
              <w:left w:val="nil"/>
              <w:bottom w:val="single" w:sz="4" w:space="0" w:color="auto"/>
              <w:right w:val="nil"/>
            </w:tcBorders>
            <w:shd w:val="clear" w:color="auto" w:fill="auto"/>
            <w:vAlign w:val="bottom"/>
          </w:tcPr>
          <w:p w14:paraId="782DDFDC" w14:textId="77777777" w:rsidR="002B72BA" w:rsidRPr="00AC4F4B" w:rsidRDefault="002B72BA" w:rsidP="00F30A15">
            <w:pPr>
              <w:jc w:val="right"/>
              <w:rPr>
                <w:rFonts w:ascii="Arial" w:hAnsi="Arial" w:cs="Arial"/>
                <w:b/>
                <w:bCs/>
                <w:sz w:val="10"/>
                <w:szCs w:val="10"/>
              </w:rPr>
            </w:pPr>
          </w:p>
        </w:tc>
        <w:tc>
          <w:tcPr>
            <w:tcW w:w="729" w:type="pct"/>
            <w:tcBorders>
              <w:top w:val="single" w:sz="4" w:space="0" w:color="auto"/>
              <w:left w:val="nil"/>
              <w:bottom w:val="single" w:sz="4" w:space="0" w:color="auto"/>
              <w:right w:val="nil"/>
            </w:tcBorders>
            <w:shd w:val="clear" w:color="auto" w:fill="auto"/>
            <w:vAlign w:val="bottom"/>
          </w:tcPr>
          <w:p w14:paraId="12F1E805" w14:textId="77777777" w:rsidR="002B72BA" w:rsidRPr="00AC4F4B" w:rsidRDefault="002B72BA" w:rsidP="00F30A15">
            <w:pPr>
              <w:jc w:val="right"/>
              <w:rPr>
                <w:rFonts w:ascii="Arial" w:hAnsi="Arial" w:cs="Arial"/>
                <w:b/>
                <w:bCs/>
                <w:sz w:val="10"/>
                <w:szCs w:val="10"/>
              </w:rPr>
            </w:pPr>
          </w:p>
        </w:tc>
      </w:tr>
      <w:tr w:rsidR="002B72BA" w:rsidRPr="00593C40" w14:paraId="012DD312" w14:textId="77777777" w:rsidTr="002E2271">
        <w:trPr>
          <w:trHeight w:val="285"/>
        </w:trPr>
        <w:tc>
          <w:tcPr>
            <w:tcW w:w="3257" w:type="pct"/>
            <w:tcBorders>
              <w:top w:val="nil"/>
              <w:left w:val="nil"/>
              <w:bottom w:val="nil"/>
              <w:right w:val="nil"/>
            </w:tcBorders>
            <w:shd w:val="clear" w:color="auto" w:fill="auto"/>
            <w:vAlign w:val="bottom"/>
            <w:hideMark/>
          </w:tcPr>
          <w:p w14:paraId="00F5DEE2"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EFECTO DE LAS VARIACIONES DEL TIPO DE CAMBIO (D)</w:t>
            </w:r>
          </w:p>
        </w:tc>
        <w:tc>
          <w:tcPr>
            <w:tcW w:w="411" w:type="pct"/>
            <w:tcBorders>
              <w:top w:val="nil"/>
              <w:left w:val="nil"/>
              <w:bottom w:val="nil"/>
              <w:right w:val="nil"/>
            </w:tcBorders>
            <w:shd w:val="clear" w:color="auto" w:fill="auto"/>
            <w:hideMark/>
          </w:tcPr>
          <w:p w14:paraId="73743F84" w14:textId="77777777" w:rsidR="002B72BA" w:rsidRPr="00593C40" w:rsidRDefault="002B72BA" w:rsidP="00F30A15">
            <w:pPr>
              <w:rPr>
                <w:rFonts w:ascii="Arial" w:hAnsi="Arial" w:cs="Arial"/>
                <w:b/>
                <w:bCs/>
                <w:sz w:val="16"/>
                <w:szCs w:val="16"/>
                <w:lang w:eastAsia="es-AR"/>
              </w:rPr>
            </w:pPr>
          </w:p>
        </w:tc>
        <w:tc>
          <w:tcPr>
            <w:tcW w:w="603" w:type="pct"/>
            <w:tcBorders>
              <w:top w:val="single" w:sz="4" w:space="0" w:color="auto"/>
              <w:left w:val="nil"/>
              <w:bottom w:val="single" w:sz="4" w:space="0" w:color="auto"/>
              <w:right w:val="nil"/>
            </w:tcBorders>
            <w:shd w:val="clear" w:color="auto" w:fill="auto"/>
            <w:vAlign w:val="bottom"/>
          </w:tcPr>
          <w:p w14:paraId="4DB5ACBB" w14:textId="21C62281" w:rsidR="002B72BA" w:rsidRPr="00593C40" w:rsidRDefault="00276EBF" w:rsidP="00F30A15">
            <w:pPr>
              <w:jc w:val="right"/>
              <w:rPr>
                <w:rFonts w:ascii="Arial" w:hAnsi="Arial" w:cs="Arial"/>
                <w:b/>
                <w:bCs/>
                <w:sz w:val="16"/>
                <w:szCs w:val="16"/>
              </w:rPr>
            </w:pPr>
            <w:r w:rsidRPr="00276EBF">
              <w:rPr>
                <w:rFonts w:ascii="Arial" w:hAnsi="Arial" w:cs="Arial"/>
                <w:b/>
                <w:bCs/>
                <w:sz w:val="16"/>
                <w:szCs w:val="16"/>
              </w:rPr>
              <w:t>4.913.725</w:t>
            </w:r>
          </w:p>
        </w:tc>
        <w:tc>
          <w:tcPr>
            <w:tcW w:w="729" w:type="pct"/>
            <w:tcBorders>
              <w:top w:val="single" w:sz="4" w:space="0" w:color="auto"/>
              <w:left w:val="nil"/>
              <w:bottom w:val="single" w:sz="4" w:space="0" w:color="auto"/>
              <w:right w:val="nil"/>
            </w:tcBorders>
            <w:shd w:val="clear" w:color="auto" w:fill="auto"/>
            <w:vAlign w:val="bottom"/>
          </w:tcPr>
          <w:p w14:paraId="4DB05807" w14:textId="0CAD2B5D" w:rsidR="002B72BA" w:rsidRPr="00593C40" w:rsidRDefault="00CA1BB5" w:rsidP="00F30A15">
            <w:pPr>
              <w:jc w:val="right"/>
              <w:rPr>
                <w:rFonts w:ascii="Arial" w:hAnsi="Arial" w:cs="Arial"/>
                <w:b/>
                <w:bCs/>
                <w:sz w:val="16"/>
                <w:szCs w:val="16"/>
              </w:rPr>
            </w:pPr>
            <w:r>
              <w:rPr>
                <w:rFonts w:ascii="Arial" w:hAnsi="Arial" w:cs="Arial"/>
                <w:b/>
                <w:bCs/>
                <w:sz w:val="16"/>
                <w:szCs w:val="16"/>
              </w:rPr>
              <w:t>6.152.172</w:t>
            </w:r>
          </w:p>
        </w:tc>
      </w:tr>
      <w:tr w:rsidR="002B72BA" w:rsidRPr="00AC4F4B" w14:paraId="6082A021" w14:textId="77777777" w:rsidTr="002E2271">
        <w:trPr>
          <w:trHeight w:val="106"/>
        </w:trPr>
        <w:tc>
          <w:tcPr>
            <w:tcW w:w="3257" w:type="pct"/>
            <w:tcBorders>
              <w:top w:val="nil"/>
              <w:left w:val="nil"/>
              <w:right w:val="nil"/>
            </w:tcBorders>
            <w:shd w:val="clear" w:color="auto" w:fill="auto"/>
            <w:vAlign w:val="bottom"/>
            <w:hideMark/>
          </w:tcPr>
          <w:p w14:paraId="56071ACD" w14:textId="77777777" w:rsidR="002B72BA" w:rsidRPr="00AC4F4B" w:rsidRDefault="002B72BA" w:rsidP="002E2271">
            <w:pPr>
              <w:rPr>
                <w:rFonts w:ascii="Arial" w:hAnsi="Arial" w:cs="Arial"/>
                <w:b/>
                <w:bCs/>
                <w:sz w:val="10"/>
                <w:szCs w:val="10"/>
                <w:lang w:eastAsia="es-AR"/>
              </w:rPr>
            </w:pPr>
          </w:p>
        </w:tc>
        <w:tc>
          <w:tcPr>
            <w:tcW w:w="411" w:type="pct"/>
            <w:tcBorders>
              <w:top w:val="nil"/>
              <w:left w:val="nil"/>
              <w:right w:val="nil"/>
            </w:tcBorders>
            <w:shd w:val="clear" w:color="auto" w:fill="auto"/>
            <w:hideMark/>
          </w:tcPr>
          <w:p w14:paraId="699C0C54" w14:textId="77777777" w:rsidR="002B72BA" w:rsidRPr="00AC4F4B" w:rsidRDefault="002B72BA" w:rsidP="00F30A15">
            <w:pPr>
              <w:rPr>
                <w:rFonts w:ascii="Arial" w:hAnsi="Arial" w:cs="Arial"/>
                <w:b/>
                <w:bCs/>
                <w:sz w:val="10"/>
                <w:szCs w:val="10"/>
                <w:lang w:eastAsia="es-AR"/>
              </w:rPr>
            </w:pPr>
          </w:p>
        </w:tc>
        <w:tc>
          <w:tcPr>
            <w:tcW w:w="603" w:type="pct"/>
            <w:tcBorders>
              <w:top w:val="single" w:sz="4" w:space="0" w:color="auto"/>
              <w:left w:val="nil"/>
              <w:right w:val="nil"/>
            </w:tcBorders>
            <w:shd w:val="clear" w:color="auto" w:fill="auto"/>
            <w:vAlign w:val="bottom"/>
          </w:tcPr>
          <w:p w14:paraId="2291E05D" w14:textId="77777777" w:rsidR="002B72BA" w:rsidRPr="00AC4F4B" w:rsidRDefault="002B72BA" w:rsidP="00F30A15">
            <w:pPr>
              <w:jc w:val="right"/>
              <w:rPr>
                <w:rFonts w:ascii="Arial" w:hAnsi="Arial" w:cs="Arial"/>
                <w:b/>
                <w:bCs/>
                <w:sz w:val="10"/>
                <w:szCs w:val="10"/>
              </w:rPr>
            </w:pPr>
          </w:p>
        </w:tc>
        <w:tc>
          <w:tcPr>
            <w:tcW w:w="729" w:type="pct"/>
            <w:tcBorders>
              <w:top w:val="single" w:sz="4" w:space="0" w:color="auto"/>
              <w:left w:val="nil"/>
              <w:right w:val="nil"/>
            </w:tcBorders>
            <w:shd w:val="clear" w:color="auto" w:fill="auto"/>
            <w:vAlign w:val="bottom"/>
          </w:tcPr>
          <w:p w14:paraId="51590E33" w14:textId="77777777" w:rsidR="002B72BA" w:rsidRPr="00AC4F4B" w:rsidRDefault="002B72BA" w:rsidP="00F30A15">
            <w:pPr>
              <w:jc w:val="right"/>
              <w:rPr>
                <w:rFonts w:ascii="Arial" w:hAnsi="Arial" w:cs="Arial"/>
                <w:b/>
                <w:bCs/>
                <w:sz w:val="10"/>
                <w:szCs w:val="10"/>
              </w:rPr>
            </w:pPr>
          </w:p>
        </w:tc>
      </w:tr>
      <w:tr w:rsidR="002B72BA" w:rsidRPr="00593C40" w14:paraId="37CF6057" w14:textId="77777777" w:rsidTr="002E2271">
        <w:trPr>
          <w:trHeight w:val="285"/>
        </w:trPr>
        <w:tc>
          <w:tcPr>
            <w:tcW w:w="3257" w:type="pct"/>
            <w:tcBorders>
              <w:left w:val="nil"/>
              <w:bottom w:val="single" w:sz="4" w:space="0" w:color="auto"/>
              <w:right w:val="nil"/>
            </w:tcBorders>
            <w:shd w:val="clear" w:color="auto" w:fill="auto"/>
            <w:vAlign w:val="bottom"/>
            <w:hideMark/>
          </w:tcPr>
          <w:p w14:paraId="0E45F785" w14:textId="77777777" w:rsidR="002B72BA" w:rsidRPr="00593C40" w:rsidRDefault="002B72BA" w:rsidP="002E2271">
            <w:pPr>
              <w:rPr>
                <w:rFonts w:ascii="Arial" w:hAnsi="Arial" w:cs="Arial"/>
                <w:b/>
                <w:bCs/>
                <w:sz w:val="16"/>
                <w:szCs w:val="16"/>
                <w:lang w:eastAsia="es-AR"/>
              </w:rPr>
            </w:pPr>
            <w:r w:rsidRPr="00593C40">
              <w:rPr>
                <w:rFonts w:ascii="Arial" w:hAnsi="Arial" w:cs="Arial"/>
                <w:b/>
                <w:bCs/>
                <w:sz w:val="16"/>
                <w:szCs w:val="16"/>
                <w:lang w:eastAsia="es-AR"/>
              </w:rPr>
              <w:t>TOTAL DE LA VARIACIÓN DE LOS FLUJOS DE EFECTIVO</w:t>
            </w:r>
          </w:p>
        </w:tc>
        <w:tc>
          <w:tcPr>
            <w:tcW w:w="411" w:type="pct"/>
            <w:tcBorders>
              <w:left w:val="nil"/>
              <w:bottom w:val="single" w:sz="4" w:space="0" w:color="auto"/>
              <w:right w:val="nil"/>
            </w:tcBorders>
            <w:shd w:val="clear" w:color="auto" w:fill="auto"/>
            <w:hideMark/>
          </w:tcPr>
          <w:p w14:paraId="2D356184" w14:textId="77777777" w:rsidR="002B72BA" w:rsidRPr="00593C40" w:rsidRDefault="002B72BA" w:rsidP="00F30A15">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left w:val="nil"/>
              <w:bottom w:val="single" w:sz="4" w:space="0" w:color="auto"/>
              <w:right w:val="nil"/>
            </w:tcBorders>
            <w:shd w:val="clear" w:color="auto" w:fill="auto"/>
            <w:vAlign w:val="bottom"/>
          </w:tcPr>
          <w:p w14:paraId="73EAC144" w14:textId="21023784" w:rsidR="002B72BA" w:rsidRPr="00593C40" w:rsidRDefault="002B72BA" w:rsidP="00F30A15">
            <w:pPr>
              <w:jc w:val="right"/>
              <w:rPr>
                <w:rFonts w:ascii="Arial" w:hAnsi="Arial" w:cs="Arial"/>
                <w:b/>
                <w:bCs/>
                <w:sz w:val="16"/>
                <w:szCs w:val="16"/>
              </w:rPr>
            </w:pPr>
          </w:p>
        </w:tc>
        <w:tc>
          <w:tcPr>
            <w:tcW w:w="729" w:type="pct"/>
            <w:tcBorders>
              <w:left w:val="nil"/>
              <w:bottom w:val="single" w:sz="4" w:space="0" w:color="auto"/>
              <w:right w:val="nil"/>
            </w:tcBorders>
            <w:shd w:val="clear" w:color="auto" w:fill="auto"/>
            <w:vAlign w:val="bottom"/>
          </w:tcPr>
          <w:p w14:paraId="10055660" w14:textId="25FE1F44" w:rsidR="002B72BA" w:rsidRPr="00593C40" w:rsidRDefault="002B72BA" w:rsidP="00F30A15">
            <w:pPr>
              <w:jc w:val="right"/>
              <w:rPr>
                <w:rFonts w:ascii="Arial" w:hAnsi="Arial" w:cs="Arial"/>
                <w:b/>
                <w:bCs/>
                <w:sz w:val="16"/>
                <w:szCs w:val="16"/>
              </w:rPr>
            </w:pPr>
          </w:p>
        </w:tc>
      </w:tr>
      <w:tr w:rsidR="00A40BE6" w:rsidRPr="00593C40" w14:paraId="3954F55B" w14:textId="77777777" w:rsidTr="002E2271">
        <w:trPr>
          <w:trHeight w:val="285"/>
        </w:trPr>
        <w:tc>
          <w:tcPr>
            <w:tcW w:w="3257" w:type="pct"/>
            <w:tcBorders>
              <w:top w:val="single" w:sz="4" w:space="0" w:color="auto"/>
              <w:left w:val="nil"/>
              <w:bottom w:val="nil"/>
              <w:right w:val="nil"/>
            </w:tcBorders>
            <w:shd w:val="clear" w:color="auto" w:fill="auto"/>
            <w:vAlign w:val="bottom"/>
            <w:hideMark/>
          </w:tcPr>
          <w:p w14:paraId="29AFBDAD" w14:textId="77777777" w:rsidR="00A40BE6" w:rsidRPr="00593C40" w:rsidRDefault="00A40BE6" w:rsidP="00A40BE6">
            <w:pPr>
              <w:rPr>
                <w:rFonts w:ascii="Arial" w:hAnsi="Arial" w:cs="Arial"/>
                <w:b/>
                <w:bCs/>
                <w:sz w:val="16"/>
                <w:szCs w:val="16"/>
                <w:lang w:eastAsia="es-AR"/>
              </w:rPr>
            </w:pPr>
            <w:r w:rsidRPr="00593C40">
              <w:rPr>
                <w:rFonts w:ascii="Arial" w:hAnsi="Arial" w:cs="Arial"/>
                <w:b/>
                <w:bCs/>
                <w:sz w:val="16"/>
                <w:szCs w:val="16"/>
                <w:lang w:eastAsia="es-AR"/>
              </w:rPr>
              <w:t>AUMENTO/(DISMINUCIÓN) NETO DEL EFECTIVO Y EQUIVALENTES (A+B+C+D)</w:t>
            </w:r>
          </w:p>
        </w:tc>
        <w:tc>
          <w:tcPr>
            <w:tcW w:w="411" w:type="pct"/>
            <w:tcBorders>
              <w:top w:val="single" w:sz="4" w:space="0" w:color="auto"/>
              <w:left w:val="nil"/>
              <w:bottom w:val="nil"/>
              <w:right w:val="nil"/>
            </w:tcBorders>
            <w:shd w:val="clear" w:color="auto" w:fill="auto"/>
            <w:hideMark/>
          </w:tcPr>
          <w:p w14:paraId="560C680B" w14:textId="77777777" w:rsidR="00A40BE6" w:rsidRPr="00593C40" w:rsidRDefault="00A40BE6" w:rsidP="00A40BE6">
            <w:pPr>
              <w:rPr>
                <w:rFonts w:ascii="Arial" w:hAnsi="Arial" w:cs="Arial"/>
                <w:b/>
                <w:bCs/>
                <w:sz w:val="16"/>
                <w:szCs w:val="16"/>
                <w:lang w:eastAsia="es-AR"/>
              </w:rPr>
            </w:pPr>
            <w:r w:rsidRPr="00593C40">
              <w:rPr>
                <w:rFonts w:ascii="Arial" w:hAnsi="Arial" w:cs="Arial"/>
                <w:b/>
                <w:bCs/>
                <w:sz w:val="16"/>
                <w:szCs w:val="16"/>
                <w:lang w:eastAsia="es-AR"/>
              </w:rPr>
              <w:t> </w:t>
            </w:r>
          </w:p>
        </w:tc>
        <w:tc>
          <w:tcPr>
            <w:tcW w:w="603" w:type="pct"/>
            <w:tcBorders>
              <w:top w:val="single" w:sz="4" w:space="0" w:color="auto"/>
              <w:left w:val="nil"/>
              <w:right w:val="nil"/>
            </w:tcBorders>
            <w:shd w:val="clear" w:color="auto" w:fill="auto"/>
            <w:vAlign w:val="bottom"/>
          </w:tcPr>
          <w:p w14:paraId="350051CD" w14:textId="3C2406F8" w:rsidR="00A40BE6" w:rsidRPr="00593C40" w:rsidRDefault="005A786D" w:rsidP="00A40BE6">
            <w:pPr>
              <w:jc w:val="right"/>
              <w:rPr>
                <w:rFonts w:ascii="Arial" w:hAnsi="Arial" w:cs="Arial"/>
                <w:b/>
                <w:bCs/>
                <w:sz w:val="16"/>
                <w:szCs w:val="16"/>
              </w:rPr>
            </w:pPr>
            <w:r w:rsidRPr="005A786D">
              <w:rPr>
                <w:rFonts w:ascii="Arial" w:hAnsi="Arial" w:cs="Arial"/>
                <w:b/>
                <w:bCs/>
                <w:sz w:val="16"/>
                <w:szCs w:val="16"/>
              </w:rPr>
              <w:t>-19.471.448</w:t>
            </w:r>
          </w:p>
        </w:tc>
        <w:tc>
          <w:tcPr>
            <w:tcW w:w="729" w:type="pct"/>
            <w:tcBorders>
              <w:top w:val="single" w:sz="4" w:space="0" w:color="auto"/>
              <w:left w:val="nil"/>
              <w:right w:val="nil"/>
            </w:tcBorders>
            <w:shd w:val="clear" w:color="auto" w:fill="auto"/>
            <w:vAlign w:val="bottom"/>
          </w:tcPr>
          <w:p w14:paraId="684EFD36" w14:textId="7AC1ED5A" w:rsidR="00A40BE6" w:rsidRPr="00EC349E" w:rsidRDefault="00A40BE6" w:rsidP="00A40BE6">
            <w:pPr>
              <w:jc w:val="right"/>
              <w:rPr>
                <w:rFonts w:ascii="Arial" w:hAnsi="Arial" w:cs="Arial"/>
                <w:b/>
                <w:bCs/>
                <w:sz w:val="16"/>
                <w:szCs w:val="16"/>
              </w:rPr>
            </w:pPr>
            <w:r>
              <w:rPr>
                <w:rFonts w:ascii="Arial" w:hAnsi="Arial" w:cs="Arial"/>
                <w:b/>
                <w:bCs/>
                <w:sz w:val="16"/>
                <w:szCs w:val="16"/>
              </w:rPr>
              <w:t>23.915.044</w:t>
            </w:r>
          </w:p>
        </w:tc>
      </w:tr>
      <w:tr w:rsidR="00A40BE6" w:rsidRPr="00593C40" w14:paraId="7945F2BB" w14:textId="77777777" w:rsidTr="002E2271">
        <w:trPr>
          <w:trHeight w:val="285"/>
        </w:trPr>
        <w:tc>
          <w:tcPr>
            <w:tcW w:w="3257" w:type="pct"/>
            <w:tcBorders>
              <w:top w:val="nil"/>
              <w:left w:val="nil"/>
              <w:bottom w:val="nil"/>
              <w:right w:val="nil"/>
            </w:tcBorders>
            <w:shd w:val="clear" w:color="auto" w:fill="auto"/>
            <w:vAlign w:val="bottom"/>
            <w:hideMark/>
          </w:tcPr>
          <w:p w14:paraId="0B557DC0" w14:textId="77777777" w:rsidR="00A40BE6" w:rsidRPr="00593C40" w:rsidRDefault="00A40BE6" w:rsidP="00A40BE6">
            <w:pPr>
              <w:rPr>
                <w:rFonts w:ascii="Arial" w:hAnsi="Arial" w:cs="Arial"/>
                <w:b/>
                <w:bCs/>
                <w:sz w:val="16"/>
                <w:szCs w:val="16"/>
                <w:lang w:eastAsia="es-AR"/>
              </w:rPr>
            </w:pPr>
            <w:r w:rsidRPr="00593C40">
              <w:rPr>
                <w:rFonts w:ascii="Arial" w:hAnsi="Arial" w:cs="Arial"/>
                <w:b/>
                <w:bCs/>
                <w:sz w:val="16"/>
                <w:szCs w:val="16"/>
                <w:lang w:eastAsia="es-AR"/>
              </w:rPr>
              <w:t>EFECTIVO Y EQUIVALENTES AL INICIO DEL</w:t>
            </w:r>
            <w:r>
              <w:rPr>
                <w:rFonts w:ascii="Arial" w:hAnsi="Arial" w:cs="Arial"/>
                <w:b/>
                <w:bCs/>
                <w:sz w:val="16"/>
                <w:szCs w:val="16"/>
                <w:lang w:eastAsia="es-AR"/>
              </w:rPr>
              <w:t xml:space="preserve"> EJERCICIO</w:t>
            </w:r>
          </w:p>
        </w:tc>
        <w:tc>
          <w:tcPr>
            <w:tcW w:w="411" w:type="pct"/>
            <w:tcBorders>
              <w:top w:val="nil"/>
              <w:left w:val="nil"/>
              <w:bottom w:val="nil"/>
              <w:right w:val="nil"/>
            </w:tcBorders>
            <w:shd w:val="clear" w:color="auto" w:fill="auto"/>
            <w:hideMark/>
          </w:tcPr>
          <w:p w14:paraId="69C5F27C" w14:textId="77777777" w:rsidR="00A40BE6" w:rsidRPr="00593C40" w:rsidRDefault="00A40BE6" w:rsidP="00A40BE6">
            <w:pPr>
              <w:rPr>
                <w:rFonts w:ascii="Arial" w:hAnsi="Arial" w:cs="Arial"/>
                <w:b/>
                <w:bCs/>
                <w:sz w:val="16"/>
                <w:szCs w:val="16"/>
                <w:lang w:eastAsia="es-AR"/>
              </w:rPr>
            </w:pPr>
          </w:p>
        </w:tc>
        <w:tc>
          <w:tcPr>
            <w:tcW w:w="603" w:type="pct"/>
            <w:tcBorders>
              <w:left w:val="nil"/>
              <w:right w:val="nil"/>
            </w:tcBorders>
            <w:shd w:val="clear" w:color="auto" w:fill="auto"/>
            <w:vAlign w:val="bottom"/>
          </w:tcPr>
          <w:p w14:paraId="69F460AD" w14:textId="03C21BC4" w:rsidR="00A40BE6" w:rsidRPr="00593C40" w:rsidRDefault="00A40BE6" w:rsidP="00A40BE6">
            <w:pPr>
              <w:jc w:val="right"/>
              <w:rPr>
                <w:rFonts w:ascii="Arial" w:hAnsi="Arial" w:cs="Arial"/>
                <w:b/>
                <w:bCs/>
                <w:sz w:val="16"/>
                <w:szCs w:val="16"/>
              </w:rPr>
            </w:pPr>
            <w:r w:rsidRPr="00276EBF">
              <w:rPr>
                <w:rFonts w:ascii="Arial" w:hAnsi="Arial" w:cs="Arial"/>
                <w:b/>
                <w:bCs/>
                <w:sz w:val="16"/>
                <w:szCs w:val="16"/>
              </w:rPr>
              <w:t>45.368.798</w:t>
            </w:r>
          </w:p>
        </w:tc>
        <w:tc>
          <w:tcPr>
            <w:tcW w:w="729" w:type="pct"/>
            <w:tcBorders>
              <w:left w:val="nil"/>
              <w:right w:val="nil"/>
            </w:tcBorders>
            <w:shd w:val="clear" w:color="auto" w:fill="auto"/>
            <w:vAlign w:val="bottom"/>
          </w:tcPr>
          <w:p w14:paraId="5F2DC0AF" w14:textId="1A5BC69B" w:rsidR="00A40BE6" w:rsidRPr="00EC349E" w:rsidRDefault="00A40BE6" w:rsidP="00A40BE6">
            <w:pPr>
              <w:jc w:val="right"/>
              <w:rPr>
                <w:rFonts w:ascii="Arial" w:hAnsi="Arial" w:cs="Arial"/>
                <w:b/>
                <w:bCs/>
                <w:sz w:val="16"/>
                <w:szCs w:val="16"/>
              </w:rPr>
            </w:pPr>
            <w:r>
              <w:rPr>
                <w:rFonts w:ascii="Arial" w:hAnsi="Arial" w:cs="Arial"/>
                <w:b/>
                <w:bCs/>
                <w:sz w:val="16"/>
                <w:szCs w:val="16"/>
              </w:rPr>
              <w:t>21.453.754</w:t>
            </w:r>
          </w:p>
        </w:tc>
      </w:tr>
      <w:tr w:rsidR="00A40BE6" w:rsidRPr="00593C40" w14:paraId="3D4D84C6" w14:textId="77777777" w:rsidTr="002E2271">
        <w:trPr>
          <w:trHeight w:val="285"/>
        </w:trPr>
        <w:tc>
          <w:tcPr>
            <w:tcW w:w="3257" w:type="pct"/>
            <w:tcBorders>
              <w:top w:val="nil"/>
              <w:left w:val="nil"/>
              <w:bottom w:val="nil"/>
              <w:right w:val="nil"/>
            </w:tcBorders>
            <w:shd w:val="clear" w:color="auto" w:fill="auto"/>
            <w:vAlign w:val="bottom"/>
            <w:hideMark/>
          </w:tcPr>
          <w:p w14:paraId="0B7DE520" w14:textId="69DC3FD1" w:rsidR="00A40BE6" w:rsidRPr="00593C40" w:rsidRDefault="00A40BE6" w:rsidP="00A40BE6">
            <w:pPr>
              <w:rPr>
                <w:rFonts w:ascii="Arial" w:hAnsi="Arial" w:cs="Arial"/>
                <w:b/>
                <w:bCs/>
                <w:sz w:val="16"/>
                <w:szCs w:val="16"/>
                <w:lang w:eastAsia="es-AR"/>
              </w:rPr>
            </w:pPr>
            <w:r w:rsidRPr="00593C40">
              <w:rPr>
                <w:rFonts w:ascii="Arial" w:hAnsi="Arial" w:cs="Arial"/>
                <w:b/>
                <w:bCs/>
                <w:sz w:val="16"/>
                <w:szCs w:val="16"/>
                <w:lang w:eastAsia="es-AR"/>
              </w:rPr>
              <w:t xml:space="preserve">EFECTIVO Y EQUIVALENTES AL CIERRE DEL </w:t>
            </w:r>
            <w:r>
              <w:rPr>
                <w:rFonts w:ascii="Arial" w:hAnsi="Arial" w:cs="Arial"/>
                <w:b/>
                <w:bCs/>
                <w:sz w:val="16"/>
                <w:szCs w:val="16"/>
                <w:lang w:eastAsia="es-AR"/>
              </w:rPr>
              <w:t>EJERCICIO</w:t>
            </w:r>
          </w:p>
        </w:tc>
        <w:tc>
          <w:tcPr>
            <w:tcW w:w="411" w:type="pct"/>
            <w:tcBorders>
              <w:top w:val="nil"/>
              <w:left w:val="nil"/>
              <w:bottom w:val="nil"/>
              <w:right w:val="nil"/>
            </w:tcBorders>
            <w:shd w:val="clear" w:color="auto" w:fill="auto"/>
            <w:vAlign w:val="bottom"/>
            <w:hideMark/>
          </w:tcPr>
          <w:p w14:paraId="77CBB365" w14:textId="408CCBAB" w:rsidR="00A40BE6" w:rsidRPr="00593C40" w:rsidRDefault="00A40BE6" w:rsidP="00A40BE6">
            <w:pPr>
              <w:jc w:val="center"/>
              <w:rPr>
                <w:rFonts w:ascii="Arial" w:hAnsi="Arial" w:cs="Arial"/>
                <w:b/>
                <w:bCs/>
                <w:sz w:val="16"/>
                <w:szCs w:val="16"/>
                <w:lang w:eastAsia="es-AR"/>
              </w:rPr>
            </w:pPr>
            <w:r>
              <w:rPr>
                <w:rFonts w:ascii="Arial" w:hAnsi="Arial" w:cs="Arial"/>
                <w:b/>
                <w:bCs/>
                <w:sz w:val="16"/>
                <w:szCs w:val="16"/>
                <w:lang w:eastAsia="es-AR"/>
              </w:rPr>
              <w:t>1.6</w:t>
            </w:r>
          </w:p>
        </w:tc>
        <w:tc>
          <w:tcPr>
            <w:tcW w:w="603" w:type="pct"/>
            <w:tcBorders>
              <w:left w:val="nil"/>
              <w:right w:val="nil"/>
            </w:tcBorders>
            <w:shd w:val="clear" w:color="auto" w:fill="auto"/>
            <w:vAlign w:val="bottom"/>
          </w:tcPr>
          <w:p w14:paraId="5CAE216D" w14:textId="0938E9FE" w:rsidR="00A40BE6" w:rsidRPr="00593C40" w:rsidRDefault="00A40BE6" w:rsidP="00A40BE6">
            <w:pPr>
              <w:jc w:val="right"/>
              <w:rPr>
                <w:rFonts w:ascii="Arial" w:hAnsi="Arial" w:cs="Arial"/>
                <w:b/>
                <w:bCs/>
                <w:sz w:val="16"/>
                <w:szCs w:val="16"/>
              </w:rPr>
            </w:pPr>
            <w:r w:rsidRPr="00276EBF">
              <w:rPr>
                <w:rFonts w:ascii="Arial" w:hAnsi="Arial" w:cs="Arial"/>
                <w:b/>
                <w:bCs/>
                <w:sz w:val="16"/>
                <w:szCs w:val="16"/>
              </w:rPr>
              <w:t>25.897.350</w:t>
            </w:r>
          </w:p>
        </w:tc>
        <w:tc>
          <w:tcPr>
            <w:tcW w:w="729" w:type="pct"/>
            <w:tcBorders>
              <w:left w:val="nil"/>
              <w:right w:val="nil"/>
            </w:tcBorders>
            <w:shd w:val="clear" w:color="auto" w:fill="auto"/>
            <w:vAlign w:val="bottom"/>
          </w:tcPr>
          <w:p w14:paraId="1F4536A1" w14:textId="4D2C1E9A" w:rsidR="00A40BE6" w:rsidRPr="00EC349E" w:rsidRDefault="0068711D" w:rsidP="00A40BE6">
            <w:pPr>
              <w:jc w:val="right"/>
              <w:rPr>
                <w:rFonts w:ascii="Arial" w:hAnsi="Arial" w:cs="Arial"/>
                <w:b/>
                <w:bCs/>
                <w:sz w:val="16"/>
                <w:szCs w:val="16"/>
              </w:rPr>
            </w:pPr>
            <w:r>
              <w:rPr>
                <w:rFonts w:ascii="Arial" w:hAnsi="Arial" w:cs="Arial"/>
                <w:b/>
                <w:bCs/>
                <w:sz w:val="16"/>
                <w:szCs w:val="16"/>
              </w:rPr>
              <w:t>45.368.798</w:t>
            </w:r>
          </w:p>
        </w:tc>
      </w:tr>
    </w:tbl>
    <w:p w14:paraId="374832DE" w14:textId="49799F05" w:rsidR="007E64FE" w:rsidRPr="00701F32" w:rsidRDefault="007E64FE" w:rsidP="005C2DE7">
      <w:pPr>
        <w:tabs>
          <w:tab w:val="left" w:pos="1365"/>
        </w:tabs>
        <w:rPr>
          <w:sz w:val="20"/>
          <w:lang w:eastAsia="es-AR"/>
        </w:rPr>
      </w:pPr>
    </w:p>
    <w:p w14:paraId="667B2633" w14:textId="62753E66" w:rsidR="00A84C27" w:rsidRPr="00CD2AEF" w:rsidRDefault="00CD2AEF" w:rsidP="005C2DE7">
      <w:pPr>
        <w:tabs>
          <w:tab w:val="left" w:pos="1365"/>
        </w:tabs>
        <w:rPr>
          <w:rFonts w:ascii="Arial" w:hAnsi="Arial" w:cs="Arial"/>
          <w:sz w:val="16"/>
          <w:szCs w:val="16"/>
          <w:lang w:eastAsia="es-AR"/>
        </w:rPr>
      </w:pPr>
      <w:r w:rsidRPr="00CD2AEF">
        <w:rPr>
          <w:rFonts w:ascii="Arial" w:hAnsi="Arial" w:cs="Arial"/>
          <w:sz w:val="16"/>
          <w:szCs w:val="16"/>
          <w:lang w:eastAsia="es-AR"/>
        </w:rPr>
        <w:t xml:space="preserve">(*) En las partidas “Préstamos y otras financiaciones – Sector Privado no Financiero y Residentes en el exterior”, “Otros Activos” </w:t>
      </w:r>
      <w:r w:rsidRPr="00276EBF">
        <w:rPr>
          <w:rFonts w:ascii="Arial" w:hAnsi="Arial" w:cs="Arial"/>
          <w:sz w:val="16"/>
          <w:szCs w:val="16"/>
          <w:lang w:eastAsia="es-AR"/>
        </w:rPr>
        <w:t xml:space="preserve">y “Otros pasivos” se eliminaron </w:t>
      </w:r>
      <w:r w:rsidR="00A40BE6">
        <w:rPr>
          <w:rFonts w:ascii="Arial" w:hAnsi="Arial" w:cs="Arial"/>
          <w:sz w:val="16"/>
          <w:szCs w:val="16"/>
          <w:lang w:eastAsia="es-AR"/>
        </w:rPr>
        <w:t>3.032.240</w:t>
      </w:r>
      <w:r w:rsidR="00276EBF" w:rsidRPr="00276EBF">
        <w:rPr>
          <w:rFonts w:ascii="Arial" w:hAnsi="Arial" w:cs="Arial"/>
          <w:sz w:val="16"/>
          <w:szCs w:val="16"/>
          <w:lang w:eastAsia="es-AR"/>
        </w:rPr>
        <w:t xml:space="preserve"> </w:t>
      </w:r>
      <w:r w:rsidRPr="00276EBF">
        <w:rPr>
          <w:rFonts w:ascii="Arial" w:hAnsi="Arial" w:cs="Arial"/>
          <w:sz w:val="16"/>
          <w:szCs w:val="16"/>
          <w:lang w:eastAsia="es-AR"/>
        </w:rPr>
        <w:t xml:space="preserve">y </w:t>
      </w:r>
      <w:r w:rsidR="00276EBF" w:rsidRPr="00276EBF">
        <w:rPr>
          <w:rFonts w:ascii="Arial" w:hAnsi="Arial" w:cs="Arial"/>
          <w:sz w:val="16"/>
          <w:szCs w:val="16"/>
          <w:lang w:eastAsia="es-AR"/>
        </w:rPr>
        <w:t>991.547</w:t>
      </w:r>
      <w:r w:rsidRPr="00276EBF">
        <w:rPr>
          <w:rFonts w:ascii="Arial" w:hAnsi="Arial" w:cs="Arial"/>
          <w:sz w:val="16"/>
          <w:szCs w:val="16"/>
          <w:lang w:eastAsia="es-AR"/>
        </w:rPr>
        <w:t xml:space="preserve"> correspondientes a transacciones no monetarias.</w:t>
      </w:r>
      <w:r>
        <w:rPr>
          <w:rFonts w:ascii="Arial" w:hAnsi="Arial" w:cs="Arial"/>
          <w:sz w:val="16"/>
          <w:szCs w:val="16"/>
          <w:lang w:eastAsia="es-AR"/>
        </w:rPr>
        <w:t xml:space="preserve"> </w:t>
      </w:r>
    </w:p>
    <w:p w14:paraId="1D1A1E28" w14:textId="77777777" w:rsidR="00CD2AEF" w:rsidRPr="00CD2AEF" w:rsidRDefault="00CD2AEF" w:rsidP="005C2DE7">
      <w:pPr>
        <w:tabs>
          <w:tab w:val="left" w:pos="1365"/>
        </w:tabs>
        <w:rPr>
          <w:rFonts w:ascii="Arial" w:hAnsi="Arial" w:cs="Arial"/>
          <w:sz w:val="20"/>
          <w:lang w:eastAsia="es-AR"/>
        </w:rPr>
      </w:pPr>
    </w:p>
    <w:p w14:paraId="67D4469D" w14:textId="3A4FA92E" w:rsidR="00CD2AEF" w:rsidRPr="00701F32" w:rsidRDefault="00CD2AEF" w:rsidP="005C2DE7">
      <w:pPr>
        <w:tabs>
          <w:tab w:val="left" w:pos="1365"/>
        </w:tabs>
        <w:rPr>
          <w:sz w:val="20"/>
          <w:lang w:eastAsia="es-AR"/>
        </w:rPr>
        <w:sectPr w:rsidR="00CD2AEF" w:rsidRPr="00701F32" w:rsidSect="007045C3">
          <w:headerReference w:type="default" r:id="rId49"/>
          <w:pgSz w:w="11907" w:h="16839" w:code="9"/>
          <w:pgMar w:top="1418" w:right="1701" w:bottom="1418" w:left="1701" w:header="567" w:footer="0" w:gutter="0"/>
          <w:paperSrc w:first="256" w:other="256"/>
          <w:cols w:space="720"/>
          <w:docGrid w:linePitch="326"/>
        </w:sectPr>
      </w:pPr>
    </w:p>
    <w:p w14:paraId="55A5D850" w14:textId="77777777" w:rsidR="00ED4402" w:rsidRPr="00701F32" w:rsidRDefault="00ED4402" w:rsidP="00ED4402">
      <w:pPr>
        <w:tabs>
          <w:tab w:val="left" w:pos="1365"/>
        </w:tabs>
        <w:rPr>
          <w:lang w:eastAsia="es-AR"/>
        </w:rPr>
      </w:pPr>
    </w:p>
    <w:p w14:paraId="566868C0" w14:textId="4D00C9E3" w:rsidR="00656E62" w:rsidRPr="00701F32" w:rsidRDefault="00656E62" w:rsidP="00656E62">
      <w:pPr>
        <w:spacing w:after="160" w:line="259" w:lineRule="auto"/>
        <w:jc w:val="both"/>
        <w:rPr>
          <w:rFonts w:ascii="Arial" w:eastAsia="Calibri" w:hAnsi="Arial" w:cs="Arial"/>
          <w:b/>
          <w:color w:val="C45911"/>
          <w:sz w:val="20"/>
        </w:rPr>
      </w:pPr>
      <w:r w:rsidRPr="00701F32">
        <w:rPr>
          <w:rFonts w:ascii="Arial" w:eastAsia="Calibri" w:hAnsi="Arial" w:cs="Arial"/>
          <w:b/>
          <w:sz w:val="20"/>
        </w:rPr>
        <w:t xml:space="preserve">1. </w:t>
      </w:r>
      <w:r w:rsidR="00D2026A" w:rsidRPr="00701F32">
        <w:rPr>
          <w:rFonts w:ascii="Arial" w:eastAsia="Calibri" w:hAnsi="Arial" w:cs="Arial"/>
          <w:b/>
          <w:sz w:val="20"/>
        </w:rPr>
        <w:t>BASES DE PRESENTACION</w:t>
      </w:r>
      <w:r w:rsidRPr="00701F32">
        <w:rPr>
          <w:rFonts w:ascii="Arial" w:eastAsia="Calibri" w:hAnsi="Arial" w:cs="Arial"/>
          <w:b/>
          <w:sz w:val="20"/>
        </w:rPr>
        <w:t xml:space="preserve"> </w:t>
      </w:r>
      <w:r w:rsidR="00DB6460">
        <w:rPr>
          <w:rFonts w:ascii="Arial" w:eastAsia="Calibri" w:hAnsi="Arial" w:cs="Arial"/>
          <w:b/>
          <w:sz w:val="20"/>
        </w:rPr>
        <w:t>Y POLITICAS CONTABLES SIGNIFICATIVAS</w:t>
      </w:r>
    </w:p>
    <w:p w14:paraId="4C174FAB" w14:textId="61076E3B" w:rsidR="00DB6460" w:rsidRDefault="00DB6460" w:rsidP="00656E62">
      <w:pPr>
        <w:spacing w:after="160" w:line="259" w:lineRule="auto"/>
        <w:jc w:val="both"/>
        <w:rPr>
          <w:rFonts w:ascii="Arial" w:eastAsia="Calibri" w:hAnsi="Arial" w:cs="Arial"/>
          <w:sz w:val="20"/>
        </w:rPr>
      </w:pPr>
      <w:r w:rsidRPr="00E446C3">
        <w:rPr>
          <w:rFonts w:ascii="Arial" w:eastAsia="Calibri" w:hAnsi="Arial" w:cs="Arial"/>
          <w:sz w:val="20"/>
        </w:rPr>
        <w:t xml:space="preserve">Los presentes estados financieros </w:t>
      </w:r>
      <w:r w:rsidR="000F7A1A">
        <w:rPr>
          <w:rFonts w:ascii="Arial" w:eastAsia="Calibri" w:hAnsi="Arial" w:cs="Arial"/>
          <w:sz w:val="20"/>
        </w:rPr>
        <w:t xml:space="preserve">condensados intermedios </w:t>
      </w:r>
      <w:r w:rsidR="003A0A33">
        <w:rPr>
          <w:rFonts w:ascii="Arial" w:eastAsia="Calibri" w:hAnsi="Arial" w:cs="Arial"/>
          <w:sz w:val="20"/>
        </w:rPr>
        <w:t>separados</w:t>
      </w:r>
      <w:r w:rsidR="003A0A33" w:rsidRPr="00E446C3">
        <w:rPr>
          <w:rFonts w:ascii="Arial" w:eastAsia="Calibri" w:hAnsi="Arial" w:cs="Arial"/>
          <w:sz w:val="20"/>
        </w:rPr>
        <w:t xml:space="preserve"> </w:t>
      </w:r>
      <w:r w:rsidRPr="00E446C3">
        <w:rPr>
          <w:rFonts w:ascii="Arial" w:eastAsia="Calibri" w:hAnsi="Arial" w:cs="Arial"/>
          <w:sz w:val="20"/>
        </w:rPr>
        <w:t xml:space="preserve">por el </w:t>
      </w:r>
      <w:r w:rsidR="00835461">
        <w:rPr>
          <w:rFonts w:ascii="Arial" w:eastAsia="Calibri" w:hAnsi="Arial" w:cs="Arial"/>
          <w:sz w:val="20"/>
        </w:rPr>
        <w:t>ejercicio económico</w:t>
      </w:r>
      <w:r w:rsidR="000F7A1A" w:rsidRPr="00E446C3">
        <w:rPr>
          <w:rFonts w:ascii="Arial" w:eastAsia="Calibri" w:hAnsi="Arial" w:cs="Arial"/>
          <w:sz w:val="20"/>
        </w:rPr>
        <w:t xml:space="preserve"> </w:t>
      </w:r>
      <w:r w:rsidR="00886AE1">
        <w:rPr>
          <w:rFonts w:ascii="Arial" w:eastAsia="Calibri" w:hAnsi="Arial" w:cs="Arial"/>
          <w:sz w:val="20"/>
        </w:rPr>
        <w:t>finalizado el 3</w:t>
      </w:r>
      <w:r w:rsidR="00F60B2C">
        <w:rPr>
          <w:rFonts w:ascii="Arial" w:eastAsia="Calibri" w:hAnsi="Arial" w:cs="Arial"/>
          <w:sz w:val="20"/>
        </w:rPr>
        <w:t>1</w:t>
      </w:r>
      <w:r w:rsidRPr="00E446C3">
        <w:rPr>
          <w:rFonts w:ascii="Arial" w:eastAsia="Calibri" w:hAnsi="Arial" w:cs="Arial"/>
          <w:sz w:val="20"/>
        </w:rPr>
        <w:t xml:space="preserve"> de </w:t>
      </w:r>
      <w:r w:rsidR="00F60B2C">
        <w:rPr>
          <w:rFonts w:ascii="Arial" w:eastAsia="Calibri" w:hAnsi="Arial" w:cs="Arial"/>
          <w:sz w:val="20"/>
        </w:rPr>
        <w:t>diciembre</w:t>
      </w:r>
      <w:r w:rsidR="000F7A1A" w:rsidRPr="00E446C3">
        <w:rPr>
          <w:rFonts w:ascii="Arial" w:eastAsia="Calibri" w:hAnsi="Arial" w:cs="Arial"/>
          <w:sz w:val="20"/>
        </w:rPr>
        <w:t xml:space="preserve"> </w:t>
      </w:r>
      <w:r w:rsidRPr="00E446C3">
        <w:rPr>
          <w:rFonts w:ascii="Arial" w:eastAsia="Calibri" w:hAnsi="Arial" w:cs="Arial"/>
          <w:sz w:val="20"/>
        </w:rPr>
        <w:t xml:space="preserve">de </w:t>
      </w:r>
      <w:r w:rsidR="000F7A1A" w:rsidRPr="00E446C3">
        <w:rPr>
          <w:rFonts w:ascii="Arial" w:eastAsia="Calibri" w:hAnsi="Arial" w:cs="Arial"/>
          <w:sz w:val="20"/>
        </w:rPr>
        <w:t>201</w:t>
      </w:r>
      <w:r w:rsidR="000F7A1A">
        <w:rPr>
          <w:rFonts w:ascii="Arial" w:eastAsia="Calibri" w:hAnsi="Arial" w:cs="Arial"/>
          <w:sz w:val="20"/>
        </w:rPr>
        <w:t>9</w:t>
      </w:r>
      <w:r w:rsidRPr="00E446C3">
        <w:rPr>
          <w:rFonts w:ascii="Arial" w:eastAsia="Calibri" w:hAnsi="Arial" w:cs="Arial"/>
          <w:sz w:val="20"/>
        </w:rPr>
        <w:t>, los cuales han sido preparados de acuerdo con el marco contable establecido por el Banco Central de la República Argentina (B.C.R.A.), corresponden a Banco Supervielle S.A</w:t>
      </w:r>
      <w:r w:rsidR="00B05BE2">
        <w:rPr>
          <w:rFonts w:ascii="Arial" w:eastAsia="Calibri" w:hAnsi="Arial" w:cs="Arial"/>
          <w:sz w:val="20"/>
        </w:rPr>
        <w:t>.</w:t>
      </w:r>
      <w:r w:rsidRPr="00E446C3">
        <w:rPr>
          <w:rFonts w:ascii="Arial" w:eastAsia="Calibri" w:hAnsi="Arial" w:cs="Arial"/>
          <w:sz w:val="20"/>
        </w:rPr>
        <w:t xml:space="preserve"> (en adelante, “el Banco” o “la Entidad”).</w:t>
      </w:r>
    </w:p>
    <w:p w14:paraId="7E8778F8" w14:textId="72328C34" w:rsidR="00656E62" w:rsidRPr="00701F32" w:rsidRDefault="00DB6460" w:rsidP="00656E62">
      <w:pPr>
        <w:spacing w:after="160" w:line="259" w:lineRule="auto"/>
        <w:jc w:val="both"/>
        <w:rPr>
          <w:rFonts w:ascii="Arial" w:eastAsia="Calibri" w:hAnsi="Arial" w:cs="Arial"/>
          <w:sz w:val="20"/>
        </w:rPr>
      </w:pPr>
      <w:r>
        <w:rPr>
          <w:rFonts w:ascii="Arial" w:eastAsia="Calibri" w:hAnsi="Arial" w:cs="Arial"/>
          <w:sz w:val="20"/>
        </w:rPr>
        <w:t>E</w:t>
      </w:r>
      <w:r w:rsidR="00656E62" w:rsidRPr="00701F32">
        <w:rPr>
          <w:rFonts w:ascii="Arial" w:eastAsia="Calibri" w:hAnsi="Arial" w:cs="Arial"/>
          <w:sz w:val="20"/>
        </w:rPr>
        <w:t>l Banco</w:t>
      </w:r>
      <w:r>
        <w:rPr>
          <w:rFonts w:ascii="Arial" w:eastAsia="Calibri" w:hAnsi="Arial" w:cs="Arial"/>
          <w:sz w:val="20"/>
        </w:rPr>
        <w:t xml:space="preserve"> </w:t>
      </w:r>
      <w:r w:rsidR="00656E62" w:rsidRPr="00701F32">
        <w:rPr>
          <w:rFonts w:ascii="Arial" w:eastAsia="Calibri" w:hAnsi="Arial" w:cs="Arial"/>
          <w:sz w:val="20"/>
        </w:rPr>
        <w:t xml:space="preserve">es una entidad financiera comprendida dentro de la Ley N° 21.526 de Entidades Financieras sujeta a las disposiciones del Banco Central de la República Argentina (B.C.R.A.) como órgano regulador de entidades financieras. </w:t>
      </w:r>
    </w:p>
    <w:p w14:paraId="2E38BF86" w14:textId="77777777" w:rsidR="00656E62" w:rsidRPr="00701F32" w:rsidRDefault="00656E62" w:rsidP="00656E62">
      <w:pPr>
        <w:jc w:val="both"/>
        <w:rPr>
          <w:rFonts w:ascii="Arial" w:eastAsia="Calibri" w:hAnsi="Arial" w:cs="Arial"/>
          <w:sz w:val="20"/>
        </w:rPr>
      </w:pPr>
      <w:r w:rsidRPr="00701F32">
        <w:rPr>
          <w:rFonts w:ascii="Arial" w:eastAsia="Calibri" w:hAnsi="Arial" w:cs="Arial"/>
          <w:sz w:val="20"/>
        </w:rPr>
        <w:t>Adicionalmente el Banco se desempeña como Agente de Liquidación y Compensación en el marco de la Comisión Nacional de Valores (C.N.V.) por lo que se encuentra regulado por las disposiciones emanadas de la Ley 26.831 de Mercado de Capitales.</w:t>
      </w:r>
    </w:p>
    <w:p w14:paraId="52185437" w14:textId="77777777" w:rsidR="00656E62" w:rsidRPr="00701F32" w:rsidRDefault="00656E62" w:rsidP="00656E62">
      <w:pPr>
        <w:jc w:val="both"/>
        <w:rPr>
          <w:rFonts w:ascii="Arial" w:eastAsia="Calibri" w:hAnsi="Arial" w:cs="Arial"/>
          <w:sz w:val="20"/>
        </w:rPr>
      </w:pPr>
    </w:p>
    <w:p w14:paraId="0A63A856" w14:textId="77777777" w:rsidR="00656E62" w:rsidRPr="00701F32" w:rsidRDefault="00656E62" w:rsidP="00656E62">
      <w:pPr>
        <w:spacing w:after="160" w:line="259" w:lineRule="auto"/>
        <w:jc w:val="both"/>
        <w:rPr>
          <w:rFonts w:ascii="Arial" w:eastAsia="Calibri" w:hAnsi="Arial" w:cs="Arial"/>
          <w:sz w:val="20"/>
        </w:rPr>
      </w:pPr>
      <w:r w:rsidRPr="00701F32">
        <w:rPr>
          <w:rFonts w:ascii="Arial" w:eastAsia="Calibri" w:hAnsi="Arial" w:cs="Arial"/>
          <w:sz w:val="20"/>
        </w:rPr>
        <w:t xml:space="preserve">La Entidad opera como un banco universal y es una subsidiaria del Grupo Supervielle S.A. </w:t>
      </w:r>
    </w:p>
    <w:p w14:paraId="2C3DA35D" w14:textId="0415A925" w:rsidR="00656E62" w:rsidRPr="00701F32" w:rsidRDefault="00554357" w:rsidP="00656E62">
      <w:pPr>
        <w:spacing w:after="160" w:line="259" w:lineRule="auto"/>
        <w:jc w:val="both"/>
        <w:rPr>
          <w:rFonts w:ascii="Arial" w:eastAsia="Calibri" w:hAnsi="Arial" w:cs="Arial"/>
          <w:sz w:val="20"/>
        </w:rPr>
      </w:pPr>
      <w:r>
        <w:rPr>
          <w:rFonts w:ascii="Arial" w:eastAsia="Calibri" w:hAnsi="Arial" w:cs="Arial"/>
          <w:sz w:val="20"/>
        </w:rPr>
        <w:t xml:space="preserve">Estos estados financieros </w:t>
      </w:r>
      <w:r w:rsidR="000F7A1A">
        <w:rPr>
          <w:rFonts w:ascii="Arial" w:eastAsia="Calibri" w:hAnsi="Arial" w:cs="Arial"/>
          <w:sz w:val="20"/>
        </w:rPr>
        <w:t xml:space="preserve">condensados intermedios </w:t>
      </w:r>
      <w:r w:rsidR="00812AED" w:rsidRPr="00701F32">
        <w:rPr>
          <w:rFonts w:ascii="Arial" w:eastAsia="Calibri" w:hAnsi="Arial" w:cs="Arial"/>
          <w:sz w:val="20"/>
        </w:rPr>
        <w:t xml:space="preserve">separados </w:t>
      </w:r>
      <w:r w:rsidR="00656E62" w:rsidRPr="00701F32">
        <w:rPr>
          <w:rFonts w:ascii="Arial" w:eastAsia="Calibri" w:hAnsi="Arial" w:cs="Arial"/>
          <w:sz w:val="20"/>
        </w:rPr>
        <w:t xml:space="preserve">han sido aprobados por el Directorio de la Entidad en su reunión de </w:t>
      </w:r>
      <w:r w:rsidR="00656E62" w:rsidRPr="00263F0B">
        <w:rPr>
          <w:rFonts w:ascii="Arial" w:eastAsia="Calibri" w:hAnsi="Arial" w:cs="Arial"/>
          <w:sz w:val="20"/>
        </w:rPr>
        <w:t xml:space="preserve">fecha </w:t>
      </w:r>
      <w:r w:rsidR="00F60B2C">
        <w:rPr>
          <w:rFonts w:ascii="Arial" w:eastAsia="Calibri" w:hAnsi="Arial" w:cs="Arial"/>
          <w:sz w:val="20"/>
        </w:rPr>
        <w:t>19</w:t>
      </w:r>
      <w:r w:rsidR="00AA1F8A" w:rsidRPr="00347083">
        <w:rPr>
          <w:rFonts w:ascii="Arial" w:eastAsia="Calibri" w:hAnsi="Arial" w:cs="Arial"/>
          <w:sz w:val="20"/>
        </w:rPr>
        <w:t xml:space="preserve"> de </w:t>
      </w:r>
      <w:r w:rsidR="00F60B2C">
        <w:rPr>
          <w:rFonts w:ascii="Arial" w:eastAsia="Calibri" w:hAnsi="Arial" w:cs="Arial"/>
          <w:sz w:val="20"/>
        </w:rPr>
        <w:t>febrero</w:t>
      </w:r>
      <w:r w:rsidR="00AA1F8A" w:rsidRPr="00347083">
        <w:rPr>
          <w:rFonts w:ascii="Arial" w:eastAsia="Calibri" w:hAnsi="Arial" w:cs="Arial"/>
          <w:sz w:val="20"/>
        </w:rPr>
        <w:t xml:space="preserve"> de 20</w:t>
      </w:r>
      <w:r w:rsidR="00F60B2C">
        <w:rPr>
          <w:rFonts w:ascii="Arial" w:eastAsia="Calibri" w:hAnsi="Arial" w:cs="Arial"/>
          <w:sz w:val="20"/>
        </w:rPr>
        <w:t>20</w:t>
      </w:r>
      <w:r w:rsidR="00656E62" w:rsidRPr="00E447A8">
        <w:rPr>
          <w:rFonts w:ascii="Arial" w:eastAsia="Calibri" w:hAnsi="Arial" w:cs="Arial"/>
          <w:sz w:val="20"/>
        </w:rPr>
        <w:t xml:space="preserve">. </w:t>
      </w:r>
    </w:p>
    <w:p w14:paraId="46F450B0" w14:textId="148A70BB" w:rsidR="00845893" w:rsidRPr="00701F32" w:rsidRDefault="00845893" w:rsidP="00845893">
      <w:pPr>
        <w:spacing w:after="160" w:line="259" w:lineRule="auto"/>
        <w:jc w:val="both"/>
        <w:rPr>
          <w:rFonts w:ascii="Arial" w:eastAsia="Calibri" w:hAnsi="Arial" w:cs="Arial"/>
          <w:b/>
          <w:color w:val="C45911"/>
          <w:sz w:val="20"/>
        </w:rPr>
      </w:pPr>
      <w:r w:rsidRPr="00701F32">
        <w:rPr>
          <w:rFonts w:ascii="Arial" w:eastAsia="Calibri" w:hAnsi="Arial" w:cs="Arial"/>
          <w:b/>
          <w:sz w:val="20"/>
        </w:rPr>
        <w:t>1.1</w:t>
      </w:r>
      <w:r w:rsidR="005A6190">
        <w:rPr>
          <w:rFonts w:ascii="Arial" w:eastAsia="Calibri" w:hAnsi="Arial" w:cs="Arial"/>
          <w:b/>
          <w:sz w:val="20"/>
        </w:rPr>
        <w:t>.a)</w:t>
      </w:r>
      <w:r w:rsidRPr="00701F32">
        <w:rPr>
          <w:rFonts w:ascii="Arial" w:eastAsia="Calibri" w:hAnsi="Arial" w:cs="Arial"/>
          <w:b/>
          <w:sz w:val="20"/>
        </w:rPr>
        <w:t xml:space="preserve"> </w:t>
      </w:r>
      <w:r>
        <w:rPr>
          <w:rFonts w:ascii="Arial" w:eastAsia="Calibri" w:hAnsi="Arial" w:cs="Arial"/>
          <w:b/>
          <w:sz w:val="20"/>
        </w:rPr>
        <w:t>Diferencias entre el marco contable establecido por el BCRA y las NIIF</w:t>
      </w:r>
      <w:r w:rsidRPr="00701F32">
        <w:rPr>
          <w:rFonts w:ascii="Arial" w:eastAsia="Calibri" w:hAnsi="Arial" w:cs="Arial"/>
          <w:b/>
          <w:sz w:val="20"/>
        </w:rPr>
        <w:t xml:space="preserve"> </w:t>
      </w:r>
    </w:p>
    <w:p w14:paraId="25C83E17" w14:textId="77777777" w:rsidR="00845893" w:rsidRDefault="00845893" w:rsidP="00845893">
      <w:pPr>
        <w:spacing w:after="160"/>
        <w:jc w:val="both"/>
        <w:rPr>
          <w:rFonts w:ascii="Arial" w:eastAsia="Arial" w:hAnsi="Arial" w:cs="Arial"/>
          <w:sz w:val="20"/>
        </w:rPr>
      </w:pPr>
      <w:r w:rsidRPr="00701F32">
        <w:rPr>
          <w:rFonts w:ascii="Arial" w:eastAsia="Arial" w:hAnsi="Arial" w:cs="Arial"/>
          <w:sz w:val="20"/>
        </w:rPr>
        <w:t>El B.C.R.A., a través de las Comunicaciones “A” 5541 y modificatorias, estableció el plan de convergencia hacia las Normas Internacionales de Información Financiera (NIIF) emitidas por el Consejo de Normas Internacionales de Información Financiera (IASB, por sus siglas en inglés) y las interpretaciones emitidas por el Comité de Interpretaciones de Normas Internacionales de Información Financiera (CINIIF), para las entidades bajo su supervisión, para los ejercicios iniciados a partir del 1 de enero de 2018, con excepción de la aplicación del punto 5.5 “Deterioro de valor” de la NIIF 9 “Instrumentos Financieros” y de la NIC 29</w:t>
      </w:r>
      <w:r>
        <w:rPr>
          <w:rFonts w:ascii="Arial" w:eastAsia="Arial" w:hAnsi="Arial" w:cs="Arial"/>
          <w:sz w:val="20"/>
        </w:rPr>
        <w:t xml:space="preserve"> </w:t>
      </w:r>
      <w:r w:rsidRPr="00666E62">
        <w:rPr>
          <w:rFonts w:ascii="Arial" w:eastAsia="Arial" w:hAnsi="Arial" w:cs="Arial"/>
          <w:sz w:val="20"/>
        </w:rPr>
        <w:t>“Información Financiera en Economías Hiperinflacionarias”.</w:t>
      </w:r>
    </w:p>
    <w:p w14:paraId="0E02BD25" w14:textId="6B691FAC" w:rsidR="00845893" w:rsidRPr="00EA530F" w:rsidRDefault="00845893" w:rsidP="00845893">
      <w:pPr>
        <w:spacing w:after="160"/>
        <w:jc w:val="both"/>
        <w:rPr>
          <w:rFonts w:ascii="Arial" w:eastAsia="Arial" w:hAnsi="Arial" w:cs="Arial"/>
          <w:sz w:val="20"/>
        </w:rPr>
      </w:pPr>
      <w:r w:rsidRPr="00EA530F">
        <w:rPr>
          <w:rFonts w:ascii="Arial" w:eastAsia="Arial" w:hAnsi="Arial" w:cs="Arial"/>
          <w:sz w:val="20"/>
        </w:rPr>
        <w:t>(</w:t>
      </w:r>
      <w:r w:rsidR="005A6190">
        <w:rPr>
          <w:rFonts w:ascii="Arial" w:eastAsia="Arial" w:hAnsi="Arial" w:cs="Arial"/>
          <w:sz w:val="20"/>
        </w:rPr>
        <w:t>i</w:t>
      </w:r>
      <w:r w:rsidRPr="00EA530F">
        <w:rPr>
          <w:rFonts w:ascii="Arial" w:eastAsia="Arial" w:hAnsi="Arial" w:cs="Arial"/>
          <w:sz w:val="20"/>
        </w:rPr>
        <w:t>) Deterioro de valor de activos financieros</w:t>
      </w:r>
    </w:p>
    <w:p w14:paraId="1A1EDE2E" w14:textId="77777777" w:rsidR="00845893" w:rsidRDefault="00845893" w:rsidP="00845893">
      <w:pPr>
        <w:spacing w:after="160"/>
        <w:jc w:val="both"/>
        <w:rPr>
          <w:rFonts w:ascii="Arial" w:eastAsia="Arial" w:hAnsi="Arial" w:cs="Arial"/>
          <w:sz w:val="20"/>
        </w:rPr>
      </w:pPr>
      <w:r>
        <w:rPr>
          <w:rFonts w:ascii="Arial" w:eastAsia="Arial" w:hAnsi="Arial" w:cs="Arial"/>
          <w:sz w:val="20"/>
        </w:rPr>
        <w:t xml:space="preserve">De acuerdo con la Comunicación “A” 6114, para el reconocimiento de las pérdidas crediticias en los presentes estados financieros, la Entidad ha aplicado la normativa de “Previsiones mínimas por riesgo de incobrabilidad” prevista en las normas de Liquidez y Solvencia (LISOL 1) del B.C.R.A. (ver </w:t>
      </w:r>
      <w:r w:rsidRPr="005226D1">
        <w:rPr>
          <w:rFonts w:ascii="Arial" w:eastAsia="Arial" w:hAnsi="Arial" w:cs="Arial"/>
          <w:sz w:val="20"/>
        </w:rPr>
        <w:t>nota 1.13)</w:t>
      </w:r>
      <w:r>
        <w:rPr>
          <w:rFonts w:ascii="Arial" w:eastAsia="Arial" w:hAnsi="Arial" w:cs="Arial"/>
          <w:sz w:val="20"/>
        </w:rPr>
        <w:t xml:space="preserve"> </w:t>
      </w:r>
    </w:p>
    <w:p w14:paraId="2D3E44DB" w14:textId="77777777" w:rsidR="00845893" w:rsidRDefault="00845893" w:rsidP="00845893">
      <w:pPr>
        <w:spacing w:after="160"/>
        <w:jc w:val="both"/>
        <w:rPr>
          <w:rFonts w:ascii="Arial" w:eastAsia="Arial" w:hAnsi="Arial" w:cs="Arial"/>
          <w:sz w:val="20"/>
        </w:rPr>
      </w:pPr>
      <w:r>
        <w:rPr>
          <w:rFonts w:ascii="Arial" w:eastAsia="Arial" w:hAnsi="Arial" w:cs="Arial"/>
          <w:sz w:val="20"/>
        </w:rPr>
        <w:t>La NIIF 9 prevé un modelo de pérdidas crediticias esperadas, por el cual se clasifican los activos financieros en tres etapas de deterioro, basado en los cambios en la calidad crediticia desde su reconocimiento inicial, que dictan como una entidad mide las pérdidas por deterioro y aplica el método del interés efectivo.</w:t>
      </w:r>
    </w:p>
    <w:p w14:paraId="48E45D99" w14:textId="77777777" w:rsidR="00845893" w:rsidRDefault="00845893" w:rsidP="00845893">
      <w:pPr>
        <w:spacing w:after="160"/>
        <w:jc w:val="both"/>
        <w:rPr>
          <w:rFonts w:ascii="Arial" w:eastAsia="Arial" w:hAnsi="Arial" w:cs="Arial"/>
          <w:sz w:val="20"/>
        </w:rPr>
      </w:pPr>
      <w:r>
        <w:rPr>
          <w:rFonts w:ascii="Arial" w:eastAsia="Arial" w:hAnsi="Arial" w:cs="Arial"/>
          <w:sz w:val="20"/>
        </w:rPr>
        <w:t>De aplicarse el modelo de deterioro previsto en el punto 5.5 de la NIIF 9, el patrimonio de la Entidad y sus resultados, diferirían significativamente de los saldos reportados actualmente.</w:t>
      </w:r>
    </w:p>
    <w:p w14:paraId="7BE7A0D4" w14:textId="77777777" w:rsidR="00845893" w:rsidRDefault="00845893" w:rsidP="00845893">
      <w:pPr>
        <w:spacing w:after="160"/>
        <w:jc w:val="both"/>
        <w:rPr>
          <w:rFonts w:ascii="Arial" w:eastAsia="Arial" w:hAnsi="Arial" w:cs="Arial"/>
          <w:sz w:val="20"/>
        </w:rPr>
      </w:pPr>
    </w:p>
    <w:p w14:paraId="09021DD5" w14:textId="11A12BD0" w:rsidR="00AB5BFB" w:rsidRDefault="00AB5BFB" w:rsidP="00063516">
      <w:pPr>
        <w:spacing w:after="160"/>
        <w:jc w:val="both"/>
        <w:rPr>
          <w:rFonts w:ascii="Arial" w:eastAsia="Arial" w:hAnsi="Arial" w:cs="Arial"/>
          <w:sz w:val="20"/>
        </w:rPr>
      </w:pPr>
    </w:p>
    <w:p w14:paraId="4A3CB80D" w14:textId="6F1A75B8" w:rsidR="00063516" w:rsidRPr="00E446C3" w:rsidRDefault="00063516" w:rsidP="00E446C3">
      <w:pPr>
        <w:spacing w:after="160"/>
        <w:jc w:val="both"/>
        <w:rPr>
          <w:rFonts w:ascii="Arial" w:eastAsia="Arial" w:hAnsi="Arial" w:cs="Arial"/>
          <w:sz w:val="20"/>
        </w:rPr>
      </w:pPr>
      <w:r w:rsidRPr="00EA530F">
        <w:rPr>
          <w:rFonts w:ascii="Arial" w:eastAsia="Arial" w:hAnsi="Arial" w:cs="Arial"/>
          <w:sz w:val="20"/>
        </w:rPr>
        <w:t>(</w:t>
      </w:r>
      <w:r w:rsidR="005A6190">
        <w:rPr>
          <w:rFonts w:ascii="Arial" w:eastAsia="Arial" w:hAnsi="Arial" w:cs="Arial"/>
          <w:sz w:val="20"/>
        </w:rPr>
        <w:t>ii</w:t>
      </w:r>
      <w:r w:rsidRPr="00EA530F">
        <w:rPr>
          <w:rFonts w:ascii="Arial" w:eastAsia="Arial" w:hAnsi="Arial" w:cs="Arial"/>
          <w:sz w:val="20"/>
        </w:rPr>
        <w:t xml:space="preserve">) Reexpresión por inflación de los estados financieros </w:t>
      </w:r>
    </w:p>
    <w:p w14:paraId="009D9B4B" w14:textId="7E0B5751" w:rsidR="005367BE" w:rsidRPr="00701F32" w:rsidRDefault="005367BE" w:rsidP="005367BE">
      <w:pPr>
        <w:autoSpaceDE w:val="0"/>
        <w:autoSpaceDN w:val="0"/>
        <w:adjustRightInd w:val="0"/>
        <w:jc w:val="both"/>
        <w:rPr>
          <w:rFonts w:ascii="Arial" w:hAnsi="Arial" w:cs="Arial"/>
          <w:sz w:val="20"/>
        </w:rPr>
      </w:pPr>
      <w:r w:rsidRPr="00701F32">
        <w:rPr>
          <w:rFonts w:ascii="Arial" w:hAnsi="Arial" w:cs="Arial"/>
          <w:sz w:val="20"/>
        </w:rPr>
        <w:t xml:space="preserve">La NIC 29 “Información financiera en economías hiperinflacionarias” requiere que los estados financieros de una entidad, cuya moneda funcional sea la de una economía de alta inflación, </w:t>
      </w:r>
      <w:r w:rsidR="00063516">
        <w:rPr>
          <w:rFonts w:ascii="Arial" w:hAnsi="Arial" w:cs="Arial"/>
          <w:sz w:val="20"/>
        </w:rPr>
        <w:t>se expresen</w:t>
      </w:r>
      <w:r w:rsidRPr="00701F32">
        <w:rPr>
          <w:rFonts w:ascii="Arial" w:hAnsi="Arial" w:cs="Arial"/>
          <w:sz w:val="20"/>
        </w:rPr>
        <w:t xml:space="preserve"> en términos de la unidad de medida corriente a la fecha de cierre del </w:t>
      </w:r>
      <w:r w:rsidR="00EA348A">
        <w:rPr>
          <w:rFonts w:ascii="Arial" w:hAnsi="Arial" w:cs="Arial"/>
          <w:sz w:val="20"/>
        </w:rPr>
        <w:t>ejercicio</w:t>
      </w:r>
      <w:r w:rsidRPr="00701F32">
        <w:rPr>
          <w:rFonts w:ascii="Arial" w:hAnsi="Arial" w:cs="Arial"/>
          <w:sz w:val="20"/>
        </w:rPr>
        <w:t xml:space="preserve"> sobre el que se informa, independientemente de si están basados en el método del costo histórico o en el método del costo corriente. Para ello, en términos generales, se debe computar en las partidas no monetarias la inflación producida desde la fecha de adquisición o desde la fecha de revaluación según corresponda. Dichos requerimientos también comprenden a la información comparativa de los estados financieros. </w:t>
      </w:r>
    </w:p>
    <w:p w14:paraId="395B32AF" w14:textId="77777777" w:rsidR="005367BE" w:rsidRPr="00701F32" w:rsidRDefault="005367BE" w:rsidP="005367BE">
      <w:pPr>
        <w:autoSpaceDE w:val="0"/>
        <w:autoSpaceDN w:val="0"/>
        <w:adjustRightInd w:val="0"/>
        <w:jc w:val="both"/>
        <w:rPr>
          <w:rFonts w:ascii="Arial" w:hAnsi="Arial" w:cs="Arial"/>
          <w:sz w:val="20"/>
        </w:rPr>
      </w:pPr>
    </w:p>
    <w:p w14:paraId="7AB44461" w14:textId="07FB4E56" w:rsidR="005367BE" w:rsidRPr="00701F32" w:rsidRDefault="005367BE" w:rsidP="005367BE">
      <w:pPr>
        <w:autoSpaceDE w:val="0"/>
        <w:autoSpaceDN w:val="0"/>
        <w:adjustRightInd w:val="0"/>
        <w:jc w:val="both"/>
        <w:rPr>
          <w:rFonts w:ascii="Arial" w:hAnsi="Arial" w:cs="Arial"/>
          <w:sz w:val="20"/>
        </w:rPr>
      </w:pPr>
      <w:r w:rsidRPr="00701F32">
        <w:rPr>
          <w:rFonts w:ascii="Arial" w:hAnsi="Arial" w:cs="Arial"/>
          <w:sz w:val="20"/>
        </w:rPr>
        <w:t>A los efectos de concluir sobre si una economía es categorizada como de alta inflación en los términos de la NIC 29, la norma detalla una serie de factores a considerar entre los que se incluye una tasa acumulada de inflación en tres años que se aproxime o exceda el 100</w:t>
      </w:r>
      <w:r w:rsidR="00264D63">
        <w:rPr>
          <w:rFonts w:ascii="Arial" w:hAnsi="Arial" w:cs="Arial"/>
          <w:sz w:val="20"/>
        </w:rPr>
        <w:t>%</w:t>
      </w:r>
      <w:r w:rsidR="00063516">
        <w:rPr>
          <w:rFonts w:ascii="Arial" w:hAnsi="Arial" w:cs="Arial"/>
          <w:sz w:val="20"/>
        </w:rPr>
        <w:t xml:space="preserve">. </w:t>
      </w:r>
      <w:r w:rsidRPr="00701F32">
        <w:rPr>
          <w:rFonts w:ascii="Arial" w:hAnsi="Arial" w:cs="Arial"/>
          <w:sz w:val="20"/>
        </w:rPr>
        <w:t xml:space="preserve">Es por esta razón que, de acuerdo con la NIC 29, la economía argentina debe ser considerada como de alta inflación a partir del 1° de julio de 2018. </w:t>
      </w:r>
    </w:p>
    <w:p w14:paraId="3CD9AAE0" w14:textId="77777777" w:rsidR="005367BE" w:rsidRPr="00701F32" w:rsidRDefault="005367BE" w:rsidP="005367BE">
      <w:pPr>
        <w:autoSpaceDE w:val="0"/>
        <w:autoSpaceDN w:val="0"/>
        <w:adjustRightInd w:val="0"/>
        <w:jc w:val="both"/>
        <w:rPr>
          <w:rFonts w:ascii="Arial" w:hAnsi="Arial" w:cs="Arial"/>
          <w:sz w:val="20"/>
        </w:rPr>
      </w:pPr>
    </w:p>
    <w:p w14:paraId="2CEC17C9" w14:textId="3A9E6C86" w:rsidR="005367BE" w:rsidRDefault="005367BE">
      <w:pPr>
        <w:autoSpaceDE w:val="0"/>
        <w:autoSpaceDN w:val="0"/>
        <w:adjustRightInd w:val="0"/>
        <w:jc w:val="both"/>
        <w:rPr>
          <w:rFonts w:ascii="Arial" w:hAnsi="Arial" w:cs="Arial"/>
          <w:sz w:val="20"/>
        </w:rPr>
      </w:pPr>
      <w:r w:rsidRPr="00701F32">
        <w:rPr>
          <w:rFonts w:ascii="Arial" w:hAnsi="Arial" w:cs="Arial"/>
          <w:sz w:val="20"/>
        </w:rPr>
        <w:t xml:space="preserve">Resumidamente, el mecanismo de reexpresión de la NIC 29 establece que los activos y pasivos monetarios no serán reexpresados dado que ya se encuentran expresados en la unidad de medida corriente al cierre del </w:t>
      </w:r>
      <w:r w:rsidR="00835461">
        <w:rPr>
          <w:rFonts w:ascii="Arial" w:hAnsi="Arial" w:cs="Arial"/>
          <w:sz w:val="20"/>
        </w:rPr>
        <w:t>ejercicio</w:t>
      </w:r>
      <w:r w:rsidRPr="00701F32">
        <w:rPr>
          <w:rFonts w:ascii="Arial" w:hAnsi="Arial" w:cs="Arial"/>
          <w:sz w:val="20"/>
        </w:rPr>
        <w:t xml:space="preserve"> sobre el que se informa. Los activos y pasivos sujetos a ajustes en función a acuerdos específicos, se ajustarán en función a tales acuerdos. Las partidas no monetarias medidas a sus valores corrientes al final del </w:t>
      </w:r>
      <w:r w:rsidR="00835461">
        <w:rPr>
          <w:rFonts w:ascii="Arial" w:hAnsi="Arial" w:cs="Arial"/>
          <w:sz w:val="20"/>
        </w:rPr>
        <w:t>ejercicio</w:t>
      </w:r>
      <w:r w:rsidRPr="00701F32">
        <w:rPr>
          <w:rFonts w:ascii="Arial" w:hAnsi="Arial" w:cs="Arial"/>
          <w:sz w:val="20"/>
        </w:rPr>
        <w:t xml:space="preserve"> sobre el que se informa, tales como el valor neto de realización u otros, no </w:t>
      </w:r>
      <w:r w:rsidR="00063516">
        <w:rPr>
          <w:rFonts w:ascii="Arial" w:hAnsi="Arial" w:cs="Arial"/>
          <w:sz w:val="20"/>
        </w:rPr>
        <w:t>serán reexpresadas</w:t>
      </w:r>
      <w:r w:rsidRPr="00701F32">
        <w:rPr>
          <w:rFonts w:ascii="Arial" w:hAnsi="Arial" w:cs="Arial"/>
          <w:sz w:val="20"/>
        </w:rPr>
        <w:t xml:space="preserve">. Los restantes activos y pasivos no monetarios serán reexpresados por un índice general de precios. La pérdida o ganancia por la posición monetaria neta, se incluirá en el resultado neto del </w:t>
      </w:r>
      <w:r w:rsidR="00EA348A">
        <w:rPr>
          <w:rFonts w:ascii="Arial" w:hAnsi="Arial" w:cs="Arial"/>
          <w:sz w:val="20"/>
        </w:rPr>
        <w:t>ejercicio</w:t>
      </w:r>
      <w:r w:rsidRPr="00701F32">
        <w:rPr>
          <w:rFonts w:ascii="Arial" w:hAnsi="Arial" w:cs="Arial"/>
          <w:sz w:val="20"/>
        </w:rPr>
        <w:t xml:space="preserve"> que se informa, revelando esta información en una partida separada.</w:t>
      </w:r>
    </w:p>
    <w:p w14:paraId="208FDAE4" w14:textId="77777777" w:rsidR="00063516" w:rsidRDefault="00063516">
      <w:pPr>
        <w:autoSpaceDE w:val="0"/>
        <w:autoSpaceDN w:val="0"/>
        <w:adjustRightInd w:val="0"/>
        <w:jc w:val="both"/>
        <w:rPr>
          <w:rFonts w:ascii="Arial" w:hAnsi="Arial" w:cs="Arial"/>
          <w:sz w:val="20"/>
        </w:rPr>
      </w:pPr>
    </w:p>
    <w:p w14:paraId="7971F874" w14:textId="77777777" w:rsidR="00AB5BFB" w:rsidRDefault="00BA2AE4" w:rsidP="00E446C3">
      <w:pPr>
        <w:spacing w:after="160"/>
        <w:jc w:val="both"/>
        <w:rPr>
          <w:rFonts w:ascii="Arial" w:eastAsia="Arial" w:hAnsi="Arial" w:cs="Arial"/>
          <w:sz w:val="20"/>
        </w:rPr>
      </w:pPr>
      <w:r w:rsidRPr="00BA2AE4">
        <w:rPr>
          <w:rFonts w:ascii="Arial" w:eastAsia="Arial" w:hAnsi="Arial" w:cs="Arial"/>
          <w:sz w:val="20"/>
        </w:rPr>
        <w:t>Mediante la Comunicación “A” 6651, el B.C.R.A. estableció que las Entidades Financieras deberán comenzar a aplicar las disposiciones en materia de reexpresión por inflación de los estados financieros a partir de los ejercicios iniciados el 1 de enero de 2020. Por lo tanto, no se ha aplicado la NIC 29 en los presentes estados financieros</w:t>
      </w:r>
      <w:r>
        <w:rPr>
          <w:rFonts w:ascii="Arial" w:eastAsia="Arial" w:hAnsi="Arial" w:cs="Arial"/>
          <w:sz w:val="20"/>
        </w:rPr>
        <w:t xml:space="preserve"> separados. </w:t>
      </w:r>
    </w:p>
    <w:p w14:paraId="49CD1F11" w14:textId="20539B29" w:rsidR="00063516" w:rsidRPr="00E446C3" w:rsidRDefault="00685A91" w:rsidP="00066653">
      <w:pPr>
        <w:autoSpaceDE w:val="0"/>
        <w:autoSpaceDN w:val="0"/>
        <w:adjustRightInd w:val="0"/>
        <w:jc w:val="both"/>
        <w:rPr>
          <w:rFonts w:ascii="Arial" w:eastAsia="Arial" w:hAnsi="Arial" w:cs="Arial"/>
          <w:sz w:val="20"/>
        </w:rPr>
      </w:pPr>
      <w:r w:rsidRPr="003D4ED0">
        <w:rPr>
          <w:rFonts w:ascii="Arial" w:eastAsia="Arial" w:hAnsi="Arial" w:cs="Arial"/>
          <w:sz w:val="20"/>
        </w:rPr>
        <w:t xml:space="preserve">La aplicación de la NIC 29 “Información Financiera en economías hiperinflacionarias” tiene efectos generalizados en los estados financieros condensados intermedios </w:t>
      </w:r>
      <w:r w:rsidR="006D010A">
        <w:rPr>
          <w:rFonts w:ascii="Arial" w:eastAsia="Arial" w:hAnsi="Arial" w:cs="Arial"/>
          <w:sz w:val="20"/>
        </w:rPr>
        <w:t>separados</w:t>
      </w:r>
      <w:r w:rsidRPr="003D4ED0">
        <w:rPr>
          <w:rFonts w:ascii="Arial" w:eastAsia="Arial" w:hAnsi="Arial" w:cs="Arial"/>
          <w:sz w:val="20"/>
        </w:rPr>
        <w:t xml:space="preserve">, por lo que los saldos reportados se verían significativamente afectados, ascendiendo el patrimonio del </w:t>
      </w:r>
      <w:r>
        <w:rPr>
          <w:rFonts w:ascii="Arial" w:eastAsia="Arial" w:hAnsi="Arial" w:cs="Arial"/>
          <w:sz w:val="20"/>
        </w:rPr>
        <w:t>Banco</w:t>
      </w:r>
      <w:r w:rsidRPr="003D4ED0">
        <w:rPr>
          <w:rFonts w:ascii="Arial" w:eastAsia="Arial" w:hAnsi="Arial" w:cs="Arial"/>
          <w:sz w:val="20"/>
        </w:rPr>
        <w:t xml:space="preserve"> y sus resultados integrales al 3</w:t>
      </w:r>
      <w:r w:rsidR="00F60B2C">
        <w:rPr>
          <w:rFonts w:ascii="Arial" w:eastAsia="Arial" w:hAnsi="Arial" w:cs="Arial"/>
          <w:sz w:val="20"/>
        </w:rPr>
        <w:t>1</w:t>
      </w:r>
      <w:r w:rsidRPr="003D4ED0">
        <w:rPr>
          <w:rFonts w:ascii="Arial" w:eastAsia="Arial" w:hAnsi="Arial" w:cs="Arial"/>
          <w:sz w:val="20"/>
        </w:rPr>
        <w:t xml:space="preserve"> de </w:t>
      </w:r>
      <w:r w:rsidR="00F60B2C">
        <w:rPr>
          <w:rFonts w:ascii="Arial" w:eastAsia="Arial" w:hAnsi="Arial" w:cs="Arial"/>
          <w:sz w:val="20"/>
        </w:rPr>
        <w:t>diciembre</w:t>
      </w:r>
      <w:r w:rsidRPr="003D4ED0">
        <w:rPr>
          <w:rFonts w:ascii="Arial" w:eastAsia="Arial" w:hAnsi="Arial" w:cs="Arial"/>
          <w:sz w:val="20"/>
        </w:rPr>
        <w:t xml:space="preserve"> de 2019 aproximadamente a</w:t>
      </w:r>
      <w:r>
        <w:rPr>
          <w:rFonts w:ascii="Arial" w:eastAsia="Arial" w:hAnsi="Arial" w:cs="Arial"/>
          <w:sz w:val="20"/>
        </w:rPr>
        <w:t xml:space="preserve"> </w:t>
      </w:r>
      <w:r w:rsidR="00337E57" w:rsidRPr="0081168D">
        <w:rPr>
          <w:rFonts w:ascii="Arial" w:eastAsia="Arial" w:hAnsi="Arial" w:cs="Arial"/>
          <w:sz w:val="20"/>
        </w:rPr>
        <w:t>$ 18.87</w:t>
      </w:r>
      <w:r w:rsidR="009D41E1">
        <w:rPr>
          <w:rFonts w:ascii="Arial" w:eastAsia="Arial" w:hAnsi="Arial" w:cs="Arial"/>
          <w:sz w:val="20"/>
        </w:rPr>
        <w:t>8 millones</w:t>
      </w:r>
      <w:r w:rsidR="00337E57" w:rsidRPr="0081168D">
        <w:rPr>
          <w:rFonts w:ascii="Arial" w:eastAsia="Arial" w:hAnsi="Arial" w:cs="Arial"/>
          <w:sz w:val="20"/>
        </w:rPr>
        <w:t xml:space="preserve"> y $ -</w:t>
      </w:r>
      <w:r w:rsidR="00337E57" w:rsidRPr="00337E57">
        <w:rPr>
          <w:rFonts w:ascii="Arial" w:eastAsia="Arial" w:hAnsi="Arial" w:cs="Arial"/>
          <w:sz w:val="20"/>
        </w:rPr>
        <w:t>2.557</w:t>
      </w:r>
      <w:r w:rsidR="009D41E1">
        <w:rPr>
          <w:rFonts w:ascii="Arial" w:eastAsia="Arial" w:hAnsi="Arial" w:cs="Arial"/>
          <w:sz w:val="20"/>
        </w:rPr>
        <w:t xml:space="preserve"> millones</w:t>
      </w:r>
      <w:r w:rsidRPr="003D4ED0">
        <w:rPr>
          <w:rFonts w:ascii="Arial" w:eastAsia="Arial" w:hAnsi="Arial" w:cs="Arial"/>
          <w:sz w:val="20"/>
        </w:rPr>
        <w:t>, respectivamente.</w:t>
      </w:r>
    </w:p>
    <w:p w14:paraId="51F71813" w14:textId="044803ED" w:rsidR="00063516" w:rsidRDefault="00063516">
      <w:pPr>
        <w:autoSpaceDE w:val="0"/>
        <w:autoSpaceDN w:val="0"/>
        <w:adjustRightInd w:val="0"/>
        <w:jc w:val="both"/>
        <w:rPr>
          <w:rFonts w:ascii="Arial" w:hAnsi="Arial" w:cs="Arial"/>
          <w:sz w:val="20"/>
        </w:rPr>
      </w:pPr>
    </w:p>
    <w:p w14:paraId="67D16C3A" w14:textId="3CF345C5" w:rsidR="00845893" w:rsidRDefault="005A6190" w:rsidP="00845893">
      <w:pPr>
        <w:jc w:val="both"/>
        <w:rPr>
          <w:rFonts w:ascii="Georgia" w:hAnsi="Georgia"/>
          <w:b/>
          <w:bCs/>
          <w:sz w:val="20"/>
        </w:rPr>
      </w:pPr>
      <w:r>
        <w:rPr>
          <w:rFonts w:ascii="Arial" w:eastAsia="Arial" w:hAnsi="Arial" w:cs="Arial"/>
          <w:b/>
          <w:bCs/>
          <w:sz w:val="20"/>
        </w:rPr>
        <w:t xml:space="preserve">1.1.b) </w:t>
      </w:r>
      <w:r w:rsidR="00845893">
        <w:rPr>
          <w:rFonts w:ascii="Arial" w:eastAsia="Arial" w:hAnsi="Arial" w:cs="Arial"/>
          <w:b/>
          <w:bCs/>
          <w:sz w:val="20"/>
        </w:rPr>
        <w:t>Modificaciones al marco contable establecido por el BCRA a efectuarse a partir del 1</w:t>
      </w:r>
      <w:r w:rsidR="00011E62">
        <w:rPr>
          <w:rFonts w:ascii="Arial" w:eastAsia="Arial" w:hAnsi="Arial" w:cs="Arial"/>
          <w:b/>
          <w:bCs/>
          <w:sz w:val="20"/>
        </w:rPr>
        <w:t>/0</w:t>
      </w:r>
      <w:r w:rsidR="00845893">
        <w:rPr>
          <w:rFonts w:ascii="Arial" w:eastAsia="Arial" w:hAnsi="Arial" w:cs="Arial"/>
          <w:b/>
          <w:bCs/>
          <w:sz w:val="20"/>
        </w:rPr>
        <w:t>1</w:t>
      </w:r>
      <w:r w:rsidR="00011E62">
        <w:rPr>
          <w:rFonts w:ascii="Arial" w:eastAsia="Arial" w:hAnsi="Arial" w:cs="Arial"/>
          <w:b/>
          <w:bCs/>
          <w:sz w:val="20"/>
        </w:rPr>
        <w:t>/</w:t>
      </w:r>
      <w:r w:rsidR="00845893">
        <w:rPr>
          <w:rFonts w:ascii="Arial" w:eastAsia="Arial" w:hAnsi="Arial" w:cs="Arial"/>
          <w:b/>
          <w:bCs/>
          <w:sz w:val="20"/>
        </w:rPr>
        <w:t>2020</w:t>
      </w:r>
    </w:p>
    <w:p w14:paraId="6831DEE2" w14:textId="77777777" w:rsidR="00845893" w:rsidRDefault="00845893" w:rsidP="00845893">
      <w:pPr>
        <w:rPr>
          <w:rFonts w:ascii="Georgia" w:hAnsi="Georgia"/>
          <w:b/>
          <w:bCs/>
          <w:sz w:val="20"/>
        </w:rPr>
      </w:pPr>
    </w:p>
    <w:p w14:paraId="5C4080EE" w14:textId="6D28174A" w:rsidR="00845893" w:rsidRDefault="00845893" w:rsidP="00845893">
      <w:pPr>
        <w:jc w:val="both"/>
        <w:rPr>
          <w:rFonts w:ascii="Arial" w:eastAsia="Arial" w:hAnsi="Arial" w:cs="Arial"/>
          <w:sz w:val="20"/>
        </w:rPr>
      </w:pPr>
      <w:r>
        <w:rPr>
          <w:rFonts w:ascii="Arial" w:eastAsia="Arial" w:hAnsi="Arial" w:cs="Arial"/>
          <w:sz w:val="20"/>
        </w:rPr>
        <w:t>La Comunicación “A” 6651</w:t>
      </w:r>
      <w:r>
        <w:rPr>
          <w:rFonts w:ascii="Georgia" w:hAnsi="Georgia"/>
          <w:sz w:val="20"/>
        </w:rPr>
        <w:t xml:space="preserve"> </w:t>
      </w:r>
      <w:r>
        <w:rPr>
          <w:rFonts w:ascii="Arial" w:eastAsia="Arial" w:hAnsi="Arial" w:cs="Arial"/>
          <w:sz w:val="20"/>
        </w:rPr>
        <w:t xml:space="preserve">estableció que las Entidades Financieras deberán comenzar a aplicar las disposiciones en materia de reexpresión por inflación de los estados financieros a partir de los ejercicios iniciados el 1 de enero de 2020. La Comunicación “A” 6849 incluyó los lineamientos para aplicar el procedimiento de reexpresión de estados financieros establecido por la NIC 29, incluyendo el procedimiento para la reexpresión de los estados financieros comparativos. El impacto generado por la aplicación de esta normativa se encuentra descripto en </w:t>
      </w:r>
      <w:r w:rsidR="005A6190">
        <w:rPr>
          <w:rFonts w:ascii="Arial" w:eastAsia="Arial" w:hAnsi="Arial" w:cs="Arial"/>
          <w:sz w:val="20"/>
        </w:rPr>
        <w:t>la nota 1.1.a)(i)</w:t>
      </w:r>
      <w:r>
        <w:rPr>
          <w:rFonts w:ascii="Arial" w:eastAsia="Arial" w:hAnsi="Arial" w:cs="Arial"/>
          <w:sz w:val="20"/>
        </w:rPr>
        <w:t>.</w:t>
      </w:r>
    </w:p>
    <w:p w14:paraId="319F1BD4" w14:textId="77777777" w:rsidR="00845893" w:rsidRDefault="00845893" w:rsidP="00845893">
      <w:pPr>
        <w:jc w:val="both"/>
        <w:rPr>
          <w:rFonts w:ascii="Arial" w:eastAsia="Arial" w:hAnsi="Arial" w:cs="Arial"/>
          <w:sz w:val="20"/>
        </w:rPr>
      </w:pPr>
    </w:p>
    <w:p w14:paraId="3FFB6709" w14:textId="72F789B4" w:rsidR="00845893" w:rsidRDefault="00845893" w:rsidP="00845893">
      <w:pPr>
        <w:jc w:val="both"/>
        <w:rPr>
          <w:rFonts w:ascii="Arial" w:eastAsia="Arial" w:hAnsi="Arial" w:cs="Arial"/>
          <w:sz w:val="20"/>
        </w:rPr>
      </w:pPr>
      <w:r>
        <w:rPr>
          <w:rFonts w:ascii="Arial" w:eastAsia="Arial" w:hAnsi="Arial" w:cs="Arial"/>
          <w:sz w:val="20"/>
        </w:rPr>
        <w:t>Adicionalmente la Comunicación “A” 6430 estableció que deberán comenzar a aplicarse las disposiciones en materia de Deterioro de Activos Financiero</w:t>
      </w:r>
      <w:r w:rsidR="001D52FB">
        <w:rPr>
          <w:rFonts w:ascii="Arial" w:eastAsia="Arial" w:hAnsi="Arial" w:cs="Arial"/>
          <w:sz w:val="20"/>
        </w:rPr>
        <w:t>s</w:t>
      </w:r>
      <w:r>
        <w:rPr>
          <w:rFonts w:ascii="Arial" w:eastAsia="Arial" w:hAnsi="Arial" w:cs="Arial"/>
          <w:sz w:val="20"/>
        </w:rPr>
        <w:t xml:space="preserve"> contenidas en el punto 5.5 de la NIIF 9 a partir de los ejercicios iniciados el 01.01.2020. Posteriormente la Comunicación “A” 6778 estableció que las entidades del Grupo “B” podrán prorratear en 5 años el impacto que genere la aplicación de dicha norma, mientras que las entidades del Grupo “A” no contarán con dicha dispensa. La Comunicación “A” 6847 dispuso que los instrumentos de deuda del Sector Público No Financiero serán excluidos transitoriamente del alcance de aplicación de la NIIF 9, por lo que no serán alcanzados por las disposiciones en materia de deterioro de activos financiero</w:t>
      </w:r>
      <w:r w:rsidR="001D52FB">
        <w:rPr>
          <w:rFonts w:ascii="Arial" w:eastAsia="Arial" w:hAnsi="Arial" w:cs="Arial"/>
          <w:sz w:val="20"/>
        </w:rPr>
        <w:t>s</w:t>
      </w:r>
      <w:r>
        <w:rPr>
          <w:rFonts w:ascii="Arial" w:eastAsia="Arial" w:hAnsi="Arial" w:cs="Arial"/>
          <w:sz w:val="20"/>
        </w:rPr>
        <w:t>. Adicionalmente se estableció que se permitirá que al 01/01/2020 las entidades financieras recategoricen los instrumentos correspondientes al sector público no financiero que se encuentren medidos a valor razonable con cambios en resultados y a valor razonable con cambios en ORI al criterio de costo amortizado, utilizando como valor de incorporación el valor contable a dicha fecha. Respecto de los instrumentos para los cuales se haya ejercido esta opción, se interrumpirá el devengamiento de intereses y accesorios en la medida en que el valor contable esté por encima de su valor razonable.</w:t>
      </w:r>
    </w:p>
    <w:p w14:paraId="2AACA800" w14:textId="77777777" w:rsidR="00845893" w:rsidRDefault="00845893" w:rsidP="00845893">
      <w:pPr>
        <w:jc w:val="both"/>
        <w:rPr>
          <w:rFonts w:ascii="Arial" w:eastAsia="Arial" w:hAnsi="Arial" w:cs="Arial"/>
          <w:sz w:val="20"/>
        </w:rPr>
      </w:pPr>
    </w:p>
    <w:p w14:paraId="3CB5D8C6" w14:textId="2688FFE0" w:rsidR="00845893" w:rsidRDefault="00845893" w:rsidP="00845893">
      <w:pPr>
        <w:jc w:val="both"/>
        <w:rPr>
          <w:rFonts w:ascii="Arial" w:eastAsia="Arial" w:hAnsi="Arial" w:cs="Arial"/>
          <w:sz w:val="20"/>
        </w:rPr>
      </w:pPr>
      <w:r>
        <w:rPr>
          <w:rFonts w:ascii="Arial" w:eastAsia="Arial" w:hAnsi="Arial" w:cs="Arial"/>
          <w:sz w:val="20"/>
        </w:rPr>
        <w:t xml:space="preserve">De aplicarse el modelo de deterioro previsto en el </w:t>
      </w:r>
      <w:r w:rsidR="001D52FB">
        <w:rPr>
          <w:rFonts w:ascii="Arial" w:eastAsia="Arial" w:hAnsi="Arial" w:cs="Arial"/>
          <w:sz w:val="20"/>
        </w:rPr>
        <w:t xml:space="preserve">nuevo </w:t>
      </w:r>
      <w:r>
        <w:rPr>
          <w:rFonts w:ascii="Arial" w:eastAsia="Arial" w:hAnsi="Arial" w:cs="Arial"/>
          <w:sz w:val="20"/>
        </w:rPr>
        <w:t xml:space="preserve">marco contable establecido por el BCRA, se hubiese registrado una disminución del patrimonio neto de la Entidad al 31 de diciembre de 2019 y una disminución de sus resultados de </w:t>
      </w:r>
      <w:r w:rsidRPr="009D41E1">
        <w:rPr>
          <w:rFonts w:ascii="Arial" w:eastAsia="Arial" w:hAnsi="Arial" w:cs="Arial"/>
          <w:sz w:val="20"/>
        </w:rPr>
        <w:t xml:space="preserve">aproximadamente </w:t>
      </w:r>
      <w:r w:rsidRPr="006E1AF7">
        <w:rPr>
          <w:rFonts w:ascii="Arial" w:eastAsia="Arial" w:hAnsi="Arial" w:cs="Arial"/>
          <w:sz w:val="20"/>
        </w:rPr>
        <w:t>$</w:t>
      </w:r>
      <w:r w:rsidR="009D41E1" w:rsidRPr="006E1AF7">
        <w:rPr>
          <w:rFonts w:ascii="Arial" w:eastAsia="Arial" w:hAnsi="Arial" w:cs="Arial"/>
          <w:sz w:val="20"/>
        </w:rPr>
        <w:t xml:space="preserve"> 75</w:t>
      </w:r>
      <w:r w:rsidRPr="006E1AF7">
        <w:rPr>
          <w:rFonts w:ascii="Arial" w:eastAsia="Arial" w:hAnsi="Arial" w:cs="Arial"/>
          <w:sz w:val="20"/>
        </w:rPr>
        <w:t xml:space="preserve"> millones</w:t>
      </w:r>
      <w:r w:rsidRPr="009D41E1">
        <w:rPr>
          <w:rFonts w:ascii="Arial" w:eastAsia="Arial" w:hAnsi="Arial" w:cs="Arial"/>
          <w:sz w:val="20"/>
        </w:rPr>
        <w:t>.</w:t>
      </w:r>
    </w:p>
    <w:p w14:paraId="2749F66D" w14:textId="77777777" w:rsidR="00845893" w:rsidRDefault="00845893" w:rsidP="00845893">
      <w:pPr>
        <w:jc w:val="both"/>
        <w:rPr>
          <w:rFonts w:ascii="Arial" w:eastAsia="Arial" w:hAnsi="Arial" w:cs="Arial"/>
          <w:sz w:val="20"/>
        </w:rPr>
      </w:pPr>
    </w:p>
    <w:p w14:paraId="59CB5038" w14:textId="474DB444" w:rsidR="00845893" w:rsidRDefault="00845893" w:rsidP="00845893">
      <w:pPr>
        <w:autoSpaceDE w:val="0"/>
        <w:autoSpaceDN w:val="0"/>
        <w:adjustRightInd w:val="0"/>
        <w:jc w:val="both"/>
        <w:rPr>
          <w:rFonts w:ascii="Arial" w:eastAsia="Arial" w:hAnsi="Arial" w:cs="Arial"/>
          <w:sz w:val="20"/>
        </w:rPr>
      </w:pPr>
      <w:r>
        <w:rPr>
          <w:rFonts w:ascii="Arial" w:eastAsia="Arial" w:hAnsi="Arial" w:cs="Arial"/>
          <w:sz w:val="20"/>
        </w:rPr>
        <w:t xml:space="preserve">Asimismo la Comunicación “A” 6851 aclaró que las normas sobre "Previsiones mínimas por riesgo de incobrabilidad" mantendrán un alcance "regulatorio", sin perjuicio de que los estados contables de las entidades financieras se ajustarán a las Normas Internacionales de Información Financiera (NIIF).Transitoriamente, las entidades financieras deberán deducir de su responsabilidad patrimonial computable (RPC) la diferencia positiva entre la previsión "regulatoria" calculada según las normas sobre "Previsiones mínimas por riesgo de incobrabilidad" o la contable correspondiente al último ejercicio cerrado al momento de difusión de esta comunicación </w:t>
      </w:r>
      <w:r>
        <w:rPr>
          <w:rFonts w:ascii="Arial" w:eastAsia="Arial" w:hAnsi="Arial" w:cs="Arial"/>
          <w:sz w:val="20"/>
        </w:rPr>
        <w:softHyphen/>
        <w:t>la mayor de ambas</w:t>
      </w:r>
      <w:r>
        <w:rPr>
          <w:rFonts w:ascii="Arial" w:eastAsia="Arial" w:hAnsi="Arial" w:cs="Arial"/>
          <w:sz w:val="20"/>
        </w:rPr>
        <w:softHyphen/>
        <w:t>, y la nueva previsión contable computada según el punto 5.5. de la NIIF 9. A efectos del recálculo de la posición de capital mínimo prevista en la Sección 3. de las normas sobre "Distribución de resultados", las entidades financieras del Grupo "B" deberán aplicar plenamente el punto 5.5. de la NIIF 9.</w:t>
      </w:r>
    </w:p>
    <w:p w14:paraId="0B096495" w14:textId="77777777" w:rsidR="00845893" w:rsidRDefault="00845893" w:rsidP="00845893">
      <w:pPr>
        <w:autoSpaceDE w:val="0"/>
        <w:autoSpaceDN w:val="0"/>
        <w:adjustRightInd w:val="0"/>
        <w:jc w:val="both"/>
        <w:rPr>
          <w:rFonts w:ascii="Arial" w:hAnsi="Arial" w:cs="Arial"/>
          <w:sz w:val="20"/>
        </w:rPr>
      </w:pPr>
    </w:p>
    <w:p w14:paraId="77418751" w14:textId="77777777" w:rsidR="00063516" w:rsidRPr="00701F32" w:rsidRDefault="00063516" w:rsidP="00063516">
      <w:pPr>
        <w:spacing w:after="160" w:line="259" w:lineRule="auto"/>
        <w:jc w:val="both"/>
        <w:rPr>
          <w:rFonts w:ascii="Arial" w:eastAsia="Arial" w:hAnsi="Arial" w:cs="Arial"/>
          <w:b/>
          <w:color w:val="BF8800"/>
          <w:sz w:val="20"/>
        </w:rPr>
      </w:pPr>
      <w:r w:rsidRPr="00701F32">
        <w:rPr>
          <w:rFonts w:ascii="Arial" w:eastAsia="Arial" w:hAnsi="Arial" w:cs="Arial"/>
          <w:b/>
          <w:sz w:val="20"/>
        </w:rPr>
        <w:t xml:space="preserve">1.2 Bases de preparación </w:t>
      </w:r>
    </w:p>
    <w:p w14:paraId="495C4DF1" w14:textId="7D70AB26" w:rsidR="00F60B2C" w:rsidRPr="00701F32" w:rsidRDefault="00F60B2C" w:rsidP="00F60B2C">
      <w:pPr>
        <w:spacing w:after="160" w:line="259" w:lineRule="auto"/>
        <w:jc w:val="both"/>
        <w:rPr>
          <w:rFonts w:ascii="Arial" w:eastAsia="Arial" w:hAnsi="Arial" w:cs="Arial"/>
          <w:sz w:val="20"/>
        </w:rPr>
      </w:pPr>
      <w:r w:rsidRPr="00701F32">
        <w:rPr>
          <w:rFonts w:ascii="Arial" w:eastAsia="Arial" w:hAnsi="Arial" w:cs="Arial"/>
          <w:sz w:val="20"/>
        </w:rPr>
        <w:t>Los presentes estados financieros separados han sido preparados de acuerdo con el Marco Contable establecido por el B.C.R.A. descripto en la Nota 1.1.</w:t>
      </w:r>
      <w:r w:rsidR="001D52FB">
        <w:rPr>
          <w:rFonts w:ascii="Arial" w:eastAsia="Arial" w:hAnsi="Arial" w:cs="Arial"/>
          <w:sz w:val="20"/>
        </w:rPr>
        <w:t>a)</w:t>
      </w:r>
    </w:p>
    <w:p w14:paraId="7526F5EE" w14:textId="77777777" w:rsidR="00F60B2C" w:rsidRPr="00701F32" w:rsidRDefault="00F60B2C" w:rsidP="00F60B2C">
      <w:pPr>
        <w:spacing w:after="160" w:line="259" w:lineRule="auto"/>
        <w:jc w:val="both"/>
        <w:rPr>
          <w:rFonts w:ascii="Arial" w:eastAsia="Arial" w:hAnsi="Arial" w:cs="Arial"/>
          <w:sz w:val="20"/>
        </w:rPr>
      </w:pPr>
      <w:r w:rsidRPr="00701F32">
        <w:rPr>
          <w:rFonts w:ascii="Arial" w:eastAsia="Arial" w:hAnsi="Arial" w:cs="Arial"/>
          <w:sz w:val="20"/>
        </w:rPr>
        <w:t>La preparación de estos estados financieros separados, requiere que se realicen estimaciones y evaluaciones que afectan el monto de los activos y pasivos registrados, y de los activos y pasivos contingentes revelados a la fecha de emisión de los presentes estados financieros separados, como así también los ingresos y egresos registrados.</w:t>
      </w:r>
    </w:p>
    <w:p w14:paraId="72B5B46D" w14:textId="77777777" w:rsidR="00F60B2C" w:rsidRPr="00701F32" w:rsidRDefault="00F60B2C" w:rsidP="00F60B2C">
      <w:pPr>
        <w:spacing w:after="160" w:line="259" w:lineRule="auto"/>
        <w:jc w:val="both"/>
        <w:rPr>
          <w:rFonts w:ascii="Arial" w:eastAsia="Arial" w:hAnsi="Arial" w:cs="Arial"/>
          <w:sz w:val="20"/>
        </w:rPr>
      </w:pPr>
      <w:r w:rsidRPr="00701F32">
        <w:rPr>
          <w:rFonts w:ascii="Arial" w:eastAsia="Arial" w:hAnsi="Arial" w:cs="Arial"/>
          <w:sz w:val="20"/>
        </w:rPr>
        <w:t>La Entidad realiza estimaciones para calcular, entre otras, las previsiones para incobrables, las vidas útiles de los bienes de propiedad, planta y equipo, las depreciaciones y amortizaciones, el valor recuperable de los activos, el cargo por impuesto a las ganancias, algunos cargos y pasivos laborales y las previsiones por contingencias, juicios laborales, civiles y comerciales. Los resultados reales futuros pueden diferir de las estimaciones y evaluaciones realizadas a la fecha de preparación de los presentes estados financieros separados.</w:t>
      </w:r>
    </w:p>
    <w:p w14:paraId="01EBAAA6" w14:textId="427442CB" w:rsidR="00063516" w:rsidRPr="00701F32" w:rsidRDefault="00F60B2C" w:rsidP="00F60B2C">
      <w:pPr>
        <w:spacing w:after="160" w:line="259" w:lineRule="auto"/>
        <w:jc w:val="both"/>
        <w:rPr>
          <w:rFonts w:ascii="Arial" w:eastAsia="Arial" w:hAnsi="Arial" w:cs="Arial"/>
          <w:sz w:val="20"/>
        </w:rPr>
      </w:pPr>
      <w:r w:rsidRPr="00701F32">
        <w:rPr>
          <w:rFonts w:ascii="Arial" w:eastAsia="Arial" w:hAnsi="Arial" w:cs="Arial"/>
          <w:sz w:val="20"/>
        </w:rPr>
        <w:t>Las áreas que involucran un mayor grado de juicio o complejidad o áreas en las que los supuestos y estimaciones son significativos para los estados financieros separados</w:t>
      </w:r>
      <w:r w:rsidRPr="00701F32" w:rsidDel="003B1200">
        <w:rPr>
          <w:rFonts w:ascii="Arial" w:eastAsia="Arial" w:hAnsi="Arial" w:cs="Arial"/>
          <w:sz w:val="20"/>
        </w:rPr>
        <w:t xml:space="preserve"> </w:t>
      </w:r>
      <w:r w:rsidRPr="00701F32">
        <w:rPr>
          <w:rFonts w:ascii="Arial" w:eastAsia="Arial" w:hAnsi="Arial" w:cs="Arial"/>
          <w:sz w:val="20"/>
        </w:rPr>
        <w:t xml:space="preserve">se describen en la Nota </w:t>
      </w:r>
      <w:r w:rsidR="0068711D">
        <w:rPr>
          <w:rFonts w:ascii="Arial" w:eastAsia="Arial" w:hAnsi="Arial" w:cs="Arial"/>
          <w:sz w:val="20"/>
        </w:rPr>
        <w:t>2</w:t>
      </w:r>
      <w:r w:rsidRPr="00701F32">
        <w:rPr>
          <w:rFonts w:ascii="Arial" w:eastAsia="Arial" w:hAnsi="Arial" w:cs="Arial"/>
          <w:sz w:val="20"/>
        </w:rPr>
        <w:t>.</w:t>
      </w:r>
    </w:p>
    <w:p w14:paraId="48FE61D8" w14:textId="77777777" w:rsidR="00063516" w:rsidRPr="00701F32" w:rsidRDefault="00063516" w:rsidP="00627289">
      <w:pPr>
        <w:numPr>
          <w:ilvl w:val="0"/>
          <w:numId w:val="35"/>
        </w:numPr>
        <w:spacing w:after="160" w:line="259" w:lineRule="auto"/>
        <w:jc w:val="both"/>
        <w:rPr>
          <w:rFonts w:ascii="Arial" w:eastAsia="Arial" w:hAnsi="Arial" w:cs="Arial"/>
          <w:b/>
          <w:sz w:val="20"/>
        </w:rPr>
      </w:pPr>
      <w:r w:rsidRPr="00701F32">
        <w:rPr>
          <w:rFonts w:ascii="Arial" w:eastAsia="Arial" w:hAnsi="Arial" w:cs="Arial"/>
          <w:b/>
          <w:sz w:val="20"/>
        </w:rPr>
        <w:t xml:space="preserve">Empresa en marcha </w:t>
      </w:r>
    </w:p>
    <w:p w14:paraId="6038449E" w14:textId="1B189EB2" w:rsidR="00063516" w:rsidRDefault="00063516" w:rsidP="00063516">
      <w:pPr>
        <w:autoSpaceDE w:val="0"/>
        <w:autoSpaceDN w:val="0"/>
        <w:adjustRightInd w:val="0"/>
        <w:jc w:val="both"/>
        <w:rPr>
          <w:rFonts w:ascii="Arial" w:eastAsia="Arial" w:hAnsi="Arial" w:cs="Arial"/>
          <w:sz w:val="20"/>
        </w:rPr>
      </w:pPr>
      <w:r w:rsidRPr="00701F32">
        <w:rPr>
          <w:rFonts w:ascii="Arial" w:eastAsia="Arial" w:hAnsi="Arial" w:cs="Arial"/>
          <w:sz w:val="20"/>
        </w:rPr>
        <w:t xml:space="preserve">A la fecha de los presentes estados financieros </w:t>
      </w:r>
      <w:r w:rsidR="003824EC">
        <w:rPr>
          <w:rFonts w:ascii="Arial" w:eastAsia="Arial" w:hAnsi="Arial" w:cs="Arial"/>
          <w:sz w:val="20"/>
        </w:rPr>
        <w:t>condensados intermedios</w:t>
      </w:r>
      <w:r w:rsidR="00812AED" w:rsidRPr="00812AED">
        <w:rPr>
          <w:rFonts w:ascii="Arial" w:eastAsia="Arial" w:hAnsi="Arial" w:cs="Arial"/>
          <w:sz w:val="20"/>
        </w:rPr>
        <w:t xml:space="preserve"> </w:t>
      </w:r>
      <w:r w:rsidR="00812AED" w:rsidRPr="00701F32">
        <w:rPr>
          <w:rFonts w:ascii="Arial" w:eastAsia="Arial" w:hAnsi="Arial" w:cs="Arial"/>
          <w:sz w:val="20"/>
        </w:rPr>
        <w:t>separados</w:t>
      </w:r>
      <w:r w:rsidRPr="00701F32">
        <w:rPr>
          <w:rFonts w:ascii="Arial" w:eastAsia="Arial" w:hAnsi="Arial" w:cs="Arial"/>
          <w:sz w:val="20"/>
        </w:rPr>
        <w:t>, no existen incertidumbres respecto a sucesos o condiciones que puedan aportar dudas sobre la posibilidad de que la Entidad siga operando normalmente como empresa en marcha.</w:t>
      </w:r>
    </w:p>
    <w:p w14:paraId="1D153001" w14:textId="77777777" w:rsidR="00063516" w:rsidRPr="00701F32" w:rsidRDefault="00063516" w:rsidP="00063516">
      <w:pPr>
        <w:rPr>
          <w:rFonts w:ascii="Arial" w:eastAsia="Arial" w:hAnsi="Arial" w:cs="Arial"/>
          <w:sz w:val="20"/>
        </w:rPr>
      </w:pPr>
    </w:p>
    <w:p w14:paraId="2248A175" w14:textId="1826946B" w:rsidR="00063516" w:rsidRPr="007C7659" w:rsidRDefault="00063516" w:rsidP="00627289">
      <w:pPr>
        <w:pStyle w:val="Prrafodelista"/>
        <w:numPr>
          <w:ilvl w:val="0"/>
          <w:numId w:val="35"/>
        </w:numPr>
        <w:spacing w:after="160" w:line="259" w:lineRule="auto"/>
        <w:contextualSpacing/>
        <w:jc w:val="both"/>
        <w:rPr>
          <w:rFonts w:ascii="Arial" w:eastAsia="Arial" w:hAnsi="Arial" w:cs="Arial"/>
          <w:b/>
          <w:sz w:val="20"/>
        </w:rPr>
      </w:pPr>
      <w:r w:rsidRPr="00E446C3">
        <w:rPr>
          <w:rFonts w:ascii="Arial" w:eastAsia="Arial" w:hAnsi="Arial" w:cs="Arial"/>
          <w:b/>
          <w:sz w:val="20"/>
        </w:rPr>
        <w:t>Unidad de medida</w:t>
      </w:r>
    </w:p>
    <w:p w14:paraId="5766DC6B" w14:textId="5F7791A6" w:rsidR="00063516" w:rsidRPr="00D43DDF" w:rsidRDefault="00063516" w:rsidP="00063516">
      <w:pPr>
        <w:autoSpaceDE w:val="0"/>
        <w:autoSpaceDN w:val="0"/>
        <w:adjustRightInd w:val="0"/>
        <w:jc w:val="both"/>
        <w:rPr>
          <w:rFonts w:ascii="Arial" w:hAnsi="Arial" w:cs="Arial"/>
          <w:sz w:val="20"/>
        </w:rPr>
      </w:pPr>
      <w:r w:rsidRPr="00D43DDF">
        <w:rPr>
          <w:rFonts w:ascii="Arial" w:hAnsi="Arial" w:cs="Arial"/>
          <w:sz w:val="20"/>
        </w:rPr>
        <w:t xml:space="preserve">Los estados financieros </w:t>
      </w:r>
      <w:r w:rsidR="00FD52EA">
        <w:rPr>
          <w:rFonts w:ascii="Arial" w:hAnsi="Arial" w:cs="Arial"/>
          <w:sz w:val="20"/>
        </w:rPr>
        <w:t xml:space="preserve">condensados intermedios </w:t>
      </w:r>
      <w:r w:rsidR="00812AED">
        <w:rPr>
          <w:rFonts w:ascii="Arial" w:hAnsi="Arial" w:cs="Arial"/>
          <w:sz w:val="20"/>
        </w:rPr>
        <w:t>separados</w:t>
      </w:r>
      <w:r w:rsidR="00812AED" w:rsidRPr="00D43DDF">
        <w:rPr>
          <w:rFonts w:ascii="Arial" w:hAnsi="Arial" w:cs="Arial"/>
          <w:sz w:val="20"/>
        </w:rPr>
        <w:t xml:space="preserve"> </w:t>
      </w:r>
      <w:r w:rsidRPr="00D43DDF">
        <w:rPr>
          <w:rFonts w:ascii="Arial" w:hAnsi="Arial" w:cs="Arial"/>
          <w:sz w:val="20"/>
        </w:rPr>
        <w:t xml:space="preserve">de la Entidad </w:t>
      </w:r>
      <w:r w:rsidRPr="00EA530F">
        <w:rPr>
          <w:rFonts w:ascii="Arial" w:hAnsi="Arial" w:cs="Arial"/>
          <w:sz w:val="20"/>
        </w:rPr>
        <w:t>reconocen las variaciones en el poder adquisitivo de la moneda hasta el 28 de febrero de 2003, habiéndose discontinuado el ajuste por inflación, a partir de esa fecha, de acuerdo a lo requerido por la Comunicación “A” 3921 del B.C.R.A.</w:t>
      </w:r>
      <w:r w:rsidR="004708CB">
        <w:rPr>
          <w:rFonts w:ascii="Arial" w:hAnsi="Arial" w:cs="Arial"/>
          <w:sz w:val="20"/>
        </w:rPr>
        <w:t xml:space="preserve"> teniendo en cuenta las consideraci</w:t>
      </w:r>
      <w:r w:rsidR="00437DE1">
        <w:rPr>
          <w:rFonts w:ascii="Arial" w:hAnsi="Arial" w:cs="Arial"/>
          <w:sz w:val="20"/>
        </w:rPr>
        <w:t xml:space="preserve">ones en la </w:t>
      </w:r>
      <w:r w:rsidR="004C2C24">
        <w:rPr>
          <w:rFonts w:ascii="Arial" w:hAnsi="Arial" w:cs="Arial"/>
          <w:sz w:val="20"/>
        </w:rPr>
        <w:t>N</w:t>
      </w:r>
      <w:r w:rsidR="00437DE1">
        <w:rPr>
          <w:rFonts w:ascii="Arial" w:hAnsi="Arial" w:cs="Arial"/>
          <w:sz w:val="20"/>
        </w:rPr>
        <w:t>ota 1.1</w:t>
      </w:r>
      <w:r w:rsidRPr="00D43DDF">
        <w:rPr>
          <w:rFonts w:ascii="Arial" w:hAnsi="Arial" w:cs="Arial"/>
          <w:sz w:val="20"/>
        </w:rPr>
        <w:t>.</w:t>
      </w:r>
      <w:r w:rsidR="001D52FB">
        <w:rPr>
          <w:rFonts w:ascii="Arial" w:hAnsi="Arial" w:cs="Arial"/>
          <w:sz w:val="20"/>
        </w:rPr>
        <w:t>a)(ii).</w:t>
      </w:r>
    </w:p>
    <w:p w14:paraId="28076E1C" w14:textId="77777777" w:rsidR="00B960E3" w:rsidRPr="00701F32" w:rsidRDefault="00B960E3">
      <w:pPr>
        <w:autoSpaceDE w:val="0"/>
        <w:autoSpaceDN w:val="0"/>
        <w:adjustRightInd w:val="0"/>
        <w:jc w:val="both"/>
        <w:rPr>
          <w:rFonts w:ascii="Arial" w:hAnsi="Arial" w:cs="Arial"/>
          <w:sz w:val="20"/>
        </w:rPr>
      </w:pPr>
    </w:p>
    <w:p w14:paraId="21ECE585" w14:textId="0468E6E3" w:rsidR="003824EC" w:rsidRPr="00534414" w:rsidRDefault="003824EC" w:rsidP="00627289">
      <w:pPr>
        <w:pStyle w:val="Prrafodelista"/>
        <w:numPr>
          <w:ilvl w:val="0"/>
          <w:numId w:val="35"/>
        </w:numPr>
        <w:autoSpaceDE w:val="0"/>
        <w:autoSpaceDN w:val="0"/>
        <w:adjustRightInd w:val="0"/>
        <w:jc w:val="both"/>
        <w:rPr>
          <w:rFonts w:ascii="Arial" w:eastAsia="Arial" w:hAnsi="Arial" w:cs="Arial"/>
          <w:b/>
          <w:sz w:val="20"/>
        </w:rPr>
      </w:pPr>
      <w:r w:rsidRPr="00534414">
        <w:rPr>
          <w:rFonts w:ascii="Arial" w:eastAsia="Arial" w:hAnsi="Arial" w:cs="Arial"/>
          <w:b/>
          <w:sz w:val="20"/>
        </w:rPr>
        <w:t xml:space="preserve">Nuevas normas contables, modificaciones e interpretaciones emitidas por el IASB que han sido adoptadas por el </w:t>
      </w:r>
      <w:r>
        <w:rPr>
          <w:rFonts w:ascii="Arial" w:eastAsia="Arial" w:hAnsi="Arial" w:cs="Arial"/>
          <w:b/>
          <w:sz w:val="20"/>
        </w:rPr>
        <w:t xml:space="preserve">Banco </w:t>
      </w:r>
    </w:p>
    <w:p w14:paraId="476E559A" w14:textId="77777777" w:rsidR="003824EC" w:rsidRDefault="003824EC" w:rsidP="003824EC">
      <w:pPr>
        <w:autoSpaceDE w:val="0"/>
        <w:autoSpaceDN w:val="0"/>
        <w:adjustRightInd w:val="0"/>
        <w:jc w:val="both"/>
        <w:rPr>
          <w:rFonts w:ascii="Arial" w:eastAsia="Arial" w:hAnsi="Arial" w:cs="Arial"/>
          <w:b/>
          <w:sz w:val="20"/>
        </w:rPr>
      </w:pPr>
    </w:p>
    <w:p w14:paraId="182DEE4B" w14:textId="35907702" w:rsidR="003824EC" w:rsidRPr="00534414" w:rsidRDefault="003824EC" w:rsidP="003824EC">
      <w:pPr>
        <w:autoSpaceDE w:val="0"/>
        <w:autoSpaceDN w:val="0"/>
        <w:adjustRightInd w:val="0"/>
        <w:jc w:val="both"/>
        <w:rPr>
          <w:rFonts w:ascii="Arial" w:eastAsia="Arial" w:hAnsi="Arial" w:cs="Arial"/>
          <w:sz w:val="20"/>
        </w:rPr>
      </w:pPr>
      <w:r w:rsidRPr="00534414">
        <w:rPr>
          <w:rFonts w:ascii="Arial" w:eastAsia="Arial" w:hAnsi="Arial" w:cs="Arial"/>
          <w:sz w:val="20"/>
        </w:rPr>
        <w:t>El Banco ha aplicado la siguiente norma por primera vez a partir del 1 de enero de 2019:</w:t>
      </w:r>
    </w:p>
    <w:p w14:paraId="6ED6DC2F" w14:textId="77777777" w:rsidR="003824EC" w:rsidRPr="00534414" w:rsidRDefault="003824EC" w:rsidP="003824EC">
      <w:pPr>
        <w:autoSpaceDE w:val="0"/>
        <w:autoSpaceDN w:val="0"/>
        <w:adjustRightInd w:val="0"/>
        <w:jc w:val="both"/>
        <w:rPr>
          <w:rFonts w:ascii="Arial" w:eastAsia="Arial" w:hAnsi="Arial" w:cs="Arial"/>
          <w:sz w:val="20"/>
        </w:rPr>
      </w:pPr>
    </w:p>
    <w:p w14:paraId="351B77F5" w14:textId="77777777" w:rsidR="003824EC" w:rsidRPr="00534414" w:rsidRDefault="003824EC" w:rsidP="003824EC">
      <w:pPr>
        <w:autoSpaceDE w:val="0"/>
        <w:autoSpaceDN w:val="0"/>
        <w:adjustRightInd w:val="0"/>
        <w:jc w:val="both"/>
        <w:rPr>
          <w:rFonts w:ascii="Arial" w:eastAsia="Arial" w:hAnsi="Arial" w:cs="Arial"/>
          <w:sz w:val="20"/>
        </w:rPr>
      </w:pPr>
      <w:r w:rsidRPr="003824EC">
        <w:rPr>
          <w:rFonts w:ascii="Arial" w:eastAsia="Arial" w:hAnsi="Arial" w:cs="Arial"/>
          <w:b/>
          <w:sz w:val="20"/>
        </w:rPr>
        <w:t xml:space="preserve">NIIF 16 "Arrendamientos": </w:t>
      </w:r>
      <w:r w:rsidRPr="00534414">
        <w:rPr>
          <w:rFonts w:ascii="Arial" w:eastAsia="Arial" w:hAnsi="Arial" w:cs="Arial"/>
          <w:sz w:val="20"/>
        </w:rPr>
        <w:t xml:space="preserve">En enero de 2016 el IASB emitió la NIIF 16 "Arrendamientos" que establece el nuevo modelo de registración de operaciones de arrendamiento. Bajo la NIIF 16, un contrato es, o contiene, un arrendamiento si el contrato transmite el derecho a controlar el uso de un activo identificado por un período de tiempo a cambio de una contraprestación. La NIIF 16 requiere que el arrendatario reconozca el pasivo de arrendamiento que refleja los pagos futuros de arrendamiento y un derecho de uso de activos, para casi todos los contratos de arrendamiento, con excepción para determinados contratos de arrendamiento a corto plazo y arrendamientos de activos de bajo valor. La contabilidad de los arrendadores se mantiene como se indica en la NIC 17; sin embargo, se espera que el nuevo modelo de contabilidad para los arrendatarios impacte las negociaciones entre arrendadores y arrendatarios. A través de la Com. "A" 6560 el B.C.R.A. introdujo cambios al plan de cuentas y a los regímenes informativos como consecuencia de la entrada en vigencia de dicha NIIF a partir del 1 de enero de 2019. </w:t>
      </w:r>
    </w:p>
    <w:p w14:paraId="3D619104" w14:textId="77777777" w:rsidR="003824EC" w:rsidRDefault="003824EC" w:rsidP="003824EC">
      <w:pPr>
        <w:autoSpaceDE w:val="0"/>
        <w:autoSpaceDN w:val="0"/>
        <w:adjustRightInd w:val="0"/>
        <w:jc w:val="both"/>
        <w:rPr>
          <w:rFonts w:ascii="Arial" w:eastAsia="Arial" w:hAnsi="Arial" w:cs="Arial"/>
          <w:sz w:val="20"/>
        </w:rPr>
      </w:pPr>
    </w:p>
    <w:p w14:paraId="26E5839F" w14:textId="77777777" w:rsidR="00A95F91" w:rsidRPr="006E1AF7" w:rsidRDefault="00A95F91" w:rsidP="00A95F91">
      <w:pPr>
        <w:autoSpaceDE w:val="0"/>
        <w:autoSpaceDN w:val="0"/>
        <w:adjustRightInd w:val="0"/>
        <w:jc w:val="both"/>
        <w:rPr>
          <w:rFonts w:ascii="Arial" w:hAnsi="Arial" w:cs="Arial"/>
          <w:color w:val="000000"/>
          <w:sz w:val="20"/>
        </w:rPr>
      </w:pPr>
      <w:r w:rsidRPr="006E1AF7">
        <w:rPr>
          <w:rFonts w:ascii="Arial" w:hAnsi="Arial" w:cs="Arial"/>
          <w:color w:val="000000"/>
          <w:sz w:val="20"/>
        </w:rPr>
        <w:t>Como consecuencia de la adopción de la NIIF 16, la Entidad reconoció un pasivo por arrendamiento relacionado a los arrendamientos que habían sido clasificados como arrendamientos operativos bajo la norma anterior (NIC 17). Este pasivo fue medido al valor presente de los pagos remanentes bajo los contratos de arrendamiento, descontados utilizando el promedio ponderado de la tasa interés incremental al 1 de enero de 2019. La tasa utilizada fue de 44,26 % para las operaciones en pesos, y 14,36% para las operaciones en dólares estadounidenses.</w:t>
      </w:r>
    </w:p>
    <w:p w14:paraId="4DF73457" w14:textId="77777777" w:rsidR="00A95F91" w:rsidRPr="006E1AF7" w:rsidRDefault="00A95F91" w:rsidP="00A95F91">
      <w:pPr>
        <w:autoSpaceDE w:val="0"/>
        <w:autoSpaceDN w:val="0"/>
        <w:adjustRightInd w:val="0"/>
        <w:jc w:val="both"/>
        <w:rPr>
          <w:rFonts w:ascii="Arial" w:hAnsi="Arial" w:cs="Arial"/>
          <w:color w:val="000000"/>
          <w:sz w:val="20"/>
          <w:highlight w:val="yellow"/>
        </w:rPr>
      </w:pPr>
    </w:p>
    <w:p w14:paraId="1F9FD5AF" w14:textId="77777777" w:rsidR="00A95F91" w:rsidRPr="006E1AF7" w:rsidRDefault="00A95F91" w:rsidP="00A95F91">
      <w:pPr>
        <w:autoSpaceDE w:val="0"/>
        <w:autoSpaceDN w:val="0"/>
        <w:adjustRightInd w:val="0"/>
        <w:jc w:val="both"/>
        <w:rPr>
          <w:rFonts w:ascii="Arial" w:hAnsi="Arial" w:cs="Arial"/>
          <w:color w:val="000000"/>
          <w:sz w:val="20"/>
        </w:rPr>
      </w:pPr>
      <w:r w:rsidRPr="006E1AF7">
        <w:rPr>
          <w:rFonts w:ascii="Arial" w:hAnsi="Arial" w:cs="Arial"/>
          <w:color w:val="000000"/>
          <w:sz w:val="20"/>
        </w:rPr>
        <w:t>Para los arrendamientos clasificados como arrendamientos operativos bajo la norma anterior, la entidad reconoció un activo por derecho de uso y un pasivo por arrendamiento igual al valor contable del activo y el pasivo por arrendamiento anterior a la fecha de aplicación inicial. Los principios de medición de la NIIF 16 se aplican con posterioridad a dicha fecha. La remedición de los pasivos por arrendamiento fue reconocida como un ajuste al activo por derecho de uso luego de la fecha de aplicación inicial.</w:t>
      </w:r>
    </w:p>
    <w:p w14:paraId="51D55983" w14:textId="77777777" w:rsidR="00A95F91" w:rsidRPr="006E1AF7" w:rsidRDefault="00A95F91" w:rsidP="00A95F91">
      <w:pPr>
        <w:autoSpaceDE w:val="0"/>
        <w:autoSpaceDN w:val="0"/>
        <w:adjustRightInd w:val="0"/>
        <w:rPr>
          <w:rFonts w:ascii="Arial" w:hAnsi="Arial" w:cs="Arial"/>
          <w:color w:val="000000"/>
          <w:sz w:val="20"/>
        </w:rPr>
      </w:pPr>
    </w:p>
    <w:p w14:paraId="00D7E69D" w14:textId="77777777" w:rsidR="00A95F91" w:rsidRPr="006E1AF7" w:rsidRDefault="00A95F91" w:rsidP="006E1AF7">
      <w:pPr>
        <w:pStyle w:val="Prrafodelista"/>
        <w:numPr>
          <w:ilvl w:val="0"/>
          <w:numId w:val="113"/>
        </w:numPr>
        <w:autoSpaceDE w:val="0"/>
        <w:autoSpaceDN w:val="0"/>
        <w:adjustRightInd w:val="0"/>
        <w:contextualSpacing/>
        <w:rPr>
          <w:rFonts w:ascii="Arial" w:hAnsi="Arial" w:cs="Arial"/>
          <w:color w:val="000000"/>
          <w:sz w:val="20"/>
        </w:rPr>
      </w:pPr>
      <w:r w:rsidRPr="006E1AF7">
        <w:rPr>
          <w:rFonts w:ascii="Arial" w:hAnsi="Arial" w:cs="Arial"/>
          <w:color w:val="000000"/>
          <w:sz w:val="20"/>
        </w:rPr>
        <w:t>Soluciones prácticas utilizadas</w:t>
      </w:r>
    </w:p>
    <w:p w14:paraId="75B6B759" w14:textId="77777777" w:rsidR="00A95F91" w:rsidRPr="006E1AF7" w:rsidRDefault="00A95F91" w:rsidP="00A95F91">
      <w:pPr>
        <w:autoSpaceDE w:val="0"/>
        <w:autoSpaceDN w:val="0"/>
        <w:adjustRightInd w:val="0"/>
        <w:rPr>
          <w:rFonts w:ascii="Arial" w:hAnsi="Arial" w:cs="Arial"/>
          <w:color w:val="000000"/>
          <w:sz w:val="20"/>
        </w:rPr>
      </w:pPr>
    </w:p>
    <w:p w14:paraId="7DA4D8E0" w14:textId="77777777" w:rsidR="00A95F91" w:rsidRPr="006E1AF7" w:rsidRDefault="00A95F91" w:rsidP="00A95F91">
      <w:pPr>
        <w:autoSpaceDE w:val="0"/>
        <w:autoSpaceDN w:val="0"/>
        <w:adjustRightInd w:val="0"/>
        <w:jc w:val="both"/>
        <w:rPr>
          <w:rFonts w:ascii="Arial" w:hAnsi="Arial" w:cs="Arial"/>
          <w:color w:val="000000"/>
          <w:sz w:val="20"/>
        </w:rPr>
      </w:pPr>
      <w:r w:rsidRPr="006E1AF7">
        <w:rPr>
          <w:rFonts w:ascii="Arial" w:hAnsi="Arial" w:cs="Arial"/>
          <w:color w:val="000000"/>
          <w:sz w:val="20"/>
        </w:rPr>
        <w:t>En la aplicación por primera vez de la NIIF 16, la Entidad ha aplicado las siguientes soluciones prácticas permitidas por la norma:</w:t>
      </w:r>
    </w:p>
    <w:p w14:paraId="38210562" w14:textId="77777777" w:rsidR="00A95F91" w:rsidRPr="006E1AF7" w:rsidRDefault="00A95F91" w:rsidP="00A95F91">
      <w:pPr>
        <w:autoSpaceDE w:val="0"/>
        <w:autoSpaceDN w:val="0"/>
        <w:adjustRightInd w:val="0"/>
        <w:jc w:val="both"/>
        <w:rPr>
          <w:rFonts w:ascii="Arial" w:hAnsi="Arial" w:cs="Arial"/>
          <w:color w:val="000000"/>
          <w:sz w:val="20"/>
        </w:rPr>
      </w:pPr>
    </w:p>
    <w:p w14:paraId="65D84BC1" w14:textId="77777777" w:rsidR="00A95F91" w:rsidRPr="006E1AF7" w:rsidRDefault="00A95F91" w:rsidP="00A95F91">
      <w:pPr>
        <w:pStyle w:val="Prrafodelista"/>
        <w:numPr>
          <w:ilvl w:val="0"/>
          <w:numId w:val="111"/>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Aplicación de una sola tasa de descuento para una cartera de arrendamientos con similares características</w:t>
      </w:r>
    </w:p>
    <w:p w14:paraId="35DF0C12" w14:textId="77777777" w:rsidR="00A95F91" w:rsidRPr="006E1AF7" w:rsidRDefault="00A95F91" w:rsidP="00A95F91">
      <w:pPr>
        <w:pStyle w:val="Prrafodelista"/>
        <w:numPr>
          <w:ilvl w:val="0"/>
          <w:numId w:val="111"/>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Continuar con la evaluación anterior a la aplicación de la nueva norma sobre si los arrendamientos eran onerosos a fin de no realizar un test de desvalorización – la entidad no contaba con contratos onerosos al 1 de enero de 2019</w:t>
      </w:r>
    </w:p>
    <w:p w14:paraId="48DEEA07" w14:textId="77777777" w:rsidR="00A95F91" w:rsidRPr="006E1AF7" w:rsidRDefault="00A95F91" w:rsidP="00A95F91">
      <w:pPr>
        <w:pStyle w:val="Prrafodelista"/>
        <w:numPr>
          <w:ilvl w:val="0"/>
          <w:numId w:val="111"/>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Contabilizar los arrendamientos operativos con un período remanente menor a 12 meses al 1 de enero de 2019 como arrendamientos de corto plazo</w:t>
      </w:r>
    </w:p>
    <w:p w14:paraId="2AC4E011" w14:textId="77777777" w:rsidR="00A95F91" w:rsidRPr="006E1AF7" w:rsidRDefault="00A95F91" w:rsidP="00A95F91">
      <w:pPr>
        <w:pStyle w:val="Prrafodelista"/>
        <w:numPr>
          <w:ilvl w:val="0"/>
          <w:numId w:val="111"/>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Excluir los costos directos iniciales para la medición del activo por derecho de uso a la fecha de aplicación inicial y,</w:t>
      </w:r>
    </w:p>
    <w:p w14:paraId="5DD4B7A1" w14:textId="77777777" w:rsidR="00A95F91" w:rsidRPr="006E1AF7" w:rsidRDefault="00A95F91" w:rsidP="00A95F91">
      <w:pPr>
        <w:pStyle w:val="Prrafodelista"/>
        <w:numPr>
          <w:ilvl w:val="0"/>
          <w:numId w:val="111"/>
        </w:numPr>
        <w:autoSpaceDE w:val="0"/>
        <w:autoSpaceDN w:val="0"/>
        <w:adjustRightInd w:val="0"/>
        <w:contextualSpacing/>
        <w:jc w:val="both"/>
        <w:rPr>
          <w:rFonts w:ascii="Arial" w:hAnsi="Arial" w:cs="Arial"/>
          <w:color w:val="000000"/>
          <w:sz w:val="20"/>
        </w:rPr>
      </w:pPr>
      <w:r w:rsidRPr="006E1AF7">
        <w:rPr>
          <w:rFonts w:ascii="Arial" w:hAnsi="Arial" w:cs="Arial"/>
          <w:color w:val="000000"/>
          <w:sz w:val="20"/>
        </w:rPr>
        <w:t>Utilizar toda la información disponible a la fecha de evaluación para determinar el plazo del arrendamiento cuando el contrato contiene opciones de extensión o de terminación.</w:t>
      </w:r>
    </w:p>
    <w:p w14:paraId="449571F5" w14:textId="77777777" w:rsidR="00A95F91" w:rsidRPr="006E1AF7" w:rsidRDefault="00A95F91" w:rsidP="00A95F91">
      <w:pPr>
        <w:autoSpaceDE w:val="0"/>
        <w:autoSpaceDN w:val="0"/>
        <w:adjustRightInd w:val="0"/>
        <w:jc w:val="both"/>
        <w:rPr>
          <w:rFonts w:ascii="Arial" w:hAnsi="Arial" w:cs="Arial"/>
          <w:color w:val="000000"/>
          <w:sz w:val="20"/>
        </w:rPr>
      </w:pPr>
    </w:p>
    <w:p w14:paraId="34418F02" w14:textId="77777777" w:rsidR="00A95F91" w:rsidRPr="006E1AF7" w:rsidRDefault="00A95F91" w:rsidP="00A95F91">
      <w:pPr>
        <w:autoSpaceDE w:val="0"/>
        <w:autoSpaceDN w:val="0"/>
        <w:adjustRightInd w:val="0"/>
        <w:jc w:val="both"/>
        <w:rPr>
          <w:rFonts w:ascii="Arial" w:hAnsi="Arial" w:cs="Arial"/>
          <w:color w:val="000000"/>
          <w:sz w:val="20"/>
        </w:rPr>
      </w:pPr>
      <w:r w:rsidRPr="006E1AF7">
        <w:rPr>
          <w:rFonts w:ascii="Arial" w:hAnsi="Arial" w:cs="Arial"/>
          <w:color w:val="000000"/>
          <w:sz w:val="20"/>
        </w:rPr>
        <w:t>La Entidad también decidió no re-evaluar si un contrato es o contiene un arrendamiento a la fecha de aplicación inicial. Para los contratos firmados con anterioridad a la fecha de transición el Banco mantuvo la evaluación realizada bajo la NIC 17 y la Interpretación 4.</w:t>
      </w:r>
    </w:p>
    <w:p w14:paraId="521812BF" w14:textId="77777777" w:rsidR="00A95F91" w:rsidRPr="006E1AF7" w:rsidRDefault="00A95F91" w:rsidP="00A95F91">
      <w:pPr>
        <w:autoSpaceDE w:val="0"/>
        <w:autoSpaceDN w:val="0"/>
        <w:adjustRightInd w:val="0"/>
        <w:rPr>
          <w:rFonts w:ascii="Arial" w:hAnsi="Arial" w:cs="Arial"/>
          <w:color w:val="000000"/>
          <w:sz w:val="20"/>
        </w:rPr>
      </w:pPr>
    </w:p>
    <w:p w14:paraId="00940D1F" w14:textId="77777777" w:rsidR="00A95F91" w:rsidRPr="006E1AF7" w:rsidRDefault="00A95F91" w:rsidP="006E1AF7">
      <w:pPr>
        <w:pStyle w:val="Prrafodelista"/>
        <w:numPr>
          <w:ilvl w:val="0"/>
          <w:numId w:val="113"/>
        </w:numPr>
        <w:autoSpaceDE w:val="0"/>
        <w:autoSpaceDN w:val="0"/>
        <w:adjustRightInd w:val="0"/>
        <w:contextualSpacing/>
        <w:rPr>
          <w:rFonts w:ascii="Arial" w:hAnsi="Arial" w:cs="Arial"/>
          <w:color w:val="000000"/>
          <w:sz w:val="20"/>
        </w:rPr>
      </w:pPr>
      <w:r w:rsidRPr="006E1AF7">
        <w:rPr>
          <w:rFonts w:ascii="Arial" w:hAnsi="Arial" w:cs="Arial"/>
          <w:color w:val="000000"/>
          <w:sz w:val="20"/>
        </w:rPr>
        <w:t>Medición de los pasivos por arrendamiento</w:t>
      </w:r>
    </w:p>
    <w:p w14:paraId="4AC808AC" w14:textId="77777777" w:rsidR="00A95F91" w:rsidRPr="006E1AF7" w:rsidRDefault="00A95F91" w:rsidP="00A95F91">
      <w:pPr>
        <w:autoSpaceDE w:val="0"/>
        <w:autoSpaceDN w:val="0"/>
        <w:adjustRightInd w:val="0"/>
        <w:rPr>
          <w:rFonts w:ascii="Arial" w:hAnsi="Arial" w:cs="Arial"/>
          <w:iCs/>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2786"/>
      </w:tblGrid>
      <w:tr w:rsidR="00A95F91" w:rsidRPr="00A95F91" w14:paraId="075E200C" w14:textId="77777777" w:rsidTr="006E1AF7">
        <w:tc>
          <w:tcPr>
            <w:tcW w:w="5935" w:type="dxa"/>
          </w:tcPr>
          <w:p w14:paraId="770180FB" w14:textId="77777777" w:rsidR="00A95F91" w:rsidRPr="006E1AF7" w:rsidRDefault="00A95F91" w:rsidP="0068711D">
            <w:pPr>
              <w:autoSpaceDE w:val="0"/>
              <w:autoSpaceDN w:val="0"/>
              <w:adjustRightInd w:val="0"/>
              <w:rPr>
                <w:rFonts w:ascii="Arial" w:hAnsi="Arial" w:cs="Arial"/>
                <w:iCs/>
                <w:sz w:val="20"/>
              </w:rPr>
            </w:pPr>
            <w:r w:rsidRPr="006E1AF7">
              <w:rPr>
                <w:rFonts w:ascii="Arial" w:hAnsi="Arial" w:cs="Arial"/>
                <w:color w:val="000000"/>
                <w:sz w:val="20"/>
              </w:rPr>
              <w:t>Arrendamientos revelados al 31 de diciembre de 2018</w:t>
            </w:r>
          </w:p>
        </w:tc>
        <w:tc>
          <w:tcPr>
            <w:tcW w:w="2786" w:type="dxa"/>
          </w:tcPr>
          <w:p w14:paraId="0FBE01F7" w14:textId="77777777" w:rsidR="00A95F91" w:rsidRPr="006E1AF7" w:rsidRDefault="00A95F91" w:rsidP="0068711D">
            <w:pPr>
              <w:autoSpaceDE w:val="0"/>
              <w:autoSpaceDN w:val="0"/>
              <w:adjustRightInd w:val="0"/>
              <w:jc w:val="right"/>
              <w:rPr>
                <w:rFonts w:ascii="Arial" w:hAnsi="Arial" w:cs="Arial"/>
                <w:iCs/>
                <w:sz w:val="20"/>
              </w:rPr>
            </w:pPr>
            <w:r w:rsidRPr="006E1AF7">
              <w:rPr>
                <w:rFonts w:ascii="Arial" w:hAnsi="Arial" w:cs="Arial"/>
                <w:iCs/>
                <w:sz w:val="20"/>
              </w:rPr>
              <w:t>1.293.193</w:t>
            </w:r>
          </w:p>
        </w:tc>
      </w:tr>
      <w:tr w:rsidR="00A95F91" w:rsidRPr="00A95F91" w14:paraId="279588AD" w14:textId="77777777" w:rsidTr="006E1AF7">
        <w:tc>
          <w:tcPr>
            <w:tcW w:w="5935" w:type="dxa"/>
          </w:tcPr>
          <w:p w14:paraId="4100327E" w14:textId="77777777" w:rsidR="00A95F91" w:rsidRPr="006E1AF7" w:rsidRDefault="00A95F91" w:rsidP="0068711D">
            <w:pPr>
              <w:autoSpaceDE w:val="0"/>
              <w:autoSpaceDN w:val="0"/>
              <w:adjustRightInd w:val="0"/>
              <w:rPr>
                <w:rFonts w:ascii="Arial" w:hAnsi="Arial" w:cs="Arial"/>
                <w:iCs/>
                <w:sz w:val="20"/>
              </w:rPr>
            </w:pPr>
            <w:r w:rsidRPr="006E1AF7">
              <w:rPr>
                <w:rFonts w:ascii="Arial" w:hAnsi="Arial" w:cs="Arial"/>
                <w:color w:val="000000"/>
                <w:sz w:val="20"/>
              </w:rPr>
              <w:t>descontados a la tasa de interés incremental a la fecha de aplicación inicial</w:t>
            </w:r>
          </w:p>
        </w:tc>
        <w:tc>
          <w:tcPr>
            <w:tcW w:w="2786" w:type="dxa"/>
          </w:tcPr>
          <w:p w14:paraId="3F9DE636" w14:textId="77777777" w:rsidR="00A95F91" w:rsidRPr="006E1AF7" w:rsidRDefault="00A95F91" w:rsidP="0068711D">
            <w:pPr>
              <w:autoSpaceDE w:val="0"/>
              <w:autoSpaceDN w:val="0"/>
              <w:adjustRightInd w:val="0"/>
              <w:jc w:val="right"/>
              <w:rPr>
                <w:rFonts w:ascii="Arial" w:hAnsi="Arial" w:cs="Arial"/>
                <w:iCs/>
                <w:sz w:val="20"/>
              </w:rPr>
            </w:pPr>
            <w:r w:rsidRPr="006E1AF7">
              <w:rPr>
                <w:rFonts w:ascii="Arial" w:hAnsi="Arial" w:cs="Arial"/>
                <w:iCs/>
                <w:sz w:val="20"/>
              </w:rPr>
              <w:t>905.945</w:t>
            </w:r>
          </w:p>
        </w:tc>
      </w:tr>
      <w:tr w:rsidR="00A95F91" w:rsidRPr="00A95F91" w14:paraId="6D95A715" w14:textId="77777777" w:rsidTr="006E1AF7">
        <w:tc>
          <w:tcPr>
            <w:tcW w:w="5935" w:type="dxa"/>
          </w:tcPr>
          <w:p w14:paraId="36081266" w14:textId="77777777" w:rsidR="00A95F91" w:rsidRPr="006E1AF7" w:rsidRDefault="00A95F91" w:rsidP="0068711D">
            <w:pPr>
              <w:autoSpaceDE w:val="0"/>
              <w:autoSpaceDN w:val="0"/>
              <w:adjustRightInd w:val="0"/>
              <w:rPr>
                <w:rFonts w:ascii="Arial" w:hAnsi="Arial" w:cs="Arial"/>
                <w:iCs/>
                <w:sz w:val="20"/>
              </w:rPr>
            </w:pPr>
            <w:r w:rsidRPr="006E1AF7">
              <w:rPr>
                <w:rFonts w:ascii="Arial" w:hAnsi="Arial" w:cs="Arial"/>
                <w:b/>
                <w:bCs/>
                <w:color w:val="000000"/>
                <w:sz w:val="20"/>
              </w:rPr>
              <w:t>Pasivo por arrendamiento reconocido al 1 de enero de 2019</w:t>
            </w:r>
          </w:p>
        </w:tc>
        <w:tc>
          <w:tcPr>
            <w:tcW w:w="2786" w:type="dxa"/>
          </w:tcPr>
          <w:p w14:paraId="6EB69597" w14:textId="77777777" w:rsidR="00A95F91" w:rsidRPr="006E1AF7" w:rsidRDefault="00A95F91" w:rsidP="0068711D">
            <w:pPr>
              <w:autoSpaceDE w:val="0"/>
              <w:autoSpaceDN w:val="0"/>
              <w:adjustRightInd w:val="0"/>
              <w:jc w:val="right"/>
              <w:rPr>
                <w:rFonts w:ascii="Arial" w:hAnsi="Arial" w:cs="Arial"/>
                <w:iCs/>
                <w:sz w:val="20"/>
              </w:rPr>
            </w:pPr>
            <w:r w:rsidRPr="006E1AF7">
              <w:rPr>
                <w:rFonts w:ascii="Arial" w:hAnsi="Arial" w:cs="Arial"/>
                <w:iCs/>
                <w:sz w:val="20"/>
              </w:rPr>
              <w:t>905.945</w:t>
            </w:r>
          </w:p>
        </w:tc>
      </w:tr>
      <w:tr w:rsidR="00A95F91" w:rsidRPr="00A95F91" w14:paraId="6B0B3EA8" w14:textId="77777777" w:rsidTr="006E1AF7">
        <w:tc>
          <w:tcPr>
            <w:tcW w:w="5935" w:type="dxa"/>
          </w:tcPr>
          <w:p w14:paraId="2137B9C1" w14:textId="77777777" w:rsidR="00A95F91" w:rsidRPr="006E1AF7" w:rsidRDefault="00A95F91" w:rsidP="0068711D">
            <w:pPr>
              <w:autoSpaceDE w:val="0"/>
              <w:autoSpaceDN w:val="0"/>
              <w:adjustRightInd w:val="0"/>
              <w:rPr>
                <w:rFonts w:ascii="Arial" w:hAnsi="Arial" w:cs="Arial"/>
                <w:b/>
                <w:bCs/>
                <w:color w:val="000000"/>
                <w:sz w:val="20"/>
              </w:rPr>
            </w:pPr>
            <w:r w:rsidRPr="006E1AF7">
              <w:rPr>
                <w:rFonts w:ascii="Arial" w:hAnsi="Arial" w:cs="Arial"/>
                <w:color w:val="000000"/>
                <w:sz w:val="20"/>
              </w:rPr>
              <w:t>Del cual corresponde:</w:t>
            </w:r>
          </w:p>
        </w:tc>
        <w:tc>
          <w:tcPr>
            <w:tcW w:w="2786" w:type="dxa"/>
          </w:tcPr>
          <w:p w14:paraId="71DDF4F5" w14:textId="77777777" w:rsidR="00A95F91" w:rsidRPr="006E1AF7" w:rsidRDefault="00A95F91" w:rsidP="0068711D">
            <w:pPr>
              <w:autoSpaceDE w:val="0"/>
              <w:autoSpaceDN w:val="0"/>
              <w:adjustRightInd w:val="0"/>
              <w:jc w:val="right"/>
              <w:rPr>
                <w:rFonts w:ascii="Arial" w:hAnsi="Arial" w:cs="Arial"/>
                <w:iCs/>
                <w:sz w:val="20"/>
              </w:rPr>
            </w:pPr>
          </w:p>
        </w:tc>
      </w:tr>
      <w:tr w:rsidR="00A95F91" w:rsidRPr="00A95F91" w14:paraId="6952C208" w14:textId="77777777" w:rsidTr="006E1AF7">
        <w:tc>
          <w:tcPr>
            <w:tcW w:w="5935" w:type="dxa"/>
          </w:tcPr>
          <w:p w14:paraId="296FA35A" w14:textId="77777777" w:rsidR="00A95F91" w:rsidRPr="006E1AF7" w:rsidRDefault="00A95F91" w:rsidP="0068711D">
            <w:pPr>
              <w:autoSpaceDE w:val="0"/>
              <w:autoSpaceDN w:val="0"/>
              <w:adjustRightInd w:val="0"/>
              <w:rPr>
                <w:rFonts w:ascii="Arial" w:hAnsi="Arial" w:cs="Arial"/>
                <w:b/>
                <w:bCs/>
                <w:color w:val="000000"/>
                <w:sz w:val="20"/>
              </w:rPr>
            </w:pPr>
            <w:r w:rsidRPr="006E1AF7">
              <w:rPr>
                <w:rFonts w:ascii="Arial" w:hAnsi="Arial" w:cs="Arial"/>
                <w:color w:val="000000"/>
                <w:sz w:val="20"/>
              </w:rPr>
              <w:t>Pasivo por arrendamiento corriente</w:t>
            </w:r>
          </w:p>
        </w:tc>
        <w:tc>
          <w:tcPr>
            <w:tcW w:w="2786" w:type="dxa"/>
          </w:tcPr>
          <w:p w14:paraId="3ADA71F6" w14:textId="77777777" w:rsidR="00A95F91" w:rsidRPr="006E1AF7" w:rsidRDefault="00A95F91" w:rsidP="0068711D">
            <w:pPr>
              <w:autoSpaceDE w:val="0"/>
              <w:autoSpaceDN w:val="0"/>
              <w:adjustRightInd w:val="0"/>
              <w:jc w:val="right"/>
              <w:rPr>
                <w:rFonts w:ascii="Arial" w:hAnsi="Arial" w:cs="Arial"/>
                <w:iCs/>
                <w:sz w:val="20"/>
              </w:rPr>
            </w:pPr>
            <w:r w:rsidRPr="006E1AF7">
              <w:rPr>
                <w:rFonts w:ascii="Arial" w:hAnsi="Arial" w:cs="Arial"/>
                <w:iCs/>
                <w:sz w:val="20"/>
              </w:rPr>
              <w:t xml:space="preserve"> 399.238 </w:t>
            </w:r>
          </w:p>
        </w:tc>
      </w:tr>
      <w:tr w:rsidR="00A95F91" w:rsidRPr="00A95F91" w14:paraId="621E62C1" w14:textId="77777777" w:rsidTr="006E1AF7">
        <w:tc>
          <w:tcPr>
            <w:tcW w:w="5935" w:type="dxa"/>
          </w:tcPr>
          <w:p w14:paraId="26EA9AAE" w14:textId="77777777" w:rsidR="00A95F91" w:rsidRPr="006E1AF7" w:rsidRDefault="00A95F91" w:rsidP="0068711D">
            <w:pPr>
              <w:autoSpaceDE w:val="0"/>
              <w:autoSpaceDN w:val="0"/>
              <w:adjustRightInd w:val="0"/>
              <w:rPr>
                <w:rFonts w:ascii="Arial" w:hAnsi="Arial" w:cs="Arial"/>
                <w:b/>
                <w:bCs/>
                <w:color w:val="000000"/>
                <w:sz w:val="20"/>
              </w:rPr>
            </w:pPr>
            <w:r w:rsidRPr="006E1AF7">
              <w:rPr>
                <w:rFonts w:ascii="Arial" w:hAnsi="Arial" w:cs="Arial"/>
                <w:color w:val="000000"/>
                <w:sz w:val="20"/>
              </w:rPr>
              <w:t>Pasivo por arrendamiento no corriente</w:t>
            </w:r>
          </w:p>
        </w:tc>
        <w:tc>
          <w:tcPr>
            <w:tcW w:w="2786" w:type="dxa"/>
          </w:tcPr>
          <w:p w14:paraId="113CBCA9" w14:textId="77777777" w:rsidR="00A95F91" w:rsidRPr="006E1AF7" w:rsidRDefault="00A95F91" w:rsidP="0068711D">
            <w:pPr>
              <w:autoSpaceDE w:val="0"/>
              <w:autoSpaceDN w:val="0"/>
              <w:adjustRightInd w:val="0"/>
              <w:jc w:val="right"/>
              <w:rPr>
                <w:rFonts w:ascii="Arial" w:hAnsi="Arial" w:cs="Arial"/>
                <w:iCs/>
                <w:sz w:val="20"/>
              </w:rPr>
            </w:pPr>
            <w:r w:rsidRPr="006E1AF7">
              <w:rPr>
                <w:rFonts w:ascii="Arial" w:hAnsi="Arial" w:cs="Arial"/>
                <w:iCs/>
                <w:sz w:val="20"/>
              </w:rPr>
              <w:t xml:space="preserve"> 506.706 </w:t>
            </w:r>
          </w:p>
        </w:tc>
      </w:tr>
    </w:tbl>
    <w:p w14:paraId="42BF6B44" w14:textId="77777777" w:rsidR="00A95F91" w:rsidRPr="006E1AF7" w:rsidRDefault="00A95F91" w:rsidP="00A95F91">
      <w:pPr>
        <w:autoSpaceDE w:val="0"/>
        <w:autoSpaceDN w:val="0"/>
        <w:adjustRightInd w:val="0"/>
        <w:rPr>
          <w:rFonts w:ascii="Arial" w:hAnsi="Arial" w:cs="Arial"/>
          <w:color w:val="000000"/>
          <w:sz w:val="20"/>
        </w:rPr>
      </w:pPr>
    </w:p>
    <w:p w14:paraId="4482F1C9" w14:textId="77777777" w:rsidR="00A95F91" w:rsidRPr="006E1AF7" w:rsidRDefault="00A95F91" w:rsidP="006E1AF7">
      <w:pPr>
        <w:pStyle w:val="Prrafodelista"/>
        <w:numPr>
          <w:ilvl w:val="0"/>
          <w:numId w:val="113"/>
        </w:numPr>
        <w:autoSpaceDE w:val="0"/>
        <w:autoSpaceDN w:val="0"/>
        <w:adjustRightInd w:val="0"/>
        <w:contextualSpacing/>
        <w:rPr>
          <w:rFonts w:ascii="Arial" w:hAnsi="Arial" w:cs="Arial"/>
          <w:color w:val="000000"/>
          <w:sz w:val="20"/>
        </w:rPr>
      </w:pPr>
      <w:r w:rsidRPr="006E1AF7">
        <w:rPr>
          <w:rFonts w:ascii="Arial" w:hAnsi="Arial" w:cs="Arial"/>
          <w:color w:val="000000"/>
          <w:sz w:val="20"/>
        </w:rPr>
        <w:t>Medición del activo por arrendamiento</w:t>
      </w:r>
    </w:p>
    <w:p w14:paraId="6E827CF1" w14:textId="77777777" w:rsidR="00A95F91" w:rsidRPr="006E1AF7" w:rsidRDefault="00A95F91" w:rsidP="00A95F91">
      <w:pPr>
        <w:autoSpaceDE w:val="0"/>
        <w:autoSpaceDN w:val="0"/>
        <w:adjustRightInd w:val="0"/>
        <w:ind w:left="360"/>
        <w:rPr>
          <w:rFonts w:ascii="Arial" w:hAnsi="Arial" w:cs="Arial"/>
          <w:color w:val="000000"/>
          <w:sz w:val="20"/>
        </w:rPr>
      </w:pPr>
    </w:p>
    <w:p w14:paraId="1F0009FC" w14:textId="77777777" w:rsidR="00A95F91" w:rsidRPr="006E1AF7" w:rsidRDefault="00A95F91" w:rsidP="00A95F91">
      <w:pPr>
        <w:autoSpaceDE w:val="0"/>
        <w:autoSpaceDN w:val="0"/>
        <w:adjustRightInd w:val="0"/>
        <w:ind w:left="360"/>
        <w:rPr>
          <w:rFonts w:ascii="Arial" w:hAnsi="Arial" w:cs="Arial"/>
          <w:color w:val="000000"/>
          <w:sz w:val="20"/>
        </w:rPr>
      </w:pPr>
      <w:r w:rsidRPr="006E1AF7">
        <w:rPr>
          <w:rFonts w:ascii="Arial" w:hAnsi="Arial" w:cs="Arial"/>
          <w:color w:val="000000"/>
          <w:sz w:val="20"/>
        </w:rPr>
        <w:t>El activo por derecho de uso fue medido por un monto igual al pasivo por arrendamiento.</w:t>
      </w:r>
    </w:p>
    <w:p w14:paraId="5F8BD9B1" w14:textId="77777777" w:rsidR="00A95F91" w:rsidRPr="006E1AF7" w:rsidRDefault="00A95F91" w:rsidP="00A95F91">
      <w:pPr>
        <w:autoSpaceDE w:val="0"/>
        <w:autoSpaceDN w:val="0"/>
        <w:adjustRightInd w:val="0"/>
        <w:ind w:left="360"/>
        <w:rPr>
          <w:rFonts w:ascii="Arial" w:hAnsi="Arial" w:cs="Arial"/>
          <w:color w:val="000000"/>
          <w:sz w:val="20"/>
        </w:rPr>
      </w:pPr>
    </w:p>
    <w:p w14:paraId="132B50A4" w14:textId="77777777" w:rsidR="00A95F91" w:rsidRPr="006E1AF7" w:rsidRDefault="00A95F91" w:rsidP="006E1AF7">
      <w:pPr>
        <w:pStyle w:val="Prrafodelista"/>
        <w:numPr>
          <w:ilvl w:val="0"/>
          <w:numId w:val="113"/>
        </w:numPr>
        <w:autoSpaceDE w:val="0"/>
        <w:autoSpaceDN w:val="0"/>
        <w:adjustRightInd w:val="0"/>
        <w:contextualSpacing/>
        <w:rPr>
          <w:rFonts w:ascii="Arial" w:hAnsi="Arial" w:cs="Arial"/>
          <w:color w:val="000000"/>
          <w:sz w:val="20"/>
        </w:rPr>
      </w:pPr>
      <w:r w:rsidRPr="006E1AF7">
        <w:rPr>
          <w:rFonts w:ascii="Arial" w:hAnsi="Arial" w:cs="Arial"/>
          <w:color w:val="000000"/>
          <w:sz w:val="20"/>
        </w:rPr>
        <w:t>Ajustes reconocidos en el estado de situación financiera al 1 de enero de 2019</w:t>
      </w:r>
    </w:p>
    <w:p w14:paraId="7FC16849" w14:textId="77777777" w:rsidR="00A95F91" w:rsidRPr="006E1AF7" w:rsidRDefault="00A95F91" w:rsidP="00A95F91">
      <w:pPr>
        <w:autoSpaceDE w:val="0"/>
        <w:autoSpaceDN w:val="0"/>
        <w:adjustRightInd w:val="0"/>
        <w:ind w:left="360"/>
        <w:rPr>
          <w:rFonts w:ascii="Arial" w:hAnsi="Arial" w:cs="Arial"/>
          <w:color w:val="000000"/>
          <w:sz w:val="20"/>
        </w:rPr>
      </w:pPr>
    </w:p>
    <w:p w14:paraId="39CAA803" w14:textId="79C4485D" w:rsidR="00A95F91" w:rsidRDefault="00A95F91" w:rsidP="00A95F91">
      <w:pPr>
        <w:autoSpaceDE w:val="0"/>
        <w:autoSpaceDN w:val="0"/>
        <w:adjustRightInd w:val="0"/>
        <w:ind w:left="360"/>
        <w:rPr>
          <w:rFonts w:ascii="Arial" w:hAnsi="Arial" w:cs="Arial"/>
          <w:color w:val="000000"/>
          <w:sz w:val="20"/>
        </w:rPr>
      </w:pPr>
      <w:r w:rsidRPr="006E1AF7">
        <w:rPr>
          <w:rFonts w:ascii="Arial" w:hAnsi="Arial" w:cs="Arial"/>
          <w:color w:val="000000"/>
          <w:sz w:val="20"/>
        </w:rPr>
        <w:t>El cambio en la política contable afectó los siguientes ítems en el estado de situación financiera al 1 de enero de 2019:</w:t>
      </w:r>
    </w:p>
    <w:p w14:paraId="7A18FE6F" w14:textId="77777777" w:rsidR="00A95F91" w:rsidRPr="006E1AF7" w:rsidRDefault="00A95F91" w:rsidP="00A95F91">
      <w:pPr>
        <w:autoSpaceDE w:val="0"/>
        <w:autoSpaceDN w:val="0"/>
        <w:adjustRightInd w:val="0"/>
        <w:ind w:left="360"/>
        <w:rPr>
          <w:rFonts w:ascii="Arial" w:hAnsi="Arial" w:cs="Arial"/>
          <w:color w:val="000000"/>
          <w:sz w:val="20"/>
        </w:rPr>
      </w:pPr>
    </w:p>
    <w:p w14:paraId="2E9C5FB8" w14:textId="77777777" w:rsidR="00A95F91" w:rsidRPr="006E1AF7" w:rsidRDefault="00A95F91" w:rsidP="00A95F91">
      <w:pPr>
        <w:pStyle w:val="Prrafodelista"/>
        <w:numPr>
          <w:ilvl w:val="0"/>
          <w:numId w:val="112"/>
        </w:numPr>
        <w:autoSpaceDE w:val="0"/>
        <w:autoSpaceDN w:val="0"/>
        <w:adjustRightInd w:val="0"/>
        <w:contextualSpacing/>
        <w:rPr>
          <w:rFonts w:ascii="Arial" w:hAnsi="Arial" w:cs="Arial"/>
          <w:color w:val="000000"/>
          <w:sz w:val="20"/>
        </w:rPr>
      </w:pPr>
      <w:r w:rsidRPr="006E1AF7">
        <w:rPr>
          <w:rFonts w:ascii="Arial" w:hAnsi="Arial" w:cs="Arial"/>
          <w:color w:val="000000"/>
          <w:sz w:val="20"/>
        </w:rPr>
        <w:t xml:space="preserve">Propiedad, planta y equipo – incremento de $ </w:t>
      </w:r>
      <w:r w:rsidRPr="006E1AF7">
        <w:rPr>
          <w:rFonts w:ascii="Arial" w:hAnsi="Arial" w:cs="Arial"/>
          <w:iCs/>
          <w:sz w:val="20"/>
        </w:rPr>
        <w:t>905.945</w:t>
      </w:r>
    </w:p>
    <w:p w14:paraId="4010ED83" w14:textId="77777777" w:rsidR="00A95F91" w:rsidRPr="006E1AF7" w:rsidRDefault="00A95F91" w:rsidP="00A95F91">
      <w:pPr>
        <w:pStyle w:val="Prrafodelista"/>
        <w:numPr>
          <w:ilvl w:val="0"/>
          <w:numId w:val="112"/>
        </w:numPr>
        <w:autoSpaceDE w:val="0"/>
        <w:autoSpaceDN w:val="0"/>
        <w:adjustRightInd w:val="0"/>
        <w:contextualSpacing/>
        <w:rPr>
          <w:rFonts w:ascii="Arial" w:hAnsi="Arial" w:cs="Arial"/>
          <w:color w:val="000000"/>
          <w:sz w:val="20"/>
        </w:rPr>
      </w:pPr>
      <w:r w:rsidRPr="006E1AF7">
        <w:rPr>
          <w:rFonts w:ascii="Arial" w:hAnsi="Arial" w:cs="Arial"/>
          <w:color w:val="000000"/>
          <w:sz w:val="20"/>
        </w:rPr>
        <w:t xml:space="preserve">Otros pasivos financieros – incremento de $ </w:t>
      </w:r>
      <w:r w:rsidRPr="006E1AF7">
        <w:rPr>
          <w:rFonts w:ascii="Arial" w:hAnsi="Arial" w:cs="Arial"/>
          <w:iCs/>
          <w:sz w:val="20"/>
        </w:rPr>
        <w:t>905.945</w:t>
      </w:r>
      <w:r w:rsidRPr="006E1AF7">
        <w:rPr>
          <w:rFonts w:ascii="Arial" w:hAnsi="Arial" w:cs="Arial"/>
          <w:color w:val="000000"/>
          <w:sz w:val="20"/>
        </w:rPr>
        <w:t xml:space="preserve"> </w:t>
      </w:r>
    </w:p>
    <w:p w14:paraId="79D5BB21" w14:textId="486A9714" w:rsidR="003824EC" w:rsidRPr="00A95F91" w:rsidRDefault="003824EC" w:rsidP="003824EC">
      <w:pPr>
        <w:autoSpaceDE w:val="0"/>
        <w:autoSpaceDN w:val="0"/>
        <w:adjustRightInd w:val="0"/>
        <w:jc w:val="both"/>
        <w:rPr>
          <w:rFonts w:ascii="Arial" w:eastAsia="Arial" w:hAnsi="Arial" w:cs="Arial"/>
          <w:b/>
          <w:sz w:val="20"/>
        </w:rPr>
      </w:pPr>
    </w:p>
    <w:p w14:paraId="1778EBFC" w14:textId="77D18ED6" w:rsidR="003824EC" w:rsidRPr="00534414" w:rsidRDefault="003824EC" w:rsidP="00627289">
      <w:pPr>
        <w:pStyle w:val="Prrafodelista"/>
        <w:numPr>
          <w:ilvl w:val="0"/>
          <w:numId w:val="35"/>
        </w:numPr>
        <w:autoSpaceDE w:val="0"/>
        <w:autoSpaceDN w:val="0"/>
        <w:adjustRightInd w:val="0"/>
        <w:jc w:val="both"/>
        <w:rPr>
          <w:rFonts w:ascii="Arial" w:eastAsia="Arial" w:hAnsi="Arial" w:cs="Arial"/>
          <w:b/>
          <w:sz w:val="20"/>
        </w:rPr>
      </w:pPr>
      <w:r w:rsidRPr="00534414">
        <w:rPr>
          <w:rFonts w:ascii="Arial" w:eastAsia="Arial" w:hAnsi="Arial" w:cs="Arial"/>
          <w:b/>
          <w:sz w:val="20"/>
        </w:rPr>
        <w:t xml:space="preserve">Nuevas normas contables y modificaciones emitidas por el IASB que no han sido adoptadas por el </w:t>
      </w:r>
      <w:r>
        <w:rPr>
          <w:rFonts w:ascii="Arial" w:eastAsia="Arial" w:hAnsi="Arial" w:cs="Arial"/>
          <w:b/>
          <w:sz w:val="20"/>
        </w:rPr>
        <w:t>Banco</w:t>
      </w:r>
    </w:p>
    <w:p w14:paraId="075FA38C" w14:textId="77777777" w:rsidR="003824EC" w:rsidRPr="00534414" w:rsidRDefault="003824EC" w:rsidP="003824EC">
      <w:pPr>
        <w:autoSpaceDE w:val="0"/>
        <w:autoSpaceDN w:val="0"/>
        <w:adjustRightInd w:val="0"/>
        <w:jc w:val="both"/>
        <w:rPr>
          <w:rFonts w:ascii="Arial" w:eastAsia="Arial" w:hAnsi="Arial" w:cs="Arial"/>
          <w:sz w:val="20"/>
        </w:rPr>
      </w:pPr>
    </w:p>
    <w:p w14:paraId="1501D3ED" w14:textId="77777777" w:rsidR="003824EC" w:rsidRPr="00534414" w:rsidRDefault="003824EC" w:rsidP="003824EC">
      <w:pPr>
        <w:autoSpaceDE w:val="0"/>
        <w:autoSpaceDN w:val="0"/>
        <w:adjustRightInd w:val="0"/>
        <w:jc w:val="both"/>
        <w:rPr>
          <w:rFonts w:ascii="Arial" w:eastAsia="Arial" w:hAnsi="Arial" w:cs="Arial"/>
          <w:sz w:val="20"/>
        </w:rPr>
      </w:pPr>
      <w:r w:rsidRPr="00534414">
        <w:rPr>
          <w:rFonts w:ascii="Arial" w:eastAsia="Arial" w:hAnsi="Arial" w:cs="Arial"/>
          <w:sz w:val="20"/>
        </w:rPr>
        <w:t>A medida que se aprueban nuevas NIIF, modificaciones o derogación de las vigentes y, una vez que estos cambios son adoptados a través de Circulares de Adopción de la Federación Argentina de Consejos Profesionales en Ciencias Económicas (FACPCE), el B.C.R.A. se expedirá acerca de su aprobación para las entidades financieras. Con carácter general, no se admitirá la aplicación anticipada de ninguna NIIF, a menos que en oportunidad de adoptarse, se defina específicamente.</w:t>
      </w:r>
    </w:p>
    <w:p w14:paraId="306FB81B" w14:textId="77777777" w:rsidR="00100A56" w:rsidRDefault="00100A56" w:rsidP="003824EC">
      <w:pPr>
        <w:autoSpaceDE w:val="0"/>
        <w:autoSpaceDN w:val="0"/>
        <w:adjustRightInd w:val="0"/>
        <w:jc w:val="both"/>
        <w:rPr>
          <w:rFonts w:ascii="Arial" w:eastAsia="Arial" w:hAnsi="Arial" w:cs="Arial"/>
          <w:sz w:val="20"/>
        </w:rPr>
      </w:pPr>
    </w:p>
    <w:p w14:paraId="022BF97A" w14:textId="46DB674F" w:rsidR="003824EC" w:rsidRPr="00534414" w:rsidRDefault="003824EC" w:rsidP="003824EC">
      <w:pPr>
        <w:autoSpaceDE w:val="0"/>
        <w:autoSpaceDN w:val="0"/>
        <w:adjustRightInd w:val="0"/>
        <w:jc w:val="both"/>
        <w:rPr>
          <w:rFonts w:ascii="Arial" w:eastAsia="Arial" w:hAnsi="Arial" w:cs="Arial"/>
          <w:sz w:val="20"/>
        </w:rPr>
      </w:pPr>
      <w:r w:rsidRPr="00534414">
        <w:rPr>
          <w:rFonts w:ascii="Arial" w:eastAsia="Arial" w:hAnsi="Arial" w:cs="Arial"/>
          <w:sz w:val="20"/>
        </w:rPr>
        <w:t>Se detalla</w:t>
      </w:r>
      <w:r w:rsidR="00232A35">
        <w:rPr>
          <w:rFonts w:ascii="Arial" w:eastAsia="Arial" w:hAnsi="Arial" w:cs="Arial"/>
          <w:sz w:val="20"/>
        </w:rPr>
        <w:t>n a</w:t>
      </w:r>
      <w:r w:rsidRPr="00534414">
        <w:rPr>
          <w:rFonts w:ascii="Arial" w:eastAsia="Arial" w:hAnsi="Arial" w:cs="Arial"/>
          <w:sz w:val="20"/>
        </w:rPr>
        <w:t xml:space="preserve"> continuación las nuevas normas, modificaciones e interpretaciones publicadas que todavía no han entrado en vigor para ejercicios que comiencen a partir del 1° de enero de 201</w:t>
      </w:r>
      <w:r w:rsidR="00EB3AD4">
        <w:rPr>
          <w:rFonts w:ascii="Arial" w:eastAsia="Arial" w:hAnsi="Arial" w:cs="Arial"/>
          <w:sz w:val="20"/>
        </w:rPr>
        <w:t>9</w:t>
      </w:r>
      <w:r w:rsidRPr="00534414">
        <w:rPr>
          <w:rFonts w:ascii="Arial" w:eastAsia="Arial" w:hAnsi="Arial" w:cs="Arial"/>
          <w:sz w:val="20"/>
        </w:rPr>
        <w:t xml:space="preserve">, y no han sido adoptadas anticipadamente: </w:t>
      </w:r>
    </w:p>
    <w:p w14:paraId="48F6BD33" w14:textId="77777777" w:rsidR="00100A56" w:rsidRDefault="00100A56" w:rsidP="003824EC">
      <w:pPr>
        <w:autoSpaceDE w:val="0"/>
        <w:autoSpaceDN w:val="0"/>
        <w:adjustRightInd w:val="0"/>
        <w:jc w:val="both"/>
        <w:rPr>
          <w:rFonts w:ascii="Arial" w:eastAsia="Arial" w:hAnsi="Arial" w:cs="Arial"/>
          <w:b/>
          <w:sz w:val="20"/>
        </w:rPr>
      </w:pPr>
    </w:p>
    <w:p w14:paraId="6C0E70A5" w14:textId="0B30BEA1" w:rsidR="003824EC" w:rsidRPr="00534414" w:rsidRDefault="003824EC" w:rsidP="003824EC">
      <w:pPr>
        <w:autoSpaceDE w:val="0"/>
        <w:autoSpaceDN w:val="0"/>
        <w:adjustRightInd w:val="0"/>
        <w:jc w:val="both"/>
        <w:rPr>
          <w:rFonts w:ascii="Arial" w:eastAsia="Arial" w:hAnsi="Arial" w:cs="Arial"/>
          <w:sz w:val="20"/>
        </w:rPr>
      </w:pPr>
      <w:r w:rsidRPr="003824EC">
        <w:rPr>
          <w:rFonts w:ascii="Arial" w:eastAsia="Arial" w:hAnsi="Arial" w:cs="Arial"/>
          <w:b/>
          <w:sz w:val="20"/>
        </w:rPr>
        <w:t xml:space="preserve">NIIF 17 "Contratos de seguro": </w:t>
      </w:r>
      <w:r w:rsidRPr="00534414">
        <w:rPr>
          <w:rFonts w:ascii="Arial" w:eastAsia="Arial" w:hAnsi="Arial" w:cs="Arial"/>
          <w:sz w:val="20"/>
        </w:rPr>
        <w:t xml:space="preserve">El 18 de mayo de 2017, el IASB emitió la NIIF 17 Contratos de seguro, que proporciona un marco integral basado en principios para la medición y presentación de todos los contratos de seguro. La nueva norma reemplazará a la NIIF 4 Contratos de seguro y exige que los contratos de seguro se midan utilizando los flujos de efectivo de cumplimiento actuales y que los ingresos se reconozcan a medida que se brinda el servicio durante el período de cobertura. La norma entrará en vigencia para los ejercicios que comiencen a partir del 1 de noviembre de 2021. El </w:t>
      </w:r>
      <w:r w:rsidR="00100A56">
        <w:rPr>
          <w:rFonts w:ascii="Arial" w:eastAsia="Arial" w:hAnsi="Arial" w:cs="Arial"/>
          <w:sz w:val="20"/>
        </w:rPr>
        <w:t>Banco</w:t>
      </w:r>
      <w:r w:rsidRPr="00534414">
        <w:rPr>
          <w:rFonts w:ascii="Arial" w:eastAsia="Arial" w:hAnsi="Arial" w:cs="Arial"/>
          <w:sz w:val="20"/>
        </w:rPr>
        <w:t xml:space="preserve"> está evaluando el impacto de la adopción de esta nueva norma.</w:t>
      </w:r>
    </w:p>
    <w:p w14:paraId="3CC51BC1" w14:textId="77777777" w:rsidR="00100A56" w:rsidRDefault="00100A56" w:rsidP="003824EC">
      <w:pPr>
        <w:autoSpaceDE w:val="0"/>
        <w:autoSpaceDN w:val="0"/>
        <w:adjustRightInd w:val="0"/>
        <w:jc w:val="both"/>
        <w:rPr>
          <w:rFonts w:ascii="Arial" w:eastAsia="Arial" w:hAnsi="Arial" w:cs="Arial"/>
          <w:b/>
          <w:sz w:val="20"/>
        </w:rPr>
      </w:pPr>
    </w:p>
    <w:p w14:paraId="60F566B0" w14:textId="027AABE4" w:rsidR="003824EC" w:rsidRDefault="003824EC" w:rsidP="00656E62">
      <w:pPr>
        <w:jc w:val="both"/>
        <w:rPr>
          <w:rFonts w:ascii="Arial" w:eastAsia="Arial" w:hAnsi="Arial" w:cs="Arial"/>
          <w:sz w:val="20"/>
        </w:rPr>
      </w:pPr>
      <w:r w:rsidRPr="00534414">
        <w:rPr>
          <w:rFonts w:ascii="Arial" w:eastAsia="Arial" w:hAnsi="Arial" w:cs="Arial"/>
          <w:sz w:val="20"/>
        </w:rPr>
        <w:t xml:space="preserve">No hay otras NIIF o interpretaciones CINIIF que no sean efectivas todavía y que se espere que tengan un efecto significativo para el </w:t>
      </w:r>
      <w:r w:rsidR="00100A56">
        <w:rPr>
          <w:rFonts w:ascii="Arial" w:eastAsia="Arial" w:hAnsi="Arial" w:cs="Arial"/>
          <w:sz w:val="20"/>
        </w:rPr>
        <w:t>Banco.</w:t>
      </w:r>
    </w:p>
    <w:p w14:paraId="3720F73C" w14:textId="77777777" w:rsidR="00DE1E92" w:rsidRDefault="00DE1E92" w:rsidP="00656E62">
      <w:pPr>
        <w:jc w:val="both"/>
        <w:rPr>
          <w:rFonts w:ascii="Arial" w:eastAsia="Arial" w:hAnsi="Arial" w:cs="Arial"/>
          <w:sz w:val="20"/>
        </w:rPr>
      </w:pPr>
    </w:p>
    <w:p w14:paraId="5BF86759" w14:textId="77777777" w:rsidR="00F60B2C" w:rsidRPr="00701F32" w:rsidRDefault="00DE1E92" w:rsidP="00F60B2C">
      <w:pPr>
        <w:spacing w:after="160" w:line="259" w:lineRule="auto"/>
        <w:jc w:val="both"/>
        <w:rPr>
          <w:rFonts w:ascii="Arial" w:eastAsia="Calibri" w:hAnsi="Arial" w:cs="Arial"/>
          <w:b/>
          <w:sz w:val="20"/>
        </w:rPr>
      </w:pPr>
      <w:r w:rsidRPr="00701F32">
        <w:rPr>
          <w:rFonts w:ascii="Arial" w:eastAsia="Arial" w:hAnsi="Arial" w:cs="Arial"/>
          <w:b/>
          <w:sz w:val="20"/>
        </w:rPr>
        <w:t>1.</w:t>
      </w:r>
      <w:r>
        <w:rPr>
          <w:rFonts w:ascii="Arial" w:eastAsia="Arial" w:hAnsi="Arial" w:cs="Arial"/>
          <w:b/>
          <w:sz w:val="20"/>
        </w:rPr>
        <w:t>3</w:t>
      </w:r>
      <w:r w:rsidRPr="00701F32">
        <w:rPr>
          <w:rFonts w:ascii="Arial" w:eastAsia="Arial" w:hAnsi="Arial" w:cs="Arial"/>
          <w:b/>
          <w:sz w:val="20"/>
        </w:rPr>
        <w:t xml:space="preserve"> </w:t>
      </w:r>
      <w:r w:rsidR="00F60B2C" w:rsidRPr="00701F32">
        <w:rPr>
          <w:rFonts w:ascii="Arial" w:eastAsia="Calibri" w:hAnsi="Arial" w:cs="Arial"/>
          <w:b/>
          <w:sz w:val="20"/>
        </w:rPr>
        <w:t xml:space="preserve">Asociadas </w:t>
      </w:r>
    </w:p>
    <w:p w14:paraId="4C46D9B0" w14:textId="77777777" w:rsidR="00FC4CCA" w:rsidRDefault="00FC4CCA" w:rsidP="00FC4CCA">
      <w:pPr>
        <w:pStyle w:val="Default"/>
        <w:jc w:val="both"/>
        <w:rPr>
          <w:sz w:val="20"/>
          <w:szCs w:val="20"/>
        </w:rPr>
      </w:pPr>
      <w:r>
        <w:rPr>
          <w:sz w:val="20"/>
          <w:szCs w:val="20"/>
        </w:rPr>
        <w:t xml:space="preserve">Subsidiarias son todas aquellas entidades sobre las cuales el Banco tiene el control. El Banco controla una entidad cuando está expuesta, o tiene derecho, a obtener unos rendimientos variables por su implicación en la participada, y tiene la capacidad de utilizar el poder de dirigir las políticas operativas y financieras de la entidad, para influir sobre esos rendimientos. Las subsidiarias se consolidan a partir de la fecha en que se transfiere el control a la Sociedad, y se excluyen de la consolidación en la fecha en que cesa el mismo. </w:t>
      </w:r>
    </w:p>
    <w:p w14:paraId="551A02A3" w14:textId="77777777" w:rsidR="00FC4CCA" w:rsidRDefault="00FC4CCA" w:rsidP="00FC4CCA">
      <w:pPr>
        <w:pStyle w:val="Default"/>
        <w:jc w:val="both"/>
        <w:rPr>
          <w:sz w:val="20"/>
          <w:szCs w:val="20"/>
        </w:rPr>
      </w:pPr>
    </w:p>
    <w:p w14:paraId="61E40EEA" w14:textId="77777777" w:rsidR="00FC4CCA" w:rsidRDefault="00FC4CCA" w:rsidP="00FC4CCA">
      <w:pPr>
        <w:pStyle w:val="Default"/>
        <w:jc w:val="both"/>
        <w:rPr>
          <w:sz w:val="20"/>
          <w:szCs w:val="20"/>
        </w:rPr>
      </w:pPr>
      <w:r>
        <w:rPr>
          <w:sz w:val="20"/>
          <w:szCs w:val="20"/>
        </w:rPr>
        <w:t xml:space="preserve">Las asociadas son aquellas entidades sobre las cuales el Banco tiene influencia significativa, es decir el poder de intervenir en las decisiones de política financiera y de operación de la participada, sin llegar a tener el control. </w:t>
      </w:r>
    </w:p>
    <w:p w14:paraId="051D0FD6" w14:textId="77777777" w:rsidR="00FC4CCA" w:rsidRDefault="00FC4CCA" w:rsidP="00FC4CCA">
      <w:pPr>
        <w:pStyle w:val="Default"/>
        <w:jc w:val="both"/>
        <w:rPr>
          <w:sz w:val="20"/>
          <w:szCs w:val="20"/>
        </w:rPr>
      </w:pPr>
    </w:p>
    <w:p w14:paraId="46F53CA3" w14:textId="77777777" w:rsidR="00FC4CCA" w:rsidRDefault="00FC4CCA" w:rsidP="00FC4CCA">
      <w:pPr>
        <w:pStyle w:val="Default"/>
        <w:jc w:val="both"/>
        <w:rPr>
          <w:sz w:val="20"/>
          <w:szCs w:val="20"/>
        </w:rPr>
      </w:pPr>
      <w:r>
        <w:rPr>
          <w:sz w:val="20"/>
          <w:szCs w:val="20"/>
        </w:rPr>
        <w:t xml:space="preserve">Conforme a lo establecido por las NIC 27 y 28, en los estados financieros separados, las inversiones en entidades subsidiarias y asociadas podrán ser contabilizadas utilizando el “método de la participación” o “método del valor patrimonial proporcional”. </w:t>
      </w:r>
    </w:p>
    <w:p w14:paraId="49242663" w14:textId="77777777" w:rsidR="00FC4CCA" w:rsidRDefault="00FC4CCA" w:rsidP="00FC4CCA">
      <w:pPr>
        <w:pStyle w:val="Default"/>
        <w:jc w:val="both"/>
        <w:rPr>
          <w:sz w:val="20"/>
          <w:szCs w:val="20"/>
        </w:rPr>
      </w:pPr>
    </w:p>
    <w:p w14:paraId="0AE17065" w14:textId="77777777" w:rsidR="00FC4CCA" w:rsidRDefault="00FC4CCA" w:rsidP="00FC4CCA">
      <w:pPr>
        <w:pStyle w:val="Default"/>
        <w:jc w:val="both"/>
        <w:rPr>
          <w:sz w:val="20"/>
          <w:szCs w:val="20"/>
        </w:rPr>
      </w:pPr>
      <w:r>
        <w:rPr>
          <w:sz w:val="20"/>
          <w:szCs w:val="20"/>
        </w:rPr>
        <w:t xml:space="preserve">Al utilizar el método de la participación, las inversiones son inicialmente reconocidas al costo, y dicho monto se incrementa o disminuye para reconocer la participación del inversor en las ganancias y pérdidas de la entidad con posterioridad a la fecha de adquisición / constitución. </w:t>
      </w:r>
    </w:p>
    <w:p w14:paraId="05A190A9" w14:textId="77777777" w:rsidR="00FC4CCA" w:rsidRDefault="00FC4CCA" w:rsidP="00FC4CCA">
      <w:pPr>
        <w:pStyle w:val="Default"/>
        <w:jc w:val="both"/>
        <w:rPr>
          <w:sz w:val="20"/>
          <w:szCs w:val="20"/>
        </w:rPr>
      </w:pPr>
    </w:p>
    <w:p w14:paraId="22375F31" w14:textId="77777777" w:rsidR="00FC4CCA" w:rsidRDefault="00FC4CCA" w:rsidP="00FC4CCA">
      <w:pPr>
        <w:pStyle w:val="Default"/>
        <w:jc w:val="both"/>
        <w:rPr>
          <w:sz w:val="20"/>
          <w:szCs w:val="20"/>
        </w:rPr>
      </w:pPr>
      <w:r>
        <w:rPr>
          <w:sz w:val="20"/>
          <w:szCs w:val="20"/>
        </w:rPr>
        <w:t xml:space="preserve">Asimismo, los activos netos y los pasivos contingentes identificables adquiridos en la inversión inicial en una subsidiaria y/o asociada se valúan originalmente a sus valores razonables a la fecha de dicha inversión. De corresponder, el valor de las participaciones en subsidiarias y asociadas incluye el valor llave reconocido en dicha fecha. Cuando la participación del grupo en las pérdidas es igual o excede el valor de participación en dichas entidades, la Entidad no reconoce pérdidas adicionales, excepto cuando existan obligaciones legales o asumidas de proveer fondos o hacer pagos por cuenta de las mismas. </w:t>
      </w:r>
    </w:p>
    <w:p w14:paraId="414B8C54" w14:textId="77777777" w:rsidR="00FC4CCA" w:rsidRDefault="00FC4CCA" w:rsidP="00FC4CCA">
      <w:pPr>
        <w:pStyle w:val="Default"/>
        <w:jc w:val="both"/>
        <w:rPr>
          <w:sz w:val="20"/>
          <w:szCs w:val="20"/>
        </w:rPr>
      </w:pPr>
    </w:p>
    <w:p w14:paraId="0A534ED5" w14:textId="77777777" w:rsidR="00FC4CCA" w:rsidRDefault="00FC4CCA" w:rsidP="00FC4CCA">
      <w:pPr>
        <w:pStyle w:val="Default"/>
        <w:jc w:val="both"/>
        <w:rPr>
          <w:sz w:val="20"/>
          <w:szCs w:val="20"/>
        </w:rPr>
      </w:pPr>
      <w:r>
        <w:rPr>
          <w:sz w:val="20"/>
          <w:szCs w:val="20"/>
        </w:rPr>
        <w:t xml:space="preserve">La participación en las ganancias y pérdidas de subsidiarias y asociadas se reconoce en la línea “Resultado por asociadas y negocios conjuntos” en el estado de resultados separado. La participación en los otros resultados de subsidiarias y asociadas se imputa en la línea “Participación de asociadas y negocios conjuntos contabilizados utilizando el método de la participación”, del estado de otros resultados integrales separado. </w:t>
      </w:r>
    </w:p>
    <w:p w14:paraId="3903EC77" w14:textId="77777777" w:rsidR="00FC4CCA" w:rsidRDefault="00FC4CCA" w:rsidP="00FC4CCA">
      <w:pPr>
        <w:pStyle w:val="Default"/>
        <w:jc w:val="both"/>
        <w:rPr>
          <w:sz w:val="20"/>
          <w:szCs w:val="20"/>
        </w:rPr>
      </w:pPr>
    </w:p>
    <w:p w14:paraId="669355B7" w14:textId="77777777" w:rsidR="00FC4CCA" w:rsidRDefault="00FC4CCA" w:rsidP="00FC4CCA">
      <w:pPr>
        <w:pStyle w:val="Default"/>
        <w:jc w:val="both"/>
        <w:rPr>
          <w:sz w:val="20"/>
          <w:szCs w:val="20"/>
        </w:rPr>
      </w:pPr>
      <w:r>
        <w:rPr>
          <w:sz w:val="20"/>
          <w:szCs w:val="20"/>
        </w:rPr>
        <w:t>El Banco determina a la fecha de cada reporte si existe evidencia objetiva de que una inversión en una entidad subsidiaria y asociada no es recuperable. De ser el caso, calcula el monto de desvalorización como la diferencia entre el valor recuperable de dicha inversión y su valor contable, reconociendo el monto resultante en “Resultado por asociadas y negocios conjuntos” en el estado de resultados separado.</w:t>
      </w:r>
    </w:p>
    <w:p w14:paraId="30EC8E69" w14:textId="77777777" w:rsidR="00F60B2C" w:rsidRPr="00701F32" w:rsidRDefault="00F60B2C" w:rsidP="00F60B2C">
      <w:pPr>
        <w:spacing w:line="259" w:lineRule="auto"/>
        <w:jc w:val="both"/>
        <w:rPr>
          <w:rFonts w:ascii="Georgia" w:eastAsia="Calibri" w:hAnsi="Georgia"/>
          <w:sz w:val="20"/>
        </w:rPr>
      </w:pPr>
    </w:p>
    <w:p w14:paraId="7E201F8B" w14:textId="77777777" w:rsidR="00F60B2C" w:rsidRPr="00701F32" w:rsidRDefault="00F60B2C" w:rsidP="00F60B2C">
      <w:pPr>
        <w:spacing w:line="259" w:lineRule="auto"/>
        <w:jc w:val="both"/>
        <w:rPr>
          <w:rFonts w:ascii="Arial" w:eastAsia="Calibri" w:hAnsi="Arial" w:cs="Arial"/>
          <w:b/>
          <w:sz w:val="20"/>
        </w:rPr>
      </w:pPr>
      <w:r w:rsidRPr="00701F32">
        <w:rPr>
          <w:rFonts w:ascii="Arial" w:eastAsia="Calibri" w:hAnsi="Arial" w:cs="Arial"/>
          <w:b/>
          <w:sz w:val="20"/>
        </w:rPr>
        <w:t xml:space="preserve">1.4 Información por segmentos </w:t>
      </w:r>
    </w:p>
    <w:p w14:paraId="316709B0" w14:textId="77777777" w:rsidR="00F60B2C" w:rsidRPr="00701F32" w:rsidRDefault="00F60B2C" w:rsidP="00F60B2C">
      <w:pPr>
        <w:spacing w:line="259" w:lineRule="auto"/>
        <w:jc w:val="both"/>
        <w:rPr>
          <w:rFonts w:ascii="Arial" w:eastAsia="Calibri" w:hAnsi="Arial" w:cs="Arial"/>
          <w:sz w:val="20"/>
        </w:rPr>
      </w:pPr>
      <w:r w:rsidRPr="00701F32">
        <w:rPr>
          <w:rFonts w:ascii="Arial" w:eastAsia="Calibri" w:hAnsi="Arial" w:cs="Arial"/>
          <w:sz w:val="20"/>
        </w:rPr>
        <w:t xml:space="preserve"> </w:t>
      </w:r>
    </w:p>
    <w:p w14:paraId="58EB77E2" w14:textId="77777777" w:rsidR="00F60B2C" w:rsidRPr="00701F32" w:rsidRDefault="00F60B2C" w:rsidP="00F60B2C">
      <w:pPr>
        <w:spacing w:after="160" w:line="259" w:lineRule="auto"/>
        <w:jc w:val="both"/>
        <w:rPr>
          <w:rFonts w:ascii="Arial" w:eastAsia="Calibri" w:hAnsi="Arial" w:cs="Arial"/>
          <w:bCs/>
          <w:sz w:val="20"/>
        </w:rPr>
      </w:pPr>
      <w:r w:rsidRPr="00701F32">
        <w:rPr>
          <w:rFonts w:ascii="Arial" w:eastAsia="Calibri" w:hAnsi="Arial" w:cs="Arial"/>
          <w:bCs/>
          <w:sz w:val="20"/>
        </w:rPr>
        <w:t xml:space="preserve">Un segmento operativo es un componente de una entidad que (a) desarrolla actividades de negocio de las que puede obtener ingresos e incurrir en gastos (incluyendo ingresos y gastos relacionados con transacciones con otros componentes de la misma entidad), (b) cuyo resultado operativo es regularmente revisado por la Gerencia para tomar decisiones acerca de los recursos que deben asignarse al segmento y evaluar su desempeño y (c) para los cuales se dispone de información </w:t>
      </w:r>
      <w:r>
        <w:rPr>
          <w:rFonts w:ascii="Arial" w:eastAsia="Calibri" w:hAnsi="Arial" w:cs="Arial"/>
          <w:bCs/>
          <w:sz w:val="20"/>
        </w:rPr>
        <w:t xml:space="preserve">financiera </w:t>
      </w:r>
      <w:r w:rsidRPr="00701F32">
        <w:rPr>
          <w:rFonts w:ascii="Arial" w:eastAsia="Calibri" w:hAnsi="Arial" w:cs="Arial"/>
          <w:bCs/>
          <w:sz w:val="20"/>
        </w:rPr>
        <w:t>diferenciada.</w:t>
      </w:r>
    </w:p>
    <w:p w14:paraId="5C62F5DD" w14:textId="77777777" w:rsidR="00F60B2C" w:rsidRPr="00701F32" w:rsidRDefault="00F60B2C" w:rsidP="00F60B2C">
      <w:pPr>
        <w:spacing w:after="160" w:line="259" w:lineRule="auto"/>
        <w:jc w:val="both"/>
        <w:rPr>
          <w:rFonts w:ascii="Arial" w:eastAsia="Calibri" w:hAnsi="Arial" w:cs="Arial"/>
          <w:bCs/>
          <w:sz w:val="20"/>
        </w:rPr>
      </w:pPr>
      <w:r w:rsidRPr="00701F32">
        <w:rPr>
          <w:rFonts w:ascii="Arial" w:eastAsia="Calibri" w:hAnsi="Arial" w:cs="Arial"/>
          <w:bCs/>
          <w:sz w:val="20"/>
        </w:rPr>
        <w:t>La información por segmentos se presenta de manera consistente con los informes internos proporcionados a:</w:t>
      </w:r>
    </w:p>
    <w:p w14:paraId="5B7EF42D" w14:textId="77777777" w:rsidR="00F60B2C" w:rsidRPr="00701F32" w:rsidRDefault="00F60B2C" w:rsidP="00F60B2C">
      <w:pPr>
        <w:numPr>
          <w:ilvl w:val="0"/>
          <w:numId w:val="83"/>
        </w:numPr>
        <w:spacing w:after="160" w:line="259" w:lineRule="auto"/>
        <w:jc w:val="both"/>
        <w:rPr>
          <w:rFonts w:ascii="Arial" w:eastAsia="Calibri" w:hAnsi="Arial" w:cs="Arial"/>
          <w:bCs/>
          <w:sz w:val="20"/>
        </w:rPr>
      </w:pPr>
      <w:r w:rsidRPr="00701F32">
        <w:rPr>
          <w:rFonts w:ascii="Arial" w:eastAsia="Calibri" w:hAnsi="Arial" w:cs="Arial"/>
          <w:bCs/>
          <w:sz w:val="20"/>
        </w:rPr>
        <w:t xml:space="preserve">Personal clave de la gerencia, quien constituye la máxima autoridad en la toma de decisiones operativas y responsable de asignar los recursos y evaluar el rendimiento de los segmentos operativos; y </w:t>
      </w:r>
    </w:p>
    <w:p w14:paraId="306A5AD5" w14:textId="77777777" w:rsidR="00F60B2C" w:rsidRPr="00701F32" w:rsidRDefault="00F60B2C" w:rsidP="00F60B2C">
      <w:pPr>
        <w:numPr>
          <w:ilvl w:val="0"/>
          <w:numId w:val="83"/>
        </w:numPr>
        <w:spacing w:after="160" w:line="259" w:lineRule="auto"/>
        <w:jc w:val="both"/>
        <w:rPr>
          <w:rFonts w:ascii="Arial" w:eastAsia="Calibri" w:hAnsi="Arial" w:cs="Arial"/>
          <w:bCs/>
          <w:sz w:val="20"/>
        </w:rPr>
      </w:pPr>
      <w:r w:rsidRPr="00701F32">
        <w:rPr>
          <w:rFonts w:ascii="Arial" w:eastAsia="Calibri" w:hAnsi="Arial" w:cs="Arial"/>
          <w:bCs/>
          <w:sz w:val="20"/>
        </w:rPr>
        <w:t xml:space="preserve">El Directorio, que es quien toma las decisiones estratégicas de la Entidad. </w:t>
      </w:r>
    </w:p>
    <w:p w14:paraId="7B2B7A36" w14:textId="77777777" w:rsidR="00F60B2C" w:rsidRPr="00701F32" w:rsidRDefault="00F60B2C" w:rsidP="00F60B2C">
      <w:pPr>
        <w:spacing w:line="259" w:lineRule="auto"/>
        <w:jc w:val="both"/>
        <w:rPr>
          <w:rFonts w:ascii="Georgia" w:eastAsia="Calibri" w:hAnsi="Georgia"/>
          <w:sz w:val="20"/>
        </w:rPr>
      </w:pPr>
    </w:p>
    <w:p w14:paraId="4DFC6BD8" w14:textId="77777777" w:rsidR="00F60B2C" w:rsidRPr="00701F32" w:rsidRDefault="00F60B2C" w:rsidP="00F60B2C">
      <w:pPr>
        <w:spacing w:after="160" w:line="259" w:lineRule="auto"/>
        <w:jc w:val="both"/>
        <w:rPr>
          <w:rFonts w:ascii="Arial" w:eastAsia="Calibri" w:hAnsi="Arial" w:cs="Arial"/>
          <w:bCs/>
          <w:sz w:val="20"/>
        </w:rPr>
      </w:pPr>
      <w:r w:rsidRPr="00701F32">
        <w:rPr>
          <w:rFonts w:ascii="Arial" w:eastAsia="Calibri" w:hAnsi="Arial" w:cs="Arial"/>
          <w:b/>
          <w:bCs/>
          <w:sz w:val="20"/>
        </w:rPr>
        <w:t xml:space="preserve">1.5 Conversión de moneda extranjera </w:t>
      </w:r>
    </w:p>
    <w:p w14:paraId="67C20B9E" w14:textId="77777777" w:rsidR="00F60B2C" w:rsidRPr="00701F32" w:rsidRDefault="00F60B2C" w:rsidP="00F60B2C">
      <w:pPr>
        <w:numPr>
          <w:ilvl w:val="0"/>
          <w:numId w:val="40"/>
        </w:numPr>
        <w:spacing w:after="160" w:line="259" w:lineRule="auto"/>
        <w:jc w:val="both"/>
        <w:rPr>
          <w:rFonts w:ascii="Arial" w:eastAsia="Calibri" w:hAnsi="Arial" w:cs="Arial"/>
          <w:b/>
          <w:sz w:val="20"/>
        </w:rPr>
      </w:pPr>
      <w:r w:rsidRPr="00701F32">
        <w:rPr>
          <w:rFonts w:ascii="Arial" w:eastAsia="Calibri" w:hAnsi="Arial" w:cs="Arial"/>
          <w:b/>
          <w:sz w:val="20"/>
        </w:rPr>
        <w:t>Moneda funcional y moneda de presentación</w:t>
      </w:r>
    </w:p>
    <w:p w14:paraId="1A44978C" w14:textId="77777777" w:rsidR="00F60B2C" w:rsidRPr="00701F32" w:rsidRDefault="00F60B2C" w:rsidP="00F60B2C">
      <w:pPr>
        <w:spacing w:after="160" w:line="259" w:lineRule="auto"/>
        <w:jc w:val="both"/>
        <w:rPr>
          <w:rFonts w:ascii="Georgia" w:eastAsia="Calibri" w:hAnsi="Georgia"/>
          <w:sz w:val="20"/>
        </w:rPr>
      </w:pPr>
      <w:r w:rsidRPr="00701F32">
        <w:rPr>
          <w:rFonts w:ascii="Arial" w:eastAsia="Calibri" w:hAnsi="Arial" w:cs="Arial"/>
          <w:sz w:val="20"/>
        </w:rPr>
        <w:t xml:space="preserve">Las cifras incluidas en los estados financieros </w:t>
      </w:r>
      <w:r w:rsidRPr="00701F32">
        <w:rPr>
          <w:rFonts w:ascii="Arial" w:eastAsia="Arial" w:hAnsi="Arial" w:cs="Arial"/>
          <w:sz w:val="20"/>
        </w:rPr>
        <w:t>separados</w:t>
      </w:r>
      <w:r w:rsidRPr="00701F32" w:rsidDel="003B1200">
        <w:rPr>
          <w:rFonts w:ascii="Arial" w:eastAsia="Calibri" w:hAnsi="Arial" w:cs="Arial"/>
          <w:sz w:val="20"/>
        </w:rPr>
        <w:t xml:space="preserve"> </w:t>
      </w:r>
      <w:r w:rsidRPr="00701F32">
        <w:rPr>
          <w:rFonts w:ascii="Arial" w:eastAsia="Calibri" w:hAnsi="Arial" w:cs="Arial"/>
          <w:sz w:val="20"/>
        </w:rPr>
        <w:t xml:space="preserve">se expresan en su moneda funcional, es decir, en la moneda del ambiente económico principal en la que operan. Los estados financieros </w:t>
      </w:r>
      <w:r w:rsidRPr="00701F32">
        <w:rPr>
          <w:rFonts w:ascii="Arial" w:eastAsia="Arial" w:hAnsi="Arial" w:cs="Arial"/>
          <w:sz w:val="20"/>
        </w:rPr>
        <w:t>separados</w:t>
      </w:r>
      <w:r w:rsidRPr="00701F32" w:rsidDel="003B1200">
        <w:rPr>
          <w:rFonts w:ascii="Arial" w:eastAsia="Calibri" w:hAnsi="Arial" w:cs="Arial"/>
          <w:sz w:val="20"/>
        </w:rPr>
        <w:t xml:space="preserve"> </w:t>
      </w:r>
      <w:r w:rsidRPr="00701F32">
        <w:rPr>
          <w:rFonts w:ascii="Arial" w:eastAsia="Calibri" w:hAnsi="Arial" w:cs="Arial"/>
          <w:sz w:val="20"/>
        </w:rPr>
        <w:t>se exponen en cifras expresadas en miles de pesos argentinos, que es la moneda funcional y la moneda de presentación del Banco</w:t>
      </w:r>
      <w:r w:rsidRPr="00701F32">
        <w:rPr>
          <w:rFonts w:ascii="Georgia" w:eastAsia="Calibri" w:hAnsi="Georgia"/>
          <w:sz w:val="20"/>
        </w:rPr>
        <w:t>.</w:t>
      </w:r>
    </w:p>
    <w:p w14:paraId="5476A5F5" w14:textId="77777777" w:rsidR="00F60B2C" w:rsidRPr="00701F32" w:rsidRDefault="00F60B2C" w:rsidP="00F60B2C">
      <w:pPr>
        <w:numPr>
          <w:ilvl w:val="0"/>
          <w:numId w:val="40"/>
        </w:numPr>
        <w:spacing w:after="160" w:line="259" w:lineRule="auto"/>
        <w:jc w:val="both"/>
        <w:rPr>
          <w:rFonts w:ascii="Arial" w:eastAsia="Calibri" w:hAnsi="Arial" w:cs="Arial"/>
          <w:b/>
          <w:sz w:val="20"/>
        </w:rPr>
      </w:pPr>
      <w:r w:rsidRPr="00701F32">
        <w:rPr>
          <w:rFonts w:ascii="Arial" w:eastAsia="Calibri" w:hAnsi="Arial" w:cs="Arial"/>
          <w:b/>
          <w:sz w:val="20"/>
        </w:rPr>
        <w:t>Transacciones y saldos</w:t>
      </w:r>
    </w:p>
    <w:p w14:paraId="66C98882" w14:textId="77777777" w:rsidR="00F60B2C" w:rsidRPr="00EA530F" w:rsidRDefault="00F60B2C" w:rsidP="00F60B2C">
      <w:pPr>
        <w:jc w:val="both"/>
        <w:rPr>
          <w:rFonts w:ascii="Arial" w:hAnsi="Arial" w:cs="Arial"/>
          <w:sz w:val="20"/>
        </w:rPr>
      </w:pPr>
      <w:r w:rsidRPr="00701F32">
        <w:rPr>
          <w:rFonts w:ascii="Arial" w:eastAsia="Calibri" w:hAnsi="Arial" w:cs="Arial"/>
          <w:sz w:val="20"/>
        </w:rPr>
        <w:t>Las transacciones en moneda extranjera se convierten a la moneda funcional a los tipos de cambio de referencia y de pase establecidos por el B.C.R.A. vigentes a las fechas de las transacciones o de la valuación cuando las partidas son medidas al cierre. Las ganancias y pérdidas en moneda extranjera que resultan de la liquidación de estas transacciones y de la conversión de los activos y pasivos monetarios denominados en moneda extranjera a los tipos de cambio de cierre, se reconocen en el estado de resultados integral, en el rubro “Diferencia                de cotización de oro y moneda extranjera”</w:t>
      </w:r>
      <w:r>
        <w:rPr>
          <w:rFonts w:ascii="Arial" w:eastAsia="Calibri" w:hAnsi="Arial" w:cs="Arial"/>
          <w:sz w:val="20"/>
        </w:rPr>
        <w:t>,</w:t>
      </w:r>
      <w:r w:rsidRPr="00EA530F">
        <w:rPr>
          <w:rFonts w:ascii="Arial" w:hAnsi="Arial" w:cs="Arial"/>
          <w:sz w:val="20"/>
        </w:rPr>
        <w:t xml:space="preserve"> excepto, cuando son diferidos en el patrimonio por transacciones que califican como coberturas de flujos de efectivo, si ello fuera aplicable.</w:t>
      </w:r>
    </w:p>
    <w:p w14:paraId="5C86E1A1" w14:textId="77777777" w:rsidR="00F60B2C" w:rsidRPr="00EA530F" w:rsidRDefault="00F60B2C" w:rsidP="00F60B2C">
      <w:pPr>
        <w:jc w:val="both"/>
        <w:rPr>
          <w:rFonts w:ascii="Arial" w:hAnsi="Arial" w:cs="Arial"/>
          <w:sz w:val="20"/>
        </w:rPr>
      </w:pPr>
      <w:r w:rsidRPr="00EA530F">
        <w:rPr>
          <w:rFonts w:ascii="Arial" w:hAnsi="Arial" w:cs="Arial"/>
          <w:sz w:val="20"/>
        </w:rPr>
        <w:t xml:space="preserve">Los saldos son valuados al tipo de cambio de referencia del dólar estadounidense definido por el B.C.R.A., vigente al cierre de las operaciones del último día hábil de cada mes. </w:t>
      </w:r>
    </w:p>
    <w:p w14:paraId="43D98041" w14:textId="77777777" w:rsidR="00031B02" w:rsidRDefault="00031B02" w:rsidP="00F60B2C">
      <w:pPr>
        <w:spacing w:after="160" w:line="259" w:lineRule="auto"/>
        <w:jc w:val="both"/>
        <w:rPr>
          <w:rFonts w:ascii="Arial" w:hAnsi="Arial" w:cs="Arial"/>
          <w:sz w:val="20"/>
        </w:rPr>
      </w:pPr>
    </w:p>
    <w:p w14:paraId="7BCA59F7" w14:textId="7E8AD49E" w:rsidR="00F60B2C" w:rsidRDefault="00F60B2C" w:rsidP="00F60B2C">
      <w:pPr>
        <w:spacing w:after="160" w:line="259" w:lineRule="auto"/>
        <w:jc w:val="both"/>
        <w:rPr>
          <w:rFonts w:ascii="Arial" w:eastAsia="Arial" w:hAnsi="Arial" w:cs="Arial"/>
          <w:b/>
          <w:sz w:val="20"/>
        </w:rPr>
      </w:pPr>
      <w:r w:rsidRPr="00EA530F">
        <w:rPr>
          <w:rFonts w:ascii="Arial" w:hAnsi="Arial" w:cs="Arial"/>
          <w:sz w:val="20"/>
        </w:rPr>
        <w:t>Al 31 de diciembre de 201</w:t>
      </w:r>
      <w:r w:rsidR="00031B02">
        <w:rPr>
          <w:rFonts w:ascii="Arial" w:hAnsi="Arial" w:cs="Arial"/>
          <w:sz w:val="20"/>
        </w:rPr>
        <w:t>9 y 2018</w:t>
      </w:r>
      <w:r w:rsidRPr="00EA530F">
        <w:rPr>
          <w:rFonts w:ascii="Arial" w:hAnsi="Arial" w:cs="Arial"/>
          <w:sz w:val="20"/>
        </w:rPr>
        <w:t>, los saldos en dólares estadounidenses fueron convertidos al tipo de cambio de referencia determinado por el B.C.R.A. En el caso de tratarse de monedas extranjeras distintas de dólar estadounidense, se han convertido a esta moneda utilizando los tipos de pase informados por el B.C.R.A..</w:t>
      </w:r>
    </w:p>
    <w:p w14:paraId="638E0F93" w14:textId="77777777" w:rsidR="00F60B2C" w:rsidRDefault="00F60B2C" w:rsidP="00DE1E92">
      <w:pPr>
        <w:spacing w:after="160" w:line="259" w:lineRule="auto"/>
        <w:jc w:val="both"/>
        <w:rPr>
          <w:rFonts w:ascii="Arial" w:eastAsia="Arial" w:hAnsi="Arial" w:cs="Arial"/>
          <w:b/>
          <w:sz w:val="20"/>
        </w:rPr>
      </w:pPr>
    </w:p>
    <w:p w14:paraId="47305098" w14:textId="5CB79146" w:rsidR="00DE1E92" w:rsidRPr="00701F32" w:rsidRDefault="00F60B2C" w:rsidP="00DE1E92">
      <w:pPr>
        <w:spacing w:after="160" w:line="259" w:lineRule="auto"/>
        <w:jc w:val="both"/>
        <w:rPr>
          <w:rFonts w:ascii="Arial" w:eastAsia="Arial" w:hAnsi="Arial" w:cs="Arial"/>
          <w:b/>
          <w:color w:val="BF8800"/>
          <w:sz w:val="20"/>
        </w:rPr>
      </w:pPr>
      <w:r>
        <w:rPr>
          <w:rFonts w:ascii="Arial" w:eastAsia="Arial" w:hAnsi="Arial" w:cs="Arial"/>
          <w:b/>
          <w:sz w:val="20"/>
        </w:rPr>
        <w:t xml:space="preserve">1.6 </w:t>
      </w:r>
      <w:r w:rsidR="00DE1E92" w:rsidRPr="00DE1E92">
        <w:rPr>
          <w:rFonts w:ascii="Arial" w:eastAsia="Arial" w:hAnsi="Arial" w:cs="Arial"/>
          <w:b/>
          <w:sz w:val="20"/>
        </w:rPr>
        <w:t>Efectivo y depósitos en bancos</w:t>
      </w:r>
    </w:p>
    <w:p w14:paraId="55C0A84A" w14:textId="6E027A31" w:rsidR="00DE1E92" w:rsidRPr="00701F32" w:rsidRDefault="00DE1E92" w:rsidP="00DE1E92">
      <w:pPr>
        <w:spacing w:after="160" w:line="259" w:lineRule="auto"/>
        <w:jc w:val="both"/>
        <w:rPr>
          <w:rFonts w:ascii="Arial" w:eastAsia="Arial" w:hAnsi="Arial" w:cs="Arial"/>
          <w:sz w:val="20"/>
        </w:rPr>
      </w:pPr>
      <w:r w:rsidRPr="00701F32">
        <w:rPr>
          <w:rFonts w:ascii="Arial" w:eastAsia="Arial" w:hAnsi="Arial" w:cs="Arial"/>
          <w:sz w:val="20"/>
        </w:rPr>
        <w:t xml:space="preserve">Se detalla a continuación la composición del efectivo al </w:t>
      </w:r>
      <w:r w:rsidR="001A1699">
        <w:rPr>
          <w:rFonts w:ascii="Arial" w:eastAsia="Arial" w:hAnsi="Arial" w:cs="Arial"/>
          <w:sz w:val="20"/>
        </w:rPr>
        <w:t xml:space="preserve">31 de diciembre de </w:t>
      </w:r>
      <w:r w:rsidR="00F60B2C">
        <w:rPr>
          <w:rFonts w:ascii="Arial" w:eastAsia="Arial" w:hAnsi="Arial" w:cs="Arial"/>
          <w:sz w:val="20"/>
        </w:rPr>
        <w:t>2019</w:t>
      </w:r>
      <w:r w:rsidR="005D3595">
        <w:rPr>
          <w:rFonts w:ascii="Arial" w:eastAsia="Arial" w:hAnsi="Arial" w:cs="Arial"/>
          <w:sz w:val="20"/>
        </w:rPr>
        <w:t>,</w:t>
      </w:r>
      <w:r w:rsidR="00F60B2C">
        <w:rPr>
          <w:rFonts w:ascii="Arial" w:eastAsia="Arial" w:hAnsi="Arial" w:cs="Arial"/>
          <w:sz w:val="20"/>
        </w:rPr>
        <w:t xml:space="preserve"> </w:t>
      </w:r>
      <w:r w:rsidR="001A1699">
        <w:rPr>
          <w:rFonts w:ascii="Arial" w:eastAsia="Arial" w:hAnsi="Arial" w:cs="Arial"/>
          <w:sz w:val="20"/>
        </w:rPr>
        <w:t>2018</w:t>
      </w:r>
      <w:r w:rsidR="005D3595">
        <w:rPr>
          <w:rFonts w:ascii="Arial" w:eastAsia="Arial" w:hAnsi="Arial" w:cs="Arial"/>
          <w:sz w:val="20"/>
        </w:rPr>
        <w:t xml:space="preserve"> y 2017:</w:t>
      </w:r>
    </w:p>
    <w:tbl>
      <w:tblPr>
        <w:tblW w:w="46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80"/>
        <w:gridCol w:w="1041"/>
        <w:gridCol w:w="1288"/>
        <w:gridCol w:w="1288"/>
      </w:tblGrid>
      <w:tr w:rsidR="005D3595" w:rsidRPr="00701F32" w14:paraId="697BB050" w14:textId="232301AF" w:rsidTr="006E1AF7">
        <w:trPr>
          <w:trHeight w:val="282"/>
          <w:jc w:val="center"/>
        </w:trPr>
        <w:tc>
          <w:tcPr>
            <w:tcW w:w="2739" w:type="pct"/>
            <w:shd w:val="clear" w:color="auto" w:fill="auto"/>
            <w:noWrap/>
            <w:vAlign w:val="bottom"/>
            <w:hideMark/>
          </w:tcPr>
          <w:p w14:paraId="5B04F93F" w14:textId="77777777" w:rsidR="005D3595" w:rsidRPr="00701F32" w:rsidRDefault="005D3595" w:rsidP="00DE1E92">
            <w:pPr>
              <w:spacing w:line="259" w:lineRule="auto"/>
              <w:jc w:val="both"/>
              <w:rPr>
                <w:rFonts w:ascii="Arial" w:hAnsi="Arial" w:cs="Arial"/>
                <w:color w:val="000000"/>
                <w:sz w:val="18"/>
                <w:lang w:eastAsia="es-AR"/>
              </w:rPr>
            </w:pPr>
            <w:r w:rsidRPr="00701F32">
              <w:rPr>
                <w:rFonts w:ascii="Arial" w:hAnsi="Arial" w:cs="Arial"/>
                <w:color w:val="000000"/>
                <w:sz w:val="18"/>
                <w:lang w:eastAsia="es-AR"/>
              </w:rPr>
              <w:t> </w:t>
            </w:r>
          </w:p>
        </w:tc>
        <w:tc>
          <w:tcPr>
            <w:tcW w:w="651" w:type="pct"/>
            <w:vAlign w:val="center"/>
          </w:tcPr>
          <w:p w14:paraId="68DAC1F9" w14:textId="276EFB55" w:rsidR="005D3595" w:rsidRPr="00701F32" w:rsidRDefault="005D3595">
            <w:pPr>
              <w:spacing w:line="259" w:lineRule="auto"/>
              <w:ind w:left="233" w:hanging="233"/>
              <w:jc w:val="center"/>
              <w:rPr>
                <w:rFonts w:ascii="Arial" w:hAnsi="Arial" w:cs="Arial"/>
                <w:b/>
                <w:color w:val="000000"/>
                <w:sz w:val="18"/>
                <w:lang w:eastAsia="es-AR"/>
              </w:rPr>
            </w:pPr>
            <w:r>
              <w:rPr>
                <w:rFonts w:ascii="Arial" w:hAnsi="Arial" w:cs="Arial"/>
                <w:b/>
                <w:color w:val="000000"/>
                <w:sz w:val="18"/>
                <w:lang w:eastAsia="es-AR"/>
              </w:rPr>
              <w:t>31/12/2019</w:t>
            </w:r>
          </w:p>
        </w:tc>
        <w:tc>
          <w:tcPr>
            <w:tcW w:w="805" w:type="pct"/>
            <w:vAlign w:val="center"/>
          </w:tcPr>
          <w:p w14:paraId="4C9BC8F7" w14:textId="0E621C9B" w:rsidR="005D3595" w:rsidRDefault="005D3595">
            <w:pPr>
              <w:spacing w:line="259" w:lineRule="auto"/>
              <w:jc w:val="center"/>
              <w:rPr>
                <w:rFonts w:ascii="Arial" w:hAnsi="Arial" w:cs="Arial"/>
                <w:b/>
                <w:color w:val="000000"/>
                <w:sz w:val="18"/>
                <w:lang w:eastAsia="es-AR"/>
              </w:rPr>
            </w:pPr>
            <w:r>
              <w:rPr>
                <w:rFonts w:ascii="Arial" w:hAnsi="Arial" w:cs="Arial"/>
                <w:b/>
                <w:color w:val="000000"/>
                <w:sz w:val="18"/>
                <w:lang w:eastAsia="es-AR"/>
              </w:rPr>
              <w:t>31/12/2018</w:t>
            </w:r>
          </w:p>
        </w:tc>
        <w:tc>
          <w:tcPr>
            <w:tcW w:w="805" w:type="pct"/>
            <w:vAlign w:val="center"/>
          </w:tcPr>
          <w:p w14:paraId="11044C27" w14:textId="3C2D0A4A" w:rsidR="005D3595" w:rsidRDefault="005D3595">
            <w:pPr>
              <w:spacing w:line="259" w:lineRule="auto"/>
              <w:jc w:val="center"/>
              <w:rPr>
                <w:rFonts w:ascii="Arial" w:hAnsi="Arial" w:cs="Arial"/>
                <w:b/>
                <w:color w:val="000000"/>
                <w:sz w:val="18"/>
                <w:lang w:eastAsia="es-AR"/>
              </w:rPr>
            </w:pPr>
            <w:r>
              <w:rPr>
                <w:rFonts w:ascii="Arial" w:hAnsi="Arial" w:cs="Arial"/>
                <w:b/>
                <w:color w:val="000000"/>
                <w:sz w:val="18"/>
                <w:lang w:eastAsia="es-AR"/>
              </w:rPr>
              <w:t>31/12/2017</w:t>
            </w:r>
          </w:p>
        </w:tc>
      </w:tr>
      <w:tr w:rsidR="005D3595" w:rsidRPr="00701F32" w14:paraId="79EF3655" w14:textId="6CEA22C5" w:rsidTr="006E1AF7">
        <w:trPr>
          <w:trHeight w:val="282"/>
          <w:jc w:val="center"/>
        </w:trPr>
        <w:tc>
          <w:tcPr>
            <w:tcW w:w="2739" w:type="pct"/>
            <w:shd w:val="clear" w:color="auto" w:fill="auto"/>
            <w:noWrap/>
            <w:vAlign w:val="bottom"/>
            <w:hideMark/>
          </w:tcPr>
          <w:p w14:paraId="4927E89E" w14:textId="77777777" w:rsidR="005D3595" w:rsidRPr="00701F32" w:rsidRDefault="005D3595" w:rsidP="005D3595">
            <w:pPr>
              <w:spacing w:line="259" w:lineRule="auto"/>
              <w:jc w:val="both"/>
              <w:rPr>
                <w:rFonts w:ascii="Arial" w:hAnsi="Arial" w:cs="Arial"/>
                <w:color w:val="000000"/>
                <w:sz w:val="18"/>
                <w:lang w:eastAsia="es-AR"/>
              </w:rPr>
            </w:pPr>
            <w:r w:rsidRPr="00701F32">
              <w:rPr>
                <w:rFonts w:ascii="Arial" w:hAnsi="Arial" w:cs="Arial"/>
                <w:color w:val="000000"/>
                <w:sz w:val="18"/>
                <w:lang w:eastAsia="es-AR"/>
              </w:rPr>
              <w:t>Efectivo y depósitos en bancos</w:t>
            </w:r>
          </w:p>
        </w:tc>
        <w:tc>
          <w:tcPr>
            <w:tcW w:w="651" w:type="pct"/>
            <w:vAlign w:val="bottom"/>
          </w:tcPr>
          <w:p w14:paraId="1B13E365" w14:textId="56BCB7E2" w:rsidR="005D3595" w:rsidRPr="0094309D" w:rsidRDefault="005D3595" w:rsidP="005D3595">
            <w:pPr>
              <w:ind w:left="-71" w:hanging="233"/>
              <w:jc w:val="right"/>
              <w:rPr>
                <w:rFonts w:ascii="Arial" w:hAnsi="Arial" w:cs="Arial"/>
                <w:color w:val="000000"/>
                <w:sz w:val="18"/>
                <w:szCs w:val="18"/>
                <w:lang w:val="es-ES_tradnl"/>
              </w:rPr>
            </w:pPr>
            <w:r>
              <w:rPr>
                <w:rFonts w:ascii="Arial" w:hAnsi="Arial" w:cs="Arial"/>
                <w:color w:val="000000"/>
                <w:sz w:val="18"/>
                <w:szCs w:val="18"/>
                <w:lang w:val="es-ES_tradnl"/>
              </w:rPr>
              <w:t>25.585.044</w:t>
            </w:r>
          </w:p>
        </w:tc>
        <w:tc>
          <w:tcPr>
            <w:tcW w:w="805" w:type="pct"/>
            <w:vAlign w:val="bottom"/>
          </w:tcPr>
          <w:p w14:paraId="46E8C279" w14:textId="527069E9" w:rsidR="005D3595" w:rsidRPr="0094309D" w:rsidRDefault="005D3595" w:rsidP="005D3595">
            <w:pPr>
              <w:ind w:left="-71" w:hanging="233"/>
              <w:jc w:val="right"/>
              <w:rPr>
                <w:rFonts w:ascii="Arial" w:hAnsi="Arial" w:cs="Arial"/>
                <w:sz w:val="18"/>
                <w:szCs w:val="18"/>
              </w:rPr>
            </w:pPr>
            <w:r>
              <w:rPr>
                <w:rFonts w:ascii="Arial" w:hAnsi="Arial" w:cs="Arial"/>
                <w:color w:val="000000"/>
                <w:sz w:val="18"/>
                <w:szCs w:val="18"/>
              </w:rPr>
              <w:t xml:space="preserve">33.537.262 </w:t>
            </w:r>
          </w:p>
        </w:tc>
        <w:tc>
          <w:tcPr>
            <w:tcW w:w="805" w:type="pct"/>
            <w:vAlign w:val="bottom"/>
          </w:tcPr>
          <w:p w14:paraId="6D44DF04" w14:textId="48032E61" w:rsidR="005D3595" w:rsidRDefault="005D3595" w:rsidP="005D3595">
            <w:pPr>
              <w:ind w:left="-71" w:hanging="233"/>
              <w:jc w:val="right"/>
              <w:rPr>
                <w:rFonts w:ascii="Arial" w:hAnsi="Arial" w:cs="Arial"/>
                <w:color w:val="000000"/>
                <w:sz w:val="18"/>
                <w:szCs w:val="18"/>
              </w:rPr>
            </w:pPr>
            <w:r>
              <w:rPr>
                <w:rFonts w:ascii="Arial" w:hAnsi="Arial" w:cs="Arial"/>
                <w:color w:val="000000"/>
                <w:sz w:val="18"/>
                <w:szCs w:val="18"/>
              </w:rPr>
              <w:t xml:space="preserve">   11.030.347 </w:t>
            </w:r>
          </w:p>
        </w:tc>
      </w:tr>
      <w:tr w:rsidR="005D3595" w:rsidRPr="00701F32" w14:paraId="352E0968" w14:textId="062C9B9C" w:rsidTr="006E1AF7">
        <w:trPr>
          <w:trHeight w:val="282"/>
          <w:jc w:val="center"/>
        </w:trPr>
        <w:tc>
          <w:tcPr>
            <w:tcW w:w="2739" w:type="pct"/>
            <w:shd w:val="clear" w:color="auto" w:fill="auto"/>
            <w:noWrap/>
            <w:vAlign w:val="bottom"/>
            <w:hideMark/>
          </w:tcPr>
          <w:p w14:paraId="690458C2" w14:textId="77777777" w:rsidR="005D3595" w:rsidRPr="00701F32" w:rsidRDefault="005D3595" w:rsidP="005D3595">
            <w:pPr>
              <w:spacing w:line="259" w:lineRule="auto"/>
              <w:jc w:val="both"/>
              <w:rPr>
                <w:rFonts w:ascii="Arial" w:hAnsi="Arial" w:cs="Arial"/>
                <w:color w:val="000000"/>
                <w:sz w:val="18"/>
                <w:lang w:eastAsia="es-AR"/>
              </w:rPr>
            </w:pPr>
            <w:r w:rsidRPr="00701F32">
              <w:rPr>
                <w:rFonts w:ascii="Arial" w:hAnsi="Arial" w:cs="Arial"/>
                <w:color w:val="000000"/>
                <w:sz w:val="18"/>
                <w:lang w:eastAsia="es-AR"/>
              </w:rPr>
              <w:t xml:space="preserve">Títulos de deuda a valor razonable </w:t>
            </w:r>
          </w:p>
        </w:tc>
        <w:tc>
          <w:tcPr>
            <w:tcW w:w="651" w:type="pct"/>
            <w:vAlign w:val="bottom"/>
          </w:tcPr>
          <w:p w14:paraId="66CDEA4F" w14:textId="76133439" w:rsidR="005D3595" w:rsidRPr="0094309D" w:rsidRDefault="005D3595" w:rsidP="005D3595">
            <w:pPr>
              <w:ind w:left="-71" w:hanging="233"/>
              <w:jc w:val="right"/>
              <w:rPr>
                <w:rFonts w:ascii="Arial" w:hAnsi="Arial" w:cs="Arial"/>
                <w:color w:val="000000"/>
                <w:sz w:val="18"/>
                <w:szCs w:val="18"/>
                <w:lang w:val="es-ES_tradnl"/>
              </w:rPr>
            </w:pPr>
            <w:r>
              <w:rPr>
                <w:rFonts w:ascii="Arial" w:hAnsi="Arial" w:cs="Arial"/>
                <w:color w:val="000000"/>
                <w:sz w:val="18"/>
                <w:szCs w:val="18"/>
                <w:lang w:val="es-ES_tradnl"/>
              </w:rPr>
              <w:t>312.306</w:t>
            </w:r>
          </w:p>
        </w:tc>
        <w:tc>
          <w:tcPr>
            <w:tcW w:w="805" w:type="pct"/>
            <w:vAlign w:val="bottom"/>
          </w:tcPr>
          <w:p w14:paraId="52D96B90" w14:textId="3D9BF061" w:rsidR="005D3595" w:rsidRPr="0094309D" w:rsidRDefault="005D3595" w:rsidP="005D3595">
            <w:pPr>
              <w:ind w:left="-71" w:hanging="233"/>
              <w:jc w:val="right"/>
              <w:rPr>
                <w:rFonts w:ascii="Arial" w:hAnsi="Arial" w:cs="Arial"/>
                <w:sz w:val="18"/>
                <w:szCs w:val="18"/>
              </w:rPr>
            </w:pPr>
            <w:r>
              <w:rPr>
                <w:rFonts w:ascii="Arial" w:hAnsi="Arial" w:cs="Arial"/>
                <w:color w:val="000000"/>
                <w:sz w:val="18"/>
                <w:szCs w:val="18"/>
              </w:rPr>
              <w:t xml:space="preserve">11.831.536 </w:t>
            </w:r>
          </w:p>
        </w:tc>
        <w:tc>
          <w:tcPr>
            <w:tcW w:w="805" w:type="pct"/>
            <w:vAlign w:val="bottom"/>
          </w:tcPr>
          <w:p w14:paraId="785A6C96" w14:textId="3D170931" w:rsidR="005D3595" w:rsidRDefault="005D3595" w:rsidP="005D3595">
            <w:pPr>
              <w:ind w:left="-71" w:hanging="233"/>
              <w:jc w:val="right"/>
              <w:rPr>
                <w:rFonts w:ascii="Arial" w:hAnsi="Arial" w:cs="Arial"/>
                <w:color w:val="000000"/>
                <w:sz w:val="18"/>
                <w:szCs w:val="18"/>
              </w:rPr>
            </w:pPr>
            <w:r>
              <w:rPr>
                <w:rFonts w:ascii="Arial" w:hAnsi="Arial" w:cs="Arial"/>
                <w:color w:val="000000"/>
                <w:sz w:val="18"/>
                <w:szCs w:val="18"/>
              </w:rPr>
              <w:t xml:space="preserve">   10.423.407 </w:t>
            </w:r>
          </w:p>
        </w:tc>
      </w:tr>
      <w:tr w:rsidR="005D3595" w:rsidRPr="00701F32" w14:paraId="1A5C8332" w14:textId="4004AA2F" w:rsidTr="006E1AF7">
        <w:trPr>
          <w:trHeight w:val="282"/>
          <w:jc w:val="center"/>
        </w:trPr>
        <w:tc>
          <w:tcPr>
            <w:tcW w:w="2739" w:type="pct"/>
            <w:shd w:val="clear" w:color="auto" w:fill="auto"/>
            <w:noWrap/>
            <w:vAlign w:val="bottom"/>
            <w:hideMark/>
          </w:tcPr>
          <w:p w14:paraId="422B9959" w14:textId="77777777" w:rsidR="005D3595" w:rsidRPr="0094309D" w:rsidRDefault="005D3595" w:rsidP="005D3595">
            <w:pPr>
              <w:spacing w:line="259" w:lineRule="auto"/>
              <w:jc w:val="both"/>
              <w:rPr>
                <w:rFonts w:ascii="Arial" w:hAnsi="Arial" w:cs="Arial"/>
                <w:b/>
                <w:bCs/>
                <w:color w:val="000000"/>
                <w:sz w:val="18"/>
                <w:lang w:eastAsia="es-AR"/>
              </w:rPr>
            </w:pPr>
            <w:r w:rsidRPr="0094309D">
              <w:rPr>
                <w:rFonts w:ascii="Arial" w:hAnsi="Arial" w:cs="Arial"/>
                <w:b/>
                <w:bCs/>
                <w:color w:val="000000"/>
                <w:sz w:val="18"/>
                <w:lang w:eastAsia="es-AR"/>
              </w:rPr>
              <w:t>Total</w:t>
            </w:r>
          </w:p>
        </w:tc>
        <w:tc>
          <w:tcPr>
            <w:tcW w:w="651" w:type="pct"/>
            <w:vAlign w:val="bottom"/>
          </w:tcPr>
          <w:p w14:paraId="1DA6B883" w14:textId="00B4E316" w:rsidR="005D3595" w:rsidRPr="0094309D" w:rsidRDefault="005D3595" w:rsidP="005D3595">
            <w:pPr>
              <w:ind w:left="-71" w:hanging="233"/>
              <w:jc w:val="right"/>
              <w:rPr>
                <w:rFonts w:ascii="Arial" w:hAnsi="Arial" w:cs="Arial"/>
                <w:b/>
                <w:color w:val="000000"/>
                <w:sz w:val="18"/>
                <w:szCs w:val="18"/>
                <w:lang w:val="es-ES_tradnl"/>
              </w:rPr>
            </w:pPr>
            <w:r>
              <w:rPr>
                <w:rFonts w:ascii="Arial" w:hAnsi="Arial" w:cs="Arial"/>
                <w:b/>
                <w:color w:val="000000"/>
                <w:sz w:val="18"/>
                <w:szCs w:val="18"/>
                <w:lang w:val="es-ES_tradnl"/>
              </w:rPr>
              <w:t>25.897.350</w:t>
            </w:r>
          </w:p>
        </w:tc>
        <w:tc>
          <w:tcPr>
            <w:tcW w:w="805" w:type="pct"/>
            <w:vAlign w:val="bottom"/>
          </w:tcPr>
          <w:p w14:paraId="78D9001F" w14:textId="22617FD3" w:rsidR="005D3595" w:rsidRPr="00C91712" w:rsidRDefault="005D3595" w:rsidP="005D3595">
            <w:pPr>
              <w:ind w:left="-71" w:hanging="233"/>
              <w:jc w:val="right"/>
              <w:rPr>
                <w:rFonts w:ascii="Arial" w:hAnsi="Arial" w:cs="Arial"/>
                <w:b/>
                <w:sz w:val="18"/>
                <w:szCs w:val="18"/>
              </w:rPr>
            </w:pPr>
            <w:r>
              <w:rPr>
                <w:rFonts w:ascii="Arial" w:hAnsi="Arial" w:cs="Arial"/>
                <w:b/>
                <w:bCs/>
                <w:color w:val="000000"/>
                <w:sz w:val="18"/>
                <w:szCs w:val="18"/>
              </w:rPr>
              <w:t xml:space="preserve">45.368.798 </w:t>
            </w:r>
          </w:p>
        </w:tc>
        <w:tc>
          <w:tcPr>
            <w:tcW w:w="805" w:type="pct"/>
            <w:vAlign w:val="bottom"/>
          </w:tcPr>
          <w:p w14:paraId="0E0191F0" w14:textId="37C8815B" w:rsidR="005D3595" w:rsidRDefault="005D3595" w:rsidP="005D3595">
            <w:pPr>
              <w:ind w:left="-71" w:hanging="233"/>
              <w:jc w:val="right"/>
              <w:rPr>
                <w:rFonts w:ascii="Arial" w:hAnsi="Arial" w:cs="Arial"/>
                <w:b/>
                <w:bCs/>
                <w:color w:val="000000"/>
                <w:sz w:val="18"/>
                <w:szCs w:val="18"/>
              </w:rPr>
            </w:pPr>
            <w:r>
              <w:rPr>
                <w:rFonts w:ascii="Arial" w:hAnsi="Arial" w:cs="Arial"/>
                <w:b/>
                <w:bCs/>
                <w:color w:val="000000"/>
                <w:sz w:val="18"/>
                <w:szCs w:val="18"/>
              </w:rPr>
              <w:t xml:space="preserve">   21.453.754 </w:t>
            </w:r>
          </w:p>
        </w:tc>
      </w:tr>
    </w:tbl>
    <w:p w14:paraId="6A21CE42" w14:textId="77777777" w:rsidR="00DE1E92" w:rsidRPr="00701F32" w:rsidRDefault="00DE1E92" w:rsidP="00DE1E92">
      <w:pPr>
        <w:spacing w:after="160" w:line="259" w:lineRule="auto"/>
        <w:jc w:val="both"/>
        <w:rPr>
          <w:rFonts w:ascii="Arial" w:eastAsia="Arial" w:hAnsi="Arial" w:cs="Arial"/>
          <w:color w:val="FF0000"/>
          <w:sz w:val="20"/>
        </w:rPr>
      </w:pPr>
    </w:p>
    <w:p w14:paraId="2DF2A38D" w14:textId="5C8F0F45" w:rsidR="00DE1E92" w:rsidRPr="00701F32" w:rsidRDefault="00DE1E92" w:rsidP="00DE1E92">
      <w:pPr>
        <w:jc w:val="both"/>
        <w:rPr>
          <w:rFonts w:ascii="Arial" w:eastAsia="Calibri" w:hAnsi="Arial" w:cs="Arial"/>
          <w:sz w:val="20"/>
          <w:lang w:eastAsia="es-PE"/>
        </w:rPr>
      </w:pPr>
      <w:r w:rsidRPr="00701F32">
        <w:rPr>
          <w:rFonts w:ascii="Arial" w:eastAsia="Calibri" w:hAnsi="Arial" w:cs="Arial"/>
          <w:sz w:val="20"/>
          <w:lang w:eastAsia="es-PE"/>
        </w:rPr>
        <w:t>Por su parte, se exponen a continuación las conciliaciones entre los saldos de aquellas partidas consideradas equivalentes de efectivo en el Estado de Flujo</w:t>
      </w:r>
      <w:r w:rsidR="00B05BE2">
        <w:rPr>
          <w:rFonts w:ascii="Arial" w:eastAsia="Calibri" w:hAnsi="Arial" w:cs="Arial"/>
          <w:sz w:val="20"/>
          <w:lang w:eastAsia="es-PE"/>
        </w:rPr>
        <w:t>s</w:t>
      </w:r>
      <w:r w:rsidRPr="00701F32">
        <w:rPr>
          <w:rFonts w:ascii="Arial" w:eastAsia="Calibri" w:hAnsi="Arial" w:cs="Arial"/>
          <w:sz w:val="20"/>
          <w:lang w:eastAsia="es-PE"/>
        </w:rPr>
        <w:t xml:space="preserve"> de Efectivo y las reportadas en el Estado de Situación Financiera al cierre del </w:t>
      </w:r>
      <w:r w:rsidR="00113899">
        <w:rPr>
          <w:rFonts w:ascii="Arial" w:eastAsia="Calibri" w:hAnsi="Arial" w:cs="Arial"/>
          <w:sz w:val="20"/>
          <w:lang w:eastAsia="es-PE"/>
        </w:rPr>
        <w:t>ejercicio</w:t>
      </w:r>
      <w:r w:rsidRPr="00701F32">
        <w:rPr>
          <w:rFonts w:ascii="Arial" w:eastAsia="Calibri" w:hAnsi="Arial" w:cs="Arial"/>
          <w:sz w:val="20"/>
          <w:lang w:eastAsia="es-PE"/>
        </w:rPr>
        <w:t>:</w:t>
      </w:r>
    </w:p>
    <w:p w14:paraId="50792F70" w14:textId="29999B69" w:rsidR="004E454E" w:rsidRDefault="004E454E">
      <w:pPr>
        <w:rPr>
          <w:rFonts w:ascii="Arial" w:eastAsia="Calibri" w:hAnsi="Arial" w:cs="Arial"/>
          <w:sz w:val="20"/>
          <w:lang w:eastAsia="es-PE"/>
        </w:rPr>
      </w:pPr>
      <w:r>
        <w:rPr>
          <w:rFonts w:ascii="Arial" w:eastAsia="Calibri" w:hAnsi="Arial" w:cs="Arial"/>
          <w:sz w:val="20"/>
          <w:lang w:eastAsia="es-PE"/>
        </w:rPr>
        <w:br w:type="page"/>
      </w:r>
    </w:p>
    <w:p w14:paraId="04EBCECF" w14:textId="77777777" w:rsidR="00DE1E92" w:rsidRPr="00701F32" w:rsidRDefault="00DE1E92" w:rsidP="00DE1E92">
      <w:pPr>
        <w:jc w:val="both"/>
        <w:rPr>
          <w:rFonts w:ascii="Arial" w:eastAsia="Calibri" w:hAnsi="Arial" w:cs="Arial"/>
          <w:sz w:val="20"/>
          <w:lang w:eastAsia="es-PE"/>
        </w:rPr>
      </w:pPr>
    </w:p>
    <w:tbl>
      <w:tblPr>
        <w:tblW w:w="38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2"/>
        <w:gridCol w:w="1099"/>
        <w:gridCol w:w="1076"/>
      </w:tblGrid>
      <w:tr w:rsidR="00F60B2C" w:rsidRPr="00701F32" w14:paraId="0F37E818" w14:textId="77777777" w:rsidTr="00F60B2C">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1DC603" w14:textId="77777777" w:rsidR="00F60B2C" w:rsidRPr="00701F32" w:rsidRDefault="00F60B2C" w:rsidP="001A1699">
            <w:pPr>
              <w:spacing w:line="259" w:lineRule="auto"/>
              <w:jc w:val="both"/>
              <w:rPr>
                <w:rFonts w:ascii="Arial" w:hAnsi="Arial" w:cs="Arial"/>
                <w:color w:val="000000"/>
                <w:sz w:val="18"/>
                <w:lang w:eastAsia="es-AR"/>
              </w:rPr>
            </w:pPr>
          </w:p>
        </w:tc>
        <w:tc>
          <w:tcPr>
            <w:tcW w:w="823" w:type="pct"/>
            <w:tcBorders>
              <w:top w:val="single" w:sz="4" w:space="0" w:color="auto"/>
              <w:left w:val="single" w:sz="4" w:space="0" w:color="auto"/>
              <w:bottom w:val="single" w:sz="4" w:space="0" w:color="auto"/>
              <w:right w:val="single" w:sz="4" w:space="0" w:color="auto"/>
            </w:tcBorders>
            <w:vAlign w:val="center"/>
          </w:tcPr>
          <w:p w14:paraId="15423144" w14:textId="0E907689" w:rsidR="00F60B2C" w:rsidRPr="00701F32" w:rsidRDefault="00F60B2C" w:rsidP="001A1699">
            <w:pPr>
              <w:spacing w:line="259" w:lineRule="auto"/>
              <w:jc w:val="center"/>
              <w:rPr>
                <w:rFonts w:ascii="Arial" w:hAnsi="Arial" w:cs="Arial"/>
                <w:b/>
                <w:bCs/>
                <w:color w:val="000000"/>
                <w:sz w:val="18"/>
              </w:rPr>
            </w:pPr>
            <w:r>
              <w:rPr>
                <w:rFonts w:ascii="Arial" w:hAnsi="Arial" w:cs="Arial"/>
                <w:b/>
                <w:color w:val="000000"/>
                <w:sz w:val="18"/>
                <w:lang w:eastAsia="es-AR"/>
              </w:rPr>
              <w:t>31/12/2019</w:t>
            </w:r>
          </w:p>
        </w:tc>
        <w:tc>
          <w:tcPr>
            <w:tcW w:w="806" w:type="pct"/>
            <w:tcBorders>
              <w:top w:val="single" w:sz="4" w:space="0" w:color="auto"/>
              <w:left w:val="single" w:sz="4" w:space="0" w:color="auto"/>
              <w:bottom w:val="single" w:sz="4" w:space="0" w:color="auto"/>
              <w:right w:val="single" w:sz="4" w:space="0" w:color="auto"/>
            </w:tcBorders>
            <w:vAlign w:val="center"/>
          </w:tcPr>
          <w:p w14:paraId="3D95D444" w14:textId="648F05F4" w:rsidR="00F60B2C" w:rsidRDefault="00F60B2C" w:rsidP="001A1699">
            <w:pPr>
              <w:spacing w:line="259" w:lineRule="auto"/>
              <w:jc w:val="center"/>
              <w:rPr>
                <w:rFonts w:ascii="Arial" w:hAnsi="Arial" w:cs="Arial"/>
                <w:b/>
                <w:bCs/>
                <w:color w:val="000000"/>
                <w:sz w:val="18"/>
              </w:rPr>
            </w:pPr>
            <w:r>
              <w:rPr>
                <w:rFonts w:ascii="Arial" w:hAnsi="Arial" w:cs="Arial"/>
                <w:b/>
                <w:color w:val="000000"/>
                <w:sz w:val="18"/>
                <w:lang w:eastAsia="es-AR"/>
              </w:rPr>
              <w:t>31/12/2018</w:t>
            </w:r>
          </w:p>
        </w:tc>
      </w:tr>
      <w:tr w:rsidR="00F60B2C" w:rsidRPr="00701F32" w14:paraId="19868356" w14:textId="77777777" w:rsidTr="00F60B2C">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FA679" w14:textId="276B8E88" w:rsidR="00F60B2C" w:rsidRPr="00701F32" w:rsidRDefault="00F60B2C" w:rsidP="001A1699">
            <w:pPr>
              <w:spacing w:line="259" w:lineRule="auto"/>
              <w:jc w:val="both"/>
              <w:rPr>
                <w:rFonts w:ascii="Arial" w:hAnsi="Arial" w:cs="Arial"/>
                <w:b/>
                <w:color w:val="000000"/>
                <w:sz w:val="18"/>
                <w:lang w:eastAsia="es-AR"/>
              </w:rPr>
            </w:pPr>
            <w:r w:rsidRPr="00701F32">
              <w:rPr>
                <w:rFonts w:ascii="Arial" w:hAnsi="Arial" w:cs="Arial"/>
                <w:b/>
                <w:color w:val="000000"/>
                <w:sz w:val="18"/>
                <w:lang w:eastAsia="es-AR"/>
              </w:rPr>
              <w:t>Títulos valores a valor razonable s/Estado de Sit.</w:t>
            </w:r>
            <w:r>
              <w:rPr>
                <w:rFonts w:ascii="Arial" w:hAnsi="Arial" w:cs="Arial"/>
                <w:b/>
                <w:color w:val="000000"/>
                <w:sz w:val="18"/>
                <w:lang w:eastAsia="es-AR"/>
              </w:rPr>
              <w:t xml:space="preserve"> </w:t>
            </w:r>
            <w:r w:rsidRPr="00701F32">
              <w:rPr>
                <w:rFonts w:ascii="Arial" w:hAnsi="Arial" w:cs="Arial"/>
                <w:b/>
                <w:color w:val="000000"/>
                <w:sz w:val="18"/>
                <w:lang w:eastAsia="es-AR"/>
              </w:rPr>
              <w:t>Financiera</w:t>
            </w:r>
          </w:p>
        </w:tc>
        <w:tc>
          <w:tcPr>
            <w:tcW w:w="823" w:type="pct"/>
            <w:tcBorders>
              <w:top w:val="single" w:sz="4" w:space="0" w:color="auto"/>
              <w:left w:val="single" w:sz="4" w:space="0" w:color="auto"/>
              <w:bottom w:val="single" w:sz="4" w:space="0" w:color="auto"/>
              <w:right w:val="single" w:sz="4" w:space="0" w:color="auto"/>
            </w:tcBorders>
            <w:vAlign w:val="bottom"/>
          </w:tcPr>
          <w:p w14:paraId="2F327448" w14:textId="6FA35E12" w:rsidR="00F60B2C" w:rsidRPr="00EC349E" w:rsidRDefault="00A10D09" w:rsidP="001A1699">
            <w:pPr>
              <w:spacing w:line="259" w:lineRule="auto"/>
              <w:ind w:left="709" w:hanging="709"/>
              <w:jc w:val="right"/>
              <w:rPr>
                <w:rFonts w:ascii="Arial" w:hAnsi="Arial" w:cs="Arial"/>
                <w:b/>
                <w:bCs/>
                <w:color w:val="000000"/>
                <w:sz w:val="18"/>
              </w:rPr>
            </w:pPr>
            <w:r>
              <w:rPr>
                <w:rFonts w:ascii="Arial" w:hAnsi="Arial" w:cs="Arial"/>
                <w:b/>
                <w:bCs/>
                <w:color w:val="000000"/>
                <w:sz w:val="18"/>
              </w:rPr>
              <w:t>312.306</w:t>
            </w:r>
          </w:p>
        </w:tc>
        <w:tc>
          <w:tcPr>
            <w:tcW w:w="806" w:type="pct"/>
            <w:tcBorders>
              <w:top w:val="single" w:sz="4" w:space="0" w:color="auto"/>
              <w:left w:val="single" w:sz="4" w:space="0" w:color="auto"/>
              <w:bottom w:val="single" w:sz="4" w:space="0" w:color="auto"/>
              <w:right w:val="single" w:sz="4" w:space="0" w:color="auto"/>
            </w:tcBorders>
            <w:vAlign w:val="bottom"/>
          </w:tcPr>
          <w:p w14:paraId="022C5BC9" w14:textId="18626D32" w:rsidR="00F60B2C" w:rsidRPr="0094309D" w:rsidRDefault="00F60B2C" w:rsidP="001A1699">
            <w:pPr>
              <w:spacing w:line="259" w:lineRule="auto"/>
              <w:jc w:val="right"/>
              <w:rPr>
                <w:rFonts w:ascii="Arial" w:hAnsi="Arial" w:cs="Arial"/>
                <w:b/>
                <w:bCs/>
                <w:color w:val="000000"/>
                <w:sz w:val="18"/>
                <w:szCs w:val="18"/>
              </w:rPr>
            </w:pPr>
            <w:r w:rsidRPr="00EC349E">
              <w:rPr>
                <w:rFonts w:ascii="Arial" w:hAnsi="Arial" w:cs="Arial"/>
                <w:b/>
                <w:bCs/>
                <w:color w:val="000000"/>
                <w:sz w:val="18"/>
              </w:rPr>
              <w:t>14.941.290</w:t>
            </w:r>
          </w:p>
        </w:tc>
      </w:tr>
      <w:tr w:rsidR="00F60B2C" w:rsidRPr="00701F32" w14:paraId="512106B3" w14:textId="77777777" w:rsidTr="00F60B2C">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CD2A71" w14:textId="77777777" w:rsidR="00F60B2C" w:rsidRPr="00701F32" w:rsidRDefault="00F60B2C" w:rsidP="001A1699">
            <w:pPr>
              <w:spacing w:line="259" w:lineRule="auto"/>
              <w:jc w:val="both"/>
              <w:rPr>
                <w:rFonts w:ascii="Arial" w:hAnsi="Arial" w:cs="Arial"/>
                <w:color w:val="000000"/>
                <w:sz w:val="18"/>
                <w:lang w:eastAsia="es-AR"/>
              </w:rPr>
            </w:pPr>
            <w:r w:rsidRPr="00701F32">
              <w:rPr>
                <w:rFonts w:ascii="Arial" w:hAnsi="Arial" w:cs="Arial"/>
                <w:color w:val="000000"/>
                <w:sz w:val="18"/>
                <w:lang w:eastAsia="es-AR"/>
              </w:rPr>
              <w:t>- Letras de Liquidez del BCRA hasta 90 días</w:t>
            </w:r>
          </w:p>
        </w:tc>
        <w:tc>
          <w:tcPr>
            <w:tcW w:w="823" w:type="pct"/>
            <w:tcBorders>
              <w:top w:val="single" w:sz="4" w:space="0" w:color="auto"/>
              <w:left w:val="single" w:sz="4" w:space="0" w:color="auto"/>
              <w:bottom w:val="single" w:sz="4" w:space="0" w:color="auto"/>
              <w:right w:val="single" w:sz="4" w:space="0" w:color="auto"/>
            </w:tcBorders>
            <w:vAlign w:val="bottom"/>
          </w:tcPr>
          <w:p w14:paraId="33E1EF04" w14:textId="27CBDB9A" w:rsidR="00F60B2C" w:rsidRPr="00701F32" w:rsidRDefault="00A10D09" w:rsidP="001A1699">
            <w:pPr>
              <w:spacing w:line="259" w:lineRule="auto"/>
              <w:jc w:val="right"/>
              <w:rPr>
                <w:rFonts w:ascii="Arial" w:hAnsi="Arial" w:cs="Arial"/>
                <w:bCs/>
                <w:color w:val="000000"/>
                <w:sz w:val="18"/>
              </w:rPr>
            </w:pPr>
            <w:r>
              <w:rPr>
                <w:rFonts w:ascii="Arial" w:hAnsi="Arial" w:cs="Arial"/>
                <w:bCs/>
                <w:color w:val="000000"/>
                <w:sz w:val="18"/>
              </w:rPr>
              <w:t>-</w:t>
            </w:r>
          </w:p>
        </w:tc>
        <w:tc>
          <w:tcPr>
            <w:tcW w:w="806" w:type="pct"/>
            <w:tcBorders>
              <w:top w:val="single" w:sz="4" w:space="0" w:color="auto"/>
              <w:left w:val="single" w:sz="4" w:space="0" w:color="auto"/>
              <w:bottom w:val="single" w:sz="4" w:space="0" w:color="auto"/>
              <w:right w:val="single" w:sz="4" w:space="0" w:color="auto"/>
            </w:tcBorders>
            <w:vAlign w:val="bottom"/>
          </w:tcPr>
          <w:p w14:paraId="136FC0B5" w14:textId="14D7D7DD" w:rsidR="00F60B2C" w:rsidRPr="0094309D" w:rsidRDefault="00F60B2C" w:rsidP="001A1699">
            <w:pPr>
              <w:spacing w:line="259" w:lineRule="auto"/>
              <w:jc w:val="right"/>
              <w:rPr>
                <w:rFonts w:ascii="Arial" w:hAnsi="Arial" w:cs="Arial"/>
                <w:bCs/>
                <w:color w:val="000000"/>
                <w:sz w:val="18"/>
                <w:szCs w:val="18"/>
              </w:rPr>
            </w:pPr>
            <w:r w:rsidRPr="0092051D">
              <w:rPr>
                <w:rFonts w:ascii="Arial" w:hAnsi="Arial" w:cs="Arial"/>
                <w:bCs/>
                <w:color w:val="000000"/>
                <w:sz w:val="18"/>
              </w:rPr>
              <w:t>11.305.324</w:t>
            </w:r>
          </w:p>
        </w:tc>
      </w:tr>
      <w:tr w:rsidR="00F60B2C" w:rsidRPr="00701F32" w14:paraId="7D56BDD1" w14:textId="77777777" w:rsidTr="00F60B2C">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0AD970" w14:textId="77777777" w:rsidR="00F60B2C" w:rsidRPr="00701F32" w:rsidRDefault="00F60B2C" w:rsidP="001A1699">
            <w:pPr>
              <w:spacing w:line="259" w:lineRule="auto"/>
              <w:jc w:val="both"/>
              <w:rPr>
                <w:rFonts w:ascii="Arial" w:hAnsi="Arial" w:cs="Arial"/>
                <w:color w:val="000000"/>
                <w:sz w:val="18"/>
                <w:lang w:eastAsia="es-AR"/>
              </w:rPr>
            </w:pPr>
            <w:r w:rsidRPr="00701F32">
              <w:rPr>
                <w:rFonts w:ascii="Arial" w:hAnsi="Arial" w:cs="Arial"/>
                <w:color w:val="000000"/>
                <w:sz w:val="18"/>
                <w:lang w:eastAsia="es-AR"/>
              </w:rPr>
              <w:t>- Letras del Tesoro Nacional hasta 90 días</w:t>
            </w:r>
          </w:p>
        </w:tc>
        <w:tc>
          <w:tcPr>
            <w:tcW w:w="823" w:type="pct"/>
            <w:tcBorders>
              <w:top w:val="single" w:sz="4" w:space="0" w:color="auto"/>
              <w:left w:val="single" w:sz="4" w:space="0" w:color="auto"/>
              <w:bottom w:val="single" w:sz="4" w:space="0" w:color="auto"/>
              <w:right w:val="single" w:sz="4" w:space="0" w:color="auto"/>
            </w:tcBorders>
            <w:vAlign w:val="bottom"/>
          </w:tcPr>
          <w:p w14:paraId="6A44AAC6" w14:textId="69C0B7A7" w:rsidR="00F60B2C" w:rsidRPr="00701F32" w:rsidRDefault="00A10D09" w:rsidP="001A1699">
            <w:pPr>
              <w:spacing w:line="259" w:lineRule="auto"/>
              <w:jc w:val="right"/>
              <w:rPr>
                <w:rFonts w:ascii="Arial" w:hAnsi="Arial" w:cs="Arial"/>
                <w:bCs/>
                <w:color w:val="000000"/>
                <w:sz w:val="18"/>
              </w:rPr>
            </w:pPr>
            <w:r>
              <w:rPr>
                <w:rFonts w:ascii="Arial" w:hAnsi="Arial" w:cs="Arial"/>
                <w:bCs/>
                <w:color w:val="000000"/>
                <w:sz w:val="18"/>
              </w:rPr>
              <w:t>312.306</w:t>
            </w:r>
          </w:p>
        </w:tc>
        <w:tc>
          <w:tcPr>
            <w:tcW w:w="806" w:type="pct"/>
            <w:tcBorders>
              <w:top w:val="single" w:sz="4" w:space="0" w:color="auto"/>
              <w:left w:val="single" w:sz="4" w:space="0" w:color="auto"/>
              <w:bottom w:val="single" w:sz="4" w:space="0" w:color="auto"/>
              <w:right w:val="single" w:sz="4" w:space="0" w:color="auto"/>
            </w:tcBorders>
            <w:vAlign w:val="bottom"/>
          </w:tcPr>
          <w:p w14:paraId="676278D3" w14:textId="3780F4A1" w:rsidR="00F60B2C" w:rsidRPr="0094309D" w:rsidRDefault="00F60B2C" w:rsidP="001A1699">
            <w:pPr>
              <w:spacing w:line="259" w:lineRule="auto"/>
              <w:jc w:val="right"/>
              <w:rPr>
                <w:rFonts w:ascii="Arial" w:hAnsi="Arial" w:cs="Arial"/>
                <w:bCs/>
                <w:color w:val="000000"/>
                <w:sz w:val="18"/>
                <w:szCs w:val="18"/>
              </w:rPr>
            </w:pPr>
            <w:r w:rsidRPr="0092051D">
              <w:rPr>
                <w:rFonts w:ascii="Arial" w:hAnsi="Arial" w:cs="Arial"/>
                <w:bCs/>
                <w:color w:val="000000"/>
                <w:sz w:val="18"/>
              </w:rPr>
              <w:t>526.212</w:t>
            </w:r>
          </w:p>
        </w:tc>
      </w:tr>
      <w:tr w:rsidR="00F60B2C" w:rsidRPr="00701F32" w14:paraId="522899F7" w14:textId="77777777" w:rsidTr="00F60B2C">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BCF583" w14:textId="20166E6D" w:rsidR="00F60B2C" w:rsidRPr="005A1F48" w:rsidRDefault="00F60B2C" w:rsidP="001A1699">
            <w:pPr>
              <w:spacing w:line="259" w:lineRule="auto"/>
              <w:jc w:val="both"/>
              <w:rPr>
                <w:rFonts w:ascii="Arial" w:hAnsi="Arial" w:cs="Arial"/>
                <w:b/>
                <w:color w:val="000000"/>
                <w:sz w:val="18"/>
                <w:lang w:eastAsia="es-AR"/>
              </w:rPr>
            </w:pPr>
            <w:r w:rsidRPr="005A1F48">
              <w:rPr>
                <w:rFonts w:ascii="Arial" w:hAnsi="Arial" w:cs="Arial"/>
                <w:b/>
                <w:color w:val="000000"/>
                <w:sz w:val="18"/>
                <w:lang w:eastAsia="es-AR"/>
              </w:rPr>
              <w:t>Títulos de deuda a valor razonable s/Estado de Flujos de Efectivo</w:t>
            </w:r>
          </w:p>
        </w:tc>
        <w:tc>
          <w:tcPr>
            <w:tcW w:w="823" w:type="pct"/>
            <w:tcBorders>
              <w:top w:val="single" w:sz="4" w:space="0" w:color="auto"/>
              <w:left w:val="single" w:sz="4" w:space="0" w:color="auto"/>
              <w:bottom w:val="single" w:sz="4" w:space="0" w:color="auto"/>
              <w:right w:val="single" w:sz="4" w:space="0" w:color="auto"/>
            </w:tcBorders>
            <w:vAlign w:val="bottom"/>
          </w:tcPr>
          <w:p w14:paraId="03235C5D" w14:textId="701692FF" w:rsidR="00F60B2C" w:rsidRPr="00DC6200" w:rsidRDefault="0068711D" w:rsidP="001A1699">
            <w:pPr>
              <w:spacing w:line="259" w:lineRule="auto"/>
              <w:jc w:val="right"/>
              <w:rPr>
                <w:rFonts w:ascii="Arial" w:hAnsi="Arial" w:cs="Arial"/>
                <w:b/>
                <w:bCs/>
                <w:color w:val="000000"/>
                <w:sz w:val="18"/>
                <w:lang w:val="es-ES_tradnl"/>
              </w:rPr>
            </w:pPr>
            <w:r>
              <w:rPr>
                <w:rFonts w:ascii="Arial" w:hAnsi="Arial" w:cs="Arial"/>
                <w:b/>
                <w:bCs/>
                <w:color w:val="000000"/>
                <w:sz w:val="18"/>
              </w:rPr>
              <w:t>312.306</w:t>
            </w:r>
          </w:p>
        </w:tc>
        <w:tc>
          <w:tcPr>
            <w:tcW w:w="806" w:type="pct"/>
            <w:tcBorders>
              <w:top w:val="single" w:sz="4" w:space="0" w:color="auto"/>
              <w:left w:val="single" w:sz="4" w:space="0" w:color="auto"/>
              <w:bottom w:val="single" w:sz="4" w:space="0" w:color="auto"/>
              <w:right w:val="single" w:sz="4" w:space="0" w:color="auto"/>
            </w:tcBorders>
            <w:vAlign w:val="bottom"/>
          </w:tcPr>
          <w:p w14:paraId="7EBF983F" w14:textId="693598EE" w:rsidR="00F60B2C" w:rsidRPr="0094309D" w:rsidRDefault="00F60B2C" w:rsidP="001A1699">
            <w:pPr>
              <w:spacing w:line="259" w:lineRule="auto"/>
              <w:jc w:val="right"/>
              <w:rPr>
                <w:rFonts w:ascii="Arial" w:hAnsi="Arial" w:cs="Arial"/>
                <w:b/>
                <w:bCs/>
                <w:color w:val="000000"/>
                <w:sz w:val="18"/>
                <w:szCs w:val="18"/>
                <w:lang w:val="es-ES_tradnl"/>
              </w:rPr>
            </w:pPr>
            <w:r w:rsidRPr="00DC6200">
              <w:rPr>
                <w:rFonts w:ascii="Arial" w:hAnsi="Arial" w:cs="Arial"/>
                <w:b/>
                <w:bCs/>
                <w:color w:val="000000"/>
                <w:sz w:val="18"/>
                <w:lang w:val="es-ES_tradnl"/>
              </w:rPr>
              <w:t>11.831.536</w:t>
            </w:r>
          </w:p>
        </w:tc>
      </w:tr>
      <w:tr w:rsidR="00F60B2C" w:rsidRPr="00701F32" w14:paraId="722F4A4C" w14:textId="77777777" w:rsidTr="00F60B2C">
        <w:trPr>
          <w:trHeight w:val="248"/>
          <w:jc w:val="center"/>
        </w:trPr>
        <w:tc>
          <w:tcPr>
            <w:tcW w:w="33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A78CDE" w14:textId="5C541522" w:rsidR="00F60B2C" w:rsidRPr="005A1F48" w:rsidRDefault="00F60B2C" w:rsidP="001A1699">
            <w:pPr>
              <w:spacing w:line="259" w:lineRule="auto"/>
              <w:jc w:val="both"/>
              <w:rPr>
                <w:rFonts w:ascii="Arial" w:hAnsi="Arial" w:cs="Arial"/>
                <w:b/>
                <w:color w:val="000000"/>
                <w:sz w:val="18"/>
                <w:lang w:eastAsia="es-AR"/>
              </w:rPr>
            </w:pPr>
            <w:r w:rsidRPr="005A1F48">
              <w:rPr>
                <w:rFonts w:ascii="Arial" w:hAnsi="Arial" w:cs="Arial"/>
                <w:b/>
                <w:color w:val="000000"/>
                <w:sz w:val="18"/>
                <w:lang w:eastAsia="es-AR"/>
              </w:rPr>
              <w:t>Títulos no considerados Equivalentes de Efectivo</w:t>
            </w:r>
          </w:p>
        </w:tc>
        <w:tc>
          <w:tcPr>
            <w:tcW w:w="823" w:type="pct"/>
            <w:tcBorders>
              <w:top w:val="single" w:sz="4" w:space="0" w:color="auto"/>
              <w:left w:val="single" w:sz="4" w:space="0" w:color="auto"/>
              <w:bottom w:val="single" w:sz="4" w:space="0" w:color="auto"/>
              <w:right w:val="single" w:sz="4" w:space="0" w:color="auto"/>
            </w:tcBorders>
            <w:vAlign w:val="bottom"/>
          </w:tcPr>
          <w:p w14:paraId="08D40F52" w14:textId="2D1241BD" w:rsidR="00F60B2C" w:rsidRPr="00EC349E" w:rsidRDefault="0068711D" w:rsidP="001A1699">
            <w:pPr>
              <w:spacing w:line="259" w:lineRule="auto"/>
              <w:jc w:val="right"/>
              <w:rPr>
                <w:rFonts w:ascii="Arial" w:hAnsi="Arial" w:cs="Arial"/>
                <w:b/>
                <w:bCs/>
                <w:color w:val="000000"/>
                <w:sz w:val="18"/>
              </w:rPr>
            </w:pPr>
            <w:r>
              <w:rPr>
                <w:rFonts w:ascii="Arial" w:hAnsi="Arial" w:cs="Arial"/>
                <w:b/>
                <w:bCs/>
                <w:color w:val="000000"/>
                <w:sz w:val="18"/>
              </w:rPr>
              <w:t>-</w:t>
            </w:r>
          </w:p>
        </w:tc>
        <w:tc>
          <w:tcPr>
            <w:tcW w:w="806" w:type="pct"/>
            <w:tcBorders>
              <w:top w:val="single" w:sz="4" w:space="0" w:color="auto"/>
              <w:left w:val="single" w:sz="4" w:space="0" w:color="auto"/>
              <w:bottom w:val="single" w:sz="4" w:space="0" w:color="auto"/>
              <w:right w:val="single" w:sz="4" w:space="0" w:color="auto"/>
            </w:tcBorders>
            <w:vAlign w:val="bottom"/>
          </w:tcPr>
          <w:p w14:paraId="2744A1DD" w14:textId="4838D780" w:rsidR="00F60B2C" w:rsidRPr="0094309D" w:rsidRDefault="00F60B2C" w:rsidP="001A1699">
            <w:pPr>
              <w:spacing w:line="259" w:lineRule="auto"/>
              <w:jc w:val="right"/>
              <w:rPr>
                <w:rFonts w:ascii="Arial" w:hAnsi="Arial" w:cs="Arial"/>
                <w:b/>
                <w:bCs/>
                <w:color w:val="000000"/>
                <w:sz w:val="18"/>
                <w:lang w:val="es-ES_tradnl"/>
              </w:rPr>
            </w:pPr>
            <w:r w:rsidRPr="00DC6200">
              <w:rPr>
                <w:rFonts w:ascii="Arial" w:hAnsi="Arial" w:cs="Arial"/>
                <w:b/>
                <w:bCs/>
                <w:color w:val="000000"/>
                <w:sz w:val="18"/>
              </w:rPr>
              <w:t>3.109.754</w:t>
            </w:r>
          </w:p>
        </w:tc>
      </w:tr>
    </w:tbl>
    <w:p w14:paraId="04211EBF" w14:textId="77777777" w:rsidR="00745714" w:rsidRDefault="00745714" w:rsidP="00745714">
      <w:pPr>
        <w:rPr>
          <w:rFonts w:ascii="Arial" w:eastAsia="Arial" w:hAnsi="Arial" w:cs="Arial"/>
          <w:sz w:val="20"/>
        </w:rPr>
      </w:pPr>
    </w:p>
    <w:p w14:paraId="102318FF" w14:textId="0C21B4C8" w:rsidR="00745714" w:rsidRDefault="00745714" w:rsidP="00745714">
      <w:pPr>
        <w:rPr>
          <w:rFonts w:ascii="Arial" w:eastAsia="Arial" w:hAnsi="Arial" w:cs="Arial"/>
          <w:sz w:val="20"/>
        </w:rPr>
      </w:pPr>
      <w:r>
        <w:rPr>
          <w:rFonts w:ascii="Arial" w:eastAsia="Arial" w:hAnsi="Arial" w:cs="Arial"/>
          <w:sz w:val="20"/>
        </w:rPr>
        <w:t xml:space="preserve">A continuación se presenta la conciliación de las actividades de financiación al 31 de diciembre de 2019 y 2018: </w:t>
      </w:r>
    </w:p>
    <w:p w14:paraId="7F4AC76B" w14:textId="77777777" w:rsidR="00745714" w:rsidRDefault="00745714" w:rsidP="00745714">
      <w:pPr>
        <w:rPr>
          <w:rFonts w:ascii="Arial" w:eastAsia="Arial" w:hAnsi="Arial" w:cs="Arial"/>
          <w:sz w:val="20"/>
        </w:rPr>
      </w:pPr>
    </w:p>
    <w:tbl>
      <w:tblPr>
        <w:tblW w:w="967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1261"/>
        <w:gridCol w:w="1429"/>
        <w:gridCol w:w="1556"/>
        <w:gridCol w:w="1265"/>
        <w:gridCol w:w="1047"/>
      </w:tblGrid>
      <w:tr w:rsidR="00745714" w:rsidRPr="007426FC" w14:paraId="382713E7" w14:textId="77777777" w:rsidTr="00CC2DDE">
        <w:trPr>
          <w:trHeight w:val="240"/>
        </w:trPr>
        <w:tc>
          <w:tcPr>
            <w:tcW w:w="3119" w:type="dxa"/>
            <w:vMerge w:val="restart"/>
            <w:shd w:val="clear" w:color="auto" w:fill="auto"/>
            <w:noWrap/>
            <w:vAlign w:val="center"/>
            <w:hideMark/>
          </w:tcPr>
          <w:p w14:paraId="05BD794A" w14:textId="77777777" w:rsidR="00745714" w:rsidRPr="007426FC" w:rsidRDefault="00745714" w:rsidP="00CC2DDE">
            <w:pPr>
              <w:jc w:val="center"/>
              <w:rPr>
                <w:rFonts w:ascii="Arial" w:hAnsi="Arial" w:cs="Arial"/>
                <w:b/>
                <w:bCs/>
                <w:sz w:val="18"/>
                <w:szCs w:val="18"/>
                <w:lang w:eastAsia="es-AR"/>
              </w:rPr>
            </w:pPr>
            <w:r w:rsidRPr="007426FC">
              <w:rPr>
                <w:rFonts w:ascii="Arial" w:hAnsi="Arial" w:cs="Arial"/>
                <w:b/>
                <w:bCs/>
                <w:sz w:val="18"/>
                <w:szCs w:val="18"/>
                <w:lang w:eastAsia="es-AR"/>
              </w:rPr>
              <w:t>Conceptos</w:t>
            </w:r>
          </w:p>
        </w:tc>
        <w:tc>
          <w:tcPr>
            <w:tcW w:w="1261" w:type="dxa"/>
            <w:vMerge w:val="restart"/>
            <w:shd w:val="clear" w:color="auto" w:fill="auto"/>
            <w:vAlign w:val="center"/>
            <w:hideMark/>
          </w:tcPr>
          <w:p w14:paraId="50E2D277" w14:textId="77777777" w:rsidR="00745714" w:rsidRPr="007426FC" w:rsidRDefault="00745714" w:rsidP="00CC2DDE">
            <w:pPr>
              <w:jc w:val="center"/>
              <w:rPr>
                <w:rFonts w:ascii="Arial" w:hAnsi="Arial" w:cs="Arial"/>
                <w:b/>
                <w:bCs/>
                <w:sz w:val="18"/>
                <w:szCs w:val="18"/>
                <w:lang w:eastAsia="es-AR"/>
              </w:rPr>
            </w:pPr>
            <w:r w:rsidRPr="007426FC">
              <w:rPr>
                <w:rFonts w:ascii="Arial" w:hAnsi="Arial" w:cs="Arial"/>
                <w:b/>
                <w:bCs/>
                <w:sz w:val="18"/>
                <w:szCs w:val="18"/>
                <w:lang w:eastAsia="es-AR"/>
              </w:rPr>
              <w:t>Saldos al 31/12/2018</w:t>
            </w:r>
          </w:p>
        </w:tc>
        <w:tc>
          <w:tcPr>
            <w:tcW w:w="2985" w:type="dxa"/>
            <w:gridSpan w:val="2"/>
            <w:shd w:val="clear" w:color="auto" w:fill="auto"/>
            <w:vAlign w:val="center"/>
          </w:tcPr>
          <w:p w14:paraId="28B0FD1E" w14:textId="77777777" w:rsidR="00745714" w:rsidRPr="007426FC" w:rsidRDefault="00745714" w:rsidP="00CC2DDE">
            <w:pPr>
              <w:jc w:val="center"/>
              <w:rPr>
                <w:rFonts w:ascii="Arial" w:hAnsi="Arial" w:cs="Arial"/>
                <w:b/>
                <w:bCs/>
                <w:sz w:val="18"/>
                <w:szCs w:val="18"/>
                <w:lang w:eastAsia="es-AR"/>
              </w:rPr>
            </w:pPr>
            <w:r w:rsidRPr="007426FC">
              <w:rPr>
                <w:rFonts w:ascii="Arial" w:hAnsi="Arial" w:cs="Arial"/>
                <w:b/>
                <w:bCs/>
                <w:sz w:val="18"/>
                <w:szCs w:val="18"/>
                <w:lang w:eastAsia="es-AR"/>
              </w:rPr>
              <w:t>Flujos de Efectivo</w:t>
            </w:r>
          </w:p>
        </w:tc>
        <w:tc>
          <w:tcPr>
            <w:tcW w:w="1265" w:type="dxa"/>
            <w:vMerge w:val="restart"/>
            <w:shd w:val="clear" w:color="auto" w:fill="auto"/>
            <w:vAlign w:val="center"/>
            <w:hideMark/>
          </w:tcPr>
          <w:p w14:paraId="28EB323B" w14:textId="77777777" w:rsidR="00745714" w:rsidRPr="007426FC" w:rsidRDefault="00745714" w:rsidP="00CC2DDE">
            <w:pPr>
              <w:jc w:val="center"/>
              <w:rPr>
                <w:rFonts w:ascii="Arial" w:hAnsi="Arial" w:cs="Arial"/>
                <w:b/>
                <w:bCs/>
                <w:sz w:val="18"/>
                <w:szCs w:val="18"/>
                <w:lang w:eastAsia="es-AR"/>
              </w:rPr>
            </w:pPr>
            <w:r w:rsidRPr="007426FC">
              <w:rPr>
                <w:rFonts w:ascii="Arial" w:hAnsi="Arial" w:cs="Arial"/>
                <w:b/>
                <w:bCs/>
                <w:sz w:val="18"/>
                <w:szCs w:val="18"/>
                <w:lang w:eastAsia="es-AR"/>
              </w:rPr>
              <w:t>Otros movimientos sin efectivo</w:t>
            </w:r>
          </w:p>
        </w:tc>
        <w:tc>
          <w:tcPr>
            <w:tcW w:w="1047" w:type="dxa"/>
            <w:vMerge w:val="restart"/>
            <w:shd w:val="clear" w:color="auto" w:fill="auto"/>
            <w:vAlign w:val="center"/>
            <w:hideMark/>
          </w:tcPr>
          <w:p w14:paraId="61F2BC1A" w14:textId="77777777" w:rsidR="00745714" w:rsidRPr="007426FC" w:rsidRDefault="00745714" w:rsidP="00CC2DDE">
            <w:pPr>
              <w:jc w:val="center"/>
              <w:rPr>
                <w:rFonts w:ascii="Arial" w:hAnsi="Arial" w:cs="Arial"/>
                <w:b/>
                <w:bCs/>
                <w:sz w:val="18"/>
                <w:szCs w:val="18"/>
                <w:lang w:eastAsia="es-AR"/>
              </w:rPr>
            </w:pPr>
            <w:r w:rsidRPr="007426FC">
              <w:rPr>
                <w:rFonts w:ascii="Arial" w:hAnsi="Arial" w:cs="Arial"/>
                <w:b/>
                <w:bCs/>
                <w:sz w:val="18"/>
                <w:szCs w:val="18"/>
                <w:lang w:eastAsia="es-AR"/>
              </w:rPr>
              <w:t>Saldos al 31/12/2019</w:t>
            </w:r>
          </w:p>
        </w:tc>
      </w:tr>
      <w:tr w:rsidR="00745714" w:rsidRPr="007426FC" w14:paraId="0F2A4F8E" w14:textId="77777777" w:rsidTr="00CC2DDE">
        <w:trPr>
          <w:trHeight w:val="211"/>
        </w:trPr>
        <w:tc>
          <w:tcPr>
            <w:tcW w:w="3119" w:type="dxa"/>
            <w:vMerge/>
            <w:shd w:val="clear" w:color="auto" w:fill="auto"/>
            <w:noWrap/>
            <w:vAlign w:val="bottom"/>
            <w:hideMark/>
          </w:tcPr>
          <w:p w14:paraId="4E335251" w14:textId="77777777" w:rsidR="00745714" w:rsidRPr="007426FC" w:rsidRDefault="00745714" w:rsidP="00CC2DDE">
            <w:pPr>
              <w:jc w:val="center"/>
              <w:rPr>
                <w:rFonts w:ascii="Arial" w:hAnsi="Arial" w:cs="Arial"/>
                <w:b/>
                <w:bCs/>
                <w:sz w:val="18"/>
                <w:szCs w:val="18"/>
                <w:lang w:eastAsia="es-AR"/>
              </w:rPr>
            </w:pPr>
          </w:p>
        </w:tc>
        <w:tc>
          <w:tcPr>
            <w:tcW w:w="1261" w:type="dxa"/>
            <w:vMerge/>
            <w:vAlign w:val="center"/>
            <w:hideMark/>
          </w:tcPr>
          <w:p w14:paraId="21E9DF9E" w14:textId="77777777" w:rsidR="00745714" w:rsidRPr="007426FC" w:rsidRDefault="00745714" w:rsidP="00CC2DDE">
            <w:pPr>
              <w:rPr>
                <w:rFonts w:ascii="Arial" w:hAnsi="Arial" w:cs="Arial"/>
                <w:b/>
                <w:bCs/>
                <w:sz w:val="18"/>
                <w:szCs w:val="18"/>
                <w:lang w:eastAsia="es-AR"/>
              </w:rPr>
            </w:pPr>
          </w:p>
        </w:tc>
        <w:tc>
          <w:tcPr>
            <w:tcW w:w="1429" w:type="dxa"/>
            <w:shd w:val="clear" w:color="auto" w:fill="auto"/>
            <w:noWrap/>
            <w:vAlign w:val="bottom"/>
            <w:hideMark/>
          </w:tcPr>
          <w:p w14:paraId="24348359" w14:textId="77777777" w:rsidR="00745714" w:rsidRPr="007426FC" w:rsidRDefault="00745714" w:rsidP="00CC2DDE">
            <w:pPr>
              <w:jc w:val="center"/>
              <w:rPr>
                <w:rFonts w:ascii="Arial" w:hAnsi="Arial" w:cs="Arial"/>
                <w:b/>
                <w:bCs/>
                <w:sz w:val="18"/>
                <w:szCs w:val="18"/>
                <w:lang w:eastAsia="es-AR"/>
              </w:rPr>
            </w:pPr>
            <w:r w:rsidRPr="007426FC">
              <w:rPr>
                <w:rFonts w:ascii="Arial" w:hAnsi="Arial" w:cs="Arial"/>
                <w:b/>
                <w:bCs/>
                <w:sz w:val="18"/>
                <w:szCs w:val="18"/>
                <w:lang w:eastAsia="es-AR"/>
              </w:rPr>
              <w:t xml:space="preserve"> Cobros </w:t>
            </w:r>
          </w:p>
        </w:tc>
        <w:tc>
          <w:tcPr>
            <w:tcW w:w="1556" w:type="dxa"/>
            <w:shd w:val="clear" w:color="auto" w:fill="auto"/>
            <w:noWrap/>
            <w:vAlign w:val="bottom"/>
            <w:hideMark/>
          </w:tcPr>
          <w:p w14:paraId="0D9FA3BC" w14:textId="77777777" w:rsidR="00745714" w:rsidRPr="007426FC" w:rsidRDefault="00745714" w:rsidP="00CC2DDE">
            <w:pPr>
              <w:jc w:val="center"/>
              <w:rPr>
                <w:rFonts w:ascii="Arial" w:hAnsi="Arial" w:cs="Arial"/>
                <w:b/>
                <w:bCs/>
                <w:sz w:val="18"/>
                <w:szCs w:val="18"/>
                <w:lang w:eastAsia="es-AR"/>
              </w:rPr>
            </w:pPr>
            <w:r w:rsidRPr="007426FC">
              <w:rPr>
                <w:rFonts w:ascii="Arial" w:hAnsi="Arial" w:cs="Arial"/>
                <w:b/>
                <w:bCs/>
                <w:sz w:val="18"/>
                <w:szCs w:val="18"/>
                <w:lang w:eastAsia="es-AR"/>
              </w:rPr>
              <w:t>Pagos</w:t>
            </w:r>
          </w:p>
        </w:tc>
        <w:tc>
          <w:tcPr>
            <w:tcW w:w="1265" w:type="dxa"/>
            <w:vMerge/>
            <w:vAlign w:val="center"/>
            <w:hideMark/>
          </w:tcPr>
          <w:p w14:paraId="405911D4" w14:textId="77777777" w:rsidR="00745714" w:rsidRPr="007426FC" w:rsidRDefault="00745714" w:rsidP="00CC2DDE">
            <w:pPr>
              <w:rPr>
                <w:rFonts w:ascii="Arial" w:hAnsi="Arial" w:cs="Arial"/>
                <w:b/>
                <w:bCs/>
                <w:sz w:val="18"/>
                <w:szCs w:val="18"/>
                <w:lang w:eastAsia="es-AR"/>
              </w:rPr>
            </w:pPr>
          </w:p>
        </w:tc>
        <w:tc>
          <w:tcPr>
            <w:tcW w:w="1047" w:type="dxa"/>
            <w:vMerge/>
            <w:vAlign w:val="center"/>
            <w:hideMark/>
          </w:tcPr>
          <w:p w14:paraId="340DC423" w14:textId="77777777" w:rsidR="00745714" w:rsidRPr="007426FC" w:rsidRDefault="00745714" w:rsidP="00CC2DDE">
            <w:pPr>
              <w:rPr>
                <w:rFonts w:ascii="Arial" w:hAnsi="Arial" w:cs="Arial"/>
                <w:b/>
                <w:bCs/>
                <w:sz w:val="18"/>
                <w:szCs w:val="18"/>
                <w:lang w:eastAsia="es-AR"/>
              </w:rPr>
            </w:pPr>
          </w:p>
        </w:tc>
      </w:tr>
      <w:tr w:rsidR="00745714" w:rsidRPr="007426FC" w14:paraId="53C1B5DE" w14:textId="77777777" w:rsidTr="006E1AF7">
        <w:trPr>
          <w:trHeight w:val="240"/>
        </w:trPr>
        <w:tc>
          <w:tcPr>
            <w:tcW w:w="3119" w:type="dxa"/>
            <w:shd w:val="clear" w:color="auto" w:fill="auto"/>
            <w:noWrap/>
            <w:vAlign w:val="bottom"/>
            <w:hideMark/>
          </w:tcPr>
          <w:p w14:paraId="653AB015" w14:textId="77777777" w:rsidR="00745714" w:rsidRPr="007426FC" w:rsidRDefault="00745714" w:rsidP="00745714">
            <w:pPr>
              <w:rPr>
                <w:rFonts w:ascii="Arial" w:hAnsi="Arial" w:cs="Arial"/>
                <w:sz w:val="18"/>
                <w:szCs w:val="18"/>
                <w:lang w:eastAsia="es-AR"/>
              </w:rPr>
            </w:pPr>
            <w:r w:rsidRPr="007426FC">
              <w:rPr>
                <w:rFonts w:ascii="Arial" w:hAnsi="Arial" w:cs="Arial"/>
                <w:sz w:val="18"/>
                <w:szCs w:val="18"/>
                <w:lang w:eastAsia="es-AR"/>
              </w:rPr>
              <w:t>Aporte de Capital</w:t>
            </w:r>
          </w:p>
        </w:tc>
        <w:tc>
          <w:tcPr>
            <w:tcW w:w="1261" w:type="dxa"/>
            <w:shd w:val="clear" w:color="auto" w:fill="auto"/>
            <w:noWrap/>
            <w:vAlign w:val="center"/>
            <w:hideMark/>
          </w:tcPr>
          <w:p w14:paraId="178209FF" w14:textId="1625983E" w:rsidR="00745714" w:rsidRPr="007426FC" w:rsidRDefault="00745714">
            <w:pPr>
              <w:jc w:val="right"/>
              <w:rPr>
                <w:rFonts w:ascii="Arial" w:hAnsi="Arial" w:cs="Arial"/>
                <w:sz w:val="18"/>
                <w:szCs w:val="18"/>
                <w:lang w:eastAsia="es-AR"/>
              </w:rPr>
            </w:pPr>
            <w:r>
              <w:rPr>
                <w:rFonts w:ascii="Arial" w:hAnsi="Arial" w:cs="Arial"/>
                <w:sz w:val="18"/>
                <w:szCs w:val="18"/>
              </w:rPr>
              <w:t>1.861.000</w:t>
            </w:r>
          </w:p>
        </w:tc>
        <w:tc>
          <w:tcPr>
            <w:tcW w:w="1429" w:type="dxa"/>
            <w:shd w:val="clear" w:color="auto" w:fill="auto"/>
            <w:noWrap/>
            <w:vAlign w:val="center"/>
            <w:hideMark/>
          </w:tcPr>
          <w:p w14:paraId="72C6327B" w14:textId="464BC3B3" w:rsidR="00745714" w:rsidRPr="007426FC" w:rsidRDefault="00745714">
            <w:pPr>
              <w:jc w:val="right"/>
              <w:rPr>
                <w:rFonts w:ascii="Arial" w:hAnsi="Arial" w:cs="Arial"/>
                <w:sz w:val="18"/>
                <w:szCs w:val="18"/>
                <w:lang w:eastAsia="es-AR"/>
              </w:rPr>
            </w:pPr>
            <w:r>
              <w:rPr>
                <w:rFonts w:ascii="Arial" w:hAnsi="Arial" w:cs="Arial"/>
                <w:sz w:val="18"/>
                <w:szCs w:val="18"/>
              </w:rPr>
              <w:t>475.000</w:t>
            </w:r>
          </w:p>
        </w:tc>
        <w:tc>
          <w:tcPr>
            <w:tcW w:w="1556" w:type="dxa"/>
            <w:shd w:val="clear" w:color="auto" w:fill="auto"/>
            <w:noWrap/>
            <w:vAlign w:val="center"/>
            <w:hideMark/>
          </w:tcPr>
          <w:p w14:paraId="388B9763" w14:textId="7C3ECE8A" w:rsidR="00745714" w:rsidRPr="00AC420A" w:rsidRDefault="00745714">
            <w:pPr>
              <w:jc w:val="right"/>
              <w:rPr>
                <w:rFonts w:ascii="Arial" w:hAnsi="Arial" w:cs="Arial"/>
                <w:sz w:val="18"/>
                <w:szCs w:val="18"/>
                <w:lang w:eastAsia="es-AR"/>
              </w:rPr>
            </w:pPr>
            <w:r>
              <w:rPr>
                <w:rFonts w:ascii="Arial" w:hAnsi="Arial" w:cs="Arial"/>
                <w:sz w:val="18"/>
                <w:szCs w:val="18"/>
              </w:rPr>
              <w:t>-</w:t>
            </w:r>
          </w:p>
        </w:tc>
        <w:tc>
          <w:tcPr>
            <w:tcW w:w="1265" w:type="dxa"/>
            <w:shd w:val="clear" w:color="auto" w:fill="auto"/>
            <w:noWrap/>
            <w:vAlign w:val="center"/>
            <w:hideMark/>
          </w:tcPr>
          <w:p w14:paraId="5E3B90CC" w14:textId="103CCF46" w:rsidR="00745714" w:rsidRPr="00AC420A" w:rsidRDefault="00745714">
            <w:pPr>
              <w:jc w:val="right"/>
              <w:rPr>
                <w:rFonts w:ascii="Arial" w:hAnsi="Arial" w:cs="Arial"/>
                <w:sz w:val="18"/>
                <w:szCs w:val="18"/>
                <w:lang w:eastAsia="es-AR"/>
              </w:rPr>
            </w:pPr>
            <w:r>
              <w:rPr>
                <w:rFonts w:ascii="Arial" w:hAnsi="Arial" w:cs="Arial"/>
                <w:sz w:val="18"/>
                <w:szCs w:val="18"/>
              </w:rPr>
              <w:t>-</w:t>
            </w:r>
          </w:p>
        </w:tc>
        <w:tc>
          <w:tcPr>
            <w:tcW w:w="1047" w:type="dxa"/>
            <w:shd w:val="clear" w:color="auto" w:fill="auto"/>
            <w:noWrap/>
            <w:vAlign w:val="center"/>
            <w:hideMark/>
          </w:tcPr>
          <w:p w14:paraId="2E2EC82A" w14:textId="791CAF26" w:rsidR="00745714" w:rsidRPr="007426FC" w:rsidRDefault="00745714">
            <w:pPr>
              <w:jc w:val="right"/>
              <w:rPr>
                <w:rFonts w:ascii="Arial" w:hAnsi="Arial" w:cs="Arial"/>
                <w:sz w:val="18"/>
                <w:szCs w:val="18"/>
                <w:lang w:eastAsia="es-AR"/>
              </w:rPr>
            </w:pPr>
            <w:r>
              <w:rPr>
                <w:rFonts w:ascii="Arial" w:hAnsi="Arial" w:cs="Arial"/>
                <w:sz w:val="18"/>
                <w:szCs w:val="18"/>
              </w:rPr>
              <w:t>2.336.000</w:t>
            </w:r>
          </w:p>
        </w:tc>
      </w:tr>
      <w:tr w:rsidR="00745714" w:rsidRPr="007426FC" w14:paraId="2FA5514C" w14:textId="77777777" w:rsidTr="006E1AF7">
        <w:trPr>
          <w:trHeight w:val="240"/>
        </w:trPr>
        <w:tc>
          <w:tcPr>
            <w:tcW w:w="3119" w:type="dxa"/>
            <w:shd w:val="clear" w:color="auto" w:fill="auto"/>
            <w:noWrap/>
            <w:vAlign w:val="bottom"/>
            <w:hideMark/>
          </w:tcPr>
          <w:p w14:paraId="496AF1D8" w14:textId="77777777" w:rsidR="00745714" w:rsidRPr="007426FC" w:rsidRDefault="00745714" w:rsidP="00745714">
            <w:pPr>
              <w:rPr>
                <w:rFonts w:ascii="Arial" w:hAnsi="Arial" w:cs="Arial"/>
                <w:sz w:val="18"/>
                <w:szCs w:val="18"/>
                <w:lang w:eastAsia="es-AR"/>
              </w:rPr>
            </w:pPr>
            <w:r w:rsidRPr="007426FC">
              <w:rPr>
                <w:rFonts w:ascii="Arial" w:hAnsi="Arial" w:cs="Arial"/>
                <w:sz w:val="18"/>
                <w:szCs w:val="18"/>
                <w:lang w:eastAsia="es-AR"/>
              </w:rPr>
              <w:t>Obligaciones negociables emitidas</w:t>
            </w:r>
          </w:p>
        </w:tc>
        <w:tc>
          <w:tcPr>
            <w:tcW w:w="1261" w:type="dxa"/>
            <w:shd w:val="clear" w:color="auto" w:fill="auto"/>
            <w:noWrap/>
            <w:vAlign w:val="center"/>
            <w:hideMark/>
          </w:tcPr>
          <w:p w14:paraId="26CCD066" w14:textId="0BEB1BB0" w:rsidR="00745714" w:rsidRPr="007426FC" w:rsidRDefault="00745714">
            <w:pPr>
              <w:jc w:val="right"/>
              <w:rPr>
                <w:rFonts w:ascii="Arial" w:hAnsi="Arial" w:cs="Arial"/>
                <w:sz w:val="18"/>
                <w:szCs w:val="18"/>
                <w:lang w:eastAsia="es-AR"/>
              </w:rPr>
            </w:pPr>
            <w:r>
              <w:rPr>
                <w:rFonts w:ascii="Arial" w:hAnsi="Arial" w:cs="Arial"/>
                <w:sz w:val="18"/>
                <w:szCs w:val="18"/>
              </w:rPr>
              <w:t>7.924.029</w:t>
            </w:r>
          </w:p>
        </w:tc>
        <w:tc>
          <w:tcPr>
            <w:tcW w:w="1429" w:type="dxa"/>
            <w:shd w:val="clear" w:color="auto" w:fill="auto"/>
            <w:noWrap/>
            <w:vAlign w:val="center"/>
            <w:hideMark/>
          </w:tcPr>
          <w:p w14:paraId="1A63A63C" w14:textId="59C46160" w:rsidR="00745714" w:rsidRPr="007426FC" w:rsidRDefault="00745714">
            <w:pPr>
              <w:jc w:val="right"/>
              <w:rPr>
                <w:rFonts w:ascii="Arial" w:hAnsi="Arial" w:cs="Arial"/>
                <w:sz w:val="18"/>
                <w:szCs w:val="18"/>
                <w:lang w:eastAsia="es-AR"/>
              </w:rPr>
            </w:pPr>
            <w:r>
              <w:rPr>
                <w:rFonts w:ascii="Arial" w:hAnsi="Arial" w:cs="Arial"/>
                <w:sz w:val="18"/>
                <w:szCs w:val="18"/>
              </w:rPr>
              <w:t>8.925.101</w:t>
            </w:r>
          </w:p>
        </w:tc>
        <w:tc>
          <w:tcPr>
            <w:tcW w:w="1556" w:type="dxa"/>
            <w:shd w:val="clear" w:color="auto" w:fill="auto"/>
            <w:noWrap/>
            <w:vAlign w:val="center"/>
            <w:hideMark/>
          </w:tcPr>
          <w:p w14:paraId="7BED02B7" w14:textId="56CA7BBE" w:rsidR="00745714" w:rsidRPr="007426FC" w:rsidRDefault="00745714">
            <w:pPr>
              <w:jc w:val="right"/>
              <w:rPr>
                <w:rFonts w:ascii="Arial" w:hAnsi="Arial" w:cs="Arial"/>
                <w:sz w:val="18"/>
                <w:szCs w:val="18"/>
                <w:lang w:eastAsia="es-AR"/>
              </w:rPr>
            </w:pPr>
            <w:r>
              <w:rPr>
                <w:rFonts w:ascii="Arial" w:hAnsi="Arial" w:cs="Arial"/>
                <w:sz w:val="18"/>
                <w:szCs w:val="18"/>
              </w:rPr>
              <w:t>-11.156.535</w:t>
            </w:r>
          </w:p>
        </w:tc>
        <w:tc>
          <w:tcPr>
            <w:tcW w:w="1265" w:type="dxa"/>
            <w:shd w:val="clear" w:color="auto" w:fill="auto"/>
            <w:noWrap/>
            <w:vAlign w:val="center"/>
            <w:hideMark/>
          </w:tcPr>
          <w:p w14:paraId="4E8E2C27" w14:textId="054848E1" w:rsidR="00745714" w:rsidRPr="007426FC" w:rsidRDefault="00745714">
            <w:pPr>
              <w:jc w:val="right"/>
              <w:rPr>
                <w:rFonts w:ascii="Arial" w:hAnsi="Arial" w:cs="Arial"/>
                <w:sz w:val="18"/>
                <w:szCs w:val="18"/>
                <w:lang w:eastAsia="es-AR"/>
              </w:rPr>
            </w:pPr>
            <w:r>
              <w:rPr>
                <w:rFonts w:ascii="Arial" w:hAnsi="Arial" w:cs="Arial"/>
                <w:sz w:val="18"/>
                <w:szCs w:val="18"/>
              </w:rPr>
              <w:t>378.322</w:t>
            </w:r>
          </w:p>
        </w:tc>
        <w:tc>
          <w:tcPr>
            <w:tcW w:w="1047" w:type="dxa"/>
            <w:shd w:val="clear" w:color="auto" w:fill="auto"/>
            <w:noWrap/>
            <w:vAlign w:val="center"/>
            <w:hideMark/>
          </w:tcPr>
          <w:p w14:paraId="3F40AFCE" w14:textId="19D6557E" w:rsidR="00745714" w:rsidRPr="007426FC" w:rsidRDefault="00745714">
            <w:pPr>
              <w:jc w:val="right"/>
              <w:rPr>
                <w:rFonts w:ascii="Arial" w:hAnsi="Arial" w:cs="Arial"/>
                <w:sz w:val="18"/>
                <w:szCs w:val="18"/>
                <w:lang w:eastAsia="es-AR"/>
              </w:rPr>
            </w:pPr>
            <w:r>
              <w:rPr>
                <w:rFonts w:ascii="Arial" w:hAnsi="Arial" w:cs="Arial"/>
                <w:sz w:val="18"/>
                <w:szCs w:val="18"/>
              </w:rPr>
              <w:t>6.070.917</w:t>
            </w:r>
          </w:p>
        </w:tc>
      </w:tr>
      <w:tr w:rsidR="00745714" w:rsidRPr="007426FC" w14:paraId="51437ED9" w14:textId="77777777" w:rsidTr="006E1AF7">
        <w:trPr>
          <w:trHeight w:val="240"/>
        </w:trPr>
        <w:tc>
          <w:tcPr>
            <w:tcW w:w="3119" w:type="dxa"/>
            <w:shd w:val="clear" w:color="auto" w:fill="auto"/>
            <w:noWrap/>
            <w:vAlign w:val="bottom"/>
            <w:hideMark/>
          </w:tcPr>
          <w:p w14:paraId="742C93D1" w14:textId="77777777" w:rsidR="00745714" w:rsidRPr="007426FC" w:rsidRDefault="00745714" w:rsidP="00745714">
            <w:pPr>
              <w:rPr>
                <w:rFonts w:ascii="Arial" w:hAnsi="Arial" w:cs="Arial"/>
                <w:sz w:val="18"/>
                <w:szCs w:val="18"/>
                <w:lang w:eastAsia="es-AR"/>
              </w:rPr>
            </w:pPr>
            <w:r w:rsidRPr="007426FC">
              <w:rPr>
                <w:rFonts w:ascii="Arial" w:hAnsi="Arial" w:cs="Arial"/>
                <w:sz w:val="18"/>
                <w:szCs w:val="18"/>
                <w:lang w:eastAsia="es-AR"/>
              </w:rPr>
              <w:t>Obligaciones negociables subordinadas</w:t>
            </w:r>
          </w:p>
        </w:tc>
        <w:tc>
          <w:tcPr>
            <w:tcW w:w="1261" w:type="dxa"/>
            <w:shd w:val="clear" w:color="auto" w:fill="auto"/>
            <w:noWrap/>
            <w:vAlign w:val="center"/>
            <w:hideMark/>
          </w:tcPr>
          <w:p w14:paraId="6D2FB681" w14:textId="16D6E581" w:rsidR="00745714" w:rsidRPr="007426FC" w:rsidRDefault="00745714">
            <w:pPr>
              <w:jc w:val="right"/>
              <w:rPr>
                <w:rFonts w:ascii="Arial" w:hAnsi="Arial" w:cs="Arial"/>
                <w:sz w:val="18"/>
                <w:szCs w:val="18"/>
                <w:lang w:eastAsia="es-AR"/>
              </w:rPr>
            </w:pPr>
            <w:r>
              <w:rPr>
                <w:rFonts w:ascii="Arial" w:hAnsi="Arial" w:cs="Arial"/>
                <w:sz w:val="18"/>
                <w:szCs w:val="18"/>
              </w:rPr>
              <w:t>1.383.817</w:t>
            </w:r>
          </w:p>
        </w:tc>
        <w:tc>
          <w:tcPr>
            <w:tcW w:w="1429" w:type="dxa"/>
            <w:shd w:val="clear" w:color="auto" w:fill="auto"/>
            <w:noWrap/>
            <w:vAlign w:val="center"/>
            <w:hideMark/>
          </w:tcPr>
          <w:p w14:paraId="5A795D2F" w14:textId="269AFD15" w:rsidR="00745714" w:rsidRPr="007426FC" w:rsidRDefault="00745714">
            <w:pPr>
              <w:jc w:val="right"/>
              <w:rPr>
                <w:rFonts w:ascii="Arial" w:hAnsi="Arial" w:cs="Arial"/>
                <w:sz w:val="18"/>
                <w:szCs w:val="18"/>
                <w:lang w:eastAsia="es-AR"/>
              </w:rPr>
            </w:pPr>
            <w:r>
              <w:rPr>
                <w:rFonts w:ascii="Arial" w:hAnsi="Arial" w:cs="Arial"/>
                <w:sz w:val="18"/>
                <w:szCs w:val="18"/>
              </w:rPr>
              <w:t>-</w:t>
            </w:r>
          </w:p>
        </w:tc>
        <w:tc>
          <w:tcPr>
            <w:tcW w:w="1556" w:type="dxa"/>
            <w:shd w:val="clear" w:color="auto" w:fill="auto"/>
            <w:noWrap/>
            <w:vAlign w:val="center"/>
            <w:hideMark/>
          </w:tcPr>
          <w:p w14:paraId="7CF8CAAF" w14:textId="4D174E3A" w:rsidR="00745714" w:rsidRPr="007426FC" w:rsidRDefault="00745714">
            <w:pPr>
              <w:jc w:val="right"/>
              <w:rPr>
                <w:rFonts w:ascii="Arial" w:hAnsi="Arial" w:cs="Arial"/>
                <w:sz w:val="18"/>
                <w:szCs w:val="18"/>
                <w:lang w:eastAsia="es-AR"/>
              </w:rPr>
            </w:pPr>
            <w:r>
              <w:rPr>
                <w:rFonts w:ascii="Arial" w:hAnsi="Arial" w:cs="Arial"/>
                <w:sz w:val="18"/>
                <w:szCs w:val="18"/>
              </w:rPr>
              <w:t>-98.024</w:t>
            </w:r>
          </w:p>
        </w:tc>
        <w:tc>
          <w:tcPr>
            <w:tcW w:w="1265" w:type="dxa"/>
            <w:shd w:val="clear" w:color="auto" w:fill="auto"/>
            <w:noWrap/>
            <w:vAlign w:val="center"/>
            <w:hideMark/>
          </w:tcPr>
          <w:p w14:paraId="6F848A04" w14:textId="10C60ED0" w:rsidR="00745714" w:rsidRPr="007426FC" w:rsidRDefault="00745714">
            <w:pPr>
              <w:jc w:val="right"/>
              <w:rPr>
                <w:rFonts w:ascii="Arial" w:hAnsi="Arial" w:cs="Arial"/>
                <w:sz w:val="18"/>
                <w:szCs w:val="18"/>
                <w:lang w:eastAsia="es-AR"/>
              </w:rPr>
            </w:pPr>
            <w:r>
              <w:rPr>
                <w:rFonts w:ascii="Arial" w:hAnsi="Arial" w:cs="Arial"/>
                <w:sz w:val="18"/>
                <w:szCs w:val="18"/>
              </w:rPr>
              <w:t>834.095</w:t>
            </w:r>
          </w:p>
        </w:tc>
        <w:tc>
          <w:tcPr>
            <w:tcW w:w="1047" w:type="dxa"/>
            <w:shd w:val="clear" w:color="auto" w:fill="auto"/>
            <w:noWrap/>
            <w:vAlign w:val="center"/>
            <w:hideMark/>
          </w:tcPr>
          <w:p w14:paraId="4AAFB1C4" w14:textId="54F1DB28" w:rsidR="00745714" w:rsidRPr="007426FC" w:rsidRDefault="00745714">
            <w:pPr>
              <w:jc w:val="right"/>
              <w:rPr>
                <w:rFonts w:ascii="Arial" w:hAnsi="Arial" w:cs="Arial"/>
                <w:sz w:val="18"/>
                <w:szCs w:val="18"/>
                <w:lang w:eastAsia="es-AR"/>
              </w:rPr>
            </w:pPr>
            <w:r>
              <w:rPr>
                <w:rFonts w:ascii="Arial" w:hAnsi="Arial" w:cs="Arial"/>
                <w:sz w:val="18"/>
                <w:szCs w:val="18"/>
              </w:rPr>
              <w:t>2.119.888</w:t>
            </w:r>
          </w:p>
        </w:tc>
      </w:tr>
      <w:tr w:rsidR="00745714" w:rsidRPr="007426FC" w14:paraId="6BC00286" w14:textId="77777777" w:rsidTr="006E1AF7">
        <w:trPr>
          <w:trHeight w:val="240"/>
        </w:trPr>
        <w:tc>
          <w:tcPr>
            <w:tcW w:w="3119" w:type="dxa"/>
            <w:shd w:val="clear" w:color="auto" w:fill="auto"/>
            <w:noWrap/>
            <w:vAlign w:val="bottom"/>
            <w:hideMark/>
          </w:tcPr>
          <w:p w14:paraId="25663216" w14:textId="77777777" w:rsidR="00745714" w:rsidRPr="007426FC" w:rsidRDefault="00745714" w:rsidP="00745714">
            <w:pPr>
              <w:rPr>
                <w:rFonts w:ascii="Arial" w:hAnsi="Arial" w:cs="Arial"/>
                <w:sz w:val="18"/>
                <w:szCs w:val="18"/>
                <w:lang w:eastAsia="es-AR"/>
              </w:rPr>
            </w:pPr>
            <w:r w:rsidRPr="007426FC">
              <w:rPr>
                <w:rFonts w:ascii="Arial" w:hAnsi="Arial" w:cs="Arial"/>
                <w:sz w:val="18"/>
                <w:szCs w:val="18"/>
                <w:lang w:eastAsia="es-AR"/>
              </w:rPr>
              <w:t>Financiaciones recibidas del BCRA y otras instituciones financieras</w:t>
            </w:r>
          </w:p>
        </w:tc>
        <w:tc>
          <w:tcPr>
            <w:tcW w:w="1261" w:type="dxa"/>
            <w:shd w:val="clear" w:color="auto" w:fill="auto"/>
            <w:noWrap/>
            <w:vAlign w:val="center"/>
            <w:hideMark/>
          </w:tcPr>
          <w:p w14:paraId="5C9C3501" w14:textId="63CF2A62" w:rsidR="00745714" w:rsidRPr="007426FC" w:rsidRDefault="005F5C20">
            <w:pPr>
              <w:jc w:val="right"/>
              <w:rPr>
                <w:rFonts w:ascii="Arial" w:hAnsi="Arial" w:cs="Arial"/>
                <w:sz w:val="18"/>
                <w:szCs w:val="18"/>
                <w:lang w:eastAsia="es-AR"/>
              </w:rPr>
            </w:pPr>
            <w:r w:rsidRPr="005F5C20">
              <w:rPr>
                <w:rFonts w:ascii="Arial" w:hAnsi="Arial" w:cs="Arial"/>
                <w:sz w:val="18"/>
                <w:szCs w:val="18"/>
              </w:rPr>
              <w:t>8.010.059</w:t>
            </w:r>
          </w:p>
        </w:tc>
        <w:tc>
          <w:tcPr>
            <w:tcW w:w="1429" w:type="dxa"/>
            <w:shd w:val="clear" w:color="auto" w:fill="auto"/>
            <w:noWrap/>
            <w:vAlign w:val="center"/>
            <w:hideMark/>
          </w:tcPr>
          <w:p w14:paraId="6FAA5E59" w14:textId="53C8EF84" w:rsidR="00745714" w:rsidRPr="007426FC" w:rsidRDefault="00745714">
            <w:pPr>
              <w:jc w:val="right"/>
              <w:rPr>
                <w:rFonts w:ascii="Arial" w:hAnsi="Arial" w:cs="Arial"/>
                <w:sz w:val="18"/>
                <w:szCs w:val="18"/>
                <w:lang w:eastAsia="es-AR"/>
              </w:rPr>
            </w:pPr>
            <w:r>
              <w:rPr>
                <w:rFonts w:ascii="Arial" w:hAnsi="Arial" w:cs="Arial"/>
                <w:sz w:val="18"/>
                <w:szCs w:val="18"/>
              </w:rPr>
              <w:t>77.535.035</w:t>
            </w:r>
          </w:p>
        </w:tc>
        <w:tc>
          <w:tcPr>
            <w:tcW w:w="1556" w:type="dxa"/>
            <w:shd w:val="clear" w:color="auto" w:fill="auto"/>
            <w:noWrap/>
            <w:vAlign w:val="center"/>
            <w:hideMark/>
          </w:tcPr>
          <w:p w14:paraId="75F26740" w14:textId="3FB52655" w:rsidR="00745714" w:rsidRPr="007426FC" w:rsidRDefault="00745714">
            <w:pPr>
              <w:jc w:val="right"/>
              <w:rPr>
                <w:rFonts w:ascii="Arial" w:hAnsi="Arial" w:cs="Arial"/>
                <w:sz w:val="18"/>
                <w:szCs w:val="18"/>
                <w:lang w:eastAsia="es-AR"/>
              </w:rPr>
            </w:pPr>
            <w:r>
              <w:rPr>
                <w:rFonts w:ascii="Arial" w:hAnsi="Arial" w:cs="Arial"/>
                <w:sz w:val="18"/>
                <w:szCs w:val="18"/>
              </w:rPr>
              <w:t>-76.533.757</w:t>
            </w:r>
          </w:p>
        </w:tc>
        <w:tc>
          <w:tcPr>
            <w:tcW w:w="1265" w:type="dxa"/>
            <w:shd w:val="clear" w:color="auto" w:fill="auto"/>
            <w:noWrap/>
            <w:vAlign w:val="center"/>
            <w:hideMark/>
          </w:tcPr>
          <w:p w14:paraId="6F700A3E" w14:textId="7AA49BB1" w:rsidR="00745714" w:rsidRPr="007426FC" w:rsidRDefault="001363AE">
            <w:pPr>
              <w:jc w:val="right"/>
              <w:rPr>
                <w:rFonts w:ascii="Arial" w:hAnsi="Arial" w:cs="Arial"/>
                <w:sz w:val="18"/>
                <w:szCs w:val="18"/>
                <w:lang w:eastAsia="es-AR"/>
              </w:rPr>
            </w:pPr>
            <w:r>
              <w:rPr>
                <w:rFonts w:ascii="Arial" w:hAnsi="Arial" w:cs="Arial"/>
                <w:sz w:val="18"/>
                <w:szCs w:val="18"/>
              </w:rPr>
              <w:t>-</w:t>
            </w:r>
          </w:p>
        </w:tc>
        <w:tc>
          <w:tcPr>
            <w:tcW w:w="1047" w:type="dxa"/>
            <w:shd w:val="clear" w:color="auto" w:fill="auto"/>
            <w:noWrap/>
            <w:vAlign w:val="center"/>
            <w:hideMark/>
          </w:tcPr>
          <w:p w14:paraId="3845E070" w14:textId="50FE3A7E" w:rsidR="00745714" w:rsidRPr="007426FC" w:rsidRDefault="00745714">
            <w:pPr>
              <w:jc w:val="right"/>
              <w:rPr>
                <w:rFonts w:ascii="Arial" w:hAnsi="Arial" w:cs="Arial"/>
                <w:sz w:val="18"/>
                <w:szCs w:val="18"/>
                <w:lang w:eastAsia="es-AR"/>
              </w:rPr>
            </w:pPr>
            <w:r>
              <w:rPr>
                <w:rFonts w:ascii="Arial" w:hAnsi="Arial" w:cs="Arial"/>
                <w:sz w:val="18"/>
                <w:szCs w:val="18"/>
              </w:rPr>
              <w:t>9.011.337</w:t>
            </w:r>
          </w:p>
        </w:tc>
      </w:tr>
      <w:tr w:rsidR="00745714" w:rsidRPr="007426FC" w14:paraId="64C4914A" w14:textId="77777777" w:rsidTr="006E1AF7">
        <w:trPr>
          <w:trHeight w:val="240"/>
        </w:trPr>
        <w:tc>
          <w:tcPr>
            <w:tcW w:w="3119" w:type="dxa"/>
            <w:shd w:val="clear" w:color="auto" w:fill="auto"/>
            <w:noWrap/>
            <w:vAlign w:val="bottom"/>
            <w:hideMark/>
          </w:tcPr>
          <w:p w14:paraId="402DC6B7" w14:textId="77777777" w:rsidR="00745714" w:rsidRPr="00E43368" w:rsidRDefault="00745714" w:rsidP="00745714">
            <w:pPr>
              <w:rPr>
                <w:rFonts w:ascii="Arial" w:hAnsi="Arial" w:cs="Arial"/>
                <w:color w:val="000000"/>
                <w:sz w:val="18"/>
                <w:szCs w:val="18"/>
                <w:lang w:eastAsia="es-AR"/>
              </w:rPr>
            </w:pPr>
            <w:r w:rsidRPr="00E43368">
              <w:rPr>
                <w:rFonts w:ascii="Arial" w:hAnsi="Arial" w:cs="Arial"/>
                <w:color w:val="000000"/>
                <w:sz w:val="18"/>
                <w:szCs w:val="18"/>
                <w:lang w:eastAsia="es-AR"/>
              </w:rPr>
              <w:t>Pasivo por arrendamientos Financieros</w:t>
            </w:r>
          </w:p>
        </w:tc>
        <w:tc>
          <w:tcPr>
            <w:tcW w:w="1261" w:type="dxa"/>
            <w:shd w:val="clear" w:color="auto" w:fill="auto"/>
            <w:noWrap/>
            <w:vAlign w:val="center"/>
            <w:hideMark/>
          </w:tcPr>
          <w:p w14:paraId="372D3405" w14:textId="3BBDBBFB" w:rsidR="00745714" w:rsidRPr="00E43368" w:rsidRDefault="00745714">
            <w:pPr>
              <w:jc w:val="right"/>
              <w:rPr>
                <w:rFonts w:ascii="Arial" w:hAnsi="Arial" w:cs="Arial"/>
                <w:sz w:val="18"/>
                <w:szCs w:val="18"/>
                <w:lang w:eastAsia="es-AR"/>
              </w:rPr>
            </w:pPr>
            <w:r>
              <w:rPr>
                <w:rFonts w:ascii="Arial" w:hAnsi="Arial" w:cs="Arial"/>
                <w:sz w:val="18"/>
                <w:szCs w:val="18"/>
              </w:rPr>
              <w:t>-</w:t>
            </w:r>
          </w:p>
        </w:tc>
        <w:tc>
          <w:tcPr>
            <w:tcW w:w="1429" w:type="dxa"/>
            <w:shd w:val="clear" w:color="auto" w:fill="auto"/>
            <w:noWrap/>
            <w:vAlign w:val="center"/>
            <w:hideMark/>
          </w:tcPr>
          <w:p w14:paraId="5C317FFA" w14:textId="79BD89BA" w:rsidR="00745714" w:rsidRPr="00E43368" w:rsidRDefault="00745714">
            <w:pPr>
              <w:jc w:val="right"/>
              <w:rPr>
                <w:rFonts w:ascii="Arial" w:hAnsi="Arial" w:cs="Arial"/>
                <w:sz w:val="18"/>
                <w:szCs w:val="18"/>
                <w:lang w:eastAsia="es-AR"/>
              </w:rPr>
            </w:pPr>
            <w:r>
              <w:rPr>
                <w:rFonts w:ascii="Arial" w:hAnsi="Arial" w:cs="Arial"/>
                <w:sz w:val="18"/>
                <w:szCs w:val="18"/>
              </w:rPr>
              <w:t>-</w:t>
            </w:r>
          </w:p>
        </w:tc>
        <w:tc>
          <w:tcPr>
            <w:tcW w:w="1556" w:type="dxa"/>
            <w:shd w:val="clear" w:color="auto" w:fill="auto"/>
            <w:noWrap/>
            <w:vAlign w:val="center"/>
            <w:hideMark/>
          </w:tcPr>
          <w:p w14:paraId="720783B1" w14:textId="464983B6" w:rsidR="00745714" w:rsidRPr="00E43368" w:rsidRDefault="00745714">
            <w:pPr>
              <w:jc w:val="right"/>
              <w:rPr>
                <w:rFonts w:ascii="Arial" w:hAnsi="Arial" w:cs="Arial"/>
                <w:sz w:val="18"/>
                <w:szCs w:val="18"/>
                <w:lang w:eastAsia="es-AR"/>
              </w:rPr>
            </w:pPr>
            <w:r>
              <w:rPr>
                <w:rFonts w:ascii="Arial" w:hAnsi="Arial" w:cs="Arial"/>
                <w:sz w:val="18"/>
                <w:szCs w:val="18"/>
              </w:rPr>
              <w:t>-995.901</w:t>
            </w:r>
          </w:p>
        </w:tc>
        <w:tc>
          <w:tcPr>
            <w:tcW w:w="1265" w:type="dxa"/>
            <w:shd w:val="clear" w:color="auto" w:fill="auto"/>
            <w:noWrap/>
            <w:vAlign w:val="center"/>
            <w:hideMark/>
          </w:tcPr>
          <w:p w14:paraId="25541065" w14:textId="1D554321" w:rsidR="00745714" w:rsidRPr="00AC420A" w:rsidRDefault="00745714">
            <w:pPr>
              <w:jc w:val="right"/>
              <w:rPr>
                <w:rFonts w:ascii="Arial" w:hAnsi="Arial" w:cs="Arial"/>
                <w:sz w:val="18"/>
                <w:szCs w:val="18"/>
                <w:highlight w:val="yellow"/>
                <w:lang w:eastAsia="es-AR"/>
              </w:rPr>
            </w:pPr>
            <w:r>
              <w:rPr>
                <w:rFonts w:ascii="Arial" w:hAnsi="Arial" w:cs="Arial"/>
                <w:sz w:val="18"/>
                <w:szCs w:val="18"/>
              </w:rPr>
              <w:t>1.942.291</w:t>
            </w:r>
          </w:p>
        </w:tc>
        <w:tc>
          <w:tcPr>
            <w:tcW w:w="1047" w:type="dxa"/>
            <w:shd w:val="clear" w:color="auto" w:fill="auto"/>
            <w:noWrap/>
            <w:vAlign w:val="center"/>
            <w:hideMark/>
          </w:tcPr>
          <w:p w14:paraId="2505A62B" w14:textId="0A0049C8" w:rsidR="00745714" w:rsidRPr="007426FC" w:rsidRDefault="00745714">
            <w:pPr>
              <w:jc w:val="right"/>
              <w:rPr>
                <w:rFonts w:ascii="Arial" w:hAnsi="Arial" w:cs="Arial"/>
                <w:sz w:val="18"/>
                <w:szCs w:val="18"/>
                <w:lang w:eastAsia="es-AR"/>
              </w:rPr>
            </w:pPr>
            <w:r>
              <w:rPr>
                <w:rFonts w:ascii="Arial" w:hAnsi="Arial" w:cs="Arial"/>
                <w:sz w:val="18"/>
                <w:szCs w:val="18"/>
              </w:rPr>
              <w:t>946.390</w:t>
            </w:r>
          </w:p>
        </w:tc>
      </w:tr>
      <w:tr w:rsidR="00745714" w:rsidRPr="007426FC" w14:paraId="7B7E55F7" w14:textId="77777777" w:rsidTr="006E1AF7">
        <w:trPr>
          <w:trHeight w:val="240"/>
        </w:trPr>
        <w:tc>
          <w:tcPr>
            <w:tcW w:w="3119" w:type="dxa"/>
            <w:shd w:val="clear" w:color="auto" w:fill="auto"/>
            <w:noWrap/>
            <w:vAlign w:val="bottom"/>
            <w:hideMark/>
          </w:tcPr>
          <w:p w14:paraId="6406C3A2" w14:textId="77777777" w:rsidR="00745714" w:rsidRPr="007426FC" w:rsidRDefault="00745714" w:rsidP="00745714">
            <w:pPr>
              <w:rPr>
                <w:rFonts w:ascii="Arial" w:hAnsi="Arial" w:cs="Arial"/>
                <w:sz w:val="18"/>
                <w:szCs w:val="18"/>
                <w:lang w:eastAsia="es-AR"/>
              </w:rPr>
            </w:pPr>
          </w:p>
        </w:tc>
        <w:tc>
          <w:tcPr>
            <w:tcW w:w="1261" w:type="dxa"/>
            <w:shd w:val="clear" w:color="auto" w:fill="auto"/>
            <w:noWrap/>
            <w:vAlign w:val="center"/>
            <w:hideMark/>
          </w:tcPr>
          <w:p w14:paraId="728C1270" w14:textId="563CE16B" w:rsidR="00745714" w:rsidRPr="007426FC" w:rsidRDefault="005F5C20">
            <w:pPr>
              <w:jc w:val="right"/>
              <w:rPr>
                <w:rFonts w:ascii="Arial" w:hAnsi="Arial" w:cs="Arial"/>
                <w:b/>
                <w:bCs/>
                <w:sz w:val="18"/>
                <w:szCs w:val="18"/>
                <w:lang w:eastAsia="es-AR"/>
              </w:rPr>
            </w:pPr>
            <w:r w:rsidRPr="005F5C20">
              <w:rPr>
                <w:rFonts w:ascii="Arial" w:hAnsi="Arial" w:cs="Arial"/>
                <w:b/>
                <w:bCs/>
                <w:sz w:val="18"/>
                <w:szCs w:val="18"/>
              </w:rPr>
              <w:t>19.178.905</w:t>
            </w:r>
          </w:p>
        </w:tc>
        <w:tc>
          <w:tcPr>
            <w:tcW w:w="1429" w:type="dxa"/>
            <w:shd w:val="clear" w:color="auto" w:fill="auto"/>
            <w:noWrap/>
            <w:vAlign w:val="center"/>
            <w:hideMark/>
          </w:tcPr>
          <w:p w14:paraId="02AC44CF" w14:textId="71E22F6B" w:rsidR="00745714" w:rsidRPr="007426FC" w:rsidRDefault="00745714">
            <w:pPr>
              <w:jc w:val="right"/>
              <w:rPr>
                <w:rFonts w:ascii="Arial" w:hAnsi="Arial" w:cs="Arial"/>
                <w:b/>
                <w:bCs/>
                <w:sz w:val="18"/>
                <w:szCs w:val="18"/>
                <w:lang w:eastAsia="es-AR"/>
              </w:rPr>
            </w:pPr>
            <w:r>
              <w:rPr>
                <w:rFonts w:ascii="Arial" w:hAnsi="Arial" w:cs="Arial"/>
                <w:b/>
                <w:bCs/>
                <w:sz w:val="18"/>
                <w:szCs w:val="18"/>
              </w:rPr>
              <w:t>86.935.136</w:t>
            </w:r>
          </w:p>
        </w:tc>
        <w:tc>
          <w:tcPr>
            <w:tcW w:w="1556" w:type="dxa"/>
            <w:shd w:val="clear" w:color="auto" w:fill="auto"/>
            <w:noWrap/>
            <w:vAlign w:val="center"/>
            <w:hideMark/>
          </w:tcPr>
          <w:p w14:paraId="25D85EE4" w14:textId="3A9269CA" w:rsidR="00745714" w:rsidRPr="007426FC" w:rsidRDefault="00745714">
            <w:pPr>
              <w:jc w:val="right"/>
              <w:rPr>
                <w:rFonts w:ascii="Arial" w:hAnsi="Arial" w:cs="Arial"/>
                <w:b/>
                <w:bCs/>
                <w:sz w:val="18"/>
                <w:szCs w:val="18"/>
                <w:lang w:eastAsia="es-AR"/>
              </w:rPr>
            </w:pPr>
            <w:r>
              <w:rPr>
                <w:rFonts w:ascii="Arial" w:hAnsi="Arial" w:cs="Arial"/>
                <w:b/>
                <w:bCs/>
                <w:sz w:val="18"/>
                <w:szCs w:val="18"/>
              </w:rPr>
              <w:t>-88.784.217</w:t>
            </w:r>
          </w:p>
        </w:tc>
        <w:tc>
          <w:tcPr>
            <w:tcW w:w="1265" w:type="dxa"/>
            <w:shd w:val="clear" w:color="auto" w:fill="auto"/>
            <w:noWrap/>
            <w:vAlign w:val="center"/>
            <w:hideMark/>
          </w:tcPr>
          <w:p w14:paraId="78BD1251" w14:textId="359A7676" w:rsidR="00745714" w:rsidRPr="007426FC" w:rsidRDefault="001363AE">
            <w:pPr>
              <w:jc w:val="right"/>
              <w:rPr>
                <w:rFonts w:ascii="Arial" w:hAnsi="Arial" w:cs="Arial"/>
                <w:b/>
                <w:bCs/>
                <w:sz w:val="18"/>
                <w:szCs w:val="18"/>
                <w:lang w:eastAsia="es-AR"/>
              </w:rPr>
            </w:pPr>
            <w:r w:rsidRPr="001363AE">
              <w:rPr>
                <w:rFonts w:ascii="Arial" w:hAnsi="Arial" w:cs="Arial"/>
                <w:b/>
                <w:bCs/>
                <w:sz w:val="18"/>
                <w:szCs w:val="18"/>
              </w:rPr>
              <w:t>3.154.708</w:t>
            </w:r>
          </w:p>
        </w:tc>
        <w:tc>
          <w:tcPr>
            <w:tcW w:w="1047" w:type="dxa"/>
            <w:shd w:val="clear" w:color="auto" w:fill="auto"/>
            <w:noWrap/>
            <w:vAlign w:val="center"/>
            <w:hideMark/>
          </w:tcPr>
          <w:p w14:paraId="087494D5" w14:textId="439A0FCF" w:rsidR="00745714" w:rsidRPr="007426FC" w:rsidRDefault="00745714">
            <w:pPr>
              <w:jc w:val="right"/>
              <w:rPr>
                <w:rFonts w:ascii="Arial" w:hAnsi="Arial" w:cs="Arial"/>
                <w:b/>
                <w:bCs/>
                <w:sz w:val="18"/>
                <w:szCs w:val="18"/>
                <w:lang w:eastAsia="es-AR"/>
              </w:rPr>
            </w:pPr>
            <w:r>
              <w:rPr>
                <w:rFonts w:ascii="Arial" w:hAnsi="Arial" w:cs="Arial"/>
                <w:b/>
                <w:bCs/>
                <w:sz w:val="18"/>
                <w:szCs w:val="18"/>
              </w:rPr>
              <w:t>20.484.532</w:t>
            </w:r>
          </w:p>
        </w:tc>
      </w:tr>
    </w:tbl>
    <w:p w14:paraId="38B4D37A" w14:textId="77777777" w:rsidR="00745714" w:rsidRDefault="00745714" w:rsidP="00745714">
      <w:pPr>
        <w:rPr>
          <w:rFonts w:ascii="Arial" w:eastAsia="Arial" w:hAnsi="Arial" w:cs="Arial"/>
          <w:sz w:val="20"/>
        </w:rPr>
      </w:pPr>
    </w:p>
    <w:p w14:paraId="1B0351D4" w14:textId="77777777" w:rsidR="00F60B2C" w:rsidRPr="00701F32" w:rsidRDefault="00F60B2C" w:rsidP="00F60B2C">
      <w:pPr>
        <w:jc w:val="both"/>
        <w:rPr>
          <w:rFonts w:ascii="Arial" w:eastAsia="SimSun" w:hAnsi="Arial" w:cs="Arial"/>
          <w:b/>
          <w:noProof/>
          <w:color w:val="000000"/>
          <w:sz w:val="20"/>
          <w:lang w:eastAsia="es-AR"/>
        </w:rPr>
      </w:pPr>
      <w:r w:rsidRPr="00701F32">
        <w:rPr>
          <w:rFonts w:ascii="Arial" w:eastAsia="SimSun" w:hAnsi="Arial" w:cs="Arial"/>
          <w:b/>
          <w:noProof/>
          <w:color w:val="000000"/>
          <w:sz w:val="20"/>
          <w:lang w:eastAsia="es-AR"/>
        </w:rPr>
        <w:t xml:space="preserve">1.7 Instrumentos financieros </w:t>
      </w:r>
    </w:p>
    <w:p w14:paraId="6966F1A1" w14:textId="77777777" w:rsidR="00F60B2C" w:rsidRPr="00701F32" w:rsidRDefault="00F60B2C" w:rsidP="00F60B2C">
      <w:pPr>
        <w:jc w:val="both"/>
        <w:rPr>
          <w:rFonts w:ascii="Arial" w:eastAsia="Calibri" w:hAnsi="Arial" w:cs="Arial"/>
          <w:noProof/>
          <w:sz w:val="20"/>
        </w:rPr>
      </w:pPr>
    </w:p>
    <w:p w14:paraId="2D508F7F" w14:textId="77777777" w:rsidR="00F60B2C" w:rsidRPr="00701F32" w:rsidRDefault="00F60B2C" w:rsidP="00F60B2C">
      <w:pPr>
        <w:jc w:val="both"/>
        <w:rPr>
          <w:rFonts w:ascii="Arial" w:hAnsi="Arial" w:cs="Arial"/>
          <w:noProof/>
          <w:sz w:val="20"/>
          <w:u w:val="single"/>
        </w:rPr>
      </w:pPr>
      <w:r w:rsidRPr="00701F32">
        <w:rPr>
          <w:rFonts w:ascii="Arial" w:hAnsi="Arial" w:cs="Arial"/>
          <w:noProof/>
          <w:sz w:val="20"/>
          <w:u w:val="single"/>
        </w:rPr>
        <w:t>Reconocimiento Inicial</w:t>
      </w:r>
    </w:p>
    <w:p w14:paraId="069DC518" w14:textId="77777777" w:rsidR="00F60B2C" w:rsidRPr="00701F32" w:rsidRDefault="00F60B2C" w:rsidP="00F60B2C">
      <w:pPr>
        <w:jc w:val="both"/>
        <w:rPr>
          <w:rFonts w:ascii="Arial" w:hAnsi="Arial" w:cs="Arial"/>
          <w:noProof/>
          <w:sz w:val="20"/>
          <w:u w:val="single"/>
        </w:rPr>
      </w:pPr>
    </w:p>
    <w:p w14:paraId="6D9EE7E8" w14:textId="77777777" w:rsidR="00F60B2C" w:rsidRPr="00701F32" w:rsidRDefault="00F60B2C" w:rsidP="00F60B2C">
      <w:pPr>
        <w:spacing w:after="160" w:line="259" w:lineRule="auto"/>
        <w:jc w:val="both"/>
        <w:rPr>
          <w:rFonts w:ascii="Arial" w:eastAsia="Calibri" w:hAnsi="Arial" w:cs="Arial"/>
          <w:noProof/>
          <w:sz w:val="20"/>
        </w:rPr>
      </w:pPr>
      <w:r w:rsidRPr="00701F32">
        <w:rPr>
          <w:rFonts w:ascii="Arial" w:eastAsia="Calibri" w:hAnsi="Arial" w:cs="Arial"/>
          <w:sz w:val="20"/>
        </w:rPr>
        <w:t xml:space="preserve">La Entidad reconoce un activo o pasivo financiero en sus estados financieros separados, según corresponda, cuando se haga parte de las cláusulas contractuales del instrumento financiero en cuestión. </w:t>
      </w:r>
      <w:r w:rsidRPr="00701F32">
        <w:rPr>
          <w:rFonts w:ascii="Arial" w:eastAsia="Calibri" w:hAnsi="Arial" w:cs="Arial"/>
          <w:noProof/>
          <w:sz w:val="20"/>
        </w:rPr>
        <w:t>Las compras y ventas de instrumentos financieros que requieren la entrega de activos dentro del plazo generalmente establecido por regulaciones o condiciones de mercado,son reconocidas en la fecha de negociación de la operación</w:t>
      </w:r>
      <w:r w:rsidRPr="00701F32">
        <w:rPr>
          <w:rFonts w:ascii="Arial" w:eastAsia="Calibri" w:hAnsi="Arial" w:cs="Arial"/>
          <w:noProof/>
          <w:color w:val="00B050"/>
          <w:sz w:val="20"/>
        </w:rPr>
        <w:t xml:space="preserve"> </w:t>
      </w:r>
      <w:r w:rsidRPr="00701F32">
        <w:rPr>
          <w:rFonts w:ascii="Arial" w:eastAsia="Calibri" w:hAnsi="Arial" w:cs="Arial"/>
          <w:noProof/>
          <w:sz w:val="20"/>
        </w:rPr>
        <w:t>en que la Entidad, se compromete a la compra o venta del activo.</w:t>
      </w:r>
    </w:p>
    <w:p w14:paraId="0433A659"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En el reconocimiento inicial, la Entidad mide los activos o pasivos financieros a su valor razonable. Los instrumentos no reconocidos a valor razonables con cambios en resultados, son registrados al valor razonable ajustado por los costos de transacción que son directamente atribuibles a la propia adquisición o emisi</w:t>
      </w:r>
      <w:r>
        <w:rPr>
          <w:rFonts w:ascii="Arial" w:eastAsia="Calibri" w:hAnsi="Arial" w:cs="Arial"/>
          <w:noProof/>
          <w:sz w:val="20"/>
        </w:rPr>
        <w:t>ó</w:t>
      </w:r>
      <w:r w:rsidRPr="00701F32">
        <w:rPr>
          <w:rFonts w:ascii="Arial" w:eastAsia="Calibri" w:hAnsi="Arial" w:cs="Arial"/>
          <w:noProof/>
          <w:sz w:val="20"/>
        </w:rPr>
        <w:t xml:space="preserve">n de los mismos, tales como honorarios y comisiones. </w:t>
      </w:r>
    </w:p>
    <w:p w14:paraId="4C814992" w14:textId="77777777" w:rsidR="00F60B2C" w:rsidRPr="00701F32" w:rsidRDefault="00F60B2C" w:rsidP="00F60B2C">
      <w:pPr>
        <w:jc w:val="both"/>
        <w:rPr>
          <w:rFonts w:ascii="Arial" w:eastAsia="Calibri" w:hAnsi="Arial" w:cs="Arial"/>
          <w:noProof/>
          <w:sz w:val="20"/>
        </w:rPr>
      </w:pPr>
    </w:p>
    <w:p w14:paraId="16F04A72"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 xml:space="preserve">Cuando el valor razonable difiera del valor de costo del reconocimiento inicial, La Entidad reconoce la diferencia de la siguiente manera: </w:t>
      </w:r>
    </w:p>
    <w:p w14:paraId="1B64BA2D" w14:textId="77777777" w:rsidR="00F60B2C" w:rsidRPr="00701F32" w:rsidRDefault="00F60B2C" w:rsidP="00F60B2C">
      <w:pPr>
        <w:jc w:val="both"/>
        <w:rPr>
          <w:rFonts w:ascii="Arial" w:eastAsia="Calibri" w:hAnsi="Arial" w:cs="Arial"/>
          <w:noProof/>
          <w:sz w:val="20"/>
        </w:rPr>
      </w:pPr>
    </w:p>
    <w:p w14:paraId="0247241F" w14:textId="77777777" w:rsidR="00F60B2C" w:rsidRPr="00701F32" w:rsidRDefault="00F60B2C" w:rsidP="00F60B2C">
      <w:pPr>
        <w:numPr>
          <w:ilvl w:val="0"/>
          <w:numId w:val="48"/>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 xml:space="preserve">Cuando el valor razonable </w:t>
      </w:r>
      <w:r>
        <w:rPr>
          <w:rFonts w:ascii="Arial" w:eastAsia="Calibri" w:hAnsi="Arial" w:cs="Arial"/>
          <w:noProof/>
          <w:sz w:val="20"/>
        </w:rPr>
        <w:t>sea</w:t>
      </w:r>
      <w:r w:rsidRPr="00701F32">
        <w:rPr>
          <w:rFonts w:ascii="Arial" w:eastAsia="Calibri" w:hAnsi="Arial" w:cs="Arial"/>
          <w:noProof/>
          <w:sz w:val="20"/>
        </w:rPr>
        <w:t xml:space="preserve"> acorde al valor del mercado del activo o pasivo financiero o se encuentre basado en una técnica de valoración que utilice unicamente valores de mercado, la diferencia se reconoce como ganancia o pérdida según corresponda.</w:t>
      </w:r>
    </w:p>
    <w:p w14:paraId="7E416F95" w14:textId="77777777" w:rsidR="00F60B2C" w:rsidRPr="00701F32" w:rsidRDefault="00F60B2C" w:rsidP="00F60B2C">
      <w:pPr>
        <w:jc w:val="both"/>
        <w:rPr>
          <w:rFonts w:ascii="Arial" w:eastAsia="Calibri" w:hAnsi="Arial" w:cs="Arial"/>
          <w:noProof/>
          <w:sz w:val="20"/>
        </w:rPr>
      </w:pPr>
    </w:p>
    <w:p w14:paraId="2F629B6C" w14:textId="77777777" w:rsidR="00F60B2C" w:rsidRPr="00701F32" w:rsidRDefault="00F60B2C" w:rsidP="00F60B2C">
      <w:pPr>
        <w:numPr>
          <w:ilvl w:val="0"/>
          <w:numId w:val="48"/>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En otros casos, la diferencia se ve diferida y el reconocimiento en el tiempo de la ganancia o pérdida es determinado individualmente. La misma se amortiza a lo largo de la vida del instrumento hasta que el valor razonable pueda ser medido en base a valores del mercado.</w:t>
      </w:r>
    </w:p>
    <w:p w14:paraId="74F14530" w14:textId="77777777" w:rsidR="00F60B2C" w:rsidRPr="00701F32" w:rsidRDefault="00F60B2C" w:rsidP="00F60B2C">
      <w:pPr>
        <w:jc w:val="both"/>
        <w:rPr>
          <w:rFonts w:ascii="Arial" w:hAnsi="Arial" w:cs="Arial"/>
          <w:b/>
          <w:noProof/>
          <w:sz w:val="20"/>
          <w:u w:val="single"/>
        </w:rPr>
      </w:pPr>
    </w:p>
    <w:p w14:paraId="66F8432A" w14:textId="72D1428A" w:rsidR="00F60B2C" w:rsidRPr="00701F32" w:rsidRDefault="00F60B2C" w:rsidP="00F60B2C">
      <w:pPr>
        <w:jc w:val="both"/>
        <w:rPr>
          <w:rFonts w:ascii="Arial" w:hAnsi="Arial" w:cs="Arial"/>
          <w:b/>
          <w:noProof/>
          <w:sz w:val="20"/>
          <w:u w:val="single"/>
        </w:rPr>
      </w:pPr>
      <w:r w:rsidRPr="00701F32">
        <w:rPr>
          <w:rFonts w:ascii="Arial" w:hAnsi="Arial" w:cs="Arial"/>
          <w:b/>
          <w:noProof/>
          <w:sz w:val="20"/>
          <w:u w:val="single"/>
        </w:rPr>
        <w:t>Activos financieros</w:t>
      </w:r>
    </w:p>
    <w:p w14:paraId="5D357E7E" w14:textId="77777777" w:rsidR="00F60B2C" w:rsidRPr="00701F32" w:rsidRDefault="00F60B2C" w:rsidP="00F60B2C">
      <w:pPr>
        <w:jc w:val="both"/>
        <w:rPr>
          <w:rFonts w:ascii="Arial" w:hAnsi="Arial" w:cs="Arial"/>
          <w:noProof/>
          <w:sz w:val="20"/>
        </w:rPr>
      </w:pPr>
    </w:p>
    <w:p w14:paraId="6842989D" w14:textId="77777777" w:rsidR="00F60B2C" w:rsidRPr="00A10D09" w:rsidRDefault="00F60B2C" w:rsidP="00F60B2C">
      <w:pPr>
        <w:jc w:val="both"/>
        <w:rPr>
          <w:rFonts w:ascii="Arial" w:hAnsi="Arial" w:cs="Arial"/>
          <w:noProof/>
          <w:sz w:val="20"/>
          <w:u w:val="single"/>
        </w:rPr>
      </w:pPr>
      <w:r w:rsidRPr="00A10D09">
        <w:rPr>
          <w:rFonts w:ascii="Arial" w:hAnsi="Arial" w:cs="Arial"/>
          <w:noProof/>
          <w:sz w:val="20"/>
          <w:u w:val="single"/>
        </w:rPr>
        <w:t>a - Instrumentos de deuda</w:t>
      </w:r>
    </w:p>
    <w:p w14:paraId="5DE5AE01" w14:textId="77777777" w:rsidR="00F60B2C" w:rsidRPr="00A10D09" w:rsidRDefault="00F60B2C" w:rsidP="00F60B2C">
      <w:pPr>
        <w:jc w:val="both"/>
        <w:rPr>
          <w:rFonts w:ascii="Arial" w:hAnsi="Arial" w:cs="Arial"/>
          <w:noProof/>
          <w:sz w:val="20"/>
        </w:rPr>
      </w:pPr>
    </w:p>
    <w:p w14:paraId="4F513694" w14:textId="77777777" w:rsidR="00F60B2C" w:rsidRPr="00A10D09" w:rsidRDefault="00F60B2C" w:rsidP="00F60B2C">
      <w:pPr>
        <w:jc w:val="both"/>
        <w:rPr>
          <w:rFonts w:ascii="Arial" w:hAnsi="Arial" w:cs="Arial"/>
          <w:noProof/>
          <w:sz w:val="20"/>
        </w:rPr>
      </w:pPr>
      <w:r w:rsidRPr="00A10D09">
        <w:rPr>
          <w:rFonts w:ascii="Arial" w:hAnsi="Arial" w:cs="Arial"/>
          <w:noProof/>
          <w:sz w:val="20"/>
        </w:rPr>
        <w:t>La Entidad considera como instrumentos de deuda a aquellos que se consideran pasivos financieros para el emisor, tales como préstamos, títulos públicos y privados, títulos de deuda y cuentas por cobrar de clientes.</w:t>
      </w:r>
    </w:p>
    <w:p w14:paraId="79A799EA" w14:textId="77777777" w:rsidR="00F60B2C" w:rsidRPr="00A10D09" w:rsidRDefault="00F60B2C" w:rsidP="00F60B2C">
      <w:pPr>
        <w:jc w:val="both"/>
        <w:rPr>
          <w:rFonts w:ascii="Arial" w:hAnsi="Arial" w:cs="Arial"/>
          <w:noProof/>
          <w:sz w:val="20"/>
          <w:u w:val="single"/>
        </w:rPr>
      </w:pPr>
    </w:p>
    <w:p w14:paraId="2DC89128" w14:textId="77777777" w:rsidR="00F60B2C" w:rsidRPr="00A10D09" w:rsidRDefault="00F60B2C" w:rsidP="00F60B2C">
      <w:pPr>
        <w:jc w:val="both"/>
        <w:rPr>
          <w:rFonts w:ascii="Arial" w:hAnsi="Arial" w:cs="Arial"/>
          <w:noProof/>
          <w:sz w:val="20"/>
          <w:u w:val="single"/>
        </w:rPr>
      </w:pPr>
      <w:r w:rsidRPr="00A10D09">
        <w:rPr>
          <w:rFonts w:ascii="Arial" w:hAnsi="Arial" w:cs="Arial"/>
          <w:noProof/>
          <w:sz w:val="20"/>
          <w:u w:val="single"/>
        </w:rPr>
        <w:t>Clasificación</w:t>
      </w:r>
    </w:p>
    <w:p w14:paraId="02757BC9" w14:textId="77777777" w:rsidR="00F60B2C" w:rsidRPr="00A10D09" w:rsidRDefault="00F60B2C" w:rsidP="00F60B2C">
      <w:pPr>
        <w:jc w:val="both"/>
        <w:rPr>
          <w:rFonts w:ascii="Arial" w:hAnsi="Arial" w:cs="Arial"/>
          <w:noProof/>
          <w:sz w:val="20"/>
        </w:rPr>
      </w:pPr>
    </w:p>
    <w:p w14:paraId="701A6FBC" w14:textId="77777777" w:rsidR="00F60B2C" w:rsidRPr="00A10D09" w:rsidRDefault="00F60B2C" w:rsidP="00F60B2C">
      <w:pPr>
        <w:jc w:val="both"/>
        <w:rPr>
          <w:rFonts w:ascii="Arial" w:hAnsi="Arial" w:cs="Arial"/>
          <w:noProof/>
          <w:sz w:val="20"/>
        </w:rPr>
      </w:pPr>
      <w:r w:rsidRPr="00A10D09">
        <w:rPr>
          <w:rFonts w:ascii="Arial" w:hAnsi="Arial" w:cs="Arial"/>
          <w:noProof/>
          <w:sz w:val="20"/>
        </w:rPr>
        <w:t>Conforme lo establecido por la NIIF 9, la Entidad clasifica los activos financieros según se midan posteriormente a costo amortizado, a valor razonable con cambios en otros resultados integrales o a valor razonable con cambios en resultados, sobre la base:</w:t>
      </w:r>
    </w:p>
    <w:p w14:paraId="413D7576" w14:textId="77777777" w:rsidR="00F60B2C" w:rsidRPr="00A10D09" w:rsidRDefault="00F60B2C" w:rsidP="00F60B2C">
      <w:pPr>
        <w:jc w:val="both"/>
        <w:rPr>
          <w:rFonts w:ascii="Arial" w:hAnsi="Arial" w:cs="Arial"/>
          <w:noProof/>
          <w:sz w:val="20"/>
        </w:rPr>
      </w:pPr>
    </w:p>
    <w:p w14:paraId="6DD00B81" w14:textId="3070C84D" w:rsidR="00F60B2C" w:rsidRPr="00A10D09" w:rsidRDefault="00F60B2C" w:rsidP="00F60B2C">
      <w:pPr>
        <w:numPr>
          <w:ilvl w:val="0"/>
          <w:numId w:val="89"/>
        </w:numPr>
        <w:spacing w:after="160" w:line="259" w:lineRule="auto"/>
        <w:ind w:right="-12"/>
        <w:jc w:val="both"/>
        <w:rPr>
          <w:rFonts w:ascii="Arial" w:hAnsi="Arial" w:cs="Arial"/>
          <w:noProof/>
          <w:sz w:val="20"/>
        </w:rPr>
      </w:pPr>
      <w:r w:rsidRPr="00A10D09">
        <w:rPr>
          <w:rFonts w:ascii="Arial" w:hAnsi="Arial" w:cs="Arial"/>
          <w:noProof/>
          <w:sz w:val="20"/>
        </w:rPr>
        <w:t xml:space="preserve">Del modelo de negocio del </w:t>
      </w:r>
      <w:r w:rsidR="00A96E66">
        <w:rPr>
          <w:rFonts w:ascii="Arial" w:hAnsi="Arial" w:cs="Arial"/>
          <w:noProof/>
          <w:sz w:val="20"/>
        </w:rPr>
        <w:t>Banco</w:t>
      </w:r>
      <w:r w:rsidR="00A96E66" w:rsidRPr="00A10D09">
        <w:rPr>
          <w:rFonts w:ascii="Arial" w:hAnsi="Arial" w:cs="Arial"/>
          <w:noProof/>
          <w:sz w:val="20"/>
        </w:rPr>
        <w:t xml:space="preserve"> </w:t>
      </w:r>
      <w:r w:rsidRPr="00A10D09">
        <w:rPr>
          <w:rFonts w:ascii="Arial" w:hAnsi="Arial" w:cs="Arial"/>
          <w:noProof/>
          <w:sz w:val="20"/>
        </w:rPr>
        <w:t>para gestionar los activos financieros; y</w:t>
      </w:r>
    </w:p>
    <w:p w14:paraId="61563352" w14:textId="77777777" w:rsidR="00F60B2C" w:rsidRPr="00A10D09" w:rsidRDefault="00F60B2C" w:rsidP="00F60B2C">
      <w:pPr>
        <w:ind w:left="993" w:right="-12"/>
        <w:jc w:val="both"/>
        <w:rPr>
          <w:rFonts w:ascii="Arial" w:hAnsi="Arial" w:cs="Arial"/>
          <w:noProof/>
          <w:sz w:val="20"/>
        </w:rPr>
      </w:pPr>
    </w:p>
    <w:p w14:paraId="42FBBA83" w14:textId="77777777" w:rsidR="00F60B2C" w:rsidRPr="00A10D09" w:rsidRDefault="00F60B2C" w:rsidP="00F60B2C">
      <w:pPr>
        <w:numPr>
          <w:ilvl w:val="0"/>
          <w:numId w:val="89"/>
        </w:numPr>
        <w:spacing w:after="160" w:line="259" w:lineRule="auto"/>
        <w:ind w:right="-12"/>
        <w:jc w:val="both"/>
        <w:rPr>
          <w:rFonts w:ascii="Arial" w:eastAsia="Calibri" w:hAnsi="Arial" w:cs="Arial"/>
          <w:noProof/>
          <w:sz w:val="20"/>
        </w:rPr>
      </w:pPr>
      <w:r w:rsidRPr="00A10D09">
        <w:rPr>
          <w:rFonts w:ascii="Arial" w:eastAsia="Calibri" w:hAnsi="Arial" w:cs="Arial"/>
          <w:noProof/>
          <w:sz w:val="20"/>
        </w:rPr>
        <w:t>De las características de los flujos de efectivo contractuales del activo financiero.</w:t>
      </w:r>
    </w:p>
    <w:p w14:paraId="7FD5131A" w14:textId="77777777" w:rsidR="00F60B2C" w:rsidRPr="00A10D09" w:rsidRDefault="00F60B2C" w:rsidP="00F60B2C">
      <w:pPr>
        <w:jc w:val="both"/>
        <w:rPr>
          <w:rFonts w:ascii="Arial" w:eastAsia="Calibri" w:hAnsi="Arial" w:cs="Arial"/>
          <w:noProof/>
          <w:sz w:val="20"/>
        </w:rPr>
      </w:pPr>
    </w:p>
    <w:p w14:paraId="2C4AC3BC" w14:textId="77777777" w:rsidR="00F60B2C" w:rsidRPr="00A10D09" w:rsidRDefault="00F60B2C" w:rsidP="00F60B2C">
      <w:pPr>
        <w:jc w:val="both"/>
        <w:rPr>
          <w:rFonts w:ascii="Arial" w:eastAsia="Calibri" w:hAnsi="Arial" w:cs="Arial"/>
          <w:noProof/>
          <w:sz w:val="20"/>
          <w:u w:val="single"/>
        </w:rPr>
      </w:pPr>
      <w:r w:rsidRPr="00A10D09">
        <w:rPr>
          <w:rFonts w:ascii="Arial" w:eastAsia="Calibri" w:hAnsi="Arial" w:cs="Arial"/>
          <w:noProof/>
          <w:sz w:val="20"/>
          <w:u w:val="single"/>
        </w:rPr>
        <w:t xml:space="preserve">Modelo de Negocio </w:t>
      </w:r>
    </w:p>
    <w:p w14:paraId="4B43BD5E" w14:textId="77777777" w:rsidR="00F60B2C" w:rsidRPr="00A10D09" w:rsidRDefault="00F60B2C" w:rsidP="00F60B2C">
      <w:pPr>
        <w:jc w:val="both"/>
        <w:rPr>
          <w:rFonts w:ascii="Arial" w:eastAsia="Calibri" w:hAnsi="Arial" w:cs="Arial"/>
          <w:noProof/>
          <w:sz w:val="20"/>
        </w:rPr>
      </w:pPr>
    </w:p>
    <w:p w14:paraId="00C4903A" w14:textId="77777777" w:rsidR="00F60B2C" w:rsidRPr="00A10D09" w:rsidRDefault="00F60B2C" w:rsidP="00F60B2C">
      <w:pPr>
        <w:jc w:val="both"/>
        <w:rPr>
          <w:rFonts w:ascii="Arial" w:eastAsia="Calibri" w:hAnsi="Arial" w:cs="Arial"/>
          <w:noProof/>
          <w:sz w:val="20"/>
        </w:rPr>
      </w:pPr>
      <w:r w:rsidRPr="00A10D09">
        <w:rPr>
          <w:rFonts w:ascii="Arial" w:eastAsia="Calibri" w:hAnsi="Arial" w:cs="Arial"/>
          <w:noProof/>
          <w:sz w:val="20"/>
        </w:rPr>
        <w:t xml:space="preserve">El modelo de negocio se refiere al modo en que la Entidad gestiona un conjunto de activos financieros para lograr un objetivo de negocio concreto. Representa la forma en la cual se mantienen los instrumentos para la generación de fondos. </w:t>
      </w:r>
    </w:p>
    <w:p w14:paraId="0FDDA2B7" w14:textId="77777777" w:rsidR="00F60B2C" w:rsidRPr="00A10D09" w:rsidRDefault="00F60B2C" w:rsidP="00F60B2C">
      <w:pPr>
        <w:jc w:val="both"/>
        <w:rPr>
          <w:rFonts w:ascii="Arial" w:eastAsia="Calibri" w:hAnsi="Arial" w:cs="Arial"/>
          <w:noProof/>
          <w:sz w:val="20"/>
        </w:rPr>
      </w:pPr>
    </w:p>
    <w:p w14:paraId="44B80F50" w14:textId="77777777" w:rsidR="00F60B2C" w:rsidRPr="00A10D09" w:rsidRDefault="00F60B2C" w:rsidP="00F60B2C">
      <w:pPr>
        <w:jc w:val="both"/>
        <w:rPr>
          <w:rFonts w:ascii="Arial" w:eastAsia="Calibri" w:hAnsi="Arial" w:cs="Arial"/>
          <w:noProof/>
          <w:sz w:val="20"/>
        </w:rPr>
      </w:pPr>
      <w:r w:rsidRPr="00A10D09">
        <w:rPr>
          <w:rFonts w:ascii="Arial" w:eastAsia="Calibri" w:hAnsi="Arial" w:cs="Arial"/>
          <w:noProof/>
          <w:sz w:val="20"/>
        </w:rPr>
        <w:t>Los modelos de negocio que puede seguir la Entidad son los siguientes</w:t>
      </w:r>
    </w:p>
    <w:p w14:paraId="64304451" w14:textId="77777777" w:rsidR="00F60B2C" w:rsidRPr="00A10D09" w:rsidRDefault="00F60B2C" w:rsidP="00F60B2C">
      <w:pPr>
        <w:pStyle w:val="Prrafodelista"/>
        <w:numPr>
          <w:ilvl w:val="0"/>
          <w:numId w:val="51"/>
        </w:numPr>
        <w:contextualSpacing/>
        <w:jc w:val="both"/>
        <w:rPr>
          <w:rFonts w:ascii="Arial" w:eastAsia="Calibri" w:hAnsi="Arial" w:cs="Arial"/>
          <w:noProof/>
          <w:sz w:val="20"/>
        </w:rPr>
      </w:pPr>
      <w:r w:rsidRPr="00A10D09">
        <w:rPr>
          <w:rFonts w:ascii="Arial" w:eastAsia="Calibri" w:hAnsi="Arial" w:cs="Arial"/>
          <w:noProof/>
          <w:sz w:val="20"/>
        </w:rPr>
        <w:t>Mantener los instrumentos hasta el vencimiento;</w:t>
      </w:r>
    </w:p>
    <w:p w14:paraId="2AB9CE44" w14:textId="77777777" w:rsidR="00F60B2C" w:rsidRPr="00701F32" w:rsidRDefault="00F60B2C" w:rsidP="00F60B2C">
      <w:pPr>
        <w:pStyle w:val="Prrafodelista"/>
        <w:numPr>
          <w:ilvl w:val="0"/>
          <w:numId w:val="51"/>
        </w:numPr>
        <w:contextualSpacing/>
        <w:jc w:val="both"/>
        <w:rPr>
          <w:rFonts w:ascii="Arial" w:eastAsia="Calibri" w:hAnsi="Arial" w:cs="Arial"/>
          <w:noProof/>
          <w:sz w:val="20"/>
        </w:rPr>
      </w:pPr>
      <w:r w:rsidRPr="00701F32">
        <w:rPr>
          <w:rFonts w:ascii="Arial" w:eastAsia="Calibri" w:hAnsi="Arial" w:cs="Arial"/>
          <w:noProof/>
          <w:sz w:val="20"/>
        </w:rPr>
        <w:t>Mantener los in</w:t>
      </w:r>
      <w:r>
        <w:rPr>
          <w:rFonts w:ascii="Arial" w:eastAsia="Calibri" w:hAnsi="Arial" w:cs="Arial"/>
          <w:noProof/>
          <w:sz w:val="20"/>
        </w:rPr>
        <w:t>s</w:t>
      </w:r>
      <w:r w:rsidRPr="00701F32">
        <w:rPr>
          <w:rFonts w:ascii="Arial" w:eastAsia="Calibri" w:hAnsi="Arial" w:cs="Arial"/>
          <w:noProof/>
          <w:sz w:val="20"/>
        </w:rPr>
        <w:t>trumentos en cartera para el cobro de</w:t>
      </w:r>
      <w:r>
        <w:rPr>
          <w:rFonts w:ascii="Arial" w:eastAsia="Calibri" w:hAnsi="Arial" w:cs="Arial"/>
          <w:noProof/>
          <w:sz w:val="20"/>
        </w:rPr>
        <w:t>l</w:t>
      </w:r>
      <w:r w:rsidRPr="00701F32">
        <w:rPr>
          <w:rFonts w:ascii="Arial" w:eastAsia="Calibri" w:hAnsi="Arial" w:cs="Arial"/>
          <w:noProof/>
          <w:sz w:val="20"/>
        </w:rPr>
        <w:t xml:space="preserve"> flujo de fondos y, a su vez, venderlos en caso de </w:t>
      </w:r>
      <w:r>
        <w:rPr>
          <w:rFonts w:ascii="Arial" w:eastAsia="Calibri" w:hAnsi="Arial" w:cs="Arial"/>
          <w:noProof/>
          <w:sz w:val="20"/>
        </w:rPr>
        <w:t>ser</w:t>
      </w:r>
      <w:r w:rsidRPr="00701F32">
        <w:rPr>
          <w:rFonts w:ascii="Arial" w:eastAsia="Calibri" w:hAnsi="Arial" w:cs="Arial"/>
          <w:noProof/>
          <w:sz w:val="20"/>
        </w:rPr>
        <w:t xml:space="preserve"> conveniente; o</w:t>
      </w:r>
    </w:p>
    <w:p w14:paraId="352ABD54" w14:textId="77777777" w:rsidR="00F60B2C" w:rsidRPr="00701F32" w:rsidRDefault="00F60B2C" w:rsidP="00F60B2C">
      <w:pPr>
        <w:pStyle w:val="Prrafodelista"/>
        <w:numPr>
          <w:ilvl w:val="0"/>
          <w:numId w:val="51"/>
        </w:numPr>
        <w:contextualSpacing/>
        <w:jc w:val="both"/>
        <w:rPr>
          <w:rFonts w:ascii="Arial" w:eastAsia="Calibri" w:hAnsi="Arial" w:cs="Arial"/>
          <w:noProof/>
          <w:sz w:val="20"/>
        </w:rPr>
      </w:pPr>
      <w:r w:rsidRPr="00701F32">
        <w:rPr>
          <w:rFonts w:ascii="Arial" w:eastAsia="Calibri" w:hAnsi="Arial" w:cs="Arial"/>
          <w:noProof/>
          <w:sz w:val="20"/>
        </w:rPr>
        <w:t>Mantener los instrumentos para su negociación</w:t>
      </w:r>
    </w:p>
    <w:p w14:paraId="43AE02F4" w14:textId="77777777" w:rsidR="00F60B2C" w:rsidRPr="00701F32" w:rsidRDefault="00F60B2C" w:rsidP="00F60B2C">
      <w:pPr>
        <w:jc w:val="both"/>
        <w:rPr>
          <w:rFonts w:ascii="Arial" w:eastAsia="Calibri" w:hAnsi="Arial" w:cs="Arial"/>
          <w:noProof/>
          <w:sz w:val="20"/>
        </w:rPr>
      </w:pPr>
    </w:p>
    <w:p w14:paraId="05B41067" w14:textId="77777777" w:rsidR="00F60B2C" w:rsidRPr="00701F32" w:rsidRDefault="00F60B2C" w:rsidP="00F60B2C">
      <w:pPr>
        <w:spacing w:after="160" w:line="259" w:lineRule="auto"/>
        <w:contextualSpacing/>
        <w:jc w:val="both"/>
        <w:rPr>
          <w:rFonts w:ascii="Arial" w:eastAsia="Calibri" w:hAnsi="Arial" w:cs="Arial"/>
          <w:sz w:val="20"/>
        </w:rPr>
      </w:pPr>
      <w:r w:rsidRPr="00701F32">
        <w:rPr>
          <w:rFonts w:ascii="Arial" w:eastAsia="Calibri" w:hAnsi="Arial" w:cs="Arial"/>
          <w:sz w:val="20"/>
        </w:rPr>
        <w:t>La Entidad determina su modelo de negocio en el nivel que mejor refleja cómo administra los grupos de activos financieros para lograr un objetivo de negocio concreto.</w:t>
      </w:r>
    </w:p>
    <w:p w14:paraId="67E5F703" w14:textId="77777777" w:rsidR="00F60B2C" w:rsidRPr="00701F32" w:rsidRDefault="00F60B2C" w:rsidP="00F60B2C">
      <w:pPr>
        <w:spacing w:after="160" w:line="259" w:lineRule="auto"/>
        <w:contextualSpacing/>
        <w:jc w:val="both"/>
        <w:rPr>
          <w:rFonts w:ascii="Arial" w:eastAsia="Calibri" w:hAnsi="Arial" w:cs="Arial"/>
          <w:color w:val="0000CC"/>
          <w:sz w:val="20"/>
        </w:rPr>
      </w:pPr>
    </w:p>
    <w:p w14:paraId="7C4225BF"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El modelo de negocio no depende de las intenciones de la gerencia para un instrumento individual. Por consiguiente, dicho m</w:t>
      </w:r>
      <w:r w:rsidRPr="00701F32">
        <w:rPr>
          <w:rFonts w:ascii="Arial" w:eastAsia="Calibri" w:hAnsi="Arial" w:cs="Arial"/>
          <w:sz w:val="20"/>
        </w:rPr>
        <w:t>odelo de negocio no se evalúa instrumento por instrumento, sino a un nivel más alto de carteras agregadas y se basa en factores observables tales como:</w:t>
      </w:r>
    </w:p>
    <w:p w14:paraId="10AF13AA" w14:textId="77777777" w:rsidR="00F60B2C" w:rsidRPr="00701F32" w:rsidRDefault="00F60B2C" w:rsidP="00F60B2C">
      <w:pPr>
        <w:spacing w:after="160" w:line="259" w:lineRule="auto"/>
        <w:contextualSpacing/>
        <w:jc w:val="both"/>
        <w:rPr>
          <w:rFonts w:ascii="Arial" w:eastAsia="Calibri" w:hAnsi="Arial" w:cs="Arial"/>
          <w:sz w:val="20"/>
        </w:rPr>
      </w:pPr>
    </w:p>
    <w:p w14:paraId="27921D3A" w14:textId="77777777" w:rsidR="00F60B2C" w:rsidRPr="00701F32" w:rsidRDefault="00F60B2C" w:rsidP="00F60B2C">
      <w:pPr>
        <w:numPr>
          <w:ilvl w:val="0"/>
          <w:numId w:val="49"/>
        </w:numPr>
        <w:spacing w:after="160" w:line="259" w:lineRule="auto"/>
        <w:ind w:left="142" w:hanging="142"/>
        <w:contextualSpacing/>
        <w:jc w:val="both"/>
        <w:rPr>
          <w:rFonts w:ascii="Arial" w:eastAsia="Calibri" w:hAnsi="Arial" w:cs="Arial"/>
          <w:sz w:val="20"/>
        </w:rPr>
      </w:pPr>
      <w:r w:rsidRPr="00701F32">
        <w:rPr>
          <w:rFonts w:ascii="Arial" w:eastAsia="Calibri" w:hAnsi="Arial" w:cs="Arial"/>
          <w:sz w:val="20"/>
        </w:rPr>
        <w:t>Cómo se evalúa el rendimiento del modelo de negocio y cómo los activos financieros que se mantienen dentro de ese modelo de negocio se evalúan y reportan al personal clave de la Entidad.</w:t>
      </w:r>
    </w:p>
    <w:p w14:paraId="2B7803F4" w14:textId="77777777" w:rsidR="00F60B2C" w:rsidRPr="00701F32" w:rsidRDefault="00F60B2C" w:rsidP="00F60B2C">
      <w:pPr>
        <w:numPr>
          <w:ilvl w:val="0"/>
          <w:numId w:val="49"/>
        </w:numPr>
        <w:spacing w:after="160" w:line="259" w:lineRule="auto"/>
        <w:ind w:left="142" w:hanging="142"/>
        <w:contextualSpacing/>
        <w:jc w:val="both"/>
        <w:rPr>
          <w:rFonts w:ascii="Arial" w:eastAsia="Calibri" w:hAnsi="Arial" w:cs="Arial"/>
          <w:sz w:val="20"/>
        </w:rPr>
      </w:pPr>
      <w:r w:rsidRPr="00701F32">
        <w:rPr>
          <w:rFonts w:ascii="Arial" w:eastAsia="Calibri" w:hAnsi="Arial" w:cs="Arial"/>
          <w:sz w:val="20"/>
        </w:rPr>
        <w:t>Los riesgos que afectan el rendimiento del modelo de negocio (y los activos financieros que se mantienen dentro de ese modelo de negocio) y, en particular, la forma en que se gestionan esos riesgos.</w:t>
      </w:r>
    </w:p>
    <w:p w14:paraId="363C5EDD" w14:textId="77777777" w:rsidR="00F60B2C" w:rsidRPr="00701F32" w:rsidRDefault="00F60B2C" w:rsidP="00F60B2C">
      <w:pPr>
        <w:numPr>
          <w:ilvl w:val="0"/>
          <w:numId w:val="49"/>
        </w:numPr>
        <w:spacing w:after="160" w:line="259" w:lineRule="auto"/>
        <w:ind w:left="142" w:hanging="142"/>
        <w:contextualSpacing/>
        <w:jc w:val="both"/>
        <w:rPr>
          <w:rFonts w:ascii="Arial" w:eastAsia="Calibri" w:hAnsi="Arial" w:cs="Arial"/>
          <w:sz w:val="20"/>
        </w:rPr>
      </w:pPr>
      <w:r w:rsidRPr="00701F32">
        <w:rPr>
          <w:rFonts w:ascii="Arial" w:eastAsia="Calibri" w:hAnsi="Arial" w:cs="Arial"/>
          <w:sz w:val="20"/>
        </w:rPr>
        <w:t>Cómo se compensa al personal clave de la Entidad (por ejemplo, si la remuneración se basa en el valor razonable de los activos administrados o en los flujos de efectivo contractuales recaudados).</w:t>
      </w:r>
    </w:p>
    <w:p w14:paraId="4510191B" w14:textId="77777777" w:rsidR="00F60B2C" w:rsidRPr="00701F32" w:rsidRDefault="00F60B2C" w:rsidP="00F60B2C">
      <w:pPr>
        <w:numPr>
          <w:ilvl w:val="0"/>
          <w:numId w:val="49"/>
        </w:numPr>
        <w:spacing w:after="160" w:line="259" w:lineRule="auto"/>
        <w:ind w:left="142" w:hanging="142"/>
        <w:contextualSpacing/>
        <w:jc w:val="both"/>
        <w:rPr>
          <w:rFonts w:ascii="Arial" w:eastAsia="Calibri" w:hAnsi="Arial" w:cs="Arial"/>
          <w:sz w:val="20"/>
        </w:rPr>
      </w:pPr>
      <w:r w:rsidRPr="00701F32">
        <w:rPr>
          <w:rFonts w:ascii="Arial" w:eastAsia="Calibri" w:hAnsi="Arial" w:cs="Arial"/>
          <w:sz w:val="20"/>
        </w:rPr>
        <w:t>La frecuencia esperada, el valor, el momento y las razones de las ventas también son aspectos importantes.</w:t>
      </w:r>
    </w:p>
    <w:p w14:paraId="159FEBF7" w14:textId="77777777" w:rsidR="00F60B2C" w:rsidRPr="00701F32" w:rsidRDefault="00F60B2C" w:rsidP="00F60B2C">
      <w:pPr>
        <w:jc w:val="both"/>
        <w:rPr>
          <w:rFonts w:ascii="Arial" w:eastAsia="Calibri" w:hAnsi="Arial" w:cs="Arial"/>
          <w:sz w:val="20"/>
        </w:rPr>
      </w:pPr>
    </w:p>
    <w:p w14:paraId="332C1D53" w14:textId="77777777" w:rsidR="00F60B2C" w:rsidRPr="00701F32" w:rsidRDefault="00F60B2C" w:rsidP="00F60B2C">
      <w:pPr>
        <w:spacing w:after="160" w:line="259" w:lineRule="auto"/>
        <w:contextualSpacing/>
        <w:jc w:val="both"/>
        <w:rPr>
          <w:rFonts w:ascii="Arial" w:eastAsia="Calibri" w:hAnsi="Arial" w:cs="Arial"/>
          <w:sz w:val="20"/>
        </w:rPr>
      </w:pPr>
      <w:r w:rsidRPr="00701F32">
        <w:rPr>
          <w:rFonts w:ascii="Arial" w:eastAsia="Calibri" w:hAnsi="Arial" w:cs="Arial"/>
          <w:sz w:val="20"/>
        </w:rPr>
        <w:t xml:space="preserve">La evaluación del modelo de negocio se basa en escenarios razonablemente esperados, sin tener en cuenta los escenarios de “peor caso” o “caso de estrés”. Si posteriormente a su reconocimiento inicial los flujos de efectivo se realizan de una manera diferente a las expectativas originales, la Entidad no cambia la clasificación de los activos financieros restantes mantenidos en ese modelo de negocio, sino que considera dicha información para evaluar las compras u originaciones recientes. Solo se </w:t>
      </w:r>
      <w:r w:rsidRPr="00701F32">
        <w:rPr>
          <w:rFonts w:ascii="Arial" w:eastAsia="Calibri" w:hAnsi="Arial" w:cs="Arial"/>
          <w:noProof/>
          <w:sz w:val="20"/>
        </w:rPr>
        <w:t xml:space="preserve">realiza la reclasificación de un instrumento cuando, y solo cuando, el modelo de negocio para la gestión de los activos se ve modificado. </w:t>
      </w:r>
    </w:p>
    <w:p w14:paraId="3E6DD4A4" w14:textId="77777777" w:rsidR="00F60B2C" w:rsidRPr="00701F32" w:rsidRDefault="00F60B2C" w:rsidP="00F60B2C">
      <w:pPr>
        <w:jc w:val="both"/>
        <w:rPr>
          <w:rFonts w:ascii="Arial" w:eastAsia="Calibri" w:hAnsi="Arial" w:cs="Arial"/>
          <w:noProof/>
          <w:sz w:val="20"/>
          <w:u w:val="single"/>
        </w:rPr>
      </w:pPr>
    </w:p>
    <w:p w14:paraId="4A63D5E6" w14:textId="77777777" w:rsidR="00F60B2C" w:rsidRPr="00701F32" w:rsidRDefault="00F60B2C" w:rsidP="00F60B2C">
      <w:pPr>
        <w:jc w:val="both"/>
        <w:rPr>
          <w:rFonts w:ascii="Arial" w:eastAsia="Calibri" w:hAnsi="Arial" w:cs="Arial"/>
          <w:noProof/>
          <w:sz w:val="20"/>
          <w:u w:val="single"/>
        </w:rPr>
      </w:pPr>
      <w:r w:rsidRPr="00701F32">
        <w:rPr>
          <w:rFonts w:ascii="Arial" w:eastAsia="Calibri" w:hAnsi="Arial" w:cs="Arial"/>
          <w:noProof/>
          <w:sz w:val="20"/>
          <w:u w:val="single"/>
        </w:rPr>
        <w:t>Características del flujo de fondos</w:t>
      </w:r>
    </w:p>
    <w:p w14:paraId="7311AF05" w14:textId="77777777" w:rsidR="00F60B2C" w:rsidRPr="00701F32" w:rsidRDefault="00F60B2C" w:rsidP="00F60B2C">
      <w:pPr>
        <w:jc w:val="both"/>
        <w:rPr>
          <w:rFonts w:ascii="Arial" w:eastAsia="Calibri" w:hAnsi="Arial" w:cs="Arial"/>
          <w:noProof/>
          <w:sz w:val="20"/>
          <w:u w:val="single"/>
        </w:rPr>
      </w:pPr>
    </w:p>
    <w:p w14:paraId="08744430" w14:textId="77777777" w:rsidR="00F60B2C" w:rsidRPr="00701F32" w:rsidRDefault="00F60B2C" w:rsidP="00F60B2C">
      <w:pPr>
        <w:jc w:val="both"/>
        <w:rPr>
          <w:rFonts w:ascii="Arial" w:eastAsia="Calibri" w:hAnsi="Arial" w:cs="Arial"/>
          <w:noProof/>
          <w:sz w:val="20"/>
        </w:rPr>
      </w:pPr>
      <w:r>
        <w:rPr>
          <w:rFonts w:ascii="Arial" w:eastAsia="Calibri" w:hAnsi="Arial" w:cs="Arial"/>
          <w:sz w:val="20"/>
        </w:rPr>
        <w:t>El Banco</w:t>
      </w:r>
      <w:r w:rsidRPr="00701F32">
        <w:rPr>
          <w:rFonts w:ascii="Arial" w:eastAsia="Calibri" w:hAnsi="Arial" w:cs="Arial"/>
          <w:sz w:val="20"/>
        </w:rPr>
        <w:t xml:space="preserve"> evalúa </w:t>
      </w:r>
      <w:r>
        <w:rPr>
          <w:rFonts w:ascii="Arial" w:eastAsia="Calibri" w:hAnsi="Arial" w:cs="Arial"/>
          <w:sz w:val="20"/>
        </w:rPr>
        <w:t xml:space="preserve">si </w:t>
      </w:r>
      <w:r w:rsidRPr="00701F32">
        <w:rPr>
          <w:rFonts w:ascii="Arial" w:eastAsia="Calibri" w:hAnsi="Arial" w:cs="Arial"/>
          <w:noProof/>
          <w:sz w:val="20"/>
        </w:rPr>
        <w:t xml:space="preserve">el flujo de fondos de los </w:t>
      </w:r>
      <w:r>
        <w:rPr>
          <w:rFonts w:ascii="Arial" w:eastAsia="Calibri" w:hAnsi="Arial" w:cs="Arial"/>
          <w:noProof/>
          <w:sz w:val="20"/>
        </w:rPr>
        <w:t>instrumentos</w:t>
      </w:r>
      <w:r w:rsidRPr="00701F32">
        <w:rPr>
          <w:rFonts w:ascii="Arial" w:eastAsia="Calibri" w:hAnsi="Arial" w:cs="Arial"/>
          <w:noProof/>
          <w:sz w:val="20"/>
        </w:rPr>
        <w:t xml:space="preserve"> agrupados no es significativamente diferente </w:t>
      </w:r>
      <w:r>
        <w:rPr>
          <w:rFonts w:ascii="Arial" w:eastAsia="Calibri" w:hAnsi="Arial" w:cs="Arial"/>
          <w:noProof/>
          <w:sz w:val="20"/>
        </w:rPr>
        <w:t xml:space="preserve">al flujo que recibirá </w:t>
      </w:r>
      <w:r w:rsidRPr="00701F32">
        <w:rPr>
          <w:rFonts w:ascii="Arial" w:eastAsia="Calibri" w:hAnsi="Arial" w:cs="Arial"/>
          <w:noProof/>
          <w:sz w:val="20"/>
        </w:rPr>
        <w:t>por intereses</w:t>
      </w:r>
      <w:r>
        <w:rPr>
          <w:rFonts w:ascii="Arial" w:eastAsia="Calibri" w:hAnsi="Arial" w:cs="Arial"/>
          <w:noProof/>
          <w:sz w:val="20"/>
        </w:rPr>
        <w:t xml:space="preserve"> y capital</w:t>
      </w:r>
      <w:r w:rsidRPr="00701F32">
        <w:rPr>
          <w:rFonts w:ascii="Arial" w:eastAsia="Calibri" w:hAnsi="Arial" w:cs="Arial"/>
          <w:noProof/>
          <w:sz w:val="20"/>
        </w:rPr>
        <w:t xml:space="preserve">, caso contrario, deberán ser medidos a valor razonable con cambios en resultados. </w:t>
      </w:r>
    </w:p>
    <w:p w14:paraId="6F68922B" w14:textId="77777777" w:rsidR="00F60B2C" w:rsidRPr="00701F32" w:rsidRDefault="00F60B2C" w:rsidP="00F60B2C">
      <w:pPr>
        <w:spacing w:after="160" w:line="259" w:lineRule="auto"/>
        <w:contextualSpacing/>
        <w:jc w:val="both"/>
        <w:rPr>
          <w:rFonts w:ascii="Arial" w:eastAsia="Calibri" w:hAnsi="Arial" w:cs="Arial"/>
          <w:sz w:val="20"/>
        </w:rPr>
      </w:pPr>
    </w:p>
    <w:p w14:paraId="19BC6652" w14:textId="77777777" w:rsidR="00F60B2C" w:rsidRPr="00701F32" w:rsidRDefault="00F60B2C" w:rsidP="00F60B2C">
      <w:pPr>
        <w:spacing w:after="160" w:line="259" w:lineRule="auto"/>
        <w:contextualSpacing/>
        <w:jc w:val="both"/>
        <w:rPr>
          <w:rFonts w:ascii="Arial" w:eastAsia="Calibri" w:hAnsi="Arial" w:cs="Arial"/>
          <w:sz w:val="20"/>
        </w:rPr>
      </w:pPr>
      <w:r w:rsidRPr="00701F32">
        <w:rPr>
          <w:rFonts w:ascii="Arial" w:eastAsia="Calibri" w:hAnsi="Arial" w:cs="Arial"/>
          <w:noProof/>
          <w:sz w:val="20"/>
        </w:rPr>
        <w:t>En base a lo anteriormente mencionado, se distinguen tres categorías de Activos Financieros</w:t>
      </w:r>
      <w:r w:rsidRPr="00701F32">
        <w:rPr>
          <w:rFonts w:ascii="Arial" w:eastAsia="Calibri" w:hAnsi="Arial" w:cs="Arial"/>
          <w:sz w:val="20"/>
        </w:rPr>
        <w:t xml:space="preserve"> Dicha clasificación se expone en el Anexo P “Categorías de Activos y Pasivos financieros”</w:t>
      </w:r>
      <w:r w:rsidRPr="00701F32">
        <w:rPr>
          <w:rFonts w:ascii="Arial" w:eastAsia="Calibri" w:hAnsi="Arial" w:cs="Arial"/>
          <w:noProof/>
          <w:sz w:val="20"/>
        </w:rPr>
        <w:t>:</w:t>
      </w:r>
    </w:p>
    <w:p w14:paraId="6BAE2470" w14:textId="77777777" w:rsidR="00F60B2C" w:rsidRPr="00701F32" w:rsidRDefault="00F60B2C" w:rsidP="00F60B2C">
      <w:pPr>
        <w:pStyle w:val="Prrafodelista"/>
        <w:numPr>
          <w:ilvl w:val="0"/>
          <w:numId w:val="84"/>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Activos financieros a costo amortizado:</w:t>
      </w:r>
    </w:p>
    <w:p w14:paraId="12B8D5ED"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Los activos financieros son medidos a costo amortizado cuando:</w:t>
      </w:r>
    </w:p>
    <w:p w14:paraId="57F394AD" w14:textId="77777777" w:rsidR="00F60B2C" w:rsidRPr="00701F32" w:rsidRDefault="00F60B2C" w:rsidP="00F60B2C">
      <w:pPr>
        <w:jc w:val="both"/>
        <w:rPr>
          <w:rFonts w:ascii="Arial" w:eastAsia="Calibri" w:hAnsi="Arial" w:cs="Arial"/>
          <w:noProof/>
          <w:sz w:val="20"/>
        </w:rPr>
      </w:pPr>
    </w:p>
    <w:p w14:paraId="369B97CD"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(a) El activo financiero se conserva dentro de un modelo de negocio cuyo objetivo es mantener los activos financieros para obtener los flujos de efectivo contractuales y,</w:t>
      </w:r>
    </w:p>
    <w:p w14:paraId="0A1B5CFB" w14:textId="77777777" w:rsidR="00F60B2C" w:rsidRPr="00701F32" w:rsidRDefault="00F60B2C" w:rsidP="00F60B2C">
      <w:pPr>
        <w:jc w:val="both"/>
        <w:rPr>
          <w:rFonts w:ascii="Arial" w:eastAsia="Calibri" w:hAnsi="Arial" w:cs="Arial"/>
          <w:noProof/>
          <w:sz w:val="20"/>
        </w:rPr>
      </w:pPr>
    </w:p>
    <w:p w14:paraId="56CAC3ED"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(b) las condiciones contractuales del activo financiero dan lugar, en fechas especificadas, a flujos de efectivo que son únicamente pagos del capital e intereses sobre el importe del capital pendiente.</w:t>
      </w:r>
    </w:p>
    <w:p w14:paraId="3BCB4486" w14:textId="77777777" w:rsidR="00F60B2C" w:rsidRPr="00701F32" w:rsidRDefault="00F60B2C" w:rsidP="00F60B2C">
      <w:pPr>
        <w:jc w:val="both"/>
        <w:rPr>
          <w:rFonts w:ascii="Arial" w:eastAsia="Calibri" w:hAnsi="Arial" w:cs="Arial"/>
          <w:noProof/>
          <w:sz w:val="20"/>
        </w:rPr>
      </w:pPr>
    </w:p>
    <w:p w14:paraId="001091F7" w14:textId="77777777" w:rsidR="00F60B2C" w:rsidRPr="00701F32" w:rsidRDefault="00F60B2C" w:rsidP="00F60B2C">
      <w:pPr>
        <w:autoSpaceDE w:val="0"/>
        <w:autoSpaceDN w:val="0"/>
        <w:adjustRightInd w:val="0"/>
        <w:jc w:val="both"/>
        <w:rPr>
          <w:rFonts w:ascii="Arial" w:eastAsia="Calibri" w:hAnsi="Arial" w:cs="Arial"/>
          <w:noProof/>
          <w:sz w:val="20"/>
        </w:rPr>
      </w:pPr>
      <w:r w:rsidRPr="00701F32">
        <w:rPr>
          <w:rFonts w:ascii="Arial" w:eastAsia="Calibri" w:hAnsi="Arial" w:cs="Arial"/>
          <w:noProof/>
          <w:sz w:val="20"/>
        </w:rPr>
        <w:t>Estos instrumentos financieros se reconocen inicialmente a su valor razonable más los costos de transacción incrementales y directamente atribuibles, y posteriormente se miden a costo amortizado.</w:t>
      </w:r>
    </w:p>
    <w:p w14:paraId="16BC5692" w14:textId="77777777" w:rsidR="00F60B2C" w:rsidRPr="00701F32" w:rsidRDefault="00F60B2C" w:rsidP="00F60B2C">
      <w:pPr>
        <w:autoSpaceDE w:val="0"/>
        <w:autoSpaceDN w:val="0"/>
        <w:adjustRightInd w:val="0"/>
        <w:jc w:val="both"/>
        <w:rPr>
          <w:rFonts w:ascii="Arial" w:eastAsia="Calibri" w:hAnsi="Arial" w:cs="Arial"/>
          <w:noProof/>
          <w:sz w:val="20"/>
        </w:rPr>
      </w:pPr>
    </w:p>
    <w:p w14:paraId="5251EE77" w14:textId="77777777" w:rsidR="00F60B2C" w:rsidRPr="00701F32" w:rsidRDefault="00F60B2C" w:rsidP="00F60B2C">
      <w:pPr>
        <w:autoSpaceDE w:val="0"/>
        <w:autoSpaceDN w:val="0"/>
        <w:adjustRightInd w:val="0"/>
        <w:jc w:val="both"/>
        <w:rPr>
          <w:rFonts w:ascii="Arial" w:eastAsia="Calibri" w:hAnsi="Arial" w:cs="Arial"/>
          <w:noProof/>
          <w:sz w:val="20"/>
        </w:rPr>
      </w:pPr>
      <w:r w:rsidRPr="00701F32">
        <w:rPr>
          <w:rFonts w:ascii="Arial" w:eastAsia="Calibri" w:hAnsi="Arial" w:cs="Arial"/>
          <w:noProof/>
          <w:sz w:val="20"/>
        </w:rPr>
        <w:t>El costo amortizado de un activo financiero es igual a su costo de adquisición menos su amortización acumulada más los intereses devengados (calculados de acuerdo al método de la tasa efectiva), neto de cualquier pérdida por deterioro de valor.</w:t>
      </w:r>
      <w:r w:rsidRPr="00701F32">
        <w:rPr>
          <w:rFonts w:ascii="Arial" w:eastAsia="Calibri" w:hAnsi="Arial" w:cs="Arial"/>
          <w:sz w:val="20"/>
        </w:rPr>
        <w:t xml:space="preserve"> El método del interés efectivo utiliza la tasa que permite descontar los flujos de efectivo futuros que se estiman recibir o pagar en la vida del instrumento o un período menor, de ser apropiado, igualando el valor neto en libros. Al aplicar dicho método, la Entidad identifica los costos directos incrementales como parte integrante de la tasa de interés efectiva. </w:t>
      </w:r>
    </w:p>
    <w:p w14:paraId="2C36210B" w14:textId="77777777" w:rsidR="00F60B2C" w:rsidRPr="00701F32" w:rsidRDefault="00F60B2C" w:rsidP="00F60B2C">
      <w:pPr>
        <w:jc w:val="both"/>
        <w:rPr>
          <w:rFonts w:ascii="Arial" w:eastAsia="Calibri" w:hAnsi="Arial" w:cs="Arial"/>
          <w:noProof/>
          <w:sz w:val="20"/>
        </w:rPr>
      </w:pPr>
    </w:p>
    <w:p w14:paraId="339E7425" w14:textId="77777777" w:rsidR="00F60B2C" w:rsidRPr="00701F32" w:rsidRDefault="00F60B2C" w:rsidP="00F60B2C">
      <w:pPr>
        <w:numPr>
          <w:ilvl w:val="0"/>
          <w:numId w:val="84"/>
        </w:numPr>
        <w:spacing w:after="160" w:line="259" w:lineRule="auto"/>
        <w:jc w:val="both"/>
        <w:rPr>
          <w:rFonts w:ascii="Arial" w:eastAsia="Calibri" w:hAnsi="Arial" w:cs="Arial"/>
          <w:noProof/>
          <w:sz w:val="20"/>
        </w:rPr>
      </w:pPr>
      <w:r w:rsidRPr="00701F32">
        <w:rPr>
          <w:rFonts w:ascii="Arial" w:eastAsia="Calibri" w:hAnsi="Arial" w:cs="Arial"/>
          <w:noProof/>
          <w:sz w:val="20"/>
        </w:rPr>
        <w:t>Activos financieros a valor razonable con cambios en otro</w:t>
      </w:r>
      <w:r>
        <w:rPr>
          <w:rFonts w:ascii="Arial" w:eastAsia="Calibri" w:hAnsi="Arial" w:cs="Arial"/>
          <w:noProof/>
          <w:sz w:val="20"/>
        </w:rPr>
        <w:t>s</w:t>
      </w:r>
      <w:r w:rsidRPr="00701F32">
        <w:rPr>
          <w:rFonts w:ascii="Arial" w:eastAsia="Calibri" w:hAnsi="Arial" w:cs="Arial"/>
          <w:noProof/>
          <w:sz w:val="20"/>
        </w:rPr>
        <w:t xml:space="preserve"> resultado</w:t>
      </w:r>
      <w:r>
        <w:rPr>
          <w:rFonts w:ascii="Arial" w:eastAsia="Calibri" w:hAnsi="Arial" w:cs="Arial"/>
          <w:noProof/>
          <w:sz w:val="20"/>
        </w:rPr>
        <w:t>s</w:t>
      </w:r>
      <w:r w:rsidRPr="00701F32">
        <w:rPr>
          <w:rFonts w:ascii="Arial" w:eastAsia="Calibri" w:hAnsi="Arial" w:cs="Arial"/>
          <w:noProof/>
          <w:sz w:val="20"/>
        </w:rPr>
        <w:t xml:space="preserve"> integral</w:t>
      </w:r>
      <w:r>
        <w:rPr>
          <w:rFonts w:ascii="Arial" w:eastAsia="Calibri" w:hAnsi="Arial" w:cs="Arial"/>
          <w:noProof/>
          <w:sz w:val="20"/>
        </w:rPr>
        <w:t>es</w:t>
      </w:r>
      <w:r w:rsidRPr="00701F32">
        <w:rPr>
          <w:rFonts w:ascii="Arial" w:eastAsia="Calibri" w:hAnsi="Arial" w:cs="Arial"/>
          <w:noProof/>
          <w:sz w:val="20"/>
        </w:rPr>
        <w:t>:</w:t>
      </w:r>
    </w:p>
    <w:p w14:paraId="60DA7E6A"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Los activos financieros son medidos a valor razonable con cambios en otro</w:t>
      </w:r>
      <w:r>
        <w:rPr>
          <w:rFonts w:ascii="Arial" w:eastAsia="Calibri" w:hAnsi="Arial" w:cs="Arial"/>
          <w:noProof/>
          <w:sz w:val="20"/>
        </w:rPr>
        <w:t>s</w:t>
      </w:r>
      <w:r w:rsidRPr="00701F32">
        <w:rPr>
          <w:rFonts w:ascii="Arial" w:eastAsia="Calibri" w:hAnsi="Arial" w:cs="Arial"/>
          <w:noProof/>
          <w:sz w:val="20"/>
        </w:rPr>
        <w:t xml:space="preserve"> resultado</w:t>
      </w:r>
      <w:r>
        <w:rPr>
          <w:rFonts w:ascii="Arial" w:eastAsia="Calibri" w:hAnsi="Arial" w:cs="Arial"/>
          <w:noProof/>
          <w:sz w:val="20"/>
        </w:rPr>
        <w:t>s</w:t>
      </w:r>
      <w:r w:rsidRPr="00701F32">
        <w:rPr>
          <w:rFonts w:ascii="Arial" w:eastAsia="Calibri" w:hAnsi="Arial" w:cs="Arial"/>
          <w:noProof/>
          <w:sz w:val="20"/>
        </w:rPr>
        <w:t xml:space="preserve"> integral</w:t>
      </w:r>
      <w:r>
        <w:rPr>
          <w:rFonts w:ascii="Arial" w:eastAsia="Calibri" w:hAnsi="Arial" w:cs="Arial"/>
          <w:noProof/>
          <w:sz w:val="20"/>
        </w:rPr>
        <w:t>es</w:t>
      </w:r>
      <w:r w:rsidRPr="00701F32">
        <w:rPr>
          <w:rFonts w:ascii="Arial" w:eastAsia="Calibri" w:hAnsi="Arial" w:cs="Arial"/>
          <w:noProof/>
          <w:sz w:val="20"/>
        </w:rPr>
        <w:t xml:space="preserve"> cuando:</w:t>
      </w:r>
    </w:p>
    <w:p w14:paraId="39309395" w14:textId="77777777" w:rsidR="00F60B2C" w:rsidRPr="00701F32" w:rsidRDefault="00F60B2C" w:rsidP="00F60B2C">
      <w:pPr>
        <w:jc w:val="both"/>
        <w:rPr>
          <w:rFonts w:ascii="Arial" w:eastAsia="Calibri" w:hAnsi="Arial" w:cs="Arial"/>
          <w:noProof/>
          <w:sz w:val="20"/>
        </w:rPr>
      </w:pPr>
    </w:p>
    <w:p w14:paraId="179A8443"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(a) el activo financiero se mantiene dentro de un modelo de negocio cuyo objetivo se logra obteniendo flujos de efectivo contractuales y vendiendo activos financieros; y</w:t>
      </w:r>
    </w:p>
    <w:p w14:paraId="1DD0BC9C" w14:textId="77777777" w:rsidR="00F60B2C" w:rsidRPr="00701F32" w:rsidRDefault="00F60B2C" w:rsidP="00F60B2C">
      <w:pPr>
        <w:jc w:val="both"/>
        <w:rPr>
          <w:rFonts w:ascii="Arial" w:eastAsia="Calibri" w:hAnsi="Arial" w:cs="Arial"/>
          <w:noProof/>
          <w:sz w:val="20"/>
        </w:rPr>
      </w:pPr>
    </w:p>
    <w:p w14:paraId="6BE05DF9"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(b) las condiciones contractuales del activo financiero dan lugar, en fechas especificadas, a flujos de efectivo que son únicamente pagos del capital e intereses sobre el importe del capital pendiente.</w:t>
      </w:r>
    </w:p>
    <w:p w14:paraId="1982073B" w14:textId="77777777" w:rsidR="00F60B2C" w:rsidRPr="00701F32" w:rsidRDefault="00F60B2C" w:rsidP="00F60B2C">
      <w:pPr>
        <w:jc w:val="both"/>
        <w:rPr>
          <w:rFonts w:ascii="Arial" w:eastAsia="Calibri" w:hAnsi="Arial" w:cs="Arial"/>
          <w:noProof/>
          <w:sz w:val="20"/>
        </w:rPr>
      </w:pPr>
    </w:p>
    <w:p w14:paraId="2C5C19F5"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Estos instrumentos financieros se reconocen inicialmente a su valor razonable más los costos de transacción incrementales y directamente atribuibles, y posteriormente se miden a valor razonable con cambios en otro</w:t>
      </w:r>
      <w:r>
        <w:rPr>
          <w:rFonts w:ascii="Arial" w:eastAsia="Calibri" w:hAnsi="Arial" w:cs="Arial"/>
          <w:noProof/>
          <w:sz w:val="20"/>
        </w:rPr>
        <w:t>s</w:t>
      </w:r>
      <w:r w:rsidRPr="00701F32">
        <w:rPr>
          <w:rFonts w:ascii="Arial" w:eastAsia="Calibri" w:hAnsi="Arial" w:cs="Arial"/>
          <w:noProof/>
          <w:sz w:val="20"/>
        </w:rPr>
        <w:t xml:space="preserve"> resultado</w:t>
      </w:r>
      <w:r>
        <w:rPr>
          <w:rFonts w:ascii="Arial" w:eastAsia="Calibri" w:hAnsi="Arial" w:cs="Arial"/>
          <w:noProof/>
          <w:sz w:val="20"/>
        </w:rPr>
        <w:t>s</w:t>
      </w:r>
      <w:r w:rsidRPr="00701F32">
        <w:rPr>
          <w:rFonts w:ascii="Arial" w:eastAsia="Calibri" w:hAnsi="Arial" w:cs="Arial"/>
          <w:noProof/>
          <w:sz w:val="20"/>
        </w:rPr>
        <w:t xml:space="preserve"> integral</w:t>
      </w:r>
      <w:r>
        <w:rPr>
          <w:rFonts w:ascii="Arial" w:eastAsia="Calibri" w:hAnsi="Arial" w:cs="Arial"/>
          <w:noProof/>
          <w:sz w:val="20"/>
        </w:rPr>
        <w:t>es</w:t>
      </w:r>
      <w:r w:rsidRPr="00701F32">
        <w:rPr>
          <w:rFonts w:ascii="Arial" w:eastAsia="Calibri" w:hAnsi="Arial" w:cs="Arial"/>
          <w:noProof/>
          <w:sz w:val="20"/>
        </w:rPr>
        <w:t>. Las ganancias y pérdidas que surgen de los cambios en el valor razonable se incluyen en otro</w:t>
      </w:r>
      <w:r>
        <w:rPr>
          <w:rFonts w:ascii="Arial" w:eastAsia="Calibri" w:hAnsi="Arial" w:cs="Arial"/>
          <w:noProof/>
          <w:sz w:val="20"/>
        </w:rPr>
        <w:t>s</w:t>
      </w:r>
      <w:r w:rsidRPr="00701F32">
        <w:rPr>
          <w:rFonts w:ascii="Arial" w:eastAsia="Calibri" w:hAnsi="Arial" w:cs="Arial"/>
          <w:noProof/>
          <w:sz w:val="20"/>
        </w:rPr>
        <w:t xml:space="preserve"> resultado</w:t>
      </w:r>
      <w:r>
        <w:rPr>
          <w:rFonts w:ascii="Arial" w:eastAsia="Calibri" w:hAnsi="Arial" w:cs="Arial"/>
          <w:noProof/>
          <w:sz w:val="20"/>
        </w:rPr>
        <w:t>s</w:t>
      </w:r>
      <w:r w:rsidRPr="00701F32">
        <w:rPr>
          <w:rFonts w:ascii="Arial" w:eastAsia="Calibri" w:hAnsi="Arial" w:cs="Arial"/>
          <w:noProof/>
          <w:sz w:val="20"/>
        </w:rPr>
        <w:t xml:space="preserve"> integral</w:t>
      </w:r>
      <w:r>
        <w:rPr>
          <w:rFonts w:ascii="Arial" w:eastAsia="Calibri" w:hAnsi="Arial" w:cs="Arial"/>
          <w:noProof/>
          <w:sz w:val="20"/>
        </w:rPr>
        <w:t>es</w:t>
      </w:r>
      <w:r w:rsidRPr="00701F32">
        <w:rPr>
          <w:rFonts w:ascii="Arial" w:eastAsia="Calibri" w:hAnsi="Arial" w:cs="Arial"/>
          <w:noProof/>
          <w:sz w:val="20"/>
        </w:rPr>
        <w:t xml:space="preserve"> dentro de un componente separado del patrimonio. Las pérdidas o reversiones por deterioro, los ingresos por intereses y las ganancias y pérdidas por tipo de cambio se reconocen en resultados. </w:t>
      </w:r>
    </w:p>
    <w:p w14:paraId="645C9655" w14:textId="77777777" w:rsidR="00F60B2C" w:rsidRPr="00701F32" w:rsidRDefault="00F60B2C" w:rsidP="00F60B2C">
      <w:pPr>
        <w:jc w:val="both"/>
        <w:rPr>
          <w:rFonts w:ascii="Arial" w:eastAsia="Calibri" w:hAnsi="Arial" w:cs="Arial"/>
          <w:noProof/>
          <w:sz w:val="20"/>
        </w:rPr>
      </w:pPr>
    </w:p>
    <w:p w14:paraId="4F001BE9"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Al momento de su venta o disposición, la ganancia o pérdida acumulada previamente reconocida en otro</w:t>
      </w:r>
      <w:r>
        <w:rPr>
          <w:rFonts w:ascii="Arial" w:eastAsia="Calibri" w:hAnsi="Arial" w:cs="Arial"/>
          <w:noProof/>
          <w:sz w:val="20"/>
        </w:rPr>
        <w:t>s</w:t>
      </w:r>
      <w:r w:rsidRPr="00701F32">
        <w:rPr>
          <w:rFonts w:ascii="Arial" w:eastAsia="Calibri" w:hAnsi="Arial" w:cs="Arial"/>
          <w:noProof/>
          <w:sz w:val="20"/>
        </w:rPr>
        <w:t xml:space="preserve"> resultado</w:t>
      </w:r>
      <w:r>
        <w:rPr>
          <w:rFonts w:ascii="Arial" w:eastAsia="Calibri" w:hAnsi="Arial" w:cs="Arial"/>
          <w:noProof/>
          <w:sz w:val="20"/>
        </w:rPr>
        <w:t>s</w:t>
      </w:r>
      <w:r w:rsidRPr="00701F32">
        <w:rPr>
          <w:rFonts w:ascii="Arial" w:eastAsia="Calibri" w:hAnsi="Arial" w:cs="Arial"/>
          <w:noProof/>
          <w:sz w:val="20"/>
        </w:rPr>
        <w:t xml:space="preserve"> integral</w:t>
      </w:r>
      <w:r>
        <w:rPr>
          <w:rFonts w:ascii="Arial" w:eastAsia="Calibri" w:hAnsi="Arial" w:cs="Arial"/>
          <w:noProof/>
          <w:sz w:val="20"/>
        </w:rPr>
        <w:t>es</w:t>
      </w:r>
      <w:r w:rsidRPr="00701F32">
        <w:rPr>
          <w:rFonts w:ascii="Arial" w:eastAsia="Calibri" w:hAnsi="Arial" w:cs="Arial"/>
          <w:noProof/>
          <w:sz w:val="20"/>
        </w:rPr>
        <w:t xml:space="preserve"> se reclasifica del patrimonio al estado de resultados. </w:t>
      </w:r>
    </w:p>
    <w:p w14:paraId="523B9C19" w14:textId="77777777" w:rsidR="00F60B2C" w:rsidRPr="00701F32" w:rsidRDefault="00F60B2C" w:rsidP="00F60B2C">
      <w:pPr>
        <w:jc w:val="both"/>
        <w:rPr>
          <w:rFonts w:ascii="Arial" w:eastAsia="Calibri" w:hAnsi="Arial" w:cs="Arial"/>
          <w:noProof/>
          <w:sz w:val="20"/>
        </w:rPr>
      </w:pPr>
    </w:p>
    <w:p w14:paraId="53E05ED8" w14:textId="77777777" w:rsidR="00F60B2C" w:rsidRPr="00701F32" w:rsidRDefault="00F60B2C" w:rsidP="00F60B2C">
      <w:pPr>
        <w:numPr>
          <w:ilvl w:val="0"/>
          <w:numId w:val="84"/>
        </w:numPr>
        <w:spacing w:after="160" w:line="259" w:lineRule="auto"/>
        <w:jc w:val="both"/>
        <w:rPr>
          <w:rFonts w:ascii="Arial" w:eastAsia="Calibri" w:hAnsi="Arial" w:cs="Arial"/>
          <w:noProof/>
          <w:sz w:val="20"/>
        </w:rPr>
      </w:pPr>
      <w:r w:rsidRPr="00701F32">
        <w:rPr>
          <w:rFonts w:ascii="Arial" w:eastAsia="Calibri" w:hAnsi="Arial" w:cs="Arial"/>
          <w:noProof/>
          <w:sz w:val="20"/>
        </w:rPr>
        <w:t>Activos financieros a valor razonable con cambios en resultados:</w:t>
      </w:r>
    </w:p>
    <w:p w14:paraId="61A376A8"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Los activos financieros a valor razonable con cambios en resultados, comprende:</w:t>
      </w:r>
    </w:p>
    <w:p w14:paraId="570C0457" w14:textId="77777777" w:rsidR="00F60B2C" w:rsidRPr="00701F32" w:rsidRDefault="00F60B2C" w:rsidP="00F60B2C">
      <w:pPr>
        <w:jc w:val="both"/>
        <w:rPr>
          <w:rFonts w:ascii="Arial" w:eastAsia="Calibri" w:hAnsi="Arial" w:cs="Arial"/>
          <w:noProof/>
          <w:sz w:val="20"/>
        </w:rPr>
      </w:pPr>
    </w:p>
    <w:p w14:paraId="030F5A5F" w14:textId="77777777" w:rsidR="00F60B2C" w:rsidRPr="00701F32" w:rsidRDefault="00F60B2C" w:rsidP="00F60B2C">
      <w:pPr>
        <w:numPr>
          <w:ilvl w:val="0"/>
          <w:numId w:val="45"/>
        </w:numPr>
        <w:spacing w:after="160" w:line="259" w:lineRule="auto"/>
        <w:jc w:val="both"/>
        <w:rPr>
          <w:rFonts w:ascii="Arial" w:eastAsia="Calibri" w:hAnsi="Arial" w:cs="Arial"/>
          <w:noProof/>
          <w:sz w:val="20"/>
        </w:rPr>
      </w:pPr>
      <w:r w:rsidRPr="00701F32">
        <w:rPr>
          <w:rFonts w:ascii="Arial" w:eastAsia="Calibri" w:hAnsi="Arial" w:cs="Arial"/>
          <w:noProof/>
          <w:sz w:val="20"/>
        </w:rPr>
        <w:t>Instrumentos mantenidos para negociar;</w:t>
      </w:r>
    </w:p>
    <w:p w14:paraId="7F0A9D0A" w14:textId="77777777" w:rsidR="00F60B2C" w:rsidRPr="00701F32" w:rsidRDefault="00F60B2C" w:rsidP="00F60B2C">
      <w:pPr>
        <w:numPr>
          <w:ilvl w:val="0"/>
          <w:numId w:val="45"/>
        </w:numPr>
        <w:spacing w:after="160" w:line="259" w:lineRule="auto"/>
        <w:jc w:val="both"/>
        <w:rPr>
          <w:rFonts w:ascii="Arial" w:eastAsia="Calibri" w:hAnsi="Arial" w:cs="Arial"/>
          <w:noProof/>
          <w:sz w:val="20"/>
        </w:rPr>
      </w:pPr>
      <w:r w:rsidRPr="00701F32">
        <w:rPr>
          <w:rFonts w:ascii="Arial" w:eastAsia="Calibri" w:hAnsi="Arial" w:cs="Arial"/>
          <w:noProof/>
          <w:sz w:val="20"/>
        </w:rPr>
        <w:t>Instrumentos específicamente designados a valor razonable con cambios en resultados; e</w:t>
      </w:r>
    </w:p>
    <w:p w14:paraId="5537811E" w14:textId="77777777" w:rsidR="00F60B2C" w:rsidRPr="00701F32" w:rsidRDefault="00F60B2C" w:rsidP="00F60B2C">
      <w:pPr>
        <w:numPr>
          <w:ilvl w:val="0"/>
          <w:numId w:val="45"/>
        </w:numPr>
        <w:spacing w:after="160" w:line="259" w:lineRule="auto"/>
        <w:jc w:val="both"/>
        <w:rPr>
          <w:rFonts w:ascii="Arial" w:eastAsia="Calibri" w:hAnsi="Arial" w:cs="Arial"/>
          <w:noProof/>
          <w:sz w:val="20"/>
        </w:rPr>
      </w:pPr>
      <w:r w:rsidRPr="00701F32">
        <w:rPr>
          <w:rFonts w:ascii="Arial" w:eastAsia="Calibri" w:hAnsi="Arial" w:cs="Arial"/>
          <w:noProof/>
          <w:sz w:val="20"/>
        </w:rPr>
        <w:t>Instrumentos con términos contractuales que no representan flujos de efectivo que son únicamente pagos del principal e intereses sobre el importe del principal pendiente.</w:t>
      </w:r>
    </w:p>
    <w:p w14:paraId="4D614FD0"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Estos instrumentos financieros se reconocen inicialmente a su valor razonable y cualquier ganancia o pérdida es reconocida en el estado de resultados a medida que se realizan.</w:t>
      </w:r>
    </w:p>
    <w:p w14:paraId="293FB854" w14:textId="77777777" w:rsidR="00F60B2C" w:rsidRPr="00701F32" w:rsidRDefault="00F60B2C" w:rsidP="00F60B2C">
      <w:pPr>
        <w:jc w:val="both"/>
        <w:rPr>
          <w:rFonts w:ascii="Arial" w:eastAsia="Calibri" w:hAnsi="Arial" w:cs="Arial"/>
          <w:noProof/>
          <w:sz w:val="20"/>
        </w:rPr>
      </w:pPr>
    </w:p>
    <w:p w14:paraId="0C8F3939" w14:textId="77777777" w:rsidR="00F60B2C" w:rsidRPr="00701F32" w:rsidRDefault="00F60B2C" w:rsidP="00F60B2C">
      <w:pPr>
        <w:jc w:val="both"/>
        <w:rPr>
          <w:rFonts w:ascii="Arial" w:eastAsia="Calibri" w:hAnsi="Arial" w:cs="Arial"/>
          <w:i/>
          <w:noProof/>
          <w:sz w:val="20"/>
        </w:rPr>
      </w:pPr>
      <w:r w:rsidRPr="00701F32">
        <w:rPr>
          <w:rFonts w:ascii="Arial" w:eastAsia="Calibri" w:hAnsi="Arial" w:cs="Arial"/>
          <w:noProof/>
          <w:sz w:val="20"/>
        </w:rPr>
        <w:t xml:space="preserve">La Entidad clasifica un instrumento financiero como mantenido para negociar si se adquiere o se incurre principalmente con el propósito de vender o recomprar en el corto plazo, o si forma parte de una cartera de instrumentos financieros que se administran conjuntamente y para los cuales hay evidencia de ganancias a corto plazo, o es un derivado que no está en una relación de cobertura calificada. Los derivados y los valores para negociación se clasifican como mantenidos para negociar y se reconocen a valor razonable. </w:t>
      </w:r>
    </w:p>
    <w:p w14:paraId="6D92F6DA" w14:textId="77777777" w:rsidR="00F60B2C" w:rsidRPr="00701F32" w:rsidRDefault="00F60B2C" w:rsidP="00F60B2C">
      <w:pPr>
        <w:jc w:val="both"/>
        <w:rPr>
          <w:rFonts w:ascii="Arial" w:eastAsia="Calibri" w:hAnsi="Arial" w:cs="Arial"/>
          <w:i/>
          <w:noProof/>
          <w:sz w:val="20"/>
        </w:rPr>
      </w:pPr>
    </w:p>
    <w:p w14:paraId="3A14FD69" w14:textId="77777777" w:rsidR="00F60B2C" w:rsidRDefault="00F60B2C" w:rsidP="00F60B2C">
      <w:pPr>
        <w:spacing w:after="160" w:line="259" w:lineRule="auto"/>
        <w:contextualSpacing/>
        <w:jc w:val="both"/>
        <w:rPr>
          <w:rFonts w:ascii="Arial" w:eastAsia="Calibri" w:hAnsi="Arial" w:cs="Arial"/>
          <w:sz w:val="20"/>
        </w:rPr>
      </w:pPr>
      <w:r w:rsidRPr="00701F32">
        <w:rPr>
          <w:rFonts w:ascii="Arial" w:eastAsia="Calibri" w:hAnsi="Arial" w:cs="Arial"/>
          <w:sz w:val="20"/>
        </w:rPr>
        <w:t>El valor razonable de estos instrumentos se calculó utilizando las cotizaciones vigentes al cierre de cada ejercicio en mercados activos, de ser representativas. En caso de no contar con un mercado activo, se utilizaron técnicas de valoración que incluyeron la utilización de operaciones de mercado realizadas en condiciones de independencia mutua, entre partes interesadas y debidamente informadas, siempre que estén disponibles, así como referencias al valor razonable actual de otro instrumento que es sustancialmente similar, o bien el análisis de flujos de efectivo descontados. La estimación de los valores razonables se explica con mayor detalle en el apartado “políticas y estimaciones contables críticas”.</w:t>
      </w:r>
    </w:p>
    <w:p w14:paraId="524A747E" w14:textId="77777777" w:rsidR="00F60B2C" w:rsidRDefault="00F60B2C" w:rsidP="00F60B2C">
      <w:pPr>
        <w:spacing w:after="160" w:line="259" w:lineRule="auto"/>
        <w:contextualSpacing/>
        <w:jc w:val="both"/>
        <w:rPr>
          <w:rFonts w:ascii="Arial" w:eastAsia="Calibri" w:hAnsi="Arial" w:cs="Arial"/>
          <w:sz w:val="20"/>
        </w:rPr>
      </w:pPr>
    </w:p>
    <w:p w14:paraId="0D63ED54" w14:textId="77777777" w:rsidR="00F60B2C" w:rsidRPr="00701F32" w:rsidRDefault="00F60B2C" w:rsidP="00F60B2C">
      <w:pPr>
        <w:spacing w:after="160" w:line="259" w:lineRule="auto"/>
        <w:contextualSpacing/>
        <w:jc w:val="both"/>
        <w:rPr>
          <w:rFonts w:ascii="Arial" w:eastAsia="Calibri" w:hAnsi="Arial" w:cs="Arial"/>
          <w:sz w:val="20"/>
        </w:rPr>
      </w:pPr>
      <w:r w:rsidRPr="00EA530F">
        <w:rPr>
          <w:rFonts w:ascii="Arial" w:eastAsia="Calibri" w:hAnsi="Arial" w:cs="Arial"/>
          <w:noProof/>
          <w:sz w:val="20"/>
        </w:rPr>
        <w:t>Adicionalmente los activos financieros pueden ser valuados (“designados”) a valor razonable con cambios en resultados cuando al hacerlo, el Banco elimina o reduce significativamente una inconsistencia de medición o reconocimiento.</w:t>
      </w:r>
    </w:p>
    <w:p w14:paraId="4D94640A" w14:textId="77777777" w:rsidR="00F60B2C" w:rsidRPr="00701F32" w:rsidRDefault="00F60B2C" w:rsidP="00F60B2C">
      <w:pPr>
        <w:jc w:val="both"/>
        <w:rPr>
          <w:rFonts w:ascii="Arial" w:eastAsia="Calibri" w:hAnsi="Arial" w:cs="Arial"/>
          <w:noProof/>
          <w:sz w:val="20"/>
        </w:rPr>
      </w:pPr>
    </w:p>
    <w:p w14:paraId="25C796C6" w14:textId="77777777" w:rsidR="00F60B2C" w:rsidRPr="00701F32" w:rsidRDefault="00F60B2C" w:rsidP="00F60B2C">
      <w:pPr>
        <w:jc w:val="both"/>
        <w:rPr>
          <w:rFonts w:ascii="Arial" w:eastAsia="Calibri" w:hAnsi="Arial" w:cs="Arial"/>
          <w:noProof/>
          <w:sz w:val="20"/>
          <w:u w:val="single"/>
        </w:rPr>
      </w:pPr>
      <w:r w:rsidRPr="00701F32">
        <w:rPr>
          <w:rFonts w:ascii="Arial" w:eastAsia="Calibri" w:hAnsi="Arial" w:cs="Arial"/>
          <w:noProof/>
          <w:sz w:val="20"/>
          <w:u w:val="single"/>
        </w:rPr>
        <w:t>b - Instrumentos del patrimonio</w:t>
      </w:r>
    </w:p>
    <w:p w14:paraId="74EFFD66" w14:textId="77777777" w:rsidR="00F60B2C" w:rsidRPr="00701F32" w:rsidRDefault="00F60B2C" w:rsidP="00F60B2C">
      <w:pPr>
        <w:jc w:val="both"/>
        <w:rPr>
          <w:rFonts w:ascii="Arial" w:eastAsia="Calibri" w:hAnsi="Arial" w:cs="Arial"/>
          <w:noProof/>
          <w:sz w:val="20"/>
        </w:rPr>
      </w:pPr>
    </w:p>
    <w:p w14:paraId="35D9193B"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 xml:space="preserve">Los instrumentos del patrimonio son aquellos considerados de dicha manera por el emisor, esto quiere decir instrumentos que no contemplen una obligación contractual de pagar y que evidencian un interés residual sobre el activo del emisor luego de deducir todo su pasivo. </w:t>
      </w:r>
    </w:p>
    <w:p w14:paraId="64A9CAEB" w14:textId="77777777" w:rsidR="00F60B2C" w:rsidRPr="00701F32" w:rsidRDefault="00F60B2C" w:rsidP="00F60B2C">
      <w:pPr>
        <w:jc w:val="both"/>
        <w:rPr>
          <w:rFonts w:ascii="Arial" w:eastAsia="Calibri" w:hAnsi="Arial" w:cs="Arial"/>
          <w:noProof/>
          <w:sz w:val="20"/>
        </w:rPr>
      </w:pPr>
    </w:p>
    <w:p w14:paraId="60DA7515"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 xml:space="preserve">Dichos instrumentos son valuados a valor razonable con cambios en resultados, excepto cuando la gerencia haya hecho uso, al momento del reconocimiento inicial, de la opción irrevocable de medirlos a valor razonable con cambio en otros resultados integrales. Este método solamente es aplicable cuando los instrumentos no sean mantenidos para negociar y los resultados serán contabilizados en ORI sin posibilidad de reclasificación, aun cuando se encuentren realizados. Los dividendos a cobrar que surgen de dicho instrumento, se reconocerán como resultado únicamente cuando se tenga el derecho a recibir el pago. </w:t>
      </w:r>
    </w:p>
    <w:p w14:paraId="37CA8D0F" w14:textId="77777777" w:rsidR="00F60B2C" w:rsidRPr="00701F32" w:rsidRDefault="00F60B2C" w:rsidP="00F60B2C">
      <w:pPr>
        <w:jc w:val="both"/>
        <w:rPr>
          <w:rFonts w:ascii="Arial" w:eastAsia="Calibri" w:hAnsi="Arial" w:cs="Arial"/>
          <w:noProof/>
          <w:sz w:val="20"/>
          <w:u w:val="single"/>
        </w:rPr>
      </w:pPr>
    </w:p>
    <w:p w14:paraId="70923789" w14:textId="5BF7C845" w:rsidR="00F60B2C" w:rsidRPr="00701F32" w:rsidRDefault="00F60B2C" w:rsidP="00F60B2C">
      <w:pPr>
        <w:jc w:val="both"/>
        <w:rPr>
          <w:rFonts w:ascii="Arial" w:eastAsia="Calibri" w:hAnsi="Arial" w:cs="Arial"/>
          <w:noProof/>
          <w:sz w:val="20"/>
          <w:u w:val="single"/>
        </w:rPr>
      </w:pPr>
      <w:r w:rsidRPr="00701F32">
        <w:rPr>
          <w:rFonts w:ascii="Arial" w:eastAsia="Calibri" w:hAnsi="Arial" w:cs="Arial"/>
          <w:noProof/>
          <w:sz w:val="20"/>
          <w:u w:val="single"/>
        </w:rPr>
        <w:t>Baja de Activos Financieros</w:t>
      </w:r>
    </w:p>
    <w:p w14:paraId="346980BA" w14:textId="77777777" w:rsidR="00F60B2C" w:rsidRPr="00701F32" w:rsidRDefault="00F60B2C" w:rsidP="00F60B2C">
      <w:pPr>
        <w:jc w:val="both"/>
        <w:rPr>
          <w:rFonts w:ascii="Arial" w:eastAsia="Calibri" w:hAnsi="Arial" w:cs="Arial"/>
          <w:noProof/>
          <w:sz w:val="20"/>
        </w:rPr>
      </w:pPr>
    </w:p>
    <w:p w14:paraId="4E7C2015"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 xml:space="preserve">La Entidad reconoce la baja de los activos financieros únicamente cuando </w:t>
      </w:r>
      <w:r>
        <w:rPr>
          <w:rFonts w:ascii="Arial" w:eastAsia="Calibri" w:hAnsi="Arial" w:cs="Arial"/>
          <w:noProof/>
          <w:sz w:val="20"/>
        </w:rPr>
        <w:t>cumplan con</w:t>
      </w:r>
      <w:r w:rsidRPr="00701F32">
        <w:rPr>
          <w:rFonts w:ascii="Arial" w:eastAsia="Calibri" w:hAnsi="Arial" w:cs="Arial"/>
          <w:noProof/>
          <w:sz w:val="20"/>
        </w:rPr>
        <w:t xml:space="preserve"> alguna de las siguientes condiciones: </w:t>
      </w:r>
    </w:p>
    <w:p w14:paraId="0AE7AE88" w14:textId="77777777" w:rsidR="00F60B2C" w:rsidRPr="00701F32" w:rsidRDefault="00F60B2C" w:rsidP="00F60B2C">
      <w:pPr>
        <w:jc w:val="both"/>
        <w:rPr>
          <w:rFonts w:ascii="Arial" w:eastAsia="Calibri" w:hAnsi="Arial" w:cs="Arial"/>
          <w:noProof/>
          <w:sz w:val="20"/>
        </w:rPr>
      </w:pPr>
    </w:p>
    <w:p w14:paraId="751F5645" w14:textId="77777777" w:rsidR="00F60B2C" w:rsidRPr="00701F32" w:rsidRDefault="00F60B2C" w:rsidP="00F60B2C">
      <w:pPr>
        <w:numPr>
          <w:ilvl w:val="3"/>
          <w:numId w:val="89"/>
        </w:numPr>
        <w:spacing w:after="160" w:line="259" w:lineRule="auto"/>
        <w:ind w:left="567"/>
        <w:contextualSpacing/>
        <w:jc w:val="both"/>
        <w:rPr>
          <w:rFonts w:ascii="Arial" w:eastAsia="Calibri" w:hAnsi="Arial" w:cs="Arial"/>
          <w:noProof/>
          <w:sz w:val="20"/>
        </w:rPr>
      </w:pPr>
      <w:r>
        <w:rPr>
          <w:rFonts w:ascii="Arial" w:eastAsia="Calibri" w:hAnsi="Arial" w:cs="Arial"/>
          <w:noProof/>
          <w:sz w:val="20"/>
        </w:rPr>
        <w:t>Expiren</w:t>
      </w:r>
      <w:r w:rsidRPr="00701F32">
        <w:rPr>
          <w:rFonts w:ascii="Arial" w:eastAsia="Calibri" w:hAnsi="Arial" w:cs="Arial"/>
          <w:noProof/>
          <w:sz w:val="20"/>
        </w:rPr>
        <w:t xml:space="preserve"> los derechos sobre los flujos de fondos del activo financiero; o </w:t>
      </w:r>
    </w:p>
    <w:p w14:paraId="4E3D7E1E" w14:textId="77777777" w:rsidR="00F60B2C" w:rsidRPr="00701F32" w:rsidRDefault="00F60B2C" w:rsidP="00F60B2C">
      <w:pPr>
        <w:numPr>
          <w:ilvl w:val="3"/>
          <w:numId w:val="89"/>
        </w:numPr>
        <w:spacing w:after="160" w:line="259" w:lineRule="auto"/>
        <w:ind w:left="567"/>
        <w:contextualSpacing/>
        <w:jc w:val="both"/>
        <w:rPr>
          <w:rFonts w:ascii="Arial" w:eastAsia="Calibri" w:hAnsi="Arial" w:cs="Arial"/>
          <w:noProof/>
          <w:sz w:val="20"/>
        </w:rPr>
      </w:pPr>
      <w:r w:rsidRPr="00701F32">
        <w:rPr>
          <w:rFonts w:ascii="Arial" w:eastAsia="Calibri" w:hAnsi="Arial" w:cs="Arial"/>
          <w:noProof/>
          <w:sz w:val="20"/>
        </w:rPr>
        <w:t>Se realice la transferencia del activo financiero de acuerdo a los requerimientos del punto 3.2.4 de la NIIF 9.</w:t>
      </w:r>
    </w:p>
    <w:p w14:paraId="281C11DA" w14:textId="77777777" w:rsidR="00F60B2C" w:rsidRPr="00701F32" w:rsidRDefault="00F60B2C" w:rsidP="00F60B2C">
      <w:pPr>
        <w:jc w:val="both"/>
        <w:rPr>
          <w:rFonts w:ascii="Arial" w:eastAsia="Calibri" w:hAnsi="Arial" w:cs="Arial"/>
          <w:noProof/>
          <w:sz w:val="20"/>
        </w:rPr>
      </w:pPr>
    </w:p>
    <w:p w14:paraId="57E5A093"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La Entidad da de baja los activos financieros que hayan sido transferidos únicamente cuando cumple con las siguientes caracteristicas:</w:t>
      </w:r>
    </w:p>
    <w:p w14:paraId="1F4E1314" w14:textId="77777777" w:rsidR="00F60B2C" w:rsidRPr="00701F32" w:rsidRDefault="00F60B2C" w:rsidP="00F60B2C">
      <w:pPr>
        <w:jc w:val="both"/>
        <w:rPr>
          <w:rFonts w:ascii="Arial" w:eastAsia="Calibri" w:hAnsi="Arial" w:cs="Arial"/>
          <w:noProof/>
          <w:sz w:val="20"/>
        </w:rPr>
      </w:pPr>
    </w:p>
    <w:p w14:paraId="113E9A6B" w14:textId="77777777" w:rsidR="00F60B2C" w:rsidRPr="00701F32" w:rsidRDefault="00F60B2C" w:rsidP="00F60B2C">
      <w:pPr>
        <w:numPr>
          <w:ilvl w:val="0"/>
          <w:numId w:val="85"/>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Ha transferido los derechos contractuales de recibir flujos de fondos futuros</w:t>
      </w:r>
    </w:p>
    <w:p w14:paraId="29B6BE88" w14:textId="77777777" w:rsidR="00F60B2C" w:rsidRPr="00701F32" w:rsidRDefault="00F60B2C" w:rsidP="00F60B2C">
      <w:pPr>
        <w:numPr>
          <w:ilvl w:val="0"/>
          <w:numId w:val="85"/>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 xml:space="preserve">Retiene los derechos contractuales de recibir flujos de fondos pero asume una obligación </w:t>
      </w:r>
      <w:r>
        <w:rPr>
          <w:rFonts w:ascii="Arial" w:eastAsia="Calibri" w:hAnsi="Arial" w:cs="Arial"/>
          <w:noProof/>
          <w:sz w:val="20"/>
        </w:rPr>
        <w:t>de transferirlos siempre que</w:t>
      </w:r>
      <w:r w:rsidRPr="00701F32">
        <w:rPr>
          <w:rFonts w:ascii="Arial" w:eastAsia="Calibri" w:hAnsi="Arial" w:cs="Arial"/>
          <w:noProof/>
          <w:sz w:val="20"/>
        </w:rPr>
        <w:t xml:space="preserve"> se cumplan los tres requisitos siguientes:</w:t>
      </w:r>
    </w:p>
    <w:p w14:paraId="62B84211" w14:textId="77777777" w:rsidR="00F60B2C" w:rsidRPr="00701F32" w:rsidRDefault="00F60B2C" w:rsidP="00F60B2C">
      <w:pPr>
        <w:numPr>
          <w:ilvl w:val="1"/>
          <w:numId w:val="85"/>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 xml:space="preserve">La Entidad no está obligado a pagar ningún importe sin recibir los flujos por la transferencia del activo; </w:t>
      </w:r>
    </w:p>
    <w:p w14:paraId="51CB7E23" w14:textId="77777777" w:rsidR="00F60B2C" w:rsidRPr="00701F32" w:rsidRDefault="00F60B2C" w:rsidP="00F60B2C">
      <w:pPr>
        <w:numPr>
          <w:ilvl w:val="1"/>
          <w:numId w:val="85"/>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La Entidad tiene prohibid</w:t>
      </w:r>
      <w:r>
        <w:rPr>
          <w:rFonts w:ascii="Arial" w:eastAsia="Calibri" w:hAnsi="Arial" w:cs="Arial"/>
          <w:noProof/>
          <w:sz w:val="20"/>
        </w:rPr>
        <w:t>a</w:t>
      </w:r>
      <w:r w:rsidRPr="00701F32">
        <w:rPr>
          <w:rFonts w:ascii="Arial" w:eastAsia="Calibri" w:hAnsi="Arial" w:cs="Arial"/>
          <w:noProof/>
          <w:sz w:val="20"/>
        </w:rPr>
        <w:t xml:space="preserve"> la venta del activo financiero; </w:t>
      </w:r>
      <w:r>
        <w:rPr>
          <w:rFonts w:ascii="Arial" w:eastAsia="Calibri" w:hAnsi="Arial" w:cs="Arial"/>
          <w:noProof/>
          <w:sz w:val="20"/>
        </w:rPr>
        <w:t>y</w:t>
      </w:r>
      <w:r w:rsidRPr="00701F32">
        <w:rPr>
          <w:rFonts w:ascii="Arial" w:eastAsia="Calibri" w:hAnsi="Arial" w:cs="Arial"/>
          <w:noProof/>
          <w:sz w:val="20"/>
        </w:rPr>
        <w:t xml:space="preserve"> </w:t>
      </w:r>
    </w:p>
    <w:p w14:paraId="06B2D724" w14:textId="71C1073D" w:rsidR="00F60B2C" w:rsidRPr="00701F32" w:rsidRDefault="00F60B2C" w:rsidP="00F60B2C">
      <w:pPr>
        <w:numPr>
          <w:ilvl w:val="1"/>
          <w:numId w:val="85"/>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La Entidad tiene que remitir los flujos de fondos a los cuales se ha comprometido.</w:t>
      </w:r>
    </w:p>
    <w:p w14:paraId="15F42C10" w14:textId="77777777" w:rsidR="00F60B2C" w:rsidRPr="00701F32" w:rsidRDefault="00F60B2C" w:rsidP="00F60B2C">
      <w:pPr>
        <w:jc w:val="both"/>
        <w:rPr>
          <w:rFonts w:ascii="Arial" w:eastAsia="Calibri" w:hAnsi="Arial" w:cs="Arial"/>
          <w:noProof/>
          <w:sz w:val="20"/>
          <w:u w:val="single"/>
        </w:rPr>
      </w:pPr>
    </w:p>
    <w:p w14:paraId="534B2D31" w14:textId="77777777" w:rsidR="00F60B2C" w:rsidRPr="00701F32" w:rsidRDefault="00F60B2C" w:rsidP="00F60B2C">
      <w:pPr>
        <w:jc w:val="both"/>
        <w:rPr>
          <w:rFonts w:ascii="Arial" w:eastAsia="Calibri" w:hAnsi="Arial" w:cs="Arial"/>
          <w:b/>
          <w:noProof/>
          <w:sz w:val="20"/>
          <w:u w:val="single"/>
        </w:rPr>
      </w:pPr>
      <w:r w:rsidRPr="00701F32">
        <w:rPr>
          <w:rFonts w:ascii="Arial" w:eastAsia="Calibri" w:hAnsi="Arial" w:cs="Arial"/>
          <w:b/>
          <w:noProof/>
          <w:sz w:val="20"/>
          <w:u w:val="single"/>
        </w:rPr>
        <w:t>Pasivos financieros</w:t>
      </w:r>
    </w:p>
    <w:p w14:paraId="0611804E" w14:textId="77777777" w:rsidR="00F60B2C" w:rsidRPr="00701F32" w:rsidRDefault="00F60B2C" w:rsidP="00F60B2C">
      <w:pPr>
        <w:jc w:val="both"/>
        <w:rPr>
          <w:rFonts w:ascii="Arial" w:eastAsia="Calibri" w:hAnsi="Arial" w:cs="Arial"/>
          <w:noProof/>
          <w:sz w:val="20"/>
        </w:rPr>
      </w:pPr>
    </w:p>
    <w:p w14:paraId="6873D918" w14:textId="77777777" w:rsidR="00F60B2C" w:rsidRPr="00701F32" w:rsidRDefault="00F60B2C" w:rsidP="00F60B2C">
      <w:pPr>
        <w:jc w:val="both"/>
        <w:rPr>
          <w:rFonts w:ascii="Arial" w:eastAsia="Calibri" w:hAnsi="Arial" w:cs="Arial"/>
          <w:noProof/>
          <w:sz w:val="20"/>
          <w:u w:val="single"/>
        </w:rPr>
      </w:pPr>
      <w:r w:rsidRPr="00701F32">
        <w:rPr>
          <w:rFonts w:ascii="Arial" w:eastAsia="Calibri" w:hAnsi="Arial" w:cs="Arial"/>
          <w:noProof/>
          <w:sz w:val="20"/>
          <w:u w:val="single"/>
        </w:rPr>
        <w:t>Clasificación</w:t>
      </w:r>
    </w:p>
    <w:p w14:paraId="3F5C66BA" w14:textId="77777777" w:rsidR="00F60B2C" w:rsidRPr="00701F32" w:rsidRDefault="00F60B2C" w:rsidP="00F60B2C">
      <w:pPr>
        <w:jc w:val="both"/>
        <w:rPr>
          <w:rFonts w:ascii="Arial" w:eastAsia="Calibri" w:hAnsi="Arial" w:cs="Arial"/>
          <w:noProof/>
          <w:sz w:val="20"/>
        </w:rPr>
      </w:pPr>
    </w:p>
    <w:p w14:paraId="56DDD4D2"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La Entidad clasifica sus pasivos financieros a costo amortizado utilizando el método de la tasa efectiva excepto por:</w:t>
      </w:r>
    </w:p>
    <w:p w14:paraId="173A61AB" w14:textId="77777777" w:rsidR="00F60B2C" w:rsidRPr="00701F32" w:rsidRDefault="00F60B2C" w:rsidP="00F60B2C">
      <w:pPr>
        <w:jc w:val="both"/>
        <w:rPr>
          <w:rFonts w:ascii="Arial" w:eastAsia="Calibri" w:hAnsi="Arial" w:cs="Arial"/>
          <w:noProof/>
          <w:sz w:val="20"/>
        </w:rPr>
      </w:pPr>
    </w:p>
    <w:p w14:paraId="35C1ADBF" w14:textId="77777777" w:rsidR="00F60B2C" w:rsidRPr="00701F32" w:rsidRDefault="00F60B2C" w:rsidP="00F60B2C">
      <w:pPr>
        <w:numPr>
          <w:ilvl w:val="0"/>
          <w:numId w:val="46"/>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Pasivos financieros que sean valuados al valor razonable con cambios en resultados.</w:t>
      </w:r>
    </w:p>
    <w:p w14:paraId="62333CF2" w14:textId="77777777" w:rsidR="00F60B2C" w:rsidRPr="00701F32" w:rsidRDefault="00F60B2C" w:rsidP="00F60B2C">
      <w:pPr>
        <w:numPr>
          <w:ilvl w:val="0"/>
          <w:numId w:val="46"/>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Pasivos que surjan de transferencia de activos financieros.</w:t>
      </w:r>
    </w:p>
    <w:p w14:paraId="62B5F178" w14:textId="77777777" w:rsidR="00F60B2C" w:rsidRPr="00701F32" w:rsidRDefault="00F60B2C" w:rsidP="00F60B2C">
      <w:pPr>
        <w:numPr>
          <w:ilvl w:val="0"/>
          <w:numId w:val="46"/>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Contratos de garantía financiera.</w:t>
      </w:r>
    </w:p>
    <w:p w14:paraId="78FD7576" w14:textId="77777777" w:rsidR="00F60B2C" w:rsidRPr="00701F32" w:rsidRDefault="00F60B2C" w:rsidP="00F60B2C">
      <w:pPr>
        <w:numPr>
          <w:ilvl w:val="0"/>
          <w:numId w:val="46"/>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Compromisos de otorgamiento de préstamos a tasa inferior a la de mercado.</w:t>
      </w:r>
    </w:p>
    <w:p w14:paraId="2E902D26" w14:textId="77777777" w:rsidR="00F60B2C" w:rsidRPr="00701F32" w:rsidRDefault="00F60B2C" w:rsidP="00F60B2C">
      <w:pPr>
        <w:jc w:val="both"/>
        <w:rPr>
          <w:rFonts w:ascii="Arial" w:eastAsia="Calibri" w:hAnsi="Arial" w:cs="Arial"/>
          <w:noProof/>
          <w:sz w:val="20"/>
          <w:u w:val="single"/>
        </w:rPr>
      </w:pPr>
    </w:p>
    <w:p w14:paraId="6C20D941"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u w:val="single"/>
        </w:rPr>
        <w:t>Pasivos financieros valuados a valor razonable con cambios en resultados:</w:t>
      </w:r>
      <w:r w:rsidRPr="00701F32">
        <w:rPr>
          <w:rFonts w:ascii="Arial" w:eastAsia="Calibri" w:hAnsi="Arial" w:cs="Arial"/>
          <w:noProof/>
          <w:sz w:val="20"/>
        </w:rPr>
        <w:t xml:space="preserve"> La Entidad puede optar por hacer uso, al inicio, de la opción irrevocable de designar un pasivo a valor razonable con cambios en resultados si y solo si, al hacerlo, refleja mas adecuadamente la información financiera porque:</w:t>
      </w:r>
    </w:p>
    <w:p w14:paraId="433B7345" w14:textId="77777777" w:rsidR="00F60B2C" w:rsidRPr="00701F32" w:rsidRDefault="00F60B2C" w:rsidP="00F60B2C">
      <w:pPr>
        <w:jc w:val="both"/>
        <w:rPr>
          <w:rFonts w:ascii="Arial" w:eastAsia="Calibri" w:hAnsi="Arial" w:cs="Arial"/>
          <w:noProof/>
          <w:sz w:val="20"/>
        </w:rPr>
      </w:pPr>
    </w:p>
    <w:p w14:paraId="5AC20431" w14:textId="77777777" w:rsidR="00F60B2C" w:rsidRPr="00701F32" w:rsidRDefault="00F60B2C" w:rsidP="00F60B2C">
      <w:pPr>
        <w:numPr>
          <w:ilvl w:val="0"/>
          <w:numId w:val="45"/>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el Banco elimina o reduce significativamente las inconcistencias de medición o reconocimiento que en caso contrario quedaría expuesto en la valuación;</w:t>
      </w:r>
    </w:p>
    <w:p w14:paraId="6027BBBE" w14:textId="77777777" w:rsidR="00F60B2C" w:rsidRPr="00701F32" w:rsidRDefault="00F60B2C" w:rsidP="00F60B2C">
      <w:pPr>
        <w:numPr>
          <w:ilvl w:val="0"/>
          <w:numId w:val="45"/>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si los activos y pasivos financieros se gestionan y se evalúa su desempeño sobre una base de valor razonable de acuerdo con una estrategia de inversión o gestión de riesgos documentada; o</w:t>
      </w:r>
    </w:p>
    <w:p w14:paraId="6F5A5019" w14:textId="77777777" w:rsidR="00F60B2C" w:rsidRPr="00701F32" w:rsidRDefault="00F60B2C" w:rsidP="00F60B2C">
      <w:pPr>
        <w:numPr>
          <w:ilvl w:val="0"/>
          <w:numId w:val="45"/>
        </w:numPr>
        <w:spacing w:after="160" w:line="259" w:lineRule="auto"/>
        <w:contextualSpacing/>
        <w:jc w:val="both"/>
        <w:rPr>
          <w:rFonts w:ascii="Arial" w:eastAsia="Calibri" w:hAnsi="Arial" w:cs="Arial"/>
          <w:noProof/>
          <w:sz w:val="20"/>
        </w:rPr>
      </w:pPr>
      <w:r w:rsidRPr="00701F32">
        <w:rPr>
          <w:rFonts w:ascii="Arial" w:eastAsia="Calibri" w:hAnsi="Arial" w:cs="Arial"/>
          <w:noProof/>
          <w:sz w:val="20"/>
        </w:rPr>
        <w:t>un contrato principal contiene uno o más derivados implicitos.</w:t>
      </w:r>
    </w:p>
    <w:p w14:paraId="76BFB462" w14:textId="77777777" w:rsidR="00F60B2C" w:rsidRPr="00701F32" w:rsidRDefault="00F60B2C" w:rsidP="00F60B2C">
      <w:pPr>
        <w:jc w:val="both"/>
        <w:rPr>
          <w:rFonts w:ascii="Arial" w:eastAsia="Calibri" w:hAnsi="Arial" w:cs="Arial"/>
          <w:noProof/>
          <w:sz w:val="20"/>
        </w:rPr>
      </w:pPr>
    </w:p>
    <w:p w14:paraId="3378039F"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u w:val="single"/>
        </w:rPr>
        <w:t>Contrato de garantía financiera:</w:t>
      </w:r>
      <w:r w:rsidRPr="00701F32">
        <w:rPr>
          <w:rFonts w:ascii="Arial" w:eastAsia="Calibri" w:hAnsi="Arial" w:cs="Arial"/>
          <w:noProof/>
          <w:sz w:val="20"/>
        </w:rPr>
        <w:t xml:space="preserve"> los contratos de garantías son aquellos que requiere que el emisor efectúe pagos específicos para reembolsar al tenedor por la pérdida en la que incurre cuando un deudor específico incumpla su obligación de pago a su vencimiento, de acuerdo con las condiciones, originales o modificadas, de un instrumento de deuda. </w:t>
      </w:r>
    </w:p>
    <w:p w14:paraId="1E2FB385" w14:textId="77777777" w:rsidR="00F60B2C" w:rsidRPr="00701F32" w:rsidRDefault="00F60B2C" w:rsidP="00F60B2C">
      <w:pPr>
        <w:jc w:val="both"/>
        <w:rPr>
          <w:rFonts w:ascii="Arial" w:eastAsia="Calibri" w:hAnsi="Arial" w:cs="Arial"/>
          <w:noProof/>
          <w:sz w:val="20"/>
        </w:rPr>
      </w:pPr>
    </w:p>
    <w:p w14:paraId="2706B71B" w14:textId="77777777"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 xml:space="preserve">Los contratos de garantía financiera y los compromisos de otorgamiento de préstamos a tasa inferior a la de mercado se valúan a valor razonable en primera instancia, para luego realizar una comparación entre el mayor valor de la comisión pendiente de devengar al cierre del ejercicio y la previsión aplicable. </w:t>
      </w:r>
    </w:p>
    <w:p w14:paraId="47AB4CB7" w14:textId="77777777" w:rsidR="00F60B2C" w:rsidRPr="00701F32" w:rsidRDefault="00F60B2C" w:rsidP="00F60B2C">
      <w:pPr>
        <w:jc w:val="both"/>
        <w:rPr>
          <w:rFonts w:ascii="Arial" w:eastAsia="Calibri" w:hAnsi="Arial" w:cs="Arial"/>
          <w:noProof/>
          <w:sz w:val="20"/>
          <w:u w:val="single"/>
        </w:rPr>
      </w:pPr>
    </w:p>
    <w:p w14:paraId="11AAF461" w14:textId="77777777" w:rsidR="00F60B2C" w:rsidRPr="00701F32" w:rsidRDefault="00F60B2C" w:rsidP="00F60B2C">
      <w:pPr>
        <w:jc w:val="both"/>
        <w:rPr>
          <w:rFonts w:ascii="Arial" w:eastAsia="Calibri" w:hAnsi="Arial" w:cs="Arial"/>
          <w:noProof/>
          <w:sz w:val="20"/>
          <w:u w:val="single"/>
        </w:rPr>
      </w:pPr>
      <w:r w:rsidRPr="00701F32">
        <w:rPr>
          <w:rFonts w:ascii="Arial" w:eastAsia="Calibri" w:hAnsi="Arial" w:cs="Arial"/>
          <w:noProof/>
          <w:sz w:val="20"/>
          <w:u w:val="single"/>
        </w:rPr>
        <w:t>Baja de pasivos financieros</w:t>
      </w:r>
    </w:p>
    <w:p w14:paraId="666DF64B" w14:textId="77777777" w:rsidR="00F60B2C" w:rsidRPr="00701F32" w:rsidRDefault="00F60B2C" w:rsidP="00F60B2C">
      <w:pPr>
        <w:jc w:val="both"/>
        <w:rPr>
          <w:rFonts w:ascii="Arial" w:eastAsia="Calibri" w:hAnsi="Arial" w:cs="Arial"/>
          <w:noProof/>
          <w:sz w:val="20"/>
        </w:rPr>
      </w:pPr>
    </w:p>
    <w:p w14:paraId="238E78E9" w14:textId="153FA420" w:rsidR="00F60B2C" w:rsidRPr="00701F32" w:rsidRDefault="00F60B2C" w:rsidP="00F60B2C">
      <w:pPr>
        <w:jc w:val="both"/>
        <w:rPr>
          <w:rFonts w:ascii="Arial" w:eastAsia="Calibri" w:hAnsi="Arial" w:cs="Arial"/>
          <w:noProof/>
          <w:sz w:val="20"/>
        </w:rPr>
      </w:pPr>
      <w:r w:rsidRPr="00701F32">
        <w:rPr>
          <w:rFonts w:ascii="Arial" w:eastAsia="Calibri" w:hAnsi="Arial" w:cs="Arial"/>
          <w:noProof/>
          <w:sz w:val="20"/>
        </w:rPr>
        <w:t xml:space="preserve">La Entidad da de baja los pasivos financieros cuando se hayan extinguido; esto es cuando haya sido cancelado, pagado o expirado el contrato. </w:t>
      </w:r>
      <w:r w:rsidR="00DA7EC6">
        <w:rPr>
          <w:rFonts w:ascii="Arial" w:eastAsia="Calibri" w:hAnsi="Arial" w:cs="Arial"/>
          <w:noProof/>
          <w:sz w:val="20"/>
        </w:rPr>
        <w:t xml:space="preserve">Para los casos de recompra de deuda propia, ver </w:t>
      </w:r>
      <w:r w:rsidR="00C102C6">
        <w:rPr>
          <w:rFonts w:ascii="Arial" w:eastAsia="Calibri" w:hAnsi="Arial" w:cs="Arial"/>
          <w:noProof/>
          <w:sz w:val="20"/>
        </w:rPr>
        <w:t>n</w:t>
      </w:r>
      <w:r w:rsidR="00DA7EC6">
        <w:rPr>
          <w:rFonts w:ascii="Arial" w:eastAsia="Calibri" w:hAnsi="Arial" w:cs="Arial"/>
          <w:noProof/>
          <w:sz w:val="20"/>
        </w:rPr>
        <w:t>ota 1.20.</w:t>
      </w:r>
    </w:p>
    <w:p w14:paraId="2BC13812" w14:textId="77777777" w:rsidR="00F60B2C" w:rsidRPr="00701F32" w:rsidRDefault="00F60B2C" w:rsidP="00F60B2C">
      <w:pPr>
        <w:jc w:val="both"/>
        <w:rPr>
          <w:rFonts w:ascii="Arial" w:hAnsi="Arial" w:cs="Arial"/>
          <w:b/>
          <w:noProof/>
          <w:color w:val="212121"/>
          <w:sz w:val="20"/>
        </w:rPr>
      </w:pPr>
    </w:p>
    <w:p w14:paraId="2E90D193" w14:textId="77777777" w:rsidR="00F60B2C" w:rsidRPr="00701F32" w:rsidRDefault="00F60B2C" w:rsidP="00F60B2C">
      <w:pPr>
        <w:spacing w:after="160"/>
        <w:jc w:val="both"/>
        <w:rPr>
          <w:rFonts w:ascii="Arial" w:hAnsi="Arial" w:cs="Arial"/>
          <w:noProof/>
          <w:color w:val="212121"/>
          <w:sz w:val="20"/>
        </w:rPr>
      </w:pPr>
      <w:r w:rsidRPr="00701F32">
        <w:rPr>
          <w:rFonts w:ascii="Arial" w:hAnsi="Arial" w:cs="Arial"/>
          <w:b/>
          <w:noProof/>
          <w:color w:val="212121"/>
          <w:sz w:val="20"/>
        </w:rPr>
        <w:t xml:space="preserve">1. 8 Instrumentos financieros derivados </w:t>
      </w:r>
    </w:p>
    <w:p w14:paraId="04C4AF60" w14:textId="77777777" w:rsidR="00F60B2C" w:rsidRPr="00701F32" w:rsidRDefault="00F60B2C" w:rsidP="00F60B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color w:val="212121"/>
          <w:sz w:val="20"/>
        </w:rPr>
      </w:pPr>
      <w:r w:rsidRPr="00701F32">
        <w:rPr>
          <w:rFonts w:ascii="Arial" w:hAnsi="Arial" w:cs="Arial"/>
          <w:noProof/>
          <w:color w:val="212121"/>
          <w:sz w:val="20"/>
        </w:rPr>
        <w:t>Los instrumentos financieros derivados, incluidos los contratos de divisas, los futuros de tasas de interés, los contratos a plazo, los swaps de tasas de interés y de divisas, y las opciones sobre divisas y tasas de interés, se registran a su valor razonable.</w:t>
      </w:r>
    </w:p>
    <w:p w14:paraId="0888A77B" w14:textId="77777777" w:rsidR="00F60B2C" w:rsidRPr="00701F32" w:rsidRDefault="00F60B2C" w:rsidP="00F60B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color w:val="212121"/>
          <w:sz w:val="20"/>
        </w:rPr>
      </w:pPr>
    </w:p>
    <w:p w14:paraId="7D8DD699" w14:textId="77777777" w:rsidR="00F60B2C" w:rsidRDefault="00F60B2C" w:rsidP="00F60B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color w:val="212121"/>
          <w:sz w:val="20"/>
        </w:rPr>
      </w:pPr>
      <w:r w:rsidRPr="00701F32">
        <w:rPr>
          <w:rFonts w:ascii="Arial" w:hAnsi="Arial" w:cs="Arial"/>
          <w:noProof/>
          <w:color w:val="212121"/>
          <w:sz w:val="20"/>
        </w:rPr>
        <w:t xml:space="preserve">Todos los instrumentos derivados se contabilizan como activos cuando el valor razonable es positivo y como pasivos cuando el valor razonable es negativo, en relación al precio pactado. Los cambios en el valor razonable de los instrumentos derivados se incluyen en el resultado del ejercicio. </w:t>
      </w:r>
    </w:p>
    <w:p w14:paraId="456E9F45" w14:textId="77777777" w:rsidR="00F60B2C" w:rsidRDefault="00F60B2C" w:rsidP="00F60B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color w:val="212121"/>
          <w:sz w:val="20"/>
        </w:rPr>
      </w:pPr>
    </w:p>
    <w:p w14:paraId="3FE1054A" w14:textId="77777777" w:rsidR="00F60B2C" w:rsidRPr="00701F32" w:rsidRDefault="00F60B2C" w:rsidP="00F60B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noProof/>
          <w:color w:val="212121"/>
          <w:sz w:val="20"/>
        </w:rPr>
      </w:pPr>
      <w:r w:rsidRPr="00EA530F">
        <w:rPr>
          <w:rFonts w:ascii="Arial" w:hAnsi="Arial" w:cs="Arial"/>
          <w:noProof/>
          <w:color w:val="212121"/>
          <w:sz w:val="20"/>
        </w:rPr>
        <w:t>El Banco no aplica la contabilidad de cobertura.</w:t>
      </w:r>
    </w:p>
    <w:p w14:paraId="3694BEF3" w14:textId="77777777" w:rsidR="00F60B2C" w:rsidRPr="00701F32" w:rsidRDefault="00F60B2C" w:rsidP="00F60B2C">
      <w:pPr>
        <w:jc w:val="both"/>
        <w:rPr>
          <w:rFonts w:ascii="Arial" w:eastAsia="Calibri" w:hAnsi="Arial" w:cs="Arial"/>
          <w:b/>
          <w:i/>
          <w:noProof/>
          <w:sz w:val="20"/>
          <w:u w:val="single"/>
        </w:rPr>
      </w:pPr>
    </w:p>
    <w:p w14:paraId="036E4CAB" w14:textId="77777777" w:rsidR="00F60B2C" w:rsidRPr="00654A5D" w:rsidRDefault="00F60B2C" w:rsidP="00F60B2C">
      <w:pPr>
        <w:spacing w:after="160"/>
        <w:jc w:val="both"/>
        <w:rPr>
          <w:rFonts w:ascii="Arial" w:eastAsia="Calibri" w:hAnsi="Arial" w:cs="Arial"/>
          <w:b/>
          <w:sz w:val="20"/>
        </w:rPr>
      </w:pPr>
      <w:r w:rsidRPr="00654A5D">
        <w:rPr>
          <w:rFonts w:ascii="Arial" w:eastAsia="Calibri" w:hAnsi="Arial" w:cs="Arial"/>
          <w:b/>
          <w:sz w:val="20"/>
        </w:rPr>
        <w:t>1.</w:t>
      </w:r>
      <w:r>
        <w:rPr>
          <w:rFonts w:ascii="Arial" w:eastAsia="Calibri" w:hAnsi="Arial" w:cs="Arial"/>
          <w:b/>
          <w:sz w:val="20"/>
        </w:rPr>
        <w:t>9</w:t>
      </w:r>
      <w:r w:rsidRPr="00654A5D">
        <w:rPr>
          <w:rFonts w:ascii="Arial" w:eastAsia="Calibri" w:hAnsi="Arial" w:cs="Arial"/>
          <w:b/>
          <w:sz w:val="20"/>
        </w:rPr>
        <w:t xml:space="preserve"> Operaciones de Pase </w:t>
      </w:r>
    </w:p>
    <w:p w14:paraId="397FEE2D"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Los acuerdos de venta y recompra ("operaciones de pase pasivo"), que efectivamente proporcionan el rendimiento del prestamista a la contraparte, se tratan como transacciones de financiación garantizada. Los valores vendidos bajo tales acuerdos de venta y recompra no se dan de baja en cuentas. Los valores no se reclasifican en el estado de situación financiera a menos que el cesionario tenga el derecho por contrato o costumbre de vender o reponer los valores, en cuyo caso se reclasifican como cuentas por cobrar por recompra. El pasivo correspondiente se presenta dentro del rubro Financiaciones recibidas del B.C.R.A. y otras Instituciones Financieras.</w:t>
      </w:r>
    </w:p>
    <w:p w14:paraId="7BE0F4B5"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Los valores comprados en virtud de acuerdos de reventa ("operaciones de pase activo”), que efectivamente proporcionan el rendimiento del prestamista a la Entidad, se registran como deudas del rubro Financiaciones recibidas del B.C.R.A. y otras Instituciones Financieras.</w:t>
      </w:r>
    </w:p>
    <w:p w14:paraId="0018C516" w14:textId="77777777" w:rsidR="00F60B2C" w:rsidRPr="00701F32" w:rsidRDefault="00F60B2C" w:rsidP="00F60B2C">
      <w:pPr>
        <w:jc w:val="both"/>
        <w:rPr>
          <w:rFonts w:ascii="Arial" w:hAnsi="Arial" w:cs="Arial"/>
          <w:sz w:val="20"/>
        </w:rPr>
      </w:pPr>
      <w:r w:rsidRPr="00701F32">
        <w:rPr>
          <w:rFonts w:ascii="Arial" w:eastAsia="Calibri" w:hAnsi="Arial" w:cs="Arial"/>
          <w:sz w:val="20"/>
        </w:rPr>
        <w:t>La diferencia entre el precio de venta y el precio de recompra o el precio de compra y el precio de reventa, según corresponda, conforman la prima de la operación, la cual se trata como ingresos o egresos por intereses y se devengan durante la vigencia de los acuerdos.</w:t>
      </w:r>
    </w:p>
    <w:p w14:paraId="514D7DE3" w14:textId="77777777" w:rsidR="00F60B2C" w:rsidRPr="00701F32" w:rsidRDefault="00F60B2C" w:rsidP="00F60B2C">
      <w:pPr>
        <w:rPr>
          <w:rFonts w:ascii="Arial" w:eastAsia="Arial" w:hAnsi="Arial" w:cs="Arial"/>
          <w:b/>
          <w:sz w:val="20"/>
        </w:rPr>
      </w:pPr>
    </w:p>
    <w:p w14:paraId="24E33D57" w14:textId="3F68F408" w:rsidR="00F60B2C" w:rsidRPr="00701F32" w:rsidRDefault="00F60B2C" w:rsidP="00F60B2C">
      <w:pPr>
        <w:autoSpaceDE w:val="0"/>
        <w:autoSpaceDN w:val="0"/>
        <w:adjustRightInd w:val="0"/>
        <w:jc w:val="both"/>
        <w:rPr>
          <w:rFonts w:ascii="Arial" w:hAnsi="Arial" w:cs="Arial"/>
          <w:b/>
          <w:bCs/>
          <w:color w:val="000000"/>
          <w:sz w:val="20"/>
        </w:rPr>
      </w:pPr>
      <w:r w:rsidRPr="00701F32">
        <w:rPr>
          <w:rFonts w:ascii="Arial" w:eastAsia="Arial" w:hAnsi="Arial" w:cs="Arial"/>
          <w:b/>
          <w:sz w:val="20"/>
        </w:rPr>
        <w:t>1.1</w:t>
      </w:r>
      <w:r>
        <w:rPr>
          <w:rFonts w:ascii="Arial" w:eastAsia="Arial" w:hAnsi="Arial" w:cs="Arial"/>
          <w:b/>
          <w:sz w:val="20"/>
        </w:rPr>
        <w:t>0</w:t>
      </w:r>
      <w:r w:rsidRPr="00701F32">
        <w:rPr>
          <w:rFonts w:ascii="Arial" w:eastAsia="Arial" w:hAnsi="Arial" w:cs="Arial"/>
          <w:b/>
          <w:sz w:val="20"/>
        </w:rPr>
        <w:t xml:space="preserve"> </w:t>
      </w:r>
      <w:r w:rsidRPr="00701F32">
        <w:rPr>
          <w:rFonts w:ascii="Arial" w:hAnsi="Arial" w:cs="Arial"/>
          <w:b/>
          <w:bCs/>
          <w:color w:val="000000"/>
          <w:sz w:val="20"/>
        </w:rPr>
        <w:t>Préstamos y otras Financiaciones</w:t>
      </w:r>
    </w:p>
    <w:p w14:paraId="3CB50BD8" w14:textId="77777777" w:rsidR="00F60B2C" w:rsidRPr="00701F32" w:rsidRDefault="00F60B2C" w:rsidP="00F60B2C">
      <w:pPr>
        <w:pStyle w:val="Textodebloque"/>
        <w:widowControl w:val="0"/>
        <w:tabs>
          <w:tab w:val="left" w:pos="9356"/>
        </w:tabs>
        <w:spacing w:after="240"/>
        <w:ind w:left="0" w:right="4"/>
        <w:contextualSpacing/>
        <w:jc w:val="both"/>
        <w:rPr>
          <w:rFonts w:ascii="Arial" w:eastAsia="MS Mincho" w:hAnsi="Arial" w:cs="Arial"/>
          <w:b/>
          <w:bCs/>
          <w:iCs/>
          <w:color w:val="000000"/>
          <w:kern w:val="28"/>
          <w:sz w:val="20"/>
        </w:rPr>
      </w:pPr>
    </w:p>
    <w:p w14:paraId="08944420" w14:textId="20183AED" w:rsidR="00F60B2C" w:rsidRPr="004E05ED" w:rsidRDefault="00F60B2C" w:rsidP="00F60B2C">
      <w:pPr>
        <w:pStyle w:val="Textodebloque"/>
        <w:widowControl w:val="0"/>
        <w:tabs>
          <w:tab w:val="left" w:pos="9356"/>
        </w:tabs>
        <w:spacing w:after="240"/>
        <w:ind w:left="0" w:right="4"/>
        <w:contextualSpacing/>
        <w:jc w:val="both"/>
        <w:rPr>
          <w:rFonts w:ascii="Arial" w:hAnsi="Arial" w:cs="Arial"/>
          <w:i/>
          <w:color w:val="000000"/>
          <w:sz w:val="20"/>
        </w:rPr>
      </w:pPr>
      <w:r w:rsidRPr="004E05ED">
        <w:rPr>
          <w:rFonts w:ascii="Arial" w:hAnsi="Arial" w:cs="Arial"/>
          <w:color w:val="000000"/>
          <w:sz w:val="20"/>
        </w:rPr>
        <w:t xml:space="preserve">La reglamentación establecida por el B.C.R.A sobre clasificación de deuda están destinadas a establecer pautas claras para identificar y clasificar la calidad de los activos, como también evaluar el riesgo real o potencial de pérdidas sobre el capital o los intereses, para determinar (tomando en cuenta las garantías), si las previsiones afectadas a tales contingencias son adecuadas. La Entidad debe clasificar su cartera de préstamos en dos categorías diferentes: (i) préstamos para el consumo o la vivienda, y (ii) préstamos comerciales. Los préstamos para el consumo o la vivienda incluyen préstamos para la vivienda, préstamos para el consumo (incluyendo financiamientos a través de tarjetas de crédito), préstamos de hasta </w:t>
      </w:r>
      <w:r w:rsidR="00DA7EC6">
        <w:rPr>
          <w:rFonts w:ascii="Arial" w:hAnsi="Arial" w:cs="Arial"/>
          <w:color w:val="000000"/>
          <w:sz w:val="20"/>
        </w:rPr>
        <w:t xml:space="preserve">$ </w:t>
      </w:r>
      <w:r>
        <w:rPr>
          <w:rFonts w:ascii="Arial" w:hAnsi="Arial" w:cs="Arial"/>
          <w:color w:val="000000"/>
          <w:sz w:val="20"/>
        </w:rPr>
        <w:t>19.800</w:t>
      </w:r>
      <w:r w:rsidRPr="004E05ED">
        <w:rPr>
          <w:rFonts w:ascii="Arial" w:hAnsi="Arial" w:cs="Arial"/>
          <w:color w:val="000000"/>
          <w:sz w:val="20"/>
        </w:rPr>
        <w:t xml:space="preserve"> a Instituciones de Microcrédito y microemprendedores, y otros tipos de préstamos comerciales de hasta </w:t>
      </w:r>
      <w:r w:rsidR="00DA7EC6">
        <w:rPr>
          <w:rFonts w:ascii="Arial" w:hAnsi="Arial" w:cs="Arial"/>
          <w:color w:val="000000"/>
          <w:sz w:val="20"/>
        </w:rPr>
        <w:t xml:space="preserve">$ </w:t>
      </w:r>
      <w:r>
        <w:rPr>
          <w:rFonts w:ascii="Arial" w:hAnsi="Arial" w:cs="Arial"/>
          <w:color w:val="000000"/>
          <w:sz w:val="20"/>
        </w:rPr>
        <w:t>19.800</w:t>
      </w:r>
      <w:r w:rsidRPr="004E05ED">
        <w:rPr>
          <w:rFonts w:ascii="Arial" w:hAnsi="Arial" w:cs="Arial"/>
          <w:color w:val="000000"/>
          <w:sz w:val="20"/>
        </w:rPr>
        <w:t xml:space="preserve"> con o sin garantías. Todos los demás préstamos son considerados préstamos comerciales. Los préstamos para el consumo o la vivienda superiores a </w:t>
      </w:r>
      <w:r w:rsidR="00DA7EC6">
        <w:rPr>
          <w:rFonts w:ascii="Arial" w:hAnsi="Arial" w:cs="Arial"/>
          <w:color w:val="000000"/>
          <w:sz w:val="20"/>
        </w:rPr>
        <w:t xml:space="preserve">$ </w:t>
      </w:r>
      <w:r>
        <w:rPr>
          <w:rFonts w:ascii="Arial" w:hAnsi="Arial" w:cs="Arial"/>
          <w:color w:val="000000"/>
          <w:sz w:val="20"/>
        </w:rPr>
        <w:t>19.800</w:t>
      </w:r>
      <w:r w:rsidRPr="004E05ED">
        <w:rPr>
          <w:rFonts w:ascii="Arial" w:hAnsi="Arial" w:cs="Arial"/>
          <w:color w:val="000000"/>
          <w:sz w:val="20"/>
        </w:rPr>
        <w:t xml:space="preserve"> cuyo repago se encuentre vinculado a la evolución de su actividad productiva o comercial, son clasificados como préstamos comerciales. </w:t>
      </w:r>
    </w:p>
    <w:p w14:paraId="3B062D42" w14:textId="77777777" w:rsidR="00F60B2C" w:rsidRPr="004E05ED" w:rsidRDefault="00F60B2C" w:rsidP="00F60B2C">
      <w:pPr>
        <w:pStyle w:val="Textodebloque"/>
        <w:widowControl w:val="0"/>
        <w:tabs>
          <w:tab w:val="left" w:pos="9356"/>
        </w:tabs>
        <w:spacing w:after="240"/>
        <w:ind w:left="0" w:right="4"/>
        <w:contextualSpacing/>
        <w:jc w:val="both"/>
        <w:rPr>
          <w:rFonts w:ascii="Arial" w:hAnsi="Arial" w:cs="Arial"/>
          <w:i/>
          <w:color w:val="000000"/>
          <w:sz w:val="20"/>
        </w:rPr>
      </w:pPr>
    </w:p>
    <w:p w14:paraId="77030834" w14:textId="121AA46C" w:rsidR="00F60B2C" w:rsidRPr="004E05ED" w:rsidRDefault="00F60B2C" w:rsidP="00F60B2C">
      <w:pPr>
        <w:pStyle w:val="Textodebloque"/>
        <w:widowControl w:val="0"/>
        <w:tabs>
          <w:tab w:val="left" w:pos="9356"/>
        </w:tabs>
        <w:spacing w:after="240"/>
        <w:ind w:left="0" w:right="4"/>
        <w:contextualSpacing/>
        <w:jc w:val="both"/>
        <w:rPr>
          <w:rFonts w:ascii="Arial" w:hAnsi="Arial" w:cs="Arial"/>
          <w:i/>
          <w:color w:val="000000"/>
          <w:sz w:val="20"/>
        </w:rPr>
      </w:pPr>
      <w:r w:rsidRPr="004E05ED">
        <w:rPr>
          <w:rFonts w:ascii="Arial" w:hAnsi="Arial" w:cs="Arial"/>
          <w:color w:val="000000"/>
          <w:sz w:val="20"/>
        </w:rPr>
        <w:t xml:space="preserve">A opción de la Entidad, las financiaciones de naturaleza comercial de hasta </w:t>
      </w:r>
      <w:r w:rsidR="00DA7EC6">
        <w:rPr>
          <w:rFonts w:ascii="Arial" w:hAnsi="Arial" w:cs="Arial"/>
          <w:color w:val="000000"/>
          <w:sz w:val="20"/>
        </w:rPr>
        <w:t xml:space="preserve">$ </w:t>
      </w:r>
      <w:r>
        <w:rPr>
          <w:rFonts w:ascii="Arial" w:hAnsi="Arial" w:cs="Arial"/>
          <w:color w:val="000000"/>
          <w:sz w:val="20"/>
        </w:rPr>
        <w:t>19.800</w:t>
      </w:r>
      <w:r w:rsidRPr="004E05ED">
        <w:rPr>
          <w:rFonts w:ascii="Arial" w:hAnsi="Arial" w:cs="Arial"/>
          <w:color w:val="000000"/>
          <w:sz w:val="20"/>
        </w:rPr>
        <w:t xml:space="preserve">, que cuenten o no con garantías preferidas, pueden agruparse junto con los créditos para consumo o vivienda, en cuyo caso reciben el tratamiento previsto para estos últimos. Si un cliente tiene ambas clases de préstamos (préstamos comerciales y para el consumo o la vivienda), los préstamos para el consumo o vivienda se incorporan a la cartera comercial para determinar bajo qué cartera deben ser clasificados basados en el monto indicado. En estos casos, los préstamos garantizados con garantías preferidas se ponderan al 50% de su valor nominal. </w:t>
      </w:r>
    </w:p>
    <w:p w14:paraId="4A5E9AD1" w14:textId="77777777" w:rsidR="00F60B2C" w:rsidRPr="004E05ED" w:rsidRDefault="00F60B2C" w:rsidP="00F60B2C">
      <w:pPr>
        <w:pStyle w:val="Textodebloque"/>
        <w:widowControl w:val="0"/>
        <w:tabs>
          <w:tab w:val="left" w:pos="9356"/>
        </w:tabs>
        <w:spacing w:after="240"/>
        <w:ind w:left="0" w:right="4"/>
        <w:contextualSpacing/>
        <w:jc w:val="both"/>
        <w:rPr>
          <w:rFonts w:ascii="Arial" w:hAnsi="Arial" w:cs="Arial"/>
          <w:i/>
          <w:color w:val="000000"/>
          <w:sz w:val="20"/>
        </w:rPr>
      </w:pPr>
    </w:p>
    <w:p w14:paraId="2A661B5E" w14:textId="77777777" w:rsidR="00F60B2C" w:rsidRPr="004E05ED" w:rsidRDefault="00F60B2C" w:rsidP="00F60B2C">
      <w:pPr>
        <w:pStyle w:val="Textodebloque"/>
        <w:widowControl w:val="0"/>
        <w:spacing w:after="240"/>
        <w:ind w:left="0" w:right="4"/>
        <w:contextualSpacing/>
        <w:jc w:val="both"/>
        <w:rPr>
          <w:rFonts w:ascii="Arial" w:hAnsi="Arial" w:cs="Arial"/>
          <w:i/>
          <w:color w:val="000000"/>
          <w:sz w:val="20"/>
        </w:rPr>
      </w:pPr>
      <w:r w:rsidRPr="004E05ED">
        <w:rPr>
          <w:rFonts w:ascii="Arial" w:hAnsi="Arial" w:cs="Arial"/>
          <w:color w:val="000000"/>
          <w:sz w:val="20"/>
        </w:rPr>
        <w:t>Bajo este sistema de clasificación, cada cliente, como también sus deudas pendientes, son incluidos dentro de una de seis sub-categorías. Los criterios de clasificación de deuda aplicados a la cartera de préstamos para el consumo están basados primordialmente en factores objetivos relacionados con el cumplimiento de las obligaciones por parte del cliente o en su situación legal, mientras que el criterio clave para clasificar la cartera de préstamos de naturaleza comercial lo constituye la capacidad de pago de cada cliente, basado en su flujo de efectivo futuro.</w:t>
      </w:r>
    </w:p>
    <w:p w14:paraId="2A34BE04" w14:textId="77777777" w:rsidR="00F60B2C" w:rsidRPr="004E05ED" w:rsidRDefault="00F60B2C" w:rsidP="00F60B2C">
      <w:pPr>
        <w:pStyle w:val="Textodebloque"/>
        <w:widowControl w:val="0"/>
        <w:spacing w:after="240"/>
        <w:ind w:left="0" w:right="4"/>
        <w:contextualSpacing/>
        <w:jc w:val="both"/>
        <w:rPr>
          <w:rFonts w:ascii="Arial" w:hAnsi="Arial" w:cs="Arial"/>
          <w:i/>
          <w:color w:val="000000"/>
          <w:sz w:val="20"/>
        </w:rPr>
      </w:pPr>
    </w:p>
    <w:p w14:paraId="446A6343" w14:textId="77777777" w:rsidR="00F60B2C" w:rsidRPr="004E05ED" w:rsidRDefault="00F60B2C" w:rsidP="00F60B2C">
      <w:pPr>
        <w:pStyle w:val="Textodebloque"/>
        <w:widowControl w:val="0"/>
        <w:tabs>
          <w:tab w:val="left" w:pos="9356"/>
        </w:tabs>
        <w:spacing w:after="240"/>
        <w:ind w:left="0" w:right="4"/>
        <w:contextualSpacing/>
        <w:jc w:val="both"/>
        <w:rPr>
          <w:rFonts w:ascii="Arial" w:hAnsi="Arial" w:cs="Arial"/>
          <w:b/>
          <w:color w:val="000000"/>
          <w:sz w:val="20"/>
        </w:rPr>
      </w:pPr>
      <w:r w:rsidRPr="004E05ED">
        <w:rPr>
          <w:rFonts w:ascii="Arial" w:hAnsi="Arial" w:cs="Arial"/>
          <w:b/>
          <w:color w:val="000000"/>
          <w:sz w:val="20"/>
        </w:rPr>
        <w:t>Clasificación de préstamos comerciales</w:t>
      </w:r>
    </w:p>
    <w:p w14:paraId="406EE9F1" w14:textId="77777777" w:rsidR="00F60B2C" w:rsidRPr="004E05ED" w:rsidRDefault="00F60B2C" w:rsidP="00F60B2C">
      <w:pPr>
        <w:pStyle w:val="Textodebloque"/>
        <w:widowControl w:val="0"/>
        <w:tabs>
          <w:tab w:val="left" w:pos="9356"/>
        </w:tabs>
        <w:spacing w:after="240"/>
        <w:ind w:left="0" w:right="4"/>
        <w:contextualSpacing/>
        <w:jc w:val="both"/>
        <w:rPr>
          <w:rFonts w:ascii="Arial" w:hAnsi="Arial" w:cs="Arial"/>
          <w:b/>
          <w:color w:val="000000"/>
          <w:sz w:val="20"/>
        </w:rPr>
      </w:pPr>
    </w:p>
    <w:p w14:paraId="7A118BE7" w14:textId="77777777" w:rsidR="00F60B2C" w:rsidRPr="004E05ED" w:rsidRDefault="00F60B2C" w:rsidP="00F60B2C">
      <w:pPr>
        <w:pStyle w:val="Textodebloque"/>
        <w:widowControl w:val="0"/>
        <w:tabs>
          <w:tab w:val="left" w:pos="9356"/>
        </w:tabs>
        <w:spacing w:after="240"/>
        <w:ind w:left="0" w:right="4"/>
        <w:contextualSpacing/>
        <w:jc w:val="both"/>
        <w:rPr>
          <w:rFonts w:ascii="Arial" w:hAnsi="Arial" w:cs="Arial"/>
          <w:i/>
          <w:color w:val="000000"/>
          <w:sz w:val="20"/>
        </w:rPr>
      </w:pPr>
      <w:r w:rsidRPr="004E05ED">
        <w:rPr>
          <w:rFonts w:ascii="Arial" w:hAnsi="Arial" w:cs="Arial"/>
          <w:color w:val="000000"/>
          <w:sz w:val="20"/>
        </w:rPr>
        <w:t>El criterio principal utilizado por la Entidad para evaluar un préstamo perteneciente a la cartera comercial es la capacidad de su prestatario para reembolsarlo, la cual se mide principalmente por el flujo de efectivo futuro de dicho prestatario. De acuerdo con las normas B.C.R.A, los préstamos comerciales son clasificados del siguiente modo:</w:t>
      </w:r>
    </w:p>
    <w:p w14:paraId="0E311674" w14:textId="77777777" w:rsidR="00F60B2C" w:rsidRPr="004E05ED" w:rsidRDefault="00F60B2C" w:rsidP="00F60B2C">
      <w:pPr>
        <w:pStyle w:val="Textodebloque"/>
        <w:widowControl w:val="0"/>
        <w:tabs>
          <w:tab w:val="left" w:pos="9356"/>
        </w:tabs>
        <w:spacing w:after="240"/>
        <w:ind w:left="0" w:right="4"/>
        <w:contextualSpacing/>
        <w:jc w:val="both"/>
        <w:rPr>
          <w:rFonts w:ascii="Arial" w:hAnsi="Arial" w:cs="Arial"/>
          <w:i/>
          <w:color w:val="000000"/>
          <w:sz w:val="20"/>
        </w:rPr>
      </w:pPr>
    </w:p>
    <w:tbl>
      <w:tblPr>
        <w:tblW w:w="8405" w:type="dxa"/>
        <w:jc w:val="center"/>
        <w:tblLayout w:type="fixed"/>
        <w:tblLook w:val="0000" w:firstRow="0" w:lastRow="0" w:firstColumn="0" w:lastColumn="0" w:noHBand="0" w:noVBand="0"/>
      </w:tblPr>
      <w:tblGrid>
        <w:gridCol w:w="2158"/>
        <w:gridCol w:w="6247"/>
      </w:tblGrid>
      <w:tr w:rsidR="00F60B2C" w:rsidRPr="004E05ED" w14:paraId="2774F6F1" w14:textId="77777777" w:rsidTr="00F60B2C">
        <w:trPr>
          <w:tblHeader/>
          <w:jc w:val="center"/>
        </w:trPr>
        <w:tc>
          <w:tcPr>
            <w:tcW w:w="2158" w:type="dxa"/>
            <w:tcBorders>
              <w:bottom w:val="single" w:sz="4" w:space="0" w:color="auto"/>
            </w:tcBorders>
          </w:tcPr>
          <w:p w14:paraId="0C372B99" w14:textId="77777777" w:rsidR="00F60B2C" w:rsidRPr="004E05ED" w:rsidRDefault="00F60B2C" w:rsidP="00F60B2C">
            <w:pPr>
              <w:widowControl w:val="0"/>
              <w:contextualSpacing/>
              <w:jc w:val="both"/>
              <w:rPr>
                <w:rFonts w:ascii="Arial" w:hAnsi="Arial" w:cs="Arial"/>
                <w:b/>
                <w:color w:val="000000"/>
                <w:sz w:val="20"/>
              </w:rPr>
            </w:pPr>
            <w:r w:rsidRPr="004E05ED">
              <w:rPr>
                <w:rFonts w:ascii="Arial" w:hAnsi="Arial" w:cs="Arial"/>
                <w:b/>
                <w:color w:val="000000"/>
                <w:sz w:val="20"/>
              </w:rPr>
              <w:t>Clasificación</w:t>
            </w:r>
          </w:p>
        </w:tc>
        <w:tc>
          <w:tcPr>
            <w:tcW w:w="6247" w:type="dxa"/>
            <w:tcBorders>
              <w:bottom w:val="single" w:sz="4" w:space="0" w:color="auto"/>
            </w:tcBorders>
          </w:tcPr>
          <w:p w14:paraId="3B903CB0" w14:textId="77777777" w:rsidR="00F60B2C" w:rsidRPr="004E05ED" w:rsidRDefault="00F60B2C" w:rsidP="00F60B2C">
            <w:pPr>
              <w:widowControl w:val="0"/>
              <w:contextualSpacing/>
              <w:jc w:val="both"/>
              <w:rPr>
                <w:rFonts w:ascii="Arial" w:hAnsi="Arial" w:cs="Arial"/>
                <w:b/>
                <w:color w:val="000000"/>
                <w:sz w:val="20"/>
              </w:rPr>
            </w:pPr>
            <w:r w:rsidRPr="004E05ED">
              <w:rPr>
                <w:rFonts w:ascii="Arial" w:hAnsi="Arial" w:cs="Arial"/>
                <w:b/>
                <w:color w:val="000000"/>
                <w:sz w:val="20"/>
              </w:rPr>
              <w:t>Criterios</w:t>
            </w:r>
          </w:p>
        </w:tc>
      </w:tr>
      <w:tr w:rsidR="00F60B2C" w:rsidRPr="004E05ED" w14:paraId="7D48AA18" w14:textId="77777777" w:rsidTr="00F60B2C">
        <w:trPr>
          <w:jc w:val="center"/>
        </w:trPr>
        <w:tc>
          <w:tcPr>
            <w:tcW w:w="2158" w:type="dxa"/>
            <w:tcBorders>
              <w:top w:val="single" w:sz="4" w:space="0" w:color="auto"/>
            </w:tcBorders>
          </w:tcPr>
          <w:p w14:paraId="4D324E92" w14:textId="77777777" w:rsidR="00F60B2C" w:rsidRPr="004E05ED" w:rsidRDefault="00F60B2C" w:rsidP="006E1AF7">
            <w:pPr>
              <w:widowControl w:val="0"/>
              <w:contextualSpacing/>
              <w:rPr>
                <w:rFonts w:ascii="Arial" w:hAnsi="Arial" w:cs="Arial"/>
                <w:color w:val="000000"/>
                <w:sz w:val="20"/>
              </w:rPr>
            </w:pPr>
          </w:p>
          <w:p w14:paraId="1DFD1AC5" w14:textId="77777777" w:rsidR="00F60B2C" w:rsidRPr="004E05ED" w:rsidRDefault="00F60B2C" w:rsidP="006E1AF7">
            <w:pPr>
              <w:widowControl w:val="0"/>
              <w:contextualSpacing/>
              <w:rPr>
                <w:rFonts w:ascii="Arial" w:hAnsi="Arial" w:cs="Arial"/>
                <w:color w:val="000000"/>
                <w:sz w:val="20"/>
              </w:rPr>
            </w:pPr>
            <w:r w:rsidRPr="004E05ED">
              <w:rPr>
                <w:rFonts w:ascii="Arial" w:hAnsi="Arial" w:cs="Arial"/>
                <w:color w:val="000000"/>
                <w:sz w:val="20"/>
              </w:rPr>
              <w:t>En situación normal</w:t>
            </w:r>
          </w:p>
        </w:tc>
        <w:tc>
          <w:tcPr>
            <w:tcW w:w="6247" w:type="dxa"/>
            <w:tcBorders>
              <w:top w:val="single" w:sz="4" w:space="0" w:color="auto"/>
            </w:tcBorders>
          </w:tcPr>
          <w:p w14:paraId="11F8C858" w14:textId="77777777" w:rsidR="00F60B2C" w:rsidRPr="004E05ED" w:rsidRDefault="00F60B2C" w:rsidP="00F60B2C">
            <w:pPr>
              <w:widowControl w:val="0"/>
              <w:contextualSpacing/>
              <w:jc w:val="both"/>
              <w:rPr>
                <w:rFonts w:ascii="Arial" w:hAnsi="Arial" w:cs="Arial"/>
                <w:color w:val="000000"/>
                <w:sz w:val="20"/>
              </w:rPr>
            </w:pPr>
          </w:p>
          <w:p w14:paraId="102A841B"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Deudores respecto de los que no existen dudas respecto de su capacidad para cumplir con sus obligaciones de pago.</w:t>
            </w:r>
          </w:p>
          <w:p w14:paraId="4A1AB2C2" w14:textId="77777777" w:rsidR="00F60B2C" w:rsidRPr="004E05ED" w:rsidRDefault="00F60B2C" w:rsidP="00F60B2C">
            <w:pPr>
              <w:widowControl w:val="0"/>
              <w:contextualSpacing/>
              <w:jc w:val="both"/>
              <w:outlineLvl w:val="2"/>
              <w:rPr>
                <w:rFonts w:ascii="Arial" w:hAnsi="Arial" w:cs="Arial"/>
                <w:color w:val="000000"/>
                <w:sz w:val="20"/>
              </w:rPr>
            </w:pPr>
          </w:p>
        </w:tc>
      </w:tr>
      <w:tr w:rsidR="00F60B2C" w:rsidRPr="004E05ED" w14:paraId="5A1C8B06" w14:textId="77777777" w:rsidTr="00F60B2C">
        <w:trPr>
          <w:jc w:val="center"/>
        </w:trPr>
        <w:tc>
          <w:tcPr>
            <w:tcW w:w="2158" w:type="dxa"/>
          </w:tcPr>
          <w:p w14:paraId="67B250F4" w14:textId="77777777" w:rsidR="00F60B2C" w:rsidRPr="004E05ED" w:rsidRDefault="00F60B2C" w:rsidP="006E1AF7">
            <w:pPr>
              <w:widowControl w:val="0"/>
              <w:contextualSpacing/>
              <w:rPr>
                <w:rFonts w:ascii="Arial" w:hAnsi="Arial" w:cs="Arial"/>
                <w:color w:val="000000"/>
                <w:sz w:val="20"/>
              </w:rPr>
            </w:pPr>
            <w:r w:rsidRPr="004E05ED">
              <w:rPr>
                <w:rFonts w:ascii="Arial" w:hAnsi="Arial" w:cs="Arial"/>
                <w:color w:val="000000"/>
                <w:sz w:val="20"/>
              </w:rPr>
              <w:t>Con seguimiento especial /En observación</w:t>
            </w:r>
          </w:p>
        </w:tc>
        <w:tc>
          <w:tcPr>
            <w:tcW w:w="6247" w:type="dxa"/>
          </w:tcPr>
          <w:p w14:paraId="3ED892C2"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Los deudores cuya mora supera los 90 días, entre otros criterios, aunque son considerados capaces de hacer frente a todas sus obligaciones financieras, son sensibles a los cambios que puedan comprometer su capacidad para honrar deudas en ausencia de medidas correctivas oportunas.</w:t>
            </w:r>
          </w:p>
          <w:p w14:paraId="1582E875" w14:textId="77777777" w:rsidR="00F60B2C" w:rsidRPr="004E05ED" w:rsidRDefault="00F60B2C" w:rsidP="00F60B2C">
            <w:pPr>
              <w:widowControl w:val="0"/>
              <w:contextualSpacing/>
              <w:jc w:val="both"/>
              <w:outlineLvl w:val="2"/>
              <w:rPr>
                <w:rFonts w:ascii="Arial" w:hAnsi="Arial" w:cs="Arial"/>
                <w:color w:val="000000"/>
                <w:sz w:val="20"/>
              </w:rPr>
            </w:pPr>
          </w:p>
        </w:tc>
      </w:tr>
      <w:tr w:rsidR="00F60B2C" w:rsidRPr="004E05ED" w14:paraId="1EA5204E" w14:textId="77777777" w:rsidTr="00F60B2C">
        <w:trPr>
          <w:jc w:val="center"/>
        </w:trPr>
        <w:tc>
          <w:tcPr>
            <w:tcW w:w="2158" w:type="dxa"/>
          </w:tcPr>
          <w:p w14:paraId="140E39B4" w14:textId="77777777" w:rsidR="00F60B2C" w:rsidRPr="004E05ED" w:rsidRDefault="00F60B2C" w:rsidP="006E1AF7">
            <w:pPr>
              <w:widowControl w:val="0"/>
              <w:contextualSpacing/>
              <w:rPr>
                <w:rFonts w:ascii="Arial" w:hAnsi="Arial" w:cs="Arial"/>
                <w:color w:val="000000"/>
                <w:sz w:val="20"/>
              </w:rPr>
            </w:pPr>
            <w:r w:rsidRPr="004E05ED">
              <w:rPr>
                <w:rFonts w:ascii="Arial" w:hAnsi="Arial" w:cs="Arial"/>
                <w:color w:val="000000"/>
                <w:sz w:val="20"/>
              </w:rPr>
              <w:t>Bajo seguimiento especial / en negociación o con acuerdos de refinanciación.</w:t>
            </w:r>
          </w:p>
        </w:tc>
        <w:tc>
          <w:tcPr>
            <w:tcW w:w="6247" w:type="dxa"/>
          </w:tcPr>
          <w:p w14:paraId="00C85DAD"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sz w:val="20"/>
              </w:rPr>
              <w:t xml:space="preserve">Incluye aquellos clientes que ante la imposibilidad de hacer frente al pago de sus obligaciones en las condiciones pactadas, manifiesten fehacientemente antes de los 60 días contados desde la fecha en que se verificó la mora en el pago de las obligaciones, la intención de refinanciar sus deudas. </w:t>
            </w:r>
            <w:r w:rsidRPr="004E05ED">
              <w:rPr>
                <w:rFonts w:ascii="Arial" w:eastAsia="Calibri" w:hAnsi="Arial" w:cs="Arial"/>
                <w:sz w:val="20"/>
              </w:rPr>
              <w:t>De no haberse alcanzado el acuerdo dentro de los 90 días (si estuvieran involucrados dos entidades prestamistas) o 180 días calendarios (si estuvieran involucrados más de dos entidades prestamistas) después de la fecha de incumplimiento de pago, deberá reclasificarse al deudor en la categoría inferior que corresponda, de acuerdo con los indicadores establecidos para cada nivel.</w:t>
            </w:r>
          </w:p>
          <w:p w14:paraId="21BE5A91" w14:textId="77777777" w:rsidR="00F60B2C" w:rsidRPr="004E05ED" w:rsidRDefault="00F60B2C" w:rsidP="00F60B2C">
            <w:pPr>
              <w:widowControl w:val="0"/>
              <w:contextualSpacing/>
              <w:jc w:val="both"/>
              <w:rPr>
                <w:rFonts w:ascii="Arial" w:hAnsi="Arial" w:cs="Arial"/>
                <w:color w:val="000000"/>
                <w:sz w:val="20"/>
              </w:rPr>
            </w:pPr>
          </w:p>
        </w:tc>
      </w:tr>
      <w:tr w:rsidR="00F60B2C" w:rsidRPr="004E05ED" w14:paraId="1CF87557" w14:textId="77777777" w:rsidTr="00F60B2C">
        <w:trPr>
          <w:jc w:val="center"/>
        </w:trPr>
        <w:tc>
          <w:tcPr>
            <w:tcW w:w="2158" w:type="dxa"/>
          </w:tcPr>
          <w:p w14:paraId="3FD51515" w14:textId="77777777" w:rsidR="00F60B2C" w:rsidRPr="004E05ED" w:rsidRDefault="00F60B2C" w:rsidP="006E1AF7">
            <w:pPr>
              <w:widowControl w:val="0"/>
              <w:contextualSpacing/>
              <w:rPr>
                <w:rFonts w:ascii="Arial" w:hAnsi="Arial" w:cs="Arial"/>
                <w:color w:val="000000"/>
                <w:sz w:val="20"/>
              </w:rPr>
            </w:pPr>
            <w:r w:rsidRPr="004E05ED">
              <w:rPr>
                <w:rFonts w:ascii="Arial" w:hAnsi="Arial" w:cs="Arial"/>
                <w:color w:val="000000"/>
                <w:sz w:val="20"/>
              </w:rPr>
              <w:t>Con problemas</w:t>
            </w:r>
          </w:p>
        </w:tc>
        <w:tc>
          <w:tcPr>
            <w:tcW w:w="6247" w:type="dxa"/>
          </w:tcPr>
          <w:p w14:paraId="6C96A66C"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Deudores con dificultades para cumplir con sus obligaciones financieras en forma regular que, de no ser corregidas, pueden dar como resultado pérdidas para el banco o que  mantengan convenios de pago resultantes de concordatos judiciales o extrajudiciales homologados (incluyendo los acuerdos preventivos extrajudiciales homologados) a vencer.</w:t>
            </w:r>
          </w:p>
          <w:p w14:paraId="6A7B7305" w14:textId="77777777" w:rsidR="00F60B2C" w:rsidRPr="004E05ED" w:rsidRDefault="00F60B2C" w:rsidP="00F60B2C">
            <w:pPr>
              <w:widowControl w:val="0"/>
              <w:contextualSpacing/>
              <w:jc w:val="both"/>
              <w:outlineLvl w:val="2"/>
              <w:rPr>
                <w:rFonts w:ascii="Arial" w:hAnsi="Arial" w:cs="Arial"/>
                <w:color w:val="000000"/>
                <w:sz w:val="20"/>
              </w:rPr>
            </w:pPr>
          </w:p>
        </w:tc>
      </w:tr>
      <w:tr w:rsidR="00F60B2C" w:rsidRPr="004E05ED" w14:paraId="046718B4" w14:textId="77777777" w:rsidTr="00F60B2C">
        <w:trPr>
          <w:jc w:val="center"/>
        </w:trPr>
        <w:tc>
          <w:tcPr>
            <w:tcW w:w="2158" w:type="dxa"/>
          </w:tcPr>
          <w:p w14:paraId="02BA3B03" w14:textId="77777777" w:rsidR="00F60B2C" w:rsidRPr="004E05ED" w:rsidRDefault="00F60B2C" w:rsidP="006E1AF7">
            <w:pPr>
              <w:widowControl w:val="0"/>
              <w:contextualSpacing/>
              <w:rPr>
                <w:rFonts w:ascii="Arial" w:hAnsi="Arial" w:cs="Arial"/>
                <w:color w:val="000000"/>
                <w:sz w:val="20"/>
                <w:lang w:val="es-ES_tradnl"/>
              </w:rPr>
            </w:pPr>
            <w:r w:rsidRPr="004E05ED">
              <w:rPr>
                <w:rFonts w:ascii="Arial" w:hAnsi="Arial" w:cs="Arial"/>
                <w:color w:val="000000"/>
                <w:sz w:val="20"/>
              </w:rPr>
              <w:t>Con alto riesgo de insolvencia</w:t>
            </w:r>
          </w:p>
        </w:tc>
        <w:tc>
          <w:tcPr>
            <w:tcW w:w="6247" w:type="dxa"/>
          </w:tcPr>
          <w:p w14:paraId="3D76A29B" w14:textId="77777777" w:rsidR="00F60B2C" w:rsidRPr="004E05ED" w:rsidRDefault="00F60B2C" w:rsidP="00F60B2C">
            <w:pPr>
              <w:widowControl w:val="0"/>
              <w:contextualSpacing/>
              <w:jc w:val="both"/>
              <w:rPr>
                <w:rFonts w:ascii="Arial" w:hAnsi="Arial" w:cs="Arial"/>
                <w:color w:val="000000"/>
                <w:sz w:val="20"/>
                <w:lang w:val="es-ES_tradnl"/>
              </w:rPr>
            </w:pPr>
            <w:r w:rsidRPr="004E05ED">
              <w:rPr>
                <w:rFonts w:ascii="Arial" w:hAnsi="Arial" w:cs="Arial"/>
                <w:color w:val="000000"/>
                <w:sz w:val="20"/>
              </w:rPr>
              <w:t xml:space="preserve">Deudores con una alta probabilidad de que no cumplan con sus compromisos financieros o hayan solicitado acuerdo preventivo, celebrado un acuerdo preventivo extrajudicial aún no homologado o hayan requerido su quiebra, en tanto no hubiere sido declarada </w:t>
            </w:r>
          </w:p>
          <w:p w14:paraId="0B48D6DA" w14:textId="77777777" w:rsidR="00F60B2C" w:rsidRPr="004E05ED" w:rsidRDefault="00F60B2C" w:rsidP="00F60B2C">
            <w:pPr>
              <w:widowControl w:val="0"/>
              <w:contextualSpacing/>
              <w:jc w:val="both"/>
              <w:outlineLvl w:val="2"/>
              <w:rPr>
                <w:rFonts w:ascii="Arial" w:hAnsi="Arial" w:cs="Arial"/>
                <w:color w:val="000000"/>
                <w:sz w:val="20"/>
              </w:rPr>
            </w:pPr>
          </w:p>
        </w:tc>
      </w:tr>
      <w:tr w:rsidR="00F60B2C" w:rsidRPr="004E05ED" w14:paraId="613F6B90" w14:textId="77777777" w:rsidTr="00F60B2C">
        <w:trPr>
          <w:jc w:val="center"/>
        </w:trPr>
        <w:tc>
          <w:tcPr>
            <w:tcW w:w="2158" w:type="dxa"/>
          </w:tcPr>
          <w:p w14:paraId="022B6B04" w14:textId="77777777" w:rsidR="00F60B2C" w:rsidRPr="004E05ED" w:rsidRDefault="00F60B2C" w:rsidP="006E1AF7">
            <w:pPr>
              <w:widowControl w:val="0"/>
              <w:contextualSpacing/>
              <w:rPr>
                <w:rFonts w:ascii="Arial" w:hAnsi="Arial" w:cs="Arial"/>
                <w:color w:val="000000"/>
                <w:sz w:val="20"/>
                <w:lang w:val="es-ES_tradnl"/>
              </w:rPr>
            </w:pPr>
            <w:r w:rsidRPr="004E05ED">
              <w:rPr>
                <w:rFonts w:ascii="Arial" w:hAnsi="Arial" w:cs="Arial"/>
                <w:color w:val="000000"/>
                <w:sz w:val="20"/>
              </w:rPr>
              <w:t>Irrecuperable</w:t>
            </w:r>
          </w:p>
        </w:tc>
        <w:tc>
          <w:tcPr>
            <w:tcW w:w="6247" w:type="dxa"/>
          </w:tcPr>
          <w:p w14:paraId="56B51FB7" w14:textId="77777777" w:rsidR="00F60B2C" w:rsidRPr="004E05ED" w:rsidRDefault="00F60B2C" w:rsidP="00F60B2C">
            <w:pPr>
              <w:widowControl w:val="0"/>
              <w:contextualSpacing/>
              <w:jc w:val="both"/>
              <w:rPr>
                <w:rFonts w:ascii="Arial" w:hAnsi="Arial" w:cs="Arial"/>
                <w:color w:val="000000"/>
                <w:sz w:val="20"/>
                <w:lang w:val="es-ES_tradnl"/>
              </w:rPr>
            </w:pPr>
            <w:r w:rsidRPr="004E05ED">
              <w:rPr>
                <w:rFonts w:ascii="Arial" w:hAnsi="Arial" w:cs="Arial"/>
                <w:color w:val="000000"/>
                <w:sz w:val="20"/>
              </w:rPr>
              <w:t>Préstamos clasificados como incobrables al momento del análisis (aunque podría existir la posibilidad de que tales préstamos se cobraran en el futuro). Se sostiene que el deudor no cumplirá sus obligaciones financieras con la entidad financiera.Incluye prestamos a deudores insolventes o en quiebra declarada.</w:t>
            </w:r>
          </w:p>
          <w:p w14:paraId="7D8E9036" w14:textId="77777777" w:rsidR="00F60B2C" w:rsidRPr="004E05ED" w:rsidRDefault="00F60B2C" w:rsidP="00F60B2C">
            <w:pPr>
              <w:widowControl w:val="0"/>
              <w:contextualSpacing/>
              <w:jc w:val="both"/>
              <w:outlineLvl w:val="2"/>
              <w:rPr>
                <w:rFonts w:ascii="Arial" w:hAnsi="Arial" w:cs="Arial"/>
                <w:color w:val="000000"/>
                <w:sz w:val="20"/>
              </w:rPr>
            </w:pPr>
          </w:p>
        </w:tc>
      </w:tr>
      <w:tr w:rsidR="00F60B2C" w:rsidRPr="004E05ED" w14:paraId="42CA66BB" w14:textId="77777777" w:rsidTr="00F60B2C">
        <w:trPr>
          <w:jc w:val="center"/>
        </w:trPr>
        <w:tc>
          <w:tcPr>
            <w:tcW w:w="2158" w:type="dxa"/>
          </w:tcPr>
          <w:p w14:paraId="590E6E91" w14:textId="77777777" w:rsidR="00F60B2C" w:rsidRPr="004E05ED" w:rsidRDefault="00F60B2C" w:rsidP="006E1AF7">
            <w:pPr>
              <w:widowControl w:val="0"/>
              <w:contextualSpacing/>
              <w:rPr>
                <w:rFonts w:ascii="Arial" w:hAnsi="Arial" w:cs="Arial"/>
                <w:color w:val="000000"/>
                <w:sz w:val="20"/>
                <w:lang w:val="es-ES_tradnl"/>
              </w:rPr>
            </w:pPr>
            <w:r w:rsidRPr="004E05ED">
              <w:rPr>
                <w:rFonts w:ascii="Arial" w:hAnsi="Arial" w:cs="Arial"/>
                <w:color w:val="000000"/>
                <w:sz w:val="20"/>
              </w:rPr>
              <w:t>Irrecuperable por disposición técnica</w:t>
            </w:r>
          </w:p>
        </w:tc>
        <w:tc>
          <w:tcPr>
            <w:tcW w:w="6247" w:type="dxa"/>
          </w:tcPr>
          <w:p w14:paraId="19B4A92A" w14:textId="77777777" w:rsidR="00F60B2C" w:rsidRPr="004E05ED" w:rsidRDefault="00F60B2C" w:rsidP="00F60B2C">
            <w:pPr>
              <w:pStyle w:val="BodyBullet"/>
              <w:widowControl w:val="0"/>
              <w:jc w:val="both"/>
              <w:rPr>
                <w:rFonts w:ascii="Arial" w:hAnsi="Arial" w:cs="Arial"/>
                <w:color w:val="000000"/>
                <w:lang w:val="es-AR"/>
              </w:rPr>
            </w:pPr>
            <w:r w:rsidRPr="004E05ED">
              <w:rPr>
                <w:rFonts w:ascii="Arial" w:hAnsi="Arial" w:cs="Arial"/>
                <w:color w:val="000000"/>
                <w:lang w:val="es-AR"/>
              </w:rPr>
              <w:t>(a) Un deudor que no ha cumplido con sus obligaciones de pago de un préstamo durante más de 180 días calendario según el informe correspondiente suministrado por el B.C.R.A, incluye (1) las entidades financieras liquidadas por el B.C.R.A, (2) entidades residuales creadas como resultado de la privatización de entidades financieras públicas, o en procesos de privatización o disolución, (3) entidades financieras cuya licencia ha sido revocada por el B.C.R.A y que se encuentran sujetas a liquidación judicial o procedimientos de quiebra, y (4) fideicomisos en los que SEDESA sea beneficiario; o (b) determinada clase de prestatario extranjero (incluyendo bancos u otras entidades financieras que no están sujetos a la supervisión del B.C.R.A o autoridad similar del país en el cual están constituidos) que no cuentan con la calificación internacional de “</w:t>
            </w:r>
            <w:r w:rsidRPr="004E05ED">
              <w:rPr>
                <w:rFonts w:ascii="Arial" w:hAnsi="Arial" w:cs="Arial"/>
                <w:i/>
                <w:color w:val="000000"/>
                <w:lang w:val="es-AR"/>
              </w:rPr>
              <w:t>investment grade</w:t>
            </w:r>
            <w:r w:rsidRPr="004E05ED">
              <w:rPr>
                <w:rFonts w:ascii="Arial" w:hAnsi="Arial" w:cs="Arial"/>
                <w:color w:val="000000"/>
                <w:lang w:val="es-AR"/>
              </w:rPr>
              <w:t>” de cualquiera de las agencias calificadoras de riesgo reconocidas por el B.C.R.A</w:t>
            </w:r>
          </w:p>
        </w:tc>
      </w:tr>
    </w:tbl>
    <w:p w14:paraId="69D3EFCB" w14:textId="77777777" w:rsidR="00F60B2C" w:rsidRPr="004E05ED" w:rsidRDefault="00F60B2C" w:rsidP="00F60B2C">
      <w:pPr>
        <w:pStyle w:val="Textodebloque"/>
        <w:widowControl w:val="0"/>
        <w:tabs>
          <w:tab w:val="left" w:pos="9356"/>
        </w:tabs>
        <w:spacing w:after="240"/>
        <w:ind w:left="0" w:right="6"/>
        <w:contextualSpacing/>
        <w:jc w:val="both"/>
        <w:rPr>
          <w:rFonts w:ascii="Arial" w:hAnsi="Arial" w:cs="Arial"/>
          <w:i/>
          <w:color w:val="000000"/>
          <w:sz w:val="20"/>
        </w:rPr>
      </w:pPr>
    </w:p>
    <w:p w14:paraId="02A3331D" w14:textId="77777777" w:rsidR="00F60B2C" w:rsidRPr="004E05ED" w:rsidRDefault="00F60B2C" w:rsidP="00F60B2C">
      <w:pPr>
        <w:pStyle w:val="Textodebloque"/>
        <w:widowControl w:val="0"/>
        <w:tabs>
          <w:tab w:val="left" w:pos="9356"/>
        </w:tabs>
        <w:spacing w:after="240"/>
        <w:ind w:left="0" w:right="6"/>
        <w:contextualSpacing/>
        <w:jc w:val="both"/>
        <w:rPr>
          <w:rFonts w:ascii="Arial" w:hAnsi="Arial" w:cs="Arial"/>
          <w:b/>
          <w:color w:val="000000"/>
          <w:sz w:val="20"/>
        </w:rPr>
      </w:pPr>
      <w:r w:rsidRPr="004E05ED">
        <w:rPr>
          <w:rFonts w:ascii="Arial" w:hAnsi="Arial" w:cs="Arial"/>
          <w:b/>
          <w:color w:val="000000"/>
          <w:sz w:val="20"/>
        </w:rPr>
        <w:t>Clasificación de préstamos para el consumo y la vivienda</w:t>
      </w:r>
    </w:p>
    <w:p w14:paraId="49EC9662" w14:textId="77777777" w:rsidR="00F60B2C" w:rsidRPr="004E05ED" w:rsidRDefault="00F60B2C" w:rsidP="00F60B2C">
      <w:pPr>
        <w:pStyle w:val="Textodebloque"/>
        <w:widowControl w:val="0"/>
        <w:tabs>
          <w:tab w:val="left" w:pos="9356"/>
        </w:tabs>
        <w:spacing w:after="240"/>
        <w:ind w:left="0" w:right="6"/>
        <w:contextualSpacing/>
        <w:jc w:val="both"/>
        <w:rPr>
          <w:rFonts w:ascii="Arial" w:hAnsi="Arial" w:cs="Arial"/>
          <w:b/>
          <w:color w:val="000000"/>
          <w:sz w:val="20"/>
        </w:rPr>
      </w:pPr>
    </w:p>
    <w:p w14:paraId="145205F3" w14:textId="77777777" w:rsidR="00F60B2C" w:rsidRPr="004E05ED" w:rsidRDefault="00F60B2C" w:rsidP="00F60B2C">
      <w:pPr>
        <w:pStyle w:val="Textodebloque"/>
        <w:widowControl w:val="0"/>
        <w:tabs>
          <w:tab w:val="left" w:pos="9356"/>
        </w:tabs>
        <w:spacing w:after="240"/>
        <w:ind w:left="0" w:right="6"/>
        <w:contextualSpacing/>
        <w:jc w:val="both"/>
        <w:rPr>
          <w:rFonts w:ascii="Arial" w:hAnsi="Arial" w:cs="Arial"/>
          <w:i/>
          <w:color w:val="000000"/>
          <w:sz w:val="20"/>
        </w:rPr>
      </w:pPr>
      <w:r w:rsidRPr="004E05ED">
        <w:rPr>
          <w:rFonts w:ascii="Arial" w:hAnsi="Arial" w:cs="Arial"/>
          <w:color w:val="000000"/>
          <w:sz w:val="20"/>
        </w:rPr>
        <w:t>El principal criterio utilizado en la evaluación de los préstamos en la cartera de préstamos de consumo y la vivienda es el plazo de los incumplimientos. Según las Normas del B.C.R.A, los deudores son clasificados del siguiente modo:</w:t>
      </w:r>
    </w:p>
    <w:p w14:paraId="29BAE550" w14:textId="77777777" w:rsidR="00F60B2C" w:rsidRPr="004E05ED" w:rsidRDefault="00F60B2C" w:rsidP="00F60B2C">
      <w:pPr>
        <w:pStyle w:val="Textodebloque"/>
        <w:widowControl w:val="0"/>
        <w:tabs>
          <w:tab w:val="left" w:pos="9356"/>
        </w:tabs>
        <w:spacing w:after="240"/>
        <w:ind w:left="0" w:right="6"/>
        <w:contextualSpacing/>
        <w:jc w:val="both"/>
        <w:rPr>
          <w:rFonts w:ascii="Arial" w:hAnsi="Arial" w:cs="Arial"/>
          <w:i/>
          <w:color w:val="000000"/>
          <w:sz w:val="20"/>
        </w:rPr>
      </w:pPr>
    </w:p>
    <w:tbl>
      <w:tblPr>
        <w:tblW w:w="8405" w:type="dxa"/>
        <w:jc w:val="center"/>
        <w:tblLayout w:type="fixed"/>
        <w:tblLook w:val="0000" w:firstRow="0" w:lastRow="0" w:firstColumn="0" w:lastColumn="0" w:noHBand="0" w:noVBand="0"/>
      </w:tblPr>
      <w:tblGrid>
        <w:gridCol w:w="2158"/>
        <w:gridCol w:w="25"/>
        <w:gridCol w:w="6189"/>
        <w:gridCol w:w="33"/>
      </w:tblGrid>
      <w:tr w:rsidR="00F60B2C" w:rsidRPr="004E05ED" w14:paraId="66DE33D2" w14:textId="77777777" w:rsidTr="00F60B2C">
        <w:trPr>
          <w:gridAfter w:val="1"/>
          <w:wAfter w:w="33" w:type="dxa"/>
          <w:tblHeader/>
          <w:jc w:val="center"/>
        </w:trPr>
        <w:tc>
          <w:tcPr>
            <w:tcW w:w="2183" w:type="dxa"/>
            <w:gridSpan w:val="2"/>
            <w:tcBorders>
              <w:bottom w:val="single" w:sz="4" w:space="0" w:color="auto"/>
            </w:tcBorders>
          </w:tcPr>
          <w:p w14:paraId="01FC0416" w14:textId="77777777" w:rsidR="00F60B2C" w:rsidRPr="004E05ED" w:rsidRDefault="00F60B2C" w:rsidP="00F60B2C">
            <w:pPr>
              <w:widowControl w:val="0"/>
              <w:contextualSpacing/>
              <w:jc w:val="both"/>
              <w:rPr>
                <w:rFonts w:ascii="Arial" w:hAnsi="Arial" w:cs="Arial"/>
                <w:b/>
                <w:color w:val="000000"/>
                <w:sz w:val="20"/>
              </w:rPr>
            </w:pPr>
            <w:r w:rsidRPr="004E05ED">
              <w:rPr>
                <w:rFonts w:ascii="Arial" w:hAnsi="Arial" w:cs="Arial"/>
                <w:b/>
                <w:color w:val="000000"/>
                <w:sz w:val="20"/>
              </w:rPr>
              <w:t>Clasificación</w:t>
            </w:r>
          </w:p>
        </w:tc>
        <w:tc>
          <w:tcPr>
            <w:tcW w:w="6189" w:type="dxa"/>
            <w:tcBorders>
              <w:bottom w:val="single" w:sz="4" w:space="0" w:color="auto"/>
            </w:tcBorders>
          </w:tcPr>
          <w:p w14:paraId="3C356130" w14:textId="77777777" w:rsidR="00F60B2C" w:rsidRPr="004E05ED" w:rsidRDefault="00F60B2C" w:rsidP="00F60B2C">
            <w:pPr>
              <w:widowControl w:val="0"/>
              <w:contextualSpacing/>
              <w:jc w:val="both"/>
              <w:rPr>
                <w:rFonts w:ascii="Arial" w:hAnsi="Arial" w:cs="Arial"/>
                <w:b/>
                <w:color w:val="000000"/>
                <w:sz w:val="20"/>
              </w:rPr>
            </w:pPr>
            <w:r w:rsidRPr="004E05ED">
              <w:rPr>
                <w:rFonts w:ascii="Arial" w:hAnsi="Arial" w:cs="Arial"/>
                <w:b/>
                <w:color w:val="000000"/>
                <w:sz w:val="20"/>
              </w:rPr>
              <w:t>Criterios</w:t>
            </w:r>
          </w:p>
        </w:tc>
      </w:tr>
      <w:tr w:rsidR="00F60B2C" w:rsidRPr="004E05ED" w14:paraId="7638D361" w14:textId="77777777" w:rsidTr="00F60B2C">
        <w:trPr>
          <w:gridAfter w:val="1"/>
          <w:wAfter w:w="33" w:type="dxa"/>
          <w:jc w:val="center"/>
        </w:trPr>
        <w:tc>
          <w:tcPr>
            <w:tcW w:w="2183" w:type="dxa"/>
            <w:gridSpan w:val="2"/>
            <w:tcBorders>
              <w:top w:val="single" w:sz="4" w:space="0" w:color="auto"/>
            </w:tcBorders>
          </w:tcPr>
          <w:p w14:paraId="7576F7C5" w14:textId="77777777" w:rsidR="00F60B2C" w:rsidRPr="004E05ED" w:rsidRDefault="00F60B2C" w:rsidP="00F60B2C">
            <w:pPr>
              <w:widowControl w:val="0"/>
              <w:contextualSpacing/>
              <w:jc w:val="both"/>
              <w:rPr>
                <w:rFonts w:ascii="Arial" w:hAnsi="Arial" w:cs="Arial"/>
                <w:color w:val="000000"/>
                <w:sz w:val="20"/>
              </w:rPr>
            </w:pPr>
          </w:p>
          <w:p w14:paraId="700C43C3"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Situación normal</w:t>
            </w:r>
          </w:p>
        </w:tc>
        <w:tc>
          <w:tcPr>
            <w:tcW w:w="6189" w:type="dxa"/>
            <w:tcBorders>
              <w:top w:val="single" w:sz="4" w:space="0" w:color="auto"/>
            </w:tcBorders>
          </w:tcPr>
          <w:p w14:paraId="21909224" w14:textId="77777777" w:rsidR="00F60B2C" w:rsidRPr="004E05ED" w:rsidRDefault="00F60B2C" w:rsidP="00F60B2C">
            <w:pPr>
              <w:widowControl w:val="0"/>
              <w:contextualSpacing/>
              <w:jc w:val="both"/>
              <w:rPr>
                <w:rFonts w:ascii="Arial" w:hAnsi="Arial" w:cs="Arial"/>
                <w:color w:val="000000"/>
                <w:sz w:val="20"/>
              </w:rPr>
            </w:pPr>
          </w:p>
          <w:p w14:paraId="4243441F"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cuando existe un cumplimiento puntual o mora menor a  31 días y, en caso de adelantos en cuentas corrientes, mora menor a 61 días.</w:t>
            </w:r>
          </w:p>
          <w:p w14:paraId="29993952" w14:textId="77777777" w:rsidR="00F60B2C" w:rsidRPr="004E05ED" w:rsidRDefault="00F60B2C" w:rsidP="00F60B2C">
            <w:pPr>
              <w:widowControl w:val="0"/>
              <w:contextualSpacing/>
              <w:jc w:val="both"/>
              <w:outlineLvl w:val="2"/>
              <w:rPr>
                <w:rFonts w:ascii="Arial" w:hAnsi="Arial" w:cs="Arial"/>
                <w:color w:val="000000"/>
                <w:sz w:val="20"/>
              </w:rPr>
            </w:pPr>
          </w:p>
        </w:tc>
      </w:tr>
      <w:tr w:rsidR="00F60B2C" w:rsidRPr="004E05ED" w14:paraId="308DED2E" w14:textId="77777777" w:rsidTr="00F60B2C">
        <w:trPr>
          <w:gridAfter w:val="1"/>
          <w:wAfter w:w="33" w:type="dxa"/>
          <w:jc w:val="center"/>
        </w:trPr>
        <w:tc>
          <w:tcPr>
            <w:tcW w:w="2183" w:type="dxa"/>
            <w:gridSpan w:val="2"/>
          </w:tcPr>
          <w:p w14:paraId="7D123336"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Riesgo Bajo</w:t>
            </w:r>
          </w:p>
        </w:tc>
        <w:tc>
          <w:tcPr>
            <w:tcW w:w="6189" w:type="dxa"/>
          </w:tcPr>
          <w:p w14:paraId="3E438BF0" w14:textId="77777777" w:rsidR="00F60B2C" w:rsidRPr="004E05ED" w:rsidRDefault="00F60B2C" w:rsidP="00F60B2C">
            <w:pPr>
              <w:widowControl w:val="0"/>
              <w:contextualSpacing/>
              <w:jc w:val="both"/>
              <w:rPr>
                <w:rFonts w:ascii="Arial" w:hAnsi="Arial" w:cs="Arial"/>
                <w:color w:val="000000"/>
                <w:sz w:val="20"/>
              </w:rPr>
            </w:pPr>
            <w:r w:rsidRPr="004E05ED">
              <w:rPr>
                <w:rFonts w:ascii="Arial" w:eastAsia="Calibri" w:hAnsi="Arial" w:cs="Arial"/>
                <w:sz w:val="20"/>
              </w:rPr>
              <w:t xml:space="preserve">Préstamos de clientes que registran incumplimientos ocasionales en la atención de sus obligaciones, con atrasos de más de 31 hasta 90 días. </w:t>
            </w:r>
          </w:p>
          <w:p w14:paraId="405C50A0" w14:textId="77777777" w:rsidR="00F60B2C" w:rsidRPr="004E05ED" w:rsidRDefault="00F60B2C" w:rsidP="00F60B2C">
            <w:pPr>
              <w:widowControl w:val="0"/>
              <w:contextualSpacing/>
              <w:jc w:val="both"/>
              <w:rPr>
                <w:rFonts w:ascii="Arial" w:hAnsi="Arial" w:cs="Arial"/>
                <w:color w:val="000000"/>
                <w:sz w:val="20"/>
              </w:rPr>
            </w:pPr>
          </w:p>
        </w:tc>
      </w:tr>
      <w:tr w:rsidR="00F60B2C" w:rsidRPr="004E05ED" w14:paraId="2C8B46BD" w14:textId="77777777" w:rsidTr="00F60B2C">
        <w:trPr>
          <w:gridAfter w:val="1"/>
          <w:wAfter w:w="33" w:type="dxa"/>
          <w:jc w:val="center"/>
        </w:trPr>
        <w:tc>
          <w:tcPr>
            <w:tcW w:w="2183" w:type="dxa"/>
            <w:gridSpan w:val="2"/>
          </w:tcPr>
          <w:p w14:paraId="4FD0DC7F"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Riesgo Medio</w:t>
            </w:r>
          </w:p>
        </w:tc>
        <w:tc>
          <w:tcPr>
            <w:tcW w:w="6189" w:type="dxa"/>
          </w:tcPr>
          <w:p w14:paraId="1AA7C55D"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Préstamos en los cuales sus obligaciones de pago están en mora por un período de más de 90 días pero menos de 180 días.</w:t>
            </w:r>
          </w:p>
          <w:p w14:paraId="314B305E" w14:textId="77777777" w:rsidR="00F60B2C" w:rsidRPr="004E05ED" w:rsidRDefault="00F60B2C" w:rsidP="00F60B2C">
            <w:pPr>
              <w:widowControl w:val="0"/>
              <w:contextualSpacing/>
              <w:jc w:val="both"/>
              <w:outlineLvl w:val="2"/>
              <w:rPr>
                <w:rFonts w:ascii="Arial" w:hAnsi="Arial" w:cs="Arial"/>
                <w:color w:val="000000"/>
                <w:sz w:val="20"/>
              </w:rPr>
            </w:pPr>
          </w:p>
        </w:tc>
      </w:tr>
      <w:tr w:rsidR="00F60B2C" w:rsidRPr="004E05ED" w14:paraId="0E20F3E7" w14:textId="77777777" w:rsidTr="00F60B2C">
        <w:trPr>
          <w:gridAfter w:val="1"/>
          <w:wAfter w:w="33" w:type="dxa"/>
          <w:jc w:val="center"/>
        </w:trPr>
        <w:tc>
          <w:tcPr>
            <w:tcW w:w="2183" w:type="dxa"/>
            <w:gridSpan w:val="2"/>
          </w:tcPr>
          <w:p w14:paraId="76258A29"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Riesgo Alto</w:t>
            </w:r>
          </w:p>
        </w:tc>
        <w:tc>
          <w:tcPr>
            <w:tcW w:w="6189" w:type="dxa"/>
          </w:tcPr>
          <w:p w14:paraId="19324E5E"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Préstamos en cuyo respecto se ha entablado una acción judicial de cobro, o préstamos que tengan obligaciones de pago en mora durante más de 180 días pero menos de 365 días.</w:t>
            </w:r>
          </w:p>
          <w:p w14:paraId="39F52F36" w14:textId="77777777" w:rsidR="00F60B2C" w:rsidRPr="004E05ED" w:rsidRDefault="00F60B2C" w:rsidP="00F60B2C">
            <w:pPr>
              <w:widowControl w:val="0"/>
              <w:contextualSpacing/>
              <w:jc w:val="both"/>
              <w:outlineLvl w:val="2"/>
              <w:rPr>
                <w:rFonts w:ascii="Arial" w:hAnsi="Arial" w:cs="Arial"/>
                <w:color w:val="000000"/>
                <w:sz w:val="20"/>
              </w:rPr>
            </w:pPr>
          </w:p>
        </w:tc>
      </w:tr>
      <w:tr w:rsidR="00F60B2C" w:rsidRPr="004E05ED" w14:paraId="7A5A18AB" w14:textId="77777777" w:rsidTr="00F60B2C">
        <w:trPr>
          <w:jc w:val="center"/>
        </w:trPr>
        <w:tc>
          <w:tcPr>
            <w:tcW w:w="2158" w:type="dxa"/>
          </w:tcPr>
          <w:p w14:paraId="21398AC2"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Irrecuperable</w:t>
            </w:r>
          </w:p>
        </w:tc>
        <w:tc>
          <w:tcPr>
            <w:tcW w:w="6247" w:type="dxa"/>
            <w:gridSpan w:val="3"/>
          </w:tcPr>
          <w:p w14:paraId="378D03E7"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Préstamos a clientes insolventes, en gestión judicial o quiebra, con nula o escasa posibilidad de recuperación o con mora superior a 365 dias.</w:t>
            </w:r>
          </w:p>
          <w:p w14:paraId="37DB7D13" w14:textId="77777777" w:rsidR="00F60B2C" w:rsidRPr="004E05ED" w:rsidRDefault="00F60B2C" w:rsidP="00F60B2C">
            <w:pPr>
              <w:widowControl w:val="0"/>
              <w:contextualSpacing/>
              <w:jc w:val="both"/>
              <w:outlineLvl w:val="2"/>
              <w:rPr>
                <w:rFonts w:ascii="Arial" w:hAnsi="Arial" w:cs="Arial"/>
                <w:color w:val="000000"/>
                <w:sz w:val="20"/>
              </w:rPr>
            </w:pPr>
          </w:p>
        </w:tc>
      </w:tr>
      <w:tr w:rsidR="00F60B2C" w:rsidRPr="004E05ED" w14:paraId="4A553272" w14:textId="77777777" w:rsidTr="00F60B2C">
        <w:trPr>
          <w:gridAfter w:val="1"/>
          <w:wAfter w:w="33" w:type="dxa"/>
          <w:jc w:val="center"/>
        </w:trPr>
        <w:tc>
          <w:tcPr>
            <w:tcW w:w="2183" w:type="dxa"/>
            <w:gridSpan w:val="2"/>
          </w:tcPr>
          <w:p w14:paraId="6D713EFF"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 xml:space="preserve">Irrecuperable </w:t>
            </w:r>
          </w:p>
          <w:p w14:paraId="2C8AA59D" w14:textId="77777777" w:rsidR="00F60B2C" w:rsidRPr="004E05ED" w:rsidRDefault="00F60B2C" w:rsidP="00A059FB">
            <w:pPr>
              <w:widowControl w:val="0"/>
              <w:contextualSpacing/>
              <w:rPr>
                <w:rFonts w:ascii="Arial" w:hAnsi="Arial" w:cs="Arial"/>
                <w:color w:val="000000"/>
                <w:sz w:val="20"/>
              </w:rPr>
            </w:pPr>
            <w:r w:rsidRPr="004E05ED">
              <w:rPr>
                <w:rFonts w:ascii="Arial" w:hAnsi="Arial" w:cs="Arial"/>
                <w:color w:val="000000"/>
                <w:sz w:val="20"/>
              </w:rPr>
              <w:t xml:space="preserve">por disposición técnica </w:t>
            </w:r>
          </w:p>
        </w:tc>
        <w:tc>
          <w:tcPr>
            <w:tcW w:w="6189" w:type="dxa"/>
          </w:tcPr>
          <w:p w14:paraId="5E003DF1" w14:textId="77777777" w:rsidR="00F60B2C" w:rsidRPr="004E05ED" w:rsidRDefault="00F60B2C" w:rsidP="00F60B2C">
            <w:pPr>
              <w:widowControl w:val="0"/>
              <w:contextualSpacing/>
              <w:jc w:val="both"/>
              <w:rPr>
                <w:rFonts w:ascii="Arial" w:hAnsi="Arial" w:cs="Arial"/>
                <w:color w:val="000000"/>
                <w:sz w:val="20"/>
              </w:rPr>
            </w:pPr>
            <w:r w:rsidRPr="004E05ED">
              <w:rPr>
                <w:rFonts w:ascii="Arial" w:hAnsi="Arial" w:cs="Arial"/>
                <w:color w:val="000000"/>
                <w:sz w:val="20"/>
              </w:rPr>
              <w:t xml:space="preserve">Se aplican los mismos criterios que para los préstamos comerciales en estado de técnicamente irrecuperables según los Normas B.C.R.A </w:t>
            </w:r>
          </w:p>
        </w:tc>
      </w:tr>
    </w:tbl>
    <w:p w14:paraId="417D2ED5" w14:textId="77777777" w:rsidR="00F60B2C" w:rsidRPr="004E05ED" w:rsidRDefault="00F60B2C" w:rsidP="00F60B2C">
      <w:pPr>
        <w:pStyle w:val="Textodebloque"/>
        <w:widowControl w:val="0"/>
        <w:spacing w:after="240"/>
        <w:ind w:left="0"/>
        <w:contextualSpacing/>
        <w:jc w:val="both"/>
        <w:rPr>
          <w:rFonts w:ascii="Arial" w:hAnsi="Arial" w:cs="Arial"/>
          <w:i/>
          <w:color w:val="000000"/>
          <w:sz w:val="20"/>
        </w:rPr>
      </w:pPr>
    </w:p>
    <w:p w14:paraId="7A7A7F09" w14:textId="77777777" w:rsidR="00F60B2C" w:rsidRPr="00701F32" w:rsidRDefault="00F60B2C" w:rsidP="00F60B2C">
      <w:pPr>
        <w:rPr>
          <w:rFonts w:ascii="Arial" w:eastAsia="Arial" w:hAnsi="Arial" w:cs="Arial"/>
          <w:b/>
          <w:sz w:val="20"/>
        </w:rPr>
      </w:pPr>
      <w:r>
        <w:rPr>
          <w:rFonts w:ascii="Arial" w:eastAsia="Arial" w:hAnsi="Arial" w:cs="Arial"/>
          <w:b/>
          <w:sz w:val="20"/>
        </w:rPr>
        <w:t xml:space="preserve">1.11 </w:t>
      </w:r>
      <w:r w:rsidRPr="00701F32">
        <w:rPr>
          <w:rFonts w:ascii="Arial" w:eastAsia="Arial" w:hAnsi="Arial" w:cs="Arial"/>
          <w:b/>
          <w:sz w:val="20"/>
        </w:rPr>
        <w:t xml:space="preserve">Previsiones por riesgo de incobrabilidad </w:t>
      </w:r>
    </w:p>
    <w:p w14:paraId="48687E6B" w14:textId="77777777" w:rsidR="00F60B2C" w:rsidRPr="00701F32" w:rsidRDefault="00F60B2C" w:rsidP="00F60B2C">
      <w:pPr>
        <w:rPr>
          <w:rFonts w:ascii="Arial" w:eastAsia="Arial" w:hAnsi="Arial" w:cs="Arial"/>
          <w:b/>
          <w:sz w:val="20"/>
        </w:rPr>
      </w:pPr>
    </w:p>
    <w:p w14:paraId="6BC6BC57" w14:textId="77777777" w:rsidR="00F60B2C" w:rsidRPr="00701F32" w:rsidRDefault="00F60B2C" w:rsidP="00F60B2C">
      <w:pPr>
        <w:spacing w:after="160" w:line="259" w:lineRule="auto"/>
        <w:jc w:val="both"/>
        <w:rPr>
          <w:rFonts w:ascii="Arial" w:eastAsia="Arial" w:hAnsi="Arial" w:cs="Arial"/>
          <w:sz w:val="20"/>
        </w:rPr>
      </w:pPr>
      <w:r w:rsidRPr="00701F32">
        <w:rPr>
          <w:rFonts w:ascii="Arial" w:eastAsia="Arial" w:hAnsi="Arial" w:cs="Arial"/>
          <w:sz w:val="20"/>
        </w:rPr>
        <w:t>Respecto de las previsiones por riesgo de incobrabilidad, continúan vigentes las normas sobre “Previsiones mínimas por riesgo de incobrabilidad” de la sección 8 de la LISOL, las cuales se detallan a continuación:</w:t>
      </w:r>
    </w:p>
    <w:p w14:paraId="42343DE8" w14:textId="3BD955CF" w:rsidR="00F60B2C" w:rsidRDefault="00F60B2C" w:rsidP="00F60B2C">
      <w:pPr>
        <w:spacing w:after="160" w:line="259" w:lineRule="auto"/>
        <w:jc w:val="both"/>
        <w:rPr>
          <w:rFonts w:ascii="Arial" w:eastAsia="Arial" w:hAnsi="Arial" w:cs="Arial"/>
          <w:sz w:val="20"/>
        </w:rPr>
      </w:pPr>
      <w:r w:rsidRPr="00701F32">
        <w:rPr>
          <w:rFonts w:ascii="Arial" w:eastAsia="Arial" w:hAnsi="Arial" w:cs="Arial"/>
          <w:sz w:val="20"/>
        </w:rPr>
        <w:t>Sobre el total de las deudas de los clientes, deberán aplicarse las siguientes pautas mínimas de previsionamiento:</w:t>
      </w:r>
    </w:p>
    <w:p w14:paraId="1BBDC74F" w14:textId="5A93E4C2" w:rsidR="00B2136F" w:rsidRDefault="00B2136F">
      <w:pPr>
        <w:rPr>
          <w:rFonts w:ascii="Arial" w:eastAsia="Arial" w:hAnsi="Arial" w:cs="Arial"/>
          <w:sz w:val="20"/>
        </w:rPr>
      </w:pPr>
      <w:r>
        <w:rPr>
          <w:rFonts w:ascii="Arial" w:eastAsia="Arial" w:hAnsi="Arial" w:cs="Arial"/>
          <w:sz w:val="20"/>
        </w:rPr>
        <w:br w:type="page"/>
      </w:r>
    </w:p>
    <w:p w14:paraId="76BBD61E" w14:textId="77777777" w:rsidR="00B2136F" w:rsidRPr="00701F32" w:rsidRDefault="00B2136F" w:rsidP="00F60B2C">
      <w:pPr>
        <w:spacing w:after="160" w:line="259" w:lineRule="auto"/>
        <w:jc w:val="both"/>
        <w:rPr>
          <w:rFonts w:ascii="Arial" w:eastAsia="Arial" w:hAnsi="Arial" w:cs="Arial"/>
          <w:sz w:val="20"/>
        </w:rPr>
      </w:pP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2352"/>
        <w:gridCol w:w="1995"/>
        <w:gridCol w:w="1994"/>
      </w:tblGrid>
      <w:tr w:rsidR="00F60B2C" w:rsidRPr="00701F32" w14:paraId="41180A7D" w14:textId="77777777" w:rsidTr="00F60B2C">
        <w:trPr>
          <w:trHeight w:val="162"/>
        </w:trPr>
        <w:tc>
          <w:tcPr>
            <w:tcW w:w="1391" w:type="pct"/>
            <w:vAlign w:val="center"/>
          </w:tcPr>
          <w:p w14:paraId="6937C120" w14:textId="77777777" w:rsidR="00F60B2C" w:rsidRPr="00701F32" w:rsidRDefault="00F60B2C" w:rsidP="00F60B2C">
            <w:pPr>
              <w:spacing w:line="259" w:lineRule="auto"/>
              <w:jc w:val="center"/>
              <w:rPr>
                <w:rFonts w:ascii="Arial" w:eastAsia="Arial" w:hAnsi="Arial" w:cs="Arial"/>
                <w:b/>
                <w:sz w:val="18"/>
              </w:rPr>
            </w:pPr>
            <w:r w:rsidRPr="00701F32">
              <w:rPr>
                <w:rFonts w:ascii="Arial" w:eastAsia="Arial" w:hAnsi="Arial" w:cs="Arial"/>
                <w:b/>
                <w:sz w:val="18"/>
              </w:rPr>
              <w:t>Cartera Comercial</w:t>
            </w:r>
          </w:p>
        </w:tc>
        <w:tc>
          <w:tcPr>
            <w:tcW w:w="1338" w:type="pct"/>
            <w:vAlign w:val="center"/>
          </w:tcPr>
          <w:p w14:paraId="1AF8CC48" w14:textId="77777777" w:rsidR="00F60B2C" w:rsidRPr="00701F32" w:rsidRDefault="00F60B2C" w:rsidP="00F60B2C">
            <w:pPr>
              <w:spacing w:line="259" w:lineRule="auto"/>
              <w:jc w:val="center"/>
              <w:rPr>
                <w:rFonts w:ascii="Arial" w:eastAsia="Arial" w:hAnsi="Arial" w:cs="Arial"/>
                <w:b/>
                <w:sz w:val="18"/>
              </w:rPr>
            </w:pPr>
            <w:r w:rsidRPr="00701F32">
              <w:rPr>
                <w:rFonts w:ascii="Arial" w:eastAsia="Arial" w:hAnsi="Arial" w:cs="Arial"/>
                <w:b/>
                <w:sz w:val="18"/>
              </w:rPr>
              <w:t>Cartera de consumo o asimilable a consumo</w:t>
            </w:r>
          </w:p>
        </w:tc>
        <w:tc>
          <w:tcPr>
            <w:tcW w:w="1135" w:type="pct"/>
            <w:vAlign w:val="center"/>
          </w:tcPr>
          <w:p w14:paraId="55C1AFF6" w14:textId="77777777" w:rsidR="00F60B2C" w:rsidRPr="00701F32" w:rsidRDefault="00F60B2C" w:rsidP="00F60B2C">
            <w:pPr>
              <w:spacing w:line="259" w:lineRule="auto"/>
              <w:jc w:val="center"/>
              <w:rPr>
                <w:rFonts w:ascii="Arial" w:eastAsia="Arial" w:hAnsi="Arial" w:cs="Arial"/>
                <w:b/>
                <w:sz w:val="18"/>
              </w:rPr>
            </w:pPr>
            <w:r w:rsidRPr="00701F32">
              <w:rPr>
                <w:rFonts w:ascii="Arial" w:eastAsia="Arial" w:hAnsi="Arial" w:cs="Arial"/>
                <w:b/>
                <w:sz w:val="18"/>
              </w:rPr>
              <w:t>Con garantías preferidas</w:t>
            </w:r>
          </w:p>
        </w:tc>
        <w:tc>
          <w:tcPr>
            <w:tcW w:w="1135" w:type="pct"/>
            <w:vAlign w:val="center"/>
          </w:tcPr>
          <w:p w14:paraId="028846FD" w14:textId="77777777" w:rsidR="00F60B2C" w:rsidRPr="00701F32" w:rsidRDefault="00F60B2C" w:rsidP="00F60B2C">
            <w:pPr>
              <w:spacing w:line="259" w:lineRule="auto"/>
              <w:jc w:val="center"/>
              <w:rPr>
                <w:rFonts w:ascii="Arial" w:eastAsia="Arial" w:hAnsi="Arial" w:cs="Arial"/>
                <w:b/>
                <w:sz w:val="18"/>
              </w:rPr>
            </w:pPr>
            <w:r w:rsidRPr="00701F32">
              <w:rPr>
                <w:rFonts w:ascii="Arial" w:eastAsia="Arial" w:hAnsi="Arial" w:cs="Arial"/>
                <w:b/>
                <w:sz w:val="18"/>
              </w:rPr>
              <w:t>Sin garantías preferidas</w:t>
            </w:r>
          </w:p>
        </w:tc>
      </w:tr>
      <w:tr w:rsidR="00F60B2C" w:rsidRPr="00701F32" w14:paraId="39011EE7" w14:textId="77777777" w:rsidTr="00F60B2C">
        <w:trPr>
          <w:trHeight w:val="78"/>
        </w:trPr>
        <w:tc>
          <w:tcPr>
            <w:tcW w:w="1391" w:type="pct"/>
            <w:vAlign w:val="center"/>
          </w:tcPr>
          <w:p w14:paraId="52572831" w14:textId="77777777" w:rsidR="00F60B2C" w:rsidRPr="00701F32" w:rsidRDefault="00F60B2C">
            <w:pPr>
              <w:spacing w:line="259" w:lineRule="auto"/>
              <w:rPr>
                <w:rFonts w:ascii="Arial" w:eastAsia="Arial" w:hAnsi="Arial" w:cs="Arial"/>
                <w:sz w:val="18"/>
              </w:rPr>
            </w:pPr>
            <w:r w:rsidRPr="00701F32">
              <w:rPr>
                <w:rFonts w:ascii="Arial" w:eastAsia="Arial" w:hAnsi="Arial" w:cs="Arial"/>
                <w:sz w:val="18"/>
              </w:rPr>
              <w:t>Situación normal</w:t>
            </w:r>
          </w:p>
        </w:tc>
        <w:tc>
          <w:tcPr>
            <w:tcW w:w="1338" w:type="pct"/>
            <w:vAlign w:val="center"/>
          </w:tcPr>
          <w:p w14:paraId="74ADB4EB"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Situación normal</w:t>
            </w:r>
          </w:p>
        </w:tc>
        <w:tc>
          <w:tcPr>
            <w:tcW w:w="1135" w:type="pct"/>
            <w:vAlign w:val="center"/>
          </w:tcPr>
          <w:p w14:paraId="47028266"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1%</w:t>
            </w:r>
          </w:p>
        </w:tc>
        <w:tc>
          <w:tcPr>
            <w:tcW w:w="1135" w:type="pct"/>
            <w:vAlign w:val="center"/>
          </w:tcPr>
          <w:p w14:paraId="4651539A"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1%</w:t>
            </w:r>
          </w:p>
        </w:tc>
      </w:tr>
      <w:tr w:rsidR="00F60B2C" w:rsidRPr="00701F32" w14:paraId="462DF754" w14:textId="77777777" w:rsidTr="00F60B2C">
        <w:trPr>
          <w:trHeight w:val="78"/>
        </w:trPr>
        <w:tc>
          <w:tcPr>
            <w:tcW w:w="1391" w:type="pct"/>
            <w:vAlign w:val="center"/>
          </w:tcPr>
          <w:p w14:paraId="7B0B433B"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En observación</w:t>
            </w:r>
          </w:p>
        </w:tc>
        <w:tc>
          <w:tcPr>
            <w:tcW w:w="1338" w:type="pct"/>
            <w:vAlign w:val="center"/>
          </w:tcPr>
          <w:p w14:paraId="7A1F1AED"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Riesgo bajo</w:t>
            </w:r>
          </w:p>
        </w:tc>
        <w:tc>
          <w:tcPr>
            <w:tcW w:w="1135" w:type="pct"/>
            <w:vAlign w:val="center"/>
          </w:tcPr>
          <w:p w14:paraId="1658F6E7"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3%</w:t>
            </w:r>
          </w:p>
        </w:tc>
        <w:tc>
          <w:tcPr>
            <w:tcW w:w="1135" w:type="pct"/>
            <w:vAlign w:val="center"/>
          </w:tcPr>
          <w:p w14:paraId="6E04B8AF"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5%</w:t>
            </w:r>
          </w:p>
        </w:tc>
      </w:tr>
      <w:tr w:rsidR="00F60B2C" w:rsidRPr="00701F32" w14:paraId="24F5641E" w14:textId="77777777" w:rsidTr="00F60B2C">
        <w:trPr>
          <w:trHeight w:val="168"/>
        </w:trPr>
        <w:tc>
          <w:tcPr>
            <w:tcW w:w="1391" w:type="pct"/>
            <w:vAlign w:val="center"/>
          </w:tcPr>
          <w:p w14:paraId="6C761EC4"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En negociación o con acuerdos de refinanciación</w:t>
            </w:r>
          </w:p>
        </w:tc>
        <w:tc>
          <w:tcPr>
            <w:tcW w:w="1338" w:type="pct"/>
            <w:vAlign w:val="center"/>
          </w:tcPr>
          <w:p w14:paraId="0A872976"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N/A</w:t>
            </w:r>
          </w:p>
          <w:p w14:paraId="7E4E48D7" w14:textId="77777777" w:rsidR="00F60B2C" w:rsidRPr="00701F32" w:rsidRDefault="00F60B2C">
            <w:pPr>
              <w:spacing w:line="259" w:lineRule="auto"/>
              <w:rPr>
                <w:rFonts w:ascii="Arial" w:eastAsia="Arial" w:hAnsi="Arial" w:cs="Arial"/>
                <w:sz w:val="18"/>
              </w:rPr>
            </w:pPr>
          </w:p>
        </w:tc>
        <w:tc>
          <w:tcPr>
            <w:tcW w:w="1135" w:type="pct"/>
            <w:vAlign w:val="center"/>
          </w:tcPr>
          <w:p w14:paraId="1C4D4A0E"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6%</w:t>
            </w:r>
          </w:p>
        </w:tc>
        <w:tc>
          <w:tcPr>
            <w:tcW w:w="1135" w:type="pct"/>
            <w:vAlign w:val="center"/>
          </w:tcPr>
          <w:p w14:paraId="5C1ECEEE"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12%</w:t>
            </w:r>
          </w:p>
        </w:tc>
      </w:tr>
      <w:tr w:rsidR="00F60B2C" w:rsidRPr="00701F32" w14:paraId="3C7B572F" w14:textId="77777777" w:rsidTr="00F60B2C">
        <w:trPr>
          <w:trHeight w:val="83"/>
        </w:trPr>
        <w:tc>
          <w:tcPr>
            <w:tcW w:w="1391" w:type="pct"/>
            <w:vAlign w:val="center"/>
          </w:tcPr>
          <w:p w14:paraId="750E9CB3"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 xml:space="preserve">Con problemas </w:t>
            </w:r>
          </w:p>
        </w:tc>
        <w:tc>
          <w:tcPr>
            <w:tcW w:w="1338" w:type="pct"/>
            <w:vAlign w:val="center"/>
          </w:tcPr>
          <w:p w14:paraId="4C9E7C02"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Riesgo medio</w:t>
            </w:r>
          </w:p>
        </w:tc>
        <w:tc>
          <w:tcPr>
            <w:tcW w:w="1135" w:type="pct"/>
            <w:vAlign w:val="center"/>
          </w:tcPr>
          <w:p w14:paraId="770831AA"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12%</w:t>
            </w:r>
          </w:p>
        </w:tc>
        <w:tc>
          <w:tcPr>
            <w:tcW w:w="1135" w:type="pct"/>
            <w:vAlign w:val="center"/>
          </w:tcPr>
          <w:p w14:paraId="106637E7"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25%</w:t>
            </w:r>
          </w:p>
        </w:tc>
      </w:tr>
      <w:tr w:rsidR="00F60B2C" w:rsidRPr="00701F32" w14:paraId="32C77D0A" w14:textId="77777777" w:rsidTr="00F60B2C">
        <w:trPr>
          <w:trHeight w:val="157"/>
        </w:trPr>
        <w:tc>
          <w:tcPr>
            <w:tcW w:w="1391" w:type="pct"/>
            <w:vAlign w:val="center"/>
          </w:tcPr>
          <w:p w14:paraId="62CC7DBD"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Alto riesgo de insolvencia</w:t>
            </w:r>
          </w:p>
        </w:tc>
        <w:tc>
          <w:tcPr>
            <w:tcW w:w="1338" w:type="pct"/>
            <w:vAlign w:val="center"/>
          </w:tcPr>
          <w:p w14:paraId="5A00A96E"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Riesgo alto</w:t>
            </w:r>
          </w:p>
        </w:tc>
        <w:tc>
          <w:tcPr>
            <w:tcW w:w="1135" w:type="pct"/>
            <w:vAlign w:val="center"/>
          </w:tcPr>
          <w:p w14:paraId="6670BEC5"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25%</w:t>
            </w:r>
          </w:p>
        </w:tc>
        <w:tc>
          <w:tcPr>
            <w:tcW w:w="1135" w:type="pct"/>
            <w:vAlign w:val="center"/>
          </w:tcPr>
          <w:p w14:paraId="0E53754B"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50%</w:t>
            </w:r>
          </w:p>
        </w:tc>
      </w:tr>
      <w:tr w:rsidR="00F60B2C" w:rsidRPr="00701F32" w14:paraId="50967017" w14:textId="77777777" w:rsidTr="00F60B2C">
        <w:trPr>
          <w:trHeight w:val="78"/>
        </w:trPr>
        <w:tc>
          <w:tcPr>
            <w:tcW w:w="1391" w:type="pct"/>
            <w:vAlign w:val="center"/>
          </w:tcPr>
          <w:p w14:paraId="2A14A45A"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Irrecuperable</w:t>
            </w:r>
          </w:p>
        </w:tc>
        <w:tc>
          <w:tcPr>
            <w:tcW w:w="1338" w:type="pct"/>
            <w:vAlign w:val="center"/>
          </w:tcPr>
          <w:p w14:paraId="74F1E19D"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Irrecuperable</w:t>
            </w:r>
          </w:p>
        </w:tc>
        <w:tc>
          <w:tcPr>
            <w:tcW w:w="1135" w:type="pct"/>
            <w:vAlign w:val="center"/>
          </w:tcPr>
          <w:p w14:paraId="7E694AD4"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50%</w:t>
            </w:r>
          </w:p>
        </w:tc>
        <w:tc>
          <w:tcPr>
            <w:tcW w:w="1135" w:type="pct"/>
            <w:vAlign w:val="center"/>
          </w:tcPr>
          <w:p w14:paraId="28689E87"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100%</w:t>
            </w:r>
          </w:p>
        </w:tc>
      </w:tr>
      <w:tr w:rsidR="00F60B2C" w:rsidRPr="00701F32" w14:paraId="29000DC8" w14:textId="77777777" w:rsidTr="00F60B2C">
        <w:trPr>
          <w:trHeight w:val="167"/>
        </w:trPr>
        <w:tc>
          <w:tcPr>
            <w:tcW w:w="1391" w:type="pct"/>
            <w:vAlign w:val="center"/>
          </w:tcPr>
          <w:p w14:paraId="36571466"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Irrecuperable por disposición técnica</w:t>
            </w:r>
          </w:p>
        </w:tc>
        <w:tc>
          <w:tcPr>
            <w:tcW w:w="1338" w:type="pct"/>
            <w:vAlign w:val="center"/>
          </w:tcPr>
          <w:p w14:paraId="45B65210" w14:textId="77777777" w:rsidR="00F60B2C" w:rsidRPr="00701F32" w:rsidRDefault="00F60B2C" w:rsidP="006E1AF7">
            <w:pPr>
              <w:spacing w:line="259" w:lineRule="auto"/>
              <w:rPr>
                <w:rFonts w:ascii="Arial" w:eastAsia="Arial" w:hAnsi="Arial" w:cs="Arial"/>
                <w:sz w:val="18"/>
              </w:rPr>
            </w:pPr>
            <w:r w:rsidRPr="00701F32">
              <w:rPr>
                <w:rFonts w:ascii="Arial" w:eastAsia="Arial" w:hAnsi="Arial" w:cs="Arial"/>
                <w:sz w:val="18"/>
              </w:rPr>
              <w:t>Irrecuperable por disposición técnica</w:t>
            </w:r>
          </w:p>
        </w:tc>
        <w:tc>
          <w:tcPr>
            <w:tcW w:w="1135" w:type="pct"/>
            <w:vAlign w:val="center"/>
          </w:tcPr>
          <w:p w14:paraId="7E7714D0"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100%</w:t>
            </w:r>
          </w:p>
        </w:tc>
        <w:tc>
          <w:tcPr>
            <w:tcW w:w="1135" w:type="pct"/>
            <w:vAlign w:val="center"/>
          </w:tcPr>
          <w:p w14:paraId="39666A12" w14:textId="77777777" w:rsidR="00F60B2C" w:rsidRPr="00701F32" w:rsidRDefault="00F60B2C" w:rsidP="00F60B2C">
            <w:pPr>
              <w:spacing w:line="259" w:lineRule="auto"/>
              <w:jc w:val="center"/>
              <w:rPr>
                <w:rFonts w:ascii="Arial" w:eastAsia="Arial" w:hAnsi="Arial" w:cs="Arial"/>
                <w:sz w:val="18"/>
              </w:rPr>
            </w:pPr>
            <w:r w:rsidRPr="00701F32">
              <w:rPr>
                <w:rFonts w:ascii="Arial" w:eastAsia="Arial" w:hAnsi="Arial" w:cs="Arial"/>
                <w:sz w:val="18"/>
              </w:rPr>
              <w:t>100%</w:t>
            </w:r>
          </w:p>
        </w:tc>
      </w:tr>
    </w:tbl>
    <w:p w14:paraId="021D71F3" w14:textId="77777777" w:rsidR="00F60B2C" w:rsidRPr="00701F32" w:rsidRDefault="00F60B2C" w:rsidP="00F60B2C">
      <w:pPr>
        <w:spacing w:line="259" w:lineRule="auto"/>
        <w:jc w:val="both"/>
        <w:rPr>
          <w:rFonts w:ascii="Arial" w:eastAsia="Arial" w:hAnsi="Arial" w:cs="Arial"/>
          <w:sz w:val="20"/>
        </w:rPr>
      </w:pPr>
    </w:p>
    <w:p w14:paraId="3EA924E9" w14:textId="77777777" w:rsidR="00F60B2C" w:rsidRDefault="00F60B2C" w:rsidP="00F60B2C">
      <w:pPr>
        <w:spacing w:after="160" w:line="259" w:lineRule="auto"/>
        <w:jc w:val="both"/>
        <w:rPr>
          <w:rFonts w:ascii="Arial" w:hAnsi="Arial" w:cs="Arial"/>
          <w:color w:val="000000"/>
          <w:sz w:val="20"/>
        </w:rPr>
      </w:pPr>
      <w:r w:rsidRPr="00701F32">
        <w:rPr>
          <w:rFonts w:ascii="Arial" w:hAnsi="Arial" w:cs="Arial"/>
          <w:color w:val="000000"/>
          <w:sz w:val="20"/>
        </w:rPr>
        <w:t>El criterio principal para evaluar un préstamo perteneciente a la cartera comercial es la capacidad de su prestatario para reembolsarlo, capacidad que se mide principalmente por el flujo de efectivo futuro de dicho prestatario. En el caso del análisis de la cartera de consumo el principal criterio en la evaluación de los préstamos es la mora en el cumplimiento de sus obligaciones</w:t>
      </w:r>
      <w:r>
        <w:rPr>
          <w:rFonts w:ascii="Arial" w:hAnsi="Arial" w:cs="Arial"/>
          <w:color w:val="000000"/>
          <w:sz w:val="20"/>
        </w:rPr>
        <w:t>.</w:t>
      </w:r>
    </w:p>
    <w:p w14:paraId="79F9C9DF" w14:textId="77777777" w:rsidR="00F60B2C" w:rsidRPr="00701F32" w:rsidRDefault="00F60B2C" w:rsidP="00F60B2C">
      <w:pPr>
        <w:spacing w:after="160" w:line="259" w:lineRule="auto"/>
        <w:jc w:val="both"/>
        <w:rPr>
          <w:rFonts w:ascii="Arial" w:hAnsi="Arial" w:cs="Arial"/>
          <w:color w:val="000000"/>
          <w:sz w:val="20"/>
        </w:rPr>
      </w:pPr>
      <w:r w:rsidRPr="00701F32">
        <w:rPr>
          <w:rFonts w:ascii="Arial" w:hAnsi="Arial" w:cs="Arial"/>
          <w:color w:val="000000"/>
          <w:sz w:val="20"/>
        </w:rPr>
        <w:t>Entre otras disposiciones particulares, la Entidad ha optado por de interrumpir el devengamiento de intereses de aquellos clientes que presenten atrasos mayores a 90 días en lugar de previsionar el 100% de los mismos.</w:t>
      </w:r>
    </w:p>
    <w:p w14:paraId="7EC26EF0" w14:textId="77777777" w:rsidR="00F60B2C" w:rsidRDefault="00F60B2C" w:rsidP="00F60B2C">
      <w:pPr>
        <w:spacing w:after="160" w:line="259" w:lineRule="auto"/>
        <w:jc w:val="both"/>
        <w:rPr>
          <w:rFonts w:ascii="Arial" w:eastAsia="Calibri" w:hAnsi="Arial" w:cs="Arial"/>
          <w:b/>
          <w:sz w:val="20"/>
        </w:rPr>
      </w:pPr>
      <w:r w:rsidRPr="00701F32">
        <w:rPr>
          <w:rFonts w:ascii="Arial" w:eastAsia="Calibri" w:hAnsi="Arial" w:cs="Arial"/>
          <w:b/>
          <w:sz w:val="20"/>
        </w:rPr>
        <w:t>1.1</w:t>
      </w:r>
      <w:r>
        <w:rPr>
          <w:rFonts w:ascii="Arial" w:eastAsia="Calibri" w:hAnsi="Arial" w:cs="Arial"/>
          <w:b/>
          <w:sz w:val="20"/>
        </w:rPr>
        <w:t>2</w:t>
      </w:r>
      <w:r w:rsidRPr="00701F32">
        <w:rPr>
          <w:rFonts w:ascii="Arial" w:eastAsia="Calibri" w:hAnsi="Arial" w:cs="Arial"/>
          <w:b/>
          <w:sz w:val="20"/>
        </w:rPr>
        <w:t xml:space="preserve"> Arrendamientos / Leasing </w:t>
      </w:r>
    </w:p>
    <w:p w14:paraId="0426E201" w14:textId="77777777" w:rsidR="00F60B2C" w:rsidRPr="009767A8" w:rsidRDefault="00F60B2C" w:rsidP="00F60B2C">
      <w:pPr>
        <w:spacing w:after="160" w:line="259" w:lineRule="auto"/>
        <w:jc w:val="both"/>
        <w:rPr>
          <w:rFonts w:ascii="Arial" w:eastAsia="Arial" w:hAnsi="Arial" w:cs="Arial"/>
          <w:sz w:val="20"/>
          <w:szCs w:val="22"/>
          <w:u w:val="single"/>
        </w:rPr>
      </w:pPr>
      <w:r w:rsidRPr="009767A8">
        <w:rPr>
          <w:rFonts w:ascii="Arial" w:eastAsia="Arial" w:hAnsi="Arial" w:cs="Arial"/>
          <w:sz w:val="20"/>
          <w:szCs w:val="22"/>
          <w:u w:val="single"/>
        </w:rPr>
        <w:t>Arrendamientos operativos</w:t>
      </w:r>
    </w:p>
    <w:p w14:paraId="62B8FABB" w14:textId="2EB66F1F" w:rsidR="00F60B2C" w:rsidRPr="009767A8" w:rsidRDefault="00F60B2C" w:rsidP="00F60B2C">
      <w:pPr>
        <w:spacing w:after="160" w:line="259" w:lineRule="auto"/>
        <w:jc w:val="both"/>
        <w:rPr>
          <w:rFonts w:ascii="Arial" w:eastAsia="Arial" w:hAnsi="Arial" w:cs="Arial"/>
          <w:sz w:val="20"/>
          <w:szCs w:val="22"/>
        </w:rPr>
      </w:pPr>
      <w:r w:rsidRPr="009767A8">
        <w:rPr>
          <w:rFonts w:ascii="Arial" w:eastAsia="Arial" w:hAnsi="Arial" w:cs="Arial"/>
          <w:sz w:val="20"/>
          <w:szCs w:val="22"/>
        </w:rPr>
        <w:t>El Banco</w:t>
      </w:r>
      <w:r w:rsidR="001D52FB">
        <w:rPr>
          <w:rFonts w:ascii="Arial" w:eastAsia="Arial" w:hAnsi="Arial" w:cs="Arial"/>
          <w:sz w:val="20"/>
          <w:szCs w:val="22"/>
        </w:rPr>
        <w:t>, como arrendador,</w:t>
      </w:r>
      <w:r w:rsidRPr="009767A8">
        <w:rPr>
          <w:rFonts w:ascii="Arial" w:eastAsia="Arial" w:hAnsi="Arial" w:cs="Arial"/>
          <w:sz w:val="20"/>
          <w:szCs w:val="22"/>
        </w:rPr>
        <w:t xml:space="preserve"> reconoce los pagos de leasing como resultados positivos de manera lineal. En caso de que sea más apropiado otro método de reconocimiento, el Banco aplicará el reconocimiento de ingresos de dicha manera. A su vez, el Banco reconoce los costos, tales como amortizaciones y gastos. </w:t>
      </w:r>
    </w:p>
    <w:p w14:paraId="6D77C4E0" w14:textId="77777777" w:rsidR="00F60B2C" w:rsidRPr="009767A8" w:rsidRDefault="00F60B2C" w:rsidP="00F60B2C">
      <w:pPr>
        <w:spacing w:after="160" w:line="259" w:lineRule="auto"/>
        <w:jc w:val="both"/>
        <w:rPr>
          <w:rFonts w:ascii="Arial" w:eastAsia="Arial" w:hAnsi="Arial" w:cs="Arial"/>
          <w:sz w:val="20"/>
          <w:szCs w:val="22"/>
        </w:rPr>
      </w:pPr>
      <w:r w:rsidRPr="009767A8">
        <w:rPr>
          <w:rFonts w:ascii="Arial" w:eastAsia="Arial" w:hAnsi="Arial" w:cs="Arial"/>
          <w:sz w:val="20"/>
          <w:szCs w:val="22"/>
        </w:rPr>
        <w:t>El valor de reconocimiento inicial incluye los costos directos incurridos en la adquisición del leasing operativo al valor de libros del activo subyacente y reconocerá dichos costos como gastos durante el plazo del arrendamiento de igual manera que el reconocimiento de los ingresos.</w:t>
      </w:r>
    </w:p>
    <w:p w14:paraId="26C8C9A0" w14:textId="77777777" w:rsidR="00F60B2C" w:rsidRPr="00BD1068" w:rsidRDefault="00F60B2C" w:rsidP="00F60B2C">
      <w:pPr>
        <w:spacing w:after="160" w:line="259" w:lineRule="auto"/>
        <w:jc w:val="both"/>
        <w:rPr>
          <w:rFonts w:ascii="Arial" w:eastAsia="Arial" w:hAnsi="Arial" w:cs="Arial"/>
          <w:sz w:val="20"/>
          <w:szCs w:val="22"/>
        </w:rPr>
      </w:pPr>
      <w:r w:rsidRPr="009767A8">
        <w:rPr>
          <w:rFonts w:ascii="Arial" w:eastAsia="Arial" w:hAnsi="Arial" w:cs="Arial"/>
          <w:sz w:val="20"/>
          <w:szCs w:val="22"/>
        </w:rPr>
        <w:t>La depreciación aplicada a los activos subyacentes del leasing es consiste</w:t>
      </w:r>
      <w:r>
        <w:rPr>
          <w:rFonts w:ascii="Arial" w:eastAsia="Arial" w:hAnsi="Arial" w:cs="Arial"/>
          <w:sz w:val="20"/>
          <w:szCs w:val="22"/>
        </w:rPr>
        <w:t>nte</w:t>
      </w:r>
      <w:r w:rsidRPr="009767A8">
        <w:rPr>
          <w:rFonts w:ascii="Arial" w:eastAsia="Arial" w:hAnsi="Arial" w:cs="Arial"/>
          <w:sz w:val="20"/>
          <w:szCs w:val="22"/>
        </w:rPr>
        <w:t xml:space="preserve"> con el grupo de activos similares. A su vez, el Banco aplica NIC 36 para la aplicación de pérdidas identificadas.</w:t>
      </w:r>
    </w:p>
    <w:p w14:paraId="7FEBC986" w14:textId="77777777" w:rsidR="00F60B2C" w:rsidRPr="00701F32" w:rsidRDefault="00F60B2C" w:rsidP="00F60B2C">
      <w:pPr>
        <w:spacing w:after="160" w:line="259" w:lineRule="auto"/>
        <w:jc w:val="both"/>
        <w:rPr>
          <w:rFonts w:ascii="Arial" w:eastAsia="Calibri" w:hAnsi="Arial" w:cs="Arial"/>
          <w:sz w:val="20"/>
          <w:u w:val="single"/>
        </w:rPr>
      </w:pPr>
      <w:r w:rsidRPr="00701F32">
        <w:rPr>
          <w:rFonts w:ascii="Arial" w:eastAsia="Calibri" w:hAnsi="Arial" w:cs="Arial"/>
          <w:sz w:val="20"/>
          <w:u w:val="single"/>
        </w:rPr>
        <w:t>Arrendamientos financieros</w:t>
      </w:r>
    </w:p>
    <w:p w14:paraId="139F280C" w14:textId="77777777" w:rsidR="00F60B2C" w:rsidRPr="00701F32" w:rsidRDefault="00F60B2C" w:rsidP="00F60B2C">
      <w:pPr>
        <w:spacing w:after="160" w:line="259" w:lineRule="auto"/>
        <w:jc w:val="both"/>
        <w:rPr>
          <w:rFonts w:ascii="Arial" w:eastAsia="Calibri" w:hAnsi="Arial" w:cs="Arial"/>
          <w:sz w:val="20"/>
        </w:rPr>
      </w:pPr>
      <w:r w:rsidRPr="00701F32">
        <w:rPr>
          <w:rFonts w:ascii="Arial" w:eastAsia="Calibri" w:hAnsi="Arial" w:cs="Arial"/>
          <w:sz w:val="20"/>
        </w:rPr>
        <w:t>Se han registrado por el valor actual de las sumas no devengadas, calculadas según las condiciones pactadas en los respectivos contratos, en función a la tasa de interés implícita en ellos.</w:t>
      </w:r>
    </w:p>
    <w:p w14:paraId="5BD00C54" w14:textId="77777777" w:rsidR="00F60B2C" w:rsidRPr="00701F32" w:rsidRDefault="00F60B2C" w:rsidP="00F60B2C">
      <w:pPr>
        <w:spacing w:after="160" w:line="259" w:lineRule="auto"/>
        <w:jc w:val="both"/>
        <w:rPr>
          <w:rFonts w:ascii="Arial" w:eastAsia="Calibri" w:hAnsi="Arial" w:cs="Arial"/>
          <w:sz w:val="20"/>
          <w:u w:val="single"/>
        </w:rPr>
      </w:pPr>
      <w:r w:rsidRPr="00701F32">
        <w:rPr>
          <w:rFonts w:ascii="Arial" w:eastAsia="Calibri" w:hAnsi="Arial" w:cs="Arial"/>
          <w:sz w:val="20"/>
          <w:u w:val="single"/>
        </w:rPr>
        <w:t>Medición inicial</w:t>
      </w:r>
    </w:p>
    <w:p w14:paraId="5775E6A7" w14:textId="77777777" w:rsidR="00F60B2C" w:rsidRPr="00701F32" w:rsidRDefault="00F60B2C" w:rsidP="00F60B2C">
      <w:pPr>
        <w:spacing w:after="160" w:line="259" w:lineRule="auto"/>
        <w:jc w:val="both"/>
        <w:rPr>
          <w:rFonts w:ascii="Arial" w:eastAsia="Calibri" w:hAnsi="Arial" w:cs="Arial"/>
          <w:sz w:val="20"/>
        </w:rPr>
      </w:pPr>
      <w:r w:rsidRPr="00701F32">
        <w:rPr>
          <w:rFonts w:ascii="Arial" w:eastAsia="Calibri" w:hAnsi="Arial" w:cs="Arial"/>
          <w:sz w:val="20"/>
        </w:rPr>
        <w:t>El Banco utiliza la tasa de interés implícita en el arrendamiento para medir la inversión neta. Esta es definida de manera tal que los ingresos y costos directos iniciales se incluyen automáticamente en la inversión neta del arrendamiento.</w:t>
      </w:r>
    </w:p>
    <w:p w14:paraId="611E8356" w14:textId="77777777" w:rsidR="00F60B2C" w:rsidRPr="00701F32" w:rsidRDefault="00F60B2C" w:rsidP="00F60B2C">
      <w:pPr>
        <w:spacing w:after="160" w:line="259" w:lineRule="auto"/>
        <w:jc w:val="both"/>
        <w:rPr>
          <w:rFonts w:ascii="Arial" w:eastAsia="Calibri" w:hAnsi="Arial" w:cs="Arial"/>
          <w:sz w:val="20"/>
        </w:rPr>
      </w:pPr>
      <w:r w:rsidRPr="00701F32">
        <w:rPr>
          <w:rFonts w:ascii="Arial" w:eastAsia="Calibri" w:hAnsi="Arial" w:cs="Arial"/>
          <w:sz w:val="20"/>
        </w:rPr>
        <w:t>Los costos directos iniciales, distintos de los incurridos por los fabricantes o concesionarios, se incluyen en la medición inicial de la inversión neta del arrendamiento y reducen la cantidad de ingresos reconocidos durante el plazo del arrendamiento. La tasa de interés implícita en el arrendamiento se define de tal manera que los costos directos iniciales se incluyen automáticamente en la inversión neta en el arrendamiento; no hay necesidad de agregarlos por separado.</w:t>
      </w:r>
    </w:p>
    <w:p w14:paraId="6AA15EF2" w14:textId="77777777" w:rsidR="00F60B2C" w:rsidRPr="00701F32" w:rsidRDefault="00F60B2C" w:rsidP="00F60B2C">
      <w:pPr>
        <w:spacing w:after="160" w:line="259" w:lineRule="auto"/>
        <w:jc w:val="both"/>
        <w:rPr>
          <w:rFonts w:ascii="Arial" w:eastAsia="Calibri" w:hAnsi="Arial" w:cs="Arial"/>
          <w:sz w:val="20"/>
        </w:rPr>
      </w:pPr>
      <w:r w:rsidRPr="00701F32">
        <w:rPr>
          <w:rFonts w:ascii="Arial" w:eastAsia="Calibri" w:hAnsi="Arial" w:cs="Arial"/>
          <w:sz w:val="20"/>
        </w:rPr>
        <w:t xml:space="preserve">La diferencia entre el importe bruto por cobrar y el valor actual representa el ingreso financiero que se reconoce durante el plazo del arrendamiento. Los ingresos financieros de los arrendamientos se registran dentro del resultado del </w:t>
      </w:r>
      <w:r>
        <w:rPr>
          <w:rFonts w:ascii="Arial" w:eastAsia="Calibri" w:hAnsi="Arial" w:cs="Arial"/>
          <w:sz w:val="20"/>
        </w:rPr>
        <w:t>ejercicio</w:t>
      </w:r>
      <w:r w:rsidRPr="00701F32">
        <w:rPr>
          <w:rFonts w:ascii="Arial" w:eastAsia="Calibri" w:hAnsi="Arial" w:cs="Arial"/>
          <w:sz w:val="20"/>
        </w:rPr>
        <w:t xml:space="preserve">. Las pérdidas por deterioro se reconocen en el resultado del </w:t>
      </w:r>
      <w:r>
        <w:rPr>
          <w:rFonts w:ascii="Arial" w:eastAsia="Calibri" w:hAnsi="Arial" w:cs="Arial"/>
          <w:sz w:val="20"/>
        </w:rPr>
        <w:t>ejercicio</w:t>
      </w:r>
      <w:r w:rsidRPr="00701F32">
        <w:rPr>
          <w:rFonts w:ascii="Arial" w:eastAsia="Calibri" w:hAnsi="Arial" w:cs="Arial"/>
          <w:sz w:val="20"/>
        </w:rPr>
        <w:t xml:space="preserve">. </w:t>
      </w:r>
    </w:p>
    <w:p w14:paraId="4BC4488C" w14:textId="77777777" w:rsidR="00F60B2C" w:rsidRDefault="00F60B2C" w:rsidP="00F60B2C">
      <w:pPr>
        <w:jc w:val="both"/>
        <w:rPr>
          <w:rFonts w:ascii="Arial" w:eastAsia="Calibri" w:hAnsi="Arial" w:cs="Arial"/>
          <w:sz w:val="20"/>
        </w:rPr>
      </w:pPr>
      <w:r w:rsidRPr="00701F32">
        <w:rPr>
          <w:rFonts w:ascii="Arial" w:eastAsia="Calibri" w:hAnsi="Arial" w:cs="Arial"/>
          <w:sz w:val="20"/>
        </w:rPr>
        <w:t>El Banco utiliza los criterios detallados en Nota 1.10 para determinar si existe evidencia objetiva de que se ha producido una pérdida por deterioro, en el caso de los préstamos llevados al costo amortizado.</w:t>
      </w:r>
    </w:p>
    <w:p w14:paraId="44200C82" w14:textId="77777777" w:rsidR="00F60B2C" w:rsidRPr="00701F32" w:rsidRDefault="00F60B2C" w:rsidP="00F60B2C">
      <w:pPr>
        <w:jc w:val="both"/>
        <w:rPr>
          <w:rFonts w:ascii="Arial" w:eastAsia="Calibri" w:hAnsi="Arial" w:cs="Arial"/>
          <w:sz w:val="20"/>
        </w:rPr>
      </w:pPr>
    </w:p>
    <w:p w14:paraId="1C8CB56A" w14:textId="77777777" w:rsidR="00F60B2C" w:rsidRPr="00701F32" w:rsidRDefault="00F60B2C" w:rsidP="00F60B2C">
      <w:pPr>
        <w:spacing w:after="160"/>
        <w:jc w:val="both"/>
        <w:rPr>
          <w:rFonts w:ascii="Arial" w:eastAsia="Calibri" w:hAnsi="Arial" w:cs="Arial"/>
          <w:b/>
          <w:sz w:val="20"/>
        </w:rPr>
      </w:pPr>
      <w:r>
        <w:rPr>
          <w:rFonts w:ascii="Arial" w:eastAsia="Calibri" w:hAnsi="Arial" w:cs="Arial"/>
          <w:b/>
          <w:sz w:val="20"/>
        </w:rPr>
        <w:t xml:space="preserve">1.13 </w:t>
      </w:r>
      <w:r w:rsidRPr="00701F32">
        <w:rPr>
          <w:rFonts w:ascii="Arial" w:eastAsia="Calibri" w:hAnsi="Arial" w:cs="Arial"/>
          <w:b/>
          <w:sz w:val="20"/>
        </w:rPr>
        <w:t>Propiedad, planta y equipo (PPE)</w:t>
      </w:r>
    </w:p>
    <w:p w14:paraId="5D186358" w14:textId="77777777" w:rsidR="00F60B2C" w:rsidRPr="00701F32" w:rsidRDefault="00F60B2C" w:rsidP="00F60B2C">
      <w:pPr>
        <w:numPr>
          <w:ilvl w:val="0"/>
          <w:numId w:val="86"/>
        </w:numPr>
        <w:spacing w:after="160"/>
        <w:contextualSpacing/>
        <w:jc w:val="both"/>
        <w:rPr>
          <w:rFonts w:ascii="Arial" w:eastAsia="Calibri" w:hAnsi="Arial" w:cs="Arial"/>
          <w:sz w:val="20"/>
        </w:rPr>
      </w:pPr>
      <w:r w:rsidRPr="00701F32">
        <w:rPr>
          <w:rFonts w:ascii="Arial" w:eastAsia="Calibri" w:hAnsi="Arial" w:cs="Arial"/>
          <w:sz w:val="20"/>
        </w:rPr>
        <w:t xml:space="preserve">Bases de medición utilizadas. </w:t>
      </w:r>
    </w:p>
    <w:p w14:paraId="7BC3BAB3" w14:textId="77777777" w:rsidR="00DA7EC6" w:rsidRDefault="00DA7EC6" w:rsidP="00F60B2C">
      <w:pPr>
        <w:spacing w:after="160"/>
        <w:jc w:val="both"/>
        <w:rPr>
          <w:rFonts w:ascii="Arial" w:eastAsia="Calibri" w:hAnsi="Arial" w:cs="Arial"/>
          <w:sz w:val="20"/>
        </w:rPr>
      </w:pPr>
    </w:p>
    <w:p w14:paraId="0BA81DE2" w14:textId="335D54EA"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Terrenos y edificios se contabilizan por sus valores revaluados basados en tasaciones periódicas, utilizando para ello el servicio de tasadores independientes, neto de la consecuente depreciación para edificios</w:t>
      </w:r>
      <w:r w:rsidR="00DA7EC6">
        <w:rPr>
          <w:rFonts w:ascii="Arial" w:eastAsia="Calibri" w:hAnsi="Arial" w:cs="Arial"/>
          <w:sz w:val="20"/>
        </w:rPr>
        <w:t>, se reconoce una reserva por revalúo dentro de Otros Resultados Integrales</w:t>
      </w:r>
      <w:r w:rsidRPr="00701F32">
        <w:rPr>
          <w:rFonts w:ascii="Arial" w:eastAsia="Calibri" w:hAnsi="Arial" w:cs="Arial"/>
          <w:sz w:val="20"/>
        </w:rPr>
        <w:t xml:space="preserve">. </w:t>
      </w:r>
    </w:p>
    <w:p w14:paraId="4B8F24B1"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Toda otra propiedad, planta y equipo se contabiliza a su costo histórico neto de depreciaciones acumuladas y/o de las pérdidas por desvalorización acumuladas, si las hubiera. El costo incluye los gastos que son directamente atribuibles a la adquisición o construcción de estas partidas.</w:t>
      </w:r>
    </w:p>
    <w:p w14:paraId="4D7F7FFA"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Los costos subsecuentes se incluyen en el valor del activo o se reconocen como un activo separado, según corresponda, si y solo si es probable que generen beneficios económicos futuros para el banco, y su costo pueda ser medido razonablemente. El valor de libros del activo que se reemplaza se da de baja, amortizándose el nuevo activo por la cantidad de años de vida útil restante al momento de efectuarse la mejora.</w:t>
      </w:r>
    </w:p>
    <w:p w14:paraId="2F5D8651"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 xml:space="preserve">Los gastos de reparación y mantenimiento se reconocen en el estado de resultados </w:t>
      </w:r>
      <w:r w:rsidRPr="00701F32">
        <w:rPr>
          <w:rFonts w:ascii="Arial" w:eastAsia="Arial" w:hAnsi="Arial" w:cs="Arial"/>
          <w:sz w:val="20"/>
        </w:rPr>
        <w:t>separados</w:t>
      </w:r>
      <w:r w:rsidRPr="00701F32">
        <w:rPr>
          <w:rFonts w:ascii="Arial" w:eastAsia="Calibri" w:hAnsi="Arial" w:cs="Arial"/>
          <w:sz w:val="20"/>
        </w:rPr>
        <w:t xml:space="preserve"> del </w:t>
      </w:r>
      <w:r>
        <w:rPr>
          <w:rFonts w:ascii="Arial" w:eastAsia="Calibri" w:hAnsi="Arial" w:cs="Arial"/>
          <w:sz w:val="20"/>
        </w:rPr>
        <w:t>ejercicio</w:t>
      </w:r>
      <w:r w:rsidRPr="00701F32">
        <w:rPr>
          <w:rFonts w:ascii="Arial" w:eastAsia="Calibri" w:hAnsi="Arial" w:cs="Arial"/>
          <w:sz w:val="20"/>
        </w:rPr>
        <w:t xml:space="preserve"> en que se incurren.</w:t>
      </w:r>
    </w:p>
    <w:p w14:paraId="31F6ABDE" w14:textId="77777777" w:rsidR="00F60B2C" w:rsidRPr="00701F32" w:rsidRDefault="00F60B2C" w:rsidP="00F60B2C">
      <w:pPr>
        <w:numPr>
          <w:ilvl w:val="0"/>
          <w:numId w:val="86"/>
        </w:numPr>
        <w:spacing w:after="160"/>
        <w:contextualSpacing/>
        <w:jc w:val="both"/>
        <w:rPr>
          <w:rFonts w:ascii="Arial" w:eastAsia="Calibri" w:hAnsi="Arial" w:cs="Arial"/>
          <w:sz w:val="20"/>
        </w:rPr>
      </w:pPr>
      <w:r w:rsidRPr="00701F32">
        <w:rPr>
          <w:rFonts w:ascii="Arial" w:eastAsia="Calibri" w:hAnsi="Arial" w:cs="Arial"/>
          <w:sz w:val="20"/>
        </w:rPr>
        <w:t xml:space="preserve">Métodos de depreciación utilizados. </w:t>
      </w:r>
    </w:p>
    <w:p w14:paraId="5F2C2057"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La depreciación es calculada utilizando el método de línea recta, aplicando tasas anuales suficientes para extinguir los valores de los bienes al final de la vida útil estimada.</w:t>
      </w:r>
    </w:p>
    <w:p w14:paraId="3AE18864"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 xml:space="preserve">A continuación, se detalla la vida útil para cada uno de los ítems que componen el rubro propiedad, planta y equipo: </w:t>
      </w:r>
    </w:p>
    <w:tbl>
      <w:tblPr>
        <w:tblStyle w:val="Tabladecuadrcula1clara1"/>
        <w:tblW w:w="0" w:type="auto"/>
        <w:tblInd w:w="1951" w:type="dxa"/>
        <w:tblLook w:val="04A0" w:firstRow="1" w:lastRow="0" w:firstColumn="1" w:lastColumn="0" w:noHBand="0" w:noVBand="1"/>
      </w:tblPr>
      <w:tblGrid>
        <w:gridCol w:w="2463"/>
        <w:gridCol w:w="2215"/>
      </w:tblGrid>
      <w:tr w:rsidR="00F60B2C" w:rsidRPr="00701F32" w14:paraId="33E88A49" w14:textId="77777777" w:rsidTr="00F60B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63" w:type="dxa"/>
            <w:tcBorders>
              <w:top w:val="single" w:sz="4" w:space="0" w:color="auto"/>
              <w:left w:val="single" w:sz="4" w:space="0" w:color="auto"/>
              <w:bottom w:val="single" w:sz="4" w:space="0" w:color="auto"/>
              <w:right w:val="single" w:sz="4" w:space="0" w:color="auto"/>
            </w:tcBorders>
          </w:tcPr>
          <w:p w14:paraId="793A358C" w14:textId="77777777" w:rsidR="00F60B2C" w:rsidRPr="00701F32" w:rsidRDefault="00F60B2C" w:rsidP="00F60B2C">
            <w:pPr>
              <w:jc w:val="both"/>
              <w:rPr>
                <w:rFonts w:ascii="Arial" w:hAnsi="Arial" w:cs="Arial"/>
                <w:sz w:val="18"/>
              </w:rPr>
            </w:pPr>
            <w:r w:rsidRPr="00701F32">
              <w:rPr>
                <w:rFonts w:ascii="Arial" w:hAnsi="Arial" w:cs="Arial"/>
                <w:sz w:val="18"/>
              </w:rPr>
              <w:t>Clase de Activo PPE</w:t>
            </w:r>
          </w:p>
        </w:tc>
        <w:tc>
          <w:tcPr>
            <w:tcW w:w="2215" w:type="dxa"/>
            <w:tcBorders>
              <w:top w:val="single" w:sz="4" w:space="0" w:color="auto"/>
              <w:left w:val="single" w:sz="4" w:space="0" w:color="auto"/>
              <w:bottom w:val="single" w:sz="4" w:space="0" w:color="auto"/>
              <w:right w:val="single" w:sz="4" w:space="0" w:color="auto"/>
            </w:tcBorders>
          </w:tcPr>
          <w:p w14:paraId="4925382A" w14:textId="77777777" w:rsidR="00F60B2C" w:rsidRPr="00701F32" w:rsidRDefault="00F60B2C" w:rsidP="00F60B2C">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rPr>
            </w:pPr>
            <w:r w:rsidRPr="00701F32">
              <w:rPr>
                <w:rFonts w:ascii="Arial" w:hAnsi="Arial" w:cs="Arial"/>
                <w:sz w:val="18"/>
              </w:rPr>
              <w:t>Vida útil estimada</w:t>
            </w:r>
          </w:p>
        </w:tc>
      </w:tr>
      <w:tr w:rsidR="00F60B2C" w:rsidRPr="00701F32" w14:paraId="078558DB" w14:textId="77777777" w:rsidTr="00F60B2C">
        <w:tc>
          <w:tcPr>
            <w:cnfStyle w:val="001000000000" w:firstRow="0" w:lastRow="0" w:firstColumn="1" w:lastColumn="0" w:oddVBand="0" w:evenVBand="0" w:oddHBand="0" w:evenHBand="0" w:firstRowFirstColumn="0" w:firstRowLastColumn="0" w:lastRowFirstColumn="0" w:lastRowLastColumn="0"/>
            <w:tcW w:w="2463" w:type="dxa"/>
            <w:tcBorders>
              <w:top w:val="single" w:sz="4" w:space="0" w:color="auto"/>
              <w:left w:val="single" w:sz="4" w:space="0" w:color="auto"/>
              <w:bottom w:val="single" w:sz="4" w:space="0" w:color="auto"/>
              <w:right w:val="single" w:sz="4" w:space="0" w:color="auto"/>
            </w:tcBorders>
          </w:tcPr>
          <w:p w14:paraId="7B0DE2FD" w14:textId="77777777" w:rsidR="00F60B2C" w:rsidRPr="00701F32" w:rsidRDefault="00F60B2C" w:rsidP="00F60B2C">
            <w:pPr>
              <w:jc w:val="both"/>
              <w:rPr>
                <w:rFonts w:ascii="Arial" w:hAnsi="Arial" w:cs="Arial"/>
                <w:b w:val="0"/>
                <w:bCs w:val="0"/>
                <w:sz w:val="18"/>
              </w:rPr>
            </w:pPr>
            <w:r w:rsidRPr="00701F32">
              <w:rPr>
                <w:rFonts w:ascii="Arial" w:hAnsi="Arial" w:cs="Arial"/>
                <w:sz w:val="18"/>
              </w:rPr>
              <w:t>Terrenos</w:t>
            </w:r>
          </w:p>
        </w:tc>
        <w:tc>
          <w:tcPr>
            <w:tcW w:w="2215" w:type="dxa"/>
            <w:tcBorders>
              <w:top w:val="single" w:sz="4" w:space="0" w:color="auto"/>
              <w:left w:val="single" w:sz="4" w:space="0" w:color="auto"/>
              <w:bottom w:val="single" w:sz="4" w:space="0" w:color="auto"/>
              <w:right w:val="single" w:sz="4" w:space="0" w:color="auto"/>
            </w:tcBorders>
          </w:tcPr>
          <w:p w14:paraId="5ECA0742" w14:textId="77777777" w:rsidR="00F60B2C" w:rsidRPr="00701F32" w:rsidRDefault="00F60B2C" w:rsidP="00F60B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No se amortizan</w:t>
            </w:r>
          </w:p>
        </w:tc>
      </w:tr>
      <w:tr w:rsidR="00F60B2C" w:rsidRPr="00701F32" w14:paraId="2EB8FB13" w14:textId="77777777" w:rsidTr="00F60B2C">
        <w:tc>
          <w:tcPr>
            <w:cnfStyle w:val="001000000000" w:firstRow="0" w:lastRow="0" w:firstColumn="1" w:lastColumn="0" w:oddVBand="0" w:evenVBand="0" w:oddHBand="0" w:evenHBand="0" w:firstRowFirstColumn="0" w:firstRowLastColumn="0" w:lastRowFirstColumn="0" w:lastRowLastColumn="0"/>
            <w:tcW w:w="2463" w:type="dxa"/>
            <w:tcBorders>
              <w:top w:val="single" w:sz="4" w:space="0" w:color="auto"/>
              <w:left w:val="single" w:sz="4" w:space="0" w:color="auto"/>
              <w:bottom w:val="single" w:sz="4" w:space="0" w:color="auto"/>
              <w:right w:val="single" w:sz="4" w:space="0" w:color="auto"/>
            </w:tcBorders>
          </w:tcPr>
          <w:p w14:paraId="21AE6FED" w14:textId="77777777" w:rsidR="00F60B2C" w:rsidRPr="00701F32" w:rsidRDefault="00F60B2C" w:rsidP="00F60B2C">
            <w:pPr>
              <w:jc w:val="both"/>
              <w:rPr>
                <w:rFonts w:ascii="Arial" w:hAnsi="Arial" w:cs="Arial"/>
                <w:b w:val="0"/>
                <w:sz w:val="18"/>
              </w:rPr>
            </w:pPr>
            <w:r w:rsidRPr="00701F32">
              <w:rPr>
                <w:rFonts w:ascii="Arial" w:hAnsi="Arial" w:cs="Arial"/>
                <w:sz w:val="18"/>
              </w:rPr>
              <w:t>Edificios</w:t>
            </w:r>
          </w:p>
        </w:tc>
        <w:tc>
          <w:tcPr>
            <w:tcW w:w="2215" w:type="dxa"/>
            <w:tcBorders>
              <w:top w:val="single" w:sz="4" w:space="0" w:color="auto"/>
              <w:left w:val="single" w:sz="4" w:space="0" w:color="auto"/>
              <w:bottom w:val="single" w:sz="4" w:space="0" w:color="auto"/>
              <w:right w:val="single" w:sz="4" w:space="0" w:color="auto"/>
            </w:tcBorders>
          </w:tcPr>
          <w:p w14:paraId="3C088A93" w14:textId="37AD31C3" w:rsidR="00F60B2C" w:rsidRPr="00701F32" w:rsidRDefault="00F60B2C" w:rsidP="00F60B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50 años</w:t>
            </w:r>
          </w:p>
        </w:tc>
      </w:tr>
      <w:tr w:rsidR="00F60B2C" w:rsidRPr="00701F32" w14:paraId="76EE95B5" w14:textId="77777777" w:rsidTr="00F60B2C">
        <w:tc>
          <w:tcPr>
            <w:cnfStyle w:val="001000000000" w:firstRow="0" w:lastRow="0" w:firstColumn="1" w:lastColumn="0" w:oddVBand="0" w:evenVBand="0" w:oddHBand="0" w:evenHBand="0" w:firstRowFirstColumn="0" w:firstRowLastColumn="0" w:lastRowFirstColumn="0" w:lastRowLastColumn="0"/>
            <w:tcW w:w="2463" w:type="dxa"/>
            <w:tcBorders>
              <w:top w:val="single" w:sz="4" w:space="0" w:color="auto"/>
              <w:left w:val="single" w:sz="4" w:space="0" w:color="auto"/>
              <w:bottom w:val="single" w:sz="4" w:space="0" w:color="auto"/>
              <w:right w:val="single" w:sz="4" w:space="0" w:color="auto"/>
            </w:tcBorders>
          </w:tcPr>
          <w:p w14:paraId="0984E14C" w14:textId="77777777" w:rsidR="00F60B2C" w:rsidRPr="00701F32" w:rsidRDefault="00F60B2C" w:rsidP="00F60B2C">
            <w:pPr>
              <w:jc w:val="both"/>
              <w:rPr>
                <w:rFonts w:ascii="Arial" w:hAnsi="Arial" w:cs="Arial"/>
                <w:b w:val="0"/>
                <w:sz w:val="18"/>
              </w:rPr>
            </w:pPr>
            <w:r w:rsidRPr="00701F32">
              <w:rPr>
                <w:rFonts w:ascii="Arial" w:hAnsi="Arial" w:cs="Arial"/>
                <w:sz w:val="18"/>
              </w:rPr>
              <w:t>Mobiliario e Instalaciones</w:t>
            </w:r>
          </w:p>
        </w:tc>
        <w:tc>
          <w:tcPr>
            <w:tcW w:w="2215" w:type="dxa"/>
            <w:tcBorders>
              <w:top w:val="single" w:sz="4" w:space="0" w:color="auto"/>
              <w:left w:val="single" w:sz="4" w:space="0" w:color="auto"/>
              <w:bottom w:val="single" w:sz="4" w:space="0" w:color="auto"/>
              <w:right w:val="single" w:sz="4" w:space="0" w:color="auto"/>
            </w:tcBorders>
          </w:tcPr>
          <w:p w14:paraId="49C3C879" w14:textId="77777777" w:rsidR="00F60B2C" w:rsidRPr="00701F32" w:rsidRDefault="00F60B2C" w:rsidP="00F60B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10 años</w:t>
            </w:r>
          </w:p>
        </w:tc>
      </w:tr>
      <w:tr w:rsidR="00F60B2C" w:rsidRPr="00701F32" w14:paraId="3DECA835" w14:textId="77777777" w:rsidTr="00F60B2C">
        <w:tc>
          <w:tcPr>
            <w:cnfStyle w:val="001000000000" w:firstRow="0" w:lastRow="0" w:firstColumn="1" w:lastColumn="0" w:oddVBand="0" w:evenVBand="0" w:oddHBand="0" w:evenHBand="0" w:firstRowFirstColumn="0" w:firstRowLastColumn="0" w:lastRowFirstColumn="0" w:lastRowLastColumn="0"/>
            <w:tcW w:w="2463" w:type="dxa"/>
            <w:tcBorders>
              <w:top w:val="single" w:sz="4" w:space="0" w:color="auto"/>
              <w:left w:val="single" w:sz="4" w:space="0" w:color="auto"/>
              <w:bottom w:val="single" w:sz="4" w:space="0" w:color="auto"/>
              <w:right w:val="single" w:sz="4" w:space="0" w:color="auto"/>
            </w:tcBorders>
          </w:tcPr>
          <w:p w14:paraId="39F23318" w14:textId="77777777" w:rsidR="00F60B2C" w:rsidRPr="00701F32" w:rsidRDefault="00F60B2C" w:rsidP="00F60B2C">
            <w:pPr>
              <w:jc w:val="both"/>
              <w:rPr>
                <w:rFonts w:ascii="Arial" w:hAnsi="Arial" w:cs="Arial"/>
                <w:b w:val="0"/>
                <w:sz w:val="18"/>
              </w:rPr>
            </w:pPr>
            <w:r w:rsidRPr="00701F32">
              <w:rPr>
                <w:rFonts w:ascii="Arial" w:hAnsi="Arial" w:cs="Arial"/>
                <w:sz w:val="18"/>
              </w:rPr>
              <w:t>Máquinas y Equipos</w:t>
            </w:r>
          </w:p>
        </w:tc>
        <w:tc>
          <w:tcPr>
            <w:tcW w:w="2215" w:type="dxa"/>
            <w:tcBorders>
              <w:top w:val="single" w:sz="4" w:space="0" w:color="auto"/>
              <w:left w:val="single" w:sz="4" w:space="0" w:color="auto"/>
              <w:bottom w:val="single" w:sz="4" w:space="0" w:color="auto"/>
              <w:right w:val="single" w:sz="4" w:space="0" w:color="auto"/>
            </w:tcBorders>
          </w:tcPr>
          <w:p w14:paraId="1B9F00C1" w14:textId="5A976FA4" w:rsidR="00F60B2C" w:rsidRPr="00701F32" w:rsidRDefault="00F60B2C" w:rsidP="00F60B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5 años</w:t>
            </w:r>
          </w:p>
        </w:tc>
      </w:tr>
      <w:tr w:rsidR="00F60B2C" w:rsidRPr="00701F32" w14:paraId="013758DF" w14:textId="77777777" w:rsidTr="00F60B2C">
        <w:tc>
          <w:tcPr>
            <w:cnfStyle w:val="001000000000" w:firstRow="0" w:lastRow="0" w:firstColumn="1" w:lastColumn="0" w:oddVBand="0" w:evenVBand="0" w:oddHBand="0" w:evenHBand="0" w:firstRowFirstColumn="0" w:firstRowLastColumn="0" w:lastRowFirstColumn="0" w:lastRowLastColumn="0"/>
            <w:tcW w:w="2463" w:type="dxa"/>
            <w:tcBorders>
              <w:top w:val="single" w:sz="4" w:space="0" w:color="auto"/>
              <w:left w:val="single" w:sz="4" w:space="0" w:color="auto"/>
              <w:bottom w:val="single" w:sz="4" w:space="0" w:color="auto"/>
              <w:right w:val="single" w:sz="4" w:space="0" w:color="auto"/>
            </w:tcBorders>
          </w:tcPr>
          <w:p w14:paraId="3AFDC6A8" w14:textId="77777777" w:rsidR="00F60B2C" w:rsidRPr="00701F32" w:rsidRDefault="00F60B2C" w:rsidP="00F60B2C">
            <w:pPr>
              <w:jc w:val="both"/>
              <w:rPr>
                <w:rFonts w:ascii="Arial" w:hAnsi="Arial" w:cs="Arial"/>
                <w:b w:val="0"/>
                <w:sz w:val="18"/>
              </w:rPr>
            </w:pPr>
            <w:r w:rsidRPr="00701F32">
              <w:rPr>
                <w:rFonts w:ascii="Arial" w:hAnsi="Arial" w:cs="Arial"/>
                <w:sz w:val="18"/>
              </w:rPr>
              <w:t>Vehículos</w:t>
            </w:r>
          </w:p>
        </w:tc>
        <w:tc>
          <w:tcPr>
            <w:tcW w:w="2215" w:type="dxa"/>
            <w:tcBorders>
              <w:top w:val="single" w:sz="4" w:space="0" w:color="auto"/>
              <w:left w:val="single" w:sz="4" w:space="0" w:color="auto"/>
              <w:bottom w:val="single" w:sz="4" w:space="0" w:color="auto"/>
              <w:right w:val="single" w:sz="4" w:space="0" w:color="auto"/>
            </w:tcBorders>
          </w:tcPr>
          <w:p w14:paraId="34BAE6DC" w14:textId="77777777" w:rsidR="00F60B2C" w:rsidRPr="00701F32" w:rsidRDefault="00F60B2C" w:rsidP="00F60B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5 años</w:t>
            </w:r>
          </w:p>
        </w:tc>
      </w:tr>
      <w:tr w:rsidR="00F60B2C" w:rsidRPr="00701F32" w14:paraId="015EAB39" w14:textId="77777777" w:rsidTr="00F60B2C">
        <w:tc>
          <w:tcPr>
            <w:cnfStyle w:val="001000000000" w:firstRow="0" w:lastRow="0" w:firstColumn="1" w:lastColumn="0" w:oddVBand="0" w:evenVBand="0" w:oddHBand="0" w:evenHBand="0" w:firstRowFirstColumn="0" w:firstRowLastColumn="0" w:lastRowFirstColumn="0" w:lastRowLastColumn="0"/>
            <w:tcW w:w="2463" w:type="dxa"/>
            <w:tcBorders>
              <w:top w:val="single" w:sz="4" w:space="0" w:color="auto"/>
              <w:left w:val="single" w:sz="4" w:space="0" w:color="auto"/>
              <w:bottom w:val="single" w:sz="4" w:space="0" w:color="auto"/>
              <w:right w:val="single" w:sz="4" w:space="0" w:color="auto"/>
            </w:tcBorders>
          </w:tcPr>
          <w:p w14:paraId="43591969" w14:textId="77777777" w:rsidR="00F60B2C" w:rsidRPr="00701F32" w:rsidRDefault="00F60B2C" w:rsidP="00F60B2C">
            <w:pPr>
              <w:jc w:val="both"/>
              <w:rPr>
                <w:rFonts w:ascii="Arial" w:hAnsi="Arial" w:cs="Arial"/>
                <w:b w:val="0"/>
                <w:sz w:val="18"/>
              </w:rPr>
            </w:pPr>
            <w:r w:rsidRPr="00701F32">
              <w:rPr>
                <w:rFonts w:ascii="Arial" w:hAnsi="Arial" w:cs="Arial"/>
                <w:sz w:val="18"/>
              </w:rPr>
              <w:t>Obras en Curso</w:t>
            </w:r>
          </w:p>
        </w:tc>
        <w:tc>
          <w:tcPr>
            <w:tcW w:w="2215" w:type="dxa"/>
            <w:tcBorders>
              <w:top w:val="single" w:sz="4" w:space="0" w:color="auto"/>
              <w:left w:val="single" w:sz="4" w:space="0" w:color="auto"/>
              <w:bottom w:val="single" w:sz="4" w:space="0" w:color="auto"/>
              <w:right w:val="single" w:sz="4" w:space="0" w:color="auto"/>
            </w:tcBorders>
          </w:tcPr>
          <w:p w14:paraId="4C30A60A" w14:textId="77777777" w:rsidR="00F60B2C" w:rsidRPr="00701F32" w:rsidRDefault="00F60B2C" w:rsidP="00F60B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01F32">
              <w:rPr>
                <w:rFonts w:ascii="Arial" w:hAnsi="Arial" w:cs="Arial"/>
                <w:sz w:val="18"/>
              </w:rPr>
              <w:t xml:space="preserve">No se amortizan </w:t>
            </w:r>
          </w:p>
        </w:tc>
      </w:tr>
    </w:tbl>
    <w:p w14:paraId="27DB582A" w14:textId="77777777" w:rsidR="00F60B2C" w:rsidRPr="00701F32" w:rsidRDefault="00F60B2C" w:rsidP="00F60B2C">
      <w:pPr>
        <w:spacing w:after="160"/>
        <w:jc w:val="both"/>
        <w:rPr>
          <w:rFonts w:ascii="Arial" w:eastAsia="Calibri" w:hAnsi="Arial" w:cs="Arial"/>
          <w:sz w:val="20"/>
        </w:rPr>
      </w:pPr>
    </w:p>
    <w:p w14:paraId="24D20E6A"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Los valores residuales de la propiedad, planta y equipo, las vidas útiles y los métodos de depreciación se revisan y ajustan si fuera necesario, a la fecha de cierre de cada ejercicio o cuando existan indicios de desvalorización.</w:t>
      </w:r>
    </w:p>
    <w:p w14:paraId="24C00415" w14:textId="458827EE"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El valor de libros de la propiedad, planta y equipo se reduce inmediatamente a su importe recuperable cuando el importe en libros es superior al monto recuperable estimado.</w:t>
      </w:r>
    </w:p>
    <w:p w14:paraId="75696B8F" w14:textId="77777777" w:rsidR="00F60B2C" w:rsidRPr="00701F32" w:rsidRDefault="00F60B2C" w:rsidP="00F60B2C">
      <w:pPr>
        <w:numPr>
          <w:ilvl w:val="0"/>
          <w:numId w:val="86"/>
        </w:numPr>
        <w:spacing w:after="160"/>
        <w:contextualSpacing/>
        <w:jc w:val="both"/>
        <w:rPr>
          <w:rFonts w:ascii="Arial" w:eastAsia="Calibri" w:hAnsi="Arial" w:cs="Arial"/>
          <w:sz w:val="20"/>
        </w:rPr>
      </w:pPr>
      <w:r w:rsidRPr="00701F32">
        <w:rPr>
          <w:rFonts w:ascii="Arial" w:eastAsia="Calibri" w:hAnsi="Arial" w:cs="Arial"/>
          <w:sz w:val="20"/>
        </w:rPr>
        <w:t>Resultado por venta</w:t>
      </w:r>
    </w:p>
    <w:p w14:paraId="685051E8"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 xml:space="preserve">Los resultados por venta de propiedad, planta y equipo se calculan comparando los ingresos obtenidos con el valor de libros del bien respectivo. Las utilidades o pérdidas resultantes son registradas en el estado de resultado integral </w:t>
      </w:r>
      <w:r w:rsidRPr="00701F32">
        <w:rPr>
          <w:rFonts w:ascii="Arial" w:eastAsia="Arial" w:hAnsi="Arial" w:cs="Arial"/>
          <w:sz w:val="20"/>
        </w:rPr>
        <w:t>separado</w:t>
      </w:r>
      <w:r w:rsidRPr="00701F32">
        <w:rPr>
          <w:rFonts w:ascii="Arial" w:eastAsia="Calibri" w:hAnsi="Arial" w:cs="Arial"/>
          <w:sz w:val="20"/>
        </w:rPr>
        <w:t>.</w:t>
      </w:r>
    </w:p>
    <w:p w14:paraId="6C632ABD" w14:textId="77777777" w:rsidR="00F60B2C" w:rsidRPr="00701F32" w:rsidRDefault="00F60B2C" w:rsidP="00F60B2C">
      <w:pPr>
        <w:numPr>
          <w:ilvl w:val="0"/>
          <w:numId w:val="86"/>
        </w:numPr>
        <w:spacing w:after="160"/>
        <w:contextualSpacing/>
        <w:jc w:val="both"/>
        <w:rPr>
          <w:rFonts w:ascii="Arial" w:eastAsia="Calibri" w:hAnsi="Arial" w:cs="Arial"/>
          <w:sz w:val="20"/>
        </w:rPr>
      </w:pPr>
      <w:r w:rsidRPr="00701F32">
        <w:rPr>
          <w:rFonts w:ascii="Arial" w:eastAsia="Calibri" w:hAnsi="Arial" w:cs="Arial"/>
          <w:sz w:val="20"/>
        </w:rPr>
        <w:t xml:space="preserve">Inmuebles - Revaluación y costo histórico. </w:t>
      </w:r>
    </w:p>
    <w:p w14:paraId="336B7F5C" w14:textId="77777777" w:rsidR="00F60B2C" w:rsidRDefault="00F60B2C" w:rsidP="00F60B2C">
      <w:pPr>
        <w:spacing w:after="160"/>
        <w:jc w:val="both"/>
        <w:rPr>
          <w:rFonts w:ascii="Arial" w:eastAsia="Calibri" w:hAnsi="Arial" w:cs="Arial"/>
          <w:sz w:val="20"/>
        </w:rPr>
      </w:pPr>
      <w:r w:rsidRPr="00701F32">
        <w:rPr>
          <w:rFonts w:ascii="Arial" w:eastAsia="Calibri" w:hAnsi="Arial" w:cs="Arial"/>
          <w:sz w:val="20"/>
        </w:rPr>
        <w:t>En el siguiente cuadro se revela la siguiente información relacionada a la clase de activos que han sido contabilizados a su valor revaluado</w:t>
      </w:r>
      <w:r>
        <w:rPr>
          <w:rFonts w:ascii="Arial" w:eastAsia="Calibri" w:hAnsi="Arial" w:cs="Arial"/>
          <w:sz w:val="20"/>
        </w:rPr>
        <w:t xml:space="preserve">, </w:t>
      </w:r>
      <w:r w:rsidRPr="00701F32">
        <w:rPr>
          <w:rFonts w:ascii="Arial" w:eastAsia="Calibri" w:hAnsi="Arial" w:cs="Arial"/>
          <w:sz w:val="20"/>
        </w:rPr>
        <w:t>como así también se presentan los valores en libros que se habrían reconocido si los activos revaluados hubieran sido cont</w:t>
      </w:r>
      <w:r>
        <w:rPr>
          <w:rFonts w:ascii="Arial" w:eastAsia="Calibri" w:hAnsi="Arial" w:cs="Arial"/>
          <w:sz w:val="20"/>
        </w:rPr>
        <w:t>abilizados bajo modelo de costo</w:t>
      </w:r>
      <w:r w:rsidRPr="00701F32">
        <w:rPr>
          <w:rFonts w:ascii="Arial" w:eastAsia="Calibri" w:hAnsi="Arial" w:cs="Arial"/>
          <w:sz w:val="20"/>
        </w:rPr>
        <w:t>:</w:t>
      </w:r>
    </w:p>
    <w:p w14:paraId="3E01B913" w14:textId="77777777" w:rsidR="00F60B2C" w:rsidRPr="00701F32" w:rsidRDefault="00F60B2C" w:rsidP="00F60B2C">
      <w:pPr>
        <w:spacing w:after="160"/>
        <w:jc w:val="both"/>
        <w:rPr>
          <w:rFonts w:ascii="Arial" w:eastAsia="Calibri" w:hAnsi="Arial" w:cs="Arial"/>
          <w:sz w:val="20"/>
        </w:rPr>
      </w:pPr>
    </w:p>
    <w:tbl>
      <w:tblPr>
        <w:tblpPr w:leftFromText="141" w:rightFromText="141" w:vertAnchor="text" w:horzAnchor="margin" w:tblpXSpec="center" w:tblpY="54"/>
        <w:tblW w:w="8553" w:type="dxa"/>
        <w:jc w:val="center"/>
        <w:tblCellMar>
          <w:left w:w="70" w:type="dxa"/>
          <w:right w:w="70" w:type="dxa"/>
        </w:tblCellMar>
        <w:tblLook w:val="04A0" w:firstRow="1" w:lastRow="0" w:firstColumn="1" w:lastColumn="0" w:noHBand="0" w:noVBand="1"/>
      </w:tblPr>
      <w:tblGrid>
        <w:gridCol w:w="1050"/>
        <w:gridCol w:w="1578"/>
        <w:gridCol w:w="1083"/>
        <w:gridCol w:w="857"/>
        <w:gridCol w:w="790"/>
        <w:gridCol w:w="1030"/>
        <w:gridCol w:w="1154"/>
        <w:gridCol w:w="1011"/>
      </w:tblGrid>
      <w:tr w:rsidR="00F60B2C" w:rsidRPr="00701F32" w14:paraId="3DFD3B70" w14:textId="77777777" w:rsidTr="00B57E77">
        <w:trPr>
          <w:trHeight w:val="108"/>
          <w:tblHeader/>
          <w:jc w:val="center"/>
        </w:trPr>
        <w:tc>
          <w:tcPr>
            <w:tcW w:w="1092" w:type="dxa"/>
            <w:vMerge w:val="restart"/>
            <w:tcBorders>
              <w:top w:val="single" w:sz="4" w:space="0" w:color="363639"/>
              <w:left w:val="single" w:sz="4" w:space="0" w:color="363639"/>
              <w:bottom w:val="single" w:sz="4" w:space="0" w:color="363639"/>
              <w:right w:val="single" w:sz="4" w:space="0" w:color="363639"/>
            </w:tcBorders>
            <w:shd w:val="clear" w:color="auto" w:fill="auto"/>
            <w:vAlign w:val="bottom"/>
            <w:hideMark/>
          </w:tcPr>
          <w:p w14:paraId="6325E0C5" w14:textId="77777777" w:rsidR="00F60B2C" w:rsidRPr="00701F32" w:rsidRDefault="00F60B2C" w:rsidP="00F60B2C">
            <w:pPr>
              <w:jc w:val="center"/>
              <w:rPr>
                <w:rFonts w:ascii="Arial" w:hAnsi="Arial" w:cs="Arial"/>
                <w:b/>
                <w:bCs/>
                <w:sz w:val="16"/>
                <w:szCs w:val="18"/>
                <w:lang w:eastAsia="es-AR"/>
              </w:rPr>
            </w:pPr>
            <w:r w:rsidRPr="00701F32">
              <w:rPr>
                <w:rFonts w:ascii="Arial" w:hAnsi="Arial" w:cs="Arial"/>
                <w:b/>
                <w:bCs/>
                <w:color w:val="363639"/>
                <w:sz w:val="16"/>
                <w:szCs w:val="18"/>
              </w:rPr>
              <w:t>Detalle de Clases</w:t>
            </w:r>
          </w:p>
        </w:tc>
        <w:tc>
          <w:tcPr>
            <w:tcW w:w="1721" w:type="dxa"/>
            <w:vMerge w:val="restart"/>
            <w:tcBorders>
              <w:top w:val="single" w:sz="4" w:space="0" w:color="363639"/>
              <w:left w:val="single" w:sz="4" w:space="0" w:color="363639"/>
              <w:bottom w:val="nil"/>
              <w:right w:val="single" w:sz="4" w:space="0" w:color="363639"/>
            </w:tcBorders>
            <w:shd w:val="clear" w:color="auto" w:fill="auto"/>
            <w:vAlign w:val="bottom"/>
            <w:hideMark/>
          </w:tcPr>
          <w:p w14:paraId="3F2CE1B9" w14:textId="77777777" w:rsidR="00F60B2C" w:rsidRPr="00701F32" w:rsidRDefault="00F60B2C" w:rsidP="00F60B2C">
            <w:pPr>
              <w:jc w:val="center"/>
              <w:rPr>
                <w:rFonts w:ascii="Arial" w:hAnsi="Arial" w:cs="Arial"/>
                <w:b/>
                <w:bCs/>
                <w:sz w:val="16"/>
                <w:szCs w:val="18"/>
              </w:rPr>
            </w:pPr>
            <w:r w:rsidRPr="00701F32">
              <w:rPr>
                <w:rFonts w:ascii="Arial" w:hAnsi="Arial" w:cs="Arial"/>
                <w:b/>
                <w:bCs/>
                <w:color w:val="363639"/>
                <w:sz w:val="16"/>
                <w:szCs w:val="18"/>
              </w:rPr>
              <w:t>Tasador</w:t>
            </w:r>
          </w:p>
        </w:tc>
        <w:tc>
          <w:tcPr>
            <w:tcW w:w="1023"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37DC4F39" w14:textId="77777777" w:rsidR="00F60B2C" w:rsidRPr="00701F32" w:rsidRDefault="00F60B2C" w:rsidP="00F60B2C">
            <w:pPr>
              <w:jc w:val="center"/>
              <w:rPr>
                <w:rFonts w:ascii="Arial" w:hAnsi="Arial" w:cs="Arial"/>
                <w:b/>
                <w:bCs/>
                <w:sz w:val="16"/>
                <w:szCs w:val="18"/>
              </w:rPr>
            </w:pPr>
            <w:r w:rsidRPr="00701F32">
              <w:rPr>
                <w:rFonts w:ascii="Arial" w:hAnsi="Arial" w:cs="Arial"/>
                <w:b/>
                <w:bCs/>
                <w:color w:val="363639"/>
                <w:sz w:val="16"/>
                <w:szCs w:val="18"/>
              </w:rPr>
              <w:t>Fecha de Revaluación</w:t>
            </w:r>
          </w:p>
        </w:tc>
        <w:tc>
          <w:tcPr>
            <w:tcW w:w="2659" w:type="dxa"/>
            <w:gridSpan w:val="3"/>
            <w:tcBorders>
              <w:top w:val="single" w:sz="4" w:space="0" w:color="363639"/>
              <w:left w:val="nil"/>
              <w:bottom w:val="single" w:sz="4" w:space="0" w:color="363639"/>
              <w:right w:val="single" w:sz="4" w:space="0" w:color="363639"/>
            </w:tcBorders>
            <w:shd w:val="clear" w:color="auto" w:fill="auto"/>
            <w:hideMark/>
          </w:tcPr>
          <w:p w14:paraId="19D80F75" w14:textId="77777777" w:rsidR="00F60B2C" w:rsidRPr="00701F32" w:rsidRDefault="00F60B2C" w:rsidP="00F60B2C">
            <w:pPr>
              <w:jc w:val="center"/>
              <w:rPr>
                <w:rFonts w:ascii="Arial" w:hAnsi="Arial" w:cs="Arial"/>
                <w:b/>
                <w:bCs/>
                <w:sz w:val="16"/>
                <w:szCs w:val="18"/>
              </w:rPr>
            </w:pPr>
            <w:r w:rsidRPr="00701F32">
              <w:rPr>
                <w:rFonts w:ascii="Arial" w:hAnsi="Arial" w:cs="Arial"/>
                <w:b/>
                <w:bCs/>
                <w:color w:val="363639"/>
                <w:sz w:val="16"/>
                <w:szCs w:val="18"/>
              </w:rPr>
              <w:t>Ajuste por Revaluación - ORI acumulado</w:t>
            </w:r>
          </w:p>
        </w:tc>
        <w:tc>
          <w:tcPr>
            <w:tcW w:w="1047" w:type="dxa"/>
            <w:vMerge w:val="restart"/>
            <w:tcBorders>
              <w:top w:val="single" w:sz="4" w:space="0" w:color="363639"/>
              <w:left w:val="single" w:sz="4" w:space="0" w:color="363639"/>
              <w:right w:val="single" w:sz="4" w:space="0" w:color="363639"/>
            </w:tcBorders>
            <w:vAlign w:val="center"/>
          </w:tcPr>
          <w:p w14:paraId="10D5B580" w14:textId="77777777" w:rsidR="00F60B2C" w:rsidRPr="00701F32" w:rsidRDefault="00F60B2C" w:rsidP="00F60B2C">
            <w:pPr>
              <w:jc w:val="center"/>
              <w:rPr>
                <w:rFonts w:ascii="Arial" w:hAnsi="Arial" w:cs="Arial"/>
                <w:b/>
                <w:bCs/>
                <w:color w:val="363639"/>
                <w:sz w:val="16"/>
                <w:szCs w:val="18"/>
              </w:rPr>
            </w:pPr>
            <w:r w:rsidRPr="00701F32">
              <w:rPr>
                <w:rFonts w:ascii="Arial" w:hAnsi="Arial" w:cs="Arial"/>
                <w:b/>
                <w:bCs/>
                <w:color w:val="363639"/>
                <w:sz w:val="16"/>
                <w:szCs w:val="18"/>
              </w:rPr>
              <w:t>Amortización revaluo</w:t>
            </w:r>
          </w:p>
        </w:tc>
        <w:tc>
          <w:tcPr>
            <w:tcW w:w="1011" w:type="dxa"/>
            <w:vMerge w:val="restart"/>
            <w:tcBorders>
              <w:top w:val="single" w:sz="4" w:space="0" w:color="363639"/>
              <w:left w:val="single" w:sz="4" w:space="0" w:color="363639"/>
              <w:bottom w:val="single" w:sz="4" w:space="0" w:color="363639"/>
              <w:right w:val="single" w:sz="4" w:space="0" w:color="363639"/>
            </w:tcBorders>
            <w:shd w:val="clear" w:color="auto" w:fill="auto"/>
            <w:hideMark/>
          </w:tcPr>
          <w:p w14:paraId="71A0B99A" w14:textId="1370BA2B" w:rsidR="00F60B2C" w:rsidRPr="00701F32" w:rsidRDefault="00F60B2C" w:rsidP="00F60B2C">
            <w:pPr>
              <w:jc w:val="center"/>
              <w:rPr>
                <w:rFonts w:ascii="Arial" w:hAnsi="Arial" w:cs="Arial"/>
                <w:b/>
                <w:bCs/>
                <w:color w:val="363639"/>
                <w:sz w:val="16"/>
                <w:szCs w:val="18"/>
              </w:rPr>
            </w:pPr>
            <w:r w:rsidRPr="00701F32">
              <w:rPr>
                <w:rFonts w:ascii="Arial" w:hAnsi="Arial" w:cs="Arial"/>
                <w:b/>
                <w:bCs/>
                <w:color w:val="363639"/>
                <w:sz w:val="16"/>
                <w:szCs w:val="18"/>
              </w:rPr>
              <w:t>Importe en libros s</w:t>
            </w:r>
            <w:r w:rsidR="00DA7EC6">
              <w:rPr>
                <w:rFonts w:ascii="Arial" w:hAnsi="Arial" w:cs="Arial"/>
                <w:b/>
                <w:bCs/>
                <w:color w:val="363639"/>
                <w:sz w:val="16"/>
                <w:szCs w:val="18"/>
              </w:rPr>
              <w:t>i se hubiera registrado bajo el</w:t>
            </w:r>
            <w:r w:rsidRPr="00701F32">
              <w:rPr>
                <w:rFonts w:ascii="Arial" w:hAnsi="Arial" w:cs="Arial"/>
                <w:b/>
                <w:bCs/>
                <w:color w:val="363639"/>
                <w:sz w:val="16"/>
                <w:szCs w:val="18"/>
              </w:rPr>
              <w:t xml:space="preserve"> Modelo de costo </w:t>
            </w:r>
          </w:p>
        </w:tc>
      </w:tr>
      <w:tr w:rsidR="00F60B2C" w:rsidRPr="00701F32" w14:paraId="73A2B422" w14:textId="77777777" w:rsidTr="00B57E77">
        <w:trPr>
          <w:trHeight w:val="336"/>
          <w:tblHeader/>
          <w:jc w:val="center"/>
        </w:trPr>
        <w:tc>
          <w:tcPr>
            <w:tcW w:w="1092" w:type="dxa"/>
            <w:vMerge/>
            <w:tcBorders>
              <w:top w:val="single" w:sz="4" w:space="0" w:color="363639"/>
              <w:left w:val="single" w:sz="4" w:space="0" w:color="363639"/>
              <w:bottom w:val="single" w:sz="4" w:space="0" w:color="363639"/>
              <w:right w:val="single" w:sz="4" w:space="0" w:color="363639"/>
            </w:tcBorders>
            <w:vAlign w:val="center"/>
            <w:hideMark/>
          </w:tcPr>
          <w:p w14:paraId="36DE0025" w14:textId="77777777" w:rsidR="00F60B2C" w:rsidRPr="00701F32" w:rsidRDefault="00F60B2C" w:rsidP="00F60B2C">
            <w:pPr>
              <w:rPr>
                <w:rFonts w:ascii="Arial" w:hAnsi="Arial" w:cs="Arial"/>
                <w:b/>
                <w:bCs/>
                <w:sz w:val="16"/>
                <w:szCs w:val="18"/>
              </w:rPr>
            </w:pPr>
          </w:p>
        </w:tc>
        <w:tc>
          <w:tcPr>
            <w:tcW w:w="1721" w:type="dxa"/>
            <w:vMerge/>
            <w:tcBorders>
              <w:top w:val="single" w:sz="4" w:space="0" w:color="363639"/>
              <w:left w:val="single" w:sz="4" w:space="0" w:color="363639"/>
              <w:bottom w:val="nil"/>
              <w:right w:val="single" w:sz="4" w:space="0" w:color="363639"/>
            </w:tcBorders>
            <w:vAlign w:val="center"/>
            <w:hideMark/>
          </w:tcPr>
          <w:p w14:paraId="7DB857B7" w14:textId="77777777" w:rsidR="00F60B2C" w:rsidRPr="00701F32" w:rsidRDefault="00F60B2C" w:rsidP="00F60B2C">
            <w:pPr>
              <w:rPr>
                <w:rFonts w:ascii="Arial" w:hAnsi="Arial" w:cs="Arial"/>
                <w:b/>
                <w:bCs/>
                <w:sz w:val="16"/>
                <w:szCs w:val="18"/>
              </w:rPr>
            </w:pPr>
          </w:p>
        </w:tc>
        <w:tc>
          <w:tcPr>
            <w:tcW w:w="1023" w:type="dxa"/>
            <w:vMerge/>
            <w:tcBorders>
              <w:top w:val="single" w:sz="4" w:space="0" w:color="363639"/>
              <w:left w:val="single" w:sz="4" w:space="0" w:color="363639"/>
              <w:bottom w:val="single" w:sz="4" w:space="0" w:color="363639"/>
              <w:right w:val="single" w:sz="4" w:space="0" w:color="363639"/>
            </w:tcBorders>
            <w:vAlign w:val="center"/>
            <w:hideMark/>
          </w:tcPr>
          <w:p w14:paraId="240A043D" w14:textId="77777777" w:rsidR="00F60B2C" w:rsidRPr="00701F32" w:rsidRDefault="00F60B2C" w:rsidP="00F60B2C">
            <w:pPr>
              <w:rPr>
                <w:rFonts w:ascii="Arial" w:hAnsi="Arial" w:cs="Arial"/>
                <w:b/>
                <w:bCs/>
                <w:sz w:val="16"/>
                <w:szCs w:val="18"/>
              </w:rPr>
            </w:pPr>
          </w:p>
        </w:tc>
        <w:tc>
          <w:tcPr>
            <w:tcW w:w="857" w:type="dxa"/>
            <w:tcBorders>
              <w:top w:val="nil"/>
              <w:left w:val="nil"/>
              <w:bottom w:val="single" w:sz="4" w:space="0" w:color="363639"/>
              <w:right w:val="single" w:sz="4" w:space="0" w:color="363639"/>
            </w:tcBorders>
            <w:shd w:val="clear" w:color="auto" w:fill="auto"/>
            <w:hideMark/>
          </w:tcPr>
          <w:p w14:paraId="2F515C45" w14:textId="77777777" w:rsidR="00F60B2C" w:rsidRPr="00701F32" w:rsidRDefault="00F60B2C" w:rsidP="00F60B2C">
            <w:pPr>
              <w:jc w:val="center"/>
              <w:rPr>
                <w:rFonts w:ascii="Arial" w:hAnsi="Arial" w:cs="Arial"/>
                <w:b/>
                <w:bCs/>
                <w:sz w:val="16"/>
                <w:szCs w:val="18"/>
              </w:rPr>
            </w:pPr>
            <w:r w:rsidRPr="00701F32">
              <w:rPr>
                <w:rFonts w:ascii="Arial" w:hAnsi="Arial" w:cs="Arial"/>
                <w:b/>
                <w:bCs/>
                <w:color w:val="363639"/>
                <w:sz w:val="16"/>
                <w:szCs w:val="18"/>
              </w:rPr>
              <w:t xml:space="preserve">Saldo al inicio del </w:t>
            </w:r>
            <w:r>
              <w:rPr>
                <w:rFonts w:ascii="Arial" w:hAnsi="Arial" w:cs="Arial"/>
                <w:b/>
                <w:bCs/>
                <w:color w:val="363639"/>
                <w:sz w:val="16"/>
                <w:szCs w:val="18"/>
              </w:rPr>
              <w:t>ejercicio</w:t>
            </w:r>
          </w:p>
        </w:tc>
        <w:tc>
          <w:tcPr>
            <w:tcW w:w="772" w:type="dxa"/>
            <w:tcBorders>
              <w:top w:val="nil"/>
              <w:left w:val="nil"/>
              <w:bottom w:val="single" w:sz="4" w:space="0" w:color="363639"/>
              <w:right w:val="single" w:sz="4" w:space="0" w:color="363639"/>
            </w:tcBorders>
            <w:shd w:val="clear" w:color="auto" w:fill="auto"/>
            <w:hideMark/>
          </w:tcPr>
          <w:p w14:paraId="5F4DA12D" w14:textId="77777777" w:rsidR="00F60B2C" w:rsidRPr="00701F32" w:rsidRDefault="00F60B2C" w:rsidP="00F60B2C">
            <w:pPr>
              <w:jc w:val="center"/>
              <w:rPr>
                <w:rFonts w:ascii="Arial" w:hAnsi="Arial" w:cs="Arial"/>
                <w:b/>
                <w:bCs/>
                <w:color w:val="363639"/>
                <w:sz w:val="16"/>
                <w:szCs w:val="18"/>
              </w:rPr>
            </w:pPr>
            <w:r w:rsidRPr="00701F32">
              <w:rPr>
                <w:rFonts w:ascii="Arial" w:hAnsi="Arial" w:cs="Arial"/>
                <w:b/>
                <w:bCs/>
                <w:color w:val="363639"/>
                <w:sz w:val="16"/>
                <w:szCs w:val="18"/>
              </w:rPr>
              <w:t xml:space="preserve">Cambio del </w:t>
            </w:r>
            <w:r>
              <w:rPr>
                <w:rFonts w:ascii="Arial" w:hAnsi="Arial" w:cs="Arial"/>
                <w:b/>
                <w:bCs/>
                <w:color w:val="363639"/>
                <w:sz w:val="16"/>
                <w:szCs w:val="18"/>
              </w:rPr>
              <w:t>ejercicio</w:t>
            </w:r>
            <w:r w:rsidRPr="00701F32">
              <w:rPr>
                <w:rFonts w:ascii="Arial" w:hAnsi="Arial" w:cs="Arial"/>
                <w:b/>
                <w:bCs/>
                <w:color w:val="363639"/>
                <w:sz w:val="16"/>
                <w:szCs w:val="18"/>
              </w:rPr>
              <w:t xml:space="preserve"> </w:t>
            </w:r>
          </w:p>
        </w:tc>
        <w:tc>
          <w:tcPr>
            <w:tcW w:w="1029" w:type="dxa"/>
            <w:tcBorders>
              <w:top w:val="nil"/>
              <w:left w:val="nil"/>
              <w:bottom w:val="single" w:sz="4" w:space="0" w:color="363639"/>
              <w:right w:val="single" w:sz="4" w:space="0" w:color="363639"/>
            </w:tcBorders>
            <w:shd w:val="clear" w:color="auto" w:fill="auto"/>
            <w:hideMark/>
          </w:tcPr>
          <w:p w14:paraId="402D1A95" w14:textId="77777777" w:rsidR="00F60B2C" w:rsidRPr="00701F32" w:rsidRDefault="00F60B2C" w:rsidP="00F60B2C">
            <w:pPr>
              <w:jc w:val="center"/>
              <w:rPr>
                <w:rFonts w:ascii="Arial" w:hAnsi="Arial" w:cs="Arial"/>
                <w:b/>
                <w:bCs/>
                <w:sz w:val="16"/>
                <w:szCs w:val="18"/>
              </w:rPr>
            </w:pPr>
            <w:r w:rsidRPr="00701F32">
              <w:rPr>
                <w:rFonts w:ascii="Arial" w:hAnsi="Arial" w:cs="Arial"/>
                <w:b/>
                <w:bCs/>
                <w:color w:val="363639"/>
                <w:sz w:val="16"/>
                <w:szCs w:val="18"/>
              </w:rPr>
              <w:t xml:space="preserve">Saldo al cierre del </w:t>
            </w:r>
            <w:r>
              <w:rPr>
                <w:rFonts w:ascii="Arial" w:hAnsi="Arial" w:cs="Arial"/>
                <w:b/>
                <w:bCs/>
                <w:color w:val="363639"/>
                <w:sz w:val="16"/>
                <w:szCs w:val="18"/>
              </w:rPr>
              <w:t>ejercicio</w:t>
            </w:r>
          </w:p>
        </w:tc>
        <w:tc>
          <w:tcPr>
            <w:tcW w:w="1047" w:type="dxa"/>
            <w:vMerge/>
            <w:tcBorders>
              <w:left w:val="single" w:sz="4" w:space="0" w:color="363639"/>
              <w:bottom w:val="single" w:sz="4" w:space="0" w:color="363639"/>
              <w:right w:val="single" w:sz="4" w:space="0" w:color="363639"/>
            </w:tcBorders>
          </w:tcPr>
          <w:p w14:paraId="1D619ACD" w14:textId="77777777" w:rsidR="00F60B2C" w:rsidRPr="00701F32" w:rsidRDefault="00F60B2C" w:rsidP="00F60B2C">
            <w:pPr>
              <w:rPr>
                <w:rFonts w:ascii="Arial" w:hAnsi="Arial" w:cs="Arial"/>
                <w:b/>
                <w:bCs/>
                <w:color w:val="363639"/>
                <w:sz w:val="16"/>
                <w:szCs w:val="18"/>
              </w:rPr>
            </w:pPr>
          </w:p>
        </w:tc>
        <w:tc>
          <w:tcPr>
            <w:tcW w:w="1011" w:type="dxa"/>
            <w:vMerge/>
            <w:tcBorders>
              <w:top w:val="single" w:sz="4" w:space="0" w:color="363639"/>
              <w:left w:val="single" w:sz="4" w:space="0" w:color="363639"/>
              <w:bottom w:val="single" w:sz="4" w:space="0" w:color="363639"/>
              <w:right w:val="single" w:sz="4" w:space="0" w:color="363639"/>
            </w:tcBorders>
            <w:vAlign w:val="center"/>
            <w:hideMark/>
          </w:tcPr>
          <w:p w14:paraId="447C67B0" w14:textId="77777777" w:rsidR="00F60B2C" w:rsidRPr="00701F32" w:rsidRDefault="00F60B2C" w:rsidP="00F60B2C">
            <w:pPr>
              <w:rPr>
                <w:rFonts w:ascii="Arial" w:hAnsi="Arial" w:cs="Arial"/>
                <w:b/>
                <w:bCs/>
                <w:color w:val="363639"/>
                <w:sz w:val="16"/>
                <w:szCs w:val="18"/>
              </w:rPr>
            </w:pPr>
          </w:p>
        </w:tc>
      </w:tr>
      <w:tr w:rsidR="00F60B2C" w:rsidRPr="00701F32" w14:paraId="37DF3399" w14:textId="77777777" w:rsidTr="00B57E77">
        <w:trPr>
          <w:trHeight w:val="182"/>
          <w:jc w:val="center"/>
        </w:trPr>
        <w:tc>
          <w:tcPr>
            <w:tcW w:w="1092" w:type="dxa"/>
            <w:vMerge w:val="restart"/>
            <w:tcBorders>
              <w:top w:val="nil"/>
              <w:left w:val="single" w:sz="4" w:space="0" w:color="363639"/>
              <w:bottom w:val="single" w:sz="4" w:space="0" w:color="363639"/>
              <w:right w:val="nil"/>
            </w:tcBorders>
            <w:shd w:val="clear" w:color="auto" w:fill="auto"/>
            <w:vAlign w:val="center"/>
            <w:hideMark/>
          </w:tcPr>
          <w:p w14:paraId="43E57D74" w14:textId="77777777" w:rsidR="00F60B2C" w:rsidRPr="00701F32" w:rsidRDefault="00F60B2C" w:rsidP="00F60B2C">
            <w:pPr>
              <w:rPr>
                <w:rFonts w:ascii="Arial" w:hAnsi="Arial" w:cs="Arial"/>
                <w:sz w:val="16"/>
                <w:szCs w:val="18"/>
              </w:rPr>
            </w:pPr>
            <w:r w:rsidRPr="00701F32">
              <w:rPr>
                <w:rFonts w:ascii="Arial" w:hAnsi="Arial" w:cs="Arial"/>
                <w:sz w:val="16"/>
                <w:szCs w:val="18"/>
              </w:rPr>
              <w:t>Inmuebles</w:t>
            </w:r>
          </w:p>
        </w:tc>
        <w:tc>
          <w:tcPr>
            <w:tcW w:w="1721" w:type="dxa"/>
            <w:tcBorders>
              <w:top w:val="single" w:sz="4" w:space="0" w:color="auto"/>
              <w:left w:val="single" w:sz="4" w:space="0" w:color="auto"/>
              <w:bottom w:val="nil"/>
              <w:right w:val="single" w:sz="4" w:space="0" w:color="auto"/>
            </w:tcBorders>
            <w:shd w:val="clear" w:color="auto" w:fill="auto"/>
            <w:hideMark/>
          </w:tcPr>
          <w:p w14:paraId="560AA3C8" w14:textId="77777777" w:rsidR="00F60B2C" w:rsidRPr="00701F32" w:rsidRDefault="00F60B2C" w:rsidP="00F60B2C">
            <w:pPr>
              <w:jc w:val="center"/>
              <w:rPr>
                <w:rFonts w:ascii="Arial" w:hAnsi="Arial" w:cs="Arial"/>
                <w:sz w:val="16"/>
                <w:szCs w:val="18"/>
              </w:rPr>
            </w:pPr>
            <w:r w:rsidRPr="00701F32">
              <w:rPr>
                <w:rFonts w:ascii="Arial" w:hAnsi="Arial" w:cs="Arial"/>
                <w:sz w:val="16"/>
                <w:szCs w:val="18"/>
              </w:rPr>
              <w:t>Tribunal de Tasaciones de la Nación</w:t>
            </w:r>
          </w:p>
        </w:tc>
        <w:tc>
          <w:tcPr>
            <w:tcW w:w="1023" w:type="dxa"/>
            <w:vMerge w:val="restart"/>
            <w:tcBorders>
              <w:top w:val="nil"/>
              <w:left w:val="nil"/>
              <w:bottom w:val="single" w:sz="4" w:space="0" w:color="000000"/>
              <w:right w:val="single" w:sz="4" w:space="0" w:color="363639"/>
            </w:tcBorders>
            <w:shd w:val="clear" w:color="auto" w:fill="auto"/>
            <w:vAlign w:val="center"/>
            <w:hideMark/>
          </w:tcPr>
          <w:p w14:paraId="713A04EC" w14:textId="614CA1A3" w:rsidR="00F60B2C" w:rsidRPr="00701F32" w:rsidRDefault="00F60B2C" w:rsidP="00F60B2C">
            <w:pPr>
              <w:jc w:val="center"/>
              <w:rPr>
                <w:rFonts w:ascii="Arial" w:hAnsi="Arial" w:cs="Arial"/>
                <w:sz w:val="16"/>
                <w:szCs w:val="18"/>
              </w:rPr>
            </w:pPr>
            <w:r w:rsidRPr="00CA6FAC">
              <w:rPr>
                <w:rFonts w:ascii="Arial" w:hAnsi="Arial" w:cs="Arial"/>
                <w:sz w:val="16"/>
                <w:szCs w:val="18"/>
              </w:rPr>
              <w:t>31/12/201</w:t>
            </w:r>
            <w:r>
              <w:rPr>
                <w:rFonts w:ascii="Arial" w:hAnsi="Arial" w:cs="Arial"/>
                <w:sz w:val="16"/>
                <w:szCs w:val="18"/>
              </w:rPr>
              <w:t>9</w:t>
            </w:r>
          </w:p>
        </w:tc>
        <w:tc>
          <w:tcPr>
            <w:tcW w:w="857" w:type="dxa"/>
            <w:vMerge w:val="restart"/>
            <w:tcBorders>
              <w:top w:val="nil"/>
              <w:left w:val="single" w:sz="4" w:space="0" w:color="363639"/>
              <w:bottom w:val="single" w:sz="4" w:space="0" w:color="000000"/>
              <w:right w:val="single" w:sz="4" w:space="0" w:color="363639"/>
            </w:tcBorders>
            <w:shd w:val="clear" w:color="auto" w:fill="auto"/>
            <w:vAlign w:val="center"/>
          </w:tcPr>
          <w:p w14:paraId="59DBC6B2" w14:textId="5D98190F" w:rsidR="00F60B2C" w:rsidRPr="00701F32" w:rsidRDefault="00B83271" w:rsidP="00F60B2C">
            <w:pPr>
              <w:jc w:val="right"/>
              <w:rPr>
                <w:rFonts w:ascii="Arial" w:hAnsi="Arial" w:cs="Arial"/>
                <w:sz w:val="16"/>
                <w:szCs w:val="18"/>
              </w:rPr>
            </w:pPr>
            <w:r>
              <w:rPr>
                <w:rFonts w:ascii="Arial" w:hAnsi="Arial" w:cs="Arial"/>
                <w:sz w:val="16"/>
                <w:szCs w:val="18"/>
              </w:rPr>
              <w:t>756.736</w:t>
            </w:r>
          </w:p>
        </w:tc>
        <w:tc>
          <w:tcPr>
            <w:tcW w:w="772" w:type="dxa"/>
            <w:vMerge w:val="restart"/>
            <w:tcBorders>
              <w:top w:val="nil"/>
              <w:left w:val="single" w:sz="4" w:space="0" w:color="363639"/>
              <w:bottom w:val="single" w:sz="4" w:space="0" w:color="000000"/>
              <w:right w:val="single" w:sz="4" w:space="0" w:color="363639"/>
            </w:tcBorders>
            <w:shd w:val="clear" w:color="auto" w:fill="auto"/>
            <w:vAlign w:val="center"/>
          </w:tcPr>
          <w:p w14:paraId="5F628955" w14:textId="2E230511" w:rsidR="00F60B2C" w:rsidRPr="00701F32" w:rsidRDefault="00B83271" w:rsidP="00F60B2C">
            <w:pPr>
              <w:jc w:val="right"/>
              <w:rPr>
                <w:rFonts w:ascii="Arial" w:hAnsi="Arial" w:cs="Arial"/>
                <w:sz w:val="16"/>
                <w:szCs w:val="18"/>
              </w:rPr>
            </w:pPr>
            <w:r>
              <w:rPr>
                <w:rFonts w:ascii="Arial" w:hAnsi="Arial" w:cs="Arial"/>
                <w:sz w:val="16"/>
                <w:szCs w:val="18"/>
              </w:rPr>
              <w:t>574.495</w:t>
            </w:r>
          </w:p>
        </w:tc>
        <w:tc>
          <w:tcPr>
            <w:tcW w:w="1029" w:type="dxa"/>
            <w:vMerge w:val="restart"/>
            <w:tcBorders>
              <w:top w:val="nil"/>
              <w:left w:val="single" w:sz="4" w:space="0" w:color="363639"/>
              <w:bottom w:val="single" w:sz="4" w:space="0" w:color="000000"/>
              <w:right w:val="single" w:sz="4" w:space="0" w:color="363639"/>
            </w:tcBorders>
            <w:shd w:val="clear" w:color="auto" w:fill="auto"/>
            <w:vAlign w:val="center"/>
          </w:tcPr>
          <w:p w14:paraId="623B6695" w14:textId="60A995AF" w:rsidR="00F60B2C" w:rsidRPr="00701F32" w:rsidRDefault="00B83271" w:rsidP="00076DF4">
            <w:pPr>
              <w:jc w:val="right"/>
              <w:rPr>
                <w:rFonts w:ascii="Arial" w:hAnsi="Arial" w:cs="Arial"/>
                <w:sz w:val="16"/>
                <w:szCs w:val="18"/>
              </w:rPr>
            </w:pPr>
            <w:r>
              <w:rPr>
                <w:rFonts w:ascii="Arial" w:hAnsi="Arial" w:cs="Arial"/>
                <w:sz w:val="16"/>
                <w:szCs w:val="18"/>
              </w:rPr>
              <w:t>1.331.231</w:t>
            </w:r>
          </w:p>
        </w:tc>
        <w:tc>
          <w:tcPr>
            <w:tcW w:w="1047" w:type="dxa"/>
            <w:vMerge w:val="restart"/>
            <w:tcBorders>
              <w:top w:val="nil"/>
              <w:left w:val="single" w:sz="4" w:space="0" w:color="363639"/>
              <w:right w:val="single" w:sz="4" w:space="0" w:color="363639"/>
            </w:tcBorders>
            <w:vAlign w:val="center"/>
          </w:tcPr>
          <w:p w14:paraId="1BDB40C4" w14:textId="74065BAD" w:rsidR="00F60B2C" w:rsidRPr="00701F32" w:rsidRDefault="00B83271" w:rsidP="00F60B2C">
            <w:pPr>
              <w:jc w:val="right"/>
              <w:rPr>
                <w:rFonts w:ascii="Arial" w:hAnsi="Arial" w:cs="Arial"/>
                <w:sz w:val="16"/>
                <w:szCs w:val="18"/>
              </w:rPr>
            </w:pPr>
            <w:r>
              <w:rPr>
                <w:rFonts w:ascii="Arial" w:hAnsi="Arial" w:cs="Arial"/>
                <w:sz w:val="16"/>
                <w:szCs w:val="18"/>
              </w:rPr>
              <w:t>(22.997)</w:t>
            </w:r>
          </w:p>
        </w:tc>
        <w:tc>
          <w:tcPr>
            <w:tcW w:w="1011" w:type="dxa"/>
            <w:vMerge w:val="restart"/>
            <w:tcBorders>
              <w:top w:val="nil"/>
              <w:left w:val="single" w:sz="4" w:space="0" w:color="363639"/>
              <w:bottom w:val="single" w:sz="4" w:space="0" w:color="000000"/>
              <w:right w:val="single" w:sz="4" w:space="0" w:color="363639"/>
            </w:tcBorders>
            <w:shd w:val="clear" w:color="auto" w:fill="auto"/>
            <w:vAlign w:val="center"/>
          </w:tcPr>
          <w:p w14:paraId="4550627D" w14:textId="315529CB" w:rsidR="00F60B2C" w:rsidRPr="00701F32" w:rsidRDefault="00B83271" w:rsidP="00F60B2C">
            <w:pPr>
              <w:jc w:val="right"/>
              <w:rPr>
                <w:rFonts w:ascii="Arial" w:hAnsi="Arial" w:cs="Arial"/>
                <w:sz w:val="16"/>
                <w:szCs w:val="18"/>
              </w:rPr>
            </w:pPr>
            <w:r>
              <w:rPr>
                <w:rFonts w:ascii="Arial" w:hAnsi="Arial" w:cs="Arial"/>
                <w:sz w:val="16"/>
                <w:szCs w:val="18"/>
              </w:rPr>
              <w:t>329.7</w:t>
            </w:r>
            <w:r w:rsidR="00802A09">
              <w:rPr>
                <w:rFonts w:ascii="Arial" w:hAnsi="Arial" w:cs="Arial"/>
                <w:sz w:val="16"/>
                <w:szCs w:val="18"/>
              </w:rPr>
              <w:t>1</w:t>
            </w:r>
            <w:r>
              <w:rPr>
                <w:rFonts w:ascii="Arial" w:hAnsi="Arial" w:cs="Arial"/>
                <w:sz w:val="16"/>
                <w:szCs w:val="18"/>
              </w:rPr>
              <w:t>9</w:t>
            </w:r>
          </w:p>
        </w:tc>
      </w:tr>
      <w:tr w:rsidR="00F60B2C" w:rsidRPr="00701F32" w14:paraId="692017AE" w14:textId="77777777" w:rsidTr="00B57E77">
        <w:trPr>
          <w:trHeight w:val="182"/>
          <w:jc w:val="center"/>
        </w:trPr>
        <w:tc>
          <w:tcPr>
            <w:tcW w:w="1092" w:type="dxa"/>
            <w:vMerge/>
            <w:tcBorders>
              <w:top w:val="nil"/>
              <w:left w:val="single" w:sz="4" w:space="0" w:color="363639"/>
              <w:bottom w:val="single" w:sz="4" w:space="0" w:color="363639"/>
              <w:right w:val="nil"/>
            </w:tcBorders>
            <w:vAlign w:val="center"/>
            <w:hideMark/>
          </w:tcPr>
          <w:p w14:paraId="08CB346D" w14:textId="77777777" w:rsidR="00F60B2C" w:rsidRPr="00701F32" w:rsidRDefault="00F60B2C" w:rsidP="00F60B2C">
            <w:pPr>
              <w:rPr>
                <w:rFonts w:ascii="Arial" w:hAnsi="Arial" w:cs="Arial"/>
                <w:sz w:val="16"/>
                <w:szCs w:val="18"/>
              </w:rPr>
            </w:pPr>
          </w:p>
        </w:tc>
        <w:tc>
          <w:tcPr>
            <w:tcW w:w="1721" w:type="dxa"/>
            <w:tcBorders>
              <w:top w:val="nil"/>
              <w:left w:val="single" w:sz="4" w:space="0" w:color="auto"/>
              <w:bottom w:val="nil"/>
              <w:right w:val="single" w:sz="4" w:space="0" w:color="auto"/>
            </w:tcBorders>
            <w:shd w:val="clear" w:color="auto" w:fill="auto"/>
            <w:hideMark/>
          </w:tcPr>
          <w:p w14:paraId="76A6E3C7" w14:textId="77777777" w:rsidR="00F60B2C" w:rsidRPr="00701F32" w:rsidRDefault="00F60B2C" w:rsidP="00F60B2C">
            <w:pPr>
              <w:jc w:val="center"/>
              <w:rPr>
                <w:rFonts w:ascii="Arial" w:hAnsi="Arial" w:cs="Arial"/>
                <w:sz w:val="16"/>
                <w:szCs w:val="18"/>
              </w:rPr>
            </w:pPr>
            <w:r w:rsidRPr="00701F32">
              <w:rPr>
                <w:rFonts w:ascii="Arial" w:hAnsi="Arial" w:cs="Arial"/>
                <w:sz w:val="16"/>
                <w:szCs w:val="18"/>
              </w:rPr>
              <w:t>CM Ingeniería en Valuaciones</w:t>
            </w:r>
          </w:p>
        </w:tc>
        <w:tc>
          <w:tcPr>
            <w:tcW w:w="1023" w:type="dxa"/>
            <w:vMerge/>
            <w:tcBorders>
              <w:top w:val="nil"/>
              <w:left w:val="nil"/>
              <w:bottom w:val="single" w:sz="4" w:space="0" w:color="000000"/>
              <w:right w:val="single" w:sz="4" w:space="0" w:color="363639"/>
            </w:tcBorders>
            <w:vAlign w:val="center"/>
            <w:hideMark/>
          </w:tcPr>
          <w:p w14:paraId="7B7D539B" w14:textId="77777777" w:rsidR="00F60B2C" w:rsidRPr="00701F32" w:rsidRDefault="00F60B2C" w:rsidP="00F60B2C">
            <w:pPr>
              <w:rPr>
                <w:rFonts w:ascii="Arial" w:hAnsi="Arial" w:cs="Arial"/>
                <w:sz w:val="16"/>
                <w:szCs w:val="18"/>
              </w:rPr>
            </w:pPr>
          </w:p>
        </w:tc>
        <w:tc>
          <w:tcPr>
            <w:tcW w:w="857" w:type="dxa"/>
            <w:vMerge/>
            <w:tcBorders>
              <w:top w:val="nil"/>
              <w:left w:val="single" w:sz="4" w:space="0" w:color="363639"/>
              <w:bottom w:val="single" w:sz="4" w:space="0" w:color="000000"/>
              <w:right w:val="single" w:sz="4" w:space="0" w:color="363639"/>
            </w:tcBorders>
            <w:vAlign w:val="center"/>
          </w:tcPr>
          <w:p w14:paraId="11FD6D81" w14:textId="77777777" w:rsidR="00F60B2C" w:rsidRPr="00701F32" w:rsidRDefault="00F60B2C" w:rsidP="00F60B2C">
            <w:pPr>
              <w:rPr>
                <w:rFonts w:ascii="Arial" w:hAnsi="Arial" w:cs="Arial"/>
                <w:sz w:val="16"/>
                <w:szCs w:val="18"/>
              </w:rPr>
            </w:pPr>
          </w:p>
        </w:tc>
        <w:tc>
          <w:tcPr>
            <w:tcW w:w="772" w:type="dxa"/>
            <w:vMerge/>
            <w:tcBorders>
              <w:top w:val="nil"/>
              <w:left w:val="single" w:sz="4" w:space="0" w:color="363639"/>
              <w:bottom w:val="single" w:sz="4" w:space="0" w:color="000000"/>
              <w:right w:val="single" w:sz="4" w:space="0" w:color="363639"/>
            </w:tcBorders>
            <w:vAlign w:val="center"/>
          </w:tcPr>
          <w:p w14:paraId="425E9BA5" w14:textId="77777777" w:rsidR="00F60B2C" w:rsidRPr="00701F32" w:rsidRDefault="00F60B2C" w:rsidP="00F60B2C">
            <w:pPr>
              <w:rPr>
                <w:rFonts w:ascii="Arial" w:hAnsi="Arial" w:cs="Arial"/>
                <w:sz w:val="16"/>
                <w:szCs w:val="18"/>
              </w:rPr>
            </w:pPr>
          </w:p>
        </w:tc>
        <w:tc>
          <w:tcPr>
            <w:tcW w:w="1029" w:type="dxa"/>
            <w:vMerge/>
            <w:tcBorders>
              <w:top w:val="nil"/>
              <w:left w:val="single" w:sz="4" w:space="0" w:color="363639"/>
              <w:bottom w:val="single" w:sz="4" w:space="0" w:color="000000"/>
              <w:right w:val="single" w:sz="4" w:space="0" w:color="363639"/>
            </w:tcBorders>
            <w:vAlign w:val="center"/>
          </w:tcPr>
          <w:p w14:paraId="4285E21B" w14:textId="77777777" w:rsidR="00F60B2C" w:rsidRPr="00701F32" w:rsidRDefault="00F60B2C" w:rsidP="006E1AF7">
            <w:pPr>
              <w:jc w:val="right"/>
              <w:rPr>
                <w:rFonts w:ascii="Arial" w:hAnsi="Arial" w:cs="Arial"/>
                <w:sz w:val="16"/>
                <w:szCs w:val="18"/>
              </w:rPr>
            </w:pPr>
          </w:p>
        </w:tc>
        <w:tc>
          <w:tcPr>
            <w:tcW w:w="1047" w:type="dxa"/>
            <w:vMerge/>
            <w:tcBorders>
              <w:left w:val="single" w:sz="4" w:space="0" w:color="363639"/>
              <w:right w:val="single" w:sz="4" w:space="0" w:color="363639"/>
            </w:tcBorders>
          </w:tcPr>
          <w:p w14:paraId="2540057E" w14:textId="77777777" w:rsidR="00F60B2C" w:rsidRPr="00701F32" w:rsidRDefault="00F60B2C" w:rsidP="00F60B2C">
            <w:pPr>
              <w:rPr>
                <w:rFonts w:ascii="Arial" w:hAnsi="Arial" w:cs="Arial"/>
                <w:sz w:val="16"/>
                <w:szCs w:val="18"/>
              </w:rPr>
            </w:pPr>
          </w:p>
        </w:tc>
        <w:tc>
          <w:tcPr>
            <w:tcW w:w="1011" w:type="dxa"/>
            <w:vMerge/>
            <w:tcBorders>
              <w:top w:val="nil"/>
              <w:left w:val="single" w:sz="4" w:space="0" w:color="363639"/>
              <w:bottom w:val="single" w:sz="4" w:space="0" w:color="000000"/>
              <w:right w:val="single" w:sz="4" w:space="0" w:color="363639"/>
            </w:tcBorders>
            <w:vAlign w:val="center"/>
          </w:tcPr>
          <w:p w14:paraId="241F8AE4" w14:textId="77777777" w:rsidR="00F60B2C" w:rsidRPr="00701F32" w:rsidRDefault="00F60B2C" w:rsidP="00F60B2C">
            <w:pPr>
              <w:rPr>
                <w:rFonts w:ascii="Arial" w:hAnsi="Arial" w:cs="Arial"/>
                <w:sz w:val="16"/>
                <w:szCs w:val="18"/>
              </w:rPr>
            </w:pPr>
          </w:p>
        </w:tc>
      </w:tr>
      <w:tr w:rsidR="00F60B2C" w:rsidRPr="00701F32" w14:paraId="40EE68FB" w14:textId="77777777" w:rsidTr="00B57E77">
        <w:trPr>
          <w:trHeight w:val="112"/>
          <w:jc w:val="center"/>
        </w:trPr>
        <w:tc>
          <w:tcPr>
            <w:tcW w:w="1092" w:type="dxa"/>
            <w:vMerge/>
            <w:tcBorders>
              <w:top w:val="nil"/>
              <w:left w:val="single" w:sz="4" w:space="0" w:color="363639"/>
              <w:bottom w:val="single" w:sz="4" w:space="0" w:color="363639"/>
              <w:right w:val="nil"/>
            </w:tcBorders>
            <w:vAlign w:val="center"/>
            <w:hideMark/>
          </w:tcPr>
          <w:p w14:paraId="0F3959A9" w14:textId="77777777" w:rsidR="00F60B2C" w:rsidRPr="00701F32" w:rsidRDefault="00F60B2C" w:rsidP="00F60B2C">
            <w:pPr>
              <w:rPr>
                <w:rFonts w:ascii="Arial" w:hAnsi="Arial" w:cs="Arial"/>
                <w:sz w:val="16"/>
                <w:szCs w:val="18"/>
              </w:rPr>
            </w:pPr>
          </w:p>
        </w:tc>
        <w:tc>
          <w:tcPr>
            <w:tcW w:w="1721" w:type="dxa"/>
            <w:tcBorders>
              <w:top w:val="nil"/>
              <w:left w:val="single" w:sz="4" w:space="0" w:color="auto"/>
              <w:bottom w:val="nil"/>
              <w:right w:val="single" w:sz="4" w:space="0" w:color="auto"/>
            </w:tcBorders>
            <w:shd w:val="clear" w:color="auto" w:fill="auto"/>
            <w:hideMark/>
          </w:tcPr>
          <w:p w14:paraId="26316E01" w14:textId="77777777" w:rsidR="00F60B2C" w:rsidRPr="00701F32" w:rsidRDefault="00F60B2C" w:rsidP="00F60B2C">
            <w:pPr>
              <w:jc w:val="center"/>
              <w:rPr>
                <w:rFonts w:ascii="Arial" w:hAnsi="Arial" w:cs="Arial"/>
                <w:sz w:val="16"/>
                <w:szCs w:val="18"/>
              </w:rPr>
            </w:pPr>
            <w:r w:rsidRPr="00701F32">
              <w:rPr>
                <w:rFonts w:ascii="Arial" w:hAnsi="Arial" w:cs="Arial"/>
                <w:sz w:val="16"/>
                <w:szCs w:val="18"/>
              </w:rPr>
              <w:t>Serinco</w:t>
            </w:r>
          </w:p>
        </w:tc>
        <w:tc>
          <w:tcPr>
            <w:tcW w:w="1023" w:type="dxa"/>
            <w:vMerge/>
            <w:tcBorders>
              <w:top w:val="nil"/>
              <w:left w:val="nil"/>
              <w:bottom w:val="single" w:sz="4" w:space="0" w:color="000000"/>
              <w:right w:val="single" w:sz="4" w:space="0" w:color="363639"/>
            </w:tcBorders>
            <w:vAlign w:val="center"/>
            <w:hideMark/>
          </w:tcPr>
          <w:p w14:paraId="5155EC63" w14:textId="77777777" w:rsidR="00F60B2C" w:rsidRPr="00701F32" w:rsidRDefault="00F60B2C" w:rsidP="00F60B2C">
            <w:pPr>
              <w:rPr>
                <w:rFonts w:ascii="Arial" w:hAnsi="Arial" w:cs="Arial"/>
                <w:sz w:val="16"/>
                <w:szCs w:val="18"/>
              </w:rPr>
            </w:pPr>
          </w:p>
        </w:tc>
        <w:tc>
          <w:tcPr>
            <w:tcW w:w="857" w:type="dxa"/>
            <w:vMerge/>
            <w:tcBorders>
              <w:top w:val="nil"/>
              <w:left w:val="single" w:sz="4" w:space="0" w:color="363639"/>
              <w:bottom w:val="single" w:sz="4" w:space="0" w:color="000000"/>
              <w:right w:val="single" w:sz="4" w:space="0" w:color="363639"/>
            </w:tcBorders>
            <w:vAlign w:val="center"/>
          </w:tcPr>
          <w:p w14:paraId="685A6B81" w14:textId="77777777" w:rsidR="00F60B2C" w:rsidRPr="00701F32" w:rsidRDefault="00F60B2C" w:rsidP="00F60B2C">
            <w:pPr>
              <w:rPr>
                <w:rFonts w:ascii="Arial" w:hAnsi="Arial" w:cs="Arial"/>
                <w:sz w:val="16"/>
                <w:szCs w:val="18"/>
              </w:rPr>
            </w:pPr>
          </w:p>
        </w:tc>
        <w:tc>
          <w:tcPr>
            <w:tcW w:w="772" w:type="dxa"/>
            <w:vMerge/>
            <w:tcBorders>
              <w:top w:val="nil"/>
              <w:left w:val="single" w:sz="4" w:space="0" w:color="363639"/>
              <w:bottom w:val="single" w:sz="4" w:space="0" w:color="000000"/>
              <w:right w:val="single" w:sz="4" w:space="0" w:color="363639"/>
            </w:tcBorders>
            <w:vAlign w:val="center"/>
          </w:tcPr>
          <w:p w14:paraId="6FDB1006" w14:textId="77777777" w:rsidR="00F60B2C" w:rsidRPr="00701F32" w:rsidRDefault="00F60B2C" w:rsidP="00F60B2C">
            <w:pPr>
              <w:rPr>
                <w:rFonts w:ascii="Arial" w:hAnsi="Arial" w:cs="Arial"/>
                <w:sz w:val="16"/>
                <w:szCs w:val="18"/>
              </w:rPr>
            </w:pPr>
          </w:p>
        </w:tc>
        <w:tc>
          <w:tcPr>
            <w:tcW w:w="1029" w:type="dxa"/>
            <w:vMerge/>
            <w:tcBorders>
              <w:top w:val="nil"/>
              <w:left w:val="single" w:sz="4" w:space="0" w:color="363639"/>
              <w:bottom w:val="single" w:sz="4" w:space="0" w:color="000000"/>
              <w:right w:val="single" w:sz="4" w:space="0" w:color="363639"/>
            </w:tcBorders>
            <w:vAlign w:val="center"/>
          </w:tcPr>
          <w:p w14:paraId="4202A00E" w14:textId="77777777" w:rsidR="00F60B2C" w:rsidRPr="00701F32" w:rsidRDefault="00F60B2C" w:rsidP="006E1AF7">
            <w:pPr>
              <w:jc w:val="right"/>
              <w:rPr>
                <w:rFonts w:ascii="Arial" w:hAnsi="Arial" w:cs="Arial"/>
                <w:sz w:val="16"/>
                <w:szCs w:val="18"/>
              </w:rPr>
            </w:pPr>
          </w:p>
        </w:tc>
        <w:tc>
          <w:tcPr>
            <w:tcW w:w="1047" w:type="dxa"/>
            <w:vMerge/>
            <w:tcBorders>
              <w:left w:val="single" w:sz="4" w:space="0" w:color="363639"/>
              <w:right w:val="single" w:sz="4" w:space="0" w:color="363639"/>
            </w:tcBorders>
          </w:tcPr>
          <w:p w14:paraId="79C305E2" w14:textId="77777777" w:rsidR="00F60B2C" w:rsidRPr="00701F32" w:rsidRDefault="00F60B2C" w:rsidP="00F60B2C">
            <w:pPr>
              <w:rPr>
                <w:rFonts w:ascii="Arial" w:hAnsi="Arial" w:cs="Arial"/>
                <w:sz w:val="16"/>
                <w:szCs w:val="18"/>
              </w:rPr>
            </w:pPr>
          </w:p>
        </w:tc>
        <w:tc>
          <w:tcPr>
            <w:tcW w:w="1011" w:type="dxa"/>
            <w:vMerge/>
            <w:tcBorders>
              <w:top w:val="nil"/>
              <w:left w:val="single" w:sz="4" w:space="0" w:color="363639"/>
              <w:bottom w:val="single" w:sz="4" w:space="0" w:color="000000"/>
              <w:right w:val="single" w:sz="4" w:space="0" w:color="363639"/>
            </w:tcBorders>
            <w:vAlign w:val="center"/>
          </w:tcPr>
          <w:p w14:paraId="49C5B646" w14:textId="77777777" w:rsidR="00F60B2C" w:rsidRPr="00701F32" w:rsidRDefault="00F60B2C" w:rsidP="00F60B2C">
            <w:pPr>
              <w:rPr>
                <w:rFonts w:ascii="Arial" w:hAnsi="Arial" w:cs="Arial"/>
                <w:sz w:val="16"/>
                <w:szCs w:val="18"/>
              </w:rPr>
            </w:pPr>
          </w:p>
        </w:tc>
      </w:tr>
      <w:tr w:rsidR="00F60B2C" w:rsidRPr="00701F32" w14:paraId="485CFB4A" w14:textId="77777777" w:rsidTr="00B57E77">
        <w:trPr>
          <w:trHeight w:val="112"/>
          <w:jc w:val="center"/>
        </w:trPr>
        <w:tc>
          <w:tcPr>
            <w:tcW w:w="1092" w:type="dxa"/>
            <w:vMerge/>
            <w:tcBorders>
              <w:top w:val="nil"/>
              <w:left w:val="single" w:sz="4" w:space="0" w:color="363639"/>
              <w:bottom w:val="single" w:sz="4" w:space="0" w:color="363639"/>
              <w:right w:val="nil"/>
            </w:tcBorders>
            <w:vAlign w:val="center"/>
            <w:hideMark/>
          </w:tcPr>
          <w:p w14:paraId="153E3EF3" w14:textId="77777777" w:rsidR="00F60B2C" w:rsidRPr="00701F32" w:rsidRDefault="00F60B2C" w:rsidP="00F60B2C">
            <w:pPr>
              <w:rPr>
                <w:rFonts w:ascii="Arial" w:hAnsi="Arial" w:cs="Arial"/>
                <w:sz w:val="16"/>
                <w:szCs w:val="18"/>
              </w:rPr>
            </w:pPr>
          </w:p>
        </w:tc>
        <w:tc>
          <w:tcPr>
            <w:tcW w:w="1721" w:type="dxa"/>
            <w:tcBorders>
              <w:top w:val="nil"/>
              <w:left w:val="single" w:sz="4" w:space="0" w:color="auto"/>
              <w:bottom w:val="single" w:sz="4" w:space="0" w:color="auto"/>
              <w:right w:val="single" w:sz="4" w:space="0" w:color="auto"/>
            </w:tcBorders>
            <w:shd w:val="clear" w:color="auto" w:fill="auto"/>
            <w:hideMark/>
          </w:tcPr>
          <w:p w14:paraId="1001BAFC" w14:textId="77777777" w:rsidR="00F60B2C" w:rsidRPr="00701F32" w:rsidRDefault="00F60B2C" w:rsidP="00F60B2C">
            <w:pPr>
              <w:jc w:val="center"/>
              <w:rPr>
                <w:rFonts w:ascii="Arial" w:hAnsi="Arial" w:cs="Arial"/>
                <w:sz w:val="16"/>
                <w:szCs w:val="18"/>
              </w:rPr>
            </w:pPr>
            <w:r w:rsidRPr="00701F32">
              <w:rPr>
                <w:rFonts w:ascii="Arial" w:hAnsi="Arial" w:cs="Arial"/>
                <w:sz w:val="16"/>
                <w:szCs w:val="18"/>
              </w:rPr>
              <w:t>Reporte Inmobiliario</w:t>
            </w:r>
          </w:p>
        </w:tc>
        <w:tc>
          <w:tcPr>
            <w:tcW w:w="1023" w:type="dxa"/>
            <w:vMerge/>
            <w:tcBorders>
              <w:top w:val="nil"/>
              <w:left w:val="nil"/>
              <w:bottom w:val="single" w:sz="4" w:space="0" w:color="000000"/>
              <w:right w:val="single" w:sz="4" w:space="0" w:color="363639"/>
            </w:tcBorders>
            <w:vAlign w:val="center"/>
            <w:hideMark/>
          </w:tcPr>
          <w:p w14:paraId="2D6F0CB2" w14:textId="77777777" w:rsidR="00F60B2C" w:rsidRPr="00701F32" w:rsidRDefault="00F60B2C" w:rsidP="00F60B2C">
            <w:pPr>
              <w:rPr>
                <w:rFonts w:ascii="Arial" w:hAnsi="Arial" w:cs="Arial"/>
                <w:sz w:val="16"/>
                <w:szCs w:val="18"/>
              </w:rPr>
            </w:pPr>
          </w:p>
        </w:tc>
        <w:tc>
          <w:tcPr>
            <w:tcW w:w="857" w:type="dxa"/>
            <w:vMerge/>
            <w:tcBorders>
              <w:top w:val="nil"/>
              <w:left w:val="single" w:sz="4" w:space="0" w:color="363639"/>
              <w:bottom w:val="single" w:sz="4" w:space="0" w:color="000000"/>
              <w:right w:val="single" w:sz="4" w:space="0" w:color="363639"/>
            </w:tcBorders>
            <w:vAlign w:val="center"/>
          </w:tcPr>
          <w:p w14:paraId="1846D684" w14:textId="77777777" w:rsidR="00F60B2C" w:rsidRPr="00701F32" w:rsidRDefault="00F60B2C" w:rsidP="00F60B2C">
            <w:pPr>
              <w:rPr>
                <w:rFonts w:ascii="Arial" w:hAnsi="Arial" w:cs="Arial"/>
                <w:sz w:val="16"/>
                <w:szCs w:val="18"/>
              </w:rPr>
            </w:pPr>
          </w:p>
        </w:tc>
        <w:tc>
          <w:tcPr>
            <w:tcW w:w="772" w:type="dxa"/>
            <w:vMerge/>
            <w:tcBorders>
              <w:top w:val="nil"/>
              <w:left w:val="single" w:sz="4" w:space="0" w:color="363639"/>
              <w:bottom w:val="single" w:sz="4" w:space="0" w:color="000000"/>
              <w:right w:val="single" w:sz="4" w:space="0" w:color="363639"/>
            </w:tcBorders>
            <w:vAlign w:val="center"/>
          </w:tcPr>
          <w:p w14:paraId="70A0553A" w14:textId="77777777" w:rsidR="00F60B2C" w:rsidRPr="00701F32" w:rsidRDefault="00F60B2C" w:rsidP="00F60B2C">
            <w:pPr>
              <w:rPr>
                <w:rFonts w:ascii="Arial" w:hAnsi="Arial" w:cs="Arial"/>
                <w:sz w:val="16"/>
                <w:szCs w:val="18"/>
              </w:rPr>
            </w:pPr>
          </w:p>
        </w:tc>
        <w:tc>
          <w:tcPr>
            <w:tcW w:w="1029" w:type="dxa"/>
            <w:vMerge/>
            <w:tcBorders>
              <w:top w:val="nil"/>
              <w:left w:val="single" w:sz="4" w:space="0" w:color="363639"/>
              <w:bottom w:val="single" w:sz="4" w:space="0" w:color="000000"/>
              <w:right w:val="single" w:sz="4" w:space="0" w:color="363639"/>
            </w:tcBorders>
            <w:vAlign w:val="center"/>
          </w:tcPr>
          <w:p w14:paraId="51F272A7" w14:textId="77777777" w:rsidR="00F60B2C" w:rsidRPr="00701F32" w:rsidRDefault="00F60B2C" w:rsidP="006E1AF7">
            <w:pPr>
              <w:jc w:val="right"/>
              <w:rPr>
                <w:rFonts w:ascii="Arial" w:hAnsi="Arial" w:cs="Arial"/>
                <w:sz w:val="16"/>
                <w:szCs w:val="18"/>
              </w:rPr>
            </w:pPr>
          </w:p>
        </w:tc>
        <w:tc>
          <w:tcPr>
            <w:tcW w:w="1047" w:type="dxa"/>
            <w:vMerge/>
            <w:tcBorders>
              <w:left w:val="single" w:sz="4" w:space="0" w:color="363639"/>
              <w:bottom w:val="single" w:sz="4" w:space="0" w:color="auto"/>
              <w:right w:val="single" w:sz="4" w:space="0" w:color="363639"/>
            </w:tcBorders>
          </w:tcPr>
          <w:p w14:paraId="5D254FC0" w14:textId="77777777" w:rsidR="00F60B2C" w:rsidRPr="00701F32" w:rsidRDefault="00F60B2C" w:rsidP="00F60B2C">
            <w:pPr>
              <w:rPr>
                <w:rFonts w:ascii="Arial" w:hAnsi="Arial" w:cs="Arial"/>
                <w:sz w:val="16"/>
                <w:szCs w:val="18"/>
              </w:rPr>
            </w:pPr>
          </w:p>
        </w:tc>
        <w:tc>
          <w:tcPr>
            <w:tcW w:w="1011" w:type="dxa"/>
            <w:vMerge/>
            <w:tcBorders>
              <w:top w:val="nil"/>
              <w:left w:val="single" w:sz="4" w:space="0" w:color="363639"/>
              <w:bottom w:val="single" w:sz="4" w:space="0" w:color="000000"/>
              <w:right w:val="single" w:sz="4" w:space="0" w:color="363639"/>
            </w:tcBorders>
            <w:vAlign w:val="center"/>
          </w:tcPr>
          <w:p w14:paraId="7B7165D8" w14:textId="77777777" w:rsidR="00F60B2C" w:rsidRPr="00701F32" w:rsidRDefault="00F60B2C" w:rsidP="00F60B2C">
            <w:pPr>
              <w:rPr>
                <w:rFonts w:ascii="Arial" w:hAnsi="Arial" w:cs="Arial"/>
                <w:sz w:val="16"/>
                <w:szCs w:val="18"/>
              </w:rPr>
            </w:pPr>
          </w:p>
        </w:tc>
      </w:tr>
      <w:tr w:rsidR="00F60B2C" w:rsidRPr="00701F32" w14:paraId="7D14C025" w14:textId="77777777" w:rsidTr="00B57E77">
        <w:trPr>
          <w:trHeight w:val="112"/>
          <w:jc w:val="center"/>
        </w:trPr>
        <w:tc>
          <w:tcPr>
            <w:tcW w:w="1092" w:type="dxa"/>
            <w:tcBorders>
              <w:top w:val="nil"/>
              <w:left w:val="single" w:sz="4" w:space="0" w:color="363639"/>
              <w:bottom w:val="single" w:sz="4" w:space="0" w:color="363639"/>
              <w:right w:val="single" w:sz="4" w:space="0" w:color="363639"/>
            </w:tcBorders>
            <w:shd w:val="clear" w:color="auto" w:fill="auto"/>
            <w:hideMark/>
          </w:tcPr>
          <w:p w14:paraId="32212E69" w14:textId="77777777" w:rsidR="00F60B2C" w:rsidRPr="00701F32" w:rsidRDefault="00F60B2C" w:rsidP="00F60B2C">
            <w:pPr>
              <w:jc w:val="both"/>
              <w:rPr>
                <w:rFonts w:ascii="Arial" w:hAnsi="Arial" w:cs="Arial"/>
                <w:b/>
                <w:bCs/>
                <w:sz w:val="16"/>
                <w:szCs w:val="18"/>
              </w:rPr>
            </w:pPr>
            <w:r w:rsidRPr="00701F32">
              <w:rPr>
                <w:rFonts w:ascii="Arial" w:hAnsi="Arial" w:cs="Arial"/>
                <w:b/>
                <w:bCs/>
                <w:color w:val="363639"/>
                <w:sz w:val="16"/>
                <w:szCs w:val="18"/>
              </w:rPr>
              <w:t>TOTALES</w:t>
            </w:r>
          </w:p>
        </w:tc>
        <w:tc>
          <w:tcPr>
            <w:tcW w:w="1721" w:type="dxa"/>
            <w:tcBorders>
              <w:top w:val="nil"/>
              <w:left w:val="nil"/>
              <w:bottom w:val="single" w:sz="4" w:space="0" w:color="363639"/>
              <w:right w:val="single" w:sz="4" w:space="0" w:color="363639"/>
            </w:tcBorders>
            <w:shd w:val="clear" w:color="auto" w:fill="auto"/>
            <w:hideMark/>
          </w:tcPr>
          <w:p w14:paraId="3DFE3488" w14:textId="77777777" w:rsidR="00F60B2C" w:rsidRPr="00701F32" w:rsidRDefault="00F60B2C" w:rsidP="00F60B2C">
            <w:pPr>
              <w:jc w:val="both"/>
              <w:rPr>
                <w:rFonts w:ascii="Calibri" w:hAnsi="Calibri"/>
                <w:b/>
                <w:bCs/>
                <w:color w:val="000000"/>
                <w:sz w:val="16"/>
                <w:szCs w:val="18"/>
              </w:rPr>
            </w:pPr>
            <w:r w:rsidRPr="00701F32">
              <w:rPr>
                <w:rFonts w:ascii="Calibri" w:hAnsi="Calibri"/>
                <w:b/>
                <w:bCs/>
                <w:color w:val="000000"/>
                <w:sz w:val="16"/>
                <w:szCs w:val="18"/>
              </w:rPr>
              <w:t> </w:t>
            </w:r>
          </w:p>
        </w:tc>
        <w:tc>
          <w:tcPr>
            <w:tcW w:w="1023" w:type="dxa"/>
            <w:tcBorders>
              <w:top w:val="single" w:sz="4" w:space="0" w:color="363639"/>
              <w:left w:val="nil"/>
              <w:bottom w:val="single" w:sz="4" w:space="0" w:color="363639"/>
              <w:right w:val="single" w:sz="4" w:space="0" w:color="363639"/>
            </w:tcBorders>
            <w:shd w:val="clear" w:color="auto" w:fill="auto"/>
            <w:hideMark/>
          </w:tcPr>
          <w:p w14:paraId="5C321CB2" w14:textId="77777777" w:rsidR="00F60B2C" w:rsidRPr="00701F32" w:rsidRDefault="00F60B2C" w:rsidP="00F60B2C">
            <w:pPr>
              <w:jc w:val="both"/>
              <w:rPr>
                <w:rFonts w:ascii="Calibri" w:hAnsi="Calibri"/>
                <w:b/>
                <w:bCs/>
                <w:color w:val="000000"/>
                <w:sz w:val="16"/>
                <w:szCs w:val="18"/>
              </w:rPr>
            </w:pPr>
            <w:r w:rsidRPr="00701F32">
              <w:rPr>
                <w:rFonts w:ascii="Calibri" w:hAnsi="Calibri"/>
                <w:b/>
                <w:bCs/>
                <w:color w:val="000000"/>
                <w:sz w:val="16"/>
                <w:szCs w:val="18"/>
              </w:rPr>
              <w:t> </w:t>
            </w:r>
          </w:p>
        </w:tc>
        <w:tc>
          <w:tcPr>
            <w:tcW w:w="857" w:type="dxa"/>
            <w:tcBorders>
              <w:top w:val="nil"/>
              <w:left w:val="nil"/>
              <w:bottom w:val="single" w:sz="4" w:space="0" w:color="auto"/>
              <w:right w:val="single" w:sz="4" w:space="0" w:color="363639"/>
            </w:tcBorders>
            <w:shd w:val="clear" w:color="auto" w:fill="auto"/>
            <w:noWrap/>
            <w:vAlign w:val="bottom"/>
          </w:tcPr>
          <w:p w14:paraId="0983C9F6" w14:textId="35BF8E5F" w:rsidR="00F60B2C" w:rsidRPr="00701F32" w:rsidRDefault="00B83271" w:rsidP="00F60B2C">
            <w:pPr>
              <w:jc w:val="right"/>
              <w:rPr>
                <w:rFonts w:ascii="Arial" w:hAnsi="Arial" w:cs="Arial"/>
                <w:b/>
                <w:bCs/>
                <w:sz w:val="16"/>
                <w:szCs w:val="18"/>
              </w:rPr>
            </w:pPr>
            <w:r>
              <w:rPr>
                <w:rFonts w:ascii="Arial" w:hAnsi="Arial" w:cs="Arial"/>
                <w:b/>
                <w:bCs/>
                <w:sz w:val="16"/>
                <w:szCs w:val="18"/>
              </w:rPr>
              <w:t>756.736</w:t>
            </w:r>
          </w:p>
        </w:tc>
        <w:tc>
          <w:tcPr>
            <w:tcW w:w="772" w:type="dxa"/>
            <w:tcBorders>
              <w:top w:val="nil"/>
              <w:left w:val="nil"/>
              <w:bottom w:val="single" w:sz="4" w:space="0" w:color="auto"/>
              <w:right w:val="single" w:sz="4" w:space="0" w:color="363639"/>
            </w:tcBorders>
            <w:shd w:val="clear" w:color="auto" w:fill="auto"/>
            <w:noWrap/>
            <w:vAlign w:val="bottom"/>
          </w:tcPr>
          <w:p w14:paraId="1FE7880F" w14:textId="29777E2D" w:rsidR="00F60B2C" w:rsidRPr="00701F32" w:rsidRDefault="00B83271" w:rsidP="00F60B2C">
            <w:pPr>
              <w:jc w:val="right"/>
              <w:rPr>
                <w:rFonts w:ascii="Arial" w:hAnsi="Arial" w:cs="Arial"/>
                <w:b/>
                <w:bCs/>
                <w:sz w:val="16"/>
                <w:szCs w:val="18"/>
              </w:rPr>
            </w:pPr>
            <w:r>
              <w:rPr>
                <w:rFonts w:ascii="Arial" w:hAnsi="Arial" w:cs="Arial"/>
                <w:b/>
                <w:bCs/>
                <w:sz w:val="16"/>
                <w:szCs w:val="18"/>
              </w:rPr>
              <w:t>574.495</w:t>
            </w:r>
          </w:p>
        </w:tc>
        <w:tc>
          <w:tcPr>
            <w:tcW w:w="1029" w:type="dxa"/>
            <w:tcBorders>
              <w:top w:val="nil"/>
              <w:left w:val="nil"/>
              <w:bottom w:val="single" w:sz="4" w:space="0" w:color="auto"/>
              <w:right w:val="single" w:sz="4" w:space="0" w:color="auto"/>
            </w:tcBorders>
            <w:shd w:val="clear" w:color="auto" w:fill="auto"/>
            <w:noWrap/>
            <w:vAlign w:val="bottom"/>
          </w:tcPr>
          <w:p w14:paraId="105B68F1" w14:textId="51374709" w:rsidR="00F60B2C" w:rsidRPr="00701F32" w:rsidRDefault="00B83271" w:rsidP="006E1AF7">
            <w:pPr>
              <w:jc w:val="right"/>
              <w:rPr>
                <w:rFonts w:ascii="Arial" w:hAnsi="Arial" w:cs="Arial"/>
                <w:b/>
                <w:bCs/>
                <w:sz w:val="16"/>
                <w:szCs w:val="18"/>
              </w:rPr>
            </w:pPr>
            <w:r>
              <w:rPr>
                <w:rFonts w:ascii="Arial" w:hAnsi="Arial" w:cs="Arial"/>
                <w:b/>
                <w:bCs/>
                <w:sz w:val="16"/>
                <w:szCs w:val="18"/>
              </w:rPr>
              <w:t>1.331.231</w:t>
            </w:r>
          </w:p>
        </w:tc>
        <w:tc>
          <w:tcPr>
            <w:tcW w:w="1047" w:type="dxa"/>
            <w:tcBorders>
              <w:top w:val="single" w:sz="4" w:space="0" w:color="auto"/>
              <w:left w:val="single" w:sz="4" w:space="0" w:color="auto"/>
              <w:bottom w:val="single" w:sz="4" w:space="0" w:color="auto"/>
              <w:right w:val="single" w:sz="4" w:space="0" w:color="auto"/>
            </w:tcBorders>
          </w:tcPr>
          <w:p w14:paraId="1DD58F97" w14:textId="01418DAB" w:rsidR="00F60B2C" w:rsidRPr="00701F32" w:rsidRDefault="00B83271" w:rsidP="00F60B2C">
            <w:pPr>
              <w:jc w:val="right"/>
              <w:rPr>
                <w:rFonts w:ascii="Arial" w:hAnsi="Arial" w:cs="Arial"/>
                <w:b/>
                <w:bCs/>
                <w:sz w:val="16"/>
                <w:szCs w:val="18"/>
              </w:rPr>
            </w:pPr>
            <w:r>
              <w:rPr>
                <w:rFonts w:ascii="Arial" w:hAnsi="Arial" w:cs="Arial"/>
                <w:b/>
                <w:bCs/>
                <w:sz w:val="16"/>
                <w:szCs w:val="18"/>
              </w:rPr>
              <w:t>(22.997)</w:t>
            </w:r>
          </w:p>
        </w:tc>
        <w:tc>
          <w:tcPr>
            <w:tcW w:w="1011" w:type="dxa"/>
            <w:tcBorders>
              <w:top w:val="nil"/>
              <w:left w:val="single" w:sz="4" w:space="0" w:color="auto"/>
              <w:bottom w:val="single" w:sz="4" w:space="0" w:color="auto"/>
              <w:right w:val="single" w:sz="4" w:space="0" w:color="363639"/>
            </w:tcBorders>
            <w:shd w:val="clear" w:color="auto" w:fill="auto"/>
            <w:noWrap/>
            <w:vAlign w:val="bottom"/>
          </w:tcPr>
          <w:p w14:paraId="24F24383" w14:textId="162AA5F6" w:rsidR="00F60B2C" w:rsidRPr="00701F32" w:rsidRDefault="00B83271" w:rsidP="00F60B2C">
            <w:pPr>
              <w:jc w:val="right"/>
              <w:rPr>
                <w:rFonts w:ascii="Arial" w:hAnsi="Arial" w:cs="Arial"/>
                <w:b/>
                <w:bCs/>
                <w:sz w:val="16"/>
                <w:szCs w:val="18"/>
              </w:rPr>
            </w:pPr>
            <w:r>
              <w:rPr>
                <w:rFonts w:ascii="Arial" w:hAnsi="Arial" w:cs="Arial"/>
                <w:b/>
                <w:bCs/>
                <w:sz w:val="16"/>
                <w:szCs w:val="18"/>
              </w:rPr>
              <w:t>329.7</w:t>
            </w:r>
            <w:r w:rsidR="00802A09">
              <w:rPr>
                <w:rFonts w:ascii="Arial" w:hAnsi="Arial" w:cs="Arial"/>
                <w:b/>
                <w:bCs/>
                <w:sz w:val="16"/>
                <w:szCs w:val="18"/>
              </w:rPr>
              <w:t>1</w:t>
            </w:r>
            <w:r>
              <w:rPr>
                <w:rFonts w:ascii="Arial" w:hAnsi="Arial" w:cs="Arial"/>
                <w:b/>
                <w:bCs/>
                <w:sz w:val="16"/>
                <w:szCs w:val="18"/>
              </w:rPr>
              <w:t>9</w:t>
            </w:r>
          </w:p>
        </w:tc>
      </w:tr>
    </w:tbl>
    <w:p w14:paraId="2D6FC6A1" w14:textId="77777777" w:rsidR="00B57E77" w:rsidRPr="006E1AF7" w:rsidRDefault="00B57E77" w:rsidP="00F60B2C">
      <w:pPr>
        <w:spacing w:after="160"/>
        <w:jc w:val="both"/>
        <w:rPr>
          <w:rFonts w:ascii="Arial" w:eastAsia="Calibri" w:hAnsi="Arial" w:cs="Arial"/>
          <w:sz w:val="16"/>
        </w:rPr>
      </w:pPr>
    </w:p>
    <w:tbl>
      <w:tblPr>
        <w:tblW w:w="8719" w:type="dxa"/>
        <w:jc w:val="center"/>
        <w:tblLayout w:type="fixed"/>
        <w:tblCellMar>
          <w:left w:w="70" w:type="dxa"/>
          <w:right w:w="70" w:type="dxa"/>
        </w:tblCellMar>
        <w:tblLook w:val="04A0" w:firstRow="1" w:lastRow="0" w:firstColumn="1" w:lastColumn="0" w:noHBand="0" w:noVBand="1"/>
      </w:tblPr>
      <w:tblGrid>
        <w:gridCol w:w="899"/>
        <w:gridCol w:w="1745"/>
        <w:gridCol w:w="1134"/>
        <w:gridCol w:w="922"/>
        <w:gridCol w:w="921"/>
        <w:gridCol w:w="898"/>
        <w:gridCol w:w="1276"/>
        <w:gridCol w:w="924"/>
      </w:tblGrid>
      <w:tr w:rsidR="00F60B2C" w:rsidRPr="00701F32" w14:paraId="6063ADF1" w14:textId="77777777" w:rsidTr="006E1AF7">
        <w:trPr>
          <w:trHeight w:val="186"/>
          <w:jc w:val="center"/>
        </w:trPr>
        <w:tc>
          <w:tcPr>
            <w:tcW w:w="899"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757E0E11" w14:textId="77777777" w:rsidR="00F60B2C" w:rsidRPr="00B54E50" w:rsidRDefault="00F60B2C" w:rsidP="00B57E77">
            <w:pPr>
              <w:ind w:left="-97" w:firstLine="97"/>
              <w:jc w:val="center"/>
              <w:rPr>
                <w:rFonts w:ascii="Arial" w:hAnsi="Arial" w:cs="Arial"/>
                <w:b/>
                <w:bCs/>
                <w:sz w:val="16"/>
                <w:szCs w:val="18"/>
                <w:lang w:eastAsia="es-AR"/>
              </w:rPr>
            </w:pPr>
            <w:r w:rsidRPr="00B54E50">
              <w:rPr>
                <w:rFonts w:ascii="Arial" w:hAnsi="Arial" w:cs="Arial"/>
                <w:b/>
                <w:bCs/>
                <w:sz w:val="16"/>
                <w:szCs w:val="18"/>
              </w:rPr>
              <w:t>Detalle de Clases</w:t>
            </w:r>
          </w:p>
        </w:tc>
        <w:tc>
          <w:tcPr>
            <w:tcW w:w="1745"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7FEE9603" w14:textId="77777777" w:rsidR="00F60B2C" w:rsidRPr="00B54E50" w:rsidRDefault="00F60B2C" w:rsidP="00F60B2C">
            <w:pPr>
              <w:jc w:val="center"/>
              <w:rPr>
                <w:rFonts w:ascii="Arial" w:hAnsi="Arial" w:cs="Arial"/>
                <w:b/>
                <w:bCs/>
                <w:sz w:val="16"/>
                <w:szCs w:val="18"/>
              </w:rPr>
            </w:pPr>
            <w:r w:rsidRPr="00B54E50">
              <w:rPr>
                <w:rFonts w:ascii="Arial" w:hAnsi="Arial" w:cs="Arial"/>
                <w:b/>
                <w:bCs/>
                <w:sz w:val="16"/>
                <w:szCs w:val="18"/>
              </w:rPr>
              <w:t>Tasador</w:t>
            </w:r>
          </w:p>
        </w:tc>
        <w:tc>
          <w:tcPr>
            <w:tcW w:w="1134"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7EFDEA65" w14:textId="77777777" w:rsidR="00F60B2C" w:rsidRPr="00B54E50" w:rsidRDefault="00F60B2C" w:rsidP="00F60B2C">
            <w:pPr>
              <w:jc w:val="center"/>
              <w:rPr>
                <w:rFonts w:ascii="Arial" w:hAnsi="Arial" w:cs="Arial"/>
                <w:b/>
                <w:bCs/>
                <w:sz w:val="16"/>
                <w:szCs w:val="18"/>
              </w:rPr>
            </w:pPr>
            <w:r w:rsidRPr="00B54E50">
              <w:rPr>
                <w:rFonts w:ascii="Arial" w:hAnsi="Arial" w:cs="Arial"/>
                <w:b/>
                <w:bCs/>
                <w:sz w:val="16"/>
                <w:szCs w:val="18"/>
              </w:rPr>
              <w:t>Fecha de Revaluación</w:t>
            </w:r>
          </w:p>
        </w:tc>
        <w:tc>
          <w:tcPr>
            <w:tcW w:w="2741" w:type="dxa"/>
            <w:gridSpan w:val="3"/>
            <w:tcBorders>
              <w:top w:val="single" w:sz="4" w:space="0" w:color="363639"/>
              <w:left w:val="nil"/>
              <w:bottom w:val="single" w:sz="4" w:space="0" w:color="363639"/>
              <w:right w:val="single" w:sz="4" w:space="0" w:color="363639"/>
            </w:tcBorders>
            <w:shd w:val="clear" w:color="auto" w:fill="auto"/>
            <w:vAlign w:val="center"/>
            <w:hideMark/>
          </w:tcPr>
          <w:p w14:paraId="6E1627E3" w14:textId="77777777" w:rsidR="00F60B2C" w:rsidRPr="00B54E50" w:rsidRDefault="00F60B2C" w:rsidP="00F60B2C">
            <w:pPr>
              <w:jc w:val="center"/>
              <w:rPr>
                <w:rFonts w:ascii="Arial" w:hAnsi="Arial" w:cs="Arial"/>
                <w:b/>
                <w:bCs/>
                <w:sz w:val="16"/>
                <w:szCs w:val="18"/>
              </w:rPr>
            </w:pPr>
            <w:r w:rsidRPr="00B54E50">
              <w:rPr>
                <w:rFonts w:ascii="Arial" w:hAnsi="Arial" w:cs="Arial"/>
                <w:b/>
                <w:bCs/>
                <w:sz w:val="16"/>
                <w:szCs w:val="18"/>
              </w:rPr>
              <w:t>Ajuste por Revaluación - ORI acumulado</w:t>
            </w:r>
          </w:p>
        </w:tc>
        <w:tc>
          <w:tcPr>
            <w:tcW w:w="1276" w:type="dxa"/>
            <w:vMerge w:val="restart"/>
            <w:tcBorders>
              <w:top w:val="single" w:sz="4" w:space="0" w:color="363639"/>
              <w:left w:val="single" w:sz="4" w:space="0" w:color="363639"/>
              <w:right w:val="single" w:sz="4" w:space="0" w:color="363639"/>
            </w:tcBorders>
            <w:vAlign w:val="center"/>
          </w:tcPr>
          <w:p w14:paraId="630531C3" w14:textId="77777777" w:rsidR="00F60B2C" w:rsidRPr="00B54E50" w:rsidRDefault="00F60B2C" w:rsidP="00F60B2C">
            <w:pPr>
              <w:jc w:val="center"/>
              <w:rPr>
                <w:rFonts w:ascii="Arial" w:hAnsi="Arial" w:cs="Arial"/>
                <w:b/>
                <w:bCs/>
                <w:sz w:val="16"/>
                <w:szCs w:val="18"/>
              </w:rPr>
            </w:pPr>
            <w:r w:rsidRPr="00B54E50">
              <w:rPr>
                <w:rFonts w:ascii="Arial" w:hAnsi="Arial" w:cs="Arial"/>
                <w:b/>
                <w:bCs/>
                <w:sz w:val="16"/>
                <w:szCs w:val="18"/>
              </w:rPr>
              <w:t>Amortización revaluo</w:t>
            </w:r>
          </w:p>
        </w:tc>
        <w:tc>
          <w:tcPr>
            <w:tcW w:w="924"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5953013F" w14:textId="66A2BBE4" w:rsidR="00F60B2C" w:rsidRPr="00B54E50" w:rsidRDefault="00F60B2C" w:rsidP="00F60B2C">
            <w:pPr>
              <w:jc w:val="center"/>
              <w:rPr>
                <w:rFonts w:ascii="Arial" w:hAnsi="Arial" w:cs="Arial"/>
                <w:b/>
                <w:bCs/>
                <w:sz w:val="16"/>
                <w:szCs w:val="18"/>
              </w:rPr>
            </w:pPr>
            <w:r w:rsidRPr="00B54E50">
              <w:rPr>
                <w:rFonts w:ascii="Arial" w:hAnsi="Arial" w:cs="Arial"/>
                <w:b/>
                <w:bCs/>
                <w:sz w:val="16"/>
                <w:szCs w:val="18"/>
              </w:rPr>
              <w:t>Importe en libros s</w:t>
            </w:r>
            <w:r w:rsidR="00DA7EC6">
              <w:rPr>
                <w:rFonts w:ascii="Arial" w:hAnsi="Arial" w:cs="Arial"/>
                <w:b/>
                <w:bCs/>
                <w:sz w:val="16"/>
                <w:szCs w:val="18"/>
              </w:rPr>
              <w:t>i se hubiera registrado bajo el</w:t>
            </w:r>
            <w:r w:rsidRPr="00B54E50">
              <w:rPr>
                <w:rFonts w:ascii="Arial" w:hAnsi="Arial" w:cs="Arial"/>
                <w:b/>
                <w:bCs/>
                <w:sz w:val="16"/>
                <w:szCs w:val="18"/>
              </w:rPr>
              <w:t xml:space="preserve"> Modelo de costo</w:t>
            </w:r>
          </w:p>
        </w:tc>
      </w:tr>
      <w:tr w:rsidR="00F60B2C" w:rsidRPr="00701F32" w14:paraId="751EF61A" w14:textId="77777777" w:rsidTr="006E1AF7">
        <w:trPr>
          <w:trHeight w:val="562"/>
          <w:jc w:val="center"/>
        </w:trPr>
        <w:tc>
          <w:tcPr>
            <w:tcW w:w="899" w:type="dxa"/>
            <w:vMerge/>
            <w:tcBorders>
              <w:top w:val="single" w:sz="4" w:space="0" w:color="363639"/>
              <w:left w:val="single" w:sz="4" w:space="0" w:color="363639"/>
              <w:bottom w:val="single" w:sz="4" w:space="0" w:color="363639"/>
              <w:right w:val="single" w:sz="4" w:space="0" w:color="363639"/>
            </w:tcBorders>
            <w:vAlign w:val="center"/>
            <w:hideMark/>
          </w:tcPr>
          <w:p w14:paraId="6B14F181" w14:textId="77777777" w:rsidR="00F60B2C" w:rsidRPr="00B54E50" w:rsidRDefault="00F60B2C" w:rsidP="00F60B2C">
            <w:pPr>
              <w:rPr>
                <w:rFonts w:ascii="Arial" w:hAnsi="Arial" w:cs="Arial"/>
                <w:b/>
                <w:bCs/>
                <w:sz w:val="16"/>
                <w:szCs w:val="18"/>
              </w:rPr>
            </w:pPr>
          </w:p>
        </w:tc>
        <w:tc>
          <w:tcPr>
            <w:tcW w:w="1745" w:type="dxa"/>
            <w:vMerge/>
            <w:tcBorders>
              <w:top w:val="single" w:sz="4" w:space="0" w:color="363639"/>
              <w:left w:val="single" w:sz="4" w:space="0" w:color="363639"/>
              <w:bottom w:val="single" w:sz="4" w:space="0" w:color="363639"/>
              <w:right w:val="single" w:sz="4" w:space="0" w:color="363639"/>
            </w:tcBorders>
            <w:vAlign w:val="center"/>
            <w:hideMark/>
          </w:tcPr>
          <w:p w14:paraId="1D81E4D7" w14:textId="77777777" w:rsidR="00F60B2C" w:rsidRPr="00B54E50" w:rsidRDefault="00F60B2C" w:rsidP="00F60B2C">
            <w:pPr>
              <w:rPr>
                <w:rFonts w:ascii="Arial" w:hAnsi="Arial" w:cs="Arial"/>
                <w:b/>
                <w:bCs/>
                <w:sz w:val="16"/>
                <w:szCs w:val="18"/>
              </w:rPr>
            </w:pPr>
          </w:p>
        </w:tc>
        <w:tc>
          <w:tcPr>
            <w:tcW w:w="1134" w:type="dxa"/>
            <w:vMerge/>
            <w:tcBorders>
              <w:top w:val="single" w:sz="4" w:space="0" w:color="363639"/>
              <w:left w:val="single" w:sz="4" w:space="0" w:color="363639"/>
              <w:bottom w:val="single" w:sz="4" w:space="0" w:color="363639"/>
              <w:right w:val="single" w:sz="4" w:space="0" w:color="363639"/>
            </w:tcBorders>
            <w:vAlign w:val="center"/>
            <w:hideMark/>
          </w:tcPr>
          <w:p w14:paraId="1B34D311" w14:textId="77777777" w:rsidR="00F60B2C" w:rsidRPr="00B54E50" w:rsidRDefault="00F60B2C" w:rsidP="00F60B2C">
            <w:pPr>
              <w:rPr>
                <w:rFonts w:ascii="Arial" w:hAnsi="Arial" w:cs="Arial"/>
                <w:b/>
                <w:bCs/>
                <w:sz w:val="16"/>
                <w:szCs w:val="18"/>
              </w:rPr>
            </w:pPr>
          </w:p>
        </w:tc>
        <w:tc>
          <w:tcPr>
            <w:tcW w:w="922" w:type="dxa"/>
            <w:tcBorders>
              <w:top w:val="nil"/>
              <w:left w:val="nil"/>
              <w:bottom w:val="single" w:sz="4" w:space="0" w:color="363639"/>
              <w:right w:val="single" w:sz="4" w:space="0" w:color="363639"/>
            </w:tcBorders>
            <w:shd w:val="clear" w:color="auto" w:fill="auto"/>
            <w:vAlign w:val="center"/>
            <w:hideMark/>
          </w:tcPr>
          <w:p w14:paraId="5491E72D" w14:textId="77777777" w:rsidR="00F60B2C" w:rsidRPr="00B54E50" w:rsidRDefault="00F60B2C" w:rsidP="00F60B2C">
            <w:pPr>
              <w:jc w:val="center"/>
              <w:rPr>
                <w:rFonts w:ascii="Arial" w:hAnsi="Arial" w:cs="Arial"/>
                <w:b/>
                <w:bCs/>
                <w:sz w:val="16"/>
                <w:szCs w:val="18"/>
              </w:rPr>
            </w:pPr>
            <w:r w:rsidRPr="00B54E50">
              <w:rPr>
                <w:rFonts w:ascii="Arial" w:hAnsi="Arial" w:cs="Arial"/>
                <w:b/>
                <w:bCs/>
                <w:sz w:val="16"/>
                <w:szCs w:val="18"/>
              </w:rPr>
              <w:t>Saldo al inicio del ejercicio</w:t>
            </w:r>
          </w:p>
        </w:tc>
        <w:tc>
          <w:tcPr>
            <w:tcW w:w="921" w:type="dxa"/>
            <w:tcBorders>
              <w:top w:val="nil"/>
              <w:left w:val="nil"/>
              <w:bottom w:val="single" w:sz="4" w:space="0" w:color="363639"/>
              <w:right w:val="single" w:sz="4" w:space="0" w:color="363639"/>
            </w:tcBorders>
            <w:shd w:val="clear" w:color="auto" w:fill="auto"/>
            <w:vAlign w:val="center"/>
            <w:hideMark/>
          </w:tcPr>
          <w:p w14:paraId="7C5E856E" w14:textId="77777777" w:rsidR="00F60B2C" w:rsidRPr="00B54E50" w:rsidRDefault="00F60B2C" w:rsidP="00F60B2C">
            <w:pPr>
              <w:jc w:val="center"/>
              <w:rPr>
                <w:rFonts w:ascii="Arial" w:hAnsi="Arial" w:cs="Arial"/>
                <w:b/>
                <w:bCs/>
                <w:sz w:val="16"/>
                <w:szCs w:val="18"/>
              </w:rPr>
            </w:pPr>
            <w:r w:rsidRPr="00B54E50">
              <w:rPr>
                <w:rFonts w:ascii="Arial" w:hAnsi="Arial" w:cs="Arial"/>
                <w:b/>
                <w:bCs/>
                <w:sz w:val="16"/>
                <w:szCs w:val="18"/>
              </w:rPr>
              <w:t xml:space="preserve">Cambio del </w:t>
            </w:r>
            <w:r>
              <w:rPr>
                <w:rFonts w:ascii="Arial" w:hAnsi="Arial" w:cs="Arial"/>
                <w:b/>
                <w:bCs/>
                <w:sz w:val="16"/>
                <w:szCs w:val="18"/>
              </w:rPr>
              <w:t>ejercicio</w:t>
            </w:r>
          </w:p>
        </w:tc>
        <w:tc>
          <w:tcPr>
            <w:tcW w:w="898" w:type="dxa"/>
            <w:tcBorders>
              <w:top w:val="nil"/>
              <w:left w:val="nil"/>
              <w:bottom w:val="single" w:sz="4" w:space="0" w:color="363639"/>
              <w:right w:val="single" w:sz="4" w:space="0" w:color="363639"/>
            </w:tcBorders>
            <w:shd w:val="clear" w:color="auto" w:fill="auto"/>
            <w:vAlign w:val="center"/>
            <w:hideMark/>
          </w:tcPr>
          <w:p w14:paraId="5131D63B" w14:textId="77777777" w:rsidR="00F60B2C" w:rsidRPr="00B54E50" w:rsidRDefault="00F60B2C" w:rsidP="00F60B2C">
            <w:pPr>
              <w:jc w:val="center"/>
              <w:rPr>
                <w:rFonts w:ascii="Arial" w:hAnsi="Arial" w:cs="Arial"/>
                <w:b/>
                <w:bCs/>
                <w:sz w:val="16"/>
                <w:szCs w:val="18"/>
              </w:rPr>
            </w:pPr>
            <w:r w:rsidRPr="00B54E50">
              <w:rPr>
                <w:rFonts w:ascii="Arial" w:hAnsi="Arial" w:cs="Arial"/>
                <w:b/>
                <w:bCs/>
                <w:sz w:val="16"/>
                <w:szCs w:val="18"/>
              </w:rPr>
              <w:t xml:space="preserve">Saldo al cierre del </w:t>
            </w:r>
            <w:r>
              <w:rPr>
                <w:rFonts w:ascii="Arial" w:hAnsi="Arial" w:cs="Arial"/>
                <w:b/>
                <w:bCs/>
                <w:sz w:val="16"/>
                <w:szCs w:val="18"/>
              </w:rPr>
              <w:t>ejercicio</w:t>
            </w:r>
          </w:p>
        </w:tc>
        <w:tc>
          <w:tcPr>
            <w:tcW w:w="1276" w:type="dxa"/>
            <w:vMerge/>
            <w:tcBorders>
              <w:left w:val="single" w:sz="4" w:space="0" w:color="363639"/>
              <w:bottom w:val="single" w:sz="4" w:space="0" w:color="363639"/>
              <w:right w:val="single" w:sz="4" w:space="0" w:color="363639"/>
            </w:tcBorders>
          </w:tcPr>
          <w:p w14:paraId="7FF46647" w14:textId="77777777" w:rsidR="00F60B2C" w:rsidRPr="00B54E50" w:rsidRDefault="00F60B2C" w:rsidP="00F60B2C">
            <w:pPr>
              <w:rPr>
                <w:rFonts w:ascii="Arial" w:hAnsi="Arial" w:cs="Arial"/>
                <w:b/>
                <w:bCs/>
                <w:sz w:val="16"/>
                <w:szCs w:val="18"/>
              </w:rPr>
            </w:pPr>
          </w:p>
        </w:tc>
        <w:tc>
          <w:tcPr>
            <w:tcW w:w="924" w:type="dxa"/>
            <w:vMerge/>
            <w:tcBorders>
              <w:top w:val="single" w:sz="4" w:space="0" w:color="363639"/>
              <w:left w:val="single" w:sz="4" w:space="0" w:color="363639"/>
              <w:bottom w:val="single" w:sz="4" w:space="0" w:color="363639"/>
              <w:right w:val="single" w:sz="4" w:space="0" w:color="363639"/>
            </w:tcBorders>
            <w:vAlign w:val="center"/>
            <w:hideMark/>
          </w:tcPr>
          <w:p w14:paraId="5E04B19E" w14:textId="77777777" w:rsidR="00F60B2C" w:rsidRPr="00B54E50" w:rsidRDefault="00F60B2C" w:rsidP="00F60B2C">
            <w:pPr>
              <w:rPr>
                <w:rFonts w:ascii="Arial" w:hAnsi="Arial" w:cs="Arial"/>
                <w:b/>
                <w:bCs/>
                <w:sz w:val="16"/>
                <w:szCs w:val="18"/>
              </w:rPr>
            </w:pPr>
          </w:p>
        </w:tc>
      </w:tr>
      <w:tr w:rsidR="00F60B2C" w:rsidRPr="00701F32" w14:paraId="73C38F44" w14:textId="77777777" w:rsidTr="006E1AF7">
        <w:trPr>
          <w:trHeight w:val="186"/>
          <w:jc w:val="center"/>
        </w:trPr>
        <w:tc>
          <w:tcPr>
            <w:tcW w:w="899" w:type="dxa"/>
            <w:vMerge w:val="restart"/>
            <w:tcBorders>
              <w:top w:val="nil"/>
              <w:left w:val="single" w:sz="4" w:space="0" w:color="363639"/>
              <w:bottom w:val="single" w:sz="4" w:space="0" w:color="363639"/>
              <w:right w:val="single" w:sz="4" w:space="0" w:color="363639"/>
            </w:tcBorders>
            <w:shd w:val="clear" w:color="auto" w:fill="auto"/>
            <w:vAlign w:val="center"/>
            <w:hideMark/>
          </w:tcPr>
          <w:p w14:paraId="3FD43F61" w14:textId="77777777" w:rsidR="00F60B2C" w:rsidRPr="00B54E50" w:rsidRDefault="00F60B2C" w:rsidP="00F60B2C">
            <w:pPr>
              <w:jc w:val="center"/>
              <w:rPr>
                <w:rFonts w:ascii="Arial" w:hAnsi="Arial" w:cs="Arial"/>
                <w:sz w:val="16"/>
                <w:szCs w:val="18"/>
              </w:rPr>
            </w:pPr>
            <w:r w:rsidRPr="00B54E50">
              <w:rPr>
                <w:rFonts w:ascii="Arial" w:hAnsi="Arial" w:cs="Arial"/>
                <w:sz w:val="16"/>
                <w:szCs w:val="18"/>
              </w:rPr>
              <w:t>Inmuebles</w:t>
            </w:r>
          </w:p>
        </w:tc>
        <w:tc>
          <w:tcPr>
            <w:tcW w:w="1745" w:type="dxa"/>
            <w:tcBorders>
              <w:top w:val="nil"/>
              <w:left w:val="nil"/>
              <w:bottom w:val="nil"/>
              <w:right w:val="single" w:sz="4" w:space="0" w:color="363639"/>
            </w:tcBorders>
            <w:shd w:val="clear" w:color="auto" w:fill="auto"/>
            <w:hideMark/>
          </w:tcPr>
          <w:p w14:paraId="4C90307F" w14:textId="77777777" w:rsidR="00F60B2C" w:rsidRPr="00B54E50" w:rsidRDefault="00F60B2C" w:rsidP="00F60B2C">
            <w:pPr>
              <w:jc w:val="center"/>
              <w:rPr>
                <w:rFonts w:ascii="Arial" w:hAnsi="Arial" w:cs="Arial"/>
                <w:sz w:val="16"/>
                <w:szCs w:val="16"/>
              </w:rPr>
            </w:pPr>
            <w:r w:rsidRPr="00B54E50">
              <w:rPr>
                <w:rFonts w:ascii="Arial" w:hAnsi="Arial" w:cs="Arial"/>
                <w:sz w:val="16"/>
                <w:szCs w:val="16"/>
              </w:rPr>
              <w:t xml:space="preserve">Tribunal de Tasaciones de la Nación </w:t>
            </w:r>
          </w:p>
        </w:tc>
        <w:tc>
          <w:tcPr>
            <w:tcW w:w="1134" w:type="dxa"/>
            <w:vMerge w:val="restart"/>
            <w:tcBorders>
              <w:top w:val="nil"/>
              <w:left w:val="single" w:sz="4" w:space="0" w:color="363639"/>
              <w:bottom w:val="single" w:sz="4" w:space="0" w:color="000000"/>
              <w:right w:val="single" w:sz="4" w:space="0" w:color="363639"/>
            </w:tcBorders>
            <w:shd w:val="clear" w:color="auto" w:fill="auto"/>
            <w:noWrap/>
            <w:vAlign w:val="center"/>
            <w:hideMark/>
          </w:tcPr>
          <w:p w14:paraId="52A1642F" w14:textId="34F51ECD" w:rsidR="00F60B2C" w:rsidRPr="00B54E50" w:rsidRDefault="00F60B2C" w:rsidP="00F60B2C">
            <w:pPr>
              <w:jc w:val="center"/>
              <w:rPr>
                <w:rFonts w:ascii="Arial" w:hAnsi="Arial" w:cs="Arial"/>
                <w:sz w:val="16"/>
                <w:szCs w:val="18"/>
              </w:rPr>
            </w:pPr>
            <w:r w:rsidRPr="00CA6FAC">
              <w:rPr>
                <w:rFonts w:ascii="Arial" w:hAnsi="Arial" w:cs="Arial"/>
                <w:sz w:val="16"/>
                <w:szCs w:val="18"/>
              </w:rPr>
              <w:t>31/12/2018</w:t>
            </w:r>
          </w:p>
        </w:tc>
        <w:tc>
          <w:tcPr>
            <w:tcW w:w="922" w:type="dxa"/>
            <w:vMerge w:val="restart"/>
            <w:tcBorders>
              <w:top w:val="nil"/>
              <w:left w:val="single" w:sz="4" w:space="0" w:color="363639"/>
              <w:bottom w:val="single" w:sz="4" w:space="0" w:color="000000"/>
              <w:right w:val="single" w:sz="4" w:space="0" w:color="363639"/>
            </w:tcBorders>
            <w:shd w:val="clear" w:color="auto" w:fill="auto"/>
            <w:noWrap/>
            <w:vAlign w:val="center"/>
            <w:hideMark/>
          </w:tcPr>
          <w:p w14:paraId="148D3612" w14:textId="5BC3CE4F" w:rsidR="00F60B2C" w:rsidRPr="00B54E50" w:rsidRDefault="00F60B2C" w:rsidP="00F60B2C">
            <w:pPr>
              <w:jc w:val="right"/>
              <w:rPr>
                <w:rFonts w:ascii="Arial" w:hAnsi="Arial" w:cs="Arial"/>
                <w:sz w:val="16"/>
                <w:szCs w:val="18"/>
              </w:rPr>
            </w:pPr>
            <w:r w:rsidRPr="00701F32">
              <w:rPr>
                <w:rFonts w:ascii="Arial" w:hAnsi="Arial" w:cs="Arial"/>
                <w:sz w:val="16"/>
                <w:szCs w:val="18"/>
              </w:rPr>
              <w:t>181.334</w:t>
            </w:r>
          </w:p>
        </w:tc>
        <w:tc>
          <w:tcPr>
            <w:tcW w:w="921" w:type="dxa"/>
            <w:vMerge w:val="restart"/>
            <w:tcBorders>
              <w:top w:val="nil"/>
              <w:left w:val="single" w:sz="4" w:space="0" w:color="363639"/>
              <w:bottom w:val="single" w:sz="4" w:space="0" w:color="000000"/>
              <w:right w:val="single" w:sz="4" w:space="0" w:color="363639"/>
            </w:tcBorders>
            <w:shd w:val="clear" w:color="auto" w:fill="auto"/>
            <w:noWrap/>
            <w:vAlign w:val="center"/>
            <w:hideMark/>
          </w:tcPr>
          <w:p w14:paraId="085FFF99" w14:textId="6A3D371D" w:rsidR="00F60B2C" w:rsidRPr="00B54E50" w:rsidRDefault="00F60B2C" w:rsidP="00F60B2C">
            <w:pPr>
              <w:jc w:val="right"/>
              <w:rPr>
                <w:rFonts w:ascii="Arial" w:hAnsi="Arial" w:cs="Arial"/>
                <w:sz w:val="16"/>
                <w:szCs w:val="18"/>
              </w:rPr>
            </w:pPr>
            <w:r>
              <w:rPr>
                <w:rFonts w:ascii="Arial" w:hAnsi="Arial" w:cs="Arial"/>
                <w:sz w:val="16"/>
                <w:szCs w:val="18"/>
              </w:rPr>
              <w:t>575.402</w:t>
            </w:r>
          </w:p>
        </w:tc>
        <w:tc>
          <w:tcPr>
            <w:tcW w:w="898" w:type="dxa"/>
            <w:vMerge w:val="restart"/>
            <w:tcBorders>
              <w:top w:val="nil"/>
              <w:left w:val="single" w:sz="4" w:space="0" w:color="363639"/>
              <w:bottom w:val="single" w:sz="4" w:space="0" w:color="000000"/>
              <w:right w:val="single" w:sz="4" w:space="0" w:color="363639"/>
            </w:tcBorders>
            <w:shd w:val="clear" w:color="auto" w:fill="auto"/>
            <w:noWrap/>
            <w:vAlign w:val="center"/>
            <w:hideMark/>
          </w:tcPr>
          <w:p w14:paraId="65DD46C1" w14:textId="269934B3" w:rsidR="00F60B2C" w:rsidRPr="00B54E50" w:rsidRDefault="00F60B2C" w:rsidP="00F60B2C">
            <w:pPr>
              <w:jc w:val="right"/>
              <w:rPr>
                <w:rFonts w:ascii="Arial" w:hAnsi="Arial" w:cs="Arial"/>
                <w:sz w:val="16"/>
                <w:szCs w:val="18"/>
              </w:rPr>
            </w:pPr>
            <w:r>
              <w:rPr>
                <w:rFonts w:ascii="Arial" w:hAnsi="Arial" w:cs="Arial"/>
                <w:sz w:val="16"/>
                <w:szCs w:val="18"/>
              </w:rPr>
              <w:t>756.736</w:t>
            </w:r>
          </w:p>
        </w:tc>
        <w:tc>
          <w:tcPr>
            <w:tcW w:w="1276" w:type="dxa"/>
            <w:vMerge w:val="restart"/>
            <w:tcBorders>
              <w:top w:val="nil"/>
              <w:left w:val="single" w:sz="4" w:space="0" w:color="363639"/>
              <w:right w:val="single" w:sz="4" w:space="0" w:color="363639"/>
            </w:tcBorders>
            <w:vAlign w:val="center"/>
          </w:tcPr>
          <w:p w14:paraId="74F04076" w14:textId="11D605EF" w:rsidR="00F60B2C" w:rsidRPr="00B54E50" w:rsidRDefault="00F60B2C" w:rsidP="00F60B2C">
            <w:pPr>
              <w:jc w:val="right"/>
              <w:rPr>
                <w:rFonts w:ascii="Arial" w:hAnsi="Arial" w:cs="Arial"/>
                <w:sz w:val="16"/>
                <w:szCs w:val="18"/>
              </w:rPr>
            </w:pPr>
            <w:r w:rsidRPr="00701F32">
              <w:rPr>
                <w:rFonts w:ascii="Arial" w:hAnsi="Arial" w:cs="Arial"/>
                <w:sz w:val="16"/>
                <w:szCs w:val="18"/>
              </w:rPr>
              <w:t>(</w:t>
            </w:r>
            <w:r>
              <w:rPr>
                <w:rFonts w:ascii="Arial" w:hAnsi="Arial" w:cs="Arial"/>
                <w:sz w:val="16"/>
                <w:szCs w:val="18"/>
              </w:rPr>
              <w:t>6.398</w:t>
            </w:r>
            <w:r w:rsidRPr="00701F32">
              <w:rPr>
                <w:rFonts w:ascii="Arial" w:hAnsi="Arial" w:cs="Arial"/>
                <w:sz w:val="16"/>
                <w:szCs w:val="18"/>
              </w:rPr>
              <w:t>)</w:t>
            </w:r>
          </w:p>
        </w:tc>
        <w:tc>
          <w:tcPr>
            <w:tcW w:w="924" w:type="dxa"/>
            <w:vMerge w:val="restart"/>
            <w:tcBorders>
              <w:top w:val="nil"/>
              <w:left w:val="single" w:sz="4" w:space="0" w:color="363639"/>
              <w:bottom w:val="single" w:sz="4" w:space="0" w:color="000000"/>
              <w:right w:val="single" w:sz="4" w:space="0" w:color="363639"/>
            </w:tcBorders>
            <w:shd w:val="clear" w:color="auto" w:fill="auto"/>
            <w:noWrap/>
            <w:vAlign w:val="center"/>
            <w:hideMark/>
          </w:tcPr>
          <w:p w14:paraId="3FE5F3B7" w14:textId="70DF708B" w:rsidR="00F60B2C" w:rsidRPr="00B54E50" w:rsidRDefault="00F60B2C" w:rsidP="00F60B2C">
            <w:pPr>
              <w:jc w:val="right"/>
              <w:rPr>
                <w:rFonts w:ascii="Arial" w:hAnsi="Arial" w:cs="Arial"/>
                <w:sz w:val="16"/>
                <w:szCs w:val="18"/>
              </w:rPr>
            </w:pPr>
            <w:r>
              <w:rPr>
                <w:rFonts w:ascii="Arial" w:hAnsi="Arial" w:cs="Arial"/>
                <w:sz w:val="16"/>
                <w:szCs w:val="18"/>
              </w:rPr>
              <w:t>337.164</w:t>
            </w:r>
          </w:p>
        </w:tc>
      </w:tr>
      <w:tr w:rsidR="00F60B2C" w:rsidRPr="00701F32" w14:paraId="2EF11359" w14:textId="77777777" w:rsidTr="006E1AF7">
        <w:trPr>
          <w:trHeight w:val="186"/>
          <w:jc w:val="center"/>
        </w:trPr>
        <w:tc>
          <w:tcPr>
            <w:tcW w:w="899" w:type="dxa"/>
            <w:vMerge/>
            <w:tcBorders>
              <w:top w:val="nil"/>
              <w:left w:val="single" w:sz="4" w:space="0" w:color="363639"/>
              <w:bottom w:val="single" w:sz="4" w:space="0" w:color="363639"/>
              <w:right w:val="single" w:sz="4" w:space="0" w:color="363639"/>
            </w:tcBorders>
            <w:vAlign w:val="center"/>
            <w:hideMark/>
          </w:tcPr>
          <w:p w14:paraId="305C111A" w14:textId="77777777" w:rsidR="00F60B2C" w:rsidRPr="00B54E50" w:rsidRDefault="00F60B2C" w:rsidP="00F60B2C">
            <w:pPr>
              <w:rPr>
                <w:rFonts w:ascii="Arial" w:hAnsi="Arial" w:cs="Arial"/>
                <w:sz w:val="16"/>
                <w:szCs w:val="18"/>
              </w:rPr>
            </w:pPr>
          </w:p>
        </w:tc>
        <w:tc>
          <w:tcPr>
            <w:tcW w:w="1745" w:type="dxa"/>
            <w:tcBorders>
              <w:top w:val="nil"/>
              <w:left w:val="nil"/>
              <w:bottom w:val="nil"/>
              <w:right w:val="single" w:sz="4" w:space="0" w:color="363639"/>
            </w:tcBorders>
            <w:shd w:val="clear" w:color="auto" w:fill="auto"/>
            <w:hideMark/>
          </w:tcPr>
          <w:p w14:paraId="5708CD6A" w14:textId="77777777" w:rsidR="00F60B2C" w:rsidRPr="00B54E50" w:rsidRDefault="00F60B2C" w:rsidP="00F60B2C">
            <w:pPr>
              <w:jc w:val="center"/>
              <w:rPr>
                <w:rFonts w:ascii="Arial" w:hAnsi="Arial" w:cs="Arial"/>
                <w:sz w:val="16"/>
                <w:szCs w:val="16"/>
              </w:rPr>
            </w:pPr>
            <w:r w:rsidRPr="00B54E50">
              <w:rPr>
                <w:rFonts w:ascii="Arial" w:hAnsi="Arial" w:cs="Arial"/>
                <w:sz w:val="16"/>
                <w:szCs w:val="16"/>
              </w:rPr>
              <w:t>CM Ingeniería en Valuaciones</w:t>
            </w:r>
          </w:p>
        </w:tc>
        <w:tc>
          <w:tcPr>
            <w:tcW w:w="1134" w:type="dxa"/>
            <w:vMerge/>
            <w:tcBorders>
              <w:top w:val="nil"/>
              <w:left w:val="single" w:sz="4" w:space="0" w:color="363639"/>
              <w:bottom w:val="single" w:sz="4" w:space="0" w:color="000000"/>
              <w:right w:val="single" w:sz="4" w:space="0" w:color="363639"/>
            </w:tcBorders>
            <w:vAlign w:val="center"/>
            <w:hideMark/>
          </w:tcPr>
          <w:p w14:paraId="07BD337A" w14:textId="77777777" w:rsidR="00F60B2C" w:rsidRPr="00B54E50" w:rsidRDefault="00F60B2C" w:rsidP="00F60B2C">
            <w:pPr>
              <w:rPr>
                <w:rFonts w:ascii="Arial" w:hAnsi="Arial" w:cs="Arial"/>
                <w:sz w:val="16"/>
                <w:szCs w:val="18"/>
              </w:rPr>
            </w:pPr>
          </w:p>
        </w:tc>
        <w:tc>
          <w:tcPr>
            <w:tcW w:w="922" w:type="dxa"/>
            <w:vMerge/>
            <w:tcBorders>
              <w:top w:val="nil"/>
              <w:left w:val="single" w:sz="4" w:space="0" w:color="363639"/>
              <w:bottom w:val="single" w:sz="4" w:space="0" w:color="000000"/>
              <w:right w:val="single" w:sz="4" w:space="0" w:color="363639"/>
            </w:tcBorders>
            <w:vAlign w:val="center"/>
            <w:hideMark/>
          </w:tcPr>
          <w:p w14:paraId="006C8C3E" w14:textId="77777777" w:rsidR="00F60B2C" w:rsidRPr="00B54E50" w:rsidRDefault="00F60B2C" w:rsidP="00F60B2C">
            <w:pPr>
              <w:rPr>
                <w:rFonts w:ascii="Arial" w:hAnsi="Arial" w:cs="Arial"/>
                <w:sz w:val="16"/>
                <w:szCs w:val="18"/>
              </w:rPr>
            </w:pPr>
          </w:p>
        </w:tc>
        <w:tc>
          <w:tcPr>
            <w:tcW w:w="921" w:type="dxa"/>
            <w:vMerge/>
            <w:tcBorders>
              <w:top w:val="nil"/>
              <w:left w:val="single" w:sz="4" w:space="0" w:color="363639"/>
              <w:bottom w:val="single" w:sz="4" w:space="0" w:color="000000"/>
              <w:right w:val="single" w:sz="4" w:space="0" w:color="363639"/>
            </w:tcBorders>
            <w:vAlign w:val="center"/>
            <w:hideMark/>
          </w:tcPr>
          <w:p w14:paraId="5F4CCD7C" w14:textId="77777777" w:rsidR="00F60B2C" w:rsidRPr="00B54E50" w:rsidRDefault="00F60B2C" w:rsidP="00F60B2C">
            <w:pPr>
              <w:rPr>
                <w:rFonts w:ascii="Arial" w:hAnsi="Arial" w:cs="Arial"/>
                <w:sz w:val="16"/>
                <w:szCs w:val="18"/>
              </w:rPr>
            </w:pPr>
          </w:p>
        </w:tc>
        <w:tc>
          <w:tcPr>
            <w:tcW w:w="898" w:type="dxa"/>
            <w:vMerge/>
            <w:tcBorders>
              <w:top w:val="nil"/>
              <w:left w:val="single" w:sz="4" w:space="0" w:color="363639"/>
              <w:bottom w:val="single" w:sz="4" w:space="0" w:color="000000"/>
              <w:right w:val="single" w:sz="4" w:space="0" w:color="363639"/>
            </w:tcBorders>
            <w:vAlign w:val="center"/>
            <w:hideMark/>
          </w:tcPr>
          <w:p w14:paraId="2073F946" w14:textId="77777777" w:rsidR="00F60B2C" w:rsidRPr="00B54E50" w:rsidRDefault="00F60B2C" w:rsidP="00F60B2C">
            <w:pPr>
              <w:rPr>
                <w:rFonts w:ascii="Arial" w:hAnsi="Arial" w:cs="Arial"/>
                <w:sz w:val="16"/>
                <w:szCs w:val="18"/>
              </w:rPr>
            </w:pPr>
          </w:p>
        </w:tc>
        <w:tc>
          <w:tcPr>
            <w:tcW w:w="1276" w:type="dxa"/>
            <w:vMerge/>
            <w:tcBorders>
              <w:left w:val="single" w:sz="4" w:space="0" w:color="363639"/>
              <w:right w:val="single" w:sz="4" w:space="0" w:color="363639"/>
            </w:tcBorders>
          </w:tcPr>
          <w:p w14:paraId="1C2EAE9A" w14:textId="77777777" w:rsidR="00F60B2C" w:rsidRPr="00B54E50" w:rsidRDefault="00F60B2C" w:rsidP="00F60B2C">
            <w:pPr>
              <w:rPr>
                <w:rFonts w:ascii="Arial" w:hAnsi="Arial" w:cs="Arial"/>
                <w:sz w:val="16"/>
                <w:szCs w:val="18"/>
              </w:rPr>
            </w:pPr>
          </w:p>
        </w:tc>
        <w:tc>
          <w:tcPr>
            <w:tcW w:w="924" w:type="dxa"/>
            <w:vMerge/>
            <w:tcBorders>
              <w:top w:val="nil"/>
              <w:left w:val="single" w:sz="4" w:space="0" w:color="363639"/>
              <w:bottom w:val="single" w:sz="4" w:space="0" w:color="000000"/>
              <w:right w:val="single" w:sz="4" w:space="0" w:color="363639"/>
            </w:tcBorders>
            <w:vAlign w:val="center"/>
            <w:hideMark/>
          </w:tcPr>
          <w:p w14:paraId="45ECF7F4" w14:textId="77777777" w:rsidR="00F60B2C" w:rsidRPr="00B54E50" w:rsidRDefault="00F60B2C" w:rsidP="00F60B2C">
            <w:pPr>
              <w:rPr>
                <w:rFonts w:ascii="Arial" w:hAnsi="Arial" w:cs="Arial"/>
                <w:sz w:val="16"/>
                <w:szCs w:val="18"/>
              </w:rPr>
            </w:pPr>
          </w:p>
        </w:tc>
      </w:tr>
      <w:tr w:rsidR="00F60B2C" w:rsidRPr="00701F32" w14:paraId="78F51ED6" w14:textId="77777777" w:rsidTr="006E1AF7">
        <w:trPr>
          <w:trHeight w:val="186"/>
          <w:jc w:val="center"/>
        </w:trPr>
        <w:tc>
          <w:tcPr>
            <w:tcW w:w="899" w:type="dxa"/>
            <w:vMerge/>
            <w:tcBorders>
              <w:top w:val="nil"/>
              <w:left w:val="single" w:sz="4" w:space="0" w:color="363639"/>
              <w:bottom w:val="single" w:sz="4" w:space="0" w:color="363639"/>
              <w:right w:val="single" w:sz="4" w:space="0" w:color="363639"/>
            </w:tcBorders>
            <w:vAlign w:val="center"/>
            <w:hideMark/>
          </w:tcPr>
          <w:p w14:paraId="718010A6" w14:textId="77777777" w:rsidR="00F60B2C" w:rsidRPr="00B54E50" w:rsidRDefault="00F60B2C" w:rsidP="00F60B2C">
            <w:pPr>
              <w:rPr>
                <w:rFonts w:ascii="Arial" w:hAnsi="Arial" w:cs="Arial"/>
                <w:sz w:val="16"/>
                <w:szCs w:val="18"/>
              </w:rPr>
            </w:pPr>
          </w:p>
        </w:tc>
        <w:tc>
          <w:tcPr>
            <w:tcW w:w="1745" w:type="dxa"/>
            <w:tcBorders>
              <w:top w:val="nil"/>
              <w:left w:val="nil"/>
              <w:bottom w:val="nil"/>
              <w:right w:val="single" w:sz="4" w:space="0" w:color="363639"/>
            </w:tcBorders>
            <w:shd w:val="clear" w:color="auto" w:fill="auto"/>
            <w:hideMark/>
          </w:tcPr>
          <w:p w14:paraId="590BAFE8" w14:textId="77777777" w:rsidR="00F60B2C" w:rsidRPr="00B54E50" w:rsidRDefault="00F60B2C" w:rsidP="00F60B2C">
            <w:pPr>
              <w:jc w:val="center"/>
              <w:rPr>
                <w:rFonts w:ascii="Arial" w:hAnsi="Arial" w:cs="Arial"/>
                <w:sz w:val="16"/>
                <w:szCs w:val="16"/>
              </w:rPr>
            </w:pPr>
            <w:r w:rsidRPr="00B54E50">
              <w:rPr>
                <w:rFonts w:ascii="Arial" w:hAnsi="Arial" w:cs="Arial"/>
                <w:sz w:val="16"/>
                <w:szCs w:val="16"/>
              </w:rPr>
              <w:t>Serinco</w:t>
            </w:r>
          </w:p>
        </w:tc>
        <w:tc>
          <w:tcPr>
            <w:tcW w:w="1134" w:type="dxa"/>
            <w:vMerge/>
            <w:tcBorders>
              <w:top w:val="nil"/>
              <w:left w:val="single" w:sz="4" w:space="0" w:color="363639"/>
              <w:bottom w:val="single" w:sz="4" w:space="0" w:color="000000"/>
              <w:right w:val="single" w:sz="4" w:space="0" w:color="363639"/>
            </w:tcBorders>
            <w:vAlign w:val="center"/>
            <w:hideMark/>
          </w:tcPr>
          <w:p w14:paraId="30683E02" w14:textId="77777777" w:rsidR="00F60B2C" w:rsidRPr="00B54E50" w:rsidRDefault="00F60B2C" w:rsidP="00F60B2C">
            <w:pPr>
              <w:rPr>
                <w:rFonts w:ascii="Arial" w:hAnsi="Arial" w:cs="Arial"/>
                <w:sz w:val="16"/>
                <w:szCs w:val="18"/>
              </w:rPr>
            </w:pPr>
          </w:p>
        </w:tc>
        <w:tc>
          <w:tcPr>
            <w:tcW w:w="922" w:type="dxa"/>
            <w:vMerge/>
            <w:tcBorders>
              <w:top w:val="nil"/>
              <w:left w:val="single" w:sz="4" w:space="0" w:color="363639"/>
              <w:bottom w:val="single" w:sz="4" w:space="0" w:color="000000"/>
              <w:right w:val="single" w:sz="4" w:space="0" w:color="363639"/>
            </w:tcBorders>
            <w:vAlign w:val="center"/>
            <w:hideMark/>
          </w:tcPr>
          <w:p w14:paraId="2A1FADB1" w14:textId="77777777" w:rsidR="00F60B2C" w:rsidRPr="00B54E50" w:rsidRDefault="00F60B2C" w:rsidP="00F60B2C">
            <w:pPr>
              <w:rPr>
                <w:rFonts w:ascii="Arial" w:hAnsi="Arial" w:cs="Arial"/>
                <w:sz w:val="16"/>
                <w:szCs w:val="18"/>
              </w:rPr>
            </w:pPr>
          </w:p>
        </w:tc>
        <w:tc>
          <w:tcPr>
            <w:tcW w:w="921" w:type="dxa"/>
            <w:vMerge/>
            <w:tcBorders>
              <w:top w:val="nil"/>
              <w:left w:val="single" w:sz="4" w:space="0" w:color="363639"/>
              <w:bottom w:val="single" w:sz="4" w:space="0" w:color="000000"/>
              <w:right w:val="single" w:sz="4" w:space="0" w:color="363639"/>
            </w:tcBorders>
            <w:vAlign w:val="center"/>
            <w:hideMark/>
          </w:tcPr>
          <w:p w14:paraId="1C572669" w14:textId="77777777" w:rsidR="00F60B2C" w:rsidRPr="00B54E50" w:rsidRDefault="00F60B2C" w:rsidP="00F60B2C">
            <w:pPr>
              <w:rPr>
                <w:rFonts w:ascii="Arial" w:hAnsi="Arial" w:cs="Arial"/>
                <w:sz w:val="16"/>
                <w:szCs w:val="18"/>
              </w:rPr>
            </w:pPr>
          </w:p>
        </w:tc>
        <w:tc>
          <w:tcPr>
            <w:tcW w:w="898" w:type="dxa"/>
            <w:vMerge/>
            <w:tcBorders>
              <w:top w:val="nil"/>
              <w:left w:val="single" w:sz="4" w:space="0" w:color="363639"/>
              <w:bottom w:val="single" w:sz="4" w:space="0" w:color="000000"/>
              <w:right w:val="single" w:sz="4" w:space="0" w:color="363639"/>
            </w:tcBorders>
            <w:vAlign w:val="center"/>
            <w:hideMark/>
          </w:tcPr>
          <w:p w14:paraId="56694C15" w14:textId="77777777" w:rsidR="00F60B2C" w:rsidRPr="00B54E50" w:rsidRDefault="00F60B2C" w:rsidP="00F60B2C">
            <w:pPr>
              <w:rPr>
                <w:rFonts w:ascii="Arial" w:hAnsi="Arial" w:cs="Arial"/>
                <w:sz w:val="16"/>
                <w:szCs w:val="18"/>
              </w:rPr>
            </w:pPr>
          </w:p>
        </w:tc>
        <w:tc>
          <w:tcPr>
            <w:tcW w:w="1276" w:type="dxa"/>
            <w:vMerge/>
            <w:tcBorders>
              <w:left w:val="single" w:sz="4" w:space="0" w:color="363639"/>
              <w:right w:val="single" w:sz="4" w:space="0" w:color="363639"/>
            </w:tcBorders>
          </w:tcPr>
          <w:p w14:paraId="2098957A" w14:textId="77777777" w:rsidR="00F60B2C" w:rsidRPr="00B54E50" w:rsidRDefault="00F60B2C" w:rsidP="00F60B2C">
            <w:pPr>
              <w:rPr>
                <w:rFonts w:ascii="Arial" w:hAnsi="Arial" w:cs="Arial"/>
                <w:sz w:val="16"/>
                <w:szCs w:val="18"/>
              </w:rPr>
            </w:pPr>
          </w:p>
        </w:tc>
        <w:tc>
          <w:tcPr>
            <w:tcW w:w="924" w:type="dxa"/>
            <w:vMerge/>
            <w:tcBorders>
              <w:top w:val="nil"/>
              <w:left w:val="single" w:sz="4" w:space="0" w:color="363639"/>
              <w:bottom w:val="single" w:sz="4" w:space="0" w:color="000000"/>
              <w:right w:val="single" w:sz="4" w:space="0" w:color="363639"/>
            </w:tcBorders>
            <w:vAlign w:val="center"/>
            <w:hideMark/>
          </w:tcPr>
          <w:p w14:paraId="18AB269D" w14:textId="77777777" w:rsidR="00F60B2C" w:rsidRPr="00B54E50" w:rsidRDefault="00F60B2C" w:rsidP="00F60B2C">
            <w:pPr>
              <w:rPr>
                <w:rFonts w:ascii="Arial" w:hAnsi="Arial" w:cs="Arial"/>
                <w:sz w:val="16"/>
                <w:szCs w:val="18"/>
              </w:rPr>
            </w:pPr>
          </w:p>
        </w:tc>
      </w:tr>
      <w:tr w:rsidR="00F60B2C" w:rsidRPr="00701F32" w14:paraId="27094D60" w14:textId="77777777" w:rsidTr="006E1AF7">
        <w:trPr>
          <w:trHeight w:val="186"/>
          <w:jc w:val="center"/>
        </w:trPr>
        <w:tc>
          <w:tcPr>
            <w:tcW w:w="899" w:type="dxa"/>
            <w:vMerge/>
            <w:tcBorders>
              <w:top w:val="nil"/>
              <w:left w:val="single" w:sz="4" w:space="0" w:color="363639"/>
              <w:bottom w:val="single" w:sz="4" w:space="0" w:color="363639"/>
              <w:right w:val="single" w:sz="4" w:space="0" w:color="363639"/>
            </w:tcBorders>
            <w:vAlign w:val="center"/>
            <w:hideMark/>
          </w:tcPr>
          <w:p w14:paraId="6EACF4B8" w14:textId="77777777" w:rsidR="00F60B2C" w:rsidRPr="00B54E50" w:rsidRDefault="00F60B2C" w:rsidP="00F60B2C">
            <w:pPr>
              <w:rPr>
                <w:rFonts w:ascii="Arial" w:hAnsi="Arial" w:cs="Arial"/>
                <w:sz w:val="16"/>
                <w:szCs w:val="18"/>
              </w:rPr>
            </w:pPr>
          </w:p>
        </w:tc>
        <w:tc>
          <w:tcPr>
            <w:tcW w:w="1745" w:type="dxa"/>
            <w:tcBorders>
              <w:top w:val="nil"/>
              <w:left w:val="nil"/>
              <w:bottom w:val="single" w:sz="4" w:space="0" w:color="363639"/>
              <w:right w:val="single" w:sz="4" w:space="0" w:color="363639"/>
            </w:tcBorders>
            <w:shd w:val="clear" w:color="auto" w:fill="auto"/>
            <w:hideMark/>
          </w:tcPr>
          <w:p w14:paraId="7C353625" w14:textId="77777777" w:rsidR="00F60B2C" w:rsidRPr="00B54E50" w:rsidRDefault="00F60B2C" w:rsidP="00F60B2C">
            <w:pPr>
              <w:jc w:val="center"/>
              <w:rPr>
                <w:rFonts w:ascii="Arial" w:hAnsi="Arial" w:cs="Arial"/>
                <w:sz w:val="16"/>
                <w:szCs w:val="16"/>
              </w:rPr>
            </w:pPr>
            <w:r w:rsidRPr="00B54E50">
              <w:rPr>
                <w:rFonts w:ascii="Arial" w:hAnsi="Arial" w:cs="Arial"/>
                <w:sz w:val="16"/>
                <w:szCs w:val="16"/>
              </w:rPr>
              <w:t>Reporte Inmobiliario</w:t>
            </w:r>
          </w:p>
        </w:tc>
        <w:tc>
          <w:tcPr>
            <w:tcW w:w="1134" w:type="dxa"/>
            <w:vMerge/>
            <w:tcBorders>
              <w:top w:val="nil"/>
              <w:left w:val="single" w:sz="4" w:space="0" w:color="363639"/>
              <w:bottom w:val="single" w:sz="4" w:space="0" w:color="000000"/>
              <w:right w:val="single" w:sz="4" w:space="0" w:color="363639"/>
            </w:tcBorders>
            <w:vAlign w:val="center"/>
            <w:hideMark/>
          </w:tcPr>
          <w:p w14:paraId="206B1AA9" w14:textId="77777777" w:rsidR="00F60B2C" w:rsidRPr="00B54E50" w:rsidRDefault="00F60B2C" w:rsidP="00F60B2C">
            <w:pPr>
              <w:rPr>
                <w:rFonts w:ascii="Arial" w:hAnsi="Arial" w:cs="Arial"/>
                <w:sz w:val="16"/>
                <w:szCs w:val="18"/>
              </w:rPr>
            </w:pPr>
          </w:p>
        </w:tc>
        <w:tc>
          <w:tcPr>
            <w:tcW w:w="922" w:type="dxa"/>
            <w:vMerge/>
            <w:tcBorders>
              <w:top w:val="nil"/>
              <w:left w:val="single" w:sz="4" w:space="0" w:color="363639"/>
              <w:bottom w:val="single" w:sz="4" w:space="0" w:color="000000"/>
              <w:right w:val="single" w:sz="4" w:space="0" w:color="363639"/>
            </w:tcBorders>
            <w:vAlign w:val="center"/>
            <w:hideMark/>
          </w:tcPr>
          <w:p w14:paraId="47EA8A8E" w14:textId="77777777" w:rsidR="00F60B2C" w:rsidRPr="00B54E50" w:rsidRDefault="00F60B2C" w:rsidP="00F60B2C">
            <w:pPr>
              <w:rPr>
                <w:rFonts w:ascii="Arial" w:hAnsi="Arial" w:cs="Arial"/>
                <w:sz w:val="16"/>
                <w:szCs w:val="18"/>
              </w:rPr>
            </w:pPr>
          </w:p>
        </w:tc>
        <w:tc>
          <w:tcPr>
            <w:tcW w:w="921" w:type="dxa"/>
            <w:vMerge/>
            <w:tcBorders>
              <w:top w:val="nil"/>
              <w:left w:val="single" w:sz="4" w:space="0" w:color="363639"/>
              <w:bottom w:val="single" w:sz="4" w:space="0" w:color="000000"/>
              <w:right w:val="single" w:sz="4" w:space="0" w:color="363639"/>
            </w:tcBorders>
            <w:vAlign w:val="center"/>
            <w:hideMark/>
          </w:tcPr>
          <w:p w14:paraId="0BD2362B" w14:textId="77777777" w:rsidR="00F60B2C" w:rsidRPr="00B54E50" w:rsidRDefault="00F60B2C" w:rsidP="00F60B2C">
            <w:pPr>
              <w:rPr>
                <w:rFonts w:ascii="Arial" w:hAnsi="Arial" w:cs="Arial"/>
                <w:sz w:val="16"/>
                <w:szCs w:val="18"/>
              </w:rPr>
            </w:pPr>
          </w:p>
        </w:tc>
        <w:tc>
          <w:tcPr>
            <w:tcW w:w="898" w:type="dxa"/>
            <w:vMerge/>
            <w:tcBorders>
              <w:top w:val="nil"/>
              <w:left w:val="single" w:sz="4" w:space="0" w:color="363639"/>
              <w:bottom w:val="single" w:sz="4" w:space="0" w:color="000000"/>
              <w:right w:val="single" w:sz="4" w:space="0" w:color="363639"/>
            </w:tcBorders>
            <w:vAlign w:val="center"/>
            <w:hideMark/>
          </w:tcPr>
          <w:p w14:paraId="1A74B52A" w14:textId="77777777" w:rsidR="00F60B2C" w:rsidRPr="00B54E50" w:rsidRDefault="00F60B2C" w:rsidP="00F60B2C">
            <w:pPr>
              <w:rPr>
                <w:rFonts w:ascii="Arial" w:hAnsi="Arial" w:cs="Arial"/>
                <w:sz w:val="16"/>
                <w:szCs w:val="18"/>
              </w:rPr>
            </w:pPr>
          </w:p>
        </w:tc>
        <w:tc>
          <w:tcPr>
            <w:tcW w:w="1276" w:type="dxa"/>
            <w:vMerge/>
            <w:tcBorders>
              <w:left w:val="single" w:sz="4" w:space="0" w:color="363639"/>
              <w:bottom w:val="single" w:sz="4" w:space="0" w:color="auto"/>
              <w:right w:val="single" w:sz="4" w:space="0" w:color="363639"/>
            </w:tcBorders>
          </w:tcPr>
          <w:p w14:paraId="0A56BFD0" w14:textId="77777777" w:rsidR="00F60B2C" w:rsidRPr="00B54E50" w:rsidRDefault="00F60B2C" w:rsidP="00F60B2C">
            <w:pPr>
              <w:rPr>
                <w:rFonts w:ascii="Arial" w:hAnsi="Arial" w:cs="Arial"/>
                <w:sz w:val="16"/>
                <w:szCs w:val="18"/>
              </w:rPr>
            </w:pPr>
          </w:p>
        </w:tc>
        <w:tc>
          <w:tcPr>
            <w:tcW w:w="924" w:type="dxa"/>
            <w:vMerge/>
            <w:tcBorders>
              <w:top w:val="nil"/>
              <w:left w:val="single" w:sz="4" w:space="0" w:color="363639"/>
              <w:bottom w:val="single" w:sz="4" w:space="0" w:color="000000"/>
              <w:right w:val="single" w:sz="4" w:space="0" w:color="363639"/>
            </w:tcBorders>
            <w:vAlign w:val="center"/>
            <w:hideMark/>
          </w:tcPr>
          <w:p w14:paraId="3D0940D7" w14:textId="77777777" w:rsidR="00F60B2C" w:rsidRPr="00B54E50" w:rsidRDefault="00F60B2C" w:rsidP="00F60B2C">
            <w:pPr>
              <w:rPr>
                <w:rFonts w:ascii="Arial" w:hAnsi="Arial" w:cs="Arial"/>
                <w:sz w:val="16"/>
                <w:szCs w:val="18"/>
              </w:rPr>
            </w:pPr>
          </w:p>
        </w:tc>
      </w:tr>
      <w:tr w:rsidR="00F60B2C" w:rsidRPr="00701F32" w14:paraId="66E0691D" w14:textId="77777777" w:rsidTr="006E1AF7">
        <w:trPr>
          <w:trHeight w:val="186"/>
          <w:jc w:val="center"/>
        </w:trPr>
        <w:tc>
          <w:tcPr>
            <w:tcW w:w="899" w:type="dxa"/>
            <w:tcBorders>
              <w:top w:val="nil"/>
              <w:left w:val="single" w:sz="4" w:space="0" w:color="363639"/>
              <w:bottom w:val="single" w:sz="4" w:space="0" w:color="363639"/>
              <w:right w:val="single" w:sz="4" w:space="0" w:color="363639"/>
            </w:tcBorders>
            <w:shd w:val="clear" w:color="auto" w:fill="auto"/>
            <w:hideMark/>
          </w:tcPr>
          <w:p w14:paraId="2AEA2A7A" w14:textId="77777777" w:rsidR="00F60B2C" w:rsidRPr="00B54E50" w:rsidRDefault="00F60B2C" w:rsidP="00F60B2C">
            <w:pPr>
              <w:rPr>
                <w:rFonts w:ascii="Arial" w:hAnsi="Arial" w:cs="Arial"/>
                <w:b/>
                <w:bCs/>
                <w:sz w:val="16"/>
                <w:szCs w:val="18"/>
              </w:rPr>
            </w:pPr>
            <w:r w:rsidRPr="00B54E50">
              <w:rPr>
                <w:rFonts w:ascii="Arial" w:hAnsi="Arial" w:cs="Arial"/>
                <w:b/>
                <w:bCs/>
                <w:sz w:val="16"/>
                <w:szCs w:val="18"/>
              </w:rPr>
              <w:t>TOTALES</w:t>
            </w:r>
          </w:p>
        </w:tc>
        <w:tc>
          <w:tcPr>
            <w:tcW w:w="1745" w:type="dxa"/>
            <w:tcBorders>
              <w:top w:val="nil"/>
              <w:left w:val="nil"/>
              <w:bottom w:val="single" w:sz="4" w:space="0" w:color="363639"/>
              <w:right w:val="single" w:sz="4" w:space="0" w:color="363639"/>
            </w:tcBorders>
            <w:shd w:val="clear" w:color="auto" w:fill="auto"/>
            <w:hideMark/>
          </w:tcPr>
          <w:p w14:paraId="746C528C" w14:textId="77777777" w:rsidR="00F60B2C" w:rsidRPr="00B54E50" w:rsidRDefault="00F60B2C" w:rsidP="00F60B2C">
            <w:pPr>
              <w:rPr>
                <w:rFonts w:ascii="Arial" w:hAnsi="Arial" w:cs="Arial"/>
                <w:sz w:val="16"/>
                <w:szCs w:val="18"/>
              </w:rPr>
            </w:pPr>
            <w:r w:rsidRPr="00B54E50">
              <w:rPr>
                <w:rFonts w:ascii="Arial" w:hAnsi="Arial" w:cs="Arial"/>
                <w:sz w:val="16"/>
                <w:szCs w:val="18"/>
              </w:rPr>
              <w:t> </w:t>
            </w:r>
          </w:p>
        </w:tc>
        <w:tc>
          <w:tcPr>
            <w:tcW w:w="1134" w:type="dxa"/>
            <w:tcBorders>
              <w:top w:val="single" w:sz="4" w:space="0" w:color="363639"/>
              <w:left w:val="nil"/>
              <w:bottom w:val="single" w:sz="4" w:space="0" w:color="363639"/>
              <w:right w:val="single" w:sz="4" w:space="0" w:color="363639"/>
            </w:tcBorders>
            <w:shd w:val="clear" w:color="auto" w:fill="auto"/>
            <w:hideMark/>
          </w:tcPr>
          <w:p w14:paraId="7AA7C8F4" w14:textId="1D56E366" w:rsidR="00F60B2C" w:rsidRPr="00B54E50" w:rsidRDefault="00F60B2C" w:rsidP="00F60B2C">
            <w:pPr>
              <w:rPr>
                <w:rFonts w:ascii="Arial" w:hAnsi="Arial" w:cs="Arial"/>
                <w:sz w:val="16"/>
                <w:szCs w:val="18"/>
              </w:rPr>
            </w:pPr>
            <w:r w:rsidRPr="00701F32">
              <w:rPr>
                <w:rFonts w:ascii="Calibri" w:hAnsi="Calibri"/>
                <w:b/>
                <w:bCs/>
                <w:color w:val="000000"/>
                <w:sz w:val="16"/>
                <w:szCs w:val="18"/>
              </w:rPr>
              <w:t> </w:t>
            </w:r>
          </w:p>
        </w:tc>
        <w:tc>
          <w:tcPr>
            <w:tcW w:w="922" w:type="dxa"/>
            <w:tcBorders>
              <w:top w:val="nil"/>
              <w:left w:val="nil"/>
              <w:bottom w:val="single" w:sz="4" w:space="0" w:color="auto"/>
              <w:right w:val="single" w:sz="4" w:space="0" w:color="363639"/>
            </w:tcBorders>
            <w:shd w:val="clear" w:color="auto" w:fill="auto"/>
            <w:noWrap/>
            <w:vAlign w:val="bottom"/>
            <w:hideMark/>
          </w:tcPr>
          <w:p w14:paraId="11D541D6" w14:textId="2B7F6C2B" w:rsidR="00F60B2C" w:rsidRPr="00B54E50" w:rsidRDefault="00F60B2C" w:rsidP="00F60B2C">
            <w:pPr>
              <w:jc w:val="right"/>
              <w:rPr>
                <w:rFonts w:ascii="Arial" w:hAnsi="Arial" w:cs="Arial"/>
                <w:b/>
                <w:sz w:val="16"/>
                <w:szCs w:val="18"/>
              </w:rPr>
            </w:pPr>
            <w:r w:rsidRPr="00701F32">
              <w:rPr>
                <w:rFonts w:ascii="Arial" w:hAnsi="Arial" w:cs="Arial"/>
                <w:b/>
                <w:bCs/>
                <w:sz w:val="16"/>
                <w:szCs w:val="18"/>
              </w:rPr>
              <w:t>181.334</w:t>
            </w:r>
          </w:p>
        </w:tc>
        <w:tc>
          <w:tcPr>
            <w:tcW w:w="921" w:type="dxa"/>
            <w:tcBorders>
              <w:top w:val="nil"/>
              <w:left w:val="nil"/>
              <w:bottom w:val="single" w:sz="4" w:space="0" w:color="auto"/>
              <w:right w:val="single" w:sz="4" w:space="0" w:color="363639"/>
            </w:tcBorders>
            <w:shd w:val="clear" w:color="auto" w:fill="auto"/>
            <w:noWrap/>
            <w:vAlign w:val="bottom"/>
            <w:hideMark/>
          </w:tcPr>
          <w:p w14:paraId="3D4B78B2" w14:textId="1B32F53E" w:rsidR="00F60B2C" w:rsidRPr="00B54E50" w:rsidRDefault="00F60B2C" w:rsidP="00F60B2C">
            <w:pPr>
              <w:jc w:val="right"/>
              <w:rPr>
                <w:rFonts w:ascii="Arial" w:hAnsi="Arial" w:cs="Arial"/>
                <w:b/>
                <w:sz w:val="16"/>
                <w:szCs w:val="18"/>
              </w:rPr>
            </w:pPr>
            <w:r>
              <w:rPr>
                <w:rFonts w:ascii="Arial" w:hAnsi="Arial" w:cs="Arial"/>
                <w:b/>
                <w:bCs/>
                <w:sz w:val="16"/>
                <w:szCs w:val="18"/>
              </w:rPr>
              <w:t>575.402</w:t>
            </w:r>
          </w:p>
        </w:tc>
        <w:tc>
          <w:tcPr>
            <w:tcW w:w="898" w:type="dxa"/>
            <w:tcBorders>
              <w:top w:val="nil"/>
              <w:left w:val="nil"/>
              <w:bottom w:val="single" w:sz="4" w:space="0" w:color="auto"/>
              <w:right w:val="single" w:sz="4" w:space="0" w:color="auto"/>
            </w:tcBorders>
            <w:shd w:val="clear" w:color="auto" w:fill="auto"/>
            <w:noWrap/>
            <w:vAlign w:val="bottom"/>
            <w:hideMark/>
          </w:tcPr>
          <w:p w14:paraId="13622939" w14:textId="7AE391B2" w:rsidR="00F60B2C" w:rsidRPr="00B54E50" w:rsidRDefault="00F60B2C" w:rsidP="00F60B2C">
            <w:pPr>
              <w:jc w:val="right"/>
              <w:rPr>
                <w:rFonts w:ascii="Arial" w:hAnsi="Arial" w:cs="Arial"/>
                <w:b/>
                <w:sz w:val="16"/>
                <w:szCs w:val="18"/>
              </w:rPr>
            </w:pPr>
            <w:r>
              <w:rPr>
                <w:rFonts w:ascii="Arial" w:hAnsi="Arial" w:cs="Arial"/>
                <w:b/>
                <w:bCs/>
                <w:sz w:val="16"/>
                <w:szCs w:val="18"/>
              </w:rPr>
              <w:t>756.736</w:t>
            </w:r>
          </w:p>
        </w:tc>
        <w:tc>
          <w:tcPr>
            <w:tcW w:w="1276" w:type="dxa"/>
            <w:tcBorders>
              <w:top w:val="single" w:sz="4" w:space="0" w:color="auto"/>
              <w:left w:val="single" w:sz="4" w:space="0" w:color="auto"/>
              <w:bottom w:val="single" w:sz="4" w:space="0" w:color="auto"/>
              <w:right w:val="single" w:sz="4" w:space="0" w:color="auto"/>
            </w:tcBorders>
          </w:tcPr>
          <w:p w14:paraId="37D41A0B" w14:textId="07136B44" w:rsidR="00F60B2C" w:rsidRPr="00B54E50" w:rsidRDefault="00F60B2C" w:rsidP="00F60B2C">
            <w:pPr>
              <w:jc w:val="right"/>
              <w:rPr>
                <w:rFonts w:ascii="Arial" w:hAnsi="Arial" w:cs="Arial"/>
                <w:b/>
                <w:sz w:val="16"/>
                <w:szCs w:val="18"/>
              </w:rPr>
            </w:pPr>
            <w:r w:rsidRPr="00701F32">
              <w:rPr>
                <w:rFonts w:ascii="Arial" w:hAnsi="Arial" w:cs="Arial"/>
                <w:b/>
                <w:bCs/>
                <w:sz w:val="16"/>
                <w:szCs w:val="18"/>
              </w:rPr>
              <w:t>(</w:t>
            </w:r>
            <w:r>
              <w:rPr>
                <w:rFonts w:ascii="Arial" w:hAnsi="Arial" w:cs="Arial"/>
                <w:b/>
                <w:bCs/>
                <w:sz w:val="16"/>
                <w:szCs w:val="18"/>
              </w:rPr>
              <w:t>6.398</w:t>
            </w:r>
            <w:r w:rsidRPr="00701F32">
              <w:rPr>
                <w:rFonts w:ascii="Arial" w:hAnsi="Arial" w:cs="Arial"/>
                <w:b/>
                <w:bCs/>
                <w:sz w:val="16"/>
                <w:szCs w:val="18"/>
              </w:rPr>
              <w:t>)</w:t>
            </w:r>
          </w:p>
        </w:tc>
        <w:tc>
          <w:tcPr>
            <w:tcW w:w="924" w:type="dxa"/>
            <w:tcBorders>
              <w:top w:val="nil"/>
              <w:left w:val="single" w:sz="4" w:space="0" w:color="auto"/>
              <w:bottom w:val="single" w:sz="4" w:space="0" w:color="auto"/>
              <w:right w:val="single" w:sz="4" w:space="0" w:color="363639"/>
            </w:tcBorders>
            <w:shd w:val="clear" w:color="auto" w:fill="auto"/>
            <w:noWrap/>
            <w:vAlign w:val="bottom"/>
            <w:hideMark/>
          </w:tcPr>
          <w:p w14:paraId="5EF7E386" w14:textId="147A0ADB" w:rsidR="00F60B2C" w:rsidRPr="00B54E50" w:rsidRDefault="00F60B2C" w:rsidP="00F60B2C">
            <w:pPr>
              <w:jc w:val="right"/>
              <w:rPr>
                <w:rFonts w:ascii="Arial" w:hAnsi="Arial" w:cs="Arial"/>
                <w:b/>
                <w:sz w:val="16"/>
                <w:szCs w:val="18"/>
              </w:rPr>
            </w:pPr>
            <w:r w:rsidRPr="00701F32">
              <w:rPr>
                <w:rFonts w:ascii="Arial" w:hAnsi="Arial" w:cs="Arial"/>
                <w:b/>
                <w:bCs/>
                <w:sz w:val="16"/>
                <w:szCs w:val="18"/>
              </w:rPr>
              <w:t>3</w:t>
            </w:r>
            <w:r>
              <w:rPr>
                <w:rFonts w:ascii="Arial" w:hAnsi="Arial" w:cs="Arial"/>
                <w:b/>
                <w:bCs/>
                <w:sz w:val="16"/>
                <w:szCs w:val="18"/>
              </w:rPr>
              <w:t>37.164</w:t>
            </w:r>
          </w:p>
        </w:tc>
      </w:tr>
    </w:tbl>
    <w:p w14:paraId="4A2D6AC8" w14:textId="77777777" w:rsidR="00F60B2C" w:rsidRPr="00701F32" w:rsidRDefault="00F60B2C" w:rsidP="00F60B2C">
      <w:pPr>
        <w:spacing w:after="160"/>
        <w:jc w:val="both"/>
        <w:rPr>
          <w:rFonts w:ascii="Arial" w:eastAsia="Calibri" w:hAnsi="Arial" w:cs="Arial"/>
          <w:i/>
          <w:sz w:val="16"/>
        </w:rPr>
      </w:pPr>
    </w:p>
    <w:p w14:paraId="4B664E0D" w14:textId="5A309B38"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El revalúo de los terrenos y edificios propiedad de la e</w:t>
      </w:r>
      <w:r w:rsidRPr="00B83271">
        <w:rPr>
          <w:rFonts w:ascii="Arial" w:eastAsia="Calibri" w:hAnsi="Arial" w:cs="Arial"/>
          <w:sz w:val="20"/>
        </w:rPr>
        <w:t>ntidad arroja un superávit de 57</w:t>
      </w:r>
      <w:r w:rsidR="00B83271" w:rsidRPr="00B83271">
        <w:rPr>
          <w:rFonts w:ascii="Arial" w:eastAsia="Calibri" w:hAnsi="Arial" w:cs="Arial"/>
          <w:sz w:val="20"/>
        </w:rPr>
        <w:t xml:space="preserve">4.495 </w:t>
      </w:r>
      <w:r w:rsidRPr="00B83271">
        <w:rPr>
          <w:rFonts w:ascii="Arial" w:eastAsia="Calibri" w:hAnsi="Arial" w:cs="Arial"/>
          <w:sz w:val="20"/>
        </w:rPr>
        <w:t xml:space="preserve">y </w:t>
      </w:r>
      <w:r w:rsidR="00B83271" w:rsidRPr="00B83271">
        <w:rPr>
          <w:rFonts w:ascii="Arial" w:eastAsia="Calibri" w:hAnsi="Arial" w:cs="Arial"/>
          <w:sz w:val="20"/>
        </w:rPr>
        <w:t xml:space="preserve">575.402 </w:t>
      </w:r>
      <w:r w:rsidRPr="00B83271">
        <w:rPr>
          <w:rFonts w:ascii="Arial" w:eastAsia="Calibri" w:hAnsi="Arial" w:cs="Arial"/>
          <w:sz w:val="20"/>
        </w:rPr>
        <w:t>al 31 de diciembre de 2019 y 2018, respectivamente, que sumado a su costo histórico y neto de depreciaciones del revalúo arroja un total de 1.</w:t>
      </w:r>
      <w:r w:rsidR="00B83271" w:rsidRPr="00B83271">
        <w:rPr>
          <w:rFonts w:ascii="Arial" w:eastAsia="Calibri" w:hAnsi="Arial" w:cs="Arial"/>
          <w:sz w:val="20"/>
        </w:rPr>
        <w:t>637.9</w:t>
      </w:r>
      <w:r w:rsidR="00802A09">
        <w:rPr>
          <w:rFonts w:ascii="Arial" w:eastAsia="Calibri" w:hAnsi="Arial" w:cs="Arial"/>
          <w:sz w:val="20"/>
        </w:rPr>
        <w:t>5</w:t>
      </w:r>
      <w:r w:rsidR="00B83271" w:rsidRPr="00B83271">
        <w:rPr>
          <w:rFonts w:ascii="Arial" w:eastAsia="Calibri" w:hAnsi="Arial" w:cs="Arial"/>
          <w:sz w:val="20"/>
        </w:rPr>
        <w:t>3</w:t>
      </w:r>
      <w:r w:rsidRPr="00B83271">
        <w:rPr>
          <w:rFonts w:ascii="Arial" w:eastAsia="Calibri" w:hAnsi="Arial" w:cs="Arial"/>
          <w:sz w:val="20"/>
        </w:rPr>
        <w:t xml:space="preserve"> y </w:t>
      </w:r>
      <w:r w:rsidR="00B83271" w:rsidRPr="00B83271">
        <w:rPr>
          <w:rFonts w:ascii="Arial" w:eastAsia="Calibri" w:hAnsi="Arial" w:cs="Arial"/>
          <w:sz w:val="20"/>
        </w:rPr>
        <w:t>1.087.502</w:t>
      </w:r>
      <w:r w:rsidRPr="00701F32">
        <w:rPr>
          <w:rFonts w:ascii="Arial" w:eastAsia="Calibri" w:hAnsi="Arial" w:cs="Arial"/>
          <w:sz w:val="20"/>
        </w:rPr>
        <w:t xml:space="preserve"> para esta clase </w:t>
      </w:r>
      <w:r>
        <w:rPr>
          <w:rFonts w:ascii="Arial" w:eastAsia="Calibri" w:hAnsi="Arial" w:cs="Arial"/>
          <w:sz w:val="20"/>
        </w:rPr>
        <w:t xml:space="preserve">de </w:t>
      </w:r>
      <w:r w:rsidRPr="00701F32">
        <w:rPr>
          <w:rFonts w:ascii="Arial" w:eastAsia="Calibri" w:hAnsi="Arial" w:cs="Arial"/>
          <w:sz w:val="20"/>
        </w:rPr>
        <w:t>activo</w:t>
      </w:r>
      <w:r>
        <w:rPr>
          <w:rFonts w:ascii="Arial" w:eastAsia="Calibri" w:hAnsi="Arial" w:cs="Arial"/>
          <w:sz w:val="20"/>
        </w:rPr>
        <w:t>, al 31 de diciembre de 2019 y 2018, respectivamente</w:t>
      </w:r>
      <w:r w:rsidRPr="00701F32">
        <w:rPr>
          <w:rFonts w:ascii="Arial" w:eastAsia="Calibri" w:hAnsi="Arial" w:cs="Arial"/>
          <w:sz w:val="20"/>
        </w:rPr>
        <w:t xml:space="preserve">. </w:t>
      </w:r>
    </w:p>
    <w:p w14:paraId="2ECD28EF" w14:textId="7B1E4686"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 xml:space="preserve">En el </w:t>
      </w:r>
      <w:r>
        <w:rPr>
          <w:rFonts w:ascii="Arial" w:eastAsia="Calibri" w:hAnsi="Arial" w:cs="Arial"/>
          <w:sz w:val="20"/>
        </w:rPr>
        <w:t>ejercicio 2019</w:t>
      </w:r>
      <w:r w:rsidRPr="00701F32">
        <w:rPr>
          <w:rFonts w:ascii="Arial" w:eastAsia="Calibri" w:hAnsi="Arial" w:cs="Arial"/>
          <w:sz w:val="20"/>
        </w:rPr>
        <w:t xml:space="preserve"> se impu</w:t>
      </w:r>
      <w:r>
        <w:rPr>
          <w:rFonts w:ascii="Arial" w:eastAsia="Calibri" w:hAnsi="Arial" w:cs="Arial"/>
          <w:sz w:val="20"/>
        </w:rPr>
        <w:t xml:space="preserve">ta la suma de </w:t>
      </w:r>
      <w:r w:rsidRPr="00B83271">
        <w:rPr>
          <w:rFonts w:ascii="Arial" w:eastAsia="Calibri" w:hAnsi="Arial" w:cs="Arial"/>
          <w:sz w:val="20"/>
        </w:rPr>
        <w:t>pesos 5</w:t>
      </w:r>
      <w:r w:rsidR="00B83271" w:rsidRPr="00B83271">
        <w:rPr>
          <w:rFonts w:ascii="Arial" w:eastAsia="Calibri" w:hAnsi="Arial" w:cs="Arial"/>
          <w:sz w:val="20"/>
        </w:rPr>
        <w:t>85</w:t>
      </w:r>
      <w:r w:rsidRPr="00B83271">
        <w:rPr>
          <w:rFonts w:ascii="Arial" w:eastAsia="Calibri" w:hAnsi="Arial" w:cs="Arial"/>
          <w:sz w:val="20"/>
        </w:rPr>
        <w:t>.</w:t>
      </w:r>
      <w:r w:rsidR="00B83271" w:rsidRPr="00B83271">
        <w:rPr>
          <w:rFonts w:ascii="Arial" w:eastAsia="Calibri" w:hAnsi="Arial" w:cs="Arial"/>
          <w:sz w:val="20"/>
        </w:rPr>
        <w:t>993</w:t>
      </w:r>
      <w:r w:rsidRPr="00701F32">
        <w:rPr>
          <w:rFonts w:ascii="Arial" w:eastAsia="Calibri" w:hAnsi="Arial" w:cs="Arial"/>
          <w:sz w:val="20"/>
        </w:rPr>
        <w:t xml:space="preserve"> a Otr</w:t>
      </w:r>
      <w:r>
        <w:rPr>
          <w:rFonts w:ascii="Arial" w:eastAsia="Calibri" w:hAnsi="Arial" w:cs="Arial"/>
          <w:sz w:val="20"/>
        </w:rPr>
        <w:t>os resultados Integrales (ORI).</w:t>
      </w:r>
    </w:p>
    <w:p w14:paraId="0FA814FF" w14:textId="77777777" w:rsidR="00F60B2C" w:rsidRPr="00701F32" w:rsidRDefault="00F60B2C" w:rsidP="00F60B2C">
      <w:pPr>
        <w:spacing w:after="160"/>
        <w:jc w:val="both"/>
        <w:rPr>
          <w:rFonts w:ascii="Arial" w:eastAsia="Calibri" w:hAnsi="Arial" w:cs="Arial"/>
          <w:b/>
          <w:sz w:val="20"/>
        </w:rPr>
      </w:pPr>
      <w:r w:rsidRPr="00701F32">
        <w:rPr>
          <w:rFonts w:ascii="Arial" w:eastAsia="Calibri" w:hAnsi="Arial" w:cs="Arial"/>
          <w:b/>
          <w:sz w:val="20"/>
        </w:rPr>
        <w:t>1.1</w:t>
      </w:r>
      <w:r>
        <w:rPr>
          <w:rFonts w:ascii="Arial" w:eastAsia="Calibri" w:hAnsi="Arial" w:cs="Arial"/>
          <w:b/>
          <w:sz w:val="20"/>
        </w:rPr>
        <w:t>4</w:t>
      </w:r>
      <w:r w:rsidRPr="00701F32">
        <w:rPr>
          <w:rFonts w:ascii="Arial" w:eastAsia="Calibri" w:hAnsi="Arial" w:cs="Arial"/>
          <w:b/>
          <w:sz w:val="20"/>
        </w:rPr>
        <w:t xml:space="preserve"> Propiedades de inversión</w:t>
      </w:r>
    </w:p>
    <w:p w14:paraId="3E3A28A5" w14:textId="77777777" w:rsidR="00F60B2C" w:rsidRPr="00701F32" w:rsidRDefault="00F60B2C" w:rsidP="00F60B2C">
      <w:pPr>
        <w:numPr>
          <w:ilvl w:val="0"/>
          <w:numId w:val="87"/>
        </w:numPr>
        <w:spacing w:after="160"/>
        <w:contextualSpacing/>
        <w:jc w:val="both"/>
        <w:rPr>
          <w:rFonts w:ascii="Arial" w:eastAsia="Calibri" w:hAnsi="Arial" w:cs="Arial"/>
          <w:sz w:val="20"/>
        </w:rPr>
      </w:pPr>
      <w:r w:rsidRPr="00701F32">
        <w:rPr>
          <w:rFonts w:ascii="Arial" w:eastAsia="Calibri" w:hAnsi="Arial" w:cs="Arial"/>
          <w:sz w:val="20"/>
        </w:rPr>
        <w:t xml:space="preserve">Bases de medición utilizadas. </w:t>
      </w:r>
    </w:p>
    <w:p w14:paraId="583609A6" w14:textId="77777777" w:rsidR="00F60B2C" w:rsidRPr="00701F32" w:rsidRDefault="00F60B2C" w:rsidP="00F60B2C">
      <w:pPr>
        <w:spacing w:after="160"/>
        <w:ind w:left="720"/>
        <w:contextualSpacing/>
        <w:jc w:val="both"/>
        <w:rPr>
          <w:rFonts w:ascii="Arial" w:eastAsia="Calibri" w:hAnsi="Arial" w:cs="Arial"/>
          <w:sz w:val="20"/>
        </w:rPr>
      </w:pPr>
    </w:p>
    <w:p w14:paraId="2C1CF8A0" w14:textId="77777777" w:rsidR="00F60B2C" w:rsidRDefault="00F60B2C" w:rsidP="00F60B2C">
      <w:pPr>
        <w:spacing w:after="160"/>
        <w:jc w:val="both"/>
        <w:rPr>
          <w:rFonts w:ascii="Arial" w:eastAsia="Calibri" w:hAnsi="Arial" w:cs="Arial"/>
          <w:sz w:val="20"/>
        </w:rPr>
      </w:pPr>
      <w:r w:rsidRPr="00701F32">
        <w:rPr>
          <w:rFonts w:ascii="Arial" w:eastAsia="Calibri" w:hAnsi="Arial" w:cs="Arial"/>
          <w:sz w:val="20"/>
        </w:rPr>
        <w:t xml:space="preserve">Las propiedades de inversión están constituidas por inmuebles (terrenos o edificios o parte de un edificio o ambos) mantenidos para obtener rentas o para apreciación de capital o ambos, no siendo ocupadas por la Entidad. Son contabilizadas a su valor razonable, y los cambios en el mismo, se van reflejando directamente en los resultados del </w:t>
      </w:r>
      <w:r>
        <w:rPr>
          <w:rFonts w:ascii="Arial" w:eastAsia="Calibri" w:hAnsi="Arial" w:cs="Arial"/>
          <w:sz w:val="20"/>
        </w:rPr>
        <w:t>ejercicio</w:t>
      </w:r>
      <w:r w:rsidRPr="00701F32">
        <w:rPr>
          <w:rFonts w:ascii="Arial" w:eastAsia="Calibri" w:hAnsi="Arial" w:cs="Arial"/>
          <w:sz w:val="20"/>
        </w:rPr>
        <w:t>. Las propiedades de inversión no se deprecian. El valor razonable está basado en tasaciones realizadas por peritos independientes.</w:t>
      </w:r>
    </w:p>
    <w:p w14:paraId="6E7AEB5D" w14:textId="77777777" w:rsidR="00F60B2C" w:rsidRPr="00701F32" w:rsidRDefault="00F60B2C" w:rsidP="00F60B2C">
      <w:pPr>
        <w:spacing w:after="160"/>
        <w:jc w:val="both"/>
        <w:rPr>
          <w:rFonts w:ascii="Arial" w:eastAsia="Calibri" w:hAnsi="Arial" w:cs="Arial"/>
          <w:sz w:val="20"/>
        </w:rPr>
      </w:pPr>
    </w:p>
    <w:p w14:paraId="7CA4356F" w14:textId="77777777" w:rsidR="00F60B2C" w:rsidRPr="00701F32" w:rsidRDefault="00F60B2C" w:rsidP="00F60B2C">
      <w:pPr>
        <w:spacing w:after="160"/>
        <w:jc w:val="both"/>
        <w:rPr>
          <w:rFonts w:ascii="Arial" w:eastAsia="Calibri" w:hAnsi="Arial" w:cs="Arial"/>
          <w:sz w:val="20"/>
        </w:rPr>
      </w:pPr>
      <w:r>
        <w:rPr>
          <w:rFonts w:ascii="Arial" w:eastAsia="Calibri" w:hAnsi="Arial" w:cs="Arial"/>
          <w:sz w:val="20"/>
        </w:rPr>
        <w:t>Otras propiedades de inversión están constituidas por bienes mantenidos para obtener una renta o para apreciación de capital o ambos, no siendo ocupadas por la Entidad. Son valuadas al costo de adquisición o construcción, neto de las depreciaciones acumuladas y/o de las pérdidas por desvalorización acumuladas, si las hubiera. El costo incluye los gastos que son directamente atribuibles a la adquisición o construcción de estas partidas.</w:t>
      </w:r>
    </w:p>
    <w:p w14:paraId="42A2DDD5" w14:textId="77777777" w:rsidR="00F60B2C" w:rsidRPr="00701F32" w:rsidRDefault="00F60B2C" w:rsidP="00F60B2C">
      <w:pPr>
        <w:numPr>
          <w:ilvl w:val="0"/>
          <w:numId w:val="87"/>
        </w:numPr>
        <w:spacing w:after="160"/>
        <w:contextualSpacing/>
        <w:jc w:val="both"/>
        <w:rPr>
          <w:rFonts w:ascii="Arial" w:eastAsia="Calibri" w:hAnsi="Arial" w:cs="Arial"/>
          <w:sz w:val="20"/>
        </w:rPr>
      </w:pPr>
      <w:r w:rsidRPr="00701F32">
        <w:rPr>
          <w:rFonts w:ascii="Arial" w:eastAsia="Calibri" w:hAnsi="Arial" w:cs="Arial"/>
          <w:sz w:val="20"/>
        </w:rPr>
        <w:t xml:space="preserve">Cifras incluidas en el resultado del </w:t>
      </w:r>
      <w:r>
        <w:rPr>
          <w:rFonts w:ascii="Arial" w:eastAsia="Calibri" w:hAnsi="Arial" w:cs="Arial"/>
          <w:sz w:val="20"/>
        </w:rPr>
        <w:t>ejercicio</w:t>
      </w:r>
      <w:r w:rsidRPr="00701F32">
        <w:rPr>
          <w:rFonts w:ascii="Arial" w:eastAsia="Calibri" w:hAnsi="Arial" w:cs="Arial"/>
          <w:sz w:val="20"/>
        </w:rPr>
        <w:t xml:space="preserve"> por Propiedades de Inversión. </w:t>
      </w:r>
    </w:p>
    <w:p w14:paraId="7D250D9D" w14:textId="77777777" w:rsidR="00F60B2C" w:rsidRPr="00701F32" w:rsidRDefault="00F60B2C" w:rsidP="00F60B2C">
      <w:pPr>
        <w:spacing w:after="160"/>
        <w:ind w:left="720"/>
        <w:contextualSpacing/>
        <w:jc w:val="both"/>
        <w:rPr>
          <w:rFonts w:ascii="Arial" w:eastAsia="Calibri" w:hAnsi="Arial" w:cs="Arial"/>
          <w:sz w:val="20"/>
        </w:rPr>
      </w:pPr>
    </w:p>
    <w:tbl>
      <w:tblPr>
        <w:tblStyle w:val="Tabladecuadrcula1clara1"/>
        <w:tblW w:w="0" w:type="auto"/>
        <w:tblLayout w:type="fixed"/>
        <w:tblLook w:val="04A0" w:firstRow="1" w:lastRow="0" w:firstColumn="1" w:lastColumn="0" w:noHBand="0" w:noVBand="1"/>
      </w:tblPr>
      <w:tblGrid>
        <w:gridCol w:w="5920"/>
        <w:gridCol w:w="1278"/>
        <w:gridCol w:w="1274"/>
      </w:tblGrid>
      <w:tr w:rsidR="00F60B2C" w:rsidRPr="00701F32" w14:paraId="7ED38B3E" w14:textId="77777777" w:rsidTr="00F60B2C">
        <w:trPr>
          <w:cnfStyle w:val="100000000000" w:firstRow="1" w:lastRow="0" w:firstColumn="0" w:lastColumn="0" w:oddVBand="0" w:evenVBand="0" w:oddHBand="0" w:evenHBand="0" w:firstRowFirstColumn="0" w:firstRowLastColumn="0" w:lastRowFirstColumn="0" w:lastRowLastColumn="0"/>
          <w:trHeight w:val="291"/>
          <w:tblHeader/>
        </w:trPr>
        <w:tc>
          <w:tcPr>
            <w:cnfStyle w:val="001000000000" w:firstRow="0" w:lastRow="0" w:firstColumn="1" w:lastColumn="0" w:oddVBand="0" w:evenVBand="0" w:oddHBand="0" w:evenHBand="0" w:firstRowFirstColumn="0" w:firstRowLastColumn="0" w:lastRowFirstColumn="0" w:lastRowLastColumn="0"/>
            <w:tcW w:w="5920" w:type="dxa"/>
            <w:tcBorders>
              <w:top w:val="single" w:sz="4" w:space="0" w:color="auto"/>
              <w:left w:val="single" w:sz="4" w:space="0" w:color="auto"/>
              <w:bottom w:val="single" w:sz="4" w:space="0" w:color="auto"/>
              <w:right w:val="single" w:sz="4" w:space="0" w:color="auto"/>
            </w:tcBorders>
          </w:tcPr>
          <w:p w14:paraId="11884D0E" w14:textId="77777777" w:rsidR="00F60B2C" w:rsidRPr="00701F32" w:rsidRDefault="00F60B2C" w:rsidP="00F60B2C">
            <w:pPr>
              <w:contextualSpacing/>
              <w:jc w:val="both"/>
              <w:rPr>
                <w:rFonts w:ascii="Arial" w:hAnsi="Arial" w:cs="Arial"/>
                <w:sz w:val="16"/>
              </w:rPr>
            </w:pPr>
          </w:p>
        </w:tc>
        <w:tc>
          <w:tcPr>
            <w:tcW w:w="1278" w:type="dxa"/>
            <w:tcBorders>
              <w:top w:val="single" w:sz="4" w:space="0" w:color="auto"/>
              <w:left w:val="single" w:sz="4" w:space="0" w:color="auto"/>
              <w:bottom w:val="single" w:sz="4" w:space="0" w:color="auto"/>
              <w:right w:val="single" w:sz="4" w:space="0" w:color="auto"/>
            </w:tcBorders>
            <w:vAlign w:val="center"/>
          </w:tcPr>
          <w:p w14:paraId="3500BFDE" w14:textId="526133B5" w:rsidR="00F60B2C" w:rsidRPr="00701F32" w:rsidRDefault="00F60B2C" w:rsidP="00F60B2C">
            <w:pPr>
              <w:contextualSpacing/>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rPr>
            </w:pPr>
            <w:r>
              <w:rPr>
                <w:rFonts w:ascii="Arial" w:hAnsi="Arial" w:cs="Arial"/>
                <w:sz w:val="16"/>
              </w:rPr>
              <w:t>31</w:t>
            </w:r>
            <w:r w:rsidRPr="00701F32">
              <w:rPr>
                <w:rFonts w:ascii="Arial" w:hAnsi="Arial" w:cs="Arial"/>
                <w:sz w:val="16"/>
              </w:rPr>
              <w:t>/</w:t>
            </w:r>
            <w:r>
              <w:rPr>
                <w:rFonts w:ascii="Arial" w:hAnsi="Arial" w:cs="Arial"/>
                <w:sz w:val="16"/>
              </w:rPr>
              <w:t>12</w:t>
            </w:r>
            <w:r w:rsidRPr="00701F32">
              <w:rPr>
                <w:rFonts w:ascii="Arial" w:hAnsi="Arial" w:cs="Arial"/>
                <w:sz w:val="16"/>
              </w:rPr>
              <w:t>/201</w:t>
            </w:r>
            <w:r>
              <w:rPr>
                <w:rFonts w:ascii="Arial" w:hAnsi="Arial" w:cs="Arial"/>
                <w:sz w:val="16"/>
              </w:rPr>
              <w:t>9</w:t>
            </w:r>
          </w:p>
        </w:tc>
        <w:tc>
          <w:tcPr>
            <w:tcW w:w="1274" w:type="dxa"/>
            <w:tcBorders>
              <w:top w:val="single" w:sz="4" w:space="0" w:color="auto"/>
              <w:left w:val="single" w:sz="4" w:space="0" w:color="auto"/>
              <w:bottom w:val="single" w:sz="4" w:space="0" w:color="auto"/>
              <w:right w:val="single" w:sz="4" w:space="0" w:color="auto"/>
            </w:tcBorders>
            <w:vAlign w:val="center"/>
          </w:tcPr>
          <w:p w14:paraId="78CD80CF" w14:textId="669CAD1F" w:rsidR="00F60B2C" w:rsidRPr="00701F32" w:rsidRDefault="00F60B2C" w:rsidP="00F60B2C">
            <w:pPr>
              <w:contextualSpacing/>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rPr>
            </w:pPr>
            <w:r w:rsidRPr="00701F32">
              <w:rPr>
                <w:rFonts w:ascii="Arial" w:hAnsi="Arial" w:cs="Arial"/>
                <w:sz w:val="16"/>
              </w:rPr>
              <w:t>3</w:t>
            </w:r>
            <w:r>
              <w:rPr>
                <w:rFonts w:ascii="Arial" w:hAnsi="Arial" w:cs="Arial"/>
                <w:sz w:val="16"/>
              </w:rPr>
              <w:t>1</w:t>
            </w:r>
            <w:r w:rsidRPr="00701F32">
              <w:rPr>
                <w:rFonts w:ascii="Arial" w:hAnsi="Arial" w:cs="Arial"/>
                <w:sz w:val="16"/>
              </w:rPr>
              <w:t>/</w:t>
            </w:r>
            <w:r>
              <w:rPr>
                <w:rFonts w:ascii="Arial" w:hAnsi="Arial" w:cs="Arial"/>
                <w:sz w:val="16"/>
              </w:rPr>
              <w:t>12</w:t>
            </w:r>
            <w:r w:rsidRPr="00701F32">
              <w:rPr>
                <w:rFonts w:ascii="Arial" w:hAnsi="Arial" w:cs="Arial"/>
                <w:sz w:val="16"/>
              </w:rPr>
              <w:t>/201</w:t>
            </w:r>
            <w:r>
              <w:rPr>
                <w:rFonts w:ascii="Arial" w:hAnsi="Arial" w:cs="Arial"/>
                <w:sz w:val="16"/>
              </w:rPr>
              <w:t>8</w:t>
            </w:r>
          </w:p>
        </w:tc>
      </w:tr>
      <w:tr w:rsidR="00F60B2C" w:rsidRPr="00701F32" w14:paraId="44A501AA" w14:textId="77777777" w:rsidTr="00F60B2C">
        <w:trPr>
          <w:trHeight w:val="291"/>
        </w:trPr>
        <w:tc>
          <w:tcPr>
            <w:cnfStyle w:val="001000000000" w:firstRow="0" w:lastRow="0" w:firstColumn="1" w:lastColumn="0" w:oddVBand="0" w:evenVBand="0" w:oddHBand="0" w:evenHBand="0" w:firstRowFirstColumn="0" w:firstRowLastColumn="0" w:lastRowFirstColumn="0" w:lastRowLastColumn="0"/>
            <w:tcW w:w="5920" w:type="dxa"/>
            <w:tcBorders>
              <w:top w:val="single" w:sz="4" w:space="0" w:color="auto"/>
              <w:left w:val="single" w:sz="4" w:space="0" w:color="auto"/>
              <w:bottom w:val="single" w:sz="4" w:space="0" w:color="auto"/>
              <w:right w:val="single" w:sz="4" w:space="0" w:color="auto"/>
            </w:tcBorders>
            <w:vAlign w:val="center"/>
          </w:tcPr>
          <w:p w14:paraId="1491C815" w14:textId="77777777" w:rsidR="00F60B2C" w:rsidRPr="00701F32" w:rsidRDefault="00F60B2C" w:rsidP="00F60B2C">
            <w:pPr>
              <w:contextualSpacing/>
              <w:rPr>
                <w:rFonts w:ascii="Arial" w:hAnsi="Arial" w:cs="Arial"/>
                <w:b w:val="0"/>
                <w:bCs w:val="0"/>
                <w:sz w:val="16"/>
              </w:rPr>
            </w:pPr>
            <w:r w:rsidRPr="00701F32">
              <w:rPr>
                <w:rFonts w:ascii="Arial" w:hAnsi="Arial" w:cs="Arial"/>
                <w:sz w:val="16"/>
              </w:rPr>
              <w:t>Ingresos derivados de rentas (alquileres cobrados)</w:t>
            </w:r>
          </w:p>
        </w:tc>
        <w:tc>
          <w:tcPr>
            <w:tcW w:w="1278" w:type="dxa"/>
            <w:tcBorders>
              <w:top w:val="single" w:sz="4" w:space="0" w:color="auto"/>
              <w:left w:val="single" w:sz="4" w:space="0" w:color="auto"/>
              <w:bottom w:val="single" w:sz="4" w:space="0" w:color="auto"/>
              <w:right w:val="single" w:sz="4" w:space="0" w:color="auto"/>
            </w:tcBorders>
            <w:vAlign w:val="center"/>
          </w:tcPr>
          <w:p w14:paraId="37B5792A" w14:textId="3FACBD7C" w:rsidR="00F60B2C" w:rsidRPr="00701F32" w:rsidRDefault="001F51FB" w:rsidP="00F60B2C">
            <w:pPr>
              <w:ind w:left="36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8.963</w:t>
            </w:r>
          </w:p>
        </w:tc>
        <w:tc>
          <w:tcPr>
            <w:tcW w:w="1274" w:type="dxa"/>
            <w:tcBorders>
              <w:top w:val="single" w:sz="4" w:space="0" w:color="auto"/>
              <w:left w:val="single" w:sz="4" w:space="0" w:color="auto"/>
              <w:bottom w:val="single" w:sz="4" w:space="0" w:color="auto"/>
              <w:right w:val="single" w:sz="4" w:space="0" w:color="auto"/>
            </w:tcBorders>
            <w:vAlign w:val="center"/>
          </w:tcPr>
          <w:p w14:paraId="47F60830" w14:textId="0A504E40" w:rsidR="00F60B2C" w:rsidRPr="00701F32" w:rsidRDefault="00F60B2C" w:rsidP="00F60B2C">
            <w:pPr>
              <w:ind w:left="36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3.979</w:t>
            </w:r>
          </w:p>
        </w:tc>
      </w:tr>
      <w:tr w:rsidR="00F60B2C" w:rsidRPr="00701F32" w14:paraId="35E20383" w14:textId="77777777" w:rsidTr="00F60B2C">
        <w:trPr>
          <w:trHeight w:val="304"/>
        </w:trPr>
        <w:tc>
          <w:tcPr>
            <w:cnfStyle w:val="001000000000" w:firstRow="0" w:lastRow="0" w:firstColumn="1" w:lastColumn="0" w:oddVBand="0" w:evenVBand="0" w:oddHBand="0" w:evenHBand="0" w:firstRowFirstColumn="0" w:firstRowLastColumn="0" w:lastRowFirstColumn="0" w:lastRowLastColumn="0"/>
            <w:tcW w:w="5920" w:type="dxa"/>
            <w:tcBorders>
              <w:top w:val="single" w:sz="4" w:space="0" w:color="auto"/>
              <w:left w:val="single" w:sz="4" w:space="0" w:color="auto"/>
              <w:bottom w:val="single" w:sz="4" w:space="0" w:color="auto"/>
              <w:right w:val="single" w:sz="4" w:space="0" w:color="auto"/>
            </w:tcBorders>
            <w:vAlign w:val="center"/>
          </w:tcPr>
          <w:p w14:paraId="093DA3A3" w14:textId="77777777" w:rsidR="00F60B2C" w:rsidRPr="00701F32" w:rsidRDefault="00F60B2C" w:rsidP="00F60B2C">
            <w:pPr>
              <w:contextualSpacing/>
              <w:rPr>
                <w:rFonts w:ascii="Arial" w:hAnsi="Arial" w:cs="Arial"/>
                <w:b w:val="0"/>
                <w:bCs w:val="0"/>
                <w:sz w:val="16"/>
              </w:rPr>
            </w:pPr>
            <w:r w:rsidRPr="00701F32">
              <w:rPr>
                <w:rFonts w:ascii="Arial" w:hAnsi="Arial" w:cs="Arial"/>
                <w:sz w:val="16"/>
              </w:rPr>
              <w:t>Gastos directos de operación de propiedades que generaron ingresos derivados de rentas</w:t>
            </w:r>
          </w:p>
        </w:tc>
        <w:tc>
          <w:tcPr>
            <w:tcW w:w="1278" w:type="dxa"/>
            <w:tcBorders>
              <w:top w:val="single" w:sz="4" w:space="0" w:color="auto"/>
              <w:left w:val="single" w:sz="4" w:space="0" w:color="auto"/>
              <w:bottom w:val="single" w:sz="4" w:space="0" w:color="auto"/>
              <w:right w:val="single" w:sz="4" w:space="0" w:color="auto"/>
            </w:tcBorders>
            <w:vAlign w:val="center"/>
          </w:tcPr>
          <w:p w14:paraId="1CBB65A1" w14:textId="41826679" w:rsidR="00F60B2C" w:rsidRPr="00701F32" w:rsidRDefault="001F51FB" w:rsidP="00F60B2C">
            <w:pPr>
              <w:ind w:left="360"/>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(7.954)</w:t>
            </w:r>
          </w:p>
        </w:tc>
        <w:tc>
          <w:tcPr>
            <w:tcW w:w="1274" w:type="dxa"/>
            <w:tcBorders>
              <w:top w:val="single" w:sz="4" w:space="0" w:color="auto"/>
              <w:left w:val="single" w:sz="4" w:space="0" w:color="auto"/>
              <w:bottom w:val="single" w:sz="4" w:space="0" w:color="auto"/>
              <w:right w:val="single" w:sz="4" w:space="0" w:color="auto"/>
            </w:tcBorders>
            <w:vAlign w:val="center"/>
          </w:tcPr>
          <w:p w14:paraId="5C369AEB" w14:textId="547F4126" w:rsidR="00F60B2C" w:rsidRPr="00701F32" w:rsidRDefault="00F60B2C" w:rsidP="00F60B2C">
            <w:pPr>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(4.585)</w:t>
            </w:r>
          </w:p>
        </w:tc>
      </w:tr>
      <w:tr w:rsidR="00F60B2C" w:rsidRPr="00701F32" w14:paraId="39670543" w14:textId="77777777" w:rsidTr="00F60B2C">
        <w:trPr>
          <w:trHeight w:val="291"/>
        </w:trPr>
        <w:tc>
          <w:tcPr>
            <w:cnfStyle w:val="001000000000" w:firstRow="0" w:lastRow="0" w:firstColumn="1" w:lastColumn="0" w:oddVBand="0" w:evenVBand="0" w:oddHBand="0" w:evenHBand="0" w:firstRowFirstColumn="0" w:firstRowLastColumn="0" w:lastRowFirstColumn="0" w:lastRowLastColumn="0"/>
            <w:tcW w:w="5920" w:type="dxa"/>
            <w:tcBorders>
              <w:top w:val="single" w:sz="4" w:space="0" w:color="auto"/>
              <w:left w:val="single" w:sz="4" w:space="0" w:color="auto"/>
              <w:bottom w:val="single" w:sz="4" w:space="0" w:color="auto"/>
              <w:right w:val="single" w:sz="4" w:space="0" w:color="auto"/>
            </w:tcBorders>
            <w:vAlign w:val="center"/>
          </w:tcPr>
          <w:p w14:paraId="3AAD7FC6" w14:textId="77777777" w:rsidR="00F60B2C" w:rsidRPr="00701F32" w:rsidRDefault="00F60B2C" w:rsidP="00F60B2C">
            <w:pPr>
              <w:contextualSpacing/>
              <w:rPr>
                <w:rFonts w:ascii="Arial" w:hAnsi="Arial" w:cs="Arial"/>
                <w:b w:val="0"/>
                <w:bCs w:val="0"/>
                <w:sz w:val="16"/>
              </w:rPr>
            </w:pPr>
            <w:r w:rsidRPr="00701F32">
              <w:rPr>
                <w:rFonts w:ascii="Arial" w:hAnsi="Arial" w:cs="Arial"/>
                <w:sz w:val="16"/>
              </w:rPr>
              <w:t>Resultado por medición al valor razonable</w:t>
            </w:r>
          </w:p>
        </w:tc>
        <w:tc>
          <w:tcPr>
            <w:tcW w:w="1278" w:type="dxa"/>
            <w:tcBorders>
              <w:top w:val="single" w:sz="4" w:space="0" w:color="auto"/>
              <w:left w:val="single" w:sz="4" w:space="0" w:color="auto"/>
              <w:bottom w:val="single" w:sz="4" w:space="0" w:color="auto"/>
              <w:right w:val="single" w:sz="4" w:space="0" w:color="auto"/>
            </w:tcBorders>
            <w:vAlign w:val="center"/>
          </w:tcPr>
          <w:p w14:paraId="2D0B97D6" w14:textId="5E3E5F24" w:rsidR="00F60B2C" w:rsidRPr="00701F32" w:rsidRDefault="001F51FB" w:rsidP="00F60B2C">
            <w:pPr>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428.468</w:t>
            </w:r>
          </w:p>
        </w:tc>
        <w:tc>
          <w:tcPr>
            <w:tcW w:w="1274" w:type="dxa"/>
            <w:tcBorders>
              <w:top w:val="single" w:sz="4" w:space="0" w:color="auto"/>
              <w:left w:val="single" w:sz="4" w:space="0" w:color="auto"/>
              <w:bottom w:val="single" w:sz="4" w:space="0" w:color="auto"/>
              <w:right w:val="single" w:sz="4" w:space="0" w:color="auto"/>
            </w:tcBorders>
            <w:vAlign w:val="center"/>
          </w:tcPr>
          <w:p w14:paraId="30CCBC78" w14:textId="7C93264A" w:rsidR="00F60B2C" w:rsidRPr="00701F32" w:rsidRDefault="00F60B2C" w:rsidP="00F60B2C">
            <w:pPr>
              <w:contextualSpacing/>
              <w:jc w:val="right"/>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208.983</w:t>
            </w:r>
          </w:p>
        </w:tc>
      </w:tr>
    </w:tbl>
    <w:p w14:paraId="4041A19F" w14:textId="77777777" w:rsidR="00F60B2C" w:rsidRPr="00701F32" w:rsidRDefault="00F60B2C" w:rsidP="00F60B2C">
      <w:pPr>
        <w:spacing w:after="160"/>
        <w:jc w:val="both"/>
        <w:rPr>
          <w:rFonts w:ascii="Arial" w:eastAsia="Calibri" w:hAnsi="Arial" w:cs="Arial"/>
          <w:sz w:val="20"/>
        </w:rPr>
      </w:pPr>
    </w:p>
    <w:p w14:paraId="30E23923" w14:textId="1C3FCDA5"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El resultado neto generado por la</w:t>
      </w:r>
      <w:r>
        <w:rPr>
          <w:rFonts w:ascii="Arial" w:eastAsia="Calibri" w:hAnsi="Arial" w:cs="Arial"/>
          <w:sz w:val="20"/>
        </w:rPr>
        <w:t>s propiedades de inversión al 31</w:t>
      </w:r>
      <w:r w:rsidRPr="00701F32">
        <w:rPr>
          <w:rFonts w:ascii="Arial" w:eastAsia="Calibri" w:hAnsi="Arial" w:cs="Arial"/>
          <w:sz w:val="20"/>
        </w:rPr>
        <w:t xml:space="preserve"> de </w:t>
      </w:r>
      <w:r>
        <w:rPr>
          <w:rFonts w:ascii="Arial" w:eastAsia="Calibri" w:hAnsi="Arial" w:cs="Arial"/>
          <w:sz w:val="20"/>
        </w:rPr>
        <w:t>diciembre</w:t>
      </w:r>
      <w:r w:rsidRPr="00701F32">
        <w:rPr>
          <w:rFonts w:ascii="Arial" w:eastAsia="Calibri" w:hAnsi="Arial" w:cs="Arial"/>
          <w:sz w:val="20"/>
        </w:rPr>
        <w:t xml:space="preserve"> de 201</w:t>
      </w:r>
      <w:r>
        <w:rPr>
          <w:rFonts w:ascii="Arial" w:eastAsia="Calibri" w:hAnsi="Arial" w:cs="Arial"/>
          <w:sz w:val="20"/>
        </w:rPr>
        <w:t>9</w:t>
      </w:r>
      <w:r w:rsidRPr="00701F32">
        <w:rPr>
          <w:rFonts w:ascii="Arial" w:eastAsia="Calibri" w:hAnsi="Arial" w:cs="Arial"/>
          <w:sz w:val="20"/>
        </w:rPr>
        <w:t xml:space="preserve"> y 201</w:t>
      </w:r>
      <w:r>
        <w:rPr>
          <w:rFonts w:ascii="Arial" w:eastAsia="Calibri" w:hAnsi="Arial" w:cs="Arial"/>
          <w:sz w:val="20"/>
        </w:rPr>
        <w:t>8</w:t>
      </w:r>
      <w:r w:rsidRPr="00701F32">
        <w:rPr>
          <w:rFonts w:ascii="Arial" w:eastAsia="Calibri" w:hAnsi="Arial" w:cs="Arial"/>
          <w:sz w:val="20"/>
        </w:rPr>
        <w:t xml:space="preserve"> a</w:t>
      </w:r>
      <w:r>
        <w:rPr>
          <w:rFonts w:ascii="Arial" w:eastAsia="Calibri" w:hAnsi="Arial" w:cs="Arial"/>
          <w:sz w:val="20"/>
        </w:rPr>
        <w:t xml:space="preserve">sciende a una utilidad </w:t>
      </w:r>
      <w:r w:rsidRPr="001F51FB">
        <w:rPr>
          <w:rFonts w:ascii="Arial" w:eastAsia="Calibri" w:hAnsi="Arial" w:cs="Arial"/>
          <w:sz w:val="20"/>
        </w:rPr>
        <w:t xml:space="preserve">de </w:t>
      </w:r>
      <w:r w:rsidR="001F51FB" w:rsidRPr="001F51FB">
        <w:rPr>
          <w:rFonts w:ascii="Arial" w:eastAsia="Calibri" w:hAnsi="Arial" w:cs="Arial"/>
          <w:sz w:val="20"/>
        </w:rPr>
        <w:t>429.477</w:t>
      </w:r>
      <w:r w:rsidRPr="001F51FB">
        <w:rPr>
          <w:rFonts w:ascii="Arial" w:eastAsia="Calibri" w:hAnsi="Arial" w:cs="Arial"/>
          <w:sz w:val="20"/>
        </w:rPr>
        <w:t xml:space="preserve"> y de </w:t>
      </w:r>
      <w:r w:rsidR="001C5375" w:rsidRPr="001F51FB">
        <w:rPr>
          <w:rFonts w:ascii="Arial" w:eastAsia="Calibri" w:hAnsi="Arial" w:cs="Arial"/>
          <w:sz w:val="20"/>
        </w:rPr>
        <w:t>208</w:t>
      </w:r>
      <w:r w:rsidRPr="001F51FB">
        <w:rPr>
          <w:rFonts w:ascii="Arial" w:eastAsia="Calibri" w:hAnsi="Arial" w:cs="Arial"/>
          <w:sz w:val="20"/>
        </w:rPr>
        <w:t>.</w:t>
      </w:r>
      <w:r w:rsidR="001C5375" w:rsidRPr="001F51FB">
        <w:rPr>
          <w:rFonts w:ascii="Arial" w:eastAsia="Calibri" w:hAnsi="Arial" w:cs="Arial"/>
          <w:sz w:val="20"/>
        </w:rPr>
        <w:t>377</w:t>
      </w:r>
      <w:r w:rsidRPr="001F51FB">
        <w:rPr>
          <w:rFonts w:ascii="Arial" w:eastAsia="Calibri" w:hAnsi="Arial" w:cs="Arial"/>
          <w:sz w:val="20"/>
        </w:rPr>
        <w:t xml:space="preserve"> se</w:t>
      </w:r>
      <w:r w:rsidRPr="00701F32">
        <w:rPr>
          <w:rFonts w:ascii="Arial" w:eastAsia="Calibri" w:hAnsi="Arial" w:cs="Arial"/>
          <w:sz w:val="20"/>
        </w:rPr>
        <w:t xml:space="preserve"> reconocen en los rubros “Otros ingresos operativos”, “Gastos de administración” y “Otros gastos operativos” en el estado de resultados separado.</w:t>
      </w:r>
    </w:p>
    <w:p w14:paraId="71B6CE86"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 xml:space="preserve">Las ganancias y pérdidas por la venta de propiedades de inversión se incluyen en el estado de resultados </w:t>
      </w:r>
      <w:r w:rsidRPr="00701F32">
        <w:rPr>
          <w:rFonts w:ascii="Arial" w:eastAsia="Arial" w:hAnsi="Arial" w:cs="Arial"/>
          <w:sz w:val="20"/>
        </w:rPr>
        <w:t>separados</w:t>
      </w:r>
      <w:r w:rsidRPr="00701F32">
        <w:rPr>
          <w:rFonts w:ascii="Arial" w:eastAsia="Calibri" w:hAnsi="Arial" w:cs="Arial"/>
          <w:sz w:val="20"/>
        </w:rPr>
        <w:t>.</w:t>
      </w:r>
    </w:p>
    <w:p w14:paraId="0D1DF094" w14:textId="77777777" w:rsidR="00F60B2C" w:rsidRPr="00701F32" w:rsidRDefault="00F60B2C" w:rsidP="00F60B2C">
      <w:pPr>
        <w:spacing w:after="160"/>
        <w:jc w:val="both"/>
        <w:rPr>
          <w:rFonts w:ascii="Arial" w:eastAsia="Calibri" w:hAnsi="Arial" w:cs="Arial"/>
          <w:b/>
          <w:sz w:val="20"/>
        </w:rPr>
      </w:pPr>
      <w:r w:rsidRPr="00701F32">
        <w:rPr>
          <w:rFonts w:ascii="Arial" w:eastAsia="Calibri" w:hAnsi="Arial" w:cs="Arial"/>
          <w:b/>
          <w:sz w:val="20"/>
        </w:rPr>
        <w:t>1.1</w:t>
      </w:r>
      <w:r>
        <w:rPr>
          <w:rFonts w:ascii="Arial" w:eastAsia="Calibri" w:hAnsi="Arial" w:cs="Arial"/>
          <w:b/>
          <w:sz w:val="20"/>
        </w:rPr>
        <w:t>5</w:t>
      </w:r>
      <w:r w:rsidRPr="00701F32">
        <w:rPr>
          <w:rFonts w:ascii="Arial" w:eastAsia="Calibri" w:hAnsi="Arial" w:cs="Arial"/>
          <w:b/>
          <w:sz w:val="20"/>
        </w:rPr>
        <w:t xml:space="preserve"> Activos Intangibles</w:t>
      </w:r>
    </w:p>
    <w:p w14:paraId="50A32805"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(a)  Valor llave</w:t>
      </w:r>
    </w:p>
    <w:p w14:paraId="1E4321E2"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 xml:space="preserve">El valor llave generado en la adquisición de subsidiarias, afiliadas o negocios conjuntos representa el exceso entre: </w:t>
      </w:r>
    </w:p>
    <w:p w14:paraId="10779B51"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(i) el costo de una adquisición, el cual se mide como la suma de la contraprestación transferida, valuada al valor razonable a la fecha de la adquisición más el importe del interés no controlante; y</w:t>
      </w:r>
    </w:p>
    <w:p w14:paraId="578E3F73"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 xml:space="preserve">(ii) el valor razonable de los activos identificables adquiridos y de los pasivos asumidos de la adquirida. </w:t>
      </w:r>
    </w:p>
    <w:p w14:paraId="0725147E" w14:textId="77777777" w:rsidR="00F60B2C" w:rsidRPr="00701F32" w:rsidRDefault="00F60B2C" w:rsidP="00F60B2C">
      <w:pPr>
        <w:spacing w:after="160"/>
        <w:jc w:val="both"/>
        <w:rPr>
          <w:rFonts w:ascii="Arial" w:eastAsia="Arial" w:hAnsi="Arial" w:cs="Arial"/>
          <w:sz w:val="20"/>
        </w:rPr>
      </w:pPr>
      <w:r w:rsidRPr="00701F32">
        <w:rPr>
          <w:rFonts w:ascii="Arial" w:eastAsia="Calibri" w:hAnsi="Arial" w:cs="Arial"/>
          <w:sz w:val="20"/>
        </w:rPr>
        <w:t xml:space="preserve">Todos los valores llave, se incluyen en el rubro activos intangibles en el estado de situación financiera </w:t>
      </w:r>
      <w:r w:rsidRPr="00701F32">
        <w:rPr>
          <w:rFonts w:ascii="Arial" w:eastAsia="Arial" w:hAnsi="Arial" w:cs="Arial"/>
          <w:sz w:val="20"/>
        </w:rPr>
        <w:t>separado</w:t>
      </w:r>
      <w:r w:rsidRPr="00701F32">
        <w:rPr>
          <w:rFonts w:ascii="Arial" w:eastAsia="Calibri" w:hAnsi="Arial" w:cs="Arial"/>
          <w:sz w:val="20"/>
        </w:rPr>
        <w:t xml:space="preserve">. </w:t>
      </w:r>
    </w:p>
    <w:p w14:paraId="348FE6F6"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 xml:space="preserve">Los valores llaves no se amortizan. El Banco evalúa anualmente, o cuando existan indicios de desvalorización, la recuperabilidad de los valores llave sobre la base de flujos futuros de fondos descontados más otra información disponible a la fecha de preparación de los estados financieros </w:t>
      </w:r>
      <w:r w:rsidRPr="00701F32">
        <w:rPr>
          <w:rFonts w:ascii="Arial" w:eastAsia="Arial" w:hAnsi="Arial" w:cs="Arial"/>
          <w:sz w:val="20"/>
        </w:rPr>
        <w:t>separados</w:t>
      </w:r>
      <w:r w:rsidRPr="00701F32">
        <w:rPr>
          <w:rFonts w:ascii="Arial" w:eastAsia="Calibri" w:hAnsi="Arial" w:cs="Arial"/>
          <w:sz w:val="20"/>
        </w:rPr>
        <w:t>. Las pérdidas por desvalorización una vez contabilizadas no se revierten. Las ganancias y pérdidas por la venta de una entidad incluyen el saldo de valor llave relacionado con la entidad vendida.</w:t>
      </w:r>
    </w:p>
    <w:p w14:paraId="0F9C4642"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El valor llave se asigna a unidades generadoras de efectivo a efectos de realizar las pruebas de recuperabilidad. La asignación se efectúa entre aquellas unidades generadoras de efectivo (o grupos de unidades), identificadas de acuerdo con el criterio de segmento operativo, que se benefician de la combinación de negocios de la que surgió el valor llave.</w:t>
      </w:r>
    </w:p>
    <w:p w14:paraId="2A03CEF5"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(b) Software</w:t>
      </w:r>
    </w:p>
    <w:p w14:paraId="6F27608C"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 xml:space="preserve">Los costos asociados con el mantenimiento de software se reconocen como gasto cuando se incurren. Los costos de desarrollo, adquisición e implementación que son directamente atribuibles al diseño y pruebas de software identificables y únicos que controla la entidad, se reconocen como activos. </w:t>
      </w:r>
    </w:p>
    <w:p w14:paraId="54AFC901" w14:textId="77777777" w:rsidR="00F60B2C" w:rsidRPr="00701F32" w:rsidRDefault="00F60B2C" w:rsidP="00F60B2C">
      <w:pPr>
        <w:spacing w:after="160"/>
        <w:jc w:val="both"/>
        <w:rPr>
          <w:rFonts w:ascii="Arial" w:eastAsia="Calibri" w:hAnsi="Arial" w:cs="Arial"/>
          <w:sz w:val="20"/>
        </w:rPr>
      </w:pPr>
      <w:r w:rsidRPr="00701F32">
        <w:rPr>
          <w:rFonts w:ascii="Arial" w:eastAsia="Calibri" w:hAnsi="Arial" w:cs="Arial"/>
          <w:sz w:val="20"/>
        </w:rPr>
        <w:t>Los costos de desarrollo, adquisición o implementación reconocidos inicialmente como gastos de un período, no son reconocidos posteriormente como costo del activo intangible. Los costos incurridos en el desarrollo, adquisición o implementación de software, reconocidos como activos intangibles, se amortizan aplicando el método de la línea recta durante sus vidas útiles estimadas, en un plazo que no excede de cinco años.</w:t>
      </w:r>
    </w:p>
    <w:p w14:paraId="76BF05CC" w14:textId="77777777" w:rsidR="00F60B2C" w:rsidRPr="00701F32" w:rsidRDefault="00F60B2C" w:rsidP="00F60B2C">
      <w:pPr>
        <w:jc w:val="both"/>
        <w:rPr>
          <w:rFonts w:ascii="Arial" w:hAnsi="Arial" w:cs="Arial"/>
          <w:b/>
          <w:color w:val="FF0000"/>
          <w:sz w:val="20"/>
        </w:rPr>
      </w:pPr>
      <w:r w:rsidRPr="00701F32">
        <w:rPr>
          <w:rFonts w:ascii="Arial" w:hAnsi="Arial" w:cs="Arial"/>
          <w:b/>
          <w:sz w:val="20"/>
        </w:rPr>
        <w:t>1.1</w:t>
      </w:r>
      <w:r>
        <w:rPr>
          <w:rFonts w:ascii="Arial" w:hAnsi="Arial" w:cs="Arial"/>
          <w:b/>
          <w:sz w:val="20"/>
        </w:rPr>
        <w:t>6</w:t>
      </w:r>
      <w:r w:rsidRPr="00701F32">
        <w:rPr>
          <w:rFonts w:ascii="Arial" w:hAnsi="Arial" w:cs="Arial"/>
          <w:b/>
          <w:sz w:val="20"/>
        </w:rPr>
        <w:t xml:space="preserve"> Desvalorización de activos no financieros  </w:t>
      </w:r>
    </w:p>
    <w:p w14:paraId="194E6C88" w14:textId="77777777" w:rsidR="00F60B2C" w:rsidRPr="00701F32" w:rsidRDefault="00F60B2C" w:rsidP="00F60B2C">
      <w:pPr>
        <w:jc w:val="both"/>
        <w:rPr>
          <w:rFonts w:ascii="Arial" w:hAnsi="Arial" w:cs="Arial"/>
          <w:sz w:val="20"/>
        </w:rPr>
      </w:pPr>
    </w:p>
    <w:p w14:paraId="70A655F9" w14:textId="77777777" w:rsidR="00F60B2C" w:rsidRPr="00701F32" w:rsidRDefault="00F60B2C" w:rsidP="00F60B2C">
      <w:pPr>
        <w:jc w:val="both"/>
        <w:rPr>
          <w:rFonts w:ascii="Arial" w:hAnsi="Arial" w:cs="Arial"/>
          <w:sz w:val="20"/>
        </w:rPr>
      </w:pPr>
      <w:r w:rsidRPr="00701F32">
        <w:rPr>
          <w:rFonts w:ascii="Arial" w:hAnsi="Arial" w:cs="Arial"/>
          <w:sz w:val="20"/>
        </w:rPr>
        <w:t>Los activos que tienen vida útil indefinida no están sujetos a amortización y se someten a pruebas anuales de desvalorización. A diferencia del supuesto anterior, aquellos bienes que son amortizables se someten a pruebas de desvalorización cuando se producen eventos o circunstancias que indican que podría no recuperarse su valor de libros o, mínimamente, en forma anual.</w:t>
      </w:r>
    </w:p>
    <w:p w14:paraId="383D36FB" w14:textId="77777777" w:rsidR="00F60B2C" w:rsidRPr="00701F32" w:rsidRDefault="00F60B2C" w:rsidP="00F60B2C">
      <w:pPr>
        <w:jc w:val="both"/>
        <w:rPr>
          <w:rFonts w:ascii="Arial" w:hAnsi="Arial" w:cs="Arial"/>
          <w:sz w:val="20"/>
        </w:rPr>
      </w:pPr>
    </w:p>
    <w:p w14:paraId="1F730909" w14:textId="77777777" w:rsidR="00F60B2C" w:rsidRPr="00701F32" w:rsidRDefault="00F60B2C" w:rsidP="00F60B2C">
      <w:pPr>
        <w:jc w:val="both"/>
        <w:rPr>
          <w:rFonts w:ascii="Arial" w:hAnsi="Arial" w:cs="Arial"/>
          <w:sz w:val="20"/>
        </w:rPr>
      </w:pPr>
      <w:r w:rsidRPr="00701F32">
        <w:rPr>
          <w:rFonts w:ascii="Arial" w:hAnsi="Arial" w:cs="Arial"/>
          <w:sz w:val="20"/>
        </w:rPr>
        <w:t>Las pérdidas por desvalorización se reconocen cuando el valor de libros excede a su valor recuperable. El valor recuperable de los activos corresponde al mayor entre el monto neto que se obtendría de su venta o su valor en uso. Para efectos de la prueba de desvalorización, los activos se agrupan al menor nivel en que generan flujos de efectivo identificables (unidades generadoras de efectivo). El valor de libros de activos no financieros distintos del valor llave sobre los que se ha registrado una desvalorización, se revisan a cada fecha de reporte para verificar posibles reversiones de desvalorizaciones.</w:t>
      </w:r>
    </w:p>
    <w:p w14:paraId="1B2E6D8C" w14:textId="77777777" w:rsidR="00F60B2C" w:rsidRPr="00701F32" w:rsidRDefault="00F60B2C" w:rsidP="00F60B2C">
      <w:pPr>
        <w:jc w:val="both"/>
        <w:rPr>
          <w:rFonts w:ascii="Arial" w:hAnsi="Arial" w:cs="Arial"/>
          <w:sz w:val="20"/>
        </w:rPr>
      </w:pPr>
    </w:p>
    <w:p w14:paraId="5F2D4E14" w14:textId="5414AC52" w:rsidR="00F60B2C" w:rsidRDefault="00F60B2C" w:rsidP="00F60B2C">
      <w:pPr>
        <w:jc w:val="both"/>
        <w:rPr>
          <w:rFonts w:ascii="Arial" w:hAnsi="Arial" w:cs="Arial"/>
          <w:b/>
          <w:sz w:val="20"/>
        </w:rPr>
      </w:pPr>
      <w:r w:rsidRPr="00701F32">
        <w:rPr>
          <w:rFonts w:ascii="Arial" w:eastAsiaTheme="minorHAnsi" w:hAnsi="Arial" w:cs="Arial"/>
          <w:b/>
          <w:sz w:val="20"/>
        </w:rPr>
        <w:t>1.1</w:t>
      </w:r>
      <w:r>
        <w:rPr>
          <w:rFonts w:ascii="Arial" w:eastAsiaTheme="minorHAnsi" w:hAnsi="Arial" w:cs="Arial"/>
          <w:b/>
          <w:sz w:val="20"/>
        </w:rPr>
        <w:t>7</w:t>
      </w:r>
      <w:r w:rsidRPr="00701F32">
        <w:rPr>
          <w:rFonts w:ascii="Arial" w:eastAsiaTheme="minorHAnsi" w:hAnsi="Arial" w:cs="Arial"/>
          <w:b/>
          <w:sz w:val="20"/>
        </w:rPr>
        <w:t xml:space="preserve"> </w:t>
      </w:r>
      <w:r w:rsidRPr="0083110B">
        <w:rPr>
          <w:rFonts w:ascii="Arial" w:hAnsi="Arial" w:cs="Arial"/>
          <w:b/>
          <w:sz w:val="20"/>
        </w:rPr>
        <w:t xml:space="preserve">Activos mantenidos para la venta </w:t>
      </w:r>
    </w:p>
    <w:p w14:paraId="68193446" w14:textId="77777777" w:rsidR="00F60B2C" w:rsidRPr="0083110B" w:rsidRDefault="00F60B2C" w:rsidP="00F60B2C">
      <w:pPr>
        <w:jc w:val="both"/>
        <w:rPr>
          <w:rFonts w:ascii="Arial" w:hAnsi="Arial" w:cs="Arial"/>
          <w:b/>
          <w:sz w:val="20"/>
        </w:rPr>
      </w:pPr>
    </w:p>
    <w:p w14:paraId="29F7478F" w14:textId="77777777" w:rsidR="00F60B2C" w:rsidRPr="0083110B" w:rsidRDefault="00F60B2C" w:rsidP="00F60B2C">
      <w:pPr>
        <w:jc w:val="both"/>
        <w:rPr>
          <w:rFonts w:ascii="Arial" w:hAnsi="Arial" w:cs="Arial"/>
          <w:sz w:val="20"/>
        </w:rPr>
      </w:pPr>
      <w:r w:rsidRPr="0083110B">
        <w:rPr>
          <w:rFonts w:ascii="Arial" w:hAnsi="Arial" w:cs="Arial"/>
          <w:sz w:val="20"/>
        </w:rPr>
        <w:t xml:space="preserve">Los activos, o grupos de activos, clasificados como disponibles para la venta de acuerdo a lo establecido por la NIIF 5 “Activos no corrientes mantenidos para la venta y operaciones discontinuadas”, serán expuestos en forma separada del resto de los activos. </w:t>
      </w:r>
    </w:p>
    <w:p w14:paraId="0E810288" w14:textId="77777777" w:rsidR="00F60B2C" w:rsidRDefault="00F60B2C" w:rsidP="00F60B2C">
      <w:pPr>
        <w:jc w:val="both"/>
        <w:rPr>
          <w:rFonts w:ascii="Arial" w:hAnsi="Arial" w:cs="Arial"/>
          <w:sz w:val="20"/>
        </w:rPr>
      </w:pPr>
    </w:p>
    <w:p w14:paraId="064ADD1F" w14:textId="77777777" w:rsidR="00F60B2C" w:rsidRPr="0083110B" w:rsidRDefault="00F60B2C" w:rsidP="00F60B2C">
      <w:pPr>
        <w:jc w:val="both"/>
        <w:rPr>
          <w:rFonts w:ascii="Arial" w:hAnsi="Arial" w:cs="Arial"/>
          <w:sz w:val="20"/>
        </w:rPr>
      </w:pPr>
      <w:r w:rsidRPr="0083110B">
        <w:rPr>
          <w:rFonts w:ascii="Arial" w:hAnsi="Arial" w:cs="Arial"/>
          <w:sz w:val="20"/>
        </w:rPr>
        <w:t>Un activo podrá ser clasificado como disponible para la venta (incluye la pérdida de control de una subsidiaria) si su importe en libros se recuperará fundamentalmente por una transacción de venta, en lugar de por su uso continuado, dentro de los 12 meses de posteriores al último cierre de ejercicio.</w:t>
      </w:r>
    </w:p>
    <w:p w14:paraId="0111AD35" w14:textId="77777777" w:rsidR="00F60B2C" w:rsidRDefault="00F60B2C" w:rsidP="00F60B2C">
      <w:pPr>
        <w:jc w:val="both"/>
        <w:rPr>
          <w:rFonts w:ascii="Arial" w:hAnsi="Arial" w:cs="Arial"/>
          <w:sz w:val="20"/>
        </w:rPr>
      </w:pPr>
    </w:p>
    <w:p w14:paraId="1E2E6D8C" w14:textId="77777777" w:rsidR="00F60B2C" w:rsidRPr="0083110B" w:rsidRDefault="00F60B2C" w:rsidP="00F60B2C">
      <w:pPr>
        <w:jc w:val="both"/>
        <w:rPr>
          <w:rFonts w:ascii="Arial" w:hAnsi="Arial" w:cs="Arial"/>
          <w:sz w:val="20"/>
        </w:rPr>
      </w:pPr>
      <w:r w:rsidRPr="0083110B">
        <w:rPr>
          <w:rFonts w:ascii="Arial" w:hAnsi="Arial" w:cs="Arial"/>
          <w:sz w:val="20"/>
        </w:rPr>
        <w:t>Para aplicar la clasificación anterior, un activo deberá cumplir las siguientes condiciones:</w:t>
      </w:r>
    </w:p>
    <w:p w14:paraId="762D5C8A" w14:textId="77777777" w:rsidR="00F60B2C" w:rsidRPr="0083110B" w:rsidRDefault="00F60B2C" w:rsidP="00F60B2C">
      <w:pPr>
        <w:pStyle w:val="Prrafodelista"/>
        <w:numPr>
          <w:ilvl w:val="0"/>
          <w:numId w:val="32"/>
        </w:numPr>
        <w:spacing w:line="259" w:lineRule="auto"/>
        <w:contextualSpacing/>
        <w:jc w:val="both"/>
        <w:rPr>
          <w:rFonts w:ascii="Arial" w:hAnsi="Arial" w:cs="Arial"/>
          <w:sz w:val="20"/>
        </w:rPr>
      </w:pPr>
      <w:r w:rsidRPr="0083110B">
        <w:rPr>
          <w:rFonts w:ascii="Arial" w:hAnsi="Arial" w:cs="Arial"/>
          <w:sz w:val="20"/>
        </w:rPr>
        <w:t>Estar disponibles para su venta inmediata en las condiciones actuales;</w:t>
      </w:r>
    </w:p>
    <w:p w14:paraId="454406D1" w14:textId="77777777" w:rsidR="00F60B2C" w:rsidRPr="0083110B" w:rsidRDefault="00F60B2C" w:rsidP="00F60B2C">
      <w:pPr>
        <w:pStyle w:val="Prrafodelista"/>
        <w:numPr>
          <w:ilvl w:val="0"/>
          <w:numId w:val="32"/>
        </w:numPr>
        <w:spacing w:line="259" w:lineRule="auto"/>
        <w:contextualSpacing/>
        <w:jc w:val="both"/>
        <w:rPr>
          <w:rFonts w:ascii="Arial" w:hAnsi="Arial" w:cs="Arial"/>
          <w:sz w:val="20"/>
        </w:rPr>
      </w:pPr>
      <w:r w:rsidRPr="0083110B">
        <w:rPr>
          <w:rFonts w:ascii="Arial" w:hAnsi="Arial" w:cs="Arial"/>
          <w:sz w:val="20"/>
        </w:rPr>
        <w:t>La gerencia debe estar comprometida por un plan para vender el activo y haber iniciado de forma activa un programa para encontrar un comprador y completar el plan;</w:t>
      </w:r>
    </w:p>
    <w:p w14:paraId="5DC658B7" w14:textId="77777777" w:rsidR="00F60B2C" w:rsidRPr="0083110B" w:rsidRDefault="00F60B2C" w:rsidP="00F60B2C">
      <w:pPr>
        <w:pStyle w:val="Prrafodelista"/>
        <w:numPr>
          <w:ilvl w:val="0"/>
          <w:numId w:val="32"/>
        </w:numPr>
        <w:spacing w:line="259" w:lineRule="auto"/>
        <w:contextualSpacing/>
        <w:jc w:val="both"/>
        <w:rPr>
          <w:rFonts w:ascii="Arial" w:hAnsi="Arial" w:cs="Arial"/>
          <w:sz w:val="20"/>
        </w:rPr>
      </w:pPr>
      <w:r w:rsidRPr="0083110B">
        <w:rPr>
          <w:rFonts w:ascii="Arial" w:hAnsi="Arial" w:cs="Arial"/>
          <w:sz w:val="20"/>
        </w:rPr>
        <w:t>Negociarse activamente su venta a un precio razonable, en relación con su valor razonable actual;</w:t>
      </w:r>
    </w:p>
    <w:p w14:paraId="1D4647B0" w14:textId="77777777" w:rsidR="00F60B2C" w:rsidRPr="0083110B" w:rsidRDefault="00F60B2C" w:rsidP="00F60B2C">
      <w:pPr>
        <w:pStyle w:val="Prrafodelista"/>
        <w:numPr>
          <w:ilvl w:val="0"/>
          <w:numId w:val="32"/>
        </w:numPr>
        <w:spacing w:line="259" w:lineRule="auto"/>
        <w:contextualSpacing/>
        <w:jc w:val="both"/>
        <w:rPr>
          <w:rFonts w:ascii="Arial" w:hAnsi="Arial" w:cs="Arial"/>
          <w:sz w:val="20"/>
        </w:rPr>
      </w:pPr>
      <w:r w:rsidRPr="0083110B">
        <w:rPr>
          <w:rFonts w:ascii="Arial" w:hAnsi="Arial" w:cs="Arial"/>
          <w:sz w:val="20"/>
        </w:rPr>
        <w:t>Se espera que la venta sea concertada dentro de un año desde su fecha de reclasificación;</w:t>
      </w:r>
    </w:p>
    <w:p w14:paraId="2C38F14C" w14:textId="77777777" w:rsidR="00F60B2C" w:rsidRPr="0083110B" w:rsidRDefault="00F60B2C" w:rsidP="00F60B2C">
      <w:pPr>
        <w:pStyle w:val="Prrafodelista"/>
        <w:numPr>
          <w:ilvl w:val="0"/>
          <w:numId w:val="32"/>
        </w:numPr>
        <w:spacing w:line="259" w:lineRule="auto"/>
        <w:contextualSpacing/>
        <w:jc w:val="both"/>
        <w:rPr>
          <w:rFonts w:ascii="Arial" w:hAnsi="Arial" w:cs="Arial"/>
          <w:sz w:val="20"/>
        </w:rPr>
      </w:pPr>
      <w:r w:rsidRPr="0083110B">
        <w:rPr>
          <w:rFonts w:ascii="Arial" w:hAnsi="Arial" w:cs="Arial"/>
          <w:sz w:val="20"/>
        </w:rPr>
        <w:t>Es poco probable que se realicen cambios significativos sobre el plan o que el mismo sea retirado.</w:t>
      </w:r>
    </w:p>
    <w:p w14:paraId="1F8DB998" w14:textId="77777777" w:rsidR="00F60B2C" w:rsidRPr="0083110B" w:rsidRDefault="00F60B2C" w:rsidP="00F60B2C">
      <w:pPr>
        <w:ind w:left="360"/>
        <w:jc w:val="both"/>
        <w:rPr>
          <w:rFonts w:ascii="Arial" w:hAnsi="Arial" w:cs="Arial"/>
          <w:sz w:val="20"/>
        </w:rPr>
      </w:pPr>
    </w:p>
    <w:p w14:paraId="1B15AC8D" w14:textId="77777777" w:rsidR="00F60B2C" w:rsidRPr="0083110B" w:rsidRDefault="00F60B2C" w:rsidP="00F60B2C">
      <w:pPr>
        <w:jc w:val="both"/>
        <w:rPr>
          <w:rFonts w:ascii="Arial" w:hAnsi="Arial" w:cs="Arial"/>
          <w:sz w:val="20"/>
        </w:rPr>
      </w:pPr>
      <w:r w:rsidRPr="0083110B">
        <w:rPr>
          <w:rFonts w:ascii="Arial" w:hAnsi="Arial" w:cs="Arial"/>
          <w:sz w:val="20"/>
        </w:rPr>
        <w:t xml:space="preserve">En ocasiones, una entidad dispone de un grupo de activos (valor llave incluido, en caso de corresponder), posiblemente con algunos pasivos directamente asociados, de forma conjunta y en una sola transacción. </w:t>
      </w:r>
    </w:p>
    <w:p w14:paraId="298956C5" w14:textId="77777777" w:rsidR="00F60B2C" w:rsidRDefault="00F60B2C" w:rsidP="00F60B2C">
      <w:pPr>
        <w:jc w:val="both"/>
        <w:rPr>
          <w:rFonts w:ascii="Arial" w:hAnsi="Arial" w:cs="Arial"/>
          <w:sz w:val="20"/>
        </w:rPr>
      </w:pPr>
    </w:p>
    <w:p w14:paraId="14D28A3A" w14:textId="77777777" w:rsidR="00F60B2C" w:rsidRPr="0083110B" w:rsidRDefault="00F60B2C" w:rsidP="00F60B2C">
      <w:pPr>
        <w:jc w:val="both"/>
        <w:rPr>
          <w:rFonts w:ascii="Arial" w:hAnsi="Arial" w:cs="Arial"/>
          <w:sz w:val="20"/>
        </w:rPr>
      </w:pPr>
      <w:r w:rsidRPr="0083110B">
        <w:rPr>
          <w:rFonts w:ascii="Arial" w:hAnsi="Arial" w:cs="Arial"/>
          <w:sz w:val="20"/>
        </w:rPr>
        <w:t xml:space="preserve">Los activos, o grupos de activos, clasificados como disponibles para la venta de acuerdo a lo establecido por la NIIF 5 “Activos no corrientes mantenidos para la venta y operaciones discontinuadas”, son medidos al menor valor entre el Valor Residual y su Valor Neto de Realización al cierre de ejercicio. </w:t>
      </w:r>
    </w:p>
    <w:p w14:paraId="6C0D918F" w14:textId="77777777" w:rsidR="00F60B2C" w:rsidRDefault="00F60B2C" w:rsidP="00F60B2C">
      <w:pPr>
        <w:jc w:val="both"/>
        <w:rPr>
          <w:rFonts w:ascii="Arial" w:hAnsi="Arial" w:cs="Arial"/>
          <w:sz w:val="20"/>
        </w:rPr>
      </w:pPr>
    </w:p>
    <w:p w14:paraId="5F960785" w14:textId="77777777" w:rsidR="00F60B2C" w:rsidRPr="0083110B" w:rsidRDefault="00F60B2C" w:rsidP="00F60B2C">
      <w:pPr>
        <w:jc w:val="both"/>
        <w:rPr>
          <w:rFonts w:ascii="Arial" w:hAnsi="Arial" w:cs="Arial"/>
          <w:sz w:val="20"/>
        </w:rPr>
      </w:pPr>
      <w:r w:rsidRPr="0083110B">
        <w:rPr>
          <w:rFonts w:ascii="Arial" w:hAnsi="Arial" w:cs="Arial"/>
          <w:sz w:val="20"/>
        </w:rPr>
        <w:t xml:space="preserve">El </w:t>
      </w:r>
      <w:r>
        <w:rPr>
          <w:rFonts w:ascii="Arial" w:hAnsi="Arial" w:cs="Arial"/>
          <w:sz w:val="20"/>
        </w:rPr>
        <w:t>Banco</w:t>
      </w:r>
      <w:r w:rsidRPr="0083110B">
        <w:rPr>
          <w:rFonts w:ascii="Arial" w:hAnsi="Arial" w:cs="Arial"/>
          <w:sz w:val="20"/>
        </w:rPr>
        <w:t xml:space="preserve"> no depreciará el activo mientras esté clasificado como mantenido para la venta, o mientras forme parte de un grupo de activos para su disposición clasificado como mantenido para la venta. No obstante, continuarán reconociéndose tanto los intereses como otros gastos atribuibles a los pasivos de un grupo de activos para su disposición que se haya clasificado como mantenido para la venta. </w:t>
      </w:r>
    </w:p>
    <w:p w14:paraId="19AB5ACD" w14:textId="77777777" w:rsidR="00F60B2C" w:rsidRDefault="00F60B2C" w:rsidP="00F60B2C">
      <w:pPr>
        <w:jc w:val="both"/>
        <w:rPr>
          <w:rFonts w:ascii="Arial" w:hAnsi="Arial" w:cs="Arial"/>
          <w:sz w:val="20"/>
        </w:rPr>
      </w:pPr>
    </w:p>
    <w:p w14:paraId="5DC72A03" w14:textId="5F156410" w:rsidR="00F60B2C" w:rsidRPr="0083110B" w:rsidRDefault="00743E50" w:rsidP="00F60B2C">
      <w:pPr>
        <w:jc w:val="both"/>
        <w:rPr>
          <w:rFonts w:ascii="Arial" w:hAnsi="Arial" w:cs="Arial"/>
          <w:sz w:val="20"/>
        </w:rPr>
      </w:pPr>
      <w:r w:rsidRPr="00743E50">
        <w:rPr>
          <w:rFonts w:ascii="Arial" w:hAnsi="Arial" w:cs="Arial"/>
          <w:sz w:val="20"/>
        </w:rPr>
        <w:t>Los saldos de instrumentos financieros, impuestos diferidos y propiedades de inversión, incluidos dentro de un grupo de activos clasificados como disponibles para la venta, no están sujetos a los métodos de valuación detallados anteriormente.</w:t>
      </w:r>
      <w:r w:rsidR="00F60B2C" w:rsidRPr="0083110B">
        <w:rPr>
          <w:rFonts w:ascii="Arial" w:hAnsi="Arial" w:cs="Arial"/>
          <w:sz w:val="20"/>
        </w:rPr>
        <w:t xml:space="preserve"> </w:t>
      </w:r>
    </w:p>
    <w:p w14:paraId="3CA39021" w14:textId="77777777" w:rsidR="00F60B2C" w:rsidRDefault="00F60B2C" w:rsidP="00F60B2C">
      <w:pPr>
        <w:jc w:val="both"/>
        <w:rPr>
          <w:rFonts w:ascii="Arial" w:hAnsi="Arial" w:cs="Arial"/>
          <w:sz w:val="20"/>
        </w:rPr>
      </w:pPr>
    </w:p>
    <w:p w14:paraId="69DD1010" w14:textId="77777777" w:rsidR="00F60B2C" w:rsidRDefault="00F60B2C" w:rsidP="00F60B2C">
      <w:pPr>
        <w:spacing w:after="160" w:line="259" w:lineRule="auto"/>
        <w:jc w:val="both"/>
        <w:rPr>
          <w:rFonts w:ascii="Arial" w:eastAsiaTheme="minorHAnsi" w:hAnsi="Arial" w:cs="Arial"/>
          <w:b/>
          <w:sz w:val="20"/>
        </w:rPr>
      </w:pPr>
      <w:r w:rsidRPr="0083110B">
        <w:rPr>
          <w:rFonts w:ascii="Arial" w:hAnsi="Arial" w:cs="Arial"/>
          <w:sz w:val="20"/>
        </w:rPr>
        <w:t xml:space="preserve">Los pasivos directamente asociados con los grupos de activos a ser dispuestos serán reclasificados y expuestos separadamente en el Estado de Situación Financiera del </w:t>
      </w:r>
      <w:r>
        <w:rPr>
          <w:rFonts w:ascii="Arial" w:hAnsi="Arial" w:cs="Arial"/>
          <w:sz w:val="20"/>
        </w:rPr>
        <w:t>Banco</w:t>
      </w:r>
      <w:r w:rsidRPr="0083110B">
        <w:rPr>
          <w:rFonts w:ascii="Arial" w:hAnsi="Arial" w:cs="Arial"/>
          <w:sz w:val="20"/>
        </w:rPr>
        <w:t>.</w:t>
      </w:r>
    </w:p>
    <w:p w14:paraId="60BE19FD" w14:textId="77777777" w:rsidR="00F60B2C" w:rsidRPr="006E1AF7" w:rsidRDefault="00F60B2C" w:rsidP="006E1AF7">
      <w:pPr>
        <w:jc w:val="both"/>
        <w:rPr>
          <w:rFonts w:ascii="Arial" w:hAnsi="Arial" w:cs="Arial"/>
          <w:sz w:val="20"/>
        </w:rPr>
      </w:pPr>
    </w:p>
    <w:p w14:paraId="77F7F97D" w14:textId="4C7B74F5" w:rsidR="00F60B2C" w:rsidRDefault="00F60B2C" w:rsidP="0068711D">
      <w:pPr>
        <w:jc w:val="both"/>
        <w:rPr>
          <w:rFonts w:ascii="Arial" w:hAnsi="Arial" w:cs="Arial"/>
          <w:b/>
          <w:sz w:val="20"/>
        </w:rPr>
      </w:pPr>
      <w:r w:rsidRPr="006E1AF7">
        <w:rPr>
          <w:rFonts w:ascii="Arial" w:hAnsi="Arial" w:cs="Arial"/>
          <w:b/>
          <w:sz w:val="20"/>
        </w:rPr>
        <w:t>1.18 Activos fiduciarios</w:t>
      </w:r>
    </w:p>
    <w:p w14:paraId="77EAF9F8" w14:textId="77777777" w:rsidR="0068711D" w:rsidRPr="006E1AF7" w:rsidRDefault="0068711D" w:rsidP="006E1AF7">
      <w:pPr>
        <w:jc w:val="both"/>
        <w:rPr>
          <w:rFonts w:ascii="Arial" w:hAnsi="Arial" w:cs="Arial"/>
          <w:b/>
          <w:sz w:val="20"/>
        </w:rPr>
      </w:pPr>
    </w:p>
    <w:p w14:paraId="7F2B36E7" w14:textId="77777777" w:rsidR="00F60B2C" w:rsidRPr="00701F32" w:rsidRDefault="00F60B2C" w:rsidP="00F60B2C">
      <w:pPr>
        <w:jc w:val="both"/>
        <w:rPr>
          <w:rFonts w:ascii="Arial" w:hAnsi="Arial" w:cs="Arial"/>
          <w:sz w:val="20"/>
        </w:rPr>
      </w:pPr>
      <w:r w:rsidRPr="00701F32">
        <w:rPr>
          <w:rFonts w:ascii="Arial" w:eastAsiaTheme="minorHAnsi" w:hAnsi="Arial" w:cs="Arial"/>
          <w:sz w:val="20"/>
        </w:rPr>
        <w:t xml:space="preserve">Los activos mantenidos por el Banco en su rol de fiduciario, no se informan en el estado </w:t>
      </w:r>
      <w:r w:rsidRPr="00701F32">
        <w:rPr>
          <w:rFonts w:ascii="Arial" w:eastAsia="Arial" w:hAnsi="Arial" w:cs="Arial"/>
          <w:sz w:val="20"/>
        </w:rPr>
        <w:t>separado</w:t>
      </w:r>
      <w:r w:rsidRPr="00701F32">
        <w:rPr>
          <w:rFonts w:ascii="Arial" w:eastAsiaTheme="minorHAnsi" w:hAnsi="Arial" w:cs="Arial"/>
          <w:sz w:val="20"/>
        </w:rPr>
        <w:t xml:space="preserve"> de situación financiera. Las comisiones recibidas de actividades fiduciarias se muestran en ingresos por comisiones.</w:t>
      </w:r>
    </w:p>
    <w:p w14:paraId="37E63DEB" w14:textId="77777777" w:rsidR="00F60B2C" w:rsidRPr="00701F32" w:rsidRDefault="00F60B2C" w:rsidP="00F60B2C">
      <w:pPr>
        <w:jc w:val="both"/>
        <w:rPr>
          <w:rFonts w:ascii="Arial" w:hAnsi="Arial" w:cs="Arial"/>
          <w:sz w:val="20"/>
        </w:rPr>
      </w:pPr>
    </w:p>
    <w:p w14:paraId="16E23FE8" w14:textId="77777777" w:rsidR="00F60B2C" w:rsidRPr="00701F32" w:rsidRDefault="00F60B2C" w:rsidP="00F60B2C">
      <w:pPr>
        <w:spacing w:after="160" w:line="259" w:lineRule="auto"/>
        <w:jc w:val="both"/>
        <w:rPr>
          <w:rFonts w:ascii="Arial" w:eastAsia="Arial" w:hAnsi="Arial" w:cs="Arial"/>
          <w:color w:val="FF0000"/>
          <w:sz w:val="20"/>
        </w:rPr>
      </w:pPr>
      <w:r w:rsidRPr="00701F32">
        <w:rPr>
          <w:rFonts w:ascii="Arial" w:eastAsia="Arial" w:hAnsi="Arial" w:cs="Arial"/>
          <w:b/>
          <w:sz w:val="20"/>
        </w:rPr>
        <w:t>1.</w:t>
      </w:r>
      <w:r>
        <w:rPr>
          <w:rFonts w:ascii="Arial" w:eastAsia="Arial" w:hAnsi="Arial" w:cs="Arial"/>
          <w:b/>
          <w:sz w:val="20"/>
        </w:rPr>
        <w:t>19</w:t>
      </w:r>
      <w:r w:rsidRPr="00701F32">
        <w:rPr>
          <w:rFonts w:ascii="Arial" w:eastAsia="Arial" w:hAnsi="Arial" w:cs="Arial"/>
          <w:b/>
          <w:sz w:val="20"/>
        </w:rPr>
        <w:t xml:space="preserve"> Compensación  </w:t>
      </w:r>
    </w:p>
    <w:p w14:paraId="00BA7177" w14:textId="77777777" w:rsidR="00F60B2C" w:rsidRPr="00701F32" w:rsidRDefault="00F60B2C" w:rsidP="00F60B2C">
      <w:pPr>
        <w:spacing w:after="160" w:line="259" w:lineRule="auto"/>
        <w:jc w:val="both"/>
        <w:rPr>
          <w:rFonts w:ascii="Arial" w:eastAsia="Arial" w:hAnsi="Arial" w:cs="Arial"/>
          <w:sz w:val="20"/>
        </w:rPr>
      </w:pPr>
      <w:r w:rsidRPr="00701F32">
        <w:rPr>
          <w:rFonts w:ascii="Arial" w:eastAsia="Arial" w:hAnsi="Arial" w:cs="Arial"/>
          <w:sz w:val="20"/>
        </w:rPr>
        <w:t>Los activos y pasivos financieros se compensan informando el importe neto en el estado de situación financiera separado solo cuando existe un derecho exigible legalmente para compensar los importes reconocidos, y existe la intención de liquidar en términos netos o realizar el activo y liquidar la responsabilidad simultáneamente.</w:t>
      </w:r>
    </w:p>
    <w:p w14:paraId="3202EE6A" w14:textId="77777777" w:rsidR="00764FD5" w:rsidRPr="006E1AF7" w:rsidRDefault="00764FD5" w:rsidP="006E1AF7">
      <w:pPr>
        <w:jc w:val="both"/>
        <w:rPr>
          <w:rFonts w:ascii="Arial" w:hAnsi="Arial" w:cs="Arial"/>
          <w:b/>
          <w:sz w:val="20"/>
        </w:rPr>
      </w:pPr>
    </w:p>
    <w:p w14:paraId="033C5E12" w14:textId="492F2DF5" w:rsidR="00F60B2C" w:rsidRPr="006E1AF7" w:rsidRDefault="00F60B2C" w:rsidP="006E1AF7">
      <w:pPr>
        <w:jc w:val="both"/>
        <w:rPr>
          <w:rFonts w:ascii="Arial" w:hAnsi="Arial" w:cs="Arial"/>
          <w:b/>
          <w:sz w:val="20"/>
        </w:rPr>
      </w:pPr>
      <w:r w:rsidRPr="006E1AF7">
        <w:rPr>
          <w:rFonts w:ascii="Arial" w:hAnsi="Arial" w:cs="Arial"/>
          <w:b/>
          <w:sz w:val="20"/>
        </w:rPr>
        <w:t xml:space="preserve">1.20 Financiaciones recibidas del B.C.R.A. y otras Instituciones Financieras </w:t>
      </w:r>
    </w:p>
    <w:p w14:paraId="159382B5" w14:textId="77777777" w:rsidR="0043436C" w:rsidRDefault="0043436C" w:rsidP="00F60B2C">
      <w:pPr>
        <w:spacing w:after="160" w:line="259" w:lineRule="auto"/>
        <w:jc w:val="both"/>
        <w:rPr>
          <w:rFonts w:ascii="Arial" w:eastAsia="Arial" w:hAnsi="Arial" w:cs="Arial"/>
          <w:sz w:val="20"/>
        </w:rPr>
      </w:pPr>
    </w:p>
    <w:p w14:paraId="3DF18A54" w14:textId="52ACB0B9" w:rsidR="00F60B2C" w:rsidRDefault="00F60B2C" w:rsidP="00F60B2C">
      <w:pPr>
        <w:spacing w:after="160" w:line="259" w:lineRule="auto"/>
        <w:jc w:val="both"/>
        <w:rPr>
          <w:rFonts w:ascii="Arial" w:eastAsia="Arial" w:hAnsi="Arial" w:cs="Arial"/>
          <w:sz w:val="20"/>
        </w:rPr>
      </w:pPr>
      <w:r w:rsidRPr="00701F32">
        <w:rPr>
          <w:rFonts w:ascii="Arial" w:eastAsia="Arial" w:hAnsi="Arial" w:cs="Arial"/>
          <w:sz w:val="20"/>
        </w:rPr>
        <w:t>Los montos adeudados a otras entidades financieras son registrados en el momento en que el capital es adelantado al banco por la entidad bancaria</w:t>
      </w:r>
      <w:r w:rsidRPr="00701F32">
        <w:rPr>
          <w:rFonts w:ascii="Arial" w:eastAsia="Arial" w:hAnsi="Arial" w:cs="Arial"/>
          <w:color w:val="FF0000"/>
          <w:sz w:val="20"/>
        </w:rPr>
        <w:t xml:space="preserve">. </w:t>
      </w:r>
      <w:r w:rsidRPr="00701F32">
        <w:rPr>
          <w:rFonts w:ascii="Arial" w:eastAsia="Arial" w:hAnsi="Arial" w:cs="Arial"/>
          <w:sz w:val="20"/>
        </w:rPr>
        <w:t xml:space="preserve">El pasivo financiero no derivado es medido a costo amortizado. En el caso que el </w:t>
      </w:r>
      <w:r w:rsidR="00751A63">
        <w:rPr>
          <w:rFonts w:ascii="Arial" w:eastAsia="Arial" w:hAnsi="Arial" w:cs="Arial"/>
          <w:sz w:val="20"/>
        </w:rPr>
        <w:t>Banco</w:t>
      </w:r>
      <w:r w:rsidRPr="00701F32">
        <w:rPr>
          <w:rFonts w:ascii="Arial" w:eastAsia="Arial" w:hAnsi="Arial" w:cs="Arial"/>
          <w:sz w:val="20"/>
        </w:rPr>
        <w:t xml:space="preserve"> recompre la deuda propia, esta es eliminada de los estados financieros separados y la diferencia entre el valor residual del pasivo financiero y el monto pagado es reconocido como un ingreso o egreso financiero. </w:t>
      </w:r>
    </w:p>
    <w:p w14:paraId="76549A09" w14:textId="77777777" w:rsidR="00F60B2C" w:rsidRPr="00654A5D" w:rsidRDefault="00F60B2C" w:rsidP="006E1AF7">
      <w:pPr>
        <w:spacing w:line="259" w:lineRule="auto"/>
        <w:jc w:val="both"/>
        <w:rPr>
          <w:rFonts w:ascii="Arial" w:eastAsia="Arial" w:hAnsi="Arial" w:cs="Arial"/>
          <w:sz w:val="20"/>
        </w:rPr>
      </w:pPr>
    </w:p>
    <w:p w14:paraId="26A63871" w14:textId="77777777" w:rsidR="00F60B2C" w:rsidRPr="00701F32" w:rsidRDefault="00F60B2C" w:rsidP="00F60B2C">
      <w:pPr>
        <w:spacing w:line="259" w:lineRule="auto"/>
        <w:jc w:val="both"/>
        <w:rPr>
          <w:rFonts w:ascii="Arial" w:eastAsia="Arial" w:hAnsi="Arial" w:cs="Arial"/>
          <w:b/>
          <w:sz w:val="20"/>
        </w:rPr>
      </w:pPr>
      <w:r>
        <w:rPr>
          <w:rFonts w:ascii="Arial" w:eastAsia="Arial" w:hAnsi="Arial" w:cs="Arial"/>
          <w:b/>
          <w:sz w:val="20"/>
        </w:rPr>
        <w:t>1.21</w:t>
      </w:r>
      <w:r w:rsidRPr="00701F32">
        <w:rPr>
          <w:rFonts w:ascii="Arial" w:eastAsia="Arial" w:hAnsi="Arial" w:cs="Arial"/>
          <w:b/>
          <w:sz w:val="20"/>
        </w:rPr>
        <w:t xml:space="preserve"> Provisiones / Contingencias </w:t>
      </w:r>
    </w:p>
    <w:p w14:paraId="51D0138D" w14:textId="77777777" w:rsidR="00F60B2C" w:rsidRPr="00701F32" w:rsidRDefault="00F60B2C" w:rsidP="00F60B2C">
      <w:pPr>
        <w:spacing w:line="259" w:lineRule="auto"/>
        <w:jc w:val="both"/>
        <w:rPr>
          <w:rFonts w:ascii="Arial" w:eastAsia="Arial" w:hAnsi="Arial" w:cs="Arial"/>
          <w:b/>
          <w:sz w:val="20"/>
        </w:rPr>
      </w:pPr>
    </w:p>
    <w:p w14:paraId="368AF385" w14:textId="77777777" w:rsidR="00F60B2C" w:rsidRPr="00701F32" w:rsidRDefault="00F60B2C" w:rsidP="00F60B2C">
      <w:pPr>
        <w:jc w:val="both"/>
        <w:rPr>
          <w:rFonts w:ascii="Arial" w:hAnsi="Arial" w:cs="Arial"/>
          <w:sz w:val="20"/>
        </w:rPr>
      </w:pPr>
      <w:r w:rsidRPr="00701F32">
        <w:rPr>
          <w:rFonts w:ascii="Arial" w:hAnsi="Arial" w:cs="Arial"/>
          <w:sz w:val="20"/>
        </w:rPr>
        <w:t>De acuerdo a las Normas contables adoptadas por el BCRA, una Entidad tendrá una provisión si:</w:t>
      </w:r>
    </w:p>
    <w:p w14:paraId="0BAD135B" w14:textId="77777777" w:rsidR="00F60B2C" w:rsidRPr="00701F32" w:rsidRDefault="00F60B2C" w:rsidP="00F60B2C">
      <w:pPr>
        <w:jc w:val="both"/>
        <w:rPr>
          <w:rFonts w:ascii="Arial" w:hAnsi="Arial" w:cs="Arial"/>
          <w:sz w:val="20"/>
        </w:rPr>
      </w:pPr>
    </w:p>
    <w:p w14:paraId="09CC3BF7" w14:textId="77777777" w:rsidR="00F60B2C" w:rsidRPr="00701F32" w:rsidRDefault="00F60B2C" w:rsidP="00F60B2C">
      <w:pPr>
        <w:numPr>
          <w:ilvl w:val="0"/>
          <w:numId w:val="88"/>
        </w:numPr>
        <w:spacing w:after="160" w:line="259" w:lineRule="auto"/>
        <w:contextualSpacing/>
        <w:jc w:val="both"/>
        <w:rPr>
          <w:rFonts w:ascii="Arial" w:hAnsi="Arial" w:cs="Arial"/>
          <w:sz w:val="20"/>
        </w:rPr>
      </w:pPr>
      <w:r w:rsidRPr="00701F32">
        <w:rPr>
          <w:rFonts w:ascii="Arial" w:hAnsi="Arial" w:cs="Arial"/>
          <w:sz w:val="20"/>
        </w:rPr>
        <w:t>Posee una obligación presente (legal o implícita) como consecuencia de un suceso pasado;</w:t>
      </w:r>
    </w:p>
    <w:p w14:paraId="7B252527" w14:textId="77777777" w:rsidR="00F60B2C" w:rsidRPr="00701F32" w:rsidRDefault="00F60B2C" w:rsidP="00F60B2C">
      <w:pPr>
        <w:numPr>
          <w:ilvl w:val="0"/>
          <w:numId w:val="88"/>
        </w:numPr>
        <w:spacing w:after="160" w:line="259" w:lineRule="auto"/>
        <w:contextualSpacing/>
        <w:jc w:val="both"/>
        <w:rPr>
          <w:rFonts w:ascii="Arial" w:hAnsi="Arial" w:cs="Arial"/>
          <w:sz w:val="20"/>
        </w:rPr>
      </w:pPr>
      <w:r w:rsidRPr="00701F32">
        <w:rPr>
          <w:rFonts w:ascii="Arial" w:hAnsi="Arial" w:cs="Arial"/>
          <w:sz w:val="20"/>
        </w:rPr>
        <w:t xml:space="preserve">Es probable que la Entidad tenga que desprenderse de recursos que incorporen beneficios económicos futuros para cancelar tal obligación; y </w:t>
      </w:r>
    </w:p>
    <w:p w14:paraId="5B0F52BC" w14:textId="77777777" w:rsidR="00F60B2C" w:rsidRPr="00701F32" w:rsidRDefault="00F60B2C" w:rsidP="00F60B2C">
      <w:pPr>
        <w:numPr>
          <w:ilvl w:val="0"/>
          <w:numId w:val="88"/>
        </w:numPr>
        <w:spacing w:after="160" w:line="259" w:lineRule="auto"/>
        <w:contextualSpacing/>
        <w:jc w:val="both"/>
        <w:rPr>
          <w:rFonts w:ascii="Arial" w:hAnsi="Arial" w:cs="Arial"/>
          <w:sz w:val="20"/>
        </w:rPr>
      </w:pPr>
      <w:r w:rsidRPr="00701F32">
        <w:rPr>
          <w:rFonts w:ascii="Arial" w:hAnsi="Arial" w:cs="Arial"/>
          <w:sz w:val="20"/>
        </w:rPr>
        <w:t>Puede hacerse una estimación fiable del importe de la obligación.</w:t>
      </w:r>
    </w:p>
    <w:p w14:paraId="75E5E304" w14:textId="77777777" w:rsidR="00F60B2C" w:rsidRPr="00701F32" w:rsidRDefault="00F60B2C" w:rsidP="00F60B2C">
      <w:pPr>
        <w:ind w:left="720"/>
        <w:contextualSpacing/>
        <w:jc w:val="both"/>
        <w:rPr>
          <w:rFonts w:ascii="Arial" w:hAnsi="Arial" w:cs="Arial"/>
          <w:sz w:val="20"/>
        </w:rPr>
      </w:pPr>
    </w:p>
    <w:p w14:paraId="0F42FFCD" w14:textId="77777777" w:rsidR="00F60B2C" w:rsidRPr="00701F32" w:rsidRDefault="00F60B2C" w:rsidP="00F60B2C">
      <w:pPr>
        <w:spacing w:line="259" w:lineRule="auto"/>
        <w:jc w:val="both"/>
        <w:rPr>
          <w:rFonts w:ascii="Arial" w:hAnsi="Arial" w:cs="Arial"/>
          <w:sz w:val="20"/>
        </w:rPr>
      </w:pPr>
      <w:r w:rsidRPr="00701F32">
        <w:rPr>
          <w:rFonts w:ascii="Arial" w:hAnsi="Arial" w:cs="Arial"/>
          <w:sz w:val="20"/>
        </w:rPr>
        <w:t>Se entenderá que una Entidad tiene una obligación implícita si (a) como consecuencia de prácticas anteriores o políticas públicas el grupo ha asumido ciertas responsabilidades y (b) como resultado, ha creado expectativas de que va a cumplir con esas obligaciones.</w:t>
      </w:r>
    </w:p>
    <w:p w14:paraId="185C0BF4" w14:textId="77777777" w:rsidR="00F60B2C" w:rsidRPr="00701F32" w:rsidRDefault="00F60B2C" w:rsidP="00F60B2C">
      <w:pPr>
        <w:spacing w:line="259" w:lineRule="auto"/>
        <w:jc w:val="both"/>
        <w:rPr>
          <w:rFonts w:ascii="Arial" w:eastAsia="Arial" w:hAnsi="Arial" w:cs="Arial"/>
          <w:sz w:val="20"/>
        </w:rPr>
      </w:pPr>
    </w:p>
    <w:p w14:paraId="1E435720" w14:textId="77777777" w:rsidR="00F60B2C" w:rsidRPr="00701F32" w:rsidRDefault="00F60B2C" w:rsidP="00F60B2C">
      <w:pPr>
        <w:spacing w:line="259" w:lineRule="auto"/>
        <w:jc w:val="both"/>
        <w:rPr>
          <w:rFonts w:ascii="Arial" w:eastAsia="Arial" w:hAnsi="Arial" w:cs="Arial"/>
          <w:sz w:val="20"/>
        </w:rPr>
      </w:pPr>
      <w:r w:rsidRPr="00701F32">
        <w:rPr>
          <w:rFonts w:ascii="Arial" w:eastAsia="Arial" w:hAnsi="Arial" w:cs="Arial"/>
          <w:sz w:val="20"/>
        </w:rPr>
        <w:t>El Banco reconoce las siguientes provisiones:</w:t>
      </w:r>
    </w:p>
    <w:p w14:paraId="1872250B" w14:textId="77777777" w:rsidR="00F60B2C" w:rsidRPr="00701F32" w:rsidRDefault="00F60B2C" w:rsidP="00F60B2C">
      <w:pPr>
        <w:spacing w:line="259" w:lineRule="auto"/>
        <w:jc w:val="both"/>
        <w:rPr>
          <w:rFonts w:ascii="Arial" w:eastAsia="Arial" w:hAnsi="Arial" w:cs="Arial"/>
          <w:sz w:val="20"/>
        </w:rPr>
      </w:pPr>
    </w:p>
    <w:p w14:paraId="6E03D63C" w14:textId="77777777" w:rsidR="00F60B2C" w:rsidRPr="00701F32" w:rsidRDefault="00F60B2C" w:rsidP="00F60B2C">
      <w:pPr>
        <w:spacing w:line="259" w:lineRule="auto"/>
        <w:jc w:val="both"/>
        <w:rPr>
          <w:rFonts w:ascii="Arial" w:eastAsia="Arial" w:hAnsi="Arial" w:cs="Arial"/>
          <w:sz w:val="20"/>
        </w:rPr>
      </w:pPr>
      <w:r w:rsidRPr="00701F32">
        <w:rPr>
          <w:rFonts w:ascii="Arial" w:eastAsia="Arial" w:hAnsi="Arial" w:cs="Arial"/>
          <w:sz w:val="20"/>
        </w:rPr>
        <w:t>Para juicios laborales, civiles y comerciales: se determinan en base a los informes de los abogados acerca del estado de los juicios y la estimación efectuada sobre las posibilidades de quebrantos a afrontar por el banco, así como en la experiencia pasada respecto a este tipo de juicios.</w:t>
      </w:r>
    </w:p>
    <w:p w14:paraId="243EA154" w14:textId="77777777" w:rsidR="00F60B2C" w:rsidRPr="00701F32" w:rsidRDefault="00F60B2C" w:rsidP="00F60B2C">
      <w:pPr>
        <w:spacing w:line="259" w:lineRule="auto"/>
        <w:jc w:val="both"/>
        <w:rPr>
          <w:rFonts w:ascii="Arial" w:eastAsia="Arial" w:hAnsi="Arial" w:cs="Arial"/>
          <w:sz w:val="20"/>
        </w:rPr>
      </w:pPr>
    </w:p>
    <w:p w14:paraId="11BFCBCA" w14:textId="77777777" w:rsidR="00F60B2C" w:rsidRPr="00701F32" w:rsidRDefault="00F60B2C" w:rsidP="00F60B2C">
      <w:pPr>
        <w:spacing w:line="259" w:lineRule="auto"/>
        <w:jc w:val="both"/>
        <w:rPr>
          <w:rFonts w:ascii="Arial" w:eastAsia="Arial" w:hAnsi="Arial" w:cs="Arial"/>
          <w:sz w:val="20"/>
        </w:rPr>
      </w:pPr>
      <w:r w:rsidRPr="00701F32">
        <w:rPr>
          <w:rFonts w:ascii="Arial" w:eastAsia="Arial" w:hAnsi="Arial" w:cs="Arial"/>
          <w:sz w:val="20"/>
        </w:rPr>
        <w:t>Para riesgos diversos: se constituyen para afrontar situaciones contingentes que podrían originar obligaciones para el banco. En la estimación de los montos se considera la probabilidad de su concreción tomando en cuenta la opinión de los asesores legales y profesionales del banco.</w:t>
      </w:r>
    </w:p>
    <w:p w14:paraId="05F9C7AC" w14:textId="77777777" w:rsidR="00F60B2C" w:rsidRPr="00701F32" w:rsidRDefault="00F60B2C" w:rsidP="00F60B2C">
      <w:pPr>
        <w:spacing w:line="259" w:lineRule="auto"/>
        <w:jc w:val="both"/>
        <w:rPr>
          <w:rFonts w:ascii="Arial" w:eastAsia="Arial" w:hAnsi="Arial" w:cs="Arial"/>
          <w:color w:val="0070C0"/>
          <w:sz w:val="20"/>
        </w:rPr>
      </w:pPr>
    </w:p>
    <w:p w14:paraId="5A6DC94E" w14:textId="46048D29" w:rsidR="00F60B2C" w:rsidRPr="00701F32" w:rsidRDefault="00F60B2C" w:rsidP="00F60B2C">
      <w:pPr>
        <w:jc w:val="both"/>
        <w:rPr>
          <w:rFonts w:ascii="Arial" w:hAnsi="Arial" w:cs="Arial"/>
          <w:sz w:val="20"/>
        </w:rPr>
      </w:pPr>
      <w:r w:rsidRPr="00701F32">
        <w:rPr>
          <w:rFonts w:ascii="Arial" w:hAnsi="Arial" w:cs="Arial"/>
          <w:sz w:val="20"/>
        </w:rPr>
        <w:t xml:space="preserve">El Banco no contabilizará las contingencias positivas, exceptuando las derivadas de impuestos diferidos y aquellas cuya concreción sea virtualmente </w:t>
      </w:r>
      <w:r w:rsidR="00743E50">
        <w:rPr>
          <w:rFonts w:ascii="Arial" w:hAnsi="Arial" w:cs="Arial"/>
          <w:sz w:val="20"/>
        </w:rPr>
        <w:t>cierta</w:t>
      </w:r>
      <w:r w:rsidRPr="00701F32">
        <w:rPr>
          <w:rFonts w:ascii="Arial" w:hAnsi="Arial" w:cs="Arial"/>
          <w:sz w:val="20"/>
        </w:rPr>
        <w:t>.</w:t>
      </w:r>
    </w:p>
    <w:p w14:paraId="40D09B8A" w14:textId="77777777" w:rsidR="00F60B2C" w:rsidRPr="00701F32" w:rsidRDefault="00F60B2C" w:rsidP="00F60B2C">
      <w:pPr>
        <w:spacing w:line="259" w:lineRule="auto"/>
        <w:jc w:val="both"/>
        <w:rPr>
          <w:rFonts w:ascii="Arial" w:eastAsia="Arial" w:hAnsi="Arial" w:cs="Arial"/>
          <w:sz w:val="20"/>
        </w:rPr>
      </w:pPr>
    </w:p>
    <w:p w14:paraId="1DEBCDAF" w14:textId="37A84393" w:rsidR="00F60B2C" w:rsidRPr="00701F32" w:rsidRDefault="00F60B2C" w:rsidP="00F60B2C">
      <w:pPr>
        <w:jc w:val="both"/>
        <w:rPr>
          <w:rFonts w:ascii="Arial" w:hAnsi="Arial" w:cs="Arial"/>
          <w:sz w:val="20"/>
        </w:rPr>
      </w:pPr>
      <w:r w:rsidRPr="00701F32">
        <w:rPr>
          <w:rFonts w:ascii="Arial" w:eastAsia="Arial" w:hAnsi="Arial" w:cs="Arial"/>
          <w:sz w:val="20"/>
        </w:rPr>
        <w:t>A la fecha de emisión de los presentes estados financieros separados, la Dirección del Banco entiende que no se han presentado elementos que permitan determinar la existencia de otras contingencias que puedan materializarse y generar un impacto negativo en los presentes estados financieros separados que las detalladas en la Nota 1</w:t>
      </w:r>
      <w:r w:rsidR="0068711D">
        <w:rPr>
          <w:rFonts w:ascii="Arial" w:eastAsia="Arial" w:hAnsi="Arial" w:cs="Arial"/>
          <w:sz w:val="20"/>
        </w:rPr>
        <w:t>1</w:t>
      </w:r>
      <w:r w:rsidRPr="00701F32">
        <w:rPr>
          <w:rFonts w:ascii="Arial" w:eastAsia="Arial" w:hAnsi="Arial" w:cs="Arial"/>
          <w:sz w:val="20"/>
        </w:rPr>
        <w:t>.</w:t>
      </w:r>
    </w:p>
    <w:p w14:paraId="7A3E7029" w14:textId="77777777" w:rsidR="00F60B2C" w:rsidRPr="00701F32" w:rsidRDefault="00F60B2C" w:rsidP="00F60B2C">
      <w:pPr>
        <w:jc w:val="both"/>
        <w:rPr>
          <w:rFonts w:ascii="Arial" w:hAnsi="Arial" w:cs="Arial"/>
          <w:sz w:val="20"/>
        </w:rPr>
      </w:pPr>
    </w:p>
    <w:p w14:paraId="4861E0EF" w14:textId="77777777" w:rsidR="00F60B2C" w:rsidRPr="00701F32" w:rsidRDefault="00F60B2C" w:rsidP="00F60B2C">
      <w:pPr>
        <w:spacing w:after="160" w:line="259" w:lineRule="auto"/>
        <w:jc w:val="both"/>
        <w:rPr>
          <w:rFonts w:ascii="Arial" w:eastAsiaTheme="minorHAnsi" w:hAnsi="Arial" w:cs="Arial"/>
          <w:sz w:val="20"/>
        </w:rPr>
      </w:pPr>
      <w:r w:rsidRPr="00701F32">
        <w:rPr>
          <w:rFonts w:ascii="Arial" w:eastAsiaTheme="minorHAnsi" w:hAnsi="Arial" w:cs="Arial"/>
          <w:b/>
          <w:sz w:val="20"/>
        </w:rPr>
        <w:t>1.2</w:t>
      </w:r>
      <w:r>
        <w:rPr>
          <w:rFonts w:ascii="Arial" w:eastAsiaTheme="minorHAnsi" w:hAnsi="Arial" w:cs="Arial"/>
          <w:b/>
          <w:sz w:val="20"/>
        </w:rPr>
        <w:t>2</w:t>
      </w:r>
      <w:r w:rsidRPr="00701F32">
        <w:rPr>
          <w:rFonts w:ascii="Arial" w:eastAsiaTheme="minorHAnsi" w:hAnsi="Arial" w:cs="Arial"/>
          <w:b/>
          <w:sz w:val="20"/>
        </w:rPr>
        <w:t xml:space="preserve"> Otros pasivos no financieros</w:t>
      </w:r>
    </w:p>
    <w:p w14:paraId="030AE488" w14:textId="4D352489" w:rsidR="00743E50" w:rsidRDefault="00F60B2C" w:rsidP="00F60B2C">
      <w:pPr>
        <w:spacing w:line="259" w:lineRule="auto"/>
        <w:jc w:val="both"/>
        <w:rPr>
          <w:rFonts w:ascii="Arial" w:eastAsia="Arial" w:hAnsi="Arial" w:cs="Arial"/>
          <w:sz w:val="20"/>
        </w:rPr>
      </w:pPr>
      <w:r>
        <w:rPr>
          <w:rFonts w:ascii="Arial" w:eastAsia="Arial" w:hAnsi="Arial" w:cs="Arial"/>
          <w:sz w:val="20"/>
        </w:rPr>
        <w:t>B</w:t>
      </w:r>
      <w:r w:rsidRPr="00701F32">
        <w:rPr>
          <w:rFonts w:ascii="Arial" w:eastAsia="Arial" w:hAnsi="Arial" w:cs="Arial"/>
          <w:sz w:val="20"/>
        </w:rPr>
        <w:t>eneficios al personal: Se constituyen provisiones relacionadas con los planes de prejubilaciones y por los beneficios relacionados con premios a la trayectoria.</w:t>
      </w:r>
      <w:r w:rsidR="001D52FB">
        <w:rPr>
          <w:rFonts w:ascii="Arial" w:eastAsia="Arial" w:hAnsi="Arial" w:cs="Arial"/>
          <w:sz w:val="20"/>
        </w:rPr>
        <w:t xml:space="preserve"> </w:t>
      </w:r>
      <w:r w:rsidR="00743E50" w:rsidRPr="006E1AF7">
        <w:rPr>
          <w:rFonts w:ascii="Arial" w:eastAsia="Arial" w:hAnsi="Arial" w:cs="Arial"/>
          <w:sz w:val="20"/>
        </w:rPr>
        <w:t xml:space="preserve">El pasivo relacionado a estos planes y beneficios no se espera que sea cancelado en los próximos 12 meses. Por lo que son medidos al valor presente de los flujos futuros de fondos que se espera realizar con respecto a los servicios provistos por lo empleados hasta el final del ejercicio utilizando el método de la unidad de crédito. Se toma en cuenta el nivel de sueldos, experiencia y desvinculaciones así como los años de servicio. Los pagos futuros esperados son descontados utilizando tasa de mercado al final del ejercicio correspondiente a bonos soberanos con términos y moneda que coinciden con los flujos esperados. Las remediciones como resultado de experiencia y cambios en las premisas actuariales son reconocidas en resultados. </w:t>
      </w:r>
    </w:p>
    <w:p w14:paraId="681076F1" w14:textId="77777777" w:rsidR="00743E50" w:rsidRPr="006E1AF7" w:rsidRDefault="00743E50" w:rsidP="00F60B2C">
      <w:pPr>
        <w:spacing w:line="259" w:lineRule="auto"/>
        <w:jc w:val="both"/>
        <w:rPr>
          <w:rFonts w:ascii="Arial" w:eastAsia="Arial" w:hAnsi="Arial" w:cs="Arial"/>
          <w:sz w:val="20"/>
        </w:rPr>
      </w:pPr>
    </w:p>
    <w:p w14:paraId="0FB118BB" w14:textId="77777777" w:rsidR="00087EF8" w:rsidRDefault="00F60B2C" w:rsidP="00F60B2C">
      <w:pPr>
        <w:spacing w:after="160" w:line="259" w:lineRule="auto"/>
        <w:jc w:val="both"/>
        <w:rPr>
          <w:rFonts w:ascii="Arial" w:eastAsia="Arial" w:hAnsi="Arial" w:cs="Arial"/>
          <w:sz w:val="20"/>
        </w:rPr>
      </w:pPr>
      <w:r w:rsidRPr="00743E50">
        <w:rPr>
          <w:rFonts w:ascii="Arial" w:eastAsia="Arial" w:hAnsi="Arial" w:cs="Arial"/>
          <w:sz w:val="20"/>
        </w:rPr>
        <w:t xml:space="preserve">Las provisiones </w:t>
      </w:r>
      <w:r w:rsidR="001D52FB">
        <w:rPr>
          <w:rFonts w:ascii="Arial" w:eastAsia="Arial" w:hAnsi="Arial" w:cs="Arial"/>
          <w:sz w:val="20"/>
        </w:rPr>
        <w:t xml:space="preserve">por beneficios de corto plazo </w:t>
      </w:r>
      <w:r w:rsidRPr="00701F32">
        <w:rPr>
          <w:rFonts w:ascii="Arial" w:eastAsia="Arial" w:hAnsi="Arial" w:cs="Arial"/>
          <w:sz w:val="20"/>
        </w:rPr>
        <w:t>se miden al valor presente de los desembolsos que se espera se requerirán para cancelar la obligación utilizando una tasa de interés antes de impuestos que refleje las actuales condiciones del mercado sobre el valor del dinero y los riesgos específicos para dicha obligación. El incremento en la provisión por el paso del tiempo se reconoce en el rubro resultados financieros netos del estado de resultado separado.</w:t>
      </w:r>
      <w:r w:rsidR="00C102C6">
        <w:rPr>
          <w:rFonts w:ascii="Arial" w:eastAsia="Arial" w:hAnsi="Arial" w:cs="Arial"/>
          <w:sz w:val="20"/>
        </w:rPr>
        <w:t xml:space="preserve"> </w:t>
      </w:r>
    </w:p>
    <w:p w14:paraId="758CD703" w14:textId="56477DC7" w:rsidR="00F60B2C" w:rsidRDefault="00C102C6" w:rsidP="00F60B2C">
      <w:pPr>
        <w:spacing w:after="160" w:line="259" w:lineRule="auto"/>
        <w:jc w:val="both"/>
        <w:rPr>
          <w:rFonts w:ascii="Arial" w:eastAsiaTheme="minorHAnsi" w:hAnsi="Arial" w:cs="Arial"/>
          <w:sz w:val="20"/>
        </w:rPr>
      </w:pPr>
      <w:r>
        <w:rPr>
          <w:rFonts w:ascii="Arial" w:eastAsia="Arial" w:hAnsi="Arial" w:cs="Arial"/>
          <w:sz w:val="20"/>
        </w:rPr>
        <w:t>Los beneficios por terminación son exigibles cuando se termina la relación laboral previo a la fecha de jubilación; o cuando el empleado acepta un retiro voluntario a cambio de dicho beneficio. La Entidad reconoce los beneficios por terminación en la fecha en que: (a) la Entidad no puede retirar la oferta realizada al empleado de dichos beneficios; y (b) cuando el Banco reconoce los costos de una restructuración que está dentro del alcance de la NIC 37 e incluye el pago de beneficios por terminación. En el caso de que se realice una oferta para realizar un retiro voluntario, el beneficio por terminación se mide en base al número de empleados que se espera que acepten la oferta. Los beneficios que se espera se ejerzan en un plazo mayor a 12 meses a la fecha de reporte se descuentan a su valor presente.</w:t>
      </w:r>
    </w:p>
    <w:p w14:paraId="372193B0" w14:textId="77777777" w:rsidR="00F60B2C" w:rsidRPr="00701F32" w:rsidRDefault="00F60B2C" w:rsidP="00F60B2C">
      <w:pPr>
        <w:spacing w:after="160" w:line="259" w:lineRule="auto"/>
        <w:jc w:val="both"/>
        <w:rPr>
          <w:rFonts w:ascii="Arial" w:eastAsiaTheme="minorHAnsi" w:hAnsi="Arial" w:cs="Arial"/>
          <w:sz w:val="20"/>
        </w:rPr>
      </w:pPr>
      <w:r w:rsidRPr="00701F32">
        <w:rPr>
          <w:rFonts w:ascii="Arial" w:eastAsiaTheme="minorHAnsi" w:hAnsi="Arial" w:cs="Arial"/>
          <w:sz w:val="20"/>
        </w:rPr>
        <w:t>Las cuentas por pagar no financieras se devengan cuando la contraparte ha cumplido con sus obligaciones comprometidas en el contrato y se valúan a costo amortizado.</w:t>
      </w:r>
    </w:p>
    <w:p w14:paraId="37B1DACD" w14:textId="77777777" w:rsidR="00764FD5" w:rsidRDefault="00764FD5" w:rsidP="00F60B2C">
      <w:pPr>
        <w:spacing w:after="160" w:line="259" w:lineRule="auto"/>
        <w:jc w:val="both"/>
        <w:rPr>
          <w:rFonts w:ascii="Arial" w:eastAsiaTheme="minorHAnsi" w:hAnsi="Arial" w:cs="Arial"/>
          <w:b/>
          <w:sz w:val="20"/>
        </w:rPr>
      </w:pPr>
    </w:p>
    <w:p w14:paraId="1E2B9BAF" w14:textId="35812D41" w:rsidR="00F60B2C" w:rsidRPr="00701F32" w:rsidRDefault="00F60B2C" w:rsidP="00F60B2C">
      <w:pPr>
        <w:spacing w:after="160" w:line="259" w:lineRule="auto"/>
        <w:jc w:val="both"/>
        <w:rPr>
          <w:rFonts w:ascii="Arial" w:eastAsiaTheme="minorHAnsi" w:hAnsi="Arial" w:cs="Arial"/>
          <w:sz w:val="20"/>
        </w:rPr>
      </w:pPr>
      <w:r w:rsidRPr="00701F32">
        <w:rPr>
          <w:rFonts w:ascii="Arial" w:eastAsiaTheme="minorHAnsi" w:hAnsi="Arial" w:cs="Arial"/>
          <w:b/>
          <w:sz w:val="20"/>
        </w:rPr>
        <w:t>1.2</w:t>
      </w:r>
      <w:r>
        <w:rPr>
          <w:rFonts w:ascii="Arial" w:eastAsiaTheme="minorHAnsi" w:hAnsi="Arial" w:cs="Arial"/>
          <w:b/>
          <w:sz w:val="20"/>
        </w:rPr>
        <w:t>3</w:t>
      </w:r>
      <w:r w:rsidRPr="00701F32">
        <w:rPr>
          <w:rFonts w:ascii="Arial" w:eastAsiaTheme="minorHAnsi" w:hAnsi="Arial" w:cs="Arial"/>
          <w:b/>
          <w:sz w:val="20"/>
        </w:rPr>
        <w:t xml:space="preserve"> Obligaciones Negociables emitidas </w:t>
      </w:r>
    </w:p>
    <w:p w14:paraId="0A004CC3" w14:textId="77777777" w:rsidR="00F60B2C" w:rsidRPr="00701F32" w:rsidRDefault="00F60B2C" w:rsidP="00F60B2C">
      <w:pPr>
        <w:spacing w:after="160" w:line="259" w:lineRule="auto"/>
        <w:jc w:val="both"/>
        <w:rPr>
          <w:rFonts w:ascii="Arial" w:eastAsiaTheme="minorHAnsi" w:hAnsi="Arial" w:cs="Arial"/>
          <w:sz w:val="20"/>
        </w:rPr>
      </w:pPr>
      <w:r w:rsidRPr="00701F32">
        <w:rPr>
          <w:rFonts w:ascii="Arial" w:eastAsiaTheme="minorHAnsi" w:hAnsi="Arial" w:cs="Arial"/>
          <w:sz w:val="20"/>
        </w:rPr>
        <w:t>Las obligaciones negociables subordinadas y no subordinadas emitidas por la Entidad son medidas a costo amortizado. En el caso que el Banco compre obligaciones negociables propias, las mismas son eliminadas de los estados financieros separados y la diferencia entre el valor residual del pasivo financiero y el pago de las mismas es incluida en el Estado de Resultados Integral como un ingreso por cancelación anticipada de deuda.</w:t>
      </w:r>
    </w:p>
    <w:p w14:paraId="488D938E" w14:textId="0AC77636" w:rsidR="00F60B2C" w:rsidRPr="00701F32" w:rsidRDefault="00F60B2C" w:rsidP="00F60B2C">
      <w:pPr>
        <w:spacing w:after="160" w:line="259" w:lineRule="auto"/>
        <w:jc w:val="both"/>
        <w:rPr>
          <w:rFonts w:ascii="Arial" w:eastAsia="Calibri" w:hAnsi="Arial" w:cs="Arial"/>
          <w:b/>
          <w:sz w:val="20"/>
        </w:rPr>
      </w:pPr>
      <w:r w:rsidRPr="00701F32">
        <w:rPr>
          <w:rFonts w:ascii="Arial" w:eastAsiaTheme="minorHAnsi" w:hAnsi="Arial" w:cs="Arial"/>
          <w:sz w:val="20"/>
        </w:rPr>
        <w:t xml:space="preserve">Para mayor información sobre las emisiones de deuda de la entidad ver </w:t>
      </w:r>
      <w:r w:rsidRPr="00751A63">
        <w:rPr>
          <w:rFonts w:ascii="Arial" w:eastAsiaTheme="minorHAnsi" w:hAnsi="Arial" w:cs="Arial"/>
          <w:sz w:val="20"/>
        </w:rPr>
        <w:t xml:space="preserve">nota </w:t>
      </w:r>
      <w:r w:rsidRPr="006E1AF7">
        <w:rPr>
          <w:rFonts w:ascii="Arial" w:eastAsiaTheme="minorHAnsi" w:hAnsi="Arial" w:cs="Arial"/>
          <w:sz w:val="20"/>
        </w:rPr>
        <w:t>1</w:t>
      </w:r>
      <w:r w:rsidR="00751A63" w:rsidRPr="006E1AF7">
        <w:rPr>
          <w:rFonts w:ascii="Arial" w:eastAsiaTheme="minorHAnsi" w:hAnsi="Arial" w:cs="Arial"/>
          <w:sz w:val="20"/>
        </w:rPr>
        <w:t>4</w:t>
      </w:r>
      <w:r w:rsidRPr="006E1AF7">
        <w:rPr>
          <w:rFonts w:ascii="Arial" w:eastAsiaTheme="minorHAnsi" w:hAnsi="Arial" w:cs="Arial"/>
          <w:sz w:val="20"/>
        </w:rPr>
        <w:t>.8</w:t>
      </w:r>
      <w:r w:rsidRPr="00751A63">
        <w:rPr>
          <w:rFonts w:ascii="Arial" w:eastAsiaTheme="minorHAnsi" w:hAnsi="Arial" w:cs="Arial"/>
          <w:sz w:val="20"/>
        </w:rPr>
        <w:t xml:space="preserve"> Emisión de Obligaciones Negociables.</w:t>
      </w:r>
    </w:p>
    <w:p w14:paraId="7A6289B2" w14:textId="77777777" w:rsidR="00F60B2C" w:rsidRPr="00701F32" w:rsidRDefault="00F60B2C" w:rsidP="00F60B2C">
      <w:pPr>
        <w:spacing w:after="160" w:line="259" w:lineRule="auto"/>
        <w:jc w:val="both"/>
        <w:rPr>
          <w:rFonts w:ascii="Arial" w:eastAsia="Calibri" w:hAnsi="Arial" w:cs="Arial"/>
          <w:b/>
          <w:color w:val="C45911"/>
          <w:szCs w:val="22"/>
        </w:rPr>
      </w:pPr>
      <w:r w:rsidRPr="00701F32">
        <w:rPr>
          <w:rFonts w:ascii="Arial" w:eastAsia="Calibri" w:hAnsi="Arial" w:cs="Arial"/>
          <w:b/>
          <w:sz w:val="20"/>
        </w:rPr>
        <w:t>1.2</w:t>
      </w:r>
      <w:r>
        <w:rPr>
          <w:rFonts w:ascii="Arial" w:eastAsia="Calibri" w:hAnsi="Arial" w:cs="Arial"/>
          <w:b/>
          <w:sz w:val="20"/>
        </w:rPr>
        <w:t>4</w:t>
      </w:r>
      <w:r w:rsidRPr="00701F32">
        <w:rPr>
          <w:rFonts w:ascii="Arial" w:eastAsia="Calibri" w:hAnsi="Arial" w:cs="Arial"/>
          <w:b/>
          <w:sz w:val="20"/>
        </w:rPr>
        <w:t xml:space="preserve"> Capital social y ajustes de capital </w:t>
      </w:r>
    </w:p>
    <w:p w14:paraId="31496D12" w14:textId="77777777" w:rsidR="00F60B2C" w:rsidRPr="00701F32" w:rsidRDefault="00F60B2C" w:rsidP="00F60B2C">
      <w:pPr>
        <w:spacing w:line="259" w:lineRule="auto"/>
        <w:jc w:val="both"/>
        <w:rPr>
          <w:rFonts w:ascii="Arial" w:eastAsia="Calibri" w:hAnsi="Arial" w:cs="Arial"/>
          <w:sz w:val="20"/>
        </w:rPr>
      </w:pPr>
      <w:r w:rsidRPr="00701F32">
        <w:rPr>
          <w:rFonts w:ascii="Arial" w:eastAsia="Calibri" w:hAnsi="Arial" w:cs="Arial"/>
          <w:sz w:val="20"/>
        </w:rPr>
        <w:t xml:space="preserve">Las cuentas integrantes de este rubro se expresan en moneda que no ha contemplado la variación del índice de precios desde el mes de febrero de 2003, excepto el rubro "Capital Social", el cual se ha mantenido por su valor nominal. </w:t>
      </w:r>
    </w:p>
    <w:p w14:paraId="68EA2BAB" w14:textId="77777777" w:rsidR="00F60B2C" w:rsidRPr="00701F32" w:rsidRDefault="00F60B2C" w:rsidP="00F60B2C">
      <w:pPr>
        <w:spacing w:line="259" w:lineRule="auto"/>
        <w:jc w:val="both"/>
        <w:rPr>
          <w:rFonts w:ascii="Arial" w:eastAsia="Calibri" w:hAnsi="Arial" w:cs="Arial"/>
          <w:sz w:val="20"/>
        </w:rPr>
      </w:pPr>
    </w:p>
    <w:p w14:paraId="7A9A410B" w14:textId="77777777" w:rsidR="00F60B2C" w:rsidRPr="00701F32" w:rsidRDefault="00F60B2C" w:rsidP="00F60B2C">
      <w:pPr>
        <w:spacing w:line="259" w:lineRule="auto"/>
        <w:jc w:val="both"/>
        <w:rPr>
          <w:rFonts w:ascii="Arial" w:eastAsia="Calibri" w:hAnsi="Arial" w:cs="Arial"/>
          <w:color w:val="FF0000"/>
          <w:sz w:val="20"/>
        </w:rPr>
      </w:pPr>
      <w:r w:rsidRPr="00701F32">
        <w:rPr>
          <w:rFonts w:ascii="Arial" w:eastAsia="Calibri" w:hAnsi="Arial" w:cs="Arial"/>
          <w:sz w:val="20"/>
        </w:rPr>
        <w:t xml:space="preserve">Las acciones ordinarias se clasifican en el patrimonio neto y se mantienen registradas a su valor nominal. </w:t>
      </w:r>
    </w:p>
    <w:p w14:paraId="0ABE41DA" w14:textId="77777777" w:rsidR="00F60B2C" w:rsidRPr="00701F32" w:rsidRDefault="00F60B2C" w:rsidP="00F60B2C">
      <w:pPr>
        <w:jc w:val="both"/>
        <w:rPr>
          <w:rFonts w:ascii="Arial" w:hAnsi="Arial" w:cs="Arial"/>
          <w:sz w:val="20"/>
        </w:rPr>
      </w:pPr>
    </w:p>
    <w:p w14:paraId="3FF10F9A" w14:textId="77777777" w:rsidR="00F60B2C" w:rsidRPr="00701F32" w:rsidRDefault="00F60B2C" w:rsidP="00F60B2C">
      <w:pPr>
        <w:spacing w:after="160" w:line="259" w:lineRule="auto"/>
        <w:jc w:val="both"/>
        <w:rPr>
          <w:rFonts w:ascii="Arial" w:eastAsia="Arial" w:hAnsi="Arial" w:cs="Arial"/>
          <w:b/>
          <w:color w:val="BF8800"/>
          <w:sz w:val="20"/>
        </w:rPr>
      </w:pPr>
      <w:r w:rsidRPr="00701F32">
        <w:rPr>
          <w:rFonts w:ascii="Arial" w:eastAsia="Arial" w:hAnsi="Arial" w:cs="Arial"/>
          <w:b/>
          <w:sz w:val="20"/>
        </w:rPr>
        <w:t>1.2</w:t>
      </w:r>
      <w:r>
        <w:rPr>
          <w:rFonts w:ascii="Arial" w:eastAsia="Arial" w:hAnsi="Arial" w:cs="Arial"/>
          <w:b/>
          <w:sz w:val="20"/>
        </w:rPr>
        <w:t>5</w:t>
      </w:r>
      <w:r w:rsidRPr="00701F32">
        <w:rPr>
          <w:rFonts w:ascii="Arial" w:eastAsia="Arial" w:hAnsi="Arial" w:cs="Arial"/>
          <w:b/>
          <w:sz w:val="20"/>
        </w:rPr>
        <w:t xml:space="preserve"> Ganancias reservadas y distribución de dividendos</w:t>
      </w:r>
    </w:p>
    <w:p w14:paraId="1DF064C2" w14:textId="210EB250" w:rsidR="00F60B2C" w:rsidRPr="00701F32" w:rsidRDefault="00F60B2C" w:rsidP="00F60B2C">
      <w:pPr>
        <w:spacing w:line="259" w:lineRule="auto"/>
        <w:jc w:val="both"/>
        <w:rPr>
          <w:rFonts w:ascii="Arial" w:eastAsia="Arial" w:hAnsi="Arial" w:cs="Arial"/>
          <w:b/>
          <w:sz w:val="20"/>
        </w:rPr>
      </w:pPr>
      <w:r w:rsidRPr="00701F32">
        <w:rPr>
          <w:rFonts w:ascii="Arial" w:eastAsia="Arial" w:hAnsi="Arial" w:cs="Arial"/>
          <w:sz w:val="20"/>
        </w:rPr>
        <w:t>Conforme a las regulaciones establecidas por el B.C.R.A., corresponde asignar a reserva legal el 20% de las utilidades del ejercicio netas de los eventuales ajustes de ejercicios anteriores, en caso de corresponder. No obstante ello, para la distribución de utilidades las entidades deberán regirse por lo estipulado por el B.C.R.A. en el texto ordenado sobre distribución de resultados las Entidades Financieras según lo detallado en nota 1</w:t>
      </w:r>
      <w:r w:rsidR="0068711D">
        <w:rPr>
          <w:rFonts w:ascii="Arial" w:eastAsia="Arial" w:hAnsi="Arial" w:cs="Arial"/>
          <w:sz w:val="20"/>
        </w:rPr>
        <w:t>4</w:t>
      </w:r>
      <w:r w:rsidRPr="00701F32">
        <w:rPr>
          <w:rFonts w:ascii="Arial" w:eastAsia="Arial" w:hAnsi="Arial" w:cs="Arial"/>
          <w:sz w:val="20"/>
        </w:rPr>
        <w:t xml:space="preserve">.9 </w:t>
      </w:r>
      <w:r w:rsidRPr="00701F32">
        <w:rPr>
          <w:rFonts w:ascii="Arial" w:hAnsi="Arial" w:cs="Arial"/>
          <w:sz w:val="20"/>
        </w:rPr>
        <w:t>Restricciones para la distribución de utilidades</w:t>
      </w:r>
    </w:p>
    <w:p w14:paraId="2A5629D7" w14:textId="77777777" w:rsidR="00F60B2C" w:rsidRPr="00701F32" w:rsidRDefault="00F60B2C" w:rsidP="00F60B2C">
      <w:pPr>
        <w:spacing w:line="259" w:lineRule="auto"/>
        <w:jc w:val="both"/>
        <w:rPr>
          <w:rFonts w:ascii="Arial" w:eastAsia="Arial" w:hAnsi="Arial" w:cs="Arial"/>
          <w:sz w:val="20"/>
        </w:rPr>
      </w:pPr>
    </w:p>
    <w:p w14:paraId="468FDBE5" w14:textId="77777777" w:rsidR="00F60B2C" w:rsidRPr="00701F32" w:rsidRDefault="00F60B2C" w:rsidP="00F60B2C">
      <w:pPr>
        <w:spacing w:after="160" w:line="259" w:lineRule="auto"/>
        <w:jc w:val="both"/>
        <w:rPr>
          <w:rFonts w:ascii="Arial" w:hAnsi="Arial" w:cs="Arial"/>
          <w:sz w:val="20"/>
        </w:rPr>
      </w:pPr>
      <w:r w:rsidRPr="00701F32">
        <w:rPr>
          <w:rFonts w:ascii="Arial" w:eastAsia="Arial" w:hAnsi="Arial" w:cs="Arial"/>
          <w:bCs/>
          <w:sz w:val="20"/>
        </w:rPr>
        <w:t xml:space="preserve">La distribución de dividendos a los accionistas del Banco y sus subsidiarias se reconoce como pasivo en los estados financieros </w:t>
      </w:r>
      <w:r w:rsidRPr="00701F32">
        <w:rPr>
          <w:rFonts w:ascii="Arial" w:eastAsia="Arial" w:hAnsi="Arial" w:cs="Arial"/>
          <w:sz w:val="20"/>
        </w:rPr>
        <w:t>separados</w:t>
      </w:r>
      <w:r w:rsidRPr="00701F32" w:rsidDel="007D4640">
        <w:rPr>
          <w:rFonts w:ascii="Arial" w:eastAsia="Arial" w:hAnsi="Arial" w:cs="Arial"/>
          <w:bCs/>
          <w:sz w:val="20"/>
        </w:rPr>
        <w:t xml:space="preserve"> </w:t>
      </w:r>
      <w:r w:rsidRPr="00701F32">
        <w:rPr>
          <w:rFonts w:ascii="Arial" w:eastAsia="Arial" w:hAnsi="Arial" w:cs="Arial"/>
          <w:bCs/>
          <w:sz w:val="20"/>
        </w:rPr>
        <w:t>en el ejercicio en el que los dividendos se aprueban por la Asamblea de Accionistas.</w:t>
      </w:r>
    </w:p>
    <w:p w14:paraId="17F3C246" w14:textId="77777777" w:rsidR="00F60B2C" w:rsidRPr="00701F32" w:rsidRDefault="00F60B2C" w:rsidP="00F60B2C">
      <w:pPr>
        <w:spacing w:after="160" w:line="259" w:lineRule="auto"/>
        <w:jc w:val="both"/>
        <w:rPr>
          <w:rFonts w:ascii="Arial" w:eastAsia="Calibri" w:hAnsi="Arial" w:cs="Arial"/>
          <w:b/>
          <w:sz w:val="20"/>
        </w:rPr>
      </w:pPr>
      <w:r w:rsidRPr="00701F32">
        <w:rPr>
          <w:rFonts w:ascii="Arial" w:eastAsia="Calibri" w:hAnsi="Arial" w:cs="Arial"/>
          <w:b/>
          <w:sz w:val="20"/>
        </w:rPr>
        <w:t>1.2</w:t>
      </w:r>
      <w:r>
        <w:rPr>
          <w:rFonts w:ascii="Arial" w:eastAsia="Calibri" w:hAnsi="Arial" w:cs="Arial"/>
          <w:b/>
          <w:sz w:val="20"/>
        </w:rPr>
        <w:t>6</w:t>
      </w:r>
      <w:r w:rsidRPr="00701F32">
        <w:rPr>
          <w:rFonts w:ascii="Arial" w:eastAsia="Calibri" w:hAnsi="Arial" w:cs="Arial"/>
          <w:b/>
          <w:sz w:val="20"/>
        </w:rPr>
        <w:t xml:space="preserve"> Reconocimiento de Ingresos </w:t>
      </w:r>
    </w:p>
    <w:p w14:paraId="7D70C859" w14:textId="77777777" w:rsidR="00F60B2C" w:rsidRPr="00701F32" w:rsidRDefault="00F60B2C" w:rsidP="00F60B2C">
      <w:pPr>
        <w:spacing w:after="160" w:line="259" w:lineRule="auto"/>
        <w:jc w:val="both"/>
        <w:rPr>
          <w:rFonts w:ascii="Arial" w:eastAsia="Calibri" w:hAnsi="Arial" w:cs="Arial"/>
          <w:sz w:val="20"/>
        </w:rPr>
      </w:pPr>
      <w:r w:rsidRPr="00701F32">
        <w:rPr>
          <w:rFonts w:ascii="Arial" w:eastAsia="Calibri" w:hAnsi="Arial" w:cs="Arial"/>
          <w:sz w:val="20"/>
        </w:rPr>
        <w:t xml:space="preserve">Los ingresos y egresos financieros son registrados para todos los </w:t>
      </w:r>
      <w:r>
        <w:rPr>
          <w:rFonts w:ascii="Arial" w:eastAsia="Calibri" w:hAnsi="Arial" w:cs="Arial"/>
          <w:sz w:val="20"/>
        </w:rPr>
        <w:t>activos y pasivos medidos a costo amortizado</w:t>
      </w:r>
      <w:r w:rsidRPr="00701F32">
        <w:rPr>
          <w:rFonts w:ascii="Arial" w:eastAsia="Calibri" w:hAnsi="Arial" w:cs="Arial"/>
          <w:sz w:val="20"/>
        </w:rPr>
        <w:t xml:space="preserve"> de acuerdo al método de la tasa efectiva, por el cual se difieren todos los resultados positivos o negativos que son parte integral de la tasa efectiva de la operación.</w:t>
      </w:r>
    </w:p>
    <w:p w14:paraId="6AC30520" w14:textId="77777777" w:rsidR="00F60B2C" w:rsidRPr="00701F32" w:rsidRDefault="00F60B2C" w:rsidP="00F60B2C">
      <w:pPr>
        <w:spacing w:after="160" w:line="259" w:lineRule="auto"/>
        <w:jc w:val="both"/>
        <w:rPr>
          <w:rFonts w:ascii="Arial" w:eastAsia="Calibri" w:hAnsi="Arial" w:cs="Arial"/>
          <w:sz w:val="20"/>
        </w:rPr>
      </w:pPr>
      <w:r w:rsidRPr="00701F32">
        <w:rPr>
          <w:rFonts w:ascii="Arial" w:eastAsia="Calibri" w:hAnsi="Arial" w:cs="Arial"/>
          <w:sz w:val="20"/>
        </w:rPr>
        <w:t xml:space="preserve">Los resultados que se incluyen dentro de la tasa efectiva incluyen erogaciones o ingresos relacionados con la creación o adquisición de un activo o pasivo financiero, como por ejemplo compensaciones recibidas por el análisis de la condición financiera del cliente, negociación de los términos del instrumento, la preparación y procesamiento de los documentos necesario para concertar la transacción y las compensaciones recibidas por el otorgamiento de acuerdos de crédito que se espera sean utilizados por el cliente. </w:t>
      </w:r>
      <w:r w:rsidRPr="00080CBE">
        <w:rPr>
          <w:rFonts w:ascii="Arial" w:eastAsia="Calibri" w:hAnsi="Arial" w:cs="Arial"/>
          <w:sz w:val="20"/>
        </w:rPr>
        <w:t>El Banco registra todos sus pasivos financieros no derivados a costo amortizado, excepto aquellos incluidos en el rubro “pasivos a valor razonable con cambios en resultados”, los cuales se encuentran medidos a valor razonable.</w:t>
      </w:r>
    </w:p>
    <w:p w14:paraId="56A89422" w14:textId="56F70344" w:rsidR="00F60B2C" w:rsidRPr="00701F32" w:rsidRDefault="00F60B2C" w:rsidP="00F60B2C">
      <w:pPr>
        <w:spacing w:after="160" w:line="259" w:lineRule="auto"/>
        <w:jc w:val="both"/>
        <w:rPr>
          <w:rFonts w:ascii="Arial" w:eastAsia="Calibri" w:hAnsi="Arial" w:cs="Arial"/>
          <w:sz w:val="20"/>
        </w:rPr>
      </w:pPr>
      <w:r w:rsidRPr="00701F32">
        <w:rPr>
          <w:rFonts w:ascii="Arial" w:eastAsia="Calibri" w:hAnsi="Arial" w:cs="Arial"/>
          <w:sz w:val="20"/>
        </w:rPr>
        <w:t xml:space="preserve">Cabe destacar que las comisiones que la Entidad percibe por la originación de préstamos sindicados no </w:t>
      </w:r>
      <w:r w:rsidR="00764FD5" w:rsidRPr="00701F32">
        <w:rPr>
          <w:rFonts w:ascii="Arial" w:eastAsia="Calibri" w:hAnsi="Arial" w:cs="Arial"/>
          <w:sz w:val="20"/>
        </w:rPr>
        <w:t>forman</w:t>
      </w:r>
      <w:r w:rsidRPr="00701F32">
        <w:rPr>
          <w:rFonts w:ascii="Arial" w:eastAsia="Calibri" w:hAnsi="Arial" w:cs="Arial"/>
          <w:sz w:val="20"/>
        </w:rPr>
        <w:t xml:space="preserve"> parte de la tasa efectiva del producto, siendo estas reconocidas en el Estado de Resultados en el momento en que el servicio es prestado, siempre y cuando el grupo no retenga parte del mismo o esta sea mantenida en iguales condiciones que el resto de los participantes. Tampoco forman parte de la tasa efectiva las comisiones percibidas por la Entidad por las negociaciones en las transacciones de un tercero son reconocidas en el momento en que se perfeccionan la</w:t>
      </w:r>
      <w:r>
        <w:rPr>
          <w:rFonts w:ascii="Arial" w:eastAsia="Calibri" w:hAnsi="Arial" w:cs="Arial"/>
          <w:sz w:val="20"/>
        </w:rPr>
        <w:t>s</w:t>
      </w:r>
      <w:r w:rsidRPr="00701F32">
        <w:rPr>
          <w:rFonts w:ascii="Arial" w:eastAsia="Calibri" w:hAnsi="Arial" w:cs="Arial"/>
          <w:sz w:val="20"/>
        </w:rPr>
        <w:t xml:space="preserve"> mismas.</w:t>
      </w:r>
    </w:p>
    <w:p w14:paraId="1C47D1B1" w14:textId="77777777" w:rsidR="00F60B2C" w:rsidRPr="00A62C54" w:rsidRDefault="00F60B2C" w:rsidP="00F60B2C">
      <w:pPr>
        <w:autoSpaceDE w:val="0"/>
        <w:autoSpaceDN w:val="0"/>
        <w:adjustRightInd w:val="0"/>
        <w:rPr>
          <w:rFonts w:ascii="Arial" w:eastAsia="Calibri" w:hAnsi="Arial" w:cs="Arial"/>
          <w:sz w:val="20"/>
        </w:rPr>
      </w:pPr>
      <w:r w:rsidRPr="00A62C54">
        <w:rPr>
          <w:rFonts w:ascii="Arial" w:eastAsia="Calibri" w:hAnsi="Arial" w:cs="Arial"/>
          <w:sz w:val="20"/>
        </w:rPr>
        <w:t>La NIIF 15 establece los principios que una entidad deberá aplicar p</w:t>
      </w:r>
      <w:r w:rsidRPr="00D86043">
        <w:rPr>
          <w:rFonts w:ascii="Arial" w:eastAsia="Calibri" w:hAnsi="Arial" w:cs="Arial"/>
          <w:sz w:val="20"/>
        </w:rPr>
        <w:t>ara contabilizar los ingresos y</w:t>
      </w:r>
      <w:r>
        <w:rPr>
          <w:rFonts w:ascii="Arial" w:eastAsia="Calibri" w:hAnsi="Arial" w:cs="Arial"/>
          <w:sz w:val="20"/>
        </w:rPr>
        <w:t xml:space="preserve"> </w:t>
      </w:r>
      <w:r w:rsidRPr="00A62C54">
        <w:rPr>
          <w:rFonts w:ascii="Arial" w:eastAsia="Calibri" w:hAnsi="Arial" w:cs="Arial"/>
          <w:sz w:val="20"/>
        </w:rPr>
        <w:t>flujos de fondos procedentes de los contratos para la venta de bienes o servicios a sus clientes.</w:t>
      </w:r>
    </w:p>
    <w:p w14:paraId="0A443803" w14:textId="77777777" w:rsidR="00F60B2C" w:rsidRDefault="00F60B2C" w:rsidP="00F60B2C">
      <w:pPr>
        <w:autoSpaceDE w:val="0"/>
        <w:autoSpaceDN w:val="0"/>
        <w:adjustRightInd w:val="0"/>
        <w:rPr>
          <w:rFonts w:ascii="Arial" w:eastAsia="Calibri" w:hAnsi="Arial" w:cs="Arial"/>
          <w:sz w:val="20"/>
        </w:rPr>
      </w:pPr>
    </w:p>
    <w:p w14:paraId="76259438" w14:textId="77777777" w:rsidR="00F60B2C" w:rsidRDefault="00F60B2C" w:rsidP="00F60B2C">
      <w:pPr>
        <w:autoSpaceDE w:val="0"/>
        <w:autoSpaceDN w:val="0"/>
        <w:adjustRightInd w:val="0"/>
        <w:rPr>
          <w:rFonts w:ascii="Arial" w:eastAsia="Calibri" w:hAnsi="Arial" w:cs="Arial"/>
          <w:sz w:val="20"/>
        </w:rPr>
      </w:pPr>
      <w:r w:rsidRPr="00A62C54">
        <w:rPr>
          <w:rFonts w:ascii="Arial" w:eastAsia="Calibri" w:hAnsi="Arial" w:cs="Arial"/>
          <w:sz w:val="20"/>
        </w:rPr>
        <w:t>El importe que se ha de reconocer será aquel que refleje el pago al que se espera tener derecho por</w:t>
      </w:r>
      <w:r>
        <w:rPr>
          <w:rFonts w:ascii="Arial" w:eastAsia="Calibri" w:hAnsi="Arial" w:cs="Arial"/>
          <w:sz w:val="20"/>
        </w:rPr>
        <w:t xml:space="preserve"> </w:t>
      </w:r>
      <w:r w:rsidRPr="00A62C54">
        <w:rPr>
          <w:rFonts w:ascii="Arial" w:eastAsia="Calibri" w:hAnsi="Arial" w:cs="Arial"/>
          <w:sz w:val="20"/>
        </w:rPr>
        <w:t>los servicios prestados.</w:t>
      </w:r>
    </w:p>
    <w:p w14:paraId="1AB40CFA" w14:textId="77777777" w:rsidR="00F60B2C" w:rsidRDefault="00F60B2C" w:rsidP="00F60B2C">
      <w:pPr>
        <w:autoSpaceDE w:val="0"/>
        <w:autoSpaceDN w:val="0"/>
        <w:adjustRightInd w:val="0"/>
        <w:rPr>
          <w:rFonts w:ascii="Arial" w:eastAsia="Calibri" w:hAnsi="Arial" w:cs="Arial"/>
          <w:sz w:val="20"/>
        </w:rPr>
      </w:pPr>
    </w:p>
    <w:p w14:paraId="08628434" w14:textId="77777777" w:rsidR="00F60B2C" w:rsidRPr="00701F32" w:rsidRDefault="00F60B2C" w:rsidP="00F60B2C">
      <w:pPr>
        <w:spacing w:after="160" w:line="259" w:lineRule="auto"/>
        <w:jc w:val="both"/>
        <w:rPr>
          <w:rFonts w:ascii="Arial" w:eastAsia="Calibri" w:hAnsi="Arial" w:cs="Arial"/>
          <w:sz w:val="20"/>
        </w:rPr>
      </w:pPr>
      <w:r w:rsidRPr="00701F32">
        <w:rPr>
          <w:rFonts w:ascii="Arial" w:eastAsia="Calibri" w:hAnsi="Arial" w:cs="Arial"/>
          <w:sz w:val="20"/>
        </w:rPr>
        <w:t xml:space="preserve">Los ingresos por servicios del Banco son reconocidos en el estado de resultados conforme al cumplimiento de las obligaciones de desempeño, difiriendo de esta forma aquellos ingresos relacionados con los programas de fidelización de clientes, los cuales son provisionados en base el valor razonable del punto y su tasa de redención, hasta que los mismos sean canjeados por el cliente y puedan ser reconocidos en los resultados del </w:t>
      </w:r>
      <w:r>
        <w:rPr>
          <w:rFonts w:ascii="Arial" w:eastAsia="Calibri" w:hAnsi="Arial" w:cs="Arial"/>
          <w:sz w:val="20"/>
        </w:rPr>
        <w:t>ejercicio</w:t>
      </w:r>
      <w:r w:rsidRPr="00701F32">
        <w:rPr>
          <w:rFonts w:ascii="Arial" w:eastAsia="Calibri" w:hAnsi="Arial" w:cs="Arial"/>
          <w:sz w:val="20"/>
        </w:rPr>
        <w:t>.</w:t>
      </w:r>
    </w:p>
    <w:p w14:paraId="467666E7" w14:textId="146B940F" w:rsidR="00F60B2C" w:rsidRDefault="00F60B2C" w:rsidP="00F60B2C">
      <w:pPr>
        <w:spacing w:after="160" w:line="259" w:lineRule="auto"/>
        <w:jc w:val="both"/>
        <w:rPr>
          <w:rFonts w:ascii="Arial" w:eastAsia="Calibri" w:hAnsi="Arial" w:cs="Arial"/>
          <w:sz w:val="20"/>
        </w:rPr>
      </w:pPr>
      <w:r w:rsidRPr="00A62C54">
        <w:rPr>
          <w:rFonts w:ascii="Arial" w:eastAsia="Calibri" w:hAnsi="Arial" w:cs="Arial"/>
          <w:sz w:val="20"/>
        </w:rPr>
        <w:t>Se detalla a continuación un resumen de las principales comisiones cobradas por el Banco:</w:t>
      </w:r>
    </w:p>
    <w:p w14:paraId="7E1BCF6C" w14:textId="77777777" w:rsidR="0043436C" w:rsidRDefault="0043436C" w:rsidP="00F60B2C">
      <w:pPr>
        <w:spacing w:after="160" w:line="259" w:lineRule="auto"/>
        <w:jc w:val="both"/>
        <w:rPr>
          <w:rFonts w:ascii="Arial" w:eastAsia="Calibri" w:hAnsi="Arial" w:cs="Arial"/>
          <w:sz w:val="20"/>
        </w:rPr>
      </w:pPr>
    </w:p>
    <w:tbl>
      <w:tblPr>
        <w:tblStyle w:val="Tablaconcuadrcula"/>
        <w:tblW w:w="0" w:type="auto"/>
        <w:jc w:val="center"/>
        <w:tblLook w:val="04A0" w:firstRow="1" w:lastRow="0" w:firstColumn="1" w:lastColumn="0" w:noHBand="0" w:noVBand="1"/>
      </w:tblPr>
      <w:tblGrid>
        <w:gridCol w:w="3652"/>
        <w:gridCol w:w="2835"/>
      </w:tblGrid>
      <w:tr w:rsidR="0043436C" w14:paraId="7D1A7E23" w14:textId="77777777" w:rsidTr="00CC2DDE">
        <w:trPr>
          <w:jc w:val="center"/>
        </w:trPr>
        <w:tc>
          <w:tcPr>
            <w:tcW w:w="3652" w:type="dxa"/>
            <w:vAlign w:val="center"/>
          </w:tcPr>
          <w:p w14:paraId="0E3635C6" w14:textId="77777777" w:rsidR="0043436C" w:rsidRPr="00AC420A" w:rsidRDefault="0043436C" w:rsidP="00CC2DDE">
            <w:pPr>
              <w:spacing w:after="160" w:line="259" w:lineRule="auto"/>
              <w:jc w:val="center"/>
              <w:rPr>
                <w:rFonts w:ascii="Arial" w:eastAsia="Calibri" w:hAnsi="Arial" w:cs="Arial"/>
                <w:b/>
                <w:sz w:val="20"/>
              </w:rPr>
            </w:pPr>
            <w:r w:rsidRPr="00AC420A">
              <w:rPr>
                <w:rFonts w:ascii="Arial" w:eastAsia="Calibri" w:hAnsi="Arial" w:cs="Arial"/>
                <w:b/>
                <w:sz w:val="20"/>
              </w:rPr>
              <w:t>Comisiones</w:t>
            </w:r>
          </w:p>
        </w:tc>
        <w:tc>
          <w:tcPr>
            <w:tcW w:w="2835" w:type="dxa"/>
            <w:vAlign w:val="center"/>
          </w:tcPr>
          <w:p w14:paraId="50B9A5CD" w14:textId="77777777" w:rsidR="0043436C" w:rsidRPr="00AC420A" w:rsidRDefault="0043436C" w:rsidP="00CC2DDE">
            <w:pPr>
              <w:spacing w:after="160" w:line="259" w:lineRule="auto"/>
              <w:jc w:val="center"/>
              <w:rPr>
                <w:rFonts w:ascii="Arial" w:eastAsia="Calibri" w:hAnsi="Arial" w:cs="Arial"/>
                <w:b/>
                <w:sz w:val="20"/>
              </w:rPr>
            </w:pPr>
            <w:r w:rsidRPr="00AC420A">
              <w:rPr>
                <w:rFonts w:ascii="Arial" w:eastAsia="Calibri" w:hAnsi="Arial" w:cs="Arial"/>
                <w:b/>
                <w:sz w:val="20"/>
              </w:rPr>
              <w:t>Frecuencia de cobro</w:t>
            </w:r>
          </w:p>
        </w:tc>
      </w:tr>
      <w:tr w:rsidR="0043436C" w14:paraId="15A98E1F" w14:textId="77777777" w:rsidTr="00CC2DDE">
        <w:trPr>
          <w:jc w:val="center"/>
        </w:trPr>
        <w:tc>
          <w:tcPr>
            <w:tcW w:w="3652" w:type="dxa"/>
            <w:vAlign w:val="center"/>
          </w:tcPr>
          <w:p w14:paraId="7C660EA8" w14:textId="77777777" w:rsidR="0043436C" w:rsidRDefault="0043436C" w:rsidP="00CC2DDE">
            <w:pPr>
              <w:spacing w:after="160" w:line="259" w:lineRule="auto"/>
              <w:jc w:val="both"/>
              <w:rPr>
                <w:rFonts w:ascii="Arial" w:eastAsia="Calibri" w:hAnsi="Arial" w:cs="Arial"/>
                <w:sz w:val="20"/>
              </w:rPr>
            </w:pPr>
            <w:r>
              <w:rPr>
                <w:rFonts w:ascii="Arial" w:eastAsia="Calibri" w:hAnsi="Arial" w:cs="Arial"/>
                <w:sz w:val="20"/>
              </w:rPr>
              <w:t>Mantenimiento de cuenta</w:t>
            </w:r>
          </w:p>
        </w:tc>
        <w:tc>
          <w:tcPr>
            <w:tcW w:w="2835" w:type="dxa"/>
            <w:vAlign w:val="center"/>
          </w:tcPr>
          <w:p w14:paraId="724D2C4E" w14:textId="77777777" w:rsidR="0043436C" w:rsidRDefault="0043436C" w:rsidP="00CC2DDE">
            <w:pPr>
              <w:spacing w:after="160" w:line="259" w:lineRule="auto"/>
              <w:jc w:val="center"/>
              <w:rPr>
                <w:rFonts w:ascii="Arial" w:eastAsia="Calibri" w:hAnsi="Arial" w:cs="Arial"/>
                <w:sz w:val="20"/>
              </w:rPr>
            </w:pPr>
            <w:r>
              <w:rPr>
                <w:rFonts w:ascii="Arial" w:eastAsia="Calibri" w:hAnsi="Arial" w:cs="Arial"/>
                <w:sz w:val="20"/>
              </w:rPr>
              <w:t>Mensual</w:t>
            </w:r>
          </w:p>
        </w:tc>
      </w:tr>
      <w:tr w:rsidR="0043436C" w14:paraId="3246A1DD" w14:textId="77777777" w:rsidTr="00CC2DDE">
        <w:trPr>
          <w:jc w:val="center"/>
        </w:trPr>
        <w:tc>
          <w:tcPr>
            <w:tcW w:w="3652" w:type="dxa"/>
            <w:vAlign w:val="center"/>
          </w:tcPr>
          <w:p w14:paraId="24BDF063" w14:textId="77777777" w:rsidR="0043436C" w:rsidRDefault="0043436C" w:rsidP="00CC2DDE">
            <w:pPr>
              <w:spacing w:after="160" w:line="259" w:lineRule="auto"/>
              <w:jc w:val="both"/>
              <w:rPr>
                <w:rFonts w:ascii="Arial" w:eastAsia="Calibri" w:hAnsi="Arial" w:cs="Arial"/>
                <w:sz w:val="20"/>
              </w:rPr>
            </w:pPr>
            <w:r>
              <w:rPr>
                <w:rFonts w:ascii="Arial" w:eastAsia="Calibri" w:hAnsi="Arial" w:cs="Arial"/>
                <w:sz w:val="20"/>
              </w:rPr>
              <w:t>Alquiler de caja de seguridad</w:t>
            </w:r>
          </w:p>
        </w:tc>
        <w:tc>
          <w:tcPr>
            <w:tcW w:w="2835" w:type="dxa"/>
            <w:vAlign w:val="center"/>
          </w:tcPr>
          <w:p w14:paraId="25BBD77D" w14:textId="77777777" w:rsidR="0043436C" w:rsidRDefault="0043436C" w:rsidP="00CC2DDE">
            <w:pPr>
              <w:spacing w:after="160" w:line="259" w:lineRule="auto"/>
              <w:jc w:val="center"/>
              <w:rPr>
                <w:rFonts w:ascii="Arial" w:eastAsia="Calibri" w:hAnsi="Arial" w:cs="Arial"/>
                <w:sz w:val="20"/>
              </w:rPr>
            </w:pPr>
            <w:r>
              <w:rPr>
                <w:rFonts w:ascii="Arial" w:eastAsia="Calibri" w:hAnsi="Arial" w:cs="Arial"/>
                <w:sz w:val="20"/>
              </w:rPr>
              <w:t>Semestral</w:t>
            </w:r>
          </w:p>
        </w:tc>
      </w:tr>
      <w:tr w:rsidR="0043436C" w14:paraId="56C485EB" w14:textId="77777777" w:rsidTr="00CC2DDE">
        <w:trPr>
          <w:jc w:val="center"/>
        </w:trPr>
        <w:tc>
          <w:tcPr>
            <w:tcW w:w="3652" w:type="dxa"/>
            <w:vAlign w:val="center"/>
          </w:tcPr>
          <w:p w14:paraId="5ABC71C0" w14:textId="77777777" w:rsidR="0043436C" w:rsidRDefault="0043436C" w:rsidP="00CC2DDE">
            <w:pPr>
              <w:spacing w:after="160" w:line="259" w:lineRule="auto"/>
              <w:jc w:val="both"/>
              <w:rPr>
                <w:rFonts w:ascii="Arial" w:eastAsia="Calibri" w:hAnsi="Arial" w:cs="Arial"/>
                <w:sz w:val="20"/>
              </w:rPr>
            </w:pPr>
            <w:r>
              <w:rPr>
                <w:rFonts w:ascii="Arial" w:eastAsia="Calibri" w:hAnsi="Arial" w:cs="Arial"/>
                <w:sz w:val="20"/>
              </w:rPr>
              <w:t>Banco Emisor</w:t>
            </w:r>
          </w:p>
        </w:tc>
        <w:tc>
          <w:tcPr>
            <w:tcW w:w="2835" w:type="dxa"/>
            <w:vAlign w:val="center"/>
          </w:tcPr>
          <w:p w14:paraId="0A64C41F" w14:textId="77777777" w:rsidR="0043436C" w:rsidRDefault="0043436C" w:rsidP="00CC2DDE">
            <w:pPr>
              <w:spacing w:after="160" w:line="259" w:lineRule="auto"/>
              <w:jc w:val="center"/>
              <w:rPr>
                <w:rFonts w:ascii="Arial" w:eastAsia="Calibri" w:hAnsi="Arial" w:cs="Arial"/>
                <w:sz w:val="20"/>
              </w:rPr>
            </w:pPr>
            <w:r>
              <w:rPr>
                <w:rFonts w:ascii="Arial" w:eastAsia="Calibri" w:hAnsi="Arial" w:cs="Arial"/>
                <w:sz w:val="20"/>
              </w:rPr>
              <w:t>Por evento</w:t>
            </w:r>
          </w:p>
        </w:tc>
      </w:tr>
      <w:tr w:rsidR="0043436C" w14:paraId="459E20D7" w14:textId="77777777" w:rsidTr="00CC2DDE">
        <w:trPr>
          <w:jc w:val="center"/>
        </w:trPr>
        <w:tc>
          <w:tcPr>
            <w:tcW w:w="3652" w:type="dxa"/>
            <w:vAlign w:val="center"/>
          </w:tcPr>
          <w:p w14:paraId="4C526C1A" w14:textId="77777777" w:rsidR="0043436C" w:rsidRDefault="0043436C" w:rsidP="00CC2DDE">
            <w:pPr>
              <w:spacing w:after="160" w:line="259" w:lineRule="auto"/>
              <w:jc w:val="both"/>
              <w:rPr>
                <w:rFonts w:ascii="Arial" w:eastAsia="Calibri" w:hAnsi="Arial" w:cs="Arial"/>
                <w:sz w:val="20"/>
              </w:rPr>
            </w:pPr>
            <w:r>
              <w:rPr>
                <w:rFonts w:ascii="Arial" w:eastAsia="Calibri" w:hAnsi="Arial" w:cs="Arial"/>
                <w:sz w:val="20"/>
              </w:rPr>
              <w:t>Renovación de tarjetas de crédito</w:t>
            </w:r>
          </w:p>
        </w:tc>
        <w:tc>
          <w:tcPr>
            <w:tcW w:w="2835" w:type="dxa"/>
            <w:vAlign w:val="center"/>
          </w:tcPr>
          <w:p w14:paraId="1109F239" w14:textId="77777777" w:rsidR="0043436C" w:rsidRDefault="0043436C" w:rsidP="00CC2DDE">
            <w:pPr>
              <w:spacing w:after="160" w:line="259" w:lineRule="auto"/>
              <w:jc w:val="center"/>
              <w:rPr>
                <w:rFonts w:ascii="Arial" w:eastAsia="Calibri" w:hAnsi="Arial" w:cs="Arial"/>
                <w:sz w:val="20"/>
              </w:rPr>
            </w:pPr>
            <w:r>
              <w:rPr>
                <w:rFonts w:ascii="Arial" w:eastAsia="Calibri" w:hAnsi="Arial" w:cs="Arial"/>
                <w:sz w:val="20"/>
              </w:rPr>
              <w:t>Anual</w:t>
            </w:r>
          </w:p>
        </w:tc>
      </w:tr>
      <w:tr w:rsidR="0043436C" w14:paraId="512F08A5" w14:textId="77777777" w:rsidTr="00CC2DDE">
        <w:trPr>
          <w:jc w:val="center"/>
        </w:trPr>
        <w:tc>
          <w:tcPr>
            <w:tcW w:w="3652" w:type="dxa"/>
            <w:vAlign w:val="center"/>
          </w:tcPr>
          <w:p w14:paraId="5E5EB16B" w14:textId="77777777" w:rsidR="0043436C" w:rsidRDefault="0043436C" w:rsidP="00CC2DDE">
            <w:pPr>
              <w:spacing w:after="160" w:line="259" w:lineRule="auto"/>
              <w:jc w:val="both"/>
              <w:rPr>
                <w:rFonts w:ascii="Arial" w:eastAsia="Calibri" w:hAnsi="Arial" w:cs="Arial"/>
                <w:sz w:val="20"/>
              </w:rPr>
            </w:pPr>
            <w:r>
              <w:rPr>
                <w:rFonts w:ascii="Arial" w:eastAsia="Calibri" w:hAnsi="Arial" w:cs="Arial"/>
                <w:sz w:val="20"/>
              </w:rPr>
              <w:t>Administración de cheques</w:t>
            </w:r>
          </w:p>
        </w:tc>
        <w:tc>
          <w:tcPr>
            <w:tcW w:w="2835" w:type="dxa"/>
            <w:vAlign w:val="center"/>
          </w:tcPr>
          <w:p w14:paraId="71C9437D" w14:textId="77777777" w:rsidR="0043436C" w:rsidRDefault="0043436C" w:rsidP="00CC2DDE">
            <w:pPr>
              <w:spacing w:after="160" w:line="259" w:lineRule="auto"/>
              <w:jc w:val="center"/>
              <w:rPr>
                <w:rFonts w:ascii="Arial" w:eastAsia="Calibri" w:hAnsi="Arial" w:cs="Arial"/>
                <w:sz w:val="20"/>
              </w:rPr>
            </w:pPr>
            <w:r>
              <w:rPr>
                <w:rFonts w:ascii="Arial" w:eastAsia="Calibri" w:hAnsi="Arial" w:cs="Arial"/>
                <w:sz w:val="20"/>
              </w:rPr>
              <w:t>Por evento</w:t>
            </w:r>
          </w:p>
        </w:tc>
      </w:tr>
    </w:tbl>
    <w:p w14:paraId="104AA4AD" w14:textId="77777777" w:rsidR="0043436C" w:rsidRDefault="0043436C" w:rsidP="006E1AF7">
      <w:pPr>
        <w:pStyle w:val="Prrafodelista"/>
        <w:spacing w:after="160" w:line="259" w:lineRule="auto"/>
        <w:jc w:val="both"/>
        <w:rPr>
          <w:rFonts w:ascii="Arial" w:eastAsia="Calibri" w:hAnsi="Arial" w:cs="Arial"/>
          <w:sz w:val="20"/>
        </w:rPr>
      </w:pPr>
    </w:p>
    <w:p w14:paraId="0DC57B8A" w14:textId="6655ACA8" w:rsidR="00F60B2C" w:rsidRDefault="00F60B2C" w:rsidP="00F60B2C">
      <w:pPr>
        <w:spacing w:after="160" w:line="259" w:lineRule="auto"/>
        <w:jc w:val="both"/>
        <w:rPr>
          <w:rFonts w:ascii="Arial" w:eastAsia="Calibri" w:hAnsi="Arial" w:cs="Arial"/>
          <w:sz w:val="20"/>
        </w:rPr>
      </w:pPr>
      <w:r w:rsidRPr="00701F32">
        <w:rPr>
          <w:rFonts w:ascii="Arial" w:eastAsia="Calibri" w:hAnsi="Arial" w:cs="Arial"/>
          <w:sz w:val="20"/>
        </w:rPr>
        <w:t xml:space="preserve">Los ingresos por los alquileres de propiedades de inversión se reconocen en el estado de resultado </w:t>
      </w:r>
      <w:r w:rsidRPr="00701F32">
        <w:rPr>
          <w:rFonts w:ascii="Arial" w:eastAsia="Arial" w:hAnsi="Arial" w:cs="Arial"/>
          <w:sz w:val="20"/>
        </w:rPr>
        <w:t>separado</w:t>
      </w:r>
      <w:r w:rsidRPr="00701F32">
        <w:rPr>
          <w:rFonts w:ascii="Arial" w:eastAsia="Calibri" w:hAnsi="Arial" w:cs="Arial"/>
          <w:sz w:val="20"/>
        </w:rPr>
        <w:t xml:space="preserve"> sobre la base del método de línea recta en el plazo del arrendamiento</w:t>
      </w:r>
      <w:r w:rsidR="00C102C6">
        <w:rPr>
          <w:rFonts w:ascii="Arial" w:eastAsia="Calibri" w:hAnsi="Arial" w:cs="Arial"/>
          <w:sz w:val="20"/>
        </w:rPr>
        <w:t>, de acuerdo a lo establecido en nota 1.12</w:t>
      </w:r>
      <w:r w:rsidRPr="00701F32">
        <w:rPr>
          <w:rFonts w:ascii="Arial" w:eastAsia="Calibri" w:hAnsi="Arial" w:cs="Arial"/>
          <w:sz w:val="20"/>
        </w:rPr>
        <w:t>.</w:t>
      </w:r>
    </w:p>
    <w:p w14:paraId="6C210BA9" w14:textId="77777777" w:rsidR="00F60B2C" w:rsidRDefault="00F60B2C" w:rsidP="00F60B2C">
      <w:pPr>
        <w:spacing w:after="160" w:line="259" w:lineRule="auto"/>
        <w:jc w:val="both"/>
        <w:rPr>
          <w:rFonts w:ascii="Arial" w:eastAsia="Calibri" w:hAnsi="Arial" w:cs="Arial"/>
          <w:sz w:val="20"/>
        </w:rPr>
      </w:pPr>
    </w:p>
    <w:p w14:paraId="4AC94AE1" w14:textId="77777777" w:rsidR="00F60B2C" w:rsidRPr="00701F32" w:rsidRDefault="00F60B2C" w:rsidP="00F60B2C">
      <w:pPr>
        <w:spacing w:after="200"/>
        <w:jc w:val="both"/>
        <w:rPr>
          <w:rFonts w:ascii="Arial" w:eastAsiaTheme="minorHAnsi" w:hAnsi="Arial" w:cs="Arial"/>
          <w:b/>
          <w:color w:val="FF0000"/>
          <w:sz w:val="20"/>
        </w:rPr>
      </w:pPr>
      <w:r w:rsidRPr="00701F32">
        <w:rPr>
          <w:rFonts w:ascii="Arial" w:eastAsiaTheme="minorHAnsi" w:hAnsi="Arial" w:cs="Arial"/>
          <w:b/>
          <w:sz w:val="20"/>
        </w:rPr>
        <w:t>1.2</w:t>
      </w:r>
      <w:r>
        <w:rPr>
          <w:rFonts w:ascii="Arial" w:eastAsiaTheme="minorHAnsi" w:hAnsi="Arial" w:cs="Arial"/>
          <w:b/>
          <w:sz w:val="20"/>
        </w:rPr>
        <w:t>7</w:t>
      </w:r>
      <w:r w:rsidRPr="00701F32">
        <w:rPr>
          <w:rFonts w:ascii="Arial" w:eastAsiaTheme="minorHAnsi" w:hAnsi="Arial" w:cs="Arial"/>
          <w:b/>
          <w:sz w:val="20"/>
        </w:rPr>
        <w:t xml:space="preserve"> Impuesto a las ganancias</w:t>
      </w:r>
      <w:r>
        <w:rPr>
          <w:rFonts w:ascii="Arial" w:eastAsiaTheme="minorHAnsi" w:hAnsi="Arial" w:cs="Arial"/>
          <w:b/>
          <w:sz w:val="20"/>
        </w:rPr>
        <w:t xml:space="preserve"> y ganancia mínima presunta</w:t>
      </w:r>
    </w:p>
    <w:p w14:paraId="274A7694" w14:textId="77777777" w:rsidR="00F60B2C" w:rsidRPr="00701F32" w:rsidRDefault="00F60B2C" w:rsidP="00F60B2C">
      <w:pPr>
        <w:spacing w:after="200"/>
        <w:jc w:val="both"/>
        <w:rPr>
          <w:rFonts w:ascii="Arial" w:eastAsiaTheme="minorHAnsi" w:hAnsi="Arial" w:cs="Arial"/>
          <w:b/>
          <w:sz w:val="20"/>
        </w:rPr>
      </w:pPr>
      <w:r w:rsidRPr="00701F32">
        <w:rPr>
          <w:rFonts w:ascii="Arial" w:eastAsiaTheme="minorHAnsi" w:hAnsi="Arial" w:cs="Arial"/>
          <w:b/>
          <w:sz w:val="20"/>
        </w:rPr>
        <w:t>Impuesto a las ganancias</w:t>
      </w:r>
    </w:p>
    <w:p w14:paraId="6EB3C143" w14:textId="77777777" w:rsidR="00F60B2C" w:rsidRPr="00701F32" w:rsidRDefault="00F60B2C" w:rsidP="00F60B2C">
      <w:pPr>
        <w:spacing w:after="200"/>
        <w:jc w:val="both"/>
        <w:rPr>
          <w:rFonts w:ascii="Arial" w:eastAsiaTheme="minorHAnsi" w:hAnsi="Arial" w:cs="Arial"/>
          <w:sz w:val="20"/>
        </w:rPr>
      </w:pPr>
      <w:r w:rsidRPr="00701F32">
        <w:rPr>
          <w:rFonts w:ascii="Arial" w:eastAsiaTheme="minorHAnsi" w:hAnsi="Arial" w:cs="Arial"/>
          <w:sz w:val="20"/>
        </w:rPr>
        <w:t>El cargo po</w:t>
      </w:r>
      <w:r>
        <w:rPr>
          <w:rFonts w:ascii="Arial" w:eastAsiaTheme="minorHAnsi" w:hAnsi="Arial" w:cs="Arial"/>
          <w:sz w:val="20"/>
        </w:rPr>
        <w:t>r impuesto a las ganancias del ejercicio</w:t>
      </w:r>
      <w:r w:rsidRPr="00701F32">
        <w:rPr>
          <w:rFonts w:ascii="Arial" w:eastAsiaTheme="minorHAnsi" w:hAnsi="Arial" w:cs="Arial"/>
          <w:sz w:val="20"/>
        </w:rPr>
        <w:t xml:space="preserve"> comprende al impuesto corriente y al diferido. El impuesto se reconoce en el estado de resultado</w:t>
      </w:r>
      <w:r>
        <w:rPr>
          <w:rFonts w:ascii="Arial" w:eastAsiaTheme="minorHAnsi" w:hAnsi="Arial" w:cs="Arial"/>
          <w:sz w:val="20"/>
        </w:rPr>
        <w:t>s</w:t>
      </w:r>
      <w:r w:rsidRPr="00701F32">
        <w:rPr>
          <w:rFonts w:ascii="Arial" w:eastAsiaTheme="minorHAnsi" w:hAnsi="Arial" w:cs="Arial"/>
          <w:sz w:val="20"/>
        </w:rPr>
        <w:t xml:space="preserve"> </w:t>
      </w:r>
      <w:r w:rsidRPr="00701F32">
        <w:rPr>
          <w:rFonts w:ascii="Arial" w:eastAsia="Arial" w:hAnsi="Arial" w:cs="Arial"/>
          <w:sz w:val="20"/>
        </w:rPr>
        <w:t>separado</w:t>
      </w:r>
      <w:r w:rsidRPr="00701F32">
        <w:rPr>
          <w:rFonts w:ascii="Arial" w:eastAsiaTheme="minorHAnsi" w:hAnsi="Arial" w:cs="Arial"/>
          <w:sz w:val="20"/>
        </w:rPr>
        <w:t>, excepto cuando se trata de partidas que deban ser reconocidas directamente en otros resultados integrales. En este caso, el impuesto a las ganancias relacionado de tales partidas también se reconoce en dicho estado.</w:t>
      </w:r>
    </w:p>
    <w:p w14:paraId="010A1BB5" w14:textId="77777777" w:rsidR="00F60B2C" w:rsidRPr="00701F32" w:rsidRDefault="00F60B2C" w:rsidP="00F60B2C">
      <w:pPr>
        <w:spacing w:after="200"/>
        <w:jc w:val="both"/>
        <w:rPr>
          <w:rFonts w:ascii="Arial" w:eastAsiaTheme="minorHAnsi" w:hAnsi="Arial" w:cs="Arial"/>
          <w:sz w:val="20"/>
        </w:rPr>
      </w:pPr>
      <w:r w:rsidRPr="00701F32">
        <w:rPr>
          <w:rFonts w:ascii="Arial" w:eastAsiaTheme="minorHAnsi" w:hAnsi="Arial" w:cs="Arial"/>
          <w:sz w:val="20"/>
        </w:rPr>
        <w:t>El cargo por impuesto a las ganancias corriente se calcula sobre la base de las leyes impositivas promulgadas o sustancialmente promulgadas a la fecha del estado de situación financiera. La Entidad evalúa periódicamente la posición asumida en las declaraciones juradas de impuestos respecto de situaciones en las que las leyes tributarias son objeto de interpretación. Por su parte, cuando corresponde, constituye provisiones sobre los montos que espera deberá pagar a las autoridades tributarias.</w:t>
      </w:r>
    </w:p>
    <w:p w14:paraId="7BD5A5AC" w14:textId="77777777" w:rsidR="00F60B2C" w:rsidRPr="00701F32" w:rsidRDefault="00F60B2C" w:rsidP="00F60B2C">
      <w:pPr>
        <w:spacing w:after="200"/>
        <w:jc w:val="both"/>
        <w:rPr>
          <w:rFonts w:ascii="Arial" w:eastAsiaTheme="minorHAnsi" w:hAnsi="Arial" w:cs="Arial"/>
          <w:sz w:val="20"/>
        </w:rPr>
      </w:pPr>
      <w:r w:rsidRPr="00701F32">
        <w:rPr>
          <w:rFonts w:ascii="Arial" w:eastAsiaTheme="minorHAnsi" w:hAnsi="Arial" w:cs="Arial"/>
          <w:sz w:val="20"/>
        </w:rPr>
        <w:t>El impuesto a las ganancias diferido se determina en su totalidad, por el método del pasivo, sobre las diferencias temporales que surgen entre las bases tributarias de activos y pasivos y sus respectivos valores contables. Sin embargo, el impuesto diferido que surge por el reconocimiento inicial de un activo o de un pasivo en una transacción que no corresponda a una combinación de negocios, que al momento de la transacción no afecta ni la utilidad ni la pérdida contable o gravable, no se registra. El impuesto diferido se determina usando tasas tributarias (y legislación) que han sido promulgadas a la fecha del balance general y que se espera serán aplicables cuando el activo por impuesto diferido se realice o el pasivo por impuesto diferido se pague.</w:t>
      </w:r>
    </w:p>
    <w:p w14:paraId="4E41BD28" w14:textId="77777777" w:rsidR="00F60B2C" w:rsidRDefault="00F60B2C" w:rsidP="00F60B2C">
      <w:pPr>
        <w:spacing w:after="200"/>
        <w:jc w:val="both"/>
        <w:rPr>
          <w:rFonts w:ascii="Arial" w:eastAsiaTheme="minorHAnsi" w:hAnsi="Arial" w:cs="Arial"/>
          <w:sz w:val="20"/>
        </w:rPr>
      </w:pPr>
      <w:r w:rsidRPr="00701F32">
        <w:rPr>
          <w:rFonts w:ascii="Arial" w:eastAsiaTheme="minorHAnsi" w:hAnsi="Arial" w:cs="Arial"/>
          <w:sz w:val="20"/>
        </w:rPr>
        <w:t>Los activos por impuestos diferidos sólo se reconocen en la medida que sea probable que se produzcan beneficios impositivos futuros contra los que se puedan usar las diferencias temporarias.</w:t>
      </w:r>
    </w:p>
    <w:p w14:paraId="4B028EB5" w14:textId="77777777" w:rsidR="00F60B2C" w:rsidRPr="00EA530F" w:rsidRDefault="00F60B2C" w:rsidP="00F60B2C">
      <w:pPr>
        <w:tabs>
          <w:tab w:val="center" w:pos="5201"/>
        </w:tabs>
        <w:jc w:val="both"/>
        <w:rPr>
          <w:rFonts w:ascii="Arial" w:hAnsi="Arial" w:cs="Arial"/>
          <w:sz w:val="20"/>
        </w:rPr>
      </w:pPr>
      <w:r w:rsidRPr="00EA530F">
        <w:rPr>
          <w:rFonts w:ascii="Arial" w:hAnsi="Arial" w:cs="Arial"/>
          <w:sz w:val="20"/>
        </w:rPr>
        <w:t>El Banco reconoce un pasivo por impuesto diferido en el caso de diferencias temporales imponibles relacionadas con las inversiones en subsidiarias y en afiliadas, excepto que se den las dos condiciones siguientes:</w:t>
      </w:r>
    </w:p>
    <w:p w14:paraId="3C29942A" w14:textId="77777777" w:rsidR="00F60B2C" w:rsidRPr="00EA530F" w:rsidRDefault="00F60B2C" w:rsidP="00F60B2C">
      <w:pPr>
        <w:numPr>
          <w:ilvl w:val="0"/>
          <w:numId w:val="90"/>
        </w:numPr>
        <w:tabs>
          <w:tab w:val="center" w:pos="5201"/>
        </w:tabs>
        <w:spacing w:after="160" w:line="259" w:lineRule="auto"/>
        <w:jc w:val="both"/>
        <w:rPr>
          <w:rFonts w:ascii="Arial" w:hAnsi="Arial" w:cs="Arial"/>
          <w:sz w:val="20"/>
        </w:rPr>
      </w:pPr>
      <w:r w:rsidRPr="00EA530F">
        <w:rPr>
          <w:rFonts w:ascii="Arial" w:hAnsi="Arial" w:cs="Arial"/>
          <w:sz w:val="20"/>
        </w:rPr>
        <w:t>el Banco controla la oportunidad en que se revertirán las diferencias temporales;</w:t>
      </w:r>
    </w:p>
    <w:p w14:paraId="2225E401" w14:textId="77777777" w:rsidR="00F60B2C" w:rsidRPr="00E446C3" w:rsidRDefault="00F60B2C" w:rsidP="00F60B2C">
      <w:pPr>
        <w:numPr>
          <w:ilvl w:val="0"/>
          <w:numId w:val="90"/>
        </w:numPr>
        <w:tabs>
          <w:tab w:val="center" w:pos="5201"/>
        </w:tabs>
        <w:spacing w:after="160" w:line="259" w:lineRule="auto"/>
        <w:jc w:val="both"/>
        <w:rPr>
          <w:rFonts w:ascii="Arial" w:hAnsi="Arial" w:cs="Arial"/>
          <w:sz w:val="20"/>
        </w:rPr>
      </w:pPr>
      <w:r w:rsidRPr="00EA530F">
        <w:rPr>
          <w:rFonts w:ascii="Arial" w:hAnsi="Arial" w:cs="Arial"/>
          <w:sz w:val="20"/>
        </w:rPr>
        <w:t>es probable que dicha diferencia temporal no se revierta en un momento previsible en el futuro.</w:t>
      </w:r>
    </w:p>
    <w:p w14:paraId="22A8BE8D" w14:textId="77777777" w:rsidR="00F60B2C" w:rsidRDefault="00F60B2C" w:rsidP="00F60B2C">
      <w:pPr>
        <w:spacing w:after="200"/>
        <w:jc w:val="both"/>
        <w:rPr>
          <w:rFonts w:ascii="Arial" w:eastAsiaTheme="minorHAnsi" w:hAnsi="Arial" w:cs="Arial"/>
          <w:sz w:val="20"/>
        </w:rPr>
      </w:pPr>
      <w:r w:rsidRPr="00701F32">
        <w:rPr>
          <w:rFonts w:ascii="Arial" w:eastAsiaTheme="minorHAnsi" w:hAnsi="Arial" w:cs="Arial"/>
          <w:sz w:val="20"/>
        </w:rPr>
        <w:t>Los saldos de impuestos a las ganancias diferidos de activos y pasivos se compensan cuando existe el derecho legal a compensar impuestos activos corrientes con impuestos pasivos corrientes y cuando se relacionen con la misma autoridad fiscal del Banco o de las distintas subsidiarias en donde exista intención y posibilidad de liquidar los saldos impositivos sobre bases netas.</w:t>
      </w:r>
    </w:p>
    <w:p w14:paraId="3EA2E5F0" w14:textId="77777777" w:rsidR="00F60B2C" w:rsidRDefault="00F60B2C" w:rsidP="00F60B2C">
      <w:pPr>
        <w:tabs>
          <w:tab w:val="center" w:pos="5201"/>
        </w:tabs>
        <w:jc w:val="both"/>
        <w:rPr>
          <w:rFonts w:ascii="Arial" w:hAnsi="Arial" w:cs="Arial"/>
          <w:b/>
          <w:sz w:val="20"/>
        </w:rPr>
      </w:pPr>
      <w:r w:rsidRPr="00EA530F">
        <w:rPr>
          <w:rFonts w:ascii="Arial" w:hAnsi="Arial" w:cs="Arial"/>
          <w:b/>
          <w:sz w:val="20"/>
        </w:rPr>
        <w:t>Impuesto a la ganancia mínima presunta</w:t>
      </w:r>
    </w:p>
    <w:p w14:paraId="0A5C034E" w14:textId="77777777" w:rsidR="00F60B2C" w:rsidRPr="00EA530F" w:rsidRDefault="00F60B2C" w:rsidP="00F60B2C">
      <w:pPr>
        <w:tabs>
          <w:tab w:val="center" w:pos="5201"/>
        </w:tabs>
        <w:jc w:val="both"/>
        <w:rPr>
          <w:rFonts w:ascii="Arial" w:hAnsi="Arial" w:cs="Arial"/>
          <w:b/>
          <w:sz w:val="20"/>
        </w:rPr>
      </w:pPr>
    </w:p>
    <w:p w14:paraId="06F77605" w14:textId="77777777" w:rsidR="00F60B2C" w:rsidRPr="00EA530F" w:rsidRDefault="00F60B2C" w:rsidP="00F60B2C">
      <w:pPr>
        <w:jc w:val="both"/>
        <w:rPr>
          <w:rFonts w:ascii="Arial" w:hAnsi="Arial" w:cs="Arial"/>
          <w:sz w:val="20"/>
        </w:rPr>
      </w:pPr>
      <w:r w:rsidRPr="00EA530F">
        <w:rPr>
          <w:rFonts w:ascii="Arial" w:hAnsi="Arial" w:cs="Arial"/>
          <w:sz w:val="20"/>
        </w:rPr>
        <w:t>El Banco determina el impuesto a la ganancia mínima presunta aplicando la tasa vigente del 1% sobre los activos computables a la fecha de cada cierre. Este impuesto es complementario del impuesto a las ganancias. La obligación fiscal del Banco coincidirá con el mayor de ambos impuestos. Sin embargo, si el impuesto a la ganancia mínima presunta excede en un ejercicio fiscal al impuesto a las ganancias, dicho exceso podrá computarse como pago a cuenta del impuesto a las ganancias que pudiera producirse en cualquiera de los diez ejercicios siguientes.</w:t>
      </w:r>
    </w:p>
    <w:p w14:paraId="5E775782" w14:textId="77777777" w:rsidR="00F60B2C" w:rsidRDefault="00F60B2C" w:rsidP="00F60B2C">
      <w:pPr>
        <w:spacing w:after="200"/>
        <w:jc w:val="both"/>
        <w:rPr>
          <w:rFonts w:ascii="Arial" w:eastAsiaTheme="minorHAnsi" w:hAnsi="Arial" w:cs="Arial"/>
          <w:sz w:val="20"/>
        </w:rPr>
      </w:pPr>
      <w:r w:rsidRPr="00EA530F">
        <w:rPr>
          <w:rFonts w:ascii="Arial" w:hAnsi="Arial" w:cs="Arial"/>
          <w:sz w:val="20"/>
        </w:rPr>
        <w:t>El crédito por impuesto a la ganancia mínima presunta expuesto bajo el rubro otros créditos no corrientes, es la porción que el Banco estima podrá ser compensada con el impuesto a las ganancias en exceso del impuesto a la ganancia mínima presunta a ser generada dentro de los próximos diez ejercicios fiscales.</w:t>
      </w:r>
    </w:p>
    <w:p w14:paraId="23651130" w14:textId="77777777" w:rsidR="00F60B2C" w:rsidRPr="00701F32" w:rsidRDefault="00F60B2C" w:rsidP="00F60B2C">
      <w:pPr>
        <w:spacing w:after="200"/>
        <w:jc w:val="both"/>
        <w:rPr>
          <w:rFonts w:ascii="Arial" w:eastAsiaTheme="minorHAnsi" w:hAnsi="Arial" w:cs="Arial"/>
          <w:sz w:val="20"/>
        </w:rPr>
      </w:pPr>
    </w:p>
    <w:p w14:paraId="775114AF" w14:textId="77777777" w:rsidR="00F60B2C" w:rsidRPr="00701F32" w:rsidRDefault="00F60B2C" w:rsidP="00F60B2C">
      <w:pPr>
        <w:spacing w:after="200"/>
        <w:jc w:val="both"/>
        <w:rPr>
          <w:rFonts w:ascii="Arial" w:eastAsiaTheme="minorHAnsi" w:hAnsi="Arial" w:cs="Arial"/>
          <w:b/>
          <w:sz w:val="20"/>
        </w:rPr>
      </w:pPr>
      <w:r>
        <w:rPr>
          <w:rFonts w:ascii="Arial" w:eastAsiaTheme="minorHAnsi" w:hAnsi="Arial" w:cs="Arial"/>
          <w:b/>
          <w:sz w:val="20"/>
        </w:rPr>
        <w:t>1.28</w:t>
      </w:r>
      <w:r w:rsidRPr="00701F32">
        <w:rPr>
          <w:rFonts w:ascii="Arial" w:eastAsiaTheme="minorHAnsi" w:hAnsi="Arial" w:cs="Arial"/>
          <w:b/>
          <w:sz w:val="20"/>
        </w:rPr>
        <w:t xml:space="preserve"> Resultado por Acción</w:t>
      </w:r>
    </w:p>
    <w:p w14:paraId="7C936AE4" w14:textId="77777777" w:rsidR="00F60B2C" w:rsidRPr="00701F32" w:rsidRDefault="00F60B2C" w:rsidP="00F60B2C">
      <w:pPr>
        <w:spacing w:after="200"/>
        <w:jc w:val="both"/>
        <w:rPr>
          <w:rFonts w:ascii="Arial" w:eastAsiaTheme="minorHAnsi" w:hAnsi="Arial" w:cs="Arial"/>
          <w:bCs/>
          <w:sz w:val="20"/>
        </w:rPr>
      </w:pPr>
      <w:r w:rsidRPr="00701F32">
        <w:rPr>
          <w:rFonts w:ascii="Arial" w:eastAsiaTheme="minorHAnsi" w:hAnsi="Arial" w:cs="Arial"/>
          <w:bCs/>
          <w:sz w:val="20"/>
        </w:rPr>
        <w:t xml:space="preserve">El resultado por acción básico es determinado por el cociente entre el resultado del </w:t>
      </w:r>
      <w:r>
        <w:rPr>
          <w:rFonts w:ascii="Arial" w:eastAsiaTheme="minorHAnsi" w:hAnsi="Arial" w:cs="Arial"/>
          <w:bCs/>
          <w:sz w:val="20"/>
        </w:rPr>
        <w:t>ejercicio</w:t>
      </w:r>
      <w:r w:rsidRPr="00701F32">
        <w:rPr>
          <w:rFonts w:ascii="Arial" w:eastAsiaTheme="minorHAnsi" w:hAnsi="Arial" w:cs="Arial"/>
          <w:bCs/>
          <w:sz w:val="20"/>
        </w:rPr>
        <w:t xml:space="preserve"> atribuible a los accionistas tenedores de acciones ordinarias del Banco por el promedio de acciones ordinarias en circulación durante el presente ejercicio.</w:t>
      </w:r>
    </w:p>
    <w:p w14:paraId="3A2AA59E" w14:textId="77777777" w:rsidR="00C102C6" w:rsidRPr="00701F32" w:rsidRDefault="00C102C6" w:rsidP="00C102C6">
      <w:pPr>
        <w:jc w:val="both"/>
        <w:rPr>
          <w:rFonts w:ascii="Arial" w:eastAsiaTheme="minorHAnsi" w:hAnsi="Arial" w:cs="Arial"/>
          <w:sz w:val="20"/>
        </w:rPr>
      </w:pPr>
      <w:r>
        <w:rPr>
          <w:rFonts w:ascii="Arial" w:eastAsiaTheme="minorHAnsi" w:hAnsi="Arial" w:cs="Arial"/>
          <w:sz w:val="20"/>
        </w:rPr>
        <w:t>Por su parte, el resultado por acción diluido es el que surge de ajustar tanto el resultado atribuible a los accionistas, así como el promedio de acciones ordinarias en circulación, por los efectos de la potencial conversión de acciones ordinarias con efecto dilutivo.</w:t>
      </w:r>
    </w:p>
    <w:p w14:paraId="7B2D7C37" w14:textId="77777777" w:rsidR="00F60B2C" w:rsidRPr="00701F32" w:rsidRDefault="00F60B2C" w:rsidP="00656E62">
      <w:pPr>
        <w:jc w:val="both"/>
        <w:rPr>
          <w:rFonts w:ascii="Arial" w:eastAsia="Arial" w:hAnsi="Arial" w:cs="Arial"/>
          <w:sz w:val="20"/>
        </w:rPr>
      </w:pPr>
    </w:p>
    <w:p w14:paraId="6D261F35" w14:textId="18809105" w:rsidR="00656E62" w:rsidRPr="00701F32" w:rsidRDefault="000924A1" w:rsidP="00A059FB">
      <w:pPr>
        <w:keepNext/>
        <w:keepLines/>
        <w:spacing w:before="40" w:line="259" w:lineRule="auto"/>
        <w:jc w:val="both"/>
        <w:outlineLvl w:val="1"/>
        <w:rPr>
          <w:rFonts w:ascii="Arial" w:hAnsi="Arial" w:cs="Arial"/>
          <w:b/>
          <w:sz w:val="20"/>
        </w:rPr>
      </w:pPr>
      <w:r>
        <w:rPr>
          <w:rFonts w:ascii="Arial" w:hAnsi="Arial" w:cs="Arial"/>
          <w:b/>
          <w:sz w:val="20"/>
        </w:rPr>
        <w:t>2</w:t>
      </w:r>
      <w:r w:rsidR="00656E62" w:rsidRPr="00701F32">
        <w:rPr>
          <w:rFonts w:ascii="Arial" w:hAnsi="Arial" w:cs="Arial"/>
          <w:b/>
          <w:sz w:val="20"/>
        </w:rPr>
        <w:t xml:space="preserve">. POLÍTICAS Y ESTIMACIONES CONTABLES CRÍTICAS </w:t>
      </w:r>
    </w:p>
    <w:p w14:paraId="6A881908" w14:textId="77777777" w:rsidR="00656E62" w:rsidRPr="00701F32" w:rsidRDefault="00656E62" w:rsidP="00656E62">
      <w:pPr>
        <w:autoSpaceDE w:val="0"/>
        <w:autoSpaceDN w:val="0"/>
        <w:adjustRightInd w:val="0"/>
        <w:jc w:val="both"/>
        <w:rPr>
          <w:rFonts w:ascii="Arial" w:eastAsia="Calibri" w:hAnsi="Arial" w:cs="Arial"/>
          <w:noProof/>
          <w:sz w:val="20"/>
        </w:rPr>
      </w:pPr>
    </w:p>
    <w:p w14:paraId="4B807F92" w14:textId="77777777" w:rsidR="00764FD5" w:rsidRPr="00701F32" w:rsidRDefault="00764FD5" w:rsidP="00764FD5">
      <w:pPr>
        <w:autoSpaceDE w:val="0"/>
        <w:autoSpaceDN w:val="0"/>
        <w:adjustRightInd w:val="0"/>
        <w:jc w:val="both"/>
        <w:rPr>
          <w:rFonts w:ascii="Arial" w:eastAsia="Calibri" w:hAnsi="Arial" w:cs="Arial"/>
          <w:noProof/>
          <w:sz w:val="20"/>
        </w:rPr>
      </w:pPr>
      <w:r w:rsidRPr="00701F32">
        <w:rPr>
          <w:rFonts w:ascii="Arial" w:eastAsia="Calibri" w:hAnsi="Arial" w:cs="Arial"/>
          <w:noProof/>
          <w:sz w:val="20"/>
        </w:rPr>
        <w:t xml:space="preserve">La preparación de estados financieros </w:t>
      </w:r>
      <w:r w:rsidRPr="00701F32">
        <w:rPr>
          <w:rFonts w:ascii="Arial" w:eastAsia="Arial" w:hAnsi="Arial" w:cs="Arial"/>
          <w:sz w:val="20"/>
        </w:rPr>
        <w:t>separados</w:t>
      </w:r>
      <w:r w:rsidRPr="00701F32" w:rsidDel="007D4640">
        <w:rPr>
          <w:rFonts w:ascii="Arial" w:eastAsia="Calibri" w:hAnsi="Arial" w:cs="Arial"/>
          <w:noProof/>
          <w:sz w:val="20"/>
        </w:rPr>
        <w:t xml:space="preserve"> </w:t>
      </w:r>
      <w:r w:rsidRPr="00701F32">
        <w:rPr>
          <w:rFonts w:ascii="Arial" w:eastAsia="Calibri" w:hAnsi="Arial" w:cs="Arial"/>
          <w:noProof/>
          <w:sz w:val="20"/>
        </w:rPr>
        <w:t xml:space="preserve">de conformidad con el marco contable </w:t>
      </w:r>
      <w:r>
        <w:rPr>
          <w:rFonts w:ascii="Arial" w:eastAsia="Calibri" w:hAnsi="Arial" w:cs="Arial"/>
          <w:noProof/>
          <w:sz w:val="20"/>
        </w:rPr>
        <w:t>basado en NIIF</w:t>
      </w:r>
      <w:r w:rsidRPr="00701F32">
        <w:rPr>
          <w:rFonts w:ascii="Arial" w:eastAsia="Calibri" w:hAnsi="Arial" w:cs="Arial"/>
          <w:noProof/>
          <w:sz w:val="20"/>
        </w:rPr>
        <w:t xml:space="preserve"> requiere el uso de ciertas estimaciones contables críticas. También requiere que la Gerencia ejerza su juicio en el proceso de aplicación de las normas contables establecidas por el BCRA </w:t>
      </w:r>
      <w:r>
        <w:rPr>
          <w:rFonts w:ascii="Arial" w:eastAsia="Calibri" w:hAnsi="Arial" w:cs="Arial"/>
          <w:noProof/>
          <w:sz w:val="20"/>
        </w:rPr>
        <w:t xml:space="preserve">para establecer </w:t>
      </w:r>
      <w:r w:rsidRPr="00701F32">
        <w:rPr>
          <w:rFonts w:ascii="Arial" w:eastAsia="Calibri" w:hAnsi="Arial" w:cs="Arial"/>
          <w:noProof/>
          <w:sz w:val="20"/>
        </w:rPr>
        <w:t>las políticas contables de la Entidad.</w:t>
      </w:r>
    </w:p>
    <w:p w14:paraId="1BAADD5C" w14:textId="77777777" w:rsidR="00764FD5" w:rsidRPr="00701F32" w:rsidRDefault="00764FD5" w:rsidP="00764FD5">
      <w:pPr>
        <w:autoSpaceDE w:val="0"/>
        <w:autoSpaceDN w:val="0"/>
        <w:adjustRightInd w:val="0"/>
        <w:jc w:val="both"/>
        <w:rPr>
          <w:rFonts w:ascii="Arial" w:eastAsia="Calibri" w:hAnsi="Arial" w:cs="Arial"/>
          <w:noProof/>
          <w:sz w:val="20"/>
        </w:rPr>
      </w:pPr>
    </w:p>
    <w:p w14:paraId="04FACA53" w14:textId="77777777" w:rsidR="00764FD5" w:rsidRPr="00701F32" w:rsidRDefault="00764FD5" w:rsidP="00764FD5">
      <w:pPr>
        <w:autoSpaceDE w:val="0"/>
        <w:autoSpaceDN w:val="0"/>
        <w:adjustRightInd w:val="0"/>
        <w:jc w:val="both"/>
        <w:rPr>
          <w:rFonts w:ascii="Arial" w:eastAsia="Calibri" w:hAnsi="Arial" w:cs="Arial"/>
          <w:noProof/>
          <w:sz w:val="20"/>
        </w:rPr>
      </w:pPr>
      <w:r w:rsidRPr="00701F32">
        <w:rPr>
          <w:rFonts w:ascii="Arial" w:eastAsia="Calibri" w:hAnsi="Arial" w:cs="Arial"/>
          <w:noProof/>
          <w:sz w:val="20"/>
        </w:rPr>
        <w:t xml:space="preserve">La Entidad ha identificado las siguientes áreas que implican un mayor grado de juicio o complejidad, o áreas en las que los supuestos y estimaciones son significativos para los estados financieros </w:t>
      </w:r>
      <w:r w:rsidRPr="00701F32">
        <w:rPr>
          <w:rFonts w:ascii="Arial" w:eastAsia="Arial" w:hAnsi="Arial" w:cs="Arial"/>
          <w:sz w:val="20"/>
        </w:rPr>
        <w:t>separados</w:t>
      </w:r>
      <w:r w:rsidRPr="00701F32" w:rsidDel="007D4640">
        <w:rPr>
          <w:rFonts w:ascii="Arial" w:eastAsia="Calibri" w:hAnsi="Arial" w:cs="Arial"/>
          <w:noProof/>
          <w:sz w:val="20"/>
        </w:rPr>
        <w:t xml:space="preserve"> </w:t>
      </w:r>
      <w:r w:rsidRPr="00701F32">
        <w:rPr>
          <w:rFonts w:ascii="Arial" w:eastAsia="Calibri" w:hAnsi="Arial" w:cs="Arial"/>
          <w:noProof/>
          <w:sz w:val="20"/>
        </w:rPr>
        <w:t>que son esenciales para la comprensión de los riesgos informativos contables / financieros subyacentes:</w:t>
      </w:r>
    </w:p>
    <w:p w14:paraId="24307299" w14:textId="77777777" w:rsidR="00764FD5" w:rsidRPr="00701F32" w:rsidRDefault="00764FD5" w:rsidP="00764FD5">
      <w:pPr>
        <w:autoSpaceDE w:val="0"/>
        <w:autoSpaceDN w:val="0"/>
        <w:adjustRightInd w:val="0"/>
        <w:jc w:val="both"/>
        <w:rPr>
          <w:rFonts w:ascii="Arial" w:eastAsia="Calibri" w:hAnsi="Arial" w:cs="Arial"/>
          <w:noProof/>
          <w:sz w:val="20"/>
        </w:rPr>
      </w:pPr>
      <w:r w:rsidRPr="00701F32">
        <w:rPr>
          <w:rFonts w:ascii="Arial" w:eastAsia="Calibri" w:hAnsi="Arial" w:cs="Arial"/>
          <w:noProof/>
          <w:sz w:val="20"/>
        </w:rPr>
        <w:t xml:space="preserve"> </w:t>
      </w:r>
    </w:p>
    <w:p w14:paraId="71A92402" w14:textId="77777777" w:rsidR="00764FD5" w:rsidRPr="00701F32" w:rsidRDefault="00764FD5" w:rsidP="00764FD5">
      <w:pPr>
        <w:numPr>
          <w:ilvl w:val="0"/>
          <w:numId w:val="91"/>
        </w:numPr>
        <w:spacing w:after="160" w:line="259" w:lineRule="auto"/>
        <w:contextualSpacing/>
        <w:jc w:val="both"/>
        <w:rPr>
          <w:rFonts w:ascii="Arial" w:eastAsia="Calibri" w:hAnsi="Arial" w:cs="Arial"/>
          <w:sz w:val="20"/>
        </w:rPr>
      </w:pPr>
      <w:r w:rsidRPr="00701F32">
        <w:rPr>
          <w:rFonts w:ascii="Arial" w:eastAsia="Calibri" w:hAnsi="Arial" w:cs="Arial"/>
          <w:sz w:val="20"/>
        </w:rPr>
        <w:t>Valor razonable de derivados y otros instrumentos</w:t>
      </w:r>
    </w:p>
    <w:p w14:paraId="00D7450F"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5D810C51" w14:textId="0ADA89EB" w:rsidR="00764FD5" w:rsidRPr="00701F32" w:rsidRDefault="00764FD5" w:rsidP="00764FD5">
      <w:pPr>
        <w:spacing w:after="160" w:line="259" w:lineRule="auto"/>
        <w:jc w:val="both"/>
        <w:rPr>
          <w:rFonts w:ascii="Arial" w:eastAsia="Calibri" w:hAnsi="Arial" w:cs="Arial"/>
          <w:sz w:val="20"/>
        </w:rPr>
      </w:pPr>
      <w:r w:rsidRPr="00701F32">
        <w:rPr>
          <w:rFonts w:ascii="Arial" w:eastAsia="Calibri" w:hAnsi="Arial" w:cs="Arial"/>
          <w:sz w:val="20"/>
        </w:rPr>
        <w:t>El valor razonable de los instrumentos financieros que no cotizan en los mercados activos son determinados usando técnicas de valuación. Dichas técnicas, son validadas y revisadas periódicamente por personal calificado independiente del área que las creó. Todos los modelos son evaluados y ajustados antes de ser usados, para asegurar que los resultados reflejen la información actual y precios comparativos del mercado. En lo posible, los modelos usan solamente información observable; sin embargo, factores como riesgo de crédito (propio y de la contraparte), volatilidades y correlaciones requieren de la utilización de estima</w:t>
      </w:r>
      <w:r w:rsidR="00C102C6">
        <w:rPr>
          <w:rFonts w:ascii="Arial" w:eastAsia="Calibri" w:hAnsi="Arial" w:cs="Arial"/>
          <w:sz w:val="20"/>
        </w:rPr>
        <w:t>ciones</w:t>
      </w:r>
      <w:r w:rsidRPr="00701F32">
        <w:rPr>
          <w:rFonts w:ascii="Arial" w:eastAsia="Calibri" w:hAnsi="Arial" w:cs="Arial"/>
          <w:sz w:val="20"/>
        </w:rPr>
        <w:t>. Los cambios en los supuestos acerca de estos factores pueden afectar el valor razonable reportado de los instrumentos financieros.</w:t>
      </w:r>
    </w:p>
    <w:p w14:paraId="3AC25E49" w14:textId="285A9B7A" w:rsidR="00764FD5" w:rsidRPr="00701F32" w:rsidRDefault="00764FD5" w:rsidP="00764FD5">
      <w:pPr>
        <w:spacing w:after="160" w:line="259" w:lineRule="auto"/>
        <w:jc w:val="both"/>
        <w:rPr>
          <w:rFonts w:ascii="Arial" w:eastAsia="Calibri" w:hAnsi="Arial" w:cs="Arial"/>
          <w:sz w:val="20"/>
        </w:rPr>
      </w:pPr>
      <w:r w:rsidRPr="00701F32">
        <w:rPr>
          <w:rFonts w:ascii="Arial" w:eastAsia="Calibri" w:hAnsi="Arial" w:cs="Arial"/>
          <w:sz w:val="20"/>
        </w:rPr>
        <w:t xml:space="preserve">La información referida a los instrumentos que no han sido valuados en base a información del mercado se encuentra detallada en la Nota </w:t>
      </w:r>
      <w:r w:rsidR="0068711D">
        <w:rPr>
          <w:rFonts w:ascii="Arial" w:eastAsia="Calibri" w:hAnsi="Arial" w:cs="Arial"/>
          <w:sz w:val="20"/>
        </w:rPr>
        <w:t>5</w:t>
      </w:r>
      <w:r w:rsidRPr="00701F32">
        <w:rPr>
          <w:rFonts w:ascii="Arial" w:eastAsia="Calibri" w:hAnsi="Arial" w:cs="Arial"/>
          <w:sz w:val="20"/>
        </w:rPr>
        <w:t xml:space="preserve"> sobre valores razonables. </w:t>
      </w:r>
    </w:p>
    <w:p w14:paraId="4DA7FA2C" w14:textId="77777777" w:rsidR="00764FD5" w:rsidRPr="00701F32" w:rsidRDefault="00764FD5" w:rsidP="00764FD5">
      <w:pPr>
        <w:numPr>
          <w:ilvl w:val="0"/>
          <w:numId w:val="9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rFonts w:ascii="Arial" w:hAnsi="Arial" w:cs="Arial"/>
          <w:sz w:val="20"/>
          <w:lang w:eastAsia="es-AR"/>
        </w:rPr>
      </w:pPr>
      <w:r w:rsidRPr="00701F32">
        <w:rPr>
          <w:rFonts w:ascii="Arial" w:hAnsi="Arial" w:cs="Arial"/>
          <w:sz w:val="20"/>
          <w:lang w:eastAsia="es-AR"/>
        </w:rPr>
        <w:t>Pérdidas por deterioro de préstamos y anticipos.</w:t>
      </w:r>
    </w:p>
    <w:p w14:paraId="40355A27"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La Entidad realiza estimaciones sobre las capacidades de repago de los clientes para determinar el nivel de previsionamiento que le corresponde según la normativa BCRA.</w:t>
      </w:r>
    </w:p>
    <w:p w14:paraId="59D060C9"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2A1DD7F6"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Dichas estimaciones son efectuadas con la periodicidad correspondiente requerida por las normas mínimas de previsionamiento del B.C.R.A.</w:t>
      </w:r>
    </w:p>
    <w:p w14:paraId="55F2C325"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5D3546EB" w14:textId="77777777" w:rsidR="00764FD5" w:rsidRPr="00701F32" w:rsidRDefault="00764FD5" w:rsidP="00764FD5">
      <w:pPr>
        <w:numPr>
          <w:ilvl w:val="0"/>
          <w:numId w:val="9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rFonts w:ascii="Arial" w:hAnsi="Arial" w:cs="Arial"/>
          <w:sz w:val="20"/>
          <w:lang w:eastAsia="es-AR"/>
        </w:rPr>
      </w:pPr>
      <w:r w:rsidRPr="00701F32">
        <w:rPr>
          <w:rFonts w:ascii="Arial" w:hAnsi="Arial" w:cs="Arial"/>
          <w:sz w:val="20"/>
          <w:lang w:eastAsia="es-AR"/>
        </w:rPr>
        <w:t xml:space="preserve">Deterioro de activos no financieros </w:t>
      </w:r>
    </w:p>
    <w:p w14:paraId="5FEE9576"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 xml:space="preserve">Los activos intangibles con vidas finitas y propiedades, planta y equipo se amortizan o deprecian a lo largo de su vida útil estimada en forma lineal. La Entidad monitorea las condiciones relacionadas con estos activos para determinar si los eventos y circunstancias justifican una revisión del período de amortización o depreciación restante y si existen factores o circunstancias que impliquen un deterioro en el valor de los activos que no pueda ser recuperado. </w:t>
      </w:r>
    </w:p>
    <w:p w14:paraId="5EE8C5E1"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22FC25CD" w14:textId="370B6DCA"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 xml:space="preserve">La Entidad ha aplicado el juicio en la identificación de los indicadores de deterioro de propiedad, planta y equipo y activos intangibles. Asimismo, ha determinado que no hubo indicios de deterioro para ninguno de los períodos presentados en sus estados financieros </w:t>
      </w:r>
      <w:r w:rsidRPr="00701F32">
        <w:rPr>
          <w:rFonts w:ascii="Arial" w:eastAsia="Arial" w:hAnsi="Arial" w:cs="Arial"/>
          <w:sz w:val="20"/>
        </w:rPr>
        <w:t>separados</w:t>
      </w:r>
      <w:r w:rsidRPr="00701F32">
        <w:rPr>
          <w:rFonts w:ascii="Arial" w:hAnsi="Arial" w:cs="Arial"/>
          <w:sz w:val="20"/>
          <w:lang w:eastAsia="es-AR"/>
        </w:rPr>
        <w:t>, por lo cual no se ha estimado ningún valor recuperable.</w:t>
      </w:r>
    </w:p>
    <w:p w14:paraId="3E42F3E0" w14:textId="77777777" w:rsidR="00764FD5" w:rsidRPr="00701F32" w:rsidRDefault="00764FD5" w:rsidP="00764FD5">
      <w:pPr>
        <w:shd w:val="clear" w:color="auto" w:fill="FFFFFF"/>
        <w:spacing w:line="259" w:lineRule="auto"/>
        <w:jc w:val="both"/>
        <w:rPr>
          <w:rFonts w:ascii="Arial" w:hAnsi="Arial" w:cs="Arial"/>
          <w:strike/>
          <w:sz w:val="20"/>
        </w:rPr>
      </w:pPr>
    </w:p>
    <w:p w14:paraId="2992C061"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El proceso de evaluación del deterioro potencial de un activo de vida útil indefinida es subjetivo y requiere un juicio significativo en muchos puntos durante el análisis, incluida la identificación de su unidad generadora de efectivo, la identificación y asignación de los activos y pasivos a la unidad generadora de efectivo y la determinación de su valor recuperable.  El valor recuperable es comparado con su valor en libros para así establecer la porción no recuperable del mismo. Al estimar el valor recuperable de la unidad generadora de efectivo a los fines de sus análisis de deterioro anual o periódico, el Banco realiza estimaciones y juicios significativos sobre los flujos de efectivo futuros de esa unidad generadora de efectivo. Sus pronósticos de flujo de caja se basan en supuestos que representan el mejor y más alto uso para su unidad generadora de efectivo.</w:t>
      </w:r>
    </w:p>
    <w:p w14:paraId="7DEB0135"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3B9A4265"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Si bien el Banco cree que las suposiciones y estimaciones utilizadas son apropiadas en función de la información disponible para la administración, los cambios en las suposiciones o circunstancias podrían requerir cambios en el análisis. Los cambios adversos en los supuestos utilizados dentro de su prueba de deterioro del activo intangible de duración indefinida podrían causar una reducción o eliminación del exceso del valor razonable sobre el valor en libros, lo que daría como resultado el reconocimiento potencial del deterioro.</w:t>
      </w:r>
    </w:p>
    <w:p w14:paraId="27F1E526"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p>
    <w:p w14:paraId="05F0AF16"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lang w:eastAsia="es-AR"/>
        </w:rPr>
      </w:pPr>
      <w:r w:rsidRPr="00701F32">
        <w:rPr>
          <w:rFonts w:ascii="Arial" w:hAnsi="Arial" w:cs="Arial"/>
          <w:sz w:val="20"/>
          <w:lang w:eastAsia="es-AR"/>
        </w:rPr>
        <w:t>La Entidad concluyó que no sería necesario reconocer ninguna pérdida por deterioro en los activos intangibles de vida útil indefinida bajo estas condiciones</w:t>
      </w:r>
    </w:p>
    <w:p w14:paraId="7D798F05" w14:textId="77777777" w:rsidR="00764FD5" w:rsidRPr="00701F32" w:rsidRDefault="00764FD5" w:rsidP="00764FD5">
      <w:pPr>
        <w:shd w:val="clear" w:color="auto" w:fill="FFFFFF"/>
        <w:spacing w:line="259" w:lineRule="auto"/>
        <w:jc w:val="both"/>
        <w:rPr>
          <w:rFonts w:ascii="Arial" w:hAnsi="Arial" w:cs="Arial"/>
          <w:strike/>
          <w:sz w:val="20"/>
        </w:rPr>
      </w:pPr>
    </w:p>
    <w:p w14:paraId="507B92E6" w14:textId="77777777" w:rsidR="00764FD5" w:rsidRPr="00701F32" w:rsidRDefault="00764FD5" w:rsidP="00764FD5">
      <w:pPr>
        <w:numPr>
          <w:ilvl w:val="0"/>
          <w:numId w:val="91"/>
        </w:numPr>
        <w:shd w:val="clear" w:color="auto" w:fill="FFFFFF"/>
        <w:spacing w:after="160" w:line="259" w:lineRule="auto"/>
        <w:contextualSpacing/>
        <w:jc w:val="both"/>
        <w:rPr>
          <w:rFonts w:ascii="Arial" w:eastAsia="Calibri" w:hAnsi="Arial" w:cs="Arial"/>
          <w:sz w:val="20"/>
          <w:shd w:val="clear" w:color="auto" w:fill="FFFFFF"/>
        </w:rPr>
      </w:pPr>
      <w:r w:rsidRPr="00701F32">
        <w:rPr>
          <w:rFonts w:ascii="Arial" w:eastAsia="Calibri" w:hAnsi="Arial" w:cs="Arial"/>
          <w:sz w:val="20"/>
          <w:shd w:val="clear" w:color="auto" w:fill="FFFFFF"/>
        </w:rPr>
        <w:t>Impuesto a las ganancias e impuesto diferido</w:t>
      </w:r>
    </w:p>
    <w:p w14:paraId="2FBF5806" w14:textId="77777777" w:rsidR="00764FD5" w:rsidRPr="00701F32" w:rsidRDefault="00764FD5" w:rsidP="00764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hd w:val="clear" w:color="auto" w:fill="FFFFFF"/>
          <w:lang w:eastAsia="es-AR"/>
        </w:rPr>
      </w:pPr>
    </w:p>
    <w:p w14:paraId="5AA0A92E" w14:textId="77777777" w:rsidR="00764FD5" w:rsidRPr="00701F32" w:rsidRDefault="00764FD5" w:rsidP="00764FD5">
      <w:pPr>
        <w:shd w:val="clear" w:color="auto" w:fill="FFFFFF"/>
        <w:spacing w:after="160" w:line="259" w:lineRule="auto"/>
        <w:jc w:val="both"/>
        <w:rPr>
          <w:rFonts w:ascii="Arial" w:eastAsia="Calibri" w:hAnsi="Arial" w:cs="Arial"/>
          <w:sz w:val="20"/>
        </w:rPr>
      </w:pPr>
      <w:r w:rsidRPr="00701F32">
        <w:rPr>
          <w:rFonts w:ascii="Arial" w:eastAsia="Calibri" w:hAnsi="Arial" w:cs="Arial"/>
          <w:sz w:val="20"/>
        </w:rPr>
        <w:t>Se requiere un juicio significativo al determinar los pasivos y activos por impuestos corrientes y diferidos. El impuesto corriente se provisiona de acuerdo a los montos que se espera pagar y el impuesto diferido se provisiona sobre las diferencias temporarias entre las bases impositivas de los activos y pasivos y sus valores en libros, a las alícuotas que se espera estén vigentes al momento de reversión de las mismas.</w:t>
      </w:r>
    </w:p>
    <w:p w14:paraId="60874318" w14:textId="77777777" w:rsidR="00764FD5" w:rsidRPr="00701F32" w:rsidRDefault="00764FD5" w:rsidP="00764FD5">
      <w:pPr>
        <w:shd w:val="clear" w:color="auto" w:fill="FFFFFF"/>
        <w:spacing w:after="160" w:line="259" w:lineRule="auto"/>
        <w:jc w:val="both"/>
        <w:rPr>
          <w:rFonts w:ascii="Arial" w:eastAsia="Calibri" w:hAnsi="Arial" w:cs="Arial"/>
          <w:sz w:val="20"/>
          <w:shd w:val="clear" w:color="auto" w:fill="FFFFFF"/>
        </w:rPr>
      </w:pPr>
      <w:r w:rsidRPr="00701F32">
        <w:rPr>
          <w:rFonts w:ascii="Arial" w:eastAsia="Calibri" w:hAnsi="Arial" w:cs="Arial"/>
          <w:sz w:val="20"/>
        </w:rPr>
        <w:t>Se reconoce un activo por impuesto diferido en la medida en que exista la probabilidad de que se disponga de ganancias imponibles futuras contra las cuales se puedan utilizar las diferencias temporarias, basado en los presupuestos de la gerencia con respecto a los montos y la oportunidad de las ganancias imponibles futuras. Luego se debe determinar la posibilidad de que los activos por impuesto diferido se utilicen y compensen contra ganancias imponibles futuras. Los resultados reales pueden diferir de estas estimaciones, por ejemplo, cambios en la legislación impositiva o el resultado de la revisión definitiva de las declaraciones juradas de impuestos por parte del fisco y los tribunales fiscales.</w:t>
      </w:r>
    </w:p>
    <w:p w14:paraId="30DC07F4" w14:textId="4025D373" w:rsidR="000924A1" w:rsidRDefault="00764FD5" w:rsidP="00764FD5">
      <w:pPr>
        <w:autoSpaceDE w:val="0"/>
        <w:autoSpaceDN w:val="0"/>
        <w:adjustRightInd w:val="0"/>
        <w:jc w:val="both"/>
        <w:rPr>
          <w:rFonts w:ascii="Arial" w:eastAsia="Calibri" w:hAnsi="Arial" w:cs="Arial"/>
          <w:noProof/>
          <w:sz w:val="20"/>
        </w:rPr>
      </w:pPr>
      <w:r w:rsidRPr="00701F32">
        <w:rPr>
          <w:rFonts w:ascii="Arial" w:eastAsia="Calibri" w:hAnsi="Arial" w:cs="Arial"/>
          <w:sz w:val="20"/>
          <w:shd w:val="clear" w:color="auto" w:fill="FFFFFF"/>
        </w:rPr>
        <w:t>Las ganancias fiscales futuras y la cantidad de beneficios fiscales que son probables en el futuro se basan en un plan de negocios a mediano plazo preparado por la administración el cual se basa en expectativas que se consideran razonables.</w:t>
      </w:r>
    </w:p>
    <w:p w14:paraId="57A18E07" w14:textId="77777777" w:rsidR="000924A1" w:rsidRDefault="000924A1" w:rsidP="00656E62">
      <w:pPr>
        <w:autoSpaceDE w:val="0"/>
        <w:autoSpaceDN w:val="0"/>
        <w:adjustRightInd w:val="0"/>
        <w:jc w:val="both"/>
        <w:rPr>
          <w:rFonts w:ascii="Arial" w:eastAsia="Calibri" w:hAnsi="Arial" w:cs="Arial"/>
          <w:noProof/>
          <w:sz w:val="20"/>
        </w:rPr>
      </w:pPr>
    </w:p>
    <w:p w14:paraId="17B3B7BB" w14:textId="77777777" w:rsidR="00B2136F" w:rsidRDefault="00B2136F">
      <w:pPr>
        <w:rPr>
          <w:rFonts w:ascii="Arial" w:eastAsia="Calibri" w:hAnsi="Arial" w:cs="Arial"/>
          <w:b/>
          <w:bCs/>
          <w:sz w:val="20"/>
        </w:rPr>
      </w:pPr>
      <w:r>
        <w:rPr>
          <w:rFonts w:ascii="Arial" w:eastAsia="Calibri" w:hAnsi="Arial" w:cs="Arial"/>
          <w:b/>
          <w:bCs/>
          <w:sz w:val="20"/>
        </w:rPr>
        <w:br w:type="page"/>
      </w:r>
    </w:p>
    <w:p w14:paraId="02FF5BD7" w14:textId="1F122F77" w:rsidR="00656E62" w:rsidRPr="00701F32" w:rsidRDefault="000924A1" w:rsidP="00656E62">
      <w:pPr>
        <w:spacing w:after="160" w:line="259" w:lineRule="auto"/>
        <w:jc w:val="both"/>
        <w:rPr>
          <w:rFonts w:ascii="Arial" w:eastAsia="Calibri" w:hAnsi="Arial" w:cs="Arial"/>
          <w:b/>
          <w:bCs/>
          <w:sz w:val="20"/>
        </w:rPr>
      </w:pPr>
      <w:r>
        <w:rPr>
          <w:rFonts w:ascii="Arial" w:eastAsia="Calibri" w:hAnsi="Arial" w:cs="Arial"/>
          <w:b/>
          <w:bCs/>
          <w:sz w:val="20"/>
        </w:rPr>
        <w:t>3</w:t>
      </w:r>
      <w:r w:rsidR="00656E62" w:rsidRPr="00701F32">
        <w:rPr>
          <w:rFonts w:ascii="Arial" w:eastAsia="Calibri" w:hAnsi="Arial" w:cs="Arial"/>
          <w:b/>
          <w:bCs/>
          <w:sz w:val="20"/>
        </w:rPr>
        <w:t>. I</w:t>
      </w:r>
      <w:r w:rsidR="000045FD" w:rsidRPr="00701F32">
        <w:rPr>
          <w:rFonts w:ascii="Arial" w:eastAsia="Calibri" w:hAnsi="Arial" w:cs="Arial"/>
          <w:b/>
          <w:bCs/>
          <w:sz w:val="20"/>
        </w:rPr>
        <w:t>NFORMACION POR SEGMENTOS</w:t>
      </w:r>
    </w:p>
    <w:p w14:paraId="19730260" w14:textId="77777777" w:rsidR="00656E62" w:rsidRPr="00701F32" w:rsidRDefault="00656E62" w:rsidP="00656E62">
      <w:pPr>
        <w:spacing w:after="160" w:line="259" w:lineRule="auto"/>
        <w:jc w:val="both"/>
        <w:rPr>
          <w:rFonts w:ascii="Arial" w:eastAsia="Calibri" w:hAnsi="Arial" w:cs="Arial"/>
          <w:sz w:val="20"/>
        </w:rPr>
      </w:pPr>
      <w:r w:rsidRPr="00701F32">
        <w:rPr>
          <w:rFonts w:ascii="Arial" w:eastAsia="Calibri" w:hAnsi="Arial" w:cs="Arial"/>
          <w:sz w:val="20"/>
        </w:rPr>
        <w:t>La Entidad determina los segmentos operativos sobre la base de los informes de gestión que son revisados por el Directorio y el personal clave de la Gerencia, y los actualiza a medida que los mismos presentan cambios.</w:t>
      </w:r>
    </w:p>
    <w:p w14:paraId="6C2EEA5A" w14:textId="77777777" w:rsidR="00656E62" w:rsidRPr="00701F32" w:rsidRDefault="00656E62" w:rsidP="00656E62">
      <w:pPr>
        <w:tabs>
          <w:tab w:val="left" w:pos="1909"/>
        </w:tabs>
        <w:spacing w:after="160" w:line="259" w:lineRule="auto"/>
        <w:jc w:val="both"/>
        <w:rPr>
          <w:rFonts w:ascii="Arial" w:eastAsia="Calibri" w:hAnsi="Arial" w:cs="Arial"/>
          <w:bCs/>
          <w:sz w:val="20"/>
        </w:rPr>
      </w:pPr>
      <w:r w:rsidRPr="00701F32">
        <w:rPr>
          <w:rFonts w:ascii="Arial" w:eastAsia="Calibri" w:hAnsi="Arial" w:cs="Arial"/>
          <w:bCs/>
          <w:sz w:val="20"/>
        </w:rPr>
        <w:t xml:space="preserve">La Entidad ha identificado los siguientes segmentos operativos </w:t>
      </w:r>
      <w:r w:rsidRPr="00701F32">
        <w:rPr>
          <w:rFonts w:ascii="Arial" w:eastAsia="Calibri" w:hAnsi="Arial" w:cs="Arial"/>
          <w:sz w:val="20"/>
        </w:rPr>
        <w:t xml:space="preserve">sobre los cuales dispone de información financiera diferenciada, teniendo en cuenta la naturaleza de sus riesgos y rendimientos así como también </w:t>
      </w:r>
      <w:r w:rsidRPr="00701F32">
        <w:rPr>
          <w:rFonts w:ascii="Arial" w:eastAsia="Calibri" w:hAnsi="Arial" w:cs="Arial"/>
          <w:bCs/>
          <w:sz w:val="20"/>
        </w:rPr>
        <w:t>los tipos de productos y servicios ofrecidos:</w:t>
      </w:r>
    </w:p>
    <w:p w14:paraId="5EE1687E" w14:textId="15AB8C40" w:rsidR="00656E62" w:rsidRPr="00701F32" w:rsidRDefault="00656E62" w:rsidP="00627289">
      <w:pPr>
        <w:numPr>
          <w:ilvl w:val="0"/>
          <w:numId w:val="34"/>
        </w:numPr>
        <w:spacing w:after="160" w:line="259" w:lineRule="auto"/>
        <w:contextualSpacing/>
        <w:jc w:val="both"/>
        <w:rPr>
          <w:rFonts w:ascii="Arial" w:eastAsia="Calibri" w:hAnsi="Arial" w:cs="Arial"/>
          <w:bCs/>
          <w:sz w:val="20"/>
        </w:rPr>
      </w:pPr>
      <w:r w:rsidRPr="00701F32">
        <w:rPr>
          <w:rFonts w:ascii="Arial" w:eastAsia="Calibri" w:hAnsi="Arial" w:cs="Arial"/>
          <w:bCs/>
          <w:sz w:val="20"/>
        </w:rPr>
        <w:t>Banca Minorista</w:t>
      </w:r>
      <w:r w:rsidR="00B05BE2">
        <w:rPr>
          <w:rFonts w:ascii="Arial" w:eastAsia="Calibri" w:hAnsi="Arial" w:cs="Arial"/>
          <w:bCs/>
          <w:sz w:val="20"/>
        </w:rPr>
        <w:t>:</w:t>
      </w:r>
      <w:r w:rsidRPr="00701F32">
        <w:rPr>
          <w:rFonts w:ascii="Arial" w:eastAsia="Calibri" w:hAnsi="Arial" w:cs="Arial"/>
          <w:bCs/>
          <w:sz w:val="20"/>
        </w:rPr>
        <w:t xml:space="preserve"> Incluye una amplia gama de productos y servicios financieros destinados a clientes de los segmentos de pequeñas empresas, agrupadas en Emprendedores &amp; Pymes, y los clientes personas de renta alta identificados con la propuesta Identité. Adicionalmente, el Banco ofrece productos y servicios destinados a atender las necesidades de jubilados y pensionados.</w:t>
      </w:r>
    </w:p>
    <w:p w14:paraId="087295E6" w14:textId="77777777" w:rsidR="00656E62" w:rsidRPr="00701F32" w:rsidRDefault="00656E62" w:rsidP="00656E62">
      <w:pPr>
        <w:spacing w:after="160" w:line="259" w:lineRule="auto"/>
        <w:ind w:left="720"/>
        <w:contextualSpacing/>
        <w:jc w:val="both"/>
        <w:rPr>
          <w:rFonts w:ascii="Arial" w:eastAsia="Calibri" w:hAnsi="Arial" w:cs="Arial"/>
          <w:bCs/>
          <w:sz w:val="20"/>
        </w:rPr>
      </w:pPr>
    </w:p>
    <w:p w14:paraId="2EED5027" w14:textId="77777777" w:rsidR="00656E62" w:rsidRPr="00701F32" w:rsidRDefault="00656E62" w:rsidP="00627289">
      <w:pPr>
        <w:numPr>
          <w:ilvl w:val="0"/>
          <w:numId w:val="34"/>
        </w:numPr>
        <w:spacing w:after="160" w:line="259" w:lineRule="auto"/>
        <w:contextualSpacing/>
        <w:jc w:val="both"/>
        <w:rPr>
          <w:rFonts w:ascii="Arial" w:eastAsia="Calibri" w:hAnsi="Arial" w:cs="Arial"/>
          <w:bCs/>
          <w:sz w:val="20"/>
        </w:rPr>
      </w:pPr>
      <w:r w:rsidRPr="00701F32">
        <w:rPr>
          <w:rFonts w:ascii="Arial" w:eastAsia="Calibri" w:hAnsi="Arial" w:cs="Arial"/>
          <w:bCs/>
          <w:sz w:val="20"/>
        </w:rPr>
        <w:t>Banca Empresa: Incluye los servicios de asesoramiento en materia corporativa y financiera, así como la gestión de activos y el otorgamiento de financiaciones a Pymes, empresas medianas y grandes empresas.</w:t>
      </w:r>
      <w:r w:rsidRPr="00701F32">
        <w:rPr>
          <w:rFonts w:ascii="Calibri" w:eastAsia="Calibri" w:hAnsi="Calibri"/>
          <w:sz w:val="22"/>
          <w:szCs w:val="22"/>
        </w:rPr>
        <w:t xml:space="preserve"> </w:t>
      </w:r>
    </w:p>
    <w:p w14:paraId="6128B977" w14:textId="77777777" w:rsidR="00656E62" w:rsidRPr="00701F32" w:rsidRDefault="00656E62" w:rsidP="00656E62">
      <w:pPr>
        <w:spacing w:after="160" w:line="259" w:lineRule="auto"/>
        <w:contextualSpacing/>
        <w:jc w:val="both"/>
        <w:rPr>
          <w:rFonts w:ascii="Arial" w:eastAsia="Calibri" w:hAnsi="Arial" w:cs="Arial"/>
          <w:bCs/>
          <w:sz w:val="20"/>
        </w:rPr>
      </w:pPr>
    </w:p>
    <w:p w14:paraId="725FE724" w14:textId="77777777" w:rsidR="00656E62" w:rsidRPr="00701F32" w:rsidRDefault="00656E62" w:rsidP="00627289">
      <w:pPr>
        <w:numPr>
          <w:ilvl w:val="0"/>
          <w:numId w:val="34"/>
        </w:numPr>
        <w:spacing w:after="160" w:line="259" w:lineRule="auto"/>
        <w:contextualSpacing/>
        <w:jc w:val="both"/>
        <w:rPr>
          <w:rFonts w:ascii="Arial" w:eastAsia="Calibri" w:hAnsi="Arial" w:cs="Arial"/>
          <w:bCs/>
          <w:sz w:val="20"/>
        </w:rPr>
      </w:pPr>
      <w:r w:rsidRPr="00701F32">
        <w:rPr>
          <w:rFonts w:ascii="Arial" w:eastAsia="Calibri" w:hAnsi="Arial" w:cs="Arial"/>
          <w:bCs/>
          <w:sz w:val="20"/>
        </w:rPr>
        <w:t>Tesorería: Este segmento es el responsable de la asignación de liquidez de la Entidad según las necesidades de las bancas y sus necesidades propias.</w:t>
      </w:r>
      <w:r w:rsidRPr="00701F32">
        <w:rPr>
          <w:rFonts w:ascii="Calibri" w:eastAsia="Calibri" w:hAnsi="Calibri"/>
          <w:sz w:val="22"/>
          <w:szCs w:val="22"/>
        </w:rPr>
        <w:t xml:space="preserve"> </w:t>
      </w:r>
      <w:r w:rsidRPr="00701F32">
        <w:rPr>
          <w:rFonts w:ascii="Arial" w:eastAsia="Calibri" w:hAnsi="Arial" w:cs="Arial"/>
          <w:bCs/>
          <w:sz w:val="20"/>
        </w:rPr>
        <w:t>El segmento Tesorería implementa las políticas de gestión de riesgo financiero del Banco, gestiona las operaciones de su mesa de dinero, distribuye productos financieros, por ejemplo valores negociables, y desarrolla negocios con los clientes del sector financiero y no financiero mayorista.</w:t>
      </w:r>
    </w:p>
    <w:p w14:paraId="1B34DE9A" w14:textId="77777777" w:rsidR="00656E62" w:rsidRPr="00701F32" w:rsidRDefault="00656E62" w:rsidP="00701F32">
      <w:pPr>
        <w:spacing w:after="160" w:line="259" w:lineRule="auto"/>
        <w:contextualSpacing/>
        <w:jc w:val="both"/>
        <w:rPr>
          <w:rFonts w:ascii="Arial" w:eastAsia="Calibri" w:hAnsi="Arial" w:cs="Arial"/>
          <w:bCs/>
          <w:color w:val="0000CC"/>
          <w:sz w:val="20"/>
        </w:rPr>
      </w:pPr>
    </w:p>
    <w:p w14:paraId="564C7822" w14:textId="77777777" w:rsidR="00656E62" w:rsidRPr="00701F32" w:rsidRDefault="00656E62" w:rsidP="00656E62">
      <w:pPr>
        <w:spacing w:after="160" w:line="259" w:lineRule="auto"/>
        <w:jc w:val="both"/>
        <w:rPr>
          <w:rFonts w:ascii="Arial" w:eastAsia="Calibri" w:hAnsi="Arial" w:cs="Arial"/>
          <w:bCs/>
          <w:sz w:val="20"/>
        </w:rPr>
      </w:pPr>
      <w:r w:rsidRPr="00701F32">
        <w:rPr>
          <w:rFonts w:ascii="Arial" w:eastAsia="Calibri" w:hAnsi="Arial" w:cs="Arial"/>
          <w:bCs/>
          <w:sz w:val="20"/>
        </w:rPr>
        <w:t xml:space="preserve">Los resultados operativos de los distintos segmentos operativos de la Entidad se monitorean por separado con el propósito de tomar decisiones sobre la asignación de recursos y la evaluación del desempeño de cada uno de los segmentos. El rendimiento de los mismos es evaluado basado en las ganancias o pérdidas operativas y es medido consistentemente con las ganancias y pérdidas operativas del estado </w:t>
      </w:r>
      <w:r w:rsidR="007D4640" w:rsidRPr="00701F32">
        <w:rPr>
          <w:rFonts w:ascii="Arial" w:eastAsia="Arial" w:hAnsi="Arial" w:cs="Arial"/>
          <w:sz w:val="20"/>
        </w:rPr>
        <w:t xml:space="preserve">separado </w:t>
      </w:r>
      <w:r w:rsidRPr="00701F32">
        <w:rPr>
          <w:rFonts w:ascii="Arial" w:eastAsia="Calibri" w:hAnsi="Arial" w:cs="Arial"/>
          <w:bCs/>
          <w:sz w:val="20"/>
        </w:rPr>
        <w:t>de ganancias y pérdidas.</w:t>
      </w:r>
    </w:p>
    <w:p w14:paraId="4EA9A769" w14:textId="52AA46FB" w:rsidR="00656E62" w:rsidRPr="00701F32" w:rsidRDefault="00656E62" w:rsidP="00656E62">
      <w:pPr>
        <w:spacing w:after="160" w:line="259" w:lineRule="auto"/>
        <w:jc w:val="both"/>
        <w:rPr>
          <w:rFonts w:ascii="Arial" w:eastAsia="Calibri" w:hAnsi="Arial" w:cs="Arial"/>
          <w:bCs/>
          <w:sz w:val="20"/>
        </w:rPr>
      </w:pPr>
      <w:r w:rsidRPr="00701F32">
        <w:rPr>
          <w:rFonts w:ascii="Arial" w:eastAsia="Calibri" w:hAnsi="Arial" w:cs="Arial"/>
          <w:bCs/>
          <w:sz w:val="20"/>
        </w:rPr>
        <w:t xml:space="preserve">Cuando ocurre alguna transacción, </w:t>
      </w:r>
      <w:r w:rsidR="008201EC">
        <w:rPr>
          <w:rFonts w:ascii="Arial" w:eastAsia="Calibri" w:hAnsi="Arial" w:cs="Arial"/>
          <w:bCs/>
          <w:sz w:val="20"/>
        </w:rPr>
        <w:t>la misma es realizada</w:t>
      </w:r>
      <w:r w:rsidRPr="00701F32">
        <w:rPr>
          <w:rFonts w:ascii="Arial" w:eastAsia="Calibri" w:hAnsi="Arial" w:cs="Arial"/>
          <w:bCs/>
          <w:sz w:val="20"/>
        </w:rPr>
        <w:t xml:space="preserve"> entre los segmentos operativos de manera similar a las transacciones realizadas con terceros. Los ingresos, los gastos y los resultados producidos por las transferencias entre los segmentos operativos son luego eliminadas de la consolidación.</w:t>
      </w:r>
    </w:p>
    <w:p w14:paraId="5D885909" w14:textId="77777777" w:rsidR="00656E62" w:rsidRPr="00701F32" w:rsidRDefault="00656E62" w:rsidP="00656E62">
      <w:pPr>
        <w:autoSpaceDE w:val="0"/>
        <w:autoSpaceDN w:val="0"/>
        <w:adjustRightInd w:val="0"/>
        <w:spacing w:after="160" w:line="259" w:lineRule="auto"/>
        <w:jc w:val="both"/>
        <w:rPr>
          <w:rFonts w:ascii="Arial" w:eastAsia="Calibri" w:hAnsi="Arial" w:cs="Arial"/>
          <w:color w:val="0000CC"/>
          <w:sz w:val="20"/>
        </w:rPr>
      </w:pPr>
      <w:r w:rsidRPr="00701F32">
        <w:rPr>
          <w:rFonts w:ascii="Arial" w:eastAsia="Calibri" w:hAnsi="Arial" w:cs="Arial"/>
          <w:sz w:val="20"/>
        </w:rPr>
        <w:t>La Entidad no presenta información por segmentos geográficos porque no existen explotaciones en entornos económicos con riesgos y rendimientos que sean significativamente diferentes</w:t>
      </w:r>
      <w:r w:rsidRPr="00701F32">
        <w:rPr>
          <w:rFonts w:ascii="Arial" w:eastAsia="Calibri" w:hAnsi="Arial" w:cs="Arial"/>
          <w:color w:val="0000CC"/>
          <w:sz w:val="20"/>
        </w:rPr>
        <w:t xml:space="preserve">. </w:t>
      </w:r>
    </w:p>
    <w:p w14:paraId="7D96C225" w14:textId="0890C206" w:rsidR="00DC0CC4" w:rsidRPr="00701F32" w:rsidRDefault="00656E62" w:rsidP="00DC0CC4">
      <w:pPr>
        <w:spacing w:after="160" w:line="259" w:lineRule="auto"/>
        <w:jc w:val="both"/>
        <w:rPr>
          <w:rFonts w:ascii="Arial" w:eastAsia="Calibri" w:hAnsi="Arial" w:cs="Arial"/>
          <w:bCs/>
          <w:sz w:val="20"/>
        </w:rPr>
      </w:pPr>
      <w:r w:rsidRPr="00701F32">
        <w:rPr>
          <w:rFonts w:ascii="Arial" w:eastAsia="Calibri" w:hAnsi="Arial" w:cs="Arial"/>
          <w:bCs/>
          <w:sz w:val="20"/>
        </w:rPr>
        <w:t xml:space="preserve">A continuación, se presenta la información por segmentos pertinente al </w:t>
      </w:r>
      <w:r w:rsidR="00886AE1">
        <w:rPr>
          <w:rFonts w:ascii="Arial" w:eastAsia="Calibri" w:hAnsi="Arial" w:cs="Arial"/>
          <w:bCs/>
          <w:sz w:val="20"/>
        </w:rPr>
        <w:t>3</w:t>
      </w:r>
      <w:r w:rsidR="00764FD5">
        <w:rPr>
          <w:rFonts w:ascii="Arial" w:eastAsia="Calibri" w:hAnsi="Arial" w:cs="Arial"/>
          <w:bCs/>
          <w:sz w:val="20"/>
        </w:rPr>
        <w:t>1</w:t>
      </w:r>
      <w:r w:rsidR="003915DE" w:rsidRPr="00701F32">
        <w:rPr>
          <w:rFonts w:ascii="Arial" w:eastAsia="Calibri" w:hAnsi="Arial" w:cs="Arial"/>
          <w:bCs/>
          <w:sz w:val="20"/>
        </w:rPr>
        <w:t xml:space="preserve"> de</w:t>
      </w:r>
      <w:r w:rsidR="0057197A">
        <w:rPr>
          <w:rFonts w:ascii="Arial" w:eastAsia="Calibri" w:hAnsi="Arial" w:cs="Arial"/>
          <w:bCs/>
          <w:sz w:val="20"/>
        </w:rPr>
        <w:t xml:space="preserve"> </w:t>
      </w:r>
      <w:r w:rsidR="00764FD5">
        <w:rPr>
          <w:rFonts w:ascii="Arial" w:eastAsia="Calibri" w:hAnsi="Arial" w:cs="Arial"/>
          <w:bCs/>
          <w:sz w:val="20"/>
        </w:rPr>
        <w:t>diciembre</w:t>
      </w:r>
      <w:r w:rsidR="000924A1" w:rsidRPr="00701F32">
        <w:rPr>
          <w:rFonts w:ascii="Arial" w:eastAsia="Calibri" w:hAnsi="Arial" w:cs="Arial"/>
          <w:bCs/>
          <w:sz w:val="20"/>
        </w:rPr>
        <w:t xml:space="preserve"> </w:t>
      </w:r>
      <w:r w:rsidRPr="00701F32">
        <w:rPr>
          <w:rFonts w:ascii="Arial" w:eastAsia="Calibri" w:hAnsi="Arial" w:cs="Arial"/>
          <w:bCs/>
          <w:sz w:val="20"/>
        </w:rPr>
        <w:t xml:space="preserve">de </w:t>
      </w:r>
      <w:r w:rsidR="000924A1" w:rsidRPr="00701F32">
        <w:rPr>
          <w:rFonts w:ascii="Arial" w:eastAsia="Calibri" w:hAnsi="Arial" w:cs="Arial"/>
          <w:bCs/>
          <w:sz w:val="20"/>
        </w:rPr>
        <w:t>201</w:t>
      </w:r>
      <w:r w:rsidR="000924A1">
        <w:rPr>
          <w:rFonts w:ascii="Arial" w:eastAsia="Calibri" w:hAnsi="Arial" w:cs="Arial"/>
          <w:bCs/>
          <w:sz w:val="20"/>
        </w:rPr>
        <w:t>9</w:t>
      </w:r>
      <w:r w:rsidR="000924A1" w:rsidRPr="00701F32">
        <w:rPr>
          <w:rFonts w:ascii="Arial" w:eastAsia="Calibri" w:hAnsi="Arial" w:cs="Arial"/>
          <w:bCs/>
          <w:sz w:val="20"/>
        </w:rPr>
        <w:t xml:space="preserve"> </w:t>
      </w:r>
      <w:r w:rsidRPr="00701F32">
        <w:rPr>
          <w:rFonts w:ascii="Arial" w:eastAsia="Calibri" w:hAnsi="Arial" w:cs="Arial"/>
          <w:bCs/>
          <w:sz w:val="20"/>
        </w:rPr>
        <w:t xml:space="preserve">y </w:t>
      </w:r>
      <w:r w:rsidR="000924A1" w:rsidRPr="00701F32">
        <w:rPr>
          <w:rFonts w:ascii="Arial" w:eastAsia="Calibri" w:hAnsi="Arial" w:cs="Arial"/>
          <w:bCs/>
          <w:sz w:val="20"/>
        </w:rPr>
        <w:t>201</w:t>
      </w:r>
      <w:r w:rsidR="000924A1">
        <w:rPr>
          <w:rFonts w:ascii="Arial" w:eastAsia="Calibri" w:hAnsi="Arial" w:cs="Arial"/>
          <w:bCs/>
          <w:sz w:val="20"/>
        </w:rPr>
        <w:t>8</w:t>
      </w:r>
      <w:r w:rsidR="000924A1" w:rsidRPr="00701F32">
        <w:rPr>
          <w:rFonts w:ascii="Arial" w:eastAsia="Calibri" w:hAnsi="Arial" w:cs="Arial"/>
          <w:bCs/>
          <w:sz w:val="20"/>
        </w:rPr>
        <w:t xml:space="preserve"> </w:t>
      </w:r>
      <w:r w:rsidRPr="00701F32">
        <w:rPr>
          <w:rFonts w:ascii="Arial" w:eastAsia="Calibri" w:hAnsi="Arial" w:cs="Arial"/>
          <w:bCs/>
          <w:sz w:val="20"/>
        </w:rPr>
        <w:t>respectivamente:</w:t>
      </w:r>
    </w:p>
    <w:tbl>
      <w:tblPr>
        <w:tblW w:w="10348" w:type="dxa"/>
        <w:jc w:val="center"/>
        <w:tblCellMar>
          <w:left w:w="70" w:type="dxa"/>
          <w:right w:w="70" w:type="dxa"/>
        </w:tblCellMar>
        <w:tblLook w:val="04A0" w:firstRow="1" w:lastRow="0" w:firstColumn="1" w:lastColumn="0" w:noHBand="0" w:noVBand="1"/>
      </w:tblPr>
      <w:tblGrid>
        <w:gridCol w:w="4253"/>
        <w:gridCol w:w="1559"/>
        <w:gridCol w:w="1559"/>
        <w:gridCol w:w="1701"/>
        <w:gridCol w:w="1276"/>
      </w:tblGrid>
      <w:tr w:rsidR="00DC0CC4" w:rsidRPr="00701F32" w14:paraId="4395B4C2" w14:textId="77777777" w:rsidTr="00F30223">
        <w:trPr>
          <w:trHeight w:val="423"/>
          <w:tblHeader/>
          <w:jc w:val="center"/>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309D8" w14:textId="39D1A21A" w:rsidR="00DC0CC4" w:rsidRPr="003E2094" w:rsidRDefault="00886AE1" w:rsidP="00886AE1">
            <w:pPr>
              <w:jc w:val="center"/>
              <w:rPr>
                <w:rFonts w:ascii="Arial" w:hAnsi="Arial" w:cs="Arial"/>
                <w:b/>
                <w:bCs/>
                <w:sz w:val="16"/>
                <w:szCs w:val="16"/>
                <w:lang w:val="es-ES_tradnl" w:eastAsia="es-AR"/>
              </w:rPr>
            </w:pPr>
            <w:r w:rsidRPr="008D7556">
              <w:rPr>
                <w:rFonts w:ascii="Arial" w:hAnsi="Arial" w:cs="Arial"/>
                <w:b/>
                <w:bCs/>
                <w:sz w:val="16"/>
                <w:szCs w:val="16"/>
                <w:lang w:eastAsia="es-AR"/>
              </w:rPr>
              <w:t xml:space="preserve">ACTIVO al </w:t>
            </w:r>
            <w:r w:rsidR="003C2633">
              <w:rPr>
                <w:rFonts w:ascii="Arial" w:hAnsi="Arial" w:cs="Arial"/>
                <w:b/>
                <w:bCs/>
                <w:sz w:val="16"/>
                <w:szCs w:val="16"/>
                <w:lang w:eastAsia="es-AR"/>
              </w:rPr>
              <w:t>3</w:t>
            </w:r>
            <w:r w:rsidR="00764FD5">
              <w:rPr>
                <w:rFonts w:ascii="Arial" w:hAnsi="Arial" w:cs="Arial"/>
                <w:b/>
                <w:bCs/>
                <w:sz w:val="16"/>
                <w:szCs w:val="16"/>
                <w:lang w:eastAsia="es-AR"/>
              </w:rPr>
              <w:t>1</w:t>
            </w:r>
            <w:r w:rsidR="003C2633">
              <w:rPr>
                <w:rFonts w:ascii="Arial" w:hAnsi="Arial" w:cs="Arial"/>
                <w:b/>
                <w:bCs/>
                <w:sz w:val="16"/>
                <w:szCs w:val="16"/>
                <w:lang w:eastAsia="es-AR"/>
              </w:rPr>
              <w:t>/</w:t>
            </w:r>
            <w:r w:rsidR="00764FD5">
              <w:rPr>
                <w:rFonts w:ascii="Arial" w:hAnsi="Arial" w:cs="Arial"/>
                <w:b/>
                <w:bCs/>
                <w:sz w:val="16"/>
                <w:szCs w:val="16"/>
                <w:lang w:eastAsia="es-AR"/>
              </w:rPr>
              <w:t>12</w:t>
            </w:r>
            <w:r w:rsidR="003C2633">
              <w:rPr>
                <w:rFonts w:ascii="Arial" w:hAnsi="Arial" w:cs="Arial"/>
                <w:b/>
                <w:bCs/>
                <w:sz w:val="16"/>
                <w:szCs w:val="16"/>
                <w:lang w:eastAsia="es-AR"/>
              </w:rPr>
              <w:t>/2019</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8BD5572" w14:textId="77777777" w:rsidR="00DC0CC4" w:rsidRPr="003E2094" w:rsidRDefault="00DC0CC4" w:rsidP="00DC0CC4">
            <w:pPr>
              <w:jc w:val="center"/>
              <w:rPr>
                <w:rFonts w:ascii="Arial" w:hAnsi="Arial" w:cs="Arial"/>
                <w:b/>
                <w:bCs/>
                <w:color w:val="000000"/>
                <w:sz w:val="16"/>
                <w:szCs w:val="16"/>
                <w:lang w:eastAsia="es-AR"/>
              </w:rPr>
            </w:pPr>
            <w:r w:rsidRPr="003E2094">
              <w:rPr>
                <w:rFonts w:ascii="Arial" w:hAnsi="Arial" w:cs="Arial"/>
                <w:b/>
                <w:bCs/>
                <w:color w:val="000000"/>
                <w:sz w:val="16"/>
                <w:szCs w:val="16"/>
                <w:lang w:eastAsia="es-AR"/>
              </w:rPr>
              <w:t xml:space="preserve"> Banca Empresa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283D62B" w14:textId="77777777" w:rsidR="00DC0CC4" w:rsidRPr="003E2094" w:rsidRDefault="00DC0CC4" w:rsidP="00DC0CC4">
            <w:pPr>
              <w:jc w:val="center"/>
              <w:rPr>
                <w:rFonts w:ascii="Arial" w:hAnsi="Arial" w:cs="Arial"/>
                <w:b/>
                <w:bCs/>
                <w:color w:val="000000"/>
                <w:sz w:val="16"/>
                <w:szCs w:val="16"/>
                <w:lang w:eastAsia="es-AR"/>
              </w:rPr>
            </w:pPr>
            <w:r w:rsidRPr="003E2094">
              <w:rPr>
                <w:rFonts w:ascii="Arial" w:hAnsi="Arial" w:cs="Arial"/>
                <w:b/>
                <w:bCs/>
                <w:color w:val="000000"/>
                <w:sz w:val="16"/>
                <w:szCs w:val="16"/>
                <w:lang w:eastAsia="es-AR"/>
              </w:rPr>
              <w:t xml:space="preserve"> Banca Minorista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6BC3511" w14:textId="77777777" w:rsidR="00DC0CC4" w:rsidRPr="003E2094" w:rsidRDefault="00DC0CC4" w:rsidP="00DC0CC4">
            <w:pPr>
              <w:jc w:val="center"/>
              <w:rPr>
                <w:rFonts w:ascii="Arial" w:hAnsi="Arial" w:cs="Arial"/>
                <w:b/>
                <w:bCs/>
                <w:color w:val="000000"/>
                <w:sz w:val="16"/>
                <w:szCs w:val="16"/>
                <w:lang w:eastAsia="es-AR"/>
              </w:rPr>
            </w:pPr>
            <w:r w:rsidRPr="003E2094">
              <w:rPr>
                <w:rFonts w:ascii="Arial" w:hAnsi="Arial" w:cs="Arial"/>
                <w:b/>
                <w:bCs/>
                <w:color w:val="000000"/>
                <w:sz w:val="16"/>
                <w:szCs w:val="16"/>
                <w:lang w:eastAsia="es-AR"/>
              </w:rPr>
              <w:t xml:space="preserve"> Tesorería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D4CBA59" w14:textId="77777777" w:rsidR="00DC0CC4" w:rsidRPr="00701F32" w:rsidRDefault="00DC0CC4" w:rsidP="00DC0CC4">
            <w:pPr>
              <w:jc w:val="center"/>
              <w:rPr>
                <w:rFonts w:ascii="Arial" w:hAnsi="Arial" w:cs="Arial"/>
                <w:b/>
                <w:bCs/>
                <w:color w:val="000000"/>
                <w:sz w:val="16"/>
                <w:szCs w:val="16"/>
                <w:lang w:eastAsia="es-AR"/>
              </w:rPr>
            </w:pPr>
            <w:r w:rsidRPr="003E2094">
              <w:rPr>
                <w:rFonts w:ascii="Arial" w:hAnsi="Arial" w:cs="Arial"/>
                <w:b/>
                <w:bCs/>
                <w:color w:val="000000"/>
                <w:sz w:val="16"/>
                <w:szCs w:val="16"/>
                <w:lang w:eastAsia="es-AR"/>
              </w:rPr>
              <w:t xml:space="preserve"> TOTAL</w:t>
            </w:r>
            <w:r w:rsidRPr="00701F32">
              <w:rPr>
                <w:rFonts w:ascii="Arial" w:hAnsi="Arial" w:cs="Arial"/>
                <w:b/>
                <w:bCs/>
                <w:color w:val="000000"/>
                <w:sz w:val="16"/>
                <w:szCs w:val="16"/>
                <w:lang w:eastAsia="es-AR"/>
              </w:rPr>
              <w:t xml:space="preserve"> </w:t>
            </w:r>
          </w:p>
        </w:tc>
      </w:tr>
      <w:tr w:rsidR="003B35C5" w:rsidRPr="00701F32" w14:paraId="549062E5" w14:textId="77777777" w:rsidTr="006E1AF7">
        <w:trPr>
          <w:trHeight w:val="23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61445ACE" w14:textId="6D8423F6" w:rsidR="003B35C5" w:rsidRPr="00801FD6" w:rsidRDefault="003B35C5" w:rsidP="003B35C5">
            <w:pPr>
              <w:rPr>
                <w:rFonts w:ascii="Arial" w:hAnsi="Arial" w:cs="Arial"/>
                <w:bCs/>
                <w:sz w:val="16"/>
                <w:szCs w:val="16"/>
                <w:lang w:eastAsia="es-AR"/>
              </w:rPr>
            </w:pPr>
            <w:r w:rsidRPr="00801FD6">
              <w:rPr>
                <w:rFonts w:ascii="Arial" w:hAnsi="Arial" w:cs="Arial"/>
                <w:sz w:val="16"/>
                <w:szCs w:val="16"/>
              </w:rPr>
              <w:t>Efectivo y Depósitos en Bancos</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165C72FF" w14:textId="76E14353"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1.022.915 </w:t>
            </w:r>
          </w:p>
        </w:tc>
        <w:tc>
          <w:tcPr>
            <w:tcW w:w="1559" w:type="dxa"/>
            <w:tcBorders>
              <w:top w:val="nil"/>
              <w:left w:val="nil"/>
              <w:bottom w:val="single" w:sz="4" w:space="0" w:color="auto"/>
              <w:right w:val="single" w:sz="4" w:space="0" w:color="auto"/>
            </w:tcBorders>
            <w:shd w:val="clear" w:color="000000" w:fill="FFFFFF"/>
            <w:noWrap/>
            <w:vAlign w:val="center"/>
          </w:tcPr>
          <w:p w14:paraId="73B45229" w14:textId="3AE0C927"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7.691.602 </w:t>
            </w:r>
          </w:p>
        </w:tc>
        <w:tc>
          <w:tcPr>
            <w:tcW w:w="1701" w:type="dxa"/>
            <w:tcBorders>
              <w:top w:val="nil"/>
              <w:left w:val="nil"/>
              <w:bottom w:val="single" w:sz="4" w:space="0" w:color="auto"/>
              <w:right w:val="single" w:sz="4" w:space="0" w:color="auto"/>
            </w:tcBorders>
            <w:shd w:val="clear" w:color="000000" w:fill="FFFFFF"/>
            <w:noWrap/>
            <w:vAlign w:val="center"/>
          </w:tcPr>
          <w:p w14:paraId="67C0F191" w14:textId="5C91BCB3"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16.870.527 </w:t>
            </w:r>
          </w:p>
        </w:tc>
        <w:tc>
          <w:tcPr>
            <w:tcW w:w="1276" w:type="dxa"/>
            <w:tcBorders>
              <w:top w:val="nil"/>
              <w:left w:val="nil"/>
              <w:bottom w:val="single" w:sz="4" w:space="0" w:color="auto"/>
              <w:right w:val="single" w:sz="4" w:space="0" w:color="auto"/>
            </w:tcBorders>
            <w:shd w:val="clear" w:color="000000" w:fill="FFFFFF"/>
            <w:noWrap/>
            <w:vAlign w:val="center"/>
          </w:tcPr>
          <w:p w14:paraId="70003F7C" w14:textId="5E010F91"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25.585.044 </w:t>
            </w:r>
          </w:p>
        </w:tc>
      </w:tr>
      <w:tr w:rsidR="003B35C5" w:rsidRPr="00701F32" w14:paraId="5395604A" w14:textId="77777777" w:rsidTr="006E1AF7">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422EC5EE" w14:textId="066027EF" w:rsidR="003B35C5" w:rsidRPr="00801FD6" w:rsidRDefault="003B35C5" w:rsidP="003B35C5">
            <w:pPr>
              <w:rPr>
                <w:rFonts w:ascii="Arial" w:hAnsi="Arial" w:cs="Arial"/>
                <w:sz w:val="16"/>
                <w:szCs w:val="16"/>
                <w:lang w:eastAsia="es-AR"/>
              </w:rPr>
            </w:pPr>
            <w:r w:rsidRPr="00801FD6">
              <w:rPr>
                <w:rFonts w:ascii="Arial" w:hAnsi="Arial" w:cs="Arial"/>
                <w:sz w:val="16"/>
                <w:szCs w:val="16"/>
              </w:rPr>
              <w:t xml:space="preserve">   Efectivo</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176C1407" w14:textId="69BF2722"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1.022.724 </w:t>
            </w:r>
          </w:p>
        </w:tc>
        <w:tc>
          <w:tcPr>
            <w:tcW w:w="1559" w:type="dxa"/>
            <w:tcBorders>
              <w:top w:val="nil"/>
              <w:left w:val="nil"/>
              <w:bottom w:val="single" w:sz="4" w:space="0" w:color="auto"/>
              <w:right w:val="single" w:sz="4" w:space="0" w:color="auto"/>
            </w:tcBorders>
            <w:shd w:val="clear" w:color="000000" w:fill="FFFFFF"/>
            <w:noWrap/>
            <w:vAlign w:val="center"/>
          </w:tcPr>
          <w:p w14:paraId="28491ED8" w14:textId="654D2E0C"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7.672.762 </w:t>
            </w:r>
          </w:p>
        </w:tc>
        <w:tc>
          <w:tcPr>
            <w:tcW w:w="1701" w:type="dxa"/>
            <w:tcBorders>
              <w:top w:val="nil"/>
              <w:left w:val="nil"/>
              <w:bottom w:val="single" w:sz="4" w:space="0" w:color="auto"/>
              <w:right w:val="single" w:sz="4" w:space="0" w:color="auto"/>
            </w:tcBorders>
            <w:shd w:val="clear" w:color="000000" w:fill="FFFFFF"/>
            <w:noWrap/>
            <w:vAlign w:val="center"/>
          </w:tcPr>
          <w:p w14:paraId="18311731" w14:textId="5CEC755F"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   </w:t>
            </w:r>
          </w:p>
        </w:tc>
        <w:tc>
          <w:tcPr>
            <w:tcW w:w="1276" w:type="dxa"/>
            <w:tcBorders>
              <w:top w:val="nil"/>
              <w:left w:val="nil"/>
              <w:bottom w:val="single" w:sz="4" w:space="0" w:color="auto"/>
              <w:right w:val="single" w:sz="4" w:space="0" w:color="auto"/>
            </w:tcBorders>
            <w:shd w:val="clear" w:color="000000" w:fill="FFFFFF"/>
            <w:noWrap/>
            <w:vAlign w:val="center"/>
          </w:tcPr>
          <w:p w14:paraId="2E537AA9" w14:textId="765FB6BE" w:rsidR="003B35C5" w:rsidRPr="003B35C5" w:rsidRDefault="003B35C5">
            <w:pPr>
              <w:jc w:val="right"/>
              <w:rPr>
                <w:rFonts w:ascii="Arial" w:hAnsi="Arial" w:cs="Arial"/>
                <w:bCs/>
                <w:sz w:val="16"/>
                <w:szCs w:val="16"/>
                <w:lang w:val="es-ES_tradnl" w:eastAsia="es-AR"/>
              </w:rPr>
            </w:pPr>
            <w:r w:rsidRPr="006E1AF7">
              <w:rPr>
                <w:rFonts w:ascii="Arial" w:hAnsi="Arial" w:cs="Arial"/>
                <w:b/>
                <w:bCs/>
                <w:sz w:val="16"/>
                <w:szCs w:val="16"/>
              </w:rPr>
              <w:t xml:space="preserve">8.695.486 </w:t>
            </w:r>
          </w:p>
        </w:tc>
      </w:tr>
      <w:tr w:rsidR="003B35C5" w:rsidRPr="00701F32" w14:paraId="147533CB" w14:textId="77777777" w:rsidTr="006E1AF7">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noWrap/>
          </w:tcPr>
          <w:p w14:paraId="161A3E89" w14:textId="4D1E1BCA" w:rsidR="003B35C5" w:rsidRPr="00801FD6" w:rsidRDefault="003B35C5" w:rsidP="003B35C5">
            <w:pPr>
              <w:rPr>
                <w:rFonts w:ascii="Arial" w:hAnsi="Arial" w:cs="Arial"/>
                <w:sz w:val="16"/>
                <w:szCs w:val="16"/>
              </w:rPr>
            </w:pPr>
            <w:r w:rsidRPr="00801FD6">
              <w:rPr>
                <w:rFonts w:ascii="Arial" w:hAnsi="Arial" w:cs="Arial"/>
                <w:sz w:val="16"/>
                <w:szCs w:val="16"/>
                <w:lang w:eastAsia="es-AR"/>
              </w:rPr>
              <w:t xml:space="preserve">   Entidades Financieras y corresponsales</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07DDCBBD" w14:textId="48270B9F" w:rsidR="003B35C5" w:rsidRPr="003B35C5" w:rsidRDefault="003B35C5">
            <w:pPr>
              <w:jc w:val="right"/>
              <w:rPr>
                <w:rFonts w:ascii="Arial" w:hAnsi="Arial" w:cs="Arial"/>
                <w:bCs/>
                <w:sz w:val="16"/>
                <w:szCs w:val="16"/>
                <w:lang w:eastAsia="es-AR"/>
              </w:rPr>
            </w:pPr>
          </w:p>
        </w:tc>
        <w:tc>
          <w:tcPr>
            <w:tcW w:w="1559" w:type="dxa"/>
            <w:tcBorders>
              <w:top w:val="nil"/>
              <w:left w:val="nil"/>
              <w:bottom w:val="single" w:sz="4" w:space="0" w:color="auto"/>
              <w:right w:val="single" w:sz="4" w:space="0" w:color="auto"/>
            </w:tcBorders>
            <w:shd w:val="clear" w:color="000000" w:fill="FFFFFF"/>
            <w:noWrap/>
            <w:vAlign w:val="center"/>
          </w:tcPr>
          <w:p w14:paraId="62DDCD73" w14:textId="1CF5AA48" w:rsidR="003B35C5" w:rsidRPr="003B35C5" w:rsidRDefault="003B35C5">
            <w:pPr>
              <w:jc w:val="right"/>
              <w:rPr>
                <w:rFonts w:ascii="Arial" w:hAnsi="Arial" w:cs="Arial"/>
                <w:bCs/>
                <w:sz w:val="16"/>
                <w:szCs w:val="16"/>
                <w:lang w:eastAsia="es-AR"/>
              </w:rPr>
            </w:pPr>
          </w:p>
        </w:tc>
        <w:tc>
          <w:tcPr>
            <w:tcW w:w="1701" w:type="dxa"/>
            <w:tcBorders>
              <w:top w:val="nil"/>
              <w:left w:val="nil"/>
              <w:bottom w:val="single" w:sz="4" w:space="0" w:color="auto"/>
              <w:right w:val="single" w:sz="4" w:space="0" w:color="auto"/>
            </w:tcBorders>
            <w:shd w:val="clear" w:color="000000" w:fill="FFFFFF"/>
            <w:noWrap/>
            <w:vAlign w:val="center"/>
          </w:tcPr>
          <w:p w14:paraId="721FB307" w14:textId="0A12F183" w:rsidR="003B35C5" w:rsidRPr="003B35C5" w:rsidRDefault="003B35C5">
            <w:pPr>
              <w:jc w:val="right"/>
              <w:rPr>
                <w:rFonts w:ascii="Arial" w:hAnsi="Arial" w:cs="Arial"/>
                <w:bCs/>
                <w:sz w:val="16"/>
                <w:szCs w:val="16"/>
                <w:lang w:eastAsia="es-AR"/>
              </w:rPr>
            </w:pPr>
          </w:p>
        </w:tc>
        <w:tc>
          <w:tcPr>
            <w:tcW w:w="1276" w:type="dxa"/>
            <w:tcBorders>
              <w:top w:val="nil"/>
              <w:left w:val="nil"/>
              <w:bottom w:val="single" w:sz="4" w:space="0" w:color="auto"/>
              <w:right w:val="single" w:sz="4" w:space="0" w:color="auto"/>
            </w:tcBorders>
            <w:shd w:val="clear" w:color="000000" w:fill="FFFFFF"/>
            <w:noWrap/>
            <w:vAlign w:val="center"/>
          </w:tcPr>
          <w:p w14:paraId="45241638" w14:textId="0570085E" w:rsidR="003B35C5" w:rsidRPr="003B35C5" w:rsidRDefault="003B35C5">
            <w:pPr>
              <w:jc w:val="right"/>
              <w:rPr>
                <w:rFonts w:ascii="Arial" w:hAnsi="Arial" w:cs="Arial"/>
                <w:bCs/>
                <w:sz w:val="16"/>
                <w:szCs w:val="16"/>
                <w:lang w:val="es-ES_tradnl" w:eastAsia="es-AR"/>
              </w:rPr>
            </w:pPr>
          </w:p>
        </w:tc>
      </w:tr>
      <w:tr w:rsidR="003B35C5" w:rsidRPr="00701F32" w14:paraId="24D89B1D" w14:textId="77777777" w:rsidTr="006E1AF7">
        <w:trPr>
          <w:trHeight w:val="229"/>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tcPr>
          <w:p w14:paraId="6EB3DDBF" w14:textId="468B9ACA" w:rsidR="003B35C5" w:rsidRPr="00801FD6" w:rsidRDefault="003B35C5" w:rsidP="003B35C5">
            <w:pPr>
              <w:rPr>
                <w:rFonts w:ascii="Arial" w:hAnsi="Arial" w:cs="Arial"/>
                <w:sz w:val="16"/>
                <w:szCs w:val="16"/>
                <w:lang w:eastAsia="es-AR"/>
              </w:rPr>
            </w:pPr>
            <w:r w:rsidRPr="00801FD6">
              <w:rPr>
                <w:rFonts w:ascii="Arial" w:hAnsi="Arial" w:cs="Arial"/>
                <w:sz w:val="16"/>
                <w:szCs w:val="16"/>
              </w:rPr>
              <w:t xml:space="preserve">      BCRA</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054EE106" w14:textId="50F2932E" w:rsidR="003B35C5" w:rsidRPr="003B35C5" w:rsidRDefault="003B35C5">
            <w:pPr>
              <w:jc w:val="right"/>
              <w:rPr>
                <w:rFonts w:ascii="Arial" w:hAnsi="Arial" w:cs="Arial"/>
                <w:sz w:val="16"/>
                <w:szCs w:val="16"/>
              </w:rPr>
            </w:pPr>
            <w:r w:rsidRPr="006E1AF7">
              <w:rPr>
                <w:rFonts w:ascii="Arial" w:hAnsi="Arial" w:cs="Arial"/>
                <w:sz w:val="16"/>
                <w:szCs w:val="16"/>
              </w:rPr>
              <w:t xml:space="preserve">-   </w:t>
            </w:r>
          </w:p>
        </w:tc>
        <w:tc>
          <w:tcPr>
            <w:tcW w:w="1559" w:type="dxa"/>
            <w:tcBorders>
              <w:top w:val="nil"/>
              <w:left w:val="nil"/>
              <w:bottom w:val="single" w:sz="4" w:space="0" w:color="auto"/>
              <w:right w:val="single" w:sz="4" w:space="0" w:color="auto"/>
            </w:tcBorders>
            <w:shd w:val="clear" w:color="000000" w:fill="FFFFFF"/>
            <w:noWrap/>
            <w:vAlign w:val="center"/>
          </w:tcPr>
          <w:p w14:paraId="3E1B67BD" w14:textId="050524CE" w:rsidR="003B35C5" w:rsidRPr="003B35C5" w:rsidRDefault="003B35C5">
            <w:pPr>
              <w:jc w:val="right"/>
              <w:rPr>
                <w:rFonts w:ascii="Arial" w:hAnsi="Arial" w:cs="Arial"/>
                <w:sz w:val="16"/>
                <w:szCs w:val="16"/>
              </w:rPr>
            </w:pPr>
            <w:r w:rsidRPr="006E1AF7">
              <w:rPr>
                <w:rFonts w:ascii="Arial" w:hAnsi="Arial" w:cs="Arial"/>
                <w:sz w:val="16"/>
                <w:szCs w:val="16"/>
              </w:rPr>
              <w:t xml:space="preserve">-   </w:t>
            </w:r>
          </w:p>
        </w:tc>
        <w:tc>
          <w:tcPr>
            <w:tcW w:w="1701" w:type="dxa"/>
            <w:tcBorders>
              <w:top w:val="nil"/>
              <w:left w:val="nil"/>
              <w:bottom w:val="single" w:sz="4" w:space="0" w:color="auto"/>
              <w:right w:val="single" w:sz="4" w:space="0" w:color="auto"/>
            </w:tcBorders>
            <w:shd w:val="clear" w:color="000000" w:fill="FFFFFF"/>
            <w:noWrap/>
            <w:vAlign w:val="center"/>
          </w:tcPr>
          <w:p w14:paraId="3C679F38" w14:textId="3161A530" w:rsidR="003B35C5" w:rsidRPr="003B35C5" w:rsidRDefault="003B35C5">
            <w:pPr>
              <w:jc w:val="right"/>
              <w:rPr>
                <w:rFonts w:ascii="Arial" w:hAnsi="Arial" w:cs="Arial"/>
                <w:sz w:val="16"/>
                <w:szCs w:val="16"/>
              </w:rPr>
            </w:pPr>
            <w:r w:rsidRPr="006E1AF7">
              <w:rPr>
                <w:rFonts w:ascii="Arial" w:hAnsi="Arial" w:cs="Arial"/>
                <w:sz w:val="16"/>
                <w:szCs w:val="16"/>
              </w:rPr>
              <w:t xml:space="preserve">15.806.426 </w:t>
            </w:r>
          </w:p>
        </w:tc>
        <w:tc>
          <w:tcPr>
            <w:tcW w:w="1276" w:type="dxa"/>
            <w:tcBorders>
              <w:top w:val="nil"/>
              <w:left w:val="nil"/>
              <w:bottom w:val="single" w:sz="4" w:space="0" w:color="auto"/>
              <w:right w:val="single" w:sz="4" w:space="0" w:color="auto"/>
            </w:tcBorders>
            <w:shd w:val="clear" w:color="000000" w:fill="FFFFFF"/>
            <w:noWrap/>
            <w:vAlign w:val="center"/>
          </w:tcPr>
          <w:p w14:paraId="6E53EDD9" w14:textId="0A0AFEAE" w:rsidR="003B35C5" w:rsidRPr="003B35C5" w:rsidRDefault="003B35C5">
            <w:pPr>
              <w:jc w:val="right"/>
              <w:rPr>
                <w:rFonts w:ascii="Arial" w:hAnsi="Arial" w:cs="Arial"/>
                <w:sz w:val="16"/>
                <w:szCs w:val="16"/>
              </w:rPr>
            </w:pPr>
            <w:r w:rsidRPr="006E1AF7">
              <w:rPr>
                <w:rFonts w:ascii="Arial" w:hAnsi="Arial" w:cs="Arial"/>
                <w:b/>
                <w:bCs/>
                <w:sz w:val="16"/>
                <w:szCs w:val="16"/>
              </w:rPr>
              <w:t xml:space="preserve">15.806.426 </w:t>
            </w:r>
          </w:p>
        </w:tc>
      </w:tr>
      <w:tr w:rsidR="003B35C5" w:rsidRPr="00701F32" w14:paraId="696E30B6" w14:textId="77777777" w:rsidTr="006E1AF7">
        <w:trPr>
          <w:trHeight w:val="229"/>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79300807" w14:textId="38F9CCAD" w:rsidR="003B35C5" w:rsidRPr="00801FD6" w:rsidRDefault="003B35C5" w:rsidP="003B35C5">
            <w:pPr>
              <w:rPr>
                <w:rFonts w:ascii="Arial" w:hAnsi="Arial" w:cs="Arial"/>
                <w:sz w:val="16"/>
                <w:szCs w:val="16"/>
                <w:lang w:eastAsia="es-AR"/>
              </w:rPr>
            </w:pPr>
            <w:r w:rsidRPr="00801FD6">
              <w:rPr>
                <w:rFonts w:ascii="Arial" w:hAnsi="Arial" w:cs="Arial"/>
                <w:sz w:val="16"/>
                <w:szCs w:val="16"/>
              </w:rPr>
              <w:t xml:space="preserve">      Otras del país y del exterior</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42B0F86B" w14:textId="62D8FD53"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   </w:t>
            </w:r>
          </w:p>
        </w:tc>
        <w:tc>
          <w:tcPr>
            <w:tcW w:w="1559" w:type="dxa"/>
            <w:tcBorders>
              <w:top w:val="nil"/>
              <w:left w:val="nil"/>
              <w:bottom w:val="single" w:sz="4" w:space="0" w:color="auto"/>
              <w:right w:val="single" w:sz="4" w:space="0" w:color="auto"/>
            </w:tcBorders>
            <w:shd w:val="clear" w:color="000000" w:fill="FFFFFF"/>
            <w:noWrap/>
            <w:vAlign w:val="center"/>
          </w:tcPr>
          <w:p w14:paraId="1A36EEB9" w14:textId="397B481F"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   </w:t>
            </w:r>
          </w:p>
        </w:tc>
        <w:tc>
          <w:tcPr>
            <w:tcW w:w="1701" w:type="dxa"/>
            <w:tcBorders>
              <w:top w:val="nil"/>
              <w:left w:val="nil"/>
              <w:bottom w:val="single" w:sz="4" w:space="0" w:color="auto"/>
              <w:right w:val="single" w:sz="4" w:space="0" w:color="auto"/>
            </w:tcBorders>
            <w:shd w:val="clear" w:color="000000" w:fill="FFFFFF"/>
            <w:noWrap/>
            <w:vAlign w:val="center"/>
          </w:tcPr>
          <w:p w14:paraId="4870FE7B" w14:textId="498AA77A" w:rsidR="003B35C5" w:rsidRPr="003B35C5" w:rsidRDefault="003B35C5">
            <w:pPr>
              <w:jc w:val="right"/>
              <w:rPr>
                <w:rFonts w:ascii="Arial" w:hAnsi="Arial" w:cs="Arial"/>
                <w:bCs/>
                <w:sz w:val="16"/>
                <w:szCs w:val="16"/>
                <w:lang w:val="es-ES_tradnl" w:eastAsia="es-AR"/>
              </w:rPr>
            </w:pPr>
            <w:r w:rsidRPr="006E1AF7">
              <w:rPr>
                <w:rFonts w:ascii="Arial" w:hAnsi="Arial" w:cs="Arial"/>
                <w:sz w:val="16"/>
                <w:szCs w:val="16"/>
              </w:rPr>
              <w:t xml:space="preserve">1.053.222 </w:t>
            </w:r>
          </w:p>
        </w:tc>
        <w:tc>
          <w:tcPr>
            <w:tcW w:w="1276" w:type="dxa"/>
            <w:tcBorders>
              <w:top w:val="nil"/>
              <w:left w:val="nil"/>
              <w:bottom w:val="single" w:sz="4" w:space="0" w:color="auto"/>
              <w:right w:val="single" w:sz="4" w:space="0" w:color="auto"/>
            </w:tcBorders>
            <w:shd w:val="clear" w:color="000000" w:fill="FFFFFF"/>
            <w:noWrap/>
            <w:vAlign w:val="center"/>
          </w:tcPr>
          <w:p w14:paraId="31DF9544" w14:textId="6747C178" w:rsidR="003B35C5" w:rsidRPr="003B35C5" w:rsidRDefault="003B35C5">
            <w:pPr>
              <w:jc w:val="right"/>
              <w:rPr>
                <w:rFonts w:ascii="Arial" w:hAnsi="Arial" w:cs="Arial"/>
                <w:bCs/>
                <w:sz w:val="16"/>
                <w:szCs w:val="16"/>
                <w:lang w:val="es-ES_tradnl" w:eastAsia="es-AR"/>
              </w:rPr>
            </w:pPr>
            <w:r w:rsidRPr="006E1AF7">
              <w:rPr>
                <w:rFonts w:ascii="Arial" w:hAnsi="Arial" w:cs="Arial"/>
                <w:b/>
                <w:bCs/>
                <w:sz w:val="16"/>
                <w:szCs w:val="16"/>
              </w:rPr>
              <w:t xml:space="preserve">1.053.222 </w:t>
            </w:r>
          </w:p>
        </w:tc>
      </w:tr>
      <w:tr w:rsidR="003B35C5" w:rsidRPr="00701F32" w14:paraId="0AC5037B" w14:textId="77777777" w:rsidTr="006E1AF7">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434F9C3F" w14:textId="1524CE33" w:rsidR="003B35C5" w:rsidRPr="00801FD6" w:rsidRDefault="003B35C5" w:rsidP="003B35C5">
            <w:pPr>
              <w:rPr>
                <w:rFonts w:ascii="Arial" w:hAnsi="Arial" w:cs="Arial"/>
                <w:sz w:val="16"/>
                <w:szCs w:val="16"/>
                <w:lang w:eastAsia="es-AR"/>
              </w:rPr>
            </w:pPr>
            <w:r w:rsidRPr="00801FD6">
              <w:rPr>
                <w:rFonts w:ascii="Arial" w:hAnsi="Arial" w:cs="Arial"/>
                <w:sz w:val="16"/>
                <w:szCs w:val="16"/>
              </w:rPr>
              <w:t xml:space="preserve">   Otros</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6029E677" w14:textId="46D603BE"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191 </w:t>
            </w:r>
          </w:p>
        </w:tc>
        <w:tc>
          <w:tcPr>
            <w:tcW w:w="1559" w:type="dxa"/>
            <w:tcBorders>
              <w:top w:val="nil"/>
              <w:left w:val="nil"/>
              <w:bottom w:val="single" w:sz="4" w:space="0" w:color="auto"/>
              <w:right w:val="single" w:sz="4" w:space="0" w:color="auto"/>
            </w:tcBorders>
            <w:shd w:val="clear" w:color="000000" w:fill="FFFFFF"/>
            <w:noWrap/>
            <w:vAlign w:val="center"/>
          </w:tcPr>
          <w:p w14:paraId="427B4B4E" w14:textId="1B5A6020"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18.840 </w:t>
            </w:r>
          </w:p>
        </w:tc>
        <w:tc>
          <w:tcPr>
            <w:tcW w:w="1701" w:type="dxa"/>
            <w:tcBorders>
              <w:top w:val="nil"/>
              <w:left w:val="nil"/>
              <w:bottom w:val="single" w:sz="4" w:space="0" w:color="auto"/>
              <w:right w:val="single" w:sz="4" w:space="0" w:color="auto"/>
            </w:tcBorders>
            <w:shd w:val="clear" w:color="000000" w:fill="FFFFFF"/>
            <w:noWrap/>
            <w:vAlign w:val="center"/>
          </w:tcPr>
          <w:p w14:paraId="0F04D4A4" w14:textId="752665C4"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10.879 </w:t>
            </w:r>
          </w:p>
        </w:tc>
        <w:tc>
          <w:tcPr>
            <w:tcW w:w="1276" w:type="dxa"/>
            <w:tcBorders>
              <w:top w:val="nil"/>
              <w:left w:val="nil"/>
              <w:bottom w:val="single" w:sz="4" w:space="0" w:color="auto"/>
              <w:right w:val="single" w:sz="4" w:space="0" w:color="auto"/>
            </w:tcBorders>
            <w:shd w:val="clear" w:color="000000" w:fill="FFFFFF"/>
            <w:noWrap/>
            <w:vAlign w:val="center"/>
          </w:tcPr>
          <w:p w14:paraId="475E613C" w14:textId="5D1B0E9B" w:rsidR="003B35C5" w:rsidRPr="003B35C5" w:rsidRDefault="003B35C5">
            <w:pPr>
              <w:jc w:val="right"/>
              <w:rPr>
                <w:rFonts w:ascii="Arial" w:hAnsi="Arial" w:cs="Arial"/>
                <w:bCs/>
                <w:sz w:val="16"/>
                <w:szCs w:val="16"/>
                <w:lang w:eastAsia="es-AR"/>
              </w:rPr>
            </w:pPr>
            <w:r w:rsidRPr="006E1AF7">
              <w:rPr>
                <w:rFonts w:ascii="Arial" w:hAnsi="Arial" w:cs="Arial"/>
                <w:b/>
                <w:bCs/>
                <w:sz w:val="16"/>
                <w:szCs w:val="16"/>
              </w:rPr>
              <w:t xml:space="preserve">29.910 </w:t>
            </w:r>
          </w:p>
        </w:tc>
      </w:tr>
      <w:tr w:rsidR="003B35C5" w:rsidRPr="00701F32" w14:paraId="5CF598DE" w14:textId="77777777" w:rsidTr="006E1AF7">
        <w:trPr>
          <w:trHeight w:val="186"/>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43234081" w14:textId="6F45E4FB" w:rsidR="003B35C5" w:rsidRPr="00801FD6" w:rsidRDefault="003B35C5" w:rsidP="003B35C5">
            <w:pPr>
              <w:rPr>
                <w:rFonts w:ascii="Arial" w:hAnsi="Arial" w:cs="Arial"/>
                <w:sz w:val="16"/>
                <w:szCs w:val="16"/>
                <w:lang w:eastAsia="es-AR"/>
              </w:rPr>
            </w:pPr>
            <w:r w:rsidRPr="00801FD6">
              <w:rPr>
                <w:rFonts w:ascii="Arial" w:hAnsi="Arial" w:cs="Arial"/>
                <w:sz w:val="16"/>
                <w:szCs w:val="16"/>
              </w:rPr>
              <w:t>Títulos de deuda a valor razonable con cambios en resultados</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3A6E5EE5" w14:textId="720C3AA1"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559" w:type="dxa"/>
            <w:tcBorders>
              <w:top w:val="nil"/>
              <w:left w:val="nil"/>
              <w:bottom w:val="single" w:sz="4" w:space="0" w:color="auto"/>
              <w:right w:val="single" w:sz="4" w:space="0" w:color="auto"/>
            </w:tcBorders>
            <w:shd w:val="clear" w:color="000000" w:fill="FFFFFF"/>
            <w:noWrap/>
            <w:vAlign w:val="center"/>
          </w:tcPr>
          <w:p w14:paraId="373B3C5A" w14:textId="5A322906"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701" w:type="dxa"/>
            <w:tcBorders>
              <w:top w:val="nil"/>
              <w:left w:val="nil"/>
              <w:bottom w:val="single" w:sz="4" w:space="0" w:color="auto"/>
              <w:right w:val="single" w:sz="4" w:space="0" w:color="auto"/>
            </w:tcBorders>
            <w:shd w:val="clear" w:color="000000" w:fill="FFFFFF"/>
            <w:noWrap/>
            <w:vAlign w:val="center"/>
          </w:tcPr>
          <w:p w14:paraId="76871545" w14:textId="515CB2CE"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312.306 </w:t>
            </w:r>
          </w:p>
        </w:tc>
        <w:tc>
          <w:tcPr>
            <w:tcW w:w="1276" w:type="dxa"/>
            <w:tcBorders>
              <w:top w:val="nil"/>
              <w:left w:val="nil"/>
              <w:bottom w:val="single" w:sz="4" w:space="0" w:color="auto"/>
              <w:right w:val="single" w:sz="4" w:space="0" w:color="auto"/>
            </w:tcBorders>
            <w:shd w:val="clear" w:color="000000" w:fill="FFFFFF"/>
            <w:noWrap/>
            <w:vAlign w:val="center"/>
          </w:tcPr>
          <w:p w14:paraId="3747EA55" w14:textId="6C446AB1"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312.306 </w:t>
            </w:r>
          </w:p>
        </w:tc>
      </w:tr>
      <w:tr w:rsidR="003B35C5" w:rsidRPr="00701F32" w14:paraId="39A5F286" w14:textId="77777777" w:rsidTr="006E1AF7">
        <w:trPr>
          <w:trHeight w:val="423"/>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54F65C42" w14:textId="0FF2D7E4" w:rsidR="003B35C5" w:rsidRPr="00801FD6" w:rsidRDefault="003B35C5" w:rsidP="003B35C5">
            <w:pPr>
              <w:rPr>
                <w:rFonts w:ascii="Arial" w:hAnsi="Arial" w:cs="Arial"/>
                <w:bCs/>
                <w:sz w:val="16"/>
                <w:szCs w:val="16"/>
                <w:lang w:eastAsia="es-AR"/>
              </w:rPr>
            </w:pPr>
            <w:r w:rsidRPr="00801FD6">
              <w:rPr>
                <w:rFonts w:ascii="Arial" w:hAnsi="Arial" w:cs="Arial"/>
                <w:sz w:val="16"/>
                <w:szCs w:val="16"/>
              </w:rPr>
              <w:t xml:space="preserve">Instrumentos derivados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0A3E2121" w14:textId="17BDEAAF"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559" w:type="dxa"/>
            <w:tcBorders>
              <w:top w:val="nil"/>
              <w:left w:val="nil"/>
              <w:bottom w:val="single" w:sz="4" w:space="0" w:color="auto"/>
              <w:right w:val="single" w:sz="4" w:space="0" w:color="auto"/>
            </w:tcBorders>
            <w:shd w:val="clear" w:color="000000" w:fill="FFFFFF"/>
            <w:noWrap/>
            <w:vAlign w:val="center"/>
          </w:tcPr>
          <w:p w14:paraId="0C89979A" w14:textId="6BE10214"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701" w:type="dxa"/>
            <w:tcBorders>
              <w:top w:val="nil"/>
              <w:left w:val="nil"/>
              <w:bottom w:val="single" w:sz="4" w:space="0" w:color="auto"/>
              <w:right w:val="single" w:sz="4" w:space="0" w:color="auto"/>
            </w:tcBorders>
            <w:shd w:val="clear" w:color="000000" w:fill="FFFFFF"/>
            <w:noWrap/>
            <w:vAlign w:val="center"/>
          </w:tcPr>
          <w:p w14:paraId="1589B3A8" w14:textId="3219B68C"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257.587 </w:t>
            </w:r>
          </w:p>
        </w:tc>
        <w:tc>
          <w:tcPr>
            <w:tcW w:w="1276" w:type="dxa"/>
            <w:tcBorders>
              <w:top w:val="nil"/>
              <w:left w:val="nil"/>
              <w:bottom w:val="single" w:sz="4" w:space="0" w:color="auto"/>
              <w:right w:val="single" w:sz="4" w:space="0" w:color="auto"/>
            </w:tcBorders>
            <w:shd w:val="clear" w:color="000000" w:fill="FFFFFF"/>
            <w:noWrap/>
            <w:vAlign w:val="center"/>
          </w:tcPr>
          <w:p w14:paraId="5EBDFD29" w14:textId="1F7CE750"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257.587 </w:t>
            </w:r>
          </w:p>
        </w:tc>
      </w:tr>
      <w:tr w:rsidR="003B35C5" w:rsidRPr="00701F32" w14:paraId="4ABDCCE2" w14:textId="77777777" w:rsidTr="006E1AF7">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tcPr>
          <w:p w14:paraId="707EA6C1" w14:textId="08264259" w:rsidR="003B35C5" w:rsidRPr="00801FD6" w:rsidRDefault="003B35C5" w:rsidP="003B35C5">
            <w:pPr>
              <w:rPr>
                <w:rFonts w:ascii="Arial" w:hAnsi="Arial" w:cs="Arial"/>
                <w:bCs/>
                <w:sz w:val="16"/>
                <w:szCs w:val="16"/>
                <w:lang w:eastAsia="es-AR"/>
              </w:rPr>
            </w:pPr>
            <w:r w:rsidRPr="00801FD6">
              <w:rPr>
                <w:rFonts w:ascii="Arial" w:hAnsi="Arial" w:cs="Arial"/>
                <w:sz w:val="16"/>
                <w:szCs w:val="16"/>
              </w:rPr>
              <w:t xml:space="preserve">Otros activos financieros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45D02423" w14:textId="15C2A25C" w:rsidR="003B35C5" w:rsidRPr="003B35C5" w:rsidRDefault="003B35C5">
            <w:pPr>
              <w:jc w:val="right"/>
              <w:rPr>
                <w:rFonts w:ascii="Arial" w:hAnsi="Arial" w:cs="Arial"/>
                <w:b/>
                <w:sz w:val="16"/>
                <w:szCs w:val="16"/>
              </w:rPr>
            </w:pPr>
            <w:r w:rsidRPr="006E1AF7">
              <w:rPr>
                <w:rFonts w:ascii="Arial" w:hAnsi="Arial" w:cs="Arial"/>
                <w:sz w:val="16"/>
                <w:szCs w:val="16"/>
              </w:rPr>
              <w:t xml:space="preserve">72.201 </w:t>
            </w:r>
          </w:p>
        </w:tc>
        <w:tc>
          <w:tcPr>
            <w:tcW w:w="1559" w:type="dxa"/>
            <w:tcBorders>
              <w:top w:val="nil"/>
              <w:left w:val="nil"/>
              <w:bottom w:val="single" w:sz="4" w:space="0" w:color="auto"/>
              <w:right w:val="single" w:sz="4" w:space="0" w:color="auto"/>
            </w:tcBorders>
            <w:shd w:val="clear" w:color="000000" w:fill="FFFFFF"/>
            <w:noWrap/>
            <w:vAlign w:val="center"/>
          </w:tcPr>
          <w:p w14:paraId="5D072D74" w14:textId="66DB6309" w:rsidR="003B35C5" w:rsidRPr="003B35C5" w:rsidRDefault="003B35C5">
            <w:pPr>
              <w:jc w:val="right"/>
              <w:rPr>
                <w:rFonts w:ascii="Arial" w:hAnsi="Arial" w:cs="Arial"/>
                <w:b/>
                <w:sz w:val="16"/>
                <w:szCs w:val="16"/>
              </w:rPr>
            </w:pPr>
            <w:r w:rsidRPr="006E1AF7">
              <w:rPr>
                <w:rFonts w:ascii="Arial" w:hAnsi="Arial" w:cs="Arial"/>
                <w:sz w:val="16"/>
                <w:szCs w:val="16"/>
              </w:rPr>
              <w:t xml:space="preserve">399.597 </w:t>
            </w:r>
          </w:p>
        </w:tc>
        <w:tc>
          <w:tcPr>
            <w:tcW w:w="1701" w:type="dxa"/>
            <w:tcBorders>
              <w:top w:val="nil"/>
              <w:left w:val="nil"/>
              <w:bottom w:val="single" w:sz="4" w:space="0" w:color="auto"/>
              <w:right w:val="single" w:sz="4" w:space="0" w:color="auto"/>
            </w:tcBorders>
            <w:shd w:val="clear" w:color="000000" w:fill="FFFFFF"/>
            <w:noWrap/>
            <w:vAlign w:val="center"/>
          </w:tcPr>
          <w:p w14:paraId="776793B4" w14:textId="09733248" w:rsidR="003B35C5" w:rsidRPr="003B35C5" w:rsidRDefault="003B35C5">
            <w:pPr>
              <w:jc w:val="right"/>
              <w:rPr>
                <w:rFonts w:ascii="Arial" w:hAnsi="Arial" w:cs="Arial"/>
                <w:b/>
                <w:sz w:val="16"/>
                <w:szCs w:val="16"/>
              </w:rPr>
            </w:pPr>
            <w:r w:rsidRPr="006E1AF7">
              <w:rPr>
                <w:rFonts w:ascii="Arial" w:hAnsi="Arial" w:cs="Arial"/>
                <w:sz w:val="16"/>
                <w:szCs w:val="16"/>
              </w:rPr>
              <w:t xml:space="preserve">208.199 </w:t>
            </w:r>
          </w:p>
        </w:tc>
        <w:tc>
          <w:tcPr>
            <w:tcW w:w="1276" w:type="dxa"/>
            <w:tcBorders>
              <w:top w:val="nil"/>
              <w:left w:val="nil"/>
              <w:bottom w:val="single" w:sz="4" w:space="0" w:color="auto"/>
              <w:right w:val="single" w:sz="4" w:space="0" w:color="auto"/>
            </w:tcBorders>
            <w:shd w:val="clear" w:color="000000" w:fill="FFFFFF"/>
            <w:noWrap/>
            <w:vAlign w:val="center"/>
          </w:tcPr>
          <w:p w14:paraId="5B9A550D" w14:textId="235C97C0" w:rsidR="003B35C5" w:rsidRPr="003B35C5" w:rsidRDefault="003B35C5">
            <w:pPr>
              <w:jc w:val="right"/>
              <w:rPr>
                <w:rFonts w:ascii="Arial" w:hAnsi="Arial" w:cs="Arial"/>
                <w:b/>
                <w:sz w:val="16"/>
                <w:szCs w:val="16"/>
              </w:rPr>
            </w:pPr>
            <w:r w:rsidRPr="006E1AF7">
              <w:rPr>
                <w:rFonts w:ascii="Arial" w:hAnsi="Arial" w:cs="Arial"/>
                <w:b/>
                <w:bCs/>
                <w:sz w:val="16"/>
                <w:szCs w:val="16"/>
              </w:rPr>
              <w:t xml:space="preserve">679.997 </w:t>
            </w:r>
          </w:p>
        </w:tc>
      </w:tr>
      <w:tr w:rsidR="003B35C5" w:rsidRPr="002266D4" w14:paraId="68E7D4EE" w14:textId="77777777" w:rsidTr="006E1AF7">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3A72F708" w14:textId="35365CCD" w:rsidR="003B35C5" w:rsidRPr="00801FD6" w:rsidRDefault="003B35C5" w:rsidP="003B35C5">
            <w:pPr>
              <w:rPr>
                <w:rFonts w:ascii="Arial" w:hAnsi="Arial" w:cs="Arial"/>
                <w:bCs/>
                <w:sz w:val="16"/>
                <w:szCs w:val="16"/>
                <w:lang w:eastAsia="es-AR"/>
              </w:rPr>
            </w:pPr>
            <w:r w:rsidRPr="00801FD6">
              <w:rPr>
                <w:rFonts w:ascii="Arial" w:hAnsi="Arial" w:cs="Arial"/>
                <w:sz w:val="16"/>
                <w:szCs w:val="16"/>
              </w:rPr>
              <w:t xml:space="preserve">Préstamos y otras financiaciones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677BC592" w14:textId="32365EF1"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43.492.099 </w:t>
            </w:r>
          </w:p>
        </w:tc>
        <w:tc>
          <w:tcPr>
            <w:tcW w:w="1559" w:type="dxa"/>
            <w:tcBorders>
              <w:top w:val="nil"/>
              <w:left w:val="nil"/>
              <w:bottom w:val="single" w:sz="4" w:space="0" w:color="auto"/>
              <w:right w:val="single" w:sz="4" w:space="0" w:color="auto"/>
            </w:tcBorders>
            <w:shd w:val="clear" w:color="000000" w:fill="FFFFFF"/>
            <w:noWrap/>
            <w:vAlign w:val="center"/>
          </w:tcPr>
          <w:p w14:paraId="12575FD0" w14:textId="6AE5143F"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36.813.117 </w:t>
            </w:r>
          </w:p>
        </w:tc>
        <w:tc>
          <w:tcPr>
            <w:tcW w:w="1701" w:type="dxa"/>
            <w:tcBorders>
              <w:top w:val="nil"/>
              <w:left w:val="nil"/>
              <w:bottom w:val="single" w:sz="4" w:space="0" w:color="auto"/>
              <w:right w:val="single" w:sz="4" w:space="0" w:color="auto"/>
            </w:tcBorders>
            <w:shd w:val="clear" w:color="000000" w:fill="FFFFFF"/>
            <w:noWrap/>
            <w:vAlign w:val="center"/>
          </w:tcPr>
          <w:p w14:paraId="3D036603" w14:textId="7146A6C6"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3.724.223 </w:t>
            </w:r>
          </w:p>
        </w:tc>
        <w:tc>
          <w:tcPr>
            <w:tcW w:w="1276" w:type="dxa"/>
            <w:tcBorders>
              <w:top w:val="nil"/>
              <w:left w:val="nil"/>
              <w:bottom w:val="single" w:sz="4" w:space="0" w:color="auto"/>
              <w:right w:val="single" w:sz="4" w:space="0" w:color="auto"/>
            </w:tcBorders>
            <w:shd w:val="clear" w:color="000000" w:fill="FFFFFF"/>
            <w:noWrap/>
            <w:vAlign w:val="center"/>
          </w:tcPr>
          <w:p w14:paraId="466D4473" w14:textId="3E78FDBB"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84.029.439 </w:t>
            </w:r>
          </w:p>
        </w:tc>
      </w:tr>
      <w:tr w:rsidR="003B35C5" w:rsidRPr="00701F32" w14:paraId="7E9F2FBC" w14:textId="77777777" w:rsidTr="006E1AF7">
        <w:trPr>
          <w:trHeight w:val="228"/>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20E0908B" w14:textId="7E196168" w:rsidR="003B35C5" w:rsidRPr="00801FD6" w:rsidRDefault="003B35C5" w:rsidP="003B35C5">
            <w:pPr>
              <w:rPr>
                <w:rFonts w:ascii="Arial" w:hAnsi="Arial" w:cs="Arial"/>
                <w:bCs/>
                <w:sz w:val="16"/>
                <w:szCs w:val="16"/>
                <w:lang w:eastAsia="es-AR"/>
              </w:rPr>
            </w:pPr>
            <w:r w:rsidRPr="00801FD6">
              <w:rPr>
                <w:rFonts w:ascii="Arial" w:hAnsi="Arial" w:cs="Arial"/>
                <w:sz w:val="16"/>
                <w:szCs w:val="16"/>
              </w:rPr>
              <w:t xml:space="preserve">   Sector público no financiero</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6215F56B" w14:textId="42AAB5E4"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269 </w:t>
            </w:r>
          </w:p>
        </w:tc>
        <w:tc>
          <w:tcPr>
            <w:tcW w:w="1559" w:type="dxa"/>
            <w:tcBorders>
              <w:top w:val="nil"/>
              <w:left w:val="nil"/>
              <w:bottom w:val="single" w:sz="4" w:space="0" w:color="auto"/>
              <w:right w:val="single" w:sz="4" w:space="0" w:color="auto"/>
            </w:tcBorders>
            <w:shd w:val="clear" w:color="000000" w:fill="FFFFFF"/>
            <w:noWrap/>
            <w:vAlign w:val="center"/>
          </w:tcPr>
          <w:p w14:paraId="7F74EA4D" w14:textId="2A10C631"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568 </w:t>
            </w:r>
          </w:p>
        </w:tc>
        <w:tc>
          <w:tcPr>
            <w:tcW w:w="1701" w:type="dxa"/>
            <w:tcBorders>
              <w:top w:val="nil"/>
              <w:left w:val="nil"/>
              <w:bottom w:val="single" w:sz="4" w:space="0" w:color="auto"/>
              <w:right w:val="single" w:sz="4" w:space="0" w:color="auto"/>
            </w:tcBorders>
            <w:shd w:val="clear" w:color="000000" w:fill="FFFFFF"/>
            <w:noWrap/>
            <w:vAlign w:val="center"/>
          </w:tcPr>
          <w:p w14:paraId="434D8369" w14:textId="609021E3"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28.035 </w:t>
            </w:r>
          </w:p>
        </w:tc>
        <w:tc>
          <w:tcPr>
            <w:tcW w:w="1276" w:type="dxa"/>
            <w:tcBorders>
              <w:top w:val="nil"/>
              <w:left w:val="nil"/>
              <w:bottom w:val="single" w:sz="4" w:space="0" w:color="auto"/>
              <w:right w:val="single" w:sz="4" w:space="0" w:color="auto"/>
            </w:tcBorders>
            <w:shd w:val="clear" w:color="000000" w:fill="FFFFFF"/>
            <w:noWrap/>
            <w:vAlign w:val="center"/>
          </w:tcPr>
          <w:p w14:paraId="0FB71B4E" w14:textId="1470E460"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28.872 </w:t>
            </w:r>
          </w:p>
        </w:tc>
      </w:tr>
      <w:tr w:rsidR="003B35C5" w:rsidRPr="00701F32" w14:paraId="59060F98" w14:textId="77777777" w:rsidTr="006E1AF7">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noWrap/>
            <w:vAlign w:val="bottom"/>
            <w:hideMark/>
          </w:tcPr>
          <w:p w14:paraId="3BF74C8A" w14:textId="4D740AE8" w:rsidR="003B35C5" w:rsidRPr="00801FD6" w:rsidRDefault="003B35C5" w:rsidP="003B35C5">
            <w:pPr>
              <w:rPr>
                <w:rFonts w:ascii="Arial" w:hAnsi="Arial" w:cs="Arial"/>
                <w:sz w:val="16"/>
                <w:szCs w:val="16"/>
                <w:lang w:eastAsia="es-AR"/>
              </w:rPr>
            </w:pPr>
            <w:r w:rsidRPr="00801FD6">
              <w:rPr>
                <w:rFonts w:ascii="Arial" w:hAnsi="Arial" w:cs="Arial"/>
                <w:sz w:val="16"/>
                <w:szCs w:val="16"/>
              </w:rPr>
              <w:t xml:space="preserve">   Otras entidades financieras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19400CBF" w14:textId="49F5E15C"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30.894 </w:t>
            </w:r>
          </w:p>
        </w:tc>
        <w:tc>
          <w:tcPr>
            <w:tcW w:w="1559" w:type="dxa"/>
            <w:tcBorders>
              <w:top w:val="nil"/>
              <w:left w:val="nil"/>
              <w:bottom w:val="single" w:sz="4" w:space="0" w:color="auto"/>
              <w:right w:val="single" w:sz="4" w:space="0" w:color="auto"/>
            </w:tcBorders>
            <w:shd w:val="clear" w:color="000000" w:fill="FFFFFF"/>
            <w:noWrap/>
            <w:vAlign w:val="center"/>
          </w:tcPr>
          <w:p w14:paraId="4935C138" w14:textId="78D35FE2"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-2.686 </w:t>
            </w:r>
          </w:p>
        </w:tc>
        <w:tc>
          <w:tcPr>
            <w:tcW w:w="1701" w:type="dxa"/>
            <w:tcBorders>
              <w:top w:val="nil"/>
              <w:left w:val="nil"/>
              <w:bottom w:val="single" w:sz="4" w:space="0" w:color="auto"/>
              <w:right w:val="single" w:sz="4" w:space="0" w:color="auto"/>
            </w:tcBorders>
            <w:shd w:val="clear" w:color="000000" w:fill="FFFFFF"/>
            <w:noWrap/>
            <w:vAlign w:val="center"/>
          </w:tcPr>
          <w:p w14:paraId="2E426646" w14:textId="60125CA8"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1.167.560 </w:t>
            </w:r>
          </w:p>
        </w:tc>
        <w:tc>
          <w:tcPr>
            <w:tcW w:w="1276" w:type="dxa"/>
            <w:tcBorders>
              <w:top w:val="nil"/>
              <w:left w:val="nil"/>
              <w:bottom w:val="single" w:sz="4" w:space="0" w:color="auto"/>
              <w:right w:val="single" w:sz="4" w:space="0" w:color="auto"/>
            </w:tcBorders>
            <w:shd w:val="clear" w:color="000000" w:fill="FFFFFF"/>
            <w:noWrap/>
            <w:vAlign w:val="center"/>
          </w:tcPr>
          <w:p w14:paraId="445A589B" w14:textId="3B79871A" w:rsidR="003B35C5" w:rsidRPr="003B35C5" w:rsidRDefault="003B35C5">
            <w:pPr>
              <w:jc w:val="right"/>
              <w:rPr>
                <w:rFonts w:ascii="Arial" w:hAnsi="Arial" w:cs="Arial"/>
                <w:bCs/>
                <w:sz w:val="16"/>
                <w:szCs w:val="16"/>
                <w:lang w:eastAsia="es-AR"/>
              </w:rPr>
            </w:pPr>
            <w:r w:rsidRPr="006E1AF7">
              <w:rPr>
                <w:rFonts w:ascii="Arial" w:hAnsi="Arial" w:cs="Arial"/>
                <w:b/>
                <w:bCs/>
                <w:sz w:val="16"/>
                <w:szCs w:val="16"/>
              </w:rPr>
              <w:t xml:space="preserve">1.195.768 </w:t>
            </w:r>
          </w:p>
        </w:tc>
      </w:tr>
      <w:tr w:rsidR="003B35C5" w:rsidRPr="00701F32" w14:paraId="7CC19F0F" w14:textId="77777777" w:rsidTr="006E1AF7">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58911987" w14:textId="7D10A549" w:rsidR="003B35C5" w:rsidRPr="00801FD6" w:rsidRDefault="003B35C5" w:rsidP="003B35C5">
            <w:pPr>
              <w:rPr>
                <w:rFonts w:ascii="Arial" w:hAnsi="Arial" w:cs="Arial"/>
                <w:sz w:val="16"/>
                <w:szCs w:val="16"/>
                <w:lang w:eastAsia="es-AR"/>
              </w:rPr>
            </w:pPr>
            <w:r w:rsidRPr="00801FD6">
              <w:rPr>
                <w:rFonts w:ascii="Arial" w:hAnsi="Arial" w:cs="Arial"/>
                <w:sz w:val="16"/>
                <w:szCs w:val="16"/>
              </w:rPr>
              <w:t xml:space="preserve">   Sector privado no financiero y residentes en el exterior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518D2BAE" w14:textId="4040C3C4"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43.460.936 </w:t>
            </w:r>
          </w:p>
        </w:tc>
        <w:tc>
          <w:tcPr>
            <w:tcW w:w="1559" w:type="dxa"/>
            <w:tcBorders>
              <w:top w:val="nil"/>
              <w:left w:val="nil"/>
              <w:bottom w:val="single" w:sz="4" w:space="0" w:color="auto"/>
              <w:right w:val="single" w:sz="4" w:space="0" w:color="auto"/>
            </w:tcBorders>
            <w:shd w:val="clear" w:color="000000" w:fill="FFFFFF"/>
            <w:noWrap/>
            <w:vAlign w:val="center"/>
          </w:tcPr>
          <w:p w14:paraId="2FD191AC" w14:textId="0FA30F72" w:rsidR="003B35C5" w:rsidRPr="003B35C5" w:rsidRDefault="003B35C5">
            <w:pPr>
              <w:jc w:val="right"/>
              <w:rPr>
                <w:rFonts w:ascii="Arial" w:hAnsi="Arial" w:cs="Arial"/>
                <w:bCs/>
                <w:sz w:val="16"/>
                <w:szCs w:val="16"/>
                <w:lang w:eastAsia="es-AR"/>
              </w:rPr>
            </w:pPr>
            <w:r w:rsidRPr="006E1AF7">
              <w:rPr>
                <w:rFonts w:ascii="Arial" w:hAnsi="Arial" w:cs="Arial"/>
                <w:sz w:val="16"/>
                <w:szCs w:val="16"/>
              </w:rPr>
              <w:t xml:space="preserve">36.815.235 </w:t>
            </w:r>
          </w:p>
        </w:tc>
        <w:tc>
          <w:tcPr>
            <w:tcW w:w="1701" w:type="dxa"/>
            <w:tcBorders>
              <w:top w:val="nil"/>
              <w:left w:val="nil"/>
              <w:bottom w:val="single" w:sz="4" w:space="0" w:color="auto"/>
              <w:right w:val="single" w:sz="4" w:space="0" w:color="auto"/>
            </w:tcBorders>
            <w:shd w:val="clear" w:color="000000" w:fill="FFFFFF"/>
            <w:noWrap/>
            <w:vAlign w:val="center"/>
          </w:tcPr>
          <w:p w14:paraId="15CE36B3" w14:textId="7D9448B3" w:rsidR="003B35C5" w:rsidRPr="003B35C5" w:rsidRDefault="003B35C5">
            <w:pPr>
              <w:jc w:val="right"/>
              <w:rPr>
                <w:rFonts w:ascii="Arial" w:hAnsi="Arial" w:cs="Arial"/>
                <w:bCs/>
                <w:sz w:val="16"/>
                <w:szCs w:val="16"/>
                <w:lang w:val="es-ES_tradnl" w:eastAsia="es-AR"/>
              </w:rPr>
            </w:pPr>
            <w:r w:rsidRPr="006E1AF7">
              <w:rPr>
                <w:rFonts w:ascii="Arial" w:hAnsi="Arial" w:cs="Arial"/>
                <w:sz w:val="16"/>
                <w:szCs w:val="16"/>
              </w:rPr>
              <w:t xml:space="preserve">2.528.628 </w:t>
            </w:r>
          </w:p>
        </w:tc>
        <w:tc>
          <w:tcPr>
            <w:tcW w:w="1276" w:type="dxa"/>
            <w:tcBorders>
              <w:top w:val="nil"/>
              <w:left w:val="nil"/>
              <w:bottom w:val="single" w:sz="4" w:space="0" w:color="auto"/>
              <w:right w:val="single" w:sz="4" w:space="0" w:color="auto"/>
            </w:tcBorders>
            <w:shd w:val="clear" w:color="000000" w:fill="FFFFFF"/>
            <w:noWrap/>
            <w:vAlign w:val="center"/>
          </w:tcPr>
          <w:p w14:paraId="231521E2" w14:textId="3CB5F563" w:rsidR="003B35C5" w:rsidRPr="003B35C5" w:rsidRDefault="003B35C5">
            <w:pPr>
              <w:jc w:val="right"/>
              <w:rPr>
                <w:rFonts w:ascii="Arial" w:hAnsi="Arial" w:cs="Arial"/>
                <w:bCs/>
                <w:sz w:val="16"/>
                <w:szCs w:val="16"/>
                <w:lang w:eastAsia="es-AR"/>
              </w:rPr>
            </w:pPr>
            <w:r w:rsidRPr="006E1AF7">
              <w:rPr>
                <w:rFonts w:ascii="Arial" w:hAnsi="Arial" w:cs="Arial"/>
                <w:b/>
                <w:bCs/>
                <w:sz w:val="16"/>
                <w:szCs w:val="16"/>
              </w:rPr>
              <w:t xml:space="preserve">82.804.799 </w:t>
            </w:r>
          </w:p>
        </w:tc>
      </w:tr>
      <w:tr w:rsidR="003B35C5" w:rsidRPr="00701F32" w14:paraId="748D056A" w14:textId="77777777" w:rsidTr="006E1AF7">
        <w:trPr>
          <w:trHeight w:val="266"/>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2AFFF8FD" w14:textId="16DECDA6" w:rsidR="003B35C5" w:rsidRPr="00801FD6" w:rsidRDefault="003B35C5" w:rsidP="003B35C5">
            <w:pPr>
              <w:rPr>
                <w:rFonts w:ascii="Arial" w:hAnsi="Arial" w:cs="Arial"/>
                <w:sz w:val="16"/>
                <w:szCs w:val="16"/>
                <w:lang w:eastAsia="es-AR"/>
              </w:rPr>
            </w:pPr>
            <w:r w:rsidRPr="00801FD6">
              <w:rPr>
                <w:rFonts w:ascii="Arial" w:hAnsi="Arial" w:cs="Arial"/>
                <w:sz w:val="16"/>
                <w:szCs w:val="16"/>
              </w:rPr>
              <w:t>Otros títulos de deuda</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38FFC32C" w14:textId="2B93A245"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559" w:type="dxa"/>
            <w:tcBorders>
              <w:top w:val="nil"/>
              <w:left w:val="nil"/>
              <w:bottom w:val="single" w:sz="4" w:space="0" w:color="auto"/>
              <w:right w:val="single" w:sz="4" w:space="0" w:color="auto"/>
            </w:tcBorders>
            <w:shd w:val="clear" w:color="000000" w:fill="FFFFFF"/>
            <w:noWrap/>
            <w:vAlign w:val="center"/>
          </w:tcPr>
          <w:p w14:paraId="46EF50D7" w14:textId="59C4F999"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701" w:type="dxa"/>
            <w:tcBorders>
              <w:top w:val="nil"/>
              <w:left w:val="nil"/>
              <w:bottom w:val="single" w:sz="4" w:space="0" w:color="auto"/>
              <w:right w:val="single" w:sz="4" w:space="0" w:color="auto"/>
            </w:tcBorders>
            <w:shd w:val="clear" w:color="000000" w:fill="FFFFFF"/>
            <w:noWrap/>
            <w:vAlign w:val="center"/>
          </w:tcPr>
          <w:p w14:paraId="65FD2A7C" w14:textId="74A835D3"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10.613.265 </w:t>
            </w:r>
          </w:p>
        </w:tc>
        <w:tc>
          <w:tcPr>
            <w:tcW w:w="1276" w:type="dxa"/>
            <w:tcBorders>
              <w:top w:val="nil"/>
              <w:left w:val="nil"/>
              <w:bottom w:val="single" w:sz="4" w:space="0" w:color="auto"/>
              <w:right w:val="single" w:sz="4" w:space="0" w:color="auto"/>
            </w:tcBorders>
            <w:shd w:val="clear" w:color="000000" w:fill="FFFFFF"/>
            <w:noWrap/>
            <w:vAlign w:val="center"/>
          </w:tcPr>
          <w:p w14:paraId="3C53C3D8" w14:textId="7425D849"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10.613.265 </w:t>
            </w:r>
          </w:p>
        </w:tc>
      </w:tr>
      <w:tr w:rsidR="003B35C5" w:rsidRPr="00701F32" w14:paraId="28A63142" w14:textId="77777777" w:rsidTr="006E1AF7">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6115AC71" w14:textId="7052E42F" w:rsidR="003B35C5" w:rsidRPr="00801FD6" w:rsidRDefault="003B35C5" w:rsidP="003B35C5">
            <w:pPr>
              <w:rPr>
                <w:rFonts w:ascii="Arial" w:hAnsi="Arial" w:cs="Arial"/>
                <w:bCs/>
                <w:sz w:val="16"/>
                <w:szCs w:val="16"/>
                <w:lang w:eastAsia="es-AR"/>
              </w:rPr>
            </w:pPr>
            <w:r w:rsidRPr="00801FD6">
              <w:rPr>
                <w:rFonts w:ascii="Arial" w:hAnsi="Arial" w:cs="Arial"/>
                <w:sz w:val="16"/>
                <w:szCs w:val="16"/>
              </w:rPr>
              <w:t>Activos financieros entregados en garantía</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17854B7C" w14:textId="6AE75371"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60.229 </w:t>
            </w:r>
          </w:p>
        </w:tc>
        <w:tc>
          <w:tcPr>
            <w:tcW w:w="1559" w:type="dxa"/>
            <w:tcBorders>
              <w:top w:val="nil"/>
              <w:left w:val="nil"/>
              <w:bottom w:val="single" w:sz="4" w:space="0" w:color="auto"/>
              <w:right w:val="single" w:sz="4" w:space="0" w:color="auto"/>
            </w:tcBorders>
            <w:shd w:val="clear" w:color="000000" w:fill="FFFFFF"/>
            <w:noWrap/>
            <w:vAlign w:val="center"/>
          </w:tcPr>
          <w:p w14:paraId="6FADA51E" w14:textId="4778F7AF"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446.131 </w:t>
            </w:r>
          </w:p>
        </w:tc>
        <w:tc>
          <w:tcPr>
            <w:tcW w:w="1701" w:type="dxa"/>
            <w:tcBorders>
              <w:top w:val="nil"/>
              <w:left w:val="nil"/>
              <w:bottom w:val="single" w:sz="4" w:space="0" w:color="auto"/>
              <w:right w:val="single" w:sz="4" w:space="0" w:color="auto"/>
            </w:tcBorders>
            <w:shd w:val="clear" w:color="000000" w:fill="FFFFFF"/>
            <w:noWrap/>
            <w:vAlign w:val="center"/>
          </w:tcPr>
          <w:p w14:paraId="73A45E44" w14:textId="06C2C221"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4.418.180 </w:t>
            </w:r>
          </w:p>
        </w:tc>
        <w:tc>
          <w:tcPr>
            <w:tcW w:w="1276" w:type="dxa"/>
            <w:tcBorders>
              <w:top w:val="nil"/>
              <w:left w:val="nil"/>
              <w:bottom w:val="single" w:sz="4" w:space="0" w:color="auto"/>
              <w:right w:val="single" w:sz="4" w:space="0" w:color="auto"/>
            </w:tcBorders>
            <w:shd w:val="clear" w:color="000000" w:fill="FFFFFF"/>
            <w:noWrap/>
            <w:vAlign w:val="center"/>
          </w:tcPr>
          <w:p w14:paraId="03C145FA" w14:textId="789E1F63"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4.924.540 </w:t>
            </w:r>
          </w:p>
        </w:tc>
      </w:tr>
      <w:tr w:rsidR="003B35C5" w:rsidRPr="00701F32" w14:paraId="0268D1C1" w14:textId="77777777" w:rsidTr="006E1AF7">
        <w:trPr>
          <w:trHeight w:val="308"/>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0ABC759D" w14:textId="673A1D44" w:rsidR="003B35C5" w:rsidRPr="00801FD6" w:rsidRDefault="003B35C5" w:rsidP="003B35C5">
            <w:pPr>
              <w:rPr>
                <w:rFonts w:ascii="Arial" w:hAnsi="Arial" w:cs="Arial"/>
                <w:bCs/>
                <w:sz w:val="16"/>
                <w:szCs w:val="16"/>
                <w:lang w:eastAsia="es-AR"/>
              </w:rPr>
            </w:pPr>
            <w:r w:rsidRPr="00801FD6">
              <w:rPr>
                <w:rFonts w:ascii="Arial" w:hAnsi="Arial" w:cs="Arial"/>
                <w:sz w:val="16"/>
                <w:szCs w:val="16"/>
              </w:rPr>
              <w:t>Activos por impuestos a las ganancias corriente</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7AF8CA32" w14:textId="65270A08"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559" w:type="dxa"/>
            <w:tcBorders>
              <w:top w:val="nil"/>
              <w:left w:val="nil"/>
              <w:bottom w:val="single" w:sz="4" w:space="0" w:color="auto"/>
              <w:right w:val="single" w:sz="4" w:space="0" w:color="auto"/>
            </w:tcBorders>
            <w:shd w:val="clear" w:color="000000" w:fill="FFFFFF"/>
            <w:noWrap/>
            <w:vAlign w:val="center"/>
          </w:tcPr>
          <w:p w14:paraId="3571C8EA" w14:textId="25B8B27E"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701" w:type="dxa"/>
            <w:tcBorders>
              <w:top w:val="nil"/>
              <w:left w:val="nil"/>
              <w:bottom w:val="single" w:sz="4" w:space="0" w:color="auto"/>
              <w:right w:val="single" w:sz="4" w:space="0" w:color="auto"/>
            </w:tcBorders>
            <w:shd w:val="clear" w:color="000000" w:fill="FFFFFF"/>
            <w:noWrap/>
            <w:vAlign w:val="center"/>
          </w:tcPr>
          <w:p w14:paraId="69359072" w14:textId="39A46098" w:rsidR="003B35C5" w:rsidRPr="003B35C5" w:rsidRDefault="003B35C5">
            <w:pPr>
              <w:jc w:val="right"/>
              <w:rPr>
                <w:rFonts w:ascii="Arial" w:hAnsi="Arial" w:cs="Arial"/>
                <w:b/>
                <w:bCs/>
                <w:sz w:val="16"/>
                <w:szCs w:val="16"/>
                <w:lang w:val="es-ES_tradnl" w:eastAsia="es-AR"/>
              </w:rPr>
            </w:pPr>
            <w:r w:rsidRPr="006E1AF7">
              <w:rPr>
                <w:rFonts w:ascii="Arial" w:hAnsi="Arial" w:cs="Arial"/>
                <w:sz w:val="16"/>
                <w:szCs w:val="16"/>
              </w:rPr>
              <w:t xml:space="preserve">293.192 </w:t>
            </w:r>
          </w:p>
        </w:tc>
        <w:tc>
          <w:tcPr>
            <w:tcW w:w="1276" w:type="dxa"/>
            <w:tcBorders>
              <w:top w:val="nil"/>
              <w:left w:val="nil"/>
              <w:bottom w:val="single" w:sz="4" w:space="0" w:color="auto"/>
              <w:right w:val="single" w:sz="4" w:space="0" w:color="auto"/>
            </w:tcBorders>
            <w:shd w:val="clear" w:color="000000" w:fill="FFFFFF"/>
            <w:noWrap/>
            <w:vAlign w:val="center"/>
          </w:tcPr>
          <w:p w14:paraId="46F364A4" w14:textId="721A725E"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293.192 </w:t>
            </w:r>
          </w:p>
        </w:tc>
      </w:tr>
      <w:tr w:rsidR="003B35C5" w:rsidRPr="00701F32" w14:paraId="1037B9E2" w14:textId="77777777" w:rsidTr="006E1AF7">
        <w:trPr>
          <w:trHeight w:val="281"/>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0A439B5A" w14:textId="78EB804A" w:rsidR="003B35C5" w:rsidRPr="00801FD6" w:rsidRDefault="003B35C5" w:rsidP="003B35C5">
            <w:pPr>
              <w:rPr>
                <w:rFonts w:ascii="Arial" w:hAnsi="Arial" w:cs="Arial"/>
                <w:bCs/>
                <w:sz w:val="16"/>
                <w:szCs w:val="16"/>
                <w:lang w:eastAsia="es-AR"/>
              </w:rPr>
            </w:pPr>
            <w:r w:rsidRPr="00801FD6">
              <w:rPr>
                <w:rFonts w:ascii="Arial" w:hAnsi="Arial" w:cs="Arial"/>
                <w:sz w:val="16"/>
                <w:szCs w:val="16"/>
              </w:rPr>
              <w:t>Inversiones en instrumentos de patrimonio</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5EAB950D" w14:textId="7BA28777"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1.765 </w:t>
            </w:r>
          </w:p>
        </w:tc>
        <w:tc>
          <w:tcPr>
            <w:tcW w:w="1559" w:type="dxa"/>
            <w:tcBorders>
              <w:top w:val="nil"/>
              <w:left w:val="nil"/>
              <w:bottom w:val="single" w:sz="4" w:space="0" w:color="auto"/>
              <w:right w:val="single" w:sz="4" w:space="0" w:color="auto"/>
            </w:tcBorders>
            <w:shd w:val="clear" w:color="000000" w:fill="FFFFFF"/>
            <w:noWrap/>
            <w:vAlign w:val="center"/>
          </w:tcPr>
          <w:p w14:paraId="7781FDE2" w14:textId="2533E23C"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2.502 </w:t>
            </w:r>
          </w:p>
        </w:tc>
        <w:tc>
          <w:tcPr>
            <w:tcW w:w="1701" w:type="dxa"/>
            <w:tcBorders>
              <w:top w:val="nil"/>
              <w:left w:val="nil"/>
              <w:bottom w:val="single" w:sz="4" w:space="0" w:color="auto"/>
              <w:right w:val="single" w:sz="4" w:space="0" w:color="auto"/>
            </w:tcBorders>
            <w:shd w:val="clear" w:color="000000" w:fill="FFFFFF"/>
            <w:noWrap/>
            <w:vAlign w:val="center"/>
          </w:tcPr>
          <w:p w14:paraId="50F5C6C7" w14:textId="527AD0F7"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10.312 </w:t>
            </w:r>
          </w:p>
        </w:tc>
        <w:tc>
          <w:tcPr>
            <w:tcW w:w="1276" w:type="dxa"/>
            <w:tcBorders>
              <w:top w:val="nil"/>
              <w:left w:val="nil"/>
              <w:bottom w:val="single" w:sz="4" w:space="0" w:color="auto"/>
              <w:right w:val="single" w:sz="4" w:space="0" w:color="auto"/>
            </w:tcBorders>
            <w:shd w:val="clear" w:color="000000" w:fill="FFFFFF"/>
            <w:noWrap/>
            <w:vAlign w:val="center"/>
          </w:tcPr>
          <w:p w14:paraId="7FD7ADE9" w14:textId="4CAF8446"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14.579 </w:t>
            </w:r>
          </w:p>
        </w:tc>
      </w:tr>
      <w:tr w:rsidR="003B35C5" w:rsidRPr="00701F32" w14:paraId="5B2729B5" w14:textId="77777777" w:rsidTr="006E1AF7">
        <w:trPr>
          <w:trHeight w:val="223"/>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44E2DEDB" w14:textId="52FB6BAD" w:rsidR="003B35C5" w:rsidRPr="00801FD6" w:rsidRDefault="003B35C5" w:rsidP="003B35C5">
            <w:pPr>
              <w:rPr>
                <w:rFonts w:ascii="Arial" w:hAnsi="Arial" w:cs="Arial"/>
                <w:bCs/>
                <w:sz w:val="16"/>
                <w:szCs w:val="16"/>
                <w:lang w:eastAsia="es-AR"/>
              </w:rPr>
            </w:pPr>
            <w:r w:rsidRPr="00801FD6">
              <w:rPr>
                <w:rFonts w:ascii="Arial" w:hAnsi="Arial" w:cs="Arial"/>
                <w:sz w:val="16"/>
                <w:szCs w:val="16"/>
              </w:rPr>
              <w:t>Inversión en subsidiarias, asociadas y negocios conjuntos</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4E8C4389" w14:textId="04724487"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559" w:type="dxa"/>
            <w:tcBorders>
              <w:top w:val="nil"/>
              <w:left w:val="nil"/>
              <w:bottom w:val="single" w:sz="4" w:space="0" w:color="auto"/>
              <w:right w:val="single" w:sz="4" w:space="0" w:color="auto"/>
            </w:tcBorders>
            <w:shd w:val="clear" w:color="000000" w:fill="FFFFFF"/>
            <w:noWrap/>
            <w:vAlign w:val="center"/>
          </w:tcPr>
          <w:p w14:paraId="7607BFA6" w14:textId="2EBBB361"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701" w:type="dxa"/>
            <w:tcBorders>
              <w:top w:val="nil"/>
              <w:left w:val="nil"/>
              <w:bottom w:val="single" w:sz="4" w:space="0" w:color="auto"/>
              <w:right w:val="single" w:sz="4" w:space="0" w:color="auto"/>
            </w:tcBorders>
            <w:shd w:val="clear" w:color="000000" w:fill="FFFFFF"/>
            <w:noWrap/>
            <w:vAlign w:val="center"/>
          </w:tcPr>
          <w:p w14:paraId="22503E30" w14:textId="71DD5CE3"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2.427.461 </w:t>
            </w:r>
          </w:p>
        </w:tc>
        <w:tc>
          <w:tcPr>
            <w:tcW w:w="1276" w:type="dxa"/>
            <w:tcBorders>
              <w:top w:val="nil"/>
              <w:left w:val="nil"/>
              <w:bottom w:val="single" w:sz="4" w:space="0" w:color="auto"/>
              <w:right w:val="single" w:sz="4" w:space="0" w:color="auto"/>
            </w:tcBorders>
            <w:shd w:val="clear" w:color="000000" w:fill="FFFFFF"/>
            <w:noWrap/>
            <w:vAlign w:val="center"/>
          </w:tcPr>
          <w:p w14:paraId="7B6E8D14" w14:textId="544169B3" w:rsidR="003B35C5" w:rsidRPr="003B35C5" w:rsidRDefault="003B35C5">
            <w:pPr>
              <w:jc w:val="right"/>
              <w:rPr>
                <w:rFonts w:ascii="Arial" w:hAnsi="Arial" w:cs="Arial"/>
                <w:b/>
                <w:bCs/>
                <w:sz w:val="16"/>
                <w:szCs w:val="16"/>
                <w:lang w:eastAsia="es-AR"/>
              </w:rPr>
            </w:pPr>
            <w:r w:rsidRPr="006E1AF7">
              <w:rPr>
                <w:rFonts w:ascii="Arial" w:hAnsi="Arial" w:cs="Arial"/>
                <w:b/>
                <w:bCs/>
                <w:sz w:val="16"/>
                <w:szCs w:val="16"/>
              </w:rPr>
              <w:t xml:space="preserve">2.427.461 </w:t>
            </w:r>
          </w:p>
        </w:tc>
      </w:tr>
      <w:tr w:rsidR="003B35C5" w:rsidRPr="00701F32" w14:paraId="2EFC1D3E" w14:textId="77777777" w:rsidTr="006E1AF7">
        <w:trPr>
          <w:trHeight w:val="339"/>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0877DEE5" w14:textId="52C53118" w:rsidR="003B35C5" w:rsidRPr="00801FD6" w:rsidRDefault="003B35C5" w:rsidP="003B35C5">
            <w:pPr>
              <w:rPr>
                <w:rFonts w:ascii="Arial" w:hAnsi="Arial" w:cs="Arial"/>
                <w:bCs/>
                <w:sz w:val="16"/>
                <w:szCs w:val="16"/>
                <w:lang w:eastAsia="es-AR"/>
              </w:rPr>
            </w:pPr>
            <w:r w:rsidRPr="00801FD6">
              <w:rPr>
                <w:rFonts w:ascii="Arial" w:hAnsi="Arial" w:cs="Arial"/>
                <w:sz w:val="16"/>
                <w:szCs w:val="16"/>
              </w:rPr>
              <w:t>Propiedad, planta y equipo</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79AEBE5F" w14:textId="6C80CDF8"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559" w:type="dxa"/>
            <w:tcBorders>
              <w:top w:val="nil"/>
              <w:left w:val="nil"/>
              <w:bottom w:val="single" w:sz="4" w:space="0" w:color="auto"/>
              <w:right w:val="single" w:sz="4" w:space="0" w:color="auto"/>
            </w:tcBorders>
            <w:shd w:val="clear" w:color="000000" w:fill="FFFFFF"/>
            <w:noWrap/>
            <w:vAlign w:val="center"/>
          </w:tcPr>
          <w:p w14:paraId="3FCA31C8" w14:textId="246A8A0C"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701" w:type="dxa"/>
            <w:tcBorders>
              <w:top w:val="nil"/>
              <w:left w:val="nil"/>
              <w:bottom w:val="single" w:sz="4" w:space="0" w:color="auto"/>
              <w:right w:val="single" w:sz="4" w:space="0" w:color="auto"/>
            </w:tcBorders>
            <w:shd w:val="clear" w:color="000000" w:fill="FFFFFF"/>
            <w:noWrap/>
            <w:vAlign w:val="center"/>
          </w:tcPr>
          <w:p w14:paraId="4AE49574" w14:textId="263EB804" w:rsidR="003B35C5" w:rsidRPr="003B35C5" w:rsidRDefault="003B35C5">
            <w:pPr>
              <w:jc w:val="right"/>
              <w:rPr>
                <w:rFonts w:ascii="Arial" w:hAnsi="Arial" w:cs="Arial"/>
                <w:b/>
                <w:sz w:val="16"/>
                <w:szCs w:val="16"/>
              </w:rPr>
            </w:pPr>
            <w:r w:rsidRPr="006E1AF7">
              <w:rPr>
                <w:rFonts w:ascii="Arial" w:hAnsi="Arial" w:cs="Arial"/>
                <w:sz w:val="16"/>
                <w:szCs w:val="16"/>
              </w:rPr>
              <w:t xml:space="preserve">2.827.098 </w:t>
            </w:r>
          </w:p>
        </w:tc>
        <w:tc>
          <w:tcPr>
            <w:tcW w:w="1276" w:type="dxa"/>
            <w:tcBorders>
              <w:top w:val="nil"/>
              <w:left w:val="nil"/>
              <w:bottom w:val="single" w:sz="4" w:space="0" w:color="auto"/>
              <w:right w:val="single" w:sz="4" w:space="0" w:color="auto"/>
            </w:tcBorders>
            <w:shd w:val="clear" w:color="000000" w:fill="FFFFFF"/>
            <w:noWrap/>
            <w:vAlign w:val="center"/>
          </w:tcPr>
          <w:p w14:paraId="3E466E23" w14:textId="4F263A22" w:rsidR="003B35C5" w:rsidRPr="003B35C5" w:rsidRDefault="003B35C5">
            <w:pPr>
              <w:jc w:val="right"/>
              <w:rPr>
                <w:rFonts w:ascii="Arial" w:hAnsi="Arial" w:cs="Arial"/>
                <w:b/>
                <w:sz w:val="16"/>
                <w:szCs w:val="16"/>
              </w:rPr>
            </w:pPr>
            <w:r w:rsidRPr="006E1AF7">
              <w:rPr>
                <w:rFonts w:ascii="Arial" w:hAnsi="Arial" w:cs="Arial"/>
                <w:b/>
                <w:bCs/>
                <w:sz w:val="16"/>
                <w:szCs w:val="16"/>
              </w:rPr>
              <w:t xml:space="preserve">2.827.098 </w:t>
            </w:r>
          </w:p>
        </w:tc>
      </w:tr>
      <w:tr w:rsidR="003B35C5" w:rsidRPr="00701F32" w14:paraId="01ECF264" w14:textId="77777777" w:rsidTr="006E1AF7">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18FA95EA" w14:textId="0224E155" w:rsidR="003B35C5" w:rsidRPr="00801FD6" w:rsidRDefault="003B35C5" w:rsidP="003B35C5">
            <w:pPr>
              <w:rPr>
                <w:rFonts w:ascii="Arial" w:hAnsi="Arial" w:cs="Arial"/>
                <w:bCs/>
                <w:sz w:val="16"/>
                <w:szCs w:val="16"/>
                <w:lang w:eastAsia="es-AR"/>
              </w:rPr>
            </w:pPr>
            <w:r w:rsidRPr="00801FD6">
              <w:rPr>
                <w:rFonts w:ascii="Arial" w:hAnsi="Arial" w:cs="Arial"/>
                <w:sz w:val="16"/>
                <w:szCs w:val="16"/>
              </w:rPr>
              <w:t>Activos intangibles</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6055E2EF" w14:textId="08910B8A"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559" w:type="dxa"/>
            <w:tcBorders>
              <w:top w:val="nil"/>
              <w:left w:val="nil"/>
              <w:bottom w:val="single" w:sz="4" w:space="0" w:color="auto"/>
              <w:right w:val="single" w:sz="4" w:space="0" w:color="auto"/>
            </w:tcBorders>
            <w:shd w:val="clear" w:color="000000" w:fill="FFFFFF"/>
            <w:noWrap/>
            <w:vAlign w:val="center"/>
          </w:tcPr>
          <w:p w14:paraId="59EFDC1D" w14:textId="3F7450CD"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701" w:type="dxa"/>
            <w:tcBorders>
              <w:top w:val="nil"/>
              <w:left w:val="nil"/>
              <w:bottom w:val="single" w:sz="4" w:space="0" w:color="auto"/>
              <w:right w:val="single" w:sz="4" w:space="0" w:color="auto"/>
            </w:tcBorders>
            <w:shd w:val="clear" w:color="000000" w:fill="FFFFFF"/>
            <w:noWrap/>
            <w:vAlign w:val="center"/>
          </w:tcPr>
          <w:p w14:paraId="61DC36F3" w14:textId="6C4C8DA1" w:rsidR="003B35C5" w:rsidRPr="003B35C5" w:rsidRDefault="003B35C5">
            <w:pPr>
              <w:jc w:val="right"/>
              <w:rPr>
                <w:rFonts w:ascii="Arial" w:hAnsi="Arial" w:cs="Arial"/>
                <w:b/>
                <w:sz w:val="16"/>
                <w:szCs w:val="16"/>
              </w:rPr>
            </w:pPr>
            <w:r w:rsidRPr="006E1AF7">
              <w:rPr>
                <w:rFonts w:ascii="Arial" w:hAnsi="Arial" w:cs="Arial"/>
                <w:sz w:val="16"/>
                <w:szCs w:val="16"/>
              </w:rPr>
              <w:t xml:space="preserve">700.709 </w:t>
            </w:r>
          </w:p>
        </w:tc>
        <w:tc>
          <w:tcPr>
            <w:tcW w:w="1276" w:type="dxa"/>
            <w:tcBorders>
              <w:top w:val="nil"/>
              <w:left w:val="nil"/>
              <w:bottom w:val="single" w:sz="4" w:space="0" w:color="auto"/>
              <w:right w:val="single" w:sz="4" w:space="0" w:color="auto"/>
            </w:tcBorders>
            <w:shd w:val="clear" w:color="000000" w:fill="FFFFFF"/>
            <w:noWrap/>
            <w:vAlign w:val="center"/>
          </w:tcPr>
          <w:p w14:paraId="5834F020" w14:textId="4FE24C6D" w:rsidR="003B35C5" w:rsidRPr="003B35C5" w:rsidRDefault="003B35C5">
            <w:pPr>
              <w:jc w:val="right"/>
              <w:rPr>
                <w:rFonts w:ascii="Arial" w:hAnsi="Arial" w:cs="Arial"/>
                <w:b/>
                <w:sz w:val="16"/>
                <w:szCs w:val="16"/>
              </w:rPr>
            </w:pPr>
            <w:r w:rsidRPr="006E1AF7">
              <w:rPr>
                <w:rFonts w:ascii="Arial" w:hAnsi="Arial" w:cs="Arial"/>
                <w:b/>
                <w:bCs/>
                <w:sz w:val="16"/>
                <w:szCs w:val="16"/>
              </w:rPr>
              <w:t xml:space="preserve">700.709 </w:t>
            </w:r>
          </w:p>
        </w:tc>
      </w:tr>
      <w:tr w:rsidR="003B35C5" w:rsidRPr="00701F32" w14:paraId="0E057ABD" w14:textId="77777777" w:rsidTr="006E1AF7">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7A1B95FB" w14:textId="018B536D" w:rsidR="003B35C5" w:rsidRPr="00801FD6" w:rsidRDefault="003B35C5" w:rsidP="003B35C5">
            <w:pPr>
              <w:rPr>
                <w:rFonts w:ascii="Arial" w:hAnsi="Arial" w:cs="Arial"/>
                <w:bCs/>
                <w:sz w:val="16"/>
                <w:szCs w:val="16"/>
                <w:lang w:eastAsia="es-AR"/>
              </w:rPr>
            </w:pPr>
            <w:r w:rsidRPr="00801FD6">
              <w:rPr>
                <w:rFonts w:ascii="Arial" w:hAnsi="Arial" w:cs="Arial"/>
                <w:sz w:val="16"/>
                <w:szCs w:val="16"/>
              </w:rPr>
              <w:t>Activos por impuesto a las ganancias diferido</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0F55AC1C" w14:textId="379AE404"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559" w:type="dxa"/>
            <w:tcBorders>
              <w:top w:val="nil"/>
              <w:left w:val="nil"/>
              <w:bottom w:val="single" w:sz="4" w:space="0" w:color="auto"/>
              <w:right w:val="single" w:sz="4" w:space="0" w:color="auto"/>
            </w:tcBorders>
            <w:shd w:val="clear" w:color="000000" w:fill="FFFFFF"/>
            <w:noWrap/>
            <w:vAlign w:val="center"/>
          </w:tcPr>
          <w:p w14:paraId="64B86431" w14:textId="4C2A2EF1"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   </w:t>
            </w:r>
          </w:p>
        </w:tc>
        <w:tc>
          <w:tcPr>
            <w:tcW w:w="1701" w:type="dxa"/>
            <w:tcBorders>
              <w:top w:val="nil"/>
              <w:left w:val="nil"/>
              <w:bottom w:val="single" w:sz="4" w:space="0" w:color="auto"/>
              <w:right w:val="single" w:sz="4" w:space="0" w:color="auto"/>
            </w:tcBorders>
            <w:shd w:val="clear" w:color="000000" w:fill="FFFFFF"/>
            <w:noWrap/>
            <w:vAlign w:val="center"/>
          </w:tcPr>
          <w:p w14:paraId="10E8AA95" w14:textId="0957A3F4" w:rsidR="003B35C5" w:rsidRPr="003B35C5" w:rsidRDefault="003B35C5">
            <w:pPr>
              <w:jc w:val="right"/>
              <w:rPr>
                <w:rFonts w:ascii="Arial" w:hAnsi="Arial" w:cs="Arial"/>
                <w:b/>
                <w:sz w:val="16"/>
                <w:szCs w:val="16"/>
              </w:rPr>
            </w:pPr>
            <w:r w:rsidRPr="006E1AF7">
              <w:rPr>
                <w:rFonts w:ascii="Arial" w:hAnsi="Arial" w:cs="Arial"/>
                <w:sz w:val="16"/>
                <w:szCs w:val="16"/>
              </w:rPr>
              <w:t xml:space="preserve">615.538 </w:t>
            </w:r>
          </w:p>
        </w:tc>
        <w:tc>
          <w:tcPr>
            <w:tcW w:w="1276" w:type="dxa"/>
            <w:tcBorders>
              <w:top w:val="nil"/>
              <w:left w:val="nil"/>
              <w:bottom w:val="single" w:sz="4" w:space="0" w:color="auto"/>
              <w:right w:val="single" w:sz="4" w:space="0" w:color="auto"/>
            </w:tcBorders>
            <w:shd w:val="clear" w:color="000000" w:fill="FFFFFF"/>
            <w:noWrap/>
            <w:vAlign w:val="center"/>
          </w:tcPr>
          <w:p w14:paraId="48E4D67E" w14:textId="0239774D" w:rsidR="003B35C5" w:rsidRPr="003B35C5" w:rsidRDefault="003B35C5">
            <w:pPr>
              <w:jc w:val="right"/>
              <w:rPr>
                <w:rFonts w:ascii="Arial" w:hAnsi="Arial" w:cs="Arial"/>
                <w:b/>
                <w:sz w:val="16"/>
                <w:szCs w:val="16"/>
              </w:rPr>
            </w:pPr>
            <w:r w:rsidRPr="006E1AF7">
              <w:rPr>
                <w:rFonts w:ascii="Arial" w:hAnsi="Arial" w:cs="Arial"/>
                <w:b/>
                <w:bCs/>
                <w:sz w:val="16"/>
                <w:szCs w:val="16"/>
              </w:rPr>
              <w:t xml:space="preserve">615.538 </w:t>
            </w:r>
          </w:p>
        </w:tc>
      </w:tr>
      <w:tr w:rsidR="003B35C5" w:rsidRPr="00701F32" w14:paraId="3C64B754" w14:textId="77777777" w:rsidTr="006E1AF7">
        <w:trPr>
          <w:trHeight w:val="237"/>
          <w:jc w:val="center"/>
        </w:trPr>
        <w:tc>
          <w:tcPr>
            <w:tcW w:w="4253" w:type="dxa"/>
            <w:tcBorders>
              <w:top w:val="nil"/>
              <w:left w:val="single" w:sz="4" w:space="0" w:color="auto"/>
              <w:bottom w:val="single" w:sz="4" w:space="0" w:color="363639"/>
              <w:right w:val="single" w:sz="4" w:space="0" w:color="363639"/>
            </w:tcBorders>
            <w:shd w:val="clear" w:color="000000" w:fill="FFFFFF"/>
            <w:vAlign w:val="bottom"/>
            <w:hideMark/>
          </w:tcPr>
          <w:p w14:paraId="03426BC5" w14:textId="456BE5C1" w:rsidR="003B35C5" w:rsidRPr="00801FD6" w:rsidRDefault="003B35C5" w:rsidP="003B35C5">
            <w:pPr>
              <w:rPr>
                <w:rFonts w:ascii="Arial" w:hAnsi="Arial" w:cs="Arial"/>
                <w:bCs/>
                <w:sz w:val="16"/>
                <w:szCs w:val="16"/>
                <w:lang w:eastAsia="es-AR"/>
              </w:rPr>
            </w:pPr>
            <w:r w:rsidRPr="00801FD6">
              <w:rPr>
                <w:rFonts w:ascii="Arial" w:hAnsi="Arial" w:cs="Arial"/>
                <w:sz w:val="16"/>
                <w:szCs w:val="16"/>
              </w:rPr>
              <w:t>Otros activos no financieros</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262D2681" w14:textId="71A2662A"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1.091.580 </w:t>
            </w:r>
          </w:p>
        </w:tc>
        <w:tc>
          <w:tcPr>
            <w:tcW w:w="1559" w:type="dxa"/>
            <w:tcBorders>
              <w:top w:val="nil"/>
              <w:left w:val="nil"/>
              <w:bottom w:val="single" w:sz="4" w:space="0" w:color="auto"/>
              <w:right w:val="single" w:sz="4" w:space="0" w:color="auto"/>
            </w:tcBorders>
            <w:shd w:val="clear" w:color="000000" w:fill="FFFFFF"/>
            <w:noWrap/>
            <w:vAlign w:val="center"/>
          </w:tcPr>
          <w:p w14:paraId="2D2AF6B6" w14:textId="7E364501" w:rsidR="003B35C5" w:rsidRPr="003B35C5" w:rsidRDefault="003B35C5">
            <w:pPr>
              <w:jc w:val="right"/>
              <w:rPr>
                <w:rFonts w:ascii="Arial" w:hAnsi="Arial" w:cs="Arial"/>
                <w:b/>
                <w:bCs/>
                <w:sz w:val="16"/>
                <w:szCs w:val="16"/>
                <w:lang w:eastAsia="es-AR"/>
              </w:rPr>
            </w:pPr>
            <w:r w:rsidRPr="006E1AF7">
              <w:rPr>
                <w:rFonts w:ascii="Arial" w:hAnsi="Arial" w:cs="Arial"/>
                <w:sz w:val="16"/>
                <w:szCs w:val="16"/>
              </w:rPr>
              <w:t xml:space="preserve">1.523.144 </w:t>
            </w:r>
          </w:p>
        </w:tc>
        <w:tc>
          <w:tcPr>
            <w:tcW w:w="1701" w:type="dxa"/>
            <w:tcBorders>
              <w:top w:val="nil"/>
              <w:left w:val="nil"/>
              <w:bottom w:val="single" w:sz="4" w:space="0" w:color="auto"/>
              <w:right w:val="single" w:sz="4" w:space="0" w:color="auto"/>
            </w:tcBorders>
            <w:shd w:val="clear" w:color="000000" w:fill="FFFFFF"/>
            <w:noWrap/>
            <w:vAlign w:val="center"/>
          </w:tcPr>
          <w:p w14:paraId="64477869" w14:textId="03022FED" w:rsidR="003B35C5" w:rsidRPr="003B35C5" w:rsidRDefault="003B35C5">
            <w:pPr>
              <w:jc w:val="right"/>
              <w:rPr>
                <w:rFonts w:ascii="Arial" w:hAnsi="Arial" w:cs="Arial"/>
                <w:b/>
                <w:sz w:val="16"/>
                <w:szCs w:val="16"/>
              </w:rPr>
            </w:pPr>
            <w:r w:rsidRPr="006E1AF7">
              <w:rPr>
                <w:rFonts w:ascii="Arial" w:hAnsi="Arial" w:cs="Arial"/>
                <w:sz w:val="16"/>
                <w:szCs w:val="16"/>
              </w:rPr>
              <w:t xml:space="preserve">2.034.889 </w:t>
            </w:r>
          </w:p>
        </w:tc>
        <w:tc>
          <w:tcPr>
            <w:tcW w:w="1276" w:type="dxa"/>
            <w:tcBorders>
              <w:top w:val="nil"/>
              <w:left w:val="nil"/>
              <w:bottom w:val="single" w:sz="4" w:space="0" w:color="auto"/>
              <w:right w:val="single" w:sz="4" w:space="0" w:color="auto"/>
            </w:tcBorders>
            <w:shd w:val="clear" w:color="000000" w:fill="FFFFFF"/>
            <w:noWrap/>
            <w:vAlign w:val="center"/>
          </w:tcPr>
          <w:p w14:paraId="24E33B3F" w14:textId="05F5549E" w:rsidR="003B35C5" w:rsidRPr="003B35C5" w:rsidRDefault="003B35C5">
            <w:pPr>
              <w:jc w:val="right"/>
              <w:rPr>
                <w:rFonts w:ascii="Arial" w:hAnsi="Arial" w:cs="Arial"/>
                <w:b/>
                <w:sz w:val="16"/>
                <w:szCs w:val="16"/>
              </w:rPr>
            </w:pPr>
            <w:r w:rsidRPr="006E1AF7">
              <w:rPr>
                <w:rFonts w:ascii="Arial" w:hAnsi="Arial" w:cs="Arial"/>
                <w:b/>
                <w:bCs/>
                <w:sz w:val="16"/>
                <w:szCs w:val="16"/>
              </w:rPr>
              <w:t xml:space="preserve">4.649.613 </w:t>
            </w:r>
          </w:p>
        </w:tc>
      </w:tr>
      <w:tr w:rsidR="003B35C5" w:rsidRPr="00B60C0A" w14:paraId="15FAD819" w14:textId="77777777" w:rsidTr="006E1AF7">
        <w:trPr>
          <w:trHeight w:val="210"/>
          <w:jc w:val="center"/>
        </w:trPr>
        <w:tc>
          <w:tcPr>
            <w:tcW w:w="4253" w:type="dxa"/>
            <w:tcBorders>
              <w:top w:val="nil"/>
              <w:left w:val="single" w:sz="4" w:space="0" w:color="auto"/>
              <w:bottom w:val="single" w:sz="4" w:space="0" w:color="363639"/>
              <w:right w:val="single" w:sz="4" w:space="0" w:color="363639"/>
            </w:tcBorders>
            <w:shd w:val="clear" w:color="000000" w:fill="FFFFFF"/>
            <w:vAlign w:val="bottom"/>
          </w:tcPr>
          <w:p w14:paraId="6DEDF2A3" w14:textId="41C86D8E" w:rsidR="003B35C5" w:rsidRPr="00B60C0A" w:rsidRDefault="003B35C5" w:rsidP="006E1AF7">
            <w:pPr>
              <w:jc w:val="right"/>
              <w:rPr>
                <w:rFonts w:ascii="Arial" w:hAnsi="Arial" w:cs="Arial"/>
                <w:b/>
                <w:bCs/>
                <w:sz w:val="16"/>
                <w:szCs w:val="16"/>
                <w:lang w:eastAsia="es-AR"/>
              </w:rPr>
            </w:pPr>
            <w:r w:rsidRPr="00B60C0A">
              <w:rPr>
                <w:rFonts w:ascii="Arial" w:hAnsi="Arial" w:cs="Arial"/>
                <w:b/>
                <w:sz w:val="16"/>
                <w:szCs w:val="16"/>
              </w:rPr>
              <w:t>TOTAL ACTIVO</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5C82510C" w14:textId="2FBBE9C0" w:rsidR="003B35C5" w:rsidRPr="003B35C5" w:rsidRDefault="003B35C5">
            <w:pPr>
              <w:jc w:val="right"/>
              <w:rPr>
                <w:rFonts w:ascii="Arial" w:hAnsi="Arial" w:cs="Arial"/>
                <w:b/>
                <w:sz w:val="16"/>
                <w:szCs w:val="16"/>
              </w:rPr>
            </w:pPr>
            <w:r w:rsidRPr="006E1AF7">
              <w:rPr>
                <w:rFonts w:ascii="Arial" w:hAnsi="Arial" w:cs="Arial"/>
                <w:b/>
                <w:bCs/>
                <w:sz w:val="16"/>
                <w:szCs w:val="16"/>
              </w:rPr>
              <w:t xml:space="preserve">45.740.789 </w:t>
            </w:r>
          </w:p>
        </w:tc>
        <w:tc>
          <w:tcPr>
            <w:tcW w:w="1559" w:type="dxa"/>
            <w:tcBorders>
              <w:top w:val="nil"/>
              <w:left w:val="nil"/>
              <w:bottom w:val="single" w:sz="4" w:space="0" w:color="auto"/>
              <w:right w:val="single" w:sz="4" w:space="0" w:color="auto"/>
            </w:tcBorders>
            <w:shd w:val="clear" w:color="000000" w:fill="FFFFFF"/>
            <w:noWrap/>
            <w:vAlign w:val="center"/>
          </w:tcPr>
          <w:p w14:paraId="0E6C20B0" w14:textId="570325A2" w:rsidR="003B35C5" w:rsidRPr="003B35C5" w:rsidRDefault="003B35C5">
            <w:pPr>
              <w:jc w:val="right"/>
              <w:rPr>
                <w:rFonts w:ascii="Arial" w:hAnsi="Arial" w:cs="Arial"/>
                <w:b/>
                <w:sz w:val="16"/>
                <w:szCs w:val="16"/>
              </w:rPr>
            </w:pPr>
            <w:r w:rsidRPr="006E1AF7">
              <w:rPr>
                <w:rFonts w:ascii="Arial" w:hAnsi="Arial" w:cs="Arial"/>
                <w:b/>
                <w:bCs/>
                <w:sz w:val="16"/>
                <w:szCs w:val="16"/>
              </w:rPr>
              <w:t xml:space="preserve">46.876.093 </w:t>
            </w:r>
          </w:p>
        </w:tc>
        <w:tc>
          <w:tcPr>
            <w:tcW w:w="1701" w:type="dxa"/>
            <w:tcBorders>
              <w:top w:val="nil"/>
              <w:left w:val="nil"/>
              <w:bottom w:val="single" w:sz="4" w:space="0" w:color="auto"/>
              <w:right w:val="single" w:sz="4" w:space="0" w:color="auto"/>
            </w:tcBorders>
            <w:shd w:val="clear" w:color="000000" w:fill="FFFFFF"/>
            <w:noWrap/>
            <w:vAlign w:val="center"/>
          </w:tcPr>
          <w:p w14:paraId="652EC5EB" w14:textId="2EC79FF7" w:rsidR="003B35C5" w:rsidRPr="003B35C5" w:rsidRDefault="003B35C5">
            <w:pPr>
              <w:jc w:val="right"/>
              <w:rPr>
                <w:rFonts w:ascii="Arial" w:hAnsi="Arial" w:cs="Arial"/>
                <w:b/>
                <w:sz w:val="16"/>
                <w:szCs w:val="16"/>
              </w:rPr>
            </w:pPr>
            <w:r w:rsidRPr="006E1AF7">
              <w:rPr>
                <w:rFonts w:ascii="Arial" w:hAnsi="Arial" w:cs="Arial"/>
                <w:b/>
                <w:bCs/>
                <w:sz w:val="16"/>
                <w:szCs w:val="16"/>
              </w:rPr>
              <w:t xml:space="preserve">45.313.486 </w:t>
            </w:r>
          </w:p>
        </w:tc>
        <w:tc>
          <w:tcPr>
            <w:tcW w:w="1276" w:type="dxa"/>
            <w:tcBorders>
              <w:top w:val="nil"/>
              <w:left w:val="nil"/>
              <w:bottom w:val="single" w:sz="4" w:space="0" w:color="auto"/>
              <w:right w:val="single" w:sz="4" w:space="0" w:color="auto"/>
            </w:tcBorders>
            <w:shd w:val="clear" w:color="000000" w:fill="FFFFFF"/>
            <w:noWrap/>
            <w:vAlign w:val="center"/>
          </w:tcPr>
          <w:p w14:paraId="4E6BBB3C" w14:textId="3B509C4D" w:rsidR="003B35C5" w:rsidRPr="006E1AF7" w:rsidRDefault="003B35C5">
            <w:pPr>
              <w:jc w:val="right"/>
              <w:rPr>
                <w:rFonts w:ascii="Arial" w:hAnsi="Arial" w:cs="Arial"/>
                <w:b/>
                <w:bCs/>
                <w:sz w:val="16"/>
                <w:szCs w:val="16"/>
                <w:lang w:eastAsia="es-AR"/>
              </w:rPr>
            </w:pPr>
            <w:r w:rsidRPr="006E1AF7">
              <w:rPr>
                <w:rFonts w:ascii="Arial" w:hAnsi="Arial" w:cs="Arial"/>
                <w:b/>
                <w:bCs/>
                <w:sz w:val="16"/>
                <w:szCs w:val="16"/>
              </w:rPr>
              <w:t xml:space="preserve">137.930.368 </w:t>
            </w:r>
          </w:p>
        </w:tc>
      </w:tr>
    </w:tbl>
    <w:p w14:paraId="4CA6C369" w14:textId="77777777" w:rsidR="00DC0CC4" w:rsidRPr="0023020F" w:rsidRDefault="00DC0CC4" w:rsidP="00DC0CC4">
      <w:pPr>
        <w:jc w:val="both"/>
        <w:rPr>
          <w:rFonts w:ascii="Arial" w:hAnsi="Arial" w:cs="Arial"/>
          <w:b/>
          <w:sz w:val="16"/>
          <w:szCs w:val="16"/>
        </w:rPr>
      </w:pPr>
    </w:p>
    <w:tbl>
      <w:tblPr>
        <w:tblW w:w="10408" w:type="dxa"/>
        <w:jc w:val="center"/>
        <w:tblCellMar>
          <w:left w:w="70" w:type="dxa"/>
          <w:right w:w="70" w:type="dxa"/>
        </w:tblCellMar>
        <w:tblLook w:val="04A0" w:firstRow="1" w:lastRow="0" w:firstColumn="1" w:lastColumn="0" w:noHBand="0" w:noVBand="1"/>
      </w:tblPr>
      <w:tblGrid>
        <w:gridCol w:w="4254"/>
        <w:gridCol w:w="1648"/>
        <w:gridCol w:w="1372"/>
        <w:gridCol w:w="1701"/>
        <w:gridCol w:w="1433"/>
      </w:tblGrid>
      <w:tr w:rsidR="00DC0CC4" w:rsidRPr="00701F32" w14:paraId="21D85551" w14:textId="77777777" w:rsidTr="00F30223">
        <w:trPr>
          <w:trHeight w:val="612"/>
          <w:tblHeader/>
          <w:jc w:val="center"/>
        </w:trPr>
        <w:tc>
          <w:tcPr>
            <w:tcW w:w="4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37E98" w14:textId="54A8E3CF" w:rsidR="00DC0CC4" w:rsidRPr="00701F32" w:rsidRDefault="00886AE1" w:rsidP="00886AE1">
            <w:pPr>
              <w:jc w:val="center"/>
              <w:rPr>
                <w:rFonts w:ascii="Arial" w:hAnsi="Arial" w:cs="Arial"/>
                <w:b/>
                <w:bCs/>
                <w:sz w:val="16"/>
                <w:szCs w:val="16"/>
                <w:lang w:eastAsia="es-AR"/>
              </w:rPr>
            </w:pPr>
            <w:r w:rsidRPr="008D7556">
              <w:rPr>
                <w:rFonts w:ascii="Arial" w:hAnsi="Arial" w:cs="Arial"/>
                <w:b/>
                <w:bCs/>
                <w:sz w:val="16"/>
                <w:szCs w:val="16"/>
                <w:lang w:eastAsia="es-AR"/>
              </w:rPr>
              <w:t xml:space="preserve">PASIVO al </w:t>
            </w:r>
            <w:r w:rsidR="003C2633">
              <w:rPr>
                <w:rFonts w:ascii="Arial" w:hAnsi="Arial" w:cs="Arial"/>
                <w:b/>
                <w:bCs/>
                <w:sz w:val="16"/>
                <w:szCs w:val="16"/>
                <w:lang w:eastAsia="es-AR"/>
              </w:rPr>
              <w:t>3</w:t>
            </w:r>
            <w:r w:rsidR="00764FD5">
              <w:rPr>
                <w:rFonts w:ascii="Arial" w:hAnsi="Arial" w:cs="Arial"/>
                <w:b/>
                <w:bCs/>
                <w:sz w:val="16"/>
                <w:szCs w:val="16"/>
                <w:lang w:eastAsia="es-AR"/>
              </w:rPr>
              <w:t>1</w:t>
            </w:r>
            <w:r w:rsidR="003C2633">
              <w:rPr>
                <w:rFonts w:ascii="Arial" w:hAnsi="Arial" w:cs="Arial"/>
                <w:b/>
                <w:bCs/>
                <w:sz w:val="16"/>
                <w:szCs w:val="16"/>
                <w:lang w:eastAsia="es-AR"/>
              </w:rPr>
              <w:t>/</w:t>
            </w:r>
            <w:r w:rsidR="00764FD5">
              <w:rPr>
                <w:rFonts w:ascii="Arial" w:hAnsi="Arial" w:cs="Arial"/>
                <w:b/>
                <w:bCs/>
                <w:sz w:val="16"/>
                <w:szCs w:val="16"/>
                <w:lang w:eastAsia="es-AR"/>
              </w:rPr>
              <w:t>12</w:t>
            </w:r>
            <w:r w:rsidR="003C2633">
              <w:rPr>
                <w:rFonts w:ascii="Arial" w:hAnsi="Arial" w:cs="Arial"/>
                <w:b/>
                <w:bCs/>
                <w:sz w:val="16"/>
                <w:szCs w:val="16"/>
                <w:lang w:eastAsia="es-AR"/>
              </w:rPr>
              <w:t>/2019</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14:paraId="7F3C52D3" w14:textId="77777777" w:rsidR="00DC0CC4" w:rsidRPr="00701F32" w:rsidRDefault="00DC0CC4" w:rsidP="00DC0CC4">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 xml:space="preserve"> Banca Empresa </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14:paraId="48425F0A" w14:textId="77777777" w:rsidR="00DC0CC4" w:rsidRPr="00701F32" w:rsidRDefault="00DC0CC4" w:rsidP="00DC0CC4">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 xml:space="preserve"> Banca Minorista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544DC2C" w14:textId="77777777" w:rsidR="00DC0CC4" w:rsidRPr="00701F32" w:rsidRDefault="00DC0CC4" w:rsidP="00DC0CC4">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 xml:space="preserve"> Tesorería </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14:paraId="2DBF6026" w14:textId="77777777" w:rsidR="00DC0CC4" w:rsidRPr="00701F32" w:rsidRDefault="00DC0CC4" w:rsidP="00DC0CC4">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 xml:space="preserve"> TOTAL </w:t>
            </w:r>
          </w:p>
        </w:tc>
      </w:tr>
      <w:tr w:rsidR="00BD2556" w:rsidRPr="00BD15FB" w14:paraId="326DE9C4" w14:textId="77777777" w:rsidTr="006E1AF7">
        <w:trPr>
          <w:trHeight w:val="20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034DD128" w14:textId="11DB967C" w:rsidR="00BD2556" w:rsidRPr="00801FD6" w:rsidRDefault="00BD2556" w:rsidP="00BD2556">
            <w:pPr>
              <w:rPr>
                <w:rFonts w:ascii="Arial" w:hAnsi="Arial" w:cs="Arial"/>
                <w:bCs/>
                <w:sz w:val="16"/>
                <w:szCs w:val="18"/>
                <w:lang w:eastAsia="es-AR"/>
              </w:rPr>
            </w:pPr>
            <w:r w:rsidRPr="00801FD6">
              <w:rPr>
                <w:rFonts w:ascii="Arial" w:hAnsi="Arial" w:cs="Arial"/>
                <w:sz w:val="16"/>
                <w:szCs w:val="18"/>
              </w:rPr>
              <w:t>Depósitos</w:t>
            </w:r>
          </w:p>
        </w:tc>
        <w:tc>
          <w:tcPr>
            <w:tcW w:w="1648" w:type="dxa"/>
            <w:tcBorders>
              <w:top w:val="nil"/>
              <w:left w:val="nil"/>
              <w:bottom w:val="single" w:sz="4" w:space="0" w:color="auto"/>
              <w:right w:val="single" w:sz="4" w:space="0" w:color="auto"/>
            </w:tcBorders>
            <w:shd w:val="clear" w:color="auto" w:fill="auto"/>
            <w:noWrap/>
            <w:vAlign w:val="bottom"/>
          </w:tcPr>
          <w:p w14:paraId="5B5D9F01" w14:textId="1E88FA16" w:rsidR="00BD2556" w:rsidRPr="006E1AF7" w:rsidRDefault="00BD2556">
            <w:pPr>
              <w:jc w:val="right"/>
              <w:rPr>
                <w:rFonts w:ascii="Arial" w:hAnsi="Arial" w:cs="Arial"/>
                <w:sz w:val="16"/>
                <w:szCs w:val="16"/>
              </w:rPr>
            </w:pPr>
            <w:r w:rsidRPr="006E1AF7">
              <w:rPr>
                <w:rFonts w:ascii="Arial" w:hAnsi="Arial" w:cs="Arial"/>
                <w:bCs/>
                <w:sz w:val="16"/>
                <w:szCs w:val="16"/>
              </w:rPr>
              <w:t xml:space="preserve">-14.479.560 </w:t>
            </w:r>
          </w:p>
        </w:tc>
        <w:tc>
          <w:tcPr>
            <w:tcW w:w="1372" w:type="dxa"/>
            <w:tcBorders>
              <w:top w:val="nil"/>
              <w:left w:val="nil"/>
              <w:bottom w:val="single" w:sz="4" w:space="0" w:color="auto"/>
              <w:right w:val="single" w:sz="4" w:space="0" w:color="auto"/>
            </w:tcBorders>
            <w:shd w:val="clear" w:color="auto" w:fill="auto"/>
            <w:noWrap/>
            <w:vAlign w:val="bottom"/>
          </w:tcPr>
          <w:p w14:paraId="31A9E167" w14:textId="07EED5BE" w:rsidR="00BD2556" w:rsidRPr="006E1AF7" w:rsidRDefault="00BD2556">
            <w:pPr>
              <w:jc w:val="right"/>
              <w:rPr>
                <w:rFonts w:ascii="Arial" w:hAnsi="Arial" w:cs="Arial"/>
                <w:sz w:val="16"/>
                <w:szCs w:val="16"/>
              </w:rPr>
            </w:pPr>
            <w:r w:rsidRPr="006E1AF7">
              <w:rPr>
                <w:rFonts w:ascii="Arial" w:hAnsi="Arial" w:cs="Arial"/>
                <w:bCs/>
                <w:sz w:val="16"/>
                <w:szCs w:val="16"/>
              </w:rPr>
              <w:t xml:space="preserve">-59.580.923 </w:t>
            </w:r>
          </w:p>
        </w:tc>
        <w:tc>
          <w:tcPr>
            <w:tcW w:w="1701" w:type="dxa"/>
            <w:tcBorders>
              <w:top w:val="nil"/>
              <w:left w:val="nil"/>
              <w:bottom w:val="single" w:sz="4" w:space="0" w:color="auto"/>
              <w:right w:val="single" w:sz="4" w:space="0" w:color="auto"/>
            </w:tcBorders>
            <w:shd w:val="clear" w:color="auto" w:fill="auto"/>
            <w:noWrap/>
            <w:vAlign w:val="bottom"/>
          </w:tcPr>
          <w:p w14:paraId="5D38F672" w14:textId="708A92E4" w:rsidR="00BD2556" w:rsidRPr="006E1AF7" w:rsidRDefault="00BD2556">
            <w:pPr>
              <w:jc w:val="right"/>
              <w:rPr>
                <w:rFonts w:ascii="Arial" w:hAnsi="Arial" w:cs="Arial"/>
                <w:sz w:val="16"/>
                <w:szCs w:val="16"/>
              </w:rPr>
            </w:pPr>
            <w:r w:rsidRPr="006E1AF7">
              <w:rPr>
                <w:rFonts w:ascii="Arial" w:hAnsi="Arial" w:cs="Arial"/>
                <w:bCs/>
                <w:sz w:val="16"/>
                <w:szCs w:val="16"/>
              </w:rPr>
              <w:t xml:space="preserve">-15.676.586 </w:t>
            </w:r>
          </w:p>
        </w:tc>
        <w:tc>
          <w:tcPr>
            <w:tcW w:w="1433" w:type="dxa"/>
            <w:tcBorders>
              <w:top w:val="nil"/>
              <w:left w:val="nil"/>
              <w:bottom w:val="single" w:sz="4" w:space="0" w:color="auto"/>
              <w:right w:val="single" w:sz="4" w:space="0" w:color="auto"/>
            </w:tcBorders>
            <w:shd w:val="clear" w:color="auto" w:fill="auto"/>
            <w:noWrap/>
            <w:vAlign w:val="center"/>
          </w:tcPr>
          <w:p w14:paraId="6D535EEF" w14:textId="0F322FDD" w:rsidR="00BD2556" w:rsidRPr="00BD2556" w:rsidRDefault="00BD2556">
            <w:pPr>
              <w:jc w:val="right"/>
              <w:rPr>
                <w:rFonts w:ascii="Arial" w:hAnsi="Arial" w:cs="Arial"/>
                <w:b/>
                <w:sz w:val="16"/>
                <w:szCs w:val="16"/>
              </w:rPr>
            </w:pPr>
            <w:r w:rsidRPr="006E1AF7">
              <w:rPr>
                <w:rFonts w:ascii="Arial" w:hAnsi="Arial" w:cs="Arial"/>
                <w:b/>
                <w:bCs/>
                <w:sz w:val="16"/>
                <w:szCs w:val="16"/>
              </w:rPr>
              <w:t>-89.737.069</w:t>
            </w:r>
          </w:p>
        </w:tc>
      </w:tr>
      <w:tr w:rsidR="00BD2556" w:rsidRPr="00BD15FB" w14:paraId="535C8267" w14:textId="77777777" w:rsidTr="006E1AF7">
        <w:trPr>
          <w:trHeight w:val="27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3DADD041" w14:textId="283ACA02" w:rsidR="00BD2556" w:rsidRPr="00801FD6" w:rsidRDefault="00BD2556" w:rsidP="00BD2556">
            <w:pPr>
              <w:rPr>
                <w:rFonts w:ascii="Arial" w:hAnsi="Arial" w:cs="Arial"/>
                <w:color w:val="000000"/>
                <w:sz w:val="16"/>
                <w:szCs w:val="18"/>
                <w:lang w:eastAsia="es-AR"/>
              </w:rPr>
            </w:pPr>
            <w:r w:rsidRPr="00801FD6">
              <w:rPr>
                <w:rFonts w:ascii="Arial" w:hAnsi="Arial" w:cs="Arial"/>
                <w:sz w:val="16"/>
                <w:szCs w:val="18"/>
              </w:rPr>
              <w:t xml:space="preserve">   Sector público no financiero</w:t>
            </w:r>
          </w:p>
        </w:tc>
        <w:tc>
          <w:tcPr>
            <w:tcW w:w="1648" w:type="dxa"/>
            <w:tcBorders>
              <w:top w:val="nil"/>
              <w:left w:val="nil"/>
              <w:bottom w:val="single" w:sz="4" w:space="0" w:color="auto"/>
              <w:right w:val="single" w:sz="4" w:space="0" w:color="auto"/>
            </w:tcBorders>
            <w:shd w:val="clear" w:color="auto" w:fill="auto"/>
            <w:noWrap/>
            <w:vAlign w:val="bottom"/>
          </w:tcPr>
          <w:p w14:paraId="501B3577" w14:textId="1362EEA8" w:rsidR="00BD2556" w:rsidRPr="00BD2556" w:rsidRDefault="00BD2556">
            <w:pPr>
              <w:jc w:val="right"/>
              <w:rPr>
                <w:rFonts w:ascii="Arial" w:hAnsi="Arial" w:cs="Arial"/>
                <w:sz w:val="16"/>
                <w:szCs w:val="16"/>
              </w:rPr>
            </w:pPr>
            <w:r w:rsidRPr="006E1AF7">
              <w:rPr>
                <w:rFonts w:ascii="Arial" w:hAnsi="Arial" w:cs="Arial"/>
                <w:bCs/>
                <w:sz w:val="16"/>
                <w:szCs w:val="16"/>
              </w:rPr>
              <w:t xml:space="preserve">-9.221 </w:t>
            </w:r>
          </w:p>
        </w:tc>
        <w:tc>
          <w:tcPr>
            <w:tcW w:w="1372" w:type="dxa"/>
            <w:tcBorders>
              <w:top w:val="nil"/>
              <w:left w:val="nil"/>
              <w:bottom w:val="single" w:sz="4" w:space="0" w:color="auto"/>
              <w:right w:val="single" w:sz="4" w:space="0" w:color="auto"/>
            </w:tcBorders>
            <w:shd w:val="clear" w:color="auto" w:fill="auto"/>
            <w:noWrap/>
            <w:vAlign w:val="bottom"/>
          </w:tcPr>
          <w:p w14:paraId="3EDEE6A1" w14:textId="556A4D71" w:rsidR="00BD2556" w:rsidRPr="00BD2556" w:rsidRDefault="00BD2556">
            <w:pPr>
              <w:jc w:val="right"/>
              <w:rPr>
                <w:rFonts w:ascii="Arial" w:hAnsi="Arial" w:cs="Arial"/>
                <w:sz w:val="16"/>
                <w:szCs w:val="16"/>
              </w:rPr>
            </w:pPr>
            <w:r w:rsidRPr="006E1AF7">
              <w:rPr>
                <w:rFonts w:ascii="Arial" w:hAnsi="Arial" w:cs="Arial"/>
                <w:bCs/>
                <w:sz w:val="16"/>
                <w:szCs w:val="16"/>
              </w:rPr>
              <w:t xml:space="preserve">-1.285.984 </w:t>
            </w:r>
          </w:p>
        </w:tc>
        <w:tc>
          <w:tcPr>
            <w:tcW w:w="1701" w:type="dxa"/>
            <w:tcBorders>
              <w:top w:val="nil"/>
              <w:left w:val="nil"/>
              <w:bottom w:val="single" w:sz="4" w:space="0" w:color="auto"/>
              <w:right w:val="single" w:sz="4" w:space="0" w:color="auto"/>
            </w:tcBorders>
            <w:shd w:val="clear" w:color="auto" w:fill="auto"/>
            <w:noWrap/>
            <w:vAlign w:val="bottom"/>
          </w:tcPr>
          <w:p w14:paraId="08428482" w14:textId="6A29BA8B" w:rsidR="00BD2556" w:rsidRPr="00BD2556" w:rsidRDefault="00BD2556">
            <w:pPr>
              <w:jc w:val="right"/>
              <w:rPr>
                <w:rFonts w:ascii="Arial" w:hAnsi="Arial" w:cs="Arial"/>
                <w:sz w:val="16"/>
                <w:szCs w:val="16"/>
              </w:rPr>
            </w:pPr>
            <w:r w:rsidRPr="006E1AF7">
              <w:rPr>
                <w:rFonts w:ascii="Arial" w:hAnsi="Arial" w:cs="Arial"/>
                <w:bCs/>
                <w:sz w:val="16"/>
                <w:szCs w:val="16"/>
              </w:rPr>
              <w:t xml:space="preserve">-4.174.972 </w:t>
            </w:r>
          </w:p>
        </w:tc>
        <w:tc>
          <w:tcPr>
            <w:tcW w:w="1433" w:type="dxa"/>
            <w:tcBorders>
              <w:top w:val="nil"/>
              <w:left w:val="nil"/>
              <w:bottom w:val="single" w:sz="4" w:space="0" w:color="auto"/>
              <w:right w:val="single" w:sz="4" w:space="0" w:color="auto"/>
            </w:tcBorders>
            <w:shd w:val="clear" w:color="auto" w:fill="auto"/>
            <w:noWrap/>
            <w:vAlign w:val="center"/>
          </w:tcPr>
          <w:p w14:paraId="7AE236C8" w14:textId="5DE6662C" w:rsidR="00BD2556" w:rsidRPr="00BD2556" w:rsidRDefault="00BD2556">
            <w:pPr>
              <w:jc w:val="right"/>
              <w:rPr>
                <w:rFonts w:ascii="Arial" w:hAnsi="Arial" w:cs="Arial"/>
                <w:sz w:val="16"/>
                <w:szCs w:val="16"/>
              </w:rPr>
            </w:pPr>
            <w:r w:rsidRPr="006E1AF7">
              <w:rPr>
                <w:rFonts w:ascii="Arial" w:hAnsi="Arial" w:cs="Arial"/>
                <w:b/>
                <w:bCs/>
                <w:sz w:val="16"/>
                <w:szCs w:val="16"/>
              </w:rPr>
              <w:t>-5.470.177</w:t>
            </w:r>
          </w:p>
        </w:tc>
      </w:tr>
      <w:tr w:rsidR="00BD2556" w:rsidRPr="00BD15FB" w14:paraId="0A681F61" w14:textId="77777777" w:rsidTr="006E1AF7">
        <w:trPr>
          <w:trHeight w:val="26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1F038B0D" w14:textId="125CDC71" w:rsidR="00BD2556" w:rsidRPr="00801FD6" w:rsidRDefault="00BD2556" w:rsidP="00BD2556">
            <w:pPr>
              <w:rPr>
                <w:rFonts w:ascii="Arial" w:hAnsi="Arial" w:cs="Arial"/>
                <w:color w:val="000000"/>
                <w:sz w:val="16"/>
                <w:szCs w:val="18"/>
                <w:lang w:eastAsia="es-AR"/>
              </w:rPr>
            </w:pPr>
            <w:r w:rsidRPr="00801FD6">
              <w:rPr>
                <w:rFonts w:ascii="Arial" w:hAnsi="Arial" w:cs="Arial"/>
                <w:sz w:val="16"/>
                <w:szCs w:val="18"/>
              </w:rPr>
              <w:t xml:space="preserve">   Sector financiero</w:t>
            </w:r>
          </w:p>
        </w:tc>
        <w:tc>
          <w:tcPr>
            <w:tcW w:w="1648" w:type="dxa"/>
            <w:tcBorders>
              <w:top w:val="nil"/>
              <w:left w:val="nil"/>
              <w:bottom w:val="single" w:sz="4" w:space="0" w:color="auto"/>
              <w:right w:val="single" w:sz="4" w:space="0" w:color="auto"/>
            </w:tcBorders>
            <w:shd w:val="clear" w:color="auto" w:fill="auto"/>
            <w:noWrap/>
            <w:vAlign w:val="bottom"/>
          </w:tcPr>
          <w:p w14:paraId="65FA3F32" w14:textId="6AEA939A" w:rsidR="00BD2556" w:rsidRPr="00BD2556" w:rsidRDefault="00BD2556">
            <w:pPr>
              <w:jc w:val="right"/>
              <w:rPr>
                <w:rFonts w:ascii="Arial" w:hAnsi="Arial" w:cs="Arial"/>
                <w:sz w:val="16"/>
                <w:szCs w:val="16"/>
              </w:rPr>
            </w:pPr>
            <w:r w:rsidRPr="006E1AF7">
              <w:rPr>
                <w:rFonts w:ascii="Arial" w:hAnsi="Arial" w:cs="Arial"/>
                <w:bCs/>
                <w:sz w:val="16"/>
                <w:szCs w:val="16"/>
              </w:rPr>
              <w:t xml:space="preserve">-37.329 </w:t>
            </w:r>
          </w:p>
        </w:tc>
        <w:tc>
          <w:tcPr>
            <w:tcW w:w="1372" w:type="dxa"/>
            <w:tcBorders>
              <w:top w:val="nil"/>
              <w:left w:val="nil"/>
              <w:bottom w:val="single" w:sz="4" w:space="0" w:color="auto"/>
              <w:right w:val="single" w:sz="4" w:space="0" w:color="auto"/>
            </w:tcBorders>
            <w:shd w:val="clear" w:color="auto" w:fill="auto"/>
            <w:noWrap/>
            <w:vAlign w:val="bottom"/>
          </w:tcPr>
          <w:p w14:paraId="4C575A53" w14:textId="442D712F" w:rsidR="00BD2556" w:rsidRPr="00BD2556" w:rsidRDefault="00BD2556">
            <w:pPr>
              <w:jc w:val="right"/>
              <w:rPr>
                <w:rFonts w:ascii="Arial" w:hAnsi="Arial" w:cs="Arial"/>
                <w:sz w:val="16"/>
                <w:szCs w:val="16"/>
              </w:rPr>
            </w:pPr>
            <w:r w:rsidRPr="006E1AF7">
              <w:rPr>
                <w:rFonts w:ascii="Arial" w:hAnsi="Arial" w:cs="Arial"/>
                <w:bCs/>
                <w:sz w:val="16"/>
                <w:szCs w:val="16"/>
              </w:rPr>
              <w:t xml:space="preserve">-   </w:t>
            </w:r>
          </w:p>
        </w:tc>
        <w:tc>
          <w:tcPr>
            <w:tcW w:w="1701" w:type="dxa"/>
            <w:tcBorders>
              <w:top w:val="nil"/>
              <w:left w:val="nil"/>
              <w:bottom w:val="single" w:sz="4" w:space="0" w:color="auto"/>
              <w:right w:val="single" w:sz="4" w:space="0" w:color="auto"/>
            </w:tcBorders>
            <w:shd w:val="clear" w:color="auto" w:fill="auto"/>
            <w:noWrap/>
            <w:vAlign w:val="bottom"/>
          </w:tcPr>
          <w:p w14:paraId="4E30F0FA" w14:textId="1E5BE3D4" w:rsidR="00BD2556" w:rsidRPr="00BD2556" w:rsidRDefault="00BD2556">
            <w:pPr>
              <w:jc w:val="right"/>
              <w:rPr>
                <w:rFonts w:ascii="Arial" w:hAnsi="Arial" w:cs="Arial"/>
                <w:sz w:val="16"/>
                <w:szCs w:val="16"/>
              </w:rPr>
            </w:pPr>
            <w:r w:rsidRPr="006E1AF7">
              <w:rPr>
                <w:rFonts w:ascii="Arial" w:hAnsi="Arial" w:cs="Arial"/>
                <w:bCs/>
                <w:sz w:val="16"/>
                <w:szCs w:val="16"/>
              </w:rPr>
              <w:t xml:space="preserve">-29 </w:t>
            </w:r>
          </w:p>
        </w:tc>
        <w:tc>
          <w:tcPr>
            <w:tcW w:w="1433" w:type="dxa"/>
            <w:tcBorders>
              <w:top w:val="nil"/>
              <w:left w:val="nil"/>
              <w:bottom w:val="single" w:sz="4" w:space="0" w:color="auto"/>
              <w:right w:val="single" w:sz="4" w:space="0" w:color="auto"/>
            </w:tcBorders>
            <w:shd w:val="clear" w:color="auto" w:fill="auto"/>
            <w:noWrap/>
            <w:vAlign w:val="center"/>
          </w:tcPr>
          <w:p w14:paraId="469983F5" w14:textId="464007FE" w:rsidR="00BD2556" w:rsidRPr="00BD2556" w:rsidRDefault="00BD2556">
            <w:pPr>
              <w:jc w:val="right"/>
              <w:rPr>
                <w:rFonts w:ascii="Arial" w:hAnsi="Arial" w:cs="Arial"/>
                <w:sz w:val="16"/>
                <w:szCs w:val="16"/>
              </w:rPr>
            </w:pPr>
            <w:r w:rsidRPr="006E1AF7">
              <w:rPr>
                <w:rFonts w:ascii="Arial" w:hAnsi="Arial" w:cs="Arial"/>
                <w:b/>
                <w:bCs/>
                <w:sz w:val="16"/>
                <w:szCs w:val="16"/>
              </w:rPr>
              <w:t>-37.358</w:t>
            </w:r>
          </w:p>
        </w:tc>
      </w:tr>
      <w:tr w:rsidR="00BD2556" w:rsidRPr="00BD15FB" w14:paraId="4F735AA0" w14:textId="77777777" w:rsidTr="006E1AF7">
        <w:trPr>
          <w:trHeight w:val="272"/>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578889C1" w14:textId="79EF0F92" w:rsidR="00BD2556" w:rsidRPr="00801FD6" w:rsidRDefault="00BD2556" w:rsidP="00BD2556">
            <w:pPr>
              <w:rPr>
                <w:rFonts w:ascii="Arial" w:hAnsi="Arial" w:cs="Arial"/>
                <w:color w:val="000000"/>
                <w:sz w:val="16"/>
                <w:szCs w:val="18"/>
                <w:lang w:eastAsia="es-AR"/>
              </w:rPr>
            </w:pPr>
            <w:r w:rsidRPr="00801FD6">
              <w:rPr>
                <w:rFonts w:ascii="Arial" w:hAnsi="Arial" w:cs="Arial"/>
                <w:sz w:val="16"/>
                <w:szCs w:val="18"/>
              </w:rPr>
              <w:t xml:space="preserve">   Sector privado no financiero y residentes en el exterior</w:t>
            </w:r>
          </w:p>
        </w:tc>
        <w:tc>
          <w:tcPr>
            <w:tcW w:w="1648" w:type="dxa"/>
            <w:tcBorders>
              <w:top w:val="nil"/>
              <w:left w:val="nil"/>
              <w:bottom w:val="single" w:sz="4" w:space="0" w:color="auto"/>
              <w:right w:val="single" w:sz="4" w:space="0" w:color="auto"/>
            </w:tcBorders>
            <w:shd w:val="clear" w:color="auto" w:fill="auto"/>
            <w:noWrap/>
            <w:vAlign w:val="bottom"/>
          </w:tcPr>
          <w:p w14:paraId="2C198FD3" w14:textId="217F7C28" w:rsidR="00BD2556" w:rsidRPr="00BD2556" w:rsidRDefault="00BD2556">
            <w:pPr>
              <w:jc w:val="right"/>
              <w:rPr>
                <w:rFonts w:ascii="Arial" w:hAnsi="Arial" w:cs="Arial"/>
                <w:sz w:val="16"/>
                <w:szCs w:val="16"/>
              </w:rPr>
            </w:pPr>
            <w:r w:rsidRPr="006E1AF7">
              <w:rPr>
                <w:rFonts w:ascii="Arial" w:hAnsi="Arial" w:cs="Arial"/>
                <w:bCs/>
                <w:sz w:val="16"/>
                <w:szCs w:val="16"/>
              </w:rPr>
              <w:t xml:space="preserve">-14.433.010 </w:t>
            </w:r>
          </w:p>
        </w:tc>
        <w:tc>
          <w:tcPr>
            <w:tcW w:w="1372" w:type="dxa"/>
            <w:tcBorders>
              <w:top w:val="nil"/>
              <w:left w:val="nil"/>
              <w:bottom w:val="single" w:sz="4" w:space="0" w:color="auto"/>
              <w:right w:val="single" w:sz="4" w:space="0" w:color="auto"/>
            </w:tcBorders>
            <w:shd w:val="clear" w:color="auto" w:fill="auto"/>
            <w:noWrap/>
            <w:vAlign w:val="bottom"/>
          </w:tcPr>
          <w:p w14:paraId="6BAF5BE7" w14:textId="32CADF0D" w:rsidR="00BD2556" w:rsidRPr="00BD2556" w:rsidRDefault="00BD2556">
            <w:pPr>
              <w:jc w:val="right"/>
              <w:rPr>
                <w:rFonts w:ascii="Arial" w:hAnsi="Arial" w:cs="Arial"/>
                <w:sz w:val="16"/>
                <w:szCs w:val="16"/>
              </w:rPr>
            </w:pPr>
            <w:r w:rsidRPr="006E1AF7">
              <w:rPr>
                <w:rFonts w:ascii="Arial" w:hAnsi="Arial" w:cs="Arial"/>
                <w:bCs/>
                <w:sz w:val="16"/>
                <w:szCs w:val="16"/>
              </w:rPr>
              <w:t xml:space="preserve">-58.294.939 </w:t>
            </w:r>
          </w:p>
        </w:tc>
        <w:tc>
          <w:tcPr>
            <w:tcW w:w="1701" w:type="dxa"/>
            <w:tcBorders>
              <w:top w:val="nil"/>
              <w:left w:val="nil"/>
              <w:bottom w:val="single" w:sz="4" w:space="0" w:color="auto"/>
              <w:right w:val="single" w:sz="4" w:space="0" w:color="auto"/>
            </w:tcBorders>
            <w:shd w:val="clear" w:color="auto" w:fill="auto"/>
            <w:noWrap/>
            <w:vAlign w:val="bottom"/>
          </w:tcPr>
          <w:p w14:paraId="4165AD58" w14:textId="2BDBCB5E" w:rsidR="00BD2556" w:rsidRPr="00BD2556" w:rsidRDefault="00BD2556">
            <w:pPr>
              <w:jc w:val="right"/>
              <w:rPr>
                <w:rFonts w:ascii="Arial" w:hAnsi="Arial" w:cs="Arial"/>
                <w:sz w:val="16"/>
                <w:szCs w:val="16"/>
              </w:rPr>
            </w:pPr>
            <w:r w:rsidRPr="006E1AF7">
              <w:rPr>
                <w:rFonts w:ascii="Arial" w:hAnsi="Arial" w:cs="Arial"/>
                <w:bCs/>
                <w:sz w:val="16"/>
                <w:szCs w:val="16"/>
              </w:rPr>
              <w:t xml:space="preserve">-11.501.585 </w:t>
            </w:r>
          </w:p>
        </w:tc>
        <w:tc>
          <w:tcPr>
            <w:tcW w:w="1433" w:type="dxa"/>
            <w:tcBorders>
              <w:top w:val="nil"/>
              <w:left w:val="nil"/>
              <w:bottom w:val="single" w:sz="4" w:space="0" w:color="auto"/>
              <w:right w:val="single" w:sz="4" w:space="0" w:color="auto"/>
            </w:tcBorders>
            <w:shd w:val="clear" w:color="auto" w:fill="auto"/>
            <w:noWrap/>
            <w:vAlign w:val="center"/>
          </w:tcPr>
          <w:p w14:paraId="74B7EFB1" w14:textId="2A15A03A" w:rsidR="00BD2556" w:rsidRPr="00BD2556" w:rsidRDefault="00BD2556">
            <w:pPr>
              <w:jc w:val="right"/>
              <w:rPr>
                <w:rFonts w:ascii="Arial" w:hAnsi="Arial" w:cs="Arial"/>
                <w:sz w:val="16"/>
                <w:szCs w:val="16"/>
              </w:rPr>
            </w:pPr>
            <w:r w:rsidRPr="006E1AF7">
              <w:rPr>
                <w:rFonts w:ascii="Arial" w:hAnsi="Arial" w:cs="Arial"/>
                <w:b/>
                <w:bCs/>
                <w:sz w:val="16"/>
                <w:szCs w:val="16"/>
              </w:rPr>
              <w:t>-84.229.534</w:t>
            </w:r>
          </w:p>
        </w:tc>
      </w:tr>
      <w:tr w:rsidR="00BD2556" w:rsidRPr="00BD15FB" w14:paraId="7EEFB97E" w14:textId="77777777" w:rsidTr="006E1AF7">
        <w:trPr>
          <w:trHeight w:val="272"/>
          <w:jc w:val="center"/>
        </w:trPr>
        <w:tc>
          <w:tcPr>
            <w:tcW w:w="4254" w:type="dxa"/>
            <w:tcBorders>
              <w:top w:val="nil"/>
              <w:left w:val="single" w:sz="4" w:space="0" w:color="auto"/>
              <w:bottom w:val="single" w:sz="4" w:space="0" w:color="auto"/>
              <w:right w:val="single" w:sz="4" w:space="0" w:color="auto"/>
            </w:tcBorders>
            <w:shd w:val="clear" w:color="auto" w:fill="auto"/>
            <w:noWrap/>
            <w:vAlign w:val="bottom"/>
          </w:tcPr>
          <w:p w14:paraId="7836B103" w14:textId="2B7A0290" w:rsidR="00BD2556" w:rsidRPr="00801FD6" w:rsidRDefault="00BD2556" w:rsidP="00BD2556">
            <w:pPr>
              <w:rPr>
                <w:rFonts w:ascii="Arial" w:hAnsi="Arial" w:cs="Arial"/>
                <w:sz w:val="16"/>
                <w:szCs w:val="18"/>
              </w:rPr>
            </w:pPr>
            <w:r w:rsidRPr="00801FD6">
              <w:rPr>
                <w:rFonts w:ascii="Arial" w:hAnsi="Arial" w:cs="Arial"/>
                <w:sz w:val="16"/>
                <w:szCs w:val="18"/>
              </w:rPr>
              <w:t>Pasivos a valor razonable con cambios en resultados</w:t>
            </w:r>
          </w:p>
        </w:tc>
        <w:tc>
          <w:tcPr>
            <w:tcW w:w="1648" w:type="dxa"/>
            <w:tcBorders>
              <w:top w:val="nil"/>
              <w:left w:val="nil"/>
              <w:bottom w:val="single" w:sz="4" w:space="0" w:color="auto"/>
              <w:right w:val="single" w:sz="4" w:space="0" w:color="auto"/>
            </w:tcBorders>
            <w:shd w:val="clear" w:color="auto" w:fill="auto"/>
            <w:noWrap/>
            <w:vAlign w:val="bottom"/>
          </w:tcPr>
          <w:p w14:paraId="6531B7AC" w14:textId="1AB0AB10" w:rsidR="00BD2556" w:rsidRPr="00BD2556" w:rsidRDefault="00BD2556">
            <w:pPr>
              <w:jc w:val="right"/>
              <w:rPr>
                <w:rFonts w:ascii="Arial" w:hAnsi="Arial" w:cs="Arial"/>
                <w:sz w:val="16"/>
                <w:szCs w:val="16"/>
              </w:rPr>
            </w:pPr>
            <w:r w:rsidRPr="006E1AF7">
              <w:rPr>
                <w:rFonts w:ascii="Arial" w:hAnsi="Arial" w:cs="Arial"/>
                <w:bCs/>
                <w:sz w:val="16"/>
                <w:szCs w:val="16"/>
              </w:rPr>
              <w:t xml:space="preserve">-   </w:t>
            </w:r>
          </w:p>
        </w:tc>
        <w:tc>
          <w:tcPr>
            <w:tcW w:w="1372" w:type="dxa"/>
            <w:tcBorders>
              <w:top w:val="nil"/>
              <w:left w:val="nil"/>
              <w:bottom w:val="single" w:sz="4" w:space="0" w:color="auto"/>
              <w:right w:val="single" w:sz="4" w:space="0" w:color="auto"/>
            </w:tcBorders>
            <w:shd w:val="clear" w:color="auto" w:fill="auto"/>
            <w:noWrap/>
            <w:vAlign w:val="bottom"/>
          </w:tcPr>
          <w:p w14:paraId="3F603DCA" w14:textId="069F3E10" w:rsidR="00BD2556" w:rsidRPr="00BD2556" w:rsidRDefault="00BD2556">
            <w:pPr>
              <w:jc w:val="right"/>
              <w:rPr>
                <w:rFonts w:ascii="Arial" w:hAnsi="Arial" w:cs="Arial"/>
                <w:sz w:val="16"/>
                <w:szCs w:val="16"/>
              </w:rPr>
            </w:pPr>
            <w:r w:rsidRPr="006E1AF7">
              <w:rPr>
                <w:rFonts w:ascii="Arial" w:hAnsi="Arial" w:cs="Arial"/>
                <w:bCs/>
                <w:sz w:val="16"/>
                <w:szCs w:val="16"/>
              </w:rPr>
              <w:t xml:space="preserve">-   </w:t>
            </w:r>
          </w:p>
        </w:tc>
        <w:tc>
          <w:tcPr>
            <w:tcW w:w="1701" w:type="dxa"/>
            <w:tcBorders>
              <w:top w:val="nil"/>
              <w:left w:val="nil"/>
              <w:bottom w:val="single" w:sz="4" w:space="0" w:color="auto"/>
              <w:right w:val="single" w:sz="4" w:space="0" w:color="auto"/>
            </w:tcBorders>
            <w:shd w:val="clear" w:color="auto" w:fill="auto"/>
            <w:noWrap/>
            <w:vAlign w:val="bottom"/>
          </w:tcPr>
          <w:p w14:paraId="6A2F5555" w14:textId="261C9699" w:rsidR="00BD2556" w:rsidRPr="00BD2556" w:rsidRDefault="00BD2556">
            <w:pPr>
              <w:jc w:val="right"/>
              <w:rPr>
                <w:rFonts w:ascii="Arial" w:hAnsi="Arial" w:cs="Arial"/>
                <w:sz w:val="16"/>
                <w:szCs w:val="16"/>
              </w:rPr>
            </w:pPr>
            <w:r w:rsidRPr="006E1AF7">
              <w:rPr>
                <w:rFonts w:ascii="Arial" w:hAnsi="Arial" w:cs="Arial"/>
                <w:bCs/>
                <w:sz w:val="16"/>
                <w:szCs w:val="16"/>
              </w:rPr>
              <w:t xml:space="preserve">-133.300 </w:t>
            </w:r>
          </w:p>
        </w:tc>
        <w:tc>
          <w:tcPr>
            <w:tcW w:w="1433" w:type="dxa"/>
            <w:tcBorders>
              <w:top w:val="nil"/>
              <w:left w:val="nil"/>
              <w:bottom w:val="single" w:sz="4" w:space="0" w:color="auto"/>
              <w:right w:val="single" w:sz="4" w:space="0" w:color="auto"/>
            </w:tcBorders>
            <w:shd w:val="clear" w:color="auto" w:fill="auto"/>
            <w:noWrap/>
            <w:vAlign w:val="center"/>
          </w:tcPr>
          <w:p w14:paraId="34E98DBF" w14:textId="31CA3A8F" w:rsidR="00BD2556" w:rsidRPr="00BD2556" w:rsidRDefault="00BD2556">
            <w:pPr>
              <w:jc w:val="right"/>
              <w:rPr>
                <w:rFonts w:ascii="Arial" w:hAnsi="Arial" w:cs="Arial"/>
                <w:sz w:val="16"/>
                <w:szCs w:val="16"/>
              </w:rPr>
            </w:pPr>
            <w:r w:rsidRPr="006E1AF7">
              <w:rPr>
                <w:rFonts w:ascii="Arial" w:hAnsi="Arial" w:cs="Arial"/>
                <w:b/>
                <w:bCs/>
                <w:sz w:val="16"/>
                <w:szCs w:val="16"/>
              </w:rPr>
              <w:t>-133.300</w:t>
            </w:r>
          </w:p>
        </w:tc>
      </w:tr>
      <w:tr w:rsidR="00BD2556" w:rsidRPr="00BD15FB" w14:paraId="39D85DF9" w14:textId="77777777" w:rsidTr="006E1AF7">
        <w:trPr>
          <w:trHeight w:val="276"/>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176899BF" w14:textId="1071DA53" w:rsidR="00BD2556" w:rsidRPr="00801FD6" w:rsidRDefault="00BD2556" w:rsidP="00BD2556">
            <w:pPr>
              <w:rPr>
                <w:rFonts w:ascii="Arial" w:hAnsi="Arial" w:cs="Arial"/>
                <w:bCs/>
                <w:sz w:val="16"/>
                <w:szCs w:val="18"/>
                <w:lang w:eastAsia="es-AR"/>
              </w:rPr>
            </w:pPr>
            <w:r w:rsidRPr="00801FD6">
              <w:rPr>
                <w:rFonts w:ascii="Arial" w:hAnsi="Arial" w:cs="Arial"/>
                <w:sz w:val="16"/>
                <w:szCs w:val="18"/>
              </w:rPr>
              <w:t>Operaciones de pase</w:t>
            </w:r>
          </w:p>
        </w:tc>
        <w:tc>
          <w:tcPr>
            <w:tcW w:w="1648" w:type="dxa"/>
            <w:tcBorders>
              <w:top w:val="nil"/>
              <w:left w:val="nil"/>
              <w:bottom w:val="single" w:sz="4" w:space="0" w:color="auto"/>
              <w:right w:val="single" w:sz="4" w:space="0" w:color="auto"/>
            </w:tcBorders>
            <w:shd w:val="clear" w:color="auto" w:fill="auto"/>
            <w:noWrap/>
            <w:vAlign w:val="bottom"/>
          </w:tcPr>
          <w:p w14:paraId="22DF0443" w14:textId="363544A9" w:rsidR="00BD2556" w:rsidRPr="006E1AF7" w:rsidRDefault="00BD2556">
            <w:pPr>
              <w:jc w:val="right"/>
              <w:rPr>
                <w:rFonts w:ascii="Arial" w:hAnsi="Arial" w:cs="Arial"/>
                <w:sz w:val="16"/>
                <w:szCs w:val="16"/>
              </w:rPr>
            </w:pPr>
            <w:r w:rsidRPr="006E1AF7">
              <w:rPr>
                <w:rFonts w:ascii="Arial" w:hAnsi="Arial" w:cs="Arial"/>
                <w:bCs/>
                <w:sz w:val="16"/>
                <w:szCs w:val="16"/>
              </w:rPr>
              <w:t xml:space="preserve">-   </w:t>
            </w:r>
          </w:p>
        </w:tc>
        <w:tc>
          <w:tcPr>
            <w:tcW w:w="1372" w:type="dxa"/>
            <w:tcBorders>
              <w:top w:val="nil"/>
              <w:left w:val="nil"/>
              <w:bottom w:val="single" w:sz="4" w:space="0" w:color="auto"/>
              <w:right w:val="single" w:sz="4" w:space="0" w:color="auto"/>
            </w:tcBorders>
            <w:shd w:val="clear" w:color="auto" w:fill="auto"/>
            <w:noWrap/>
            <w:vAlign w:val="bottom"/>
          </w:tcPr>
          <w:p w14:paraId="60B349F1" w14:textId="3497D087" w:rsidR="00BD2556" w:rsidRPr="006E1AF7" w:rsidRDefault="00BD2556">
            <w:pPr>
              <w:jc w:val="right"/>
              <w:rPr>
                <w:rFonts w:ascii="Arial" w:hAnsi="Arial" w:cs="Arial"/>
                <w:sz w:val="16"/>
                <w:szCs w:val="16"/>
              </w:rPr>
            </w:pPr>
            <w:r w:rsidRPr="006E1AF7">
              <w:rPr>
                <w:rFonts w:ascii="Arial" w:hAnsi="Arial" w:cs="Arial"/>
                <w:bCs/>
                <w:sz w:val="16"/>
                <w:szCs w:val="16"/>
              </w:rPr>
              <w:t xml:space="preserve">-   </w:t>
            </w:r>
          </w:p>
        </w:tc>
        <w:tc>
          <w:tcPr>
            <w:tcW w:w="1701" w:type="dxa"/>
            <w:tcBorders>
              <w:top w:val="nil"/>
              <w:left w:val="nil"/>
              <w:bottom w:val="single" w:sz="4" w:space="0" w:color="auto"/>
              <w:right w:val="single" w:sz="4" w:space="0" w:color="auto"/>
            </w:tcBorders>
            <w:shd w:val="clear" w:color="auto" w:fill="auto"/>
            <w:noWrap/>
            <w:vAlign w:val="bottom"/>
          </w:tcPr>
          <w:p w14:paraId="592886F4" w14:textId="3F27894F" w:rsidR="00BD2556" w:rsidRPr="00BD2556" w:rsidRDefault="00BD2556">
            <w:pPr>
              <w:jc w:val="right"/>
              <w:rPr>
                <w:rFonts w:ascii="Arial" w:hAnsi="Arial" w:cs="Arial"/>
                <w:sz w:val="16"/>
                <w:szCs w:val="16"/>
              </w:rPr>
            </w:pPr>
            <w:r w:rsidRPr="006E1AF7">
              <w:rPr>
                <w:rFonts w:ascii="Arial" w:hAnsi="Arial" w:cs="Arial"/>
                <w:bCs/>
                <w:sz w:val="16"/>
                <w:szCs w:val="16"/>
              </w:rPr>
              <w:t xml:space="preserve">-240.493 </w:t>
            </w:r>
          </w:p>
        </w:tc>
        <w:tc>
          <w:tcPr>
            <w:tcW w:w="1433" w:type="dxa"/>
            <w:tcBorders>
              <w:top w:val="nil"/>
              <w:left w:val="nil"/>
              <w:bottom w:val="single" w:sz="4" w:space="0" w:color="auto"/>
              <w:right w:val="single" w:sz="4" w:space="0" w:color="auto"/>
            </w:tcBorders>
            <w:shd w:val="clear" w:color="auto" w:fill="auto"/>
            <w:noWrap/>
            <w:vAlign w:val="center"/>
          </w:tcPr>
          <w:p w14:paraId="02CE27C5" w14:textId="6ACB735D" w:rsidR="00BD2556" w:rsidRPr="00BD2556" w:rsidRDefault="00BD2556">
            <w:pPr>
              <w:jc w:val="right"/>
              <w:rPr>
                <w:rFonts w:ascii="Arial" w:hAnsi="Arial" w:cs="Arial"/>
                <w:b/>
                <w:sz w:val="16"/>
                <w:szCs w:val="16"/>
              </w:rPr>
            </w:pPr>
            <w:r w:rsidRPr="006E1AF7">
              <w:rPr>
                <w:rFonts w:ascii="Arial" w:hAnsi="Arial" w:cs="Arial"/>
                <w:b/>
                <w:bCs/>
                <w:sz w:val="16"/>
                <w:szCs w:val="16"/>
              </w:rPr>
              <w:t>-240.493</w:t>
            </w:r>
          </w:p>
        </w:tc>
      </w:tr>
      <w:tr w:rsidR="00BD2556" w:rsidRPr="00BD15FB" w14:paraId="09C326B1" w14:textId="77777777" w:rsidTr="006E1AF7">
        <w:trPr>
          <w:trHeight w:val="276"/>
          <w:jc w:val="center"/>
        </w:trPr>
        <w:tc>
          <w:tcPr>
            <w:tcW w:w="4254" w:type="dxa"/>
            <w:tcBorders>
              <w:top w:val="nil"/>
              <w:left w:val="single" w:sz="4" w:space="0" w:color="auto"/>
              <w:bottom w:val="single" w:sz="4" w:space="0" w:color="auto"/>
              <w:right w:val="single" w:sz="4" w:space="0" w:color="auto"/>
            </w:tcBorders>
            <w:shd w:val="clear" w:color="auto" w:fill="auto"/>
            <w:noWrap/>
            <w:vAlign w:val="bottom"/>
          </w:tcPr>
          <w:p w14:paraId="51613547" w14:textId="4D1F2407" w:rsidR="00BD2556" w:rsidRPr="00801FD6" w:rsidRDefault="00BD2556" w:rsidP="00BD2556">
            <w:pPr>
              <w:rPr>
                <w:rFonts w:ascii="Arial" w:hAnsi="Arial" w:cs="Arial"/>
                <w:bCs/>
                <w:sz w:val="16"/>
                <w:szCs w:val="18"/>
                <w:lang w:eastAsia="es-AR"/>
              </w:rPr>
            </w:pPr>
            <w:r w:rsidRPr="00801FD6">
              <w:rPr>
                <w:rFonts w:ascii="Arial" w:hAnsi="Arial" w:cs="Arial"/>
                <w:sz w:val="16"/>
                <w:szCs w:val="18"/>
              </w:rPr>
              <w:t>Otros pasivos financieros</w:t>
            </w:r>
          </w:p>
        </w:tc>
        <w:tc>
          <w:tcPr>
            <w:tcW w:w="1648" w:type="dxa"/>
            <w:tcBorders>
              <w:top w:val="nil"/>
              <w:left w:val="nil"/>
              <w:bottom w:val="single" w:sz="4" w:space="0" w:color="auto"/>
              <w:right w:val="single" w:sz="4" w:space="0" w:color="auto"/>
            </w:tcBorders>
            <w:shd w:val="clear" w:color="auto" w:fill="auto"/>
            <w:noWrap/>
            <w:vAlign w:val="bottom"/>
          </w:tcPr>
          <w:p w14:paraId="1945B711" w14:textId="1A15A48F" w:rsidR="00BD2556" w:rsidRPr="006E1AF7" w:rsidRDefault="00BD2556">
            <w:pPr>
              <w:jc w:val="right"/>
              <w:rPr>
                <w:rFonts w:ascii="Arial" w:hAnsi="Arial" w:cs="Arial"/>
                <w:sz w:val="16"/>
                <w:szCs w:val="16"/>
              </w:rPr>
            </w:pPr>
            <w:r w:rsidRPr="006E1AF7">
              <w:rPr>
                <w:rFonts w:ascii="Arial" w:hAnsi="Arial" w:cs="Arial"/>
                <w:bCs/>
                <w:sz w:val="16"/>
                <w:szCs w:val="16"/>
              </w:rPr>
              <w:t xml:space="preserve">-1.500.887 </w:t>
            </w:r>
          </w:p>
        </w:tc>
        <w:tc>
          <w:tcPr>
            <w:tcW w:w="1372" w:type="dxa"/>
            <w:tcBorders>
              <w:top w:val="nil"/>
              <w:left w:val="nil"/>
              <w:bottom w:val="single" w:sz="4" w:space="0" w:color="auto"/>
              <w:right w:val="single" w:sz="4" w:space="0" w:color="auto"/>
            </w:tcBorders>
            <w:shd w:val="clear" w:color="auto" w:fill="auto"/>
            <w:noWrap/>
            <w:vAlign w:val="bottom"/>
          </w:tcPr>
          <w:p w14:paraId="228CCB96" w14:textId="4B56B979" w:rsidR="00BD2556" w:rsidRPr="006E1AF7" w:rsidRDefault="00BD2556">
            <w:pPr>
              <w:jc w:val="right"/>
              <w:rPr>
                <w:rFonts w:ascii="Arial" w:hAnsi="Arial" w:cs="Arial"/>
                <w:sz w:val="16"/>
                <w:szCs w:val="16"/>
              </w:rPr>
            </w:pPr>
            <w:r w:rsidRPr="006E1AF7">
              <w:rPr>
                <w:rFonts w:ascii="Arial" w:hAnsi="Arial" w:cs="Arial"/>
                <w:bCs/>
                <w:sz w:val="16"/>
                <w:szCs w:val="16"/>
              </w:rPr>
              <w:t xml:space="preserve">-3.118.842 </w:t>
            </w:r>
          </w:p>
        </w:tc>
        <w:tc>
          <w:tcPr>
            <w:tcW w:w="1701" w:type="dxa"/>
            <w:tcBorders>
              <w:top w:val="nil"/>
              <w:left w:val="nil"/>
              <w:bottom w:val="single" w:sz="4" w:space="0" w:color="auto"/>
              <w:right w:val="single" w:sz="4" w:space="0" w:color="auto"/>
            </w:tcBorders>
            <w:shd w:val="clear" w:color="auto" w:fill="auto"/>
            <w:noWrap/>
            <w:vAlign w:val="bottom"/>
          </w:tcPr>
          <w:p w14:paraId="0E6B0D1E" w14:textId="59162149" w:rsidR="00BD2556" w:rsidRPr="006E1AF7" w:rsidRDefault="00BD2556">
            <w:pPr>
              <w:jc w:val="right"/>
              <w:rPr>
                <w:rFonts w:ascii="Arial" w:hAnsi="Arial" w:cs="Arial"/>
                <w:sz w:val="16"/>
                <w:szCs w:val="16"/>
              </w:rPr>
            </w:pPr>
            <w:r w:rsidRPr="006E1AF7">
              <w:rPr>
                <w:rFonts w:ascii="Arial" w:hAnsi="Arial" w:cs="Arial"/>
                <w:bCs/>
                <w:sz w:val="16"/>
                <w:szCs w:val="16"/>
              </w:rPr>
              <w:t xml:space="preserve">-1.465.033 </w:t>
            </w:r>
          </w:p>
        </w:tc>
        <w:tc>
          <w:tcPr>
            <w:tcW w:w="1433" w:type="dxa"/>
            <w:tcBorders>
              <w:top w:val="nil"/>
              <w:left w:val="nil"/>
              <w:bottom w:val="single" w:sz="4" w:space="0" w:color="auto"/>
              <w:right w:val="single" w:sz="4" w:space="0" w:color="auto"/>
            </w:tcBorders>
            <w:shd w:val="clear" w:color="auto" w:fill="auto"/>
            <w:noWrap/>
            <w:vAlign w:val="center"/>
          </w:tcPr>
          <w:p w14:paraId="3BE2E049" w14:textId="4107CE8D" w:rsidR="00BD2556" w:rsidRPr="00BD2556" w:rsidRDefault="00BD2556">
            <w:pPr>
              <w:jc w:val="right"/>
              <w:rPr>
                <w:rFonts w:ascii="Arial" w:hAnsi="Arial" w:cs="Arial"/>
                <w:b/>
                <w:sz w:val="16"/>
                <w:szCs w:val="16"/>
              </w:rPr>
            </w:pPr>
            <w:r w:rsidRPr="006E1AF7">
              <w:rPr>
                <w:rFonts w:ascii="Arial" w:hAnsi="Arial" w:cs="Arial"/>
                <w:b/>
                <w:bCs/>
                <w:sz w:val="16"/>
                <w:szCs w:val="16"/>
              </w:rPr>
              <w:t>-6.084.762</w:t>
            </w:r>
          </w:p>
        </w:tc>
      </w:tr>
      <w:tr w:rsidR="00BD2556" w:rsidRPr="00BD15FB" w14:paraId="3ED5EABE" w14:textId="77777777" w:rsidTr="006E1AF7">
        <w:trPr>
          <w:trHeight w:val="27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3C99F625" w14:textId="68C03756" w:rsidR="00BD2556" w:rsidRPr="00801FD6" w:rsidRDefault="00BD2556" w:rsidP="00BD2556">
            <w:pPr>
              <w:rPr>
                <w:rFonts w:ascii="Arial" w:hAnsi="Arial" w:cs="Arial"/>
                <w:bCs/>
                <w:sz w:val="16"/>
                <w:szCs w:val="18"/>
                <w:lang w:eastAsia="es-AR"/>
              </w:rPr>
            </w:pPr>
            <w:r w:rsidRPr="00801FD6">
              <w:rPr>
                <w:rFonts w:ascii="Arial" w:hAnsi="Arial" w:cs="Arial"/>
                <w:sz w:val="16"/>
                <w:szCs w:val="18"/>
              </w:rPr>
              <w:t>Financiaciones recibidas del BCRA y otras instituciones financieras</w:t>
            </w:r>
          </w:p>
        </w:tc>
        <w:tc>
          <w:tcPr>
            <w:tcW w:w="1648" w:type="dxa"/>
            <w:tcBorders>
              <w:top w:val="nil"/>
              <w:left w:val="nil"/>
              <w:bottom w:val="single" w:sz="4" w:space="0" w:color="auto"/>
              <w:right w:val="single" w:sz="4" w:space="0" w:color="auto"/>
            </w:tcBorders>
            <w:shd w:val="clear" w:color="auto" w:fill="auto"/>
            <w:noWrap/>
            <w:vAlign w:val="bottom"/>
          </w:tcPr>
          <w:p w14:paraId="7984CE5E" w14:textId="638BD9AD" w:rsidR="00BD2556" w:rsidRPr="006E1AF7" w:rsidRDefault="00BD2556">
            <w:pPr>
              <w:jc w:val="right"/>
              <w:rPr>
                <w:rFonts w:ascii="Arial" w:hAnsi="Arial" w:cs="Arial"/>
                <w:sz w:val="16"/>
                <w:szCs w:val="16"/>
              </w:rPr>
            </w:pPr>
            <w:r w:rsidRPr="006E1AF7">
              <w:rPr>
                <w:rFonts w:ascii="Arial" w:hAnsi="Arial" w:cs="Arial"/>
                <w:bCs/>
                <w:sz w:val="16"/>
                <w:szCs w:val="16"/>
              </w:rPr>
              <w:t xml:space="preserve">-   </w:t>
            </w:r>
          </w:p>
        </w:tc>
        <w:tc>
          <w:tcPr>
            <w:tcW w:w="1372" w:type="dxa"/>
            <w:tcBorders>
              <w:top w:val="nil"/>
              <w:left w:val="nil"/>
              <w:bottom w:val="single" w:sz="4" w:space="0" w:color="auto"/>
              <w:right w:val="single" w:sz="4" w:space="0" w:color="auto"/>
            </w:tcBorders>
            <w:shd w:val="clear" w:color="auto" w:fill="auto"/>
            <w:noWrap/>
            <w:vAlign w:val="bottom"/>
          </w:tcPr>
          <w:p w14:paraId="76EDDFAF" w14:textId="072AB59E" w:rsidR="00BD2556" w:rsidRPr="006E1AF7" w:rsidRDefault="00BD2556">
            <w:pPr>
              <w:jc w:val="right"/>
              <w:rPr>
                <w:rFonts w:ascii="Arial" w:hAnsi="Arial" w:cs="Arial"/>
                <w:sz w:val="16"/>
                <w:szCs w:val="16"/>
              </w:rPr>
            </w:pPr>
            <w:r w:rsidRPr="006E1AF7">
              <w:rPr>
                <w:rFonts w:ascii="Arial" w:hAnsi="Arial" w:cs="Arial"/>
                <w:bCs/>
                <w:sz w:val="16"/>
                <w:szCs w:val="16"/>
              </w:rPr>
              <w:t xml:space="preserve">-12.605 </w:t>
            </w:r>
          </w:p>
        </w:tc>
        <w:tc>
          <w:tcPr>
            <w:tcW w:w="1701" w:type="dxa"/>
            <w:tcBorders>
              <w:top w:val="nil"/>
              <w:left w:val="nil"/>
              <w:bottom w:val="single" w:sz="4" w:space="0" w:color="auto"/>
              <w:right w:val="single" w:sz="4" w:space="0" w:color="auto"/>
            </w:tcBorders>
            <w:shd w:val="clear" w:color="auto" w:fill="auto"/>
            <w:noWrap/>
            <w:vAlign w:val="bottom"/>
          </w:tcPr>
          <w:p w14:paraId="1EAB4060" w14:textId="0C8613DE" w:rsidR="00BD2556" w:rsidRPr="006E1AF7" w:rsidRDefault="00BD2556">
            <w:pPr>
              <w:jc w:val="right"/>
              <w:rPr>
                <w:rFonts w:ascii="Arial" w:hAnsi="Arial" w:cs="Arial"/>
                <w:sz w:val="16"/>
                <w:szCs w:val="16"/>
              </w:rPr>
            </w:pPr>
            <w:r w:rsidRPr="006E1AF7">
              <w:rPr>
                <w:rFonts w:ascii="Arial" w:hAnsi="Arial" w:cs="Arial"/>
                <w:bCs/>
                <w:sz w:val="16"/>
                <w:szCs w:val="16"/>
              </w:rPr>
              <w:t xml:space="preserve">-8.998.732 </w:t>
            </w:r>
          </w:p>
        </w:tc>
        <w:tc>
          <w:tcPr>
            <w:tcW w:w="1433" w:type="dxa"/>
            <w:tcBorders>
              <w:top w:val="nil"/>
              <w:left w:val="nil"/>
              <w:bottom w:val="single" w:sz="4" w:space="0" w:color="auto"/>
              <w:right w:val="single" w:sz="4" w:space="0" w:color="auto"/>
            </w:tcBorders>
            <w:shd w:val="clear" w:color="auto" w:fill="auto"/>
            <w:noWrap/>
            <w:vAlign w:val="center"/>
          </w:tcPr>
          <w:p w14:paraId="2AD169D5" w14:textId="0EB4D83C" w:rsidR="00BD2556" w:rsidRPr="00BD2556" w:rsidRDefault="00BD2556">
            <w:pPr>
              <w:jc w:val="right"/>
              <w:rPr>
                <w:rFonts w:ascii="Arial" w:hAnsi="Arial" w:cs="Arial"/>
                <w:b/>
                <w:sz w:val="16"/>
                <w:szCs w:val="16"/>
              </w:rPr>
            </w:pPr>
            <w:r w:rsidRPr="006E1AF7">
              <w:rPr>
                <w:rFonts w:ascii="Arial" w:hAnsi="Arial" w:cs="Arial"/>
                <w:b/>
                <w:bCs/>
                <w:sz w:val="16"/>
                <w:szCs w:val="16"/>
              </w:rPr>
              <w:t>-9.011.337</w:t>
            </w:r>
          </w:p>
        </w:tc>
      </w:tr>
      <w:tr w:rsidR="00BD2556" w:rsidRPr="00BD15FB" w14:paraId="37F6F28F" w14:textId="77777777" w:rsidTr="006E1AF7">
        <w:trPr>
          <w:trHeight w:val="388"/>
          <w:jc w:val="center"/>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14:paraId="2F9B571D" w14:textId="7A815B4F" w:rsidR="00BD2556" w:rsidRPr="00801FD6" w:rsidRDefault="00BD2556" w:rsidP="00BD2556">
            <w:pPr>
              <w:rPr>
                <w:rFonts w:ascii="Arial" w:hAnsi="Arial" w:cs="Arial"/>
                <w:bCs/>
                <w:sz w:val="16"/>
                <w:szCs w:val="18"/>
                <w:lang w:eastAsia="es-AR"/>
              </w:rPr>
            </w:pPr>
            <w:r w:rsidRPr="00801FD6">
              <w:rPr>
                <w:rFonts w:ascii="Arial" w:hAnsi="Arial" w:cs="Arial"/>
                <w:sz w:val="16"/>
                <w:szCs w:val="18"/>
              </w:rPr>
              <w:t>Obligaciones negociables emitidas</w:t>
            </w:r>
          </w:p>
        </w:tc>
        <w:tc>
          <w:tcPr>
            <w:tcW w:w="1648" w:type="dxa"/>
            <w:tcBorders>
              <w:top w:val="nil"/>
              <w:left w:val="nil"/>
              <w:bottom w:val="single" w:sz="4" w:space="0" w:color="auto"/>
              <w:right w:val="single" w:sz="4" w:space="0" w:color="auto"/>
            </w:tcBorders>
            <w:shd w:val="clear" w:color="auto" w:fill="auto"/>
            <w:noWrap/>
            <w:vAlign w:val="bottom"/>
          </w:tcPr>
          <w:p w14:paraId="7569B013" w14:textId="4AD82C32" w:rsidR="00BD2556" w:rsidRPr="006E1AF7" w:rsidRDefault="00BD2556">
            <w:pPr>
              <w:jc w:val="right"/>
              <w:rPr>
                <w:rFonts w:ascii="Arial" w:hAnsi="Arial" w:cs="Arial"/>
                <w:sz w:val="16"/>
                <w:szCs w:val="16"/>
              </w:rPr>
            </w:pPr>
            <w:r w:rsidRPr="006E1AF7">
              <w:rPr>
                <w:rFonts w:ascii="Arial" w:hAnsi="Arial" w:cs="Arial"/>
                <w:bCs/>
                <w:sz w:val="16"/>
                <w:szCs w:val="16"/>
              </w:rPr>
              <w:t xml:space="preserve">-76.568 </w:t>
            </w:r>
          </w:p>
        </w:tc>
        <w:tc>
          <w:tcPr>
            <w:tcW w:w="1372" w:type="dxa"/>
            <w:tcBorders>
              <w:top w:val="nil"/>
              <w:left w:val="nil"/>
              <w:bottom w:val="single" w:sz="4" w:space="0" w:color="auto"/>
              <w:right w:val="single" w:sz="4" w:space="0" w:color="auto"/>
            </w:tcBorders>
            <w:shd w:val="clear" w:color="auto" w:fill="auto"/>
            <w:noWrap/>
            <w:vAlign w:val="bottom"/>
          </w:tcPr>
          <w:p w14:paraId="7294C01C" w14:textId="62244F0E" w:rsidR="00BD2556" w:rsidRPr="006E1AF7" w:rsidRDefault="00BD2556">
            <w:pPr>
              <w:jc w:val="right"/>
              <w:rPr>
                <w:rFonts w:ascii="Arial" w:hAnsi="Arial" w:cs="Arial"/>
                <w:sz w:val="16"/>
                <w:szCs w:val="16"/>
              </w:rPr>
            </w:pPr>
            <w:r w:rsidRPr="006E1AF7">
              <w:rPr>
                <w:rFonts w:ascii="Arial" w:hAnsi="Arial" w:cs="Arial"/>
                <w:bCs/>
                <w:sz w:val="16"/>
                <w:szCs w:val="16"/>
              </w:rPr>
              <w:t xml:space="preserve">-108.507 </w:t>
            </w:r>
          </w:p>
        </w:tc>
        <w:tc>
          <w:tcPr>
            <w:tcW w:w="1701" w:type="dxa"/>
            <w:tcBorders>
              <w:top w:val="nil"/>
              <w:left w:val="nil"/>
              <w:bottom w:val="single" w:sz="4" w:space="0" w:color="auto"/>
              <w:right w:val="single" w:sz="4" w:space="0" w:color="auto"/>
            </w:tcBorders>
            <w:shd w:val="clear" w:color="auto" w:fill="auto"/>
            <w:noWrap/>
            <w:vAlign w:val="bottom"/>
          </w:tcPr>
          <w:p w14:paraId="4F9AF213" w14:textId="25F9C493" w:rsidR="00BD2556" w:rsidRPr="006E1AF7" w:rsidRDefault="00BD2556">
            <w:pPr>
              <w:jc w:val="right"/>
              <w:rPr>
                <w:rFonts w:ascii="Arial" w:hAnsi="Arial" w:cs="Arial"/>
                <w:sz w:val="16"/>
                <w:szCs w:val="16"/>
              </w:rPr>
            </w:pPr>
            <w:r w:rsidRPr="006E1AF7">
              <w:rPr>
                <w:rFonts w:ascii="Arial" w:hAnsi="Arial" w:cs="Arial"/>
                <w:bCs/>
                <w:sz w:val="16"/>
                <w:szCs w:val="16"/>
              </w:rPr>
              <w:t xml:space="preserve">-5.885.842 </w:t>
            </w:r>
          </w:p>
        </w:tc>
        <w:tc>
          <w:tcPr>
            <w:tcW w:w="1433" w:type="dxa"/>
            <w:tcBorders>
              <w:top w:val="nil"/>
              <w:left w:val="nil"/>
              <w:bottom w:val="single" w:sz="4" w:space="0" w:color="auto"/>
              <w:right w:val="single" w:sz="4" w:space="0" w:color="auto"/>
            </w:tcBorders>
            <w:shd w:val="clear" w:color="auto" w:fill="auto"/>
            <w:noWrap/>
            <w:vAlign w:val="center"/>
          </w:tcPr>
          <w:p w14:paraId="06459F25" w14:textId="79F6F1DF" w:rsidR="00BD2556" w:rsidRPr="00BD2556" w:rsidRDefault="00BD2556">
            <w:pPr>
              <w:jc w:val="right"/>
              <w:rPr>
                <w:rFonts w:ascii="Arial" w:hAnsi="Arial" w:cs="Arial"/>
                <w:b/>
                <w:sz w:val="16"/>
                <w:szCs w:val="16"/>
              </w:rPr>
            </w:pPr>
            <w:r w:rsidRPr="006E1AF7">
              <w:rPr>
                <w:rFonts w:ascii="Arial" w:hAnsi="Arial" w:cs="Arial"/>
                <w:b/>
                <w:bCs/>
                <w:sz w:val="16"/>
                <w:szCs w:val="16"/>
              </w:rPr>
              <w:t>-6.070.917</w:t>
            </w:r>
          </w:p>
        </w:tc>
      </w:tr>
      <w:tr w:rsidR="00BD2556" w:rsidRPr="00BD15FB" w14:paraId="07FA4889" w14:textId="77777777" w:rsidTr="006E1AF7">
        <w:trPr>
          <w:trHeight w:val="28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17C4208F" w14:textId="36992D99" w:rsidR="00BD2556" w:rsidRPr="00801FD6" w:rsidRDefault="00BD2556" w:rsidP="00BD2556">
            <w:pPr>
              <w:rPr>
                <w:rFonts w:ascii="Arial" w:hAnsi="Arial" w:cs="Arial"/>
                <w:bCs/>
                <w:sz w:val="16"/>
                <w:szCs w:val="18"/>
                <w:lang w:eastAsia="es-AR"/>
              </w:rPr>
            </w:pPr>
            <w:r w:rsidRPr="00801FD6">
              <w:rPr>
                <w:rFonts w:ascii="Arial" w:hAnsi="Arial" w:cs="Arial"/>
                <w:sz w:val="16"/>
                <w:szCs w:val="18"/>
              </w:rPr>
              <w:t>Pasivo por impuestos a las ganancias corriente</w:t>
            </w:r>
          </w:p>
        </w:tc>
        <w:tc>
          <w:tcPr>
            <w:tcW w:w="1648" w:type="dxa"/>
            <w:tcBorders>
              <w:top w:val="nil"/>
              <w:left w:val="nil"/>
              <w:bottom w:val="single" w:sz="4" w:space="0" w:color="auto"/>
              <w:right w:val="single" w:sz="4" w:space="0" w:color="auto"/>
            </w:tcBorders>
            <w:shd w:val="clear" w:color="auto" w:fill="auto"/>
            <w:noWrap/>
            <w:vAlign w:val="bottom"/>
          </w:tcPr>
          <w:p w14:paraId="5A21C1CC" w14:textId="11A9FA3E" w:rsidR="00BD2556" w:rsidRPr="006E1AF7" w:rsidRDefault="00BD2556">
            <w:pPr>
              <w:jc w:val="right"/>
              <w:rPr>
                <w:rFonts w:ascii="Arial" w:hAnsi="Arial" w:cs="Arial"/>
                <w:sz w:val="16"/>
                <w:szCs w:val="16"/>
              </w:rPr>
            </w:pPr>
            <w:r w:rsidRPr="006E1AF7">
              <w:rPr>
                <w:rFonts w:ascii="Arial" w:hAnsi="Arial" w:cs="Arial"/>
                <w:bCs/>
                <w:sz w:val="16"/>
                <w:szCs w:val="16"/>
              </w:rPr>
              <w:t xml:space="preserve">-33.841 </w:t>
            </w:r>
          </w:p>
        </w:tc>
        <w:tc>
          <w:tcPr>
            <w:tcW w:w="1372" w:type="dxa"/>
            <w:tcBorders>
              <w:top w:val="nil"/>
              <w:left w:val="nil"/>
              <w:bottom w:val="single" w:sz="4" w:space="0" w:color="auto"/>
              <w:right w:val="single" w:sz="4" w:space="0" w:color="auto"/>
            </w:tcBorders>
            <w:shd w:val="clear" w:color="auto" w:fill="auto"/>
            <w:noWrap/>
            <w:vAlign w:val="bottom"/>
          </w:tcPr>
          <w:p w14:paraId="5C14A39F" w14:textId="40F1C450" w:rsidR="00BD2556" w:rsidRPr="006E1AF7" w:rsidRDefault="00BD2556">
            <w:pPr>
              <w:jc w:val="right"/>
              <w:rPr>
                <w:rFonts w:ascii="Arial" w:hAnsi="Arial" w:cs="Arial"/>
                <w:sz w:val="16"/>
                <w:szCs w:val="16"/>
              </w:rPr>
            </w:pPr>
            <w:r w:rsidRPr="006E1AF7">
              <w:rPr>
                <w:rFonts w:ascii="Arial" w:hAnsi="Arial" w:cs="Arial"/>
                <w:bCs/>
                <w:sz w:val="16"/>
                <w:szCs w:val="16"/>
              </w:rPr>
              <w:t xml:space="preserve">-47.957 </w:t>
            </w:r>
          </w:p>
        </w:tc>
        <w:tc>
          <w:tcPr>
            <w:tcW w:w="1701" w:type="dxa"/>
            <w:tcBorders>
              <w:top w:val="nil"/>
              <w:left w:val="nil"/>
              <w:bottom w:val="single" w:sz="4" w:space="0" w:color="auto"/>
              <w:right w:val="single" w:sz="4" w:space="0" w:color="auto"/>
            </w:tcBorders>
            <w:shd w:val="clear" w:color="auto" w:fill="auto"/>
            <w:noWrap/>
            <w:vAlign w:val="bottom"/>
          </w:tcPr>
          <w:p w14:paraId="1ED5F5E9" w14:textId="1604F5D9" w:rsidR="00BD2556" w:rsidRPr="006E1AF7" w:rsidRDefault="00BD2556">
            <w:pPr>
              <w:jc w:val="right"/>
              <w:rPr>
                <w:rFonts w:ascii="Arial" w:hAnsi="Arial" w:cs="Arial"/>
                <w:sz w:val="16"/>
                <w:szCs w:val="16"/>
              </w:rPr>
            </w:pPr>
            <w:r w:rsidRPr="006E1AF7">
              <w:rPr>
                <w:rFonts w:ascii="Arial" w:hAnsi="Arial" w:cs="Arial"/>
                <w:bCs/>
                <w:sz w:val="16"/>
                <w:szCs w:val="16"/>
              </w:rPr>
              <w:t xml:space="preserve">-85.820 </w:t>
            </w:r>
          </w:p>
        </w:tc>
        <w:tc>
          <w:tcPr>
            <w:tcW w:w="1433" w:type="dxa"/>
            <w:tcBorders>
              <w:top w:val="nil"/>
              <w:left w:val="nil"/>
              <w:bottom w:val="single" w:sz="4" w:space="0" w:color="auto"/>
              <w:right w:val="single" w:sz="4" w:space="0" w:color="auto"/>
            </w:tcBorders>
            <w:shd w:val="clear" w:color="auto" w:fill="auto"/>
            <w:noWrap/>
            <w:vAlign w:val="center"/>
          </w:tcPr>
          <w:p w14:paraId="1147BBBF" w14:textId="575855EE" w:rsidR="00BD2556" w:rsidRPr="00BD2556" w:rsidRDefault="00BD2556">
            <w:pPr>
              <w:jc w:val="right"/>
              <w:rPr>
                <w:rFonts w:ascii="Arial" w:hAnsi="Arial" w:cs="Arial"/>
                <w:b/>
                <w:sz w:val="16"/>
                <w:szCs w:val="16"/>
              </w:rPr>
            </w:pPr>
            <w:r w:rsidRPr="006E1AF7">
              <w:rPr>
                <w:rFonts w:ascii="Arial" w:hAnsi="Arial" w:cs="Arial"/>
                <w:b/>
                <w:bCs/>
                <w:sz w:val="16"/>
                <w:szCs w:val="16"/>
              </w:rPr>
              <w:t>-167.618</w:t>
            </w:r>
          </w:p>
        </w:tc>
      </w:tr>
      <w:tr w:rsidR="00BD2556" w:rsidRPr="00BD15FB" w14:paraId="66CED492" w14:textId="77777777" w:rsidTr="006E1AF7">
        <w:trPr>
          <w:trHeight w:val="288"/>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27BD6173" w14:textId="4DA246BA" w:rsidR="00BD2556" w:rsidRPr="00801FD6" w:rsidRDefault="00BD2556" w:rsidP="00BD2556">
            <w:pPr>
              <w:rPr>
                <w:rFonts w:ascii="Arial" w:hAnsi="Arial" w:cs="Arial"/>
                <w:bCs/>
                <w:sz w:val="16"/>
                <w:szCs w:val="18"/>
                <w:lang w:eastAsia="es-AR"/>
              </w:rPr>
            </w:pPr>
            <w:r w:rsidRPr="00801FD6">
              <w:rPr>
                <w:rFonts w:ascii="Arial" w:hAnsi="Arial" w:cs="Arial"/>
                <w:sz w:val="16"/>
                <w:szCs w:val="18"/>
              </w:rPr>
              <w:t>Obligaciones negociables subordinadas</w:t>
            </w:r>
          </w:p>
        </w:tc>
        <w:tc>
          <w:tcPr>
            <w:tcW w:w="1648" w:type="dxa"/>
            <w:tcBorders>
              <w:top w:val="nil"/>
              <w:left w:val="nil"/>
              <w:bottom w:val="single" w:sz="4" w:space="0" w:color="auto"/>
              <w:right w:val="single" w:sz="4" w:space="0" w:color="auto"/>
            </w:tcBorders>
            <w:shd w:val="clear" w:color="auto" w:fill="auto"/>
            <w:noWrap/>
            <w:vAlign w:val="bottom"/>
          </w:tcPr>
          <w:p w14:paraId="27503CAA" w14:textId="72E56BF7" w:rsidR="00BD2556" w:rsidRPr="006E1AF7" w:rsidRDefault="00BD2556">
            <w:pPr>
              <w:jc w:val="right"/>
              <w:rPr>
                <w:rFonts w:ascii="Arial" w:hAnsi="Arial" w:cs="Arial"/>
                <w:sz w:val="16"/>
                <w:szCs w:val="16"/>
              </w:rPr>
            </w:pPr>
            <w:r w:rsidRPr="006E1AF7">
              <w:rPr>
                <w:rFonts w:ascii="Arial" w:hAnsi="Arial" w:cs="Arial"/>
                <w:bCs/>
                <w:sz w:val="16"/>
                <w:szCs w:val="16"/>
              </w:rPr>
              <w:t xml:space="preserve">-   </w:t>
            </w:r>
          </w:p>
        </w:tc>
        <w:tc>
          <w:tcPr>
            <w:tcW w:w="1372" w:type="dxa"/>
            <w:tcBorders>
              <w:top w:val="nil"/>
              <w:left w:val="nil"/>
              <w:bottom w:val="single" w:sz="4" w:space="0" w:color="auto"/>
              <w:right w:val="single" w:sz="4" w:space="0" w:color="auto"/>
            </w:tcBorders>
            <w:shd w:val="clear" w:color="auto" w:fill="auto"/>
            <w:noWrap/>
            <w:vAlign w:val="bottom"/>
          </w:tcPr>
          <w:p w14:paraId="4C340EF6" w14:textId="666BE122" w:rsidR="00BD2556" w:rsidRPr="006E1AF7" w:rsidRDefault="00BD2556">
            <w:pPr>
              <w:jc w:val="right"/>
              <w:rPr>
                <w:rFonts w:ascii="Arial" w:hAnsi="Arial" w:cs="Arial"/>
                <w:sz w:val="16"/>
                <w:szCs w:val="16"/>
              </w:rPr>
            </w:pPr>
            <w:r w:rsidRPr="006E1AF7">
              <w:rPr>
                <w:rFonts w:ascii="Arial" w:hAnsi="Arial" w:cs="Arial"/>
                <w:bCs/>
                <w:sz w:val="16"/>
                <w:szCs w:val="16"/>
              </w:rPr>
              <w:t xml:space="preserve">-   </w:t>
            </w:r>
          </w:p>
        </w:tc>
        <w:tc>
          <w:tcPr>
            <w:tcW w:w="1701" w:type="dxa"/>
            <w:tcBorders>
              <w:top w:val="nil"/>
              <w:left w:val="nil"/>
              <w:bottom w:val="single" w:sz="4" w:space="0" w:color="auto"/>
              <w:right w:val="single" w:sz="4" w:space="0" w:color="auto"/>
            </w:tcBorders>
            <w:shd w:val="clear" w:color="auto" w:fill="auto"/>
            <w:noWrap/>
            <w:vAlign w:val="bottom"/>
          </w:tcPr>
          <w:p w14:paraId="042EDEF8" w14:textId="53A8BFAD" w:rsidR="00BD2556" w:rsidRPr="006E1AF7" w:rsidRDefault="00BD2556">
            <w:pPr>
              <w:jc w:val="right"/>
              <w:rPr>
                <w:rFonts w:ascii="Arial" w:hAnsi="Arial" w:cs="Arial"/>
                <w:sz w:val="16"/>
                <w:szCs w:val="16"/>
              </w:rPr>
            </w:pPr>
            <w:r w:rsidRPr="006E1AF7">
              <w:rPr>
                <w:rFonts w:ascii="Arial" w:hAnsi="Arial" w:cs="Arial"/>
                <w:bCs/>
                <w:sz w:val="16"/>
                <w:szCs w:val="16"/>
              </w:rPr>
              <w:t xml:space="preserve">-2.119.888 </w:t>
            </w:r>
          </w:p>
        </w:tc>
        <w:tc>
          <w:tcPr>
            <w:tcW w:w="1433" w:type="dxa"/>
            <w:tcBorders>
              <w:top w:val="nil"/>
              <w:left w:val="nil"/>
              <w:bottom w:val="single" w:sz="4" w:space="0" w:color="auto"/>
              <w:right w:val="single" w:sz="4" w:space="0" w:color="auto"/>
            </w:tcBorders>
            <w:shd w:val="clear" w:color="auto" w:fill="auto"/>
            <w:noWrap/>
            <w:vAlign w:val="center"/>
          </w:tcPr>
          <w:p w14:paraId="152C7D47" w14:textId="0BCE2006" w:rsidR="00BD2556" w:rsidRPr="00BD2556" w:rsidRDefault="00BD2556">
            <w:pPr>
              <w:jc w:val="right"/>
              <w:rPr>
                <w:rFonts w:ascii="Arial" w:hAnsi="Arial" w:cs="Arial"/>
                <w:b/>
                <w:sz w:val="16"/>
                <w:szCs w:val="16"/>
              </w:rPr>
            </w:pPr>
            <w:r w:rsidRPr="006E1AF7">
              <w:rPr>
                <w:rFonts w:ascii="Arial" w:hAnsi="Arial" w:cs="Arial"/>
                <w:b/>
                <w:bCs/>
                <w:sz w:val="16"/>
                <w:szCs w:val="16"/>
              </w:rPr>
              <w:t>-2.119.888</w:t>
            </w:r>
          </w:p>
        </w:tc>
      </w:tr>
      <w:tr w:rsidR="00BD2556" w:rsidRPr="00BD15FB" w14:paraId="5D0C48D7" w14:textId="77777777" w:rsidTr="006E1AF7">
        <w:trPr>
          <w:trHeight w:val="264"/>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27BDE5B1" w14:textId="7F6F2495" w:rsidR="00BD2556" w:rsidRPr="00801FD6" w:rsidRDefault="00BD2556" w:rsidP="00BD2556">
            <w:pPr>
              <w:rPr>
                <w:rFonts w:ascii="Arial" w:hAnsi="Arial" w:cs="Arial"/>
                <w:bCs/>
                <w:sz w:val="16"/>
                <w:szCs w:val="18"/>
                <w:lang w:eastAsia="es-AR"/>
              </w:rPr>
            </w:pPr>
            <w:r w:rsidRPr="00801FD6">
              <w:rPr>
                <w:rFonts w:ascii="Arial" w:hAnsi="Arial" w:cs="Arial"/>
                <w:sz w:val="16"/>
                <w:szCs w:val="18"/>
              </w:rPr>
              <w:t>Provisiones</w:t>
            </w:r>
          </w:p>
        </w:tc>
        <w:tc>
          <w:tcPr>
            <w:tcW w:w="1648" w:type="dxa"/>
            <w:tcBorders>
              <w:top w:val="nil"/>
              <w:left w:val="nil"/>
              <w:bottom w:val="single" w:sz="4" w:space="0" w:color="auto"/>
              <w:right w:val="single" w:sz="4" w:space="0" w:color="auto"/>
            </w:tcBorders>
            <w:shd w:val="clear" w:color="auto" w:fill="auto"/>
            <w:noWrap/>
            <w:vAlign w:val="bottom"/>
          </w:tcPr>
          <w:p w14:paraId="3B218C6C" w14:textId="7DAF474A" w:rsidR="00BD2556" w:rsidRPr="006E1AF7" w:rsidRDefault="00BD2556">
            <w:pPr>
              <w:jc w:val="right"/>
              <w:rPr>
                <w:rFonts w:ascii="Arial" w:hAnsi="Arial" w:cs="Arial"/>
                <w:sz w:val="16"/>
                <w:szCs w:val="16"/>
              </w:rPr>
            </w:pPr>
            <w:r w:rsidRPr="006E1AF7">
              <w:rPr>
                <w:rFonts w:ascii="Arial" w:hAnsi="Arial" w:cs="Arial"/>
                <w:bCs/>
                <w:sz w:val="16"/>
                <w:szCs w:val="16"/>
              </w:rPr>
              <w:t xml:space="preserve">-112.285 </w:t>
            </w:r>
          </w:p>
        </w:tc>
        <w:tc>
          <w:tcPr>
            <w:tcW w:w="1372" w:type="dxa"/>
            <w:tcBorders>
              <w:top w:val="nil"/>
              <w:left w:val="nil"/>
              <w:bottom w:val="single" w:sz="4" w:space="0" w:color="auto"/>
              <w:right w:val="single" w:sz="4" w:space="0" w:color="auto"/>
            </w:tcBorders>
            <w:shd w:val="clear" w:color="auto" w:fill="auto"/>
            <w:noWrap/>
            <w:vAlign w:val="bottom"/>
          </w:tcPr>
          <w:p w14:paraId="1114CBE7" w14:textId="484EDC2A" w:rsidR="00BD2556" w:rsidRPr="006E1AF7" w:rsidRDefault="00BD2556">
            <w:pPr>
              <w:jc w:val="right"/>
              <w:rPr>
                <w:rFonts w:ascii="Arial" w:hAnsi="Arial" w:cs="Arial"/>
                <w:sz w:val="16"/>
                <w:szCs w:val="16"/>
              </w:rPr>
            </w:pPr>
            <w:r w:rsidRPr="006E1AF7">
              <w:rPr>
                <w:rFonts w:ascii="Arial" w:hAnsi="Arial" w:cs="Arial"/>
                <w:bCs/>
                <w:sz w:val="16"/>
                <w:szCs w:val="16"/>
              </w:rPr>
              <w:t xml:space="preserve">-158.869 </w:t>
            </w:r>
          </w:p>
        </w:tc>
        <w:tc>
          <w:tcPr>
            <w:tcW w:w="1701" w:type="dxa"/>
            <w:tcBorders>
              <w:top w:val="nil"/>
              <w:left w:val="nil"/>
              <w:bottom w:val="single" w:sz="4" w:space="0" w:color="auto"/>
              <w:right w:val="single" w:sz="4" w:space="0" w:color="auto"/>
            </w:tcBorders>
            <w:shd w:val="clear" w:color="auto" w:fill="auto"/>
            <w:noWrap/>
            <w:vAlign w:val="bottom"/>
          </w:tcPr>
          <w:p w14:paraId="65DF0707" w14:textId="146121E2" w:rsidR="00BD2556" w:rsidRPr="006E1AF7" w:rsidRDefault="00BD2556">
            <w:pPr>
              <w:jc w:val="right"/>
              <w:rPr>
                <w:rFonts w:ascii="Arial" w:hAnsi="Arial" w:cs="Arial"/>
                <w:sz w:val="16"/>
                <w:szCs w:val="16"/>
              </w:rPr>
            </w:pPr>
            <w:r w:rsidRPr="006E1AF7">
              <w:rPr>
                <w:rFonts w:ascii="Arial" w:hAnsi="Arial" w:cs="Arial"/>
                <w:bCs/>
                <w:sz w:val="16"/>
                <w:szCs w:val="16"/>
              </w:rPr>
              <w:t xml:space="preserve">-282.744 </w:t>
            </w:r>
          </w:p>
        </w:tc>
        <w:tc>
          <w:tcPr>
            <w:tcW w:w="1433" w:type="dxa"/>
            <w:tcBorders>
              <w:top w:val="nil"/>
              <w:left w:val="nil"/>
              <w:bottom w:val="single" w:sz="4" w:space="0" w:color="auto"/>
              <w:right w:val="single" w:sz="4" w:space="0" w:color="auto"/>
            </w:tcBorders>
            <w:shd w:val="clear" w:color="auto" w:fill="auto"/>
            <w:noWrap/>
            <w:vAlign w:val="center"/>
          </w:tcPr>
          <w:p w14:paraId="381D7488" w14:textId="6D5DA0C8" w:rsidR="00BD2556" w:rsidRPr="00BD2556" w:rsidRDefault="00BD2556">
            <w:pPr>
              <w:jc w:val="right"/>
              <w:rPr>
                <w:rFonts w:ascii="Arial" w:hAnsi="Arial" w:cs="Arial"/>
                <w:b/>
                <w:sz w:val="16"/>
                <w:szCs w:val="16"/>
              </w:rPr>
            </w:pPr>
            <w:r w:rsidRPr="006E1AF7">
              <w:rPr>
                <w:rFonts w:ascii="Arial" w:hAnsi="Arial" w:cs="Arial"/>
                <w:b/>
                <w:bCs/>
                <w:sz w:val="16"/>
                <w:szCs w:val="16"/>
              </w:rPr>
              <w:t>-553.898</w:t>
            </w:r>
          </w:p>
        </w:tc>
      </w:tr>
      <w:tr w:rsidR="00BD2556" w:rsidRPr="00BD15FB" w14:paraId="45A28ABE" w14:textId="77777777" w:rsidTr="006E1AF7">
        <w:trPr>
          <w:trHeight w:val="273"/>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58897691" w14:textId="2BE2865A" w:rsidR="00BD2556" w:rsidRPr="00801FD6" w:rsidRDefault="00BD2556" w:rsidP="00BD2556">
            <w:pPr>
              <w:rPr>
                <w:rFonts w:ascii="Arial" w:hAnsi="Arial" w:cs="Arial"/>
                <w:bCs/>
                <w:sz w:val="16"/>
                <w:szCs w:val="18"/>
                <w:lang w:eastAsia="es-AR"/>
              </w:rPr>
            </w:pPr>
            <w:r w:rsidRPr="00801FD6">
              <w:rPr>
                <w:rFonts w:ascii="Arial" w:hAnsi="Arial" w:cs="Arial"/>
                <w:sz w:val="16"/>
                <w:szCs w:val="18"/>
              </w:rPr>
              <w:t>Otros pasivos no financieros</w:t>
            </w:r>
          </w:p>
        </w:tc>
        <w:tc>
          <w:tcPr>
            <w:tcW w:w="1648" w:type="dxa"/>
            <w:tcBorders>
              <w:top w:val="nil"/>
              <w:left w:val="nil"/>
              <w:bottom w:val="single" w:sz="4" w:space="0" w:color="auto"/>
              <w:right w:val="single" w:sz="4" w:space="0" w:color="auto"/>
            </w:tcBorders>
            <w:shd w:val="clear" w:color="auto" w:fill="auto"/>
            <w:noWrap/>
            <w:vAlign w:val="bottom"/>
          </w:tcPr>
          <w:p w14:paraId="2C966D7F" w14:textId="3BEE1603" w:rsidR="00BD2556" w:rsidRPr="006E1AF7" w:rsidRDefault="00BD2556">
            <w:pPr>
              <w:jc w:val="right"/>
              <w:rPr>
                <w:rFonts w:ascii="Arial" w:hAnsi="Arial" w:cs="Arial"/>
                <w:sz w:val="16"/>
                <w:szCs w:val="16"/>
              </w:rPr>
            </w:pPr>
            <w:r w:rsidRPr="006E1AF7">
              <w:rPr>
                <w:rFonts w:ascii="Arial" w:hAnsi="Arial" w:cs="Arial"/>
                <w:bCs/>
                <w:sz w:val="16"/>
                <w:szCs w:val="16"/>
              </w:rPr>
              <w:t xml:space="preserve">-13.794 </w:t>
            </w:r>
          </w:p>
        </w:tc>
        <w:tc>
          <w:tcPr>
            <w:tcW w:w="1372" w:type="dxa"/>
            <w:tcBorders>
              <w:top w:val="nil"/>
              <w:left w:val="nil"/>
              <w:bottom w:val="single" w:sz="4" w:space="0" w:color="auto"/>
              <w:right w:val="single" w:sz="4" w:space="0" w:color="auto"/>
            </w:tcBorders>
            <w:shd w:val="clear" w:color="auto" w:fill="auto"/>
            <w:noWrap/>
            <w:vAlign w:val="bottom"/>
          </w:tcPr>
          <w:p w14:paraId="21F36C4B" w14:textId="37CF4695" w:rsidR="00BD2556" w:rsidRPr="006E1AF7" w:rsidRDefault="00BD2556">
            <w:pPr>
              <w:jc w:val="right"/>
              <w:rPr>
                <w:rFonts w:ascii="Arial" w:hAnsi="Arial" w:cs="Arial"/>
                <w:sz w:val="16"/>
                <w:szCs w:val="16"/>
              </w:rPr>
            </w:pPr>
            <w:r w:rsidRPr="006E1AF7">
              <w:rPr>
                <w:rFonts w:ascii="Arial" w:hAnsi="Arial" w:cs="Arial"/>
                <w:bCs/>
                <w:sz w:val="16"/>
                <w:szCs w:val="16"/>
              </w:rPr>
              <w:t xml:space="preserve">-1.133.810 </w:t>
            </w:r>
          </w:p>
        </w:tc>
        <w:tc>
          <w:tcPr>
            <w:tcW w:w="1701" w:type="dxa"/>
            <w:tcBorders>
              <w:top w:val="nil"/>
              <w:left w:val="nil"/>
              <w:bottom w:val="single" w:sz="4" w:space="0" w:color="auto"/>
              <w:right w:val="single" w:sz="4" w:space="0" w:color="auto"/>
            </w:tcBorders>
            <w:shd w:val="clear" w:color="auto" w:fill="auto"/>
            <w:noWrap/>
            <w:vAlign w:val="bottom"/>
          </w:tcPr>
          <w:p w14:paraId="128E33D8" w14:textId="25D3A5A3" w:rsidR="00BD2556" w:rsidRPr="006E1AF7" w:rsidRDefault="00BD2556">
            <w:pPr>
              <w:jc w:val="right"/>
              <w:rPr>
                <w:rFonts w:ascii="Arial" w:hAnsi="Arial" w:cs="Arial"/>
                <w:sz w:val="16"/>
                <w:szCs w:val="16"/>
              </w:rPr>
            </w:pPr>
            <w:r w:rsidRPr="006E1AF7">
              <w:rPr>
                <w:rFonts w:ascii="Arial" w:hAnsi="Arial" w:cs="Arial"/>
                <w:bCs/>
                <w:sz w:val="16"/>
                <w:szCs w:val="16"/>
              </w:rPr>
              <w:t xml:space="preserve">-5.226.355 </w:t>
            </w:r>
          </w:p>
        </w:tc>
        <w:tc>
          <w:tcPr>
            <w:tcW w:w="1433" w:type="dxa"/>
            <w:tcBorders>
              <w:top w:val="nil"/>
              <w:left w:val="nil"/>
              <w:bottom w:val="single" w:sz="4" w:space="0" w:color="auto"/>
              <w:right w:val="single" w:sz="4" w:space="0" w:color="auto"/>
            </w:tcBorders>
            <w:shd w:val="clear" w:color="auto" w:fill="auto"/>
            <w:noWrap/>
            <w:vAlign w:val="center"/>
          </w:tcPr>
          <w:p w14:paraId="74679A97" w14:textId="43861A15" w:rsidR="00BD2556" w:rsidRPr="00BD2556" w:rsidRDefault="00BD2556">
            <w:pPr>
              <w:jc w:val="right"/>
              <w:rPr>
                <w:rFonts w:ascii="Arial" w:hAnsi="Arial" w:cs="Arial"/>
                <w:b/>
                <w:sz w:val="16"/>
                <w:szCs w:val="16"/>
              </w:rPr>
            </w:pPr>
            <w:r w:rsidRPr="006E1AF7">
              <w:rPr>
                <w:rFonts w:ascii="Arial" w:hAnsi="Arial" w:cs="Arial"/>
                <w:b/>
                <w:bCs/>
                <w:sz w:val="16"/>
                <w:szCs w:val="16"/>
              </w:rPr>
              <w:t>-6.373.959</w:t>
            </w:r>
          </w:p>
        </w:tc>
      </w:tr>
      <w:tr w:rsidR="00BD2556" w:rsidRPr="00BD15FB" w14:paraId="0CFB4392" w14:textId="77777777" w:rsidTr="006E1AF7">
        <w:trPr>
          <w:trHeight w:val="262"/>
          <w:jc w:val="center"/>
        </w:trPr>
        <w:tc>
          <w:tcPr>
            <w:tcW w:w="4254" w:type="dxa"/>
            <w:tcBorders>
              <w:top w:val="nil"/>
              <w:left w:val="single" w:sz="4" w:space="0" w:color="auto"/>
              <w:bottom w:val="single" w:sz="4" w:space="0" w:color="auto"/>
              <w:right w:val="single" w:sz="4" w:space="0" w:color="auto"/>
            </w:tcBorders>
            <w:shd w:val="clear" w:color="auto" w:fill="auto"/>
            <w:vAlign w:val="bottom"/>
            <w:hideMark/>
          </w:tcPr>
          <w:p w14:paraId="07B1667B" w14:textId="04829883" w:rsidR="00BD2556" w:rsidRPr="00EF391B" w:rsidRDefault="00BD2556" w:rsidP="00BD2556">
            <w:pPr>
              <w:rPr>
                <w:rFonts w:ascii="Arial" w:hAnsi="Arial" w:cs="Arial"/>
                <w:b/>
                <w:bCs/>
                <w:sz w:val="16"/>
                <w:szCs w:val="18"/>
                <w:lang w:eastAsia="es-AR"/>
              </w:rPr>
            </w:pPr>
            <w:r w:rsidRPr="00EF391B">
              <w:rPr>
                <w:rFonts w:ascii="Arial" w:hAnsi="Arial" w:cs="Arial"/>
                <w:b/>
                <w:sz w:val="16"/>
                <w:szCs w:val="18"/>
              </w:rPr>
              <w:t>TOTAL PASIVO</w:t>
            </w:r>
          </w:p>
        </w:tc>
        <w:tc>
          <w:tcPr>
            <w:tcW w:w="1648" w:type="dxa"/>
            <w:tcBorders>
              <w:top w:val="nil"/>
              <w:left w:val="nil"/>
              <w:bottom w:val="single" w:sz="4" w:space="0" w:color="auto"/>
              <w:right w:val="single" w:sz="4" w:space="0" w:color="auto"/>
            </w:tcBorders>
            <w:shd w:val="clear" w:color="auto" w:fill="auto"/>
            <w:noWrap/>
            <w:vAlign w:val="bottom"/>
          </w:tcPr>
          <w:p w14:paraId="3BB52CCA" w14:textId="0AA3767E" w:rsidR="00BD2556" w:rsidRPr="00BD2556" w:rsidRDefault="00BD2556">
            <w:pPr>
              <w:jc w:val="right"/>
              <w:rPr>
                <w:rFonts w:ascii="Arial" w:hAnsi="Arial" w:cs="Arial"/>
                <w:b/>
                <w:sz w:val="16"/>
                <w:szCs w:val="16"/>
              </w:rPr>
            </w:pPr>
            <w:r w:rsidRPr="006E1AF7">
              <w:rPr>
                <w:rFonts w:ascii="Arial" w:hAnsi="Arial" w:cs="Arial"/>
                <w:b/>
                <w:bCs/>
                <w:sz w:val="16"/>
                <w:szCs w:val="16"/>
              </w:rPr>
              <w:t xml:space="preserve">-16.216.935 </w:t>
            </w:r>
          </w:p>
        </w:tc>
        <w:tc>
          <w:tcPr>
            <w:tcW w:w="1372" w:type="dxa"/>
            <w:tcBorders>
              <w:top w:val="nil"/>
              <w:left w:val="nil"/>
              <w:bottom w:val="single" w:sz="4" w:space="0" w:color="auto"/>
              <w:right w:val="single" w:sz="4" w:space="0" w:color="auto"/>
            </w:tcBorders>
            <w:shd w:val="clear" w:color="auto" w:fill="auto"/>
            <w:noWrap/>
            <w:vAlign w:val="bottom"/>
          </w:tcPr>
          <w:p w14:paraId="30840C63" w14:textId="3C05719A" w:rsidR="00BD2556" w:rsidRPr="00BD2556" w:rsidRDefault="00BD2556">
            <w:pPr>
              <w:jc w:val="right"/>
              <w:rPr>
                <w:rFonts w:ascii="Arial" w:hAnsi="Arial" w:cs="Arial"/>
                <w:b/>
                <w:sz w:val="16"/>
                <w:szCs w:val="16"/>
              </w:rPr>
            </w:pPr>
            <w:r w:rsidRPr="006E1AF7">
              <w:rPr>
                <w:rFonts w:ascii="Arial" w:hAnsi="Arial" w:cs="Arial"/>
                <w:b/>
                <w:bCs/>
                <w:sz w:val="16"/>
                <w:szCs w:val="16"/>
              </w:rPr>
              <w:t xml:space="preserve">-64.161.513 </w:t>
            </w:r>
          </w:p>
        </w:tc>
        <w:tc>
          <w:tcPr>
            <w:tcW w:w="1701" w:type="dxa"/>
            <w:tcBorders>
              <w:top w:val="nil"/>
              <w:left w:val="nil"/>
              <w:bottom w:val="single" w:sz="4" w:space="0" w:color="auto"/>
              <w:right w:val="single" w:sz="4" w:space="0" w:color="auto"/>
            </w:tcBorders>
            <w:shd w:val="clear" w:color="auto" w:fill="auto"/>
            <w:noWrap/>
            <w:vAlign w:val="bottom"/>
          </w:tcPr>
          <w:p w14:paraId="54DC04FC" w14:textId="37E3F2C5" w:rsidR="00BD2556" w:rsidRPr="00BD2556" w:rsidRDefault="00BD2556">
            <w:pPr>
              <w:jc w:val="right"/>
              <w:rPr>
                <w:rFonts w:ascii="Arial" w:hAnsi="Arial" w:cs="Arial"/>
                <w:b/>
                <w:sz w:val="16"/>
                <w:szCs w:val="16"/>
              </w:rPr>
            </w:pPr>
            <w:r w:rsidRPr="006E1AF7">
              <w:rPr>
                <w:rFonts w:ascii="Arial" w:hAnsi="Arial" w:cs="Arial"/>
                <w:b/>
                <w:bCs/>
                <w:sz w:val="16"/>
                <w:szCs w:val="16"/>
              </w:rPr>
              <w:t xml:space="preserve">-40.114.793 </w:t>
            </w:r>
          </w:p>
        </w:tc>
        <w:tc>
          <w:tcPr>
            <w:tcW w:w="1433" w:type="dxa"/>
            <w:tcBorders>
              <w:top w:val="nil"/>
              <w:left w:val="nil"/>
              <w:bottom w:val="single" w:sz="4" w:space="0" w:color="auto"/>
              <w:right w:val="single" w:sz="4" w:space="0" w:color="auto"/>
            </w:tcBorders>
            <w:shd w:val="clear" w:color="auto" w:fill="auto"/>
            <w:noWrap/>
            <w:vAlign w:val="center"/>
          </w:tcPr>
          <w:p w14:paraId="17B81B47" w14:textId="3EE53088" w:rsidR="00BD2556" w:rsidRPr="00BD2556" w:rsidRDefault="00BD2556">
            <w:pPr>
              <w:jc w:val="right"/>
              <w:rPr>
                <w:rFonts w:ascii="Arial" w:hAnsi="Arial" w:cs="Arial"/>
                <w:b/>
                <w:sz w:val="16"/>
                <w:szCs w:val="16"/>
              </w:rPr>
            </w:pPr>
            <w:r w:rsidRPr="006E1AF7">
              <w:rPr>
                <w:rFonts w:ascii="Arial" w:hAnsi="Arial" w:cs="Arial"/>
                <w:b/>
                <w:bCs/>
                <w:sz w:val="16"/>
                <w:szCs w:val="16"/>
              </w:rPr>
              <w:t>-120.493.241</w:t>
            </w:r>
          </w:p>
        </w:tc>
      </w:tr>
    </w:tbl>
    <w:p w14:paraId="548E3E3D" w14:textId="77777777" w:rsidR="008317D7" w:rsidRPr="00701F32" w:rsidRDefault="008317D7" w:rsidP="00DC0CC4">
      <w:pPr>
        <w:jc w:val="both"/>
        <w:rPr>
          <w:rFonts w:ascii="Arial" w:hAnsi="Arial" w:cs="Arial"/>
          <w:sz w:val="20"/>
        </w:rPr>
      </w:pPr>
    </w:p>
    <w:tbl>
      <w:tblPr>
        <w:tblW w:w="10377" w:type="dxa"/>
        <w:jc w:val="center"/>
        <w:tblCellMar>
          <w:left w:w="70" w:type="dxa"/>
          <w:right w:w="70" w:type="dxa"/>
        </w:tblCellMar>
        <w:tblLook w:val="04A0" w:firstRow="1" w:lastRow="0" w:firstColumn="1" w:lastColumn="0" w:noHBand="0" w:noVBand="1"/>
      </w:tblPr>
      <w:tblGrid>
        <w:gridCol w:w="3704"/>
        <w:gridCol w:w="1475"/>
        <w:gridCol w:w="1563"/>
        <w:gridCol w:w="1272"/>
        <w:gridCol w:w="1143"/>
        <w:gridCol w:w="1220"/>
      </w:tblGrid>
      <w:tr w:rsidR="00DC0CC4" w:rsidRPr="00701F32" w14:paraId="5F2808C5" w14:textId="77777777" w:rsidTr="00EF391B">
        <w:trPr>
          <w:trHeight w:val="254"/>
          <w:tblHeader/>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D454D" w14:textId="7468D12C" w:rsidR="00DC0CC4" w:rsidRPr="00701F32" w:rsidRDefault="00886AE1" w:rsidP="00886AE1">
            <w:pPr>
              <w:jc w:val="center"/>
              <w:rPr>
                <w:rFonts w:ascii="Arial" w:hAnsi="Arial" w:cs="Arial"/>
                <w:b/>
                <w:bCs/>
                <w:sz w:val="16"/>
                <w:szCs w:val="18"/>
                <w:lang w:eastAsia="es-AR"/>
              </w:rPr>
            </w:pPr>
            <w:r w:rsidRPr="008D7556">
              <w:rPr>
                <w:rFonts w:ascii="Arial" w:hAnsi="Arial" w:cs="Arial"/>
                <w:b/>
                <w:bCs/>
                <w:sz w:val="16"/>
                <w:szCs w:val="18"/>
                <w:lang w:eastAsia="es-AR"/>
              </w:rPr>
              <w:t xml:space="preserve">Resultado por Segmentos al </w:t>
            </w:r>
            <w:r w:rsidR="003C2633">
              <w:rPr>
                <w:rFonts w:ascii="Arial" w:hAnsi="Arial" w:cs="Arial"/>
                <w:b/>
                <w:bCs/>
                <w:sz w:val="16"/>
                <w:szCs w:val="18"/>
                <w:lang w:eastAsia="es-AR"/>
              </w:rPr>
              <w:t>3</w:t>
            </w:r>
            <w:r w:rsidR="00764FD5">
              <w:rPr>
                <w:rFonts w:ascii="Arial" w:hAnsi="Arial" w:cs="Arial"/>
                <w:b/>
                <w:bCs/>
                <w:sz w:val="16"/>
                <w:szCs w:val="18"/>
                <w:lang w:eastAsia="es-AR"/>
              </w:rPr>
              <w:t>1</w:t>
            </w:r>
            <w:r w:rsidR="003C2633">
              <w:rPr>
                <w:rFonts w:ascii="Arial" w:hAnsi="Arial" w:cs="Arial"/>
                <w:b/>
                <w:bCs/>
                <w:sz w:val="16"/>
                <w:szCs w:val="18"/>
                <w:lang w:eastAsia="es-AR"/>
              </w:rPr>
              <w:t>/</w:t>
            </w:r>
            <w:r w:rsidR="00764FD5">
              <w:rPr>
                <w:rFonts w:ascii="Arial" w:hAnsi="Arial" w:cs="Arial"/>
                <w:b/>
                <w:bCs/>
                <w:sz w:val="16"/>
                <w:szCs w:val="18"/>
                <w:lang w:eastAsia="es-AR"/>
              </w:rPr>
              <w:t>12</w:t>
            </w:r>
            <w:r w:rsidR="003C2633">
              <w:rPr>
                <w:rFonts w:ascii="Arial" w:hAnsi="Arial" w:cs="Arial"/>
                <w:b/>
                <w:bCs/>
                <w:sz w:val="16"/>
                <w:szCs w:val="18"/>
                <w:lang w:eastAsia="es-AR"/>
              </w:rPr>
              <w:t>/2019</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8623B" w14:textId="77777777" w:rsidR="00DC0CC4" w:rsidRPr="00701F32" w:rsidRDefault="00DC0CC4" w:rsidP="00DC0CC4">
            <w:pPr>
              <w:jc w:val="center"/>
              <w:rPr>
                <w:rFonts w:ascii="Arial" w:hAnsi="Arial" w:cs="Arial"/>
                <w:b/>
                <w:bCs/>
                <w:sz w:val="16"/>
                <w:szCs w:val="18"/>
                <w:lang w:eastAsia="es-AR"/>
              </w:rPr>
            </w:pPr>
            <w:r w:rsidRPr="00701F32">
              <w:rPr>
                <w:rFonts w:ascii="Arial" w:hAnsi="Arial" w:cs="Arial"/>
                <w:b/>
                <w:bCs/>
                <w:sz w:val="16"/>
                <w:szCs w:val="18"/>
                <w:lang w:eastAsia="es-AR"/>
              </w:rPr>
              <w:t>Banca Empresa</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D414F" w14:textId="77777777" w:rsidR="00DC0CC4" w:rsidRPr="00701F32" w:rsidRDefault="00DC0CC4" w:rsidP="00DC0CC4">
            <w:pPr>
              <w:jc w:val="center"/>
              <w:rPr>
                <w:rFonts w:ascii="Arial" w:hAnsi="Arial" w:cs="Arial"/>
                <w:b/>
                <w:bCs/>
                <w:sz w:val="16"/>
                <w:szCs w:val="18"/>
                <w:lang w:eastAsia="es-AR"/>
              </w:rPr>
            </w:pPr>
            <w:r w:rsidRPr="00701F32">
              <w:rPr>
                <w:rFonts w:ascii="Arial" w:hAnsi="Arial" w:cs="Arial"/>
                <w:b/>
                <w:bCs/>
                <w:sz w:val="16"/>
                <w:szCs w:val="18"/>
                <w:lang w:eastAsia="es-AR"/>
              </w:rPr>
              <w:t>Banca Minorista</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F3F4D" w14:textId="77777777" w:rsidR="00DC0CC4" w:rsidRPr="00701F32" w:rsidRDefault="00DC0CC4" w:rsidP="00DC0CC4">
            <w:pPr>
              <w:jc w:val="center"/>
              <w:rPr>
                <w:rFonts w:ascii="Arial" w:hAnsi="Arial" w:cs="Arial"/>
                <w:b/>
                <w:bCs/>
                <w:sz w:val="16"/>
                <w:szCs w:val="18"/>
                <w:lang w:eastAsia="es-AR"/>
              </w:rPr>
            </w:pPr>
            <w:r w:rsidRPr="00701F32">
              <w:rPr>
                <w:rFonts w:ascii="Arial" w:hAnsi="Arial" w:cs="Arial"/>
                <w:b/>
                <w:bCs/>
                <w:sz w:val="16"/>
                <w:szCs w:val="18"/>
                <w:lang w:eastAsia="es-AR"/>
              </w:rPr>
              <w:t>Tesorería</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C5160" w14:textId="77777777" w:rsidR="00DC0CC4" w:rsidRPr="00701F32" w:rsidRDefault="00DC0CC4" w:rsidP="00DC0CC4">
            <w:pPr>
              <w:jc w:val="center"/>
              <w:rPr>
                <w:rFonts w:ascii="Arial" w:hAnsi="Arial" w:cs="Arial"/>
                <w:b/>
                <w:bCs/>
                <w:sz w:val="16"/>
                <w:szCs w:val="18"/>
                <w:lang w:eastAsia="es-AR"/>
              </w:rPr>
            </w:pPr>
            <w:r w:rsidRPr="00701F32">
              <w:rPr>
                <w:rFonts w:ascii="Arial" w:hAnsi="Arial" w:cs="Arial"/>
                <w:b/>
                <w:bCs/>
                <w:sz w:val="16"/>
                <w:szCs w:val="18"/>
                <w:lang w:eastAsia="es-AR"/>
              </w:rPr>
              <w:t>Ajustes</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AB900" w14:textId="77777777" w:rsidR="00DC0CC4" w:rsidRPr="00701F32" w:rsidRDefault="00DC0CC4" w:rsidP="00DC0CC4">
            <w:pPr>
              <w:jc w:val="center"/>
              <w:rPr>
                <w:rFonts w:ascii="Arial" w:hAnsi="Arial" w:cs="Arial"/>
                <w:b/>
                <w:bCs/>
                <w:sz w:val="16"/>
                <w:szCs w:val="18"/>
                <w:lang w:eastAsia="es-AR"/>
              </w:rPr>
            </w:pPr>
            <w:r w:rsidRPr="00701F32">
              <w:rPr>
                <w:rFonts w:ascii="Arial" w:hAnsi="Arial" w:cs="Arial"/>
                <w:b/>
                <w:bCs/>
                <w:sz w:val="16"/>
                <w:szCs w:val="18"/>
                <w:lang w:eastAsia="es-AR"/>
              </w:rPr>
              <w:t>TOTAL</w:t>
            </w:r>
          </w:p>
        </w:tc>
      </w:tr>
      <w:tr w:rsidR="001F6307" w:rsidRPr="00701F32" w14:paraId="54277247" w14:textId="77777777" w:rsidTr="006E1AF7">
        <w:trPr>
          <w:trHeight w:val="269"/>
          <w:jc w:val="center"/>
        </w:trPr>
        <w:tc>
          <w:tcPr>
            <w:tcW w:w="3704" w:type="dxa"/>
            <w:tcBorders>
              <w:top w:val="single" w:sz="4" w:space="0" w:color="auto"/>
              <w:left w:val="single" w:sz="4" w:space="0" w:color="auto"/>
              <w:bottom w:val="nil"/>
              <w:right w:val="single" w:sz="4" w:space="0" w:color="auto"/>
            </w:tcBorders>
            <w:shd w:val="clear" w:color="auto" w:fill="auto"/>
            <w:noWrap/>
            <w:vAlign w:val="bottom"/>
            <w:hideMark/>
          </w:tcPr>
          <w:p w14:paraId="1DE54A41"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Ingresos por intereses </w:t>
            </w:r>
          </w:p>
        </w:tc>
        <w:tc>
          <w:tcPr>
            <w:tcW w:w="1475" w:type="dxa"/>
            <w:tcBorders>
              <w:top w:val="single" w:sz="4" w:space="0" w:color="auto"/>
              <w:left w:val="single" w:sz="4" w:space="0" w:color="auto"/>
              <w:bottom w:val="nil"/>
              <w:right w:val="single" w:sz="4" w:space="0" w:color="auto"/>
            </w:tcBorders>
            <w:shd w:val="clear" w:color="auto" w:fill="auto"/>
            <w:noWrap/>
            <w:vAlign w:val="center"/>
          </w:tcPr>
          <w:p w14:paraId="005E6D8B" w14:textId="79839763" w:rsidR="001F6307" w:rsidRPr="001F6307" w:rsidRDefault="001F6307">
            <w:pPr>
              <w:jc w:val="right"/>
              <w:rPr>
                <w:rFonts w:ascii="Arial" w:hAnsi="Arial" w:cs="Arial"/>
                <w:sz w:val="16"/>
                <w:szCs w:val="16"/>
              </w:rPr>
            </w:pPr>
            <w:r w:rsidRPr="006E1AF7">
              <w:rPr>
                <w:rFonts w:ascii="Arial" w:hAnsi="Arial" w:cs="Arial"/>
                <w:color w:val="000000"/>
                <w:sz w:val="16"/>
                <w:szCs w:val="16"/>
              </w:rPr>
              <w:t xml:space="preserve">13.676.818 </w:t>
            </w:r>
          </w:p>
        </w:tc>
        <w:tc>
          <w:tcPr>
            <w:tcW w:w="1563" w:type="dxa"/>
            <w:tcBorders>
              <w:top w:val="single" w:sz="4" w:space="0" w:color="auto"/>
              <w:left w:val="single" w:sz="4" w:space="0" w:color="auto"/>
              <w:bottom w:val="nil"/>
              <w:right w:val="single" w:sz="4" w:space="0" w:color="auto"/>
            </w:tcBorders>
            <w:shd w:val="clear" w:color="auto" w:fill="auto"/>
            <w:noWrap/>
            <w:vAlign w:val="center"/>
          </w:tcPr>
          <w:p w14:paraId="419D1D60" w14:textId="4853A3D4" w:rsidR="001F6307" w:rsidRPr="001F6307" w:rsidRDefault="001F6307">
            <w:pPr>
              <w:jc w:val="right"/>
              <w:rPr>
                <w:rFonts w:ascii="Arial" w:hAnsi="Arial" w:cs="Arial"/>
                <w:sz w:val="16"/>
                <w:szCs w:val="16"/>
              </w:rPr>
            </w:pPr>
            <w:r w:rsidRPr="006E1AF7">
              <w:rPr>
                <w:rFonts w:ascii="Arial" w:hAnsi="Arial" w:cs="Arial"/>
                <w:color w:val="000000"/>
                <w:sz w:val="16"/>
                <w:szCs w:val="16"/>
              </w:rPr>
              <w:t xml:space="preserve">16.395.525 </w:t>
            </w:r>
          </w:p>
        </w:tc>
        <w:tc>
          <w:tcPr>
            <w:tcW w:w="1272" w:type="dxa"/>
            <w:tcBorders>
              <w:top w:val="single" w:sz="4" w:space="0" w:color="auto"/>
              <w:left w:val="single" w:sz="4" w:space="0" w:color="auto"/>
              <w:bottom w:val="nil"/>
              <w:right w:val="single" w:sz="4" w:space="0" w:color="auto"/>
            </w:tcBorders>
            <w:shd w:val="clear" w:color="auto" w:fill="auto"/>
            <w:noWrap/>
            <w:vAlign w:val="center"/>
          </w:tcPr>
          <w:p w14:paraId="437CC857" w14:textId="4BC0E763" w:rsidR="001F6307" w:rsidRPr="001F6307" w:rsidRDefault="001F6307">
            <w:pPr>
              <w:jc w:val="right"/>
              <w:rPr>
                <w:rFonts w:ascii="Arial" w:hAnsi="Arial" w:cs="Arial"/>
                <w:sz w:val="16"/>
                <w:szCs w:val="16"/>
              </w:rPr>
            </w:pPr>
            <w:r w:rsidRPr="006E1AF7">
              <w:rPr>
                <w:rFonts w:ascii="Arial" w:hAnsi="Arial" w:cs="Arial"/>
                <w:color w:val="000000"/>
                <w:sz w:val="16"/>
                <w:szCs w:val="16"/>
              </w:rPr>
              <w:t xml:space="preserve">3.706.618 </w:t>
            </w:r>
          </w:p>
        </w:tc>
        <w:tc>
          <w:tcPr>
            <w:tcW w:w="1143" w:type="dxa"/>
            <w:tcBorders>
              <w:top w:val="single" w:sz="4" w:space="0" w:color="auto"/>
              <w:left w:val="single" w:sz="4" w:space="0" w:color="auto"/>
              <w:bottom w:val="nil"/>
              <w:right w:val="single" w:sz="4" w:space="0" w:color="auto"/>
            </w:tcBorders>
            <w:shd w:val="clear" w:color="auto" w:fill="auto"/>
            <w:noWrap/>
            <w:vAlign w:val="center"/>
          </w:tcPr>
          <w:p w14:paraId="251E7904" w14:textId="4279A5F8"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single" w:sz="4" w:space="0" w:color="auto"/>
              <w:left w:val="single" w:sz="4" w:space="0" w:color="auto"/>
              <w:bottom w:val="nil"/>
              <w:right w:val="single" w:sz="4" w:space="0" w:color="auto"/>
            </w:tcBorders>
            <w:shd w:val="clear" w:color="auto" w:fill="auto"/>
            <w:noWrap/>
            <w:vAlign w:val="center"/>
          </w:tcPr>
          <w:p w14:paraId="1D1545E7" w14:textId="4FE0EF3D"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33.778.961 </w:t>
            </w:r>
          </w:p>
        </w:tc>
      </w:tr>
      <w:tr w:rsidR="001F6307" w:rsidRPr="00701F32" w14:paraId="71039E63" w14:textId="77777777" w:rsidTr="006E1AF7">
        <w:trPr>
          <w:trHeight w:val="269"/>
          <w:jc w:val="center"/>
        </w:trPr>
        <w:tc>
          <w:tcPr>
            <w:tcW w:w="3704" w:type="dxa"/>
            <w:tcBorders>
              <w:top w:val="nil"/>
              <w:left w:val="single" w:sz="4" w:space="0" w:color="auto"/>
              <w:bottom w:val="nil"/>
              <w:right w:val="single" w:sz="4" w:space="0" w:color="auto"/>
            </w:tcBorders>
            <w:shd w:val="clear" w:color="auto" w:fill="auto"/>
            <w:noWrap/>
            <w:vAlign w:val="bottom"/>
            <w:hideMark/>
          </w:tcPr>
          <w:p w14:paraId="0857F2F3"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Egresos por intereses </w:t>
            </w:r>
          </w:p>
        </w:tc>
        <w:tc>
          <w:tcPr>
            <w:tcW w:w="1475" w:type="dxa"/>
            <w:tcBorders>
              <w:top w:val="nil"/>
              <w:left w:val="single" w:sz="4" w:space="0" w:color="auto"/>
              <w:bottom w:val="nil"/>
              <w:right w:val="single" w:sz="4" w:space="0" w:color="auto"/>
            </w:tcBorders>
            <w:shd w:val="clear" w:color="auto" w:fill="auto"/>
            <w:noWrap/>
            <w:vAlign w:val="center"/>
          </w:tcPr>
          <w:p w14:paraId="31100FFF" w14:textId="06A56970"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2.361.107 </w:t>
            </w:r>
          </w:p>
        </w:tc>
        <w:tc>
          <w:tcPr>
            <w:tcW w:w="1563" w:type="dxa"/>
            <w:tcBorders>
              <w:top w:val="nil"/>
              <w:left w:val="single" w:sz="4" w:space="0" w:color="auto"/>
              <w:bottom w:val="nil"/>
              <w:right w:val="single" w:sz="4" w:space="0" w:color="auto"/>
            </w:tcBorders>
            <w:shd w:val="clear" w:color="auto" w:fill="auto"/>
            <w:noWrap/>
            <w:vAlign w:val="center"/>
          </w:tcPr>
          <w:p w14:paraId="50427A8F" w14:textId="12CAB001"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7.603.859 </w:t>
            </w:r>
          </w:p>
        </w:tc>
        <w:tc>
          <w:tcPr>
            <w:tcW w:w="1272" w:type="dxa"/>
            <w:tcBorders>
              <w:top w:val="nil"/>
              <w:left w:val="single" w:sz="4" w:space="0" w:color="auto"/>
              <w:bottom w:val="nil"/>
              <w:right w:val="single" w:sz="4" w:space="0" w:color="auto"/>
            </w:tcBorders>
            <w:shd w:val="clear" w:color="auto" w:fill="auto"/>
            <w:noWrap/>
            <w:vAlign w:val="center"/>
          </w:tcPr>
          <w:p w14:paraId="2164A062" w14:textId="04CEC054"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17.130.912 </w:t>
            </w:r>
          </w:p>
        </w:tc>
        <w:tc>
          <w:tcPr>
            <w:tcW w:w="1143" w:type="dxa"/>
            <w:tcBorders>
              <w:top w:val="nil"/>
              <w:left w:val="single" w:sz="4" w:space="0" w:color="auto"/>
              <w:bottom w:val="nil"/>
              <w:right w:val="single" w:sz="4" w:space="0" w:color="auto"/>
            </w:tcBorders>
            <w:shd w:val="clear" w:color="auto" w:fill="auto"/>
            <w:noWrap/>
            <w:vAlign w:val="center"/>
          </w:tcPr>
          <w:p w14:paraId="2C69A0AD" w14:textId="5F2895C7"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nil"/>
              <w:left w:val="single" w:sz="4" w:space="0" w:color="auto"/>
              <w:bottom w:val="nil"/>
              <w:right w:val="single" w:sz="4" w:space="0" w:color="auto"/>
            </w:tcBorders>
            <w:shd w:val="clear" w:color="auto" w:fill="auto"/>
            <w:noWrap/>
            <w:vAlign w:val="center"/>
          </w:tcPr>
          <w:p w14:paraId="6B45D4DA" w14:textId="0AB4FF35"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27.095.878 </w:t>
            </w:r>
          </w:p>
        </w:tc>
      </w:tr>
      <w:tr w:rsidR="001F6307" w:rsidRPr="00701F32" w14:paraId="04DDF824" w14:textId="77777777" w:rsidTr="006E1AF7">
        <w:trPr>
          <w:trHeight w:val="269"/>
          <w:jc w:val="center"/>
        </w:trPr>
        <w:tc>
          <w:tcPr>
            <w:tcW w:w="3704" w:type="dxa"/>
            <w:tcBorders>
              <w:top w:val="nil"/>
              <w:left w:val="single" w:sz="4" w:space="0" w:color="auto"/>
              <w:bottom w:val="single" w:sz="4" w:space="0" w:color="auto"/>
              <w:right w:val="single" w:sz="4" w:space="0" w:color="auto"/>
            </w:tcBorders>
            <w:shd w:val="clear" w:color="auto" w:fill="auto"/>
            <w:noWrap/>
            <w:vAlign w:val="bottom"/>
            <w:hideMark/>
          </w:tcPr>
          <w:p w14:paraId="32E02B16" w14:textId="5BE178BB"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Resultados por Interés de Transferencia </w:t>
            </w:r>
          </w:p>
        </w:tc>
        <w:tc>
          <w:tcPr>
            <w:tcW w:w="1475" w:type="dxa"/>
            <w:tcBorders>
              <w:top w:val="nil"/>
              <w:left w:val="single" w:sz="4" w:space="0" w:color="auto"/>
              <w:bottom w:val="single" w:sz="4" w:space="0" w:color="auto"/>
              <w:right w:val="single" w:sz="4" w:space="0" w:color="auto"/>
            </w:tcBorders>
            <w:shd w:val="clear" w:color="auto" w:fill="auto"/>
            <w:noWrap/>
            <w:vAlign w:val="center"/>
          </w:tcPr>
          <w:p w14:paraId="5CE1ACDA" w14:textId="28401448"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-6.707.314 </w:t>
            </w:r>
          </w:p>
        </w:tc>
        <w:tc>
          <w:tcPr>
            <w:tcW w:w="1563" w:type="dxa"/>
            <w:tcBorders>
              <w:top w:val="nil"/>
              <w:left w:val="single" w:sz="4" w:space="0" w:color="auto"/>
              <w:bottom w:val="single" w:sz="4" w:space="0" w:color="auto"/>
              <w:right w:val="single" w:sz="4" w:space="0" w:color="auto"/>
            </w:tcBorders>
            <w:shd w:val="clear" w:color="auto" w:fill="auto"/>
            <w:noWrap/>
            <w:vAlign w:val="center"/>
          </w:tcPr>
          <w:p w14:paraId="58B11A6F" w14:textId="3D56DE1B"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4.735.940 </w:t>
            </w:r>
          </w:p>
        </w:tc>
        <w:tc>
          <w:tcPr>
            <w:tcW w:w="1272" w:type="dxa"/>
            <w:tcBorders>
              <w:top w:val="nil"/>
              <w:left w:val="single" w:sz="4" w:space="0" w:color="auto"/>
              <w:bottom w:val="single" w:sz="4" w:space="0" w:color="auto"/>
              <w:right w:val="single" w:sz="4" w:space="0" w:color="auto"/>
            </w:tcBorders>
            <w:shd w:val="clear" w:color="auto" w:fill="auto"/>
            <w:noWrap/>
            <w:vAlign w:val="center"/>
          </w:tcPr>
          <w:p w14:paraId="1D4FFC1A" w14:textId="48938461"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1.971.374 </w:t>
            </w:r>
          </w:p>
        </w:tc>
        <w:tc>
          <w:tcPr>
            <w:tcW w:w="1143" w:type="dxa"/>
            <w:tcBorders>
              <w:top w:val="nil"/>
              <w:left w:val="single" w:sz="4" w:space="0" w:color="auto"/>
              <w:bottom w:val="single" w:sz="4" w:space="0" w:color="auto"/>
              <w:right w:val="single" w:sz="4" w:space="0" w:color="auto"/>
            </w:tcBorders>
            <w:shd w:val="clear" w:color="auto" w:fill="auto"/>
            <w:noWrap/>
            <w:vAlign w:val="center"/>
          </w:tcPr>
          <w:p w14:paraId="20873AE1" w14:textId="5E4A5D85"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nil"/>
              <w:left w:val="single" w:sz="4" w:space="0" w:color="auto"/>
              <w:bottom w:val="single" w:sz="4" w:space="0" w:color="auto"/>
              <w:right w:val="single" w:sz="4" w:space="0" w:color="auto"/>
            </w:tcBorders>
            <w:shd w:val="clear" w:color="auto" w:fill="auto"/>
            <w:noWrap/>
            <w:vAlign w:val="center"/>
          </w:tcPr>
          <w:p w14:paraId="7EEA7D83" w14:textId="65F2A0D0"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r>
      <w:tr w:rsidR="001F6307" w:rsidRPr="00701F32" w14:paraId="21E603AB" w14:textId="77777777" w:rsidTr="006E1AF7">
        <w:trPr>
          <w:trHeight w:val="167"/>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51FC5" w14:textId="77777777" w:rsidR="001F6307" w:rsidRPr="008317D7" w:rsidRDefault="001F6307" w:rsidP="001F6307">
            <w:pPr>
              <w:rPr>
                <w:rFonts w:ascii="Arial" w:hAnsi="Arial" w:cs="Arial"/>
                <w:b/>
                <w:bCs/>
                <w:sz w:val="16"/>
                <w:szCs w:val="16"/>
                <w:lang w:eastAsia="es-AR"/>
              </w:rPr>
            </w:pPr>
            <w:r w:rsidRPr="008317D7">
              <w:rPr>
                <w:rFonts w:ascii="Arial" w:hAnsi="Arial" w:cs="Arial"/>
                <w:b/>
                <w:bCs/>
                <w:sz w:val="16"/>
                <w:szCs w:val="16"/>
                <w:lang w:eastAsia="es-AR"/>
              </w:rPr>
              <w:t xml:space="preserve"> Resultado neto por intereses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0A63A" w14:textId="2810422D"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4.608.397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5DADB" w14:textId="12C7806F"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13.527.606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9F0F4" w14:textId="0A96CBC3"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-11.452.920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DA1F8" w14:textId="5613BC79"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BA56C" w14:textId="4E32567B"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6.683.083 </w:t>
            </w:r>
          </w:p>
        </w:tc>
      </w:tr>
      <w:tr w:rsidR="001F6307" w:rsidRPr="00701F32" w14:paraId="3650041F" w14:textId="77777777" w:rsidTr="006E1AF7">
        <w:trPr>
          <w:trHeight w:val="242"/>
          <w:jc w:val="center"/>
        </w:trPr>
        <w:tc>
          <w:tcPr>
            <w:tcW w:w="3704" w:type="dxa"/>
            <w:tcBorders>
              <w:top w:val="single" w:sz="4" w:space="0" w:color="auto"/>
              <w:left w:val="single" w:sz="4" w:space="0" w:color="auto"/>
              <w:bottom w:val="nil"/>
              <w:right w:val="single" w:sz="4" w:space="0" w:color="auto"/>
            </w:tcBorders>
            <w:shd w:val="clear" w:color="auto" w:fill="auto"/>
            <w:noWrap/>
            <w:vAlign w:val="bottom"/>
            <w:hideMark/>
          </w:tcPr>
          <w:p w14:paraId="10276C06"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Ingresos por comisiones </w:t>
            </w:r>
          </w:p>
        </w:tc>
        <w:tc>
          <w:tcPr>
            <w:tcW w:w="1475" w:type="dxa"/>
            <w:tcBorders>
              <w:top w:val="single" w:sz="4" w:space="0" w:color="auto"/>
              <w:left w:val="single" w:sz="4" w:space="0" w:color="auto"/>
              <w:bottom w:val="nil"/>
              <w:right w:val="single" w:sz="4" w:space="0" w:color="auto"/>
            </w:tcBorders>
            <w:shd w:val="clear" w:color="auto" w:fill="auto"/>
            <w:noWrap/>
            <w:vAlign w:val="center"/>
          </w:tcPr>
          <w:p w14:paraId="5367DECC" w14:textId="7C2C956E" w:rsidR="001F6307" w:rsidRPr="001F6307" w:rsidRDefault="001F6307">
            <w:pPr>
              <w:jc w:val="right"/>
              <w:rPr>
                <w:rFonts w:ascii="Arial" w:hAnsi="Arial" w:cs="Arial"/>
                <w:sz w:val="16"/>
                <w:szCs w:val="16"/>
              </w:rPr>
            </w:pPr>
            <w:r w:rsidRPr="006E1AF7">
              <w:rPr>
                <w:rFonts w:ascii="Arial" w:hAnsi="Arial" w:cs="Arial"/>
                <w:color w:val="000000"/>
                <w:sz w:val="16"/>
                <w:szCs w:val="16"/>
              </w:rPr>
              <w:t xml:space="preserve">756.778 </w:t>
            </w:r>
          </w:p>
        </w:tc>
        <w:tc>
          <w:tcPr>
            <w:tcW w:w="1563" w:type="dxa"/>
            <w:tcBorders>
              <w:top w:val="single" w:sz="4" w:space="0" w:color="auto"/>
              <w:left w:val="single" w:sz="4" w:space="0" w:color="auto"/>
              <w:bottom w:val="nil"/>
              <w:right w:val="single" w:sz="4" w:space="0" w:color="auto"/>
            </w:tcBorders>
            <w:shd w:val="clear" w:color="auto" w:fill="auto"/>
            <w:noWrap/>
            <w:vAlign w:val="center"/>
          </w:tcPr>
          <w:p w14:paraId="52DB0FED" w14:textId="556D9A9D" w:rsidR="001F6307" w:rsidRPr="001F6307" w:rsidRDefault="001F6307">
            <w:pPr>
              <w:jc w:val="right"/>
              <w:rPr>
                <w:rFonts w:ascii="Arial" w:hAnsi="Arial" w:cs="Arial"/>
                <w:sz w:val="16"/>
                <w:szCs w:val="16"/>
              </w:rPr>
            </w:pPr>
            <w:r w:rsidRPr="006E1AF7">
              <w:rPr>
                <w:rFonts w:ascii="Arial" w:hAnsi="Arial" w:cs="Arial"/>
                <w:color w:val="000000"/>
                <w:sz w:val="16"/>
                <w:szCs w:val="16"/>
              </w:rPr>
              <w:t xml:space="preserve">4.503.231 </w:t>
            </w:r>
          </w:p>
        </w:tc>
        <w:tc>
          <w:tcPr>
            <w:tcW w:w="1272" w:type="dxa"/>
            <w:tcBorders>
              <w:top w:val="single" w:sz="4" w:space="0" w:color="auto"/>
              <w:left w:val="single" w:sz="4" w:space="0" w:color="auto"/>
              <w:bottom w:val="nil"/>
              <w:right w:val="single" w:sz="4" w:space="0" w:color="auto"/>
            </w:tcBorders>
            <w:shd w:val="clear" w:color="auto" w:fill="auto"/>
            <w:noWrap/>
            <w:vAlign w:val="center"/>
          </w:tcPr>
          <w:p w14:paraId="38FECC71" w14:textId="68D16A66" w:rsidR="001F6307" w:rsidRPr="001F6307" w:rsidRDefault="001F6307">
            <w:pPr>
              <w:jc w:val="right"/>
              <w:rPr>
                <w:rFonts w:ascii="Arial" w:hAnsi="Arial" w:cs="Arial"/>
                <w:sz w:val="16"/>
                <w:szCs w:val="16"/>
              </w:rPr>
            </w:pPr>
            <w:r w:rsidRPr="006E1AF7">
              <w:rPr>
                <w:rFonts w:ascii="Arial" w:hAnsi="Arial" w:cs="Arial"/>
                <w:sz w:val="16"/>
                <w:szCs w:val="16"/>
              </w:rPr>
              <w:t xml:space="preserve">30.290 </w:t>
            </w:r>
          </w:p>
        </w:tc>
        <w:tc>
          <w:tcPr>
            <w:tcW w:w="1143" w:type="dxa"/>
            <w:tcBorders>
              <w:top w:val="single" w:sz="4" w:space="0" w:color="auto"/>
              <w:left w:val="single" w:sz="4" w:space="0" w:color="auto"/>
              <w:bottom w:val="nil"/>
              <w:right w:val="single" w:sz="4" w:space="0" w:color="auto"/>
            </w:tcBorders>
            <w:shd w:val="clear" w:color="auto" w:fill="auto"/>
            <w:noWrap/>
            <w:vAlign w:val="center"/>
          </w:tcPr>
          <w:p w14:paraId="21F5E09F" w14:textId="44EBC470"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single" w:sz="4" w:space="0" w:color="auto"/>
              <w:left w:val="single" w:sz="4" w:space="0" w:color="auto"/>
              <w:bottom w:val="nil"/>
              <w:right w:val="single" w:sz="4" w:space="0" w:color="auto"/>
            </w:tcBorders>
            <w:shd w:val="clear" w:color="auto" w:fill="auto"/>
            <w:noWrap/>
            <w:vAlign w:val="center"/>
          </w:tcPr>
          <w:p w14:paraId="70B6F7DE" w14:textId="23DBE06B" w:rsidR="001F6307" w:rsidRPr="001F6307" w:rsidRDefault="001F6307">
            <w:pPr>
              <w:jc w:val="right"/>
              <w:rPr>
                <w:rFonts w:ascii="Arial" w:hAnsi="Arial" w:cs="Arial"/>
                <w:sz w:val="16"/>
                <w:szCs w:val="16"/>
              </w:rPr>
            </w:pPr>
            <w:r w:rsidRPr="006E1AF7">
              <w:rPr>
                <w:rFonts w:ascii="Arial" w:hAnsi="Arial" w:cs="Arial"/>
                <w:color w:val="000000"/>
                <w:sz w:val="16"/>
                <w:szCs w:val="16"/>
              </w:rPr>
              <w:t xml:space="preserve">5.290.299 </w:t>
            </w:r>
          </w:p>
        </w:tc>
      </w:tr>
      <w:tr w:rsidR="001F6307" w:rsidRPr="00701F32" w14:paraId="0BF4D0C8" w14:textId="77777777" w:rsidTr="006E1AF7">
        <w:trPr>
          <w:trHeight w:val="269"/>
          <w:jc w:val="center"/>
        </w:trPr>
        <w:tc>
          <w:tcPr>
            <w:tcW w:w="3704" w:type="dxa"/>
            <w:tcBorders>
              <w:top w:val="nil"/>
              <w:left w:val="single" w:sz="4" w:space="0" w:color="auto"/>
              <w:bottom w:val="single" w:sz="4" w:space="0" w:color="auto"/>
              <w:right w:val="single" w:sz="4" w:space="0" w:color="auto"/>
            </w:tcBorders>
            <w:shd w:val="clear" w:color="auto" w:fill="auto"/>
            <w:noWrap/>
            <w:vAlign w:val="bottom"/>
            <w:hideMark/>
          </w:tcPr>
          <w:p w14:paraId="36BAF87F"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Egresos por comisiones </w:t>
            </w:r>
          </w:p>
        </w:tc>
        <w:tc>
          <w:tcPr>
            <w:tcW w:w="1475" w:type="dxa"/>
            <w:tcBorders>
              <w:top w:val="nil"/>
              <w:left w:val="single" w:sz="4" w:space="0" w:color="auto"/>
              <w:bottom w:val="single" w:sz="4" w:space="0" w:color="auto"/>
              <w:right w:val="single" w:sz="4" w:space="0" w:color="auto"/>
            </w:tcBorders>
            <w:shd w:val="clear" w:color="auto" w:fill="auto"/>
            <w:noWrap/>
            <w:vAlign w:val="center"/>
          </w:tcPr>
          <w:p w14:paraId="3DDBF4CE" w14:textId="75897412" w:rsidR="001F6307" w:rsidRPr="001F6307" w:rsidRDefault="005E40DB">
            <w:pPr>
              <w:jc w:val="right"/>
              <w:rPr>
                <w:rFonts w:ascii="Arial" w:hAnsi="Arial" w:cs="Arial"/>
                <w:sz w:val="16"/>
                <w:szCs w:val="16"/>
              </w:rPr>
            </w:pPr>
            <w:r>
              <w:rPr>
                <w:rFonts w:ascii="Arial" w:hAnsi="Arial" w:cs="Arial"/>
                <w:color w:val="000000"/>
                <w:sz w:val="16"/>
                <w:szCs w:val="16"/>
              </w:rPr>
              <w:t>-</w:t>
            </w:r>
            <w:r w:rsidR="001F6307" w:rsidRPr="006E1AF7">
              <w:rPr>
                <w:rFonts w:ascii="Arial" w:hAnsi="Arial" w:cs="Arial"/>
                <w:color w:val="000000"/>
                <w:sz w:val="16"/>
                <w:szCs w:val="16"/>
              </w:rPr>
              <w:t xml:space="preserve">101.416 </w:t>
            </w:r>
          </w:p>
        </w:tc>
        <w:tc>
          <w:tcPr>
            <w:tcW w:w="1563" w:type="dxa"/>
            <w:tcBorders>
              <w:top w:val="nil"/>
              <w:left w:val="single" w:sz="4" w:space="0" w:color="auto"/>
              <w:bottom w:val="single" w:sz="4" w:space="0" w:color="auto"/>
              <w:right w:val="single" w:sz="4" w:space="0" w:color="auto"/>
            </w:tcBorders>
            <w:shd w:val="clear" w:color="auto" w:fill="auto"/>
            <w:noWrap/>
            <w:vAlign w:val="center"/>
          </w:tcPr>
          <w:p w14:paraId="3A4B666B" w14:textId="3536DFBC" w:rsidR="001F6307" w:rsidRPr="001F6307" w:rsidRDefault="005E40DB">
            <w:pPr>
              <w:jc w:val="right"/>
              <w:rPr>
                <w:rFonts w:ascii="Arial" w:hAnsi="Arial" w:cs="Arial"/>
                <w:sz w:val="16"/>
                <w:szCs w:val="16"/>
              </w:rPr>
            </w:pPr>
            <w:r>
              <w:rPr>
                <w:rFonts w:ascii="Arial" w:hAnsi="Arial" w:cs="Arial"/>
                <w:color w:val="000000"/>
                <w:sz w:val="16"/>
                <w:szCs w:val="16"/>
              </w:rPr>
              <w:t>-</w:t>
            </w:r>
            <w:r w:rsidR="001F6307" w:rsidRPr="006E1AF7">
              <w:rPr>
                <w:rFonts w:ascii="Arial" w:hAnsi="Arial" w:cs="Arial"/>
                <w:color w:val="000000"/>
                <w:sz w:val="16"/>
                <w:szCs w:val="16"/>
              </w:rPr>
              <w:t xml:space="preserve">1.205.099 </w:t>
            </w:r>
          </w:p>
        </w:tc>
        <w:tc>
          <w:tcPr>
            <w:tcW w:w="1272" w:type="dxa"/>
            <w:tcBorders>
              <w:top w:val="nil"/>
              <w:left w:val="single" w:sz="4" w:space="0" w:color="auto"/>
              <w:bottom w:val="single" w:sz="4" w:space="0" w:color="auto"/>
              <w:right w:val="single" w:sz="4" w:space="0" w:color="auto"/>
            </w:tcBorders>
            <w:shd w:val="clear" w:color="auto" w:fill="auto"/>
            <w:noWrap/>
            <w:vAlign w:val="center"/>
          </w:tcPr>
          <w:p w14:paraId="79A4D9B4" w14:textId="1531F941" w:rsidR="001F6307" w:rsidRPr="001F6307" w:rsidRDefault="005E40DB">
            <w:pPr>
              <w:jc w:val="right"/>
              <w:rPr>
                <w:rFonts w:ascii="Arial" w:hAnsi="Arial" w:cs="Arial"/>
                <w:sz w:val="16"/>
                <w:szCs w:val="16"/>
              </w:rPr>
            </w:pPr>
            <w:r>
              <w:rPr>
                <w:rFonts w:ascii="Arial" w:hAnsi="Arial" w:cs="Arial"/>
                <w:color w:val="000000"/>
                <w:sz w:val="16"/>
                <w:szCs w:val="16"/>
              </w:rPr>
              <w:t>-</w:t>
            </w:r>
            <w:r w:rsidR="001F6307" w:rsidRPr="006E1AF7">
              <w:rPr>
                <w:rFonts w:ascii="Arial" w:hAnsi="Arial" w:cs="Arial"/>
                <w:color w:val="000000"/>
                <w:sz w:val="16"/>
                <w:szCs w:val="16"/>
              </w:rPr>
              <w:t xml:space="preserve">40.501 </w:t>
            </w:r>
          </w:p>
        </w:tc>
        <w:tc>
          <w:tcPr>
            <w:tcW w:w="1143" w:type="dxa"/>
            <w:tcBorders>
              <w:top w:val="nil"/>
              <w:left w:val="single" w:sz="4" w:space="0" w:color="auto"/>
              <w:bottom w:val="single" w:sz="4" w:space="0" w:color="auto"/>
              <w:right w:val="single" w:sz="4" w:space="0" w:color="auto"/>
            </w:tcBorders>
            <w:shd w:val="clear" w:color="auto" w:fill="auto"/>
            <w:noWrap/>
            <w:vAlign w:val="center"/>
          </w:tcPr>
          <w:p w14:paraId="4440CF7E" w14:textId="016DD0A0"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nil"/>
              <w:left w:val="single" w:sz="4" w:space="0" w:color="auto"/>
              <w:bottom w:val="single" w:sz="4" w:space="0" w:color="auto"/>
              <w:right w:val="single" w:sz="4" w:space="0" w:color="auto"/>
            </w:tcBorders>
            <w:shd w:val="clear" w:color="auto" w:fill="auto"/>
            <w:noWrap/>
            <w:vAlign w:val="center"/>
          </w:tcPr>
          <w:p w14:paraId="0564ED6B" w14:textId="3933F0CE" w:rsidR="001F6307" w:rsidRPr="001F6307" w:rsidRDefault="005E40DB">
            <w:pPr>
              <w:jc w:val="right"/>
              <w:rPr>
                <w:rFonts w:ascii="Arial" w:hAnsi="Arial" w:cs="Arial"/>
                <w:sz w:val="16"/>
                <w:szCs w:val="16"/>
              </w:rPr>
            </w:pPr>
            <w:r>
              <w:rPr>
                <w:rFonts w:ascii="Arial" w:hAnsi="Arial" w:cs="Arial"/>
                <w:color w:val="000000"/>
                <w:sz w:val="16"/>
                <w:szCs w:val="16"/>
              </w:rPr>
              <w:t>-</w:t>
            </w:r>
            <w:r w:rsidR="001F6307" w:rsidRPr="006E1AF7">
              <w:rPr>
                <w:rFonts w:ascii="Arial" w:hAnsi="Arial" w:cs="Arial"/>
                <w:color w:val="000000"/>
                <w:sz w:val="16"/>
                <w:szCs w:val="16"/>
              </w:rPr>
              <w:t xml:space="preserve">1.347.016 </w:t>
            </w:r>
          </w:p>
        </w:tc>
      </w:tr>
      <w:tr w:rsidR="001F6307" w:rsidRPr="00701F32" w14:paraId="6D9FFEC3" w14:textId="77777777" w:rsidTr="006E1AF7">
        <w:trPr>
          <w:trHeight w:val="179"/>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A30E4" w14:textId="77777777" w:rsidR="001F6307" w:rsidRPr="008317D7" w:rsidRDefault="001F6307" w:rsidP="001F6307">
            <w:pPr>
              <w:rPr>
                <w:rFonts w:ascii="Arial" w:hAnsi="Arial" w:cs="Arial"/>
                <w:b/>
                <w:bCs/>
                <w:sz w:val="16"/>
                <w:szCs w:val="16"/>
                <w:lang w:eastAsia="es-AR"/>
              </w:rPr>
            </w:pPr>
            <w:r w:rsidRPr="008317D7">
              <w:rPr>
                <w:rFonts w:ascii="Arial" w:hAnsi="Arial" w:cs="Arial"/>
                <w:b/>
                <w:bCs/>
                <w:sz w:val="16"/>
                <w:szCs w:val="16"/>
                <w:lang w:eastAsia="es-AR"/>
              </w:rPr>
              <w:t xml:space="preserve"> Resultado neto por comisiones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2896D" w14:textId="496EBFD2"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655.362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ED1F9" w14:textId="38C1A4F2"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3.298.132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9F9DA" w14:textId="77E1A097"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-10.211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2E31C" w14:textId="25DAC867"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F6485" w14:textId="5546E185"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3.943.283 </w:t>
            </w:r>
          </w:p>
        </w:tc>
      </w:tr>
      <w:tr w:rsidR="001F6307" w:rsidRPr="00701F32" w14:paraId="47C232F3" w14:textId="77777777" w:rsidTr="006E1AF7">
        <w:trPr>
          <w:trHeight w:val="116"/>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D76F4" w14:textId="77777777" w:rsidR="001F6307" w:rsidRPr="008317D7" w:rsidRDefault="001F6307" w:rsidP="001F6307">
            <w:pPr>
              <w:rPr>
                <w:rFonts w:ascii="Arial" w:hAnsi="Arial" w:cs="Arial"/>
                <w:b/>
                <w:bCs/>
                <w:sz w:val="16"/>
                <w:szCs w:val="16"/>
                <w:lang w:eastAsia="es-AR"/>
              </w:rPr>
            </w:pPr>
            <w:r w:rsidRPr="008317D7">
              <w:rPr>
                <w:rFonts w:ascii="Arial" w:hAnsi="Arial" w:cs="Arial"/>
                <w:b/>
                <w:bCs/>
                <w:sz w:val="16"/>
                <w:szCs w:val="16"/>
                <w:lang w:eastAsia="es-AR"/>
              </w:rPr>
              <w:t xml:space="preserve"> Subtotal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928B5" w14:textId="1B469DCF"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5.263.759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B9F31" w14:textId="7F20D6A7"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16.825.738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6E2F6" w14:textId="29D7B74F"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-11.463.131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DA7C5" w14:textId="53A0283E"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A1772" w14:textId="4234A47F"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10.626.366 </w:t>
            </w:r>
          </w:p>
        </w:tc>
      </w:tr>
      <w:tr w:rsidR="001F6307" w:rsidRPr="00701F32" w14:paraId="047B6797" w14:textId="77777777" w:rsidTr="006E1AF7">
        <w:trPr>
          <w:trHeight w:val="311"/>
          <w:jc w:val="center"/>
        </w:trPr>
        <w:tc>
          <w:tcPr>
            <w:tcW w:w="3704" w:type="dxa"/>
            <w:tcBorders>
              <w:top w:val="single" w:sz="4" w:space="0" w:color="auto"/>
              <w:left w:val="single" w:sz="4" w:space="0" w:color="auto"/>
              <w:bottom w:val="nil"/>
              <w:right w:val="single" w:sz="4" w:space="0" w:color="auto"/>
            </w:tcBorders>
            <w:shd w:val="clear" w:color="auto" w:fill="auto"/>
            <w:noWrap/>
            <w:vAlign w:val="bottom"/>
            <w:hideMark/>
          </w:tcPr>
          <w:p w14:paraId="00297982"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Resultado neto por medición de instrumentos financieros a valor razonable con cambios en resultados </w:t>
            </w:r>
          </w:p>
        </w:tc>
        <w:tc>
          <w:tcPr>
            <w:tcW w:w="1475" w:type="dxa"/>
            <w:tcBorders>
              <w:top w:val="single" w:sz="4" w:space="0" w:color="auto"/>
              <w:left w:val="single" w:sz="4" w:space="0" w:color="auto"/>
              <w:bottom w:val="nil"/>
              <w:right w:val="single" w:sz="4" w:space="0" w:color="auto"/>
            </w:tcBorders>
            <w:shd w:val="clear" w:color="auto" w:fill="auto"/>
            <w:noWrap/>
            <w:vAlign w:val="center"/>
          </w:tcPr>
          <w:p w14:paraId="522732E9" w14:textId="78976B08"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563" w:type="dxa"/>
            <w:tcBorders>
              <w:top w:val="single" w:sz="4" w:space="0" w:color="auto"/>
              <w:left w:val="single" w:sz="4" w:space="0" w:color="auto"/>
              <w:bottom w:val="nil"/>
              <w:right w:val="single" w:sz="4" w:space="0" w:color="auto"/>
            </w:tcBorders>
            <w:shd w:val="clear" w:color="auto" w:fill="auto"/>
            <w:noWrap/>
            <w:vAlign w:val="center"/>
          </w:tcPr>
          <w:p w14:paraId="44D907D0" w14:textId="63F21C5F"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72" w:type="dxa"/>
            <w:tcBorders>
              <w:top w:val="single" w:sz="4" w:space="0" w:color="auto"/>
              <w:left w:val="single" w:sz="4" w:space="0" w:color="auto"/>
              <w:bottom w:val="nil"/>
              <w:right w:val="single" w:sz="4" w:space="0" w:color="auto"/>
            </w:tcBorders>
            <w:shd w:val="clear" w:color="auto" w:fill="auto"/>
            <w:noWrap/>
            <w:vAlign w:val="center"/>
          </w:tcPr>
          <w:p w14:paraId="550D7F64" w14:textId="5A375C20"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15.920.233 </w:t>
            </w:r>
          </w:p>
        </w:tc>
        <w:tc>
          <w:tcPr>
            <w:tcW w:w="1143" w:type="dxa"/>
            <w:tcBorders>
              <w:top w:val="single" w:sz="4" w:space="0" w:color="auto"/>
              <w:left w:val="single" w:sz="4" w:space="0" w:color="auto"/>
              <w:bottom w:val="nil"/>
              <w:right w:val="single" w:sz="4" w:space="0" w:color="auto"/>
            </w:tcBorders>
            <w:shd w:val="clear" w:color="auto" w:fill="auto"/>
            <w:noWrap/>
            <w:vAlign w:val="center"/>
          </w:tcPr>
          <w:p w14:paraId="01DD0E73" w14:textId="18D61BE2"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single" w:sz="4" w:space="0" w:color="auto"/>
              <w:left w:val="single" w:sz="4" w:space="0" w:color="auto"/>
              <w:bottom w:val="nil"/>
              <w:right w:val="single" w:sz="4" w:space="0" w:color="auto"/>
            </w:tcBorders>
            <w:shd w:val="clear" w:color="auto" w:fill="auto"/>
            <w:noWrap/>
            <w:vAlign w:val="center"/>
          </w:tcPr>
          <w:p w14:paraId="18801391" w14:textId="68F861ED"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15.920.233 </w:t>
            </w:r>
          </w:p>
        </w:tc>
      </w:tr>
      <w:tr w:rsidR="001F6307" w:rsidRPr="00701F32" w14:paraId="54C7CD1B" w14:textId="77777777" w:rsidTr="006E1AF7">
        <w:trPr>
          <w:trHeight w:val="269"/>
          <w:jc w:val="center"/>
        </w:trPr>
        <w:tc>
          <w:tcPr>
            <w:tcW w:w="3704" w:type="dxa"/>
            <w:tcBorders>
              <w:top w:val="nil"/>
              <w:left w:val="single" w:sz="4" w:space="0" w:color="auto"/>
              <w:bottom w:val="nil"/>
              <w:right w:val="single" w:sz="4" w:space="0" w:color="auto"/>
            </w:tcBorders>
            <w:shd w:val="clear" w:color="auto" w:fill="auto"/>
            <w:noWrap/>
            <w:vAlign w:val="bottom"/>
            <w:hideMark/>
          </w:tcPr>
          <w:p w14:paraId="0D41C208"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Diferencia de cotización de oro y moneda extranjera </w:t>
            </w:r>
          </w:p>
        </w:tc>
        <w:tc>
          <w:tcPr>
            <w:tcW w:w="1475" w:type="dxa"/>
            <w:tcBorders>
              <w:top w:val="nil"/>
              <w:left w:val="single" w:sz="4" w:space="0" w:color="auto"/>
              <w:bottom w:val="nil"/>
              <w:right w:val="single" w:sz="4" w:space="0" w:color="auto"/>
            </w:tcBorders>
            <w:shd w:val="clear" w:color="auto" w:fill="auto"/>
            <w:noWrap/>
            <w:vAlign w:val="center"/>
          </w:tcPr>
          <w:p w14:paraId="2EBD6CE5" w14:textId="1BD19D1D"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123.507 </w:t>
            </w:r>
          </w:p>
        </w:tc>
        <w:tc>
          <w:tcPr>
            <w:tcW w:w="1563" w:type="dxa"/>
            <w:tcBorders>
              <w:top w:val="nil"/>
              <w:left w:val="single" w:sz="4" w:space="0" w:color="auto"/>
              <w:bottom w:val="nil"/>
              <w:right w:val="single" w:sz="4" w:space="0" w:color="auto"/>
            </w:tcBorders>
            <w:shd w:val="clear" w:color="auto" w:fill="auto"/>
            <w:noWrap/>
            <w:vAlign w:val="center"/>
          </w:tcPr>
          <w:p w14:paraId="34076BAD" w14:textId="5385171C"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1.140.297 </w:t>
            </w:r>
          </w:p>
        </w:tc>
        <w:tc>
          <w:tcPr>
            <w:tcW w:w="1272" w:type="dxa"/>
            <w:tcBorders>
              <w:top w:val="nil"/>
              <w:left w:val="single" w:sz="4" w:space="0" w:color="auto"/>
              <w:bottom w:val="nil"/>
              <w:right w:val="single" w:sz="4" w:space="0" w:color="auto"/>
            </w:tcBorders>
            <w:shd w:val="clear" w:color="auto" w:fill="auto"/>
            <w:noWrap/>
            <w:vAlign w:val="center"/>
          </w:tcPr>
          <w:p w14:paraId="1BBAA790" w14:textId="33D46224"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-1.482.135 </w:t>
            </w:r>
          </w:p>
        </w:tc>
        <w:tc>
          <w:tcPr>
            <w:tcW w:w="1143" w:type="dxa"/>
            <w:tcBorders>
              <w:top w:val="nil"/>
              <w:left w:val="single" w:sz="4" w:space="0" w:color="auto"/>
              <w:bottom w:val="nil"/>
              <w:right w:val="single" w:sz="4" w:space="0" w:color="auto"/>
            </w:tcBorders>
            <w:shd w:val="clear" w:color="auto" w:fill="auto"/>
            <w:noWrap/>
            <w:vAlign w:val="center"/>
          </w:tcPr>
          <w:p w14:paraId="62BAFF60" w14:textId="75C5D82A"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nil"/>
              <w:left w:val="single" w:sz="4" w:space="0" w:color="auto"/>
              <w:bottom w:val="nil"/>
              <w:right w:val="single" w:sz="4" w:space="0" w:color="auto"/>
            </w:tcBorders>
            <w:shd w:val="clear" w:color="auto" w:fill="auto"/>
            <w:noWrap/>
            <w:vAlign w:val="center"/>
          </w:tcPr>
          <w:p w14:paraId="3AE3EB54" w14:textId="4202C256"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-218.331 </w:t>
            </w:r>
          </w:p>
        </w:tc>
      </w:tr>
      <w:tr w:rsidR="001F6307" w:rsidRPr="00701F32" w14:paraId="7293A195" w14:textId="77777777" w:rsidTr="006E1AF7">
        <w:trPr>
          <w:trHeight w:val="269"/>
          <w:jc w:val="center"/>
        </w:trPr>
        <w:tc>
          <w:tcPr>
            <w:tcW w:w="3704" w:type="dxa"/>
            <w:tcBorders>
              <w:top w:val="nil"/>
              <w:left w:val="single" w:sz="4" w:space="0" w:color="auto"/>
              <w:bottom w:val="nil"/>
              <w:right w:val="single" w:sz="4" w:space="0" w:color="auto"/>
            </w:tcBorders>
            <w:shd w:val="clear" w:color="auto" w:fill="auto"/>
            <w:noWrap/>
            <w:vAlign w:val="bottom"/>
            <w:hideMark/>
          </w:tcPr>
          <w:p w14:paraId="10146B9D"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Otros ingresos operativos </w:t>
            </w:r>
          </w:p>
        </w:tc>
        <w:tc>
          <w:tcPr>
            <w:tcW w:w="1475" w:type="dxa"/>
            <w:tcBorders>
              <w:top w:val="nil"/>
              <w:left w:val="single" w:sz="4" w:space="0" w:color="auto"/>
              <w:bottom w:val="nil"/>
              <w:right w:val="single" w:sz="4" w:space="0" w:color="auto"/>
            </w:tcBorders>
            <w:shd w:val="clear" w:color="auto" w:fill="auto"/>
            <w:noWrap/>
            <w:vAlign w:val="center"/>
          </w:tcPr>
          <w:p w14:paraId="7A71219A" w14:textId="7EE6397A"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741.378 </w:t>
            </w:r>
          </w:p>
        </w:tc>
        <w:tc>
          <w:tcPr>
            <w:tcW w:w="1563" w:type="dxa"/>
            <w:tcBorders>
              <w:top w:val="nil"/>
              <w:left w:val="single" w:sz="4" w:space="0" w:color="auto"/>
              <w:bottom w:val="nil"/>
              <w:right w:val="single" w:sz="4" w:space="0" w:color="auto"/>
            </w:tcBorders>
            <w:shd w:val="clear" w:color="auto" w:fill="auto"/>
            <w:noWrap/>
            <w:vAlign w:val="center"/>
          </w:tcPr>
          <w:p w14:paraId="6122FA4B" w14:textId="6137EE29"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1.131.037 </w:t>
            </w:r>
          </w:p>
        </w:tc>
        <w:tc>
          <w:tcPr>
            <w:tcW w:w="1272" w:type="dxa"/>
            <w:tcBorders>
              <w:top w:val="nil"/>
              <w:left w:val="single" w:sz="4" w:space="0" w:color="auto"/>
              <w:bottom w:val="nil"/>
              <w:right w:val="single" w:sz="4" w:space="0" w:color="auto"/>
            </w:tcBorders>
            <w:shd w:val="clear" w:color="auto" w:fill="auto"/>
            <w:noWrap/>
            <w:vAlign w:val="center"/>
          </w:tcPr>
          <w:p w14:paraId="15E8F813" w14:textId="39B88A04"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346.194 </w:t>
            </w:r>
          </w:p>
        </w:tc>
        <w:tc>
          <w:tcPr>
            <w:tcW w:w="1143" w:type="dxa"/>
            <w:tcBorders>
              <w:top w:val="nil"/>
              <w:left w:val="single" w:sz="4" w:space="0" w:color="auto"/>
              <w:bottom w:val="nil"/>
              <w:right w:val="single" w:sz="4" w:space="0" w:color="auto"/>
            </w:tcBorders>
            <w:shd w:val="clear" w:color="auto" w:fill="auto"/>
            <w:noWrap/>
            <w:vAlign w:val="center"/>
          </w:tcPr>
          <w:p w14:paraId="2581A8CD" w14:textId="77937D3D"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nil"/>
              <w:left w:val="single" w:sz="4" w:space="0" w:color="auto"/>
              <w:bottom w:val="nil"/>
              <w:right w:val="single" w:sz="4" w:space="0" w:color="auto"/>
            </w:tcBorders>
            <w:shd w:val="clear" w:color="auto" w:fill="auto"/>
            <w:noWrap/>
            <w:vAlign w:val="center"/>
          </w:tcPr>
          <w:p w14:paraId="7A358747" w14:textId="7038796E"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2.218.609 </w:t>
            </w:r>
          </w:p>
        </w:tc>
      </w:tr>
      <w:tr w:rsidR="001F6307" w:rsidRPr="00701F32" w14:paraId="75FE9311" w14:textId="77777777" w:rsidTr="006E1AF7">
        <w:trPr>
          <w:trHeight w:val="269"/>
          <w:jc w:val="center"/>
        </w:trPr>
        <w:tc>
          <w:tcPr>
            <w:tcW w:w="3704" w:type="dxa"/>
            <w:tcBorders>
              <w:top w:val="nil"/>
              <w:left w:val="single" w:sz="4" w:space="0" w:color="auto"/>
              <w:bottom w:val="single" w:sz="4" w:space="0" w:color="auto"/>
              <w:right w:val="single" w:sz="4" w:space="0" w:color="auto"/>
            </w:tcBorders>
            <w:shd w:val="clear" w:color="auto" w:fill="auto"/>
            <w:noWrap/>
            <w:vAlign w:val="bottom"/>
            <w:hideMark/>
          </w:tcPr>
          <w:p w14:paraId="24AAB576"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Cargo por incobrabilidad </w:t>
            </w:r>
          </w:p>
        </w:tc>
        <w:tc>
          <w:tcPr>
            <w:tcW w:w="1475" w:type="dxa"/>
            <w:tcBorders>
              <w:top w:val="nil"/>
              <w:left w:val="single" w:sz="4" w:space="0" w:color="auto"/>
              <w:bottom w:val="single" w:sz="4" w:space="0" w:color="auto"/>
              <w:right w:val="single" w:sz="4" w:space="0" w:color="auto"/>
            </w:tcBorders>
            <w:shd w:val="clear" w:color="auto" w:fill="auto"/>
            <w:noWrap/>
            <w:vAlign w:val="center"/>
          </w:tcPr>
          <w:p w14:paraId="44002BBC" w14:textId="18A9DF89"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2.876.211 </w:t>
            </w:r>
          </w:p>
        </w:tc>
        <w:tc>
          <w:tcPr>
            <w:tcW w:w="1563" w:type="dxa"/>
            <w:tcBorders>
              <w:top w:val="nil"/>
              <w:left w:val="single" w:sz="4" w:space="0" w:color="auto"/>
              <w:bottom w:val="single" w:sz="4" w:space="0" w:color="auto"/>
              <w:right w:val="single" w:sz="4" w:space="0" w:color="auto"/>
            </w:tcBorders>
            <w:shd w:val="clear" w:color="auto" w:fill="auto"/>
            <w:noWrap/>
            <w:vAlign w:val="center"/>
          </w:tcPr>
          <w:p w14:paraId="559AAA28" w14:textId="47F1564C" w:rsidR="001F6307" w:rsidRPr="001F6307" w:rsidRDefault="005E40DB">
            <w:pPr>
              <w:jc w:val="right"/>
              <w:rPr>
                <w:rFonts w:ascii="Arial" w:hAnsi="Arial" w:cs="Arial"/>
                <w:sz w:val="16"/>
                <w:szCs w:val="16"/>
              </w:rPr>
            </w:pPr>
            <w:r>
              <w:rPr>
                <w:rFonts w:ascii="Arial" w:hAnsi="Arial" w:cs="Arial"/>
                <w:color w:val="000000"/>
                <w:sz w:val="16"/>
                <w:szCs w:val="16"/>
              </w:rPr>
              <w:t>-</w:t>
            </w:r>
            <w:r w:rsidR="001F6307" w:rsidRPr="006E1AF7">
              <w:rPr>
                <w:rFonts w:ascii="Arial" w:hAnsi="Arial" w:cs="Arial"/>
                <w:color w:val="000000"/>
                <w:sz w:val="16"/>
                <w:szCs w:val="16"/>
              </w:rPr>
              <w:t xml:space="preserve">2.338.894 </w:t>
            </w:r>
          </w:p>
        </w:tc>
        <w:tc>
          <w:tcPr>
            <w:tcW w:w="1272" w:type="dxa"/>
            <w:tcBorders>
              <w:top w:val="nil"/>
              <w:left w:val="single" w:sz="4" w:space="0" w:color="auto"/>
              <w:bottom w:val="single" w:sz="4" w:space="0" w:color="auto"/>
              <w:right w:val="single" w:sz="4" w:space="0" w:color="auto"/>
            </w:tcBorders>
            <w:shd w:val="clear" w:color="auto" w:fill="auto"/>
            <w:noWrap/>
            <w:vAlign w:val="center"/>
          </w:tcPr>
          <w:p w14:paraId="297E98B9" w14:textId="6C54AB81"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19.762 </w:t>
            </w:r>
          </w:p>
        </w:tc>
        <w:tc>
          <w:tcPr>
            <w:tcW w:w="1143" w:type="dxa"/>
            <w:tcBorders>
              <w:top w:val="nil"/>
              <w:left w:val="single" w:sz="4" w:space="0" w:color="auto"/>
              <w:bottom w:val="single" w:sz="4" w:space="0" w:color="auto"/>
              <w:right w:val="single" w:sz="4" w:space="0" w:color="auto"/>
            </w:tcBorders>
            <w:shd w:val="clear" w:color="auto" w:fill="auto"/>
            <w:noWrap/>
            <w:vAlign w:val="center"/>
          </w:tcPr>
          <w:p w14:paraId="78B5C307" w14:textId="1FF31491"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nil"/>
              <w:left w:val="single" w:sz="4" w:space="0" w:color="auto"/>
              <w:bottom w:val="single" w:sz="4" w:space="0" w:color="auto"/>
              <w:right w:val="single" w:sz="4" w:space="0" w:color="auto"/>
            </w:tcBorders>
            <w:shd w:val="clear" w:color="auto" w:fill="auto"/>
            <w:noWrap/>
            <w:vAlign w:val="center"/>
          </w:tcPr>
          <w:p w14:paraId="7007CADE" w14:textId="10887F0C"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5.195.343 </w:t>
            </w:r>
          </w:p>
        </w:tc>
      </w:tr>
      <w:tr w:rsidR="001F6307" w:rsidRPr="00701F32" w14:paraId="0E12CF16" w14:textId="77777777" w:rsidTr="006E1AF7">
        <w:trPr>
          <w:trHeight w:val="188"/>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CED16" w14:textId="77777777" w:rsidR="001F6307" w:rsidRPr="008317D7" w:rsidRDefault="001F6307" w:rsidP="001F6307">
            <w:pPr>
              <w:rPr>
                <w:rFonts w:ascii="Arial" w:hAnsi="Arial" w:cs="Arial"/>
                <w:b/>
                <w:bCs/>
                <w:sz w:val="16"/>
                <w:szCs w:val="16"/>
                <w:lang w:eastAsia="es-AR"/>
              </w:rPr>
            </w:pPr>
            <w:r w:rsidRPr="008317D7">
              <w:rPr>
                <w:rFonts w:ascii="Arial" w:hAnsi="Arial" w:cs="Arial"/>
                <w:b/>
                <w:bCs/>
                <w:sz w:val="16"/>
                <w:szCs w:val="16"/>
                <w:lang w:eastAsia="es-AR"/>
              </w:rPr>
              <w:t xml:space="preserve"> Ingreso operativo neto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02CDA" w14:textId="0CFCD785"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3.252.433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56216" w14:textId="5AE4CE8D"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16.758.178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0DD5B" w14:textId="16D4CAC5"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3.340.923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8C41A" w14:textId="7C73AF58"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7DD54" w14:textId="7D1AC39E"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23.351.534 </w:t>
            </w:r>
          </w:p>
        </w:tc>
      </w:tr>
      <w:tr w:rsidR="001F6307" w:rsidRPr="00701F32" w14:paraId="057288D3" w14:textId="77777777" w:rsidTr="006E1AF7">
        <w:trPr>
          <w:trHeight w:val="269"/>
          <w:jc w:val="center"/>
        </w:trPr>
        <w:tc>
          <w:tcPr>
            <w:tcW w:w="3704" w:type="dxa"/>
            <w:tcBorders>
              <w:top w:val="single" w:sz="4" w:space="0" w:color="auto"/>
              <w:left w:val="single" w:sz="4" w:space="0" w:color="auto"/>
              <w:bottom w:val="nil"/>
              <w:right w:val="single" w:sz="4" w:space="0" w:color="auto"/>
            </w:tcBorders>
            <w:shd w:val="clear" w:color="auto" w:fill="auto"/>
            <w:noWrap/>
            <w:vAlign w:val="bottom"/>
            <w:hideMark/>
          </w:tcPr>
          <w:p w14:paraId="029F443B"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Beneficios al personal </w:t>
            </w:r>
          </w:p>
        </w:tc>
        <w:tc>
          <w:tcPr>
            <w:tcW w:w="1475" w:type="dxa"/>
            <w:tcBorders>
              <w:top w:val="single" w:sz="4" w:space="0" w:color="auto"/>
              <w:left w:val="single" w:sz="4" w:space="0" w:color="auto"/>
              <w:bottom w:val="nil"/>
              <w:right w:val="single" w:sz="4" w:space="0" w:color="auto"/>
            </w:tcBorders>
            <w:shd w:val="clear" w:color="auto" w:fill="auto"/>
            <w:noWrap/>
            <w:vAlign w:val="center"/>
          </w:tcPr>
          <w:p w14:paraId="3309389E" w14:textId="1943EE0C"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1.512.263 </w:t>
            </w:r>
          </w:p>
        </w:tc>
        <w:tc>
          <w:tcPr>
            <w:tcW w:w="1563" w:type="dxa"/>
            <w:tcBorders>
              <w:top w:val="single" w:sz="4" w:space="0" w:color="auto"/>
              <w:left w:val="single" w:sz="4" w:space="0" w:color="auto"/>
              <w:bottom w:val="nil"/>
              <w:right w:val="single" w:sz="4" w:space="0" w:color="auto"/>
            </w:tcBorders>
            <w:shd w:val="clear" w:color="auto" w:fill="auto"/>
            <w:noWrap/>
            <w:vAlign w:val="center"/>
          </w:tcPr>
          <w:p w14:paraId="03CDCD30" w14:textId="420CCE45"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8.083.588 </w:t>
            </w:r>
          </w:p>
        </w:tc>
        <w:tc>
          <w:tcPr>
            <w:tcW w:w="1272" w:type="dxa"/>
            <w:tcBorders>
              <w:top w:val="single" w:sz="4" w:space="0" w:color="auto"/>
              <w:left w:val="single" w:sz="4" w:space="0" w:color="auto"/>
              <w:bottom w:val="nil"/>
              <w:right w:val="single" w:sz="4" w:space="0" w:color="auto"/>
            </w:tcBorders>
            <w:shd w:val="clear" w:color="auto" w:fill="auto"/>
            <w:noWrap/>
            <w:vAlign w:val="center"/>
          </w:tcPr>
          <w:p w14:paraId="09454F02" w14:textId="0052064F"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538.300 </w:t>
            </w:r>
          </w:p>
        </w:tc>
        <w:tc>
          <w:tcPr>
            <w:tcW w:w="1143" w:type="dxa"/>
            <w:tcBorders>
              <w:top w:val="single" w:sz="4" w:space="0" w:color="auto"/>
              <w:left w:val="single" w:sz="4" w:space="0" w:color="auto"/>
              <w:bottom w:val="nil"/>
              <w:right w:val="single" w:sz="4" w:space="0" w:color="auto"/>
            </w:tcBorders>
            <w:shd w:val="clear" w:color="auto" w:fill="auto"/>
            <w:noWrap/>
            <w:vAlign w:val="center"/>
          </w:tcPr>
          <w:p w14:paraId="42F4A56A" w14:textId="3C8C1FED"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single" w:sz="4" w:space="0" w:color="auto"/>
              <w:left w:val="single" w:sz="4" w:space="0" w:color="auto"/>
              <w:bottom w:val="nil"/>
              <w:right w:val="single" w:sz="4" w:space="0" w:color="auto"/>
            </w:tcBorders>
            <w:shd w:val="clear" w:color="auto" w:fill="auto"/>
            <w:noWrap/>
            <w:vAlign w:val="center"/>
          </w:tcPr>
          <w:p w14:paraId="3E7ABB5C" w14:textId="6CF075F9"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10.134.151 </w:t>
            </w:r>
          </w:p>
        </w:tc>
      </w:tr>
      <w:tr w:rsidR="001F6307" w:rsidRPr="00701F32" w14:paraId="1241BD98" w14:textId="77777777" w:rsidTr="006E1AF7">
        <w:trPr>
          <w:trHeight w:val="94"/>
          <w:jc w:val="center"/>
        </w:trPr>
        <w:tc>
          <w:tcPr>
            <w:tcW w:w="3704" w:type="dxa"/>
            <w:tcBorders>
              <w:top w:val="nil"/>
              <w:left w:val="single" w:sz="4" w:space="0" w:color="auto"/>
              <w:bottom w:val="nil"/>
              <w:right w:val="single" w:sz="4" w:space="0" w:color="auto"/>
            </w:tcBorders>
            <w:shd w:val="clear" w:color="auto" w:fill="auto"/>
            <w:noWrap/>
            <w:vAlign w:val="bottom"/>
            <w:hideMark/>
          </w:tcPr>
          <w:p w14:paraId="15F7B64F"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Gastos de administración </w:t>
            </w:r>
          </w:p>
        </w:tc>
        <w:tc>
          <w:tcPr>
            <w:tcW w:w="1475" w:type="dxa"/>
            <w:tcBorders>
              <w:top w:val="nil"/>
              <w:left w:val="single" w:sz="4" w:space="0" w:color="auto"/>
              <w:bottom w:val="nil"/>
              <w:right w:val="single" w:sz="4" w:space="0" w:color="auto"/>
            </w:tcBorders>
            <w:shd w:val="clear" w:color="auto" w:fill="auto"/>
            <w:noWrap/>
            <w:vAlign w:val="center"/>
          </w:tcPr>
          <w:p w14:paraId="5B19BC41" w14:textId="5E0FF96E"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541.932 </w:t>
            </w:r>
          </w:p>
        </w:tc>
        <w:tc>
          <w:tcPr>
            <w:tcW w:w="1563" w:type="dxa"/>
            <w:tcBorders>
              <w:top w:val="nil"/>
              <w:left w:val="single" w:sz="4" w:space="0" w:color="auto"/>
              <w:bottom w:val="nil"/>
              <w:right w:val="single" w:sz="4" w:space="0" w:color="auto"/>
            </w:tcBorders>
            <w:shd w:val="clear" w:color="auto" w:fill="auto"/>
            <w:noWrap/>
            <w:vAlign w:val="center"/>
          </w:tcPr>
          <w:p w14:paraId="0557F55D" w14:textId="2B4C3FA2"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4.012.290 </w:t>
            </w:r>
          </w:p>
        </w:tc>
        <w:tc>
          <w:tcPr>
            <w:tcW w:w="1272" w:type="dxa"/>
            <w:tcBorders>
              <w:top w:val="nil"/>
              <w:left w:val="single" w:sz="4" w:space="0" w:color="auto"/>
              <w:bottom w:val="nil"/>
              <w:right w:val="single" w:sz="4" w:space="0" w:color="auto"/>
            </w:tcBorders>
            <w:shd w:val="clear" w:color="auto" w:fill="auto"/>
            <w:noWrap/>
            <w:vAlign w:val="center"/>
          </w:tcPr>
          <w:p w14:paraId="1A6CABE8" w14:textId="65C8C4FC"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255.136 </w:t>
            </w:r>
          </w:p>
        </w:tc>
        <w:tc>
          <w:tcPr>
            <w:tcW w:w="1143" w:type="dxa"/>
            <w:tcBorders>
              <w:top w:val="nil"/>
              <w:left w:val="single" w:sz="4" w:space="0" w:color="auto"/>
              <w:bottom w:val="nil"/>
              <w:right w:val="single" w:sz="4" w:space="0" w:color="auto"/>
            </w:tcBorders>
            <w:shd w:val="clear" w:color="auto" w:fill="auto"/>
            <w:noWrap/>
            <w:vAlign w:val="center"/>
          </w:tcPr>
          <w:p w14:paraId="560BA2D2" w14:textId="72891EBB"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nil"/>
              <w:left w:val="single" w:sz="4" w:space="0" w:color="auto"/>
              <w:bottom w:val="nil"/>
              <w:right w:val="single" w:sz="4" w:space="0" w:color="auto"/>
            </w:tcBorders>
            <w:shd w:val="clear" w:color="auto" w:fill="auto"/>
            <w:noWrap/>
            <w:vAlign w:val="center"/>
          </w:tcPr>
          <w:p w14:paraId="17722D54" w14:textId="70905A98"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4.809.358 </w:t>
            </w:r>
          </w:p>
        </w:tc>
      </w:tr>
      <w:tr w:rsidR="001F6307" w:rsidRPr="00701F32" w14:paraId="5E5BB9F1" w14:textId="77777777" w:rsidTr="006E1AF7">
        <w:trPr>
          <w:trHeight w:val="225"/>
          <w:jc w:val="center"/>
        </w:trPr>
        <w:tc>
          <w:tcPr>
            <w:tcW w:w="3704" w:type="dxa"/>
            <w:tcBorders>
              <w:top w:val="nil"/>
              <w:left w:val="single" w:sz="4" w:space="0" w:color="auto"/>
              <w:bottom w:val="nil"/>
              <w:right w:val="single" w:sz="4" w:space="0" w:color="auto"/>
            </w:tcBorders>
            <w:shd w:val="clear" w:color="auto" w:fill="auto"/>
            <w:noWrap/>
            <w:vAlign w:val="bottom"/>
            <w:hideMark/>
          </w:tcPr>
          <w:p w14:paraId="7F132E08"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Depreciaciones y desvalorizaciones de bienes </w:t>
            </w:r>
          </w:p>
        </w:tc>
        <w:tc>
          <w:tcPr>
            <w:tcW w:w="1475" w:type="dxa"/>
            <w:tcBorders>
              <w:top w:val="nil"/>
              <w:left w:val="single" w:sz="4" w:space="0" w:color="auto"/>
              <w:bottom w:val="nil"/>
              <w:right w:val="single" w:sz="4" w:space="0" w:color="auto"/>
            </w:tcBorders>
            <w:shd w:val="clear" w:color="auto" w:fill="auto"/>
            <w:noWrap/>
            <w:vAlign w:val="center"/>
          </w:tcPr>
          <w:p w14:paraId="1DD9E37E" w14:textId="25E0DE35"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131.871 </w:t>
            </w:r>
          </w:p>
        </w:tc>
        <w:tc>
          <w:tcPr>
            <w:tcW w:w="1563" w:type="dxa"/>
            <w:tcBorders>
              <w:top w:val="nil"/>
              <w:left w:val="single" w:sz="4" w:space="0" w:color="auto"/>
              <w:bottom w:val="nil"/>
              <w:right w:val="single" w:sz="4" w:space="0" w:color="auto"/>
            </w:tcBorders>
            <w:shd w:val="clear" w:color="auto" w:fill="auto"/>
            <w:noWrap/>
            <w:vAlign w:val="center"/>
          </w:tcPr>
          <w:p w14:paraId="4AF9128B" w14:textId="4B2D7E1F"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649.328 </w:t>
            </w:r>
          </w:p>
        </w:tc>
        <w:tc>
          <w:tcPr>
            <w:tcW w:w="1272" w:type="dxa"/>
            <w:tcBorders>
              <w:top w:val="nil"/>
              <w:left w:val="single" w:sz="4" w:space="0" w:color="auto"/>
              <w:bottom w:val="nil"/>
              <w:right w:val="single" w:sz="4" w:space="0" w:color="auto"/>
            </w:tcBorders>
            <w:shd w:val="clear" w:color="auto" w:fill="auto"/>
            <w:noWrap/>
            <w:vAlign w:val="center"/>
          </w:tcPr>
          <w:p w14:paraId="50493A0F" w14:textId="6239F1E8"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35.447 </w:t>
            </w:r>
          </w:p>
        </w:tc>
        <w:tc>
          <w:tcPr>
            <w:tcW w:w="1143" w:type="dxa"/>
            <w:tcBorders>
              <w:top w:val="nil"/>
              <w:left w:val="single" w:sz="4" w:space="0" w:color="auto"/>
              <w:bottom w:val="nil"/>
              <w:right w:val="single" w:sz="4" w:space="0" w:color="auto"/>
            </w:tcBorders>
            <w:shd w:val="clear" w:color="auto" w:fill="auto"/>
            <w:noWrap/>
            <w:vAlign w:val="center"/>
          </w:tcPr>
          <w:p w14:paraId="244529F1" w14:textId="4FD64F5C"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nil"/>
              <w:left w:val="single" w:sz="4" w:space="0" w:color="auto"/>
              <w:bottom w:val="nil"/>
              <w:right w:val="single" w:sz="4" w:space="0" w:color="auto"/>
            </w:tcBorders>
            <w:shd w:val="clear" w:color="auto" w:fill="auto"/>
            <w:noWrap/>
            <w:vAlign w:val="center"/>
          </w:tcPr>
          <w:p w14:paraId="0C66C9E3" w14:textId="71AC0D8A"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816.646 </w:t>
            </w:r>
          </w:p>
        </w:tc>
      </w:tr>
      <w:tr w:rsidR="001F6307" w:rsidRPr="00701F32" w14:paraId="4472DE9F" w14:textId="77777777" w:rsidTr="006E1AF7">
        <w:trPr>
          <w:trHeight w:val="269"/>
          <w:jc w:val="center"/>
        </w:trPr>
        <w:tc>
          <w:tcPr>
            <w:tcW w:w="3704" w:type="dxa"/>
            <w:tcBorders>
              <w:top w:val="nil"/>
              <w:left w:val="single" w:sz="4" w:space="0" w:color="auto"/>
              <w:bottom w:val="single" w:sz="4" w:space="0" w:color="auto"/>
              <w:right w:val="single" w:sz="4" w:space="0" w:color="auto"/>
            </w:tcBorders>
            <w:shd w:val="clear" w:color="auto" w:fill="auto"/>
            <w:noWrap/>
            <w:vAlign w:val="bottom"/>
            <w:hideMark/>
          </w:tcPr>
          <w:p w14:paraId="7FF94064"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Otros gastos operativos </w:t>
            </w:r>
          </w:p>
        </w:tc>
        <w:tc>
          <w:tcPr>
            <w:tcW w:w="1475" w:type="dxa"/>
            <w:tcBorders>
              <w:top w:val="nil"/>
              <w:left w:val="single" w:sz="4" w:space="0" w:color="auto"/>
              <w:bottom w:val="single" w:sz="4" w:space="0" w:color="auto"/>
              <w:right w:val="single" w:sz="4" w:space="0" w:color="auto"/>
            </w:tcBorders>
            <w:shd w:val="clear" w:color="auto" w:fill="auto"/>
            <w:noWrap/>
            <w:vAlign w:val="center"/>
          </w:tcPr>
          <w:p w14:paraId="18284779" w14:textId="3EB96AA6"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1.387.417 </w:t>
            </w:r>
          </w:p>
        </w:tc>
        <w:tc>
          <w:tcPr>
            <w:tcW w:w="1563" w:type="dxa"/>
            <w:tcBorders>
              <w:top w:val="nil"/>
              <w:left w:val="single" w:sz="4" w:space="0" w:color="auto"/>
              <w:bottom w:val="single" w:sz="4" w:space="0" w:color="auto"/>
              <w:right w:val="single" w:sz="4" w:space="0" w:color="auto"/>
            </w:tcBorders>
            <w:shd w:val="clear" w:color="auto" w:fill="auto"/>
            <w:noWrap/>
            <w:vAlign w:val="center"/>
          </w:tcPr>
          <w:p w14:paraId="5C4AAC45" w14:textId="6A3D4283"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2.776.164 </w:t>
            </w:r>
          </w:p>
        </w:tc>
        <w:tc>
          <w:tcPr>
            <w:tcW w:w="1272" w:type="dxa"/>
            <w:tcBorders>
              <w:top w:val="nil"/>
              <w:left w:val="single" w:sz="4" w:space="0" w:color="auto"/>
              <w:bottom w:val="single" w:sz="4" w:space="0" w:color="auto"/>
              <w:right w:val="single" w:sz="4" w:space="0" w:color="auto"/>
            </w:tcBorders>
            <w:shd w:val="clear" w:color="auto" w:fill="auto"/>
            <w:noWrap/>
            <w:vAlign w:val="center"/>
          </w:tcPr>
          <w:p w14:paraId="37BFBF90" w14:textId="64022AE5"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417.031 </w:t>
            </w:r>
          </w:p>
        </w:tc>
        <w:tc>
          <w:tcPr>
            <w:tcW w:w="1143" w:type="dxa"/>
            <w:tcBorders>
              <w:top w:val="nil"/>
              <w:left w:val="single" w:sz="4" w:space="0" w:color="auto"/>
              <w:bottom w:val="single" w:sz="4" w:space="0" w:color="auto"/>
              <w:right w:val="single" w:sz="4" w:space="0" w:color="auto"/>
            </w:tcBorders>
            <w:shd w:val="clear" w:color="auto" w:fill="auto"/>
            <w:noWrap/>
            <w:vAlign w:val="center"/>
          </w:tcPr>
          <w:p w14:paraId="5224D1C0" w14:textId="269DA552"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nil"/>
              <w:left w:val="single" w:sz="4" w:space="0" w:color="auto"/>
              <w:bottom w:val="single" w:sz="4" w:space="0" w:color="auto"/>
              <w:right w:val="single" w:sz="4" w:space="0" w:color="auto"/>
            </w:tcBorders>
            <w:shd w:val="clear" w:color="auto" w:fill="auto"/>
            <w:noWrap/>
            <w:vAlign w:val="center"/>
          </w:tcPr>
          <w:p w14:paraId="698F95CE" w14:textId="42347652" w:rsidR="001F6307" w:rsidRPr="001F6307" w:rsidRDefault="005E40DB">
            <w:pPr>
              <w:jc w:val="right"/>
              <w:rPr>
                <w:rFonts w:ascii="Arial" w:hAnsi="Arial" w:cs="Arial"/>
                <w:sz w:val="16"/>
                <w:szCs w:val="16"/>
                <w:lang w:val="es-ES_tradnl"/>
              </w:rPr>
            </w:pPr>
            <w:r>
              <w:rPr>
                <w:rFonts w:ascii="Arial" w:hAnsi="Arial" w:cs="Arial"/>
                <w:color w:val="000000"/>
                <w:sz w:val="16"/>
                <w:szCs w:val="16"/>
              </w:rPr>
              <w:t>-</w:t>
            </w:r>
            <w:r w:rsidR="001F6307" w:rsidRPr="006E1AF7">
              <w:rPr>
                <w:rFonts w:ascii="Arial" w:hAnsi="Arial" w:cs="Arial"/>
                <w:color w:val="000000"/>
                <w:sz w:val="16"/>
                <w:szCs w:val="16"/>
              </w:rPr>
              <w:t xml:space="preserve">4.580.612 </w:t>
            </w:r>
          </w:p>
        </w:tc>
      </w:tr>
      <w:tr w:rsidR="001F6307" w:rsidRPr="00701F32" w14:paraId="4E130086" w14:textId="77777777" w:rsidTr="006E1AF7">
        <w:trPr>
          <w:trHeight w:val="194"/>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34AFD" w14:textId="77777777" w:rsidR="001F6307" w:rsidRPr="008317D7" w:rsidRDefault="001F6307" w:rsidP="001F6307">
            <w:pPr>
              <w:rPr>
                <w:rFonts w:ascii="Arial" w:hAnsi="Arial" w:cs="Arial"/>
                <w:b/>
                <w:bCs/>
                <w:sz w:val="16"/>
                <w:szCs w:val="16"/>
                <w:lang w:eastAsia="es-AR"/>
              </w:rPr>
            </w:pPr>
            <w:r w:rsidRPr="008317D7">
              <w:rPr>
                <w:rFonts w:ascii="Arial" w:hAnsi="Arial" w:cs="Arial"/>
                <w:b/>
                <w:bCs/>
                <w:sz w:val="16"/>
                <w:szCs w:val="16"/>
                <w:lang w:eastAsia="es-AR"/>
              </w:rPr>
              <w:t xml:space="preserve"> Resultado operativo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07B7E" w14:textId="7D555E90"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-321.050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E515D" w14:textId="4F19B964"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1.236.808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4264B" w14:textId="28EA0D91"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2.095.009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DC5FE" w14:textId="36173E28"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16455" w14:textId="34B84D23"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3.010.767 </w:t>
            </w:r>
          </w:p>
        </w:tc>
      </w:tr>
      <w:tr w:rsidR="001F6307" w:rsidRPr="00701F32" w14:paraId="1B4D7AC7" w14:textId="77777777" w:rsidTr="006E1AF7">
        <w:trPr>
          <w:trHeight w:val="183"/>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7E0E2" w14:textId="77777777" w:rsidR="001F6307" w:rsidRPr="008317D7" w:rsidRDefault="001F6307" w:rsidP="001F6307">
            <w:pPr>
              <w:rPr>
                <w:rFonts w:ascii="Arial" w:hAnsi="Arial" w:cs="Arial"/>
                <w:sz w:val="16"/>
                <w:szCs w:val="16"/>
                <w:lang w:eastAsia="es-AR"/>
              </w:rPr>
            </w:pPr>
            <w:r w:rsidRPr="008317D7">
              <w:rPr>
                <w:rFonts w:ascii="Arial" w:hAnsi="Arial" w:cs="Arial"/>
                <w:sz w:val="16"/>
                <w:szCs w:val="16"/>
                <w:lang w:eastAsia="es-AR"/>
              </w:rPr>
              <w:t xml:space="preserve"> Resultado por asociadas y negocios conjuntos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B0D87" w14:textId="1D7411EE"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2BC32" w14:textId="08E0A59D"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AC74B" w14:textId="2D3E3CD2"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C6F46" w14:textId="47B01463"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-234.419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5A0FB" w14:textId="490AFA79" w:rsidR="001F6307" w:rsidRPr="001F6307" w:rsidRDefault="001F6307">
            <w:pPr>
              <w:jc w:val="right"/>
              <w:rPr>
                <w:rFonts w:ascii="Arial" w:hAnsi="Arial" w:cs="Arial"/>
                <w:sz w:val="16"/>
                <w:szCs w:val="16"/>
                <w:lang w:val="es-ES_tradnl"/>
              </w:rPr>
            </w:pPr>
            <w:r w:rsidRPr="006E1AF7">
              <w:rPr>
                <w:rFonts w:ascii="Arial" w:hAnsi="Arial" w:cs="Arial"/>
                <w:color w:val="000000"/>
                <w:sz w:val="16"/>
                <w:szCs w:val="16"/>
              </w:rPr>
              <w:t xml:space="preserve">-234.419 </w:t>
            </w:r>
          </w:p>
        </w:tc>
      </w:tr>
      <w:tr w:rsidR="001F6307" w:rsidRPr="00701F32" w14:paraId="7B1F1316" w14:textId="77777777" w:rsidTr="006E1AF7">
        <w:trPr>
          <w:trHeight w:val="269"/>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BE39C" w14:textId="77777777" w:rsidR="001F6307" w:rsidRPr="008317D7" w:rsidRDefault="001F6307" w:rsidP="001F6307">
            <w:pPr>
              <w:rPr>
                <w:rFonts w:ascii="Arial" w:hAnsi="Arial" w:cs="Arial"/>
                <w:bCs/>
                <w:sz w:val="16"/>
                <w:szCs w:val="16"/>
                <w:lang w:eastAsia="es-AR"/>
              </w:rPr>
            </w:pPr>
            <w:r w:rsidRPr="008317D7">
              <w:rPr>
                <w:rFonts w:ascii="Arial" w:hAnsi="Arial" w:cs="Arial"/>
                <w:bCs/>
                <w:sz w:val="16"/>
                <w:szCs w:val="16"/>
                <w:lang w:eastAsia="es-AR"/>
              </w:rPr>
              <w:t xml:space="preserve"> Resultado antes de impuesto de las actividades que continúan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79DCD" w14:textId="4537CBFF"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-321.050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DC246" w14:textId="0899DFE4"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1.236.808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2DA8F" w14:textId="122ED0AC"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2.095.009 </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785B4" w14:textId="29081BB8"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-234.419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F1177E" w14:textId="371C3564" w:rsidR="001F6307" w:rsidRPr="001F6307" w:rsidRDefault="001F6307">
            <w:pPr>
              <w:jc w:val="right"/>
              <w:rPr>
                <w:rFonts w:ascii="Arial" w:hAnsi="Arial" w:cs="Arial"/>
                <w:b/>
                <w:sz w:val="16"/>
                <w:szCs w:val="16"/>
              </w:rPr>
            </w:pPr>
            <w:r w:rsidRPr="006E1AF7">
              <w:rPr>
                <w:rFonts w:ascii="Arial" w:hAnsi="Arial" w:cs="Arial"/>
                <w:b/>
                <w:bCs/>
                <w:color w:val="000000"/>
                <w:sz w:val="16"/>
                <w:szCs w:val="16"/>
              </w:rPr>
              <w:t xml:space="preserve">2.776.348 </w:t>
            </w:r>
          </w:p>
        </w:tc>
      </w:tr>
      <w:tr w:rsidR="0021180D" w:rsidRPr="00701F32" w14:paraId="4846E822" w14:textId="77777777" w:rsidTr="006E1AF7">
        <w:trPr>
          <w:trHeight w:val="269"/>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4C65C" w14:textId="44E98D8A" w:rsidR="0021180D" w:rsidRPr="008317D7" w:rsidRDefault="0021180D" w:rsidP="0021180D">
            <w:pPr>
              <w:rPr>
                <w:rFonts w:ascii="Arial" w:hAnsi="Arial" w:cs="Arial"/>
                <w:sz w:val="16"/>
                <w:szCs w:val="16"/>
                <w:lang w:eastAsia="es-AR"/>
              </w:rPr>
            </w:pPr>
            <w:r w:rsidRPr="008317D7">
              <w:rPr>
                <w:rFonts w:ascii="Arial" w:hAnsi="Arial" w:cs="Arial"/>
                <w:sz w:val="16"/>
                <w:szCs w:val="16"/>
                <w:lang w:eastAsia="es-AR"/>
              </w:rPr>
              <w:t xml:space="preserve"> Impuesto a las ganancias de las actividades que continúan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A7B14" w14:textId="0744665C" w:rsidR="0021180D" w:rsidRPr="001F6307" w:rsidRDefault="0021180D" w:rsidP="0021180D">
            <w:pPr>
              <w:jc w:val="right"/>
              <w:rPr>
                <w:rFonts w:ascii="Arial" w:hAnsi="Arial" w:cs="Arial"/>
                <w:sz w:val="16"/>
                <w:szCs w:val="16"/>
                <w:lang w:val="es-ES_tradnl"/>
              </w:rPr>
            </w:pPr>
            <w:r w:rsidRPr="006E1AF7">
              <w:rPr>
                <w:rFonts w:ascii="Arial" w:hAnsi="Arial" w:cs="Arial"/>
                <w:color w:val="000000"/>
                <w:sz w:val="16"/>
                <w:szCs w:val="16"/>
              </w:rPr>
              <w:t xml:space="preserve">28.130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0AF4B" w14:textId="66177983" w:rsidR="0021180D" w:rsidRPr="001F6307" w:rsidRDefault="0021180D" w:rsidP="0021180D">
            <w:pPr>
              <w:jc w:val="right"/>
              <w:rPr>
                <w:rFonts w:ascii="Arial" w:hAnsi="Arial" w:cs="Arial"/>
                <w:sz w:val="16"/>
                <w:szCs w:val="16"/>
                <w:lang w:val="es-ES_tradnl"/>
              </w:rPr>
            </w:pPr>
            <w:r w:rsidRPr="006E1AF7">
              <w:rPr>
                <w:rFonts w:ascii="Arial" w:hAnsi="Arial" w:cs="Arial"/>
                <w:color w:val="000000"/>
                <w:sz w:val="16"/>
                <w:szCs w:val="16"/>
              </w:rPr>
              <w:t xml:space="preserve">192.518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1A1FF" w14:textId="0FA672D4" w:rsidR="0021180D" w:rsidRPr="001F6307" w:rsidRDefault="0021180D" w:rsidP="0021180D">
            <w:pPr>
              <w:jc w:val="right"/>
              <w:rPr>
                <w:rFonts w:ascii="Arial" w:hAnsi="Arial" w:cs="Arial"/>
                <w:sz w:val="16"/>
                <w:szCs w:val="16"/>
                <w:lang w:val="es-ES_tradnl"/>
              </w:rPr>
            </w:pPr>
            <w:r>
              <w:rPr>
                <w:rFonts w:ascii="Arial" w:hAnsi="Arial" w:cs="Arial"/>
                <w:color w:val="000000"/>
                <w:sz w:val="16"/>
                <w:szCs w:val="16"/>
              </w:rPr>
              <w:t>323.420</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06DA2" w14:textId="02FDC694" w:rsidR="0021180D" w:rsidRPr="001F6307" w:rsidRDefault="0021180D" w:rsidP="0021180D">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AA9F4" w14:textId="7F8FF30C" w:rsidR="0021180D" w:rsidRPr="001F6307" w:rsidRDefault="0021180D" w:rsidP="0021180D">
            <w:pPr>
              <w:jc w:val="right"/>
              <w:rPr>
                <w:rFonts w:ascii="Arial" w:hAnsi="Arial" w:cs="Arial"/>
                <w:sz w:val="16"/>
                <w:szCs w:val="16"/>
                <w:lang w:val="es-ES_tradnl"/>
              </w:rPr>
            </w:pPr>
            <w:r w:rsidRPr="006E1AF7">
              <w:rPr>
                <w:rFonts w:ascii="Arial" w:hAnsi="Arial" w:cs="Arial"/>
                <w:color w:val="000000"/>
                <w:sz w:val="16"/>
                <w:szCs w:val="16"/>
              </w:rPr>
              <w:t xml:space="preserve">544.068 </w:t>
            </w:r>
          </w:p>
        </w:tc>
      </w:tr>
      <w:tr w:rsidR="0021180D" w:rsidRPr="00701F32" w14:paraId="096B6333" w14:textId="77777777" w:rsidTr="006E1AF7">
        <w:trPr>
          <w:trHeight w:val="269"/>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428CE" w14:textId="77777777" w:rsidR="0021180D" w:rsidRPr="008317D7" w:rsidRDefault="0021180D" w:rsidP="0021180D">
            <w:pPr>
              <w:rPr>
                <w:rFonts w:ascii="Arial" w:hAnsi="Arial" w:cs="Arial"/>
                <w:bCs/>
                <w:sz w:val="16"/>
                <w:szCs w:val="16"/>
                <w:lang w:eastAsia="es-AR"/>
              </w:rPr>
            </w:pPr>
            <w:r w:rsidRPr="008317D7">
              <w:rPr>
                <w:rFonts w:ascii="Arial" w:hAnsi="Arial" w:cs="Arial"/>
                <w:bCs/>
                <w:sz w:val="16"/>
                <w:szCs w:val="16"/>
                <w:lang w:eastAsia="es-AR"/>
              </w:rPr>
              <w:t xml:space="preserve"> Resultado neto de las actividades que continúan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E597A" w14:textId="112EFF5E"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-292.920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B73B7" w14:textId="53076D39"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1.429.326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2F784" w14:textId="506C10DD" w:rsidR="0021180D" w:rsidRPr="001F6307" w:rsidRDefault="0021180D" w:rsidP="0021180D">
            <w:pPr>
              <w:jc w:val="right"/>
              <w:rPr>
                <w:rFonts w:ascii="Arial" w:hAnsi="Arial" w:cs="Arial"/>
                <w:b/>
                <w:sz w:val="16"/>
                <w:szCs w:val="16"/>
              </w:rPr>
            </w:pPr>
            <w:r>
              <w:rPr>
                <w:rFonts w:ascii="Arial" w:hAnsi="Arial" w:cs="Arial"/>
                <w:b/>
                <w:bCs/>
                <w:color w:val="000000"/>
                <w:sz w:val="16"/>
                <w:szCs w:val="16"/>
              </w:rPr>
              <w:t>2.418.429</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E5A19" w14:textId="1F6E45A0"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-234.419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32E13" w14:textId="6471DC58"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3.320.416 </w:t>
            </w:r>
          </w:p>
        </w:tc>
      </w:tr>
      <w:tr w:rsidR="0021180D" w:rsidRPr="00DD1EA2" w14:paraId="249C3E7D" w14:textId="77777777" w:rsidTr="006E1AF7">
        <w:trPr>
          <w:trHeight w:val="269"/>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95C43" w14:textId="1F3CF1B0" w:rsidR="0021180D" w:rsidRPr="008317D7" w:rsidRDefault="0021180D" w:rsidP="0021180D">
            <w:pPr>
              <w:rPr>
                <w:rFonts w:ascii="Arial" w:hAnsi="Arial" w:cs="Arial"/>
                <w:b/>
                <w:bCs/>
                <w:sz w:val="16"/>
                <w:szCs w:val="16"/>
                <w:lang w:eastAsia="es-AR"/>
              </w:rPr>
            </w:pPr>
            <w:r w:rsidRPr="008317D7">
              <w:rPr>
                <w:rFonts w:ascii="Arial" w:hAnsi="Arial" w:cs="Arial"/>
                <w:b/>
                <w:bCs/>
                <w:sz w:val="16"/>
                <w:szCs w:val="16"/>
                <w:lang w:eastAsia="es-AR"/>
              </w:rPr>
              <w:t xml:space="preserve"> Resultado neto del </w:t>
            </w:r>
            <w:r>
              <w:rPr>
                <w:rFonts w:ascii="Arial" w:hAnsi="Arial" w:cs="Arial"/>
                <w:b/>
                <w:bCs/>
                <w:sz w:val="16"/>
                <w:szCs w:val="16"/>
                <w:lang w:eastAsia="es-AR"/>
              </w:rPr>
              <w:t>ejercicio</w:t>
            </w:r>
            <w:r w:rsidRPr="008317D7">
              <w:rPr>
                <w:rFonts w:ascii="Arial" w:hAnsi="Arial" w:cs="Arial"/>
                <w:b/>
                <w:bCs/>
                <w:sz w:val="16"/>
                <w:szCs w:val="16"/>
                <w:lang w:eastAsia="es-AR"/>
              </w:rPr>
              <w:t xml:space="preserve"> </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57426" w14:textId="7F1F1845"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-292.920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58862" w14:textId="66F31C61"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1.429.326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6DE261" w14:textId="5CCFD1B7" w:rsidR="0021180D" w:rsidRPr="001F6307" w:rsidRDefault="0021180D" w:rsidP="0021180D">
            <w:pPr>
              <w:jc w:val="right"/>
              <w:rPr>
                <w:rFonts w:ascii="Arial" w:hAnsi="Arial" w:cs="Arial"/>
                <w:b/>
                <w:sz w:val="16"/>
                <w:szCs w:val="16"/>
              </w:rPr>
            </w:pPr>
            <w:r>
              <w:rPr>
                <w:rFonts w:ascii="Arial" w:hAnsi="Arial" w:cs="Arial"/>
                <w:b/>
                <w:bCs/>
                <w:color w:val="000000"/>
                <w:sz w:val="16"/>
                <w:szCs w:val="16"/>
              </w:rPr>
              <w:t>2.418.429</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29EB8" w14:textId="3C949DA8"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-234.419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FDFDF" w14:textId="2C711737"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3.320.416 </w:t>
            </w:r>
          </w:p>
        </w:tc>
      </w:tr>
      <w:tr w:rsidR="0021180D" w:rsidRPr="00701F32" w14:paraId="36D9AE76" w14:textId="77777777" w:rsidTr="006E1AF7">
        <w:trPr>
          <w:trHeight w:val="269"/>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hideMark/>
          </w:tcPr>
          <w:p w14:paraId="1915F809" w14:textId="729676BC" w:rsidR="0021180D" w:rsidRPr="008317D7" w:rsidRDefault="0021180D" w:rsidP="0021180D">
            <w:pPr>
              <w:rPr>
                <w:rFonts w:ascii="Arial" w:hAnsi="Arial" w:cs="Arial"/>
                <w:sz w:val="16"/>
                <w:szCs w:val="16"/>
                <w:lang w:eastAsia="es-AR"/>
              </w:rPr>
            </w:pPr>
            <w:r w:rsidRPr="008317D7">
              <w:rPr>
                <w:rFonts w:ascii="Arial" w:hAnsi="Arial" w:cs="Arial"/>
                <w:sz w:val="16"/>
                <w:szCs w:val="16"/>
              </w:rPr>
              <w:t>Otros Resultados Integrales (ORI)</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934B4" w14:textId="09946303" w:rsidR="0021180D" w:rsidRPr="001F6307" w:rsidRDefault="0021180D" w:rsidP="0021180D">
            <w:pPr>
              <w:jc w:val="right"/>
              <w:rPr>
                <w:rFonts w:ascii="Arial" w:hAnsi="Arial" w:cs="Arial"/>
                <w:sz w:val="16"/>
                <w:szCs w:val="16"/>
                <w:lang w:val="es-ES_tradnl"/>
              </w:rPr>
            </w:pPr>
            <w:r w:rsidRPr="006E1AF7">
              <w:rPr>
                <w:rFonts w:ascii="Arial" w:hAnsi="Arial" w:cs="Arial"/>
                <w:color w:val="000000"/>
                <w:sz w:val="16"/>
                <w:szCs w:val="16"/>
              </w:rPr>
              <w:t xml:space="preserve">123.253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7C982" w14:textId="1CA72F40" w:rsidR="0021180D" w:rsidRPr="001F6307" w:rsidRDefault="0021180D" w:rsidP="0021180D">
            <w:pPr>
              <w:jc w:val="right"/>
              <w:rPr>
                <w:rFonts w:ascii="Arial" w:hAnsi="Arial" w:cs="Arial"/>
                <w:sz w:val="16"/>
                <w:szCs w:val="16"/>
                <w:lang w:val="es-ES_tradnl"/>
              </w:rPr>
            </w:pPr>
            <w:r w:rsidRPr="006E1AF7">
              <w:rPr>
                <w:rFonts w:ascii="Arial" w:hAnsi="Arial" w:cs="Arial"/>
                <w:color w:val="000000"/>
                <w:sz w:val="16"/>
                <w:szCs w:val="16"/>
              </w:rPr>
              <w:t xml:space="preserve">174.667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A84A1" w14:textId="2BAD34BF" w:rsidR="0021180D" w:rsidRPr="001F6307" w:rsidRDefault="0021180D" w:rsidP="0021180D">
            <w:pPr>
              <w:jc w:val="right"/>
              <w:rPr>
                <w:rFonts w:ascii="Arial" w:hAnsi="Arial" w:cs="Arial"/>
                <w:sz w:val="16"/>
                <w:szCs w:val="16"/>
                <w:lang w:val="es-ES_tradnl"/>
              </w:rPr>
            </w:pPr>
            <w:r>
              <w:rPr>
                <w:rFonts w:ascii="Arial" w:hAnsi="Arial" w:cs="Arial"/>
                <w:color w:val="000000"/>
                <w:sz w:val="16"/>
                <w:szCs w:val="16"/>
              </w:rPr>
              <w:t>311.075</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EC677" w14:textId="42F76EEB" w:rsidR="0021180D" w:rsidRPr="001F6307" w:rsidRDefault="0021180D" w:rsidP="0021180D">
            <w:pPr>
              <w:jc w:val="right"/>
              <w:rPr>
                <w:rFonts w:ascii="Arial" w:hAnsi="Arial" w:cs="Arial"/>
                <w:sz w:val="16"/>
                <w:szCs w:val="16"/>
                <w:lang w:val="es-ES_tradnl"/>
              </w:rPr>
            </w:pPr>
            <w:r w:rsidRPr="006E1AF7">
              <w:rPr>
                <w:rFonts w:ascii="Arial" w:hAnsi="Arial" w:cs="Arial"/>
                <w:color w:val="000000"/>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0A2FE" w14:textId="2ECD4001" w:rsidR="0021180D" w:rsidRPr="001F6307" w:rsidRDefault="0021180D" w:rsidP="0021180D">
            <w:pPr>
              <w:jc w:val="right"/>
              <w:rPr>
                <w:rFonts w:ascii="Arial" w:hAnsi="Arial" w:cs="Arial"/>
                <w:sz w:val="16"/>
                <w:szCs w:val="16"/>
                <w:lang w:val="es-ES_tradnl"/>
              </w:rPr>
            </w:pPr>
            <w:r w:rsidRPr="006E1AF7">
              <w:rPr>
                <w:rFonts w:ascii="Arial" w:hAnsi="Arial" w:cs="Arial"/>
                <w:color w:val="000000"/>
                <w:sz w:val="16"/>
                <w:szCs w:val="16"/>
              </w:rPr>
              <w:t>608.99</w:t>
            </w:r>
            <w:r>
              <w:rPr>
                <w:rFonts w:ascii="Arial" w:hAnsi="Arial" w:cs="Arial"/>
                <w:color w:val="000000"/>
                <w:sz w:val="16"/>
                <w:szCs w:val="16"/>
              </w:rPr>
              <w:t>5</w:t>
            </w:r>
            <w:r w:rsidRPr="006E1AF7">
              <w:rPr>
                <w:rFonts w:ascii="Arial" w:hAnsi="Arial" w:cs="Arial"/>
                <w:color w:val="000000"/>
                <w:sz w:val="16"/>
                <w:szCs w:val="16"/>
              </w:rPr>
              <w:t xml:space="preserve"> </w:t>
            </w:r>
          </w:p>
        </w:tc>
      </w:tr>
      <w:tr w:rsidR="0021180D" w:rsidRPr="00701F32" w14:paraId="2A6DD2BA" w14:textId="77777777" w:rsidTr="006E1AF7">
        <w:trPr>
          <w:trHeight w:val="269"/>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tcPr>
          <w:p w14:paraId="5355016F" w14:textId="11561225" w:rsidR="0021180D" w:rsidRPr="008317D7" w:rsidRDefault="0021180D" w:rsidP="0021180D">
            <w:pPr>
              <w:rPr>
                <w:rFonts w:ascii="Arial" w:hAnsi="Arial" w:cs="Arial"/>
                <w:sz w:val="16"/>
                <w:szCs w:val="16"/>
                <w:lang w:eastAsia="es-AR"/>
              </w:rPr>
            </w:pPr>
            <w:r w:rsidRPr="008317D7">
              <w:rPr>
                <w:rFonts w:ascii="Arial" w:hAnsi="Arial" w:cs="Arial"/>
                <w:sz w:val="16"/>
                <w:szCs w:val="16"/>
              </w:rPr>
              <w:t>Impuesto a las Ganancias ORI</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4E2E6" w14:textId="5FEABBEE" w:rsidR="0021180D" w:rsidRPr="001F6307" w:rsidRDefault="005E40DB" w:rsidP="0021180D">
            <w:pPr>
              <w:jc w:val="right"/>
              <w:rPr>
                <w:rFonts w:ascii="Arial" w:hAnsi="Arial" w:cs="Arial"/>
                <w:sz w:val="16"/>
                <w:szCs w:val="16"/>
              </w:rPr>
            </w:pPr>
            <w:r>
              <w:rPr>
                <w:rFonts w:ascii="Arial" w:hAnsi="Arial" w:cs="Arial"/>
                <w:color w:val="000000"/>
                <w:sz w:val="16"/>
                <w:szCs w:val="16"/>
              </w:rPr>
              <w:t>-</w:t>
            </w:r>
            <w:r w:rsidR="0021180D" w:rsidRPr="006E1AF7">
              <w:rPr>
                <w:rFonts w:ascii="Arial" w:hAnsi="Arial" w:cs="Arial"/>
                <w:color w:val="000000"/>
                <w:sz w:val="16"/>
                <w:szCs w:val="16"/>
              </w:rPr>
              <w:t xml:space="preserve">30.918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1A11E" w14:textId="4B3877A5" w:rsidR="0021180D" w:rsidRPr="001F6307" w:rsidRDefault="005E40DB" w:rsidP="0021180D">
            <w:pPr>
              <w:jc w:val="right"/>
              <w:rPr>
                <w:rFonts w:ascii="Arial" w:hAnsi="Arial" w:cs="Arial"/>
                <w:sz w:val="16"/>
                <w:szCs w:val="16"/>
              </w:rPr>
            </w:pPr>
            <w:r>
              <w:rPr>
                <w:rFonts w:ascii="Arial" w:hAnsi="Arial" w:cs="Arial"/>
                <w:color w:val="000000"/>
                <w:sz w:val="16"/>
                <w:szCs w:val="16"/>
              </w:rPr>
              <w:t>-</w:t>
            </w:r>
            <w:r w:rsidR="0021180D" w:rsidRPr="006E1AF7">
              <w:rPr>
                <w:rFonts w:ascii="Arial" w:hAnsi="Arial" w:cs="Arial"/>
                <w:color w:val="000000"/>
                <w:sz w:val="16"/>
                <w:szCs w:val="16"/>
              </w:rPr>
              <w:t xml:space="preserve">43.815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ED6A3" w14:textId="131D3E2F" w:rsidR="0021180D" w:rsidRPr="001F6307" w:rsidRDefault="005E40DB" w:rsidP="0021180D">
            <w:pPr>
              <w:jc w:val="right"/>
              <w:rPr>
                <w:rFonts w:ascii="Arial" w:hAnsi="Arial" w:cs="Arial"/>
                <w:sz w:val="16"/>
                <w:szCs w:val="16"/>
              </w:rPr>
            </w:pPr>
            <w:r>
              <w:rPr>
                <w:rFonts w:ascii="Arial" w:hAnsi="Arial" w:cs="Arial"/>
                <w:color w:val="000000"/>
                <w:sz w:val="16"/>
                <w:szCs w:val="16"/>
              </w:rPr>
              <w:t>-</w:t>
            </w:r>
            <w:r w:rsidR="0021180D">
              <w:rPr>
                <w:rFonts w:ascii="Arial" w:hAnsi="Arial" w:cs="Arial"/>
                <w:color w:val="000000"/>
                <w:sz w:val="16"/>
                <w:szCs w:val="16"/>
              </w:rPr>
              <w:t>78.030</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D03C8" w14:textId="79BE82E4" w:rsidR="0021180D" w:rsidRPr="001F6307" w:rsidRDefault="0021180D" w:rsidP="0021180D">
            <w:pPr>
              <w:jc w:val="right"/>
              <w:rPr>
                <w:rFonts w:ascii="Arial" w:hAnsi="Arial" w:cs="Arial"/>
                <w:sz w:val="16"/>
                <w:szCs w:val="16"/>
              </w:rPr>
            </w:pPr>
            <w:r w:rsidRPr="006E1AF7">
              <w:rPr>
                <w:rFonts w:ascii="Arial" w:hAnsi="Arial" w:cs="Arial"/>
                <w:color w:val="000000"/>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6DDF5" w14:textId="63E7400D" w:rsidR="0021180D" w:rsidRPr="001F6307" w:rsidRDefault="005E40DB" w:rsidP="0021180D">
            <w:pPr>
              <w:jc w:val="right"/>
              <w:rPr>
                <w:rFonts w:ascii="Arial" w:hAnsi="Arial" w:cs="Arial"/>
                <w:sz w:val="16"/>
                <w:szCs w:val="16"/>
              </w:rPr>
            </w:pPr>
            <w:r>
              <w:rPr>
                <w:rFonts w:ascii="Arial" w:hAnsi="Arial" w:cs="Arial"/>
                <w:color w:val="000000"/>
                <w:sz w:val="16"/>
                <w:szCs w:val="16"/>
              </w:rPr>
              <w:t>-</w:t>
            </w:r>
            <w:r w:rsidR="0021180D" w:rsidRPr="006E1AF7">
              <w:rPr>
                <w:rFonts w:ascii="Arial" w:hAnsi="Arial" w:cs="Arial"/>
                <w:color w:val="000000"/>
                <w:sz w:val="16"/>
                <w:szCs w:val="16"/>
              </w:rPr>
              <w:t>152.76</w:t>
            </w:r>
            <w:r w:rsidR="0021180D">
              <w:rPr>
                <w:rFonts w:ascii="Arial" w:hAnsi="Arial" w:cs="Arial"/>
                <w:color w:val="000000"/>
                <w:sz w:val="16"/>
                <w:szCs w:val="16"/>
              </w:rPr>
              <w:t>3</w:t>
            </w:r>
            <w:r w:rsidR="0021180D" w:rsidRPr="006E1AF7">
              <w:rPr>
                <w:rFonts w:ascii="Arial" w:hAnsi="Arial" w:cs="Arial"/>
                <w:color w:val="000000"/>
                <w:sz w:val="16"/>
                <w:szCs w:val="16"/>
              </w:rPr>
              <w:t xml:space="preserve"> </w:t>
            </w:r>
          </w:p>
        </w:tc>
      </w:tr>
      <w:tr w:rsidR="0021180D" w:rsidRPr="00764FD5" w14:paraId="04200003" w14:textId="77777777" w:rsidTr="006E1AF7">
        <w:trPr>
          <w:trHeight w:val="269"/>
          <w:jc w:val="center"/>
        </w:trPr>
        <w:tc>
          <w:tcPr>
            <w:tcW w:w="3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6A395" w14:textId="671E4049" w:rsidR="0021180D" w:rsidRPr="00DD1EA2" w:rsidRDefault="0021180D" w:rsidP="0021180D">
            <w:pPr>
              <w:rPr>
                <w:rFonts w:ascii="Arial" w:hAnsi="Arial" w:cs="Arial"/>
                <w:b/>
                <w:bCs/>
                <w:sz w:val="16"/>
                <w:szCs w:val="16"/>
                <w:lang w:eastAsia="es-AR"/>
              </w:rPr>
            </w:pPr>
            <w:r w:rsidRPr="00DD1EA2">
              <w:rPr>
                <w:rFonts w:ascii="Arial" w:hAnsi="Arial" w:cs="Arial"/>
                <w:b/>
                <w:bCs/>
                <w:sz w:val="16"/>
                <w:szCs w:val="16"/>
                <w:lang w:eastAsia="es-AR"/>
              </w:rPr>
              <w:t xml:space="preserve"> Resultado Integral del ejercicio</w:t>
            </w:r>
          </w:p>
        </w:tc>
        <w:tc>
          <w:tcPr>
            <w:tcW w:w="14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E663F" w14:textId="3579FD28"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-200.585 </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52D91" w14:textId="23F1AA5F"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1.560.178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1F3BC" w14:textId="39912EA8" w:rsidR="0021180D" w:rsidRPr="001F6307" w:rsidRDefault="0021180D" w:rsidP="0021180D">
            <w:pPr>
              <w:jc w:val="right"/>
              <w:rPr>
                <w:rFonts w:ascii="Arial" w:hAnsi="Arial" w:cs="Arial"/>
                <w:b/>
                <w:sz w:val="16"/>
                <w:szCs w:val="16"/>
              </w:rPr>
            </w:pPr>
            <w:r>
              <w:rPr>
                <w:rFonts w:ascii="Arial" w:hAnsi="Arial" w:cs="Arial"/>
                <w:b/>
                <w:bCs/>
                <w:color w:val="000000"/>
                <w:sz w:val="16"/>
                <w:szCs w:val="16"/>
              </w:rPr>
              <w:t>2.651.474</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047E3" w14:textId="6CD88707"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-234.419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2D272" w14:textId="49C10C35" w:rsidR="0021180D" w:rsidRPr="001F6307" w:rsidRDefault="0021180D" w:rsidP="0021180D">
            <w:pPr>
              <w:jc w:val="right"/>
              <w:rPr>
                <w:rFonts w:ascii="Arial" w:hAnsi="Arial" w:cs="Arial"/>
                <w:b/>
                <w:sz w:val="16"/>
                <w:szCs w:val="16"/>
              </w:rPr>
            </w:pPr>
            <w:r w:rsidRPr="006E1AF7">
              <w:rPr>
                <w:rFonts w:ascii="Arial" w:hAnsi="Arial" w:cs="Arial"/>
                <w:b/>
                <w:bCs/>
                <w:color w:val="000000"/>
                <w:sz w:val="16"/>
                <w:szCs w:val="16"/>
              </w:rPr>
              <w:t xml:space="preserve">3.776.648 </w:t>
            </w:r>
          </w:p>
        </w:tc>
      </w:tr>
    </w:tbl>
    <w:p w14:paraId="3B397742" w14:textId="77F74CE7" w:rsidR="008D7556" w:rsidRDefault="008D7556" w:rsidP="00E97F98">
      <w:pPr>
        <w:jc w:val="both"/>
        <w:rPr>
          <w:rFonts w:ascii="Arial" w:eastAsia="Calibri" w:hAnsi="Arial" w:cs="Arial"/>
          <w:bCs/>
          <w:sz w:val="20"/>
        </w:rPr>
      </w:pPr>
    </w:p>
    <w:tbl>
      <w:tblPr>
        <w:tblpPr w:leftFromText="141" w:rightFromText="141" w:vertAnchor="text" w:tblpXSpec="center" w:tblpY="1"/>
        <w:tblOverlap w:val="never"/>
        <w:tblW w:w="10423" w:type="dxa"/>
        <w:jc w:val="center"/>
        <w:tblCellMar>
          <w:left w:w="70" w:type="dxa"/>
          <w:right w:w="70" w:type="dxa"/>
        </w:tblCellMar>
        <w:tblLook w:val="04A0" w:firstRow="1" w:lastRow="0" w:firstColumn="1" w:lastColumn="0" w:noHBand="0" w:noVBand="1"/>
      </w:tblPr>
      <w:tblGrid>
        <w:gridCol w:w="4199"/>
        <w:gridCol w:w="1467"/>
        <w:gridCol w:w="1398"/>
        <w:gridCol w:w="1399"/>
        <w:gridCol w:w="1960"/>
      </w:tblGrid>
      <w:tr w:rsidR="007A6B2D" w:rsidRPr="00701F32" w14:paraId="268D50EB" w14:textId="77777777" w:rsidTr="00764FD5">
        <w:trPr>
          <w:trHeight w:val="451"/>
          <w:tblHeader/>
          <w:jc w:val="center"/>
        </w:trPr>
        <w:tc>
          <w:tcPr>
            <w:tcW w:w="41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9A3260" w14:textId="56F91E8A" w:rsidR="007A6B2D" w:rsidRPr="00701F32" w:rsidRDefault="007A6B2D" w:rsidP="00A059FB">
            <w:pPr>
              <w:jc w:val="center"/>
              <w:rPr>
                <w:rFonts w:ascii="Arial" w:hAnsi="Arial" w:cs="Arial"/>
                <w:b/>
                <w:bCs/>
                <w:sz w:val="16"/>
                <w:szCs w:val="16"/>
                <w:lang w:eastAsia="es-AR"/>
              </w:rPr>
            </w:pPr>
            <w:r w:rsidRPr="00701F32">
              <w:rPr>
                <w:rFonts w:ascii="Arial" w:hAnsi="Arial" w:cs="Arial"/>
                <w:b/>
                <w:bCs/>
                <w:sz w:val="16"/>
                <w:szCs w:val="16"/>
                <w:lang w:eastAsia="es-AR"/>
              </w:rPr>
              <w:t>ACTIVO al 3</w:t>
            </w:r>
            <w:r w:rsidR="00764FD5">
              <w:rPr>
                <w:rFonts w:ascii="Arial" w:hAnsi="Arial" w:cs="Arial"/>
                <w:b/>
                <w:bCs/>
                <w:sz w:val="16"/>
                <w:szCs w:val="16"/>
                <w:lang w:eastAsia="es-AR"/>
              </w:rPr>
              <w:t>1</w:t>
            </w:r>
            <w:r w:rsidRPr="00701F32">
              <w:rPr>
                <w:rFonts w:ascii="Arial" w:hAnsi="Arial" w:cs="Arial"/>
                <w:b/>
                <w:bCs/>
                <w:sz w:val="16"/>
                <w:szCs w:val="16"/>
                <w:lang w:eastAsia="es-AR"/>
              </w:rPr>
              <w:t>/</w:t>
            </w:r>
            <w:r w:rsidR="00764FD5">
              <w:rPr>
                <w:rFonts w:ascii="Arial" w:hAnsi="Arial" w:cs="Arial"/>
                <w:b/>
                <w:bCs/>
                <w:sz w:val="16"/>
                <w:szCs w:val="16"/>
                <w:lang w:eastAsia="es-AR"/>
              </w:rPr>
              <w:t>12</w:t>
            </w:r>
            <w:r w:rsidRPr="00701F32">
              <w:rPr>
                <w:rFonts w:ascii="Arial" w:hAnsi="Arial" w:cs="Arial"/>
                <w:b/>
                <w:bCs/>
                <w:sz w:val="16"/>
                <w:szCs w:val="16"/>
                <w:lang w:eastAsia="es-AR"/>
              </w:rPr>
              <w:t>/2018</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14:paraId="778B5CBF" w14:textId="77777777" w:rsidR="007A6B2D" w:rsidRPr="00701F32" w:rsidRDefault="007A6B2D" w:rsidP="00764FD5">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 xml:space="preserve"> Banca Empresa </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14:paraId="3871FD5A" w14:textId="77777777" w:rsidR="007A6B2D" w:rsidRPr="00701F32" w:rsidRDefault="007A6B2D" w:rsidP="00764FD5">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 xml:space="preserve"> Banca Minorista </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14:paraId="08114A2E" w14:textId="77777777" w:rsidR="007A6B2D" w:rsidRPr="00701F32" w:rsidRDefault="007A6B2D" w:rsidP="00764FD5">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 xml:space="preserve"> Tesorería </w:t>
            </w:r>
          </w:p>
        </w:tc>
        <w:tc>
          <w:tcPr>
            <w:tcW w:w="1960" w:type="dxa"/>
            <w:tcBorders>
              <w:top w:val="single" w:sz="4" w:space="0" w:color="auto"/>
              <w:left w:val="nil"/>
              <w:bottom w:val="single" w:sz="4" w:space="0" w:color="auto"/>
              <w:right w:val="single" w:sz="4" w:space="0" w:color="auto"/>
            </w:tcBorders>
            <w:shd w:val="clear" w:color="auto" w:fill="auto"/>
            <w:noWrap/>
            <w:vAlign w:val="center"/>
            <w:hideMark/>
          </w:tcPr>
          <w:p w14:paraId="1A576A14" w14:textId="77777777" w:rsidR="007A6B2D" w:rsidRPr="00701F32" w:rsidRDefault="007A6B2D" w:rsidP="00764FD5">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 xml:space="preserve"> TOTAL </w:t>
            </w:r>
          </w:p>
        </w:tc>
      </w:tr>
      <w:tr w:rsidR="00764FD5" w:rsidRPr="00701F32" w14:paraId="3FA7C907" w14:textId="77777777" w:rsidTr="00764FD5">
        <w:trPr>
          <w:trHeight w:val="247"/>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1665FE12"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Efectivo y Depósitos en Bancos</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61D0C2F1" w14:textId="615807E6"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325.248 </w:t>
            </w:r>
          </w:p>
        </w:tc>
        <w:tc>
          <w:tcPr>
            <w:tcW w:w="1398" w:type="dxa"/>
            <w:tcBorders>
              <w:top w:val="nil"/>
              <w:left w:val="nil"/>
              <w:bottom w:val="single" w:sz="4" w:space="0" w:color="auto"/>
              <w:right w:val="single" w:sz="4" w:space="0" w:color="auto"/>
            </w:tcBorders>
            <w:shd w:val="clear" w:color="000000" w:fill="FFFFFF"/>
            <w:noWrap/>
            <w:vAlign w:val="bottom"/>
          </w:tcPr>
          <w:p w14:paraId="20D37F8E" w14:textId="0933F62C"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4.706.116 </w:t>
            </w:r>
          </w:p>
        </w:tc>
        <w:tc>
          <w:tcPr>
            <w:tcW w:w="1399" w:type="dxa"/>
            <w:tcBorders>
              <w:top w:val="nil"/>
              <w:left w:val="nil"/>
              <w:bottom w:val="single" w:sz="4" w:space="0" w:color="auto"/>
              <w:right w:val="single" w:sz="4" w:space="0" w:color="auto"/>
            </w:tcBorders>
            <w:shd w:val="clear" w:color="000000" w:fill="FFFFFF"/>
            <w:noWrap/>
            <w:vAlign w:val="bottom"/>
          </w:tcPr>
          <w:p w14:paraId="6CD1228E" w14:textId="2977B3E0"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28.505.898 </w:t>
            </w:r>
          </w:p>
        </w:tc>
        <w:tc>
          <w:tcPr>
            <w:tcW w:w="1960" w:type="dxa"/>
            <w:tcBorders>
              <w:top w:val="nil"/>
              <w:left w:val="nil"/>
              <w:bottom w:val="single" w:sz="4" w:space="0" w:color="auto"/>
              <w:right w:val="single" w:sz="4" w:space="0" w:color="auto"/>
            </w:tcBorders>
            <w:shd w:val="clear" w:color="000000" w:fill="FFFFFF"/>
            <w:noWrap/>
            <w:vAlign w:val="bottom"/>
          </w:tcPr>
          <w:p w14:paraId="2E2795BA" w14:textId="703C738F"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33.537.262 </w:t>
            </w:r>
          </w:p>
        </w:tc>
      </w:tr>
      <w:tr w:rsidR="00764FD5" w:rsidRPr="00701F32" w14:paraId="5E6B88D0" w14:textId="77777777" w:rsidTr="00764FD5">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noWrap/>
            <w:vAlign w:val="bottom"/>
            <w:hideMark/>
          </w:tcPr>
          <w:p w14:paraId="22D7DDD2" w14:textId="77777777" w:rsidR="00764FD5" w:rsidRPr="00701F32" w:rsidRDefault="00764FD5" w:rsidP="00764FD5">
            <w:pPr>
              <w:rPr>
                <w:rFonts w:ascii="Arial" w:hAnsi="Arial" w:cs="Arial"/>
                <w:sz w:val="16"/>
                <w:szCs w:val="16"/>
                <w:lang w:eastAsia="es-AR"/>
              </w:rPr>
            </w:pPr>
            <w:r w:rsidRPr="00701F32">
              <w:rPr>
                <w:rFonts w:ascii="Arial" w:hAnsi="Arial" w:cs="Arial"/>
                <w:sz w:val="16"/>
                <w:szCs w:val="16"/>
                <w:lang w:eastAsia="es-AR"/>
              </w:rPr>
              <w:t xml:space="preserve">   Efectivo</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4E6597AE" w14:textId="5A2A3753"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325.144 </w:t>
            </w:r>
          </w:p>
        </w:tc>
        <w:tc>
          <w:tcPr>
            <w:tcW w:w="1398" w:type="dxa"/>
            <w:tcBorders>
              <w:top w:val="nil"/>
              <w:left w:val="nil"/>
              <w:bottom w:val="single" w:sz="4" w:space="0" w:color="auto"/>
              <w:right w:val="single" w:sz="4" w:space="0" w:color="auto"/>
            </w:tcBorders>
            <w:shd w:val="clear" w:color="000000" w:fill="FFFFFF"/>
            <w:noWrap/>
            <w:vAlign w:val="bottom"/>
          </w:tcPr>
          <w:p w14:paraId="2A78D89C" w14:textId="20994717"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4.414.218 </w:t>
            </w:r>
          </w:p>
        </w:tc>
        <w:tc>
          <w:tcPr>
            <w:tcW w:w="1399" w:type="dxa"/>
            <w:tcBorders>
              <w:top w:val="nil"/>
              <w:left w:val="nil"/>
              <w:bottom w:val="single" w:sz="4" w:space="0" w:color="auto"/>
              <w:right w:val="single" w:sz="4" w:space="0" w:color="auto"/>
            </w:tcBorders>
            <w:shd w:val="clear" w:color="000000" w:fill="FFFFFF"/>
            <w:noWrap/>
            <w:vAlign w:val="bottom"/>
          </w:tcPr>
          <w:p w14:paraId="791AAFCF" w14:textId="33491253"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   </w:t>
            </w:r>
          </w:p>
        </w:tc>
        <w:tc>
          <w:tcPr>
            <w:tcW w:w="1960" w:type="dxa"/>
            <w:tcBorders>
              <w:top w:val="nil"/>
              <w:left w:val="nil"/>
              <w:bottom w:val="single" w:sz="4" w:space="0" w:color="auto"/>
              <w:right w:val="single" w:sz="4" w:space="0" w:color="auto"/>
            </w:tcBorders>
            <w:shd w:val="clear" w:color="000000" w:fill="FFFFFF"/>
            <w:noWrap/>
            <w:vAlign w:val="bottom"/>
          </w:tcPr>
          <w:p w14:paraId="0FD7A1EC" w14:textId="1550D33F"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4.739.362 </w:t>
            </w:r>
          </w:p>
        </w:tc>
      </w:tr>
      <w:tr w:rsidR="00764FD5" w:rsidRPr="00701F32" w14:paraId="24FEA6E9" w14:textId="77777777" w:rsidTr="00BD0B2B">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noWrap/>
          </w:tcPr>
          <w:p w14:paraId="75059C82" w14:textId="6D56D2AB" w:rsidR="00764FD5" w:rsidRPr="00701F32" w:rsidRDefault="00764FD5" w:rsidP="00764FD5">
            <w:pPr>
              <w:rPr>
                <w:rFonts w:ascii="Arial" w:hAnsi="Arial" w:cs="Arial"/>
                <w:sz w:val="16"/>
                <w:szCs w:val="16"/>
                <w:lang w:eastAsia="es-AR"/>
              </w:rPr>
            </w:pPr>
            <w:r w:rsidRPr="00697172">
              <w:rPr>
                <w:rFonts w:ascii="Arial" w:hAnsi="Arial" w:cs="Arial"/>
                <w:sz w:val="16"/>
                <w:szCs w:val="16"/>
                <w:lang w:eastAsia="es-AR"/>
              </w:rPr>
              <w:t xml:space="preserve">   Entidades Financieras y corresponsales</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7352215B" w14:textId="77777777" w:rsidR="00764FD5" w:rsidRPr="00697172" w:rsidRDefault="00764FD5" w:rsidP="00764FD5">
            <w:pPr>
              <w:jc w:val="right"/>
              <w:rPr>
                <w:rFonts w:ascii="Arial" w:hAnsi="Arial" w:cs="Arial"/>
                <w:sz w:val="16"/>
                <w:szCs w:val="16"/>
              </w:rPr>
            </w:pPr>
          </w:p>
        </w:tc>
        <w:tc>
          <w:tcPr>
            <w:tcW w:w="1398" w:type="dxa"/>
            <w:tcBorders>
              <w:top w:val="nil"/>
              <w:left w:val="nil"/>
              <w:bottom w:val="single" w:sz="4" w:space="0" w:color="auto"/>
              <w:right w:val="single" w:sz="4" w:space="0" w:color="auto"/>
            </w:tcBorders>
            <w:shd w:val="clear" w:color="000000" w:fill="FFFFFF"/>
            <w:noWrap/>
            <w:vAlign w:val="bottom"/>
          </w:tcPr>
          <w:p w14:paraId="30D6A342" w14:textId="77777777" w:rsidR="00764FD5" w:rsidRPr="00697172" w:rsidRDefault="00764FD5" w:rsidP="00764FD5">
            <w:pPr>
              <w:jc w:val="right"/>
              <w:rPr>
                <w:rFonts w:ascii="Arial" w:hAnsi="Arial" w:cs="Arial"/>
                <w:sz w:val="16"/>
                <w:szCs w:val="16"/>
              </w:rPr>
            </w:pPr>
          </w:p>
        </w:tc>
        <w:tc>
          <w:tcPr>
            <w:tcW w:w="1399" w:type="dxa"/>
            <w:tcBorders>
              <w:top w:val="nil"/>
              <w:left w:val="nil"/>
              <w:bottom w:val="single" w:sz="4" w:space="0" w:color="auto"/>
              <w:right w:val="single" w:sz="4" w:space="0" w:color="auto"/>
            </w:tcBorders>
            <w:shd w:val="clear" w:color="000000" w:fill="FFFFFF"/>
            <w:noWrap/>
            <w:vAlign w:val="bottom"/>
          </w:tcPr>
          <w:p w14:paraId="3541F6EA" w14:textId="77777777" w:rsidR="00764FD5" w:rsidRPr="00697172" w:rsidRDefault="00764FD5" w:rsidP="00764FD5">
            <w:pPr>
              <w:jc w:val="right"/>
              <w:rPr>
                <w:rFonts w:ascii="Arial" w:hAnsi="Arial" w:cs="Arial"/>
                <w:sz w:val="16"/>
                <w:szCs w:val="16"/>
              </w:rPr>
            </w:pPr>
          </w:p>
        </w:tc>
        <w:tc>
          <w:tcPr>
            <w:tcW w:w="1960" w:type="dxa"/>
            <w:tcBorders>
              <w:top w:val="nil"/>
              <w:left w:val="nil"/>
              <w:bottom w:val="single" w:sz="4" w:space="0" w:color="auto"/>
              <w:right w:val="single" w:sz="4" w:space="0" w:color="auto"/>
            </w:tcBorders>
            <w:shd w:val="clear" w:color="000000" w:fill="FFFFFF"/>
            <w:noWrap/>
            <w:vAlign w:val="bottom"/>
          </w:tcPr>
          <w:p w14:paraId="3EAA43FA" w14:textId="77777777" w:rsidR="00764FD5" w:rsidRPr="00697172" w:rsidRDefault="00764FD5" w:rsidP="00764FD5">
            <w:pPr>
              <w:jc w:val="right"/>
              <w:rPr>
                <w:rFonts w:ascii="Arial" w:hAnsi="Arial" w:cs="Arial"/>
                <w:sz w:val="16"/>
                <w:szCs w:val="16"/>
              </w:rPr>
            </w:pPr>
          </w:p>
        </w:tc>
      </w:tr>
      <w:tr w:rsidR="00764FD5" w:rsidRPr="00701F32" w14:paraId="3786369C" w14:textId="77777777" w:rsidTr="00764FD5">
        <w:trPr>
          <w:trHeight w:val="246"/>
          <w:tblHeader/>
          <w:jc w:val="center"/>
        </w:trPr>
        <w:tc>
          <w:tcPr>
            <w:tcW w:w="4199" w:type="dxa"/>
            <w:tcBorders>
              <w:top w:val="nil"/>
              <w:left w:val="single" w:sz="4" w:space="0" w:color="auto"/>
              <w:bottom w:val="single" w:sz="4" w:space="0" w:color="363639"/>
              <w:right w:val="single" w:sz="4" w:space="0" w:color="363639"/>
            </w:tcBorders>
            <w:shd w:val="clear" w:color="000000" w:fill="FFFFFF"/>
            <w:noWrap/>
            <w:vAlign w:val="bottom"/>
            <w:hideMark/>
          </w:tcPr>
          <w:p w14:paraId="6E3CDF5F" w14:textId="77777777" w:rsidR="00764FD5" w:rsidRPr="00701F32" w:rsidRDefault="00764FD5" w:rsidP="00764FD5">
            <w:pPr>
              <w:rPr>
                <w:rFonts w:ascii="Arial" w:hAnsi="Arial" w:cs="Arial"/>
                <w:sz w:val="16"/>
                <w:szCs w:val="16"/>
                <w:lang w:eastAsia="es-AR"/>
              </w:rPr>
            </w:pPr>
            <w:r w:rsidRPr="00701F32">
              <w:rPr>
                <w:rFonts w:ascii="Arial" w:hAnsi="Arial" w:cs="Arial"/>
                <w:sz w:val="16"/>
                <w:szCs w:val="16"/>
                <w:lang w:eastAsia="es-AR"/>
              </w:rPr>
              <w:t xml:space="preserve">      BCRA</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305222F1" w14:textId="2CCF03AB"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   </w:t>
            </w:r>
          </w:p>
        </w:tc>
        <w:tc>
          <w:tcPr>
            <w:tcW w:w="1398" w:type="dxa"/>
            <w:tcBorders>
              <w:top w:val="nil"/>
              <w:left w:val="nil"/>
              <w:bottom w:val="single" w:sz="4" w:space="0" w:color="auto"/>
              <w:right w:val="single" w:sz="4" w:space="0" w:color="auto"/>
            </w:tcBorders>
            <w:shd w:val="clear" w:color="000000" w:fill="FFFFFF"/>
            <w:noWrap/>
            <w:vAlign w:val="bottom"/>
          </w:tcPr>
          <w:p w14:paraId="5A1352E3" w14:textId="1CCC6F3F"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281.646 </w:t>
            </w:r>
          </w:p>
        </w:tc>
        <w:tc>
          <w:tcPr>
            <w:tcW w:w="1399" w:type="dxa"/>
            <w:tcBorders>
              <w:top w:val="nil"/>
              <w:left w:val="nil"/>
              <w:bottom w:val="single" w:sz="4" w:space="0" w:color="auto"/>
              <w:right w:val="single" w:sz="4" w:space="0" w:color="auto"/>
            </w:tcBorders>
            <w:shd w:val="clear" w:color="000000" w:fill="FFFFFF"/>
            <w:noWrap/>
            <w:vAlign w:val="bottom"/>
          </w:tcPr>
          <w:p w14:paraId="325FB86A" w14:textId="69D4793C"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27.107.138 </w:t>
            </w:r>
          </w:p>
        </w:tc>
        <w:tc>
          <w:tcPr>
            <w:tcW w:w="1960" w:type="dxa"/>
            <w:tcBorders>
              <w:top w:val="nil"/>
              <w:left w:val="nil"/>
              <w:bottom w:val="single" w:sz="4" w:space="0" w:color="auto"/>
              <w:right w:val="single" w:sz="4" w:space="0" w:color="auto"/>
            </w:tcBorders>
            <w:shd w:val="clear" w:color="000000" w:fill="FFFFFF"/>
            <w:noWrap/>
            <w:vAlign w:val="bottom"/>
          </w:tcPr>
          <w:p w14:paraId="1D328E35" w14:textId="173BD93A"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27.388.784 </w:t>
            </w:r>
          </w:p>
        </w:tc>
      </w:tr>
      <w:tr w:rsidR="00764FD5" w:rsidRPr="00701F32" w14:paraId="3D586C03" w14:textId="77777777" w:rsidTr="00764FD5">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noWrap/>
            <w:vAlign w:val="bottom"/>
            <w:hideMark/>
          </w:tcPr>
          <w:p w14:paraId="32E9D0B8" w14:textId="77777777" w:rsidR="00764FD5" w:rsidRPr="00701F32" w:rsidRDefault="00764FD5" w:rsidP="00764FD5">
            <w:pPr>
              <w:rPr>
                <w:rFonts w:ascii="Arial" w:hAnsi="Arial" w:cs="Arial"/>
                <w:sz w:val="16"/>
                <w:szCs w:val="16"/>
                <w:lang w:eastAsia="es-AR"/>
              </w:rPr>
            </w:pPr>
            <w:r w:rsidRPr="00701F32">
              <w:rPr>
                <w:rFonts w:ascii="Arial" w:hAnsi="Arial" w:cs="Arial"/>
                <w:sz w:val="16"/>
                <w:szCs w:val="16"/>
                <w:lang w:eastAsia="es-AR"/>
              </w:rPr>
              <w:t xml:space="preserve">      Otras del país y del exterior</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4EF8F8B6" w14:textId="6E094528"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   </w:t>
            </w:r>
          </w:p>
        </w:tc>
        <w:tc>
          <w:tcPr>
            <w:tcW w:w="1398" w:type="dxa"/>
            <w:tcBorders>
              <w:top w:val="nil"/>
              <w:left w:val="nil"/>
              <w:bottom w:val="single" w:sz="4" w:space="0" w:color="auto"/>
              <w:right w:val="single" w:sz="4" w:space="0" w:color="auto"/>
            </w:tcBorders>
            <w:shd w:val="clear" w:color="000000" w:fill="FFFFFF"/>
            <w:noWrap/>
            <w:vAlign w:val="bottom"/>
          </w:tcPr>
          <w:p w14:paraId="406A3E1A" w14:textId="74AF0D7C"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   </w:t>
            </w:r>
          </w:p>
        </w:tc>
        <w:tc>
          <w:tcPr>
            <w:tcW w:w="1399" w:type="dxa"/>
            <w:tcBorders>
              <w:top w:val="nil"/>
              <w:left w:val="nil"/>
              <w:bottom w:val="single" w:sz="4" w:space="0" w:color="auto"/>
              <w:right w:val="single" w:sz="4" w:space="0" w:color="auto"/>
            </w:tcBorders>
            <w:shd w:val="clear" w:color="000000" w:fill="FFFFFF"/>
            <w:noWrap/>
            <w:vAlign w:val="bottom"/>
          </w:tcPr>
          <w:p w14:paraId="46DD3912" w14:textId="7AA534EC"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1.398.717 </w:t>
            </w:r>
          </w:p>
        </w:tc>
        <w:tc>
          <w:tcPr>
            <w:tcW w:w="1960" w:type="dxa"/>
            <w:tcBorders>
              <w:top w:val="nil"/>
              <w:left w:val="nil"/>
              <w:bottom w:val="single" w:sz="4" w:space="0" w:color="auto"/>
              <w:right w:val="single" w:sz="4" w:space="0" w:color="auto"/>
            </w:tcBorders>
            <w:shd w:val="clear" w:color="000000" w:fill="FFFFFF"/>
            <w:noWrap/>
            <w:vAlign w:val="bottom"/>
          </w:tcPr>
          <w:p w14:paraId="2FE34846" w14:textId="2EEC2AB6"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1.398.717 </w:t>
            </w:r>
          </w:p>
        </w:tc>
      </w:tr>
      <w:tr w:rsidR="00764FD5" w:rsidRPr="00701F32" w14:paraId="0A2CE80E" w14:textId="77777777" w:rsidTr="00764FD5">
        <w:trPr>
          <w:trHeight w:val="198"/>
          <w:tblHeader/>
          <w:jc w:val="center"/>
        </w:trPr>
        <w:tc>
          <w:tcPr>
            <w:tcW w:w="4199" w:type="dxa"/>
            <w:tcBorders>
              <w:top w:val="nil"/>
              <w:left w:val="single" w:sz="4" w:space="0" w:color="auto"/>
              <w:bottom w:val="single" w:sz="4" w:space="0" w:color="363639"/>
              <w:right w:val="single" w:sz="4" w:space="0" w:color="363639"/>
            </w:tcBorders>
            <w:shd w:val="clear" w:color="000000" w:fill="FFFFFF"/>
            <w:noWrap/>
            <w:vAlign w:val="bottom"/>
            <w:hideMark/>
          </w:tcPr>
          <w:p w14:paraId="04348CFB" w14:textId="77777777" w:rsidR="00764FD5" w:rsidRPr="00701F32" w:rsidRDefault="00764FD5" w:rsidP="00764FD5">
            <w:pPr>
              <w:rPr>
                <w:rFonts w:ascii="Arial" w:hAnsi="Arial" w:cs="Arial"/>
                <w:sz w:val="16"/>
                <w:szCs w:val="16"/>
                <w:lang w:eastAsia="es-AR"/>
              </w:rPr>
            </w:pPr>
            <w:r w:rsidRPr="00701F32">
              <w:rPr>
                <w:rFonts w:ascii="Arial" w:hAnsi="Arial" w:cs="Arial"/>
                <w:sz w:val="16"/>
                <w:szCs w:val="16"/>
                <w:lang w:eastAsia="es-AR"/>
              </w:rPr>
              <w:t xml:space="preserve">   Otros</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6F111D26" w14:textId="352F4E07"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104 </w:t>
            </w:r>
          </w:p>
        </w:tc>
        <w:tc>
          <w:tcPr>
            <w:tcW w:w="1398" w:type="dxa"/>
            <w:tcBorders>
              <w:top w:val="nil"/>
              <w:left w:val="nil"/>
              <w:bottom w:val="single" w:sz="4" w:space="0" w:color="auto"/>
              <w:right w:val="single" w:sz="4" w:space="0" w:color="auto"/>
            </w:tcBorders>
            <w:shd w:val="clear" w:color="000000" w:fill="FFFFFF"/>
            <w:noWrap/>
            <w:vAlign w:val="bottom"/>
          </w:tcPr>
          <w:p w14:paraId="7E981BD5" w14:textId="72D12813"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10.252 </w:t>
            </w:r>
          </w:p>
        </w:tc>
        <w:tc>
          <w:tcPr>
            <w:tcW w:w="1399" w:type="dxa"/>
            <w:tcBorders>
              <w:top w:val="nil"/>
              <w:left w:val="nil"/>
              <w:bottom w:val="single" w:sz="4" w:space="0" w:color="auto"/>
              <w:right w:val="single" w:sz="4" w:space="0" w:color="auto"/>
            </w:tcBorders>
            <w:shd w:val="clear" w:color="000000" w:fill="FFFFFF"/>
            <w:noWrap/>
            <w:vAlign w:val="bottom"/>
          </w:tcPr>
          <w:p w14:paraId="2C70C346" w14:textId="5CFB5052"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43 </w:t>
            </w:r>
          </w:p>
        </w:tc>
        <w:tc>
          <w:tcPr>
            <w:tcW w:w="1960" w:type="dxa"/>
            <w:tcBorders>
              <w:top w:val="nil"/>
              <w:left w:val="nil"/>
              <w:bottom w:val="single" w:sz="4" w:space="0" w:color="auto"/>
              <w:right w:val="single" w:sz="4" w:space="0" w:color="auto"/>
            </w:tcBorders>
            <w:shd w:val="clear" w:color="000000" w:fill="FFFFFF"/>
            <w:noWrap/>
            <w:vAlign w:val="bottom"/>
          </w:tcPr>
          <w:p w14:paraId="7D0028DF" w14:textId="30453787"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10.399 </w:t>
            </w:r>
          </w:p>
        </w:tc>
      </w:tr>
      <w:tr w:rsidR="00764FD5" w:rsidRPr="00701F32" w14:paraId="53B7C7D2" w14:textId="77777777" w:rsidTr="00764FD5">
        <w:trPr>
          <w:trHeight w:val="451"/>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77CF0A12"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Títulos de deuda a valor razonable con cambios en resultados</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5CC23C17" w14:textId="6A6FF26F"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8" w:type="dxa"/>
            <w:tcBorders>
              <w:top w:val="nil"/>
              <w:left w:val="nil"/>
              <w:bottom w:val="single" w:sz="4" w:space="0" w:color="auto"/>
              <w:right w:val="single" w:sz="4" w:space="0" w:color="auto"/>
            </w:tcBorders>
            <w:shd w:val="clear" w:color="000000" w:fill="FFFFFF"/>
            <w:noWrap/>
            <w:vAlign w:val="bottom"/>
          </w:tcPr>
          <w:p w14:paraId="22881965" w14:textId="63B47599"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9" w:type="dxa"/>
            <w:tcBorders>
              <w:top w:val="nil"/>
              <w:left w:val="nil"/>
              <w:bottom w:val="single" w:sz="4" w:space="0" w:color="auto"/>
              <w:right w:val="single" w:sz="4" w:space="0" w:color="auto"/>
            </w:tcBorders>
            <w:shd w:val="clear" w:color="000000" w:fill="FFFFFF"/>
            <w:noWrap/>
            <w:vAlign w:val="bottom"/>
          </w:tcPr>
          <w:p w14:paraId="5A4305C4" w14:textId="1D10504A"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14.941.290 </w:t>
            </w:r>
          </w:p>
        </w:tc>
        <w:tc>
          <w:tcPr>
            <w:tcW w:w="1960" w:type="dxa"/>
            <w:tcBorders>
              <w:top w:val="nil"/>
              <w:left w:val="nil"/>
              <w:bottom w:val="single" w:sz="4" w:space="0" w:color="auto"/>
              <w:right w:val="single" w:sz="4" w:space="0" w:color="auto"/>
            </w:tcBorders>
            <w:shd w:val="clear" w:color="000000" w:fill="FFFFFF"/>
            <w:noWrap/>
            <w:vAlign w:val="bottom"/>
          </w:tcPr>
          <w:p w14:paraId="58411462" w14:textId="15E4FB54"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14.941.290 </w:t>
            </w:r>
          </w:p>
        </w:tc>
      </w:tr>
      <w:tr w:rsidR="00764FD5" w:rsidRPr="00701F32" w14:paraId="56990696" w14:textId="77777777" w:rsidTr="00764FD5">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4C79A36C"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 xml:space="preserve">Instrumentos derivados </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717F41CB" w14:textId="0C8A9432"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8" w:type="dxa"/>
            <w:tcBorders>
              <w:top w:val="nil"/>
              <w:left w:val="nil"/>
              <w:bottom w:val="single" w:sz="4" w:space="0" w:color="auto"/>
              <w:right w:val="single" w:sz="4" w:space="0" w:color="auto"/>
            </w:tcBorders>
            <w:shd w:val="clear" w:color="000000" w:fill="FFFFFF"/>
            <w:noWrap/>
            <w:vAlign w:val="bottom"/>
          </w:tcPr>
          <w:p w14:paraId="3A0C079A" w14:textId="3B63EB00"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9" w:type="dxa"/>
            <w:tcBorders>
              <w:top w:val="nil"/>
              <w:left w:val="nil"/>
              <w:bottom w:val="single" w:sz="4" w:space="0" w:color="auto"/>
              <w:right w:val="single" w:sz="4" w:space="0" w:color="auto"/>
            </w:tcBorders>
            <w:shd w:val="clear" w:color="000000" w:fill="FFFFFF"/>
            <w:noWrap/>
            <w:vAlign w:val="bottom"/>
          </w:tcPr>
          <w:p w14:paraId="7A8C6659" w14:textId="033B389E"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15.924 </w:t>
            </w:r>
          </w:p>
        </w:tc>
        <w:tc>
          <w:tcPr>
            <w:tcW w:w="1960" w:type="dxa"/>
            <w:tcBorders>
              <w:top w:val="nil"/>
              <w:left w:val="nil"/>
              <w:bottom w:val="single" w:sz="4" w:space="0" w:color="auto"/>
              <w:right w:val="single" w:sz="4" w:space="0" w:color="auto"/>
            </w:tcBorders>
            <w:shd w:val="clear" w:color="000000" w:fill="FFFFFF"/>
            <w:noWrap/>
            <w:vAlign w:val="bottom"/>
          </w:tcPr>
          <w:p w14:paraId="773F6881" w14:textId="11F7C22B"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15.924 </w:t>
            </w:r>
          </w:p>
        </w:tc>
      </w:tr>
      <w:tr w:rsidR="00764FD5" w:rsidRPr="00701F32" w14:paraId="423A6B1C" w14:textId="77777777" w:rsidTr="00764FD5">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7AB0C9E4"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 xml:space="preserve">Otros activos financieros </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6B3E2F94" w14:textId="68E0AB03"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330 </w:t>
            </w:r>
          </w:p>
        </w:tc>
        <w:tc>
          <w:tcPr>
            <w:tcW w:w="1398" w:type="dxa"/>
            <w:tcBorders>
              <w:top w:val="nil"/>
              <w:left w:val="nil"/>
              <w:bottom w:val="single" w:sz="4" w:space="0" w:color="auto"/>
              <w:right w:val="single" w:sz="4" w:space="0" w:color="auto"/>
            </w:tcBorders>
            <w:shd w:val="clear" w:color="000000" w:fill="FFFFFF"/>
            <w:noWrap/>
            <w:vAlign w:val="bottom"/>
          </w:tcPr>
          <w:p w14:paraId="4BB4356E" w14:textId="0E0D7633"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665.440 </w:t>
            </w:r>
          </w:p>
        </w:tc>
        <w:tc>
          <w:tcPr>
            <w:tcW w:w="1399" w:type="dxa"/>
            <w:tcBorders>
              <w:top w:val="nil"/>
              <w:left w:val="nil"/>
              <w:bottom w:val="single" w:sz="4" w:space="0" w:color="auto"/>
              <w:right w:val="single" w:sz="4" w:space="0" w:color="auto"/>
            </w:tcBorders>
            <w:shd w:val="clear" w:color="000000" w:fill="FFFFFF"/>
            <w:noWrap/>
            <w:vAlign w:val="bottom"/>
          </w:tcPr>
          <w:p w14:paraId="5B728FC1" w14:textId="357C296B"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33.861 </w:t>
            </w:r>
          </w:p>
        </w:tc>
        <w:tc>
          <w:tcPr>
            <w:tcW w:w="1960" w:type="dxa"/>
            <w:tcBorders>
              <w:top w:val="nil"/>
              <w:left w:val="nil"/>
              <w:bottom w:val="single" w:sz="4" w:space="0" w:color="auto"/>
              <w:right w:val="single" w:sz="4" w:space="0" w:color="auto"/>
            </w:tcBorders>
            <w:shd w:val="clear" w:color="000000" w:fill="FFFFFF"/>
            <w:noWrap/>
            <w:vAlign w:val="bottom"/>
          </w:tcPr>
          <w:p w14:paraId="5501D44D" w14:textId="774DABC2"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699.631 </w:t>
            </w:r>
          </w:p>
        </w:tc>
      </w:tr>
      <w:tr w:rsidR="00764FD5" w:rsidRPr="00701F32" w14:paraId="6E81325A" w14:textId="77777777" w:rsidTr="00764FD5">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562BE28B"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 xml:space="preserve">Préstamos y otras financiaciones </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6C9ED260" w14:textId="79C33306"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39.133.720 </w:t>
            </w:r>
          </w:p>
        </w:tc>
        <w:tc>
          <w:tcPr>
            <w:tcW w:w="1398" w:type="dxa"/>
            <w:tcBorders>
              <w:top w:val="nil"/>
              <w:left w:val="nil"/>
              <w:bottom w:val="single" w:sz="4" w:space="0" w:color="auto"/>
              <w:right w:val="single" w:sz="4" w:space="0" w:color="auto"/>
            </w:tcBorders>
            <w:shd w:val="clear" w:color="000000" w:fill="FFFFFF"/>
            <w:noWrap/>
            <w:vAlign w:val="bottom"/>
          </w:tcPr>
          <w:p w14:paraId="23F98B96" w14:textId="50896FA1"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30.897.234 </w:t>
            </w:r>
          </w:p>
        </w:tc>
        <w:tc>
          <w:tcPr>
            <w:tcW w:w="1399" w:type="dxa"/>
            <w:tcBorders>
              <w:top w:val="nil"/>
              <w:left w:val="nil"/>
              <w:bottom w:val="single" w:sz="4" w:space="0" w:color="auto"/>
              <w:right w:val="single" w:sz="4" w:space="0" w:color="auto"/>
            </w:tcBorders>
            <w:shd w:val="clear" w:color="000000" w:fill="FFFFFF"/>
            <w:noWrap/>
            <w:vAlign w:val="bottom"/>
          </w:tcPr>
          <w:p w14:paraId="376CC3BF" w14:textId="438C5678"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2.834.700 </w:t>
            </w:r>
          </w:p>
        </w:tc>
        <w:tc>
          <w:tcPr>
            <w:tcW w:w="1960" w:type="dxa"/>
            <w:tcBorders>
              <w:top w:val="nil"/>
              <w:left w:val="nil"/>
              <w:bottom w:val="single" w:sz="4" w:space="0" w:color="auto"/>
              <w:right w:val="single" w:sz="4" w:space="0" w:color="auto"/>
            </w:tcBorders>
            <w:shd w:val="clear" w:color="000000" w:fill="FFFFFF"/>
            <w:noWrap/>
            <w:vAlign w:val="bottom"/>
          </w:tcPr>
          <w:p w14:paraId="629E5073" w14:textId="79DE1168"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72.865.654 </w:t>
            </w:r>
          </w:p>
        </w:tc>
      </w:tr>
      <w:tr w:rsidR="00764FD5" w:rsidRPr="00701F32" w14:paraId="172FBEE1" w14:textId="77777777" w:rsidTr="00764FD5">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noWrap/>
            <w:vAlign w:val="bottom"/>
            <w:hideMark/>
          </w:tcPr>
          <w:p w14:paraId="6D759A15" w14:textId="77777777" w:rsidR="00764FD5" w:rsidRPr="00701F32" w:rsidRDefault="00764FD5" w:rsidP="00764FD5">
            <w:pPr>
              <w:rPr>
                <w:rFonts w:ascii="Arial" w:hAnsi="Arial" w:cs="Arial"/>
                <w:sz w:val="16"/>
                <w:szCs w:val="16"/>
                <w:lang w:eastAsia="es-AR"/>
              </w:rPr>
            </w:pPr>
            <w:r w:rsidRPr="00701F32">
              <w:rPr>
                <w:rFonts w:ascii="Arial" w:hAnsi="Arial" w:cs="Arial"/>
                <w:sz w:val="16"/>
                <w:szCs w:val="16"/>
                <w:lang w:eastAsia="es-AR"/>
              </w:rPr>
              <w:t xml:space="preserve">   Sector público no financiero</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53A50D57" w14:textId="574EBE7D"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527 </w:t>
            </w:r>
          </w:p>
        </w:tc>
        <w:tc>
          <w:tcPr>
            <w:tcW w:w="1398" w:type="dxa"/>
            <w:tcBorders>
              <w:top w:val="nil"/>
              <w:left w:val="nil"/>
              <w:bottom w:val="single" w:sz="4" w:space="0" w:color="auto"/>
              <w:right w:val="single" w:sz="4" w:space="0" w:color="auto"/>
            </w:tcBorders>
            <w:shd w:val="clear" w:color="000000" w:fill="FFFFFF"/>
            <w:noWrap/>
            <w:vAlign w:val="bottom"/>
          </w:tcPr>
          <w:p w14:paraId="7DFDAA3A" w14:textId="02EE970F"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26 </w:t>
            </w:r>
          </w:p>
        </w:tc>
        <w:tc>
          <w:tcPr>
            <w:tcW w:w="1399" w:type="dxa"/>
            <w:tcBorders>
              <w:top w:val="nil"/>
              <w:left w:val="nil"/>
              <w:bottom w:val="single" w:sz="4" w:space="0" w:color="auto"/>
              <w:right w:val="single" w:sz="4" w:space="0" w:color="auto"/>
            </w:tcBorders>
            <w:shd w:val="clear" w:color="000000" w:fill="FFFFFF"/>
            <w:noWrap/>
            <w:vAlign w:val="bottom"/>
          </w:tcPr>
          <w:p w14:paraId="07787B4B" w14:textId="1625BF2B"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32.249 </w:t>
            </w:r>
          </w:p>
        </w:tc>
        <w:tc>
          <w:tcPr>
            <w:tcW w:w="1960" w:type="dxa"/>
            <w:tcBorders>
              <w:top w:val="nil"/>
              <w:left w:val="nil"/>
              <w:bottom w:val="single" w:sz="4" w:space="0" w:color="auto"/>
              <w:right w:val="single" w:sz="4" w:space="0" w:color="auto"/>
            </w:tcBorders>
            <w:shd w:val="clear" w:color="000000" w:fill="FFFFFF"/>
            <w:noWrap/>
            <w:vAlign w:val="bottom"/>
          </w:tcPr>
          <w:p w14:paraId="341EA86A" w14:textId="41238840"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32.802 </w:t>
            </w:r>
          </w:p>
        </w:tc>
      </w:tr>
      <w:tr w:rsidR="00764FD5" w:rsidRPr="00701F32" w14:paraId="1457B9BD" w14:textId="77777777" w:rsidTr="00764FD5">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1DBA8572" w14:textId="77777777" w:rsidR="00764FD5" w:rsidRPr="00701F32" w:rsidRDefault="00764FD5" w:rsidP="00764FD5">
            <w:pPr>
              <w:rPr>
                <w:rFonts w:ascii="Arial" w:hAnsi="Arial" w:cs="Arial"/>
                <w:sz w:val="16"/>
                <w:szCs w:val="16"/>
                <w:lang w:val="es-ES" w:eastAsia="es-AR"/>
              </w:rPr>
            </w:pPr>
            <w:r w:rsidRPr="00701F32">
              <w:rPr>
                <w:rFonts w:ascii="Arial" w:hAnsi="Arial" w:cs="Arial"/>
                <w:sz w:val="16"/>
                <w:szCs w:val="16"/>
                <w:lang w:eastAsia="es-AR"/>
              </w:rPr>
              <w:t xml:space="preserve">   Otras entidades financieras </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179E39BD" w14:textId="0B2ECF80"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364.849 </w:t>
            </w:r>
          </w:p>
        </w:tc>
        <w:tc>
          <w:tcPr>
            <w:tcW w:w="1398" w:type="dxa"/>
            <w:tcBorders>
              <w:top w:val="nil"/>
              <w:left w:val="nil"/>
              <w:bottom w:val="single" w:sz="4" w:space="0" w:color="auto"/>
              <w:right w:val="single" w:sz="4" w:space="0" w:color="auto"/>
            </w:tcBorders>
            <w:shd w:val="clear" w:color="000000" w:fill="FFFFFF"/>
            <w:noWrap/>
            <w:vAlign w:val="bottom"/>
          </w:tcPr>
          <w:p w14:paraId="2C19BA8A" w14:textId="1DDB2995"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w:t>
            </w:r>
            <w:r w:rsidRPr="00613EB0">
              <w:rPr>
                <w:rFonts w:ascii="Arial" w:hAnsi="Arial" w:cs="Arial"/>
                <w:sz w:val="16"/>
                <w:szCs w:val="16"/>
              </w:rPr>
              <w:t>-18.021</w:t>
            </w:r>
            <w:r w:rsidRPr="00697172">
              <w:rPr>
                <w:rFonts w:ascii="Arial" w:hAnsi="Arial" w:cs="Arial"/>
                <w:sz w:val="16"/>
                <w:szCs w:val="16"/>
              </w:rPr>
              <w:t xml:space="preserve"> </w:t>
            </w:r>
          </w:p>
        </w:tc>
        <w:tc>
          <w:tcPr>
            <w:tcW w:w="1399" w:type="dxa"/>
            <w:tcBorders>
              <w:top w:val="nil"/>
              <w:left w:val="nil"/>
              <w:bottom w:val="single" w:sz="4" w:space="0" w:color="auto"/>
              <w:right w:val="single" w:sz="4" w:space="0" w:color="auto"/>
            </w:tcBorders>
            <w:shd w:val="clear" w:color="000000" w:fill="FFFFFF"/>
            <w:noWrap/>
            <w:vAlign w:val="bottom"/>
          </w:tcPr>
          <w:p w14:paraId="7216006B" w14:textId="7BD708ED"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2.604.095 </w:t>
            </w:r>
          </w:p>
        </w:tc>
        <w:tc>
          <w:tcPr>
            <w:tcW w:w="1960" w:type="dxa"/>
            <w:tcBorders>
              <w:top w:val="nil"/>
              <w:left w:val="nil"/>
              <w:bottom w:val="single" w:sz="4" w:space="0" w:color="auto"/>
              <w:right w:val="single" w:sz="4" w:space="0" w:color="auto"/>
            </w:tcBorders>
            <w:shd w:val="clear" w:color="000000" w:fill="FFFFFF"/>
            <w:noWrap/>
            <w:vAlign w:val="bottom"/>
          </w:tcPr>
          <w:p w14:paraId="511B033A" w14:textId="037E5719"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2.950.923 </w:t>
            </w:r>
          </w:p>
        </w:tc>
      </w:tr>
      <w:tr w:rsidR="00764FD5" w:rsidRPr="00701F32" w14:paraId="09C2D91F" w14:textId="77777777" w:rsidTr="00764FD5">
        <w:trPr>
          <w:trHeight w:val="284"/>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047D5032" w14:textId="77777777" w:rsidR="00764FD5" w:rsidRPr="00701F32" w:rsidRDefault="00764FD5" w:rsidP="00764FD5">
            <w:pPr>
              <w:rPr>
                <w:rFonts w:ascii="Arial" w:hAnsi="Arial" w:cs="Arial"/>
                <w:sz w:val="16"/>
                <w:szCs w:val="16"/>
                <w:lang w:eastAsia="es-AR"/>
              </w:rPr>
            </w:pPr>
            <w:r w:rsidRPr="00701F32">
              <w:rPr>
                <w:rFonts w:ascii="Arial" w:hAnsi="Arial" w:cs="Arial"/>
                <w:sz w:val="16"/>
                <w:szCs w:val="16"/>
                <w:lang w:eastAsia="es-AR"/>
              </w:rPr>
              <w:t xml:space="preserve">   Sector privado no financiero y residentes en el exterior </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567A3B0C" w14:textId="20E01C3F"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38.768.344 </w:t>
            </w:r>
          </w:p>
        </w:tc>
        <w:tc>
          <w:tcPr>
            <w:tcW w:w="1398" w:type="dxa"/>
            <w:tcBorders>
              <w:top w:val="nil"/>
              <w:left w:val="nil"/>
              <w:bottom w:val="single" w:sz="4" w:space="0" w:color="auto"/>
              <w:right w:val="single" w:sz="4" w:space="0" w:color="auto"/>
            </w:tcBorders>
            <w:shd w:val="clear" w:color="000000" w:fill="FFFFFF"/>
            <w:noWrap/>
            <w:vAlign w:val="bottom"/>
          </w:tcPr>
          <w:p w14:paraId="2A380DA2" w14:textId="50A85F46"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30.915.229 </w:t>
            </w:r>
          </w:p>
        </w:tc>
        <w:tc>
          <w:tcPr>
            <w:tcW w:w="1399" w:type="dxa"/>
            <w:tcBorders>
              <w:top w:val="nil"/>
              <w:left w:val="nil"/>
              <w:bottom w:val="single" w:sz="4" w:space="0" w:color="auto"/>
              <w:right w:val="single" w:sz="4" w:space="0" w:color="auto"/>
            </w:tcBorders>
            <w:shd w:val="clear" w:color="000000" w:fill="FFFFFF"/>
            <w:noWrap/>
            <w:vAlign w:val="bottom"/>
          </w:tcPr>
          <w:p w14:paraId="436FC443" w14:textId="665BD7B8"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198.356 </w:t>
            </w:r>
          </w:p>
        </w:tc>
        <w:tc>
          <w:tcPr>
            <w:tcW w:w="1960" w:type="dxa"/>
            <w:tcBorders>
              <w:top w:val="nil"/>
              <w:left w:val="nil"/>
              <w:bottom w:val="single" w:sz="4" w:space="0" w:color="auto"/>
              <w:right w:val="single" w:sz="4" w:space="0" w:color="auto"/>
            </w:tcBorders>
            <w:shd w:val="clear" w:color="000000" w:fill="FFFFFF"/>
            <w:noWrap/>
            <w:vAlign w:val="bottom"/>
          </w:tcPr>
          <w:p w14:paraId="31C911F6" w14:textId="6C6F9F22" w:rsidR="00764FD5" w:rsidRPr="00701F32" w:rsidRDefault="00764FD5" w:rsidP="00764FD5">
            <w:pPr>
              <w:jc w:val="right"/>
              <w:rPr>
                <w:rFonts w:ascii="Arial" w:hAnsi="Arial" w:cs="Arial"/>
                <w:bCs/>
                <w:sz w:val="16"/>
                <w:szCs w:val="16"/>
                <w:lang w:val="es-ES" w:eastAsia="es-AR"/>
              </w:rPr>
            </w:pPr>
            <w:r w:rsidRPr="00697172">
              <w:rPr>
                <w:rFonts w:ascii="Arial" w:hAnsi="Arial" w:cs="Arial"/>
                <w:sz w:val="16"/>
                <w:szCs w:val="16"/>
              </w:rPr>
              <w:t xml:space="preserve"> 69.881.929 </w:t>
            </w:r>
          </w:p>
        </w:tc>
      </w:tr>
      <w:tr w:rsidR="00764FD5" w:rsidRPr="00701F32" w14:paraId="1CD32A6F" w14:textId="77777777" w:rsidTr="00764FD5">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13102A12"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Otros títulos de deuda</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6E2AA3AB" w14:textId="1138CDC5"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4.186 </w:t>
            </w:r>
          </w:p>
        </w:tc>
        <w:tc>
          <w:tcPr>
            <w:tcW w:w="1398" w:type="dxa"/>
            <w:tcBorders>
              <w:top w:val="nil"/>
              <w:left w:val="nil"/>
              <w:bottom w:val="single" w:sz="4" w:space="0" w:color="auto"/>
              <w:right w:val="single" w:sz="4" w:space="0" w:color="auto"/>
            </w:tcBorders>
            <w:shd w:val="clear" w:color="000000" w:fill="FFFFFF"/>
            <w:noWrap/>
            <w:vAlign w:val="bottom"/>
          </w:tcPr>
          <w:p w14:paraId="74D5BA9F" w14:textId="4B3AC021"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9" w:type="dxa"/>
            <w:tcBorders>
              <w:top w:val="nil"/>
              <w:left w:val="nil"/>
              <w:bottom w:val="single" w:sz="4" w:space="0" w:color="auto"/>
              <w:right w:val="single" w:sz="4" w:space="0" w:color="auto"/>
            </w:tcBorders>
            <w:shd w:val="clear" w:color="000000" w:fill="FFFFFF"/>
            <w:noWrap/>
            <w:vAlign w:val="bottom"/>
          </w:tcPr>
          <w:p w14:paraId="46656E5B" w14:textId="27E9895B"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4.130.307 </w:t>
            </w:r>
          </w:p>
        </w:tc>
        <w:tc>
          <w:tcPr>
            <w:tcW w:w="1960" w:type="dxa"/>
            <w:tcBorders>
              <w:top w:val="nil"/>
              <w:left w:val="nil"/>
              <w:bottom w:val="single" w:sz="4" w:space="0" w:color="auto"/>
              <w:right w:val="single" w:sz="4" w:space="0" w:color="auto"/>
            </w:tcBorders>
            <w:shd w:val="clear" w:color="000000" w:fill="FFFFFF"/>
            <w:noWrap/>
            <w:vAlign w:val="bottom"/>
          </w:tcPr>
          <w:p w14:paraId="3C4777FE" w14:textId="454739F5"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4.134.493 </w:t>
            </w:r>
          </w:p>
        </w:tc>
      </w:tr>
      <w:tr w:rsidR="00764FD5" w:rsidRPr="00701F32" w14:paraId="116B830C" w14:textId="77777777" w:rsidTr="00764FD5">
        <w:trPr>
          <w:trHeight w:val="330"/>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6C0FB206"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Activos financieros entregados en garantía</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312D77E2" w14:textId="588733EF"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8" w:type="dxa"/>
            <w:tcBorders>
              <w:top w:val="nil"/>
              <w:left w:val="nil"/>
              <w:bottom w:val="single" w:sz="4" w:space="0" w:color="auto"/>
              <w:right w:val="single" w:sz="4" w:space="0" w:color="auto"/>
            </w:tcBorders>
            <w:shd w:val="clear" w:color="000000" w:fill="FFFFFF"/>
            <w:noWrap/>
            <w:vAlign w:val="bottom"/>
          </w:tcPr>
          <w:p w14:paraId="385CDB90" w14:textId="55E0400C"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248.970 </w:t>
            </w:r>
          </w:p>
        </w:tc>
        <w:tc>
          <w:tcPr>
            <w:tcW w:w="1399" w:type="dxa"/>
            <w:tcBorders>
              <w:top w:val="nil"/>
              <w:left w:val="nil"/>
              <w:bottom w:val="single" w:sz="4" w:space="0" w:color="auto"/>
              <w:right w:val="single" w:sz="4" w:space="0" w:color="auto"/>
            </w:tcBorders>
            <w:shd w:val="clear" w:color="000000" w:fill="FFFFFF"/>
            <w:noWrap/>
            <w:vAlign w:val="bottom"/>
          </w:tcPr>
          <w:p w14:paraId="5D600192" w14:textId="1705FF9A"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1.633.630 </w:t>
            </w:r>
          </w:p>
        </w:tc>
        <w:tc>
          <w:tcPr>
            <w:tcW w:w="1960" w:type="dxa"/>
            <w:tcBorders>
              <w:top w:val="nil"/>
              <w:left w:val="nil"/>
              <w:bottom w:val="single" w:sz="4" w:space="0" w:color="auto"/>
              <w:right w:val="single" w:sz="4" w:space="0" w:color="auto"/>
            </w:tcBorders>
            <w:shd w:val="clear" w:color="000000" w:fill="FFFFFF"/>
            <w:noWrap/>
            <w:vAlign w:val="bottom"/>
          </w:tcPr>
          <w:p w14:paraId="47292B36" w14:textId="5C2B785B"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1.882.600 </w:t>
            </w:r>
          </w:p>
        </w:tc>
      </w:tr>
      <w:tr w:rsidR="00764FD5" w:rsidRPr="00701F32" w14:paraId="7DF9D805" w14:textId="77777777" w:rsidTr="00764FD5">
        <w:trPr>
          <w:trHeight w:val="299"/>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648F2153"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Activos por impuestos a las ganancias corriente</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61FE4F4F" w14:textId="0AB52ADB"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8" w:type="dxa"/>
            <w:tcBorders>
              <w:top w:val="nil"/>
              <w:left w:val="nil"/>
              <w:bottom w:val="single" w:sz="4" w:space="0" w:color="auto"/>
              <w:right w:val="single" w:sz="4" w:space="0" w:color="auto"/>
            </w:tcBorders>
            <w:shd w:val="clear" w:color="000000" w:fill="FFFFFF"/>
            <w:noWrap/>
            <w:vAlign w:val="bottom"/>
          </w:tcPr>
          <w:p w14:paraId="74356196" w14:textId="6339C755"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9" w:type="dxa"/>
            <w:tcBorders>
              <w:top w:val="nil"/>
              <w:left w:val="nil"/>
              <w:bottom w:val="single" w:sz="4" w:space="0" w:color="auto"/>
              <w:right w:val="single" w:sz="4" w:space="0" w:color="auto"/>
            </w:tcBorders>
            <w:shd w:val="clear" w:color="000000" w:fill="FFFFFF"/>
            <w:noWrap/>
            <w:vAlign w:val="bottom"/>
          </w:tcPr>
          <w:p w14:paraId="3EEDBA2B" w14:textId="3AA0F56D"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415.251 </w:t>
            </w:r>
          </w:p>
        </w:tc>
        <w:tc>
          <w:tcPr>
            <w:tcW w:w="1960" w:type="dxa"/>
            <w:tcBorders>
              <w:top w:val="nil"/>
              <w:left w:val="nil"/>
              <w:bottom w:val="single" w:sz="4" w:space="0" w:color="auto"/>
              <w:right w:val="single" w:sz="4" w:space="0" w:color="auto"/>
            </w:tcBorders>
            <w:shd w:val="clear" w:color="000000" w:fill="FFFFFF"/>
            <w:noWrap/>
            <w:vAlign w:val="bottom"/>
          </w:tcPr>
          <w:p w14:paraId="410BD512" w14:textId="4BF41F81"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415.251 </w:t>
            </w:r>
          </w:p>
        </w:tc>
      </w:tr>
      <w:tr w:rsidR="00764FD5" w:rsidRPr="00701F32" w14:paraId="1B98AC2A" w14:textId="77777777" w:rsidTr="00764FD5">
        <w:trPr>
          <w:trHeight w:val="240"/>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74E138C4"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Inversiones en instrumentos de patrimonio</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7F4BA844" w14:textId="6F696796"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1.472 </w:t>
            </w:r>
          </w:p>
        </w:tc>
        <w:tc>
          <w:tcPr>
            <w:tcW w:w="1398" w:type="dxa"/>
            <w:tcBorders>
              <w:top w:val="nil"/>
              <w:left w:val="nil"/>
              <w:bottom w:val="single" w:sz="4" w:space="0" w:color="auto"/>
              <w:right w:val="single" w:sz="4" w:space="0" w:color="auto"/>
            </w:tcBorders>
            <w:shd w:val="clear" w:color="000000" w:fill="FFFFFF"/>
            <w:noWrap/>
            <w:vAlign w:val="bottom"/>
          </w:tcPr>
          <w:p w14:paraId="14833CA8" w14:textId="39B7C986"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7.268 </w:t>
            </w:r>
          </w:p>
        </w:tc>
        <w:tc>
          <w:tcPr>
            <w:tcW w:w="1399" w:type="dxa"/>
            <w:tcBorders>
              <w:top w:val="nil"/>
              <w:left w:val="nil"/>
              <w:bottom w:val="single" w:sz="4" w:space="0" w:color="auto"/>
              <w:right w:val="single" w:sz="4" w:space="0" w:color="auto"/>
            </w:tcBorders>
            <w:shd w:val="clear" w:color="000000" w:fill="FFFFFF"/>
            <w:noWrap/>
            <w:vAlign w:val="bottom"/>
          </w:tcPr>
          <w:p w14:paraId="09BAA791" w14:textId="5ABAE009"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1.664 </w:t>
            </w:r>
          </w:p>
        </w:tc>
        <w:tc>
          <w:tcPr>
            <w:tcW w:w="1960" w:type="dxa"/>
            <w:tcBorders>
              <w:top w:val="nil"/>
              <w:left w:val="nil"/>
              <w:bottom w:val="single" w:sz="4" w:space="0" w:color="auto"/>
              <w:right w:val="single" w:sz="4" w:space="0" w:color="auto"/>
            </w:tcBorders>
            <w:shd w:val="clear" w:color="000000" w:fill="FFFFFF"/>
            <w:noWrap/>
            <w:vAlign w:val="bottom"/>
          </w:tcPr>
          <w:p w14:paraId="58BB116F" w14:textId="4E31A89D"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10.404 </w:t>
            </w:r>
          </w:p>
        </w:tc>
      </w:tr>
      <w:tr w:rsidR="00764FD5" w:rsidRPr="00701F32" w14:paraId="7D3DB386" w14:textId="77777777" w:rsidTr="00764FD5">
        <w:trPr>
          <w:trHeight w:val="293"/>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4B117CC2"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Inversión en subsidiarias, asociadas y negocios conjuntos</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78EBEC79" w14:textId="621E65BA"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8" w:type="dxa"/>
            <w:tcBorders>
              <w:top w:val="nil"/>
              <w:left w:val="nil"/>
              <w:bottom w:val="single" w:sz="4" w:space="0" w:color="auto"/>
              <w:right w:val="single" w:sz="4" w:space="0" w:color="auto"/>
            </w:tcBorders>
            <w:shd w:val="clear" w:color="000000" w:fill="FFFFFF"/>
            <w:noWrap/>
            <w:vAlign w:val="bottom"/>
          </w:tcPr>
          <w:p w14:paraId="0DDBE189" w14:textId="4331707B"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9" w:type="dxa"/>
            <w:tcBorders>
              <w:top w:val="nil"/>
              <w:left w:val="nil"/>
              <w:bottom w:val="single" w:sz="4" w:space="0" w:color="auto"/>
              <w:right w:val="single" w:sz="4" w:space="0" w:color="auto"/>
            </w:tcBorders>
            <w:shd w:val="clear" w:color="000000" w:fill="FFFFFF"/>
            <w:noWrap/>
            <w:vAlign w:val="bottom"/>
          </w:tcPr>
          <w:p w14:paraId="4767F6BF" w14:textId="5AB4E557"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1.236.879 </w:t>
            </w:r>
          </w:p>
        </w:tc>
        <w:tc>
          <w:tcPr>
            <w:tcW w:w="1960" w:type="dxa"/>
            <w:tcBorders>
              <w:top w:val="nil"/>
              <w:left w:val="nil"/>
              <w:bottom w:val="single" w:sz="4" w:space="0" w:color="auto"/>
              <w:right w:val="single" w:sz="4" w:space="0" w:color="auto"/>
            </w:tcBorders>
            <w:shd w:val="clear" w:color="000000" w:fill="FFFFFF"/>
            <w:noWrap/>
            <w:vAlign w:val="bottom"/>
          </w:tcPr>
          <w:p w14:paraId="7A71DD24" w14:textId="68CF1F75"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1.236.879 </w:t>
            </w:r>
          </w:p>
        </w:tc>
      </w:tr>
      <w:tr w:rsidR="00764FD5" w:rsidRPr="00701F32" w14:paraId="668F325D" w14:textId="77777777" w:rsidTr="00764FD5">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431D08DA"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Propiedad, planta y equipo</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4BE95FB2" w14:textId="6CF6B813"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8" w:type="dxa"/>
            <w:tcBorders>
              <w:top w:val="nil"/>
              <w:left w:val="nil"/>
              <w:bottom w:val="single" w:sz="4" w:space="0" w:color="auto"/>
              <w:right w:val="single" w:sz="4" w:space="0" w:color="auto"/>
            </w:tcBorders>
            <w:shd w:val="clear" w:color="000000" w:fill="FFFFFF"/>
            <w:noWrap/>
            <w:vAlign w:val="bottom"/>
          </w:tcPr>
          <w:p w14:paraId="53091AF6" w14:textId="5000924F"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9" w:type="dxa"/>
            <w:tcBorders>
              <w:top w:val="nil"/>
              <w:left w:val="nil"/>
              <w:bottom w:val="single" w:sz="4" w:space="0" w:color="auto"/>
              <w:right w:val="single" w:sz="4" w:space="0" w:color="auto"/>
            </w:tcBorders>
            <w:shd w:val="clear" w:color="000000" w:fill="FFFFFF"/>
            <w:noWrap/>
            <w:vAlign w:val="bottom"/>
          </w:tcPr>
          <w:p w14:paraId="1F5C2D68" w14:textId="40F9BFA2"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1.675.282 </w:t>
            </w:r>
          </w:p>
        </w:tc>
        <w:tc>
          <w:tcPr>
            <w:tcW w:w="1960" w:type="dxa"/>
            <w:tcBorders>
              <w:top w:val="nil"/>
              <w:left w:val="nil"/>
              <w:bottom w:val="single" w:sz="4" w:space="0" w:color="auto"/>
              <w:right w:val="single" w:sz="4" w:space="0" w:color="auto"/>
            </w:tcBorders>
            <w:shd w:val="clear" w:color="000000" w:fill="FFFFFF"/>
            <w:noWrap/>
            <w:vAlign w:val="bottom"/>
          </w:tcPr>
          <w:p w14:paraId="2E46A0AF" w14:textId="48398903"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1.675.282 </w:t>
            </w:r>
          </w:p>
        </w:tc>
      </w:tr>
      <w:tr w:rsidR="00764FD5" w:rsidRPr="00701F32" w14:paraId="59117F37" w14:textId="77777777" w:rsidTr="00764FD5">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1E8BFCFE"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Activos intangibles</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7B7562A1" w14:textId="624A05CA"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8" w:type="dxa"/>
            <w:tcBorders>
              <w:top w:val="nil"/>
              <w:left w:val="nil"/>
              <w:bottom w:val="single" w:sz="4" w:space="0" w:color="auto"/>
              <w:right w:val="single" w:sz="4" w:space="0" w:color="auto"/>
            </w:tcBorders>
            <w:shd w:val="clear" w:color="000000" w:fill="FFFFFF"/>
            <w:noWrap/>
            <w:vAlign w:val="bottom"/>
          </w:tcPr>
          <w:p w14:paraId="6155A9D4" w14:textId="4CCCFE15"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9" w:type="dxa"/>
            <w:tcBorders>
              <w:top w:val="nil"/>
              <w:left w:val="nil"/>
              <w:bottom w:val="single" w:sz="4" w:space="0" w:color="auto"/>
              <w:right w:val="single" w:sz="4" w:space="0" w:color="auto"/>
            </w:tcBorders>
            <w:shd w:val="clear" w:color="000000" w:fill="FFFFFF"/>
            <w:noWrap/>
            <w:vAlign w:val="bottom"/>
          </w:tcPr>
          <w:p w14:paraId="2E612739" w14:textId="6F3C5473"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352.581 </w:t>
            </w:r>
          </w:p>
        </w:tc>
        <w:tc>
          <w:tcPr>
            <w:tcW w:w="1960" w:type="dxa"/>
            <w:tcBorders>
              <w:top w:val="nil"/>
              <w:left w:val="nil"/>
              <w:bottom w:val="single" w:sz="4" w:space="0" w:color="auto"/>
              <w:right w:val="single" w:sz="4" w:space="0" w:color="auto"/>
            </w:tcBorders>
            <w:shd w:val="clear" w:color="000000" w:fill="FFFFFF"/>
            <w:noWrap/>
            <w:vAlign w:val="bottom"/>
          </w:tcPr>
          <w:p w14:paraId="602A7D30" w14:textId="7880C466"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352.581 </w:t>
            </w:r>
          </w:p>
        </w:tc>
      </w:tr>
      <w:tr w:rsidR="00764FD5" w:rsidRPr="00701F32" w14:paraId="3BB9A9BB" w14:textId="77777777" w:rsidTr="00764FD5">
        <w:trPr>
          <w:trHeight w:val="255"/>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0F4A4696"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Activos por impuesto a las ganancias diferido</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2F82A7A8" w14:textId="7EFB6A5F"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8" w:type="dxa"/>
            <w:tcBorders>
              <w:top w:val="nil"/>
              <w:left w:val="nil"/>
              <w:bottom w:val="single" w:sz="4" w:space="0" w:color="auto"/>
              <w:right w:val="single" w:sz="4" w:space="0" w:color="auto"/>
            </w:tcBorders>
            <w:shd w:val="clear" w:color="000000" w:fill="FFFFFF"/>
            <w:noWrap/>
            <w:vAlign w:val="bottom"/>
          </w:tcPr>
          <w:p w14:paraId="4266B697" w14:textId="0E2CBF51"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399" w:type="dxa"/>
            <w:tcBorders>
              <w:top w:val="nil"/>
              <w:left w:val="nil"/>
              <w:bottom w:val="single" w:sz="4" w:space="0" w:color="auto"/>
              <w:right w:val="single" w:sz="4" w:space="0" w:color="auto"/>
            </w:tcBorders>
            <w:shd w:val="clear" w:color="000000" w:fill="FFFFFF"/>
            <w:noWrap/>
            <w:vAlign w:val="bottom"/>
          </w:tcPr>
          <w:p w14:paraId="7977A188" w14:textId="65B44331"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11.298 </w:t>
            </w:r>
          </w:p>
        </w:tc>
        <w:tc>
          <w:tcPr>
            <w:tcW w:w="1960" w:type="dxa"/>
            <w:tcBorders>
              <w:top w:val="nil"/>
              <w:left w:val="nil"/>
              <w:bottom w:val="single" w:sz="4" w:space="0" w:color="auto"/>
              <w:right w:val="single" w:sz="4" w:space="0" w:color="auto"/>
            </w:tcBorders>
            <w:shd w:val="clear" w:color="000000" w:fill="FFFFFF"/>
            <w:noWrap/>
            <w:vAlign w:val="bottom"/>
          </w:tcPr>
          <w:p w14:paraId="7D7CE712" w14:textId="4F82948E"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11.298 </w:t>
            </w:r>
          </w:p>
        </w:tc>
      </w:tr>
      <w:tr w:rsidR="00764FD5" w:rsidRPr="00701F32" w14:paraId="62322B6B" w14:textId="77777777" w:rsidTr="00764FD5">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vAlign w:val="bottom"/>
            <w:hideMark/>
          </w:tcPr>
          <w:p w14:paraId="5CB13F14" w14:textId="77777777" w:rsidR="00764FD5" w:rsidRPr="00701F32" w:rsidRDefault="00764FD5" w:rsidP="00764FD5">
            <w:pPr>
              <w:rPr>
                <w:rFonts w:ascii="Arial" w:hAnsi="Arial" w:cs="Arial"/>
                <w:b/>
                <w:bCs/>
                <w:sz w:val="16"/>
                <w:szCs w:val="16"/>
                <w:lang w:eastAsia="es-AR"/>
              </w:rPr>
            </w:pPr>
            <w:r w:rsidRPr="00701F32">
              <w:rPr>
                <w:rFonts w:ascii="Arial" w:hAnsi="Arial" w:cs="Arial"/>
                <w:b/>
                <w:bCs/>
                <w:sz w:val="16"/>
                <w:szCs w:val="16"/>
                <w:lang w:eastAsia="es-AR"/>
              </w:rPr>
              <w:t>Otros activos no financieros</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16CDBB6F" w14:textId="5F89D8B0"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30.663 </w:t>
            </w:r>
          </w:p>
        </w:tc>
        <w:tc>
          <w:tcPr>
            <w:tcW w:w="1398" w:type="dxa"/>
            <w:tcBorders>
              <w:top w:val="nil"/>
              <w:left w:val="nil"/>
              <w:bottom w:val="single" w:sz="4" w:space="0" w:color="auto"/>
              <w:right w:val="single" w:sz="4" w:space="0" w:color="auto"/>
            </w:tcBorders>
            <w:shd w:val="clear" w:color="000000" w:fill="FFFFFF"/>
            <w:noWrap/>
            <w:vAlign w:val="bottom"/>
          </w:tcPr>
          <w:p w14:paraId="6D9C4AA4" w14:textId="464AAE41"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161.767 </w:t>
            </w:r>
          </w:p>
        </w:tc>
        <w:tc>
          <w:tcPr>
            <w:tcW w:w="1399" w:type="dxa"/>
            <w:tcBorders>
              <w:top w:val="nil"/>
              <w:left w:val="nil"/>
              <w:bottom w:val="single" w:sz="4" w:space="0" w:color="auto"/>
              <w:right w:val="single" w:sz="4" w:space="0" w:color="auto"/>
            </w:tcBorders>
            <w:shd w:val="clear" w:color="000000" w:fill="FFFFFF"/>
            <w:noWrap/>
            <w:vAlign w:val="bottom"/>
          </w:tcPr>
          <w:p w14:paraId="1FE8740F" w14:textId="3A0BD70B"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781.025 </w:t>
            </w:r>
          </w:p>
        </w:tc>
        <w:tc>
          <w:tcPr>
            <w:tcW w:w="1960" w:type="dxa"/>
            <w:tcBorders>
              <w:top w:val="nil"/>
              <w:left w:val="nil"/>
              <w:bottom w:val="single" w:sz="4" w:space="0" w:color="auto"/>
              <w:right w:val="single" w:sz="4" w:space="0" w:color="auto"/>
            </w:tcBorders>
            <w:shd w:val="clear" w:color="000000" w:fill="FFFFFF"/>
            <w:noWrap/>
            <w:vAlign w:val="bottom"/>
          </w:tcPr>
          <w:p w14:paraId="33B92E4E" w14:textId="73459C42"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973.455 </w:t>
            </w:r>
          </w:p>
        </w:tc>
      </w:tr>
      <w:tr w:rsidR="00764FD5" w:rsidRPr="00701F32" w14:paraId="7F40D198" w14:textId="77777777" w:rsidTr="00BD0B2B">
        <w:trPr>
          <w:trHeight w:val="223"/>
          <w:tblHeader/>
          <w:jc w:val="center"/>
        </w:trPr>
        <w:tc>
          <w:tcPr>
            <w:tcW w:w="4199" w:type="dxa"/>
            <w:tcBorders>
              <w:top w:val="nil"/>
              <w:left w:val="single" w:sz="4" w:space="0" w:color="auto"/>
              <w:bottom w:val="single" w:sz="4" w:space="0" w:color="363639"/>
              <w:right w:val="single" w:sz="4" w:space="0" w:color="363639"/>
            </w:tcBorders>
            <w:shd w:val="clear" w:color="000000" w:fill="FFFFFF"/>
          </w:tcPr>
          <w:p w14:paraId="1DC6219A" w14:textId="7087032C" w:rsidR="00764FD5" w:rsidRPr="00701F32" w:rsidRDefault="00764FD5" w:rsidP="00764FD5">
            <w:pPr>
              <w:rPr>
                <w:rFonts w:ascii="Arial" w:hAnsi="Arial" w:cs="Arial"/>
                <w:b/>
                <w:bCs/>
                <w:sz w:val="16"/>
                <w:szCs w:val="16"/>
                <w:lang w:eastAsia="es-AR"/>
              </w:rPr>
            </w:pPr>
            <w:r w:rsidRPr="00697172">
              <w:rPr>
                <w:rFonts w:ascii="Arial" w:hAnsi="Arial" w:cs="Arial"/>
                <w:b/>
                <w:bCs/>
                <w:sz w:val="16"/>
                <w:szCs w:val="16"/>
                <w:lang w:eastAsia="es-AR"/>
              </w:rPr>
              <w:t>Activos no corrientes mantenidos para la venta</w:t>
            </w:r>
          </w:p>
        </w:tc>
        <w:tc>
          <w:tcPr>
            <w:tcW w:w="1467" w:type="dxa"/>
            <w:tcBorders>
              <w:top w:val="nil"/>
              <w:left w:val="single" w:sz="4" w:space="0" w:color="auto"/>
              <w:bottom w:val="single" w:sz="4" w:space="0" w:color="auto"/>
              <w:right w:val="single" w:sz="4" w:space="0" w:color="auto"/>
            </w:tcBorders>
            <w:shd w:val="clear" w:color="000000" w:fill="FFFFFF"/>
            <w:noWrap/>
            <w:vAlign w:val="bottom"/>
          </w:tcPr>
          <w:p w14:paraId="5503C325" w14:textId="0691B4F6" w:rsidR="00764FD5" w:rsidRPr="00697172" w:rsidRDefault="00764FD5" w:rsidP="00764FD5">
            <w:pPr>
              <w:jc w:val="right"/>
              <w:rPr>
                <w:rFonts w:ascii="Arial" w:hAnsi="Arial" w:cs="Arial"/>
                <w:b/>
                <w:sz w:val="16"/>
                <w:szCs w:val="16"/>
              </w:rPr>
            </w:pPr>
            <w:r w:rsidRPr="00697172">
              <w:rPr>
                <w:rFonts w:ascii="Arial" w:hAnsi="Arial" w:cs="Arial"/>
                <w:b/>
                <w:sz w:val="16"/>
                <w:szCs w:val="16"/>
              </w:rPr>
              <w:t xml:space="preserve"> 2.800 </w:t>
            </w:r>
          </w:p>
        </w:tc>
        <w:tc>
          <w:tcPr>
            <w:tcW w:w="1398" w:type="dxa"/>
            <w:tcBorders>
              <w:top w:val="nil"/>
              <w:left w:val="nil"/>
              <w:bottom w:val="single" w:sz="4" w:space="0" w:color="auto"/>
              <w:right w:val="single" w:sz="4" w:space="0" w:color="auto"/>
            </w:tcBorders>
            <w:shd w:val="clear" w:color="000000" w:fill="FFFFFF"/>
            <w:noWrap/>
            <w:vAlign w:val="bottom"/>
          </w:tcPr>
          <w:p w14:paraId="0C62571C" w14:textId="1ED7EC27" w:rsidR="00764FD5" w:rsidRPr="00697172" w:rsidRDefault="00764FD5" w:rsidP="00764FD5">
            <w:pPr>
              <w:jc w:val="right"/>
              <w:rPr>
                <w:rFonts w:ascii="Arial" w:hAnsi="Arial" w:cs="Arial"/>
                <w:b/>
                <w:sz w:val="16"/>
                <w:szCs w:val="16"/>
              </w:rPr>
            </w:pPr>
            <w:r w:rsidRPr="00697172">
              <w:rPr>
                <w:rFonts w:ascii="Arial" w:hAnsi="Arial" w:cs="Arial"/>
                <w:b/>
                <w:sz w:val="16"/>
                <w:szCs w:val="16"/>
              </w:rPr>
              <w:t xml:space="preserve"> -   </w:t>
            </w:r>
          </w:p>
        </w:tc>
        <w:tc>
          <w:tcPr>
            <w:tcW w:w="1399" w:type="dxa"/>
            <w:tcBorders>
              <w:top w:val="nil"/>
              <w:left w:val="nil"/>
              <w:bottom w:val="single" w:sz="4" w:space="0" w:color="auto"/>
              <w:right w:val="single" w:sz="4" w:space="0" w:color="auto"/>
            </w:tcBorders>
            <w:shd w:val="clear" w:color="000000" w:fill="FFFFFF"/>
            <w:noWrap/>
            <w:vAlign w:val="bottom"/>
          </w:tcPr>
          <w:p w14:paraId="33B47988" w14:textId="5C8B6324" w:rsidR="00764FD5" w:rsidRPr="00697172" w:rsidRDefault="00764FD5" w:rsidP="00764FD5">
            <w:pPr>
              <w:jc w:val="right"/>
              <w:rPr>
                <w:rFonts w:ascii="Arial" w:hAnsi="Arial" w:cs="Arial"/>
                <w:b/>
                <w:sz w:val="16"/>
                <w:szCs w:val="16"/>
              </w:rPr>
            </w:pPr>
            <w:r w:rsidRPr="00697172">
              <w:rPr>
                <w:rFonts w:ascii="Arial" w:hAnsi="Arial" w:cs="Arial"/>
                <w:b/>
                <w:sz w:val="16"/>
                <w:szCs w:val="16"/>
              </w:rPr>
              <w:t xml:space="preserve"> -   </w:t>
            </w:r>
          </w:p>
        </w:tc>
        <w:tc>
          <w:tcPr>
            <w:tcW w:w="1960" w:type="dxa"/>
            <w:tcBorders>
              <w:top w:val="nil"/>
              <w:left w:val="nil"/>
              <w:bottom w:val="single" w:sz="4" w:space="0" w:color="auto"/>
              <w:right w:val="single" w:sz="4" w:space="0" w:color="auto"/>
            </w:tcBorders>
            <w:shd w:val="clear" w:color="000000" w:fill="FFFFFF"/>
            <w:noWrap/>
            <w:vAlign w:val="bottom"/>
          </w:tcPr>
          <w:p w14:paraId="2DA71E44" w14:textId="6A674726" w:rsidR="00764FD5" w:rsidRPr="00697172" w:rsidRDefault="00764FD5" w:rsidP="00764FD5">
            <w:pPr>
              <w:jc w:val="right"/>
              <w:rPr>
                <w:rFonts w:ascii="Arial" w:hAnsi="Arial" w:cs="Arial"/>
                <w:b/>
                <w:sz w:val="16"/>
                <w:szCs w:val="16"/>
              </w:rPr>
            </w:pPr>
            <w:r w:rsidRPr="00697172">
              <w:rPr>
                <w:rFonts w:ascii="Arial" w:hAnsi="Arial" w:cs="Arial"/>
                <w:b/>
                <w:sz w:val="16"/>
                <w:szCs w:val="16"/>
              </w:rPr>
              <w:t xml:space="preserve"> 2.800 </w:t>
            </w:r>
          </w:p>
        </w:tc>
      </w:tr>
      <w:tr w:rsidR="00764FD5" w:rsidRPr="00701F32" w14:paraId="0B163B9F" w14:textId="77777777" w:rsidTr="00764FD5">
        <w:trPr>
          <w:trHeight w:val="223"/>
          <w:tblHeader/>
          <w:jc w:val="center"/>
        </w:trPr>
        <w:tc>
          <w:tcPr>
            <w:tcW w:w="4199" w:type="dxa"/>
            <w:tcBorders>
              <w:top w:val="single" w:sz="4" w:space="0" w:color="auto"/>
              <w:left w:val="single" w:sz="4" w:space="0" w:color="auto"/>
              <w:bottom w:val="single" w:sz="4" w:space="0" w:color="auto"/>
              <w:right w:val="single" w:sz="4" w:space="0" w:color="363639"/>
            </w:tcBorders>
            <w:shd w:val="clear" w:color="000000" w:fill="FFFFFF"/>
            <w:vAlign w:val="bottom"/>
            <w:hideMark/>
          </w:tcPr>
          <w:p w14:paraId="39B893D8" w14:textId="7844843C" w:rsidR="00764FD5" w:rsidRPr="00701F32" w:rsidRDefault="00764FD5" w:rsidP="00764FD5">
            <w:pPr>
              <w:rPr>
                <w:rFonts w:ascii="Arial" w:hAnsi="Arial" w:cs="Arial"/>
                <w:b/>
                <w:bCs/>
                <w:sz w:val="16"/>
                <w:szCs w:val="16"/>
                <w:lang w:val="es-ES" w:eastAsia="es-AR"/>
              </w:rPr>
            </w:pPr>
            <w:r w:rsidRPr="00697172">
              <w:rPr>
                <w:rFonts w:ascii="Arial" w:hAnsi="Arial" w:cs="Arial"/>
                <w:b/>
                <w:bCs/>
                <w:sz w:val="16"/>
                <w:szCs w:val="16"/>
                <w:lang w:eastAsia="es-AR"/>
              </w:rPr>
              <w:t>TOTAL ACTIVO</w:t>
            </w:r>
          </w:p>
        </w:tc>
        <w:tc>
          <w:tcPr>
            <w:tcW w:w="146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90C957D" w14:textId="7791EFD3"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39.498.419 </w:t>
            </w:r>
          </w:p>
        </w:tc>
        <w:tc>
          <w:tcPr>
            <w:tcW w:w="1398" w:type="dxa"/>
            <w:tcBorders>
              <w:top w:val="single" w:sz="4" w:space="0" w:color="auto"/>
              <w:left w:val="nil"/>
              <w:bottom w:val="single" w:sz="4" w:space="0" w:color="auto"/>
              <w:right w:val="single" w:sz="4" w:space="0" w:color="auto"/>
            </w:tcBorders>
            <w:shd w:val="clear" w:color="000000" w:fill="FFFFFF"/>
            <w:noWrap/>
            <w:vAlign w:val="bottom"/>
          </w:tcPr>
          <w:p w14:paraId="72CFDC4F" w14:textId="34AA5F93"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36.686.795 </w:t>
            </w:r>
          </w:p>
        </w:tc>
        <w:tc>
          <w:tcPr>
            <w:tcW w:w="1399" w:type="dxa"/>
            <w:tcBorders>
              <w:top w:val="single" w:sz="4" w:space="0" w:color="auto"/>
              <w:left w:val="nil"/>
              <w:bottom w:val="single" w:sz="4" w:space="0" w:color="auto"/>
              <w:right w:val="single" w:sz="4" w:space="0" w:color="auto"/>
            </w:tcBorders>
            <w:shd w:val="clear" w:color="000000" w:fill="FFFFFF"/>
            <w:noWrap/>
            <w:vAlign w:val="bottom"/>
          </w:tcPr>
          <w:p w14:paraId="2B43C54D" w14:textId="07214FDD"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56.569.590 </w:t>
            </w:r>
          </w:p>
        </w:tc>
        <w:tc>
          <w:tcPr>
            <w:tcW w:w="1960" w:type="dxa"/>
            <w:tcBorders>
              <w:top w:val="single" w:sz="4" w:space="0" w:color="auto"/>
              <w:left w:val="nil"/>
              <w:bottom w:val="single" w:sz="4" w:space="0" w:color="auto"/>
              <w:right w:val="single" w:sz="4" w:space="0" w:color="auto"/>
            </w:tcBorders>
            <w:shd w:val="clear" w:color="000000" w:fill="FFFFFF"/>
            <w:noWrap/>
            <w:vAlign w:val="bottom"/>
          </w:tcPr>
          <w:p w14:paraId="61F4E586" w14:textId="24019360" w:rsidR="00764FD5" w:rsidRPr="00701F32" w:rsidRDefault="00764FD5" w:rsidP="00764FD5">
            <w:pPr>
              <w:jc w:val="right"/>
              <w:rPr>
                <w:rFonts w:ascii="Arial" w:hAnsi="Arial" w:cs="Arial"/>
                <w:b/>
                <w:bCs/>
                <w:sz w:val="16"/>
                <w:szCs w:val="16"/>
                <w:lang w:val="es-ES" w:eastAsia="es-AR"/>
              </w:rPr>
            </w:pPr>
            <w:r w:rsidRPr="00697172">
              <w:rPr>
                <w:rFonts w:ascii="Arial" w:hAnsi="Arial" w:cs="Arial"/>
                <w:b/>
                <w:sz w:val="16"/>
                <w:szCs w:val="16"/>
              </w:rPr>
              <w:t xml:space="preserve"> 132.754.804 </w:t>
            </w:r>
          </w:p>
        </w:tc>
      </w:tr>
    </w:tbl>
    <w:p w14:paraId="3BC671E0" w14:textId="5E680558" w:rsidR="002E6215" w:rsidRDefault="002E6215" w:rsidP="00E97F98">
      <w:pPr>
        <w:jc w:val="both"/>
        <w:rPr>
          <w:rFonts w:ascii="Arial" w:hAnsi="Arial" w:cs="Arial"/>
          <w:sz w:val="20"/>
        </w:rPr>
      </w:pPr>
    </w:p>
    <w:tbl>
      <w:tblPr>
        <w:tblpPr w:leftFromText="141" w:rightFromText="141" w:vertAnchor="text" w:tblpXSpec="center" w:tblpY="1"/>
        <w:tblOverlap w:val="never"/>
        <w:tblW w:w="10379" w:type="dxa"/>
        <w:jc w:val="center"/>
        <w:tblCellMar>
          <w:left w:w="70" w:type="dxa"/>
          <w:right w:w="70" w:type="dxa"/>
        </w:tblCellMar>
        <w:tblLook w:val="04A0" w:firstRow="1" w:lastRow="0" w:firstColumn="1" w:lastColumn="0" w:noHBand="0" w:noVBand="1"/>
      </w:tblPr>
      <w:tblGrid>
        <w:gridCol w:w="4181"/>
        <w:gridCol w:w="1680"/>
        <w:gridCol w:w="1482"/>
        <w:gridCol w:w="1483"/>
        <w:gridCol w:w="1553"/>
      </w:tblGrid>
      <w:tr w:rsidR="0035700B" w:rsidRPr="00697172" w14:paraId="7F8501D9" w14:textId="77777777" w:rsidTr="00F27605">
        <w:trPr>
          <w:trHeight w:val="445"/>
          <w:tblHeader/>
          <w:jc w:val="center"/>
        </w:trPr>
        <w:tc>
          <w:tcPr>
            <w:tcW w:w="418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4DF21B" w14:textId="77777777" w:rsidR="0035700B" w:rsidRPr="00697172" w:rsidRDefault="0035700B" w:rsidP="00F27605">
            <w:pPr>
              <w:rPr>
                <w:rFonts w:ascii="Arial" w:hAnsi="Arial" w:cs="Arial"/>
                <w:b/>
                <w:bCs/>
                <w:sz w:val="16"/>
                <w:szCs w:val="16"/>
                <w:lang w:eastAsia="es-AR"/>
              </w:rPr>
            </w:pPr>
            <w:r w:rsidRPr="00613EB0">
              <w:rPr>
                <w:rFonts w:ascii="Arial" w:hAnsi="Arial" w:cs="Arial"/>
                <w:b/>
                <w:bCs/>
                <w:sz w:val="16"/>
                <w:szCs w:val="16"/>
                <w:lang w:eastAsia="es-AR"/>
              </w:rPr>
              <w:t>PASIVO al 31/12/2018</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14:paraId="3E4DF929" w14:textId="77777777" w:rsidR="0035700B" w:rsidRPr="00697172" w:rsidRDefault="0035700B" w:rsidP="00F27605">
            <w:pPr>
              <w:jc w:val="center"/>
              <w:rPr>
                <w:rFonts w:ascii="Arial" w:hAnsi="Arial" w:cs="Arial"/>
                <w:b/>
                <w:bCs/>
                <w:color w:val="000000"/>
                <w:sz w:val="16"/>
                <w:szCs w:val="16"/>
                <w:lang w:eastAsia="es-AR"/>
              </w:rPr>
            </w:pPr>
            <w:r w:rsidRPr="00697172">
              <w:rPr>
                <w:rFonts w:ascii="Arial" w:hAnsi="Arial" w:cs="Arial"/>
                <w:b/>
                <w:bCs/>
                <w:color w:val="000000"/>
                <w:sz w:val="16"/>
                <w:szCs w:val="16"/>
                <w:lang w:eastAsia="es-AR"/>
              </w:rPr>
              <w:t xml:space="preserve"> Banca Empresa </w:t>
            </w:r>
          </w:p>
        </w:tc>
        <w:tc>
          <w:tcPr>
            <w:tcW w:w="1482" w:type="dxa"/>
            <w:tcBorders>
              <w:top w:val="single" w:sz="4" w:space="0" w:color="auto"/>
              <w:left w:val="nil"/>
              <w:bottom w:val="single" w:sz="4" w:space="0" w:color="auto"/>
              <w:right w:val="single" w:sz="4" w:space="0" w:color="auto"/>
            </w:tcBorders>
            <w:shd w:val="clear" w:color="auto" w:fill="auto"/>
            <w:vAlign w:val="center"/>
            <w:hideMark/>
          </w:tcPr>
          <w:p w14:paraId="505C5D67" w14:textId="77777777" w:rsidR="0035700B" w:rsidRPr="00697172" w:rsidRDefault="0035700B" w:rsidP="00F27605">
            <w:pPr>
              <w:jc w:val="center"/>
              <w:rPr>
                <w:rFonts w:ascii="Arial" w:hAnsi="Arial" w:cs="Arial"/>
                <w:b/>
                <w:bCs/>
                <w:color w:val="000000"/>
                <w:sz w:val="16"/>
                <w:szCs w:val="16"/>
                <w:lang w:eastAsia="es-AR"/>
              </w:rPr>
            </w:pPr>
            <w:r w:rsidRPr="00697172">
              <w:rPr>
                <w:rFonts w:ascii="Arial" w:hAnsi="Arial" w:cs="Arial"/>
                <w:b/>
                <w:bCs/>
                <w:color w:val="000000"/>
                <w:sz w:val="16"/>
                <w:szCs w:val="16"/>
                <w:lang w:eastAsia="es-AR"/>
              </w:rPr>
              <w:t xml:space="preserve"> Banca Minorista </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02782B83" w14:textId="77777777" w:rsidR="0035700B" w:rsidRPr="00697172" w:rsidRDefault="0035700B" w:rsidP="00F27605">
            <w:pPr>
              <w:jc w:val="center"/>
              <w:rPr>
                <w:rFonts w:ascii="Arial" w:hAnsi="Arial" w:cs="Arial"/>
                <w:b/>
                <w:bCs/>
                <w:color w:val="000000"/>
                <w:sz w:val="16"/>
                <w:szCs w:val="16"/>
                <w:lang w:eastAsia="es-AR"/>
              </w:rPr>
            </w:pPr>
            <w:r w:rsidRPr="00697172">
              <w:rPr>
                <w:rFonts w:ascii="Arial" w:hAnsi="Arial" w:cs="Arial"/>
                <w:b/>
                <w:bCs/>
                <w:color w:val="000000"/>
                <w:sz w:val="16"/>
                <w:szCs w:val="16"/>
                <w:lang w:eastAsia="es-AR"/>
              </w:rPr>
              <w:t xml:space="preserve"> Tesorería </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5729F411" w14:textId="77777777" w:rsidR="0035700B" w:rsidRPr="00697172" w:rsidRDefault="0035700B" w:rsidP="00F27605">
            <w:pPr>
              <w:jc w:val="center"/>
              <w:rPr>
                <w:rFonts w:ascii="Arial" w:hAnsi="Arial" w:cs="Arial"/>
                <w:b/>
                <w:bCs/>
                <w:color w:val="000000"/>
                <w:sz w:val="16"/>
                <w:szCs w:val="16"/>
                <w:lang w:eastAsia="es-AR"/>
              </w:rPr>
            </w:pPr>
            <w:r w:rsidRPr="00697172">
              <w:rPr>
                <w:rFonts w:ascii="Arial" w:hAnsi="Arial" w:cs="Arial"/>
                <w:b/>
                <w:bCs/>
                <w:color w:val="000000"/>
                <w:sz w:val="16"/>
                <w:szCs w:val="16"/>
                <w:lang w:eastAsia="es-AR"/>
              </w:rPr>
              <w:t xml:space="preserve"> TOTAL </w:t>
            </w:r>
          </w:p>
        </w:tc>
      </w:tr>
      <w:tr w:rsidR="0035700B" w:rsidRPr="00697172" w14:paraId="06D4AE15" w14:textId="77777777" w:rsidTr="00F27605">
        <w:trPr>
          <w:trHeight w:val="253"/>
          <w:tblHeader/>
          <w:jc w:val="center"/>
        </w:trPr>
        <w:tc>
          <w:tcPr>
            <w:tcW w:w="4181" w:type="dxa"/>
            <w:tcBorders>
              <w:top w:val="nil"/>
              <w:left w:val="single" w:sz="4" w:space="0" w:color="auto"/>
              <w:bottom w:val="single" w:sz="4" w:space="0" w:color="auto"/>
              <w:right w:val="single" w:sz="4" w:space="0" w:color="auto"/>
            </w:tcBorders>
            <w:shd w:val="clear" w:color="auto" w:fill="auto"/>
            <w:hideMark/>
          </w:tcPr>
          <w:p w14:paraId="2CA4D23A" w14:textId="77777777" w:rsidR="0035700B" w:rsidRPr="00697172" w:rsidRDefault="0035700B" w:rsidP="00F27605">
            <w:pPr>
              <w:rPr>
                <w:rFonts w:ascii="Arial" w:hAnsi="Arial" w:cs="Arial"/>
                <w:b/>
                <w:bCs/>
                <w:sz w:val="16"/>
                <w:szCs w:val="16"/>
                <w:lang w:eastAsia="es-AR"/>
              </w:rPr>
            </w:pPr>
            <w:r w:rsidRPr="00697172">
              <w:rPr>
                <w:rFonts w:ascii="Arial" w:hAnsi="Arial" w:cs="Arial"/>
                <w:b/>
                <w:bCs/>
                <w:sz w:val="16"/>
                <w:szCs w:val="16"/>
                <w:lang w:eastAsia="es-AR"/>
              </w:rPr>
              <w:t>Depósitos</w:t>
            </w:r>
          </w:p>
        </w:tc>
        <w:tc>
          <w:tcPr>
            <w:tcW w:w="1680" w:type="dxa"/>
            <w:tcBorders>
              <w:top w:val="nil"/>
              <w:left w:val="nil"/>
              <w:bottom w:val="single" w:sz="4" w:space="0" w:color="auto"/>
              <w:right w:val="single" w:sz="4" w:space="0" w:color="auto"/>
            </w:tcBorders>
            <w:shd w:val="clear" w:color="auto" w:fill="auto"/>
            <w:noWrap/>
            <w:vAlign w:val="bottom"/>
          </w:tcPr>
          <w:p w14:paraId="4A21C03B"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-9.420.939 </w:t>
            </w:r>
          </w:p>
        </w:tc>
        <w:tc>
          <w:tcPr>
            <w:tcW w:w="1482" w:type="dxa"/>
            <w:tcBorders>
              <w:top w:val="nil"/>
              <w:left w:val="nil"/>
              <w:bottom w:val="single" w:sz="4" w:space="0" w:color="auto"/>
              <w:right w:val="single" w:sz="4" w:space="0" w:color="auto"/>
            </w:tcBorders>
            <w:shd w:val="clear" w:color="auto" w:fill="auto"/>
            <w:noWrap/>
            <w:vAlign w:val="bottom"/>
          </w:tcPr>
          <w:p w14:paraId="0BD86404"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-51.697.755 </w:t>
            </w:r>
          </w:p>
        </w:tc>
        <w:tc>
          <w:tcPr>
            <w:tcW w:w="1483" w:type="dxa"/>
            <w:tcBorders>
              <w:top w:val="nil"/>
              <w:left w:val="nil"/>
              <w:bottom w:val="single" w:sz="4" w:space="0" w:color="auto"/>
              <w:right w:val="single" w:sz="4" w:space="0" w:color="auto"/>
            </w:tcBorders>
            <w:shd w:val="clear" w:color="auto" w:fill="auto"/>
            <w:noWrap/>
            <w:vAlign w:val="bottom"/>
          </w:tcPr>
          <w:p w14:paraId="078192FF"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-32.906.384 </w:t>
            </w:r>
          </w:p>
        </w:tc>
        <w:tc>
          <w:tcPr>
            <w:tcW w:w="1553" w:type="dxa"/>
            <w:tcBorders>
              <w:top w:val="nil"/>
              <w:left w:val="nil"/>
              <w:bottom w:val="single" w:sz="4" w:space="0" w:color="auto"/>
              <w:right w:val="single" w:sz="4" w:space="0" w:color="auto"/>
            </w:tcBorders>
            <w:shd w:val="clear" w:color="auto" w:fill="auto"/>
            <w:noWrap/>
            <w:vAlign w:val="bottom"/>
          </w:tcPr>
          <w:p w14:paraId="10F0F431"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-94.025.078</w:t>
            </w:r>
          </w:p>
        </w:tc>
      </w:tr>
      <w:tr w:rsidR="0035700B" w:rsidRPr="00697172" w14:paraId="1798D3B6" w14:textId="77777777" w:rsidTr="00F27605">
        <w:trPr>
          <w:trHeight w:val="300"/>
          <w:tblHeader/>
          <w:jc w:val="center"/>
        </w:trPr>
        <w:tc>
          <w:tcPr>
            <w:tcW w:w="4181" w:type="dxa"/>
            <w:tcBorders>
              <w:top w:val="nil"/>
              <w:left w:val="single" w:sz="4" w:space="0" w:color="auto"/>
              <w:bottom w:val="single" w:sz="4" w:space="0" w:color="auto"/>
              <w:right w:val="single" w:sz="4" w:space="0" w:color="auto"/>
            </w:tcBorders>
            <w:shd w:val="clear" w:color="auto" w:fill="auto"/>
            <w:hideMark/>
          </w:tcPr>
          <w:p w14:paraId="28270A89" w14:textId="77777777" w:rsidR="0035700B" w:rsidRPr="00697172" w:rsidRDefault="0035700B" w:rsidP="00F27605">
            <w:pPr>
              <w:rPr>
                <w:rFonts w:ascii="Arial" w:hAnsi="Arial" w:cs="Arial"/>
                <w:color w:val="000000"/>
                <w:sz w:val="16"/>
                <w:szCs w:val="16"/>
                <w:lang w:eastAsia="es-AR"/>
              </w:rPr>
            </w:pPr>
            <w:r w:rsidRPr="00697172">
              <w:rPr>
                <w:rFonts w:ascii="Arial" w:hAnsi="Arial" w:cs="Arial"/>
                <w:color w:val="000000"/>
                <w:sz w:val="16"/>
                <w:szCs w:val="16"/>
                <w:lang w:eastAsia="es-AR"/>
              </w:rPr>
              <w:t xml:space="preserve">   Sector público no financiero</w:t>
            </w:r>
          </w:p>
        </w:tc>
        <w:tc>
          <w:tcPr>
            <w:tcW w:w="1680" w:type="dxa"/>
            <w:tcBorders>
              <w:top w:val="nil"/>
              <w:left w:val="nil"/>
              <w:bottom w:val="single" w:sz="4" w:space="0" w:color="auto"/>
              <w:right w:val="single" w:sz="4" w:space="0" w:color="auto"/>
            </w:tcBorders>
            <w:shd w:val="clear" w:color="auto" w:fill="auto"/>
            <w:noWrap/>
            <w:vAlign w:val="bottom"/>
          </w:tcPr>
          <w:p w14:paraId="7CCBF85E"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 xml:space="preserve"> -2.816 </w:t>
            </w:r>
          </w:p>
        </w:tc>
        <w:tc>
          <w:tcPr>
            <w:tcW w:w="1482" w:type="dxa"/>
            <w:tcBorders>
              <w:top w:val="nil"/>
              <w:left w:val="nil"/>
              <w:bottom w:val="single" w:sz="4" w:space="0" w:color="auto"/>
              <w:right w:val="single" w:sz="4" w:space="0" w:color="auto"/>
            </w:tcBorders>
            <w:shd w:val="clear" w:color="auto" w:fill="auto"/>
            <w:noWrap/>
            <w:vAlign w:val="bottom"/>
          </w:tcPr>
          <w:p w14:paraId="38041CBE"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 xml:space="preserve"> -1.443.316 </w:t>
            </w:r>
          </w:p>
        </w:tc>
        <w:tc>
          <w:tcPr>
            <w:tcW w:w="1483" w:type="dxa"/>
            <w:tcBorders>
              <w:top w:val="nil"/>
              <w:left w:val="nil"/>
              <w:bottom w:val="single" w:sz="4" w:space="0" w:color="auto"/>
              <w:right w:val="single" w:sz="4" w:space="0" w:color="auto"/>
            </w:tcBorders>
            <w:shd w:val="clear" w:color="auto" w:fill="auto"/>
            <w:noWrap/>
            <w:vAlign w:val="bottom"/>
          </w:tcPr>
          <w:p w14:paraId="10CF82C3"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 xml:space="preserve"> -9.659.345 </w:t>
            </w:r>
          </w:p>
        </w:tc>
        <w:tc>
          <w:tcPr>
            <w:tcW w:w="1553" w:type="dxa"/>
            <w:tcBorders>
              <w:top w:val="nil"/>
              <w:left w:val="nil"/>
              <w:bottom w:val="single" w:sz="4" w:space="0" w:color="auto"/>
              <w:right w:val="single" w:sz="4" w:space="0" w:color="auto"/>
            </w:tcBorders>
            <w:shd w:val="clear" w:color="auto" w:fill="auto"/>
            <w:noWrap/>
            <w:vAlign w:val="bottom"/>
          </w:tcPr>
          <w:p w14:paraId="03D82F3C"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-11.105.477</w:t>
            </w:r>
          </w:p>
        </w:tc>
      </w:tr>
      <w:tr w:rsidR="0035700B" w:rsidRPr="00697172" w14:paraId="6447B2E6" w14:textId="77777777" w:rsidTr="00F27605">
        <w:trPr>
          <w:trHeight w:val="221"/>
          <w:tblHeader/>
          <w:jc w:val="center"/>
        </w:trPr>
        <w:tc>
          <w:tcPr>
            <w:tcW w:w="4181" w:type="dxa"/>
            <w:tcBorders>
              <w:top w:val="nil"/>
              <w:left w:val="single" w:sz="4" w:space="0" w:color="auto"/>
              <w:bottom w:val="single" w:sz="4" w:space="0" w:color="auto"/>
              <w:right w:val="single" w:sz="4" w:space="0" w:color="auto"/>
            </w:tcBorders>
            <w:shd w:val="clear" w:color="auto" w:fill="auto"/>
            <w:hideMark/>
          </w:tcPr>
          <w:p w14:paraId="5CFEA875" w14:textId="77777777" w:rsidR="0035700B" w:rsidRPr="00697172" w:rsidRDefault="0035700B" w:rsidP="00F27605">
            <w:pPr>
              <w:rPr>
                <w:rFonts w:ascii="Arial" w:hAnsi="Arial" w:cs="Arial"/>
                <w:color w:val="000000"/>
                <w:sz w:val="16"/>
                <w:szCs w:val="16"/>
                <w:lang w:eastAsia="es-AR"/>
              </w:rPr>
            </w:pPr>
            <w:r w:rsidRPr="00697172">
              <w:rPr>
                <w:rFonts w:ascii="Arial" w:hAnsi="Arial" w:cs="Arial"/>
                <w:color w:val="000000"/>
                <w:sz w:val="16"/>
                <w:szCs w:val="16"/>
                <w:lang w:eastAsia="es-AR"/>
              </w:rPr>
              <w:t xml:space="preserve">   Sector financiero</w:t>
            </w:r>
          </w:p>
        </w:tc>
        <w:tc>
          <w:tcPr>
            <w:tcW w:w="1680" w:type="dxa"/>
            <w:tcBorders>
              <w:top w:val="nil"/>
              <w:left w:val="nil"/>
              <w:bottom w:val="single" w:sz="4" w:space="0" w:color="auto"/>
              <w:right w:val="single" w:sz="4" w:space="0" w:color="auto"/>
            </w:tcBorders>
            <w:shd w:val="clear" w:color="auto" w:fill="auto"/>
            <w:noWrap/>
            <w:vAlign w:val="bottom"/>
          </w:tcPr>
          <w:p w14:paraId="30918B50"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 xml:space="preserve"> -33.046 </w:t>
            </w:r>
          </w:p>
        </w:tc>
        <w:tc>
          <w:tcPr>
            <w:tcW w:w="1482" w:type="dxa"/>
            <w:tcBorders>
              <w:top w:val="nil"/>
              <w:left w:val="nil"/>
              <w:bottom w:val="single" w:sz="4" w:space="0" w:color="auto"/>
              <w:right w:val="single" w:sz="4" w:space="0" w:color="auto"/>
            </w:tcBorders>
            <w:shd w:val="clear" w:color="auto" w:fill="auto"/>
            <w:noWrap/>
            <w:vAlign w:val="bottom"/>
          </w:tcPr>
          <w:p w14:paraId="5A9A4ABC"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 xml:space="preserve"> -   </w:t>
            </w:r>
          </w:p>
        </w:tc>
        <w:tc>
          <w:tcPr>
            <w:tcW w:w="1483" w:type="dxa"/>
            <w:tcBorders>
              <w:top w:val="nil"/>
              <w:left w:val="nil"/>
              <w:bottom w:val="single" w:sz="4" w:space="0" w:color="auto"/>
              <w:right w:val="single" w:sz="4" w:space="0" w:color="auto"/>
            </w:tcBorders>
            <w:shd w:val="clear" w:color="auto" w:fill="auto"/>
            <w:noWrap/>
            <w:vAlign w:val="bottom"/>
          </w:tcPr>
          <w:p w14:paraId="6C3203DB"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 xml:space="preserve"> -53 </w:t>
            </w:r>
          </w:p>
        </w:tc>
        <w:tc>
          <w:tcPr>
            <w:tcW w:w="1553" w:type="dxa"/>
            <w:tcBorders>
              <w:top w:val="nil"/>
              <w:left w:val="nil"/>
              <w:bottom w:val="single" w:sz="4" w:space="0" w:color="auto"/>
              <w:right w:val="single" w:sz="4" w:space="0" w:color="auto"/>
            </w:tcBorders>
            <w:shd w:val="clear" w:color="auto" w:fill="auto"/>
            <w:noWrap/>
            <w:vAlign w:val="bottom"/>
          </w:tcPr>
          <w:p w14:paraId="55CAE889"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-33.099</w:t>
            </w:r>
          </w:p>
        </w:tc>
      </w:tr>
      <w:tr w:rsidR="0035700B" w:rsidRPr="00697172" w14:paraId="3CBD4B81" w14:textId="77777777" w:rsidTr="00F27605">
        <w:trPr>
          <w:trHeight w:val="221"/>
          <w:tblHeader/>
          <w:jc w:val="center"/>
        </w:trPr>
        <w:tc>
          <w:tcPr>
            <w:tcW w:w="4181" w:type="dxa"/>
            <w:tcBorders>
              <w:top w:val="nil"/>
              <w:left w:val="single" w:sz="4" w:space="0" w:color="auto"/>
              <w:bottom w:val="single" w:sz="4" w:space="0" w:color="auto"/>
              <w:right w:val="single" w:sz="4" w:space="0" w:color="auto"/>
            </w:tcBorders>
            <w:shd w:val="clear" w:color="auto" w:fill="auto"/>
            <w:noWrap/>
            <w:hideMark/>
          </w:tcPr>
          <w:p w14:paraId="2DA7074F" w14:textId="77777777" w:rsidR="0035700B" w:rsidRPr="00697172" w:rsidRDefault="0035700B" w:rsidP="00F27605">
            <w:pPr>
              <w:rPr>
                <w:rFonts w:ascii="Arial" w:hAnsi="Arial" w:cs="Arial"/>
                <w:color w:val="000000"/>
                <w:sz w:val="16"/>
                <w:szCs w:val="16"/>
                <w:lang w:eastAsia="es-AR"/>
              </w:rPr>
            </w:pPr>
            <w:r w:rsidRPr="00697172">
              <w:rPr>
                <w:rFonts w:ascii="Arial" w:hAnsi="Arial" w:cs="Arial"/>
                <w:color w:val="000000"/>
                <w:sz w:val="16"/>
                <w:szCs w:val="16"/>
                <w:lang w:eastAsia="es-AR"/>
              </w:rPr>
              <w:t xml:space="preserve">   Sector privado no financiero y residentes en el exterior</w:t>
            </w:r>
          </w:p>
        </w:tc>
        <w:tc>
          <w:tcPr>
            <w:tcW w:w="1680" w:type="dxa"/>
            <w:tcBorders>
              <w:top w:val="nil"/>
              <w:left w:val="nil"/>
              <w:bottom w:val="single" w:sz="4" w:space="0" w:color="auto"/>
              <w:right w:val="single" w:sz="4" w:space="0" w:color="auto"/>
            </w:tcBorders>
            <w:shd w:val="clear" w:color="auto" w:fill="auto"/>
            <w:noWrap/>
            <w:vAlign w:val="bottom"/>
          </w:tcPr>
          <w:p w14:paraId="7BD02ECC"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 xml:space="preserve"> -9.385.077 </w:t>
            </w:r>
          </w:p>
        </w:tc>
        <w:tc>
          <w:tcPr>
            <w:tcW w:w="1482" w:type="dxa"/>
            <w:tcBorders>
              <w:top w:val="nil"/>
              <w:left w:val="nil"/>
              <w:bottom w:val="single" w:sz="4" w:space="0" w:color="auto"/>
              <w:right w:val="single" w:sz="4" w:space="0" w:color="auto"/>
            </w:tcBorders>
            <w:shd w:val="clear" w:color="auto" w:fill="auto"/>
            <w:noWrap/>
            <w:vAlign w:val="bottom"/>
          </w:tcPr>
          <w:p w14:paraId="7CA044C9"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 xml:space="preserve"> -50.254.439 </w:t>
            </w:r>
          </w:p>
        </w:tc>
        <w:tc>
          <w:tcPr>
            <w:tcW w:w="1483" w:type="dxa"/>
            <w:tcBorders>
              <w:top w:val="nil"/>
              <w:left w:val="nil"/>
              <w:bottom w:val="single" w:sz="4" w:space="0" w:color="auto"/>
              <w:right w:val="single" w:sz="4" w:space="0" w:color="auto"/>
            </w:tcBorders>
            <w:shd w:val="clear" w:color="auto" w:fill="auto"/>
            <w:noWrap/>
            <w:vAlign w:val="bottom"/>
          </w:tcPr>
          <w:p w14:paraId="2B7BDCD0"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 xml:space="preserve"> -23.246.986 </w:t>
            </w:r>
          </w:p>
        </w:tc>
        <w:tc>
          <w:tcPr>
            <w:tcW w:w="1553" w:type="dxa"/>
            <w:tcBorders>
              <w:top w:val="nil"/>
              <w:left w:val="nil"/>
              <w:bottom w:val="single" w:sz="4" w:space="0" w:color="auto"/>
              <w:right w:val="single" w:sz="4" w:space="0" w:color="auto"/>
            </w:tcBorders>
            <w:shd w:val="clear" w:color="auto" w:fill="auto"/>
            <w:noWrap/>
            <w:vAlign w:val="bottom"/>
          </w:tcPr>
          <w:p w14:paraId="49D2F2E6" w14:textId="77777777" w:rsidR="0035700B" w:rsidRPr="00697172" w:rsidRDefault="0035700B" w:rsidP="00F27605">
            <w:pPr>
              <w:jc w:val="right"/>
              <w:rPr>
                <w:rFonts w:ascii="Arial" w:hAnsi="Arial" w:cs="Arial"/>
                <w:bCs/>
                <w:sz w:val="16"/>
                <w:szCs w:val="16"/>
                <w:lang w:val="es-ES" w:eastAsia="es-AR"/>
              </w:rPr>
            </w:pPr>
            <w:r w:rsidRPr="00697172">
              <w:rPr>
                <w:rFonts w:ascii="Arial" w:hAnsi="Arial" w:cs="Arial"/>
                <w:sz w:val="16"/>
                <w:szCs w:val="16"/>
              </w:rPr>
              <w:t>-82.886.502</w:t>
            </w:r>
          </w:p>
        </w:tc>
      </w:tr>
      <w:tr w:rsidR="0035700B" w:rsidRPr="00697172" w14:paraId="10764653" w14:textId="77777777" w:rsidTr="00F27605">
        <w:trPr>
          <w:trHeight w:val="221"/>
          <w:tblHeader/>
          <w:jc w:val="center"/>
        </w:trPr>
        <w:tc>
          <w:tcPr>
            <w:tcW w:w="4181" w:type="dxa"/>
            <w:tcBorders>
              <w:top w:val="nil"/>
              <w:left w:val="single" w:sz="4" w:space="0" w:color="auto"/>
              <w:bottom w:val="single" w:sz="4" w:space="0" w:color="auto"/>
              <w:right w:val="single" w:sz="4" w:space="0" w:color="auto"/>
            </w:tcBorders>
            <w:shd w:val="clear" w:color="auto" w:fill="auto"/>
            <w:hideMark/>
          </w:tcPr>
          <w:p w14:paraId="4506678F" w14:textId="77777777" w:rsidR="0035700B" w:rsidRPr="00697172" w:rsidRDefault="0035700B" w:rsidP="00F27605">
            <w:pPr>
              <w:rPr>
                <w:rFonts w:ascii="Arial" w:hAnsi="Arial" w:cs="Arial"/>
                <w:b/>
                <w:bCs/>
                <w:sz w:val="16"/>
                <w:szCs w:val="16"/>
                <w:lang w:eastAsia="es-AR"/>
              </w:rPr>
            </w:pPr>
            <w:r w:rsidRPr="00697172">
              <w:rPr>
                <w:rFonts w:ascii="Arial" w:hAnsi="Arial" w:cs="Arial"/>
                <w:b/>
                <w:bCs/>
                <w:sz w:val="16"/>
                <w:szCs w:val="16"/>
                <w:lang w:eastAsia="es-AR"/>
              </w:rPr>
              <w:t>Pasivos a valor razonable con cambios en resultados</w:t>
            </w:r>
          </w:p>
        </w:tc>
        <w:tc>
          <w:tcPr>
            <w:tcW w:w="1680" w:type="dxa"/>
            <w:tcBorders>
              <w:top w:val="nil"/>
              <w:left w:val="nil"/>
              <w:bottom w:val="single" w:sz="4" w:space="0" w:color="auto"/>
              <w:right w:val="single" w:sz="4" w:space="0" w:color="auto"/>
            </w:tcBorders>
            <w:shd w:val="clear" w:color="auto" w:fill="auto"/>
            <w:noWrap/>
            <w:vAlign w:val="bottom"/>
          </w:tcPr>
          <w:p w14:paraId="21BFAEAB"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-152.886 </w:t>
            </w:r>
          </w:p>
        </w:tc>
        <w:tc>
          <w:tcPr>
            <w:tcW w:w="1482" w:type="dxa"/>
            <w:tcBorders>
              <w:top w:val="nil"/>
              <w:left w:val="nil"/>
              <w:bottom w:val="single" w:sz="4" w:space="0" w:color="auto"/>
              <w:right w:val="single" w:sz="4" w:space="0" w:color="auto"/>
            </w:tcBorders>
            <w:shd w:val="clear" w:color="auto" w:fill="auto"/>
            <w:noWrap/>
            <w:vAlign w:val="bottom"/>
          </w:tcPr>
          <w:p w14:paraId="519CA82B"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483" w:type="dxa"/>
            <w:tcBorders>
              <w:top w:val="nil"/>
              <w:left w:val="nil"/>
              <w:bottom w:val="single" w:sz="4" w:space="0" w:color="auto"/>
              <w:right w:val="single" w:sz="4" w:space="0" w:color="auto"/>
            </w:tcBorders>
            <w:shd w:val="clear" w:color="auto" w:fill="auto"/>
            <w:noWrap/>
            <w:vAlign w:val="bottom"/>
          </w:tcPr>
          <w:p w14:paraId="01EC4F7E"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-460.800 </w:t>
            </w:r>
          </w:p>
        </w:tc>
        <w:tc>
          <w:tcPr>
            <w:tcW w:w="1553" w:type="dxa"/>
            <w:tcBorders>
              <w:top w:val="nil"/>
              <w:left w:val="nil"/>
              <w:bottom w:val="single" w:sz="4" w:space="0" w:color="auto"/>
              <w:right w:val="single" w:sz="4" w:space="0" w:color="auto"/>
            </w:tcBorders>
            <w:shd w:val="clear" w:color="auto" w:fill="auto"/>
            <w:noWrap/>
            <w:vAlign w:val="bottom"/>
          </w:tcPr>
          <w:p w14:paraId="61B24E64"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-613.686</w:t>
            </w:r>
          </w:p>
        </w:tc>
      </w:tr>
      <w:tr w:rsidR="0035700B" w:rsidRPr="00697172" w14:paraId="1F837AA1" w14:textId="77777777" w:rsidTr="00F27605">
        <w:trPr>
          <w:trHeight w:val="221"/>
          <w:tblHeader/>
          <w:jc w:val="center"/>
        </w:trPr>
        <w:tc>
          <w:tcPr>
            <w:tcW w:w="4181" w:type="dxa"/>
            <w:tcBorders>
              <w:top w:val="nil"/>
              <w:left w:val="single" w:sz="4" w:space="0" w:color="auto"/>
              <w:bottom w:val="single" w:sz="4" w:space="0" w:color="auto"/>
              <w:right w:val="single" w:sz="4" w:space="0" w:color="auto"/>
            </w:tcBorders>
            <w:shd w:val="clear" w:color="auto" w:fill="auto"/>
          </w:tcPr>
          <w:p w14:paraId="2474892A" w14:textId="77777777" w:rsidR="0035700B" w:rsidRPr="00697172" w:rsidRDefault="0035700B" w:rsidP="00F27605">
            <w:pPr>
              <w:rPr>
                <w:rFonts w:ascii="Arial" w:hAnsi="Arial" w:cs="Arial"/>
                <w:b/>
                <w:bCs/>
                <w:sz w:val="16"/>
                <w:szCs w:val="16"/>
                <w:lang w:eastAsia="es-AR"/>
              </w:rPr>
            </w:pPr>
            <w:r w:rsidRPr="00697172">
              <w:rPr>
                <w:rFonts w:ascii="Arial" w:hAnsi="Arial" w:cs="Arial"/>
                <w:b/>
                <w:bCs/>
                <w:sz w:val="16"/>
                <w:szCs w:val="16"/>
                <w:lang w:eastAsia="es-AR"/>
              </w:rPr>
              <w:t>Instrumentos derivados</w:t>
            </w:r>
          </w:p>
        </w:tc>
        <w:tc>
          <w:tcPr>
            <w:tcW w:w="1680" w:type="dxa"/>
            <w:tcBorders>
              <w:top w:val="nil"/>
              <w:left w:val="nil"/>
              <w:bottom w:val="single" w:sz="4" w:space="0" w:color="auto"/>
              <w:right w:val="single" w:sz="4" w:space="0" w:color="auto"/>
            </w:tcBorders>
            <w:shd w:val="clear" w:color="auto" w:fill="auto"/>
            <w:noWrap/>
            <w:vAlign w:val="bottom"/>
          </w:tcPr>
          <w:p w14:paraId="25BECDC7" w14:textId="77777777" w:rsidR="0035700B" w:rsidRPr="00697172" w:rsidRDefault="0035700B" w:rsidP="00F27605">
            <w:pPr>
              <w:jc w:val="right"/>
              <w:rPr>
                <w:rFonts w:ascii="Arial" w:hAnsi="Arial" w:cs="Arial"/>
                <w:b/>
                <w:sz w:val="16"/>
                <w:szCs w:val="16"/>
              </w:rPr>
            </w:pPr>
            <w:r w:rsidRPr="00697172">
              <w:rPr>
                <w:rFonts w:ascii="Arial" w:hAnsi="Arial" w:cs="Arial"/>
                <w:b/>
                <w:sz w:val="16"/>
                <w:szCs w:val="16"/>
              </w:rPr>
              <w:t xml:space="preserve"> -   </w:t>
            </w:r>
          </w:p>
        </w:tc>
        <w:tc>
          <w:tcPr>
            <w:tcW w:w="1482" w:type="dxa"/>
            <w:tcBorders>
              <w:top w:val="nil"/>
              <w:left w:val="nil"/>
              <w:bottom w:val="single" w:sz="4" w:space="0" w:color="auto"/>
              <w:right w:val="single" w:sz="4" w:space="0" w:color="auto"/>
            </w:tcBorders>
            <w:shd w:val="clear" w:color="auto" w:fill="auto"/>
            <w:noWrap/>
            <w:vAlign w:val="bottom"/>
          </w:tcPr>
          <w:p w14:paraId="23E903A4" w14:textId="77777777" w:rsidR="0035700B" w:rsidRPr="00697172" w:rsidRDefault="0035700B" w:rsidP="00F27605">
            <w:pPr>
              <w:jc w:val="right"/>
              <w:rPr>
                <w:rFonts w:ascii="Arial" w:hAnsi="Arial" w:cs="Arial"/>
                <w:b/>
                <w:sz w:val="16"/>
                <w:szCs w:val="16"/>
              </w:rPr>
            </w:pPr>
            <w:r w:rsidRPr="00697172">
              <w:rPr>
                <w:rFonts w:ascii="Arial" w:hAnsi="Arial" w:cs="Arial"/>
                <w:b/>
                <w:sz w:val="16"/>
                <w:szCs w:val="16"/>
              </w:rPr>
              <w:t xml:space="preserve"> -   </w:t>
            </w:r>
          </w:p>
        </w:tc>
        <w:tc>
          <w:tcPr>
            <w:tcW w:w="1483" w:type="dxa"/>
            <w:tcBorders>
              <w:top w:val="nil"/>
              <w:left w:val="nil"/>
              <w:bottom w:val="single" w:sz="4" w:space="0" w:color="auto"/>
              <w:right w:val="single" w:sz="4" w:space="0" w:color="auto"/>
            </w:tcBorders>
            <w:shd w:val="clear" w:color="auto" w:fill="auto"/>
            <w:noWrap/>
            <w:vAlign w:val="bottom"/>
          </w:tcPr>
          <w:p w14:paraId="3D3D74D5" w14:textId="77777777" w:rsidR="0035700B" w:rsidRPr="00697172" w:rsidRDefault="0035700B" w:rsidP="00F27605">
            <w:pPr>
              <w:jc w:val="right"/>
              <w:rPr>
                <w:rFonts w:ascii="Arial" w:hAnsi="Arial" w:cs="Arial"/>
                <w:b/>
                <w:sz w:val="16"/>
                <w:szCs w:val="16"/>
              </w:rPr>
            </w:pPr>
            <w:r w:rsidRPr="00697172">
              <w:rPr>
                <w:rFonts w:ascii="Arial" w:hAnsi="Arial" w:cs="Arial"/>
                <w:b/>
                <w:sz w:val="16"/>
                <w:szCs w:val="16"/>
              </w:rPr>
              <w:t xml:space="preserve"> -94.222 </w:t>
            </w:r>
          </w:p>
        </w:tc>
        <w:tc>
          <w:tcPr>
            <w:tcW w:w="1553" w:type="dxa"/>
            <w:tcBorders>
              <w:top w:val="nil"/>
              <w:left w:val="nil"/>
              <w:bottom w:val="single" w:sz="4" w:space="0" w:color="auto"/>
              <w:right w:val="single" w:sz="4" w:space="0" w:color="auto"/>
            </w:tcBorders>
            <w:shd w:val="clear" w:color="auto" w:fill="auto"/>
            <w:noWrap/>
            <w:vAlign w:val="bottom"/>
          </w:tcPr>
          <w:p w14:paraId="79B7E971" w14:textId="77777777" w:rsidR="0035700B" w:rsidRPr="00697172" w:rsidRDefault="0035700B" w:rsidP="00F27605">
            <w:pPr>
              <w:jc w:val="right"/>
              <w:rPr>
                <w:rFonts w:ascii="Arial" w:hAnsi="Arial" w:cs="Arial"/>
                <w:b/>
                <w:sz w:val="16"/>
                <w:szCs w:val="16"/>
              </w:rPr>
            </w:pPr>
            <w:r w:rsidRPr="00697172">
              <w:rPr>
                <w:rFonts w:ascii="Arial" w:hAnsi="Arial" w:cs="Arial"/>
                <w:b/>
                <w:sz w:val="16"/>
                <w:szCs w:val="16"/>
              </w:rPr>
              <w:t>-94.222</w:t>
            </w:r>
          </w:p>
        </w:tc>
      </w:tr>
      <w:tr w:rsidR="0035700B" w:rsidRPr="00697172" w14:paraId="5493E0AD" w14:textId="77777777" w:rsidTr="00F27605">
        <w:trPr>
          <w:trHeight w:val="221"/>
          <w:tblHeader/>
          <w:jc w:val="center"/>
        </w:trPr>
        <w:tc>
          <w:tcPr>
            <w:tcW w:w="4181" w:type="dxa"/>
            <w:tcBorders>
              <w:top w:val="nil"/>
              <w:left w:val="single" w:sz="4" w:space="0" w:color="auto"/>
              <w:bottom w:val="single" w:sz="4" w:space="0" w:color="auto"/>
              <w:right w:val="single" w:sz="4" w:space="0" w:color="auto"/>
            </w:tcBorders>
            <w:shd w:val="clear" w:color="auto" w:fill="auto"/>
            <w:hideMark/>
          </w:tcPr>
          <w:p w14:paraId="12043F98" w14:textId="77777777" w:rsidR="0035700B" w:rsidRPr="00697172" w:rsidRDefault="0035700B" w:rsidP="00F27605">
            <w:pPr>
              <w:rPr>
                <w:rFonts w:ascii="Arial" w:hAnsi="Arial" w:cs="Arial"/>
                <w:b/>
                <w:bCs/>
                <w:sz w:val="16"/>
                <w:szCs w:val="16"/>
                <w:lang w:eastAsia="es-AR"/>
              </w:rPr>
            </w:pPr>
            <w:r w:rsidRPr="00697172">
              <w:rPr>
                <w:rFonts w:ascii="Arial" w:hAnsi="Arial" w:cs="Arial"/>
                <w:b/>
                <w:bCs/>
                <w:sz w:val="16"/>
                <w:szCs w:val="16"/>
                <w:lang w:eastAsia="es-AR"/>
              </w:rPr>
              <w:t>Otros pasivos financieros</w:t>
            </w:r>
          </w:p>
        </w:tc>
        <w:tc>
          <w:tcPr>
            <w:tcW w:w="1680" w:type="dxa"/>
            <w:tcBorders>
              <w:top w:val="nil"/>
              <w:left w:val="nil"/>
              <w:bottom w:val="single" w:sz="4" w:space="0" w:color="auto"/>
              <w:right w:val="single" w:sz="4" w:space="0" w:color="auto"/>
            </w:tcBorders>
            <w:shd w:val="clear" w:color="auto" w:fill="auto"/>
            <w:noWrap/>
            <w:vAlign w:val="bottom"/>
          </w:tcPr>
          <w:p w14:paraId="48085A2C"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-810.312 </w:t>
            </w:r>
          </w:p>
        </w:tc>
        <w:tc>
          <w:tcPr>
            <w:tcW w:w="1482" w:type="dxa"/>
            <w:tcBorders>
              <w:top w:val="nil"/>
              <w:left w:val="nil"/>
              <w:bottom w:val="single" w:sz="4" w:space="0" w:color="auto"/>
              <w:right w:val="single" w:sz="4" w:space="0" w:color="auto"/>
            </w:tcBorders>
            <w:shd w:val="clear" w:color="auto" w:fill="auto"/>
            <w:noWrap/>
            <w:vAlign w:val="bottom"/>
          </w:tcPr>
          <w:p w14:paraId="03782D6B"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-2.107.233 </w:t>
            </w:r>
          </w:p>
        </w:tc>
        <w:tc>
          <w:tcPr>
            <w:tcW w:w="1483" w:type="dxa"/>
            <w:tcBorders>
              <w:top w:val="nil"/>
              <w:left w:val="nil"/>
              <w:bottom w:val="single" w:sz="4" w:space="0" w:color="auto"/>
              <w:right w:val="single" w:sz="4" w:space="0" w:color="auto"/>
            </w:tcBorders>
            <w:shd w:val="clear" w:color="auto" w:fill="auto"/>
            <w:noWrap/>
            <w:vAlign w:val="bottom"/>
          </w:tcPr>
          <w:p w14:paraId="347316C6"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-228.174 </w:t>
            </w:r>
          </w:p>
        </w:tc>
        <w:tc>
          <w:tcPr>
            <w:tcW w:w="1553" w:type="dxa"/>
            <w:tcBorders>
              <w:top w:val="nil"/>
              <w:left w:val="nil"/>
              <w:bottom w:val="single" w:sz="4" w:space="0" w:color="auto"/>
              <w:right w:val="single" w:sz="4" w:space="0" w:color="auto"/>
            </w:tcBorders>
            <w:shd w:val="clear" w:color="auto" w:fill="auto"/>
            <w:noWrap/>
            <w:vAlign w:val="bottom"/>
          </w:tcPr>
          <w:p w14:paraId="3E3D668C"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-3.145.719</w:t>
            </w:r>
          </w:p>
        </w:tc>
      </w:tr>
      <w:tr w:rsidR="0035700B" w:rsidRPr="00697172" w14:paraId="748AC172" w14:textId="77777777" w:rsidTr="00F27605">
        <w:trPr>
          <w:trHeight w:val="221"/>
          <w:tblHeader/>
          <w:jc w:val="center"/>
        </w:trPr>
        <w:tc>
          <w:tcPr>
            <w:tcW w:w="4181" w:type="dxa"/>
            <w:tcBorders>
              <w:top w:val="nil"/>
              <w:left w:val="single" w:sz="4" w:space="0" w:color="auto"/>
              <w:bottom w:val="single" w:sz="4" w:space="0" w:color="auto"/>
              <w:right w:val="single" w:sz="4" w:space="0" w:color="auto"/>
            </w:tcBorders>
            <w:shd w:val="clear" w:color="auto" w:fill="auto"/>
            <w:noWrap/>
            <w:hideMark/>
          </w:tcPr>
          <w:p w14:paraId="481F2231" w14:textId="77777777" w:rsidR="0035700B" w:rsidRPr="00697172" w:rsidRDefault="0035700B" w:rsidP="00F27605">
            <w:pPr>
              <w:rPr>
                <w:rFonts w:ascii="Arial" w:hAnsi="Arial" w:cs="Arial"/>
                <w:b/>
                <w:bCs/>
                <w:sz w:val="16"/>
                <w:szCs w:val="16"/>
                <w:lang w:eastAsia="es-AR"/>
              </w:rPr>
            </w:pPr>
            <w:r w:rsidRPr="00697172">
              <w:rPr>
                <w:rFonts w:ascii="Arial" w:hAnsi="Arial" w:cs="Arial"/>
                <w:b/>
                <w:bCs/>
                <w:sz w:val="16"/>
                <w:szCs w:val="16"/>
                <w:lang w:eastAsia="es-AR"/>
              </w:rPr>
              <w:t>Financiaciones recibidas del BCRA y otras instituciones financieras</w:t>
            </w:r>
          </w:p>
        </w:tc>
        <w:tc>
          <w:tcPr>
            <w:tcW w:w="1680" w:type="dxa"/>
            <w:tcBorders>
              <w:top w:val="nil"/>
              <w:left w:val="nil"/>
              <w:bottom w:val="single" w:sz="4" w:space="0" w:color="auto"/>
              <w:right w:val="single" w:sz="4" w:space="0" w:color="auto"/>
            </w:tcBorders>
            <w:shd w:val="clear" w:color="auto" w:fill="auto"/>
            <w:noWrap/>
            <w:vAlign w:val="bottom"/>
          </w:tcPr>
          <w:p w14:paraId="6D6F875E"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-7.212.869 </w:t>
            </w:r>
          </w:p>
        </w:tc>
        <w:tc>
          <w:tcPr>
            <w:tcW w:w="1482" w:type="dxa"/>
            <w:tcBorders>
              <w:top w:val="nil"/>
              <w:left w:val="nil"/>
              <w:bottom w:val="single" w:sz="4" w:space="0" w:color="auto"/>
              <w:right w:val="single" w:sz="4" w:space="0" w:color="auto"/>
            </w:tcBorders>
            <w:shd w:val="clear" w:color="auto" w:fill="auto"/>
            <w:noWrap/>
            <w:vAlign w:val="bottom"/>
          </w:tcPr>
          <w:p w14:paraId="6AA90B9F"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-10.828 </w:t>
            </w:r>
          </w:p>
        </w:tc>
        <w:tc>
          <w:tcPr>
            <w:tcW w:w="1483" w:type="dxa"/>
            <w:tcBorders>
              <w:top w:val="nil"/>
              <w:left w:val="nil"/>
              <w:bottom w:val="single" w:sz="4" w:space="0" w:color="auto"/>
              <w:right w:val="single" w:sz="4" w:space="0" w:color="auto"/>
            </w:tcBorders>
            <w:shd w:val="clear" w:color="auto" w:fill="auto"/>
            <w:noWrap/>
            <w:vAlign w:val="bottom"/>
          </w:tcPr>
          <w:p w14:paraId="722FB0F2"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-786.362 </w:t>
            </w:r>
          </w:p>
        </w:tc>
        <w:tc>
          <w:tcPr>
            <w:tcW w:w="1553" w:type="dxa"/>
            <w:tcBorders>
              <w:top w:val="nil"/>
              <w:left w:val="nil"/>
              <w:bottom w:val="single" w:sz="4" w:space="0" w:color="auto"/>
              <w:right w:val="single" w:sz="4" w:space="0" w:color="auto"/>
            </w:tcBorders>
            <w:shd w:val="clear" w:color="auto" w:fill="auto"/>
            <w:noWrap/>
            <w:vAlign w:val="bottom"/>
          </w:tcPr>
          <w:p w14:paraId="2AA41A1E"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-8.010.059</w:t>
            </w:r>
          </w:p>
        </w:tc>
      </w:tr>
      <w:tr w:rsidR="0035700B" w:rsidRPr="00697172" w14:paraId="3180004A" w14:textId="77777777" w:rsidTr="00F27605">
        <w:trPr>
          <w:trHeight w:val="221"/>
          <w:tblHeader/>
          <w:jc w:val="center"/>
        </w:trPr>
        <w:tc>
          <w:tcPr>
            <w:tcW w:w="4181" w:type="dxa"/>
            <w:tcBorders>
              <w:top w:val="nil"/>
              <w:left w:val="single" w:sz="4" w:space="0" w:color="auto"/>
              <w:bottom w:val="single" w:sz="4" w:space="0" w:color="auto"/>
              <w:right w:val="single" w:sz="4" w:space="0" w:color="auto"/>
            </w:tcBorders>
            <w:shd w:val="clear" w:color="auto" w:fill="auto"/>
            <w:hideMark/>
          </w:tcPr>
          <w:p w14:paraId="0A2C165F" w14:textId="77777777" w:rsidR="0035700B" w:rsidRPr="00697172" w:rsidRDefault="0035700B" w:rsidP="00F27605">
            <w:pPr>
              <w:rPr>
                <w:rFonts w:ascii="Arial" w:hAnsi="Arial" w:cs="Arial"/>
                <w:b/>
                <w:bCs/>
                <w:sz w:val="16"/>
                <w:szCs w:val="16"/>
                <w:lang w:eastAsia="es-AR"/>
              </w:rPr>
            </w:pPr>
            <w:r w:rsidRPr="00697172">
              <w:rPr>
                <w:rFonts w:ascii="Arial" w:hAnsi="Arial" w:cs="Arial"/>
                <w:b/>
                <w:bCs/>
                <w:sz w:val="16"/>
                <w:szCs w:val="16"/>
                <w:lang w:eastAsia="es-AR"/>
              </w:rPr>
              <w:t>Obligaciones negociables emitidas</w:t>
            </w:r>
          </w:p>
        </w:tc>
        <w:tc>
          <w:tcPr>
            <w:tcW w:w="1680" w:type="dxa"/>
            <w:tcBorders>
              <w:top w:val="nil"/>
              <w:left w:val="nil"/>
              <w:bottom w:val="single" w:sz="4" w:space="0" w:color="auto"/>
              <w:right w:val="single" w:sz="4" w:space="0" w:color="auto"/>
            </w:tcBorders>
            <w:shd w:val="clear" w:color="auto" w:fill="auto"/>
            <w:noWrap/>
            <w:vAlign w:val="bottom"/>
          </w:tcPr>
          <w:p w14:paraId="5862F9FA"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482" w:type="dxa"/>
            <w:tcBorders>
              <w:top w:val="nil"/>
              <w:left w:val="nil"/>
              <w:bottom w:val="single" w:sz="4" w:space="0" w:color="auto"/>
              <w:right w:val="single" w:sz="4" w:space="0" w:color="auto"/>
            </w:tcBorders>
            <w:shd w:val="clear" w:color="auto" w:fill="auto"/>
            <w:noWrap/>
            <w:vAlign w:val="bottom"/>
          </w:tcPr>
          <w:p w14:paraId="681CBFE3"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483" w:type="dxa"/>
            <w:tcBorders>
              <w:top w:val="nil"/>
              <w:left w:val="nil"/>
              <w:bottom w:val="single" w:sz="4" w:space="0" w:color="auto"/>
              <w:right w:val="single" w:sz="4" w:space="0" w:color="auto"/>
            </w:tcBorders>
            <w:shd w:val="clear" w:color="auto" w:fill="auto"/>
            <w:noWrap/>
            <w:vAlign w:val="bottom"/>
          </w:tcPr>
          <w:p w14:paraId="31FA6007"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-7.924.029 </w:t>
            </w:r>
          </w:p>
        </w:tc>
        <w:tc>
          <w:tcPr>
            <w:tcW w:w="1553" w:type="dxa"/>
            <w:tcBorders>
              <w:top w:val="nil"/>
              <w:left w:val="nil"/>
              <w:bottom w:val="single" w:sz="4" w:space="0" w:color="auto"/>
              <w:right w:val="single" w:sz="4" w:space="0" w:color="auto"/>
            </w:tcBorders>
            <w:shd w:val="clear" w:color="auto" w:fill="auto"/>
            <w:noWrap/>
            <w:vAlign w:val="bottom"/>
          </w:tcPr>
          <w:p w14:paraId="6D42A9FB"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-7.924.029</w:t>
            </w:r>
          </w:p>
        </w:tc>
      </w:tr>
      <w:tr w:rsidR="0035700B" w:rsidRPr="00697172" w14:paraId="76D3F27E" w14:textId="77777777" w:rsidTr="00F27605">
        <w:trPr>
          <w:trHeight w:val="221"/>
          <w:tblHeader/>
          <w:jc w:val="center"/>
        </w:trPr>
        <w:tc>
          <w:tcPr>
            <w:tcW w:w="4181" w:type="dxa"/>
            <w:tcBorders>
              <w:top w:val="nil"/>
              <w:left w:val="single" w:sz="4" w:space="0" w:color="auto"/>
              <w:bottom w:val="single" w:sz="4" w:space="0" w:color="auto"/>
              <w:right w:val="single" w:sz="4" w:space="0" w:color="auto"/>
            </w:tcBorders>
            <w:shd w:val="clear" w:color="auto" w:fill="auto"/>
          </w:tcPr>
          <w:p w14:paraId="1697E556" w14:textId="77777777" w:rsidR="0035700B" w:rsidRPr="00697172" w:rsidRDefault="0035700B" w:rsidP="00F27605">
            <w:pPr>
              <w:rPr>
                <w:rFonts w:ascii="Arial" w:hAnsi="Arial" w:cs="Arial"/>
                <w:b/>
                <w:bCs/>
                <w:sz w:val="16"/>
                <w:szCs w:val="16"/>
                <w:lang w:eastAsia="es-AR"/>
              </w:rPr>
            </w:pPr>
            <w:r w:rsidRPr="00697172">
              <w:rPr>
                <w:rFonts w:ascii="Arial" w:hAnsi="Arial" w:cs="Arial"/>
                <w:b/>
                <w:bCs/>
                <w:sz w:val="16"/>
                <w:szCs w:val="16"/>
                <w:lang w:eastAsia="es-AR"/>
              </w:rPr>
              <w:t>Pasivo por impuestos a las ganancias corriente</w:t>
            </w:r>
          </w:p>
        </w:tc>
        <w:tc>
          <w:tcPr>
            <w:tcW w:w="1680" w:type="dxa"/>
            <w:tcBorders>
              <w:top w:val="nil"/>
              <w:left w:val="nil"/>
              <w:bottom w:val="single" w:sz="4" w:space="0" w:color="auto"/>
              <w:right w:val="single" w:sz="4" w:space="0" w:color="auto"/>
            </w:tcBorders>
            <w:shd w:val="clear" w:color="auto" w:fill="auto"/>
            <w:noWrap/>
            <w:vAlign w:val="bottom"/>
          </w:tcPr>
          <w:p w14:paraId="5C45CE89" w14:textId="77777777" w:rsidR="0035700B" w:rsidRPr="00697172" w:rsidRDefault="0035700B" w:rsidP="00F27605">
            <w:pPr>
              <w:jc w:val="right"/>
              <w:rPr>
                <w:rFonts w:ascii="Arial" w:hAnsi="Arial" w:cs="Arial"/>
                <w:b/>
                <w:sz w:val="16"/>
                <w:szCs w:val="16"/>
              </w:rPr>
            </w:pPr>
            <w:r w:rsidRPr="00697172">
              <w:rPr>
                <w:rFonts w:ascii="Arial" w:hAnsi="Arial" w:cs="Arial"/>
                <w:b/>
                <w:sz w:val="16"/>
                <w:szCs w:val="16"/>
              </w:rPr>
              <w:t xml:space="preserve"> -   </w:t>
            </w:r>
          </w:p>
        </w:tc>
        <w:tc>
          <w:tcPr>
            <w:tcW w:w="1482" w:type="dxa"/>
            <w:tcBorders>
              <w:top w:val="nil"/>
              <w:left w:val="nil"/>
              <w:bottom w:val="single" w:sz="4" w:space="0" w:color="auto"/>
              <w:right w:val="single" w:sz="4" w:space="0" w:color="auto"/>
            </w:tcBorders>
            <w:shd w:val="clear" w:color="auto" w:fill="auto"/>
            <w:noWrap/>
            <w:vAlign w:val="bottom"/>
          </w:tcPr>
          <w:p w14:paraId="7D1143BE" w14:textId="77777777" w:rsidR="0035700B" w:rsidRPr="00697172" w:rsidRDefault="0035700B" w:rsidP="00F27605">
            <w:pPr>
              <w:jc w:val="right"/>
              <w:rPr>
                <w:rFonts w:ascii="Arial" w:hAnsi="Arial" w:cs="Arial"/>
                <w:b/>
                <w:sz w:val="16"/>
                <w:szCs w:val="16"/>
              </w:rPr>
            </w:pPr>
            <w:r w:rsidRPr="00697172">
              <w:rPr>
                <w:rFonts w:ascii="Arial" w:hAnsi="Arial" w:cs="Arial"/>
                <w:b/>
                <w:sz w:val="16"/>
                <w:szCs w:val="16"/>
              </w:rPr>
              <w:t xml:space="preserve"> -   </w:t>
            </w:r>
          </w:p>
        </w:tc>
        <w:tc>
          <w:tcPr>
            <w:tcW w:w="1483" w:type="dxa"/>
            <w:tcBorders>
              <w:top w:val="nil"/>
              <w:left w:val="nil"/>
              <w:bottom w:val="single" w:sz="4" w:space="0" w:color="auto"/>
              <w:right w:val="single" w:sz="4" w:space="0" w:color="auto"/>
            </w:tcBorders>
            <w:shd w:val="clear" w:color="auto" w:fill="auto"/>
            <w:noWrap/>
            <w:vAlign w:val="bottom"/>
          </w:tcPr>
          <w:p w14:paraId="1A60D865" w14:textId="77777777" w:rsidR="0035700B" w:rsidRPr="00697172" w:rsidRDefault="0035700B" w:rsidP="00F27605">
            <w:pPr>
              <w:jc w:val="right"/>
              <w:rPr>
                <w:rFonts w:ascii="Arial" w:hAnsi="Arial" w:cs="Arial"/>
                <w:b/>
                <w:sz w:val="16"/>
                <w:szCs w:val="16"/>
              </w:rPr>
            </w:pPr>
            <w:r w:rsidRPr="00697172">
              <w:rPr>
                <w:rFonts w:ascii="Arial" w:hAnsi="Arial" w:cs="Arial"/>
                <w:b/>
                <w:sz w:val="16"/>
                <w:szCs w:val="16"/>
              </w:rPr>
              <w:t xml:space="preserve"> -330.228 </w:t>
            </w:r>
          </w:p>
        </w:tc>
        <w:tc>
          <w:tcPr>
            <w:tcW w:w="1553" w:type="dxa"/>
            <w:tcBorders>
              <w:top w:val="nil"/>
              <w:left w:val="nil"/>
              <w:bottom w:val="single" w:sz="4" w:space="0" w:color="auto"/>
              <w:right w:val="single" w:sz="4" w:space="0" w:color="auto"/>
            </w:tcBorders>
            <w:shd w:val="clear" w:color="auto" w:fill="auto"/>
            <w:noWrap/>
            <w:vAlign w:val="bottom"/>
          </w:tcPr>
          <w:p w14:paraId="105A64A6" w14:textId="77777777" w:rsidR="0035700B" w:rsidRPr="00697172" w:rsidRDefault="0035700B" w:rsidP="00F27605">
            <w:pPr>
              <w:jc w:val="right"/>
              <w:rPr>
                <w:rFonts w:ascii="Arial" w:hAnsi="Arial" w:cs="Arial"/>
                <w:b/>
                <w:sz w:val="16"/>
                <w:szCs w:val="16"/>
              </w:rPr>
            </w:pPr>
            <w:r w:rsidRPr="00697172">
              <w:rPr>
                <w:rFonts w:ascii="Arial" w:hAnsi="Arial" w:cs="Arial"/>
                <w:b/>
                <w:sz w:val="16"/>
                <w:szCs w:val="16"/>
              </w:rPr>
              <w:t>-330.228</w:t>
            </w:r>
          </w:p>
        </w:tc>
      </w:tr>
      <w:tr w:rsidR="0035700B" w:rsidRPr="00697172" w14:paraId="04FA381C" w14:textId="77777777" w:rsidTr="00F27605">
        <w:trPr>
          <w:trHeight w:val="209"/>
          <w:tblHeader/>
          <w:jc w:val="center"/>
        </w:trPr>
        <w:tc>
          <w:tcPr>
            <w:tcW w:w="4181" w:type="dxa"/>
            <w:tcBorders>
              <w:top w:val="nil"/>
              <w:left w:val="single" w:sz="4" w:space="0" w:color="auto"/>
              <w:bottom w:val="single" w:sz="4" w:space="0" w:color="auto"/>
              <w:right w:val="single" w:sz="4" w:space="0" w:color="auto"/>
            </w:tcBorders>
            <w:shd w:val="clear" w:color="auto" w:fill="auto"/>
            <w:hideMark/>
          </w:tcPr>
          <w:p w14:paraId="3C0AC2D6" w14:textId="77777777" w:rsidR="0035700B" w:rsidRPr="00697172" w:rsidRDefault="0035700B" w:rsidP="00F27605">
            <w:pPr>
              <w:rPr>
                <w:rFonts w:ascii="Arial" w:hAnsi="Arial" w:cs="Arial"/>
                <w:b/>
                <w:bCs/>
                <w:sz w:val="16"/>
                <w:szCs w:val="16"/>
                <w:lang w:eastAsia="es-AR"/>
              </w:rPr>
            </w:pPr>
            <w:r w:rsidRPr="00697172">
              <w:rPr>
                <w:rFonts w:ascii="Arial" w:hAnsi="Arial" w:cs="Arial"/>
                <w:b/>
                <w:bCs/>
                <w:sz w:val="16"/>
                <w:szCs w:val="16"/>
                <w:lang w:eastAsia="es-AR"/>
              </w:rPr>
              <w:t>Obligaciones negociables subordinadas</w:t>
            </w:r>
          </w:p>
        </w:tc>
        <w:tc>
          <w:tcPr>
            <w:tcW w:w="1680" w:type="dxa"/>
            <w:tcBorders>
              <w:top w:val="nil"/>
              <w:left w:val="nil"/>
              <w:bottom w:val="single" w:sz="4" w:space="0" w:color="auto"/>
              <w:right w:val="single" w:sz="4" w:space="0" w:color="auto"/>
            </w:tcBorders>
            <w:shd w:val="clear" w:color="auto" w:fill="auto"/>
            <w:noWrap/>
            <w:vAlign w:val="bottom"/>
          </w:tcPr>
          <w:p w14:paraId="03E15759"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482" w:type="dxa"/>
            <w:tcBorders>
              <w:top w:val="nil"/>
              <w:left w:val="nil"/>
              <w:bottom w:val="single" w:sz="4" w:space="0" w:color="auto"/>
              <w:right w:val="single" w:sz="4" w:space="0" w:color="auto"/>
            </w:tcBorders>
            <w:shd w:val="clear" w:color="auto" w:fill="auto"/>
            <w:noWrap/>
            <w:vAlign w:val="bottom"/>
          </w:tcPr>
          <w:p w14:paraId="76E0AF5F"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   </w:t>
            </w:r>
          </w:p>
        </w:tc>
        <w:tc>
          <w:tcPr>
            <w:tcW w:w="1483" w:type="dxa"/>
            <w:tcBorders>
              <w:top w:val="nil"/>
              <w:left w:val="nil"/>
              <w:bottom w:val="single" w:sz="4" w:space="0" w:color="auto"/>
              <w:right w:val="single" w:sz="4" w:space="0" w:color="auto"/>
            </w:tcBorders>
            <w:shd w:val="clear" w:color="auto" w:fill="auto"/>
            <w:noWrap/>
            <w:vAlign w:val="bottom"/>
          </w:tcPr>
          <w:p w14:paraId="24B4B8A3"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-1.383.817 </w:t>
            </w:r>
          </w:p>
        </w:tc>
        <w:tc>
          <w:tcPr>
            <w:tcW w:w="1553" w:type="dxa"/>
            <w:tcBorders>
              <w:top w:val="nil"/>
              <w:left w:val="nil"/>
              <w:bottom w:val="single" w:sz="4" w:space="0" w:color="auto"/>
              <w:right w:val="single" w:sz="4" w:space="0" w:color="auto"/>
            </w:tcBorders>
            <w:shd w:val="clear" w:color="auto" w:fill="auto"/>
            <w:noWrap/>
            <w:vAlign w:val="bottom"/>
          </w:tcPr>
          <w:p w14:paraId="441C190F"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-1.383.817</w:t>
            </w:r>
          </w:p>
        </w:tc>
      </w:tr>
      <w:tr w:rsidR="0035700B" w:rsidRPr="00697172" w14:paraId="6DEE01B4" w14:textId="77777777" w:rsidTr="00F27605">
        <w:trPr>
          <w:trHeight w:val="221"/>
          <w:tblHeader/>
          <w:jc w:val="center"/>
        </w:trPr>
        <w:tc>
          <w:tcPr>
            <w:tcW w:w="4181" w:type="dxa"/>
            <w:tcBorders>
              <w:top w:val="nil"/>
              <w:left w:val="single" w:sz="4" w:space="0" w:color="auto"/>
              <w:bottom w:val="single" w:sz="4" w:space="0" w:color="auto"/>
              <w:right w:val="single" w:sz="4" w:space="0" w:color="auto"/>
            </w:tcBorders>
            <w:shd w:val="clear" w:color="auto" w:fill="auto"/>
            <w:hideMark/>
          </w:tcPr>
          <w:p w14:paraId="0E472D9E" w14:textId="77777777" w:rsidR="0035700B" w:rsidRPr="00697172" w:rsidRDefault="0035700B" w:rsidP="00F27605">
            <w:pPr>
              <w:rPr>
                <w:rFonts w:ascii="Arial" w:hAnsi="Arial" w:cs="Arial"/>
                <w:b/>
                <w:bCs/>
                <w:sz w:val="16"/>
                <w:szCs w:val="16"/>
                <w:lang w:eastAsia="es-AR"/>
              </w:rPr>
            </w:pPr>
            <w:r w:rsidRPr="00697172">
              <w:rPr>
                <w:rFonts w:ascii="Arial" w:hAnsi="Arial" w:cs="Arial"/>
                <w:b/>
                <w:bCs/>
                <w:sz w:val="16"/>
                <w:szCs w:val="16"/>
                <w:lang w:eastAsia="es-AR"/>
              </w:rPr>
              <w:t>Provisiones</w:t>
            </w:r>
          </w:p>
        </w:tc>
        <w:tc>
          <w:tcPr>
            <w:tcW w:w="1680" w:type="dxa"/>
            <w:tcBorders>
              <w:top w:val="nil"/>
              <w:left w:val="nil"/>
              <w:bottom w:val="single" w:sz="4" w:space="0" w:color="auto"/>
              <w:right w:val="single" w:sz="4" w:space="0" w:color="auto"/>
            </w:tcBorders>
            <w:shd w:val="clear" w:color="auto" w:fill="auto"/>
            <w:noWrap/>
            <w:vAlign w:val="bottom"/>
          </w:tcPr>
          <w:p w14:paraId="5BADB6A7"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-17.704 </w:t>
            </w:r>
          </w:p>
        </w:tc>
        <w:tc>
          <w:tcPr>
            <w:tcW w:w="1482" w:type="dxa"/>
            <w:tcBorders>
              <w:top w:val="nil"/>
              <w:left w:val="nil"/>
              <w:bottom w:val="single" w:sz="4" w:space="0" w:color="auto"/>
              <w:right w:val="single" w:sz="4" w:space="0" w:color="auto"/>
            </w:tcBorders>
            <w:shd w:val="clear" w:color="auto" w:fill="auto"/>
            <w:noWrap/>
            <w:vAlign w:val="bottom"/>
          </w:tcPr>
          <w:p w14:paraId="3244FD9C"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-21.216 </w:t>
            </w:r>
          </w:p>
        </w:tc>
        <w:tc>
          <w:tcPr>
            <w:tcW w:w="1483" w:type="dxa"/>
            <w:tcBorders>
              <w:top w:val="nil"/>
              <w:left w:val="nil"/>
              <w:bottom w:val="single" w:sz="4" w:space="0" w:color="auto"/>
              <w:right w:val="single" w:sz="4" w:space="0" w:color="auto"/>
            </w:tcBorders>
            <w:shd w:val="clear" w:color="auto" w:fill="auto"/>
            <w:noWrap/>
            <w:vAlign w:val="bottom"/>
          </w:tcPr>
          <w:p w14:paraId="1BC21474"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-5.339 </w:t>
            </w:r>
          </w:p>
        </w:tc>
        <w:tc>
          <w:tcPr>
            <w:tcW w:w="1553" w:type="dxa"/>
            <w:tcBorders>
              <w:top w:val="nil"/>
              <w:left w:val="nil"/>
              <w:bottom w:val="single" w:sz="4" w:space="0" w:color="auto"/>
              <w:right w:val="single" w:sz="4" w:space="0" w:color="auto"/>
            </w:tcBorders>
            <w:shd w:val="clear" w:color="auto" w:fill="auto"/>
            <w:noWrap/>
            <w:vAlign w:val="bottom"/>
          </w:tcPr>
          <w:p w14:paraId="7F976441"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-44.259</w:t>
            </w:r>
          </w:p>
        </w:tc>
      </w:tr>
      <w:tr w:rsidR="0035700B" w:rsidRPr="00697172" w14:paraId="4C550BD1" w14:textId="77777777" w:rsidTr="00F27605">
        <w:trPr>
          <w:trHeight w:val="221"/>
          <w:tblHeader/>
          <w:jc w:val="center"/>
        </w:trPr>
        <w:tc>
          <w:tcPr>
            <w:tcW w:w="4181" w:type="dxa"/>
            <w:tcBorders>
              <w:top w:val="nil"/>
              <w:left w:val="single" w:sz="4" w:space="0" w:color="auto"/>
              <w:bottom w:val="single" w:sz="4" w:space="0" w:color="auto"/>
              <w:right w:val="single" w:sz="4" w:space="0" w:color="auto"/>
            </w:tcBorders>
            <w:shd w:val="clear" w:color="auto" w:fill="auto"/>
            <w:vAlign w:val="bottom"/>
            <w:hideMark/>
          </w:tcPr>
          <w:p w14:paraId="5EC44C67" w14:textId="77777777" w:rsidR="0035700B" w:rsidRPr="00697172" w:rsidRDefault="0035700B" w:rsidP="00F27605">
            <w:pPr>
              <w:rPr>
                <w:rFonts w:ascii="Arial" w:hAnsi="Arial" w:cs="Arial"/>
                <w:b/>
                <w:bCs/>
                <w:sz w:val="16"/>
                <w:szCs w:val="16"/>
                <w:lang w:val="es-ES" w:eastAsia="es-AR"/>
              </w:rPr>
            </w:pPr>
            <w:r w:rsidRPr="00697172">
              <w:rPr>
                <w:rFonts w:ascii="Arial" w:hAnsi="Arial" w:cs="Arial"/>
                <w:b/>
                <w:bCs/>
                <w:sz w:val="16"/>
                <w:szCs w:val="16"/>
                <w:lang w:eastAsia="es-AR"/>
              </w:rPr>
              <w:t>Otros pasivos no financieros</w:t>
            </w:r>
          </w:p>
        </w:tc>
        <w:tc>
          <w:tcPr>
            <w:tcW w:w="1680" w:type="dxa"/>
            <w:tcBorders>
              <w:top w:val="nil"/>
              <w:left w:val="nil"/>
              <w:bottom w:val="single" w:sz="4" w:space="0" w:color="auto"/>
              <w:right w:val="single" w:sz="4" w:space="0" w:color="auto"/>
            </w:tcBorders>
            <w:shd w:val="clear" w:color="auto" w:fill="auto"/>
            <w:noWrap/>
            <w:vAlign w:val="bottom"/>
          </w:tcPr>
          <w:p w14:paraId="2BB3E88E"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-29.765 </w:t>
            </w:r>
          </w:p>
        </w:tc>
        <w:tc>
          <w:tcPr>
            <w:tcW w:w="1482" w:type="dxa"/>
            <w:tcBorders>
              <w:top w:val="nil"/>
              <w:left w:val="nil"/>
              <w:bottom w:val="single" w:sz="4" w:space="0" w:color="auto"/>
              <w:right w:val="single" w:sz="4" w:space="0" w:color="auto"/>
            </w:tcBorders>
            <w:shd w:val="clear" w:color="auto" w:fill="auto"/>
            <w:noWrap/>
            <w:vAlign w:val="bottom"/>
          </w:tcPr>
          <w:p w14:paraId="2FED60F6"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-1.009.401 </w:t>
            </w:r>
          </w:p>
        </w:tc>
        <w:tc>
          <w:tcPr>
            <w:tcW w:w="1483" w:type="dxa"/>
            <w:tcBorders>
              <w:top w:val="nil"/>
              <w:left w:val="nil"/>
              <w:bottom w:val="single" w:sz="4" w:space="0" w:color="auto"/>
              <w:right w:val="single" w:sz="4" w:space="0" w:color="auto"/>
            </w:tcBorders>
            <w:shd w:val="clear" w:color="auto" w:fill="auto"/>
            <w:noWrap/>
            <w:vAlign w:val="bottom"/>
          </w:tcPr>
          <w:p w14:paraId="40AD7AE2" w14:textId="11B7A725"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-2.959.06</w:t>
            </w:r>
            <w:r w:rsidR="004B2031">
              <w:rPr>
                <w:rFonts w:ascii="Arial" w:hAnsi="Arial" w:cs="Arial"/>
                <w:b/>
                <w:sz w:val="16"/>
                <w:szCs w:val="16"/>
              </w:rPr>
              <w:t>2</w:t>
            </w:r>
            <w:r w:rsidRPr="00697172">
              <w:rPr>
                <w:rFonts w:ascii="Arial" w:hAnsi="Arial" w:cs="Arial"/>
                <w:b/>
                <w:sz w:val="16"/>
                <w:szCs w:val="16"/>
              </w:rPr>
              <w:t xml:space="preserve"> </w:t>
            </w:r>
          </w:p>
        </w:tc>
        <w:tc>
          <w:tcPr>
            <w:tcW w:w="1553" w:type="dxa"/>
            <w:tcBorders>
              <w:top w:val="nil"/>
              <w:left w:val="nil"/>
              <w:bottom w:val="single" w:sz="4" w:space="0" w:color="auto"/>
              <w:right w:val="single" w:sz="4" w:space="0" w:color="auto"/>
            </w:tcBorders>
            <w:shd w:val="clear" w:color="auto" w:fill="auto"/>
            <w:noWrap/>
            <w:vAlign w:val="bottom"/>
          </w:tcPr>
          <w:p w14:paraId="5A500ECF" w14:textId="4D93EE30"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-3.998.22</w:t>
            </w:r>
            <w:r w:rsidR="004B2031">
              <w:rPr>
                <w:rFonts w:ascii="Arial" w:hAnsi="Arial" w:cs="Arial"/>
                <w:b/>
                <w:sz w:val="16"/>
                <w:szCs w:val="16"/>
              </w:rPr>
              <w:t>8</w:t>
            </w:r>
          </w:p>
        </w:tc>
      </w:tr>
      <w:tr w:rsidR="0035700B" w:rsidRPr="002F7F46" w14:paraId="079FFF46" w14:textId="77777777" w:rsidTr="00F27605">
        <w:trPr>
          <w:trHeight w:val="221"/>
          <w:tblHeader/>
          <w:jc w:val="center"/>
        </w:trPr>
        <w:tc>
          <w:tcPr>
            <w:tcW w:w="4181" w:type="dxa"/>
            <w:tcBorders>
              <w:top w:val="nil"/>
              <w:left w:val="single" w:sz="4" w:space="0" w:color="auto"/>
              <w:bottom w:val="single" w:sz="4" w:space="0" w:color="auto"/>
              <w:right w:val="single" w:sz="4" w:space="0" w:color="auto"/>
            </w:tcBorders>
            <w:shd w:val="clear" w:color="auto" w:fill="auto"/>
            <w:hideMark/>
          </w:tcPr>
          <w:p w14:paraId="75B32AFD" w14:textId="77777777" w:rsidR="0035700B" w:rsidRPr="00697172" w:rsidRDefault="0035700B" w:rsidP="00F27605">
            <w:pPr>
              <w:rPr>
                <w:rFonts w:ascii="Arial" w:hAnsi="Arial" w:cs="Arial"/>
                <w:b/>
                <w:bCs/>
                <w:sz w:val="16"/>
                <w:szCs w:val="16"/>
                <w:lang w:eastAsia="es-AR"/>
              </w:rPr>
            </w:pPr>
            <w:r w:rsidRPr="00697172">
              <w:rPr>
                <w:rFonts w:ascii="Arial" w:hAnsi="Arial" w:cs="Arial"/>
                <w:b/>
                <w:bCs/>
                <w:sz w:val="16"/>
                <w:szCs w:val="16"/>
                <w:lang w:eastAsia="es-AR"/>
              </w:rPr>
              <w:t>TOTAL PASIVO</w:t>
            </w:r>
          </w:p>
        </w:tc>
        <w:tc>
          <w:tcPr>
            <w:tcW w:w="1680" w:type="dxa"/>
            <w:tcBorders>
              <w:top w:val="nil"/>
              <w:left w:val="nil"/>
              <w:bottom w:val="single" w:sz="4" w:space="0" w:color="auto"/>
              <w:right w:val="single" w:sz="4" w:space="0" w:color="auto"/>
            </w:tcBorders>
            <w:shd w:val="clear" w:color="auto" w:fill="auto"/>
            <w:noWrap/>
            <w:vAlign w:val="bottom"/>
          </w:tcPr>
          <w:p w14:paraId="7585127C"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-17.644.475 </w:t>
            </w:r>
          </w:p>
        </w:tc>
        <w:tc>
          <w:tcPr>
            <w:tcW w:w="1482" w:type="dxa"/>
            <w:tcBorders>
              <w:top w:val="nil"/>
              <w:left w:val="nil"/>
              <w:bottom w:val="single" w:sz="4" w:space="0" w:color="auto"/>
              <w:right w:val="single" w:sz="4" w:space="0" w:color="auto"/>
            </w:tcBorders>
            <w:shd w:val="clear" w:color="auto" w:fill="auto"/>
            <w:noWrap/>
            <w:vAlign w:val="bottom"/>
          </w:tcPr>
          <w:p w14:paraId="0D231284" w14:textId="77777777"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-54.846.433 </w:t>
            </w:r>
          </w:p>
        </w:tc>
        <w:tc>
          <w:tcPr>
            <w:tcW w:w="1483" w:type="dxa"/>
            <w:tcBorders>
              <w:top w:val="nil"/>
              <w:left w:val="nil"/>
              <w:bottom w:val="single" w:sz="4" w:space="0" w:color="auto"/>
              <w:right w:val="single" w:sz="4" w:space="0" w:color="auto"/>
            </w:tcBorders>
            <w:shd w:val="clear" w:color="auto" w:fill="auto"/>
            <w:noWrap/>
            <w:vAlign w:val="bottom"/>
          </w:tcPr>
          <w:p w14:paraId="158A01FC" w14:textId="3F2586AC" w:rsidR="0035700B" w:rsidRPr="00697172" w:rsidRDefault="0035700B" w:rsidP="00F27605">
            <w:pPr>
              <w:jc w:val="right"/>
              <w:rPr>
                <w:rFonts w:ascii="Arial" w:hAnsi="Arial" w:cs="Arial"/>
                <w:b/>
                <w:bCs/>
                <w:sz w:val="16"/>
                <w:szCs w:val="16"/>
                <w:lang w:val="es-ES" w:eastAsia="es-AR"/>
              </w:rPr>
            </w:pPr>
            <w:r w:rsidRPr="00697172">
              <w:rPr>
                <w:rFonts w:ascii="Arial" w:hAnsi="Arial" w:cs="Arial"/>
                <w:b/>
                <w:sz w:val="16"/>
                <w:szCs w:val="16"/>
              </w:rPr>
              <w:t xml:space="preserve"> -47.078.41</w:t>
            </w:r>
            <w:r w:rsidR="004B2031">
              <w:rPr>
                <w:rFonts w:ascii="Arial" w:hAnsi="Arial" w:cs="Arial"/>
                <w:b/>
                <w:sz w:val="16"/>
                <w:szCs w:val="16"/>
              </w:rPr>
              <w:t>7</w:t>
            </w:r>
            <w:r w:rsidRPr="00697172">
              <w:rPr>
                <w:rFonts w:ascii="Arial" w:hAnsi="Arial" w:cs="Arial"/>
                <w:b/>
                <w:sz w:val="16"/>
                <w:szCs w:val="16"/>
              </w:rPr>
              <w:t xml:space="preserve"> </w:t>
            </w:r>
          </w:p>
        </w:tc>
        <w:tc>
          <w:tcPr>
            <w:tcW w:w="1553" w:type="dxa"/>
            <w:tcBorders>
              <w:top w:val="nil"/>
              <w:left w:val="nil"/>
              <w:bottom w:val="single" w:sz="4" w:space="0" w:color="auto"/>
              <w:right w:val="single" w:sz="4" w:space="0" w:color="auto"/>
            </w:tcBorders>
            <w:shd w:val="clear" w:color="auto" w:fill="auto"/>
            <w:noWrap/>
            <w:vAlign w:val="bottom"/>
          </w:tcPr>
          <w:p w14:paraId="6A7AE494" w14:textId="1DAC4928" w:rsidR="0035700B" w:rsidRPr="002F7F46" w:rsidRDefault="0035700B" w:rsidP="00F27605">
            <w:pPr>
              <w:jc w:val="right"/>
              <w:rPr>
                <w:rFonts w:ascii="Arial" w:hAnsi="Arial" w:cs="Arial"/>
                <w:b/>
                <w:bCs/>
                <w:sz w:val="16"/>
                <w:szCs w:val="16"/>
                <w:lang w:val="es-ES" w:eastAsia="es-AR"/>
              </w:rPr>
            </w:pPr>
            <w:r w:rsidRPr="00697172">
              <w:rPr>
                <w:rFonts w:ascii="Arial" w:hAnsi="Arial" w:cs="Arial"/>
                <w:b/>
                <w:sz w:val="16"/>
                <w:szCs w:val="16"/>
              </w:rPr>
              <w:t>-119.569.32</w:t>
            </w:r>
            <w:r w:rsidR="004B2031">
              <w:rPr>
                <w:rFonts w:ascii="Arial" w:hAnsi="Arial" w:cs="Arial"/>
                <w:b/>
                <w:sz w:val="16"/>
                <w:szCs w:val="16"/>
              </w:rPr>
              <w:t>5</w:t>
            </w:r>
          </w:p>
        </w:tc>
      </w:tr>
    </w:tbl>
    <w:p w14:paraId="5FE13981" w14:textId="77777777" w:rsidR="0035700B" w:rsidRDefault="0035700B" w:rsidP="00E97F98">
      <w:pPr>
        <w:jc w:val="both"/>
        <w:rPr>
          <w:rFonts w:ascii="Arial" w:hAnsi="Arial" w:cs="Arial"/>
          <w:sz w:val="20"/>
        </w:rPr>
      </w:pPr>
    </w:p>
    <w:tbl>
      <w:tblPr>
        <w:tblW w:w="10308" w:type="dxa"/>
        <w:jc w:val="center"/>
        <w:tblCellMar>
          <w:left w:w="70" w:type="dxa"/>
          <w:right w:w="70" w:type="dxa"/>
        </w:tblCellMar>
        <w:tblLook w:val="04A0" w:firstRow="1" w:lastRow="0" w:firstColumn="1" w:lastColumn="0" w:noHBand="0" w:noVBand="1"/>
      </w:tblPr>
      <w:tblGrid>
        <w:gridCol w:w="3293"/>
        <w:gridCol w:w="1370"/>
        <w:gridCol w:w="1498"/>
        <w:gridCol w:w="1502"/>
        <w:gridCol w:w="1010"/>
        <w:gridCol w:w="1635"/>
      </w:tblGrid>
      <w:tr w:rsidR="002E6215" w:rsidRPr="00701F32" w14:paraId="74197E18" w14:textId="77777777" w:rsidTr="00764FD5">
        <w:trPr>
          <w:trHeight w:val="226"/>
          <w:tblHeader/>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160BF" w14:textId="3DC67E81" w:rsidR="002E6215" w:rsidRPr="00701F32" w:rsidRDefault="002E6215" w:rsidP="0013068D">
            <w:pPr>
              <w:rPr>
                <w:rFonts w:ascii="Arial" w:hAnsi="Arial" w:cs="Arial"/>
                <w:b/>
                <w:bCs/>
                <w:sz w:val="16"/>
                <w:szCs w:val="18"/>
                <w:lang w:eastAsia="es-AR"/>
              </w:rPr>
            </w:pPr>
            <w:r w:rsidRPr="00701F32">
              <w:rPr>
                <w:rFonts w:ascii="Arial" w:hAnsi="Arial" w:cs="Arial"/>
                <w:b/>
                <w:bCs/>
                <w:sz w:val="16"/>
                <w:szCs w:val="18"/>
                <w:lang w:eastAsia="es-AR"/>
              </w:rPr>
              <w:t>Resultado por Segmentos al 3</w:t>
            </w:r>
            <w:r w:rsidR="00764FD5">
              <w:rPr>
                <w:rFonts w:ascii="Arial" w:hAnsi="Arial" w:cs="Arial"/>
                <w:b/>
                <w:bCs/>
                <w:sz w:val="16"/>
                <w:szCs w:val="18"/>
                <w:lang w:eastAsia="es-AR"/>
              </w:rPr>
              <w:t>1</w:t>
            </w:r>
            <w:r w:rsidRPr="00701F32">
              <w:rPr>
                <w:rFonts w:ascii="Arial" w:hAnsi="Arial" w:cs="Arial"/>
                <w:b/>
                <w:bCs/>
                <w:sz w:val="16"/>
                <w:szCs w:val="18"/>
                <w:lang w:eastAsia="es-AR"/>
              </w:rPr>
              <w:t>/</w:t>
            </w:r>
            <w:r w:rsidR="00764FD5">
              <w:rPr>
                <w:rFonts w:ascii="Arial" w:hAnsi="Arial" w:cs="Arial"/>
                <w:b/>
                <w:bCs/>
                <w:sz w:val="16"/>
                <w:szCs w:val="18"/>
                <w:lang w:eastAsia="es-AR"/>
              </w:rPr>
              <w:t>12</w:t>
            </w:r>
            <w:r w:rsidRPr="00701F32">
              <w:rPr>
                <w:rFonts w:ascii="Arial" w:hAnsi="Arial" w:cs="Arial"/>
                <w:b/>
                <w:bCs/>
                <w:sz w:val="16"/>
                <w:szCs w:val="18"/>
                <w:lang w:eastAsia="es-AR"/>
              </w:rPr>
              <w:t>/2018</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973D4" w14:textId="77777777" w:rsidR="002E6215" w:rsidRPr="00701F32" w:rsidRDefault="002E6215" w:rsidP="0013068D">
            <w:pPr>
              <w:jc w:val="center"/>
              <w:rPr>
                <w:rFonts w:ascii="Arial" w:hAnsi="Arial" w:cs="Arial"/>
                <w:b/>
                <w:bCs/>
                <w:sz w:val="16"/>
                <w:szCs w:val="18"/>
                <w:lang w:eastAsia="es-AR"/>
              </w:rPr>
            </w:pPr>
            <w:r w:rsidRPr="00701F32">
              <w:rPr>
                <w:rFonts w:ascii="Arial" w:hAnsi="Arial" w:cs="Arial"/>
                <w:b/>
                <w:bCs/>
                <w:sz w:val="16"/>
                <w:szCs w:val="18"/>
                <w:lang w:eastAsia="es-AR"/>
              </w:rPr>
              <w:t>Banca Empresa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D49FC" w14:textId="77777777" w:rsidR="002E6215" w:rsidRPr="00701F32" w:rsidRDefault="002E6215" w:rsidP="0013068D">
            <w:pPr>
              <w:jc w:val="center"/>
              <w:rPr>
                <w:rFonts w:ascii="Arial" w:hAnsi="Arial" w:cs="Arial"/>
                <w:b/>
                <w:bCs/>
                <w:sz w:val="16"/>
                <w:szCs w:val="18"/>
                <w:lang w:eastAsia="es-AR"/>
              </w:rPr>
            </w:pPr>
            <w:r w:rsidRPr="00701F32">
              <w:rPr>
                <w:rFonts w:ascii="Arial" w:hAnsi="Arial" w:cs="Arial"/>
                <w:b/>
                <w:bCs/>
                <w:sz w:val="16"/>
                <w:szCs w:val="18"/>
                <w:lang w:eastAsia="es-AR"/>
              </w:rPr>
              <w:t>Banca Minorista</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C0456" w14:textId="77777777" w:rsidR="002E6215" w:rsidRPr="00701F32" w:rsidRDefault="002E6215" w:rsidP="0013068D">
            <w:pPr>
              <w:jc w:val="center"/>
              <w:rPr>
                <w:rFonts w:ascii="Arial" w:hAnsi="Arial" w:cs="Arial"/>
                <w:b/>
                <w:bCs/>
                <w:sz w:val="16"/>
                <w:szCs w:val="18"/>
                <w:lang w:eastAsia="es-AR"/>
              </w:rPr>
            </w:pPr>
            <w:r w:rsidRPr="00701F32">
              <w:rPr>
                <w:rFonts w:ascii="Arial" w:hAnsi="Arial" w:cs="Arial"/>
                <w:b/>
                <w:bCs/>
                <w:sz w:val="16"/>
                <w:szCs w:val="18"/>
                <w:lang w:eastAsia="es-AR"/>
              </w:rPr>
              <w:t>Tesorería</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F5580" w14:textId="77777777" w:rsidR="002E6215" w:rsidRPr="00701F32" w:rsidRDefault="002E6215" w:rsidP="0013068D">
            <w:pPr>
              <w:jc w:val="center"/>
              <w:rPr>
                <w:rFonts w:ascii="Arial" w:hAnsi="Arial" w:cs="Arial"/>
                <w:b/>
                <w:bCs/>
                <w:sz w:val="16"/>
                <w:szCs w:val="18"/>
                <w:lang w:eastAsia="es-AR"/>
              </w:rPr>
            </w:pPr>
            <w:r w:rsidRPr="00701F32">
              <w:rPr>
                <w:rFonts w:ascii="Arial" w:hAnsi="Arial" w:cs="Arial"/>
                <w:b/>
                <w:bCs/>
                <w:sz w:val="16"/>
                <w:szCs w:val="18"/>
                <w:lang w:eastAsia="es-AR"/>
              </w:rPr>
              <w:t>Ajustes</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FC586" w14:textId="77777777" w:rsidR="002E6215" w:rsidRPr="00701F32" w:rsidRDefault="002E6215" w:rsidP="0013068D">
            <w:pPr>
              <w:jc w:val="center"/>
              <w:rPr>
                <w:rFonts w:ascii="Arial" w:hAnsi="Arial" w:cs="Arial"/>
                <w:b/>
                <w:bCs/>
                <w:sz w:val="16"/>
                <w:szCs w:val="18"/>
                <w:lang w:eastAsia="es-AR"/>
              </w:rPr>
            </w:pPr>
            <w:r w:rsidRPr="00701F32">
              <w:rPr>
                <w:rFonts w:ascii="Arial" w:hAnsi="Arial" w:cs="Arial"/>
                <w:b/>
                <w:bCs/>
                <w:sz w:val="16"/>
                <w:szCs w:val="18"/>
                <w:lang w:eastAsia="es-AR"/>
              </w:rPr>
              <w:t>TOTAL</w:t>
            </w:r>
          </w:p>
        </w:tc>
      </w:tr>
      <w:tr w:rsidR="00764FD5" w:rsidRPr="00701F32" w14:paraId="041E1BB0" w14:textId="77777777" w:rsidTr="00764FD5">
        <w:trPr>
          <w:trHeight w:val="236"/>
          <w:jc w:val="center"/>
        </w:trPr>
        <w:tc>
          <w:tcPr>
            <w:tcW w:w="3293" w:type="dxa"/>
            <w:tcBorders>
              <w:top w:val="single" w:sz="4" w:space="0" w:color="auto"/>
              <w:left w:val="single" w:sz="4" w:space="0" w:color="auto"/>
              <w:bottom w:val="nil"/>
              <w:right w:val="single" w:sz="4" w:space="0" w:color="auto"/>
            </w:tcBorders>
            <w:shd w:val="clear" w:color="auto" w:fill="auto"/>
            <w:noWrap/>
            <w:vAlign w:val="center"/>
            <w:hideMark/>
          </w:tcPr>
          <w:p w14:paraId="11074573" w14:textId="77777777" w:rsidR="00764FD5" w:rsidRPr="00701F32" w:rsidRDefault="00764FD5" w:rsidP="00764FD5">
            <w:pPr>
              <w:rPr>
                <w:rFonts w:ascii="Arial" w:hAnsi="Arial" w:cs="Arial"/>
                <w:sz w:val="16"/>
                <w:szCs w:val="18"/>
                <w:lang w:eastAsia="es-AR"/>
              </w:rPr>
            </w:pPr>
            <w:r w:rsidRPr="00701F32">
              <w:rPr>
                <w:rFonts w:ascii="Arial" w:hAnsi="Arial" w:cs="Arial"/>
                <w:sz w:val="16"/>
                <w:szCs w:val="18"/>
                <w:lang w:eastAsia="es-AR"/>
              </w:rPr>
              <w:t xml:space="preserve">Ingresos por intereses </w:t>
            </w:r>
          </w:p>
        </w:tc>
        <w:tc>
          <w:tcPr>
            <w:tcW w:w="1370" w:type="dxa"/>
            <w:tcBorders>
              <w:top w:val="single" w:sz="4" w:space="0" w:color="auto"/>
              <w:left w:val="single" w:sz="4" w:space="0" w:color="auto"/>
              <w:bottom w:val="nil"/>
              <w:right w:val="single" w:sz="4" w:space="0" w:color="auto"/>
            </w:tcBorders>
            <w:shd w:val="clear" w:color="auto" w:fill="auto"/>
            <w:noWrap/>
            <w:vAlign w:val="bottom"/>
          </w:tcPr>
          <w:p w14:paraId="5F000173" w14:textId="5C395319"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8.996.130 </w:t>
            </w:r>
          </w:p>
        </w:tc>
        <w:tc>
          <w:tcPr>
            <w:tcW w:w="1498" w:type="dxa"/>
            <w:tcBorders>
              <w:top w:val="single" w:sz="4" w:space="0" w:color="auto"/>
              <w:left w:val="single" w:sz="4" w:space="0" w:color="auto"/>
              <w:bottom w:val="nil"/>
              <w:right w:val="single" w:sz="4" w:space="0" w:color="auto"/>
            </w:tcBorders>
            <w:shd w:val="clear" w:color="auto" w:fill="auto"/>
            <w:noWrap/>
            <w:vAlign w:val="bottom"/>
          </w:tcPr>
          <w:p w14:paraId="1E448D38" w14:textId="1E35C0F9"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11.005.403 </w:t>
            </w:r>
          </w:p>
        </w:tc>
        <w:tc>
          <w:tcPr>
            <w:tcW w:w="1502" w:type="dxa"/>
            <w:tcBorders>
              <w:top w:val="single" w:sz="4" w:space="0" w:color="auto"/>
              <w:left w:val="single" w:sz="4" w:space="0" w:color="auto"/>
              <w:bottom w:val="nil"/>
              <w:right w:val="single" w:sz="4" w:space="0" w:color="auto"/>
            </w:tcBorders>
            <w:shd w:val="clear" w:color="auto" w:fill="auto"/>
            <w:noWrap/>
            <w:vAlign w:val="bottom"/>
          </w:tcPr>
          <w:p w14:paraId="46EA5B29" w14:textId="0F38D099"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1.512.751 </w:t>
            </w:r>
          </w:p>
        </w:tc>
        <w:tc>
          <w:tcPr>
            <w:tcW w:w="1010" w:type="dxa"/>
            <w:tcBorders>
              <w:top w:val="single" w:sz="4" w:space="0" w:color="auto"/>
              <w:left w:val="single" w:sz="4" w:space="0" w:color="auto"/>
              <w:bottom w:val="nil"/>
              <w:right w:val="single" w:sz="4" w:space="0" w:color="auto"/>
            </w:tcBorders>
            <w:shd w:val="clear" w:color="auto" w:fill="auto"/>
            <w:noWrap/>
            <w:vAlign w:val="bottom"/>
          </w:tcPr>
          <w:p w14:paraId="27B8081E" w14:textId="11A743A5"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single" w:sz="4" w:space="0" w:color="auto"/>
              <w:left w:val="single" w:sz="4" w:space="0" w:color="auto"/>
              <w:bottom w:val="nil"/>
              <w:right w:val="single" w:sz="4" w:space="0" w:color="auto"/>
            </w:tcBorders>
            <w:shd w:val="clear" w:color="auto" w:fill="auto"/>
            <w:noWrap/>
            <w:vAlign w:val="bottom"/>
          </w:tcPr>
          <w:p w14:paraId="5A1C20AB" w14:textId="58DABE0C"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21.514.284 </w:t>
            </w:r>
          </w:p>
        </w:tc>
      </w:tr>
      <w:tr w:rsidR="00764FD5" w:rsidRPr="00701F32" w14:paraId="19D6A1B1" w14:textId="77777777" w:rsidTr="00764FD5">
        <w:trPr>
          <w:trHeight w:val="236"/>
          <w:jc w:val="center"/>
        </w:trPr>
        <w:tc>
          <w:tcPr>
            <w:tcW w:w="3293" w:type="dxa"/>
            <w:tcBorders>
              <w:top w:val="nil"/>
              <w:left w:val="single" w:sz="4" w:space="0" w:color="auto"/>
              <w:bottom w:val="nil"/>
              <w:right w:val="single" w:sz="4" w:space="0" w:color="auto"/>
            </w:tcBorders>
            <w:shd w:val="clear" w:color="auto" w:fill="auto"/>
            <w:noWrap/>
            <w:vAlign w:val="center"/>
            <w:hideMark/>
          </w:tcPr>
          <w:p w14:paraId="1218E111" w14:textId="77777777" w:rsidR="00764FD5" w:rsidRPr="00701F32" w:rsidRDefault="00764FD5" w:rsidP="00764FD5">
            <w:pPr>
              <w:jc w:val="both"/>
              <w:rPr>
                <w:rFonts w:ascii="Arial" w:hAnsi="Arial" w:cs="Arial"/>
                <w:sz w:val="16"/>
                <w:szCs w:val="18"/>
                <w:lang w:eastAsia="es-AR"/>
              </w:rPr>
            </w:pPr>
            <w:r w:rsidRPr="00701F32">
              <w:rPr>
                <w:rFonts w:ascii="Arial" w:hAnsi="Arial" w:cs="Arial"/>
                <w:sz w:val="16"/>
                <w:szCs w:val="18"/>
                <w:lang w:eastAsia="es-AR"/>
              </w:rPr>
              <w:t xml:space="preserve">Egresos por intereses </w:t>
            </w:r>
          </w:p>
        </w:tc>
        <w:tc>
          <w:tcPr>
            <w:tcW w:w="1370" w:type="dxa"/>
            <w:tcBorders>
              <w:top w:val="nil"/>
              <w:left w:val="single" w:sz="4" w:space="0" w:color="auto"/>
              <w:bottom w:val="nil"/>
              <w:right w:val="single" w:sz="4" w:space="0" w:color="auto"/>
            </w:tcBorders>
            <w:shd w:val="clear" w:color="auto" w:fill="auto"/>
            <w:noWrap/>
            <w:vAlign w:val="bottom"/>
          </w:tcPr>
          <w:p w14:paraId="5F7F1082" w14:textId="01DA8FA5"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1.141.696 </w:t>
            </w:r>
          </w:p>
        </w:tc>
        <w:tc>
          <w:tcPr>
            <w:tcW w:w="1498" w:type="dxa"/>
            <w:tcBorders>
              <w:top w:val="nil"/>
              <w:left w:val="single" w:sz="4" w:space="0" w:color="auto"/>
              <w:bottom w:val="nil"/>
              <w:right w:val="single" w:sz="4" w:space="0" w:color="auto"/>
            </w:tcBorders>
            <w:shd w:val="clear" w:color="auto" w:fill="auto"/>
            <w:noWrap/>
            <w:vAlign w:val="bottom"/>
          </w:tcPr>
          <w:p w14:paraId="28A92212" w14:textId="38C54D63"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3.336.646 </w:t>
            </w:r>
          </w:p>
        </w:tc>
        <w:tc>
          <w:tcPr>
            <w:tcW w:w="1502" w:type="dxa"/>
            <w:tcBorders>
              <w:top w:val="nil"/>
              <w:left w:val="single" w:sz="4" w:space="0" w:color="auto"/>
              <w:bottom w:val="nil"/>
              <w:right w:val="single" w:sz="4" w:space="0" w:color="auto"/>
            </w:tcBorders>
            <w:shd w:val="clear" w:color="auto" w:fill="auto"/>
            <w:noWrap/>
            <w:vAlign w:val="bottom"/>
          </w:tcPr>
          <w:p w14:paraId="7B8CD404" w14:textId="04369B66"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9.375.091 </w:t>
            </w:r>
          </w:p>
        </w:tc>
        <w:tc>
          <w:tcPr>
            <w:tcW w:w="1010" w:type="dxa"/>
            <w:tcBorders>
              <w:top w:val="nil"/>
              <w:left w:val="single" w:sz="4" w:space="0" w:color="auto"/>
              <w:bottom w:val="nil"/>
              <w:right w:val="single" w:sz="4" w:space="0" w:color="auto"/>
            </w:tcBorders>
            <w:shd w:val="clear" w:color="auto" w:fill="auto"/>
            <w:noWrap/>
            <w:vAlign w:val="bottom"/>
          </w:tcPr>
          <w:p w14:paraId="64AEA898" w14:textId="476E34B0"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nil"/>
              <w:left w:val="single" w:sz="4" w:space="0" w:color="auto"/>
              <w:bottom w:val="nil"/>
              <w:right w:val="single" w:sz="4" w:space="0" w:color="auto"/>
            </w:tcBorders>
            <w:shd w:val="clear" w:color="auto" w:fill="auto"/>
            <w:noWrap/>
            <w:vAlign w:val="bottom"/>
          </w:tcPr>
          <w:p w14:paraId="1B86B4E6" w14:textId="3DF446A9"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13.853.433 </w:t>
            </w:r>
          </w:p>
        </w:tc>
      </w:tr>
      <w:tr w:rsidR="00764FD5" w:rsidRPr="00701F32" w14:paraId="7CEC92E9" w14:textId="77777777" w:rsidTr="00764FD5">
        <w:trPr>
          <w:trHeight w:val="236"/>
          <w:jc w:val="center"/>
        </w:trPr>
        <w:tc>
          <w:tcPr>
            <w:tcW w:w="3293" w:type="dxa"/>
            <w:tcBorders>
              <w:top w:val="nil"/>
              <w:left w:val="single" w:sz="4" w:space="0" w:color="auto"/>
              <w:bottom w:val="single" w:sz="4" w:space="0" w:color="auto"/>
              <w:right w:val="single" w:sz="4" w:space="0" w:color="auto"/>
            </w:tcBorders>
            <w:shd w:val="clear" w:color="auto" w:fill="auto"/>
            <w:noWrap/>
            <w:vAlign w:val="center"/>
            <w:hideMark/>
          </w:tcPr>
          <w:p w14:paraId="5A05B760" w14:textId="77777777" w:rsidR="00764FD5" w:rsidRPr="00701F32" w:rsidRDefault="00764FD5" w:rsidP="00764FD5">
            <w:pPr>
              <w:jc w:val="both"/>
              <w:rPr>
                <w:rFonts w:ascii="Arial" w:hAnsi="Arial" w:cs="Arial"/>
                <w:sz w:val="16"/>
                <w:szCs w:val="18"/>
                <w:lang w:eastAsia="es-AR"/>
              </w:rPr>
            </w:pPr>
            <w:r w:rsidRPr="00701F32">
              <w:rPr>
                <w:rFonts w:ascii="Arial" w:hAnsi="Arial" w:cs="Arial"/>
                <w:sz w:val="16"/>
                <w:szCs w:val="18"/>
                <w:lang w:eastAsia="es-AR"/>
              </w:rPr>
              <w:t xml:space="preserve">Resultados por interés de Transferencia </w:t>
            </w:r>
          </w:p>
        </w:tc>
        <w:tc>
          <w:tcPr>
            <w:tcW w:w="1370" w:type="dxa"/>
            <w:tcBorders>
              <w:top w:val="nil"/>
              <w:left w:val="single" w:sz="4" w:space="0" w:color="auto"/>
              <w:bottom w:val="single" w:sz="4" w:space="0" w:color="auto"/>
              <w:right w:val="single" w:sz="4" w:space="0" w:color="auto"/>
            </w:tcBorders>
            <w:shd w:val="clear" w:color="auto" w:fill="auto"/>
            <w:noWrap/>
            <w:vAlign w:val="bottom"/>
          </w:tcPr>
          <w:p w14:paraId="2858C0EF" w14:textId="0A7A5992"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-4.287.089 </w:t>
            </w:r>
          </w:p>
        </w:tc>
        <w:tc>
          <w:tcPr>
            <w:tcW w:w="1498" w:type="dxa"/>
            <w:tcBorders>
              <w:top w:val="nil"/>
              <w:left w:val="single" w:sz="4" w:space="0" w:color="auto"/>
              <w:bottom w:val="single" w:sz="4" w:space="0" w:color="auto"/>
              <w:right w:val="single" w:sz="4" w:space="0" w:color="auto"/>
            </w:tcBorders>
            <w:shd w:val="clear" w:color="auto" w:fill="auto"/>
            <w:noWrap/>
            <w:vAlign w:val="bottom"/>
          </w:tcPr>
          <w:p w14:paraId="6FEE493E" w14:textId="12CAE4B9"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746.366 </w:t>
            </w:r>
          </w:p>
        </w:tc>
        <w:tc>
          <w:tcPr>
            <w:tcW w:w="1502" w:type="dxa"/>
            <w:tcBorders>
              <w:top w:val="nil"/>
              <w:left w:val="single" w:sz="4" w:space="0" w:color="auto"/>
              <w:bottom w:val="single" w:sz="4" w:space="0" w:color="auto"/>
              <w:right w:val="single" w:sz="4" w:space="0" w:color="auto"/>
            </w:tcBorders>
            <w:shd w:val="clear" w:color="auto" w:fill="auto"/>
            <w:noWrap/>
            <w:vAlign w:val="bottom"/>
          </w:tcPr>
          <w:p w14:paraId="237CC71C" w14:textId="0CB546E8"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3.540.723 </w:t>
            </w:r>
          </w:p>
        </w:tc>
        <w:tc>
          <w:tcPr>
            <w:tcW w:w="1010" w:type="dxa"/>
            <w:tcBorders>
              <w:top w:val="nil"/>
              <w:left w:val="single" w:sz="4" w:space="0" w:color="auto"/>
              <w:bottom w:val="single" w:sz="4" w:space="0" w:color="auto"/>
              <w:right w:val="single" w:sz="4" w:space="0" w:color="auto"/>
            </w:tcBorders>
            <w:shd w:val="clear" w:color="auto" w:fill="auto"/>
            <w:noWrap/>
            <w:vAlign w:val="bottom"/>
          </w:tcPr>
          <w:p w14:paraId="04EF531E" w14:textId="216DE084"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nil"/>
              <w:left w:val="single" w:sz="4" w:space="0" w:color="auto"/>
              <w:bottom w:val="single" w:sz="4" w:space="0" w:color="auto"/>
              <w:right w:val="single" w:sz="4" w:space="0" w:color="auto"/>
            </w:tcBorders>
            <w:shd w:val="clear" w:color="auto" w:fill="auto"/>
            <w:noWrap/>
            <w:vAlign w:val="bottom"/>
          </w:tcPr>
          <w:p w14:paraId="6C54667C" w14:textId="0F4ADE34"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r>
      <w:tr w:rsidR="00764FD5" w:rsidRPr="00701F32" w14:paraId="57DC137B" w14:textId="77777777" w:rsidTr="00764FD5">
        <w:trPr>
          <w:trHeight w:val="148"/>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CFC31" w14:textId="77777777" w:rsidR="00764FD5" w:rsidRPr="00701F32" w:rsidRDefault="00764FD5" w:rsidP="00764FD5">
            <w:pPr>
              <w:jc w:val="both"/>
              <w:rPr>
                <w:rFonts w:ascii="Arial" w:hAnsi="Arial" w:cs="Arial"/>
                <w:b/>
                <w:bCs/>
                <w:sz w:val="16"/>
                <w:szCs w:val="18"/>
                <w:lang w:eastAsia="es-AR"/>
              </w:rPr>
            </w:pPr>
            <w:r w:rsidRPr="00701F32">
              <w:rPr>
                <w:rFonts w:ascii="Arial" w:hAnsi="Arial" w:cs="Arial"/>
                <w:b/>
                <w:bCs/>
                <w:sz w:val="16"/>
                <w:szCs w:val="18"/>
                <w:lang w:eastAsia="es-AR"/>
              </w:rPr>
              <w:t xml:space="preserve">Resultado neto por intereses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F3ADE8" w14:textId="463B37D9"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3.567.345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636968" w14:textId="68DA5A32"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8.415.123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CFA99A" w14:textId="1BC30C41"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-4.321.617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AA4538" w14:textId="24B9D628"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2E7219" w14:textId="08598D62"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7.660.851 </w:t>
            </w:r>
          </w:p>
        </w:tc>
      </w:tr>
      <w:tr w:rsidR="00764FD5" w:rsidRPr="00701F32" w14:paraId="026B86C6" w14:textId="77777777" w:rsidTr="00764FD5">
        <w:trPr>
          <w:trHeight w:val="236"/>
          <w:jc w:val="center"/>
        </w:trPr>
        <w:tc>
          <w:tcPr>
            <w:tcW w:w="3293" w:type="dxa"/>
            <w:tcBorders>
              <w:top w:val="single" w:sz="4" w:space="0" w:color="auto"/>
              <w:left w:val="single" w:sz="4" w:space="0" w:color="auto"/>
              <w:bottom w:val="nil"/>
              <w:right w:val="single" w:sz="4" w:space="0" w:color="auto"/>
            </w:tcBorders>
            <w:shd w:val="clear" w:color="auto" w:fill="auto"/>
            <w:noWrap/>
            <w:vAlign w:val="center"/>
            <w:hideMark/>
          </w:tcPr>
          <w:p w14:paraId="30E42CD4" w14:textId="77777777" w:rsidR="00764FD5" w:rsidRPr="00701F32" w:rsidRDefault="00764FD5" w:rsidP="00764FD5">
            <w:pPr>
              <w:jc w:val="both"/>
              <w:rPr>
                <w:rFonts w:ascii="Arial" w:hAnsi="Arial" w:cs="Arial"/>
                <w:sz w:val="16"/>
                <w:szCs w:val="18"/>
                <w:lang w:eastAsia="es-AR"/>
              </w:rPr>
            </w:pPr>
            <w:r w:rsidRPr="00701F32">
              <w:rPr>
                <w:rFonts w:ascii="Arial" w:hAnsi="Arial" w:cs="Arial"/>
                <w:sz w:val="16"/>
                <w:szCs w:val="18"/>
                <w:lang w:eastAsia="es-AR"/>
              </w:rPr>
              <w:t xml:space="preserve">Ingresos por comisiones </w:t>
            </w:r>
          </w:p>
        </w:tc>
        <w:tc>
          <w:tcPr>
            <w:tcW w:w="1370" w:type="dxa"/>
            <w:tcBorders>
              <w:top w:val="single" w:sz="4" w:space="0" w:color="auto"/>
              <w:left w:val="single" w:sz="4" w:space="0" w:color="auto"/>
              <w:bottom w:val="nil"/>
              <w:right w:val="single" w:sz="4" w:space="0" w:color="auto"/>
            </w:tcBorders>
            <w:shd w:val="clear" w:color="auto" w:fill="auto"/>
            <w:noWrap/>
            <w:vAlign w:val="bottom"/>
          </w:tcPr>
          <w:p w14:paraId="3C987E02" w14:textId="6E919BB3"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470.000 </w:t>
            </w:r>
          </w:p>
        </w:tc>
        <w:tc>
          <w:tcPr>
            <w:tcW w:w="1498" w:type="dxa"/>
            <w:tcBorders>
              <w:top w:val="single" w:sz="4" w:space="0" w:color="auto"/>
              <w:left w:val="single" w:sz="4" w:space="0" w:color="auto"/>
              <w:bottom w:val="nil"/>
              <w:right w:val="single" w:sz="4" w:space="0" w:color="auto"/>
            </w:tcBorders>
            <w:shd w:val="clear" w:color="auto" w:fill="auto"/>
            <w:noWrap/>
            <w:vAlign w:val="bottom"/>
          </w:tcPr>
          <w:p w14:paraId="4126E705" w14:textId="630F1D95"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3.064.391 </w:t>
            </w:r>
          </w:p>
        </w:tc>
        <w:tc>
          <w:tcPr>
            <w:tcW w:w="1502" w:type="dxa"/>
            <w:tcBorders>
              <w:top w:val="single" w:sz="4" w:space="0" w:color="auto"/>
              <w:left w:val="single" w:sz="4" w:space="0" w:color="auto"/>
              <w:bottom w:val="nil"/>
              <w:right w:val="single" w:sz="4" w:space="0" w:color="auto"/>
            </w:tcBorders>
            <w:shd w:val="clear" w:color="auto" w:fill="auto"/>
            <w:noWrap/>
            <w:vAlign w:val="bottom"/>
          </w:tcPr>
          <w:p w14:paraId="0C7991EC" w14:textId="55EECB33"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22.909 </w:t>
            </w:r>
          </w:p>
        </w:tc>
        <w:tc>
          <w:tcPr>
            <w:tcW w:w="1010" w:type="dxa"/>
            <w:tcBorders>
              <w:top w:val="single" w:sz="4" w:space="0" w:color="auto"/>
              <w:left w:val="single" w:sz="4" w:space="0" w:color="auto"/>
              <w:bottom w:val="nil"/>
              <w:right w:val="single" w:sz="4" w:space="0" w:color="auto"/>
            </w:tcBorders>
            <w:shd w:val="clear" w:color="auto" w:fill="auto"/>
            <w:noWrap/>
            <w:vAlign w:val="bottom"/>
          </w:tcPr>
          <w:p w14:paraId="2EDFBBD0" w14:textId="44F636D9"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single" w:sz="4" w:space="0" w:color="auto"/>
              <w:left w:val="single" w:sz="4" w:space="0" w:color="auto"/>
              <w:bottom w:val="nil"/>
              <w:right w:val="single" w:sz="4" w:space="0" w:color="auto"/>
            </w:tcBorders>
            <w:shd w:val="clear" w:color="auto" w:fill="auto"/>
            <w:noWrap/>
            <w:vAlign w:val="bottom"/>
          </w:tcPr>
          <w:p w14:paraId="5834F36D" w14:textId="34A2FC13"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3.557.300 </w:t>
            </w:r>
          </w:p>
        </w:tc>
      </w:tr>
      <w:tr w:rsidR="00764FD5" w:rsidRPr="00701F32" w14:paraId="3C88FC1D" w14:textId="77777777" w:rsidTr="00764FD5">
        <w:trPr>
          <w:trHeight w:val="236"/>
          <w:jc w:val="center"/>
        </w:trPr>
        <w:tc>
          <w:tcPr>
            <w:tcW w:w="3293" w:type="dxa"/>
            <w:tcBorders>
              <w:top w:val="nil"/>
              <w:left w:val="single" w:sz="4" w:space="0" w:color="auto"/>
              <w:bottom w:val="single" w:sz="4" w:space="0" w:color="auto"/>
              <w:right w:val="single" w:sz="4" w:space="0" w:color="auto"/>
            </w:tcBorders>
            <w:shd w:val="clear" w:color="auto" w:fill="auto"/>
            <w:noWrap/>
            <w:vAlign w:val="center"/>
            <w:hideMark/>
          </w:tcPr>
          <w:p w14:paraId="721E1C2A" w14:textId="77777777" w:rsidR="00764FD5" w:rsidRPr="00701F32" w:rsidRDefault="00764FD5" w:rsidP="00764FD5">
            <w:pPr>
              <w:jc w:val="both"/>
              <w:rPr>
                <w:rFonts w:ascii="Arial" w:hAnsi="Arial" w:cs="Arial"/>
                <w:sz w:val="16"/>
                <w:szCs w:val="18"/>
                <w:lang w:eastAsia="es-AR"/>
              </w:rPr>
            </w:pPr>
            <w:r w:rsidRPr="00701F32">
              <w:rPr>
                <w:rFonts w:ascii="Arial" w:hAnsi="Arial" w:cs="Arial"/>
                <w:sz w:val="16"/>
                <w:szCs w:val="18"/>
                <w:lang w:eastAsia="es-AR"/>
              </w:rPr>
              <w:t xml:space="preserve">Egresos por comisiones </w:t>
            </w:r>
          </w:p>
        </w:tc>
        <w:tc>
          <w:tcPr>
            <w:tcW w:w="1370" w:type="dxa"/>
            <w:tcBorders>
              <w:top w:val="nil"/>
              <w:left w:val="single" w:sz="4" w:space="0" w:color="auto"/>
              <w:bottom w:val="single" w:sz="4" w:space="0" w:color="auto"/>
              <w:right w:val="single" w:sz="4" w:space="0" w:color="auto"/>
            </w:tcBorders>
            <w:shd w:val="clear" w:color="auto" w:fill="auto"/>
            <w:noWrap/>
            <w:vAlign w:val="bottom"/>
          </w:tcPr>
          <w:p w14:paraId="082B66FB" w14:textId="13701E7D" w:rsidR="00764FD5" w:rsidRPr="00701F32" w:rsidRDefault="00DD1EA2" w:rsidP="00764FD5">
            <w:pPr>
              <w:jc w:val="right"/>
              <w:rPr>
                <w:rFonts w:ascii="Arial" w:hAnsi="Arial" w:cs="Arial"/>
                <w:sz w:val="16"/>
                <w:szCs w:val="18"/>
                <w:lang w:val="es-ES_tradnl"/>
              </w:rPr>
            </w:pPr>
            <w:r>
              <w:rPr>
                <w:rFonts w:ascii="Arial" w:hAnsi="Arial" w:cs="Arial"/>
                <w:sz w:val="16"/>
                <w:szCs w:val="16"/>
              </w:rPr>
              <w:t>-</w:t>
            </w:r>
            <w:r w:rsidR="00764FD5" w:rsidRPr="00697172">
              <w:rPr>
                <w:rFonts w:ascii="Arial" w:hAnsi="Arial" w:cs="Arial"/>
                <w:sz w:val="16"/>
                <w:szCs w:val="16"/>
              </w:rPr>
              <w:t xml:space="preserve">55.125 </w:t>
            </w:r>
          </w:p>
        </w:tc>
        <w:tc>
          <w:tcPr>
            <w:tcW w:w="1498" w:type="dxa"/>
            <w:tcBorders>
              <w:top w:val="nil"/>
              <w:left w:val="single" w:sz="4" w:space="0" w:color="auto"/>
              <w:bottom w:val="single" w:sz="4" w:space="0" w:color="auto"/>
              <w:right w:val="single" w:sz="4" w:space="0" w:color="auto"/>
            </w:tcBorders>
            <w:shd w:val="clear" w:color="auto" w:fill="auto"/>
            <w:noWrap/>
            <w:vAlign w:val="bottom"/>
          </w:tcPr>
          <w:p w14:paraId="041A6EFF" w14:textId="1C76C4FF" w:rsidR="00764FD5" w:rsidRPr="00701F32" w:rsidRDefault="00DD1EA2" w:rsidP="00764FD5">
            <w:pPr>
              <w:jc w:val="right"/>
              <w:rPr>
                <w:rFonts w:ascii="Arial" w:hAnsi="Arial" w:cs="Arial"/>
                <w:sz w:val="16"/>
                <w:szCs w:val="18"/>
                <w:lang w:val="es-ES_tradnl"/>
              </w:rPr>
            </w:pPr>
            <w:r>
              <w:rPr>
                <w:rFonts w:ascii="Arial" w:hAnsi="Arial" w:cs="Arial"/>
                <w:sz w:val="16"/>
                <w:szCs w:val="16"/>
              </w:rPr>
              <w:t>-</w:t>
            </w:r>
            <w:r w:rsidR="00764FD5" w:rsidRPr="00697172">
              <w:rPr>
                <w:rFonts w:ascii="Arial" w:hAnsi="Arial" w:cs="Arial"/>
                <w:sz w:val="16"/>
                <w:szCs w:val="16"/>
              </w:rPr>
              <w:t xml:space="preserve">749.649 </w:t>
            </w:r>
          </w:p>
        </w:tc>
        <w:tc>
          <w:tcPr>
            <w:tcW w:w="1502" w:type="dxa"/>
            <w:tcBorders>
              <w:top w:val="nil"/>
              <w:left w:val="single" w:sz="4" w:space="0" w:color="auto"/>
              <w:bottom w:val="single" w:sz="4" w:space="0" w:color="auto"/>
              <w:right w:val="single" w:sz="4" w:space="0" w:color="auto"/>
            </w:tcBorders>
            <w:shd w:val="clear" w:color="auto" w:fill="auto"/>
            <w:noWrap/>
            <w:vAlign w:val="bottom"/>
          </w:tcPr>
          <w:p w14:paraId="0520EEE1" w14:textId="58FE5FC3"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45.503 </w:t>
            </w:r>
          </w:p>
        </w:tc>
        <w:tc>
          <w:tcPr>
            <w:tcW w:w="1010" w:type="dxa"/>
            <w:tcBorders>
              <w:top w:val="nil"/>
              <w:left w:val="single" w:sz="4" w:space="0" w:color="auto"/>
              <w:bottom w:val="single" w:sz="4" w:space="0" w:color="auto"/>
              <w:right w:val="single" w:sz="4" w:space="0" w:color="auto"/>
            </w:tcBorders>
            <w:shd w:val="clear" w:color="auto" w:fill="auto"/>
            <w:noWrap/>
            <w:vAlign w:val="bottom"/>
          </w:tcPr>
          <w:p w14:paraId="5B78D0BA" w14:textId="0389F01E"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nil"/>
              <w:left w:val="single" w:sz="4" w:space="0" w:color="auto"/>
              <w:bottom w:val="single" w:sz="4" w:space="0" w:color="auto"/>
              <w:right w:val="single" w:sz="4" w:space="0" w:color="auto"/>
            </w:tcBorders>
            <w:shd w:val="clear" w:color="auto" w:fill="auto"/>
            <w:noWrap/>
            <w:vAlign w:val="bottom"/>
          </w:tcPr>
          <w:p w14:paraId="44EC691B" w14:textId="5F479A7C"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850.277 </w:t>
            </w:r>
          </w:p>
        </w:tc>
      </w:tr>
      <w:tr w:rsidR="00764FD5" w:rsidRPr="00701F32" w14:paraId="29371350" w14:textId="77777777" w:rsidTr="00764FD5">
        <w:trPr>
          <w:trHeight w:val="159"/>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CAD10" w14:textId="77777777" w:rsidR="00764FD5" w:rsidRPr="00701F32" w:rsidRDefault="00764FD5" w:rsidP="00764FD5">
            <w:pPr>
              <w:jc w:val="both"/>
              <w:rPr>
                <w:rFonts w:ascii="Arial" w:hAnsi="Arial" w:cs="Arial"/>
                <w:b/>
                <w:bCs/>
                <w:sz w:val="16"/>
                <w:szCs w:val="18"/>
                <w:lang w:eastAsia="es-AR"/>
              </w:rPr>
            </w:pPr>
            <w:r w:rsidRPr="00701F32">
              <w:rPr>
                <w:rFonts w:ascii="Arial" w:hAnsi="Arial" w:cs="Arial"/>
                <w:b/>
                <w:bCs/>
                <w:sz w:val="16"/>
                <w:szCs w:val="18"/>
                <w:lang w:eastAsia="es-AR"/>
              </w:rPr>
              <w:t xml:space="preserve">Resultado neto por comisiones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C8386C" w14:textId="2B522DE7"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414.875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295995" w14:textId="0AB7BBB5"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2.314.742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E7481" w14:textId="45A8B87D"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-22.594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86EB9" w14:textId="74BA73EA"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ACA4B1" w14:textId="2FFDD66A"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2.707.023 </w:t>
            </w:r>
          </w:p>
        </w:tc>
      </w:tr>
      <w:tr w:rsidR="00764FD5" w:rsidRPr="00701F32" w14:paraId="7B571085" w14:textId="77777777" w:rsidTr="00764FD5">
        <w:trPr>
          <w:trHeight w:val="102"/>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CA507" w14:textId="77777777" w:rsidR="00764FD5" w:rsidRPr="00701F32" w:rsidRDefault="00764FD5" w:rsidP="00764FD5">
            <w:pPr>
              <w:jc w:val="both"/>
              <w:rPr>
                <w:rFonts w:ascii="Arial" w:hAnsi="Arial" w:cs="Arial"/>
                <w:b/>
                <w:bCs/>
                <w:sz w:val="16"/>
                <w:szCs w:val="18"/>
                <w:lang w:eastAsia="es-AR"/>
              </w:rPr>
            </w:pPr>
            <w:r w:rsidRPr="00701F32">
              <w:rPr>
                <w:rFonts w:ascii="Arial" w:hAnsi="Arial" w:cs="Arial"/>
                <w:b/>
                <w:bCs/>
                <w:sz w:val="16"/>
                <w:szCs w:val="18"/>
                <w:lang w:eastAsia="es-AR"/>
              </w:rPr>
              <w:t xml:space="preserve">Subtotal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83C386" w14:textId="38176478"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3.982.220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F0DE8B" w14:textId="74761FC4"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10.729.865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9665CC" w14:textId="72AD89AD"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-4.344.211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BFAC9" w14:textId="0687AC36"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60A2EC" w14:textId="1DE6388F"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10.367.874 </w:t>
            </w:r>
          </w:p>
        </w:tc>
      </w:tr>
      <w:tr w:rsidR="00764FD5" w:rsidRPr="00701F32" w14:paraId="7E6BF06E" w14:textId="77777777" w:rsidTr="00764FD5">
        <w:trPr>
          <w:trHeight w:val="236"/>
          <w:jc w:val="center"/>
        </w:trPr>
        <w:tc>
          <w:tcPr>
            <w:tcW w:w="3293" w:type="dxa"/>
            <w:tcBorders>
              <w:top w:val="single" w:sz="4" w:space="0" w:color="auto"/>
              <w:left w:val="single" w:sz="4" w:space="0" w:color="auto"/>
              <w:bottom w:val="nil"/>
              <w:right w:val="single" w:sz="4" w:space="0" w:color="auto"/>
            </w:tcBorders>
            <w:shd w:val="clear" w:color="auto" w:fill="auto"/>
            <w:noWrap/>
            <w:vAlign w:val="center"/>
            <w:hideMark/>
          </w:tcPr>
          <w:p w14:paraId="5621C7E2" w14:textId="77777777" w:rsidR="00764FD5" w:rsidRPr="00701F32" w:rsidRDefault="00764FD5" w:rsidP="00764FD5">
            <w:pPr>
              <w:rPr>
                <w:rFonts w:ascii="Arial" w:hAnsi="Arial" w:cs="Arial"/>
                <w:sz w:val="16"/>
                <w:szCs w:val="18"/>
                <w:lang w:eastAsia="es-AR"/>
              </w:rPr>
            </w:pPr>
            <w:r w:rsidRPr="00701F32">
              <w:rPr>
                <w:rFonts w:ascii="Arial" w:hAnsi="Arial" w:cs="Arial"/>
                <w:sz w:val="16"/>
                <w:szCs w:val="18"/>
                <w:lang w:eastAsia="es-AR"/>
              </w:rPr>
              <w:t xml:space="preserve">Resultado neto por medición de instrumentos financieros a valor razonable con cambios en resultados </w:t>
            </w:r>
          </w:p>
        </w:tc>
        <w:tc>
          <w:tcPr>
            <w:tcW w:w="1370" w:type="dxa"/>
            <w:tcBorders>
              <w:top w:val="single" w:sz="4" w:space="0" w:color="auto"/>
              <w:left w:val="single" w:sz="4" w:space="0" w:color="auto"/>
              <w:bottom w:val="nil"/>
              <w:right w:val="single" w:sz="4" w:space="0" w:color="auto"/>
            </w:tcBorders>
            <w:shd w:val="clear" w:color="auto" w:fill="auto"/>
            <w:noWrap/>
            <w:vAlign w:val="bottom"/>
          </w:tcPr>
          <w:p w14:paraId="68FE15D2" w14:textId="24148E7B"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498" w:type="dxa"/>
            <w:tcBorders>
              <w:top w:val="single" w:sz="4" w:space="0" w:color="auto"/>
              <w:left w:val="single" w:sz="4" w:space="0" w:color="auto"/>
              <w:bottom w:val="nil"/>
              <w:right w:val="single" w:sz="4" w:space="0" w:color="auto"/>
            </w:tcBorders>
            <w:shd w:val="clear" w:color="auto" w:fill="auto"/>
            <w:noWrap/>
            <w:vAlign w:val="bottom"/>
          </w:tcPr>
          <w:p w14:paraId="769808A1" w14:textId="43AAD7EE"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502" w:type="dxa"/>
            <w:tcBorders>
              <w:top w:val="single" w:sz="4" w:space="0" w:color="auto"/>
              <w:left w:val="single" w:sz="4" w:space="0" w:color="auto"/>
              <w:bottom w:val="nil"/>
              <w:right w:val="single" w:sz="4" w:space="0" w:color="auto"/>
            </w:tcBorders>
            <w:shd w:val="clear" w:color="auto" w:fill="auto"/>
            <w:noWrap/>
            <w:vAlign w:val="bottom"/>
          </w:tcPr>
          <w:p w14:paraId="4190058B" w14:textId="0C2A97BC"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5.116.608 </w:t>
            </w:r>
          </w:p>
        </w:tc>
        <w:tc>
          <w:tcPr>
            <w:tcW w:w="1010" w:type="dxa"/>
            <w:tcBorders>
              <w:top w:val="single" w:sz="4" w:space="0" w:color="auto"/>
              <w:left w:val="single" w:sz="4" w:space="0" w:color="auto"/>
              <w:bottom w:val="nil"/>
              <w:right w:val="single" w:sz="4" w:space="0" w:color="auto"/>
            </w:tcBorders>
            <w:shd w:val="clear" w:color="auto" w:fill="auto"/>
            <w:noWrap/>
            <w:vAlign w:val="bottom"/>
          </w:tcPr>
          <w:p w14:paraId="4D31857B" w14:textId="590BCBB5"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single" w:sz="4" w:space="0" w:color="auto"/>
              <w:left w:val="single" w:sz="4" w:space="0" w:color="auto"/>
              <w:bottom w:val="nil"/>
              <w:right w:val="single" w:sz="4" w:space="0" w:color="auto"/>
            </w:tcBorders>
            <w:shd w:val="clear" w:color="auto" w:fill="auto"/>
            <w:noWrap/>
            <w:vAlign w:val="bottom"/>
          </w:tcPr>
          <w:p w14:paraId="7FDA8D4E" w14:textId="3492B260"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5.116.608 </w:t>
            </w:r>
          </w:p>
        </w:tc>
      </w:tr>
      <w:tr w:rsidR="00764FD5" w:rsidRPr="00701F32" w14:paraId="21F913CA" w14:textId="77777777" w:rsidTr="00764FD5">
        <w:trPr>
          <w:trHeight w:val="236"/>
          <w:jc w:val="center"/>
        </w:trPr>
        <w:tc>
          <w:tcPr>
            <w:tcW w:w="3293" w:type="dxa"/>
            <w:tcBorders>
              <w:top w:val="nil"/>
              <w:left w:val="single" w:sz="4" w:space="0" w:color="auto"/>
              <w:bottom w:val="nil"/>
              <w:right w:val="single" w:sz="4" w:space="0" w:color="auto"/>
            </w:tcBorders>
            <w:shd w:val="clear" w:color="auto" w:fill="auto"/>
            <w:noWrap/>
            <w:vAlign w:val="center"/>
            <w:hideMark/>
          </w:tcPr>
          <w:p w14:paraId="0DF398FC" w14:textId="77777777" w:rsidR="00764FD5" w:rsidRPr="00701F32" w:rsidRDefault="00764FD5" w:rsidP="00764FD5">
            <w:pPr>
              <w:rPr>
                <w:rFonts w:ascii="Arial" w:hAnsi="Arial" w:cs="Arial"/>
                <w:sz w:val="16"/>
                <w:szCs w:val="18"/>
                <w:lang w:eastAsia="es-AR"/>
              </w:rPr>
            </w:pPr>
            <w:r w:rsidRPr="00701F32">
              <w:rPr>
                <w:rFonts w:ascii="Arial" w:hAnsi="Arial" w:cs="Arial"/>
                <w:sz w:val="16"/>
                <w:szCs w:val="18"/>
                <w:lang w:eastAsia="es-AR"/>
              </w:rPr>
              <w:t xml:space="preserve">Diferencia de cotización de oro y moneda extranjera </w:t>
            </w:r>
          </w:p>
        </w:tc>
        <w:tc>
          <w:tcPr>
            <w:tcW w:w="1370" w:type="dxa"/>
            <w:tcBorders>
              <w:top w:val="nil"/>
              <w:left w:val="single" w:sz="4" w:space="0" w:color="auto"/>
              <w:bottom w:val="nil"/>
              <w:right w:val="single" w:sz="4" w:space="0" w:color="auto"/>
            </w:tcBorders>
            <w:shd w:val="clear" w:color="auto" w:fill="auto"/>
            <w:noWrap/>
            <w:vAlign w:val="bottom"/>
          </w:tcPr>
          <w:p w14:paraId="5540BA1C" w14:textId="7AD1DB9F"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59.829 </w:t>
            </w:r>
          </w:p>
        </w:tc>
        <w:tc>
          <w:tcPr>
            <w:tcW w:w="1498" w:type="dxa"/>
            <w:tcBorders>
              <w:top w:val="nil"/>
              <w:left w:val="single" w:sz="4" w:space="0" w:color="auto"/>
              <w:bottom w:val="nil"/>
              <w:right w:val="single" w:sz="4" w:space="0" w:color="auto"/>
            </w:tcBorders>
            <w:shd w:val="clear" w:color="auto" w:fill="auto"/>
            <w:noWrap/>
            <w:vAlign w:val="bottom"/>
          </w:tcPr>
          <w:p w14:paraId="2F30B7B6" w14:textId="5FE35F4A"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617.316 </w:t>
            </w:r>
          </w:p>
        </w:tc>
        <w:tc>
          <w:tcPr>
            <w:tcW w:w="1502" w:type="dxa"/>
            <w:tcBorders>
              <w:top w:val="nil"/>
              <w:left w:val="single" w:sz="4" w:space="0" w:color="auto"/>
              <w:bottom w:val="nil"/>
              <w:right w:val="single" w:sz="4" w:space="0" w:color="auto"/>
            </w:tcBorders>
            <w:shd w:val="clear" w:color="auto" w:fill="auto"/>
            <w:noWrap/>
            <w:vAlign w:val="bottom"/>
          </w:tcPr>
          <w:p w14:paraId="7B049E66" w14:textId="30CB95E4"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160.690 </w:t>
            </w:r>
          </w:p>
        </w:tc>
        <w:tc>
          <w:tcPr>
            <w:tcW w:w="1010" w:type="dxa"/>
            <w:tcBorders>
              <w:top w:val="nil"/>
              <w:left w:val="single" w:sz="4" w:space="0" w:color="auto"/>
              <w:bottom w:val="nil"/>
              <w:right w:val="single" w:sz="4" w:space="0" w:color="auto"/>
            </w:tcBorders>
            <w:shd w:val="clear" w:color="auto" w:fill="auto"/>
            <w:noWrap/>
            <w:vAlign w:val="bottom"/>
          </w:tcPr>
          <w:p w14:paraId="7B3DB4B9" w14:textId="0D4216E9"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nil"/>
              <w:left w:val="single" w:sz="4" w:space="0" w:color="auto"/>
              <w:bottom w:val="nil"/>
              <w:right w:val="single" w:sz="4" w:space="0" w:color="auto"/>
            </w:tcBorders>
            <w:shd w:val="clear" w:color="auto" w:fill="auto"/>
            <w:noWrap/>
            <w:vAlign w:val="bottom"/>
          </w:tcPr>
          <w:p w14:paraId="094B1F36" w14:textId="3B759C45"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837.835 </w:t>
            </w:r>
          </w:p>
        </w:tc>
      </w:tr>
      <w:tr w:rsidR="00764FD5" w:rsidRPr="00701F32" w14:paraId="31FFEAE7" w14:textId="77777777" w:rsidTr="00764FD5">
        <w:trPr>
          <w:trHeight w:val="236"/>
          <w:jc w:val="center"/>
        </w:trPr>
        <w:tc>
          <w:tcPr>
            <w:tcW w:w="3293" w:type="dxa"/>
            <w:tcBorders>
              <w:top w:val="nil"/>
              <w:left w:val="single" w:sz="4" w:space="0" w:color="auto"/>
              <w:bottom w:val="nil"/>
              <w:right w:val="single" w:sz="4" w:space="0" w:color="auto"/>
            </w:tcBorders>
            <w:shd w:val="clear" w:color="auto" w:fill="auto"/>
            <w:noWrap/>
            <w:vAlign w:val="center"/>
            <w:hideMark/>
          </w:tcPr>
          <w:p w14:paraId="6B78F68F" w14:textId="77777777" w:rsidR="00764FD5" w:rsidRPr="00701F32" w:rsidRDefault="00764FD5" w:rsidP="00764FD5">
            <w:pPr>
              <w:rPr>
                <w:rFonts w:ascii="Arial" w:hAnsi="Arial" w:cs="Arial"/>
                <w:sz w:val="16"/>
                <w:szCs w:val="18"/>
                <w:lang w:eastAsia="es-AR"/>
              </w:rPr>
            </w:pPr>
            <w:r w:rsidRPr="00701F32">
              <w:rPr>
                <w:rFonts w:ascii="Arial" w:hAnsi="Arial" w:cs="Arial"/>
                <w:sz w:val="16"/>
                <w:szCs w:val="18"/>
                <w:lang w:eastAsia="es-AR"/>
              </w:rPr>
              <w:t xml:space="preserve">Otros ingresos operativos </w:t>
            </w:r>
          </w:p>
        </w:tc>
        <w:tc>
          <w:tcPr>
            <w:tcW w:w="1370" w:type="dxa"/>
            <w:tcBorders>
              <w:top w:val="nil"/>
              <w:left w:val="single" w:sz="4" w:space="0" w:color="auto"/>
              <w:bottom w:val="nil"/>
              <w:right w:val="single" w:sz="4" w:space="0" w:color="auto"/>
            </w:tcBorders>
            <w:shd w:val="clear" w:color="auto" w:fill="auto"/>
            <w:noWrap/>
            <w:vAlign w:val="bottom"/>
          </w:tcPr>
          <w:p w14:paraId="1A97C569" w14:textId="29F8E2AD"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706.297 </w:t>
            </w:r>
          </w:p>
        </w:tc>
        <w:tc>
          <w:tcPr>
            <w:tcW w:w="1498" w:type="dxa"/>
            <w:tcBorders>
              <w:top w:val="nil"/>
              <w:left w:val="single" w:sz="4" w:space="0" w:color="auto"/>
              <w:bottom w:val="nil"/>
              <w:right w:val="single" w:sz="4" w:space="0" w:color="auto"/>
            </w:tcBorders>
            <w:shd w:val="clear" w:color="auto" w:fill="auto"/>
            <w:noWrap/>
            <w:vAlign w:val="bottom"/>
          </w:tcPr>
          <w:p w14:paraId="4B7D118E" w14:textId="4C1CD7FF"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751.767 </w:t>
            </w:r>
          </w:p>
        </w:tc>
        <w:tc>
          <w:tcPr>
            <w:tcW w:w="1502" w:type="dxa"/>
            <w:tcBorders>
              <w:top w:val="nil"/>
              <w:left w:val="single" w:sz="4" w:space="0" w:color="auto"/>
              <w:bottom w:val="nil"/>
              <w:right w:val="single" w:sz="4" w:space="0" w:color="auto"/>
            </w:tcBorders>
            <w:shd w:val="clear" w:color="auto" w:fill="auto"/>
            <w:noWrap/>
            <w:vAlign w:val="bottom"/>
          </w:tcPr>
          <w:p w14:paraId="18174835" w14:textId="0997209D"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58.460 </w:t>
            </w:r>
          </w:p>
        </w:tc>
        <w:tc>
          <w:tcPr>
            <w:tcW w:w="1010" w:type="dxa"/>
            <w:tcBorders>
              <w:top w:val="nil"/>
              <w:left w:val="single" w:sz="4" w:space="0" w:color="auto"/>
              <w:bottom w:val="nil"/>
              <w:right w:val="single" w:sz="4" w:space="0" w:color="auto"/>
            </w:tcBorders>
            <w:shd w:val="clear" w:color="auto" w:fill="auto"/>
            <w:noWrap/>
            <w:vAlign w:val="bottom"/>
          </w:tcPr>
          <w:p w14:paraId="5039E801" w14:textId="05CAEBC0"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nil"/>
              <w:left w:val="single" w:sz="4" w:space="0" w:color="auto"/>
              <w:bottom w:val="nil"/>
              <w:right w:val="single" w:sz="4" w:space="0" w:color="auto"/>
            </w:tcBorders>
            <w:shd w:val="clear" w:color="auto" w:fill="auto"/>
            <w:noWrap/>
            <w:vAlign w:val="bottom"/>
          </w:tcPr>
          <w:p w14:paraId="58864488" w14:textId="54C2C784"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1.516.524 </w:t>
            </w:r>
          </w:p>
        </w:tc>
      </w:tr>
      <w:tr w:rsidR="00764FD5" w:rsidRPr="00701F32" w14:paraId="23B61109" w14:textId="77777777" w:rsidTr="00764FD5">
        <w:trPr>
          <w:trHeight w:val="236"/>
          <w:jc w:val="center"/>
        </w:trPr>
        <w:tc>
          <w:tcPr>
            <w:tcW w:w="3293" w:type="dxa"/>
            <w:tcBorders>
              <w:top w:val="nil"/>
              <w:left w:val="single" w:sz="4" w:space="0" w:color="auto"/>
              <w:bottom w:val="single" w:sz="4" w:space="0" w:color="auto"/>
              <w:right w:val="single" w:sz="4" w:space="0" w:color="auto"/>
            </w:tcBorders>
            <w:shd w:val="clear" w:color="auto" w:fill="auto"/>
            <w:noWrap/>
            <w:vAlign w:val="center"/>
            <w:hideMark/>
          </w:tcPr>
          <w:p w14:paraId="41E35D0F" w14:textId="77777777" w:rsidR="00764FD5" w:rsidRPr="00701F32" w:rsidRDefault="00764FD5" w:rsidP="00764FD5">
            <w:pPr>
              <w:rPr>
                <w:rFonts w:ascii="Arial" w:hAnsi="Arial" w:cs="Arial"/>
                <w:sz w:val="16"/>
                <w:szCs w:val="18"/>
                <w:lang w:eastAsia="es-AR"/>
              </w:rPr>
            </w:pPr>
            <w:r w:rsidRPr="00701F32">
              <w:rPr>
                <w:rFonts w:ascii="Arial" w:hAnsi="Arial" w:cs="Arial"/>
                <w:sz w:val="16"/>
                <w:szCs w:val="18"/>
                <w:lang w:eastAsia="es-AR"/>
              </w:rPr>
              <w:t xml:space="preserve">Cargo por incobrabilidad </w:t>
            </w:r>
          </w:p>
        </w:tc>
        <w:tc>
          <w:tcPr>
            <w:tcW w:w="1370" w:type="dxa"/>
            <w:tcBorders>
              <w:top w:val="nil"/>
              <w:left w:val="single" w:sz="4" w:space="0" w:color="auto"/>
              <w:bottom w:val="single" w:sz="4" w:space="0" w:color="auto"/>
              <w:right w:val="single" w:sz="4" w:space="0" w:color="auto"/>
            </w:tcBorders>
            <w:shd w:val="clear" w:color="auto" w:fill="auto"/>
            <w:noWrap/>
            <w:vAlign w:val="bottom"/>
          </w:tcPr>
          <w:p w14:paraId="4A75EAAE" w14:textId="4F4E6F8F"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783.052 </w:t>
            </w:r>
          </w:p>
        </w:tc>
        <w:tc>
          <w:tcPr>
            <w:tcW w:w="1498" w:type="dxa"/>
            <w:tcBorders>
              <w:top w:val="nil"/>
              <w:left w:val="single" w:sz="4" w:space="0" w:color="auto"/>
              <w:bottom w:val="single" w:sz="4" w:space="0" w:color="auto"/>
              <w:right w:val="single" w:sz="4" w:space="0" w:color="auto"/>
            </w:tcBorders>
            <w:shd w:val="clear" w:color="auto" w:fill="auto"/>
            <w:noWrap/>
            <w:vAlign w:val="bottom"/>
          </w:tcPr>
          <w:p w14:paraId="28B8F412" w14:textId="0F1AAC1A"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1.505.520 </w:t>
            </w:r>
          </w:p>
        </w:tc>
        <w:tc>
          <w:tcPr>
            <w:tcW w:w="1502" w:type="dxa"/>
            <w:tcBorders>
              <w:top w:val="nil"/>
              <w:left w:val="single" w:sz="4" w:space="0" w:color="auto"/>
              <w:bottom w:val="single" w:sz="4" w:space="0" w:color="auto"/>
              <w:right w:val="single" w:sz="4" w:space="0" w:color="auto"/>
            </w:tcBorders>
            <w:shd w:val="clear" w:color="auto" w:fill="auto"/>
            <w:noWrap/>
            <w:vAlign w:val="bottom"/>
          </w:tcPr>
          <w:p w14:paraId="5A782EBA" w14:textId="0D490B2F"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14.692 </w:t>
            </w:r>
          </w:p>
        </w:tc>
        <w:tc>
          <w:tcPr>
            <w:tcW w:w="1010" w:type="dxa"/>
            <w:tcBorders>
              <w:top w:val="nil"/>
              <w:left w:val="single" w:sz="4" w:space="0" w:color="auto"/>
              <w:bottom w:val="single" w:sz="4" w:space="0" w:color="auto"/>
              <w:right w:val="single" w:sz="4" w:space="0" w:color="auto"/>
            </w:tcBorders>
            <w:shd w:val="clear" w:color="auto" w:fill="auto"/>
            <w:noWrap/>
            <w:vAlign w:val="bottom"/>
          </w:tcPr>
          <w:p w14:paraId="4FA58DC1" w14:textId="068A90C4"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nil"/>
              <w:left w:val="single" w:sz="4" w:space="0" w:color="auto"/>
              <w:bottom w:val="single" w:sz="4" w:space="0" w:color="auto"/>
              <w:right w:val="single" w:sz="4" w:space="0" w:color="auto"/>
            </w:tcBorders>
            <w:shd w:val="clear" w:color="auto" w:fill="auto"/>
            <w:noWrap/>
            <w:vAlign w:val="bottom"/>
          </w:tcPr>
          <w:p w14:paraId="1D3C0C71" w14:textId="463EC438"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2.303.264 </w:t>
            </w:r>
          </w:p>
        </w:tc>
      </w:tr>
      <w:tr w:rsidR="00764FD5" w:rsidRPr="00701F32" w14:paraId="40098F7D" w14:textId="77777777" w:rsidTr="00764FD5">
        <w:trPr>
          <w:trHeight w:val="166"/>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852C6" w14:textId="77777777" w:rsidR="00764FD5" w:rsidRPr="00701F32" w:rsidRDefault="00764FD5" w:rsidP="00764FD5">
            <w:pPr>
              <w:rPr>
                <w:rFonts w:ascii="Arial" w:hAnsi="Arial" w:cs="Arial"/>
                <w:b/>
                <w:bCs/>
                <w:sz w:val="16"/>
                <w:szCs w:val="18"/>
                <w:lang w:eastAsia="es-AR"/>
              </w:rPr>
            </w:pPr>
            <w:r w:rsidRPr="00701F32">
              <w:rPr>
                <w:rFonts w:ascii="Arial" w:hAnsi="Arial" w:cs="Arial"/>
                <w:b/>
                <w:bCs/>
                <w:sz w:val="16"/>
                <w:szCs w:val="18"/>
                <w:lang w:eastAsia="es-AR"/>
              </w:rPr>
              <w:t xml:space="preserve">Ingreso operativo neto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4C3ADE" w14:textId="1997E378"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3.965.294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7B0E53" w14:textId="72FE2E4F"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10.593.428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E1380F" w14:textId="1C4383FD"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976.855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3049E0" w14:textId="652B3AFA"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8EF995" w14:textId="46828042"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15.535.577 </w:t>
            </w:r>
          </w:p>
        </w:tc>
      </w:tr>
      <w:tr w:rsidR="00764FD5" w:rsidRPr="00701F32" w14:paraId="0C1973D2" w14:textId="77777777" w:rsidTr="00764FD5">
        <w:trPr>
          <w:trHeight w:val="236"/>
          <w:jc w:val="center"/>
        </w:trPr>
        <w:tc>
          <w:tcPr>
            <w:tcW w:w="3293" w:type="dxa"/>
            <w:tcBorders>
              <w:top w:val="single" w:sz="4" w:space="0" w:color="auto"/>
              <w:left w:val="single" w:sz="4" w:space="0" w:color="auto"/>
              <w:bottom w:val="nil"/>
              <w:right w:val="single" w:sz="4" w:space="0" w:color="auto"/>
            </w:tcBorders>
            <w:shd w:val="clear" w:color="auto" w:fill="auto"/>
            <w:noWrap/>
            <w:vAlign w:val="center"/>
            <w:hideMark/>
          </w:tcPr>
          <w:p w14:paraId="49D27764" w14:textId="77777777" w:rsidR="00764FD5" w:rsidRPr="00701F32" w:rsidRDefault="00764FD5" w:rsidP="00764FD5">
            <w:pPr>
              <w:rPr>
                <w:rFonts w:ascii="Arial" w:hAnsi="Arial" w:cs="Arial"/>
                <w:sz w:val="16"/>
                <w:szCs w:val="18"/>
                <w:lang w:eastAsia="es-AR"/>
              </w:rPr>
            </w:pPr>
            <w:r w:rsidRPr="00701F32">
              <w:rPr>
                <w:rFonts w:ascii="Arial" w:hAnsi="Arial" w:cs="Arial"/>
                <w:sz w:val="16"/>
                <w:szCs w:val="18"/>
                <w:lang w:eastAsia="es-AR"/>
              </w:rPr>
              <w:t xml:space="preserve">Beneficios al personal </w:t>
            </w:r>
          </w:p>
        </w:tc>
        <w:tc>
          <w:tcPr>
            <w:tcW w:w="1370" w:type="dxa"/>
            <w:tcBorders>
              <w:top w:val="single" w:sz="4" w:space="0" w:color="auto"/>
              <w:left w:val="single" w:sz="4" w:space="0" w:color="auto"/>
              <w:bottom w:val="nil"/>
              <w:right w:val="single" w:sz="4" w:space="0" w:color="auto"/>
            </w:tcBorders>
            <w:shd w:val="clear" w:color="auto" w:fill="auto"/>
            <w:noWrap/>
            <w:vAlign w:val="bottom"/>
          </w:tcPr>
          <w:p w14:paraId="2A3B0E06" w14:textId="6E2A907E"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845.496 </w:t>
            </w:r>
          </w:p>
        </w:tc>
        <w:tc>
          <w:tcPr>
            <w:tcW w:w="1498" w:type="dxa"/>
            <w:tcBorders>
              <w:top w:val="single" w:sz="4" w:space="0" w:color="auto"/>
              <w:left w:val="single" w:sz="4" w:space="0" w:color="auto"/>
              <w:bottom w:val="nil"/>
              <w:right w:val="single" w:sz="4" w:space="0" w:color="auto"/>
            </w:tcBorders>
            <w:shd w:val="clear" w:color="auto" w:fill="auto"/>
            <w:noWrap/>
            <w:vAlign w:val="bottom"/>
          </w:tcPr>
          <w:p w14:paraId="3695B5BA" w14:textId="71F612CE"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4.727.082 </w:t>
            </w:r>
          </w:p>
        </w:tc>
        <w:tc>
          <w:tcPr>
            <w:tcW w:w="1502" w:type="dxa"/>
            <w:tcBorders>
              <w:top w:val="single" w:sz="4" w:space="0" w:color="auto"/>
              <w:left w:val="single" w:sz="4" w:space="0" w:color="auto"/>
              <w:bottom w:val="nil"/>
              <w:right w:val="single" w:sz="4" w:space="0" w:color="auto"/>
            </w:tcBorders>
            <w:shd w:val="clear" w:color="auto" w:fill="auto"/>
            <w:noWrap/>
            <w:vAlign w:val="bottom"/>
          </w:tcPr>
          <w:p w14:paraId="2869673B" w14:textId="2906892B"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291.723 </w:t>
            </w:r>
          </w:p>
        </w:tc>
        <w:tc>
          <w:tcPr>
            <w:tcW w:w="1010" w:type="dxa"/>
            <w:tcBorders>
              <w:top w:val="single" w:sz="4" w:space="0" w:color="auto"/>
              <w:left w:val="single" w:sz="4" w:space="0" w:color="auto"/>
              <w:bottom w:val="nil"/>
              <w:right w:val="single" w:sz="4" w:space="0" w:color="auto"/>
            </w:tcBorders>
            <w:shd w:val="clear" w:color="auto" w:fill="auto"/>
            <w:noWrap/>
            <w:vAlign w:val="bottom"/>
          </w:tcPr>
          <w:p w14:paraId="6EAA00EC" w14:textId="6245286C"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single" w:sz="4" w:space="0" w:color="auto"/>
              <w:left w:val="single" w:sz="4" w:space="0" w:color="auto"/>
              <w:bottom w:val="nil"/>
              <w:right w:val="single" w:sz="4" w:space="0" w:color="auto"/>
            </w:tcBorders>
            <w:shd w:val="clear" w:color="auto" w:fill="auto"/>
            <w:noWrap/>
            <w:vAlign w:val="bottom"/>
          </w:tcPr>
          <w:p w14:paraId="0AF24A4F" w14:textId="239512FF" w:rsidR="00764FD5" w:rsidRPr="00701F32" w:rsidRDefault="00DD1EA2" w:rsidP="00764FD5">
            <w:pPr>
              <w:jc w:val="right"/>
              <w:rPr>
                <w:rFonts w:ascii="Arial" w:hAnsi="Arial" w:cs="Arial"/>
                <w:sz w:val="16"/>
                <w:szCs w:val="18"/>
                <w:lang w:val="es-ES_tradnl"/>
              </w:rPr>
            </w:pPr>
            <w:r>
              <w:rPr>
                <w:rFonts w:ascii="Arial" w:hAnsi="Arial" w:cs="Arial"/>
                <w:sz w:val="16"/>
                <w:szCs w:val="16"/>
              </w:rPr>
              <w:t>-</w:t>
            </w:r>
            <w:r w:rsidR="00764FD5" w:rsidRPr="00697172">
              <w:rPr>
                <w:rFonts w:ascii="Arial" w:hAnsi="Arial" w:cs="Arial"/>
                <w:sz w:val="16"/>
                <w:szCs w:val="16"/>
              </w:rPr>
              <w:t xml:space="preserve">5.864.301 </w:t>
            </w:r>
          </w:p>
        </w:tc>
      </w:tr>
      <w:tr w:rsidR="00764FD5" w:rsidRPr="00701F32" w14:paraId="6426D640" w14:textId="77777777" w:rsidTr="00764FD5">
        <w:trPr>
          <w:trHeight w:val="236"/>
          <w:jc w:val="center"/>
        </w:trPr>
        <w:tc>
          <w:tcPr>
            <w:tcW w:w="3293" w:type="dxa"/>
            <w:tcBorders>
              <w:top w:val="nil"/>
              <w:left w:val="single" w:sz="4" w:space="0" w:color="auto"/>
              <w:bottom w:val="nil"/>
              <w:right w:val="single" w:sz="4" w:space="0" w:color="auto"/>
            </w:tcBorders>
            <w:shd w:val="clear" w:color="auto" w:fill="auto"/>
            <w:noWrap/>
            <w:vAlign w:val="center"/>
            <w:hideMark/>
          </w:tcPr>
          <w:p w14:paraId="477CFED4" w14:textId="77777777" w:rsidR="00764FD5" w:rsidRPr="00701F32" w:rsidRDefault="00764FD5" w:rsidP="00764FD5">
            <w:pPr>
              <w:rPr>
                <w:rFonts w:ascii="Arial" w:hAnsi="Arial" w:cs="Arial"/>
                <w:sz w:val="16"/>
                <w:szCs w:val="18"/>
                <w:lang w:eastAsia="es-AR"/>
              </w:rPr>
            </w:pPr>
            <w:r w:rsidRPr="00701F32">
              <w:rPr>
                <w:rFonts w:ascii="Arial" w:hAnsi="Arial" w:cs="Arial"/>
                <w:sz w:val="16"/>
                <w:szCs w:val="18"/>
                <w:lang w:eastAsia="es-AR"/>
              </w:rPr>
              <w:t xml:space="preserve">Gastos de administración </w:t>
            </w:r>
          </w:p>
        </w:tc>
        <w:tc>
          <w:tcPr>
            <w:tcW w:w="1370" w:type="dxa"/>
            <w:tcBorders>
              <w:top w:val="nil"/>
              <w:left w:val="single" w:sz="4" w:space="0" w:color="auto"/>
              <w:bottom w:val="nil"/>
              <w:right w:val="single" w:sz="4" w:space="0" w:color="auto"/>
            </w:tcBorders>
            <w:shd w:val="clear" w:color="auto" w:fill="auto"/>
            <w:noWrap/>
            <w:vAlign w:val="bottom"/>
          </w:tcPr>
          <w:p w14:paraId="2148E60E" w14:textId="087AE833"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390.281 </w:t>
            </w:r>
          </w:p>
        </w:tc>
        <w:tc>
          <w:tcPr>
            <w:tcW w:w="1498" w:type="dxa"/>
            <w:tcBorders>
              <w:top w:val="nil"/>
              <w:left w:val="single" w:sz="4" w:space="0" w:color="auto"/>
              <w:bottom w:val="nil"/>
              <w:right w:val="single" w:sz="4" w:space="0" w:color="auto"/>
            </w:tcBorders>
            <w:shd w:val="clear" w:color="auto" w:fill="auto"/>
            <w:noWrap/>
            <w:vAlign w:val="bottom"/>
          </w:tcPr>
          <w:p w14:paraId="04AE752A" w14:textId="083C4B5F"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2.984.008 </w:t>
            </w:r>
          </w:p>
        </w:tc>
        <w:tc>
          <w:tcPr>
            <w:tcW w:w="1502" w:type="dxa"/>
            <w:tcBorders>
              <w:top w:val="nil"/>
              <w:left w:val="single" w:sz="4" w:space="0" w:color="auto"/>
              <w:bottom w:val="nil"/>
              <w:right w:val="single" w:sz="4" w:space="0" w:color="auto"/>
            </w:tcBorders>
            <w:shd w:val="clear" w:color="auto" w:fill="auto"/>
            <w:noWrap/>
            <w:vAlign w:val="bottom"/>
          </w:tcPr>
          <w:p w14:paraId="33D18A13" w14:textId="7AC909DD"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151.734 </w:t>
            </w:r>
          </w:p>
        </w:tc>
        <w:tc>
          <w:tcPr>
            <w:tcW w:w="1010" w:type="dxa"/>
            <w:tcBorders>
              <w:top w:val="nil"/>
              <w:left w:val="single" w:sz="4" w:space="0" w:color="auto"/>
              <w:bottom w:val="nil"/>
              <w:right w:val="single" w:sz="4" w:space="0" w:color="auto"/>
            </w:tcBorders>
            <w:shd w:val="clear" w:color="auto" w:fill="auto"/>
            <w:noWrap/>
            <w:vAlign w:val="bottom"/>
          </w:tcPr>
          <w:p w14:paraId="08AACF20" w14:textId="378458FC"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nil"/>
              <w:left w:val="single" w:sz="4" w:space="0" w:color="auto"/>
              <w:bottom w:val="nil"/>
              <w:right w:val="single" w:sz="4" w:space="0" w:color="auto"/>
            </w:tcBorders>
            <w:shd w:val="clear" w:color="auto" w:fill="auto"/>
            <w:noWrap/>
            <w:vAlign w:val="bottom"/>
          </w:tcPr>
          <w:p w14:paraId="1BD8B866" w14:textId="52B649D9"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3.526.023 </w:t>
            </w:r>
          </w:p>
        </w:tc>
      </w:tr>
      <w:tr w:rsidR="00764FD5" w:rsidRPr="00701F32" w14:paraId="33AAF193" w14:textId="77777777" w:rsidTr="00764FD5">
        <w:trPr>
          <w:trHeight w:val="236"/>
          <w:jc w:val="center"/>
        </w:trPr>
        <w:tc>
          <w:tcPr>
            <w:tcW w:w="3293" w:type="dxa"/>
            <w:tcBorders>
              <w:top w:val="nil"/>
              <w:left w:val="single" w:sz="4" w:space="0" w:color="auto"/>
              <w:bottom w:val="nil"/>
              <w:right w:val="single" w:sz="4" w:space="0" w:color="auto"/>
            </w:tcBorders>
            <w:shd w:val="clear" w:color="auto" w:fill="auto"/>
            <w:noWrap/>
            <w:vAlign w:val="center"/>
            <w:hideMark/>
          </w:tcPr>
          <w:p w14:paraId="40F6541B" w14:textId="77777777" w:rsidR="00764FD5" w:rsidRPr="00701F32" w:rsidRDefault="00764FD5" w:rsidP="00764FD5">
            <w:pPr>
              <w:rPr>
                <w:rFonts w:ascii="Arial" w:hAnsi="Arial" w:cs="Arial"/>
                <w:sz w:val="16"/>
                <w:szCs w:val="18"/>
                <w:lang w:eastAsia="es-AR"/>
              </w:rPr>
            </w:pPr>
            <w:r w:rsidRPr="00701F32">
              <w:rPr>
                <w:rFonts w:ascii="Arial" w:hAnsi="Arial" w:cs="Arial"/>
                <w:sz w:val="16"/>
                <w:szCs w:val="18"/>
                <w:lang w:eastAsia="es-AR"/>
              </w:rPr>
              <w:t xml:space="preserve">Depreciaciones y desvalorizaciones de bienes </w:t>
            </w:r>
          </w:p>
        </w:tc>
        <w:tc>
          <w:tcPr>
            <w:tcW w:w="1370" w:type="dxa"/>
            <w:tcBorders>
              <w:top w:val="nil"/>
              <w:left w:val="single" w:sz="4" w:space="0" w:color="auto"/>
              <w:bottom w:val="nil"/>
              <w:right w:val="single" w:sz="4" w:space="0" w:color="auto"/>
            </w:tcBorders>
            <w:shd w:val="clear" w:color="auto" w:fill="auto"/>
            <w:noWrap/>
            <w:vAlign w:val="bottom"/>
          </w:tcPr>
          <w:p w14:paraId="45055724" w14:textId="5CEC05BD"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68.862 </w:t>
            </w:r>
          </w:p>
        </w:tc>
        <w:tc>
          <w:tcPr>
            <w:tcW w:w="1498" w:type="dxa"/>
            <w:tcBorders>
              <w:top w:val="nil"/>
              <w:left w:val="single" w:sz="4" w:space="0" w:color="auto"/>
              <w:bottom w:val="nil"/>
              <w:right w:val="single" w:sz="4" w:space="0" w:color="auto"/>
            </w:tcBorders>
            <w:shd w:val="clear" w:color="auto" w:fill="auto"/>
            <w:noWrap/>
            <w:vAlign w:val="bottom"/>
          </w:tcPr>
          <w:p w14:paraId="78ECD6EB" w14:textId="331D0458"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214.589 </w:t>
            </w:r>
          </w:p>
        </w:tc>
        <w:tc>
          <w:tcPr>
            <w:tcW w:w="1502" w:type="dxa"/>
            <w:tcBorders>
              <w:top w:val="nil"/>
              <w:left w:val="single" w:sz="4" w:space="0" w:color="auto"/>
              <w:bottom w:val="nil"/>
              <w:right w:val="single" w:sz="4" w:space="0" w:color="auto"/>
            </w:tcBorders>
            <w:shd w:val="clear" w:color="auto" w:fill="auto"/>
            <w:noWrap/>
            <w:vAlign w:val="bottom"/>
          </w:tcPr>
          <w:p w14:paraId="30FDE338" w14:textId="0D8C5BEC"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15.220 </w:t>
            </w:r>
          </w:p>
        </w:tc>
        <w:tc>
          <w:tcPr>
            <w:tcW w:w="1010" w:type="dxa"/>
            <w:tcBorders>
              <w:top w:val="nil"/>
              <w:left w:val="single" w:sz="4" w:space="0" w:color="auto"/>
              <w:bottom w:val="nil"/>
              <w:right w:val="single" w:sz="4" w:space="0" w:color="auto"/>
            </w:tcBorders>
            <w:shd w:val="clear" w:color="auto" w:fill="auto"/>
            <w:noWrap/>
            <w:vAlign w:val="bottom"/>
          </w:tcPr>
          <w:p w14:paraId="170299E9" w14:textId="2C9539AB"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nil"/>
              <w:left w:val="single" w:sz="4" w:space="0" w:color="auto"/>
              <w:bottom w:val="nil"/>
              <w:right w:val="single" w:sz="4" w:space="0" w:color="auto"/>
            </w:tcBorders>
            <w:shd w:val="clear" w:color="auto" w:fill="auto"/>
            <w:noWrap/>
            <w:vAlign w:val="bottom"/>
          </w:tcPr>
          <w:p w14:paraId="59D74CD2" w14:textId="363BF98D"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298.671 </w:t>
            </w:r>
          </w:p>
        </w:tc>
      </w:tr>
      <w:tr w:rsidR="00764FD5" w:rsidRPr="00701F32" w14:paraId="2CC2F7A7" w14:textId="77777777" w:rsidTr="00764FD5">
        <w:trPr>
          <w:trHeight w:val="236"/>
          <w:jc w:val="center"/>
        </w:trPr>
        <w:tc>
          <w:tcPr>
            <w:tcW w:w="3293" w:type="dxa"/>
            <w:tcBorders>
              <w:top w:val="nil"/>
              <w:left w:val="single" w:sz="4" w:space="0" w:color="auto"/>
              <w:bottom w:val="single" w:sz="4" w:space="0" w:color="auto"/>
              <w:right w:val="single" w:sz="4" w:space="0" w:color="auto"/>
            </w:tcBorders>
            <w:shd w:val="clear" w:color="auto" w:fill="auto"/>
            <w:noWrap/>
            <w:vAlign w:val="center"/>
            <w:hideMark/>
          </w:tcPr>
          <w:p w14:paraId="400273B6" w14:textId="77777777" w:rsidR="00764FD5" w:rsidRPr="00701F32" w:rsidRDefault="00764FD5" w:rsidP="00764FD5">
            <w:pPr>
              <w:rPr>
                <w:rFonts w:ascii="Arial" w:hAnsi="Arial" w:cs="Arial"/>
                <w:sz w:val="16"/>
                <w:szCs w:val="18"/>
                <w:lang w:eastAsia="es-AR"/>
              </w:rPr>
            </w:pPr>
            <w:r w:rsidRPr="00701F32">
              <w:rPr>
                <w:rFonts w:ascii="Arial" w:hAnsi="Arial" w:cs="Arial"/>
                <w:sz w:val="16"/>
                <w:szCs w:val="18"/>
                <w:lang w:eastAsia="es-AR"/>
              </w:rPr>
              <w:t xml:space="preserve">Otros gastos operativos </w:t>
            </w:r>
          </w:p>
        </w:tc>
        <w:tc>
          <w:tcPr>
            <w:tcW w:w="1370" w:type="dxa"/>
            <w:tcBorders>
              <w:top w:val="nil"/>
              <w:left w:val="single" w:sz="4" w:space="0" w:color="auto"/>
              <w:bottom w:val="single" w:sz="4" w:space="0" w:color="auto"/>
              <w:right w:val="single" w:sz="4" w:space="0" w:color="auto"/>
            </w:tcBorders>
            <w:shd w:val="clear" w:color="auto" w:fill="auto"/>
            <w:noWrap/>
            <w:vAlign w:val="bottom"/>
          </w:tcPr>
          <w:p w14:paraId="391DE8C1" w14:textId="65A5109B" w:rsidR="00764FD5" w:rsidRPr="00701F32" w:rsidRDefault="00DD1EA2" w:rsidP="00764FD5">
            <w:pPr>
              <w:jc w:val="right"/>
              <w:rPr>
                <w:rFonts w:ascii="Arial" w:hAnsi="Arial" w:cs="Arial"/>
                <w:sz w:val="16"/>
                <w:szCs w:val="18"/>
                <w:lang w:val="es-ES_tradnl"/>
              </w:rPr>
            </w:pPr>
            <w:r>
              <w:rPr>
                <w:rFonts w:ascii="Arial" w:hAnsi="Arial" w:cs="Arial"/>
                <w:sz w:val="16"/>
                <w:szCs w:val="16"/>
              </w:rPr>
              <w:t>-</w:t>
            </w:r>
            <w:r w:rsidR="00764FD5" w:rsidRPr="00697172">
              <w:rPr>
                <w:rFonts w:ascii="Arial" w:hAnsi="Arial" w:cs="Arial"/>
                <w:sz w:val="16"/>
                <w:szCs w:val="16"/>
              </w:rPr>
              <w:t xml:space="preserve">840.397 </w:t>
            </w:r>
          </w:p>
        </w:tc>
        <w:tc>
          <w:tcPr>
            <w:tcW w:w="1498" w:type="dxa"/>
            <w:tcBorders>
              <w:top w:val="nil"/>
              <w:left w:val="single" w:sz="4" w:space="0" w:color="auto"/>
              <w:bottom w:val="single" w:sz="4" w:space="0" w:color="auto"/>
              <w:right w:val="single" w:sz="4" w:space="0" w:color="auto"/>
            </w:tcBorders>
            <w:shd w:val="clear" w:color="auto" w:fill="auto"/>
            <w:noWrap/>
            <w:vAlign w:val="bottom"/>
          </w:tcPr>
          <w:p w14:paraId="4B771392" w14:textId="7B3C7AE2"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1.903.501 </w:t>
            </w:r>
          </w:p>
        </w:tc>
        <w:tc>
          <w:tcPr>
            <w:tcW w:w="1502" w:type="dxa"/>
            <w:tcBorders>
              <w:top w:val="nil"/>
              <w:left w:val="single" w:sz="4" w:space="0" w:color="auto"/>
              <w:bottom w:val="single" w:sz="4" w:space="0" w:color="auto"/>
              <w:right w:val="single" w:sz="4" w:space="0" w:color="auto"/>
            </w:tcBorders>
            <w:shd w:val="clear" w:color="auto" w:fill="auto"/>
            <w:noWrap/>
            <w:vAlign w:val="bottom"/>
          </w:tcPr>
          <w:p w14:paraId="3236B19D" w14:textId="0DFE200E"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235.168 </w:t>
            </w:r>
          </w:p>
        </w:tc>
        <w:tc>
          <w:tcPr>
            <w:tcW w:w="1010" w:type="dxa"/>
            <w:tcBorders>
              <w:top w:val="nil"/>
              <w:left w:val="single" w:sz="4" w:space="0" w:color="auto"/>
              <w:bottom w:val="single" w:sz="4" w:space="0" w:color="auto"/>
              <w:right w:val="single" w:sz="4" w:space="0" w:color="auto"/>
            </w:tcBorders>
            <w:shd w:val="clear" w:color="auto" w:fill="auto"/>
            <w:noWrap/>
            <w:vAlign w:val="bottom"/>
          </w:tcPr>
          <w:p w14:paraId="7748AB40" w14:textId="1E3BFFC4"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nil"/>
              <w:left w:val="single" w:sz="4" w:space="0" w:color="auto"/>
              <w:bottom w:val="single" w:sz="4" w:space="0" w:color="auto"/>
              <w:right w:val="single" w:sz="4" w:space="0" w:color="auto"/>
            </w:tcBorders>
            <w:shd w:val="clear" w:color="auto" w:fill="auto"/>
            <w:noWrap/>
            <w:vAlign w:val="bottom"/>
          </w:tcPr>
          <w:p w14:paraId="39DEA093" w14:textId="35E16965"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2.979.066 </w:t>
            </w:r>
          </w:p>
        </w:tc>
      </w:tr>
      <w:tr w:rsidR="00764FD5" w:rsidRPr="00701F32" w14:paraId="387AF356" w14:textId="77777777" w:rsidTr="00764FD5">
        <w:trPr>
          <w:trHeight w:val="236"/>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389C0" w14:textId="77777777" w:rsidR="00764FD5" w:rsidRPr="00701F32" w:rsidRDefault="00764FD5" w:rsidP="00764FD5">
            <w:pPr>
              <w:rPr>
                <w:rFonts w:ascii="Arial" w:hAnsi="Arial" w:cs="Arial"/>
                <w:b/>
                <w:bCs/>
                <w:sz w:val="16"/>
                <w:szCs w:val="18"/>
                <w:lang w:eastAsia="es-AR"/>
              </w:rPr>
            </w:pPr>
            <w:r w:rsidRPr="00701F32">
              <w:rPr>
                <w:rFonts w:ascii="Arial" w:hAnsi="Arial" w:cs="Arial"/>
                <w:b/>
                <w:bCs/>
                <w:sz w:val="16"/>
                <w:szCs w:val="18"/>
                <w:lang w:eastAsia="es-AR"/>
              </w:rPr>
              <w:t xml:space="preserve">Resultado operativo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E85A8C" w14:textId="068FCB4D"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1.820.258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E697DB" w14:textId="55770909"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764.248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C9515" w14:textId="52A283B9"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283.010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D02F60" w14:textId="3FA427CC"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67387" w14:textId="1797A3EA"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2.867.516 </w:t>
            </w:r>
          </w:p>
        </w:tc>
      </w:tr>
      <w:tr w:rsidR="00764FD5" w:rsidRPr="00701F32" w14:paraId="4F0961E0" w14:textId="77777777" w:rsidTr="00764FD5">
        <w:trPr>
          <w:trHeight w:val="236"/>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5F64B" w14:textId="77777777" w:rsidR="00764FD5" w:rsidRPr="00701F32" w:rsidRDefault="00764FD5" w:rsidP="00764FD5">
            <w:pPr>
              <w:rPr>
                <w:rFonts w:ascii="Arial" w:hAnsi="Arial" w:cs="Arial"/>
                <w:sz w:val="16"/>
                <w:szCs w:val="18"/>
                <w:lang w:eastAsia="es-AR"/>
              </w:rPr>
            </w:pPr>
            <w:r w:rsidRPr="00701F32">
              <w:rPr>
                <w:rFonts w:ascii="Arial" w:hAnsi="Arial" w:cs="Arial"/>
                <w:sz w:val="16"/>
                <w:szCs w:val="18"/>
                <w:lang w:eastAsia="es-AR"/>
              </w:rPr>
              <w:t xml:space="preserve">Resultado por asociadas y negocios conjuntos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568319" w14:textId="2F780394"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F0267B" w14:textId="2A2E07C1"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0112B3" w14:textId="42EC396D"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374AF3" w14:textId="7B63DAEB"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-592.233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4311A9" w14:textId="40D25EC9"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-592.233 </w:t>
            </w:r>
          </w:p>
        </w:tc>
      </w:tr>
      <w:tr w:rsidR="00764FD5" w:rsidRPr="00701F32" w14:paraId="5ACBFE7C" w14:textId="77777777" w:rsidTr="00764FD5">
        <w:trPr>
          <w:trHeight w:val="236"/>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CB447" w14:textId="77777777" w:rsidR="00764FD5" w:rsidRPr="00701F32" w:rsidRDefault="00764FD5" w:rsidP="00764FD5">
            <w:pPr>
              <w:rPr>
                <w:rFonts w:ascii="Arial" w:hAnsi="Arial" w:cs="Arial"/>
                <w:b/>
                <w:bCs/>
                <w:sz w:val="16"/>
                <w:szCs w:val="18"/>
                <w:lang w:eastAsia="es-AR"/>
              </w:rPr>
            </w:pPr>
            <w:r w:rsidRPr="00701F32">
              <w:rPr>
                <w:rFonts w:ascii="Arial" w:hAnsi="Arial" w:cs="Arial"/>
                <w:b/>
                <w:bCs/>
                <w:sz w:val="16"/>
                <w:szCs w:val="18"/>
                <w:lang w:eastAsia="es-AR"/>
              </w:rPr>
              <w:t xml:space="preserve">Resultado antes de impuesto de las actividades que continúan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CE2D5" w14:textId="618B10C5"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1.820.258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B6D375" w14:textId="2F0F47E9"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764.248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AED53" w14:textId="78467029"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283.010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CF3702" w14:textId="4149CFC7"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-592.233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7E27DC" w14:textId="47B4DAF0"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2.275.283 </w:t>
            </w:r>
          </w:p>
        </w:tc>
      </w:tr>
      <w:tr w:rsidR="00764FD5" w:rsidRPr="00701F32" w14:paraId="1A949FA3" w14:textId="77777777" w:rsidTr="00764FD5">
        <w:trPr>
          <w:trHeight w:val="236"/>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EB389" w14:textId="77777777" w:rsidR="00764FD5" w:rsidRPr="00701F32" w:rsidRDefault="00764FD5" w:rsidP="00764FD5">
            <w:pPr>
              <w:rPr>
                <w:rFonts w:ascii="Arial" w:hAnsi="Arial" w:cs="Arial"/>
                <w:sz w:val="16"/>
                <w:szCs w:val="18"/>
                <w:lang w:eastAsia="es-AR"/>
              </w:rPr>
            </w:pPr>
            <w:r w:rsidRPr="00701F32">
              <w:rPr>
                <w:rFonts w:ascii="Arial" w:hAnsi="Arial" w:cs="Arial"/>
                <w:sz w:val="16"/>
                <w:szCs w:val="18"/>
                <w:lang w:eastAsia="es-AR"/>
              </w:rPr>
              <w:t xml:space="preserve">Impuesto a las ganancias de las actividades que continúan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6A7C78" w14:textId="00A83FF2"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374.075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35B813" w14:textId="10E37265"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155.583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E37863" w14:textId="625C7AE4"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75.110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8E2C62" w14:textId="22D6192E"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496AD8" w14:textId="0C242999"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604.768 </w:t>
            </w:r>
          </w:p>
        </w:tc>
      </w:tr>
      <w:tr w:rsidR="00764FD5" w:rsidRPr="00701F32" w14:paraId="5A555E43" w14:textId="77777777" w:rsidTr="00764FD5">
        <w:trPr>
          <w:trHeight w:val="236"/>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CE869" w14:textId="77777777" w:rsidR="00764FD5" w:rsidRPr="00701F32" w:rsidRDefault="00764FD5" w:rsidP="00764FD5">
            <w:pPr>
              <w:jc w:val="both"/>
              <w:rPr>
                <w:rFonts w:ascii="Arial" w:hAnsi="Arial" w:cs="Arial"/>
                <w:b/>
                <w:bCs/>
                <w:sz w:val="16"/>
                <w:szCs w:val="18"/>
                <w:lang w:eastAsia="es-AR"/>
              </w:rPr>
            </w:pPr>
            <w:r w:rsidRPr="00701F32">
              <w:rPr>
                <w:rFonts w:ascii="Arial" w:hAnsi="Arial" w:cs="Arial"/>
                <w:b/>
                <w:bCs/>
                <w:sz w:val="16"/>
                <w:szCs w:val="18"/>
                <w:lang w:eastAsia="es-AR"/>
              </w:rPr>
              <w:t xml:space="preserve">Resultado neto de las actividades que continúan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CE6D3" w14:textId="6EB7D4EC"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1.446.183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A00EF5" w14:textId="1D704C6F"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608.665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6AB2D5" w14:textId="78310AF9"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207.900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B6973" w14:textId="0C7EEBB2"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-592.233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E932FA" w14:textId="7C24BB3D"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1.670.515 </w:t>
            </w:r>
          </w:p>
        </w:tc>
      </w:tr>
      <w:tr w:rsidR="00764FD5" w:rsidRPr="00701F32" w14:paraId="6C64B29D" w14:textId="77777777" w:rsidTr="00764FD5">
        <w:trPr>
          <w:trHeight w:val="329"/>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E0815" w14:textId="1CEF97DF" w:rsidR="00764FD5" w:rsidRPr="00701F32" w:rsidRDefault="00764FD5" w:rsidP="00764FD5">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neto del </w:t>
            </w:r>
            <w:r>
              <w:rPr>
                <w:rFonts w:ascii="Arial" w:hAnsi="Arial" w:cs="Arial"/>
                <w:b/>
                <w:bCs/>
                <w:sz w:val="16"/>
                <w:szCs w:val="18"/>
                <w:lang w:eastAsia="es-AR"/>
              </w:rPr>
              <w:t>ejercicio</w:t>
            </w:r>
            <w:r w:rsidRPr="00701F32">
              <w:rPr>
                <w:rFonts w:ascii="Arial" w:hAnsi="Arial" w:cs="Arial"/>
                <w:b/>
                <w:bCs/>
                <w:sz w:val="16"/>
                <w:szCs w:val="18"/>
                <w:lang w:eastAsia="es-AR"/>
              </w:rPr>
              <w:t xml:space="preserve">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8DC00" w14:textId="2830207A"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1.446.183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CEC0E" w14:textId="595AB1F9"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608.665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F898E5" w14:textId="076A8C81"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207.900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E71CA" w14:textId="1D9CEBAF"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-592.233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30421B" w14:textId="280A629B"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1.670.515 </w:t>
            </w:r>
          </w:p>
        </w:tc>
      </w:tr>
      <w:tr w:rsidR="00764FD5" w:rsidRPr="00701F32" w14:paraId="5F77C375" w14:textId="77777777" w:rsidTr="00764FD5">
        <w:trPr>
          <w:trHeight w:val="236"/>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522B3" w14:textId="312A75EA" w:rsidR="00764FD5" w:rsidRPr="00701F32" w:rsidRDefault="00764FD5" w:rsidP="00764FD5">
            <w:pPr>
              <w:rPr>
                <w:rFonts w:ascii="Arial" w:hAnsi="Arial" w:cs="Arial"/>
                <w:sz w:val="16"/>
                <w:szCs w:val="18"/>
                <w:lang w:eastAsia="es-AR"/>
              </w:rPr>
            </w:pPr>
            <w:r w:rsidRPr="008317D7">
              <w:rPr>
                <w:rFonts w:ascii="Arial" w:hAnsi="Arial" w:cs="Arial"/>
                <w:sz w:val="16"/>
                <w:szCs w:val="16"/>
              </w:rPr>
              <w:t>Otros Resultados Integrales (ORI)</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B11C00" w14:textId="31759978"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318.572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BDFED" w14:textId="078D5D2D"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30.279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1A5C37" w14:textId="553C2CE3"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240.73</w:t>
            </w:r>
            <w:r>
              <w:rPr>
                <w:rFonts w:ascii="Arial" w:hAnsi="Arial" w:cs="Arial"/>
                <w:sz w:val="16"/>
                <w:szCs w:val="16"/>
              </w:rPr>
              <w:t>7</w:t>
            </w:r>
            <w:r w:rsidRPr="00697172">
              <w:rPr>
                <w:rFonts w:ascii="Arial" w:hAnsi="Arial" w:cs="Arial"/>
                <w:sz w:val="16"/>
                <w:szCs w:val="16"/>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09101" w14:textId="0092DA62"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7CA46" w14:textId="1CD093E2"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589.58</w:t>
            </w:r>
            <w:r>
              <w:rPr>
                <w:rFonts w:ascii="Arial" w:hAnsi="Arial" w:cs="Arial"/>
                <w:sz w:val="16"/>
                <w:szCs w:val="16"/>
              </w:rPr>
              <w:t>8</w:t>
            </w:r>
            <w:r w:rsidRPr="00697172">
              <w:rPr>
                <w:rFonts w:ascii="Arial" w:hAnsi="Arial" w:cs="Arial"/>
                <w:sz w:val="16"/>
                <w:szCs w:val="16"/>
              </w:rPr>
              <w:t xml:space="preserve"> </w:t>
            </w:r>
          </w:p>
        </w:tc>
      </w:tr>
      <w:tr w:rsidR="00764FD5" w:rsidRPr="00701F32" w14:paraId="1F08F280" w14:textId="77777777" w:rsidTr="00764FD5">
        <w:trPr>
          <w:trHeight w:val="236"/>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24C27" w14:textId="77777777" w:rsidR="00764FD5" w:rsidRPr="00701F32" w:rsidRDefault="00764FD5" w:rsidP="00764FD5">
            <w:pPr>
              <w:jc w:val="both"/>
              <w:rPr>
                <w:rFonts w:ascii="Arial" w:hAnsi="Arial" w:cs="Arial"/>
                <w:sz w:val="16"/>
                <w:szCs w:val="18"/>
                <w:lang w:eastAsia="es-AR"/>
              </w:rPr>
            </w:pPr>
            <w:r w:rsidRPr="00701F32">
              <w:rPr>
                <w:rFonts w:ascii="Arial" w:hAnsi="Arial" w:cs="Arial"/>
                <w:sz w:val="16"/>
                <w:szCs w:val="18"/>
                <w:lang w:eastAsia="es-AR"/>
              </w:rPr>
              <w:t>Impuesto a las ganancias ORI</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80362E" w14:textId="51A9E3AE"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79.667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B5D86" w14:textId="7D906FF6"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60.203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2FBD38" w14:textId="29242F4C"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7.572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7AB13D" w14:textId="54441857"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EE24DC" w14:textId="6C37450F" w:rsidR="00764FD5" w:rsidRPr="00701F32" w:rsidRDefault="00764FD5" w:rsidP="00764FD5">
            <w:pPr>
              <w:jc w:val="right"/>
              <w:rPr>
                <w:rFonts w:ascii="Arial" w:hAnsi="Arial" w:cs="Arial"/>
                <w:sz w:val="16"/>
                <w:szCs w:val="18"/>
                <w:lang w:val="es-ES_tradnl"/>
              </w:rPr>
            </w:pPr>
            <w:r w:rsidRPr="00697172">
              <w:rPr>
                <w:rFonts w:ascii="Arial" w:hAnsi="Arial" w:cs="Arial"/>
                <w:sz w:val="16"/>
                <w:szCs w:val="16"/>
              </w:rPr>
              <w:t xml:space="preserve"> </w:t>
            </w:r>
            <w:r w:rsidR="00DD1EA2">
              <w:rPr>
                <w:rFonts w:ascii="Arial" w:hAnsi="Arial" w:cs="Arial"/>
                <w:sz w:val="16"/>
                <w:szCs w:val="16"/>
              </w:rPr>
              <w:t>-</w:t>
            </w:r>
            <w:r w:rsidRPr="00697172">
              <w:rPr>
                <w:rFonts w:ascii="Arial" w:hAnsi="Arial" w:cs="Arial"/>
                <w:sz w:val="16"/>
                <w:szCs w:val="16"/>
              </w:rPr>
              <w:t xml:space="preserve">147.442 </w:t>
            </w:r>
          </w:p>
        </w:tc>
      </w:tr>
      <w:tr w:rsidR="00764FD5" w:rsidRPr="00701F32" w14:paraId="197B0855" w14:textId="77777777" w:rsidTr="00764FD5">
        <w:trPr>
          <w:trHeight w:val="236"/>
          <w:jc w:val="center"/>
        </w:trPr>
        <w:tc>
          <w:tcPr>
            <w:tcW w:w="32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BE587" w14:textId="4C717C64" w:rsidR="00764FD5" w:rsidRPr="00701F32" w:rsidRDefault="00764FD5" w:rsidP="00764FD5">
            <w:pPr>
              <w:jc w:val="both"/>
              <w:rPr>
                <w:rFonts w:ascii="Arial" w:hAnsi="Arial" w:cs="Arial"/>
                <w:b/>
                <w:bCs/>
                <w:sz w:val="16"/>
                <w:szCs w:val="18"/>
                <w:lang w:eastAsia="es-AR"/>
              </w:rPr>
            </w:pPr>
            <w:r w:rsidRPr="00701F32">
              <w:rPr>
                <w:rFonts w:ascii="Arial" w:hAnsi="Arial" w:cs="Arial"/>
                <w:b/>
                <w:bCs/>
                <w:sz w:val="16"/>
                <w:szCs w:val="18"/>
                <w:lang w:eastAsia="es-AR"/>
              </w:rPr>
              <w:t xml:space="preserve"> Resultado Integral del </w:t>
            </w:r>
            <w:r>
              <w:rPr>
                <w:rFonts w:ascii="Arial" w:hAnsi="Arial" w:cs="Arial"/>
                <w:b/>
                <w:bCs/>
                <w:sz w:val="16"/>
                <w:szCs w:val="18"/>
                <w:lang w:eastAsia="es-AR"/>
              </w:rPr>
              <w:t>ejercicio</w:t>
            </w:r>
            <w:r w:rsidRPr="00701F32">
              <w:rPr>
                <w:rFonts w:ascii="Arial" w:hAnsi="Arial" w:cs="Arial"/>
                <w:b/>
                <w:bCs/>
                <w:sz w:val="16"/>
                <w:szCs w:val="18"/>
                <w:lang w:eastAsia="es-AR"/>
              </w:rPr>
              <w:t xml:space="preserve">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13B65" w14:textId="20DF47AD"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1.685.088 </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4052E2" w14:textId="30CD8241"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578.741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B85CA0" w14:textId="570AB940"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441.06</w:t>
            </w:r>
            <w:r>
              <w:rPr>
                <w:rFonts w:ascii="Arial" w:hAnsi="Arial" w:cs="Arial"/>
                <w:b/>
                <w:sz w:val="16"/>
                <w:szCs w:val="16"/>
              </w:rPr>
              <w:t>5</w:t>
            </w:r>
            <w:r w:rsidRPr="00697172">
              <w:rPr>
                <w:rFonts w:ascii="Arial" w:hAnsi="Arial" w:cs="Arial"/>
                <w:b/>
                <w:sz w:val="16"/>
                <w:szCs w:val="16"/>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C64CA0" w14:textId="5171AA95"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-592.233 </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76828B" w14:textId="10AA0A45" w:rsidR="00764FD5" w:rsidRPr="00701F32" w:rsidRDefault="00764FD5" w:rsidP="00764FD5">
            <w:pPr>
              <w:jc w:val="right"/>
              <w:rPr>
                <w:rFonts w:ascii="Arial" w:hAnsi="Arial" w:cs="Arial"/>
                <w:b/>
                <w:sz w:val="16"/>
                <w:szCs w:val="18"/>
              </w:rPr>
            </w:pPr>
            <w:r w:rsidRPr="00697172">
              <w:rPr>
                <w:rFonts w:ascii="Arial" w:hAnsi="Arial" w:cs="Arial"/>
                <w:b/>
                <w:sz w:val="16"/>
                <w:szCs w:val="16"/>
              </w:rPr>
              <w:t xml:space="preserve"> 2.112.66</w:t>
            </w:r>
            <w:r>
              <w:rPr>
                <w:rFonts w:ascii="Arial" w:hAnsi="Arial" w:cs="Arial"/>
                <w:b/>
                <w:sz w:val="16"/>
                <w:szCs w:val="16"/>
              </w:rPr>
              <w:t>1</w:t>
            </w:r>
            <w:r w:rsidRPr="00A71214">
              <w:rPr>
                <w:rFonts w:ascii="Arial" w:hAnsi="Arial" w:cs="Arial"/>
                <w:b/>
                <w:sz w:val="16"/>
                <w:szCs w:val="16"/>
              </w:rPr>
              <w:t xml:space="preserve"> </w:t>
            </w:r>
          </w:p>
        </w:tc>
      </w:tr>
    </w:tbl>
    <w:p w14:paraId="630612DF" w14:textId="6EEC15AB" w:rsidR="00D71170" w:rsidRDefault="00D71170" w:rsidP="0086282C">
      <w:pPr>
        <w:spacing w:after="160" w:line="259" w:lineRule="auto"/>
        <w:jc w:val="both"/>
        <w:rPr>
          <w:rFonts w:ascii="Arial" w:eastAsia="Calibri" w:hAnsi="Arial" w:cs="Arial"/>
          <w:bCs/>
          <w:sz w:val="20"/>
        </w:rPr>
      </w:pPr>
    </w:p>
    <w:p w14:paraId="41AABFBB" w14:textId="63462CE2" w:rsidR="00C11CA1" w:rsidRPr="00701F32" w:rsidRDefault="00C11CA1" w:rsidP="00C11CA1">
      <w:pPr>
        <w:jc w:val="both"/>
        <w:rPr>
          <w:rFonts w:ascii="Arial" w:eastAsia="Calibri" w:hAnsi="Arial" w:cs="Arial"/>
          <w:b/>
          <w:color w:val="C45911"/>
          <w:sz w:val="20"/>
        </w:rPr>
      </w:pPr>
      <w:r>
        <w:rPr>
          <w:rFonts w:ascii="Arial" w:eastAsia="Calibri" w:hAnsi="Arial" w:cs="Arial"/>
          <w:b/>
          <w:noProof/>
          <w:sz w:val="20"/>
        </w:rPr>
        <w:t>4</w:t>
      </w:r>
      <w:r w:rsidRPr="00701F32">
        <w:rPr>
          <w:rFonts w:ascii="Arial" w:eastAsia="Calibri" w:hAnsi="Arial" w:cs="Arial"/>
          <w:b/>
          <w:noProof/>
          <w:sz w:val="20"/>
        </w:rPr>
        <w:t xml:space="preserve">. IMPUESTO A LAS GANANCIAS </w:t>
      </w:r>
    </w:p>
    <w:p w14:paraId="4E8A38E2" w14:textId="77777777" w:rsidR="00C11CA1" w:rsidRPr="00701F32" w:rsidRDefault="00C11CA1" w:rsidP="00C11CA1">
      <w:pPr>
        <w:jc w:val="both"/>
        <w:rPr>
          <w:rFonts w:ascii="Arial" w:eastAsia="Calibri" w:hAnsi="Arial" w:cs="Arial"/>
          <w:noProof/>
          <w:sz w:val="20"/>
        </w:rPr>
      </w:pPr>
    </w:p>
    <w:p w14:paraId="6A690362" w14:textId="77777777" w:rsidR="00D63203" w:rsidRDefault="00D63203" w:rsidP="00D63203">
      <w:pPr>
        <w:jc w:val="both"/>
        <w:rPr>
          <w:rFonts w:ascii="Arial" w:eastAsia="Calibri" w:hAnsi="Arial" w:cs="Arial"/>
          <w:sz w:val="20"/>
        </w:rPr>
      </w:pPr>
      <w:r w:rsidRPr="00E43368">
        <w:rPr>
          <w:rFonts w:ascii="Arial" w:eastAsia="Calibri" w:hAnsi="Arial" w:cs="Arial"/>
          <w:sz w:val="20"/>
        </w:rPr>
        <w:t>Se ha promulgado recientemente la Ley 27.451, la cual establece principalmente los siguientes impactos contables:</w:t>
      </w:r>
    </w:p>
    <w:p w14:paraId="59B3B9EA" w14:textId="77777777" w:rsidR="00D63203" w:rsidRPr="00E43368" w:rsidRDefault="00D63203" w:rsidP="00D63203">
      <w:pPr>
        <w:jc w:val="both"/>
        <w:rPr>
          <w:rFonts w:ascii="Arial" w:eastAsia="Calibri" w:hAnsi="Arial" w:cs="Arial"/>
          <w:sz w:val="20"/>
        </w:rPr>
      </w:pPr>
    </w:p>
    <w:p w14:paraId="5EF034C0" w14:textId="77777777" w:rsidR="00D63203" w:rsidRPr="00E43368" w:rsidRDefault="00D63203" w:rsidP="00D63203">
      <w:pPr>
        <w:jc w:val="both"/>
        <w:rPr>
          <w:rFonts w:ascii="Arial" w:eastAsia="Calibri" w:hAnsi="Arial" w:cs="Arial"/>
          <w:sz w:val="20"/>
        </w:rPr>
      </w:pPr>
      <w:r>
        <w:rPr>
          <w:rFonts w:ascii="Arial" w:eastAsia="Calibri" w:hAnsi="Arial" w:cs="Arial"/>
          <w:sz w:val="20"/>
        </w:rPr>
        <w:t>-</w:t>
      </w:r>
      <w:r w:rsidRPr="00E43368">
        <w:rPr>
          <w:rFonts w:ascii="Arial" w:eastAsia="Calibri" w:hAnsi="Arial" w:cs="Arial"/>
          <w:sz w:val="20"/>
        </w:rPr>
        <w:t xml:space="preserve"> En el artículo 27 de la Ley se dispone que en caso deba calcularse el ajuste por inflación (impositivo), positivo o negativo, correspondiente al primer y segundo ejercicio iniciado a partir del 1° de enero de 2019, deberá imputarse un sexto (1/6) en ese período fiscal y los cinco sextos (5/6) restantes, en partes iguales, en los cinco (5) períodos fiscales inmediatos siguientes</w:t>
      </w:r>
      <w:r>
        <w:rPr>
          <w:rFonts w:ascii="Arial" w:eastAsia="Calibri" w:hAnsi="Arial" w:cs="Arial"/>
          <w:sz w:val="20"/>
        </w:rPr>
        <w:t>.</w:t>
      </w:r>
    </w:p>
    <w:p w14:paraId="4024956C" w14:textId="77777777" w:rsidR="00D63203" w:rsidRDefault="00D63203" w:rsidP="00D63203">
      <w:pPr>
        <w:jc w:val="both"/>
        <w:rPr>
          <w:rFonts w:ascii="Arial" w:eastAsia="Calibri" w:hAnsi="Arial" w:cs="Arial"/>
          <w:sz w:val="20"/>
        </w:rPr>
      </w:pPr>
    </w:p>
    <w:p w14:paraId="56852ABF" w14:textId="77777777" w:rsidR="00D63203" w:rsidRPr="00E43368" w:rsidRDefault="00D63203" w:rsidP="00D63203">
      <w:pPr>
        <w:jc w:val="both"/>
        <w:rPr>
          <w:rFonts w:ascii="Arial" w:eastAsia="Calibri" w:hAnsi="Arial" w:cs="Arial"/>
          <w:sz w:val="20"/>
        </w:rPr>
      </w:pPr>
      <w:r w:rsidRPr="00E43368">
        <w:rPr>
          <w:rFonts w:ascii="Arial" w:eastAsia="Calibri" w:hAnsi="Arial" w:cs="Arial"/>
          <w:sz w:val="20"/>
        </w:rPr>
        <w:t>A su vez, se aclara que dicha disposición no obsta al cómputo de los tercios remanentes correspondientes a períodos anteriores, calculado conforme a la versión anterior del artículo 194 de la Ley de Impuesto a las Ganancias.</w:t>
      </w:r>
    </w:p>
    <w:p w14:paraId="4DC5CB69" w14:textId="77777777" w:rsidR="00D63203" w:rsidRDefault="00D63203" w:rsidP="00D63203">
      <w:pPr>
        <w:spacing w:after="160" w:line="276" w:lineRule="auto"/>
        <w:jc w:val="both"/>
        <w:rPr>
          <w:rFonts w:ascii="Arial" w:eastAsia="Calibri" w:hAnsi="Arial" w:cs="Arial"/>
          <w:sz w:val="20"/>
        </w:rPr>
      </w:pPr>
    </w:p>
    <w:p w14:paraId="703EAEA8" w14:textId="1145059E" w:rsidR="00C11CA1" w:rsidRPr="00701F32" w:rsidRDefault="00D63203" w:rsidP="00C11CA1">
      <w:pPr>
        <w:spacing w:after="160" w:line="276" w:lineRule="auto"/>
        <w:jc w:val="both"/>
        <w:rPr>
          <w:rFonts w:ascii="Arial" w:eastAsia="Calibri" w:hAnsi="Arial" w:cs="Arial"/>
          <w:sz w:val="20"/>
        </w:rPr>
      </w:pPr>
      <w:r w:rsidRPr="00E43368">
        <w:rPr>
          <w:rFonts w:ascii="Arial" w:eastAsia="Calibri" w:hAnsi="Arial" w:cs="Arial"/>
          <w:sz w:val="20"/>
        </w:rPr>
        <w:t>- En el artículo 48 de la mencionada Ley se establece que hasta los ejercicios fiscales que se inicien a partir del 1° de enero de 2021 inclusive, la alícuota del impuesto será del treinta por ciento (30%) -Dividendos o utilidades distribuidas será del 7%-.</w:t>
      </w:r>
    </w:p>
    <w:p w14:paraId="2FBF64A9" w14:textId="4322F98F" w:rsidR="00C11CA1" w:rsidRDefault="00C11CA1" w:rsidP="00C11CA1">
      <w:pPr>
        <w:spacing w:after="120"/>
        <w:jc w:val="both"/>
        <w:rPr>
          <w:rFonts w:ascii="Arial" w:eastAsia="SimSun" w:hAnsi="Arial" w:cs="Arial"/>
          <w:sz w:val="20"/>
          <w:lang w:eastAsia="zh-CN"/>
        </w:rPr>
      </w:pPr>
      <w:r w:rsidRPr="00701F32">
        <w:rPr>
          <w:rFonts w:ascii="Arial" w:eastAsia="SimSun" w:hAnsi="Arial" w:cs="Arial"/>
          <w:sz w:val="20"/>
          <w:lang w:eastAsia="zh-CN"/>
        </w:rPr>
        <w:t xml:space="preserve">La evolución de los conceptos por impuesto a las ganancias para los </w:t>
      </w:r>
      <w:r>
        <w:rPr>
          <w:rFonts w:ascii="Arial" w:eastAsia="SimSun" w:hAnsi="Arial" w:cs="Arial"/>
          <w:sz w:val="20"/>
          <w:lang w:eastAsia="zh-CN"/>
        </w:rPr>
        <w:t>ejercicios</w:t>
      </w:r>
      <w:r w:rsidRPr="00701F32">
        <w:rPr>
          <w:rFonts w:ascii="Arial" w:eastAsia="SimSun" w:hAnsi="Arial" w:cs="Arial"/>
          <w:sz w:val="20"/>
          <w:lang w:eastAsia="zh-CN"/>
        </w:rPr>
        <w:t xml:space="preserve"> finalizados el 3</w:t>
      </w:r>
      <w:r>
        <w:rPr>
          <w:rFonts w:ascii="Arial" w:eastAsia="SimSun" w:hAnsi="Arial" w:cs="Arial"/>
          <w:sz w:val="20"/>
          <w:lang w:eastAsia="zh-CN"/>
        </w:rPr>
        <w:t>1</w:t>
      </w:r>
      <w:r w:rsidRPr="00701F32">
        <w:rPr>
          <w:rFonts w:ascii="Arial" w:eastAsia="SimSun" w:hAnsi="Arial" w:cs="Arial"/>
          <w:sz w:val="20"/>
          <w:lang w:eastAsia="zh-CN"/>
        </w:rPr>
        <w:t xml:space="preserve"> de </w:t>
      </w:r>
      <w:r>
        <w:rPr>
          <w:rFonts w:ascii="Arial" w:eastAsia="SimSun" w:hAnsi="Arial" w:cs="Arial"/>
          <w:sz w:val="20"/>
          <w:lang w:eastAsia="zh-CN"/>
        </w:rPr>
        <w:t>diciembre</w:t>
      </w:r>
      <w:r w:rsidRPr="00701F32">
        <w:rPr>
          <w:rFonts w:ascii="Arial" w:eastAsia="SimSun" w:hAnsi="Arial" w:cs="Arial"/>
          <w:sz w:val="20"/>
          <w:lang w:eastAsia="zh-CN"/>
        </w:rPr>
        <w:t xml:space="preserve"> de 201</w:t>
      </w:r>
      <w:r>
        <w:rPr>
          <w:rFonts w:ascii="Arial" w:eastAsia="SimSun" w:hAnsi="Arial" w:cs="Arial"/>
          <w:sz w:val="20"/>
          <w:lang w:eastAsia="zh-CN"/>
        </w:rPr>
        <w:t>9</w:t>
      </w:r>
      <w:r w:rsidRPr="00701F32">
        <w:rPr>
          <w:rFonts w:ascii="Arial" w:eastAsia="SimSun" w:hAnsi="Arial" w:cs="Arial"/>
          <w:sz w:val="20"/>
          <w:lang w:eastAsia="zh-CN"/>
        </w:rPr>
        <w:t xml:space="preserve"> y 201</w:t>
      </w:r>
      <w:r>
        <w:rPr>
          <w:rFonts w:ascii="Arial" w:eastAsia="SimSun" w:hAnsi="Arial" w:cs="Arial"/>
          <w:sz w:val="20"/>
          <w:lang w:eastAsia="zh-CN"/>
        </w:rPr>
        <w:t>8</w:t>
      </w:r>
      <w:r w:rsidRPr="00701F32">
        <w:rPr>
          <w:rFonts w:ascii="Arial" w:eastAsia="SimSun" w:hAnsi="Arial" w:cs="Arial"/>
          <w:sz w:val="20"/>
          <w:lang w:eastAsia="zh-CN"/>
        </w:rPr>
        <w:t xml:space="preserve"> se detalla en el siguiente cuadro:</w:t>
      </w:r>
    </w:p>
    <w:p w14:paraId="419AFD37" w14:textId="77777777" w:rsidR="00EB687D" w:rsidRPr="00701F32" w:rsidRDefault="00EB687D" w:rsidP="00C11CA1">
      <w:pPr>
        <w:spacing w:after="120"/>
        <w:jc w:val="both"/>
        <w:rPr>
          <w:rFonts w:ascii="Arial" w:eastAsia="SimSun" w:hAnsi="Arial" w:cs="Arial"/>
          <w:sz w:val="20"/>
          <w:lang w:eastAsia="zh-CN"/>
        </w:rPr>
      </w:pPr>
    </w:p>
    <w:tbl>
      <w:tblPr>
        <w:tblW w:w="8692" w:type="dxa"/>
        <w:tblInd w:w="40" w:type="dxa"/>
        <w:tblCellMar>
          <w:left w:w="70" w:type="dxa"/>
          <w:right w:w="70" w:type="dxa"/>
        </w:tblCellMar>
        <w:tblLook w:val="04A0" w:firstRow="1" w:lastRow="0" w:firstColumn="1" w:lastColumn="0" w:noHBand="0" w:noVBand="1"/>
      </w:tblPr>
      <w:tblGrid>
        <w:gridCol w:w="5094"/>
        <w:gridCol w:w="1799"/>
        <w:gridCol w:w="1799"/>
      </w:tblGrid>
      <w:tr w:rsidR="00C11CA1" w:rsidRPr="00701F32" w14:paraId="468A1319" w14:textId="77777777" w:rsidTr="00DF0784">
        <w:trPr>
          <w:trHeight w:val="266"/>
          <w:tblHeader/>
        </w:trPr>
        <w:tc>
          <w:tcPr>
            <w:tcW w:w="5094" w:type="dxa"/>
            <w:tcBorders>
              <w:top w:val="single" w:sz="4" w:space="0" w:color="auto"/>
              <w:left w:val="single" w:sz="4" w:space="0" w:color="auto"/>
              <w:bottom w:val="single" w:sz="4" w:space="0" w:color="auto"/>
              <w:right w:val="nil"/>
            </w:tcBorders>
            <w:shd w:val="clear" w:color="auto" w:fill="auto"/>
            <w:noWrap/>
            <w:vAlign w:val="bottom"/>
            <w:hideMark/>
          </w:tcPr>
          <w:p w14:paraId="5C856429" w14:textId="77777777" w:rsidR="00C11CA1" w:rsidRPr="00701F32" w:rsidRDefault="00C11CA1" w:rsidP="00DF0784">
            <w:pPr>
              <w:jc w:val="both"/>
              <w:rPr>
                <w:sz w:val="18"/>
                <w:lang w:eastAsia="es-AR"/>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05EA7" w14:textId="0E999637" w:rsidR="00C11CA1" w:rsidRPr="00DD4691" w:rsidRDefault="00C11CA1" w:rsidP="00DF0784">
            <w:pPr>
              <w:jc w:val="center"/>
              <w:rPr>
                <w:rFonts w:ascii="Arial" w:hAnsi="Arial" w:cs="Arial"/>
                <w:b/>
                <w:bCs/>
                <w:color w:val="000000"/>
                <w:sz w:val="18"/>
                <w:highlight w:val="yellow"/>
                <w:lang w:eastAsia="es-AR"/>
              </w:rPr>
            </w:pPr>
            <w:r w:rsidRPr="00613EB0">
              <w:rPr>
                <w:rFonts w:ascii="Arial" w:hAnsi="Arial" w:cs="Arial"/>
                <w:b/>
                <w:bCs/>
                <w:color w:val="000000"/>
                <w:sz w:val="18"/>
                <w:lang w:eastAsia="es-AR"/>
              </w:rPr>
              <w:t>31/12/201</w:t>
            </w:r>
            <w:r>
              <w:rPr>
                <w:rFonts w:ascii="Arial" w:hAnsi="Arial" w:cs="Arial"/>
                <w:b/>
                <w:bCs/>
                <w:color w:val="000000"/>
                <w:sz w:val="18"/>
                <w:lang w:eastAsia="es-AR"/>
              </w:rPr>
              <w:t>9</w:t>
            </w:r>
          </w:p>
        </w:tc>
        <w:tc>
          <w:tcPr>
            <w:tcW w:w="1799" w:type="dxa"/>
            <w:tcBorders>
              <w:top w:val="single" w:sz="4" w:space="0" w:color="auto"/>
              <w:left w:val="nil"/>
              <w:bottom w:val="single" w:sz="4" w:space="0" w:color="auto"/>
              <w:right w:val="single" w:sz="4" w:space="0" w:color="auto"/>
            </w:tcBorders>
            <w:shd w:val="clear" w:color="auto" w:fill="auto"/>
            <w:noWrap/>
            <w:vAlign w:val="bottom"/>
            <w:hideMark/>
          </w:tcPr>
          <w:p w14:paraId="001BD369" w14:textId="0307108F" w:rsidR="00C11CA1" w:rsidRPr="00701F32" w:rsidRDefault="00C11CA1" w:rsidP="00DF0784">
            <w:pPr>
              <w:jc w:val="center"/>
              <w:rPr>
                <w:rFonts w:ascii="Arial" w:hAnsi="Arial" w:cs="Arial"/>
                <w:b/>
                <w:bCs/>
                <w:color w:val="000000"/>
                <w:sz w:val="18"/>
                <w:lang w:eastAsia="es-AR"/>
              </w:rPr>
            </w:pPr>
            <w:r w:rsidRPr="00701F32">
              <w:rPr>
                <w:rFonts w:ascii="Arial" w:hAnsi="Arial" w:cs="Arial"/>
                <w:b/>
                <w:bCs/>
                <w:color w:val="000000"/>
                <w:sz w:val="18"/>
                <w:lang w:eastAsia="es-AR"/>
              </w:rPr>
              <w:t>3</w:t>
            </w:r>
            <w:r>
              <w:rPr>
                <w:rFonts w:ascii="Arial" w:hAnsi="Arial" w:cs="Arial"/>
                <w:b/>
                <w:bCs/>
                <w:color w:val="000000"/>
                <w:sz w:val="18"/>
                <w:lang w:eastAsia="es-AR"/>
              </w:rPr>
              <w:t>1</w:t>
            </w:r>
            <w:r w:rsidRPr="00701F32">
              <w:rPr>
                <w:rFonts w:ascii="Arial" w:hAnsi="Arial" w:cs="Arial"/>
                <w:b/>
                <w:bCs/>
                <w:color w:val="000000"/>
                <w:sz w:val="18"/>
                <w:lang w:eastAsia="es-AR"/>
              </w:rPr>
              <w:t>/</w:t>
            </w:r>
            <w:r>
              <w:rPr>
                <w:rFonts w:ascii="Arial" w:hAnsi="Arial" w:cs="Arial"/>
                <w:b/>
                <w:bCs/>
                <w:color w:val="000000"/>
                <w:sz w:val="18"/>
                <w:lang w:eastAsia="es-AR"/>
              </w:rPr>
              <w:t>12</w:t>
            </w:r>
            <w:r w:rsidRPr="00701F32">
              <w:rPr>
                <w:rFonts w:ascii="Arial" w:hAnsi="Arial" w:cs="Arial"/>
                <w:b/>
                <w:bCs/>
                <w:color w:val="000000"/>
                <w:sz w:val="18"/>
                <w:lang w:eastAsia="es-AR"/>
              </w:rPr>
              <w:t>/201</w:t>
            </w:r>
            <w:r>
              <w:rPr>
                <w:rFonts w:ascii="Arial" w:hAnsi="Arial" w:cs="Arial"/>
                <w:b/>
                <w:bCs/>
                <w:color w:val="000000"/>
                <w:sz w:val="18"/>
                <w:lang w:eastAsia="es-AR"/>
              </w:rPr>
              <w:t>8</w:t>
            </w:r>
          </w:p>
        </w:tc>
      </w:tr>
      <w:tr w:rsidR="004D6AF3" w:rsidRPr="00701F32" w14:paraId="4ED2A02C" w14:textId="77777777" w:rsidTr="00DF0784">
        <w:trPr>
          <w:trHeight w:val="266"/>
        </w:trPr>
        <w:tc>
          <w:tcPr>
            <w:tcW w:w="5094" w:type="dxa"/>
            <w:tcBorders>
              <w:top w:val="single" w:sz="4" w:space="0" w:color="auto"/>
              <w:left w:val="single" w:sz="4" w:space="0" w:color="auto"/>
              <w:bottom w:val="nil"/>
              <w:right w:val="nil"/>
            </w:tcBorders>
            <w:shd w:val="clear" w:color="auto" w:fill="auto"/>
            <w:noWrap/>
            <w:vAlign w:val="bottom"/>
            <w:hideMark/>
          </w:tcPr>
          <w:p w14:paraId="3A0B8984" w14:textId="77777777" w:rsidR="004D6AF3" w:rsidRPr="00701F32" w:rsidRDefault="004D6AF3" w:rsidP="004D6AF3">
            <w:pPr>
              <w:jc w:val="both"/>
              <w:rPr>
                <w:rFonts w:ascii="Arial" w:hAnsi="Arial" w:cs="Arial"/>
                <w:color w:val="000000"/>
                <w:sz w:val="18"/>
                <w:lang w:eastAsia="es-AR"/>
              </w:rPr>
            </w:pPr>
            <w:r w:rsidRPr="00701F32">
              <w:rPr>
                <w:rFonts w:ascii="Arial" w:hAnsi="Arial" w:cs="Arial"/>
                <w:color w:val="000000"/>
                <w:sz w:val="18"/>
                <w:lang w:eastAsia="es-AR"/>
              </w:rPr>
              <w:t>Impuesto ganancias corriente</w:t>
            </w:r>
          </w:p>
        </w:tc>
        <w:tc>
          <w:tcPr>
            <w:tcW w:w="1799" w:type="dxa"/>
            <w:tcBorders>
              <w:top w:val="single" w:sz="4" w:space="0" w:color="auto"/>
              <w:left w:val="single" w:sz="4" w:space="0" w:color="auto"/>
              <w:bottom w:val="nil"/>
              <w:right w:val="single" w:sz="4" w:space="0" w:color="auto"/>
            </w:tcBorders>
            <w:shd w:val="clear" w:color="auto" w:fill="auto"/>
            <w:noWrap/>
            <w:vAlign w:val="bottom"/>
          </w:tcPr>
          <w:p w14:paraId="67A7503D" w14:textId="757F40BF" w:rsidR="004D6AF3" w:rsidRPr="00613EB0" w:rsidRDefault="004D6AF3">
            <w:pPr>
              <w:jc w:val="right"/>
              <w:rPr>
                <w:rFonts w:ascii="Arial" w:hAnsi="Arial" w:cs="Arial"/>
                <w:color w:val="000000"/>
                <w:sz w:val="18"/>
                <w:lang w:eastAsia="es-AR"/>
              </w:rPr>
            </w:pPr>
            <w:r>
              <w:rPr>
                <w:rFonts w:ascii="Arial" w:hAnsi="Arial" w:cs="Arial"/>
                <w:color w:val="000000"/>
                <w:sz w:val="20"/>
              </w:rPr>
              <w:t xml:space="preserve">-995.546 </w:t>
            </w:r>
          </w:p>
        </w:tc>
        <w:tc>
          <w:tcPr>
            <w:tcW w:w="1799" w:type="dxa"/>
            <w:tcBorders>
              <w:top w:val="single" w:sz="4" w:space="0" w:color="auto"/>
              <w:left w:val="nil"/>
              <w:bottom w:val="nil"/>
              <w:right w:val="single" w:sz="4" w:space="0" w:color="auto"/>
            </w:tcBorders>
            <w:shd w:val="clear" w:color="auto" w:fill="auto"/>
            <w:noWrap/>
            <w:vAlign w:val="bottom"/>
          </w:tcPr>
          <w:p w14:paraId="18BE1259" w14:textId="2DE3C896" w:rsidR="004D6AF3" w:rsidRPr="00701F32" w:rsidRDefault="004D6AF3">
            <w:pPr>
              <w:jc w:val="right"/>
              <w:rPr>
                <w:rFonts w:ascii="Arial" w:hAnsi="Arial" w:cs="Arial"/>
                <w:color w:val="000000"/>
                <w:sz w:val="18"/>
                <w:lang w:eastAsia="es-AR"/>
              </w:rPr>
            </w:pPr>
            <w:r>
              <w:rPr>
                <w:rFonts w:ascii="Arial" w:hAnsi="Arial" w:cs="Arial"/>
                <w:color w:val="000000"/>
                <w:sz w:val="20"/>
              </w:rPr>
              <w:t xml:space="preserve">385.763 </w:t>
            </w:r>
          </w:p>
        </w:tc>
      </w:tr>
      <w:tr w:rsidR="004D6AF3" w:rsidRPr="00701F32" w14:paraId="42C21F14" w14:textId="77777777" w:rsidTr="00DF0784">
        <w:trPr>
          <w:trHeight w:val="266"/>
        </w:trPr>
        <w:tc>
          <w:tcPr>
            <w:tcW w:w="5094" w:type="dxa"/>
            <w:tcBorders>
              <w:top w:val="nil"/>
              <w:left w:val="single" w:sz="4" w:space="0" w:color="auto"/>
              <w:bottom w:val="nil"/>
              <w:right w:val="nil"/>
            </w:tcBorders>
            <w:shd w:val="clear" w:color="auto" w:fill="auto"/>
            <w:noWrap/>
            <w:vAlign w:val="bottom"/>
            <w:hideMark/>
          </w:tcPr>
          <w:p w14:paraId="01578889" w14:textId="16DCD4B1" w:rsidR="004D6AF3" w:rsidRPr="00701F32" w:rsidRDefault="004D6AF3" w:rsidP="004D6AF3">
            <w:pPr>
              <w:jc w:val="both"/>
              <w:rPr>
                <w:rFonts w:ascii="Arial" w:hAnsi="Arial" w:cs="Arial"/>
                <w:color w:val="000000"/>
                <w:sz w:val="18"/>
                <w:lang w:eastAsia="es-AR"/>
              </w:rPr>
            </w:pPr>
            <w:r w:rsidRPr="00701F32">
              <w:rPr>
                <w:rFonts w:ascii="Arial" w:hAnsi="Arial" w:cs="Arial"/>
                <w:color w:val="000000"/>
                <w:sz w:val="18"/>
                <w:lang w:eastAsia="es-AR"/>
              </w:rPr>
              <w:t xml:space="preserve">Impuesto </w:t>
            </w:r>
            <w:r>
              <w:rPr>
                <w:rFonts w:ascii="Arial" w:hAnsi="Arial" w:cs="Arial"/>
                <w:color w:val="000000"/>
                <w:sz w:val="18"/>
                <w:lang w:eastAsia="es-AR"/>
              </w:rPr>
              <w:t xml:space="preserve">a las ganancias </w:t>
            </w:r>
            <w:r w:rsidRPr="00701F32">
              <w:rPr>
                <w:rFonts w:ascii="Arial" w:hAnsi="Arial" w:cs="Arial"/>
                <w:color w:val="000000"/>
                <w:sz w:val="18"/>
                <w:lang w:eastAsia="es-AR"/>
              </w:rPr>
              <w:t>- método diferido</w:t>
            </w:r>
          </w:p>
        </w:tc>
        <w:tc>
          <w:tcPr>
            <w:tcW w:w="1799" w:type="dxa"/>
            <w:tcBorders>
              <w:top w:val="nil"/>
              <w:left w:val="single" w:sz="4" w:space="0" w:color="auto"/>
              <w:bottom w:val="nil"/>
              <w:right w:val="single" w:sz="4" w:space="0" w:color="auto"/>
            </w:tcBorders>
            <w:shd w:val="clear" w:color="auto" w:fill="auto"/>
            <w:noWrap/>
            <w:vAlign w:val="bottom"/>
          </w:tcPr>
          <w:p w14:paraId="161DAD5D" w14:textId="1692FD3C" w:rsidR="004D6AF3" w:rsidRPr="00613EB0" w:rsidRDefault="004D6AF3">
            <w:pPr>
              <w:jc w:val="right"/>
              <w:rPr>
                <w:rFonts w:ascii="Arial" w:hAnsi="Arial" w:cs="Arial"/>
                <w:color w:val="000000"/>
                <w:sz w:val="18"/>
                <w:lang w:eastAsia="es-AR"/>
              </w:rPr>
            </w:pPr>
            <w:r>
              <w:rPr>
                <w:rFonts w:ascii="Arial" w:hAnsi="Arial" w:cs="Arial"/>
                <w:color w:val="000000"/>
                <w:sz w:val="20"/>
              </w:rPr>
              <w:t xml:space="preserve">604.241 </w:t>
            </w:r>
          </w:p>
        </w:tc>
        <w:tc>
          <w:tcPr>
            <w:tcW w:w="1799" w:type="dxa"/>
            <w:tcBorders>
              <w:top w:val="nil"/>
              <w:left w:val="nil"/>
              <w:bottom w:val="nil"/>
              <w:right w:val="single" w:sz="4" w:space="0" w:color="auto"/>
            </w:tcBorders>
            <w:shd w:val="clear" w:color="auto" w:fill="auto"/>
            <w:noWrap/>
            <w:vAlign w:val="bottom"/>
          </w:tcPr>
          <w:p w14:paraId="0B90881B" w14:textId="20099900" w:rsidR="004D6AF3" w:rsidRPr="00701F32" w:rsidRDefault="004D6AF3">
            <w:pPr>
              <w:jc w:val="right"/>
              <w:rPr>
                <w:rFonts w:ascii="Arial" w:hAnsi="Arial" w:cs="Arial"/>
                <w:color w:val="000000"/>
                <w:sz w:val="18"/>
                <w:lang w:eastAsia="es-AR"/>
              </w:rPr>
            </w:pPr>
            <w:r>
              <w:rPr>
                <w:rFonts w:ascii="Arial" w:hAnsi="Arial" w:cs="Arial"/>
                <w:color w:val="000000"/>
                <w:sz w:val="20"/>
              </w:rPr>
              <w:t xml:space="preserve">366.447 </w:t>
            </w:r>
          </w:p>
        </w:tc>
      </w:tr>
      <w:tr w:rsidR="004D6AF3" w:rsidRPr="00701F32" w14:paraId="1312C6F5" w14:textId="77777777" w:rsidTr="00DF0784">
        <w:trPr>
          <w:trHeight w:val="266"/>
        </w:trPr>
        <w:tc>
          <w:tcPr>
            <w:tcW w:w="5094" w:type="dxa"/>
            <w:tcBorders>
              <w:top w:val="single" w:sz="4" w:space="0" w:color="auto"/>
              <w:left w:val="single" w:sz="4" w:space="0" w:color="auto"/>
              <w:bottom w:val="single" w:sz="4" w:space="0" w:color="auto"/>
              <w:right w:val="nil"/>
            </w:tcBorders>
            <w:shd w:val="clear" w:color="auto" w:fill="auto"/>
            <w:noWrap/>
            <w:vAlign w:val="bottom"/>
            <w:hideMark/>
          </w:tcPr>
          <w:p w14:paraId="467A7995" w14:textId="77777777" w:rsidR="004D6AF3" w:rsidRPr="00701F32" w:rsidRDefault="004D6AF3" w:rsidP="004D6AF3">
            <w:pPr>
              <w:jc w:val="both"/>
              <w:rPr>
                <w:rFonts w:ascii="Arial" w:hAnsi="Arial" w:cs="Arial"/>
                <w:b/>
                <w:bCs/>
                <w:color w:val="000000"/>
                <w:sz w:val="18"/>
                <w:lang w:eastAsia="es-AR"/>
              </w:rPr>
            </w:pPr>
            <w:r w:rsidRPr="00701F32">
              <w:rPr>
                <w:rFonts w:ascii="Arial" w:hAnsi="Arial" w:cs="Arial"/>
                <w:b/>
                <w:bCs/>
                <w:color w:val="000000"/>
                <w:sz w:val="18"/>
                <w:lang w:eastAsia="es-AR"/>
              </w:rPr>
              <w:t>Subtotal</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728E3" w14:textId="2B3F634D" w:rsidR="004D6AF3" w:rsidRPr="00DD4691" w:rsidRDefault="004D6AF3">
            <w:pPr>
              <w:jc w:val="right"/>
              <w:rPr>
                <w:rFonts w:ascii="Arial" w:hAnsi="Arial" w:cs="Arial"/>
                <w:b/>
                <w:bCs/>
                <w:color w:val="000000"/>
                <w:sz w:val="18"/>
                <w:highlight w:val="yellow"/>
                <w:lang w:eastAsia="es-AR"/>
              </w:rPr>
            </w:pPr>
            <w:r>
              <w:rPr>
                <w:rFonts w:ascii="Arial" w:hAnsi="Arial" w:cs="Arial"/>
                <w:b/>
                <w:bCs/>
                <w:color w:val="000000"/>
                <w:sz w:val="20"/>
              </w:rPr>
              <w:t xml:space="preserve">-391.305 </w:t>
            </w:r>
          </w:p>
        </w:tc>
        <w:tc>
          <w:tcPr>
            <w:tcW w:w="1799" w:type="dxa"/>
            <w:tcBorders>
              <w:top w:val="single" w:sz="4" w:space="0" w:color="auto"/>
              <w:left w:val="nil"/>
              <w:bottom w:val="single" w:sz="4" w:space="0" w:color="auto"/>
              <w:right w:val="single" w:sz="4" w:space="0" w:color="auto"/>
            </w:tcBorders>
            <w:shd w:val="clear" w:color="auto" w:fill="auto"/>
            <w:noWrap/>
            <w:vAlign w:val="bottom"/>
          </w:tcPr>
          <w:p w14:paraId="39086B8D" w14:textId="2E849B86" w:rsidR="004D6AF3" w:rsidRPr="00701F32" w:rsidRDefault="004D6AF3">
            <w:pPr>
              <w:jc w:val="right"/>
              <w:rPr>
                <w:rFonts w:ascii="Arial" w:hAnsi="Arial" w:cs="Arial"/>
                <w:b/>
                <w:bCs/>
                <w:color w:val="000000"/>
                <w:sz w:val="18"/>
                <w:lang w:eastAsia="es-AR"/>
              </w:rPr>
            </w:pPr>
            <w:r>
              <w:rPr>
                <w:rFonts w:ascii="Arial" w:hAnsi="Arial" w:cs="Arial"/>
                <w:b/>
                <w:bCs/>
                <w:color w:val="000000"/>
                <w:sz w:val="20"/>
              </w:rPr>
              <w:t xml:space="preserve">752.210 </w:t>
            </w:r>
          </w:p>
        </w:tc>
      </w:tr>
      <w:tr w:rsidR="004D6AF3" w:rsidRPr="00701F32" w14:paraId="783E3EAA" w14:textId="77777777" w:rsidTr="00A059FB">
        <w:trPr>
          <w:trHeight w:val="266"/>
        </w:trPr>
        <w:tc>
          <w:tcPr>
            <w:tcW w:w="5094" w:type="dxa"/>
            <w:tcBorders>
              <w:top w:val="nil"/>
              <w:left w:val="single" w:sz="4" w:space="0" w:color="auto"/>
              <w:bottom w:val="nil"/>
              <w:right w:val="nil"/>
            </w:tcBorders>
            <w:shd w:val="clear" w:color="auto" w:fill="auto"/>
            <w:noWrap/>
            <w:vAlign w:val="center"/>
            <w:hideMark/>
          </w:tcPr>
          <w:p w14:paraId="52676A76" w14:textId="4E4AF374" w:rsidR="004D6AF3" w:rsidRPr="00701F32" w:rsidRDefault="004D6AF3" w:rsidP="004D6AF3">
            <w:pPr>
              <w:jc w:val="both"/>
              <w:rPr>
                <w:rFonts w:ascii="Arial" w:hAnsi="Arial" w:cs="Arial"/>
                <w:color w:val="000000"/>
                <w:sz w:val="18"/>
                <w:lang w:eastAsia="es-AR"/>
              </w:rPr>
            </w:pPr>
            <w:r>
              <w:rPr>
                <w:rFonts w:ascii="Arial" w:hAnsi="Arial" w:cs="Arial"/>
                <w:b/>
                <w:bCs/>
                <w:color w:val="000000"/>
                <w:sz w:val="20"/>
              </w:rPr>
              <w:t>Subtotal – Impuesto a las ganancias imputado en el Estado de Resultados</w:t>
            </w:r>
          </w:p>
        </w:tc>
        <w:tc>
          <w:tcPr>
            <w:tcW w:w="1799" w:type="dxa"/>
            <w:tcBorders>
              <w:top w:val="nil"/>
              <w:left w:val="single" w:sz="4" w:space="0" w:color="auto"/>
              <w:bottom w:val="nil"/>
              <w:right w:val="single" w:sz="4" w:space="0" w:color="auto"/>
            </w:tcBorders>
            <w:shd w:val="clear" w:color="auto" w:fill="auto"/>
            <w:noWrap/>
            <w:vAlign w:val="bottom"/>
          </w:tcPr>
          <w:p w14:paraId="646C1951" w14:textId="2C6A97E3" w:rsidR="004D6AF3" w:rsidRPr="00613EB0" w:rsidRDefault="004D6AF3">
            <w:pPr>
              <w:jc w:val="right"/>
              <w:rPr>
                <w:rFonts w:ascii="Arial" w:hAnsi="Arial" w:cs="Arial"/>
                <w:color w:val="000000"/>
                <w:sz w:val="18"/>
                <w:lang w:eastAsia="es-AR"/>
              </w:rPr>
            </w:pPr>
            <w:r>
              <w:rPr>
                <w:rFonts w:ascii="Arial" w:hAnsi="Arial" w:cs="Arial"/>
                <w:color w:val="000000"/>
                <w:sz w:val="20"/>
              </w:rPr>
              <w:t xml:space="preserve">-544.068 </w:t>
            </w:r>
          </w:p>
        </w:tc>
        <w:tc>
          <w:tcPr>
            <w:tcW w:w="1799" w:type="dxa"/>
            <w:tcBorders>
              <w:top w:val="nil"/>
              <w:left w:val="nil"/>
              <w:bottom w:val="nil"/>
              <w:right w:val="single" w:sz="4" w:space="0" w:color="auto"/>
            </w:tcBorders>
            <w:shd w:val="clear" w:color="auto" w:fill="auto"/>
            <w:noWrap/>
            <w:vAlign w:val="bottom"/>
          </w:tcPr>
          <w:p w14:paraId="22141A36" w14:textId="1051A4C7" w:rsidR="004D6AF3" w:rsidRPr="00701F32" w:rsidRDefault="004D6AF3">
            <w:pPr>
              <w:jc w:val="right"/>
              <w:rPr>
                <w:rFonts w:ascii="Arial" w:hAnsi="Arial" w:cs="Arial"/>
                <w:color w:val="000000"/>
                <w:sz w:val="18"/>
                <w:lang w:eastAsia="es-AR"/>
              </w:rPr>
            </w:pPr>
            <w:r>
              <w:rPr>
                <w:rFonts w:ascii="Arial" w:hAnsi="Arial" w:cs="Arial"/>
                <w:color w:val="000000"/>
                <w:sz w:val="20"/>
              </w:rPr>
              <w:t xml:space="preserve">604.768 </w:t>
            </w:r>
          </w:p>
        </w:tc>
      </w:tr>
      <w:tr w:rsidR="004D6AF3" w:rsidRPr="00701F32" w14:paraId="3E30EBEE" w14:textId="77777777" w:rsidTr="00A059FB">
        <w:trPr>
          <w:trHeight w:val="266"/>
        </w:trPr>
        <w:tc>
          <w:tcPr>
            <w:tcW w:w="5094" w:type="dxa"/>
            <w:tcBorders>
              <w:top w:val="nil"/>
              <w:left w:val="single" w:sz="4" w:space="0" w:color="auto"/>
              <w:bottom w:val="nil"/>
              <w:right w:val="nil"/>
            </w:tcBorders>
            <w:shd w:val="clear" w:color="auto" w:fill="auto"/>
            <w:noWrap/>
            <w:vAlign w:val="center"/>
            <w:hideMark/>
          </w:tcPr>
          <w:p w14:paraId="06F6F0AE" w14:textId="5C26F290" w:rsidR="004D6AF3" w:rsidRPr="00701F32" w:rsidRDefault="004D6AF3" w:rsidP="004D6AF3">
            <w:pPr>
              <w:jc w:val="both"/>
              <w:rPr>
                <w:rFonts w:ascii="Arial" w:hAnsi="Arial" w:cs="Arial"/>
                <w:color w:val="000000"/>
                <w:sz w:val="18"/>
                <w:lang w:eastAsia="es-AR"/>
              </w:rPr>
            </w:pPr>
            <w:r>
              <w:rPr>
                <w:rFonts w:ascii="Arial" w:hAnsi="Arial" w:cs="Arial"/>
                <w:b/>
                <w:bCs/>
                <w:color w:val="000000"/>
                <w:sz w:val="20"/>
                <w:lang w:val="es-ES"/>
              </w:rPr>
              <w:t>Subtotal – Impuesto a las ganancias imputado en Otros resultados integrales</w:t>
            </w:r>
          </w:p>
        </w:tc>
        <w:tc>
          <w:tcPr>
            <w:tcW w:w="1799" w:type="dxa"/>
            <w:tcBorders>
              <w:top w:val="nil"/>
              <w:left w:val="single" w:sz="4" w:space="0" w:color="auto"/>
              <w:bottom w:val="nil"/>
              <w:right w:val="single" w:sz="4" w:space="0" w:color="auto"/>
            </w:tcBorders>
            <w:shd w:val="clear" w:color="auto" w:fill="auto"/>
            <w:noWrap/>
            <w:vAlign w:val="bottom"/>
          </w:tcPr>
          <w:p w14:paraId="4A7BEC7F" w14:textId="40AA2DDA" w:rsidR="004D6AF3" w:rsidRPr="00613EB0" w:rsidRDefault="004D6AF3">
            <w:pPr>
              <w:jc w:val="right"/>
              <w:rPr>
                <w:rFonts w:ascii="Arial" w:hAnsi="Arial" w:cs="Arial"/>
                <w:color w:val="000000"/>
                <w:sz w:val="18"/>
                <w:lang w:eastAsia="es-AR"/>
              </w:rPr>
            </w:pPr>
            <w:r>
              <w:rPr>
                <w:rFonts w:ascii="Arial" w:hAnsi="Arial" w:cs="Arial"/>
                <w:color w:val="000000"/>
                <w:sz w:val="20"/>
              </w:rPr>
              <w:t xml:space="preserve">152.763 </w:t>
            </w:r>
          </w:p>
        </w:tc>
        <w:tc>
          <w:tcPr>
            <w:tcW w:w="1799" w:type="dxa"/>
            <w:tcBorders>
              <w:top w:val="nil"/>
              <w:left w:val="nil"/>
              <w:bottom w:val="nil"/>
              <w:right w:val="single" w:sz="4" w:space="0" w:color="auto"/>
            </w:tcBorders>
            <w:shd w:val="clear" w:color="auto" w:fill="auto"/>
            <w:noWrap/>
            <w:vAlign w:val="bottom"/>
          </w:tcPr>
          <w:p w14:paraId="0F2CA133" w14:textId="5BADD68A" w:rsidR="004D6AF3" w:rsidRPr="00701F32" w:rsidRDefault="004D6AF3">
            <w:pPr>
              <w:jc w:val="right"/>
              <w:rPr>
                <w:rFonts w:ascii="Arial" w:hAnsi="Arial" w:cs="Arial"/>
                <w:color w:val="000000"/>
                <w:sz w:val="18"/>
                <w:lang w:eastAsia="es-AR"/>
              </w:rPr>
            </w:pPr>
            <w:r>
              <w:rPr>
                <w:rFonts w:ascii="Arial" w:hAnsi="Arial" w:cs="Arial"/>
                <w:b/>
                <w:bCs/>
                <w:color w:val="000000"/>
                <w:sz w:val="20"/>
              </w:rPr>
              <w:t xml:space="preserve">147.442 </w:t>
            </w:r>
          </w:p>
        </w:tc>
      </w:tr>
      <w:tr w:rsidR="004D6AF3" w:rsidRPr="00701F32" w14:paraId="30C9EA60" w14:textId="77777777" w:rsidTr="00A059FB">
        <w:trPr>
          <w:trHeight w:val="266"/>
        </w:trPr>
        <w:tc>
          <w:tcPr>
            <w:tcW w:w="5094" w:type="dxa"/>
            <w:tcBorders>
              <w:top w:val="single" w:sz="4" w:space="0" w:color="auto"/>
              <w:left w:val="single" w:sz="4" w:space="0" w:color="auto"/>
              <w:bottom w:val="single" w:sz="4" w:space="0" w:color="auto"/>
              <w:right w:val="nil"/>
            </w:tcBorders>
            <w:shd w:val="clear" w:color="auto" w:fill="auto"/>
            <w:noWrap/>
            <w:vAlign w:val="center"/>
            <w:hideMark/>
          </w:tcPr>
          <w:p w14:paraId="75D7F175" w14:textId="370C5DE0" w:rsidR="004D6AF3" w:rsidRPr="00701F32" w:rsidRDefault="004D6AF3" w:rsidP="004D6AF3">
            <w:pPr>
              <w:jc w:val="both"/>
              <w:rPr>
                <w:rFonts w:ascii="Arial" w:hAnsi="Arial" w:cs="Arial"/>
                <w:b/>
                <w:bCs/>
                <w:color w:val="000000"/>
                <w:sz w:val="18"/>
                <w:lang w:eastAsia="es-AR"/>
              </w:rPr>
            </w:pPr>
            <w:r>
              <w:rPr>
                <w:rFonts w:ascii="Arial" w:hAnsi="Arial" w:cs="Arial"/>
                <w:b/>
                <w:bCs/>
                <w:color w:val="000000"/>
                <w:sz w:val="20"/>
                <w:lang w:val="es-ES"/>
              </w:rPr>
              <w:t>Total Cargo Impuesto a las Ganancias</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571A33" w14:textId="707A29DF" w:rsidR="004D6AF3" w:rsidRPr="00613EB0" w:rsidRDefault="004D6AF3">
            <w:pPr>
              <w:jc w:val="right"/>
              <w:rPr>
                <w:rFonts w:ascii="Arial" w:hAnsi="Arial" w:cs="Arial"/>
                <w:b/>
                <w:color w:val="000000"/>
                <w:sz w:val="18"/>
                <w:lang w:eastAsia="es-AR"/>
              </w:rPr>
            </w:pPr>
            <w:r>
              <w:rPr>
                <w:rFonts w:ascii="Arial" w:hAnsi="Arial" w:cs="Arial"/>
                <w:b/>
                <w:bCs/>
                <w:color w:val="000000"/>
                <w:sz w:val="20"/>
              </w:rPr>
              <w:t xml:space="preserve">-391.305 </w:t>
            </w:r>
          </w:p>
        </w:tc>
        <w:tc>
          <w:tcPr>
            <w:tcW w:w="1799" w:type="dxa"/>
            <w:tcBorders>
              <w:top w:val="single" w:sz="4" w:space="0" w:color="auto"/>
              <w:left w:val="nil"/>
              <w:bottom w:val="single" w:sz="4" w:space="0" w:color="auto"/>
              <w:right w:val="single" w:sz="4" w:space="0" w:color="auto"/>
            </w:tcBorders>
            <w:shd w:val="clear" w:color="auto" w:fill="auto"/>
            <w:noWrap/>
            <w:vAlign w:val="bottom"/>
          </w:tcPr>
          <w:p w14:paraId="40950ABE" w14:textId="19A54580" w:rsidR="004D6AF3" w:rsidRPr="00701F32" w:rsidRDefault="004D6AF3">
            <w:pPr>
              <w:jc w:val="right"/>
              <w:rPr>
                <w:rFonts w:ascii="Arial" w:hAnsi="Arial" w:cs="Arial"/>
                <w:b/>
                <w:color w:val="000000"/>
                <w:sz w:val="18"/>
                <w:lang w:val="es-ES_tradnl" w:eastAsia="es-AR"/>
              </w:rPr>
            </w:pPr>
            <w:r>
              <w:rPr>
                <w:rFonts w:ascii="Arial" w:hAnsi="Arial" w:cs="Arial"/>
                <w:b/>
                <w:bCs/>
                <w:color w:val="000000"/>
                <w:sz w:val="20"/>
              </w:rPr>
              <w:t xml:space="preserve">752.210 </w:t>
            </w:r>
          </w:p>
        </w:tc>
      </w:tr>
    </w:tbl>
    <w:p w14:paraId="4D312610" w14:textId="77777777" w:rsidR="00C11CA1" w:rsidRPr="00701F32" w:rsidRDefault="00C11CA1" w:rsidP="00C11CA1">
      <w:pPr>
        <w:spacing w:after="120"/>
        <w:jc w:val="both"/>
        <w:rPr>
          <w:rFonts w:ascii="Arial" w:eastAsia="SimSun" w:hAnsi="Arial" w:cs="Arial"/>
          <w:sz w:val="20"/>
          <w:lang w:eastAsia="zh-CN"/>
        </w:rPr>
      </w:pPr>
    </w:p>
    <w:p w14:paraId="718E0EB3" w14:textId="00CDC592" w:rsidR="00C11CA1" w:rsidRDefault="00C11CA1" w:rsidP="00C11CA1">
      <w:pPr>
        <w:spacing w:after="120"/>
        <w:jc w:val="both"/>
        <w:rPr>
          <w:rFonts w:ascii="Arial" w:eastAsia="SimSun" w:hAnsi="Arial" w:cs="Arial"/>
          <w:sz w:val="20"/>
          <w:lang w:eastAsia="zh-CN"/>
        </w:rPr>
      </w:pPr>
      <w:r w:rsidRPr="00701F32">
        <w:rPr>
          <w:rFonts w:ascii="Arial" w:eastAsia="SimSun" w:hAnsi="Arial" w:cs="Arial"/>
          <w:sz w:val="20"/>
          <w:lang w:eastAsia="zh-CN"/>
        </w:rPr>
        <w:t>A continuación, se presenta una conciliación entre el impuesto a las ganancias cargado a resultados al 3</w:t>
      </w:r>
      <w:r>
        <w:rPr>
          <w:rFonts w:ascii="Arial" w:eastAsia="SimSun" w:hAnsi="Arial" w:cs="Arial"/>
          <w:sz w:val="20"/>
          <w:lang w:eastAsia="zh-CN"/>
        </w:rPr>
        <w:t>1</w:t>
      </w:r>
      <w:r w:rsidRPr="00701F32">
        <w:rPr>
          <w:rFonts w:ascii="Arial" w:eastAsia="SimSun" w:hAnsi="Arial" w:cs="Arial"/>
          <w:sz w:val="20"/>
          <w:lang w:eastAsia="zh-CN"/>
        </w:rPr>
        <w:t xml:space="preserve"> de </w:t>
      </w:r>
      <w:r>
        <w:rPr>
          <w:rFonts w:ascii="Arial" w:eastAsia="SimSun" w:hAnsi="Arial" w:cs="Arial"/>
          <w:sz w:val="20"/>
          <w:lang w:eastAsia="zh-CN"/>
        </w:rPr>
        <w:t>diciembre</w:t>
      </w:r>
      <w:r w:rsidRPr="00701F32">
        <w:rPr>
          <w:rFonts w:ascii="Arial" w:eastAsia="SimSun" w:hAnsi="Arial" w:cs="Arial"/>
          <w:sz w:val="20"/>
          <w:lang w:eastAsia="zh-CN"/>
        </w:rPr>
        <w:t xml:space="preserve"> de 201</w:t>
      </w:r>
      <w:r>
        <w:rPr>
          <w:rFonts w:ascii="Arial" w:eastAsia="SimSun" w:hAnsi="Arial" w:cs="Arial"/>
          <w:sz w:val="20"/>
          <w:lang w:eastAsia="zh-CN"/>
        </w:rPr>
        <w:t>9</w:t>
      </w:r>
      <w:r w:rsidRPr="00701F32">
        <w:rPr>
          <w:rFonts w:ascii="Arial" w:eastAsia="SimSun" w:hAnsi="Arial" w:cs="Arial"/>
          <w:sz w:val="20"/>
          <w:lang w:eastAsia="zh-CN"/>
        </w:rPr>
        <w:t xml:space="preserve"> y 201</w:t>
      </w:r>
      <w:r>
        <w:rPr>
          <w:rFonts w:ascii="Arial" w:eastAsia="SimSun" w:hAnsi="Arial" w:cs="Arial"/>
          <w:sz w:val="20"/>
          <w:lang w:eastAsia="zh-CN"/>
        </w:rPr>
        <w:t>8</w:t>
      </w:r>
      <w:r w:rsidRPr="00701F32">
        <w:rPr>
          <w:rFonts w:ascii="Arial" w:eastAsia="SimSun" w:hAnsi="Arial" w:cs="Arial"/>
          <w:sz w:val="20"/>
          <w:lang w:eastAsia="zh-CN"/>
        </w:rPr>
        <w:t xml:space="preserve"> y el que resultaría de aplicar la tasa del impuesto vigente sobre la utilidad contable:</w:t>
      </w:r>
    </w:p>
    <w:p w14:paraId="71D6CF87" w14:textId="77777777" w:rsidR="00C11CA1" w:rsidRPr="00701F32" w:rsidRDefault="00C11CA1" w:rsidP="00C11CA1">
      <w:pPr>
        <w:spacing w:after="120"/>
        <w:jc w:val="both"/>
        <w:rPr>
          <w:rFonts w:ascii="Arial" w:eastAsia="SimSun" w:hAnsi="Arial" w:cs="Arial"/>
          <w:sz w:val="20"/>
          <w:lang w:eastAsia="zh-CN"/>
        </w:rPr>
      </w:pPr>
    </w:p>
    <w:tbl>
      <w:tblPr>
        <w:tblW w:w="8462" w:type="dxa"/>
        <w:jc w:val="center"/>
        <w:tblCellMar>
          <w:left w:w="70" w:type="dxa"/>
          <w:right w:w="70" w:type="dxa"/>
        </w:tblCellMar>
        <w:tblLook w:val="04A0" w:firstRow="1" w:lastRow="0" w:firstColumn="1" w:lastColumn="0" w:noHBand="0" w:noVBand="1"/>
      </w:tblPr>
      <w:tblGrid>
        <w:gridCol w:w="5126"/>
        <w:gridCol w:w="1668"/>
        <w:gridCol w:w="1668"/>
      </w:tblGrid>
      <w:tr w:rsidR="00C11CA1" w:rsidRPr="00701F32" w14:paraId="62454F30" w14:textId="77777777" w:rsidTr="00A059FB">
        <w:trPr>
          <w:trHeight w:val="422"/>
          <w:tblHeader/>
          <w:jc w:val="center"/>
        </w:trPr>
        <w:tc>
          <w:tcPr>
            <w:tcW w:w="5126" w:type="dxa"/>
            <w:tcBorders>
              <w:top w:val="single" w:sz="4" w:space="0" w:color="auto"/>
              <w:left w:val="single" w:sz="4" w:space="0" w:color="auto"/>
              <w:bottom w:val="single" w:sz="4" w:space="0" w:color="auto"/>
              <w:right w:val="nil"/>
            </w:tcBorders>
            <w:shd w:val="clear" w:color="auto" w:fill="auto"/>
            <w:vAlign w:val="center"/>
            <w:hideMark/>
          </w:tcPr>
          <w:p w14:paraId="58E45A77" w14:textId="77777777" w:rsidR="00C11CA1" w:rsidRPr="00701F32" w:rsidRDefault="00C11CA1" w:rsidP="00DF0784">
            <w:pPr>
              <w:jc w:val="both"/>
              <w:rPr>
                <w:rFonts w:ascii="Arial" w:hAnsi="Arial" w:cs="Arial"/>
                <w:b/>
                <w:bCs/>
                <w:color w:val="000000"/>
                <w:sz w:val="18"/>
                <w:szCs w:val="18"/>
                <w:lang w:eastAsia="es-AR"/>
              </w:rPr>
            </w:pPr>
            <w:r w:rsidRPr="00701F32">
              <w:rPr>
                <w:rFonts w:ascii="Arial" w:hAnsi="Arial" w:cs="Arial"/>
                <w:b/>
                <w:bCs/>
                <w:color w:val="000000"/>
                <w:sz w:val="18"/>
                <w:szCs w:val="18"/>
                <w:lang w:eastAsia="es-AR"/>
              </w:rPr>
              <w:t> </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F5AC6" w14:textId="5F4EAEF6" w:rsidR="00C11CA1" w:rsidRPr="00DD4691" w:rsidRDefault="00C11CA1" w:rsidP="00DF0784">
            <w:pPr>
              <w:jc w:val="center"/>
              <w:rPr>
                <w:rFonts w:ascii="Arial" w:hAnsi="Arial" w:cs="Arial"/>
                <w:b/>
                <w:bCs/>
                <w:color w:val="000000"/>
                <w:sz w:val="18"/>
                <w:szCs w:val="18"/>
                <w:highlight w:val="yellow"/>
                <w:lang w:eastAsia="es-AR"/>
              </w:rPr>
            </w:pPr>
            <w:r w:rsidRPr="00613EB0">
              <w:rPr>
                <w:rFonts w:ascii="Arial" w:hAnsi="Arial" w:cs="Arial"/>
                <w:b/>
                <w:bCs/>
                <w:color w:val="000000"/>
                <w:sz w:val="18"/>
                <w:szCs w:val="18"/>
                <w:lang w:eastAsia="es-AR"/>
              </w:rPr>
              <w:t>31/12/201</w:t>
            </w:r>
            <w:r>
              <w:rPr>
                <w:rFonts w:ascii="Arial" w:hAnsi="Arial" w:cs="Arial"/>
                <w:b/>
                <w:bCs/>
                <w:color w:val="000000"/>
                <w:sz w:val="18"/>
                <w:szCs w:val="18"/>
                <w:lang w:eastAsia="es-AR"/>
              </w:rPr>
              <w:t>9</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09FA4C14" w14:textId="4FEF8884" w:rsidR="00C11CA1" w:rsidRPr="00701F32" w:rsidRDefault="00C11CA1" w:rsidP="00DF0784">
            <w:pPr>
              <w:jc w:val="center"/>
              <w:rPr>
                <w:rFonts w:ascii="Arial" w:hAnsi="Arial" w:cs="Arial"/>
                <w:b/>
                <w:bCs/>
                <w:color w:val="000000"/>
                <w:sz w:val="18"/>
                <w:szCs w:val="18"/>
                <w:lang w:eastAsia="es-AR"/>
              </w:rPr>
            </w:pPr>
            <w:r w:rsidRPr="00701F32">
              <w:rPr>
                <w:rFonts w:ascii="Arial" w:hAnsi="Arial" w:cs="Arial"/>
                <w:b/>
                <w:bCs/>
                <w:color w:val="000000"/>
                <w:sz w:val="18"/>
                <w:szCs w:val="18"/>
                <w:lang w:eastAsia="es-AR"/>
              </w:rPr>
              <w:t>3</w:t>
            </w:r>
            <w:r>
              <w:rPr>
                <w:rFonts w:ascii="Arial" w:hAnsi="Arial" w:cs="Arial"/>
                <w:b/>
                <w:bCs/>
                <w:color w:val="000000"/>
                <w:sz w:val="18"/>
                <w:szCs w:val="18"/>
                <w:lang w:eastAsia="es-AR"/>
              </w:rPr>
              <w:t>1</w:t>
            </w:r>
            <w:r w:rsidRPr="00701F32">
              <w:rPr>
                <w:rFonts w:ascii="Arial" w:hAnsi="Arial" w:cs="Arial"/>
                <w:b/>
                <w:bCs/>
                <w:color w:val="000000"/>
                <w:sz w:val="18"/>
                <w:szCs w:val="18"/>
                <w:lang w:eastAsia="es-AR"/>
              </w:rPr>
              <w:t>/</w:t>
            </w:r>
            <w:r>
              <w:rPr>
                <w:rFonts w:ascii="Arial" w:hAnsi="Arial" w:cs="Arial"/>
                <w:b/>
                <w:bCs/>
                <w:color w:val="000000"/>
                <w:sz w:val="18"/>
                <w:szCs w:val="18"/>
                <w:lang w:eastAsia="es-AR"/>
              </w:rPr>
              <w:t>12</w:t>
            </w:r>
            <w:r w:rsidRPr="00701F32">
              <w:rPr>
                <w:rFonts w:ascii="Arial" w:hAnsi="Arial" w:cs="Arial"/>
                <w:b/>
                <w:bCs/>
                <w:color w:val="000000"/>
                <w:sz w:val="18"/>
                <w:szCs w:val="18"/>
                <w:lang w:eastAsia="es-AR"/>
              </w:rPr>
              <w:t>/201</w:t>
            </w:r>
            <w:r>
              <w:rPr>
                <w:rFonts w:ascii="Arial" w:hAnsi="Arial" w:cs="Arial"/>
                <w:b/>
                <w:bCs/>
                <w:color w:val="000000"/>
                <w:sz w:val="18"/>
                <w:szCs w:val="18"/>
                <w:lang w:eastAsia="es-AR"/>
              </w:rPr>
              <w:t>8</w:t>
            </w:r>
          </w:p>
        </w:tc>
      </w:tr>
      <w:tr w:rsidR="00C11CA1" w:rsidRPr="00701F32" w14:paraId="6C1D1607" w14:textId="77777777" w:rsidTr="00A059FB">
        <w:trPr>
          <w:trHeight w:val="282"/>
          <w:jc w:val="center"/>
        </w:trPr>
        <w:tc>
          <w:tcPr>
            <w:tcW w:w="5126" w:type="dxa"/>
            <w:tcBorders>
              <w:top w:val="nil"/>
              <w:left w:val="single" w:sz="4" w:space="0" w:color="auto"/>
              <w:bottom w:val="nil"/>
              <w:right w:val="nil"/>
            </w:tcBorders>
            <w:shd w:val="clear" w:color="auto" w:fill="auto"/>
            <w:vAlign w:val="bottom"/>
            <w:hideMark/>
          </w:tcPr>
          <w:p w14:paraId="17FBDFEC" w14:textId="77777777" w:rsidR="00C11CA1" w:rsidRPr="00701F32" w:rsidRDefault="00C11CA1" w:rsidP="00C11CA1">
            <w:pPr>
              <w:rPr>
                <w:rFonts w:ascii="Arial" w:hAnsi="Arial" w:cs="Arial"/>
                <w:color w:val="000000"/>
                <w:sz w:val="18"/>
                <w:szCs w:val="18"/>
                <w:lang w:eastAsia="es-AR"/>
              </w:rPr>
            </w:pPr>
            <w:r w:rsidRPr="00701F32">
              <w:rPr>
                <w:rFonts w:ascii="Arial" w:hAnsi="Arial" w:cs="Arial"/>
                <w:color w:val="000000"/>
                <w:sz w:val="18"/>
                <w:szCs w:val="18"/>
                <w:lang w:eastAsia="es-AR"/>
              </w:rPr>
              <w:t>Resultado del ejercicio antes de impuesto a las ganancias</w:t>
            </w:r>
          </w:p>
        </w:tc>
        <w:tc>
          <w:tcPr>
            <w:tcW w:w="1668" w:type="dxa"/>
            <w:tcBorders>
              <w:top w:val="nil"/>
              <w:left w:val="single" w:sz="4" w:space="0" w:color="auto"/>
              <w:bottom w:val="nil"/>
              <w:right w:val="single" w:sz="4" w:space="0" w:color="auto"/>
            </w:tcBorders>
            <w:shd w:val="clear" w:color="auto" w:fill="auto"/>
            <w:vAlign w:val="bottom"/>
          </w:tcPr>
          <w:p w14:paraId="34CA2166" w14:textId="2836E00D" w:rsidR="00C11CA1" w:rsidRPr="006E1AF7" w:rsidRDefault="00CD4FB5" w:rsidP="00C11CA1">
            <w:pPr>
              <w:jc w:val="right"/>
              <w:rPr>
                <w:rFonts w:ascii="Arial" w:hAnsi="Arial" w:cs="Arial"/>
                <w:b/>
                <w:bCs/>
                <w:color w:val="000000"/>
                <w:sz w:val="16"/>
                <w:szCs w:val="16"/>
                <w:lang w:eastAsia="es-AR"/>
              </w:rPr>
            </w:pPr>
            <w:r w:rsidRPr="003E3C29">
              <w:rPr>
                <w:rFonts w:ascii="Arial" w:hAnsi="Arial" w:cs="Arial"/>
                <w:b/>
                <w:bCs/>
                <w:color w:val="000000"/>
                <w:sz w:val="16"/>
                <w:szCs w:val="16"/>
                <w:lang w:eastAsia="es-AR"/>
              </w:rPr>
              <w:t>2.776.348</w:t>
            </w:r>
          </w:p>
        </w:tc>
        <w:tc>
          <w:tcPr>
            <w:tcW w:w="1668" w:type="dxa"/>
            <w:tcBorders>
              <w:top w:val="nil"/>
              <w:left w:val="nil"/>
              <w:bottom w:val="nil"/>
              <w:right w:val="single" w:sz="4" w:space="0" w:color="auto"/>
            </w:tcBorders>
            <w:shd w:val="clear" w:color="auto" w:fill="auto"/>
            <w:vAlign w:val="bottom"/>
            <w:hideMark/>
          </w:tcPr>
          <w:p w14:paraId="49701687" w14:textId="4D3FC3C9" w:rsidR="00C11CA1" w:rsidRPr="00701F32" w:rsidRDefault="00C11CA1" w:rsidP="00C11CA1">
            <w:pPr>
              <w:jc w:val="right"/>
              <w:rPr>
                <w:rFonts w:ascii="Arial" w:hAnsi="Arial" w:cs="Arial"/>
                <w:b/>
                <w:bCs/>
                <w:color w:val="000000"/>
                <w:sz w:val="18"/>
                <w:szCs w:val="18"/>
                <w:lang w:eastAsia="es-AR"/>
              </w:rPr>
            </w:pPr>
            <w:r w:rsidRPr="00613EB0">
              <w:rPr>
                <w:rFonts w:ascii="Arial" w:hAnsi="Arial" w:cs="Arial"/>
                <w:b/>
                <w:bCs/>
                <w:color w:val="000000"/>
                <w:sz w:val="16"/>
                <w:szCs w:val="16"/>
              </w:rPr>
              <w:t>2.275.283</w:t>
            </w:r>
          </w:p>
        </w:tc>
      </w:tr>
      <w:tr w:rsidR="00C11CA1" w:rsidRPr="00701F32" w14:paraId="2A4CFCB5" w14:textId="77777777" w:rsidTr="00A059FB">
        <w:trPr>
          <w:trHeight w:val="381"/>
          <w:jc w:val="center"/>
        </w:trPr>
        <w:tc>
          <w:tcPr>
            <w:tcW w:w="5126" w:type="dxa"/>
            <w:tcBorders>
              <w:top w:val="nil"/>
              <w:left w:val="single" w:sz="4" w:space="0" w:color="auto"/>
              <w:bottom w:val="nil"/>
              <w:right w:val="nil"/>
            </w:tcBorders>
            <w:shd w:val="clear" w:color="auto" w:fill="auto"/>
            <w:vAlign w:val="bottom"/>
            <w:hideMark/>
          </w:tcPr>
          <w:p w14:paraId="32E2F458" w14:textId="77777777" w:rsidR="00C11CA1" w:rsidRPr="00701F32" w:rsidRDefault="00C11CA1" w:rsidP="00C11CA1">
            <w:pPr>
              <w:rPr>
                <w:rFonts w:ascii="Arial" w:hAnsi="Arial" w:cs="Arial"/>
                <w:color w:val="000000"/>
                <w:sz w:val="18"/>
                <w:szCs w:val="18"/>
                <w:lang w:eastAsia="es-AR"/>
              </w:rPr>
            </w:pPr>
            <w:r w:rsidRPr="00701F32">
              <w:rPr>
                <w:rFonts w:ascii="Arial" w:hAnsi="Arial" w:cs="Arial"/>
                <w:color w:val="000000"/>
                <w:sz w:val="18"/>
                <w:szCs w:val="18"/>
                <w:lang w:eastAsia="es-AR"/>
              </w:rPr>
              <w:t>Tasa del impuesto vigente</w:t>
            </w:r>
          </w:p>
        </w:tc>
        <w:tc>
          <w:tcPr>
            <w:tcW w:w="1668" w:type="dxa"/>
            <w:tcBorders>
              <w:top w:val="nil"/>
              <w:left w:val="single" w:sz="4" w:space="0" w:color="auto"/>
              <w:bottom w:val="nil"/>
              <w:right w:val="single" w:sz="4" w:space="0" w:color="auto"/>
            </w:tcBorders>
            <w:shd w:val="clear" w:color="auto" w:fill="auto"/>
            <w:vAlign w:val="bottom"/>
          </w:tcPr>
          <w:p w14:paraId="47C499BA" w14:textId="76275C30" w:rsidR="00C11CA1" w:rsidRPr="006E1AF7" w:rsidRDefault="00CD4FB5" w:rsidP="00C11CA1">
            <w:pPr>
              <w:jc w:val="right"/>
              <w:rPr>
                <w:rFonts w:ascii="Arial" w:hAnsi="Arial" w:cs="Arial"/>
                <w:color w:val="000000"/>
                <w:sz w:val="16"/>
                <w:szCs w:val="16"/>
                <w:lang w:eastAsia="es-AR"/>
              </w:rPr>
            </w:pPr>
            <w:r w:rsidRPr="006E1AF7">
              <w:rPr>
                <w:rFonts w:ascii="Arial" w:hAnsi="Arial" w:cs="Arial"/>
                <w:color w:val="000000"/>
                <w:sz w:val="16"/>
                <w:szCs w:val="16"/>
                <w:lang w:eastAsia="es-AR"/>
              </w:rPr>
              <w:t>30%</w:t>
            </w:r>
          </w:p>
        </w:tc>
        <w:tc>
          <w:tcPr>
            <w:tcW w:w="1668" w:type="dxa"/>
            <w:tcBorders>
              <w:top w:val="nil"/>
              <w:left w:val="nil"/>
              <w:bottom w:val="nil"/>
              <w:right w:val="single" w:sz="4" w:space="0" w:color="auto"/>
            </w:tcBorders>
            <w:shd w:val="clear" w:color="auto" w:fill="auto"/>
            <w:vAlign w:val="bottom"/>
            <w:hideMark/>
          </w:tcPr>
          <w:p w14:paraId="5C4A5287" w14:textId="108D0903" w:rsidR="00C11CA1" w:rsidRPr="003E3C29" w:rsidRDefault="00C11CA1" w:rsidP="00C11CA1">
            <w:pPr>
              <w:jc w:val="right"/>
              <w:rPr>
                <w:rFonts w:ascii="Arial" w:hAnsi="Arial" w:cs="Arial"/>
                <w:color w:val="000000"/>
                <w:sz w:val="18"/>
                <w:szCs w:val="18"/>
                <w:lang w:eastAsia="es-AR"/>
              </w:rPr>
            </w:pPr>
            <w:r w:rsidRPr="003E3C29">
              <w:rPr>
                <w:rFonts w:ascii="Arial" w:hAnsi="Arial" w:cs="Arial"/>
                <w:color w:val="000000"/>
                <w:sz w:val="16"/>
                <w:szCs w:val="16"/>
              </w:rPr>
              <w:t>30%</w:t>
            </w:r>
          </w:p>
        </w:tc>
      </w:tr>
      <w:tr w:rsidR="00C11CA1" w:rsidRPr="00701F32" w14:paraId="62120837" w14:textId="77777777" w:rsidTr="00A059FB">
        <w:trPr>
          <w:trHeight w:val="310"/>
          <w:jc w:val="center"/>
        </w:trPr>
        <w:tc>
          <w:tcPr>
            <w:tcW w:w="5126" w:type="dxa"/>
            <w:tcBorders>
              <w:top w:val="single" w:sz="4" w:space="0" w:color="auto"/>
              <w:left w:val="single" w:sz="4" w:space="0" w:color="auto"/>
              <w:bottom w:val="single" w:sz="4" w:space="0" w:color="auto"/>
              <w:right w:val="nil"/>
            </w:tcBorders>
            <w:shd w:val="clear" w:color="auto" w:fill="auto"/>
            <w:vAlign w:val="bottom"/>
            <w:hideMark/>
          </w:tcPr>
          <w:p w14:paraId="6687624D" w14:textId="77777777" w:rsidR="00C11CA1" w:rsidRPr="00701F32" w:rsidRDefault="00C11CA1" w:rsidP="00C11CA1">
            <w:pPr>
              <w:rPr>
                <w:rFonts w:ascii="Arial" w:hAnsi="Arial" w:cs="Arial"/>
                <w:color w:val="000000"/>
                <w:sz w:val="18"/>
                <w:szCs w:val="18"/>
                <w:lang w:eastAsia="es-AR"/>
              </w:rPr>
            </w:pPr>
            <w:r w:rsidRPr="00701F32">
              <w:rPr>
                <w:rFonts w:ascii="Arial" w:hAnsi="Arial" w:cs="Arial"/>
                <w:color w:val="000000"/>
                <w:sz w:val="18"/>
                <w:szCs w:val="18"/>
                <w:lang w:eastAsia="es-AR"/>
              </w:rPr>
              <w:t xml:space="preserve">Resultado del </w:t>
            </w:r>
            <w:r>
              <w:rPr>
                <w:rFonts w:ascii="Arial" w:hAnsi="Arial" w:cs="Arial"/>
                <w:color w:val="000000"/>
                <w:sz w:val="18"/>
                <w:szCs w:val="18"/>
                <w:lang w:eastAsia="es-AR"/>
              </w:rPr>
              <w:t>ejercicio</w:t>
            </w:r>
            <w:r w:rsidRPr="00701F32">
              <w:rPr>
                <w:rFonts w:ascii="Arial" w:hAnsi="Arial" w:cs="Arial"/>
                <w:color w:val="000000"/>
                <w:sz w:val="18"/>
                <w:szCs w:val="18"/>
                <w:lang w:eastAsia="es-AR"/>
              </w:rPr>
              <w:t xml:space="preserve"> a la tasa del impuesto</w:t>
            </w:r>
          </w:p>
        </w:tc>
        <w:tc>
          <w:tcPr>
            <w:tcW w:w="1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306CD" w14:textId="1B2795BB" w:rsidR="00C11CA1" w:rsidRPr="006E1AF7" w:rsidRDefault="00CD4FB5" w:rsidP="00C11CA1">
            <w:pPr>
              <w:jc w:val="right"/>
              <w:rPr>
                <w:rFonts w:ascii="Arial" w:hAnsi="Arial" w:cs="Arial"/>
                <w:b/>
                <w:bCs/>
                <w:color w:val="000000"/>
                <w:sz w:val="16"/>
                <w:szCs w:val="16"/>
                <w:lang w:eastAsia="es-AR"/>
              </w:rPr>
            </w:pPr>
            <w:r w:rsidRPr="003E3C29">
              <w:rPr>
                <w:rFonts w:ascii="Arial" w:hAnsi="Arial" w:cs="Arial"/>
                <w:b/>
                <w:bCs/>
                <w:color w:val="000000"/>
                <w:sz w:val="16"/>
                <w:szCs w:val="16"/>
                <w:lang w:eastAsia="es-AR"/>
              </w:rPr>
              <w:t>832.904</w:t>
            </w:r>
          </w:p>
        </w:tc>
        <w:tc>
          <w:tcPr>
            <w:tcW w:w="1668" w:type="dxa"/>
            <w:tcBorders>
              <w:top w:val="single" w:sz="4" w:space="0" w:color="auto"/>
              <w:left w:val="nil"/>
              <w:bottom w:val="single" w:sz="4" w:space="0" w:color="auto"/>
              <w:right w:val="single" w:sz="4" w:space="0" w:color="auto"/>
            </w:tcBorders>
            <w:shd w:val="clear" w:color="auto" w:fill="auto"/>
            <w:vAlign w:val="bottom"/>
            <w:hideMark/>
          </w:tcPr>
          <w:p w14:paraId="24B8D6B8" w14:textId="39A9176F" w:rsidR="00C11CA1" w:rsidRPr="004D1CDF" w:rsidRDefault="00C11CA1" w:rsidP="00C11CA1">
            <w:pPr>
              <w:jc w:val="right"/>
              <w:rPr>
                <w:rFonts w:ascii="Arial" w:hAnsi="Arial" w:cs="Arial"/>
                <w:b/>
                <w:bCs/>
                <w:color w:val="000000"/>
                <w:sz w:val="18"/>
                <w:szCs w:val="18"/>
                <w:lang w:eastAsia="es-AR"/>
              </w:rPr>
            </w:pPr>
            <w:r w:rsidRPr="00613EB0">
              <w:rPr>
                <w:rFonts w:ascii="Arial" w:hAnsi="Arial" w:cs="Arial"/>
                <w:b/>
                <w:bCs/>
                <w:color w:val="000000"/>
                <w:sz w:val="16"/>
                <w:szCs w:val="16"/>
              </w:rPr>
              <w:t>682.585</w:t>
            </w:r>
          </w:p>
        </w:tc>
      </w:tr>
      <w:tr w:rsidR="00C11CA1" w:rsidRPr="00701F32" w14:paraId="2CB292D5" w14:textId="77777777" w:rsidTr="00A059FB">
        <w:trPr>
          <w:trHeight w:val="282"/>
          <w:jc w:val="center"/>
        </w:trPr>
        <w:tc>
          <w:tcPr>
            <w:tcW w:w="5126" w:type="dxa"/>
            <w:tcBorders>
              <w:top w:val="single" w:sz="4" w:space="0" w:color="auto"/>
              <w:left w:val="single" w:sz="4" w:space="0" w:color="auto"/>
              <w:bottom w:val="single" w:sz="4" w:space="0" w:color="auto"/>
              <w:right w:val="nil"/>
            </w:tcBorders>
            <w:shd w:val="clear" w:color="auto" w:fill="auto"/>
            <w:vAlign w:val="bottom"/>
            <w:hideMark/>
          </w:tcPr>
          <w:p w14:paraId="68D208BC" w14:textId="77777777" w:rsidR="00C11CA1" w:rsidRPr="00701F32" w:rsidRDefault="00C11CA1" w:rsidP="00C11CA1">
            <w:pPr>
              <w:rPr>
                <w:rFonts w:ascii="Arial" w:hAnsi="Arial" w:cs="Arial"/>
                <w:b/>
                <w:bCs/>
                <w:color w:val="000000"/>
                <w:sz w:val="18"/>
                <w:szCs w:val="18"/>
                <w:lang w:eastAsia="es-AR"/>
              </w:rPr>
            </w:pPr>
            <w:r w:rsidRPr="00701F32">
              <w:rPr>
                <w:rFonts w:ascii="Arial" w:hAnsi="Arial" w:cs="Arial"/>
                <w:b/>
                <w:bCs/>
                <w:color w:val="000000"/>
                <w:sz w:val="18"/>
                <w:szCs w:val="18"/>
                <w:lang w:eastAsia="es-AR"/>
              </w:rPr>
              <w:t>Diferencias permanentes a la tasa del impuesto</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bottom"/>
          </w:tcPr>
          <w:p w14:paraId="5CA5FD92" w14:textId="1FF534E0" w:rsidR="00C11CA1" w:rsidRPr="006E1AF7" w:rsidRDefault="00794B6E" w:rsidP="00C11CA1">
            <w:pPr>
              <w:jc w:val="right"/>
              <w:rPr>
                <w:rFonts w:ascii="Arial" w:hAnsi="Arial" w:cs="Arial"/>
                <w:b/>
                <w:color w:val="000000"/>
                <w:sz w:val="16"/>
                <w:szCs w:val="16"/>
                <w:lang w:eastAsia="es-AR"/>
              </w:rPr>
            </w:pPr>
            <w:r w:rsidRPr="00794B6E">
              <w:rPr>
                <w:rFonts w:ascii="Arial" w:hAnsi="Arial" w:cs="Arial"/>
                <w:b/>
                <w:color w:val="000000"/>
                <w:sz w:val="16"/>
                <w:szCs w:val="16"/>
                <w:lang w:eastAsia="es-AR"/>
              </w:rPr>
              <w:t>-1.376.972</w:t>
            </w:r>
          </w:p>
        </w:tc>
        <w:tc>
          <w:tcPr>
            <w:tcW w:w="1668" w:type="dxa"/>
            <w:tcBorders>
              <w:top w:val="single" w:sz="4" w:space="0" w:color="auto"/>
              <w:left w:val="nil"/>
              <w:bottom w:val="single" w:sz="4" w:space="0" w:color="auto"/>
              <w:right w:val="single" w:sz="4" w:space="0" w:color="auto"/>
            </w:tcBorders>
            <w:shd w:val="clear" w:color="auto" w:fill="auto"/>
            <w:vAlign w:val="bottom"/>
            <w:hideMark/>
          </w:tcPr>
          <w:p w14:paraId="66FDABBE" w14:textId="16BEDCA9" w:rsidR="00C11CA1" w:rsidRPr="00E446C3" w:rsidRDefault="00C11CA1" w:rsidP="00C11CA1">
            <w:pPr>
              <w:jc w:val="right"/>
              <w:rPr>
                <w:rFonts w:ascii="Arial" w:hAnsi="Arial" w:cs="Arial"/>
                <w:b/>
                <w:color w:val="000000"/>
                <w:sz w:val="18"/>
                <w:szCs w:val="18"/>
                <w:lang w:eastAsia="es-AR"/>
              </w:rPr>
            </w:pPr>
            <w:r w:rsidRPr="00E446C3">
              <w:rPr>
                <w:rFonts w:ascii="Arial" w:hAnsi="Arial" w:cs="Arial"/>
                <w:b/>
                <w:color w:val="000000"/>
                <w:sz w:val="16"/>
                <w:szCs w:val="16"/>
              </w:rPr>
              <w:t>-77.817</w:t>
            </w:r>
          </w:p>
        </w:tc>
      </w:tr>
      <w:tr w:rsidR="00C11CA1" w:rsidRPr="00701F32" w14:paraId="3065597C" w14:textId="77777777" w:rsidTr="00A059FB">
        <w:trPr>
          <w:trHeight w:val="282"/>
          <w:jc w:val="center"/>
        </w:trPr>
        <w:tc>
          <w:tcPr>
            <w:tcW w:w="5126" w:type="dxa"/>
            <w:tcBorders>
              <w:top w:val="single" w:sz="4" w:space="0" w:color="auto"/>
              <w:left w:val="single" w:sz="4" w:space="0" w:color="auto"/>
              <w:bottom w:val="nil"/>
              <w:right w:val="nil"/>
            </w:tcBorders>
            <w:shd w:val="clear" w:color="auto" w:fill="auto"/>
            <w:vAlign w:val="bottom"/>
          </w:tcPr>
          <w:p w14:paraId="59B7C40D" w14:textId="77777777" w:rsidR="00C11CA1" w:rsidRPr="00E446C3" w:rsidRDefault="00C11CA1" w:rsidP="00C11CA1">
            <w:pPr>
              <w:rPr>
                <w:rFonts w:ascii="Arial" w:hAnsi="Arial" w:cs="Arial"/>
                <w:bCs/>
                <w:i/>
                <w:color w:val="000000"/>
                <w:sz w:val="18"/>
                <w:szCs w:val="18"/>
                <w:lang w:eastAsia="es-AR"/>
              </w:rPr>
            </w:pPr>
            <w:r w:rsidRPr="00E446C3">
              <w:rPr>
                <w:rFonts w:ascii="Arial" w:hAnsi="Arial" w:cs="Arial"/>
                <w:bCs/>
                <w:i/>
                <w:color w:val="000000"/>
                <w:sz w:val="18"/>
                <w:szCs w:val="18"/>
                <w:lang w:eastAsia="es-AR"/>
              </w:rPr>
              <w:t xml:space="preserve">  - Resultado por participación en otras sociedades</w:t>
            </w:r>
          </w:p>
        </w:tc>
        <w:tc>
          <w:tcPr>
            <w:tcW w:w="1668" w:type="dxa"/>
            <w:tcBorders>
              <w:top w:val="single" w:sz="4" w:space="0" w:color="auto"/>
              <w:left w:val="single" w:sz="4" w:space="0" w:color="auto"/>
              <w:bottom w:val="nil"/>
              <w:right w:val="single" w:sz="4" w:space="0" w:color="auto"/>
            </w:tcBorders>
            <w:shd w:val="clear" w:color="auto" w:fill="auto"/>
            <w:vAlign w:val="bottom"/>
          </w:tcPr>
          <w:p w14:paraId="79E91C48" w14:textId="391C4675" w:rsidR="00C11CA1" w:rsidRPr="003E3C29" w:rsidRDefault="00CD4FB5" w:rsidP="00C11CA1">
            <w:pPr>
              <w:jc w:val="right"/>
              <w:rPr>
                <w:rFonts w:ascii="Arial" w:hAnsi="Arial" w:cs="Arial"/>
                <w:i/>
                <w:color w:val="000000"/>
                <w:sz w:val="16"/>
                <w:szCs w:val="16"/>
              </w:rPr>
            </w:pPr>
            <w:r w:rsidRPr="003E3C29">
              <w:rPr>
                <w:rFonts w:ascii="Arial" w:hAnsi="Arial" w:cs="Arial"/>
                <w:i/>
                <w:color w:val="000000"/>
                <w:sz w:val="16"/>
                <w:szCs w:val="16"/>
              </w:rPr>
              <w:t>70.326</w:t>
            </w:r>
          </w:p>
        </w:tc>
        <w:tc>
          <w:tcPr>
            <w:tcW w:w="1668" w:type="dxa"/>
            <w:tcBorders>
              <w:top w:val="single" w:sz="4" w:space="0" w:color="auto"/>
              <w:left w:val="nil"/>
              <w:bottom w:val="nil"/>
              <w:right w:val="single" w:sz="4" w:space="0" w:color="auto"/>
            </w:tcBorders>
            <w:shd w:val="clear" w:color="auto" w:fill="auto"/>
            <w:vAlign w:val="bottom"/>
          </w:tcPr>
          <w:p w14:paraId="7EEEF621" w14:textId="080345D7" w:rsidR="00C11CA1" w:rsidRPr="004B1829" w:rsidRDefault="00C11CA1" w:rsidP="00C11CA1">
            <w:pPr>
              <w:jc w:val="right"/>
              <w:rPr>
                <w:rFonts w:ascii="Arial" w:hAnsi="Arial" w:cs="Arial"/>
                <w:i/>
                <w:color w:val="000000"/>
                <w:sz w:val="16"/>
                <w:szCs w:val="18"/>
                <w:lang w:eastAsia="es-AR"/>
              </w:rPr>
            </w:pPr>
            <w:r w:rsidRPr="004B1829">
              <w:rPr>
                <w:rFonts w:ascii="Arial" w:hAnsi="Arial" w:cs="Arial"/>
                <w:i/>
                <w:color w:val="000000"/>
                <w:sz w:val="16"/>
                <w:szCs w:val="16"/>
              </w:rPr>
              <w:t>177.670</w:t>
            </w:r>
          </w:p>
        </w:tc>
      </w:tr>
      <w:tr w:rsidR="00C11CA1" w:rsidRPr="00701F32" w14:paraId="56231FA9" w14:textId="77777777" w:rsidTr="00A059FB">
        <w:trPr>
          <w:trHeight w:val="282"/>
          <w:jc w:val="center"/>
        </w:trPr>
        <w:tc>
          <w:tcPr>
            <w:tcW w:w="5126" w:type="dxa"/>
            <w:tcBorders>
              <w:top w:val="nil"/>
              <w:left w:val="single" w:sz="4" w:space="0" w:color="auto"/>
              <w:bottom w:val="nil"/>
              <w:right w:val="nil"/>
            </w:tcBorders>
            <w:shd w:val="clear" w:color="auto" w:fill="auto"/>
            <w:vAlign w:val="bottom"/>
          </w:tcPr>
          <w:p w14:paraId="3B26A983" w14:textId="77777777" w:rsidR="00C11CA1" w:rsidRPr="00E446C3" w:rsidRDefault="00C11CA1" w:rsidP="00C11CA1">
            <w:pPr>
              <w:rPr>
                <w:rFonts w:ascii="Arial" w:hAnsi="Arial" w:cs="Arial"/>
                <w:bCs/>
                <w:i/>
                <w:color w:val="000000"/>
                <w:sz w:val="18"/>
                <w:szCs w:val="18"/>
                <w:lang w:eastAsia="es-AR"/>
              </w:rPr>
            </w:pPr>
            <w:r w:rsidRPr="00E446C3">
              <w:rPr>
                <w:rFonts w:ascii="Arial" w:hAnsi="Arial" w:cs="Arial"/>
                <w:bCs/>
                <w:i/>
                <w:color w:val="000000"/>
                <w:sz w:val="18"/>
                <w:szCs w:val="18"/>
                <w:lang w:eastAsia="es-AR"/>
              </w:rPr>
              <w:t xml:space="preserve">  - Resultados no gravados</w:t>
            </w:r>
          </w:p>
        </w:tc>
        <w:tc>
          <w:tcPr>
            <w:tcW w:w="1668" w:type="dxa"/>
            <w:tcBorders>
              <w:top w:val="nil"/>
              <w:left w:val="single" w:sz="4" w:space="0" w:color="auto"/>
              <w:bottom w:val="nil"/>
              <w:right w:val="single" w:sz="4" w:space="0" w:color="auto"/>
            </w:tcBorders>
            <w:shd w:val="clear" w:color="auto" w:fill="auto"/>
            <w:vAlign w:val="bottom"/>
          </w:tcPr>
          <w:p w14:paraId="5541DAA9" w14:textId="47F6C77F" w:rsidR="00C11CA1" w:rsidRPr="003E3C29" w:rsidRDefault="00CD4FB5" w:rsidP="00C11CA1">
            <w:pPr>
              <w:jc w:val="right"/>
              <w:rPr>
                <w:rFonts w:ascii="Arial" w:hAnsi="Arial" w:cs="Arial"/>
                <w:i/>
                <w:color w:val="000000"/>
                <w:sz w:val="16"/>
                <w:szCs w:val="16"/>
              </w:rPr>
            </w:pPr>
            <w:r w:rsidRPr="003E3C29">
              <w:rPr>
                <w:rFonts w:ascii="Arial" w:hAnsi="Arial" w:cs="Arial"/>
                <w:i/>
                <w:color w:val="000000"/>
                <w:sz w:val="16"/>
                <w:szCs w:val="16"/>
              </w:rPr>
              <w:t>-38.224</w:t>
            </w:r>
          </w:p>
        </w:tc>
        <w:tc>
          <w:tcPr>
            <w:tcW w:w="1668" w:type="dxa"/>
            <w:tcBorders>
              <w:top w:val="nil"/>
              <w:left w:val="nil"/>
              <w:bottom w:val="nil"/>
              <w:right w:val="single" w:sz="4" w:space="0" w:color="auto"/>
            </w:tcBorders>
            <w:shd w:val="clear" w:color="auto" w:fill="auto"/>
            <w:vAlign w:val="bottom"/>
          </w:tcPr>
          <w:p w14:paraId="5A6E5797" w14:textId="5323C575" w:rsidR="00C11CA1" w:rsidRPr="004B1829" w:rsidRDefault="00C11CA1" w:rsidP="00C11CA1">
            <w:pPr>
              <w:jc w:val="right"/>
              <w:rPr>
                <w:rFonts w:ascii="Arial" w:hAnsi="Arial" w:cs="Arial"/>
                <w:i/>
                <w:color w:val="000000"/>
                <w:sz w:val="16"/>
                <w:szCs w:val="18"/>
                <w:lang w:eastAsia="es-AR"/>
              </w:rPr>
            </w:pPr>
            <w:r w:rsidRPr="004B1829">
              <w:rPr>
                <w:rFonts w:ascii="Arial" w:hAnsi="Arial" w:cs="Arial"/>
                <w:i/>
                <w:color w:val="000000"/>
                <w:sz w:val="16"/>
                <w:szCs w:val="16"/>
              </w:rPr>
              <w:t>1.407</w:t>
            </w:r>
          </w:p>
        </w:tc>
      </w:tr>
      <w:tr w:rsidR="00C11CA1" w:rsidRPr="00701F32" w14:paraId="41838718" w14:textId="77777777" w:rsidTr="00A059FB">
        <w:trPr>
          <w:trHeight w:val="282"/>
          <w:jc w:val="center"/>
        </w:trPr>
        <w:tc>
          <w:tcPr>
            <w:tcW w:w="5126" w:type="dxa"/>
            <w:tcBorders>
              <w:top w:val="nil"/>
              <w:left w:val="single" w:sz="4" w:space="0" w:color="auto"/>
              <w:bottom w:val="nil"/>
              <w:right w:val="nil"/>
            </w:tcBorders>
            <w:shd w:val="clear" w:color="auto" w:fill="auto"/>
            <w:vAlign w:val="bottom"/>
          </w:tcPr>
          <w:p w14:paraId="1C826E23" w14:textId="77777777" w:rsidR="00C11CA1" w:rsidRPr="00E446C3" w:rsidRDefault="00C11CA1" w:rsidP="00C11CA1">
            <w:pPr>
              <w:jc w:val="both"/>
              <w:rPr>
                <w:rFonts w:ascii="Arial" w:hAnsi="Arial" w:cs="Arial"/>
                <w:bCs/>
                <w:i/>
                <w:color w:val="000000"/>
                <w:sz w:val="18"/>
                <w:szCs w:val="18"/>
                <w:lang w:eastAsia="es-AR"/>
              </w:rPr>
            </w:pPr>
            <w:r w:rsidRPr="00E446C3">
              <w:rPr>
                <w:rFonts w:ascii="Arial" w:hAnsi="Arial" w:cs="Arial"/>
                <w:bCs/>
                <w:i/>
                <w:color w:val="000000"/>
                <w:sz w:val="18"/>
                <w:szCs w:val="18"/>
                <w:lang w:eastAsia="es-AR"/>
              </w:rPr>
              <w:t xml:space="preserve">  - Donaciones y otros gastos no deducibles</w:t>
            </w:r>
          </w:p>
        </w:tc>
        <w:tc>
          <w:tcPr>
            <w:tcW w:w="1668" w:type="dxa"/>
            <w:tcBorders>
              <w:top w:val="nil"/>
              <w:left w:val="single" w:sz="4" w:space="0" w:color="auto"/>
              <w:bottom w:val="nil"/>
              <w:right w:val="single" w:sz="4" w:space="0" w:color="auto"/>
            </w:tcBorders>
            <w:shd w:val="clear" w:color="auto" w:fill="auto"/>
            <w:vAlign w:val="bottom"/>
          </w:tcPr>
          <w:p w14:paraId="52C80317" w14:textId="72132042" w:rsidR="00C11CA1" w:rsidRPr="003E3C29" w:rsidRDefault="00CD4FB5" w:rsidP="00C11CA1">
            <w:pPr>
              <w:jc w:val="right"/>
              <w:rPr>
                <w:rFonts w:ascii="Arial" w:hAnsi="Arial" w:cs="Arial"/>
                <w:i/>
                <w:color w:val="000000"/>
                <w:sz w:val="16"/>
                <w:szCs w:val="16"/>
              </w:rPr>
            </w:pPr>
            <w:r w:rsidRPr="003E3C29">
              <w:rPr>
                <w:rFonts w:ascii="Arial" w:hAnsi="Arial" w:cs="Arial"/>
                <w:i/>
                <w:color w:val="000000"/>
                <w:sz w:val="16"/>
                <w:szCs w:val="16"/>
              </w:rPr>
              <w:t>1.653</w:t>
            </w:r>
          </w:p>
        </w:tc>
        <w:tc>
          <w:tcPr>
            <w:tcW w:w="1668" w:type="dxa"/>
            <w:tcBorders>
              <w:top w:val="nil"/>
              <w:left w:val="nil"/>
              <w:bottom w:val="nil"/>
              <w:right w:val="single" w:sz="4" w:space="0" w:color="auto"/>
            </w:tcBorders>
            <w:shd w:val="clear" w:color="auto" w:fill="auto"/>
            <w:vAlign w:val="bottom"/>
          </w:tcPr>
          <w:p w14:paraId="5E2B630B" w14:textId="1CFA2AE0" w:rsidR="00C11CA1" w:rsidRPr="004B1829" w:rsidRDefault="003E3C29" w:rsidP="00C11CA1">
            <w:pPr>
              <w:jc w:val="right"/>
              <w:rPr>
                <w:rFonts w:ascii="Arial" w:hAnsi="Arial" w:cs="Arial"/>
                <w:i/>
                <w:color w:val="000000"/>
                <w:sz w:val="16"/>
                <w:szCs w:val="18"/>
                <w:lang w:eastAsia="es-AR"/>
              </w:rPr>
            </w:pPr>
            <w:r>
              <w:rPr>
                <w:rFonts w:ascii="Arial" w:hAnsi="Arial" w:cs="Arial"/>
                <w:i/>
                <w:color w:val="000000"/>
                <w:sz w:val="16"/>
                <w:szCs w:val="16"/>
              </w:rPr>
              <w:t>533</w:t>
            </w:r>
          </w:p>
        </w:tc>
      </w:tr>
      <w:tr w:rsidR="00CD4FB5" w:rsidRPr="00701F32" w14:paraId="02327B59" w14:textId="77777777" w:rsidTr="00A059FB">
        <w:trPr>
          <w:trHeight w:val="282"/>
          <w:jc w:val="center"/>
        </w:trPr>
        <w:tc>
          <w:tcPr>
            <w:tcW w:w="5126" w:type="dxa"/>
            <w:tcBorders>
              <w:top w:val="nil"/>
              <w:left w:val="single" w:sz="4" w:space="0" w:color="auto"/>
              <w:bottom w:val="nil"/>
              <w:right w:val="nil"/>
            </w:tcBorders>
            <w:shd w:val="clear" w:color="auto" w:fill="auto"/>
            <w:vAlign w:val="bottom"/>
          </w:tcPr>
          <w:p w14:paraId="3D013D97" w14:textId="71B430CF" w:rsidR="00CD4FB5" w:rsidRPr="00E446C3" w:rsidRDefault="003E3C29" w:rsidP="00C11CA1">
            <w:pPr>
              <w:jc w:val="both"/>
              <w:rPr>
                <w:rFonts w:ascii="Arial" w:hAnsi="Arial" w:cs="Arial"/>
                <w:bCs/>
                <w:i/>
                <w:color w:val="000000"/>
                <w:sz w:val="18"/>
                <w:szCs w:val="18"/>
                <w:lang w:eastAsia="es-AR"/>
              </w:rPr>
            </w:pPr>
            <w:r w:rsidRPr="003E3C29">
              <w:rPr>
                <w:rFonts w:ascii="Arial" w:hAnsi="Arial" w:cs="Arial"/>
                <w:bCs/>
                <w:i/>
                <w:color w:val="000000"/>
                <w:sz w:val="18"/>
                <w:szCs w:val="18"/>
                <w:lang w:eastAsia="es-AR"/>
              </w:rPr>
              <w:t xml:space="preserve">  - Aporte SGR</w:t>
            </w:r>
          </w:p>
        </w:tc>
        <w:tc>
          <w:tcPr>
            <w:tcW w:w="1668" w:type="dxa"/>
            <w:tcBorders>
              <w:top w:val="nil"/>
              <w:left w:val="single" w:sz="4" w:space="0" w:color="auto"/>
              <w:bottom w:val="nil"/>
              <w:right w:val="single" w:sz="4" w:space="0" w:color="auto"/>
            </w:tcBorders>
            <w:shd w:val="clear" w:color="auto" w:fill="auto"/>
            <w:vAlign w:val="bottom"/>
          </w:tcPr>
          <w:p w14:paraId="73A4978E" w14:textId="2FEFB730" w:rsidR="00CD4FB5" w:rsidRPr="003E3C29" w:rsidRDefault="003E3C29" w:rsidP="00C11CA1">
            <w:pPr>
              <w:jc w:val="right"/>
              <w:rPr>
                <w:rFonts w:ascii="Arial" w:hAnsi="Arial" w:cs="Arial"/>
                <w:i/>
                <w:color w:val="000000"/>
                <w:sz w:val="16"/>
                <w:szCs w:val="16"/>
              </w:rPr>
            </w:pPr>
            <w:r w:rsidRPr="003E3C29">
              <w:rPr>
                <w:rFonts w:ascii="Arial" w:hAnsi="Arial" w:cs="Arial"/>
                <w:i/>
                <w:color w:val="000000"/>
                <w:sz w:val="16"/>
                <w:szCs w:val="16"/>
              </w:rPr>
              <w:t>-254.310</w:t>
            </w:r>
          </w:p>
        </w:tc>
        <w:tc>
          <w:tcPr>
            <w:tcW w:w="1668" w:type="dxa"/>
            <w:tcBorders>
              <w:top w:val="nil"/>
              <w:left w:val="nil"/>
              <w:bottom w:val="nil"/>
              <w:right w:val="single" w:sz="4" w:space="0" w:color="auto"/>
            </w:tcBorders>
            <w:shd w:val="clear" w:color="auto" w:fill="auto"/>
            <w:vAlign w:val="bottom"/>
          </w:tcPr>
          <w:p w14:paraId="0C570A4A" w14:textId="1F7D409A" w:rsidR="00CD4FB5" w:rsidRPr="004B1829" w:rsidRDefault="003E3C29" w:rsidP="00C11CA1">
            <w:pPr>
              <w:jc w:val="right"/>
              <w:rPr>
                <w:rFonts w:ascii="Arial" w:hAnsi="Arial" w:cs="Arial"/>
                <w:i/>
                <w:color w:val="000000"/>
                <w:sz w:val="16"/>
                <w:szCs w:val="16"/>
              </w:rPr>
            </w:pPr>
            <w:r w:rsidRPr="003E3C29">
              <w:rPr>
                <w:rFonts w:ascii="Arial" w:hAnsi="Arial" w:cs="Arial"/>
                <w:i/>
                <w:color w:val="000000"/>
                <w:sz w:val="16"/>
                <w:szCs w:val="16"/>
              </w:rPr>
              <w:t>-243.150</w:t>
            </w:r>
          </w:p>
        </w:tc>
      </w:tr>
      <w:tr w:rsidR="00CD4FB5" w:rsidRPr="00701F32" w14:paraId="738B2E3E" w14:textId="77777777" w:rsidTr="00A059FB">
        <w:trPr>
          <w:trHeight w:val="282"/>
          <w:jc w:val="center"/>
        </w:trPr>
        <w:tc>
          <w:tcPr>
            <w:tcW w:w="5126" w:type="dxa"/>
            <w:tcBorders>
              <w:top w:val="nil"/>
              <w:left w:val="single" w:sz="4" w:space="0" w:color="auto"/>
              <w:bottom w:val="nil"/>
              <w:right w:val="nil"/>
            </w:tcBorders>
            <w:shd w:val="clear" w:color="auto" w:fill="auto"/>
            <w:vAlign w:val="bottom"/>
          </w:tcPr>
          <w:p w14:paraId="22AC2C58" w14:textId="6E2DA774" w:rsidR="00CD4FB5" w:rsidRPr="00E446C3" w:rsidRDefault="0089545B" w:rsidP="00C11CA1">
            <w:pPr>
              <w:jc w:val="both"/>
              <w:rPr>
                <w:rFonts w:ascii="Arial" w:hAnsi="Arial" w:cs="Arial"/>
                <w:bCs/>
                <w:i/>
                <w:color w:val="000000"/>
                <w:sz w:val="18"/>
                <w:szCs w:val="18"/>
                <w:lang w:eastAsia="es-AR"/>
              </w:rPr>
            </w:pPr>
            <w:r>
              <w:rPr>
                <w:rFonts w:ascii="Arial" w:hAnsi="Arial" w:cs="Arial"/>
                <w:bCs/>
                <w:i/>
                <w:color w:val="000000"/>
                <w:sz w:val="18"/>
                <w:szCs w:val="18"/>
                <w:lang w:eastAsia="es-AR"/>
              </w:rPr>
              <w:t xml:space="preserve"> </w:t>
            </w:r>
            <w:r w:rsidR="003E3C29">
              <w:rPr>
                <w:rFonts w:ascii="Arial" w:hAnsi="Arial" w:cs="Arial"/>
                <w:bCs/>
                <w:i/>
                <w:color w:val="000000"/>
                <w:sz w:val="18"/>
                <w:szCs w:val="18"/>
                <w:lang w:eastAsia="es-AR"/>
              </w:rPr>
              <w:t>- Seguro de retiro</w:t>
            </w:r>
          </w:p>
        </w:tc>
        <w:tc>
          <w:tcPr>
            <w:tcW w:w="1668" w:type="dxa"/>
            <w:tcBorders>
              <w:top w:val="nil"/>
              <w:left w:val="single" w:sz="4" w:space="0" w:color="auto"/>
              <w:bottom w:val="nil"/>
              <w:right w:val="single" w:sz="4" w:space="0" w:color="auto"/>
            </w:tcBorders>
            <w:shd w:val="clear" w:color="auto" w:fill="auto"/>
            <w:vAlign w:val="bottom"/>
          </w:tcPr>
          <w:p w14:paraId="422E03DC" w14:textId="58486D49" w:rsidR="00CD4FB5" w:rsidRPr="003E3C29" w:rsidRDefault="003E3C29" w:rsidP="00C11CA1">
            <w:pPr>
              <w:jc w:val="right"/>
              <w:rPr>
                <w:rFonts w:ascii="Arial" w:hAnsi="Arial" w:cs="Arial"/>
                <w:i/>
                <w:color w:val="000000"/>
                <w:sz w:val="16"/>
                <w:szCs w:val="16"/>
              </w:rPr>
            </w:pPr>
            <w:r w:rsidRPr="003E3C29">
              <w:rPr>
                <w:rFonts w:ascii="Arial" w:hAnsi="Arial" w:cs="Arial"/>
                <w:i/>
                <w:color w:val="000000"/>
                <w:sz w:val="16"/>
                <w:szCs w:val="16"/>
              </w:rPr>
              <w:t>-95.812</w:t>
            </w:r>
          </w:p>
        </w:tc>
        <w:tc>
          <w:tcPr>
            <w:tcW w:w="1668" w:type="dxa"/>
            <w:tcBorders>
              <w:top w:val="nil"/>
              <w:left w:val="nil"/>
              <w:bottom w:val="nil"/>
              <w:right w:val="single" w:sz="4" w:space="0" w:color="auto"/>
            </w:tcBorders>
            <w:shd w:val="clear" w:color="auto" w:fill="auto"/>
            <w:vAlign w:val="bottom"/>
          </w:tcPr>
          <w:p w14:paraId="7A56EB3B" w14:textId="232416C9" w:rsidR="00CD4FB5" w:rsidRPr="004B1829" w:rsidRDefault="003E3C29" w:rsidP="00C11CA1">
            <w:pPr>
              <w:jc w:val="right"/>
              <w:rPr>
                <w:rFonts w:ascii="Arial" w:hAnsi="Arial" w:cs="Arial"/>
                <w:i/>
                <w:color w:val="000000"/>
                <w:sz w:val="16"/>
                <w:szCs w:val="16"/>
              </w:rPr>
            </w:pPr>
            <w:r>
              <w:rPr>
                <w:rFonts w:ascii="Arial" w:hAnsi="Arial" w:cs="Arial"/>
                <w:i/>
                <w:color w:val="000000"/>
                <w:sz w:val="16"/>
                <w:szCs w:val="16"/>
              </w:rPr>
              <w:t>-</w:t>
            </w:r>
          </w:p>
        </w:tc>
      </w:tr>
      <w:tr w:rsidR="00CD4FB5" w:rsidRPr="00701F32" w14:paraId="7531A7A2" w14:textId="77777777" w:rsidTr="00A059FB">
        <w:trPr>
          <w:trHeight w:val="282"/>
          <w:jc w:val="center"/>
        </w:trPr>
        <w:tc>
          <w:tcPr>
            <w:tcW w:w="5126" w:type="dxa"/>
            <w:tcBorders>
              <w:top w:val="nil"/>
              <w:left w:val="single" w:sz="4" w:space="0" w:color="auto"/>
              <w:bottom w:val="nil"/>
              <w:right w:val="nil"/>
            </w:tcBorders>
            <w:shd w:val="clear" w:color="auto" w:fill="auto"/>
            <w:vAlign w:val="bottom"/>
          </w:tcPr>
          <w:p w14:paraId="3FB283E7" w14:textId="498AD582" w:rsidR="00CD4FB5" w:rsidRPr="00E446C3" w:rsidRDefault="0089545B" w:rsidP="00C11CA1">
            <w:pPr>
              <w:jc w:val="both"/>
              <w:rPr>
                <w:rFonts w:ascii="Arial" w:hAnsi="Arial" w:cs="Arial"/>
                <w:bCs/>
                <w:i/>
                <w:color w:val="000000"/>
                <w:sz w:val="18"/>
                <w:szCs w:val="18"/>
                <w:lang w:eastAsia="es-AR"/>
              </w:rPr>
            </w:pPr>
            <w:r>
              <w:rPr>
                <w:rFonts w:ascii="Arial" w:hAnsi="Arial" w:cs="Arial"/>
                <w:bCs/>
                <w:i/>
                <w:color w:val="000000"/>
                <w:sz w:val="18"/>
                <w:szCs w:val="18"/>
                <w:lang w:eastAsia="es-AR"/>
              </w:rPr>
              <w:t xml:space="preserve"> </w:t>
            </w:r>
            <w:r w:rsidR="003E3C29">
              <w:rPr>
                <w:rFonts w:ascii="Arial" w:hAnsi="Arial" w:cs="Arial"/>
                <w:bCs/>
                <w:i/>
                <w:color w:val="000000"/>
                <w:sz w:val="18"/>
                <w:szCs w:val="18"/>
                <w:lang w:eastAsia="es-AR"/>
              </w:rPr>
              <w:t>- Axi Amortizaciones</w:t>
            </w:r>
          </w:p>
        </w:tc>
        <w:tc>
          <w:tcPr>
            <w:tcW w:w="1668" w:type="dxa"/>
            <w:tcBorders>
              <w:top w:val="nil"/>
              <w:left w:val="single" w:sz="4" w:space="0" w:color="auto"/>
              <w:bottom w:val="nil"/>
              <w:right w:val="single" w:sz="4" w:space="0" w:color="auto"/>
            </w:tcBorders>
            <w:shd w:val="clear" w:color="auto" w:fill="auto"/>
            <w:vAlign w:val="bottom"/>
          </w:tcPr>
          <w:p w14:paraId="3E7B180C" w14:textId="4024F7BA" w:rsidR="00CD4FB5" w:rsidRPr="003E3C29" w:rsidRDefault="003E3C29" w:rsidP="00C11CA1">
            <w:pPr>
              <w:jc w:val="right"/>
              <w:rPr>
                <w:rFonts w:ascii="Arial" w:hAnsi="Arial" w:cs="Arial"/>
                <w:i/>
                <w:color w:val="000000"/>
                <w:sz w:val="16"/>
                <w:szCs w:val="16"/>
              </w:rPr>
            </w:pPr>
            <w:r w:rsidRPr="003E3C29">
              <w:rPr>
                <w:rFonts w:ascii="Arial" w:hAnsi="Arial" w:cs="Arial"/>
                <w:i/>
                <w:color w:val="000000"/>
                <w:sz w:val="16"/>
                <w:szCs w:val="16"/>
              </w:rPr>
              <w:t>28.446</w:t>
            </w:r>
          </w:p>
        </w:tc>
        <w:tc>
          <w:tcPr>
            <w:tcW w:w="1668" w:type="dxa"/>
            <w:tcBorders>
              <w:top w:val="nil"/>
              <w:left w:val="nil"/>
              <w:bottom w:val="nil"/>
              <w:right w:val="single" w:sz="4" w:space="0" w:color="auto"/>
            </w:tcBorders>
            <w:shd w:val="clear" w:color="auto" w:fill="auto"/>
            <w:vAlign w:val="bottom"/>
          </w:tcPr>
          <w:p w14:paraId="13566A1D" w14:textId="6540839E" w:rsidR="00CD4FB5" w:rsidRPr="004B1829" w:rsidRDefault="003E3C29" w:rsidP="00C11CA1">
            <w:pPr>
              <w:jc w:val="right"/>
              <w:rPr>
                <w:rFonts w:ascii="Arial" w:hAnsi="Arial" w:cs="Arial"/>
                <w:i/>
                <w:color w:val="000000"/>
                <w:sz w:val="16"/>
                <w:szCs w:val="16"/>
              </w:rPr>
            </w:pPr>
            <w:r>
              <w:rPr>
                <w:rFonts w:ascii="Arial" w:hAnsi="Arial" w:cs="Arial"/>
                <w:i/>
                <w:color w:val="000000"/>
                <w:sz w:val="16"/>
                <w:szCs w:val="16"/>
              </w:rPr>
              <w:t>-</w:t>
            </w:r>
          </w:p>
        </w:tc>
      </w:tr>
      <w:tr w:rsidR="00C11CA1" w:rsidRPr="00701F32" w14:paraId="7594BC38" w14:textId="77777777" w:rsidTr="00A059FB">
        <w:trPr>
          <w:trHeight w:val="282"/>
          <w:jc w:val="center"/>
        </w:trPr>
        <w:tc>
          <w:tcPr>
            <w:tcW w:w="5126" w:type="dxa"/>
            <w:tcBorders>
              <w:top w:val="nil"/>
              <w:left w:val="single" w:sz="4" w:space="0" w:color="auto"/>
              <w:bottom w:val="nil"/>
              <w:right w:val="nil"/>
            </w:tcBorders>
            <w:shd w:val="clear" w:color="auto" w:fill="auto"/>
            <w:vAlign w:val="bottom"/>
          </w:tcPr>
          <w:p w14:paraId="6DE28559" w14:textId="77777777" w:rsidR="00C11CA1" w:rsidRPr="00E446C3" w:rsidRDefault="00C11CA1" w:rsidP="00C11CA1">
            <w:pPr>
              <w:jc w:val="both"/>
              <w:rPr>
                <w:rFonts w:ascii="Arial" w:hAnsi="Arial" w:cs="Arial"/>
                <w:bCs/>
                <w:i/>
                <w:color w:val="000000"/>
                <w:sz w:val="18"/>
                <w:szCs w:val="18"/>
                <w:lang w:eastAsia="es-AR"/>
              </w:rPr>
            </w:pPr>
            <w:r w:rsidRPr="00E446C3">
              <w:rPr>
                <w:rFonts w:ascii="Arial" w:hAnsi="Arial" w:cs="Arial"/>
                <w:bCs/>
                <w:i/>
                <w:color w:val="000000"/>
                <w:sz w:val="18"/>
                <w:szCs w:val="18"/>
                <w:lang w:eastAsia="es-AR"/>
              </w:rPr>
              <w:t xml:space="preserve">  - Otros</w:t>
            </w:r>
          </w:p>
        </w:tc>
        <w:tc>
          <w:tcPr>
            <w:tcW w:w="1668" w:type="dxa"/>
            <w:tcBorders>
              <w:top w:val="nil"/>
              <w:left w:val="single" w:sz="4" w:space="0" w:color="auto"/>
              <w:bottom w:val="nil"/>
              <w:right w:val="single" w:sz="4" w:space="0" w:color="auto"/>
            </w:tcBorders>
            <w:shd w:val="clear" w:color="auto" w:fill="auto"/>
            <w:vAlign w:val="bottom"/>
          </w:tcPr>
          <w:p w14:paraId="26229B2C" w14:textId="444BA160" w:rsidR="00C11CA1" w:rsidRPr="003E3C29" w:rsidRDefault="0089545B" w:rsidP="00C11CA1">
            <w:pPr>
              <w:jc w:val="right"/>
              <w:rPr>
                <w:rFonts w:ascii="Arial" w:hAnsi="Arial" w:cs="Arial"/>
                <w:i/>
                <w:color w:val="000000"/>
                <w:sz w:val="16"/>
                <w:szCs w:val="16"/>
              </w:rPr>
            </w:pPr>
            <w:r>
              <w:rPr>
                <w:rFonts w:ascii="Arial" w:hAnsi="Arial" w:cs="Arial"/>
                <w:i/>
                <w:color w:val="000000"/>
                <w:sz w:val="16"/>
                <w:szCs w:val="16"/>
              </w:rPr>
              <w:t>-11.912</w:t>
            </w:r>
          </w:p>
        </w:tc>
        <w:tc>
          <w:tcPr>
            <w:tcW w:w="1668" w:type="dxa"/>
            <w:tcBorders>
              <w:top w:val="nil"/>
              <w:left w:val="nil"/>
              <w:bottom w:val="nil"/>
              <w:right w:val="single" w:sz="4" w:space="0" w:color="auto"/>
            </w:tcBorders>
            <w:shd w:val="clear" w:color="auto" w:fill="auto"/>
            <w:vAlign w:val="bottom"/>
          </w:tcPr>
          <w:p w14:paraId="18A7B9EF" w14:textId="2BF8C671" w:rsidR="00C11CA1" w:rsidRPr="004B1829" w:rsidRDefault="00C11CA1" w:rsidP="00C11CA1">
            <w:pPr>
              <w:jc w:val="right"/>
              <w:rPr>
                <w:rFonts w:ascii="Arial" w:hAnsi="Arial" w:cs="Arial"/>
                <w:i/>
                <w:color w:val="000000"/>
                <w:sz w:val="16"/>
                <w:szCs w:val="18"/>
                <w:lang w:eastAsia="es-AR"/>
              </w:rPr>
            </w:pPr>
            <w:r w:rsidRPr="004B1829">
              <w:rPr>
                <w:rFonts w:ascii="Arial" w:hAnsi="Arial" w:cs="Arial"/>
                <w:i/>
                <w:color w:val="000000"/>
                <w:sz w:val="16"/>
                <w:szCs w:val="16"/>
              </w:rPr>
              <w:t>22.351</w:t>
            </w:r>
          </w:p>
        </w:tc>
      </w:tr>
      <w:tr w:rsidR="00C11CA1" w:rsidRPr="00701F32" w14:paraId="6E34CAD8" w14:textId="77777777" w:rsidTr="00A059FB">
        <w:trPr>
          <w:trHeight w:val="282"/>
          <w:jc w:val="center"/>
        </w:trPr>
        <w:tc>
          <w:tcPr>
            <w:tcW w:w="5126" w:type="dxa"/>
            <w:tcBorders>
              <w:top w:val="nil"/>
              <w:left w:val="single" w:sz="4" w:space="0" w:color="auto"/>
              <w:bottom w:val="nil"/>
              <w:right w:val="nil"/>
            </w:tcBorders>
            <w:shd w:val="clear" w:color="auto" w:fill="auto"/>
            <w:vAlign w:val="bottom"/>
          </w:tcPr>
          <w:p w14:paraId="6605AB99" w14:textId="77777777" w:rsidR="00C11CA1" w:rsidRPr="00E446C3" w:rsidRDefault="00C11CA1" w:rsidP="00C11CA1">
            <w:pPr>
              <w:jc w:val="both"/>
              <w:rPr>
                <w:rFonts w:ascii="Arial" w:hAnsi="Arial" w:cs="Arial"/>
                <w:bCs/>
                <w:i/>
                <w:color w:val="000000"/>
                <w:sz w:val="18"/>
                <w:szCs w:val="18"/>
                <w:lang w:eastAsia="es-AR"/>
              </w:rPr>
            </w:pPr>
            <w:r w:rsidRPr="00E446C3">
              <w:rPr>
                <w:rFonts w:ascii="Arial" w:hAnsi="Arial" w:cs="Arial"/>
                <w:bCs/>
                <w:i/>
                <w:color w:val="000000"/>
                <w:sz w:val="18"/>
                <w:szCs w:val="18"/>
                <w:lang w:eastAsia="es-AR"/>
              </w:rPr>
              <w:t xml:space="preserve">  - Resultado venta de cartera</w:t>
            </w:r>
          </w:p>
        </w:tc>
        <w:tc>
          <w:tcPr>
            <w:tcW w:w="1668" w:type="dxa"/>
            <w:tcBorders>
              <w:top w:val="nil"/>
              <w:left w:val="single" w:sz="4" w:space="0" w:color="auto"/>
              <w:bottom w:val="nil"/>
              <w:right w:val="single" w:sz="4" w:space="0" w:color="auto"/>
            </w:tcBorders>
            <w:shd w:val="clear" w:color="auto" w:fill="auto"/>
            <w:vAlign w:val="bottom"/>
          </w:tcPr>
          <w:p w14:paraId="02950525" w14:textId="211C9F14" w:rsidR="00C11CA1" w:rsidRPr="003E3C29" w:rsidRDefault="003E3C29" w:rsidP="00C11CA1">
            <w:pPr>
              <w:jc w:val="right"/>
              <w:rPr>
                <w:rFonts w:ascii="Arial" w:hAnsi="Arial" w:cs="Arial"/>
                <w:i/>
                <w:color w:val="000000"/>
                <w:sz w:val="16"/>
                <w:szCs w:val="16"/>
              </w:rPr>
            </w:pPr>
            <w:r w:rsidRPr="003E3C29">
              <w:rPr>
                <w:rFonts w:ascii="Arial" w:hAnsi="Arial" w:cs="Arial"/>
                <w:i/>
                <w:color w:val="000000"/>
                <w:sz w:val="16"/>
                <w:szCs w:val="16"/>
              </w:rPr>
              <w:t>9.945</w:t>
            </w:r>
          </w:p>
        </w:tc>
        <w:tc>
          <w:tcPr>
            <w:tcW w:w="1668" w:type="dxa"/>
            <w:tcBorders>
              <w:top w:val="nil"/>
              <w:left w:val="nil"/>
              <w:bottom w:val="nil"/>
              <w:right w:val="single" w:sz="4" w:space="0" w:color="auto"/>
            </w:tcBorders>
            <w:shd w:val="clear" w:color="auto" w:fill="auto"/>
            <w:vAlign w:val="bottom"/>
          </w:tcPr>
          <w:p w14:paraId="29F319E2" w14:textId="46EAEBC6" w:rsidR="00C11CA1" w:rsidRPr="004B1829" w:rsidRDefault="00C11CA1" w:rsidP="00C11CA1">
            <w:pPr>
              <w:jc w:val="right"/>
              <w:rPr>
                <w:rFonts w:ascii="Arial" w:hAnsi="Arial" w:cs="Arial"/>
                <w:i/>
                <w:color w:val="000000"/>
                <w:sz w:val="16"/>
                <w:szCs w:val="18"/>
                <w:lang w:eastAsia="es-AR"/>
              </w:rPr>
            </w:pPr>
            <w:r w:rsidRPr="004B1829">
              <w:rPr>
                <w:rFonts w:ascii="Arial" w:hAnsi="Arial" w:cs="Arial"/>
                <w:i/>
                <w:color w:val="000000"/>
                <w:sz w:val="16"/>
                <w:szCs w:val="16"/>
              </w:rPr>
              <w:t>-52.049</w:t>
            </w:r>
          </w:p>
        </w:tc>
      </w:tr>
      <w:tr w:rsidR="00C11CA1" w:rsidRPr="00701F32" w14:paraId="2FBA8022" w14:textId="77777777" w:rsidTr="00A059FB">
        <w:trPr>
          <w:trHeight w:val="282"/>
          <w:jc w:val="center"/>
        </w:trPr>
        <w:tc>
          <w:tcPr>
            <w:tcW w:w="5126" w:type="dxa"/>
            <w:tcBorders>
              <w:top w:val="nil"/>
              <w:left w:val="single" w:sz="4" w:space="0" w:color="auto"/>
              <w:bottom w:val="nil"/>
              <w:right w:val="nil"/>
            </w:tcBorders>
            <w:shd w:val="clear" w:color="auto" w:fill="auto"/>
            <w:vAlign w:val="bottom"/>
          </w:tcPr>
          <w:p w14:paraId="7A56A5D8" w14:textId="77777777" w:rsidR="00C11CA1" w:rsidRPr="00E446C3" w:rsidRDefault="00C11CA1" w:rsidP="00C11CA1">
            <w:pPr>
              <w:jc w:val="both"/>
              <w:rPr>
                <w:rFonts w:ascii="Arial" w:hAnsi="Arial" w:cs="Arial"/>
                <w:bCs/>
                <w:i/>
                <w:color w:val="000000"/>
                <w:sz w:val="18"/>
                <w:szCs w:val="18"/>
                <w:lang w:eastAsia="es-AR"/>
              </w:rPr>
            </w:pPr>
            <w:r w:rsidRPr="00E446C3">
              <w:rPr>
                <w:rFonts w:ascii="Arial" w:hAnsi="Arial" w:cs="Arial"/>
                <w:bCs/>
                <w:i/>
                <w:color w:val="000000"/>
                <w:sz w:val="18"/>
                <w:szCs w:val="18"/>
                <w:lang w:eastAsia="es-AR"/>
              </w:rPr>
              <w:t xml:space="preserve">  - Multas</w:t>
            </w:r>
          </w:p>
        </w:tc>
        <w:tc>
          <w:tcPr>
            <w:tcW w:w="1668" w:type="dxa"/>
            <w:tcBorders>
              <w:top w:val="nil"/>
              <w:left w:val="single" w:sz="4" w:space="0" w:color="auto"/>
              <w:bottom w:val="nil"/>
              <w:right w:val="single" w:sz="4" w:space="0" w:color="auto"/>
            </w:tcBorders>
            <w:shd w:val="clear" w:color="auto" w:fill="auto"/>
            <w:vAlign w:val="bottom"/>
          </w:tcPr>
          <w:p w14:paraId="69254687" w14:textId="53C6BC6B" w:rsidR="00C11CA1" w:rsidRPr="003E3C29" w:rsidRDefault="003E3C29" w:rsidP="00C11CA1">
            <w:pPr>
              <w:jc w:val="right"/>
              <w:rPr>
                <w:rFonts w:ascii="Arial" w:hAnsi="Arial" w:cs="Arial"/>
                <w:i/>
                <w:color w:val="000000"/>
                <w:sz w:val="16"/>
                <w:szCs w:val="16"/>
              </w:rPr>
            </w:pPr>
            <w:r w:rsidRPr="003E3C29">
              <w:rPr>
                <w:rFonts w:ascii="Arial" w:hAnsi="Arial" w:cs="Arial"/>
                <w:i/>
                <w:color w:val="000000"/>
                <w:sz w:val="16"/>
                <w:szCs w:val="16"/>
              </w:rPr>
              <w:t>451</w:t>
            </w:r>
          </w:p>
        </w:tc>
        <w:tc>
          <w:tcPr>
            <w:tcW w:w="1668" w:type="dxa"/>
            <w:tcBorders>
              <w:top w:val="nil"/>
              <w:left w:val="nil"/>
              <w:bottom w:val="nil"/>
              <w:right w:val="single" w:sz="4" w:space="0" w:color="auto"/>
            </w:tcBorders>
            <w:shd w:val="clear" w:color="auto" w:fill="auto"/>
            <w:vAlign w:val="bottom"/>
          </w:tcPr>
          <w:p w14:paraId="560F9B02" w14:textId="3BD0A7CE" w:rsidR="00C11CA1" w:rsidRPr="004B1829" w:rsidRDefault="00C11CA1" w:rsidP="00C11CA1">
            <w:pPr>
              <w:jc w:val="right"/>
              <w:rPr>
                <w:rFonts w:ascii="Arial" w:hAnsi="Arial" w:cs="Arial"/>
                <w:i/>
                <w:color w:val="000000"/>
                <w:sz w:val="16"/>
                <w:szCs w:val="18"/>
                <w:lang w:eastAsia="es-AR"/>
              </w:rPr>
            </w:pPr>
            <w:r w:rsidRPr="004B1829">
              <w:rPr>
                <w:rFonts w:ascii="Arial" w:hAnsi="Arial" w:cs="Arial"/>
                <w:i/>
                <w:color w:val="000000"/>
                <w:sz w:val="16"/>
                <w:szCs w:val="16"/>
              </w:rPr>
              <w:t>183</w:t>
            </w:r>
          </w:p>
        </w:tc>
      </w:tr>
      <w:tr w:rsidR="003E3C29" w:rsidRPr="00701F32" w14:paraId="11F5C655" w14:textId="77777777" w:rsidTr="00A059FB">
        <w:trPr>
          <w:trHeight w:val="282"/>
          <w:jc w:val="center"/>
        </w:trPr>
        <w:tc>
          <w:tcPr>
            <w:tcW w:w="5126" w:type="dxa"/>
            <w:tcBorders>
              <w:top w:val="nil"/>
              <w:left w:val="single" w:sz="4" w:space="0" w:color="auto"/>
              <w:bottom w:val="nil"/>
              <w:right w:val="nil"/>
            </w:tcBorders>
            <w:shd w:val="clear" w:color="auto" w:fill="auto"/>
            <w:vAlign w:val="bottom"/>
          </w:tcPr>
          <w:p w14:paraId="5AAB4789" w14:textId="4CA734F7" w:rsidR="003E3C29" w:rsidRPr="00E446C3" w:rsidRDefault="003E3C29" w:rsidP="00C11CA1">
            <w:pPr>
              <w:jc w:val="both"/>
              <w:rPr>
                <w:rFonts w:ascii="Arial" w:hAnsi="Arial" w:cs="Arial"/>
                <w:bCs/>
                <w:i/>
                <w:color w:val="000000"/>
                <w:sz w:val="18"/>
                <w:szCs w:val="18"/>
                <w:lang w:eastAsia="es-AR"/>
              </w:rPr>
            </w:pPr>
            <w:r w:rsidRPr="003E3C29">
              <w:rPr>
                <w:rFonts w:ascii="Arial" w:hAnsi="Arial" w:cs="Arial"/>
                <w:bCs/>
                <w:i/>
                <w:color w:val="000000"/>
                <w:sz w:val="18"/>
                <w:szCs w:val="18"/>
                <w:lang w:eastAsia="es-AR"/>
              </w:rPr>
              <w:t>Ajuste por Inflación Impositivo</w:t>
            </w:r>
          </w:p>
        </w:tc>
        <w:tc>
          <w:tcPr>
            <w:tcW w:w="1668" w:type="dxa"/>
            <w:tcBorders>
              <w:top w:val="nil"/>
              <w:left w:val="single" w:sz="4" w:space="0" w:color="auto"/>
              <w:bottom w:val="nil"/>
              <w:right w:val="single" w:sz="4" w:space="0" w:color="auto"/>
            </w:tcBorders>
            <w:shd w:val="clear" w:color="auto" w:fill="auto"/>
            <w:vAlign w:val="bottom"/>
          </w:tcPr>
          <w:p w14:paraId="77E4300D" w14:textId="638FD16C" w:rsidR="003E3C29" w:rsidRPr="003E3C29" w:rsidRDefault="003E3C29" w:rsidP="00C11CA1">
            <w:pPr>
              <w:jc w:val="right"/>
              <w:rPr>
                <w:rFonts w:ascii="Arial" w:hAnsi="Arial" w:cs="Arial"/>
                <w:i/>
                <w:color w:val="000000"/>
                <w:sz w:val="16"/>
                <w:szCs w:val="16"/>
              </w:rPr>
            </w:pPr>
            <w:r w:rsidRPr="003E3C29">
              <w:rPr>
                <w:rFonts w:ascii="Arial" w:hAnsi="Arial" w:cs="Arial"/>
                <w:i/>
                <w:color w:val="000000"/>
                <w:sz w:val="16"/>
                <w:szCs w:val="16"/>
              </w:rPr>
              <w:t>-1.097.942</w:t>
            </w:r>
          </w:p>
        </w:tc>
        <w:tc>
          <w:tcPr>
            <w:tcW w:w="1668" w:type="dxa"/>
            <w:tcBorders>
              <w:top w:val="nil"/>
              <w:left w:val="nil"/>
              <w:bottom w:val="nil"/>
              <w:right w:val="single" w:sz="4" w:space="0" w:color="auto"/>
            </w:tcBorders>
            <w:shd w:val="clear" w:color="auto" w:fill="auto"/>
            <w:vAlign w:val="bottom"/>
          </w:tcPr>
          <w:p w14:paraId="08146866" w14:textId="7ECF2DF3" w:rsidR="003E3C29" w:rsidRPr="004B1829" w:rsidRDefault="00F9355D" w:rsidP="00C11CA1">
            <w:pPr>
              <w:jc w:val="right"/>
              <w:rPr>
                <w:rFonts w:ascii="Arial" w:hAnsi="Arial" w:cs="Arial"/>
                <w:i/>
                <w:color w:val="000000"/>
                <w:sz w:val="16"/>
                <w:szCs w:val="16"/>
              </w:rPr>
            </w:pPr>
            <w:r>
              <w:rPr>
                <w:rFonts w:ascii="Arial" w:hAnsi="Arial" w:cs="Arial"/>
                <w:i/>
                <w:color w:val="000000"/>
                <w:sz w:val="16"/>
                <w:szCs w:val="16"/>
              </w:rPr>
              <w:t>-</w:t>
            </w:r>
          </w:p>
        </w:tc>
      </w:tr>
      <w:tr w:rsidR="00C11CA1" w:rsidRPr="00701F32" w14:paraId="5612401B" w14:textId="77777777" w:rsidTr="00A059FB">
        <w:trPr>
          <w:trHeight w:val="282"/>
          <w:jc w:val="center"/>
        </w:trPr>
        <w:tc>
          <w:tcPr>
            <w:tcW w:w="5126" w:type="dxa"/>
            <w:tcBorders>
              <w:top w:val="nil"/>
              <w:left w:val="single" w:sz="4" w:space="0" w:color="auto"/>
              <w:bottom w:val="nil"/>
              <w:right w:val="nil"/>
            </w:tcBorders>
            <w:shd w:val="clear" w:color="auto" w:fill="auto"/>
            <w:vAlign w:val="bottom"/>
          </w:tcPr>
          <w:p w14:paraId="20D25B1D" w14:textId="77777777" w:rsidR="00C11CA1" w:rsidRPr="00E446C3" w:rsidRDefault="00C11CA1" w:rsidP="00C11CA1">
            <w:pPr>
              <w:jc w:val="both"/>
              <w:rPr>
                <w:rFonts w:ascii="Arial" w:hAnsi="Arial" w:cs="Arial"/>
                <w:bCs/>
                <w:i/>
                <w:color w:val="000000"/>
                <w:sz w:val="18"/>
                <w:szCs w:val="18"/>
                <w:lang w:eastAsia="es-AR"/>
              </w:rPr>
            </w:pPr>
            <w:r w:rsidRPr="00E446C3">
              <w:rPr>
                <w:rFonts w:ascii="Arial" w:hAnsi="Arial" w:cs="Arial"/>
                <w:bCs/>
                <w:i/>
                <w:color w:val="000000"/>
                <w:sz w:val="18"/>
                <w:szCs w:val="18"/>
                <w:lang w:eastAsia="es-AR"/>
              </w:rPr>
              <w:t>Diferencia entre DDJJ y provisión del impuesto a las ganancias - ejercicios 2017/2018</w:t>
            </w:r>
          </w:p>
        </w:tc>
        <w:tc>
          <w:tcPr>
            <w:tcW w:w="1668" w:type="dxa"/>
            <w:tcBorders>
              <w:top w:val="nil"/>
              <w:left w:val="single" w:sz="4" w:space="0" w:color="auto"/>
              <w:bottom w:val="nil"/>
              <w:right w:val="single" w:sz="4" w:space="0" w:color="auto"/>
            </w:tcBorders>
            <w:shd w:val="clear" w:color="auto" w:fill="auto"/>
            <w:vAlign w:val="bottom"/>
          </w:tcPr>
          <w:p w14:paraId="40FE3B4E" w14:textId="247ABD16" w:rsidR="00C11CA1" w:rsidRPr="003E3C29" w:rsidRDefault="0089545B" w:rsidP="00C11CA1">
            <w:pPr>
              <w:jc w:val="right"/>
              <w:rPr>
                <w:rFonts w:ascii="Arial" w:hAnsi="Arial" w:cs="Arial"/>
                <w:i/>
                <w:color w:val="000000"/>
                <w:sz w:val="16"/>
                <w:szCs w:val="16"/>
              </w:rPr>
            </w:pPr>
            <w:r>
              <w:rPr>
                <w:rFonts w:ascii="Arial" w:hAnsi="Arial" w:cs="Arial"/>
                <w:i/>
                <w:color w:val="000000"/>
                <w:sz w:val="16"/>
                <w:szCs w:val="16"/>
              </w:rPr>
              <w:t>10.407</w:t>
            </w:r>
          </w:p>
        </w:tc>
        <w:tc>
          <w:tcPr>
            <w:tcW w:w="1668" w:type="dxa"/>
            <w:tcBorders>
              <w:top w:val="nil"/>
              <w:left w:val="nil"/>
              <w:bottom w:val="nil"/>
              <w:right w:val="single" w:sz="4" w:space="0" w:color="auto"/>
            </w:tcBorders>
            <w:shd w:val="clear" w:color="auto" w:fill="auto"/>
            <w:vAlign w:val="bottom"/>
          </w:tcPr>
          <w:p w14:paraId="7435FC05" w14:textId="0ED91F2A" w:rsidR="00C11CA1" w:rsidRPr="004B1829" w:rsidRDefault="00C11CA1" w:rsidP="00C11CA1">
            <w:pPr>
              <w:jc w:val="right"/>
              <w:rPr>
                <w:rFonts w:ascii="Arial" w:hAnsi="Arial" w:cs="Arial"/>
                <w:i/>
                <w:color w:val="000000"/>
                <w:sz w:val="16"/>
                <w:szCs w:val="18"/>
                <w:lang w:eastAsia="es-AR"/>
              </w:rPr>
            </w:pPr>
            <w:r w:rsidRPr="004B1829">
              <w:rPr>
                <w:rFonts w:ascii="Arial" w:hAnsi="Arial" w:cs="Arial"/>
                <w:i/>
                <w:color w:val="000000"/>
                <w:sz w:val="16"/>
                <w:szCs w:val="16"/>
              </w:rPr>
              <w:t>15.238</w:t>
            </w:r>
          </w:p>
        </w:tc>
      </w:tr>
      <w:tr w:rsidR="00C11CA1" w:rsidRPr="00701F32" w14:paraId="1F149E1D" w14:textId="77777777" w:rsidTr="00A059FB">
        <w:trPr>
          <w:trHeight w:val="282"/>
          <w:jc w:val="center"/>
        </w:trPr>
        <w:tc>
          <w:tcPr>
            <w:tcW w:w="5126" w:type="dxa"/>
            <w:tcBorders>
              <w:top w:val="single" w:sz="4" w:space="0" w:color="auto"/>
              <w:left w:val="single" w:sz="4" w:space="0" w:color="auto"/>
              <w:bottom w:val="single" w:sz="4" w:space="0" w:color="auto"/>
              <w:right w:val="nil"/>
            </w:tcBorders>
            <w:shd w:val="clear" w:color="auto" w:fill="auto"/>
            <w:vAlign w:val="bottom"/>
            <w:hideMark/>
          </w:tcPr>
          <w:p w14:paraId="1532220E" w14:textId="77777777" w:rsidR="00C11CA1" w:rsidRPr="00701F32" w:rsidRDefault="00C11CA1" w:rsidP="00C11CA1">
            <w:pPr>
              <w:rPr>
                <w:rFonts w:ascii="Arial" w:hAnsi="Arial" w:cs="Arial"/>
                <w:b/>
                <w:bCs/>
                <w:color w:val="000000"/>
                <w:sz w:val="18"/>
                <w:szCs w:val="18"/>
                <w:lang w:eastAsia="es-AR"/>
              </w:rPr>
            </w:pPr>
            <w:r w:rsidRPr="00701F32">
              <w:rPr>
                <w:rFonts w:ascii="Arial" w:hAnsi="Arial" w:cs="Arial"/>
                <w:b/>
                <w:bCs/>
                <w:color w:val="000000"/>
                <w:sz w:val="18"/>
                <w:szCs w:val="18"/>
                <w:lang w:eastAsia="es-AR"/>
              </w:rPr>
              <w:t xml:space="preserve">Total cargo por impuesto a las ganancias del </w:t>
            </w:r>
            <w:r>
              <w:rPr>
                <w:rFonts w:ascii="Arial" w:hAnsi="Arial" w:cs="Arial"/>
                <w:b/>
                <w:bCs/>
                <w:color w:val="000000"/>
                <w:sz w:val="18"/>
                <w:szCs w:val="18"/>
                <w:lang w:eastAsia="es-AR"/>
              </w:rPr>
              <w:t>ejercicio</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bottom"/>
          </w:tcPr>
          <w:p w14:paraId="3F51292F" w14:textId="70EBF74A" w:rsidR="00C11CA1" w:rsidRPr="006E1AF7" w:rsidRDefault="003E3C29" w:rsidP="00C11CA1">
            <w:pPr>
              <w:jc w:val="right"/>
              <w:rPr>
                <w:rFonts w:ascii="Arial" w:hAnsi="Arial" w:cs="Arial"/>
                <w:b/>
                <w:bCs/>
                <w:color w:val="000000"/>
                <w:sz w:val="16"/>
                <w:szCs w:val="16"/>
                <w:lang w:eastAsia="es-AR"/>
              </w:rPr>
            </w:pPr>
            <w:r w:rsidRPr="003E3C29">
              <w:rPr>
                <w:rFonts w:ascii="Arial" w:hAnsi="Arial" w:cs="Arial"/>
                <w:b/>
                <w:bCs/>
                <w:color w:val="000000"/>
                <w:sz w:val="16"/>
                <w:szCs w:val="16"/>
                <w:lang w:eastAsia="es-AR"/>
              </w:rPr>
              <w:t>-544.068</w:t>
            </w:r>
          </w:p>
        </w:tc>
        <w:tc>
          <w:tcPr>
            <w:tcW w:w="1668" w:type="dxa"/>
            <w:tcBorders>
              <w:top w:val="single" w:sz="4" w:space="0" w:color="auto"/>
              <w:left w:val="nil"/>
              <w:bottom w:val="single" w:sz="4" w:space="0" w:color="auto"/>
              <w:right w:val="single" w:sz="4" w:space="0" w:color="auto"/>
            </w:tcBorders>
            <w:shd w:val="clear" w:color="auto" w:fill="auto"/>
            <w:vAlign w:val="bottom"/>
            <w:hideMark/>
          </w:tcPr>
          <w:p w14:paraId="27A5CF76" w14:textId="5B7274B0" w:rsidR="00C11CA1" w:rsidRPr="00701F32" w:rsidRDefault="00C11CA1" w:rsidP="00C11CA1">
            <w:pPr>
              <w:jc w:val="right"/>
              <w:rPr>
                <w:rFonts w:ascii="Arial" w:hAnsi="Arial" w:cs="Arial"/>
                <w:b/>
                <w:bCs/>
                <w:color w:val="000000"/>
                <w:sz w:val="18"/>
                <w:szCs w:val="18"/>
                <w:lang w:eastAsia="es-AR"/>
              </w:rPr>
            </w:pPr>
            <w:r w:rsidRPr="00613EB0">
              <w:rPr>
                <w:rFonts w:ascii="Arial" w:hAnsi="Arial" w:cs="Arial"/>
                <w:b/>
                <w:bCs/>
                <w:color w:val="000000"/>
                <w:sz w:val="16"/>
                <w:szCs w:val="16"/>
              </w:rPr>
              <w:t>604.768</w:t>
            </w:r>
          </w:p>
        </w:tc>
      </w:tr>
      <w:tr w:rsidR="00C11CA1" w:rsidRPr="00701F32" w14:paraId="66C0D187" w14:textId="77777777" w:rsidTr="00A059FB">
        <w:trPr>
          <w:trHeight w:val="282"/>
          <w:jc w:val="center"/>
        </w:trPr>
        <w:tc>
          <w:tcPr>
            <w:tcW w:w="5126" w:type="dxa"/>
            <w:tcBorders>
              <w:top w:val="nil"/>
              <w:left w:val="single" w:sz="4" w:space="0" w:color="auto"/>
              <w:bottom w:val="nil"/>
              <w:right w:val="nil"/>
            </w:tcBorders>
            <w:shd w:val="clear" w:color="auto" w:fill="auto"/>
            <w:vAlign w:val="bottom"/>
            <w:hideMark/>
          </w:tcPr>
          <w:p w14:paraId="75027382" w14:textId="77777777" w:rsidR="00C11CA1" w:rsidRPr="00701F32" w:rsidRDefault="00C11CA1" w:rsidP="00C11CA1">
            <w:pPr>
              <w:rPr>
                <w:rFonts w:ascii="Arial" w:hAnsi="Arial" w:cs="Arial"/>
                <w:b/>
                <w:bCs/>
                <w:color w:val="000000"/>
                <w:sz w:val="18"/>
                <w:szCs w:val="18"/>
                <w:lang w:eastAsia="es-AR"/>
              </w:rPr>
            </w:pPr>
            <w:r w:rsidRPr="00701F32">
              <w:rPr>
                <w:rFonts w:ascii="Arial" w:hAnsi="Arial" w:cs="Arial"/>
                <w:b/>
                <w:bCs/>
                <w:color w:val="000000"/>
                <w:sz w:val="18"/>
                <w:szCs w:val="18"/>
                <w:lang w:eastAsia="es-AR"/>
              </w:rPr>
              <w:t>- Diferencias temporarias a la tasa del impuesto</w:t>
            </w:r>
          </w:p>
        </w:tc>
        <w:tc>
          <w:tcPr>
            <w:tcW w:w="1668" w:type="dxa"/>
            <w:tcBorders>
              <w:top w:val="nil"/>
              <w:left w:val="single" w:sz="4" w:space="0" w:color="auto"/>
              <w:bottom w:val="nil"/>
              <w:right w:val="single" w:sz="4" w:space="0" w:color="auto"/>
            </w:tcBorders>
            <w:shd w:val="clear" w:color="auto" w:fill="auto"/>
            <w:vAlign w:val="bottom"/>
          </w:tcPr>
          <w:p w14:paraId="7A162C2C" w14:textId="3F6111D0" w:rsidR="00C11CA1" w:rsidRPr="006E1AF7" w:rsidRDefault="003E3C29" w:rsidP="00C11CA1">
            <w:pPr>
              <w:jc w:val="right"/>
              <w:rPr>
                <w:rFonts w:ascii="Arial" w:hAnsi="Arial" w:cs="Arial"/>
                <w:color w:val="000000"/>
                <w:sz w:val="16"/>
                <w:szCs w:val="16"/>
                <w:lang w:eastAsia="es-AR"/>
              </w:rPr>
            </w:pPr>
            <w:r w:rsidRPr="003E3C29">
              <w:rPr>
                <w:rFonts w:ascii="Arial" w:hAnsi="Arial" w:cs="Arial"/>
                <w:color w:val="000000"/>
                <w:sz w:val="16"/>
                <w:szCs w:val="16"/>
                <w:lang w:eastAsia="es-AR"/>
              </w:rPr>
              <w:t>-141.312</w:t>
            </w:r>
          </w:p>
        </w:tc>
        <w:tc>
          <w:tcPr>
            <w:tcW w:w="1668" w:type="dxa"/>
            <w:tcBorders>
              <w:top w:val="nil"/>
              <w:left w:val="nil"/>
              <w:bottom w:val="nil"/>
              <w:right w:val="single" w:sz="4" w:space="0" w:color="auto"/>
            </w:tcBorders>
            <w:shd w:val="clear" w:color="auto" w:fill="auto"/>
            <w:vAlign w:val="bottom"/>
            <w:hideMark/>
          </w:tcPr>
          <w:p w14:paraId="3FA98E31" w14:textId="247B204B" w:rsidR="00C11CA1" w:rsidRPr="00701F32" w:rsidRDefault="00C11CA1" w:rsidP="00C11CA1">
            <w:pPr>
              <w:jc w:val="right"/>
              <w:rPr>
                <w:rFonts w:ascii="Arial" w:hAnsi="Arial" w:cs="Arial"/>
                <w:color w:val="000000"/>
                <w:sz w:val="18"/>
                <w:szCs w:val="18"/>
                <w:lang w:eastAsia="es-AR"/>
              </w:rPr>
            </w:pPr>
            <w:r w:rsidRPr="00613EB0">
              <w:rPr>
                <w:rFonts w:ascii="Arial" w:hAnsi="Arial" w:cs="Arial"/>
                <w:color w:val="000000"/>
                <w:sz w:val="16"/>
                <w:szCs w:val="16"/>
              </w:rPr>
              <w:t>-219.005</w:t>
            </w:r>
          </w:p>
        </w:tc>
      </w:tr>
      <w:tr w:rsidR="00C11CA1" w:rsidRPr="00701F32" w14:paraId="2579544C" w14:textId="77777777" w:rsidTr="00A059FB">
        <w:trPr>
          <w:trHeight w:val="504"/>
          <w:jc w:val="center"/>
        </w:trPr>
        <w:tc>
          <w:tcPr>
            <w:tcW w:w="5126" w:type="dxa"/>
            <w:tcBorders>
              <w:top w:val="nil"/>
              <w:left w:val="single" w:sz="4" w:space="0" w:color="auto"/>
              <w:bottom w:val="nil"/>
              <w:right w:val="nil"/>
            </w:tcBorders>
            <w:shd w:val="clear" w:color="auto" w:fill="auto"/>
            <w:vAlign w:val="bottom"/>
          </w:tcPr>
          <w:p w14:paraId="0E331F2F" w14:textId="77777777" w:rsidR="00C11CA1" w:rsidRPr="00701F32" w:rsidRDefault="00C11CA1" w:rsidP="00C11CA1">
            <w:pPr>
              <w:ind w:left="5" w:hanging="5"/>
              <w:rPr>
                <w:rFonts w:ascii="Arial" w:hAnsi="Arial" w:cs="Arial"/>
                <w:b/>
                <w:bCs/>
                <w:color w:val="000000"/>
                <w:sz w:val="18"/>
                <w:szCs w:val="18"/>
                <w:lang w:eastAsia="es-AR"/>
              </w:rPr>
            </w:pPr>
            <w:r w:rsidRPr="00701F32">
              <w:rPr>
                <w:rFonts w:ascii="Arial" w:hAnsi="Arial" w:cs="Arial"/>
                <w:b/>
                <w:bCs/>
                <w:color w:val="000000"/>
                <w:sz w:val="18"/>
                <w:szCs w:val="18"/>
                <w:lang w:eastAsia="es-AR"/>
              </w:rPr>
              <w:t>- Diferencia entre DDJJ y provisión del impuesto a las   ganancias</w:t>
            </w:r>
          </w:p>
        </w:tc>
        <w:tc>
          <w:tcPr>
            <w:tcW w:w="1668" w:type="dxa"/>
            <w:tcBorders>
              <w:top w:val="nil"/>
              <w:left w:val="single" w:sz="4" w:space="0" w:color="auto"/>
              <w:bottom w:val="nil"/>
              <w:right w:val="single" w:sz="4" w:space="0" w:color="auto"/>
            </w:tcBorders>
            <w:shd w:val="clear" w:color="auto" w:fill="auto"/>
            <w:vAlign w:val="bottom"/>
          </w:tcPr>
          <w:p w14:paraId="5A3FFA35" w14:textId="13B4CD56" w:rsidR="00C11CA1" w:rsidRPr="006E1AF7" w:rsidRDefault="003E3C29" w:rsidP="00C11CA1">
            <w:pPr>
              <w:jc w:val="right"/>
              <w:rPr>
                <w:rFonts w:ascii="Arial" w:hAnsi="Arial" w:cs="Arial"/>
                <w:color w:val="000000"/>
                <w:sz w:val="16"/>
                <w:szCs w:val="16"/>
                <w:lang w:eastAsia="es-AR"/>
              </w:rPr>
            </w:pPr>
            <w:r w:rsidRPr="003E3C29">
              <w:rPr>
                <w:rFonts w:ascii="Arial" w:hAnsi="Arial" w:cs="Arial"/>
                <w:color w:val="000000"/>
                <w:sz w:val="16"/>
                <w:szCs w:val="16"/>
                <w:lang w:eastAsia="es-AR"/>
              </w:rPr>
              <w:t>-45.31</w:t>
            </w:r>
            <w:r w:rsidR="00794B6E">
              <w:rPr>
                <w:rFonts w:ascii="Arial" w:hAnsi="Arial" w:cs="Arial"/>
                <w:color w:val="000000"/>
                <w:sz w:val="16"/>
                <w:szCs w:val="16"/>
                <w:lang w:eastAsia="es-AR"/>
              </w:rPr>
              <w:t>8</w:t>
            </w:r>
          </w:p>
        </w:tc>
        <w:tc>
          <w:tcPr>
            <w:tcW w:w="1668" w:type="dxa"/>
            <w:tcBorders>
              <w:top w:val="nil"/>
              <w:left w:val="nil"/>
              <w:bottom w:val="nil"/>
              <w:right w:val="single" w:sz="4" w:space="0" w:color="auto"/>
            </w:tcBorders>
            <w:shd w:val="clear" w:color="auto" w:fill="auto"/>
            <w:vAlign w:val="bottom"/>
          </w:tcPr>
          <w:p w14:paraId="636E9C91" w14:textId="6E6D3C5B" w:rsidR="00C11CA1" w:rsidRPr="00701F32" w:rsidRDefault="00C11CA1" w:rsidP="00C11CA1">
            <w:pPr>
              <w:jc w:val="right"/>
              <w:rPr>
                <w:rFonts w:ascii="Arial" w:hAnsi="Arial" w:cs="Arial"/>
                <w:color w:val="000000"/>
                <w:sz w:val="18"/>
                <w:szCs w:val="18"/>
                <w:lang w:eastAsia="es-AR"/>
              </w:rPr>
            </w:pPr>
            <w:r w:rsidRPr="00613EB0">
              <w:rPr>
                <w:rFonts w:ascii="Arial" w:hAnsi="Arial" w:cs="Arial"/>
                <w:color w:val="000000"/>
                <w:sz w:val="16"/>
                <w:szCs w:val="16"/>
              </w:rPr>
              <w:t>-55.53</w:t>
            </w:r>
            <w:r>
              <w:rPr>
                <w:rFonts w:ascii="Arial" w:hAnsi="Arial" w:cs="Arial"/>
                <w:color w:val="000000"/>
                <w:sz w:val="16"/>
                <w:szCs w:val="16"/>
              </w:rPr>
              <w:t>5</w:t>
            </w:r>
          </w:p>
        </w:tc>
      </w:tr>
      <w:tr w:rsidR="003E3C29" w:rsidRPr="00701F32" w14:paraId="21049C46" w14:textId="77777777" w:rsidTr="00A059FB">
        <w:trPr>
          <w:trHeight w:val="239"/>
          <w:jc w:val="center"/>
        </w:trPr>
        <w:tc>
          <w:tcPr>
            <w:tcW w:w="5126" w:type="dxa"/>
            <w:tcBorders>
              <w:top w:val="nil"/>
              <w:left w:val="single" w:sz="4" w:space="0" w:color="auto"/>
              <w:bottom w:val="nil"/>
              <w:right w:val="nil"/>
            </w:tcBorders>
            <w:shd w:val="clear" w:color="auto" w:fill="auto"/>
            <w:vAlign w:val="bottom"/>
          </w:tcPr>
          <w:p w14:paraId="4ABC6511" w14:textId="0FF88753" w:rsidR="003E3C29" w:rsidRPr="00701F32" w:rsidRDefault="00110658" w:rsidP="00C11CA1">
            <w:pPr>
              <w:ind w:left="5" w:hanging="5"/>
              <w:rPr>
                <w:rFonts w:ascii="Arial" w:hAnsi="Arial" w:cs="Arial"/>
                <w:b/>
                <w:bCs/>
                <w:color w:val="000000"/>
                <w:sz w:val="18"/>
                <w:szCs w:val="18"/>
                <w:lang w:eastAsia="es-AR"/>
              </w:rPr>
            </w:pPr>
            <w:r>
              <w:rPr>
                <w:rFonts w:ascii="Arial" w:hAnsi="Arial" w:cs="Arial"/>
                <w:b/>
                <w:bCs/>
                <w:color w:val="000000"/>
                <w:sz w:val="18"/>
                <w:szCs w:val="18"/>
                <w:lang w:eastAsia="es-AR"/>
              </w:rPr>
              <w:t xml:space="preserve">- </w:t>
            </w:r>
            <w:r w:rsidR="003E3C29">
              <w:rPr>
                <w:rFonts w:ascii="Arial" w:hAnsi="Arial" w:cs="Arial"/>
                <w:b/>
                <w:bCs/>
                <w:color w:val="000000"/>
                <w:sz w:val="18"/>
                <w:szCs w:val="18"/>
                <w:lang w:eastAsia="es-AR"/>
              </w:rPr>
              <w:t>Ajuste por Inflacion</w:t>
            </w:r>
            <w:r w:rsidR="0089545B">
              <w:rPr>
                <w:rFonts w:ascii="Arial" w:hAnsi="Arial" w:cs="Arial"/>
                <w:b/>
                <w:bCs/>
                <w:color w:val="000000"/>
                <w:sz w:val="18"/>
                <w:szCs w:val="18"/>
                <w:lang w:eastAsia="es-AR"/>
              </w:rPr>
              <w:t xml:space="preserve"> impositivo</w:t>
            </w:r>
          </w:p>
        </w:tc>
        <w:tc>
          <w:tcPr>
            <w:tcW w:w="1668" w:type="dxa"/>
            <w:tcBorders>
              <w:top w:val="nil"/>
              <w:left w:val="single" w:sz="4" w:space="0" w:color="auto"/>
              <w:bottom w:val="nil"/>
              <w:right w:val="single" w:sz="4" w:space="0" w:color="auto"/>
            </w:tcBorders>
            <w:shd w:val="clear" w:color="auto" w:fill="auto"/>
            <w:vAlign w:val="bottom"/>
          </w:tcPr>
          <w:p w14:paraId="387E269A" w14:textId="5F5B80A3" w:rsidR="003E3C29" w:rsidRPr="006E1AF7" w:rsidRDefault="003E3C29" w:rsidP="00C11CA1">
            <w:pPr>
              <w:jc w:val="right"/>
              <w:rPr>
                <w:rFonts w:ascii="Arial" w:hAnsi="Arial" w:cs="Arial"/>
                <w:color w:val="000000"/>
                <w:sz w:val="16"/>
                <w:szCs w:val="16"/>
                <w:lang w:eastAsia="es-AR"/>
              </w:rPr>
            </w:pPr>
            <w:r w:rsidRPr="003E3C29">
              <w:rPr>
                <w:rFonts w:ascii="Arial" w:hAnsi="Arial" w:cs="Arial"/>
                <w:color w:val="000000"/>
                <w:sz w:val="16"/>
                <w:szCs w:val="16"/>
                <w:lang w:eastAsia="es-AR"/>
              </w:rPr>
              <w:t>898.316</w:t>
            </w:r>
          </w:p>
        </w:tc>
        <w:tc>
          <w:tcPr>
            <w:tcW w:w="1668" w:type="dxa"/>
            <w:tcBorders>
              <w:top w:val="nil"/>
              <w:left w:val="nil"/>
              <w:bottom w:val="nil"/>
              <w:right w:val="single" w:sz="4" w:space="0" w:color="auto"/>
            </w:tcBorders>
            <w:shd w:val="clear" w:color="auto" w:fill="auto"/>
            <w:vAlign w:val="bottom"/>
          </w:tcPr>
          <w:p w14:paraId="5A9BAB39" w14:textId="16C0EBA9" w:rsidR="003E3C29" w:rsidRPr="00613EB0" w:rsidRDefault="003E3C29" w:rsidP="00C11CA1">
            <w:pPr>
              <w:jc w:val="right"/>
              <w:rPr>
                <w:rFonts w:ascii="Arial" w:hAnsi="Arial" w:cs="Arial"/>
                <w:color w:val="000000"/>
                <w:sz w:val="16"/>
                <w:szCs w:val="16"/>
              </w:rPr>
            </w:pPr>
            <w:r>
              <w:rPr>
                <w:rFonts w:ascii="Arial" w:hAnsi="Arial" w:cs="Arial"/>
                <w:color w:val="000000"/>
                <w:sz w:val="16"/>
                <w:szCs w:val="16"/>
              </w:rPr>
              <w:t>-</w:t>
            </w:r>
          </w:p>
        </w:tc>
      </w:tr>
      <w:tr w:rsidR="00C11CA1" w:rsidRPr="00701F32" w14:paraId="09A52FE2" w14:textId="77777777" w:rsidTr="00A059FB">
        <w:trPr>
          <w:trHeight w:val="282"/>
          <w:jc w:val="center"/>
        </w:trPr>
        <w:tc>
          <w:tcPr>
            <w:tcW w:w="5126" w:type="dxa"/>
            <w:tcBorders>
              <w:top w:val="single" w:sz="4" w:space="0" w:color="auto"/>
              <w:left w:val="single" w:sz="4" w:space="0" w:color="auto"/>
              <w:bottom w:val="single" w:sz="4" w:space="0" w:color="auto"/>
              <w:right w:val="nil"/>
            </w:tcBorders>
            <w:shd w:val="clear" w:color="auto" w:fill="auto"/>
            <w:vAlign w:val="bottom"/>
            <w:hideMark/>
          </w:tcPr>
          <w:p w14:paraId="3AA3B77C" w14:textId="77777777" w:rsidR="00C11CA1" w:rsidRPr="00701F32" w:rsidRDefault="00C11CA1" w:rsidP="00C11CA1">
            <w:pPr>
              <w:rPr>
                <w:rFonts w:ascii="Arial" w:hAnsi="Arial" w:cs="Arial"/>
                <w:b/>
                <w:bCs/>
                <w:color w:val="000000"/>
                <w:sz w:val="18"/>
                <w:szCs w:val="18"/>
                <w:lang w:eastAsia="es-AR"/>
              </w:rPr>
            </w:pPr>
            <w:r w:rsidRPr="00701F32">
              <w:rPr>
                <w:rFonts w:ascii="Arial" w:hAnsi="Arial" w:cs="Arial"/>
                <w:b/>
                <w:bCs/>
                <w:color w:val="000000"/>
                <w:sz w:val="18"/>
                <w:szCs w:val="18"/>
                <w:lang w:eastAsia="es-AR"/>
              </w:rPr>
              <w:t>Total impuesto del ejercicio determinado a los fines fiscales</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bottom"/>
          </w:tcPr>
          <w:p w14:paraId="35C2DBA7" w14:textId="4C5DD090" w:rsidR="00C11CA1" w:rsidRPr="006E1AF7" w:rsidRDefault="003E3C29" w:rsidP="00C11CA1">
            <w:pPr>
              <w:jc w:val="right"/>
              <w:rPr>
                <w:rFonts w:ascii="Arial" w:hAnsi="Arial" w:cs="Arial"/>
                <w:b/>
                <w:bCs/>
                <w:color w:val="000000"/>
                <w:sz w:val="16"/>
                <w:szCs w:val="16"/>
                <w:lang w:eastAsia="es-AR"/>
              </w:rPr>
            </w:pPr>
            <w:r w:rsidRPr="003E3C29">
              <w:rPr>
                <w:rFonts w:ascii="Arial" w:hAnsi="Arial" w:cs="Arial"/>
                <w:b/>
                <w:bCs/>
                <w:color w:val="000000"/>
                <w:sz w:val="16"/>
                <w:szCs w:val="16"/>
                <w:lang w:eastAsia="es-AR"/>
              </w:rPr>
              <w:t>167.618</w:t>
            </w:r>
          </w:p>
        </w:tc>
        <w:tc>
          <w:tcPr>
            <w:tcW w:w="1668" w:type="dxa"/>
            <w:tcBorders>
              <w:top w:val="single" w:sz="4" w:space="0" w:color="auto"/>
              <w:left w:val="nil"/>
              <w:bottom w:val="single" w:sz="4" w:space="0" w:color="auto"/>
              <w:right w:val="single" w:sz="4" w:space="0" w:color="auto"/>
            </w:tcBorders>
            <w:shd w:val="clear" w:color="auto" w:fill="auto"/>
            <w:vAlign w:val="bottom"/>
            <w:hideMark/>
          </w:tcPr>
          <w:p w14:paraId="0F7153B6" w14:textId="02EF8725" w:rsidR="00C11CA1" w:rsidRPr="00D5782F" w:rsidRDefault="00C11CA1" w:rsidP="00C11CA1">
            <w:pPr>
              <w:jc w:val="right"/>
              <w:rPr>
                <w:rFonts w:ascii="Arial" w:hAnsi="Arial" w:cs="Arial"/>
                <w:b/>
                <w:bCs/>
                <w:color w:val="000000"/>
                <w:sz w:val="18"/>
                <w:szCs w:val="18"/>
                <w:lang w:eastAsia="es-AR"/>
              </w:rPr>
            </w:pPr>
            <w:r w:rsidRPr="00613EB0">
              <w:rPr>
                <w:rFonts w:ascii="Arial" w:hAnsi="Arial" w:cs="Arial"/>
                <w:b/>
                <w:bCs/>
                <w:color w:val="000000"/>
                <w:sz w:val="16"/>
                <w:szCs w:val="16"/>
              </w:rPr>
              <w:t>330.228</w:t>
            </w:r>
          </w:p>
        </w:tc>
      </w:tr>
      <w:tr w:rsidR="00C11CA1" w:rsidRPr="00701F32" w14:paraId="576CB211" w14:textId="77777777" w:rsidTr="00A059FB">
        <w:trPr>
          <w:trHeight w:val="282"/>
          <w:jc w:val="center"/>
        </w:trPr>
        <w:tc>
          <w:tcPr>
            <w:tcW w:w="5126" w:type="dxa"/>
            <w:tcBorders>
              <w:top w:val="nil"/>
              <w:left w:val="single" w:sz="4" w:space="0" w:color="auto"/>
              <w:bottom w:val="nil"/>
              <w:right w:val="nil"/>
            </w:tcBorders>
            <w:shd w:val="clear" w:color="auto" w:fill="auto"/>
            <w:vAlign w:val="bottom"/>
            <w:hideMark/>
          </w:tcPr>
          <w:p w14:paraId="212A9E83" w14:textId="77777777" w:rsidR="00C11CA1" w:rsidRPr="00701F32" w:rsidRDefault="00C11CA1" w:rsidP="00C11CA1">
            <w:pPr>
              <w:rPr>
                <w:rFonts w:ascii="Arial" w:hAnsi="Arial" w:cs="Arial"/>
                <w:color w:val="000000"/>
                <w:sz w:val="18"/>
                <w:szCs w:val="18"/>
                <w:lang w:eastAsia="es-AR"/>
              </w:rPr>
            </w:pPr>
            <w:r w:rsidRPr="00701F32">
              <w:rPr>
                <w:rFonts w:ascii="Arial" w:hAnsi="Arial" w:cs="Arial"/>
                <w:color w:val="000000"/>
                <w:sz w:val="18"/>
                <w:szCs w:val="18"/>
                <w:lang w:eastAsia="es-AR"/>
              </w:rPr>
              <w:t>Pagos a cuenta del impuesto a las ganancias</w:t>
            </w:r>
          </w:p>
        </w:tc>
        <w:tc>
          <w:tcPr>
            <w:tcW w:w="1668" w:type="dxa"/>
            <w:tcBorders>
              <w:top w:val="nil"/>
              <w:left w:val="single" w:sz="4" w:space="0" w:color="auto"/>
              <w:bottom w:val="nil"/>
              <w:right w:val="single" w:sz="4" w:space="0" w:color="auto"/>
            </w:tcBorders>
            <w:shd w:val="clear" w:color="auto" w:fill="auto"/>
            <w:vAlign w:val="bottom"/>
          </w:tcPr>
          <w:p w14:paraId="7B0FBDE9" w14:textId="4616F1CA" w:rsidR="00C11CA1" w:rsidRPr="006E1AF7" w:rsidRDefault="003E3C29" w:rsidP="00C11CA1">
            <w:pPr>
              <w:jc w:val="right"/>
              <w:rPr>
                <w:rFonts w:ascii="Arial" w:hAnsi="Arial" w:cs="Arial"/>
                <w:color w:val="000000"/>
                <w:sz w:val="16"/>
                <w:szCs w:val="16"/>
                <w:lang w:eastAsia="es-AR"/>
              </w:rPr>
            </w:pPr>
            <w:r w:rsidRPr="006E1AF7">
              <w:rPr>
                <w:rFonts w:ascii="Arial" w:hAnsi="Arial" w:cs="Arial"/>
                <w:color w:val="000000"/>
                <w:sz w:val="16"/>
                <w:szCs w:val="16"/>
                <w:lang w:eastAsia="es-AR"/>
              </w:rPr>
              <w:t>-</w:t>
            </w:r>
          </w:p>
        </w:tc>
        <w:tc>
          <w:tcPr>
            <w:tcW w:w="1668" w:type="dxa"/>
            <w:tcBorders>
              <w:top w:val="nil"/>
              <w:left w:val="nil"/>
              <w:bottom w:val="nil"/>
              <w:right w:val="single" w:sz="4" w:space="0" w:color="auto"/>
            </w:tcBorders>
            <w:shd w:val="clear" w:color="auto" w:fill="auto"/>
            <w:vAlign w:val="bottom"/>
            <w:hideMark/>
          </w:tcPr>
          <w:p w14:paraId="25F587EF" w14:textId="04A0C3F6" w:rsidR="00C11CA1" w:rsidRPr="00701F32" w:rsidRDefault="00C11CA1" w:rsidP="00C11CA1">
            <w:pPr>
              <w:jc w:val="right"/>
              <w:rPr>
                <w:rFonts w:ascii="Arial" w:hAnsi="Arial" w:cs="Arial"/>
                <w:color w:val="000000"/>
                <w:sz w:val="18"/>
                <w:szCs w:val="18"/>
                <w:lang w:eastAsia="es-AR"/>
              </w:rPr>
            </w:pPr>
            <w:r w:rsidRPr="00613EB0">
              <w:rPr>
                <w:rFonts w:ascii="Arial" w:hAnsi="Arial" w:cs="Arial"/>
                <w:color w:val="000000"/>
                <w:sz w:val="16"/>
                <w:szCs w:val="16"/>
              </w:rPr>
              <w:t>-</w:t>
            </w:r>
          </w:p>
        </w:tc>
      </w:tr>
      <w:tr w:rsidR="00C11CA1" w:rsidRPr="00701F32" w14:paraId="794682B8" w14:textId="77777777" w:rsidTr="00A059FB">
        <w:trPr>
          <w:trHeight w:val="282"/>
          <w:jc w:val="center"/>
        </w:trPr>
        <w:tc>
          <w:tcPr>
            <w:tcW w:w="5126" w:type="dxa"/>
            <w:tcBorders>
              <w:top w:val="single" w:sz="4" w:space="0" w:color="auto"/>
              <w:left w:val="single" w:sz="4" w:space="0" w:color="auto"/>
              <w:bottom w:val="single" w:sz="4" w:space="0" w:color="auto"/>
              <w:right w:val="nil"/>
            </w:tcBorders>
            <w:shd w:val="clear" w:color="auto" w:fill="auto"/>
            <w:vAlign w:val="bottom"/>
            <w:hideMark/>
          </w:tcPr>
          <w:p w14:paraId="7FF812A2" w14:textId="77777777" w:rsidR="00C11CA1" w:rsidRPr="00701F32" w:rsidRDefault="00C11CA1" w:rsidP="00C11CA1">
            <w:pPr>
              <w:rPr>
                <w:rFonts w:ascii="Arial" w:hAnsi="Arial" w:cs="Arial"/>
                <w:b/>
                <w:bCs/>
                <w:color w:val="000000"/>
                <w:sz w:val="18"/>
                <w:szCs w:val="18"/>
                <w:lang w:val="es-ES_tradnl" w:eastAsia="es-AR"/>
              </w:rPr>
            </w:pPr>
            <w:r w:rsidRPr="00701F32">
              <w:rPr>
                <w:rFonts w:ascii="Arial" w:hAnsi="Arial" w:cs="Arial"/>
                <w:b/>
                <w:bCs/>
                <w:color w:val="000000"/>
                <w:sz w:val="18"/>
                <w:szCs w:val="18"/>
                <w:lang w:eastAsia="es-AR"/>
              </w:rPr>
              <w:t>Impuesto a las ganancias a pagar</w:t>
            </w:r>
          </w:p>
        </w:tc>
        <w:tc>
          <w:tcPr>
            <w:tcW w:w="1668" w:type="dxa"/>
            <w:tcBorders>
              <w:top w:val="single" w:sz="4" w:space="0" w:color="auto"/>
              <w:left w:val="single" w:sz="4" w:space="0" w:color="auto"/>
              <w:bottom w:val="single" w:sz="4" w:space="0" w:color="auto"/>
              <w:right w:val="single" w:sz="4" w:space="0" w:color="auto"/>
            </w:tcBorders>
            <w:shd w:val="clear" w:color="auto" w:fill="auto"/>
            <w:vAlign w:val="bottom"/>
          </w:tcPr>
          <w:p w14:paraId="6AEFD699" w14:textId="3A411FF3" w:rsidR="00C11CA1" w:rsidRPr="006E1AF7" w:rsidRDefault="003E3C29" w:rsidP="00C11CA1">
            <w:pPr>
              <w:jc w:val="right"/>
              <w:rPr>
                <w:rFonts w:ascii="Arial" w:hAnsi="Arial" w:cs="Arial"/>
                <w:b/>
                <w:bCs/>
                <w:color w:val="000000"/>
                <w:sz w:val="16"/>
                <w:szCs w:val="16"/>
                <w:lang w:eastAsia="es-AR"/>
              </w:rPr>
            </w:pPr>
            <w:r w:rsidRPr="003E3C29">
              <w:rPr>
                <w:rFonts w:ascii="Arial" w:hAnsi="Arial" w:cs="Arial"/>
                <w:b/>
                <w:bCs/>
                <w:color w:val="000000"/>
                <w:sz w:val="16"/>
                <w:szCs w:val="16"/>
                <w:lang w:eastAsia="es-AR"/>
              </w:rPr>
              <w:t>167.618</w:t>
            </w:r>
          </w:p>
        </w:tc>
        <w:tc>
          <w:tcPr>
            <w:tcW w:w="1668" w:type="dxa"/>
            <w:tcBorders>
              <w:top w:val="single" w:sz="4" w:space="0" w:color="auto"/>
              <w:left w:val="nil"/>
              <w:bottom w:val="single" w:sz="4" w:space="0" w:color="auto"/>
              <w:right w:val="single" w:sz="4" w:space="0" w:color="auto"/>
            </w:tcBorders>
            <w:shd w:val="clear" w:color="auto" w:fill="auto"/>
            <w:vAlign w:val="bottom"/>
            <w:hideMark/>
          </w:tcPr>
          <w:p w14:paraId="0E088E44" w14:textId="27F22D4E" w:rsidR="00C11CA1" w:rsidRPr="00701F32" w:rsidRDefault="00C11CA1" w:rsidP="00C11CA1">
            <w:pPr>
              <w:jc w:val="right"/>
              <w:rPr>
                <w:rFonts w:ascii="Arial" w:hAnsi="Arial" w:cs="Arial"/>
                <w:b/>
                <w:bCs/>
                <w:color w:val="000000"/>
                <w:sz w:val="18"/>
                <w:szCs w:val="18"/>
                <w:lang w:eastAsia="es-AR"/>
              </w:rPr>
            </w:pPr>
            <w:r w:rsidRPr="00613EB0">
              <w:rPr>
                <w:rFonts w:ascii="Arial" w:hAnsi="Arial" w:cs="Arial"/>
                <w:b/>
                <w:bCs/>
                <w:color w:val="000000"/>
                <w:sz w:val="16"/>
                <w:szCs w:val="16"/>
              </w:rPr>
              <w:t>330.228</w:t>
            </w:r>
          </w:p>
        </w:tc>
      </w:tr>
    </w:tbl>
    <w:p w14:paraId="2111B9A4" w14:textId="77777777" w:rsidR="00C11CA1" w:rsidRPr="00701F32" w:rsidRDefault="00C11CA1" w:rsidP="00C11CA1">
      <w:pPr>
        <w:jc w:val="both"/>
        <w:rPr>
          <w:rFonts w:ascii="Arial" w:hAnsi="Arial" w:cs="Arial"/>
          <w:sz w:val="20"/>
        </w:rPr>
      </w:pPr>
    </w:p>
    <w:p w14:paraId="400B9887" w14:textId="1A81C004" w:rsidR="00C11CA1" w:rsidRDefault="00C11CA1" w:rsidP="00C11CA1">
      <w:pPr>
        <w:jc w:val="both"/>
        <w:rPr>
          <w:rFonts w:ascii="Arial" w:hAnsi="Arial" w:cs="Arial"/>
          <w:sz w:val="20"/>
        </w:rPr>
      </w:pPr>
      <w:r w:rsidRPr="00613EB0">
        <w:rPr>
          <w:rFonts w:ascii="Arial" w:eastAsia="SimSun" w:hAnsi="Arial" w:cs="Arial"/>
          <w:sz w:val="20"/>
          <w:lang w:eastAsia="zh-CN"/>
        </w:rPr>
        <w:t>El movimiento en los activos y pasivos por el impuesto diferido</w:t>
      </w:r>
      <w:r>
        <w:rPr>
          <w:rFonts w:ascii="Arial" w:eastAsia="SimSun" w:hAnsi="Arial" w:cs="Arial"/>
          <w:sz w:val="20"/>
          <w:lang w:eastAsia="zh-CN"/>
        </w:rPr>
        <w:t xml:space="preserve"> al 31 de diciembre de 2019 y 2018</w:t>
      </w:r>
      <w:r w:rsidRPr="00613EB0">
        <w:rPr>
          <w:rFonts w:ascii="Arial" w:eastAsia="SimSun" w:hAnsi="Arial" w:cs="Arial"/>
          <w:sz w:val="20"/>
          <w:lang w:eastAsia="zh-CN"/>
        </w:rPr>
        <w:t>, es el siguiente:</w:t>
      </w:r>
    </w:p>
    <w:p w14:paraId="17E7459E" w14:textId="77777777" w:rsidR="00C11CA1" w:rsidRDefault="00C11CA1" w:rsidP="00C11CA1">
      <w:pPr>
        <w:jc w:val="both"/>
        <w:rPr>
          <w:rFonts w:ascii="Arial" w:hAnsi="Arial" w:cs="Arial"/>
          <w:sz w:val="20"/>
        </w:rPr>
      </w:pPr>
    </w:p>
    <w:tbl>
      <w:tblPr>
        <w:tblW w:w="8406" w:type="dxa"/>
        <w:tblInd w:w="80" w:type="dxa"/>
        <w:tblCellMar>
          <w:left w:w="70" w:type="dxa"/>
          <w:right w:w="70" w:type="dxa"/>
        </w:tblCellMar>
        <w:tblLook w:val="04A0" w:firstRow="1" w:lastRow="0" w:firstColumn="1" w:lastColumn="0" w:noHBand="0" w:noVBand="1"/>
      </w:tblPr>
      <w:tblGrid>
        <w:gridCol w:w="3487"/>
        <w:gridCol w:w="1224"/>
        <w:gridCol w:w="1352"/>
        <w:gridCol w:w="1308"/>
        <w:gridCol w:w="1035"/>
      </w:tblGrid>
      <w:tr w:rsidR="00C11CA1" w:rsidRPr="00AC4AB2" w14:paraId="566E5B68" w14:textId="77777777" w:rsidTr="00B57E77">
        <w:trPr>
          <w:trHeight w:val="1206"/>
          <w:tblHeader/>
        </w:trPr>
        <w:tc>
          <w:tcPr>
            <w:tcW w:w="3487"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E667852" w14:textId="77777777" w:rsidR="00C11CA1" w:rsidRPr="00AC4AB2" w:rsidRDefault="00C11CA1" w:rsidP="00DF0784">
            <w:pPr>
              <w:jc w:val="center"/>
              <w:rPr>
                <w:rFonts w:ascii="Arial" w:hAnsi="Arial" w:cs="Arial"/>
                <w:b/>
                <w:bCs/>
                <w:color w:val="000000"/>
                <w:sz w:val="18"/>
                <w:szCs w:val="18"/>
                <w:lang w:eastAsia="es-AR"/>
              </w:rPr>
            </w:pPr>
            <w:r w:rsidRPr="009B7A13">
              <w:rPr>
                <w:rFonts w:ascii="Arial" w:hAnsi="Arial" w:cs="Arial"/>
                <w:b/>
                <w:bCs/>
                <w:color w:val="000000"/>
                <w:sz w:val="18"/>
                <w:szCs w:val="18"/>
                <w:lang w:eastAsia="es-AR"/>
              </w:rPr>
              <w:t>Detalle</w:t>
            </w:r>
          </w:p>
        </w:tc>
        <w:tc>
          <w:tcPr>
            <w:tcW w:w="1224" w:type="dxa"/>
            <w:tcBorders>
              <w:top w:val="single" w:sz="8" w:space="0" w:color="auto"/>
              <w:left w:val="nil"/>
              <w:bottom w:val="single" w:sz="8" w:space="0" w:color="auto"/>
              <w:right w:val="single" w:sz="4" w:space="0" w:color="auto"/>
            </w:tcBorders>
            <w:shd w:val="clear" w:color="auto" w:fill="auto"/>
            <w:vAlign w:val="center"/>
            <w:hideMark/>
          </w:tcPr>
          <w:p w14:paraId="5C22A4EC" w14:textId="2DE469B5" w:rsidR="00C11CA1" w:rsidRPr="00AC4AB2" w:rsidRDefault="00C11CA1" w:rsidP="00DF0784">
            <w:pPr>
              <w:jc w:val="center"/>
              <w:rPr>
                <w:rFonts w:ascii="Arial" w:hAnsi="Arial" w:cs="Arial"/>
                <w:b/>
                <w:bCs/>
                <w:color w:val="000000"/>
                <w:sz w:val="18"/>
                <w:szCs w:val="18"/>
                <w:lang w:eastAsia="es-AR"/>
              </w:rPr>
            </w:pPr>
            <w:r w:rsidRPr="00AC4AB2">
              <w:rPr>
                <w:rFonts w:ascii="Arial" w:hAnsi="Arial" w:cs="Arial"/>
                <w:b/>
                <w:bCs/>
                <w:color w:val="000000"/>
                <w:sz w:val="18"/>
                <w:szCs w:val="18"/>
                <w:lang w:eastAsia="es-AR"/>
              </w:rPr>
              <w:t>Impuesto Diferido</w:t>
            </w:r>
            <w:r w:rsidR="0089545B">
              <w:rPr>
                <w:rFonts w:ascii="Arial" w:hAnsi="Arial" w:cs="Arial"/>
                <w:b/>
                <w:bCs/>
                <w:color w:val="000000"/>
                <w:sz w:val="18"/>
                <w:szCs w:val="18"/>
                <w:lang w:eastAsia="es-AR"/>
              </w:rPr>
              <w:t xml:space="preserve"> </w:t>
            </w:r>
            <w:r w:rsidRPr="00AC4AB2">
              <w:rPr>
                <w:rFonts w:ascii="Arial" w:hAnsi="Arial" w:cs="Arial"/>
                <w:b/>
                <w:bCs/>
                <w:color w:val="000000"/>
                <w:sz w:val="18"/>
                <w:szCs w:val="18"/>
                <w:lang w:eastAsia="es-AR"/>
              </w:rPr>
              <w:t>31</w:t>
            </w:r>
            <w:r w:rsidR="0089545B">
              <w:rPr>
                <w:rFonts w:ascii="Arial" w:hAnsi="Arial" w:cs="Arial"/>
                <w:b/>
                <w:bCs/>
                <w:color w:val="000000"/>
                <w:sz w:val="18"/>
                <w:szCs w:val="18"/>
                <w:lang w:eastAsia="es-AR"/>
              </w:rPr>
              <w:t>/</w:t>
            </w:r>
            <w:r w:rsidRPr="00AC4AB2">
              <w:rPr>
                <w:rFonts w:ascii="Arial" w:hAnsi="Arial" w:cs="Arial"/>
                <w:b/>
                <w:bCs/>
                <w:color w:val="000000"/>
                <w:sz w:val="18"/>
                <w:szCs w:val="18"/>
                <w:lang w:eastAsia="es-AR"/>
              </w:rPr>
              <w:t>12</w:t>
            </w:r>
            <w:r w:rsidR="0089545B">
              <w:rPr>
                <w:rFonts w:ascii="Arial" w:hAnsi="Arial" w:cs="Arial"/>
                <w:b/>
                <w:bCs/>
                <w:color w:val="000000"/>
                <w:sz w:val="18"/>
                <w:szCs w:val="18"/>
                <w:lang w:eastAsia="es-AR"/>
              </w:rPr>
              <w:t>/</w:t>
            </w:r>
            <w:r w:rsidRPr="00AC4AB2">
              <w:rPr>
                <w:rFonts w:ascii="Arial" w:hAnsi="Arial" w:cs="Arial"/>
                <w:b/>
                <w:bCs/>
                <w:color w:val="000000"/>
                <w:sz w:val="18"/>
                <w:szCs w:val="18"/>
                <w:lang w:eastAsia="es-AR"/>
              </w:rPr>
              <w:t>1</w:t>
            </w:r>
            <w:r>
              <w:rPr>
                <w:rFonts w:ascii="Arial" w:hAnsi="Arial" w:cs="Arial"/>
                <w:b/>
                <w:bCs/>
                <w:color w:val="000000"/>
                <w:sz w:val="18"/>
                <w:szCs w:val="18"/>
                <w:lang w:eastAsia="es-AR"/>
              </w:rPr>
              <w:t>8</w:t>
            </w:r>
          </w:p>
        </w:tc>
        <w:tc>
          <w:tcPr>
            <w:tcW w:w="1352" w:type="dxa"/>
            <w:tcBorders>
              <w:top w:val="single" w:sz="8" w:space="0" w:color="auto"/>
              <w:left w:val="nil"/>
              <w:bottom w:val="single" w:sz="8" w:space="0" w:color="auto"/>
              <w:right w:val="single" w:sz="4" w:space="0" w:color="auto"/>
            </w:tcBorders>
            <w:shd w:val="clear" w:color="auto" w:fill="auto"/>
            <w:vAlign w:val="center"/>
            <w:hideMark/>
          </w:tcPr>
          <w:p w14:paraId="381DE859" w14:textId="77777777" w:rsidR="00C11CA1" w:rsidRPr="00AC4AB2" w:rsidRDefault="00C11CA1" w:rsidP="00DF0784">
            <w:pPr>
              <w:jc w:val="center"/>
              <w:rPr>
                <w:rFonts w:ascii="Arial" w:hAnsi="Arial" w:cs="Arial"/>
                <w:b/>
                <w:bCs/>
                <w:color w:val="000000"/>
                <w:sz w:val="18"/>
                <w:szCs w:val="18"/>
                <w:lang w:eastAsia="es-AR"/>
              </w:rPr>
            </w:pPr>
            <w:r w:rsidRPr="00AC4AB2">
              <w:rPr>
                <w:rFonts w:ascii="Arial" w:hAnsi="Arial" w:cs="Arial"/>
                <w:b/>
                <w:bCs/>
                <w:color w:val="000000"/>
                <w:sz w:val="18"/>
                <w:szCs w:val="18"/>
                <w:lang w:eastAsia="es-AR"/>
              </w:rPr>
              <w:t>Cargo Imputado a resultado</w:t>
            </w:r>
          </w:p>
        </w:tc>
        <w:tc>
          <w:tcPr>
            <w:tcW w:w="1308" w:type="dxa"/>
            <w:tcBorders>
              <w:top w:val="single" w:sz="8" w:space="0" w:color="auto"/>
              <w:left w:val="nil"/>
              <w:bottom w:val="single" w:sz="8" w:space="0" w:color="auto"/>
              <w:right w:val="single" w:sz="4" w:space="0" w:color="auto"/>
            </w:tcBorders>
            <w:shd w:val="clear" w:color="auto" w:fill="auto"/>
            <w:vAlign w:val="center"/>
            <w:hideMark/>
          </w:tcPr>
          <w:p w14:paraId="6E676669" w14:textId="77777777" w:rsidR="00C11CA1" w:rsidRPr="00AC4AB2" w:rsidRDefault="00C11CA1" w:rsidP="00DF0784">
            <w:pPr>
              <w:jc w:val="center"/>
              <w:rPr>
                <w:rFonts w:ascii="Arial" w:hAnsi="Arial" w:cs="Arial"/>
                <w:b/>
                <w:bCs/>
                <w:color w:val="000000"/>
                <w:sz w:val="18"/>
                <w:szCs w:val="18"/>
                <w:lang w:eastAsia="es-AR"/>
              </w:rPr>
            </w:pPr>
            <w:r w:rsidRPr="00AC4AB2">
              <w:rPr>
                <w:rFonts w:ascii="Arial" w:hAnsi="Arial" w:cs="Arial"/>
                <w:b/>
                <w:bCs/>
                <w:color w:val="000000"/>
                <w:sz w:val="18"/>
                <w:szCs w:val="18"/>
                <w:lang w:eastAsia="es-AR"/>
              </w:rPr>
              <w:t>Cargo Imputado a otros resultados integrales</w:t>
            </w:r>
          </w:p>
        </w:tc>
        <w:tc>
          <w:tcPr>
            <w:tcW w:w="1035" w:type="dxa"/>
            <w:tcBorders>
              <w:top w:val="single" w:sz="8" w:space="0" w:color="auto"/>
              <w:left w:val="nil"/>
              <w:bottom w:val="single" w:sz="8" w:space="0" w:color="auto"/>
              <w:right w:val="single" w:sz="8" w:space="0" w:color="auto"/>
            </w:tcBorders>
            <w:shd w:val="clear" w:color="auto" w:fill="auto"/>
            <w:vAlign w:val="center"/>
            <w:hideMark/>
          </w:tcPr>
          <w:p w14:paraId="0FD0C04F" w14:textId="6DDF5D6A" w:rsidR="00C11CA1" w:rsidRPr="00AC4AB2" w:rsidRDefault="00C11CA1" w:rsidP="00DF0784">
            <w:pPr>
              <w:jc w:val="center"/>
              <w:rPr>
                <w:rFonts w:ascii="Arial" w:hAnsi="Arial" w:cs="Arial"/>
                <w:b/>
                <w:bCs/>
                <w:color w:val="000000"/>
                <w:sz w:val="18"/>
                <w:szCs w:val="18"/>
                <w:lang w:eastAsia="es-AR"/>
              </w:rPr>
            </w:pPr>
            <w:r w:rsidRPr="00AC4AB2">
              <w:rPr>
                <w:rFonts w:ascii="Arial" w:hAnsi="Arial" w:cs="Arial"/>
                <w:b/>
                <w:bCs/>
                <w:color w:val="000000"/>
                <w:sz w:val="18"/>
                <w:szCs w:val="18"/>
                <w:lang w:eastAsia="es-AR"/>
              </w:rPr>
              <w:t>Impuesto Diferido 31</w:t>
            </w:r>
            <w:r w:rsidR="0089545B">
              <w:rPr>
                <w:rFonts w:ascii="Arial" w:hAnsi="Arial" w:cs="Arial"/>
                <w:b/>
                <w:bCs/>
                <w:color w:val="000000"/>
                <w:sz w:val="18"/>
                <w:szCs w:val="18"/>
                <w:lang w:eastAsia="es-AR"/>
              </w:rPr>
              <w:t>/</w:t>
            </w:r>
            <w:r w:rsidRPr="00AC4AB2">
              <w:rPr>
                <w:rFonts w:ascii="Arial" w:hAnsi="Arial" w:cs="Arial"/>
                <w:b/>
                <w:bCs/>
                <w:color w:val="000000"/>
                <w:sz w:val="18"/>
                <w:szCs w:val="18"/>
                <w:lang w:eastAsia="es-AR"/>
              </w:rPr>
              <w:t>12</w:t>
            </w:r>
            <w:r w:rsidR="0089545B">
              <w:rPr>
                <w:rFonts w:ascii="Arial" w:hAnsi="Arial" w:cs="Arial"/>
                <w:b/>
                <w:bCs/>
                <w:color w:val="000000"/>
                <w:sz w:val="18"/>
                <w:szCs w:val="18"/>
                <w:lang w:eastAsia="es-AR"/>
              </w:rPr>
              <w:t>/</w:t>
            </w:r>
            <w:r w:rsidRPr="00AC4AB2">
              <w:rPr>
                <w:rFonts w:ascii="Arial" w:hAnsi="Arial" w:cs="Arial"/>
                <w:b/>
                <w:bCs/>
                <w:color w:val="000000"/>
                <w:sz w:val="18"/>
                <w:szCs w:val="18"/>
                <w:lang w:eastAsia="es-AR"/>
              </w:rPr>
              <w:t>1</w:t>
            </w:r>
            <w:r>
              <w:rPr>
                <w:rFonts w:ascii="Arial" w:hAnsi="Arial" w:cs="Arial"/>
                <w:b/>
                <w:bCs/>
                <w:color w:val="000000"/>
                <w:sz w:val="18"/>
                <w:szCs w:val="18"/>
                <w:lang w:eastAsia="es-AR"/>
              </w:rPr>
              <w:t>9</w:t>
            </w:r>
          </w:p>
        </w:tc>
      </w:tr>
      <w:tr w:rsidR="003E3C29" w:rsidRPr="00AC4AB2" w14:paraId="0F6F4DF3" w14:textId="77777777" w:rsidTr="006E1AF7">
        <w:trPr>
          <w:trHeight w:val="238"/>
        </w:trPr>
        <w:tc>
          <w:tcPr>
            <w:tcW w:w="3487" w:type="dxa"/>
            <w:tcBorders>
              <w:top w:val="nil"/>
              <w:left w:val="single" w:sz="8" w:space="0" w:color="auto"/>
              <w:bottom w:val="single" w:sz="4" w:space="0" w:color="auto"/>
              <w:right w:val="single" w:sz="4" w:space="0" w:color="auto"/>
            </w:tcBorders>
            <w:shd w:val="clear" w:color="auto" w:fill="auto"/>
            <w:noWrap/>
            <w:vAlign w:val="bottom"/>
            <w:hideMark/>
          </w:tcPr>
          <w:p w14:paraId="62B59446" w14:textId="77777777" w:rsidR="003E3C29" w:rsidRPr="00AC4AB2" w:rsidRDefault="003E3C29" w:rsidP="003E3C29">
            <w:pPr>
              <w:rPr>
                <w:rFonts w:ascii="Arial" w:hAnsi="Arial" w:cs="Arial"/>
                <w:color w:val="000000"/>
                <w:sz w:val="18"/>
                <w:szCs w:val="18"/>
                <w:lang w:eastAsia="es-AR"/>
              </w:rPr>
            </w:pPr>
            <w:r w:rsidRPr="00AC4AB2">
              <w:rPr>
                <w:rFonts w:ascii="Arial" w:hAnsi="Arial" w:cs="Arial"/>
                <w:color w:val="000000"/>
                <w:sz w:val="18"/>
                <w:szCs w:val="18"/>
                <w:lang w:eastAsia="es-AR"/>
              </w:rPr>
              <w:t>Amparos</w:t>
            </w:r>
          </w:p>
        </w:tc>
        <w:tc>
          <w:tcPr>
            <w:tcW w:w="1224" w:type="dxa"/>
            <w:tcBorders>
              <w:top w:val="nil"/>
              <w:left w:val="nil"/>
              <w:bottom w:val="single" w:sz="4" w:space="0" w:color="auto"/>
              <w:right w:val="single" w:sz="4" w:space="0" w:color="auto"/>
            </w:tcBorders>
            <w:shd w:val="clear" w:color="auto" w:fill="auto"/>
            <w:noWrap/>
            <w:vAlign w:val="bottom"/>
            <w:hideMark/>
          </w:tcPr>
          <w:p w14:paraId="6B06260E" w14:textId="2D0F9C6D"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269 </w:t>
            </w:r>
          </w:p>
        </w:tc>
        <w:tc>
          <w:tcPr>
            <w:tcW w:w="1352" w:type="dxa"/>
            <w:tcBorders>
              <w:top w:val="nil"/>
              <w:left w:val="nil"/>
              <w:bottom w:val="single" w:sz="4" w:space="0" w:color="auto"/>
              <w:right w:val="single" w:sz="4" w:space="0" w:color="auto"/>
            </w:tcBorders>
            <w:shd w:val="clear" w:color="auto" w:fill="auto"/>
            <w:noWrap/>
            <w:vAlign w:val="bottom"/>
          </w:tcPr>
          <w:p w14:paraId="65EEE51D" w14:textId="63FA4BA9"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638 </w:t>
            </w:r>
          </w:p>
        </w:tc>
        <w:tc>
          <w:tcPr>
            <w:tcW w:w="1308" w:type="dxa"/>
            <w:tcBorders>
              <w:top w:val="nil"/>
              <w:left w:val="nil"/>
              <w:bottom w:val="single" w:sz="4" w:space="0" w:color="auto"/>
              <w:right w:val="single" w:sz="4" w:space="0" w:color="auto"/>
            </w:tcBorders>
            <w:shd w:val="clear" w:color="auto" w:fill="auto"/>
            <w:noWrap/>
            <w:vAlign w:val="bottom"/>
          </w:tcPr>
          <w:p w14:paraId="18D87775" w14:textId="715FE341" w:rsidR="003E3C29" w:rsidRPr="00AC4AB2" w:rsidRDefault="0089545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1035" w:type="dxa"/>
            <w:tcBorders>
              <w:top w:val="nil"/>
              <w:left w:val="nil"/>
              <w:bottom w:val="single" w:sz="4" w:space="0" w:color="auto"/>
              <w:right w:val="single" w:sz="8" w:space="0" w:color="auto"/>
            </w:tcBorders>
            <w:shd w:val="clear" w:color="auto" w:fill="auto"/>
            <w:noWrap/>
            <w:vAlign w:val="bottom"/>
          </w:tcPr>
          <w:p w14:paraId="436B88E3" w14:textId="14357C32"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907 </w:t>
            </w:r>
          </w:p>
        </w:tc>
      </w:tr>
      <w:tr w:rsidR="003E3C29" w:rsidRPr="00AC4AB2" w14:paraId="1702D83A" w14:textId="77777777" w:rsidTr="006E1AF7">
        <w:trPr>
          <w:trHeight w:val="238"/>
        </w:trPr>
        <w:tc>
          <w:tcPr>
            <w:tcW w:w="3487" w:type="dxa"/>
            <w:tcBorders>
              <w:top w:val="nil"/>
              <w:left w:val="single" w:sz="8" w:space="0" w:color="auto"/>
              <w:bottom w:val="single" w:sz="4" w:space="0" w:color="auto"/>
              <w:right w:val="single" w:sz="4" w:space="0" w:color="auto"/>
            </w:tcBorders>
            <w:shd w:val="clear" w:color="auto" w:fill="auto"/>
            <w:noWrap/>
            <w:vAlign w:val="bottom"/>
            <w:hideMark/>
          </w:tcPr>
          <w:p w14:paraId="00C56CBF" w14:textId="77777777" w:rsidR="003E3C29" w:rsidRPr="00AC4AB2" w:rsidRDefault="003E3C29" w:rsidP="003E3C29">
            <w:pPr>
              <w:rPr>
                <w:rFonts w:ascii="Arial" w:hAnsi="Arial" w:cs="Arial"/>
                <w:color w:val="000000"/>
                <w:sz w:val="18"/>
                <w:szCs w:val="18"/>
                <w:lang w:eastAsia="es-AR"/>
              </w:rPr>
            </w:pPr>
            <w:r w:rsidRPr="00AC4AB2">
              <w:rPr>
                <w:rFonts w:ascii="Arial" w:hAnsi="Arial" w:cs="Arial"/>
                <w:color w:val="000000"/>
                <w:sz w:val="18"/>
                <w:szCs w:val="18"/>
                <w:lang w:eastAsia="es-AR"/>
              </w:rPr>
              <w:t>Gastos Organización y desarrollo</w:t>
            </w:r>
          </w:p>
        </w:tc>
        <w:tc>
          <w:tcPr>
            <w:tcW w:w="1224" w:type="dxa"/>
            <w:tcBorders>
              <w:top w:val="nil"/>
              <w:left w:val="nil"/>
              <w:bottom w:val="single" w:sz="4" w:space="0" w:color="auto"/>
              <w:right w:val="single" w:sz="4" w:space="0" w:color="auto"/>
            </w:tcBorders>
            <w:shd w:val="clear" w:color="auto" w:fill="auto"/>
            <w:noWrap/>
            <w:vAlign w:val="bottom"/>
            <w:hideMark/>
          </w:tcPr>
          <w:p w14:paraId="30E98D37" w14:textId="4AF0D13F"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-34.606 </w:t>
            </w:r>
          </w:p>
        </w:tc>
        <w:tc>
          <w:tcPr>
            <w:tcW w:w="1352" w:type="dxa"/>
            <w:tcBorders>
              <w:top w:val="nil"/>
              <w:left w:val="nil"/>
              <w:bottom w:val="single" w:sz="4" w:space="0" w:color="auto"/>
              <w:right w:val="single" w:sz="4" w:space="0" w:color="auto"/>
            </w:tcBorders>
            <w:shd w:val="clear" w:color="auto" w:fill="auto"/>
            <w:noWrap/>
            <w:vAlign w:val="bottom"/>
          </w:tcPr>
          <w:p w14:paraId="0ADB48CF" w14:textId="562D009C"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-14.722 </w:t>
            </w:r>
          </w:p>
        </w:tc>
        <w:tc>
          <w:tcPr>
            <w:tcW w:w="1308" w:type="dxa"/>
            <w:tcBorders>
              <w:top w:val="nil"/>
              <w:left w:val="nil"/>
              <w:bottom w:val="single" w:sz="4" w:space="0" w:color="auto"/>
              <w:right w:val="single" w:sz="4" w:space="0" w:color="auto"/>
            </w:tcBorders>
            <w:shd w:val="clear" w:color="auto" w:fill="auto"/>
            <w:noWrap/>
            <w:vAlign w:val="bottom"/>
          </w:tcPr>
          <w:p w14:paraId="1984D34E" w14:textId="069E260F" w:rsidR="003E3C29" w:rsidRPr="00AC4AB2" w:rsidRDefault="0089545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1035" w:type="dxa"/>
            <w:tcBorders>
              <w:top w:val="nil"/>
              <w:left w:val="nil"/>
              <w:bottom w:val="single" w:sz="4" w:space="0" w:color="auto"/>
              <w:right w:val="single" w:sz="8" w:space="0" w:color="auto"/>
            </w:tcBorders>
            <w:shd w:val="clear" w:color="auto" w:fill="auto"/>
            <w:noWrap/>
            <w:vAlign w:val="bottom"/>
          </w:tcPr>
          <w:p w14:paraId="17AB059B" w14:textId="177D45E7"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-49.328 </w:t>
            </w:r>
          </w:p>
        </w:tc>
      </w:tr>
      <w:tr w:rsidR="003E3C29" w:rsidRPr="00AC4AB2" w14:paraId="6B7AE626" w14:textId="77777777" w:rsidTr="006E1AF7">
        <w:trPr>
          <w:trHeight w:val="238"/>
        </w:trPr>
        <w:tc>
          <w:tcPr>
            <w:tcW w:w="3487" w:type="dxa"/>
            <w:tcBorders>
              <w:top w:val="nil"/>
              <w:left w:val="single" w:sz="8" w:space="0" w:color="auto"/>
              <w:bottom w:val="single" w:sz="4" w:space="0" w:color="auto"/>
              <w:right w:val="single" w:sz="4" w:space="0" w:color="auto"/>
            </w:tcBorders>
            <w:shd w:val="clear" w:color="auto" w:fill="auto"/>
            <w:noWrap/>
            <w:vAlign w:val="bottom"/>
            <w:hideMark/>
          </w:tcPr>
          <w:p w14:paraId="63EAB223" w14:textId="77777777" w:rsidR="003E3C29" w:rsidRPr="00AC4AB2" w:rsidRDefault="003E3C29" w:rsidP="003E3C29">
            <w:pPr>
              <w:rPr>
                <w:rFonts w:ascii="Arial" w:hAnsi="Arial" w:cs="Arial"/>
                <w:color w:val="000000"/>
                <w:sz w:val="18"/>
                <w:szCs w:val="18"/>
                <w:lang w:eastAsia="es-AR"/>
              </w:rPr>
            </w:pPr>
            <w:r w:rsidRPr="00AC4AB2">
              <w:rPr>
                <w:rFonts w:ascii="Arial" w:hAnsi="Arial" w:cs="Arial"/>
                <w:color w:val="000000"/>
                <w:sz w:val="18"/>
                <w:szCs w:val="18"/>
                <w:lang w:eastAsia="es-AR"/>
              </w:rPr>
              <w:t>Otros</w:t>
            </w:r>
          </w:p>
        </w:tc>
        <w:tc>
          <w:tcPr>
            <w:tcW w:w="1224" w:type="dxa"/>
            <w:tcBorders>
              <w:top w:val="nil"/>
              <w:left w:val="nil"/>
              <w:bottom w:val="single" w:sz="4" w:space="0" w:color="auto"/>
              <w:right w:val="single" w:sz="4" w:space="0" w:color="auto"/>
            </w:tcBorders>
            <w:shd w:val="clear" w:color="auto" w:fill="auto"/>
            <w:noWrap/>
            <w:vAlign w:val="bottom"/>
            <w:hideMark/>
          </w:tcPr>
          <w:p w14:paraId="3DC0D68F" w14:textId="13983AF3"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3.900 </w:t>
            </w:r>
          </w:p>
        </w:tc>
        <w:tc>
          <w:tcPr>
            <w:tcW w:w="1352" w:type="dxa"/>
            <w:tcBorders>
              <w:top w:val="nil"/>
              <w:left w:val="nil"/>
              <w:bottom w:val="single" w:sz="4" w:space="0" w:color="auto"/>
              <w:right w:val="single" w:sz="4" w:space="0" w:color="auto"/>
            </w:tcBorders>
            <w:shd w:val="clear" w:color="auto" w:fill="auto"/>
            <w:noWrap/>
            <w:vAlign w:val="bottom"/>
          </w:tcPr>
          <w:p w14:paraId="29F410BB" w14:textId="094BE36F"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-4.244 </w:t>
            </w:r>
          </w:p>
        </w:tc>
        <w:tc>
          <w:tcPr>
            <w:tcW w:w="1308" w:type="dxa"/>
            <w:tcBorders>
              <w:top w:val="nil"/>
              <w:left w:val="nil"/>
              <w:bottom w:val="single" w:sz="4" w:space="0" w:color="auto"/>
              <w:right w:val="single" w:sz="4" w:space="0" w:color="auto"/>
            </w:tcBorders>
            <w:shd w:val="clear" w:color="auto" w:fill="auto"/>
            <w:noWrap/>
            <w:vAlign w:val="bottom"/>
          </w:tcPr>
          <w:p w14:paraId="1332952D" w14:textId="7C26C139" w:rsidR="003E3C29" w:rsidRPr="00AC4AB2" w:rsidRDefault="0089545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1035" w:type="dxa"/>
            <w:tcBorders>
              <w:top w:val="nil"/>
              <w:left w:val="nil"/>
              <w:bottom w:val="single" w:sz="4" w:space="0" w:color="auto"/>
              <w:right w:val="single" w:sz="8" w:space="0" w:color="auto"/>
            </w:tcBorders>
            <w:shd w:val="clear" w:color="auto" w:fill="auto"/>
            <w:noWrap/>
            <w:vAlign w:val="bottom"/>
          </w:tcPr>
          <w:p w14:paraId="16919E84" w14:textId="3F60DD5C"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-344 </w:t>
            </w:r>
          </w:p>
        </w:tc>
      </w:tr>
      <w:tr w:rsidR="003E3C29" w:rsidRPr="00AC4AB2" w14:paraId="18DE8D17" w14:textId="77777777" w:rsidTr="006E1AF7">
        <w:trPr>
          <w:trHeight w:val="238"/>
        </w:trPr>
        <w:tc>
          <w:tcPr>
            <w:tcW w:w="3487" w:type="dxa"/>
            <w:tcBorders>
              <w:top w:val="nil"/>
              <w:left w:val="single" w:sz="8" w:space="0" w:color="auto"/>
              <w:bottom w:val="single" w:sz="4" w:space="0" w:color="auto"/>
              <w:right w:val="single" w:sz="4" w:space="0" w:color="auto"/>
            </w:tcBorders>
            <w:shd w:val="clear" w:color="auto" w:fill="auto"/>
            <w:noWrap/>
            <w:vAlign w:val="bottom"/>
            <w:hideMark/>
          </w:tcPr>
          <w:p w14:paraId="64DC227C" w14:textId="77777777" w:rsidR="003E3C29" w:rsidRPr="00AC4AB2" w:rsidRDefault="003E3C29" w:rsidP="003E3C29">
            <w:pPr>
              <w:rPr>
                <w:rFonts w:ascii="Arial" w:hAnsi="Arial" w:cs="Arial"/>
                <w:color w:val="000000"/>
                <w:sz w:val="18"/>
                <w:szCs w:val="18"/>
                <w:lang w:eastAsia="es-AR"/>
              </w:rPr>
            </w:pPr>
            <w:r w:rsidRPr="00AC4AB2">
              <w:rPr>
                <w:rFonts w:ascii="Arial" w:hAnsi="Arial" w:cs="Arial"/>
                <w:color w:val="000000"/>
                <w:sz w:val="18"/>
                <w:szCs w:val="18"/>
                <w:lang w:eastAsia="es-AR"/>
              </w:rPr>
              <w:t>Planes de Retiro</w:t>
            </w:r>
          </w:p>
        </w:tc>
        <w:tc>
          <w:tcPr>
            <w:tcW w:w="1224" w:type="dxa"/>
            <w:tcBorders>
              <w:top w:val="nil"/>
              <w:left w:val="nil"/>
              <w:bottom w:val="single" w:sz="4" w:space="0" w:color="auto"/>
              <w:right w:val="single" w:sz="4" w:space="0" w:color="auto"/>
            </w:tcBorders>
            <w:shd w:val="clear" w:color="auto" w:fill="auto"/>
            <w:noWrap/>
            <w:vAlign w:val="bottom"/>
            <w:hideMark/>
          </w:tcPr>
          <w:p w14:paraId="6C23D16D" w14:textId="521A46AE"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57.509 </w:t>
            </w:r>
          </w:p>
        </w:tc>
        <w:tc>
          <w:tcPr>
            <w:tcW w:w="1352" w:type="dxa"/>
            <w:tcBorders>
              <w:top w:val="nil"/>
              <w:left w:val="nil"/>
              <w:bottom w:val="single" w:sz="4" w:space="0" w:color="auto"/>
              <w:right w:val="single" w:sz="4" w:space="0" w:color="auto"/>
            </w:tcBorders>
            <w:shd w:val="clear" w:color="auto" w:fill="auto"/>
            <w:noWrap/>
            <w:vAlign w:val="bottom"/>
          </w:tcPr>
          <w:p w14:paraId="35262F65" w14:textId="41BC009D"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26.956 </w:t>
            </w:r>
          </w:p>
        </w:tc>
        <w:tc>
          <w:tcPr>
            <w:tcW w:w="1308" w:type="dxa"/>
            <w:tcBorders>
              <w:top w:val="nil"/>
              <w:left w:val="nil"/>
              <w:bottom w:val="single" w:sz="4" w:space="0" w:color="auto"/>
              <w:right w:val="single" w:sz="4" w:space="0" w:color="auto"/>
            </w:tcBorders>
            <w:shd w:val="clear" w:color="auto" w:fill="auto"/>
            <w:noWrap/>
            <w:vAlign w:val="bottom"/>
          </w:tcPr>
          <w:p w14:paraId="14F505A5" w14:textId="75CF9540" w:rsidR="003E3C29" w:rsidRPr="00AC4AB2" w:rsidRDefault="0089545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1035" w:type="dxa"/>
            <w:tcBorders>
              <w:top w:val="nil"/>
              <w:left w:val="nil"/>
              <w:bottom w:val="single" w:sz="4" w:space="0" w:color="auto"/>
              <w:right w:val="single" w:sz="8" w:space="0" w:color="auto"/>
            </w:tcBorders>
            <w:shd w:val="clear" w:color="auto" w:fill="auto"/>
            <w:noWrap/>
            <w:vAlign w:val="bottom"/>
          </w:tcPr>
          <w:p w14:paraId="16E63727" w14:textId="6470557C"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84.465 </w:t>
            </w:r>
          </w:p>
        </w:tc>
      </w:tr>
      <w:tr w:rsidR="003E3C29" w:rsidRPr="00AC4AB2" w14:paraId="2FA8AB84" w14:textId="77777777" w:rsidTr="006E1AF7">
        <w:trPr>
          <w:trHeight w:val="238"/>
        </w:trPr>
        <w:tc>
          <w:tcPr>
            <w:tcW w:w="3487" w:type="dxa"/>
            <w:tcBorders>
              <w:top w:val="nil"/>
              <w:left w:val="single" w:sz="8" w:space="0" w:color="auto"/>
              <w:bottom w:val="single" w:sz="4" w:space="0" w:color="auto"/>
              <w:right w:val="single" w:sz="4" w:space="0" w:color="auto"/>
            </w:tcBorders>
            <w:shd w:val="clear" w:color="auto" w:fill="auto"/>
            <w:noWrap/>
            <w:vAlign w:val="bottom"/>
            <w:hideMark/>
          </w:tcPr>
          <w:p w14:paraId="2CD76E7E" w14:textId="77777777" w:rsidR="003E3C29" w:rsidRPr="00AC4AB2" w:rsidRDefault="003E3C29" w:rsidP="003E3C29">
            <w:pPr>
              <w:rPr>
                <w:rFonts w:ascii="Arial" w:hAnsi="Arial" w:cs="Arial"/>
                <w:color w:val="000000"/>
                <w:sz w:val="18"/>
                <w:szCs w:val="18"/>
                <w:lang w:eastAsia="es-AR"/>
              </w:rPr>
            </w:pPr>
            <w:r w:rsidRPr="00AC4AB2">
              <w:rPr>
                <w:rFonts w:ascii="Arial" w:hAnsi="Arial" w:cs="Arial"/>
                <w:color w:val="000000"/>
                <w:sz w:val="18"/>
                <w:szCs w:val="18"/>
                <w:lang w:eastAsia="es-AR"/>
              </w:rPr>
              <w:t>Prev. Compromisos Eventuales</w:t>
            </w:r>
          </w:p>
        </w:tc>
        <w:tc>
          <w:tcPr>
            <w:tcW w:w="1224" w:type="dxa"/>
            <w:tcBorders>
              <w:top w:val="nil"/>
              <w:left w:val="nil"/>
              <w:bottom w:val="single" w:sz="4" w:space="0" w:color="auto"/>
              <w:right w:val="single" w:sz="4" w:space="0" w:color="auto"/>
            </w:tcBorders>
            <w:shd w:val="clear" w:color="auto" w:fill="auto"/>
            <w:noWrap/>
            <w:vAlign w:val="bottom"/>
            <w:hideMark/>
          </w:tcPr>
          <w:p w14:paraId="5FB6A805" w14:textId="55166936"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299 </w:t>
            </w:r>
          </w:p>
        </w:tc>
        <w:tc>
          <w:tcPr>
            <w:tcW w:w="1352" w:type="dxa"/>
            <w:tcBorders>
              <w:top w:val="nil"/>
              <w:left w:val="nil"/>
              <w:bottom w:val="single" w:sz="4" w:space="0" w:color="auto"/>
              <w:right w:val="single" w:sz="4" w:space="0" w:color="auto"/>
            </w:tcBorders>
            <w:shd w:val="clear" w:color="auto" w:fill="auto"/>
            <w:noWrap/>
            <w:vAlign w:val="bottom"/>
          </w:tcPr>
          <w:p w14:paraId="7D58B642" w14:textId="738DA57C"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-189 </w:t>
            </w:r>
          </w:p>
        </w:tc>
        <w:tc>
          <w:tcPr>
            <w:tcW w:w="1308" w:type="dxa"/>
            <w:tcBorders>
              <w:top w:val="nil"/>
              <w:left w:val="nil"/>
              <w:bottom w:val="single" w:sz="4" w:space="0" w:color="auto"/>
              <w:right w:val="single" w:sz="4" w:space="0" w:color="auto"/>
            </w:tcBorders>
            <w:shd w:val="clear" w:color="auto" w:fill="auto"/>
            <w:noWrap/>
            <w:vAlign w:val="bottom"/>
          </w:tcPr>
          <w:p w14:paraId="4F54F823" w14:textId="379DA7AB" w:rsidR="003E3C29" w:rsidRPr="00AC4AB2" w:rsidRDefault="0089545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1035" w:type="dxa"/>
            <w:tcBorders>
              <w:top w:val="nil"/>
              <w:left w:val="nil"/>
              <w:bottom w:val="single" w:sz="4" w:space="0" w:color="auto"/>
              <w:right w:val="single" w:sz="8" w:space="0" w:color="auto"/>
            </w:tcBorders>
            <w:shd w:val="clear" w:color="auto" w:fill="auto"/>
            <w:noWrap/>
            <w:vAlign w:val="bottom"/>
          </w:tcPr>
          <w:p w14:paraId="09C041CA" w14:textId="1C126AAE"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110 </w:t>
            </w:r>
          </w:p>
        </w:tc>
      </w:tr>
      <w:tr w:rsidR="003E3C29" w:rsidRPr="00AC4AB2" w14:paraId="715DF7C5" w14:textId="77777777" w:rsidTr="006E1AF7">
        <w:trPr>
          <w:trHeight w:val="238"/>
        </w:trPr>
        <w:tc>
          <w:tcPr>
            <w:tcW w:w="3487" w:type="dxa"/>
            <w:tcBorders>
              <w:top w:val="nil"/>
              <w:left w:val="single" w:sz="8" w:space="0" w:color="auto"/>
              <w:bottom w:val="single" w:sz="4" w:space="0" w:color="auto"/>
              <w:right w:val="single" w:sz="4" w:space="0" w:color="auto"/>
            </w:tcBorders>
            <w:shd w:val="clear" w:color="auto" w:fill="auto"/>
            <w:noWrap/>
            <w:vAlign w:val="bottom"/>
            <w:hideMark/>
          </w:tcPr>
          <w:p w14:paraId="74C8A537" w14:textId="77777777" w:rsidR="003E3C29" w:rsidRPr="00AC4AB2" w:rsidRDefault="003E3C29" w:rsidP="003E3C29">
            <w:pPr>
              <w:rPr>
                <w:rFonts w:ascii="Arial" w:hAnsi="Arial" w:cs="Arial"/>
                <w:color w:val="000000"/>
                <w:sz w:val="18"/>
                <w:szCs w:val="18"/>
                <w:lang w:eastAsia="es-AR"/>
              </w:rPr>
            </w:pPr>
            <w:r w:rsidRPr="00AC4AB2">
              <w:rPr>
                <w:rFonts w:ascii="Arial" w:hAnsi="Arial" w:cs="Arial"/>
                <w:color w:val="000000"/>
                <w:sz w:val="18"/>
                <w:szCs w:val="18"/>
                <w:lang w:eastAsia="es-AR"/>
              </w:rPr>
              <w:t>Previsión Ds Incobrables Contables</w:t>
            </w:r>
          </w:p>
        </w:tc>
        <w:tc>
          <w:tcPr>
            <w:tcW w:w="1224" w:type="dxa"/>
            <w:tcBorders>
              <w:top w:val="nil"/>
              <w:left w:val="nil"/>
              <w:bottom w:val="single" w:sz="4" w:space="0" w:color="auto"/>
              <w:right w:val="single" w:sz="4" w:space="0" w:color="auto"/>
            </w:tcBorders>
            <w:shd w:val="clear" w:color="auto" w:fill="auto"/>
            <w:noWrap/>
            <w:vAlign w:val="bottom"/>
            <w:hideMark/>
          </w:tcPr>
          <w:p w14:paraId="50772D02" w14:textId="57CF1AF3"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325.951 </w:t>
            </w:r>
          </w:p>
        </w:tc>
        <w:tc>
          <w:tcPr>
            <w:tcW w:w="1352" w:type="dxa"/>
            <w:tcBorders>
              <w:top w:val="nil"/>
              <w:left w:val="nil"/>
              <w:bottom w:val="single" w:sz="4" w:space="0" w:color="auto"/>
              <w:right w:val="single" w:sz="4" w:space="0" w:color="auto"/>
            </w:tcBorders>
            <w:shd w:val="clear" w:color="auto" w:fill="auto"/>
            <w:noWrap/>
            <w:vAlign w:val="bottom"/>
          </w:tcPr>
          <w:p w14:paraId="070693A6" w14:textId="638E616F"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-200.354 </w:t>
            </w:r>
          </w:p>
        </w:tc>
        <w:tc>
          <w:tcPr>
            <w:tcW w:w="1308" w:type="dxa"/>
            <w:tcBorders>
              <w:top w:val="nil"/>
              <w:left w:val="nil"/>
              <w:bottom w:val="single" w:sz="4" w:space="0" w:color="auto"/>
              <w:right w:val="single" w:sz="4" w:space="0" w:color="auto"/>
            </w:tcBorders>
            <w:shd w:val="clear" w:color="auto" w:fill="auto"/>
            <w:noWrap/>
            <w:vAlign w:val="bottom"/>
          </w:tcPr>
          <w:p w14:paraId="225B0CB1" w14:textId="363628DB" w:rsidR="003E3C29" w:rsidRPr="00AC4AB2" w:rsidRDefault="0089545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1035" w:type="dxa"/>
            <w:tcBorders>
              <w:top w:val="nil"/>
              <w:left w:val="nil"/>
              <w:bottom w:val="single" w:sz="4" w:space="0" w:color="auto"/>
              <w:right w:val="single" w:sz="8" w:space="0" w:color="auto"/>
            </w:tcBorders>
            <w:shd w:val="clear" w:color="auto" w:fill="auto"/>
            <w:noWrap/>
            <w:vAlign w:val="bottom"/>
          </w:tcPr>
          <w:p w14:paraId="1A029D6C" w14:textId="683CC7EC"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125.597 </w:t>
            </w:r>
          </w:p>
        </w:tc>
      </w:tr>
      <w:tr w:rsidR="003E3C29" w:rsidRPr="00AC4AB2" w14:paraId="57E338CF" w14:textId="77777777" w:rsidTr="006E1AF7">
        <w:trPr>
          <w:trHeight w:val="238"/>
        </w:trPr>
        <w:tc>
          <w:tcPr>
            <w:tcW w:w="3487" w:type="dxa"/>
            <w:tcBorders>
              <w:top w:val="nil"/>
              <w:left w:val="single" w:sz="8" w:space="0" w:color="auto"/>
              <w:bottom w:val="single" w:sz="4" w:space="0" w:color="auto"/>
              <w:right w:val="single" w:sz="4" w:space="0" w:color="auto"/>
            </w:tcBorders>
            <w:shd w:val="clear" w:color="auto" w:fill="auto"/>
            <w:noWrap/>
            <w:vAlign w:val="bottom"/>
            <w:hideMark/>
          </w:tcPr>
          <w:p w14:paraId="27421103" w14:textId="77777777" w:rsidR="003E3C29" w:rsidRPr="00AC4AB2" w:rsidRDefault="003E3C29" w:rsidP="003E3C29">
            <w:pPr>
              <w:rPr>
                <w:rFonts w:ascii="Arial" w:hAnsi="Arial" w:cs="Arial"/>
                <w:color w:val="000000"/>
                <w:sz w:val="18"/>
                <w:szCs w:val="18"/>
                <w:lang w:eastAsia="es-AR"/>
              </w:rPr>
            </w:pPr>
            <w:r w:rsidRPr="00AC4AB2">
              <w:rPr>
                <w:rFonts w:ascii="Arial" w:hAnsi="Arial" w:cs="Arial"/>
                <w:color w:val="000000"/>
                <w:sz w:val="18"/>
                <w:szCs w:val="18"/>
                <w:lang w:eastAsia="es-AR"/>
              </w:rPr>
              <w:t>Propiedad, planta y equipo</w:t>
            </w:r>
          </w:p>
        </w:tc>
        <w:tc>
          <w:tcPr>
            <w:tcW w:w="1224" w:type="dxa"/>
            <w:tcBorders>
              <w:top w:val="nil"/>
              <w:left w:val="nil"/>
              <w:bottom w:val="single" w:sz="4" w:space="0" w:color="auto"/>
              <w:right w:val="single" w:sz="4" w:space="0" w:color="auto"/>
            </w:tcBorders>
            <w:shd w:val="clear" w:color="auto" w:fill="auto"/>
            <w:noWrap/>
            <w:vAlign w:val="bottom"/>
            <w:hideMark/>
          </w:tcPr>
          <w:p w14:paraId="2C935A03" w14:textId="3F49D06B"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-284.046 </w:t>
            </w:r>
          </w:p>
        </w:tc>
        <w:tc>
          <w:tcPr>
            <w:tcW w:w="1352" w:type="dxa"/>
            <w:tcBorders>
              <w:top w:val="nil"/>
              <w:left w:val="nil"/>
              <w:bottom w:val="single" w:sz="4" w:space="0" w:color="auto"/>
              <w:right w:val="single" w:sz="4" w:space="0" w:color="auto"/>
            </w:tcBorders>
            <w:shd w:val="clear" w:color="auto" w:fill="auto"/>
            <w:noWrap/>
            <w:vAlign w:val="bottom"/>
          </w:tcPr>
          <w:p w14:paraId="2BF0E83A" w14:textId="1FF0C818"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-129.424 </w:t>
            </w:r>
          </w:p>
        </w:tc>
        <w:tc>
          <w:tcPr>
            <w:tcW w:w="1308" w:type="dxa"/>
            <w:tcBorders>
              <w:top w:val="nil"/>
              <w:left w:val="nil"/>
              <w:bottom w:val="single" w:sz="4" w:space="0" w:color="auto"/>
              <w:right w:val="single" w:sz="4" w:space="0" w:color="auto"/>
            </w:tcBorders>
            <w:shd w:val="clear" w:color="auto" w:fill="auto"/>
            <w:noWrap/>
            <w:vAlign w:val="bottom"/>
          </w:tcPr>
          <w:p w14:paraId="5409C951" w14:textId="73390E1E"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-149.663 </w:t>
            </w:r>
          </w:p>
        </w:tc>
        <w:tc>
          <w:tcPr>
            <w:tcW w:w="1035" w:type="dxa"/>
            <w:tcBorders>
              <w:top w:val="nil"/>
              <w:left w:val="nil"/>
              <w:bottom w:val="single" w:sz="4" w:space="0" w:color="auto"/>
              <w:right w:val="single" w:sz="8" w:space="0" w:color="auto"/>
            </w:tcBorders>
            <w:shd w:val="clear" w:color="auto" w:fill="auto"/>
            <w:noWrap/>
            <w:vAlign w:val="bottom"/>
          </w:tcPr>
          <w:p w14:paraId="167D16DF" w14:textId="6EDF8716"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-563.133 </w:t>
            </w:r>
          </w:p>
        </w:tc>
      </w:tr>
      <w:tr w:rsidR="003E3C29" w:rsidRPr="00AC4AB2" w14:paraId="25939231" w14:textId="77777777" w:rsidTr="006E1AF7">
        <w:trPr>
          <w:trHeight w:val="238"/>
        </w:trPr>
        <w:tc>
          <w:tcPr>
            <w:tcW w:w="3487" w:type="dxa"/>
            <w:tcBorders>
              <w:top w:val="nil"/>
              <w:left w:val="single" w:sz="8" w:space="0" w:color="auto"/>
              <w:bottom w:val="single" w:sz="4" w:space="0" w:color="auto"/>
              <w:right w:val="single" w:sz="4" w:space="0" w:color="auto"/>
            </w:tcBorders>
            <w:shd w:val="clear" w:color="auto" w:fill="auto"/>
            <w:noWrap/>
            <w:vAlign w:val="bottom"/>
            <w:hideMark/>
          </w:tcPr>
          <w:p w14:paraId="3E016B98" w14:textId="77777777" w:rsidR="003E3C29" w:rsidRPr="00AC4AB2" w:rsidRDefault="003E3C29" w:rsidP="003E3C29">
            <w:pPr>
              <w:rPr>
                <w:rFonts w:ascii="Arial" w:hAnsi="Arial" w:cs="Arial"/>
                <w:color w:val="000000"/>
                <w:sz w:val="18"/>
                <w:szCs w:val="18"/>
                <w:lang w:eastAsia="es-AR"/>
              </w:rPr>
            </w:pPr>
            <w:r w:rsidRPr="00AC4AB2">
              <w:rPr>
                <w:rFonts w:ascii="Arial" w:hAnsi="Arial" w:cs="Arial"/>
                <w:color w:val="000000"/>
                <w:sz w:val="18"/>
                <w:szCs w:val="18"/>
                <w:lang w:eastAsia="es-AR"/>
              </w:rPr>
              <w:t>Tenencia accionaria</w:t>
            </w:r>
          </w:p>
        </w:tc>
        <w:tc>
          <w:tcPr>
            <w:tcW w:w="1224" w:type="dxa"/>
            <w:tcBorders>
              <w:top w:val="nil"/>
              <w:left w:val="nil"/>
              <w:bottom w:val="single" w:sz="4" w:space="0" w:color="auto"/>
              <w:right w:val="single" w:sz="4" w:space="0" w:color="auto"/>
            </w:tcBorders>
            <w:shd w:val="clear" w:color="auto" w:fill="auto"/>
            <w:noWrap/>
            <w:vAlign w:val="bottom"/>
            <w:hideMark/>
          </w:tcPr>
          <w:p w14:paraId="578976C4" w14:textId="0DCD612E"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-1.131 </w:t>
            </w:r>
          </w:p>
        </w:tc>
        <w:tc>
          <w:tcPr>
            <w:tcW w:w="1352" w:type="dxa"/>
            <w:tcBorders>
              <w:top w:val="nil"/>
              <w:left w:val="nil"/>
              <w:bottom w:val="single" w:sz="4" w:space="0" w:color="auto"/>
              <w:right w:val="single" w:sz="4" w:space="0" w:color="auto"/>
            </w:tcBorders>
            <w:shd w:val="clear" w:color="auto" w:fill="auto"/>
            <w:noWrap/>
            <w:vAlign w:val="bottom"/>
          </w:tcPr>
          <w:p w14:paraId="4F9E2128" w14:textId="1C3D60D4"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1.183 </w:t>
            </w:r>
          </w:p>
        </w:tc>
        <w:tc>
          <w:tcPr>
            <w:tcW w:w="1308" w:type="dxa"/>
            <w:tcBorders>
              <w:top w:val="nil"/>
              <w:left w:val="nil"/>
              <w:bottom w:val="single" w:sz="4" w:space="0" w:color="auto"/>
              <w:right w:val="single" w:sz="4" w:space="0" w:color="auto"/>
            </w:tcBorders>
            <w:shd w:val="clear" w:color="auto" w:fill="auto"/>
            <w:noWrap/>
            <w:vAlign w:val="bottom"/>
          </w:tcPr>
          <w:p w14:paraId="006AE137" w14:textId="56CA3C50" w:rsidR="003E3C29" w:rsidRPr="00AC4AB2" w:rsidRDefault="0089545B">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1035" w:type="dxa"/>
            <w:tcBorders>
              <w:top w:val="nil"/>
              <w:left w:val="nil"/>
              <w:bottom w:val="single" w:sz="4" w:space="0" w:color="auto"/>
              <w:right w:val="single" w:sz="8" w:space="0" w:color="auto"/>
            </w:tcBorders>
            <w:shd w:val="clear" w:color="auto" w:fill="auto"/>
            <w:noWrap/>
            <w:vAlign w:val="bottom"/>
          </w:tcPr>
          <w:p w14:paraId="1F4E9AC1" w14:textId="79B85DE2"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52 </w:t>
            </w:r>
          </w:p>
        </w:tc>
      </w:tr>
      <w:tr w:rsidR="003E3C29" w:rsidRPr="00AC4AB2" w14:paraId="3FCDDA6C" w14:textId="77777777" w:rsidTr="006E1AF7">
        <w:trPr>
          <w:trHeight w:val="238"/>
        </w:trPr>
        <w:tc>
          <w:tcPr>
            <w:tcW w:w="3487" w:type="dxa"/>
            <w:tcBorders>
              <w:top w:val="nil"/>
              <w:left w:val="single" w:sz="8" w:space="0" w:color="auto"/>
              <w:bottom w:val="single" w:sz="4" w:space="0" w:color="auto"/>
              <w:right w:val="single" w:sz="4" w:space="0" w:color="auto"/>
            </w:tcBorders>
            <w:shd w:val="clear" w:color="auto" w:fill="auto"/>
            <w:noWrap/>
            <w:vAlign w:val="bottom"/>
            <w:hideMark/>
          </w:tcPr>
          <w:p w14:paraId="295C29FF" w14:textId="77777777" w:rsidR="003E3C29" w:rsidRPr="00AC4AB2" w:rsidRDefault="003E3C29" w:rsidP="003E3C29">
            <w:pPr>
              <w:rPr>
                <w:rFonts w:ascii="Arial" w:hAnsi="Arial" w:cs="Arial"/>
                <w:color w:val="000000"/>
                <w:sz w:val="18"/>
                <w:szCs w:val="18"/>
                <w:lang w:eastAsia="es-AR"/>
              </w:rPr>
            </w:pPr>
            <w:r w:rsidRPr="00AC4AB2">
              <w:rPr>
                <w:rFonts w:ascii="Arial" w:hAnsi="Arial" w:cs="Arial"/>
                <w:color w:val="000000"/>
                <w:sz w:val="18"/>
                <w:szCs w:val="18"/>
                <w:lang w:eastAsia="es-AR"/>
              </w:rPr>
              <w:t>Valuación Moneda Extranjera</w:t>
            </w:r>
          </w:p>
        </w:tc>
        <w:tc>
          <w:tcPr>
            <w:tcW w:w="1224" w:type="dxa"/>
            <w:tcBorders>
              <w:top w:val="nil"/>
              <w:left w:val="nil"/>
              <w:bottom w:val="single" w:sz="4" w:space="0" w:color="auto"/>
              <w:right w:val="single" w:sz="4" w:space="0" w:color="auto"/>
            </w:tcBorders>
            <w:shd w:val="clear" w:color="auto" w:fill="auto"/>
            <w:noWrap/>
            <w:vAlign w:val="bottom"/>
            <w:hideMark/>
          </w:tcPr>
          <w:p w14:paraId="4FC3E2B5" w14:textId="1B15E00E"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-67.613 </w:t>
            </w:r>
          </w:p>
        </w:tc>
        <w:tc>
          <w:tcPr>
            <w:tcW w:w="1352" w:type="dxa"/>
            <w:tcBorders>
              <w:top w:val="nil"/>
              <w:left w:val="nil"/>
              <w:bottom w:val="single" w:sz="4" w:space="0" w:color="auto"/>
              <w:right w:val="single" w:sz="4" w:space="0" w:color="auto"/>
            </w:tcBorders>
            <w:shd w:val="clear" w:color="auto" w:fill="auto"/>
            <w:noWrap/>
            <w:vAlign w:val="bottom"/>
          </w:tcPr>
          <w:p w14:paraId="28DD0B64" w14:textId="013FB468"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23.551 </w:t>
            </w:r>
          </w:p>
        </w:tc>
        <w:tc>
          <w:tcPr>
            <w:tcW w:w="1308" w:type="dxa"/>
            <w:tcBorders>
              <w:top w:val="nil"/>
              <w:left w:val="nil"/>
              <w:bottom w:val="single" w:sz="4" w:space="0" w:color="auto"/>
              <w:right w:val="single" w:sz="4" w:space="0" w:color="auto"/>
            </w:tcBorders>
            <w:shd w:val="clear" w:color="auto" w:fill="auto"/>
            <w:noWrap/>
            <w:vAlign w:val="bottom"/>
          </w:tcPr>
          <w:p w14:paraId="430ABE04" w14:textId="74681225"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-3.10</w:t>
            </w:r>
            <w:r w:rsidR="004D6AF3">
              <w:rPr>
                <w:rFonts w:ascii="Arial" w:hAnsi="Arial" w:cs="Arial"/>
                <w:color w:val="000000"/>
                <w:sz w:val="18"/>
                <w:szCs w:val="18"/>
                <w:lang w:eastAsia="es-AR"/>
              </w:rPr>
              <w:t>0</w:t>
            </w:r>
            <w:r w:rsidRPr="006E1AF7">
              <w:rPr>
                <w:rFonts w:ascii="Arial" w:hAnsi="Arial" w:cs="Arial"/>
                <w:color w:val="000000"/>
                <w:sz w:val="18"/>
                <w:szCs w:val="18"/>
                <w:lang w:eastAsia="es-AR"/>
              </w:rPr>
              <w:t xml:space="preserve"> </w:t>
            </w:r>
          </w:p>
        </w:tc>
        <w:tc>
          <w:tcPr>
            <w:tcW w:w="1035" w:type="dxa"/>
            <w:tcBorders>
              <w:top w:val="nil"/>
              <w:left w:val="nil"/>
              <w:bottom w:val="single" w:sz="4" w:space="0" w:color="auto"/>
              <w:right w:val="single" w:sz="8" w:space="0" w:color="auto"/>
            </w:tcBorders>
            <w:shd w:val="clear" w:color="auto" w:fill="auto"/>
            <w:noWrap/>
            <w:vAlign w:val="bottom"/>
          </w:tcPr>
          <w:p w14:paraId="0E286C42" w14:textId="578CFCB1" w:rsidR="003E3C29" w:rsidRPr="00AC4AB2" w:rsidRDefault="003E3C29">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-47.16</w:t>
            </w:r>
            <w:r w:rsidR="004D6AF3">
              <w:rPr>
                <w:rFonts w:ascii="Arial" w:hAnsi="Arial" w:cs="Arial"/>
                <w:color w:val="000000"/>
                <w:sz w:val="18"/>
                <w:szCs w:val="18"/>
                <w:lang w:eastAsia="es-AR"/>
              </w:rPr>
              <w:t>2</w:t>
            </w:r>
            <w:r w:rsidRPr="006E1AF7">
              <w:rPr>
                <w:rFonts w:ascii="Arial" w:hAnsi="Arial" w:cs="Arial"/>
                <w:color w:val="000000"/>
                <w:sz w:val="18"/>
                <w:szCs w:val="18"/>
                <w:lang w:eastAsia="es-AR"/>
              </w:rPr>
              <w:t xml:space="preserve"> </w:t>
            </w:r>
          </w:p>
        </w:tc>
      </w:tr>
      <w:tr w:rsidR="004D6AF3" w:rsidRPr="00AC4AB2" w14:paraId="1F3B63DD" w14:textId="77777777" w:rsidTr="00A059FB">
        <w:trPr>
          <w:trHeight w:val="238"/>
        </w:trPr>
        <w:tc>
          <w:tcPr>
            <w:tcW w:w="3487" w:type="dxa"/>
            <w:tcBorders>
              <w:top w:val="nil"/>
              <w:left w:val="single" w:sz="8" w:space="0" w:color="auto"/>
              <w:bottom w:val="single" w:sz="4" w:space="0" w:color="auto"/>
              <w:right w:val="single" w:sz="4" w:space="0" w:color="auto"/>
            </w:tcBorders>
            <w:shd w:val="clear" w:color="auto" w:fill="auto"/>
            <w:noWrap/>
            <w:vAlign w:val="bottom"/>
            <w:hideMark/>
          </w:tcPr>
          <w:p w14:paraId="301173F9" w14:textId="77777777" w:rsidR="004D6AF3" w:rsidRPr="00AC4AB2" w:rsidRDefault="004D6AF3" w:rsidP="004D6AF3">
            <w:pPr>
              <w:rPr>
                <w:rFonts w:ascii="Arial" w:hAnsi="Arial" w:cs="Arial"/>
                <w:color w:val="000000"/>
                <w:sz w:val="18"/>
                <w:szCs w:val="18"/>
                <w:lang w:eastAsia="es-AR"/>
              </w:rPr>
            </w:pPr>
            <w:r w:rsidRPr="00AC4AB2">
              <w:rPr>
                <w:rFonts w:ascii="Arial" w:hAnsi="Arial" w:cs="Arial"/>
                <w:color w:val="000000"/>
                <w:sz w:val="18"/>
                <w:szCs w:val="18"/>
                <w:lang w:eastAsia="es-AR"/>
              </w:rPr>
              <w:t>Previsiones Pasivo</w:t>
            </w:r>
          </w:p>
        </w:tc>
        <w:tc>
          <w:tcPr>
            <w:tcW w:w="1224" w:type="dxa"/>
            <w:tcBorders>
              <w:top w:val="nil"/>
              <w:left w:val="nil"/>
              <w:bottom w:val="single" w:sz="4" w:space="0" w:color="auto"/>
              <w:right w:val="single" w:sz="4" w:space="0" w:color="auto"/>
            </w:tcBorders>
            <w:shd w:val="clear" w:color="auto" w:fill="auto"/>
            <w:noWrap/>
            <w:vAlign w:val="bottom"/>
            <w:hideMark/>
          </w:tcPr>
          <w:p w14:paraId="289AF2F2" w14:textId="3141315C" w:rsidR="004D6AF3" w:rsidRPr="00AC4AB2" w:rsidRDefault="004D6AF3" w:rsidP="004D6AF3">
            <w:pPr>
              <w:jc w:val="right"/>
              <w:rPr>
                <w:rFonts w:ascii="Arial" w:hAnsi="Arial" w:cs="Arial"/>
                <w:color w:val="000000"/>
                <w:sz w:val="18"/>
                <w:szCs w:val="18"/>
                <w:lang w:eastAsia="es-AR"/>
              </w:rPr>
            </w:pPr>
            <w:r w:rsidRPr="006E1AF7">
              <w:rPr>
                <w:rFonts w:ascii="Arial" w:hAnsi="Arial" w:cs="Arial"/>
                <w:color w:val="000000"/>
                <w:sz w:val="18"/>
                <w:szCs w:val="18"/>
                <w:lang w:eastAsia="es-AR"/>
              </w:rPr>
              <w:t xml:space="preserve"> 10.766 </w:t>
            </w:r>
          </w:p>
        </w:tc>
        <w:tc>
          <w:tcPr>
            <w:tcW w:w="1352" w:type="dxa"/>
            <w:tcBorders>
              <w:top w:val="nil"/>
              <w:left w:val="nil"/>
              <w:bottom w:val="single" w:sz="4" w:space="0" w:color="auto"/>
              <w:right w:val="single" w:sz="4" w:space="0" w:color="auto"/>
            </w:tcBorders>
            <w:shd w:val="clear" w:color="auto" w:fill="auto"/>
            <w:noWrap/>
            <w:vAlign w:val="center"/>
          </w:tcPr>
          <w:p w14:paraId="5B66FF6F" w14:textId="56C6F7D4" w:rsidR="004D6AF3" w:rsidRPr="00AC4AB2" w:rsidRDefault="004D6AF3" w:rsidP="004D6AF3">
            <w:pPr>
              <w:jc w:val="right"/>
              <w:rPr>
                <w:rFonts w:ascii="Arial" w:hAnsi="Arial" w:cs="Arial"/>
                <w:color w:val="000000"/>
                <w:sz w:val="18"/>
                <w:szCs w:val="18"/>
                <w:lang w:eastAsia="es-AR"/>
              </w:rPr>
            </w:pPr>
            <w:r>
              <w:rPr>
                <w:rFonts w:ascii="Arial" w:hAnsi="Arial" w:cs="Arial"/>
                <w:color w:val="000000"/>
                <w:sz w:val="18"/>
                <w:szCs w:val="18"/>
              </w:rPr>
              <w:t>155.292</w:t>
            </w:r>
          </w:p>
        </w:tc>
        <w:tc>
          <w:tcPr>
            <w:tcW w:w="1308" w:type="dxa"/>
            <w:tcBorders>
              <w:top w:val="nil"/>
              <w:left w:val="nil"/>
              <w:bottom w:val="single" w:sz="4" w:space="0" w:color="auto"/>
              <w:right w:val="single" w:sz="4" w:space="0" w:color="auto"/>
            </w:tcBorders>
            <w:shd w:val="clear" w:color="auto" w:fill="auto"/>
            <w:noWrap/>
            <w:vAlign w:val="center"/>
          </w:tcPr>
          <w:p w14:paraId="19623725" w14:textId="2A1E5E94" w:rsidR="004D6AF3" w:rsidRPr="00AC4AB2" w:rsidRDefault="004D6AF3" w:rsidP="004D6AF3">
            <w:pPr>
              <w:jc w:val="right"/>
              <w:rPr>
                <w:rFonts w:ascii="Arial" w:hAnsi="Arial" w:cs="Arial"/>
                <w:color w:val="000000"/>
                <w:sz w:val="18"/>
                <w:szCs w:val="18"/>
                <w:lang w:eastAsia="es-AR"/>
              </w:rPr>
            </w:pPr>
            <w:r>
              <w:rPr>
                <w:rFonts w:ascii="Arial" w:hAnsi="Arial" w:cs="Arial"/>
                <w:color w:val="000000"/>
                <w:sz w:val="18"/>
                <w:szCs w:val="18"/>
              </w:rPr>
              <w:t>-</w:t>
            </w:r>
          </w:p>
        </w:tc>
        <w:tc>
          <w:tcPr>
            <w:tcW w:w="1035" w:type="dxa"/>
            <w:tcBorders>
              <w:top w:val="nil"/>
              <w:left w:val="nil"/>
              <w:bottom w:val="single" w:sz="4" w:space="0" w:color="auto"/>
              <w:right w:val="single" w:sz="8" w:space="0" w:color="auto"/>
            </w:tcBorders>
            <w:shd w:val="clear" w:color="auto" w:fill="auto"/>
            <w:noWrap/>
            <w:vAlign w:val="center"/>
          </w:tcPr>
          <w:p w14:paraId="67EA368B" w14:textId="6A1F1015" w:rsidR="004D6AF3" w:rsidRPr="00AC4AB2" w:rsidRDefault="004D6AF3" w:rsidP="004D6AF3">
            <w:pPr>
              <w:jc w:val="right"/>
              <w:rPr>
                <w:rFonts w:ascii="Arial" w:hAnsi="Arial" w:cs="Arial"/>
                <w:color w:val="000000"/>
                <w:sz w:val="18"/>
                <w:szCs w:val="18"/>
                <w:lang w:eastAsia="es-AR"/>
              </w:rPr>
            </w:pPr>
            <w:r>
              <w:rPr>
                <w:rFonts w:ascii="Arial" w:hAnsi="Arial" w:cs="Arial"/>
                <w:color w:val="000000"/>
                <w:sz w:val="18"/>
                <w:szCs w:val="18"/>
              </w:rPr>
              <w:t>166.058</w:t>
            </w:r>
          </w:p>
        </w:tc>
      </w:tr>
      <w:tr w:rsidR="004D6AF3" w:rsidRPr="00AC4AB2" w14:paraId="0EC50D26" w14:textId="77777777" w:rsidTr="00A059FB">
        <w:trPr>
          <w:trHeight w:val="253"/>
        </w:trPr>
        <w:tc>
          <w:tcPr>
            <w:tcW w:w="3487" w:type="dxa"/>
            <w:tcBorders>
              <w:top w:val="nil"/>
              <w:left w:val="single" w:sz="8" w:space="0" w:color="auto"/>
              <w:bottom w:val="single" w:sz="4" w:space="0" w:color="auto"/>
              <w:right w:val="single" w:sz="4" w:space="0" w:color="auto"/>
            </w:tcBorders>
            <w:shd w:val="clear" w:color="auto" w:fill="auto"/>
            <w:noWrap/>
            <w:vAlign w:val="bottom"/>
            <w:hideMark/>
          </w:tcPr>
          <w:p w14:paraId="4472E84E" w14:textId="2D0F59B5" w:rsidR="004D6AF3" w:rsidRPr="00AC4AB2" w:rsidRDefault="004D6AF3" w:rsidP="004D6AF3">
            <w:pPr>
              <w:rPr>
                <w:rFonts w:ascii="Arial" w:hAnsi="Arial" w:cs="Arial"/>
                <w:color w:val="000000"/>
                <w:sz w:val="18"/>
                <w:szCs w:val="18"/>
                <w:lang w:eastAsia="es-AR"/>
              </w:rPr>
            </w:pPr>
            <w:r w:rsidRPr="00F541AB">
              <w:rPr>
                <w:rFonts w:ascii="Arial" w:hAnsi="Arial" w:cs="Arial"/>
                <w:color w:val="000000"/>
                <w:sz w:val="18"/>
                <w:szCs w:val="18"/>
                <w:lang w:eastAsia="es-AR"/>
              </w:rPr>
              <w:t>Ajuste por Inflacion</w:t>
            </w:r>
            <w:r>
              <w:rPr>
                <w:rFonts w:ascii="Arial" w:hAnsi="Arial" w:cs="Arial"/>
                <w:color w:val="000000"/>
                <w:sz w:val="18"/>
                <w:szCs w:val="18"/>
                <w:lang w:eastAsia="es-AR"/>
              </w:rPr>
              <w:t xml:space="preserve"> impositivo</w:t>
            </w:r>
          </w:p>
        </w:tc>
        <w:tc>
          <w:tcPr>
            <w:tcW w:w="1224" w:type="dxa"/>
            <w:tcBorders>
              <w:top w:val="nil"/>
              <w:left w:val="nil"/>
              <w:bottom w:val="single" w:sz="4" w:space="0" w:color="auto"/>
              <w:right w:val="single" w:sz="4" w:space="0" w:color="auto"/>
            </w:tcBorders>
            <w:shd w:val="clear" w:color="auto" w:fill="auto"/>
            <w:noWrap/>
            <w:vAlign w:val="bottom"/>
            <w:hideMark/>
          </w:tcPr>
          <w:p w14:paraId="0746DC12" w14:textId="4E7BE161" w:rsidR="004D6AF3" w:rsidRPr="00AC4AB2" w:rsidRDefault="004D6AF3" w:rsidP="004D6AF3">
            <w:pPr>
              <w:jc w:val="right"/>
              <w:rPr>
                <w:rFonts w:ascii="Arial" w:hAnsi="Arial" w:cs="Arial"/>
                <w:color w:val="000000"/>
                <w:sz w:val="18"/>
                <w:szCs w:val="18"/>
                <w:lang w:eastAsia="es-AR"/>
              </w:rPr>
            </w:pPr>
            <w:r w:rsidRPr="00AC4AB2">
              <w:rPr>
                <w:rFonts w:ascii="Arial" w:hAnsi="Arial" w:cs="Arial"/>
                <w:color w:val="000000"/>
                <w:sz w:val="18"/>
                <w:szCs w:val="18"/>
                <w:lang w:eastAsia="es-AR"/>
              </w:rPr>
              <w:t>-</w:t>
            </w:r>
          </w:p>
        </w:tc>
        <w:tc>
          <w:tcPr>
            <w:tcW w:w="1352" w:type="dxa"/>
            <w:tcBorders>
              <w:top w:val="nil"/>
              <w:left w:val="nil"/>
              <w:bottom w:val="single" w:sz="4" w:space="0" w:color="auto"/>
              <w:right w:val="single" w:sz="4" w:space="0" w:color="auto"/>
            </w:tcBorders>
            <w:shd w:val="clear" w:color="auto" w:fill="auto"/>
            <w:noWrap/>
            <w:vAlign w:val="center"/>
          </w:tcPr>
          <w:p w14:paraId="447548F3" w14:textId="44B8D7EF" w:rsidR="004D6AF3" w:rsidRPr="00AC4AB2" w:rsidRDefault="004D6AF3" w:rsidP="004D6AF3">
            <w:pPr>
              <w:jc w:val="right"/>
              <w:rPr>
                <w:rFonts w:ascii="Arial" w:hAnsi="Arial" w:cs="Arial"/>
                <w:color w:val="000000"/>
                <w:sz w:val="18"/>
                <w:szCs w:val="18"/>
                <w:lang w:eastAsia="es-AR"/>
              </w:rPr>
            </w:pPr>
            <w:r>
              <w:rPr>
                <w:rFonts w:ascii="Arial" w:hAnsi="Arial" w:cs="Arial"/>
                <w:color w:val="000000"/>
                <w:sz w:val="18"/>
                <w:szCs w:val="18"/>
              </w:rPr>
              <w:t>898.316</w:t>
            </w:r>
          </w:p>
        </w:tc>
        <w:tc>
          <w:tcPr>
            <w:tcW w:w="1308" w:type="dxa"/>
            <w:tcBorders>
              <w:top w:val="nil"/>
              <w:left w:val="nil"/>
              <w:bottom w:val="single" w:sz="4" w:space="0" w:color="auto"/>
              <w:right w:val="single" w:sz="4" w:space="0" w:color="auto"/>
            </w:tcBorders>
            <w:shd w:val="clear" w:color="auto" w:fill="auto"/>
            <w:noWrap/>
            <w:vAlign w:val="center"/>
          </w:tcPr>
          <w:p w14:paraId="627C64C6" w14:textId="0240D1A8" w:rsidR="004D6AF3" w:rsidRPr="00AC4AB2" w:rsidRDefault="004D6AF3" w:rsidP="004D6AF3">
            <w:pPr>
              <w:jc w:val="right"/>
              <w:rPr>
                <w:rFonts w:ascii="Arial" w:hAnsi="Arial" w:cs="Arial"/>
                <w:color w:val="000000"/>
                <w:sz w:val="18"/>
                <w:szCs w:val="18"/>
                <w:lang w:eastAsia="es-AR"/>
              </w:rPr>
            </w:pPr>
            <w:r>
              <w:rPr>
                <w:rFonts w:ascii="Arial" w:hAnsi="Arial" w:cs="Arial"/>
                <w:color w:val="000000"/>
                <w:sz w:val="18"/>
                <w:szCs w:val="18"/>
              </w:rPr>
              <w:t>-</w:t>
            </w:r>
          </w:p>
        </w:tc>
        <w:tc>
          <w:tcPr>
            <w:tcW w:w="1035" w:type="dxa"/>
            <w:tcBorders>
              <w:top w:val="nil"/>
              <w:left w:val="nil"/>
              <w:bottom w:val="single" w:sz="4" w:space="0" w:color="auto"/>
              <w:right w:val="single" w:sz="8" w:space="0" w:color="auto"/>
            </w:tcBorders>
            <w:shd w:val="clear" w:color="auto" w:fill="auto"/>
            <w:noWrap/>
            <w:vAlign w:val="center"/>
          </w:tcPr>
          <w:p w14:paraId="5932D93E" w14:textId="0BB7C7BE" w:rsidR="004D6AF3" w:rsidRPr="00AC4AB2" w:rsidRDefault="004D6AF3" w:rsidP="004D6AF3">
            <w:pPr>
              <w:jc w:val="right"/>
              <w:rPr>
                <w:rFonts w:ascii="Arial" w:hAnsi="Arial" w:cs="Arial"/>
                <w:color w:val="000000"/>
                <w:sz w:val="18"/>
                <w:szCs w:val="18"/>
                <w:lang w:eastAsia="es-AR"/>
              </w:rPr>
            </w:pPr>
            <w:r>
              <w:rPr>
                <w:rFonts w:ascii="Arial" w:hAnsi="Arial" w:cs="Arial"/>
                <w:color w:val="000000"/>
                <w:sz w:val="18"/>
                <w:szCs w:val="18"/>
              </w:rPr>
              <w:t>898.316</w:t>
            </w:r>
          </w:p>
        </w:tc>
      </w:tr>
      <w:tr w:rsidR="004D6AF3" w:rsidRPr="00AC4AB2" w14:paraId="2528395C" w14:textId="77777777" w:rsidTr="00A059FB">
        <w:trPr>
          <w:trHeight w:val="253"/>
        </w:trPr>
        <w:tc>
          <w:tcPr>
            <w:tcW w:w="3487" w:type="dxa"/>
            <w:tcBorders>
              <w:top w:val="nil"/>
              <w:left w:val="single" w:sz="8" w:space="0" w:color="auto"/>
              <w:bottom w:val="single" w:sz="8" w:space="0" w:color="auto"/>
              <w:right w:val="single" w:sz="4" w:space="0" w:color="auto"/>
            </w:tcBorders>
            <w:shd w:val="clear" w:color="auto" w:fill="auto"/>
            <w:noWrap/>
            <w:vAlign w:val="bottom"/>
            <w:hideMark/>
          </w:tcPr>
          <w:p w14:paraId="54B6A8CF" w14:textId="77777777" w:rsidR="004D6AF3" w:rsidRPr="00613EB0" w:rsidRDefault="004D6AF3" w:rsidP="004D6AF3">
            <w:pPr>
              <w:rPr>
                <w:rFonts w:ascii="Arial" w:hAnsi="Arial" w:cs="Arial"/>
                <w:b/>
                <w:color w:val="000000"/>
                <w:sz w:val="18"/>
                <w:szCs w:val="18"/>
                <w:lang w:eastAsia="es-AR"/>
              </w:rPr>
            </w:pPr>
            <w:r w:rsidRPr="00613EB0">
              <w:rPr>
                <w:rFonts w:ascii="Arial" w:hAnsi="Arial" w:cs="Arial"/>
                <w:b/>
                <w:color w:val="000000"/>
                <w:sz w:val="18"/>
                <w:szCs w:val="18"/>
                <w:lang w:eastAsia="es-AR"/>
              </w:rPr>
              <w:t>Total</w:t>
            </w:r>
          </w:p>
        </w:tc>
        <w:tc>
          <w:tcPr>
            <w:tcW w:w="1224" w:type="dxa"/>
            <w:tcBorders>
              <w:top w:val="nil"/>
              <w:left w:val="nil"/>
              <w:bottom w:val="single" w:sz="8" w:space="0" w:color="auto"/>
              <w:right w:val="single" w:sz="4" w:space="0" w:color="auto"/>
            </w:tcBorders>
            <w:shd w:val="clear" w:color="auto" w:fill="auto"/>
            <w:noWrap/>
            <w:vAlign w:val="bottom"/>
            <w:hideMark/>
          </w:tcPr>
          <w:p w14:paraId="7E76EA68" w14:textId="3DA3E4B6" w:rsidR="004D6AF3" w:rsidRPr="000D6205" w:rsidRDefault="004D6AF3" w:rsidP="004D6AF3">
            <w:pPr>
              <w:jc w:val="right"/>
              <w:rPr>
                <w:rFonts w:ascii="Arial" w:hAnsi="Arial" w:cs="Arial"/>
                <w:b/>
                <w:color w:val="000000"/>
                <w:sz w:val="18"/>
                <w:szCs w:val="18"/>
                <w:lang w:eastAsia="es-AR"/>
              </w:rPr>
            </w:pPr>
            <w:r w:rsidRPr="000D6205">
              <w:rPr>
                <w:rFonts w:ascii="Arial" w:hAnsi="Arial" w:cs="Arial"/>
                <w:b/>
                <w:color w:val="000000"/>
                <w:sz w:val="18"/>
                <w:szCs w:val="18"/>
                <w:lang w:eastAsia="es-AR"/>
              </w:rPr>
              <w:t>11.298</w:t>
            </w:r>
          </w:p>
        </w:tc>
        <w:tc>
          <w:tcPr>
            <w:tcW w:w="1352" w:type="dxa"/>
            <w:tcBorders>
              <w:top w:val="nil"/>
              <w:left w:val="nil"/>
              <w:bottom w:val="single" w:sz="8" w:space="0" w:color="auto"/>
              <w:right w:val="single" w:sz="4" w:space="0" w:color="auto"/>
            </w:tcBorders>
            <w:shd w:val="clear" w:color="auto" w:fill="auto"/>
            <w:noWrap/>
            <w:vAlign w:val="center"/>
          </w:tcPr>
          <w:p w14:paraId="330B967C" w14:textId="24766FDC" w:rsidR="004D6AF3" w:rsidRPr="006E1AF7" w:rsidRDefault="004D6AF3" w:rsidP="004D6AF3">
            <w:pPr>
              <w:jc w:val="right"/>
              <w:rPr>
                <w:rFonts w:ascii="Arial" w:hAnsi="Arial" w:cs="Arial"/>
                <w:b/>
                <w:color w:val="000000"/>
                <w:sz w:val="18"/>
                <w:szCs w:val="18"/>
                <w:lang w:eastAsia="es-AR"/>
              </w:rPr>
            </w:pPr>
            <w:r>
              <w:rPr>
                <w:rFonts w:ascii="Arial" w:hAnsi="Arial" w:cs="Arial"/>
                <w:b/>
                <w:bCs/>
                <w:color w:val="000000"/>
                <w:sz w:val="18"/>
                <w:szCs w:val="18"/>
              </w:rPr>
              <w:t>757.003</w:t>
            </w:r>
          </w:p>
        </w:tc>
        <w:tc>
          <w:tcPr>
            <w:tcW w:w="1308" w:type="dxa"/>
            <w:tcBorders>
              <w:top w:val="nil"/>
              <w:left w:val="nil"/>
              <w:bottom w:val="single" w:sz="8" w:space="0" w:color="auto"/>
              <w:right w:val="single" w:sz="4" w:space="0" w:color="auto"/>
            </w:tcBorders>
            <w:shd w:val="clear" w:color="auto" w:fill="auto"/>
            <w:noWrap/>
            <w:vAlign w:val="center"/>
          </w:tcPr>
          <w:p w14:paraId="5E98F2E1" w14:textId="789A27B5" w:rsidR="004D6AF3" w:rsidRPr="006E1AF7" w:rsidRDefault="004D6AF3" w:rsidP="004D6AF3">
            <w:pPr>
              <w:jc w:val="right"/>
              <w:rPr>
                <w:rFonts w:ascii="Arial" w:hAnsi="Arial" w:cs="Arial"/>
                <w:b/>
                <w:color w:val="000000"/>
                <w:sz w:val="18"/>
                <w:szCs w:val="18"/>
                <w:lang w:eastAsia="es-AR"/>
              </w:rPr>
            </w:pPr>
            <w:r>
              <w:rPr>
                <w:rFonts w:ascii="Arial" w:hAnsi="Arial" w:cs="Arial"/>
                <w:b/>
                <w:bCs/>
                <w:color w:val="000000"/>
                <w:sz w:val="18"/>
                <w:szCs w:val="18"/>
              </w:rPr>
              <w:t>-152.763</w:t>
            </w:r>
          </w:p>
        </w:tc>
        <w:tc>
          <w:tcPr>
            <w:tcW w:w="1035" w:type="dxa"/>
            <w:tcBorders>
              <w:top w:val="nil"/>
              <w:left w:val="nil"/>
              <w:bottom w:val="single" w:sz="8" w:space="0" w:color="auto"/>
              <w:right w:val="single" w:sz="8" w:space="0" w:color="auto"/>
            </w:tcBorders>
            <w:shd w:val="clear" w:color="auto" w:fill="auto"/>
            <w:noWrap/>
            <w:vAlign w:val="center"/>
          </w:tcPr>
          <w:p w14:paraId="2CAA87CB" w14:textId="4CF24FD3" w:rsidR="004D6AF3" w:rsidRPr="000D6205" w:rsidRDefault="004D6AF3" w:rsidP="004D6AF3">
            <w:pPr>
              <w:jc w:val="right"/>
              <w:rPr>
                <w:rFonts w:ascii="Arial" w:hAnsi="Arial" w:cs="Arial"/>
                <w:b/>
                <w:color w:val="000000"/>
                <w:sz w:val="18"/>
                <w:szCs w:val="18"/>
                <w:lang w:eastAsia="es-AR"/>
              </w:rPr>
            </w:pPr>
            <w:r>
              <w:rPr>
                <w:rFonts w:ascii="Arial" w:hAnsi="Arial" w:cs="Arial"/>
                <w:b/>
                <w:bCs/>
                <w:color w:val="000000"/>
                <w:sz w:val="18"/>
                <w:szCs w:val="18"/>
              </w:rPr>
              <w:t>615.538</w:t>
            </w:r>
          </w:p>
        </w:tc>
      </w:tr>
    </w:tbl>
    <w:p w14:paraId="132D4442" w14:textId="77777777" w:rsidR="00C11CA1" w:rsidRDefault="00C11CA1" w:rsidP="00C11CA1">
      <w:pPr>
        <w:jc w:val="both"/>
        <w:rPr>
          <w:rFonts w:ascii="Arial" w:hAnsi="Arial" w:cs="Arial"/>
          <w:sz w:val="20"/>
        </w:rPr>
      </w:pPr>
    </w:p>
    <w:p w14:paraId="1FF149A2" w14:textId="77777777" w:rsidR="00C11CA1" w:rsidRDefault="00C11CA1" w:rsidP="00C11CA1">
      <w:pPr>
        <w:jc w:val="both"/>
        <w:rPr>
          <w:rFonts w:ascii="Arial" w:hAnsi="Arial" w:cs="Arial"/>
          <w:sz w:val="20"/>
        </w:rPr>
      </w:pPr>
    </w:p>
    <w:p w14:paraId="06A28D31" w14:textId="77777777" w:rsidR="00C11CA1" w:rsidRPr="00613EB0" w:rsidRDefault="00C11CA1" w:rsidP="00C11CA1">
      <w:pPr>
        <w:jc w:val="both"/>
        <w:rPr>
          <w:rFonts w:ascii="Arial" w:eastAsia="SimSun" w:hAnsi="Arial" w:cs="Arial"/>
          <w:sz w:val="20"/>
          <w:lang w:eastAsia="zh-CN"/>
        </w:rPr>
      </w:pPr>
      <w:r w:rsidRPr="00613EB0">
        <w:rPr>
          <w:rFonts w:ascii="Arial" w:eastAsia="SimSun" w:hAnsi="Arial" w:cs="Arial"/>
          <w:sz w:val="20"/>
          <w:lang w:eastAsia="zh-CN"/>
        </w:rPr>
        <w:t xml:space="preserve">Según el análisis realizado por el </w:t>
      </w:r>
      <w:r>
        <w:rPr>
          <w:rFonts w:ascii="Arial" w:eastAsia="SimSun" w:hAnsi="Arial" w:cs="Arial"/>
          <w:sz w:val="20"/>
          <w:lang w:eastAsia="zh-CN"/>
        </w:rPr>
        <w:t>Banco</w:t>
      </w:r>
      <w:r w:rsidRPr="00613EB0">
        <w:rPr>
          <w:rFonts w:ascii="Arial" w:eastAsia="SimSun" w:hAnsi="Arial" w:cs="Arial"/>
          <w:sz w:val="20"/>
          <w:lang w:eastAsia="zh-CN"/>
        </w:rPr>
        <w:t>, se considera que los activos detallados con anterioridad cumplen los requisitos para considerarlos recuperables y de esta forma realizar el reconocimiento correspondiente.</w:t>
      </w:r>
    </w:p>
    <w:p w14:paraId="250F5344" w14:textId="77777777" w:rsidR="00C11CA1" w:rsidRDefault="00C11CA1" w:rsidP="00C11CA1">
      <w:pPr>
        <w:jc w:val="both"/>
        <w:rPr>
          <w:rFonts w:ascii="Arial" w:eastAsia="SimSun" w:hAnsi="Arial" w:cs="Arial"/>
          <w:sz w:val="20"/>
          <w:lang w:eastAsia="zh-CN"/>
        </w:rPr>
      </w:pPr>
    </w:p>
    <w:p w14:paraId="57FA0F99" w14:textId="77777777" w:rsidR="00C11CA1" w:rsidRPr="00E446C3" w:rsidRDefault="00C11CA1" w:rsidP="00C11CA1">
      <w:pPr>
        <w:pStyle w:val="Style1"/>
        <w:jc w:val="both"/>
        <w:rPr>
          <w:rFonts w:ascii="Arial" w:eastAsia="SimSun" w:hAnsi="Arial" w:cs="Arial"/>
          <w:noProof w:val="0"/>
          <w:szCs w:val="20"/>
          <w:lang w:eastAsia="zh-CN"/>
        </w:rPr>
      </w:pPr>
      <w:r w:rsidRPr="00E446C3">
        <w:rPr>
          <w:rFonts w:ascii="Arial" w:eastAsia="SimSun" w:hAnsi="Arial" w:cs="Arial"/>
          <w:noProof w:val="0"/>
          <w:szCs w:val="20"/>
          <w:lang w:eastAsia="zh-CN"/>
        </w:rPr>
        <w:t>El plazo de reversión estimado de los activos y pasivos diferidos es el siguiente:</w:t>
      </w:r>
    </w:p>
    <w:p w14:paraId="2F354DC1" w14:textId="649C500E" w:rsidR="00B2136F" w:rsidRDefault="00B2136F">
      <w:pPr>
        <w:rPr>
          <w:rFonts w:ascii="Arial" w:hAnsi="Arial" w:cs="Arial"/>
          <w:noProof/>
          <w:sz w:val="18"/>
          <w:szCs w:val="18"/>
          <w:lang w:eastAsia="es-ES"/>
        </w:rPr>
      </w:pPr>
      <w:r>
        <w:rPr>
          <w:rFonts w:ascii="Arial" w:hAnsi="Arial" w:cs="Arial"/>
          <w:sz w:val="18"/>
          <w:szCs w:val="18"/>
          <w:lang w:eastAsia="es-ES"/>
        </w:rPr>
        <w:br w:type="page"/>
      </w:r>
    </w:p>
    <w:p w14:paraId="5BB82218" w14:textId="77777777" w:rsidR="00C11CA1" w:rsidRPr="00E446C3" w:rsidRDefault="00C11CA1" w:rsidP="00C11CA1">
      <w:pPr>
        <w:pStyle w:val="Style1"/>
        <w:jc w:val="both"/>
        <w:rPr>
          <w:rFonts w:ascii="Arial" w:hAnsi="Arial" w:cs="Arial"/>
          <w:sz w:val="18"/>
          <w:szCs w:val="18"/>
          <w:lang w:eastAsia="es-ES"/>
        </w:rPr>
      </w:pPr>
    </w:p>
    <w:tbl>
      <w:tblPr>
        <w:tblW w:w="4377" w:type="pct"/>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6"/>
        <w:gridCol w:w="1118"/>
      </w:tblGrid>
      <w:tr w:rsidR="00C11CA1" w:rsidRPr="004D1CDF" w14:paraId="66E38212" w14:textId="77777777" w:rsidTr="00A059FB">
        <w:trPr>
          <w:trHeight w:val="252"/>
        </w:trPr>
        <w:tc>
          <w:tcPr>
            <w:tcW w:w="4268" w:type="pct"/>
          </w:tcPr>
          <w:p w14:paraId="2AF4B18B" w14:textId="77777777" w:rsidR="00C11CA1" w:rsidRPr="00E446C3" w:rsidRDefault="00C11CA1" w:rsidP="00DF0784">
            <w:pPr>
              <w:ind w:left="113"/>
              <w:rPr>
                <w:rFonts w:ascii="Arial" w:hAnsi="Arial" w:cs="Arial"/>
                <w:sz w:val="18"/>
                <w:szCs w:val="18"/>
              </w:rPr>
            </w:pPr>
          </w:p>
          <w:p w14:paraId="084BDF77" w14:textId="77777777" w:rsidR="00C11CA1" w:rsidRPr="00E446C3" w:rsidRDefault="00C11CA1" w:rsidP="00DF0784">
            <w:pPr>
              <w:widowControl w:val="0"/>
              <w:autoSpaceDE w:val="0"/>
              <w:autoSpaceDN w:val="0"/>
              <w:adjustRightInd w:val="0"/>
              <w:ind w:left="113"/>
              <w:rPr>
                <w:rFonts w:ascii="Arial" w:hAnsi="Arial" w:cs="Arial"/>
                <w:sz w:val="18"/>
                <w:szCs w:val="18"/>
              </w:rPr>
            </w:pPr>
          </w:p>
        </w:tc>
        <w:tc>
          <w:tcPr>
            <w:tcW w:w="732" w:type="pct"/>
            <w:vAlign w:val="center"/>
          </w:tcPr>
          <w:p w14:paraId="61C89406" w14:textId="457F1A84" w:rsidR="00C11CA1" w:rsidRPr="00E446C3" w:rsidRDefault="00C11CA1" w:rsidP="00DF0784">
            <w:pPr>
              <w:jc w:val="center"/>
              <w:rPr>
                <w:rFonts w:ascii="Arial" w:hAnsi="Arial" w:cs="Arial"/>
                <w:b/>
                <w:sz w:val="18"/>
                <w:szCs w:val="18"/>
              </w:rPr>
            </w:pPr>
            <w:r w:rsidRPr="00E446C3">
              <w:rPr>
                <w:rFonts w:ascii="Arial" w:hAnsi="Arial" w:cs="Arial"/>
                <w:b/>
                <w:sz w:val="18"/>
                <w:szCs w:val="18"/>
              </w:rPr>
              <w:t>31/12/201</w:t>
            </w:r>
            <w:r>
              <w:rPr>
                <w:rFonts w:ascii="Arial" w:hAnsi="Arial" w:cs="Arial"/>
                <w:b/>
                <w:sz w:val="18"/>
                <w:szCs w:val="18"/>
              </w:rPr>
              <w:t>9</w:t>
            </w:r>
          </w:p>
        </w:tc>
      </w:tr>
      <w:tr w:rsidR="00F541AB" w:rsidRPr="004D1CDF" w14:paraId="4E21926D" w14:textId="77777777" w:rsidTr="00A059FB">
        <w:tc>
          <w:tcPr>
            <w:tcW w:w="4268" w:type="pct"/>
            <w:vAlign w:val="bottom"/>
          </w:tcPr>
          <w:p w14:paraId="4101C8DA" w14:textId="77777777" w:rsidR="00F541AB" w:rsidRPr="00E446C3" w:rsidRDefault="00F541AB" w:rsidP="00F541AB">
            <w:pPr>
              <w:ind w:left="97"/>
              <w:rPr>
                <w:rFonts w:ascii="Arial" w:hAnsi="Arial" w:cs="Arial"/>
                <w:sz w:val="18"/>
                <w:szCs w:val="18"/>
              </w:rPr>
            </w:pPr>
            <w:r w:rsidRPr="00E446C3">
              <w:rPr>
                <w:rFonts w:ascii="Arial" w:hAnsi="Arial" w:cs="Arial"/>
                <w:sz w:val="18"/>
                <w:szCs w:val="18"/>
              </w:rPr>
              <w:t>Impuestos diferidos a recuperar en más de 12 meses</w:t>
            </w:r>
          </w:p>
        </w:tc>
        <w:tc>
          <w:tcPr>
            <w:tcW w:w="732" w:type="pct"/>
          </w:tcPr>
          <w:p w14:paraId="7C8324A4" w14:textId="3A70B156" w:rsidR="00F541AB" w:rsidRPr="000D6205" w:rsidRDefault="00F541AB" w:rsidP="00F541AB">
            <w:pPr>
              <w:ind w:right="-77"/>
              <w:jc w:val="right"/>
              <w:rPr>
                <w:rFonts w:ascii="Arial" w:hAnsi="Arial" w:cs="Arial"/>
                <w:sz w:val="18"/>
                <w:szCs w:val="16"/>
              </w:rPr>
            </w:pPr>
            <w:r w:rsidRPr="006E1AF7">
              <w:rPr>
                <w:rFonts w:ascii="Arial" w:hAnsi="Arial" w:cs="Arial"/>
                <w:sz w:val="18"/>
                <w:szCs w:val="16"/>
              </w:rPr>
              <w:t xml:space="preserve"> 584.437 </w:t>
            </w:r>
          </w:p>
        </w:tc>
      </w:tr>
      <w:tr w:rsidR="00F541AB" w:rsidRPr="004D1CDF" w14:paraId="02594CA7" w14:textId="77777777" w:rsidTr="00A059FB">
        <w:tc>
          <w:tcPr>
            <w:tcW w:w="4268" w:type="pct"/>
            <w:vAlign w:val="bottom"/>
          </w:tcPr>
          <w:p w14:paraId="78FB3A55" w14:textId="77777777" w:rsidR="00F541AB" w:rsidRPr="00E446C3" w:rsidRDefault="00F541AB" w:rsidP="00F541AB">
            <w:pPr>
              <w:ind w:left="97"/>
              <w:rPr>
                <w:rFonts w:ascii="Arial" w:hAnsi="Arial" w:cs="Arial"/>
                <w:sz w:val="18"/>
                <w:szCs w:val="18"/>
              </w:rPr>
            </w:pPr>
            <w:r w:rsidRPr="00E446C3">
              <w:rPr>
                <w:rFonts w:ascii="Arial" w:hAnsi="Arial" w:cs="Arial"/>
                <w:sz w:val="18"/>
                <w:szCs w:val="18"/>
              </w:rPr>
              <w:t>Impuestos diferidos a recuperar en 12 meses</w:t>
            </w:r>
          </w:p>
        </w:tc>
        <w:tc>
          <w:tcPr>
            <w:tcW w:w="732" w:type="pct"/>
          </w:tcPr>
          <w:p w14:paraId="58F9CDCE" w14:textId="104FFC5F" w:rsidR="00F541AB" w:rsidRPr="000D6205" w:rsidRDefault="00F541AB" w:rsidP="00F541AB">
            <w:pPr>
              <w:ind w:right="-77"/>
              <w:jc w:val="right"/>
              <w:rPr>
                <w:rFonts w:ascii="Arial" w:hAnsi="Arial" w:cs="Arial"/>
                <w:sz w:val="18"/>
                <w:szCs w:val="16"/>
              </w:rPr>
            </w:pPr>
            <w:r w:rsidRPr="006E1AF7">
              <w:rPr>
                <w:rFonts w:ascii="Arial" w:hAnsi="Arial" w:cs="Arial"/>
                <w:sz w:val="18"/>
                <w:szCs w:val="16"/>
              </w:rPr>
              <w:t xml:space="preserve"> 691.489 </w:t>
            </w:r>
          </w:p>
        </w:tc>
      </w:tr>
      <w:tr w:rsidR="00F541AB" w:rsidRPr="00794B6E" w14:paraId="41A23BFA" w14:textId="77777777" w:rsidTr="00A059FB">
        <w:tc>
          <w:tcPr>
            <w:tcW w:w="4268" w:type="pct"/>
            <w:vAlign w:val="bottom"/>
          </w:tcPr>
          <w:p w14:paraId="36DE5CF7" w14:textId="77777777" w:rsidR="00F541AB" w:rsidRPr="00794B6E" w:rsidRDefault="00F541AB" w:rsidP="00F541AB">
            <w:pPr>
              <w:ind w:left="97"/>
              <w:rPr>
                <w:rStyle w:val="Textoennegrita"/>
                <w:rFonts w:ascii="Arial" w:hAnsi="Arial" w:cs="Arial"/>
                <w:sz w:val="18"/>
                <w:szCs w:val="18"/>
              </w:rPr>
            </w:pPr>
            <w:r w:rsidRPr="00794B6E">
              <w:rPr>
                <w:rStyle w:val="Textoennegrita"/>
                <w:rFonts w:ascii="Arial" w:hAnsi="Arial" w:cs="Arial"/>
                <w:sz w:val="18"/>
                <w:szCs w:val="18"/>
              </w:rPr>
              <w:t>Subtotal - Activos por impuestos diferidos</w:t>
            </w:r>
          </w:p>
        </w:tc>
        <w:tc>
          <w:tcPr>
            <w:tcW w:w="732" w:type="pct"/>
          </w:tcPr>
          <w:p w14:paraId="0BA12F5A" w14:textId="679190F7" w:rsidR="00F541AB" w:rsidRPr="000D6205" w:rsidRDefault="00F541AB" w:rsidP="00F541AB">
            <w:pPr>
              <w:ind w:right="-77"/>
              <w:jc w:val="right"/>
              <w:rPr>
                <w:rFonts w:ascii="Arial" w:hAnsi="Arial" w:cs="Arial"/>
                <w:b/>
                <w:sz w:val="18"/>
                <w:szCs w:val="16"/>
              </w:rPr>
            </w:pPr>
            <w:r w:rsidRPr="006E1AF7">
              <w:rPr>
                <w:rFonts w:ascii="Arial" w:hAnsi="Arial" w:cs="Arial"/>
                <w:b/>
                <w:sz w:val="18"/>
                <w:szCs w:val="16"/>
              </w:rPr>
              <w:t xml:space="preserve"> 1.275.926 </w:t>
            </w:r>
          </w:p>
        </w:tc>
      </w:tr>
      <w:tr w:rsidR="00F541AB" w:rsidRPr="004D1CDF" w14:paraId="1378D7FF" w14:textId="77777777" w:rsidTr="00A059FB">
        <w:tc>
          <w:tcPr>
            <w:tcW w:w="4268" w:type="pct"/>
            <w:vAlign w:val="bottom"/>
          </w:tcPr>
          <w:p w14:paraId="07E3CD13" w14:textId="77777777" w:rsidR="00F541AB" w:rsidRPr="00E446C3" w:rsidRDefault="00F541AB" w:rsidP="00F541AB">
            <w:pPr>
              <w:ind w:left="97"/>
              <w:rPr>
                <w:rFonts w:ascii="Arial" w:hAnsi="Arial" w:cs="Arial"/>
                <w:sz w:val="18"/>
                <w:szCs w:val="18"/>
              </w:rPr>
            </w:pPr>
            <w:r w:rsidRPr="00E446C3">
              <w:rPr>
                <w:rFonts w:ascii="Arial" w:hAnsi="Arial" w:cs="Arial"/>
                <w:sz w:val="18"/>
                <w:szCs w:val="18"/>
              </w:rPr>
              <w:t>Impuestos diferidos a cancelar en más de 12 meses</w:t>
            </w:r>
          </w:p>
        </w:tc>
        <w:tc>
          <w:tcPr>
            <w:tcW w:w="732" w:type="pct"/>
          </w:tcPr>
          <w:p w14:paraId="493F10EB" w14:textId="5673465F" w:rsidR="00F541AB" w:rsidRPr="000D6205" w:rsidRDefault="00F541AB" w:rsidP="00F541AB">
            <w:pPr>
              <w:ind w:right="-77"/>
              <w:jc w:val="right"/>
              <w:rPr>
                <w:rFonts w:ascii="Arial" w:hAnsi="Arial" w:cs="Arial"/>
                <w:sz w:val="18"/>
                <w:szCs w:val="16"/>
              </w:rPr>
            </w:pPr>
            <w:r w:rsidRPr="006E1AF7">
              <w:rPr>
                <w:rFonts w:ascii="Arial" w:hAnsi="Arial" w:cs="Arial"/>
                <w:sz w:val="18"/>
                <w:szCs w:val="16"/>
              </w:rPr>
              <w:t xml:space="preserve"> 612.462 </w:t>
            </w:r>
          </w:p>
        </w:tc>
      </w:tr>
      <w:tr w:rsidR="00F541AB" w:rsidRPr="004D1CDF" w14:paraId="395348B7" w14:textId="77777777" w:rsidTr="00A059FB">
        <w:tc>
          <w:tcPr>
            <w:tcW w:w="4268" w:type="pct"/>
            <w:vAlign w:val="bottom"/>
          </w:tcPr>
          <w:p w14:paraId="1E031633" w14:textId="77777777" w:rsidR="00F541AB" w:rsidRPr="00E446C3" w:rsidRDefault="00F541AB" w:rsidP="00F541AB">
            <w:pPr>
              <w:ind w:left="97"/>
              <w:rPr>
                <w:rFonts w:ascii="Arial" w:hAnsi="Arial" w:cs="Arial"/>
                <w:sz w:val="18"/>
                <w:szCs w:val="18"/>
              </w:rPr>
            </w:pPr>
            <w:r w:rsidRPr="00E446C3">
              <w:rPr>
                <w:rFonts w:ascii="Arial" w:hAnsi="Arial" w:cs="Arial"/>
                <w:sz w:val="18"/>
                <w:szCs w:val="18"/>
              </w:rPr>
              <w:t>Impuestos diferidos a cancelar en 12 meses</w:t>
            </w:r>
          </w:p>
        </w:tc>
        <w:tc>
          <w:tcPr>
            <w:tcW w:w="732" w:type="pct"/>
          </w:tcPr>
          <w:p w14:paraId="77775DB8" w14:textId="06ED4246" w:rsidR="00F541AB" w:rsidRPr="000D6205" w:rsidRDefault="00F541AB" w:rsidP="00F541AB">
            <w:pPr>
              <w:ind w:right="-77"/>
              <w:jc w:val="right"/>
              <w:rPr>
                <w:rFonts w:ascii="Arial" w:hAnsi="Arial" w:cs="Arial"/>
                <w:sz w:val="18"/>
                <w:szCs w:val="16"/>
              </w:rPr>
            </w:pPr>
            <w:r w:rsidRPr="006E1AF7">
              <w:rPr>
                <w:rFonts w:ascii="Arial" w:hAnsi="Arial" w:cs="Arial"/>
                <w:sz w:val="18"/>
                <w:szCs w:val="16"/>
              </w:rPr>
              <w:t xml:space="preserve"> 47.92</w:t>
            </w:r>
            <w:r w:rsidR="004D6AF3">
              <w:rPr>
                <w:rFonts w:ascii="Arial" w:hAnsi="Arial" w:cs="Arial"/>
                <w:sz w:val="18"/>
                <w:szCs w:val="16"/>
              </w:rPr>
              <w:t>6</w:t>
            </w:r>
            <w:r w:rsidRPr="006E1AF7">
              <w:rPr>
                <w:rFonts w:ascii="Arial" w:hAnsi="Arial" w:cs="Arial"/>
                <w:sz w:val="18"/>
                <w:szCs w:val="16"/>
              </w:rPr>
              <w:t xml:space="preserve"> </w:t>
            </w:r>
          </w:p>
        </w:tc>
      </w:tr>
      <w:tr w:rsidR="00F541AB" w:rsidRPr="00794B6E" w14:paraId="1DF8FD6A" w14:textId="77777777" w:rsidTr="00A059FB">
        <w:tc>
          <w:tcPr>
            <w:tcW w:w="4268" w:type="pct"/>
            <w:vAlign w:val="bottom"/>
          </w:tcPr>
          <w:p w14:paraId="4B196B79" w14:textId="77777777" w:rsidR="00F541AB" w:rsidRPr="00794B6E" w:rsidRDefault="00F541AB" w:rsidP="00F541AB">
            <w:pPr>
              <w:ind w:left="97"/>
              <w:rPr>
                <w:rFonts w:ascii="Arial" w:hAnsi="Arial" w:cs="Arial"/>
                <w:b/>
                <w:sz w:val="18"/>
                <w:szCs w:val="18"/>
              </w:rPr>
            </w:pPr>
            <w:r w:rsidRPr="00794B6E">
              <w:rPr>
                <w:rFonts w:ascii="Arial" w:hAnsi="Arial" w:cs="Arial"/>
                <w:b/>
                <w:sz w:val="18"/>
                <w:szCs w:val="18"/>
              </w:rPr>
              <w:t>Subtotal</w:t>
            </w:r>
            <w:r w:rsidRPr="00794B6E">
              <w:rPr>
                <w:rStyle w:val="Textoennegrita"/>
                <w:rFonts w:ascii="Arial" w:hAnsi="Arial" w:cs="Arial"/>
                <w:sz w:val="18"/>
                <w:szCs w:val="18"/>
              </w:rPr>
              <w:t xml:space="preserve"> - Pasivos por impuestos diferidos</w:t>
            </w:r>
          </w:p>
        </w:tc>
        <w:tc>
          <w:tcPr>
            <w:tcW w:w="732" w:type="pct"/>
          </w:tcPr>
          <w:p w14:paraId="293CD661" w14:textId="2DE10851" w:rsidR="00F541AB" w:rsidRPr="000D6205" w:rsidRDefault="00F541AB" w:rsidP="00F541AB">
            <w:pPr>
              <w:ind w:right="-77"/>
              <w:jc w:val="right"/>
              <w:rPr>
                <w:rFonts w:ascii="Arial" w:hAnsi="Arial" w:cs="Arial"/>
                <w:b/>
                <w:sz w:val="18"/>
                <w:szCs w:val="16"/>
              </w:rPr>
            </w:pPr>
            <w:r w:rsidRPr="006E1AF7">
              <w:rPr>
                <w:rFonts w:ascii="Arial" w:hAnsi="Arial" w:cs="Arial"/>
                <w:b/>
                <w:sz w:val="18"/>
                <w:szCs w:val="16"/>
              </w:rPr>
              <w:t xml:space="preserve"> 660.388 </w:t>
            </w:r>
          </w:p>
        </w:tc>
      </w:tr>
      <w:tr w:rsidR="00F541AB" w:rsidRPr="00794B6E" w14:paraId="1F79608D" w14:textId="77777777" w:rsidTr="00A059FB">
        <w:tc>
          <w:tcPr>
            <w:tcW w:w="4268" w:type="pct"/>
            <w:vAlign w:val="bottom"/>
          </w:tcPr>
          <w:p w14:paraId="741E8B7E" w14:textId="77777777" w:rsidR="00F541AB" w:rsidRPr="00794B6E" w:rsidRDefault="00F541AB" w:rsidP="00F541AB">
            <w:pPr>
              <w:ind w:left="113"/>
              <w:rPr>
                <w:rFonts w:ascii="Arial" w:hAnsi="Arial" w:cs="Arial"/>
                <w:b/>
                <w:sz w:val="18"/>
                <w:szCs w:val="18"/>
              </w:rPr>
            </w:pPr>
            <w:r w:rsidRPr="00794B6E">
              <w:rPr>
                <w:rFonts w:ascii="Arial" w:hAnsi="Arial" w:cs="Arial"/>
                <w:b/>
                <w:sz w:val="18"/>
                <w:szCs w:val="18"/>
              </w:rPr>
              <w:t>TOTAL ACTIVO/ PASIVO NETO POR IMPUESTO DIFERIDO</w:t>
            </w:r>
          </w:p>
        </w:tc>
        <w:tc>
          <w:tcPr>
            <w:tcW w:w="732" w:type="pct"/>
          </w:tcPr>
          <w:p w14:paraId="52DA659F" w14:textId="2D08E292" w:rsidR="00F541AB" w:rsidRPr="006E1AF7" w:rsidRDefault="00F541AB" w:rsidP="00F541AB">
            <w:pPr>
              <w:ind w:left="113" w:right="-77"/>
              <w:jc w:val="right"/>
              <w:rPr>
                <w:rFonts w:ascii="Arial" w:hAnsi="Arial" w:cs="Arial"/>
                <w:b/>
                <w:sz w:val="16"/>
                <w:szCs w:val="16"/>
              </w:rPr>
            </w:pPr>
            <w:r w:rsidRPr="006E1AF7">
              <w:rPr>
                <w:b/>
              </w:rPr>
              <w:t xml:space="preserve"> </w:t>
            </w:r>
            <w:r w:rsidRPr="006E1AF7">
              <w:rPr>
                <w:rFonts w:ascii="Arial" w:hAnsi="Arial" w:cs="Arial"/>
                <w:b/>
                <w:sz w:val="18"/>
                <w:szCs w:val="16"/>
              </w:rPr>
              <w:t xml:space="preserve">615.538 </w:t>
            </w:r>
          </w:p>
        </w:tc>
      </w:tr>
    </w:tbl>
    <w:p w14:paraId="7BF3CA80" w14:textId="77777777" w:rsidR="00C72918" w:rsidRDefault="00C72918" w:rsidP="00C11CA1">
      <w:pPr>
        <w:jc w:val="both"/>
        <w:rPr>
          <w:rFonts w:ascii="Arial" w:eastAsia="SimSun" w:hAnsi="Arial" w:cs="Arial"/>
          <w:sz w:val="20"/>
          <w:lang w:eastAsia="zh-CN"/>
        </w:rPr>
      </w:pPr>
    </w:p>
    <w:p w14:paraId="2D9524B1" w14:textId="23362311" w:rsidR="00656E62" w:rsidRPr="00701F32" w:rsidRDefault="00C11CA1" w:rsidP="00656E62">
      <w:pPr>
        <w:spacing w:after="160" w:line="259" w:lineRule="auto"/>
        <w:jc w:val="both"/>
        <w:rPr>
          <w:rFonts w:ascii="Arial" w:eastAsia="Calibri" w:hAnsi="Arial" w:cs="Arial"/>
          <w:b/>
          <w:color w:val="943634"/>
          <w:sz w:val="20"/>
        </w:rPr>
      </w:pPr>
      <w:r>
        <w:rPr>
          <w:rFonts w:ascii="Arial" w:eastAsia="Calibri" w:hAnsi="Arial" w:cs="Arial"/>
          <w:b/>
          <w:bCs/>
          <w:sz w:val="20"/>
        </w:rPr>
        <w:t>5</w:t>
      </w:r>
      <w:r w:rsidR="00B225FD" w:rsidRPr="00BF746E">
        <w:rPr>
          <w:rFonts w:ascii="Arial" w:eastAsia="Calibri" w:hAnsi="Arial" w:cs="Arial"/>
          <w:b/>
          <w:bCs/>
          <w:sz w:val="20"/>
        </w:rPr>
        <w:t>. VALORES RAZONABLES</w:t>
      </w:r>
    </w:p>
    <w:p w14:paraId="1716CE68" w14:textId="77777777" w:rsidR="00656E62" w:rsidRPr="00701F32" w:rsidRDefault="00656E62" w:rsidP="00656E62">
      <w:pPr>
        <w:spacing w:after="160" w:line="259" w:lineRule="auto"/>
        <w:jc w:val="both"/>
        <w:rPr>
          <w:rFonts w:ascii="Arial" w:eastAsia="Calibri" w:hAnsi="Arial" w:cs="Arial"/>
          <w:bCs/>
          <w:sz w:val="20"/>
        </w:rPr>
      </w:pPr>
      <w:r w:rsidRPr="00701F32">
        <w:rPr>
          <w:rFonts w:ascii="Arial" w:eastAsia="Calibri" w:hAnsi="Arial" w:cs="Arial"/>
          <w:bCs/>
          <w:sz w:val="20"/>
        </w:rPr>
        <w:t xml:space="preserve">La Entidad clasifica los valores razonables de los instrumentos financieros en tres niveles, de acuerdo a la calidad de los datos utilizados para su determinación. </w:t>
      </w:r>
    </w:p>
    <w:p w14:paraId="60F9312A" w14:textId="24B53449" w:rsidR="00656E62" w:rsidRPr="00701F32" w:rsidRDefault="00656E62" w:rsidP="00656E62">
      <w:pPr>
        <w:autoSpaceDE w:val="0"/>
        <w:autoSpaceDN w:val="0"/>
        <w:adjustRightInd w:val="0"/>
        <w:jc w:val="both"/>
        <w:rPr>
          <w:rFonts w:ascii="Arial" w:eastAsia="Calibri" w:hAnsi="Arial" w:cs="Arial"/>
          <w:color w:val="000000"/>
          <w:sz w:val="20"/>
        </w:rPr>
      </w:pPr>
      <w:r w:rsidRPr="00701F32">
        <w:rPr>
          <w:rFonts w:ascii="Arial" w:eastAsia="Calibri" w:hAnsi="Arial" w:cs="Arial"/>
          <w:bCs/>
          <w:color w:val="000000"/>
          <w:sz w:val="20"/>
        </w:rPr>
        <w:t>Valor Razonable Nivel 1: El</w:t>
      </w:r>
      <w:r w:rsidRPr="00701F32">
        <w:rPr>
          <w:rFonts w:ascii="Arial" w:eastAsia="Calibri" w:hAnsi="Arial" w:cs="Arial"/>
          <w:color w:val="000000"/>
          <w:sz w:val="20"/>
        </w:rPr>
        <w:t xml:space="preserve"> valor razonable de los instrumentos financieros negociados en mercados activos (como derivados negociados públicamente, inversiones negociables o disponibles para la venta) se basa en los precios de cotización de los mercados (sin ajustar) a la fecha del </w:t>
      </w:r>
      <w:r w:rsidR="002D5805">
        <w:rPr>
          <w:rFonts w:ascii="Arial" w:eastAsia="Calibri" w:hAnsi="Arial" w:cs="Arial"/>
          <w:color w:val="000000"/>
          <w:sz w:val="20"/>
        </w:rPr>
        <w:t>ejercicio</w:t>
      </w:r>
      <w:r w:rsidR="00103C2D">
        <w:rPr>
          <w:rFonts w:ascii="Arial" w:eastAsia="Calibri" w:hAnsi="Arial" w:cs="Arial"/>
          <w:color w:val="000000"/>
          <w:sz w:val="20"/>
        </w:rPr>
        <w:t xml:space="preserve"> </w:t>
      </w:r>
      <w:r w:rsidRPr="00701F32">
        <w:rPr>
          <w:rFonts w:ascii="Arial" w:eastAsia="Calibri" w:hAnsi="Arial" w:cs="Arial"/>
          <w:color w:val="000000"/>
          <w:sz w:val="20"/>
        </w:rPr>
        <w:t xml:space="preserve">de reporte. El precio de mercado utilizado en los activos financieros mantenidos por la Entidad es el precio de compra actual. Estos instrumentos se incluyen en el nivel 1. </w:t>
      </w:r>
    </w:p>
    <w:p w14:paraId="52DFF9BD" w14:textId="77777777" w:rsidR="00656E62" w:rsidRPr="00701F32" w:rsidRDefault="00656E62" w:rsidP="00656E62">
      <w:pPr>
        <w:autoSpaceDE w:val="0"/>
        <w:autoSpaceDN w:val="0"/>
        <w:adjustRightInd w:val="0"/>
        <w:jc w:val="both"/>
        <w:rPr>
          <w:rFonts w:ascii="Arial" w:eastAsia="Calibri" w:hAnsi="Arial" w:cs="Arial"/>
          <w:bCs/>
          <w:color w:val="000000"/>
          <w:sz w:val="20"/>
        </w:rPr>
      </w:pPr>
    </w:p>
    <w:p w14:paraId="757CAD8F" w14:textId="77777777" w:rsidR="00656E62" w:rsidRPr="00F30A15" w:rsidRDefault="00656E62" w:rsidP="00656E62">
      <w:pPr>
        <w:autoSpaceDE w:val="0"/>
        <w:autoSpaceDN w:val="0"/>
        <w:adjustRightInd w:val="0"/>
        <w:jc w:val="both"/>
        <w:rPr>
          <w:rFonts w:ascii="Arial" w:eastAsia="Calibri" w:hAnsi="Arial" w:cs="Arial"/>
          <w:color w:val="000000"/>
          <w:sz w:val="20"/>
        </w:rPr>
      </w:pPr>
      <w:r w:rsidRPr="00701F32">
        <w:rPr>
          <w:rFonts w:ascii="Arial" w:eastAsia="Calibri" w:hAnsi="Arial" w:cs="Arial"/>
          <w:bCs/>
          <w:color w:val="000000"/>
          <w:sz w:val="20"/>
        </w:rPr>
        <w:t xml:space="preserve">Valor Razonable Nivel 2: </w:t>
      </w:r>
      <w:r w:rsidRPr="00701F32">
        <w:rPr>
          <w:rFonts w:ascii="Arial" w:eastAsia="Calibri" w:hAnsi="Arial" w:cs="Arial"/>
          <w:color w:val="000000"/>
          <w:sz w:val="20"/>
        </w:rPr>
        <w:t xml:space="preserve">El valor razonable de instrumentos financieros que no se negocian en mercados activos, por ejemplo, los derivados disponibles fuera de bolsa (over-the-counter), se determina utilizando técnicas de valuación que maximizan el uso de información observable y deposita la menor confianza posible en estimados específicos de la gerencia. Si todas las variables relevantes para establecer el valor razonable de un instrumento financiero son </w:t>
      </w:r>
      <w:r w:rsidRPr="00F30A15">
        <w:rPr>
          <w:rFonts w:ascii="Arial" w:eastAsia="Calibri" w:hAnsi="Arial" w:cs="Arial"/>
          <w:color w:val="000000"/>
          <w:sz w:val="20"/>
        </w:rPr>
        <w:t xml:space="preserve">observables, el instrumento se incluye en el nivel 2. </w:t>
      </w:r>
    </w:p>
    <w:p w14:paraId="4B1B485A" w14:textId="77777777" w:rsidR="00656E62" w:rsidRPr="00F30A15" w:rsidRDefault="00656E62" w:rsidP="00656E62">
      <w:pPr>
        <w:autoSpaceDE w:val="0"/>
        <w:autoSpaceDN w:val="0"/>
        <w:adjustRightInd w:val="0"/>
        <w:jc w:val="both"/>
        <w:rPr>
          <w:rFonts w:ascii="Arial" w:eastAsia="Calibri" w:hAnsi="Arial" w:cs="Arial"/>
          <w:bCs/>
          <w:color w:val="000000"/>
          <w:sz w:val="20"/>
        </w:rPr>
      </w:pPr>
    </w:p>
    <w:p w14:paraId="70B372D8" w14:textId="77777777" w:rsidR="00656E62" w:rsidRPr="00F30A15" w:rsidRDefault="00656E62" w:rsidP="00656E62">
      <w:pPr>
        <w:autoSpaceDE w:val="0"/>
        <w:autoSpaceDN w:val="0"/>
        <w:adjustRightInd w:val="0"/>
        <w:jc w:val="both"/>
        <w:rPr>
          <w:rFonts w:ascii="Arial" w:eastAsia="Calibri" w:hAnsi="Arial" w:cs="Arial"/>
          <w:color w:val="000000"/>
          <w:sz w:val="20"/>
        </w:rPr>
      </w:pPr>
      <w:r w:rsidRPr="00F30A15">
        <w:rPr>
          <w:rFonts w:ascii="Arial" w:eastAsia="Calibri" w:hAnsi="Arial" w:cs="Arial"/>
          <w:bCs/>
          <w:color w:val="000000"/>
          <w:sz w:val="20"/>
        </w:rPr>
        <w:t xml:space="preserve">Valor Razonable Nivel 3: </w:t>
      </w:r>
      <w:r w:rsidRPr="00F30A15">
        <w:rPr>
          <w:rFonts w:ascii="Arial" w:eastAsia="Calibri" w:hAnsi="Arial" w:cs="Arial"/>
          <w:color w:val="000000"/>
          <w:sz w:val="20"/>
        </w:rPr>
        <w:t xml:space="preserve">Si una o más variables relevantes no se basan en información observable de mercado, el instrumento se incluye en el nivel 3. </w:t>
      </w:r>
    </w:p>
    <w:p w14:paraId="2F49B39E" w14:textId="77777777" w:rsidR="00656E62" w:rsidRPr="00F30A15" w:rsidRDefault="00656E62" w:rsidP="00656E62">
      <w:pPr>
        <w:autoSpaceDE w:val="0"/>
        <w:autoSpaceDN w:val="0"/>
        <w:adjustRightInd w:val="0"/>
        <w:jc w:val="both"/>
        <w:rPr>
          <w:rFonts w:ascii="Arial" w:eastAsia="Calibri" w:hAnsi="Arial" w:cs="Arial"/>
          <w:color w:val="000000"/>
          <w:sz w:val="20"/>
        </w:rPr>
      </w:pPr>
    </w:p>
    <w:p w14:paraId="4F719DEA" w14:textId="0507A765" w:rsidR="00D62912" w:rsidRPr="00F30A15" w:rsidRDefault="00656E62" w:rsidP="00656E62">
      <w:pPr>
        <w:spacing w:after="160" w:line="259" w:lineRule="auto"/>
        <w:jc w:val="both"/>
        <w:rPr>
          <w:rFonts w:ascii="Arial" w:eastAsia="Calibri" w:hAnsi="Arial" w:cs="Arial"/>
          <w:bCs/>
          <w:sz w:val="20"/>
        </w:rPr>
      </w:pPr>
      <w:r w:rsidRPr="00F30A15">
        <w:rPr>
          <w:rFonts w:ascii="Arial" w:eastAsia="Calibri" w:hAnsi="Arial" w:cs="Arial"/>
          <w:bCs/>
          <w:sz w:val="20"/>
        </w:rPr>
        <w:t xml:space="preserve">A </w:t>
      </w:r>
      <w:r w:rsidR="00A87F34" w:rsidRPr="00F30A15">
        <w:rPr>
          <w:rFonts w:ascii="Arial" w:eastAsia="Calibri" w:hAnsi="Arial" w:cs="Arial"/>
          <w:bCs/>
          <w:sz w:val="20"/>
        </w:rPr>
        <w:t>continuación,</w:t>
      </w:r>
      <w:r w:rsidR="00A87F34">
        <w:rPr>
          <w:rFonts w:ascii="Arial" w:eastAsia="Calibri" w:hAnsi="Arial" w:cs="Arial"/>
          <w:bCs/>
          <w:sz w:val="20"/>
        </w:rPr>
        <w:t xml:space="preserve"> </w:t>
      </w:r>
      <w:r w:rsidRPr="00F30A15">
        <w:rPr>
          <w:rFonts w:ascii="Arial" w:eastAsia="Calibri" w:hAnsi="Arial" w:cs="Arial"/>
          <w:bCs/>
          <w:sz w:val="20"/>
        </w:rPr>
        <w:t xml:space="preserve">se detallan los instrumentos financieros registrados a valor razonable al </w:t>
      </w:r>
      <w:r w:rsidR="00DB7AF1">
        <w:rPr>
          <w:rFonts w:ascii="Arial" w:eastAsia="Calibri" w:hAnsi="Arial" w:cs="Arial"/>
          <w:bCs/>
          <w:sz w:val="20"/>
        </w:rPr>
        <w:t xml:space="preserve">31 de diciembre de </w:t>
      </w:r>
      <w:r w:rsidR="00CE0365">
        <w:rPr>
          <w:rFonts w:ascii="Arial" w:eastAsia="Calibri" w:hAnsi="Arial" w:cs="Arial"/>
          <w:bCs/>
          <w:sz w:val="20"/>
        </w:rPr>
        <w:t xml:space="preserve">2019 y </w:t>
      </w:r>
      <w:r w:rsidR="00CC6991" w:rsidRPr="00F30A15">
        <w:rPr>
          <w:rFonts w:ascii="Arial" w:eastAsia="Calibri" w:hAnsi="Arial" w:cs="Arial"/>
          <w:bCs/>
          <w:sz w:val="20"/>
        </w:rPr>
        <w:t>2018</w:t>
      </w:r>
      <w:r w:rsidRPr="00F30A15">
        <w:rPr>
          <w:rFonts w:ascii="Arial" w:eastAsia="Calibri" w:hAnsi="Arial" w:cs="Arial"/>
          <w:bCs/>
          <w:sz w:val="20"/>
        </w:rPr>
        <w:t>:</w:t>
      </w:r>
    </w:p>
    <w:tbl>
      <w:tblPr>
        <w:tblW w:w="5206" w:type="pct"/>
        <w:tblLayout w:type="fixed"/>
        <w:tblCellMar>
          <w:left w:w="70" w:type="dxa"/>
          <w:right w:w="70" w:type="dxa"/>
        </w:tblCellMar>
        <w:tblLook w:val="04A0" w:firstRow="1" w:lastRow="0" w:firstColumn="1" w:lastColumn="0" w:noHBand="0" w:noVBand="1"/>
      </w:tblPr>
      <w:tblGrid>
        <w:gridCol w:w="4464"/>
        <w:gridCol w:w="1134"/>
        <w:gridCol w:w="1275"/>
        <w:gridCol w:w="1134"/>
        <w:gridCol w:w="994"/>
      </w:tblGrid>
      <w:tr w:rsidR="00D17D79" w:rsidRPr="00F30A15" w14:paraId="4C70DF15" w14:textId="77777777" w:rsidTr="00992CF2">
        <w:trPr>
          <w:trHeight w:val="239"/>
          <w:tblHeader/>
        </w:trPr>
        <w:tc>
          <w:tcPr>
            <w:tcW w:w="24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917BF" w14:textId="7F5AF415" w:rsidR="00D17D79" w:rsidRPr="00F30A15" w:rsidRDefault="00D17D79" w:rsidP="00886AE1">
            <w:pPr>
              <w:jc w:val="center"/>
              <w:rPr>
                <w:rFonts w:ascii="Arial" w:hAnsi="Arial" w:cs="Arial"/>
                <w:b/>
                <w:sz w:val="16"/>
                <w:lang w:eastAsia="es-AR"/>
              </w:rPr>
            </w:pPr>
            <w:r w:rsidRPr="00F30A15">
              <w:rPr>
                <w:rFonts w:ascii="Arial" w:hAnsi="Arial" w:cs="Arial"/>
                <w:b/>
                <w:sz w:val="16"/>
                <w:lang w:eastAsia="es-AR"/>
              </w:rPr>
              <w:t xml:space="preserve">Cartera de instrumentos al </w:t>
            </w:r>
            <w:r w:rsidR="003C2633" w:rsidRPr="00F30A15">
              <w:rPr>
                <w:rFonts w:ascii="Arial" w:hAnsi="Arial" w:cs="Arial"/>
                <w:b/>
                <w:sz w:val="16"/>
                <w:lang w:eastAsia="es-AR"/>
              </w:rPr>
              <w:t>3</w:t>
            </w:r>
            <w:r w:rsidR="00CE0365">
              <w:rPr>
                <w:rFonts w:ascii="Arial" w:hAnsi="Arial" w:cs="Arial"/>
                <w:b/>
                <w:sz w:val="16"/>
                <w:lang w:eastAsia="es-AR"/>
              </w:rPr>
              <w:t>1</w:t>
            </w:r>
            <w:r w:rsidR="003C2633" w:rsidRPr="00F30A15">
              <w:rPr>
                <w:rFonts w:ascii="Arial" w:hAnsi="Arial" w:cs="Arial"/>
                <w:b/>
                <w:sz w:val="16"/>
                <w:lang w:eastAsia="es-AR"/>
              </w:rPr>
              <w:t>/</w:t>
            </w:r>
            <w:r w:rsidR="00CE0365">
              <w:rPr>
                <w:rFonts w:ascii="Arial" w:hAnsi="Arial" w:cs="Arial"/>
                <w:b/>
                <w:sz w:val="16"/>
                <w:lang w:eastAsia="es-AR"/>
              </w:rPr>
              <w:t>12</w:t>
            </w:r>
            <w:r w:rsidR="003C2633" w:rsidRPr="00F30A15">
              <w:rPr>
                <w:rFonts w:ascii="Arial" w:hAnsi="Arial" w:cs="Arial"/>
                <w:b/>
                <w:sz w:val="16"/>
                <w:lang w:eastAsia="es-AR"/>
              </w:rPr>
              <w:t>/2019</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14:paraId="5840C431" w14:textId="77777777" w:rsidR="00D17D79" w:rsidRPr="00F30A15" w:rsidRDefault="00D17D79" w:rsidP="00992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16"/>
                <w:lang w:eastAsia="es-AR"/>
              </w:rPr>
            </w:pPr>
            <w:r w:rsidRPr="00F30A15">
              <w:rPr>
                <w:rFonts w:ascii="Arial" w:hAnsi="Arial" w:cs="Arial"/>
                <w:b/>
                <w:sz w:val="16"/>
                <w:lang w:eastAsia="es-AR"/>
              </w:rPr>
              <w:t>VR nivel 1</w:t>
            </w:r>
          </w:p>
        </w:tc>
        <w:tc>
          <w:tcPr>
            <w:tcW w:w="708" w:type="pct"/>
            <w:tcBorders>
              <w:top w:val="single" w:sz="4" w:space="0" w:color="auto"/>
              <w:left w:val="nil"/>
              <w:bottom w:val="single" w:sz="4" w:space="0" w:color="auto"/>
              <w:right w:val="single" w:sz="4" w:space="0" w:color="auto"/>
            </w:tcBorders>
            <w:shd w:val="clear" w:color="auto" w:fill="auto"/>
            <w:noWrap/>
            <w:vAlign w:val="center"/>
            <w:hideMark/>
          </w:tcPr>
          <w:p w14:paraId="47B3626B" w14:textId="77777777" w:rsidR="00D17D79" w:rsidRPr="00F30A15" w:rsidRDefault="00D17D79" w:rsidP="00992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16"/>
                <w:lang w:eastAsia="es-AR"/>
              </w:rPr>
            </w:pPr>
            <w:r w:rsidRPr="00F30A15">
              <w:rPr>
                <w:rFonts w:ascii="Arial" w:hAnsi="Arial" w:cs="Arial"/>
                <w:b/>
                <w:sz w:val="16"/>
                <w:lang w:eastAsia="es-AR"/>
              </w:rPr>
              <w:t>VR nivel 2</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14:paraId="47D37BD0" w14:textId="77777777" w:rsidR="00D17D79" w:rsidRPr="00F30A15" w:rsidRDefault="00D17D79" w:rsidP="00992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16"/>
                <w:lang w:eastAsia="es-AR"/>
              </w:rPr>
            </w:pPr>
            <w:r w:rsidRPr="00F30A15">
              <w:rPr>
                <w:rFonts w:ascii="Arial" w:hAnsi="Arial" w:cs="Arial"/>
                <w:b/>
                <w:sz w:val="16"/>
                <w:lang w:eastAsia="es-AR"/>
              </w:rPr>
              <w:t>VR nivel 3</w:t>
            </w:r>
          </w:p>
        </w:tc>
        <w:tc>
          <w:tcPr>
            <w:tcW w:w="552" w:type="pct"/>
            <w:tcBorders>
              <w:top w:val="single" w:sz="4" w:space="0" w:color="auto"/>
              <w:left w:val="nil"/>
              <w:bottom w:val="single" w:sz="4" w:space="0" w:color="auto"/>
              <w:right w:val="single" w:sz="4" w:space="0" w:color="auto"/>
            </w:tcBorders>
            <w:vAlign w:val="center"/>
          </w:tcPr>
          <w:p w14:paraId="1741A558" w14:textId="77777777" w:rsidR="00D17D79" w:rsidRPr="00F30A15" w:rsidRDefault="00D17D79" w:rsidP="00992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w:hAnsi="Arial" w:cs="Arial"/>
                <w:b/>
                <w:sz w:val="16"/>
                <w:lang w:eastAsia="es-AR"/>
              </w:rPr>
            </w:pPr>
            <w:r w:rsidRPr="00F30A15">
              <w:rPr>
                <w:rFonts w:ascii="Arial" w:hAnsi="Arial" w:cs="Arial"/>
                <w:b/>
                <w:sz w:val="16"/>
                <w:lang w:eastAsia="es-AR"/>
              </w:rPr>
              <w:t>Total</w:t>
            </w:r>
          </w:p>
        </w:tc>
      </w:tr>
      <w:tr w:rsidR="00D17D79" w:rsidRPr="00F30A15" w14:paraId="4C30FD50" w14:textId="77777777" w:rsidTr="00995365">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212B18B9" w14:textId="77777777" w:rsidR="00D17D79" w:rsidRPr="00F30A15" w:rsidRDefault="00D17D79" w:rsidP="00992CF2">
            <w:pPr>
              <w:jc w:val="both"/>
              <w:rPr>
                <w:rFonts w:ascii="Arial" w:hAnsi="Arial" w:cs="Arial"/>
                <w:b/>
                <w:bCs/>
                <w:sz w:val="16"/>
                <w:lang w:eastAsia="es-AR"/>
              </w:rPr>
            </w:pPr>
            <w:r w:rsidRPr="00F30A15">
              <w:rPr>
                <w:rFonts w:ascii="Arial" w:hAnsi="Arial" w:cs="Arial"/>
                <w:b/>
                <w:bCs/>
                <w:sz w:val="16"/>
                <w:lang w:eastAsia="es-AR"/>
              </w:rPr>
              <w:t>Activos</w:t>
            </w:r>
          </w:p>
        </w:tc>
        <w:tc>
          <w:tcPr>
            <w:tcW w:w="630" w:type="pct"/>
            <w:tcBorders>
              <w:top w:val="nil"/>
              <w:left w:val="nil"/>
              <w:bottom w:val="single" w:sz="4" w:space="0" w:color="auto"/>
              <w:right w:val="single" w:sz="4" w:space="0" w:color="auto"/>
            </w:tcBorders>
            <w:shd w:val="clear" w:color="auto" w:fill="auto"/>
            <w:noWrap/>
            <w:vAlign w:val="bottom"/>
            <w:hideMark/>
          </w:tcPr>
          <w:p w14:paraId="0D6040DC" w14:textId="77777777" w:rsidR="00D17D79" w:rsidRPr="00F30A15" w:rsidRDefault="00D17D79" w:rsidP="00995365">
            <w:pPr>
              <w:jc w:val="right"/>
              <w:rPr>
                <w:rFonts w:ascii="Arial" w:hAnsi="Arial" w:cs="Arial"/>
                <w:b/>
                <w:bCs/>
                <w:sz w:val="16"/>
                <w:szCs w:val="16"/>
                <w:lang w:eastAsia="es-AR"/>
              </w:rPr>
            </w:pPr>
            <w:r w:rsidRPr="00F30A15">
              <w:rPr>
                <w:rFonts w:ascii="Arial" w:hAnsi="Arial" w:cs="Arial"/>
                <w:b/>
                <w:bCs/>
                <w:sz w:val="16"/>
                <w:szCs w:val="16"/>
                <w:lang w:eastAsia="es-AR"/>
              </w:rPr>
              <w:t> </w:t>
            </w:r>
          </w:p>
        </w:tc>
        <w:tc>
          <w:tcPr>
            <w:tcW w:w="708" w:type="pct"/>
            <w:tcBorders>
              <w:top w:val="nil"/>
              <w:left w:val="nil"/>
              <w:bottom w:val="single" w:sz="4" w:space="0" w:color="auto"/>
              <w:right w:val="single" w:sz="4" w:space="0" w:color="auto"/>
            </w:tcBorders>
            <w:shd w:val="clear" w:color="auto" w:fill="auto"/>
            <w:noWrap/>
            <w:vAlign w:val="bottom"/>
            <w:hideMark/>
          </w:tcPr>
          <w:p w14:paraId="40A4EE9F" w14:textId="77777777" w:rsidR="00D17D79" w:rsidRPr="00F30A15" w:rsidRDefault="00D17D79" w:rsidP="00995365">
            <w:pPr>
              <w:jc w:val="right"/>
              <w:rPr>
                <w:rFonts w:ascii="Arial" w:hAnsi="Arial" w:cs="Arial"/>
                <w:b/>
                <w:bCs/>
                <w:sz w:val="16"/>
                <w:szCs w:val="16"/>
                <w:lang w:eastAsia="es-AR"/>
              </w:rPr>
            </w:pPr>
            <w:r w:rsidRPr="00F30A15">
              <w:rPr>
                <w:rFonts w:ascii="Arial" w:hAnsi="Arial" w:cs="Arial"/>
                <w:b/>
                <w:bCs/>
                <w:sz w:val="16"/>
                <w:szCs w:val="16"/>
                <w:lang w:eastAsia="es-AR"/>
              </w:rPr>
              <w:t> </w:t>
            </w:r>
          </w:p>
        </w:tc>
        <w:tc>
          <w:tcPr>
            <w:tcW w:w="630" w:type="pct"/>
            <w:tcBorders>
              <w:top w:val="nil"/>
              <w:left w:val="nil"/>
              <w:bottom w:val="single" w:sz="4" w:space="0" w:color="auto"/>
              <w:right w:val="single" w:sz="4" w:space="0" w:color="auto"/>
            </w:tcBorders>
            <w:shd w:val="clear" w:color="auto" w:fill="auto"/>
            <w:noWrap/>
            <w:vAlign w:val="bottom"/>
            <w:hideMark/>
          </w:tcPr>
          <w:p w14:paraId="1263142B" w14:textId="77777777" w:rsidR="00D17D79" w:rsidRPr="00F30A15" w:rsidRDefault="00D17D79" w:rsidP="00995365">
            <w:pPr>
              <w:jc w:val="right"/>
              <w:rPr>
                <w:rFonts w:ascii="Arial" w:hAnsi="Arial" w:cs="Arial"/>
                <w:b/>
                <w:bCs/>
                <w:sz w:val="16"/>
                <w:szCs w:val="16"/>
                <w:lang w:eastAsia="es-AR"/>
              </w:rPr>
            </w:pPr>
            <w:r w:rsidRPr="00F30A15">
              <w:rPr>
                <w:rFonts w:ascii="Arial" w:hAnsi="Arial" w:cs="Arial"/>
                <w:b/>
                <w:bCs/>
                <w:sz w:val="16"/>
                <w:szCs w:val="16"/>
                <w:lang w:eastAsia="es-AR"/>
              </w:rPr>
              <w:t> </w:t>
            </w:r>
          </w:p>
        </w:tc>
        <w:tc>
          <w:tcPr>
            <w:tcW w:w="552" w:type="pct"/>
            <w:tcBorders>
              <w:top w:val="nil"/>
              <w:left w:val="nil"/>
              <w:bottom w:val="single" w:sz="4" w:space="0" w:color="auto"/>
              <w:right w:val="single" w:sz="4" w:space="0" w:color="auto"/>
            </w:tcBorders>
            <w:vAlign w:val="bottom"/>
          </w:tcPr>
          <w:p w14:paraId="7E097741" w14:textId="77777777" w:rsidR="00D17D79" w:rsidRPr="00F30A15" w:rsidRDefault="00D17D79" w:rsidP="00995365">
            <w:pPr>
              <w:jc w:val="right"/>
              <w:rPr>
                <w:rFonts w:ascii="Arial" w:hAnsi="Arial" w:cs="Arial"/>
                <w:b/>
                <w:bCs/>
                <w:sz w:val="16"/>
                <w:szCs w:val="16"/>
                <w:lang w:eastAsia="es-AR"/>
              </w:rPr>
            </w:pPr>
          </w:p>
        </w:tc>
      </w:tr>
      <w:tr w:rsidR="00E3605F" w:rsidRPr="00F30A15" w14:paraId="589D70D4" w14:textId="77777777" w:rsidTr="00A10D09">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0E72B3EB" w14:textId="77777777" w:rsidR="00E3605F" w:rsidRPr="00F30A15" w:rsidRDefault="00E3605F" w:rsidP="00E3605F">
            <w:pPr>
              <w:jc w:val="both"/>
              <w:rPr>
                <w:rFonts w:ascii="Arial" w:hAnsi="Arial" w:cs="Arial"/>
                <w:sz w:val="16"/>
                <w:lang w:eastAsia="es-AR"/>
              </w:rPr>
            </w:pPr>
            <w:r w:rsidRPr="00F30A15">
              <w:rPr>
                <w:rFonts w:ascii="Arial" w:hAnsi="Arial" w:cs="Arial"/>
                <w:sz w:val="16"/>
                <w:lang w:eastAsia="es-AR"/>
              </w:rPr>
              <w:t>- Efectivo y depósitos en Bancos</w:t>
            </w:r>
          </w:p>
        </w:tc>
        <w:tc>
          <w:tcPr>
            <w:tcW w:w="630" w:type="pct"/>
            <w:tcBorders>
              <w:top w:val="nil"/>
              <w:left w:val="nil"/>
              <w:bottom w:val="single" w:sz="4" w:space="0" w:color="auto"/>
              <w:right w:val="single" w:sz="4" w:space="0" w:color="auto"/>
            </w:tcBorders>
            <w:shd w:val="clear" w:color="auto" w:fill="auto"/>
            <w:noWrap/>
            <w:vAlign w:val="bottom"/>
          </w:tcPr>
          <w:p w14:paraId="616CE748" w14:textId="27663B98" w:rsidR="00E3605F" w:rsidRPr="00E94540" w:rsidRDefault="00E3605F" w:rsidP="00A10D09">
            <w:pPr>
              <w:jc w:val="right"/>
              <w:rPr>
                <w:rFonts w:ascii="Arial" w:hAnsi="Arial" w:cs="Arial"/>
                <w:sz w:val="16"/>
                <w:szCs w:val="16"/>
              </w:rPr>
            </w:pPr>
            <w:r w:rsidRPr="00E94540">
              <w:rPr>
                <w:rFonts w:ascii="Arial" w:hAnsi="Arial" w:cs="Arial"/>
                <w:sz w:val="16"/>
                <w:szCs w:val="16"/>
              </w:rPr>
              <w:t>29.910</w:t>
            </w:r>
          </w:p>
        </w:tc>
        <w:tc>
          <w:tcPr>
            <w:tcW w:w="708" w:type="pct"/>
            <w:tcBorders>
              <w:top w:val="nil"/>
              <w:left w:val="nil"/>
              <w:bottom w:val="single" w:sz="4" w:space="0" w:color="auto"/>
              <w:right w:val="single" w:sz="4" w:space="0" w:color="auto"/>
            </w:tcBorders>
            <w:shd w:val="clear" w:color="auto" w:fill="auto"/>
            <w:noWrap/>
            <w:vAlign w:val="bottom"/>
          </w:tcPr>
          <w:p w14:paraId="29F195BE" w14:textId="21F10060" w:rsidR="00E3605F" w:rsidRPr="00E94540" w:rsidRDefault="00E94540" w:rsidP="00A10D09">
            <w:pPr>
              <w:jc w:val="right"/>
              <w:rPr>
                <w:rFonts w:ascii="Arial" w:hAnsi="Arial" w:cs="Arial"/>
                <w:sz w:val="16"/>
                <w:szCs w:val="16"/>
              </w:rPr>
            </w:pPr>
            <w:r>
              <w:rPr>
                <w:rFonts w:ascii="Arial" w:hAnsi="Arial" w:cs="Arial"/>
                <w:sz w:val="16"/>
                <w:szCs w:val="16"/>
              </w:rPr>
              <w:t>-</w:t>
            </w:r>
          </w:p>
        </w:tc>
        <w:tc>
          <w:tcPr>
            <w:tcW w:w="630" w:type="pct"/>
            <w:tcBorders>
              <w:top w:val="nil"/>
              <w:left w:val="nil"/>
              <w:bottom w:val="single" w:sz="4" w:space="0" w:color="auto"/>
              <w:right w:val="single" w:sz="4" w:space="0" w:color="auto"/>
            </w:tcBorders>
            <w:shd w:val="clear" w:color="auto" w:fill="auto"/>
            <w:noWrap/>
            <w:vAlign w:val="bottom"/>
          </w:tcPr>
          <w:p w14:paraId="340A52AC" w14:textId="12820B1D" w:rsidR="00E3605F" w:rsidRPr="00E94540" w:rsidRDefault="00E94540" w:rsidP="00A10D09">
            <w:pPr>
              <w:jc w:val="right"/>
              <w:rPr>
                <w:rFonts w:ascii="Arial" w:hAnsi="Arial" w:cs="Arial"/>
                <w:sz w:val="16"/>
                <w:szCs w:val="16"/>
              </w:rPr>
            </w:pPr>
            <w:r>
              <w:rPr>
                <w:rFonts w:ascii="Arial" w:hAnsi="Arial" w:cs="Arial"/>
                <w:sz w:val="16"/>
                <w:szCs w:val="16"/>
              </w:rPr>
              <w:t>-</w:t>
            </w:r>
          </w:p>
        </w:tc>
        <w:tc>
          <w:tcPr>
            <w:tcW w:w="552" w:type="pct"/>
            <w:tcBorders>
              <w:top w:val="nil"/>
              <w:left w:val="nil"/>
              <w:bottom w:val="single" w:sz="4" w:space="0" w:color="auto"/>
              <w:right w:val="single" w:sz="4" w:space="0" w:color="auto"/>
            </w:tcBorders>
            <w:vAlign w:val="bottom"/>
          </w:tcPr>
          <w:p w14:paraId="0B125040" w14:textId="53052AB8" w:rsidR="00E3605F" w:rsidRPr="00E94540" w:rsidRDefault="00E3605F" w:rsidP="00A10D09">
            <w:pPr>
              <w:jc w:val="right"/>
              <w:rPr>
                <w:rFonts w:ascii="Arial" w:hAnsi="Arial" w:cs="Arial"/>
                <w:sz w:val="16"/>
                <w:szCs w:val="16"/>
              </w:rPr>
            </w:pPr>
            <w:r w:rsidRPr="00E94540">
              <w:rPr>
                <w:rFonts w:ascii="Arial" w:hAnsi="Arial" w:cs="Arial"/>
                <w:sz w:val="16"/>
                <w:szCs w:val="16"/>
              </w:rPr>
              <w:t xml:space="preserve"> 29.910 </w:t>
            </w:r>
          </w:p>
        </w:tc>
      </w:tr>
      <w:tr w:rsidR="00E3605F" w:rsidRPr="00F30A15" w14:paraId="4AB9DBDD" w14:textId="77777777" w:rsidTr="00A10D09">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2AFE5D18" w14:textId="509C321D" w:rsidR="00E3605F" w:rsidRPr="00F30A15" w:rsidRDefault="00E3605F" w:rsidP="00E3605F">
            <w:pPr>
              <w:jc w:val="both"/>
              <w:rPr>
                <w:rFonts w:ascii="Arial" w:hAnsi="Arial" w:cs="Arial"/>
                <w:sz w:val="16"/>
                <w:lang w:eastAsia="es-AR"/>
              </w:rPr>
            </w:pPr>
            <w:r w:rsidRPr="00F30A15">
              <w:rPr>
                <w:rFonts w:ascii="Arial" w:hAnsi="Arial" w:cs="Arial"/>
                <w:sz w:val="16"/>
                <w:lang w:eastAsia="es-AR"/>
              </w:rPr>
              <w:t xml:space="preserve">- Títulos de Deuda a </w:t>
            </w:r>
            <w:r>
              <w:rPr>
                <w:rFonts w:ascii="Arial" w:hAnsi="Arial" w:cs="Arial"/>
                <w:sz w:val="16"/>
                <w:lang w:eastAsia="es-AR"/>
              </w:rPr>
              <w:t xml:space="preserve">Valor </w:t>
            </w:r>
            <w:r w:rsidRPr="00F30A15">
              <w:rPr>
                <w:rFonts w:ascii="Arial" w:hAnsi="Arial" w:cs="Arial"/>
                <w:sz w:val="16"/>
                <w:lang w:eastAsia="es-AR"/>
              </w:rPr>
              <w:t>R</w:t>
            </w:r>
            <w:r>
              <w:rPr>
                <w:rFonts w:ascii="Arial" w:hAnsi="Arial" w:cs="Arial"/>
                <w:sz w:val="16"/>
                <w:lang w:eastAsia="es-AR"/>
              </w:rPr>
              <w:t>azonable</w:t>
            </w:r>
            <w:r w:rsidRPr="00F30A15">
              <w:rPr>
                <w:rFonts w:ascii="Arial" w:hAnsi="Arial" w:cs="Arial"/>
                <w:sz w:val="16"/>
                <w:lang w:eastAsia="es-AR"/>
              </w:rPr>
              <w:t xml:space="preserve"> con Cambio</w:t>
            </w:r>
            <w:r>
              <w:rPr>
                <w:rFonts w:ascii="Arial" w:hAnsi="Arial" w:cs="Arial"/>
                <w:sz w:val="16"/>
                <w:lang w:eastAsia="es-AR"/>
              </w:rPr>
              <w:t>s</w:t>
            </w:r>
            <w:r w:rsidRPr="00F30A15">
              <w:rPr>
                <w:rFonts w:ascii="Arial" w:hAnsi="Arial" w:cs="Arial"/>
                <w:sz w:val="16"/>
                <w:lang w:eastAsia="es-AR"/>
              </w:rPr>
              <w:t xml:space="preserve"> en Resultados</w:t>
            </w:r>
          </w:p>
        </w:tc>
        <w:tc>
          <w:tcPr>
            <w:tcW w:w="630" w:type="pct"/>
            <w:tcBorders>
              <w:top w:val="nil"/>
              <w:left w:val="nil"/>
              <w:bottom w:val="single" w:sz="4" w:space="0" w:color="auto"/>
              <w:right w:val="single" w:sz="4" w:space="0" w:color="auto"/>
            </w:tcBorders>
            <w:shd w:val="clear" w:color="auto" w:fill="auto"/>
            <w:noWrap/>
            <w:vAlign w:val="bottom"/>
          </w:tcPr>
          <w:p w14:paraId="7B4620A8" w14:textId="1B656C32" w:rsidR="00E3605F" w:rsidRPr="00F30A15" w:rsidRDefault="00E77EBD" w:rsidP="00A10D09">
            <w:pPr>
              <w:jc w:val="right"/>
              <w:rPr>
                <w:rFonts w:ascii="Arial" w:hAnsi="Arial" w:cs="Arial"/>
                <w:sz w:val="16"/>
                <w:szCs w:val="16"/>
              </w:rPr>
            </w:pPr>
            <w:r w:rsidRPr="00E77EBD">
              <w:rPr>
                <w:rFonts w:ascii="Arial" w:hAnsi="Arial" w:cs="Arial"/>
                <w:sz w:val="16"/>
                <w:szCs w:val="16"/>
              </w:rPr>
              <w:t>308.63</w:t>
            </w:r>
            <w:r w:rsidR="000966C6">
              <w:rPr>
                <w:rFonts w:ascii="Arial" w:hAnsi="Arial" w:cs="Arial"/>
                <w:sz w:val="16"/>
                <w:szCs w:val="16"/>
              </w:rPr>
              <w:t>5</w:t>
            </w:r>
          </w:p>
        </w:tc>
        <w:tc>
          <w:tcPr>
            <w:tcW w:w="708" w:type="pct"/>
            <w:tcBorders>
              <w:top w:val="nil"/>
              <w:left w:val="nil"/>
              <w:bottom w:val="single" w:sz="4" w:space="0" w:color="auto"/>
              <w:right w:val="single" w:sz="4" w:space="0" w:color="auto"/>
            </w:tcBorders>
            <w:shd w:val="clear" w:color="auto" w:fill="auto"/>
            <w:noWrap/>
            <w:vAlign w:val="bottom"/>
          </w:tcPr>
          <w:p w14:paraId="4C5FBD0C" w14:textId="4A89B56A" w:rsidR="00E3605F" w:rsidRPr="00F30A15" w:rsidRDefault="000966C6" w:rsidP="00A10D09">
            <w:pPr>
              <w:jc w:val="right"/>
              <w:rPr>
                <w:rFonts w:ascii="Arial" w:hAnsi="Arial" w:cs="Arial"/>
                <w:sz w:val="16"/>
                <w:szCs w:val="16"/>
              </w:rPr>
            </w:pPr>
            <w:r>
              <w:rPr>
                <w:rFonts w:ascii="Arial" w:hAnsi="Arial" w:cs="Arial"/>
                <w:sz w:val="16"/>
                <w:szCs w:val="16"/>
              </w:rPr>
              <w:t>-</w:t>
            </w:r>
          </w:p>
        </w:tc>
        <w:tc>
          <w:tcPr>
            <w:tcW w:w="630" w:type="pct"/>
            <w:tcBorders>
              <w:top w:val="nil"/>
              <w:left w:val="nil"/>
              <w:bottom w:val="single" w:sz="4" w:space="0" w:color="auto"/>
              <w:right w:val="single" w:sz="4" w:space="0" w:color="auto"/>
            </w:tcBorders>
            <w:shd w:val="clear" w:color="auto" w:fill="auto"/>
            <w:noWrap/>
            <w:vAlign w:val="bottom"/>
          </w:tcPr>
          <w:p w14:paraId="0FE4647B" w14:textId="74F60835" w:rsidR="00E3605F" w:rsidRPr="00F30A15" w:rsidRDefault="005F7199" w:rsidP="00A10D09">
            <w:pPr>
              <w:jc w:val="right"/>
              <w:rPr>
                <w:rFonts w:ascii="Arial" w:hAnsi="Arial" w:cs="Arial"/>
                <w:sz w:val="16"/>
                <w:szCs w:val="16"/>
              </w:rPr>
            </w:pPr>
            <w:r w:rsidRPr="00E77EBD">
              <w:rPr>
                <w:rFonts w:ascii="Arial" w:hAnsi="Arial" w:cs="Arial"/>
                <w:sz w:val="16"/>
                <w:szCs w:val="16"/>
              </w:rPr>
              <w:t>3.67</w:t>
            </w:r>
            <w:r w:rsidR="000966C6">
              <w:rPr>
                <w:rFonts w:ascii="Arial" w:hAnsi="Arial" w:cs="Arial"/>
                <w:sz w:val="16"/>
                <w:szCs w:val="16"/>
              </w:rPr>
              <w:t>1</w:t>
            </w:r>
          </w:p>
        </w:tc>
        <w:tc>
          <w:tcPr>
            <w:tcW w:w="552" w:type="pct"/>
            <w:tcBorders>
              <w:top w:val="nil"/>
              <w:left w:val="nil"/>
              <w:bottom w:val="single" w:sz="4" w:space="0" w:color="auto"/>
              <w:right w:val="single" w:sz="4" w:space="0" w:color="auto"/>
            </w:tcBorders>
            <w:vAlign w:val="bottom"/>
          </w:tcPr>
          <w:p w14:paraId="47EF8478" w14:textId="6D02B048" w:rsidR="00E3605F" w:rsidRPr="00E94540" w:rsidRDefault="00F73F7F" w:rsidP="00A10D09">
            <w:pPr>
              <w:jc w:val="right"/>
              <w:rPr>
                <w:rFonts w:ascii="Arial" w:hAnsi="Arial" w:cs="Arial"/>
                <w:sz w:val="16"/>
                <w:szCs w:val="16"/>
              </w:rPr>
            </w:pPr>
            <w:r w:rsidRPr="00F73F7F">
              <w:rPr>
                <w:rFonts w:ascii="Arial" w:hAnsi="Arial" w:cs="Arial"/>
                <w:sz w:val="16"/>
                <w:szCs w:val="16"/>
              </w:rPr>
              <w:t>312.306</w:t>
            </w:r>
          </w:p>
        </w:tc>
      </w:tr>
      <w:tr w:rsidR="00E3605F" w:rsidRPr="00F30A15" w14:paraId="4C3D8A15" w14:textId="77777777" w:rsidTr="00A10D09">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5734992E" w14:textId="77777777" w:rsidR="00E3605F" w:rsidRPr="00F30A15" w:rsidRDefault="00E3605F" w:rsidP="00E3605F">
            <w:pPr>
              <w:jc w:val="both"/>
              <w:rPr>
                <w:rFonts w:ascii="Arial" w:hAnsi="Arial" w:cs="Arial"/>
                <w:sz w:val="16"/>
                <w:lang w:eastAsia="es-AR"/>
              </w:rPr>
            </w:pPr>
            <w:r w:rsidRPr="00F30A15">
              <w:rPr>
                <w:rFonts w:ascii="Arial" w:hAnsi="Arial" w:cs="Arial"/>
                <w:sz w:val="16"/>
                <w:lang w:eastAsia="es-AR"/>
              </w:rPr>
              <w:t>- Instrumentos Derivados</w:t>
            </w:r>
          </w:p>
        </w:tc>
        <w:tc>
          <w:tcPr>
            <w:tcW w:w="630" w:type="pct"/>
            <w:tcBorders>
              <w:top w:val="nil"/>
              <w:left w:val="nil"/>
              <w:bottom w:val="single" w:sz="4" w:space="0" w:color="auto"/>
              <w:right w:val="single" w:sz="4" w:space="0" w:color="auto"/>
            </w:tcBorders>
            <w:shd w:val="clear" w:color="auto" w:fill="auto"/>
            <w:noWrap/>
            <w:vAlign w:val="bottom"/>
          </w:tcPr>
          <w:p w14:paraId="17E56922" w14:textId="30ADB30C" w:rsidR="00E3605F" w:rsidRPr="00F30A15" w:rsidRDefault="00E3605F" w:rsidP="00A10D09">
            <w:pPr>
              <w:jc w:val="right"/>
              <w:rPr>
                <w:rFonts w:ascii="Arial" w:hAnsi="Arial" w:cs="Arial"/>
                <w:sz w:val="16"/>
                <w:szCs w:val="16"/>
              </w:rPr>
            </w:pPr>
            <w:r w:rsidRPr="00E94540">
              <w:rPr>
                <w:rFonts w:ascii="Arial" w:hAnsi="Arial" w:cs="Arial"/>
                <w:sz w:val="16"/>
                <w:szCs w:val="16"/>
              </w:rPr>
              <w:t xml:space="preserve"> 257.587 </w:t>
            </w:r>
          </w:p>
        </w:tc>
        <w:tc>
          <w:tcPr>
            <w:tcW w:w="708" w:type="pct"/>
            <w:tcBorders>
              <w:top w:val="nil"/>
              <w:left w:val="nil"/>
              <w:bottom w:val="single" w:sz="4" w:space="0" w:color="auto"/>
              <w:right w:val="single" w:sz="4" w:space="0" w:color="auto"/>
            </w:tcBorders>
            <w:shd w:val="clear" w:color="auto" w:fill="auto"/>
            <w:noWrap/>
            <w:vAlign w:val="bottom"/>
          </w:tcPr>
          <w:p w14:paraId="56FEF4A6" w14:textId="12BAA6FC" w:rsidR="00E3605F" w:rsidRPr="00F30A15" w:rsidRDefault="00E3605F" w:rsidP="00A10D09">
            <w:pPr>
              <w:jc w:val="right"/>
              <w:rPr>
                <w:rFonts w:ascii="Arial" w:hAnsi="Arial" w:cs="Arial"/>
                <w:sz w:val="16"/>
                <w:szCs w:val="16"/>
              </w:rPr>
            </w:pPr>
            <w:r w:rsidRPr="00E94540">
              <w:rPr>
                <w:rFonts w:ascii="Arial" w:hAnsi="Arial" w:cs="Arial"/>
                <w:sz w:val="16"/>
                <w:szCs w:val="16"/>
              </w:rPr>
              <w:t xml:space="preserve"> -   </w:t>
            </w:r>
          </w:p>
        </w:tc>
        <w:tc>
          <w:tcPr>
            <w:tcW w:w="630" w:type="pct"/>
            <w:tcBorders>
              <w:top w:val="nil"/>
              <w:left w:val="nil"/>
              <w:bottom w:val="single" w:sz="4" w:space="0" w:color="auto"/>
              <w:right w:val="single" w:sz="4" w:space="0" w:color="auto"/>
            </w:tcBorders>
            <w:shd w:val="clear" w:color="auto" w:fill="auto"/>
            <w:noWrap/>
            <w:vAlign w:val="bottom"/>
          </w:tcPr>
          <w:p w14:paraId="0DFC6018" w14:textId="0C65ACC2" w:rsidR="00E3605F" w:rsidRPr="00F30A15" w:rsidRDefault="00E94540" w:rsidP="00A10D09">
            <w:pPr>
              <w:jc w:val="right"/>
              <w:rPr>
                <w:rFonts w:ascii="Arial" w:hAnsi="Arial" w:cs="Arial"/>
                <w:sz w:val="16"/>
                <w:szCs w:val="16"/>
              </w:rPr>
            </w:pPr>
            <w:r>
              <w:rPr>
                <w:rFonts w:ascii="Arial" w:hAnsi="Arial" w:cs="Arial"/>
                <w:sz w:val="16"/>
                <w:szCs w:val="16"/>
              </w:rPr>
              <w:t>-</w:t>
            </w:r>
          </w:p>
        </w:tc>
        <w:tc>
          <w:tcPr>
            <w:tcW w:w="552" w:type="pct"/>
            <w:tcBorders>
              <w:top w:val="nil"/>
              <w:left w:val="nil"/>
              <w:bottom w:val="single" w:sz="4" w:space="0" w:color="auto"/>
              <w:right w:val="single" w:sz="4" w:space="0" w:color="auto"/>
            </w:tcBorders>
            <w:vAlign w:val="bottom"/>
          </w:tcPr>
          <w:p w14:paraId="25FF3FC1" w14:textId="51F352F2" w:rsidR="00E3605F" w:rsidRPr="00E94540" w:rsidRDefault="00E3605F" w:rsidP="00A10D09">
            <w:pPr>
              <w:jc w:val="right"/>
              <w:rPr>
                <w:rFonts w:ascii="Arial" w:hAnsi="Arial" w:cs="Arial"/>
                <w:sz w:val="16"/>
                <w:szCs w:val="16"/>
              </w:rPr>
            </w:pPr>
            <w:r w:rsidRPr="00E94540">
              <w:rPr>
                <w:rFonts w:ascii="Arial" w:hAnsi="Arial" w:cs="Arial"/>
                <w:sz w:val="16"/>
                <w:szCs w:val="16"/>
              </w:rPr>
              <w:t xml:space="preserve"> 257.587 </w:t>
            </w:r>
          </w:p>
        </w:tc>
      </w:tr>
      <w:tr w:rsidR="00E3605F" w:rsidRPr="00F30A15" w14:paraId="5BC9D8B7" w14:textId="77777777" w:rsidTr="00A10D09">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6FE71F98" w14:textId="77777777" w:rsidR="00E3605F" w:rsidRPr="00F30A15" w:rsidRDefault="00E3605F" w:rsidP="00E3605F">
            <w:pPr>
              <w:jc w:val="both"/>
              <w:rPr>
                <w:rFonts w:ascii="Arial" w:hAnsi="Arial" w:cs="Arial"/>
                <w:sz w:val="16"/>
                <w:lang w:eastAsia="es-AR"/>
              </w:rPr>
            </w:pPr>
            <w:r w:rsidRPr="00F30A15">
              <w:rPr>
                <w:rFonts w:ascii="Arial" w:hAnsi="Arial" w:cs="Arial"/>
                <w:sz w:val="16"/>
                <w:lang w:eastAsia="es-AR"/>
              </w:rPr>
              <w:t>- Otros Activos Financieros</w:t>
            </w:r>
          </w:p>
        </w:tc>
        <w:tc>
          <w:tcPr>
            <w:tcW w:w="630" w:type="pct"/>
            <w:tcBorders>
              <w:top w:val="nil"/>
              <w:left w:val="nil"/>
              <w:bottom w:val="single" w:sz="4" w:space="0" w:color="auto"/>
              <w:right w:val="single" w:sz="4" w:space="0" w:color="auto"/>
            </w:tcBorders>
            <w:shd w:val="clear" w:color="auto" w:fill="auto"/>
            <w:noWrap/>
            <w:vAlign w:val="bottom"/>
          </w:tcPr>
          <w:p w14:paraId="10B3ED81" w14:textId="555AD06D" w:rsidR="00E3605F" w:rsidRPr="00F30A15" w:rsidRDefault="00E3605F" w:rsidP="00A10D09">
            <w:pPr>
              <w:jc w:val="right"/>
              <w:rPr>
                <w:rFonts w:ascii="Arial" w:hAnsi="Arial" w:cs="Arial"/>
                <w:sz w:val="16"/>
                <w:szCs w:val="16"/>
              </w:rPr>
            </w:pPr>
            <w:r w:rsidRPr="00E94540">
              <w:rPr>
                <w:rFonts w:ascii="Arial" w:hAnsi="Arial" w:cs="Arial"/>
                <w:sz w:val="16"/>
                <w:szCs w:val="16"/>
              </w:rPr>
              <w:t xml:space="preserve"> 167.672 </w:t>
            </w:r>
          </w:p>
        </w:tc>
        <w:tc>
          <w:tcPr>
            <w:tcW w:w="708" w:type="pct"/>
            <w:tcBorders>
              <w:top w:val="nil"/>
              <w:left w:val="nil"/>
              <w:bottom w:val="single" w:sz="4" w:space="0" w:color="auto"/>
              <w:right w:val="single" w:sz="4" w:space="0" w:color="auto"/>
            </w:tcBorders>
            <w:shd w:val="clear" w:color="auto" w:fill="auto"/>
            <w:noWrap/>
            <w:vAlign w:val="bottom"/>
          </w:tcPr>
          <w:p w14:paraId="61AB14E6" w14:textId="17FAB985" w:rsidR="00E3605F" w:rsidRPr="00F30A15" w:rsidRDefault="00E3605F" w:rsidP="00A10D09">
            <w:pPr>
              <w:jc w:val="right"/>
              <w:rPr>
                <w:rFonts w:ascii="Arial" w:hAnsi="Arial" w:cs="Arial"/>
                <w:sz w:val="16"/>
                <w:szCs w:val="16"/>
              </w:rPr>
            </w:pPr>
            <w:r w:rsidRPr="00E94540">
              <w:rPr>
                <w:rFonts w:ascii="Arial" w:hAnsi="Arial" w:cs="Arial"/>
                <w:sz w:val="16"/>
                <w:szCs w:val="16"/>
              </w:rPr>
              <w:t xml:space="preserve"> -   </w:t>
            </w:r>
          </w:p>
        </w:tc>
        <w:tc>
          <w:tcPr>
            <w:tcW w:w="630" w:type="pct"/>
            <w:tcBorders>
              <w:top w:val="nil"/>
              <w:left w:val="nil"/>
              <w:bottom w:val="single" w:sz="4" w:space="0" w:color="auto"/>
              <w:right w:val="single" w:sz="4" w:space="0" w:color="auto"/>
            </w:tcBorders>
            <w:shd w:val="clear" w:color="auto" w:fill="auto"/>
            <w:noWrap/>
            <w:vAlign w:val="bottom"/>
          </w:tcPr>
          <w:p w14:paraId="7B4DADBE" w14:textId="63EA3E11" w:rsidR="00E3605F" w:rsidRPr="00F30A15" w:rsidRDefault="00E94540" w:rsidP="00A10D09">
            <w:pPr>
              <w:jc w:val="right"/>
              <w:rPr>
                <w:rFonts w:ascii="Arial" w:hAnsi="Arial" w:cs="Arial"/>
                <w:sz w:val="16"/>
                <w:szCs w:val="16"/>
              </w:rPr>
            </w:pPr>
            <w:r>
              <w:rPr>
                <w:rFonts w:ascii="Arial" w:hAnsi="Arial" w:cs="Arial"/>
                <w:sz w:val="16"/>
                <w:szCs w:val="16"/>
              </w:rPr>
              <w:t>-</w:t>
            </w:r>
          </w:p>
        </w:tc>
        <w:tc>
          <w:tcPr>
            <w:tcW w:w="552" w:type="pct"/>
            <w:tcBorders>
              <w:top w:val="nil"/>
              <w:left w:val="nil"/>
              <w:bottom w:val="single" w:sz="4" w:space="0" w:color="auto"/>
              <w:right w:val="single" w:sz="4" w:space="0" w:color="auto"/>
            </w:tcBorders>
            <w:vAlign w:val="bottom"/>
          </w:tcPr>
          <w:p w14:paraId="6E0F4B54" w14:textId="422BB2EB" w:rsidR="00E3605F" w:rsidRPr="00E94540" w:rsidRDefault="00E3605F" w:rsidP="00A10D09">
            <w:pPr>
              <w:jc w:val="right"/>
              <w:rPr>
                <w:rFonts w:ascii="Arial" w:hAnsi="Arial" w:cs="Arial"/>
                <w:sz w:val="16"/>
                <w:szCs w:val="16"/>
              </w:rPr>
            </w:pPr>
            <w:r w:rsidRPr="00E94540">
              <w:rPr>
                <w:rFonts w:ascii="Arial" w:hAnsi="Arial" w:cs="Arial"/>
                <w:sz w:val="16"/>
                <w:szCs w:val="16"/>
              </w:rPr>
              <w:t>167.672</w:t>
            </w:r>
          </w:p>
        </w:tc>
      </w:tr>
      <w:tr w:rsidR="00E94540" w:rsidRPr="00F30A15" w14:paraId="4C6AB04C" w14:textId="77777777" w:rsidTr="00A10D09">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698BC06A" w14:textId="77777777" w:rsidR="00E94540" w:rsidRPr="00F30A15" w:rsidRDefault="00E94540" w:rsidP="00E94540">
            <w:pPr>
              <w:jc w:val="both"/>
              <w:rPr>
                <w:rFonts w:ascii="Arial" w:hAnsi="Arial" w:cs="Arial"/>
                <w:sz w:val="16"/>
                <w:lang w:eastAsia="es-AR"/>
              </w:rPr>
            </w:pPr>
            <w:r w:rsidRPr="00F30A15">
              <w:rPr>
                <w:rFonts w:ascii="Arial" w:hAnsi="Arial" w:cs="Arial"/>
                <w:sz w:val="16"/>
                <w:lang w:eastAsia="es-AR"/>
              </w:rPr>
              <w:t>- Otros Títulos de Deuda</w:t>
            </w:r>
          </w:p>
        </w:tc>
        <w:tc>
          <w:tcPr>
            <w:tcW w:w="630" w:type="pct"/>
            <w:tcBorders>
              <w:top w:val="nil"/>
              <w:left w:val="nil"/>
              <w:bottom w:val="single" w:sz="4" w:space="0" w:color="auto"/>
              <w:right w:val="single" w:sz="4" w:space="0" w:color="auto"/>
            </w:tcBorders>
            <w:shd w:val="clear" w:color="auto" w:fill="auto"/>
            <w:noWrap/>
            <w:vAlign w:val="bottom"/>
          </w:tcPr>
          <w:p w14:paraId="31619DD7" w14:textId="6245ED77" w:rsidR="00E94540" w:rsidRPr="00F30A15" w:rsidRDefault="00E94540" w:rsidP="00A10D09">
            <w:pPr>
              <w:jc w:val="right"/>
              <w:rPr>
                <w:rFonts w:ascii="Arial" w:hAnsi="Arial" w:cs="Arial"/>
                <w:sz w:val="16"/>
                <w:szCs w:val="16"/>
              </w:rPr>
            </w:pPr>
            <w:r w:rsidRPr="00E94540">
              <w:rPr>
                <w:rFonts w:ascii="Arial" w:hAnsi="Arial" w:cs="Arial"/>
                <w:sz w:val="16"/>
                <w:szCs w:val="16"/>
              </w:rPr>
              <w:t xml:space="preserve"> </w:t>
            </w:r>
            <w:r w:rsidR="00F73F7F" w:rsidRPr="00F73F7F">
              <w:rPr>
                <w:rFonts w:ascii="Arial" w:hAnsi="Arial" w:cs="Arial"/>
                <w:sz w:val="16"/>
                <w:szCs w:val="16"/>
              </w:rPr>
              <w:t xml:space="preserve"> 7.171.171</w:t>
            </w:r>
            <w:r w:rsidRPr="00E94540">
              <w:rPr>
                <w:rFonts w:ascii="Arial" w:hAnsi="Arial" w:cs="Arial"/>
                <w:sz w:val="16"/>
                <w:szCs w:val="16"/>
              </w:rPr>
              <w:t xml:space="preserve"> </w:t>
            </w:r>
          </w:p>
        </w:tc>
        <w:tc>
          <w:tcPr>
            <w:tcW w:w="708" w:type="pct"/>
            <w:tcBorders>
              <w:top w:val="nil"/>
              <w:left w:val="nil"/>
              <w:bottom w:val="single" w:sz="4" w:space="0" w:color="auto"/>
              <w:right w:val="single" w:sz="4" w:space="0" w:color="auto"/>
            </w:tcBorders>
            <w:shd w:val="clear" w:color="auto" w:fill="auto"/>
            <w:noWrap/>
            <w:vAlign w:val="bottom"/>
          </w:tcPr>
          <w:p w14:paraId="08F11A33" w14:textId="206CEA16" w:rsidR="00E94540" w:rsidRPr="00F30A15" w:rsidRDefault="00E94540" w:rsidP="00A10D09">
            <w:pPr>
              <w:jc w:val="right"/>
              <w:rPr>
                <w:rFonts w:ascii="Arial" w:hAnsi="Arial" w:cs="Arial"/>
                <w:sz w:val="16"/>
                <w:szCs w:val="16"/>
              </w:rPr>
            </w:pPr>
            <w:r w:rsidRPr="00E94540">
              <w:rPr>
                <w:rFonts w:ascii="Arial" w:hAnsi="Arial" w:cs="Arial"/>
                <w:sz w:val="16"/>
                <w:szCs w:val="16"/>
              </w:rPr>
              <w:t xml:space="preserve"> -   </w:t>
            </w:r>
          </w:p>
        </w:tc>
        <w:tc>
          <w:tcPr>
            <w:tcW w:w="630" w:type="pct"/>
            <w:tcBorders>
              <w:top w:val="nil"/>
              <w:left w:val="nil"/>
              <w:bottom w:val="single" w:sz="4" w:space="0" w:color="auto"/>
              <w:right w:val="single" w:sz="4" w:space="0" w:color="auto"/>
            </w:tcBorders>
            <w:shd w:val="clear" w:color="auto" w:fill="auto"/>
            <w:noWrap/>
            <w:vAlign w:val="bottom"/>
          </w:tcPr>
          <w:p w14:paraId="2486C8E2" w14:textId="2C5BF59B" w:rsidR="00E94540" w:rsidRPr="00F30A15" w:rsidRDefault="00E94540" w:rsidP="00A10D09">
            <w:pPr>
              <w:jc w:val="right"/>
              <w:rPr>
                <w:rFonts w:ascii="Arial" w:hAnsi="Arial" w:cs="Arial"/>
                <w:sz w:val="16"/>
                <w:szCs w:val="16"/>
              </w:rPr>
            </w:pPr>
            <w:r>
              <w:rPr>
                <w:rFonts w:ascii="Arial" w:hAnsi="Arial" w:cs="Arial"/>
                <w:sz w:val="16"/>
                <w:szCs w:val="16"/>
              </w:rPr>
              <w:t>-</w:t>
            </w:r>
          </w:p>
        </w:tc>
        <w:tc>
          <w:tcPr>
            <w:tcW w:w="552" w:type="pct"/>
            <w:tcBorders>
              <w:top w:val="nil"/>
              <w:left w:val="nil"/>
              <w:bottom w:val="single" w:sz="4" w:space="0" w:color="auto"/>
              <w:right w:val="single" w:sz="4" w:space="0" w:color="auto"/>
            </w:tcBorders>
            <w:vAlign w:val="bottom"/>
          </w:tcPr>
          <w:p w14:paraId="61D53BF9" w14:textId="43DBC80C" w:rsidR="00E94540" w:rsidRPr="00E94540" w:rsidRDefault="00F73F7F" w:rsidP="00A10D09">
            <w:pPr>
              <w:jc w:val="right"/>
              <w:rPr>
                <w:rFonts w:ascii="Arial" w:hAnsi="Arial" w:cs="Arial"/>
                <w:sz w:val="16"/>
                <w:szCs w:val="16"/>
              </w:rPr>
            </w:pPr>
            <w:r w:rsidRPr="00F73F7F">
              <w:rPr>
                <w:rFonts w:ascii="Arial" w:hAnsi="Arial" w:cs="Arial"/>
                <w:sz w:val="16"/>
                <w:szCs w:val="16"/>
              </w:rPr>
              <w:t>7.171.171</w:t>
            </w:r>
          </w:p>
        </w:tc>
      </w:tr>
      <w:tr w:rsidR="00E94540" w:rsidRPr="00F30A15" w14:paraId="0D2DEFD5" w14:textId="77777777" w:rsidTr="00A10D09">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33FA4294" w14:textId="77777777" w:rsidR="00E94540" w:rsidRPr="00F30A15" w:rsidRDefault="00E94540" w:rsidP="00E94540">
            <w:pPr>
              <w:jc w:val="both"/>
              <w:rPr>
                <w:rFonts w:ascii="Arial" w:hAnsi="Arial" w:cs="Arial"/>
                <w:sz w:val="16"/>
                <w:lang w:eastAsia="es-AR"/>
              </w:rPr>
            </w:pPr>
            <w:r w:rsidRPr="00F30A15">
              <w:rPr>
                <w:rFonts w:ascii="Arial" w:hAnsi="Arial" w:cs="Arial"/>
                <w:sz w:val="16"/>
                <w:lang w:eastAsia="es-AR"/>
              </w:rPr>
              <w:t>- Activos Financieros entregados en Garantía</w:t>
            </w:r>
          </w:p>
        </w:tc>
        <w:tc>
          <w:tcPr>
            <w:tcW w:w="630" w:type="pct"/>
            <w:tcBorders>
              <w:top w:val="nil"/>
              <w:left w:val="nil"/>
              <w:bottom w:val="single" w:sz="4" w:space="0" w:color="auto"/>
              <w:right w:val="single" w:sz="4" w:space="0" w:color="auto"/>
            </w:tcBorders>
            <w:shd w:val="clear" w:color="auto" w:fill="auto"/>
            <w:noWrap/>
            <w:vAlign w:val="bottom"/>
          </w:tcPr>
          <w:p w14:paraId="22D901FB" w14:textId="62C636D4" w:rsidR="00E94540" w:rsidRPr="00F30A15" w:rsidRDefault="00F73F7F" w:rsidP="00A10D09">
            <w:pPr>
              <w:jc w:val="right"/>
              <w:rPr>
                <w:rFonts w:ascii="Arial" w:hAnsi="Arial" w:cs="Arial"/>
                <w:sz w:val="16"/>
                <w:szCs w:val="16"/>
              </w:rPr>
            </w:pPr>
            <w:r w:rsidRPr="00F73F7F">
              <w:rPr>
                <w:rFonts w:ascii="Arial" w:hAnsi="Arial" w:cs="Arial"/>
                <w:sz w:val="16"/>
                <w:szCs w:val="16"/>
              </w:rPr>
              <w:t>4.924.540</w:t>
            </w:r>
          </w:p>
        </w:tc>
        <w:tc>
          <w:tcPr>
            <w:tcW w:w="708" w:type="pct"/>
            <w:tcBorders>
              <w:top w:val="nil"/>
              <w:left w:val="nil"/>
              <w:bottom w:val="single" w:sz="4" w:space="0" w:color="auto"/>
              <w:right w:val="single" w:sz="4" w:space="0" w:color="auto"/>
            </w:tcBorders>
            <w:shd w:val="clear" w:color="auto" w:fill="auto"/>
            <w:noWrap/>
            <w:vAlign w:val="bottom"/>
          </w:tcPr>
          <w:p w14:paraId="7A2DC855" w14:textId="7E9CB0CF" w:rsidR="00E94540" w:rsidRPr="00F30A15" w:rsidRDefault="00E94540" w:rsidP="00A10D09">
            <w:pPr>
              <w:jc w:val="right"/>
              <w:rPr>
                <w:rFonts w:ascii="Arial" w:hAnsi="Arial" w:cs="Arial"/>
                <w:sz w:val="16"/>
                <w:szCs w:val="16"/>
              </w:rPr>
            </w:pPr>
            <w:r w:rsidRPr="00E94540">
              <w:rPr>
                <w:rFonts w:ascii="Arial" w:hAnsi="Arial" w:cs="Arial"/>
                <w:sz w:val="16"/>
                <w:szCs w:val="16"/>
              </w:rPr>
              <w:t xml:space="preserve"> -   </w:t>
            </w:r>
          </w:p>
        </w:tc>
        <w:tc>
          <w:tcPr>
            <w:tcW w:w="630" w:type="pct"/>
            <w:tcBorders>
              <w:top w:val="nil"/>
              <w:left w:val="nil"/>
              <w:bottom w:val="single" w:sz="4" w:space="0" w:color="auto"/>
              <w:right w:val="single" w:sz="4" w:space="0" w:color="auto"/>
            </w:tcBorders>
            <w:shd w:val="clear" w:color="auto" w:fill="auto"/>
            <w:noWrap/>
            <w:vAlign w:val="bottom"/>
          </w:tcPr>
          <w:p w14:paraId="496B5007" w14:textId="5EEA1692" w:rsidR="00E94540" w:rsidRPr="00F30A15" w:rsidRDefault="00E94540" w:rsidP="00A10D09">
            <w:pPr>
              <w:jc w:val="right"/>
              <w:rPr>
                <w:rFonts w:ascii="Arial" w:hAnsi="Arial" w:cs="Arial"/>
                <w:sz w:val="16"/>
                <w:szCs w:val="16"/>
              </w:rPr>
            </w:pPr>
            <w:r>
              <w:rPr>
                <w:rFonts w:ascii="Arial" w:hAnsi="Arial" w:cs="Arial"/>
                <w:sz w:val="16"/>
                <w:szCs w:val="16"/>
              </w:rPr>
              <w:t>-</w:t>
            </w:r>
          </w:p>
        </w:tc>
        <w:tc>
          <w:tcPr>
            <w:tcW w:w="552" w:type="pct"/>
            <w:tcBorders>
              <w:top w:val="nil"/>
              <w:left w:val="nil"/>
              <w:bottom w:val="single" w:sz="4" w:space="0" w:color="auto"/>
              <w:right w:val="single" w:sz="4" w:space="0" w:color="auto"/>
            </w:tcBorders>
            <w:vAlign w:val="bottom"/>
          </w:tcPr>
          <w:p w14:paraId="34E9ECCB" w14:textId="04A9B3AF" w:rsidR="00E94540" w:rsidRPr="00E94540" w:rsidRDefault="00F73F7F" w:rsidP="00A10D09">
            <w:pPr>
              <w:jc w:val="right"/>
              <w:rPr>
                <w:rFonts w:ascii="Arial" w:hAnsi="Arial" w:cs="Arial"/>
                <w:sz w:val="16"/>
                <w:szCs w:val="16"/>
              </w:rPr>
            </w:pPr>
            <w:r w:rsidRPr="00F73F7F">
              <w:rPr>
                <w:rFonts w:ascii="Arial" w:hAnsi="Arial" w:cs="Arial"/>
                <w:sz w:val="16"/>
                <w:szCs w:val="16"/>
              </w:rPr>
              <w:t>4.924.540</w:t>
            </w:r>
          </w:p>
        </w:tc>
      </w:tr>
      <w:tr w:rsidR="00E94540" w:rsidRPr="00F30A15" w14:paraId="3F532B4A" w14:textId="77777777" w:rsidTr="00A10D09">
        <w:trPr>
          <w:trHeight w:val="239"/>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365667D1" w14:textId="77777777" w:rsidR="00E94540" w:rsidRPr="00F30A15" w:rsidRDefault="00E94540" w:rsidP="00E94540">
            <w:pPr>
              <w:jc w:val="both"/>
              <w:rPr>
                <w:rFonts w:ascii="Arial" w:hAnsi="Arial" w:cs="Arial"/>
                <w:sz w:val="16"/>
                <w:lang w:eastAsia="es-AR"/>
              </w:rPr>
            </w:pPr>
            <w:r w:rsidRPr="00F30A15">
              <w:rPr>
                <w:rFonts w:ascii="Arial" w:hAnsi="Arial" w:cs="Arial"/>
                <w:sz w:val="16"/>
                <w:lang w:eastAsia="es-AR"/>
              </w:rPr>
              <w:t>- Inversiones en instrumentos de patrimonio</w:t>
            </w:r>
          </w:p>
        </w:tc>
        <w:tc>
          <w:tcPr>
            <w:tcW w:w="630" w:type="pct"/>
            <w:tcBorders>
              <w:top w:val="nil"/>
              <w:left w:val="nil"/>
              <w:bottom w:val="single" w:sz="4" w:space="0" w:color="auto"/>
              <w:right w:val="single" w:sz="4" w:space="0" w:color="auto"/>
            </w:tcBorders>
            <w:shd w:val="clear" w:color="auto" w:fill="auto"/>
            <w:noWrap/>
            <w:vAlign w:val="bottom"/>
          </w:tcPr>
          <w:p w14:paraId="2BD98190" w14:textId="79AB47C2" w:rsidR="00E94540" w:rsidRPr="00F30A15" w:rsidRDefault="00E94540" w:rsidP="00A10D09">
            <w:pPr>
              <w:jc w:val="right"/>
              <w:rPr>
                <w:rFonts w:ascii="Arial" w:hAnsi="Arial" w:cs="Arial"/>
                <w:sz w:val="16"/>
                <w:szCs w:val="16"/>
              </w:rPr>
            </w:pPr>
            <w:r w:rsidRPr="00E94540">
              <w:rPr>
                <w:rFonts w:ascii="Arial" w:hAnsi="Arial" w:cs="Arial"/>
                <w:sz w:val="16"/>
                <w:szCs w:val="16"/>
              </w:rPr>
              <w:t xml:space="preserve"> 5.796 </w:t>
            </w:r>
          </w:p>
        </w:tc>
        <w:tc>
          <w:tcPr>
            <w:tcW w:w="708" w:type="pct"/>
            <w:tcBorders>
              <w:top w:val="nil"/>
              <w:left w:val="nil"/>
              <w:bottom w:val="single" w:sz="4" w:space="0" w:color="auto"/>
              <w:right w:val="single" w:sz="4" w:space="0" w:color="auto"/>
            </w:tcBorders>
            <w:shd w:val="clear" w:color="auto" w:fill="auto"/>
            <w:noWrap/>
            <w:vAlign w:val="bottom"/>
          </w:tcPr>
          <w:p w14:paraId="524C3379" w14:textId="3AECC57A" w:rsidR="00E94540" w:rsidRPr="00F30A15" w:rsidRDefault="00E94540" w:rsidP="00A10D09">
            <w:pPr>
              <w:jc w:val="right"/>
              <w:rPr>
                <w:rFonts w:ascii="Arial" w:hAnsi="Arial" w:cs="Arial"/>
                <w:sz w:val="16"/>
                <w:szCs w:val="16"/>
              </w:rPr>
            </w:pPr>
            <w:r w:rsidRPr="00E94540">
              <w:rPr>
                <w:rFonts w:ascii="Arial" w:hAnsi="Arial" w:cs="Arial"/>
                <w:sz w:val="16"/>
                <w:szCs w:val="16"/>
              </w:rPr>
              <w:t xml:space="preserve"> 8.783 </w:t>
            </w:r>
          </w:p>
        </w:tc>
        <w:tc>
          <w:tcPr>
            <w:tcW w:w="630" w:type="pct"/>
            <w:tcBorders>
              <w:top w:val="nil"/>
              <w:left w:val="nil"/>
              <w:bottom w:val="single" w:sz="4" w:space="0" w:color="auto"/>
              <w:right w:val="single" w:sz="4" w:space="0" w:color="auto"/>
            </w:tcBorders>
            <w:shd w:val="clear" w:color="auto" w:fill="auto"/>
            <w:noWrap/>
            <w:vAlign w:val="bottom"/>
          </w:tcPr>
          <w:p w14:paraId="505F91B5" w14:textId="5570C205" w:rsidR="00E94540" w:rsidRPr="00F30A15" w:rsidRDefault="00E94540" w:rsidP="00A10D09">
            <w:pPr>
              <w:jc w:val="right"/>
              <w:rPr>
                <w:rFonts w:ascii="Arial" w:hAnsi="Arial" w:cs="Arial"/>
                <w:sz w:val="16"/>
                <w:szCs w:val="16"/>
              </w:rPr>
            </w:pPr>
            <w:r>
              <w:rPr>
                <w:rFonts w:ascii="Arial" w:hAnsi="Arial" w:cs="Arial"/>
                <w:sz w:val="16"/>
                <w:szCs w:val="16"/>
              </w:rPr>
              <w:t>-</w:t>
            </w:r>
          </w:p>
        </w:tc>
        <w:tc>
          <w:tcPr>
            <w:tcW w:w="552" w:type="pct"/>
            <w:tcBorders>
              <w:top w:val="nil"/>
              <w:left w:val="nil"/>
              <w:bottom w:val="single" w:sz="4" w:space="0" w:color="auto"/>
              <w:right w:val="single" w:sz="4" w:space="0" w:color="auto"/>
            </w:tcBorders>
            <w:vAlign w:val="bottom"/>
          </w:tcPr>
          <w:p w14:paraId="7D65A40B" w14:textId="0D19A354" w:rsidR="00E94540" w:rsidRPr="00E94540" w:rsidRDefault="00E94540" w:rsidP="00A10D09">
            <w:pPr>
              <w:jc w:val="right"/>
              <w:rPr>
                <w:rFonts w:ascii="Arial" w:hAnsi="Arial" w:cs="Arial"/>
                <w:sz w:val="16"/>
                <w:szCs w:val="16"/>
              </w:rPr>
            </w:pPr>
            <w:r w:rsidRPr="00E94540">
              <w:rPr>
                <w:rFonts w:ascii="Arial" w:hAnsi="Arial" w:cs="Arial"/>
                <w:sz w:val="16"/>
                <w:szCs w:val="16"/>
              </w:rPr>
              <w:t xml:space="preserve"> </w:t>
            </w:r>
            <w:r w:rsidR="00F73F7F" w:rsidRPr="00F73F7F">
              <w:rPr>
                <w:rFonts w:ascii="Arial" w:hAnsi="Arial" w:cs="Arial"/>
                <w:sz w:val="16"/>
                <w:szCs w:val="16"/>
              </w:rPr>
              <w:t xml:space="preserve"> 14.579</w:t>
            </w:r>
          </w:p>
        </w:tc>
      </w:tr>
      <w:tr w:rsidR="00E3605F" w:rsidRPr="00F30A15" w14:paraId="343368E5" w14:textId="77777777" w:rsidTr="00A10D09">
        <w:trPr>
          <w:trHeight w:val="70"/>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74B081EF" w14:textId="77777777" w:rsidR="00E3605F" w:rsidRPr="00F30A15" w:rsidRDefault="00E3605F" w:rsidP="00E3605F">
            <w:pPr>
              <w:jc w:val="both"/>
              <w:rPr>
                <w:rFonts w:ascii="Arial" w:hAnsi="Arial" w:cs="Arial"/>
                <w:b/>
                <w:sz w:val="16"/>
                <w:lang w:eastAsia="es-AR"/>
              </w:rPr>
            </w:pPr>
            <w:r w:rsidRPr="00F30A15">
              <w:rPr>
                <w:rFonts w:ascii="Arial" w:hAnsi="Arial" w:cs="Arial"/>
                <w:b/>
                <w:sz w:val="16"/>
                <w:lang w:eastAsia="es-AR"/>
              </w:rPr>
              <w:t>Total Activo</w:t>
            </w:r>
          </w:p>
        </w:tc>
        <w:tc>
          <w:tcPr>
            <w:tcW w:w="630" w:type="pct"/>
            <w:tcBorders>
              <w:top w:val="nil"/>
              <w:left w:val="nil"/>
              <w:bottom w:val="single" w:sz="4" w:space="0" w:color="auto"/>
              <w:right w:val="single" w:sz="4" w:space="0" w:color="auto"/>
            </w:tcBorders>
            <w:shd w:val="clear" w:color="auto" w:fill="auto"/>
            <w:noWrap/>
            <w:vAlign w:val="bottom"/>
          </w:tcPr>
          <w:p w14:paraId="327595AD" w14:textId="4D568852" w:rsidR="00E3605F" w:rsidRPr="00E94540" w:rsidRDefault="00E77EBD" w:rsidP="00A10D09">
            <w:pPr>
              <w:jc w:val="right"/>
              <w:rPr>
                <w:rFonts w:ascii="Arial" w:hAnsi="Arial" w:cs="Arial"/>
                <w:b/>
                <w:sz w:val="16"/>
                <w:szCs w:val="16"/>
              </w:rPr>
            </w:pPr>
            <w:r w:rsidRPr="00E77EBD">
              <w:rPr>
                <w:rFonts w:ascii="Arial" w:hAnsi="Arial" w:cs="Arial"/>
                <w:b/>
                <w:sz w:val="16"/>
                <w:szCs w:val="16"/>
              </w:rPr>
              <w:t>12.865.3</w:t>
            </w:r>
            <w:r w:rsidR="000966C6">
              <w:rPr>
                <w:rFonts w:ascii="Arial" w:hAnsi="Arial" w:cs="Arial"/>
                <w:b/>
                <w:sz w:val="16"/>
                <w:szCs w:val="16"/>
              </w:rPr>
              <w:t>11</w:t>
            </w:r>
          </w:p>
        </w:tc>
        <w:tc>
          <w:tcPr>
            <w:tcW w:w="708" w:type="pct"/>
            <w:tcBorders>
              <w:top w:val="nil"/>
              <w:left w:val="nil"/>
              <w:bottom w:val="single" w:sz="4" w:space="0" w:color="auto"/>
              <w:right w:val="single" w:sz="4" w:space="0" w:color="auto"/>
            </w:tcBorders>
            <w:shd w:val="clear" w:color="auto" w:fill="auto"/>
            <w:noWrap/>
            <w:vAlign w:val="bottom"/>
          </w:tcPr>
          <w:p w14:paraId="63FBDE65" w14:textId="5408B2D9" w:rsidR="00E3605F" w:rsidRPr="00E94540" w:rsidRDefault="005F7199" w:rsidP="00A10D09">
            <w:pPr>
              <w:jc w:val="right"/>
              <w:rPr>
                <w:rFonts w:ascii="Arial" w:hAnsi="Arial" w:cs="Arial"/>
                <w:b/>
                <w:sz w:val="16"/>
                <w:szCs w:val="16"/>
              </w:rPr>
            </w:pPr>
            <w:r w:rsidRPr="005F7199">
              <w:rPr>
                <w:rFonts w:ascii="Arial" w:hAnsi="Arial" w:cs="Arial"/>
                <w:b/>
                <w:sz w:val="16"/>
                <w:szCs w:val="16"/>
              </w:rPr>
              <w:t xml:space="preserve">8.783 </w:t>
            </w:r>
          </w:p>
        </w:tc>
        <w:tc>
          <w:tcPr>
            <w:tcW w:w="630" w:type="pct"/>
            <w:tcBorders>
              <w:top w:val="nil"/>
              <w:left w:val="nil"/>
              <w:bottom w:val="single" w:sz="4" w:space="0" w:color="auto"/>
              <w:right w:val="single" w:sz="4" w:space="0" w:color="auto"/>
            </w:tcBorders>
            <w:shd w:val="clear" w:color="auto" w:fill="auto"/>
            <w:noWrap/>
            <w:vAlign w:val="bottom"/>
          </w:tcPr>
          <w:p w14:paraId="508FACA5" w14:textId="694F719D" w:rsidR="00E3605F" w:rsidRPr="00E94540" w:rsidRDefault="005F7199" w:rsidP="00A10D09">
            <w:pPr>
              <w:jc w:val="right"/>
              <w:rPr>
                <w:rFonts w:ascii="Arial" w:hAnsi="Arial" w:cs="Arial"/>
                <w:b/>
                <w:sz w:val="16"/>
                <w:szCs w:val="16"/>
              </w:rPr>
            </w:pPr>
            <w:r>
              <w:rPr>
                <w:rFonts w:ascii="Arial" w:hAnsi="Arial" w:cs="Arial"/>
                <w:b/>
                <w:sz w:val="16"/>
                <w:szCs w:val="16"/>
              </w:rPr>
              <w:t>3</w:t>
            </w:r>
            <w:r w:rsidR="00D63203">
              <w:rPr>
                <w:rFonts w:ascii="Arial" w:hAnsi="Arial" w:cs="Arial"/>
                <w:b/>
                <w:sz w:val="16"/>
                <w:szCs w:val="16"/>
              </w:rPr>
              <w:t>.</w:t>
            </w:r>
            <w:r>
              <w:rPr>
                <w:rFonts w:ascii="Arial" w:hAnsi="Arial" w:cs="Arial"/>
                <w:b/>
                <w:sz w:val="16"/>
                <w:szCs w:val="16"/>
              </w:rPr>
              <w:t>67</w:t>
            </w:r>
            <w:r w:rsidR="000966C6">
              <w:rPr>
                <w:rFonts w:ascii="Arial" w:hAnsi="Arial" w:cs="Arial"/>
                <w:b/>
                <w:sz w:val="16"/>
                <w:szCs w:val="16"/>
              </w:rPr>
              <w:t>1</w:t>
            </w:r>
          </w:p>
        </w:tc>
        <w:tc>
          <w:tcPr>
            <w:tcW w:w="552" w:type="pct"/>
            <w:tcBorders>
              <w:top w:val="nil"/>
              <w:left w:val="nil"/>
              <w:bottom w:val="single" w:sz="4" w:space="0" w:color="auto"/>
              <w:right w:val="single" w:sz="4" w:space="0" w:color="auto"/>
            </w:tcBorders>
            <w:vAlign w:val="bottom"/>
          </w:tcPr>
          <w:p w14:paraId="32DF1B9F" w14:textId="05465B76" w:rsidR="00E3605F" w:rsidRPr="00E94540" w:rsidRDefault="005F7199" w:rsidP="00A10D09">
            <w:pPr>
              <w:jc w:val="right"/>
              <w:rPr>
                <w:rFonts w:ascii="Arial" w:hAnsi="Arial" w:cs="Arial"/>
                <w:b/>
                <w:sz w:val="16"/>
                <w:szCs w:val="16"/>
              </w:rPr>
            </w:pPr>
            <w:r w:rsidRPr="005F7199">
              <w:rPr>
                <w:rFonts w:ascii="Arial" w:hAnsi="Arial" w:cs="Arial"/>
                <w:b/>
                <w:sz w:val="16"/>
                <w:szCs w:val="16"/>
              </w:rPr>
              <w:t xml:space="preserve">12.877.765 </w:t>
            </w:r>
          </w:p>
        </w:tc>
      </w:tr>
      <w:tr w:rsidR="00D17D79" w:rsidRPr="00F30A15" w14:paraId="1BC7EABD" w14:textId="77777777" w:rsidTr="00A10D09">
        <w:trPr>
          <w:trHeight w:val="131"/>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334BF3A2" w14:textId="77777777" w:rsidR="00D17D79" w:rsidRPr="00F30A15" w:rsidRDefault="00D17D79" w:rsidP="00992CF2">
            <w:pPr>
              <w:jc w:val="both"/>
              <w:rPr>
                <w:rFonts w:ascii="Arial" w:hAnsi="Arial" w:cs="Arial"/>
                <w:b/>
                <w:bCs/>
                <w:sz w:val="16"/>
                <w:lang w:eastAsia="es-AR"/>
              </w:rPr>
            </w:pPr>
            <w:r w:rsidRPr="00F30A15">
              <w:rPr>
                <w:rFonts w:ascii="Arial" w:hAnsi="Arial" w:cs="Arial"/>
                <w:b/>
                <w:bCs/>
                <w:sz w:val="16"/>
                <w:lang w:eastAsia="es-AR"/>
              </w:rPr>
              <w:t>Pasivos</w:t>
            </w:r>
          </w:p>
        </w:tc>
        <w:tc>
          <w:tcPr>
            <w:tcW w:w="630" w:type="pct"/>
            <w:tcBorders>
              <w:top w:val="nil"/>
              <w:left w:val="nil"/>
              <w:bottom w:val="single" w:sz="4" w:space="0" w:color="auto"/>
              <w:right w:val="single" w:sz="4" w:space="0" w:color="auto"/>
            </w:tcBorders>
            <w:shd w:val="clear" w:color="auto" w:fill="auto"/>
            <w:noWrap/>
            <w:vAlign w:val="bottom"/>
          </w:tcPr>
          <w:p w14:paraId="03CE4A8C" w14:textId="77777777" w:rsidR="00D17D79" w:rsidRPr="00F30A15" w:rsidRDefault="00D17D79" w:rsidP="00A10D09">
            <w:pPr>
              <w:jc w:val="right"/>
              <w:rPr>
                <w:rFonts w:ascii="Arial" w:hAnsi="Arial" w:cs="Arial"/>
                <w:b/>
                <w:bCs/>
                <w:sz w:val="16"/>
                <w:lang w:eastAsia="es-AR"/>
              </w:rPr>
            </w:pPr>
          </w:p>
        </w:tc>
        <w:tc>
          <w:tcPr>
            <w:tcW w:w="708" w:type="pct"/>
            <w:tcBorders>
              <w:top w:val="nil"/>
              <w:left w:val="nil"/>
              <w:bottom w:val="single" w:sz="4" w:space="0" w:color="auto"/>
              <w:right w:val="single" w:sz="4" w:space="0" w:color="auto"/>
            </w:tcBorders>
            <w:shd w:val="clear" w:color="auto" w:fill="auto"/>
            <w:noWrap/>
            <w:vAlign w:val="bottom"/>
          </w:tcPr>
          <w:p w14:paraId="1C0E9548" w14:textId="77777777" w:rsidR="00D17D79" w:rsidRPr="00F30A15" w:rsidRDefault="00D17D79" w:rsidP="00A10D09">
            <w:pPr>
              <w:jc w:val="right"/>
              <w:rPr>
                <w:rFonts w:ascii="Arial" w:hAnsi="Arial" w:cs="Arial"/>
                <w:b/>
                <w:bCs/>
                <w:sz w:val="16"/>
                <w:lang w:eastAsia="es-AR"/>
              </w:rPr>
            </w:pPr>
          </w:p>
        </w:tc>
        <w:tc>
          <w:tcPr>
            <w:tcW w:w="630" w:type="pct"/>
            <w:tcBorders>
              <w:top w:val="nil"/>
              <w:left w:val="nil"/>
              <w:bottom w:val="single" w:sz="4" w:space="0" w:color="auto"/>
              <w:right w:val="single" w:sz="4" w:space="0" w:color="auto"/>
            </w:tcBorders>
            <w:shd w:val="clear" w:color="auto" w:fill="auto"/>
            <w:noWrap/>
            <w:vAlign w:val="bottom"/>
          </w:tcPr>
          <w:p w14:paraId="7681BC60" w14:textId="77777777" w:rsidR="00D17D79" w:rsidRPr="00F30A15" w:rsidRDefault="00D17D79" w:rsidP="00A10D09">
            <w:pPr>
              <w:jc w:val="right"/>
              <w:rPr>
                <w:rFonts w:ascii="Arial" w:hAnsi="Arial" w:cs="Arial"/>
                <w:b/>
                <w:bCs/>
                <w:sz w:val="16"/>
                <w:lang w:eastAsia="es-AR"/>
              </w:rPr>
            </w:pPr>
          </w:p>
        </w:tc>
        <w:tc>
          <w:tcPr>
            <w:tcW w:w="552" w:type="pct"/>
            <w:tcBorders>
              <w:top w:val="nil"/>
              <w:left w:val="nil"/>
              <w:bottom w:val="single" w:sz="4" w:space="0" w:color="auto"/>
              <w:right w:val="single" w:sz="4" w:space="0" w:color="auto"/>
            </w:tcBorders>
            <w:vAlign w:val="bottom"/>
          </w:tcPr>
          <w:p w14:paraId="6A24AB2E" w14:textId="77777777" w:rsidR="00D17D79" w:rsidRPr="00F30A15" w:rsidRDefault="00D17D79" w:rsidP="00A10D09">
            <w:pPr>
              <w:jc w:val="right"/>
              <w:rPr>
                <w:rFonts w:ascii="Arial" w:hAnsi="Arial" w:cs="Arial"/>
                <w:b/>
                <w:bCs/>
                <w:sz w:val="16"/>
                <w:lang w:eastAsia="es-AR"/>
              </w:rPr>
            </w:pPr>
          </w:p>
        </w:tc>
      </w:tr>
      <w:tr w:rsidR="00E94540" w:rsidRPr="00F30A15" w14:paraId="623A4F10" w14:textId="77777777" w:rsidTr="00A10D09">
        <w:trPr>
          <w:trHeight w:val="131"/>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64352F7B" w14:textId="3AC0BAE6" w:rsidR="00E94540" w:rsidRPr="00F30A15" w:rsidRDefault="00E94540" w:rsidP="00992CF2">
            <w:pPr>
              <w:jc w:val="both"/>
              <w:rPr>
                <w:rFonts w:ascii="Arial" w:hAnsi="Arial" w:cs="Arial"/>
                <w:b/>
                <w:bCs/>
                <w:sz w:val="16"/>
                <w:lang w:eastAsia="es-AR"/>
              </w:rPr>
            </w:pPr>
            <w:r w:rsidRPr="00E94540">
              <w:rPr>
                <w:rFonts w:ascii="Arial" w:hAnsi="Arial" w:cs="Arial"/>
                <w:b/>
                <w:bCs/>
                <w:sz w:val="16"/>
                <w:lang w:eastAsia="es-AR"/>
              </w:rPr>
              <w:t xml:space="preserve">- </w:t>
            </w:r>
            <w:r w:rsidRPr="00E94540">
              <w:rPr>
                <w:rFonts w:ascii="Arial" w:hAnsi="Arial" w:cs="Arial"/>
                <w:bCs/>
                <w:sz w:val="16"/>
                <w:lang w:eastAsia="es-AR"/>
              </w:rPr>
              <w:t>Pasivos a valor razonable con cambios en resultados</w:t>
            </w:r>
          </w:p>
        </w:tc>
        <w:tc>
          <w:tcPr>
            <w:tcW w:w="630" w:type="pct"/>
            <w:tcBorders>
              <w:top w:val="nil"/>
              <w:left w:val="nil"/>
              <w:bottom w:val="single" w:sz="4" w:space="0" w:color="auto"/>
              <w:right w:val="single" w:sz="4" w:space="0" w:color="auto"/>
            </w:tcBorders>
            <w:shd w:val="clear" w:color="auto" w:fill="auto"/>
            <w:noWrap/>
            <w:vAlign w:val="bottom"/>
          </w:tcPr>
          <w:p w14:paraId="676B6543" w14:textId="1B8486C7" w:rsidR="00E94540" w:rsidRPr="00E94540" w:rsidRDefault="00F73F7F" w:rsidP="00A10D09">
            <w:pPr>
              <w:jc w:val="right"/>
              <w:rPr>
                <w:rFonts w:ascii="Arial" w:hAnsi="Arial" w:cs="Arial"/>
                <w:bCs/>
                <w:sz w:val="16"/>
                <w:lang w:eastAsia="es-AR"/>
              </w:rPr>
            </w:pPr>
            <w:r w:rsidRPr="00F73F7F">
              <w:rPr>
                <w:rFonts w:ascii="Arial" w:hAnsi="Arial" w:cs="Arial"/>
                <w:bCs/>
                <w:sz w:val="16"/>
                <w:lang w:eastAsia="es-AR"/>
              </w:rPr>
              <w:t>133.300</w:t>
            </w:r>
          </w:p>
        </w:tc>
        <w:tc>
          <w:tcPr>
            <w:tcW w:w="708" w:type="pct"/>
            <w:tcBorders>
              <w:top w:val="nil"/>
              <w:left w:val="nil"/>
              <w:bottom w:val="single" w:sz="4" w:space="0" w:color="auto"/>
              <w:right w:val="single" w:sz="4" w:space="0" w:color="auto"/>
            </w:tcBorders>
            <w:shd w:val="clear" w:color="auto" w:fill="auto"/>
            <w:noWrap/>
            <w:vAlign w:val="bottom"/>
          </w:tcPr>
          <w:p w14:paraId="1E18A48B" w14:textId="4BA40FB3" w:rsidR="00E94540" w:rsidRPr="00E94540" w:rsidRDefault="00E94540" w:rsidP="00A10D09">
            <w:pPr>
              <w:jc w:val="right"/>
              <w:rPr>
                <w:rFonts w:ascii="Arial" w:hAnsi="Arial" w:cs="Arial"/>
                <w:bCs/>
                <w:sz w:val="16"/>
                <w:lang w:eastAsia="es-AR"/>
              </w:rPr>
            </w:pPr>
            <w:r>
              <w:rPr>
                <w:rFonts w:ascii="Arial" w:hAnsi="Arial" w:cs="Arial"/>
                <w:bCs/>
                <w:sz w:val="16"/>
                <w:lang w:eastAsia="es-AR"/>
              </w:rPr>
              <w:t>-</w:t>
            </w:r>
          </w:p>
        </w:tc>
        <w:tc>
          <w:tcPr>
            <w:tcW w:w="630" w:type="pct"/>
            <w:tcBorders>
              <w:top w:val="nil"/>
              <w:left w:val="nil"/>
              <w:bottom w:val="single" w:sz="4" w:space="0" w:color="auto"/>
              <w:right w:val="single" w:sz="4" w:space="0" w:color="auto"/>
            </w:tcBorders>
            <w:shd w:val="clear" w:color="auto" w:fill="auto"/>
            <w:noWrap/>
            <w:vAlign w:val="bottom"/>
          </w:tcPr>
          <w:p w14:paraId="326D1CDF" w14:textId="5602FCAB" w:rsidR="00E94540" w:rsidRPr="00E94540" w:rsidRDefault="00E94540" w:rsidP="00A10D09">
            <w:pPr>
              <w:jc w:val="right"/>
              <w:rPr>
                <w:rFonts w:ascii="Arial" w:hAnsi="Arial" w:cs="Arial"/>
                <w:bCs/>
                <w:sz w:val="16"/>
                <w:lang w:eastAsia="es-AR"/>
              </w:rPr>
            </w:pPr>
            <w:r>
              <w:rPr>
                <w:rFonts w:ascii="Arial" w:hAnsi="Arial" w:cs="Arial"/>
                <w:bCs/>
                <w:sz w:val="16"/>
                <w:lang w:eastAsia="es-AR"/>
              </w:rPr>
              <w:t>-</w:t>
            </w:r>
          </w:p>
        </w:tc>
        <w:tc>
          <w:tcPr>
            <w:tcW w:w="552" w:type="pct"/>
            <w:tcBorders>
              <w:top w:val="nil"/>
              <w:left w:val="nil"/>
              <w:bottom w:val="single" w:sz="4" w:space="0" w:color="auto"/>
              <w:right w:val="single" w:sz="4" w:space="0" w:color="auto"/>
            </w:tcBorders>
            <w:vAlign w:val="bottom"/>
          </w:tcPr>
          <w:p w14:paraId="1EF96F94" w14:textId="4AF594DD" w:rsidR="00E94540" w:rsidRPr="00E94540" w:rsidRDefault="00F73F7F" w:rsidP="00A10D09">
            <w:pPr>
              <w:jc w:val="right"/>
              <w:rPr>
                <w:rFonts w:ascii="Arial" w:hAnsi="Arial" w:cs="Arial"/>
                <w:bCs/>
                <w:sz w:val="16"/>
                <w:lang w:eastAsia="es-AR"/>
              </w:rPr>
            </w:pPr>
            <w:r w:rsidRPr="00F73F7F">
              <w:rPr>
                <w:rFonts w:ascii="Arial" w:hAnsi="Arial" w:cs="Arial"/>
                <w:bCs/>
                <w:sz w:val="16"/>
                <w:lang w:eastAsia="es-AR"/>
              </w:rPr>
              <w:t>133.300</w:t>
            </w:r>
          </w:p>
        </w:tc>
      </w:tr>
      <w:tr w:rsidR="00995365" w:rsidRPr="00F30A15" w14:paraId="46AAC8B8" w14:textId="77777777" w:rsidTr="00A10D09">
        <w:trPr>
          <w:trHeight w:val="117"/>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6B60A012" w14:textId="77777777" w:rsidR="00995365" w:rsidRPr="00F30A15" w:rsidRDefault="00995365" w:rsidP="00627289">
            <w:pPr>
              <w:numPr>
                <w:ilvl w:val="0"/>
                <w:numId w:val="32"/>
              </w:numPr>
              <w:spacing w:after="160" w:line="259" w:lineRule="auto"/>
              <w:ind w:left="66" w:hanging="77"/>
              <w:contextualSpacing/>
              <w:jc w:val="both"/>
              <w:rPr>
                <w:rFonts w:ascii="Arial" w:hAnsi="Arial" w:cs="Arial"/>
                <w:sz w:val="16"/>
                <w:lang w:eastAsia="es-AR"/>
              </w:rPr>
            </w:pPr>
            <w:r w:rsidRPr="00F30A15">
              <w:rPr>
                <w:rFonts w:ascii="Arial" w:hAnsi="Arial" w:cs="Arial"/>
                <w:sz w:val="16"/>
                <w:lang w:eastAsia="es-AR"/>
              </w:rPr>
              <w:t xml:space="preserve"> Otros Pasivos Financieros</w:t>
            </w:r>
          </w:p>
        </w:tc>
        <w:tc>
          <w:tcPr>
            <w:tcW w:w="630" w:type="pct"/>
            <w:tcBorders>
              <w:top w:val="nil"/>
              <w:left w:val="nil"/>
              <w:bottom w:val="single" w:sz="4" w:space="0" w:color="auto"/>
              <w:right w:val="single" w:sz="4" w:space="0" w:color="auto"/>
            </w:tcBorders>
            <w:shd w:val="clear" w:color="auto" w:fill="auto"/>
            <w:noWrap/>
            <w:vAlign w:val="bottom"/>
          </w:tcPr>
          <w:p w14:paraId="74E9CED8" w14:textId="772F6E31" w:rsidR="00995365" w:rsidRPr="00F30A15" w:rsidRDefault="005F7199" w:rsidP="00A10D09">
            <w:pPr>
              <w:jc w:val="right"/>
              <w:rPr>
                <w:rFonts w:ascii="Arial" w:hAnsi="Arial" w:cs="Arial"/>
                <w:sz w:val="16"/>
                <w:szCs w:val="16"/>
                <w:lang w:eastAsia="es-AR"/>
              </w:rPr>
            </w:pPr>
            <w:r w:rsidRPr="005F7199">
              <w:rPr>
                <w:rFonts w:ascii="Arial" w:hAnsi="Arial" w:cs="Arial"/>
                <w:sz w:val="16"/>
                <w:szCs w:val="16"/>
                <w:lang w:eastAsia="es-AR"/>
              </w:rPr>
              <w:t>5.960.022</w:t>
            </w:r>
          </w:p>
        </w:tc>
        <w:tc>
          <w:tcPr>
            <w:tcW w:w="708" w:type="pct"/>
            <w:tcBorders>
              <w:top w:val="nil"/>
              <w:left w:val="nil"/>
              <w:bottom w:val="single" w:sz="4" w:space="0" w:color="auto"/>
              <w:right w:val="single" w:sz="4" w:space="0" w:color="auto"/>
            </w:tcBorders>
            <w:shd w:val="clear" w:color="auto" w:fill="auto"/>
            <w:noWrap/>
            <w:vAlign w:val="bottom"/>
          </w:tcPr>
          <w:p w14:paraId="48B11B7F" w14:textId="6FFB2F39" w:rsidR="00995365" w:rsidRPr="00F30A15" w:rsidRDefault="00E94540" w:rsidP="00A10D09">
            <w:pPr>
              <w:jc w:val="right"/>
              <w:rPr>
                <w:rFonts w:ascii="Arial" w:hAnsi="Arial" w:cs="Arial"/>
                <w:sz w:val="16"/>
                <w:szCs w:val="16"/>
                <w:lang w:eastAsia="es-AR"/>
              </w:rPr>
            </w:pPr>
            <w:r>
              <w:rPr>
                <w:rFonts w:ascii="Arial" w:hAnsi="Arial" w:cs="Arial"/>
                <w:sz w:val="16"/>
                <w:szCs w:val="16"/>
                <w:lang w:eastAsia="es-AR"/>
              </w:rPr>
              <w:t>-</w:t>
            </w:r>
          </w:p>
        </w:tc>
        <w:tc>
          <w:tcPr>
            <w:tcW w:w="630" w:type="pct"/>
            <w:tcBorders>
              <w:top w:val="nil"/>
              <w:left w:val="nil"/>
              <w:bottom w:val="single" w:sz="4" w:space="0" w:color="auto"/>
              <w:right w:val="single" w:sz="4" w:space="0" w:color="auto"/>
            </w:tcBorders>
            <w:shd w:val="clear" w:color="auto" w:fill="auto"/>
            <w:noWrap/>
            <w:vAlign w:val="bottom"/>
          </w:tcPr>
          <w:p w14:paraId="4D78A7AF" w14:textId="72F25710" w:rsidR="00995365" w:rsidRPr="00F30A15" w:rsidRDefault="00E94540" w:rsidP="00A10D09">
            <w:pPr>
              <w:jc w:val="right"/>
              <w:rPr>
                <w:rFonts w:ascii="Arial" w:hAnsi="Arial" w:cs="Arial"/>
                <w:sz w:val="16"/>
                <w:szCs w:val="16"/>
                <w:lang w:eastAsia="es-AR"/>
              </w:rPr>
            </w:pPr>
            <w:r>
              <w:rPr>
                <w:rFonts w:ascii="Arial" w:hAnsi="Arial" w:cs="Arial"/>
                <w:sz w:val="16"/>
                <w:szCs w:val="16"/>
                <w:lang w:eastAsia="es-AR"/>
              </w:rPr>
              <w:t>-</w:t>
            </w:r>
          </w:p>
        </w:tc>
        <w:tc>
          <w:tcPr>
            <w:tcW w:w="552" w:type="pct"/>
            <w:tcBorders>
              <w:top w:val="nil"/>
              <w:left w:val="nil"/>
              <w:bottom w:val="single" w:sz="4" w:space="0" w:color="auto"/>
              <w:right w:val="single" w:sz="4" w:space="0" w:color="auto"/>
            </w:tcBorders>
            <w:vAlign w:val="bottom"/>
          </w:tcPr>
          <w:p w14:paraId="28C5C888" w14:textId="71A35412" w:rsidR="00995365" w:rsidRPr="00F30A15" w:rsidRDefault="005F7199" w:rsidP="00A10D09">
            <w:pPr>
              <w:jc w:val="right"/>
              <w:rPr>
                <w:rFonts w:ascii="Arial" w:eastAsia="Calibri" w:hAnsi="Arial" w:cs="Arial"/>
                <w:color w:val="000000"/>
                <w:sz w:val="16"/>
                <w:szCs w:val="16"/>
              </w:rPr>
            </w:pPr>
            <w:r w:rsidRPr="005F7199">
              <w:rPr>
                <w:rFonts w:ascii="Arial" w:eastAsia="Calibri" w:hAnsi="Arial" w:cs="Arial"/>
                <w:color w:val="000000"/>
                <w:sz w:val="16"/>
                <w:szCs w:val="16"/>
              </w:rPr>
              <w:t>5.960.022</w:t>
            </w:r>
          </w:p>
        </w:tc>
      </w:tr>
      <w:tr w:rsidR="00995365" w:rsidRPr="00F30A15" w14:paraId="7C2FB2B7" w14:textId="77777777" w:rsidTr="00A10D09">
        <w:trPr>
          <w:trHeight w:val="157"/>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20E32758" w14:textId="77777777" w:rsidR="00995365" w:rsidRPr="00F30A15" w:rsidRDefault="00995365" w:rsidP="00995365">
            <w:pPr>
              <w:rPr>
                <w:rFonts w:ascii="Arial" w:hAnsi="Arial" w:cs="Arial"/>
                <w:b/>
                <w:bCs/>
                <w:sz w:val="16"/>
                <w:lang w:eastAsia="es-AR"/>
              </w:rPr>
            </w:pPr>
            <w:r w:rsidRPr="00F30A15">
              <w:rPr>
                <w:rFonts w:ascii="Arial" w:hAnsi="Arial" w:cs="Arial"/>
                <w:b/>
                <w:bCs/>
                <w:sz w:val="16"/>
                <w:lang w:eastAsia="es-AR"/>
              </w:rPr>
              <w:t>Total Pasivo</w:t>
            </w:r>
          </w:p>
        </w:tc>
        <w:tc>
          <w:tcPr>
            <w:tcW w:w="630" w:type="pct"/>
            <w:tcBorders>
              <w:top w:val="nil"/>
              <w:left w:val="nil"/>
              <w:bottom w:val="single" w:sz="4" w:space="0" w:color="auto"/>
              <w:right w:val="single" w:sz="4" w:space="0" w:color="auto"/>
            </w:tcBorders>
            <w:shd w:val="clear" w:color="auto" w:fill="auto"/>
            <w:noWrap/>
            <w:vAlign w:val="bottom"/>
          </w:tcPr>
          <w:p w14:paraId="45690F0B" w14:textId="21DD2390" w:rsidR="00995365" w:rsidRPr="00F30A15" w:rsidRDefault="005F7199" w:rsidP="00A10D09">
            <w:pPr>
              <w:jc w:val="right"/>
              <w:rPr>
                <w:rFonts w:ascii="Arial" w:hAnsi="Arial" w:cs="Arial"/>
                <w:b/>
                <w:bCs/>
                <w:sz w:val="16"/>
                <w:szCs w:val="16"/>
                <w:lang w:eastAsia="es-AR"/>
              </w:rPr>
            </w:pPr>
            <w:r w:rsidRPr="005F7199">
              <w:rPr>
                <w:rFonts w:ascii="Arial" w:hAnsi="Arial" w:cs="Arial"/>
                <w:b/>
                <w:bCs/>
                <w:sz w:val="16"/>
                <w:szCs w:val="16"/>
                <w:lang w:eastAsia="es-AR"/>
              </w:rPr>
              <w:t>6.093.322</w:t>
            </w:r>
          </w:p>
        </w:tc>
        <w:tc>
          <w:tcPr>
            <w:tcW w:w="708" w:type="pct"/>
            <w:tcBorders>
              <w:top w:val="nil"/>
              <w:left w:val="nil"/>
              <w:bottom w:val="single" w:sz="4" w:space="0" w:color="auto"/>
              <w:right w:val="single" w:sz="4" w:space="0" w:color="auto"/>
            </w:tcBorders>
            <w:shd w:val="clear" w:color="auto" w:fill="auto"/>
            <w:noWrap/>
            <w:vAlign w:val="bottom"/>
          </w:tcPr>
          <w:p w14:paraId="6A72FC0D" w14:textId="124F9ED0" w:rsidR="00995365" w:rsidRPr="00F30A15" w:rsidRDefault="00E94540" w:rsidP="00A10D09">
            <w:pPr>
              <w:jc w:val="right"/>
              <w:rPr>
                <w:rFonts w:ascii="Arial" w:eastAsia="Calibri" w:hAnsi="Arial" w:cs="Arial"/>
                <w:b/>
                <w:bCs/>
                <w:color w:val="000000"/>
                <w:sz w:val="16"/>
                <w:szCs w:val="16"/>
              </w:rPr>
            </w:pPr>
            <w:r>
              <w:rPr>
                <w:rFonts w:ascii="Arial" w:eastAsia="Calibri" w:hAnsi="Arial" w:cs="Arial"/>
                <w:b/>
                <w:bCs/>
                <w:color w:val="000000"/>
                <w:sz w:val="16"/>
                <w:szCs w:val="16"/>
              </w:rPr>
              <w:t>-</w:t>
            </w:r>
          </w:p>
        </w:tc>
        <w:tc>
          <w:tcPr>
            <w:tcW w:w="630" w:type="pct"/>
            <w:tcBorders>
              <w:top w:val="nil"/>
              <w:left w:val="nil"/>
              <w:bottom w:val="single" w:sz="4" w:space="0" w:color="auto"/>
              <w:right w:val="single" w:sz="4" w:space="0" w:color="auto"/>
            </w:tcBorders>
            <w:shd w:val="clear" w:color="auto" w:fill="auto"/>
            <w:noWrap/>
            <w:vAlign w:val="bottom"/>
          </w:tcPr>
          <w:p w14:paraId="583C5D81" w14:textId="1B10EA1F" w:rsidR="00995365" w:rsidRPr="00F30A15" w:rsidRDefault="00E94540" w:rsidP="00A10D09">
            <w:pPr>
              <w:jc w:val="right"/>
              <w:rPr>
                <w:rFonts w:ascii="Arial" w:hAnsi="Arial" w:cs="Arial"/>
                <w:b/>
                <w:bCs/>
                <w:sz w:val="16"/>
                <w:szCs w:val="16"/>
                <w:lang w:eastAsia="es-AR"/>
              </w:rPr>
            </w:pPr>
            <w:r>
              <w:rPr>
                <w:rFonts w:ascii="Arial" w:hAnsi="Arial" w:cs="Arial"/>
                <w:b/>
                <w:bCs/>
                <w:sz w:val="16"/>
                <w:szCs w:val="16"/>
                <w:lang w:eastAsia="es-AR"/>
              </w:rPr>
              <w:t>-</w:t>
            </w:r>
          </w:p>
        </w:tc>
        <w:tc>
          <w:tcPr>
            <w:tcW w:w="552" w:type="pct"/>
            <w:tcBorders>
              <w:top w:val="nil"/>
              <w:left w:val="nil"/>
              <w:bottom w:val="single" w:sz="4" w:space="0" w:color="auto"/>
              <w:right w:val="single" w:sz="4" w:space="0" w:color="auto"/>
            </w:tcBorders>
            <w:vAlign w:val="bottom"/>
          </w:tcPr>
          <w:p w14:paraId="1EDC1574" w14:textId="3BAA09E1" w:rsidR="00995365" w:rsidRPr="00F30A15" w:rsidRDefault="005F7199" w:rsidP="00A10D09">
            <w:pPr>
              <w:jc w:val="right"/>
              <w:rPr>
                <w:rFonts w:ascii="Arial" w:hAnsi="Arial" w:cs="Arial"/>
                <w:b/>
                <w:bCs/>
                <w:sz w:val="16"/>
                <w:szCs w:val="16"/>
                <w:lang w:eastAsia="es-AR"/>
              </w:rPr>
            </w:pPr>
            <w:r w:rsidRPr="005F7199">
              <w:rPr>
                <w:rFonts w:ascii="Arial" w:hAnsi="Arial" w:cs="Arial"/>
                <w:b/>
                <w:bCs/>
                <w:sz w:val="16"/>
                <w:szCs w:val="16"/>
                <w:lang w:eastAsia="es-AR"/>
              </w:rPr>
              <w:t>6.093.322</w:t>
            </w:r>
          </w:p>
        </w:tc>
      </w:tr>
    </w:tbl>
    <w:p w14:paraId="769B8FAC" w14:textId="53445418" w:rsidR="00F30A15" w:rsidRPr="00F30A15" w:rsidRDefault="00F30A15" w:rsidP="00656E62">
      <w:pPr>
        <w:spacing w:after="160" w:line="259" w:lineRule="auto"/>
        <w:jc w:val="both"/>
        <w:rPr>
          <w:rFonts w:ascii="Arial" w:eastAsia="Calibri" w:hAnsi="Arial" w:cs="Arial"/>
          <w:bCs/>
          <w:sz w:val="20"/>
        </w:rPr>
      </w:pPr>
    </w:p>
    <w:tbl>
      <w:tblPr>
        <w:tblW w:w="5206" w:type="pct"/>
        <w:tblLayout w:type="fixed"/>
        <w:tblCellMar>
          <w:left w:w="70" w:type="dxa"/>
          <w:right w:w="70" w:type="dxa"/>
        </w:tblCellMar>
        <w:tblLook w:val="04A0" w:firstRow="1" w:lastRow="0" w:firstColumn="1" w:lastColumn="0" w:noHBand="0" w:noVBand="1"/>
      </w:tblPr>
      <w:tblGrid>
        <w:gridCol w:w="4465"/>
        <w:gridCol w:w="1150"/>
        <w:gridCol w:w="1154"/>
        <w:gridCol w:w="1240"/>
        <w:gridCol w:w="992"/>
      </w:tblGrid>
      <w:tr w:rsidR="00F30A15" w:rsidRPr="00701F32" w14:paraId="087B0395" w14:textId="77777777" w:rsidTr="0035700B">
        <w:trPr>
          <w:trHeight w:val="244"/>
          <w:tblHeader/>
        </w:trPr>
        <w:tc>
          <w:tcPr>
            <w:tcW w:w="2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6581D" w14:textId="77777777" w:rsidR="00F30A15" w:rsidRPr="00F30A15" w:rsidRDefault="00F30A15" w:rsidP="00F30A15">
            <w:pPr>
              <w:jc w:val="both"/>
              <w:rPr>
                <w:rFonts w:ascii="Arial" w:hAnsi="Arial" w:cs="Arial"/>
                <w:b/>
                <w:sz w:val="16"/>
                <w:szCs w:val="16"/>
                <w:lang w:eastAsia="es-AR"/>
              </w:rPr>
            </w:pPr>
            <w:r w:rsidRPr="00F30A15">
              <w:rPr>
                <w:rFonts w:ascii="Arial" w:eastAsia="Calibri" w:hAnsi="Arial" w:cs="Arial"/>
                <w:bCs/>
                <w:sz w:val="16"/>
                <w:szCs w:val="16"/>
              </w:rPr>
              <w:br w:type="page"/>
            </w:r>
            <w:r w:rsidRPr="00F30A15">
              <w:rPr>
                <w:rFonts w:ascii="Arial" w:hAnsi="Arial" w:cs="Arial"/>
                <w:b/>
                <w:sz w:val="16"/>
                <w:szCs w:val="16"/>
                <w:lang w:eastAsia="es-AR"/>
              </w:rPr>
              <w:t>Cartera de instrumentos al 31/12/2018</w:t>
            </w:r>
          </w:p>
        </w:tc>
        <w:tc>
          <w:tcPr>
            <w:tcW w:w="639" w:type="pct"/>
            <w:tcBorders>
              <w:top w:val="single" w:sz="4" w:space="0" w:color="auto"/>
              <w:left w:val="nil"/>
              <w:bottom w:val="single" w:sz="4" w:space="0" w:color="auto"/>
              <w:right w:val="single" w:sz="4" w:space="0" w:color="auto"/>
            </w:tcBorders>
            <w:shd w:val="clear" w:color="auto" w:fill="auto"/>
            <w:noWrap/>
            <w:vAlign w:val="bottom"/>
            <w:hideMark/>
          </w:tcPr>
          <w:p w14:paraId="52BF3730" w14:textId="77777777" w:rsidR="00F30A15" w:rsidRPr="00F30A15" w:rsidRDefault="00F30A15" w:rsidP="00F30A15">
            <w:pPr>
              <w:jc w:val="center"/>
              <w:rPr>
                <w:rFonts w:ascii="Arial" w:hAnsi="Arial" w:cs="Arial"/>
                <w:b/>
                <w:sz w:val="16"/>
                <w:szCs w:val="16"/>
                <w:lang w:eastAsia="es-AR"/>
              </w:rPr>
            </w:pPr>
            <w:r w:rsidRPr="00F30A15">
              <w:rPr>
                <w:rFonts w:ascii="Arial" w:hAnsi="Arial" w:cs="Arial"/>
                <w:b/>
                <w:sz w:val="16"/>
                <w:szCs w:val="16"/>
                <w:lang w:eastAsia="es-AR"/>
              </w:rPr>
              <w:t>VR nivel 1</w:t>
            </w:r>
          </w:p>
        </w:tc>
        <w:tc>
          <w:tcPr>
            <w:tcW w:w="641" w:type="pct"/>
            <w:tcBorders>
              <w:top w:val="single" w:sz="4" w:space="0" w:color="auto"/>
              <w:left w:val="nil"/>
              <w:bottom w:val="single" w:sz="4" w:space="0" w:color="auto"/>
              <w:right w:val="single" w:sz="4" w:space="0" w:color="auto"/>
            </w:tcBorders>
            <w:shd w:val="clear" w:color="auto" w:fill="auto"/>
            <w:noWrap/>
            <w:vAlign w:val="bottom"/>
            <w:hideMark/>
          </w:tcPr>
          <w:p w14:paraId="0CB50096" w14:textId="77777777" w:rsidR="00F30A15" w:rsidRPr="00F30A15" w:rsidRDefault="00F30A15" w:rsidP="00F30A15">
            <w:pPr>
              <w:jc w:val="center"/>
              <w:rPr>
                <w:rFonts w:ascii="Arial" w:hAnsi="Arial" w:cs="Arial"/>
                <w:b/>
                <w:sz w:val="16"/>
                <w:szCs w:val="16"/>
                <w:lang w:eastAsia="es-AR"/>
              </w:rPr>
            </w:pPr>
            <w:r w:rsidRPr="00F30A15">
              <w:rPr>
                <w:rFonts w:ascii="Arial" w:hAnsi="Arial" w:cs="Arial"/>
                <w:b/>
                <w:sz w:val="16"/>
                <w:szCs w:val="16"/>
                <w:lang w:eastAsia="es-AR"/>
              </w:rPr>
              <w:t>VR nivel 2</w:t>
            </w:r>
          </w:p>
        </w:tc>
        <w:tc>
          <w:tcPr>
            <w:tcW w:w="689" w:type="pct"/>
            <w:tcBorders>
              <w:top w:val="single" w:sz="4" w:space="0" w:color="auto"/>
              <w:left w:val="nil"/>
              <w:bottom w:val="single" w:sz="4" w:space="0" w:color="auto"/>
              <w:right w:val="single" w:sz="4" w:space="0" w:color="auto"/>
            </w:tcBorders>
            <w:shd w:val="clear" w:color="auto" w:fill="auto"/>
            <w:noWrap/>
            <w:vAlign w:val="bottom"/>
            <w:hideMark/>
          </w:tcPr>
          <w:p w14:paraId="16E42D4C" w14:textId="77777777" w:rsidR="00F30A15" w:rsidRPr="00F30A15" w:rsidRDefault="00F30A15" w:rsidP="00F30A15">
            <w:pPr>
              <w:jc w:val="center"/>
              <w:rPr>
                <w:rFonts w:ascii="Arial" w:hAnsi="Arial" w:cs="Arial"/>
                <w:b/>
                <w:sz w:val="16"/>
                <w:szCs w:val="16"/>
                <w:lang w:eastAsia="es-AR"/>
              </w:rPr>
            </w:pPr>
            <w:r w:rsidRPr="00F30A15">
              <w:rPr>
                <w:rFonts w:ascii="Arial" w:hAnsi="Arial" w:cs="Arial"/>
                <w:b/>
                <w:sz w:val="16"/>
                <w:szCs w:val="16"/>
                <w:lang w:eastAsia="es-AR"/>
              </w:rPr>
              <w:t>VR nivel 3</w:t>
            </w:r>
          </w:p>
        </w:tc>
        <w:tc>
          <w:tcPr>
            <w:tcW w:w="551" w:type="pct"/>
            <w:tcBorders>
              <w:top w:val="single" w:sz="4" w:space="0" w:color="auto"/>
              <w:left w:val="nil"/>
              <w:bottom w:val="single" w:sz="4" w:space="0" w:color="auto"/>
              <w:right w:val="single" w:sz="4" w:space="0" w:color="auto"/>
            </w:tcBorders>
            <w:vAlign w:val="center"/>
          </w:tcPr>
          <w:p w14:paraId="4AAA75EE" w14:textId="77777777" w:rsidR="00F30A15" w:rsidRPr="00F30A15" w:rsidRDefault="00F30A15" w:rsidP="00F30A15">
            <w:pPr>
              <w:jc w:val="center"/>
              <w:rPr>
                <w:rFonts w:ascii="Arial" w:hAnsi="Arial" w:cs="Arial"/>
                <w:b/>
                <w:sz w:val="16"/>
                <w:szCs w:val="16"/>
                <w:lang w:eastAsia="es-AR"/>
              </w:rPr>
            </w:pPr>
            <w:r w:rsidRPr="00F30A15">
              <w:rPr>
                <w:rFonts w:ascii="Arial" w:hAnsi="Arial" w:cs="Arial"/>
                <w:b/>
                <w:sz w:val="16"/>
                <w:szCs w:val="16"/>
                <w:lang w:eastAsia="es-AR"/>
              </w:rPr>
              <w:t>Total</w:t>
            </w:r>
          </w:p>
        </w:tc>
      </w:tr>
      <w:tr w:rsidR="00F30A15" w:rsidRPr="00701F32" w14:paraId="08E179B2"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72450F9E" w14:textId="77777777" w:rsidR="00F30A15" w:rsidRPr="00F30A15" w:rsidRDefault="00F30A15" w:rsidP="00F30A15">
            <w:pPr>
              <w:jc w:val="both"/>
              <w:rPr>
                <w:rFonts w:ascii="Arial" w:hAnsi="Arial" w:cs="Arial"/>
                <w:b/>
                <w:bCs/>
                <w:sz w:val="16"/>
                <w:szCs w:val="16"/>
                <w:lang w:eastAsia="es-AR"/>
              </w:rPr>
            </w:pPr>
            <w:r w:rsidRPr="00F30A15">
              <w:rPr>
                <w:rFonts w:ascii="Arial" w:hAnsi="Arial" w:cs="Arial"/>
                <w:b/>
                <w:bCs/>
                <w:sz w:val="16"/>
                <w:szCs w:val="16"/>
                <w:lang w:eastAsia="es-AR"/>
              </w:rPr>
              <w:t>Activos</w:t>
            </w:r>
          </w:p>
        </w:tc>
        <w:tc>
          <w:tcPr>
            <w:tcW w:w="639" w:type="pct"/>
            <w:tcBorders>
              <w:top w:val="nil"/>
              <w:left w:val="nil"/>
              <w:bottom w:val="single" w:sz="4" w:space="0" w:color="auto"/>
              <w:right w:val="single" w:sz="4" w:space="0" w:color="auto"/>
            </w:tcBorders>
            <w:shd w:val="clear" w:color="auto" w:fill="auto"/>
            <w:noWrap/>
            <w:vAlign w:val="bottom"/>
            <w:hideMark/>
          </w:tcPr>
          <w:p w14:paraId="5E750BD8" w14:textId="77777777" w:rsidR="00F30A15" w:rsidRPr="00F30A15" w:rsidRDefault="00F30A15" w:rsidP="00F30A15">
            <w:pPr>
              <w:jc w:val="right"/>
              <w:rPr>
                <w:rFonts w:ascii="Arial" w:hAnsi="Arial" w:cs="Arial"/>
                <w:b/>
                <w:bCs/>
                <w:sz w:val="16"/>
                <w:szCs w:val="16"/>
                <w:lang w:val="es-ES_tradnl" w:eastAsia="es-AR"/>
              </w:rPr>
            </w:pPr>
            <w:r w:rsidRPr="00F30A15">
              <w:rPr>
                <w:rFonts w:ascii="Arial" w:hAnsi="Arial" w:cs="Arial"/>
                <w:b/>
                <w:bCs/>
                <w:sz w:val="16"/>
                <w:szCs w:val="16"/>
                <w:lang w:eastAsia="es-AR"/>
              </w:rPr>
              <w:t> </w:t>
            </w:r>
          </w:p>
        </w:tc>
        <w:tc>
          <w:tcPr>
            <w:tcW w:w="641" w:type="pct"/>
            <w:tcBorders>
              <w:top w:val="nil"/>
              <w:left w:val="nil"/>
              <w:bottom w:val="single" w:sz="4" w:space="0" w:color="auto"/>
              <w:right w:val="single" w:sz="4" w:space="0" w:color="auto"/>
            </w:tcBorders>
            <w:shd w:val="clear" w:color="auto" w:fill="auto"/>
            <w:noWrap/>
            <w:vAlign w:val="bottom"/>
            <w:hideMark/>
          </w:tcPr>
          <w:p w14:paraId="4B544997" w14:textId="77777777" w:rsidR="00F30A15" w:rsidRPr="00F30A15" w:rsidRDefault="00F30A15" w:rsidP="00F30A15">
            <w:pPr>
              <w:jc w:val="right"/>
              <w:rPr>
                <w:rFonts w:ascii="Arial" w:hAnsi="Arial" w:cs="Arial"/>
                <w:b/>
                <w:bCs/>
                <w:sz w:val="16"/>
                <w:szCs w:val="16"/>
                <w:lang w:val="es-ES_tradnl" w:eastAsia="es-AR"/>
              </w:rPr>
            </w:pPr>
            <w:r w:rsidRPr="00F30A15">
              <w:rPr>
                <w:rFonts w:ascii="Arial" w:hAnsi="Arial" w:cs="Arial"/>
                <w:b/>
                <w:bCs/>
                <w:sz w:val="16"/>
                <w:szCs w:val="16"/>
                <w:lang w:eastAsia="es-AR"/>
              </w:rPr>
              <w:t> </w:t>
            </w:r>
          </w:p>
        </w:tc>
        <w:tc>
          <w:tcPr>
            <w:tcW w:w="689" w:type="pct"/>
            <w:tcBorders>
              <w:top w:val="nil"/>
              <w:left w:val="nil"/>
              <w:bottom w:val="single" w:sz="4" w:space="0" w:color="auto"/>
              <w:right w:val="single" w:sz="4" w:space="0" w:color="auto"/>
            </w:tcBorders>
            <w:shd w:val="clear" w:color="auto" w:fill="auto"/>
            <w:noWrap/>
            <w:vAlign w:val="bottom"/>
            <w:hideMark/>
          </w:tcPr>
          <w:p w14:paraId="7B9803D0" w14:textId="77777777" w:rsidR="00F30A15" w:rsidRPr="00F30A15" w:rsidRDefault="00F30A15" w:rsidP="00F30A15">
            <w:pPr>
              <w:jc w:val="right"/>
              <w:rPr>
                <w:rFonts w:ascii="Arial" w:hAnsi="Arial" w:cs="Arial"/>
                <w:b/>
                <w:bCs/>
                <w:sz w:val="16"/>
                <w:szCs w:val="16"/>
                <w:lang w:val="es-ES_tradnl" w:eastAsia="es-AR"/>
              </w:rPr>
            </w:pPr>
            <w:r w:rsidRPr="00F30A15">
              <w:rPr>
                <w:rFonts w:ascii="Arial" w:hAnsi="Arial" w:cs="Arial"/>
                <w:b/>
                <w:bCs/>
                <w:sz w:val="16"/>
                <w:szCs w:val="16"/>
                <w:lang w:eastAsia="es-AR"/>
              </w:rPr>
              <w:t> </w:t>
            </w:r>
          </w:p>
        </w:tc>
        <w:tc>
          <w:tcPr>
            <w:tcW w:w="551" w:type="pct"/>
            <w:tcBorders>
              <w:top w:val="nil"/>
              <w:left w:val="nil"/>
              <w:bottom w:val="single" w:sz="4" w:space="0" w:color="auto"/>
              <w:right w:val="single" w:sz="4" w:space="0" w:color="auto"/>
            </w:tcBorders>
            <w:vAlign w:val="bottom"/>
          </w:tcPr>
          <w:p w14:paraId="11D73A3A" w14:textId="77777777" w:rsidR="00F30A15" w:rsidRPr="00F30A15" w:rsidRDefault="00F30A15" w:rsidP="00F30A15">
            <w:pPr>
              <w:jc w:val="right"/>
              <w:rPr>
                <w:rFonts w:ascii="Arial" w:hAnsi="Arial" w:cs="Arial"/>
                <w:b/>
                <w:bCs/>
                <w:sz w:val="16"/>
                <w:szCs w:val="16"/>
                <w:lang w:eastAsia="es-AR"/>
              </w:rPr>
            </w:pPr>
          </w:p>
        </w:tc>
      </w:tr>
      <w:tr w:rsidR="0035700B" w:rsidRPr="00701F32" w14:paraId="124FC247"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4D066519" w14:textId="133B6BE3" w:rsidR="0035700B" w:rsidRPr="00F30A15" w:rsidRDefault="0035700B" w:rsidP="0035700B">
            <w:pPr>
              <w:jc w:val="both"/>
              <w:rPr>
                <w:rFonts w:ascii="Arial" w:hAnsi="Arial" w:cs="Arial"/>
                <w:sz w:val="16"/>
                <w:szCs w:val="16"/>
                <w:lang w:eastAsia="es-AR"/>
              </w:rPr>
            </w:pPr>
            <w:r w:rsidRPr="00F30A15">
              <w:rPr>
                <w:rFonts w:ascii="Arial" w:hAnsi="Arial" w:cs="Arial"/>
                <w:sz w:val="16"/>
                <w:szCs w:val="16"/>
                <w:lang w:eastAsia="es-AR"/>
              </w:rPr>
              <w:t>- Efectivo y depósitos en bancos</w:t>
            </w:r>
          </w:p>
        </w:tc>
        <w:tc>
          <w:tcPr>
            <w:tcW w:w="639" w:type="pct"/>
            <w:tcBorders>
              <w:top w:val="nil"/>
              <w:left w:val="nil"/>
              <w:bottom w:val="single" w:sz="4" w:space="0" w:color="auto"/>
              <w:right w:val="single" w:sz="4" w:space="0" w:color="auto"/>
            </w:tcBorders>
            <w:shd w:val="clear" w:color="auto" w:fill="auto"/>
            <w:noWrap/>
            <w:vAlign w:val="bottom"/>
          </w:tcPr>
          <w:p w14:paraId="09615C35" w14:textId="0549C9EB" w:rsidR="0035700B" w:rsidRPr="00F30A15" w:rsidRDefault="0035700B" w:rsidP="0035700B">
            <w:pPr>
              <w:jc w:val="right"/>
              <w:rPr>
                <w:rFonts w:ascii="Arial" w:hAnsi="Arial" w:cs="Arial"/>
                <w:sz w:val="16"/>
                <w:szCs w:val="16"/>
              </w:rPr>
            </w:pPr>
            <w:r w:rsidRPr="004D4808">
              <w:rPr>
                <w:rFonts w:ascii="Arial" w:eastAsia="Calibri" w:hAnsi="Arial" w:cs="Arial"/>
                <w:color w:val="000000"/>
                <w:sz w:val="16"/>
              </w:rPr>
              <w:t>10.399</w:t>
            </w:r>
          </w:p>
        </w:tc>
        <w:tc>
          <w:tcPr>
            <w:tcW w:w="641" w:type="pct"/>
            <w:tcBorders>
              <w:top w:val="nil"/>
              <w:left w:val="nil"/>
              <w:bottom w:val="single" w:sz="4" w:space="0" w:color="auto"/>
              <w:right w:val="single" w:sz="4" w:space="0" w:color="auto"/>
            </w:tcBorders>
            <w:shd w:val="clear" w:color="auto" w:fill="auto"/>
            <w:noWrap/>
            <w:vAlign w:val="bottom"/>
          </w:tcPr>
          <w:p w14:paraId="771B14D9" w14:textId="7AD3F34A" w:rsidR="0035700B" w:rsidRPr="00F30A15" w:rsidRDefault="0035700B" w:rsidP="0035700B">
            <w:pPr>
              <w:jc w:val="right"/>
              <w:rPr>
                <w:rFonts w:ascii="Arial" w:hAnsi="Arial" w:cs="Arial"/>
                <w:sz w:val="16"/>
                <w:szCs w:val="16"/>
              </w:rPr>
            </w:pPr>
            <w:r w:rsidRPr="004D4808">
              <w:rPr>
                <w:rFonts w:ascii="Arial" w:eastAsia="Calibri" w:hAnsi="Arial" w:cs="Arial"/>
                <w:color w:val="000000"/>
                <w:sz w:val="16"/>
              </w:rPr>
              <w:t>-</w:t>
            </w:r>
          </w:p>
        </w:tc>
        <w:tc>
          <w:tcPr>
            <w:tcW w:w="689" w:type="pct"/>
            <w:tcBorders>
              <w:top w:val="nil"/>
              <w:left w:val="nil"/>
              <w:bottom w:val="single" w:sz="4" w:space="0" w:color="auto"/>
              <w:right w:val="single" w:sz="4" w:space="0" w:color="auto"/>
            </w:tcBorders>
            <w:shd w:val="clear" w:color="auto" w:fill="auto"/>
            <w:noWrap/>
            <w:vAlign w:val="bottom"/>
          </w:tcPr>
          <w:p w14:paraId="64FBC07E" w14:textId="3029638E" w:rsidR="0035700B" w:rsidRPr="00F30A15" w:rsidRDefault="0035700B" w:rsidP="0035700B">
            <w:pPr>
              <w:jc w:val="right"/>
              <w:rPr>
                <w:rFonts w:ascii="Arial" w:hAnsi="Arial" w:cs="Arial"/>
                <w:sz w:val="16"/>
                <w:szCs w:val="16"/>
              </w:rPr>
            </w:pPr>
            <w:r w:rsidRPr="004D4808">
              <w:rPr>
                <w:rFonts w:ascii="Arial" w:eastAsia="Calibri" w:hAnsi="Arial" w:cs="Arial"/>
                <w:color w:val="000000"/>
                <w:sz w:val="16"/>
              </w:rPr>
              <w:t>-</w:t>
            </w:r>
          </w:p>
        </w:tc>
        <w:tc>
          <w:tcPr>
            <w:tcW w:w="551" w:type="pct"/>
            <w:tcBorders>
              <w:top w:val="nil"/>
              <w:left w:val="nil"/>
              <w:bottom w:val="single" w:sz="4" w:space="0" w:color="auto"/>
              <w:right w:val="single" w:sz="4" w:space="0" w:color="auto"/>
            </w:tcBorders>
            <w:vAlign w:val="bottom"/>
          </w:tcPr>
          <w:p w14:paraId="29147EC3" w14:textId="3EDD1A39" w:rsidR="0035700B" w:rsidRPr="00F30A15" w:rsidRDefault="0035700B" w:rsidP="0035700B">
            <w:pPr>
              <w:jc w:val="right"/>
              <w:rPr>
                <w:rFonts w:ascii="Arial" w:hAnsi="Arial" w:cs="Arial"/>
                <w:sz w:val="16"/>
                <w:szCs w:val="16"/>
              </w:rPr>
            </w:pPr>
            <w:r w:rsidRPr="004D4808">
              <w:rPr>
                <w:rFonts w:ascii="Arial" w:eastAsia="Calibri" w:hAnsi="Arial" w:cs="Arial"/>
                <w:color w:val="000000"/>
                <w:sz w:val="16"/>
              </w:rPr>
              <w:t>10.399</w:t>
            </w:r>
          </w:p>
        </w:tc>
      </w:tr>
      <w:tr w:rsidR="0035700B" w:rsidRPr="00701F32" w14:paraId="3D1F6CD1"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18DCE38E" w14:textId="4A365C51" w:rsidR="0035700B" w:rsidRPr="00F30A15" w:rsidRDefault="0035700B" w:rsidP="0035700B">
            <w:pPr>
              <w:jc w:val="both"/>
              <w:rPr>
                <w:rFonts w:ascii="Arial" w:hAnsi="Arial" w:cs="Arial"/>
                <w:sz w:val="16"/>
                <w:szCs w:val="16"/>
                <w:lang w:eastAsia="es-AR"/>
              </w:rPr>
            </w:pPr>
            <w:r w:rsidRPr="00F30A15">
              <w:rPr>
                <w:rFonts w:ascii="Arial" w:hAnsi="Arial" w:cs="Arial"/>
                <w:sz w:val="16"/>
                <w:szCs w:val="16"/>
                <w:lang w:eastAsia="es-AR"/>
              </w:rPr>
              <w:t>- Títulos de Deuda a Valor Razonable con Cambio</w:t>
            </w:r>
            <w:r>
              <w:rPr>
                <w:rFonts w:ascii="Arial" w:hAnsi="Arial" w:cs="Arial"/>
                <w:sz w:val="16"/>
                <w:szCs w:val="16"/>
                <w:lang w:eastAsia="es-AR"/>
              </w:rPr>
              <w:t>s</w:t>
            </w:r>
            <w:r w:rsidRPr="00F30A15">
              <w:rPr>
                <w:rFonts w:ascii="Arial" w:hAnsi="Arial" w:cs="Arial"/>
                <w:sz w:val="16"/>
                <w:szCs w:val="16"/>
                <w:lang w:eastAsia="es-AR"/>
              </w:rPr>
              <w:t xml:space="preserve"> en Resultados</w:t>
            </w:r>
          </w:p>
        </w:tc>
        <w:tc>
          <w:tcPr>
            <w:tcW w:w="639" w:type="pct"/>
            <w:tcBorders>
              <w:top w:val="nil"/>
              <w:left w:val="nil"/>
              <w:bottom w:val="single" w:sz="4" w:space="0" w:color="auto"/>
              <w:right w:val="single" w:sz="4" w:space="0" w:color="auto"/>
            </w:tcBorders>
            <w:shd w:val="clear" w:color="auto" w:fill="auto"/>
            <w:noWrap/>
            <w:vAlign w:val="bottom"/>
            <w:hideMark/>
          </w:tcPr>
          <w:p w14:paraId="6D12762E" w14:textId="4343DC2A"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3.574.397</w:t>
            </w:r>
          </w:p>
        </w:tc>
        <w:tc>
          <w:tcPr>
            <w:tcW w:w="641" w:type="pct"/>
            <w:tcBorders>
              <w:top w:val="nil"/>
              <w:left w:val="nil"/>
              <w:bottom w:val="single" w:sz="4" w:space="0" w:color="auto"/>
              <w:right w:val="single" w:sz="4" w:space="0" w:color="auto"/>
            </w:tcBorders>
            <w:shd w:val="clear" w:color="auto" w:fill="auto"/>
            <w:noWrap/>
            <w:vAlign w:val="bottom"/>
            <w:hideMark/>
          </w:tcPr>
          <w:p w14:paraId="784CBA5E" w14:textId="1D6220D6"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11.366.893</w:t>
            </w:r>
          </w:p>
        </w:tc>
        <w:tc>
          <w:tcPr>
            <w:tcW w:w="689" w:type="pct"/>
            <w:tcBorders>
              <w:top w:val="nil"/>
              <w:left w:val="nil"/>
              <w:bottom w:val="single" w:sz="4" w:space="0" w:color="auto"/>
              <w:right w:val="single" w:sz="4" w:space="0" w:color="auto"/>
            </w:tcBorders>
            <w:shd w:val="clear" w:color="auto" w:fill="auto"/>
            <w:noWrap/>
            <w:vAlign w:val="bottom"/>
            <w:hideMark/>
          </w:tcPr>
          <w:p w14:paraId="3296AB80" w14:textId="58926298"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551" w:type="pct"/>
            <w:tcBorders>
              <w:top w:val="nil"/>
              <w:left w:val="nil"/>
              <w:bottom w:val="single" w:sz="4" w:space="0" w:color="auto"/>
              <w:right w:val="single" w:sz="4" w:space="0" w:color="auto"/>
            </w:tcBorders>
            <w:vAlign w:val="bottom"/>
          </w:tcPr>
          <w:p w14:paraId="593E1102" w14:textId="02DD4B8C" w:rsidR="0035700B" w:rsidRPr="00F30A15" w:rsidRDefault="0035700B" w:rsidP="0035700B">
            <w:pPr>
              <w:jc w:val="right"/>
              <w:rPr>
                <w:rFonts w:ascii="Arial" w:eastAsia="Calibri" w:hAnsi="Arial" w:cs="Arial"/>
                <w:color w:val="000000"/>
                <w:sz w:val="16"/>
                <w:szCs w:val="16"/>
              </w:rPr>
            </w:pPr>
            <w:r w:rsidRPr="004D4808">
              <w:rPr>
                <w:rFonts w:ascii="Arial" w:eastAsia="Calibri" w:hAnsi="Arial" w:cs="Arial"/>
                <w:color w:val="000000"/>
                <w:sz w:val="16"/>
              </w:rPr>
              <w:t>14.941.290</w:t>
            </w:r>
          </w:p>
        </w:tc>
      </w:tr>
      <w:tr w:rsidR="0035700B" w:rsidRPr="00701F32" w14:paraId="1B0695DE"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799E67C3" w14:textId="77777777" w:rsidR="0035700B" w:rsidRPr="00F30A15" w:rsidRDefault="0035700B" w:rsidP="0035700B">
            <w:pPr>
              <w:jc w:val="both"/>
              <w:rPr>
                <w:rFonts w:ascii="Arial" w:hAnsi="Arial" w:cs="Arial"/>
                <w:sz w:val="16"/>
                <w:szCs w:val="16"/>
                <w:lang w:eastAsia="es-AR"/>
              </w:rPr>
            </w:pPr>
            <w:r w:rsidRPr="00F30A15">
              <w:rPr>
                <w:rFonts w:ascii="Arial" w:hAnsi="Arial" w:cs="Arial"/>
                <w:sz w:val="16"/>
                <w:szCs w:val="16"/>
                <w:lang w:eastAsia="es-AR"/>
              </w:rPr>
              <w:t>- Instrumentos Derivados</w:t>
            </w:r>
          </w:p>
        </w:tc>
        <w:tc>
          <w:tcPr>
            <w:tcW w:w="639" w:type="pct"/>
            <w:tcBorders>
              <w:top w:val="nil"/>
              <w:left w:val="nil"/>
              <w:bottom w:val="single" w:sz="4" w:space="0" w:color="auto"/>
              <w:right w:val="single" w:sz="4" w:space="0" w:color="auto"/>
            </w:tcBorders>
            <w:shd w:val="clear" w:color="auto" w:fill="auto"/>
            <w:noWrap/>
            <w:vAlign w:val="bottom"/>
            <w:hideMark/>
          </w:tcPr>
          <w:p w14:paraId="4CFF9BE0" w14:textId="7EA7E3AA"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15.924</w:t>
            </w:r>
          </w:p>
        </w:tc>
        <w:tc>
          <w:tcPr>
            <w:tcW w:w="641" w:type="pct"/>
            <w:tcBorders>
              <w:top w:val="nil"/>
              <w:left w:val="nil"/>
              <w:bottom w:val="single" w:sz="4" w:space="0" w:color="auto"/>
              <w:right w:val="single" w:sz="4" w:space="0" w:color="auto"/>
            </w:tcBorders>
            <w:shd w:val="clear" w:color="auto" w:fill="auto"/>
            <w:noWrap/>
            <w:vAlign w:val="bottom"/>
            <w:hideMark/>
          </w:tcPr>
          <w:p w14:paraId="050BB9EB" w14:textId="09D5FE9A"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689" w:type="pct"/>
            <w:tcBorders>
              <w:top w:val="nil"/>
              <w:left w:val="nil"/>
              <w:bottom w:val="single" w:sz="4" w:space="0" w:color="auto"/>
              <w:right w:val="single" w:sz="4" w:space="0" w:color="auto"/>
            </w:tcBorders>
            <w:shd w:val="clear" w:color="auto" w:fill="auto"/>
            <w:noWrap/>
            <w:vAlign w:val="bottom"/>
            <w:hideMark/>
          </w:tcPr>
          <w:p w14:paraId="2DE8222C" w14:textId="71951E81"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551" w:type="pct"/>
            <w:tcBorders>
              <w:top w:val="nil"/>
              <w:left w:val="nil"/>
              <w:bottom w:val="single" w:sz="4" w:space="0" w:color="auto"/>
              <w:right w:val="single" w:sz="4" w:space="0" w:color="auto"/>
            </w:tcBorders>
            <w:vAlign w:val="bottom"/>
          </w:tcPr>
          <w:p w14:paraId="3D73B57F" w14:textId="00C01C6D" w:rsidR="0035700B" w:rsidRPr="00F30A15" w:rsidRDefault="0035700B" w:rsidP="0035700B">
            <w:pPr>
              <w:jc w:val="right"/>
              <w:rPr>
                <w:rFonts w:ascii="Arial" w:eastAsia="Calibri" w:hAnsi="Arial" w:cs="Arial"/>
                <w:color w:val="000000"/>
                <w:sz w:val="16"/>
                <w:szCs w:val="16"/>
              </w:rPr>
            </w:pPr>
            <w:r w:rsidRPr="004D4808">
              <w:rPr>
                <w:rFonts w:ascii="Arial" w:eastAsia="Calibri" w:hAnsi="Arial" w:cs="Arial"/>
                <w:color w:val="000000"/>
                <w:sz w:val="16"/>
              </w:rPr>
              <w:t>15.924</w:t>
            </w:r>
          </w:p>
        </w:tc>
      </w:tr>
      <w:tr w:rsidR="0035700B" w:rsidRPr="00701F32" w14:paraId="7496B7A0"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66B0191F" w14:textId="77777777" w:rsidR="0035700B" w:rsidRPr="00F30A15" w:rsidRDefault="0035700B" w:rsidP="0035700B">
            <w:pPr>
              <w:jc w:val="both"/>
              <w:rPr>
                <w:rFonts w:ascii="Arial" w:hAnsi="Arial" w:cs="Arial"/>
                <w:sz w:val="16"/>
                <w:szCs w:val="16"/>
                <w:lang w:eastAsia="es-AR"/>
              </w:rPr>
            </w:pPr>
            <w:r w:rsidRPr="00F30A15">
              <w:rPr>
                <w:rFonts w:ascii="Arial" w:hAnsi="Arial" w:cs="Arial"/>
                <w:sz w:val="16"/>
                <w:szCs w:val="16"/>
                <w:lang w:eastAsia="es-AR"/>
              </w:rPr>
              <w:t>- Otros Activos Financieros</w:t>
            </w:r>
          </w:p>
        </w:tc>
        <w:tc>
          <w:tcPr>
            <w:tcW w:w="639" w:type="pct"/>
            <w:tcBorders>
              <w:top w:val="nil"/>
              <w:left w:val="nil"/>
              <w:bottom w:val="single" w:sz="4" w:space="0" w:color="auto"/>
              <w:right w:val="single" w:sz="4" w:space="0" w:color="auto"/>
            </w:tcBorders>
            <w:shd w:val="clear" w:color="auto" w:fill="auto"/>
            <w:noWrap/>
            <w:vAlign w:val="bottom"/>
            <w:hideMark/>
          </w:tcPr>
          <w:p w14:paraId="0CC0B24D" w14:textId="650F21E4"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15.069</w:t>
            </w:r>
          </w:p>
        </w:tc>
        <w:tc>
          <w:tcPr>
            <w:tcW w:w="641" w:type="pct"/>
            <w:tcBorders>
              <w:top w:val="nil"/>
              <w:left w:val="nil"/>
              <w:bottom w:val="single" w:sz="4" w:space="0" w:color="auto"/>
              <w:right w:val="single" w:sz="4" w:space="0" w:color="auto"/>
            </w:tcBorders>
            <w:shd w:val="clear" w:color="auto" w:fill="auto"/>
            <w:noWrap/>
            <w:vAlign w:val="bottom"/>
            <w:hideMark/>
          </w:tcPr>
          <w:p w14:paraId="5784E6FF" w14:textId="10940CB0"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689" w:type="pct"/>
            <w:tcBorders>
              <w:top w:val="nil"/>
              <w:left w:val="nil"/>
              <w:bottom w:val="single" w:sz="4" w:space="0" w:color="auto"/>
              <w:right w:val="single" w:sz="4" w:space="0" w:color="auto"/>
            </w:tcBorders>
            <w:shd w:val="clear" w:color="auto" w:fill="auto"/>
            <w:noWrap/>
            <w:vAlign w:val="bottom"/>
            <w:hideMark/>
          </w:tcPr>
          <w:p w14:paraId="209EB93A" w14:textId="1AB76740"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551" w:type="pct"/>
            <w:tcBorders>
              <w:top w:val="nil"/>
              <w:left w:val="nil"/>
              <w:bottom w:val="single" w:sz="4" w:space="0" w:color="auto"/>
              <w:right w:val="single" w:sz="4" w:space="0" w:color="auto"/>
            </w:tcBorders>
            <w:vAlign w:val="bottom"/>
          </w:tcPr>
          <w:p w14:paraId="0434B1D4" w14:textId="0900B548" w:rsidR="0035700B" w:rsidRPr="00F30A15" w:rsidRDefault="0035700B" w:rsidP="0035700B">
            <w:pPr>
              <w:jc w:val="right"/>
              <w:rPr>
                <w:rFonts w:ascii="Arial" w:eastAsia="Calibri" w:hAnsi="Arial" w:cs="Arial"/>
                <w:color w:val="000000"/>
                <w:sz w:val="16"/>
                <w:szCs w:val="16"/>
              </w:rPr>
            </w:pPr>
            <w:r w:rsidRPr="004D4808">
              <w:rPr>
                <w:rFonts w:ascii="Arial" w:eastAsia="Calibri" w:hAnsi="Arial" w:cs="Arial"/>
                <w:color w:val="000000"/>
                <w:sz w:val="16"/>
              </w:rPr>
              <w:t>15.069</w:t>
            </w:r>
          </w:p>
        </w:tc>
      </w:tr>
      <w:tr w:rsidR="0035700B" w:rsidRPr="00701F32" w14:paraId="261AAC59"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550F7C5F" w14:textId="77777777" w:rsidR="0035700B" w:rsidRPr="00F30A15" w:rsidRDefault="0035700B" w:rsidP="0035700B">
            <w:pPr>
              <w:jc w:val="both"/>
              <w:rPr>
                <w:rFonts w:ascii="Arial" w:hAnsi="Arial" w:cs="Arial"/>
                <w:sz w:val="16"/>
                <w:szCs w:val="16"/>
                <w:lang w:eastAsia="es-AR"/>
              </w:rPr>
            </w:pPr>
            <w:r w:rsidRPr="00F30A15">
              <w:rPr>
                <w:rFonts w:ascii="Arial" w:hAnsi="Arial" w:cs="Arial"/>
                <w:sz w:val="16"/>
                <w:szCs w:val="16"/>
                <w:lang w:eastAsia="es-AR"/>
              </w:rPr>
              <w:t>- Otros Títulos de Deuda</w:t>
            </w:r>
          </w:p>
        </w:tc>
        <w:tc>
          <w:tcPr>
            <w:tcW w:w="639" w:type="pct"/>
            <w:tcBorders>
              <w:top w:val="nil"/>
              <w:left w:val="nil"/>
              <w:bottom w:val="single" w:sz="4" w:space="0" w:color="auto"/>
              <w:right w:val="single" w:sz="4" w:space="0" w:color="auto"/>
            </w:tcBorders>
            <w:shd w:val="clear" w:color="auto" w:fill="auto"/>
            <w:noWrap/>
            <w:vAlign w:val="bottom"/>
            <w:hideMark/>
          </w:tcPr>
          <w:p w14:paraId="4E231D1B" w14:textId="7B373304"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32</w:t>
            </w:r>
          </w:p>
        </w:tc>
        <w:tc>
          <w:tcPr>
            <w:tcW w:w="641" w:type="pct"/>
            <w:tcBorders>
              <w:top w:val="nil"/>
              <w:left w:val="nil"/>
              <w:bottom w:val="single" w:sz="4" w:space="0" w:color="auto"/>
              <w:right w:val="single" w:sz="4" w:space="0" w:color="auto"/>
            </w:tcBorders>
            <w:shd w:val="clear" w:color="auto" w:fill="auto"/>
            <w:noWrap/>
            <w:vAlign w:val="bottom"/>
            <w:hideMark/>
          </w:tcPr>
          <w:p w14:paraId="3420716C" w14:textId="0FAD1292"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689" w:type="pct"/>
            <w:tcBorders>
              <w:top w:val="nil"/>
              <w:left w:val="nil"/>
              <w:bottom w:val="single" w:sz="4" w:space="0" w:color="auto"/>
              <w:right w:val="single" w:sz="4" w:space="0" w:color="auto"/>
            </w:tcBorders>
            <w:shd w:val="clear" w:color="auto" w:fill="auto"/>
            <w:noWrap/>
            <w:vAlign w:val="bottom"/>
            <w:hideMark/>
          </w:tcPr>
          <w:p w14:paraId="5BAC0331" w14:textId="7DAE3716"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551" w:type="pct"/>
            <w:tcBorders>
              <w:top w:val="nil"/>
              <w:left w:val="nil"/>
              <w:bottom w:val="single" w:sz="4" w:space="0" w:color="auto"/>
              <w:right w:val="single" w:sz="4" w:space="0" w:color="auto"/>
            </w:tcBorders>
            <w:vAlign w:val="bottom"/>
          </w:tcPr>
          <w:p w14:paraId="71034929" w14:textId="1F845535" w:rsidR="0035700B" w:rsidRPr="00F30A15" w:rsidRDefault="0035700B" w:rsidP="0035700B">
            <w:pPr>
              <w:jc w:val="right"/>
              <w:rPr>
                <w:rFonts w:ascii="Arial" w:eastAsia="Calibri" w:hAnsi="Arial" w:cs="Arial"/>
                <w:color w:val="000000"/>
                <w:sz w:val="16"/>
                <w:szCs w:val="16"/>
              </w:rPr>
            </w:pPr>
            <w:r w:rsidRPr="004D4808">
              <w:rPr>
                <w:rFonts w:ascii="Arial" w:eastAsia="Calibri" w:hAnsi="Arial" w:cs="Arial"/>
                <w:color w:val="000000"/>
                <w:sz w:val="16"/>
              </w:rPr>
              <w:t>32</w:t>
            </w:r>
          </w:p>
        </w:tc>
      </w:tr>
      <w:tr w:rsidR="0035700B" w:rsidRPr="00701F32" w14:paraId="0E73BC3B"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68528EF2" w14:textId="77777777" w:rsidR="0035700B" w:rsidRPr="00F30A15" w:rsidRDefault="0035700B" w:rsidP="0035700B">
            <w:pPr>
              <w:jc w:val="both"/>
              <w:rPr>
                <w:rFonts w:ascii="Arial" w:hAnsi="Arial" w:cs="Arial"/>
                <w:sz w:val="16"/>
                <w:szCs w:val="16"/>
                <w:lang w:eastAsia="es-AR"/>
              </w:rPr>
            </w:pPr>
            <w:r w:rsidRPr="00F30A15">
              <w:rPr>
                <w:rFonts w:ascii="Arial" w:hAnsi="Arial" w:cs="Arial"/>
                <w:sz w:val="16"/>
                <w:szCs w:val="16"/>
                <w:lang w:eastAsia="es-AR"/>
              </w:rPr>
              <w:t>- Activos Financieros entregados en Garantía</w:t>
            </w:r>
          </w:p>
        </w:tc>
        <w:tc>
          <w:tcPr>
            <w:tcW w:w="639" w:type="pct"/>
            <w:tcBorders>
              <w:top w:val="nil"/>
              <w:left w:val="nil"/>
              <w:bottom w:val="single" w:sz="4" w:space="0" w:color="auto"/>
              <w:right w:val="single" w:sz="4" w:space="0" w:color="auto"/>
            </w:tcBorders>
            <w:shd w:val="clear" w:color="auto" w:fill="auto"/>
            <w:noWrap/>
            <w:vAlign w:val="bottom"/>
            <w:hideMark/>
          </w:tcPr>
          <w:p w14:paraId="4242D818" w14:textId="32C5A2CE"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1.882.600</w:t>
            </w:r>
          </w:p>
        </w:tc>
        <w:tc>
          <w:tcPr>
            <w:tcW w:w="641" w:type="pct"/>
            <w:tcBorders>
              <w:top w:val="nil"/>
              <w:left w:val="nil"/>
              <w:bottom w:val="single" w:sz="4" w:space="0" w:color="auto"/>
              <w:right w:val="single" w:sz="4" w:space="0" w:color="auto"/>
            </w:tcBorders>
            <w:shd w:val="clear" w:color="auto" w:fill="auto"/>
            <w:noWrap/>
            <w:vAlign w:val="bottom"/>
            <w:hideMark/>
          </w:tcPr>
          <w:p w14:paraId="1968E611" w14:textId="6303766D"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689" w:type="pct"/>
            <w:tcBorders>
              <w:top w:val="nil"/>
              <w:left w:val="nil"/>
              <w:bottom w:val="single" w:sz="4" w:space="0" w:color="auto"/>
              <w:right w:val="single" w:sz="4" w:space="0" w:color="auto"/>
            </w:tcBorders>
            <w:shd w:val="clear" w:color="auto" w:fill="auto"/>
            <w:noWrap/>
            <w:vAlign w:val="bottom"/>
            <w:hideMark/>
          </w:tcPr>
          <w:p w14:paraId="684EC961" w14:textId="16E31947"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551" w:type="pct"/>
            <w:tcBorders>
              <w:top w:val="nil"/>
              <w:left w:val="nil"/>
              <w:bottom w:val="single" w:sz="4" w:space="0" w:color="auto"/>
              <w:right w:val="single" w:sz="4" w:space="0" w:color="auto"/>
            </w:tcBorders>
            <w:vAlign w:val="bottom"/>
          </w:tcPr>
          <w:p w14:paraId="319078B6" w14:textId="214D7EEE" w:rsidR="0035700B" w:rsidRPr="00F30A15" w:rsidRDefault="0035700B" w:rsidP="0035700B">
            <w:pPr>
              <w:jc w:val="right"/>
              <w:rPr>
                <w:rFonts w:ascii="Arial" w:eastAsia="Calibri" w:hAnsi="Arial" w:cs="Arial"/>
                <w:color w:val="000000"/>
                <w:sz w:val="16"/>
                <w:szCs w:val="16"/>
              </w:rPr>
            </w:pPr>
            <w:r w:rsidRPr="004D4808">
              <w:rPr>
                <w:rFonts w:ascii="Arial" w:eastAsia="Calibri" w:hAnsi="Arial" w:cs="Arial"/>
                <w:color w:val="000000"/>
                <w:sz w:val="16"/>
              </w:rPr>
              <w:t>1.882.600</w:t>
            </w:r>
          </w:p>
        </w:tc>
      </w:tr>
      <w:tr w:rsidR="0035700B" w:rsidRPr="00701F32" w14:paraId="507ED7FA"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0908DC4F" w14:textId="77777777" w:rsidR="0035700B" w:rsidRPr="00F30A15" w:rsidRDefault="0035700B" w:rsidP="0035700B">
            <w:pPr>
              <w:jc w:val="both"/>
              <w:rPr>
                <w:rFonts w:ascii="Arial" w:hAnsi="Arial" w:cs="Arial"/>
                <w:sz w:val="16"/>
                <w:szCs w:val="16"/>
                <w:lang w:eastAsia="es-AR"/>
              </w:rPr>
            </w:pPr>
            <w:r w:rsidRPr="00F30A15">
              <w:rPr>
                <w:rFonts w:ascii="Arial" w:hAnsi="Arial" w:cs="Arial"/>
                <w:sz w:val="16"/>
                <w:szCs w:val="16"/>
                <w:lang w:eastAsia="es-AR"/>
              </w:rPr>
              <w:t>- Inversiones en instrumentos de patrimonio</w:t>
            </w:r>
          </w:p>
        </w:tc>
        <w:tc>
          <w:tcPr>
            <w:tcW w:w="639" w:type="pct"/>
            <w:tcBorders>
              <w:top w:val="nil"/>
              <w:left w:val="nil"/>
              <w:bottom w:val="single" w:sz="4" w:space="0" w:color="auto"/>
              <w:right w:val="single" w:sz="4" w:space="0" w:color="auto"/>
            </w:tcBorders>
            <w:shd w:val="clear" w:color="auto" w:fill="auto"/>
            <w:noWrap/>
            <w:vAlign w:val="bottom"/>
            <w:hideMark/>
          </w:tcPr>
          <w:p w14:paraId="33F87102" w14:textId="350B2489"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1.603</w:t>
            </w:r>
          </w:p>
        </w:tc>
        <w:tc>
          <w:tcPr>
            <w:tcW w:w="641" w:type="pct"/>
            <w:tcBorders>
              <w:top w:val="nil"/>
              <w:left w:val="nil"/>
              <w:bottom w:val="single" w:sz="4" w:space="0" w:color="auto"/>
              <w:right w:val="single" w:sz="4" w:space="0" w:color="auto"/>
            </w:tcBorders>
            <w:shd w:val="clear" w:color="auto" w:fill="auto"/>
            <w:noWrap/>
            <w:vAlign w:val="bottom"/>
            <w:hideMark/>
          </w:tcPr>
          <w:p w14:paraId="5D1416F1" w14:textId="07857ED4"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8.801</w:t>
            </w:r>
          </w:p>
        </w:tc>
        <w:tc>
          <w:tcPr>
            <w:tcW w:w="689" w:type="pct"/>
            <w:tcBorders>
              <w:top w:val="nil"/>
              <w:left w:val="nil"/>
              <w:bottom w:val="single" w:sz="4" w:space="0" w:color="auto"/>
              <w:right w:val="single" w:sz="4" w:space="0" w:color="auto"/>
            </w:tcBorders>
            <w:shd w:val="clear" w:color="auto" w:fill="auto"/>
            <w:noWrap/>
            <w:vAlign w:val="bottom"/>
            <w:hideMark/>
          </w:tcPr>
          <w:p w14:paraId="66C104C0" w14:textId="275F4370"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551" w:type="pct"/>
            <w:tcBorders>
              <w:top w:val="nil"/>
              <w:left w:val="nil"/>
              <w:bottom w:val="single" w:sz="4" w:space="0" w:color="auto"/>
              <w:right w:val="single" w:sz="4" w:space="0" w:color="auto"/>
            </w:tcBorders>
            <w:vAlign w:val="bottom"/>
          </w:tcPr>
          <w:p w14:paraId="15E0147E" w14:textId="0CAAF0EA" w:rsidR="0035700B" w:rsidRPr="00F30A15" w:rsidRDefault="0035700B" w:rsidP="0035700B">
            <w:pPr>
              <w:jc w:val="right"/>
              <w:rPr>
                <w:rFonts w:ascii="Arial" w:eastAsia="Calibri" w:hAnsi="Arial" w:cs="Arial"/>
                <w:color w:val="000000"/>
                <w:sz w:val="16"/>
                <w:szCs w:val="16"/>
              </w:rPr>
            </w:pPr>
            <w:r w:rsidRPr="004D4808">
              <w:rPr>
                <w:rFonts w:ascii="Arial" w:eastAsia="Calibri" w:hAnsi="Arial" w:cs="Arial"/>
                <w:color w:val="000000"/>
                <w:sz w:val="16"/>
              </w:rPr>
              <w:t>10.404</w:t>
            </w:r>
          </w:p>
        </w:tc>
      </w:tr>
      <w:tr w:rsidR="0035700B" w:rsidRPr="00701F32" w14:paraId="4A997CDF"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2D30601F" w14:textId="77777777" w:rsidR="0035700B" w:rsidRPr="00F30A15" w:rsidRDefault="0035700B" w:rsidP="0035700B">
            <w:pPr>
              <w:jc w:val="both"/>
              <w:rPr>
                <w:rFonts w:ascii="Arial" w:hAnsi="Arial" w:cs="Arial"/>
                <w:b/>
                <w:bCs/>
                <w:sz w:val="16"/>
                <w:szCs w:val="16"/>
                <w:lang w:eastAsia="es-AR"/>
              </w:rPr>
            </w:pPr>
            <w:r w:rsidRPr="00F30A15">
              <w:rPr>
                <w:rFonts w:ascii="Arial" w:hAnsi="Arial" w:cs="Arial"/>
                <w:b/>
                <w:bCs/>
                <w:sz w:val="16"/>
                <w:szCs w:val="16"/>
                <w:lang w:eastAsia="es-AR"/>
              </w:rPr>
              <w:t>Total Activos</w:t>
            </w:r>
          </w:p>
        </w:tc>
        <w:tc>
          <w:tcPr>
            <w:tcW w:w="639" w:type="pct"/>
            <w:tcBorders>
              <w:top w:val="nil"/>
              <w:left w:val="nil"/>
              <w:bottom w:val="single" w:sz="4" w:space="0" w:color="auto"/>
              <w:right w:val="single" w:sz="4" w:space="0" w:color="auto"/>
            </w:tcBorders>
            <w:shd w:val="clear" w:color="auto" w:fill="auto"/>
            <w:noWrap/>
            <w:vAlign w:val="bottom"/>
          </w:tcPr>
          <w:p w14:paraId="33E457FC" w14:textId="14E8F097" w:rsidR="0035700B" w:rsidRPr="00F30A15" w:rsidRDefault="0035700B" w:rsidP="0035700B">
            <w:pPr>
              <w:jc w:val="right"/>
              <w:rPr>
                <w:rFonts w:ascii="Arial" w:eastAsia="Calibri" w:hAnsi="Arial" w:cs="Arial"/>
                <w:b/>
                <w:color w:val="000000"/>
                <w:sz w:val="16"/>
                <w:szCs w:val="16"/>
              </w:rPr>
            </w:pPr>
            <w:r w:rsidRPr="004D4808">
              <w:rPr>
                <w:rFonts w:ascii="Arial" w:eastAsia="Calibri" w:hAnsi="Arial" w:cs="Arial"/>
                <w:b/>
                <w:color w:val="000000"/>
                <w:sz w:val="16"/>
              </w:rPr>
              <w:t>5.500.024</w:t>
            </w:r>
          </w:p>
        </w:tc>
        <w:tc>
          <w:tcPr>
            <w:tcW w:w="641" w:type="pct"/>
            <w:tcBorders>
              <w:top w:val="nil"/>
              <w:left w:val="nil"/>
              <w:bottom w:val="single" w:sz="4" w:space="0" w:color="auto"/>
              <w:right w:val="single" w:sz="4" w:space="0" w:color="auto"/>
            </w:tcBorders>
            <w:shd w:val="clear" w:color="auto" w:fill="auto"/>
            <w:noWrap/>
            <w:vAlign w:val="bottom"/>
          </w:tcPr>
          <w:p w14:paraId="5A102667" w14:textId="47629172" w:rsidR="0035700B" w:rsidRPr="00F30A15" w:rsidRDefault="0035700B" w:rsidP="0035700B">
            <w:pPr>
              <w:jc w:val="right"/>
              <w:rPr>
                <w:rFonts w:ascii="Arial" w:eastAsia="Calibri" w:hAnsi="Arial" w:cs="Arial"/>
                <w:b/>
                <w:color w:val="000000"/>
                <w:sz w:val="16"/>
                <w:szCs w:val="16"/>
              </w:rPr>
            </w:pPr>
            <w:r w:rsidRPr="004D4808">
              <w:rPr>
                <w:rFonts w:ascii="Arial" w:eastAsia="Calibri" w:hAnsi="Arial" w:cs="Arial"/>
                <w:b/>
                <w:color w:val="000000"/>
                <w:sz w:val="16"/>
              </w:rPr>
              <w:t>11.375.694</w:t>
            </w:r>
          </w:p>
        </w:tc>
        <w:tc>
          <w:tcPr>
            <w:tcW w:w="689" w:type="pct"/>
            <w:tcBorders>
              <w:top w:val="nil"/>
              <w:left w:val="nil"/>
              <w:bottom w:val="single" w:sz="4" w:space="0" w:color="auto"/>
              <w:right w:val="single" w:sz="4" w:space="0" w:color="auto"/>
            </w:tcBorders>
            <w:shd w:val="clear" w:color="auto" w:fill="auto"/>
            <w:noWrap/>
            <w:vAlign w:val="bottom"/>
          </w:tcPr>
          <w:p w14:paraId="389E1EAD" w14:textId="2B728BEC" w:rsidR="0035700B" w:rsidRPr="00F30A15" w:rsidRDefault="0035700B" w:rsidP="0035700B">
            <w:pPr>
              <w:jc w:val="right"/>
              <w:rPr>
                <w:rFonts w:ascii="Arial" w:eastAsia="Calibri" w:hAnsi="Arial" w:cs="Arial"/>
                <w:b/>
                <w:color w:val="000000"/>
                <w:sz w:val="16"/>
                <w:szCs w:val="16"/>
              </w:rPr>
            </w:pPr>
            <w:r w:rsidRPr="004D4808">
              <w:rPr>
                <w:rFonts w:ascii="Arial" w:eastAsia="Calibri" w:hAnsi="Arial" w:cs="Arial"/>
                <w:b/>
                <w:color w:val="000000"/>
                <w:sz w:val="16"/>
              </w:rPr>
              <w:t>-</w:t>
            </w:r>
          </w:p>
        </w:tc>
        <w:tc>
          <w:tcPr>
            <w:tcW w:w="551" w:type="pct"/>
            <w:tcBorders>
              <w:top w:val="nil"/>
              <w:left w:val="nil"/>
              <w:bottom w:val="single" w:sz="4" w:space="0" w:color="auto"/>
              <w:right w:val="single" w:sz="4" w:space="0" w:color="auto"/>
            </w:tcBorders>
            <w:vAlign w:val="bottom"/>
          </w:tcPr>
          <w:p w14:paraId="250BA3D9" w14:textId="646E977A" w:rsidR="0035700B" w:rsidRPr="00F30A15" w:rsidRDefault="0035700B" w:rsidP="0035700B">
            <w:pPr>
              <w:jc w:val="right"/>
              <w:rPr>
                <w:rFonts w:ascii="Arial" w:eastAsia="Calibri" w:hAnsi="Arial" w:cs="Arial"/>
                <w:b/>
                <w:color w:val="000000"/>
                <w:sz w:val="16"/>
                <w:szCs w:val="16"/>
              </w:rPr>
            </w:pPr>
            <w:r w:rsidRPr="004D4808">
              <w:rPr>
                <w:rFonts w:ascii="Arial" w:eastAsia="Calibri" w:hAnsi="Arial" w:cs="Arial"/>
                <w:b/>
                <w:color w:val="000000"/>
                <w:sz w:val="16"/>
              </w:rPr>
              <w:t>16.875.718</w:t>
            </w:r>
          </w:p>
        </w:tc>
      </w:tr>
      <w:tr w:rsidR="0035700B" w:rsidRPr="00701F32" w14:paraId="73945323"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7D5843F6" w14:textId="77777777" w:rsidR="0035700B" w:rsidRPr="00F30A15" w:rsidRDefault="0035700B" w:rsidP="0035700B">
            <w:pPr>
              <w:jc w:val="both"/>
              <w:rPr>
                <w:rFonts w:ascii="Arial" w:hAnsi="Arial" w:cs="Arial"/>
                <w:b/>
                <w:bCs/>
                <w:sz w:val="16"/>
                <w:szCs w:val="16"/>
                <w:lang w:eastAsia="es-AR"/>
              </w:rPr>
            </w:pPr>
            <w:r w:rsidRPr="00F30A15">
              <w:rPr>
                <w:rFonts w:ascii="Arial" w:hAnsi="Arial" w:cs="Arial"/>
                <w:b/>
                <w:bCs/>
                <w:sz w:val="16"/>
                <w:szCs w:val="16"/>
                <w:lang w:eastAsia="es-AR"/>
              </w:rPr>
              <w:t>Pasivos</w:t>
            </w:r>
          </w:p>
        </w:tc>
        <w:tc>
          <w:tcPr>
            <w:tcW w:w="639" w:type="pct"/>
            <w:tcBorders>
              <w:top w:val="nil"/>
              <w:left w:val="nil"/>
              <w:bottom w:val="single" w:sz="4" w:space="0" w:color="auto"/>
              <w:right w:val="single" w:sz="4" w:space="0" w:color="auto"/>
            </w:tcBorders>
            <w:shd w:val="clear" w:color="auto" w:fill="auto"/>
            <w:noWrap/>
            <w:vAlign w:val="bottom"/>
            <w:hideMark/>
          </w:tcPr>
          <w:p w14:paraId="3E34231D" w14:textId="77777777" w:rsidR="0035700B" w:rsidRPr="00F30A15" w:rsidRDefault="0035700B" w:rsidP="0035700B">
            <w:pPr>
              <w:jc w:val="right"/>
              <w:rPr>
                <w:rFonts w:ascii="Arial" w:hAnsi="Arial" w:cs="Arial"/>
                <w:b/>
                <w:bCs/>
                <w:sz w:val="16"/>
                <w:szCs w:val="16"/>
                <w:lang w:eastAsia="es-AR"/>
              </w:rPr>
            </w:pPr>
          </w:p>
        </w:tc>
        <w:tc>
          <w:tcPr>
            <w:tcW w:w="641" w:type="pct"/>
            <w:tcBorders>
              <w:top w:val="nil"/>
              <w:left w:val="nil"/>
              <w:bottom w:val="single" w:sz="4" w:space="0" w:color="auto"/>
              <w:right w:val="single" w:sz="4" w:space="0" w:color="auto"/>
            </w:tcBorders>
            <w:shd w:val="clear" w:color="auto" w:fill="auto"/>
            <w:noWrap/>
            <w:vAlign w:val="bottom"/>
            <w:hideMark/>
          </w:tcPr>
          <w:p w14:paraId="7133D4FE" w14:textId="77777777" w:rsidR="0035700B" w:rsidRPr="00F30A15" w:rsidRDefault="0035700B" w:rsidP="0035700B">
            <w:pPr>
              <w:jc w:val="right"/>
              <w:rPr>
                <w:rFonts w:ascii="Arial" w:hAnsi="Arial" w:cs="Arial"/>
                <w:b/>
                <w:bCs/>
                <w:sz w:val="16"/>
                <w:szCs w:val="16"/>
                <w:lang w:eastAsia="es-AR"/>
              </w:rPr>
            </w:pPr>
          </w:p>
        </w:tc>
        <w:tc>
          <w:tcPr>
            <w:tcW w:w="689" w:type="pct"/>
            <w:tcBorders>
              <w:top w:val="nil"/>
              <w:left w:val="nil"/>
              <w:bottom w:val="single" w:sz="4" w:space="0" w:color="auto"/>
              <w:right w:val="single" w:sz="4" w:space="0" w:color="auto"/>
            </w:tcBorders>
            <w:shd w:val="clear" w:color="auto" w:fill="auto"/>
            <w:noWrap/>
            <w:vAlign w:val="bottom"/>
            <w:hideMark/>
          </w:tcPr>
          <w:p w14:paraId="6C7EFCB9" w14:textId="77777777" w:rsidR="0035700B" w:rsidRPr="00F30A15" w:rsidRDefault="0035700B" w:rsidP="0035700B">
            <w:pPr>
              <w:jc w:val="right"/>
              <w:rPr>
                <w:rFonts w:ascii="Arial" w:hAnsi="Arial" w:cs="Arial"/>
                <w:b/>
                <w:bCs/>
                <w:sz w:val="16"/>
                <w:szCs w:val="16"/>
                <w:lang w:eastAsia="es-AR"/>
              </w:rPr>
            </w:pPr>
          </w:p>
        </w:tc>
        <w:tc>
          <w:tcPr>
            <w:tcW w:w="551" w:type="pct"/>
            <w:tcBorders>
              <w:top w:val="nil"/>
              <w:left w:val="nil"/>
              <w:bottom w:val="single" w:sz="4" w:space="0" w:color="auto"/>
              <w:right w:val="single" w:sz="4" w:space="0" w:color="auto"/>
            </w:tcBorders>
            <w:vAlign w:val="bottom"/>
          </w:tcPr>
          <w:p w14:paraId="5EB22723" w14:textId="77777777" w:rsidR="0035700B" w:rsidRPr="00F30A15" w:rsidRDefault="0035700B" w:rsidP="0035700B">
            <w:pPr>
              <w:jc w:val="right"/>
              <w:rPr>
                <w:rFonts w:ascii="Arial" w:hAnsi="Arial" w:cs="Arial"/>
                <w:b/>
                <w:bCs/>
                <w:sz w:val="16"/>
                <w:szCs w:val="16"/>
                <w:lang w:eastAsia="es-AR"/>
              </w:rPr>
            </w:pPr>
          </w:p>
        </w:tc>
      </w:tr>
      <w:tr w:rsidR="0035700B" w:rsidRPr="00701F32" w14:paraId="3B17AFED"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1C46555C" w14:textId="77777777" w:rsidR="0035700B" w:rsidRPr="00F30A15" w:rsidRDefault="0035700B" w:rsidP="0035700B">
            <w:pPr>
              <w:jc w:val="both"/>
              <w:rPr>
                <w:rFonts w:ascii="Arial" w:hAnsi="Arial" w:cs="Arial"/>
                <w:bCs/>
                <w:sz w:val="16"/>
                <w:szCs w:val="16"/>
                <w:lang w:eastAsia="es-AR"/>
              </w:rPr>
            </w:pPr>
            <w:r w:rsidRPr="00F30A15">
              <w:rPr>
                <w:rFonts w:ascii="Arial" w:hAnsi="Arial" w:cs="Arial"/>
                <w:bCs/>
                <w:sz w:val="16"/>
                <w:szCs w:val="16"/>
                <w:lang w:eastAsia="es-AR"/>
              </w:rPr>
              <w:t>- Pasivos a valor razonable con cambios en resultados</w:t>
            </w:r>
          </w:p>
        </w:tc>
        <w:tc>
          <w:tcPr>
            <w:tcW w:w="639" w:type="pct"/>
            <w:tcBorders>
              <w:top w:val="nil"/>
              <w:left w:val="nil"/>
              <w:bottom w:val="single" w:sz="4" w:space="0" w:color="auto"/>
              <w:right w:val="single" w:sz="4" w:space="0" w:color="auto"/>
            </w:tcBorders>
            <w:shd w:val="clear" w:color="auto" w:fill="auto"/>
            <w:noWrap/>
            <w:vAlign w:val="bottom"/>
          </w:tcPr>
          <w:p w14:paraId="514576C6" w14:textId="01B60CC0" w:rsidR="0035700B" w:rsidRPr="00F30A15" w:rsidRDefault="0035700B" w:rsidP="0035700B">
            <w:pPr>
              <w:jc w:val="right"/>
              <w:rPr>
                <w:rFonts w:ascii="Arial" w:hAnsi="Arial" w:cs="Arial"/>
                <w:bCs/>
                <w:sz w:val="16"/>
                <w:szCs w:val="16"/>
                <w:lang w:eastAsia="es-AR"/>
              </w:rPr>
            </w:pPr>
            <w:r w:rsidRPr="004D4808">
              <w:rPr>
                <w:rFonts w:ascii="Arial" w:eastAsia="Calibri" w:hAnsi="Arial" w:cs="Arial"/>
                <w:color w:val="000000"/>
                <w:sz w:val="16"/>
              </w:rPr>
              <w:t>613.686</w:t>
            </w:r>
          </w:p>
        </w:tc>
        <w:tc>
          <w:tcPr>
            <w:tcW w:w="641" w:type="pct"/>
            <w:tcBorders>
              <w:top w:val="nil"/>
              <w:left w:val="nil"/>
              <w:bottom w:val="single" w:sz="4" w:space="0" w:color="auto"/>
              <w:right w:val="single" w:sz="4" w:space="0" w:color="auto"/>
            </w:tcBorders>
            <w:shd w:val="clear" w:color="auto" w:fill="auto"/>
            <w:noWrap/>
            <w:vAlign w:val="bottom"/>
          </w:tcPr>
          <w:p w14:paraId="70EA674A" w14:textId="4013C4AB" w:rsidR="0035700B" w:rsidRPr="00F30A15" w:rsidRDefault="0035700B" w:rsidP="0035700B">
            <w:pPr>
              <w:jc w:val="right"/>
              <w:rPr>
                <w:rFonts w:ascii="Arial" w:hAnsi="Arial" w:cs="Arial"/>
                <w:b/>
                <w:bCs/>
                <w:sz w:val="16"/>
                <w:szCs w:val="16"/>
                <w:lang w:eastAsia="es-AR"/>
              </w:rPr>
            </w:pPr>
            <w:r w:rsidRPr="004D4808">
              <w:rPr>
                <w:rFonts w:ascii="Arial" w:eastAsia="Calibri" w:hAnsi="Arial" w:cs="Arial"/>
                <w:color w:val="000000"/>
                <w:sz w:val="16"/>
              </w:rPr>
              <w:t>-</w:t>
            </w:r>
          </w:p>
        </w:tc>
        <w:tc>
          <w:tcPr>
            <w:tcW w:w="689" w:type="pct"/>
            <w:tcBorders>
              <w:top w:val="nil"/>
              <w:left w:val="nil"/>
              <w:bottom w:val="single" w:sz="4" w:space="0" w:color="auto"/>
              <w:right w:val="single" w:sz="4" w:space="0" w:color="auto"/>
            </w:tcBorders>
            <w:shd w:val="clear" w:color="auto" w:fill="auto"/>
            <w:noWrap/>
            <w:vAlign w:val="bottom"/>
          </w:tcPr>
          <w:p w14:paraId="6B896828" w14:textId="516CA053" w:rsidR="0035700B" w:rsidRPr="00F30A15" w:rsidRDefault="0035700B" w:rsidP="0035700B">
            <w:pPr>
              <w:jc w:val="right"/>
              <w:rPr>
                <w:rFonts w:ascii="Arial" w:hAnsi="Arial" w:cs="Arial"/>
                <w:b/>
                <w:bCs/>
                <w:sz w:val="16"/>
                <w:szCs w:val="16"/>
                <w:lang w:eastAsia="es-AR"/>
              </w:rPr>
            </w:pPr>
            <w:r w:rsidRPr="004D4808">
              <w:rPr>
                <w:rFonts w:ascii="Arial" w:eastAsia="Calibri" w:hAnsi="Arial" w:cs="Arial"/>
                <w:color w:val="000000"/>
                <w:sz w:val="16"/>
              </w:rPr>
              <w:t>-</w:t>
            </w:r>
          </w:p>
        </w:tc>
        <w:tc>
          <w:tcPr>
            <w:tcW w:w="551" w:type="pct"/>
            <w:tcBorders>
              <w:top w:val="nil"/>
              <w:left w:val="nil"/>
              <w:bottom w:val="single" w:sz="4" w:space="0" w:color="auto"/>
              <w:right w:val="single" w:sz="4" w:space="0" w:color="auto"/>
            </w:tcBorders>
            <w:vAlign w:val="bottom"/>
          </w:tcPr>
          <w:p w14:paraId="116DC47D" w14:textId="4F4F7694" w:rsidR="0035700B" w:rsidRPr="00F30A15" w:rsidRDefault="0035700B" w:rsidP="0035700B">
            <w:pPr>
              <w:jc w:val="right"/>
              <w:rPr>
                <w:rFonts w:ascii="Arial" w:hAnsi="Arial" w:cs="Arial"/>
                <w:bCs/>
                <w:sz w:val="16"/>
                <w:szCs w:val="16"/>
                <w:lang w:eastAsia="es-AR"/>
              </w:rPr>
            </w:pPr>
            <w:r w:rsidRPr="004D4808">
              <w:rPr>
                <w:rFonts w:ascii="Arial" w:eastAsia="Calibri" w:hAnsi="Arial" w:cs="Arial"/>
                <w:color w:val="000000"/>
                <w:sz w:val="16"/>
              </w:rPr>
              <w:t>613.686</w:t>
            </w:r>
          </w:p>
        </w:tc>
      </w:tr>
      <w:tr w:rsidR="0035700B" w:rsidRPr="00701F32" w14:paraId="5183FB4A"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16C4D9A3" w14:textId="77777777" w:rsidR="0035700B" w:rsidRPr="00F30A15" w:rsidRDefault="0035700B" w:rsidP="0035700B">
            <w:pPr>
              <w:jc w:val="both"/>
              <w:rPr>
                <w:rFonts w:ascii="Arial" w:hAnsi="Arial" w:cs="Arial"/>
                <w:sz w:val="16"/>
                <w:szCs w:val="16"/>
                <w:lang w:eastAsia="es-AR"/>
              </w:rPr>
            </w:pPr>
            <w:r w:rsidRPr="00F30A15">
              <w:rPr>
                <w:rFonts w:ascii="Arial" w:hAnsi="Arial" w:cs="Arial"/>
                <w:sz w:val="16"/>
                <w:szCs w:val="16"/>
                <w:lang w:eastAsia="es-AR"/>
              </w:rPr>
              <w:t>- Instrumentos derivados</w:t>
            </w:r>
          </w:p>
        </w:tc>
        <w:tc>
          <w:tcPr>
            <w:tcW w:w="639" w:type="pct"/>
            <w:tcBorders>
              <w:top w:val="nil"/>
              <w:left w:val="nil"/>
              <w:bottom w:val="single" w:sz="4" w:space="0" w:color="auto"/>
              <w:right w:val="single" w:sz="4" w:space="0" w:color="auto"/>
            </w:tcBorders>
            <w:shd w:val="clear" w:color="auto" w:fill="auto"/>
            <w:noWrap/>
            <w:vAlign w:val="bottom"/>
            <w:hideMark/>
          </w:tcPr>
          <w:p w14:paraId="18DE0115" w14:textId="3684F138"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94.222</w:t>
            </w:r>
          </w:p>
        </w:tc>
        <w:tc>
          <w:tcPr>
            <w:tcW w:w="641" w:type="pct"/>
            <w:tcBorders>
              <w:top w:val="nil"/>
              <w:left w:val="nil"/>
              <w:bottom w:val="single" w:sz="4" w:space="0" w:color="auto"/>
              <w:right w:val="single" w:sz="4" w:space="0" w:color="auto"/>
            </w:tcBorders>
            <w:shd w:val="clear" w:color="auto" w:fill="auto"/>
            <w:noWrap/>
            <w:vAlign w:val="bottom"/>
            <w:hideMark/>
          </w:tcPr>
          <w:p w14:paraId="17DC4551" w14:textId="2526C8F0" w:rsidR="0035700B" w:rsidRPr="00F30A15" w:rsidRDefault="0035700B" w:rsidP="0035700B">
            <w:pPr>
              <w:jc w:val="right"/>
              <w:rPr>
                <w:rFonts w:ascii="Arial" w:hAnsi="Arial" w:cs="Arial"/>
                <w:sz w:val="16"/>
                <w:szCs w:val="16"/>
                <w:lang w:eastAsia="es-AR"/>
              </w:rPr>
            </w:pPr>
          </w:p>
        </w:tc>
        <w:tc>
          <w:tcPr>
            <w:tcW w:w="689" w:type="pct"/>
            <w:tcBorders>
              <w:top w:val="nil"/>
              <w:left w:val="nil"/>
              <w:bottom w:val="single" w:sz="4" w:space="0" w:color="auto"/>
              <w:right w:val="single" w:sz="4" w:space="0" w:color="auto"/>
            </w:tcBorders>
            <w:shd w:val="clear" w:color="auto" w:fill="auto"/>
            <w:noWrap/>
            <w:vAlign w:val="bottom"/>
            <w:hideMark/>
          </w:tcPr>
          <w:p w14:paraId="785C0139" w14:textId="5BF75FA0" w:rsidR="0035700B" w:rsidRPr="00F30A15" w:rsidRDefault="0035700B" w:rsidP="0035700B">
            <w:pPr>
              <w:jc w:val="right"/>
              <w:rPr>
                <w:rFonts w:ascii="Arial" w:hAnsi="Arial" w:cs="Arial"/>
                <w:sz w:val="16"/>
                <w:szCs w:val="16"/>
                <w:lang w:eastAsia="es-AR"/>
              </w:rPr>
            </w:pPr>
          </w:p>
        </w:tc>
        <w:tc>
          <w:tcPr>
            <w:tcW w:w="551" w:type="pct"/>
            <w:tcBorders>
              <w:top w:val="nil"/>
              <w:left w:val="nil"/>
              <w:bottom w:val="single" w:sz="4" w:space="0" w:color="auto"/>
              <w:right w:val="single" w:sz="4" w:space="0" w:color="auto"/>
            </w:tcBorders>
            <w:vAlign w:val="bottom"/>
          </w:tcPr>
          <w:p w14:paraId="7CA7EEE0" w14:textId="3C1C5F0F" w:rsidR="0035700B" w:rsidRPr="00F30A15" w:rsidRDefault="0035700B" w:rsidP="0035700B">
            <w:pPr>
              <w:jc w:val="right"/>
              <w:rPr>
                <w:rFonts w:ascii="Arial" w:eastAsia="Calibri" w:hAnsi="Arial" w:cs="Arial"/>
                <w:color w:val="000000"/>
                <w:sz w:val="16"/>
                <w:szCs w:val="16"/>
              </w:rPr>
            </w:pPr>
            <w:r w:rsidRPr="004D4808">
              <w:rPr>
                <w:rFonts w:ascii="Arial" w:eastAsia="Calibri" w:hAnsi="Arial" w:cs="Arial"/>
                <w:color w:val="000000"/>
                <w:sz w:val="16"/>
              </w:rPr>
              <w:t>94.222</w:t>
            </w:r>
          </w:p>
        </w:tc>
      </w:tr>
      <w:tr w:rsidR="0035700B" w:rsidRPr="00701F32" w14:paraId="36DF2F46"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tcPr>
          <w:p w14:paraId="4F4C1FB9" w14:textId="77777777" w:rsidR="0035700B" w:rsidRPr="00F30A15" w:rsidRDefault="0035700B" w:rsidP="0035700B">
            <w:pPr>
              <w:numPr>
                <w:ilvl w:val="0"/>
                <w:numId w:val="32"/>
              </w:numPr>
              <w:spacing w:after="160" w:line="259" w:lineRule="auto"/>
              <w:ind w:left="66" w:hanging="77"/>
              <w:contextualSpacing/>
              <w:jc w:val="both"/>
              <w:rPr>
                <w:rFonts w:ascii="Arial" w:hAnsi="Arial" w:cs="Arial"/>
                <w:sz w:val="16"/>
                <w:szCs w:val="16"/>
                <w:lang w:eastAsia="es-AR"/>
              </w:rPr>
            </w:pPr>
            <w:r w:rsidRPr="00F30A15">
              <w:rPr>
                <w:rFonts w:ascii="Arial" w:hAnsi="Arial" w:cs="Arial"/>
                <w:sz w:val="16"/>
                <w:szCs w:val="16"/>
                <w:lang w:eastAsia="es-AR"/>
              </w:rPr>
              <w:t xml:space="preserve"> Otros Pasivos Financieros</w:t>
            </w:r>
          </w:p>
        </w:tc>
        <w:tc>
          <w:tcPr>
            <w:tcW w:w="639" w:type="pct"/>
            <w:tcBorders>
              <w:top w:val="nil"/>
              <w:left w:val="nil"/>
              <w:bottom w:val="single" w:sz="4" w:space="0" w:color="auto"/>
              <w:right w:val="single" w:sz="4" w:space="0" w:color="auto"/>
            </w:tcBorders>
            <w:shd w:val="clear" w:color="auto" w:fill="auto"/>
            <w:noWrap/>
            <w:vAlign w:val="bottom"/>
          </w:tcPr>
          <w:p w14:paraId="3669CDE1" w14:textId="27778570"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2.759.854</w:t>
            </w:r>
          </w:p>
        </w:tc>
        <w:tc>
          <w:tcPr>
            <w:tcW w:w="641" w:type="pct"/>
            <w:tcBorders>
              <w:top w:val="nil"/>
              <w:left w:val="nil"/>
              <w:bottom w:val="single" w:sz="4" w:space="0" w:color="auto"/>
              <w:right w:val="single" w:sz="4" w:space="0" w:color="auto"/>
            </w:tcBorders>
            <w:shd w:val="clear" w:color="auto" w:fill="auto"/>
            <w:noWrap/>
            <w:vAlign w:val="bottom"/>
          </w:tcPr>
          <w:p w14:paraId="140C0A21" w14:textId="2F46DC00"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689" w:type="pct"/>
            <w:tcBorders>
              <w:top w:val="nil"/>
              <w:left w:val="nil"/>
              <w:bottom w:val="single" w:sz="4" w:space="0" w:color="auto"/>
              <w:right w:val="single" w:sz="4" w:space="0" w:color="auto"/>
            </w:tcBorders>
            <w:shd w:val="clear" w:color="auto" w:fill="auto"/>
            <w:noWrap/>
            <w:vAlign w:val="bottom"/>
          </w:tcPr>
          <w:p w14:paraId="2CED6237" w14:textId="4C72BC53" w:rsidR="0035700B" w:rsidRPr="00F30A15" w:rsidRDefault="0035700B" w:rsidP="0035700B">
            <w:pPr>
              <w:jc w:val="right"/>
              <w:rPr>
                <w:rFonts w:ascii="Arial" w:hAnsi="Arial" w:cs="Arial"/>
                <w:sz w:val="16"/>
                <w:szCs w:val="16"/>
                <w:lang w:eastAsia="es-AR"/>
              </w:rPr>
            </w:pPr>
            <w:r w:rsidRPr="004D4808">
              <w:rPr>
                <w:rFonts w:ascii="Arial" w:eastAsia="Calibri" w:hAnsi="Arial" w:cs="Arial"/>
                <w:color w:val="000000"/>
                <w:sz w:val="16"/>
              </w:rPr>
              <w:t>-</w:t>
            </w:r>
          </w:p>
        </w:tc>
        <w:tc>
          <w:tcPr>
            <w:tcW w:w="551" w:type="pct"/>
            <w:tcBorders>
              <w:top w:val="nil"/>
              <w:left w:val="nil"/>
              <w:bottom w:val="single" w:sz="4" w:space="0" w:color="auto"/>
              <w:right w:val="single" w:sz="4" w:space="0" w:color="auto"/>
            </w:tcBorders>
            <w:vAlign w:val="bottom"/>
          </w:tcPr>
          <w:p w14:paraId="29DDA3BC" w14:textId="68AF8B33" w:rsidR="0035700B" w:rsidRPr="00F30A15" w:rsidRDefault="0035700B" w:rsidP="0035700B">
            <w:pPr>
              <w:jc w:val="right"/>
              <w:rPr>
                <w:rFonts w:ascii="Arial" w:eastAsia="Calibri" w:hAnsi="Arial" w:cs="Arial"/>
                <w:color w:val="000000"/>
                <w:sz w:val="16"/>
                <w:szCs w:val="16"/>
              </w:rPr>
            </w:pPr>
            <w:r w:rsidRPr="004D4808">
              <w:rPr>
                <w:rFonts w:ascii="Arial" w:eastAsia="Calibri" w:hAnsi="Arial" w:cs="Arial"/>
                <w:color w:val="000000"/>
                <w:sz w:val="16"/>
              </w:rPr>
              <w:t>2.759.854</w:t>
            </w:r>
          </w:p>
        </w:tc>
      </w:tr>
      <w:tr w:rsidR="0035700B" w:rsidRPr="00701F32" w14:paraId="1E8253E8" w14:textId="77777777" w:rsidTr="0035700B">
        <w:trPr>
          <w:trHeight w:val="244"/>
        </w:trPr>
        <w:tc>
          <w:tcPr>
            <w:tcW w:w="2480" w:type="pct"/>
            <w:tcBorders>
              <w:top w:val="nil"/>
              <w:left w:val="single" w:sz="4" w:space="0" w:color="auto"/>
              <w:bottom w:val="single" w:sz="4" w:space="0" w:color="auto"/>
              <w:right w:val="single" w:sz="4" w:space="0" w:color="auto"/>
            </w:tcBorders>
            <w:shd w:val="clear" w:color="auto" w:fill="auto"/>
            <w:noWrap/>
            <w:vAlign w:val="bottom"/>
            <w:hideMark/>
          </w:tcPr>
          <w:p w14:paraId="2B257150" w14:textId="77777777" w:rsidR="0035700B" w:rsidRPr="00F30A15" w:rsidRDefault="0035700B" w:rsidP="0035700B">
            <w:pPr>
              <w:jc w:val="both"/>
              <w:rPr>
                <w:rFonts w:ascii="Arial" w:hAnsi="Arial" w:cs="Arial"/>
                <w:b/>
                <w:bCs/>
                <w:sz w:val="16"/>
                <w:szCs w:val="16"/>
                <w:lang w:eastAsia="es-AR"/>
              </w:rPr>
            </w:pPr>
            <w:r w:rsidRPr="00F30A15">
              <w:rPr>
                <w:rFonts w:ascii="Arial" w:hAnsi="Arial" w:cs="Arial"/>
                <w:b/>
                <w:bCs/>
                <w:sz w:val="16"/>
                <w:szCs w:val="16"/>
                <w:lang w:eastAsia="es-AR"/>
              </w:rPr>
              <w:t>Total Pasivos</w:t>
            </w:r>
          </w:p>
        </w:tc>
        <w:tc>
          <w:tcPr>
            <w:tcW w:w="639" w:type="pct"/>
            <w:tcBorders>
              <w:top w:val="nil"/>
              <w:left w:val="nil"/>
              <w:bottom w:val="single" w:sz="4" w:space="0" w:color="auto"/>
              <w:right w:val="single" w:sz="4" w:space="0" w:color="auto"/>
            </w:tcBorders>
            <w:shd w:val="clear" w:color="auto" w:fill="auto"/>
            <w:noWrap/>
            <w:vAlign w:val="bottom"/>
            <w:hideMark/>
          </w:tcPr>
          <w:p w14:paraId="5678DE95" w14:textId="317C1592" w:rsidR="0035700B" w:rsidRPr="00F30A15" w:rsidRDefault="0035700B" w:rsidP="0035700B">
            <w:pPr>
              <w:jc w:val="right"/>
              <w:rPr>
                <w:rFonts w:ascii="Arial" w:hAnsi="Arial" w:cs="Arial"/>
                <w:b/>
                <w:bCs/>
                <w:sz w:val="16"/>
                <w:szCs w:val="16"/>
                <w:lang w:eastAsia="es-AR"/>
              </w:rPr>
            </w:pPr>
            <w:r w:rsidRPr="004D4808">
              <w:rPr>
                <w:rFonts w:ascii="Arial" w:hAnsi="Arial" w:cs="Arial"/>
                <w:b/>
                <w:bCs/>
                <w:sz w:val="16"/>
                <w:lang w:eastAsia="es-AR"/>
              </w:rPr>
              <w:t>3.467.762</w:t>
            </w:r>
          </w:p>
        </w:tc>
        <w:tc>
          <w:tcPr>
            <w:tcW w:w="641" w:type="pct"/>
            <w:tcBorders>
              <w:top w:val="nil"/>
              <w:left w:val="nil"/>
              <w:bottom w:val="single" w:sz="4" w:space="0" w:color="auto"/>
              <w:right w:val="single" w:sz="4" w:space="0" w:color="auto"/>
            </w:tcBorders>
            <w:shd w:val="clear" w:color="auto" w:fill="auto"/>
            <w:noWrap/>
            <w:vAlign w:val="bottom"/>
            <w:hideMark/>
          </w:tcPr>
          <w:p w14:paraId="75FFCFC5" w14:textId="0054470D" w:rsidR="0035700B" w:rsidRPr="00F30A15" w:rsidRDefault="0035700B" w:rsidP="0035700B">
            <w:pPr>
              <w:jc w:val="right"/>
              <w:rPr>
                <w:rFonts w:ascii="Arial" w:eastAsia="Calibri" w:hAnsi="Arial" w:cs="Arial"/>
                <w:b/>
                <w:bCs/>
                <w:color w:val="000000"/>
                <w:sz w:val="16"/>
                <w:szCs w:val="16"/>
              </w:rPr>
            </w:pPr>
            <w:r w:rsidRPr="004D4808">
              <w:rPr>
                <w:rFonts w:ascii="Arial" w:eastAsia="Calibri" w:hAnsi="Arial" w:cs="Arial"/>
                <w:b/>
                <w:bCs/>
                <w:color w:val="000000"/>
                <w:sz w:val="16"/>
              </w:rPr>
              <w:t>-</w:t>
            </w:r>
          </w:p>
        </w:tc>
        <w:tc>
          <w:tcPr>
            <w:tcW w:w="689" w:type="pct"/>
            <w:tcBorders>
              <w:top w:val="nil"/>
              <w:left w:val="nil"/>
              <w:bottom w:val="single" w:sz="4" w:space="0" w:color="auto"/>
              <w:right w:val="single" w:sz="4" w:space="0" w:color="auto"/>
            </w:tcBorders>
            <w:shd w:val="clear" w:color="auto" w:fill="auto"/>
            <w:noWrap/>
            <w:vAlign w:val="bottom"/>
            <w:hideMark/>
          </w:tcPr>
          <w:p w14:paraId="71D2AA01" w14:textId="3C367C5D" w:rsidR="0035700B" w:rsidRPr="00F30A15" w:rsidRDefault="0035700B" w:rsidP="0035700B">
            <w:pPr>
              <w:jc w:val="right"/>
              <w:rPr>
                <w:rFonts w:ascii="Arial" w:hAnsi="Arial" w:cs="Arial"/>
                <w:b/>
                <w:bCs/>
                <w:sz w:val="16"/>
                <w:szCs w:val="16"/>
                <w:lang w:eastAsia="es-AR"/>
              </w:rPr>
            </w:pPr>
            <w:r w:rsidRPr="004D4808">
              <w:rPr>
                <w:rFonts w:ascii="Arial" w:hAnsi="Arial" w:cs="Arial"/>
                <w:b/>
                <w:bCs/>
                <w:sz w:val="16"/>
                <w:lang w:eastAsia="es-AR"/>
              </w:rPr>
              <w:t>-</w:t>
            </w:r>
          </w:p>
        </w:tc>
        <w:tc>
          <w:tcPr>
            <w:tcW w:w="551" w:type="pct"/>
            <w:tcBorders>
              <w:top w:val="nil"/>
              <w:left w:val="nil"/>
              <w:bottom w:val="single" w:sz="4" w:space="0" w:color="auto"/>
              <w:right w:val="single" w:sz="4" w:space="0" w:color="auto"/>
            </w:tcBorders>
            <w:vAlign w:val="bottom"/>
          </w:tcPr>
          <w:p w14:paraId="39D0E8DE" w14:textId="114DCFEF" w:rsidR="0035700B" w:rsidRPr="00F30A15" w:rsidRDefault="0035700B" w:rsidP="0035700B">
            <w:pPr>
              <w:jc w:val="right"/>
              <w:rPr>
                <w:rFonts w:ascii="Arial" w:hAnsi="Arial" w:cs="Arial"/>
                <w:b/>
                <w:bCs/>
                <w:sz w:val="16"/>
                <w:szCs w:val="16"/>
                <w:lang w:eastAsia="es-AR"/>
              </w:rPr>
            </w:pPr>
            <w:r w:rsidRPr="004D4808">
              <w:rPr>
                <w:rFonts w:ascii="Arial" w:hAnsi="Arial" w:cs="Arial"/>
                <w:b/>
                <w:bCs/>
                <w:sz w:val="16"/>
                <w:lang w:eastAsia="es-AR"/>
              </w:rPr>
              <w:t>3.467.762</w:t>
            </w:r>
          </w:p>
        </w:tc>
      </w:tr>
    </w:tbl>
    <w:p w14:paraId="62CA5349" w14:textId="77777777" w:rsidR="005F7199" w:rsidRDefault="005F7199" w:rsidP="005F7199">
      <w:pPr>
        <w:spacing w:after="160" w:line="259" w:lineRule="auto"/>
        <w:jc w:val="both"/>
        <w:rPr>
          <w:rFonts w:ascii="Arial" w:eastAsia="Calibri" w:hAnsi="Arial" w:cs="Arial"/>
          <w:bCs/>
          <w:sz w:val="20"/>
        </w:rPr>
      </w:pPr>
      <w:r w:rsidRPr="00730606">
        <w:rPr>
          <w:rFonts w:ascii="Arial" w:eastAsia="Calibri" w:hAnsi="Arial" w:cs="Arial"/>
          <w:bCs/>
          <w:sz w:val="20"/>
        </w:rPr>
        <w:t>Se detalla a continuación la evolución de los instrumentos incluidos en valor razonable nivel 3</w:t>
      </w:r>
      <w:r>
        <w:rPr>
          <w:rFonts w:ascii="Arial" w:eastAsia="Calibri" w:hAnsi="Arial" w:cs="Arial"/>
          <w:bCs/>
          <w:sz w:val="20"/>
        </w:rPr>
        <w:t>:</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46"/>
        <w:gridCol w:w="1047"/>
        <w:gridCol w:w="1247"/>
        <w:gridCol w:w="761"/>
        <w:gridCol w:w="705"/>
        <w:gridCol w:w="987"/>
        <w:gridCol w:w="1037"/>
      </w:tblGrid>
      <w:tr w:rsidR="005F7199" w:rsidRPr="00701F32" w14:paraId="5A421840" w14:textId="77777777" w:rsidTr="00301D37">
        <w:trPr>
          <w:trHeight w:val="137"/>
          <w:tblHeader/>
        </w:trPr>
        <w:tc>
          <w:tcPr>
            <w:tcW w:w="1725" w:type="pct"/>
            <w:shd w:val="clear" w:color="auto" w:fill="auto"/>
            <w:noWrap/>
            <w:vAlign w:val="bottom"/>
            <w:hideMark/>
          </w:tcPr>
          <w:p w14:paraId="06E9F735" w14:textId="77777777" w:rsidR="005F7199" w:rsidRPr="002C419B" w:rsidRDefault="005F7199" w:rsidP="00301D37">
            <w:pPr>
              <w:jc w:val="center"/>
              <w:rPr>
                <w:rFonts w:ascii="Arial" w:hAnsi="Arial" w:cs="Arial"/>
                <w:b/>
                <w:sz w:val="16"/>
                <w:szCs w:val="16"/>
                <w:lang w:eastAsia="es-AR"/>
              </w:rPr>
            </w:pPr>
            <w:r w:rsidRPr="002C419B">
              <w:rPr>
                <w:rFonts w:ascii="Arial" w:eastAsia="Calibri" w:hAnsi="Arial" w:cs="Arial"/>
                <w:bCs/>
                <w:sz w:val="16"/>
                <w:szCs w:val="16"/>
              </w:rPr>
              <w:br w:type="page"/>
            </w:r>
            <w:r w:rsidRPr="002C419B">
              <w:rPr>
                <w:rFonts w:ascii="Arial" w:hAnsi="Arial" w:cs="Arial"/>
                <w:b/>
                <w:sz w:val="16"/>
                <w:szCs w:val="16"/>
                <w:lang w:eastAsia="es-AR"/>
              </w:rPr>
              <w:t>Nivel 3</w:t>
            </w:r>
          </w:p>
        </w:tc>
        <w:tc>
          <w:tcPr>
            <w:tcW w:w="593" w:type="pct"/>
            <w:shd w:val="clear" w:color="auto" w:fill="auto"/>
            <w:noWrap/>
            <w:vAlign w:val="bottom"/>
            <w:hideMark/>
          </w:tcPr>
          <w:p w14:paraId="58BD5E01" w14:textId="77777777" w:rsidR="005F7199" w:rsidRPr="002C419B" w:rsidRDefault="005F7199" w:rsidP="00301D37">
            <w:pPr>
              <w:jc w:val="center"/>
              <w:rPr>
                <w:rFonts w:ascii="Arial" w:hAnsi="Arial" w:cs="Arial"/>
                <w:b/>
                <w:bCs/>
                <w:color w:val="000000"/>
                <w:sz w:val="16"/>
                <w:szCs w:val="16"/>
                <w:lang w:eastAsia="es-AR"/>
              </w:rPr>
            </w:pPr>
            <w:r w:rsidRPr="002C419B">
              <w:rPr>
                <w:rFonts w:ascii="Arial" w:hAnsi="Arial" w:cs="Arial"/>
                <w:b/>
                <w:bCs/>
                <w:color w:val="000000"/>
                <w:sz w:val="16"/>
                <w:szCs w:val="16"/>
              </w:rPr>
              <w:t>Saldo al 31/12/2018</w:t>
            </w:r>
          </w:p>
        </w:tc>
        <w:tc>
          <w:tcPr>
            <w:tcW w:w="706" w:type="pct"/>
            <w:shd w:val="clear" w:color="auto" w:fill="auto"/>
            <w:noWrap/>
            <w:vAlign w:val="bottom"/>
            <w:hideMark/>
          </w:tcPr>
          <w:p w14:paraId="73CC3D94" w14:textId="77777777" w:rsidR="005F7199" w:rsidRPr="002C419B" w:rsidRDefault="005F7199" w:rsidP="00301D37">
            <w:pPr>
              <w:jc w:val="center"/>
              <w:rPr>
                <w:rFonts w:ascii="Arial" w:hAnsi="Arial" w:cs="Arial"/>
                <w:b/>
                <w:sz w:val="16"/>
                <w:szCs w:val="16"/>
                <w:lang w:eastAsia="es-AR"/>
              </w:rPr>
            </w:pPr>
            <w:r w:rsidRPr="002C419B">
              <w:rPr>
                <w:rFonts w:ascii="Arial" w:hAnsi="Arial" w:cs="Arial"/>
                <w:b/>
                <w:sz w:val="16"/>
                <w:szCs w:val="16"/>
                <w:lang w:eastAsia="es-AR"/>
              </w:rPr>
              <w:t>Trasfe</w:t>
            </w:r>
            <w:r>
              <w:rPr>
                <w:rFonts w:ascii="Arial" w:hAnsi="Arial" w:cs="Arial"/>
                <w:b/>
                <w:sz w:val="16"/>
                <w:szCs w:val="16"/>
                <w:lang w:eastAsia="es-AR"/>
              </w:rPr>
              <w:t>ren</w:t>
            </w:r>
            <w:r w:rsidRPr="002C419B">
              <w:rPr>
                <w:rFonts w:ascii="Arial" w:hAnsi="Arial" w:cs="Arial"/>
                <w:b/>
                <w:sz w:val="16"/>
                <w:szCs w:val="16"/>
                <w:lang w:eastAsia="es-AR"/>
              </w:rPr>
              <w:t>cias (*)</w:t>
            </w:r>
          </w:p>
        </w:tc>
        <w:tc>
          <w:tcPr>
            <w:tcW w:w="431" w:type="pct"/>
            <w:shd w:val="clear" w:color="auto" w:fill="auto"/>
            <w:noWrap/>
            <w:vAlign w:val="bottom"/>
            <w:hideMark/>
          </w:tcPr>
          <w:p w14:paraId="7D634236" w14:textId="77777777" w:rsidR="005F7199" w:rsidRPr="002C419B" w:rsidRDefault="005F7199" w:rsidP="00301D37">
            <w:pPr>
              <w:jc w:val="center"/>
              <w:rPr>
                <w:rFonts w:ascii="Arial" w:hAnsi="Arial" w:cs="Arial"/>
                <w:b/>
                <w:sz w:val="16"/>
                <w:szCs w:val="16"/>
                <w:lang w:eastAsia="es-AR"/>
              </w:rPr>
            </w:pPr>
            <w:r w:rsidRPr="002C419B">
              <w:rPr>
                <w:rFonts w:ascii="Arial" w:hAnsi="Arial" w:cs="Arial"/>
                <w:b/>
                <w:sz w:val="16"/>
                <w:szCs w:val="16"/>
                <w:lang w:eastAsia="es-AR"/>
              </w:rPr>
              <w:t>Altas</w:t>
            </w:r>
          </w:p>
        </w:tc>
        <w:tc>
          <w:tcPr>
            <w:tcW w:w="399" w:type="pct"/>
            <w:vAlign w:val="bottom"/>
          </w:tcPr>
          <w:p w14:paraId="63EFFDBD" w14:textId="77777777" w:rsidR="005F7199" w:rsidRPr="002C419B" w:rsidRDefault="005F7199" w:rsidP="00301D37">
            <w:pPr>
              <w:jc w:val="center"/>
              <w:rPr>
                <w:rFonts w:ascii="Arial" w:hAnsi="Arial" w:cs="Arial"/>
                <w:b/>
                <w:bCs/>
                <w:color w:val="000000"/>
                <w:sz w:val="16"/>
                <w:szCs w:val="16"/>
              </w:rPr>
            </w:pPr>
            <w:r w:rsidRPr="002C419B">
              <w:rPr>
                <w:rFonts w:ascii="Arial" w:hAnsi="Arial" w:cs="Arial"/>
                <w:b/>
                <w:bCs/>
                <w:color w:val="000000"/>
                <w:sz w:val="16"/>
                <w:szCs w:val="16"/>
              </w:rPr>
              <w:t>Bajas</w:t>
            </w:r>
          </w:p>
        </w:tc>
        <w:tc>
          <w:tcPr>
            <w:tcW w:w="559" w:type="pct"/>
            <w:vAlign w:val="bottom"/>
          </w:tcPr>
          <w:p w14:paraId="08E619B3" w14:textId="77777777" w:rsidR="005F7199" w:rsidRPr="002C419B" w:rsidRDefault="005F7199" w:rsidP="00301D37">
            <w:pPr>
              <w:jc w:val="center"/>
              <w:rPr>
                <w:rFonts w:ascii="Arial" w:hAnsi="Arial" w:cs="Arial"/>
                <w:b/>
                <w:bCs/>
                <w:color w:val="000000"/>
                <w:sz w:val="16"/>
                <w:szCs w:val="16"/>
              </w:rPr>
            </w:pPr>
            <w:r w:rsidRPr="002C419B">
              <w:rPr>
                <w:rFonts w:ascii="Arial" w:hAnsi="Arial" w:cs="Arial"/>
                <w:b/>
                <w:bCs/>
                <w:color w:val="000000"/>
                <w:sz w:val="16"/>
                <w:szCs w:val="16"/>
              </w:rPr>
              <w:t>Resultado</w:t>
            </w:r>
          </w:p>
        </w:tc>
        <w:tc>
          <w:tcPr>
            <w:tcW w:w="587" w:type="pct"/>
            <w:vAlign w:val="bottom"/>
          </w:tcPr>
          <w:p w14:paraId="7E7499ED" w14:textId="77777777" w:rsidR="005F7199" w:rsidRPr="002C419B" w:rsidRDefault="005F7199" w:rsidP="00301D37">
            <w:pPr>
              <w:jc w:val="center"/>
              <w:rPr>
                <w:rFonts w:ascii="Arial" w:hAnsi="Arial" w:cs="Arial"/>
                <w:b/>
                <w:bCs/>
                <w:color w:val="000000"/>
                <w:sz w:val="16"/>
                <w:szCs w:val="16"/>
                <w:lang w:eastAsia="es-AR"/>
              </w:rPr>
            </w:pPr>
            <w:r w:rsidRPr="002C419B">
              <w:rPr>
                <w:rFonts w:ascii="Arial" w:hAnsi="Arial" w:cs="Arial"/>
                <w:b/>
                <w:bCs/>
                <w:color w:val="000000"/>
                <w:sz w:val="16"/>
                <w:szCs w:val="16"/>
              </w:rPr>
              <w:t>Saldo al 31/12/2019</w:t>
            </w:r>
          </w:p>
        </w:tc>
      </w:tr>
      <w:tr w:rsidR="005F7199" w:rsidRPr="00701F32" w14:paraId="124E6203" w14:textId="77777777" w:rsidTr="00301D37">
        <w:trPr>
          <w:trHeight w:val="137"/>
        </w:trPr>
        <w:tc>
          <w:tcPr>
            <w:tcW w:w="1725" w:type="pct"/>
            <w:shd w:val="clear" w:color="auto" w:fill="auto"/>
            <w:noWrap/>
            <w:vAlign w:val="bottom"/>
            <w:hideMark/>
          </w:tcPr>
          <w:p w14:paraId="34A93288" w14:textId="77777777" w:rsidR="005F7199" w:rsidRPr="002C419B" w:rsidRDefault="005F7199" w:rsidP="00301D37">
            <w:pPr>
              <w:rPr>
                <w:rFonts w:ascii="Arial" w:hAnsi="Arial" w:cs="Arial"/>
                <w:b/>
                <w:bCs/>
                <w:sz w:val="16"/>
                <w:szCs w:val="16"/>
                <w:lang w:eastAsia="es-AR"/>
              </w:rPr>
            </w:pPr>
            <w:r w:rsidRPr="002C419B">
              <w:rPr>
                <w:rFonts w:ascii="Arial" w:hAnsi="Arial" w:cs="Arial"/>
                <w:b/>
                <w:bCs/>
                <w:sz w:val="16"/>
                <w:szCs w:val="16"/>
                <w:lang w:eastAsia="es-AR"/>
              </w:rPr>
              <w:t>Activos</w:t>
            </w:r>
          </w:p>
        </w:tc>
        <w:tc>
          <w:tcPr>
            <w:tcW w:w="593" w:type="pct"/>
            <w:shd w:val="clear" w:color="auto" w:fill="auto"/>
            <w:noWrap/>
            <w:vAlign w:val="bottom"/>
            <w:hideMark/>
          </w:tcPr>
          <w:p w14:paraId="5A0458BB" w14:textId="77777777" w:rsidR="005F7199" w:rsidRPr="002C419B" w:rsidRDefault="005F7199" w:rsidP="00301D37">
            <w:pPr>
              <w:jc w:val="center"/>
              <w:rPr>
                <w:rFonts w:ascii="Arial" w:hAnsi="Arial" w:cs="Arial"/>
                <w:b/>
                <w:bCs/>
                <w:sz w:val="16"/>
                <w:szCs w:val="16"/>
                <w:lang w:val="es-ES_tradnl" w:eastAsia="es-AR"/>
              </w:rPr>
            </w:pPr>
          </w:p>
        </w:tc>
        <w:tc>
          <w:tcPr>
            <w:tcW w:w="706" w:type="pct"/>
            <w:shd w:val="clear" w:color="auto" w:fill="auto"/>
            <w:noWrap/>
            <w:vAlign w:val="bottom"/>
            <w:hideMark/>
          </w:tcPr>
          <w:p w14:paraId="73CCE927" w14:textId="77777777" w:rsidR="005F7199" w:rsidRPr="002C419B" w:rsidRDefault="005F7199" w:rsidP="00301D37">
            <w:pPr>
              <w:jc w:val="center"/>
              <w:rPr>
                <w:rFonts w:ascii="Arial" w:hAnsi="Arial" w:cs="Arial"/>
                <w:b/>
                <w:bCs/>
                <w:sz w:val="16"/>
                <w:szCs w:val="16"/>
                <w:lang w:val="es-ES_tradnl" w:eastAsia="es-AR"/>
              </w:rPr>
            </w:pPr>
          </w:p>
        </w:tc>
        <w:tc>
          <w:tcPr>
            <w:tcW w:w="431" w:type="pct"/>
            <w:shd w:val="clear" w:color="auto" w:fill="auto"/>
            <w:noWrap/>
            <w:vAlign w:val="bottom"/>
            <w:hideMark/>
          </w:tcPr>
          <w:p w14:paraId="17197A9A" w14:textId="77777777" w:rsidR="005F7199" w:rsidRPr="002C419B" w:rsidRDefault="005F7199" w:rsidP="00301D37">
            <w:pPr>
              <w:jc w:val="center"/>
              <w:rPr>
                <w:rFonts w:ascii="Arial" w:hAnsi="Arial" w:cs="Arial"/>
                <w:b/>
                <w:bCs/>
                <w:sz w:val="16"/>
                <w:szCs w:val="16"/>
                <w:lang w:val="es-ES_tradnl" w:eastAsia="es-AR"/>
              </w:rPr>
            </w:pPr>
          </w:p>
        </w:tc>
        <w:tc>
          <w:tcPr>
            <w:tcW w:w="399" w:type="pct"/>
            <w:vAlign w:val="bottom"/>
          </w:tcPr>
          <w:p w14:paraId="47811C1E" w14:textId="77777777" w:rsidR="005F7199" w:rsidRPr="002C419B" w:rsidRDefault="005F7199" w:rsidP="00301D37">
            <w:pPr>
              <w:jc w:val="center"/>
              <w:rPr>
                <w:rFonts w:ascii="Arial" w:hAnsi="Arial" w:cs="Arial"/>
                <w:b/>
                <w:bCs/>
                <w:sz w:val="16"/>
                <w:szCs w:val="16"/>
                <w:lang w:eastAsia="es-AR"/>
              </w:rPr>
            </w:pPr>
          </w:p>
        </w:tc>
        <w:tc>
          <w:tcPr>
            <w:tcW w:w="559" w:type="pct"/>
            <w:vAlign w:val="bottom"/>
          </w:tcPr>
          <w:p w14:paraId="3F209140" w14:textId="77777777" w:rsidR="005F7199" w:rsidRPr="002C419B" w:rsidRDefault="005F7199" w:rsidP="00301D37">
            <w:pPr>
              <w:jc w:val="center"/>
              <w:rPr>
                <w:rFonts w:ascii="Arial" w:hAnsi="Arial" w:cs="Arial"/>
                <w:b/>
                <w:bCs/>
                <w:sz w:val="16"/>
                <w:szCs w:val="16"/>
                <w:lang w:eastAsia="es-AR"/>
              </w:rPr>
            </w:pPr>
          </w:p>
        </w:tc>
        <w:tc>
          <w:tcPr>
            <w:tcW w:w="587" w:type="pct"/>
            <w:vAlign w:val="bottom"/>
          </w:tcPr>
          <w:p w14:paraId="5F7122BC" w14:textId="77777777" w:rsidR="005F7199" w:rsidRPr="002C419B" w:rsidRDefault="005F7199" w:rsidP="00301D37">
            <w:pPr>
              <w:jc w:val="center"/>
              <w:rPr>
                <w:rFonts w:ascii="Arial" w:hAnsi="Arial" w:cs="Arial"/>
                <w:b/>
                <w:bCs/>
                <w:sz w:val="16"/>
                <w:szCs w:val="16"/>
                <w:lang w:eastAsia="es-AR"/>
              </w:rPr>
            </w:pPr>
          </w:p>
        </w:tc>
      </w:tr>
      <w:tr w:rsidR="005F7199" w:rsidRPr="009C39E0" w14:paraId="1CB03376" w14:textId="77777777" w:rsidTr="00301D37">
        <w:trPr>
          <w:trHeight w:val="60"/>
        </w:trPr>
        <w:tc>
          <w:tcPr>
            <w:tcW w:w="1725" w:type="pct"/>
            <w:shd w:val="clear" w:color="auto" w:fill="auto"/>
            <w:noWrap/>
            <w:vAlign w:val="bottom"/>
          </w:tcPr>
          <w:p w14:paraId="6412CD27" w14:textId="77777777" w:rsidR="005F7199" w:rsidRPr="002C419B" w:rsidRDefault="005F7199" w:rsidP="00301D37">
            <w:pPr>
              <w:rPr>
                <w:rFonts w:ascii="Arial" w:hAnsi="Arial" w:cs="Arial"/>
                <w:sz w:val="16"/>
                <w:szCs w:val="16"/>
                <w:lang w:eastAsia="es-AR"/>
              </w:rPr>
            </w:pPr>
            <w:r w:rsidRPr="002C419B">
              <w:rPr>
                <w:rFonts w:ascii="Arial" w:hAnsi="Arial" w:cs="Arial"/>
                <w:sz w:val="16"/>
                <w:szCs w:val="16"/>
                <w:lang w:eastAsia="es-AR"/>
              </w:rPr>
              <w:t>- Títulos de deuda a valor razonable con cambios en resultados</w:t>
            </w:r>
          </w:p>
        </w:tc>
        <w:tc>
          <w:tcPr>
            <w:tcW w:w="593" w:type="pct"/>
            <w:shd w:val="clear" w:color="auto" w:fill="auto"/>
            <w:noWrap/>
            <w:vAlign w:val="bottom"/>
          </w:tcPr>
          <w:p w14:paraId="4055369F" w14:textId="77777777" w:rsidR="005F7199" w:rsidRPr="002C419B" w:rsidRDefault="005F7199" w:rsidP="00301D37">
            <w:pPr>
              <w:jc w:val="center"/>
              <w:rPr>
                <w:rFonts w:ascii="Arial" w:hAnsi="Arial" w:cs="Arial"/>
                <w:sz w:val="16"/>
                <w:szCs w:val="16"/>
              </w:rPr>
            </w:pPr>
            <w:r w:rsidRPr="002C419B">
              <w:rPr>
                <w:rFonts w:ascii="Arial" w:hAnsi="Arial" w:cs="Arial"/>
                <w:sz w:val="16"/>
                <w:szCs w:val="16"/>
              </w:rPr>
              <w:t>-</w:t>
            </w:r>
          </w:p>
        </w:tc>
        <w:tc>
          <w:tcPr>
            <w:tcW w:w="706" w:type="pct"/>
            <w:shd w:val="clear" w:color="auto" w:fill="auto"/>
            <w:noWrap/>
            <w:vAlign w:val="bottom"/>
          </w:tcPr>
          <w:p w14:paraId="201D495B" w14:textId="712EC502" w:rsidR="005F7199" w:rsidRPr="002C419B" w:rsidRDefault="005F7199" w:rsidP="00301D37">
            <w:pPr>
              <w:jc w:val="center"/>
              <w:rPr>
                <w:rFonts w:ascii="Arial" w:hAnsi="Arial" w:cs="Arial"/>
                <w:sz w:val="16"/>
                <w:szCs w:val="16"/>
              </w:rPr>
            </w:pPr>
            <w:r w:rsidRPr="002C419B">
              <w:rPr>
                <w:rFonts w:ascii="Arial" w:hAnsi="Arial" w:cs="Arial"/>
                <w:sz w:val="16"/>
                <w:szCs w:val="16"/>
              </w:rPr>
              <w:t>3</w:t>
            </w:r>
            <w:r w:rsidR="00D63203">
              <w:rPr>
                <w:rFonts w:ascii="Arial" w:hAnsi="Arial" w:cs="Arial"/>
                <w:sz w:val="16"/>
                <w:szCs w:val="16"/>
              </w:rPr>
              <w:t>.</w:t>
            </w:r>
            <w:r w:rsidRPr="002C419B">
              <w:rPr>
                <w:rFonts w:ascii="Arial" w:hAnsi="Arial" w:cs="Arial"/>
                <w:sz w:val="16"/>
                <w:szCs w:val="16"/>
              </w:rPr>
              <w:t>67</w:t>
            </w:r>
            <w:r w:rsidR="000966C6">
              <w:rPr>
                <w:rFonts w:ascii="Arial" w:hAnsi="Arial" w:cs="Arial"/>
                <w:sz w:val="16"/>
                <w:szCs w:val="16"/>
              </w:rPr>
              <w:t>1</w:t>
            </w:r>
          </w:p>
        </w:tc>
        <w:tc>
          <w:tcPr>
            <w:tcW w:w="431" w:type="pct"/>
            <w:shd w:val="clear" w:color="auto" w:fill="auto"/>
            <w:noWrap/>
            <w:vAlign w:val="bottom"/>
          </w:tcPr>
          <w:p w14:paraId="1E93E880" w14:textId="77777777" w:rsidR="005F7199" w:rsidRPr="002C419B" w:rsidRDefault="005F7199" w:rsidP="00301D37">
            <w:pPr>
              <w:jc w:val="center"/>
              <w:rPr>
                <w:rFonts w:ascii="Arial" w:hAnsi="Arial" w:cs="Arial"/>
                <w:sz w:val="16"/>
                <w:szCs w:val="16"/>
              </w:rPr>
            </w:pPr>
            <w:r w:rsidRPr="002C419B">
              <w:rPr>
                <w:rFonts w:ascii="Arial" w:hAnsi="Arial" w:cs="Arial"/>
                <w:sz w:val="16"/>
                <w:szCs w:val="16"/>
              </w:rPr>
              <w:t>-</w:t>
            </w:r>
          </w:p>
        </w:tc>
        <w:tc>
          <w:tcPr>
            <w:tcW w:w="399" w:type="pct"/>
            <w:vAlign w:val="bottom"/>
          </w:tcPr>
          <w:p w14:paraId="2B4B3212" w14:textId="77777777" w:rsidR="005F7199" w:rsidRPr="002C419B" w:rsidRDefault="005F7199" w:rsidP="00301D37">
            <w:pPr>
              <w:jc w:val="center"/>
              <w:rPr>
                <w:rFonts w:ascii="Arial" w:hAnsi="Arial" w:cs="Arial"/>
                <w:sz w:val="16"/>
                <w:szCs w:val="16"/>
              </w:rPr>
            </w:pPr>
            <w:r w:rsidRPr="002C419B">
              <w:rPr>
                <w:rFonts w:ascii="Arial" w:hAnsi="Arial" w:cs="Arial"/>
                <w:sz w:val="16"/>
                <w:szCs w:val="16"/>
              </w:rPr>
              <w:t>-</w:t>
            </w:r>
          </w:p>
        </w:tc>
        <w:tc>
          <w:tcPr>
            <w:tcW w:w="559" w:type="pct"/>
            <w:vAlign w:val="bottom"/>
          </w:tcPr>
          <w:p w14:paraId="7ECC9F85" w14:textId="77777777" w:rsidR="005F7199" w:rsidRPr="002C419B" w:rsidRDefault="005F7199" w:rsidP="00301D37">
            <w:pPr>
              <w:jc w:val="center"/>
              <w:rPr>
                <w:rFonts w:ascii="Arial" w:hAnsi="Arial" w:cs="Arial"/>
                <w:sz w:val="16"/>
                <w:szCs w:val="16"/>
              </w:rPr>
            </w:pPr>
            <w:r w:rsidRPr="002C419B">
              <w:rPr>
                <w:rFonts w:ascii="Arial" w:hAnsi="Arial" w:cs="Arial"/>
                <w:sz w:val="16"/>
                <w:szCs w:val="16"/>
              </w:rPr>
              <w:t>-</w:t>
            </w:r>
          </w:p>
        </w:tc>
        <w:tc>
          <w:tcPr>
            <w:tcW w:w="587" w:type="pct"/>
            <w:vAlign w:val="bottom"/>
          </w:tcPr>
          <w:p w14:paraId="0B10C05C" w14:textId="2A48DEFB" w:rsidR="005F7199" w:rsidRPr="002C419B" w:rsidRDefault="005F7199" w:rsidP="00301D37">
            <w:pPr>
              <w:jc w:val="center"/>
              <w:rPr>
                <w:rFonts w:ascii="Arial" w:hAnsi="Arial" w:cs="Arial"/>
                <w:sz w:val="16"/>
                <w:szCs w:val="16"/>
              </w:rPr>
            </w:pPr>
            <w:r w:rsidRPr="002C419B">
              <w:rPr>
                <w:rFonts w:ascii="Arial" w:hAnsi="Arial" w:cs="Arial"/>
                <w:sz w:val="16"/>
                <w:szCs w:val="16"/>
              </w:rPr>
              <w:t>3</w:t>
            </w:r>
            <w:r w:rsidR="00D63203">
              <w:rPr>
                <w:rFonts w:ascii="Arial" w:hAnsi="Arial" w:cs="Arial"/>
                <w:sz w:val="16"/>
                <w:szCs w:val="16"/>
              </w:rPr>
              <w:t>.</w:t>
            </w:r>
            <w:r w:rsidRPr="002C419B">
              <w:rPr>
                <w:rFonts w:ascii="Arial" w:hAnsi="Arial" w:cs="Arial"/>
                <w:sz w:val="16"/>
                <w:szCs w:val="16"/>
              </w:rPr>
              <w:t>67</w:t>
            </w:r>
            <w:r w:rsidR="000966C6">
              <w:rPr>
                <w:rFonts w:ascii="Arial" w:hAnsi="Arial" w:cs="Arial"/>
                <w:sz w:val="16"/>
                <w:szCs w:val="16"/>
              </w:rPr>
              <w:t>1</w:t>
            </w:r>
          </w:p>
        </w:tc>
      </w:tr>
    </w:tbl>
    <w:p w14:paraId="2EB2E586" w14:textId="35AE00C6" w:rsidR="005F7199" w:rsidRPr="002C419B" w:rsidRDefault="005F7199" w:rsidP="005F7199">
      <w:pPr>
        <w:spacing w:after="160" w:line="259" w:lineRule="auto"/>
        <w:jc w:val="both"/>
        <w:rPr>
          <w:rFonts w:ascii="Arial" w:eastAsia="Calibri" w:hAnsi="Arial" w:cs="Arial"/>
          <w:bCs/>
          <w:i/>
          <w:sz w:val="16"/>
        </w:rPr>
      </w:pPr>
      <w:r w:rsidRPr="002C419B">
        <w:rPr>
          <w:rFonts w:ascii="Arial" w:eastAsia="Calibri" w:hAnsi="Arial" w:cs="Arial"/>
          <w:bCs/>
          <w:i/>
          <w:sz w:val="16"/>
        </w:rPr>
        <w:t>(*)</w:t>
      </w:r>
      <w:r>
        <w:rPr>
          <w:rFonts w:ascii="Arial" w:eastAsia="Calibri" w:hAnsi="Arial" w:cs="Arial"/>
          <w:bCs/>
          <w:i/>
          <w:sz w:val="16"/>
        </w:rPr>
        <w:t xml:space="preserve"> </w:t>
      </w:r>
      <w:r w:rsidRPr="002C419B">
        <w:rPr>
          <w:rFonts w:ascii="Arial" w:eastAsia="Calibri" w:hAnsi="Arial" w:cs="Arial"/>
          <w:bCs/>
          <w:i/>
          <w:sz w:val="16"/>
        </w:rPr>
        <w:t>La transferencia se produjo por el pase a Nivel 3 de los instrumentos de nivel 2 que dejaron de pose</w:t>
      </w:r>
      <w:r w:rsidR="00BF4914">
        <w:rPr>
          <w:rFonts w:ascii="Arial" w:eastAsia="Calibri" w:hAnsi="Arial" w:cs="Arial"/>
          <w:bCs/>
          <w:i/>
          <w:sz w:val="16"/>
        </w:rPr>
        <w:t>e</w:t>
      </w:r>
      <w:r w:rsidRPr="002C419B">
        <w:rPr>
          <w:rFonts w:ascii="Arial" w:eastAsia="Calibri" w:hAnsi="Arial" w:cs="Arial"/>
          <w:bCs/>
          <w:i/>
          <w:sz w:val="16"/>
        </w:rPr>
        <w:t>r precios observables directa o indirectamente para su valuación.</w:t>
      </w:r>
    </w:p>
    <w:p w14:paraId="33B158F2" w14:textId="77777777" w:rsidR="00BF4914" w:rsidRDefault="00BF4914" w:rsidP="00BF4914">
      <w:pPr>
        <w:spacing w:after="160" w:line="259" w:lineRule="auto"/>
        <w:jc w:val="both"/>
        <w:rPr>
          <w:rFonts w:ascii="Arial" w:eastAsia="Calibri" w:hAnsi="Arial" w:cs="Arial"/>
          <w:bCs/>
          <w:sz w:val="20"/>
        </w:rPr>
      </w:pPr>
      <w:r w:rsidRPr="00256DE1">
        <w:rPr>
          <w:rFonts w:ascii="Arial" w:eastAsia="Calibri" w:hAnsi="Arial" w:cs="Arial"/>
          <w:bCs/>
          <w:sz w:val="20"/>
        </w:rPr>
        <w:t>La política del Banco es reconocer transferencias entre los niveles de valores razonables solo a las fechas de cierre de ejercicio. Las mismas se produjeron por el pase a Nivel 3 de los instrumentos que no poseen precios observables de valuación</w:t>
      </w:r>
      <w:r>
        <w:rPr>
          <w:rFonts w:ascii="Arial" w:eastAsia="Calibri" w:hAnsi="Arial" w:cs="Arial"/>
          <w:bCs/>
          <w:sz w:val="20"/>
        </w:rPr>
        <w:t>.</w:t>
      </w:r>
    </w:p>
    <w:p w14:paraId="6043F677" w14:textId="77777777" w:rsidR="00F30A15" w:rsidRDefault="00F30A15" w:rsidP="00656E62">
      <w:pPr>
        <w:spacing w:after="160" w:line="259" w:lineRule="auto"/>
        <w:jc w:val="both"/>
        <w:rPr>
          <w:rFonts w:ascii="Arial" w:eastAsia="Calibri" w:hAnsi="Arial" w:cs="Arial"/>
          <w:b/>
          <w:bCs/>
          <w:sz w:val="20"/>
        </w:rPr>
      </w:pPr>
    </w:p>
    <w:p w14:paraId="68FA4A21" w14:textId="2B8AC816" w:rsidR="00656E62" w:rsidRPr="00701F32" w:rsidRDefault="00656E62" w:rsidP="00656E62">
      <w:pPr>
        <w:spacing w:after="160" w:line="259" w:lineRule="auto"/>
        <w:jc w:val="both"/>
        <w:rPr>
          <w:rFonts w:ascii="Arial" w:eastAsia="Calibri" w:hAnsi="Arial" w:cs="Arial"/>
          <w:b/>
          <w:bCs/>
          <w:sz w:val="20"/>
        </w:rPr>
      </w:pPr>
      <w:r w:rsidRPr="001B4A0E">
        <w:rPr>
          <w:rFonts w:ascii="Arial" w:eastAsia="Calibri" w:hAnsi="Arial" w:cs="Arial"/>
          <w:b/>
          <w:bCs/>
          <w:sz w:val="20"/>
        </w:rPr>
        <w:t>Técnicas de Valuación</w:t>
      </w:r>
    </w:p>
    <w:p w14:paraId="3A8905DA" w14:textId="77777777" w:rsidR="006D13EE" w:rsidRPr="00701F32" w:rsidRDefault="006D13EE" w:rsidP="006D13EE">
      <w:pPr>
        <w:spacing w:after="160" w:line="259" w:lineRule="auto"/>
        <w:jc w:val="both"/>
        <w:rPr>
          <w:rFonts w:ascii="Arial" w:eastAsia="Calibri" w:hAnsi="Arial" w:cs="Arial"/>
          <w:bCs/>
          <w:sz w:val="20"/>
        </w:rPr>
      </w:pPr>
      <w:r w:rsidRPr="00701F32">
        <w:rPr>
          <w:rFonts w:ascii="Arial" w:eastAsia="Calibri" w:hAnsi="Arial" w:cs="Arial"/>
          <w:bCs/>
          <w:sz w:val="20"/>
        </w:rPr>
        <w:t>Las técnicas de valuación para la determinación de los Valores Razonables incluyen:</w:t>
      </w:r>
    </w:p>
    <w:p w14:paraId="35B25B94" w14:textId="77777777" w:rsidR="006D13EE" w:rsidRPr="00701F32" w:rsidRDefault="006D13EE" w:rsidP="00627289">
      <w:pPr>
        <w:numPr>
          <w:ilvl w:val="0"/>
          <w:numId w:val="32"/>
        </w:numPr>
        <w:spacing w:after="160" w:line="259" w:lineRule="auto"/>
        <w:contextualSpacing/>
        <w:jc w:val="both"/>
        <w:rPr>
          <w:rFonts w:ascii="Arial" w:eastAsia="Calibri" w:hAnsi="Arial" w:cs="Arial"/>
          <w:bCs/>
          <w:sz w:val="20"/>
        </w:rPr>
      </w:pPr>
      <w:r w:rsidRPr="00701F32">
        <w:rPr>
          <w:rFonts w:ascii="Arial" w:eastAsia="Calibri" w:hAnsi="Arial" w:cs="Arial"/>
          <w:bCs/>
          <w:sz w:val="20"/>
        </w:rPr>
        <w:t>Precios de mercado o cotizaciones de instrumentos similares.</w:t>
      </w:r>
    </w:p>
    <w:p w14:paraId="16701F60" w14:textId="77777777" w:rsidR="006D13EE" w:rsidRDefault="006D13EE" w:rsidP="00627289">
      <w:pPr>
        <w:numPr>
          <w:ilvl w:val="0"/>
          <w:numId w:val="32"/>
        </w:numPr>
        <w:spacing w:after="160" w:line="259" w:lineRule="auto"/>
        <w:contextualSpacing/>
        <w:jc w:val="both"/>
        <w:rPr>
          <w:rFonts w:ascii="Arial" w:eastAsia="Calibri" w:hAnsi="Arial" w:cs="Arial"/>
          <w:bCs/>
          <w:sz w:val="20"/>
        </w:rPr>
      </w:pPr>
      <w:r w:rsidRPr="00701F32">
        <w:rPr>
          <w:rFonts w:ascii="Arial" w:eastAsia="Calibri" w:hAnsi="Arial" w:cs="Arial"/>
          <w:bCs/>
          <w:sz w:val="20"/>
        </w:rPr>
        <w:t>Determinación de valor actual estimado de los instrumentos.</w:t>
      </w:r>
    </w:p>
    <w:p w14:paraId="66705AD9" w14:textId="77777777" w:rsidR="006D13EE" w:rsidRPr="00701F32" w:rsidRDefault="006D13EE" w:rsidP="006D13EE">
      <w:pPr>
        <w:spacing w:after="160" w:line="259" w:lineRule="auto"/>
        <w:ind w:left="360"/>
        <w:contextualSpacing/>
        <w:jc w:val="both"/>
        <w:rPr>
          <w:rFonts w:ascii="Arial" w:eastAsia="Calibri" w:hAnsi="Arial" w:cs="Arial"/>
          <w:bCs/>
          <w:sz w:val="20"/>
        </w:rPr>
      </w:pPr>
    </w:p>
    <w:p w14:paraId="7F5A20C7" w14:textId="57142B21" w:rsidR="006D13EE" w:rsidRPr="00701F32" w:rsidRDefault="006D13EE" w:rsidP="006D13EE">
      <w:pPr>
        <w:spacing w:after="160" w:line="259" w:lineRule="auto"/>
        <w:jc w:val="both"/>
        <w:rPr>
          <w:rFonts w:ascii="Arial" w:eastAsia="Calibri" w:hAnsi="Arial" w:cs="Arial"/>
          <w:bCs/>
          <w:sz w:val="20"/>
        </w:rPr>
      </w:pPr>
      <w:r w:rsidRPr="00701F32">
        <w:rPr>
          <w:rFonts w:ascii="Arial" w:eastAsia="Calibri" w:hAnsi="Arial" w:cs="Arial"/>
          <w:bCs/>
          <w:sz w:val="20"/>
        </w:rPr>
        <w:t xml:space="preserve">Todas las estimaciones del valor razonable se incluyen en el nivel </w:t>
      </w:r>
      <w:r w:rsidR="00BF4914">
        <w:rPr>
          <w:rFonts w:ascii="Arial" w:eastAsia="Calibri" w:hAnsi="Arial" w:cs="Arial"/>
          <w:bCs/>
          <w:sz w:val="20"/>
        </w:rPr>
        <w:t>3</w:t>
      </w:r>
      <w:r w:rsidRPr="00701F32">
        <w:rPr>
          <w:rFonts w:ascii="Arial" w:eastAsia="Calibri" w:hAnsi="Arial" w:cs="Arial"/>
          <w:bCs/>
          <w:sz w:val="20"/>
        </w:rPr>
        <w:t>. Para ello, la Entidad utiliza técnicas de valorización por medio de curvas de tasa spot que estiman curvas de rendimiento en base a precios de mercado. Las mismas se detallan a continuación:</w:t>
      </w:r>
    </w:p>
    <w:p w14:paraId="3FA86C5A" w14:textId="6AB62DF7" w:rsidR="006D13EE" w:rsidRPr="00701F32" w:rsidRDefault="006D13EE" w:rsidP="00627289">
      <w:pPr>
        <w:pStyle w:val="Prrafodelista"/>
        <w:numPr>
          <w:ilvl w:val="0"/>
          <w:numId w:val="32"/>
        </w:numPr>
        <w:spacing w:after="160" w:line="252" w:lineRule="auto"/>
        <w:contextualSpacing/>
        <w:jc w:val="both"/>
        <w:rPr>
          <w:rFonts w:ascii="Arial" w:eastAsia="Calibri" w:hAnsi="Arial" w:cs="Arial"/>
          <w:bCs/>
          <w:sz w:val="20"/>
        </w:rPr>
      </w:pPr>
      <w:r w:rsidRPr="00701F32">
        <w:rPr>
          <w:rFonts w:ascii="Arial" w:eastAsia="Calibri" w:hAnsi="Arial" w:cs="Arial"/>
          <w:bCs/>
          <w:sz w:val="20"/>
        </w:rPr>
        <w:t xml:space="preserve">Modelo de interpolación: Consiste en la determinación del valor de instrumentos financieros que no poseen precio de mercado a la fecha de cierre, a partir de las cotizaciones de especies asimilables (tanto en condiciones de emisión, moneda, y duración) en mercado activo (MAE, Bolsar o secundarios) por medio de la interpolación lineal de las mismas. Esta técnica ha sido utilizada por la Entidad para determinar el valor razonable de los instrumentos emitidos por el BCRA y </w:t>
      </w:r>
      <w:r w:rsidRPr="00701F32">
        <w:rPr>
          <w:rFonts w:ascii="Arial" w:eastAsia="Calibri" w:hAnsi="Arial" w:cs="Arial"/>
          <w:bCs/>
          <w:smallCaps/>
          <w:sz w:val="20"/>
        </w:rPr>
        <w:t>L</w:t>
      </w:r>
      <w:r w:rsidRPr="00701F32">
        <w:rPr>
          <w:rFonts w:ascii="Arial" w:eastAsia="Calibri" w:hAnsi="Arial" w:cs="Arial"/>
          <w:bCs/>
          <w:sz w:val="20"/>
        </w:rPr>
        <w:t xml:space="preserve">etras del Tesoro sin cotización al cierre del presente </w:t>
      </w:r>
      <w:r>
        <w:rPr>
          <w:rFonts w:ascii="Arial" w:eastAsia="Calibri" w:hAnsi="Arial" w:cs="Arial"/>
          <w:bCs/>
          <w:sz w:val="20"/>
        </w:rPr>
        <w:t>ejercicio.</w:t>
      </w:r>
    </w:p>
    <w:p w14:paraId="3B518E7D" w14:textId="77777777" w:rsidR="006D13EE" w:rsidRPr="00701F32" w:rsidRDefault="006D13EE" w:rsidP="006D13EE">
      <w:pPr>
        <w:pStyle w:val="Prrafodelista"/>
        <w:jc w:val="both"/>
        <w:rPr>
          <w:rFonts w:ascii="Arial" w:eastAsia="Calibri" w:hAnsi="Arial" w:cs="Arial"/>
          <w:bCs/>
          <w:sz w:val="20"/>
        </w:rPr>
      </w:pPr>
    </w:p>
    <w:p w14:paraId="42D42A6D" w14:textId="77777777" w:rsidR="006D13EE" w:rsidRPr="00701F32" w:rsidRDefault="006D13EE" w:rsidP="00627289">
      <w:pPr>
        <w:pStyle w:val="Prrafodelista"/>
        <w:numPr>
          <w:ilvl w:val="0"/>
          <w:numId w:val="32"/>
        </w:numPr>
        <w:spacing w:after="160" w:line="252" w:lineRule="auto"/>
        <w:contextualSpacing/>
        <w:jc w:val="both"/>
        <w:rPr>
          <w:rFonts w:ascii="Arial" w:eastAsia="Calibri" w:hAnsi="Arial" w:cs="Arial"/>
          <w:bCs/>
          <w:sz w:val="20"/>
        </w:rPr>
      </w:pPr>
      <w:r w:rsidRPr="00701F32">
        <w:rPr>
          <w:rFonts w:ascii="Arial" w:eastAsia="Calibri" w:hAnsi="Arial" w:cs="Arial"/>
          <w:bCs/>
          <w:sz w:val="20"/>
        </w:rPr>
        <w:t>Modelo de Curvas de rendimiento bajo Nelson Siegel: Este modelo propone una función continua para modelar la trayectoria de la tasa de interés forward instantánea considerando como dominio el plazo comprendido hasta el próximo pago de interés y/o capital. Consiste en la determinación del precio de una especie por medio de un modelo de valor de riesgo a precio teórico, estimándose para ello la volatilidad a través de curvas de mercado. La Entidad ha utilizado este modelo para estimar precios en obligaciones negociables o especies ajustables por tasa BADLAR o por inflación.</w:t>
      </w:r>
    </w:p>
    <w:p w14:paraId="6E99E320" w14:textId="77777777" w:rsidR="00BF4914" w:rsidRDefault="00BF4914" w:rsidP="00BF4914">
      <w:pPr>
        <w:jc w:val="both"/>
        <w:rPr>
          <w:rFonts w:ascii="Arial" w:hAnsi="Arial" w:cs="Arial"/>
          <w:bCs/>
          <w:sz w:val="20"/>
        </w:rPr>
      </w:pPr>
      <w:r w:rsidRPr="00D35E35">
        <w:rPr>
          <w:rFonts w:ascii="Arial" w:hAnsi="Arial" w:cs="Arial"/>
          <w:bCs/>
          <w:sz w:val="20"/>
        </w:rPr>
        <w:t>Los principales datos y aspectos considerados por la Entidad para su determinación de valores razonables bajo el modelo de interpolación lineal han sido:</w:t>
      </w:r>
    </w:p>
    <w:p w14:paraId="20AB42AE" w14:textId="77777777" w:rsidR="00BF4914" w:rsidRPr="00D35E35" w:rsidRDefault="00BF4914" w:rsidP="00BF4914">
      <w:pPr>
        <w:jc w:val="both"/>
        <w:rPr>
          <w:rFonts w:ascii="Arial" w:hAnsi="Arial" w:cs="Arial"/>
          <w:bCs/>
          <w:sz w:val="20"/>
        </w:rPr>
      </w:pPr>
    </w:p>
    <w:p w14:paraId="6529D105" w14:textId="77777777" w:rsidR="00BF4914" w:rsidRPr="00D35E35" w:rsidRDefault="00BF4914" w:rsidP="00BF49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 xml:space="preserve">Precios de </w:t>
      </w:r>
      <w:r>
        <w:rPr>
          <w:rFonts w:ascii="Arial" w:hAnsi="Arial" w:cs="Arial"/>
          <w:bCs/>
          <w:sz w:val="20"/>
        </w:rPr>
        <w:t>instrumentos</w:t>
      </w:r>
      <w:r w:rsidRPr="00D35E35">
        <w:rPr>
          <w:rFonts w:ascii="Arial" w:hAnsi="Arial" w:cs="Arial"/>
          <w:bCs/>
          <w:sz w:val="20"/>
        </w:rPr>
        <w:t xml:space="preserve"> que cotizaron entre la fecha en que se estima la curva y la fecha de liquidación de la última liquidación disponible.</w:t>
      </w:r>
    </w:p>
    <w:p w14:paraId="1044956B" w14:textId="77777777" w:rsidR="00BF4914" w:rsidRPr="00D35E35" w:rsidRDefault="00BF4914" w:rsidP="00BF49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Tasas implícitas en la última licitación disponible.</w:t>
      </w:r>
    </w:p>
    <w:p w14:paraId="3224F33A" w14:textId="77777777" w:rsidR="00BF4914" w:rsidRPr="00D35E35" w:rsidRDefault="00BF4914" w:rsidP="00BF49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Solo se consideran instrumentos que hayan negociado con liquidación 24 horas.</w:t>
      </w:r>
    </w:p>
    <w:p w14:paraId="4E93CB3D" w14:textId="77777777" w:rsidR="00BF4914" w:rsidRPr="00D35E35" w:rsidRDefault="00BF4914" w:rsidP="00BF49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Si la misma especie ha cotizado en MAE y Bolsar, se considera la cotización del mercado  que haya negociado un volumen superior.</w:t>
      </w:r>
    </w:p>
    <w:p w14:paraId="16E8D4D4" w14:textId="77777777" w:rsidR="00BF4914" w:rsidRPr="00D35E35" w:rsidRDefault="00BF4914" w:rsidP="00BF49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La curva de rendimientos se estandariza en función de un conjunto de nodos, cada uno de los cuales tiene asociada una fecha de vencimiento.</w:t>
      </w:r>
    </w:p>
    <w:p w14:paraId="7D39918B" w14:textId="77777777" w:rsidR="00BF4914" w:rsidRPr="00D35E35" w:rsidRDefault="00BF4914" w:rsidP="00BF49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Los instrumentos nominados en dólares son convertidos al tipo de cambio a la fecha en que se negocia la especie.</w:t>
      </w:r>
    </w:p>
    <w:p w14:paraId="24917B1B" w14:textId="77777777" w:rsidR="00BF4914" w:rsidRDefault="00BF4914" w:rsidP="00BF4914">
      <w:pPr>
        <w:jc w:val="both"/>
        <w:rPr>
          <w:rFonts w:ascii="Arial" w:hAnsi="Arial" w:cs="Arial"/>
          <w:bCs/>
          <w:sz w:val="20"/>
        </w:rPr>
      </w:pPr>
      <w:r w:rsidRPr="00D35E35">
        <w:rPr>
          <w:rFonts w:ascii="Arial" w:hAnsi="Arial" w:cs="Arial"/>
          <w:bCs/>
          <w:sz w:val="20"/>
        </w:rPr>
        <w:t>Asimismo, para la determinación de valores razonables bajo el modelo Nelson Siegel, los principales datos y aspectos considerados por la Entidad fueron:</w:t>
      </w:r>
    </w:p>
    <w:p w14:paraId="7C2C8D27" w14:textId="77777777" w:rsidR="00BF4914" w:rsidRPr="00D35E35" w:rsidRDefault="00BF4914" w:rsidP="00BF4914">
      <w:pPr>
        <w:jc w:val="both"/>
        <w:rPr>
          <w:rFonts w:ascii="Arial" w:hAnsi="Arial" w:cs="Arial"/>
          <w:bCs/>
          <w:sz w:val="20"/>
        </w:rPr>
      </w:pPr>
    </w:p>
    <w:p w14:paraId="543002E9" w14:textId="77777777" w:rsidR="00BF4914" w:rsidRPr="00D35E35" w:rsidRDefault="00BF4914" w:rsidP="00BF49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Las Curvas de tasa Spot en pesos + BADLAR y Curva de tasa Spot en dólares se establecen a partir de bonos predefinidos por la Gerencia de Riesgo Financiero.</w:t>
      </w:r>
    </w:p>
    <w:p w14:paraId="50EC744B" w14:textId="77777777" w:rsidR="00BF4914" w:rsidRDefault="00BF4914" w:rsidP="00BF4914">
      <w:pPr>
        <w:pStyle w:val="Prrafodelista"/>
        <w:numPr>
          <w:ilvl w:val="0"/>
          <w:numId w:val="32"/>
        </w:numPr>
        <w:spacing w:after="160" w:line="259" w:lineRule="auto"/>
        <w:contextualSpacing/>
        <w:jc w:val="both"/>
        <w:rPr>
          <w:rFonts w:ascii="Arial" w:hAnsi="Arial" w:cs="Arial"/>
          <w:bCs/>
          <w:sz w:val="20"/>
        </w:rPr>
      </w:pPr>
      <w:r w:rsidRPr="00D35E35">
        <w:rPr>
          <w:rFonts w:ascii="Arial" w:hAnsi="Arial" w:cs="Arial"/>
          <w:bCs/>
          <w:sz w:val="20"/>
        </w:rPr>
        <w:t>La principal fuente de precios para Bonos es MAE, sin considerar aquellos correspondientes a operaciones para cartera propia</w:t>
      </w:r>
      <w:r>
        <w:rPr>
          <w:rFonts w:ascii="Arial" w:hAnsi="Arial" w:cs="Arial"/>
          <w:bCs/>
          <w:sz w:val="20"/>
        </w:rPr>
        <w:t>.</w:t>
      </w:r>
    </w:p>
    <w:p w14:paraId="6E6688C5" w14:textId="20516C51" w:rsidR="00BF4914" w:rsidRPr="00A059FB" w:rsidRDefault="00BF4914" w:rsidP="00A059FB">
      <w:pPr>
        <w:pStyle w:val="Prrafodelista"/>
        <w:numPr>
          <w:ilvl w:val="0"/>
          <w:numId w:val="32"/>
        </w:numPr>
        <w:spacing w:after="160" w:line="259" w:lineRule="auto"/>
        <w:contextualSpacing/>
        <w:jc w:val="both"/>
        <w:rPr>
          <w:rFonts w:ascii="Arial" w:hAnsi="Arial" w:cs="Arial"/>
          <w:bCs/>
          <w:sz w:val="20"/>
        </w:rPr>
      </w:pPr>
      <w:r w:rsidRPr="00256DE1">
        <w:rPr>
          <w:rFonts w:ascii="Arial" w:hAnsi="Arial" w:cs="Arial"/>
          <w:bCs/>
          <w:sz w:val="20"/>
        </w:rPr>
        <w:t>Los sets de bonos elegibles no son estáticos, ampliándose con cada nueva emisión.</w:t>
      </w:r>
    </w:p>
    <w:p w14:paraId="606C6958" w14:textId="657FAEEC" w:rsidR="006D13EE" w:rsidRPr="00701F32" w:rsidRDefault="006D13EE" w:rsidP="006D13EE">
      <w:pPr>
        <w:spacing w:after="160" w:line="259" w:lineRule="auto"/>
        <w:jc w:val="both"/>
        <w:rPr>
          <w:rFonts w:ascii="Arial" w:eastAsia="Calibri" w:hAnsi="Arial" w:cs="Arial"/>
          <w:bCs/>
          <w:color w:val="0000CC"/>
          <w:sz w:val="20"/>
        </w:rPr>
      </w:pPr>
      <w:r w:rsidRPr="00701F32">
        <w:rPr>
          <w:rFonts w:ascii="Arial" w:eastAsia="Calibri" w:hAnsi="Arial" w:cs="Arial"/>
          <w:bCs/>
          <w:sz w:val="20"/>
        </w:rPr>
        <w:t>La entidad evalúa periódicamente la performance de los modelos en función de indicadores los cuales poseen definidos umbrales de tolerancia</w:t>
      </w:r>
      <w:r w:rsidRPr="00701F32">
        <w:rPr>
          <w:rFonts w:ascii="Arial" w:eastAsia="Calibri" w:hAnsi="Arial" w:cs="Arial"/>
          <w:bCs/>
          <w:color w:val="0000CC"/>
          <w:sz w:val="20"/>
        </w:rPr>
        <w:t xml:space="preserve">. </w:t>
      </w:r>
    </w:p>
    <w:p w14:paraId="1BA37542" w14:textId="14FB50B3" w:rsidR="00EF11DF" w:rsidRDefault="006D13EE" w:rsidP="006D13EE">
      <w:pPr>
        <w:spacing w:after="160" w:line="259" w:lineRule="auto"/>
        <w:jc w:val="both"/>
        <w:rPr>
          <w:rFonts w:ascii="Arial" w:eastAsia="Calibri" w:hAnsi="Arial" w:cs="Arial"/>
          <w:b/>
          <w:sz w:val="20"/>
        </w:rPr>
      </w:pPr>
      <w:r w:rsidRPr="00701F32">
        <w:rPr>
          <w:rFonts w:ascii="Arial" w:eastAsia="Calibri" w:hAnsi="Arial" w:cs="Arial"/>
          <w:bCs/>
          <w:sz w:val="20"/>
        </w:rPr>
        <w:t xml:space="preserve">De acuerdo a las NIIF, el valor residual estimado de un instrumento al inicio es, generalmente, el precio de la transacción. En el caso que el precio de transacción difiera del valor razonable determinado, la diferencia será reconocida en el estado de resultados en forma proporcional durante la duración del instrumento. </w:t>
      </w:r>
    </w:p>
    <w:p w14:paraId="5C8641FD" w14:textId="77777777" w:rsidR="00510536" w:rsidRPr="00701F32" w:rsidRDefault="00510536" w:rsidP="00510536">
      <w:pPr>
        <w:spacing w:after="160" w:line="259" w:lineRule="auto"/>
        <w:jc w:val="both"/>
        <w:rPr>
          <w:rFonts w:ascii="Arial" w:eastAsia="Calibri" w:hAnsi="Arial" w:cs="Arial"/>
          <w:b/>
          <w:bCs/>
          <w:sz w:val="20"/>
        </w:rPr>
      </w:pPr>
      <w:r w:rsidRPr="00701F32">
        <w:rPr>
          <w:rFonts w:ascii="Arial" w:eastAsia="Calibri" w:hAnsi="Arial" w:cs="Arial"/>
          <w:b/>
          <w:bCs/>
          <w:sz w:val="20"/>
        </w:rPr>
        <w:t>Valor Razonable de Otros Instrumentos Financieros</w:t>
      </w:r>
    </w:p>
    <w:p w14:paraId="18B85B0B" w14:textId="77777777" w:rsidR="006D13EE" w:rsidRDefault="006D13EE" w:rsidP="006D13EE">
      <w:pPr>
        <w:pStyle w:val="Textoinfaud"/>
        <w:autoSpaceDE w:val="0"/>
        <w:autoSpaceDN w:val="0"/>
        <w:spacing w:line="239" w:lineRule="exact"/>
        <w:rPr>
          <w:rFonts w:ascii="Arial" w:hAnsi="Arial" w:cs="Arial"/>
          <w:lang w:val="es-ES" w:eastAsia="es-ES"/>
        </w:rPr>
      </w:pPr>
      <w:r>
        <w:rPr>
          <w:rFonts w:ascii="Arial" w:hAnsi="Arial" w:cs="Arial"/>
          <w:lang w:val="es-ES" w:eastAsia="es-ES"/>
        </w:rPr>
        <w:t xml:space="preserve">A continuación se describen las metodologías y supuestos utilizados para determinar los valores razonables de los instrumentos financieros no registrados a su valor razonable en los presentes estados financieros: </w:t>
      </w:r>
    </w:p>
    <w:p w14:paraId="73897D99" w14:textId="77777777" w:rsidR="006D13EE" w:rsidRDefault="006D13EE" w:rsidP="006D13EE">
      <w:pPr>
        <w:pStyle w:val="Textoinfaud"/>
        <w:autoSpaceDE w:val="0"/>
        <w:autoSpaceDN w:val="0"/>
        <w:spacing w:line="239" w:lineRule="exact"/>
        <w:rPr>
          <w:rFonts w:ascii="Arial" w:hAnsi="Arial" w:cs="Arial"/>
          <w:lang w:val="es-ES" w:eastAsia="es-ES"/>
        </w:rPr>
      </w:pPr>
    </w:p>
    <w:p w14:paraId="47B08E0B" w14:textId="44FA6ADF" w:rsidR="006D13EE" w:rsidRPr="006D010A" w:rsidRDefault="006D13EE" w:rsidP="00424FCE">
      <w:pPr>
        <w:pStyle w:val="Prrafodelista"/>
        <w:spacing w:after="200" w:line="276" w:lineRule="auto"/>
        <w:ind w:left="284" w:hanging="284"/>
        <w:jc w:val="both"/>
      </w:pPr>
      <w:r>
        <w:rPr>
          <w:rFonts w:ascii="Arial" w:hAnsi="Arial" w:cs="Arial"/>
          <w:sz w:val="20"/>
        </w:rPr>
        <w:t>-</w:t>
      </w:r>
      <w:r>
        <w:rPr>
          <w:sz w:val="14"/>
          <w:szCs w:val="14"/>
        </w:rPr>
        <w:t xml:space="preserve">     </w:t>
      </w:r>
      <w:r>
        <w:rPr>
          <w:rFonts w:ascii="Arial" w:hAnsi="Arial" w:cs="Arial"/>
          <w:i/>
          <w:iCs/>
          <w:sz w:val="20"/>
        </w:rPr>
        <w:t xml:space="preserve">Activos cuyo valor razonable es similar al valor en libros: </w:t>
      </w:r>
      <w:r>
        <w:rPr>
          <w:rFonts w:ascii="Arial" w:hAnsi="Arial" w:cs="Arial"/>
          <w:sz w:val="20"/>
          <w:lang w:val="es-ES" w:eastAsia="es-ES"/>
        </w:rPr>
        <w:t xml:space="preserve">Para los activos y pasivos financieros que son líquidos o tienen vencimientos a corto plazo (menor a tres meses), se consideró que el valor en libros es similar al valor razonable. </w:t>
      </w:r>
    </w:p>
    <w:p w14:paraId="2D5B6669" w14:textId="6A0E3C09" w:rsidR="006D13EE" w:rsidRPr="00D35EF9" w:rsidRDefault="006D13EE" w:rsidP="005A1F48">
      <w:pPr>
        <w:pStyle w:val="Prrafodelista"/>
        <w:spacing w:after="200" w:line="276" w:lineRule="auto"/>
        <w:ind w:left="284" w:hanging="284"/>
        <w:jc w:val="both"/>
      </w:pPr>
      <w:r>
        <w:rPr>
          <w:rFonts w:ascii="Arial" w:hAnsi="Arial" w:cs="Arial"/>
          <w:sz w:val="20"/>
        </w:rPr>
        <w:t>-</w:t>
      </w:r>
      <w:r>
        <w:rPr>
          <w:sz w:val="14"/>
          <w:szCs w:val="14"/>
        </w:rPr>
        <w:t xml:space="preserve">     </w:t>
      </w:r>
      <w:r>
        <w:rPr>
          <w:rFonts w:ascii="Arial" w:hAnsi="Arial" w:cs="Arial"/>
          <w:i/>
          <w:iCs/>
          <w:sz w:val="20"/>
        </w:rPr>
        <w:t xml:space="preserve">Instrumentos financieros de tasa fija: </w:t>
      </w:r>
      <w:r>
        <w:rPr>
          <w:rFonts w:ascii="Arial" w:hAnsi="Arial" w:cs="Arial"/>
          <w:sz w:val="20"/>
        </w:rPr>
        <w:t>El valor razonable de los activos financieros se determinó descontando los flujos de fondos futuros a las tasas de mercado corrientes ofrecidas, para cada ejercicio, para instrumentos financieros de similares características. El valor razonable estimado de los depósitos con tasa de interés fija se determinó descontando los flujos de fondos futuros mediante la utilización de tasas de interés de mercado para imposiciones con vencimientos similares a las de la cartera del Banco.</w:t>
      </w:r>
    </w:p>
    <w:p w14:paraId="2674A688" w14:textId="77777777" w:rsidR="006D13EE" w:rsidRDefault="006D13EE" w:rsidP="006D13EE">
      <w:pPr>
        <w:pStyle w:val="Prrafodelista"/>
        <w:ind w:left="284"/>
        <w:jc w:val="both"/>
        <w:rPr>
          <w:rFonts w:ascii="Arial" w:hAnsi="Arial" w:cs="Arial"/>
          <w:sz w:val="20"/>
        </w:rPr>
      </w:pPr>
      <w:r>
        <w:rPr>
          <w:rFonts w:ascii="Arial" w:hAnsi="Arial" w:cs="Arial"/>
          <w:sz w:val="20"/>
        </w:rPr>
        <w:t>Para los activos cotizados y la deuda cotizada emitida el valor razonable se determinó en base a los precios de mercado.</w:t>
      </w:r>
    </w:p>
    <w:p w14:paraId="642587D2" w14:textId="77777777" w:rsidR="006D13EE" w:rsidRDefault="006D13EE" w:rsidP="006D13EE">
      <w:pPr>
        <w:pStyle w:val="Prrafodelista"/>
        <w:ind w:left="284"/>
        <w:jc w:val="both"/>
        <w:rPr>
          <w:rFonts w:ascii="Arial" w:hAnsi="Arial" w:cs="Arial"/>
          <w:i/>
          <w:iCs/>
          <w:sz w:val="20"/>
        </w:rPr>
      </w:pPr>
    </w:p>
    <w:p w14:paraId="488B1850" w14:textId="7AFC04CD" w:rsidR="00F03B81" w:rsidRDefault="006D13EE" w:rsidP="00066653">
      <w:pPr>
        <w:pStyle w:val="Prrafodelista"/>
        <w:spacing w:after="200" w:line="276" w:lineRule="auto"/>
        <w:ind w:left="284" w:hanging="360"/>
        <w:jc w:val="both"/>
        <w:rPr>
          <w:lang w:val="es-ES" w:eastAsia="es-ES"/>
        </w:rPr>
      </w:pPr>
      <w:r>
        <w:rPr>
          <w:rFonts w:ascii="Arial" w:hAnsi="Arial" w:cs="Arial"/>
          <w:sz w:val="20"/>
        </w:rPr>
        <w:t>-</w:t>
      </w:r>
      <w:r>
        <w:rPr>
          <w:sz w:val="14"/>
          <w:szCs w:val="14"/>
        </w:rPr>
        <w:t xml:space="preserve">       </w:t>
      </w:r>
      <w:r>
        <w:rPr>
          <w:rFonts w:ascii="Arial" w:hAnsi="Arial" w:cs="Arial"/>
          <w:i/>
          <w:iCs/>
          <w:sz w:val="20"/>
        </w:rPr>
        <w:t xml:space="preserve">Otros instrumentos financieros: </w:t>
      </w:r>
      <w:r>
        <w:rPr>
          <w:rFonts w:ascii="Arial" w:hAnsi="Arial" w:cs="Arial"/>
          <w:sz w:val="20"/>
        </w:rPr>
        <w:t>En el caso de activos y pasivos financieros que son líquidos o de un corto plazo de vencimiento, se estima que su valor razonable se asemeja a su valor contable. Este supuesto también se aplica para los depósitos de caja de ahorro, cuentas corrientes y otros.</w:t>
      </w:r>
    </w:p>
    <w:p w14:paraId="33CDF9F7" w14:textId="47B5C928" w:rsidR="00F03B81" w:rsidRDefault="00F03B81" w:rsidP="00F03B81">
      <w:pPr>
        <w:jc w:val="both"/>
        <w:rPr>
          <w:rFonts w:ascii="Arial" w:hAnsi="Arial" w:cs="Arial"/>
          <w:sz w:val="20"/>
        </w:rPr>
      </w:pPr>
      <w:r>
        <w:rPr>
          <w:rFonts w:ascii="Arial" w:hAnsi="Arial" w:cs="Arial"/>
          <w:sz w:val="20"/>
        </w:rPr>
        <w:t>Los siguientes cuadros muestran una comparación entre el valor razonable y el valor contable de los instrumentos financieros no reg</w:t>
      </w:r>
      <w:r w:rsidR="00886AE1">
        <w:rPr>
          <w:rFonts w:ascii="Arial" w:hAnsi="Arial" w:cs="Arial"/>
          <w:sz w:val="20"/>
        </w:rPr>
        <w:t xml:space="preserve">istrados a valor razonable al </w:t>
      </w:r>
      <w:r w:rsidR="00DB7AF1">
        <w:rPr>
          <w:rFonts w:ascii="Arial" w:hAnsi="Arial" w:cs="Arial"/>
          <w:sz w:val="20"/>
        </w:rPr>
        <w:t xml:space="preserve">31 de diciembre de </w:t>
      </w:r>
      <w:r w:rsidR="00CE0365">
        <w:rPr>
          <w:rFonts w:ascii="Arial" w:hAnsi="Arial" w:cs="Arial"/>
          <w:sz w:val="20"/>
        </w:rPr>
        <w:t xml:space="preserve">2019 y </w:t>
      </w:r>
      <w:r w:rsidR="00DB7AF1">
        <w:rPr>
          <w:rFonts w:ascii="Arial" w:hAnsi="Arial" w:cs="Arial"/>
          <w:sz w:val="20"/>
        </w:rPr>
        <w:t>2018</w:t>
      </w:r>
      <w:r>
        <w:rPr>
          <w:rFonts w:ascii="Arial" w:hAnsi="Arial" w:cs="Arial"/>
          <w:sz w:val="20"/>
        </w:rPr>
        <w:t>:</w:t>
      </w:r>
    </w:p>
    <w:p w14:paraId="285D8095" w14:textId="261A9D30" w:rsidR="00D62912" w:rsidRDefault="00D62912" w:rsidP="00F03B81">
      <w:pPr>
        <w:jc w:val="both"/>
        <w:rPr>
          <w:rFonts w:ascii="Arial" w:hAnsi="Arial" w:cs="Arial"/>
          <w:sz w:val="20"/>
        </w:rPr>
      </w:pPr>
    </w:p>
    <w:tbl>
      <w:tblPr>
        <w:tblW w:w="9277" w:type="dxa"/>
        <w:jc w:val="center"/>
        <w:tblLayout w:type="fixed"/>
        <w:tblCellMar>
          <w:left w:w="70" w:type="dxa"/>
          <w:right w:w="70" w:type="dxa"/>
        </w:tblCellMar>
        <w:tblLook w:val="04A0" w:firstRow="1" w:lastRow="0" w:firstColumn="1" w:lastColumn="0" w:noHBand="0" w:noVBand="1"/>
      </w:tblPr>
      <w:tblGrid>
        <w:gridCol w:w="3694"/>
        <w:gridCol w:w="1190"/>
        <w:gridCol w:w="1131"/>
        <w:gridCol w:w="184"/>
        <w:gridCol w:w="1031"/>
        <w:gridCol w:w="934"/>
        <w:gridCol w:w="1113"/>
      </w:tblGrid>
      <w:tr w:rsidR="00D62912" w:rsidRPr="00613EB0" w14:paraId="6BC59C46" w14:textId="77777777" w:rsidTr="00F208DA">
        <w:trPr>
          <w:trHeight w:val="389"/>
          <w:tblHeader/>
          <w:jc w:val="center"/>
        </w:trPr>
        <w:tc>
          <w:tcPr>
            <w:tcW w:w="3694" w:type="dxa"/>
            <w:tcBorders>
              <w:top w:val="single" w:sz="8" w:space="0" w:color="auto"/>
              <w:left w:val="single" w:sz="8" w:space="0" w:color="auto"/>
              <w:bottom w:val="nil"/>
              <w:right w:val="single" w:sz="4" w:space="0" w:color="auto"/>
            </w:tcBorders>
            <w:shd w:val="clear" w:color="auto" w:fill="auto"/>
            <w:noWrap/>
            <w:vAlign w:val="center"/>
            <w:hideMark/>
          </w:tcPr>
          <w:p w14:paraId="19A29516" w14:textId="77777777" w:rsidR="00D62912" w:rsidRPr="00BF746E" w:rsidRDefault="00D62912" w:rsidP="00F208DA">
            <w:pPr>
              <w:jc w:val="center"/>
              <w:rPr>
                <w:rFonts w:ascii="Arial" w:hAnsi="Arial" w:cs="Arial"/>
                <w:b/>
                <w:bCs/>
                <w:i/>
                <w:iCs/>
                <w:sz w:val="16"/>
                <w:szCs w:val="16"/>
                <w:lang w:eastAsia="es-AR"/>
              </w:rPr>
            </w:pPr>
            <w:r w:rsidRPr="00BF746E">
              <w:rPr>
                <w:rFonts w:ascii="Arial" w:hAnsi="Arial" w:cs="Arial"/>
                <w:b/>
                <w:bCs/>
                <w:i/>
                <w:iCs/>
                <w:sz w:val="16"/>
                <w:szCs w:val="16"/>
                <w:lang w:eastAsia="es-AR"/>
              </w:rPr>
              <w:t>3</w:t>
            </w:r>
            <w:r>
              <w:rPr>
                <w:rFonts w:ascii="Arial" w:hAnsi="Arial" w:cs="Arial"/>
                <w:b/>
                <w:bCs/>
                <w:i/>
                <w:iCs/>
                <w:sz w:val="16"/>
                <w:szCs w:val="16"/>
                <w:lang w:eastAsia="es-AR"/>
              </w:rPr>
              <w:t>1</w:t>
            </w:r>
            <w:r w:rsidRPr="00BF746E">
              <w:rPr>
                <w:rFonts w:ascii="Arial" w:hAnsi="Arial" w:cs="Arial"/>
                <w:b/>
                <w:bCs/>
                <w:i/>
                <w:iCs/>
                <w:sz w:val="16"/>
                <w:szCs w:val="16"/>
                <w:lang w:eastAsia="es-AR"/>
              </w:rPr>
              <w:t>/</w:t>
            </w:r>
            <w:r>
              <w:rPr>
                <w:rFonts w:ascii="Arial" w:hAnsi="Arial" w:cs="Arial"/>
                <w:b/>
                <w:bCs/>
                <w:i/>
                <w:iCs/>
                <w:sz w:val="16"/>
                <w:szCs w:val="16"/>
                <w:lang w:eastAsia="es-AR"/>
              </w:rPr>
              <w:t>12</w:t>
            </w:r>
            <w:r w:rsidRPr="00BF746E">
              <w:rPr>
                <w:rFonts w:ascii="Arial" w:hAnsi="Arial" w:cs="Arial"/>
                <w:b/>
                <w:bCs/>
                <w:i/>
                <w:iCs/>
                <w:sz w:val="16"/>
                <w:szCs w:val="16"/>
                <w:lang w:eastAsia="es-AR"/>
              </w:rPr>
              <w:t>/2019</w:t>
            </w:r>
          </w:p>
        </w:tc>
        <w:tc>
          <w:tcPr>
            <w:tcW w:w="1190" w:type="dxa"/>
            <w:tcBorders>
              <w:top w:val="single" w:sz="8" w:space="0" w:color="auto"/>
              <w:left w:val="nil"/>
              <w:bottom w:val="nil"/>
              <w:right w:val="single" w:sz="4" w:space="0" w:color="auto"/>
            </w:tcBorders>
            <w:shd w:val="clear" w:color="auto" w:fill="auto"/>
            <w:vAlign w:val="center"/>
            <w:hideMark/>
          </w:tcPr>
          <w:p w14:paraId="0D3E3407" w14:textId="77777777" w:rsidR="00D62912" w:rsidRPr="00BF746E" w:rsidRDefault="00D62912" w:rsidP="00F208DA">
            <w:pPr>
              <w:jc w:val="center"/>
              <w:rPr>
                <w:rFonts w:ascii="Arial" w:hAnsi="Arial" w:cs="Arial"/>
                <w:b/>
                <w:bCs/>
                <w:sz w:val="16"/>
                <w:szCs w:val="16"/>
                <w:lang w:eastAsia="es-AR"/>
              </w:rPr>
            </w:pPr>
            <w:r w:rsidRPr="00BF746E">
              <w:rPr>
                <w:rFonts w:ascii="Arial" w:hAnsi="Arial" w:cs="Arial"/>
                <w:b/>
                <w:bCs/>
                <w:sz w:val="16"/>
                <w:szCs w:val="16"/>
                <w:lang w:eastAsia="es-AR"/>
              </w:rPr>
              <w:t>Valor contable</w:t>
            </w:r>
          </w:p>
        </w:tc>
        <w:tc>
          <w:tcPr>
            <w:tcW w:w="1131" w:type="dxa"/>
            <w:tcBorders>
              <w:top w:val="single" w:sz="8" w:space="0" w:color="auto"/>
              <w:left w:val="nil"/>
              <w:bottom w:val="nil"/>
              <w:right w:val="single" w:sz="4" w:space="0" w:color="auto"/>
            </w:tcBorders>
            <w:shd w:val="clear" w:color="auto" w:fill="auto"/>
            <w:vAlign w:val="center"/>
            <w:hideMark/>
          </w:tcPr>
          <w:p w14:paraId="265EAB83" w14:textId="77777777" w:rsidR="00D62912" w:rsidRPr="00BF746E" w:rsidRDefault="00D62912" w:rsidP="00F208DA">
            <w:pPr>
              <w:jc w:val="center"/>
              <w:rPr>
                <w:rFonts w:ascii="Arial" w:hAnsi="Arial" w:cs="Arial"/>
                <w:b/>
                <w:bCs/>
                <w:sz w:val="16"/>
                <w:szCs w:val="16"/>
                <w:lang w:eastAsia="es-AR"/>
              </w:rPr>
            </w:pPr>
            <w:r w:rsidRPr="00BF746E">
              <w:rPr>
                <w:rFonts w:ascii="Arial" w:hAnsi="Arial" w:cs="Arial"/>
                <w:b/>
                <w:bCs/>
                <w:sz w:val="16"/>
                <w:szCs w:val="16"/>
                <w:lang w:eastAsia="es-AR"/>
              </w:rPr>
              <w:t>Valor razonable</w:t>
            </w:r>
          </w:p>
        </w:tc>
        <w:tc>
          <w:tcPr>
            <w:tcW w:w="184" w:type="dxa"/>
            <w:tcBorders>
              <w:top w:val="single" w:sz="8" w:space="0" w:color="auto"/>
              <w:left w:val="nil"/>
              <w:bottom w:val="nil"/>
              <w:right w:val="single" w:sz="4" w:space="0" w:color="auto"/>
            </w:tcBorders>
            <w:shd w:val="clear" w:color="auto" w:fill="auto"/>
            <w:vAlign w:val="center"/>
            <w:hideMark/>
          </w:tcPr>
          <w:p w14:paraId="18E6988F" w14:textId="77777777" w:rsidR="00D62912" w:rsidRPr="00BF746E" w:rsidRDefault="00D62912" w:rsidP="00F208DA">
            <w:pPr>
              <w:jc w:val="center"/>
              <w:rPr>
                <w:rFonts w:ascii="Arial" w:hAnsi="Arial" w:cs="Arial"/>
                <w:b/>
                <w:bCs/>
                <w:sz w:val="16"/>
                <w:szCs w:val="16"/>
                <w:lang w:eastAsia="es-AR"/>
              </w:rPr>
            </w:pPr>
            <w:r w:rsidRPr="00BF746E">
              <w:rPr>
                <w:rFonts w:ascii="Arial" w:hAnsi="Arial" w:cs="Arial"/>
                <w:b/>
                <w:bCs/>
                <w:sz w:val="16"/>
                <w:szCs w:val="16"/>
                <w:lang w:eastAsia="es-AR"/>
              </w:rPr>
              <w:t> </w:t>
            </w:r>
          </w:p>
        </w:tc>
        <w:tc>
          <w:tcPr>
            <w:tcW w:w="1031" w:type="dxa"/>
            <w:tcBorders>
              <w:top w:val="single" w:sz="8" w:space="0" w:color="auto"/>
              <w:left w:val="nil"/>
              <w:bottom w:val="nil"/>
              <w:right w:val="single" w:sz="4" w:space="0" w:color="auto"/>
            </w:tcBorders>
            <w:shd w:val="clear" w:color="auto" w:fill="auto"/>
            <w:vAlign w:val="center"/>
            <w:hideMark/>
          </w:tcPr>
          <w:p w14:paraId="617762DD" w14:textId="77777777" w:rsidR="00D62912" w:rsidRPr="00BF746E" w:rsidRDefault="00D62912" w:rsidP="00F208DA">
            <w:pPr>
              <w:jc w:val="center"/>
              <w:rPr>
                <w:rFonts w:ascii="Arial" w:hAnsi="Arial" w:cs="Arial"/>
                <w:b/>
                <w:bCs/>
                <w:sz w:val="16"/>
                <w:szCs w:val="16"/>
                <w:lang w:eastAsia="es-AR"/>
              </w:rPr>
            </w:pPr>
            <w:r w:rsidRPr="00BF746E">
              <w:rPr>
                <w:rFonts w:ascii="Arial" w:hAnsi="Arial" w:cs="Arial"/>
                <w:b/>
                <w:bCs/>
                <w:sz w:val="16"/>
                <w:szCs w:val="16"/>
                <w:lang w:eastAsia="es-AR"/>
              </w:rPr>
              <w:t>VR Nivel 1</w:t>
            </w:r>
          </w:p>
        </w:tc>
        <w:tc>
          <w:tcPr>
            <w:tcW w:w="934" w:type="dxa"/>
            <w:tcBorders>
              <w:top w:val="single" w:sz="8" w:space="0" w:color="auto"/>
              <w:left w:val="nil"/>
              <w:bottom w:val="nil"/>
              <w:right w:val="single" w:sz="4" w:space="0" w:color="auto"/>
            </w:tcBorders>
            <w:shd w:val="clear" w:color="auto" w:fill="auto"/>
            <w:vAlign w:val="center"/>
            <w:hideMark/>
          </w:tcPr>
          <w:p w14:paraId="3C18ABFA" w14:textId="77777777" w:rsidR="00D62912" w:rsidRPr="00BF746E" w:rsidRDefault="00D62912" w:rsidP="00F208DA">
            <w:pPr>
              <w:jc w:val="center"/>
              <w:rPr>
                <w:rFonts w:ascii="Arial" w:hAnsi="Arial" w:cs="Arial"/>
                <w:b/>
                <w:bCs/>
                <w:sz w:val="16"/>
                <w:szCs w:val="16"/>
                <w:lang w:eastAsia="es-AR"/>
              </w:rPr>
            </w:pPr>
            <w:r w:rsidRPr="00BF746E">
              <w:rPr>
                <w:rFonts w:ascii="Arial" w:hAnsi="Arial" w:cs="Arial"/>
                <w:b/>
                <w:bCs/>
                <w:sz w:val="16"/>
                <w:szCs w:val="16"/>
                <w:lang w:eastAsia="es-AR"/>
              </w:rPr>
              <w:t>VR Nivel 2</w:t>
            </w:r>
          </w:p>
        </w:tc>
        <w:tc>
          <w:tcPr>
            <w:tcW w:w="1113" w:type="dxa"/>
            <w:tcBorders>
              <w:top w:val="single" w:sz="8" w:space="0" w:color="auto"/>
              <w:left w:val="nil"/>
              <w:bottom w:val="nil"/>
              <w:right w:val="single" w:sz="8" w:space="0" w:color="auto"/>
            </w:tcBorders>
            <w:shd w:val="clear" w:color="auto" w:fill="auto"/>
            <w:vAlign w:val="center"/>
            <w:hideMark/>
          </w:tcPr>
          <w:p w14:paraId="198A5AAF" w14:textId="77777777" w:rsidR="00D62912" w:rsidRPr="00BF746E" w:rsidRDefault="00D62912" w:rsidP="00F208DA">
            <w:pPr>
              <w:jc w:val="center"/>
              <w:rPr>
                <w:rFonts w:ascii="Arial" w:hAnsi="Arial" w:cs="Arial"/>
                <w:b/>
                <w:bCs/>
                <w:sz w:val="16"/>
                <w:szCs w:val="16"/>
                <w:lang w:eastAsia="es-AR"/>
              </w:rPr>
            </w:pPr>
            <w:r w:rsidRPr="00BF746E">
              <w:rPr>
                <w:rFonts w:ascii="Arial" w:hAnsi="Arial" w:cs="Arial"/>
                <w:b/>
                <w:bCs/>
                <w:sz w:val="16"/>
                <w:szCs w:val="16"/>
                <w:lang w:eastAsia="es-AR"/>
              </w:rPr>
              <w:t>VR Nivel 3</w:t>
            </w:r>
          </w:p>
        </w:tc>
      </w:tr>
      <w:tr w:rsidR="00D62912" w:rsidRPr="00613EB0" w14:paraId="47B34D3C" w14:textId="77777777" w:rsidTr="00F208DA">
        <w:trPr>
          <w:trHeight w:val="245"/>
          <w:jc w:val="center"/>
        </w:trPr>
        <w:tc>
          <w:tcPr>
            <w:tcW w:w="3694"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17092C2F" w14:textId="77777777" w:rsidR="00D62912" w:rsidRPr="00613EB0" w:rsidRDefault="00D62912" w:rsidP="00F208DA">
            <w:pPr>
              <w:rPr>
                <w:rFonts w:ascii="Arial" w:hAnsi="Arial" w:cs="Arial"/>
                <w:b/>
                <w:bCs/>
                <w:i/>
                <w:iCs/>
                <w:sz w:val="16"/>
                <w:szCs w:val="16"/>
                <w:lang w:eastAsia="es-AR"/>
              </w:rPr>
            </w:pPr>
            <w:r w:rsidRPr="00613EB0">
              <w:rPr>
                <w:rFonts w:ascii="Arial" w:hAnsi="Arial" w:cs="Arial"/>
                <w:b/>
                <w:bCs/>
                <w:i/>
                <w:iCs/>
                <w:sz w:val="16"/>
                <w:szCs w:val="16"/>
                <w:lang w:eastAsia="es-AR"/>
              </w:rPr>
              <w:t>Activos Financieros</w:t>
            </w:r>
          </w:p>
        </w:tc>
        <w:tc>
          <w:tcPr>
            <w:tcW w:w="1190" w:type="dxa"/>
            <w:tcBorders>
              <w:top w:val="single" w:sz="8" w:space="0" w:color="auto"/>
              <w:left w:val="nil"/>
              <w:bottom w:val="single" w:sz="8" w:space="0" w:color="auto"/>
              <w:right w:val="single" w:sz="4" w:space="0" w:color="auto"/>
            </w:tcBorders>
            <w:shd w:val="clear" w:color="000000" w:fill="EDEDED"/>
            <w:vAlign w:val="center"/>
            <w:hideMark/>
          </w:tcPr>
          <w:p w14:paraId="55F0B933" w14:textId="77777777" w:rsidR="00D62912" w:rsidRPr="00613EB0" w:rsidRDefault="00D62912" w:rsidP="00F208DA">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131" w:type="dxa"/>
            <w:tcBorders>
              <w:top w:val="single" w:sz="8" w:space="0" w:color="auto"/>
              <w:left w:val="nil"/>
              <w:bottom w:val="single" w:sz="8" w:space="0" w:color="auto"/>
              <w:right w:val="single" w:sz="4" w:space="0" w:color="auto"/>
            </w:tcBorders>
            <w:shd w:val="clear" w:color="000000" w:fill="EDEDED"/>
            <w:vAlign w:val="center"/>
            <w:hideMark/>
          </w:tcPr>
          <w:p w14:paraId="0EFDC73A" w14:textId="77777777" w:rsidR="00D62912" w:rsidRPr="00613EB0" w:rsidRDefault="00D62912" w:rsidP="00F208DA">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84" w:type="dxa"/>
            <w:tcBorders>
              <w:top w:val="single" w:sz="8" w:space="0" w:color="auto"/>
              <w:left w:val="nil"/>
              <w:bottom w:val="single" w:sz="8" w:space="0" w:color="auto"/>
              <w:right w:val="single" w:sz="4" w:space="0" w:color="auto"/>
            </w:tcBorders>
            <w:shd w:val="clear" w:color="000000" w:fill="EDEDED"/>
            <w:vAlign w:val="center"/>
            <w:hideMark/>
          </w:tcPr>
          <w:p w14:paraId="38D0AC8D" w14:textId="77777777" w:rsidR="00D62912" w:rsidRPr="00613EB0" w:rsidRDefault="00D62912" w:rsidP="00F208DA">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31" w:type="dxa"/>
            <w:tcBorders>
              <w:top w:val="single" w:sz="8" w:space="0" w:color="auto"/>
              <w:left w:val="nil"/>
              <w:bottom w:val="single" w:sz="8" w:space="0" w:color="auto"/>
              <w:right w:val="single" w:sz="4" w:space="0" w:color="auto"/>
            </w:tcBorders>
            <w:shd w:val="clear" w:color="000000" w:fill="EDEDED"/>
            <w:vAlign w:val="center"/>
            <w:hideMark/>
          </w:tcPr>
          <w:p w14:paraId="387864B4" w14:textId="77777777" w:rsidR="00D62912" w:rsidRPr="00613EB0" w:rsidRDefault="00D62912" w:rsidP="00F208DA">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934" w:type="dxa"/>
            <w:tcBorders>
              <w:top w:val="single" w:sz="8" w:space="0" w:color="auto"/>
              <w:left w:val="nil"/>
              <w:bottom w:val="single" w:sz="8" w:space="0" w:color="auto"/>
              <w:right w:val="single" w:sz="4" w:space="0" w:color="auto"/>
            </w:tcBorders>
            <w:shd w:val="clear" w:color="000000" w:fill="EDEDED"/>
            <w:vAlign w:val="center"/>
            <w:hideMark/>
          </w:tcPr>
          <w:p w14:paraId="7DBC322A" w14:textId="77777777" w:rsidR="00D62912" w:rsidRPr="00613EB0" w:rsidRDefault="00D62912" w:rsidP="00F208DA">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113" w:type="dxa"/>
            <w:tcBorders>
              <w:top w:val="single" w:sz="8" w:space="0" w:color="auto"/>
              <w:left w:val="nil"/>
              <w:bottom w:val="single" w:sz="8" w:space="0" w:color="auto"/>
              <w:right w:val="single" w:sz="8" w:space="0" w:color="auto"/>
            </w:tcBorders>
            <w:shd w:val="clear" w:color="000000" w:fill="EDEDED"/>
            <w:vAlign w:val="center"/>
            <w:hideMark/>
          </w:tcPr>
          <w:p w14:paraId="37DD813A" w14:textId="77777777" w:rsidR="00D62912" w:rsidRPr="00613EB0" w:rsidRDefault="00D62912" w:rsidP="00F208DA">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r>
      <w:tr w:rsidR="00F71E32" w:rsidRPr="00E74A5E" w14:paraId="5B5D25EE" w14:textId="77777777" w:rsidTr="00F71E32">
        <w:trPr>
          <w:trHeight w:val="235"/>
          <w:jc w:val="center"/>
        </w:trPr>
        <w:tc>
          <w:tcPr>
            <w:tcW w:w="3694" w:type="dxa"/>
            <w:tcBorders>
              <w:top w:val="nil"/>
              <w:left w:val="single" w:sz="8" w:space="0" w:color="auto"/>
              <w:bottom w:val="single" w:sz="4" w:space="0" w:color="auto"/>
              <w:right w:val="single" w:sz="4" w:space="0" w:color="auto"/>
            </w:tcBorders>
            <w:shd w:val="clear" w:color="auto" w:fill="auto"/>
            <w:noWrap/>
            <w:vAlign w:val="center"/>
            <w:hideMark/>
          </w:tcPr>
          <w:p w14:paraId="44A6D55B" w14:textId="77777777" w:rsidR="00F71E32" w:rsidRPr="00613EB0" w:rsidRDefault="00F71E32" w:rsidP="00F71E32">
            <w:pPr>
              <w:jc w:val="both"/>
              <w:rPr>
                <w:rFonts w:ascii="Arial" w:hAnsi="Arial" w:cs="Arial"/>
                <w:color w:val="000000"/>
                <w:sz w:val="16"/>
                <w:szCs w:val="16"/>
                <w:lang w:eastAsia="es-AR"/>
              </w:rPr>
            </w:pPr>
            <w:r w:rsidRPr="00613EB0">
              <w:rPr>
                <w:rFonts w:ascii="Arial" w:hAnsi="Arial" w:cs="Arial"/>
                <w:color w:val="000000"/>
                <w:sz w:val="16"/>
                <w:szCs w:val="16"/>
                <w:lang w:eastAsia="es-AR"/>
              </w:rPr>
              <w:t>- Efectivo y depósitos en Bancos</w:t>
            </w:r>
          </w:p>
        </w:tc>
        <w:tc>
          <w:tcPr>
            <w:tcW w:w="1190" w:type="dxa"/>
            <w:tcBorders>
              <w:top w:val="nil"/>
              <w:left w:val="nil"/>
              <w:bottom w:val="single" w:sz="4" w:space="0" w:color="auto"/>
              <w:right w:val="single" w:sz="4" w:space="0" w:color="auto"/>
            </w:tcBorders>
            <w:shd w:val="clear" w:color="auto" w:fill="auto"/>
            <w:noWrap/>
            <w:vAlign w:val="bottom"/>
          </w:tcPr>
          <w:p w14:paraId="4F53E6BD" w14:textId="01B40E1B" w:rsidR="00F71E32" w:rsidRPr="00F71E32" w:rsidRDefault="00F71E32" w:rsidP="00F71E32">
            <w:pPr>
              <w:jc w:val="right"/>
              <w:rPr>
                <w:rFonts w:ascii="Arial" w:hAnsi="Arial" w:cs="Arial"/>
                <w:sz w:val="16"/>
                <w:szCs w:val="16"/>
              </w:rPr>
            </w:pPr>
            <w:r w:rsidRPr="00F71E32">
              <w:rPr>
                <w:rFonts w:ascii="Arial" w:hAnsi="Arial" w:cs="Arial"/>
                <w:color w:val="000000"/>
                <w:sz w:val="16"/>
                <w:szCs w:val="16"/>
              </w:rPr>
              <w:t>25.555.134</w:t>
            </w:r>
          </w:p>
        </w:tc>
        <w:tc>
          <w:tcPr>
            <w:tcW w:w="1131" w:type="dxa"/>
            <w:tcBorders>
              <w:top w:val="nil"/>
              <w:left w:val="nil"/>
              <w:bottom w:val="single" w:sz="4" w:space="0" w:color="auto"/>
              <w:right w:val="single" w:sz="4" w:space="0" w:color="auto"/>
            </w:tcBorders>
            <w:shd w:val="clear" w:color="auto" w:fill="auto"/>
            <w:vAlign w:val="bottom"/>
          </w:tcPr>
          <w:p w14:paraId="60C7C2F7" w14:textId="2278ABFD"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25.555.134</w:t>
            </w:r>
          </w:p>
        </w:tc>
        <w:tc>
          <w:tcPr>
            <w:tcW w:w="184" w:type="dxa"/>
            <w:tcBorders>
              <w:top w:val="nil"/>
              <w:left w:val="nil"/>
              <w:bottom w:val="single" w:sz="4" w:space="0" w:color="auto"/>
              <w:right w:val="single" w:sz="4" w:space="0" w:color="auto"/>
            </w:tcBorders>
            <w:shd w:val="clear" w:color="auto" w:fill="auto"/>
            <w:vAlign w:val="bottom"/>
          </w:tcPr>
          <w:p w14:paraId="6A8F638E" w14:textId="0A6ADEB5" w:rsidR="00F71E32" w:rsidRPr="00F71E32" w:rsidRDefault="00F71E32" w:rsidP="00F71E32">
            <w:pPr>
              <w:jc w:val="right"/>
              <w:rPr>
                <w:rFonts w:ascii="Arial" w:hAnsi="Arial" w:cs="Arial"/>
                <w:color w:val="000000"/>
                <w:sz w:val="16"/>
                <w:szCs w:val="16"/>
                <w:lang w:eastAsia="es-AR"/>
              </w:rPr>
            </w:pPr>
          </w:p>
        </w:tc>
        <w:tc>
          <w:tcPr>
            <w:tcW w:w="1031" w:type="dxa"/>
            <w:tcBorders>
              <w:top w:val="nil"/>
              <w:left w:val="nil"/>
              <w:bottom w:val="single" w:sz="4" w:space="0" w:color="auto"/>
              <w:right w:val="single" w:sz="4" w:space="0" w:color="auto"/>
            </w:tcBorders>
            <w:shd w:val="clear" w:color="auto" w:fill="auto"/>
            <w:vAlign w:val="bottom"/>
          </w:tcPr>
          <w:p w14:paraId="19EB3905" w14:textId="178DFF88"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25.555.134</w:t>
            </w:r>
          </w:p>
        </w:tc>
        <w:tc>
          <w:tcPr>
            <w:tcW w:w="934" w:type="dxa"/>
            <w:tcBorders>
              <w:top w:val="nil"/>
              <w:left w:val="nil"/>
              <w:bottom w:val="single" w:sz="4" w:space="0" w:color="auto"/>
              <w:right w:val="single" w:sz="4" w:space="0" w:color="auto"/>
            </w:tcBorders>
            <w:shd w:val="clear" w:color="auto" w:fill="auto"/>
            <w:vAlign w:val="bottom"/>
          </w:tcPr>
          <w:p w14:paraId="6FF74703" w14:textId="74E53F85"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c>
          <w:tcPr>
            <w:tcW w:w="1113" w:type="dxa"/>
            <w:tcBorders>
              <w:top w:val="nil"/>
              <w:left w:val="nil"/>
              <w:bottom w:val="single" w:sz="4" w:space="0" w:color="auto"/>
              <w:right w:val="single" w:sz="8" w:space="0" w:color="auto"/>
            </w:tcBorders>
            <w:shd w:val="clear" w:color="auto" w:fill="auto"/>
            <w:vAlign w:val="bottom"/>
          </w:tcPr>
          <w:p w14:paraId="7C6C21E4" w14:textId="5FDEA4A7"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r>
      <w:tr w:rsidR="00F71E32" w:rsidRPr="00E74A5E" w14:paraId="42E40053" w14:textId="77777777" w:rsidTr="00F71E32">
        <w:trPr>
          <w:trHeight w:val="235"/>
          <w:jc w:val="center"/>
        </w:trPr>
        <w:tc>
          <w:tcPr>
            <w:tcW w:w="3694" w:type="dxa"/>
            <w:tcBorders>
              <w:top w:val="nil"/>
              <w:left w:val="single" w:sz="8" w:space="0" w:color="auto"/>
              <w:bottom w:val="single" w:sz="4" w:space="0" w:color="auto"/>
              <w:right w:val="single" w:sz="4" w:space="0" w:color="auto"/>
            </w:tcBorders>
            <w:shd w:val="clear" w:color="auto" w:fill="auto"/>
            <w:noWrap/>
            <w:vAlign w:val="center"/>
          </w:tcPr>
          <w:p w14:paraId="4D0A2911" w14:textId="77777777" w:rsidR="00F71E32" w:rsidRPr="00613EB0" w:rsidRDefault="00F71E32" w:rsidP="00F71E32">
            <w:pPr>
              <w:jc w:val="both"/>
              <w:rPr>
                <w:rFonts w:ascii="Arial" w:hAnsi="Arial" w:cs="Arial"/>
                <w:color w:val="000000"/>
                <w:sz w:val="16"/>
                <w:szCs w:val="16"/>
                <w:lang w:eastAsia="es-AR"/>
              </w:rPr>
            </w:pPr>
            <w:r w:rsidRPr="007228CD">
              <w:rPr>
                <w:rFonts w:ascii="Arial" w:hAnsi="Arial" w:cs="Arial"/>
                <w:color w:val="000000"/>
                <w:sz w:val="16"/>
                <w:szCs w:val="16"/>
                <w:lang w:eastAsia="es-AR"/>
              </w:rPr>
              <w:t>-</w:t>
            </w:r>
            <w:r>
              <w:rPr>
                <w:rFonts w:ascii="Arial" w:hAnsi="Arial" w:cs="Arial"/>
                <w:color w:val="000000"/>
                <w:sz w:val="16"/>
                <w:szCs w:val="16"/>
                <w:lang w:eastAsia="es-AR"/>
              </w:rPr>
              <w:t xml:space="preserve"> </w:t>
            </w:r>
            <w:r w:rsidRPr="00613EB0">
              <w:rPr>
                <w:rFonts w:ascii="Arial" w:hAnsi="Arial" w:cs="Arial"/>
                <w:color w:val="000000"/>
                <w:sz w:val="16"/>
                <w:szCs w:val="16"/>
                <w:lang w:eastAsia="es-AR"/>
              </w:rPr>
              <w:t>Otros activos financieros</w:t>
            </w:r>
            <w:r w:rsidRPr="007228CD" w:rsidDel="00155A0D">
              <w:rPr>
                <w:rFonts w:ascii="Arial" w:hAnsi="Arial" w:cs="Arial"/>
                <w:color w:val="000000"/>
                <w:sz w:val="16"/>
                <w:szCs w:val="16"/>
                <w:lang w:eastAsia="es-AR"/>
              </w:rPr>
              <w:t xml:space="preserve"> </w:t>
            </w:r>
          </w:p>
        </w:tc>
        <w:tc>
          <w:tcPr>
            <w:tcW w:w="1190" w:type="dxa"/>
            <w:tcBorders>
              <w:top w:val="nil"/>
              <w:left w:val="nil"/>
              <w:bottom w:val="single" w:sz="4" w:space="0" w:color="auto"/>
              <w:right w:val="single" w:sz="4" w:space="0" w:color="auto"/>
            </w:tcBorders>
            <w:shd w:val="clear" w:color="auto" w:fill="auto"/>
            <w:noWrap/>
            <w:vAlign w:val="bottom"/>
          </w:tcPr>
          <w:p w14:paraId="19D65E6D" w14:textId="1BBCE618"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512.325</w:t>
            </w:r>
          </w:p>
        </w:tc>
        <w:tc>
          <w:tcPr>
            <w:tcW w:w="1131" w:type="dxa"/>
            <w:tcBorders>
              <w:top w:val="nil"/>
              <w:left w:val="nil"/>
              <w:bottom w:val="single" w:sz="4" w:space="0" w:color="auto"/>
              <w:right w:val="single" w:sz="4" w:space="0" w:color="auto"/>
            </w:tcBorders>
            <w:shd w:val="clear" w:color="auto" w:fill="auto"/>
            <w:vAlign w:val="bottom"/>
          </w:tcPr>
          <w:p w14:paraId="4FF13418" w14:textId="34E4A520"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512.325</w:t>
            </w:r>
          </w:p>
        </w:tc>
        <w:tc>
          <w:tcPr>
            <w:tcW w:w="184" w:type="dxa"/>
            <w:tcBorders>
              <w:top w:val="nil"/>
              <w:left w:val="nil"/>
              <w:bottom w:val="single" w:sz="4" w:space="0" w:color="auto"/>
              <w:right w:val="single" w:sz="4" w:space="0" w:color="auto"/>
            </w:tcBorders>
            <w:shd w:val="clear" w:color="auto" w:fill="auto"/>
            <w:vAlign w:val="bottom"/>
          </w:tcPr>
          <w:p w14:paraId="736854E8" w14:textId="429F9BDC" w:rsidR="00F71E32" w:rsidRPr="00F71E32" w:rsidRDefault="00F71E32" w:rsidP="00F71E32">
            <w:pPr>
              <w:jc w:val="right"/>
              <w:rPr>
                <w:rFonts w:ascii="Arial" w:hAnsi="Arial" w:cs="Arial"/>
                <w:color w:val="000000"/>
                <w:sz w:val="16"/>
                <w:szCs w:val="16"/>
                <w:lang w:eastAsia="es-AR"/>
              </w:rPr>
            </w:pPr>
          </w:p>
        </w:tc>
        <w:tc>
          <w:tcPr>
            <w:tcW w:w="1031" w:type="dxa"/>
            <w:tcBorders>
              <w:top w:val="nil"/>
              <w:left w:val="nil"/>
              <w:bottom w:val="single" w:sz="4" w:space="0" w:color="auto"/>
              <w:right w:val="single" w:sz="4" w:space="0" w:color="auto"/>
            </w:tcBorders>
            <w:shd w:val="clear" w:color="auto" w:fill="auto"/>
            <w:vAlign w:val="bottom"/>
          </w:tcPr>
          <w:p w14:paraId="048E4078" w14:textId="10CE5370"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512.325</w:t>
            </w:r>
          </w:p>
        </w:tc>
        <w:tc>
          <w:tcPr>
            <w:tcW w:w="934" w:type="dxa"/>
            <w:tcBorders>
              <w:top w:val="nil"/>
              <w:left w:val="nil"/>
              <w:bottom w:val="single" w:sz="4" w:space="0" w:color="auto"/>
              <w:right w:val="single" w:sz="4" w:space="0" w:color="auto"/>
            </w:tcBorders>
            <w:shd w:val="clear" w:color="auto" w:fill="auto"/>
            <w:vAlign w:val="bottom"/>
          </w:tcPr>
          <w:p w14:paraId="604BFC8E" w14:textId="467C1A88" w:rsidR="00F71E32" w:rsidRPr="00F71E32" w:rsidRDefault="00F73F7F" w:rsidP="00F71E32">
            <w:pPr>
              <w:jc w:val="right"/>
              <w:rPr>
                <w:rFonts w:ascii="Arial" w:hAnsi="Arial" w:cs="Arial"/>
                <w:color w:val="000000"/>
                <w:sz w:val="16"/>
                <w:szCs w:val="16"/>
                <w:lang w:eastAsia="es-AR"/>
              </w:rPr>
            </w:pPr>
            <w:r>
              <w:rPr>
                <w:rFonts w:ascii="Arial" w:hAnsi="Arial" w:cs="Arial"/>
                <w:color w:val="000000"/>
                <w:sz w:val="16"/>
                <w:szCs w:val="16"/>
                <w:lang w:eastAsia="es-AR"/>
              </w:rPr>
              <w:t>-</w:t>
            </w:r>
          </w:p>
        </w:tc>
        <w:tc>
          <w:tcPr>
            <w:tcW w:w="1113" w:type="dxa"/>
            <w:tcBorders>
              <w:top w:val="nil"/>
              <w:left w:val="nil"/>
              <w:bottom w:val="single" w:sz="4" w:space="0" w:color="auto"/>
              <w:right w:val="single" w:sz="8" w:space="0" w:color="auto"/>
            </w:tcBorders>
            <w:shd w:val="clear" w:color="auto" w:fill="auto"/>
            <w:vAlign w:val="bottom"/>
          </w:tcPr>
          <w:p w14:paraId="5E24BFEE" w14:textId="7716F32E" w:rsidR="00F71E32" w:rsidRPr="00F71E32" w:rsidRDefault="00F73F7F" w:rsidP="00F71E32">
            <w:pPr>
              <w:jc w:val="right"/>
              <w:rPr>
                <w:rFonts w:ascii="Arial" w:hAnsi="Arial" w:cs="Arial"/>
                <w:color w:val="000000"/>
                <w:sz w:val="16"/>
                <w:szCs w:val="16"/>
                <w:lang w:eastAsia="es-AR"/>
              </w:rPr>
            </w:pPr>
            <w:r>
              <w:rPr>
                <w:rFonts w:ascii="Arial" w:hAnsi="Arial" w:cs="Arial"/>
                <w:color w:val="000000"/>
                <w:sz w:val="16"/>
                <w:szCs w:val="16"/>
                <w:lang w:eastAsia="es-AR"/>
              </w:rPr>
              <w:t>-</w:t>
            </w:r>
          </w:p>
        </w:tc>
      </w:tr>
      <w:tr w:rsidR="00F71E32" w:rsidRPr="00E74A5E" w14:paraId="50810479" w14:textId="77777777" w:rsidTr="00F71E32">
        <w:trPr>
          <w:trHeight w:val="235"/>
          <w:jc w:val="center"/>
        </w:trPr>
        <w:tc>
          <w:tcPr>
            <w:tcW w:w="3694" w:type="dxa"/>
            <w:tcBorders>
              <w:top w:val="nil"/>
              <w:left w:val="single" w:sz="8" w:space="0" w:color="auto"/>
              <w:bottom w:val="single" w:sz="4" w:space="0" w:color="auto"/>
              <w:right w:val="single" w:sz="4" w:space="0" w:color="auto"/>
            </w:tcBorders>
            <w:shd w:val="clear" w:color="auto" w:fill="auto"/>
            <w:noWrap/>
            <w:vAlign w:val="center"/>
            <w:hideMark/>
          </w:tcPr>
          <w:p w14:paraId="3FED5B73" w14:textId="77777777" w:rsidR="00F71E32" w:rsidRPr="00613EB0" w:rsidRDefault="00F71E32" w:rsidP="00F71E32">
            <w:pPr>
              <w:jc w:val="both"/>
              <w:rPr>
                <w:rFonts w:ascii="Arial" w:hAnsi="Arial" w:cs="Arial"/>
                <w:color w:val="000000"/>
                <w:sz w:val="16"/>
                <w:szCs w:val="16"/>
                <w:lang w:eastAsia="es-AR"/>
              </w:rPr>
            </w:pPr>
            <w:r w:rsidRPr="00613EB0">
              <w:rPr>
                <w:rFonts w:ascii="Arial" w:hAnsi="Arial" w:cs="Arial"/>
                <w:color w:val="000000"/>
                <w:sz w:val="16"/>
                <w:szCs w:val="16"/>
                <w:lang w:eastAsia="es-AR"/>
              </w:rPr>
              <w:t>-</w:t>
            </w:r>
            <w:r>
              <w:rPr>
                <w:rFonts w:ascii="Arial" w:hAnsi="Arial" w:cs="Arial"/>
                <w:color w:val="000000"/>
                <w:sz w:val="16"/>
                <w:szCs w:val="16"/>
                <w:lang w:eastAsia="es-AR"/>
              </w:rPr>
              <w:t xml:space="preserve"> </w:t>
            </w:r>
            <w:r w:rsidRPr="00613EB0">
              <w:rPr>
                <w:rFonts w:ascii="Arial" w:hAnsi="Arial" w:cs="Arial"/>
                <w:color w:val="000000"/>
                <w:sz w:val="16"/>
                <w:szCs w:val="16"/>
                <w:lang w:eastAsia="es-AR"/>
              </w:rPr>
              <w:t>Préstamos y otras financiaciones</w:t>
            </w:r>
          </w:p>
        </w:tc>
        <w:tc>
          <w:tcPr>
            <w:tcW w:w="1190" w:type="dxa"/>
            <w:tcBorders>
              <w:top w:val="nil"/>
              <w:left w:val="nil"/>
              <w:bottom w:val="single" w:sz="4" w:space="0" w:color="auto"/>
              <w:right w:val="single" w:sz="4" w:space="0" w:color="auto"/>
            </w:tcBorders>
            <w:shd w:val="clear" w:color="auto" w:fill="auto"/>
            <w:noWrap/>
            <w:vAlign w:val="bottom"/>
          </w:tcPr>
          <w:p w14:paraId="0FDA28D1" w14:textId="0E90FD7E"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84.029.439</w:t>
            </w:r>
          </w:p>
        </w:tc>
        <w:tc>
          <w:tcPr>
            <w:tcW w:w="1131" w:type="dxa"/>
            <w:tcBorders>
              <w:top w:val="nil"/>
              <w:left w:val="nil"/>
              <w:bottom w:val="single" w:sz="4" w:space="0" w:color="auto"/>
              <w:right w:val="single" w:sz="4" w:space="0" w:color="auto"/>
            </w:tcBorders>
            <w:shd w:val="clear" w:color="auto" w:fill="auto"/>
            <w:vAlign w:val="bottom"/>
          </w:tcPr>
          <w:p w14:paraId="3F5C8BD4" w14:textId="794352A7" w:rsidR="00F71E32" w:rsidRPr="00F71E32" w:rsidRDefault="00F73F7F" w:rsidP="00F71E32">
            <w:pPr>
              <w:jc w:val="right"/>
              <w:rPr>
                <w:rFonts w:ascii="Arial" w:hAnsi="Arial" w:cs="Arial"/>
                <w:color w:val="000000"/>
                <w:sz w:val="16"/>
                <w:szCs w:val="16"/>
                <w:lang w:eastAsia="es-AR"/>
              </w:rPr>
            </w:pPr>
            <w:r w:rsidRPr="00F73F7F">
              <w:rPr>
                <w:rFonts w:ascii="Arial" w:hAnsi="Arial" w:cs="Arial"/>
                <w:color w:val="000000"/>
                <w:sz w:val="16"/>
                <w:szCs w:val="16"/>
              </w:rPr>
              <w:t>87.034.668</w:t>
            </w:r>
          </w:p>
        </w:tc>
        <w:tc>
          <w:tcPr>
            <w:tcW w:w="184" w:type="dxa"/>
            <w:tcBorders>
              <w:top w:val="nil"/>
              <w:left w:val="nil"/>
              <w:bottom w:val="single" w:sz="4" w:space="0" w:color="auto"/>
              <w:right w:val="single" w:sz="4" w:space="0" w:color="auto"/>
            </w:tcBorders>
            <w:shd w:val="clear" w:color="auto" w:fill="auto"/>
            <w:vAlign w:val="bottom"/>
          </w:tcPr>
          <w:p w14:paraId="5C6D1CCE" w14:textId="18D0CA2A" w:rsidR="00F71E32" w:rsidRPr="00F71E32" w:rsidRDefault="00F71E32" w:rsidP="00F71E32">
            <w:pPr>
              <w:jc w:val="right"/>
              <w:rPr>
                <w:rFonts w:ascii="Arial" w:hAnsi="Arial" w:cs="Arial"/>
                <w:color w:val="000000"/>
                <w:sz w:val="16"/>
                <w:szCs w:val="16"/>
                <w:lang w:eastAsia="es-AR"/>
              </w:rPr>
            </w:pPr>
          </w:p>
        </w:tc>
        <w:tc>
          <w:tcPr>
            <w:tcW w:w="1031" w:type="dxa"/>
            <w:tcBorders>
              <w:top w:val="nil"/>
              <w:left w:val="nil"/>
              <w:bottom w:val="single" w:sz="4" w:space="0" w:color="auto"/>
              <w:right w:val="single" w:sz="4" w:space="0" w:color="auto"/>
            </w:tcBorders>
            <w:shd w:val="clear" w:color="auto" w:fill="auto"/>
            <w:vAlign w:val="bottom"/>
          </w:tcPr>
          <w:p w14:paraId="60F6EE0A" w14:textId="1E20CC70"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c>
          <w:tcPr>
            <w:tcW w:w="934" w:type="dxa"/>
            <w:tcBorders>
              <w:top w:val="nil"/>
              <w:left w:val="nil"/>
              <w:bottom w:val="single" w:sz="4" w:space="0" w:color="auto"/>
              <w:right w:val="single" w:sz="4" w:space="0" w:color="auto"/>
            </w:tcBorders>
            <w:shd w:val="clear" w:color="auto" w:fill="auto"/>
            <w:vAlign w:val="bottom"/>
          </w:tcPr>
          <w:p w14:paraId="7C16E25A" w14:textId="6C69FCEE"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c>
          <w:tcPr>
            <w:tcW w:w="1113" w:type="dxa"/>
            <w:tcBorders>
              <w:top w:val="nil"/>
              <w:left w:val="nil"/>
              <w:bottom w:val="single" w:sz="4" w:space="0" w:color="auto"/>
              <w:right w:val="single" w:sz="8" w:space="0" w:color="auto"/>
            </w:tcBorders>
            <w:shd w:val="clear" w:color="auto" w:fill="auto"/>
            <w:vAlign w:val="bottom"/>
          </w:tcPr>
          <w:p w14:paraId="14F6860B" w14:textId="7379685D" w:rsidR="00F71E32" w:rsidRPr="00F71E32" w:rsidRDefault="00F73F7F" w:rsidP="00F71E32">
            <w:pPr>
              <w:jc w:val="right"/>
              <w:rPr>
                <w:rFonts w:ascii="Arial" w:hAnsi="Arial" w:cs="Arial"/>
                <w:color w:val="000000"/>
                <w:sz w:val="16"/>
                <w:szCs w:val="16"/>
                <w:lang w:eastAsia="es-AR"/>
              </w:rPr>
            </w:pPr>
            <w:r w:rsidRPr="00F73F7F">
              <w:rPr>
                <w:rFonts w:ascii="Arial" w:hAnsi="Arial" w:cs="Arial"/>
                <w:color w:val="000000"/>
                <w:sz w:val="16"/>
                <w:szCs w:val="16"/>
              </w:rPr>
              <w:t>87.034.668</w:t>
            </w:r>
          </w:p>
        </w:tc>
      </w:tr>
      <w:tr w:rsidR="00F71E32" w:rsidRPr="00E74A5E" w14:paraId="2699594B" w14:textId="77777777" w:rsidTr="00F71E32">
        <w:trPr>
          <w:trHeight w:val="235"/>
          <w:jc w:val="center"/>
        </w:trPr>
        <w:tc>
          <w:tcPr>
            <w:tcW w:w="3694" w:type="dxa"/>
            <w:tcBorders>
              <w:top w:val="nil"/>
              <w:left w:val="single" w:sz="8" w:space="0" w:color="auto"/>
              <w:bottom w:val="single" w:sz="4" w:space="0" w:color="auto"/>
              <w:right w:val="single" w:sz="4" w:space="0" w:color="auto"/>
            </w:tcBorders>
            <w:shd w:val="clear" w:color="auto" w:fill="auto"/>
            <w:noWrap/>
            <w:vAlign w:val="center"/>
            <w:hideMark/>
          </w:tcPr>
          <w:p w14:paraId="009583CE" w14:textId="77777777" w:rsidR="00F71E32" w:rsidRPr="00613EB0" w:rsidRDefault="00F71E32" w:rsidP="00F71E32">
            <w:pPr>
              <w:jc w:val="both"/>
              <w:rPr>
                <w:rFonts w:ascii="Arial" w:hAnsi="Arial" w:cs="Arial"/>
                <w:color w:val="000000"/>
                <w:sz w:val="16"/>
                <w:szCs w:val="16"/>
                <w:lang w:eastAsia="es-AR"/>
              </w:rPr>
            </w:pPr>
            <w:r w:rsidRPr="00613EB0">
              <w:rPr>
                <w:rFonts w:ascii="Arial" w:hAnsi="Arial" w:cs="Arial"/>
                <w:color w:val="000000"/>
                <w:sz w:val="16"/>
                <w:szCs w:val="16"/>
                <w:lang w:eastAsia="es-AR"/>
              </w:rPr>
              <w:t>- Otros Títulos de Deuda</w:t>
            </w:r>
          </w:p>
        </w:tc>
        <w:tc>
          <w:tcPr>
            <w:tcW w:w="1190" w:type="dxa"/>
            <w:tcBorders>
              <w:top w:val="nil"/>
              <w:left w:val="nil"/>
              <w:bottom w:val="single" w:sz="4" w:space="0" w:color="auto"/>
              <w:right w:val="single" w:sz="4" w:space="0" w:color="auto"/>
            </w:tcBorders>
            <w:shd w:val="clear" w:color="auto" w:fill="auto"/>
            <w:noWrap/>
            <w:vAlign w:val="bottom"/>
          </w:tcPr>
          <w:p w14:paraId="02EE3441" w14:textId="5586CAAB" w:rsidR="00F71E32" w:rsidRPr="00F71E32" w:rsidRDefault="00F73F7F" w:rsidP="00F71E32">
            <w:pPr>
              <w:jc w:val="right"/>
              <w:rPr>
                <w:rFonts w:ascii="Arial" w:hAnsi="Arial" w:cs="Arial"/>
                <w:color w:val="000000"/>
                <w:sz w:val="16"/>
                <w:szCs w:val="16"/>
                <w:lang w:eastAsia="es-AR"/>
              </w:rPr>
            </w:pPr>
            <w:r w:rsidRPr="00F73F7F">
              <w:rPr>
                <w:rFonts w:ascii="Arial" w:hAnsi="Arial" w:cs="Arial"/>
                <w:color w:val="000000"/>
                <w:sz w:val="16"/>
                <w:szCs w:val="16"/>
              </w:rPr>
              <w:t>3.442.094</w:t>
            </w:r>
          </w:p>
        </w:tc>
        <w:tc>
          <w:tcPr>
            <w:tcW w:w="1131" w:type="dxa"/>
            <w:tcBorders>
              <w:top w:val="nil"/>
              <w:left w:val="nil"/>
              <w:bottom w:val="single" w:sz="4" w:space="0" w:color="auto"/>
              <w:right w:val="single" w:sz="4" w:space="0" w:color="auto"/>
            </w:tcBorders>
            <w:shd w:val="clear" w:color="auto" w:fill="auto"/>
            <w:vAlign w:val="bottom"/>
          </w:tcPr>
          <w:p w14:paraId="075760DC" w14:textId="2967929C" w:rsidR="00F71E32" w:rsidRPr="00F71E32" w:rsidRDefault="00F73F7F" w:rsidP="00F71E32">
            <w:pPr>
              <w:jc w:val="right"/>
              <w:rPr>
                <w:rFonts w:ascii="Arial" w:hAnsi="Arial" w:cs="Arial"/>
                <w:color w:val="000000"/>
                <w:sz w:val="16"/>
                <w:szCs w:val="16"/>
                <w:lang w:eastAsia="es-AR"/>
              </w:rPr>
            </w:pPr>
            <w:r w:rsidRPr="00F73F7F">
              <w:rPr>
                <w:rFonts w:ascii="Arial" w:hAnsi="Arial" w:cs="Arial"/>
                <w:color w:val="000000"/>
                <w:sz w:val="16"/>
                <w:szCs w:val="16"/>
                <w:lang w:eastAsia="es-AR"/>
              </w:rPr>
              <w:t>3.169.400</w:t>
            </w:r>
          </w:p>
        </w:tc>
        <w:tc>
          <w:tcPr>
            <w:tcW w:w="184" w:type="dxa"/>
            <w:tcBorders>
              <w:top w:val="nil"/>
              <w:left w:val="nil"/>
              <w:bottom w:val="single" w:sz="4" w:space="0" w:color="auto"/>
              <w:right w:val="single" w:sz="4" w:space="0" w:color="auto"/>
            </w:tcBorders>
            <w:shd w:val="clear" w:color="auto" w:fill="auto"/>
            <w:vAlign w:val="bottom"/>
          </w:tcPr>
          <w:p w14:paraId="3E2B7C39" w14:textId="4AFA14B3" w:rsidR="00F71E32" w:rsidRPr="00F71E32" w:rsidRDefault="00F71E32" w:rsidP="00F71E32">
            <w:pPr>
              <w:jc w:val="right"/>
              <w:rPr>
                <w:rFonts w:ascii="Arial" w:hAnsi="Arial" w:cs="Arial"/>
                <w:color w:val="000000"/>
                <w:sz w:val="16"/>
                <w:szCs w:val="16"/>
                <w:lang w:eastAsia="es-AR"/>
              </w:rPr>
            </w:pPr>
          </w:p>
        </w:tc>
        <w:tc>
          <w:tcPr>
            <w:tcW w:w="1031" w:type="dxa"/>
            <w:tcBorders>
              <w:top w:val="nil"/>
              <w:left w:val="nil"/>
              <w:bottom w:val="single" w:sz="4" w:space="0" w:color="auto"/>
              <w:right w:val="single" w:sz="4" w:space="0" w:color="auto"/>
            </w:tcBorders>
            <w:shd w:val="clear" w:color="auto" w:fill="auto"/>
            <w:vAlign w:val="bottom"/>
          </w:tcPr>
          <w:p w14:paraId="25496CEC" w14:textId="6D606A3F" w:rsidR="00F71E32" w:rsidRPr="00F71E32" w:rsidRDefault="00F73F7F" w:rsidP="00F71E32">
            <w:pPr>
              <w:jc w:val="right"/>
              <w:rPr>
                <w:rFonts w:ascii="Arial" w:hAnsi="Arial" w:cs="Arial"/>
                <w:color w:val="000000"/>
                <w:sz w:val="16"/>
                <w:szCs w:val="16"/>
                <w:lang w:eastAsia="es-AR"/>
              </w:rPr>
            </w:pPr>
            <w:r w:rsidRPr="00F73F7F">
              <w:rPr>
                <w:rFonts w:ascii="Arial" w:hAnsi="Arial" w:cs="Arial"/>
                <w:color w:val="000000"/>
                <w:sz w:val="16"/>
                <w:szCs w:val="16"/>
                <w:lang w:eastAsia="es-AR"/>
              </w:rPr>
              <w:t>3.169.400</w:t>
            </w:r>
          </w:p>
        </w:tc>
        <w:tc>
          <w:tcPr>
            <w:tcW w:w="934" w:type="dxa"/>
            <w:tcBorders>
              <w:top w:val="nil"/>
              <w:left w:val="nil"/>
              <w:bottom w:val="single" w:sz="4" w:space="0" w:color="auto"/>
              <w:right w:val="single" w:sz="4" w:space="0" w:color="auto"/>
            </w:tcBorders>
            <w:shd w:val="clear" w:color="auto" w:fill="auto"/>
            <w:vAlign w:val="bottom"/>
          </w:tcPr>
          <w:p w14:paraId="0CE46EC8" w14:textId="65C7A2C6" w:rsidR="00F71E32" w:rsidRPr="00F71E32" w:rsidRDefault="00F73F7F" w:rsidP="00F71E32">
            <w:pPr>
              <w:jc w:val="right"/>
              <w:rPr>
                <w:rFonts w:ascii="Arial" w:hAnsi="Arial" w:cs="Arial"/>
                <w:color w:val="000000"/>
                <w:sz w:val="16"/>
                <w:szCs w:val="16"/>
                <w:lang w:eastAsia="es-AR"/>
              </w:rPr>
            </w:pPr>
            <w:r>
              <w:rPr>
                <w:rFonts w:ascii="Arial" w:hAnsi="Arial" w:cs="Arial"/>
                <w:color w:val="000000"/>
                <w:sz w:val="16"/>
                <w:szCs w:val="16"/>
                <w:lang w:eastAsia="es-AR"/>
              </w:rPr>
              <w:t>-</w:t>
            </w:r>
          </w:p>
        </w:tc>
        <w:tc>
          <w:tcPr>
            <w:tcW w:w="1113" w:type="dxa"/>
            <w:tcBorders>
              <w:top w:val="nil"/>
              <w:left w:val="nil"/>
              <w:bottom w:val="single" w:sz="4" w:space="0" w:color="auto"/>
              <w:right w:val="single" w:sz="8" w:space="0" w:color="auto"/>
            </w:tcBorders>
            <w:shd w:val="clear" w:color="auto" w:fill="auto"/>
            <w:vAlign w:val="bottom"/>
          </w:tcPr>
          <w:p w14:paraId="327AA85A" w14:textId="36BC7666" w:rsidR="00F71E32" w:rsidRPr="00F71E32" w:rsidRDefault="00F73F7F" w:rsidP="00F71E32">
            <w:pPr>
              <w:jc w:val="right"/>
              <w:rPr>
                <w:rFonts w:ascii="Arial" w:hAnsi="Arial" w:cs="Arial"/>
                <w:color w:val="000000"/>
                <w:sz w:val="16"/>
                <w:szCs w:val="16"/>
                <w:lang w:eastAsia="es-AR"/>
              </w:rPr>
            </w:pPr>
            <w:r>
              <w:rPr>
                <w:rFonts w:ascii="Arial" w:hAnsi="Arial" w:cs="Arial"/>
                <w:color w:val="000000"/>
                <w:sz w:val="16"/>
                <w:szCs w:val="16"/>
                <w:lang w:eastAsia="es-AR"/>
              </w:rPr>
              <w:t>-</w:t>
            </w:r>
          </w:p>
        </w:tc>
      </w:tr>
      <w:tr w:rsidR="00F71E32" w:rsidRPr="00E74A5E" w14:paraId="514E5D20" w14:textId="77777777" w:rsidTr="00F71E32">
        <w:trPr>
          <w:trHeight w:val="245"/>
          <w:jc w:val="center"/>
        </w:trPr>
        <w:tc>
          <w:tcPr>
            <w:tcW w:w="3694"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6403487E" w14:textId="77777777" w:rsidR="00F71E32" w:rsidRPr="00613EB0" w:rsidRDefault="00F71E32" w:rsidP="00F71E32">
            <w:pPr>
              <w:rPr>
                <w:rFonts w:ascii="Arial" w:hAnsi="Arial" w:cs="Arial"/>
                <w:b/>
                <w:color w:val="000000"/>
                <w:sz w:val="16"/>
                <w:szCs w:val="16"/>
                <w:lang w:eastAsia="es-AR"/>
              </w:rPr>
            </w:pPr>
          </w:p>
        </w:tc>
        <w:tc>
          <w:tcPr>
            <w:tcW w:w="1190" w:type="dxa"/>
            <w:tcBorders>
              <w:top w:val="single" w:sz="8" w:space="0" w:color="auto"/>
              <w:left w:val="nil"/>
              <w:bottom w:val="single" w:sz="8" w:space="0" w:color="auto"/>
              <w:right w:val="single" w:sz="4" w:space="0" w:color="auto"/>
            </w:tcBorders>
            <w:shd w:val="clear" w:color="000000" w:fill="EDEDED"/>
            <w:noWrap/>
            <w:vAlign w:val="bottom"/>
          </w:tcPr>
          <w:p w14:paraId="6D00F717" w14:textId="4B616615" w:rsidR="00F71E32" w:rsidRPr="00F71E32" w:rsidRDefault="00F73F7F" w:rsidP="00F71E32">
            <w:pPr>
              <w:jc w:val="right"/>
              <w:rPr>
                <w:rFonts w:ascii="Arial" w:hAnsi="Arial" w:cs="Arial"/>
                <w:b/>
                <w:bCs/>
                <w:color w:val="000000"/>
                <w:sz w:val="16"/>
                <w:szCs w:val="16"/>
                <w:lang w:eastAsia="es-AR"/>
              </w:rPr>
            </w:pPr>
            <w:r w:rsidRPr="00F73F7F">
              <w:rPr>
                <w:rFonts w:ascii="Arial" w:hAnsi="Arial" w:cs="Arial"/>
                <w:b/>
                <w:bCs/>
                <w:color w:val="000000"/>
                <w:sz w:val="16"/>
                <w:szCs w:val="16"/>
              </w:rPr>
              <w:t>113.538.992</w:t>
            </w:r>
          </w:p>
        </w:tc>
        <w:tc>
          <w:tcPr>
            <w:tcW w:w="1131" w:type="dxa"/>
            <w:tcBorders>
              <w:top w:val="single" w:sz="8" w:space="0" w:color="auto"/>
              <w:left w:val="nil"/>
              <w:bottom w:val="single" w:sz="8" w:space="0" w:color="auto"/>
              <w:right w:val="single" w:sz="4" w:space="0" w:color="auto"/>
            </w:tcBorders>
            <w:shd w:val="clear" w:color="000000" w:fill="EDEDED"/>
            <w:noWrap/>
            <w:vAlign w:val="bottom"/>
          </w:tcPr>
          <w:p w14:paraId="59142E15" w14:textId="46984DFA" w:rsidR="00F71E32" w:rsidRPr="00F71E32" w:rsidRDefault="00F73F7F" w:rsidP="00F71E32">
            <w:pPr>
              <w:jc w:val="right"/>
              <w:rPr>
                <w:rFonts w:ascii="Arial" w:hAnsi="Arial" w:cs="Arial"/>
                <w:b/>
                <w:bCs/>
                <w:color w:val="000000"/>
                <w:sz w:val="16"/>
                <w:szCs w:val="16"/>
                <w:lang w:eastAsia="es-AR"/>
              </w:rPr>
            </w:pPr>
            <w:r w:rsidRPr="00F73F7F">
              <w:rPr>
                <w:rFonts w:ascii="Arial" w:hAnsi="Arial" w:cs="Arial"/>
                <w:b/>
                <w:bCs/>
                <w:color w:val="000000"/>
                <w:sz w:val="16"/>
                <w:szCs w:val="16"/>
                <w:lang w:eastAsia="es-AR"/>
              </w:rPr>
              <w:t>116.271.52</w:t>
            </w:r>
            <w:r w:rsidR="0035700B">
              <w:rPr>
                <w:rFonts w:ascii="Arial" w:hAnsi="Arial" w:cs="Arial"/>
                <w:b/>
                <w:bCs/>
                <w:color w:val="000000"/>
                <w:sz w:val="16"/>
                <w:szCs w:val="16"/>
                <w:lang w:eastAsia="es-AR"/>
              </w:rPr>
              <w:t>7</w:t>
            </w:r>
          </w:p>
        </w:tc>
        <w:tc>
          <w:tcPr>
            <w:tcW w:w="184" w:type="dxa"/>
            <w:tcBorders>
              <w:top w:val="single" w:sz="8" w:space="0" w:color="auto"/>
              <w:left w:val="nil"/>
              <w:bottom w:val="single" w:sz="8" w:space="0" w:color="auto"/>
              <w:right w:val="single" w:sz="4" w:space="0" w:color="auto"/>
            </w:tcBorders>
            <w:shd w:val="clear" w:color="000000" w:fill="EDEDED"/>
            <w:noWrap/>
            <w:vAlign w:val="bottom"/>
          </w:tcPr>
          <w:p w14:paraId="7638B7DD" w14:textId="313CC080" w:rsidR="00F71E32" w:rsidRPr="00F71E32" w:rsidRDefault="00F71E32" w:rsidP="00F71E32">
            <w:pPr>
              <w:jc w:val="right"/>
              <w:rPr>
                <w:rFonts w:ascii="Arial" w:hAnsi="Arial" w:cs="Arial"/>
                <w:b/>
                <w:bCs/>
                <w:color w:val="000000"/>
                <w:sz w:val="16"/>
                <w:szCs w:val="16"/>
                <w:lang w:eastAsia="es-AR"/>
              </w:rPr>
            </w:pPr>
          </w:p>
        </w:tc>
        <w:tc>
          <w:tcPr>
            <w:tcW w:w="1031" w:type="dxa"/>
            <w:tcBorders>
              <w:top w:val="single" w:sz="8" w:space="0" w:color="auto"/>
              <w:left w:val="nil"/>
              <w:bottom w:val="single" w:sz="8" w:space="0" w:color="auto"/>
              <w:right w:val="single" w:sz="4" w:space="0" w:color="auto"/>
            </w:tcBorders>
            <w:shd w:val="clear" w:color="000000" w:fill="EDEDED"/>
            <w:noWrap/>
            <w:vAlign w:val="bottom"/>
          </w:tcPr>
          <w:p w14:paraId="78F28A20" w14:textId="4F9D6F67" w:rsidR="00F71E32" w:rsidRPr="00F71E32" w:rsidRDefault="00F73F7F" w:rsidP="00F71E32">
            <w:pPr>
              <w:jc w:val="right"/>
              <w:rPr>
                <w:rFonts w:ascii="Arial" w:hAnsi="Arial" w:cs="Arial"/>
                <w:b/>
                <w:bCs/>
                <w:color w:val="000000"/>
                <w:sz w:val="16"/>
                <w:szCs w:val="16"/>
                <w:lang w:eastAsia="es-AR"/>
              </w:rPr>
            </w:pPr>
            <w:r w:rsidRPr="00F73F7F">
              <w:rPr>
                <w:rFonts w:ascii="Arial" w:hAnsi="Arial" w:cs="Arial"/>
                <w:b/>
                <w:bCs/>
                <w:color w:val="000000"/>
                <w:sz w:val="16"/>
                <w:szCs w:val="16"/>
                <w:lang w:eastAsia="es-AR"/>
              </w:rPr>
              <w:t>29.236.859</w:t>
            </w:r>
          </w:p>
        </w:tc>
        <w:tc>
          <w:tcPr>
            <w:tcW w:w="934" w:type="dxa"/>
            <w:tcBorders>
              <w:top w:val="single" w:sz="8" w:space="0" w:color="auto"/>
              <w:left w:val="nil"/>
              <w:bottom w:val="single" w:sz="8" w:space="0" w:color="auto"/>
              <w:right w:val="single" w:sz="4" w:space="0" w:color="auto"/>
            </w:tcBorders>
            <w:shd w:val="clear" w:color="000000" w:fill="EDEDED"/>
            <w:noWrap/>
            <w:vAlign w:val="bottom"/>
          </w:tcPr>
          <w:p w14:paraId="0BA9DCBF" w14:textId="180A6939" w:rsidR="00F71E32" w:rsidRPr="00F71E32" w:rsidRDefault="00F71E32" w:rsidP="00F71E32">
            <w:pPr>
              <w:jc w:val="right"/>
              <w:rPr>
                <w:rFonts w:ascii="Arial" w:hAnsi="Arial" w:cs="Arial"/>
                <w:b/>
                <w:bCs/>
                <w:color w:val="000000"/>
                <w:sz w:val="16"/>
                <w:szCs w:val="16"/>
                <w:lang w:eastAsia="es-AR"/>
              </w:rPr>
            </w:pPr>
            <w:r w:rsidRPr="00F71E32">
              <w:rPr>
                <w:rFonts w:ascii="Arial" w:hAnsi="Arial" w:cs="Arial"/>
                <w:b/>
                <w:bCs/>
                <w:color w:val="000000"/>
                <w:sz w:val="16"/>
                <w:szCs w:val="16"/>
              </w:rPr>
              <w:t>-</w:t>
            </w:r>
          </w:p>
        </w:tc>
        <w:tc>
          <w:tcPr>
            <w:tcW w:w="1113" w:type="dxa"/>
            <w:tcBorders>
              <w:top w:val="single" w:sz="8" w:space="0" w:color="auto"/>
              <w:left w:val="nil"/>
              <w:bottom w:val="single" w:sz="8" w:space="0" w:color="auto"/>
              <w:right w:val="single" w:sz="8" w:space="0" w:color="auto"/>
            </w:tcBorders>
            <w:shd w:val="clear" w:color="000000" w:fill="EDEDED"/>
            <w:noWrap/>
            <w:vAlign w:val="bottom"/>
          </w:tcPr>
          <w:p w14:paraId="0E864D41" w14:textId="6FC206E0" w:rsidR="00F71E32" w:rsidRPr="00F71E32" w:rsidRDefault="00F73F7F" w:rsidP="00F71E32">
            <w:pPr>
              <w:jc w:val="right"/>
              <w:rPr>
                <w:rFonts w:ascii="Arial" w:hAnsi="Arial" w:cs="Arial"/>
                <w:b/>
                <w:bCs/>
                <w:color w:val="000000"/>
                <w:sz w:val="16"/>
                <w:szCs w:val="16"/>
                <w:lang w:eastAsia="es-AR"/>
              </w:rPr>
            </w:pPr>
            <w:r w:rsidRPr="00F73F7F">
              <w:rPr>
                <w:rFonts w:ascii="Arial" w:hAnsi="Arial" w:cs="Arial"/>
                <w:b/>
                <w:bCs/>
                <w:color w:val="000000"/>
                <w:sz w:val="16"/>
                <w:szCs w:val="16"/>
              </w:rPr>
              <w:t>87.034.668</w:t>
            </w:r>
          </w:p>
        </w:tc>
      </w:tr>
      <w:tr w:rsidR="00F71E32" w:rsidRPr="00A70755" w14:paraId="74AF3A44" w14:textId="77777777" w:rsidTr="00F71E32">
        <w:trPr>
          <w:trHeight w:val="235"/>
          <w:jc w:val="center"/>
        </w:trPr>
        <w:tc>
          <w:tcPr>
            <w:tcW w:w="3694" w:type="dxa"/>
            <w:tcBorders>
              <w:top w:val="nil"/>
              <w:left w:val="single" w:sz="8" w:space="0" w:color="auto"/>
              <w:bottom w:val="single" w:sz="4" w:space="0" w:color="auto"/>
              <w:right w:val="nil"/>
            </w:tcBorders>
            <w:shd w:val="clear" w:color="000000" w:fill="EDEDED"/>
            <w:noWrap/>
            <w:vAlign w:val="center"/>
            <w:hideMark/>
          </w:tcPr>
          <w:p w14:paraId="46577C67" w14:textId="77777777" w:rsidR="00F71E32" w:rsidRPr="00613EB0" w:rsidRDefault="00F71E32" w:rsidP="00F71E32">
            <w:pPr>
              <w:jc w:val="both"/>
              <w:rPr>
                <w:rFonts w:ascii="Arial" w:hAnsi="Arial" w:cs="Arial"/>
                <w:b/>
                <w:bCs/>
                <w:i/>
                <w:iCs/>
                <w:color w:val="000000"/>
                <w:sz w:val="16"/>
                <w:szCs w:val="16"/>
                <w:lang w:eastAsia="es-AR"/>
              </w:rPr>
            </w:pPr>
            <w:r w:rsidRPr="00613EB0">
              <w:rPr>
                <w:rFonts w:ascii="Arial" w:hAnsi="Arial" w:cs="Arial"/>
                <w:b/>
                <w:bCs/>
                <w:i/>
                <w:iCs/>
                <w:color w:val="000000"/>
                <w:sz w:val="16"/>
                <w:szCs w:val="16"/>
                <w:lang w:eastAsia="es-AR"/>
              </w:rPr>
              <w:t>Pasivos Financieros</w:t>
            </w:r>
          </w:p>
        </w:tc>
        <w:tc>
          <w:tcPr>
            <w:tcW w:w="1190" w:type="dxa"/>
            <w:tcBorders>
              <w:top w:val="nil"/>
              <w:left w:val="nil"/>
              <w:bottom w:val="single" w:sz="4" w:space="0" w:color="auto"/>
              <w:right w:val="nil"/>
            </w:tcBorders>
            <w:shd w:val="clear" w:color="000000" w:fill="EDEDED"/>
            <w:noWrap/>
            <w:vAlign w:val="bottom"/>
          </w:tcPr>
          <w:p w14:paraId="254C44DA" w14:textId="63506A45" w:rsidR="00F71E32" w:rsidRPr="00F71E32" w:rsidRDefault="00F71E32" w:rsidP="00F71E32">
            <w:pPr>
              <w:jc w:val="right"/>
              <w:rPr>
                <w:rFonts w:ascii="Arial" w:hAnsi="Arial" w:cs="Arial"/>
                <w:b/>
                <w:bCs/>
                <w:i/>
                <w:iCs/>
                <w:color w:val="000000"/>
                <w:sz w:val="16"/>
                <w:szCs w:val="16"/>
                <w:lang w:eastAsia="es-AR"/>
              </w:rPr>
            </w:pPr>
          </w:p>
        </w:tc>
        <w:tc>
          <w:tcPr>
            <w:tcW w:w="1131" w:type="dxa"/>
            <w:tcBorders>
              <w:top w:val="nil"/>
              <w:left w:val="nil"/>
              <w:bottom w:val="single" w:sz="4" w:space="0" w:color="auto"/>
              <w:right w:val="nil"/>
            </w:tcBorders>
            <w:shd w:val="clear" w:color="000000" w:fill="EDEDED"/>
            <w:vAlign w:val="bottom"/>
          </w:tcPr>
          <w:p w14:paraId="79FA12F8" w14:textId="1F09D021" w:rsidR="00F71E32" w:rsidRPr="00F71E32" w:rsidRDefault="00F71E32" w:rsidP="00F71E32">
            <w:pPr>
              <w:jc w:val="right"/>
              <w:rPr>
                <w:rFonts w:ascii="Arial" w:hAnsi="Arial" w:cs="Arial"/>
                <w:b/>
                <w:bCs/>
                <w:i/>
                <w:iCs/>
                <w:color w:val="000000"/>
                <w:sz w:val="16"/>
                <w:szCs w:val="16"/>
                <w:lang w:eastAsia="es-AR"/>
              </w:rPr>
            </w:pPr>
          </w:p>
        </w:tc>
        <w:tc>
          <w:tcPr>
            <w:tcW w:w="184" w:type="dxa"/>
            <w:tcBorders>
              <w:top w:val="nil"/>
              <w:left w:val="nil"/>
              <w:bottom w:val="single" w:sz="4" w:space="0" w:color="auto"/>
              <w:right w:val="nil"/>
            </w:tcBorders>
            <w:shd w:val="clear" w:color="000000" w:fill="EDEDED"/>
            <w:vAlign w:val="bottom"/>
          </w:tcPr>
          <w:p w14:paraId="09B6A1A4" w14:textId="56824D84" w:rsidR="00F71E32" w:rsidRPr="00F71E32" w:rsidRDefault="00F71E32" w:rsidP="00F71E32">
            <w:pPr>
              <w:jc w:val="right"/>
              <w:rPr>
                <w:rFonts w:ascii="Arial" w:hAnsi="Arial" w:cs="Arial"/>
                <w:b/>
                <w:bCs/>
                <w:i/>
                <w:iCs/>
                <w:color w:val="000000"/>
                <w:sz w:val="16"/>
                <w:szCs w:val="16"/>
                <w:lang w:eastAsia="es-AR"/>
              </w:rPr>
            </w:pPr>
          </w:p>
        </w:tc>
        <w:tc>
          <w:tcPr>
            <w:tcW w:w="1031" w:type="dxa"/>
            <w:tcBorders>
              <w:top w:val="nil"/>
              <w:left w:val="nil"/>
              <w:bottom w:val="single" w:sz="4" w:space="0" w:color="auto"/>
              <w:right w:val="nil"/>
            </w:tcBorders>
            <w:shd w:val="clear" w:color="000000" w:fill="EDEDED"/>
            <w:vAlign w:val="bottom"/>
          </w:tcPr>
          <w:p w14:paraId="3E63D9A2" w14:textId="5FE49E63" w:rsidR="00F71E32" w:rsidRPr="00F71E32" w:rsidRDefault="00F71E32" w:rsidP="00F71E32">
            <w:pPr>
              <w:jc w:val="right"/>
              <w:rPr>
                <w:rFonts w:ascii="Arial" w:hAnsi="Arial" w:cs="Arial"/>
                <w:b/>
                <w:bCs/>
                <w:i/>
                <w:iCs/>
                <w:color w:val="000000"/>
                <w:sz w:val="16"/>
                <w:szCs w:val="16"/>
                <w:lang w:eastAsia="es-AR"/>
              </w:rPr>
            </w:pPr>
          </w:p>
        </w:tc>
        <w:tc>
          <w:tcPr>
            <w:tcW w:w="934" w:type="dxa"/>
            <w:tcBorders>
              <w:top w:val="nil"/>
              <w:left w:val="nil"/>
              <w:bottom w:val="single" w:sz="4" w:space="0" w:color="auto"/>
              <w:right w:val="nil"/>
            </w:tcBorders>
            <w:shd w:val="clear" w:color="000000" w:fill="EDEDED"/>
            <w:vAlign w:val="bottom"/>
          </w:tcPr>
          <w:p w14:paraId="17A0F984" w14:textId="609D2935" w:rsidR="00F71E32" w:rsidRPr="00F71E32" w:rsidRDefault="00F71E32" w:rsidP="00F71E32">
            <w:pPr>
              <w:jc w:val="right"/>
              <w:rPr>
                <w:rFonts w:ascii="Arial" w:hAnsi="Arial" w:cs="Arial"/>
                <w:b/>
                <w:bCs/>
                <w:i/>
                <w:iCs/>
                <w:color w:val="000000"/>
                <w:sz w:val="16"/>
                <w:szCs w:val="16"/>
                <w:lang w:eastAsia="es-AR"/>
              </w:rPr>
            </w:pPr>
          </w:p>
        </w:tc>
        <w:tc>
          <w:tcPr>
            <w:tcW w:w="1113" w:type="dxa"/>
            <w:tcBorders>
              <w:top w:val="nil"/>
              <w:left w:val="nil"/>
              <w:bottom w:val="single" w:sz="4" w:space="0" w:color="auto"/>
              <w:right w:val="single" w:sz="8" w:space="0" w:color="auto"/>
            </w:tcBorders>
            <w:shd w:val="clear" w:color="000000" w:fill="EDEDED"/>
            <w:vAlign w:val="bottom"/>
          </w:tcPr>
          <w:p w14:paraId="1590F261" w14:textId="0842D004" w:rsidR="00F71E32" w:rsidRPr="00F71E32" w:rsidRDefault="00F71E32" w:rsidP="00F71E32">
            <w:pPr>
              <w:jc w:val="right"/>
              <w:rPr>
                <w:rFonts w:ascii="Arial" w:hAnsi="Arial" w:cs="Arial"/>
                <w:b/>
                <w:bCs/>
                <w:i/>
                <w:iCs/>
                <w:color w:val="000000"/>
                <w:sz w:val="16"/>
                <w:szCs w:val="16"/>
                <w:lang w:eastAsia="es-AR"/>
              </w:rPr>
            </w:pPr>
          </w:p>
        </w:tc>
      </w:tr>
      <w:tr w:rsidR="00F71E32" w:rsidRPr="00E74A5E" w14:paraId="445DDA4B" w14:textId="77777777" w:rsidTr="00F71E32">
        <w:trPr>
          <w:trHeight w:val="235"/>
          <w:jc w:val="center"/>
        </w:trPr>
        <w:tc>
          <w:tcPr>
            <w:tcW w:w="3694" w:type="dxa"/>
            <w:tcBorders>
              <w:top w:val="nil"/>
              <w:left w:val="single" w:sz="8" w:space="0" w:color="auto"/>
              <w:bottom w:val="single" w:sz="4" w:space="0" w:color="auto"/>
              <w:right w:val="single" w:sz="4" w:space="0" w:color="auto"/>
            </w:tcBorders>
            <w:shd w:val="clear" w:color="auto" w:fill="auto"/>
            <w:noWrap/>
            <w:vAlign w:val="center"/>
            <w:hideMark/>
          </w:tcPr>
          <w:p w14:paraId="015B4A67" w14:textId="77777777" w:rsidR="00F71E32" w:rsidRPr="00613EB0" w:rsidRDefault="00F71E32" w:rsidP="00F71E32">
            <w:pPr>
              <w:jc w:val="both"/>
              <w:rPr>
                <w:rFonts w:ascii="Arial" w:hAnsi="Arial" w:cs="Arial"/>
                <w:color w:val="000000"/>
                <w:sz w:val="16"/>
                <w:szCs w:val="16"/>
                <w:lang w:eastAsia="es-AR"/>
              </w:rPr>
            </w:pPr>
            <w:r w:rsidRPr="00613EB0">
              <w:rPr>
                <w:rFonts w:ascii="Arial" w:hAnsi="Arial" w:cs="Arial"/>
                <w:color w:val="000000"/>
                <w:sz w:val="16"/>
                <w:szCs w:val="16"/>
                <w:lang w:eastAsia="es-AR"/>
              </w:rPr>
              <w:t>-Depósitos</w:t>
            </w:r>
          </w:p>
        </w:tc>
        <w:tc>
          <w:tcPr>
            <w:tcW w:w="1190" w:type="dxa"/>
            <w:tcBorders>
              <w:top w:val="nil"/>
              <w:left w:val="nil"/>
              <w:bottom w:val="single" w:sz="4" w:space="0" w:color="auto"/>
              <w:right w:val="single" w:sz="4" w:space="0" w:color="auto"/>
            </w:tcBorders>
            <w:shd w:val="clear" w:color="auto" w:fill="auto"/>
            <w:noWrap/>
            <w:vAlign w:val="bottom"/>
          </w:tcPr>
          <w:p w14:paraId="26420319" w14:textId="6946BD23"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89.737.069</w:t>
            </w:r>
          </w:p>
        </w:tc>
        <w:tc>
          <w:tcPr>
            <w:tcW w:w="1131" w:type="dxa"/>
            <w:tcBorders>
              <w:top w:val="nil"/>
              <w:left w:val="nil"/>
              <w:bottom w:val="single" w:sz="4" w:space="0" w:color="auto"/>
              <w:right w:val="single" w:sz="4" w:space="0" w:color="auto"/>
            </w:tcBorders>
            <w:shd w:val="clear" w:color="auto" w:fill="auto"/>
            <w:vAlign w:val="bottom"/>
          </w:tcPr>
          <w:p w14:paraId="4D7D99F8" w14:textId="0E62992A" w:rsidR="00F71E32" w:rsidRPr="00F71E32" w:rsidRDefault="00F73F7F" w:rsidP="00F71E32">
            <w:pPr>
              <w:jc w:val="right"/>
              <w:rPr>
                <w:rFonts w:ascii="Arial" w:hAnsi="Arial" w:cs="Arial"/>
                <w:color w:val="000000"/>
                <w:sz w:val="16"/>
                <w:szCs w:val="16"/>
                <w:lang w:eastAsia="es-AR"/>
              </w:rPr>
            </w:pPr>
            <w:r w:rsidRPr="00F73F7F">
              <w:rPr>
                <w:rFonts w:ascii="Arial" w:hAnsi="Arial" w:cs="Arial"/>
                <w:color w:val="000000"/>
                <w:sz w:val="16"/>
                <w:szCs w:val="16"/>
              </w:rPr>
              <w:t>89.747.426</w:t>
            </w:r>
          </w:p>
        </w:tc>
        <w:tc>
          <w:tcPr>
            <w:tcW w:w="184" w:type="dxa"/>
            <w:tcBorders>
              <w:top w:val="nil"/>
              <w:left w:val="nil"/>
              <w:bottom w:val="single" w:sz="4" w:space="0" w:color="auto"/>
              <w:right w:val="single" w:sz="4" w:space="0" w:color="auto"/>
            </w:tcBorders>
            <w:shd w:val="clear" w:color="auto" w:fill="auto"/>
            <w:vAlign w:val="bottom"/>
          </w:tcPr>
          <w:p w14:paraId="668893CC" w14:textId="3EE5F15E" w:rsidR="00F71E32" w:rsidRPr="00F71E32" w:rsidRDefault="00F71E32" w:rsidP="00F71E32">
            <w:pPr>
              <w:jc w:val="right"/>
              <w:rPr>
                <w:rFonts w:ascii="Arial" w:hAnsi="Arial" w:cs="Arial"/>
                <w:color w:val="000000"/>
                <w:sz w:val="16"/>
                <w:szCs w:val="16"/>
                <w:lang w:eastAsia="es-AR"/>
              </w:rPr>
            </w:pPr>
          </w:p>
        </w:tc>
        <w:tc>
          <w:tcPr>
            <w:tcW w:w="1031" w:type="dxa"/>
            <w:tcBorders>
              <w:top w:val="nil"/>
              <w:left w:val="nil"/>
              <w:bottom w:val="single" w:sz="4" w:space="0" w:color="auto"/>
              <w:right w:val="single" w:sz="4" w:space="0" w:color="auto"/>
            </w:tcBorders>
            <w:shd w:val="clear" w:color="auto" w:fill="auto"/>
            <w:noWrap/>
            <w:vAlign w:val="bottom"/>
          </w:tcPr>
          <w:p w14:paraId="209AF365" w14:textId="67D5C89D"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c>
          <w:tcPr>
            <w:tcW w:w="934" w:type="dxa"/>
            <w:tcBorders>
              <w:top w:val="nil"/>
              <w:left w:val="nil"/>
              <w:bottom w:val="single" w:sz="4" w:space="0" w:color="auto"/>
              <w:right w:val="single" w:sz="4" w:space="0" w:color="auto"/>
            </w:tcBorders>
            <w:shd w:val="clear" w:color="auto" w:fill="auto"/>
            <w:noWrap/>
            <w:vAlign w:val="bottom"/>
          </w:tcPr>
          <w:p w14:paraId="73782DF3" w14:textId="7606D2EB"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c>
          <w:tcPr>
            <w:tcW w:w="1113" w:type="dxa"/>
            <w:tcBorders>
              <w:top w:val="nil"/>
              <w:left w:val="nil"/>
              <w:bottom w:val="single" w:sz="4" w:space="0" w:color="auto"/>
              <w:right w:val="single" w:sz="8" w:space="0" w:color="auto"/>
            </w:tcBorders>
            <w:shd w:val="clear" w:color="auto" w:fill="auto"/>
            <w:noWrap/>
            <w:vAlign w:val="bottom"/>
          </w:tcPr>
          <w:p w14:paraId="6487AF52" w14:textId="2BDEDAD9" w:rsidR="00F71E32" w:rsidRPr="00F71E32" w:rsidRDefault="00F73F7F" w:rsidP="00F71E32">
            <w:pPr>
              <w:jc w:val="right"/>
              <w:rPr>
                <w:rFonts w:ascii="Arial" w:hAnsi="Arial" w:cs="Arial"/>
                <w:color w:val="000000"/>
                <w:sz w:val="16"/>
                <w:szCs w:val="16"/>
                <w:lang w:eastAsia="es-AR"/>
              </w:rPr>
            </w:pPr>
            <w:r w:rsidRPr="00F73F7F">
              <w:rPr>
                <w:rFonts w:ascii="Arial" w:hAnsi="Arial" w:cs="Arial"/>
                <w:color w:val="000000"/>
                <w:sz w:val="16"/>
                <w:szCs w:val="16"/>
              </w:rPr>
              <w:t>89.747.426</w:t>
            </w:r>
          </w:p>
        </w:tc>
      </w:tr>
      <w:tr w:rsidR="00F71E32" w:rsidRPr="00E74A5E" w14:paraId="48C6BF72" w14:textId="77777777" w:rsidTr="00F71E32">
        <w:trPr>
          <w:trHeight w:val="235"/>
          <w:jc w:val="center"/>
        </w:trPr>
        <w:tc>
          <w:tcPr>
            <w:tcW w:w="3694" w:type="dxa"/>
            <w:tcBorders>
              <w:top w:val="nil"/>
              <w:left w:val="single" w:sz="8" w:space="0" w:color="auto"/>
              <w:bottom w:val="single" w:sz="4" w:space="0" w:color="auto"/>
              <w:right w:val="single" w:sz="4" w:space="0" w:color="auto"/>
            </w:tcBorders>
            <w:shd w:val="clear" w:color="auto" w:fill="auto"/>
            <w:noWrap/>
            <w:vAlign w:val="center"/>
            <w:hideMark/>
          </w:tcPr>
          <w:p w14:paraId="5F8C5299" w14:textId="77777777" w:rsidR="00F71E32" w:rsidRPr="00613EB0" w:rsidRDefault="00F71E32" w:rsidP="00F71E32">
            <w:pPr>
              <w:jc w:val="both"/>
              <w:rPr>
                <w:rFonts w:ascii="Arial" w:hAnsi="Arial" w:cs="Arial"/>
                <w:color w:val="000000"/>
                <w:sz w:val="16"/>
                <w:szCs w:val="16"/>
                <w:lang w:eastAsia="es-AR"/>
              </w:rPr>
            </w:pPr>
            <w:r w:rsidRPr="00F02303">
              <w:rPr>
                <w:rFonts w:ascii="Arial" w:hAnsi="Arial" w:cs="Arial"/>
                <w:color w:val="000000"/>
                <w:sz w:val="16"/>
                <w:szCs w:val="16"/>
                <w:lang w:eastAsia="es-AR"/>
              </w:rPr>
              <w:t>- Operaciones de pase</w:t>
            </w:r>
          </w:p>
        </w:tc>
        <w:tc>
          <w:tcPr>
            <w:tcW w:w="1190" w:type="dxa"/>
            <w:tcBorders>
              <w:top w:val="nil"/>
              <w:left w:val="nil"/>
              <w:bottom w:val="single" w:sz="4" w:space="0" w:color="auto"/>
              <w:right w:val="single" w:sz="4" w:space="0" w:color="auto"/>
            </w:tcBorders>
            <w:shd w:val="clear" w:color="auto" w:fill="auto"/>
            <w:noWrap/>
            <w:vAlign w:val="bottom"/>
          </w:tcPr>
          <w:p w14:paraId="2549B23E" w14:textId="5775638A"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240.493</w:t>
            </w:r>
          </w:p>
        </w:tc>
        <w:tc>
          <w:tcPr>
            <w:tcW w:w="1131" w:type="dxa"/>
            <w:tcBorders>
              <w:top w:val="nil"/>
              <w:left w:val="nil"/>
              <w:bottom w:val="single" w:sz="4" w:space="0" w:color="auto"/>
              <w:right w:val="single" w:sz="4" w:space="0" w:color="auto"/>
            </w:tcBorders>
            <w:shd w:val="clear" w:color="auto" w:fill="auto"/>
            <w:vAlign w:val="bottom"/>
          </w:tcPr>
          <w:p w14:paraId="1747B544" w14:textId="21F6D047"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240.493</w:t>
            </w:r>
          </w:p>
        </w:tc>
        <w:tc>
          <w:tcPr>
            <w:tcW w:w="184" w:type="dxa"/>
            <w:tcBorders>
              <w:top w:val="nil"/>
              <w:left w:val="nil"/>
              <w:bottom w:val="single" w:sz="4" w:space="0" w:color="auto"/>
              <w:right w:val="single" w:sz="4" w:space="0" w:color="auto"/>
            </w:tcBorders>
            <w:shd w:val="clear" w:color="auto" w:fill="auto"/>
            <w:vAlign w:val="bottom"/>
          </w:tcPr>
          <w:p w14:paraId="3501A2C8" w14:textId="14A10445" w:rsidR="00F71E32" w:rsidRPr="00F71E32" w:rsidRDefault="00F71E32" w:rsidP="00F71E32">
            <w:pPr>
              <w:jc w:val="right"/>
              <w:rPr>
                <w:rFonts w:ascii="Arial" w:hAnsi="Arial" w:cs="Arial"/>
                <w:color w:val="000000"/>
                <w:sz w:val="16"/>
                <w:szCs w:val="16"/>
                <w:lang w:eastAsia="es-AR"/>
              </w:rPr>
            </w:pPr>
          </w:p>
        </w:tc>
        <w:tc>
          <w:tcPr>
            <w:tcW w:w="1031" w:type="dxa"/>
            <w:tcBorders>
              <w:top w:val="nil"/>
              <w:left w:val="nil"/>
              <w:bottom w:val="single" w:sz="4" w:space="0" w:color="auto"/>
              <w:right w:val="single" w:sz="4" w:space="0" w:color="auto"/>
            </w:tcBorders>
            <w:shd w:val="clear" w:color="auto" w:fill="auto"/>
            <w:noWrap/>
            <w:vAlign w:val="bottom"/>
          </w:tcPr>
          <w:p w14:paraId="1ACEAB86" w14:textId="6CD526BC"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240.493</w:t>
            </w:r>
          </w:p>
        </w:tc>
        <w:tc>
          <w:tcPr>
            <w:tcW w:w="934" w:type="dxa"/>
            <w:tcBorders>
              <w:top w:val="nil"/>
              <w:left w:val="nil"/>
              <w:bottom w:val="single" w:sz="4" w:space="0" w:color="auto"/>
              <w:right w:val="single" w:sz="4" w:space="0" w:color="auto"/>
            </w:tcBorders>
            <w:shd w:val="clear" w:color="auto" w:fill="auto"/>
            <w:noWrap/>
            <w:vAlign w:val="bottom"/>
          </w:tcPr>
          <w:p w14:paraId="0596F77E" w14:textId="3D03834B"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c>
          <w:tcPr>
            <w:tcW w:w="1113" w:type="dxa"/>
            <w:tcBorders>
              <w:top w:val="nil"/>
              <w:left w:val="nil"/>
              <w:bottom w:val="single" w:sz="4" w:space="0" w:color="auto"/>
              <w:right w:val="single" w:sz="8" w:space="0" w:color="auto"/>
            </w:tcBorders>
            <w:shd w:val="clear" w:color="auto" w:fill="auto"/>
            <w:noWrap/>
            <w:vAlign w:val="bottom"/>
          </w:tcPr>
          <w:p w14:paraId="0BA15F03" w14:textId="41BEFEA8"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r>
      <w:tr w:rsidR="00F71E32" w:rsidRPr="00E74A5E" w14:paraId="1E6CDD96" w14:textId="77777777" w:rsidTr="00F71E32">
        <w:trPr>
          <w:trHeight w:val="235"/>
          <w:jc w:val="center"/>
        </w:trPr>
        <w:tc>
          <w:tcPr>
            <w:tcW w:w="3694" w:type="dxa"/>
            <w:tcBorders>
              <w:top w:val="nil"/>
              <w:left w:val="single" w:sz="8" w:space="0" w:color="auto"/>
              <w:bottom w:val="single" w:sz="4" w:space="0" w:color="auto"/>
              <w:right w:val="single" w:sz="4" w:space="0" w:color="auto"/>
            </w:tcBorders>
            <w:shd w:val="clear" w:color="auto" w:fill="auto"/>
            <w:noWrap/>
            <w:vAlign w:val="center"/>
          </w:tcPr>
          <w:p w14:paraId="0BAB4B97" w14:textId="77777777" w:rsidR="00F71E32" w:rsidRPr="00613EB0" w:rsidRDefault="00F71E32" w:rsidP="00F71E32">
            <w:pPr>
              <w:jc w:val="both"/>
              <w:rPr>
                <w:rFonts w:ascii="Arial" w:hAnsi="Arial" w:cs="Arial"/>
                <w:color w:val="000000"/>
                <w:sz w:val="16"/>
                <w:szCs w:val="16"/>
                <w:lang w:eastAsia="es-AR"/>
              </w:rPr>
            </w:pPr>
            <w:r w:rsidRPr="00F02303">
              <w:rPr>
                <w:rFonts w:ascii="Arial" w:hAnsi="Arial" w:cs="Arial"/>
                <w:color w:val="000000"/>
                <w:sz w:val="16"/>
                <w:szCs w:val="16"/>
                <w:lang w:eastAsia="es-AR"/>
              </w:rPr>
              <w:t>-Otros pasivos financieros</w:t>
            </w:r>
          </w:p>
        </w:tc>
        <w:tc>
          <w:tcPr>
            <w:tcW w:w="1190" w:type="dxa"/>
            <w:tcBorders>
              <w:top w:val="nil"/>
              <w:left w:val="nil"/>
              <w:bottom w:val="single" w:sz="4" w:space="0" w:color="auto"/>
              <w:right w:val="single" w:sz="4" w:space="0" w:color="auto"/>
            </w:tcBorders>
            <w:shd w:val="clear" w:color="auto" w:fill="auto"/>
            <w:noWrap/>
            <w:vAlign w:val="bottom"/>
          </w:tcPr>
          <w:p w14:paraId="457F84CC" w14:textId="400D30CC" w:rsidR="00F71E32" w:rsidRPr="00F71E32" w:rsidRDefault="00F71E32" w:rsidP="00F71E32">
            <w:pPr>
              <w:jc w:val="right"/>
              <w:rPr>
                <w:rFonts w:ascii="Arial" w:hAnsi="Arial" w:cs="Arial"/>
                <w:sz w:val="16"/>
                <w:szCs w:val="16"/>
              </w:rPr>
            </w:pPr>
            <w:r w:rsidRPr="00F71E32">
              <w:rPr>
                <w:rFonts w:ascii="Arial" w:hAnsi="Arial" w:cs="Arial"/>
                <w:color w:val="000000"/>
                <w:sz w:val="16"/>
                <w:szCs w:val="16"/>
              </w:rPr>
              <w:t>124.740</w:t>
            </w:r>
          </w:p>
        </w:tc>
        <w:tc>
          <w:tcPr>
            <w:tcW w:w="1131" w:type="dxa"/>
            <w:tcBorders>
              <w:top w:val="nil"/>
              <w:left w:val="nil"/>
              <w:bottom w:val="single" w:sz="4" w:space="0" w:color="auto"/>
              <w:right w:val="single" w:sz="4" w:space="0" w:color="auto"/>
            </w:tcBorders>
            <w:shd w:val="clear" w:color="auto" w:fill="auto"/>
            <w:vAlign w:val="bottom"/>
          </w:tcPr>
          <w:p w14:paraId="48164EA4" w14:textId="3F651053" w:rsidR="00F71E32" w:rsidRPr="00F71E32" w:rsidRDefault="00F71E32" w:rsidP="00F71E32">
            <w:pPr>
              <w:jc w:val="right"/>
              <w:rPr>
                <w:rFonts w:ascii="Arial" w:hAnsi="Arial" w:cs="Arial"/>
                <w:sz w:val="16"/>
                <w:szCs w:val="16"/>
              </w:rPr>
            </w:pPr>
            <w:r w:rsidRPr="00F71E32">
              <w:rPr>
                <w:rFonts w:ascii="Arial" w:hAnsi="Arial" w:cs="Arial"/>
                <w:color w:val="000000"/>
                <w:sz w:val="16"/>
                <w:szCs w:val="16"/>
              </w:rPr>
              <w:t>124.740</w:t>
            </w:r>
          </w:p>
        </w:tc>
        <w:tc>
          <w:tcPr>
            <w:tcW w:w="184" w:type="dxa"/>
            <w:tcBorders>
              <w:top w:val="nil"/>
              <w:left w:val="nil"/>
              <w:bottom w:val="single" w:sz="4" w:space="0" w:color="auto"/>
              <w:right w:val="single" w:sz="4" w:space="0" w:color="auto"/>
            </w:tcBorders>
            <w:shd w:val="clear" w:color="auto" w:fill="auto"/>
            <w:vAlign w:val="bottom"/>
          </w:tcPr>
          <w:p w14:paraId="1AD3BCD3" w14:textId="23301B44" w:rsidR="00F71E32" w:rsidRPr="00F71E32" w:rsidRDefault="00F71E32" w:rsidP="00F71E32">
            <w:pPr>
              <w:jc w:val="right"/>
              <w:rPr>
                <w:rFonts w:ascii="Arial" w:hAnsi="Arial" w:cs="Arial"/>
                <w:color w:val="000000"/>
                <w:sz w:val="16"/>
                <w:szCs w:val="16"/>
                <w:lang w:eastAsia="es-AR"/>
              </w:rPr>
            </w:pPr>
          </w:p>
        </w:tc>
        <w:tc>
          <w:tcPr>
            <w:tcW w:w="1031" w:type="dxa"/>
            <w:tcBorders>
              <w:top w:val="nil"/>
              <w:left w:val="nil"/>
              <w:bottom w:val="single" w:sz="4" w:space="0" w:color="auto"/>
              <w:right w:val="single" w:sz="4" w:space="0" w:color="auto"/>
            </w:tcBorders>
            <w:shd w:val="clear" w:color="auto" w:fill="auto"/>
            <w:noWrap/>
            <w:vAlign w:val="bottom"/>
          </w:tcPr>
          <w:p w14:paraId="47FFBCEC" w14:textId="26F88372" w:rsidR="00F71E32" w:rsidRPr="00F71E32" w:rsidRDefault="00F71E32" w:rsidP="00F71E32">
            <w:pPr>
              <w:jc w:val="right"/>
              <w:rPr>
                <w:rFonts w:ascii="Arial" w:hAnsi="Arial" w:cs="Arial"/>
                <w:sz w:val="16"/>
                <w:szCs w:val="16"/>
              </w:rPr>
            </w:pPr>
            <w:r w:rsidRPr="00F71E32">
              <w:rPr>
                <w:rFonts w:ascii="Arial" w:hAnsi="Arial" w:cs="Arial"/>
                <w:color w:val="000000"/>
                <w:sz w:val="16"/>
                <w:szCs w:val="16"/>
              </w:rPr>
              <w:t>124.740</w:t>
            </w:r>
          </w:p>
        </w:tc>
        <w:tc>
          <w:tcPr>
            <w:tcW w:w="934" w:type="dxa"/>
            <w:tcBorders>
              <w:top w:val="nil"/>
              <w:left w:val="nil"/>
              <w:bottom w:val="single" w:sz="4" w:space="0" w:color="auto"/>
              <w:right w:val="single" w:sz="4" w:space="0" w:color="auto"/>
            </w:tcBorders>
            <w:shd w:val="clear" w:color="auto" w:fill="auto"/>
            <w:noWrap/>
            <w:vAlign w:val="bottom"/>
          </w:tcPr>
          <w:p w14:paraId="38FF9482" w14:textId="347D0657" w:rsidR="00F71E32" w:rsidRPr="00F71E32" w:rsidRDefault="00F71E32" w:rsidP="00F71E32">
            <w:pPr>
              <w:jc w:val="right"/>
              <w:rPr>
                <w:rFonts w:ascii="Arial" w:hAnsi="Arial" w:cs="Arial"/>
                <w:sz w:val="16"/>
                <w:szCs w:val="16"/>
              </w:rPr>
            </w:pPr>
            <w:r w:rsidRPr="00F71E32">
              <w:rPr>
                <w:rFonts w:ascii="Arial" w:hAnsi="Arial" w:cs="Arial"/>
                <w:color w:val="000000"/>
                <w:sz w:val="16"/>
                <w:szCs w:val="16"/>
              </w:rPr>
              <w:t>-</w:t>
            </w:r>
          </w:p>
        </w:tc>
        <w:tc>
          <w:tcPr>
            <w:tcW w:w="1113" w:type="dxa"/>
            <w:tcBorders>
              <w:top w:val="nil"/>
              <w:left w:val="nil"/>
              <w:bottom w:val="single" w:sz="4" w:space="0" w:color="auto"/>
              <w:right w:val="single" w:sz="8" w:space="0" w:color="auto"/>
            </w:tcBorders>
            <w:shd w:val="clear" w:color="auto" w:fill="auto"/>
            <w:noWrap/>
            <w:vAlign w:val="bottom"/>
          </w:tcPr>
          <w:p w14:paraId="3FF112D9" w14:textId="45FAB4AD" w:rsidR="00F71E32" w:rsidRPr="00F71E32" w:rsidRDefault="00F71E32" w:rsidP="00F71E32">
            <w:pPr>
              <w:jc w:val="right"/>
              <w:rPr>
                <w:rFonts w:ascii="Arial" w:hAnsi="Arial" w:cs="Arial"/>
                <w:sz w:val="16"/>
                <w:szCs w:val="16"/>
              </w:rPr>
            </w:pPr>
            <w:r w:rsidRPr="00F71E32">
              <w:rPr>
                <w:rFonts w:ascii="Arial" w:hAnsi="Arial" w:cs="Arial"/>
                <w:color w:val="000000"/>
                <w:sz w:val="16"/>
                <w:szCs w:val="16"/>
              </w:rPr>
              <w:t>-</w:t>
            </w:r>
          </w:p>
        </w:tc>
      </w:tr>
      <w:tr w:rsidR="00F71E32" w:rsidRPr="00E74A5E" w14:paraId="0886F88F" w14:textId="77777777" w:rsidTr="00F71E32">
        <w:trPr>
          <w:trHeight w:val="235"/>
          <w:jc w:val="center"/>
        </w:trPr>
        <w:tc>
          <w:tcPr>
            <w:tcW w:w="3694" w:type="dxa"/>
            <w:tcBorders>
              <w:top w:val="nil"/>
              <w:left w:val="single" w:sz="8" w:space="0" w:color="auto"/>
              <w:bottom w:val="single" w:sz="4" w:space="0" w:color="auto"/>
              <w:right w:val="single" w:sz="4" w:space="0" w:color="auto"/>
            </w:tcBorders>
            <w:shd w:val="clear" w:color="auto" w:fill="auto"/>
            <w:noWrap/>
            <w:vAlign w:val="center"/>
            <w:hideMark/>
          </w:tcPr>
          <w:p w14:paraId="517D734C" w14:textId="77777777" w:rsidR="00F71E32" w:rsidRPr="00613EB0" w:rsidRDefault="00F71E32" w:rsidP="00F71E32">
            <w:pPr>
              <w:jc w:val="both"/>
              <w:rPr>
                <w:rFonts w:ascii="Arial" w:hAnsi="Arial" w:cs="Arial"/>
                <w:color w:val="000000"/>
                <w:sz w:val="16"/>
                <w:szCs w:val="16"/>
                <w:lang w:eastAsia="es-AR"/>
              </w:rPr>
            </w:pPr>
            <w:r w:rsidRPr="00613EB0">
              <w:rPr>
                <w:rFonts w:ascii="Arial" w:hAnsi="Arial" w:cs="Arial"/>
                <w:color w:val="000000"/>
                <w:sz w:val="16"/>
                <w:szCs w:val="16"/>
                <w:lang w:eastAsia="es-AR"/>
              </w:rPr>
              <w:t>-Financiaciones recibidas del BCRA y otras instituciones financieras</w:t>
            </w:r>
          </w:p>
        </w:tc>
        <w:tc>
          <w:tcPr>
            <w:tcW w:w="1190" w:type="dxa"/>
            <w:tcBorders>
              <w:top w:val="nil"/>
              <w:left w:val="nil"/>
              <w:bottom w:val="single" w:sz="4" w:space="0" w:color="auto"/>
              <w:right w:val="single" w:sz="4" w:space="0" w:color="auto"/>
            </w:tcBorders>
            <w:shd w:val="clear" w:color="auto" w:fill="auto"/>
            <w:noWrap/>
            <w:vAlign w:val="bottom"/>
          </w:tcPr>
          <w:p w14:paraId="54BD001A" w14:textId="0EB2AFBC"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9.011.337</w:t>
            </w:r>
          </w:p>
        </w:tc>
        <w:tc>
          <w:tcPr>
            <w:tcW w:w="1131" w:type="dxa"/>
            <w:tcBorders>
              <w:top w:val="nil"/>
              <w:left w:val="nil"/>
              <w:bottom w:val="single" w:sz="4" w:space="0" w:color="auto"/>
              <w:right w:val="single" w:sz="4" w:space="0" w:color="auto"/>
            </w:tcBorders>
            <w:shd w:val="clear" w:color="auto" w:fill="auto"/>
            <w:vAlign w:val="bottom"/>
          </w:tcPr>
          <w:p w14:paraId="71B9C8F3" w14:textId="5BF4575F" w:rsidR="00F71E32" w:rsidRPr="00F71E32" w:rsidRDefault="00E44240" w:rsidP="00F71E32">
            <w:pPr>
              <w:jc w:val="right"/>
              <w:rPr>
                <w:rFonts w:ascii="Arial" w:hAnsi="Arial" w:cs="Arial"/>
                <w:color w:val="000000"/>
                <w:sz w:val="16"/>
                <w:szCs w:val="16"/>
                <w:lang w:eastAsia="es-AR"/>
              </w:rPr>
            </w:pPr>
            <w:r w:rsidRPr="00E44240">
              <w:rPr>
                <w:rFonts w:ascii="Arial" w:hAnsi="Arial" w:cs="Arial"/>
                <w:color w:val="000000"/>
                <w:sz w:val="16"/>
                <w:szCs w:val="16"/>
              </w:rPr>
              <w:t>10.090.800</w:t>
            </w:r>
          </w:p>
        </w:tc>
        <w:tc>
          <w:tcPr>
            <w:tcW w:w="184" w:type="dxa"/>
            <w:tcBorders>
              <w:top w:val="nil"/>
              <w:left w:val="nil"/>
              <w:bottom w:val="single" w:sz="4" w:space="0" w:color="auto"/>
              <w:right w:val="single" w:sz="4" w:space="0" w:color="auto"/>
            </w:tcBorders>
            <w:shd w:val="clear" w:color="auto" w:fill="auto"/>
            <w:vAlign w:val="bottom"/>
          </w:tcPr>
          <w:p w14:paraId="7F5EF481" w14:textId="170F359C" w:rsidR="00F71E32" w:rsidRPr="00F71E32" w:rsidRDefault="00F71E32" w:rsidP="00F71E32">
            <w:pPr>
              <w:jc w:val="right"/>
              <w:rPr>
                <w:rFonts w:ascii="Arial" w:hAnsi="Arial" w:cs="Arial"/>
                <w:color w:val="000000"/>
                <w:sz w:val="16"/>
                <w:szCs w:val="16"/>
                <w:lang w:eastAsia="es-AR"/>
              </w:rPr>
            </w:pPr>
          </w:p>
        </w:tc>
        <w:tc>
          <w:tcPr>
            <w:tcW w:w="1031" w:type="dxa"/>
            <w:tcBorders>
              <w:top w:val="nil"/>
              <w:left w:val="nil"/>
              <w:bottom w:val="single" w:sz="4" w:space="0" w:color="auto"/>
              <w:right w:val="single" w:sz="4" w:space="0" w:color="auto"/>
            </w:tcBorders>
            <w:shd w:val="clear" w:color="auto" w:fill="auto"/>
            <w:noWrap/>
            <w:vAlign w:val="bottom"/>
          </w:tcPr>
          <w:p w14:paraId="78D6FE28" w14:textId="31938BD9"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c>
          <w:tcPr>
            <w:tcW w:w="934" w:type="dxa"/>
            <w:tcBorders>
              <w:top w:val="nil"/>
              <w:left w:val="nil"/>
              <w:bottom w:val="single" w:sz="4" w:space="0" w:color="auto"/>
              <w:right w:val="single" w:sz="4" w:space="0" w:color="auto"/>
            </w:tcBorders>
            <w:shd w:val="clear" w:color="auto" w:fill="auto"/>
            <w:noWrap/>
            <w:vAlign w:val="bottom"/>
          </w:tcPr>
          <w:p w14:paraId="6AE14A20" w14:textId="46B0B9C9"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c>
          <w:tcPr>
            <w:tcW w:w="1113" w:type="dxa"/>
            <w:tcBorders>
              <w:top w:val="nil"/>
              <w:left w:val="nil"/>
              <w:bottom w:val="single" w:sz="4" w:space="0" w:color="auto"/>
              <w:right w:val="single" w:sz="8" w:space="0" w:color="auto"/>
            </w:tcBorders>
            <w:shd w:val="clear" w:color="auto" w:fill="auto"/>
            <w:noWrap/>
            <w:vAlign w:val="bottom"/>
          </w:tcPr>
          <w:p w14:paraId="5FE5A8BB" w14:textId="47C8B266" w:rsidR="00F71E32" w:rsidRPr="00F71E32" w:rsidRDefault="00E44240" w:rsidP="00F71E32">
            <w:pPr>
              <w:jc w:val="right"/>
              <w:rPr>
                <w:rFonts w:ascii="Arial" w:hAnsi="Arial" w:cs="Arial"/>
                <w:color w:val="000000"/>
                <w:sz w:val="16"/>
                <w:szCs w:val="16"/>
                <w:lang w:eastAsia="es-AR"/>
              </w:rPr>
            </w:pPr>
            <w:r w:rsidRPr="00E44240">
              <w:rPr>
                <w:rFonts w:ascii="Arial" w:hAnsi="Arial" w:cs="Arial"/>
                <w:color w:val="000000"/>
                <w:sz w:val="16"/>
                <w:szCs w:val="16"/>
              </w:rPr>
              <w:t>10.090.800</w:t>
            </w:r>
          </w:p>
        </w:tc>
      </w:tr>
      <w:tr w:rsidR="00F71E32" w:rsidRPr="00E74A5E" w14:paraId="7D938A88" w14:textId="77777777" w:rsidTr="00F71E32">
        <w:trPr>
          <w:trHeight w:val="235"/>
          <w:jc w:val="center"/>
        </w:trPr>
        <w:tc>
          <w:tcPr>
            <w:tcW w:w="36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CFA4BA2" w14:textId="77777777" w:rsidR="00F71E32" w:rsidRPr="00613EB0" w:rsidRDefault="00F71E32" w:rsidP="00F71E32">
            <w:pPr>
              <w:jc w:val="both"/>
              <w:rPr>
                <w:rFonts w:ascii="Arial" w:hAnsi="Arial" w:cs="Arial"/>
                <w:color w:val="000000"/>
                <w:sz w:val="16"/>
                <w:szCs w:val="16"/>
                <w:lang w:eastAsia="es-AR"/>
              </w:rPr>
            </w:pPr>
            <w:r w:rsidRPr="00613EB0">
              <w:rPr>
                <w:rFonts w:ascii="Arial" w:hAnsi="Arial" w:cs="Arial"/>
                <w:color w:val="000000"/>
                <w:sz w:val="16"/>
                <w:szCs w:val="16"/>
                <w:lang w:eastAsia="es-AR"/>
              </w:rPr>
              <w:t>-Obligaciones negociables emitidas</w:t>
            </w:r>
          </w:p>
        </w:tc>
        <w:tc>
          <w:tcPr>
            <w:tcW w:w="1190" w:type="dxa"/>
            <w:tcBorders>
              <w:top w:val="single" w:sz="4" w:space="0" w:color="auto"/>
              <w:left w:val="nil"/>
              <w:bottom w:val="single" w:sz="4" w:space="0" w:color="auto"/>
              <w:right w:val="single" w:sz="4" w:space="0" w:color="auto"/>
            </w:tcBorders>
            <w:shd w:val="clear" w:color="auto" w:fill="auto"/>
            <w:noWrap/>
            <w:vAlign w:val="bottom"/>
          </w:tcPr>
          <w:p w14:paraId="69345CD7" w14:textId="6AE862E7"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6.070.917</w:t>
            </w:r>
          </w:p>
        </w:tc>
        <w:tc>
          <w:tcPr>
            <w:tcW w:w="1131" w:type="dxa"/>
            <w:tcBorders>
              <w:top w:val="single" w:sz="4" w:space="0" w:color="auto"/>
              <w:left w:val="nil"/>
              <w:bottom w:val="single" w:sz="4" w:space="0" w:color="auto"/>
              <w:right w:val="single" w:sz="4" w:space="0" w:color="auto"/>
            </w:tcBorders>
            <w:shd w:val="clear" w:color="auto" w:fill="auto"/>
            <w:vAlign w:val="bottom"/>
          </w:tcPr>
          <w:p w14:paraId="18DA9FE4" w14:textId="2B6FF149"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6.070.917</w:t>
            </w:r>
          </w:p>
        </w:tc>
        <w:tc>
          <w:tcPr>
            <w:tcW w:w="184" w:type="dxa"/>
            <w:tcBorders>
              <w:top w:val="single" w:sz="4" w:space="0" w:color="auto"/>
              <w:left w:val="nil"/>
              <w:bottom w:val="single" w:sz="4" w:space="0" w:color="auto"/>
              <w:right w:val="single" w:sz="4" w:space="0" w:color="auto"/>
            </w:tcBorders>
            <w:shd w:val="clear" w:color="auto" w:fill="auto"/>
            <w:vAlign w:val="bottom"/>
          </w:tcPr>
          <w:p w14:paraId="1634A401" w14:textId="008837E5" w:rsidR="00F71E32" w:rsidRPr="00F71E32" w:rsidRDefault="00F71E32" w:rsidP="00F71E32">
            <w:pPr>
              <w:jc w:val="right"/>
              <w:rPr>
                <w:rFonts w:ascii="Arial" w:hAnsi="Arial" w:cs="Arial"/>
                <w:color w:val="000000"/>
                <w:sz w:val="16"/>
                <w:szCs w:val="16"/>
                <w:lang w:eastAsia="es-AR"/>
              </w:rPr>
            </w:pPr>
          </w:p>
        </w:tc>
        <w:tc>
          <w:tcPr>
            <w:tcW w:w="1031" w:type="dxa"/>
            <w:tcBorders>
              <w:top w:val="single" w:sz="4" w:space="0" w:color="auto"/>
              <w:left w:val="nil"/>
              <w:bottom w:val="single" w:sz="4" w:space="0" w:color="auto"/>
              <w:right w:val="single" w:sz="4" w:space="0" w:color="auto"/>
            </w:tcBorders>
            <w:shd w:val="clear" w:color="auto" w:fill="auto"/>
            <w:noWrap/>
            <w:vAlign w:val="bottom"/>
          </w:tcPr>
          <w:p w14:paraId="7C847A59" w14:textId="777E5607"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6.070.917</w:t>
            </w:r>
          </w:p>
        </w:tc>
        <w:tc>
          <w:tcPr>
            <w:tcW w:w="934" w:type="dxa"/>
            <w:tcBorders>
              <w:top w:val="single" w:sz="4" w:space="0" w:color="auto"/>
              <w:left w:val="nil"/>
              <w:bottom w:val="single" w:sz="4" w:space="0" w:color="auto"/>
              <w:right w:val="single" w:sz="4" w:space="0" w:color="auto"/>
            </w:tcBorders>
            <w:shd w:val="clear" w:color="auto" w:fill="auto"/>
            <w:noWrap/>
            <w:vAlign w:val="bottom"/>
          </w:tcPr>
          <w:p w14:paraId="0156AD2F" w14:textId="46215C02"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c>
          <w:tcPr>
            <w:tcW w:w="1113" w:type="dxa"/>
            <w:tcBorders>
              <w:top w:val="single" w:sz="4" w:space="0" w:color="auto"/>
              <w:left w:val="nil"/>
              <w:bottom w:val="single" w:sz="4" w:space="0" w:color="auto"/>
              <w:right w:val="single" w:sz="8" w:space="0" w:color="auto"/>
            </w:tcBorders>
            <w:shd w:val="clear" w:color="auto" w:fill="auto"/>
            <w:noWrap/>
            <w:vAlign w:val="bottom"/>
          </w:tcPr>
          <w:p w14:paraId="753E997F" w14:textId="39626290"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r>
      <w:tr w:rsidR="00F71E32" w:rsidRPr="00E74A5E" w14:paraId="61E1514A" w14:textId="77777777" w:rsidTr="00F71E32">
        <w:trPr>
          <w:trHeight w:val="245"/>
          <w:jc w:val="center"/>
        </w:trPr>
        <w:tc>
          <w:tcPr>
            <w:tcW w:w="3694" w:type="dxa"/>
            <w:tcBorders>
              <w:top w:val="single" w:sz="4" w:space="0" w:color="auto"/>
              <w:left w:val="single" w:sz="8" w:space="0" w:color="auto"/>
              <w:bottom w:val="nil"/>
              <w:right w:val="single" w:sz="4" w:space="0" w:color="auto"/>
            </w:tcBorders>
            <w:shd w:val="clear" w:color="auto" w:fill="auto"/>
            <w:noWrap/>
            <w:vAlign w:val="center"/>
            <w:hideMark/>
          </w:tcPr>
          <w:p w14:paraId="20367048" w14:textId="77777777" w:rsidR="00F71E32" w:rsidRPr="00613EB0" w:rsidRDefault="00F71E32" w:rsidP="00F71E32">
            <w:pPr>
              <w:jc w:val="both"/>
              <w:rPr>
                <w:rFonts w:ascii="Arial" w:hAnsi="Arial" w:cs="Arial"/>
                <w:color w:val="000000"/>
                <w:sz w:val="16"/>
                <w:szCs w:val="16"/>
                <w:lang w:eastAsia="es-AR"/>
              </w:rPr>
            </w:pPr>
            <w:r w:rsidRPr="00613EB0">
              <w:rPr>
                <w:rFonts w:ascii="Arial" w:hAnsi="Arial" w:cs="Arial"/>
                <w:color w:val="000000"/>
                <w:sz w:val="16"/>
                <w:szCs w:val="16"/>
                <w:lang w:eastAsia="es-AR"/>
              </w:rPr>
              <w:t>-Obligaciones negociables subordinadas</w:t>
            </w:r>
          </w:p>
        </w:tc>
        <w:tc>
          <w:tcPr>
            <w:tcW w:w="1190" w:type="dxa"/>
            <w:tcBorders>
              <w:top w:val="single" w:sz="4" w:space="0" w:color="auto"/>
              <w:left w:val="nil"/>
              <w:bottom w:val="nil"/>
              <w:right w:val="single" w:sz="4" w:space="0" w:color="auto"/>
            </w:tcBorders>
            <w:shd w:val="clear" w:color="auto" w:fill="auto"/>
            <w:noWrap/>
            <w:vAlign w:val="bottom"/>
          </w:tcPr>
          <w:p w14:paraId="637E2AC8" w14:textId="5EEF4F74"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2.119.888</w:t>
            </w:r>
          </w:p>
        </w:tc>
        <w:tc>
          <w:tcPr>
            <w:tcW w:w="1131" w:type="dxa"/>
            <w:tcBorders>
              <w:top w:val="single" w:sz="4" w:space="0" w:color="auto"/>
              <w:left w:val="nil"/>
              <w:bottom w:val="nil"/>
              <w:right w:val="single" w:sz="4" w:space="0" w:color="auto"/>
            </w:tcBorders>
            <w:shd w:val="clear" w:color="auto" w:fill="auto"/>
            <w:vAlign w:val="bottom"/>
          </w:tcPr>
          <w:p w14:paraId="7A3C366F" w14:textId="1D891DEE"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2.368.114</w:t>
            </w:r>
          </w:p>
        </w:tc>
        <w:tc>
          <w:tcPr>
            <w:tcW w:w="184" w:type="dxa"/>
            <w:tcBorders>
              <w:top w:val="single" w:sz="4" w:space="0" w:color="auto"/>
              <w:left w:val="nil"/>
              <w:bottom w:val="nil"/>
              <w:right w:val="single" w:sz="4" w:space="0" w:color="auto"/>
            </w:tcBorders>
            <w:shd w:val="clear" w:color="auto" w:fill="auto"/>
            <w:vAlign w:val="bottom"/>
          </w:tcPr>
          <w:p w14:paraId="73014339" w14:textId="304E000A" w:rsidR="00F71E32" w:rsidRPr="00F71E32" w:rsidRDefault="00F71E32" w:rsidP="00F71E32">
            <w:pPr>
              <w:jc w:val="right"/>
              <w:rPr>
                <w:rFonts w:ascii="Arial" w:hAnsi="Arial" w:cs="Arial"/>
                <w:color w:val="000000"/>
                <w:sz w:val="16"/>
                <w:szCs w:val="16"/>
                <w:lang w:eastAsia="es-AR"/>
              </w:rPr>
            </w:pPr>
          </w:p>
        </w:tc>
        <w:tc>
          <w:tcPr>
            <w:tcW w:w="1031" w:type="dxa"/>
            <w:tcBorders>
              <w:top w:val="single" w:sz="4" w:space="0" w:color="auto"/>
              <w:left w:val="nil"/>
              <w:bottom w:val="nil"/>
              <w:right w:val="single" w:sz="4" w:space="0" w:color="auto"/>
            </w:tcBorders>
            <w:shd w:val="clear" w:color="auto" w:fill="auto"/>
            <w:noWrap/>
            <w:vAlign w:val="bottom"/>
          </w:tcPr>
          <w:p w14:paraId="127CC823" w14:textId="11B2A0B0"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2.368.114</w:t>
            </w:r>
          </w:p>
        </w:tc>
        <w:tc>
          <w:tcPr>
            <w:tcW w:w="934" w:type="dxa"/>
            <w:tcBorders>
              <w:top w:val="single" w:sz="4" w:space="0" w:color="auto"/>
              <w:left w:val="nil"/>
              <w:bottom w:val="nil"/>
              <w:right w:val="single" w:sz="4" w:space="0" w:color="auto"/>
            </w:tcBorders>
            <w:shd w:val="clear" w:color="auto" w:fill="auto"/>
            <w:noWrap/>
            <w:vAlign w:val="bottom"/>
          </w:tcPr>
          <w:p w14:paraId="5816A5E1" w14:textId="6A523D3F"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c>
          <w:tcPr>
            <w:tcW w:w="1113" w:type="dxa"/>
            <w:tcBorders>
              <w:top w:val="single" w:sz="4" w:space="0" w:color="auto"/>
              <w:left w:val="nil"/>
              <w:bottom w:val="nil"/>
              <w:right w:val="single" w:sz="8" w:space="0" w:color="auto"/>
            </w:tcBorders>
            <w:shd w:val="clear" w:color="auto" w:fill="auto"/>
            <w:noWrap/>
            <w:vAlign w:val="bottom"/>
          </w:tcPr>
          <w:p w14:paraId="77E6874B" w14:textId="79E9096C" w:rsidR="00F71E32" w:rsidRPr="00F71E32" w:rsidRDefault="00F71E32" w:rsidP="00F71E32">
            <w:pPr>
              <w:jc w:val="right"/>
              <w:rPr>
                <w:rFonts w:ascii="Arial" w:hAnsi="Arial" w:cs="Arial"/>
                <w:color w:val="000000"/>
                <w:sz w:val="16"/>
                <w:szCs w:val="16"/>
                <w:lang w:eastAsia="es-AR"/>
              </w:rPr>
            </w:pPr>
            <w:r w:rsidRPr="00F71E32">
              <w:rPr>
                <w:rFonts w:ascii="Arial" w:hAnsi="Arial" w:cs="Arial"/>
                <w:color w:val="000000"/>
                <w:sz w:val="16"/>
                <w:szCs w:val="16"/>
              </w:rPr>
              <w:t>-</w:t>
            </w:r>
          </w:p>
        </w:tc>
      </w:tr>
      <w:tr w:rsidR="00F71E32" w:rsidRPr="00E74A5E" w14:paraId="34B6F5D1" w14:textId="77777777" w:rsidTr="00F71E32">
        <w:trPr>
          <w:trHeight w:val="245"/>
          <w:jc w:val="center"/>
        </w:trPr>
        <w:tc>
          <w:tcPr>
            <w:tcW w:w="3694"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1BF86644" w14:textId="77777777" w:rsidR="00F71E32" w:rsidRPr="00613EB0" w:rsidRDefault="00F71E32" w:rsidP="00F71E32">
            <w:pPr>
              <w:jc w:val="both"/>
              <w:rPr>
                <w:rFonts w:ascii="Arial" w:hAnsi="Arial" w:cs="Arial"/>
                <w:b/>
                <w:color w:val="000000"/>
                <w:sz w:val="16"/>
                <w:szCs w:val="16"/>
                <w:lang w:eastAsia="es-AR"/>
              </w:rPr>
            </w:pPr>
            <w:r w:rsidRPr="00613EB0">
              <w:rPr>
                <w:rFonts w:ascii="Arial" w:hAnsi="Arial" w:cs="Arial"/>
                <w:b/>
                <w:color w:val="000000"/>
                <w:sz w:val="16"/>
                <w:szCs w:val="16"/>
                <w:lang w:eastAsia="es-AR"/>
              </w:rPr>
              <w:t> </w:t>
            </w:r>
          </w:p>
        </w:tc>
        <w:tc>
          <w:tcPr>
            <w:tcW w:w="1190" w:type="dxa"/>
            <w:tcBorders>
              <w:top w:val="single" w:sz="8" w:space="0" w:color="auto"/>
              <w:left w:val="nil"/>
              <w:bottom w:val="single" w:sz="8" w:space="0" w:color="auto"/>
              <w:right w:val="single" w:sz="4" w:space="0" w:color="auto"/>
            </w:tcBorders>
            <w:shd w:val="clear" w:color="000000" w:fill="EDEDED"/>
            <w:noWrap/>
            <w:vAlign w:val="bottom"/>
          </w:tcPr>
          <w:p w14:paraId="23780523" w14:textId="6E1E4EA2" w:rsidR="00F71E32" w:rsidRPr="00F71E32" w:rsidRDefault="00F73F7F" w:rsidP="00F71E32">
            <w:pPr>
              <w:jc w:val="right"/>
              <w:rPr>
                <w:rFonts w:ascii="Arial" w:hAnsi="Arial" w:cs="Arial"/>
                <w:b/>
                <w:bCs/>
                <w:color w:val="000000"/>
                <w:sz w:val="16"/>
                <w:szCs w:val="16"/>
                <w:lang w:eastAsia="es-AR"/>
              </w:rPr>
            </w:pPr>
            <w:r w:rsidRPr="00F73F7F">
              <w:rPr>
                <w:rFonts w:ascii="Arial" w:hAnsi="Arial" w:cs="Arial"/>
                <w:b/>
                <w:bCs/>
                <w:color w:val="000000"/>
                <w:sz w:val="16"/>
                <w:szCs w:val="16"/>
              </w:rPr>
              <w:t>107.304.444</w:t>
            </w:r>
          </w:p>
        </w:tc>
        <w:tc>
          <w:tcPr>
            <w:tcW w:w="1131" w:type="dxa"/>
            <w:tcBorders>
              <w:top w:val="single" w:sz="8" w:space="0" w:color="auto"/>
              <w:left w:val="nil"/>
              <w:bottom w:val="single" w:sz="8" w:space="0" w:color="auto"/>
              <w:right w:val="single" w:sz="4" w:space="0" w:color="auto"/>
            </w:tcBorders>
            <w:shd w:val="clear" w:color="000000" w:fill="EDEDED"/>
            <w:noWrap/>
            <w:vAlign w:val="bottom"/>
          </w:tcPr>
          <w:p w14:paraId="4E69DFAA" w14:textId="085395E8" w:rsidR="00F71E32" w:rsidRPr="00F71E32" w:rsidRDefault="00E44240" w:rsidP="00F71E32">
            <w:pPr>
              <w:jc w:val="right"/>
              <w:rPr>
                <w:rFonts w:ascii="Arial" w:hAnsi="Arial" w:cs="Arial"/>
                <w:b/>
                <w:bCs/>
                <w:color w:val="000000"/>
                <w:sz w:val="16"/>
                <w:szCs w:val="16"/>
                <w:lang w:eastAsia="es-AR"/>
              </w:rPr>
            </w:pPr>
            <w:r w:rsidRPr="00E44240">
              <w:rPr>
                <w:rFonts w:ascii="Arial" w:hAnsi="Arial" w:cs="Arial"/>
                <w:b/>
                <w:bCs/>
                <w:color w:val="000000"/>
                <w:sz w:val="16"/>
                <w:szCs w:val="16"/>
              </w:rPr>
              <w:t>108.642.</w:t>
            </w:r>
            <w:r w:rsidR="004D6AF3" w:rsidRPr="00E44240">
              <w:rPr>
                <w:rFonts w:ascii="Arial" w:hAnsi="Arial" w:cs="Arial"/>
                <w:b/>
                <w:bCs/>
                <w:color w:val="000000"/>
                <w:sz w:val="16"/>
                <w:szCs w:val="16"/>
              </w:rPr>
              <w:t>4</w:t>
            </w:r>
            <w:r w:rsidR="004D6AF3">
              <w:rPr>
                <w:rFonts w:ascii="Arial" w:hAnsi="Arial" w:cs="Arial"/>
                <w:b/>
                <w:bCs/>
                <w:color w:val="000000"/>
                <w:sz w:val="16"/>
                <w:szCs w:val="16"/>
              </w:rPr>
              <w:t>90</w:t>
            </w:r>
          </w:p>
        </w:tc>
        <w:tc>
          <w:tcPr>
            <w:tcW w:w="184" w:type="dxa"/>
            <w:tcBorders>
              <w:top w:val="single" w:sz="8" w:space="0" w:color="auto"/>
              <w:left w:val="nil"/>
              <w:bottom w:val="single" w:sz="8" w:space="0" w:color="auto"/>
              <w:right w:val="single" w:sz="4" w:space="0" w:color="auto"/>
            </w:tcBorders>
            <w:shd w:val="clear" w:color="000000" w:fill="EDEDED"/>
            <w:noWrap/>
            <w:vAlign w:val="bottom"/>
          </w:tcPr>
          <w:p w14:paraId="4EB64F54" w14:textId="0ED5E76C" w:rsidR="00F71E32" w:rsidRPr="00F71E32" w:rsidRDefault="00F71E32" w:rsidP="00F71E32">
            <w:pPr>
              <w:jc w:val="right"/>
              <w:rPr>
                <w:rFonts w:ascii="Arial" w:hAnsi="Arial" w:cs="Arial"/>
                <w:b/>
                <w:bCs/>
                <w:color w:val="000000"/>
                <w:sz w:val="16"/>
                <w:szCs w:val="16"/>
                <w:lang w:eastAsia="es-AR"/>
              </w:rPr>
            </w:pPr>
          </w:p>
        </w:tc>
        <w:tc>
          <w:tcPr>
            <w:tcW w:w="1031" w:type="dxa"/>
            <w:tcBorders>
              <w:top w:val="single" w:sz="8" w:space="0" w:color="auto"/>
              <w:left w:val="nil"/>
              <w:bottom w:val="single" w:sz="8" w:space="0" w:color="auto"/>
              <w:right w:val="single" w:sz="4" w:space="0" w:color="auto"/>
            </w:tcBorders>
            <w:shd w:val="clear" w:color="000000" w:fill="EDEDED"/>
            <w:noWrap/>
            <w:vAlign w:val="bottom"/>
          </w:tcPr>
          <w:p w14:paraId="430E29CC" w14:textId="7AEBF899" w:rsidR="00F71E32" w:rsidRPr="00F71E32" w:rsidRDefault="00F73F7F" w:rsidP="00F71E32">
            <w:pPr>
              <w:jc w:val="right"/>
              <w:rPr>
                <w:rFonts w:ascii="Arial" w:hAnsi="Arial" w:cs="Arial"/>
                <w:b/>
                <w:bCs/>
                <w:color w:val="000000"/>
                <w:sz w:val="16"/>
                <w:szCs w:val="16"/>
                <w:lang w:eastAsia="es-AR"/>
              </w:rPr>
            </w:pPr>
            <w:r w:rsidRPr="00F73F7F">
              <w:rPr>
                <w:rFonts w:ascii="Arial" w:hAnsi="Arial" w:cs="Arial"/>
                <w:b/>
                <w:bCs/>
                <w:color w:val="000000"/>
                <w:sz w:val="16"/>
                <w:szCs w:val="16"/>
              </w:rPr>
              <w:t>8.804.264</w:t>
            </w:r>
          </w:p>
        </w:tc>
        <w:tc>
          <w:tcPr>
            <w:tcW w:w="934" w:type="dxa"/>
            <w:tcBorders>
              <w:top w:val="single" w:sz="8" w:space="0" w:color="auto"/>
              <w:left w:val="nil"/>
              <w:bottom w:val="single" w:sz="8" w:space="0" w:color="auto"/>
              <w:right w:val="single" w:sz="4" w:space="0" w:color="auto"/>
            </w:tcBorders>
            <w:shd w:val="clear" w:color="000000" w:fill="EDEDED"/>
            <w:noWrap/>
            <w:vAlign w:val="bottom"/>
          </w:tcPr>
          <w:p w14:paraId="1166609D" w14:textId="1B657AD3" w:rsidR="00F71E32" w:rsidRPr="00F71E32" w:rsidRDefault="00F71E32" w:rsidP="00F71E32">
            <w:pPr>
              <w:jc w:val="right"/>
              <w:rPr>
                <w:rFonts w:ascii="Arial" w:hAnsi="Arial" w:cs="Arial"/>
                <w:b/>
                <w:bCs/>
                <w:color w:val="000000"/>
                <w:sz w:val="16"/>
                <w:szCs w:val="16"/>
                <w:lang w:eastAsia="es-AR"/>
              </w:rPr>
            </w:pPr>
            <w:r w:rsidRPr="00F71E32">
              <w:rPr>
                <w:rFonts w:ascii="Arial" w:hAnsi="Arial" w:cs="Arial"/>
                <w:b/>
                <w:bCs/>
                <w:color w:val="000000"/>
                <w:sz w:val="16"/>
                <w:szCs w:val="16"/>
              </w:rPr>
              <w:t>-</w:t>
            </w:r>
          </w:p>
        </w:tc>
        <w:tc>
          <w:tcPr>
            <w:tcW w:w="1113" w:type="dxa"/>
            <w:tcBorders>
              <w:top w:val="single" w:sz="8" w:space="0" w:color="auto"/>
              <w:left w:val="nil"/>
              <w:bottom w:val="single" w:sz="8" w:space="0" w:color="auto"/>
              <w:right w:val="single" w:sz="8" w:space="0" w:color="auto"/>
            </w:tcBorders>
            <w:shd w:val="clear" w:color="000000" w:fill="EDEDED"/>
            <w:noWrap/>
            <w:vAlign w:val="bottom"/>
          </w:tcPr>
          <w:p w14:paraId="1F9510EC" w14:textId="09AAA593" w:rsidR="00F71E32" w:rsidRPr="00F71E32" w:rsidRDefault="00E44240" w:rsidP="00F71E32">
            <w:pPr>
              <w:jc w:val="right"/>
              <w:rPr>
                <w:rFonts w:ascii="Arial" w:hAnsi="Arial" w:cs="Arial"/>
                <w:b/>
                <w:bCs/>
                <w:color w:val="000000"/>
                <w:sz w:val="16"/>
                <w:szCs w:val="16"/>
                <w:lang w:eastAsia="es-AR"/>
              </w:rPr>
            </w:pPr>
            <w:r w:rsidRPr="00E44240">
              <w:rPr>
                <w:rFonts w:ascii="Arial" w:hAnsi="Arial" w:cs="Arial"/>
                <w:b/>
                <w:bCs/>
                <w:color w:val="000000"/>
                <w:sz w:val="16"/>
                <w:szCs w:val="16"/>
              </w:rPr>
              <w:t>99.838.22</w:t>
            </w:r>
            <w:r w:rsidR="004D6AF3">
              <w:rPr>
                <w:rFonts w:ascii="Arial" w:hAnsi="Arial" w:cs="Arial"/>
                <w:b/>
                <w:bCs/>
                <w:color w:val="000000"/>
                <w:sz w:val="16"/>
                <w:szCs w:val="16"/>
              </w:rPr>
              <w:t>6</w:t>
            </w:r>
          </w:p>
        </w:tc>
      </w:tr>
    </w:tbl>
    <w:p w14:paraId="479C343C" w14:textId="77777777" w:rsidR="00EB687D" w:rsidRDefault="00EB687D" w:rsidP="00656E62">
      <w:pPr>
        <w:spacing w:after="160" w:line="259" w:lineRule="auto"/>
        <w:jc w:val="both"/>
        <w:rPr>
          <w:rFonts w:ascii="Arial" w:eastAsia="Calibri" w:hAnsi="Arial" w:cs="Arial"/>
          <w:b/>
          <w:sz w:val="20"/>
        </w:rPr>
      </w:pPr>
    </w:p>
    <w:tbl>
      <w:tblPr>
        <w:tblW w:w="9392" w:type="dxa"/>
        <w:tblInd w:w="-436" w:type="dxa"/>
        <w:tblCellMar>
          <w:left w:w="70" w:type="dxa"/>
          <w:right w:w="70" w:type="dxa"/>
        </w:tblCellMar>
        <w:tblLook w:val="04A0" w:firstRow="1" w:lastRow="0" w:firstColumn="1" w:lastColumn="0" w:noHBand="0" w:noVBand="1"/>
      </w:tblPr>
      <w:tblGrid>
        <w:gridCol w:w="4192"/>
        <w:gridCol w:w="1079"/>
        <w:gridCol w:w="1030"/>
        <w:gridCol w:w="185"/>
        <w:gridCol w:w="959"/>
        <w:gridCol w:w="959"/>
        <w:gridCol w:w="988"/>
      </w:tblGrid>
      <w:tr w:rsidR="00DB7AF1" w:rsidRPr="00A70755" w14:paraId="35C37457" w14:textId="77777777" w:rsidTr="002E2271">
        <w:trPr>
          <w:trHeight w:val="357"/>
          <w:tblHeader/>
        </w:trPr>
        <w:tc>
          <w:tcPr>
            <w:tcW w:w="4192" w:type="dxa"/>
            <w:tcBorders>
              <w:top w:val="single" w:sz="8" w:space="0" w:color="auto"/>
              <w:left w:val="single" w:sz="8" w:space="0" w:color="auto"/>
              <w:bottom w:val="nil"/>
              <w:right w:val="single" w:sz="4" w:space="0" w:color="auto"/>
            </w:tcBorders>
            <w:shd w:val="clear" w:color="auto" w:fill="auto"/>
            <w:noWrap/>
            <w:vAlign w:val="center"/>
            <w:hideMark/>
          </w:tcPr>
          <w:p w14:paraId="517F0F69" w14:textId="77777777" w:rsidR="00DB7AF1" w:rsidRPr="00613EB0" w:rsidRDefault="00DB7AF1" w:rsidP="002F65FB">
            <w:pPr>
              <w:jc w:val="center"/>
              <w:rPr>
                <w:rFonts w:ascii="Arial" w:hAnsi="Arial" w:cs="Arial"/>
                <w:b/>
                <w:bCs/>
                <w:i/>
                <w:iCs/>
                <w:sz w:val="16"/>
                <w:szCs w:val="16"/>
                <w:lang w:eastAsia="es-AR"/>
              </w:rPr>
            </w:pPr>
            <w:r w:rsidRPr="00613EB0">
              <w:rPr>
                <w:rFonts w:ascii="Arial" w:hAnsi="Arial" w:cs="Arial"/>
                <w:b/>
                <w:bCs/>
                <w:i/>
                <w:iCs/>
                <w:sz w:val="16"/>
                <w:szCs w:val="16"/>
                <w:lang w:eastAsia="es-AR"/>
              </w:rPr>
              <w:t>31-12-2018</w:t>
            </w:r>
          </w:p>
        </w:tc>
        <w:tc>
          <w:tcPr>
            <w:tcW w:w="1079" w:type="dxa"/>
            <w:tcBorders>
              <w:top w:val="single" w:sz="8" w:space="0" w:color="auto"/>
              <w:left w:val="nil"/>
              <w:bottom w:val="nil"/>
              <w:right w:val="single" w:sz="4" w:space="0" w:color="auto"/>
            </w:tcBorders>
            <w:shd w:val="clear" w:color="auto" w:fill="auto"/>
            <w:vAlign w:val="center"/>
            <w:hideMark/>
          </w:tcPr>
          <w:p w14:paraId="127EFF19"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Valor contable</w:t>
            </w:r>
          </w:p>
        </w:tc>
        <w:tc>
          <w:tcPr>
            <w:tcW w:w="1030" w:type="dxa"/>
            <w:tcBorders>
              <w:top w:val="single" w:sz="8" w:space="0" w:color="auto"/>
              <w:left w:val="nil"/>
              <w:bottom w:val="nil"/>
              <w:right w:val="single" w:sz="4" w:space="0" w:color="auto"/>
            </w:tcBorders>
            <w:shd w:val="clear" w:color="auto" w:fill="auto"/>
            <w:vAlign w:val="center"/>
            <w:hideMark/>
          </w:tcPr>
          <w:p w14:paraId="2D0D0E4B"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Valor razonable</w:t>
            </w:r>
          </w:p>
        </w:tc>
        <w:tc>
          <w:tcPr>
            <w:tcW w:w="185" w:type="dxa"/>
            <w:tcBorders>
              <w:top w:val="single" w:sz="8" w:space="0" w:color="auto"/>
              <w:left w:val="nil"/>
              <w:bottom w:val="nil"/>
              <w:right w:val="single" w:sz="4" w:space="0" w:color="auto"/>
            </w:tcBorders>
            <w:shd w:val="clear" w:color="auto" w:fill="auto"/>
            <w:vAlign w:val="center"/>
            <w:hideMark/>
          </w:tcPr>
          <w:p w14:paraId="68EA0D2A"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 </w:t>
            </w:r>
          </w:p>
        </w:tc>
        <w:tc>
          <w:tcPr>
            <w:tcW w:w="959" w:type="dxa"/>
            <w:tcBorders>
              <w:top w:val="single" w:sz="8" w:space="0" w:color="auto"/>
              <w:left w:val="nil"/>
              <w:bottom w:val="nil"/>
              <w:right w:val="single" w:sz="4" w:space="0" w:color="auto"/>
            </w:tcBorders>
            <w:shd w:val="clear" w:color="auto" w:fill="auto"/>
            <w:vAlign w:val="center"/>
            <w:hideMark/>
          </w:tcPr>
          <w:p w14:paraId="7607EDC1"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VR Nivel 1</w:t>
            </w:r>
          </w:p>
        </w:tc>
        <w:tc>
          <w:tcPr>
            <w:tcW w:w="959" w:type="dxa"/>
            <w:tcBorders>
              <w:top w:val="single" w:sz="8" w:space="0" w:color="auto"/>
              <w:left w:val="nil"/>
              <w:bottom w:val="nil"/>
              <w:right w:val="single" w:sz="4" w:space="0" w:color="auto"/>
            </w:tcBorders>
            <w:shd w:val="clear" w:color="auto" w:fill="auto"/>
            <w:vAlign w:val="center"/>
            <w:hideMark/>
          </w:tcPr>
          <w:p w14:paraId="2938FBBA"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VR Nivel 2</w:t>
            </w:r>
          </w:p>
        </w:tc>
        <w:tc>
          <w:tcPr>
            <w:tcW w:w="988" w:type="dxa"/>
            <w:tcBorders>
              <w:top w:val="single" w:sz="8" w:space="0" w:color="auto"/>
              <w:left w:val="nil"/>
              <w:bottom w:val="nil"/>
              <w:right w:val="single" w:sz="8" w:space="0" w:color="auto"/>
            </w:tcBorders>
            <w:shd w:val="clear" w:color="auto" w:fill="auto"/>
            <w:vAlign w:val="center"/>
            <w:hideMark/>
          </w:tcPr>
          <w:p w14:paraId="0A1DD6BB" w14:textId="77777777" w:rsidR="00DB7AF1" w:rsidRPr="00613EB0" w:rsidRDefault="00DB7AF1" w:rsidP="002F65FB">
            <w:pPr>
              <w:jc w:val="center"/>
              <w:rPr>
                <w:rFonts w:ascii="Arial" w:hAnsi="Arial" w:cs="Arial"/>
                <w:b/>
                <w:bCs/>
                <w:sz w:val="16"/>
                <w:szCs w:val="16"/>
                <w:lang w:eastAsia="es-AR"/>
              </w:rPr>
            </w:pPr>
            <w:r w:rsidRPr="00613EB0">
              <w:rPr>
                <w:rFonts w:ascii="Arial" w:hAnsi="Arial" w:cs="Arial"/>
                <w:b/>
                <w:bCs/>
                <w:sz w:val="16"/>
                <w:szCs w:val="16"/>
                <w:lang w:eastAsia="es-AR"/>
              </w:rPr>
              <w:t>VR Nivel 3</w:t>
            </w:r>
          </w:p>
        </w:tc>
      </w:tr>
      <w:tr w:rsidR="00DB7AF1" w:rsidRPr="00A70755" w14:paraId="7E59A7BF" w14:textId="77777777" w:rsidTr="002E2271">
        <w:trPr>
          <w:trHeight w:val="226"/>
        </w:trPr>
        <w:tc>
          <w:tcPr>
            <w:tcW w:w="4192"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2652EE1F" w14:textId="77777777" w:rsidR="00DB7AF1" w:rsidRPr="00613EB0" w:rsidRDefault="00DB7AF1" w:rsidP="002F65FB">
            <w:pPr>
              <w:rPr>
                <w:rFonts w:ascii="Arial" w:hAnsi="Arial" w:cs="Arial"/>
                <w:b/>
                <w:bCs/>
                <w:i/>
                <w:iCs/>
                <w:sz w:val="16"/>
                <w:szCs w:val="16"/>
                <w:lang w:eastAsia="es-AR"/>
              </w:rPr>
            </w:pPr>
            <w:r w:rsidRPr="00613EB0">
              <w:rPr>
                <w:rFonts w:ascii="Arial" w:hAnsi="Arial" w:cs="Arial"/>
                <w:b/>
                <w:bCs/>
                <w:i/>
                <w:iCs/>
                <w:sz w:val="16"/>
                <w:szCs w:val="16"/>
                <w:lang w:eastAsia="es-AR"/>
              </w:rPr>
              <w:t>Activos Financieros</w:t>
            </w:r>
          </w:p>
        </w:tc>
        <w:tc>
          <w:tcPr>
            <w:tcW w:w="1079" w:type="dxa"/>
            <w:tcBorders>
              <w:top w:val="single" w:sz="8" w:space="0" w:color="auto"/>
              <w:left w:val="nil"/>
              <w:bottom w:val="single" w:sz="8" w:space="0" w:color="auto"/>
              <w:right w:val="single" w:sz="4" w:space="0" w:color="auto"/>
            </w:tcBorders>
            <w:shd w:val="clear" w:color="000000" w:fill="EDEDED"/>
            <w:vAlign w:val="center"/>
            <w:hideMark/>
          </w:tcPr>
          <w:p w14:paraId="5685DDCC"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030" w:type="dxa"/>
            <w:tcBorders>
              <w:top w:val="single" w:sz="8" w:space="0" w:color="auto"/>
              <w:left w:val="nil"/>
              <w:bottom w:val="single" w:sz="8" w:space="0" w:color="auto"/>
              <w:right w:val="single" w:sz="4" w:space="0" w:color="auto"/>
            </w:tcBorders>
            <w:shd w:val="clear" w:color="000000" w:fill="EDEDED"/>
            <w:vAlign w:val="center"/>
            <w:hideMark/>
          </w:tcPr>
          <w:p w14:paraId="689AC056"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185" w:type="dxa"/>
            <w:tcBorders>
              <w:top w:val="single" w:sz="8" w:space="0" w:color="auto"/>
              <w:left w:val="nil"/>
              <w:bottom w:val="single" w:sz="8" w:space="0" w:color="auto"/>
              <w:right w:val="single" w:sz="4" w:space="0" w:color="auto"/>
            </w:tcBorders>
            <w:shd w:val="clear" w:color="000000" w:fill="EDEDED"/>
            <w:vAlign w:val="center"/>
            <w:hideMark/>
          </w:tcPr>
          <w:p w14:paraId="13D18C4B"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959" w:type="dxa"/>
            <w:tcBorders>
              <w:top w:val="single" w:sz="8" w:space="0" w:color="auto"/>
              <w:left w:val="nil"/>
              <w:bottom w:val="single" w:sz="8" w:space="0" w:color="auto"/>
              <w:right w:val="single" w:sz="4" w:space="0" w:color="auto"/>
            </w:tcBorders>
            <w:shd w:val="clear" w:color="000000" w:fill="EDEDED"/>
            <w:vAlign w:val="center"/>
            <w:hideMark/>
          </w:tcPr>
          <w:p w14:paraId="68FFE60C"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959" w:type="dxa"/>
            <w:tcBorders>
              <w:top w:val="single" w:sz="8" w:space="0" w:color="auto"/>
              <w:left w:val="nil"/>
              <w:bottom w:val="single" w:sz="8" w:space="0" w:color="auto"/>
              <w:right w:val="single" w:sz="4" w:space="0" w:color="auto"/>
            </w:tcBorders>
            <w:shd w:val="clear" w:color="000000" w:fill="EDEDED"/>
            <w:vAlign w:val="center"/>
            <w:hideMark/>
          </w:tcPr>
          <w:p w14:paraId="3C293B2B"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c>
          <w:tcPr>
            <w:tcW w:w="988" w:type="dxa"/>
            <w:tcBorders>
              <w:top w:val="single" w:sz="8" w:space="0" w:color="auto"/>
              <w:left w:val="nil"/>
              <w:bottom w:val="single" w:sz="8" w:space="0" w:color="auto"/>
              <w:right w:val="single" w:sz="8" w:space="0" w:color="auto"/>
            </w:tcBorders>
            <w:shd w:val="clear" w:color="000000" w:fill="EDEDED"/>
            <w:vAlign w:val="center"/>
            <w:hideMark/>
          </w:tcPr>
          <w:p w14:paraId="14CFAE2D" w14:textId="77777777" w:rsidR="00DB7AF1" w:rsidRPr="00613EB0" w:rsidRDefault="00DB7AF1" w:rsidP="002F65FB">
            <w:pPr>
              <w:jc w:val="both"/>
              <w:rPr>
                <w:rFonts w:ascii="Arial" w:hAnsi="Arial" w:cs="Arial"/>
                <w:b/>
                <w:bCs/>
                <w:color w:val="FFFFFF"/>
                <w:sz w:val="16"/>
                <w:szCs w:val="16"/>
                <w:lang w:eastAsia="es-AR"/>
              </w:rPr>
            </w:pPr>
            <w:r w:rsidRPr="00613EB0">
              <w:rPr>
                <w:rFonts w:ascii="Arial" w:hAnsi="Arial" w:cs="Arial"/>
                <w:b/>
                <w:bCs/>
                <w:color w:val="FFFFFF"/>
                <w:sz w:val="16"/>
                <w:szCs w:val="16"/>
                <w:lang w:eastAsia="es-AR"/>
              </w:rPr>
              <w:t> </w:t>
            </w:r>
          </w:p>
        </w:tc>
      </w:tr>
      <w:tr w:rsidR="00DB7AF1" w:rsidRPr="00A70755" w14:paraId="2EA70643" w14:textId="77777777" w:rsidTr="002E2271">
        <w:trPr>
          <w:trHeight w:val="216"/>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50853B74" w14:textId="77777777" w:rsidR="00DB7AF1" w:rsidRPr="00613EB0" w:rsidRDefault="00DB7AF1" w:rsidP="002F65FB">
            <w:pPr>
              <w:jc w:val="both"/>
              <w:rPr>
                <w:rFonts w:ascii="Arial" w:hAnsi="Arial" w:cs="Arial"/>
                <w:color w:val="000000"/>
                <w:sz w:val="16"/>
                <w:szCs w:val="16"/>
                <w:lang w:eastAsia="es-AR"/>
              </w:rPr>
            </w:pPr>
            <w:r w:rsidRPr="00613EB0">
              <w:rPr>
                <w:rFonts w:ascii="Arial" w:hAnsi="Arial" w:cs="Arial"/>
                <w:color w:val="000000"/>
                <w:sz w:val="16"/>
                <w:szCs w:val="16"/>
                <w:lang w:eastAsia="es-AR"/>
              </w:rPr>
              <w:t>- Efectivo y depósitos en Bancos</w:t>
            </w:r>
          </w:p>
        </w:tc>
        <w:tc>
          <w:tcPr>
            <w:tcW w:w="1079" w:type="dxa"/>
            <w:tcBorders>
              <w:top w:val="nil"/>
              <w:left w:val="nil"/>
              <w:bottom w:val="single" w:sz="4" w:space="0" w:color="auto"/>
              <w:right w:val="single" w:sz="4" w:space="0" w:color="auto"/>
            </w:tcBorders>
            <w:shd w:val="clear" w:color="auto" w:fill="auto"/>
            <w:noWrap/>
            <w:vAlign w:val="bottom"/>
            <w:hideMark/>
          </w:tcPr>
          <w:p w14:paraId="2246AEBA" w14:textId="77777777" w:rsidR="00DB7AF1" w:rsidRPr="000B2F8E" w:rsidRDefault="00DB7AF1" w:rsidP="002F65FB">
            <w:pPr>
              <w:jc w:val="right"/>
              <w:rPr>
                <w:rFonts w:ascii="Arial" w:hAnsi="Arial" w:cs="Arial"/>
                <w:sz w:val="16"/>
                <w:szCs w:val="16"/>
              </w:rPr>
            </w:pPr>
            <w:r w:rsidRPr="000B2F8E">
              <w:rPr>
                <w:rFonts w:ascii="Arial" w:hAnsi="Arial" w:cs="Arial"/>
                <w:sz w:val="16"/>
                <w:szCs w:val="16"/>
              </w:rPr>
              <w:t xml:space="preserve"> 33.526.863 </w:t>
            </w:r>
          </w:p>
        </w:tc>
        <w:tc>
          <w:tcPr>
            <w:tcW w:w="1030" w:type="dxa"/>
            <w:tcBorders>
              <w:top w:val="nil"/>
              <w:left w:val="nil"/>
              <w:bottom w:val="single" w:sz="4" w:space="0" w:color="auto"/>
              <w:right w:val="single" w:sz="4" w:space="0" w:color="auto"/>
            </w:tcBorders>
            <w:shd w:val="clear" w:color="auto" w:fill="auto"/>
            <w:vAlign w:val="bottom"/>
            <w:hideMark/>
          </w:tcPr>
          <w:p w14:paraId="0CA9EA65"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33.526.863 </w:t>
            </w:r>
          </w:p>
        </w:tc>
        <w:tc>
          <w:tcPr>
            <w:tcW w:w="185" w:type="dxa"/>
            <w:tcBorders>
              <w:top w:val="nil"/>
              <w:left w:val="nil"/>
              <w:bottom w:val="single" w:sz="4" w:space="0" w:color="auto"/>
              <w:right w:val="single" w:sz="4" w:space="0" w:color="auto"/>
            </w:tcBorders>
            <w:shd w:val="clear" w:color="auto" w:fill="auto"/>
            <w:vAlign w:val="center"/>
            <w:hideMark/>
          </w:tcPr>
          <w:p w14:paraId="6D91C97B" w14:textId="77777777" w:rsidR="00DB7AF1" w:rsidRPr="00613EB0" w:rsidRDefault="00DB7AF1" w:rsidP="002F65F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959" w:type="dxa"/>
            <w:tcBorders>
              <w:top w:val="nil"/>
              <w:left w:val="nil"/>
              <w:bottom w:val="single" w:sz="4" w:space="0" w:color="auto"/>
              <w:right w:val="single" w:sz="4" w:space="0" w:color="auto"/>
            </w:tcBorders>
            <w:shd w:val="clear" w:color="auto" w:fill="auto"/>
            <w:vAlign w:val="bottom"/>
            <w:hideMark/>
          </w:tcPr>
          <w:p w14:paraId="0CEB54A5"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33.526.863 </w:t>
            </w:r>
          </w:p>
        </w:tc>
        <w:tc>
          <w:tcPr>
            <w:tcW w:w="959" w:type="dxa"/>
            <w:tcBorders>
              <w:top w:val="nil"/>
              <w:left w:val="nil"/>
              <w:bottom w:val="single" w:sz="4" w:space="0" w:color="auto"/>
              <w:right w:val="single" w:sz="4" w:space="0" w:color="auto"/>
            </w:tcBorders>
            <w:shd w:val="clear" w:color="auto" w:fill="auto"/>
            <w:vAlign w:val="bottom"/>
            <w:hideMark/>
          </w:tcPr>
          <w:p w14:paraId="3B1AF337"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color w:val="000000"/>
                <w:sz w:val="16"/>
                <w:szCs w:val="16"/>
                <w:lang w:eastAsia="es-AR"/>
              </w:rPr>
              <w:t>-</w:t>
            </w:r>
          </w:p>
        </w:tc>
        <w:tc>
          <w:tcPr>
            <w:tcW w:w="988" w:type="dxa"/>
            <w:tcBorders>
              <w:top w:val="nil"/>
              <w:left w:val="nil"/>
              <w:bottom w:val="single" w:sz="4" w:space="0" w:color="auto"/>
              <w:right w:val="single" w:sz="8" w:space="0" w:color="auto"/>
            </w:tcBorders>
            <w:shd w:val="clear" w:color="auto" w:fill="auto"/>
            <w:vAlign w:val="bottom"/>
            <w:hideMark/>
          </w:tcPr>
          <w:p w14:paraId="13F16471" w14:textId="77777777" w:rsidR="00DB7AF1" w:rsidRPr="00E74A5E" w:rsidRDefault="00DB7AF1" w:rsidP="002F65FB">
            <w:pPr>
              <w:jc w:val="right"/>
              <w:rPr>
                <w:rFonts w:ascii="Arial" w:hAnsi="Arial" w:cs="Arial"/>
                <w:color w:val="000000"/>
                <w:sz w:val="16"/>
                <w:szCs w:val="16"/>
                <w:lang w:eastAsia="es-AR"/>
              </w:rPr>
            </w:pPr>
            <w:r w:rsidRPr="00E74A5E">
              <w:rPr>
                <w:rFonts w:ascii="Arial" w:hAnsi="Arial" w:cs="Arial"/>
                <w:color w:val="000000"/>
                <w:sz w:val="16"/>
                <w:szCs w:val="16"/>
                <w:lang w:eastAsia="es-AR"/>
              </w:rPr>
              <w:t>-</w:t>
            </w:r>
          </w:p>
        </w:tc>
      </w:tr>
      <w:tr w:rsidR="00DB7AF1" w:rsidRPr="00A70755" w14:paraId="2F3138E0" w14:textId="77777777" w:rsidTr="002E2271">
        <w:trPr>
          <w:trHeight w:val="216"/>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58A80F8E" w14:textId="77777777" w:rsidR="00DB7AF1" w:rsidRPr="00613EB0" w:rsidRDefault="00DB7AF1" w:rsidP="002F65FB">
            <w:pPr>
              <w:jc w:val="both"/>
              <w:rPr>
                <w:rFonts w:ascii="Arial" w:hAnsi="Arial" w:cs="Arial"/>
                <w:color w:val="000000"/>
                <w:sz w:val="16"/>
                <w:szCs w:val="16"/>
                <w:lang w:eastAsia="es-AR"/>
              </w:rPr>
            </w:pPr>
            <w:r w:rsidRPr="00613EB0">
              <w:rPr>
                <w:rFonts w:ascii="Arial" w:hAnsi="Arial" w:cs="Arial"/>
                <w:color w:val="000000"/>
                <w:sz w:val="16"/>
                <w:szCs w:val="16"/>
                <w:lang w:eastAsia="es-AR"/>
              </w:rPr>
              <w:t>-Otros activos financieros</w:t>
            </w:r>
          </w:p>
        </w:tc>
        <w:tc>
          <w:tcPr>
            <w:tcW w:w="1079" w:type="dxa"/>
            <w:tcBorders>
              <w:top w:val="nil"/>
              <w:left w:val="nil"/>
              <w:bottom w:val="single" w:sz="4" w:space="0" w:color="auto"/>
              <w:right w:val="single" w:sz="4" w:space="0" w:color="auto"/>
            </w:tcBorders>
            <w:shd w:val="clear" w:color="auto" w:fill="auto"/>
            <w:noWrap/>
            <w:vAlign w:val="bottom"/>
            <w:hideMark/>
          </w:tcPr>
          <w:p w14:paraId="4269A4E9"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684.562 </w:t>
            </w:r>
          </w:p>
        </w:tc>
        <w:tc>
          <w:tcPr>
            <w:tcW w:w="1030" w:type="dxa"/>
            <w:tcBorders>
              <w:top w:val="nil"/>
              <w:left w:val="nil"/>
              <w:bottom w:val="single" w:sz="4" w:space="0" w:color="auto"/>
              <w:right w:val="single" w:sz="4" w:space="0" w:color="auto"/>
            </w:tcBorders>
            <w:shd w:val="clear" w:color="auto" w:fill="auto"/>
            <w:vAlign w:val="bottom"/>
            <w:hideMark/>
          </w:tcPr>
          <w:p w14:paraId="69E84ED1"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684.562 </w:t>
            </w:r>
          </w:p>
        </w:tc>
        <w:tc>
          <w:tcPr>
            <w:tcW w:w="185" w:type="dxa"/>
            <w:tcBorders>
              <w:top w:val="nil"/>
              <w:left w:val="nil"/>
              <w:bottom w:val="single" w:sz="4" w:space="0" w:color="auto"/>
              <w:right w:val="single" w:sz="4" w:space="0" w:color="auto"/>
            </w:tcBorders>
            <w:shd w:val="clear" w:color="auto" w:fill="auto"/>
            <w:vAlign w:val="center"/>
            <w:hideMark/>
          </w:tcPr>
          <w:p w14:paraId="10248F68" w14:textId="77777777" w:rsidR="00DB7AF1" w:rsidRPr="00613EB0" w:rsidRDefault="00DB7AF1" w:rsidP="002F65F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959" w:type="dxa"/>
            <w:tcBorders>
              <w:top w:val="nil"/>
              <w:left w:val="nil"/>
              <w:bottom w:val="single" w:sz="4" w:space="0" w:color="auto"/>
              <w:right w:val="single" w:sz="4" w:space="0" w:color="auto"/>
            </w:tcBorders>
            <w:shd w:val="clear" w:color="auto" w:fill="auto"/>
            <w:vAlign w:val="bottom"/>
            <w:hideMark/>
          </w:tcPr>
          <w:p w14:paraId="659E3656"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684.562 </w:t>
            </w:r>
          </w:p>
        </w:tc>
        <w:tc>
          <w:tcPr>
            <w:tcW w:w="959" w:type="dxa"/>
            <w:tcBorders>
              <w:top w:val="nil"/>
              <w:left w:val="nil"/>
              <w:bottom w:val="single" w:sz="4" w:space="0" w:color="auto"/>
              <w:right w:val="single" w:sz="4" w:space="0" w:color="auto"/>
            </w:tcBorders>
            <w:shd w:val="clear" w:color="auto" w:fill="auto"/>
            <w:vAlign w:val="bottom"/>
            <w:hideMark/>
          </w:tcPr>
          <w:p w14:paraId="01976BDF"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color w:val="000000"/>
                <w:sz w:val="16"/>
                <w:szCs w:val="16"/>
                <w:lang w:eastAsia="es-AR"/>
              </w:rPr>
              <w:t>-</w:t>
            </w:r>
          </w:p>
        </w:tc>
        <w:tc>
          <w:tcPr>
            <w:tcW w:w="988" w:type="dxa"/>
            <w:tcBorders>
              <w:top w:val="nil"/>
              <w:left w:val="nil"/>
              <w:bottom w:val="single" w:sz="4" w:space="0" w:color="auto"/>
              <w:right w:val="single" w:sz="8" w:space="0" w:color="auto"/>
            </w:tcBorders>
            <w:shd w:val="clear" w:color="auto" w:fill="auto"/>
            <w:vAlign w:val="bottom"/>
            <w:hideMark/>
          </w:tcPr>
          <w:p w14:paraId="2911E955" w14:textId="77777777" w:rsidR="00DB7AF1" w:rsidRPr="00E74A5E" w:rsidRDefault="00DB7AF1" w:rsidP="002F65FB">
            <w:pPr>
              <w:jc w:val="right"/>
              <w:rPr>
                <w:rFonts w:ascii="Arial" w:hAnsi="Arial" w:cs="Arial"/>
                <w:color w:val="000000"/>
                <w:sz w:val="16"/>
                <w:szCs w:val="16"/>
                <w:lang w:eastAsia="es-AR"/>
              </w:rPr>
            </w:pPr>
            <w:r w:rsidRPr="00E74A5E">
              <w:rPr>
                <w:rFonts w:ascii="Arial" w:hAnsi="Arial" w:cs="Arial"/>
                <w:color w:val="000000"/>
                <w:sz w:val="16"/>
                <w:szCs w:val="16"/>
                <w:lang w:eastAsia="es-AR"/>
              </w:rPr>
              <w:t>-</w:t>
            </w:r>
          </w:p>
        </w:tc>
      </w:tr>
      <w:tr w:rsidR="00DB7AF1" w:rsidRPr="00A70755" w14:paraId="1E557194" w14:textId="77777777" w:rsidTr="002E2271">
        <w:trPr>
          <w:trHeight w:val="216"/>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0E5FA3EF" w14:textId="77777777" w:rsidR="00DB7AF1" w:rsidRPr="00613EB0" w:rsidRDefault="00DB7AF1" w:rsidP="002F65FB">
            <w:pPr>
              <w:jc w:val="both"/>
              <w:rPr>
                <w:rFonts w:ascii="Arial" w:hAnsi="Arial" w:cs="Arial"/>
                <w:color w:val="000000"/>
                <w:sz w:val="16"/>
                <w:szCs w:val="16"/>
                <w:lang w:eastAsia="es-AR"/>
              </w:rPr>
            </w:pPr>
            <w:r w:rsidRPr="00613EB0">
              <w:rPr>
                <w:rFonts w:ascii="Arial" w:hAnsi="Arial" w:cs="Arial"/>
                <w:color w:val="000000"/>
                <w:sz w:val="16"/>
                <w:szCs w:val="16"/>
                <w:lang w:eastAsia="es-AR"/>
              </w:rPr>
              <w:t>-Préstamos y otras financiaciones</w:t>
            </w:r>
          </w:p>
        </w:tc>
        <w:tc>
          <w:tcPr>
            <w:tcW w:w="1079" w:type="dxa"/>
            <w:tcBorders>
              <w:top w:val="nil"/>
              <w:left w:val="nil"/>
              <w:bottom w:val="single" w:sz="4" w:space="0" w:color="auto"/>
              <w:right w:val="single" w:sz="4" w:space="0" w:color="auto"/>
            </w:tcBorders>
            <w:shd w:val="clear" w:color="auto" w:fill="auto"/>
            <w:noWrap/>
            <w:vAlign w:val="bottom"/>
            <w:hideMark/>
          </w:tcPr>
          <w:p w14:paraId="0620CCA6"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72.865.654 </w:t>
            </w:r>
          </w:p>
        </w:tc>
        <w:tc>
          <w:tcPr>
            <w:tcW w:w="1030" w:type="dxa"/>
            <w:tcBorders>
              <w:top w:val="nil"/>
              <w:left w:val="nil"/>
              <w:bottom w:val="single" w:sz="4" w:space="0" w:color="auto"/>
              <w:right w:val="single" w:sz="4" w:space="0" w:color="auto"/>
            </w:tcBorders>
            <w:shd w:val="clear" w:color="auto" w:fill="auto"/>
            <w:vAlign w:val="bottom"/>
            <w:hideMark/>
          </w:tcPr>
          <w:p w14:paraId="3357BCB5"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83.244.151 </w:t>
            </w:r>
          </w:p>
        </w:tc>
        <w:tc>
          <w:tcPr>
            <w:tcW w:w="185" w:type="dxa"/>
            <w:tcBorders>
              <w:top w:val="nil"/>
              <w:left w:val="nil"/>
              <w:bottom w:val="single" w:sz="4" w:space="0" w:color="auto"/>
              <w:right w:val="single" w:sz="4" w:space="0" w:color="auto"/>
            </w:tcBorders>
            <w:shd w:val="clear" w:color="auto" w:fill="auto"/>
            <w:vAlign w:val="center"/>
            <w:hideMark/>
          </w:tcPr>
          <w:p w14:paraId="47EF3705" w14:textId="77777777" w:rsidR="00DB7AF1" w:rsidRPr="00613EB0" w:rsidRDefault="00DB7AF1" w:rsidP="002F65F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959" w:type="dxa"/>
            <w:tcBorders>
              <w:top w:val="nil"/>
              <w:left w:val="nil"/>
              <w:bottom w:val="single" w:sz="4" w:space="0" w:color="auto"/>
              <w:right w:val="single" w:sz="4" w:space="0" w:color="auto"/>
            </w:tcBorders>
            <w:shd w:val="clear" w:color="auto" w:fill="auto"/>
            <w:vAlign w:val="bottom"/>
            <w:hideMark/>
          </w:tcPr>
          <w:p w14:paraId="3F1E930B"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   </w:t>
            </w:r>
          </w:p>
        </w:tc>
        <w:tc>
          <w:tcPr>
            <w:tcW w:w="959" w:type="dxa"/>
            <w:tcBorders>
              <w:top w:val="nil"/>
              <w:left w:val="nil"/>
              <w:bottom w:val="single" w:sz="4" w:space="0" w:color="auto"/>
              <w:right w:val="single" w:sz="4" w:space="0" w:color="auto"/>
            </w:tcBorders>
            <w:shd w:val="clear" w:color="auto" w:fill="auto"/>
            <w:vAlign w:val="bottom"/>
            <w:hideMark/>
          </w:tcPr>
          <w:p w14:paraId="12FBF573" w14:textId="77777777" w:rsidR="00DB7AF1" w:rsidRPr="00893B68" w:rsidRDefault="00DB7AF1" w:rsidP="002F65FB">
            <w:pPr>
              <w:jc w:val="right"/>
              <w:rPr>
                <w:rFonts w:ascii="Arial" w:hAnsi="Arial" w:cs="Arial"/>
                <w:color w:val="000000"/>
                <w:sz w:val="16"/>
                <w:szCs w:val="16"/>
                <w:lang w:eastAsia="es-AR"/>
              </w:rPr>
            </w:pPr>
          </w:p>
        </w:tc>
        <w:tc>
          <w:tcPr>
            <w:tcW w:w="988" w:type="dxa"/>
            <w:tcBorders>
              <w:top w:val="nil"/>
              <w:left w:val="nil"/>
              <w:bottom w:val="single" w:sz="4" w:space="0" w:color="auto"/>
              <w:right w:val="single" w:sz="8" w:space="0" w:color="auto"/>
            </w:tcBorders>
            <w:shd w:val="clear" w:color="auto" w:fill="auto"/>
            <w:vAlign w:val="bottom"/>
            <w:hideMark/>
          </w:tcPr>
          <w:p w14:paraId="6703F832" w14:textId="77777777" w:rsidR="00DB7AF1" w:rsidRPr="00E74A5E" w:rsidRDefault="00DB7AF1" w:rsidP="002F65FB">
            <w:pPr>
              <w:jc w:val="right"/>
              <w:rPr>
                <w:rFonts w:ascii="Arial" w:hAnsi="Arial" w:cs="Arial"/>
                <w:color w:val="000000"/>
                <w:sz w:val="16"/>
                <w:szCs w:val="16"/>
                <w:lang w:eastAsia="es-AR"/>
              </w:rPr>
            </w:pPr>
            <w:r w:rsidRPr="00E74A5E">
              <w:rPr>
                <w:rFonts w:ascii="Arial" w:hAnsi="Arial" w:cs="Arial"/>
                <w:sz w:val="16"/>
                <w:szCs w:val="16"/>
              </w:rPr>
              <w:t xml:space="preserve"> 83.244.151 </w:t>
            </w:r>
          </w:p>
        </w:tc>
      </w:tr>
      <w:tr w:rsidR="00DB7AF1" w:rsidRPr="00A70755" w14:paraId="273EFDD0" w14:textId="77777777" w:rsidTr="002E2271">
        <w:trPr>
          <w:trHeight w:val="216"/>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4EF30552" w14:textId="77777777" w:rsidR="00DB7AF1" w:rsidRPr="00613EB0" w:rsidRDefault="00DB7AF1" w:rsidP="002F65FB">
            <w:pPr>
              <w:jc w:val="both"/>
              <w:rPr>
                <w:rFonts w:ascii="Arial" w:hAnsi="Arial" w:cs="Arial"/>
                <w:color w:val="000000"/>
                <w:sz w:val="16"/>
                <w:szCs w:val="16"/>
                <w:lang w:eastAsia="es-AR"/>
              </w:rPr>
            </w:pPr>
            <w:r w:rsidRPr="00613EB0">
              <w:rPr>
                <w:rFonts w:ascii="Arial" w:hAnsi="Arial" w:cs="Arial"/>
                <w:color w:val="000000"/>
                <w:sz w:val="16"/>
                <w:szCs w:val="16"/>
                <w:lang w:eastAsia="es-AR"/>
              </w:rPr>
              <w:t>- Otros Títulos de Deuda</w:t>
            </w:r>
          </w:p>
        </w:tc>
        <w:tc>
          <w:tcPr>
            <w:tcW w:w="1079" w:type="dxa"/>
            <w:tcBorders>
              <w:top w:val="nil"/>
              <w:left w:val="nil"/>
              <w:bottom w:val="single" w:sz="4" w:space="0" w:color="auto"/>
              <w:right w:val="single" w:sz="4" w:space="0" w:color="auto"/>
            </w:tcBorders>
            <w:shd w:val="clear" w:color="auto" w:fill="auto"/>
            <w:noWrap/>
            <w:vAlign w:val="bottom"/>
            <w:hideMark/>
          </w:tcPr>
          <w:p w14:paraId="5C1FEA5D"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4.134.461 </w:t>
            </w:r>
          </w:p>
        </w:tc>
        <w:tc>
          <w:tcPr>
            <w:tcW w:w="1030" w:type="dxa"/>
            <w:tcBorders>
              <w:top w:val="nil"/>
              <w:left w:val="nil"/>
              <w:bottom w:val="single" w:sz="4" w:space="0" w:color="auto"/>
              <w:right w:val="single" w:sz="4" w:space="0" w:color="auto"/>
            </w:tcBorders>
            <w:shd w:val="clear" w:color="auto" w:fill="auto"/>
            <w:vAlign w:val="bottom"/>
            <w:hideMark/>
          </w:tcPr>
          <w:p w14:paraId="4F6EC7E1"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4.139.624 </w:t>
            </w:r>
          </w:p>
        </w:tc>
        <w:tc>
          <w:tcPr>
            <w:tcW w:w="185" w:type="dxa"/>
            <w:tcBorders>
              <w:top w:val="nil"/>
              <w:left w:val="nil"/>
              <w:bottom w:val="single" w:sz="4" w:space="0" w:color="auto"/>
              <w:right w:val="single" w:sz="4" w:space="0" w:color="auto"/>
            </w:tcBorders>
            <w:shd w:val="clear" w:color="auto" w:fill="auto"/>
            <w:vAlign w:val="center"/>
            <w:hideMark/>
          </w:tcPr>
          <w:p w14:paraId="67F6D143" w14:textId="77777777" w:rsidR="00DB7AF1" w:rsidRPr="00613EB0" w:rsidRDefault="00DB7AF1" w:rsidP="002F65F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959" w:type="dxa"/>
            <w:tcBorders>
              <w:top w:val="nil"/>
              <w:left w:val="nil"/>
              <w:bottom w:val="single" w:sz="4" w:space="0" w:color="auto"/>
              <w:right w:val="single" w:sz="4" w:space="0" w:color="auto"/>
            </w:tcBorders>
            <w:shd w:val="clear" w:color="auto" w:fill="auto"/>
            <w:vAlign w:val="bottom"/>
            <w:hideMark/>
          </w:tcPr>
          <w:p w14:paraId="02C6DEF8"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4.139.624 </w:t>
            </w:r>
          </w:p>
        </w:tc>
        <w:tc>
          <w:tcPr>
            <w:tcW w:w="959" w:type="dxa"/>
            <w:tcBorders>
              <w:top w:val="nil"/>
              <w:left w:val="nil"/>
              <w:bottom w:val="single" w:sz="4" w:space="0" w:color="auto"/>
              <w:right w:val="single" w:sz="4" w:space="0" w:color="auto"/>
            </w:tcBorders>
            <w:shd w:val="clear" w:color="auto" w:fill="auto"/>
            <w:vAlign w:val="bottom"/>
            <w:hideMark/>
          </w:tcPr>
          <w:p w14:paraId="22648B97"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color w:val="000000"/>
                <w:sz w:val="16"/>
                <w:szCs w:val="16"/>
                <w:lang w:eastAsia="es-AR"/>
              </w:rPr>
              <w:t>-</w:t>
            </w:r>
          </w:p>
        </w:tc>
        <w:tc>
          <w:tcPr>
            <w:tcW w:w="988" w:type="dxa"/>
            <w:tcBorders>
              <w:top w:val="nil"/>
              <w:left w:val="nil"/>
              <w:bottom w:val="single" w:sz="4" w:space="0" w:color="auto"/>
              <w:right w:val="single" w:sz="8" w:space="0" w:color="auto"/>
            </w:tcBorders>
            <w:shd w:val="clear" w:color="auto" w:fill="auto"/>
            <w:vAlign w:val="bottom"/>
            <w:hideMark/>
          </w:tcPr>
          <w:p w14:paraId="064BDBE1" w14:textId="77777777" w:rsidR="00DB7AF1" w:rsidRPr="00E74A5E" w:rsidRDefault="00DB7AF1" w:rsidP="002F65FB">
            <w:pPr>
              <w:jc w:val="right"/>
              <w:rPr>
                <w:rFonts w:ascii="Arial" w:hAnsi="Arial" w:cs="Arial"/>
                <w:color w:val="000000"/>
                <w:sz w:val="16"/>
                <w:szCs w:val="16"/>
                <w:lang w:eastAsia="es-AR"/>
              </w:rPr>
            </w:pPr>
            <w:r w:rsidRPr="00E74A5E">
              <w:rPr>
                <w:rFonts w:ascii="Arial" w:hAnsi="Arial" w:cs="Arial"/>
                <w:color w:val="000000"/>
                <w:sz w:val="16"/>
                <w:szCs w:val="16"/>
                <w:lang w:eastAsia="es-AR"/>
              </w:rPr>
              <w:t>-</w:t>
            </w:r>
          </w:p>
        </w:tc>
      </w:tr>
      <w:tr w:rsidR="00DB7AF1" w:rsidRPr="00A70755" w14:paraId="774E9F4F" w14:textId="77777777" w:rsidTr="002E2271">
        <w:trPr>
          <w:trHeight w:val="226"/>
        </w:trPr>
        <w:tc>
          <w:tcPr>
            <w:tcW w:w="4192"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369BDB72" w14:textId="77777777" w:rsidR="00DB7AF1" w:rsidRPr="00613EB0" w:rsidRDefault="00DB7AF1" w:rsidP="002F65FB">
            <w:pPr>
              <w:rPr>
                <w:rFonts w:ascii="Arial" w:hAnsi="Arial" w:cs="Arial"/>
                <w:b/>
                <w:color w:val="000000"/>
                <w:sz w:val="16"/>
                <w:szCs w:val="16"/>
                <w:lang w:eastAsia="es-AR"/>
              </w:rPr>
            </w:pPr>
          </w:p>
        </w:tc>
        <w:tc>
          <w:tcPr>
            <w:tcW w:w="1079" w:type="dxa"/>
            <w:tcBorders>
              <w:top w:val="single" w:sz="8" w:space="0" w:color="auto"/>
              <w:left w:val="nil"/>
              <w:bottom w:val="single" w:sz="8" w:space="0" w:color="auto"/>
              <w:right w:val="single" w:sz="4" w:space="0" w:color="auto"/>
            </w:tcBorders>
            <w:shd w:val="clear" w:color="000000" w:fill="EDEDED"/>
            <w:noWrap/>
            <w:vAlign w:val="bottom"/>
            <w:hideMark/>
          </w:tcPr>
          <w:p w14:paraId="143E77D0" w14:textId="7C757C6B" w:rsidR="00DB7AF1" w:rsidRPr="000B2F8E" w:rsidRDefault="00DB7AF1" w:rsidP="006B3790">
            <w:pPr>
              <w:jc w:val="right"/>
              <w:rPr>
                <w:rFonts w:ascii="Arial" w:hAnsi="Arial" w:cs="Arial"/>
                <w:b/>
                <w:bCs/>
                <w:color w:val="000000"/>
                <w:sz w:val="16"/>
                <w:szCs w:val="16"/>
                <w:lang w:eastAsia="es-AR"/>
              </w:rPr>
            </w:pPr>
            <w:r w:rsidRPr="000B2F8E">
              <w:rPr>
                <w:rFonts w:ascii="Arial" w:hAnsi="Arial" w:cs="Arial"/>
                <w:b/>
                <w:sz w:val="16"/>
                <w:szCs w:val="16"/>
              </w:rPr>
              <w:t>111.211.540</w:t>
            </w:r>
          </w:p>
        </w:tc>
        <w:tc>
          <w:tcPr>
            <w:tcW w:w="1030" w:type="dxa"/>
            <w:tcBorders>
              <w:top w:val="single" w:sz="8" w:space="0" w:color="auto"/>
              <w:left w:val="nil"/>
              <w:bottom w:val="single" w:sz="8" w:space="0" w:color="auto"/>
              <w:right w:val="single" w:sz="4" w:space="0" w:color="auto"/>
            </w:tcBorders>
            <w:shd w:val="clear" w:color="000000" w:fill="EDEDED"/>
            <w:noWrap/>
            <w:vAlign w:val="bottom"/>
            <w:hideMark/>
          </w:tcPr>
          <w:p w14:paraId="3B872068" w14:textId="3AFBDFD3" w:rsidR="00DB7AF1" w:rsidRPr="00893B68" w:rsidRDefault="00DB7AF1" w:rsidP="006B3790">
            <w:pPr>
              <w:jc w:val="right"/>
              <w:rPr>
                <w:rFonts w:ascii="Arial" w:hAnsi="Arial" w:cs="Arial"/>
                <w:b/>
                <w:bCs/>
                <w:color w:val="000000"/>
                <w:sz w:val="16"/>
                <w:szCs w:val="16"/>
                <w:lang w:eastAsia="es-AR"/>
              </w:rPr>
            </w:pPr>
            <w:r w:rsidRPr="00893B68">
              <w:rPr>
                <w:rFonts w:ascii="Arial" w:hAnsi="Arial" w:cs="Arial"/>
                <w:b/>
                <w:sz w:val="16"/>
                <w:szCs w:val="16"/>
              </w:rPr>
              <w:t>121.595.200</w:t>
            </w:r>
          </w:p>
        </w:tc>
        <w:tc>
          <w:tcPr>
            <w:tcW w:w="185" w:type="dxa"/>
            <w:tcBorders>
              <w:top w:val="single" w:sz="8" w:space="0" w:color="auto"/>
              <w:left w:val="nil"/>
              <w:bottom w:val="single" w:sz="8" w:space="0" w:color="auto"/>
              <w:right w:val="single" w:sz="4" w:space="0" w:color="auto"/>
            </w:tcBorders>
            <w:shd w:val="clear" w:color="000000" w:fill="EDEDED"/>
            <w:noWrap/>
            <w:vAlign w:val="center"/>
            <w:hideMark/>
          </w:tcPr>
          <w:p w14:paraId="49F31850" w14:textId="6BC678B7" w:rsidR="00DB7AF1" w:rsidRPr="00613EB0" w:rsidRDefault="00DB7AF1" w:rsidP="006B3790">
            <w:pPr>
              <w:jc w:val="right"/>
              <w:rPr>
                <w:rFonts w:ascii="Arial" w:hAnsi="Arial" w:cs="Arial"/>
                <w:b/>
                <w:bCs/>
                <w:color w:val="000000"/>
                <w:sz w:val="16"/>
                <w:szCs w:val="16"/>
                <w:lang w:eastAsia="es-AR"/>
              </w:rPr>
            </w:pPr>
          </w:p>
        </w:tc>
        <w:tc>
          <w:tcPr>
            <w:tcW w:w="959" w:type="dxa"/>
            <w:tcBorders>
              <w:top w:val="single" w:sz="8" w:space="0" w:color="auto"/>
              <w:left w:val="nil"/>
              <w:bottom w:val="single" w:sz="8" w:space="0" w:color="auto"/>
              <w:right w:val="single" w:sz="4" w:space="0" w:color="auto"/>
            </w:tcBorders>
            <w:shd w:val="clear" w:color="000000" w:fill="EDEDED"/>
            <w:noWrap/>
            <w:vAlign w:val="bottom"/>
            <w:hideMark/>
          </w:tcPr>
          <w:p w14:paraId="0DF8896F" w14:textId="26AC3AED" w:rsidR="00DB7AF1" w:rsidRPr="000B2F8E" w:rsidRDefault="00DB7AF1" w:rsidP="006B3790">
            <w:pPr>
              <w:jc w:val="right"/>
              <w:rPr>
                <w:rFonts w:ascii="Arial" w:hAnsi="Arial" w:cs="Arial"/>
                <w:b/>
                <w:bCs/>
                <w:color w:val="000000"/>
                <w:sz w:val="16"/>
                <w:szCs w:val="16"/>
                <w:lang w:eastAsia="es-AR"/>
              </w:rPr>
            </w:pPr>
            <w:r w:rsidRPr="000B2F8E">
              <w:rPr>
                <w:rFonts w:ascii="Arial" w:hAnsi="Arial" w:cs="Arial"/>
                <w:b/>
                <w:sz w:val="16"/>
                <w:szCs w:val="16"/>
              </w:rPr>
              <w:t>38.351.049</w:t>
            </w:r>
          </w:p>
        </w:tc>
        <w:tc>
          <w:tcPr>
            <w:tcW w:w="959" w:type="dxa"/>
            <w:tcBorders>
              <w:top w:val="single" w:sz="8" w:space="0" w:color="auto"/>
              <w:left w:val="nil"/>
              <w:bottom w:val="single" w:sz="8" w:space="0" w:color="auto"/>
              <w:right w:val="single" w:sz="4" w:space="0" w:color="auto"/>
            </w:tcBorders>
            <w:shd w:val="clear" w:color="000000" w:fill="EDEDED"/>
            <w:noWrap/>
            <w:vAlign w:val="bottom"/>
            <w:hideMark/>
          </w:tcPr>
          <w:p w14:paraId="12BD2F09" w14:textId="70D61BCD" w:rsidR="00DB7AF1" w:rsidRPr="00893B68" w:rsidRDefault="00DB7AF1" w:rsidP="006B3790">
            <w:pPr>
              <w:jc w:val="right"/>
              <w:rPr>
                <w:rFonts w:ascii="Arial" w:hAnsi="Arial" w:cs="Arial"/>
                <w:b/>
                <w:bCs/>
                <w:color w:val="000000"/>
                <w:sz w:val="16"/>
                <w:szCs w:val="16"/>
                <w:lang w:eastAsia="es-AR"/>
              </w:rPr>
            </w:pPr>
            <w:r w:rsidRPr="00893B68">
              <w:rPr>
                <w:rFonts w:ascii="Arial" w:hAnsi="Arial" w:cs="Arial"/>
                <w:b/>
                <w:sz w:val="16"/>
                <w:szCs w:val="16"/>
              </w:rPr>
              <w:t>-</w:t>
            </w:r>
          </w:p>
        </w:tc>
        <w:tc>
          <w:tcPr>
            <w:tcW w:w="988" w:type="dxa"/>
            <w:tcBorders>
              <w:top w:val="single" w:sz="8" w:space="0" w:color="auto"/>
              <w:left w:val="nil"/>
              <w:bottom w:val="single" w:sz="8" w:space="0" w:color="auto"/>
              <w:right w:val="single" w:sz="8" w:space="0" w:color="auto"/>
            </w:tcBorders>
            <w:shd w:val="clear" w:color="000000" w:fill="EDEDED"/>
            <w:noWrap/>
            <w:vAlign w:val="bottom"/>
            <w:hideMark/>
          </w:tcPr>
          <w:p w14:paraId="7EC21939" w14:textId="43A2895B" w:rsidR="00DB7AF1" w:rsidRPr="00E74A5E" w:rsidRDefault="00DB7AF1" w:rsidP="006B3790">
            <w:pPr>
              <w:jc w:val="right"/>
              <w:rPr>
                <w:rFonts w:ascii="Arial" w:hAnsi="Arial" w:cs="Arial"/>
                <w:b/>
                <w:bCs/>
                <w:color w:val="000000"/>
                <w:sz w:val="16"/>
                <w:szCs w:val="16"/>
                <w:lang w:eastAsia="es-AR"/>
              </w:rPr>
            </w:pPr>
            <w:r w:rsidRPr="00E74A5E">
              <w:rPr>
                <w:rFonts w:ascii="Arial" w:hAnsi="Arial" w:cs="Arial"/>
                <w:b/>
                <w:sz w:val="16"/>
                <w:szCs w:val="16"/>
              </w:rPr>
              <w:t>83.244.151</w:t>
            </w:r>
          </w:p>
        </w:tc>
      </w:tr>
      <w:tr w:rsidR="00DB7AF1" w:rsidRPr="00A70755" w14:paraId="2CE9DB65" w14:textId="77777777" w:rsidTr="002E2271">
        <w:trPr>
          <w:trHeight w:val="216"/>
        </w:trPr>
        <w:tc>
          <w:tcPr>
            <w:tcW w:w="4192" w:type="dxa"/>
            <w:tcBorders>
              <w:top w:val="nil"/>
              <w:left w:val="single" w:sz="8" w:space="0" w:color="auto"/>
              <w:bottom w:val="single" w:sz="4" w:space="0" w:color="auto"/>
              <w:right w:val="nil"/>
            </w:tcBorders>
            <w:shd w:val="clear" w:color="000000" w:fill="EDEDED"/>
            <w:noWrap/>
            <w:vAlign w:val="center"/>
            <w:hideMark/>
          </w:tcPr>
          <w:p w14:paraId="1E42806E" w14:textId="77777777" w:rsidR="00DB7AF1" w:rsidRPr="00613EB0" w:rsidRDefault="00DB7AF1" w:rsidP="002F65FB">
            <w:pPr>
              <w:jc w:val="both"/>
              <w:rPr>
                <w:rFonts w:ascii="Arial" w:hAnsi="Arial" w:cs="Arial"/>
                <w:b/>
                <w:bCs/>
                <w:i/>
                <w:iCs/>
                <w:color w:val="000000"/>
                <w:sz w:val="16"/>
                <w:szCs w:val="16"/>
                <w:lang w:eastAsia="es-AR"/>
              </w:rPr>
            </w:pPr>
            <w:r w:rsidRPr="00613EB0">
              <w:rPr>
                <w:rFonts w:ascii="Arial" w:hAnsi="Arial" w:cs="Arial"/>
                <w:b/>
                <w:bCs/>
                <w:i/>
                <w:iCs/>
                <w:color w:val="000000"/>
                <w:sz w:val="16"/>
                <w:szCs w:val="16"/>
                <w:lang w:eastAsia="es-AR"/>
              </w:rPr>
              <w:t>Pasivos Financieros</w:t>
            </w:r>
          </w:p>
        </w:tc>
        <w:tc>
          <w:tcPr>
            <w:tcW w:w="1079" w:type="dxa"/>
            <w:tcBorders>
              <w:top w:val="nil"/>
              <w:left w:val="nil"/>
              <w:bottom w:val="single" w:sz="4" w:space="0" w:color="auto"/>
              <w:right w:val="nil"/>
            </w:tcBorders>
            <w:shd w:val="clear" w:color="000000" w:fill="EDEDED"/>
            <w:noWrap/>
            <w:vAlign w:val="bottom"/>
            <w:hideMark/>
          </w:tcPr>
          <w:p w14:paraId="7845B0A2" w14:textId="77777777" w:rsidR="00DB7AF1" w:rsidRPr="00A70755" w:rsidRDefault="00DB7AF1" w:rsidP="002F65FB">
            <w:pPr>
              <w:jc w:val="right"/>
              <w:rPr>
                <w:rFonts w:ascii="Arial" w:hAnsi="Arial" w:cs="Arial"/>
                <w:b/>
                <w:bCs/>
                <w:i/>
                <w:iCs/>
                <w:color w:val="000000"/>
                <w:sz w:val="16"/>
                <w:szCs w:val="16"/>
                <w:lang w:eastAsia="es-AR"/>
              </w:rPr>
            </w:pPr>
          </w:p>
        </w:tc>
        <w:tc>
          <w:tcPr>
            <w:tcW w:w="1030" w:type="dxa"/>
            <w:tcBorders>
              <w:top w:val="nil"/>
              <w:left w:val="nil"/>
              <w:bottom w:val="single" w:sz="4" w:space="0" w:color="auto"/>
              <w:right w:val="nil"/>
            </w:tcBorders>
            <w:shd w:val="clear" w:color="000000" w:fill="EDEDED"/>
            <w:vAlign w:val="bottom"/>
            <w:hideMark/>
          </w:tcPr>
          <w:p w14:paraId="24962B4B" w14:textId="77777777" w:rsidR="00DB7AF1" w:rsidRPr="00A70755" w:rsidRDefault="00DB7AF1" w:rsidP="002F65FB">
            <w:pPr>
              <w:jc w:val="right"/>
              <w:rPr>
                <w:rFonts w:ascii="Arial" w:hAnsi="Arial" w:cs="Arial"/>
                <w:b/>
                <w:bCs/>
                <w:i/>
                <w:iCs/>
                <w:color w:val="000000"/>
                <w:sz w:val="16"/>
                <w:szCs w:val="16"/>
                <w:lang w:eastAsia="es-AR"/>
              </w:rPr>
            </w:pPr>
          </w:p>
        </w:tc>
        <w:tc>
          <w:tcPr>
            <w:tcW w:w="185" w:type="dxa"/>
            <w:tcBorders>
              <w:top w:val="nil"/>
              <w:left w:val="nil"/>
              <w:bottom w:val="single" w:sz="4" w:space="0" w:color="auto"/>
              <w:right w:val="nil"/>
            </w:tcBorders>
            <w:shd w:val="clear" w:color="000000" w:fill="EDEDED"/>
            <w:vAlign w:val="center"/>
            <w:hideMark/>
          </w:tcPr>
          <w:p w14:paraId="30079A37" w14:textId="77777777" w:rsidR="00DB7AF1" w:rsidRPr="00613EB0" w:rsidRDefault="00DB7AF1" w:rsidP="002F65FB">
            <w:pPr>
              <w:jc w:val="right"/>
              <w:rPr>
                <w:rFonts w:ascii="Arial" w:hAnsi="Arial" w:cs="Arial"/>
                <w:b/>
                <w:bCs/>
                <w:i/>
                <w:iCs/>
                <w:color w:val="000000"/>
                <w:sz w:val="16"/>
                <w:szCs w:val="16"/>
                <w:lang w:eastAsia="es-AR"/>
              </w:rPr>
            </w:pPr>
            <w:r w:rsidRPr="00613EB0">
              <w:rPr>
                <w:rFonts w:ascii="Arial" w:hAnsi="Arial" w:cs="Arial"/>
                <w:b/>
                <w:bCs/>
                <w:i/>
                <w:iCs/>
                <w:color w:val="000000"/>
                <w:sz w:val="16"/>
                <w:szCs w:val="16"/>
                <w:lang w:eastAsia="es-AR"/>
              </w:rPr>
              <w:t> </w:t>
            </w:r>
          </w:p>
        </w:tc>
        <w:tc>
          <w:tcPr>
            <w:tcW w:w="959" w:type="dxa"/>
            <w:tcBorders>
              <w:top w:val="nil"/>
              <w:left w:val="nil"/>
              <w:bottom w:val="single" w:sz="4" w:space="0" w:color="auto"/>
              <w:right w:val="nil"/>
            </w:tcBorders>
            <w:shd w:val="clear" w:color="000000" w:fill="EDEDED"/>
            <w:vAlign w:val="bottom"/>
            <w:hideMark/>
          </w:tcPr>
          <w:p w14:paraId="2EB3EBC6" w14:textId="77777777" w:rsidR="00DB7AF1" w:rsidRPr="00A70755" w:rsidRDefault="00DB7AF1" w:rsidP="002F65FB">
            <w:pPr>
              <w:jc w:val="right"/>
              <w:rPr>
                <w:rFonts w:ascii="Arial" w:hAnsi="Arial" w:cs="Arial"/>
                <w:b/>
                <w:bCs/>
                <w:i/>
                <w:iCs/>
                <w:color w:val="000000"/>
                <w:sz w:val="16"/>
                <w:szCs w:val="16"/>
                <w:lang w:eastAsia="es-AR"/>
              </w:rPr>
            </w:pPr>
          </w:p>
        </w:tc>
        <w:tc>
          <w:tcPr>
            <w:tcW w:w="959" w:type="dxa"/>
            <w:tcBorders>
              <w:top w:val="nil"/>
              <w:left w:val="nil"/>
              <w:bottom w:val="single" w:sz="4" w:space="0" w:color="auto"/>
              <w:right w:val="nil"/>
            </w:tcBorders>
            <w:shd w:val="clear" w:color="000000" w:fill="EDEDED"/>
            <w:vAlign w:val="bottom"/>
            <w:hideMark/>
          </w:tcPr>
          <w:p w14:paraId="4768E2D2" w14:textId="77777777" w:rsidR="00DB7AF1" w:rsidRPr="00A70755" w:rsidRDefault="00DB7AF1" w:rsidP="002F65FB">
            <w:pPr>
              <w:jc w:val="right"/>
              <w:rPr>
                <w:rFonts w:ascii="Arial" w:hAnsi="Arial" w:cs="Arial"/>
                <w:b/>
                <w:bCs/>
                <w:i/>
                <w:iCs/>
                <w:color w:val="000000"/>
                <w:sz w:val="16"/>
                <w:szCs w:val="16"/>
                <w:lang w:eastAsia="es-AR"/>
              </w:rPr>
            </w:pPr>
          </w:p>
        </w:tc>
        <w:tc>
          <w:tcPr>
            <w:tcW w:w="988" w:type="dxa"/>
            <w:tcBorders>
              <w:top w:val="nil"/>
              <w:left w:val="nil"/>
              <w:bottom w:val="single" w:sz="4" w:space="0" w:color="auto"/>
              <w:right w:val="single" w:sz="8" w:space="0" w:color="auto"/>
            </w:tcBorders>
            <w:shd w:val="clear" w:color="000000" w:fill="EDEDED"/>
            <w:vAlign w:val="bottom"/>
            <w:hideMark/>
          </w:tcPr>
          <w:p w14:paraId="1DD26E9A" w14:textId="77777777" w:rsidR="00DB7AF1" w:rsidRPr="00A70755" w:rsidRDefault="00DB7AF1" w:rsidP="002F65FB">
            <w:pPr>
              <w:jc w:val="right"/>
              <w:rPr>
                <w:rFonts w:ascii="Arial" w:hAnsi="Arial" w:cs="Arial"/>
                <w:b/>
                <w:bCs/>
                <w:i/>
                <w:iCs/>
                <w:color w:val="000000"/>
                <w:sz w:val="16"/>
                <w:szCs w:val="16"/>
                <w:lang w:eastAsia="es-AR"/>
              </w:rPr>
            </w:pPr>
          </w:p>
        </w:tc>
      </w:tr>
      <w:tr w:rsidR="00DB7AF1" w:rsidRPr="00A70755" w14:paraId="6491147A" w14:textId="77777777" w:rsidTr="002E2271">
        <w:trPr>
          <w:trHeight w:val="216"/>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2292762E" w14:textId="77777777" w:rsidR="00DB7AF1" w:rsidRPr="00613EB0" w:rsidRDefault="00DB7AF1" w:rsidP="002F65FB">
            <w:pPr>
              <w:jc w:val="both"/>
              <w:rPr>
                <w:rFonts w:ascii="Arial" w:hAnsi="Arial" w:cs="Arial"/>
                <w:color w:val="000000"/>
                <w:sz w:val="16"/>
                <w:szCs w:val="16"/>
                <w:lang w:eastAsia="es-AR"/>
              </w:rPr>
            </w:pPr>
            <w:r w:rsidRPr="00613EB0">
              <w:rPr>
                <w:rFonts w:ascii="Arial" w:hAnsi="Arial" w:cs="Arial"/>
                <w:color w:val="000000"/>
                <w:sz w:val="16"/>
                <w:szCs w:val="16"/>
                <w:lang w:eastAsia="es-AR"/>
              </w:rPr>
              <w:t>-Depósitos</w:t>
            </w:r>
          </w:p>
        </w:tc>
        <w:tc>
          <w:tcPr>
            <w:tcW w:w="1079" w:type="dxa"/>
            <w:tcBorders>
              <w:top w:val="nil"/>
              <w:left w:val="nil"/>
              <w:bottom w:val="single" w:sz="4" w:space="0" w:color="auto"/>
              <w:right w:val="single" w:sz="4" w:space="0" w:color="auto"/>
            </w:tcBorders>
            <w:shd w:val="clear" w:color="auto" w:fill="auto"/>
            <w:noWrap/>
            <w:vAlign w:val="bottom"/>
            <w:hideMark/>
          </w:tcPr>
          <w:p w14:paraId="67CC76EF"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94.025.078 </w:t>
            </w:r>
          </w:p>
        </w:tc>
        <w:tc>
          <w:tcPr>
            <w:tcW w:w="1030" w:type="dxa"/>
            <w:tcBorders>
              <w:top w:val="nil"/>
              <w:left w:val="nil"/>
              <w:bottom w:val="single" w:sz="4" w:space="0" w:color="auto"/>
              <w:right w:val="single" w:sz="4" w:space="0" w:color="auto"/>
            </w:tcBorders>
            <w:shd w:val="clear" w:color="auto" w:fill="auto"/>
            <w:vAlign w:val="bottom"/>
            <w:hideMark/>
          </w:tcPr>
          <w:p w14:paraId="29FB9FD1"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93.822.969 </w:t>
            </w:r>
          </w:p>
        </w:tc>
        <w:tc>
          <w:tcPr>
            <w:tcW w:w="185" w:type="dxa"/>
            <w:tcBorders>
              <w:top w:val="nil"/>
              <w:left w:val="nil"/>
              <w:bottom w:val="single" w:sz="4" w:space="0" w:color="auto"/>
              <w:right w:val="single" w:sz="4" w:space="0" w:color="auto"/>
            </w:tcBorders>
            <w:shd w:val="clear" w:color="auto" w:fill="auto"/>
            <w:vAlign w:val="center"/>
            <w:hideMark/>
          </w:tcPr>
          <w:p w14:paraId="352EEB78" w14:textId="77777777" w:rsidR="00DB7AF1" w:rsidRPr="00613EB0" w:rsidRDefault="00DB7AF1" w:rsidP="002F65F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959" w:type="dxa"/>
            <w:tcBorders>
              <w:top w:val="nil"/>
              <w:left w:val="nil"/>
              <w:bottom w:val="single" w:sz="4" w:space="0" w:color="auto"/>
              <w:right w:val="single" w:sz="4" w:space="0" w:color="auto"/>
            </w:tcBorders>
            <w:shd w:val="clear" w:color="auto" w:fill="auto"/>
            <w:noWrap/>
            <w:vAlign w:val="bottom"/>
            <w:hideMark/>
          </w:tcPr>
          <w:p w14:paraId="640C2C90"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   </w:t>
            </w:r>
          </w:p>
        </w:tc>
        <w:tc>
          <w:tcPr>
            <w:tcW w:w="959" w:type="dxa"/>
            <w:tcBorders>
              <w:top w:val="nil"/>
              <w:left w:val="nil"/>
              <w:bottom w:val="single" w:sz="4" w:space="0" w:color="auto"/>
              <w:right w:val="single" w:sz="4" w:space="0" w:color="auto"/>
            </w:tcBorders>
            <w:shd w:val="clear" w:color="auto" w:fill="auto"/>
            <w:noWrap/>
            <w:vAlign w:val="bottom"/>
            <w:hideMark/>
          </w:tcPr>
          <w:p w14:paraId="42168593"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   </w:t>
            </w:r>
          </w:p>
        </w:tc>
        <w:tc>
          <w:tcPr>
            <w:tcW w:w="988" w:type="dxa"/>
            <w:tcBorders>
              <w:top w:val="nil"/>
              <w:left w:val="nil"/>
              <w:bottom w:val="single" w:sz="4" w:space="0" w:color="auto"/>
              <w:right w:val="single" w:sz="8" w:space="0" w:color="auto"/>
            </w:tcBorders>
            <w:shd w:val="clear" w:color="auto" w:fill="auto"/>
            <w:noWrap/>
            <w:vAlign w:val="bottom"/>
            <w:hideMark/>
          </w:tcPr>
          <w:p w14:paraId="750F3C81" w14:textId="77777777" w:rsidR="00DB7AF1" w:rsidRPr="00E74A5E" w:rsidRDefault="00DB7AF1" w:rsidP="002F65FB">
            <w:pPr>
              <w:jc w:val="right"/>
              <w:rPr>
                <w:rFonts w:ascii="Arial" w:hAnsi="Arial" w:cs="Arial"/>
                <w:color w:val="000000"/>
                <w:sz w:val="16"/>
                <w:szCs w:val="16"/>
                <w:lang w:eastAsia="es-AR"/>
              </w:rPr>
            </w:pPr>
            <w:r w:rsidRPr="00E74A5E">
              <w:rPr>
                <w:rFonts w:ascii="Arial" w:hAnsi="Arial" w:cs="Arial"/>
                <w:sz w:val="16"/>
                <w:szCs w:val="16"/>
              </w:rPr>
              <w:t xml:space="preserve"> 93.822.969 </w:t>
            </w:r>
          </w:p>
        </w:tc>
      </w:tr>
      <w:tr w:rsidR="00DB7AF1" w:rsidRPr="00A70755" w14:paraId="7ED8F19B" w14:textId="77777777" w:rsidTr="002E2271">
        <w:trPr>
          <w:trHeight w:val="216"/>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2CCB70A7" w14:textId="77777777" w:rsidR="00DB7AF1" w:rsidRPr="00613EB0" w:rsidRDefault="00DB7AF1" w:rsidP="002F65FB">
            <w:pPr>
              <w:jc w:val="both"/>
              <w:rPr>
                <w:rFonts w:ascii="Arial" w:hAnsi="Arial" w:cs="Arial"/>
                <w:color w:val="000000"/>
                <w:sz w:val="16"/>
                <w:szCs w:val="16"/>
                <w:lang w:eastAsia="es-AR"/>
              </w:rPr>
            </w:pPr>
            <w:r w:rsidRPr="00613EB0">
              <w:rPr>
                <w:rFonts w:ascii="Arial" w:hAnsi="Arial" w:cs="Arial"/>
                <w:color w:val="000000"/>
                <w:sz w:val="16"/>
                <w:szCs w:val="16"/>
                <w:lang w:eastAsia="es-AR"/>
              </w:rPr>
              <w:t>-Otros pasivos financieros</w:t>
            </w:r>
          </w:p>
        </w:tc>
        <w:tc>
          <w:tcPr>
            <w:tcW w:w="1079" w:type="dxa"/>
            <w:tcBorders>
              <w:top w:val="nil"/>
              <w:left w:val="nil"/>
              <w:bottom w:val="single" w:sz="4" w:space="0" w:color="auto"/>
              <w:right w:val="single" w:sz="4" w:space="0" w:color="auto"/>
            </w:tcBorders>
            <w:shd w:val="clear" w:color="auto" w:fill="auto"/>
            <w:noWrap/>
            <w:vAlign w:val="bottom"/>
            <w:hideMark/>
          </w:tcPr>
          <w:p w14:paraId="13AD7277"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385.865 </w:t>
            </w:r>
          </w:p>
        </w:tc>
        <w:tc>
          <w:tcPr>
            <w:tcW w:w="1030" w:type="dxa"/>
            <w:tcBorders>
              <w:top w:val="nil"/>
              <w:left w:val="nil"/>
              <w:bottom w:val="single" w:sz="4" w:space="0" w:color="auto"/>
              <w:right w:val="single" w:sz="4" w:space="0" w:color="auto"/>
            </w:tcBorders>
            <w:shd w:val="clear" w:color="auto" w:fill="auto"/>
            <w:vAlign w:val="bottom"/>
            <w:hideMark/>
          </w:tcPr>
          <w:p w14:paraId="000CF0C3"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385.865 </w:t>
            </w:r>
          </w:p>
        </w:tc>
        <w:tc>
          <w:tcPr>
            <w:tcW w:w="185" w:type="dxa"/>
            <w:tcBorders>
              <w:top w:val="nil"/>
              <w:left w:val="nil"/>
              <w:bottom w:val="single" w:sz="4" w:space="0" w:color="auto"/>
              <w:right w:val="single" w:sz="4" w:space="0" w:color="auto"/>
            </w:tcBorders>
            <w:shd w:val="clear" w:color="auto" w:fill="auto"/>
            <w:vAlign w:val="center"/>
            <w:hideMark/>
          </w:tcPr>
          <w:p w14:paraId="0B7D1ECB" w14:textId="77777777" w:rsidR="00DB7AF1" w:rsidRPr="00613EB0" w:rsidRDefault="00DB7AF1" w:rsidP="002F65F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959" w:type="dxa"/>
            <w:tcBorders>
              <w:top w:val="nil"/>
              <w:left w:val="nil"/>
              <w:bottom w:val="single" w:sz="4" w:space="0" w:color="auto"/>
              <w:right w:val="single" w:sz="4" w:space="0" w:color="auto"/>
            </w:tcBorders>
            <w:shd w:val="clear" w:color="auto" w:fill="auto"/>
            <w:noWrap/>
            <w:vAlign w:val="bottom"/>
            <w:hideMark/>
          </w:tcPr>
          <w:p w14:paraId="5A12FCD4"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385.865 </w:t>
            </w:r>
          </w:p>
        </w:tc>
        <w:tc>
          <w:tcPr>
            <w:tcW w:w="959" w:type="dxa"/>
            <w:tcBorders>
              <w:top w:val="nil"/>
              <w:left w:val="nil"/>
              <w:bottom w:val="single" w:sz="4" w:space="0" w:color="auto"/>
              <w:right w:val="single" w:sz="4" w:space="0" w:color="auto"/>
            </w:tcBorders>
            <w:shd w:val="clear" w:color="auto" w:fill="auto"/>
            <w:noWrap/>
            <w:vAlign w:val="bottom"/>
            <w:hideMark/>
          </w:tcPr>
          <w:p w14:paraId="257A4985"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   </w:t>
            </w:r>
          </w:p>
        </w:tc>
        <w:tc>
          <w:tcPr>
            <w:tcW w:w="988" w:type="dxa"/>
            <w:tcBorders>
              <w:top w:val="nil"/>
              <w:left w:val="nil"/>
              <w:bottom w:val="single" w:sz="4" w:space="0" w:color="auto"/>
              <w:right w:val="single" w:sz="8" w:space="0" w:color="auto"/>
            </w:tcBorders>
            <w:shd w:val="clear" w:color="auto" w:fill="auto"/>
            <w:noWrap/>
            <w:vAlign w:val="bottom"/>
            <w:hideMark/>
          </w:tcPr>
          <w:p w14:paraId="5F634849" w14:textId="77777777" w:rsidR="00DB7AF1" w:rsidRPr="00E74A5E" w:rsidRDefault="00DB7AF1" w:rsidP="002F65FB">
            <w:pPr>
              <w:jc w:val="right"/>
              <w:rPr>
                <w:rFonts w:ascii="Arial" w:hAnsi="Arial" w:cs="Arial"/>
                <w:color w:val="000000"/>
                <w:sz w:val="16"/>
                <w:szCs w:val="16"/>
                <w:lang w:eastAsia="es-AR"/>
              </w:rPr>
            </w:pPr>
            <w:r w:rsidRPr="00E74A5E">
              <w:rPr>
                <w:rFonts w:ascii="Arial" w:hAnsi="Arial" w:cs="Arial"/>
                <w:sz w:val="16"/>
                <w:szCs w:val="16"/>
              </w:rPr>
              <w:t xml:space="preserve"> -   </w:t>
            </w:r>
          </w:p>
        </w:tc>
      </w:tr>
      <w:tr w:rsidR="00DB7AF1" w:rsidRPr="00A70755" w14:paraId="3353D64E" w14:textId="77777777" w:rsidTr="002E2271">
        <w:trPr>
          <w:trHeight w:val="216"/>
        </w:trPr>
        <w:tc>
          <w:tcPr>
            <w:tcW w:w="4192" w:type="dxa"/>
            <w:tcBorders>
              <w:top w:val="nil"/>
              <w:left w:val="single" w:sz="8" w:space="0" w:color="auto"/>
              <w:bottom w:val="single" w:sz="4" w:space="0" w:color="auto"/>
              <w:right w:val="single" w:sz="4" w:space="0" w:color="auto"/>
            </w:tcBorders>
            <w:shd w:val="clear" w:color="auto" w:fill="auto"/>
            <w:noWrap/>
            <w:vAlign w:val="center"/>
            <w:hideMark/>
          </w:tcPr>
          <w:p w14:paraId="63B9C663" w14:textId="77777777" w:rsidR="00DB7AF1" w:rsidRPr="00613EB0" w:rsidRDefault="00DB7AF1" w:rsidP="002F65FB">
            <w:pPr>
              <w:jc w:val="both"/>
              <w:rPr>
                <w:rFonts w:ascii="Arial" w:hAnsi="Arial" w:cs="Arial"/>
                <w:color w:val="000000"/>
                <w:sz w:val="16"/>
                <w:szCs w:val="16"/>
                <w:lang w:eastAsia="es-AR"/>
              </w:rPr>
            </w:pPr>
            <w:r w:rsidRPr="00613EB0">
              <w:rPr>
                <w:rFonts w:ascii="Arial" w:hAnsi="Arial" w:cs="Arial"/>
                <w:color w:val="000000"/>
                <w:sz w:val="16"/>
                <w:szCs w:val="16"/>
                <w:lang w:eastAsia="es-AR"/>
              </w:rPr>
              <w:t>-Financiaciones recibidas del BCRA y otras instituciones financieras</w:t>
            </w:r>
          </w:p>
        </w:tc>
        <w:tc>
          <w:tcPr>
            <w:tcW w:w="1079" w:type="dxa"/>
            <w:tcBorders>
              <w:top w:val="nil"/>
              <w:left w:val="nil"/>
              <w:bottom w:val="single" w:sz="4" w:space="0" w:color="auto"/>
              <w:right w:val="single" w:sz="4" w:space="0" w:color="auto"/>
            </w:tcBorders>
            <w:shd w:val="clear" w:color="auto" w:fill="auto"/>
            <w:noWrap/>
            <w:vAlign w:val="bottom"/>
            <w:hideMark/>
          </w:tcPr>
          <w:p w14:paraId="68FCA033" w14:textId="77777777" w:rsidR="00DB7AF1" w:rsidRPr="000B2F8E" w:rsidRDefault="00DB7AF1" w:rsidP="002F65FB">
            <w:pPr>
              <w:jc w:val="right"/>
              <w:rPr>
                <w:rFonts w:ascii="Arial" w:hAnsi="Arial" w:cs="Arial"/>
                <w:color w:val="000000"/>
                <w:sz w:val="16"/>
                <w:szCs w:val="16"/>
                <w:lang w:eastAsia="es-AR"/>
              </w:rPr>
            </w:pPr>
            <w:r w:rsidRPr="00465DA7">
              <w:rPr>
                <w:rFonts w:ascii="Arial" w:hAnsi="Arial" w:cs="Arial"/>
                <w:sz w:val="16"/>
                <w:szCs w:val="16"/>
              </w:rPr>
              <w:t>8.010.059</w:t>
            </w:r>
            <w:r w:rsidRPr="000B2F8E">
              <w:rPr>
                <w:rFonts w:ascii="Arial" w:hAnsi="Arial" w:cs="Arial"/>
                <w:sz w:val="16"/>
                <w:szCs w:val="16"/>
              </w:rPr>
              <w:t xml:space="preserve"> </w:t>
            </w:r>
          </w:p>
        </w:tc>
        <w:tc>
          <w:tcPr>
            <w:tcW w:w="1030" w:type="dxa"/>
            <w:tcBorders>
              <w:top w:val="nil"/>
              <w:left w:val="nil"/>
              <w:bottom w:val="single" w:sz="4" w:space="0" w:color="auto"/>
              <w:right w:val="single" w:sz="4" w:space="0" w:color="auto"/>
            </w:tcBorders>
            <w:shd w:val="clear" w:color="auto" w:fill="auto"/>
            <w:vAlign w:val="bottom"/>
            <w:hideMark/>
          </w:tcPr>
          <w:p w14:paraId="3E9AB55F"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5.756.027 </w:t>
            </w:r>
          </w:p>
        </w:tc>
        <w:tc>
          <w:tcPr>
            <w:tcW w:w="185" w:type="dxa"/>
            <w:tcBorders>
              <w:top w:val="nil"/>
              <w:left w:val="nil"/>
              <w:bottom w:val="single" w:sz="4" w:space="0" w:color="auto"/>
              <w:right w:val="single" w:sz="4" w:space="0" w:color="auto"/>
            </w:tcBorders>
            <w:shd w:val="clear" w:color="auto" w:fill="auto"/>
            <w:vAlign w:val="center"/>
            <w:hideMark/>
          </w:tcPr>
          <w:p w14:paraId="502CC61E" w14:textId="77777777" w:rsidR="00DB7AF1" w:rsidRPr="00613EB0" w:rsidRDefault="00DB7AF1" w:rsidP="002F65F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959" w:type="dxa"/>
            <w:tcBorders>
              <w:top w:val="nil"/>
              <w:left w:val="nil"/>
              <w:bottom w:val="single" w:sz="4" w:space="0" w:color="auto"/>
              <w:right w:val="single" w:sz="4" w:space="0" w:color="auto"/>
            </w:tcBorders>
            <w:shd w:val="clear" w:color="auto" w:fill="auto"/>
            <w:noWrap/>
            <w:vAlign w:val="bottom"/>
            <w:hideMark/>
          </w:tcPr>
          <w:p w14:paraId="60B9471C"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   </w:t>
            </w:r>
          </w:p>
        </w:tc>
        <w:tc>
          <w:tcPr>
            <w:tcW w:w="959" w:type="dxa"/>
            <w:tcBorders>
              <w:top w:val="nil"/>
              <w:left w:val="nil"/>
              <w:bottom w:val="single" w:sz="4" w:space="0" w:color="auto"/>
              <w:right w:val="single" w:sz="4" w:space="0" w:color="auto"/>
            </w:tcBorders>
            <w:shd w:val="clear" w:color="auto" w:fill="auto"/>
            <w:noWrap/>
            <w:vAlign w:val="bottom"/>
            <w:hideMark/>
          </w:tcPr>
          <w:p w14:paraId="3EE9F1B0"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   </w:t>
            </w:r>
          </w:p>
        </w:tc>
        <w:tc>
          <w:tcPr>
            <w:tcW w:w="988" w:type="dxa"/>
            <w:tcBorders>
              <w:top w:val="nil"/>
              <w:left w:val="nil"/>
              <w:bottom w:val="single" w:sz="4" w:space="0" w:color="auto"/>
              <w:right w:val="single" w:sz="8" w:space="0" w:color="auto"/>
            </w:tcBorders>
            <w:shd w:val="clear" w:color="auto" w:fill="auto"/>
            <w:noWrap/>
            <w:vAlign w:val="bottom"/>
            <w:hideMark/>
          </w:tcPr>
          <w:p w14:paraId="2FE9B1B9" w14:textId="77777777" w:rsidR="00DB7AF1" w:rsidRPr="00E74A5E" w:rsidRDefault="00DB7AF1" w:rsidP="002F65FB">
            <w:pPr>
              <w:jc w:val="right"/>
              <w:rPr>
                <w:rFonts w:ascii="Arial" w:hAnsi="Arial" w:cs="Arial"/>
                <w:color w:val="000000"/>
                <w:sz w:val="16"/>
                <w:szCs w:val="16"/>
                <w:lang w:eastAsia="es-AR"/>
              </w:rPr>
            </w:pPr>
            <w:r w:rsidRPr="00E74A5E">
              <w:rPr>
                <w:rFonts w:ascii="Arial" w:hAnsi="Arial" w:cs="Arial"/>
                <w:sz w:val="16"/>
                <w:szCs w:val="16"/>
              </w:rPr>
              <w:t xml:space="preserve"> 5.756.027 </w:t>
            </w:r>
          </w:p>
        </w:tc>
      </w:tr>
      <w:tr w:rsidR="00DB7AF1" w:rsidRPr="00A70755" w14:paraId="04621933" w14:textId="77777777" w:rsidTr="002E2271">
        <w:trPr>
          <w:trHeight w:val="216"/>
        </w:trPr>
        <w:tc>
          <w:tcPr>
            <w:tcW w:w="419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2514ED8" w14:textId="77777777" w:rsidR="00DB7AF1" w:rsidRPr="00613EB0" w:rsidRDefault="00DB7AF1" w:rsidP="002F65FB">
            <w:pPr>
              <w:jc w:val="both"/>
              <w:rPr>
                <w:rFonts w:ascii="Arial" w:hAnsi="Arial" w:cs="Arial"/>
                <w:color w:val="000000"/>
                <w:sz w:val="16"/>
                <w:szCs w:val="16"/>
                <w:lang w:eastAsia="es-AR"/>
              </w:rPr>
            </w:pPr>
            <w:r w:rsidRPr="00613EB0">
              <w:rPr>
                <w:rFonts w:ascii="Arial" w:hAnsi="Arial" w:cs="Arial"/>
                <w:color w:val="000000"/>
                <w:sz w:val="16"/>
                <w:szCs w:val="16"/>
                <w:lang w:eastAsia="es-AR"/>
              </w:rPr>
              <w:t>-Obligaciones negociables emitidas</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14:paraId="744A8C82"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7.924.029 </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14:paraId="6AFD4179"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7.924.029 </w:t>
            </w:r>
          </w:p>
        </w:tc>
        <w:tc>
          <w:tcPr>
            <w:tcW w:w="185" w:type="dxa"/>
            <w:tcBorders>
              <w:top w:val="single" w:sz="4" w:space="0" w:color="auto"/>
              <w:left w:val="nil"/>
              <w:bottom w:val="single" w:sz="4" w:space="0" w:color="auto"/>
              <w:right w:val="single" w:sz="4" w:space="0" w:color="auto"/>
            </w:tcBorders>
            <w:shd w:val="clear" w:color="auto" w:fill="auto"/>
            <w:vAlign w:val="center"/>
            <w:hideMark/>
          </w:tcPr>
          <w:p w14:paraId="10C5AEAE" w14:textId="77777777" w:rsidR="00DB7AF1" w:rsidRPr="00613EB0" w:rsidRDefault="00DB7AF1" w:rsidP="002F65F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0ACAF619"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7.924.029 </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274FC8FE"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   </w:t>
            </w:r>
          </w:p>
        </w:tc>
        <w:tc>
          <w:tcPr>
            <w:tcW w:w="988" w:type="dxa"/>
            <w:tcBorders>
              <w:top w:val="single" w:sz="4" w:space="0" w:color="auto"/>
              <w:left w:val="nil"/>
              <w:bottom w:val="single" w:sz="4" w:space="0" w:color="auto"/>
              <w:right w:val="single" w:sz="8" w:space="0" w:color="auto"/>
            </w:tcBorders>
            <w:shd w:val="clear" w:color="auto" w:fill="auto"/>
            <w:noWrap/>
            <w:vAlign w:val="bottom"/>
            <w:hideMark/>
          </w:tcPr>
          <w:p w14:paraId="3ADE7CAF" w14:textId="77777777" w:rsidR="00DB7AF1" w:rsidRPr="00E74A5E" w:rsidRDefault="00DB7AF1" w:rsidP="002F65FB">
            <w:pPr>
              <w:jc w:val="right"/>
              <w:rPr>
                <w:rFonts w:ascii="Arial" w:hAnsi="Arial" w:cs="Arial"/>
                <w:color w:val="000000"/>
                <w:sz w:val="16"/>
                <w:szCs w:val="16"/>
                <w:lang w:eastAsia="es-AR"/>
              </w:rPr>
            </w:pPr>
            <w:r w:rsidRPr="00E74A5E">
              <w:rPr>
                <w:rFonts w:ascii="Arial" w:hAnsi="Arial" w:cs="Arial"/>
                <w:sz w:val="16"/>
                <w:szCs w:val="16"/>
              </w:rPr>
              <w:t xml:space="preserve"> -   </w:t>
            </w:r>
          </w:p>
        </w:tc>
      </w:tr>
      <w:tr w:rsidR="00DB7AF1" w:rsidRPr="00A70755" w14:paraId="5C9E4C3C" w14:textId="77777777" w:rsidTr="002E2271">
        <w:trPr>
          <w:trHeight w:val="226"/>
        </w:trPr>
        <w:tc>
          <w:tcPr>
            <w:tcW w:w="4192" w:type="dxa"/>
            <w:tcBorders>
              <w:top w:val="single" w:sz="4" w:space="0" w:color="auto"/>
              <w:left w:val="single" w:sz="8" w:space="0" w:color="auto"/>
              <w:bottom w:val="nil"/>
              <w:right w:val="single" w:sz="4" w:space="0" w:color="auto"/>
            </w:tcBorders>
            <w:shd w:val="clear" w:color="auto" w:fill="auto"/>
            <w:noWrap/>
            <w:vAlign w:val="center"/>
            <w:hideMark/>
          </w:tcPr>
          <w:p w14:paraId="426D61EA" w14:textId="77777777" w:rsidR="00DB7AF1" w:rsidRPr="00613EB0" w:rsidRDefault="00DB7AF1" w:rsidP="002F65FB">
            <w:pPr>
              <w:jc w:val="both"/>
              <w:rPr>
                <w:rFonts w:ascii="Arial" w:hAnsi="Arial" w:cs="Arial"/>
                <w:color w:val="000000"/>
                <w:sz w:val="16"/>
                <w:szCs w:val="16"/>
                <w:lang w:eastAsia="es-AR"/>
              </w:rPr>
            </w:pPr>
            <w:r w:rsidRPr="00613EB0">
              <w:rPr>
                <w:rFonts w:ascii="Arial" w:hAnsi="Arial" w:cs="Arial"/>
                <w:color w:val="000000"/>
                <w:sz w:val="16"/>
                <w:szCs w:val="16"/>
                <w:lang w:eastAsia="es-AR"/>
              </w:rPr>
              <w:t>-Obligaciones negociables subordinadas</w:t>
            </w:r>
          </w:p>
        </w:tc>
        <w:tc>
          <w:tcPr>
            <w:tcW w:w="1079" w:type="dxa"/>
            <w:tcBorders>
              <w:top w:val="single" w:sz="4" w:space="0" w:color="auto"/>
              <w:left w:val="nil"/>
              <w:bottom w:val="nil"/>
              <w:right w:val="single" w:sz="4" w:space="0" w:color="auto"/>
            </w:tcBorders>
            <w:shd w:val="clear" w:color="auto" w:fill="auto"/>
            <w:noWrap/>
            <w:vAlign w:val="bottom"/>
            <w:hideMark/>
          </w:tcPr>
          <w:p w14:paraId="7952242C"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1.383.817 </w:t>
            </w:r>
          </w:p>
        </w:tc>
        <w:tc>
          <w:tcPr>
            <w:tcW w:w="1030" w:type="dxa"/>
            <w:tcBorders>
              <w:top w:val="single" w:sz="4" w:space="0" w:color="auto"/>
              <w:left w:val="nil"/>
              <w:bottom w:val="nil"/>
              <w:right w:val="single" w:sz="4" w:space="0" w:color="auto"/>
            </w:tcBorders>
            <w:shd w:val="clear" w:color="auto" w:fill="auto"/>
            <w:vAlign w:val="bottom"/>
            <w:hideMark/>
          </w:tcPr>
          <w:p w14:paraId="5F42A7D7"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1.371.488 </w:t>
            </w:r>
          </w:p>
        </w:tc>
        <w:tc>
          <w:tcPr>
            <w:tcW w:w="185" w:type="dxa"/>
            <w:tcBorders>
              <w:top w:val="single" w:sz="4" w:space="0" w:color="auto"/>
              <w:left w:val="nil"/>
              <w:bottom w:val="nil"/>
              <w:right w:val="single" w:sz="4" w:space="0" w:color="auto"/>
            </w:tcBorders>
            <w:shd w:val="clear" w:color="auto" w:fill="auto"/>
            <w:vAlign w:val="center"/>
            <w:hideMark/>
          </w:tcPr>
          <w:p w14:paraId="1B2DC6B0" w14:textId="77777777" w:rsidR="00DB7AF1" w:rsidRPr="00613EB0" w:rsidRDefault="00DB7AF1" w:rsidP="002F65FB">
            <w:pPr>
              <w:jc w:val="right"/>
              <w:rPr>
                <w:rFonts w:ascii="Arial" w:hAnsi="Arial" w:cs="Arial"/>
                <w:color w:val="000000"/>
                <w:sz w:val="16"/>
                <w:szCs w:val="16"/>
                <w:lang w:eastAsia="es-AR"/>
              </w:rPr>
            </w:pPr>
            <w:r w:rsidRPr="00613EB0">
              <w:rPr>
                <w:rFonts w:ascii="Arial" w:hAnsi="Arial" w:cs="Arial"/>
                <w:color w:val="000000"/>
                <w:sz w:val="16"/>
                <w:szCs w:val="16"/>
                <w:lang w:eastAsia="es-AR"/>
              </w:rPr>
              <w:t> </w:t>
            </w:r>
          </w:p>
        </w:tc>
        <w:tc>
          <w:tcPr>
            <w:tcW w:w="959" w:type="dxa"/>
            <w:tcBorders>
              <w:top w:val="single" w:sz="4" w:space="0" w:color="auto"/>
              <w:left w:val="nil"/>
              <w:bottom w:val="nil"/>
              <w:right w:val="single" w:sz="4" w:space="0" w:color="auto"/>
            </w:tcBorders>
            <w:shd w:val="clear" w:color="auto" w:fill="auto"/>
            <w:noWrap/>
            <w:vAlign w:val="bottom"/>
            <w:hideMark/>
          </w:tcPr>
          <w:p w14:paraId="462C10C6" w14:textId="77777777" w:rsidR="00DB7AF1" w:rsidRPr="000B2F8E" w:rsidRDefault="00DB7AF1" w:rsidP="002F65FB">
            <w:pPr>
              <w:jc w:val="right"/>
              <w:rPr>
                <w:rFonts w:ascii="Arial" w:hAnsi="Arial" w:cs="Arial"/>
                <w:color w:val="000000"/>
                <w:sz w:val="16"/>
                <w:szCs w:val="16"/>
                <w:lang w:eastAsia="es-AR"/>
              </w:rPr>
            </w:pPr>
            <w:r w:rsidRPr="000B2F8E">
              <w:rPr>
                <w:rFonts w:ascii="Arial" w:hAnsi="Arial" w:cs="Arial"/>
                <w:sz w:val="16"/>
                <w:szCs w:val="16"/>
              </w:rPr>
              <w:t xml:space="preserve"> 1.371.488 </w:t>
            </w:r>
          </w:p>
        </w:tc>
        <w:tc>
          <w:tcPr>
            <w:tcW w:w="959" w:type="dxa"/>
            <w:tcBorders>
              <w:top w:val="single" w:sz="4" w:space="0" w:color="auto"/>
              <w:left w:val="nil"/>
              <w:bottom w:val="nil"/>
              <w:right w:val="single" w:sz="4" w:space="0" w:color="auto"/>
            </w:tcBorders>
            <w:shd w:val="clear" w:color="auto" w:fill="auto"/>
            <w:noWrap/>
            <w:vAlign w:val="bottom"/>
            <w:hideMark/>
          </w:tcPr>
          <w:p w14:paraId="238C56AB" w14:textId="77777777" w:rsidR="00DB7AF1" w:rsidRPr="00893B68" w:rsidRDefault="00DB7AF1" w:rsidP="002F65FB">
            <w:pPr>
              <w:jc w:val="right"/>
              <w:rPr>
                <w:rFonts w:ascii="Arial" w:hAnsi="Arial" w:cs="Arial"/>
                <w:color w:val="000000"/>
                <w:sz w:val="16"/>
                <w:szCs w:val="16"/>
                <w:lang w:eastAsia="es-AR"/>
              </w:rPr>
            </w:pPr>
            <w:r w:rsidRPr="00893B68">
              <w:rPr>
                <w:rFonts w:ascii="Arial" w:hAnsi="Arial" w:cs="Arial"/>
                <w:sz w:val="16"/>
                <w:szCs w:val="16"/>
              </w:rPr>
              <w:t xml:space="preserve"> -   </w:t>
            </w:r>
          </w:p>
        </w:tc>
        <w:tc>
          <w:tcPr>
            <w:tcW w:w="988" w:type="dxa"/>
            <w:tcBorders>
              <w:top w:val="single" w:sz="4" w:space="0" w:color="auto"/>
              <w:left w:val="nil"/>
              <w:bottom w:val="nil"/>
              <w:right w:val="single" w:sz="8" w:space="0" w:color="auto"/>
            </w:tcBorders>
            <w:shd w:val="clear" w:color="auto" w:fill="auto"/>
            <w:noWrap/>
            <w:vAlign w:val="bottom"/>
            <w:hideMark/>
          </w:tcPr>
          <w:p w14:paraId="59E5B6AF" w14:textId="77777777" w:rsidR="00DB7AF1" w:rsidRPr="00E74A5E" w:rsidRDefault="00DB7AF1" w:rsidP="002F65FB">
            <w:pPr>
              <w:jc w:val="right"/>
              <w:rPr>
                <w:rFonts w:ascii="Arial" w:hAnsi="Arial" w:cs="Arial"/>
                <w:color w:val="000000"/>
                <w:sz w:val="16"/>
                <w:szCs w:val="16"/>
                <w:lang w:eastAsia="es-AR"/>
              </w:rPr>
            </w:pPr>
            <w:r w:rsidRPr="00E74A5E">
              <w:rPr>
                <w:rFonts w:ascii="Arial" w:hAnsi="Arial" w:cs="Arial"/>
                <w:sz w:val="16"/>
                <w:szCs w:val="16"/>
              </w:rPr>
              <w:t xml:space="preserve"> -   </w:t>
            </w:r>
          </w:p>
        </w:tc>
      </w:tr>
      <w:tr w:rsidR="00DB7AF1" w:rsidRPr="00A70755" w14:paraId="26CB263B" w14:textId="77777777" w:rsidTr="002E2271">
        <w:trPr>
          <w:trHeight w:val="226"/>
        </w:trPr>
        <w:tc>
          <w:tcPr>
            <w:tcW w:w="4192" w:type="dxa"/>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3FDF92E2" w14:textId="77777777" w:rsidR="00DB7AF1" w:rsidRPr="00613EB0" w:rsidRDefault="00DB7AF1" w:rsidP="002F65FB">
            <w:pPr>
              <w:jc w:val="both"/>
              <w:rPr>
                <w:rFonts w:ascii="Arial" w:hAnsi="Arial" w:cs="Arial"/>
                <w:b/>
                <w:color w:val="000000"/>
                <w:sz w:val="16"/>
                <w:szCs w:val="16"/>
                <w:lang w:eastAsia="es-AR"/>
              </w:rPr>
            </w:pPr>
            <w:r w:rsidRPr="00613EB0">
              <w:rPr>
                <w:rFonts w:ascii="Arial" w:hAnsi="Arial" w:cs="Arial"/>
                <w:b/>
                <w:color w:val="000000"/>
                <w:sz w:val="16"/>
                <w:szCs w:val="16"/>
                <w:lang w:eastAsia="es-AR"/>
              </w:rPr>
              <w:t> </w:t>
            </w:r>
          </w:p>
        </w:tc>
        <w:tc>
          <w:tcPr>
            <w:tcW w:w="1079" w:type="dxa"/>
            <w:tcBorders>
              <w:top w:val="single" w:sz="8" w:space="0" w:color="auto"/>
              <w:left w:val="nil"/>
              <w:bottom w:val="single" w:sz="8" w:space="0" w:color="auto"/>
              <w:right w:val="single" w:sz="4" w:space="0" w:color="auto"/>
            </w:tcBorders>
            <w:shd w:val="clear" w:color="000000" w:fill="EDEDED"/>
            <w:noWrap/>
            <w:vAlign w:val="bottom"/>
            <w:hideMark/>
          </w:tcPr>
          <w:p w14:paraId="7F12AFF4" w14:textId="77777777" w:rsidR="00DB7AF1" w:rsidRPr="000B2F8E" w:rsidRDefault="00DB7AF1" w:rsidP="002F65FB">
            <w:pPr>
              <w:jc w:val="right"/>
              <w:rPr>
                <w:rFonts w:ascii="Arial" w:hAnsi="Arial" w:cs="Arial"/>
                <w:b/>
                <w:bCs/>
                <w:color w:val="000000"/>
                <w:sz w:val="16"/>
                <w:szCs w:val="16"/>
                <w:lang w:eastAsia="es-AR"/>
              </w:rPr>
            </w:pPr>
            <w:r w:rsidRPr="000B2F8E">
              <w:rPr>
                <w:rFonts w:ascii="Arial" w:hAnsi="Arial" w:cs="Arial"/>
                <w:b/>
                <w:sz w:val="16"/>
                <w:szCs w:val="16"/>
              </w:rPr>
              <w:t>111.7</w:t>
            </w:r>
            <w:r>
              <w:rPr>
                <w:rFonts w:ascii="Arial" w:hAnsi="Arial" w:cs="Arial"/>
                <w:b/>
                <w:sz w:val="16"/>
                <w:szCs w:val="16"/>
              </w:rPr>
              <w:t>28</w:t>
            </w:r>
            <w:r w:rsidRPr="000B2F8E">
              <w:rPr>
                <w:rFonts w:ascii="Arial" w:hAnsi="Arial" w:cs="Arial"/>
                <w:b/>
                <w:sz w:val="16"/>
                <w:szCs w:val="16"/>
              </w:rPr>
              <w:t>.8</w:t>
            </w:r>
            <w:r>
              <w:rPr>
                <w:rFonts w:ascii="Arial" w:hAnsi="Arial" w:cs="Arial"/>
                <w:b/>
                <w:sz w:val="16"/>
                <w:szCs w:val="16"/>
              </w:rPr>
              <w:t>48</w:t>
            </w:r>
          </w:p>
        </w:tc>
        <w:tc>
          <w:tcPr>
            <w:tcW w:w="1030" w:type="dxa"/>
            <w:tcBorders>
              <w:top w:val="single" w:sz="8" w:space="0" w:color="auto"/>
              <w:left w:val="nil"/>
              <w:bottom w:val="single" w:sz="8" w:space="0" w:color="auto"/>
              <w:right w:val="single" w:sz="4" w:space="0" w:color="auto"/>
            </w:tcBorders>
            <w:shd w:val="clear" w:color="000000" w:fill="EDEDED"/>
            <w:noWrap/>
            <w:vAlign w:val="bottom"/>
            <w:hideMark/>
          </w:tcPr>
          <w:p w14:paraId="0AF52B44" w14:textId="77777777" w:rsidR="00DB7AF1" w:rsidRPr="00893B68" w:rsidRDefault="00DB7AF1" w:rsidP="002F65FB">
            <w:pPr>
              <w:jc w:val="right"/>
              <w:rPr>
                <w:rFonts w:ascii="Arial" w:hAnsi="Arial" w:cs="Arial"/>
                <w:b/>
                <w:bCs/>
                <w:color w:val="000000"/>
                <w:sz w:val="16"/>
                <w:szCs w:val="16"/>
                <w:lang w:eastAsia="es-AR"/>
              </w:rPr>
            </w:pPr>
            <w:r w:rsidRPr="00893B68">
              <w:rPr>
                <w:rFonts w:ascii="Arial" w:hAnsi="Arial" w:cs="Arial"/>
                <w:b/>
                <w:sz w:val="16"/>
                <w:szCs w:val="16"/>
              </w:rPr>
              <w:t>109.260.378</w:t>
            </w:r>
          </w:p>
        </w:tc>
        <w:tc>
          <w:tcPr>
            <w:tcW w:w="185" w:type="dxa"/>
            <w:tcBorders>
              <w:top w:val="single" w:sz="8" w:space="0" w:color="auto"/>
              <w:left w:val="nil"/>
              <w:bottom w:val="single" w:sz="8" w:space="0" w:color="auto"/>
              <w:right w:val="single" w:sz="4" w:space="0" w:color="auto"/>
            </w:tcBorders>
            <w:shd w:val="clear" w:color="000000" w:fill="EDEDED"/>
            <w:noWrap/>
            <w:vAlign w:val="center"/>
            <w:hideMark/>
          </w:tcPr>
          <w:p w14:paraId="7A897A7C" w14:textId="77777777" w:rsidR="00DB7AF1" w:rsidRPr="00613EB0" w:rsidRDefault="00DB7AF1" w:rsidP="002F65FB">
            <w:pPr>
              <w:jc w:val="right"/>
              <w:rPr>
                <w:rFonts w:ascii="Arial" w:hAnsi="Arial" w:cs="Arial"/>
                <w:b/>
                <w:bCs/>
                <w:color w:val="000000"/>
                <w:sz w:val="16"/>
                <w:szCs w:val="16"/>
                <w:lang w:eastAsia="es-AR"/>
              </w:rPr>
            </w:pPr>
          </w:p>
        </w:tc>
        <w:tc>
          <w:tcPr>
            <w:tcW w:w="959" w:type="dxa"/>
            <w:tcBorders>
              <w:top w:val="single" w:sz="8" w:space="0" w:color="auto"/>
              <w:left w:val="nil"/>
              <w:bottom w:val="single" w:sz="8" w:space="0" w:color="auto"/>
              <w:right w:val="single" w:sz="4" w:space="0" w:color="auto"/>
            </w:tcBorders>
            <w:shd w:val="clear" w:color="000000" w:fill="EDEDED"/>
            <w:noWrap/>
            <w:vAlign w:val="bottom"/>
            <w:hideMark/>
          </w:tcPr>
          <w:p w14:paraId="072CDC63" w14:textId="77777777" w:rsidR="00DB7AF1" w:rsidRPr="000B2F8E" w:rsidRDefault="00DB7AF1" w:rsidP="002F65FB">
            <w:pPr>
              <w:jc w:val="right"/>
              <w:rPr>
                <w:rFonts w:ascii="Arial" w:hAnsi="Arial" w:cs="Arial"/>
                <w:b/>
                <w:bCs/>
                <w:color w:val="000000"/>
                <w:sz w:val="16"/>
                <w:szCs w:val="16"/>
                <w:lang w:eastAsia="es-AR"/>
              </w:rPr>
            </w:pPr>
            <w:r w:rsidRPr="000B2F8E">
              <w:rPr>
                <w:rFonts w:ascii="Arial" w:hAnsi="Arial" w:cs="Arial"/>
                <w:b/>
                <w:sz w:val="16"/>
                <w:szCs w:val="16"/>
              </w:rPr>
              <w:t>9.681.382</w:t>
            </w:r>
          </w:p>
        </w:tc>
        <w:tc>
          <w:tcPr>
            <w:tcW w:w="959" w:type="dxa"/>
            <w:tcBorders>
              <w:top w:val="single" w:sz="8" w:space="0" w:color="auto"/>
              <w:left w:val="nil"/>
              <w:bottom w:val="single" w:sz="8" w:space="0" w:color="auto"/>
              <w:right w:val="single" w:sz="4" w:space="0" w:color="auto"/>
            </w:tcBorders>
            <w:shd w:val="clear" w:color="000000" w:fill="EDEDED"/>
            <w:noWrap/>
            <w:vAlign w:val="bottom"/>
            <w:hideMark/>
          </w:tcPr>
          <w:p w14:paraId="5F0F86D3" w14:textId="77777777" w:rsidR="00DB7AF1" w:rsidRPr="00893B68" w:rsidRDefault="00DB7AF1" w:rsidP="002F65FB">
            <w:pPr>
              <w:jc w:val="right"/>
              <w:rPr>
                <w:rFonts w:ascii="Arial" w:hAnsi="Arial" w:cs="Arial"/>
                <w:b/>
                <w:bCs/>
                <w:color w:val="000000"/>
                <w:sz w:val="16"/>
                <w:szCs w:val="16"/>
                <w:lang w:eastAsia="es-AR"/>
              </w:rPr>
            </w:pPr>
            <w:r w:rsidRPr="00893B68">
              <w:rPr>
                <w:rFonts w:ascii="Arial" w:hAnsi="Arial" w:cs="Arial"/>
                <w:b/>
                <w:sz w:val="16"/>
                <w:szCs w:val="16"/>
              </w:rPr>
              <w:t>-</w:t>
            </w:r>
          </w:p>
        </w:tc>
        <w:tc>
          <w:tcPr>
            <w:tcW w:w="988" w:type="dxa"/>
            <w:tcBorders>
              <w:top w:val="single" w:sz="8" w:space="0" w:color="auto"/>
              <w:left w:val="nil"/>
              <w:bottom w:val="single" w:sz="8" w:space="0" w:color="auto"/>
              <w:right w:val="single" w:sz="8" w:space="0" w:color="auto"/>
            </w:tcBorders>
            <w:shd w:val="clear" w:color="000000" w:fill="EDEDED"/>
            <w:noWrap/>
            <w:vAlign w:val="bottom"/>
            <w:hideMark/>
          </w:tcPr>
          <w:p w14:paraId="71B423B7" w14:textId="77777777" w:rsidR="00DB7AF1" w:rsidRPr="00E74A5E" w:rsidRDefault="00DB7AF1" w:rsidP="002F65FB">
            <w:pPr>
              <w:jc w:val="right"/>
              <w:rPr>
                <w:rFonts w:ascii="Arial" w:hAnsi="Arial" w:cs="Arial"/>
                <w:b/>
                <w:bCs/>
                <w:color w:val="000000"/>
                <w:sz w:val="16"/>
                <w:szCs w:val="16"/>
                <w:lang w:eastAsia="es-AR"/>
              </w:rPr>
            </w:pPr>
            <w:r w:rsidRPr="00E74A5E">
              <w:rPr>
                <w:rFonts w:ascii="Arial" w:hAnsi="Arial" w:cs="Arial"/>
                <w:b/>
                <w:sz w:val="16"/>
                <w:szCs w:val="16"/>
              </w:rPr>
              <w:t>99.578.996</w:t>
            </w:r>
          </w:p>
        </w:tc>
      </w:tr>
    </w:tbl>
    <w:p w14:paraId="6394E0DB" w14:textId="77777777" w:rsidR="002E2271" w:rsidRDefault="002E2271" w:rsidP="00656E62">
      <w:pPr>
        <w:autoSpaceDE w:val="0"/>
        <w:autoSpaceDN w:val="0"/>
        <w:adjustRightInd w:val="0"/>
        <w:jc w:val="both"/>
        <w:rPr>
          <w:rFonts w:ascii="Arial" w:eastAsia="Arial" w:hAnsi="Arial" w:cs="Arial"/>
          <w:b/>
          <w:bCs/>
          <w:noProof/>
          <w:sz w:val="20"/>
        </w:rPr>
      </w:pPr>
    </w:p>
    <w:p w14:paraId="024D4D2E" w14:textId="77777777" w:rsidR="0077769E" w:rsidRPr="00701F32" w:rsidRDefault="0077769E" w:rsidP="0077769E">
      <w:pPr>
        <w:spacing w:after="160" w:line="259" w:lineRule="auto"/>
        <w:jc w:val="both"/>
        <w:rPr>
          <w:rFonts w:ascii="Arial" w:eastAsia="Calibri" w:hAnsi="Arial" w:cs="Arial"/>
          <w:b/>
          <w:bCs/>
          <w:color w:val="FF0000"/>
          <w:sz w:val="20"/>
        </w:rPr>
      </w:pPr>
      <w:r w:rsidRPr="00701F32">
        <w:rPr>
          <w:rFonts w:ascii="Arial" w:eastAsia="Calibri" w:hAnsi="Arial" w:cs="Arial"/>
          <w:b/>
          <w:bCs/>
          <w:sz w:val="20"/>
        </w:rPr>
        <w:t xml:space="preserve">Baja de Activos Financieros </w:t>
      </w:r>
    </w:p>
    <w:p w14:paraId="6A9694B5" w14:textId="77777777" w:rsidR="0077769E" w:rsidRPr="00701F32" w:rsidRDefault="0077769E" w:rsidP="0077769E">
      <w:pPr>
        <w:spacing w:after="160" w:line="259" w:lineRule="auto"/>
        <w:jc w:val="both"/>
        <w:rPr>
          <w:rFonts w:ascii="Arial" w:eastAsia="Calibri" w:hAnsi="Arial" w:cs="Arial"/>
          <w:bCs/>
          <w:sz w:val="20"/>
        </w:rPr>
      </w:pPr>
      <w:r w:rsidRPr="00701F32">
        <w:rPr>
          <w:rFonts w:ascii="Arial" w:eastAsia="Calibri" w:hAnsi="Arial" w:cs="Arial"/>
          <w:bCs/>
          <w:sz w:val="20"/>
        </w:rPr>
        <w:t>La cartera cedida a fideicomisos financieros no implica la baja de las mismas en las cuentas de activos de la Entidad. La misma ha mantenido sustancialmente todos los riesgos y beneficios asociados a la cartera fideicomitida de acuerdo a lo establecido en el punto 3.2.4. (Baja en cuentas de activos) de la NIIF 9 “Instrumentos Financieros”, reconociendo de esta forma la totalidad de la cartera securitizada y la deuda adquirida con el fideicomiso en su estado de situación financiera.</w:t>
      </w:r>
    </w:p>
    <w:p w14:paraId="2DD3CA09" w14:textId="77777777" w:rsidR="0077769E" w:rsidRPr="00701F32" w:rsidRDefault="0077769E" w:rsidP="0077769E">
      <w:pPr>
        <w:spacing w:after="160" w:line="259" w:lineRule="auto"/>
        <w:jc w:val="both"/>
        <w:rPr>
          <w:rFonts w:ascii="Arial" w:eastAsia="Calibri" w:hAnsi="Arial" w:cs="Arial"/>
          <w:bCs/>
          <w:sz w:val="20"/>
        </w:rPr>
      </w:pPr>
      <w:r w:rsidRPr="00701F32">
        <w:rPr>
          <w:rFonts w:ascii="Arial" w:eastAsia="Calibri" w:hAnsi="Arial" w:cs="Arial"/>
          <w:bCs/>
          <w:sz w:val="20"/>
        </w:rPr>
        <w:t>Se exponen a continuación los saldos de la cartera fideicomitida y la deuda asociada a las mismas:</w:t>
      </w:r>
    </w:p>
    <w:tbl>
      <w:tblPr>
        <w:tblW w:w="5000" w:type="pct"/>
        <w:tblCellMar>
          <w:left w:w="70" w:type="dxa"/>
          <w:right w:w="70" w:type="dxa"/>
        </w:tblCellMar>
        <w:tblLook w:val="04A0" w:firstRow="1" w:lastRow="0" w:firstColumn="1" w:lastColumn="0" w:noHBand="0" w:noVBand="1"/>
      </w:tblPr>
      <w:tblGrid>
        <w:gridCol w:w="5239"/>
        <w:gridCol w:w="1703"/>
        <w:gridCol w:w="1703"/>
      </w:tblGrid>
      <w:tr w:rsidR="0077769E" w:rsidRPr="00701F32" w14:paraId="3B4A154B" w14:textId="77777777" w:rsidTr="00DF0784">
        <w:trPr>
          <w:trHeight w:val="262"/>
          <w:tblHeader/>
        </w:trPr>
        <w:tc>
          <w:tcPr>
            <w:tcW w:w="30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A836D" w14:textId="77777777" w:rsidR="0077769E" w:rsidRPr="00B57E77" w:rsidRDefault="0077769E" w:rsidP="00DF0784">
            <w:pPr>
              <w:jc w:val="both"/>
              <w:rPr>
                <w:rFonts w:ascii="Arial" w:hAnsi="Arial" w:cs="Arial"/>
                <w:color w:val="000000"/>
                <w:sz w:val="18"/>
                <w:lang w:eastAsia="es-AR"/>
              </w:rPr>
            </w:pPr>
            <w:r w:rsidRPr="00B57E77">
              <w:rPr>
                <w:rFonts w:ascii="Arial" w:hAnsi="Arial" w:cs="Arial"/>
                <w:color w:val="000000"/>
                <w:sz w:val="18"/>
                <w:lang w:eastAsia="es-AR"/>
              </w:rPr>
              <w:t> </w:t>
            </w:r>
          </w:p>
        </w:tc>
        <w:tc>
          <w:tcPr>
            <w:tcW w:w="985" w:type="pct"/>
            <w:tcBorders>
              <w:top w:val="single" w:sz="4" w:space="0" w:color="auto"/>
              <w:left w:val="single" w:sz="4" w:space="0" w:color="auto"/>
              <w:bottom w:val="single" w:sz="4" w:space="0" w:color="auto"/>
              <w:right w:val="single" w:sz="4" w:space="0" w:color="auto"/>
            </w:tcBorders>
            <w:vAlign w:val="center"/>
          </w:tcPr>
          <w:p w14:paraId="1590C35E" w14:textId="79B714A5" w:rsidR="0077769E" w:rsidRPr="00B57E77" w:rsidRDefault="0077769E" w:rsidP="00DF0784">
            <w:pPr>
              <w:jc w:val="center"/>
              <w:rPr>
                <w:rFonts w:ascii="Arial" w:hAnsi="Arial" w:cs="Arial"/>
                <w:b/>
                <w:color w:val="000000"/>
                <w:sz w:val="18"/>
                <w:lang w:eastAsia="es-AR"/>
              </w:rPr>
            </w:pPr>
            <w:r w:rsidRPr="00B57E77">
              <w:rPr>
                <w:rFonts w:ascii="Arial" w:hAnsi="Arial" w:cs="Arial"/>
                <w:b/>
                <w:color w:val="000000"/>
                <w:sz w:val="18"/>
                <w:lang w:eastAsia="es-AR"/>
              </w:rPr>
              <w:t>31/12/201</w:t>
            </w:r>
            <w:r w:rsidR="007D2DED" w:rsidRPr="00B57E77">
              <w:rPr>
                <w:rFonts w:ascii="Arial" w:hAnsi="Arial" w:cs="Arial"/>
                <w:b/>
                <w:color w:val="000000"/>
                <w:sz w:val="18"/>
                <w:lang w:eastAsia="es-AR"/>
              </w:rPr>
              <w:t>9</w:t>
            </w:r>
          </w:p>
        </w:tc>
        <w:tc>
          <w:tcPr>
            <w:tcW w:w="9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3ADA9" w14:textId="4AD7D2C2" w:rsidR="0077769E" w:rsidRPr="00B57E77" w:rsidRDefault="0077769E" w:rsidP="00DF0784">
            <w:pPr>
              <w:jc w:val="center"/>
              <w:rPr>
                <w:rFonts w:ascii="Arial" w:hAnsi="Arial" w:cs="Arial"/>
                <w:b/>
                <w:color w:val="000000"/>
                <w:sz w:val="18"/>
                <w:lang w:eastAsia="es-AR"/>
              </w:rPr>
            </w:pPr>
            <w:r w:rsidRPr="00B57E77">
              <w:rPr>
                <w:rFonts w:ascii="Arial" w:hAnsi="Arial" w:cs="Arial"/>
                <w:b/>
                <w:color w:val="000000"/>
                <w:sz w:val="18"/>
                <w:lang w:eastAsia="es-AR"/>
              </w:rPr>
              <w:t>31/12/201</w:t>
            </w:r>
            <w:r w:rsidR="007D2DED" w:rsidRPr="00B57E77">
              <w:rPr>
                <w:rFonts w:ascii="Arial" w:hAnsi="Arial" w:cs="Arial"/>
                <w:b/>
                <w:color w:val="000000"/>
                <w:sz w:val="18"/>
                <w:lang w:eastAsia="es-AR"/>
              </w:rPr>
              <w:t>8</w:t>
            </w:r>
          </w:p>
        </w:tc>
      </w:tr>
      <w:tr w:rsidR="007D2DED" w:rsidRPr="00701F32" w14:paraId="0A0EA2EE" w14:textId="77777777" w:rsidTr="00DF0784">
        <w:trPr>
          <w:trHeight w:val="262"/>
        </w:trPr>
        <w:tc>
          <w:tcPr>
            <w:tcW w:w="3030" w:type="pct"/>
            <w:tcBorders>
              <w:top w:val="nil"/>
              <w:left w:val="single" w:sz="4" w:space="0" w:color="auto"/>
              <w:bottom w:val="single" w:sz="4" w:space="0" w:color="auto"/>
              <w:right w:val="single" w:sz="4" w:space="0" w:color="auto"/>
            </w:tcBorders>
            <w:shd w:val="clear" w:color="auto" w:fill="auto"/>
            <w:noWrap/>
            <w:vAlign w:val="bottom"/>
            <w:hideMark/>
          </w:tcPr>
          <w:p w14:paraId="241FC37A" w14:textId="77777777" w:rsidR="007D2DED" w:rsidRPr="00B57E77" w:rsidRDefault="007D2DED" w:rsidP="007D2DED">
            <w:pPr>
              <w:jc w:val="both"/>
              <w:rPr>
                <w:rFonts w:ascii="Arial" w:hAnsi="Arial" w:cs="Arial"/>
                <w:color w:val="000000"/>
                <w:sz w:val="18"/>
                <w:lang w:eastAsia="es-AR"/>
              </w:rPr>
            </w:pPr>
            <w:r w:rsidRPr="00B57E77">
              <w:rPr>
                <w:rFonts w:ascii="Arial" w:hAnsi="Arial" w:cs="Arial"/>
                <w:color w:val="000000"/>
                <w:sz w:val="18"/>
                <w:lang w:eastAsia="es-AR"/>
              </w:rPr>
              <w:t>Total de Activos Fideicomitidos</w:t>
            </w:r>
          </w:p>
        </w:tc>
        <w:tc>
          <w:tcPr>
            <w:tcW w:w="985" w:type="pct"/>
            <w:tcBorders>
              <w:top w:val="single" w:sz="4" w:space="0" w:color="auto"/>
              <w:left w:val="single" w:sz="4" w:space="0" w:color="auto"/>
              <w:bottom w:val="single" w:sz="4" w:space="0" w:color="auto"/>
              <w:right w:val="single" w:sz="4" w:space="0" w:color="auto"/>
            </w:tcBorders>
            <w:vAlign w:val="bottom"/>
          </w:tcPr>
          <w:p w14:paraId="719AE201" w14:textId="1B8FC5CB" w:rsidR="007D2DED" w:rsidRPr="00B57E77" w:rsidRDefault="00AB581A" w:rsidP="007D2DED">
            <w:pPr>
              <w:jc w:val="right"/>
              <w:rPr>
                <w:rFonts w:ascii="Arial" w:hAnsi="Arial" w:cs="Arial"/>
                <w:color w:val="000000"/>
                <w:sz w:val="18"/>
                <w:lang w:val="es-ES_tradnl" w:eastAsia="es-AR"/>
              </w:rPr>
            </w:pPr>
            <w:r>
              <w:rPr>
                <w:rFonts w:ascii="Arial" w:hAnsi="Arial" w:cs="Arial"/>
                <w:color w:val="000000"/>
                <w:sz w:val="18"/>
                <w:lang w:val="es-ES_tradnl" w:eastAsia="es-AR"/>
              </w:rPr>
              <w:t>111.922</w:t>
            </w:r>
          </w:p>
        </w:tc>
        <w:tc>
          <w:tcPr>
            <w:tcW w:w="9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D3387" w14:textId="54F8A17C" w:rsidR="007D2DED" w:rsidRPr="00B57E77" w:rsidRDefault="007D2DED" w:rsidP="007D2DED">
            <w:pPr>
              <w:jc w:val="right"/>
              <w:rPr>
                <w:rFonts w:ascii="Arial" w:hAnsi="Arial" w:cs="Arial"/>
                <w:color w:val="000000"/>
                <w:sz w:val="18"/>
                <w:lang w:eastAsia="es-AR"/>
              </w:rPr>
            </w:pPr>
            <w:r w:rsidRPr="00B57E77">
              <w:rPr>
                <w:rFonts w:ascii="Arial" w:hAnsi="Arial" w:cs="Arial"/>
                <w:color w:val="000000"/>
                <w:sz w:val="18"/>
                <w:lang w:eastAsia="es-AR"/>
              </w:rPr>
              <w:t>402.145</w:t>
            </w:r>
          </w:p>
        </w:tc>
      </w:tr>
      <w:tr w:rsidR="007D2DED" w:rsidRPr="00701F32" w14:paraId="434B74C3" w14:textId="77777777" w:rsidTr="00DF0784">
        <w:trPr>
          <w:trHeight w:val="262"/>
        </w:trPr>
        <w:tc>
          <w:tcPr>
            <w:tcW w:w="3030" w:type="pct"/>
            <w:tcBorders>
              <w:top w:val="nil"/>
              <w:left w:val="single" w:sz="4" w:space="0" w:color="auto"/>
              <w:bottom w:val="single" w:sz="4" w:space="0" w:color="auto"/>
              <w:right w:val="single" w:sz="4" w:space="0" w:color="auto"/>
            </w:tcBorders>
            <w:shd w:val="clear" w:color="auto" w:fill="auto"/>
            <w:noWrap/>
            <w:vAlign w:val="bottom"/>
            <w:hideMark/>
          </w:tcPr>
          <w:p w14:paraId="6E8D329D" w14:textId="748634C6" w:rsidR="007D2DED" w:rsidRPr="00B57E77" w:rsidRDefault="007D2DED" w:rsidP="007D2DED">
            <w:pPr>
              <w:jc w:val="both"/>
              <w:rPr>
                <w:rFonts w:ascii="Arial" w:hAnsi="Arial" w:cs="Arial"/>
                <w:color w:val="000000"/>
                <w:sz w:val="18"/>
                <w:lang w:eastAsia="es-AR"/>
              </w:rPr>
            </w:pPr>
            <w:r w:rsidRPr="00B57E77">
              <w:rPr>
                <w:rFonts w:ascii="Arial" w:hAnsi="Arial" w:cs="Arial"/>
                <w:color w:val="000000"/>
                <w:sz w:val="18"/>
                <w:lang w:eastAsia="es-AR"/>
              </w:rPr>
              <w:t xml:space="preserve">Pasivos asociados a la transferencia </w:t>
            </w:r>
          </w:p>
        </w:tc>
        <w:tc>
          <w:tcPr>
            <w:tcW w:w="985" w:type="pct"/>
            <w:tcBorders>
              <w:top w:val="single" w:sz="4" w:space="0" w:color="auto"/>
              <w:left w:val="single" w:sz="4" w:space="0" w:color="auto"/>
              <w:bottom w:val="single" w:sz="4" w:space="0" w:color="auto"/>
              <w:right w:val="single" w:sz="4" w:space="0" w:color="auto"/>
            </w:tcBorders>
            <w:vAlign w:val="bottom"/>
          </w:tcPr>
          <w:p w14:paraId="39DBAD0B" w14:textId="477978CD" w:rsidR="007D2DED" w:rsidRPr="00B57E77" w:rsidRDefault="00AB581A" w:rsidP="007D2DED">
            <w:pPr>
              <w:jc w:val="right"/>
              <w:rPr>
                <w:rFonts w:ascii="Arial" w:hAnsi="Arial" w:cs="Arial"/>
                <w:color w:val="000000"/>
                <w:sz w:val="18"/>
                <w:lang w:eastAsia="es-AR"/>
              </w:rPr>
            </w:pPr>
            <w:r>
              <w:rPr>
                <w:rFonts w:ascii="Arial" w:hAnsi="Arial" w:cs="Arial"/>
                <w:color w:val="000000"/>
                <w:sz w:val="18"/>
                <w:lang w:eastAsia="es-AR"/>
              </w:rPr>
              <w:t>27.785</w:t>
            </w:r>
          </w:p>
        </w:tc>
        <w:tc>
          <w:tcPr>
            <w:tcW w:w="9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A4A26" w14:textId="08C149F2" w:rsidR="007D2DED" w:rsidRPr="00B57E77" w:rsidRDefault="007D2DED" w:rsidP="007D2DED">
            <w:pPr>
              <w:jc w:val="right"/>
              <w:rPr>
                <w:rFonts w:ascii="Arial" w:hAnsi="Arial" w:cs="Arial"/>
                <w:color w:val="000000"/>
                <w:sz w:val="18"/>
                <w:lang w:eastAsia="es-AR"/>
              </w:rPr>
            </w:pPr>
            <w:r w:rsidRPr="00B57E77">
              <w:rPr>
                <w:rFonts w:ascii="Arial" w:hAnsi="Arial" w:cs="Arial"/>
                <w:color w:val="000000"/>
                <w:sz w:val="18"/>
                <w:lang w:eastAsia="es-AR"/>
              </w:rPr>
              <w:t>224.992</w:t>
            </w:r>
          </w:p>
        </w:tc>
      </w:tr>
    </w:tbl>
    <w:p w14:paraId="61610B7A" w14:textId="70837C1F" w:rsidR="0023020F" w:rsidRDefault="0023020F" w:rsidP="00656E62">
      <w:pPr>
        <w:autoSpaceDE w:val="0"/>
        <w:autoSpaceDN w:val="0"/>
        <w:adjustRightInd w:val="0"/>
        <w:jc w:val="both"/>
        <w:rPr>
          <w:rFonts w:ascii="Arial" w:eastAsia="Arial" w:hAnsi="Arial" w:cs="Arial"/>
          <w:b/>
          <w:bCs/>
          <w:noProof/>
          <w:sz w:val="20"/>
        </w:rPr>
      </w:pPr>
    </w:p>
    <w:p w14:paraId="35B6E479" w14:textId="77777777" w:rsidR="00B2136F" w:rsidRDefault="00B2136F" w:rsidP="000B099B">
      <w:pPr>
        <w:pStyle w:val="Style1"/>
        <w:jc w:val="both"/>
        <w:rPr>
          <w:rFonts w:ascii="Arial" w:eastAsia="Calibri" w:hAnsi="Arial" w:cs="Arial"/>
          <w:b/>
          <w:noProof w:val="0"/>
          <w:szCs w:val="20"/>
        </w:rPr>
      </w:pPr>
    </w:p>
    <w:p w14:paraId="5C3A06B0" w14:textId="77777777" w:rsidR="00B2136F" w:rsidRDefault="00B2136F" w:rsidP="000B099B">
      <w:pPr>
        <w:pStyle w:val="Style1"/>
        <w:jc w:val="both"/>
        <w:rPr>
          <w:rFonts w:ascii="Arial" w:eastAsia="Calibri" w:hAnsi="Arial" w:cs="Arial"/>
          <w:b/>
          <w:noProof w:val="0"/>
          <w:szCs w:val="20"/>
        </w:rPr>
      </w:pPr>
    </w:p>
    <w:p w14:paraId="79EB3549" w14:textId="4467C694" w:rsidR="000B099B" w:rsidRDefault="000B099B" w:rsidP="000B099B">
      <w:pPr>
        <w:pStyle w:val="Style1"/>
        <w:jc w:val="both"/>
        <w:rPr>
          <w:rFonts w:ascii="Arial" w:eastAsia="Calibri" w:hAnsi="Arial" w:cs="Arial"/>
          <w:b/>
          <w:noProof w:val="0"/>
          <w:szCs w:val="20"/>
        </w:rPr>
      </w:pPr>
      <w:r w:rsidRPr="00256DE1">
        <w:rPr>
          <w:rFonts w:ascii="Arial" w:eastAsia="Calibri" w:hAnsi="Arial" w:cs="Arial"/>
          <w:b/>
          <w:noProof w:val="0"/>
          <w:szCs w:val="20"/>
        </w:rPr>
        <w:t>Propiedades de Inversión</w:t>
      </w:r>
    </w:p>
    <w:p w14:paraId="4F683039" w14:textId="77777777" w:rsidR="000B099B" w:rsidRDefault="000B099B" w:rsidP="000B099B">
      <w:pPr>
        <w:pStyle w:val="Style1"/>
        <w:jc w:val="both"/>
        <w:rPr>
          <w:rFonts w:ascii="Arial" w:eastAsia="Calibri" w:hAnsi="Arial" w:cs="Arial"/>
          <w:b/>
          <w:noProof w:val="0"/>
          <w:szCs w:val="20"/>
        </w:rPr>
      </w:pPr>
    </w:p>
    <w:p w14:paraId="67BE523E" w14:textId="77777777" w:rsidR="00FD1EEE" w:rsidRDefault="00FD1EEE" w:rsidP="00FD1EEE">
      <w:pPr>
        <w:pStyle w:val="Style1"/>
        <w:jc w:val="both"/>
        <w:rPr>
          <w:rFonts w:ascii="Arial" w:eastAsia="Calibri" w:hAnsi="Arial" w:cs="Arial"/>
          <w:noProof w:val="0"/>
          <w:szCs w:val="20"/>
        </w:rPr>
      </w:pPr>
      <w:r w:rsidRPr="00730678">
        <w:rPr>
          <w:rFonts w:ascii="Arial" w:eastAsia="Calibri" w:hAnsi="Arial" w:cs="Arial"/>
          <w:noProof w:val="0"/>
          <w:szCs w:val="20"/>
        </w:rPr>
        <w:t xml:space="preserve">El </w:t>
      </w:r>
      <w:r>
        <w:rPr>
          <w:rFonts w:ascii="Arial" w:eastAsia="Calibri" w:hAnsi="Arial" w:cs="Arial"/>
          <w:noProof w:val="0"/>
          <w:szCs w:val="20"/>
        </w:rPr>
        <w:t>Banco</w:t>
      </w:r>
      <w:r w:rsidRPr="00730678">
        <w:rPr>
          <w:rFonts w:ascii="Arial" w:eastAsia="Calibri" w:hAnsi="Arial" w:cs="Arial"/>
          <w:noProof w:val="0"/>
          <w:szCs w:val="20"/>
        </w:rPr>
        <w:t xml:space="preserve"> obtiene </w:t>
      </w:r>
      <w:r>
        <w:rPr>
          <w:rFonts w:ascii="Arial" w:eastAsia="Calibri" w:hAnsi="Arial" w:cs="Arial"/>
          <w:noProof w:val="0"/>
          <w:szCs w:val="20"/>
        </w:rPr>
        <w:t>tasaciones</w:t>
      </w:r>
      <w:r w:rsidRPr="00730678">
        <w:rPr>
          <w:rFonts w:ascii="Arial" w:eastAsia="Calibri" w:hAnsi="Arial" w:cs="Arial"/>
          <w:noProof w:val="0"/>
          <w:szCs w:val="20"/>
        </w:rPr>
        <w:t xml:space="preserve"> </w:t>
      </w:r>
      <w:r>
        <w:rPr>
          <w:rFonts w:ascii="Arial" w:eastAsia="Calibri" w:hAnsi="Arial" w:cs="Arial"/>
          <w:noProof w:val="0"/>
          <w:szCs w:val="20"/>
        </w:rPr>
        <w:t xml:space="preserve">realizadas por peritos </w:t>
      </w:r>
      <w:r w:rsidRPr="00730678">
        <w:rPr>
          <w:rFonts w:ascii="Arial" w:eastAsia="Calibri" w:hAnsi="Arial" w:cs="Arial"/>
          <w:noProof w:val="0"/>
          <w:szCs w:val="20"/>
        </w:rPr>
        <w:t xml:space="preserve">independientes para </w:t>
      </w:r>
      <w:r>
        <w:rPr>
          <w:rFonts w:ascii="Arial" w:eastAsia="Calibri" w:hAnsi="Arial" w:cs="Arial"/>
          <w:noProof w:val="0"/>
          <w:szCs w:val="20"/>
        </w:rPr>
        <w:t>las</w:t>
      </w:r>
      <w:r w:rsidRPr="00730678">
        <w:rPr>
          <w:rFonts w:ascii="Arial" w:eastAsia="Calibri" w:hAnsi="Arial" w:cs="Arial"/>
          <w:noProof w:val="0"/>
          <w:szCs w:val="20"/>
        </w:rPr>
        <w:t xml:space="preserve"> propiedades de inversión al menos </w:t>
      </w:r>
      <w:r>
        <w:rPr>
          <w:rFonts w:ascii="Arial" w:eastAsia="Calibri" w:hAnsi="Arial" w:cs="Arial"/>
          <w:noProof w:val="0"/>
          <w:szCs w:val="20"/>
        </w:rPr>
        <w:t>una vez al año.</w:t>
      </w:r>
    </w:p>
    <w:p w14:paraId="0B65F8C8" w14:textId="77777777" w:rsidR="00FD1EEE" w:rsidRPr="00730678" w:rsidRDefault="00FD1EEE" w:rsidP="00FD1EEE">
      <w:pPr>
        <w:pStyle w:val="Style1"/>
        <w:jc w:val="both"/>
        <w:rPr>
          <w:rFonts w:ascii="Arial" w:eastAsia="Calibri" w:hAnsi="Arial" w:cs="Arial"/>
          <w:noProof w:val="0"/>
          <w:szCs w:val="20"/>
        </w:rPr>
      </w:pPr>
    </w:p>
    <w:p w14:paraId="6205C57B" w14:textId="216E46BC" w:rsidR="00FD1EEE" w:rsidRDefault="00FD1EEE" w:rsidP="00FD1EEE">
      <w:pPr>
        <w:pStyle w:val="Style1"/>
        <w:jc w:val="both"/>
        <w:rPr>
          <w:rFonts w:ascii="Arial" w:eastAsia="Calibri" w:hAnsi="Arial" w:cs="Arial"/>
          <w:noProof w:val="0"/>
          <w:szCs w:val="20"/>
        </w:rPr>
      </w:pPr>
      <w:r w:rsidRPr="00730678">
        <w:rPr>
          <w:rFonts w:ascii="Arial" w:eastAsia="Calibri" w:hAnsi="Arial" w:cs="Arial"/>
          <w:noProof w:val="0"/>
          <w:szCs w:val="20"/>
        </w:rPr>
        <w:t xml:space="preserve">La mejor evidencia del valor razonable son los precios actuales en un mercado activo para propiedades similares. </w:t>
      </w:r>
      <w:r>
        <w:rPr>
          <w:rFonts w:ascii="Arial" w:eastAsia="Calibri" w:hAnsi="Arial" w:cs="Arial"/>
          <w:noProof w:val="0"/>
          <w:szCs w:val="20"/>
        </w:rPr>
        <w:t xml:space="preserve">Cuando </w:t>
      </w:r>
      <w:r w:rsidRPr="00730678">
        <w:rPr>
          <w:rFonts w:ascii="Arial" w:eastAsia="Calibri" w:hAnsi="Arial" w:cs="Arial"/>
          <w:noProof w:val="0"/>
          <w:szCs w:val="20"/>
        </w:rPr>
        <w:t xml:space="preserve">no hay información disponible, </w:t>
      </w:r>
      <w:r>
        <w:rPr>
          <w:rFonts w:ascii="Arial" w:eastAsia="Calibri" w:hAnsi="Arial" w:cs="Arial"/>
          <w:noProof w:val="0"/>
          <w:szCs w:val="20"/>
        </w:rPr>
        <w:t>el Banco</w:t>
      </w:r>
      <w:r w:rsidRPr="00730678">
        <w:rPr>
          <w:rFonts w:ascii="Arial" w:eastAsia="Calibri" w:hAnsi="Arial" w:cs="Arial"/>
          <w:noProof w:val="0"/>
          <w:szCs w:val="20"/>
        </w:rPr>
        <w:t xml:space="preserve"> considera</w:t>
      </w:r>
      <w:r>
        <w:rPr>
          <w:rFonts w:ascii="Arial" w:eastAsia="Calibri" w:hAnsi="Arial" w:cs="Arial"/>
          <w:noProof w:val="0"/>
          <w:szCs w:val="20"/>
        </w:rPr>
        <w:t>:</w:t>
      </w:r>
    </w:p>
    <w:p w14:paraId="1E9C6DFF" w14:textId="77777777" w:rsidR="00BA5FEF" w:rsidRPr="00730678" w:rsidRDefault="00BA5FEF" w:rsidP="00FD1EEE">
      <w:pPr>
        <w:pStyle w:val="Style1"/>
        <w:jc w:val="both"/>
        <w:rPr>
          <w:rFonts w:ascii="Arial" w:eastAsia="Calibri" w:hAnsi="Arial" w:cs="Arial"/>
          <w:noProof w:val="0"/>
          <w:szCs w:val="20"/>
        </w:rPr>
      </w:pPr>
    </w:p>
    <w:p w14:paraId="1275DBB3" w14:textId="785E27BB" w:rsidR="00FD1EEE" w:rsidRPr="00730678" w:rsidRDefault="00FD1EEE" w:rsidP="00FD1EEE">
      <w:pPr>
        <w:pStyle w:val="Style1"/>
        <w:jc w:val="both"/>
        <w:rPr>
          <w:rFonts w:ascii="Arial" w:eastAsia="Calibri" w:hAnsi="Arial" w:cs="Arial"/>
          <w:noProof w:val="0"/>
          <w:szCs w:val="20"/>
        </w:rPr>
      </w:pPr>
      <w:r>
        <w:rPr>
          <w:rFonts w:ascii="Arial" w:eastAsia="Calibri" w:hAnsi="Arial" w:cs="Arial"/>
          <w:noProof w:val="0"/>
          <w:szCs w:val="20"/>
        </w:rPr>
        <w:t xml:space="preserve">- </w:t>
      </w:r>
      <w:r w:rsidRPr="00730678">
        <w:rPr>
          <w:rFonts w:ascii="Arial" w:eastAsia="Calibri" w:hAnsi="Arial" w:cs="Arial"/>
          <w:noProof w:val="0"/>
          <w:szCs w:val="20"/>
        </w:rPr>
        <w:t>precios actuales en un mercado activo para propiedades de diferente naturaleza o precios recientes de similar</w:t>
      </w:r>
      <w:r>
        <w:rPr>
          <w:rFonts w:ascii="Arial" w:eastAsia="Calibri" w:hAnsi="Arial" w:cs="Arial"/>
          <w:noProof w:val="0"/>
          <w:szCs w:val="20"/>
        </w:rPr>
        <w:t xml:space="preserve">es </w:t>
      </w:r>
      <w:r w:rsidRPr="00730678">
        <w:rPr>
          <w:rFonts w:ascii="Arial" w:eastAsia="Calibri" w:hAnsi="Arial" w:cs="Arial"/>
          <w:noProof w:val="0"/>
          <w:szCs w:val="20"/>
        </w:rPr>
        <w:t>propiedades en mercados menos activos</w:t>
      </w:r>
      <w:r>
        <w:rPr>
          <w:rFonts w:ascii="Arial" w:eastAsia="Calibri" w:hAnsi="Arial" w:cs="Arial"/>
          <w:noProof w:val="0"/>
          <w:szCs w:val="20"/>
        </w:rPr>
        <w:t>.</w:t>
      </w:r>
    </w:p>
    <w:p w14:paraId="4E7A179A" w14:textId="4F2717E2" w:rsidR="00FD1EEE" w:rsidRPr="00730678" w:rsidRDefault="00FD1EEE" w:rsidP="00FD1EEE">
      <w:pPr>
        <w:pStyle w:val="Style1"/>
        <w:jc w:val="both"/>
        <w:rPr>
          <w:rFonts w:ascii="Arial" w:eastAsia="Calibri" w:hAnsi="Arial" w:cs="Arial"/>
          <w:noProof w:val="0"/>
          <w:szCs w:val="20"/>
        </w:rPr>
      </w:pPr>
      <w:r>
        <w:rPr>
          <w:rFonts w:ascii="Arial" w:eastAsia="Calibri" w:hAnsi="Arial" w:cs="Arial"/>
          <w:noProof w:val="0"/>
          <w:szCs w:val="20"/>
        </w:rPr>
        <w:t xml:space="preserve">- </w:t>
      </w:r>
      <w:r w:rsidRPr="00730678">
        <w:rPr>
          <w:rFonts w:ascii="Arial" w:eastAsia="Calibri" w:hAnsi="Arial" w:cs="Arial"/>
          <w:noProof w:val="0"/>
          <w:szCs w:val="20"/>
        </w:rPr>
        <w:t>flujo</w:t>
      </w:r>
      <w:r>
        <w:rPr>
          <w:rFonts w:ascii="Arial" w:eastAsia="Calibri" w:hAnsi="Arial" w:cs="Arial"/>
          <w:noProof w:val="0"/>
          <w:szCs w:val="20"/>
        </w:rPr>
        <w:t>s</w:t>
      </w:r>
      <w:r w:rsidRPr="00730678">
        <w:rPr>
          <w:rFonts w:ascii="Arial" w:eastAsia="Calibri" w:hAnsi="Arial" w:cs="Arial"/>
          <w:noProof w:val="0"/>
          <w:szCs w:val="20"/>
        </w:rPr>
        <w:t xml:space="preserve"> de </w:t>
      </w:r>
      <w:r>
        <w:rPr>
          <w:rFonts w:ascii="Arial" w:eastAsia="Calibri" w:hAnsi="Arial" w:cs="Arial"/>
          <w:noProof w:val="0"/>
          <w:szCs w:val="20"/>
        </w:rPr>
        <w:t>fondos</w:t>
      </w:r>
      <w:r w:rsidRPr="00730678">
        <w:rPr>
          <w:rFonts w:ascii="Arial" w:eastAsia="Calibri" w:hAnsi="Arial" w:cs="Arial"/>
          <w:noProof w:val="0"/>
          <w:szCs w:val="20"/>
        </w:rPr>
        <w:t xml:space="preserve"> descontad</w:t>
      </w:r>
      <w:r>
        <w:rPr>
          <w:rFonts w:ascii="Arial" w:eastAsia="Calibri" w:hAnsi="Arial" w:cs="Arial"/>
          <w:noProof w:val="0"/>
          <w:szCs w:val="20"/>
        </w:rPr>
        <w:t>o</w:t>
      </w:r>
      <w:r w:rsidRPr="00730678">
        <w:rPr>
          <w:rFonts w:ascii="Arial" w:eastAsia="Calibri" w:hAnsi="Arial" w:cs="Arial"/>
          <w:noProof w:val="0"/>
          <w:szCs w:val="20"/>
        </w:rPr>
        <w:t>s basad</w:t>
      </w:r>
      <w:r>
        <w:rPr>
          <w:rFonts w:ascii="Arial" w:eastAsia="Calibri" w:hAnsi="Arial" w:cs="Arial"/>
          <w:noProof w:val="0"/>
          <w:szCs w:val="20"/>
        </w:rPr>
        <w:t>o</w:t>
      </w:r>
      <w:r w:rsidRPr="00730678">
        <w:rPr>
          <w:rFonts w:ascii="Arial" w:eastAsia="Calibri" w:hAnsi="Arial" w:cs="Arial"/>
          <w:noProof w:val="0"/>
          <w:szCs w:val="20"/>
        </w:rPr>
        <w:t>s en estimaciones confiables de flujos de efectivo futuros</w:t>
      </w:r>
      <w:r w:rsidR="00BA5FEF">
        <w:rPr>
          <w:rFonts w:ascii="Arial" w:eastAsia="Calibri" w:hAnsi="Arial" w:cs="Arial"/>
          <w:noProof w:val="0"/>
          <w:szCs w:val="20"/>
        </w:rPr>
        <w:t>.</w:t>
      </w:r>
    </w:p>
    <w:p w14:paraId="3CE843EA" w14:textId="77777777" w:rsidR="00FD1EEE" w:rsidRPr="00730678" w:rsidRDefault="00FD1EEE" w:rsidP="00FD1EEE">
      <w:pPr>
        <w:pStyle w:val="Style1"/>
        <w:jc w:val="both"/>
        <w:rPr>
          <w:rFonts w:ascii="Arial" w:eastAsia="Calibri" w:hAnsi="Arial" w:cs="Arial"/>
          <w:noProof w:val="0"/>
          <w:szCs w:val="20"/>
        </w:rPr>
      </w:pPr>
      <w:r>
        <w:rPr>
          <w:rFonts w:ascii="Arial" w:eastAsia="Calibri" w:hAnsi="Arial" w:cs="Arial"/>
          <w:noProof w:val="0"/>
          <w:szCs w:val="20"/>
        </w:rPr>
        <w:t xml:space="preserve">- </w:t>
      </w:r>
      <w:r w:rsidRPr="00730678">
        <w:rPr>
          <w:rFonts w:ascii="Arial" w:eastAsia="Calibri" w:hAnsi="Arial" w:cs="Arial"/>
          <w:noProof w:val="0"/>
          <w:szCs w:val="20"/>
        </w:rPr>
        <w:t>proyecciones de ingresos</w:t>
      </w:r>
      <w:r>
        <w:rPr>
          <w:rFonts w:ascii="Arial" w:eastAsia="Calibri" w:hAnsi="Arial" w:cs="Arial"/>
          <w:noProof w:val="0"/>
          <w:szCs w:val="20"/>
        </w:rPr>
        <w:t>.</w:t>
      </w:r>
    </w:p>
    <w:p w14:paraId="35824119" w14:textId="77777777" w:rsidR="00FD1EEE" w:rsidRDefault="00FD1EEE" w:rsidP="00FD1EEE">
      <w:pPr>
        <w:pStyle w:val="Style1"/>
        <w:jc w:val="both"/>
        <w:rPr>
          <w:rFonts w:ascii="Arial" w:eastAsia="Calibri" w:hAnsi="Arial" w:cs="Arial"/>
          <w:noProof w:val="0"/>
          <w:szCs w:val="20"/>
        </w:rPr>
      </w:pPr>
    </w:p>
    <w:p w14:paraId="610834CC" w14:textId="29CC291F" w:rsidR="00FD1EEE" w:rsidRDefault="00FD1EEE" w:rsidP="00FD1EEE">
      <w:pPr>
        <w:pStyle w:val="Style1"/>
        <w:jc w:val="both"/>
        <w:rPr>
          <w:rFonts w:ascii="Arial" w:eastAsia="Calibri" w:hAnsi="Arial" w:cs="Arial"/>
          <w:noProof w:val="0"/>
          <w:szCs w:val="20"/>
        </w:rPr>
      </w:pPr>
      <w:r w:rsidRPr="00730678">
        <w:rPr>
          <w:rFonts w:ascii="Arial" w:eastAsia="Calibri" w:hAnsi="Arial" w:cs="Arial"/>
          <w:noProof w:val="0"/>
          <w:szCs w:val="20"/>
        </w:rPr>
        <w:t xml:space="preserve">Todas las estimaciones de valor razonable para las propiedades </w:t>
      </w:r>
      <w:r>
        <w:rPr>
          <w:rFonts w:ascii="Arial" w:eastAsia="Calibri" w:hAnsi="Arial" w:cs="Arial"/>
          <w:noProof w:val="0"/>
          <w:szCs w:val="20"/>
        </w:rPr>
        <w:t xml:space="preserve">de inversión </w:t>
      </w:r>
      <w:r w:rsidRPr="00730678">
        <w:rPr>
          <w:rFonts w:ascii="Arial" w:eastAsia="Calibri" w:hAnsi="Arial" w:cs="Arial"/>
          <w:noProof w:val="0"/>
          <w:szCs w:val="20"/>
        </w:rPr>
        <w:t>se incluyen en el nivel 3</w:t>
      </w:r>
      <w:r>
        <w:rPr>
          <w:rFonts w:ascii="Arial" w:eastAsia="Calibri" w:hAnsi="Arial" w:cs="Arial"/>
          <w:noProof w:val="0"/>
          <w:szCs w:val="20"/>
        </w:rPr>
        <w:t>.</w:t>
      </w:r>
    </w:p>
    <w:p w14:paraId="12DE5259" w14:textId="77777777" w:rsidR="00FD1EEE" w:rsidRDefault="00FD1EEE" w:rsidP="00FD1EEE">
      <w:pPr>
        <w:pStyle w:val="Style1"/>
        <w:jc w:val="both"/>
        <w:rPr>
          <w:rFonts w:ascii="Arial" w:eastAsia="Calibri" w:hAnsi="Arial" w:cs="Arial"/>
          <w:noProof w:val="0"/>
          <w:szCs w:val="20"/>
        </w:rPr>
      </w:pPr>
    </w:p>
    <w:p w14:paraId="7609EACF" w14:textId="77777777" w:rsidR="00FD1EEE" w:rsidRPr="00256DE1" w:rsidRDefault="00FD1EEE" w:rsidP="00FD1EEE">
      <w:pPr>
        <w:autoSpaceDE w:val="0"/>
        <w:autoSpaceDN w:val="0"/>
        <w:adjustRightInd w:val="0"/>
        <w:jc w:val="both"/>
        <w:rPr>
          <w:rFonts w:ascii="Arial" w:eastAsia="Calibri" w:hAnsi="Arial" w:cs="Arial"/>
          <w:sz w:val="20"/>
        </w:rPr>
      </w:pPr>
      <w:r w:rsidRPr="00730678">
        <w:rPr>
          <w:rFonts w:ascii="Arial" w:eastAsia="Calibri" w:hAnsi="Arial" w:cs="Arial"/>
          <w:sz w:val="20"/>
        </w:rPr>
        <w:t>A continuación se resume la información cuantitativa sobre las premisas no observables utilizadas en la medición del nivel 3:</w:t>
      </w:r>
      <w:r>
        <w:rPr>
          <w:rFonts w:ascii="Arial" w:eastAsia="Calibri" w:hAnsi="Arial" w:cs="Arial"/>
          <w:sz w:val="20"/>
        </w:rPr>
        <w:t xml:space="preserve"> </w:t>
      </w:r>
    </w:p>
    <w:p w14:paraId="78CE88D1" w14:textId="77777777" w:rsidR="00965A05" w:rsidRDefault="00965A05" w:rsidP="00A059FB">
      <w:pPr>
        <w:pStyle w:val="Style1"/>
        <w:ind w:left="720"/>
        <w:jc w:val="both"/>
        <w:rPr>
          <w:rFonts w:ascii="Arial" w:eastAsia="Calibri" w:hAnsi="Arial" w:cs="Arial"/>
          <w:noProof w:val="0"/>
          <w:szCs w:val="20"/>
        </w:rPr>
      </w:pPr>
    </w:p>
    <w:p w14:paraId="2663B662" w14:textId="77777777" w:rsidR="00965A05" w:rsidRDefault="00965A05" w:rsidP="00965A05">
      <w:pPr>
        <w:pStyle w:val="Style1"/>
        <w:numPr>
          <w:ilvl w:val="0"/>
          <w:numId w:val="32"/>
        </w:numPr>
        <w:jc w:val="both"/>
        <w:rPr>
          <w:rFonts w:ascii="Arial" w:eastAsia="Calibri" w:hAnsi="Arial" w:cs="Arial"/>
          <w:noProof w:val="0"/>
          <w:szCs w:val="20"/>
        </w:rPr>
      </w:pPr>
      <w:r w:rsidRPr="00730678">
        <w:rPr>
          <w:rFonts w:ascii="Arial" w:eastAsia="Calibri" w:hAnsi="Arial" w:cs="Arial"/>
          <w:noProof w:val="0"/>
          <w:szCs w:val="20"/>
        </w:rPr>
        <w:t>Valor</w:t>
      </w:r>
      <w:r>
        <w:rPr>
          <w:rFonts w:ascii="Arial" w:eastAsia="Calibri" w:hAnsi="Arial" w:cs="Arial"/>
          <w:noProof w:val="0"/>
          <w:szCs w:val="20"/>
        </w:rPr>
        <w:t xml:space="preserve"> </w:t>
      </w:r>
      <w:r w:rsidRPr="00730678">
        <w:rPr>
          <w:rFonts w:ascii="Arial" w:eastAsia="Calibri" w:hAnsi="Arial" w:cs="Arial"/>
          <w:noProof w:val="0"/>
          <w:szCs w:val="20"/>
        </w:rPr>
        <w:t>del metro cuadrado</w:t>
      </w:r>
      <w:r>
        <w:rPr>
          <w:rFonts w:ascii="Arial" w:eastAsia="Calibri" w:hAnsi="Arial" w:cs="Arial"/>
          <w:noProof w:val="0"/>
          <w:szCs w:val="20"/>
        </w:rPr>
        <w:t xml:space="preserve"> promedio: </w:t>
      </w:r>
    </w:p>
    <w:p w14:paraId="5F5A2C0B" w14:textId="77777777" w:rsidR="00965A05" w:rsidRDefault="00965A05" w:rsidP="00965A05">
      <w:pPr>
        <w:pStyle w:val="Style1"/>
        <w:numPr>
          <w:ilvl w:val="1"/>
          <w:numId w:val="32"/>
        </w:numPr>
        <w:jc w:val="both"/>
        <w:rPr>
          <w:rFonts w:ascii="Arial" w:eastAsia="Calibri" w:hAnsi="Arial" w:cs="Arial"/>
          <w:noProof w:val="0"/>
          <w:szCs w:val="20"/>
        </w:rPr>
      </w:pPr>
      <w:r>
        <w:rPr>
          <w:rFonts w:ascii="Arial" w:eastAsia="Calibri" w:hAnsi="Arial" w:cs="Arial"/>
          <w:noProof w:val="0"/>
          <w:szCs w:val="20"/>
        </w:rPr>
        <w:t xml:space="preserve">Terreno: </w:t>
      </w:r>
      <w:r w:rsidRPr="00965A05">
        <w:rPr>
          <w:rFonts w:ascii="Arial" w:eastAsia="Calibri" w:hAnsi="Arial" w:cs="Arial"/>
          <w:noProof w:val="0"/>
          <w:szCs w:val="20"/>
        </w:rPr>
        <w:t>46.46</w:t>
      </w:r>
      <w:r>
        <w:rPr>
          <w:rFonts w:ascii="Arial" w:eastAsia="Calibri" w:hAnsi="Arial" w:cs="Arial"/>
          <w:noProof w:val="0"/>
          <w:szCs w:val="20"/>
        </w:rPr>
        <w:t>1</w:t>
      </w:r>
    </w:p>
    <w:p w14:paraId="5BAA1F5B" w14:textId="7893F63B" w:rsidR="00965A05" w:rsidRPr="00965A05" w:rsidRDefault="00965A05" w:rsidP="00A059FB">
      <w:pPr>
        <w:pStyle w:val="Style1"/>
        <w:numPr>
          <w:ilvl w:val="1"/>
          <w:numId w:val="32"/>
        </w:numPr>
        <w:jc w:val="both"/>
        <w:rPr>
          <w:rFonts w:ascii="Arial" w:eastAsia="Calibri" w:hAnsi="Arial" w:cs="Arial"/>
          <w:noProof w:val="0"/>
          <w:szCs w:val="20"/>
        </w:rPr>
      </w:pPr>
      <w:r w:rsidRPr="00965A05">
        <w:rPr>
          <w:rFonts w:ascii="Arial" w:eastAsia="Calibri" w:hAnsi="Arial" w:cs="Arial"/>
          <w:noProof w:val="0"/>
          <w:szCs w:val="20"/>
        </w:rPr>
        <w:t>Inmuebles – Oficinas: 640</w:t>
      </w:r>
    </w:p>
    <w:p w14:paraId="0DFC24D7" w14:textId="2BEDC4F8" w:rsidR="00FD1EEE" w:rsidRPr="00730678" w:rsidRDefault="00FD1EEE" w:rsidP="00965A05">
      <w:pPr>
        <w:pStyle w:val="Style1"/>
        <w:numPr>
          <w:ilvl w:val="0"/>
          <w:numId w:val="32"/>
        </w:numPr>
        <w:jc w:val="both"/>
        <w:rPr>
          <w:rFonts w:ascii="Arial" w:eastAsia="Calibri" w:hAnsi="Arial" w:cs="Arial"/>
          <w:noProof w:val="0"/>
          <w:szCs w:val="20"/>
        </w:rPr>
      </w:pPr>
      <w:r>
        <w:rPr>
          <w:rFonts w:ascii="Arial" w:eastAsia="Calibri" w:hAnsi="Arial" w:cs="Arial"/>
          <w:noProof w:val="0"/>
          <w:szCs w:val="20"/>
        </w:rPr>
        <w:t>Comparación</w:t>
      </w:r>
      <w:r w:rsidRPr="00730678">
        <w:rPr>
          <w:rFonts w:ascii="Arial" w:eastAsia="Calibri" w:hAnsi="Arial" w:cs="Arial"/>
          <w:noProof w:val="0"/>
          <w:szCs w:val="20"/>
        </w:rPr>
        <w:t xml:space="preserve"> con tres cotizaciones recientes de propiedades similares y próximas al inmueble. </w:t>
      </w:r>
    </w:p>
    <w:p w14:paraId="1D1E13BD" w14:textId="77777777" w:rsidR="00FD1EEE" w:rsidRPr="00730678" w:rsidRDefault="00FD1EEE" w:rsidP="00FD1EEE">
      <w:pPr>
        <w:pStyle w:val="Style1"/>
        <w:numPr>
          <w:ilvl w:val="0"/>
          <w:numId w:val="32"/>
        </w:numPr>
        <w:jc w:val="both"/>
        <w:rPr>
          <w:rFonts w:ascii="Arial" w:eastAsia="Calibri" w:hAnsi="Arial" w:cs="Arial"/>
          <w:noProof w:val="0"/>
          <w:szCs w:val="20"/>
        </w:rPr>
      </w:pPr>
      <w:r w:rsidRPr="00730678">
        <w:rPr>
          <w:rFonts w:ascii="Arial" w:eastAsia="Calibri" w:hAnsi="Arial" w:cs="Arial"/>
          <w:noProof w:val="0"/>
          <w:szCs w:val="20"/>
        </w:rPr>
        <w:t xml:space="preserve">Dado que las tasaciones son en moneda extranjera, se convierte al tipo de cambio de referencia BCRA </w:t>
      </w:r>
      <w:r>
        <w:rPr>
          <w:rFonts w:ascii="Arial" w:eastAsia="Calibri" w:hAnsi="Arial" w:cs="Arial"/>
          <w:noProof w:val="0"/>
          <w:szCs w:val="20"/>
        </w:rPr>
        <w:t xml:space="preserve">del día de la tasación. </w:t>
      </w:r>
    </w:p>
    <w:p w14:paraId="45425B13" w14:textId="62F18D15" w:rsidR="00554753" w:rsidRPr="00A059FB" w:rsidRDefault="00554753" w:rsidP="000B099B">
      <w:pPr>
        <w:autoSpaceDE w:val="0"/>
        <w:autoSpaceDN w:val="0"/>
        <w:adjustRightInd w:val="0"/>
        <w:jc w:val="both"/>
        <w:rPr>
          <w:rFonts w:ascii="Arial" w:eastAsia="Calibri" w:hAnsi="Arial" w:cs="Arial"/>
          <w:sz w:val="20"/>
        </w:rPr>
      </w:pPr>
      <w:r>
        <w:rPr>
          <w:rFonts w:ascii="Arial" w:eastAsia="Calibri" w:hAnsi="Arial" w:cs="Arial"/>
          <w:sz w:val="20"/>
        </w:rPr>
        <w:t xml:space="preserve"> </w:t>
      </w:r>
    </w:p>
    <w:p w14:paraId="0CB79785" w14:textId="296F220A" w:rsidR="007D2DED" w:rsidRDefault="00FE2245" w:rsidP="007D2DED">
      <w:pPr>
        <w:spacing w:after="160" w:line="259" w:lineRule="auto"/>
        <w:jc w:val="both"/>
        <w:rPr>
          <w:rFonts w:ascii="Arial" w:eastAsia="Calibri" w:hAnsi="Arial" w:cs="Arial"/>
          <w:b/>
          <w:sz w:val="20"/>
        </w:rPr>
      </w:pPr>
      <w:r>
        <w:rPr>
          <w:rFonts w:ascii="Arial" w:eastAsia="Calibri" w:hAnsi="Arial" w:cs="Arial"/>
          <w:b/>
          <w:sz w:val="20"/>
        </w:rPr>
        <w:t>6</w:t>
      </w:r>
      <w:r w:rsidR="007D2DED" w:rsidRPr="00701F32">
        <w:rPr>
          <w:rFonts w:ascii="Arial" w:eastAsia="Calibri" w:hAnsi="Arial" w:cs="Arial"/>
          <w:b/>
          <w:sz w:val="20"/>
        </w:rPr>
        <w:t>. DETALLE DE PRINCIPALES RUBROS</w:t>
      </w:r>
    </w:p>
    <w:p w14:paraId="7A3C7A51" w14:textId="77777777" w:rsidR="007D2DED" w:rsidRPr="00EC349E" w:rsidRDefault="007D2DED" w:rsidP="007D2DED">
      <w:pPr>
        <w:spacing w:after="160" w:line="259" w:lineRule="auto"/>
        <w:jc w:val="both"/>
        <w:rPr>
          <w:rFonts w:ascii="Arial" w:eastAsia="Calibri" w:hAnsi="Arial" w:cs="Arial"/>
          <w:sz w:val="20"/>
        </w:rPr>
      </w:pPr>
      <w:r w:rsidRPr="00701F32">
        <w:rPr>
          <w:rFonts w:ascii="Arial" w:eastAsia="Calibri" w:hAnsi="Arial" w:cs="Arial"/>
          <w:sz w:val="20"/>
        </w:rPr>
        <w:t>Se expone a continuación el detalle de los principales rubros de activo</w:t>
      </w:r>
      <w:r>
        <w:rPr>
          <w:rFonts w:ascii="Arial" w:eastAsia="Calibri" w:hAnsi="Arial" w:cs="Arial"/>
          <w:sz w:val="20"/>
        </w:rPr>
        <w:t>,</w:t>
      </w:r>
      <w:r w:rsidRPr="00701F32">
        <w:rPr>
          <w:rFonts w:ascii="Arial" w:eastAsia="Calibri" w:hAnsi="Arial" w:cs="Arial"/>
          <w:sz w:val="20"/>
        </w:rPr>
        <w:t xml:space="preserve"> pasivo</w:t>
      </w:r>
      <w:r>
        <w:rPr>
          <w:rFonts w:ascii="Arial" w:eastAsia="Calibri" w:hAnsi="Arial" w:cs="Arial"/>
          <w:sz w:val="20"/>
        </w:rPr>
        <w:t xml:space="preserve"> y resultados</w:t>
      </w:r>
      <w:r w:rsidRPr="00701F32">
        <w:rPr>
          <w:rFonts w:ascii="Arial" w:eastAsia="Calibri" w:hAnsi="Arial" w:cs="Arial"/>
          <w:sz w:val="20"/>
        </w:rPr>
        <w:t>:</w:t>
      </w:r>
    </w:p>
    <w:p w14:paraId="7D2D6DAF" w14:textId="00157B18"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sidRPr="00701F32">
        <w:rPr>
          <w:rFonts w:ascii="Arial" w:hAnsi="Arial" w:cs="Arial"/>
          <w:bCs/>
          <w:color w:val="000000"/>
          <w:sz w:val="20"/>
          <w:lang w:eastAsia="es-AR"/>
        </w:rPr>
        <w:t>.1 Títulos de deuda</w:t>
      </w:r>
      <w:r w:rsidR="007D2DED">
        <w:rPr>
          <w:rFonts w:ascii="Arial" w:hAnsi="Arial" w:cs="Arial"/>
          <w:bCs/>
          <w:color w:val="000000"/>
          <w:sz w:val="20"/>
          <w:lang w:eastAsia="es-AR"/>
        </w:rPr>
        <w:t xml:space="preserve"> </w:t>
      </w:r>
      <w:r w:rsidR="007D2DED" w:rsidRPr="00701F32">
        <w:rPr>
          <w:rFonts w:ascii="Arial" w:hAnsi="Arial" w:cs="Arial"/>
          <w:bCs/>
          <w:color w:val="000000"/>
          <w:sz w:val="20"/>
          <w:lang w:eastAsia="es-AR"/>
        </w:rPr>
        <w:t>a valor razonable con cambios en resultados</w:t>
      </w:r>
    </w:p>
    <w:p w14:paraId="52D5C0F1" w14:textId="77777777" w:rsidR="007D2DED" w:rsidRPr="00701F32" w:rsidRDefault="007D2DED" w:rsidP="007D2DED">
      <w:pPr>
        <w:rPr>
          <w:rFonts w:ascii="Arial" w:hAnsi="Arial" w:cs="Arial"/>
          <w:bCs/>
          <w:color w:val="000000"/>
          <w:sz w:val="20"/>
          <w:lang w:eastAsia="es-AR"/>
        </w:rPr>
      </w:pPr>
    </w:p>
    <w:p w14:paraId="5C596403" w14:textId="034E8A31" w:rsidR="007D2DED" w:rsidRPr="00701F32" w:rsidRDefault="007D2DED" w:rsidP="00B57E77">
      <w:pPr>
        <w:spacing w:after="160" w:line="259" w:lineRule="auto"/>
        <w:jc w:val="both"/>
        <w:rPr>
          <w:rFonts w:ascii="Arial" w:eastAsiaTheme="minorHAnsi" w:hAnsi="Arial" w:cs="Arial"/>
          <w:sz w:val="22"/>
          <w:szCs w:val="22"/>
        </w:rPr>
      </w:pPr>
      <w:r w:rsidRPr="00701F32">
        <w:rPr>
          <w:rFonts w:ascii="Arial" w:eastAsiaTheme="minorHAnsi" w:hAnsi="Arial" w:cs="Arial"/>
          <w:sz w:val="20"/>
          <w:szCs w:val="22"/>
        </w:rPr>
        <w:t xml:space="preserve">Los principales componentes del rubro títulos de deuda a valor razonable con cambios en resultados al </w:t>
      </w:r>
      <w:r>
        <w:rPr>
          <w:rFonts w:ascii="Arial" w:eastAsiaTheme="minorHAnsi" w:hAnsi="Arial" w:cs="Arial"/>
          <w:sz w:val="20"/>
          <w:szCs w:val="22"/>
        </w:rPr>
        <w:t>31</w:t>
      </w:r>
      <w:r w:rsidRPr="00701F32">
        <w:rPr>
          <w:rFonts w:ascii="Arial" w:eastAsiaTheme="minorHAnsi" w:hAnsi="Arial" w:cs="Arial"/>
          <w:sz w:val="20"/>
          <w:szCs w:val="22"/>
        </w:rPr>
        <w:t xml:space="preserve"> de de diciembre </w:t>
      </w:r>
      <w:r>
        <w:rPr>
          <w:rFonts w:ascii="Arial" w:eastAsiaTheme="minorHAnsi" w:hAnsi="Arial" w:cs="Arial"/>
          <w:sz w:val="20"/>
          <w:szCs w:val="22"/>
        </w:rPr>
        <w:t xml:space="preserve">de 2019 y 2018 </w:t>
      </w:r>
      <w:r w:rsidRPr="00701F32">
        <w:rPr>
          <w:rFonts w:ascii="Arial" w:eastAsiaTheme="minorHAnsi" w:hAnsi="Arial" w:cs="Arial"/>
          <w:sz w:val="20"/>
          <w:szCs w:val="22"/>
        </w:rPr>
        <w:t>son los siguientes</w:t>
      </w:r>
      <w:r w:rsidRPr="00701F32">
        <w:rPr>
          <w:rFonts w:ascii="Arial" w:eastAsiaTheme="minorHAnsi" w:hAnsi="Arial" w:cs="Arial"/>
          <w:sz w:val="22"/>
          <w:szCs w:val="22"/>
        </w:rPr>
        <w:t>:</w:t>
      </w:r>
    </w:p>
    <w:tbl>
      <w:tblPr>
        <w:tblW w:w="6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54"/>
        <w:gridCol w:w="1794"/>
        <w:gridCol w:w="1794"/>
      </w:tblGrid>
      <w:tr w:rsidR="007D2DED" w:rsidRPr="00701F32" w14:paraId="7314B0F7" w14:textId="77777777" w:rsidTr="00B57E77">
        <w:trPr>
          <w:trHeight w:val="257"/>
          <w:jc w:val="center"/>
        </w:trPr>
        <w:tc>
          <w:tcPr>
            <w:tcW w:w="2654" w:type="dxa"/>
            <w:shd w:val="clear" w:color="auto" w:fill="auto"/>
            <w:noWrap/>
            <w:vAlign w:val="bottom"/>
            <w:hideMark/>
          </w:tcPr>
          <w:p w14:paraId="6C5EAB1E" w14:textId="77777777" w:rsidR="007D2DED" w:rsidRPr="006E1AF7" w:rsidRDefault="007D2DED" w:rsidP="00DF0784">
            <w:pPr>
              <w:rPr>
                <w:rFonts w:ascii="Arial" w:hAnsi="Arial" w:cs="Arial"/>
                <w:b/>
                <w:bCs/>
                <w:color w:val="000000"/>
                <w:sz w:val="18"/>
                <w:u w:val="single"/>
                <w:lang w:eastAsia="es-AR"/>
              </w:rPr>
            </w:pPr>
          </w:p>
        </w:tc>
        <w:tc>
          <w:tcPr>
            <w:tcW w:w="1794" w:type="dxa"/>
            <w:shd w:val="clear" w:color="auto" w:fill="auto"/>
            <w:noWrap/>
            <w:vAlign w:val="bottom"/>
            <w:hideMark/>
          </w:tcPr>
          <w:p w14:paraId="06D78A8C" w14:textId="4B0A6A65" w:rsidR="007D2DED" w:rsidRPr="006E1AF7" w:rsidRDefault="007D2DED" w:rsidP="00DF0784">
            <w:pPr>
              <w:jc w:val="center"/>
              <w:rPr>
                <w:rFonts w:ascii="Arial" w:eastAsia="Book Antiqua" w:hAnsi="Arial" w:cs="Arial"/>
                <w:b/>
                <w:color w:val="000000"/>
                <w:sz w:val="18"/>
                <w:lang w:eastAsia="es-AR"/>
              </w:rPr>
            </w:pPr>
            <w:r w:rsidRPr="006E1AF7">
              <w:rPr>
                <w:rFonts w:ascii="Arial" w:hAnsi="Arial" w:cs="Arial"/>
                <w:b/>
                <w:color w:val="000000"/>
                <w:sz w:val="18"/>
                <w:lang w:eastAsia="es-AR"/>
              </w:rPr>
              <w:t>31/12/2019</w:t>
            </w:r>
          </w:p>
        </w:tc>
        <w:tc>
          <w:tcPr>
            <w:tcW w:w="1794" w:type="dxa"/>
            <w:shd w:val="clear" w:color="auto" w:fill="auto"/>
            <w:noWrap/>
            <w:vAlign w:val="bottom"/>
            <w:hideMark/>
          </w:tcPr>
          <w:p w14:paraId="15EADF06" w14:textId="18829C98" w:rsidR="007D2DED" w:rsidRPr="006E1AF7" w:rsidRDefault="007D2DED" w:rsidP="00DF0784">
            <w:pPr>
              <w:jc w:val="center"/>
              <w:rPr>
                <w:rFonts w:ascii="Arial" w:eastAsia="Book Antiqua" w:hAnsi="Arial" w:cs="Arial"/>
                <w:b/>
                <w:color w:val="000000"/>
                <w:sz w:val="18"/>
                <w:lang w:eastAsia="es-AR"/>
              </w:rPr>
            </w:pPr>
            <w:r w:rsidRPr="006E1AF7">
              <w:rPr>
                <w:rFonts w:ascii="Arial" w:hAnsi="Arial" w:cs="Arial"/>
                <w:b/>
                <w:color w:val="000000"/>
                <w:sz w:val="18"/>
                <w:lang w:eastAsia="es-AR"/>
              </w:rPr>
              <w:t>31/12/2018</w:t>
            </w:r>
          </w:p>
        </w:tc>
      </w:tr>
      <w:tr w:rsidR="00A23DA3" w:rsidRPr="00701F32" w14:paraId="7DB1C4D9" w14:textId="77777777" w:rsidTr="00B57E77">
        <w:trPr>
          <w:trHeight w:val="257"/>
          <w:jc w:val="center"/>
        </w:trPr>
        <w:tc>
          <w:tcPr>
            <w:tcW w:w="2654" w:type="dxa"/>
            <w:shd w:val="clear" w:color="auto" w:fill="auto"/>
            <w:noWrap/>
            <w:vAlign w:val="bottom"/>
            <w:hideMark/>
          </w:tcPr>
          <w:p w14:paraId="7BD5E518"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Títulos públicos</w:t>
            </w:r>
          </w:p>
        </w:tc>
        <w:tc>
          <w:tcPr>
            <w:tcW w:w="1794" w:type="dxa"/>
            <w:shd w:val="clear" w:color="auto" w:fill="auto"/>
            <w:noWrap/>
            <w:vAlign w:val="bottom"/>
          </w:tcPr>
          <w:p w14:paraId="57C2C32D" w14:textId="040856B9" w:rsidR="00A23DA3" w:rsidRPr="006E1AF7" w:rsidRDefault="00A23DA3" w:rsidP="002C509D">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308.638</w:t>
            </w:r>
          </w:p>
        </w:tc>
        <w:tc>
          <w:tcPr>
            <w:tcW w:w="1794" w:type="dxa"/>
            <w:shd w:val="clear" w:color="auto" w:fill="auto"/>
            <w:noWrap/>
            <w:vAlign w:val="bottom"/>
            <w:hideMark/>
          </w:tcPr>
          <w:p w14:paraId="65C6801E" w14:textId="57D7A74A"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3.573.563 </w:t>
            </w:r>
          </w:p>
        </w:tc>
      </w:tr>
      <w:tr w:rsidR="00A23DA3" w:rsidRPr="00701F32" w14:paraId="01F66573" w14:textId="77777777" w:rsidTr="00B57E77">
        <w:trPr>
          <w:trHeight w:val="257"/>
          <w:jc w:val="center"/>
        </w:trPr>
        <w:tc>
          <w:tcPr>
            <w:tcW w:w="2654" w:type="dxa"/>
            <w:shd w:val="clear" w:color="auto" w:fill="auto"/>
            <w:noWrap/>
            <w:vAlign w:val="bottom"/>
            <w:hideMark/>
          </w:tcPr>
          <w:p w14:paraId="27D9B55D"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Títulos privados</w:t>
            </w:r>
          </w:p>
        </w:tc>
        <w:tc>
          <w:tcPr>
            <w:tcW w:w="1794" w:type="dxa"/>
            <w:shd w:val="clear" w:color="auto" w:fill="auto"/>
            <w:noWrap/>
            <w:vAlign w:val="bottom"/>
          </w:tcPr>
          <w:p w14:paraId="660F866D" w14:textId="4EF3AF67" w:rsidR="00A23DA3" w:rsidRPr="006E1AF7" w:rsidRDefault="00A23DA3" w:rsidP="002C509D">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3.668</w:t>
            </w:r>
          </w:p>
        </w:tc>
        <w:tc>
          <w:tcPr>
            <w:tcW w:w="1794" w:type="dxa"/>
            <w:shd w:val="clear" w:color="auto" w:fill="auto"/>
            <w:noWrap/>
            <w:vAlign w:val="bottom"/>
            <w:hideMark/>
          </w:tcPr>
          <w:p w14:paraId="7CA4F509" w14:textId="4873D5BE"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62.403 </w:t>
            </w:r>
          </w:p>
        </w:tc>
      </w:tr>
      <w:tr w:rsidR="00A23DA3" w:rsidRPr="00701F32" w14:paraId="7EECEDB5" w14:textId="77777777" w:rsidTr="00B57E77">
        <w:trPr>
          <w:trHeight w:val="257"/>
          <w:jc w:val="center"/>
        </w:trPr>
        <w:tc>
          <w:tcPr>
            <w:tcW w:w="2654" w:type="dxa"/>
            <w:shd w:val="clear" w:color="auto" w:fill="auto"/>
            <w:noWrap/>
            <w:vAlign w:val="bottom"/>
            <w:hideMark/>
          </w:tcPr>
          <w:p w14:paraId="649E9E87"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Letras del BCRA</w:t>
            </w:r>
          </w:p>
        </w:tc>
        <w:tc>
          <w:tcPr>
            <w:tcW w:w="1794" w:type="dxa"/>
            <w:shd w:val="clear" w:color="auto" w:fill="auto"/>
            <w:noWrap/>
            <w:vAlign w:val="bottom"/>
          </w:tcPr>
          <w:p w14:paraId="34349243" w14:textId="759CE518" w:rsidR="00A23DA3" w:rsidRPr="006E1AF7" w:rsidRDefault="002C509D" w:rsidP="002C509D">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w:t>
            </w:r>
          </w:p>
        </w:tc>
        <w:tc>
          <w:tcPr>
            <w:tcW w:w="1794" w:type="dxa"/>
            <w:shd w:val="clear" w:color="auto" w:fill="auto"/>
            <w:noWrap/>
            <w:vAlign w:val="bottom"/>
            <w:hideMark/>
          </w:tcPr>
          <w:p w14:paraId="5FDBF06D" w14:textId="6AFAD4B3"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11.305.324 </w:t>
            </w:r>
          </w:p>
        </w:tc>
      </w:tr>
      <w:tr w:rsidR="00A23DA3" w:rsidRPr="00701F32" w14:paraId="5CE9CD47" w14:textId="77777777" w:rsidTr="00B57E77">
        <w:trPr>
          <w:trHeight w:val="272"/>
          <w:jc w:val="center"/>
        </w:trPr>
        <w:tc>
          <w:tcPr>
            <w:tcW w:w="2654" w:type="dxa"/>
            <w:shd w:val="clear" w:color="auto" w:fill="auto"/>
            <w:noWrap/>
            <w:vAlign w:val="bottom"/>
            <w:hideMark/>
          </w:tcPr>
          <w:p w14:paraId="62683894" w14:textId="77777777" w:rsidR="00A23DA3" w:rsidRPr="006E1AF7" w:rsidRDefault="00A23DA3" w:rsidP="00A23DA3">
            <w:pPr>
              <w:rPr>
                <w:rFonts w:ascii="Arial" w:hAnsi="Arial" w:cs="Arial"/>
                <w:b/>
                <w:color w:val="000000"/>
                <w:sz w:val="18"/>
                <w:lang w:eastAsia="es-AR"/>
              </w:rPr>
            </w:pPr>
            <w:r w:rsidRPr="006E1AF7">
              <w:rPr>
                <w:rFonts w:ascii="Arial" w:hAnsi="Arial" w:cs="Arial"/>
                <w:b/>
                <w:color w:val="000000"/>
                <w:sz w:val="18"/>
                <w:lang w:eastAsia="es-AR"/>
              </w:rPr>
              <w:t>Total</w:t>
            </w:r>
          </w:p>
        </w:tc>
        <w:tc>
          <w:tcPr>
            <w:tcW w:w="1794" w:type="dxa"/>
            <w:shd w:val="clear" w:color="auto" w:fill="auto"/>
            <w:noWrap/>
            <w:vAlign w:val="bottom"/>
          </w:tcPr>
          <w:p w14:paraId="534F8179" w14:textId="1F0DD264" w:rsidR="00A23DA3" w:rsidRPr="006E1AF7" w:rsidRDefault="00A23DA3" w:rsidP="002C509D">
            <w:pPr>
              <w:jc w:val="right"/>
              <w:rPr>
                <w:rFonts w:ascii="Arial" w:eastAsiaTheme="minorHAnsi" w:hAnsi="Arial" w:cs="Arial"/>
                <w:b/>
                <w:color w:val="000000"/>
                <w:sz w:val="18"/>
              </w:rPr>
            </w:pPr>
            <w:r w:rsidRPr="006E1AF7">
              <w:rPr>
                <w:rFonts w:ascii="Arial" w:eastAsiaTheme="minorHAnsi" w:hAnsi="Arial" w:cs="Arial"/>
                <w:b/>
                <w:color w:val="000000"/>
                <w:sz w:val="18"/>
              </w:rPr>
              <w:t>3</w:t>
            </w:r>
            <w:r w:rsidR="000A1F75" w:rsidRPr="006E1AF7">
              <w:rPr>
                <w:rFonts w:ascii="Arial" w:eastAsiaTheme="minorHAnsi" w:hAnsi="Arial" w:cs="Arial"/>
                <w:b/>
                <w:color w:val="000000"/>
                <w:sz w:val="18"/>
              </w:rPr>
              <w:t>12</w:t>
            </w:r>
            <w:r w:rsidRPr="006E1AF7">
              <w:rPr>
                <w:rFonts w:ascii="Arial" w:eastAsiaTheme="minorHAnsi" w:hAnsi="Arial" w:cs="Arial"/>
                <w:b/>
                <w:color w:val="000000"/>
                <w:sz w:val="18"/>
              </w:rPr>
              <w:t>.</w:t>
            </w:r>
            <w:r w:rsidR="000A1F75" w:rsidRPr="006E1AF7">
              <w:rPr>
                <w:rFonts w:ascii="Arial" w:eastAsiaTheme="minorHAnsi" w:hAnsi="Arial" w:cs="Arial"/>
                <w:b/>
                <w:color w:val="000000"/>
                <w:sz w:val="18"/>
              </w:rPr>
              <w:t>306</w:t>
            </w:r>
          </w:p>
        </w:tc>
        <w:tc>
          <w:tcPr>
            <w:tcW w:w="1794" w:type="dxa"/>
            <w:shd w:val="clear" w:color="auto" w:fill="auto"/>
            <w:noWrap/>
            <w:vAlign w:val="bottom"/>
            <w:hideMark/>
          </w:tcPr>
          <w:p w14:paraId="2C26D487" w14:textId="3993585B" w:rsidR="00A23DA3" w:rsidRPr="006E1AF7" w:rsidRDefault="00A23DA3" w:rsidP="00A23DA3">
            <w:pPr>
              <w:autoSpaceDE w:val="0"/>
              <w:autoSpaceDN w:val="0"/>
              <w:adjustRightInd w:val="0"/>
              <w:jc w:val="right"/>
              <w:rPr>
                <w:rFonts w:ascii="Arial" w:eastAsiaTheme="minorHAnsi" w:hAnsi="Arial" w:cs="Arial"/>
                <w:b/>
                <w:color w:val="000000"/>
                <w:sz w:val="18"/>
              </w:rPr>
            </w:pPr>
            <w:r w:rsidRPr="006E1AF7">
              <w:rPr>
                <w:rFonts w:ascii="Arial" w:eastAsiaTheme="minorHAnsi" w:hAnsi="Arial" w:cs="Arial"/>
                <w:b/>
                <w:color w:val="000000"/>
                <w:sz w:val="18"/>
              </w:rPr>
              <w:t>14.941.290</w:t>
            </w:r>
          </w:p>
        </w:tc>
      </w:tr>
    </w:tbl>
    <w:p w14:paraId="72F56D36" w14:textId="69A08CFD" w:rsidR="007D2DED" w:rsidRDefault="007D2DED" w:rsidP="007D2DED">
      <w:pPr>
        <w:spacing w:after="160" w:line="259" w:lineRule="auto"/>
        <w:rPr>
          <w:rFonts w:ascii="Arial" w:eastAsiaTheme="minorHAnsi" w:hAnsi="Arial" w:cs="Arial"/>
          <w:sz w:val="22"/>
          <w:szCs w:val="22"/>
        </w:rPr>
      </w:pPr>
    </w:p>
    <w:p w14:paraId="060521A6" w14:textId="77777777" w:rsidR="00B2136F" w:rsidRDefault="00B2136F">
      <w:pPr>
        <w:rPr>
          <w:rFonts w:ascii="Arial" w:hAnsi="Arial" w:cs="Arial"/>
          <w:bCs/>
          <w:color w:val="000000"/>
          <w:sz w:val="20"/>
          <w:lang w:eastAsia="es-AR"/>
        </w:rPr>
      </w:pPr>
      <w:r>
        <w:rPr>
          <w:rFonts w:ascii="Arial" w:hAnsi="Arial" w:cs="Arial"/>
          <w:bCs/>
          <w:color w:val="000000"/>
          <w:sz w:val="20"/>
          <w:lang w:eastAsia="es-AR"/>
        </w:rPr>
        <w:br w:type="page"/>
      </w:r>
    </w:p>
    <w:p w14:paraId="4C6B9432" w14:textId="391F6F7F" w:rsidR="007D2DED" w:rsidRDefault="00FE2245" w:rsidP="007D2DED">
      <w:pPr>
        <w:tabs>
          <w:tab w:val="left" w:pos="142"/>
          <w:tab w:val="left" w:pos="851"/>
        </w:tabs>
        <w:spacing w:after="200" w:line="276" w:lineRule="auto"/>
        <w:contextualSpacing/>
        <w:jc w:val="both"/>
        <w:rPr>
          <w:rFonts w:ascii="Arial" w:hAnsi="Arial" w:cs="Arial"/>
          <w:bCs/>
          <w:color w:val="000000"/>
          <w:sz w:val="20"/>
          <w:lang w:eastAsia="es-AR"/>
        </w:rPr>
      </w:pPr>
      <w:r>
        <w:rPr>
          <w:rFonts w:ascii="Arial" w:hAnsi="Arial" w:cs="Arial"/>
          <w:bCs/>
          <w:color w:val="000000"/>
          <w:sz w:val="20"/>
          <w:lang w:eastAsia="es-AR"/>
        </w:rPr>
        <w:t>6</w:t>
      </w:r>
      <w:r w:rsidR="007D2DED" w:rsidRPr="009767A8">
        <w:rPr>
          <w:rFonts w:ascii="Arial" w:hAnsi="Arial" w:cs="Arial"/>
          <w:bCs/>
          <w:color w:val="000000"/>
          <w:sz w:val="20"/>
          <w:lang w:eastAsia="es-AR"/>
        </w:rPr>
        <w:t>.2 Instrumentos derivados</w:t>
      </w:r>
    </w:p>
    <w:p w14:paraId="56212B70" w14:textId="77777777" w:rsidR="007D2DED" w:rsidRDefault="007D2DED" w:rsidP="007D2DED">
      <w:pPr>
        <w:tabs>
          <w:tab w:val="left" w:pos="142"/>
          <w:tab w:val="left" w:pos="851"/>
        </w:tabs>
        <w:spacing w:after="200" w:line="276" w:lineRule="auto"/>
        <w:contextualSpacing/>
        <w:jc w:val="both"/>
        <w:rPr>
          <w:rFonts w:ascii="Arial" w:hAnsi="Arial" w:cs="Arial"/>
          <w:bCs/>
          <w:color w:val="000000"/>
          <w:sz w:val="20"/>
          <w:lang w:eastAsia="es-AR"/>
        </w:rPr>
      </w:pPr>
    </w:p>
    <w:p w14:paraId="518C4965" w14:textId="38E40B19" w:rsidR="007D2DED" w:rsidRPr="00613EB0" w:rsidRDefault="007D2DED" w:rsidP="007D2DED">
      <w:pPr>
        <w:tabs>
          <w:tab w:val="left" w:pos="142"/>
        </w:tabs>
        <w:jc w:val="both"/>
        <w:rPr>
          <w:rFonts w:ascii="Arial" w:hAnsi="Arial" w:cs="Arial"/>
          <w:sz w:val="20"/>
        </w:rPr>
      </w:pPr>
      <w:r w:rsidRPr="00613EB0">
        <w:rPr>
          <w:rFonts w:ascii="Arial" w:hAnsi="Arial" w:cs="Arial"/>
          <w:sz w:val="20"/>
        </w:rPr>
        <w:t>Al 31 de diciembre de 201</w:t>
      </w:r>
      <w:r>
        <w:rPr>
          <w:rFonts w:ascii="Arial" w:hAnsi="Arial" w:cs="Arial"/>
          <w:sz w:val="20"/>
        </w:rPr>
        <w:t>9 y</w:t>
      </w:r>
      <w:r w:rsidRPr="00613EB0">
        <w:rPr>
          <w:rFonts w:ascii="Arial" w:hAnsi="Arial" w:cs="Arial"/>
          <w:sz w:val="20"/>
        </w:rPr>
        <w:t xml:space="preserve"> 201</w:t>
      </w:r>
      <w:r>
        <w:rPr>
          <w:rFonts w:ascii="Arial" w:hAnsi="Arial" w:cs="Arial"/>
          <w:sz w:val="20"/>
        </w:rPr>
        <w:t>8</w:t>
      </w:r>
      <w:r w:rsidRPr="00613EB0">
        <w:rPr>
          <w:rFonts w:ascii="Arial" w:hAnsi="Arial" w:cs="Arial"/>
          <w:sz w:val="20"/>
        </w:rPr>
        <w:t>, se encontraban registrados los siguientes saldos por operaciones relacionadas con instrumentos financieros derivados:</w:t>
      </w:r>
    </w:p>
    <w:p w14:paraId="0DE87C24" w14:textId="77777777" w:rsidR="007D2DED" w:rsidRDefault="007D2DED" w:rsidP="007D2DED">
      <w:pPr>
        <w:tabs>
          <w:tab w:val="left" w:pos="142"/>
          <w:tab w:val="left" w:pos="851"/>
        </w:tabs>
        <w:spacing w:after="200" w:line="276" w:lineRule="auto"/>
        <w:contextualSpacing/>
        <w:jc w:val="both"/>
        <w:rPr>
          <w:rFonts w:ascii="Arial" w:hAnsi="Arial" w:cs="Arial"/>
          <w:sz w:val="20"/>
          <w:u w:val="single"/>
          <w:lang w:eastAsia="es-AR"/>
        </w:rPr>
      </w:pPr>
    </w:p>
    <w:tbl>
      <w:tblPr>
        <w:tblW w:w="7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06"/>
        <w:gridCol w:w="1276"/>
        <w:gridCol w:w="1276"/>
      </w:tblGrid>
      <w:tr w:rsidR="007D2DED" w:rsidRPr="00654758" w14:paraId="3268EEB9" w14:textId="77777777" w:rsidTr="007D2DED">
        <w:trPr>
          <w:trHeight w:val="255"/>
          <w:jc w:val="center"/>
        </w:trPr>
        <w:tc>
          <w:tcPr>
            <w:tcW w:w="4506" w:type="dxa"/>
            <w:shd w:val="clear" w:color="auto" w:fill="auto"/>
            <w:noWrap/>
            <w:vAlign w:val="bottom"/>
            <w:hideMark/>
          </w:tcPr>
          <w:p w14:paraId="2AEF1964" w14:textId="77777777" w:rsidR="007D2DED" w:rsidRPr="00654758" w:rsidRDefault="007D2DED" w:rsidP="00DF0784">
            <w:pPr>
              <w:ind w:left="-458" w:firstLine="566"/>
              <w:rPr>
                <w:rFonts w:ascii="Arial" w:hAnsi="Arial" w:cs="Arial"/>
                <w:b/>
                <w:bCs/>
                <w:color w:val="000000"/>
                <w:sz w:val="18"/>
                <w:szCs w:val="18"/>
                <w:u w:val="single"/>
                <w:lang w:eastAsia="es-AR"/>
              </w:rPr>
            </w:pPr>
          </w:p>
        </w:tc>
        <w:tc>
          <w:tcPr>
            <w:tcW w:w="1276" w:type="dxa"/>
            <w:shd w:val="clear" w:color="auto" w:fill="auto"/>
            <w:noWrap/>
            <w:vAlign w:val="bottom"/>
            <w:hideMark/>
          </w:tcPr>
          <w:p w14:paraId="31ADE087" w14:textId="40032BDC" w:rsidR="007D2DED" w:rsidRPr="00654758" w:rsidRDefault="007D2DED" w:rsidP="00DF0784">
            <w:pPr>
              <w:ind w:left="-458" w:firstLine="566"/>
              <w:jc w:val="center"/>
              <w:rPr>
                <w:rFonts w:ascii="Arial" w:hAnsi="Arial" w:cs="Arial"/>
                <w:b/>
                <w:color w:val="000000"/>
                <w:sz w:val="18"/>
                <w:szCs w:val="18"/>
                <w:lang w:eastAsia="es-AR"/>
              </w:rPr>
            </w:pPr>
            <w:r w:rsidRPr="00654758">
              <w:rPr>
                <w:rFonts w:ascii="Arial" w:hAnsi="Arial" w:cs="Arial"/>
                <w:b/>
                <w:color w:val="000000"/>
                <w:sz w:val="18"/>
                <w:szCs w:val="18"/>
                <w:lang w:eastAsia="es-AR"/>
              </w:rPr>
              <w:t>31/12/2019</w:t>
            </w:r>
          </w:p>
        </w:tc>
        <w:tc>
          <w:tcPr>
            <w:tcW w:w="1276" w:type="dxa"/>
            <w:shd w:val="clear" w:color="auto" w:fill="auto"/>
            <w:noWrap/>
            <w:vAlign w:val="bottom"/>
            <w:hideMark/>
          </w:tcPr>
          <w:p w14:paraId="768B74A7" w14:textId="6E06ED9F" w:rsidR="007D2DED" w:rsidRPr="00654758" w:rsidRDefault="007D2DED" w:rsidP="00DF0784">
            <w:pPr>
              <w:ind w:left="-458" w:firstLine="566"/>
              <w:jc w:val="center"/>
              <w:rPr>
                <w:rFonts w:ascii="Arial" w:hAnsi="Arial" w:cs="Arial"/>
                <w:b/>
                <w:color w:val="000000"/>
                <w:sz w:val="18"/>
                <w:szCs w:val="18"/>
                <w:lang w:eastAsia="es-AR"/>
              </w:rPr>
            </w:pPr>
            <w:r w:rsidRPr="00654758">
              <w:rPr>
                <w:rFonts w:ascii="Arial" w:hAnsi="Arial" w:cs="Arial"/>
                <w:b/>
                <w:color w:val="000000"/>
                <w:sz w:val="18"/>
                <w:szCs w:val="18"/>
                <w:lang w:eastAsia="es-AR"/>
              </w:rPr>
              <w:t>31/12/2018</w:t>
            </w:r>
          </w:p>
        </w:tc>
      </w:tr>
      <w:tr w:rsidR="00654758" w:rsidRPr="00654758" w14:paraId="14F027FA" w14:textId="77777777" w:rsidTr="007D2DED">
        <w:trPr>
          <w:trHeight w:val="255"/>
          <w:jc w:val="center"/>
        </w:trPr>
        <w:tc>
          <w:tcPr>
            <w:tcW w:w="4506" w:type="dxa"/>
            <w:shd w:val="clear" w:color="auto" w:fill="auto"/>
            <w:noWrap/>
            <w:vAlign w:val="bottom"/>
            <w:hideMark/>
          </w:tcPr>
          <w:p w14:paraId="7E9B0346" w14:textId="77777777" w:rsidR="00654758" w:rsidRPr="00654758" w:rsidRDefault="00654758" w:rsidP="00654758">
            <w:pPr>
              <w:ind w:left="42"/>
              <w:rPr>
                <w:rFonts w:ascii="Arial" w:hAnsi="Arial" w:cs="Arial"/>
                <w:color w:val="000000"/>
                <w:sz w:val="18"/>
                <w:szCs w:val="18"/>
                <w:lang w:eastAsia="es-AR"/>
              </w:rPr>
            </w:pPr>
            <w:r w:rsidRPr="00654758">
              <w:rPr>
                <w:rFonts w:ascii="Arial" w:hAnsi="Arial" w:cs="Arial"/>
                <w:color w:val="000000"/>
                <w:sz w:val="18"/>
                <w:szCs w:val="18"/>
              </w:rPr>
              <w:t>Saldos deudores vinculados con operaciones a término de moneda extranjera liquidables en pesos</w:t>
            </w:r>
          </w:p>
        </w:tc>
        <w:tc>
          <w:tcPr>
            <w:tcW w:w="1276" w:type="dxa"/>
            <w:shd w:val="clear" w:color="auto" w:fill="auto"/>
            <w:noWrap/>
            <w:vAlign w:val="bottom"/>
          </w:tcPr>
          <w:p w14:paraId="1BD98CFE" w14:textId="0FFE1F7E" w:rsidR="00654758" w:rsidRPr="00654758" w:rsidRDefault="00654758" w:rsidP="00654758">
            <w:pPr>
              <w:ind w:left="-458" w:firstLine="566"/>
              <w:jc w:val="right"/>
              <w:rPr>
                <w:rFonts w:ascii="Arial" w:hAnsi="Arial" w:cs="Arial"/>
                <w:color w:val="000000"/>
                <w:sz w:val="18"/>
                <w:szCs w:val="18"/>
                <w:lang w:eastAsia="es-AR"/>
              </w:rPr>
            </w:pPr>
            <w:r w:rsidRPr="00654758">
              <w:rPr>
                <w:rFonts w:ascii="Arial" w:hAnsi="Arial" w:cs="Arial"/>
                <w:color w:val="000000"/>
                <w:sz w:val="18"/>
                <w:szCs w:val="18"/>
              </w:rPr>
              <w:t>257.587</w:t>
            </w:r>
          </w:p>
        </w:tc>
        <w:tc>
          <w:tcPr>
            <w:tcW w:w="1276" w:type="dxa"/>
            <w:shd w:val="clear" w:color="auto" w:fill="auto"/>
            <w:noWrap/>
            <w:vAlign w:val="bottom"/>
            <w:hideMark/>
          </w:tcPr>
          <w:p w14:paraId="0402A9CB" w14:textId="6C55558C" w:rsidR="00654758" w:rsidRPr="00654758" w:rsidRDefault="00654758" w:rsidP="00654758">
            <w:pPr>
              <w:ind w:left="-458" w:firstLine="566"/>
              <w:jc w:val="right"/>
              <w:rPr>
                <w:rFonts w:ascii="Arial" w:hAnsi="Arial" w:cs="Arial"/>
                <w:color w:val="000000"/>
                <w:sz w:val="18"/>
                <w:szCs w:val="18"/>
                <w:lang w:eastAsia="es-AR"/>
              </w:rPr>
            </w:pPr>
            <w:r w:rsidRPr="00654758">
              <w:rPr>
                <w:rFonts w:ascii="Arial" w:hAnsi="Arial" w:cs="Arial"/>
                <w:color w:val="000000"/>
                <w:sz w:val="18"/>
                <w:szCs w:val="18"/>
              </w:rPr>
              <w:t>2.519</w:t>
            </w:r>
          </w:p>
        </w:tc>
      </w:tr>
      <w:tr w:rsidR="00654758" w:rsidRPr="00654758" w14:paraId="6E48E338" w14:textId="77777777" w:rsidTr="007D2DED">
        <w:trPr>
          <w:trHeight w:val="255"/>
          <w:jc w:val="center"/>
        </w:trPr>
        <w:tc>
          <w:tcPr>
            <w:tcW w:w="4506" w:type="dxa"/>
            <w:shd w:val="clear" w:color="auto" w:fill="auto"/>
            <w:noWrap/>
            <w:vAlign w:val="bottom"/>
            <w:hideMark/>
          </w:tcPr>
          <w:p w14:paraId="5C3A5598" w14:textId="77777777" w:rsidR="00654758" w:rsidRPr="00654758" w:rsidRDefault="00654758" w:rsidP="00654758">
            <w:pPr>
              <w:ind w:left="42"/>
              <w:rPr>
                <w:rFonts w:ascii="Arial" w:hAnsi="Arial" w:cs="Arial"/>
                <w:color w:val="000000"/>
                <w:sz w:val="18"/>
                <w:szCs w:val="18"/>
                <w:lang w:eastAsia="es-AR"/>
              </w:rPr>
            </w:pPr>
            <w:r w:rsidRPr="00654758">
              <w:rPr>
                <w:rFonts w:ascii="Arial" w:hAnsi="Arial" w:cs="Arial"/>
                <w:color w:val="000000"/>
                <w:sz w:val="18"/>
                <w:szCs w:val="18"/>
              </w:rPr>
              <w:t>Saldos deudores vinculados con operaciones a término de moneda extranjera</w:t>
            </w:r>
          </w:p>
        </w:tc>
        <w:tc>
          <w:tcPr>
            <w:tcW w:w="1276" w:type="dxa"/>
            <w:shd w:val="clear" w:color="auto" w:fill="auto"/>
            <w:noWrap/>
            <w:vAlign w:val="bottom"/>
          </w:tcPr>
          <w:p w14:paraId="44F295C4" w14:textId="5C85961F" w:rsidR="00654758" w:rsidRPr="00654758" w:rsidRDefault="00654758" w:rsidP="00654758">
            <w:pPr>
              <w:ind w:left="-458" w:firstLine="566"/>
              <w:jc w:val="right"/>
              <w:rPr>
                <w:rFonts w:ascii="Arial" w:hAnsi="Arial" w:cs="Arial"/>
                <w:color w:val="000000"/>
                <w:sz w:val="18"/>
                <w:szCs w:val="18"/>
                <w:lang w:eastAsia="es-AR"/>
              </w:rPr>
            </w:pPr>
            <w:r>
              <w:rPr>
                <w:rFonts w:ascii="Arial" w:hAnsi="Arial" w:cs="Arial"/>
                <w:color w:val="000000"/>
                <w:sz w:val="18"/>
                <w:szCs w:val="18"/>
              </w:rPr>
              <w:t>-</w:t>
            </w:r>
          </w:p>
        </w:tc>
        <w:tc>
          <w:tcPr>
            <w:tcW w:w="1276" w:type="dxa"/>
            <w:shd w:val="clear" w:color="auto" w:fill="auto"/>
            <w:noWrap/>
            <w:vAlign w:val="bottom"/>
            <w:hideMark/>
          </w:tcPr>
          <w:p w14:paraId="2968491C" w14:textId="78C6A1DF" w:rsidR="00654758" w:rsidRPr="00654758" w:rsidRDefault="00654758" w:rsidP="00654758">
            <w:pPr>
              <w:ind w:left="-458" w:firstLine="566"/>
              <w:jc w:val="right"/>
              <w:rPr>
                <w:rFonts w:ascii="Arial" w:hAnsi="Arial" w:cs="Arial"/>
                <w:color w:val="000000"/>
                <w:sz w:val="18"/>
                <w:szCs w:val="18"/>
                <w:lang w:eastAsia="es-AR"/>
              </w:rPr>
            </w:pPr>
            <w:r w:rsidRPr="00654758">
              <w:rPr>
                <w:rFonts w:ascii="Arial" w:hAnsi="Arial" w:cs="Arial"/>
                <w:color w:val="000000"/>
                <w:sz w:val="18"/>
                <w:szCs w:val="18"/>
              </w:rPr>
              <w:t>13.405</w:t>
            </w:r>
          </w:p>
        </w:tc>
      </w:tr>
      <w:tr w:rsidR="007D2DED" w:rsidRPr="00654758" w14:paraId="6CD156FB" w14:textId="77777777" w:rsidTr="007D2DED">
        <w:trPr>
          <w:trHeight w:val="270"/>
          <w:jc w:val="center"/>
        </w:trPr>
        <w:tc>
          <w:tcPr>
            <w:tcW w:w="4506" w:type="dxa"/>
            <w:shd w:val="clear" w:color="auto" w:fill="auto"/>
            <w:noWrap/>
            <w:vAlign w:val="bottom"/>
            <w:hideMark/>
          </w:tcPr>
          <w:p w14:paraId="7D41C7FD" w14:textId="77777777" w:rsidR="007D2DED" w:rsidRPr="00654758" w:rsidRDefault="007D2DED" w:rsidP="007D2DED">
            <w:pPr>
              <w:ind w:left="-458" w:firstLine="566"/>
              <w:rPr>
                <w:rFonts w:ascii="Arial" w:hAnsi="Arial" w:cs="Arial"/>
                <w:b/>
                <w:color w:val="000000"/>
                <w:sz w:val="18"/>
                <w:szCs w:val="18"/>
                <w:lang w:eastAsia="es-AR"/>
              </w:rPr>
            </w:pPr>
            <w:r w:rsidRPr="00654758">
              <w:rPr>
                <w:rFonts w:ascii="Arial" w:hAnsi="Arial" w:cs="Arial"/>
                <w:b/>
                <w:color w:val="000000"/>
                <w:sz w:val="18"/>
                <w:szCs w:val="18"/>
                <w:lang w:eastAsia="es-AR"/>
              </w:rPr>
              <w:t>Total</w:t>
            </w:r>
          </w:p>
        </w:tc>
        <w:tc>
          <w:tcPr>
            <w:tcW w:w="1276" w:type="dxa"/>
            <w:shd w:val="clear" w:color="auto" w:fill="auto"/>
            <w:noWrap/>
            <w:vAlign w:val="bottom"/>
          </w:tcPr>
          <w:p w14:paraId="5FA21D6F" w14:textId="74D1617E" w:rsidR="007D2DED" w:rsidRPr="00654758" w:rsidRDefault="00654758" w:rsidP="00654758">
            <w:pPr>
              <w:jc w:val="right"/>
              <w:rPr>
                <w:rFonts w:ascii="Arial" w:hAnsi="Arial" w:cs="Arial"/>
                <w:b/>
                <w:color w:val="000000"/>
                <w:sz w:val="18"/>
                <w:szCs w:val="18"/>
                <w:lang w:eastAsia="es-AR"/>
              </w:rPr>
            </w:pPr>
            <w:r w:rsidRPr="00654758">
              <w:rPr>
                <w:rFonts w:ascii="Arial" w:hAnsi="Arial" w:cs="Arial"/>
                <w:b/>
                <w:color w:val="000000"/>
                <w:sz w:val="18"/>
                <w:szCs w:val="18"/>
              </w:rPr>
              <w:t>257.587</w:t>
            </w:r>
          </w:p>
        </w:tc>
        <w:tc>
          <w:tcPr>
            <w:tcW w:w="1276" w:type="dxa"/>
            <w:shd w:val="clear" w:color="auto" w:fill="auto"/>
            <w:noWrap/>
            <w:vAlign w:val="bottom"/>
            <w:hideMark/>
          </w:tcPr>
          <w:p w14:paraId="69501426" w14:textId="77FB6869" w:rsidR="007D2DED" w:rsidRPr="00654758" w:rsidRDefault="007D2DED" w:rsidP="007D2DED">
            <w:pPr>
              <w:ind w:left="-458" w:firstLine="566"/>
              <w:jc w:val="right"/>
              <w:rPr>
                <w:rFonts w:ascii="Arial" w:hAnsi="Arial" w:cs="Arial"/>
                <w:b/>
                <w:color w:val="000000"/>
                <w:sz w:val="18"/>
                <w:szCs w:val="18"/>
                <w:lang w:eastAsia="es-AR"/>
              </w:rPr>
            </w:pPr>
            <w:r w:rsidRPr="00654758">
              <w:rPr>
                <w:rFonts w:ascii="Arial" w:hAnsi="Arial" w:cs="Arial"/>
                <w:b/>
                <w:color w:val="000000"/>
                <w:sz w:val="18"/>
                <w:szCs w:val="18"/>
              </w:rPr>
              <w:t>15.924</w:t>
            </w:r>
          </w:p>
        </w:tc>
      </w:tr>
    </w:tbl>
    <w:p w14:paraId="3602CDFA" w14:textId="77777777" w:rsidR="007D2DED" w:rsidRPr="00104754" w:rsidRDefault="007D2DED" w:rsidP="007D2DED">
      <w:pPr>
        <w:tabs>
          <w:tab w:val="left" w:pos="142"/>
          <w:tab w:val="left" w:pos="851"/>
        </w:tabs>
        <w:spacing w:after="200" w:line="276" w:lineRule="auto"/>
        <w:contextualSpacing/>
        <w:jc w:val="both"/>
        <w:rPr>
          <w:rFonts w:ascii="Arial" w:hAnsi="Arial" w:cs="Arial"/>
          <w:b/>
          <w:sz w:val="20"/>
          <w:u w:val="single"/>
          <w:lang w:eastAsia="es-AR"/>
        </w:rPr>
      </w:pPr>
    </w:p>
    <w:tbl>
      <w:tblPr>
        <w:tblW w:w="7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06"/>
        <w:gridCol w:w="1276"/>
        <w:gridCol w:w="1276"/>
      </w:tblGrid>
      <w:tr w:rsidR="007D2DED" w:rsidRPr="00104754" w14:paraId="17E6FB68" w14:textId="77777777" w:rsidTr="007D2DED">
        <w:trPr>
          <w:trHeight w:val="255"/>
          <w:jc w:val="center"/>
        </w:trPr>
        <w:tc>
          <w:tcPr>
            <w:tcW w:w="4506" w:type="dxa"/>
            <w:shd w:val="clear" w:color="auto" w:fill="auto"/>
            <w:noWrap/>
            <w:vAlign w:val="bottom"/>
            <w:hideMark/>
          </w:tcPr>
          <w:p w14:paraId="24A4ADCA" w14:textId="77777777" w:rsidR="007D2DED" w:rsidRPr="00104754" w:rsidRDefault="007D2DED" w:rsidP="00DF0784">
            <w:pPr>
              <w:ind w:left="-458" w:firstLine="566"/>
              <w:rPr>
                <w:rFonts w:ascii="Arial" w:hAnsi="Arial" w:cs="Arial"/>
                <w:b/>
                <w:bCs/>
                <w:color w:val="000000"/>
                <w:sz w:val="18"/>
                <w:szCs w:val="18"/>
                <w:u w:val="single"/>
                <w:lang w:eastAsia="es-AR"/>
              </w:rPr>
            </w:pPr>
          </w:p>
        </w:tc>
        <w:tc>
          <w:tcPr>
            <w:tcW w:w="1276" w:type="dxa"/>
            <w:shd w:val="clear" w:color="auto" w:fill="auto"/>
            <w:noWrap/>
            <w:vAlign w:val="bottom"/>
            <w:hideMark/>
          </w:tcPr>
          <w:p w14:paraId="5CABDA2D" w14:textId="768C54F3" w:rsidR="007D2DED" w:rsidRPr="00104754" w:rsidRDefault="007D2DED" w:rsidP="00DF0784">
            <w:pPr>
              <w:ind w:left="-458" w:firstLine="566"/>
              <w:jc w:val="center"/>
              <w:rPr>
                <w:rFonts w:ascii="Arial" w:hAnsi="Arial" w:cs="Arial"/>
                <w:b/>
                <w:color w:val="000000"/>
                <w:sz w:val="18"/>
                <w:szCs w:val="18"/>
                <w:lang w:eastAsia="es-AR"/>
              </w:rPr>
            </w:pPr>
            <w:r w:rsidRPr="00104754">
              <w:rPr>
                <w:rFonts w:ascii="Arial" w:hAnsi="Arial" w:cs="Arial"/>
                <w:b/>
                <w:color w:val="000000"/>
                <w:sz w:val="18"/>
                <w:szCs w:val="18"/>
                <w:lang w:eastAsia="es-AR"/>
              </w:rPr>
              <w:t>31/12/201</w:t>
            </w:r>
            <w:r>
              <w:rPr>
                <w:rFonts w:ascii="Arial" w:hAnsi="Arial" w:cs="Arial"/>
                <w:b/>
                <w:color w:val="000000"/>
                <w:sz w:val="18"/>
                <w:szCs w:val="18"/>
                <w:lang w:eastAsia="es-AR"/>
              </w:rPr>
              <w:t>9</w:t>
            </w:r>
          </w:p>
        </w:tc>
        <w:tc>
          <w:tcPr>
            <w:tcW w:w="1276" w:type="dxa"/>
            <w:shd w:val="clear" w:color="auto" w:fill="auto"/>
            <w:noWrap/>
            <w:vAlign w:val="bottom"/>
            <w:hideMark/>
          </w:tcPr>
          <w:p w14:paraId="47DDC83D" w14:textId="28604021" w:rsidR="007D2DED" w:rsidRPr="00104754" w:rsidRDefault="007D2DED" w:rsidP="00DF0784">
            <w:pPr>
              <w:ind w:left="-458" w:firstLine="566"/>
              <w:jc w:val="center"/>
              <w:rPr>
                <w:rFonts w:ascii="Arial" w:hAnsi="Arial" w:cs="Arial"/>
                <w:b/>
                <w:color w:val="000000"/>
                <w:sz w:val="18"/>
                <w:szCs w:val="18"/>
                <w:lang w:eastAsia="es-AR"/>
              </w:rPr>
            </w:pPr>
            <w:r w:rsidRPr="00104754">
              <w:rPr>
                <w:rFonts w:ascii="Arial" w:hAnsi="Arial" w:cs="Arial"/>
                <w:b/>
                <w:color w:val="000000"/>
                <w:sz w:val="18"/>
                <w:szCs w:val="18"/>
                <w:lang w:eastAsia="es-AR"/>
              </w:rPr>
              <w:t>31/12/201</w:t>
            </w:r>
            <w:r>
              <w:rPr>
                <w:rFonts w:ascii="Arial" w:hAnsi="Arial" w:cs="Arial"/>
                <w:b/>
                <w:color w:val="000000"/>
                <w:sz w:val="18"/>
                <w:szCs w:val="18"/>
                <w:lang w:eastAsia="es-AR"/>
              </w:rPr>
              <w:t>8</w:t>
            </w:r>
          </w:p>
        </w:tc>
      </w:tr>
      <w:tr w:rsidR="007D2DED" w:rsidRPr="00104754" w14:paraId="58EF0357" w14:textId="77777777" w:rsidTr="007D2DED">
        <w:trPr>
          <w:trHeight w:val="255"/>
          <w:jc w:val="center"/>
        </w:trPr>
        <w:tc>
          <w:tcPr>
            <w:tcW w:w="4506" w:type="dxa"/>
            <w:shd w:val="clear" w:color="auto" w:fill="auto"/>
            <w:noWrap/>
            <w:vAlign w:val="bottom"/>
            <w:hideMark/>
          </w:tcPr>
          <w:p w14:paraId="13478945" w14:textId="77777777" w:rsidR="007D2DED" w:rsidRPr="00104754" w:rsidRDefault="007D2DED" w:rsidP="007D2DED">
            <w:pPr>
              <w:ind w:left="42"/>
              <w:rPr>
                <w:rFonts w:ascii="Arial" w:hAnsi="Arial" w:cs="Arial"/>
                <w:color w:val="000000"/>
                <w:sz w:val="18"/>
                <w:szCs w:val="18"/>
                <w:lang w:eastAsia="es-AR"/>
              </w:rPr>
            </w:pPr>
            <w:r w:rsidRPr="00104754">
              <w:rPr>
                <w:rFonts w:ascii="Arial" w:hAnsi="Arial" w:cs="Arial"/>
                <w:color w:val="000000"/>
                <w:sz w:val="18"/>
                <w:szCs w:val="18"/>
              </w:rPr>
              <w:t>Saldos acreedores por operaciones a término en moneda extranjera liquidables en pesos</w:t>
            </w:r>
          </w:p>
        </w:tc>
        <w:tc>
          <w:tcPr>
            <w:tcW w:w="1276" w:type="dxa"/>
            <w:shd w:val="clear" w:color="auto" w:fill="auto"/>
            <w:noWrap/>
            <w:vAlign w:val="bottom"/>
          </w:tcPr>
          <w:p w14:paraId="3A69D04B" w14:textId="0BDD099E" w:rsidR="007D2DED" w:rsidRPr="00104754" w:rsidRDefault="00654758" w:rsidP="007D2DED">
            <w:pPr>
              <w:ind w:left="-458" w:firstLine="566"/>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1276" w:type="dxa"/>
            <w:shd w:val="clear" w:color="auto" w:fill="auto"/>
            <w:noWrap/>
            <w:vAlign w:val="bottom"/>
            <w:hideMark/>
          </w:tcPr>
          <w:p w14:paraId="086897E1" w14:textId="62FF935B" w:rsidR="007D2DED" w:rsidRPr="00104754" w:rsidRDefault="007D2DED" w:rsidP="007D2DED">
            <w:pPr>
              <w:ind w:left="-458" w:firstLine="566"/>
              <w:jc w:val="right"/>
              <w:rPr>
                <w:rFonts w:ascii="Arial" w:hAnsi="Arial" w:cs="Arial"/>
                <w:color w:val="000000"/>
                <w:sz w:val="18"/>
                <w:szCs w:val="18"/>
                <w:lang w:eastAsia="es-AR"/>
              </w:rPr>
            </w:pPr>
            <w:r w:rsidRPr="00104754">
              <w:rPr>
                <w:rFonts w:ascii="Arial" w:hAnsi="Arial" w:cs="Arial"/>
                <w:color w:val="000000"/>
                <w:sz w:val="18"/>
                <w:szCs w:val="18"/>
              </w:rPr>
              <w:t xml:space="preserve">94.222 </w:t>
            </w:r>
          </w:p>
        </w:tc>
      </w:tr>
      <w:tr w:rsidR="007D2DED" w:rsidRPr="00104754" w14:paraId="61A78CD2" w14:textId="77777777" w:rsidTr="007D2DED">
        <w:trPr>
          <w:trHeight w:val="270"/>
          <w:jc w:val="center"/>
        </w:trPr>
        <w:tc>
          <w:tcPr>
            <w:tcW w:w="4506" w:type="dxa"/>
            <w:shd w:val="clear" w:color="auto" w:fill="auto"/>
            <w:noWrap/>
            <w:vAlign w:val="bottom"/>
            <w:hideMark/>
          </w:tcPr>
          <w:p w14:paraId="646015DE" w14:textId="77777777" w:rsidR="007D2DED" w:rsidRPr="00104754" w:rsidRDefault="007D2DED" w:rsidP="007D2DED">
            <w:pPr>
              <w:ind w:left="-458" w:firstLine="566"/>
              <w:rPr>
                <w:rFonts w:ascii="Arial" w:hAnsi="Arial" w:cs="Arial"/>
                <w:b/>
                <w:color w:val="000000"/>
                <w:sz w:val="18"/>
                <w:szCs w:val="18"/>
                <w:lang w:eastAsia="es-AR"/>
              </w:rPr>
            </w:pPr>
            <w:r w:rsidRPr="00104754">
              <w:rPr>
                <w:rFonts w:ascii="Arial" w:hAnsi="Arial" w:cs="Arial"/>
                <w:b/>
                <w:color w:val="000000"/>
                <w:sz w:val="18"/>
                <w:szCs w:val="18"/>
                <w:lang w:eastAsia="es-AR"/>
              </w:rPr>
              <w:t>Total</w:t>
            </w:r>
          </w:p>
        </w:tc>
        <w:tc>
          <w:tcPr>
            <w:tcW w:w="1276" w:type="dxa"/>
            <w:shd w:val="clear" w:color="auto" w:fill="auto"/>
            <w:noWrap/>
            <w:vAlign w:val="bottom"/>
          </w:tcPr>
          <w:p w14:paraId="5533C9C0" w14:textId="39C6AA85" w:rsidR="007D2DED" w:rsidRPr="00104754" w:rsidRDefault="00654758" w:rsidP="007D2DED">
            <w:pPr>
              <w:jc w:val="right"/>
              <w:rPr>
                <w:rFonts w:ascii="Arial" w:hAnsi="Arial" w:cs="Arial"/>
                <w:b/>
                <w:color w:val="000000"/>
                <w:sz w:val="18"/>
                <w:szCs w:val="18"/>
                <w:lang w:eastAsia="es-AR"/>
              </w:rPr>
            </w:pPr>
            <w:r>
              <w:rPr>
                <w:rFonts w:ascii="Arial" w:hAnsi="Arial" w:cs="Arial"/>
                <w:b/>
                <w:color w:val="000000"/>
                <w:sz w:val="18"/>
                <w:szCs w:val="18"/>
                <w:lang w:eastAsia="es-AR"/>
              </w:rPr>
              <w:t>-</w:t>
            </w:r>
          </w:p>
        </w:tc>
        <w:tc>
          <w:tcPr>
            <w:tcW w:w="1276" w:type="dxa"/>
            <w:shd w:val="clear" w:color="auto" w:fill="auto"/>
            <w:noWrap/>
            <w:vAlign w:val="bottom"/>
            <w:hideMark/>
          </w:tcPr>
          <w:p w14:paraId="3ECFBE5D" w14:textId="7DDCECE1" w:rsidR="007D2DED" w:rsidRPr="00104754" w:rsidRDefault="007D2DED" w:rsidP="007D2DED">
            <w:pPr>
              <w:ind w:left="-458" w:firstLine="566"/>
              <w:jc w:val="right"/>
              <w:rPr>
                <w:rFonts w:ascii="Arial" w:hAnsi="Arial" w:cs="Arial"/>
                <w:b/>
                <w:color w:val="000000"/>
                <w:sz w:val="18"/>
                <w:szCs w:val="18"/>
                <w:lang w:eastAsia="es-AR"/>
              </w:rPr>
            </w:pPr>
            <w:r w:rsidRPr="00104754">
              <w:rPr>
                <w:rFonts w:ascii="Arial" w:hAnsi="Arial" w:cs="Arial"/>
                <w:b/>
                <w:color w:val="000000"/>
                <w:sz w:val="18"/>
                <w:szCs w:val="18"/>
              </w:rPr>
              <w:t>94.222</w:t>
            </w:r>
          </w:p>
        </w:tc>
      </w:tr>
    </w:tbl>
    <w:p w14:paraId="42D59DFA" w14:textId="77777777" w:rsidR="002E1657" w:rsidRDefault="002E1657" w:rsidP="007D2DED">
      <w:pPr>
        <w:rPr>
          <w:rFonts w:ascii="Arial" w:hAnsi="Arial" w:cs="Arial"/>
          <w:bCs/>
          <w:color w:val="000000"/>
          <w:sz w:val="20"/>
        </w:rPr>
      </w:pPr>
    </w:p>
    <w:p w14:paraId="2F64FC48" w14:textId="442E0E3E"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sidRPr="00701F32">
        <w:rPr>
          <w:rFonts w:ascii="Arial" w:hAnsi="Arial" w:cs="Arial"/>
          <w:bCs/>
          <w:color w:val="000000"/>
          <w:sz w:val="20"/>
          <w:lang w:eastAsia="es-AR"/>
        </w:rPr>
        <w:t>.</w:t>
      </w:r>
      <w:r w:rsidR="002E1657">
        <w:rPr>
          <w:rFonts w:ascii="Arial" w:hAnsi="Arial" w:cs="Arial"/>
          <w:bCs/>
          <w:color w:val="000000"/>
          <w:sz w:val="20"/>
          <w:lang w:eastAsia="es-AR"/>
        </w:rPr>
        <w:t>3</w:t>
      </w:r>
      <w:r w:rsidR="007D2DED" w:rsidRPr="00701F32">
        <w:rPr>
          <w:rFonts w:ascii="Arial" w:hAnsi="Arial" w:cs="Arial"/>
          <w:bCs/>
          <w:color w:val="000000"/>
          <w:sz w:val="20"/>
          <w:lang w:eastAsia="es-AR"/>
        </w:rPr>
        <w:t xml:space="preserve"> Otros activos financieros</w:t>
      </w:r>
    </w:p>
    <w:p w14:paraId="502F1818" w14:textId="77777777" w:rsidR="007D2DED" w:rsidRPr="00701F32" w:rsidRDefault="007D2DED" w:rsidP="007D2DED">
      <w:pPr>
        <w:rPr>
          <w:rFonts w:ascii="Arial" w:hAnsi="Arial" w:cs="Arial"/>
          <w:bCs/>
          <w:color w:val="000000"/>
          <w:sz w:val="20"/>
          <w:u w:val="single"/>
          <w:lang w:eastAsia="es-AR"/>
        </w:rPr>
      </w:pPr>
    </w:p>
    <w:p w14:paraId="39BC2490" w14:textId="14DE3057" w:rsidR="007D2DED" w:rsidRPr="00701F32" w:rsidRDefault="007D2DED" w:rsidP="007D2DED">
      <w:pPr>
        <w:spacing w:after="160" w:line="259" w:lineRule="auto"/>
        <w:rPr>
          <w:rFonts w:ascii="Arial" w:eastAsiaTheme="minorHAnsi" w:hAnsi="Arial" w:cs="Arial"/>
          <w:sz w:val="20"/>
          <w:szCs w:val="22"/>
        </w:rPr>
      </w:pPr>
      <w:r w:rsidRPr="00701F32">
        <w:rPr>
          <w:rFonts w:ascii="Arial" w:eastAsiaTheme="minorHAnsi" w:hAnsi="Arial" w:cs="Arial"/>
          <w:sz w:val="20"/>
          <w:szCs w:val="22"/>
        </w:rPr>
        <w:t xml:space="preserve">Los principales componentes del rubro otros activos financieros al 31 de diciembre </w:t>
      </w:r>
      <w:r>
        <w:rPr>
          <w:rFonts w:ascii="Arial" w:eastAsiaTheme="minorHAnsi" w:hAnsi="Arial" w:cs="Arial"/>
          <w:sz w:val="20"/>
          <w:szCs w:val="22"/>
        </w:rPr>
        <w:t>de 201</w:t>
      </w:r>
      <w:r w:rsidR="00DF0784">
        <w:rPr>
          <w:rFonts w:ascii="Arial" w:eastAsiaTheme="minorHAnsi" w:hAnsi="Arial" w:cs="Arial"/>
          <w:sz w:val="20"/>
          <w:szCs w:val="22"/>
        </w:rPr>
        <w:t>9</w:t>
      </w:r>
      <w:r>
        <w:rPr>
          <w:rFonts w:ascii="Arial" w:eastAsiaTheme="minorHAnsi" w:hAnsi="Arial" w:cs="Arial"/>
          <w:sz w:val="20"/>
          <w:szCs w:val="22"/>
        </w:rPr>
        <w:t xml:space="preserve"> y 201</w:t>
      </w:r>
      <w:r w:rsidR="00DF0784">
        <w:rPr>
          <w:rFonts w:ascii="Arial" w:eastAsiaTheme="minorHAnsi" w:hAnsi="Arial" w:cs="Arial"/>
          <w:sz w:val="20"/>
          <w:szCs w:val="22"/>
        </w:rPr>
        <w:t>8</w:t>
      </w:r>
      <w:r>
        <w:rPr>
          <w:rFonts w:ascii="Arial" w:eastAsiaTheme="minorHAnsi" w:hAnsi="Arial" w:cs="Arial"/>
          <w:sz w:val="20"/>
          <w:szCs w:val="22"/>
        </w:rPr>
        <w:t xml:space="preserve"> </w:t>
      </w:r>
      <w:r w:rsidRPr="00701F32">
        <w:rPr>
          <w:rFonts w:ascii="Arial" w:eastAsiaTheme="minorHAnsi" w:hAnsi="Arial" w:cs="Arial"/>
          <w:sz w:val="20"/>
          <w:szCs w:val="22"/>
        </w:rPr>
        <w:t>son los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1276"/>
        <w:gridCol w:w="1275"/>
      </w:tblGrid>
      <w:tr w:rsidR="00DF0784" w:rsidRPr="00701F32" w14:paraId="1F7FEF2D" w14:textId="77777777" w:rsidTr="002E1657">
        <w:trPr>
          <w:trHeight w:val="255"/>
          <w:jc w:val="center"/>
        </w:trPr>
        <w:tc>
          <w:tcPr>
            <w:tcW w:w="4820" w:type="dxa"/>
            <w:shd w:val="clear" w:color="auto" w:fill="auto"/>
            <w:noWrap/>
            <w:vAlign w:val="bottom"/>
            <w:hideMark/>
          </w:tcPr>
          <w:p w14:paraId="01D38BF9" w14:textId="77777777" w:rsidR="00DF0784" w:rsidRPr="006E1AF7" w:rsidRDefault="00DF0784" w:rsidP="00DF0784">
            <w:pPr>
              <w:rPr>
                <w:rFonts w:ascii="Arial" w:hAnsi="Arial" w:cs="Arial"/>
                <w:b/>
                <w:bCs/>
                <w:color w:val="000000"/>
                <w:sz w:val="18"/>
                <w:u w:val="single"/>
                <w:lang w:eastAsia="es-AR"/>
              </w:rPr>
            </w:pPr>
          </w:p>
        </w:tc>
        <w:tc>
          <w:tcPr>
            <w:tcW w:w="1276" w:type="dxa"/>
            <w:shd w:val="clear" w:color="auto" w:fill="auto"/>
            <w:noWrap/>
            <w:vAlign w:val="bottom"/>
            <w:hideMark/>
          </w:tcPr>
          <w:p w14:paraId="2BAD72E6" w14:textId="4B3E25A6" w:rsidR="00DF0784" w:rsidRPr="006E1AF7" w:rsidRDefault="00DF0784" w:rsidP="00DF0784">
            <w:pPr>
              <w:rPr>
                <w:rFonts w:ascii="Arial" w:hAnsi="Arial" w:cs="Arial"/>
                <w:b/>
                <w:color w:val="000000"/>
                <w:sz w:val="18"/>
                <w:lang w:eastAsia="es-AR"/>
              </w:rPr>
            </w:pPr>
            <w:r w:rsidRPr="006E1AF7">
              <w:rPr>
                <w:rFonts w:ascii="Arial" w:hAnsi="Arial" w:cs="Arial"/>
                <w:b/>
                <w:color w:val="000000"/>
                <w:sz w:val="18"/>
                <w:lang w:eastAsia="es-AR"/>
              </w:rPr>
              <w:t>31/12/2019</w:t>
            </w:r>
          </w:p>
        </w:tc>
        <w:tc>
          <w:tcPr>
            <w:tcW w:w="1275" w:type="dxa"/>
            <w:shd w:val="clear" w:color="auto" w:fill="auto"/>
            <w:noWrap/>
            <w:vAlign w:val="bottom"/>
            <w:hideMark/>
          </w:tcPr>
          <w:p w14:paraId="381DB82D" w14:textId="660D4E18" w:rsidR="00DF0784" w:rsidRPr="006E1AF7" w:rsidRDefault="00DF0784" w:rsidP="00DF0784">
            <w:pPr>
              <w:rPr>
                <w:rFonts w:ascii="Arial" w:hAnsi="Arial" w:cs="Arial"/>
                <w:b/>
                <w:color w:val="000000"/>
                <w:sz w:val="18"/>
                <w:lang w:eastAsia="es-AR"/>
              </w:rPr>
            </w:pPr>
            <w:r w:rsidRPr="006E1AF7">
              <w:rPr>
                <w:rFonts w:ascii="Arial" w:hAnsi="Arial" w:cs="Arial"/>
                <w:b/>
                <w:color w:val="000000"/>
                <w:sz w:val="18"/>
                <w:lang w:eastAsia="es-AR"/>
              </w:rPr>
              <w:t>31/12/2018</w:t>
            </w:r>
          </w:p>
        </w:tc>
      </w:tr>
      <w:tr w:rsidR="00A23DA3" w:rsidRPr="00701F32" w14:paraId="7EF51B7D" w14:textId="77777777" w:rsidTr="002E1657">
        <w:trPr>
          <w:trHeight w:val="255"/>
          <w:jc w:val="center"/>
        </w:trPr>
        <w:tc>
          <w:tcPr>
            <w:tcW w:w="4820" w:type="dxa"/>
            <w:shd w:val="clear" w:color="auto" w:fill="auto"/>
            <w:noWrap/>
            <w:vAlign w:val="bottom"/>
            <w:hideMark/>
          </w:tcPr>
          <w:p w14:paraId="0A07504B"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Certificados Participacion Fideicomisos Financieros</w:t>
            </w:r>
          </w:p>
        </w:tc>
        <w:tc>
          <w:tcPr>
            <w:tcW w:w="1276" w:type="dxa"/>
            <w:shd w:val="clear" w:color="auto" w:fill="auto"/>
            <w:noWrap/>
            <w:vAlign w:val="bottom"/>
          </w:tcPr>
          <w:p w14:paraId="559FF089" w14:textId="15888C08" w:rsidR="00A23DA3" w:rsidRPr="006E1AF7" w:rsidRDefault="00A23DA3" w:rsidP="00654758">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29.081</w:t>
            </w:r>
          </w:p>
        </w:tc>
        <w:tc>
          <w:tcPr>
            <w:tcW w:w="1275" w:type="dxa"/>
            <w:shd w:val="clear" w:color="auto" w:fill="auto"/>
            <w:noWrap/>
            <w:vAlign w:val="bottom"/>
            <w:hideMark/>
          </w:tcPr>
          <w:p w14:paraId="73DBA6CF" w14:textId="2F08B810"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10.947 </w:t>
            </w:r>
          </w:p>
        </w:tc>
      </w:tr>
      <w:tr w:rsidR="00A23DA3" w:rsidRPr="00701F32" w14:paraId="29A26F2A" w14:textId="77777777" w:rsidTr="002E1657">
        <w:trPr>
          <w:trHeight w:val="255"/>
          <w:jc w:val="center"/>
        </w:trPr>
        <w:tc>
          <w:tcPr>
            <w:tcW w:w="4820" w:type="dxa"/>
            <w:shd w:val="clear" w:color="auto" w:fill="auto"/>
            <w:noWrap/>
            <w:vAlign w:val="bottom"/>
            <w:hideMark/>
          </w:tcPr>
          <w:p w14:paraId="1C2C7CE7"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Deudores por operaciones contado a liquidar</w:t>
            </w:r>
          </w:p>
        </w:tc>
        <w:tc>
          <w:tcPr>
            <w:tcW w:w="1276" w:type="dxa"/>
            <w:shd w:val="clear" w:color="auto" w:fill="auto"/>
            <w:noWrap/>
            <w:vAlign w:val="bottom"/>
          </w:tcPr>
          <w:p w14:paraId="71C0725F" w14:textId="3270CEF9" w:rsidR="00A23DA3" w:rsidRPr="006E1AF7" w:rsidRDefault="00A23DA3" w:rsidP="00654758">
            <w:pPr>
              <w:jc w:val="right"/>
              <w:rPr>
                <w:rFonts w:ascii="Arial" w:hAnsi="Arial" w:cs="Arial"/>
                <w:color w:val="000000"/>
                <w:sz w:val="18"/>
                <w:lang w:eastAsia="es-AR"/>
              </w:rPr>
            </w:pPr>
            <w:r w:rsidRPr="006E1AF7">
              <w:rPr>
                <w:rFonts w:ascii="Arial" w:hAnsi="Arial" w:cs="Arial"/>
                <w:color w:val="000000"/>
                <w:sz w:val="18"/>
              </w:rPr>
              <w:t>138.591</w:t>
            </w:r>
          </w:p>
        </w:tc>
        <w:tc>
          <w:tcPr>
            <w:tcW w:w="1275" w:type="dxa"/>
            <w:shd w:val="clear" w:color="auto" w:fill="auto"/>
            <w:noWrap/>
            <w:vAlign w:val="bottom"/>
            <w:hideMark/>
          </w:tcPr>
          <w:p w14:paraId="7EF09926" w14:textId="571F25D5"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4.122</w:t>
            </w:r>
          </w:p>
        </w:tc>
      </w:tr>
      <w:tr w:rsidR="00A23DA3" w:rsidRPr="00701F32" w14:paraId="64BBAAEB" w14:textId="77777777" w:rsidTr="002E1657">
        <w:trPr>
          <w:trHeight w:val="255"/>
          <w:jc w:val="center"/>
        </w:trPr>
        <w:tc>
          <w:tcPr>
            <w:tcW w:w="4820" w:type="dxa"/>
            <w:shd w:val="clear" w:color="auto" w:fill="auto"/>
            <w:noWrap/>
            <w:vAlign w:val="bottom"/>
            <w:hideMark/>
          </w:tcPr>
          <w:p w14:paraId="578F7433"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Deudores Varios</w:t>
            </w:r>
          </w:p>
        </w:tc>
        <w:tc>
          <w:tcPr>
            <w:tcW w:w="1276" w:type="dxa"/>
            <w:shd w:val="clear" w:color="auto" w:fill="auto"/>
            <w:noWrap/>
            <w:vAlign w:val="bottom"/>
          </w:tcPr>
          <w:p w14:paraId="3569AF7B" w14:textId="2CC0E58C" w:rsidR="00A23DA3" w:rsidRPr="006E1AF7" w:rsidRDefault="00A23DA3" w:rsidP="00654758">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161.820</w:t>
            </w:r>
          </w:p>
        </w:tc>
        <w:tc>
          <w:tcPr>
            <w:tcW w:w="1275" w:type="dxa"/>
            <w:shd w:val="clear" w:color="auto" w:fill="auto"/>
            <w:noWrap/>
            <w:vAlign w:val="bottom"/>
            <w:hideMark/>
          </w:tcPr>
          <w:p w14:paraId="327DCB30" w14:textId="22613CBD"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371.988 </w:t>
            </w:r>
          </w:p>
        </w:tc>
      </w:tr>
      <w:tr w:rsidR="00A23DA3" w:rsidRPr="00701F32" w14:paraId="22A8482A" w14:textId="77777777" w:rsidTr="002E1657">
        <w:trPr>
          <w:trHeight w:val="255"/>
          <w:jc w:val="center"/>
        </w:trPr>
        <w:tc>
          <w:tcPr>
            <w:tcW w:w="4820" w:type="dxa"/>
            <w:shd w:val="clear" w:color="auto" w:fill="auto"/>
            <w:noWrap/>
            <w:vAlign w:val="bottom"/>
            <w:hideMark/>
          </w:tcPr>
          <w:p w14:paraId="0E98E905"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Deudores Varios por operaciones de tarjeta de crédito</w:t>
            </w:r>
          </w:p>
        </w:tc>
        <w:tc>
          <w:tcPr>
            <w:tcW w:w="1276" w:type="dxa"/>
            <w:shd w:val="clear" w:color="auto" w:fill="auto"/>
            <w:noWrap/>
            <w:vAlign w:val="bottom"/>
          </w:tcPr>
          <w:p w14:paraId="1B300AA8" w14:textId="7F330372" w:rsidR="00A23DA3" w:rsidRPr="006E1AF7" w:rsidRDefault="00A23DA3" w:rsidP="00654758">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350.505</w:t>
            </w:r>
          </w:p>
        </w:tc>
        <w:tc>
          <w:tcPr>
            <w:tcW w:w="1275" w:type="dxa"/>
            <w:shd w:val="clear" w:color="auto" w:fill="auto"/>
            <w:noWrap/>
            <w:vAlign w:val="bottom"/>
            <w:hideMark/>
          </w:tcPr>
          <w:p w14:paraId="1D159E75" w14:textId="1F416F32"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312.574 </w:t>
            </w:r>
          </w:p>
        </w:tc>
      </w:tr>
      <w:tr w:rsidR="00DF0784" w:rsidRPr="00701F32" w14:paraId="50D3D442" w14:textId="77777777" w:rsidTr="002E1657">
        <w:trPr>
          <w:trHeight w:val="270"/>
          <w:jc w:val="center"/>
        </w:trPr>
        <w:tc>
          <w:tcPr>
            <w:tcW w:w="4820" w:type="dxa"/>
            <w:shd w:val="clear" w:color="auto" w:fill="auto"/>
            <w:noWrap/>
            <w:vAlign w:val="bottom"/>
            <w:hideMark/>
          </w:tcPr>
          <w:p w14:paraId="2CE533C6" w14:textId="77777777" w:rsidR="00DF0784" w:rsidRPr="006E1AF7" w:rsidRDefault="00DF0784" w:rsidP="00DF0784">
            <w:pPr>
              <w:rPr>
                <w:rFonts w:ascii="Arial" w:hAnsi="Arial" w:cs="Arial"/>
                <w:b/>
                <w:color w:val="000000"/>
                <w:sz w:val="18"/>
                <w:lang w:eastAsia="es-AR"/>
              </w:rPr>
            </w:pPr>
            <w:r w:rsidRPr="006E1AF7">
              <w:rPr>
                <w:rFonts w:ascii="Arial" w:hAnsi="Arial" w:cs="Arial"/>
                <w:b/>
                <w:color w:val="000000"/>
                <w:sz w:val="18"/>
                <w:lang w:eastAsia="es-AR"/>
              </w:rPr>
              <w:t>Total</w:t>
            </w:r>
          </w:p>
        </w:tc>
        <w:tc>
          <w:tcPr>
            <w:tcW w:w="1276" w:type="dxa"/>
            <w:shd w:val="clear" w:color="auto" w:fill="auto"/>
            <w:noWrap/>
            <w:vAlign w:val="bottom"/>
          </w:tcPr>
          <w:p w14:paraId="6FFFF577" w14:textId="63183994" w:rsidR="00DF0784" w:rsidRPr="006E1AF7" w:rsidRDefault="00A23DA3" w:rsidP="00654758">
            <w:pPr>
              <w:jc w:val="right"/>
              <w:rPr>
                <w:rFonts w:ascii="Arial" w:hAnsi="Arial" w:cs="Arial"/>
                <w:b/>
                <w:bCs/>
                <w:color w:val="000000"/>
                <w:sz w:val="18"/>
                <w:lang w:eastAsia="es-AR"/>
              </w:rPr>
            </w:pPr>
            <w:r w:rsidRPr="006E1AF7">
              <w:rPr>
                <w:rFonts w:ascii="Arial" w:hAnsi="Arial" w:cs="Arial"/>
                <w:b/>
                <w:bCs/>
                <w:color w:val="000000"/>
                <w:sz w:val="18"/>
              </w:rPr>
              <w:t>679.997</w:t>
            </w:r>
          </w:p>
        </w:tc>
        <w:tc>
          <w:tcPr>
            <w:tcW w:w="1275" w:type="dxa"/>
            <w:shd w:val="clear" w:color="auto" w:fill="auto"/>
            <w:noWrap/>
            <w:vAlign w:val="bottom"/>
            <w:hideMark/>
          </w:tcPr>
          <w:p w14:paraId="4978BB75" w14:textId="1BB55203" w:rsidR="00DF0784" w:rsidRPr="006E1AF7" w:rsidRDefault="00DF0784" w:rsidP="00DF0784">
            <w:pPr>
              <w:autoSpaceDE w:val="0"/>
              <w:autoSpaceDN w:val="0"/>
              <w:adjustRightInd w:val="0"/>
              <w:jc w:val="right"/>
              <w:rPr>
                <w:rFonts w:ascii="Arial" w:eastAsiaTheme="minorHAnsi" w:hAnsi="Arial" w:cs="Arial"/>
                <w:b/>
                <w:color w:val="000000"/>
                <w:sz w:val="18"/>
                <w:lang w:val="es-ES_tradnl"/>
              </w:rPr>
            </w:pPr>
            <w:r w:rsidRPr="006E1AF7">
              <w:rPr>
                <w:rFonts w:ascii="Arial" w:hAnsi="Arial" w:cs="Arial"/>
                <w:b/>
                <w:color w:val="000000"/>
                <w:sz w:val="18"/>
              </w:rPr>
              <w:t>699.631</w:t>
            </w:r>
          </w:p>
        </w:tc>
      </w:tr>
    </w:tbl>
    <w:p w14:paraId="6982C4A9" w14:textId="77777777" w:rsidR="007D2DED" w:rsidRPr="00701F32" w:rsidRDefault="007D2DED" w:rsidP="007D2DED">
      <w:pPr>
        <w:spacing w:after="160" w:line="259" w:lineRule="auto"/>
        <w:rPr>
          <w:rFonts w:ascii="Arial" w:eastAsiaTheme="minorHAnsi" w:hAnsi="Arial" w:cs="Arial"/>
          <w:sz w:val="22"/>
          <w:szCs w:val="22"/>
        </w:rPr>
      </w:pPr>
    </w:p>
    <w:p w14:paraId="44F8BED1" w14:textId="34872445"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sidRPr="00701F32">
        <w:rPr>
          <w:rFonts w:ascii="Arial" w:hAnsi="Arial" w:cs="Arial"/>
          <w:bCs/>
          <w:color w:val="000000"/>
          <w:sz w:val="20"/>
          <w:lang w:eastAsia="es-AR"/>
        </w:rPr>
        <w:t>.</w:t>
      </w:r>
      <w:r w:rsidR="002E1657">
        <w:rPr>
          <w:rFonts w:ascii="Arial" w:hAnsi="Arial" w:cs="Arial"/>
          <w:bCs/>
          <w:color w:val="000000"/>
          <w:sz w:val="20"/>
          <w:lang w:eastAsia="es-AR"/>
        </w:rPr>
        <w:t>4</w:t>
      </w:r>
      <w:r w:rsidR="007D2DED" w:rsidRPr="00701F32">
        <w:rPr>
          <w:rFonts w:ascii="Arial" w:hAnsi="Arial" w:cs="Arial"/>
          <w:bCs/>
          <w:color w:val="000000"/>
          <w:sz w:val="20"/>
          <w:lang w:eastAsia="es-AR"/>
        </w:rPr>
        <w:t xml:space="preserve"> Préstamos y otras financiaciones</w:t>
      </w:r>
    </w:p>
    <w:p w14:paraId="15BD3464" w14:textId="77777777" w:rsidR="007D2DED" w:rsidRPr="00701F32" w:rsidRDefault="007D2DED" w:rsidP="007D2DED">
      <w:pPr>
        <w:rPr>
          <w:rFonts w:ascii="Arial" w:hAnsi="Arial" w:cs="Arial"/>
          <w:bCs/>
          <w:color w:val="000000"/>
          <w:sz w:val="20"/>
          <w:lang w:eastAsia="es-AR"/>
        </w:rPr>
      </w:pPr>
    </w:p>
    <w:p w14:paraId="168F995A" w14:textId="77777777" w:rsidR="007D2DED" w:rsidRPr="00701F32" w:rsidRDefault="007D2DED" w:rsidP="007D2DED">
      <w:pPr>
        <w:spacing w:after="160" w:line="259" w:lineRule="auto"/>
        <w:rPr>
          <w:rFonts w:ascii="Arial" w:eastAsiaTheme="minorHAnsi" w:hAnsi="Arial" w:cs="Arial"/>
          <w:sz w:val="20"/>
          <w:szCs w:val="22"/>
        </w:rPr>
      </w:pPr>
      <w:r w:rsidRPr="00701F32">
        <w:rPr>
          <w:rFonts w:ascii="Arial" w:eastAsiaTheme="minorHAnsi" w:hAnsi="Arial" w:cs="Arial"/>
          <w:sz w:val="20"/>
          <w:szCs w:val="22"/>
        </w:rPr>
        <w:t xml:space="preserve">Los principales componentes del rubro préstamos y otras financiaciones al 31 de diciembre </w:t>
      </w:r>
      <w:r>
        <w:rPr>
          <w:rFonts w:ascii="Arial" w:eastAsiaTheme="minorHAnsi" w:hAnsi="Arial" w:cs="Arial"/>
          <w:sz w:val="20"/>
          <w:szCs w:val="22"/>
        </w:rPr>
        <w:t xml:space="preserve">2018 y </w:t>
      </w:r>
      <w:r w:rsidRPr="00701F32">
        <w:rPr>
          <w:rFonts w:ascii="Arial" w:eastAsiaTheme="minorHAnsi" w:hAnsi="Arial" w:cs="Arial"/>
          <w:sz w:val="20"/>
          <w:szCs w:val="22"/>
        </w:rPr>
        <w:t>2017 y 1 de enero de 2017 son los siguientes:</w:t>
      </w:r>
    </w:p>
    <w:tbl>
      <w:tblPr>
        <w:tblW w:w="7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6"/>
        <w:gridCol w:w="1376"/>
        <w:gridCol w:w="1376"/>
      </w:tblGrid>
      <w:tr w:rsidR="00DF0784" w:rsidRPr="00701F32" w14:paraId="626669CA" w14:textId="77777777" w:rsidTr="002E1657">
        <w:trPr>
          <w:trHeight w:val="255"/>
          <w:jc w:val="center"/>
        </w:trPr>
        <w:tc>
          <w:tcPr>
            <w:tcW w:w="4536" w:type="dxa"/>
            <w:shd w:val="clear" w:color="auto" w:fill="auto"/>
            <w:noWrap/>
            <w:vAlign w:val="bottom"/>
            <w:hideMark/>
          </w:tcPr>
          <w:p w14:paraId="1DFACDF1" w14:textId="77777777" w:rsidR="00DF0784" w:rsidRPr="006E1AF7" w:rsidRDefault="00DF0784" w:rsidP="00DF0784">
            <w:pPr>
              <w:rPr>
                <w:rFonts w:ascii="Arial" w:hAnsi="Arial" w:cs="Arial"/>
                <w:b/>
                <w:bCs/>
                <w:color w:val="000000"/>
                <w:sz w:val="18"/>
                <w:u w:val="single"/>
                <w:lang w:eastAsia="es-AR"/>
              </w:rPr>
            </w:pPr>
          </w:p>
        </w:tc>
        <w:tc>
          <w:tcPr>
            <w:tcW w:w="1376" w:type="dxa"/>
            <w:shd w:val="clear" w:color="auto" w:fill="auto"/>
            <w:noWrap/>
            <w:vAlign w:val="bottom"/>
            <w:hideMark/>
          </w:tcPr>
          <w:p w14:paraId="39BB4B87" w14:textId="23464E0A" w:rsidR="00DF0784" w:rsidRPr="006E1AF7" w:rsidRDefault="00DF0784" w:rsidP="00DF0784">
            <w:pPr>
              <w:jc w:val="center"/>
              <w:rPr>
                <w:rFonts w:ascii="Arial" w:hAnsi="Arial" w:cs="Arial"/>
                <w:b/>
                <w:color w:val="000000"/>
                <w:sz w:val="18"/>
                <w:lang w:eastAsia="es-AR"/>
              </w:rPr>
            </w:pPr>
            <w:r w:rsidRPr="006E1AF7">
              <w:rPr>
                <w:rFonts w:ascii="Arial" w:hAnsi="Arial" w:cs="Arial"/>
                <w:b/>
                <w:color w:val="000000"/>
                <w:sz w:val="18"/>
                <w:lang w:eastAsia="es-AR"/>
              </w:rPr>
              <w:t>31/12/2019</w:t>
            </w:r>
          </w:p>
        </w:tc>
        <w:tc>
          <w:tcPr>
            <w:tcW w:w="1376" w:type="dxa"/>
            <w:shd w:val="clear" w:color="auto" w:fill="auto"/>
            <w:noWrap/>
            <w:vAlign w:val="bottom"/>
            <w:hideMark/>
          </w:tcPr>
          <w:p w14:paraId="614D3DA0" w14:textId="759BA7C5" w:rsidR="00DF0784" w:rsidRPr="006E1AF7" w:rsidRDefault="00DF0784" w:rsidP="00DF0784">
            <w:pPr>
              <w:jc w:val="center"/>
              <w:rPr>
                <w:rFonts w:ascii="Arial" w:hAnsi="Arial" w:cs="Arial"/>
                <w:b/>
                <w:color w:val="000000"/>
                <w:sz w:val="18"/>
                <w:lang w:eastAsia="es-AR"/>
              </w:rPr>
            </w:pPr>
            <w:r w:rsidRPr="006E1AF7">
              <w:rPr>
                <w:rFonts w:ascii="Arial" w:hAnsi="Arial" w:cs="Arial"/>
                <w:b/>
                <w:color w:val="000000"/>
                <w:sz w:val="18"/>
                <w:lang w:eastAsia="es-AR"/>
              </w:rPr>
              <w:t>31/12/2018</w:t>
            </w:r>
          </w:p>
        </w:tc>
      </w:tr>
      <w:tr w:rsidR="00A23DA3" w:rsidRPr="00701F32" w14:paraId="3FFB2EC9" w14:textId="77777777" w:rsidTr="002E1657">
        <w:trPr>
          <w:trHeight w:val="255"/>
          <w:jc w:val="center"/>
        </w:trPr>
        <w:tc>
          <w:tcPr>
            <w:tcW w:w="4536" w:type="dxa"/>
            <w:shd w:val="clear" w:color="auto" w:fill="auto"/>
            <w:noWrap/>
            <w:vAlign w:val="bottom"/>
            <w:hideMark/>
          </w:tcPr>
          <w:p w14:paraId="0DF562CC"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Sector público</w:t>
            </w:r>
          </w:p>
        </w:tc>
        <w:tc>
          <w:tcPr>
            <w:tcW w:w="1376" w:type="dxa"/>
            <w:shd w:val="clear" w:color="auto" w:fill="auto"/>
            <w:noWrap/>
            <w:vAlign w:val="bottom"/>
          </w:tcPr>
          <w:p w14:paraId="19DBDB9E" w14:textId="3365C4B3"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28.872</w:t>
            </w:r>
          </w:p>
        </w:tc>
        <w:tc>
          <w:tcPr>
            <w:tcW w:w="1376" w:type="dxa"/>
            <w:shd w:val="clear" w:color="auto" w:fill="auto"/>
            <w:noWrap/>
            <w:vAlign w:val="bottom"/>
            <w:hideMark/>
          </w:tcPr>
          <w:p w14:paraId="2284F605" w14:textId="3FE78055"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32.802 </w:t>
            </w:r>
          </w:p>
        </w:tc>
      </w:tr>
      <w:tr w:rsidR="00A23DA3" w:rsidRPr="00701F32" w14:paraId="0FE35E7B" w14:textId="77777777" w:rsidTr="002E1657">
        <w:trPr>
          <w:trHeight w:val="255"/>
          <w:jc w:val="center"/>
        </w:trPr>
        <w:tc>
          <w:tcPr>
            <w:tcW w:w="4536" w:type="dxa"/>
            <w:shd w:val="clear" w:color="auto" w:fill="auto"/>
            <w:noWrap/>
            <w:vAlign w:val="bottom"/>
            <w:hideMark/>
          </w:tcPr>
          <w:p w14:paraId="223E9B9B"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Sector financiero</w:t>
            </w:r>
          </w:p>
        </w:tc>
        <w:tc>
          <w:tcPr>
            <w:tcW w:w="1376" w:type="dxa"/>
            <w:shd w:val="clear" w:color="auto" w:fill="auto"/>
            <w:noWrap/>
            <w:vAlign w:val="bottom"/>
          </w:tcPr>
          <w:p w14:paraId="56E440D4" w14:textId="6237CA03"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1.195.768</w:t>
            </w:r>
          </w:p>
        </w:tc>
        <w:tc>
          <w:tcPr>
            <w:tcW w:w="1376" w:type="dxa"/>
            <w:shd w:val="clear" w:color="auto" w:fill="auto"/>
            <w:noWrap/>
            <w:vAlign w:val="bottom"/>
            <w:hideMark/>
          </w:tcPr>
          <w:p w14:paraId="0D97F5B6" w14:textId="5329E2FA"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2.950.923 </w:t>
            </w:r>
          </w:p>
        </w:tc>
      </w:tr>
      <w:tr w:rsidR="00A23DA3" w:rsidRPr="00701F32" w14:paraId="43580FEB" w14:textId="77777777" w:rsidTr="002E1657">
        <w:trPr>
          <w:trHeight w:val="255"/>
          <w:jc w:val="center"/>
        </w:trPr>
        <w:tc>
          <w:tcPr>
            <w:tcW w:w="4536" w:type="dxa"/>
            <w:shd w:val="clear" w:color="auto" w:fill="auto"/>
            <w:noWrap/>
            <w:vAlign w:val="bottom"/>
            <w:hideMark/>
          </w:tcPr>
          <w:p w14:paraId="20AC3BB9"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Adelantos</w:t>
            </w:r>
          </w:p>
        </w:tc>
        <w:tc>
          <w:tcPr>
            <w:tcW w:w="1376" w:type="dxa"/>
            <w:shd w:val="clear" w:color="auto" w:fill="auto"/>
            <w:noWrap/>
            <w:vAlign w:val="bottom"/>
          </w:tcPr>
          <w:p w14:paraId="0A7BF40A" w14:textId="114DBDC5"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5.602.801</w:t>
            </w:r>
          </w:p>
        </w:tc>
        <w:tc>
          <w:tcPr>
            <w:tcW w:w="1376" w:type="dxa"/>
            <w:shd w:val="clear" w:color="auto" w:fill="auto"/>
            <w:noWrap/>
            <w:vAlign w:val="bottom"/>
            <w:hideMark/>
          </w:tcPr>
          <w:p w14:paraId="504DD037" w14:textId="49C1CA4D"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5.000.639 </w:t>
            </w:r>
          </w:p>
        </w:tc>
      </w:tr>
      <w:tr w:rsidR="00A23DA3" w:rsidRPr="00701F32" w14:paraId="061251C8" w14:textId="77777777" w:rsidTr="002E1657">
        <w:trPr>
          <w:trHeight w:val="255"/>
          <w:jc w:val="center"/>
        </w:trPr>
        <w:tc>
          <w:tcPr>
            <w:tcW w:w="4536" w:type="dxa"/>
            <w:shd w:val="clear" w:color="auto" w:fill="auto"/>
            <w:noWrap/>
            <w:vAlign w:val="bottom"/>
            <w:hideMark/>
          </w:tcPr>
          <w:p w14:paraId="24677C7F"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Documentos</w:t>
            </w:r>
          </w:p>
        </w:tc>
        <w:tc>
          <w:tcPr>
            <w:tcW w:w="1376" w:type="dxa"/>
            <w:shd w:val="clear" w:color="auto" w:fill="auto"/>
            <w:noWrap/>
            <w:vAlign w:val="bottom"/>
          </w:tcPr>
          <w:p w14:paraId="311FCA9C" w14:textId="6E75D886"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19.620.906</w:t>
            </w:r>
          </w:p>
        </w:tc>
        <w:tc>
          <w:tcPr>
            <w:tcW w:w="1376" w:type="dxa"/>
            <w:shd w:val="clear" w:color="auto" w:fill="auto"/>
            <w:noWrap/>
            <w:vAlign w:val="bottom"/>
            <w:hideMark/>
          </w:tcPr>
          <w:p w14:paraId="2BAC9E89" w14:textId="412383D5"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14.318.444 </w:t>
            </w:r>
          </w:p>
        </w:tc>
      </w:tr>
      <w:tr w:rsidR="00A23DA3" w:rsidRPr="00701F32" w14:paraId="5A8CAE13" w14:textId="77777777" w:rsidTr="002E1657">
        <w:trPr>
          <w:trHeight w:val="255"/>
          <w:jc w:val="center"/>
        </w:trPr>
        <w:tc>
          <w:tcPr>
            <w:tcW w:w="4536" w:type="dxa"/>
            <w:shd w:val="clear" w:color="auto" w:fill="auto"/>
            <w:noWrap/>
            <w:vAlign w:val="bottom"/>
            <w:hideMark/>
          </w:tcPr>
          <w:p w14:paraId="07D817A3"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Hipotecarios</w:t>
            </w:r>
          </w:p>
        </w:tc>
        <w:tc>
          <w:tcPr>
            <w:tcW w:w="1376" w:type="dxa"/>
            <w:shd w:val="clear" w:color="auto" w:fill="auto"/>
            <w:noWrap/>
            <w:vAlign w:val="bottom"/>
          </w:tcPr>
          <w:p w14:paraId="080F819D" w14:textId="3A008218"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7.917.020</w:t>
            </w:r>
          </w:p>
        </w:tc>
        <w:tc>
          <w:tcPr>
            <w:tcW w:w="1376" w:type="dxa"/>
            <w:shd w:val="clear" w:color="auto" w:fill="auto"/>
            <w:noWrap/>
            <w:vAlign w:val="bottom"/>
            <w:hideMark/>
          </w:tcPr>
          <w:p w14:paraId="55EC1CC1" w14:textId="38C546CD"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5.357.198 </w:t>
            </w:r>
          </w:p>
        </w:tc>
      </w:tr>
      <w:tr w:rsidR="00A23DA3" w:rsidRPr="00701F32" w14:paraId="0458D0C6" w14:textId="77777777" w:rsidTr="002E1657">
        <w:trPr>
          <w:trHeight w:val="255"/>
          <w:jc w:val="center"/>
        </w:trPr>
        <w:tc>
          <w:tcPr>
            <w:tcW w:w="4536" w:type="dxa"/>
            <w:shd w:val="clear" w:color="auto" w:fill="auto"/>
            <w:noWrap/>
            <w:vAlign w:val="bottom"/>
            <w:hideMark/>
          </w:tcPr>
          <w:p w14:paraId="61FEF75A"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Prendarios</w:t>
            </w:r>
          </w:p>
        </w:tc>
        <w:tc>
          <w:tcPr>
            <w:tcW w:w="1376" w:type="dxa"/>
            <w:shd w:val="clear" w:color="auto" w:fill="auto"/>
            <w:noWrap/>
            <w:vAlign w:val="bottom"/>
          </w:tcPr>
          <w:p w14:paraId="0D64197B" w14:textId="408B9E79"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732.667</w:t>
            </w:r>
          </w:p>
        </w:tc>
        <w:tc>
          <w:tcPr>
            <w:tcW w:w="1376" w:type="dxa"/>
            <w:shd w:val="clear" w:color="auto" w:fill="auto"/>
            <w:noWrap/>
            <w:vAlign w:val="bottom"/>
            <w:hideMark/>
          </w:tcPr>
          <w:p w14:paraId="543238BB" w14:textId="62F43131"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521.943 </w:t>
            </w:r>
          </w:p>
        </w:tc>
      </w:tr>
      <w:tr w:rsidR="00A23DA3" w:rsidRPr="00701F32" w14:paraId="0EE06A07" w14:textId="77777777" w:rsidTr="002E1657">
        <w:trPr>
          <w:trHeight w:val="255"/>
          <w:jc w:val="center"/>
        </w:trPr>
        <w:tc>
          <w:tcPr>
            <w:tcW w:w="4536" w:type="dxa"/>
            <w:shd w:val="clear" w:color="auto" w:fill="auto"/>
            <w:noWrap/>
            <w:vAlign w:val="bottom"/>
            <w:hideMark/>
          </w:tcPr>
          <w:p w14:paraId="5E4DEBA8"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Personales</w:t>
            </w:r>
          </w:p>
        </w:tc>
        <w:tc>
          <w:tcPr>
            <w:tcW w:w="1376" w:type="dxa"/>
            <w:shd w:val="clear" w:color="auto" w:fill="auto"/>
            <w:noWrap/>
            <w:vAlign w:val="bottom"/>
          </w:tcPr>
          <w:p w14:paraId="6E5680EB" w14:textId="474B53EF"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14.462.784</w:t>
            </w:r>
          </w:p>
        </w:tc>
        <w:tc>
          <w:tcPr>
            <w:tcW w:w="1376" w:type="dxa"/>
            <w:shd w:val="clear" w:color="auto" w:fill="auto"/>
            <w:noWrap/>
            <w:vAlign w:val="bottom"/>
            <w:hideMark/>
          </w:tcPr>
          <w:p w14:paraId="079C9F00" w14:textId="79D3E04F"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14.230.039 </w:t>
            </w:r>
          </w:p>
        </w:tc>
      </w:tr>
      <w:tr w:rsidR="00A23DA3" w:rsidRPr="00701F32" w14:paraId="79F3AAB5" w14:textId="77777777" w:rsidTr="002E1657">
        <w:trPr>
          <w:trHeight w:val="255"/>
          <w:jc w:val="center"/>
        </w:trPr>
        <w:tc>
          <w:tcPr>
            <w:tcW w:w="4536" w:type="dxa"/>
            <w:shd w:val="clear" w:color="auto" w:fill="auto"/>
            <w:noWrap/>
            <w:vAlign w:val="bottom"/>
            <w:hideMark/>
          </w:tcPr>
          <w:p w14:paraId="525050DB"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Tarjetas de Crédito</w:t>
            </w:r>
          </w:p>
        </w:tc>
        <w:tc>
          <w:tcPr>
            <w:tcW w:w="1376" w:type="dxa"/>
            <w:shd w:val="clear" w:color="auto" w:fill="auto"/>
            <w:noWrap/>
            <w:vAlign w:val="bottom"/>
          </w:tcPr>
          <w:p w14:paraId="6E3AB1E1" w14:textId="2FDFD8B5"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10.664.624</w:t>
            </w:r>
          </w:p>
        </w:tc>
        <w:tc>
          <w:tcPr>
            <w:tcW w:w="1376" w:type="dxa"/>
            <w:shd w:val="clear" w:color="auto" w:fill="auto"/>
            <w:noWrap/>
            <w:vAlign w:val="bottom"/>
            <w:hideMark/>
          </w:tcPr>
          <w:p w14:paraId="5CC6FA26" w14:textId="5783045A"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6.679.858 </w:t>
            </w:r>
          </w:p>
        </w:tc>
      </w:tr>
      <w:tr w:rsidR="00A23DA3" w:rsidRPr="00701F32" w14:paraId="37D9BF9B" w14:textId="77777777" w:rsidTr="002E1657">
        <w:trPr>
          <w:trHeight w:val="255"/>
          <w:jc w:val="center"/>
        </w:trPr>
        <w:tc>
          <w:tcPr>
            <w:tcW w:w="4536" w:type="dxa"/>
            <w:shd w:val="clear" w:color="auto" w:fill="auto"/>
            <w:noWrap/>
            <w:vAlign w:val="bottom"/>
            <w:hideMark/>
          </w:tcPr>
          <w:p w14:paraId="13E8E901"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Préstamos Comex</w:t>
            </w:r>
          </w:p>
        </w:tc>
        <w:tc>
          <w:tcPr>
            <w:tcW w:w="1376" w:type="dxa"/>
            <w:shd w:val="clear" w:color="auto" w:fill="auto"/>
            <w:noWrap/>
            <w:vAlign w:val="bottom"/>
          </w:tcPr>
          <w:p w14:paraId="693F7998" w14:textId="39896C46"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14.786.934</w:t>
            </w:r>
          </w:p>
        </w:tc>
        <w:tc>
          <w:tcPr>
            <w:tcW w:w="1376" w:type="dxa"/>
            <w:shd w:val="clear" w:color="auto" w:fill="auto"/>
            <w:noWrap/>
            <w:vAlign w:val="bottom"/>
            <w:hideMark/>
          </w:tcPr>
          <w:p w14:paraId="432898D5" w14:textId="4AC9BE9A"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13.478.173 </w:t>
            </w:r>
          </w:p>
        </w:tc>
      </w:tr>
      <w:tr w:rsidR="00A23DA3" w:rsidRPr="00701F32" w14:paraId="2A59FBAA" w14:textId="77777777" w:rsidTr="002E1657">
        <w:trPr>
          <w:trHeight w:val="255"/>
          <w:jc w:val="center"/>
        </w:trPr>
        <w:tc>
          <w:tcPr>
            <w:tcW w:w="4536" w:type="dxa"/>
            <w:shd w:val="clear" w:color="auto" w:fill="auto"/>
            <w:noWrap/>
            <w:vAlign w:val="bottom"/>
            <w:hideMark/>
          </w:tcPr>
          <w:p w14:paraId="37987965"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Arrendamientos Financieros</w:t>
            </w:r>
          </w:p>
        </w:tc>
        <w:tc>
          <w:tcPr>
            <w:tcW w:w="1376" w:type="dxa"/>
            <w:shd w:val="clear" w:color="auto" w:fill="auto"/>
            <w:noWrap/>
            <w:vAlign w:val="bottom"/>
          </w:tcPr>
          <w:p w14:paraId="6F75FA98" w14:textId="680B8F12"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3.186.689</w:t>
            </w:r>
          </w:p>
        </w:tc>
        <w:tc>
          <w:tcPr>
            <w:tcW w:w="1376" w:type="dxa"/>
            <w:shd w:val="clear" w:color="auto" w:fill="auto"/>
            <w:noWrap/>
            <w:vAlign w:val="bottom"/>
            <w:hideMark/>
          </w:tcPr>
          <w:p w14:paraId="1C1B906F" w14:textId="3843157E"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3.345.684 </w:t>
            </w:r>
          </w:p>
        </w:tc>
      </w:tr>
      <w:tr w:rsidR="00A23DA3" w:rsidRPr="00701F32" w14:paraId="7A47C8CB" w14:textId="77777777" w:rsidTr="002E1657">
        <w:trPr>
          <w:trHeight w:val="255"/>
          <w:jc w:val="center"/>
        </w:trPr>
        <w:tc>
          <w:tcPr>
            <w:tcW w:w="4536" w:type="dxa"/>
            <w:shd w:val="clear" w:color="auto" w:fill="auto"/>
            <w:noWrap/>
            <w:vAlign w:val="bottom"/>
            <w:hideMark/>
          </w:tcPr>
          <w:p w14:paraId="59186C44"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Otros</w:t>
            </w:r>
          </w:p>
        </w:tc>
        <w:tc>
          <w:tcPr>
            <w:tcW w:w="1376" w:type="dxa"/>
            <w:shd w:val="clear" w:color="auto" w:fill="auto"/>
            <w:noWrap/>
            <w:vAlign w:val="bottom"/>
          </w:tcPr>
          <w:p w14:paraId="18FE5FCC" w14:textId="1E7C96FC" w:rsidR="00A23DA3" w:rsidRPr="006E1AF7" w:rsidRDefault="00A23DA3" w:rsidP="00654758">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5.830.374</w:t>
            </w:r>
          </w:p>
        </w:tc>
        <w:tc>
          <w:tcPr>
            <w:tcW w:w="1376" w:type="dxa"/>
            <w:shd w:val="clear" w:color="auto" w:fill="auto"/>
            <w:noWrap/>
            <w:vAlign w:val="bottom"/>
            <w:hideMark/>
          </w:tcPr>
          <w:p w14:paraId="71ADC895" w14:textId="0A8859FA"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6.949.951 </w:t>
            </w:r>
          </w:p>
        </w:tc>
      </w:tr>
      <w:tr w:rsidR="00DF0784" w:rsidRPr="00701F32" w14:paraId="367D11EE" w14:textId="77777777" w:rsidTr="002E1657">
        <w:trPr>
          <w:trHeight w:val="270"/>
          <w:jc w:val="center"/>
        </w:trPr>
        <w:tc>
          <w:tcPr>
            <w:tcW w:w="4536" w:type="dxa"/>
            <w:shd w:val="clear" w:color="auto" w:fill="auto"/>
            <w:noWrap/>
            <w:vAlign w:val="bottom"/>
            <w:hideMark/>
          </w:tcPr>
          <w:p w14:paraId="2EEF1646" w14:textId="77777777" w:rsidR="00DF0784" w:rsidRPr="006E1AF7" w:rsidRDefault="00DF0784" w:rsidP="00DF0784">
            <w:pPr>
              <w:jc w:val="both"/>
              <w:rPr>
                <w:rFonts w:ascii="Arial" w:hAnsi="Arial" w:cs="Arial"/>
                <w:b/>
                <w:color w:val="000000"/>
                <w:sz w:val="18"/>
                <w:lang w:eastAsia="es-AR"/>
              </w:rPr>
            </w:pPr>
            <w:r w:rsidRPr="006E1AF7">
              <w:rPr>
                <w:rFonts w:ascii="Arial" w:hAnsi="Arial" w:cs="Arial"/>
                <w:b/>
                <w:color w:val="000000"/>
                <w:sz w:val="18"/>
                <w:lang w:eastAsia="es-AR"/>
              </w:rPr>
              <w:t>Total</w:t>
            </w:r>
          </w:p>
        </w:tc>
        <w:tc>
          <w:tcPr>
            <w:tcW w:w="1376" w:type="dxa"/>
            <w:shd w:val="clear" w:color="auto" w:fill="auto"/>
            <w:noWrap/>
            <w:vAlign w:val="bottom"/>
          </w:tcPr>
          <w:p w14:paraId="25363F18" w14:textId="2CB8F52D" w:rsidR="00DF0784" w:rsidRPr="006E1AF7" w:rsidRDefault="00A23DA3" w:rsidP="00654758">
            <w:pPr>
              <w:jc w:val="right"/>
              <w:rPr>
                <w:rFonts w:ascii="Arial" w:hAnsi="Arial" w:cs="Arial"/>
                <w:b/>
                <w:bCs/>
                <w:color w:val="000000"/>
                <w:sz w:val="18"/>
                <w:lang w:eastAsia="es-AR"/>
              </w:rPr>
            </w:pPr>
            <w:r w:rsidRPr="006E1AF7">
              <w:rPr>
                <w:rFonts w:ascii="Arial" w:hAnsi="Arial" w:cs="Arial"/>
                <w:b/>
                <w:bCs/>
                <w:color w:val="000000"/>
                <w:sz w:val="18"/>
              </w:rPr>
              <w:t>84.029.439</w:t>
            </w:r>
          </w:p>
        </w:tc>
        <w:tc>
          <w:tcPr>
            <w:tcW w:w="1376" w:type="dxa"/>
            <w:shd w:val="clear" w:color="auto" w:fill="auto"/>
            <w:noWrap/>
            <w:vAlign w:val="bottom"/>
            <w:hideMark/>
          </w:tcPr>
          <w:p w14:paraId="2D1F3005" w14:textId="44BABEFF" w:rsidR="00DF0784" w:rsidRPr="006E1AF7" w:rsidRDefault="00DF0784" w:rsidP="00DF0784">
            <w:pPr>
              <w:autoSpaceDE w:val="0"/>
              <w:autoSpaceDN w:val="0"/>
              <w:adjustRightInd w:val="0"/>
              <w:jc w:val="right"/>
              <w:rPr>
                <w:rFonts w:ascii="Arial" w:eastAsiaTheme="minorHAnsi" w:hAnsi="Arial" w:cs="Arial"/>
                <w:b/>
                <w:color w:val="000000"/>
                <w:sz w:val="18"/>
              </w:rPr>
            </w:pPr>
            <w:r w:rsidRPr="006E1AF7">
              <w:rPr>
                <w:rFonts w:ascii="Arial" w:hAnsi="Arial" w:cs="Arial"/>
                <w:b/>
                <w:color w:val="000000"/>
                <w:sz w:val="18"/>
              </w:rPr>
              <w:t xml:space="preserve">72.865.654 </w:t>
            </w:r>
          </w:p>
        </w:tc>
      </w:tr>
    </w:tbl>
    <w:p w14:paraId="7725A9CE" w14:textId="77777777" w:rsidR="007D2DED" w:rsidRDefault="007D2DED" w:rsidP="007D2DED">
      <w:pPr>
        <w:spacing w:after="160" w:line="259" w:lineRule="auto"/>
        <w:rPr>
          <w:rFonts w:ascii="Arial" w:eastAsiaTheme="minorHAnsi" w:hAnsi="Arial" w:cs="Arial"/>
          <w:sz w:val="22"/>
          <w:szCs w:val="22"/>
        </w:rPr>
      </w:pPr>
    </w:p>
    <w:p w14:paraId="7AF03593" w14:textId="5540C92A" w:rsidR="007D2DED" w:rsidRPr="008A510A" w:rsidRDefault="007D2DED" w:rsidP="007D2DED">
      <w:pPr>
        <w:autoSpaceDE w:val="0"/>
        <w:autoSpaceDN w:val="0"/>
        <w:adjustRightInd w:val="0"/>
        <w:jc w:val="both"/>
        <w:rPr>
          <w:rFonts w:ascii="Helv" w:hAnsi="Helv" w:cs="Helv"/>
          <w:color w:val="000000"/>
          <w:sz w:val="20"/>
        </w:rPr>
      </w:pPr>
      <w:r w:rsidRPr="008A510A">
        <w:rPr>
          <w:rFonts w:ascii="Helv" w:hAnsi="Helv" w:cs="Helv"/>
          <w:color w:val="000000"/>
          <w:sz w:val="20"/>
        </w:rPr>
        <w:t xml:space="preserve">Asimismo, al 31 de diciembre de </w:t>
      </w:r>
      <w:r w:rsidR="00DF0784">
        <w:rPr>
          <w:rFonts w:ascii="Helv" w:hAnsi="Helv" w:cs="Helv"/>
          <w:color w:val="000000"/>
          <w:sz w:val="20"/>
        </w:rPr>
        <w:t>2019 y 2018</w:t>
      </w:r>
      <w:r w:rsidRPr="008A510A">
        <w:rPr>
          <w:rFonts w:ascii="Helv" w:hAnsi="Helv" w:cs="Helv"/>
          <w:color w:val="000000"/>
          <w:sz w:val="20"/>
        </w:rPr>
        <w:t xml:space="preserve"> el Banco mantiene las siguientes responsabilidades eventuales: </w:t>
      </w:r>
    </w:p>
    <w:p w14:paraId="6C443E69" w14:textId="77777777" w:rsidR="007D2DED" w:rsidRPr="008A510A" w:rsidRDefault="007D2DED" w:rsidP="007D2DED">
      <w:pPr>
        <w:autoSpaceDE w:val="0"/>
        <w:autoSpaceDN w:val="0"/>
        <w:adjustRightInd w:val="0"/>
        <w:jc w:val="both"/>
        <w:rPr>
          <w:rFonts w:ascii="Helv" w:hAnsi="Helv" w:cs="Helv"/>
          <w:color w:val="000000"/>
          <w:sz w:val="20"/>
        </w:rPr>
      </w:pPr>
    </w:p>
    <w:tbl>
      <w:tblPr>
        <w:tblW w:w="4258" w:type="pct"/>
        <w:jc w:val="center"/>
        <w:tblCellMar>
          <w:left w:w="70" w:type="dxa"/>
          <w:right w:w="70" w:type="dxa"/>
        </w:tblCellMar>
        <w:tblLook w:val="00A0" w:firstRow="1" w:lastRow="0" w:firstColumn="1" w:lastColumn="0" w:noHBand="0" w:noVBand="0"/>
      </w:tblPr>
      <w:tblGrid>
        <w:gridCol w:w="4662"/>
        <w:gridCol w:w="1350"/>
        <w:gridCol w:w="1350"/>
      </w:tblGrid>
      <w:tr w:rsidR="00DF0784" w:rsidRPr="00E9549C" w14:paraId="05D89CCD" w14:textId="77777777" w:rsidTr="002E1657">
        <w:trPr>
          <w:trHeight w:val="278"/>
          <w:jc w:val="center"/>
        </w:trPr>
        <w:tc>
          <w:tcPr>
            <w:tcW w:w="3166" w:type="pct"/>
            <w:tcBorders>
              <w:top w:val="single" w:sz="6" w:space="0" w:color="000000"/>
              <w:left w:val="single" w:sz="6" w:space="0" w:color="000000"/>
              <w:bottom w:val="single" w:sz="6" w:space="0" w:color="000000"/>
              <w:right w:val="single" w:sz="6" w:space="0" w:color="000000"/>
            </w:tcBorders>
            <w:vAlign w:val="bottom"/>
            <w:hideMark/>
          </w:tcPr>
          <w:p w14:paraId="111B45A6" w14:textId="77777777" w:rsidR="00DF0784" w:rsidRPr="006E1AF7" w:rsidRDefault="00DF0784" w:rsidP="00DF0784">
            <w:pPr>
              <w:autoSpaceDE w:val="0"/>
              <w:autoSpaceDN w:val="0"/>
              <w:adjustRightInd w:val="0"/>
              <w:rPr>
                <w:rFonts w:ascii="Helv" w:hAnsi="Helv" w:cs="Helv"/>
                <w:color w:val="000000"/>
                <w:sz w:val="18"/>
              </w:rPr>
            </w:pPr>
            <w:r w:rsidRPr="006E1AF7">
              <w:rPr>
                <w:rFonts w:ascii="Helv" w:hAnsi="Helv" w:cs="Helv"/>
                <w:color w:val="000000"/>
                <w:sz w:val="18"/>
              </w:rPr>
              <w:t xml:space="preserve"> </w:t>
            </w:r>
          </w:p>
        </w:tc>
        <w:tc>
          <w:tcPr>
            <w:tcW w:w="917" w:type="pct"/>
            <w:tcBorders>
              <w:top w:val="single" w:sz="6" w:space="0" w:color="000000"/>
              <w:left w:val="single" w:sz="6" w:space="0" w:color="000000"/>
              <w:bottom w:val="single" w:sz="6" w:space="0" w:color="000000"/>
              <w:right w:val="single" w:sz="6" w:space="0" w:color="000000"/>
            </w:tcBorders>
            <w:vAlign w:val="bottom"/>
            <w:hideMark/>
          </w:tcPr>
          <w:p w14:paraId="5E4B9C63" w14:textId="760E481A" w:rsidR="00DF0784" w:rsidRPr="006E1AF7" w:rsidRDefault="00DF0784" w:rsidP="00DF0784">
            <w:pPr>
              <w:autoSpaceDE w:val="0"/>
              <w:autoSpaceDN w:val="0"/>
              <w:adjustRightInd w:val="0"/>
              <w:jc w:val="center"/>
              <w:rPr>
                <w:rFonts w:ascii="Helv" w:hAnsi="Helv" w:cs="Helv"/>
                <w:b/>
                <w:color w:val="000000"/>
                <w:sz w:val="18"/>
              </w:rPr>
            </w:pPr>
            <w:r w:rsidRPr="006E1AF7">
              <w:rPr>
                <w:rFonts w:ascii="Arial" w:hAnsi="Arial" w:cs="Arial"/>
                <w:b/>
                <w:color w:val="000000"/>
                <w:sz w:val="18"/>
                <w:lang w:eastAsia="es-AR"/>
              </w:rPr>
              <w:t>31/12/2019</w:t>
            </w:r>
          </w:p>
        </w:tc>
        <w:tc>
          <w:tcPr>
            <w:tcW w:w="917" w:type="pct"/>
            <w:tcBorders>
              <w:top w:val="single" w:sz="6" w:space="0" w:color="000000"/>
              <w:left w:val="single" w:sz="6" w:space="0" w:color="000000"/>
              <w:bottom w:val="single" w:sz="6" w:space="0" w:color="000000"/>
              <w:right w:val="single" w:sz="6" w:space="0" w:color="000000"/>
            </w:tcBorders>
            <w:vAlign w:val="bottom"/>
            <w:hideMark/>
          </w:tcPr>
          <w:p w14:paraId="15BB6CD1" w14:textId="645265BF" w:rsidR="00DF0784" w:rsidRPr="006E1AF7" w:rsidRDefault="00DF0784" w:rsidP="00DF0784">
            <w:pPr>
              <w:autoSpaceDE w:val="0"/>
              <w:autoSpaceDN w:val="0"/>
              <w:adjustRightInd w:val="0"/>
              <w:jc w:val="center"/>
              <w:rPr>
                <w:rFonts w:ascii="Helv" w:hAnsi="Helv" w:cs="Helv"/>
                <w:b/>
                <w:color w:val="000000"/>
                <w:sz w:val="18"/>
              </w:rPr>
            </w:pPr>
            <w:r w:rsidRPr="006E1AF7">
              <w:rPr>
                <w:rFonts w:ascii="Arial" w:hAnsi="Arial" w:cs="Arial"/>
                <w:b/>
                <w:color w:val="000000"/>
                <w:sz w:val="18"/>
                <w:lang w:eastAsia="es-AR"/>
              </w:rPr>
              <w:t>31/12/2018</w:t>
            </w:r>
          </w:p>
        </w:tc>
      </w:tr>
      <w:tr w:rsidR="0034407C" w:rsidRPr="00E9549C" w14:paraId="67899CD9" w14:textId="77777777" w:rsidTr="002E1657">
        <w:trPr>
          <w:trHeight w:val="278"/>
          <w:jc w:val="center"/>
        </w:trPr>
        <w:tc>
          <w:tcPr>
            <w:tcW w:w="3166" w:type="pct"/>
            <w:tcBorders>
              <w:top w:val="single" w:sz="6" w:space="0" w:color="000000"/>
              <w:left w:val="single" w:sz="6" w:space="0" w:color="000000"/>
              <w:bottom w:val="single" w:sz="6" w:space="0" w:color="000000"/>
              <w:right w:val="single" w:sz="6" w:space="0" w:color="000000"/>
            </w:tcBorders>
            <w:vAlign w:val="bottom"/>
            <w:hideMark/>
          </w:tcPr>
          <w:p w14:paraId="620414A6" w14:textId="77777777" w:rsidR="0034407C" w:rsidRPr="006E1AF7" w:rsidRDefault="0034407C" w:rsidP="0034407C">
            <w:pPr>
              <w:rPr>
                <w:rFonts w:ascii="Arial" w:hAnsi="Arial" w:cs="Arial"/>
                <w:color w:val="000000"/>
                <w:sz w:val="18"/>
                <w:lang w:eastAsia="es-AR"/>
              </w:rPr>
            </w:pPr>
            <w:r w:rsidRPr="006E1AF7">
              <w:rPr>
                <w:rFonts w:ascii="Arial" w:hAnsi="Arial" w:cs="Arial"/>
                <w:color w:val="000000"/>
                <w:sz w:val="18"/>
                <w:lang w:eastAsia="es-AR"/>
              </w:rPr>
              <w:t>Otras garantias otorgadas</w:t>
            </w:r>
          </w:p>
        </w:tc>
        <w:tc>
          <w:tcPr>
            <w:tcW w:w="917" w:type="pct"/>
            <w:tcBorders>
              <w:top w:val="single" w:sz="6" w:space="0" w:color="000000"/>
              <w:left w:val="single" w:sz="6" w:space="0" w:color="000000"/>
              <w:bottom w:val="single" w:sz="6" w:space="0" w:color="000000"/>
              <w:right w:val="single" w:sz="6" w:space="0" w:color="000000"/>
            </w:tcBorders>
            <w:vAlign w:val="bottom"/>
          </w:tcPr>
          <w:p w14:paraId="51991CA4" w14:textId="4EA27898" w:rsidR="0034407C" w:rsidRPr="006E1AF7" w:rsidRDefault="0034407C" w:rsidP="00654758">
            <w:pPr>
              <w:jc w:val="right"/>
              <w:rPr>
                <w:rFonts w:ascii="Arial" w:hAnsi="Arial" w:cs="Arial"/>
                <w:color w:val="000000"/>
                <w:sz w:val="18"/>
              </w:rPr>
            </w:pPr>
            <w:r w:rsidRPr="006E1AF7">
              <w:rPr>
                <w:rFonts w:ascii="Arial" w:hAnsi="Arial" w:cs="Arial"/>
                <w:color w:val="000000"/>
                <w:sz w:val="18"/>
              </w:rPr>
              <w:t>565.960</w:t>
            </w:r>
          </w:p>
        </w:tc>
        <w:tc>
          <w:tcPr>
            <w:tcW w:w="917" w:type="pct"/>
            <w:tcBorders>
              <w:top w:val="single" w:sz="6" w:space="0" w:color="000000"/>
              <w:left w:val="single" w:sz="6" w:space="0" w:color="000000"/>
              <w:bottom w:val="single" w:sz="6" w:space="0" w:color="000000"/>
              <w:right w:val="single" w:sz="6" w:space="0" w:color="000000"/>
            </w:tcBorders>
            <w:vAlign w:val="bottom"/>
          </w:tcPr>
          <w:p w14:paraId="79EC8E79" w14:textId="4E086DBE" w:rsidR="0034407C" w:rsidRPr="006E1AF7" w:rsidRDefault="0034407C" w:rsidP="0034407C">
            <w:pPr>
              <w:jc w:val="right"/>
              <w:rPr>
                <w:rFonts w:ascii="Arial" w:hAnsi="Arial" w:cs="Arial"/>
                <w:color w:val="000000"/>
                <w:sz w:val="18"/>
              </w:rPr>
            </w:pPr>
            <w:r w:rsidRPr="006E1AF7">
              <w:rPr>
                <w:rFonts w:ascii="Arial" w:hAnsi="Arial" w:cs="Arial"/>
                <w:color w:val="000000"/>
                <w:sz w:val="18"/>
              </w:rPr>
              <w:t>719.369</w:t>
            </w:r>
          </w:p>
        </w:tc>
      </w:tr>
      <w:tr w:rsidR="0034407C" w:rsidRPr="00E9549C" w14:paraId="5BC73787" w14:textId="77777777" w:rsidTr="002E1657">
        <w:trPr>
          <w:trHeight w:val="278"/>
          <w:jc w:val="center"/>
        </w:trPr>
        <w:tc>
          <w:tcPr>
            <w:tcW w:w="3166" w:type="pct"/>
            <w:tcBorders>
              <w:top w:val="single" w:sz="6" w:space="0" w:color="000000"/>
              <w:left w:val="single" w:sz="6" w:space="0" w:color="000000"/>
              <w:bottom w:val="single" w:sz="6" w:space="0" w:color="000000"/>
              <w:right w:val="single" w:sz="6" w:space="0" w:color="000000"/>
            </w:tcBorders>
            <w:vAlign w:val="bottom"/>
          </w:tcPr>
          <w:p w14:paraId="25531517" w14:textId="77777777" w:rsidR="0034407C" w:rsidRPr="006E1AF7" w:rsidRDefault="0034407C" w:rsidP="0034407C">
            <w:pPr>
              <w:rPr>
                <w:rFonts w:ascii="Arial" w:hAnsi="Arial" w:cs="Arial"/>
                <w:color w:val="000000"/>
                <w:sz w:val="18"/>
                <w:lang w:eastAsia="es-AR"/>
              </w:rPr>
            </w:pPr>
            <w:r w:rsidRPr="006E1AF7">
              <w:rPr>
                <w:rFonts w:ascii="Arial" w:hAnsi="Arial" w:cs="Arial"/>
                <w:color w:val="000000"/>
                <w:sz w:val="18"/>
                <w:lang w:eastAsia="es-AR"/>
              </w:rPr>
              <w:t>Responsabilidades por operaciones de comercio exterior</w:t>
            </w:r>
          </w:p>
        </w:tc>
        <w:tc>
          <w:tcPr>
            <w:tcW w:w="917" w:type="pct"/>
            <w:tcBorders>
              <w:top w:val="single" w:sz="6" w:space="0" w:color="000000"/>
              <w:left w:val="single" w:sz="6" w:space="0" w:color="000000"/>
              <w:bottom w:val="single" w:sz="6" w:space="0" w:color="000000"/>
              <w:right w:val="single" w:sz="6" w:space="0" w:color="000000"/>
            </w:tcBorders>
            <w:vAlign w:val="bottom"/>
          </w:tcPr>
          <w:p w14:paraId="7F5CDF2E" w14:textId="49F9305E" w:rsidR="0034407C" w:rsidRPr="006E1AF7" w:rsidRDefault="0034407C" w:rsidP="00654758">
            <w:pPr>
              <w:jc w:val="right"/>
              <w:rPr>
                <w:rFonts w:ascii="Arial" w:hAnsi="Arial" w:cs="Arial"/>
                <w:color w:val="000000"/>
                <w:sz w:val="18"/>
              </w:rPr>
            </w:pPr>
            <w:r w:rsidRPr="006E1AF7">
              <w:rPr>
                <w:rFonts w:ascii="Arial" w:hAnsi="Arial" w:cs="Arial"/>
                <w:color w:val="000000"/>
                <w:sz w:val="18"/>
              </w:rPr>
              <w:t>207.906</w:t>
            </w:r>
          </w:p>
        </w:tc>
        <w:tc>
          <w:tcPr>
            <w:tcW w:w="917" w:type="pct"/>
            <w:tcBorders>
              <w:top w:val="single" w:sz="6" w:space="0" w:color="000000"/>
              <w:left w:val="single" w:sz="6" w:space="0" w:color="000000"/>
              <w:bottom w:val="single" w:sz="6" w:space="0" w:color="000000"/>
              <w:right w:val="single" w:sz="6" w:space="0" w:color="000000"/>
            </w:tcBorders>
            <w:vAlign w:val="bottom"/>
          </w:tcPr>
          <w:p w14:paraId="28EAE106" w14:textId="6ADAF5CF" w:rsidR="0034407C" w:rsidRPr="006E1AF7" w:rsidRDefault="0034407C" w:rsidP="0034407C">
            <w:pPr>
              <w:jc w:val="right"/>
              <w:rPr>
                <w:rFonts w:ascii="Arial" w:hAnsi="Arial" w:cs="Arial"/>
                <w:color w:val="000000"/>
                <w:sz w:val="18"/>
              </w:rPr>
            </w:pPr>
            <w:r w:rsidRPr="006E1AF7">
              <w:rPr>
                <w:rFonts w:ascii="Arial" w:hAnsi="Arial" w:cs="Arial"/>
                <w:color w:val="000000"/>
                <w:sz w:val="18"/>
              </w:rPr>
              <w:t>31.138</w:t>
            </w:r>
          </w:p>
        </w:tc>
      </w:tr>
      <w:tr w:rsidR="0034407C" w:rsidRPr="00E9549C" w14:paraId="233904D5" w14:textId="77777777" w:rsidTr="002E1657">
        <w:trPr>
          <w:trHeight w:val="278"/>
          <w:jc w:val="center"/>
        </w:trPr>
        <w:tc>
          <w:tcPr>
            <w:tcW w:w="3166" w:type="pct"/>
            <w:tcBorders>
              <w:top w:val="single" w:sz="6" w:space="0" w:color="000000"/>
              <w:left w:val="single" w:sz="6" w:space="0" w:color="000000"/>
              <w:bottom w:val="single" w:sz="6" w:space="0" w:color="000000"/>
              <w:right w:val="single" w:sz="6" w:space="0" w:color="000000"/>
            </w:tcBorders>
            <w:vAlign w:val="bottom"/>
            <w:hideMark/>
          </w:tcPr>
          <w:p w14:paraId="04AA2A69" w14:textId="77777777" w:rsidR="0034407C" w:rsidRPr="006E1AF7" w:rsidRDefault="0034407C" w:rsidP="0034407C">
            <w:pPr>
              <w:rPr>
                <w:rFonts w:ascii="Arial" w:hAnsi="Arial" w:cs="Arial"/>
                <w:sz w:val="18"/>
                <w:lang w:eastAsia="es-AR"/>
              </w:rPr>
            </w:pPr>
            <w:r w:rsidRPr="006E1AF7">
              <w:rPr>
                <w:rFonts w:ascii="Arial" w:hAnsi="Arial" w:cs="Arial"/>
                <w:sz w:val="18"/>
                <w:lang w:eastAsia="es-AR"/>
              </w:rPr>
              <w:t>Créditos documentarios</w:t>
            </w:r>
          </w:p>
        </w:tc>
        <w:tc>
          <w:tcPr>
            <w:tcW w:w="917" w:type="pct"/>
            <w:tcBorders>
              <w:top w:val="single" w:sz="6" w:space="0" w:color="000000"/>
              <w:left w:val="single" w:sz="6" w:space="0" w:color="000000"/>
              <w:bottom w:val="single" w:sz="6" w:space="0" w:color="000000"/>
              <w:right w:val="single" w:sz="6" w:space="0" w:color="000000"/>
            </w:tcBorders>
            <w:vAlign w:val="bottom"/>
          </w:tcPr>
          <w:p w14:paraId="0F29B4FF" w14:textId="77C1551F" w:rsidR="0034407C" w:rsidRPr="006E1AF7" w:rsidRDefault="0034407C" w:rsidP="00654758">
            <w:pPr>
              <w:jc w:val="right"/>
              <w:rPr>
                <w:rFonts w:ascii="Arial" w:hAnsi="Arial" w:cs="Arial"/>
                <w:color w:val="000000"/>
                <w:sz w:val="18"/>
              </w:rPr>
            </w:pPr>
            <w:r w:rsidRPr="006E1AF7">
              <w:rPr>
                <w:rFonts w:ascii="Arial" w:hAnsi="Arial" w:cs="Arial"/>
                <w:color w:val="000000"/>
                <w:sz w:val="18"/>
              </w:rPr>
              <w:t>119.096</w:t>
            </w:r>
          </w:p>
        </w:tc>
        <w:tc>
          <w:tcPr>
            <w:tcW w:w="917" w:type="pct"/>
            <w:tcBorders>
              <w:top w:val="single" w:sz="6" w:space="0" w:color="000000"/>
              <w:left w:val="single" w:sz="6" w:space="0" w:color="000000"/>
              <w:bottom w:val="single" w:sz="6" w:space="0" w:color="000000"/>
              <w:right w:val="single" w:sz="6" w:space="0" w:color="000000"/>
            </w:tcBorders>
            <w:vAlign w:val="bottom"/>
          </w:tcPr>
          <w:p w14:paraId="4E114C9D" w14:textId="58CEE42B" w:rsidR="0034407C" w:rsidRPr="006E1AF7" w:rsidRDefault="0034407C" w:rsidP="0034407C">
            <w:pPr>
              <w:jc w:val="right"/>
              <w:rPr>
                <w:rFonts w:ascii="Arial" w:hAnsi="Arial" w:cs="Arial"/>
                <w:color w:val="000000"/>
                <w:sz w:val="18"/>
              </w:rPr>
            </w:pPr>
            <w:r w:rsidRPr="006E1AF7">
              <w:rPr>
                <w:rFonts w:ascii="Arial" w:hAnsi="Arial" w:cs="Arial"/>
                <w:color w:val="000000"/>
                <w:sz w:val="18"/>
              </w:rPr>
              <w:t>63.514</w:t>
            </w:r>
          </w:p>
        </w:tc>
      </w:tr>
      <w:tr w:rsidR="00F011C0" w:rsidRPr="00E9549C" w14:paraId="6EBD0652" w14:textId="77777777" w:rsidTr="002E1657">
        <w:trPr>
          <w:trHeight w:val="217"/>
          <w:jc w:val="center"/>
        </w:trPr>
        <w:tc>
          <w:tcPr>
            <w:tcW w:w="3166" w:type="pct"/>
            <w:tcBorders>
              <w:top w:val="single" w:sz="6" w:space="0" w:color="000000"/>
              <w:left w:val="single" w:sz="6" w:space="0" w:color="000000"/>
              <w:bottom w:val="single" w:sz="6" w:space="0" w:color="000000"/>
              <w:right w:val="single" w:sz="6" w:space="0" w:color="000000"/>
            </w:tcBorders>
            <w:vAlign w:val="bottom"/>
            <w:hideMark/>
          </w:tcPr>
          <w:p w14:paraId="5D7B261C" w14:textId="77777777" w:rsidR="00F011C0" w:rsidRPr="006E1AF7" w:rsidRDefault="00F011C0" w:rsidP="00F011C0">
            <w:pPr>
              <w:autoSpaceDE w:val="0"/>
              <w:autoSpaceDN w:val="0"/>
              <w:adjustRightInd w:val="0"/>
              <w:rPr>
                <w:rFonts w:ascii="Helv" w:hAnsi="Helv" w:cs="Helv"/>
                <w:b/>
                <w:sz w:val="18"/>
              </w:rPr>
            </w:pPr>
            <w:r w:rsidRPr="006E1AF7">
              <w:rPr>
                <w:rFonts w:ascii="Helv" w:hAnsi="Helv" w:cs="Helv"/>
                <w:b/>
                <w:sz w:val="18"/>
              </w:rPr>
              <w:t xml:space="preserve">Total </w:t>
            </w:r>
          </w:p>
        </w:tc>
        <w:tc>
          <w:tcPr>
            <w:tcW w:w="917" w:type="pct"/>
            <w:tcBorders>
              <w:top w:val="single" w:sz="6" w:space="0" w:color="000000"/>
              <w:left w:val="single" w:sz="6" w:space="0" w:color="000000"/>
              <w:bottom w:val="single" w:sz="6" w:space="0" w:color="000000"/>
              <w:right w:val="single" w:sz="6" w:space="0" w:color="000000"/>
            </w:tcBorders>
            <w:vAlign w:val="bottom"/>
          </w:tcPr>
          <w:p w14:paraId="5871EBFE" w14:textId="4EEB7155" w:rsidR="00F011C0" w:rsidRPr="006E1AF7" w:rsidRDefault="0034407C" w:rsidP="00654758">
            <w:pPr>
              <w:jc w:val="right"/>
              <w:rPr>
                <w:rFonts w:ascii="Arial" w:hAnsi="Arial" w:cs="Arial"/>
                <w:b/>
                <w:bCs/>
                <w:color w:val="000000"/>
                <w:sz w:val="18"/>
                <w:lang w:eastAsia="es-AR"/>
              </w:rPr>
            </w:pPr>
            <w:r w:rsidRPr="006E1AF7">
              <w:rPr>
                <w:rFonts w:ascii="Arial" w:hAnsi="Arial" w:cs="Arial"/>
                <w:b/>
                <w:bCs/>
                <w:color w:val="000000"/>
                <w:sz w:val="18"/>
              </w:rPr>
              <w:t>892.962</w:t>
            </w:r>
          </w:p>
        </w:tc>
        <w:tc>
          <w:tcPr>
            <w:tcW w:w="917" w:type="pct"/>
            <w:tcBorders>
              <w:top w:val="single" w:sz="6" w:space="0" w:color="000000"/>
              <w:left w:val="single" w:sz="6" w:space="0" w:color="000000"/>
              <w:bottom w:val="single" w:sz="6" w:space="0" w:color="000000"/>
              <w:right w:val="single" w:sz="6" w:space="0" w:color="000000"/>
            </w:tcBorders>
            <w:vAlign w:val="bottom"/>
          </w:tcPr>
          <w:p w14:paraId="257757BA" w14:textId="65E7A26E" w:rsidR="00F011C0" w:rsidRPr="006E1AF7" w:rsidRDefault="00F011C0" w:rsidP="00F011C0">
            <w:pPr>
              <w:jc w:val="right"/>
              <w:rPr>
                <w:rFonts w:ascii="Arial" w:hAnsi="Arial" w:cs="Arial"/>
                <w:b/>
                <w:color w:val="000000"/>
                <w:sz w:val="18"/>
              </w:rPr>
            </w:pPr>
            <w:r w:rsidRPr="006E1AF7">
              <w:rPr>
                <w:rFonts w:ascii="Arial" w:hAnsi="Arial" w:cs="Arial"/>
                <w:b/>
                <w:color w:val="000000"/>
                <w:sz w:val="18"/>
              </w:rPr>
              <w:t>814.021</w:t>
            </w:r>
          </w:p>
        </w:tc>
      </w:tr>
    </w:tbl>
    <w:p w14:paraId="64A868B4" w14:textId="77777777" w:rsidR="007D2DED" w:rsidRPr="006E1AF7" w:rsidRDefault="007D2DED" w:rsidP="007D2DED">
      <w:pPr>
        <w:autoSpaceDE w:val="0"/>
        <w:autoSpaceDN w:val="0"/>
        <w:adjustRightInd w:val="0"/>
        <w:spacing w:after="120"/>
        <w:rPr>
          <w:rFonts w:ascii="Helv" w:hAnsi="Helv" w:cs="Helv"/>
          <w:color w:val="000000"/>
          <w:sz w:val="18"/>
        </w:rPr>
      </w:pPr>
    </w:p>
    <w:p w14:paraId="2BC5B767" w14:textId="1814FD9D" w:rsidR="007D2DED" w:rsidRDefault="007D2DED" w:rsidP="007D2DED">
      <w:pPr>
        <w:autoSpaceDE w:val="0"/>
        <w:autoSpaceDN w:val="0"/>
        <w:adjustRightInd w:val="0"/>
        <w:spacing w:after="120"/>
        <w:rPr>
          <w:rFonts w:ascii="Helv" w:hAnsi="Helv" w:cs="Helv"/>
          <w:color w:val="000000"/>
          <w:sz w:val="20"/>
        </w:rPr>
      </w:pPr>
      <w:r w:rsidRPr="008A510A">
        <w:rPr>
          <w:rFonts w:ascii="Helv" w:hAnsi="Helv" w:cs="Helv"/>
          <w:color w:val="000000"/>
          <w:sz w:val="20"/>
        </w:rPr>
        <w:t xml:space="preserve">Por otra parte, al 31 de diciembre de </w:t>
      </w:r>
      <w:r w:rsidR="00F011C0">
        <w:rPr>
          <w:rFonts w:ascii="Helv" w:hAnsi="Helv" w:cs="Helv"/>
          <w:color w:val="000000"/>
          <w:sz w:val="20"/>
        </w:rPr>
        <w:t xml:space="preserve">2019 y </w:t>
      </w:r>
      <w:r w:rsidRPr="008A510A">
        <w:rPr>
          <w:rFonts w:ascii="Helv" w:hAnsi="Helv" w:cs="Helv"/>
          <w:color w:val="000000"/>
          <w:sz w:val="20"/>
        </w:rPr>
        <w:t xml:space="preserve">2018, el </w:t>
      </w:r>
      <w:r>
        <w:rPr>
          <w:rFonts w:ascii="Helv" w:hAnsi="Helv" w:cs="Helv"/>
          <w:color w:val="000000"/>
          <w:sz w:val="20"/>
        </w:rPr>
        <w:t>Banco</w:t>
      </w:r>
      <w:r w:rsidRPr="008A510A">
        <w:rPr>
          <w:rFonts w:ascii="Helv" w:hAnsi="Helv" w:cs="Helv"/>
          <w:color w:val="000000"/>
          <w:sz w:val="20"/>
        </w:rPr>
        <w:t xml:space="preserve"> posee los siguientes colaterales sobre los préstamos y otras financiaciones otorgadas:</w:t>
      </w:r>
    </w:p>
    <w:p w14:paraId="7852254E" w14:textId="77777777" w:rsidR="00F011C0" w:rsidRPr="008A510A" w:rsidRDefault="00F011C0" w:rsidP="007D2DED">
      <w:pPr>
        <w:autoSpaceDE w:val="0"/>
        <w:autoSpaceDN w:val="0"/>
        <w:adjustRightInd w:val="0"/>
        <w:spacing w:after="120"/>
        <w:rPr>
          <w:rFonts w:ascii="Helv" w:hAnsi="Helv" w:cs="Helv"/>
          <w:color w:val="000000"/>
          <w:sz w:val="20"/>
        </w:rPr>
      </w:pPr>
    </w:p>
    <w:tbl>
      <w:tblPr>
        <w:tblW w:w="4258" w:type="pct"/>
        <w:jc w:val="center"/>
        <w:tblCellMar>
          <w:left w:w="70" w:type="dxa"/>
          <w:right w:w="70" w:type="dxa"/>
        </w:tblCellMar>
        <w:tblLook w:val="00A0" w:firstRow="1" w:lastRow="0" w:firstColumn="1" w:lastColumn="0" w:noHBand="0" w:noVBand="0"/>
      </w:tblPr>
      <w:tblGrid>
        <w:gridCol w:w="4662"/>
        <w:gridCol w:w="1350"/>
        <w:gridCol w:w="1350"/>
      </w:tblGrid>
      <w:tr w:rsidR="00F011C0" w14:paraId="54984372" w14:textId="77777777" w:rsidTr="002E1657">
        <w:trPr>
          <w:trHeight w:val="278"/>
          <w:jc w:val="center"/>
        </w:trPr>
        <w:tc>
          <w:tcPr>
            <w:tcW w:w="3166" w:type="pct"/>
            <w:tcBorders>
              <w:top w:val="single" w:sz="6" w:space="0" w:color="000000"/>
              <w:left w:val="single" w:sz="6" w:space="0" w:color="000000"/>
              <w:bottom w:val="single" w:sz="6" w:space="0" w:color="000000"/>
              <w:right w:val="single" w:sz="6" w:space="0" w:color="000000"/>
            </w:tcBorders>
            <w:vAlign w:val="bottom"/>
            <w:hideMark/>
          </w:tcPr>
          <w:p w14:paraId="5B19C77A" w14:textId="77777777" w:rsidR="00F011C0" w:rsidRPr="006E1AF7" w:rsidRDefault="00F011C0" w:rsidP="00DF0784">
            <w:pPr>
              <w:autoSpaceDE w:val="0"/>
              <w:autoSpaceDN w:val="0"/>
              <w:adjustRightInd w:val="0"/>
              <w:rPr>
                <w:rFonts w:ascii="Helv" w:hAnsi="Helv" w:cs="Helv"/>
                <w:color w:val="000000"/>
                <w:sz w:val="18"/>
                <w:highlight w:val="yellow"/>
              </w:rPr>
            </w:pPr>
            <w:r w:rsidRPr="006E1AF7">
              <w:rPr>
                <w:rFonts w:ascii="Helv" w:hAnsi="Helv" w:cs="Helv"/>
                <w:color w:val="000000"/>
                <w:sz w:val="18"/>
                <w:highlight w:val="yellow"/>
              </w:rPr>
              <w:t xml:space="preserve"> </w:t>
            </w:r>
          </w:p>
        </w:tc>
        <w:tc>
          <w:tcPr>
            <w:tcW w:w="917" w:type="pct"/>
            <w:tcBorders>
              <w:top w:val="single" w:sz="6" w:space="0" w:color="000000"/>
              <w:left w:val="single" w:sz="6" w:space="0" w:color="000000"/>
              <w:bottom w:val="single" w:sz="6" w:space="0" w:color="000000"/>
              <w:right w:val="single" w:sz="6" w:space="0" w:color="000000"/>
            </w:tcBorders>
            <w:vAlign w:val="bottom"/>
            <w:hideMark/>
          </w:tcPr>
          <w:p w14:paraId="07068417" w14:textId="544292CF" w:rsidR="00F011C0" w:rsidRPr="006E1AF7" w:rsidRDefault="00F011C0" w:rsidP="00DF0784">
            <w:pPr>
              <w:autoSpaceDE w:val="0"/>
              <w:autoSpaceDN w:val="0"/>
              <w:adjustRightInd w:val="0"/>
              <w:jc w:val="center"/>
              <w:rPr>
                <w:rFonts w:ascii="Helv" w:hAnsi="Helv" w:cs="Helv"/>
                <w:color w:val="000000"/>
                <w:sz w:val="18"/>
              </w:rPr>
            </w:pPr>
            <w:r w:rsidRPr="006E1AF7">
              <w:rPr>
                <w:rFonts w:ascii="Arial" w:hAnsi="Arial" w:cs="Arial"/>
                <w:b/>
                <w:color w:val="000000"/>
                <w:sz w:val="18"/>
                <w:lang w:eastAsia="es-AR"/>
              </w:rPr>
              <w:t>31/12/2019</w:t>
            </w:r>
          </w:p>
        </w:tc>
        <w:tc>
          <w:tcPr>
            <w:tcW w:w="917" w:type="pct"/>
            <w:tcBorders>
              <w:top w:val="single" w:sz="6" w:space="0" w:color="000000"/>
              <w:left w:val="single" w:sz="6" w:space="0" w:color="000000"/>
              <w:bottom w:val="single" w:sz="6" w:space="0" w:color="000000"/>
              <w:right w:val="single" w:sz="6" w:space="0" w:color="000000"/>
            </w:tcBorders>
            <w:vAlign w:val="bottom"/>
            <w:hideMark/>
          </w:tcPr>
          <w:p w14:paraId="200627FF" w14:textId="3D208886" w:rsidR="00F011C0" w:rsidRPr="006E1AF7" w:rsidRDefault="00F011C0" w:rsidP="00DF0784">
            <w:pPr>
              <w:autoSpaceDE w:val="0"/>
              <w:autoSpaceDN w:val="0"/>
              <w:adjustRightInd w:val="0"/>
              <w:jc w:val="center"/>
              <w:rPr>
                <w:rFonts w:ascii="Helv" w:hAnsi="Helv" w:cs="Helv"/>
                <w:color w:val="000000"/>
                <w:sz w:val="18"/>
              </w:rPr>
            </w:pPr>
            <w:r w:rsidRPr="006E1AF7">
              <w:rPr>
                <w:rFonts w:ascii="Arial" w:hAnsi="Arial" w:cs="Arial"/>
                <w:b/>
                <w:color w:val="000000"/>
                <w:sz w:val="18"/>
                <w:lang w:eastAsia="es-AR"/>
              </w:rPr>
              <w:t>31/12/2018</w:t>
            </w:r>
          </w:p>
        </w:tc>
      </w:tr>
      <w:tr w:rsidR="00F011C0" w14:paraId="4E7BB158" w14:textId="77777777" w:rsidTr="002E1657">
        <w:trPr>
          <w:trHeight w:val="278"/>
          <w:jc w:val="center"/>
        </w:trPr>
        <w:tc>
          <w:tcPr>
            <w:tcW w:w="3166" w:type="pct"/>
            <w:tcBorders>
              <w:top w:val="single" w:sz="6" w:space="0" w:color="000000"/>
              <w:left w:val="single" w:sz="6" w:space="0" w:color="000000"/>
              <w:bottom w:val="single" w:sz="6" w:space="0" w:color="000000"/>
              <w:right w:val="single" w:sz="6" w:space="0" w:color="000000"/>
            </w:tcBorders>
            <w:vAlign w:val="bottom"/>
            <w:hideMark/>
          </w:tcPr>
          <w:p w14:paraId="70605B15" w14:textId="77777777" w:rsidR="00F011C0" w:rsidRPr="006E1AF7" w:rsidRDefault="00F011C0" w:rsidP="00DF0784">
            <w:pPr>
              <w:autoSpaceDE w:val="0"/>
              <w:autoSpaceDN w:val="0"/>
              <w:adjustRightInd w:val="0"/>
              <w:rPr>
                <w:rFonts w:ascii="Helv" w:hAnsi="Helv" w:cs="Helv"/>
                <w:color w:val="000000"/>
                <w:sz w:val="18"/>
              </w:rPr>
            </w:pPr>
            <w:r w:rsidRPr="006E1AF7">
              <w:rPr>
                <w:rFonts w:ascii="Helv" w:hAnsi="Helv" w:cs="Helv"/>
                <w:color w:val="000000"/>
                <w:sz w:val="18"/>
              </w:rPr>
              <w:t>Garantías recibidas</w:t>
            </w:r>
          </w:p>
        </w:tc>
        <w:tc>
          <w:tcPr>
            <w:tcW w:w="917" w:type="pct"/>
            <w:tcBorders>
              <w:top w:val="single" w:sz="6" w:space="0" w:color="000000"/>
              <w:left w:val="single" w:sz="6" w:space="0" w:color="000000"/>
              <w:bottom w:val="single" w:sz="6" w:space="0" w:color="000000"/>
              <w:right w:val="single" w:sz="6" w:space="0" w:color="000000"/>
            </w:tcBorders>
            <w:vAlign w:val="bottom"/>
          </w:tcPr>
          <w:p w14:paraId="3B931955" w14:textId="48C0A500" w:rsidR="00F011C0" w:rsidRPr="006E1AF7" w:rsidRDefault="0034407C" w:rsidP="0034407C">
            <w:pPr>
              <w:autoSpaceDE w:val="0"/>
              <w:autoSpaceDN w:val="0"/>
              <w:adjustRightInd w:val="0"/>
              <w:jc w:val="right"/>
              <w:rPr>
                <w:rFonts w:ascii="Arial" w:hAnsi="Arial" w:cs="Arial"/>
                <w:color w:val="000000"/>
                <w:sz w:val="18"/>
                <w:lang w:eastAsia="es-AR"/>
              </w:rPr>
            </w:pPr>
            <w:r w:rsidRPr="006E1AF7">
              <w:rPr>
                <w:rFonts w:ascii="Arial" w:hAnsi="Arial" w:cs="Arial"/>
                <w:color w:val="000000"/>
                <w:sz w:val="18"/>
              </w:rPr>
              <w:t xml:space="preserve">32.747.275 </w:t>
            </w:r>
          </w:p>
        </w:tc>
        <w:tc>
          <w:tcPr>
            <w:tcW w:w="917" w:type="pct"/>
            <w:tcBorders>
              <w:top w:val="single" w:sz="6" w:space="0" w:color="000000"/>
              <w:left w:val="single" w:sz="6" w:space="0" w:color="000000"/>
              <w:bottom w:val="single" w:sz="6" w:space="0" w:color="000000"/>
              <w:right w:val="single" w:sz="6" w:space="0" w:color="000000"/>
            </w:tcBorders>
            <w:vAlign w:val="bottom"/>
          </w:tcPr>
          <w:p w14:paraId="153FB084" w14:textId="798EBC4C" w:rsidR="00F011C0" w:rsidRPr="006E1AF7" w:rsidRDefault="00F011C0" w:rsidP="00DF0784">
            <w:pPr>
              <w:autoSpaceDE w:val="0"/>
              <w:autoSpaceDN w:val="0"/>
              <w:adjustRightInd w:val="0"/>
              <w:jc w:val="right"/>
              <w:rPr>
                <w:rFonts w:ascii="Arial" w:hAnsi="Arial" w:cs="Arial"/>
                <w:color w:val="000000"/>
                <w:sz w:val="18"/>
              </w:rPr>
            </w:pPr>
            <w:r w:rsidRPr="006E1AF7">
              <w:rPr>
                <w:rFonts w:ascii="Arial" w:hAnsi="Arial" w:cs="Arial"/>
                <w:color w:val="000000"/>
                <w:sz w:val="18"/>
              </w:rPr>
              <w:t>30.393.260</w:t>
            </w:r>
          </w:p>
        </w:tc>
      </w:tr>
    </w:tbl>
    <w:p w14:paraId="7A4F632B" w14:textId="77777777" w:rsidR="007D2DED" w:rsidRPr="00701F32" w:rsidRDefault="007D2DED" w:rsidP="007D2DED">
      <w:pPr>
        <w:spacing w:after="160" w:line="259" w:lineRule="auto"/>
        <w:rPr>
          <w:rFonts w:ascii="Arial" w:eastAsiaTheme="minorHAnsi" w:hAnsi="Arial" w:cs="Arial"/>
          <w:sz w:val="22"/>
          <w:szCs w:val="22"/>
        </w:rPr>
      </w:pPr>
    </w:p>
    <w:p w14:paraId="529C5F88" w14:textId="43264D0F"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sidRPr="00701F32">
        <w:rPr>
          <w:rFonts w:ascii="Arial" w:hAnsi="Arial" w:cs="Arial"/>
          <w:bCs/>
          <w:color w:val="000000"/>
          <w:sz w:val="20"/>
          <w:lang w:eastAsia="es-AR"/>
        </w:rPr>
        <w:t>.</w:t>
      </w:r>
      <w:r w:rsidR="002E1657">
        <w:rPr>
          <w:rFonts w:ascii="Arial" w:hAnsi="Arial" w:cs="Arial"/>
          <w:bCs/>
          <w:color w:val="000000"/>
          <w:sz w:val="20"/>
          <w:lang w:eastAsia="es-AR"/>
        </w:rPr>
        <w:t>5</w:t>
      </w:r>
      <w:r w:rsidR="007D2DED" w:rsidRPr="00701F32">
        <w:rPr>
          <w:rFonts w:ascii="Arial" w:hAnsi="Arial" w:cs="Arial"/>
          <w:bCs/>
          <w:color w:val="000000"/>
          <w:sz w:val="20"/>
          <w:lang w:eastAsia="es-AR"/>
        </w:rPr>
        <w:t xml:space="preserve"> Otros títulos de deuda</w:t>
      </w:r>
    </w:p>
    <w:p w14:paraId="5409C86F" w14:textId="77777777" w:rsidR="007D2DED" w:rsidRPr="00701F32" w:rsidRDefault="007D2DED" w:rsidP="007D2DED">
      <w:pPr>
        <w:rPr>
          <w:rFonts w:ascii="Arial" w:hAnsi="Arial" w:cs="Arial"/>
          <w:bCs/>
          <w:color w:val="000000"/>
          <w:sz w:val="20"/>
          <w:lang w:eastAsia="es-AR"/>
        </w:rPr>
      </w:pPr>
    </w:p>
    <w:p w14:paraId="165B36F9" w14:textId="4B2AFA4B" w:rsidR="007D2DED" w:rsidRPr="00701F32" w:rsidRDefault="007D2DED" w:rsidP="007D2DED">
      <w:pPr>
        <w:spacing w:after="160" w:line="259" w:lineRule="auto"/>
        <w:rPr>
          <w:rFonts w:ascii="Arial" w:eastAsiaTheme="minorHAnsi" w:hAnsi="Arial" w:cs="Arial"/>
          <w:sz w:val="20"/>
          <w:szCs w:val="22"/>
        </w:rPr>
      </w:pPr>
      <w:r w:rsidRPr="00701F32">
        <w:rPr>
          <w:rFonts w:ascii="Arial" w:eastAsiaTheme="minorHAnsi" w:hAnsi="Arial" w:cs="Arial"/>
          <w:sz w:val="20"/>
          <w:szCs w:val="22"/>
        </w:rPr>
        <w:t xml:space="preserve">Los principales componentes del rubro otros títulos de deuda al 31 de diciembre </w:t>
      </w:r>
      <w:r>
        <w:rPr>
          <w:rFonts w:ascii="Arial" w:eastAsiaTheme="minorHAnsi" w:hAnsi="Arial" w:cs="Arial"/>
          <w:sz w:val="20"/>
          <w:szCs w:val="22"/>
        </w:rPr>
        <w:t>de 201</w:t>
      </w:r>
      <w:r w:rsidR="00F011C0">
        <w:rPr>
          <w:rFonts w:ascii="Arial" w:eastAsiaTheme="minorHAnsi" w:hAnsi="Arial" w:cs="Arial"/>
          <w:sz w:val="20"/>
          <w:szCs w:val="22"/>
        </w:rPr>
        <w:t>9</w:t>
      </w:r>
      <w:r>
        <w:rPr>
          <w:rFonts w:ascii="Arial" w:eastAsiaTheme="minorHAnsi" w:hAnsi="Arial" w:cs="Arial"/>
          <w:sz w:val="20"/>
          <w:szCs w:val="22"/>
        </w:rPr>
        <w:t xml:space="preserve"> y 201</w:t>
      </w:r>
      <w:r w:rsidR="00F011C0">
        <w:rPr>
          <w:rFonts w:ascii="Arial" w:eastAsiaTheme="minorHAnsi" w:hAnsi="Arial" w:cs="Arial"/>
          <w:sz w:val="20"/>
          <w:szCs w:val="22"/>
        </w:rPr>
        <w:t>8</w:t>
      </w:r>
      <w:r w:rsidRPr="00701F32">
        <w:rPr>
          <w:rFonts w:ascii="Arial" w:eastAsiaTheme="minorHAnsi" w:hAnsi="Arial" w:cs="Arial"/>
          <w:sz w:val="20"/>
          <w:szCs w:val="22"/>
        </w:rPr>
        <w:t xml:space="preserve"> son los siguientes:</w:t>
      </w:r>
    </w:p>
    <w:tbl>
      <w:tblPr>
        <w:tblW w:w="7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1559"/>
        <w:gridCol w:w="1471"/>
      </w:tblGrid>
      <w:tr w:rsidR="00F011C0" w:rsidRPr="00701F32" w14:paraId="391AE18E" w14:textId="77777777" w:rsidTr="002E1657">
        <w:trPr>
          <w:trHeight w:val="255"/>
          <w:jc w:val="center"/>
        </w:trPr>
        <w:tc>
          <w:tcPr>
            <w:tcW w:w="4253" w:type="dxa"/>
            <w:shd w:val="clear" w:color="auto" w:fill="auto"/>
            <w:noWrap/>
            <w:vAlign w:val="bottom"/>
            <w:hideMark/>
          </w:tcPr>
          <w:p w14:paraId="4458B078" w14:textId="77777777" w:rsidR="00F011C0" w:rsidRPr="006E1AF7" w:rsidRDefault="00F011C0" w:rsidP="00DF0784">
            <w:pPr>
              <w:rPr>
                <w:rFonts w:ascii="Arial" w:hAnsi="Arial" w:cs="Arial"/>
                <w:b/>
                <w:bCs/>
                <w:color w:val="000000"/>
                <w:sz w:val="18"/>
                <w:u w:val="single"/>
                <w:lang w:eastAsia="es-AR"/>
              </w:rPr>
            </w:pPr>
          </w:p>
        </w:tc>
        <w:tc>
          <w:tcPr>
            <w:tcW w:w="1559" w:type="dxa"/>
            <w:shd w:val="clear" w:color="auto" w:fill="auto"/>
            <w:noWrap/>
            <w:vAlign w:val="bottom"/>
            <w:hideMark/>
          </w:tcPr>
          <w:p w14:paraId="1976C669" w14:textId="74188000" w:rsidR="00F011C0" w:rsidRPr="006E1AF7" w:rsidRDefault="00F011C0" w:rsidP="00DF0784">
            <w:pPr>
              <w:jc w:val="center"/>
              <w:rPr>
                <w:rFonts w:ascii="Arial" w:hAnsi="Arial" w:cs="Arial"/>
                <w:b/>
                <w:color w:val="000000"/>
                <w:sz w:val="18"/>
                <w:lang w:eastAsia="es-AR"/>
              </w:rPr>
            </w:pPr>
            <w:r w:rsidRPr="006E1AF7">
              <w:rPr>
                <w:rFonts w:ascii="Arial" w:hAnsi="Arial" w:cs="Arial"/>
                <w:b/>
                <w:color w:val="000000"/>
                <w:sz w:val="18"/>
                <w:lang w:eastAsia="es-AR"/>
              </w:rPr>
              <w:t>31/12/2019</w:t>
            </w:r>
          </w:p>
        </w:tc>
        <w:tc>
          <w:tcPr>
            <w:tcW w:w="1471" w:type="dxa"/>
            <w:shd w:val="clear" w:color="auto" w:fill="auto"/>
            <w:noWrap/>
            <w:vAlign w:val="bottom"/>
            <w:hideMark/>
          </w:tcPr>
          <w:p w14:paraId="7CA66350" w14:textId="1BC08EAC" w:rsidR="00F011C0" w:rsidRPr="006E1AF7" w:rsidRDefault="00F011C0" w:rsidP="00DF0784">
            <w:pPr>
              <w:jc w:val="center"/>
              <w:rPr>
                <w:rFonts w:ascii="Arial" w:hAnsi="Arial" w:cs="Arial"/>
                <w:b/>
                <w:color w:val="000000"/>
                <w:sz w:val="18"/>
                <w:lang w:eastAsia="es-AR"/>
              </w:rPr>
            </w:pPr>
            <w:r w:rsidRPr="006E1AF7">
              <w:rPr>
                <w:rFonts w:ascii="Arial" w:hAnsi="Arial" w:cs="Arial"/>
                <w:b/>
                <w:color w:val="000000"/>
                <w:sz w:val="18"/>
                <w:lang w:eastAsia="es-AR"/>
              </w:rPr>
              <w:t>31/12/2018</w:t>
            </w:r>
          </w:p>
        </w:tc>
      </w:tr>
      <w:tr w:rsidR="00A23DA3" w:rsidRPr="00701F32" w14:paraId="0A6DC87F" w14:textId="77777777" w:rsidTr="002E1657">
        <w:trPr>
          <w:trHeight w:val="255"/>
          <w:jc w:val="center"/>
        </w:trPr>
        <w:tc>
          <w:tcPr>
            <w:tcW w:w="4253" w:type="dxa"/>
            <w:shd w:val="clear" w:color="auto" w:fill="auto"/>
            <w:noWrap/>
            <w:vAlign w:val="bottom"/>
            <w:hideMark/>
          </w:tcPr>
          <w:p w14:paraId="574BD6DB"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Obligaciones negociables</w:t>
            </w:r>
          </w:p>
        </w:tc>
        <w:tc>
          <w:tcPr>
            <w:tcW w:w="1559" w:type="dxa"/>
            <w:shd w:val="clear" w:color="auto" w:fill="auto"/>
            <w:noWrap/>
            <w:vAlign w:val="bottom"/>
          </w:tcPr>
          <w:p w14:paraId="137E7A56" w14:textId="1C4FED01" w:rsidR="00A23DA3" w:rsidRPr="006E1AF7" w:rsidRDefault="002C509D"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w:t>
            </w:r>
            <w:r w:rsidR="00A23DA3" w:rsidRPr="006E1AF7">
              <w:rPr>
                <w:rFonts w:ascii="Arial" w:hAnsi="Arial" w:cs="Arial"/>
                <w:color w:val="000000"/>
                <w:sz w:val="18"/>
              </w:rPr>
              <w:t xml:space="preserve"> </w:t>
            </w:r>
          </w:p>
        </w:tc>
        <w:tc>
          <w:tcPr>
            <w:tcW w:w="1471" w:type="dxa"/>
            <w:shd w:val="clear" w:color="auto" w:fill="auto"/>
            <w:noWrap/>
            <w:vAlign w:val="bottom"/>
            <w:hideMark/>
          </w:tcPr>
          <w:p w14:paraId="7627E27F" w14:textId="36AFB35E"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2.560 </w:t>
            </w:r>
          </w:p>
        </w:tc>
      </w:tr>
      <w:tr w:rsidR="00A23DA3" w:rsidRPr="00701F32" w14:paraId="28F91629" w14:textId="77777777" w:rsidTr="002E1657">
        <w:trPr>
          <w:trHeight w:val="255"/>
          <w:jc w:val="center"/>
        </w:trPr>
        <w:tc>
          <w:tcPr>
            <w:tcW w:w="4253" w:type="dxa"/>
            <w:shd w:val="clear" w:color="auto" w:fill="auto"/>
            <w:noWrap/>
            <w:vAlign w:val="bottom"/>
            <w:hideMark/>
          </w:tcPr>
          <w:p w14:paraId="30B16650"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Títulos de deuda de fideicomisos financieros</w:t>
            </w:r>
          </w:p>
        </w:tc>
        <w:tc>
          <w:tcPr>
            <w:tcW w:w="1559" w:type="dxa"/>
            <w:shd w:val="clear" w:color="auto" w:fill="auto"/>
            <w:noWrap/>
            <w:vAlign w:val="bottom"/>
          </w:tcPr>
          <w:p w14:paraId="20AECB0E" w14:textId="3D203A46"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355.481 </w:t>
            </w:r>
          </w:p>
        </w:tc>
        <w:tc>
          <w:tcPr>
            <w:tcW w:w="1471" w:type="dxa"/>
            <w:shd w:val="clear" w:color="auto" w:fill="auto"/>
            <w:noWrap/>
            <w:vAlign w:val="bottom"/>
            <w:hideMark/>
          </w:tcPr>
          <w:p w14:paraId="6CB09034" w14:textId="282592DC"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1.211 </w:t>
            </w:r>
          </w:p>
        </w:tc>
      </w:tr>
      <w:tr w:rsidR="00A23DA3" w:rsidRPr="00701F32" w14:paraId="338F5B58" w14:textId="77777777" w:rsidTr="002E1657">
        <w:trPr>
          <w:trHeight w:val="255"/>
          <w:jc w:val="center"/>
        </w:trPr>
        <w:tc>
          <w:tcPr>
            <w:tcW w:w="4253" w:type="dxa"/>
            <w:shd w:val="clear" w:color="auto" w:fill="auto"/>
            <w:noWrap/>
            <w:vAlign w:val="bottom"/>
            <w:hideMark/>
          </w:tcPr>
          <w:p w14:paraId="76D3E1FB"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Títulos públicos</w:t>
            </w:r>
          </w:p>
        </w:tc>
        <w:tc>
          <w:tcPr>
            <w:tcW w:w="1559" w:type="dxa"/>
            <w:shd w:val="clear" w:color="auto" w:fill="auto"/>
            <w:noWrap/>
            <w:vAlign w:val="bottom"/>
          </w:tcPr>
          <w:p w14:paraId="39915824" w14:textId="18686E5E"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3.086.572 </w:t>
            </w:r>
          </w:p>
        </w:tc>
        <w:tc>
          <w:tcPr>
            <w:tcW w:w="1471" w:type="dxa"/>
            <w:shd w:val="clear" w:color="auto" w:fill="auto"/>
            <w:noWrap/>
            <w:vAlign w:val="bottom"/>
            <w:hideMark/>
          </w:tcPr>
          <w:p w14:paraId="17EF1D98" w14:textId="74AF0115"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4.130.690 </w:t>
            </w:r>
          </w:p>
        </w:tc>
      </w:tr>
      <w:tr w:rsidR="000818C7" w:rsidRPr="00701F32" w14:paraId="078B3FB8" w14:textId="77777777" w:rsidTr="002E1657">
        <w:trPr>
          <w:trHeight w:val="255"/>
          <w:jc w:val="center"/>
        </w:trPr>
        <w:tc>
          <w:tcPr>
            <w:tcW w:w="4253" w:type="dxa"/>
            <w:shd w:val="clear" w:color="auto" w:fill="auto"/>
            <w:noWrap/>
            <w:vAlign w:val="bottom"/>
          </w:tcPr>
          <w:p w14:paraId="3ABC22BE" w14:textId="5C88095A" w:rsidR="000818C7" w:rsidRPr="006E1AF7" w:rsidRDefault="000818C7" w:rsidP="00A23DA3">
            <w:pPr>
              <w:rPr>
                <w:rFonts w:ascii="Arial" w:hAnsi="Arial" w:cs="Arial"/>
                <w:color w:val="000000"/>
                <w:sz w:val="18"/>
                <w:lang w:eastAsia="es-AR"/>
              </w:rPr>
            </w:pPr>
            <w:r w:rsidRPr="006E1AF7">
              <w:rPr>
                <w:rFonts w:ascii="Arial" w:hAnsi="Arial" w:cs="Arial"/>
                <w:color w:val="000000"/>
                <w:sz w:val="18"/>
                <w:lang w:eastAsia="es-AR"/>
              </w:rPr>
              <w:t xml:space="preserve">Letras </w:t>
            </w:r>
            <w:r w:rsidR="00654758" w:rsidRPr="006E1AF7">
              <w:rPr>
                <w:rFonts w:ascii="Arial" w:hAnsi="Arial" w:cs="Arial"/>
                <w:color w:val="000000"/>
                <w:sz w:val="18"/>
                <w:lang w:eastAsia="es-AR"/>
              </w:rPr>
              <w:t xml:space="preserve">de líquidez </w:t>
            </w:r>
            <w:r w:rsidRPr="006E1AF7">
              <w:rPr>
                <w:rFonts w:ascii="Arial" w:hAnsi="Arial" w:cs="Arial"/>
                <w:color w:val="000000"/>
                <w:sz w:val="18"/>
                <w:lang w:eastAsia="es-AR"/>
              </w:rPr>
              <w:t>del BCRA</w:t>
            </w:r>
          </w:p>
        </w:tc>
        <w:tc>
          <w:tcPr>
            <w:tcW w:w="1559" w:type="dxa"/>
            <w:shd w:val="clear" w:color="auto" w:fill="auto"/>
            <w:noWrap/>
            <w:vAlign w:val="bottom"/>
          </w:tcPr>
          <w:p w14:paraId="5E8DA30C" w14:textId="687FECAB" w:rsidR="000818C7" w:rsidRPr="006E1AF7" w:rsidRDefault="000818C7" w:rsidP="00A23DA3">
            <w:pPr>
              <w:autoSpaceDE w:val="0"/>
              <w:autoSpaceDN w:val="0"/>
              <w:adjustRightInd w:val="0"/>
              <w:jc w:val="right"/>
              <w:rPr>
                <w:rFonts w:ascii="Arial" w:hAnsi="Arial" w:cs="Arial"/>
                <w:color w:val="000000"/>
                <w:sz w:val="18"/>
              </w:rPr>
            </w:pPr>
            <w:r w:rsidRPr="006E1AF7">
              <w:rPr>
                <w:rFonts w:ascii="Arial" w:hAnsi="Arial" w:cs="Arial"/>
                <w:color w:val="000000"/>
                <w:sz w:val="18"/>
              </w:rPr>
              <w:t>7.171.139</w:t>
            </w:r>
          </w:p>
        </w:tc>
        <w:tc>
          <w:tcPr>
            <w:tcW w:w="1471" w:type="dxa"/>
            <w:shd w:val="clear" w:color="auto" w:fill="auto"/>
            <w:noWrap/>
            <w:vAlign w:val="bottom"/>
          </w:tcPr>
          <w:p w14:paraId="7AB4DCE5" w14:textId="69DBB71B" w:rsidR="000818C7" w:rsidRPr="006E1AF7" w:rsidRDefault="00654758" w:rsidP="00A23DA3">
            <w:pPr>
              <w:autoSpaceDE w:val="0"/>
              <w:autoSpaceDN w:val="0"/>
              <w:adjustRightInd w:val="0"/>
              <w:jc w:val="right"/>
              <w:rPr>
                <w:rFonts w:ascii="Arial" w:hAnsi="Arial" w:cs="Arial"/>
                <w:color w:val="000000"/>
                <w:sz w:val="18"/>
              </w:rPr>
            </w:pPr>
            <w:r w:rsidRPr="006E1AF7">
              <w:rPr>
                <w:rFonts w:ascii="Arial" w:hAnsi="Arial" w:cs="Arial"/>
                <w:color w:val="000000"/>
                <w:sz w:val="18"/>
              </w:rPr>
              <w:t>-</w:t>
            </w:r>
          </w:p>
        </w:tc>
      </w:tr>
      <w:tr w:rsidR="00A23DA3" w:rsidRPr="00701F32" w14:paraId="204FE3AD" w14:textId="77777777" w:rsidTr="002E1657">
        <w:trPr>
          <w:trHeight w:val="255"/>
          <w:jc w:val="center"/>
        </w:trPr>
        <w:tc>
          <w:tcPr>
            <w:tcW w:w="4253" w:type="dxa"/>
            <w:shd w:val="clear" w:color="auto" w:fill="auto"/>
            <w:noWrap/>
            <w:vAlign w:val="bottom"/>
            <w:hideMark/>
          </w:tcPr>
          <w:p w14:paraId="1DB001A8"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Otros</w:t>
            </w:r>
          </w:p>
        </w:tc>
        <w:tc>
          <w:tcPr>
            <w:tcW w:w="1559" w:type="dxa"/>
            <w:shd w:val="clear" w:color="auto" w:fill="auto"/>
            <w:noWrap/>
            <w:vAlign w:val="bottom"/>
          </w:tcPr>
          <w:p w14:paraId="043C56D6" w14:textId="795EC4F1"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73 </w:t>
            </w:r>
          </w:p>
        </w:tc>
        <w:tc>
          <w:tcPr>
            <w:tcW w:w="1471" w:type="dxa"/>
            <w:shd w:val="clear" w:color="auto" w:fill="auto"/>
            <w:noWrap/>
            <w:vAlign w:val="bottom"/>
            <w:hideMark/>
          </w:tcPr>
          <w:p w14:paraId="19DC0A30" w14:textId="64DE006F"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32 </w:t>
            </w:r>
          </w:p>
        </w:tc>
      </w:tr>
      <w:tr w:rsidR="00F011C0" w:rsidRPr="00701F32" w14:paraId="36AF6AB8" w14:textId="77777777" w:rsidTr="002E1657">
        <w:trPr>
          <w:trHeight w:val="270"/>
          <w:jc w:val="center"/>
        </w:trPr>
        <w:tc>
          <w:tcPr>
            <w:tcW w:w="4253" w:type="dxa"/>
            <w:shd w:val="clear" w:color="auto" w:fill="auto"/>
            <w:noWrap/>
            <w:vAlign w:val="bottom"/>
            <w:hideMark/>
          </w:tcPr>
          <w:p w14:paraId="33DE2E8D" w14:textId="77777777" w:rsidR="00F011C0" w:rsidRPr="006E1AF7" w:rsidRDefault="00F011C0" w:rsidP="00F011C0">
            <w:pPr>
              <w:rPr>
                <w:rFonts w:ascii="Arial" w:hAnsi="Arial" w:cs="Arial"/>
                <w:b/>
                <w:color w:val="000000"/>
                <w:sz w:val="18"/>
                <w:lang w:eastAsia="es-AR"/>
              </w:rPr>
            </w:pPr>
            <w:r w:rsidRPr="006E1AF7">
              <w:rPr>
                <w:rFonts w:ascii="Arial" w:hAnsi="Arial" w:cs="Arial"/>
                <w:b/>
                <w:color w:val="000000"/>
                <w:sz w:val="18"/>
                <w:lang w:eastAsia="es-AR"/>
              </w:rPr>
              <w:t>Total</w:t>
            </w:r>
          </w:p>
        </w:tc>
        <w:tc>
          <w:tcPr>
            <w:tcW w:w="1559" w:type="dxa"/>
            <w:shd w:val="clear" w:color="auto" w:fill="auto"/>
            <w:noWrap/>
            <w:vAlign w:val="bottom"/>
          </w:tcPr>
          <w:p w14:paraId="6DACB4BB" w14:textId="137F2B67" w:rsidR="00F011C0" w:rsidRPr="006E1AF7" w:rsidRDefault="000818C7" w:rsidP="00A23DA3">
            <w:pPr>
              <w:jc w:val="right"/>
              <w:rPr>
                <w:rFonts w:ascii="Arial" w:hAnsi="Arial" w:cs="Arial"/>
                <w:b/>
                <w:bCs/>
                <w:color w:val="000000"/>
                <w:sz w:val="18"/>
                <w:lang w:eastAsia="es-AR"/>
              </w:rPr>
            </w:pPr>
            <w:r w:rsidRPr="006E1AF7">
              <w:rPr>
                <w:rFonts w:ascii="Arial" w:hAnsi="Arial" w:cs="Arial"/>
                <w:b/>
                <w:bCs/>
                <w:color w:val="000000"/>
                <w:sz w:val="18"/>
              </w:rPr>
              <w:t>10</w:t>
            </w:r>
            <w:r w:rsidR="00A23DA3" w:rsidRPr="006E1AF7">
              <w:rPr>
                <w:rFonts w:ascii="Arial" w:hAnsi="Arial" w:cs="Arial"/>
                <w:b/>
                <w:bCs/>
                <w:color w:val="000000"/>
                <w:sz w:val="18"/>
              </w:rPr>
              <w:t>.</w:t>
            </w:r>
            <w:r w:rsidRPr="006E1AF7">
              <w:rPr>
                <w:rFonts w:ascii="Arial" w:hAnsi="Arial" w:cs="Arial"/>
                <w:b/>
                <w:bCs/>
                <w:color w:val="000000"/>
                <w:sz w:val="18"/>
              </w:rPr>
              <w:t>613</w:t>
            </w:r>
            <w:r w:rsidR="00A23DA3" w:rsidRPr="006E1AF7">
              <w:rPr>
                <w:rFonts w:ascii="Arial" w:hAnsi="Arial" w:cs="Arial"/>
                <w:b/>
                <w:bCs/>
                <w:color w:val="000000"/>
                <w:sz w:val="18"/>
              </w:rPr>
              <w:t>.</w:t>
            </w:r>
            <w:r w:rsidRPr="006E1AF7">
              <w:rPr>
                <w:rFonts w:ascii="Arial" w:hAnsi="Arial" w:cs="Arial"/>
                <w:b/>
                <w:bCs/>
                <w:color w:val="000000"/>
                <w:sz w:val="18"/>
              </w:rPr>
              <w:t>265</w:t>
            </w:r>
            <w:r w:rsidR="00A23DA3" w:rsidRPr="006E1AF7">
              <w:rPr>
                <w:rFonts w:ascii="Arial" w:hAnsi="Arial" w:cs="Arial"/>
                <w:b/>
                <w:bCs/>
                <w:color w:val="000000"/>
                <w:sz w:val="18"/>
              </w:rPr>
              <w:t xml:space="preserve"> </w:t>
            </w:r>
          </w:p>
        </w:tc>
        <w:tc>
          <w:tcPr>
            <w:tcW w:w="1471" w:type="dxa"/>
            <w:shd w:val="clear" w:color="auto" w:fill="auto"/>
            <w:noWrap/>
            <w:vAlign w:val="bottom"/>
            <w:hideMark/>
          </w:tcPr>
          <w:p w14:paraId="159E5E26" w14:textId="72B4ECEB" w:rsidR="00F011C0" w:rsidRPr="006E1AF7" w:rsidRDefault="00F011C0" w:rsidP="00F011C0">
            <w:pPr>
              <w:autoSpaceDE w:val="0"/>
              <w:autoSpaceDN w:val="0"/>
              <w:adjustRightInd w:val="0"/>
              <w:jc w:val="right"/>
              <w:rPr>
                <w:rFonts w:ascii="Arial" w:eastAsiaTheme="minorHAnsi" w:hAnsi="Arial" w:cs="Arial"/>
                <w:b/>
                <w:color w:val="000000"/>
                <w:sz w:val="18"/>
              </w:rPr>
            </w:pPr>
            <w:r w:rsidRPr="006E1AF7">
              <w:rPr>
                <w:rFonts w:ascii="Arial" w:hAnsi="Arial" w:cs="Arial"/>
                <w:b/>
                <w:color w:val="000000"/>
                <w:sz w:val="18"/>
              </w:rPr>
              <w:t xml:space="preserve">4.134.493 </w:t>
            </w:r>
          </w:p>
        </w:tc>
      </w:tr>
    </w:tbl>
    <w:p w14:paraId="029DEFE3" w14:textId="77777777" w:rsidR="007D2DED" w:rsidRPr="00701F32" w:rsidRDefault="007D2DED" w:rsidP="007D2DED">
      <w:pPr>
        <w:spacing w:after="160" w:line="259" w:lineRule="auto"/>
        <w:rPr>
          <w:rFonts w:ascii="Arial" w:eastAsiaTheme="minorHAnsi" w:hAnsi="Arial" w:cs="Arial"/>
          <w:sz w:val="22"/>
          <w:szCs w:val="22"/>
        </w:rPr>
      </w:pPr>
    </w:p>
    <w:p w14:paraId="00087F2E" w14:textId="1DB74F44"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sidRPr="00701F32">
        <w:rPr>
          <w:rFonts w:ascii="Arial" w:hAnsi="Arial" w:cs="Arial"/>
          <w:bCs/>
          <w:color w:val="000000"/>
          <w:sz w:val="20"/>
          <w:lang w:eastAsia="es-AR"/>
        </w:rPr>
        <w:t>.</w:t>
      </w:r>
      <w:r w:rsidR="002E1657">
        <w:rPr>
          <w:rFonts w:ascii="Arial" w:hAnsi="Arial" w:cs="Arial"/>
          <w:bCs/>
          <w:color w:val="000000"/>
          <w:sz w:val="20"/>
          <w:lang w:eastAsia="es-AR"/>
        </w:rPr>
        <w:t>6</w:t>
      </w:r>
      <w:r w:rsidR="007D2DED" w:rsidRPr="00701F32">
        <w:rPr>
          <w:rFonts w:ascii="Arial" w:hAnsi="Arial" w:cs="Arial"/>
          <w:bCs/>
          <w:color w:val="000000"/>
          <w:sz w:val="20"/>
          <w:lang w:eastAsia="es-AR"/>
        </w:rPr>
        <w:t xml:space="preserve"> Activos financieros entregados en garantía</w:t>
      </w:r>
    </w:p>
    <w:p w14:paraId="6103C587" w14:textId="77777777" w:rsidR="007D2DED" w:rsidRPr="00701F32" w:rsidRDefault="007D2DED" w:rsidP="007D2DED">
      <w:pPr>
        <w:rPr>
          <w:rFonts w:ascii="Arial" w:hAnsi="Arial" w:cs="Arial"/>
          <w:bCs/>
          <w:color w:val="000000"/>
          <w:sz w:val="20"/>
          <w:lang w:eastAsia="es-AR"/>
        </w:rPr>
      </w:pPr>
    </w:p>
    <w:p w14:paraId="68BDB742" w14:textId="4953B4B8" w:rsidR="007D2DED" w:rsidRDefault="007D2DED" w:rsidP="007D2DED">
      <w:pPr>
        <w:spacing w:after="160" w:line="259" w:lineRule="auto"/>
        <w:rPr>
          <w:rFonts w:ascii="Arial" w:eastAsiaTheme="minorHAnsi" w:hAnsi="Arial" w:cs="Arial"/>
          <w:sz w:val="20"/>
          <w:szCs w:val="22"/>
        </w:rPr>
      </w:pPr>
      <w:r w:rsidRPr="00701F32">
        <w:rPr>
          <w:rFonts w:ascii="Arial" w:eastAsiaTheme="minorHAnsi" w:hAnsi="Arial" w:cs="Arial"/>
          <w:sz w:val="20"/>
          <w:szCs w:val="22"/>
        </w:rPr>
        <w:t xml:space="preserve">Los principales componentes del rubro activos financieros entregados en garantía al 31 de diciembre </w:t>
      </w:r>
      <w:r>
        <w:rPr>
          <w:rFonts w:ascii="Arial" w:eastAsiaTheme="minorHAnsi" w:hAnsi="Arial" w:cs="Arial"/>
          <w:sz w:val="20"/>
          <w:szCs w:val="22"/>
        </w:rPr>
        <w:t>de 201</w:t>
      </w:r>
      <w:r w:rsidR="00F011C0">
        <w:rPr>
          <w:rFonts w:ascii="Arial" w:eastAsiaTheme="minorHAnsi" w:hAnsi="Arial" w:cs="Arial"/>
          <w:sz w:val="20"/>
          <w:szCs w:val="22"/>
        </w:rPr>
        <w:t>9</w:t>
      </w:r>
      <w:r>
        <w:rPr>
          <w:rFonts w:ascii="Arial" w:eastAsiaTheme="minorHAnsi" w:hAnsi="Arial" w:cs="Arial"/>
          <w:sz w:val="20"/>
          <w:szCs w:val="22"/>
        </w:rPr>
        <w:t xml:space="preserve"> y 201</w:t>
      </w:r>
      <w:r w:rsidR="00F011C0">
        <w:rPr>
          <w:rFonts w:ascii="Arial" w:eastAsiaTheme="minorHAnsi" w:hAnsi="Arial" w:cs="Arial"/>
          <w:sz w:val="20"/>
          <w:szCs w:val="22"/>
        </w:rPr>
        <w:t>8</w:t>
      </w:r>
      <w:r w:rsidRPr="00701F32">
        <w:rPr>
          <w:rFonts w:ascii="Arial" w:eastAsiaTheme="minorHAnsi" w:hAnsi="Arial" w:cs="Arial"/>
          <w:sz w:val="20"/>
          <w:szCs w:val="22"/>
        </w:rPr>
        <w:t xml:space="preserve"> son los siguientes:</w:t>
      </w:r>
    </w:p>
    <w:p w14:paraId="512C4B79" w14:textId="77777777" w:rsidR="007D2DED" w:rsidRPr="00701F32" w:rsidRDefault="007D2DED" w:rsidP="007D2DED">
      <w:pPr>
        <w:spacing w:after="160" w:line="259" w:lineRule="auto"/>
        <w:rPr>
          <w:rFonts w:ascii="Arial" w:eastAsiaTheme="minorHAnsi" w:hAnsi="Arial" w:cs="Arial"/>
          <w:sz w:val="20"/>
          <w:szCs w:val="22"/>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0"/>
        <w:gridCol w:w="1622"/>
        <w:gridCol w:w="1418"/>
      </w:tblGrid>
      <w:tr w:rsidR="00F011C0" w:rsidRPr="00701F32" w14:paraId="178DFE12" w14:textId="77777777" w:rsidTr="002E1657">
        <w:trPr>
          <w:trHeight w:val="257"/>
          <w:jc w:val="center"/>
        </w:trPr>
        <w:tc>
          <w:tcPr>
            <w:tcW w:w="4190" w:type="dxa"/>
            <w:shd w:val="clear" w:color="auto" w:fill="auto"/>
            <w:noWrap/>
            <w:vAlign w:val="bottom"/>
            <w:hideMark/>
          </w:tcPr>
          <w:p w14:paraId="2B583B66" w14:textId="77777777" w:rsidR="00F011C0" w:rsidRPr="006E1AF7" w:rsidRDefault="00F011C0" w:rsidP="00DF0784">
            <w:pPr>
              <w:rPr>
                <w:rFonts w:ascii="Arial" w:hAnsi="Arial" w:cs="Arial"/>
                <w:b/>
                <w:bCs/>
                <w:color w:val="000000"/>
                <w:sz w:val="18"/>
                <w:u w:val="single"/>
                <w:lang w:eastAsia="es-AR"/>
              </w:rPr>
            </w:pPr>
          </w:p>
        </w:tc>
        <w:tc>
          <w:tcPr>
            <w:tcW w:w="1622" w:type="dxa"/>
            <w:shd w:val="clear" w:color="auto" w:fill="auto"/>
            <w:noWrap/>
            <w:vAlign w:val="bottom"/>
            <w:hideMark/>
          </w:tcPr>
          <w:p w14:paraId="72EB74BE" w14:textId="2091B46E" w:rsidR="00F011C0" w:rsidRPr="006E1AF7" w:rsidRDefault="00F011C0" w:rsidP="00DF0784">
            <w:pPr>
              <w:jc w:val="center"/>
              <w:rPr>
                <w:rFonts w:ascii="Arial" w:hAnsi="Arial" w:cs="Arial"/>
                <w:b/>
                <w:color w:val="000000"/>
                <w:sz w:val="18"/>
                <w:lang w:eastAsia="es-AR"/>
              </w:rPr>
            </w:pPr>
            <w:r w:rsidRPr="006E1AF7">
              <w:rPr>
                <w:rFonts w:ascii="Arial" w:hAnsi="Arial" w:cs="Arial"/>
                <w:b/>
                <w:color w:val="000000"/>
                <w:sz w:val="18"/>
                <w:lang w:eastAsia="es-AR"/>
              </w:rPr>
              <w:t>31/12/2019</w:t>
            </w:r>
          </w:p>
        </w:tc>
        <w:tc>
          <w:tcPr>
            <w:tcW w:w="1418" w:type="dxa"/>
            <w:shd w:val="clear" w:color="auto" w:fill="auto"/>
            <w:noWrap/>
            <w:vAlign w:val="bottom"/>
            <w:hideMark/>
          </w:tcPr>
          <w:p w14:paraId="4DEAA22C" w14:textId="3C85A422" w:rsidR="00F011C0" w:rsidRPr="006E1AF7" w:rsidRDefault="00F011C0" w:rsidP="00DF0784">
            <w:pPr>
              <w:jc w:val="right"/>
              <w:rPr>
                <w:rFonts w:ascii="Arial" w:hAnsi="Arial" w:cs="Arial"/>
                <w:b/>
                <w:color w:val="000000"/>
                <w:sz w:val="18"/>
                <w:lang w:eastAsia="es-AR"/>
              </w:rPr>
            </w:pPr>
            <w:r w:rsidRPr="006E1AF7">
              <w:rPr>
                <w:rFonts w:ascii="Arial" w:hAnsi="Arial" w:cs="Arial"/>
                <w:b/>
                <w:color w:val="000000"/>
                <w:sz w:val="18"/>
                <w:lang w:eastAsia="es-AR"/>
              </w:rPr>
              <w:t>31/12/2018</w:t>
            </w:r>
          </w:p>
        </w:tc>
      </w:tr>
      <w:tr w:rsidR="00A23DA3" w:rsidRPr="00701F32" w14:paraId="60D34E3E" w14:textId="77777777" w:rsidTr="002E1657">
        <w:trPr>
          <w:trHeight w:val="257"/>
          <w:jc w:val="center"/>
        </w:trPr>
        <w:tc>
          <w:tcPr>
            <w:tcW w:w="4190" w:type="dxa"/>
            <w:shd w:val="clear" w:color="auto" w:fill="auto"/>
            <w:noWrap/>
            <w:vAlign w:val="bottom"/>
            <w:hideMark/>
          </w:tcPr>
          <w:p w14:paraId="3D58B502"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Títulos en garantia por operaciones de pase</w:t>
            </w:r>
          </w:p>
        </w:tc>
        <w:tc>
          <w:tcPr>
            <w:tcW w:w="1622" w:type="dxa"/>
            <w:shd w:val="clear" w:color="auto" w:fill="auto"/>
            <w:noWrap/>
            <w:vAlign w:val="bottom"/>
          </w:tcPr>
          <w:p w14:paraId="0F24D79C" w14:textId="2D0C78DA" w:rsidR="00A23DA3" w:rsidRPr="006E1AF7" w:rsidRDefault="00A23DA3" w:rsidP="00654758">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358.200</w:t>
            </w:r>
          </w:p>
        </w:tc>
        <w:tc>
          <w:tcPr>
            <w:tcW w:w="1418" w:type="dxa"/>
            <w:shd w:val="clear" w:color="auto" w:fill="auto"/>
            <w:noWrap/>
            <w:vAlign w:val="bottom"/>
            <w:hideMark/>
          </w:tcPr>
          <w:p w14:paraId="137032E6" w14:textId="58C19AFA"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eastAsiaTheme="minorHAnsi" w:hAnsi="Arial" w:cs="Arial"/>
                <w:color w:val="000000"/>
                <w:sz w:val="18"/>
              </w:rPr>
              <w:t>-</w:t>
            </w:r>
          </w:p>
        </w:tc>
      </w:tr>
      <w:tr w:rsidR="00A23DA3" w:rsidRPr="00701F32" w14:paraId="62C08BAD" w14:textId="77777777" w:rsidTr="002E1657">
        <w:trPr>
          <w:trHeight w:val="257"/>
          <w:jc w:val="center"/>
        </w:trPr>
        <w:tc>
          <w:tcPr>
            <w:tcW w:w="4190" w:type="dxa"/>
            <w:shd w:val="clear" w:color="auto" w:fill="auto"/>
            <w:noWrap/>
            <w:vAlign w:val="bottom"/>
            <w:hideMark/>
          </w:tcPr>
          <w:p w14:paraId="256D817C"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BCRA Cuentas especiales de garantías.</w:t>
            </w:r>
          </w:p>
        </w:tc>
        <w:tc>
          <w:tcPr>
            <w:tcW w:w="1622" w:type="dxa"/>
            <w:shd w:val="clear" w:color="auto" w:fill="auto"/>
            <w:noWrap/>
            <w:vAlign w:val="bottom"/>
          </w:tcPr>
          <w:p w14:paraId="750D272B" w14:textId="52850834" w:rsidR="00A23DA3" w:rsidRPr="006E1AF7" w:rsidRDefault="00A23DA3" w:rsidP="00654758">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1.975.535</w:t>
            </w:r>
          </w:p>
        </w:tc>
        <w:tc>
          <w:tcPr>
            <w:tcW w:w="1418" w:type="dxa"/>
            <w:shd w:val="clear" w:color="auto" w:fill="auto"/>
            <w:noWrap/>
            <w:vAlign w:val="bottom"/>
            <w:hideMark/>
          </w:tcPr>
          <w:p w14:paraId="14A49482" w14:textId="792C3D20"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1.256.084 </w:t>
            </w:r>
          </w:p>
        </w:tc>
      </w:tr>
      <w:tr w:rsidR="00A23DA3" w:rsidRPr="00701F32" w14:paraId="008A2D41" w14:textId="77777777" w:rsidTr="002E1657">
        <w:trPr>
          <w:trHeight w:val="257"/>
          <w:jc w:val="center"/>
        </w:trPr>
        <w:tc>
          <w:tcPr>
            <w:tcW w:w="4190" w:type="dxa"/>
            <w:shd w:val="clear" w:color="auto" w:fill="auto"/>
            <w:noWrap/>
            <w:vAlign w:val="bottom"/>
            <w:hideMark/>
          </w:tcPr>
          <w:p w14:paraId="0FBB5D38"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Depósitos en garantía</w:t>
            </w:r>
          </w:p>
        </w:tc>
        <w:tc>
          <w:tcPr>
            <w:tcW w:w="1622" w:type="dxa"/>
            <w:shd w:val="clear" w:color="auto" w:fill="auto"/>
            <w:noWrap/>
            <w:vAlign w:val="bottom"/>
          </w:tcPr>
          <w:p w14:paraId="21F3DA01" w14:textId="549897E5" w:rsidR="00A23DA3" w:rsidRPr="006E1AF7" w:rsidRDefault="00A23DA3" w:rsidP="00654758">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2.590.805</w:t>
            </w:r>
          </w:p>
        </w:tc>
        <w:tc>
          <w:tcPr>
            <w:tcW w:w="1418" w:type="dxa"/>
            <w:shd w:val="clear" w:color="auto" w:fill="auto"/>
            <w:noWrap/>
            <w:vAlign w:val="bottom"/>
            <w:hideMark/>
          </w:tcPr>
          <w:p w14:paraId="22FF15BB" w14:textId="60F543F1"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626.516 </w:t>
            </w:r>
          </w:p>
        </w:tc>
      </w:tr>
      <w:tr w:rsidR="00F011C0" w:rsidRPr="00701F32" w14:paraId="642DF229" w14:textId="77777777" w:rsidTr="002E1657">
        <w:trPr>
          <w:trHeight w:val="272"/>
          <w:jc w:val="center"/>
        </w:trPr>
        <w:tc>
          <w:tcPr>
            <w:tcW w:w="4190" w:type="dxa"/>
            <w:shd w:val="clear" w:color="auto" w:fill="auto"/>
            <w:noWrap/>
            <w:vAlign w:val="bottom"/>
            <w:hideMark/>
          </w:tcPr>
          <w:p w14:paraId="4FF6C990" w14:textId="77777777" w:rsidR="00F011C0" w:rsidRPr="006E1AF7" w:rsidRDefault="00F011C0" w:rsidP="00F011C0">
            <w:pPr>
              <w:jc w:val="both"/>
              <w:rPr>
                <w:rFonts w:ascii="Arial" w:hAnsi="Arial" w:cs="Arial"/>
                <w:b/>
                <w:color w:val="000000"/>
                <w:sz w:val="18"/>
                <w:lang w:eastAsia="es-AR"/>
              </w:rPr>
            </w:pPr>
            <w:r w:rsidRPr="006E1AF7">
              <w:rPr>
                <w:rFonts w:ascii="Arial" w:hAnsi="Arial" w:cs="Arial"/>
                <w:b/>
                <w:color w:val="000000"/>
                <w:sz w:val="18"/>
                <w:lang w:eastAsia="es-AR"/>
              </w:rPr>
              <w:t>Total</w:t>
            </w:r>
          </w:p>
        </w:tc>
        <w:tc>
          <w:tcPr>
            <w:tcW w:w="1622" w:type="dxa"/>
            <w:shd w:val="clear" w:color="auto" w:fill="auto"/>
            <w:noWrap/>
            <w:vAlign w:val="bottom"/>
          </w:tcPr>
          <w:p w14:paraId="499F86EF" w14:textId="7D080055" w:rsidR="00F011C0" w:rsidRPr="006E1AF7" w:rsidRDefault="00A23DA3" w:rsidP="00654758">
            <w:pPr>
              <w:jc w:val="right"/>
              <w:rPr>
                <w:rFonts w:ascii="Arial" w:hAnsi="Arial" w:cs="Arial"/>
                <w:b/>
                <w:bCs/>
                <w:color w:val="000000"/>
                <w:sz w:val="18"/>
                <w:lang w:eastAsia="es-AR"/>
              </w:rPr>
            </w:pPr>
            <w:r w:rsidRPr="006E1AF7">
              <w:rPr>
                <w:rFonts w:ascii="Arial" w:hAnsi="Arial" w:cs="Arial"/>
                <w:b/>
                <w:bCs/>
                <w:color w:val="000000"/>
                <w:sz w:val="18"/>
              </w:rPr>
              <w:t>4.924.540</w:t>
            </w:r>
          </w:p>
        </w:tc>
        <w:tc>
          <w:tcPr>
            <w:tcW w:w="1418" w:type="dxa"/>
            <w:shd w:val="clear" w:color="auto" w:fill="auto"/>
            <w:noWrap/>
            <w:vAlign w:val="bottom"/>
            <w:hideMark/>
          </w:tcPr>
          <w:p w14:paraId="08085A2A" w14:textId="7210B30E" w:rsidR="00F011C0" w:rsidRPr="006E1AF7" w:rsidRDefault="00F011C0" w:rsidP="00F011C0">
            <w:pPr>
              <w:autoSpaceDE w:val="0"/>
              <w:autoSpaceDN w:val="0"/>
              <w:adjustRightInd w:val="0"/>
              <w:jc w:val="right"/>
              <w:rPr>
                <w:rFonts w:ascii="Arial" w:eastAsiaTheme="minorHAnsi" w:hAnsi="Arial" w:cs="Arial"/>
                <w:b/>
                <w:color w:val="000000"/>
                <w:sz w:val="18"/>
              </w:rPr>
            </w:pPr>
            <w:r w:rsidRPr="006E1AF7">
              <w:rPr>
                <w:rFonts w:ascii="Arial" w:hAnsi="Arial" w:cs="Arial"/>
                <w:b/>
                <w:color w:val="000000"/>
                <w:sz w:val="18"/>
              </w:rPr>
              <w:t xml:space="preserve">1.882.600 </w:t>
            </w:r>
          </w:p>
        </w:tc>
      </w:tr>
    </w:tbl>
    <w:p w14:paraId="51B00AFA" w14:textId="77777777" w:rsidR="007D2DED" w:rsidRPr="00701F32" w:rsidRDefault="007D2DED" w:rsidP="007D2DED">
      <w:pPr>
        <w:rPr>
          <w:rFonts w:ascii="Arial" w:hAnsi="Arial" w:cs="Arial"/>
          <w:bCs/>
          <w:color w:val="000000"/>
          <w:sz w:val="20"/>
          <w:lang w:eastAsia="es-AR"/>
        </w:rPr>
      </w:pPr>
    </w:p>
    <w:p w14:paraId="69A1EADD" w14:textId="784ADA07"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w:t>
      </w:r>
      <w:r w:rsidR="002E1657">
        <w:rPr>
          <w:rFonts w:ascii="Arial" w:hAnsi="Arial" w:cs="Arial"/>
          <w:bCs/>
          <w:color w:val="000000"/>
          <w:sz w:val="20"/>
          <w:lang w:eastAsia="es-AR"/>
        </w:rPr>
        <w:t>7</w:t>
      </w:r>
      <w:r w:rsidR="007D2DED" w:rsidRPr="00701F32">
        <w:rPr>
          <w:rFonts w:ascii="Arial" w:hAnsi="Arial" w:cs="Arial"/>
          <w:bCs/>
          <w:color w:val="000000"/>
          <w:sz w:val="20"/>
          <w:lang w:eastAsia="es-AR"/>
        </w:rPr>
        <w:t xml:space="preserve"> Otros activos no financieros.</w:t>
      </w:r>
    </w:p>
    <w:p w14:paraId="03BC1C85" w14:textId="77777777" w:rsidR="007D2DED" w:rsidRPr="00701F32" w:rsidRDefault="007D2DED" w:rsidP="007D2DED">
      <w:pPr>
        <w:rPr>
          <w:rFonts w:ascii="Arial" w:hAnsi="Arial" w:cs="Arial"/>
          <w:bCs/>
          <w:color w:val="000000"/>
          <w:sz w:val="20"/>
          <w:lang w:eastAsia="es-AR"/>
        </w:rPr>
      </w:pPr>
    </w:p>
    <w:p w14:paraId="629ED3EF" w14:textId="19E78FF7" w:rsidR="007D2DED" w:rsidRDefault="007D2DED" w:rsidP="007D2DED">
      <w:pPr>
        <w:rPr>
          <w:rFonts w:ascii="Arial" w:eastAsiaTheme="minorHAnsi" w:hAnsi="Arial" w:cs="Arial"/>
          <w:sz w:val="20"/>
        </w:rPr>
      </w:pPr>
      <w:r w:rsidRPr="00701F32">
        <w:rPr>
          <w:rFonts w:ascii="Arial" w:eastAsiaTheme="minorHAnsi" w:hAnsi="Arial" w:cs="Arial"/>
          <w:sz w:val="20"/>
        </w:rPr>
        <w:t xml:space="preserve">Los principales componentes del rubro </w:t>
      </w:r>
      <w:r w:rsidRPr="00701F32">
        <w:rPr>
          <w:rFonts w:ascii="Arial" w:hAnsi="Arial" w:cs="Arial"/>
          <w:bCs/>
          <w:color w:val="000000"/>
          <w:sz w:val="20"/>
          <w:lang w:eastAsia="es-AR"/>
        </w:rPr>
        <w:t xml:space="preserve">otros activos no financieros </w:t>
      </w:r>
      <w:r>
        <w:rPr>
          <w:rFonts w:ascii="Arial" w:eastAsiaTheme="minorHAnsi" w:hAnsi="Arial" w:cs="Arial"/>
          <w:sz w:val="20"/>
        </w:rPr>
        <w:t>al</w:t>
      </w:r>
      <w:r w:rsidRPr="00701F32">
        <w:rPr>
          <w:rFonts w:ascii="Arial" w:eastAsiaTheme="minorHAnsi" w:hAnsi="Arial" w:cs="Arial"/>
          <w:sz w:val="20"/>
        </w:rPr>
        <w:t xml:space="preserve"> 31 de diciembre </w:t>
      </w:r>
      <w:r>
        <w:rPr>
          <w:rFonts w:ascii="Arial" w:eastAsiaTheme="minorHAnsi" w:hAnsi="Arial" w:cs="Arial"/>
          <w:sz w:val="20"/>
        </w:rPr>
        <w:t>de 201</w:t>
      </w:r>
      <w:r w:rsidR="00F011C0">
        <w:rPr>
          <w:rFonts w:ascii="Arial" w:eastAsiaTheme="minorHAnsi" w:hAnsi="Arial" w:cs="Arial"/>
          <w:sz w:val="20"/>
        </w:rPr>
        <w:t>9</w:t>
      </w:r>
      <w:r>
        <w:rPr>
          <w:rFonts w:ascii="Arial" w:eastAsiaTheme="minorHAnsi" w:hAnsi="Arial" w:cs="Arial"/>
          <w:sz w:val="20"/>
        </w:rPr>
        <w:t xml:space="preserve"> y 201</w:t>
      </w:r>
      <w:r w:rsidR="00F011C0">
        <w:rPr>
          <w:rFonts w:ascii="Arial" w:eastAsiaTheme="minorHAnsi" w:hAnsi="Arial" w:cs="Arial"/>
          <w:sz w:val="20"/>
        </w:rPr>
        <w:t>8</w:t>
      </w:r>
      <w:r w:rsidRPr="00701F32">
        <w:rPr>
          <w:rFonts w:ascii="Arial" w:eastAsiaTheme="minorHAnsi" w:hAnsi="Arial" w:cs="Arial"/>
          <w:sz w:val="20"/>
        </w:rPr>
        <w:t xml:space="preserve"> son los siguientes:</w:t>
      </w:r>
    </w:p>
    <w:p w14:paraId="07B6B183" w14:textId="77777777" w:rsidR="007D2DED" w:rsidRPr="00701F32" w:rsidRDefault="007D2DED" w:rsidP="007D2DED">
      <w:pPr>
        <w:rPr>
          <w:rFonts w:ascii="Arial" w:hAnsi="Arial" w:cs="Arial"/>
          <w:bCs/>
          <w:color w:val="000000"/>
          <w:sz w:val="20"/>
          <w:lang w:eastAsia="es-AR"/>
        </w:rPr>
      </w:pPr>
    </w:p>
    <w:tbl>
      <w:tblPr>
        <w:tblW w:w="7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8"/>
        <w:gridCol w:w="1141"/>
        <w:gridCol w:w="1376"/>
      </w:tblGrid>
      <w:tr w:rsidR="00F011C0" w:rsidRPr="00701F32" w14:paraId="2E179A2C" w14:textId="77777777" w:rsidTr="002E1657">
        <w:trPr>
          <w:trHeight w:val="255"/>
          <w:jc w:val="center"/>
        </w:trPr>
        <w:tc>
          <w:tcPr>
            <w:tcW w:w="4678" w:type="dxa"/>
            <w:shd w:val="clear" w:color="auto" w:fill="auto"/>
            <w:noWrap/>
            <w:vAlign w:val="bottom"/>
            <w:hideMark/>
          </w:tcPr>
          <w:p w14:paraId="5675EB4B" w14:textId="77777777" w:rsidR="00F011C0" w:rsidRPr="006E1AF7" w:rsidRDefault="00F011C0" w:rsidP="00DF0784">
            <w:pPr>
              <w:rPr>
                <w:rFonts w:ascii="Arial" w:hAnsi="Arial" w:cs="Arial"/>
                <w:b/>
                <w:bCs/>
                <w:color w:val="000000"/>
                <w:sz w:val="18"/>
                <w:u w:val="single"/>
                <w:lang w:eastAsia="es-AR"/>
              </w:rPr>
            </w:pPr>
          </w:p>
        </w:tc>
        <w:tc>
          <w:tcPr>
            <w:tcW w:w="1141" w:type="dxa"/>
            <w:shd w:val="clear" w:color="auto" w:fill="auto"/>
            <w:noWrap/>
            <w:vAlign w:val="bottom"/>
            <w:hideMark/>
          </w:tcPr>
          <w:p w14:paraId="04D08933" w14:textId="06EA2CFE" w:rsidR="00F011C0" w:rsidRPr="006E1AF7" w:rsidRDefault="00F011C0" w:rsidP="00DF0784">
            <w:pPr>
              <w:jc w:val="right"/>
              <w:rPr>
                <w:rFonts w:ascii="Arial" w:hAnsi="Arial" w:cs="Arial"/>
                <w:b/>
                <w:color w:val="000000"/>
                <w:sz w:val="18"/>
                <w:lang w:eastAsia="es-AR"/>
              </w:rPr>
            </w:pPr>
            <w:r w:rsidRPr="006E1AF7">
              <w:rPr>
                <w:rFonts w:ascii="Arial" w:hAnsi="Arial" w:cs="Arial"/>
                <w:b/>
                <w:color w:val="000000"/>
                <w:sz w:val="18"/>
                <w:lang w:eastAsia="es-AR"/>
              </w:rPr>
              <w:t>31/12/2019</w:t>
            </w:r>
          </w:p>
        </w:tc>
        <w:tc>
          <w:tcPr>
            <w:tcW w:w="1376" w:type="dxa"/>
            <w:shd w:val="clear" w:color="auto" w:fill="auto"/>
            <w:noWrap/>
            <w:vAlign w:val="bottom"/>
            <w:hideMark/>
          </w:tcPr>
          <w:p w14:paraId="4F2C11B0" w14:textId="290CAC28" w:rsidR="00F011C0" w:rsidRPr="006E1AF7" w:rsidRDefault="00F011C0" w:rsidP="00DF0784">
            <w:pPr>
              <w:jc w:val="right"/>
              <w:rPr>
                <w:rFonts w:ascii="Arial" w:hAnsi="Arial" w:cs="Arial"/>
                <w:b/>
                <w:color w:val="000000"/>
                <w:sz w:val="18"/>
                <w:lang w:eastAsia="es-AR"/>
              </w:rPr>
            </w:pPr>
            <w:r w:rsidRPr="006E1AF7">
              <w:rPr>
                <w:rFonts w:ascii="Arial" w:hAnsi="Arial" w:cs="Arial"/>
                <w:b/>
                <w:color w:val="000000"/>
                <w:sz w:val="18"/>
                <w:lang w:eastAsia="es-AR"/>
              </w:rPr>
              <w:t>31/12/2018</w:t>
            </w:r>
          </w:p>
        </w:tc>
      </w:tr>
      <w:tr w:rsidR="00A23DA3" w:rsidRPr="00701F32" w14:paraId="58C2DE19" w14:textId="77777777" w:rsidTr="002E1657">
        <w:trPr>
          <w:trHeight w:val="255"/>
          <w:jc w:val="center"/>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824600"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Anticipos al personal</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C45ACC" w14:textId="3701BC68"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237.077</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DC140F" w14:textId="461241A3"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152.577 </w:t>
            </w:r>
          </w:p>
        </w:tc>
      </w:tr>
      <w:tr w:rsidR="00A23DA3" w:rsidRPr="00701F32" w14:paraId="232BA3BE" w14:textId="77777777" w:rsidTr="002E1657">
        <w:trPr>
          <w:trHeight w:val="255"/>
          <w:jc w:val="center"/>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CF4E95"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Propiedades de inversión - Bienes alquilados (Anexo F)</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69162" w14:textId="58A5C19D"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3.877.642</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041B9F" w14:textId="7C1CCE46"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412.822 </w:t>
            </w:r>
          </w:p>
        </w:tc>
      </w:tr>
      <w:tr w:rsidR="00A23DA3" w:rsidRPr="00701F32" w14:paraId="444A8893" w14:textId="77777777" w:rsidTr="002E1657">
        <w:trPr>
          <w:trHeight w:val="255"/>
          <w:jc w:val="center"/>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56B4A"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Pagos efectuados por adelantado</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61E9BA" w14:textId="6A018A16"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253.527</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03101" w14:textId="573D079E"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173.679 </w:t>
            </w:r>
          </w:p>
        </w:tc>
      </w:tr>
      <w:tr w:rsidR="00A23DA3" w:rsidRPr="00701F32" w14:paraId="4D556582" w14:textId="77777777" w:rsidTr="002E1657">
        <w:trPr>
          <w:trHeight w:val="255"/>
          <w:jc w:val="center"/>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6640C5"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Bienes diversos</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CFCFCF" w14:textId="581B56F7"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277.019</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416FC" w14:textId="28834AF5"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229.995 </w:t>
            </w:r>
          </w:p>
        </w:tc>
      </w:tr>
      <w:tr w:rsidR="00A23DA3" w:rsidRPr="00701F32" w14:paraId="0D622A86" w14:textId="77777777" w:rsidTr="002E1657">
        <w:trPr>
          <w:trHeight w:val="255"/>
          <w:jc w:val="center"/>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241340"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Obras de arte y piezas de colección</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037516" w14:textId="6BC2C206" w:rsidR="00A23DA3" w:rsidRPr="006E1AF7" w:rsidRDefault="00A23DA3" w:rsidP="00654758">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4.348</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AFA9FB" w14:textId="45D34D5B" w:rsidR="00A23DA3" w:rsidRPr="006E1AF7" w:rsidRDefault="00A23DA3" w:rsidP="00A23DA3">
            <w:pPr>
              <w:autoSpaceDE w:val="0"/>
              <w:autoSpaceDN w:val="0"/>
              <w:adjustRightInd w:val="0"/>
              <w:jc w:val="right"/>
              <w:rPr>
                <w:rFonts w:ascii="Arial" w:eastAsiaTheme="minorHAnsi" w:hAnsi="Arial" w:cs="Arial"/>
                <w:color w:val="000000"/>
                <w:sz w:val="18"/>
                <w:lang w:val="es-ES_tradnl"/>
              </w:rPr>
            </w:pPr>
            <w:r w:rsidRPr="006E1AF7">
              <w:rPr>
                <w:rFonts w:ascii="Arial" w:hAnsi="Arial" w:cs="Arial"/>
                <w:color w:val="000000"/>
                <w:sz w:val="18"/>
              </w:rPr>
              <w:t xml:space="preserve">4.382 </w:t>
            </w:r>
          </w:p>
        </w:tc>
      </w:tr>
      <w:tr w:rsidR="00F011C0" w:rsidRPr="00701F32" w14:paraId="4987CE04" w14:textId="77777777" w:rsidTr="002E1657">
        <w:trPr>
          <w:trHeight w:val="270"/>
          <w:jc w:val="center"/>
        </w:trPr>
        <w:tc>
          <w:tcPr>
            <w:tcW w:w="4678" w:type="dxa"/>
            <w:shd w:val="clear" w:color="auto" w:fill="auto"/>
            <w:noWrap/>
            <w:vAlign w:val="bottom"/>
            <w:hideMark/>
          </w:tcPr>
          <w:p w14:paraId="0A060E5B" w14:textId="77777777" w:rsidR="00F011C0" w:rsidRPr="006E1AF7" w:rsidRDefault="00F011C0" w:rsidP="00F011C0">
            <w:pPr>
              <w:rPr>
                <w:rFonts w:ascii="Arial" w:hAnsi="Arial" w:cs="Arial"/>
                <w:b/>
                <w:color w:val="000000"/>
                <w:sz w:val="18"/>
                <w:lang w:eastAsia="es-AR"/>
              </w:rPr>
            </w:pPr>
            <w:r w:rsidRPr="006E1AF7">
              <w:rPr>
                <w:rFonts w:ascii="Arial" w:hAnsi="Arial" w:cs="Arial"/>
                <w:b/>
                <w:color w:val="000000"/>
                <w:sz w:val="18"/>
                <w:lang w:eastAsia="es-AR"/>
              </w:rPr>
              <w:t>Total</w:t>
            </w:r>
          </w:p>
        </w:tc>
        <w:tc>
          <w:tcPr>
            <w:tcW w:w="1141" w:type="dxa"/>
            <w:shd w:val="clear" w:color="auto" w:fill="auto"/>
            <w:noWrap/>
            <w:vAlign w:val="bottom"/>
          </w:tcPr>
          <w:p w14:paraId="25616AF6" w14:textId="37C33C2B" w:rsidR="00F011C0" w:rsidRPr="006E1AF7" w:rsidRDefault="006311C5" w:rsidP="00654758">
            <w:pPr>
              <w:jc w:val="right"/>
              <w:rPr>
                <w:rFonts w:ascii="Arial" w:hAnsi="Arial" w:cs="Arial"/>
                <w:b/>
                <w:bCs/>
                <w:color w:val="000000"/>
                <w:sz w:val="18"/>
                <w:lang w:eastAsia="es-AR"/>
              </w:rPr>
            </w:pPr>
            <w:r w:rsidRPr="006E1AF7">
              <w:rPr>
                <w:rFonts w:ascii="Arial" w:hAnsi="Arial" w:cs="Arial"/>
                <w:b/>
                <w:bCs/>
                <w:color w:val="000000"/>
                <w:sz w:val="18"/>
              </w:rPr>
              <w:t>4.649.613</w:t>
            </w:r>
          </w:p>
        </w:tc>
        <w:tc>
          <w:tcPr>
            <w:tcW w:w="1376" w:type="dxa"/>
            <w:shd w:val="clear" w:color="auto" w:fill="auto"/>
            <w:noWrap/>
            <w:vAlign w:val="bottom"/>
          </w:tcPr>
          <w:p w14:paraId="25513829" w14:textId="253F2986" w:rsidR="00F011C0" w:rsidRPr="006E1AF7" w:rsidRDefault="00F011C0" w:rsidP="00F011C0">
            <w:pPr>
              <w:autoSpaceDE w:val="0"/>
              <w:autoSpaceDN w:val="0"/>
              <w:adjustRightInd w:val="0"/>
              <w:jc w:val="right"/>
              <w:rPr>
                <w:rFonts w:ascii="Arial" w:eastAsiaTheme="minorHAnsi" w:hAnsi="Arial" w:cs="Arial"/>
                <w:b/>
                <w:color w:val="000000"/>
                <w:sz w:val="18"/>
                <w:lang w:val="es-ES_tradnl"/>
              </w:rPr>
            </w:pPr>
            <w:r w:rsidRPr="006E1AF7">
              <w:rPr>
                <w:rFonts w:ascii="Arial" w:hAnsi="Arial" w:cs="Arial"/>
                <w:b/>
                <w:color w:val="000000"/>
                <w:sz w:val="18"/>
              </w:rPr>
              <w:t>973.455</w:t>
            </w:r>
          </w:p>
        </w:tc>
      </w:tr>
    </w:tbl>
    <w:p w14:paraId="79F75ECB" w14:textId="77777777" w:rsidR="007D2DED" w:rsidRPr="00701F32" w:rsidRDefault="007D2DED" w:rsidP="007D2DED">
      <w:pPr>
        <w:rPr>
          <w:rFonts w:ascii="Arial" w:hAnsi="Arial" w:cs="Arial"/>
          <w:bCs/>
          <w:color w:val="000000"/>
          <w:sz w:val="20"/>
          <w:lang w:eastAsia="es-AR"/>
        </w:rPr>
      </w:pPr>
    </w:p>
    <w:p w14:paraId="21FC8ECE" w14:textId="60D4365B"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sidRPr="00701F32">
        <w:rPr>
          <w:rFonts w:ascii="Arial" w:hAnsi="Arial" w:cs="Arial"/>
          <w:bCs/>
          <w:color w:val="000000"/>
          <w:sz w:val="20"/>
          <w:lang w:eastAsia="es-AR"/>
        </w:rPr>
        <w:t>.</w:t>
      </w:r>
      <w:r w:rsidR="002E1657">
        <w:rPr>
          <w:rFonts w:ascii="Arial" w:hAnsi="Arial" w:cs="Arial"/>
          <w:bCs/>
          <w:color w:val="000000"/>
          <w:sz w:val="20"/>
          <w:lang w:eastAsia="es-AR"/>
        </w:rPr>
        <w:t>8</w:t>
      </w:r>
      <w:r w:rsidR="007D2DED" w:rsidRPr="00701F32">
        <w:rPr>
          <w:rFonts w:ascii="Arial" w:hAnsi="Arial" w:cs="Arial"/>
          <w:bCs/>
          <w:color w:val="000000"/>
          <w:sz w:val="20"/>
          <w:lang w:eastAsia="es-AR"/>
        </w:rPr>
        <w:t xml:space="preserve"> Depósitos</w:t>
      </w:r>
    </w:p>
    <w:p w14:paraId="70FF2E74" w14:textId="77777777" w:rsidR="007D2DED" w:rsidRPr="00701F32" w:rsidRDefault="007D2DED" w:rsidP="007D2DED">
      <w:pPr>
        <w:rPr>
          <w:rFonts w:ascii="Arial" w:hAnsi="Arial" w:cs="Arial"/>
          <w:bCs/>
          <w:color w:val="000000"/>
          <w:sz w:val="20"/>
          <w:lang w:eastAsia="es-AR"/>
        </w:rPr>
      </w:pPr>
    </w:p>
    <w:p w14:paraId="08A60C22" w14:textId="1B4F3EB4" w:rsidR="007D2DED" w:rsidRPr="00701F32" w:rsidRDefault="007D2DED" w:rsidP="007D2DED">
      <w:pPr>
        <w:spacing w:after="160" w:line="259" w:lineRule="auto"/>
        <w:rPr>
          <w:rFonts w:ascii="Arial" w:eastAsiaTheme="minorHAnsi" w:hAnsi="Arial" w:cs="Arial"/>
          <w:sz w:val="20"/>
          <w:szCs w:val="22"/>
        </w:rPr>
      </w:pPr>
      <w:r w:rsidRPr="00701F32">
        <w:rPr>
          <w:rFonts w:ascii="Arial" w:eastAsiaTheme="minorHAnsi" w:hAnsi="Arial" w:cs="Arial"/>
          <w:sz w:val="20"/>
          <w:szCs w:val="22"/>
        </w:rPr>
        <w:t xml:space="preserve">Los principales componentes del rubro depósitos al 31 de diciembre </w:t>
      </w:r>
      <w:r>
        <w:rPr>
          <w:rFonts w:ascii="Arial" w:eastAsiaTheme="minorHAnsi" w:hAnsi="Arial" w:cs="Arial"/>
          <w:sz w:val="20"/>
          <w:szCs w:val="22"/>
        </w:rPr>
        <w:t>de 201</w:t>
      </w:r>
      <w:r w:rsidR="00F011C0">
        <w:rPr>
          <w:rFonts w:ascii="Arial" w:eastAsiaTheme="minorHAnsi" w:hAnsi="Arial" w:cs="Arial"/>
          <w:sz w:val="20"/>
          <w:szCs w:val="22"/>
        </w:rPr>
        <w:t>9</w:t>
      </w:r>
      <w:r>
        <w:rPr>
          <w:rFonts w:ascii="Arial" w:eastAsiaTheme="minorHAnsi" w:hAnsi="Arial" w:cs="Arial"/>
          <w:sz w:val="20"/>
          <w:szCs w:val="22"/>
        </w:rPr>
        <w:t xml:space="preserve"> y 201</w:t>
      </w:r>
      <w:r w:rsidR="00F011C0">
        <w:rPr>
          <w:rFonts w:ascii="Arial" w:eastAsiaTheme="minorHAnsi" w:hAnsi="Arial" w:cs="Arial"/>
          <w:sz w:val="20"/>
          <w:szCs w:val="22"/>
        </w:rPr>
        <w:t>8</w:t>
      </w:r>
      <w:r>
        <w:rPr>
          <w:rFonts w:ascii="Arial" w:eastAsiaTheme="minorHAnsi" w:hAnsi="Arial" w:cs="Arial"/>
          <w:sz w:val="20"/>
          <w:szCs w:val="22"/>
        </w:rPr>
        <w:t xml:space="preserve"> </w:t>
      </w:r>
      <w:r w:rsidRPr="00701F32">
        <w:rPr>
          <w:rFonts w:ascii="Arial" w:eastAsiaTheme="minorHAnsi" w:hAnsi="Arial" w:cs="Arial"/>
          <w:sz w:val="20"/>
          <w:szCs w:val="22"/>
        </w:rPr>
        <w:t>son los siguientes:</w:t>
      </w:r>
    </w:p>
    <w:tbl>
      <w:tblPr>
        <w:tblW w:w="7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44"/>
        <w:gridCol w:w="1331"/>
        <w:gridCol w:w="1331"/>
      </w:tblGrid>
      <w:tr w:rsidR="00F011C0" w:rsidRPr="00701F32" w14:paraId="23B76499" w14:textId="77777777" w:rsidTr="002E1657">
        <w:trPr>
          <w:trHeight w:val="261"/>
          <w:tblHeader/>
          <w:jc w:val="center"/>
        </w:trPr>
        <w:tc>
          <w:tcPr>
            <w:tcW w:w="4544" w:type="dxa"/>
            <w:shd w:val="clear" w:color="auto" w:fill="auto"/>
            <w:noWrap/>
            <w:vAlign w:val="bottom"/>
            <w:hideMark/>
          </w:tcPr>
          <w:p w14:paraId="652C2EB8" w14:textId="77777777" w:rsidR="00F011C0" w:rsidRPr="006E1AF7" w:rsidRDefault="00F011C0" w:rsidP="00DF0784">
            <w:pPr>
              <w:rPr>
                <w:rFonts w:ascii="Arial" w:hAnsi="Arial" w:cs="Arial"/>
                <w:b/>
                <w:bCs/>
                <w:color w:val="000000"/>
                <w:sz w:val="18"/>
                <w:u w:val="single"/>
                <w:lang w:eastAsia="es-AR"/>
              </w:rPr>
            </w:pPr>
          </w:p>
        </w:tc>
        <w:tc>
          <w:tcPr>
            <w:tcW w:w="1331" w:type="dxa"/>
            <w:shd w:val="clear" w:color="auto" w:fill="auto"/>
            <w:noWrap/>
            <w:vAlign w:val="bottom"/>
            <w:hideMark/>
          </w:tcPr>
          <w:p w14:paraId="6B0935CA" w14:textId="7BA6246A" w:rsidR="00F011C0" w:rsidRPr="006E1AF7" w:rsidRDefault="00F011C0" w:rsidP="00DF0784">
            <w:pPr>
              <w:jc w:val="right"/>
              <w:rPr>
                <w:rFonts w:ascii="Arial" w:hAnsi="Arial" w:cs="Arial"/>
                <w:b/>
                <w:color w:val="000000"/>
                <w:sz w:val="18"/>
                <w:lang w:eastAsia="es-AR"/>
              </w:rPr>
            </w:pPr>
            <w:r w:rsidRPr="006E1AF7">
              <w:rPr>
                <w:rFonts w:ascii="Arial" w:hAnsi="Arial" w:cs="Arial"/>
                <w:b/>
                <w:color w:val="000000"/>
                <w:sz w:val="18"/>
                <w:lang w:eastAsia="es-AR"/>
              </w:rPr>
              <w:t>31/12/2019</w:t>
            </w:r>
          </w:p>
        </w:tc>
        <w:tc>
          <w:tcPr>
            <w:tcW w:w="1331" w:type="dxa"/>
            <w:shd w:val="clear" w:color="auto" w:fill="auto"/>
            <w:noWrap/>
            <w:vAlign w:val="bottom"/>
            <w:hideMark/>
          </w:tcPr>
          <w:p w14:paraId="5B616444" w14:textId="599A0608" w:rsidR="00F011C0" w:rsidRPr="006E1AF7" w:rsidRDefault="00F011C0" w:rsidP="00DF0784">
            <w:pPr>
              <w:jc w:val="right"/>
              <w:rPr>
                <w:rFonts w:ascii="Arial" w:hAnsi="Arial" w:cs="Arial"/>
                <w:b/>
                <w:color w:val="000000"/>
                <w:sz w:val="18"/>
                <w:lang w:eastAsia="es-AR"/>
              </w:rPr>
            </w:pPr>
            <w:r w:rsidRPr="006E1AF7">
              <w:rPr>
                <w:rFonts w:ascii="Arial" w:hAnsi="Arial" w:cs="Arial"/>
                <w:b/>
                <w:color w:val="000000"/>
                <w:sz w:val="18"/>
                <w:lang w:eastAsia="es-AR"/>
              </w:rPr>
              <w:t>31/12/2018</w:t>
            </w:r>
          </w:p>
        </w:tc>
      </w:tr>
      <w:tr w:rsidR="00A23DA3" w:rsidRPr="00701F32" w14:paraId="7381E315" w14:textId="77777777" w:rsidTr="002E1657">
        <w:trPr>
          <w:trHeight w:val="261"/>
          <w:jc w:val="center"/>
        </w:trPr>
        <w:tc>
          <w:tcPr>
            <w:tcW w:w="4544" w:type="dxa"/>
            <w:shd w:val="clear" w:color="auto" w:fill="auto"/>
            <w:noWrap/>
            <w:vAlign w:val="bottom"/>
            <w:hideMark/>
          </w:tcPr>
          <w:p w14:paraId="4D9AF98E"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Sector público</w:t>
            </w:r>
          </w:p>
        </w:tc>
        <w:tc>
          <w:tcPr>
            <w:tcW w:w="1331" w:type="dxa"/>
            <w:shd w:val="clear" w:color="auto" w:fill="auto"/>
            <w:noWrap/>
            <w:vAlign w:val="bottom"/>
          </w:tcPr>
          <w:p w14:paraId="4D648A5C" w14:textId="6C463988"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5.470.177 </w:t>
            </w:r>
          </w:p>
        </w:tc>
        <w:tc>
          <w:tcPr>
            <w:tcW w:w="1331" w:type="dxa"/>
            <w:shd w:val="clear" w:color="auto" w:fill="auto"/>
            <w:noWrap/>
            <w:vAlign w:val="bottom"/>
            <w:hideMark/>
          </w:tcPr>
          <w:p w14:paraId="251CDA18" w14:textId="2135D276"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11.105.477 </w:t>
            </w:r>
          </w:p>
        </w:tc>
      </w:tr>
      <w:tr w:rsidR="00A23DA3" w:rsidRPr="00701F32" w14:paraId="2C4A71EF" w14:textId="77777777" w:rsidTr="002E1657">
        <w:trPr>
          <w:trHeight w:val="261"/>
          <w:jc w:val="center"/>
        </w:trPr>
        <w:tc>
          <w:tcPr>
            <w:tcW w:w="4544" w:type="dxa"/>
            <w:shd w:val="clear" w:color="auto" w:fill="auto"/>
            <w:noWrap/>
            <w:vAlign w:val="bottom"/>
            <w:hideMark/>
          </w:tcPr>
          <w:p w14:paraId="58F18647"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Sector financiero</w:t>
            </w:r>
          </w:p>
        </w:tc>
        <w:tc>
          <w:tcPr>
            <w:tcW w:w="1331" w:type="dxa"/>
            <w:shd w:val="clear" w:color="auto" w:fill="auto"/>
            <w:noWrap/>
            <w:vAlign w:val="bottom"/>
          </w:tcPr>
          <w:p w14:paraId="44B93021" w14:textId="5D19F75D"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37.358 </w:t>
            </w:r>
          </w:p>
        </w:tc>
        <w:tc>
          <w:tcPr>
            <w:tcW w:w="1331" w:type="dxa"/>
            <w:shd w:val="clear" w:color="auto" w:fill="auto"/>
            <w:noWrap/>
            <w:vAlign w:val="bottom"/>
            <w:hideMark/>
          </w:tcPr>
          <w:p w14:paraId="0F782FC4" w14:textId="74AB0142"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33.099 </w:t>
            </w:r>
          </w:p>
        </w:tc>
      </w:tr>
      <w:tr w:rsidR="00A23DA3" w:rsidRPr="00701F32" w14:paraId="6267C12D" w14:textId="77777777" w:rsidTr="002E1657">
        <w:trPr>
          <w:trHeight w:val="261"/>
          <w:jc w:val="center"/>
        </w:trPr>
        <w:tc>
          <w:tcPr>
            <w:tcW w:w="4544" w:type="dxa"/>
            <w:shd w:val="clear" w:color="auto" w:fill="auto"/>
            <w:noWrap/>
            <w:vAlign w:val="bottom"/>
            <w:hideMark/>
          </w:tcPr>
          <w:p w14:paraId="3F019619"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Cuentas corrientes</w:t>
            </w:r>
          </w:p>
        </w:tc>
        <w:tc>
          <w:tcPr>
            <w:tcW w:w="1331" w:type="dxa"/>
            <w:shd w:val="clear" w:color="auto" w:fill="auto"/>
            <w:noWrap/>
            <w:vAlign w:val="bottom"/>
          </w:tcPr>
          <w:p w14:paraId="3AE8005E" w14:textId="4833866C"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12.127.032 </w:t>
            </w:r>
          </w:p>
        </w:tc>
        <w:tc>
          <w:tcPr>
            <w:tcW w:w="1331" w:type="dxa"/>
            <w:shd w:val="clear" w:color="auto" w:fill="auto"/>
            <w:noWrap/>
            <w:vAlign w:val="bottom"/>
            <w:hideMark/>
          </w:tcPr>
          <w:p w14:paraId="7162F455" w14:textId="713793B7"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6.700.717 </w:t>
            </w:r>
          </w:p>
        </w:tc>
      </w:tr>
      <w:tr w:rsidR="00A23DA3" w:rsidRPr="00701F32" w14:paraId="3ACAF512" w14:textId="77777777" w:rsidTr="002E1657">
        <w:trPr>
          <w:trHeight w:val="261"/>
          <w:jc w:val="center"/>
        </w:trPr>
        <w:tc>
          <w:tcPr>
            <w:tcW w:w="4544" w:type="dxa"/>
            <w:shd w:val="clear" w:color="auto" w:fill="auto"/>
            <w:noWrap/>
            <w:vAlign w:val="bottom"/>
            <w:hideMark/>
          </w:tcPr>
          <w:p w14:paraId="416ABF61"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Caja de ahorros</w:t>
            </w:r>
          </w:p>
        </w:tc>
        <w:tc>
          <w:tcPr>
            <w:tcW w:w="1331" w:type="dxa"/>
            <w:shd w:val="clear" w:color="auto" w:fill="auto"/>
            <w:noWrap/>
            <w:vAlign w:val="bottom"/>
          </w:tcPr>
          <w:p w14:paraId="373CB286" w14:textId="7BB8BCB1"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39.992.352 </w:t>
            </w:r>
          </w:p>
        </w:tc>
        <w:tc>
          <w:tcPr>
            <w:tcW w:w="1331" w:type="dxa"/>
            <w:shd w:val="clear" w:color="auto" w:fill="auto"/>
            <w:noWrap/>
            <w:vAlign w:val="bottom"/>
            <w:hideMark/>
          </w:tcPr>
          <w:p w14:paraId="2E9980B1" w14:textId="0E7E3AFD"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47.345.633 </w:t>
            </w:r>
          </w:p>
        </w:tc>
      </w:tr>
      <w:tr w:rsidR="00A23DA3" w:rsidRPr="00701F32" w14:paraId="64A1EDC4" w14:textId="77777777" w:rsidTr="002E1657">
        <w:trPr>
          <w:trHeight w:val="261"/>
          <w:jc w:val="center"/>
        </w:trPr>
        <w:tc>
          <w:tcPr>
            <w:tcW w:w="4544" w:type="dxa"/>
            <w:shd w:val="clear" w:color="auto" w:fill="auto"/>
            <w:noWrap/>
            <w:vAlign w:val="bottom"/>
            <w:hideMark/>
          </w:tcPr>
          <w:p w14:paraId="17287DB9"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Plazo fijo e inversiones a plazo</w:t>
            </w:r>
          </w:p>
        </w:tc>
        <w:tc>
          <w:tcPr>
            <w:tcW w:w="1331" w:type="dxa"/>
            <w:shd w:val="clear" w:color="auto" w:fill="auto"/>
            <w:noWrap/>
            <w:vAlign w:val="bottom"/>
          </w:tcPr>
          <w:p w14:paraId="076BCEF1" w14:textId="792BBBDF"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29.133.072 </w:t>
            </w:r>
          </w:p>
        </w:tc>
        <w:tc>
          <w:tcPr>
            <w:tcW w:w="1331" w:type="dxa"/>
            <w:shd w:val="clear" w:color="auto" w:fill="auto"/>
            <w:noWrap/>
            <w:vAlign w:val="bottom"/>
            <w:hideMark/>
          </w:tcPr>
          <w:p w14:paraId="4DEEB7E3" w14:textId="56BD4604"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27.130.294 </w:t>
            </w:r>
          </w:p>
        </w:tc>
      </w:tr>
      <w:tr w:rsidR="00A23DA3" w:rsidRPr="00701F32" w14:paraId="7F5605AD" w14:textId="77777777" w:rsidTr="002E1657">
        <w:trPr>
          <w:trHeight w:val="261"/>
          <w:jc w:val="center"/>
        </w:trPr>
        <w:tc>
          <w:tcPr>
            <w:tcW w:w="4544" w:type="dxa"/>
            <w:shd w:val="clear" w:color="auto" w:fill="auto"/>
            <w:noWrap/>
            <w:vAlign w:val="bottom"/>
            <w:hideMark/>
          </w:tcPr>
          <w:p w14:paraId="332B745C" w14:textId="77777777" w:rsidR="00A23DA3" w:rsidRPr="006E1AF7" w:rsidRDefault="00A23DA3" w:rsidP="00A23DA3">
            <w:pPr>
              <w:rPr>
                <w:rFonts w:ascii="Arial" w:hAnsi="Arial" w:cs="Arial"/>
                <w:color w:val="000000"/>
                <w:sz w:val="18"/>
                <w:lang w:eastAsia="es-AR"/>
              </w:rPr>
            </w:pPr>
            <w:r w:rsidRPr="006E1AF7">
              <w:rPr>
                <w:rFonts w:ascii="Arial" w:hAnsi="Arial" w:cs="Arial"/>
                <w:color w:val="000000"/>
                <w:sz w:val="18"/>
                <w:lang w:eastAsia="es-AR"/>
              </w:rPr>
              <w:t>Otros</w:t>
            </w:r>
          </w:p>
        </w:tc>
        <w:tc>
          <w:tcPr>
            <w:tcW w:w="1331" w:type="dxa"/>
            <w:shd w:val="clear" w:color="auto" w:fill="auto"/>
            <w:noWrap/>
            <w:vAlign w:val="bottom"/>
          </w:tcPr>
          <w:p w14:paraId="251BC670" w14:textId="1DD357AB"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2.977.078 </w:t>
            </w:r>
          </w:p>
        </w:tc>
        <w:tc>
          <w:tcPr>
            <w:tcW w:w="1331" w:type="dxa"/>
            <w:shd w:val="clear" w:color="auto" w:fill="auto"/>
            <w:noWrap/>
            <w:vAlign w:val="bottom"/>
            <w:hideMark/>
          </w:tcPr>
          <w:p w14:paraId="3598886F" w14:textId="01E06EB2" w:rsidR="00A23DA3" w:rsidRPr="006E1AF7" w:rsidRDefault="00A23DA3" w:rsidP="00A23DA3">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1.709.858 </w:t>
            </w:r>
          </w:p>
        </w:tc>
      </w:tr>
      <w:tr w:rsidR="00F011C0" w:rsidRPr="00701F32" w14:paraId="0BF67D9B" w14:textId="77777777" w:rsidTr="002E1657">
        <w:trPr>
          <w:trHeight w:val="276"/>
          <w:jc w:val="center"/>
        </w:trPr>
        <w:tc>
          <w:tcPr>
            <w:tcW w:w="4544" w:type="dxa"/>
            <w:shd w:val="clear" w:color="auto" w:fill="auto"/>
            <w:noWrap/>
            <w:vAlign w:val="bottom"/>
            <w:hideMark/>
          </w:tcPr>
          <w:p w14:paraId="2224B057" w14:textId="77777777" w:rsidR="00F011C0" w:rsidRPr="006E1AF7" w:rsidRDefault="00F011C0" w:rsidP="00F011C0">
            <w:pPr>
              <w:jc w:val="both"/>
              <w:rPr>
                <w:rFonts w:ascii="Arial" w:hAnsi="Arial" w:cs="Arial"/>
                <w:b/>
                <w:color w:val="000000"/>
                <w:sz w:val="18"/>
                <w:lang w:eastAsia="es-AR"/>
              </w:rPr>
            </w:pPr>
            <w:r w:rsidRPr="006E1AF7">
              <w:rPr>
                <w:rFonts w:ascii="Arial" w:hAnsi="Arial" w:cs="Arial"/>
                <w:b/>
                <w:color w:val="000000"/>
                <w:sz w:val="18"/>
                <w:lang w:eastAsia="es-AR"/>
              </w:rPr>
              <w:t>Total</w:t>
            </w:r>
          </w:p>
        </w:tc>
        <w:tc>
          <w:tcPr>
            <w:tcW w:w="1331" w:type="dxa"/>
            <w:shd w:val="clear" w:color="auto" w:fill="auto"/>
            <w:noWrap/>
            <w:vAlign w:val="bottom"/>
          </w:tcPr>
          <w:p w14:paraId="748DC20F" w14:textId="2183C5D4" w:rsidR="00F011C0" w:rsidRPr="006E1AF7" w:rsidRDefault="00A23DA3" w:rsidP="00A23DA3">
            <w:pPr>
              <w:jc w:val="right"/>
              <w:rPr>
                <w:rFonts w:ascii="Arial" w:hAnsi="Arial" w:cs="Arial"/>
                <w:color w:val="000000"/>
                <w:sz w:val="18"/>
                <w:lang w:eastAsia="es-AR"/>
              </w:rPr>
            </w:pPr>
            <w:r w:rsidRPr="006E1AF7">
              <w:rPr>
                <w:rFonts w:ascii="Arial" w:hAnsi="Arial" w:cs="Arial"/>
                <w:b/>
                <w:bCs/>
                <w:color w:val="000000"/>
                <w:sz w:val="18"/>
              </w:rPr>
              <w:t xml:space="preserve">89.737.069 </w:t>
            </w:r>
          </w:p>
        </w:tc>
        <w:tc>
          <w:tcPr>
            <w:tcW w:w="1331" w:type="dxa"/>
            <w:shd w:val="clear" w:color="auto" w:fill="auto"/>
            <w:noWrap/>
            <w:vAlign w:val="bottom"/>
            <w:hideMark/>
          </w:tcPr>
          <w:p w14:paraId="7D5AAC16" w14:textId="0B6307E5" w:rsidR="00F011C0" w:rsidRPr="006E1AF7" w:rsidRDefault="00F011C0" w:rsidP="00F011C0">
            <w:pPr>
              <w:autoSpaceDE w:val="0"/>
              <w:autoSpaceDN w:val="0"/>
              <w:adjustRightInd w:val="0"/>
              <w:jc w:val="right"/>
              <w:rPr>
                <w:rFonts w:ascii="Arial" w:eastAsiaTheme="minorHAnsi" w:hAnsi="Arial" w:cs="Arial"/>
                <w:b/>
                <w:color w:val="000000"/>
                <w:sz w:val="18"/>
              </w:rPr>
            </w:pPr>
            <w:r w:rsidRPr="006E1AF7">
              <w:rPr>
                <w:rFonts w:ascii="Arial" w:hAnsi="Arial" w:cs="Arial"/>
                <w:b/>
                <w:color w:val="000000"/>
                <w:sz w:val="18"/>
              </w:rPr>
              <w:t>94.025.078</w:t>
            </w:r>
          </w:p>
        </w:tc>
      </w:tr>
    </w:tbl>
    <w:p w14:paraId="0A3D52D1" w14:textId="77777777" w:rsidR="007D2DED" w:rsidRPr="00701F32" w:rsidRDefault="007D2DED" w:rsidP="007D2DED">
      <w:pPr>
        <w:spacing w:after="160" w:line="259" w:lineRule="auto"/>
        <w:rPr>
          <w:rFonts w:ascii="Arial" w:eastAsiaTheme="minorHAnsi" w:hAnsi="Arial" w:cs="Arial"/>
          <w:sz w:val="22"/>
          <w:szCs w:val="22"/>
        </w:rPr>
      </w:pPr>
    </w:p>
    <w:p w14:paraId="6D9ED58B" w14:textId="69C2BE0C" w:rsidR="007D2DED"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sidRPr="00701F32">
        <w:rPr>
          <w:rFonts w:ascii="Arial" w:hAnsi="Arial" w:cs="Arial"/>
          <w:bCs/>
          <w:color w:val="000000"/>
          <w:sz w:val="20"/>
          <w:lang w:eastAsia="es-AR"/>
        </w:rPr>
        <w:t>.</w:t>
      </w:r>
      <w:r w:rsidR="002E1657">
        <w:rPr>
          <w:rFonts w:ascii="Arial" w:hAnsi="Arial" w:cs="Arial"/>
          <w:bCs/>
          <w:color w:val="000000"/>
          <w:sz w:val="20"/>
          <w:lang w:eastAsia="es-AR"/>
        </w:rPr>
        <w:t>9</w:t>
      </w:r>
      <w:r w:rsidR="007D2DED">
        <w:rPr>
          <w:rFonts w:ascii="Arial" w:hAnsi="Arial" w:cs="Arial"/>
          <w:bCs/>
          <w:color w:val="000000"/>
          <w:sz w:val="20"/>
          <w:lang w:eastAsia="es-AR"/>
        </w:rPr>
        <w:t xml:space="preserve"> </w:t>
      </w:r>
      <w:r w:rsidR="007D2DED" w:rsidRPr="00923A29">
        <w:rPr>
          <w:rFonts w:ascii="Arial" w:hAnsi="Arial" w:cs="Arial"/>
          <w:bCs/>
          <w:color w:val="000000"/>
          <w:sz w:val="20"/>
          <w:lang w:eastAsia="es-AR"/>
        </w:rPr>
        <w:t>Pasivos a valor razonable con cambios en resultados</w:t>
      </w:r>
      <w:r w:rsidR="007D2DED" w:rsidRPr="00701F32">
        <w:rPr>
          <w:rFonts w:ascii="Arial" w:hAnsi="Arial" w:cs="Arial"/>
          <w:bCs/>
          <w:color w:val="000000"/>
          <w:sz w:val="20"/>
          <w:lang w:eastAsia="es-AR"/>
        </w:rPr>
        <w:t xml:space="preserve"> </w:t>
      </w:r>
    </w:p>
    <w:p w14:paraId="0173297D" w14:textId="77777777" w:rsidR="007D2DED" w:rsidRDefault="007D2DED" w:rsidP="007D2DED">
      <w:pPr>
        <w:rPr>
          <w:rFonts w:ascii="Arial" w:hAnsi="Arial" w:cs="Arial"/>
          <w:bCs/>
          <w:color w:val="000000"/>
          <w:sz w:val="20"/>
          <w:lang w:eastAsia="es-AR"/>
        </w:rPr>
      </w:pPr>
    </w:p>
    <w:p w14:paraId="3A0B5AC8" w14:textId="1CF2AAEF" w:rsidR="007D2DED" w:rsidRDefault="007D2DED" w:rsidP="007D2DED">
      <w:pPr>
        <w:spacing w:after="160" w:line="259" w:lineRule="auto"/>
        <w:rPr>
          <w:rFonts w:ascii="Arial" w:eastAsiaTheme="minorHAnsi" w:hAnsi="Arial" w:cs="Arial"/>
          <w:sz w:val="20"/>
          <w:szCs w:val="22"/>
        </w:rPr>
      </w:pPr>
      <w:r w:rsidRPr="00701F32">
        <w:rPr>
          <w:rFonts w:ascii="Arial" w:eastAsiaTheme="minorHAnsi" w:hAnsi="Arial" w:cs="Arial"/>
          <w:sz w:val="20"/>
          <w:szCs w:val="22"/>
        </w:rPr>
        <w:t xml:space="preserve">Los principales componentes del rubro </w:t>
      </w:r>
      <w:r>
        <w:rPr>
          <w:rFonts w:ascii="Arial" w:eastAsiaTheme="minorHAnsi" w:hAnsi="Arial" w:cs="Arial"/>
          <w:sz w:val="20"/>
          <w:szCs w:val="22"/>
        </w:rPr>
        <w:t>pasivos a valor razonable con cambios en resutaldos</w:t>
      </w:r>
      <w:r w:rsidRPr="00701F32">
        <w:rPr>
          <w:rFonts w:ascii="Arial" w:eastAsiaTheme="minorHAnsi" w:hAnsi="Arial" w:cs="Arial"/>
          <w:sz w:val="20"/>
          <w:szCs w:val="22"/>
        </w:rPr>
        <w:t xml:space="preserve"> al 31 de diciembre </w:t>
      </w:r>
      <w:r>
        <w:rPr>
          <w:rFonts w:ascii="Arial" w:eastAsiaTheme="minorHAnsi" w:hAnsi="Arial" w:cs="Arial"/>
          <w:sz w:val="20"/>
          <w:szCs w:val="22"/>
        </w:rPr>
        <w:t>de 201</w:t>
      </w:r>
      <w:r w:rsidR="00F011C0">
        <w:rPr>
          <w:rFonts w:ascii="Arial" w:eastAsiaTheme="minorHAnsi" w:hAnsi="Arial" w:cs="Arial"/>
          <w:sz w:val="20"/>
          <w:szCs w:val="22"/>
        </w:rPr>
        <w:t>9</w:t>
      </w:r>
      <w:r>
        <w:rPr>
          <w:rFonts w:ascii="Arial" w:eastAsiaTheme="minorHAnsi" w:hAnsi="Arial" w:cs="Arial"/>
          <w:sz w:val="20"/>
          <w:szCs w:val="22"/>
        </w:rPr>
        <w:t xml:space="preserve"> y 201</w:t>
      </w:r>
      <w:r w:rsidR="00F011C0">
        <w:rPr>
          <w:rFonts w:ascii="Arial" w:eastAsiaTheme="minorHAnsi" w:hAnsi="Arial" w:cs="Arial"/>
          <w:sz w:val="20"/>
          <w:szCs w:val="22"/>
        </w:rPr>
        <w:t>8</w:t>
      </w:r>
      <w:r>
        <w:rPr>
          <w:rFonts w:ascii="Arial" w:eastAsiaTheme="minorHAnsi" w:hAnsi="Arial" w:cs="Arial"/>
          <w:sz w:val="20"/>
          <w:szCs w:val="22"/>
        </w:rPr>
        <w:t xml:space="preserve"> </w:t>
      </w:r>
      <w:r w:rsidRPr="00701F32">
        <w:rPr>
          <w:rFonts w:ascii="Arial" w:eastAsiaTheme="minorHAnsi" w:hAnsi="Arial" w:cs="Arial"/>
          <w:sz w:val="20"/>
          <w:szCs w:val="22"/>
        </w:rPr>
        <w:t>son los siguientes:</w:t>
      </w:r>
    </w:p>
    <w:p w14:paraId="60A6713D" w14:textId="0DE88DDD" w:rsidR="007D2DED" w:rsidRDefault="007D2DED" w:rsidP="006B605D">
      <w:pPr>
        <w:rPr>
          <w:rFonts w:ascii="Arial" w:eastAsiaTheme="minorHAnsi" w:hAnsi="Arial" w:cs="Arial"/>
          <w:sz w:val="20"/>
          <w:szCs w:val="22"/>
        </w:rPr>
      </w:pPr>
    </w:p>
    <w:p w14:paraId="2D96FF60" w14:textId="77777777" w:rsidR="00B2136F" w:rsidRPr="00701F32" w:rsidRDefault="00B2136F" w:rsidP="006B605D">
      <w:pPr>
        <w:rPr>
          <w:rFonts w:ascii="Arial" w:eastAsiaTheme="minorHAnsi" w:hAnsi="Arial" w:cs="Arial"/>
          <w:sz w:val="20"/>
          <w:szCs w:val="22"/>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8"/>
        <w:gridCol w:w="1236"/>
        <w:gridCol w:w="1299"/>
      </w:tblGrid>
      <w:tr w:rsidR="00F011C0" w:rsidRPr="00701F32" w14:paraId="23E1D8F9" w14:textId="77777777" w:rsidTr="002E1657">
        <w:trPr>
          <w:trHeight w:val="241"/>
          <w:jc w:val="center"/>
        </w:trPr>
        <w:tc>
          <w:tcPr>
            <w:tcW w:w="4978" w:type="dxa"/>
            <w:shd w:val="clear" w:color="auto" w:fill="auto"/>
            <w:noWrap/>
            <w:vAlign w:val="bottom"/>
            <w:hideMark/>
          </w:tcPr>
          <w:p w14:paraId="6C531A82" w14:textId="77777777" w:rsidR="00F011C0" w:rsidRPr="006E1AF7" w:rsidRDefault="00F011C0" w:rsidP="00DF0784">
            <w:pPr>
              <w:rPr>
                <w:rFonts w:ascii="Arial" w:hAnsi="Arial" w:cs="Arial"/>
                <w:b/>
                <w:bCs/>
                <w:color w:val="000000"/>
                <w:sz w:val="18"/>
                <w:u w:val="single"/>
                <w:lang w:eastAsia="es-AR"/>
              </w:rPr>
            </w:pPr>
          </w:p>
        </w:tc>
        <w:tc>
          <w:tcPr>
            <w:tcW w:w="1236" w:type="dxa"/>
            <w:shd w:val="clear" w:color="auto" w:fill="auto"/>
            <w:noWrap/>
            <w:vAlign w:val="bottom"/>
            <w:hideMark/>
          </w:tcPr>
          <w:p w14:paraId="4B2CD5E7" w14:textId="7AD32A2F" w:rsidR="00F011C0" w:rsidRPr="006E1AF7" w:rsidRDefault="00F011C0" w:rsidP="00DF0784">
            <w:pPr>
              <w:jc w:val="right"/>
              <w:rPr>
                <w:rFonts w:ascii="Arial" w:hAnsi="Arial" w:cs="Arial"/>
                <w:b/>
                <w:color w:val="000000"/>
                <w:sz w:val="18"/>
                <w:lang w:eastAsia="es-AR"/>
              </w:rPr>
            </w:pPr>
            <w:r w:rsidRPr="006E1AF7">
              <w:rPr>
                <w:rFonts w:ascii="Arial" w:hAnsi="Arial" w:cs="Arial"/>
                <w:b/>
                <w:color w:val="000000"/>
                <w:sz w:val="18"/>
                <w:lang w:eastAsia="es-AR"/>
              </w:rPr>
              <w:t>31/12/2019</w:t>
            </w:r>
          </w:p>
        </w:tc>
        <w:tc>
          <w:tcPr>
            <w:tcW w:w="1299" w:type="dxa"/>
            <w:shd w:val="clear" w:color="auto" w:fill="auto"/>
            <w:noWrap/>
            <w:vAlign w:val="bottom"/>
            <w:hideMark/>
          </w:tcPr>
          <w:p w14:paraId="1216CF52" w14:textId="14CCE59E" w:rsidR="00F011C0" w:rsidRPr="006E1AF7" w:rsidRDefault="00F011C0" w:rsidP="00DF0784">
            <w:pPr>
              <w:jc w:val="right"/>
              <w:rPr>
                <w:rFonts w:ascii="Arial" w:hAnsi="Arial" w:cs="Arial"/>
                <w:b/>
                <w:color w:val="000000"/>
                <w:sz w:val="18"/>
                <w:lang w:eastAsia="es-AR"/>
              </w:rPr>
            </w:pPr>
            <w:r w:rsidRPr="006E1AF7">
              <w:rPr>
                <w:rFonts w:ascii="Arial" w:hAnsi="Arial" w:cs="Arial"/>
                <w:b/>
                <w:color w:val="000000"/>
                <w:sz w:val="18"/>
                <w:lang w:eastAsia="es-AR"/>
              </w:rPr>
              <w:t>31/12/2018</w:t>
            </w:r>
          </w:p>
        </w:tc>
      </w:tr>
      <w:tr w:rsidR="00F011C0" w:rsidRPr="00701F32" w14:paraId="63FCB702" w14:textId="77777777" w:rsidTr="002E1657">
        <w:trPr>
          <w:trHeight w:val="241"/>
          <w:jc w:val="center"/>
        </w:trPr>
        <w:tc>
          <w:tcPr>
            <w:tcW w:w="4978" w:type="dxa"/>
            <w:shd w:val="clear" w:color="auto" w:fill="auto"/>
            <w:noWrap/>
            <w:vAlign w:val="bottom"/>
            <w:hideMark/>
          </w:tcPr>
          <w:p w14:paraId="2A4D8DD8"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rPr>
              <w:t>Obligaciones por operaciones con títulos de terceros en pesos</w:t>
            </w:r>
          </w:p>
        </w:tc>
        <w:tc>
          <w:tcPr>
            <w:tcW w:w="1236" w:type="dxa"/>
            <w:shd w:val="clear" w:color="auto" w:fill="auto"/>
            <w:noWrap/>
            <w:vAlign w:val="bottom"/>
          </w:tcPr>
          <w:p w14:paraId="7C475295" w14:textId="25B7B1FF" w:rsidR="00F011C0" w:rsidRPr="006E1AF7" w:rsidRDefault="00A23DA3" w:rsidP="00300D6D">
            <w:pPr>
              <w:jc w:val="right"/>
              <w:rPr>
                <w:rFonts w:ascii="Arial" w:hAnsi="Arial" w:cs="Arial"/>
                <w:color w:val="000000"/>
                <w:sz w:val="18"/>
                <w:lang w:eastAsia="es-AR"/>
              </w:rPr>
            </w:pPr>
            <w:r w:rsidRPr="006E1AF7">
              <w:rPr>
                <w:rFonts w:ascii="Arial" w:hAnsi="Arial" w:cs="Arial"/>
                <w:color w:val="000000"/>
                <w:sz w:val="18"/>
              </w:rPr>
              <w:t>133.300</w:t>
            </w:r>
          </w:p>
        </w:tc>
        <w:tc>
          <w:tcPr>
            <w:tcW w:w="1299" w:type="dxa"/>
            <w:shd w:val="clear" w:color="auto" w:fill="auto"/>
            <w:noWrap/>
            <w:vAlign w:val="bottom"/>
            <w:hideMark/>
          </w:tcPr>
          <w:p w14:paraId="57382A65" w14:textId="719754E0"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rPr>
              <w:t xml:space="preserve">460.800 </w:t>
            </w:r>
          </w:p>
        </w:tc>
      </w:tr>
      <w:tr w:rsidR="00F011C0" w:rsidRPr="00701F32" w14:paraId="4F42B180" w14:textId="77777777" w:rsidTr="002E1657">
        <w:trPr>
          <w:trHeight w:val="241"/>
          <w:jc w:val="center"/>
        </w:trPr>
        <w:tc>
          <w:tcPr>
            <w:tcW w:w="4978" w:type="dxa"/>
            <w:shd w:val="clear" w:color="auto" w:fill="auto"/>
            <w:noWrap/>
            <w:vAlign w:val="bottom"/>
          </w:tcPr>
          <w:p w14:paraId="7105ABE7"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rPr>
              <w:t>Obligaciones por operaciones con títulos de terceros en moneda extranjera</w:t>
            </w:r>
          </w:p>
        </w:tc>
        <w:tc>
          <w:tcPr>
            <w:tcW w:w="1236" w:type="dxa"/>
            <w:shd w:val="clear" w:color="auto" w:fill="auto"/>
            <w:noWrap/>
            <w:vAlign w:val="bottom"/>
          </w:tcPr>
          <w:p w14:paraId="01A0B781" w14:textId="09E30A99" w:rsidR="00F011C0" w:rsidRPr="006E1AF7" w:rsidRDefault="001668ED" w:rsidP="00F011C0">
            <w:pPr>
              <w:autoSpaceDE w:val="0"/>
              <w:autoSpaceDN w:val="0"/>
              <w:adjustRightInd w:val="0"/>
              <w:jc w:val="right"/>
              <w:rPr>
                <w:rFonts w:ascii="Arial" w:eastAsiaTheme="minorHAnsi" w:hAnsi="Arial" w:cs="Arial"/>
                <w:color w:val="000000"/>
                <w:sz w:val="18"/>
              </w:rPr>
            </w:pPr>
            <w:r w:rsidRPr="006E1AF7">
              <w:rPr>
                <w:rFonts w:ascii="Arial" w:eastAsiaTheme="minorHAnsi" w:hAnsi="Arial" w:cs="Arial"/>
                <w:color w:val="000000"/>
                <w:sz w:val="18"/>
              </w:rPr>
              <w:t>-</w:t>
            </w:r>
          </w:p>
        </w:tc>
        <w:tc>
          <w:tcPr>
            <w:tcW w:w="1299" w:type="dxa"/>
            <w:shd w:val="clear" w:color="auto" w:fill="auto"/>
            <w:noWrap/>
            <w:vAlign w:val="bottom"/>
          </w:tcPr>
          <w:p w14:paraId="0DAC89A3" w14:textId="7751F890" w:rsidR="00F011C0" w:rsidRPr="006E1AF7" w:rsidRDefault="00F011C0" w:rsidP="00F011C0">
            <w:pPr>
              <w:autoSpaceDE w:val="0"/>
              <w:autoSpaceDN w:val="0"/>
              <w:adjustRightInd w:val="0"/>
              <w:jc w:val="right"/>
              <w:rPr>
                <w:rFonts w:ascii="Arial" w:eastAsiaTheme="minorHAnsi" w:hAnsi="Arial" w:cs="Arial"/>
                <w:color w:val="000000"/>
                <w:sz w:val="18"/>
              </w:rPr>
            </w:pPr>
            <w:r w:rsidRPr="006E1AF7">
              <w:rPr>
                <w:rFonts w:ascii="Arial" w:hAnsi="Arial" w:cs="Arial"/>
                <w:color w:val="000000"/>
                <w:sz w:val="18"/>
              </w:rPr>
              <w:t xml:space="preserve">152.886 </w:t>
            </w:r>
          </w:p>
        </w:tc>
      </w:tr>
      <w:tr w:rsidR="00F011C0" w:rsidRPr="00701F32" w14:paraId="18EE8020" w14:textId="77777777" w:rsidTr="002E1657">
        <w:trPr>
          <w:trHeight w:val="255"/>
          <w:jc w:val="center"/>
        </w:trPr>
        <w:tc>
          <w:tcPr>
            <w:tcW w:w="4978" w:type="dxa"/>
            <w:shd w:val="clear" w:color="auto" w:fill="auto"/>
            <w:noWrap/>
            <w:vAlign w:val="bottom"/>
            <w:hideMark/>
          </w:tcPr>
          <w:p w14:paraId="4CA0517B" w14:textId="77777777" w:rsidR="00F011C0" w:rsidRPr="006E1AF7" w:rsidRDefault="00F011C0" w:rsidP="00F011C0">
            <w:pPr>
              <w:rPr>
                <w:rFonts w:ascii="Arial" w:hAnsi="Arial" w:cs="Arial"/>
                <w:b/>
                <w:color w:val="000000"/>
                <w:sz w:val="18"/>
                <w:lang w:eastAsia="es-AR"/>
              </w:rPr>
            </w:pPr>
            <w:r w:rsidRPr="006E1AF7">
              <w:rPr>
                <w:rFonts w:ascii="Arial" w:hAnsi="Arial" w:cs="Arial"/>
                <w:b/>
                <w:color w:val="000000"/>
                <w:sz w:val="18"/>
                <w:lang w:eastAsia="es-AR"/>
              </w:rPr>
              <w:t>Total</w:t>
            </w:r>
          </w:p>
        </w:tc>
        <w:tc>
          <w:tcPr>
            <w:tcW w:w="1236" w:type="dxa"/>
            <w:shd w:val="clear" w:color="auto" w:fill="auto"/>
            <w:noWrap/>
            <w:vAlign w:val="bottom"/>
          </w:tcPr>
          <w:p w14:paraId="3D62B2E7" w14:textId="6820C35D" w:rsidR="00F011C0" w:rsidRPr="006E1AF7" w:rsidRDefault="00A23DA3" w:rsidP="00F011C0">
            <w:pPr>
              <w:jc w:val="right"/>
              <w:rPr>
                <w:rFonts w:ascii="Arial" w:hAnsi="Arial" w:cs="Arial"/>
                <w:b/>
                <w:color w:val="000000"/>
                <w:sz w:val="18"/>
                <w:lang w:eastAsia="es-AR"/>
              </w:rPr>
            </w:pPr>
            <w:r w:rsidRPr="006E1AF7">
              <w:rPr>
                <w:rFonts w:ascii="Arial" w:hAnsi="Arial" w:cs="Arial"/>
                <w:b/>
                <w:color w:val="000000"/>
                <w:sz w:val="18"/>
                <w:lang w:eastAsia="es-AR"/>
              </w:rPr>
              <w:t>133.300</w:t>
            </w:r>
          </w:p>
        </w:tc>
        <w:tc>
          <w:tcPr>
            <w:tcW w:w="1299" w:type="dxa"/>
            <w:shd w:val="clear" w:color="auto" w:fill="auto"/>
            <w:noWrap/>
            <w:vAlign w:val="bottom"/>
            <w:hideMark/>
          </w:tcPr>
          <w:p w14:paraId="0E760BE2" w14:textId="54F96BAA" w:rsidR="00F011C0" w:rsidRPr="006E1AF7" w:rsidRDefault="00F011C0" w:rsidP="00F011C0">
            <w:pPr>
              <w:autoSpaceDE w:val="0"/>
              <w:autoSpaceDN w:val="0"/>
              <w:adjustRightInd w:val="0"/>
              <w:jc w:val="right"/>
              <w:rPr>
                <w:rFonts w:ascii="Arial" w:eastAsiaTheme="minorHAnsi" w:hAnsi="Arial" w:cs="Arial"/>
                <w:b/>
                <w:color w:val="000000"/>
                <w:sz w:val="18"/>
              </w:rPr>
            </w:pPr>
            <w:r w:rsidRPr="006E1AF7">
              <w:rPr>
                <w:rFonts w:ascii="Arial" w:hAnsi="Arial" w:cs="Arial"/>
                <w:b/>
                <w:color w:val="000000"/>
                <w:sz w:val="18"/>
              </w:rPr>
              <w:t xml:space="preserve">613.686 </w:t>
            </w:r>
          </w:p>
        </w:tc>
      </w:tr>
    </w:tbl>
    <w:p w14:paraId="10B5F92F" w14:textId="77777777" w:rsidR="007D2DED" w:rsidRDefault="007D2DED" w:rsidP="007D2DED">
      <w:pPr>
        <w:rPr>
          <w:rFonts w:ascii="Arial" w:hAnsi="Arial" w:cs="Arial"/>
          <w:bCs/>
          <w:color w:val="000000"/>
          <w:sz w:val="20"/>
          <w:lang w:eastAsia="es-AR"/>
        </w:rPr>
      </w:pPr>
    </w:p>
    <w:p w14:paraId="1C69EEFB" w14:textId="5B857FD3" w:rsidR="002E1657" w:rsidRPr="00701F32" w:rsidRDefault="002E1657" w:rsidP="002E1657">
      <w:pPr>
        <w:tabs>
          <w:tab w:val="left" w:pos="142"/>
          <w:tab w:val="left" w:pos="851"/>
        </w:tabs>
        <w:spacing w:after="200" w:line="276" w:lineRule="auto"/>
        <w:contextualSpacing/>
        <w:jc w:val="both"/>
        <w:rPr>
          <w:rFonts w:ascii="Arial" w:hAnsi="Arial" w:cs="Arial"/>
          <w:sz w:val="20"/>
          <w:lang w:eastAsia="es-AR"/>
        </w:rPr>
      </w:pPr>
      <w:r>
        <w:rPr>
          <w:rFonts w:ascii="Arial" w:hAnsi="Arial" w:cs="Arial"/>
          <w:bCs/>
          <w:color w:val="000000"/>
          <w:sz w:val="20"/>
          <w:lang w:eastAsia="es-AR"/>
        </w:rPr>
        <w:t>6</w:t>
      </w:r>
      <w:r w:rsidRPr="00701F32">
        <w:rPr>
          <w:rFonts w:ascii="Arial" w:hAnsi="Arial" w:cs="Arial"/>
          <w:bCs/>
          <w:color w:val="000000"/>
          <w:sz w:val="20"/>
          <w:lang w:eastAsia="es-AR"/>
        </w:rPr>
        <w:t>.</w:t>
      </w:r>
      <w:r>
        <w:rPr>
          <w:rFonts w:ascii="Arial" w:hAnsi="Arial" w:cs="Arial"/>
          <w:bCs/>
          <w:color w:val="000000"/>
          <w:sz w:val="20"/>
          <w:lang w:eastAsia="es-AR"/>
        </w:rPr>
        <w:t>10</w:t>
      </w:r>
      <w:r w:rsidRPr="00701F32">
        <w:rPr>
          <w:rFonts w:ascii="Arial" w:hAnsi="Arial" w:cs="Arial"/>
          <w:sz w:val="20"/>
          <w:lang w:eastAsia="es-AR"/>
        </w:rPr>
        <w:t xml:space="preserve"> Operaciones de Pases Activos y Pasivos:</w:t>
      </w:r>
    </w:p>
    <w:p w14:paraId="2701D7BF" w14:textId="77777777" w:rsidR="002E1657" w:rsidRPr="00701F32" w:rsidRDefault="002E1657" w:rsidP="002E1657">
      <w:pPr>
        <w:tabs>
          <w:tab w:val="left" w:pos="142"/>
          <w:tab w:val="left" w:pos="2694"/>
        </w:tabs>
        <w:jc w:val="both"/>
        <w:rPr>
          <w:rFonts w:ascii="Arial" w:hAnsi="Arial" w:cs="Arial"/>
          <w:b/>
          <w:sz w:val="20"/>
        </w:rPr>
      </w:pPr>
    </w:p>
    <w:p w14:paraId="0CBE7595" w14:textId="77777777" w:rsidR="002E1657" w:rsidRPr="00701F32" w:rsidRDefault="002E1657" w:rsidP="002E1657">
      <w:pPr>
        <w:jc w:val="both"/>
        <w:rPr>
          <w:rFonts w:ascii="Arial" w:hAnsi="Arial" w:cs="Arial"/>
          <w:sz w:val="20"/>
          <w:szCs w:val="22"/>
        </w:rPr>
      </w:pPr>
      <w:r w:rsidRPr="00701F32">
        <w:rPr>
          <w:rFonts w:ascii="Arial" w:hAnsi="Arial" w:cs="Arial"/>
          <w:sz w:val="20"/>
          <w:szCs w:val="22"/>
        </w:rPr>
        <w:t>La Entidad mantiene operaciones de pase, por las cuales realiza operaciones de compra y venta al contado de un título valor con la correspondiente concertación de la operación a término del mismo, reteniendo de esta manera sustancialmente todos los riesgos y beneficios asociados a los instrumentos.</w:t>
      </w:r>
    </w:p>
    <w:p w14:paraId="01B19BA4" w14:textId="77777777" w:rsidR="002E1657" w:rsidRPr="00701F32" w:rsidRDefault="002E1657" w:rsidP="002E1657">
      <w:pPr>
        <w:jc w:val="both"/>
        <w:rPr>
          <w:rFonts w:ascii="Arial" w:hAnsi="Arial" w:cs="Arial"/>
          <w:sz w:val="20"/>
          <w:szCs w:val="22"/>
        </w:rPr>
      </w:pPr>
      <w:r w:rsidRPr="00701F32">
        <w:rPr>
          <w:rFonts w:ascii="Arial" w:hAnsi="Arial" w:cs="Arial"/>
          <w:sz w:val="20"/>
          <w:szCs w:val="22"/>
        </w:rPr>
        <w:t>Los precios de las operaciones a término son valuados de acuerdo a la cotización de los títulos valores a la fecha de cierre, correspondiendo la diferencia entre el precio de concertación y el de cierre a la prima devengada, a favor o en contra según corresponda.</w:t>
      </w:r>
    </w:p>
    <w:p w14:paraId="63E2F992" w14:textId="77777777" w:rsidR="00914C77" w:rsidRDefault="00914C77" w:rsidP="002E1657">
      <w:pPr>
        <w:jc w:val="both"/>
        <w:rPr>
          <w:rFonts w:ascii="Arial" w:eastAsiaTheme="minorHAnsi" w:hAnsi="Arial" w:cs="Arial"/>
          <w:sz w:val="20"/>
          <w:szCs w:val="22"/>
        </w:rPr>
      </w:pPr>
    </w:p>
    <w:p w14:paraId="15AC9322" w14:textId="28687828" w:rsidR="002E1657" w:rsidRPr="00701F32" w:rsidRDefault="00914C77" w:rsidP="002E1657">
      <w:pPr>
        <w:jc w:val="both"/>
        <w:rPr>
          <w:rFonts w:ascii="Arial" w:hAnsi="Arial" w:cs="Arial"/>
          <w:sz w:val="20"/>
          <w:szCs w:val="22"/>
        </w:rPr>
      </w:pPr>
      <w:r w:rsidRPr="00701F32">
        <w:rPr>
          <w:rFonts w:ascii="Arial" w:eastAsiaTheme="minorHAnsi" w:hAnsi="Arial" w:cs="Arial"/>
          <w:sz w:val="20"/>
          <w:szCs w:val="22"/>
        </w:rPr>
        <w:t xml:space="preserve">Los principales componentes del rubro </w:t>
      </w:r>
      <w:r>
        <w:rPr>
          <w:rFonts w:ascii="Arial" w:eastAsiaTheme="minorHAnsi" w:hAnsi="Arial" w:cs="Arial"/>
          <w:sz w:val="20"/>
          <w:szCs w:val="22"/>
        </w:rPr>
        <w:t>operaciones de pase</w:t>
      </w:r>
      <w:r w:rsidRPr="00701F32">
        <w:rPr>
          <w:rFonts w:ascii="Arial" w:eastAsiaTheme="minorHAnsi" w:hAnsi="Arial" w:cs="Arial"/>
          <w:sz w:val="20"/>
          <w:szCs w:val="22"/>
        </w:rPr>
        <w:t xml:space="preserve"> al 31 de diciembre </w:t>
      </w:r>
      <w:r>
        <w:rPr>
          <w:rFonts w:ascii="Arial" w:eastAsiaTheme="minorHAnsi" w:hAnsi="Arial" w:cs="Arial"/>
          <w:sz w:val="20"/>
          <w:szCs w:val="22"/>
        </w:rPr>
        <w:t xml:space="preserve">de 2019 y 2018 </w:t>
      </w:r>
      <w:r w:rsidRPr="00701F32">
        <w:rPr>
          <w:rFonts w:ascii="Arial" w:eastAsiaTheme="minorHAnsi" w:hAnsi="Arial" w:cs="Arial"/>
          <w:sz w:val="20"/>
          <w:szCs w:val="22"/>
        </w:rPr>
        <w:t>son los siguientes:</w:t>
      </w:r>
    </w:p>
    <w:p w14:paraId="32D6A922" w14:textId="77777777" w:rsidR="002E1657" w:rsidRPr="00FC0CEE" w:rsidRDefault="002E1657" w:rsidP="002E1657">
      <w:pPr>
        <w:jc w:val="both"/>
        <w:rPr>
          <w:rFonts w:ascii="Arial" w:hAnsi="Arial" w:cs="Arial"/>
          <w:sz w:val="22"/>
          <w:szCs w:val="22"/>
        </w:rPr>
      </w:pPr>
    </w:p>
    <w:p w14:paraId="70235A43" w14:textId="77777777" w:rsidR="002E1657" w:rsidRDefault="002E1657" w:rsidP="002E1657">
      <w:pPr>
        <w:jc w:val="both"/>
        <w:rPr>
          <w:rFonts w:ascii="Arial" w:hAnsi="Arial" w:cs="Arial"/>
          <w:b/>
          <w:sz w:val="20"/>
        </w:rPr>
      </w:pPr>
      <w:r w:rsidRPr="00FC0CEE">
        <w:rPr>
          <w:rFonts w:ascii="Arial" w:hAnsi="Arial" w:cs="Arial"/>
          <w:b/>
          <w:sz w:val="20"/>
        </w:rPr>
        <w:t>Operaciones de pases pasivos:</w:t>
      </w:r>
    </w:p>
    <w:p w14:paraId="174A9F2C" w14:textId="77777777" w:rsidR="002E1657" w:rsidRPr="00FC0CEE" w:rsidRDefault="002E1657" w:rsidP="002E1657">
      <w:pPr>
        <w:jc w:val="both"/>
        <w:rPr>
          <w:rFonts w:ascii="Arial" w:hAnsi="Arial" w:cs="Arial"/>
          <w:b/>
          <w:sz w:val="20"/>
        </w:rPr>
      </w:pPr>
    </w:p>
    <w:tbl>
      <w:tblPr>
        <w:tblW w:w="845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400"/>
        <w:gridCol w:w="1694"/>
        <w:gridCol w:w="1362"/>
      </w:tblGrid>
      <w:tr w:rsidR="00914C77" w:rsidRPr="00701F32" w14:paraId="5CCE5C9C" w14:textId="77777777" w:rsidTr="00914C77">
        <w:trPr>
          <w:trHeight w:val="246"/>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20E3284" w14:textId="77777777" w:rsidR="00914C77" w:rsidRPr="00914C77" w:rsidRDefault="00914C77" w:rsidP="008B109C">
            <w:pPr>
              <w:rPr>
                <w:rFonts w:ascii="Arial" w:hAnsi="Arial" w:cs="Arial"/>
                <w:b/>
                <w:sz w:val="18"/>
              </w:rPr>
            </w:pP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75B4B4F0" w14:textId="77777777" w:rsidR="00914C77" w:rsidRPr="00914C77" w:rsidRDefault="00914C77" w:rsidP="006E1AF7">
            <w:pPr>
              <w:jc w:val="center"/>
              <w:rPr>
                <w:rFonts w:ascii="Arial" w:hAnsi="Arial" w:cs="Arial"/>
                <w:b/>
                <w:sz w:val="18"/>
              </w:rPr>
            </w:pPr>
            <w:r w:rsidRPr="00914C77">
              <w:rPr>
                <w:rFonts w:ascii="Arial" w:hAnsi="Arial" w:cs="Arial"/>
                <w:b/>
                <w:sz w:val="18"/>
              </w:rPr>
              <w:t>31/12/2019</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308E43DE" w14:textId="77777777" w:rsidR="00914C77" w:rsidRPr="00914C77" w:rsidRDefault="00914C77" w:rsidP="006E1AF7">
            <w:pPr>
              <w:jc w:val="center"/>
              <w:rPr>
                <w:rFonts w:ascii="Arial" w:hAnsi="Arial" w:cs="Arial"/>
                <w:b/>
                <w:sz w:val="18"/>
              </w:rPr>
            </w:pPr>
            <w:r w:rsidRPr="00914C77">
              <w:rPr>
                <w:rFonts w:ascii="Arial" w:hAnsi="Arial" w:cs="Arial"/>
                <w:b/>
                <w:sz w:val="18"/>
              </w:rPr>
              <w:t>31/12/2018</w:t>
            </w:r>
          </w:p>
        </w:tc>
      </w:tr>
      <w:tr w:rsidR="00914C77" w:rsidRPr="00701F32" w14:paraId="03B3161E" w14:textId="77777777" w:rsidTr="006E1AF7">
        <w:trPr>
          <w:trHeight w:val="246"/>
        </w:trPr>
        <w:tc>
          <w:tcPr>
            <w:tcW w:w="5400" w:type="dxa"/>
            <w:tcBorders>
              <w:top w:val="single" w:sz="4" w:space="0" w:color="auto"/>
              <w:left w:val="single" w:sz="4" w:space="0" w:color="auto"/>
              <w:bottom w:val="single" w:sz="4" w:space="0" w:color="auto"/>
              <w:right w:val="single" w:sz="4" w:space="0" w:color="auto"/>
            </w:tcBorders>
            <w:shd w:val="clear" w:color="auto" w:fill="auto"/>
            <w:vAlign w:val="bottom"/>
          </w:tcPr>
          <w:p w14:paraId="73C3B904" w14:textId="059522FC" w:rsidR="00914C77" w:rsidRPr="00914C77" w:rsidRDefault="00914C77" w:rsidP="00914C77">
            <w:pPr>
              <w:rPr>
                <w:rFonts w:ascii="Arial" w:hAnsi="Arial" w:cs="Arial"/>
                <w:b/>
                <w:sz w:val="18"/>
              </w:rPr>
            </w:pPr>
            <w:r>
              <w:rPr>
                <w:rFonts w:ascii="Arial" w:hAnsi="Arial" w:cs="Arial"/>
                <w:color w:val="000000"/>
                <w:sz w:val="20"/>
              </w:rPr>
              <w:t>Acreedores  financieros  por  pases  pasivos  de  títulos públicos</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bottom"/>
          </w:tcPr>
          <w:p w14:paraId="369DC152" w14:textId="51AF4256" w:rsidR="00914C77" w:rsidRPr="00914C77" w:rsidRDefault="00914C77" w:rsidP="006E1AF7">
            <w:pPr>
              <w:jc w:val="right"/>
              <w:rPr>
                <w:rFonts w:ascii="Arial" w:hAnsi="Arial" w:cs="Arial"/>
                <w:b/>
                <w:sz w:val="18"/>
              </w:rPr>
            </w:pPr>
            <w:r>
              <w:rPr>
                <w:rFonts w:ascii="Arial" w:hAnsi="Arial" w:cs="Arial"/>
                <w:color w:val="000000"/>
                <w:sz w:val="18"/>
                <w:szCs w:val="18"/>
              </w:rPr>
              <w:t xml:space="preserve">238.800 </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5D0E2BCC" w14:textId="7058EA3E" w:rsidR="00914C77" w:rsidRPr="00914C77" w:rsidRDefault="00914C77" w:rsidP="006E1AF7">
            <w:pPr>
              <w:jc w:val="right"/>
              <w:rPr>
                <w:rFonts w:ascii="Arial" w:hAnsi="Arial" w:cs="Arial"/>
                <w:b/>
                <w:sz w:val="18"/>
              </w:rPr>
            </w:pPr>
            <w:r>
              <w:rPr>
                <w:rFonts w:ascii="Arial" w:hAnsi="Arial" w:cs="Arial"/>
                <w:b/>
                <w:sz w:val="18"/>
              </w:rPr>
              <w:t>-</w:t>
            </w:r>
          </w:p>
        </w:tc>
      </w:tr>
      <w:tr w:rsidR="00914C77" w:rsidRPr="00701F32" w14:paraId="2A655E11" w14:textId="77777777" w:rsidTr="006E1AF7">
        <w:trPr>
          <w:trHeight w:val="246"/>
        </w:trPr>
        <w:tc>
          <w:tcPr>
            <w:tcW w:w="5400" w:type="dxa"/>
            <w:tcBorders>
              <w:top w:val="single" w:sz="4" w:space="0" w:color="auto"/>
              <w:left w:val="single" w:sz="4" w:space="0" w:color="auto"/>
              <w:bottom w:val="single" w:sz="4" w:space="0" w:color="auto"/>
              <w:right w:val="single" w:sz="4" w:space="0" w:color="auto"/>
            </w:tcBorders>
            <w:shd w:val="clear" w:color="auto" w:fill="auto"/>
            <w:vAlign w:val="bottom"/>
          </w:tcPr>
          <w:p w14:paraId="08642AAF" w14:textId="0C8F927D" w:rsidR="00914C77" w:rsidRPr="00914C77" w:rsidRDefault="00914C77" w:rsidP="00914C77">
            <w:pPr>
              <w:rPr>
                <w:rFonts w:ascii="Arial" w:hAnsi="Arial" w:cs="Arial"/>
                <w:b/>
                <w:sz w:val="18"/>
              </w:rPr>
            </w:pPr>
            <w:r>
              <w:rPr>
                <w:rFonts w:ascii="Arial" w:hAnsi="Arial" w:cs="Arial"/>
                <w:color w:val="000000"/>
                <w:sz w:val="20"/>
              </w:rPr>
              <w:t>Intereses devengados a pagar por pases pasivos</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bottom"/>
          </w:tcPr>
          <w:p w14:paraId="05C62E61" w14:textId="6CAD48E3" w:rsidR="00914C77" w:rsidRPr="00914C77" w:rsidRDefault="00914C77" w:rsidP="006E1AF7">
            <w:pPr>
              <w:jc w:val="right"/>
              <w:rPr>
                <w:rFonts w:ascii="Arial" w:hAnsi="Arial" w:cs="Arial"/>
                <w:b/>
                <w:sz w:val="18"/>
              </w:rPr>
            </w:pPr>
            <w:r>
              <w:rPr>
                <w:rFonts w:ascii="Arial" w:hAnsi="Arial" w:cs="Arial"/>
                <w:color w:val="000000"/>
                <w:sz w:val="18"/>
                <w:szCs w:val="18"/>
              </w:rPr>
              <w:t xml:space="preserve">1.693 </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1EEDF890" w14:textId="60BF3C94" w:rsidR="00914C77" w:rsidRPr="00914C77" w:rsidRDefault="00914C77" w:rsidP="006E1AF7">
            <w:pPr>
              <w:jc w:val="right"/>
              <w:rPr>
                <w:rFonts w:ascii="Arial" w:hAnsi="Arial" w:cs="Arial"/>
                <w:b/>
                <w:sz w:val="18"/>
              </w:rPr>
            </w:pPr>
            <w:r>
              <w:rPr>
                <w:rFonts w:ascii="Arial" w:hAnsi="Arial" w:cs="Arial"/>
                <w:b/>
                <w:sz w:val="18"/>
              </w:rPr>
              <w:t>-</w:t>
            </w:r>
          </w:p>
        </w:tc>
      </w:tr>
      <w:tr w:rsidR="00914C77" w:rsidRPr="00701F32" w14:paraId="3C6E6F33" w14:textId="77777777" w:rsidTr="00914C77">
        <w:trPr>
          <w:trHeight w:val="246"/>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DD67D08" w14:textId="77777777" w:rsidR="00914C77" w:rsidRPr="00914C77" w:rsidRDefault="00914C77" w:rsidP="008B109C">
            <w:pPr>
              <w:rPr>
                <w:rFonts w:ascii="Arial" w:hAnsi="Arial" w:cs="Arial"/>
                <w:b/>
                <w:sz w:val="18"/>
              </w:rPr>
            </w:pPr>
            <w:r w:rsidRPr="00914C77">
              <w:rPr>
                <w:rFonts w:ascii="Arial" w:hAnsi="Arial" w:cs="Arial"/>
                <w:b/>
                <w:sz w:val="18"/>
              </w:rPr>
              <w:t>Total</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788760FD" w14:textId="25B4CBF0" w:rsidR="00914C77" w:rsidRPr="006E1AF7" w:rsidRDefault="00914C77" w:rsidP="006E1AF7">
            <w:pPr>
              <w:jc w:val="right"/>
              <w:rPr>
                <w:rFonts w:ascii="Arial" w:hAnsi="Arial" w:cs="Arial"/>
                <w:b/>
                <w:color w:val="000000"/>
                <w:sz w:val="18"/>
                <w:szCs w:val="18"/>
                <w:lang w:eastAsia="es-AR"/>
              </w:rPr>
            </w:pPr>
            <w:r w:rsidRPr="006E1AF7">
              <w:rPr>
                <w:rFonts w:ascii="Arial" w:hAnsi="Arial" w:cs="Arial"/>
                <w:b/>
                <w:color w:val="000000"/>
                <w:sz w:val="18"/>
                <w:szCs w:val="18"/>
              </w:rPr>
              <w:t xml:space="preserve">240.493 </w:t>
            </w:r>
          </w:p>
        </w:tc>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14:paraId="7CA0B5E1" w14:textId="4257C899" w:rsidR="00914C77" w:rsidRPr="00914C77" w:rsidRDefault="00914C77" w:rsidP="006E1AF7">
            <w:pPr>
              <w:jc w:val="right"/>
              <w:rPr>
                <w:rFonts w:ascii="Arial" w:hAnsi="Arial" w:cs="Arial"/>
                <w:b/>
                <w:sz w:val="18"/>
              </w:rPr>
            </w:pPr>
            <w:r>
              <w:rPr>
                <w:rFonts w:ascii="Arial" w:hAnsi="Arial" w:cs="Arial"/>
                <w:b/>
                <w:sz w:val="18"/>
              </w:rPr>
              <w:t>-</w:t>
            </w:r>
            <w:r w:rsidRPr="00914C77">
              <w:rPr>
                <w:rFonts w:ascii="Arial" w:hAnsi="Arial" w:cs="Arial"/>
                <w:b/>
                <w:sz w:val="18"/>
              </w:rPr>
              <w:t xml:space="preserve"> </w:t>
            </w:r>
          </w:p>
        </w:tc>
      </w:tr>
    </w:tbl>
    <w:p w14:paraId="58C7BF99" w14:textId="77777777" w:rsidR="00914C77" w:rsidRDefault="00914C77" w:rsidP="007D2DED">
      <w:pPr>
        <w:rPr>
          <w:rFonts w:ascii="Arial" w:hAnsi="Arial" w:cs="Arial"/>
          <w:bCs/>
          <w:color w:val="000000"/>
          <w:sz w:val="20"/>
          <w:lang w:eastAsia="es-AR"/>
        </w:rPr>
      </w:pPr>
    </w:p>
    <w:p w14:paraId="30254456" w14:textId="1045973D"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 xml:space="preserve">.11 </w:t>
      </w:r>
      <w:r w:rsidR="007D2DED" w:rsidRPr="00701F32">
        <w:rPr>
          <w:rFonts w:ascii="Arial" w:hAnsi="Arial" w:cs="Arial"/>
          <w:bCs/>
          <w:color w:val="000000"/>
          <w:sz w:val="20"/>
          <w:lang w:eastAsia="es-AR"/>
        </w:rPr>
        <w:t>Otros pasivos financieros</w:t>
      </w:r>
    </w:p>
    <w:p w14:paraId="20BB5CEE" w14:textId="77777777" w:rsidR="007D2DED" w:rsidRPr="00701F32" w:rsidRDefault="007D2DED" w:rsidP="007D2DED">
      <w:pPr>
        <w:rPr>
          <w:rFonts w:ascii="Arial" w:hAnsi="Arial" w:cs="Arial"/>
          <w:bCs/>
          <w:color w:val="000000"/>
          <w:sz w:val="18"/>
          <w:lang w:eastAsia="es-AR"/>
        </w:rPr>
      </w:pPr>
    </w:p>
    <w:p w14:paraId="4EE8C717" w14:textId="4C3856EB" w:rsidR="007D2DED" w:rsidRPr="00701F32" w:rsidRDefault="007D2DED" w:rsidP="007D2DED">
      <w:pPr>
        <w:spacing w:after="160" w:line="259" w:lineRule="auto"/>
        <w:rPr>
          <w:rFonts w:ascii="Arial" w:eastAsiaTheme="minorHAnsi" w:hAnsi="Arial" w:cs="Arial"/>
          <w:sz w:val="20"/>
          <w:szCs w:val="22"/>
        </w:rPr>
      </w:pPr>
      <w:r w:rsidRPr="00701F32">
        <w:rPr>
          <w:rFonts w:ascii="Arial" w:eastAsiaTheme="minorHAnsi" w:hAnsi="Arial" w:cs="Arial"/>
          <w:sz w:val="20"/>
          <w:szCs w:val="22"/>
        </w:rPr>
        <w:t xml:space="preserve">Los principales componentes del rubro otros pasivos financieros al 31 de diciembre </w:t>
      </w:r>
      <w:r>
        <w:rPr>
          <w:rFonts w:ascii="Arial" w:eastAsiaTheme="minorHAnsi" w:hAnsi="Arial" w:cs="Arial"/>
          <w:sz w:val="20"/>
          <w:szCs w:val="22"/>
        </w:rPr>
        <w:t>de 201</w:t>
      </w:r>
      <w:r w:rsidR="00F011C0">
        <w:rPr>
          <w:rFonts w:ascii="Arial" w:eastAsiaTheme="minorHAnsi" w:hAnsi="Arial" w:cs="Arial"/>
          <w:sz w:val="20"/>
          <w:szCs w:val="22"/>
        </w:rPr>
        <w:t>9</w:t>
      </w:r>
      <w:r>
        <w:rPr>
          <w:rFonts w:ascii="Arial" w:eastAsiaTheme="minorHAnsi" w:hAnsi="Arial" w:cs="Arial"/>
          <w:sz w:val="20"/>
          <w:szCs w:val="22"/>
        </w:rPr>
        <w:t xml:space="preserve"> y 201</w:t>
      </w:r>
      <w:r w:rsidR="00F011C0">
        <w:rPr>
          <w:rFonts w:ascii="Arial" w:eastAsiaTheme="minorHAnsi" w:hAnsi="Arial" w:cs="Arial"/>
          <w:sz w:val="20"/>
          <w:szCs w:val="22"/>
        </w:rPr>
        <w:t>8</w:t>
      </w:r>
      <w:r w:rsidRPr="00701F32">
        <w:rPr>
          <w:rFonts w:ascii="Arial" w:eastAsiaTheme="minorHAnsi" w:hAnsi="Arial" w:cs="Arial"/>
          <w:sz w:val="20"/>
          <w:szCs w:val="22"/>
        </w:rPr>
        <w:t xml:space="preserve"> son los siguientes:</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8"/>
        <w:gridCol w:w="1236"/>
        <w:gridCol w:w="1299"/>
      </w:tblGrid>
      <w:tr w:rsidR="00F011C0" w:rsidRPr="00701F32" w14:paraId="511D39D2" w14:textId="77777777" w:rsidTr="002E1657">
        <w:trPr>
          <w:trHeight w:val="241"/>
          <w:jc w:val="center"/>
        </w:trPr>
        <w:tc>
          <w:tcPr>
            <w:tcW w:w="4978" w:type="dxa"/>
            <w:shd w:val="clear" w:color="auto" w:fill="auto"/>
            <w:noWrap/>
            <w:vAlign w:val="bottom"/>
            <w:hideMark/>
          </w:tcPr>
          <w:p w14:paraId="532A92C6" w14:textId="77777777" w:rsidR="00F011C0" w:rsidRPr="00B57E77" w:rsidRDefault="00F011C0" w:rsidP="00DF0784">
            <w:pPr>
              <w:rPr>
                <w:rFonts w:ascii="Arial" w:hAnsi="Arial" w:cs="Arial"/>
                <w:b/>
                <w:bCs/>
                <w:color w:val="000000"/>
                <w:sz w:val="18"/>
                <w:u w:val="single"/>
                <w:lang w:eastAsia="es-AR"/>
              </w:rPr>
            </w:pPr>
          </w:p>
        </w:tc>
        <w:tc>
          <w:tcPr>
            <w:tcW w:w="1236" w:type="dxa"/>
            <w:shd w:val="clear" w:color="auto" w:fill="auto"/>
            <w:noWrap/>
            <w:vAlign w:val="bottom"/>
            <w:hideMark/>
          </w:tcPr>
          <w:p w14:paraId="234D9278" w14:textId="4CD783FE" w:rsidR="00F011C0" w:rsidRPr="00B57E77" w:rsidRDefault="00F011C0" w:rsidP="00DF0784">
            <w:pPr>
              <w:jc w:val="right"/>
              <w:rPr>
                <w:rFonts w:ascii="Arial" w:hAnsi="Arial" w:cs="Arial"/>
                <w:b/>
                <w:color w:val="000000"/>
                <w:sz w:val="18"/>
                <w:lang w:eastAsia="es-AR"/>
              </w:rPr>
            </w:pPr>
            <w:r w:rsidRPr="00B57E77">
              <w:rPr>
                <w:rFonts w:ascii="Arial" w:hAnsi="Arial" w:cs="Arial"/>
                <w:b/>
                <w:color w:val="000000"/>
                <w:sz w:val="18"/>
                <w:lang w:eastAsia="es-AR"/>
              </w:rPr>
              <w:t>31/12/2019</w:t>
            </w:r>
          </w:p>
        </w:tc>
        <w:tc>
          <w:tcPr>
            <w:tcW w:w="1299" w:type="dxa"/>
            <w:shd w:val="clear" w:color="auto" w:fill="auto"/>
            <w:noWrap/>
            <w:vAlign w:val="bottom"/>
            <w:hideMark/>
          </w:tcPr>
          <w:p w14:paraId="71F8C594" w14:textId="3CB13F3F" w:rsidR="00F011C0" w:rsidRPr="00B57E77" w:rsidRDefault="00F011C0" w:rsidP="00DF0784">
            <w:pPr>
              <w:jc w:val="right"/>
              <w:rPr>
                <w:rFonts w:ascii="Arial" w:hAnsi="Arial" w:cs="Arial"/>
                <w:b/>
                <w:color w:val="000000"/>
                <w:sz w:val="18"/>
                <w:lang w:eastAsia="es-AR"/>
              </w:rPr>
            </w:pPr>
            <w:r w:rsidRPr="00B57E77">
              <w:rPr>
                <w:rFonts w:ascii="Arial" w:hAnsi="Arial" w:cs="Arial"/>
                <w:b/>
                <w:color w:val="000000"/>
                <w:sz w:val="18"/>
                <w:lang w:eastAsia="es-AR"/>
              </w:rPr>
              <w:t>31/12/2018</w:t>
            </w:r>
          </w:p>
        </w:tc>
      </w:tr>
      <w:tr w:rsidR="00A23DA3" w:rsidRPr="00701F32" w14:paraId="25B4D251" w14:textId="77777777" w:rsidTr="002E1657">
        <w:trPr>
          <w:trHeight w:val="241"/>
          <w:jc w:val="center"/>
        </w:trPr>
        <w:tc>
          <w:tcPr>
            <w:tcW w:w="4978" w:type="dxa"/>
            <w:shd w:val="clear" w:color="auto" w:fill="auto"/>
            <w:noWrap/>
            <w:vAlign w:val="bottom"/>
            <w:hideMark/>
          </w:tcPr>
          <w:p w14:paraId="69401AC2" w14:textId="77777777" w:rsidR="00A23DA3" w:rsidRPr="00B57E77" w:rsidRDefault="00A23DA3" w:rsidP="00A23DA3">
            <w:pPr>
              <w:rPr>
                <w:rFonts w:ascii="Arial" w:hAnsi="Arial" w:cs="Arial"/>
                <w:color w:val="000000"/>
                <w:sz w:val="18"/>
                <w:lang w:eastAsia="es-AR"/>
              </w:rPr>
            </w:pPr>
            <w:r w:rsidRPr="00B57E77">
              <w:rPr>
                <w:rFonts w:ascii="Arial" w:hAnsi="Arial" w:cs="Arial"/>
                <w:color w:val="000000"/>
                <w:sz w:val="18"/>
                <w:lang w:eastAsia="es-AR"/>
              </w:rPr>
              <w:t>Acreedores por operaciones contado a liquidar</w:t>
            </w:r>
          </w:p>
        </w:tc>
        <w:tc>
          <w:tcPr>
            <w:tcW w:w="1236" w:type="dxa"/>
            <w:shd w:val="clear" w:color="auto" w:fill="auto"/>
            <w:noWrap/>
            <w:vAlign w:val="bottom"/>
          </w:tcPr>
          <w:p w14:paraId="5B4F6CC7" w14:textId="69D24ED8" w:rsidR="00A23DA3" w:rsidRPr="00300D6D" w:rsidRDefault="00A23DA3" w:rsidP="00A23DA3">
            <w:pPr>
              <w:autoSpaceDE w:val="0"/>
              <w:autoSpaceDN w:val="0"/>
              <w:adjustRightInd w:val="0"/>
              <w:jc w:val="right"/>
              <w:rPr>
                <w:rFonts w:ascii="Arial" w:eastAsiaTheme="minorHAnsi" w:hAnsi="Arial" w:cs="Arial"/>
                <w:color w:val="000000"/>
                <w:sz w:val="18"/>
                <w:szCs w:val="18"/>
              </w:rPr>
            </w:pPr>
            <w:r w:rsidRPr="00300D6D">
              <w:rPr>
                <w:rFonts w:ascii="Arial" w:hAnsi="Arial" w:cs="Arial"/>
                <w:color w:val="000000"/>
                <w:sz w:val="18"/>
                <w:szCs w:val="18"/>
              </w:rPr>
              <w:t xml:space="preserve">15.076 </w:t>
            </w:r>
          </w:p>
        </w:tc>
        <w:tc>
          <w:tcPr>
            <w:tcW w:w="1299" w:type="dxa"/>
            <w:shd w:val="clear" w:color="auto" w:fill="auto"/>
            <w:noWrap/>
            <w:vAlign w:val="bottom"/>
            <w:hideMark/>
          </w:tcPr>
          <w:p w14:paraId="110CE224" w14:textId="46AF9C29" w:rsidR="00A23DA3" w:rsidRPr="00B57E77" w:rsidRDefault="00A23DA3" w:rsidP="00A23DA3">
            <w:pPr>
              <w:autoSpaceDE w:val="0"/>
              <w:autoSpaceDN w:val="0"/>
              <w:adjustRightInd w:val="0"/>
              <w:jc w:val="right"/>
              <w:rPr>
                <w:rFonts w:ascii="Arial" w:eastAsiaTheme="minorHAnsi" w:hAnsi="Arial" w:cs="Arial"/>
                <w:color w:val="000000"/>
                <w:sz w:val="18"/>
              </w:rPr>
            </w:pPr>
            <w:r w:rsidRPr="00B57E77">
              <w:rPr>
                <w:rFonts w:ascii="Arial" w:hAnsi="Arial" w:cs="Arial"/>
                <w:color w:val="000000"/>
                <w:sz w:val="18"/>
              </w:rPr>
              <w:t xml:space="preserve">4.015 </w:t>
            </w:r>
          </w:p>
        </w:tc>
      </w:tr>
      <w:tr w:rsidR="00A23DA3" w:rsidRPr="00701F32" w14:paraId="49C16C16" w14:textId="77777777" w:rsidTr="002E1657">
        <w:trPr>
          <w:trHeight w:val="241"/>
          <w:jc w:val="center"/>
        </w:trPr>
        <w:tc>
          <w:tcPr>
            <w:tcW w:w="4978" w:type="dxa"/>
            <w:shd w:val="clear" w:color="auto" w:fill="auto"/>
            <w:noWrap/>
            <w:vAlign w:val="bottom"/>
            <w:hideMark/>
          </w:tcPr>
          <w:p w14:paraId="24F5440B" w14:textId="77777777" w:rsidR="00A23DA3" w:rsidRPr="00B57E77" w:rsidRDefault="00A23DA3" w:rsidP="00A23DA3">
            <w:pPr>
              <w:rPr>
                <w:rFonts w:ascii="Arial" w:hAnsi="Arial" w:cs="Arial"/>
                <w:color w:val="000000"/>
                <w:sz w:val="18"/>
                <w:lang w:eastAsia="es-AR"/>
              </w:rPr>
            </w:pPr>
            <w:r w:rsidRPr="00B57E77">
              <w:rPr>
                <w:rFonts w:ascii="Arial" w:hAnsi="Arial" w:cs="Arial"/>
                <w:color w:val="000000"/>
                <w:sz w:val="18"/>
                <w:lang w:eastAsia="es-AR"/>
              </w:rPr>
              <w:t>Cobranzas por cuenta de terceros</w:t>
            </w:r>
          </w:p>
        </w:tc>
        <w:tc>
          <w:tcPr>
            <w:tcW w:w="1236" w:type="dxa"/>
            <w:shd w:val="clear" w:color="auto" w:fill="auto"/>
            <w:noWrap/>
            <w:vAlign w:val="bottom"/>
          </w:tcPr>
          <w:p w14:paraId="704032EF" w14:textId="4427A217" w:rsidR="00A23DA3" w:rsidRPr="00300D6D" w:rsidRDefault="00A23DA3" w:rsidP="00A23DA3">
            <w:pPr>
              <w:autoSpaceDE w:val="0"/>
              <w:autoSpaceDN w:val="0"/>
              <w:adjustRightInd w:val="0"/>
              <w:jc w:val="right"/>
              <w:rPr>
                <w:rFonts w:ascii="Arial" w:eastAsiaTheme="minorHAnsi" w:hAnsi="Arial" w:cs="Arial"/>
                <w:color w:val="000000"/>
                <w:sz w:val="18"/>
                <w:szCs w:val="18"/>
              </w:rPr>
            </w:pPr>
            <w:r w:rsidRPr="00300D6D">
              <w:rPr>
                <w:rFonts w:ascii="Arial" w:hAnsi="Arial" w:cs="Arial"/>
                <w:color w:val="000000"/>
                <w:sz w:val="18"/>
                <w:szCs w:val="18"/>
              </w:rPr>
              <w:t xml:space="preserve">5.066.436 </w:t>
            </w:r>
          </w:p>
        </w:tc>
        <w:tc>
          <w:tcPr>
            <w:tcW w:w="1299" w:type="dxa"/>
            <w:shd w:val="clear" w:color="auto" w:fill="auto"/>
            <w:noWrap/>
            <w:vAlign w:val="bottom"/>
            <w:hideMark/>
          </w:tcPr>
          <w:p w14:paraId="69EEEBF7" w14:textId="4E54CE82" w:rsidR="00A23DA3" w:rsidRPr="00B57E77" w:rsidRDefault="00A23DA3" w:rsidP="00A23DA3">
            <w:pPr>
              <w:autoSpaceDE w:val="0"/>
              <w:autoSpaceDN w:val="0"/>
              <w:adjustRightInd w:val="0"/>
              <w:jc w:val="right"/>
              <w:rPr>
                <w:rFonts w:ascii="Arial" w:eastAsiaTheme="minorHAnsi" w:hAnsi="Arial" w:cs="Arial"/>
                <w:color w:val="000000"/>
                <w:sz w:val="18"/>
              </w:rPr>
            </w:pPr>
            <w:r w:rsidRPr="00B57E77">
              <w:rPr>
                <w:rFonts w:ascii="Arial" w:hAnsi="Arial" w:cs="Arial"/>
                <w:color w:val="000000"/>
                <w:sz w:val="18"/>
              </w:rPr>
              <w:t xml:space="preserve">2.819.465 </w:t>
            </w:r>
          </w:p>
        </w:tc>
      </w:tr>
      <w:tr w:rsidR="00A23DA3" w:rsidRPr="00701F32" w14:paraId="735CA8BE" w14:textId="77777777" w:rsidTr="002E1657">
        <w:trPr>
          <w:trHeight w:val="241"/>
          <w:jc w:val="center"/>
        </w:trPr>
        <w:tc>
          <w:tcPr>
            <w:tcW w:w="4978" w:type="dxa"/>
            <w:shd w:val="clear" w:color="auto" w:fill="auto"/>
            <w:noWrap/>
            <w:vAlign w:val="bottom"/>
            <w:hideMark/>
          </w:tcPr>
          <w:p w14:paraId="1C5C75C4" w14:textId="77777777" w:rsidR="00A23DA3" w:rsidRPr="00B57E77" w:rsidRDefault="00A23DA3" w:rsidP="00A23DA3">
            <w:pPr>
              <w:rPr>
                <w:rFonts w:ascii="Arial" w:hAnsi="Arial" w:cs="Arial"/>
                <w:color w:val="000000"/>
                <w:sz w:val="18"/>
                <w:lang w:eastAsia="es-AR"/>
              </w:rPr>
            </w:pPr>
            <w:r w:rsidRPr="00B57E77">
              <w:rPr>
                <w:rFonts w:ascii="Arial" w:hAnsi="Arial" w:cs="Arial"/>
                <w:color w:val="000000"/>
                <w:sz w:val="18"/>
                <w:lang w:eastAsia="es-AR"/>
              </w:rPr>
              <w:t>Comisiones devengadas a pagar</w:t>
            </w:r>
          </w:p>
        </w:tc>
        <w:tc>
          <w:tcPr>
            <w:tcW w:w="1236" w:type="dxa"/>
            <w:shd w:val="clear" w:color="auto" w:fill="auto"/>
            <w:noWrap/>
            <w:vAlign w:val="bottom"/>
          </w:tcPr>
          <w:p w14:paraId="221E97A7" w14:textId="3F821C3B" w:rsidR="00A23DA3" w:rsidRPr="00300D6D" w:rsidRDefault="00A23DA3" w:rsidP="00A23DA3">
            <w:pPr>
              <w:autoSpaceDE w:val="0"/>
              <w:autoSpaceDN w:val="0"/>
              <w:adjustRightInd w:val="0"/>
              <w:jc w:val="right"/>
              <w:rPr>
                <w:rFonts w:ascii="Arial" w:eastAsiaTheme="minorHAnsi" w:hAnsi="Arial" w:cs="Arial"/>
                <w:color w:val="000000"/>
                <w:sz w:val="18"/>
                <w:szCs w:val="18"/>
              </w:rPr>
            </w:pPr>
            <w:r w:rsidRPr="00300D6D">
              <w:rPr>
                <w:rFonts w:ascii="Arial" w:hAnsi="Arial" w:cs="Arial"/>
                <w:color w:val="000000"/>
                <w:sz w:val="18"/>
                <w:szCs w:val="18"/>
              </w:rPr>
              <w:t xml:space="preserve">269 </w:t>
            </w:r>
          </w:p>
        </w:tc>
        <w:tc>
          <w:tcPr>
            <w:tcW w:w="1299" w:type="dxa"/>
            <w:shd w:val="clear" w:color="auto" w:fill="auto"/>
            <w:noWrap/>
            <w:vAlign w:val="bottom"/>
            <w:hideMark/>
          </w:tcPr>
          <w:p w14:paraId="0AACA508" w14:textId="13E3BCA6" w:rsidR="00A23DA3" w:rsidRPr="00B57E77" w:rsidRDefault="00A23DA3" w:rsidP="00A23DA3">
            <w:pPr>
              <w:autoSpaceDE w:val="0"/>
              <w:autoSpaceDN w:val="0"/>
              <w:adjustRightInd w:val="0"/>
              <w:jc w:val="right"/>
              <w:rPr>
                <w:rFonts w:ascii="Arial" w:eastAsiaTheme="minorHAnsi" w:hAnsi="Arial" w:cs="Arial"/>
                <w:color w:val="000000"/>
                <w:sz w:val="18"/>
              </w:rPr>
            </w:pPr>
            <w:r w:rsidRPr="00B57E77">
              <w:rPr>
                <w:rFonts w:ascii="Arial" w:hAnsi="Arial" w:cs="Arial"/>
                <w:color w:val="000000"/>
                <w:sz w:val="18"/>
              </w:rPr>
              <w:t xml:space="preserve">36.348 </w:t>
            </w:r>
          </w:p>
        </w:tc>
      </w:tr>
      <w:tr w:rsidR="00A23DA3" w:rsidRPr="00701F32" w14:paraId="249FC7E2" w14:textId="77777777" w:rsidTr="002E1657">
        <w:trPr>
          <w:trHeight w:val="241"/>
          <w:jc w:val="center"/>
        </w:trPr>
        <w:tc>
          <w:tcPr>
            <w:tcW w:w="4978" w:type="dxa"/>
            <w:shd w:val="clear" w:color="auto" w:fill="auto"/>
            <w:noWrap/>
            <w:vAlign w:val="bottom"/>
            <w:hideMark/>
          </w:tcPr>
          <w:p w14:paraId="44C2784F" w14:textId="77777777" w:rsidR="00A23DA3" w:rsidRPr="00B57E77" w:rsidRDefault="00A23DA3" w:rsidP="00A23DA3">
            <w:pPr>
              <w:rPr>
                <w:rFonts w:ascii="Arial" w:hAnsi="Arial" w:cs="Arial"/>
                <w:color w:val="000000"/>
                <w:sz w:val="18"/>
                <w:lang w:eastAsia="es-AR"/>
              </w:rPr>
            </w:pPr>
            <w:r w:rsidRPr="00B57E77">
              <w:rPr>
                <w:rFonts w:ascii="Arial" w:hAnsi="Arial" w:cs="Arial"/>
                <w:color w:val="000000"/>
                <w:sz w:val="18"/>
                <w:lang w:eastAsia="es-AR"/>
              </w:rPr>
              <w:t>Contratos de garantía financiera</w:t>
            </w:r>
          </w:p>
        </w:tc>
        <w:tc>
          <w:tcPr>
            <w:tcW w:w="1236" w:type="dxa"/>
            <w:shd w:val="clear" w:color="auto" w:fill="auto"/>
            <w:noWrap/>
            <w:vAlign w:val="bottom"/>
          </w:tcPr>
          <w:p w14:paraId="738E4F21" w14:textId="7D81CF08" w:rsidR="00A23DA3" w:rsidRPr="00300D6D" w:rsidRDefault="00A23DA3" w:rsidP="00A23DA3">
            <w:pPr>
              <w:autoSpaceDE w:val="0"/>
              <w:autoSpaceDN w:val="0"/>
              <w:adjustRightInd w:val="0"/>
              <w:jc w:val="right"/>
              <w:rPr>
                <w:rFonts w:ascii="Arial" w:eastAsiaTheme="minorHAnsi" w:hAnsi="Arial" w:cs="Arial"/>
                <w:color w:val="000000"/>
                <w:sz w:val="18"/>
                <w:szCs w:val="18"/>
              </w:rPr>
            </w:pPr>
            <w:r w:rsidRPr="00300D6D">
              <w:rPr>
                <w:rFonts w:ascii="Arial" w:hAnsi="Arial" w:cs="Arial"/>
                <w:color w:val="000000"/>
                <w:sz w:val="18"/>
                <w:szCs w:val="18"/>
              </w:rPr>
              <w:t xml:space="preserve">15.268 </w:t>
            </w:r>
          </w:p>
        </w:tc>
        <w:tc>
          <w:tcPr>
            <w:tcW w:w="1299" w:type="dxa"/>
            <w:shd w:val="clear" w:color="auto" w:fill="auto"/>
            <w:noWrap/>
            <w:vAlign w:val="bottom"/>
            <w:hideMark/>
          </w:tcPr>
          <w:p w14:paraId="357E9C6D" w14:textId="109F5D6D" w:rsidR="00A23DA3" w:rsidRPr="00B57E77" w:rsidRDefault="00A23DA3" w:rsidP="00A23DA3">
            <w:pPr>
              <w:autoSpaceDE w:val="0"/>
              <w:autoSpaceDN w:val="0"/>
              <w:adjustRightInd w:val="0"/>
              <w:jc w:val="right"/>
              <w:rPr>
                <w:rFonts w:ascii="Arial" w:eastAsiaTheme="minorHAnsi" w:hAnsi="Arial" w:cs="Arial"/>
                <w:color w:val="000000"/>
                <w:sz w:val="18"/>
              </w:rPr>
            </w:pPr>
            <w:r w:rsidRPr="00B57E77">
              <w:rPr>
                <w:rFonts w:ascii="Arial" w:hAnsi="Arial" w:cs="Arial"/>
                <w:color w:val="000000"/>
                <w:sz w:val="18"/>
              </w:rPr>
              <w:t xml:space="preserve">36.572 </w:t>
            </w:r>
          </w:p>
        </w:tc>
      </w:tr>
      <w:tr w:rsidR="00A23DA3" w:rsidRPr="00701F32" w14:paraId="136BAC9A" w14:textId="77777777" w:rsidTr="002E1657">
        <w:trPr>
          <w:trHeight w:val="241"/>
          <w:jc w:val="center"/>
        </w:trPr>
        <w:tc>
          <w:tcPr>
            <w:tcW w:w="4978" w:type="dxa"/>
            <w:shd w:val="clear" w:color="auto" w:fill="auto"/>
            <w:noWrap/>
            <w:vAlign w:val="bottom"/>
          </w:tcPr>
          <w:p w14:paraId="5911F34A" w14:textId="4ECDBBC0" w:rsidR="00A23DA3" w:rsidRPr="00A23DA3" w:rsidRDefault="00A23DA3" w:rsidP="00A23DA3">
            <w:pPr>
              <w:rPr>
                <w:rFonts w:ascii="Arial" w:hAnsi="Arial" w:cs="Arial"/>
                <w:color w:val="000000"/>
                <w:sz w:val="20"/>
                <w:lang w:eastAsia="es-AR"/>
              </w:rPr>
            </w:pPr>
            <w:r>
              <w:rPr>
                <w:rFonts w:ascii="Arial" w:hAnsi="Arial" w:cs="Arial"/>
                <w:color w:val="000000"/>
                <w:sz w:val="20"/>
              </w:rPr>
              <w:t>Arrendamientos financieros a pagar</w:t>
            </w:r>
          </w:p>
        </w:tc>
        <w:tc>
          <w:tcPr>
            <w:tcW w:w="1236" w:type="dxa"/>
            <w:shd w:val="clear" w:color="auto" w:fill="auto"/>
            <w:noWrap/>
            <w:vAlign w:val="bottom"/>
          </w:tcPr>
          <w:p w14:paraId="20AF38C6" w14:textId="67EA1C5B" w:rsidR="00A23DA3" w:rsidRPr="00300D6D" w:rsidRDefault="00A23DA3" w:rsidP="00A23DA3">
            <w:pPr>
              <w:autoSpaceDE w:val="0"/>
              <w:autoSpaceDN w:val="0"/>
              <w:adjustRightInd w:val="0"/>
              <w:jc w:val="right"/>
              <w:rPr>
                <w:rFonts w:ascii="Arial" w:eastAsiaTheme="minorHAnsi" w:hAnsi="Arial" w:cs="Arial"/>
                <w:color w:val="000000"/>
                <w:sz w:val="18"/>
                <w:szCs w:val="18"/>
              </w:rPr>
            </w:pPr>
            <w:r w:rsidRPr="00300D6D">
              <w:rPr>
                <w:rFonts w:ascii="Arial" w:hAnsi="Arial" w:cs="Arial"/>
                <w:color w:val="000000"/>
                <w:sz w:val="18"/>
                <w:szCs w:val="18"/>
              </w:rPr>
              <w:t>9</w:t>
            </w:r>
            <w:r w:rsidR="001D3574">
              <w:rPr>
                <w:rFonts w:ascii="Arial" w:hAnsi="Arial" w:cs="Arial"/>
                <w:color w:val="000000"/>
                <w:sz w:val="18"/>
                <w:szCs w:val="18"/>
              </w:rPr>
              <w:t>46</w:t>
            </w:r>
            <w:r w:rsidRPr="00300D6D">
              <w:rPr>
                <w:rFonts w:ascii="Arial" w:hAnsi="Arial" w:cs="Arial"/>
                <w:color w:val="000000"/>
                <w:sz w:val="18"/>
                <w:szCs w:val="18"/>
              </w:rPr>
              <w:t>.</w:t>
            </w:r>
            <w:r w:rsidR="001D3574">
              <w:rPr>
                <w:rFonts w:ascii="Arial" w:hAnsi="Arial" w:cs="Arial"/>
                <w:color w:val="000000"/>
                <w:sz w:val="18"/>
                <w:szCs w:val="18"/>
              </w:rPr>
              <w:t>389</w:t>
            </w:r>
            <w:r w:rsidRPr="00300D6D">
              <w:rPr>
                <w:rFonts w:ascii="Arial" w:hAnsi="Arial" w:cs="Arial"/>
                <w:color w:val="000000"/>
                <w:sz w:val="18"/>
                <w:szCs w:val="18"/>
              </w:rPr>
              <w:t xml:space="preserve"> </w:t>
            </w:r>
          </w:p>
        </w:tc>
        <w:tc>
          <w:tcPr>
            <w:tcW w:w="1299" w:type="dxa"/>
            <w:shd w:val="clear" w:color="auto" w:fill="auto"/>
            <w:noWrap/>
            <w:vAlign w:val="bottom"/>
          </w:tcPr>
          <w:p w14:paraId="7D21C411" w14:textId="661A4035" w:rsidR="00A23DA3" w:rsidRPr="00B57E77" w:rsidRDefault="001668ED" w:rsidP="00A23DA3">
            <w:pPr>
              <w:autoSpaceDE w:val="0"/>
              <w:autoSpaceDN w:val="0"/>
              <w:adjustRightInd w:val="0"/>
              <w:jc w:val="right"/>
              <w:rPr>
                <w:rFonts w:ascii="Arial" w:hAnsi="Arial" w:cs="Arial"/>
                <w:color w:val="000000"/>
                <w:sz w:val="18"/>
              </w:rPr>
            </w:pPr>
            <w:r>
              <w:rPr>
                <w:rFonts w:ascii="Arial" w:hAnsi="Arial" w:cs="Arial"/>
                <w:color w:val="000000"/>
                <w:sz w:val="18"/>
              </w:rPr>
              <w:t>-</w:t>
            </w:r>
          </w:p>
        </w:tc>
      </w:tr>
      <w:tr w:rsidR="00A23DA3" w:rsidRPr="00701F32" w14:paraId="6BCD51BB" w14:textId="77777777" w:rsidTr="002E1657">
        <w:trPr>
          <w:trHeight w:val="241"/>
          <w:jc w:val="center"/>
        </w:trPr>
        <w:tc>
          <w:tcPr>
            <w:tcW w:w="4978" w:type="dxa"/>
            <w:shd w:val="clear" w:color="auto" w:fill="auto"/>
            <w:noWrap/>
            <w:vAlign w:val="bottom"/>
            <w:hideMark/>
          </w:tcPr>
          <w:p w14:paraId="20C3E99E" w14:textId="77777777" w:rsidR="00A23DA3" w:rsidRPr="00B57E77" w:rsidRDefault="00A23DA3" w:rsidP="00A23DA3">
            <w:pPr>
              <w:rPr>
                <w:rFonts w:ascii="Arial" w:hAnsi="Arial" w:cs="Arial"/>
                <w:color w:val="000000"/>
                <w:sz w:val="18"/>
                <w:lang w:eastAsia="es-AR"/>
              </w:rPr>
            </w:pPr>
            <w:r w:rsidRPr="00B57E77">
              <w:rPr>
                <w:rFonts w:ascii="Arial" w:hAnsi="Arial" w:cs="Arial"/>
                <w:color w:val="000000"/>
                <w:sz w:val="18"/>
                <w:lang w:eastAsia="es-AR"/>
              </w:rPr>
              <w:t>Pasivos asociados a la transferencia de activos financieros no dados de baja</w:t>
            </w:r>
          </w:p>
        </w:tc>
        <w:tc>
          <w:tcPr>
            <w:tcW w:w="1236" w:type="dxa"/>
            <w:shd w:val="clear" w:color="auto" w:fill="auto"/>
            <w:noWrap/>
            <w:vAlign w:val="bottom"/>
          </w:tcPr>
          <w:p w14:paraId="16E614F0" w14:textId="5E1F5F9B" w:rsidR="00A23DA3" w:rsidRPr="00300D6D" w:rsidRDefault="00A23DA3" w:rsidP="00A23DA3">
            <w:pPr>
              <w:autoSpaceDE w:val="0"/>
              <w:autoSpaceDN w:val="0"/>
              <w:adjustRightInd w:val="0"/>
              <w:jc w:val="right"/>
              <w:rPr>
                <w:rFonts w:ascii="Arial" w:eastAsiaTheme="minorHAnsi" w:hAnsi="Arial" w:cs="Arial"/>
                <w:color w:val="000000"/>
                <w:sz w:val="18"/>
                <w:szCs w:val="18"/>
              </w:rPr>
            </w:pPr>
            <w:r w:rsidRPr="00300D6D">
              <w:rPr>
                <w:rFonts w:ascii="Arial" w:hAnsi="Arial" w:cs="Arial"/>
                <w:color w:val="000000"/>
                <w:sz w:val="18"/>
                <w:szCs w:val="18"/>
              </w:rPr>
              <w:t xml:space="preserve">27.785 </w:t>
            </w:r>
          </w:p>
        </w:tc>
        <w:tc>
          <w:tcPr>
            <w:tcW w:w="1299" w:type="dxa"/>
            <w:shd w:val="clear" w:color="auto" w:fill="auto"/>
            <w:noWrap/>
            <w:vAlign w:val="bottom"/>
            <w:hideMark/>
          </w:tcPr>
          <w:p w14:paraId="13BDFA0E" w14:textId="5A706372" w:rsidR="00A23DA3" w:rsidRPr="00B57E77" w:rsidRDefault="00A23DA3" w:rsidP="00A23DA3">
            <w:pPr>
              <w:autoSpaceDE w:val="0"/>
              <w:autoSpaceDN w:val="0"/>
              <w:adjustRightInd w:val="0"/>
              <w:jc w:val="right"/>
              <w:rPr>
                <w:rFonts w:ascii="Arial" w:eastAsiaTheme="minorHAnsi" w:hAnsi="Arial" w:cs="Arial"/>
                <w:color w:val="000000"/>
                <w:sz w:val="18"/>
              </w:rPr>
            </w:pPr>
            <w:r w:rsidRPr="00B57E77">
              <w:rPr>
                <w:rFonts w:ascii="Arial" w:hAnsi="Arial" w:cs="Arial"/>
                <w:color w:val="000000"/>
                <w:sz w:val="18"/>
              </w:rPr>
              <w:t xml:space="preserve">224.992 </w:t>
            </w:r>
          </w:p>
        </w:tc>
      </w:tr>
      <w:tr w:rsidR="00A23DA3" w:rsidRPr="00701F32" w14:paraId="3F670B4F" w14:textId="77777777" w:rsidTr="002E1657">
        <w:trPr>
          <w:trHeight w:val="241"/>
          <w:jc w:val="center"/>
        </w:trPr>
        <w:tc>
          <w:tcPr>
            <w:tcW w:w="4978" w:type="dxa"/>
            <w:shd w:val="clear" w:color="auto" w:fill="auto"/>
            <w:noWrap/>
            <w:vAlign w:val="bottom"/>
          </w:tcPr>
          <w:p w14:paraId="3EC553D1" w14:textId="77777777" w:rsidR="00A23DA3" w:rsidRPr="00B57E77" w:rsidRDefault="00A23DA3" w:rsidP="00A23DA3">
            <w:pPr>
              <w:rPr>
                <w:rFonts w:ascii="Arial" w:hAnsi="Arial" w:cs="Arial"/>
                <w:color w:val="000000"/>
                <w:sz w:val="18"/>
                <w:lang w:eastAsia="es-AR"/>
              </w:rPr>
            </w:pPr>
            <w:r w:rsidRPr="00B57E77">
              <w:rPr>
                <w:rFonts w:ascii="Arial" w:hAnsi="Arial" w:cs="Arial"/>
                <w:color w:val="000000"/>
                <w:sz w:val="18"/>
                <w:lang w:eastAsia="es-AR"/>
              </w:rPr>
              <w:t>Préstamo BID</w:t>
            </w:r>
          </w:p>
        </w:tc>
        <w:tc>
          <w:tcPr>
            <w:tcW w:w="1236" w:type="dxa"/>
            <w:shd w:val="clear" w:color="auto" w:fill="auto"/>
            <w:noWrap/>
            <w:vAlign w:val="bottom"/>
          </w:tcPr>
          <w:p w14:paraId="332D4D85" w14:textId="74A3B784" w:rsidR="00A23DA3" w:rsidRPr="00300D6D" w:rsidRDefault="00A23DA3" w:rsidP="00A23DA3">
            <w:pPr>
              <w:autoSpaceDE w:val="0"/>
              <w:autoSpaceDN w:val="0"/>
              <w:adjustRightInd w:val="0"/>
              <w:jc w:val="right"/>
              <w:rPr>
                <w:rFonts w:ascii="Arial" w:eastAsiaTheme="minorHAnsi" w:hAnsi="Arial" w:cs="Arial"/>
                <w:color w:val="000000"/>
                <w:sz w:val="18"/>
                <w:szCs w:val="18"/>
              </w:rPr>
            </w:pPr>
            <w:r w:rsidRPr="00300D6D">
              <w:rPr>
                <w:rFonts w:ascii="Arial" w:hAnsi="Arial" w:cs="Arial"/>
                <w:color w:val="000000"/>
                <w:sz w:val="18"/>
                <w:szCs w:val="18"/>
              </w:rPr>
              <w:t xml:space="preserve">13.539 </w:t>
            </w:r>
          </w:p>
        </w:tc>
        <w:tc>
          <w:tcPr>
            <w:tcW w:w="1299" w:type="dxa"/>
            <w:shd w:val="clear" w:color="auto" w:fill="auto"/>
            <w:noWrap/>
            <w:vAlign w:val="bottom"/>
          </w:tcPr>
          <w:p w14:paraId="6C03C3ED" w14:textId="40BC26A7" w:rsidR="00A23DA3" w:rsidRPr="00B57E77" w:rsidRDefault="00A23DA3" w:rsidP="00A23DA3">
            <w:pPr>
              <w:autoSpaceDE w:val="0"/>
              <w:autoSpaceDN w:val="0"/>
              <w:adjustRightInd w:val="0"/>
              <w:jc w:val="right"/>
              <w:rPr>
                <w:rFonts w:ascii="Arial" w:eastAsiaTheme="minorHAnsi" w:hAnsi="Arial" w:cs="Arial"/>
                <w:color w:val="000000"/>
                <w:sz w:val="18"/>
              </w:rPr>
            </w:pPr>
            <w:r w:rsidRPr="00B57E77">
              <w:rPr>
                <w:rFonts w:ascii="Arial" w:hAnsi="Arial" w:cs="Arial"/>
                <w:color w:val="000000"/>
                <w:sz w:val="18"/>
              </w:rPr>
              <w:t xml:space="preserve">24.327 </w:t>
            </w:r>
          </w:p>
        </w:tc>
      </w:tr>
      <w:tr w:rsidR="00F011C0" w:rsidRPr="00701F32" w14:paraId="6ACB08A3" w14:textId="77777777" w:rsidTr="002E1657">
        <w:trPr>
          <w:trHeight w:val="255"/>
          <w:jc w:val="center"/>
        </w:trPr>
        <w:tc>
          <w:tcPr>
            <w:tcW w:w="4978" w:type="dxa"/>
            <w:shd w:val="clear" w:color="auto" w:fill="auto"/>
            <w:noWrap/>
            <w:vAlign w:val="bottom"/>
            <w:hideMark/>
          </w:tcPr>
          <w:p w14:paraId="6F29B8C0" w14:textId="77777777" w:rsidR="00F011C0" w:rsidRPr="00B57E77" w:rsidRDefault="00F011C0" w:rsidP="00F011C0">
            <w:pPr>
              <w:rPr>
                <w:rFonts w:ascii="Arial" w:hAnsi="Arial" w:cs="Arial"/>
                <w:b/>
                <w:color w:val="000000"/>
                <w:sz w:val="18"/>
                <w:lang w:eastAsia="es-AR"/>
              </w:rPr>
            </w:pPr>
            <w:r w:rsidRPr="00B57E77">
              <w:rPr>
                <w:rFonts w:ascii="Arial" w:hAnsi="Arial" w:cs="Arial"/>
                <w:b/>
                <w:color w:val="000000"/>
                <w:sz w:val="18"/>
                <w:lang w:eastAsia="es-AR"/>
              </w:rPr>
              <w:t>Total</w:t>
            </w:r>
          </w:p>
        </w:tc>
        <w:tc>
          <w:tcPr>
            <w:tcW w:w="1236" w:type="dxa"/>
            <w:shd w:val="clear" w:color="auto" w:fill="auto"/>
            <w:noWrap/>
            <w:vAlign w:val="bottom"/>
          </w:tcPr>
          <w:p w14:paraId="2EA1A2E6" w14:textId="388EF93B" w:rsidR="00F011C0" w:rsidRPr="00300D6D" w:rsidRDefault="00A23DA3" w:rsidP="00A23DA3">
            <w:pPr>
              <w:jc w:val="right"/>
              <w:rPr>
                <w:rFonts w:ascii="Arial" w:hAnsi="Arial" w:cs="Arial"/>
                <w:b/>
                <w:bCs/>
                <w:color w:val="000000"/>
                <w:sz w:val="18"/>
                <w:szCs w:val="18"/>
                <w:lang w:eastAsia="es-AR"/>
              </w:rPr>
            </w:pPr>
            <w:r w:rsidRPr="00300D6D">
              <w:rPr>
                <w:rFonts w:ascii="Arial" w:hAnsi="Arial" w:cs="Arial"/>
                <w:b/>
                <w:bCs/>
                <w:color w:val="000000"/>
                <w:sz w:val="18"/>
                <w:szCs w:val="18"/>
              </w:rPr>
              <w:t>6.0</w:t>
            </w:r>
            <w:r w:rsidR="001D3574">
              <w:rPr>
                <w:rFonts w:ascii="Arial" w:hAnsi="Arial" w:cs="Arial"/>
                <w:b/>
                <w:bCs/>
                <w:color w:val="000000"/>
                <w:sz w:val="18"/>
                <w:szCs w:val="18"/>
              </w:rPr>
              <w:t>84</w:t>
            </w:r>
            <w:r w:rsidRPr="00300D6D">
              <w:rPr>
                <w:rFonts w:ascii="Arial" w:hAnsi="Arial" w:cs="Arial"/>
                <w:b/>
                <w:bCs/>
                <w:color w:val="000000"/>
                <w:sz w:val="18"/>
                <w:szCs w:val="18"/>
              </w:rPr>
              <w:t>.</w:t>
            </w:r>
            <w:r w:rsidR="001D3574">
              <w:rPr>
                <w:rFonts w:ascii="Arial" w:hAnsi="Arial" w:cs="Arial"/>
                <w:b/>
                <w:bCs/>
                <w:color w:val="000000"/>
                <w:sz w:val="18"/>
                <w:szCs w:val="18"/>
              </w:rPr>
              <w:t>762</w:t>
            </w:r>
            <w:r w:rsidRPr="00300D6D">
              <w:rPr>
                <w:rFonts w:ascii="Arial" w:hAnsi="Arial" w:cs="Arial"/>
                <w:b/>
                <w:bCs/>
                <w:color w:val="000000"/>
                <w:sz w:val="18"/>
                <w:szCs w:val="18"/>
              </w:rPr>
              <w:t xml:space="preserve"> </w:t>
            </w:r>
          </w:p>
        </w:tc>
        <w:tc>
          <w:tcPr>
            <w:tcW w:w="1299" w:type="dxa"/>
            <w:shd w:val="clear" w:color="auto" w:fill="auto"/>
            <w:noWrap/>
            <w:vAlign w:val="bottom"/>
            <w:hideMark/>
          </w:tcPr>
          <w:p w14:paraId="09F322DB" w14:textId="2E01565B" w:rsidR="00F011C0" w:rsidRPr="00B57E77" w:rsidRDefault="00F011C0" w:rsidP="00F011C0">
            <w:pPr>
              <w:autoSpaceDE w:val="0"/>
              <w:autoSpaceDN w:val="0"/>
              <w:adjustRightInd w:val="0"/>
              <w:jc w:val="right"/>
              <w:rPr>
                <w:rFonts w:ascii="Arial" w:eastAsiaTheme="minorHAnsi" w:hAnsi="Arial" w:cs="Arial"/>
                <w:b/>
                <w:color w:val="000000"/>
                <w:sz w:val="18"/>
              </w:rPr>
            </w:pPr>
            <w:r w:rsidRPr="00B57E77">
              <w:rPr>
                <w:rFonts w:ascii="Arial" w:hAnsi="Arial" w:cs="Arial"/>
                <w:b/>
                <w:color w:val="000000"/>
                <w:sz w:val="18"/>
              </w:rPr>
              <w:t xml:space="preserve">3.145.719 </w:t>
            </w:r>
          </w:p>
        </w:tc>
      </w:tr>
    </w:tbl>
    <w:p w14:paraId="0A174576" w14:textId="77777777" w:rsidR="007D2DED" w:rsidRPr="00701F32" w:rsidRDefault="007D2DED" w:rsidP="007D2DED">
      <w:pPr>
        <w:spacing w:after="160" w:line="259" w:lineRule="auto"/>
        <w:rPr>
          <w:rFonts w:ascii="Arial" w:eastAsiaTheme="minorHAnsi" w:hAnsi="Arial" w:cs="Arial"/>
          <w:sz w:val="22"/>
          <w:szCs w:val="22"/>
        </w:rPr>
      </w:pPr>
    </w:p>
    <w:p w14:paraId="39D0773D" w14:textId="2E81F902"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sidRPr="00701F32">
        <w:rPr>
          <w:rFonts w:ascii="Arial" w:hAnsi="Arial" w:cs="Arial"/>
          <w:bCs/>
          <w:color w:val="000000"/>
          <w:sz w:val="20"/>
          <w:lang w:eastAsia="es-AR"/>
        </w:rPr>
        <w:t>.</w:t>
      </w:r>
      <w:r w:rsidR="007D2DED">
        <w:rPr>
          <w:rFonts w:ascii="Arial" w:hAnsi="Arial" w:cs="Arial"/>
          <w:bCs/>
          <w:color w:val="000000"/>
          <w:sz w:val="20"/>
          <w:lang w:eastAsia="es-AR"/>
        </w:rPr>
        <w:t>12</w:t>
      </w:r>
      <w:r w:rsidR="007D2DED" w:rsidRPr="00701F32">
        <w:rPr>
          <w:rFonts w:ascii="Arial" w:hAnsi="Arial" w:cs="Arial"/>
          <w:bCs/>
          <w:color w:val="000000"/>
          <w:sz w:val="20"/>
          <w:lang w:eastAsia="es-AR"/>
        </w:rPr>
        <w:t xml:space="preserve"> Financiaciones recibidas del BCRA y otras instituciones financieras</w:t>
      </w:r>
    </w:p>
    <w:p w14:paraId="0D7B41EB" w14:textId="77777777" w:rsidR="007D2DED" w:rsidRPr="00701F32" w:rsidRDefault="007D2DED" w:rsidP="007D2DED">
      <w:pPr>
        <w:rPr>
          <w:rFonts w:ascii="Arial" w:hAnsi="Arial" w:cs="Arial"/>
          <w:bCs/>
          <w:color w:val="000000"/>
          <w:sz w:val="20"/>
          <w:lang w:eastAsia="es-AR"/>
        </w:rPr>
      </w:pPr>
    </w:p>
    <w:p w14:paraId="4C9C9748" w14:textId="0B33B4FF" w:rsidR="007D2DED" w:rsidRPr="00701F32" w:rsidRDefault="007D2DED" w:rsidP="007D2DED">
      <w:pPr>
        <w:rPr>
          <w:rFonts w:ascii="Arial" w:eastAsiaTheme="minorHAnsi" w:hAnsi="Arial" w:cs="Arial"/>
          <w:sz w:val="20"/>
        </w:rPr>
      </w:pPr>
      <w:r w:rsidRPr="00701F32">
        <w:rPr>
          <w:rFonts w:ascii="Arial" w:eastAsiaTheme="minorHAnsi" w:hAnsi="Arial" w:cs="Arial"/>
          <w:sz w:val="20"/>
        </w:rPr>
        <w:t xml:space="preserve">Los principales componentes del rubro </w:t>
      </w:r>
      <w:r w:rsidRPr="00701F32">
        <w:rPr>
          <w:rFonts w:ascii="Arial" w:hAnsi="Arial" w:cs="Arial"/>
          <w:bCs/>
          <w:color w:val="000000"/>
          <w:sz w:val="20"/>
          <w:lang w:eastAsia="es-AR"/>
        </w:rPr>
        <w:t xml:space="preserve">Financiaciones recibidas del BCRA y otras instituciones financieras </w:t>
      </w:r>
      <w:r w:rsidRPr="00701F32">
        <w:rPr>
          <w:rFonts w:ascii="Arial" w:eastAsiaTheme="minorHAnsi" w:hAnsi="Arial" w:cs="Arial"/>
          <w:sz w:val="20"/>
        </w:rPr>
        <w:t xml:space="preserve">al 31 de diciembre </w:t>
      </w:r>
      <w:r>
        <w:rPr>
          <w:rFonts w:ascii="Arial" w:eastAsiaTheme="minorHAnsi" w:hAnsi="Arial" w:cs="Arial"/>
          <w:sz w:val="20"/>
        </w:rPr>
        <w:t>de 201</w:t>
      </w:r>
      <w:r w:rsidR="00F011C0">
        <w:rPr>
          <w:rFonts w:ascii="Arial" w:eastAsiaTheme="minorHAnsi" w:hAnsi="Arial" w:cs="Arial"/>
          <w:sz w:val="20"/>
        </w:rPr>
        <w:t>9</w:t>
      </w:r>
      <w:r>
        <w:rPr>
          <w:rFonts w:ascii="Arial" w:eastAsiaTheme="minorHAnsi" w:hAnsi="Arial" w:cs="Arial"/>
          <w:sz w:val="20"/>
        </w:rPr>
        <w:t xml:space="preserve"> y 201</w:t>
      </w:r>
      <w:r w:rsidR="00F011C0">
        <w:rPr>
          <w:rFonts w:ascii="Arial" w:eastAsiaTheme="minorHAnsi" w:hAnsi="Arial" w:cs="Arial"/>
          <w:sz w:val="20"/>
        </w:rPr>
        <w:t>8</w:t>
      </w:r>
      <w:r w:rsidRPr="00701F32">
        <w:rPr>
          <w:rFonts w:ascii="Arial" w:eastAsiaTheme="minorHAnsi" w:hAnsi="Arial" w:cs="Arial"/>
          <w:sz w:val="20"/>
        </w:rPr>
        <w:t xml:space="preserve"> son los siguientes:</w:t>
      </w:r>
    </w:p>
    <w:p w14:paraId="6AA0F49B" w14:textId="77777777" w:rsidR="007D2DED" w:rsidRPr="00701F32" w:rsidRDefault="007D2DED" w:rsidP="007D2DED">
      <w:pPr>
        <w:rPr>
          <w:rFonts w:ascii="Arial" w:eastAsiaTheme="minorHAnsi" w:hAnsi="Arial" w:cs="Arial"/>
          <w:sz w:val="22"/>
          <w:szCs w:val="22"/>
        </w:rPr>
      </w:pPr>
    </w:p>
    <w:tbl>
      <w:tblPr>
        <w:tblW w:w="7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81"/>
        <w:gridCol w:w="1364"/>
        <w:gridCol w:w="1319"/>
      </w:tblGrid>
      <w:tr w:rsidR="00F011C0" w:rsidRPr="00701F32" w14:paraId="4B50161F" w14:textId="77777777" w:rsidTr="002E1657">
        <w:trPr>
          <w:trHeight w:val="255"/>
          <w:tblHeader/>
          <w:jc w:val="center"/>
        </w:trPr>
        <w:tc>
          <w:tcPr>
            <w:tcW w:w="4881" w:type="dxa"/>
            <w:shd w:val="clear" w:color="auto" w:fill="auto"/>
            <w:noWrap/>
            <w:vAlign w:val="bottom"/>
            <w:hideMark/>
          </w:tcPr>
          <w:p w14:paraId="3BD4D3DF" w14:textId="77777777" w:rsidR="00F011C0" w:rsidRPr="00B57E77" w:rsidRDefault="00F011C0" w:rsidP="002E1657">
            <w:pPr>
              <w:jc w:val="center"/>
              <w:rPr>
                <w:rFonts w:ascii="Arial" w:hAnsi="Arial" w:cs="Arial"/>
                <w:b/>
                <w:bCs/>
                <w:color w:val="000000"/>
                <w:sz w:val="18"/>
                <w:u w:val="single"/>
                <w:lang w:eastAsia="es-AR"/>
              </w:rPr>
            </w:pPr>
          </w:p>
        </w:tc>
        <w:tc>
          <w:tcPr>
            <w:tcW w:w="1364" w:type="dxa"/>
            <w:shd w:val="clear" w:color="auto" w:fill="auto"/>
            <w:noWrap/>
            <w:vAlign w:val="bottom"/>
            <w:hideMark/>
          </w:tcPr>
          <w:p w14:paraId="6ED0EBA0" w14:textId="40BBB74E" w:rsidR="00F011C0" w:rsidRPr="00B57E77" w:rsidRDefault="00F011C0" w:rsidP="002E1657">
            <w:pPr>
              <w:jc w:val="center"/>
              <w:rPr>
                <w:rFonts w:ascii="Arial" w:hAnsi="Arial" w:cs="Arial"/>
                <w:b/>
                <w:color w:val="000000"/>
                <w:sz w:val="18"/>
                <w:lang w:eastAsia="es-AR"/>
              </w:rPr>
            </w:pPr>
            <w:r w:rsidRPr="00B57E77">
              <w:rPr>
                <w:rFonts w:ascii="Arial" w:hAnsi="Arial" w:cs="Arial"/>
                <w:b/>
                <w:color w:val="000000"/>
                <w:sz w:val="18"/>
                <w:lang w:eastAsia="es-AR"/>
              </w:rPr>
              <w:t>31/12/2019</w:t>
            </w:r>
          </w:p>
        </w:tc>
        <w:tc>
          <w:tcPr>
            <w:tcW w:w="1319" w:type="dxa"/>
            <w:shd w:val="clear" w:color="auto" w:fill="auto"/>
            <w:noWrap/>
            <w:vAlign w:val="bottom"/>
            <w:hideMark/>
          </w:tcPr>
          <w:p w14:paraId="5FEC3C41" w14:textId="0AE8D629" w:rsidR="00F011C0" w:rsidRPr="00B57E77" w:rsidRDefault="00F011C0" w:rsidP="002E1657">
            <w:pPr>
              <w:jc w:val="center"/>
              <w:rPr>
                <w:rFonts w:ascii="Arial" w:hAnsi="Arial" w:cs="Arial"/>
                <w:b/>
                <w:color w:val="000000"/>
                <w:sz w:val="18"/>
                <w:lang w:eastAsia="es-AR"/>
              </w:rPr>
            </w:pPr>
            <w:r w:rsidRPr="00B57E77">
              <w:rPr>
                <w:rFonts w:ascii="Arial" w:hAnsi="Arial" w:cs="Arial"/>
                <w:b/>
                <w:color w:val="000000"/>
                <w:sz w:val="18"/>
                <w:lang w:eastAsia="es-AR"/>
              </w:rPr>
              <w:t>31/12/2018</w:t>
            </w:r>
          </w:p>
        </w:tc>
      </w:tr>
      <w:tr w:rsidR="00A23DA3" w:rsidRPr="00701F32" w14:paraId="7D371749" w14:textId="77777777" w:rsidTr="002E1657">
        <w:trPr>
          <w:trHeight w:val="255"/>
          <w:jc w:val="center"/>
        </w:trPr>
        <w:tc>
          <w:tcPr>
            <w:tcW w:w="4881" w:type="dxa"/>
            <w:shd w:val="clear" w:color="auto" w:fill="auto"/>
            <w:noWrap/>
            <w:vAlign w:val="bottom"/>
            <w:hideMark/>
          </w:tcPr>
          <w:p w14:paraId="5A6D7575" w14:textId="77777777" w:rsidR="00A23DA3" w:rsidRPr="00B57E77" w:rsidRDefault="00A23DA3" w:rsidP="00A23DA3">
            <w:pPr>
              <w:jc w:val="both"/>
              <w:rPr>
                <w:rFonts w:ascii="Arial" w:hAnsi="Arial" w:cs="Arial"/>
                <w:color w:val="000000"/>
                <w:sz w:val="18"/>
                <w:lang w:eastAsia="es-AR"/>
              </w:rPr>
            </w:pPr>
            <w:r w:rsidRPr="00B57E77">
              <w:rPr>
                <w:rFonts w:ascii="Arial" w:hAnsi="Arial" w:cs="Arial"/>
                <w:color w:val="000000"/>
                <w:sz w:val="18"/>
                <w:lang w:eastAsia="es-AR"/>
              </w:rPr>
              <w:t>Financiaciones recibidas de entidades financieras locales</w:t>
            </w:r>
          </w:p>
        </w:tc>
        <w:tc>
          <w:tcPr>
            <w:tcW w:w="1364" w:type="dxa"/>
            <w:shd w:val="clear" w:color="auto" w:fill="auto"/>
            <w:noWrap/>
            <w:vAlign w:val="bottom"/>
          </w:tcPr>
          <w:p w14:paraId="343FED4F" w14:textId="18290BDF" w:rsidR="00A23DA3" w:rsidRPr="00A23DA3" w:rsidRDefault="00A23DA3" w:rsidP="00A23DA3">
            <w:pPr>
              <w:autoSpaceDE w:val="0"/>
              <w:autoSpaceDN w:val="0"/>
              <w:adjustRightInd w:val="0"/>
              <w:jc w:val="right"/>
              <w:rPr>
                <w:rFonts w:ascii="Arial" w:eastAsiaTheme="minorHAnsi" w:hAnsi="Arial" w:cs="Arial"/>
                <w:color w:val="000000"/>
                <w:sz w:val="18"/>
                <w:szCs w:val="18"/>
              </w:rPr>
            </w:pPr>
            <w:r w:rsidRPr="00A23DA3">
              <w:rPr>
                <w:rFonts w:ascii="Arial" w:hAnsi="Arial" w:cs="Arial"/>
                <w:color w:val="000000"/>
                <w:sz w:val="18"/>
                <w:szCs w:val="18"/>
              </w:rPr>
              <w:t xml:space="preserve">935.865 </w:t>
            </w:r>
          </w:p>
        </w:tc>
        <w:tc>
          <w:tcPr>
            <w:tcW w:w="1319" w:type="dxa"/>
            <w:shd w:val="clear" w:color="auto" w:fill="auto"/>
            <w:noWrap/>
            <w:vAlign w:val="bottom"/>
            <w:hideMark/>
          </w:tcPr>
          <w:p w14:paraId="137FC771" w14:textId="093DA1F4" w:rsidR="00A23DA3" w:rsidRPr="00B57E77" w:rsidRDefault="00A23DA3" w:rsidP="00A23DA3">
            <w:pPr>
              <w:autoSpaceDE w:val="0"/>
              <w:autoSpaceDN w:val="0"/>
              <w:adjustRightInd w:val="0"/>
              <w:jc w:val="right"/>
              <w:rPr>
                <w:rFonts w:ascii="Arial" w:eastAsiaTheme="minorHAnsi" w:hAnsi="Arial" w:cs="Arial"/>
                <w:color w:val="000000"/>
                <w:sz w:val="18"/>
              </w:rPr>
            </w:pPr>
            <w:r w:rsidRPr="00B57E77">
              <w:rPr>
                <w:rFonts w:ascii="Arial" w:hAnsi="Arial" w:cs="Arial"/>
                <w:color w:val="000000"/>
                <w:sz w:val="18"/>
              </w:rPr>
              <w:t xml:space="preserve">1.224.101 </w:t>
            </w:r>
          </w:p>
        </w:tc>
      </w:tr>
      <w:tr w:rsidR="00A23DA3" w:rsidRPr="00701F32" w14:paraId="0BE661E2" w14:textId="77777777" w:rsidTr="002E1657">
        <w:trPr>
          <w:trHeight w:val="255"/>
          <w:jc w:val="center"/>
        </w:trPr>
        <w:tc>
          <w:tcPr>
            <w:tcW w:w="4881" w:type="dxa"/>
            <w:shd w:val="clear" w:color="auto" w:fill="auto"/>
            <w:noWrap/>
            <w:vAlign w:val="bottom"/>
            <w:hideMark/>
          </w:tcPr>
          <w:p w14:paraId="4585359E" w14:textId="77777777" w:rsidR="00A23DA3" w:rsidRPr="00B57E77" w:rsidRDefault="00A23DA3" w:rsidP="00A23DA3">
            <w:pPr>
              <w:jc w:val="both"/>
              <w:rPr>
                <w:rFonts w:ascii="Arial" w:hAnsi="Arial" w:cs="Arial"/>
                <w:color w:val="000000"/>
                <w:sz w:val="18"/>
                <w:lang w:eastAsia="es-AR"/>
              </w:rPr>
            </w:pPr>
            <w:r w:rsidRPr="00B57E77">
              <w:rPr>
                <w:rFonts w:ascii="Arial" w:hAnsi="Arial" w:cs="Arial"/>
                <w:color w:val="000000"/>
                <w:sz w:val="18"/>
                <w:lang w:eastAsia="es-AR"/>
              </w:rPr>
              <w:t>Otras financiaciones de organismos internacionales</w:t>
            </w:r>
          </w:p>
        </w:tc>
        <w:tc>
          <w:tcPr>
            <w:tcW w:w="1364" w:type="dxa"/>
            <w:shd w:val="clear" w:color="auto" w:fill="auto"/>
            <w:noWrap/>
            <w:vAlign w:val="bottom"/>
          </w:tcPr>
          <w:p w14:paraId="2266D008" w14:textId="79B93084" w:rsidR="00A23DA3" w:rsidRPr="00A23DA3" w:rsidRDefault="00A23DA3" w:rsidP="00A23DA3">
            <w:pPr>
              <w:autoSpaceDE w:val="0"/>
              <w:autoSpaceDN w:val="0"/>
              <w:adjustRightInd w:val="0"/>
              <w:jc w:val="right"/>
              <w:rPr>
                <w:rFonts w:ascii="Arial" w:eastAsiaTheme="minorHAnsi" w:hAnsi="Arial" w:cs="Arial"/>
                <w:color w:val="000000"/>
                <w:sz w:val="18"/>
                <w:szCs w:val="18"/>
              </w:rPr>
            </w:pPr>
            <w:r w:rsidRPr="00A23DA3">
              <w:rPr>
                <w:rFonts w:ascii="Arial" w:hAnsi="Arial" w:cs="Arial"/>
                <w:color w:val="000000"/>
                <w:sz w:val="18"/>
                <w:szCs w:val="18"/>
              </w:rPr>
              <w:t xml:space="preserve">8.075.472 </w:t>
            </w:r>
          </w:p>
        </w:tc>
        <w:tc>
          <w:tcPr>
            <w:tcW w:w="1319" w:type="dxa"/>
            <w:shd w:val="clear" w:color="auto" w:fill="auto"/>
            <w:noWrap/>
            <w:vAlign w:val="bottom"/>
            <w:hideMark/>
          </w:tcPr>
          <w:p w14:paraId="5D479061" w14:textId="2CB6E8EB" w:rsidR="00A23DA3" w:rsidRPr="00B57E77" w:rsidRDefault="00A23DA3" w:rsidP="00A23DA3">
            <w:pPr>
              <w:autoSpaceDE w:val="0"/>
              <w:autoSpaceDN w:val="0"/>
              <w:adjustRightInd w:val="0"/>
              <w:jc w:val="right"/>
              <w:rPr>
                <w:rFonts w:ascii="Arial" w:eastAsiaTheme="minorHAnsi" w:hAnsi="Arial" w:cs="Arial"/>
                <w:color w:val="000000"/>
                <w:sz w:val="18"/>
              </w:rPr>
            </w:pPr>
            <w:r w:rsidRPr="00B57E77">
              <w:rPr>
                <w:rFonts w:ascii="Arial" w:hAnsi="Arial" w:cs="Arial"/>
                <w:color w:val="000000"/>
                <w:sz w:val="18"/>
              </w:rPr>
              <w:t xml:space="preserve">6.785.958 </w:t>
            </w:r>
          </w:p>
        </w:tc>
      </w:tr>
      <w:tr w:rsidR="00F011C0" w:rsidRPr="00701F32" w14:paraId="2F9485C3" w14:textId="77777777" w:rsidTr="002E1657">
        <w:trPr>
          <w:trHeight w:val="270"/>
          <w:jc w:val="center"/>
        </w:trPr>
        <w:tc>
          <w:tcPr>
            <w:tcW w:w="4881" w:type="dxa"/>
            <w:shd w:val="clear" w:color="auto" w:fill="auto"/>
            <w:noWrap/>
            <w:vAlign w:val="bottom"/>
            <w:hideMark/>
          </w:tcPr>
          <w:p w14:paraId="2045D1E0" w14:textId="77777777" w:rsidR="00F011C0" w:rsidRPr="00B57E77" w:rsidRDefault="00F011C0" w:rsidP="00F011C0">
            <w:pPr>
              <w:jc w:val="both"/>
              <w:rPr>
                <w:rFonts w:ascii="Arial" w:hAnsi="Arial" w:cs="Arial"/>
                <w:b/>
                <w:color w:val="000000"/>
                <w:sz w:val="18"/>
                <w:lang w:eastAsia="es-AR"/>
              </w:rPr>
            </w:pPr>
            <w:r w:rsidRPr="00B57E77">
              <w:rPr>
                <w:rFonts w:ascii="Arial" w:hAnsi="Arial" w:cs="Arial"/>
                <w:b/>
                <w:color w:val="000000"/>
                <w:sz w:val="18"/>
                <w:lang w:eastAsia="es-AR"/>
              </w:rPr>
              <w:t>Total</w:t>
            </w:r>
          </w:p>
        </w:tc>
        <w:tc>
          <w:tcPr>
            <w:tcW w:w="1364" w:type="dxa"/>
            <w:shd w:val="clear" w:color="auto" w:fill="auto"/>
            <w:noWrap/>
            <w:vAlign w:val="bottom"/>
          </w:tcPr>
          <w:p w14:paraId="31914FC0" w14:textId="2C3444FF" w:rsidR="00F011C0" w:rsidRPr="00A23DA3" w:rsidRDefault="00A23DA3" w:rsidP="00A23DA3">
            <w:pPr>
              <w:jc w:val="right"/>
              <w:rPr>
                <w:rFonts w:ascii="Arial" w:hAnsi="Arial" w:cs="Arial"/>
                <w:b/>
                <w:bCs/>
                <w:color w:val="000000"/>
                <w:sz w:val="18"/>
                <w:szCs w:val="18"/>
                <w:lang w:eastAsia="es-AR"/>
              </w:rPr>
            </w:pPr>
            <w:r w:rsidRPr="00A23DA3">
              <w:rPr>
                <w:rFonts w:ascii="Arial" w:hAnsi="Arial" w:cs="Arial"/>
                <w:b/>
                <w:bCs/>
                <w:color w:val="000000"/>
                <w:sz w:val="18"/>
                <w:szCs w:val="18"/>
              </w:rPr>
              <w:t xml:space="preserve">9.011.337 </w:t>
            </w:r>
          </w:p>
        </w:tc>
        <w:tc>
          <w:tcPr>
            <w:tcW w:w="1319" w:type="dxa"/>
            <w:shd w:val="clear" w:color="auto" w:fill="auto"/>
            <w:noWrap/>
            <w:vAlign w:val="bottom"/>
            <w:hideMark/>
          </w:tcPr>
          <w:p w14:paraId="2EAD3644" w14:textId="55E7B87C" w:rsidR="00F011C0" w:rsidRPr="00B57E77" w:rsidRDefault="00F011C0" w:rsidP="00F011C0">
            <w:pPr>
              <w:autoSpaceDE w:val="0"/>
              <w:autoSpaceDN w:val="0"/>
              <w:adjustRightInd w:val="0"/>
              <w:jc w:val="right"/>
              <w:rPr>
                <w:rFonts w:ascii="Arial" w:eastAsiaTheme="minorHAnsi" w:hAnsi="Arial" w:cs="Arial"/>
                <w:b/>
                <w:color w:val="000000"/>
                <w:sz w:val="18"/>
              </w:rPr>
            </w:pPr>
            <w:r w:rsidRPr="00B57E77">
              <w:rPr>
                <w:rFonts w:ascii="Arial" w:hAnsi="Arial" w:cs="Arial"/>
                <w:b/>
                <w:color w:val="000000"/>
                <w:sz w:val="18"/>
              </w:rPr>
              <w:t xml:space="preserve">8.010.059 </w:t>
            </w:r>
          </w:p>
        </w:tc>
      </w:tr>
    </w:tbl>
    <w:p w14:paraId="6FDC63E7" w14:textId="77777777" w:rsidR="007D2DED" w:rsidRPr="00701F32" w:rsidRDefault="007D2DED" w:rsidP="007D2DED">
      <w:pPr>
        <w:spacing w:after="160" w:line="259" w:lineRule="auto"/>
        <w:jc w:val="both"/>
        <w:rPr>
          <w:rFonts w:ascii="Arial" w:eastAsia="Calibri" w:hAnsi="Arial" w:cs="Arial"/>
          <w:b/>
          <w:sz w:val="20"/>
        </w:rPr>
      </w:pPr>
    </w:p>
    <w:p w14:paraId="74F17B7E" w14:textId="06C4A1EB" w:rsidR="007D2DED"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.13 Provisiones</w:t>
      </w:r>
    </w:p>
    <w:p w14:paraId="6F1B843C" w14:textId="77777777" w:rsidR="007D2DED" w:rsidRDefault="007D2DED" w:rsidP="007D2DED">
      <w:pPr>
        <w:rPr>
          <w:rFonts w:ascii="Arial" w:hAnsi="Arial" w:cs="Arial"/>
          <w:bCs/>
          <w:color w:val="000000"/>
          <w:sz w:val="20"/>
          <w:lang w:eastAsia="es-AR"/>
        </w:rPr>
      </w:pPr>
    </w:p>
    <w:p w14:paraId="0DACEE8E" w14:textId="74F1BDC9" w:rsidR="007D2DED" w:rsidRDefault="007D2DED" w:rsidP="007D2DED">
      <w:pPr>
        <w:rPr>
          <w:rFonts w:ascii="Arial" w:eastAsiaTheme="minorHAnsi" w:hAnsi="Arial" w:cs="Arial"/>
          <w:sz w:val="20"/>
        </w:rPr>
      </w:pPr>
      <w:r w:rsidRPr="00701F32">
        <w:rPr>
          <w:rFonts w:ascii="Arial" w:eastAsiaTheme="minorHAnsi" w:hAnsi="Arial" w:cs="Arial"/>
          <w:sz w:val="20"/>
        </w:rPr>
        <w:t xml:space="preserve">Los principales componentes del rubro </w:t>
      </w:r>
      <w:r>
        <w:rPr>
          <w:rFonts w:ascii="Arial" w:hAnsi="Arial" w:cs="Arial"/>
          <w:bCs/>
          <w:color w:val="000000"/>
          <w:sz w:val="20"/>
          <w:lang w:eastAsia="es-AR"/>
        </w:rPr>
        <w:t>provisiones</w:t>
      </w:r>
      <w:r w:rsidRPr="00701F32">
        <w:rPr>
          <w:rFonts w:ascii="Arial" w:hAnsi="Arial" w:cs="Arial"/>
          <w:bCs/>
          <w:color w:val="000000"/>
          <w:sz w:val="20"/>
          <w:lang w:eastAsia="es-AR"/>
        </w:rPr>
        <w:t xml:space="preserve"> </w:t>
      </w:r>
      <w:r w:rsidRPr="00701F32">
        <w:rPr>
          <w:rFonts w:ascii="Arial" w:eastAsiaTheme="minorHAnsi" w:hAnsi="Arial" w:cs="Arial"/>
          <w:sz w:val="20"/>
        </w:rPr>
        <w:t xml:space="preserve">al 31 de diciembre </w:t>
      </w:r>
      <w:r>
        <w:rPr>
          <w:rFonts w:ascii="Arial" w:eastAsiaTheme="minorHAnsi" w:hAnsi="Arial" w:cs="Arial"/>
          <w:sz w:val="20"/>
        </w:rPr>
        <w:t>de 201</w:t>
      </w:r>
      <w:r w:rsidR="00F011C0">
        <w:rPr>
          <w:rFonts w:ascii="Arial" w:eastAsiaTheme="minorHAnsi" w:hAnsi="Arial" w:cs="Arial"/>
          <w:sz w:val="20"/>
        </w:rPr>
        <w:t>9</w:t>
      </w:r>
      <w:r>
        <w:rPr>
          <w:rFonts w:ascii="Arial" w:eastAsiaTheme="minorHAnsi" w:hAnsi="Arial" w:cs="Arial"/>
          <w:sz w:val="20"/>
        </w:rPr>
        <w:t xml:space="preserve"> y 201</w:t>
      </w:r>
      <w:r w:rsidR="00F011C0">
        <w:rPr>
          <w:rFonts w:ascii="Arial" w:eastAsiaTheme="minorHAnsi" w:hAnsi="Arial" w:cs="Arial"/>
          <w:sz w:val="20"/>
        </w:rPr>
        <w:t>8</w:t>
      </w:r>
      <w:r>
        <w:rPr>
          <w:rFonts w:ascii="Arial" w:eastAsiaTheme="minorHAnsi" w:hAnsi="Arial" w:cs="Arial"/>
          <w:sz w:val="20"/>
        </w:rPr>
        <w:t xml:space="preserve"> </w:t>
      </w:r>
      <w:r w:rsidRPr="00701F32">
        <w:rPr>
          <w:rFonts w:ascii="Arial" w:eastAsiaTheme="minorHAnsi" w:hAnsi="Arial" w:cs="Arial"/>
          <w:sz w:val="20"/>
        </w:rPr>
        <w:t>son los siguientes:</w:t>
      </w:r>
    </w:p>
    <w:p w14:paraId="3E4881B2" w14:textId="77777777" w:rsidR="007D2DED" w:rsidRDefault="007D2DED" w:rsidP="007D2DED">
      <w:pPr>
        <w:rPr>
          <w:rFonts w:ascii="Arial" w:eastAsiaTheme="minorHAnsi" w:hAnsi="Arial" w:cs="Arial"/>
          <w:sz w:val="20"/>
        </w:rPr>
      </w:pPr>
    </w:p>
    <w:tbl>
      <w:tblPr>
        <w:tblW w:w="7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96"/>
        <w:gridCol w:w="1376"/>
        <w:gridCol w:w="1376"/>
      </w:tblGrid>
      <w:tr w:rsidR="00F011C0" w:rsidRPr="00701F32" w14:paraId="5948D016" w14:textId="77777777" w:rsidTr="002E1657">
        <w:trPr>
          <w:trHeight w:val="255"/>
          <w:jc w:val="center"/>
        </w:trPr>
        <w:tc>
          <w:tcPr>
            <w:tcW w:w="4696" w:type="dxa"/>
            <w:shd w:val="clear" w:color="auto" w:fill="auto"/>
            <w:noWrap/>
            <w:vAlign w:val="bottom"/>
            <w:hideMark/>
          </w:tcPr>
          <w:p w14:paraId="7EA467C5" w14:textId="77777777" w:rsidR="00F011C0" w:rsidRPr="00B57E77" w:rsidRDefault="00F011C0" w:rsidP="002E1657">
            <w:pPr>
              <w:jc w:val="center"/>
              <w:rPr>
                <w:rFonts w:ascii="Arial" w:hAnsi="Arial" w:cs="Arial"/>
                <w:b/>
                <w:bCs/>
                <w:color w:val="000000"/>
                <w:sz w:val="18"/>
                <w:u w:val="single"/>
                <w:lang w:eastAsia="es-AR"/>
              </w:rPr>
            </w:pPr>
          </w:p>
        </w:tc>
        <w:tc>
          <w:tcPr>
            <w:tcW w:w="1376" w:type="dxa"/>
            <w:shd w:val="clear" w:color="auto" w:fill="auto"/>
            <w:noWrap/>
            <w:vAlign w:val="bottom"/>
            <w:hideMark/>
          </w:tcPr>
          <w:p w14:paraId="042DF62B" w14:textId="5A7EC074" w:rsidR="00F011C0" w:rsidRPr="00B57E77" w:rsidRDefault="00F011C0" w:rsidP="002E1657">
            <w:pPr>
              <w:jc w:val="center"/>
              <w:rPr>
                <w:rFonts w:ascii="Arial" w:hAnsi="Arial" w:cs="Arial"/>
                <w:b/>
                <w:color w:val="000000"/>
                <w:sz w:val="18"/>
                <w:lang w:eastAsia="es-AR"/>
              </w:rPr>
            </w:pPr>
            <w:r w:rsidRPr="00B57E77">
              <w:rPr>
                <w:rFonts w:ascii="Arial" w:hAnsi="Arial" w:cs="Arial"/>
                <w:b/>
                <w:color w:val="000000"/>
                <w:sz w:val="18"/>
                <w:lang w:eastAsia="es-AR"/>
              </w:rPr>
              <w:t>31/12/2019</w:t>
            </w:r>
          </w:p>
        </w:tc>
        <w:tc>
          <w:tcPr>
            <w:tcW w:w="1376" w:type="dxa"/>
            <w:shd w:val="clear" w:color="auto" w:fill="auto"/>
            <w:noWrap/>
            <w:vAlign w:val="bottom"/>
            <w:hideMark/>
          </w:tcPr>
          <w:p w14:paraId="72497E00" w14:textId="53377DBA" w:rsidR="00F011C0" w:rsidRPr="00B57E77" w:rsidRDefault="00F011C0" w:rsidP="002E1657">
            <w:pPr>
              <w:jc w:val="center"/>
              <w:rPr>
                <w:rFonts w:ascii="Arial" w:hAnsi="Arial" w:cs="Arial"/>
                <w:b/>
                <w:color w:val="000000"/>
                <w:sz w:val="18"/>
                <w:lang w:eastAsia="es-AR"/>
              </w:rPr>
            </w:pPr>
            <w:r w:rsidRPr="00B57E77">
              <w:rPr>
                <w:rFonts w:ascii="Arial" w:hAnsi="Arial" w:cs="Arial"/>
                <w:b/>
                <w:color w:val="000000"/>
                <w:sz w:val="18"/>
                <w:lang w:eastAsia="es-AR"/>
              </w:rPr>
              <w:t>31/12/2018</w:t>
            </w:r>
          </w:p>
        </w:tc>
      </w:tr>
      <w:tr w:rsidR="00A23DA3" w:rsidRPr="00701F32" w14:paraId="178F3C80" w14:textId="77777777" w:rsidTr="002E1657">
        <w:trPr>
          <w:trHeight w:val="255"/>
          <w:jc w:val="center"/>
        </w:trPr>
        <w:tc>
          <w:tcPr>
            <w:tcW w:w="4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3C50A" w14:textId="77777777" w:rsidR="00A23DA3" w:rsidRPr="00B57E77" w:rsidRDefault="00A23DA3" w:rsidP="00A23DA3">
            <w:pPr>
              <w:rPr>
                <w:rFonts w:ascii="Arial" w:hAnsi="Arial" w:cs="Arial"/>
                <w:color w:val="000000"/>
                <w:sz w:val="18"/>
                <w:lang w:eastAsia="es-AR"/>
              </w:rPr>
            </w:pPr>
            <w:r w:rsidRPr="00B57E77">
              <w:rPr>
                <w:rFonts w:ascii="Arial" w:hAnsi="Arial" w:cs="Arial"/>
                <w:color w:val="000000"/>
                <w:sz w:val="18"/>
              </w:rPr>
              <w:t>Otras contingencias</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8B03CC" w14:textId="0F025B75" w:rsidR="00A23DA3" w:rsidRPr="00A23DA3" w:rsidRDefault="00A23DA3" w:rsidP="00A23DA3">
            <w:pPr>
              <w:jc w:val="right"/>
              <w:rPr>
                <w:rFonts w:ascii="Arial" w:hAnsi="Arial" w:cs="Arial"/>
                <w:color w:val="000000"/>
                <w:sz w:val="18"/>
                <w:szCs w:val="18"/>
                <w:lang w:val="es-ES_tradnl" w:eastAsia="es-AR"/>
              </w:rPr>
            </w:pPr>
            <w:r w:rsidRPr="00A23DA3">
              <w:rPr>
                <w:rFonts w:ascii="Arial" w:hAnsi="Arial" w:cs="Arial"/>
                <w:color w:val="000000"/>
                <w:sz w:val="18"/>
                <w:szCs w:val="18"/>
              </w:rPr>
              <w:t xml:space="preserve">53.531 </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D89EA" w14:textId="253D09BD" w:rsidR="00A23DA3" w:rsidRPr="00B57E77" w:rsidRDefault="00A23DA3" w:rsidP="00A23DA3">
            <w:pPr>
              <w:jc w:val="right"/>
              <w:rPr>
                <w:rFonts w:ascii="Arial" w:hAnsi="Arial" w:cs="Arial"/>
                <w:color w:val="000000"/>
                <w:sz w:val="18"/>
                <w:lang w:val="es-ES_tradnl" w:eastAsia="es-AR"/>
              </w:rPr>
            </w:pPr>
            <w:r w:rsidRPr="00B57E77">
              <w:rPr>
                <w:rFonts w:ascii="Arial" w:hAnsi="Arial" w:cs="Arial"/>
                <w:color w:val="000000"/>
                <w:sz w:val="18"/>
              </w:rPr>
              <w:t xml:space="preserve">43.063 </w:t>
            </w:r>
          </w:p>
        </w:tc>
      </w:tr>
      <w:tr w:rsidR="000818C7" w:rsidRPr="00701F32" w14:paraId="5D4D79B5" w14:textId="77777777" w:rsidTr="002E1657">
        <w:trPr>
          <w:trHeight w:val="255"/>
          <w:jc w:val="center"/>
        </w:trPr>
        <w:tc>
          <w:tcPr>
            <w:tcW w:w="4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06BAD3" w14:textId="729EA608" w:rsidR="000818C7" w:rsidRPr="00B57E77" w:rsidRDefault="000818C7" w:rsidP="00A23DA3">
            <w:pPr>
              <w:rPr>
                <w:rFonts w:ascii="Arial" w:hAnsi="Arial" w:cs="Arial"/>
                <w:color w:val="000000"/>
                <w:sz w:val="18"/>
              </w:rPr>
            </w:pPr>
            <w:r w:rsidRPr="000818C7">
              <w:rPr>
                <w:rFonts w:ascii="Arial" w:hAnsi="Arial" w:cs="Arial"/>
                <w:color w:val="000000"/>
                <w:sz w:val="18"/>
              </w:rPr>
              <w:t>Pr</w:t>
            </w:r>
            <w:r w:rsidR="00BF4914">
              <w:rPr>
                <w:rFonts w:ascii="Arial" w:hAnsi="Arial" w:cs="Arial"/>
                <w:color w:val="000000"/>
                <w:sz w:val="18"/>
              </w:rPr>
              <w:t>o</w:t>
            </w:r>
            <w:r w:rsidRPr="000818C7">
              <w:rPr>
                <w:rFonts w:ascii="Arial" w:hAnsi="Arial" w:cs="Arial"/>
                <w:color w:val="000000"/>
                <w:sz w:val="18"/>
              </w:rPr>
              <w:t xml:space="preserve">visión por </w:t>
            </w:r>
            <w:r w:rsidR="0086473A">
              <w:rPr>
                <w:rFonts w:ascii="Arial" w:hAnsi="Arial" w:cs="Arial"/>
                <w:color w:val="000000"/>
                <w:sz w:val="18"/>
              </w:rPr>
              <w:t xml:space="preserve">gastos </w:t>
            </w:r>
            <w:r w:rsidR="001C3DEB">
              <w:rPr>
                <w:rFonts w:ascii="Arial" w:hAnsi="Arial" w:cs="Arial"/>
                <w:color w:val="000000"/>
                <w:sz w:val="18"/>
              </w:rPr>
              <w:t>de reorganización</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3A0672" w14:textId="12C03332" w:rsidR="000818C7" w:rsidRPr="00A23DA3" w:rsidRDefault="000818C7" w:rsidP="00A23DA3">
            <w:pPr>
              <w:jc w:val="right"/>
              <w:rPr>
                <w:rFonts w:ascii="Arial" w:hAnsi="Arial" w:cs="Arial"/>
                <w:color w:val="000000"/>
                <w:sz w:val="18"/>
                <w:szCs w:val="18"/>
              </w:rPr>
            </w:pPr>
            <w:r>
              <w:rPr>
                <w:rFonts w:ascii="Arial" w:hAnsi="Arial" w:cs="Arial"/>
                <w:color w:val="000000"/>
                <w:sz w:val="18"/>
                <w:szCs w:val="18"/>
              </w:rPr>
              <w:t>500.000</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161C6E" w14:textId="181E2D0A" w:rsidR="000818C7" w:rsidRPr="00B57E77" w:rsidRDefault="001668ED" w:rsidP="00A23DA3">
            <w:pPr>
              <w:jc w:val="right"/>
              <w:rPr>
                <w:rFonts w:ascii="Arial" w:hAnsi="Arial" w:cs="Arial"/>
                <w:color w:val="000000"/>
                <w:sz w:val="18"/>
              </w:rPr>
            </w:pPr>
            <w:r>
              <w:rPr>
                <w:rFonts w:ascii="Arial" w:hAnsi="Arial" w:cs="Arial"/>
                <w:color w:val="000000"/>
                <w:sz w:val="18"/>
              </w:rPr>
              <w:t>-</w:t>
            </w:r>
          </w:p>
        </w:tc>
      </w:tr>
      <w:tr w:rsidR="00A23DA3" w:rsidRPr="00701F32" w14:paraId="7DC53CB4" w14:textId="77777777" w:rsidTr="002E1657">
        <w:trPr>
          <w:trHeight w:val="255"/>
          <w:jc w:val="center"/>
        </w:trPr>
        <w:tc>
          <w:tcPr>
            <w:tcW w:w="4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0C55A" w14:textId="77777777" w:rsidR="00A23DA3" w:rsidRPr="00B57E77" w:rsidRDefault="00A23DA3" w:rsidP="00A23DA3">
            <w:pPr>
              <w:rPr>
                <w:rFonts w:ascii="Arial" w:hAnsi="Arial" w:cs="Arial"/>
                <w:color w:val="000000"/>
                <w:sz w:val="18"/>
                <w:lang w:eastAsia="es-AR"/>
              </w:rPr>
            </w:pPr>
            <w:r w:rsidRPr="00B57E77">
              <w:rPr>
                <w:rFonts w:ascii="Arial" w:hAnsi="Arial" w:cs="Arial"/>
                <w:color w:val="000000"/>
                <w:sz w:val="18"/>
              </w:rPr>
              <w:t>Previsión por compromisos eventuales</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6FF925" w14:textId="687B5159" w:rsidR="00A23DA3" w:rsidRPr="00A23DA3" w:rsidRDefault="00A23DA3" w:rsidP="00A23DA3">
            <w:pPr>
              <w:jc w:val="right"/>
              <w:rPr>
                <w:rFonts w:ascii="Arial" w:hAnsi="Arial" w:cs="Arial"/>
                <w:color w:val="000000"/>
                <w:sz w:val="18"/>
                <w:szCs w:val="18"/>
                <w:lang w:val="es-ES_tradnl" w:eastAsia="es-AR"/>
              </w:rPr>
            </w:pPr>
            <w:r w:rsidRPr="00A23DA3">
              <w:rPr>
                <w:rFonts w:ascii="Arial" w:hAnsi="Arial" w:cs="Arial"/>
                <w:color w:val="000000"/>
                <w:sz w:val="18"/>
                <w:szCs w:val="18"/>
              </w:rPr>
              <w:t xml:space="preserve">367 </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5C633" w14:textId="175C6220" w:rsidR="00A23DA3" w:rsidRPr="00B57E77" w:rsidRDefault="00A23DA3" w:rsidP="00A23DA3">
            <w:pPr>
              <w:jc w:val="right"/>
              <w:rPr>
                <w:rFonts w:ascii="Arial" w:hAnsi="Arial" w:cs="Arial"/>
                <w:color w:val="000000"/>
                <w:sz w:val="18"/>
                <w:lang w:val="es-ES_tradnl" w:eastAsia="es-AR"/>
              </w:rPr>
            </w:pPr>
            <w:r w:rsidRPr="00B57E77">
              <w:rPr>
                <w:rFonts w:ascii="Arial" w:hAnsi="Arial" w:cs="Arial"/>
                <w:color w:val="000000"/>
                <w:sz w:val="18"/>
              </w:rPr>
              <w:t xml:space="preserve">1.196 </w:t>
            </w:r>
          </w:p>
        </w:tc>
      </w:tr>
      <w:tr w:rsidR="00F011C0" w:rsidRPr="00701F32" w14:paraId="3FCE45EC" w14:textId="77777777" w:rsidTr="002E1657">
        <w:trPr>
          <w:trHeight w:val="270"/>
          <w:jc w:val="center"/>
        </w:trPr>
        <w:tc>
          <w:tcPr>
            <w:tcW w:w="4696" w:type="dxa"/>
            <w:shd w:val="clear" w:color="auto" w:fill="auto"/>
            <w:noWrap/>
            <w:vAlign w:val="bottom"/>
            <w:hideMark/>
          </w:tcPr>
          <w:p w14:paraId="12B6C8AB" w14:textId="77777777" w:rsidR="00F011C0" w:rsidRPr="00B57E77" w:rsidRDefault="00F011C0" w:rsidP="00F011C0">
            <w:pPr>
              <w:rPr>
                <w:rFonts w:ascii="Arial" w:hAnsi="Arial" w:cs="Arial"/>
                <w:b/>
                <w:color w:val="000000"/>
                <w:sz w:val="18"/>
                <w:lang w:eastAsia="es-AR"/>
              </w:rPr>
            </w:pPr>
            <w:r w:rsidRPr="00B57E77">
              <w:rPr>
                <w:rFonts w:ascii="Arial" w:hAnsi="Arial" w:cs="Arial"/>
                <w:b/>
                <w:color w:val="000000"/>
                <w:sz w:val="18"/>
                <w:lang w:eastAsia="es-AR"/>
              </w:rPr>
              <w:t>Total</w:t>
            </w:r>
          </w:p>
        </w:tc>
        <w:tc>
          <w:tcPr>
            <w:tcW w:w="1376" w:type="dxa"/>
            <w:shd w:val="clear" w:color="auto" w:fill="auto"/>
            <w:noWrap/>
            <w:vAlign w:val="bottom"/>
          </w:tcPr>
          <w:p w14:paraId="093D0498" w14:textId="7278BD0F" w:rsidR="00F011C0" w:rsidRPr="00A23DA3" w:rsidRDefault="000818C7" w:rsidP="00A23DA3">
            <w:pPr>
              <w:jc w:val="right"/>
              <w:rPr>
                <w:rFonts w:ascii="Arial" w:hAnsi="Arial" w:cs="Arial"/>
                <w:b/>
                <w:bCs/>
                <w:color w:val="000000"/>
                <w:sz w:val="18"/>
                <w:szCs w:val="18"/>
                <w:lang w:eastAsia="es-AR"/>
              </w:rPr>
            </w:pPr>
            <w:r>
              <w:rPr>
                <w:rFonts w:ascii="Arial" w:hAnsi="Arial" w:cs="Arial"/>
                <w:b/>
                <w:bCs/>
                <w:color w:val="000000"/>
                <w:sz w:val="18"/>
                <w:szCs w:val="18"/>
              </w:rPr>
              <w:t>5</w:t>
            </w:r>
            <w:r w:rsidR="00A23DA3" w:rsidRPr="00A23DA3">
              <w:rPr>
                <w:rFonts w:ascii="Arial" w:hAnsi="Arial" w:cs="Arial"/>
                <w:b/>
                <w:bCs/>
                <w:color w:val="000000"/>
                <w:sz w:val="18"/>
                <w:szCs w:val="18"/>
              </w:rPr>
              <w:t xml:space="preserve">53.898 </w:t>
            </w:r>
          </w:p>
        </w:tc>
        <w:tc>
          <w:tcPr>
            <w:tcW w:w="1376" w:type="dxa"/>
            <w:shd w:val="clear" w:color="auto" w:fill="auto"/>
            <w:noWrap/>
            <w:vAlign w:val="bottom"/>
          </w:tcPr>
          <w:p w14:paraId="04E5DEBD" w14:textId="3567B241" w:rsidR="00F011C0" w:rsidRPr="00B57E77" w:rsidRDefault="00F011C0" w:rsidP="00F011C0">
            <w:pPr>
              <w:autoSpaceDE w:val="0"/>
              <w:autoSpaceDN w:val="0"/>
              <w:adjustRightInd w:val="0"/>
              <w:jc w:val="right"/>
              <w:rPr>
                <w:rFonts w:ascii="Arial" w:eastAsiaTheme="minorHAnsi" w:hAnsi="Arial" w:cs="Arial"/>
                <w:b/>
                <w:color w:val="000000"/>
                <w:sz w:val="18"/>
              </w:rPr>
            </w:pPr>
            <w:r w:rsidRPr="00B57E77">
              <w:rPr>
                <w:rFonts w:ascii="Arial" w:hAnsi="Arial" w:cs="Arial"/>
                <w:b/>
                <w:color w:val="000000"/>
                <w:sz w:val="18"/>
              </w:rPr>
              <w:t xml:space="preserve">44.259 </w:t>
            </w:r>
          </w:p>
        </w:tc>
      </w:tr>
    </w:tbl>
    <w:p w14:paraId="675D39E3" w14:textId="77777777" w:rsidR="007D2DED" w:rsidRDefault="007D2DED" w:rsidP="007D2DED">
      <w:pPr>
        <w:rPr>
          <w:rFonts w:ascii="Arial" w:hAnsi="Arial" w:cs="Arial"/>
          <w:bCs/>
          <w:color w:val="000000"/>
          <w:sz w:val="20"/>
          <w:lang w:eastAsia="es-AR"/>
        </w:rPr>
      </w:pPr>
    </w:p>
    <w:p w14:paraId="7E82A5E2" w14:textId="62415999"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.14</w:t>
      </w:r>
      <w:r w:rsidR="007D2DED" w:rsidRPr="00701F32">
        <w:rPr>
          <w:rFonts w:ascii="Arial" w:hAnsi="Arial" w:cs="Arial"/>
          <w:bCs/>
          <w:color w:val="000000"/>
          <w:sz w:val="20"/>
          <w:lang w:eastAsia="es-AR"/>
        </w:rPr>
        <w:t xml:space="preserve"> Otros pasivos no financieros.</w:t>
      </w:r>
    </w:p>
    <w:p w14:paraId="7522C8EF" w14:textId="77777777" w:rsidR="007D2DED" w:rsidRPr="00701F32" w:rsidRDefault="007D2DED" w:rsidP="007D2DED">
      <w:pPr>
        <w:rPr>
          <w:rFonts w:ascii="Arial" w:hAnsi="Arial" w:cs="Arial"/>
          <w:bCs/>
          <w:color w:val="000000"/>
          <w:sz w:val="20"/>
          <w:lang w:eastAsia="es-AR"/>
        </w:rPr>
      </w:pPr>
    </w:p>
    <w:p w14:paraId="52836026" w14:textId="5D57BAAD" w:rsidR="007D2DED" w:rsidRPr="00701F32" w:rsidRDefault="007D2DED" w:rsidP="007D2DED">
      <w:pPr>
        <w:rPr>
          <w:rFonts w:ascii="Arial" w:eastAsiaTheme="minorHAnsi" w:hAnsi="Arial" w:cs="Arial"/>
          <w:sz w:val="20"/>
        </w:rPr>
      </w:pPr>
      <w:r w:rsidRPr="00701F32">
        <w:rPr>
          <w:rFonts w:ascii="Arial" w:eastAsiaTheme="minorHAnsi" w:hAnsi="Arial" w:cs="Arial"/>
          <w:sz w:val="20"/>
        </w:rPr>
        <w:t xml:space="preserve">Los principales componentes del rubro </w:t>
      </w:r>
      <w:r w:rsidRPr="00701F32">
        <w:rPr>
          <w:rFonts w:ascii="Arial" w:hAnsi="Arial" w:cs="Arial"/>
          <w:bCs/>
          <w:color w:val="000000"/>
          <w:sz w:val="20"/>
          <w:lang w:eastAsia="es-AR"/>
        </w:rPr>
        <w:t xml:space="preserve">otros pasivos no financieros </w:t>
      </w:r>
      <w:r w:rsidRPr="00701F32">
        <w:rPr>
          <w:rFonts w:ascii="Arial" w:eastAsiaTheme="minorHAnsi" w:hAnsi="Arial" w:cs="Arial"/>
          <w:sz w:val="20"/>
        </w:rPr>
        <w:t xml:space="preserve">al 31 de diciembre </w:t>
      </w:r>
      <w:r>
        <w:rPr>
          <w:rFonts w:ascii="Arial" w:eastAsiaTheme="minorHAnsi" w:hAnsi="Arial" w:cs="Arial"/>
          <w:sz w:val="20"/>
        </w:rPr>
        <w:t>de 201</w:t>
      </w:r>
      <w:r w:rsidR="00F011C0">
        <w:rPr>
          <w:rFonts w:ascii="Arial" w:eastAsiaTheme="minorHAnsi" w:hAnsi="Arial" w:cs="Arial"/>
          <w:sz w:val="20"/>
        </w:rPr>
        <w:t>9</w:t>
      </w:r>
      <w:r>
        <w:rPr>
          <w:rFonts w:ascii="Arial" w:eastAsiaTheme="minorHAnsi" w:hAnsi="Arial" w:cs="Arial"/>
          <w:sz w:val="20"/>
        </w:rPr>
        <w:t xml:space="preserve"> y 201</w:t>
      </w:r>
      <w:r w:rsidR="00F011C0">
        <w:rPr>
          <w:rFonts w:ascii="Arial" w:eastAsiaTheme="minorHAnsi" w:hAnsi="Arial" w:cs="Arial"/>
          <w:sz w:val="20"/>
        </w:rPr>
        <w:t>8</w:t>
      </w:r>
      <w:r>
        <w:rPr>
          <w:rFonts w:ascii="Arial" w:eastAsiaTheme="minorHAnsi" w:hAnsi="Arial" w:cs="Arial"/>
          <w:sz w:val="20"/>
        </w:rPr>
        <w:t xml:space="preserve"> </w:t>
      </w:r>
      <w:r w:rsidRPr="00701F32">
        <w:rPr>
          <w:rFonts w:ascii="Arial" w:eastAsiaTheme="minorHAnsi" w:hAnsi="Arial" w:cs="Arial"/>
          <w:sz w:val="20"/>
        </w:rPr>
        <w:t>son los siguientes:</w:t>
      </w:r>
    </w:p>
    <w:p w14:paraId="150C7E3B" w14:textId="77777777" w:rsidR="007D2DED" w:rsidRPr="00701F32" w:rsidRDefault="007D2DED" w:rsidP="007D2DED">
      <w:pPr>
        <w:rPr>
          <w:rFonts w:ascii="Arial" w:eastAsia="Calibri" w:hAnsi="Arial" w:cs="Arial"/>
          <w:b/>
          <w:sz w:val="20"/>
        </w:rPr>
      </w:pPr>
    </w:p>
    <w:tbl>
      <w:tblPr>
        <w:tblW w:w="7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96"/>
        <w:gridCol w:w="1376"/>
        <w:gridCol w:w="1376"/>
      </w:tblGrid>
      <w:tr w:rsidR="00F011C0" w:rsidRPr="00701F32" w14:paraId="2B1F998F" w14:textId="77777777" w:rsidTr="002E1657">
        <w:trPr>
          <w:trHeight w:val="255"/>
          <w:jc w:val="center"/>
        </w:trPr>
        <w:tc>
          <w:tcPr>
            <w:tcW w:w="4696" w:type="dxa"/>
            <w:shd w:val="clear" w:color="auto" w:fill="auto"/>
            <w:noWrap/>
            <w:vAlign w:val="bottom"/>
            <w:hideMark/>
          </w:tcPr>
          <w:p w14:paraId="1B534A8B" w14:textId="77777777" w:rsidR="00F011C0" w:rsidRPr="00B57E77" w:rsidRDefault="00F011C0" w:rsidP="002E1657">
            <w:pPr>
              <w:jc w:val="center"/>
              <w:rPr>
                <w:rFonts w:ascii="Arial" w:hAnsi="Arial" w:cs="Arial"/>
                <w:b/>
                <w:bCs/>
                <w:color w:val="000000"/>
                <w:sz w:val="18"/>
                <w:u w:val="single"/>
                <w:lang w:eastAsia="es-AR"/>
              </w:rPr>
            </w:pPr>
          </w:p>
        </w:tc>
        <w:tc>
          <w:tcPr>
            <w:tcW w:w="1376" w:type="dxa"/>
            <w:shd w:val="clear" w:color="auto" w:fill="auto"/>
            <w:noWrap/>
            <w:vAlign w:val="bottom"/>
            <w:hideMark/>
          </w:tcPr>
          <w:p w14:paraId="655F774F" w14:textId="7F33FAEA" w:rsidR="00F011C0" w:rsidRPr="00B57E77" w:rsidRDefault="00F011C0" w:rsidP="002E1657">
            <w:pPr>
              <w:jc w:val="center"/>
              <w:rPr>
                <w:rFonts w:ascii="Arial" w:hAnsi="Arial" w:cs="Arial"/>
                <w:b/>
                <w:color w:val="000000"/>
                <w:sz w:val="18"/>
                <w:lang w:eastAsia="es-AR"/>
              </w:rPr>
            </w:pPr>
            <w:r w:rsidRPr="00B57E77">
              <w:rPr>
                <w:rFonts w:ascii="Arial" w:hAnsi="Arial" w:cs="Arial"/>
                <w:b/>
                <w:color w:val="000000"/>
                <w:sz w:val="18"/>
                <w:lang w:eastAsia="es-AR"/>
              </w:rPr>
              <w:t>31/12/2019</w:t>
            </w:r>
          </w:p>
        </w:tc>
        <w:tc>
          <w:tcPr>
            <w:tcW w:w="1376" w:type="dxa"/>
            <w:shd w:val="clear" w:color="auto" w:fill="auto"/>
            <w:noWrap/>
            <w:vAlign w:val="bottom"/>
            <w:hideMark/>
          </w:tcPr>
          <w:p w14:paraId="1A70F01D" w14:textId="64A032B5" w:rsidR="00F011C0" w:rsidRPr="00B57E77" w:rsidRDefault="00F011C0" w:rsidP="002E1657">
            <w:pPr>
              <w:jc w:val="center"/>
              <w:rPr>
                <w:rFonts w:ascii="Arial" w:hAnsi="Arial" w:cs="Arial"/>
                <w:b/>
                <w:color w:val="000000"/>
                <w:sz w:val="18"/>
                <w:lang w:eastAsia="es-AR"/>
              </w:rPr>
            </w:pPr>
            <w:r w:rsidRPr="00B57E77">
              <w:rPr>
                <w:rFonts w:ascii="Arial" w:hAnsi="Arial" w:cs="Arial"/>
                <w:b/>
                <w:color w:val="000000"/>
                <w:sz w:val="18"/>
                <w:lang w:eastAsia="es-AR"/>
              </w:rPr>
              <w:t>31/12/2018</w:t>
            </w:r>
          </w:p>
        </w:tc>
      </w:tr>
      <w:tr w:rsidR="001668ED" w:rsidRPr="00701F32" w14:paraId="096DCC8F" w14:textId="77777777" w:rsidTr="002E1657">
        <w:trPr>
          <w:trHeight w:val="255"/>
          <w:jc w:val="center"/>
        </w:trPr>
        <w:tc>
          <w:tcPr>
            <w:tcW w:w="4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2C1D0" w14:textId="19B5535D" w:rsidR="001668ED" w:rsidRPr="00B57E77" w:rsidRDefault="001668ED" w:rsidP="001668ED">
            <w:pPr>
              <w:rPr>
                <w:rFonts w:ascii="Arial" w:hAnsi="Arial" w:cs="Arial"/>
                <w:color w:val="000000"/>
                <w:sz w:val="18"/>
                <w:lang w:eastAsia="es-AR"/>
              </w:rPr>
            </w:pPr>
            <w:r w:rsidRPr="00B57E77">
              <w:rPr>
                <w:rFonts w:ascii="Arial" w:hAnsi="Arial" w:cs="Arial"/>
                <w:color w:val="000000"/>
                <w:sz w:val="18"/>
                <w:lang w:eastAsia="es-AR"/>
              </w:rPr>
              <w:t xml:space="preserve">Remuneraciones y cargas sociales </w:t>
            </w:r>
            <w:r>
              <w:rPr>
                <w:rFonts w:ascii="Arial" w:hAnsi="Arial" w:cs="Arial"/>
                <w:color w:val="000000"/>
                <w:sz w:val="18"/>
                <w:lang w:eastAsia="es-AR"/>
              </w:rPr>
              <w:t>por</w:t>
            </w:r>
            <w:r w:rsidRPr="00B57E77">
              <w:rPr>
                <w:rFonts w:ascii="Arial" w:hAnsi="Arial" w:cs="Arial"/>
                <w:color w:val="000000"/>
                <w:sz w:val="18"/>
                <w:lang w:eastAsia="es-AR"/>
              </w:rPr>
              <w:t xml:space="preserve"> pagar</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2319C" w14:textId="33AFCB88" w:rsidR="001668ED" w:rsidRPr="00B57E77" w:rsidRDefault="001668ED" w:rsidP="001668ED">
            <w:pPr>
              <w:jc w:val="right"/>
              <w:rPr>
                <w:rFonts w:ascii="Arial" w:hAnsi="Arial" w:cs="Arial"/>
                <w:color w:val="000000"/>
                <w:sz w:val="18"/>
                <w:lang w:val="es-ES_tradnl" w:eastAsia="es-AR"/>
              </w:rPr>
            </w:pPr>
            <w:r>
              <w:rPr>
                <w:rFonts w:ascii="Arial" w:hAnsi="Arial" w:cs="Arial"/>
                <w:color w:val="000000"/>
                <w:sz w:val="18"/>
                <w:szCs w:val="18"/>
              </w:rPr>
              <w:t>3.649.939</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620FE" w14:textId="5B1C8D15" w:rsidR="001668ED" w:rsidRPr="00B57E77" w:rsidRDefault="001668ED" w:rsidP="001668ED">
            <w:pPr>
              <w:jc w:val="right"/>
              <w:rPr>
                <w:rFonts w:ascii="Arial" w:hAnsi="Arial" w:cs="Arial"/>
                <w:color w:val="000000"/>
                <w:sz w:val="18"/>
                <w:lang w:val="es-ES_tradnl" w:eastAsia="es-AR"/>
              </w:rPr>
            </w:pPr>
            <w:r w:rsidRPr="00B57E77">
              <w:rPr>
                <w:rFonts w:ascii="Arial" w:hAnsi="Arial" w:cs="Arial"/>
                <w:color w:val="000000"/>
                <w:sz w:val="18"/>
              </w:rPr>
              <w:t xml:space="preserve">1.956.583 </w:t>
            </w:r>
          </w:p>
        </w:tc>
      </w:tr>
      <w:tr w:rsidR="001668ED" w:rsidRPr="00701F32" w14:paraId="5EE1E201" w14:textId="77777777" w:rsidTr="002E1657">
        <w:trPr>
          <w:trHeight w:val="255"/>
          <w:jc w:val="center"/>
        </w:trPr>
        <w:tc>
          <w:tcPr>
            <w:tcW w:w="4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D3E19" w14:textId="77777777" w:rsidR="001668ED" w:rsidRPr="00B57E77" w:rsidRDefault="001668ED" w:rsidP="001668ED">
            <w:pPr>
              <w:rPr>
                <w:rFonts w:ascii="Arial" w:hAnsi="Arial" w:cs="Arial"/>
                <w:color w:val="000000"/>
                <w:sz w:val="18"/>
                <w:lang w:eastAsia="es-AR"/>
              </w:rPr>
            </w:pPr>
            <w:r w:rsidRPr="00B57E77">
              <w:rPr>
                <w:rFonts w:ascii="Arial" w:hAnsi="Arial" w:cs="Arial"/>
                <w:color w:val="000000"/>
                <w:sz w:val="18"/>
                <w:lang w:eastAsia="es-AR"/>
              </w:rPr>
              <w:t>Acreedores varios</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542F1B" w14:textId="7A1FFED0" w:rsidR="001668ED" w:rsidRPr="00B57E77" w:rsidRDefault="001668ED" w:rsidP="001668ED">
            <w:pPr>
              <w:jc w:val="right"/>
              <w:rPr>
                <w:rFonts w:ascii="Arial" w:hAnsi="Arial" w:cs="Arial"/>
                <w:color w:val="000000"/>
                <w:sz w:val="18"/>
                <w:lang w:val="es-ES_tradnl" w:eastAsia="es-AR"/>
              </w:rPr>
            </w:pPr>
            <w:r>
              <w:rPr>
                <w:rFonts w:ascii="Arial" w:hAnsi="Arial" w:cs="Arial"/>
                <w:color w:val="000000"/>
                <w:sz w:val="18"/>
                <w:szCs w:val="18"/>
              </w:rPr>
              <w:t>1.042.058</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FF978" w14:textId="24CFB147" w:rsidR="001668ED" w:rsidRPr="00B57E77" w:rsidRDefault="001668ED" w:rsidP="001668ED">
            <w:pPr>
              <w:jc w:val="right"/>
              <w:rPr>
                <w:rFonts w:ascii="Arial" w:hAnsi="Arial" w:cs="Arial"/>
                <w:color w:val="000000"/>
                <w:sz w:val="18"/>
                <w:lang w:val="es-ES_tradnl" w:eastAsia="es-AR"/>
              </w:rPr>
            </w:pPr>
            <w:r w:rsidRPr="00B57E77">
              <w:rPr>
                <w:rFonts w:ascii="Arial" w:hAnsi="Arial" w:cs="Arial"/>
                <w:color w:val="000000"/>
                <w:sz w:val="18"/>
              </w:rPr>
              <w:t xml:space="preserve">688.698 </w:t>
            </w:r>
          </w:p>
        </w:tc>
      </w:tr>
      <w:tr w:rsidR="001668ED" w:rsidRPr="00701F32" w14:paraId="71773B2D" w14:textId="77777777" w:rsidTr="002E1657">
        <w:trPr>
          <w:trHeight w:val="255"/>
          <w:jc w:val="center"/>
        </w:trPr>
        <w:tc>
          <w:tcPr>
            <w:tcW w:w="4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A83913" w14:textId="674D033F" w:rsidR="001668ED" w:rsidRPr="00B57E77" w:rsidRDefault="001668ED" w:rsidP="001668ED">
            <w:pPr>
              <w:rPr>
                <w:rFonts w:ascii="Arial" w:hAnsi="Arial" w:cs="Arial"/>
                <w:color w:val="000000"/>
                <w:sz w:val="18"/>
                <w:lang w:eastAsia="es-AR"/>
              </w:rPr>
            </w:pPr>
            <w:r w:rsidRPr="00B57E77">
              <w:rPr>
                <w:rFonts w:ascii="Arial" w:hAnsi="Arial" w:cs="Arial"/>
                <w:color w:val="000000"/>
                <w:sz w:val="18"/>
              </w:rPr>
              <w:t xml:space="preserve">Ingreso </w:t>
            </w:r>
            <w:r w:rsidR="001C1547">
              <w:rPr>
                <w:rFonts w:ascii="Arial" w:hAnsi="Arial" w:cs="Arial"/>
                <w:color w:val="000000"/>
                <w:sz w:val="18"/>
              </w:rPr>
              <w:t>diferido por</w:t>
            </w:r>
            <w:r w:rsidRPr="00B57E77">
              <w:rPr>
                <w:rFonts w:ascii="Arial" w:hAnsi="Arial" w:cs="Arial"/>
                <w:color w:val="000000"/>
                <w:sz w:val="18"/>
              </w:rPr>
              <w:t xml:space="preserve"> actividades ordinarias procedentes de contratos con clientes</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25948" w14:textId="387F6CAC" w:rsidR="001668ED" w:rsidRPr="00B57E77" w:rsidRDefault="001668ED" w:rsidP="001668ED">
            <w:pPr>
              <w:jc w:val="right"/>
              <w:rPr>
                <w:rFonts w:ascii="Arial" w:hAnsi="Arial" w:cs="Arial"/>
                <w:color w:val="000000"/>
                <w:sz w:val="18"/>
              </w:rPr>
            </w:pPr>
            <w:r>
              <w:rPr>
                <w:rFonts w:ascii="Arial" w:hAnsi="Arial" w:cs="Arial"/>
                <w:color w:val="000000"/>
                <w:sz w:val="18"/>
                <w:szCs w:val="18"/>
              </w:rPr>
              <w:t>192.499</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47EEA7" w14:textId="39DB0775" w:rsidR="001668ED" w:rsidRPr="00B57E77" w:rsidRDefault="001668ED" w:rsidP="001668ED">
            <w:pPr>
              <w:jc w:val="right"/>
              <w:rPr>
                <w:rFonts w:ascii="Arial" w:hAnsi="Arial" w:cs="Arial"/>
                <w:color w:val="000000"/>
                <w:sz w:val="18"/>
                <w:lang w:eastAsia="es-AR"/>
              </w:rPr>
            </w:pPr>
            <w:r w:rsidRPr="00B57E77">
              <w:rPr>
                <w:rFonts w:ascii="Arial" w:hAnsi="Arial" w:cs="Arial"/>
                <w:color w:val="000000"/>
                <w:sz w:val="18"/>
              </w:rPr>
              <w:t xml:space="preserve">124.407 </w:t>
            </w:r>
          </w:p>
        </w:tc>
      </w:tr>
      <w:tr w:rsidR="001668ED" w:rsidRPr="00701F32" w14:paraId="19597416" w14:textId="77777777" w:rsidTr="002E1657">
        <w:trPr>
          <w:trHeight w:val="255"/>
          <w:jc w:val="center"/>
        </w:trPr>
        <w:tc>
          <w:tcPr>
            <w:tcW w:w="4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6149A" w14:textId="77777777" w:rsidR="001668ED" w:rsidRPr="00B57E77" w:rsidRDefault="001668ED" w:rsidP="001668ED">
            <w:pPr>
              <w:rPr>
                <w:rFonts w:ascii="Arial" w:hAnsi="Arial" w:cs="Arial"/>
                <w:color w:val="000000"/>
                <w:sz w:val="18"/>
                <w:lang w:eastAsia="es-AR"/>
              </w:rPr>
            </w:pPr>
            <w:r w:rsidRPr="00B57E77">
              <w:rPr>
                <w:rFonts w:ascii="Arial" w:hAnsi="Arial" w:cs="Arial"/>
                <w:color w:val="000000"/>
                <w:sz w:val="18"/>
                <w:lang w:eastAsia="es-AR"/>
              </w:rPr>
              <w:t>Impuestos a pagar</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1171B" w14:textId="0B78C6BF" w:rsidR="001668ED" w:rsidRPr="00B57E77" w:rsidRDefault="001668ED" w:rsidP="001668ED">
            <w:pPr>
              <w:jc w:val="right"/>
              <w:rPr>
                <w:rFonts w:ascii="Arial" w:hAnsi="Arial" w:cs="Arial"/>
                <w:color w:val="000000"/>
                <w:sz w:val="18"/>
                <w:lang w:val="es-ES_tradnl" w:eastAsia="es-AR"/>
              </w:rPr>
            </w:pPr>
            <w:r>
              <w:rPr>
                <w:rFonts w:ascii="Arial" w:hAnsi="Arial" w:cs="Arial"/>
                <w:color w:val="000000"/>
                <w:sz w:val="18"/>
                <w:szCs w:val="18"/>
              </w:rPr>
              <w:t>1.254.827</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06BBC" w14:textId="50466C7D" w:rsidR="001668ED" w:rsidRPr="00B57E77" w:rsidRDefault="001668ED" w:rsidP="001668ED">
            <w:pPr>
              <w:jc w:val="right"/>
              <w:rPr>
                <w:rFonts w:ascii="Arial" w:hAnsi="Arial" w:cs="Arial"/>
                <w:color w:val="000000"/>
                <w:sz w:val="18"/>
                <w:lang w:val="es-ES_tradnl" w:eastAsia="es-AR"/>
              </w:rPr>
            </w:pPr>
            <w:r w:rsidRPr="00B57E77">
              <w:rPr>
                <w:rFonts w:ascii="Arial" w:hAnsi="Arial" w:cs="Arial"/>
                <w:color w:val="000000"/>
                <w:sz w:val="18"/>
              </w:rPr>
              <w:t xml:space="preserve">993.356 </w:t>
            </w:r>
          </w:p>
        </w:tc>
      </w:tr>
      <w:tr w:rsidR="001668ED" w:rsidRPr="00701F32" w14:paraId="541BCA5D" w14:textId="77777777" w:rsidTr="002E1657">
        <w:trPr>
          <w:trHeight w:val="255"/>
          <w:jc w:val="center"/>
        </w:trPr>
        <w:tc>
          <w:tcPr>
            <w:tcW w:w="4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72738" w14:textId="77777777" w:rsidR="001668ED" w:rsidRPr="00B57E77" w:rsidRDefault="001668ED" w:rsidP="001668ED">
            <w:pPr>
              <w:rPr>
                <w:rFonts w:ascii="Arial" w:hAnsi="Arial" w:cs="Arial"/>
                <w:color w:val="000000"/>
                <w:sz w:val="18"/>
                <w:lang w:eastAsia="es-AR"/>
              </w:rPr>
            </w:pPr>
            <w:r w:rsidRPr="00B57E77">
              <w:rPr>
                <w:rFonts w:ascii="Arial" w:hAnsi="Arial" w:cs="Arial"/>
                <w:color w:val="000000"/>
                <w:sz w:val="18"/>
                <w:lang w:eastAsia="es-AR"/>
              </w:rPr>
              <w:t>Ordenes de pago previsionales pendientes de liquidación</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3854CD" w14:textId="336D5312" w:rsidR="001668ED" w:rsidRPr="00B57E77" w:rsidRDefault="001668ED" w:rsidP="001668ED">
            <w:pPr>
              <w:jc w:val="right"/>
              <w:rPr>
                <w:rFonts w:ascii="Arial" w:hAnsi="Arial" w:cs="Arial"/>
                <w:color w:val="000000"/>
                <w:sz w:val="18"/>
                <w:lang w:val="es-ES_tradnl" w:eastAsia="es-AR"/>
              </w:rPr>
            </w:pPr>
            <w:r>
              <w:rPr>
                <w:rFonts w:ascii="Arial" w:hAnsi="Arial" w:cs="Arial"/>
                <w:color w:val="000000"/>
                <w:sz w:val="18"/>
                <w:szCs w:val="18"/>
              </w:rPr>
              <w:t>218.486</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A24EC" w14:textId="3DA06256" w:rsidR="001668ED" w:rsidRPr="00B57E77" w:rsidRDefault="001668ED" w:rsidP="001668ED">
            <w:pPr>
              <w:jc w:val="right"/>
              <w:rPr>
                <w:rFonts w:ascii="Arial" w:hAnsi="Arial" w:cs="Arial"/>
                <w:color w:val="000000"/>
                <w:sz w:val="18"/>
                <w:lang w:val="es-ES_tradnl" w:eastAsia="es-AR"/>
              </w:rPr>
            </w:pPr>
            <w:r w:rsidRPr="00B57E77">
              <w:rPr>
                <w:rFonts w:ascii="Arial" w:hAnsi="Arial" w:cs="Arial"/>
                <w:color w:val="000000"/>
                <w:sz w:val="18"/>
              </w:rPr>
              <w:t xml:space="preserve">221.797 </w:t>
            </w:r>
          </w:p>
        </w:tc>
      </w:tr>
      <w:tr w:rsidR="001668ED" w:rsidRPr="00701F32" w14:paraId="17E769FA" w14:textId="77777777" w:rsidTr="002E1657">
        <w:trPr>
          <w:trHeight w:val="255"/>
          <w:jc w:val="center"/>
        </w:trPr>
        <w:tc>
          <w:tcPr>
            <w:tcW w:w="4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F42B4" w14:textId="1602C3AB" w:rsidR="001668ED" w:rsidRPr="00B57E77" w:rsidRDefault="001668ED" w:rsidP="001668ED">
            <w:pPr>
              <w:rPr>
                <w:rFonts w:ascii="Arial" w:hAnsi="Arial" w:cs="Arial"/>
                <w:color w:val="000000"/>
                <w:sz w:val="18"/>
                <w:lang w:eastAsia="es-AR"/>
              </w:rPr>
            </w:pPr>
            <w:r w:rsidRPr="00B57E77">
              <w:rPr>
                <w:rFonts w:ascii="Arial" w:hAnsi="Arial" w:cs="Arial"/>
                <w:color w:val="000000"/>
                <w:sz w:val="18"/>
                <w:lang w:eastAsia="es-AR"/>
              </w:rPr>
              <w:t xml:space="preserve">Aporte al fondo de garantia de los </w:t>
            </w:r>
            <w:r w:rsidR="006B605D">
              <w:rPr>
                <w:rFonts w:ascii="Arial" w:hAnsi="Arial" w:cs="Arial"/>
                <w:color w:val="000000"/>
                <w:sz w:val="18"/>
                <w:lang w:eastAsia="es-AR"/>
              </w:rPr>
              <w:t>depósitos</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EC2F7" w14:textId="0418B089" w:rsidR="001668ED" w:rsidRPr="00B57E77" w:rsidRDefault="001668ED" w:rsidP="001668ED">
            <w:pPr>
              <w:jc w:val="right"/>
              <w:rPr>
                <w:rFonts w:ascii="Arial" w:hAnsi="Arial" w:cs="Arial"/>
                <w:color w:val="000000"/>
                <w:sz w:val="18"/>
                <w:lang w:val="es-ES_tradnl" w:eastAsia="es-AR"/>
              </w:rPr>
            </w:pPr>
            <w:r>
              <w:rPr>
                <w:rFonts w:ascii="Arial" w:hAnsi="Arial" w:cs="Arial"/>
                <w:color w:val="000000"/>
                <w:sz w:val="18"/>
                <w:szCs w:val="18"/>
              </w:rPr>
              <w:t>16.150</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A53D2" w14:textId="4B54727F" w:rsidR="001668ED" w:rsidRPr="00B57E77" w:rsidRDefault="001668ED" w:rsidP="001668ED">
            <w:pPr>
              <w:jc w:val="right"/>
              <w:rPr>
                <w:rFonts w:ascii="Arial" w:hAnsi="Arial" w:cs="Arial"/>
                <w:color w:val="000000"/>
                <w:sz w:val="18"/>
                <w:lang w:val="es-ES_tradnl" w:eastAsia="es-AR"/>
              </w:rPr>
            </w:pPr>
            <w:r w:rsidRPr="00B57E77">
              <w:rPr>
                <w:rFonts w:ascii="Arial" w:hAnsi="Arial" w:cs="Arial"/>
                <w:color w:val="000000"/>
                <w:sz w:val="18"/>
              </w:rPr>
              <w:t>13.38</w:t>
            </w:r>
            <w:r w:rsidR="004B2031">
              <w:rPr>
                <w:rFonts w:ascii="Arial" w:hAnsi="Arial" w:cs="Arial"/>
                <w:color w:val="000000"/>
                <w:sz w:val="18"/>
              </w:rPr>
              <w:t>7</w:t>
            </w:r>
            <w:r w:rsidRPr="00B57E77">
              <w:rPr>
                <w:rFonts w:ascii="Arial" w:hAnsi="Arial" w:cs="Arial"/>
                <w:color w:val="000000"/>
                <w:sz w:val="18"/>
              </w:rPr>
              <w:t xml:space="preserve"> </w:t>
            </w:r>
          </w:p>
        </w:tc>
      </w:tr>
      <w:tr w:rsidR="00F011C0" w:rsidRPr="00701F32" w14:paraId="485FA43A" w14:textId="77777777" w:rsidTr="002E1657">
        <w:trPr>
          <w:trHeight w:val="270"/>
          <w:jc w:val="center"/>
        </w:trPr>
        <w:tc>
          <w:tcPr>
            <w:tcW w:w="4696" w:type="dxa"/>
            <w:shd w:val="clear" w:color="auto" w:fill="auto"/>
            <w:noWrap/>
            <w:vAlign w:val="bottom"/>
            <w:hideMark/>
          </w:tcPr>
          <w:p w14:paraId="23D95751" w14:textId="77777777" w:rsidR="00F011C0" w:rsidRPr="00B57E77" w:rsidRDefault="00F011C0" w:rsidP="00F011C0">
            <w:pPr>
              <w:rPr>
                <w:rFonts w:ascii="Arial" w:hAnsi="Arial" w:cs="Arial"/>
                <w:b/>
                <w:color w:val="000000"/>
                <w:sz w:val="18"/>
                <w:lang w:eastAsia="es-AR"/>
              </w:rPr>
            </w:pPr>
            <w:r w:rsidRPr="00B57E77">
              <w:rPr>
                <w:rFonts w:ascii="Arial" w:hAnsi="Arial" w:cs="Arial"/>
                <w:b/>
                <w:color w:val="000000"/>
                <w:sz w:val="18"/>
                <w:lang w:eastAsia="es-AR"/>
              </w:rPr>
              <w:t>Total</w:t>
            </w:r>
          </w:p>
        </w:tc>
        <w:tc>
          <w:tcPr>
            <w:tcW w:w="1376" w:type="dxa"/>
            <w:shd w:val="clear" w:color="auto" w:fill="auto"/>
            <w:noWrap/>
            <w:vAlign w:val="bottom"/>
          </w:tcPr>
          <w:p w14:paraId="63F77A71" w14:textId="423926D3" w:rsidR="00F011C0" w:rsidRPr="001668ED" w:rsidRDefault="001668ED" w:rsidP="001668ED">
            <w:pPr>
              <w:jc w:val="right"/>
              <w:rPr>
                <w:rFonts w:ascii="Arial" w:hAnsi="Arial" w:cs="Arial"/>
                <w:b/>
                <w:color w:val="000000"/>
                <w:sz w:val="18"/>
                <w:szCs w:val="18"/>
                <w:lang w:eastAsia="es-AR"/>
              </w:rPr>
            </w:pPr>
            <w:r w:rsidRPr="001668ED">
              <w:rPr>
                <w:rFonts w:ascii="Arial" w:hAnsi="Arial" w:cs="Arial"/>
                <w:b/>
                <w:color w:val="000000"/>
                <w:sz w:val="18"/>
                <w:szCs w:val="18"/>
              </w:rPr>
              <w:t>6.373.959</w:t>
            </w:r>
          </w:p>
        </w:tc>
        <w:tc>
          <w:tcPr>
            <w:tcW w:w="1376" w:type="dxa"/>
            <w:shd w:val="clear" w:color="auto" w:fill="auto"/>
            <w:noWrap/>
            <w:vAlign w:val="bottom"/>
          </w:tcPr>
          <w:p w14:paraId="28212DD9" w14:textId="01B95A11" w:rsidR="00F011C0" w:rsidRPr="00B57E77" w:rsidRDefault="00F011C0" w:rsidP="00F011C0">
            <w:pPr>
              <w:autoSpaceDE w:val="0"/>
              <w:autoSpaceDN w:val="0"/>
              <w:adjustRightInd w:val="0"/>
              <w:jc w:val="right"/>
              <w:rPr>
                <w:rFonts w:ascii="Arial" w:eastAsiaTheme="minorHAnsi" w:hAnsi="Arial" w:cs="Arial"/>
                <w:b/>
                <w:color w:val="000000"/>
                <w:sz w:val="18"/>
              </w:rPr>
            </w:pPr>
            <w:r w:rsidRPr="00B57E77">
              <w:rPr>
                <w:rFonts w:ascii="Arial" w:hAnsi="Arial" w:cs="Arial"/>
                <w:b/>
                <w:color w:val="000000"/>
                <w:sz w:val="18"/>
              </w:rPr>
              <w:t>3.998.22</w:t>
            </w:r>
            <w:r w:rsidR="004B2031">
              <w:rPr>
                <w:rFonts w:ascii="Arial" w:hAnsi="Arial" w:cs="Arial"/>
                <w:b/>
                <w:color w:val="000000"/>
                <w:sz w:val="18"/>
              </w:rPr>
              <w:t>8</w:t>
            </w:r>
            <w:r w:rsidRPr="00B57E77">
              <w:rPr>
                <w:rFonts w:ascii="Arial" w:hAnsi="Arial" w:cs="Arial"/>
                <w:b/>
                <w:color w:val="000000"/>
                <w:sz w:val="18"/>
              </w:rPr>
              <w:t xml:space="preserve"> </w:t>
            </w:r>
          </w:p>
        </w:tc>
      </w:tr>
    </w:tbl>
    <w:p w14:paraId="182C255B" w14:textId="77777777" w:rsidR="007D2DED" w:rsidRDefault="007D2DED" w:rsidP="007D2DED">
      <w:pPr>
        <w:spacing w:after="160" w:line="259" w:lineRule="auto"/>
        <w:jc w:val="both"/>
        <w:rPr>
          <w:rFonts w:ascii="Arial" w:eastAsia="Calibri" w:hAnsi="Arial" w:cs="Arial"/>
          <w:b/>
          <w:sz w:val="20"/>
        </w:rPr>
      </w:pPr>
    </w:p>
    <w:p w14:paraId="70A1D731" w14:textId="7CB30885" w:rsidR="007D2DED" w:rsidRDefault="007D2DED" w:rsidP="007D2DED">
      <w:pPr>
        <w:jc w:val="both"/>
        <w:rPr>
          <w:rFonts w:ascii="Arial" w:hAnsi="Arial" w:cs="Arial"/>
          <w:sz w:val="20"/>
        </w:rPr>
      </w:pPr>
      <w:r>
        <w:rPr>
          <w:rFonts w:ascii="Arial" w:hAnsi="Arial" w:cs="Arial"/>
          <w:sz w:val="20"/>
        </w:rPr>
        <w:t>Los ingresos diferidos asociados por contratos con clientes incluyen el pasivo por el programa de fidelización de clientes. El Banco estima el valor de los puntos asignados a los clientes en los Programas Club Supervielle y Club Mis Puntos, mediante la aplicación de un modelo matemático que considera supuestos sobre porcentajes de canje, valor razonable de puntos canjeados en función a la combinación de productos disponibles y preferencias de los clientes, así como la caducidad de los puntos no utilizados. Al 31 de diciembre de 201</w:t>
      </w:r>
      <w:r w:rsidR="00F011C0">
        <w:rPr>
          <w:rFonts w:ascii="Arial" w:hAnsi="Arial" w:cs="Arial"/>
          <w:sz w:val="20"/>
        </w:rPr>
        <w:t>9 y 2018</w:t>
      </w:r>
      <w:r>
        <w:rPr>
          <w:rFonts w:ascii="Arial" w:hAnsi="Arial" w:cs="Arial"/>
          <w:sz w:val="20"/>
        </w:rPr>
        <w:t xml:space="preserve"> se han registrado, por los puntos no canjeados, la suma de </w:t>
      </w:r>
      <w:r w:rsidRPr="002E1657">
        <w:rPr>
          <w:rFonts w:ascii="Arial" w:hAnsi="Arial" w:cs="Arial"/>
          <w:sz w:val="20"/>
        </w:rPr>
        <w:t xml:space="preserve">$ </w:t>
      </w:r>
      <w:r w:rsidR="002E1657" w:rsidRPr="002E1657">
        <w:rPr>
          <w:rFonts w:ascii="Arial" w:hAnsi="Arial" w:cs="Arial"/>
          <w:color w:val="000000"/>
          <w:sz w:val="20"/>
        </w:rPr>
        <w:t xml:space="preserve">192.499 </w:t>
      </w:r>
      <w:r w:rsidRPr="002E1657">
        <w:rPr>
          <w:rFonts w:ascii="Arial" w:hAnsi="Arial" w:cs="Arial"/>
          <w:sz w:val="20"/>
        </w:rPr>
        <w:t xml:space="preserve">y $ </w:t>
      </w:r>
      <w:r w:rsidR="002E1657" w:rsidRPr="002E1657">
        <w:rPr>
          <w:rFonts w:ascii="Arial" w:hAnsi="Arial" w:cs="Arial"/>
          <w:color w:val="000000"/>
          <w:sz w:val="20"/>
        </w:rPr>
        <w:t>124.</w:t>
      </w:r>
      <w:r w:rsidR="002E1657">
        <w:rPr>
          <w:rFonts w:ascii="Arial" w:hAnsi="Arial" w:cs="Arial"/>
          <w:color w:val="000000"/>
          <w:sz w:val="20"/>
        </w:rPr>
        <w:t>407</w:t>
      </w:r>
      <w:r>
        <w:rPr>
          <w:rFonts w:ascii="Arial" w:hAnsi="Arial" w:cs="Arial"/>
          <w:sz w:val="20"/>
        </w:rPr>
        <w:t xml:space="preserve">, respectivamente. </w:t>
      </w:r>
    </w:p>
    <w:p w14:paraId="0BC9696A" w14:textId="77777777" w:rsidR="007D2DED" w:rsidRDefault="007D2DED" w:rsidP="007D2DED">
      <w:pPr>
        <w:jc w:val="both"/>
        <w:rPr>
          <w:rFonts w:asciiTheme="minorHAnsi" w:hAnsiTheme="minorHAnsi" w:cstheme="minorBidi"/>
          <w:sz w:val="20"/>
        </w:rPr>
      </w:pPr>
      <w:r>
        <w:rPr>
          <w:rFonts w:asciiTheme="minorHAnsi" w:hAnsiTheme="minorHAnsi" w:cstheme="minorBidi"/>
          <w:sz w:val="20"/>
        </w:rPr>
        <w:br/>
      </w:r>
      <w:r>
        <w:rPr>
          <w:rFonts w:ascii="Arial" w:hAnsi="Arial" w:cs="Arial"/>
          <w:sz w:val="20"/>
        </w:rPr>
        <w:t>La estimación del consumo del pasivo registrado al cierre del presente ejercicio se muestra en el siguiente cuadro:</w:t>
      </w:r>
      <w:r>
        <w:rPr>
          <w:rFonts w:asciiTheme="minorHAnsi" w:hAnsiTheme="minorHAnsi" w:cstheme="minorBidi"/>
          <w:sz w:val="20"/>
        </w:rPr>
        <w:t xml:space="preserve"> </w:t>
      </w:r>
    </w:p>
    <w:p w14:paraId="48DDCFAA" w14:textId="77777777" w:rsidR="007D2DED" w:rsidRDefault="007D2DED" w:rsidP="007D2DED">
      <w:pPr>
        <w:jc w:val="both"/>
        <w:rPr>
          <w:rFonts w:asciiTheme="minorHAnsi" w:hAnsiTheme="minorHAnsi" w:cstheme="minorBidi"/>
          <w:sz w:val="20"/>
          <w:lang w:eastAsia="es-A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1317"/>
        <w:gridCol w:w="1317"/>
        <w:gridCol w:w="1420"/>
        <w:gridCol w:w="1553"/>
      </w:tblGrid>
      <w:tr w:rsidR="007D2DED" w:rsidRPr="00834B42" w14:paraId="767D97C6" w14:textId="77777777" w:rsidTr="00DF0784">
        <w:trPr>
          <w:trHeight w:val="15"/>
        </w:trPr>
        <w:tc>
          <w:tcPr>
            <w:tcW w:w="1750" w:type="pct"/>
            <w:vMerge w:val="restart"/>
            <w:tcMar>
              <w:top w:w="0" w:type="dxa"/>
              <w:left w:w="60" w:type="dxa"/>
              <w:bottom w:w="0" w:type="dxa"/>
              <w:right w:w="60" w:type="dxa"/>
            </w:tcMar>
            <w:vAlign w:val="center"/>
            <w:hideMark/>
          </w:tcPr>
          <w:p w14:paraId="00748387" w14:textId="77777777" w:rsidR="007D2DED" w:rsidRPr="00834B42" w:rsidRDefault="007D2DED" w:rsidP="00DF0784">
            <w:pPr>
              <w:jc w:val="center"/>
              <w:rPr>
                <w:sz w:val="18"/>
                <w:szCs w:val="18"/>
              </w:rPr>
            </w:pPr>
            <w:r w:rsidRPr="00834B42">
              <w:rPr>
                <w:rFonts w:ascii="Arial" w:hAnsi="Arial" w:cs="Arial"/>
                <w:b/>
                <w:bCs/>
                <w:sz w:val="18"/>
                <w:szCs w:val="18"/>
              </w:rPr>
              <w:t>Concepto</w:t>
            </w:r>
          </w:p>
        </w:tc>
        <w:tc>
          <w:tcPr>
            <w:tcW w:w="0" w:type="auto"/>
            <w:gridSpan w:val="3"/>
            <w:tcMar>
              <w:top w:w="0" w:type="dxa"/>
              <w:left w:w="60" w:type="dxa"/>
              <w:bottom w:w="0" w:type="dxa"/>
              <w:right w:w="60" w:type="dxa"/>
            </w:tcMar>
            <w:vAlign w:val="center"/>
            <w:hideMark/>
          </w:tcPr>
          <w:p w14:paraId="10E6928F" w14:textId="77777777" w:rsidR="007D2DED" w:rsidRPr="00834B42" w:rsidRDefault="007D2DED" w:rsidP="00DF0784">
            <w:pPr>
              <w:jc w:val="center"/>
              <w:rPr>
                <w:sz w:val="18"/>
                <w:szCs w:val="18"/>
              </w:rPr>
            </w:pPr>
            <w:r w:rsidRPr="00834B42">
              <w:rPr>
                <w:rFonts w:ascii="Arial" w:hAnsi="Arial" w:cs="Arial"/>
                <w:b/>
                <w:bCs/>
                <w:sz w:val="18"/>
                <w:szCs w:val="18"/>
              </w:rPr>
              <w:t>Plazos</w:t>
            </w:r>
          </w:p>
        </w:tc>
        <w:tc>
          <w:tcPr>
            <w:tcW w:w="900" w:type="pct"/>
            <w:vMerge w:val="restart"/>
            <w:tcMar>
              <w:top w:w="0" w:type="dxa"/>
              <w:left w:w="60" w:type="dxa"/>
              <w:bottom w:w="0" w:type="dxa"/>
              <w:right w:w="60" w:type="dxa"/>
            </w:tcMar>
            <w:vAlign w:val="center"/>
            <w:hideMark/>
          </w:tcPr>
          <w:p w14:paraId="78913A7C" w14:textId="77777777" w:rsidR="007D2DED" w:rsidRPr="00834B42" w:rsidRDefault="007D2DED" w:rsidP="00DF0784">
            <w:pPr>
              <w:jc w:val="center"/>
              <w:rPr>
                <w:sz w:val="18"/>
                <w:szCs w:val="18"/>
              </w:rPr>
            </w:pPr>
            <w:r w:rsidRPr="00834B42">
              <w:rPr>
                <w:rFonts w:ascii="Arial" w:hAnsi="Arial" w:cs="Arial"/>
                <w:b/>
                <w:bCs/>
                <w:sz w:val="18"/>
                <w:szCs w:val="18"/>
              </w:rPr>
              <w:t>Total</w:t>
            </w:r>
          </w:p>
        </w:tc>
      </w:tr>
      <w:tr w:rsidR="007D2DED" w:rsidRPr="00834B42" w14:paraId="65399954" w14:textId="77777777" w:rsidTr="00F011C0">
        <w:trPr>
          <w:trHeight w:val="15"/>
        </w:trPr>
        <w:tc>
          <w:tcPr>
            <w:tcW w:w="0" w:type="auto"/>
            <w:vMerge/>
            <w:tcBorders>
              <w:bottom w:val="single" w:sz="4" w:space="0" w:color="auto"/>
            </w:tcBorders>
            <w:vAlign w:val="center"/>
            <w:hideMark/>
          </w:tcPr>
          <w:p w14:paraId="4B347EBD" w14:textId="77777777" w:rsidR="007D2DED" w:rsidRPr="00834B42" w:rsidRDefault="007D2DED" w:rsidP="00DF0784">
            <w:pPr>
              <w:rPr>
                <w:sz w:val="18"/>
                <w:szCs w:val="18"/>
              </w:rPr>
            </w:pPr>
          </w:p>
        </w:tc>
        <w:tc>
          <w:tcPr>
            <w:tcW w:w="0" w:type="auto"/>
            <w:tcBorders>
              <w:bottom w:val="single" w:sz="4" w:space="0" w:color="auto"/>
            </w:tcBorders>
            <w:tcMar>
              <w:top w:w="0" w:type="dxa"/>
              <w:left w:w="60" w:type="dxa"/>
              <w:bottom w:w="0" w:type="dxa"/>
              <w:right w:w="60" w:type="dxa"/>
            </w:tcMar>
            <w:vAlign w:val="center"/>
            <w:hideMark/>
          </w:tcPr>
          <w:p w14:paraId="37EF0395" w14:textId="77777777" w:rsidR="007D2DED" w:rsidRPr="00834B42" w:rsidRDefault="007D2DED" w:rsidP="00DF0784">
            <w:pPr>
              <w:jc w:val="center"/>
              <w:rPr>
                <w:sz w:val="18"/>
                <w:szCs w:val="18"/>
              </w:rPr>
            </w:pPr>
            <w:r w:rsidRPr="00834B42">
              <w:rPr>
                <w:rFonts w:ascii="Arial" w:hAnsi="Arial" w:cs="Arial"/>
                <w:b/>
                <w:bCs/>
                <w:sz w:val="18"/>
                <w:szCs w:val="18"/>
              </w:rPr>
              <w:t>Hasta 12 meses</w:t>
            </w:r>
          </w:p>
        </w:tc>
        <w:tc>
          <w:tcPr>
            <w:tcW w:w="0" w:type="auto"/>
            <w:tcBorders>
              <w:bottom w:val="single" w:sz="4" w:space="0" w:color="auto"/>
            </w:tcBorders>
            <w:tcMar>
              <w:top w:w="0" w:type="dxa"/>
              <w:left w:w="60" w:type="dxa"/>
              <w:bottom w:w="0" w:type="dxa"/>
              <w:right w:w="60" w:type="dxa"/>
            </w:tcMar>
            <w:vAlign w:val="center"/>
            <w:hideMark/>
          </w:tcPr>
          <w:p w14:paraId="67694CAF" w14:textId="77777777" w:rsidR="007D2DED" w:rsidRPr="00834B42" w:rsidRDefault="007D2DED" w:rsidP="00DF0784">
            <w:pPr>
              <w:jc w:val="center"/>
              <w:rPr>
                <w:sz w:val="18"/>
                <w:szCs w:val="18"/>
              </w:rPr>
            </w:pPr>
            <w:r w:rsidRPr="00834B42">
              <w:rPr>
                <w:rFonts w:ascii="Arial" w:hAnsi="Arial" w:cs="Arial"/>
                <w:b/>
                <w:bCs/>
                <w:sz w:val="18"/>
                <w:szCs w:val="18"/>
              </w:rPr>
              <w:t>Hasta 24 meses</w:t>
            </w:r>
          </w:p>
        </w:tc>
        <w:tc>
          <w:tcPr>
            <w:tcW w:w="0" w:type="auto"/>
            <w:tcBorders>
              <w:bottom w:val="single" w:sz="4" w:space="0" w:color="auto"/>
            </w:tcBorders>
            <w:tcMar>
              <w:top w:w="0" w:type="dxa"/>
              <w:left w:w="60" w:type="dxa"/>
              <w:bottom w:w="0" w:type="dxa"/>
              <w:right w:w="60" w:type="dxa"/>
            </w:tcMar>
            <w:vAlign w:val="center"/>
            <w:hideMark/>
          </w:tcPr>
          <w:p w14:paraId="4DAFC272" w14:textId="77777777" w:rsidR="007D2DED" w:rsidRPr="00834B42" w:rsidRDefault="007D2DED" w:rsidP="00DF0784">
            <w:pPr>
              <w:jc w:val="center"/>
              <w:rPr>
                <w:sz w:val="18"/>
                <w:szCs w:val="18"/>
              </w:rPr>
            </w:pPr>
            <w:r w:rsidRPr="00834B42">
              <w:rPr>
                <w:rFonts w:ascii="Arial" w:hAnsi="Arial" w:cs="Arial"/>
                <w:b/>
                <w:bCs/>
                <w:sz w:val="18"/>
                <w:szCs w:val="18"/>
              </w:rPr>
              <w:t>más de 24 meses</w:t>
            </w:r>
          </w:p>
        </w:tc>
        <w:tc>
          <w:tcPr>
            <w:tcW w:w="0" w:type="auto"/>
            <w:vMerge/>
            <w:tcBorders>
              <w:bottom w:val="single" w:sz="4" w:space="0" w:color="auto"/>
            </w:tcBorders>
            <w:vAlign w:val="center"/>
            <w:hideMark/>
          </w:tcPr>
          <w:p w14:paraId="6AC36654" w14:textId="77777777" w:rsidR="007D2DED" w:rsidRPr="00834B42" w:rsidRDefault="007D2DED" w:rsidP="00DF0784">
            <w:pPr>
              <w:rPr>
                <w:sz w:val="18"/>
                <w:szCs w:val="18"/>
              </w:rPr>
            </w:pPr>
          </w:p>
        </w:tc>
      </w:tr>
      <w:tr w:rsidR="00AB7D08" w:rsidRPr="00834B42" w14:paraId="06DBD6F2" w14:textId="77777777" w:rsidTr="006E1AF7">
        <w:trPr>
          <w:trHeight w:val="15"/>
        </w:trPr>
        <w:tc>
          <w:tcPr>
            <w:tcW w:w="0" w:type="auto"/>
            <w:tcBorders>
              <w:bottom w:val="single" w:sz="4" w:space="0" w:color="auto"/>
            </w:tcBorders>
            <w:tcMar>
              <w:top w:w="0" w:type="dxa"/>
              <w:left w:w="60" w:type="dxa"/>
              <w:bottom w:w="0" w:type="dxa"/>
              <w:right w:w="60" w:type="dxa"/>
            </w:tcMar>
            <w:vAlign w:val="center"/>
            <w:hideMark/>
          </w:tcPr>
          <w:p w14:paraId="6DBC0C2C" w14:textId="77777777" w:rsidR="00AB7D08" w:rsidRPr="00834B42" w:rsidRDefault="00AB7D08" w:rsidP="00AB7D08">
            <w:pPr>
              <w:rPr>
                <w:sz w:val="18"/>
                <w:szCs w:val="18"/>
              </w:rPr>
            </w:pPr>
            <w:r w:rsidRPr="00834B42">
              <w:rPr>
                <w:rFonts w:ascii="Arial" w:hAnsi="Arial" w:cs="Arial"/>
                <w:sz w:val="18"/>
                <w:szCs w:val="18"/>
              </w:rPr>
              <w:t xml:space="preserve">Pasivo programa de fidelización de clientes </w:t>
            </w:r>
          </w:p>
        </w:tc>
        <w:tc>
          <w:tcPr>
            <w:tcW w:w="0" w:type="auto"/>
            <w:tcBorders>
              <w:bottom w:val="single" w:sz="4" w:space="0" w:color="auto"/>
            </w:tcBorders>
            <w:tcMar>
              <w:top w:w="0" w:type="dxa"/>
              <w:left w:w="60" w:type="dxa"/>
              <w:bottom w:w="0" w:type="dxa"/>
              <w:right w:w="60" w:type="dxa"/>
            </w:tcMar>
            <w:vAlign w:val="center"/>
          </w:tcPr>
          <w:p w14:paraId="622BD9F6" w14:textId="570FF6EA" w:rsidR="00AB7D08" w:rsidRPr="006E1AF7" w:rsidRDefault="00AB7D08">
            <w:pPr>
              <w:jc w:val="right"/>
              <w:rPr>
                <w:rFonts w:ascii="Arial" w:hAnsi="Arial" w:cs="Arial"/>
                <w:sz w:val="20"/>
              </w:rPr>
            </w:pPr>
            <w:r w:rsidRPr="006E1AF7">
              <w:rPr>
                <w:rFonts w:ascii="Arial" w:hAnsi="Arial" w:cs="Arial"/>
                <w:sz w:val="20"/>
              </w:rPr>
              <w:t>93.466</w:t>
            </w:r>
          </w:p>
        </w:tc>
        <w:tc>
          <w:tcPr>
            <w:tcW w:w="0" w:type="auto"/>
            <w:tcBorders>
              <w:bottom w:val="single" w:sz="4" w:space="0" w:color="auto"/>
            </w:tcBorders>
            <w:tcMar>
              <w:top w:w="0" w:type="dxa"/>
              <w:left w:w="60" w:type="dxa"/>
              <w:bottom w:w="0" w:type="dxa"/>
              <w:right w:w="60" w:type="dxa"/>
            </w:tcMar>
            <w:vAlign w:val="center"/>
          </w:tcPr>
          <w:p w14:paraId="47559473" w14:textId="467A5E60" w:rsidR="00AB7D08" w:rsidRPr="006E1AF7" w:rsidRDefault="00AB7D08">
            <w:pPr>
              <w:jc w:val="right"/>
              <w:rPr>
                <w:rFonts w:ascii="Arial" w:hAnsi="Arial" w:cs="Arial"/>
                <w:sz w:val="20"/>
              </w:rPr>
            </w:pPr>
            <w:r w:rsidRPr="006E1AF7">
              <w:rPr>
                <w:rFonts w:ascii="Arial" w:hAnsi="Arial" w:cs="Arial"/>
                <w:sz w:val="20"/>
              </w:rPr>
              <w:t>47.952</w:t>
            </w:r>
          </w:p>
        </w:tc>
        <w:tc>
          <w:tcPr>
            <w:tcW w:w="0" w:type="auto"/>
            <w:tcBorders>
              <w:bottom w:val="single" w:sz="4" w:space="0" w:color="auto"/>
            </w:tcBorders>
            <w:tcMar>
              <w:top w:w="0" w:type="dxa"/>
              <w:left w:w="60" w:type="dxa"/>
              <w:bottom w:w="0" w:type="dxa"/>
              <w:right w:w="60" w:type="dxa"/>
            </w:tcMar>
            <w:vAlign w:val="center"/>
          </w:tcPr>
          <w:p w14:paraId="392CD0B3" w14:textId="3EC0EF2E" w:rsidR="00AB7D08" w:rsidRPr="006E1AF7" w:rsidRDefault="00AB7D08">
            <w:pPr>
              <w:jc w:val="right"/>
              <w:rPr>
                <w:rFonts w:ascii="Arial" w:hAnsi="Arial" w:cs="Arial"/>
                <w:sz w:val="20"/>
              </w:rPr>
            </w:pPr>
            <w:r w:rsidRPr="006E1AF7">
              <w:rPr>
                <w:rFonts w:ascii="Arial" w:hAnsi="Arial" w:cs="Arial"/>
                <w:sz w:val="20"/>
              </w:rPr>
              <w:t>51.08</w:t>
            </w:r>
            <w:r w:rsidR="004D6AF3">
              <w:rPr>
                <w:rFonts w:ascii="Arial" w:hAnsi="Arial" w:cs="Arial"/>
                <w:sz w:val="20"/>
              </w:rPr>
              <w:t>1</w:t>
            </w:r>
          </w:p>
        </w:tc>
        <w:tc>
          <w:tcPr>
            <w:tcW w:w="0" w:type="auto"/>
            <w:tcBorders>
              <w:bottom w:val="single" w:sz="4" w:space="0" w:color="auto"/>
            </w:tcBorders>
            <w:tcMar>
              <w:top w:w="0" w:type="dxa"/>
              <w:left w:w="60" w:type="dxa"/>
              <w:bottom w:w="0" w:type="dxa"/>
              <w:right w:w="60" w:type="dxa"/>
            </w:tcMar>
            <w:vAlign w:val="center"/>
          </w:tcPr>
          <w:p w14:paraId="074F4377" w14:textId="008304CF" w:rsidR="00AB7D08" w:rsidRPr="006E1AF7" w:rsidRDefault="00AB7D08">
            <w:pPr>
              <w:jc w:val="right"/>
              <w:rPr>
                <w:rFonts w:ascii="Arial" w:hAnsi="Arial" w:cs="Arial"/>
                <w:sz w:val="20"/>
              </w:rPr>
            </w:pPr>
            <w:r w:rsidRPr="006E1AF7">
              <w:rPr>
                <w:rFonts w:ascii="Arial" w:hAnsi="Arial" w:cs="Arial"/>
                <w:sz w:val="20"/>
              </w:rPr>
              <w:t>192.499</w:t>
            </w:r>
          </w:p>
        </w:tc>
      </w:tr>
    </w:tbl>
    <w:p w14:paraId="3AD1A38F" w14:textId="77777777" w:rsidR="007D2DED" w:rsidRPr="00701F32" w:rsidRDefault="007D2DED" w:rsidP="007D2DED">
      <w:pPr>
        <w:spacing w:after="160" w:line="259" w:lineRule="auto"/>
        <w:jc w:val="both"/>
        <w:rPr>
          <w:rFonts w:ascii="Arial" w:eastAsia="Calibri" w:hAnsi="Arial" w:cs="Arial"/>
          <w:sz w:val="20"/>
        </w:rPr>
      </w:pPr>
    </w:p>
    <w:p w14:paraId="177C6DC8" w14:textId="126224A2" w:rsidR="007D2DED"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.15</w:t>
      </w:r>
      <w:r w:rsidR="007D2DED" w:rsidRPr="00701F32">
        <w:rPr>
          <w:rFonts w:ascii="Arial" w:hAnsi="Arial" w:cs="Arial"/>
          <w:bCs/>
          <w:color w:val="000000"/>
          <w:sz w:val="20"/>
          <w:lang w:eastAsia="es-AR"/>
        </w:rPr>
        <w:t xml:space="preserve"> </w:t>
      </w:r>
      <w:r w:rsidR="007D2DED">
        <w:rPr>
          <w:rFonts w:ascii="Arial" w:hAnsi="Arial" w:cs="Arial"/>
          <w:bCs/>
          <w:color w:val="000000"/>
          <w:sz w:val="20"/>
          <w:lang w:eastAsia="es-AR"/>
        </w:rPr>
        <w:t>Ingresos por intereses</w:t>
      </w:r>
    </w:p>
    <w:p w14:paraId="1B8C5A6A" w14:textId="77777777" w:rsidR="007D2DED" w:rsidRDefault="007D2DED" w:rsidP="007D2DED">
      <w:pPr>
        <w:rPr>
          <w:rFonts w:ascii="Arial" w:hAnsi="Arial" w:cs="Arial"/>
          <w:bCs/>
          <w:color w:val="000000"/>
          <w:sz w:val="20"/>
          <w:lang w:eastAsia="es-AR"/>
        </w:rPr>
      </w:pPr>
    </w:p>
    <w:p w14:paraId="1A7C6785" w14:textId="1082646D" w:rsidR="007D2DED" w:rsidRPr="00701F32" w:rsidRDefault="007D2DED" w:rsidP="007D2DED">
      <w:pPr>
        <w:spacing w:after="160" w:line="259" w:lineRule="auto"/>
        <w:rPr>
          <w:rFonts w:ascii="Arial" w:hAnsi="Arial" w:cs="Arial"/>
          <w:bCs/>
          <w:color w:val="000000"/>
          <w:sz w:val="20"/>
          <w:lang w:eastAsia="es-AR"/>
        </w:rPr>
      </w:pPr>
      <w:r w:rsidRPr="00701F32">
        <w:rPr>
          <w:rFonts w:ascii="Arial" w:eastAsiaTheme="minorHAnsi" w:hAnsi="Arial" w:cs="Arial"/>
          <w:sz w:val="20"/>
          <w:szCs w:val="22"/>
        </w:rPr>
        <w:t xml:space="preserve">Los principales componentes del rubro </w:t>
      </w:r>
      <w:r>
        <w:rPr>
          <w:rFonts w:ascii="Arial" w:eastAsiaTheme="minorHAnsi" w:hAnsi="Arial" w:cs="Arial"/>
          <w:sz w:val="20"/>
          <w:szCs w:val="22"/>
        </w:rPr>
        <w:t>Ingresos por intereses para</w:t>
      </w:r>
      <w:r w:rsidRPr="00701F32">
        <w:rPr>
          <w:rFonts w:ascii="Arial" w:eastAsiaTheme="minorHAnsi" w:hAnsi="Arial" w:cs="Arial"/>
          <w:sz w:val="20"/>
          <w:szCs w:val="22"/>
        </w:rPr>
        <w:t xml:space="preserve"> los </w:t>
      </w:r>
      <w:r>
        <w:rPr>
          <w:rFonts w:ascii="Arial" w:eastAsiaTheme="minorHAnsi" w:hAnsi="Arial" w:cs="Arial"/>
          <w:sz w:val="20"/>
          <w:szCs w:val="22"/>
        </w:rPr>
        <w:t>ejercicios</w:t>
      </w:r>
      <w:r w:rsidRPr="00701F32">
        <w:rPr>
          <w:rFonts w:ascii="Arial" w:eastAsiaTheme="minorHAnsi" w:hAnsi="Arial" w:cs="Arial"/>
          <w:sz w:val="20"/>
          <w:szCs w:val="22"/>
        </w:rPr>
        <w:t xml:space="preserve"> finalizados el</w:t>
      </w:r>
      <w:r>
        <w:rPr>
          <w:rFonts w:ascii="Arial" w:eastAsiaTheme="minorHAnsi" w:hAnsi="Arial" w:cs="Arial"/>
          <w:sz w:val="20"/>
          <w:szCs w:val="22"/>
        </w:rPr>
        <w:t xml:space="preserve"> 31</w:t>
      </w:r>
      <w:r w:rsidRPr="00701F32">
        <w:rPr>
          <w:rFonts w:ascii="Arial" w:eastAsiaTheme="minorHAnsi" w:hAnsi="Arial" w:cs="Arial"/>
          <w:sz w:val="20"/>
          <w:szCs w:val="22"/>
        </w:rPr>
        <w:t xml:space="preserve"> de </w:t>
      </w:r>
      <w:r>
        <w:rPr>
          <w:rFonts w:ascii="Arial" w:eastAsiaTheme="minorHAnsi" w:hAnsi="Arial" w:cs="Arial"/>
          <w:sz w:val="20"/>
        </w:rPr>
        <w:t>diciembre</w:t>
      </w:r>
      <w:r w:rsidRPr="00701F32">
        <w:rPr>
          <w:rFonts w:ascii="Arial" w:eastAsiaTheme="minorHAnsi" w:hAnsi="Arial" w:cs="Arial"/>
          <w:sz w:val="20"/>
          <w:szCs w:val="22"/>
        </w:rPr>
        <w:t xml:space="preserve"> de </w:t>
      </w:r>
      <w:r w:rsidR="00F011C0">
        <w:rPr>
          <w:rFonts w:ascii="Arial" w:eastAsiaTheme="minorHAnsi" w:hAnsi="Arial" w:cs="Arial"/>
          <w:sz w:val="20"/>
          <w:szCs w:val="22"/>
        </w:rPr>
        <w:t>2019 y 2018</w:t>
      </w:r>
      <w:r w:rsidRPr="00701F32">
        <w:rPr>
          <w:rFonts w:ascii="Arial" w:eastAsiaTheme="minorHAnsi" w:hAnsi="Arial" w:cs="Arial"/>
          <w:sz w:val="20"/>
          <w:szCs w:val="22"/>
        </w:rPr>
        <w:t xml:space="preserve"> son los siguientes: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1560"/>
        <w:gridCol w:w="1559"/>
      </w:tblGrid>
      <w:tr w:rsidR="00DF0784" w:rsidRPr="00701F32" w14:paraId="65ACE4A2" w14:textId="77777777" w:rsidTr="00DF0784">
        <w:trPr>
          <w:trHeight w:val="167"/>
          <w:tblHeader/>
        </w:trPr>
        <w:tc>
          <w:tcPr>
            <w:tcW w:w="5670" w:type="dxa"/>
            <w:shd w:val="clear" w:color="auto" w:fill="auto"/>
          </w:tcPr>
          <w:p w14:paraId="319C1EED" w14:textId="77777777" w:rsidR="00DF0784" w:rsidRPr="00B57E77" w:rsidRDefault="00DF0784" w:rsidP="00DF0784">
            <w:pPr>
              <w:tabs>
                <w:tab w:val="decimal" w:pos="284"/>
                <w:tab w:val="decimal" w:pos="6237"/>
                <w:tab w:val="decimal" w:pos="7200"/>
                <w:tab w:val="decimal" w:pos="8220"/>
                <w:tab w:val="decimal" w:pos="8900"/>
              </w:tabs>
              <w:jc w:val="both"/>
              <w:rPr>
                <w:rFonts w:ascii="Arial" w:hAnsi="Arial" w:cs="Arial"/>
                <w:b/>
                <w:sz w:val="18"/>
              </w:rPr>
            </w:pPr>
          </w:p>
        </w:tc>
        <w:tc>
          <w:tcPr>
            <w:tcW w:w="1560" w:type="dxa"/>
            <w:vAlign w:val="bottom"/>
          </w:tcPr>
          <w:p w14:paraId="4D5B3A1F" w14:textId="3EB2E72F" w:rsidR="00DF0784" w:rsidRPr="00B57E77" w:rsidRDefault="00DF0784" w:rsidP="00DF0784">
            <w:pPr>
              <w:tabs>
                <w:tab w:val="decimal" w:pos="284"/>
                <w:tab w:val="decimal" w:pos="6237"/>
                <w:tab w:val="decimal" w:pos="7200"/>
                <w:tab w:val="decimal" w:pos="8220"/>
                <w:tab w:val="decimal" w:pos="8900"/>
              </w:tabs>
              <w:jc w:val="center"/>
              <w:rPr>
                <w:rFonts w:ascii="Arial" w:hAnsi="Arial" w:cs="Arial"/>
                <w:b/>
                <w:sz w:val="18"/>
              </w:rPr>
            </w:pPr>
            <w:r w:rsidRPr="00B57E77">
              <w:rPr>
                <w:rFonts w:ascii="Arial" w:hAnsi="Arial" w:cs="Arial"/>
                <w:b/>
                <w:color w:val="000000"/>
                <w:sz w:val="18"/>
                <w:lang w:eastAsia="es-AR"/>
              </w:rPr>
              <w:t>31/12/2019</w:t>
            </w:r>
          </w:p>
        </w:tc>
        <w:tc>
          <w:tcPr>
            <w:tcW w:w="1559" w:type="dxa"/>
            <w:shd w:val="clear" w:color="auto" w:fill="auto"/>
            <w:vAlign w:val="bottom"/>
          </w:tcPr>
          <w:p w14:paraId="3FD190CD" w14:textId="0EC82439" w:rsidR="00DF0784" w:rsidRPr="00B57E77" w:rsidRDefault="00DF0784" w:rsidP="00DF0784">
            <w:pPr>
              <w:tabs>
                <w:tab w:val="decimal" w:pos="284"/>
                <w:tab w:val="decimal" w:pos="6237"/>
                <w:tab w:val="decimal" w:pos="7200"/>
                <w:tab w:val="decimal" w:pos="8220"/>
                <w:tab w:val="decimal" w:pos="8900"/>
              </w:tabs>
              <w:jc w:val="center"/>
              <w:rPr>
                <w:rFonts w:ascii="Arial" w:hAnsi="Arial" w:cs="Arial"/>
                <w:b/>
                <w:sz w:val="18"/>
              </w:rPr>
            </w:pPr>
            <w:r w:rsidRPr="00B57E77">
              <w:rPr>
                <w:rFonts w:ascii="Arial" w:hAnsi="Arial" w:cs="Arial"/>
                <w:b/>
                <w:color w:val="000000"/>
                <w:sz w:val="18"/>
                <w:lang w:eastAsia="es-AR"/>
              </w:rPr>
              <w:t>31/12/2018</w:t>
            </w:r>
          </w:p>
        </w:tc>
      </w:tr>
      <w:tr w:rsidR="002C695D" w:rsidRPr="00701F32" w14:paraId="30734492" w14:textId="77777777" w:rsidTr="00FE2245">
        <w:trPr>
          <w:trHeight w:val="270"/>
        </w:trPr>
        <w:tc>
          <w:tcPr>
            <w:tcW w:w="5670" w:type="dxa"/>
          </w:tcPr>
          <w:p w14:paraId="1EFFDE43" w14:textId="7380A8CA" w:rsidR="002C695D" w:rsidRPr="00B57E77" w:rsidRDefault="002C695D" w:rsidP="00F011C0">
            <w:pPr>
              <w:ind w:left="29"/>
              <w:jc w:val="both"/>
              <w:rPr>
                <w:rFonts w:ascii="Arial" w:hAnsi="Arial" w:cs="Arial"/>
                <w:sz w:val="18"/>
              </w:rPr>
            </w:pPr>
            <w:r>
              <w:rPr>
                <w:rFonts w:ascii="Arial" w:hAnsi="Arial" w:cs="Arial"/>
                <w:sz w:val="18"/>
              </w:rPr>
              <w:t>Por efectivo y depósitos en bancos</w:t>
            </w:r>
          </w:p>
        </w:tc>
        <w:tc>
          <w:tcPr>
            <w:tcW w:w="1560" w:type="dxa"/>
          </w:tcPr>
          <w:p w14:paraId="58FE6F0E" w14:textId="370FA7B8" w:rsidR="002C695D" w:rsidRDefault="002C695D" w:rsidP="00F011C0">
            <w:pPr>
              <w:ind w:right="107"/>
              <w:jc w:val="right"/>
              <w:rPr>
                <w:rFonts w:ascii="Arial" w:hAnsi="Arial" w:cs="Arial"/>
                <w:sz w:val="18"/>
              </w:rPr>
            </w:pPr>
            <w:r>
              <w:rPr>
                <w:rFonts w:ascii="Arial" w:hAnsi="Arial" w:cs="Arial"/>
                <w:sz w:val="18"/>
              </w:rPr>
              <w:t>2.749</w:t>
            </w:r>
          </w:p>
        </w:tc>
        <w:tc>
          <w:tcPr>
            <w:tcW w:w="1559" w:type="dxa"/>
          </w:tcPr>
          <w:p w14:paraId="33F74733" w14:textId="5FEF1D47" w:rsidR="002C695D" w:rsidRPr="00B57E77" w:rsidRDefault="002C695D" w:rsidP="00F011C0">
            <w:pPr>
              <w:ind w:right="107"/>
              <w:jc w:val="right"/>
              <w:rPr>
                <w:rFonts w:ascii="Arial" w:hAnsi="Arial" w:cs="Arial"/>
                <w:sz w:val="18"/>
              </w:rPr>
            </w:pPr>
            <w:r>
              <w:rPr>
                <w:rFonts w:ascii="Arial" w:hAnsi="Arial" w:cs="Arial"/>
                <w:sz w:val="18"/>
              </w:rPr>
              <w:t>1.091</w:t>
            </w:r>
          </w:p>
        </w:tc>
      </w:tr>
      <w:tr w:rsidR="002C695D" w:rsidRPr="00701F32" w14:paraId="411964FE" w14:textId="77777777" w:rsidTr="00FE2245">
        <w:trPr>
          <w:trHeight w:val="270"/>
        </w:trPr>
        <w:tc>
          <w:tcPr>
            <w:tcW w:w="5670" w:type="dxa"/>
          </w:tcPr>
          <w:p w14:paraId="55530A69" w14:textId="3439474F" w:rsidR="002C695D" w:rsidRPr="00B57E77" w:rsidRDefault="002C695D" w:rsidP="00F011C0">
            <w:pPr>
              <w:ind w:left="29"/>
              <w:jc w:val="both"/>
              <w:rPr>
                <w:rFonts w:ascii="Arial" w:hAnsi="Arial" w:cs="Arial"/>
                <w:sz w:val="18"/>
              </w:rPr>
            </w:pPr>
            <w:r>
              <w:rPr>
                <w:rFonts w:ascii="Arial" w:hAnsi="Arial" w:cs="Arial"/>
                <w:sz w:val="18"/>
              </w:rPr>
              <w:t>Por títulos públicos y privados</w:t>
            </w:r>
          </w:p>
        </w:tc>
        <w:tc>
          <w:tcPr>
            <w:tcW w:w="1560" w:type="dxa"/>
          </w:tcPr>
          <w:p w14:paraId="6DC35295" w14:textId="77BC0F85" w:rsidR="002C695D" w:rsidRDefault="002C695D" w:rsidP="00F011C0">
            <w:pPr>
              <w:ind w:right="107"/>
              <w:jc w:val="right"/>
              <w:rPr>
                <w:rFonts w:ascii="Arial" w:hAnsi="Arial" w:cs="Arial"/>
                <w:sz w:val="18"/>
              </w:rPr>
            </w:pPr>
            <w:r>
              <w:rPr>
                <w:rFonts w:ascii="Arial" w:hAnsi="Arial" w:cs="Arial"/>
                <w:sz w:val="18"/>
              </w:rPr>
              <w:t>2.157.602</w:t>
            </w:r>
          </w:p>
        </w:tc>
        <w:tc>
          <w:tcPr>
            <w:tcW w:w="1559" w:type="dxa"/>
          </w:tcPr>
          <w:p w14:paraId="7944024E" w14:textId="38B85343" w:rsidR="002C695D" w:rsidRPr="00B57E77" w:rsidRDefault="002C695D" w:rsidP="00F011C0">
            <w:pPr>
              <w:ind w:right="107"/>
              <w:jc w:val="right"/>
              <w:rPr>
                <w:rFonts w:ascii="Arial" w:hAnsi="Arial" w:cs="Arial"/>
                <w:sz w:val="18"/>
              </w:rPr>
            </w:pPr>
            <w:r>
              <w:rPr>
                <w:rFonts w:ascii="Arial" w:hAnsi="Arial" w:cs="Arial"/>
                <w:sz w:val="18"/>
              </w:rPr>
              <w:t>711.319</w:t>
            </w:r>
          </w:p>
        </w:tc>
      </w:tr>
      <w:tr w:rsidR="00F011C0" w:rsidRPr="00701F32" w14:paraId="71015672" w14:textId="77777777" w:rsidTr="00FE2245">
        <w:trPr>
          <w:trHeight w:val="270"/>
        </w:trPr>
        <w:tc>
          <w:tcPr>
            <w:tcW w:w="5670" w:type="dxa"/>
          </w:tcPr>
          <w:p w14:paraId="34CC04BA" w14:textId="77777777" w:rsidR="00F011C0" w:rsidRPr="00B57E77" w:rsidRDefault="00F011C0" w:rsidP="00F011C0">
            <w:pPr>
              <w:ind w:left="29"/>
              <w:jc w:val="both"/>
              <w:rPr>
                <w:rFonts w:ascii="Arial" w:hAnsi="Arial" w:cs="Arial"/>
                <w:sz w:val="18"/>
              </w:rPr>
            </w:pPr>
            <w:r w:rsidRPr="00B57E77">
              <w:rPr>
                <w:rFonts w:ascii="Arial" w:hAnsi="Arial" w:cs="Arial"/>
                <w:sz w:val="18"/>
              </w:rPr>
              <w:t>Por otros activos financieros</w:t>
            </w:r>
          </w:p>
        </w:tc>
        <w:tc>
          <w:tcPr>
            <w:tcW w:w="1560" w:type="dxa"/>
          </w:tcPr>
          <w:p w14:paraId="11DE204D" w14:textId="16659687" w:rsidR="00F011C0" w:rsidRPr="00B57E77" w:rsidRDefault="002C695D" w:rsidP="00F011C0">
            <w:pPr>
              <w:ind w:right="107"/>
              <w:jc w:val="right"/>
              <w:rPr>
                <w:rFonts w:ascii="Arial" w:hAnsi="Arial" w:cs="Arial"/>
                <w:sz w:val="18"/>
              </w:rPr>
            </w:pPr>
            <w:r>
              <w:rPr>
                <w:rFonts w:ascii="Arial" w:hAnsi="Arial" w:cs="Arial"/>
                <w:sz w:val="18"/>
              </w:rPr>
              <w:t>6.319</w:t>
            </w:r>
          </w:p>
        </w:tc>
        <w:tc>
          <w:tcPr>
            <w:tcW w:w="1559" w:type="dxa"/>
          </w:tcPr>
          <w:p w14:paraId="1189DD74" w14:textId="390F722C" w:rsidR="00F011C0" w:rsidRPr="00B57E77" w:rsidRDefault="002C695D" w:rsidP="00F011C0">
            <w:pPr>
              <w:ind w:right="107"/>
              <w:jc w:val="right"/>
              <w:rPr>
                <w:rFonts w:ascii="Arial" w:hAnsi="Arial" w:cs="Arial"/>
                <w:sz w:val="18"/>
              </w:rPr>
            </w:pPr>
            <w:r>
              <w:rPr>
                <w:rFonts w:ascii="Arial" w:hAnsi="Arial" w:cs="Arial"/>
                <w:sz w:val="18"/>
              </w:rPr>
              <w:t>1</w:t>
            </w:r>
            <w:r w:rsidR="00F011C0" w:rsidRPr="00B57E77">
              <w:rPr>
                <w:rFonts w:ascii="Arial" w:hAnsi="Arial" w:cs="Arial"/>
                <w:sz w:val="18"/>
              </w:rPr>
              <w:t>.</w:t>
            </w:r>
            <w:r>
              <w:rPr>
                <w:rFonts w:ascii="Arial" w:hAnsi="Arial" w:cs="Arial"/>
                <w:sz w:val="18"/>
              </w:rPr>
              <w:t>20</w:t>
            </w:r>
            <w:r w:rsidR="00F011C0" w:rsidRPr="00B57E77">
              <w:rPr>
                <w:rFonts w:ascii="Arial" w:hAnsi="Arial" w:cs="Arial"/>
                <w:sz w:val="18"/>
              </w:rPr>
              <w:t>5</w:t>
            </w:r>
          </w:p>
        </w:tc>
      </w:tr>
      <w:tr w:rsidR="00F011C0" w:rsidRPr="00701F32" w14:paraId="7E0ED65B" w14:textId="77777777" w:rsidTr="00FE2245">
        <w:trPr>
          <w:trHeight w:val="270"/>
        </w:trPr>
        <w:tc>
          <w:tcPr>
            <w:tcW w:w="5670" w:type="dxa"/>
          </w:tcPr>
          <w:p w14:paraId="5B5E532A" w14:textId="77777777" w:rsidR="00F011C0" w:rsidRPr="00B57E77" w:rsidRDefault="00F011C0" w:rsidP="00F011C0">
            <w:pPr>
              <w:ind w:left="29"/>
              <w:jc w:val="both"/>
              <w:rPr>
                <w:rFonts w:ascii="Arial" w:hAnsi="Arial" w:cs="Arial"/>
                <w:sz w:val="18"/>
              </w:rPr>
            </w:pPr>
            <w:r w:rsidRPr="00B57E77">
              <w:rPr>
                <w:rFonts w:ascii="Arial" w:hAnsi="Arial" w:cs="Arial"/>
                <w:sz w:val="18"/>
              </w:rPr>
              <w:t>Al sector financiero</w:t>
            </w:r>
          </w:p>
        </w:tc>
        <w:tc>
          <w:tcPr>
            <w:tcW w:w="1560" w:type="dxa"/>
          </w:tcPr>
          <w:p w14:paraId="4CA966EC" w14:textId="5F98D620" w:rsidR="00F011C0" w:rsidRPr="00B57E77" w:rsidRDefault="002711C8" w:rsidP="00F011C0">
            <w:pPr>
              <w:tabs>
                <w:tab w:val="left" w:pos="1307"/>
              </w:tabs>
              <w:ind w:right="107"/>
              <w:jc w:val="right"/>
              <w:rPr>
                <w:rFonts w:ascii="Arial" w:hAnsi="Arial" w:cs="Arial"/>
                <w:sz w:val="18"/>
              </w:rPr>
            </w:pPr>
            <w:r>
              <w:rPr>
                <w:rFonts w:ascii="Arial" w:hAnsi="Arial" w:cs="Arial"/>
                <w:sz w:val="18"/>
              </w:rPr>
              <w:t>988.571</w:t>
            </w:r>
          </w:p>
        </w:tc>
        <w:tc>
          <w:tcPr>
            <w:tcW w:w="1559" w:type="dxa"/>
          </w:tcPr>
          <w:p w14:paraId="19DE3E75" w14:textId="47C688AD" w:rsidR="00F011C0" w:rsidRPr="00B57E77" w:rsidRDefault="00F011C0" w:rsidP="00F011C0">
            <w:pPr>
              <w:tabs>
                <w:tab w:val="left" w:pos="1307"/>
              </w:tabs>
              <w:ind w:right="107"/>
              <w:jc w:val="right"/>
              <w:rPr>
                <w:rFonts w:ascii="Arial" w:hAnsi="Arial" w:cs="Arial"/>
                <w:sz w:val="18"/>
              </w:rPr>
            </w:pPr>
            <w:r w:rsidRPr="00B57E77">
              <w:rPr>
                <w:rFonts w:ascii="Arial" w:hAnsi="Arial" w:cs="Arial"/>
                <w:sz w:val="18"/>
              </w:rPr>
              <w:t>801.986</w:t>
            </w:r>
          </w:p>
        </w:tc>
      </w:tr>
      <w:tr w:rsidR="00F011C0" w:rsidRPr="00701F32" w14:paraId="26BE51C4" w14:textId="77777777" w:rsidTr="00FE2245">
        <w:trPr>
          <w:trHeight w:val="270"/>
        </w:trPr>
        <w:tc>
          <w:tcPr>
            <w:tcW w:w="5670" w:type="dxa"/>
          </w:tcPr>
          <w:p w14:paraId="1A4268AE" w14:textId="77777777" w:rsidR="00F011C0" w:rsidRPr="00B57E77" w:rsidRDefault="00F011C0" w:rsidP="00F011C0">
            <w:pPr>
              <w:ind w:left="29"/>
              <w:jc w:val="both"/>
              <w:rPr>
                <w:rFonts w:ascii="Arial" w:hAnsi="Arial" w:cs="Arial"/>
                <w:sz w:val="18"/>
              </w:rPr>
            </w:pPr>
            <w:r w:rsidRPr="00B57E77">
              <w:rPr>
                <w:rFonts w:ascii="Arial" w:hAnsi="Arial" w:cs="Arial"/>
                <w:sz w:val="18"/>
              </w:rPr>
              <w:t>Adelantos</w:t>
            </w:r>
          </w:p>
        </w:tc>
        <w:tc>
          <w:tcPr>
            <w:tcW w:w="1560" w:type="dxa"/>
          </w:tcPr>
          <w:p w14:paraId="00B6AC5D" w14:textId="7004F9E4" w:rsidR="00F011C0" w:rsidRPr="00B57E77" w:rsidRDefault="002711C8" w:rsidP="00F011C0">
            <w:pPr>
              <w:tabs>
                <w:tab w:val="left" w:pos="1307"/>
              </w:tabs>
              <w:ind w:right="107"/>
              <w:jc w:val="right"/>
              <w:rPr>
                <w:rFonts w:ascii="Arial" w:hAnsi="Arial" w:cs="Arial"/>
                <w:sz w:val="18"/>
              </w:rPr>
            </w:pPr>
            <w:r>
              <w:rPr>
                <w:rFonts w:ascii="Arial" w:hAnsi="Arial" w:cs="Arial"/>
                <w:sz w:val="18"/>
              </w:rPr>
              <w:t>3.789.259</w:t>
            </w:r>
          </w:p>
        </w:tc>
        <w:tc>
          <w:tcPr>
            <w:tcW w:w="1559" w:type="dxa"/>
          </w:tcPr>
          <w:p w14:paraId="7AFF1465" w14:textId="218D6938" w:rsidR="00F011C0" w:rsidRPr="00B57E77" w:rsidRDefault="00F011C0" w:rsidP="00F011C0">
            <w:pPr>
              <w:tabs>
                <w:tab w:val="left" w:pos="1307"/>
              </w:tabs>
              <w:ind w:right="107"/>
              <w:jc w:val="right"/>
              <w:rPr>
                <w:rFonts w:ascii="Arial" w:hAnsi="Arial" w:cs="Arial"/>
                <w:sz w:val="18"/>
              </w:rPr>
            </w:pPr>
            <w:r w:rsidRPr="00B57E77">
              <w:rPr>
                <w:rFonts w:ascii="Arial" w:hAnsi="Arial" w:cs="Arial"/>
                <w:sz w:val="18"/>
              </w:rPr>
              <w:t>2.796.104</w:t>
            </w:r>
          </w:p>
        </w:tc>
      </w:tr>
      <w:tr w:rsidR="00F011C0" w:rsidRPr="00701F32" w14:paraId="565983C4" w14:textId="77777777" w:rsidTr="00FE2245">
        <w:trPr>
          <w:trHeight w:val="270"/>
        </w:trPr>
        <w:tc>
          <w:tcPr>
            <w:tcW w:w="5670" w:type="dxa"/>
          </w:tcPr>
          <w:p w14:paraId="6E53A0F2" w14:textId="77777777" w:rsidR="00F011C0" w:rsidRPr="00B57E77" w:rsidRDefault="00F011C0" w:rsidP="00F011C0">
            <w:pPr>
              <w:ind w:left="29"/>
              <w:jc w:val="both"/>
              <w:rPr>
                <w:rFonts w:ascii="Arial" w:hAnsi="Arial" w:cs="Arial"/>
                <w:sz w:val="18"/>
              </w:rPr>
            </w:pPr>
            <w:r w:rsidRPr="00B57E77">
              <w:rPr>
                <w:rFonts w:ascii="Arial" w:hAnsi="Arial" w:cs="Arial"/>
                <w:sz w:val="18"/>
              </w:rPr>
              <w:t>Documentos</w:t>
            </w:r>
          </w:p>
        </w:tc>
        <w:tc>
          <w:tcPr>
            <w:tcW w:w="1560" w:type="dxa"/>
          </w:tcPr>
          <w:p w14:paraId="19524E77" w14:textId="45F424A9" w:rsidR="00F011C0" w:rsidRPr="00B57E77" w:rsidRDefault="002711C8" w:rsidP="00F011C0">
            <w:pPr>
              <w:tabs>
                <w:tab w:val="left" w:pos="1307"/>
              </w:tabs>
              <w:ind w:right="107"/>
              <w:jc w:val="right"/>
              <w:rPr>
                <w:rFonts w:ascii="Arial" w:hAnsi="Arial" w:cs="Arial"/>
                <w:sz w:val="18"/>
              </w:rPr>
            </w:pPr>
            <w:r>
              <w:rPr>
                <w:rFonts w:ascii="Arial" w:hAnsi="Arial" w:cs="Arial"/>
                <w:sz w:val="18"/>
              </w:rPr>
              <w:t>8.850.013</w:t>
            </w:r>
          </w:p>
        </w:tc>
        <w:tc>
          <w:tcPr>
            <w:tcW w:w="1559" w:type="dxa"/>
          </w:tcPr>
          <w:p w14:paraId="0598EA19" w14:textId="2D1344B0" w:rsidR="00F011C0" w:rsidRPr="00B57E77" w:rsidRDefault="00F011C0" w:rsidP="00F011C0">
            <w:pPr>
              <w:tabs>
                <w:tab w:val="left" w:pos="1307"/>
              </w:tabs>
              <w:ind w:right="107"/>
              <w:jc w:val="right"/>
              <w:rPr>
                <w:rFonts w:ascii="Arial" w:hAnsi="Arial" w:cs="Arial"/>
                <w:sz w:val="18"/>
              </w:rPr>
            </w:pPr>
            <w:r w:rsidRPr="00B57E77">
              <w:rPr>
                <w:rFonts w:ascii="Arial" w:hAnsi="Arial" w:cs="Arial"/>
                <w:sz w:val="18"/>
              </w:rPr>
              <w:t>5.902.329</w:t>
            </w:r>
          </w:p>
        </w:tc>
      </w:tr>
      <w:tr w:rsidR="00F011C0" w:rsidRPr="00701F32" w14:paraId="202CC85A" w14:textId="77777777" w:rsidTr="00FE2245">
        <w:trPr>
          <w:trHeight w:val="270"/>
        </w:trPr>
        <w:tc>
          <w:tcPr>
            <w:tcW w:w="5670" w:type="dxa"/>
          </w:tcPr>
          <w:p w14:paraId="4320E95E" w14:textId="77777777" w:rsidR="00F011C0" w:rsidRPr="00B57E77" w:rsidRDefault="00F011C0" w:rsidP="00F011C0">
            <w:pPr>
              <w:ind w:left="29"/>
              <w:jc w:val="both"/>
              <w:rPr>
                <w:rFonts w:ascii="Arial" w:hAnsi="Arial" w:cs="Arial"/>
                <w:sz w:val="18"/>
              </w:rPr>
            </w:pPr>
            <w:r w:rsidRPr="00B57E77">
              <w:rPr>
                <w:rFonts w:ascii="Arial" w:hAnsi="Arial" w:cs="Arial"/>
                <w:sz w:val="18"/>
              </w:rPr>
              <w:t>Hipotecarios</w:t>
            </w:r>
          </w:p>
        </w:tc>
        <w:tc>
          <w:tcPr>
            <w:tcW w:w="1560" w:type="dxa"/>
          </w:tcPr>
          <w:p w14:paraId="60A59BF4" w14:textId="2C30F285" w:rsidR="00F011C0" w:rsidRPr="00B57E77" w:rsidRDefault="002711C8" w:rsidP="00F011C0">
            <w:pPr>
              <w:tabs>
                <w:tab w:val="left" w:pos="1307"/>
              </w:tabs>
              <w:ind w:right="107"/>
              <w:jc w:val="right"/>
              <w:rPr>
                <w:rFonts w:ascii="Arial" w:hAnsi="Arial" w:cs="Arial"/>
                <w:sz w:val="18"/>
              </w:rPr>
            </w:pPr>
            <w:r>
              <w:rPr>
                <w:rFonts w:ascii="Arial" w:hAnsi="Arial" w:cs="Arial"/>
                <w:sz w:val="18"/>
              </w:rPr>
              <w:t>391.235</w:t>
            </w:r>
          </w:p>
        </w:tc>
        <w:tc>
          <w:tcPr>
            <w:tcW w:w="1559" w:type="dxa"/>
          </w:tcPr>
          <w:p w14:paraId="4C5CD38E" w14:textId="248DD8F5" w:rsidR="00F011C0" w:rsidRPr="00B57E77" w:rsidRDefault="00F011C0" w:rsidP="00F011C0">
            <w:pPr>
              <w:tabs>
                <w:tab w:val="left" w:pos="1307"/>
              </w:tabs>
              <w:ind w:right="107"/>
              <w:jc w:val="right"/>
              <w:rPr>
                <w:rFonts w:ascii="Arial" w:hAnsi="Arial" w:cs="Arial"/>
                <w:sz w:val="18"/>
              </w:rPr>
            </w:pPr>
            <w:r w:rsidRPr="00B57E77">
              <w:rPr>
                <w:rFonts w:ascii="Arial" w:hAnsi="Arial" w:cs="Arial"/>
                <w:sz w:val="18"/>
              </w:rPr>
              <w:t>205.716</w:t>
            </w:r>
          </w:p>
        </w:tc>
      </w:tr>
      <w:tr w:rsidR="00F011C0" w:rsidRPr="00701F32" w14:paraId="5F06F351" w14:textId="77777777" w:rsidTr="00FE2245">
        <w:trPr>
          <w:trHeight w:val="270"/>
        </w:trPr>
        <w:tc>
          <w:tcPr>
            <w:tcW w:w="5670" w:type="dxa"/>
          </w:tcPr>
          <w:p w14:paraId="710EEF65" w14:textId="77777777" w:rsidR="00F011C0" w:rsidRPr="00B57E77" w:rsidRDefault="00F011C0" w:rsidP="00F011C0">
            <w:pPr>
              <w:ind w:left="29"/>
              <w:jc w:val="both"/>
              <w:rPr>
                <w:rFonts w:ascii="Arial" w:hAnsi="Arial" w:cs="Arial"/>
                <w:sz w:val="18"/>
              </w:rPr>
            </w:pPr>
            <w:r w:rsidRPr="00B57E77">
              <w:rPr>
                <w:rFonts w:ascii="Arial" w:hAnsi="Arial" w:cs="Arial"/>
                <w:sz w:val="18"/>
              </w:rPr>
              <w:t>Prendarios</w:t>
            </w:r>
          </w:p>
        </w:tc>
        <w:tc>
          <w:tcPr>
            <w:tcW w:w="1560" w:type="dxa"/>
          </w:tcPr>
          <w:p w14:paraId="6502F990" w14:textId="50CA43E7" w:rsidR="00F011C0" w:rsidRPr="00B57E77" w:rsidRDefault="002711C8" w:rsidP="00F011C0">
            <w:pPr>
              <w:tabs>
                <w:tab w:val="left" w:pos="1307"/>
              </w:tabs>
              <w:ind w:right="107"/>
              <w:jc w:val="right"/>
              <w:rPr>
                <w:rFonts w:ascii="Arial" w:hAnsi="Arial" w:cs="Arial"/>
                <w:sz w:val="18"/>
              </w:rPr>
            </w:pPr>
            <w:r>
              <w:rPr>
                <w:rFonts w:ascii="Arial" w:hAnsi="Arial" w:cs="Arial"/>
                <w:sz w:val="18"/>
              </w:rPr>
              <w:t>160.845</w:t>
            </w:r>
          </w:p>
        </w:tc>
        <w:tc>
          <w:tcPr>
            <w:tcW w:w="1559" w:type="dxa"/>
          </w:tcPr>
          <w:p w14:paraId="3E2CFD87" w14:textId="696E0EC5" w:rsidR="00F011C0" w:rsidRPr="00B57E77" w:rsidRDefault="00F011C0" w:rsidP="00F011C0">
            <w:pPr>
              <w:tabs>
                <w:tab w:val="left" w:pos="1307"/>
              </w:tabs>
              <w:ind w:right="107"/>
              <w:jc w:val="right"/>
              <w:rPr>
                <w:rFonts w:ascii="Arial" w:hAnsi="Arial" w:cs="Arial"/>
                <w:sz w:val="18"/>
              </w:rPr>
            </w:pPr>
            <w:r w:rsidRPr="00B57E77">
              <w:rPr>
                <w:rFonts w:ascii="Arial" w:hAnsi="Arial" w:cs="Arial"/>
                <w:sz w:val="18"/>
              </w:rPr>
              <w:t>113.037</w:t>
            </w:r>
          </w:p>
        </w:tc>
      </w:tr>
      <w:tr w:rsidR="00F011C0" w:rsidRPr="00701F32" w14:paraId="3BD8E32E" w14:textId="77777777" w:rsidTr="00FE2245">
        <w:trPr>
          <w:trHeight w:val="270"/>
        </w:trPr>
        <w:tc>
          <w:tcPr>
            <w:tcW w:w="5670" w:type="dxa"/>
          </w:tcPr>
          <w:p w14:paraId="28B14B03" w14:textId="77777777" w:rsidR="00F011C0" w:rsidRPr="00B57E77" w:rsidRDefault="00F011C0" w:rsidP="00F011C0">
            <w:pPr>
              <w:ind w:left="29"/>
              <w:jc w:val="both"/>
              <w:rPr>
                <w:rFonts w:ascii="Arial" w:hAnsi="Arial" w:cs="Arial"/>
                <w:sz w:val="18"/>
              </w:rPr>
            </w:pPr>
            <w:r w:rsidRPr="00B57E77">
              <w:rPr>
                <w:rFonts w:ascii="Arial" w:hAnsi="Arial" w:cs="Arial"/>
                <w:sz w:val="18"/>
              </w:rPr>
              <w:t>Personales</w:t>
            </w:r>
          </w:p>
        </w:tc>
        <w:tc>
          <w:tcPr>
            <w:tcW w:w="1560" w:type="dxa"/>
          </w:tcPr>
          <w:p w14:paraId="34976ABD" w14:textId="00C39324" w:rsidR="00F011C0" w:rsidRPr="00B57E77" w:rsidRDefault="002711C8" w:rsidP="00F011C0">
            <w:pPr>
              <w:tabs>
                <w:tab w:val="left" w:pos="1307"/>
              </w:tabs>
              <w:ind w:right="107"/>
              <w:jc w:val="right"/>
              <w:rPr>
                <w:rFonts w:ascii="Arial" w:hAnsi="Arial" w:cs="Arial"/>
                <w:sz w:val="18"/>
              </w:rPr>
            </w:pPr>
            <w:r>
              <w:rPr>
                <w:rFonts w:ascii="Arial" w:hAnsi="Arial" w:cs="Arial"/>
                <w:sz w:val="18"/>
              </w:rPr>
              <w:t>7.783.008</w:t>
            </w:r>
          </w:p>
        </w:tc>
        <w:tc>
          <w:tcPr>
            <w:tcW w:w="1559" w:type="dxa"/>
          </w:tcPr>
          <w:p w14:paraId="2FE6946D" w14:textId="41E33435" w:rsidR="00F011C0" w:rsidRPr="00B57E77" w:rsidRDefault="00F011C0" w:rsidP="00F011C0">
            <w:pPr>
              <w:tabs>
                <w:tab w:val="left" w:pos="1307"/>
              </w:tabs>
              <w:ind w:right="107"/>
              <w:jc w:val="right"/>
              <w:rPr>
                <w:rFonts w:ascii="Arial" w:hAnsi="Arial" w:cs="Arial"/>
                <w:sz w:val="18"/>
              </w:rPr>
            </w:pPr>
            <w:r w:rsidRPr="00B57E77">
              <w:rPr>
                <w:rFonts w:ascii="Arial" w:hAnsi="Arial" w:cs="Arial"/>
                <w:sz w:val="18"/>
              </w:rPr>
              <w:t>5.694.199</w:t>
            </w:r>
          </w:p>
        </w:tc>
      </w:tr>
      <w:tr w:rsidR="00F011C0" w:rsidRPr="00701F32" w14:paraId="4E0E8E10" w14:textId="77777777" w:rsidTr="00FE2245">
        <w:trPr>
          <w:trHeight w:val="270"/>
        </w:trPr>
        <w:tc>
          <w:tcPr>
            <w:tcW w:w="5670" w:type="dxa"/>
          </w:tcPr>
          <w:p w14:paraId="0A901D6D" w14:textId="77777777" w:rsidR="00F011C0" w:rsidRPr="00B57E77" w:rsidRDefault="00F011C0" w:rsidP="00F011C0">
            <w:pPr>
              <w:ind w:left="29"/>
              <w:jc w:val="both"/>
              <w:rPr>
                <w:rFonts w:ascii="Arial" w:hAnsi="Arial" w:cs="Arial"/>
                <w:sz w:val="18"/>
              </w:rPr>
            </w:pPr>
            <w:r w:rsidRPr="00B57E77">
              <w:rPr>
                <w:rFonts w:ascii="Arial" w:hAnsi="Arial" w:cs="Arial"/>
                <w:sz w:val="18"/>
              </w:rPr>
              <w:t>Tarjetas de crédito</w:t>
            </w:r>
          </w:p>
        </w:tc>
        <w:tc>
          <w:tcPr>
            <w:tcW w:w="1560" w:type="dxa"/>
          </w:tcPr>
          <w:p w14:paraId="55C59D89" w14:textId="1DBD4C69" w:rsidR="00F011C0" w:rsidRPr="00B57E77" w:rsidRDefault="002711C8" w:rsidP="00F011C0">
            <w:pPr>
              <w:tabs>
                <w:tab w:val="left" w:pos="1307"/>
              </w:tabs>
              <w:ind w:right="107"/>
              <w:jc w:val="right"/>
              <w:rPr>
                <w:rFonts w:ascii="Arial" w:hAnsi="Arial" w:cs="Arial"/>
                <w:sz w:val="18"/>
              </w:rPr>
            </w:pPr>
            <w:r>
              <w:rPr>
                <w:rFonts w:ascii="Arial" w:hAnsi="Arial" w:cs="Arial"/>
                <w:sz w:val="18"/>
              </w:rPr>
              <w:t>2.921.810</w:t>
            </w:r>
          </w:p>
        </w:tc>
        <w:tc>
          <w:tcPr>
            <w:tcW w:w="1559" w:type="dxa"/>
          </w:tcPr>
          <w:p w14:paraId="193980CA" w14:textId="4A2C588C" w:rsidR="00F011C0" w:rsidRPr="00B57E77" w:rsidRDefault="00F011C0" w:rsidP="00F011C0">
            <w:pPr>
              <w:tabs>
                <w:tab w:val="left" w:pos="1307"/>
              </w:tabs>
              <w:ind w:right="107"/>
              <w:jc w:val="right"/>
              <w:rPr>
                <w:rFonts w:ascii="Arial" w:hAnsi="Arial" w:cs="Arial"/>
                <w:sz w:val="18"/>
              </w:rPr>
            </w:pPr>
            <w:r w:rsidRPr="00B57E77">
              <w:rPr>
                <w:rFonts w:ascii="Arial" w:hAnsi="Arial" w:cs="Arial"/>
                <w:sz w:val="18"/>
              </w:rPr>
              <w:t>1.919.435</w:t>
            </w:r>
          </w:p>
        </w:tc>
      </w:tr>
      <w:tr w:rsidR="00F011C0" w:rsidRPr="00701F32" w14:paraId="2A1393BC" w14:textId="77777777" w:rsidTr="00FE2245">
        <w:trPr>
          <w:trHeight w:val="270"/>
        </w:trPr>
        <w:tc>
          <w:tcPr>
            <w:tcW w:w="5670" w:type="dxa"/>
          </w:tcPr>
          <w:p w14:paraId="1F6CDCFF" w14:textId="77777777" w:rsidR="00F011C0" w:rsidRPr="00B57E77" w:rsidRDefault="00F011C0" w:rsidP="00F011C0">
            <w:pPr>
              <w:ind w:left="29"/>
              <w:jc w:val="both"/>
              <w:rPr>
                <w:rFonts w:ascii="Arial" w:hAnsi="Arial" w:cs="Arial"/>
                <w:sz w:val="18"/>
              </w:rPr>
            </w:pPr>
            <w:r w:rsidRPr="00B57E77">
              <w:rPr>
                <w:rFonts w:ascii="Arial" w:hAnsi="Arial" w:cs="Arial"/>
                <w:sz w:val="18"/>
              </w:rPr>
              <w:t>Arrendamientos financieros</w:t>
            </w:r>
          </w:p>
        </w:tc>
        <w:tc>
          <w:tcPr>
            <w:tcW w:w="1560" w:type="dxa"/>
          </w:tcPr>
          <w:p w14:paraId="2E66ECAB" w14:textId="006B8B77" w:rsidR="00F011C0" w:rsidRPr="00B57E77" w:rsidRDefault="002711C8" w:rsidP="00F011C0">
            <w:pPr>
              <w:tabs>
                <w:tab w:val="left" w:pos="1307"/>
              </w:tabs>
              <w:ind w:right="107"/>
              <w:jc w:val="right"/>
              <w:rPr>
                <w:rFonts w:ascii="Arial" w:hAnsi="Arial" w:cs="Arial"/>
                <w:sz w:val="18"/>
              </w:rPr>
            </w:pPr>
            <w:r>
              <w:rPr>
                <w:rFonts w:ascii="Arial" w:hAnsi="Arial" w:cs="Arial"/>
                <w:sz w:val="18"/>
              </w:rPr>
              <w:t>878.057</w:t>
            </w:r>
          </w:p>
        </w:tc>
        <w:tc>
          <w:tcPr>
            <w:tcW w:w="1559" w:type="dxa"/>
          </w:tcPr>
          <w:p w14:paraId="3D922148" w14:textId="20D79C7D" w:rsidR="00F011C0" w:rsidRPr="00B57E77" w:rsidRDefault="00F011C0" w:rsidP="00F011C0">
            <w:pPr>
              <w:tabs>
                <w:tab w:val="left" w:pos="1307"/>
              </w:tabs>
              <w:ind w:right="107"/>
              <w:jc w:val="right"/>
              <w:rPr>
                <w:rFonts w:ascii="Arial" w:hAnsi="Arial" w:cs="Arial"/>
                <w:sz w:val="18"/>
              </w:rPr>
            </w:pPr>
            <w:r w:rsidRPr="00B57E77">
              <w:rPr>
                <w:rFonts w:ascii="Arial" w:hAnsi="Arial" w:cs="Arial"/>
                <w:sz w:val="18"/>
              </w:rPr>
              <w:t>704.274</w:t>
            </w:r>
          </w:p>
        </w:tc>
      </w:tr>
      <w:tr w:rsidR="00F011C0" w:rsidRPr="00701F32" w14:paraId="524C6F92" w14:textId="77777777" w:rsidTr="00FE2245">
        <w:trPr>
          <w:trHeight w:val="270"/>
        </w:trPr>
        <w:tc>
          <w:tcPr>
            <w:tcW w:w="5670" w:type="dxa"/>
          </w:tcPr>
          <w:p w14:paraId="4C175F33" w14:textId="77777777" w:rsidR="00F011C0" w:rsidRPr="00B57E77" w:rsidRDefault="00F011C0" w:rsidP="00F011C0">
            <w:pPr>
              <w:ind w:left="29"/>
              <w:jc w:val="both"/>
              <w:rPr>
                <w:rFonts w:ascii="Arial" w:hAnsi="Arial" w:cs="Arial"/>
                <w:sz w:val="18"/>
              </w:rPr>
            </w:pPr>
            <w:r w:rsidRPr="00B57E77">
              <w:rPr>
                <w:rFonts w:ascii="Arial" w:hAnsi="Arial" w:cs="Arial"/>
                <w:sz w:val="18"/>
              </w:rPr>
              <w:t>Otros</w:t>
            </w:r>
          </w:p>
        </w:tc>
        <w:tc>
          <w:tcPr>
            <w:tcW w:w="1560" w:type="dxa"/>
          </w:tcPr>
          <w:p w14:paraId="37AC0171" w14:textId="53C07459" w:rsidR="00F011C0" w:rsidRPr="00B57E77" w:rsidRDefault="002711C8" w:rsidP="00F011C0">
            <w:pPr>
              <w:tabs>
                <w:tab w:val="left" w:pos="1307"/>
              </w:tabs>
              <w:ind w:right="107"/>
              <w:jc w:val="right"/>
              <w:rPr>
                <w:rFonts w:ascii="Arial" w:hAnsi="Arial" w:cs="Arial"/>
                <w:sz w:val="18"/>
              </w:rPr>
            </w:pPr>
            <w:r>
              <w:rPr>
                <w:rFonts w:ascii="Arial" w:hAnsi="Arial" w:cs="Arial"/>
                <w:sz w:val="18"/>
              </w:rPr>
              <w:t>5.352.468</w:t>
            </w:r>
          </w:p>
        </w:tc>
        <w:tc>
          <w:tcPr>
            <w:tcW w:w="1559" w:type="dxa"/>
          </w:tcPr>
          <w:p w14:paraId="5CC024B1" w14:textId="009ECBE0" w:rsidR="00F011C0" w:rsidRPr="00B57E77" w:rsidRDefault="00F011C0" w:rsidP="00F011C0">
            <w:pPr>
              <w:tabs>
                <w:tab w:val="left" w:pos="1307"/>
              </w:tabs>
              <w:ind w:right="107"/>
              <w:jc w:val="right"/>
              <w:rPr>
                <w:rFonts w:ascii="Arial" w:hAnsi="Arial" w:cs="Arial"/>
                <w:sz w:val="18"/>
              </w:rPr>
            </w:pPr>
            <w:r w:rsidRPr="00B57E77">
              <w:rPr>
                <w:rFonts w:ascii="Arial" w:hAnsi="Arial" w:cs="Arial"/>
                <w:sz w:val="18"/>
              </w:rPr>
              <w:t>2.623.182</w:t>
            </w:r>
          </w:p>
        </w:tc>
      </w:tr>
      <w:tr w:rsidR="00F011C0" w:rsidRPr="00701F32" w14:paraId="75A64AA7" w14:textId="77777777" w:rsidTr="00FE2245">
        <w:trPr>
          <w:trHeight w:val="270"/>
        </w:trPr>
        <w:tc>
          <w:tcPr>
            <w:tcW w:w="5670" w:type="dxa"/>
          </w:tcPr>
          <w:p w14:paraId="596102A3" w14:textId="77777777" w:rsidR="00F011C0" w:rsidRPr="00B57E77" w:rsidRDefault="00F011C0" w:rsidP="00F011C0">
            <w:pPr>
              <w:pStyle w:val="Style1"/>
              <w:adjustRightInd/>
              <w:ind w:left="29"/>
              <w:jc w:val="both"/>
              <w:rPr>
                <w:rFonts w:ascii="Arial" w:hAnsi="Arial" w:cs="Arial"/>
                <w:spacing w:val="-6"/>
                <w:sz w:val="18"/>
                <w:szCs w:val="20"/>
              </w:rPr>
            </w:pPr>
            <w:r w:rsidRPr="00B57E77">
              <w:rPr>
                <w:rFonts w:ascii="Arial" w:hAnsi="Arial" w:cs="Arial"/>
                <w:spacing w:val="-6"/>
                <w:sz w:val="18"/>
                <w:szCs w:val="20"/>
              </w:rPr>
              <w:t>Por operaciones de pase con otras entidades  financieras</w:t>
            </w:r>
          </w:p>
        </w:tc>
        <w:tc>
          <w:tcPr>
            <w:tcW w:w="1560" w:type="dxa"/>
          </w:tcPr>
          <w:p w14:paraId="79AF15CE" w14:textId="243AA729" w:rsidR="00F011C0" w:rsidRPr="00B57E77" w:rsidRDefault="002711C8" w:rsidP="00F011C0">
            <w:pPr>
              <w:pStyle w:val="Style1"/>
              <w:adjustRightInd/>
              <w:ind w:right="107"/>
              <w:jc w:val="right"/>
              <w:rPr>
                <w:rFonts w:ascii="Arial" w:hAnsi="Arial" w:cs="Arial"/>
                <w:spacing w:val="-4"/>
                <w:sz w:val="18"/>
                <w:szCs w:val="20"/>
              </w:rPr>
            </w:pPr>
            <w:r>
              <w:rPr>
                <w:rFonts w:ascii="Arial" w:hAnsi="Arial" w:cs="Arial"/>
                <w:spacing w:val="-4"/>
                <w:sz w:val="18"/>
                <w:szCs w:val="20"/>
              </w:rPr>
              <w:t>497.025</w:t>
            </w:r>
          </w:p>
        </w:tc>
        <w:tc>
          <w:tcPr>
            <w:tcW w:w="1559" w:type="dxa"/>
          </w:tcPr>
          <w:p w14:paraId="4CE483EF" w14:textId="06391887" w:rsidR="00F011C0" w:rsidRPr="00B57E77" w:rsidRDefault="00F011C0" w:rsidP="00F011C0">
            <w:pPr>
              <w:pStyle w:val="Style1"/>
              <w:adjustRightInd/>
              <w:ind w:right="107"/>
              <w:jc w:val="right"/>
              <w:rPr>
                <w:rFonts w:ascii="Arial" w:hAnsi="Arial" w:cs="Arial"/>
                <w:spacing w:val="-4"/>
                <w:sz w:val="18"/>
                <w:szCs w:val="20"/>
              </w:rPr>
            </w:pPr>
            <w:r w:rsidRPr="00B57E77">
              <w:rPr>
                <w:rFonts w:ascii="Arial" w:hAnsi="Arial" w:cs="Arial"/>
                <w:spacing w:val="-4"/>
                <w:sz w:val="18"/>
                <w:szCs w:val="20"/>
              </w:rPr>
              <w:t>40.407</w:t>
            </w:r>
          </w:p>
        </w:tc>
      </w:tr>
      <w:tr w:rsidR="00F011C0" w:rsidRPr="00701F32" w14:paraId="03AD18B4" w14:textId="77777777" w:rsidTr="00FE2245">
        <w:trPr>
          <w:trHeight w:val="270"/>
        </w:trPr>
        <w:tc>
          <w:tcPr>
            <w:tcW w:w="5670" w:type="dxa"/>
            <w:shd w:val="clear" w:color="auto" w:fill="auto"/>
          </w:tcPr>
          <w:p w14:paraId="078AD8EA" w14:textId="77777777" w:rsidR="00F011C0" w:rsidRPr="00B57E77" w:rsidRDefault="00F011C0" w:rsidP="00F011C0">
            <w:pPr>
              <w:jc w:val="both"/>
              <w:rPr>
                <w:rFonts w:ascii="Arial" w:hAnsi="Arial" w:cs="Arial"/>
                <w:b/>
                <w:sz w:val="18"/>
              </w:rPr>
            </w:pPr>
            <w:r w:rsidRPr="00B57E77">
              <w:rPr>
                <w:rFonts w:ascii="Arial" w:hAnsi="Arial" w:cs="Arial"/>
                <w:b/>
                <w:sz w:val="18"/>
              </w:rPr>
              <w:t>Total</w:t>
            </w:r>
          </w:p>
        </w:tc>
        <w:tc>
          <w:tcPr>
            <w:tcW w:w="1560" w:type="dxa"/>
          </w:tcPr>
          <w:p w14:paraId="74B04060" w14:textId="106AAF0A" w:rsidR="00F011C0" w:rsidRPr="00B57E77" w:rsidRDefault="002711C8" w:rsidP="00F011C0">
            <w:pPr>
              <w:pStyle w:val="Style1"/>
              <w:adjustRightInd/>
              <w:ind w:right="107"/>
              <w:jc w:val="right"/>
              <w:rPr>
                <w:rFonts w:ascii="Arial" w:hAnsi="Arial" w:cs="Arial"/>
                <w:b/>
                <w:sz w:val="18"/>
                <w:szCs w:val="20"/>
              </w:rPr>
            </w:pPr>
            <w:r>
              <w:rPr>
                <w:rFonts w:ascii="Arial" w:hAnsi="Arial" w:cs="Arial"/>
                <w:b/>
                <w:sz w:val="18"/>
                <w:szCs w:val="20"/>
              </w:rPr>
              <w:t>33.778.961</w:t>
            </w:r>
          </w:p>
        </w:tc>
        <w:tc>
          <w:tcPr>
            <w:tcW w:w="1559" w:type="dxa"/>
            <w:shd w:val="clear" w:color="auto" w:fill="auto"/>
          </w:tcPr>
          <w:p w14:paraId="28A2ABFF" w14:textId="4BDA23C5" w:rsidR="00F011C0" w:rsidRPr="00B57E77" w:rsidRDefault="00F011C0" w:rsidP="00F011C0">
            <w:pPr>
              <w:pStyle w:val="Style1"/>
              <w:adjustRightInd/>
              <w:ind w:right="107"/>
              <w:jc w:val="right"/>
              <w:rPr>
                <w:rFonts w:ascii="Arial" w:hAnsi="Arial" w:cs="Arial"/>
                <w:b/>
                <w:sz w:val="18"/>
                <w:szCs w:val="20"/>
              </w:rPr>
            </w:pPr>
            <w:r w:rsidRPr="00B57E77">
              <w:rPr>
                <w:rFonts w:ascii="Arial" w:hAnsi="Arial" w:cs="Arial"/>
                <w:b/>
                <w:sz w:val="18"/>
                <w:szCs w:val="20"/>
              </w:rPr>
              <w:t>21.514.284</w:t>
            </w:r>
          </w:p>
        </w:tc>
      </w:tr>
    </w:tbl>
    <w:p w14:paraId="2299544F" w14:textId="77511A29" w:rsidR="007D2DED" w:rsidRDefault="007D2DED" w:rsidP="007D2DED">
      <w:pPr>
        <w:pStyle w:val="PrimerNivel"/>
        <w:numPr>
          <w:ilvl w:val="0"/>
          <w:numId w:val="0"/>
        </w:numPr>
        <w:rPr>
          <w:rFonts w:ascii="Arial" w:hAnsi="Arial" w:cs="Arial"/>
          <w:b/>
          <w:sz w:val="20"/>
          <w:szCs w:val="20"/>
          <w:lang w:val="es-AR"/>
        </w:rPr>
      </w:pPr>
    </w:p>
    <w:p w14:paraId="6F4426E6" w14:textId="34ED4458" w:rsidR="007D2DED"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.16 Ingresos por comisiones</w:t>
      </w:r>
    </w:p>
    <w:p w14:paraId="24953B58" w14:textId="77777777" w:rsidR="007D2DED" w:rsidRDefault="007D2DED" w:rsidP="007D2DED">
      <w:pPr>
        <w:spacing w:after="160" w:line="259" w:lineRule="auto"/>
        <w:rPr>
          <w:rFonts w:ascii="Arial" w:eastAsiaTheme="minorHAnsi" w:hAnsi="Arial" w:cs="Arial"/>
          <w:sz w:val="20"/>
          <w:szCs w:val="22"/>
        </w:rPr>
      </w:pPr>
    </w:p>
    <w:p w14:paraId="0C126721" w14:textId="77A9018A" w:rsidR="007D2DED" w:rsidRPr="00701F32" w:rsidRDefault="007D2DED" w:rsidP="007D2DED">
      <w:pPr>
        <w:spacing w:after="160" w:line="259" w:lineRule="auto"/>
        <w:rPr>
          <w:rFonts w:ascii="Arial" w:hAnsi="Arial" w:cs="Arial"/>
          <w:bCs/>
          <w:color w:val="000000"/>
          <w:sz w:val="20"/>
          <w:lang w:eastAsia="es-AR"/>
        </w:rPr>
      </w:pPr>
      <w:r w:rsidRPr="00701F32">
        <w:rPr>
          <w:rFonts w:ascii="Arial" w:eastAsiaTheme="minorHAnsi" w:hAnsi="Arial" w:cs="Arial"/>
          <w:sz w:val="20"/>
          <w:szCs w:val="22"/>
        </w:rPr>
        <w:t xml:space="preserve">Los principales componentes del rubro </w:t>
      </w:r>
      <w:r>
        <w:rPr>
          <w:rFonts w:ascii="Arial" w:eastAsiaTheme="minorHAnsi" w:hAnsi="Arial" w:cs="Arial"/>
          <w:sz w:val="20"/>
          <w:szCs w:val="22"/>
        </w:rPr>
        <w:t>ingresos por comisiones para</w:t>
      </w:r>
      <w:r w:rsidRPr="00701F32">
        <w:rPr>
          <w:rFonts w:ascii="Arial" w:eastAsiaTheme="minorHAnsi" w:hAnsi="Arial" w:cs="Arial"/>
          <w:sz w:val="20"/>
          <w:szCs w:val="22"/>
        </w:rPr>
        <w:t xml:space="preserve"> los </w:t>
      </w:r>
      <w:r>
        <w:rPr>
          <w:rFonts w:ascii="Arial" w:eastAsiaTheme="minorHAnsi" w:hAnsi="Arial" w:cs="Arial"/>
          <w:sz w:val="20"/>
          <w:szCs w:val="22"/>
        </w:rPr>
        <w:t>ejercicios</w:t>
      </w:r>
      <w:r w:rsidRPr="00701F32">
        <w:rPr>
          <w:rFonts w:ascii="Arial" w:eastAsiaTheme="minorHAnsi" w:hAnsi="Arial" w:cs="Arial"/>
          <w:sz w:val="20"/>
          <w:szCs w:val="22"/>
        </w:rPr>
        <w:t xml:space="preserve"> finalizados el</w:t>
      </w:r>
      <w:r>
        <w:rPr>
          <w:rFonts w:ascii="Arial" w:eastAsiaTheme="minorHAnsi" w:hAnsi="Arial" w:cs="Arial"/>
          <w:sz w:val="20"/>
          <w:szCs w:val="22"/>
        </w:rPr>
        <w:t xml:space="preserve"> 31</w:t>
      </w:r>
      <w:r w:rsidRPr="00701F32">
        <w:rPr>
          <w:rFonts w:ascii="Arial" w:eastAsiaTheme="minorHAnsi" w:hAnsi="Arial" w:cs="Arial"/>
          <w:sz w:val="20"/>
          <w:szCs w:val="22"/>
        </w:rPr>
        <w:t xml:space="preserve"> de </w:t>
      </w:r>
      <w:r>
        <w:rPr>
          <w:rFonts w:ascii="Arial" w:eastAsiaTheme="minorHAnsi" w:hAnsi="Arial" w:cs="Arial"/>
          <w:sz w:val="20"/>
        </w:rPr>
        <w:t>diciembre</w:t>
      </w:r>
      <w:r w:rsidRPr="00701F32">
        <w:rPr>
          <w:rFonts w:ascii="Arial" w:eastAsiaTheme="minorHAnsi" w:hAnsi="Arial" w:cs="Arial"/>
          <w:sz w:val="20"/>
          <w:szCs w:val="22"/>
        </w:rPr>
        <w:t xml:space="preserve"> de </w:t>
      </w:r>
      <w:r w:rsidR="00F011C0">
        <w:rPr>
          <w:rFonts w:ascii="Arial" w:eastAsiaTheme="minorHAnsi" w:hAnsi="Arial" w:cs="Arial"/>
          <w:sz w:val="20"/>
          <w:szCs w:val="22"/>
        </w:rPr>
        <w:t>2019 y 2018</w:t>
      </w:r>
      <w:r w:rsidRPr="00701F32">
        <w:rPr>
          <w:rFonts w:ascii="Arial" w:eastAsiaTheme="minorHAnsi" w:hAnsi="Arial" w:cs="Arial"/>
          <w:sz w:val="20"/>
          <w:szCs w:val="22"/>
        </w:rPr>
        <w:t xml:space="preserve"> son los siguientes: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1560"/>
        <w:gridCol w:w="1559"/>
      </w:tblGrid>
      <w:tr w:rsidR="00DF0784" w:rsidRPr="00701F32" w14:paraId="371DAD9D" w14:textId="77777777" w:rsidTr="00DF0784">
        <w:trPr>
          <w:trHeight w:val="255"/>
          <w:tblHeader/>
        </w:trPr>
        <w:tc>
          <w:tcPr>
            <w:tcW w:w="5778" w:type="dxa"/>
            <w:shd w:val="clear" w:color="auto" w:fill="auto"/>
          </w:tcPr>
          <w:p w14:paraId="390B0D65" w14:textId="77777777" w:rsidR="00DF0784" w:rsidRPr="006E1AF7" w:rsidRDefault="00DF0784" w:rsidP="00DF0784">
            <w:pPr>
              <w:tabs>
                <w:tab w:val="decimal" w:pos="284"/>
                <w:tab w:val="decimal" w:pos="6237"/>
                <w:tab w:val="decimal" w:pos="7200"/>
                <w:tab w:val="decimal" w:pos="8220"/>
                <w:tab w:val="decimal" w:pos="8900"/>
              </w:tabs>
              <w:jc w:val="both"/>
              <w:rPr>
                <w:rFonts w:ascii="Arial" w:hAnsi="Arial" w:cs="Arial"/>
                <w:b/>
                <w:sz w:val="18"/>
              </w:rPr>
            </w:pPr>
          </w:p>
        </w:tc>
        <w:tc>
          <w:tcPr>
            <w:tcW w:w="1560" w:type="dxa"/>
            <w:vAlign w:val="bottom"/>
          </w:tcPr>
          <w:p w14:paraId="780D9C34" w14:textId="400B357B" w:rsidR="00DF0784" w:rsidRPr="006E1AF7" w:rsidRDefault="00DF0784" w:rsidP="00DF0784">
            <w:pPr>
              <w:tabs>
                <w:tab w:val="decimal" w:pos="284"/>
                <w:tab w:val="decimal" w:pos="6237"/>
                <w:tab w:val="decimal" w:pos="7200"/>
                <w:tab w:val="decimal" w:pos="8220"/>
                <w:tab w:val="decimal" w:pos="8900"/>
              </w:tabs>
              <w:jc w:val="center"/>
              <w:rPr>
                <w:rFonts w:ascii="Arial" w:hAnsi="Arial" w:cs="Arial"/>
                <w:b/>
                <w:sz w:val="18"/>
              </w:rPr>
            </w:pPr>
            <w:r w:rsidRPr="006E1AF7">
              <w:rPr>
                <w:rFonts w:ascii="Arial" w:hAnsi="Arial" w:cs="Arial"/>
                <w:b/>
                <w:color w:val="000000"/>
                <w:sz w:val="18"/>
                <w:lang w:eastAsia="es-AR"/>
              </w:rPr>
              <w:t>31/12/2019</w:t>
            </w:r>
          </w:p>
        </w:tc>
        <w:tc>
          <w:tcPr>
            <w:tcW w:w="1559" w:type="dxa"/>
            <w:shd w:val="clear" w:color="auto" w:fill="auto"/>
            <w:vAlign w:val="bottom"/>
          </w:tcPr>
          <w:p w14:paraId="3D2E5FCA" w14:textId="32D6D9F7" w:rsidR="00DF0784" w:rsidRPr="006E1AF7" w:rsidRDefault="00DF0784" w:rsidP="00DF0784">
            <w:pPr>
              <w:tabs>
                <w:tab w:val="decimal" w:pos="284"/>
                <w:tab w:val="decimal" w:pos="6237"/>
                <w:tab w:val="decimal" w:pos="7200"/>
                <w:tab w:val="decimal" w:pos="8220"/>
                <w:tab w:val="decimal" w:pos="8900"/>
              </w:tabs>
              <w:jc w:val="center"/>
              <w:rPr>
                <w:rFonts w:ascii="Arial" w:hAnsi="Arial" w:cs="Arial"/>
                <w:b/>
                <w:sz w:val="18"/>
              </w:rPr>
            </w:pPr>
            <w:r w:rsidRPr="006E1AF7">
              <w:rPr>
                <w:rFonts w:ascii="Arial" w:hAnsi="Arial" w:cs="Arial"/>
                <w:b/>
                <w:color w:val="000000"/>
                <w:sz w:val="18"/>
                <w:lang w:eastAsia="es-AR"/>
              </w:rPr>
              <w:t>31/12/2018</w:t>
            </w:r>
          </w:p>
        </w:tc>
      </w:tr>
      <w:tr w:rsidR="00F011C0" w:rsidRPr="00701F32" w14:paraId="36EA8E52" w14:textId="77777777" w:rsidTr="00FE2245">
        <w:trPr>
          <w:trHeight w:val="255"/>
        </w:trPr>
        <w:tc>
          <w:tcPr>
            <w:tcW w:w="5778" w:type="dxa"/>
          </w:tcPr>
          <w:p w14:paraId="089A22BA" w14:textId="77777777" w:rsidR="00F011C0" w:rsidRPr="006E1AF7" w:rsidRDefault="00F011C0" w:rsidP="00F011C0">
            <w:pPr>
              <w:jc w:val="both"/>
              <w:rPr>
                <w:rFonts w:ascii="Arial" w:hAnsi="Arial" w:cs="Arial"/>
                <w:sz w:val="18"/>
              </w:rPr>
            </w:pPr>
            <w:r w:rsidRPr="006E1AF7">
              <w:rPr>
                <w:rFonts w:ascii="Arial" w:hAnsi="Arial" w:cs="Arial"/>
                <w:sz w:val="18"/>
              </w:rPr>
              <w:t>Comisiones vinculadas con obligaciones</w:t>
            </w:r>
          </w:p>
        </w:tc>
        <w:tc>
          <w:tcPr>
            <w:tcW w:w="1560" w:type="dxa"/>
          </w:tcPr>
          <w:p w14:paraId="1C32E003" w14:textId="484FBB84" w:rsidR="00F011C0" w:rsidRPr="006E1AF7" w:rsidRDefault="002C695D" w:rsidP="00F011C0">
            <w:pPr>
              <w:ind w:right="113"/>
              <w:jc w:val="right"/>
              <w:rPr>
                <w:rFonts w:ascii="Arial" w:hAnsi="Arial" w:cs="Arial"/>
                <w:sz w:val="18"/>
              </w:rPr>
            </w:pPr>
            <w:r w:rsidRPr="006E1AF7">
              <w:rPr>
                <w:rFonts w:ascii="Arial" w:hAnsi="Arial" w:cs="Arial"/>
                <w:sz w:val="18"/>
              </w:rPr>
              <w:t>2.897.100</w:t>
            </w:r>
          </w:p>
        </w:tc>
        <w:tc>
          <w:tcPr>
            <w:tcW w:w="1559" w:type="dxa"/>
          </w:tcPr>
          <w:p w14:paraId="66C88D88" w14:textId="21E9CC75" w:rsidR="00F011C0" w:rsidRPr="006E1AF7" w:rsidRDefault="00F011C0" w:rsidP="00F011C0">
            <w:pPr>
              <w:ind w:right="113"/>
              <w:jc w:val="right"/>
              <w:rPr>
                <w:rFonts w:ascii="Arial" w:hAnsi="Arial" w:cs="Arial"/>
                <w:sz w:val="18"/>
              </w:rPr>
            </w:pPr>
            <w:r w:rsidRPr="006E1AF7">
              <w:rPr>
                <w:rFonts w:ascii="Arial" w:hAnsi="Arial" w:cs="Arial"/>
                <w:sz w:val="18"/>
              </w:rPr>
              <w:t>1.962.268</w:t>
            </w:r>
          </w:p>
        </w:tc>
      </w:tr>
      <w:tr w:rsidR="00F011C0" w:rsidRPr="00701F32" w14:paraId="5C87538A" w14:textId="77777777" w:rsidTr="00FE2245">
        <w:trPr>
          <w:trHeight w:val="255"/>
        </w:trPr>
        <w:tc>
          <w:tcPr>
            <w:tcW w:w="5778" w:type="dxa"/>
          </w:tcPr>
          <w:p w14:paraId="5F62B98D" w14:textId="77777777" w:rsidR="00F011C0" w:rsidRPr="006E1AF7" w:rsidRDefault="00F011C0" w:rsidP="00F011C0">
            <w:pPr>
              <w:jc w:val="both"/>
              <w:rPr>
                <w:rFonts w:ascii="Arial" w:hAnsi="Arial" w:cs="Arial"/>
                <w:sz w:val="18"/>
              </w:rPr>
            </w:pPr>
            <w:r w:rsidRPr="006E1AF7">
              <w:rPr>
                <w:rFonts w:ascii="Arial" w:hAnsi="Arial" w:cs="Arial"/>
                <w:sz w:val="18"/>
              </w:rPr>
              <w:t>Comisiones vinculadas con créditos</w:t>
            </w:r>
          </w:p>
        </w:tc>
        <w:tc>
          <w:tcPr>
            <w:tcW w:w="1560" w:type="dxa"/>
          </w:tcPr>
          <w:p w14:paraId="6975474A" w14:textId="2CE15EEC" w:rsidR="00F011C0" w:rsidRPr="006E1AF7" w:rsidRDefault="002C695D" w:rsidP="00F011C0">
            <w:pPr>
              <w:ind w:right="113"/>
              <w:jc w:val="right"/>
              <w:rPr>
                <w:rFonts w:ascii="Arial" w:hAnsi="Arial" w:cs="Arial"/>
                <w:sz w:val="18"/>
              </w:rPr>
            </w:pPr>
            <w:r w:rsidRPr="006E1AF7">
              <w:rPr>
                <w:rFonts w:ascii="Arial" w:hAnsi="Arial" w:cs="Arial"/>
                <w:sz w:val="18"/>
              </w:rPr>
              <w:t>1.790.126</w:t>
            </w:r>
          </w:p>
        </w:tc>
        <w:tc>
          <w:tcPr>
            <w:tcW w:w="1559" w:type="dxa"/>
          </w:tcPr>
          <w:p w14:paraId="533CBF64" w14:textId="677B0C09" w:rsidR="00F011C0" w:rsidRPr="006E1AF7" w:rsidRDefault="00F011C0" w:rsidP="00F011C0">
            <w:pPr>
              <w:ind w:right="113"/>
              <w:jc w:val="right"/>
              <w:rPr>
                <w:rFonts w:ascii="Arial" w:hAnsi="Arial" w:cs="Arial"/>
                <w:sz w:val="18"/>
              </w:rPr>
            </w:pPr>
            <w:r w:rsidRPr="006E1AF7">
              <w:rPr>
                <w:rFonts w:ascii="Arial" w:hAnsi="Arial" w:cs="Arial"/>
                <w:sz w:val="18"/>
              </w:rPr>
              <w:t>1.383.193</w:t>
            </w:r>
          </w:p>
        </w:tc>
      </w:tr>
      <w:tr w:rsidR="00F011C0" w:rsidRPr="00701F32" w14:paraId="72C269B0" w14:textId="77777777" w:rsidTr="00DF0784">
        <w:trPr>
          <w:trHeight w:val="255"/>
        </w:trPr>
        <w:tc>
          <w:tcPr>
            <w:tcW w:w="5778" w:type="dxa"/>
          </w:tcPr>
          <w:p w14:paraId="4E9CCAC5" w14:textId="77777777" w:rsidR="00F011C0" w:rsidRPr="006E1AF7" w:rsidRDefault="00F011C0" w:rsidP="00F011C0">
            <w:pPr>
              <w:jc w:val="both"/>
              <w:rPr>
                <w:rFonts w:ascii="Arial" w:hAnsi="Arial" w:cs="Arial"/>
                <w:sz w:val="18"/>
              </w:rPr>
            </w:pPr>
            <w:r w:rsidRPr="006E1AF7">
              <w:rPr>
                <w:rFonts w:ascii="Arial" w:hAnsi="Arial" w:cs="Arial"/>
                <w:sz w:val="18"/>
              </w:rPr>
              <w:t>Comisiones vinculadas con compromisos eventuales y garantías financieras</w:t>
            </w:r>
          </w:p>
        </w:tc>
        <w:tc>
          <w:tcPr>
            <w:tcW w:w="1560" w:type="dxa"/>
            <w:vAlign w:val="bottom"/>
          </w:tcPr>
          <w:p w14:paraId="701BC825" w14:textId="57FB7901" w:rsidR="00F011C0" w:rsidRPr="006E1AF7" w:rsidRDefault="002C695D" w:rsidP="00F011C0">
            <w:pPr>
              <w:tabs>
                <w:tab w:val="left" w:pos="1307"/>
              </w:tabs>
              <w:ind w:right="113"/>
              <w:jc w:val="right"/>
              <w:rPr>
                <w:rFonts w:ascii="Arial" w:hAnsi="Arial" w:cs="Arial"/>
                <w:sz w:val="18"/>
              </w:rPr>
            </w:pPr>
            <w:r w:rsidRPr="006E1AF7">
              <w:rPr>
                <w:rFonts w:ascii="Arial" w:hAnsi="Arial" w:cs="Arial"/>
                <w:sz w:val="18"/>
              </w:rPr>
              <w:t>17.194</w:t>
            </w:r>
          </w:p>
        </w:tc>
        <w:tc>
          <w:tcPr>
            <w:tcW w:w="1559" w:type="dxa"/>
            <w:vAlign w:val="bottom"/>
          </w:tcPr>
          <w:p w14:paraId="74DA38D0" w14:textId="19F2CC6D" w:rsidR="00F011C0" w:rsidRPr="006E1AF7" w:rsidRDefault="00F011C0" w:rsidP="00F011C0">
            <w:pPr>
              <w:tabs>
                <w:tab w:val="left" w:pos="1307"/>
              </w:tabs>
              <w:ind w:right="113"/>
              <w:jc w:val="right"/>
              <w:rPr>
                <w:rFonts w:ascii="Arial" w:hAnsi="Arial" w:cs="Arial"/>
                <w:sz w:val="18"/>
              </w:rPr>
            </w:pPr>
            <w:r w:rsidRPr="006E1AF7">
              <w:rPr>
                <w:rFonts w:ascii="Arial" w:hAnsi="Arial" w:cs="Arial"/>
                <w:sz w:val="18"/>
              </w:rPr>
              <w:t>26.172</w:t>
            </w:r>
          </w:p>
        </w:tc>
      </w:tr>
      <w:tr w:rsidR="00F011C0" w:rsidRPr="00701F32" w14:paraId="3D93B366" w14:textId="77777777" w:rsidTr="00FE2245">
        <w:trPr>
          <w:trHeight w:val="255"/>
        </w:trPr>
        <w:tc>
          <w:tcPr>
            <w:tcW w:w="5778" w:type="dxa"/>
          </w:tcPr>
          <w:p w14:paraId="275D74F5" w14:textId="77777777" w:rsidR="00F011C0" w:rsidRPr="006E1AF7" w:rsidRDefault="00F011C0" w:rsidP="00F011C0">
            <w:pPr>
              <w:pStyle w:val="Style1"/>
              <w:adjustRightInd/>
              <w:jc w:val="both"/>
              <w:rPr>
                <w:rFonts w:ascii="Arial" w:hAnsi="Arial" w:cs="Arial"/>
                <w:spacing w:val="-6"/>
                <w:sz w:val="18"/>
                <w:szCs w:val="20"/>
              </w:rPr>
            </w:pPr>
            <w:r w:rsidRPr="006E1AF7">
              <w:rPr>
                <w:rFonts w:ascii="Arial" w:hAnsi="Arial" w:cs="Arial"/>
                <w:spacing w:val="-6"/>
                <w:sz w:val="18"/>
                <w:szCs w:val="20"/>
              </w:rPr>
              <w:t>Comisiones vinculadas con valores mobiliarios</w:t>
            </w:r>
          </w:p>
        </w:tc>
        <w:tc>
          <w:tcPr>
            <w:tcW w:w="1560" w:type="dxa"/>
          </w:tcPr>
          <w:p w14:paraId="475CA3C2" w14:textId="0DD5BCD1" w:rsidR="00F011C0" w:rsidRPr="006E1AF7" w:rsidRDefault="002C695D" w:rsidP="00F011C0">
            <w:pPr>
              <w:pStyle w:val="Style1"/>
              <w:adjustRightInd/>
              <w:ind w:right="113"/>
              <w:jc w:val="right"/>
              <w:rPr>
                <w:rFonts w:ascii="Arial" w:hAnsi="Arial" w:cs="Arial"/>
                <w:spacing w:val="-4"/>
                <w:sz w:val="18"/>
                <w:szCs w:val="20"/>
              </w:rPr>
            </w:pPr>
            <w:r w:rsidRPr="006E1AF7">
              <w:rPr>
                <w:rFonts w:ascii="Arial" w:hAnsi="Arial" w:cs="Arial"/>
                <w:spacing w:val="-4"/>
                <w:sz w:val="18"/>
                <w:szCs w:val="20"/>
              </w:rPr>
              <w:t>10.263</w:t>
            </w:r>
          </w:p>
        </w:tc>
        <w:tc>
          <w:tcPr>
            <w:tcW w:w="1559" w:type="dxa"/>
          </w:tcPr>
          <w:p w14:paraId="480331A0" w14:textId="1C8B6966" w:rsidR="00F011C0" w:rsidRPr="006E1AF7" w:rsidRDefault="00F011C0" w:rsidP="00F011C0">
            <w:pPr>
              <w:pStyle w:val="Style1"/>
              <w:adjustRightInd/>
              <w:ind w:right="113"/>
              <w:jc w:val="right"/>
              <w:rPr>
                <w:rFonts w:ascii="Arial" w:hAnsi="Arial" w:cs="Arial"/>
                <w:spacing w:val="-4"/>
                <w:sz w:val="18"/>
                <w:szCs w:val="20"/>
              </w:rPr>
            </w:pPr>
            <w:r w:rsidRPr="006E1AF7">
              <w:rPr>
                <w:rFonts w:ascii="Arial" w:hAnsi="Arial" w:cs="Arial"/>
                <w:spacing w:val="-4"/>
                <w:sz w:val="18"/>
                <w:szCs w:val="20"/>
              </w:rPr>
              <w:t>11.621</w:t>
            </w:r>
          </w:p>
        </w:tc>
      </w:tr>
      <w:tr w:rsidR="00F011C0" w:rsidRPr="00701F32" w14:paraId="6C8D0E1F" w14:textId="77777777" w:rsidTr="00FE2245">
        <w:trPr>
          <w:trHeight w:val="255"/>
        </w:trPr>
        <w:tc>
          <w:tcPr>
            <w:tcW w:w="5778" w:type="dxa"/>
          </w:tcPr>
          <w:p w14:paraId="66561596" w14:textId="77777777" w:rsidR="00F011C0" w:rsidRPr="006E1AF7" w:rsidRDefault="00F011C0" w:rsidP="00F011C0">
            <w:pPr>
              <w:pStyle w:val="Style1"/>
              <w:adjustRightInd/>
              <w:jc w:val="both"/>
              <w:rPr>
                <w:rFonts w:ascii="Arial" w:hAnsi="Arial" w:cs="Arial"/>
                <w:spacing w:val="-6"/>
                <w:sz w:val="18"/>
                <w:szCs w:val="20"/>
              </w:rPr>
            </w:pPr>
            <w:r w:rsidRPr="006E1AF7">
              <w:rPr>
                <w:rFonts w:ascii="Arial" w:hAnsi="Arial" w:cs="Arial"/>
                <w:spacing w:val="-6"/>
                <w:sz w:val="18"/>
                <w:szCs w:val="20"/>
              </w:rPr>
              <w:t>Comisiones por operaciones  exterior y cambio</w:t>
            </w:r>
          </w:p>
        </w:tc>
        <w:tc>
          <w:tcPr>
            <w:tcW w:w="1560" w:type="dxa"/>
          </w:tcPr>
          <w:p w14:paraId="0F870AEA" w14:textId="78009487" w:rsidR="00F011C0" w:rsidRPr="006E1AF7" w:rsidRDefault="002C695D" w:rsidP="00F011C0">
            <w:pPr>
              <w:pStyle w:val="Style1"/>
              <w:adjustRightInd/>
              <w:ind w:right="113"/>
              <w:jc w:val="right"/>
              <w:rPr>
                <w:rFonts w:ascii="Arial" w:hAnsi="Arial" w:cs="Arial"/>
                <w:spacing w:val="-4"/>
                <w:sz w:val="18"/>
                <w:szCs w:val="20"/>
              </w:rPr>
            </w:pPr>
            <w:r w:rsidRPr="006E1AF7">
              <w:rPr>
                <w:rFonts w:ascii="Arial" w:hAnsi="Arial" w:cs="Arial"/>
                <w:spacing w:val="-4"/>
                <w:sz w:val="18"/>
                <w:szCs w:val="20"/>
              </w:rPr>
              <w:t>284.624</w:t>
            </w:r>
          </w:p>
        </w:tc>
        <w:tc>
          <w:tcPr>
            <w:tcW w:w="1559" w:type="dxa"/>
          </w:tcPr>
          <w:p w14:paraId="4ABA6A4E" w14:textId="4A745BA5" w:rsidR="00F011C0" w:rsidRPr="006E1AF7" w:rsidRDefault="00F011C0" w:rsidP="00F011C0">
            <w:pPr>
              <w:pStyle w:val="Style1"/>
              <w:adjustRightInd/>
              <w:ind w:right="113"/>
              <w:jc w:val="right"/>
              <w:rPr>
                <w:rFonts w:ascii="Arial" w:hAnsi="Arial" w:cs="Arial"/>
                <w:spacing w:val="-4"/>
                <w:sz w:val="18"/>
                <w:szCs w:val="20"/>
              </w:rPr>
            </w:pPr>
            <w:r w:rsidRPr="006E1AF7">
              <w:rPr>
                <w:rFonts w:ascii="Arial" w:hAnsi="Arial" w:cs="Arial"/>
                <w:spacing w:val="-4"/>
                <w:sz w:val="18"/>
                <w:szCs w:val="20"/>
              </w:rPr>
              <w:t>174.046</w:t>
            </w:r>
          </w:p>
        </w:tc>
      </w:tr>
      <w:tr w:rsidR="002C695D" w:rsidRPr="00701F32" w14:paraId="6655DA72" w14:textId="77777777" w:rsidTr="00FE2245">
        <w:trPr>
          <w:trHeight w:val="255"/>
        </w:trPr>
        <w:tc>
          <w:tcPr>
            <w:tcW w:w="5778" w:type="dxa"/>
            <w:shd w:val="clear" w:color="auto" w:fill="auto"/>
          </w:tcPr>
          <w:p w14:paraId="61E6DD0A" w14:textId="655E90C8" w:rsidR="002C695D" w:rsidRPr="006E1AF7" w:rsidRDefault="002C695D" w:rsidP="00F011C0">
            <w:pPr>
              <w:jc w:val="both"/>
              <w:rPr>
                <w:rFonts w:ascii="Arial" w:hAnsi="Arial" w:cs="Arial"/>
                <w:sz w:val="18"/>
              </w:rPr>
            </w:pPr>
            <w:r w:rsidRPr="006E1AF7">
              <w:rPr>
                <w:rFonts w:ascii="Arial" w:hAnsi="Arial" w:cs="Arial"/>
                <w:sz w:val="18"/>
              </w:rPr>
              <w:t>Otros</w:t>
            </w:r>
          </w:p>
        </w:tc>
        <w:tc>
          <w:tcPr>
            <w:tcW w:w="1560" w:type="dxa"/>
          </w:tcPr>
          <w:p w14:paraId="70BAB760" w14:textId="1E599199" w:rsidR="002C695D" w:rsidRPr="006E1AF7" w:rsidRDefault="002C695D" w:rsidP="00F011C0">
            <w:pPr>
              <w:ind w:right="134"/>
              <w:jc w:val="right"/>
              <w:rPr>
                <w:rFonts w:ascii="Arial" w:hAnsi="Arial" w:cs="Arial"/>
                <w:sz w:val="18"/>
              </w:rPr>
            </w:pPr>
            <w:r w:rsidRPr="006E1AF7">
              <w:rPr>
                <w:rFonts w:ascii="Arial" w:hAnsi="Arial" w:cs="Arial"/>
                <w:sz w:val="18"/>
              </w:rPr>
              <w:t>290.992</w:t>
            </w:r>
          </w:p>
        </w:tc>
        <w:tc>
          <w:tcPr>
            <w:tcW w:w="1559" w:type="dxa"/>
            <w:shd w:val="clear" w:color="auto" w:fill="auto"/>
          </w:tcPr>
          <w:p w14:paraId="4619C98C" w14:textId="77777777" w:rsidR="002C695D" w:rsidRPr="006E1AF7" w:rsidRDefault="002C695D" w:rsidP="00F011C0">
            <w:pPr>
              <w:ind w:right="134"/>
              <w:jc w:val="right"/>
              <w:rPr>
                <w:rFonts w:ascii="Arial" w:hAnsi="Arial" w:cs="Arial"/>
                <w:sz w:val="18"/>
              </w:rPr>
            </w:pPr>
          </w:p>
        </w:tc>
      </w:tr>
      <w:tr w:rsidR="00F011C0" w:rsidRPr="00701F32" w14:paraId="7FDA19E6" w14:textId="77777777" w:rsidTr="00FE2245">
        <w:trPr>
          <w:trHeight w:val="255"/>
        </w:trPr>
        <w:tc>
          <w:tcPr>
            <w:tcW w:w="5778" w:type="dxa"/>
            <w:shd w:val="clear" w:color="auto" w:fill="auto"/>
          </w:tcPr>
          <w:p w14:paraId="7A63A8A7" w14:textId="77777777" w:rsidR="00F011C0" w:rsidRPr="006E1AF7" w:rsidRDefault="00F011C0" w:rsidP="00F011C0">
            <w:pPr>
              <w:jc w:val="both"/>
              <w:rPr>
                <w:rFonts w:ascii="Arial" w:hAnsi="Arial" w:cs="Arial"/>
                <w:b/>
                <w:sz w:val="18"/>
              </w:rPr>
            </w:pPr>
            <w:r w:rsidRPr="006E1AF7">
              <w:rPr>
                <w:rFonts w:ascii="Arial" w:hAnsi="Arial" w:cs="Arial"/>
                <w:b/>
                <w:sz w:val="18"/>
              </w:rPr>
              <w:t>Total</w:t>
            </w:r>
          </w:p>
        </w:tc>
        <w:tc>
          <w:tcPr>
            <w:tcW w:w="1560" w:type="dxa"/>
          </w:tcPr>
          <w:p w14:paraId="5C4A165D" w14:textId="037E4B70" w:rsidR="00F011C0" w:rsidRPr="006E1AF7" w:rsidRDefault="002C695D" w:rsidP="00F011C0">
            <w:pPr>
              <w:ind w:right="134"/>
              <w:jc w:val="right"/>
              <w:rPr>
                <w:rFonts w:ascii="Arial" w:hAnsi="Arial" w:cs="Arial"/>
                <w:b/>
                <w:sz w:val="18"/>
              </w:rPr>
            </w:pPr>
            <w:r w:rsidRPr="006E1AF7">
              <w:rPr>
                <w:rFonts w:ascii="Arial" w:hAnsi="Arial" w:cs="Arial"/>
                <w:b/>
                <w:sz w:val="18"/>
              </w:rPr>
              <w:t>5.290.299</w:t>
            </w:r>
          </w:p>
        </w:tc>
        <w:tc>
          <w:tcPr>
            <w:tcW w:w="1559" w:type="dxa"/>
            <w:shd w:val="clear" w:color="auto" w:fill="auto"/>
          </w:tcPr>
          <w:p w14:paraId="2148C5D4" w14:textId="4D44A34B" w:rsidR="00F011C0" w:rsidRPr="006E1AF7" w:rsidRDefault="00F011C0" w:rsidP="00F011C0">
            <w:pPr>
              <w:ind w:right="134"/>
              <w:jc w:val="right"/>
              <w:rPr>
                <w:rFonts w:ascii="Arial" w:hAnsi="Arial" w:cs="Arial"/>
                <w:b/>
                <w:sz w:val="18"/>
              </w:rPr>
            </w:pPr>
            <w:r w:rsidRPr="006E1AF7">
              <w:rPr>
                <w:rFonts w:ascii="Arial" w:hAnsi="Arial" w:cs="Arial"/>
                <w:b/>
                <w:sz w:val="18"/>
              </w:rPr>
              <w:t>3.557.300</w:t>
            </w:r>
          </w:p>
        </w:tc>
      </w:tr>
    </w:tbl>
    <w:p w14:paraId="6D207C1F" w14:textId="77777777" w:rsidR="007D2DED" w:rsidRDefault="007D2DED" w:rsidP="007D2DED">
      <w:pPr>
        <w:rPr>
          <w:rFonts w:ascii="Arial" w:hAnsi="Arial" w:cs="Arial"/>
          <w:bCs/>
          <w:color w:val="000000"/>
          <w:sz w:val="20"/>
          <w:lang w:eastAsia="es-AR"/>
        </w:rPr>
      </w:pPr>
    </w:p>
    <w:p w14:paraId="12469CF0" w14:textId="4439799B" w:rsidR="007D2DED"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.17 Egresos por intereses</w:t>
      </w:r>
    </w:p>
    <w:p w14:paraId="39FF576A" w14:textId="77777777" w:rsidR="007D2DED" w:rsidRDefault="007D2DED" w:rsidP="007D2DED">
      <w:pPr>
        <w:rPr>
          <w:rFonts w:ascii="Arial" w:hAnsi="Arial" w:cs="Arial"/>
          <w:bCs/>
          <w:color w:val="000000"/>
          <w:sz w:val="20"/>
          <w:lang w:eastAsia="es-AR"/>
        </w:rPr>
      </w:pPr>
    </w:p>
    <w:p w14:paraId="2BE13D42" w14:textId="35008571" w:rsidR="007D2DED" w:rsidRDefault="007D2DED" w:rsidP="006B605D">
      <w:pPr>
        <w:spacing w:after="160" w:line="259" w:lineRule="auto"/>
        <w:rPr>
          <w:rFonts w:ascii="Arial" w:eastAsiaTheme="minorHAnsi" w:hAnsi="Arial" w:cs="Arial"/>
          <w:sz w:val="20"/>
          <w:szCs w:val="22"/>
        </w:rPr>
      </w:pPr>
      <w:r w:rsidRPr="00701F32">
        <w:rPr>
          <w:rFonts w:ascii="Arial" w:eastAsiaTheme="minorHAnsi" w:hAnsi="Arial" w:cs="Arial"/>
          <w:sz w:val="20"/>
          <w:szCs w:val="22"/>
        </w:rPr>
        <w:t xml:space="preserve">Los principales componentes del rubro </w:t>
      </w:r>
      <w:r>
        <w:rPr>
          <w:rFonts w:ascii="Arial" w:eastAsiaTheme="minorHAnsi" w:hAnsi="Arial" w:cs="Arial"/>
          <w:sz w:val="20"/>
          <w:szCs w:val="22"/>
        </w:rPr>
        <w:t xml:space="preserve">egresos por intereses para </w:t>
      </w:r>
      <w:r w:rsidRPr="00701F32">
        <w:rPr>
          <w:rFonts w:ascii="Arial" w:eastAsiaTheme="minorHAnsi" w:hAnsi="Arial" w:cs="Arial"/>
          <w:sz w:val="20"/>
          <w:szCs w:val="22"/>
        </w:rPr>
        <w:t xml:space="preserve">los </w:t>
      </w:r>
      <w:r>
        <w:rPr>
          <w:rFonts w:ascii="Arial" w:eastAsiaTheme="minorHAnsi" w:hAnsi="Arial" w:cs="Arial"/>
          <w:sz w:val="20"/>
          <w:szCs w:val="22"/>
        </w:rPr>
        <w:t>ejercicios</w:t>
      </w:r>
      <w:r w:rsidRPr="00701F32">
        <w:rPr>
          <w:rFonts w:ascii="Arial" w:eastAsiaTheme="minorHAnsi" w:hAnsi="Arial" w:cs="Arial"/>
          <w:sz w:val="20"/>
          <w:szCs w:val="22"/>
        </w:rPr>
        <w:t xml:space="preserve"> finalizados el</w:t>
      </w:r>
      <w:r>
        <w:rPr>
          <w:rFonts w:ascii="Arial" w:eastAsiaTheme="minorHAnsi" w:hAnsi="Arial" w:cs="Arial"/>
          <w:sz w:val="20"/>
          <w:szCs w:val="22"/>
        </w:rPr>
        <w:t xml:space="preserve"> 31</w:t>
      </w:r>
      <w:r w:rsidRPr="00701F32">
        <w:rPr>
          <w:rFonts w:ascii="Arial" w:eastAsiaTheme="minorHAnsi" w:hAnsi="Arial" w:cs="Arial"/>
          <w:sz w:val="20"/>
          <w:szCs w:val="22"/>
        </w:rPr>
        <w:t xml:space="preserve"> de </w:t>
      </w:r>
      <w:r>
        <w:rPr>
          <w:rFonts w:ascii="Arial" w:eastAsiaTheme="minorHAnsi" w:hAnsi="Arial" w:cs="Arial"/>
          <w:sz w:val="20"/>
        </w:rPr>
        <w:t>diciembre</w:t>
      </w:r>
      <w:r w:rsidRPr="00701F32">
        <w:rPr>
          <w:rFonts w:ascii="Arial" w:eastAsiaTheme="minorHAnsi" w:hAnsi="Arial" w:cs="Arial"/>
          <w:sz w:val="20"/>
          <w:szCs w:val="22"/>
        </w:rPr>
        <w:t xml:space="preserve"> de </w:t>
      </w:r>
      <w:r w:rsidR="00F011C0">
        <w:rPr>
          <w:rFonts w:ascii="Arial" w:eastAsiaTheme="minorHAnsi" w:hAnsi="Arial" w:cs="Arial"/>
          <w:sz w:val="20"/>
          <w:szCs w:val="22"/>
        </w:rPr>
        <w:t xml:space="preserve">2019 y 2018 </w:t>
      </w:r>
      <w:r w:rsidRPr="00701F32">
        <w:rPr>
          <w:rFonts w:ascii="Arial" w:eastAsiaTheme="minorHAnsi" w:hAnsi="Arial" w:cs="Arial"/>
          <w:sz w:val="20"/>
          <w:szCs w:val="22"/>
        </w:rPr>
        <w:t>son los siguientes:</w:t>
      </w:r>
    </w:p>
    <w:p w14:paraId="700C0D86" w14:textId="77777777" w:rsidR="00EB687D" w:rsidRPr="006B605D" w:rsidRDefault="00EB687D" w:rsidP="006B605D">
      <w:pPr>
        <w:spacing w:after="160" w:line="259" w:lineRule="auto"/>
        <w:rPr>
          <w:rFonts w:ascii="Arial" w:hAnsi="Arial" w:cs="Arial"/>
          <w:bCs/>
          <w:color w:val="000000"/>
          <w:sz w:val="20"/>
          <w:lang w:eastAsia="es-AR"/>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7"/>
        <w:gridCol w:w="1559"/>
        <w:gridCol w:w="1560"/>
      </w:tblGrid>
      <w:tr w:rsidR="00DF0784" w:rsidRPr="00701F32" w14:paraId="19510044" w14:textId="77777777" w:rsidTr="00DF0784">
        <w:trPr>
          <w:trHeight w:val="255"/>
          <w:tblHeader/>
        </w:trPr>
        <w:tc>
          <w:tcPr>
            <w:tcW w:w="5807" w:type="dxa"/>
            <w:shd w:val="clear" w:color="auto" w:fill="auto"/>
          </w:tcPr>
          <w:p w14:paraId="7AF7DEF2" w14:textId="77777777" w:rsidR="00DF0784" w:rsidRPr="006E1AF7" w:rsidRDefault="00DF0784" w:rsidP="00DF0784">
            <w:pPr>
              <w:tabs>
                <w:tab w:val="decimal" w:pos="284"/>
                <w:tab w:val="decimal" w:pos="6237"/>
                <w:tab w:val="decimal" w:pos="7200"/>
                <w:tab w:val="decimal" w:pos="8220"/>
                <w:tab w:val="decimal" w:pos="8900"/>
              </w:tabs>
              <w:jc w:val="both"/>
              <w:rPr>
                <w:rFonts w:ascii="Arial" w:hAnsi="Arial" w:cs="Arial"/>
                <w:b/>
                <w:sz w:val="18"/>
              </w:rPr>
            </w:pPr>
          </w:p>
        </w:tc>
        <w:tc>
          <w:tcPr>
            <w:tcW w:w="1559" w:type="dxa"/>
            <w:vAlign w:val="bottom"/>
          </w:tcPr>
          <w:p w14:paraId="1230DF2E" w14:textId="7E07CB49" w:rsidR="00DF0784" w:rsidRPr="006E1AF7" w:rsidRDefault="00DF0784" w:rsidP="00DF0784">
            <w:pPr>
              <w:tabs>
                <w:tab w:val="decimal" w:pos="284"/>
                <w:tab w:val="decimal" w:pos="6237"/>
                <w:tab w:val="decimal" w:pos="7200"/>
                <w:tab w:val="decimal" w:pos="8220"/>
                <w:tab w:val="decimal" w:pos="8900"/>
              </w:tabs>
              <w:jc w:val="center"/>
              <w:rPr>
                <w:rFonts w:ascii="Arial" w:hAnsi="Arial" w:cs="Arial"/>
                <w:b/>
                <w:sz w:val="18"/>
              </w:rPr>
            </w:pPr>
            <w:r w:rsidRPr="006E1AF7">
              <w:rPr>
                <w:rFonts w:ascii="Arial" w:hAnsi="Arial" w:cs="Arial"/>
                <w:b/>
                <w:color w:val="000000"/>
                <w:sz w:val="18"/>
                <w:lang w:eastAsia="es-AR"/>
              </w:rPr>
              <w:t>31/12/2019</w:t>
            </w:r>
          </w:p>
        </w:tc>
        <w:tc>
          <w:tcPr>
            <w:tcW w:w="1560" w:type="dxa"/>
            <w:shd w:val="clear" w:color="auto" w:fill="auto"/>
            <w:vAlign w:val="bottom"/>
          </w:tcPr>
          <w:p w14:paraId="77EEA586" w14:textId="2BFF234C" w:rsidR="00DF0784" w:rsidRPr="006E1AF7" w:rsidRDefault="00DF0784" w:rsidP="00DF0784">
            <w:pPr>
              <w:tabs>
                <w:tab w:val="decimal" w:pos="284"/>
                <w:tab w:val="decimal" w:pos="6237"/>
                <w:tab w:val="decimal" w:pos="7200"/>
                <w:tab w:val="decimal" w:pos="8220"/>
                <w:tab w:val="decimal" w:pos="8900"/>
              </w:tabs>
              <w:jc w:val="center"/>
              <w:rPr>
                <w:rFonts w:ascii="Arial" w:hAnsi="Arial" w:cs="Arial"/>
                <w:b/>
                <w:sz w:val="18"/>
              </w:rPr>
            </w:pPr>
            <w:r w:rsidRPr="006E1AF7">
              <w:rPr>
                <w:rFonts w:ascii="Arial" w:hAnsi="Arial" w:cs="Arial"/>
                <w:b/>
                <w:color w:val="000000"/>
                <w:sz w:val="18"/>
                <w:lang w:eastAsia="es-AR"/>
              </w:rPr>
              <w:t>31/12/2018</w:t>
            </w:r>
          </w:p>
        </w:tc>
      </w:tr>
      <w:tr w:rsidR="00F011C0" w:rsidRPr="00701F32" w14:paraId="50F8F188" w14:textId="77777777" w:rsidTr="00DF0784">
        <w:trPr>
          <w:trHeight w:val="255"/>
        </w:trPr>
        <w:tc>
          <w:tcPr>
            <w:tcW w:w="5807" w:type="dxa"/>
          </w:tcPr>
          <w:p w14:paraId="5383EA79" w14:textId="77777777" w:rsidR="00F011C0" w:rsidRPr="006E1AF7" w:rsidRDefault="00F011C0" w:rsidP="00F011C0">
            <w:pPr>
              <w:ind w:left="180" w:hanging="151"/>
              <w:jc w:val="both"/>
              <w:rPr>
                <w:rFonts w:ascii="Arial" w:hAnsi="Arial" w:cs="Arial"/>
                <w:sz w:val="18"/>
              </w:rPr>
            </w:pPr>
            <w:r w:rsidRPr="006E1AF7">
              <w:rPr>
                <w:rFonts w:ascii="Arial" w:hAnsi="Arial" w:cs="Arial"/>
                <w:sz w:val="18"/>
              </w:rPr>
              <w:t>Cuenas corrientes</w:t>
            </w:r>
          </w:p>
        </w:tc>
        <w:tc>
          <w:tcPr>
            <w:tcW w:w="1559" w:type="dxa"/>
            <w:vAlign w:val="bottom"/>
          </w:tcPr>
          <w:p w14:paraId="06C6FF86" w14:textId="7C1734C3" w:rsidR="00F011C0" w:rsidRPr="006E1AF7" w:rsidRDefault="002C695D" w:rsidP="00F011C0">
            <w:pPr>
              <w:ind w:right="134"/>
              <w:jc w:val="right"/>
              <w:rPr>
                <w:rFonts w:ascii="Arial" w:hAnsi="Arial" w:cs="Arial"/>
                <w:sz w:val="18"/>
                <w:lang w:val="es-ES_tradnl"/>
              </w:rPr>
            </w:pPr>
            <w:r w:rsidRPr="006E1AF7">
              <w:rPr>
                <w:rFonts w:ascii="Arial" w:hAnsi="Arial" w:cs="Arial"/>
                <w:sz w:val="18"/>
                <w:lang w:val="es-ES_tradnl"/>
              </w:rPr>
              <w:t>4.916.442</w:t>
            </w:r>
          </w:p>
        </w:tc>
        <w:tc>
          <w:tcPr>
            <w:tcW w:w="1560" w:type="dxa"/>
            <w:vAlign w:val="bottom"/>
          </w:tcPr>
          <w:p w14:paraId="1B4569CF" w14:textId="7C53AC59" w:rsidR="00F011C0" w:rsidRPr="006E1AF7" w:rsidRDefault="00F011C0" w:rsidP="00F011C0">
            <w:pPr>
              <w:ind w:right="134"/>
              <w:jc w:val="right"/>
              <w:rPr>
                <w:rFonts w:ascii="Arial" w:hAnsi="Arial" w:cs="Arial"/>
                <w:sz w:val="18"/>
              </w:rPr>
            </w:pPr>
            <w:r w:rsidRPr="006E1AF7">
              <w:rPr>
                <w:rFonts w:ascii="Arial" w:hAnsi="Arial" w:cs="Arial"/>
                <w:sz w:val="18"/>
              </w:rPr>
              <w:t>4.520.100</w:t>
            </w:r>
          </w:p>
        </w:tc>
      </w:tr>
      <w:tr w:rsidR="00F011C0" w:rsidRPr="00701F32" w14:paraId="7D569475" w14:textId="77777777" w:rsidTr="00DF0784">
        <w:trPr>
          <w:trHeight w:val="255"/>
        </w:trPr>
        <w:tc>
          <w:tcPr>
            <w:tcW w:w="5807" w:type="dxa"/>
          </w:tcPr>
          <w:p w14:paraId="7956C53F" w14:textId="77777777" w:rsidR="00F011C0" w:rsidRPr="006E1AF7" w:rsidRDefault="00F011C0" w:rsidP="00F011C0">
            <w:pPr>
              <w:ind w:left="180" w:hanging="151"/>
              <w:jc w:val="both"/>
              <w:rPr>
                <w:rFonts w:ascii="Arial" w:hAnsi="Arial" w:cs="Arial"/>
                <w:sz w:val="18"/>
              </w:rPr>
            </w:pPr>
            <w:r w:rsidRPr="006E1AF7">
              <w:rPr>
                <w:rFonts w:ascii="Arial" w:hAnsi="Arial" w:cs="Arial"/>
                <w:sz w:val="18"/>
              </w:rPr>
              <w:t>Cajas de ahorro</w:t>
            </w:r>
          </w:p>
        </w:tc>
        <w:tc>
          <w:tcPr>
            <w:tcW w:w="1559" w:type="dxa"/>
            <w:vAlign w:val="bottom"/>
          </w:tcPr>
          <w:p w14:paraId="10D9EFBC" w14:textId="56198093" w:rsidR="00F011C0" w:rsidRPr="006E1AF7" w:rsidRDefault="002C695D" w:rsidP="00F011C0">
            <w:pPr>
              <w:ind w:right="134"/>
              <w:jc w:val="right"/>
              <w:rPr>
                <w:rFonts w:ascii="Arial" w:hAnsi="Arial" w:cs="Arial"/>
                <w:sz w:val="18"/>
                <w:lang w:val="es-ES_tradnl"/>
              </w:rPr>
            </w:pPr>
            <w:r w:rsidRPr="006E1AF7">
              <w:rPr>
                <w:rFonts w:ascii="Arial" w:hAnsi="Arial" w:cs="Arial"/>
                <w:sz w:val="18"/>
                <w:lang w:val="es-ES_tradnl"/>
              </w:rPr>
              <w:t>7.298</w:t>
            </w:r>
          </w:p>
        </w:tc>
        <w:tc>
          <w:tcPr>
            <w:tcW w:w="1560" w:type="dxa"/>
            <w:vAlign w:val="bottom"/>
          </w:tcPr>
          <w:p w14:paraId="13CEBDDD" w14:textId="107E6DA0" w:rsidR="00F011C0" w:rsidRPr="006E1AF7" w:rsidRDefault="00F011C0" w:rsidP="00F011C0">
            <w:pPr>
              <w:ind w:right="134"/>
              <w:jc w:val="right"/>
              <w:rPr>
                <w:rFonts w:ascii="Arial" w:hAnsi="Arial" w:cs="Arial"/>
                <w:sz w:val="18"/>
              </w:rPr>
            </w:pPr>
            <w:r w:rsidRPr="006E1AF7">
              <w:rPr>
                <w:rFonts w:ascii="Arial" w:hAnsi="Arial" w:cs="Arial"/>
                <w:sz w:val="18"/>
              </w:rPr>
              <w:t>5.582</w:t>
            </w:r>
          </w:p>
        </w:tc>
      </w:tr>
      <w:tr w:rsidR="00F011C0" w:rsidRPr="00701F32" w14:paraId="10FCD63A" w14:textId="77777777" w:rsidTr="00DF0784">
        <w:trPr>
          <w:trHeight w:val="255"/>
        </w:trPr>
        <w:tc>
          <w:tcPr>
            <w:tcW w:w="5807" w:type="dxa"/>
          </w:tcPr>
          <w:p w14:paraId="7D8A5026" w14:textId="77777777" w:rsidR="00F011C0" w:rsidRPr="006E1AF7" w:rsidRDefault="00F011C0" w:rsidP="00F011C0">
            <w:pPr>
              <w:ind w:left="180" w:hanging="151"/>
              <w:jc w:val="both"/>
              <w:rPr>
                <w:rFonts w:ascii="Arial" w:hAnsi="Arial" w:cs="Arial"/>
                <w:sz w:val="18"/>
              </w:rPr>
            </w:pPr>
            <w:r w:rsidRPr="006E1AF7">
              <w:rPr>
                <w:rFonts w:ascii="Arial" w:hAnsi="Arial" w:cs="Arial"/>
                <w:sz w:val="18"/>
              </w:rPr>
              <w:t>Plazo  fijo e inversiones a plazo</w:t>
            </w:r>
          </w:p>
        </w:tc>
        <w:tc>
          <w:tcPr>
            <w:tcW w:w="1559" w:type="dxa"/>
            <w:vAlign w:val="bottom"/>
          </w:tcPr>
          <w:p w14:paraId="3E31C78D" w14:textId="29C3B6D9" w:rsidR="00F011C0" w:rsidRPr="006E1AF7" w:rsidRDefault="002C695D" w:rsidP="00F011C0">
            <w:pPr>
              <w:ind w:right="134"/>
              <w:jc w:val="right"/>
              <w:rPr>
                <w:rFonts w:ascii="Arial" w:hAnsi="Arial" w:cs="Arial"/>
                <w:sz w:val="18"/>
                <w:lang w:val="es-ES_tradnl"/>
              </w:rPr>
            </w:pPr>
            <w:r w:rsidRPr="006E1AF7">
              <w:rPr>
                <w:rFonts w:ascii="Arial" w:hAnsi="Arial" w:cs="Arial"/>
                <w:sz w:val="18"/>
                <w:lang w:val="es-ES_tradnl"/>
              </w:rPr>
              <w:t>12.996.206</w:t>
            </w:r>
          </w:p>
        </w:tc>
        <w:tc>
          <w:tcPr>
            <w:tcW w:w="1560" w:type="dxa"/>
            <w:vAlign w:val="bottom"/>
          </w:tcPr>
          <w:p w14:paraId="16C14EE8" w14:textId="07656229" w:rsidR="00F011C0" w:rsidRPr="006E1AF7" w:rsidRDefault="00F011C0" w:rsidP="00F011C0">
            <w:pPr>
              <w:ind w:right="134"/>
              <w:jc w:val="right"/>
              <w:rPr>
                <w:rFonts w:ascii="Arial" w:hAnsi="Arial" w:cs="Arial"/>
                <w:sz w:val="18"/>
              </w:rPr>
            </w:pPr>
            <w:r w:rsidRPr="006E1AF7">
              <w:rPr>
                <w:rFonts w:ascii="Arial" w:hAnsi="Arial" w:cs="Arial"/>
                <w:sz w:val="18"/>
              </w:rPr>
              <w:t>4.697.582</w:t>
            </w:r>
          </w:p>
        </w:tc>
      </w:tr>
      <w:tr w:rsidR="00F011C0" w:rsidRPr="00701F32" w14:paraId="6BC068C6" w14:textId="77777777" w:rsidTr="00DF0784">
        <w:trPr>
          <w:trHeight w:val="255"/>
        </w:trPr>
        <w:tc>
          <w:tcPr>
            <w:tcW w:w="5807" w:type="dxa"/>
          </w:tcPr>
          <w:p w14:paraId="4EB32E89" w14:textId="77777777" w:rsidR="00F011C0" w:rsidRPr="006E1AF7" w:rsidRDefault="00F011C0" w:rsidP="00F011C0">
            <w:pPr>
              <w:ind w:left="180" w:hanging="151"/>
              <w:jc w:val="both"/>
              <w:rPr>
                <w:rFonts w:ascii="Arial" w:hAnsi="Arial" w:cs="Arial"/>
                <w:sz w:val="18"/>
              </w:rPr>
            </w:pPr>
            <w:r w:rsidRPr="006E1AF7">
              <w:rPr>
                <w:rFonts w:ascii="Arial" w:hAnsi="Arial" w:cs="Arial"/>
                <w:sz w:val="18"/>
              </w:rPr>
              <w:t>Otros</w:t>
            </w:r>
          </w:p>
        </w:tc>
        <w:tc>
          <w:tcPr>
            <w:tcW w:w="1559" w:type="dxa"/>
            <w:vAlign w:val="bottom"/>
          </w:tcPr>
          <w:p w14:paraId="4B0D11D7" w14:textId="60EDBF02" w:rsidR="00F011C0" w:rsidRPr="006E1AF7" w:rsidRDefault="002C695D" w:rsidP="00F011C0">
            <w:pPr>
              <w:ind w:right="134"/>
              <w:jc w:val="right"/>
              <w:rPr>
                <w:rFonts w:ascii="Arial" w:hAnsi="Arial" w:cs="Arial"/>
                <w:sz w:val="18"/>
                <w:lang w:val="es-ES_tradnl"/>
              </w:rPr>
            </w:pPr>
            <w:r w:rsidRPr="006E1AF7">
              <w:rPr>
                <w:rFonts w:ascii="Arial" w:hAnsi="Arial" w:cs="Arial"/>
                <w:sz w:val="18"/>
                <w:lang w:val="es-ES_tradnl"/>
              </w:rPr>
              <w:t>2.681.668</w:t>
            </w:r>
          </w:p>
        </w:tc>
        <w:tc>
          <w:tcPr>
            <w:tcW w:w="1560" w:type="dxa"/>
            <w:vAlign w:val="bottom"/>
          </w:tcPr>
          <w:p w14:paraId="4F72374D" w14:textId="05C337FC" w:rsidR="00F011C0" w:rsidRPr="006E1AF7" w:rsidRDefault="00F011C0" w:rsidP="00F011C0">
            <w:pPr>
              <w:ind w:right="134"/>
              <w:jc w:val="right"/>
              <w:rPr>
                <w:rFonts w:ascii="Arial" w:hAnsi="Arial" w:cs="Arial"/>
                <w:sz w:val="18"/>
              </w:rPr>
            </w:pPr>
            <w:r w:rsidRPr="006E1AF7">
              <w:rPr>
                <w:rFonts w:ascii="Arial" w:hAnsi="Arial" w:cs="Arial"/>
                <w:sz w:val="18"/>
              </w:rPr>
              <w:t>724.976</w:t>
            </w:r>
          </w:p>
        </w:tc>
      </w:tr>
      <w:tr w:rsidR="00F011C0" w:rsidRPr="00701F32" w14:paraId="205DB47B" w14:textId="77777777" w:rsidTr="00DF0784">
        <w:trPr>
          <w:trHeight w:val="255"/>
        </w:trPr>
        <w:tc>
          <w:tcPr>
            <w:tcW w:w="5807" w:type="dxa"/>
          </w:tcPr>
          <w:p w14:paraId="4F807209" w14:textId="77777777" w:rsidR="00F011C0" w:rsidRPr="006E1AF7" w:rsidRDefault="00F011C0" w:rsidP="00F011C0">
            <w:pPr>
              <w:ind w:left="180" w:hanging="151"/>
              <w:jc w:val="both"/>
              <w:rPr>
                <w:rFonts w:ascii="Arial" w:hAnsi="Arial" w:cs="Arial"/>
                <w:sz w:val="18"/>
              </w:rPr>
            </w:pPr>
            <w:r w:rsidRPr="006E1AF7">
              <w:rPr>
                <w:rFonts w:ascii="Arial" w:hAnsi="Arial" w:cs="Arial"/>
                <w:sz w:val="18"/>
              </w:rPr>
              <w:t>Por financiaciones recibidas del BCRA y otras instituciones financieras</w:t>
            </w:r>
          </w:p>
        </w:tc>
        <w:tc>
          <w:tcPr>
            <w:tcW w:w="1559" w:type="dxa"/>
            <w:vAlign w:val="bottom"/>
          </w:tcPr>
          <w:p w14:paraId="0DA391B9" w14:textId="21C8D9A2" w:rsidR="00F011C0" w:rsidRPr="006E1AF7" w:rsidRDefault="002C695D" w:rsidP="00F011C0">
            <w:pPr>
              <w:ind w:right="134"/>
              <w:jc w:val="right"/>
              <w:rPr>
                <w:rFonts w:ascii="Arial" w:hAnsi="Arial" w:cs="Arial"/>
                <w:sz w:val="18"/>
                <w:lang w:val="es-ES_tradnl"/>
              </w:rPr>
            </w:pPr>
            <w:r w:rsidRPr="006E1AF7">
              <w:rPr>
                <w:rFonts w:ascii="Arial" w:hAnsi="Arial" w:cs="Arial"/>
                <w:sz w:val="18"/>
                <w:lang w:val="es-ES_tradnl"/>
              </w:rPr>
              <w:t>602.498</w:t>
            </w:r>
          </w:p>
        </w:tc>
        <w:tc>
          <w:tcPr>
            <w:tcW w:w="1560" w:type="dxa"/>
            <w:vAlign w:val="bottom"/>
          </w:tcPr>
          <w:p w14:paraId="571A2080" w14:textId="2A4FB1F2" w:rsidR="00F011C0" w:rsidRPr="006E1AF7" w:rsidRDefault="00F011C0" w:rsidP="00F011C0">
            <w:pPr>
              <w:ind w:right="134"/>
              <w:jc w:val="right"/>
              <w:rPr>
                <w:rFonts w:ascii="Arial" w:hAnsi="Arial" w:cs="Arial"/>
                <w:sz w:val="18"/>
              </w:rPr>
            </w:pPr>
            <w:r w:rsidRPr="006E1AF7">
              <w:rPr>
                <w:rFonts w:ascii="Arial" w:hAnsi="Arial" w:cs="Arial"/>
                <w:sz w:val="18"/>
              </w:rPr>
              <w:t>389.726</w:t>
            </w:r>
          </w:p>
        </w:tc>
      </w:tr>
      <w:tr w:rsidR="00F011C0" w:rsidRPr="00701F32" w14:paraId="4BAE08A7" w14:textId="77777777" w:rsidTr="00DF0784">
        <w:trPr>
          <w:trHeight w:val="255"/>
        </w:trPr>
        <w:tc>
          <w:tcPr>
            <w:tcW w:w="5807" w:type="dxa"/>
          </w:tcPr>
          <w:p w14:paraId="45E18E54" w14:textId="77777777" w:rsidR="00F011C0" w:rsidRPr="006E1AF7" w:rsidRDefault="00F011C0" w:rsidP="00F011C0">
            <w:pPr>
              <w:ind w:left="180" w:hanging="151"/>
              <w:jc w:val="both"/>
              <w:rPr>
                <w:rFonts w:ascii="Arial" w:hAnsi="Arial" w:cs="Arial"/>
                <w:sz w:val="18"/>
              </w:rPr>
            </w:pPr>
            <w:r w:rsidRPr="006E1AF7">
              <w:rPr>
                <w:rFonts w:ascii="Arial" w:hAnsi="Arial" w:cs="Arial"/>
                <w:sz w:val="18"/>
              </w:rPr>
              <w:t>Por operaciones de pase</w:t>
            </w:r>
          </w:p>
        </w:tc>
        <w:tc>
          <w:tcPr>
            <w:tcW w:w="1559" w:type="dxa"/>
            <w:vAlign w:val="bottom"/>
          </w:tcPr>
          <w:p w14:paraId="791DF677" w14:textId="244868CB" w:rsidR="00F011C0" w:rsidRPr="006E1AF7" w:rsidRDefault="002C695D" w:rsidP="00F011C0">
            <w:pPr>
              <w:tabs>
                <w:tab w:val="left" w:pos="1307"/>
              </w:tabs>
              <w:ind w:right="134"/>
              <w:jc w:val="right"/>
              <w:rPr>
                <w:rFonts w:ascii="Arial" w:hAnsi="Arial" w:cs="Arial"/>
                <w:sz w:val="18"/>
                <w:lang w:val="es-ES_tradnl"/>
              </w:rPr>
            </w:pPr>
            <w:r w:rsidRPr="006E1AF7">
              <w:rPr>
                <w:rFonts w:ascii="Arial" w:hAnsi="Arial" w:cs="Arial"/>
                <w:sz w:val="18"/>
                <w:lang w:val="es-ES_tradnl"/>
              </w:rPr>
              <w:t>479.454</w:t>
            </w:r>
          </w:p>
        </w:tc>
        <w:tc>
          <w:tcPr>
            <w:tcW w:w="1560" w:type="dxa"/>
            <w:vAlign w:val="bottom"/>
          </w:tcPr>
          <w:p w14:paraId="0D853E27" w14:textId="6243AEA8" w:rsidR="00F011C0" w:rsidRPr="006E1AF7" w:rsidRDefault="00F011C0" w:rsidP="00F011C0">
            <w:pPr>
              <w:tabs>
                <w:tab w:val="left" w:pos="1307"/>
              </w:tabs>
              <w:ind w:right="134"/>
              <w:jc w:val="right"/>
              <w:rPr>
                <w:rFonts w:ascii="Arial" w:hAnsi="Arial" w:cs="Arial"/>
                <w:sz w:val="18"/>
              </w:rPr>
            </w:pPr>
            <w:r w:rsidRPr="006E1AF7">
              <w:rPr>
                <w:rFonts w:ascii="Arial" w:hAnsi="Arial" w:cs="Arial"/>
                <w:sz w:val="18"/>
              </w:rPr>
              <w:t>172.527</w:t>
            </w:r>
          </w:p>
        </w:tc>
      </w:tr>
      <w:tr w:rsidR="00F011C0" w:rsidRPr="00701F32" w14:paraId="56480512" w14:textId="77777777" w:rsidTr="00DF0784">
        <w:trPr>
          <w:trHeight w:val="255"/>
        </w:trPr>
        <w:tc>
          <w:tcPr>
            <w:tcW w:w="5807" w:type="dxa"/>
          </w:tcPr>
          <w:p w14:paraId="6E8EC821" w14:textId="77777777" w:rsidR="00F011C0" w:rsidRPr="006E1AF7" w:rsidRDefault="00F011C0" w:rsidP="00F011C0">
            <w:pPr>
              <w:pStyle w:val="Style1"/>
              <w:adjustRightInd/>
              <w:ind w:left="162" w:hanging="151"/>
              <w:jc w:val="both"/>
              <w:rPr>
                <w:rFonts w:ascii="Arial" w:hAnsi="Arial" w:cs="Arial"/>
                <w:spacing w:val="-6"/>
                <w:sz w:val="18"/>
                <w:szCs w:val="20"/>
              </w:rPr>
            </w:pPr>
            <w:r w:rsidRPr="006E1AF7">
              <w:rPr>
                <w:rFonts w:ascii="Arial" w:hAnsi="Arial" w:cs="Arial"/>
                <w:spacing w:val="-6"/>
                <w:sz w:val="18"/>
                <w:szCs w:val="20"/>
              </w:rPr>
              <w:t>Por otros  pasivos financieros</w:t>
            </w:r>
          </w:p>
        </w:tc>
        <w:tc>
          <w:tcPr>
            <w:tcW w:w="1559" w:type="dxa"/>
            <w:vAlign w:val="bottom"/>
          </w:tcPr>
          <w:p w14:paraId="76A0958B" w14:textId="7F35435D" w:rsidR="00F011C0" w:rsidRPr="006E1AF7" w:rsidRDefault="002C695D" w:rsidP="00F011C0">
            <w:pPr>
              <w:pStyle w:val="Style1"/>
              <w:adjustRightInd/>
              <w:ind w:right="134"/>
              <w:jc w:val="right"/>
              <w:rPr>
                <w:rFonts w:ascii="Arial" w:hAnsi="Arial" w:cs="Arial"/>
                <w:spacing w:val="-4"/>
                <w:sz w:val="18"/>
                <w:szCs w:val="20"/>
                <w:lang w:val="es-ES_tradnl"/>
              </w:rPr>
            </w:pPr>
            <w:r w:rsidRPr="006E1AF7">
              <w:rPr>
                <w:rFonts w:ascii="Arial" w:hAnsi="Arial" w:cs="Arial"/>
                <w:spacing w:val="-4"/>
                <w:sz w:val="18"/>
                <w:szCs w:val="20"/>
                <w:lang w:val="es-ES_tradnl"/>
              </w:rPr>
              <w:t>5.301.114</w:t>
            </w:r>
          </w:p>
        </w:tc>
        <w:tc>
          <w:tcPr>
            <w:tcW w:w="1560" w:type="dxa"/>
            <w:vAlign w:val="bottom"/>
          </w:tcPr>
          <w:p w14:paraId="0995E392" w14:textId="0F73120E" w:rsidR="00F011C0" w:rsidRPr="006E1AF7" w:rsidRDefault="00F011C0" w:rsidP="00F011C0">
            <w:pPr>
              <w:pStyle w:val="Style1"/>
              <w:adjustRightInd/>
              <w:ind w:right="134"/>
              <w:jc w:val="right"/>
              <w:rPr>
                <w:rFonts w:ascii="Arial" w:hAnsi="Arial" w:cs="Arial"/>
                <w:spacing w:val="-4"/>
                <w:sz w:val="18"/>
                <w:szCs w:val="20"/>
              </w:rPr>
            </w:pPr>
            <w:r w:rsidRPr="006E1AF7">
              <w:rPr>
                <w:rFonts w:ascii="Arial" w:hAnsi="Arial" w:cs="Arial"/>
                <w:spacing w:val="-4"/>
                <w:sz w:val="18"/>
                <w:szCs w:val="20"/>
              </w:rPr>
              <w:t>3.270.412</w:t>
            </w:r>
          </w:p>
        </w:tc>
      </w:tr>
      <w:tr w:rsidR="00F011C0" w:rsidRPr="00701F32" w14:paraId="663F77BA" w14:textId="77777777" w:rsidTr="00DF0784">
        <w:trPr>
          <w:trHeight w:val="255"/>
        </w:trPr>
        <w:tc>
          <w:tcPr>
            <w:tcW w:w="5807" w:type="dxa"/>
          </w:tcPr>
          <w:p w14:paraId="23F763C0" w14:textId="77777777" w:rsidR="00F011C0" w:rsidRPr="006E1AF7" w:rsidRDefault="00F011C0" w:rsidP="00F011C0">
            <w:pPr>
              <w:pStyle w:val="Style1"/>
              <w:adjustRightInd/>
              <w:ind w:left="162" w:hanging="151"/>
              <w:jc w:val="both"/>
              <w:rPr>
                <w:rFonts w:ascii="Arial" w:hAnsi="Arial" w:cs="Arial"/>
                <w:spacing w:val="-6"/>
                <w:sz w:val="18"/>
                <w:szCs w:val="20"/>
              </w:rPr>
            </w:pPr>
            <w:r w:rsidRPr="006E1AF7">
              <w:rPr>
                <w:rFonts w:ascii="Arial" w:hAnsi="Arial" w:cs="Arial"/>
                <w:spacing w:val="-6"/>
                <w:sz w:val="18"/>
                <w:szCs w:val="20"/>
              </w:rPr>
              <w:t>Por otras  obligaciones negociables  subordinadas</w:t>
            </w:r>
          </w:p>
        </w:tc>
        <w:tc>
          <w:tcPr>
            <w:tcW w:w="1559" w:type="dxa"/>
            <w:vAlign w:val="bottom"/>
          </w:tcPr>
          <w:p w14:paraId="64BA78EA" w14:textId="4CD2A87F" w:rsidR="00F011C0" w:rsidRPr="006E1AF7" w:rsidRDefault="002C695D" w:rsidP="00F011C0">
            <w:pPr>
              <w:pStyle w:val="Style1"/>
              <w:adjustRightInd/>
              <w:ind w:right="134"/>
              <w:jc w:val="right"/>
              <w:rPr>
                <w:rFonts w:ascii="Arial" w:hAnsi="Arial" w:cs="Arial"/>
                <w:spacing w:val="-4"/>
                <w:sz w:val="18"/>
                <w:szCs w:val="20"/>
                <w:lang w:val="es-ES_tradnl"/>
              </w:rPr>
            </w:pPr>
            <w:r w:rsidRPr="006E1AF7">
              <w:rPr>
                <w:rFonts w:ascii="Arial" w:hAnsi="Arial" w:cs="Arial"/>
                <w:spacing w:val="-4"/>
                <w:sz w:val="18"/>
                <w:szCs w:val="20"/>
                <w:lang w:val="es-ES_tradnl"/>
              </w:rPr>
              <w:t>111.198</w:t>
            </w:r>
          </w:p>
        </w:tc>
        <w:tc>
          <w:tcPr>
            <w:tcW w:w="1560" w:type="dxa"/>
            <w:vAlign w:val="bottom"/>
          </w:tcPr>
          <w:p w14:paraId="60BDA3BD" w14:textId="26847771" w:rsidR="00F011C0" w:rsidRPr="006E1AF7" w:rsidRDefault="00F011C0" w:rsidP="00F011C0">
            <w:pPr>
              <w:pStyle w:val="Style1"/>
              <w:adjustRightInd/>
              <w:ind w:right="134"/>
              <w:jc w:val="right"/>
              <w:rPr>
                <w:rFonts w:ascii="Arial" w:hAnsi="Arial" w:cs="Arial"/>
                <w:spacing w:val="-4"/>
                <w:sz w:val="18"/>
                <w:szCs w:val="20"/>
              </w:rPr>
            </w:pPr>
            <w:r w:rsidRPr="006E1AF7">
              <w:rPr>
                <w:rFonts w:ascii="Arial" w:hAnsi="Arial" w:cs="Arial"/>
                <w:spacing w:val="-4"/>
                <w:sz w:val="18"/>
                <w:szCs w:val="20"/>
              </w:rPr>
              <w:t>72.528</w:t>
            </w:r>
          </w:p>
        </w:tc>
      </w:tr>
      <w:tr w:rsidR="00F011C0" w:rsidRPr="00701F32" w14:paraId="48C02FFA" w14:textId="77777777" w:rsidTr="00DF0784">
        <w:trPr>
          <w:trHeight w:val="255"/>
        </w:trPr>
        <w:tc>
          <w:tcPr>
            <w:tcW w:w="5807" w:type="dxa"/>
            <w:shd w:val="clear" w:color="auto" w:fill="auto"/>
          </w:tcPr>
          <w:p w14:paraId="2BE11441" w14:textId="77777777" w:rsidR="00F011C0" w:rsidRPr="006E1AF7" w:rsidRDefault="00F011C0" w:rsidP="00F011C0">
            <w:pPr>
              <w:jc w:val="both"/>
              <w:rPr>
                <w:rFonts w:ascii="Arial" w:hAnsi="Arial" w:cs="Arial"/>
                <w:b/>
                <w:sz w:val="18"/>
              </w:rPr>
            </w:pPr>
            <w:r w:rsidRPr="006E1AF7">
              <w:rPr>
                <w:rFonts w:ascii="Arial" w:hAnsi="Arial" w:cs="Arial"/>
                <w:b/>
                <w:sz w:val="18"/>
              </w:rPr>
              <w:t>Total</w:t>
            </w:r>
          </w:p>
        </w:tc>
        <w:tc>
          <w:tcPr>
            <w:tcW w:w="1559" w:type="dxa"/>
            <w:vAlign w:val="bottom"/>
          </w:tcPr>
          <w:p w14:paraId="74D2DADA" w14:textId="124BC81C" w:rsidR="00F011C0" w:rsidRPr="006E1AF7" w:rsidRDefault="002C695D" w:rsidP="00F011C0">
            <w:pPr>
              <w:pStyle w:val="Style1"/>
              <w:adjustRightInd/>
              <w:ind w:right="107"/>
              <w:jc w:val="right"/>
              <w:rPr>
                <w:rFonts w:ascii="Arial" w:hAnsi="Arial" w:cs="Arial"/>
                <w:b/>
                <w:sz w:val="18"/>
                <w:szCs w:val="20"/>
                <w:lang w:val="es-ES_tradnl"/>
              </w:rPr>
            </w:pPr>
            <w:r w:rsidRPr="006E1AF7">
              <w:rPr>
                <w:rFonts w:ascii="Arial" w:hAnsi="Arial" w:cs="Arial"/>
                <w:b/>
                <w:sz w:val="18"/>
                <w:szCs w:val="20"/>
                <w:lang w:val="es-ES_tradnl"/>
              </w:rPr>
              <w:t>27.095.878</w:t>
            </w:r>
          </w:p>
        </w:tc>
        <w:tc>
          <w:tcPr>
            <w:tcW w:w="1560" w:type="dxa"/>
            <w:shd w:val="clear" w:color="auto" w:fill="auto"/>
            <w:vAlign w:val="bottom"/>
          </w:tcPr>
          <w:p w14:paraId="5822C3D9" w14:textId="3111D015" w:rsidR="00F011C0" w:rsidRPr="006E1AF7" w:rsidRDefault="00F011C0" w:rsidP="00F011C0">
            <w:pPr>
              <w:pStyle w:val="Style1"/>
              <w:adjustRightInd/>
              <w:ind w:right="107"/>
              <w:jc w:val="right"/>
              <w:rPr>
                <w:rFonts w:ascii="Arial" w:hAnsi="Arial" w:cs="Arial"/>
                <w:b/>
                <w:sz w:val="18"/>
                <w:szCs w:val="20"/>
              </w:rPr>
            </w:pPr>
            <w:r w:rsidRPr="006E1AF7">
              <w:rPr>
                <w:rFonts w:ascii="Arial" w:hAnsi="Arial" w:cs="Arial"/>
                <w:b/>
                <w:sz w:val="18"/>
                <w:szCs w:val="20"/>
              </w:rPr>
              <w:t>13.853.433</w:t>
            </w:r>
          </w:p>
        </w:tc>
      </w:tr>
    </w:tbl>
    <w:p w14:paraId="0FFD62FD" w14:textId="77777777" w:rsidR="007D2DED" w:rsidRDefault="007D2DED" w:rsidP="007D2DED">
      <w:pPr>
        <w:rPr>
          <w:rFonts w:ascii="Arial" w:hAnsi="Arial" w:cs="Arial"/>
          <w:bCs/>
          <w:color w:val="000000"/>
          <w:sz w:val="20"/>
          <w:lang w:eastAsia="es-AR"/>
        </w:rPr>
      </w:pPr>
    </w:p>
    <w:p w14:paraId="06CB3D3C" w14:textId="1AB4504C" w:rsidR="007D2DED"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.18 Egresos por comisiones</w:t>
      </w:r>
    </w:p>
    <w:p w14:paraId="3DF8D88D" w14:textId="77777777" w:rsidR="007D2DED" w:rsidRDefault="007D2DED" w:rsidP="007D2DED">
      <w:pPr>
        <w:rPr>
          <w:rFonts w:ascii="Arial" w:hAnsi="Arial" w:cs="Arial"/>
          <w:bCs/>
          <w:color w:val="000000"/>
          <w:sz w:val="20"/>
          <w:lang w:eastAsia="es-AR"/>
        </w:rPr>
      </w:pPr>
    </w:p>
    <w:p w14:paraId="0E986414" w14:textId="47254B4A" w:rsidR="007D2DED" w:rsidRPr="00701F32" w:rsidRDefault="007D2DED" w:rsidP="007D2DED">
      <w:pPr>
        <w:spacing w:after="160" w:line="259" w:lineRule="auto"/>
        <w:rPr>
          <w:rFonts w:ascii="Arial" w:hAnsi="Arial" w:cs="Arial"/>
          <w:bCs/>
          <w:color w:val="000000"/>
          <w:sz w:val="20"/>
          <w:lang w:eastAsia="es-AR"/>
        </w:rPr>
      </w:pPr>
      <w:r w:rsidRPr="00701F32">
        <w:rPr>
          <w:rFonts w:ascii="Arial" w:eastAsiaTheme="minorHAnsi" w:hAnsi="Arial" w:cs="Arial"/>
          <w:sz w:val="20"/>
          <w:szCs w:val="22"/>
        </w:rPr>
        <w:t xml:space="preserve">Los principales componentes del rubro </w:t>
      </w:r>
      <w:r>
        <w:rPr>
          <w:rFonts w:ascii="Arial" w:eastAsiaTheme="minorHAnsi" w:hAnsi="Arial" w:cs="Arial"/>
          <w:sz w:val="20"/>
          <w:szCs w:val="22"/>
        </w:rPr>
        <w:t>egresos por comisiones para</w:t>
      </w:r>
      <w:r w:rsidRPr="00701F32">
        <w:rPr>
          <w:rFonts w:ascii="Arial" w:eastAsiaTheme="minorHAnsi" w:hAnsi="Arial" w:cs="Arial"/>
          <w:sz w:val="20"/>
          <w:szCs w:val="22"/>
        </w:rPr>
        <w:t xml:space="preserve"> los </w:t>
      </w:r>
      <w:r>
        <w:rPr>
          <w:rFonts w:ascii="Arial" w:eastAsiaTheme="minorHAnsi" w:hAnsi="Arial" w:cs="Arial"/>
          <w:sz w:val="20"/>
          <w:szCs w:val="22"/>
        </w:rPr>
        <w:t>ejercicios</w:t>
      </w:r>
      <w:r w:rsidRPr="00701F32">
        <w:rPr>
          <w:rFonts w:ascii="Arial" w:eastAsiaTheme="minorHAnsi" w:hAnsi="Arial" w:cs="Arial"/>
          <w:sz w:val="20"/>
          <w:szCs w:val="22"/>
        </w:rPr>
        <w:t xml:space="preserve"> finalizados el</w:t>
      </w:r>
      <w:r>
        <w:rPr>
          <w:rFonts w:ascii="Arial" w:eastAsiaTheme="minorHAnsi" w:hAnsi="Arial" w:cs="Arial"/>
          <w:sz w:val="20"/>
          <w:szCs w:val="22"/>
        </w:rPr>
        <w:t xml:space="preserve"> 31</w:t>
      </w:r>
      <w:r w:rsidRPr="00701F32">
        <w:rPr>
          <w:rFonts w:ascii="Arial" w:eastAsiaTheme="minorHAnsi" w:hAnsi="Arial" w:cs="Arial"/>
          <w:sz w:val="20"/>
          <w:szCs w:val="22"/>
        </w:rPr>
        <w:t xml:space="preserve"> de </w:t>
      </w:r>
      <w:r>
        <w:rPr>
          <w:rFonts w:ascii="Arial" w:eastAsiaTheme="minorHAnsi" w:hAnsi="Arial" w:cs="Arial"/>
          <w:sz w:val="20"/>
        </w:rPr>
        <w:t>diciembre</w:t>
      </w:r>
      <w:r w:rsidRPr="00701F32">
        <w:rPr>
          <w:rFonts w:ascii="Arial" w:eastAsiaTheme="minorHAnsi" w:hAnsi="Arial" w:cs="Arial"/>
          <w:sz w:val="20"/>
          <w:szCs w:val="22"/>
        </w:rPr>
        <w:t xml:space="preserve"> de </w:t>
      </w:r>
      <w:r w:rsidR="00F011C0">
        <w:rPr>
          <w:rFonts w:ascii="Arial" w:eastAsiaTheme="minorHAnsi" w:hAnsi="Arial" w:cs="Arial"/>
          <w:sz w:val="20"/>
          <w:szCs w:val="22"/>
        </w:rPr>
        <w:t xml:space="preserve">2019 y 2018 </w:t>
      </w:r>
      <w:r w:rsidRPr="00701F32">
        <w:rPr>
          <w:rFonts w:ascii="Arial" w:eastAsiaTheme="minorHAnsi" w:hAnsi="Arial" w:cs="Arial"/>
          <w:sz w:val="20"/>
          <w:szCs w:val="22"/>
        </w:rPr>
        <w:t>son los siguientes:</w:t>
      </w:r>
    </w:p>
    <w:tbl>
      <w:tblPr>
        <w:tblW w:w="8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8"/>
        <w:gridCol w:w="1248"/>
        <w:gridCol w:w="1247"/>
      </w:tblGrid>
      <w:tr w:rsidR="00DF0784" w:rsidRPr="00701F32" w14:paraId="1D6D6CF7" w14:textId="77777777" w:rsidTr="00B57E77">
        <w:trPr>
          <w:trHeight w:val="266"/>
          <w:tblHeader/>
        </w:trPr>
        <w:tc>
          <w:tcPr>
            <w:tcW w:w="6488" w:type="dxa"/>
            <w:shd w:val="clear" w:color="auto" w:fill="auto"/>
          </w:tcPr>
          <w:p w14:paraId="0744185A" w14:textId="77777777" w:rsidR="00DF0784" w:rsidRPr="006E1AF7" w:rsidRDefault="00DF0784" w:rsidP="00DF0784">
            <w:pPr>
              <w:tabs>
                <w:tab w:val="decimal" w:pos="284"/>
                <w:tab w:val="decimal" w:pos="6237"/>
                <w:tab w:val="decimal" w:pos="7200"/>
                <w:tab w:val="decimal" w:pos="8220"/>
                <w:tab w:val="decimal" w:pos="8900"/>
              </w:tabs>
              <w:jc w:val="both"/>
              <w:rPr>
                <w:rFonts w:ascii="Arial" w:hAnsi="Arial" w:cs="Arial"/>
                <w:b/>
                <w:sz w:val="18"/>
              </w:rPr>
            </w:pPr>
          </w:p>
        </w:tc>
        <w:tc>
          <w:tcPr>
            <w:tcW w:w="1248" w:type="dxa"/>
            <w:vAlign w:val="bottom"/>
          </w:tcPr>
          <w:p w14:paraId="5A66FA4D" w14:textId="5A614BBE" w:rsidR="00DF0784" w:rsidRPr="006E1AF7" w:rsidRDefault="00DF0784" w:rsidP="00DF0784">
            <w:pPr>
              <w:tabs>
                <w:tab w:val="decimal" w:pos="284"/>
                <w:tab w:val="decimal" w:pos="6237"/>
                <w:tab w:val="decimal" w:pos="7200"/>
                <w:tab w:val="decimal" w:pos="8220"/>
                <w:tab w:val="decimal" w:pos="8900"/>
              </w:tabs>
              <w:jc w:val="both"/>
              <w:rPr>
                <w:rFonts w:ascii="Arial" w:hAnsi="Arial" w:cs="Arial"/>
                <w:b/>
                <w:sz w:val="18"/>
              </w:rPr>
            </w:pPr>
            <w:r w:rsidRPr="006E1AF7">
              <w:rPr>
                <w:rFonts w:ascii="Arial" w:hAnsi="Arial" w:cs="Arial"/>
                <w:b/>
                <w:color w:val="000000"/>
                <w:sz w:val="18"/>
                <w:lang w:eastAsia="es-AR"/>
              </w:rPr>
              <w:t>31/12/2019</w:t>
            </w:r>
          </w:p>
        </w:tc>
        <w:tc>
          <w:tcPr>
            <w:tcW w:w="1247" w:type="dxa"/>
            <w:shd w:val="clear" w:color="auto" w:fill="auto"/>
            <w:vAlign w:val="bottom"/>
          </w:tcPr>
          <w:p w14:paraId="3B9D525C" w14:textId="5EE57180" w:rsidR="00DF0784" w:rsidRPr="006E1AF7" w:rsidRDefault="00DF0784" w:rsidP="00DF0784">
            <w:pPr>
              <w:tabs>
                <w:tab w:val="decimal" w:pos="284"/>
                <w:tab w:val="decimal" w:pos="6237"/>
                <w:tab w:val="decimal" w:pos="7200"/>
                <w:tab w:val="decimal" w:pos="8220"/>
                <w:tab w:val="decimal" w:pos="8900"/>
              </w:tabs>
              <w:jc w:val="both"/>
              <w:rPr>
                <w:rFonts w:ascii="Arial" w:hAnsi="Arial" w:cs="Arial"/>
                <w:b/>
                <w:sz w:val="18"/>
              </w:rPr>
            </w:pPr>
            <w:r w:rsidRPr="006E1AF7">
              <w:rPr>
                <w:rFonts w:ascii="Arial" w:hAnsi="Arial" w:cs="Arial"/>
                <w:b/>
                <w:color w:val="000000"/>
                <w:sz w:val="18"/>
                <w:lang w:eastAsia="es-AR"/>
              </w:rPr>
              <w:t>31/12/2018</w:t>
            </w:r>
          </w:p>
        </w:tc>
      </w:tr>
      <w:tr w:rsidR="00F011C0" w:rsidRPr="00701F32" w14:paraId="24FD19EC" w14:textId="77777777" w:rsidTr="00B57E77">
        <w:trPr>
          <w:trHeight w:val="266"/>
        </w:trPr>
        <w:tc>
          <w:tcPr>
            <w:tcW w:w="6488" w:type="dxa"/>
            <w:shd w:val="clear" w:color="auto" w:fill="auto"/>
          </w:tcPr>
          <w:p w14:paraId="09F9F588" w14:textId="77777777" w:rsidR="00F011C0" w:rsidRPr="006E1AF7" w:rsidRDefault="00F011C0" w:rsidP="00F011C0">
            <w:pPr>
              <w:ind w:left="29"/>
              <w:jc w:val="both"/>
              <w:rPr>
                <w:rFonts w:ascii="Arial" w:hAnsi="Arial" w:cs="Arial"/>
                <w:sz w:val="18"/>
              </w:rPr>
            </w:pPr>
            <w:r w:rsidRPr="006E1AF7">
              <w:rPr>
                <w:rFonts w:ascii="Arial" w:hAnsi="Arial" w:cs="Arial"/>
                <w:sz w:val="18"/>
              </w:rPr>
              <w:t>Comisiones vinculadas con operaciones con títulos valores</w:t>
            </w:r>
          </w:p>
        </w:tc>
        <w:tc>
          <w:tcPr>
            <w:tcW w:w="1248" w:type="dxa"/>
          </w:tcPr>
          <w:p w14:paraId="554D25EA" w14:textId="5F0442D2" w:rsidR="00F011C0" w:rsidRPr="006E1AF7" w:rsidRDefault="002C695D" w:rsidP="00F011C0">
            <w:pPr>
              <w:ind w:right="113"/>
              <w:jc w:val="right"/>
              <w:rPr>
                <w:rFonts w:ascii="Arial" w:hAnsi="Arial" w:cs="Arial"/>
                <w:sz w:val="18"/>
              </w:rPr>
            </w:pPr>
            <w:r w:rsidRPr="006E1AF7">
              <w:rPr>
                <w:rFonts w:ascii="Arial" w:hAnsi="Arial" w:cs="Arial"/>
                <w:sz w:val="18"/>
              </w:rPr>
              <w:t>19.763</w:t>
            </w:r>
          </w:p>
        </w:tc>
        <w:tc>
          <w:tcPr>
            <w:tcW w:w="1247" w:type="dxa"/>
            <w:shd w:val="clear" w:color="auto" w:fill="auto"/>
          </w:tcPr>
          <w:p w14:paraId="0BB4751A" w14:textId="5678BC97" w:rsidR="00F011C0" w:rsidRPr="006E1AF7" w:rsidRDefault="00F011C0" w:rsidP="00F011C0">
            <w:pPr>
              <w:ind w:right="113"/>
              <w:jc w:val="right"/>
              <w:rPr>
                <w:rFonts w:ascii="Arial" w:hAnsi="Arial" w:cs="Arial"/>
                <w:sz w:val="18"/>
              </w:rPr>
            </w:pPr>
            <w:r w:rsidRPr="006E1AF7">
              <w:rPr>
                <w:rFonts w:ascii="Arial" w:hAnsi="Arial" w:cs="Arial"/>
                <w:sz w:val="18"/>
              </w:rPr>
              <w:t>15.386</w:t>
            </w:r>
          </w:p>
        </w:tc>
      </w:tr>
      <w:tr w:rsidR="00F011C0" w:rsidRPr="00701F32" w14:paraId="7BE46C5E" w14:textId="77777777" w:rsidTr="00B57E77">
        <w:trPr>
          <w:trHeight w:val="266"/>
        </w:trPr>
        <w:tc>
          <w:tcPr>
            <w:tcW w:w="6488" w:type="dxa"/>
          </w:tcPr>
          <w:p w14:paraId="1CD84469" w14:textId="77777777" w:rsidR="00F011C0" w:rsidRPr="006E1AF7" w:rsidRDefault="00F011C0" w:rsidP="00F011C0">
            <w:pPr>
              <w:ind w:left="29"/>
              <w:jc w:val="both"/>
              <w:rPr>
                <w:rFonts w:ascii="Arial" w:hAnsi="Arial" w:cs="Arial"/>
                <w:sz w:val="18"/>
              </w:rPr>
            </w:pPr>
            <w:r w:rsidRPr="006E1AF7">
              <w:rPr>
                <w:rFonts w:ascii="Arial" w:hAnsi="Arial" w:cs="Arial"/>
                <w:sz w:val="18"/>
              </w:rPr>
              <w:t>Financiaciones y consumos de tarjeta de crédito</w:t>
            </w:r>
          </w:p>
        </w:tc>
        <w:tc>
          <w:tcPr>
            <w:tcW w:w="1248" w:type="dxa"/>
          </w:tcPr>
          <w:p w14:paraId="2FC5232C" w14:textId="0EE6A997" w:rsidR="00F011C0" w:rsidRPr="006E1AF7" w:rsidRDefault="002A55BE" w:rsidP="00F011C0">
            <w:pPr>
              <w:ind w:right="113"/>
              <w:jc w:val="right"/>
              <w:rPr>
                <w:rFonts w:ascii="Arial" w:hAnsi="Arial" w:cs="Arial"/>
                <w:sz w:val="18"/>
              </w:rPr>
            </w:pPr>
            <w:r w:rsidRPr="006E1AF7">
              <w:rPr>
                <w:rFonts w:ascii="Arial" w:hAnsi="Arial" w:cs="Arial"/>
                <w:sz w:val="18"/>
              </w:rPr>
              <w:t>1.105.526</w:t>
            </w:r>
          </w:p>
        </w:tc>
        <w:tc>
          <w:tcPr>
            <w:tcW w:w="1247" w:type="dxa"/>
          </w:tcPr>
          <w:p w14:paraId="38E31D36" w14:textId="0A5C02B2" w:rsidR="00F011C0" w:rsidRPr="006E1AF7" w:rsidRDefault="00F011C0" w:rsidP="00F011C0">
            <w:pPr>
              <w:ind w:right="113"/>
              <w:jc w:val="right"/>
              <w:rPr>
                <w:rFonts w:ascii="Arial" w:hAnsi="Arial" w:cs="Arial"/>
                <w:sz w:val="18"/>
              </w:rPr>
            </w:pPr>
            <w:r w:rsidRPr="006E1AF7">
              <w:rPr>
                <w:rFonts w:ascii="Arial" w:hAnsi="Arial" w:cs="Arial"/>
                <w:sz w:val="18"/>
              </w:rPr>
              <w:t>713.675</w:t>
            </w:r>
          </w:p>
        </w:tc>
      </w:tr>
      <w:tr w:rsidR="00F011C0" w:rsidRPr="00701F32" w14:paraId="32B005C7" w14:textId="77777777" w:rsidTr="00B57E77">
        <w:trPr>
          <w:trHeight w:val="266"/>
        </w:trPr>
        <w:tc>
          <w:tcPr>
            <w:tcW w:w="6488" w:type="dxa"/>
          </w:tcPr>
          <w:p w14:paraId="051E447E" w14:textId="77777777" w:rsidR="00F011C0" w:rsidRPr="006E1AF7" w:rsidRDefault="00F011C0" w:rsidP="00F011C0">
            <w:pPr>
              <w:ind w:left="29"/>
              <w:jc w:val="both"/>
              <w:rPr>
                <w:rFonts w:ascii="Arial" w:hAnsi="Arial" w:cs="Arial"/>
                <w:sz w:val="18"/>
              </w:rPr>
            </w:pPr>
            <w:r w:rsidRPr="006E1AF7">
              <w:rPr>
                <w:rFonts w:ascii="Arial" w:hAnsi="Arial" w:cs="Arial"/>
                <w:sz w:val="18"/>
              </w:rPr>
              <w:t>Otros</w:t>
            </w:r>
          </w:p>
        </w:tc>
        <w:tc>
          <w:tcPr>
            <w:tcW w:w="1248" w:type="dxa"/>
          </w:tcPr>
          <w:p w14:paraId="75365070" w14:textId="666783CA" w:rsidR="00F011C0" w:rsidRPr="006E1AF7" w:rsidRDefault="002A55BE" w:rsidP="00F011C0">
            <w:pPr>
              <w:ind w:right="113"/>
              <w:jc w:val="right"/>
              <w:rPr>
                <w:rFonts w:ascii="Arial" w:hAnsi="Arial" w:cs="Arial"/>
                <w:sz w:val="18"/>
              </w:rPr>
            </w:pPr>
            <w:r w:rsidRPr="006E1AF7">
              <w:rPr>
                <w:rFonts w:ascii="Arial" w:hAnsi="Arial" w:cs="Arial"/>
                <w:sz w:val="18"/>
              </w:rPr>
              <w:t>221.727</w:t>
            </w:r>
          </w:p>
        </w:tc>
        <w:tc>
          <w:tcPr>
            <w:tcW w:w="1247" w:type="dxa"/>
          </w:tcPr>
          <w:p w14:paraId="3FB8E182" w14:textId="60A20E5E" w:rsidR="00F011C0" w:rsidRPr="006E1AF7" w:rsidRDefault="00F011C0" w:rsidP="00F011C0">
            <w:pPr>
              <w:ind w:right="113"/>
              <w:jc w:val="right"/>
              <w:rPr>
                <w:rFonts w:ascii="Arial" w:hAnsi="Arial" w:cs="Arial"/>
                <w:sz w:val="18"/>
              </w:rPr>
            </w:pPr>
            <w:r w:rsidRPr="006E1AF7">
              <w:rPr>
                <w:rFonts w:ascii="Arial" w:hAnsi="Arial" w:cs="Arial"/>
                <w:sz w:val="18"/>
              </w:rPr>
              <w:t>121.216</w:t>
            </w:r>
          </w:p>
        </w:tc>
      </w:tr>
      <w:tr w:rsidR="00F011C0" w:rsidRPr="00701F32" w14:paraId="7CEDED0F" w14:textId="77777777" w:rsidTr="00B57E77">
        <w:trPr>
          <w:trHeight w:val="266"/>
        </w:trPr>
        <w:tc>
          <w:tcPr>
            <w:tcW w:w="6488" w:type="dxa"/>
            <w:shd w:val="clear" w:color="auto" w:fill="auto"/>
          </w:tcPr>
          <w:p w14:paraId="25DA7D0F" w14:textId="77777777" w:rsidR="00F011C0" w:rsidRPr="006E1AF7" w:rsidRDefault="00F011C0" w:rsidP="00F011C0">
            <w:pPr>
              <w:jc w:val="both"/>
              <w:rPr>
                <w:rFonts w:ascii="Arial" w:hAnsi="Arial" w:cs="Arial"/>
                <w:b/>
                <w:sz w:val="18"/>
              </w:rPr>
            </w:pPr>
            <w:r w:rsidRPr="006E1AF7">
              <w:rPr>
                <w:rFonts w:ascii="Arial" w:hAnsi="Arial" w:cs="Arial"/>
                <w:b/>
                <w:sz w:val="18"/>
              </w:rPr>
              <w:t>Total</w:t>
            </w:r>
          </w:p>
        </w:tc>
        <w:tc>
          <w:tcPr>
            <w:tcW w:w="1248" w:type="dxa"/>
          </w:tcPr>
          <w:p w14:paraId="49FC7327" w14:textId="2CA71D97" w:rsidR="00F011C0" w:rsidRPr="006E1AF7" w:rsidRDefault="002C695D" w:rsidP="00F011C0">
            <w:pPr>
              <w:pStyle w:val="Style1"/>
              <w:adjustRightInd/>
              <w:ind w:right="107"/>
              <w:jc w:val="right"/>
              <w:rPr>
                <w:rFonts w:ascii="Arial" w:hAnsi="Arial" w:cs="Arial"/>
                <w:b/>
                <w:sz w:val="18"/>
                <w:szCs w:val="20"/>
              </w:rPr>
            </w:pPr>
            <w:r w:rsidRPr="006E1AF7">
              <w:rPr>
                <w:rFonts w:ascii="Arial" w:hAnsi="Arial" w:cs="Arial"/>
                <w:b/>
                <w:sz w:val="18"/>
                <w:szCs w:val="20"/>
              </w:rPr>
              <w:t>1.347.016</w:t>
            </w:r>
          </w:p>
        </w:tc>
        <w:tc>
          <w:tcPr>
            <w:tcW w:w="1247" w:type="dxa"/>
            <w:shd w:val="clear" w:color="auto" w:fill="auto"/>
          </w:tcPr>
          <w:p w14:paraId="74DA7CAD" w14:textId="6975C7AA" w:rsidR="00F011C0" w:rsidRPr="006E1AF7" w:rsidRDefault="00F011C0" w:rsidP="00F011C0">
            <w:pPr>
              <w:pStyle w:val="Style1"/>
              <w:adjustRightInd/>
              <w:ind w:right="107"/>
              <w:jc w:val="right"/>
              <w:rPr>
                <w:rFonts w:ascii="Arial" w:hAnsi="Arial" w:cs="Arial"/>
                <w:b/>
                <w:sz w:val="18"/>
                <w:szCs w:val="20"/>
              </w:rPr>
            </w:pPr>
            <w:r w:rsidRPr="006E1AF7">
              <w:rPr>
                <w:rFonts w:ascii="Arial" w:hAnsi="Arial" w:cs="Arial"/>
                <w:b/>
                <w:sz w:val="18"/>
                <w:szCs w:val="20"/>
              </w:rPr>
              <w:t>850.277</w:t>
            </w:r>
          </w:p>
        </w:tc>
      </w:tr>
    </w:tbl>
    <w:p w14:paraId="4EAC4E29" w14:textId="77777777" w:rsidR="007D2DED" w:rsidRDefault="007D2DED" w:rsidP="007D2DED">
      <w:pPr>
        <w:rPr>
          <w:rFonts w:ascii="Arial" w:hAnsi="Arial" w:cs="Arial"/>
          <w:bCs/>
          <w:color w:val="000000"/>
          <w:sz w:val="20"/>
          <w:lang w:eastAsia="es-AR"/>
        </w:rPr>
      </w:pPr>
    </w:p>
    <w:p w14:paraId="433F6285" w14:textId="4C4D8F21" w:rsidR="007D2DED"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 xml:space="preserve">.19 </w:t>
      </w:r>
      <w:r w:rsidR="007D2DED" w:rsidRPr="00E446C3">
        <w:rPr>
          <w:rFonts w:ascii="Arial" w:hAnsi="Arial" w:cs="Arial"/>
          <w:bCs/>
          <w:color w:val="000000"/>
          <w:sz w:val="20"/>
          <w:lang w:eastAsia="es-AR"/>
        </w:rPr>
        <w:t>Resultado por medición de instru</w:t>
      </w:r>
      <w:r w:rsidR="007D2DED">
        <w:rPr>
          <w:rFonts w:ascii="Arial" w:hAnsi="Arial" w:cs="Arial"/>
          <w:bCs/>
          <w:color w:val="000000"/>
          <w:sz w:val="20"/>
          <w:lang w:eastAsia="es-AR"/>
        </w:rPr>
        <w:t>mentos financieros a valor razonable</w:t>
      </w:r>
      <w:r w:rsidR="007D2DED" w:rsidRPr="00E446C3">
        <w:rPr>
          <w:rFonts w:ascii="Arial" w:hAnsi="Arial" w:cs="Arial"/>
          <w:bCs/>
          <w:color w:val="000000"/>
          <w:sz w:val="20"/>
          <w:lang w:eastAsia="es-AR"/>
        </w:rPr>
        <w:t xml:space="preserve"> con cambios en resultados</w:t>
      </w:r>
    </w:p>
    <w:p w14:paraId="71B36A2C" w14:textId="77777777" w:rsidR="007D2DED" w:rsidRDefault="007D2DED" w:rsidP="007D2DED">
      <w:pPr>
        <w:rPr>
          <w:rFonts w:ascii="Arial" w:hAnsi="Arial" w:cs="Arial"/>
          <w:bCs/>
          <w:color w:val="000000"/>
          <w:sz w:val="20"/>
          <w:lang w:eastAsia="es-AR"/>
        </w:rPr>
      </w:pPr>
    </w:p>
    <w:p w14:paraId="0AFCFC5E" w14:textId="5F7F296E" w:rsidR="007D2DED" w:rsidRDefault="007D2DED" w:rsidP="007D2DED">
      <w:pPr>
        <w:rPr>
          <w:rFonts w:ascii="Arial" w:hAnsi="Arial" w:cs="Arial"/>
          <w:bCs/>
          <w:color w:val="000000"/>
          <w:sz w:val="20"/>
          <w:lang w:eastAsia="es-AR"/>
        </w:rPr>
      </w:pPr>
      <w:r>
        <w:rPr>
          <w:rFonts w:ascii="Arial" w:hAnsi="Arial" w:cs="Arial"/>
          <w:bCs/>
          <w:color w:val="000000"/>
          <w:sz w:val="20"/>
          <w:lang w:eastAsia="es-AR"/>
        </w:rPr>
        <w:t>Los principales componentes del rubro resultado por medición de instrumentos financieros a valor razonable con cambios en resultados por los ejercicios finalizados el 31 de diciembre de 201</w:t>
      </w:r>
      <w:r w:rsidR="00F011C0">
        <w:rPr>
          <w:rFonts w:ascii="Arial" w:hAnsi="Arial" w:cs="Arial"/>
          <w:bCs/>
          <w:color w:val="000000"/>
          <w:sz w:val="20"/>
          <w:lang w:eastAsia="es-AR"/>
        </w:rPr>
        <w:t>9</w:t>
      </w:r>
      <w:r>
        <w:rPr>
          <w:rFonts w:ascii="Arial" w:hAnsi="Arial" w:cs="Arial"/>
          <w:bCs/>
          <w:color w:val="000000"/>
          <w:sz w:val="20"/>
          <w:lang w:eastAsia="es-AR"/>
        </w:rPr>
        <w:t xml:space="preserve"> y 201</w:t>
      </w:r>
      <w:r w:rsidR="00F011C0">
        <w:rPr>
          <w:rFonts w:ascii="Arial" w:hAnsi="Arial" w:cs="Arial"/>
          <w:bCs/>
          <w:color w:val="000000"/>
          <w:sz w:val="20"/>
          <w:lang w:eastAsia="es-AR"/>
        </w:rPr>
        <w:t>8</w:t>
      </w:r>
      <w:r>
        <w:rPr>
          <w:rFonts w:ascii="Arial" w:hAnsi="Arial" w:cs="Arial"/>
          <w:bCs/>
          <w:color w:val="000000"/>
          <w:sz w:val="20"/>
          <w:lang w:eastAsia="es-AR"/>
        </w:rPr>
        <w:t xml:space="preserve"> son los siguientes: </w:t>
      </w:r>
    </w:p>
    <w:p w14:paraId="266A68A8" w14:textId="77777777" w:rsidR="007D2DED" w:rsidRDefault="007D2DED" w:rsidP="007D2DED">
      <w:pPr>
        <w:rPr>
          <w:rFonts w:ascii="Arial" w:hAnsi="Arial" w:cs="Arial"/>
          <w:bCs/>
          <w:color w:val="000000"/>
          <w:sz w:val="20"/>
          <w:lang w:eastAsia="es-AR"/>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29"/>
        <w:gridCol w:w="1669"/>
        <w:gridCol w:w="1591"/>
      </w:tblGrid>
      <w:tr w:rsidR="00DF0784" w:rsidRPr="00701F32" w14:paraId="5D2D4632" w14:textId="77777777" w:rsidTr="00DF0784">
        <w:trPr>
          <w:trHeight w:val="255"/>
        </w:trPr>
        <w:tc>
          <w:tcPr>
            <w:tcW w:w="5529" w:type="dxa"/>
            <w:shd w:val="clear" w:color="auto" w:fill="auto"/>
            <w:noWrap/>
            <w:vAlign w:val="bottom"/>
            <w:hideMark/>
          </w:tcPr>
          <w:p w14:paraId="5B3DCBF2" w14:textId="77777777" w:rsidR="00DF0784" w:rsidRPr="006E1AF7" w:rsidRDefault="00DF0784" w:rsidP="00DF0784">
            <w:pPr>
              <w:rPr>
                <w:rFonts w:ascii="Arial" w:hAnsi="Arial" w:cs="Arial"/>
                <w:b/>
                <w:bCs/>
                <w:color w:val="000000"/>
                <w:sz w:val="18"/>
                <w:lang w:eastAsia="es-AR"/>
              </w:rPr>
            </w:pPr>
          </w:p>
        </w:tc>
        <w:tc>
          <w:tcPr>
            <w:tcW w:w="1669" w:type="dxa"/>
            <w:shd w:val="clear" w:color="auto" w:fill="auto"/>
            <w:noWrap/>
            <w:vAlign w:val="bottom"/>
            <w:hideMark/>
          </w:tcPr>
          <w:p w14:paraId="6CC5F7BA" w14:textId="1CB7B797" w:rsidR="00DF0784" w:rsidRPr="006E1AF7" w:rsidRDefault="00DF0784" w:rsidP="00DF0784">
            <w:pPr>
              <w:jc w:val="center"/>
              <w:rPr>
                <w:rFonts w:ascii="Arial" w:hAnsi="Arial" w:cs="Arial"/>
                <w:b/>
                <w:color w:val="000000"/>
                <w:sz w:val="18"/>
                <w:lang w:val="en-US" w:eastAsia="es-AR"/>
              </w:rPr>
            </w:pPr>
            <w:r w:rsidRPr="006E1AF7">
              <w:rPr>
                <w:rFonts w:ascii="Arial" w:hAnsi="Arial" w:cs="Arial"/>
                <w:b/>
                <w:color w:val="000000"/>
                <w:sz w:val="18"/>
                <w:lang w:eastAsia="es-AR"/>
              </w:rPr>
              <w:t>31/12/2019</w:t>
            </w:r>
          </w:p>
        </w:tc>
        <w:tc>
          <w:tcPr>
            <w:tcW w:w="1591" w:type="dxa"/>
            <w:vAlign w:val="bottom"/>
          </w:tcPr>
          <w:p w14:paraId="01BD7B3B" w14:textId="6FF3FCB1" w:rsidR="00DF0784" w:rsidRPr="006E1AF7" w:rsidRDefault="00DF0784" w:rsidP="00DF0784">
            <w:pPr>
              <w:jc w:val="center"/>
              <w:rPr>
                <w:rFonts w:ascii="Arial" w:hAnsi="Arial" w:cs="Arial"/>
                <w:b/>
                <w:color w:val="000000"/>
                <w:sz w:val="18"/>
                <w:lang w:val="en-US" w:eastAsia="es-AR"/>
              </w:rPr>
            </w:pPr>
            <w:r w:rsidRPr="006E1AF7">
              <w:rPr>
                <w:rFonts w:ascii="Arial" w:hAnsi="Arial" w:cs="Arial"/>
                <w:b/>
                <w:color w:val="000000"/>
                <w:sz w:val="18"/>
                <w:lang w:eastAsia="es-AR"/>
              </w:rPr>
              <w:t>31/12/2018</w:t>
            </w:r>
          </w:p>
        </w:tc>
      </w:tr>
      <w:tr w:rsidR="00F011C0" w:rsidRPr="00701F32" w14:paraId="6BA849DE" w14:textId="77777777" w:rsidTr="00DF0784">
        <w:trPr>
          <w:trHeight w:val="255"/>
        </w:trPr>
        <w:tc>
          <w:tcPr>
            <w:tcW w:w="5529" w:type="dxa"/>
            <w:shd w:val="clear" w:color="auto" w:fill="auto"/>
            <w:noWrap/>
            <w:vAlign w:val="bottom"/>
            <w:hideMark/>
          </w:tcPr>
          <w:p w14:paraId="2CEADC1C"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Resultado de títulos públicos</w:t>
            </w:r>
          </w:p>
        </w:tc>
        <w:tc>
          <w:tcPr>
            <w:tcW w:w="1669" w:type="dxa"/>
            <w:shd w:val="clear" w:color="auto" w:fill="auto"/>
            <w:noWrap/>
            <w:vAlign w:val="bottom"/>
          </w:tcPr>
          <w:p w14:paraId="490AF6E3" w14:textId="7A7E9B9F" w:rsidR="00F011C0" w:rsidRPr="006E1AF7" w:rsidRDefault="0029370D" w:rsidP="00F011C0">
            <w:pPr>
              <w:jc w:val="right"/>
              <w:rPr>
                <w:rFonts w:ascii="Arial" w:hAnsi="Arial" w:cs="Arial"/>
                <w:color w:val="000000"/>
                <w:sz w:val="18"/>
                <w:lang w:eastAsia="es-AR"/>
              </w:rPr>
            </w:pPr>
            <w:r w:rsidRPr="006E1AF7">
              <w:rPr>
                <w:rFonts w:ascii="Arial" w:hAnsi="Arial" w:cs="Arial"/>
                <w:color w:val="000000"/>
                <w:sz w:val="18"/>
                <w:lang w:eastAsia="es-AR"/>
              </w:rPr>
              <w:t>15.295.292</w:t>
            </w:r>
          </w:p>
        </w:tc>
        <w:tc>
          <w:tcPr>
            <w:tcW w:w="1591" w:type="dxa"/>
            <w:vAlign w:val="bottom"/>
          </w:tcPr>
          <w:p w14:paraId="44AE3EB4" w14:textId="4CEB8790"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eastAsia="es-AR"/>
              </w:rPr>
              <w:t>6.475.167</w:t>
            </w:r>
          </w:p>
        </w:tc>
      </w:tr>
      <w:tr w:rsidR="00F011C0" w:rsidRPr="00701F32" w14:paraId="2D05D81D"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26B89E" w14:textId="77777777" w:rsidR="00F011C0" w:rsidRPr="006E1AF7" w:rsidRDefault="00F011C0" w:rsidP="00F011C0">
            <w:pPr>
              <w:rPr>
                <w:rFonts w:ascii="Arial" w:hAnsi="Arial" w:cs="Arial"/>
                <w:color w:val="000000"/>
                <w:sz w:val="18"/>
                <w:lang w:val="es-ES_tradnl" w:eastAsia="es-AR"/>
              </w:rPr>
            </w:pPr>
            <w:r w:rsidRPr="006E1AF7">
              <w:rPr>
                <w:rFonts w:ascii="Arial" w:hAnsi="Arial" w:cs="Arial"/>
                <w:color w:val="000000"/>
                <w:sz w:val="18"/>
                <w:lang w:eastAsia="es-AR"/>
              </w:rPr>
              <w:t>Resultado de títulos valores</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855FB1" w14:textId="51BB75D1" w:rsidR="00F011C0" w:rsidRPr="006E1AF7" w:rsidRDefault="0029370D"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10.598</w:t>
            </w:r>
          </w:p>
        </w:tc>
        <w:tc>
          <w:tcPr>
            <w:tcW w:w="1591" w:type="dxa"/>
            <w:tcBorders>
              <w:top w:val="single" w:sz="4" w:space="0" w:color="auto"/>
              <w:left w:val="single" w:sz="4" w:space="0" w:color="auto"/>
              <w:bottom w:val="single" w:sz="4" w:space="0" w:color="auto"/>
              <w:right w:val="single" w:sz="4" w:space="0" w:color="auto"/>
            </w:tcBorders>
            <w:vAlign w:val="bottom"/>
          </w:tcPr>
          <w:p w14:paraId="21B4B80F" w14:textId="12474CF0"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22.936</w:t>
            </w:r>
          </w:p>
        </w:tc>
      </w:tr>
      <w:tr w:rsidR="00F011C0" w:rsidRPr="00701F32" w14:paraId="51686621"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0A102"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Operaciones a término</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6DA6B6" w14:textId="54003A20" w:rsidR="00F011C0" w:rsidRPr="006E1AF7" w:rsidRDefault="0029370D"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614.343</w:t>
            </w:r>
          </w:p>
        </w:tc>
        <w:tc>
          <w:tcPr>
            <w:tcW w:w="1591" w:type="dxa"/>
            <w:tcBorders>
              <w:top w:val="single" w:sz="4" w:space="0" w:color="auto"/>
              <w:left w:val="single" w:sz="4" w:space="0" w:color="auto"/>
              <w:bottom w:val="single" w:sz="4" w:space="0" w:color="auto"/>
              <w:right w:val="single" w:sz="4" w:space="0" w:color="auto"/>
            </w:tcBorders>
            <w:vAlign w:val="bottom"/>
          </w:tcPr>
          <w:p w14:paraId="5FA17DEA" w14:textId="6A290243"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-1.296.437</w:t>
            </w:r>
          </w:p>
        </w:tc>
      </w:tr>
      <w:tr w:rsidR="00F011C0" w:rsidRPr="00701F32" w14:paraId="212A57E5"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22DDF3"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Permuta de tasa</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A98493" w14:textId="4C063F2B" w:rsidR="00F011C0" w:rsidRPr="006E1AF7" w:rsidRDefault="0029370D"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w:t>
            </w:r>
          </w:p>
        </w:tc>
        <w:tc>
          <w:tcPr>
            <w:tcW w:w="1591" w:type="dxa"/>
            <w:tcBorders>
              <w:top w:val="single" w:sz="4" w:space="0" w:color="auto"/>
              <w:left w:val="single" w:sz="4" w:space="0" w:color="auto"/>
              <w:bottom w:val="single" w:sz="4" w:space="0" w:color="auto"/>
              <w:right w:val="single" w:sz="4" w:space="0" w:color="auto"/>
            </w:tcBorders>
            <w:vAlign w:val="bottom"/>
          </w:tcPr>
          <w:p w14:paraId="5B4FD850" w14:textId="793941BD"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-85.077</w:t>
            </w:r>
          </w:p>
        </w:tc>
      </w:tr>
      <w:tr w:rsidR="00F011C0" w:rsidRPr="00701F32" w14:paraId="4D657E70"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7AB611"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Opciones</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7AE20" w14:textId="26B24371" w:rsidR="00F011C0" w:rsidRPr="006E1AF7" w:rsidRDefault="0029370D"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w:t>
            </w:r>
          </w:p>
        </w:tc>
        <w:tc>
          <w:tcPr>
            <w:tcW w:w="1591" w:type="dxa"/>
            <w:tcBorders>
              <w:top w:val="single" w:sz="4" w:space="0" w:color="auto"/>
              <w:left w:val="single" w:sz="4" w:space="0" w:color="auto"/>
              <w:bottom w:val="single" w:sz="4" w:space="0" w:color="auto"/>
              <w:right w:val="single" w:sz="4" w:space="0" w:color="auto"/>
            </w:tcBorders>
            <w:vAlign w:val="bottom"/>
          </w:tcPr>
          <w:p w14:paraId="71CFD684" w14:textId="0C7ECC59"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19</w:t>
            </w:r>
          </w:p>
        </w:tc>
      </w:tr>
      <w:tr w:rsidR="00F011C0" w:rsidRPr="00701F32" w14:paraId="729D6E67" w14:textId="77777777" w:rsidTr="00DF0784">
        <w:trPr>
          <w:trHeight w:val="270"/>
        </w:trPr>
        <w:tc>
          <w:tcPr>
            <w:tcW w:w="5529" w:type="dxa"/>
            <w:shd w:val="clear" w:color="auto" w:fill="auto"/>
            <w:noWrap/>
            <w:vAlign w:val="bottom"/>
            <w:hideMark/>
          </w:tcPr>
          <w:p w14:paraId="48E99CAC" w14:textId="77777777" w:rsidR="00F011C0" w:rsidRPr="006E1AF7" w:rsidRDefault="00F011C0" w:rsidP="00F011C0">
            <w:pPr>
              <w:rPr>
                <w:rFonts w:ascii="Arial" w:hAnsi="Arial" w:cs="Arial"/>
                <w:b/>
                <w:color w:val="000000"/>
                <w:sz w:val="18"/>
                <w:lang w:eastAsia="es-AR"/>
              </w:rPr>
            </w:pPr>
            <w:r w:rsidRPr="006E1AF7">
              <w:rPr>
                <w:rFonts w:ascii="Arial" w:hAnsi="Arial" w:cs="Arial"/>
                <w:b/>
                <w:color w:val="000000"/>
                <w:sz w:val="18"/>
                <w:lang w:eastAsia="es-AR"/>
              </w:rPr>
              <w:t>Total</w:t>
            </w:r>
          </w:p>
        </w:tc>
        <w:tc>
          <w:tcPr>
            <w:tcW w:w="1669" w:type="dxa"/>
            <w:shd w:val="clear" w:color="auto" w:fill="auto"/>
            <w:noWrap/>
            <w:vAlign w:val="bottom"/>
          </w:tcPr>
          <w:p w14:paraId="452C523E" w14:textId="64B69886" w:rsidR="00F011C0" w:rsidRPr="006E1AF7" w:rsidRDefault="0029370D" w:rsidP="00F011C0">
            <w:pPr>
              <w:jc w:val="right"/>
              <w:rPr>
                <w:rFonts w:ascii="Arial" w:hAnsi="Arial" w:cs="Arial"/>
                <w:b/>
                <w:color w:val="000000"/>
                <w:sz w:val="18"/>
                <w:lang w:eastAsia="es-AR"/>
              </w:rPr>
            </w:pPr>
            <w:r w:rsidRPr="006E1AF7">
              <w:rPr>
                <w:rFonts w:ascii="Arial" w:hAnsi="Arial" w:cs="Arial"/>
                <w:b/>
                <w:color w:val="000000"/>
                <w:sz w:val="18"/>
                <w:lang w:eastAsia="es-AR"/>
              </w:rPr>
              <w:t>15.920.233</w:t>
            </w:r>
          </w:p>
        </w:tc>
        <w:tc>
          <w:tcPr>
            <w:tcW w:w="1591" w:type="dxa"/>
            <w:vAlign w:val="bottom"/>
          </w:tcPr>
          <w:p w14:paraId="505BF39B" w14:textId="14F636A8" w:rsidR="00F011C0" w:rsidRPr="006E1AF7" w:rsidRDefault="00F011C0" w:rsidP="00F011C0">
            <w:pPr>
              <w:jc w:val="right"/>
              <w:rPr>
                <w:rFonts w:ascii="Arial" w:hAnsi="Arial" w:cs="Arial"/>
                <w:b/>
                <w:color w:val="000000"/>
                <w:sz w:val="18"/>
                <w:lang w:eastAsia="es-AR"/>
              </w:rPr>
            </w:pPr>
            <w:r w:rsidRPr="006E1AF7">
              <w:rPr>
                <w:rFonts w:ascii="Arial" w:hAnsi="Arial" w:cs="Arial"/>
                <w:b/>
                <w:color w:val="000000"/>
                <w:sz w:val="18"/>
                <w:lang w:eastAsia="es-AR"/>
              </w:rPr>
              <w:t>5.116.608</w:t>
            </w:r>
          </w:p>
        </w:tc>
      </w:tr>
    </w:tbl>
    <w:p w14:paraId="1CA1513E" w14:textId="77777777" w:rsidR="007D2DED" w:rsidRDefault="007D2DED" w:rsidP="007D2DED">
      <w:pPr>
        <w:rPr>
          <w:rFonts w:ascii="Arial" w:hAnsi="Arial" w:cs="Arial"/>
          <w:bCs/>
          <w:color w:val="000000"/>
          <w:sz w:val="20"/>
          <w:lang w:eastAsia="es-AR"/>
        </w:rPr>
      </w:pPr>
    </w:p>
    <w:p w14:paraId="73B679AF" w14:textId="734E84E4"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 xml:space="preserve">.20 </w:t>
      </w:r>
      <w:r w:rsidR="007D2DED" w:rsidRPr="00701F32">
        <w:rPr>
          <w:rFonts w:ascii="Arial" w:hAnsi="Arial" w:cs="Arial"/>
          <w:bCs/>
          <w:color w:val="000000"/>
          <w:sz w:val="20"/>
          <w:lang w:eastAsia="es-AR"/>
        </w:rPr>
        <w:t>Otros ingresos operativos.</w:t>
      </w:r>
    </w:p>
    <w:p w14:paraId="3A671753" w14:textId="77777777" w:rsidR="007D2DED" w:rsidRPr="00701F32" w:rsidRDefault="007D2DED" w:rsidP="007D2DED">
      <w:pPr>
        <w:rPr>
          <w:rFonts w:ascii="Arial" w:hAnsi="Arial" w:cs="Arial"/>
          <w:bCs/>
          <w:color w:val="000000"/>
          <w:sz w:val="20"/>
          <w:lang w:eastAsia="es-AR"/>
        </w:rPr>
      </w:pPr>
    </w:p>
    <w:p w14:paraId="1FF6A299" w14:textId="532998FF" w:rsidR="007D2DED" w:rsidRPr="00701F32" w:rsidRDefault="007D2DED" w:rsidP="007D2DED">
      <w:pPr>
        <w:spacing w:after="160" w:line="259" w:lineRule="auto"/>
        <w:rPr>
          <w:rFonts w:ascii="Arial" w:hAnsi="Arial" w:cs="Arial"/>
          <w:bCs/>
          <w:color w:val="000000"/>
          <w:sz w:val="20"/>
          <w:lang w:eastAsia="es-AR"/>
        </w:rPr>
      </w:pPr>
      <w:r w:rsidRPr="00701F32">
        <w:rPr>
          <w:rFonts w:ascii="Arial" w:eastAsiaTheme="minorHAnsi" w:hAnsi="Arial" w:cs="Arial"/>
          <w:sz w:val="20"/>
          <w:szCs w:val="22"/>
        </w:rPr>
        <w:t xml:space="preserve">Los principales componentes del rubro otros ingresos operativos por los </w:t>
      </w:r>
      <w:r>
        <w:rPr>
          <w:rFonts w:ascii="Arial" w:eastAsiaTheme="minorHAnsi" w:hAnsi="Arial" w:cs="Arial"/>
          <w:sz w:val="20"/>
          <w:szCs w:val="22"/>
        </w:rPr>
        <w:t>ejercicios</w:t>
      </w:r>
      <w:r w:rsidRPr="00701F32">
        <w:rPr>
          <w:rFonts w:ascii="Arial" w:eastAsiaTheme="minorHAnsi" w:hAnsi="Arial" w:cs="Arial"/>
          <w:sz w:val="20"/>
          <w:szCs w:val="22"/>
        </w:rPr>
        <w:t xml:space="preserve"> finalizados el</w:t>
      </w:r>
      <w:r>
        <w:rPr>
          <w:rFonts w:ascii="Arial" w:eastAsiaTheme="minorHAnsi" w:hAnsi="Arial" w:cs="Arial"/>
          <w:sz w:val="20"/>
          <w:szCs w:val="22"/>
        </w:rPr>
        <w:t xml:space="preserve"> 31</w:t>
      </w:r>
      <w:r w:rsidRPr="00701F32">
        <w:rPr>
          <w:rFonts w:ascii="Arial" w:eastAsiaTheme="minorHAnsi" w:hAnsi="Arial" w:cs="Arial"/>
          <w:sz w:val="20"/>
          <w:szCs w:val="22"/>
        </w:rPr>
        <w:t xml:space="preserve"> de </w:t>
      </w:r>
      <w:r>
        <w:rPr>
          <w:rFonts w:ascii="Arial" w:eastAsiaTheme="minorHAnsi" w:hAnsi="Arial" w:cs="Arial"/>
          <w:sz w:val="20"/>
        </w:rPr>
        <w:t>diciembre</w:t>
      </w:r>
      <w:r w:rsidRPr="00701F32">
        <w:rPr>
          <w:rFonts w:ascii="Arial" w:eastAsiaTheme="minorHAnsi" w:hAnsi="Arial" w:cs="Arial"/>
          <w:sz w:val="20"/>
          <w:szCs w:val="22"/>
        </w:rPr>
        <w:t xml:space="preserve"> de </w:t>
      </w:r>
      <w:r w:rsidR="00F011C0">
        <w:rPr>
          <w:rFonts w:ascii="Arial" w:hAnsi="Arial" w:cs="Arial"/>
          <w:bCs/>
          <w:color w:val="000000"/>
          <w:sz w:val="20"/>
          <w:lang w:eastAsia="es-AR"/>
        </w:rPr>
        <w:t xml:space="preserve">2019 y 2018 </w:t>
      </w:r>
      <w:r w:rsidRPr="00701F32">
        <w:rPr>
          <w:rFonts w:ascii="Arial" w:eastAsiaTheme="minorHAnsi" w:hAnsi="Arial" w:cs="Arial"/>
          <w:sz w:val="20"/>
          <w:szCs w:val="22"/>
        </w:rPr>
        <w:t>son los siguientes:</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29"/>
        <w:gridCol w:w="1669"/>
        <w:gridCol w:w="1591"/>
      </w:tblGrid>
      <w:tr w:rsidR="00DF0784" w:rsidRPr="001B09E2" w14:paraId="0FB84843" w14:textId="77777777" w:rsidTr="00DF0784">
        <w:trPr>
          <w:trHeight w:val="255"/>
          <w:tblHeader/>
        </w:trPr>
        <w:tc>
          <w:tcPr>
            <w:tcW w:w="5529" w:type="dxa"/>
            <w:shd w:val="clear" w:color="auto" w:fill="auto"/>
            <w:noWrap/>
            <w:vAlign w:val="bottom"/>
            <w:hideMark/>
          </w:tcPr>
          <w:p w14:paraId="53C87A15" w14:textId="77777777" w:rsidR="00DF0784" w:rsidRPr="006E1AF7" w:rsidRDefault="00DF0784" w:rsidP="00DF0784">
            <w:pPr>
              <w:rPr>
                <w:rFonts w:ascii="Arial" w:hAnsi="Arial" w:cs="Arial"/>
                <w:b/>
                <w:bCs/>
                <w:color w:val="000000"/>
                <w:sz w:val="18"/>
                <w:lang w:eastAsia="es-AR"/>
              </w:rPr>
            </w:pPr>
          </w:p>
        </w:tc>
        <w:tc>
          <w:tcPr>
            <w:tcW w:w="1669" w:type="dxa"/>
            <w:shd w:val="clear" w:color="auto" w:fill="auto"/>
            <w:noWrap/>
            <w:vAlign w:val="bottom"/>
            <w:hideMark/>
          </w:tcPr>
          <w:p w14:paraId="4D0061CD" w14:textId="1455AC39" w:rsidR="00DF0784" w:rsidRPr="006E1AF7" w:rsidRDefault="00DF0784" w:rsidP="00DF0784">
            <w:pPr>
              <w:jc w:val="center"/>
              <w:rPr>
                <w:rFonts w:ascii="Arial" w:hAnsi="Arial" w:cs="Arial"/>
                <w:b/>
                <w:color w:val="000000"/>
                <w:sz w:val="18"/>
                <w:lang w:val="en-US" w:eastAsia="es-AR"/>
              </w:rPr>
            </w:pPr>
            <w:r w:rsidRPr="006E1AF7">
              <w:rPr>
                <w:rFonts w:ascii="Arial" w:hAnsi="Arial" w:cs="Arial"/>
                <w:b/>
                <w:color w:val="000000"/>
                <w:sz w:val="18"/>
                <w:lang w:eastAsia="es-AR"/>
              </w:rPr>
              <w:t>31/12/2019</w:t>
            </w:r>
          </w:p>
        </w:tc>
        <w:tc>
          <w:tcPr>
            <w:tcW w:w="1591" w:type="dxa"/>
            <w:vAlign w:val="bottom"/>
          </w:tcPr>
          <w:p w14:paraId="22B4DE13" w14:textId="26087A2F" w:rsidR="00DF0784" w:rsidRPr="006E1AF7" w:rsidRDefault="00DF0784" w:rsidP="00DF0784">
            <w:pPr>
              <w:jc w:val="center"/>
              <w:rPr>
                <w:rFonts w:ascii="Arial" w:hAnsi="Arial" w:cs="Arial"/>
                <w:b/>
                <w:color w:val="000000"/>
                <w:sz w:val="18"/>
                <w:lang w:val="en-US" w:eastAsia="es-AR"/>
              </w:rPr>
            </w:pPr>
            <w:r w:rsidRPr="006E1AF7">
              <w:rPr>
                <w:rFonts w:ascii="Arial" w:hAnsi="Arial" w:cs="Arial"/>
                <w:b/>
                <w:color w:val="000000"/>
                <w:sz w:val="18"/>
                <w:lang w:eastAsia="es-AR"/>
              </w:rPr>
              <w:t>31/12/2018</w:t>
            </w:r>
          </w:p>
        </w:tc>
      </w:tr>
      <w:tr w:rsidR="00F011C0" w:rsidRPr="001B09E2" w14:paraId="36101EA3" w14:textId="77777777" w:rsidTr="00DF0784">
        <w:trPr>
          <w:trHeight w:val="255"/>
        </w:trPr>
        <w:tc>
          <w:tcPr>
            <w:tcW w:w="5529" w:type="dxa"/>
            <w:shd w:val="clear" w:color="auto" w:fill="auto"/>
            <w:noWrap/>
            <w:vAlign w:val="bottom"/>
            <w:hideMark/>
          </w:tcPr>
          <w:p w14:paraId="2BB8DF26"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Alquileres</w:t>
            </w:r>
          </w:p>
        </w:tc>
        <w:tc>
          <w:tcPr>
            <w:tcW w:w="1669" w:type="dxa"/>
            <w:shd w:val="clear" w:color="auto" w:fill="auto"/>
            <w:noWrap/>
            <w:vAlign w:val="bottom"/>
          </w:tcPr>
          <w:p w14:paraId="6E55801B" w14:textId="5C4B47EB" w:rsidR="00F011C0" w:rsidRPr="006E1AF7" w:rsidRDefault="0029370D" w:rsidP="00F011C0">
            <w:pPr>
              <w:jc w:val="right"/>
              <w:rPr>
                <w:rFonts w:ascii="Arial" w:hAnsi="Arial" w:cs="Arial"/>
                <w:color w:val="000000"/>
                <w:sz w:val="18"/>
                <w:lang w:eastAsia="es-AR"/>
              </w:rPr>
            </w:pPr>
            <w:r w:rsidRPr="006E1AF7">
              <w:rPr>
                <w:rFonts w:ascii="Arial" w:hAnsi="Arial" w:cs="Arial"/>
                <w:color w:val="000000"/>
                <w:sz w:val="18"/>
                <w:lang w:eastAsia="es-AR"/>
              </w:rPr>
              <w:t>25.328</w:t>
            </w:r>
          </w:p>
        </w:tc>
        <w:tc>
          <w:tcPr>
            <w:tcW w:w="1591" w:type="dxa"/>
            <w:vAlign w:val="bottom"/>
          </w:tcPr>
          <w:p w14:paraId="61207AB3" w14:textId="7117FB39"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eastAsia="es-AR"/>
              </w:rPr>
              <w:t>9.239</w:t>
            </w:r>
          </w:p>
        </w:tc>
      </w:tr>
      <w:tr w:rsidR="00F011C0" w:rsidRPr="001B09E2" w14:paraId="48136865"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4257D" w14:textId="77777777" w:rsidR="00F011C0" w:rsidRPr="006E1AF7" w:rsidRDefault="00F011C0" w:rsidP="00F011C0">
            <w:pPr>
              <w:rPr>
                <w:rFonts w:ascii="Arial" w:hAnsi="Arial" w:cs="Arial"/>
                <w:color w:val="000000"/>
                <w:sz w:val="18"/>
                <w:lang w:val="es-ES_tradnl" w:eastAsia="es-AR"/>
              </w:rPr>
            </w:pPr>
            <w:r w:rsidRPr="006E1AF7">
              <w:rPr>
                <w:rFonts w:ascii="Arial" w:hAnsi="Arial" w:cs="Arial"/>
                <w:color w:val="000000"/>
                <w:sz w:val="18"/>
                <w:lang w:eastAsia="es-AR"/>
              </w:rPr>
              <w:t>Alquiler de cajas de seguridad</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CEF0D2" w14:textId="32E37D4A" w:rsidR="00F011C0" w:rsidRPr="006E1AF7" w:rsidRDefault="0029370D"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234.726</w:t>
            </w:r>
          </w:p>
        </w:tc>
        <w:tc>
          <w:tcPr>
            <w:tcW w:w="1591" w:type="dxa"/>
            <w:tcBorders>
              <w:top w:val="single" w:sz="4" w:space="0" w:color="auto"/>
              <w:left w:val="single" w:sz="4" w:space="0" w:color="auto"/>
              <w:bottom w:val="single" w:sz="4" w:space="0" w:color="auto"/>
              <w:right w:val="single" w:sz="4" w:space="0" w:color="auto"/>
            </w:tcBorders>
            <w:vAlign w:val="bottom"/>
          </w:tcPr>
          <w:p w14:paraId="52F97BE9" w14:textId="666336D7"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162.817</w:t>
            </w:r>
          </w:p>
        </w:tc>
      </w:tr>
      <w:tr w:rsidR="00F011C0" w:rsidRPr="001B09E2" w14:paraId="442FF852"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98C0DC"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Ajustes e intereses de créditos diversos</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B8D6B" w14:textId="33CE768D" w:rsidR="00F011C0" w:rsidRPr="006E1AF7" w:rsidRDefault="0029370D"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145.648</w:t>
            </w:r>
          </w:p>
        </w:tc>
        <w:tc>
          <w:tcPr>
            <w:tcW w:w="1591" w:type="dxa"/>
            <w:tcBorders>
              <w:top w:val="single" w:sz="4" w:space="0" w:color="auto"/>
              <w:left w:val="single" w:sz="4" w:space="0" w:color="auto"/>
              <w:bottom w:val="single" w:sz="4" w:space="0" w:color="auto"/>
              <w:right w:val="single" w:sz="4" w:space="0" w:color="auto"/>
            </w:tcBorders>
            <w:vAlign w:val="bottom"/>
          </w:tcPr>
          <w:p w14:paraId="07DCFF04" w14:textId="1A212E56"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82.490</w:t>
            </w:r>
          </w:p>
        </w:tc>
      </w:tr>
      <w:tr w:rsidR="00F011C0" w:rsidRPr="001B09E2" w14:paraId="40210B33"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5640A5"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Intereses punitorios</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AF87F" w14:textId="18ED82C3" w:rsidR="00F011C0" w:rsidRPr="006E1AF7" w:rsidRDefault="0029370D"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255.318</w:t>
            </w:r>
          </w:p>
        </w:tc>
        <w:tc>
          <w:tcPr>
            <w:tcW w:w="1591" w:type="dxa"/>
            <w:tcBorders>
              <w:top w:val="single" w:sz="4" w:space="0" w:color="auto"/>
              <w:left w:val="single" w:sz="4" w:space="0" w:color="auto"/>
              <w:bottom w:val="single" w:sz="4" w:space="0" w:color="auto"/>
              <w:right w:val="single" w:sz="4" w:space="0" w:color="auto"/>
            </w:tcBorders>
            <w:vAlign w:val="bottom"/>
          </w:tcPr>
          <w:p w14:paraId="791BF208" w14:textId="15C6547E"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107.878</w:t>
            </w:r>
          </w:p>
        </w:tc>
      </w:tr>
      <w:tr w:rsidR="00F011C0" w:rsidRPr="001B09E2" w14:paraId="6F6A4571"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B78BC1"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Previsiones desafectadas y créditos recuperados</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937FD" w14:textId="4CF3885B" w:rsidR="00F011C0" w:rsidRPr="006E1AF7" w:rsidRDefault="0029370D"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338.305</w:t>
            </w:r>
          </w:p>
        </w:tc>
        <w:tc>
          <w:tcPr>
            <w:tcW w:w="1591" w:type="dxa"/>
            <w:tcBorders>
              <w:top w:val="single" w:sz="4" w:space="0" w:color="auto"/>
              <w:left w:val="single" w:sz="4" w:space="0" w:color="auto"/>
              <w:bottom w:val="single" w:sz="4" w:space="0" w:color="auto"/>
              <w:right w:val="single" w:sz="4" w:space="0" w:color="auto"/>
            </w:tcBorders>
            <w:vAlign w:val="bottom"/>
          </w:tcPr>
          <w:p w14:paraId="2F65CCB0" w14:textId="56669E0D"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166.353</w:t>
            </w:r>
          </w:p>
        </w:tc>
      </w:tr>
      <w:tr w:rsidR="00F011C0" w:rsidRPr="001B09E2" w14:paraId="7E1000B8"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F6E128"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Rendimiento fondo de riesgo SGR</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28A4F4" w14:textId="0285AA4E" w:rsidR="00F011C0" w:rsidRPr="006E1AF7" w:rsidRDefault="0029370D" w:rsidP="00F011C0">
            <w:pPr>
              <w:jc w:val="right"/>
              <w:rPr>
                <w:rFonts w:ascii="Arial" w:hAnsi="Arial" w:cs="Arial"/>
                <w:color w:val="000000"/>
                <w:sz w:val="18"/>
                <w:lang w:eastAsia="es-AR"/>
              </w:rPr>
            </w:pPr>
            <w:r w:rsidRPr="006E1AF7">
              <w:rPr>
                <w:rFonts w:ascii="Arial" w:hAnsi="Arial" w:cs="Arial"/>
                <w:color w:val="000000"/>
                <w:sz w:val="18"/>
                <w:lang w:eastAsia="es-AR"/>
              </w:rPr>
              <w:t>108.550</w:t>
            </w:r>
          </w:p>
        </w:tc>
        <w:tc>
          <w:tcPr>
            <w:tcW w:w="1591" w:type="dxa"/>
            <w:tcBorders>
              <w:top w:val="single" w:sz="4" w:space="0" w:color="auto"/>
              <w:left w:val="single" w:sz="4" w:space="0" w:color="auto"/>
              <w:bottom w:val="single" w:sz="4" w:space="0" w:color="auto"/>
              <w:right w:val="single" w:sz="4" w:space="0" w:color="auto"/>
            </w:tcBorders>
            <w:vAlign w:val="bottom"/>
          </w:tcPr>
          <w:p w14:paraId="4E4D1449" w14:textId="1D924985"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eastAsia="es-AR"/>
              </w:rPr>
              <w:t>211.139</w:t>
            </w:r>
          </w:p>
        </w:tc>
      </w:tr>
      <w:tr w:rsidR="00F011C0" w:rsidRPr="001B09E2" w14:paraId="645DEEA6"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F888A2"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Otros resultados OCIF</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9E7702" w14:textId="46F1E6E6" w:rsidR="00F011C0" w:rsidRPr="006E1AF7" w:rsidRDefault="0029370D" w:rsidP="00F011C0">
            <w:pPr>
              <w:jc w:val="right"/>
              <w:rPr>
                <w:rFonts w:ascii="Arial" w:hAnsi="Arial" w:cs="Arial"/>
                <w:color w:val="000000"/>
                <w:sz w:val="18"/>
                <w:lang w:eastAsia="es-AR"/>
              </w:rPr>
            </w:pPr>
            <w:r w:rsidRPr="006E1AF7">
              <w:rPr>
                <w:rFonts w:ascii="Arial" w:hAnsi="Arial" w:cs="Arial"/>
                <w:color w:val="000000"/>
                <w:sz w:val="18"/>
                <w:lang w:eastAsia="es-AR"/>
              </w:rPr>
              <w:t>2.170</w:t>
            </w:r>
          </w:p>
        </w:tc>
        <w:tc>
          <w:tcPr>
            <w:tcW w:w="1591" w:type="dxa"/>
            <w:tcBorders>
              <w:top w:val="single" w:sz="4" w:space="0" w:color="auto"/>
              <w:left w:val="single" w:sz="4" w:space="0" w:color="auto"/>
              <w:bottom w:val="single" w:sz="4" w:space="0" w:color="auto"/>
              <w:right w:val="single" w:sz="4" w:space="0" w:color="auto"/>
            </w:tcBorders>
            <w:vAlign w:val="bottom"/>
          </w:tcPr>
          <w:p w14:paraId="25485E7F" w14:textId="0038628E"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eastAsia="es-AR"/>
              </w:rPr>
              <w:t>2.553</w:t>
            </w:r>
          </w:p>
        </w:tc>
      </w:tr>
      <w:tr w:rsidR="00F011C0" w:rsidRPr="001B09E2" w14:paraId="12322416"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993F35"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Revalúo de propiedades de inversión</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A931E" w14:textId="7DBCA13A" w:rsidR="00F011C0" w:rsidRPr="006E1AF7" w:rsidRDefault="0029370D" w:rsidP="00F011C0">
            <w:pPr>
              <w:jc w:val="right"/>
              <w:rPr>
                <w:rFonts w:ascii="Arial" w:hAnsi="Arial" w:cs="Arial"/>
                <w:color w:val="000000"/>
                <w:sz w:val="18"/>
                <w:lang w:eastAsia="es-AR"/>
              </w:rPr>
            </w:pPr>
            <w:r w:rsidRPr="006E1AF7">
              <w:rPr>
                <w:rFonts w:ascii="Arial" w:hAnsi="Arial" w:cs="Arial"/>
                <w:color w:val="000000"/>
                <w:sz w:val="18"/>
                <w:lang w:eastAsia="es-AR"/>
              </w:rPr>
              <w:t>428.468</w:t>
            </w:r>
          </w:p>
        </w:tc>
        <w:tc>
          <w:tcPr>
            <w:tcW w:w="1591" w:type="dxa"/>
            <w:tcBorders>
              <w:top w:val="single" w:sz="4" w:space="0" w:color="auto"/>
              <w:left w:val="single" w:sz="4" w:space="0" w:color="auto"/>
              <w:bottom w:val="single" w:sz="4" w:space="0" w:color="auto"/>
              <w:right w:val="single" w:sz="4" w:space="0" w:color="auto"/>
            </w:tcBorders>
            <w:vAlign w:val="bottom"/>
          </w:tcPr>
          <w:p w14:paraId="328ACEF4" w14:textId="6C8795A3"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eastAsia="es-AR"/>
              </w:rPr>
              <w:t>208.983</w:t>
            </w:r>
          </w:p>
        </w:tc>
      </w:tr>
      <w:tr w:rsidR="0029370D" w:rsidRPr="001B09E2" w14:paraId="1125EB65"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580802" w14:textId="476729D6" w:rsidR="0029370D" w:rsidRPr="006E1AF7" w:rsidRDefault="0029370D" w:rsidP="00F011C0">
            <w:pPr>
              <w:rPr>
                <w:rFonts w:ascii="Arial" w:hAnsi="Arial" w:cs="Arial"/>
                <w:color w:val="000000"/>
                <w:sz w:val="18"/>
                <w:lang w:eastAsia="es-AR"/>
              </w:rPr>
            </w:pPr>
            <w:r w:rsidRPr="006E1AF7">
              <w:rPr>
                <w:rFonts w:ascii="Arial" w:hAnsi="Arial" w:cs="Arial"/>
                <w:color w:val="000000"/>
                <w:sz w:val="18"/>
                <w:lang w:eastAsia="es-AR"/>
              </w:rPr>
              <w:t>Comisión por administración de cartera</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382617" w14:textId="0DADA0B5" w:rsidR="0029370D" w:rsidRPr="006E1AF7" w:rsidRDefault="001D342E" w:rsidP="00F011C0">
            <w:pPr>
              <w:jc w:val="right"/>
              <w:rPr>
                <w:rFonts w:ascii="Arial" w:hAnsi="Arial" w:cs="Arial"/>
                <w:color w:val="000000"/>
                <w:sz w:val="18"/>
                <w:lang w:eastAsia="es-AR"/>
              </w:rPr>
            </w:pPr>
            <w:r w:rsidRPr="006E1AF7">
              <w:rPr>
                <w:rFonts w:ascii="Arial" w:hAnsi="Arial" w:cs="Arial"/>
                <w:color w:val="000000"/>
                <w:sz w:val="18"/>
                <w:lang w:eastAsia="es-AR"/>
              </w:rPr>
              <w:t>12.711</w:t>
            </w:r>
          </w:p>
        </w:tc>
        <w:tc>
          <w:tcPr>
            <w:tcW w:w="1591" w:type="dxa"/>
            <w:tcBorders>
              <w:top w:val="single" w:sz="4" w:space="0" w:color="auto"/>
              <w:left w:val="single" w:sz="4" w:space="0" w:color="auto"/>
              <w:bottom w:val="single" w:sz="4" w:space="0" w:color="auto"/>
              <w:right w:val="single" w:sz="4" w:space="0" w:color="auto"/>
            </w:tcBorders>
            <w:vAlign w:val="bottom"/>
          </w:tcPr>
          <w:p w14:paraId="281A39BE" w14:textId="6432F5D2" w:rsidR="0029370D" w:rsidRPr="006E1AF7" w:rsidRDefault="001D342E" w:rsidP="00F011C0">
            <w:pPr>
              <w:jc w:val="right"/>
              <w:rPr>
                <w:rFonts w:ascii="Arial" w:hAnsi="Arial" w:cs="Arial"/>
                <w:color w:val="000000"/>
                <w:sz w:val="18"/>
                <w:lang w:eastAsia="es-AR"/>
              </w:rPr>
            </w:pPr>
            <w:r w:rsidRPr="006E1AF7">
              <w:rPr>
                <w:rFonts w:ascii="Arial" w:hAnsi="Arial" w:cs="Arial"/>
                <w:color w:val="000000"/>
                <w:sz w:val="18"/>
                <w:lang w:eastAsia="es-AR"/>
              </w:rPr>
              <w:t>17.937</w:t>
            </w:r>
          </w:p>
        </w:tc>
      </w:tr>
      <w:tr w:rsidR="0029370D" w:rsidRPr="001B09E2" w14:paraId="73EDCF39"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F55690" w14:textId="01D0BDE5" w:rsidR="0029370D" w:rsidRPr="006E1AF7" w:rsidRDefault="0029370D" w:rsidP="00F011C0">
            <w:pPr>
              <w:rPr>
                <w:rFonts w:ascii="Arial" w:hAnsi="Arial" w:cs="Arial"/>
                <w:color w:val="000000"/>
                <w:sz w:val="18"/>
                <w:lang w:eastAsia="es-AR"/>
              </w:rPr>
            </w:pPr>
            <w:r w:rsidRPr="006E1AF7">
              <w:rPr>
                <w:rFonts w:ascii="Arial" w:hAnsi="Arial" w:cs="Arial"/>
                <w:color w:val="000000"/>
                <w:sz w:val="18"/>
                <w:lang w:eastAsia="es-AR"/>
              </w:rPr>
              <w:t>Comisión por arrendamiento financiero</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06C195" w14:textId="6BF0712F" w:rsidR="0029370D" w:rsidRPr="006E1AF7" w:rsidRDefault="0029370D" w:rsidP="00F011C0">
            <w:pPr>
              <w:jc w:val="right"/>
              <w:rPr>
                <w:rFonts w:ascii="Arial" w:hAnsi="Arial" w:cs="Arial"/>
                <w:color w:val="000000"/>
                <w:sz w:val="18"/>
                <w:lang w:eastAsia="es-AR"/>
              </w:rPr>
            </w:pPr>
            <w:r w:rsidRPr="006E1AF7">
              <w:rPr>
                <w:rFonts w:ascii="Arial" w:hAnsi="Arial" w:cs="Arial"/>
                <w:color w:val="000000"/>
                <w:sz w:val="18"/>
                <w:lang w:eastAsia="es-AR"/>
              </w:rPr>
              <w:t>6.896</w:t>
            </w:r>
          </w:p>
        </w:tc>
        <w:tc>
          <w:tcPr>
            <w:tcW w:w="1591" w:type="dxa"/>
            <w:tcBorders>
              <w:top w:val="single" w:sz="4" w:space="0" w:color="auto"/>
              <w:left w:val="single" w:sz="4" w:space="0" w:color="auto"/>
              <w:bottom w:val="single" w:sz="4" w:space="0" w:color="auto"/>
              <w:right w:val="single" w:sz="4" w:space="0" w:color="auto"/>
            </w:tcBorders>
            <w:vAlign w:val="bottom"/>
          </w:tcPr>
          <w:p w14:paraId="273D40DB" w14:textId="5E107EE2" w:rsidR="0029370D" w:rsidRPr="006E1AF7" w:rsidRDefault="001D342E" w:rsidP="00F011C0">
            <w:pPr>
              <w:jc w:val="right"/>
              <w:rPr>
                <w:rFonts w:ascii="Arial" w:hAnsi="Arial" w:cs="Arial"/>
                <w:color w:val="000000"/>
                <w:sz w:val="18"/>
                <w:lang w:eastAsia="es-AR"/>
              </w:rPr>
            </w:pPr>
            <w:r w:rsidRPr="006E1AF7">
              <w:rPr>
                <w:rFonts w:ascii="Arial" w:hAnsi="Arial" w:cs="Arial"/>
                <w:color w:val="000000"/>
                <w:sz w:val="18"/>
                <w:lang w:eastAsia="es-AR"/>
              </w:rPr>
              <w:t>1.551</w:t>
            </w:r>
          </w:p>
        </w:tc>
      </w:tr>
      <w:tr w:rsidR="0029370D" w:rsidRPr="001B09E2" w14:paraId="4C8DE091"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54E8C2" w14:textId="4F6CD23A" w:rsidR="0029370D" w:rsidRPr="006E1AF7" w:rsidRDefault="0029370D" w:rsidP="00F011C0">
            <w:pPr>
              <w:rPr>
                <w:rFonts w:ascii="Arial" w:hAnsi="Arial" w:cs="Arial"/>
                <w:color w:val="000000"/>
                <w:sz w:val="18"/>
                <w:lang w:eastAsia="es-AR"/>
              </w:rPr>
            </w:pPr>
            <w:r w:rsidRPr="006E1AF7">
              <w:rPr>
                <w:rFonts w:ascii="Arial" w:hAnsi="Arial" w:cs="Arial"/>
                <w:color w:val="000000"/>
                <w:sz w:val="18"/>
                <w:lang w:eastAsia="es-AR"/>
              </w:rPr>
              <w:t>Comisión por gestión de cuenta corriente</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725476" w14:textId="0F799EFC" w:rsidR="0029370D" w:rsidRPr="006E1AF7" w:rsidRDefault="001D342E" w:rsidP="00F011C0">
            <w:pPr>
              <w:jc w:val="right"/>
              <w:rPr>
                <w:rFonts w:ascii="Arial" w:hAnsi="Arial" w:cs="Arial"/>
                <w:color w:val="000000"/>
                <w:sz w:val="18"/>
                <w:lang w:eastAsia="es-AR"/>
              </w:rPr>
            </w:pPr>
            <w:r w:rsidRPr="006E1AF7">
              <w:rPr>
                <w:rFonts w:ascii="Arial" w:hAnsi="Arial" w:cs="Arial"/>
                <w:color w:val="000000"/>
                <w:sz w:val="18"/>
                <w:lang w:eastAsia="es-AR"/>
              </w:rPr>
              <w:t>119.526</w:t>
            </w:r>
          </w:p>
        </w:tc>
        <w:tc>
          <w:tcPr>
            <w:tcW w:w="1591" w:type="dxa"/>
            <w:tcBorders>
              <w:top w:val="single" w:sz="4" w:space="0" w:color="auto"/>
              <w:left w:val="single" w:sz="4" w:space="0" w:color="auto"/>
              <w:bottom w:val="single" w:sz="4" w:space="0" w:color="auto"/>
              <w:right w:val="single" w:sz="4" w:space="0" w:color="auto"/>
            </w:tcBorders>
            <w:vAlign w:val="bottom"/>
          </w:tcPr>
          <w:p w14:paraId="7C1F019D" w14:textId="66E4CA1E" w:rsidR="0029370D" w:rsidRPr="006E1AF7" w:rsidRDefault="001D342E" w:rsidP="00F011C0">
            <w:pPr>
              <w:jc w:val="right"/>
              <w:rPr>
                <w:rFonts w:ascii="Arial" w:hAnsi="Arial" w:cs="Arial"/>
                <w:color w:val="000000"/>
                <w:sz w:val="18"/>
                <w:lang w:eastAsia="es-AR"/>
              </w:rPr>
            </w:pPr>
            <w:r w:rsidRPr="006E1AF7">
              <w:rPr>
                <w:rFonts w:ascii="Arial" w:hAnsi="Arial" w:cs="Arial"/>
                <w:color w:val="000000"/>
                <w:sz w:val="18"/>
                <w:lang w:eastAsia="es-AR"/>
              </w:rPr>
              <w:t>79.965</w:t>
            </w:r>
          </w:p>
        </w:tc>
      </w:tr>
      <w:tr w:rsidR="00F011C0" w:rsidRPr="001B09E2" w14:paraId="380D9758"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9F115F"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Comisiones por administración de cheques</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6A37E2" w14:textId="7A16454D" w:rsidR="00F011C0" w:rsidRPr="006E1AF7" w:rsidRDefault="0029370D" w:rsidP="00F011C0">
            <w:pPr>
              <w:jc w:val="right"/>
              <w:rPr>
                <w:rFonts w:ascii="Arial" w:hAnsi="Arial" w:cs="Arial"/>
                <w:color w:val="000000"/>
                <w:sz w:val="18"/>
                <w:lang w:eastAsia="es-AR"/>
              </w:rPr>
            </w:pPr>
            <w:r w:rsidRPr="006E1AF7">
              <w:rPr>
                <w:rFonts w:ascii="Arial" w:hAnsi="Arial" w:cs="Arial"/>
                <w:color w:val="000000"/>
                <w:sz w:val="18"/>
                <w:lang w:eastAsia="es-AR"/>
              </w:rPr>
              <w:t>107.399</w:t>
            </w:r>
          </w:p>
        </w:tc>
        <w:tc>
          <w:tcPr>
            <w:tcW w:w="1591" w:type="dxa"/>
            <w:tcBorders>
              <w:top w:val="single" w:sz="4" w:space="0" w:color="auto"/>
              <w:left w:val="single" w:sz="4" w:space="0" w:color="auto"/>
              <w:bottom w:val="single" w:sz="4" w:space="0" w:color="auto"/>
              <w:right w:val="single" w:sz="4" w:space="0" w:color="auto"/>
            </w:tcBorders>
            <w:vAlign w:val="bottom"/>
          </w:tcPr>
          <w:p w14:paraId="7AEED927" w14:textId="7610A969" w:rsidR="00F011C0" w:rsidRPr="006E1AF7" w:rsidRDefault="001D342E" w:rsidP="00F011C0">
            <w:pPr>
              <w:jc w:val="right"/>
              <w:rPr>
                <w:rFonts w:ascii="Arial" w:hAnsi="Arial" w:cs="Arial"/>
                <w:color w:val="000000"/>
                <w:sz w:val="18"/>
                <w:lang w:eastAsia="es-AR"/>
              </w:rPr>
            </w:pPr>
            <w:r w:rsidRPr="006E1AF7">
              <w:rPr>
                <w:rFonts w:ascii="Arial" w:hAnsi="Arial" w:cs="Arial"/>
                <w:color w:val="000000"/>
                <w:sz w:val="18"/>
                <w:lang w:eastAsia="es-AR"/>
              </w:rPr>
              <w:t>261</w:t>
            </w:r>
          </w:p>
        </w:tc>
      </w:tr>
      <w:tr w:rsidR="00F011C0" w:rsidRPr="001B09E2" w14:paraId="0E350BFB" w14:textId="77777777" w:rsidTr="00DF0784">
        <w:trPr>
          <w:trHeight w:val="25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3CD47"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Otros</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7137C" w14:textId="3B735C33" w:rsidR="00F011C0" w:rsidRPr="006E1AF7" w:rsidRDefault="001D342E" w:rsidP="00F011C0">
            <w:pPr>
              <w:jc w:val="right"/>
              <w:rPr>
                <w:rFonts w:ascii="Arial" w:hAnsi="Arial" w:cs="Arial"/>
                <w:color w:val="000000"/>
                <w:sz w:val="18"/>
                <w:lang w:eastAsia="es-AR"/>
              </w:rPr>
            </w:pPr>
            <w:r w:rsidRPr="006E1AF7">
              <w:rPr>
                <w:rFonts w:ascii="Arial" w:hAnsi="Arial" w:cs="Arial"/>
                <w:color w:val="000000"/>
                <w:sz w:val="18"/>
                <w:lang w:eastAsia="es-AR"/>
              </w:rPr>
              <w:t>433.564</w:t>
            </w:r>
          </w:p>
        </w:tc>
        <w:tc>
          <w:tcPr>
            <w:tcW w:w="1591" w:type="dxa"/>
            <w:tcBorders>
              <w:top w:val="single" w:sz="4" w:space="0" w:color="auto"/>
              <w:left w:val="single" w:sz="4" w:space="0" w:color="auto"/>
              <w:bottom w:val="single" w:sz="4" w:space="0" w:color="auto"/>
              <w:right w:val="single" w:sz="4" w:space="0" w:color="auto"/>
            </w:tcBorders>
            <w:vAlign w:val="bottom"/>
          </w:tcPr>
          <w:p w14:paraId="1BD324BC" w14:textId="6D6C0FFC" w:rsidR="00F011C0" w:rsidRPr="006E1AF7" w:rsidRDefault="001D342E" w:rsidP="00F011C0">
            <w:pPr>
              <w:jc w:val="right"/>
              <w:rPr>
                <w:rFonts w:ascii="Arial" w:hAnsi="Arial" w:cs="Arial"/>
                <w:color w:val="000000"/>
                <w:sz w:val="18"/>
                <w:lang w:eastAsia="es-AR"/>
              </w:rPr>
            </w:pPr>
            <w:r w:rsidRPr="006E1AF7">
              <w:rPr>
                <w:rFonts w:ascii="Arial" w:hAnsi="Arial" w:cs="Arial"/>
                <w:color w:val="000000"/>
                <w:sz w:val="18"/>
                <w:lang w:eastAsia="es-AR"/>
              </w:rPr>
              <w:t>465.358</w:t>
            </w:r>
          </w:p>
        </w:tc>
      </w:tr>
      <w:tr w:rsidR="00F011C0" w:rsidRPr="001B09E2" w14:paraId="0A95D0C6" w14:textId="77777777" w:rsidTr="00DF0784">
        <w:trPr>
          <w:trHeight w:val="270"/>
        </w:trPr>
        <w:tc>
          <w:tcPr>
            <w:tcW w:w="5529" w:type="dxa"/>
            <w:shd w:val="clear" w:color="auto" w:fill="auto"/>
            <w:noWrap/>
            <w:vAlign w:val="bottom"/>
            <w:hideMark/>
          </w:tcPr>
          <w:p w14:paraId="24194655" w14:textId="77777777" w:rsidR="00F011C0" w:rsidRPr="006E1AF7" w:rsidRDefault="00F011C0" w:rsidP="00F011C0">
            <w:pPr>
              <w:rPr>
                <w:rFonts w:ascii="Arial" w:hAnsi="Arial" w:cs="Arial"/>
                <w:b/>
                <w:color w:val="000000"/>
                <w:sz w:val="18"/>
                <w:lang w:eastAsia="es-AR"/>
              </w:rPr>
            </w:pPr>
            <w:r w:rsidRPr="006E1AF7">
              <w:rPr>
                <w:rFonts w:ascii="Arial" w:hAnsi="Arial" w:cs="Arial"/>
                <w:b/>
                <w:color w:val="000000"/>
                <w:sz w:val="18"/>
                <w:lang w:eastAsia="es-AR"/>
              </w:rPr>
              <w:t>Total</w:t>
            </w:r>
          </w:p>
        </w:tc>
        <w:tc>
          <w:tcPr>
            <w:tcW w:w="1669" w:type="dxa"/>
            <w:shd w:val="clear" w:color="auto" w:fill="auto"/>
            <w:noWrap/>
            <w:vAlign w:val="bottom"/>
          </w:tcPr>
          <w:p w14:paraId="78ABF82A" w14:textId="3C5C4963" w:rsidR="00F011C0" w:rsidRPr="006E1AF7" w:rsidRDefault="001D342E" w:rsidP="00F011C0">
            <w:pPr>
              <w:jc w:val="right"/>
              <w:rPr>
                <w:rFonts w:ascii="Arial" w:hAnsi="Arial" w:cs="Arial"/>
                <w:b/>
                <w:color w:val="000000"/>
                <w:sz w:val="18"/>
                <w:lang w:eastAsia="es-AR"/>
              </w:rPr>
            </w:pPr>
            <w:r w:rsidRPr="006E1AF7">
              <w:rPr>
                <w:rFonts w:ascii="Arial" w:hAnsi="Arial" w:cs="Arial"/>
                <w:b/>
                <w:color w:val="000000"/>
                <w:sz w:val="18"/>
                <w:lang w:eastAsia="es-AR"/>
              </w:rPr>
              <w:t>2.218.609</w:t>
            </w:r>
          </w:p>
        </w:tc>
        <w:tc>
          <w:tcPr>
            <w:tcW w:w="1591" w:type="dxa"/>
            <w:vAlign w:val="bottom"/>
          </w:tcPr>
          <w:p w14:paraId="785C5E2D" w14:textId="221AEE5A" w:rsidR="00F011C0" w:rsidRPr="006E1AF7" w:rsidRDefault="00F011C0" w:rsidP="00F011C0">
            <w:pPr>
              <w:jc w:val="right"/>
              <w:rPr>
                <w:rFonts w:ascii="Arial" w:hAnsi="Arial" w:cs="Arial"/>
                <w:b/>
                <w:color w:val="000000"/>
                <w:sz w:val="18"/>
                <w:lang w:eastAsia="es-AR"/>
              </w:rPr>
            </w:pPr>
            <w:r w:rsidRPr="006E1AF7">
              <w:rPr>
                <w:rFonts w:ascii="Arial" w:hAnsi="Arial" w:cs="Arial"/>
                <w:b/>
                <w:color w:val="000000"/>
                <w:sz w:val="18"/>
                <w:lang w:eastAsia="es-AR"/>
              </w:rPr>
              <w:t>1.516.524</w:t>
            </w:r>
          </w:p>
        </w:tc>
      </w:tr>
    </w:tbl>
    <w:p w14:paraId="3076E91D" w14:textId="77777777" w:rsidR="007D2DED" w:rsidRPr="006E1AF7" w:rsidRDefault="007D2DED" w:rsidP="007D2DED">
      <w:pPr>
        <w:rPr>
          <w:rFonts w:ascii="Arial" w:hAnsi="Arial" w:cs="Arial"/>
          <w:bCs/>
          <w:color w:val="000000"/>
          <w:sz w:val="18"/>
          <w:lang w:eastAsia="es-AR"/>
        </w:rPr>
      </w:pPr>
    </w:p>
    <w:p w14:paraId="5CD9C551" w14:textId="73343B1F"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.21</w:t>
      </w:r>
      <w:r w:rsidR="007D2DED" w:rsidRPr="00701F32">
        <w:rPr>
          <w:rFonts w:ascii="Arial" w:hAnsi="Arial" w:cs="Arial"/>
          <w:bCs/>
          <w:color w:val="000000"/>
          <w:sz w:val="20"/>
          <w:lang w:eastAsia="es-AR"/>
        </w:rPr>
        <w:t xml:space="preserve"> Beneficios al personal</w:t>
      </w:r>
    </w:p>
    <w:p w14:paraId="29738EB7" w14:textId="77777777" w:rsidR="007D2DED" w:rsidRPr="00701F32" w:rsidRDefault="007D2DED" w:rsidP="007D2DED">
      <w:pPr>
        <w:rPr>
          <w:rFonts w:ascii="Arial" w:hAnsi="Arial" w:cs="Arial"/>
          <w:bCs/>
          <w:color w:val="000000"/>
          <w:sz w:val="20"/>
          <w:lang w:eastAsia="es-AR"/>
        </w:rPr>
      </w:pPr>
    </w:p>
    <w:p w14:paraId="5136D799" w14:textId="79653F12" w:rsidR="007D2DED" w:rsidRPr="00701F32" w:rsidRDefault="007D2DED" w:rsidP="007D2DED">
      <w:pPr>
        <w:spacing w:after="160" w:line="259" w:lineRule="auto"/>
        <w:rPr>
          <w:rFonts w:ascii="Arial" w:hAnsi="Arial" w:cs="Arial"/>
          <w:bCs/>
          <w:color w:val="000000"/>
          <w:sz w:val="20"/>
          <w:lang w:eastAsia="es-AR"/>
        </w:rPr>
      </w:pPr>
      <w:r w:rsidRPr="00701F32">
        <w:rPr>
          <w:rFonts w:ascii="Arial" w:eastAsiaTheme="minorHAnsi" w:hAnsi="Arial" w:cs="Arial"/>
          <w:sz w:val="20"/>
          <w:szCs w:val="22"/>
        </w:rPr>
        <w:t xml:space="preserve">Los principales componentes del rubro beneficios al personal por los </w:t>
      </w:r>
      <w:r>
        <w:rPr>
          <w:rFonts w:ascii="Arial" w:eastAsiaTheme="minorHAnsi" w:hAnsi="Arial" w:cs="Arial"/>
          <w:sz w:val="20"/>
          <w:szCs w:val="22"/>
        </w:rPr>
        <w:t>ejercicios finalizados el 31</w:t>
      </w:r>
      <w:r w:rsidRPr="00701F32">
        <w:rPr>
          <w:rFonts w:ascii="Arial" w:eastAsiaTheme="minorHAnsi" w:hAnsi="Arial" w:cs="Arial"/>
          <w:sz w:val="20"/>
          <w:szCs w:val="22"/>
        </w:rPr>
        <w:t xml:space="preserve"> de </w:t>
      </w:r>
      <w:r>
        <w:rPr>
          <w:rFonts w:ascii="Arial" w:eastAsiaTheme="minorHAnsi" w:hAnsi="Arial" w:cs="Arial"/>
          <w:sz w:val="20"/>
        </w:rPr>
        <w:t>diciembre</w:t>
      </w:r>
      <w:r w:rsidRPr="00701F32">
        <w:rPr>
          <w:rFonts w:ascii="Arial" w:eastAsiaTheme="minorHAnsi" w:hAnsi="Arial" w:cs="Arial"/>
          <w:sz w:val="20"/>
          <w:szCs w:val="22"/>
        </w:rPr>
        <w:t xml:space="preserve"> de </w:t>
      </w:r>
      <w:r w:rsidR="00F011C0">
        <w:rPr>
          <w:rFonts w:ascii="Arial" w:hAnsi="Arial" w:cs="Arial"/>
          <w:bCs/>
          <w:color w:val="000000"/>
          <w:sz w:val="20"/>
          <w:lang w:eastAsia="es-AR"/>
        </w:rPr>
        <w:t>2019 y 2018</w:t>
      </w:r>
      <w:r w:rsidRPr="00701F32">
        <w:rPr>
          <w:rFonts w:ascii="Arial" w:eastAsiaTheme="minorHAnsi" w:hAnsi="Arial" w:cs="Arial"/>
          <w:sz w:val="20"/>
          <w:szCs w:val="22"/>
        </w:rPr>
        <w:t xml:space="preserve"> son los siguientes:</w:t>
      </w:r>
    </w:p>
    <w:tbl>
      <w:tblPr>
        <w:tblW w:w="87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34"/>
        <w:gridCol w:w="1745"/>
        <w:gridCol w:w="1673"/>
      </w:tblGrid>
      <w:tr w:rsidR="00DF0784" w:rsidRPr="00701F32" w14:paraId="426E2B79" w14:textId="77777777" w:rsidTr="00DF0784">
        <w:trPr>
          <w:trHeight w:val="259"/>
        </w:trPr>
        <w:tc>
          <w:tcPr>
            <w:tcW w:w="5334" w:type="dxa"/>
            <w:shd w:val="clear" w:color="auto" w:fill="auto"/>
            <w:noWrap/>
            <w:vAlign w:val="bottom"/>
            <w:hideMark/>
          </w:tcPr>
          <w:p w14:paraId="3FF9EF9C" w14:textId="77777777" w:rsidR="00DF0784" w:rsidRPr="006E1AF7" w:rsidRDefault="00DF0784" w:rsidP="00DF0784">
            <w:pPr>
              <w:rPr>
                <w:rFonts w:ascii="Arial" w:hAnsi="Arial" w:cs="Arial"/>
                <w:b/>
                <w:bCs/>
                <w:color w:val="000000"/>
                <w:sz w:val="18"/>
                <w:lang w:eastAsia="es-AR"/>
              </w:rPr>
            </w:pPr>
          </w:p>
        </w:tc>
        <w:tc>
          <w:tcPr>
            <w:tcW w:w="1745" w:type="dxa"/>
            <w:shd w:val="clear" w:color="auto" w:fill="auto"/>
            <w:noWrap/>
            <w:vAlign w:val="bottom"/>
            <w:hideMark/>
          </w:tcPr>
          <w:p w14:paraId="726A0424" w14:textId="3D1C5B09" w:rsidR="00DF0784" w:rsidRPr="006E1AF7" w:rsidRDefault="00DF0784" w:rsidP="00DF0784">
            <w:pPr>
              <w:jc w:val="center"/>
              <w:rPr>
                <w:rFonts w:ascii="Arial" w:hAnsi="Arial" w:cs="Arial"/>
                <w:b/>
                <w:color w:val="000000"/>
                <w:sz w:val="18"/>
                <w:lang w:eastAsia="es-AR"/>
              </w:rPr>
            </w:pPr>
            <w:r w:rsidRPr="006E1AF7">
              <w:rPr>
                <w:rFonts w:ascii="Arial" w:hAnsi="Arial" w:cs="Arial"/>
                <w:b/>
                <w:color w:val="000000"/>
                <w:sz w:val="18"/>
                <w:lang w:eastAsia="es-AR"/>
              </w:rPr>
              <w:t>31/12/2019</w:t>
            </w:r>
          </w:p>
        </w:tc>
        <w:tc>
          <w:tcPr>
            <w:tcW w:w="1673" w:type="dxa"/>
            <w:vAlign w:val="bottom"/>
          </w:tcPr>
          <w:p w14:paraId="682DDC6D" w14:textId="599A2537" w:rsidR="00DF0784" w:rsidRPr="006E1AF7" w:rsidRDefault="00DF0784" w:rsidP="00DF0784">
            <w:pPr>
              <w:jc w:val="center"/>
              <w:rPr>
                <w:rFonts w:ascii="Arial" w:hAnsi="Arial" w:cs="Arial"/>
                <w:b/>
                <w:color w:val="000000"/>
                <w:sz w:val="18"/>
                <w:lang w:eastAsia="es-AR"/>
              </w:rPr>
            </w:pPr>
            <w:r w:rsidRPr="006E1AF7">
              <w:rPr>
                <w:rFonts w:ascii="Arial" w:hAnsi="Arial" w:cs="Arial"/>
                <w:b/>
                <w:color w:val="000000"/>
                <w:sz w:val="18"/>
                <w:lang w:eastAsia="es-AR"/>
              </w:rPr>
              <w:t>31/12/2018</w:t>
            </w:r>
          </w:p>
        </w:tc>
      </w:tr>
      <w:tr w:rsidR="00F011C0" w:rsidRPr="00701F32" w14:paraId="59B6CE19" w14:textId="77777777" w:rsidTr="00DF0784">
        <w:trPr>
          <w:trHeight w:val="259"/>
        </w:trPr>
        <w:tc>
          <w:tcPr>
            <w:tcW w:w="5334" w:type="dxa"/>
            <w:shd w:val="clear" w:color="auto" w:fill="auto"/>
            <w:noWrap/>
            <w:vAlign w:val="bottom"/>
            <w:hideMark/>
          </w:tcPr>
          <w:p w14:paraId="17868DB0"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Gastos de personal</w:t>
            </w:r>
          </w:p>
        </w:tc>
        <w:tc>
          <w:tcPr>
            <w:tcW w:w="1745" w:type="dxa"/>
            <w:shd w:val="clear" w:color="auto" w:fill="auto"/>
            <w:noWrap/>
            <w:vAlign w:val="bottom"/>
          </w:tcPr>
          <w:p w14:paraId="1FF64C6A" w14:textId="5F874312" w:rsidR="00F011C0" w:rsidRPr="006E1AF7" w:rsidRDefault="00B61BF6" w:rsidP="00F011C0">
            <w:pPr>
              <w:jc w:val="right"/>
              <w:rPr>
                <w:rFonts w:ascii="Arial" w:hAnsi="Arial" w:cs="Arial"/>
                <w:color w:val="000000"/>
                <w:sz w:val="18"/>
                <w:lang w:eastAsia="es-AR"/>
              </w:rPr>
            </w:pPr>
            <w:r w:rsidRPr="006E1AF7">
              <w:rPr>
                <w:rFonts w:ascii="Arial" w:hAnsi="Arial" w:cs="Arial"/>
                <w:color w:val="000000"/>
                <w:sz w:val="18"/>
                <w:lang w:eastAsia="es-AR"/>
              </w:rPr>
              <w:t>1.947.976</w:t>
            </w:r>
          </w:p>
        </w:tc>
        <w:tc>
          <w:tcPr>
            <w:tcW w:w="1673" w:type="dxa"/>
            <w:vAlign w:val="bottom"/>
          </w:tcPr>
          <w:p w14:paraId="46DE502E" w14:textId="705B5B25"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eastAsia="es-AR"/>
              </w:rPr>
              <w:t>749.042</w:t>
            </w:r>
          </w:p>
        </w:tc>
      </w:tr>
      <w:tr w:rsidR="00F011C0" w:rsidRPr="00701F32" w14:paraId="14089E9A" w14:textId="77777777" w:rsidTr="00DF0784">
        <w:trPr>
          <w:trHeight w:val="259"/>
        </w:trPr>
        <w:tc>
          <w:tcPr>
            <w:tcW w:w="53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D89AB"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Remuneraciones y cargas sociales</w:t>
            </w:r>
          </w:p>
        </w:tc>
        <w:tc>
          <w:tcPr>
            <w:tcW w:w="1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67573E" w14:textId="1C17FB31" w:rsidR="00F011C0" w:rsidRPr="006E1AF7" w:rsidRDefault="00B61BF6" w:rsidP="00F011C0">
            <w:pPr>
              <w:jc w:val="right"/>
              <w:rPr>
                <w:rFonts w:ascii="Arial" w:hAnsi="Arial" w:cs="Arial"/>
                <w:color w:val="000000"/>
                <w:sz w:val="18"/>
                <w:lang w:eastAsia="es-AR"/>
              </w:rPr>
            </w:pPr>
            <w:r w:rsidRPr="006E1AF7">
              <w:rPr>
                <w:rFonts w:ascii="Arial" w:hAnsi="Arial" w:cs="Arial"/>
                <w:color w:val="000000"/>
                <w:sz w:val="18"/>
                <w:lang w:eastAsia="es-AR"/>
              </w:rPr>
              <w:t>8.186.175</w:t>
            </w:r>
          </w:p>
        </w:tc>
        <w:tc>
          <w:tcPr>
            <w:tcW w:w="1673" w:type="dxa"/>
            <w:tcBorders>
              <w:top w:val="single" w:sz="4" w:space="0" w:color="auto"/>
              <w:left w:val="single" w:sz="4" w:space="0" w:color="auto"/>
              <w:bottom w:val="single" w:sz="4" w:space="0" w:color="auto"/>
              <w:right w:val="single" w:sz="4" w:space="0" w:color="auto"/>
            </w:tcBorders>
            <w:vAlign w:val="bottom"/>
          </w:tcPr>
          <w:p w14:paraId="2E8A8B24" w14:textId="3C1DAF5A"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eastAsia="es-AR"/>
              </w:rPr>
              <w:t>5.115.259</w:t>
            </w:r>
          </w:p>
        </w:tc>
      </w:tr>
      <w:tr w:rsidR="00F011C0" w:rsidRPr="00701F32" w14:paraId="68214050" w14:textId="77777777" w:rsidTr="00DF0784">
        <w:trPr>
          <w:trHeight w:val="274"/>
        </w:trPr>
        <w:tc>
          <w:tcPr>
            <w:tcW w:w="5334" w:type="dxa"/>
            <w:shd w:val="clear" w:color="auto" w:fill="auto"/>
            <w:noWrap/>
            <w:vAlign w:val="bottom"/>
            <w:hideMark/>
          </w:tcPr>
          <w:p w14:paraId="29B9281A" w14:textId="77777777" w:rsidR="00F011C0" w:rsidRPr="006E1AF7" w:rsidRDefault="00F011C0" w:rsidP="00F011C0">
            <w:pPr>
              <w:rPr>
                <w:rFonts w:ascii="Arial" w:hAnsi="Arial" w:cs="Arial"/>
                <w:b/>
                <w:color w:val="000000"/>
                <w:sz w:val="18"/>
                <w:lang w:eastAsia="es-AR"/>
              </w:rPr>
            </w:pPr>
            <w:r w:rsidRPr="006E1AF7">
              <w:rPr>
                <w:rFonts w:ascii="Arial" w:hAnsi="Arial" w:cs="Arial"/>
                <w:b/>
                <w:color w:val="000000"/>
                <w:sz w:val="18"/>
                <w:lang w:eastAsia="es-AR"/>
              </w:rPr>
              <w:t>Total</w:t>
            </w:r>
          </w:p>
        </w:tc>
        <w:tc>
          <w:tcPr>
            <w:tcW w:w="1745" w:type="dxa"/>
            <w:shd w:val="clear" w:color="auto" w:fill="auto"/>
            <w:noWrap/>
            <w:vAlign w:val="bottom"/>
          </w:tcPr>
          <w:p w14:paraId="3F444317" w14:textId="3A142D6D" w:rsidR="00F011C0" w:rsidRPr="006E1AF7" w:rsidRDefault="00B61BF6" w:rsidP="00F011C0">
            <w:pPr>
              <w:jc w:val="right"/>
              <w:rPr>
                <w:rFonts w:ascii="Arial" w:hAnsi="Arial" w:cs="Arial"/>
                <w:b/>
                <w:color w:val="000000"/>
                <w:sz w:val="18"/>
                <w:lang w:eastAsia="es-AR"/>
              </w:rPr>
            </w:pPr>
            <w:r w:rsidRPr="006E1AF7">
              <w:rPr>
                <w:rFonts w:ascii="Arial" w:hAnsi="Arial" w:cs="Arial"/>
                <w:b/>
                <w:color w:val="000000"/>
                <w:sz w:val="18"/>
                <w:lang w:eastAsia="es-AR"/>
              </w:rPr>
              <w:t>10.134.151</w:t>
            </w:r>
          </w:p>
        </w:tc>
        <w:tc>
          <w:tcPr>
            <w:tcW w:w="1673" w:type="dxa"/>
            <w:vAlign w:val="bottom"/>
          </w:tcPr>
          <w:p w14:paraId="38CE946F" w14:textId="07A524BA" w:rsidR="00F011C0" w:rsidRPr="006E1AF7" w:rsidRDefault="00F011C0" w:rsidP="00F011C0">
            <w:pPr>
              <w:jc w:val="right"/>
              <w:rPr>
                <w:rFonts w:ascii="Arial" w:hAnsi="Arial" w:cs="Arial"/>
                <w:b/>
                <w:color w:val="000000"/>
                <w:sz w:val="18"/>
                <w:lang w:eastAsia="es-AR"/>
              </w:rPr>
            </w:pPr>
            <w:r w:rsidRPr="006E1AF7">
              <w:rPr>
                <w:rFonts w:ascii="Arial" w:hAnsi="Arial" w:cs="Arial"/>
                <w:b/>
                <w:color w:val="000000"/>
                <w:sz w:val="18"/>
                <w:lang w:eastAsia="es-AR"/>
              </w:rPr>
              <w:t>5.864.301</w:t>
            </w:r>
          </w:p>
        </w:tc>
      </w:tr>
    </w:tbl>
    <w:p w14:paraId="5EAD1CAB" w14:textId="77777777" w:rsidR="007D2DED" w:rsidRPr="00701F32" w:rsidRDefault="007D2DED" w:rsidP="007D2DED">
      <w:pPr>
        <w:rPr>
          <w:rFonts w:ascii="Arial" w:hAnsi="Arial" w:cs="Arial"/>
          <w:bCs/>
          <w:color w:val="000000"/>
          <w:sz w:val="20"/>
          <w:lang w:eastAsia="es-AR"/>
        </w:rPr>
      </w:pPr>
    </w:p>
    <w:p w14:paraId="010C179A" w14:textId="77777777" w:rsidR="00B2136F" w:rsidRDefault="00B2136F">
      <w:pPr>
        <w:rPr>
          <w:rFonts w:ascii="Arial" w:hAnsi="Arial" w:cs="Arial"/>
          <w:bCs/>
          <w:color w:val="000000"/>
          <w:sz w:val="20"/>
          <w:lang w:eastAsia="es-AR"/>
        </w:rPr>
      </w:pPr>
      <w:r>
        <w:rPr>
          <w:rFonts w:ascii="Arial" w:hAnsi="Arial" w:cs="Arial"/>
          <w:bCs/>
          <w:color w:val="000000"/>
          <w:sz w:val="20"/>
          <w:lang w:eastAsia="es-AR"/>
        </w:rPr>
        <w:br w:type="page"/>
      </w:r>
    </w:p>
    <w:p w14:paraId="3058ACD0" w14:textId="54EA7137" w:rsidR="00B2136F" w:rsidRDefault="00B2136F">
      <w:pPr>
        <w:rPr>
          <w:rFonts w:ascii="Arial" w:hAnsi="Arial" w:cs="Arial"/>
          <w:bCs/>
          <w:color w:val="000000"/>
          <w:sz w:val="20"/>
          <w:lang w:eastAsia="es-AR"/>
        </w:rPr>
      </w:pPr>
    </w:p>
    <w:p w14:paraId="3231C3A2" w14:textId="47F22A97"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.22</w:t>
      </w:r>
      <w:r w:rsidR="007D2DED" w:rsidRPr="00701F32">
        <w:rPr>
          <w:rFonts w:ascii="Arial" w:hAnsi="Arial" w:cs="Arial"/>
          <w:bCs/>
          <w:color w:val="000000"/>
          <w:sz w:val="20"/>
          <w:lang w:eastAsia="es-AR"/>
        </w:rPr>
        <w:t xml:space="preserve"> Gastos de Administración</w:t>
      </w:r>
    </w:p>
    <w:p w14:paraId="3A2AECD4" w14:textId="77777777" w:rsidR="007D2DED" w:rsidRPr="00701F32" w:rsidRDefault="007D2DED" w:rsidP="007D2DED">
      <w:pPr>
        <w:rPr>
          <w:rFonts w:ascii="Arial" w:hAnsi="Arial" w:cs="Arial"/>
          <w:bCs/>
          <w:color w:val="000000"/>
          <w:sz w:val="20"/>
          <w:lang w:eastAsia="es-AR"/>
        </w:rPr>
      </w:pPr>
    </w:p>
    <w:p w14:paraId="1BCC45BA" w14:textId="542AF8B4" w:rsidR="007D2DED" w:rsidRPr="00701F32" w:rsidRDefault="007D2DED" w:rsidP="007D2DED">
      <w:pPr>
        <w:spacing w:after="160" w:line="259" w:lineRule="auto"/>
        <w:rPr>
          <w:rFonts w:ascii="Arial" w:hAnsi="Arial" w:cs="Arial"/>
          <w:bCs/>
          <w:color w:val="000000"/>
          <w:sz w:val="20"/>
          <w:lang w:eastAsia="es-AR"/>
        </w:rPr>
      </w:pPr>
      <w:r w:rsidRPr="00701F32">
        <w:rPr>
          <w:rFonts w:ascii="Arial" w:eastAsiaTheme="minorHAnsi" w:hAnsi="Arial" w:cs="Arial"/>
          <w:sz w:val="20"/>
          <w:szCs w:val="22"/>
        </w:rPr>
        <w:t xml:space="preserve">Los principales componentes del rubro gastos de administración por los </w:t>
      </w:r>
      <w:r>
        <w:rPr>
          <w:rFonts w:ascii="Arial" w:eastAsiaTheme="minorHAnsi" w:hAnsi="Arial" w:cs="Arial"/>
          <w:sz w:val="20"/>
          <w:szCs w:val="22"/>
        </w:rPr>
        <w:t>ejercicios</w:t>
      </w:r>
      <w:r w:rsidRPr="00701F32">
        <w:rPr>
          <w:rFonts w:ascii="Arial" w:eastAsiaTheme="minorHAnsi" w:hAnsi="Arial" w:cs="Arial"/>
          <w:sz w:val="20"/>
          <w:szCs w:val="22"/>
        </w:rPr>
        <w:t xml:space="preserve"> finalizados</w:t>
      </w:r>
      <w:r>
        <w:rPr>
          <w:rFonts w:ascii="Arial" w:eastAsiaTheme="minorHAnsi" w:hAnsi="Arial" w:cs="Arial"/>
          <w:sz w:val="20"/>
          <w:szCs w:val="22"/>
        </w:rPr>
        <w:t xml:space="preserve"> el 31</w:t>
      </w:r>
      <w:r w:rsidRPr="00701F32">
        <w:rPr>
          <w:rFonts w:ascii="Arial" w:eastAsiaTheme="minorHAnsi" w:hAnsi="Arial" w:cs="Arial"/>
          <w:sz w:val="20"/>
          <w:szCs w:val="22"/>
        </w:rPr>
        <w:t xml:space="preserve"> de </w:t>
      </w:r>
      <w:r>
        <w:rPr>
          <w:rFonts w:ascii="Arial" w:eastAsiaTheme="minorHAnsi" w:hAnsi="Arial" w:cs="Arial"/>
          <w:sz w:val="20"/>
        </w:rPr>
        <w:t>diciembre</w:t>
      </w:r>
      <w:r w:rsidRPr="00701F32">
        <w:rPr>
          <w:rFonts w:ascii="Arial" w:eastAsiaTheme="minorHAnsi" w:hAnsi="Arial" w:cs="Arial"/>
          <w:sz w:val="20"/>
          <w:szCs w:val="22"/>
        </w:rPr>
        <w:t xml:space="preserve"> de </w:t>
      </w:r>
      <w:r w:rsidR="00F011C0">
        <w:rPr>
          <w:rFonts w:ascii="Arial" w:hAnsi="Arial" w:cs="Arial"/>
          <w:bCs/>
          <w:color w:val="000000"/>
          <w:sz w:val="20"/>
          <w:lang w:eastAsia="es-AR"/>
        </w:rPr>
        <w:t>2019 y 2018</w:t>
      </w:r>
      <w:r w:rsidRPr="00701F32">
        <w:rPr>
          <w:rFonts w:ascii="Arial" w:eastAsiaTheme="minorHAnsi" w:hAnsi="Arial" w:cs="Arial"/>
          <w:sz w:val="20"/>
          <w:szCs w:val="22"/>
        </w:rPr>
        <w:t xml:space="preserve"> son los siguientes:</w:t>
      </w:r>
    </w:p>
    <w:tbl>
      <w:tblPr>
        <w:tblW w:w="868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93"/>
        <w:gridCol w:w="1763"/>
        <w:gridCol w:w="1628"/>
      </w:tblGrid>
      <w:tr w:rsidR="00DF0784" w:rsidRPr="00701F32" w14:paraId="0E6B5A70" w14:textId="77777777" w:rsidTr="00DF0784">
        <w:trPr>
          <w:trHeight w:val="261"/>
          <w:tblHeader/>
        </w:trPr>
        <w:tc>
          <w:tcPr>
            <w:tcW w:w="5293" w:type="dxa"/>
            <w:shd w:val="clear" w:color="auto" w:fill="auto"/>
            <w:noWrap/>
            <w:vAlign w:val="bottom"/>
            <w:hideMark/>
          </w:tcPr>
          <w:p w14:paraId="069BB9B4" w14:textId="77777777" w:rsidR="00DF0784" w:rsidRPr="006E1AF7" w:rsidRDefault="00DF0784" w:rsidP="00DF0784">
            <w:pPr>
              <w:rPr>
                <w:rFonts w:ascii="Arial" w:hAnsi="Arial" w:cs="Arial"/>
                <w:b/>
                <w:bCs/>
                <w:color w:val="000000"/>
                <w:sz w:val="18"/>
                <w:lang w:eastAsia="es-AR"/>
              </w:rPr>
            </w:pPr>
          </w:p>
        </w:tc>
        <w:tc>
          <w:tcPr>
            <w:tcW w:w="1763" w:type="dxa"/>
            <w:shd w:val="clear" w:color="auto" w:fill="auto"/>
            <w:noWrap/>
            <w:vAlign w:val="bottom"/>
            <w:hideMark/>
          </w:tcPr>
          <w:p w14:paraId="1F2FECA9" w14:textId="45FFBD16" w:rsidR="00DF0784" w:rsidRPr="006E1AF7" w:rsidRDefault="00DF0784" w:rsidP="00DF0784">
            <w:pPr>
              <w:jc w:val="center"/>
              <w:rPr>
                <w:rFonts w:ascii="Arial" w:hAnsi="Arial" w:cs="Arial"/>
                <w:b/>
                <w:color w:val="000000"/>
                <w:sz w:val="18"/>
                <w:lang w:eastAsia="es-AR"/>
              </w:rPr>
            </w:pPr>
            <w:r w:rsidRPr="006E1AF7">
              <w:rPr>
                <w:rFonts w:ascii="Arial" w:hAnsi="Arial" w:cs="Arial"/>
                <w:b/>
                <w:color w:val="000000"/>
                <w:sz w:val="18"/>
                <w:lang w:eastAsia="es-AR"/>
              </w:rPr>
              <w:t>31/12/2019</w:t>
            </w:r>
          </w:p>
        </w:tc>
        <w:tc>
          <w:tcPr>
            <w:tcW w:w="1628" w:type="dxa"/>
            <w:vAlign w:val="bottom"/>
          </w:tcPr>
          <w:p w14:paraId="0C96C0B3" w14:textId="1CABB540" w:rsidR="00DF0784" w:rsidRPr="006E1AF7" w:rsidRDefault="00DF0784" w:rsidP="00DF0784">
            <w:pPr>
              <w:jc w:val="center"/>
              <w:rPr>
                <w:rFonts w:ascii="Arial" w:hAnsi="Arial" w:cs="Arial"/>
                <w:b/>
                <w:color w:val="000000"/>
                <w:sz w:val="18"/>
                <w:lang w:eastAsia="es-AR"/>
              </w:rPr>
            </w:pPr>
            <w:r w:rsidRPr="006E1AF7">
              <w:rPr>
                <w:rFonts w:ascii="Arial" w:hAnsi="Arial" w:cs="Arial"/>
                <w:b/>
                <w:color w:val="000000"/>
                <w:sz w:val="18"/>
                <w:lang w:eastAsia="es-AR"/>
              </w:rPr>
              <w:t>31/12/2018</w:t>
            </w:r>
          </w:p>
        </w:tc>
      </w:tr>
      <w:tr w:rsidR="00F011C0" w:rsidRPr="00701F32" w14:paraId="1B068D2B" w14:textId="77777777" w:rsidTr="00DF0784">
        <w:trPr>
          <w:trHeight w:val="261"/>
        </w:trPr>
        <w:tc>
          <w:tcPr>
            <w:tcW w:w="5293" w:type="dxa"/>
            <w:shd w:val="clear" w:color="auto" w:fill="auto"/>
            <w:noWrap/>
            <w:vAlign w:val="bottom"/>
            <w:hideMark/>
          </w:tcPr>
          <w:p w14:paraId="47793222"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Alquileres</w:t>
            </w:r>
          </w:p>
        </w:tc>
        <w:tc>
          <w:tcPr>
            <w:tcW w:w="1763" w:type="dxa"/>
            <w:shd w:val="clear" w:color="auto" w:fill="auto"/>
            <w:noWrap/>
            <w:vAlign w:val="bottom"/>
          </w:tcPr>
          <w:p w14:paraId="0F852C14" w14:textId="346D4B44"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10.607</w:t>
            </w:r>
          </w:p>
        </w:tc>
        <w:tc>
          <w:tcPr>
            <w:tcW w:w="1628" w:type="dxa"/>
            <w:vAlign w:val="bottom"/>
          </w:tcPr>
          <w:p w14:paraId="02F8BA0F" w14:textId="2A43A65D" w:rsidR="00F011C0" w:rsidRPr="006E1AF7" w:rsidRDefault="00F011C0"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358.264</w:t>
            </w:r>
          </w:p>
        </w:tc>
      </w:tr>
      <w:tr w:rsidR="00F011C0" w:rsidRPr="00701F32" w14:paraId="33CFB636" w14:textId="77777777" w:rsidTr="00DF0784">
        <w:trPr>
          <w:trHeight w:val="261"/>
        </w:trPr>
        <w:tc>
          <w:tcPr>
            <w:tcW w:w="52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27B8B" w14:textId="75536995"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Energía eléctrica, gas y teléfono</w:t>
            </w:r>
          </w:p>
        </w:tc>
        <w:tc>
          <w:tcPr>
            <w:tcW w:w="17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A7AEF" w14:textId="5D269D47"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247.715</w:t>
            </w:r>
          </w:p>
        </w:tc>
        <w:tc>
          <w:tcPr>
            <w:tcW w:w="1628" w:type="dxa"/>
            <w:tcBorders>
              <w:top w:val="single" w:sz="4" w:space="0" w:color="auto"/>
              <w:left w:val="single" w:sz="4" w:space="0" w:color="auto"/>
              <w:bottom w:val="single" w:sz="4" w:space="0" w:color="auto"/>
              <w:right w:val="single" w:sz="4" w:space="0" w:color="auto"/>
            </w:tcBorders>
            <w:vAlign w:val="bottom"/>
          </w:tcPr>
          <w:p w14:paraId="0EBAEAD5" w14:textId="65A98617" w:rsidR="00F011C0" w:rsidRPr="006E1AF7" w:rsidRDefault="00F011C0"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170.028</w:t>
            </w:r>
          </w:p>
        </w:tc>
      </w:tr>
      <w:tr w:rsidR="00F011C0" w:rsidRPr="00701F32" w14:paraId="687E82A7" w14:textId="77777777" w:rsidTr="00DF0784">
        <w:trPr>
          <w:trHeight w:val="261"/>
        </w:trPr>
        <w:tc>
          <w:tcPr>
            <w:tcW w:w="52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8DFE5F"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Gastos de publicidad, promoción e investigación</w:t>
            </w:r>
          </w:p>
        </w:tc>
        <w:tc>
          <w:tcPr>
            <w:tcW w:w="17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46AA9" w14:textId="75D69D0C"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332.898</w:t>
            </w:r>
          </w:p>
        </w:tc>
        <w:tc>
          <w:tcPr>
            <w:tcW w:w="1628" w:type="dxa"/>
            <w:tcBorders>
              <w:top w:val="single" w:sz="4" w:space="0" w:color="auto"/>
              <w:left w:val="single" w:sz="4" w:space="0" w:color="auto"/>
              <w:bottom w:val="single" w:sz="4" w:space="0" w:color="auto"/>
              <w:right w:val="single" w:sz="4" w:space="0" w:color="auto"/>
            </w:tcBorders>
            <w:vAlign w:val="bottom"/>
          </w:tcPr>
          <w:p w14:paraId="135CC1AB" w14:textId="54F8EF0A" w:rsidR="00F011C0" w:rsidRPr="006E1AF7" w:rsidRDefault="00F011C0"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248.704</w:t>
            </w:r>
          </w:p>
        </w:tc>
      </w:tr>
      <w:tr w:rsidR="00F011C0" w:rsidRPr="00701F32" w14:paraId="43E68A89" w14:textId="77777777" w:rsidTr="00DF0784">
        <w:trPr>
          <w:trHeight w:val="261"/>
        </w:trPr>
        <w:tc>
          <w:tcPr>
            <w:tcW w:w="52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673016"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Gastos de representación y movilidad</w:t>
            </w:r>
          </w:p>
        </w:tc>
        <w:tc>
          <w:tcPr>
            <w:tcW w:w="17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C99A8" w14:textId="444AEC4F"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74.548</w:t>
            </w:r>
          </w:p>
        </w:tc>
        <w:tc>
          <w:tcPr>
            <w:tcW w:w="1628" w:type="dxa"/>
            <w:tcBorders>
              <w:top w:val="single" w:sz="4" w:space="0" w:color="auto"/>
              <w:left w:val="single" w:sz="4" w:space="0" w:color="auto"/>
              <w:bottom w:val="single" w:sz="4" w:space="0" w:color="auto"/>
              <w:right w:val="single" w:sz="4" w:space="0" w:color="auto"/>
            </w:tcBorders>
            <w:vAlign w:val="bottom"/>
          </w:tcPr>
          <w:p w14:paraId="3D8F7775" w14:textId="65997FC7" w:rsidR="00F011C0" w:rsidRPr="006E1AF7" w:rsidRDefault="00F011C0"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69.007</w:t>
            </w:r>
          </w:p>
        </w:tc>
      </w:tr>
      <w:tr w:rsidR="00F011C0" w:rsidRPr="00701F32" w14:paraId="703BC1AA" w14:textId="77777777" w:rsidTr="00DF0784">
        <w:trPr>
          <w:trHeight w:val="261"/>
        </w:trPr>
        <w:tc>
          <w:tcPr>
            <w:tcW w:w="52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5D8B19"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Honorarios al Directorio</w:t>
            </w:r>
          </w:p>
        </w:tc>
        <w:tc>
          <w:tcPr>
            <w:tcW w:w="17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E3C69" w14:textId="62428D12"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157.960</w:t>
            </w:r>
          </w:p>
        </w:tc>
        <w:tc>
          <w:tcPr>
            <w:tcW w:w="1628" w:type="dxa"/>
            <w:tcBorders>
              <w:top w:val="single" w:sz="4" w:space="0" w:color="auto"/>
              <w:left w:val="single" w:sz="4" w:space="0" w:color="auto"/>
              <w:bottom w:val="single" w:sz="4" w:space="0" w:color="auto"/>
              <w:right w:val="single" w:sz="4" w:space="0" w:color="auto"/>
            </w:tcBorders>
            <w:vAlign w:val="bottom"/>
          </w:tcPr>
          <w:p w14:paraId="68506B92" w14:textId="29C68CFD" w:rsidR="00F011C0" w:rsidRPr="006E1AF7" w:rsidRDefault="00F011C0"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113.987</w:t>
            </w:r>
          </w:p>
        </w:tc>
      </w:tr>
      <w:tr w:rsidR="00F011C0" w:rsidRPr="00701F32" w14:paraId="2E6B9938" w14:textId="77777777" w:rsidTr="00DF0784">
        <w:trPr>
          <w:trHeight w:val="261"/>
        </w:trPr>
        <w:tc>
          <w:tcPr>
            <w:tcW w:w="52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179BD"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Honorarios y retribuciones por servicios</w:t>
            </w:r>
          </w:p>
        </w:tc>
        <w:tc>
          <w:tcPr>
            <w:tcW w:w="17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281F8D" w14:textId="1D973950"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1.966.912</w:t>
            </w:r>
          </w:p>
        </w:tc>
        <w:tc>
          <w:tcPr>
            <w:tcW w:w="1628" w:type="dxa"/>
            <w:tcBorders>
              <w:top w:val="single" w:sz="4" w:space="0" w:color="auto"/>
              <w:left w:val="single" w:sz="4" w:space="0" w:color="auto"/>
              <w:bottom w:val="single" w:sz="4" w:space="0" w:color="auto"/>
              <w:right w:val="single" w:sz="4" w:space="0" w:color="auto"/>
            </w:tcBorders>
            <w:vAlign w:val="bottom"/>
          </w:tcPr>
          <w:p w14:paraId="4F4F4089" w14:textId="59E3B068" w:rsidR="00F011C0" w:rsidRPr="006E1AF7" w:rsidRDefault="00F011C0"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1.321.385</w:t>
            </w:r>
          </w:p>
        </w:tc>
      </w:tr>
      <w:tr w:rsidR="00F011C0" w:rsidRPr="00701F32" w14:paraId="0F5DA99B" w14:textId="77777777" w:rsidTr="00DF0784">
        <w:trPr>
          <w:trHeight w:val="261"/>
        </w:trPr>
        <w:tc>
          <w:tcPr>
            <w:tcW w:w="52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E1BDD3"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Impuestos y tasas</w:t>
            </w:r>
          </w:p>
        </w:tc>
        <w:tc>
          <w:tcPr>
            <w:tcW w:w="17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3C489B" w14:textId="42920E30"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929.463</w:t>
            </w:r>
          </w:p>
        </w:tc>
        <w:tc>
          <w:tcPr>
            <w:tcW w:w="1628" w:type="dxa"/>
            <w:tcBorders>
              <w:top w:val="single" w:sz="4" w:space="0" w:color="auto"/>
              <w:left w:val="single" w:sz="4" w:space="0" w:color="auto"/>
              <w:bottom w:val="single" w:sz="4" w:space="0" w:color="auto"/>
              <w:right w:val="single" w:sz="4" w:space="0" w:color="auto"/>
            </w:tcBorders>
            <w:vAlign w:val="bottom"/>
          </w:tcPr>
          <w:p w14:paraId="66BA2D03" w14:textId="2B1817E2" w:rsidR="00F011C0" w:rsidRPr="006E1AF7" w:rsidRDefault="00F011C0"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618.729</w:t>
            </w:r>
          </w:p>
        </w:tc>
      </w:tr>
      <w:tr w:rsidR="00F011C0" w:rsidRPr="00701F32" w14:paraId="2314C116" w14:textId="77777777" w:rsidTr="00DF0784">
        <w:trPr>
          <w:trHeight w:val="261"/>
        </w:trPr>
        <w:tc>
          <w:tcPr>
            <w:tcW w:w="52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4046CC"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Mantenimiento y reparaciones</w:t>
            </w:r>
          </w:p>
        </w:tc>
        <w:tc>
          <w:tcPr>
            <w:tcW w:w="17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E8CF63" w14:textId="15C0D482"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687.242</w:t>
            </w:r>
          </w:p>
        </w:tc>
        <w:tc>
          <w:tcPr>
            <w:tcW w:w="1628" w:type="dxa"/>
            <w:tcBorders>
              <w:top w:val="single" w:sz="4" w:space="0" w:color="auto"/>
              <w:left w:val="single" w:sz="4" w:space="0" w:color="auto"/>
              <w:bottom w:val="single" w:sz="4" w:space="0" w:color="auto"/>
              <w:right w:val="single" w:sz="4" w:space="0" w:color="auto"/>
            </w:tcBorders>
            <w:vAlign w:val="bottom"/>
          </w:tcPr>
          <w:p w14:paraId="5968C32F" w14:textId="2DD76BA9" w:rsidR="00F011C0" w:rsidRPr="006E1AF7" w:rsidRDefault="00F011C0"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434.529</w:t>
            </w:r>
          </w:p>
        </w:tc>
      </w:tr>
      <w:tr w:rsidR="00F011C0" w:rsidRPr="00701F32" w14:paraId="477CAAF0" w14:textId="77777777" w:rsidTr="00DF0784">
        <w:trPr>
          <w:trHeight w:val="276"/>
        </w:trPr>
        <w:tc>
          <w:tcPr>
            <w:tcW w:w="5293" w:type="dxa"/>
            <w:shd w:val="clear" w:color="auto" w:fill="auto"/>
            <w:noWrap/>
            <w:vAlign w:val="bottom"/>
          </w:tcPr>
          <w:p w14:paraId="6E4028C1"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Utiles de oficina</w:t>
            </w:r>
          </w:p>
        </w:tc>
        <w:tc>
          <w:tcPr>
            <w:tcW w:w="1763" w:type="dxa"/>
            <w:shd w:val="clear" w:color="auto" w:fill="auto"/>
            <w:noWrap/>
            <w:vAlign w:val="bottom"/>
          </w:tcPr>
          <w:p w14:paraId="2E68640F" w14:textId="7AE907B7"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142.830</w:t>
            </w:r>
          </w:p>
        </w:tc>
        <w:tc>
          <w:tcPr>
            <w:tcW w:w="1628" w:type="dxa"/>
            <w:vAlign w:val="bottom"/>
          </w:tcPr>
          <w:p w14:paraId="75D3554F" w14:textId="7F17B33A" w:rsidR="00F011C0" w:rsidRPr="006E1AF7" w:rsidRDefault="00F011C0"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46.178</w:t>
            </w:r>
          </w:p>
        </w:tc>
      </w:tr>
      <w:tr w:rsidR="00F011C0" w:rsidRPr="00701F32" w14:paraId="4F6B78DB" w14:textId="77777777" w:rsidTr="00DF0784">
        <w:trPr>
          <w:trHeight w:val="261"/>
        </w:trPr>
        <w:tc>
          <w:tcPr>
            <w:tcW w:w="52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6A11E"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Diversos</w:t>
            </w:r>
          </w:p>
        </w:tc>
        <w:tc>
          <w:tcPr>
            <w:tcW w:w="17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FACE7" w14:textId="7EC1F111"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259.183</w:t>
            </w:r>
          </w:p>
        </w:tc>
        <w:tc>
          <w:tcPr>
            <w:tcW w:w="1628" w:type="dxa"/>
            <w:tcBorders>
              <w:top w:val="single" w:sz="4" w:space="0" w:color="auto"/>
              <w:left w:val="single" w:sz="4" w:space="0" w:color="auto"/>
              <w:bottom w:val="single" w:sz="4" w:space="0" w:color="auto"/>
              <w:right w:val="single" w:sz="4" w:space="0" w:color="auto"/>
            </w:tcBorders>
            <w:vAlign w:val="bottom"/>
          </w:tcPr>
          <w:p w14:paraId="34A8EBD1" w14:textId="7CBF8CAD" w:rsidR="00F011C0" w:rsidRPr="006E1AF7" w:rsidRDefault="00F011C0"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145.212</w:t>
            </w:r>
          </w:p>
        </w:tc>
      </w:tr>
      <w:tr w:rsidR="00F011C0" w:rsidRPr="00701F32" w14:paraId="264C639A" w14:textId="77777777" w:rsidTr="00DF0784">
        <w:trPr>
          <w:trHeight w:val="276"/>
        </w:trPr>
        <w:tc>
          <w:tcPr>
            <w:tcW w:w="5293" w:type="dxa"/>
            <w:shd w:val="clear" w:color="auto" w:fill="auto"/>
            <w:noWrap/>
            <w:vAlign w:val="bottom"/>
            <w:hideMark/>
          </w:tcPr>
          <w:p w14:paraId="690851C8" w14:textId="77777777" w:rsidR="00F011C0" w:rsidRPr="006E1AF7" w:rsidRDefault="00F011C0" w:rsidP="00F011C0">
            <w:pPr>
              <w:rPr>
                <w:rFonts w:ascii="Arial" w:hAnsi="Arial" w:cs="Arial"/>
                <w:b/>
                <w:color w:val="000000"/>
                <w:sz w:val="18"/>
                <w:lang w:eastAsia="es-AR"/>
              </w:rPr>
            </w:pPr>
            <w:r w:rsidRPr="006E1AF7">
              <w:rPr>
                <w:rFonts w:ascii="Arial" w:hAnsi="Arial" w:cs="Arial"/>
                <w:b/>
                <w:color w:val="000000"/>
                <w:sz w:val="18"/>
                <w:lang w:eastAsia="es-AR"/>
              </w:rPr>
              <w:t>Total</w:t>
            </w:r>
          </w:p>
        </w:tc>
        <w:tc>
          <w:tcPr>
            <w:tcW w:w="1763" w:type="dxa"/>
            <w:shd w:val="clear" w:color="auto" w:fill="auto"/>
            <w:noWrap/>
            <w:vAlign w:val="bottom"/>
          </w:tcPr>
          <w:p w14:paraId="7F3658E4" w14:textId="6CFC299C" w:rsidR="00F011C0" w:rsidRPr="006E1AF7" w:rsidRDefault="00B61BF6" w:rsidP="00F011C0">
            <w:pPr>
              <w:jc w:val="right"/>
              <w:rPr>
                <w:rFonts w:ascii="Arial" w:hAnsi="Arial" w:cs="Arial"/>
                <w:b/>
                <w:color w:val="000000"/>
                <w:sz w:val="18"/>
                <w:lang w:val="es-ES_tradnl" w:eastAsia="es-AR"/>
              </w:rPr>
            </w:pPr>
            <w:r w:rsidRPr="006E1AF7">
              <w:rPr>
                <w:rFonts w:ascii="Arial" w:hAnsi="Arial" w:cs="Arial"/>
                <w:b/>
                <w:color w:val="000000"/>
                <w:sz w:val="18"/>
                <w:lang w:val="es-ES_tradnl" w:eastAsia="es-AR"/>
              </w:rPr>
              <w:t>4.809.358</w:t>
            </w:r>
          </w:p>
        </w:tc>
        <w:tc>
          <w:tcPr>
            <w:tcW w:w="1628" w:type="dxa"/>
            <w:vAlign w:val="bottom"/>
          </w:tcPr>
          <w:p w14:paraId="62FD30F7" w14:textId="11FC140F" w:rsidR="00F011C0" w:rsidRPr="006E1AF7" w:rsidRDefault="00F011C0" w:rsidP="00F011C0">
            <w:pPr>
              <w:jc w:val="right"/>
              <w:rPr>
                <w:rFonts w:ascii="Arial" w:hAnsi="Arial" w:cs="Arial"/>
                <w:b/>
                <w:color w:val="000000"/>
                <w:sz w:val="18"/>
                <w:lang w:val="es-ES_tradnl" w:eastAsia="es-AR"/>
              </w:rPr>
            </w:pPr>
            <w:r w:rsidRPr="006E1AF7">
              <w:rPr>
                <w:rFonts w:ascii="Arial" w:hAnsi="Arial" w:cs="Arial"/>
                <w:b/>
                <w:color w:val="000000"/>
                <w:sz w:val="18"/>
                <w:lang w:val="es-ES_tradnl" w:eastAsia="es-AR"/>
              </w:rPr>
              <w:t>3.526.023</w:t>
            </w:r>
          </w:p>
        </w:tc>
      </w:tr>
    </w:tbl>
    <w:p w14:paraId="5B95C5B0" w14:textId="77777777" w:rsidR="007D2DED" w:rsidRPr="00701F32" w:rsidRDefault="007D2DED" w:rsidP="007D2DED">
      <w:pPr>
        <w:rPr>
          <w:rFonts w:ascii="Arial" w:hAnsi="Arial" w:cs="Arial"/>
          <w:bCs/>
          <w:color w:val="000000"/>
          <w:sz w:val="20"/>
          <w:lang w:eastAsia="es-AR"/>
        </w:rPr>
      </w:pPr>
    </w:p>
    <w:p w14:paraId="1BCDDA5D" w14:textId="0CA06205"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.23</w:t>
      </w:r>
      <w:r w:rsidR="007D2DED" w:rsidRPr="00701F32">
        <w:rPr>
          <w:rFonts w:ascii="Arial" w:hAnsi="Arial" w:cs="Arial"/>
          <w:bCs/>
          <w:color w:val="000000"/>
          <w:sz w:val="20"/>
          <w:lang w:eastAsia="es-AR"/>
        </w:rPr>
        <w:t xml:space="preserve"> Otros Gastos operativos.</w:t>
      </w:r>
    </w:p>
    <w:p w14:paraId="433EEB11" w14:textId="77777777" w:rsidR="007D2DED" w:rsidRPr="00701F32" w:rsidRDefault="007D2DED" w:rsidP="007D2DED">
      <w:pPr>
        <w:rPr>
          <w:rFonts w:ascii="Arial" w:hAnsi="Arial" w:cs="Arial"/>
          <w:bCs/>
          <w:color w:val="000000"/>
          <w:sz w:val="20"/>
          <w:lang w:eastAsia="es-AR"/>
        </w:rPr>
      </w:pPr>
    </w:p>
    <w:p w14:paraId="5FCCB760" w14:textId="3832ADED" w:rsidR="007D2DED" w:rsidRPr="00701F32" w:rsidRDefault="007D2DED" w:rsidP="007D2DED">
      <w:pPr>
        <w:spacing w:after="160" w:line="259" w:lineRule="auto"/>
        <w:rPr>
          <w:rFonts w:ascii="Arial" w:hAnsi="Arial" w:cs="Arial"/>
          <w:bCs/>
          <w:color w:val="000000"/>
          <w:sz w:val="20"/>
          <w:lang w:eastAsia="es-AR"/>
        </w:rPr>
      </w:pPr>
      <w:r w:rsidRPr="00701F32">
        <w:rPr>
          <w:rFonts w:ascii="Arial" w:eastAsiaTheme="minorHAnsi" w:hAnsi="Arial" w:cs="Arial"/>
          <w:sz w:val="20"/>
          <w:szCs w:val="22"/>
        </w:rPr>
        <w:t xml:space="preserve">Los principales componentes del rubro otros gastos operativos por los </w:t>
      </w:r>
      <w:r>
        <w:rPr>
          <w:rFonts w:ascii="Arial" w:eastAsiaTheme="minorHAnsi" w:hAnsi="Arial" w:cs="Arial"/>
          <w:sz w:val="20"/>
          <w:szCs w:val="22"/>
        </w:rPr>
        <w:t>ejercicios finalizados el 31</w:t>
      </w:r>
      <w:r w:rsidRPr="00701F32">
        <w:rPr>
          <w:rFonts w:ascii="Arial" w:eastAsiaTheme="minorHAnsi" w:hAnsi="Arial" w:cs="Arial"/>
          <w:sz w:val="20"/>
          <w:szCs w:val="22"/>
        </w:rPr>
        <w:t xml:space="preserve"> de </w:t>
      </w:r>
      <w:r>
        <w:rPr>
          <w:rFonts w:ascii="Arial" w:eastAsiaTheme="minorHAnsi" w:hAnsi="Arial" w:cs="Arial"/>
          <w:sz w:val="20"/>
        </w:rPr>
        <w:t>diciembre</w:t>
      </w:r>
      <w:r w:rsidRPr="00701F32">
        <w:rPr>
          <w:rFonts w:ascii="Arial" w:eastAsiaTheme="minorHAnsi" w:hAnsi="Arial" w:cs="Arial"/>
          <w:sz w:val="20"/>
          <w:szCs w:val="22"/>
        </w:rPr>
        <w:t xml:space="preserve"> de </w:t>
      </w:r>
      <w:r w:rsidR="00F011C0">
        <w:rPr>
          <w:rFonts w:ascii="Arial" w:hAnsi="Arial" w:cs="Arial"/>
          <w:bCs/>
          <w:color w:val="000000"/>
          <w:sz w:val="20"/>
          <w:lang w:eastAsia="es-AR"/>
        </w:rPr>
        <w:t>2019 y 2018</w:t>
      </w:r>
      <w:r w:rsidRPr="00701F32">
        <w:rPr>
          <w:rFonts w:ascii="Arial" w:eastAsiaTheme="minorHAnsi" w:hAnsi="Arial" w:cs="Arial"/>
          <w:sz w:val="20"/>
          <w:szCs w:val="22"/>
        </w:rPr>
        <w:t xml:space="preserve"> son los siguientes:</w:t>
      </w:r>
    </w:p>
    <w:tbl>
      <w:tblPr>
        <w:tblW w:w="86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04"/>
        <w:gridCol w:w="1674"/>
        <w:gridCol w:w="1674"/>
      </w:tblGrid>
      <w:tr w:rsidR="00DF0784" w:rsidRPr="00701F32" w14:paraId="05ECA5CF" w14:textId="77777777" w:rsidTr="00B57E77">
        <w:trPr>
          <w:trHeight w:val="253"/>
          <w:tblHeader/>
        </w:trPr>
        <w:tc>
          <w:tcPr>
            <w:tcW w:w="5304" w:type="dxa"/>
            <w:shd w:val="clear" w:color="auto" w:fill="auto"/>
            <w:noWrap/>
            <w:vAlign w:val="bottom"/>
            <w:hideMark/>
          </w:tcPr>
          <w:p w14:paraId="4BA3D3A9" w14:textId="77777777" w:rsidR="00DF0784" w:rsidRPr="006E1AF7" w:rsidRDefault="00DF0784" w:rsidP="00DF0784">
            <w:pPr>
              <w:rPr>
                <w:rFonts w:ascii="Arial" w:hAnsi="Arial" w:cs="Arial"/>
                <w:b/>
                <w:bCs/>
                <w:color w:val="000000"/>
                <w:sz w:val="18"/>
                <w:lang w:eastAsia="es-AR"/>
              </w:rPr>
            </w:pPr>
          </w:p>
        </w:tc>
        <w:tc>
          <w:tcPr>
            <w:tcW w:w="1674" w:type="dxa"/>
            <w:shd w:val="clear" w:color="auto" w:fill="auto"/>
            <w:noWrap/>
            <w:vAlign w:val="bottom"/>
            <w:hideMark/>
          </w:tcPr>
          <w:p w14:paraId="66FBE8E9" w14:textId="228AA387" w:rsidR="00DF0784" w:rsidRPr="006E1AF7" w:rsidRDefault="00DF0784" w:rsidP="00DF0784">
            <w:pPr>
              <w:jc w:val="center"/>
              <w:rPr>
                <w:rFonts w:ascii="Arial" w:hAnsi="Arial" w:cs="Arial"/>
                <w:b/>
                <w:color w:val="000000"/>
                <w:sz w:val="18"/>
                <w:lang w:eastAsia="es-AR"/>
              </w:rPr>
            </w:pPr>
            <w:r w:rsidRPr="006E1AF7">
              <w:rPr>
                <w:rFonts w:ascii="Arial" w:hAnsi="Arial" w:cs="Arial"/>
                <w:b/>
                <w:color w:val="000000"/>
                <w:sz w:val="18"/>
                <w:lang w:eastAsia="es-AR"/>
              </w:rPr>
              <w:t>31/12/2019</w:t>
            </w:r>
          </w:p>
        </w:tc>
        <w:tc>
          <w:tcPr>
            <w:tcW w:w="1674" w:type="dxa"/>
            <w:vAlign w:val="bottom"/>
          </w:tcPr>
          <w:p w14:paraId="69232FC6" w14:textId="730329CD" w:rsidR="00DF0784" w:rsidRPr="006E1AF7" w:rsidRDefault="00DF0784" w:rsidP="00DF0784">
            <w:pPr>
              <w:jc w:val="center"/>
              <w:rPr>
                <w:rFonts w:ascii="Arial" w:hAnsi="Arial" w:cs="Arial"/>
                <w:b/>
                <w:color w:val="000000"/>
                <w:sz w:val="18"/>
                <w:lang w:eastAsia="es-AR"/>
              </w:rPr>
            </w:pPr>
            <w:r w:rsidRPr="006E1AF7">
              <w:rPr>
                <w:rFonts w:ascii="Arial" w:hAnsi="Arial" w:cs="Arial"/>
                <w:b/>
                <w:color w:val="000000"/>
                <w:sz w:val="18"/>
                <w:lang w:eastAsia="es-AR"/>
              </w:rPr>
              <w:t>31/12/2018</w:t>
            </w:r>
          </w:p>
        </w:tc>
      </w:tr>
      <w:tr w:rsidR="00F011C0" w:rsidRPr="00701F32" w14:paraId="1C66ACE3" w14:textId="77777777" w:rsidTr="00B57E77">
        <w:trPr>
          <w:trHeight w:val="253"/>
        </w:trPr>
        <w:tc>
          <w:tcPr>
            <w:tcW w:w="5304" w:type="dxa"/>
            <w:shd w:val="clear" w:color="auto" w:fill="auto"/>
            <w:noWrap/>
            <w:vAlign w:val="bottom"/>
            <w:hideMark/>
          </w:tcPr>
          <w:p w14:paraId="62A1B8BC"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Donaciones</w:t>
            </w:r>
          </w:p>
        </w:tc>
        <w:tc>
          <w:tcPr>
            <w:tcW w:w="1674" w:type="dxa"/>
            <w:shd w:val="clear" w:color="auto" w:fill="auto"/>
            <w:noWrap/>
            <w:vAlign w:val="bottom"/>
          </w:tcPr>
          <w:p w14:paraId="7138E986" w14:textId="2B662429" w:rsidR="00F011C0" w:rsidRPr="006E1AF7" w:rsidRDefault="00B61BF6" w:rsidP="00F011C0">
            <w:pPr>
              <w:jc w:val="right"/>
              <w:rPr>
                <w:rFonts w:ascii="Arial" w:hAnsi="Arial" w:cs="Arial"/>
                <w:color w:val="000000"/>
                <w:sz w:val="18"/>
                <w:lang w:eastAsia="es-AR"/>
              </w:rPr>
            </w:pPr>
            <w:r w:rsidRPr="006E1AF7">
              <w:rPr>
                <w:rFonts w:ascii="Arial" w:hAnsi="Arial" w:cs="Arial"/>
                <w:color w:val="000000"/>
                <w:sz w:val="18"/>
                <w:lang w:eastAsia="es-AR"/>
              </w:rPr>
              <w:t>13.732</w:t>
            </w:r>
          </w:p>
        </w:tc>
        <w:tc>
          <w:tcPr>
            <w:tcW w:w="1674" w:type="dxa"/>
            <w:vAlign w:val="bottom"/>
          </w:tcPr>
          <w:p w14:paraId="2F63A2BB" w14:textId="5A9ACD10"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eastAsia="es-AR"/>
              </w:rPr>
              <w:t>17.076</w:t>
            </w:r>
          </w:p>
        </w:tc>
      </w:tr>
      <w:tr w:rsidR="00F011C0" w:rsidRPr="00701F32" w14:paraId="5C9FEFE1" w14:textId="77777777" w:rsidTr="00B57E77">
        <w:trPr>
          <w:trHeight w:val="253"/>
        </w:trPr>
        <w:tc>
          <w:tcPr>
            <w:tcW w:w="53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0348D9"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Fondo de garantía de los depósitos</w:t>
            </w: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E7224" w14:textId="2701B30F"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194.673</w:t>
            </w:r>
          </w:p>
        </w:tc>
        <w:tc>
          <w:tcPr>
            <w:tcW w:w="1674" w:type="dxa"/>
            <w:tcBorders>
              <w:top w:val="single" w:sz="4" w:space="0" w:color="auto"/>
              <w:left w:val="single" w:sz="4" w:space="0" w:color="auto"/>
              <w:bottom w:val="single" w:sz="4" w:space="0" w:color="auto"/>
              <w:right w:val="single" w:sz="4" w:space="0" w:color="auto"/>
            </w:tcBorders>
            <w:vAlign w:val="bottom"/>
          </w:tcPr>
          <w:p w14:paraId="543DA997" w14:textId="15DECE76"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127.153</w:t>
            </w:r>
          </w:p>
        </w:tc>
      </w:tr>
      <w:tr w:rsidR="00F011C0" w:rsidRPr="00701F32" w14:paraId="28D32499" w14:textId="77777777" w:rsidTr="00B57E77">
        <w:trPr>
          <w:trHeight w:val="253"/>
        </w:trPr>
        <w:tc>
          <w:tcPr>
            <w:tcW w:w="53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C26566"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Ingresos brutos</w:t>
            </w: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B8F205" w14:textId="362E08B7"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2.676.001</w:t>
            </w:r>
          </w:p>
        </w:tc>
        <w:tc>
          <w:tcPr>
            <w:tcW w:w="1674" w:type="dxa"/>
            <w:tcBorders>
              <w:top w:val="single" w:sz="4" w:space="0" w:color="auto"/>
              <w:left w:val="single" w:sz="4" w:space="0" w:color="auto"/>
              <w:bottom w:val="single" w:sz="4" w:space="0" w:color="auto"/>
              <w:right w:val="single" w:sz="4" w:space="0" w:color="auto"/>
            </w:tcBorders>
            <w:vAlign w:val="bottom"/>
          </w:tcPr>
          <w:p w14:paraId="0C2955F4" w14:textId="52CF63FC"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1.851.562</w:t>
            </w:r>
          </w:p>
        </w:tc>
      </w:tr>
      <w:tr w:rsidR="00F011C0" w:rsidRPr="00701F32" w14:paraId="6EE0CC21" w14:textId="77777777" w:rsidTr="00B57E77">
        <w:trPr>
          <w:trHeight w:val="253"/>
        </w:trPr>
        <w:tc>
          <w:tcPr>
            <w:tcW w:w="53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2FB978"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Obligaciones diversas</w:t>
            </w: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EB0E85" w14:textId="6DFA726E"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3.013</w:t>
            </w:r>
          </w:p>
        </w:tc>
        <w:tc>
          <w:tcPr>
            <w:tcW w:w="1674" w:type="dxa"/>
            <w:tcBorders>
              <w:top w:val="single" w:sz="4" w:space="0" w:color="auto"/>
              <w:left w:val="single" w:sz="4" w:space="0" w:color="auto"/>
              <w:bottom w:val="single" w:sz="4" w:space="0" w:color="auto"/>
              <w:right w:val="single" w:sz="4" w:space="0" w:color="auto"/>
            </w:tcBorders>
            <w:vAlign w:val="bottom"/>
          </w:tcPr>
          <w:p w14:paraId="3098BEE9" w14:textId="0111051A"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736</w:t>
            </w:r>
          </w:p>
        </w:tc>
      </w:tr>
      <w:tr w:rsidR="00F011C0" w:rsidRPr="00701F32" w14:paraId="56A4040D" w14:textId="77777777" w:rsidTr="00B57E77">
        <w:trPr>
          <w:trHeight w:val="253"/>
        </w:trPr>
        <w:tc>
          <w:tcPr>
            <w:tcW w:w="53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0405E0"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Otras provisiones</w:t>
            </w: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622DD4" w14:textId="592BC4DE" w:rsidR="00F011C0" w:rsidRPr="006E1AF7" w:rsidRDefault="00B61BF6" w:rsidP="00F011C0">
            <w:pPr>
              <w:jc w:val="right"/>
              <w:rPr>
                <w:rFonts w:ascii="Arial" w:hAnsi="Arial" w:cs="Arial"/>
                <w:color w:val="000000"/>
                <w:sz w:val="18"/>
                <w:lang w:val="es-ES_tradnl" w:eastAsia="es-AR"/>
              </w:rPr>
            </w:pPr>
            <w:r w:rsidRPr="006E1AF7">
              <w:rPr>
                <w:rFonts w:ascii="Arial" w:hAnsi="Arial" w:cs="Arial"/>
                <w:color w:val="000000"/>
                <w:sz w:val="18"/>
                <w:lang w:val="es-ES_tradnl" w:eastAsia="es-AR"/>
              </w:rPr>
              <w:t>21.964</w:t>
            </w:r>
          </w:p>
        </w:tc>
        <w:tc>
          <w:tcPr>
            <w:tcW w:w="1674" w:type="dxa"/>
            <w:tcBorders>
              <w:top w:val="single" w:sz="4" w:space="0" w:color="auto"/>
              <w:left w:val="single" w:sz="4" w:space="0" w:color="auto"/>
              <w:bottom w:val="single" w:sz="4" w:space="0" w:color="auto"/>
              <w:right w:val="single" w:sz="4" w:space="0" w:color="auto"/>
            </w:tcBorders>
            <w:vAlign w:val="bottom"/>
          </w:tcPr>
          <w:p w14:paraId="1B84F47C" w14:textId="08B2D5F7"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val="es-ES_tradnl" w:eastAsia="es-AR"/>
              </w:rPr>
              <w:t>10.969</w:t>
            </w:r>
          </w:p>
        </w:tc>
      </w:tr>
      <w:tr w:rsidR="00F011C0" w:rsidRPr="00701F32" w14:paraId="59A1B432" w14:textId="77777777" w:rsidTr="00B57E77">
        <w:trPr>
          <w:trHeight w:val="253"/>
        </w:trPr>
        <w:tc>
          <w:tcPr>
            <w:tcW w:w="53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98CF92"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Ajuste inicial a valor razonable de financiaciones a tasas inferiores a las de mercado</w:t>
            </w: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00208" w14:textId="69711BA3" w:rsidR="00F011C0" w:rsidRPr="006E1AF7" w:rsidRDefault="00B61BF6" w:rsidP="00F011C0">
            <w:pPr>
              <w:jc w:val="right"/>
              <w:rPr>
                <w:rFonts w:ascii="Arial" w:hAnsi="Arial" w:cs="Arial"/>
                <w:color w:val="000000"/>
                <w:sz w:val="18"/>
                <w:lang w:eastAsia="es-AR"/>
              </w:rPr>
            </w:pPr>
            <w:r w:rsidRPr="006E1AF7">
              <w:rPr>
                <w:rFonts w:ascii="Arial" w:hAnsi="Arial" w:cs="Arial"/>
                <w:color w:val="000000"/>
                <w:sz w:val="18"/>
                <w:lang w:eastAsia="es-AR"/>
              </w:rPr>
              <w:t>163.009</w:t>
            </w:r>
          </w:p>
        </w:tc>
        <w:tc>
          <w:tcPr>
            <w:tcW w:w="1674" w:type="dxa"/>
            <w:tcBorders>
              <w:top w:val="single" w:sz="4" w:space="0" w:color="auto"/>
              <w:left w:val="single" w:sz="4" w:space="0" w:color="auto"/>
              <w:bottom w:val="single" w:sz="4" w:space="0" w:color="auto"/>
              <w:right w:val="single" w:sz="4" w:space="0" w:color="auto"/>
            </w:tcBorders>
            <w:vAlign w:val="bottom"/>
          </w:tcPr>
          <w:p w14:paraId="5C3ADF9F" w14:textId="744FA24F"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eastAsia="es-AR"/>
              </w:rPr>
              <w:t>305.421</w:t>
            </w:r>
          </w:p>
        </w:tc>
      </w:tr>
      <w:tr w:rsidR="00F011C0" w:rsidRPr="00701F32" w14:paraId="69CBD422" w14:textId="77777777" w:rsidTr="00B57E77">
        <w:trPr>
          <w:trHeight w:val="253"/>
        </w:trPr>
        <w:tc>
          <w:tcPr>
            <w:tcW w:w="53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8ACF69"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Promociones por tarjetas</w:t>
            </w: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43C28B" w14:textId="1C067DFB" w:rsidR="00F011C0" w:rsidRPr="006E1AF7" w:rsidRDefault="009825B2" w:rsidP="00F011C0">
            <w:pPr>
              <w:jc w:val="right"/>
              <w:rPr>
                <w:rFonts w:ascii="Arial" w:hAnsi="Arial" w:cs="Arial"/>
                <w:color w:val="000000"/>
                <w:sz w:val="18"/>
                <w:lang w:eastAsia="es-AR"/>
              </w:rPr>
            </w:pPr>
            <w:r w:rsidRPr="006E1AF7">
              <w:rPr>
                <w:rFonts w:ascii="Arial" w:hAnsi="Arial" w:cs="Arial"/>
                <w:color w:val="000000"/>
                <w:sz w:val="18"/>
                <w:lang w:eastAsia="es-AR"/>
              </w:rPr>
              <w:t>4</w:t>
            </w:r>
            <w:r w:rsidR="0093779D" w:rsidRPr="006E1AF7">
              <w:rPr>
                <w:rFonts w:ascii="Arial" w:hAnsi="Arial" w:cs="Arial"/>
                <w:color w:val="000000"/>
                <w:sz w:val="18"/>
                <w:lang w:eastAsia="es-AR"/>
              </w:rPr>
              <w:t>21.290</w:t>
            </w:r>
          </w:p>
        </w:tc>
        <w:tc>
          <w:tcPr>
            <w:tcW w:w="1674" w:type="dxa"/>
            <w:tcBorders>
              <w:top w:val="single" w:sz="4" w:space="0" w:color="auto"/>
              <w:left w:val="single" w:sz="4" w:space="0" w:color="auto"/>
              <w:bottom w:val="single" w:sz="4" w:space="0" w:color="auto"/>
              <w:right w:val="single" w:sz="4" w:space="0" w:color="auto"/>
            </w:tcBorders>
            <w:vAlign w:val="bottom"/>
          </w:tcPr>
          <w:p w14:paraId="4D8B0857" w14:textId="19B57229"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eastAsia="es-AR"/>
              </w:rPr>
              <w:t>175.401</w:t>
            </w:r>
          </w:p>
        </w:tc>
      </w:tr>
      <w:tr w:rsidR="00973A5F" w:rsidRPr="00701F32" w14:paraId="546E178A" w14:textId="77777777" w:rsidTr="00B57E77">
        <w:trPr>
          <w:trHeight w:val="253"/>
        </w:trPr>
        <w:tc>
          <w:tcPr>
            <w:tcW w:w="53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6BFBE2" w14:textId="0BF36D59" w:rsidR="00973A5F" w:rsidRPr="006E1AF7" w:rsidRDefault="00973A5F" w:rsidP="00F011C0">
            <w:pPr>
              <w:rPr>
                <w:rFonts w:ascii="Arial" w:hAnsi="Arial" w:cs="Arial"/>
                <w:color w:val="000000"/>
                <w:sz w:val="18"/>
                <w:lang w:eastAsia="es-AR"/>
              </w:rPr>
            </w:pPr>
            <w:r w:rsidRPr="006E1AF7">
              <w:rPr>
                <w:rFonts w:ascii="Arial" w:hAnsi="Arial" w:cs="Arial"/>
                <w:color w:val="000000"/>
                <w:sz w:val="18"/>
                <w:lang w:eastAsia="es-AR"/>
              </w:rPr>
              <w:t>Gastos por arrendamiento financiero</w:t>
            </w: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AAF03B" w14:textId="02F916B5" w:rsidR="00973A5F" w:rsidRPr="006E1AF7" w:rsidRDefault="00973A5F" w:rsidP="00F011C0">
            <w:pPr>
              <w:jc w:val="right"/>
              <w:rPr>
                <w:rFonts w:ascii="Arial" w:hAnsi="Arial" w:cs="Arial"/>
                <w:color w:val="000000"/>
                <w:sz w:val="18"/>
                <w:lang w:eastAsia="es-AR"/>
              </w:rPr>
            </w:pPr>
            <w:r w:rsidRPr="006E1AF7">
              <w:rPr>
                <w:rFonts w:ascii="Arial" w:hAnsi="Arial" w:cs="Arial"/>
                <w:color w:val="000000"/>
                <w:sz w:val="18"/>
                <w:lang w:eastAsia="es-AR"/>
              </w:rPr>
              <w:t>1</w:t>
            </w:r>
            <w:r w:rsidR="00B57203">
              <w:rPr>
                <w:rFonts w:ascii="Arial" w:hAnsi="Arial" w:cs="Arial"/>
                <w:color w:val="000000"/>
                <w:sz w:val="18"/>
                <w:lang w:eastAsia="es-AR"/>
              </w:rPr>
              <w:t>73</w:t>
            </w:r>
            <w:r w:rsidRPr="006E1AF7">
              <w:rPr>
                <w:rFonts w:ascii="Arial" w:hAnsi="Arial" w:cs="Arial"/>
                <w:color w:val="000000"/>
                <w:sz w:val="18"/>
                <w:lang w:eastAsia="es-AR"/>
              </w:rPr>
              <w:t>.</w:t>
            </w:r>
            <w:r w:rsidR="00B57203">
              <w:rPr>
                <w:rFonts w:ascii="Arial" w:hAnsi="Arial" w:cs="Arial"/>
                <w:color w:val="000000"/>
                <w:sz w:val="18"/>
                <w:lang w:eastAsia="es-AR"/>
              </w:rPr>
              <w:t>964</w:t>
            </w:r>
          </w:p>
        </w:tc>
        <w:tc>
          <w:tcPr>
            <w:tcW w:w="1674" w:type="dxa"/>
            <w:tcBorders>
              <w:top w:val="single" w:sz="4" w:space="0" w:color="auto"/>
              <w:left w:val="single" w:sz="4" w:space="0" w:color="auto"/>
              <w:bottom w:val="single" w:sz="4" w:space="0" w:color="auto"/>
              <w:right w:val="single" w:sz="4" w:space="0" w:color="auto"/>
            </w:tcBorders>
            <w:vAlign w:val="bottom"/>
          </w:tcPr>
          <w:p w14:paraId="23CEED30" w14:textId="217CE6B0" w:rsidR="00973A5F" w:rsidRPr="006E1AF7" w:rsidRDefault="006B605D" w:rsidP="00F011C0">
            <w:pPr>
              <w:jc w:val="right"/>
              <w:rPr>
                <w:rFonts w:ascii="Arial" w:hAnsi="Arial" w:cs="Arial"/>
                <w:color w:val="000000"/>
                <w:sz w:val="18"/>
                <w:lang w:eastAsia="es-AR"/>
              </w:rPr>
            </w:pPr>
            <w:r w:rsidRPr="006E1AF7">
              <w:rPr>
                <w:rFonts w:ascii="Arial" w:hAnsi="Arial" w:cs="Arial"/>
                <w:color w:val="000000"/>
                <w:sz w:val="18"/>
                <w:lang w:eastAsia="es-AR"/>
              </w:rPr>
              <w:t>-</w:t>
            </w:r>
          </w:p>
        </w:tc>
      </w:tr>
      <w:tr w:rsidR="00F011C0" w:rsidRPr="00701F32" w14:paraId="56B1DB92" w14:textId="77777777" w:rsidTr="00B57E77">
        <w:trPr>
          <w:trHeight w:val="253"/>
        </w:trPr>
        <w:tc>
          <w:tcPr>
            <w:tcW w:w="53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961715" w14:textId="77777777" w:rsidR="00F011C0" w:rsidRPr="006E1AF7" w:rsidRDefault="00F011C0" w:rsidP="00F011C0">
            <w:pPr>
              <w:rPr>
                <w:rFonts w:ascii="Arial" w:hAnsi="Arial" w:cs="Arial"/>
                <w:color w:val="000000"/>
                <w:sz w:val="18"/>
                <w:lang w:eastAsia="es-AR"/>
              </w:rPr>
            </w:pPr>
            <w:r w:rsidRPr="006E1AF7">
              <w:rPr>
                <w:rFonts w:ascii="Arial" w:hAnsi="Arial" w:cs="Arial"/>
                <w:color w:val="000000"/>
                <w:sz w:val="18"/>
                <w:lang w:eastAsia="es-AR"/>
              </w:rPr>
              <w:t>Otros</w:t>
            </w: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006EB3" w14:textId="07CF092E" w:rsidR="00F011C0" w:rsidRPr="006E1AF7" w:rsidRDefault="00973A5F" w:rsidP="00F011C0">
            <w:pPr>
              <w:jc w:val="right"/>
              <w:rPr>
                <w:rFonts w:ascii="Arial" w:hAnsi="Arial" w:cs="Arial"/>
                <w:color w:val="000000"/>
                <w:sz w:val="18"/>
                <w:lang w:eastAsia="es-AR"/>
              </w:rPr>
            </w:pPr>
            <w:r w:rsidRPr="006E1AF7">
              <w:rPr>
                <w:rFonts w:ascii="Arial" w:hAnsi="Arial" w:cs="Arial"/>
                <w:color w:val="000000"/>
                <w:sz w:val="18"/>
                <w:lang w:eastAsia="es-AR"/>
              </w:rPr>
              <w:t>9</w:t>
            </w:r>
            <w:r w:rsidR="009825B2" w:rsidRPr="006E1AF7">
              <w:rPr>
                <w:rFonts w:ascii="Arial" w:hAnsi="Arial" w:cs="Arial"/>
                <w:color w:val="000000"/>
                <w:sz w:val="18"/>
                <w:lang w:eastAsia="es-AR"/>
              </w:rPr>
              <w:t>1</w:t>
            </w:r>
            <w:r w:rsidR="0093779D" w:rsidRPr="006E1AF7">
              <w:rPr>
                <w:rFonts w:ascii="Arial" w:hAnsi="Arial" w:cs="Arial"/>
                <w:color w:val="000000"/>
                <w:sz w:val="18"/>
                <w:lang w:eastAsia="es-AR"/>
              </w:rPr>
              <w:t>2</w:t>
            </w:r>
            <w:r w:rsidRPr="006E1AF7">
              <w:rPr>
                <w:rFonts w:ascii="Arial" w:hAnsi="Arial" w:cs="Arial"/>
                <w:color w:val="000000"/>
                <w:sz w:val="18"/>
                <w:lang w:eastAsia="es-AR"/>
              </w:rPr>
              <w:t>.</w:t>
            </w:r>
            <w:r w:rsidR="0093779D" w:rsidRPr="006E1AF7">
              <w:rPr>
                <w:rFonts w:ascii="Arial" w:hAnsi="Arial" w:cs="Arial"/>
                <w:color w:val="000000"/>
                <w:sz w:val="18"/>
                <w:lang w:eastAsia="es-AR"/>
              </w:rPr>
              <w:t>96</w:t>
            </w:r>
            <w:r w:rsidR="00B57203">
              <w:rPr>
                <w:rFonts w:ascii="Arial" w:hAnsi="Arial" w:cs="Arial"/>
                <w:color w:val="000000"/>
                <w:sz w:val="18"/>
                <w:lang w:eastAsia="es-AR"/>
              </w:rPr>
              <w:t>6</w:t>
            </w:r>
          </w:p>
        </w:tc>
        <w:tc>
          <w:tcPr>
            <w:tcW w:w="1674" w:type="dxa"/>
            <w:tcBorders>
              <w:top w:val="single" w:sz="4" w:space="0" w:color="auto"/>
              <w:left w:val="single" w:sz="4" w:space="0" w:color="auto"/>
              <w:bottom w:val="single" w:sz="4" w:space="0" w:color="auto"/>
              <w:right w:val="single" w:sz="4" w:space="0" w:color="auto"/>
            </w:tcBorders>
            <w:vAlign w:val="bottom"/>
          </w:tcPr>
          <w:p w14:paraId="23A39C5A" w14:textId="6F95A8D4" w:rsidR="00F011C0" w:rsidRPr="006E1AF7" w:rsidRDefault="00F011C0" w:rsidP="00F011C0">
            <w:pPr>
              <w:jc w:val="right"/>
              <w:rPr>
                <w:rFonts w:ascii="Arial" w:hAnsi="Arial" w:cs="Arial"/>
                <w:color w:val="000000"/>
                <w:sz w:val="18"/>
                <w:lang w:eastAsia="es-AR"/>
              </w:rPr>
            </w:pPr>
            <w:r w:rsidRPr="006E1AF7">
              <w:rPr>
                <w:rFonts w:ascii="Arial" w:hAnsi="Arial" w:cs="Arial"/>
                <w:color w:val="000000"/>
                <w:sz w:val="18"/>
                <w:lang w:eastAsia="es-AR"/>
              </w:rPr>
              <w:t>490.748</w:t>
            </w:r>
          </w:p>
        </w:tc>
      </w:tr>
      <w:tr w:rsidR="00F011C0" w:rsidRPr="00701F32" w14:paraId="7D98160D" w14:textId="77777777" w:rsidTr="00B57E77">
        <w:trPr>
          <w:trHeight w:val="268"/>
        </w:trPr>
        <w:tc>
          <w:tcPr>
            <w:tcW w:w="5304" w:type="dxa"/>
            <w:shd w:val="clear" w:color="auto" w:fill="auto"/>
            <w:noWrap/>
            <w:vAlign w:val="bottom"/>
            <w:hideMark/>
          </w:tcPr>
          <w:p w14:paraId="004156B2" w14:textId="77777777" w:rsidR="00F011C0" w:rsidRPr="006E1AF7" w:rsidRDefault="00F011C0" w:rsidP="00F011C0">
            <w:pPr>
              <w:rPr>
                <w:rFonts w:ascii="Arial" w:hAnsi="Arial" w:cs="Arial"/>
                <w:b/>
                <w:color w:val="000000"/>
                <w:sz w:val="18"/>
                <w:lang w:eastAsia="es-AR"/>
              </w:rPr>
            </w:pPr>
            <w:r w:rsidRPr="006E1AF7">
              <w:rPr>
                <w:rFonts w:ascii="Arial" w:hAnsi="Arial" w:cs="Arial"/>
                <w:b/>
                <w:color w:val="000000"/>
                <w:sz w:val="18"/>
                <w:lang w:eastAsia="es-AR"/>
              </w:rPr>
              <w:t>Total</w:t>
            </w:r>
          </w:p>
        </w:tc>
        <w:tc>
          <w:tcPr>
            <w:tcW w:w="1674" w:type="dxa"/>
            <w:shd w:val="clear" w:color="auto" w:fill="auto"/>
            <w:noWrap/>
            <w:vAlign w:val="center"/>
          </w:tcPr>
          <w:p w14:paraId="65A7984B" w14:textId="0B123654" w:rsidR="00F011C0" w:rsidRPr="006E1AF7" w:rsidRDefault="00973A5F" w:rsidP="00F011C0">
            <w:pPr>
              <w:jc w:val="right"/>
              <w:rPr>
                <w:rFonts w:ascii="Arial" w:hAnsi="Arial" w:cs="Arial"/>
                <w:b/>
                <w:color w:val="000000"/>
                <w:sz w:val="18"/>
                <w:lang w:eastAsia="es-AR"/>
              </w:rPr>
            </w:pPr>
            <w:r w:rsidRPr="006E1AF7">
              <w:rPr>
                <w:rFonts w:ascii="Arial" w:hAnsi="Arial" w:cs="Arial"/>
                <w:b/>
                <w:color w:val="000000"/>
                <w:sz w:val="18"/>
                <w:lang w:eastAsia="es-AR"/>
              </w:rPr>
              <w:t>4.5</w:t>
            </w:r>
            <w:r w:rsidR="00B57203">
              <w:rPr>
                <w:rFonts w:ascii="Arial" w:hAnsi="Arial" w:cs="Arial"/>
                <w:b/>
                <w:color w:val="000000"/>
                <w:sz w:val="18"/>
                <w:lang w:eastAsia="es-AR"/>
              </w:rPr>
              <w:t>80</w:t>
            </w:r>
            <w:r w:rsidRPr="006E1AF7">
              <w:rPr>
                <w:rFonts w:ascii="Arial" w:hAnsi="Arial" w:cs="Arial"/>
                <w:b/>
                <w:color w:val="000000"/>
                <w:sz w:val="18"/>
                <w:lang w:eastAsia="es-AR"/>
              </w:rPr>
              <w:t>.</w:t>
            </w:r>
            <w:r w:rsidR="00B57203">
              <w:rPr>
                <w:rFonts w:ascii="Arial" w:hAnsi="Arial" w:cs="Arial"/>
                <w:b/>
                <w:color w:val="000000"/>
                <w:sz w:val="18"/>
                <w:lang w:eastAsia="es-AR"/>
              </w:rPr>
              <w:t>612</w:t>
            </w:r>
          </w:p>
        </w:tc>
        <w:tc>
          <w:tcPr>
            <w:tcW w:w="1674" w:type="dxa"/>
            <w:vAlign w:val="center"/>
          </w:tcPr>
          <w:p w14:paraId="698A66D6" w14:textId="0E652E72" w:rsidR="00F011C0" w:rsidRPr="006E1AF7" w:rsidRDefault="00F011C0" w:rsidP="00F011C0">
            <w:pPr>
              <w:jc w:val="right"/>
              <w:rPr>
                <w:rFonts w:ascii="Arial" w:hAnsi="Arial" w:cs="Arial"/>
                <w:b/>
                <w:color w:val="000000"/>
                <w:sz w:val="18"/>
                <w:lang w:eastAsia="es-AR"/>
              </w:rPr>
            </w:pPr>
            <w:r w:rsidRPr="006E1AF7">
              <w:rPr>
                <w:rFonts w:ascii="Arial" w:hAnsi="Arial" w:cs="Arial"/>
                <w:b/>
                <w:color w:val="000000"/>
                <w:sz w:val="18"/>
                <w:lang w:eastAsia="es-AR"/>
              </w:rPr>
              <w:t>2.979.066</w:t>
            </w:r>
          </w:p>
        </w:tc>
      </w:tr>
    </w:tbl>
    <w:p w14:paraId="4E92E9A8" w14:textId="77777777" w:rsidR="007D2DED" w:rsidRPr="00701F32" w:rsidRDefault="007D2DED" w:rsidP="007D2DED">
      <w:pPr>
        <w:rPr>
          <w:rFonts w:ascii="Arial" w:hAnsi="Arial" w:cs="Arial"/>
          <w:bCs/>
          <w:color w:val="000000"/>
          <w:sz w:val="20"/>
          <w:lang w:eastAsia="es-AR"/>
        </w:rPr>
      </w:pPr>
    </w:p>
    <w:p w14:paraId="751AB276" w14:textId="5F8D19D2" w:rsidR="007D2DED" w:rsidRPr="00701F32" w:rsidRDefault="00FE2245" w:rsidP="007D2DED">
      <w:pPr>
        <w:rPr>
          <w:rFonts w:ascii="Arial" w:hAnsi="Arial" w:cs="Arial"/>
          <w:bCs/>
          <w:color w:val="000000"/>
          <w:sz w:val="20"/>
          <w:lang w:eastAsia="es-AR"/>
        </w:rPr>
      </w:pPr>
      <w:r>
        <w:rPr>
          <w:rFonts w:ascii="Arial" w:hAnsi="Arial" w:cs="Arial"/>
          <w:bCs/>
          <w:color w:val="000000"/>
          <w:sz w:val="20"/>
          <w:lang w:eastAsia="es-AR"/>
        </w:rPr>
        <w:t>6</w:t>
      </w:r>
      <w:r w:rsidR="007D2DED">
        <w:rPr>
          <w:rFonts w:ascii="Arial" w:hAnsi="Arial" w:cs="Arial"/>
          <w:bCs/>
          <w:color w:val="000000"/>
          <w:sz w:val="20"/>
          <w:lang w:eastAsia="es-AR"/>
        </w:rPr>
        <w:t>.24</w:t>
      </w:r>
      <w:r w:rsidR="007D2DED" w:rsidRPr="00701F32">
        <w:rPr>
          <w:rFonts w:ascii="Arial" w:hAnsi="Arial" w:cs="Arial"/>
          <w:bCs/>
          <w:color w:val="000000"/>
          <w:sz w:val="20"/>
          <w:lang w:eastAsia="es-AR"/>
        </w:rPr>
        <w:t xml:space="preserve"> Depreciaciones y desvalorizaciones de bienes</w:t>
      </w:r>
    </w:p>
    <w:p w14:paraId="1C3D504E" w14:textId="77777777" w:rsidR="007D2DED" w:rsidRPr="00701F32" w:rsidRDefault="007D2DED" w:rsidP="007D2DED">
      <w:pPr>
        <w:rPr>
          <w:rFonts w:ascii="Arial" w:hAnsi="Arial" w:cs="Arial"/>
          <w:bCs/>
          <w:color w:val="000000"/>
          <w:sz w:val="20"/>
          <w:lang w:eastAsia="es-AR"/>
        </w:rPr>
      </w:pPr>
    </w:p>
    <w:p w14:paraId="773E887D" w14:textId="450DD2A1" w:rsidR="007D2DED" w:rsidRDefault="007D2DED" w:rsidP="007D2DED">
      <w:pPr>
        <w:jc w:val="both"/>
        <w:rPr>
          <w:rFonts w:ascii="Arial" w:eastAsiaTheme="minorHAnsi" w:hAnsi="Arial" w:cs="Arial"/>
          <w:sz w:val="20"/>
        </w:rPr>
      </w:pPr>
      <w:r w:rsidRPr="00701F32">
        <w:rPr>
          <w:rFonts w:ascii="Arial" w:eastAsiaTheme="minorHAnsi" w:hAnsi="Arial" w:cs="Arial"/>
          <w:sz w:val="20"/>
        </w:rPr>
        <w:t xml:space="preserve">Se detallan a continuación los principales componentes de las depreciaciones y desvalorizaciones de bienes por los </w:t>
      </w:r>
      <w:r>
        <w:rPr>
          <w:rFonts w:ascii="Arial" w:eastAsiaTheme="minorHAnsi" w:hAnsi="Arial" w:cs="Arial"/>
          <w:sz w:val="20"/>
        </w:rPr>
        <w:t>ejercicios finalizados el 31</w:t>
      </w:r>
      <w:r w:rsidRPr="00701F32">
        <w:rPr>
          <w:rFonts w:ascii="Arial" w:eastAsiaTheme="minorHAnsi" w:hAnsi="Arial" w:cs="Arial"/>
          <w:sz w:val="20"/>
        </w:rPr>
        <w:t xml:space="preserve"> de </w:t>
      </w:r>
      <w:r>
        <w:rPr>
          <w:rFonts w:ascii="Arial" w:eastAsiaTheme="minorHAnsi" w:hAnsi="Arial" w:cs="Arial"/>
          <w:sz w:val="20"/>
        </w:rPr>
        <w:t>diciembre</w:t>
      </w:r>
      <w:r w:rsidRPr="00701F32">
        <w:rPr>
          <w:rFonts w:ascii="Arial" w:eastAsiaTheme="minorHAnsi" w:hAnsi="Arial" w:cs="Arial"/>
          <w:sz w:val="20"/>
        </w:rPr>
        <w:t xml:space="preserve"> de </w:t>
      </w:r>
      <w:r w:rsidR="00F011C0">
        <w:rPr>
          <w:rFonts w:ascii="Arial" w:hAnsi="Arial" w:cs="Arial"/>
          <w:bCs/>
          <w:color w:val="000000"/>
          <w:sz w:val="20"/>
          <w:lang w:eastAsia="es-AR"/>
        </w:rPr>
        <w:t>2019 y 2018</w:t>
      </w:r>
      <w:r w:rsidRPr="00701F32">
        <w:rPr>
          <w:rFonts w:ascii="Arial" w:eastAsiaTheme="minorHAnsi" w:hAnsi="Arial" w:cs="Arial"/>
          <w:sz w:val="20"/>
        </w:rPr>
        <w:t>:</w:t>
      </w:r>
    </w:p>
    <w:p w14:paraId="3507208B" w14:textId="41063A06" w:rsidR="007D2DED" w:rsidRDefault="007D2DED" w:rsidP="007D2DED">
      <w:pPr>
        <w:rPr>
          <w:rFonts w:ascii="Arial" w:hAnsi="Arial" w:cs="Arial"/>
          <w:sz w:val="20"/>
        </w:rPr>
      </w:pPr>
    </w:p>
    <w:p w14:paraId="26ECD95D" w14:textId="77777777" w:rsidR="00B2136F" w:rsidRPr="00701F32" w:rsidRDefault="00B2136F" w:rsidP="007D2DED">
      <w:pPr>
        <w:rPr>
          <w:rFonts w:ascii="Arial" w:hAnsi="Arial" w:cs="Arial"/>
          <w:sz w:val="20"/>
        </w:rPr>
      </w:pPr>
    </w:p>
    <w:tbl>
      <w:tblPr>
        <w:tblStyle w:val="Tablaconcuadrcula"/>
        <w:tblW w:w="8593" w:type="dxa"/>
        <w:tblInd w:w="108" w:type="dxa"/>
        <w:tblLook w:val="04A0" w:firstRow="1" w:lastRow="0" w:firstColumn="1" w:lastColumn="0" w:noHBand="0" w:noVBand="1"/>
      </w:tblPr>
      <w:tblGrid>
        <w:gridCol w:w="5267"/>
        <w:gridCol w:w="1524"/>
        <w:gridCol w:w="1802"/>
      </w:tblGrid>
      <w:tr w:rsidR="00DF0784" w:rsidRPr="00701F32" w14:paraId="3B786EE4" w14:textId="77777777" w:rsidTr="00B57E77">
        <w:trPr>
          <w:trHeight w:val="252"/>
        </w:trPr>
        <w:tc>
          <w:tcPr>
            <w:tcW w:w="5267" w:type="dxa"/>
          </w:tcPr>
          <w:p w14:paraId="6D783528" w14:textId="77777777" w:rsidR="00DF0784" w:rsidRPr="006E1AF7" w:rsidRDefault="00DF0784" w:rsidP="00DF0784">
            <w:pPr>
              <w:jc w:val="center"/>
              <w:rPr>
                <w:rFonts w:ascii="Arial" w:hAnsi="Arial" w:cs="Arial"/>
                <w:sz w:val="18"/>
              </w:rPr>
            </w:pPr>
          </w:p>
        </w:tc>
        <w:tc>
          <w:tcPr>
            <w:tcW w:w="1524" w:type="dxa"/>
            <w:vAlign w:val="bottom"/>
          </w:tcPr>
          <w:p w14:paraId="379C365E" w14:textId="0207D7F7" w:rsidR="00DF0784" w:rsidRPr="006E1AF7" w:rsidRDefault="00DF0784" w:rsidP="00DF0784">
            <w:pPr>
              <w:jc w:val="center"/>
              <w:rPr>
                <w:rFonts w:ascii="Arial" w:hAnsi="Arial" w:cs="Arial"/>
                <w:b/>
                <w:sz w:val="18"/>
              </w:rPr>
            </w:pPr>
            <w:r w:rsidRPr="006E1AF7">
              <w:rPr>
                <w:rFonts w:ascii="Arial" w:hAnsi="Arial" w:cs="Arial"/>
                <w:b/>
                <w:color w:val="000000"/>
                <w:sz w:val="18"/>
                <w:lang w:eastAsia="es-AR"/>
              </w:rPr>
              <w:t>31/12/2019</w:t>
            </w:r>
          </w:p>
        </w:tc>
        <w:tc>
          <w:tcPr>
            <w:tcW w:w="1802" w:type="dxa"/>
            <w:vAlign w:val="bottom"/>
          </w:tcPr>
          <w:p w14:paraId="7EDE9148" w14:textId="29985CC4" w:rsidR="00DF0784" w:rsidRPr="006E1AF7" w:rsidRDefault="00DF0784" w:rsidP="00DF0784">
            <w:pPr>
              <w:jc w:val="center"/>
              <w:rPr>
                <w:rFonts w:ascii="Arial" w:hAnsi="Arial" w:cs="Arial"/>
                <w:b/>
                <w:sz w:val="18"/>
              </w:rPr>
            </w:pPr>
            <w:r w:rsidRPr="006E1AF7">
              <w:rPr>
                <w:rFonts w:ascii="Arial" w:hAnsi="Arial" w:cs="Arial"/>
                <w:b/>
                <w:color w:val="000000"/>
                <w:sz w:val="18"/>
                <w:lang w:eastAsia="es-AR"/>
              </w:rPr>
              <w:t>31/12/2018</w:t>
            </w:r>
          </w:p>
        </w:tc>
      </w:tr>
      <w:tr w:rsidR="00F011C0" w:rsidRPr="00701F32" w14:paraId="78CD5483" w14:textId="77777777" w:rsidTr="00B57E77">
        <w:trPr>
          <w:trHeight w:val="252"/>
        </w:trPr>
        <w:tc>
          <w:tcPr>
            <w:tcW w:w="5267" w:type="dxa"/>
          </w:tcPr>
          <w:p w14:paraId="164304DC" w14:textId="77777777" w:rsidR="00F011C0" w:rsidRPr="006E1AF7" w:rsidRDefault="00F011C0" w:rsidP="00F011C0">
            <w:pPr>
              <w:rPr>
                <w:rFonts w:ascii="Arial" w:hAnsi="Arial" w:cs="Arial"/>
                <w:sz w:val="18"/>
              </w:rPr>
            </w:pPr>
            <w:r w:rsidRPr="006E1AF7">
              <w:rPr>
                <w:rFonts w:ascii="Arial" w:hAnsi="Arial" w:cs="Arial"/>
                <w:sz w:val="18"/>
              </w:rPr>
              <w:t xml:space="preserve">Depreciación de bienes de uso </w:t>
            </w:r>
            <w:r w:rsidRPr="006E1AF7">
              <w:rPr>
                <w:rFonts w:ascii="Arial" w:hAnsi="Arial" w:cs="Arial"/>
                <w:b/>
                <w:sz w:val="18"/>
              </w:rPr>
              <w:t>(Anexo F)</w:t>
            </w:r>
          </w:p>
        </w:tc>
        <w:tc>
          <w:tcPr>
            <w:tcW w:w="1524" w:type="dxa"/>
            <w:vAlign w:val="bottom"/>
          </w:tcPr>
          <w:p w14:paraId="241E3235" w14:textId="29E99E44" w:rsidR="00F011C0" w:rsidRPr="006E1AF7" w:rsidRDefault="00A21614" w:rsidP="00F011C0">
            <w:pPr>
              <w:jc w:val="right"/>
              <w:rPr>
                <w:rFonts w:ascii="Arial" w:hAnsi="Arial" w:cs="Arial"/>
                <w:sz w:val="18"/>
                <w:lang w:val="es-ES_tradnl"/>
              </w:rPr>
            </w:pPr>
            <w:r w:rsidRPr="006E1AF7">
              <w:rPr>
                <w:rFonts w:ascii="Arial" w:hAnsi="Arial" w:cs="Arial"/>
                <w:sz w:val="18"/>
                <w:lang w:val="es-ES_tradnl"/>
              </w:rPr>
              <w:t>168.791</w:t>
            </w:r>
          </w:p>
        </w:tc>
        <w:tc>
          <w:tcPr>
            <w:tcW w:w="1802" w:type="dxa"/>
            <w:vAlign w:val="bottom"/>
          </w:tcPr>
          <w:p w14:paraId="3578DD44" w14:textId="3B246302" w:rsidR="00F011C0" w:rsidRPr="006E1AF7" w:rsidRDefault="00F011C0" w:rsidP="00F011C0">
            <w:pPr>
              <w:jc w:val="right"/>
              <w:rPr>
                <w:rFonts w:ascii="Arial" w:hAnsi="Arial" w:cs="Arial"/>
                <w:sz w:val="18"/>
                <w:lang w:val="es-ES_tradnl"/>
              </w:rPr>
            </w:pPr>
            <w:r w:rsidRPr="006E1AF7">
              <w:rPr>
                <w:rFonts w:ascii="Arial" w:hAnsi="Arial" w:cs="Arial"/>
                <w:sz w:val="18"/>
                <w:lang w:val="es-ES_tradnl"/>
              </w:rPr>
              <w:t>146.320</w:t>
            </w:r>
          </w:p>
        </w:tc>
      </w:tr>
      <w:tr w:rsidR="00F011C0" w:rsidRPr="00701F32" w14:paraId="5FE6A9CF" w14:textId="77777777" w:rsidTr="00B57E77">
        <w:trPr>
          <w:trHeight w:val="252"/>
        </w:trPr>
        <w:tc>
          <w:tcPr>
            <w:tcW w:w="5267" w:type="dxa"/>
          </w:tcPr>
          <w:p w14:paraId="78302B7C" w14:textId="77777777" w:rsidR="00F011C0" w:rsidRPr="006E1AF7" w:rsidRDefault="00F011C0" w:rsidP="00F011C0">
            <w:pPr>
              <w:rPr>
                <w:rFonts w:ascii="Arial" w:hAnsi="Arial" w:cs="Arial"/>
                <w:sz w:val="18"/>
              </w:rPr>
            </w:pPr>
            <w:r w:rsidRPr="006E1AF7">
              <w:rPr>
                <w:rFonts w:ascii="Arial" w:hAnsi="Arial" w:cs="Arial"/>
                <w:sz w:val="18"/>
              </w:rPr>
              <w:t>Depreciación de bienes diversos</w:t>
            </w:r>
          </w:p>
        </w:tc>
        <w:tc>
          <w:tcPr>
            <w:tcW w:w="1524" w:type="dxa"/>
            <w:vAlign w:val="bottom"/>
          </w:tcPr>
          <w:p w14:paraId="6B0124A9" w14:textId="4243CCB9" w:rsidR="00F011C0" w:rsidRPr="006E1AF7" w:rsidRDefault="00220D35" w:rsidP="00F011C0">
            <w:pPr>
              <w:jc w:val="right"/>
              <w:rPr>
                <w:rFonts w:ascii="Arial" w:hAnsi="Arial" w:cs="Arial"/>
                <w:sz w:val="18"/>
                <w:lang w:val="es-ES_tradnl"/>
              </w:rPr>
            </w:pPr>
            <w:r w:rsidRPr="006E1AF7">
              <w:rPr>
                <w:rFonts w:ascii="Arial" w:hAnsi="Arial" w:cs="Arial"/>
                <w:sz w:val="18"/>
                <w:lang w:val="es-ES_tradnl"/>
              </w:rPr>
              <w:t>80.657</w:t>
            </w:r>
          </w:p>
        </w:tc>
        <w:tc>
          <w:tcPr>
            <w:tcW w:w="1802" w:type="dxa"/>
            <w:vAlign w:val="bottom"/>
          </w:tcPr>
          <w:p w14:paraId="25E867E6" w14:textId="0AF423D6" w:rsidR="00F011C0" w:rsidRPr="006E1AF7" w:rsidRDefault="00F011C0" w:rsidP="00F011C0">
            <w:pPr>
              <w:jc w:val="right"/>
              <w:rPr>
                <w:rFonts w:ascii="Arial" w:hAnsi="Arial" w:cs="Arial"/>
                <w:sz w:val="18"/>
                <w:lang w:val="es-ES_tradnl"/>
              </w:rPr>
            </w:pPr>
            <w:r w:rsidRPr="006E1AF7">
              <w:rPr>
                <w:rFonts w:ascii="Arial" w:hAnsi="Arial" w:cs="Arial"/>
                <w:sz w:val="18"/>
                <w:lang w:val="es-ES_tradnl"/>
              </w:rPr>
              <w:t>62.078</w:t>
            </w:r>
          </w:p>
        </w:tc>
      </w:tr>
      <w:tr w:rsidR="00F011C0" w:rsidRPr="00701F32" w14:paraId="0CD01CA6" w14:textId="77777777" w:rsidTr="00B57E77">
        <w:trPr>
          <w:trHeight w:val="252"/>
        </w:trPr>
        <w:tc>
          <w:tcPr>
            <w:tcW w:w="5267" w:type="dxa"/>
          </w:tcPr>
          <w:p w14:paraId="2F0D6070" w14:textId="77777777" w:rsidR="00F011C0" w:rsidRPr="006E1AF7" w:rsidRDefault="00F011C0" w:rsidP="00F011C0">
            <w:pPr>
              <w:rPr>
                <w:rFonts w:ascii="Arial" w:hAnsi="Arial" w:cs="Arial"/>
                <w:sz w:val="18"/>
              </w:rPr>
            </w:pPr>
            <w:r w:rsidRPr="006E1AF7">
              <w:rPr>
                <w:rFonts w:ascii="Arial" w:hAnsi="Arial" w:cs="Arial"/>
                <w:sz w:val="18"/>
              </w:rPr>
              <w:t xml:space="preserve">Amortización de bienes intangibles </w:t>
            </w:r>
            <w:r w:rsidRPr="006E1AF7">
              <w:rPr>
                <w:rFonts w:ascii="Arial" w:hAnsi="Arial" w:cs="Arial"/>
                <w:b/>
                <w:sz w:val="18"/>
              </w:rPr>
              <w:t>(Anexo G)</w:t>
            </w:r>
          </w:p>
        </w:tc>
        <w:tc>
          <w:tcPr>
            <w:tcW w:w="1524" w:type="dxa"/>
            <w:vAlign w:val="bottom"/>
          </w:tcPr>
          <w:p w14:paraId="2F39744B" w14:textId="504E8A82" w:rsidR="00F011C0" w:rsidRPr="006E1AF7" w:rsidRDefault="00220D35" w:rsidP="00F011C0">
            <w:pPr>
              <w:jc w:val="right"/>
              <w:rPr>
                <w:rFonts w:ascii="Arial" w:hAnsi="Arial" w:cs="Arial"/>
                <w:sz w:val="18"/>
                <w:lang w:val="es-ES_tradnl"/>
              </w:rPr>
            </w:pPr>
            <w:r w:rsidRPr="006E1AF7">
              <w:rPr>
                <w:rFonts w:ascii="Arial" w:hAnsi="Arial" w:cs="Arial"/>
                <w:sz w:val="18"/>
                <w:lang w:val="es-ES_tradnl"/>
              </w:rPr>
              <w:t>198.897</w:t>
            </w:r>
          </w:p>
        </w:tc>
        <w:tc>
          <w:tcPr>
            <w:tcW w:w="1802" w:type="dxa"/>
            <w:vAlign w:val="bottom"/>
          </w:tcPr>
          <w:p w14:paraId="4A2F1F49" w14:textId="143FC077" w:rsidR="00F011C0" w:rsidRPr="006E1AF7" w:rsidRDefault="00F011C0" w:rsidP="00F011C0">
            <w:pPr>
              <w:jc w:val="right"/>
              <w:rPr>
                <w:rFonts w:ascii="Arial" w:hAnsi="Arial" w:cs="Arial"/>
                <w:sz w:val="18"/>
                <w:lang w:val="es-ES_tradnl"/>
              </w:rPr>
            </w:pPr>
            <w:r w:rsidRPr="006E1AF7">
              <w:rPr>
                <w:rFonts w:ascii="Arial" w:hAnsi="Arial" w:cs="Arial"/>
                <w:sz w:val="18"/>
                <w:lang w:val="es-ES_tradnl"/>
              </w:rPr>
              <w:t>90.273</w:t>
            </w:r>
          </w:p>
        </w:tc>
      </w:tr>
      <w:tr w:rsidR="00F011C0" w:rsidRPr="00701F32" w14:paraId="0D3ADA16" w14:textId="77777777" w:rsidTr="00B57E77">
        <w:trPr>
          <w:trHeight w:val="252"/>
        </w:trPr>
        <w:tc>
          <w:tcPr>
            <w:tcW w:w="5267" w:type="dxa"/>
          </w:tcPr>
          <w:p w14:paraId="26E7B9B7" w14:textId="0AA4899D" w:rsidR="00F011C0" w:rsidRPr="006E1AF7" w:rsidRDefault="00C572E8" w:rsidP="00F011C0">
            <w:pPr>
              <w:rPr>
                <w:rFonts w:ascii="Arial" w:hAnsi="Arial" w:cs="Arial"/>
                <w:sz w:val="18"/>
              </w:rPr>
            </w:pPr>
            <w:r>
              <w:rPr>
                <w:rFonts w:ascii="Arial" w:hAnsi="Arial" w:cs="Arial"/>
                <w:sz w:val="18"/>
              </w:rPr>
              <w:t>Amortización de</w:t>
            </w:r>
            <w:r w:rsidRPr="006E1AF7">
              <w:rPr>
                <w:rFonts w:ascii="Arial" w:hAnsi="Arial" w:cs="Arial"/>
                <w:sz w:val="18"/>
              </w:rPr>
              <w:t xml:space="preserve"> </w:t>
            </w:r>
            <w:r w:rsidR="00220D35" w:rsidRPr="006E1AF7">
              <w:rPr>
                <w:rFonts w:ascii="Arial" w:hAnsi="Arial" w:cs="Arial"/>
                <w:sz w:val="18"/>
              </w:rPr>
              <w:t>activo por derecho de uso</w:t>
            </w:r>
            <w:r w:rsidR="00E4088D" w:rsidRPr="006E1AF7">
              <w:rPr>
                <w:rFonts w:ascii="Arial" w:hAnsi="Arial" w:cs="Arial"/>
                <w:sz w:val="18"/>
              </w:rPr>
              <w:t xml:space="preserve"> </w:t>
            </w:r>
            <w:r w:rsidR="00E4088D" w:rsidRPr="006E1AF7">
              <w:rPr>
                <w:rFonts w:ascii="Arial" w:hAnsi="Arial" w:cs="Arial"/>
                <w:b/>
                <w:sz w:val="18"/>
              </w:rPr>
              <w:t>(Anexo F)</w:t>
            </w:r>
          </w:p>
        </w:tc>
        <w:tc>
          <w:tcPr>
            <w:tcW w:w="1524" w:type="dxa"/>
            <w:vAlign w:val="bottom"/>
          </w:tcPr>
          <w:p w14:paraId="22CC57CE" w14:textId="54BAFA33" w:rsidR="00F011C0" w:rsidRPr="006E1AF7" w:rsidRDefault="00220D35" w:rsidP="00F011C0">
            <w:pPr>
              <w:jc w:val="right"/>
              <w:rPr>
                <w:rFonts w:ascii="Arial" w:hAnsi="Arial" w:cs="Arial"/>
                <w:sz w:val="18"/>
              </w:rPr>
            </w:pPr>
            <w:r w:rsidRPr="006E1AF7">
              <w:rPr>
                <w:rFonts w:ascii="Arial" w:hAnsi="Arial" w:cs="Arial"/>
                <w:sz w:val="18"/>
              </w:rPr>
              <w:t>36</w:t>
            </w:r>
            <w:r w:rsidR="001209B5" w:rsidRPr="006E1AF7">
              <w:rPr>
                <w:rFonts w:ascii="Arial" w:hAnsi="Arial" w:cs="Arial"/>
                <w:sz w:val="18"/>
              </w:rPr>
              <w:t>8.301</w:t>
            </w:r>
          </w:p>
        </w:tc>
        <w:tc>
          <w:tcPr>
            <w:tcW w:w="1802" w:type="dxa"/>
            <w:vAlign w:val="bottom"/>
          </w:tcPr>
          <w:p w14:paraId="145147C4" w14:textId="38422B21" w:rsidR="00F011C0" w:rsidRPr="006E1AF7" w:rsidRDefault="00F011C0" w:rsidP="00F011C0">
            <w:pPr>
              <w:jc w:val="right"/>
              <w:rPr>
                <w:rFonts w:ascii="Arial" w:hAnsi="Arial" w:cs="Arial"/>
                <w:sz w:val="18"/>
                <w:lang w:val="es-ES_tradnl"/>
              </w:rPr>
            </w:pPr>
            <w:r w:rsidRPr="006E1AF7">
              <w:rPr>
                <w:rFonts w:ascii="Arial" w:hAnsi="Arial" w:cs="Arial"/>
                <w:sz w:val="18"/>
              </w:rPr>
              <w:t>-</w:t>
            </w:r>
          </w:p>
        </w:tc>
      </w:tr>
      <w:tr w:rsidR="00F011C0" w:rsidRPr="00701F32" w14:paraId="3B2BEA0B" w14:textId="77777777" w:rsidTr="00B57E77">
        <w:trPr>
          <w:trHeight w:val="252"/>
        </w:trPr>
        <w:tc>
          <w:tcPr>
            <w:tcW w:w="5267" w:type="dxa"/>
          </w:tcPr>
          <w:p w14:paraId="25CD3418" w14:textId="77777777" w:rsidR="00F011C0" w:rsidRPr="006E1AF7" w:rsidRDefault="00F011C0" w:rsidP="00F011C0">
            <w:pPr>
              <w:rPr>
                <w:rFonts w:ascii="Arial" w:hAnsi="Arial" w:cs="Arial"/>
                <w:b/>
                <w:sz w:val="18"/>
              </w:rPr>
            </w:pPr>
            <w:r w:rsidRPr="006E1AF7">
              <w:rPr>
                <w:rFonts w:ascii="Arial" w:hAnsi="Arial" w:cs="Arial"/>
                <w:b/>
                <w:sz w:val="18"/>
              </w:rPr>
              <w:t>Total</w:t>
            </w:r>
          </w:p>
        </w:tc>
        <w:tc>
          <w:tcPr>
            <w:tcW w:w="1524" w:type="dxa"/>
            <w:vAlign w:val="bottom"/>
          </w:tcPr>
          <w:p w14:paraId="4C5435BD" w14:textId="241D4D85" w:rsidR="00F011C0" w:rsidRPr="006E1AF7" w:rsidRDefault="00220D35" w:rsidP="00F011C0">
            <w:pPr>
              <w:jc w:val="right"/>
              <w:rPr>
                <w:rFonts w:ascii="Arial" w:hAnsi="Arial" w:cs="Arial"/>
                <w:b/>
                <w:sz w:val="18"/>
                <w:lang w:val="es-ES_tradnl"/>
              </w:rPr>
            </w:pPr>
            <w:r w:rsidRPr="006E1AF7">
              <w:rPr>
                <w:rFonts w:ascii="Arial" w:hAnsi="Arial" w:cs="Arial"/>
                <w:b/>
                <w:sz w:val="18"/>
                <w:lang w:val="es-ES_tradnl"/>
              </w:rPr>
              <w:t>81</w:t>
            </w:r>
            <w:r w:rsidR="001209B5" w:rsidRPr="006E1AF7">
              <w:rPr>
                <w:rFonts w:ascii="Arial" w:hAnsi="Arial" w:cs="Arial"/>
                <w:b/>
                <w:sz w:val="18"/>
                <w:lang w:val="es-ES_tradnl"/>
              </w:rPr>
              <w:t>6.646</w:t>
            </w:r>
          </w:p>
        </w:tc>
        <w:tc>
          <w:tcPr>
            <w:tcW w:w="1802" w:type="dxa"/>
            <w:vAlign w:val="bottom"/>
          </w:tcPr>
          <w:p w14:paraId="559E7644" w14:textId="2CC637BA" w:rsidR="00F011C0" w:rsidRPr="006E1AF7" w:rsidRDefault="00F011C0" w:rsidP="00F011C0">
            <w:pPr>
              <w:jc w:val="right"/>
              <w:rPr>
                <w:rFonts w:ascii="Arial" w:hAnsi="Arial" w:cs="Arial"/>
                <w:b/>
                <w:sz w:val="18"/>
                <w:lang w:val="es-ES_tradnl"/>
              </w:rPr>
            </w:pPr>
            <w:r w:rsidRPr="006E1AF7">
              <w:rPr>
                <w:rFonts w:ascii="Arial" w:hAnsi="Arial" w:cs="Arial"/>
                <w:b/>
                <w:sz w:val="18"/>
                <w:lang w:val="es-ES_tradnl"/>
              </w:rPr>
              <w:t>298.671</w:t>
            </w:r>
          </w:p>
        </w:tc>
      </w:tr>
    </w:tbl>
    <w:p w14:paraId="1EBE6B95" w14:textId="77777777" w:rsidR="007D2DED" w:rsidRPr="00701F32" w:rsidRDefault="007D2DED" w:rsidP="007D2DED">
      <w:pPr>
        <w:spacing w:after="160" w:line="259" w:lineRule="auto"/>
        <w:jc w:val="both"/>
        <w:rPr>
          <w:rFonts w:ascii="Arial" w:eastAsia="Calibri" w:hAnsi="Arial" w:cs="Arial"/>
          <w:b/>
          <w:sz w:val="20"/>
        </w:rPr>
      </w:pPr>
    </w:p>
    <w:p w14:paraId="0A3206D4" w14:textId="68331C09" w:rsidR="007D2DED" w:rsidRPr="00701F32" w:rsidRDefault="00FE2245" w:rsidP="007D2DED">
      <w:pPr>
        <w:spacing w:after="160" w:line="259" w:lineRule="auto"/>
        <w:jc w:val="both"/>
        <w:rPr>
          <w:rFonts w:ascii="Arial" w:eastAsia="Calibri" w:hAnsi="Arial" w:cs="Arial"/>
          <w:b/>
          <w:color w:val="FF0000"/>
          <w:sz w:val="20"/>
        </w:rPr>
      </w:pPr>
      <w:r>
        <w:rPr>
          <w:rFonts w:ascii="Arial" w:eastAsia="Calibri" w:hAnsi="Arial" w:cs="Arial"/>
          <w:b/>
          <w:sz w:val="20"/>
        </w:rPr>
        <w:t>7</w:t>
      </w:r>
      <w:r w:rsidR="007D2DED" w:rsidRPr="00701F32">
        <w:rPr>
          <w:rFonts w:ascii="Arial" w:eastAsia="Calibri" w:hAnsi="Arial" w:cs="Arial"/>
          <w:b/>
          <w:sz w:val="20"/>
        </w:rPr>
        <w:t>. UTILIDAD POR ACCION</w:t>
      </w:r>
    </w:p>
    <w:p w14:paraId="3C3CA25F" w14:textId="42DC54D5" w:rsidR="007D2DED" w:rsidRPr="00701F32" w:rsidRDefault="007D2DED" w:rsidP="007D2DED">
      <w:pPr>
        <w:pStyle w:val="Textoindependiente2"/>
        <w:jc w:val="both"/>
        <w:rPr>
          <w:rFonts w:ascii="Arial" w:hAnsi="Arial" w:cs="Arial"/>
          <w:b w:val="0"/>
          <w:sz w:val="20"/>
        </w:rPr>
      </w:pPr>
      <w:r w:rsidRPr="00701F32">
        <w:rPr>
          <w:rFonts w:ascii="Arial" w:hAnsi="Arial" w:cs="Arial"/>
          <w:b w:val="0"/>
          <w:sz w:val="20"/>
        </w:rPr>
        <w:t xml:space="preserve">La utilidad por acción se calcula dividiendo la utilidad atribuible a los accionistas del Banco entre el promedio ponderado de las acciones ordinarias en circulación en el año. Dado que la Entidad no posee </w:t>
      </w:r>
      <w:r w:rsidR="00C1383B">
        <w:rPr>
          <w:rFonts w:ascii="Arial" w:hAnsi="Arial" w:cs="Arial"/>
          <w:b w:val="0"/>
          <w:sz w:val="20"/>
        </w:rPr>
        <w:t>instrumentos con efectos dilutivos</w:t>
      </w:r>
      <w:r w:rsidRPr="00701F32">
        <w:rPr>
          <w:rFonts w:ascii="Arial" w:hAnsi="Arial" w:cs="Arial"/>
          <w:b w:val="0"/>
          <w:sz w:val="20"/>
        </w:rPr>
        <w:t>, la utilidad básica y diluida por acción son iguales.</w:t>
      </w:r>
    </w:p>
    <w:p w14:paraId="2FBBC7D9" w14:textId="77777777" w:rsidR="00EB687D" w:rsidRPr="00701F32" w:rsidRDefault="00EB687D" w:rsidP="007D2DED">
      <w:pPr>
        <w:pStyle w:val="Textoindependiente2"/>
        <w:rPr>
          <w:rFonts w:ascii="Arial" w:hAnsi="Arial" w:cs="Arial"/>
          <w:sz w:val="20"/>
        </w:rPr>
      </w:pPr>
    </w:p>
    <w:tbl>
      <w:tblPr>
        <w:tblW w:w="85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94"/>
        <w:gridCol w:w="1473"/>
        <w:gridCol w:w="1298"/>
      </w:tblGrid>
      <w:tr w:rsidR="00DF0784" w:rsidRPr="00701F32" w14:paraId="21FF1395" w14:textId="77777777" w:rsidTr="00DF0784">
        <w:trPr>
          <w:trHeight w:val="260"/>
        </w:trPr>
        <w:tc>
          <w:tcPr>
            <w:tcW w:w="5794" w:type="dxa"/>
            <w:shd w:val="clear" w:color="auto" w:fill="auto"/>
            <w:noWrap/>
            <w:vAlign w:val="bottom"/>
            <w:hideMark/>
          </w:tcPr>
          <w:p w14:paraId="653F8BD1" w14:textId="77777777" w:rsidR="00DF0784" w:rsidRPr="00701F32" w:rsidRDefault="00DF0784" w:rsidP="00DF0784">
            <w:pPr>
              <w:pStyle w:val="Textoindependiente2"/>
              <w:jc w:val="both"/>
              <w:rPr>
                <w:rFonts w:ascii="Arial" w:hAnsi="Arial" w:cs="Arial"/>
                <w:sz w:val="18"/>
              </w:rPr>
            </w:pPr>
            <w:r w:rsidRPr="00701F32">
              <w:rPr>
                <w:rFonts w:ascii="Arial" w:hAnsi="Arial" w:cs="Arial"/>
                <w:sz w:val="18"/>
              </w:rPr>
              <w:t> </w:t>
            </w:r>
          </w:p>
        </w:tc>
        <w:tc>
          <w:tcPr>
            <w:tcW w:w="1473" w:type="dxa"/>
            <w:shd w:val="clear" w:color="auto" w:fill="auto"/>
            <w:noWrap/>
            <w:vAlign w:val="bottom"/>
            <w:hideMark/>
          </w:tcPr>
          <w:p w14:paraId="51E3B10F" w14:textId="3CA22201" w:rsidR="00DF0784" w:rsidRPr="002E1657" w:rsidRDefault="00DF0784" w:rsidP="00DF0784">
            <w:pPr>
              <w:pStyle w:val="Textoindependiente2"/>
              <w:jc w:val="center"/>
              <w:rPr>
                <w:rFonts w:ascii="Arial" w:hAnsi="Arial" w:cs="Arial"/>
                <w:sz w:val="18"/>
                <w:szCs w:val="18"/>
              </w:rPr>
            </w:pPr>
            <w:r w:rsidRPr="002E1657">
              <w:rPr>
                <w:rFonts w:ascii="Arial" w:hAnsi="Arial" w:cs="Arial"/>
                <w:color w:val="000000"/>
                <w:sz w:val="18"/>
                <w:szCs w:val="18"/>
                <w:lang w:eastAsia="es-AR"/>
              </w:rPr>
              <w:t>31/12/2019</w:t>
            </w:r>
          </w:p>
        </w:tc>
        <w:tc>
          <w:tcPr>
            <w:tcW w:w="1298" w:type="dxa"/>
            <w:vAlign w:val="bottom"/>
          </w:tcPr>
          <w:p w14:paraId="270C6803" w14:textId="091A6FBB" w:rsidR="00DF0784" w:rsidRPr="002E1657" w:rsidDel="004F1871" w:rsidRDefault="00DF0784" w:rsidP="00DF0784">
            <w:pPr>
              <w:pStyle w:val="Textoindependiente2"/>
              <w:jc w:val="center"/>
              <w:rPr>
                <w:rFonts w:ascii="Arial" w:hAnsi="Arial" w:cs="Arial"/>
                <w:sz w:val="18"/>
                <w:szCs w:val="18"/>
              </w:rPr>
            </w:pPr>
            <w:r w:rsidRPr="002E1657">
              <w:rPr>
                <w:rFonts w:ascii="Arial" w:hAnsi="Arial" w:cs="Arial"/>
                <w:color w:val="000000"/>
                <w:sz w:val="18"/>
                <w:szCs w:val="18"/>
                <w:lang w:eastAsia="es-AR"/>
              </w:rPr>
              <w:t>31/12/2018</w:t>
            </w:r>
          </w:p>
        </w:tc>
      </w:tr>
      <w:tr w:rsidR="0006228E" w:rsidRPr="00701F32" w14:paraId="7071025C" w14:textId="77777777" w:rsidTr="00DF0784">
        <w:trPr>
          <w:trHeight w:val="260"/>
        </w:trPr>
        <w:tc>
          <w:tcPr>
            <w:tcW w:w="5794" w:type="dxa"/>
            <w:shd w:val="clear" w:color="auto" w:fill="auto"/>
            <w:noWrap/>
            <w:vAlign w:val="bottom"/>
            <w:hideMark/>
          </w:tcPr>
          <w:p w14:paraId="519F0276" w14:textId="77777777" w:rsidR="0006228E" w:rsidRPr="00701F32" w:rsidRDefault="0006228E" w:rsidP="0006228E">
            <w:pPr>
              <w:pStyle w:val="Textoindependiente2"/>
              <w:jc w:val="both"/>
              <w:rPr>
                <w:rFonts w:ascii="Arial" w:hAnsi="Arial" w:cs="Arial"/>
                <w:b w:val="0"/>
                <w:sz w:val="18"/>
              </w:rPr>
            </w:pPr>
            <w:r w:rsidRPr="00701F32">
              <w:rPr>
                <w:rFonts w:ascii="Arial" w:hAnsi="Arial" w:cs="Arial"/>
                <w:b w:val="0"/>
                <w:sz w:val="18"/>
              </w:rPr>
              <w:t>Utilidad atribuible a los accionistas de la entidad</w:t>
            </w:r>
          </w:p>
        </w:tc>
        <w:tc>
          <w:tcPr>
            <w:tcW w:w="1473" w:type="dxa"/>
            <w:shd w:val="clear" w:color="auto" w:fill="auto"/>
            <w:noWrap/>
            <w:vAlign w:val="bottom"/>
          </w:tcPr>
          <w:p w14:paraId="5C2E3FB5" w14:textId="123A7596" w:rsidR="0006228E" w:rsidRPr="00701F32" w:rsidRDefault="0006228E" w:rsidP="0006228E">
            <w:pPr>
              <w:pStyle w:val="Textoindependiente2"/>
              <w:jc w:val="right"/>
              <w:rPr>
                <w:rFonts w:ascii="Arial" w:hAnsi="Arial" w:cs="Arial"/>
                <w:b w:val="0"/>
                <w:sz w:val="18"/>
              </w:rPr>
            </w:pPr>
            <w:r>
              <w:rPr>
                <w:rFonts w:ascii="Arial" w:hAnsi="Arial" w:cs="Arial"/>
                <w:b w:val="0"/>
                <w:sz w:val="18"/>
              </w:rPr>
              <w:t>3.3</w:t>
            </w:r>
            <w:r w:rsidR="000966C6">
              <w:rPr>
                <w:rFonts w:ascii="Arial" w:hAnsi="Arial" w:cs="Arial"/>
                <w:b w:val="0"/>
                <w:sz w:val="18"/>
              </w:rPr>
              <w:t>20.416</w:t>
            </w:r>
          </w:p>
        </w:tc>
        <w:tc>
          <w:tcPr>
            <w:tcW w:w="1298" w:type="dxa"/>
            <w:vAlign w:val="bottom"/>
          </w:tcPr>
          <w:p w14:paraId="754EF099" w14:textId="2805DC35" w:rsidR="0006228E" w:rsidRPr="00701F32" w:rsidDel="004F1871" w:rsidRDefault="0006228E" w:rsidP="0006228E">
            <w:pPr>
              <w:pStyle w:val="Textoindependiente2"/>
              <w:jc w:val="right"/>
              <w:rPr>
                <w:rFonts w:ascii="Arial" w:hAnsi="Arial" w:cs="Arial"/>
                <w:b w:val="0"/>
                <w:sz w:val="18"/>
              </w:rPr>
            </w:pPr>
            <w:r>
              <w:rPr>
                <w:rFonts w:ascii="Arial" w:hAnsi="Arial" w:cs="Arial"/>
                <w:b w:val="0"/>
                <w:sz w:val="18"/>
              </w:rPr>
              <w:t>1.670.515</w:t>
            </w:r>
          </w:p>
        </w:tc>
      </w:tr>
      <w:tr w:rsidR="0006228E" w:rsidRPr="00701F32" w14:paraId="5CE84FD6" w14:textId="77777777" w:rsidTr="00DF0784">
        <w:trPr>
          <w:trHeight w:val="260"/>
        </w:trPr>
        <w:tc>
          <w:tcPr>
            <w:tcW w:w="5794" w:type="dxa"/>
            <w:shd w:val="clear" w:color="auto" w:fill="auto"/>
            <w:noWrap/>
            <w:vAlign w:val="bottom"/>
            <w:hideMark/>
          </w:tcPr>
          <w:p w14:paraId="3A74691A" w14:textId="77777777" w:rsidR="0006228E" w:rsidRPr="00701F32" w:rsidRDefault="0006228E" w:rsidP="0006228E">
            <w:pPr>
              <w:pStyle w:val="Textoindependiente2"/>
              <w:jc w:val="both"/>
              <w:rPr>
                <w:rFonts w:ascii="Arial" w:hAnsi="Arial" w:cs="Arial"/>
                <w:b w:val="0"/>
                <w:sz w:val="18"/>
              </w:rPr>
            </w:pPr>
            <w:r w:rsidRPr="00701F32">
              <w:rPr>
                <w:rFonts w:ascii="Arial" w:hAnsi="Arial" w:cs="Arial"/>
                <w:b w:val="0"/>
                <w:sz w:val="18"/>
              </w:rPr>
              <w:t>Promedio ponderado de acciones en circulación (miles)</w:t>
            </w:r>
          </w:p>
        </w:tc>
        <w:tc>
          <w:tcPr>
            <w:tcW w:w="1473" w:type="dxa"/>
            <w:shd w:val="clear" w:color="auto" w:fill="auto"/>
            <w:noWrap/>
            <w:vAlign w:val="bottom"/>
          </w:tcPr>
          <w:p w14:paraId="1EF0D0A8" w14:textId="068D22AD" w:rsidR="0006228E" w:rsidRPr="00701F32" w:rsidRDefault="0006228E" w:rsidP="0006228E">
            <w:pPr>
              <w:pStyle w:val="Textoindependiente2"/>
              <w:jc w:val="right"/>
              <w:rPr>
                <w:rFonts w:ascii="Arial" w:hAnsi="Arial" w:cs="Arial"/>
                <w:b w:val="0"/>
                <w:sz w:val="18"/>
              </w:rPr>
            </w:pPr>
            <w:r>
              <w:rPr>
                <w:rFonts w:ascii="Arial" w:hAnsi="Arial" w:cs="Arial"/>
                <w:b w:val="0"/>
                <w:sz w:val="18"/>
              </w:rPr>
              <w:t>818.782</w:t>
            </w:r>
          </w:p>
        </w:tc>
        <w:tc>
          <w:tcPr>
            <w:tcW w:w="1298" w:type="dxa"/>
            <w:vAlign w:val="bottom"/>
          </w:tcPr>
          <w:p w14:paraId="17817814" w14:textId="68958A1E" w:rsidR="0006228E" w:rsidRPr="00701F32" w:rsidDel="004F1871" w:rsidRDefault="0006228E" w:rsidP="0006228E">
            <w:pPr>
              <w:pStyle w:val="Textoindependiente2"/>
              <w:jc w:val="right"/>
              <w:rPr>
                <w:rFonts w:ascii="Arial" w:hAnsi="Arial" w:cs="Arial"/>
                <w:b w:val="0"/>
                <w:sz w:val="18"/>
              </w:rPr>
            </w:pPr>
            <w:r>
              <w:rPr>
                <w:rFonts w:ascii="Arial" w:hAnsi="Arial" w:cs="Arial"/>
                <w:b w:val="0"/>
                <w:sz w:val="18"/>
              </w:rPr>
              <w:t>767.948</w:t>
            </w:r>
          </w:p>
        </w:tc>
      </w:tr>
      <w:tr w:rsidR="0006228E" w:rsidRPr="00701F32" w14:paraId="3984FAE8" w14:textId="77777777" w:rsidTr="00DF0784">
        <w:trPr>
          <w:trHeight w:val="260"/>
        </w:trPr>
        <w:tc>
          <w:tcPr>
            <w:tcW w:w="5794" w:type="dxa"/>
            <w:shd w:val="clear" w:color="auto" w:fill="auto"/>
            <w:noWrap/>
            <w:vAlign w:val="bottom"/>
            <w:hideMark/>
          </w:tcPr>
          <w:p w14:paraId="574BA3E6" w14:textId="77777777" w:rsidR="0006228E" w:rsidRPr="00701F32" w:rsidRDefault="0006228E" w:rsidP="0006228E">
            <w:pPr>
              <w:pStyle w:val="Textoindependiente2"/>
              <w:jc w:val="both"/>
              <w:rPr>
                <w:rFonts w:ascii="Arial" w:hAnsi="Arial" w:cs="Arial"/>
                <w:bCs/>
                <w:sz w:val="18"/>
              </w:rPr>
            </w:pPr>
            <w:r w:rsidRPr="00701F32">
              <w:rPr>
                <w:rFonts w:ascii="Arial" w:hAnsi="Arial" w:cs="Arial"/>
                <w:bCs/>
                <w:sz w:val="18"/>
              </w:rPr>
              <w:t>Utilidad por Acción</w:t>
            </w:r>
          </w:p>
        </w:tc>
        <w:tc>
          <w:tcPr>
            <w:tcW w:w="1473" w:type="dxa"/>
            <w:shd w:val="clear" w:color="auto" w:fill="auto"/>
            <w:noWrap/>
            <w:vAlign w:val="bottom"/>
          </w:tcPr>
          <w:p w14:paraId="0BDBA29F" w14:textId="67BDBB8E" w:rsidR="0006228E" w:rsidRPr="0006228E" w:rsidRDefault="0006228E" w:rsidP="0006228E">
            <w:pPr>
              <w:pStyle w:val="Textoindependiente2"/>
              <w:jc w:val="right"/>
              <w:rPr>
                <w:rFonts w:ascii="Arial" w:hAnsi="Arial" w:cs="Arial"/>
                <w:sz w:val="18"/>
              </w:rPr>
            </w:pPr>
            <w:r w:rsidRPr="0006228E">
              <w:rPr>
                <w:rFonts w:ascii="Arial" w:hAnsi="Arial" w:cs="Arial"/>
                <w:sz w:val="18"/>
              </w:rPr>
              <w:t>4</w:t>
            </w:r>
            <w:r w:rsidR="002E1657">
              <w:rPr>
                <w:rFonts w:ascii="Arial" w:hAnsi="Arial" w:cs="Arial"/>
                <w:sz w:val="18"/>
              </w:rPr>
              <w:t>,0</w:t>
            </w:r>
            <w:r w:rsidR="000966C6">
              <w:rPr>
                <w:rFonts w:ascii="Arial" w:hAnsi="Arial" w:cs="Arial"/>
                <w:sz w:val="18"/>
              </w:rPr>
              <w:t>6</w:t>
            </w:r>
          </w:p>
        </w:tc>
        <w:tc>
          <w:tcPr>
            <w:tcW w:w="1298" w:type="dxa"/>
            <w:vAlign w:val="bottom"/>
          </w:tcPr>
          <w:p w14:paraId="03FA6F1A" w14:textId="6799C50C" w:rsidR="0006228E" w:rsidRPr="00701F32" w:rsidDel="004F1871" w:rsidRDefault="0006228E" w:rsidP="0006228E">
            <w:pPr>
              <w:pStyle w:val="Textoindependiente2"/>
              <w:jc w:val="right"/>
              <w:rPr>
                <w:rFonts w:ascii="Arial" w:hAnsi="Arial" w:cs="Arial"/>
                <w:bCs/>
                <w:sz w:val="18"/>
              </w:rPr>
            </w:pPr>
            <w:r>
              <w:rPr>
                <w:rFonts w:ascii="Arial" w:hAnsi="Arial" w:cs="Arial"/>
                <w:bCs/>
                <w:sz w:val="18"/>
              </w:rPr>
              <w:t>2</w:t>
            </w:r>
            <w:r w:rsidR="002E1657">
              <w:rPr>
                <w:rFonts w:ascii="Arial" w:hAnsi="Arial" w:cs="Arial"/>
                <w:bCs/>
                <w:sz w:val="18"/>
              </w:rPr>
              <w:t>,</w:t>
            </w:r>
            <w:r>
              <w:rPr>
                <w:rFonts w:ascii="Arial" w:hAnsi="Arial" w:cs="Arial"/>
                <w:bCs/>
                <w:sz w:val="18"/>
              </w:rPr>
              <w:t>18</w:t>
            </w:r>
          </w:p>
        </w:tc>
      </w:tr>
    </w:tbl>
    <w:p w14:paraId="3D9A748B" w14:textId="77777777" w:rsidR="007D2DED" w:rsidRPr="00701F32" w:rsidRDefault="007D2DED" w:rsidP="007D2DED">
      <w:pPr>
        <w:spacing w:after="160" w:line="259" w:lineRule="auto"/>
        <w:jc w:val="both"/>
        <w:rPr>
          <w:rFonts w:ascii="Arial" w:eastAsia="Calibri" w:hAnsi="Arial" w:cs="Arial"/>
          <w:b/>
          <w:sz w:val="20"/>
        </w:rPr>
      </w:pPr>
    </w:p>
    <w:p w14:paraId="56B6BA63" w14:textId="7D952471" w:rsidR="00FE2245" w:rsidRPr="00701F32" w:rsidRDefault="00FE2245" w:rsidP="00FE2245">
      <w:pPr>
        <w:spacing w:after="160" w:line="259" w:lineRule="auto"/>
        <w:jc w:val="both"/>
        <w:rPr>
          <w:rFonts w:ascii="Arial" w:eastAsia="Calibri" w:hAnsi="Arial" w:cs="Arial"/>
          <w:b/>
          <w:sz w:val="20"/>
        </w:rPr>
      </w:pPr>
      <w:r>
        <w:rPr>
          <w:rFonts w:ascii="Arial" w:eastAsia="Calibri" w:hAnsi="Arial" w:cs="Arial"/>
          <w:b/>
          <w:sz w:val="20"/>
        </w:rPr>
        <w:t>8</w:t>
      </w:r>
      <w:r w:rsidRPr="00701F32">
        <w:rPr>
          <w:rFonts w:ascii="Arial" w:eastAsia="Calibri" w:hAnsi="Arial" w:cs="Arial"/>
          <w:b/>
          <w:sz w:val="20"/>
        </w:rPr>
        <w:t>. PROPIEDAD, PLANTA Y EQUIPOS Y PROPIEDADES DE INVERSION</w:t>
      </w:r>
    </w:p>
    <w:p w14:paraId="3B1954FC" w14:textId="5FA61106" w:rsidR="00FE2245" w:rsidRPr="00701F32" w:rsidRDefault="00FE2245" w:rsidP="00FE2245">
      <w:pPr>
        <w:spacing w:after="160"/>
        <w:jc w:val="both"/>
        <w:rPr>
          <w:rFonts w:ascii="Arial" w:eastAsia="Calibri" w:hAnsi="Arial" w:cs="Arial"/>
          <w:sz w:val="20"/>
        </w:rPr>
      </w:pPr>
      <w:r w:rsidRPr="00701F32">
        <w:rPr>
          <w:rFonts w:ascii="Arial" w:eastAsia="Calibri" w:hAnsi="Arial" w:cs="Arial"/>
          <w:sz w:val="20"/>
        </w:rPr>
        <w:t xml:space="preserve">Los movimientos en propiedad, planta y equipos y propiedades de inversión para el </w:t>
      </w:r>
      <w:r>
        <w:rPr>
          <w:rFonts w:ascii="Arial" w:eastAsia="Calibri" w:hAnsi="Arial" w:cs="Arial"/>
          <w:sz w:val="20"/>
        </w:rPr>
        <w:t>ejercicio</w:t>
      </w:r>
      <w:r w:rsidRPr="00701F32">
        <w:rPr>
          <w:rFonts w:ascii="Arial" w:eastAsia="Calibri" w:hAnsi="Arial" w:cs="Arial"/>
          <w:sz w:val="20"/>
        </w:rPr>
        <w:t xml:space="preserve"> finalizado el </w:t>
      </w:r>
      <w:r>
        <w:rPr>
          <w:rFonts w:ascii="Arial" w:eastAsia="Calibri" w:hAnsi="Arial" w:cs="Arial"/>
          <w:sz w:val="20"/>
        </w:rPr>
        <w:t>31</w:t>
      </w:r>
      <w:r w:rsidRPr="00701F32">
        <w:rPr>
          <w:rFonts w:ascii="Arial" w:eastAsia="Calibri" w:hAnsi="Arial" w:cs="Arial"/>
          <w:sz w:val="20"/>
        </w:rPr>
        <w:t xml:space="preserve"> de </w:t>
      </w:r>
      <w:r>
        <w:rPr>
          <w:rFonts w:ascii="Arial" w:eastAsia="Calibri" w:hAnsi="Arial" w:cs="Arial"/>
          <w:sz w:val="20"/>
        </w:rPr>
        <w:t>diciembre</w:t>
      </w:r>
      <w:r w:rsidRPr="00701F32">
        <w:rPr>
          <w:rFonts w:ascii="Arial" w:eastAsia="Calibri" w:hAnsi="Arial" w:cs="Arial"/>
          <w:sz w:val="20"/>
        </w:rPr>
        <w:t xml:space="preserve"> de 201</w:t>
      </w:r>
      <w:r>
        <w:rPr>
          <w:rFonts w:ascii="Arial" w:eastAsia="Calibri" w:hAnsi="Arial" w:cs="Arial"/>
          <w:sz w:val="20"/>
        </w:rPr>
        <w:t>9</w:t>
      </w:r>
      <w:r w:rsidRPr="00701F32">
        <w:rPr>
          <w:rFonts w:ascii="Arial" w:eastAsia="Calibri" w:hAnsi="Arial" w:cs="Arial"/>
          <w:sz w:val="20"/>
        </w:rPr>
        <w:t xml:space="preserve"> se detallan en el Anexo F adjunto a estos estados financieros separados.</w:t>
      </w:r>
    </w:p>
    <w:p w14:paraId="08F4D111" w14:textId="6540049B" w:rsidR="00E05192" w:rsidRDefault="00FE2245" w:rsidP="00FE2245">
      <w:pPr>
        <w:spacing w:after="160" w:line="259" w:lineRule="auto"/>
        <w:jc w:val="both"/>
        <w:rPr>
          <w:rFonts w:ascii="Arial" w:eastAsia="Calibri" w:hAnsi="Arial" w:cs="Arial"/>
          <w:sz w:val="20"/>
        </w:rPr>
      </w:pPr>
      <w:r w:rsidRPr="00701F32">
        <w:rPr>
          <w:rFonts w:ascii="Arial" w:eastAsia="Calibri" w:hAnsi="Arial" w:cs="Arial"/>
          <w:sz w:val="20"/>
        </w:rPr>
        <w:t>Los movimientos en propiedad, planta y equipo para el ejercicio finalizado el 31 de diciembre 201</w:t>
      </w:r>
      <w:r w:rsidR="0036152D">
        <w:rPr>
          <w:rFonts w:ascii="Arial" w:eastAsia="Calibri" w:hAnsi="Arial" w:cs="Arial"/>
          <w:sz w:val="20"/>
        </w:rPr>
        <w:t>8</w:t>
      </w:r>
      <w:r w:rsidRPr="00701F32">
        <w:rPr>
          <w:rFonts w:ascii="Arial" w:eastAsia="Calibri" w:hAnsi="Arial" w:cs="Arial"/>
          <w:sz w:val="20"/>
        </w:rPr>
        <w:t xml:space="preserve"> fueron los siguientes</w:t>
      </w:r>
      <w:r>
        <w:rPr>
          <w:rFonts w:ascii="Arial" w:eastAsia="Calibri" w:hAnsi="Arial" w:cs="Arial"/>
          <w:sz w:val="20"/>
        </w:rPr>
        <w:t>:</w:t>
      </w:r>
    </w:p>
    <w:tbl>
      <w:tblPr>
        <w:tblW w:w="9782" w:type="dxa"/>
        <w:tblInd w:w="-356" w:type="dxa"/>
        <w:tblLayout w:type="fixed"/>
        <w:tblCellMar>
          <w:left w:w="70" w:type="dxa"/>
          <w:right w:w="70" w:type="dxa"/>
        </w:tblCellMar>
        <w:tblLook w:val="04A0" w:firstRow="1" w:lastRow="0" w:firstColumn="1" w:lastColumn="0" w:noHBand="0" w:noVBand="1"/>
      </w:tblPr>
      <w:tblGrid>
        <w:gridCol w:w="1135"/>
        <w:gridCol w:w="851"/>
        <w:gridCol w:w="850"/>
        <w:gridCol w:w="992"/>
        <w:gridCol w:w="709"/>
        <w:gridCol w:w="851"/>
        <w:gridCol w:w="992"/>
        <w:gridCol w:w="709"/>
        <w:gridCol w:w="850"/>
        <w:gridCol w:w="992"/>
        <w:gridCol w:w="851"/>
      </w:tblGrid>
      <w:tr w:rsidR="006D6903" w:rsidRPr="009542DE" w14:paraId="2FCCDC05" w14:textId="77777777" w:rsidTr="006E1AF7">
        <w:trPr>
          <w:trHeight w:val="288"/>
        </w:trPr>
        <w:tc>
          <w:tcPr>
            <w:tcW w:w="11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0FFE4D0" w14:textId="77777777"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Concepto</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F9F2BB" w14:textId="77777777"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Valor de origen al inicio del ejercicio</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E1AA74" w14:textId="77777777"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Vida Útil total estimada en años</w:t>
            </w:r>
          </w:p>
        </w:tc>
        <w:tc>
          <w:tcPr>
            <w:tcW w:w="992" w:type="dxa"/>
            <w:tcBorders>
              <w:top w:val="single" w:sz="4" w:space="0" w:color="auto"/>
              <w:left w:val="nil"/>
              <w:bottom w:val="nil"/>
              <w:right w:val="nil"/>
            </w:tcBorders>
            <w:shd w:val="clear" w:color="auto" w:fill="auto"/>
            <w:vAlign w:val="center"/>
            <w:hideMark/>
          </w:tcPr>
          <w:p w14:paraId="5A54F8A9" w14:textId="77777777"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Revaluación</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D4410B" w14:textId="77777777"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Altas</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CFE7B6" w14:textId="77777777"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Bajas</w:t>
            </w:r>
          </w:p>
        </w:tc>
        <w:tc>
          <w:tcPr>
            <w:tcW w:w="3543" w:type="dxa"/>
            <w:gridSpan w:val="4"/>
            <w:tcBorders>
              <w:top w:val="single" w:sz="4" w:space="0" w:color="auto"/>
              <w:left w:val="nil"/>
              <w:bottom w:val="single" w:sz="4" w:space="0" w:color="auto"/>
              <w:right w:val="single" w:sz="4" w:space="0" w:color="auto"/>
            </w:tcBorders>
            <w:shd w:val="clear" w:color="auto" w:fill="auto"/>
            <w:vAlign w:val="center"/>
            <w:hideMark/>
          </w:tcPr>
          <w:p w14:paraId="2FF90B1B" w14:textId="77777777"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Depreciación</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2BEA6C" w14:textId="152D833A"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 xml:space="preserve">Valor residual al cierre del </w:t>
            </w:r>
            <w:r w:rsidR="0036152D">
              <w:rPr>
                <w:rFonts w:ascii="Arial" w:hAnsi="Arial" w:cs="Arial"/>
                <w:b/>
                <w:bCs/>
                <w:color w:val="000000"/>
                <w:sz w:val="14"/>
                <w:szCs w:val="14"/>
                <w:lang w:eastAsia="es-AR"/>
              </w:rPr>
              <w:t>ejercicio</w:t>
            </w:r>
          </w:p>
        </w:tc>
      </w:tr>
      <w:tr w:rsidR="006D6903" w:rsidRPr="009542DE" w14:paraId="19B78ECF" w14:textId="77777777" w:rsidTr="006E1AF7">
        <w:trPr>
          <w:trHeight w:val="288"/>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61217ACA" w14:textId="77777777" w:rsidR="009542DE" w:rsidRPr="009542DE" w:rsidRDefault="009542DE" w:rsidP="009542DE">
            <w:pPr>
              <w:rPr>
                <w:rFonts w:ascii="Arial" w:hAnsi="Arial" w:cs="Arial"/>
                <w:b/>
                <w:bCs/>
                <w:color w:val="000000"/>
                <w:sz w:val="14"/>
                <w:szCs w:val="14"/>
                <w:lang w:eastAsia="es-AR"/>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C7090D7" w14:textId="77777777" w:rsidR="009542DE" w:rsidRPr="009542DE" w:rsidRDefault="009542DE" w:rsidP="009542DE">
            <w:pPr>
              <w:rPr>
                <w:rFonts w:ascii="Arial" w:hAnsi="Arial" w:cs="Arial"/>
                <w:b/>
                <w:bCs/>
                <w:color w:val="000000"/>
                <w:sz w:val="14"/>
                <w:szCs w:val="14"/>
                <w:lang w:eastAsia="es-AR"/>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657172CD" w14:textId="77777777" w:rsidR="009542DE" w:rsidRPr="009542DE" w:rsidRDefault="009542DE" w:rsidP="009542DE">
            <w:pPr>
              <w:rPr>
                <w:rFonts w:ascii="Arial" w:hAnsi="Arial" w:cs="Arial"/>
                <w:b/>
                <w:bCs/>
                <w:color w:val="000000"/>
                <w:sz w:val="14"/>
                <w:szCs w:val="14"/>
                <w:lang w:eastAsia="es-AR"/>
              </w:rPr>
            </w:pPr>
          </w:p>
        </w:tc>
        <w:tc>
          <w:tcPr>
            <w:tcW w:w="992" w:type="dxa"/>
            <w:tcBorders>
              <w:top w:val="nil"/>
              <w:left w:val="nil"/>
              <w:bottom w:val="single" w:sz="4" w:space="0" w:color="auto"/>
              <w:right w:val="single" w:sz="4" w:space="0" w:color="auto"/>
            </w:tcBorders>
            <w:shd w:val="clear" w:color="auto" w:fill="auto"/>
            <w:vAlign w:val="center"/>
            <w:hideMark/>
          </w:tcPr>
          <w:p w14:paraId="4C4E157D" w14:textId="4BFB6477" w:rsidR="009542DE" w:rsidRPr="009542DE" w:rsidRDefault="009542DE" w:rsidP="009542DE">
            <w:pPr>
              <w:jc w:val="center"/>
              <w:rPr>
                <w:rFonts w:ascii="Arial" w:hAnsi="Arial" w:cs="Arial"/>
                <w:b/>
                <w:bCs/>
                <w:color w:val="000000"/>
                <w:sz w:val="14"/>
                <w:szCs w:val="14"/>
                <w:lang w:eastAsia="es-AR"/>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6A9B2F47" w14:textId="77777777" w:rsidR="009542DE" w:rsidRPr="009542DE" w:rsidRDefault="009542DE" w:rsidP="009542DE">
            <w:pPr>
              <w:rPr>
                <w:rFonts w:ascii="Arial" w:hAnsi="Arial" w:cs="Arial"/>
                <w:b/>
                <w:bCs/>
                <w:color w:val="000000"/>
                <w:sz w:val="14"/>
                <w:szCs w:val="14"/>
                <w:lang w:eastAsia="es-AR"/>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E71B2F3" w14:textId="77777777" w:rsidR="009542DE" w:rsidRPr="009542DE" w:rsidRDefault="009542DE" w:rsidP="009542DE">
            <w:pPr>
              <w:rPr>
                <w:rFonts w:ascii="Arial" w:hAnsi="Arial" w:cs="Arial"/>
                <w:b/>
                <w:bCs/>
                <w:color w:val="000000"/>
                <w:sz w:val="14"/>
                <w:szCs w:val="14"/>
                <w:lang w:eastAsia="es-AR"/>
              </w:rPr>
            </w:pPr>
          </w:p>
        </w:tc>
        <w:tc>
          <w:tcPr>
            <w:tcW w:w="992" w:type="dxa"/>
            <w:tcBorders>
              <w:top w:val="nil"/>
              <w:left w:val="nil"/>
              <w:bottom w:val="single" w:sz="4" w:space="0" w:color="auto"/>
              <w:right w:val="single" w:sz="4" w:space="0" w:color="auto"/>
            </w:tcBorders>
            <w:shd w:val="clear" w:color="auto" w:fill="auto"/>
            <w:vAlign w:val="center"/>
            <w:hideMark/>
          </w:tcPr>
          <w:p w14:paraId="4AEAED4B" w14:textId="77777777"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Acumulada</w:t>
            </w:r>
          </w:p>
        </w:tc>
        <w:tc>
          <w:tcPr>
            <w:tcW w:w="709" w:type="dxa"/>
            <w:tcBorders>
              <w:top w:val="nil"/>
              <w:left w:val="nil"/>
              <w:bottom w:val="single" w:sz="4" w:space="0" w:color="auto"/>
              <w:right w:val="single" w:sz="4" w:space="0" w:color="auto"/>
            </w:tcBorders>
            <w:shd w:val="clear" w:color="auto" w:fill="auto"/>
            <w:vAlign w:val="center"/>
            <w:hideMark/>
          </w:tcPr>
          <w:p w14:paraId="319E27FE" w14:textId="77777777"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Baja</w:t>
            </w:r>
          </w:p>
        </w:tc>
        <w:tc>
          <w:tcPr>
            <w:tcW w:w="850" w:type="dxa"/>
            <w:tcBorders>
              <w:top w:val="nil"/>
              <w:left w:val="nil"/>
              <w:bottom w:val="single" w:sz="4" w:space="0" w:color="auto"/>
              <w:right w:val="single" w:sz="4" w:space="0" w:color="auto"/>
            </w:tcBorders>
            <w:shd w:val="clear" w:color="auto" w:fill="auto"/>
            <w:vAlign w:val="center"/>
            <w:hideMark/>
          </w:tcPr>
          <w:p w14:paraId="1B711BA2" w14:textId="0E100896"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 xml:space="preserve">Del </w:t>
            </w:r>
            <w:r w:rsidR="0036152D">
              <w:rPr>
                <w:rFonts w:ascii="Arial" w:hAnsi="Arial" w:cs="Arial"/>
                <w:b/>
                <w:bCs/>
                <w:color w:val="000000"/>
                <w:sz w:val="14"/>
                <w:szCs w:val="14"/>
                <w:lang w:eastAsia="es-AR"/>
              </w:rPr>
              <w:t>ejercicio</w:t>
            </w:r>
          </w:p>
        </w:tc>
        <w:tc>
          <w:tcPr>
            <w:tcW w:w="992" w:type="dxa"/>
            <w:tcBorders>
              <w:top w:val="nil"/>
              <w:left w:val="nil"/>
              <w:bottom w:val="single" w:sz="4" w:space="0" w:color="auto"/>
              <w:right w:val="single" w:sz="4" w:space="0" w:color="auto"/>
            </w:tcBorders>
            <w:shd w:val="clear" w:color="auto" w:fill="auto"/>
            <w:vAlign w:val="center"/>
            <w:hideMark/>
          </w:tcPr>
          <w:p w14:paraId="5D3DDFF4" w14:textId="77777777" w:rsidR="009542DE" w:rsidRPr="009542DE" w:rsidRDefault="009542DE" w:rsidP="009542DE">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Al cierre</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9C58622" w14:textId="77777777" w:rsidR="009542DE" w:rsidRPr="009542DE" w:rsidRDefault="009542DE" w:rsidP="009542DE">
            <w:pPr>
              <w:rPr>
                <w:rFonts w:ascii="Arial" w:hAnsi="Arial" w:cs="Arial"/>
                <w:b/>
                <w:bCs/>
                <w:color w:val="000000"/>
                <w:sz w:val="14"/>
                <w:szCs w:val="14"/>
                <w:lang w:eastAsia="es-AR"/>
              </w:rPr>
            </w:pPr>
          </w:p>
        </w:tc>
      </w:tr>
      <w:tr w:rsidR="009542DE" w:rsidRPr="009542DE" w14:paraId="220489B7" w14:textId="77777777" w:rsidTr="00716050">
        <w:trPr>
          <w:trHeight w:val="288"/>
        </w:trPr>
        <w:tc>
          <w:tcPr>
            <w:tcW w:w="9782"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1EE677A" w14:textId="77777777" w:rsidR="009542DE" w:rsidRPr="009542DE" w:rsidRDefault="009542DE"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Medición a costo</w:t>
            </w:r>
          </w:p>
        </w:tc>
      </w:tr>
      <w:tr w:rsidR="006D6903" w:rsidRPr="009542DE" w14:paraId="7AFA3CE0" w14:textId="77777777" w:rsidTr="006E1AF7">
        <w:trPr>
          <w:trHeight w:val="288"/>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323F584" w14:textId="77777777" w:rsidR="009542DE" w:rsidRPr="009542DE" w:rsidRDefault="009542DE" w:rsidP="009542DE">
            <w:pPr>
              <w:rPr>
                <w:rFonts w:ascii="Arial" w:hAnsi="Arial" w:cs="Arial"/>
                <w:color w:val="000000"/>
                <w:sz w:val="14"/>
                <w:szCs w:val="14"/>
                <w:lang w:eastAsia="es-AR"/>
              </w:rPr>
            </w:pPr>
            <w:r w:rsidRPr="009542DE">
              <w:rPr>
                <w:rFonts w:ascii="Arial" w:hAnsi="Arial" w:cs="Arial"/>
                <w:color w:val="000000"/>
                <w:sz w:val="14"/>
                <w:szCs w:val="14"/>
                <w:lang w:eastAsia="es-AR"/>
              </w:rPr>
              <w:t>- Mobiliario e Instalaciones</w:t>
            </w:r>
          </w:p>
        </w:tc>
        <w:tc>
          <w:tcPr>
            <w:tcW w:w="851" w:type="dxa"/>
            <w:tcBorders>
              <w:top w:val="nil"/>
              <w:left w:val="nil"/>
              <w:bottom w:val="single" w:sz="4" w:space="0" w:color="auto"/>
              <w:right w:val="single" w:sz="4" w:space="0" w:color="auto"/>
            </w:tcBorders>
            <w:shd w:val="clear" w:color="auto" w:fill="auto"/>
            <w:noWrap/>
            <w:vAlign w:val="center"/>
            <w:hideMark/>
          </w:tcPr>
          <w:p w14:paraId="358EA018" w14:textId="18262508" w:rsidR="009542DE" w:rsidRPr="009542DE" w:rsidRDefault="009542DE" w:rsidP="009542DE">
            <w:pPr>
              <w:jc w:val="right"/>
              <w:rPr>
                <w:rFonts w:ascii="Arial" w:hAnsi="Arial" w:cs="Arial"/>
                <w:b/>
                <w:bCs/>
                <w:color w:val="000000"/>
                <w:sz w:val="14"/>
                <w:szCs w:val="14"/>
                <w:lang w:eastAsia="es-AR"/>
              </w:rPr>
            </w:pPr>
            <w:r w:rsidRPr="009542DE">
              <w:rPr>
                <w:rFonts w:ascii="Arial" w:hAnsi="Arial" w:cs="Arial"/>
                <w:b/>
                <w:bCs/>
                <w:color w:val="000000"/>
                <w:sz w:val="14"/>
                <w:szCs w:val="14"/>
                <w:lang w:eastAsia="es-AR"/>
              </w:rPr>
              <w:t>1</w:t>
            </w:r>
            <w:r w:rsidR="00E05192">
              <w:rPr>
                <w:rFonts w:ascii="Arial" w:hAnsi="Arial" w:cs="Arial"/>
                <w:b/>
                <w:bCs/>
                <w:color w:val="000000"/>
                <w:sz w:val="14"/>
                <w:szCs w:val="14"/>
                <w:lang w:eastAsia="es-AR"/>
              </w:rPr>
              <w:t>01.697</w:t>
            </w:r>
            <w:r w:rsidRPr="009542DE">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BA09C13" w14:textId="77777777" w:rsidR="009542DE" w:rsidRPr="009542DE" w:rsidRDefault="009542DE" w:rsidP="009542DE">
            <w:pPr>
              <w:jc w:val="center"/>
              <w:rPr>
                <w:rFonts w:ascii="Arial" w:hAnsi="Arial" w:cs="Arial"/>
                <w:color w:val="000000"/>
                <w:sz w:val="14"/>
                <w:szCs w:val="14"/>
                <w:lang w:eastAsia="es-AR"/>
              </w:rPr>
            </w:pPr>
            <w:r w:rsidRPr="009542DE">
              <w:rPr>
                <w:rFonts w:ascii="Arial" w:hAnsi="Arial" w:cs="Arial"/>
                <w:color w:val="000000"/>
                <w:sz w:val="14"/>
                <w:szCs w:val="14"/>
                <w:lang w:eastAsia="es-AR"/>
              </w:rPr>
              <w:t xml:space="preserve">10 </w:t>
            </w:r>
          </w:p>
        </w:tc>
        <w:tc>
          <w:tcPr>
            <w:tcW w:w="992" w:type="dxa"/>
            <w:tcBorders>
              <w:top w:val="nil"/>
              <w:left w:val="nil"/>
              <w:bottom w:val="single" w:sz="4" w:space="0" w:color="auto"/>
              <w:right w:val="single" w:sz="4" w:space="0" w:color="auto"/>
            </w:tcBorders>
            <w:shd w:val="clear" w:color="auto" w:fill="auto"/>
            <w:noWrap/>
            <w:vAlign w:val="center"/>
            <w:hideMark/>
          </w:tcPr>
          <w:p w14:paraId="1B905933" w14:textId="77777777" w:rsidR="009542DE" w:rsidRPr="009542DE" w:rsidRDefault="009542DE" w:rsidP="009542DE">
            <w:pPr>
              <w:jc w:val="center"/>
              <w:rPr>
                <w:rFonts w:ascii="Arial" w:hAnsi="Arial" w:cs="Arial"/>
                <w:color w:val="000000"/>
                <w:sz w:val="14"/>
                <w:szCs w:val="14"/>
                <w:lang w:eastAsia="es-AR"/>
              </w:rPr>
            </w:pPr>
            <w:r w:rsidRPr="009542DE">
              <w:rPr>
                <w:rFonts w:ascii="Arial" w:hAnsi="Arial" w:cs="Arial"/>
                <w:color w:val="000000"/>
                <w:sz w:val="14"/>
                <w:szCs w:val="14"/>
                <w:lang w:eastAsia="es-AR"/>
              </w:rPr>
              <w:t> </w:t>
            </w:r>
          </w:p>
        </w:tc>
        <w:tc>
          <w:tcPr>
            <w:tcW w:w="709" w:type="dxa"/>
            <w:tcBorders>
              <w:top w:val="nil"/>
              <w:left w:val="nil"/>
              <w:bottom w:val="single" w:sz="4" w:space="0" w:color="auto"/>
              <w:right w:val="single" w:sz="4" w:space="0" w:color="auto"/>
            </w:tcBorders>
            <w:shd w:val="clear" w:color="auto" w:fill="auto"/>
            <w:noWrap/>
            <w:vAlign w:val="center"/>
            <w:hideMark/>
          </w:tcPr>
          <w:p w14:paraId="0BBABA45" w14:textId="0A6762C6" w:rsidR="009542DE" w:rsidRPr="009542DE" w:rsidRDefault="00E05192" w:rsidP="009542DE">
            <w:pPr>
              <w:jc w:val="right"/>
              <w:rPr>
                <w:rFonts w:ascii="Arial" w:hAnsi="Arial" w:cs="Arial"/>
                <w:color w:val="000000"/>
                <w:sz w:val="14"/>
                <w:szCs w:val="14"/>
                <w:lang w:eastAsia="es-AR"/>
              </w:rPr>
            </w:pPr>
            <w:r>
              <w:rPr>
                <w:rFonts w:ascii="Arial" w:hAnsi="Arial" w:cs="Arial"/>
                <w:color w:val="000000"/>
                <w:sz w:val="14"/>
                <w:szCs w:val="14"/>
                <w:lang w:eastAsia="es-AR"/>
              </w:rPr>
              <w:t>20.962</w:t>
            </w:r>
            <w:r w:rsidR="009542DE" w:rsidRPr="009542DE">
              <w:rPr>
                <w:rFonts w:ascii="Arial" w:hAnsi="Arial" w:cs="Arial"/>
                <w:color w:val="000000"/>
                <w:sz w:val="14"/>
                <w:szCs w:val="14"/>
                <w:lang w:eastAsia="es-AR"/>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15889A26" w14:textId="3B45089E"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317</w:t>
            </w:r>
            <w:r w:rsidRPr="009542DE">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348E564F" w14:textId="62686233"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52.705</w:t>
            </w:r>
            <w:r w:rsidRPr="009542DE">
              <w:rPr>
                <w:rFonts w:ascii="Arial" w:hAnsi="Arial" w:cs="Arial"/>
                <w:color w:val="000000"/>
                <w:sz w:val="14"/>
                <w:szCs w:val="14"/>
                <w:lang w:eastAsia="es-AR"/>
              </w:rPr>
              <w:t>)</w:t>
            </w:r>
          </w:p>
        </w:tc>
        <w:tc>
          <w:tcPr>
            <w:tcW w:w="709" w:type="dxa"/>
            <w:tcBorders>
              <w:top w:val="nil"/>
              <w:left w:val="nil"/>
              <w:bottom w:val="single" w:sz="4" w:space="0" w:color="auto"/>
              <w:right w:val="single" w:sz="4" w:space="0" w:color="auto"/>
            </w:tcBorders>
            <w:shd w:val="clear" w:color="auto" w:fill="auto"/>
            <w:noWrap/>
            <w:vAlign w:val="center"/>
            <w:hideMark/>
          </w:tcPr>
          <w:p w14:paraId="5391D882" w14:textId="75822DD5" w:rsidR="009542DE" w:rsidRPr="009542DE" w:rsidRDefault="002E1657" w:rsidP="009542DE">
            <w:pPr>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850" w:type="dxa"/>
            <w:tcBorders>
              <w:top w:val="nil"/>
              <w:left w:val="nil"/>
              <w:bottom w:val="single" w:sz="4" w:space="0" w:color="auto"/>
              <w:right w:val="single" w:sz="4" w:space="0" w:color="auto"/>
            </w:tcBorders>
            <w:shd w:val="clear" w:color="auto" w:fill="auto"/>
            <w:noWrap/>
            <w:vAlign w:val="center"/>
            <w:hideMark/>
          </w:tcPr>
          <w:p w14:paraId="1D2BDBD4" w14:textId="598C1F55"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9.669</w:t>
            </w:r>
            <w:r w:rsidRPr="009542DE">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369D1D5F" w14:textId="6F9AF3CA"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62.374</w:t>
            </w:r>
            <w:r w:rsidRPr="009542DE">
              <w:rPr>
                <w:rFonts w:ascii="Arial" w:hAnsi="Arial" w:cs="Arial"/>
                <w:color w:val="000000"/>
                <w:sz w:val="14"/>
                <w:szCs w:val="14"/>
                <w:lang w:eastAsia="es-AR"/>
              </w:rPr>
              <w:t>)</w:t>
            </w:r>
          </w:p>
        </w:tc>
        <w:tc>
          <w:tcPr>
            <w:tcW w:w="851" w:type="dxa"/>
            <w:tcBorders>
              <w:top w:val="nil"/>
              <w:left w:val="nil"/>
              <w:bottom w:val="single" w:sz="4" w:space="0" w:color="auto"/>
              <w:right w:val="single" w:sz="4" w:space="0" w:color="auto"/>
            </w:tcBorders>
            <w:shd w:val="clear" w:color="auto" w:fill="auto"/>
            <w:noWrap/>
            <w:vAlign w:val="center"/>
            <w:hideMark/>
          </w:tcPr>
          <w:p w14:paraId="447C98AF" w14:textId="26878C83" w:rsidR="009542DE" w:rsidRPr="009542DE" w:rsidRDefault="00E05192" w:rsidP="009542DE">
            <w:pPr>
              <w:jc w:val="right"/>
              <w:rPr>
                <w:rFonts w:ascii="Arial" w:hAnsi="Arial" w:cs="Arial"/>
                <w:b/>
                <w:bCs/>
                <w:color w:val="000000"/>
                <w:sz w:val="14"/>
                <w:szCs w:val="14"/>
                <w:lang w:eastAsia="es-AR"/>
              </w:rPr>
            </w:pPr>
            <w:r>
              <w:rPr>
                <w:rFonts w:ascii="Arial" w:hAnsi="Arial" w:cs="Arial"/>
                <w:b/>
                <w:bCs/>
                <w:color w:val="000000"/>
                <w:sz w:val="14"/>
                <w:szCs w:val="14"/>
                <w:lang w:eastAsia="es-AR"/>
              </w:rPr>
              <w:t>59.968</w:t>
            </w:r>
            <w:r w:rsidR="009542DE" w:rsidRPr="009542DE">
              <w:rPr>
                <w:rFonts w:ascii="Arial" w:hAnsi="Arial" w:cs="Arial"/>
                <w:b/>
                <w:bCs/>
                <w:color w:val="000000"/>
                <w:sz w:val="14"/>
                <w:szCs w:val="14"/>
                <w:lang w:eastAsia="es-AR"/>
              </w:rPr>
              <w:t xml:space="preserve"> </w:t>
            </w:r>
          </w:p>
        </w:tc>
      </w:tr>
      <w:tr w:rsidR="006D6903" w:rsidRPr="009542DE" w14:paraId="3489A7BA" w14:textId="77777777" w:rsidTr="006E1AF7">
        <w:trPr>
          <w:trHeight w:val="288"/>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6CFE4C44" w14:textId="77777777" w:rsidR="009542DE" w:rsidRPr="009542DE" w:rsidRDefault="009542DE" w:rsidP="009542DE">
            <w:pPr>
              <w:rPr>
                <w:rFonts w:ascii="Arial" w:hAnsi="Arial" w:cs="Arial"/>
                <w:color w:val="000000"/>
                <w:sz w:val="14"/>
                <w:szCs w:val="14"/>
                <w:lang w:eastAsia="es-AR"/>
              </w:rPr>
            </w:pPr>
            <w:r w:rsidRPr="009542DE">
              <w:rPr>
                <w:rFonts w:ascii="Arial" w:hAnsi="Arial" w:cs="Arial"/>
                <w:color w:val="000000"/>
                <w:sz w:val="14"/>
                <w:szCs w:val="14"/>
                <w:lang w:eastAsia="es-AR"/>
              </w:rPr>
              <w:t>- Máquinas y equipos</w:t>
            </w:r>
          </w:p>
        </w:tc>
        <w:tc>
          <w:tcPr>
            <w:tcW w:w="851" w:type="dxa"/>
            <w:tcBorders>
              <w:top w:val="nil"/>
              <w:left w:val="nil"/>
              <w:bottom w:val="single" w:sz="4" w:space="0" w:color="auto"/>
              <w:right w:val="single" w:sz="4" w:space="0" w:color="auto"/>
            </w:tcBorders>
            <w:shd w:val="clear" w:color="auto" w:fill="auto"/>
            <w:noWrap/>
            <w:vAlign w:val="center"/>
            <w:hideMark/>
          </w:tcPr>
          <w:p w14:paraId="72C0C64F" w14:textId="39264872" w:rsidR="009542DE" w:rsidRPr="009542DE" w:rsidRDefault="00E05192" w:rsidP="009542DE">
            <w:pPr>
              <w:jc w:val="right"/>
              <w:rPr>
                <w:rFonts w:ascii="Arial" w:hAnsi="Arial" w:cs="Arial"/>
                <w:b/>
                <w:bCs/>
                <w:color w:val="000000"/>
                <w:sz w:val="14"/>
                <w:szCs w:val="14"/>
                <w:lang w:eastAsia="es-AR"/>
              </w:rPr>
            </w:pPr>
            <w:r>
              <w:rPr>
                <w:rFonts w:ascii="Arial" w:hAnsi="Arial" w:cs="Arial"/>
                <w:b/>
                <w:bCs/>
                <w:color w:val="000000"/>
                <w:sz w:val="14"/>
                <w:szCs w:val="14"/>
                <w:lang w:eastAsia="es-AR"/>
              </w:rPr>
              <w:t>492.990</w:t>
            </w:r>
            <w:r w:rsidR="009542DE" w:rsidRPr="009542DE">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884BD68" w14:textId="77777777" w:rsidR="009542DE" w:rsidRPr="009542DE" w:rsidRDefault="009542DE" w:rsidP="009542DE">
            <w:pPr>
              <w:jc w:val="center"/>
              <w:rPr>
                <w:rFonts w:ascii="Arial" w:hAnsi="Arial" w:cs="Arial"/>
                <w:color w:val="000000"/>
                <w:sz w:val="14"/>
                <w:szCs w:val="14"/>
                <w:lang w:eastAsia="es-AR"/>
              </w:rPr>
            </w:pPr>
            <w:r w:rsidRPr="009542DE">
              <w:rPr>
                <w:rFonts w:ascii="Arial" w:hAnsi="Arial" w:cs="Arial"/>
                <w:color w:val="000000"/>
                <w:sz w:val="14"/>
                <w:szCs w:val="14"/>
                <w:lang w:eastAsia="es-AR"/>
              </w:rPr>
              <w:t xml:space="preserve">5 </w:t>
            </w:r>
          </w:p>
        </w:tc>
        <w:tc>
          <w:tcPr>
            <w:tcW w:w="992" w:type="dxa"/>
            <w:tcBorders>
              <w:top w:val="nil"/>
              <w:left w:val="nil"/>
              <w:bottom w:val="single" w:sz="4" w:space="0" w:color="auto"/>
              <w:right w:val="single" w:sz="4" w:space="0" w:color="auto"/>
            </w:tcBorders>
            <w:shd w:val="clear" w:color="auto" w:fill="auto"/>
            <w:noWrap/>
            <w:vAlign w:val="center"/>
            <w:hideMark/>
          </w:tcPr>
          <w:p w14:paraId="47633099" w14:textId="77777777" w:rsidR="009542DE" w:rsidRPr="009542DE" w:rsidRDefault="009542DE" w:rsidP="009542DE">
            <w:pPr>
              <w:jc w:val="center"/>
              <w:rPr>
                <w:rFonts w:ascii="Arial" w:hAnsi="Arial" w:cs="Arial"/>
                <w:color w:val="000000"/>
                <w:sz w:val="14"/>
                <w:szCs w:val="14"/>
                <w:lang w:eastAsia="es-AR"/>
              </w:rPr>
            </w:pPr>
            <w:r w:rsidRPr="009542DE">
              <w:rPr>
                <w:rFonts w:ascii="Arial" w:hAnsi="Arial" w:cs="Arial"/>
                <w:color w:val="000000"/>
                <w:sz w:val="14"/>
                <w:szCs w:val="14"/>
                <w:lang w:eastAsia="es-AR"/>
              </w:rPr>
              <w:t> </w:t>
            </w:r>
          </w:p>
        </w:tc>
        <w:tc>
          <w:tcPr>
            <w:tcW w:w="709" w:type="dxa"/>
            <w:tcBorders>
              <w:top w:val="nil"/>
              <w:left w:val="nil"/>
              <w:bottom w:val="single" w:sz="4" w:space="0" w:color="auto"/>
              <w:right w:val="single" w:sz="4" w:space="0" w:color="auto"/>
            </w:tcBorders>
            <w:shd w:val="clear" w:color="auto" w:fill="auto"/>
            <w:noWrap/>
            <w:vAlign w:val="center"/>
            <w:hideMark/>
          </w:tcPr>
          <w:p w14:paraId="434C340D" w14:textId="0CB60280" w:rsidR="009542DE" w:rsidRPr="009542DE" w:rsidRDefault="00E05192" w:rsidP="009542DE">
            <w:pPr>
              <w:jc w:val="right"/>
              <w:rPr>
                <w:rFonts w:ascii="Arial" w:hAnsi="Arial" w:cs="Arial"/>
                <w:color w:val="000000"/>
                <w:sz w:val="14"/>
                <w:szCs w:val="14"/>
                <w:lang w:eastAsia="es-AR"/>
              </w:rPr>
            </w:pPr>
            <w:r>
              <w:rPr>
                <w:rFonts w:ascii="Arial" w:hAnsi="Arial" w:cs="Arial"/>
                <w:color w:val="000000"/>
                <w:sz w:val="14"/>
                <w:szCs w:val="14"/>
                <w:lang w:eastAsia="es-AR"/>
              </w:rPr>
              <w:t>132.440</w:t>
            </w:r>
            <w:r w:rsidR="009542DE" w:rsidRPr="009542DE">
              <w:rPr>
                <w:rFonts w:ascii="Arial" w:hAnsi="Arial" w:cs="Arial"/>
                <w:color w:val="000000"/>
                <w:sz w:val="14"/>
                <w:szCs w:val="14"/>
                <w:lang w:eastAsia="es-AR"/>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5D75A1B9" w14:textId="3D8AAE1C"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11.162</w:t>
            </w:r>
            <w:r w:rsidRPr="009542DE">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04CA2F98" w14:textId="0C463833"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273.473</w:t>
            </w:r>
            <w:r w:rsidRPr="009542DE">
              <w:rPr>
                <w:rFonts w:ascii="Arial" w:hAnsi="Arial" w:cs="Arial"/>
                <w:color w:val="000000"/>
                <w:sz w:val="14"/>
                <w:szCs w:val="14"/>
                <w:lang w:eastAsia="es-AR"/>
              </w:rPr>
              <w:t>)</w:t>
            </w:r>
          </w:p>
        </w:tc>
        <w:tc>
          <w:tcPr>
            <w:tcW w:w="709" w:type="dxa"/>
            <w:tcBorders>
              <w:top w:val="nil"/>
              <w:left w:val="nil"/>
              <w:bottom w:val="single" w:sz="4" w:space="0" w:color="auto"/>
              <w:right w:val="single" w:sz="4" w:space="0" w:color="auto"/>
            </w:tcBorders>
            <w:shd w:val="clear" w:color="auto" w:fill="auto"/>
            <w:noWrap/>
            <w:vAlign w:val="center"/>
            <w:hideMark/>
          </w:tcPr>
          <w:p w14:paraId="5B909795" w14:textId="7CE6AFB3" w:rsidR="009542DE" w:rsidRPr="009542DE" w:rsidRDefault="00E05192" w:rsidP="009542DE">
            <w:pPr>
              <w:jc w:val="right"/>
              <w:rPr>
                <w:rFonts w:ascii="Arial" w:hAnsi="Arial" w:cs="Arial"/>
                <w:color w:val="000000"/>
                <w:sz w:val="14"/>
                <w:szCs w:val="14"/>
                <w:lang w:eastAsia="es-AR"/>
              </w:rPr>
            </w:pPr>
            <w:r>
              <w:rPr>
                <w:rFonts w:ascii="Arial" w:hAnsi="Arial" w:cs="Arial"/>
                <w:color w:val="000000"/>
                <w:sz w:val="14"/>
                <w:szCs w:val="14"/>
                <w:lang w:eastAsia="es-AR"/>
              </w:rPr>
              <w:t>8.930</w:t>
            </w:r>
            <w:r w:rsidR="009542DE" w:rsidRPr="009542DE">
              <w:rPr>
                <w:rFonts w:ascii="Arial" w:hAnsi="Arial" w:cs="Arial"/>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5142644" w14:textId="38EF688E"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(1</w:t>
            </w:r>
            <w:r w:rsidR="00E05192">
              <w:rPr>
                <w:rFonts w:ascii="Arial" w:hAnsi="Arial" w:cs="Arial"/>
                <w:color w:val="000000"/>
                <w:sz w:val="14"/>
                <w:szCs w:val="14"/>
                <w:lang w:eastAsia="es-AR"/>
              </w:rPr>
              <w:t>12.800</w:t>
            </w:r>
            <w:r w:rsidRPr="009542DE">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010CD134" w14:textId="0FD6F28E"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377.343</w:t>
            </w:r>
            <w:r w:rsidRPr="009542DE">
              <w:rPr>
                <w:rFonts w:ascii="Arial" w:hAnsi="Arial" w:cs="Arial"/>
                <w:color w:val="000000"/>
                <w:sz w:val="14"/>
                <w:szCs w:val="14"/>
                <w:lang w:eastAsia="es-AR"/>
              </w:rPr>
              <w:t>)</w:t>
            </w:r>
          </w:p>
        </w:tc>
        <w:tc>
          <w:tcPr>
            <w:tcW w:w="851" w:type="dxa"/>
            <w:tcBorders>
              <w:top w:val="nil"/>
              <w:left w:val="nil"/>
              <w:bottom w:val="single" w:sz="4" w:space="0" w:color="auto"/>
              <w:right w:val="single" w:sz="4" w:space="0" w:color="auto"/>
            </w:tcBorders>
            <w:shd w:val="clear" w:color="auto" w:fill="auto"/>
            <w:noWrap/>
            <w:vAlign w:val="center"/>
            <w:hideMark/>
          </w:tcPr>
          <w:p w14:paraId="63C26AD7" w14:textId="4423DCD2" w:rsidR="009542DE" w:rsidRPr="009542DE" w:rsidRDefault="009542DE" w:rsidP="009542DE">
            <w:pPr>
              <w:jc w:val="right"/>
              <w:rPr>
                <w:rFonts w:ascii="Arial" w:hAnsi="Arial" w:cs="Arial"/>
                <w:b/>
                <w:bCs/>
                <w:color w:val="000000"/>
                <w:sz w:val="14"/>
                <w:szCs w:val="14"/>
                <w:lang w:eastAsia="es-AR"/>
              </w:rPr>
            </w:pPr>
            <w:r w:rsidRPr="009542DE">
              <w:rPr>
                <w:rFonts w:ascii="Arial" w:hAnsi="Arial" w:cs="Arial"/>
                <w:b/>
                <w:bCs/>
                <w:color w:val="000000"/>
                <w:sz w:val="14"/>
                <w:szCs w:val="14"/>
                <w:lang w:eastAsia="es-AR"/>
              </w:rPr>
              <w:t>2</w:t>
            </w:r>
            <w:r w:rsidR="00E05192">
              <w:rPr>
                <w:rFonts w:ascii="Arial" w:hAnsi="Arial" w:cs="Arial"/>
                <w:b/>
                <w:bCs/>
                <w:color w:val="000000"/>
                <w:sz w:val="14"/>
                <w:szCs w:val="14"/>
                <w:lang w:eastAsia="es-AR"/>
              </w:rPr>
              <w:t>36.925</w:t>
            </w:r>
            <w:r w:rsidRPr="009542DE">
              <w:rPr>
                <w:rFonts w:ascii="Arial" w:hAnsi="Arial" w:cs="Arial"/>
                <w:b/>
                <w:bCs/>
                <w:color w:val="000000"/>
                <w:sz w:val="14"/>
                <w:szCs w:val="14"/>
                <w:lang w:eastAsia="es-AR"/>
              </w:rPr>
              <w:t xml:space="preserve"> </w:t>
            </w:r>
          </w:p>
        </w:tc>
      </w:tr>
      <w:tr w:rsidR="006D6903" w:rsidRPr="009542DE" w14:paraId="4D5955F6" w14:textId="77777777" w:rsidTr="006E1AF7">
        <w:trPr>
          <w:trHeight w:val="288"/>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FF465E9" w14:textId="77777777" w:rsidR="009542DE" w:rsidRPr="009542DE" w:rsidRDefault="009542DE" w:rsidP="009542DE">
            <w:pPr>
              <w:rPr>
                <w:rFonts w:ascii="Arial" w:hAnsi="Arial" w:cs="Arial"/>
                <w:color w:val="000000"/>
                <w:sz w:val="14"/>
                <w:szCs w:val="14"/>
                <w:lang w:eastAsia="es-AR"/>
              </w:rPr>
            </w:pPr>
            <w:r w:rsidRPr="009542DE">
              <w:rPr>
                <w:rFonts w:ascii="Arial" w:hAnsi="Arial" w:cs="Arial"/>
                <w:color w:val="000000"/>
                <w:sz w:val="14"/>
                <w:szCs w:val="14"/>
                <w:lang w:eastAsia="es-AR"/>
              </w:rPr>
              <w:t>- Vehículos</w:t>
            </w:r>
          </w:p>
        </w:tc>
        <w:tc>
          <w:tcPr>
            <w:tcW w:w="851" w:type="dxa"/>
            <w:tcBorders>
              <w:top w:val="nil"/>
              <w:left w:val="nil"/>
              <w:bottom w:val="single" w:sz="4" w:space="0" w:color="auto"/>
              <w:right w:val="single" w:sz="4" w:space="0" w:color="auto"/>
            </w:tcBorders>
            <w:shd w:val="clear" w:color="auto" w:fill="auto"/>
            <w:noWrap/>
            <w:vAlign w:val="center"/>
            <w:hideMark/>
          </w:tcPr>
          <w:p w14:paraId="7DF65F3A" w14:textId="2EDB36B6" w:rsidR="009542DE" w:rsidRPr="009542DE" w:rsidRDefault="00E05192" w:rsidP="009542DE">
            <w:pPr>
              <w:jc w:val="right"/>
              <w:rPr>
                <w:rFonts w:ascii="Arial" w:hAnsi="Arial" w:cs="Arial"/>
                <w:b/>
                <w:bCs/>
                <w:color w:val="000000"/>
                <w:sz w:val="14"/>
                <w:szCs w:val="14"/>
                <w:lang w:eastAsia="es-AR"/>
              </w:rPr>
            </w:pPr>
            <w:r>
              <w:rPr>
                <w:rFonts w:ascii="Arial" w:hAnsi="Arial" w:cs="Arial"/>
                <w:b/>
                <w:bCs/>
                <w:color w:val="000000"/>
                <w:sz w:val="14"/>
                <w:szCs w:val="14"/>
                <w:lang w:eastAsia="es-AR"/>
              </w:rPr>
              <w:t>36.931</w:t>
            </w:r>
            <w:r w:rsidR="009542DE" w:rsidRPr="009542DE">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6FB02E20" w14:textId="77777777" w:rsidR="009542DE" w:rsidRPr="009542DE" w:rsidRDefault="009542DE" w:rsidP="009542DE">
            <w:pPr>
              <w:jc w:val="center"/>
              <w:rPr>
                <w:rFonts w:ascii="Arial" w:hAnsi="Arial" w:cs="Arial"/>
                <w:color w:val="000000"/>
                <w:sz w:val="14"/>
                <w:szCs w:val="14"/>
                <w:lang w:eastAsia="es-AR"/>
              </w:rPr>
            </w:pPr>
            <w:r w:rsidRPr="009542DE">
              <w:rPr>
                <w:rFonts w:ascii="Arial" w:hAnsi="Arial" w:cs="Arial"/>
                <w:color w:val="000000"/>
                <w:sz w:val="14"/>
                <w:szCs w:val="14"/>
                <w:lang w:eastAsia="es-AR"/>
              </w:rPr>
              <w:t xml:space="preserve">5 </w:t>
            </w:r>
          </w:p>
        </w:tc>
        <w:tc>
          <w:tcPr>
            <w:tcW w:w="992" w:type="dxa"/>
            <w:tcBorders>
              <w:top w:val="nil"/>
              <w:left w:val="nil"/>
              <w:bottom w:val="single" w:sz="4" w:space="0" w:color="auto"/>
              <w:right w:val="single" w:sz="4" w:space="0" w:color="auto"/>
            </w:tcBorders>
            <w:shd w:val="clear" w:color="auto" w:fill="auto"/>
            <w:noWrap/>
            <w:vAlign w:val="center"/>
            <w:hideMark/>
          </w:tcPr>
          <w:p w14:paraId="54E67DC8" w14:textId="77777777" w:rsidR="009542DE" w:rsidRPr="009542DE" w:rsidRDefault="009542DE" w:rsidP="009542DE">
            <w:pPr>
              <w:jc w:val="center"/>
              <w:rPr>
                <w:rFonts w:ascii="Arial" w:hAnsi="Arial" w:cs="Arial"/>
                <w:color w:val="000000"/>
                <w:sz w:val="14"/>
                <w:szCs w:val="14"/>
                <w:lang w:eastAsia="es-AR"/>
              </w:rPr>
            </w:pPr>
            <w:r w:rsidRPr="009542DE">
              <w:rPr>
                <w:rFonts w:ascii="Arial" w:hAnsi="Arial" w:cs="Arial"/>
                <w:color w:val="000000"/>
                <w:sz w:val="14"/>
                <w:szCs w:val="14"/>
                <w:lang w:eastAsia="es-AR"/>
              </w:rPr>
              <w:t> </w:t>
            </w:r>
          </w:p>
        </w:tc>
        <w:tc>
          <w:tcPr>
            <w:tcW w:w="709" w:type="dxa"/>
            <w:tcBorders>
              <w:top w:val="nil"/>
              <w:left w:val="nil"/>
              <w:bottom w:val="single" w:sz="4" w:space="0" w:color="auto"/>
              <w:right w:val="single" w:sz="4" w:space="0" w:color="auto"/>
            </w:tcBorders>
            <w:shd w:val="clear" w:color="auto" w:fill="auto"/>
            <w:noWrap/>
            <w:vAlign w:val="center"/>
            <w:hideMark/>
          </w:tcPr>
          <w:p w14:paraId="29743ABF" w14:textId="2ACEB677" w:rsidR="009542DE" w:rsidRPr="009542DE" w:rsidRDefault="00E05192" w:rsidP="009542DE">
            <w:pPr>
              <w:jc w:val="right"/>
              <w:rPr>
                <w:rFonts w:ascii="Arial" w:hAnsi="Arial" w:cs="Arial"/>
                <w:color w:val="000000"/>
                <w:sz w:val="14"/>
                <w:szCs w:val="14"/>
                <w:lang w:eastAsia="es-AR"/>
              </w:rPr>
            </w:pPr>
            <w:r>
              <w:rPr>
                <w:rFonts w:ascii="Arial" w:hAnsi="Arial" w:cs="Arial"/>
                <w:color w:val="000000"/>
                <w:sz w:val="14"/>
                <w:szCs w:val="14"/>
                <w:lang w:eastAsia="es-AR"/>
              </w:rPr>
              <w:t>28.853</w:t>
            </w:r>
            <w:r w:rsidR="009542DE" w:rsidRPr="009542DE">
              <w:rPr>
                <w:rFonts w:ascii="Arial" w:hAnsi="Arial" w:cs="Arial"/>
                <w:color w:val="000000"/>
                <w:sz w:val="14"/>
                <w:szCs w:val="14"/>
                <w:lang w:eastAsia="es-AR"/>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6AFE8A19" w14:textId="573ABE9B"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9.555</w:t>
            </w:r>
            <w:r w:rsidRPr="009542DE">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4204E3AF" w14:textId="03AF362D"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(1</w:t>
            </w:r>
            <w:r w:rsidR="00E05192">
              <w:rPr>
                <w:rFonts w:ascii="Arial" w:hAnsi="Arial" w:cs="Arial"/>
                <w:color w:val="000000"/>
                <w:sz w:val="14"/>
                <w:szCs w:val="14"/>
                <w:lang w:eastAsia="es-AR"/>
              </w:rPr>
              <w:t>2.513</w:t>
            </w:r>
            <w:r w:rsidRPr="009542DE">
              <w:rPr>
                <w:rFonts w:ascii="Arial" w:hAnsi="Arial" w:cs="Arial"/>
                <w:color w:val="000000"/>
                <w:sz w:val="14"/>
                <w:szCs w:val="14"/>
                <w:lang w:eastAsia="es-AR"/>
              </w:rPr>
              <w:t>)</w:t>
            </w:r>
          </w:p>
        </w:tc>
        <w:tc>
          <w:tcPr>
            <w:tcW w:w="709" w:type="dxa"/>
            <w:tcBorders>
              <w:top w:val="nil"/>
              <w:left w:val="nil"/>
              <w:bottom w:val="single" w:sz="4" w:space="0" w:color="auto"/>
              <w:right w:val="single" w:sz="4" w:space="0" w:color="auto"/>
            </w:tcBorders>
            <w:shd w:val="clear" w:color="auto" w:fill="auto"/>
            <w:noWrap/>
            <w:vAlign w:val="center"/>
            <w:hideMark/>
          </w:tcPr>
          <w:p w14:paraId="509F7B21" w14:textId="73BE051B" w:rsidR="009542DE" w:rsidRPr="009542DE" w:rsidRDefault="00E05192" w:rsidP="009542DE">
            <w:pPr>
              <w:jc w:val="right"/>
              <w:rPr>
                <w:rFonts w:ascii="Arial" w:hAnsi="Arial" w:cs="Arial"/>
                <w:color w:val="000000"/>
                <w:sz w:val="14"/>
                <w:szCs w:val="14"/>
                <w:lang w:eastAsia="es-AR"/>
              </w:rPr>
            </w:pPr>
            <w:r>
              <w:rPr>
                <w:rFonts w:ascii="Arial" w:hAnsi="Arial" w:cs="Arial"/>
                <w:color w:val="000000"/>
                <w:sz w:val="14"/>
                <w:szCs w:val="14"/>
                <w:lang w:eastAsia="es-AR"/>
              </w:rPr>
              <w:t>6.007</w:t>
            </w:r>
            <w:r w:rsidR="009542DE" w:rsidRPr="009542DE">
              <w:rPr>
                <w:rFonts w:ascii="Arial" w:hAnsi="Arial" w:cs="Arial"/>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1437091" w14:textId="5BD6D5D1"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(1</w:t>
            </w:r>
            <w:r w:rsidR="00E05192">
              <w:rPr>
                <w:rFonts w:ascii="Arial" w:hAnsi="Arial" w:cs="Arial"/>
                <w:color w:val="000000"/>
                <w:sz w:val="14"/>
                <w:szCs w:val="14"/>
                <w:lang w:eastAsia="es-AR"/>
              </w:rPr>
              <w:t>0.099</w:t>
            </w:r>
            <w:r w:rsidRPr="009542DE">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63421A67" w14:textId="5BD59A40"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16.605</w:t>
            </w:r>
            <w:r w:rsidRPr="009542DE">
              <w:rPr>
                <w:rFonts w:ascii="Arial" w:hAnsi="Arial" w:cs="Arial"/>
                <w:color w:val="000000"/>
                <w:sz w:val="14"/>
                <w:szCs w:val="14"/>
                <w:lang w:eastAsia="es-AR"/>
              </w:rPr>
              <w:t>)</w:t>
            </w:r>
          </w:p>
        </w:tc>
        <w:tc>
          <w:tcPr>
            <w:tcW w:w="851" w:type="dxa"/>
            <w:tcBorders>
              <w:top w:val="nil"/>
              <w:left w:val="nil"/>
              <w:bottom w:val="single" w:sz="4" w:space="0" w:color="auto"/>
              <w:right w:val="single" w:sz="4" w:space="0" w:color="auto"/>
            </w:tcBorders>
            <w:shd w:val="clear" w:color="auto" w:fill="auto"/>
            <w:noWrap/>
            <w:vAlign w:val="center"/>
            <w:hideMark/>
          </w:tcPr>
          <w:p w14:paraId="79FBD64E" w14:textId="2C8B7599" w:rsidR="009542DE" w:rsidRPr="009542DE" w:rsidRDefault="00E05192" w:rsidP="009542DE">
            <w:pPr>
              <w:jc w:val="right"/>
              <w:rPr>
                <w:rFonts w:ascii="Arial" w:hAnsi="Arial" w:cs="Arial"/>
                <w:b/>
                <w:bCs/>
                <w:color w:val="000000"/>
                <w:sz w:val="14"/>
                <w:szCs w:val="14"/>
                <w:lang w:eastAsia="es-AR"/>
              </w:rPr>
            </w:pPr>
            <w:r>
              <w:rPr>
                <w:rFonts w:ascii="Arial" w:hAnsi="Arial" w:cs="Arial"/>
                <w:b/>
                <w:bCs/>
                <w:color w:val="000000"/>
                <w:sz w:val="14"/>
                <w:szCs w:val="14"/>
                <w:lang w:eastAsia="es-AR"/>
              </w:rPr>
              <w:t>39.624</w:t>
            </w:r>
            <w:r w:rsidR="009542DE" w:rsidRPr="009542DE">
              <w:rPr>
                <w:rFonts w:ascii="Arial" w:hAnsi="Arial" w:cs="Arial"/>
                <w:b/>
                <w:bCs/>
                <w:color w:val="000000"/>
                <w:sz w:val="14"/>
                <w:szCs w:val="14"/>
                <w:lang w:eastAsia="es-AR"/>
              </w:rPr>
              <w:t xml:space="preserve"> </w:t>
            </w:r>
          </w:p>
        </w:tc>
      </w:tr>
      <w:tr w:rsidR="002E1657" w:rsidRPr="009542DE" w14:paraId="69E5122A" w14:textId="77777777" w:rsidTr="006E1AF7">
        <w:trPr>
          <w:trHeight w:val="288"/>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743A04C" w14:textId="77777777" w:rsidR="002E1657" w:rsidRPr="009542DE" w:rsidRDefault="002E1657" w:rsidP="002E1657">
            <w:pPr>
              <w:rPr>
                <w:rFonts w:ascii="Arial" w:hAnsi="Arial" w:cs="Arial"/>
                <w:color w:val="000000"/>
                <w:sz w:val="14"/>
                <w:szCs w:val="14"/>
                <w:lang w:eastAsia="es-AR"/>
              </w:rPr>
            </w:pPr>
            <w:r w:rsidRPr="009542DE">
              <w:rPr>
                <w:rFonts w:ascii="Arial" w:hAnsi="Arial" w:cs="Arial"/>
                <w:color w:val="000000"/>
                <w:sz w:val="14"/>
                <w:szCs w:val="14"/>
                <w:lang w:eastAsia="es-AR"/>
              </w:rPr>
              <w:t>- Obras en curso</w:t>
            </w:r>
          </w:p>
        </w:tc>
        <w:tc>
          <w:tcPr>
            <w:tcW w:w="851" w:type="dxa"/>
            <w:tcBorders>
              <w:top w:val="nil"/>
              <w:left w:val="nil"/>
              <w:bottom w:val="single" w:sz="4" w:space="0" w:color="auto"/>
              <w:right w:val="single" w:sz="4" w:space="0" w:color="auto"/>
            </w:tcBorders>
            <w:shd w:val="clear" w:color="auto" w:fill="auto"/>
            <w:noWrap/>
            <w:vAlign w:val="center"/>
            <w:hideMark/>
          </w:tcPr>
          <w:p w14:paraId="78696CF5" w14:textId="7D2B3B15" w:rsidR="002E1657" w:rsidRPr="009542DE" w:rsidRDefault="002E1657" w:rsidP="002E1657">
            <w:pPr>
              <w:jc w:val="right"/>
              <w:rPr>
                <w:rFonts w:ascii="Arial" w:hAnsi="Arial" w:cs="Arial"/>
                <w:b/>
                <w:bCs/>
                <w:color w:val="000000"/>
                <w:sz w:val="14"/>
                <w:szCs w:val="14"/>
                <w:lang w:eastAsia="es-AR"/>
              </w:rPr>
            </w:pPr>
            <w:r w:rsidRPr="009542DE">
              <w:rPr>
                <w:rFonts w:ascii="Arial" w:hAnsi="Arial" w:cs="Arial"/>
                <w:b/>
                <w:bCs/>
                <w:color w:val="000000"/>
                <w:sz w:val="14"/>
                <w:szCs w:val="14"/>
                <w:lang w:eastAsia="es-AR"/>
              </w:rPr>
              <w:t>2</w:t>
            </w:r>
            <w:r w:rsidR="00E05192">
              <w:rPr>
                <w:rFonts w:ascii="Arial" w:hAnsi="Arial" w:cs="Arial"/>
                <w:b/>
                <w:bCs/>
                <w:color w:val="000000"/>
                <w:sz w:val="14"/>
                <w:szCs w:val="14"/>
                <w:lang w:eastAsia="es-AR"/>
              </w:rPr>
              <w:t>79.658</w:t>
            </w:r>
            <w:r w:rsidRPr="009542DE">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7F85DBD3" w14:textId="77777777" w:rsidR="002E1657" w:rsidRPr="009542DE" w:rsidRDefault="002E1657" w:rsidP="002E1657">
            <w:pPr>
              <w:jc w:val="center"/>
              <w:rPr>
                <w:rFonts w:ascii="Arial" w:hAnsi="Arial" w:cs="Arial"/>
                <w:color w:val="000000"/>
                <w:sz w:val="14"/>
                <w:szCs w:val="14"/>
                <w:lang w:eastAsia="es-AR"/>
              </w:rPr>
            </w:pPr>
            <w:r w:rsidRPr="009542DE">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4D4F325A" w14:textId="77777777" w:rsidR="002E1657" w:rsidRPr="009542DE" w:rsidRDefault="002E1657" w:rsidP="002E1657">
            <w:pPr>
              <w:jc w:val="center"/>
              <w:rPr>
                <w:rFonts w:ascii="Arial" w:hAnsi="Arial" w:cs="Arial"/>
                <w:color w:val="000000"/>
                <w:sz w:val="14"/>
                <w:szCs w:val="14"/>
                <w:lang w:eastAsia="es-AR"/>
              </w:rPr>
            </w:pPr>
            <w:r w:rsidRPr="009542DE">
              <w:rPr>
                <w:rFonts w:ascii="Arial" w:hAnsi="Arial" w:cs="Arial"/>
                <w:color w:val="000000"/>
                <w:sz w:val="14"/>
                <w:szCs w:val="14"/>
                <w:lang w:eastAsia="es-AR"/>
              </w:rPr>
              <w:t> </w:t>
            </w:r>
          </w:p>
        </w:tc>
        <w:tc>
          <w:tcPr>
            <w:tcW w:w="709" w:type="dxa"/>
            <w:tcBorders>
              <w:top w:val="nil"/>
              <w:left w:val="nil"/>
              <w:bottom w:val="single" w:sz="4" w:space="0" w:color="auto"/>
              <w:right w:val="single" w:sz="4" w:space="0" w:color="auto"/>
            </w:tcBorders>
            <w:shd w:val="clear" w:color="auto" w:fill="auto"/>
            <w:noWrap/>
            <w:vAlign w:val="center"/>
            <w:hideMark/>
          </w:tcPr>
          <w:p w14:paraId="724B748B" w14:textId="7E867FEC" w:rsidR="002E1657" w:rsidRPr="009542DE" w:rsidRDefault="00E05192" w:rsidP="002E1657">
            <w:pPr>
              <w:jc w:val="right"/>
              <w:rPr>
                <w:rFonts w:ascii="Arial" w:hAnsi="Arial" w:cs="Arial"/>
                <w:color w:val="000000"/>
                <w:sz w:val="14"/>
                <w:szCs w:val="14"/>
                <w:lang w:eastAsia="es-AR"/>
              </w:rPr>
            </w:pPr>
            <w:r>
              <w:rPr>
                <w:rFonts w:ascii="Arial" w:hAnsi="Arial" w:cs="Arial"/>
                <w:color w:val="000000"/>
                <w:sz w:val="14"/>
                <w:szCs w:val="14"/>
                <w:lang w:eastAsia="es-AR"/>
              </w:rPr>
              <w:t>103.280</w:t>
            </w:r>
            <w:r w:rsidR="002E1657" w:rsidRPr="009542DE">
              <w:rPr>
                <w:rFonts w:ascii="Arial" w:hAnsi="Arial" w:cs="Arial"/>
                <w:color w:val="000000"/>
                <w:sz w:val="14"/>
                <w:szCs w:val="14"/>
                <w:lang w:eastAsia="es-AR"/>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53C2EE22" w14:textId="08E68523" w:rsidR="002E1657" w:rsidRPr="009542DE" w:rsidRDefault="002E1657" w:rsidP="002E1657">
            <w:pPr>
              <w:jc w:val="right"/>
              <w:rPr>
                <w:rFonts w:ascii="Arial" w:hAnsi="Arial" w:cs="Arial"/>
                <w:color w:val="000000"/>
                <w:sz w:val="14"/>
                <w:szCs w:val="14"/>
                <w:lang w:eastAsia="es-AR"/>
              </w:rPr>
            </w:pPr>
            <w:r w:rsidRPr="009542DE">
              <w:rPr>
                <w:rFonts w:ascii="Arial" w:hAnsi="Arial" w:cs="Arial"/>
                <w:color w:val="000000"/>
                <w:sz w:val="14"/>
                <w:szCs w:val="14"/>
                <w:lang w:eastAsia="es-AR"/>
              </w:rPr>
              <w:t>(1</w:t>
            </w:r>
            <w:r w:rsidR="00E05192">
              <w:rPr>
                <w:rFonts w:ascii="Arial" w:hAnsi="Arial" w:cs="Arial"/>
                <w:color w:val="000000"/>
                <w:sz w:val="14"/>
                <w:szCs w:val="14"/>
                <w:lang w:eastAsia="es-AR"/>
              </w:rPr>
              <w:t>31.675</w:t>
            </w:r>
            <w:r w:rsidRPr="009542DE">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78366F15" w14:textId="7FAB2542" w:rsidR="002E1657" w:rsidRPr="009542DE" w:rsidRDefault="002E1657" w:rsidP="002E1657">
            <w:pPr>
              <w:jc w:val="right"/>
              <w:rPr>
                <w:rFonts w:ascii="Arial" w:hAnsi="Arial" w:cs="Arial"/>
                <w:color w:val="000000"/>
                <w:sz w:val="14"/>
                <w:szCs w:val="14"/>
                <w:lang w:eastAsia="es-AR"/>
              </w:rPr>
            </w:pPr>
            <w:r w:rsidRPr="00AA2996">
              <w:rPr>
                <w:rFonts w:ascii="Arial" w:hAnsi="Arial" w:cs="Arial"/>
                <w:color w:val="000000"/>
                <w:sz w:val="14"/>
                <w:szCs w:val="14"/>
                <w:lang w:eastAsia="es-AR"/>
              </w:rPr>
              <w:t>-</w:t>
            </w:r>
          </w:p>
        </w:tc>
        <w:tc>
          <w:tcPr>
            <w:tcW w:w="709" w:type="dxa"/>
            <w:tcBorders>
              <w:top w:val="nil"/>
              <w:left w:val="nil"/>
              <w:bottom w:val="single" w:sz="4" w:space="0" w:color="auto"/>
              <w:right w:val="single" w:sz="4" w:space="0" w:color="auto"/>
            </w:tcBorders>
            <w:shd w:val="clear" w:color="auto" w:fill="auto"/>
            <w:noWrap/>
            <w:vAlign w:val="center"/>
            <w:hideMark/>
          </w:tcPr>
          <w:p w14:paraId="5B506593" w14:textId="0D0FBEE4" w:rsidR="002E1657" w:rsidRPr="009542DE" w:rsidRDefault="002E1657" w:rsidP="002E1657">
            <w:pPr>
              <w:jc w:val="right"/>
              <w:rPr>
                <w:rFonts w:ascii="Arial" w:hAnsi="Arial" w:cs="Arial"/>
                <w:color w:val="000000"/>
                <w:sz w:val="14"/>
                <w:szCs w:val="14"/>
                <w:lang w:eastAsia="es-AR"/>
              </w:rPr>
            </w:pPr>
            <w:r w:rsidRPr="00AA2996">
              <w:rPr>
                <w:rFonts w:ascii="Arial" w:hAnsi="Arial" w:cs="Arial"/>
                <w:color w:val="000000"/>
                <w:sz w:val="14"/>
                <w:szCs w:val="14"/>
                <w:lang w:eastAsia="es-AR"/>
              </w:rPr>
              <w:t>-</w:t>
            </w:r>
          </w:p>
        </w:tc>
        <w:tc>
          <w:tcPr>
            <w:tcW w:w="850" w:type="dxa"/>
            <w:tcBorders>
              <w:top w:val="nil"/>
              <w:left w:val="nil"/>
              <w:bottom w:val="single" w:sz="4" w:space="0" w:color="auto"/>
              <w:right w:val="single" w:sz="4" w:space="0" w:color="auto"/>
            </w:tcBorders>
            <w:shd w:val="clear" w:color="auto" w:fill="auto"/>
            <w:noWrap/>
            <w:vAlign w:val="center"/>
            <w:hideMark/>
          </w:tcPr>
          <w:p w14:paraId="36559670" w14:textId="1153C5EB" w:rsidR="002E1657" w:rsidRPr="009542DE" w:rsidRDefault="002E1657" w:rsidP="002E1657">
            <w:pPr>
              <w:jc w:val="right"/>
              <w:rPr>
                <w:rFonts w:ascii="Arial" w:hAnsi="Arial" w:cs="Arial"/>
                <w:color w:val="000000"/>
                <w:sz w:val="14"/>
                <w:szCs w:val="14"/>
                <w:lang w:eastAsia="es-AR"/>
              </w:rPr>
            </w:pPr>
            <w:r w:rsidRPr="00AA2996">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0C791EF5" w14:textId="07B01830" w:rsidR="002E1657" w:rsidRPr="009542DE" w:rsidRDefault="002E1657" w:rsidP="002E1657">
            <w:pPr>
              <w:jc w:val="right"/>
              <w:rPr>
                <w:rFonts w:ascii="Arial" w:hAnsi="Arial" w:cs="Arial"/>
                <w:color w:val="000000"/>
                <w:sz w:val="14"/>
                <w:szCs w:val="14"/>
                <w:lang w:eastAsia="es-AR"/>
              </w:rPr>
            </w:pPr>
            <w:r w:rsidRPr="00AA2996">
              <w:rPr>
                <w:rFonts w:ascii="Arial" w:hAnsi="Arial" w:cs="Arial"/>
                <w:color w:val="000000"/>
                <w:sz w:val="14"/>
                <w:szCs w:val="14"/>
                <w:lang w:eastAsia="es-AR"/>
              </w:rPr>
              <w:t>-</w:t>
            </w:r>
          </w:p>
        </w:tc>
        <w:tc>
          <w:tcPr>
            <w:tcW w:w="851" w:type="dxa"/>
            <w:tcBorders>
              <w:top w:val="nil"/>
              <w:left w:val="nil"/>
              <w:bottom w:val="single" w:sz="4" w:space="0" w:color="auto"/>
              <w:right w:val="single" w:sz="4" w:space="0" w:color="auto"/>
            </w:tcBorders>
            <w:shd w:val="clear" w:color="auto" w:fill="auto"/>
            <w:noWrap/>
            <w:vAlign w:val="center"/>
            <w:hideMark/>
          </w:tcPr>
          <w:p w14:paraId="1DA54F6F" w14:textId="0E8E41B2" w:rsidR="002E1657" w:rsidRPr="009542DE" w:rsidRDefault="002E1657" w:rsidP="002E1657">
            <w:pPr>
              <w:jc w:val="right"/>
              <w:rPr>
                <w:rFonts w:ascii="Arial" w:hAnsi="Arial" w:cs="Arial"/>
                <w:b/>
                <w:bCs/>
                <w:color w:val="000000"/>
                <w:sz w:val="14"/>
                <w:szCs w:val="14"/>
                <w:lang w:eastAsia="es-AR"/>
              </w:rPr>
            </w:pPr>
            <w:r w:rsidRPr="009542DE">
              <w:rPr>
                <w:rFonts w:ascii="Arial" w:hAnsi="Arial" w:cs="Arial"/>
                <w:b/>
                <w:bCs/>
                <w:color w:val="000000"/>
                <w:sz w:val="14"/>
                <w:szCs w:val="14"/>
                <w:lang w:eastAsia="es-AR"/>
              </w:rPr>
              <w:t>2</w:t>
            </w:r>
            <w:r w:rsidR="00E05192">
              <w:rPr>
                <w:rFonts w:ascii="Arial" w:hAnsi="Arial" w:cs="Arial"/>
                <w:b/>
                <w:bCs/>
                <w:color w:val="000000"/>
                <w:sz w:val="14"/>
                <w:szCs w:val="14"/>
                <w:lang w:eastAsia="es-AR"/>
              </w:rPr>
              <w:t>51.263</w:t>
            </w:r>
            <w:r w:rsidRPr="009542DE">
              <w:rPr>
                <w:rFonts w:ascii="Arial" w:hAnsi="Arial" w:cs="Arial"/>
                <w:b/>
                <w:bCs/>
                <w:color w:val="000000"/>
                <w:sz w:val="14"/>
                <w:szCs w:val="14"/>
                <w:lang w:eastAsia="es-AR"/>
              </w:rPr>
              <w:t xml:space="preserve"> </w:t>
            </w:r>
          </w:p>
        </w:tc>
      </w:tr>
      <w:tr w:rsidR="00EB687D" w:rsidRPr="009542DE" w14:paraId="466FA19F" w14:textId="77777777" w:rsidTr="00A60EAC">
        <w:trPr>
          <w:trHeight w:val="288"/>
        </w:trPr>
        <w:tc>
          <w:tcPr>
            <w:tcW w:w="1986" w:type="dxa"/>
            <w:gridSpan w:val="2"/>
            <w:tcBorders>
              <w:top w:val="nil"/>
              <w:left w:val="single" w:sz="4" w:space="0" w:color="auto"/>
              <w:bottom w:val="single" w:sz="4" w:space="0" w:color="auto"/>
              <w:right w:val="nil"/>
            </w:tcBorders>
            <w:shd w:val="clear" w:color="auto" w:fill="auto"/>
            <w:vAlign w:val="center"/>
            <w:hideMark/>
          </w:tcPr>
          <w:p w14:paraId="7C7C8329" w14:textId="1129024C" w:rsidR="00EB687D" w:rsidRPr="009542DE" w:rsidRDefault="00EB687D"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Modelo de revaluación</w:t>
            </w:r>
          </w:p>
        </w:tc>
        <w:tc>
          <w:tcPr>
            <w:tcW w:w="850" w:type="dxa"/>
            <w:tcBorders>
              <w:top w:val="nil"/>
              <w:left w:val="nil"/>
              <w:bottom w:val="single" w:sz="4" w:space="0" w:color="auto"/>
              <w:right w:val="nil"/>
            </w:tcBorders>
            <w:shd w:val="clear" w:color="auto" w:fill="auto"/>
            <w:vAlign w:val="center"/>
            <w:hideMark/>
          </w:tcPr>
          <w:p w14:paraId="4FC0B8F3" w14:textId="77777777" w:rsidR="00EB687D" w:rsidRPr="009542DE" w:rsidRDefault="00EB687D"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 </w:t>
            </w:r>
          </w:p>
        </w:tc>
        <w:tc>
          <w:tcPr>
            <w:tcW w:w="992" w:type="dxa"/>
            <w:tcBorders>
              <w:top w:val="nil"/>
              <w:left w:val="nil"/>
              <w:bottom w:val="single" w:sz="4" w:space="0" w:color="auto"/>
              <w:right w:val="nil"/>
            </w:tcBorders>
            <w:shd w:val="clear" w:color="auto" w:fill="auto"/>
            <w:vAlign w:val="center"/>
            <w:hideMark/>
          </w:tcPr>
          <w:p w14:paraId="2F842243" w14:textId="77777777" w:rsidR="00EB687D" w:rsidRPr="009542DE" w:rsidRDefault="00EB687D"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 </w:t>
            </w:r>
          </w:p>
        </w:tc>
        <w:tc>
          <w:tcPr>
            <w:tcW w:w="709" w:type="dxa"/>
            <w:tcBorders>
              <w:top w:val="nil"/>
              <w:left w:val="nil"/>
              <w:bottom w:val="single" w:sz="4" w:space="0" w:color="auto"/>
              <w:right w:val="nil"/>
            </w:tcBorders>
            <w:shd w:val="clear" w:color="auto" w:fill="auto"/>
            <w:vAlign w:val="center"/>
            <w:hideMark/>
          </w:tcPr>
          <w:p w14:paraId="7B2331F6" w14:textId="77777777" w:rsidR="00EB687D" w:rsidRPr="009542DE" w:rsidRDefault="00EB687D"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 </w:t>
            </w:r>
          </w:p>
        </w:tc>
        <w:tc>
          <w:tcPr>
            <w:tcW w:w="851" w:type="dxa"/>
            <w:tcBorders>
              <w:top w:val="nil"/>
              <w:left w:val="nil"/>
              <w:bottom w:val="single" w:sz="4" w:space="0" w:color="auto"/>
              <w:right w:val="nil"/>
            </w:tcBorders>
            <w:shd w:val="clear" w:color="auto" w:fill="auto"/>
            <w:vAlign w:val="center"/>
            <w:hideMark/>
          </w:tcPr>
          <w:p w14:paraId="1040B177" w14:textId="77777777" w:rsidR="00EB687D" w:rsidRPr="009542DE" w:rsidRDefault="00EB687D"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 </w:t>
            </w:r>
          </w:p>
        </w:tc>
        <w:tc>
          <w:tcPr>
            <w:tcW w:w="992" w:type="dxa"/>
            <w:tcBorders>
              <w:top w:val="nil"/>
              <w:left w:val="nil"/>
              <w:bottom w:val="single" w:sz="4" w:space="0" w:color="auto"/>
              <w:right w:val="nil"/>
            </w:tcBorders>
            <w:shd w:val="clear" w:color="auto" w:fill="auto"/>
            <w:vAlign w:val="center"/>
            <w:hideMark/>
          </w:tcPr>
          <w:p w14:paraId="1CE4E8E4" w14:textId="77777777" w:rsidR="00EB687D" w:rsidRPr="009542DE" w:rsidRDefault="00EB687D"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 </w:t>
            </w:r>
          </w:p>
        </w:tc>
        <w:tc>
          <w:tcPr>
            <w:tcW w:w="709" w:type="dxa"/>
            <w:tcBorders>
              <w:top w:val="nil"/>
              <w:left w:val="nil"/>
              <w:bottom w:val="single" w:sz="4" w:space="0" w:color="auto"/>
              <w:right w:val="nil"/>
            </w:tcBorders>
            <w:shd w:val="clear" w:color="auto" w:fill="auto"/>
            <w:vAlign w:val="center"/>
            <w:hideMark/>
          </w:tcPr>
          <w:p w14:paraId="14C73152" w14:textId="77777777" w:rsidR="00EB687D" w:rsidRPr="009542DE" w:rsidRDefault="00EB687D"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 </w:t>
            </w:r>
          </w:p>
        </w:tc>
        <w:tc>
          <w:tcPr>
            <w:tcW w:w="850" w:type="dxa"/>
            <w:tcBorders>
              <w:top w:val="nil"/>
              <w:left w:val="nil"/>
              <w:bottom w:val="single" w:sz="4" w:space="0" w:color="auto"/>
              <w:right w:val="nil"/>
            </w:tcBorders>
            <w:shd w:val="clear" w:color="auto" w:fill="auto"/>
            <w:vAlign w:val="center"/>
            <w:hideMark/>
          </w:tcPr>
          <w:p w14:paraId="38BBDCFF" w14:textId="77777777" w:rsidR="00EB687D" w:rsidRPr="009542DE" w:rsidRDefault="00EB687D"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 </w:t>
            </w:r>
          </w:p>
        </w:tc>
        <w:tc>
          <w:tcPr>
            <w:tcW w:w="992" w:type="dxa"/>
            <w:tcBorders>
              <w:top w:val="nil"/>
              <w:left w:val="nil"/>
              <w:bottom w:val="single" w:sz="4" w:space="0" w:color="auto"/>
              <w:right w:val="nil"/>
            </w:tcBorders>
            <w:shd w:val="clear" w:color="auto" w:fill="auto"/>
            <w:vAlign w:val="center"/>
            <w:hideMark/>
          </w:tcPr>
          <w:p w14:paraId="1A1A040C" w14:textId="77777777" w:rsidR="00EB687D" w:rsidRPr="009542DE" w:rsidRDefault="00EB687D"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 </w:t>
            </w:r>
          </w:p>
        </w:tc>
        <w:tc>
          <w:tcPr>
            <w:tcW w:w="851" w:type="dxa"/>
            <w:tcBorders>
              <w:top w:val="nil"/>
              <w:left w:val="nil"/>
              <w:bottom w:val="single" w:sz="4" w:space="0" w:color="auto"/>
              <w:right w:val="single" w:sz="4" w:space="0" w:color="auto"/>
            </w:tcBorders>
            <w:shd w:val="clear" w:color="auto" w:fill="auto"/>
            <w:vAlign w:val="center"/>
            <w:hideMark/>
          </w:tcPr>
          <w:p w14:paraId="7319F8ED" w14:textId="77777777" w:rsidR="00EB687D" w:rsidRPr="009542DE" w:rsidRDefault="00EB687D"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 </w:t>
            </w:r>
          </w:p>
        </w:tc>
      </w:tr>
      <w:tr w:rsidR="006D6903" w:rsidRPr="009542DE" w14:paraId="150233E7" w14:textId="77777777" w:rsidTr="006E1AF7">
        <w:trPr>
          <w:trHeight w:val="288"/>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3981E9D" w14:textId="77777777" w:rsidR="009542DE" w:rsidRPr="009542DE" w:rsidRDefault="009542DE" w:rsidP="009542DE">
            <w:pPr>
              <w:rPr>
                <w:rFonts w:ascii="Arial" w:hAnsi="Arial" w:cs="Arial"/>
                <w:color w:val="000000"/>
                <w:sz w:val="14"/>
                <w:szCs w:val="14"/>
                <w:lang w:eastAsia="es-AR"/>
              </w:rPr>
            </w:pPr>
            <w:r w:rsidRPr="009542DE">
              <w:rPr>
                <w:rFonts w:ascii="Arial" w:hAnsi="Arial" w:cs="Arial"/>
                <w:color w:val="000000"/>
                <w:sz w:val="14"/>
                <w:szCs w:val="14"/>
                <w:lang w:eastAsia="es-AR"/>
              </w:rPr>
              <w:t>- Inmuebles</w:t>
            </w:r>
          </w:p>
        </w:tc>
        <w:tc>
          <w:tcPr>
            <w:tcW w:w="851" w:type="dxa"/>
            <w:tcBorders>
              <w:top w:val="nil"/>
              <w:left w:val="nil"/>
              <w:bottom w:val="single" w:sz="4" w:space="0" w:color="auto"/>
              <w:right w:val="single" w:sz="4" w:space="0" w:color="auto"/>
            </w:tcBorders>
            <w:shd w:val="clear" w:color="auto" w:fill="auto"/>
            <w:noWrap/>
            <w:vAlign w:val="center"/>
            <w:hideMark/>
          </w:tcPr>
          <w:p w14:paraId="3DDB3C4F" w14:textId="027B0310" w:rsidR="009542DE" w:rsidRPr="009542DE" w:rsidRDefault="00E05192" w:rsidP="009542DE">
            <w:pPr>
              <w:jc w:val="right"/>
              <w:rPr>
                <w:rFonts w:ascii="Arial" w:hAnsi="Arial" w:cs="Arial"/>
                <w:b/>
                <w:bCs/>
                <w:color w:val="000000"/>
                <w:sz w:val="14"/>
                <w:szCs w:val="14"/>
                <w:lang w:eastAsia="es-AR"/>
              </w:rPr>
            </w:pPr>
            <w:r>
              <w:rPr>
                <w:rFonts w:ascii="Arial" w:hAnsi="Arial" w:cs="Arial"/>
                <w:b/>
                <w:bCs/>
                <w:color w:val="000000"/>
                <w:sz w:val="14"/>
                <w:szCs w:val="14"/>
                <w:lang w:eastAsia="es-AR"/>
              </w:rPr>
              <w:t>570.643</w:t>
            </w:r>
            <w:r w:rsidR="009542DE" w:rsidRPr="009542DE">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1EA58349" w14:textId="77777777" w:rsidR="009542DE" w:rsidRPr="009542DE" w:rsidRDefault="009542DE" w:rsidP="009542DE">
            <w:pPr>
              <w:jc w:val="center"/>
              <w:rPr>
                <w:rFonts w:ascii="Arial" w:hAnsi="Arial" w:cs="Arial"/>
                <w:color w:val="000000"/>
                <w:sz w:val="14"/>
                <w:szCs w:val="14"/>
                <w:lang w:eastAsia="es-AR"/>
              </w:rPr>
            </w:pPr>
            <w:r w:rsidRPr="009542DE">
              <w:rPr>
                <w:rFonts w:ascii="Arial" w:hAnsi="Arial" w:cs="Arial"/>
                <w:color w:val="000000"/>
                <w:sz w:val="14"/>
                <w:szCs w:val="14"/>
                <w:lang w:eastAsia="es-AR"/>
              </w:rPr>
              <w:t xml:space="preserve">50 </w:t>
            </w:r>
          </w:p>
        </w:tc>
        <w:tc>
          <w:tcPr>
            <w:tcW w:w="992" w:type="dxa"/>
            <w:tcBorders>
              <w:top w:val="nil"/>
              <w:left w:val="nil"/>
              <w:bottom w:val="single" w:sz="4" w:space="0" w:color="auto"/>
              <w:right w:val="single" w:sz="4" w:space="0" w:color="auto"/>
            </w:tcBorders>
            <w:shd w:val="clear" w:color="auto" w:fill="auto"/>
            <w:noWrap/>
            <w:vAlign w:val="center"/>
            <w:hideMark/>
          </w:tcPr>
          <w:p w14:paraId="4EAA402A" w14:textId="44313589" w:rsidR="009542DE" w:rsidRPr="009542DE" w:rsidRDefault="006D6903" w:rsidP="009542DE">
            <w:pPr>
              <w:jc w:val="center"/>
              <w:rPr>
                <w:rFonts w:ascii="Arial" w:hAnsi="Arial" w:cs="Arial"/>
                <w:color w:val="000000"/>
                <w:sz w:val="14"/>
                <w:szCs w:val="14"/>
                <w:lang w:eastAsia="es-AR"/>
              </w:rPr>
            </w:pPr>
            <w:r>
              <w:rPr>
                <w:rFonts w:ascii="Arial" w:hAnsi="Arial" w:cs="Arial"/>
                <w:color w:val="000000"/>
                <w:sz w:val="14"/>
                <w:szCs w:val="14"/>
                <w:lang w:eastAsia="es-AR"/>
              </w:rPr>
              <w:t xml:space="preserve">        </w:t>
            </w:r>
            <w:r w:rsidR="009542DE" w:rsidRPr="009542DE">
              <w:rPr>
                <w:rFonts w:ascii="Arial" w:hAnsi="Arial" w:cs="Arial"/>
                <w:color w:val="000000"/>
                <w:sz w:val="14"/>
                <w:szCs w:val="14"/>
                <w:lang w:eastAsia="es-AR"/>
              </w:rPr>
              <w:t>5</w:t>
            </w:r>
            <w:r w:rsidR="00E05192">
              <w:rPr>
                <w:rFonts w:ascii="Arial" w:hAnsi="Arial" w:cs="Arial"/>
                <w:color w:val="000000"/>
                <w:sz w:val="14"/>
                <w:szCs w:val="14"/>
                <w:lang w:eastAsia="es-AR"/>
              </w:rPr>
              <w:t>75.402</w:t>
            </w:r>
            <w:r w:rsidR="009542DE" w:rsidRPr="009542DE">
              <w:rPr>
                <w:rFonts w:ascii="Arial" w:hAnsi="Arial" w:cs="Arial"/>
                <w:color w:val="000000"/>
                <w:sz w:val="14"/>
                <w:szCs w:val="14"/>
                <w:lang w:eastAsia="es-AR"/>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746C7162" w14:textId="598060DD" w:rsidR="009542DE" w:rsidRPr="009542DE" w:rsidRDefault="002E1657" w:rsidP="009542DE">
            <w:pPr>
              <w:jc w:val="right"/>
              <w:rPr>
                <w:rFonts w:ascii="Arial" w:hAnsi="Arial" w:cs="Arial"/>
                <w:color w:val="000000"/>
                <w:sz w:val="14"/>
                <w:szCs w:val="14"/>
                <w:lang w:eastAsia="es-AR"/>
              </w:rPr>
            </w:pPr>
            <w:r>
              <w:rPr>
                <w:rFonts w:ascii="Arial" w:hAnsi="Arial" w:cs="Arial"/>
                <w:color w:val="000000"/>
                <w:sz w:val="14"/>
                <w:szCs w:val="14"/>
                <w:lang w:eastAsia="es-AR"/>
              </w:rPr>
              <w:t>-</w:t>
            </w:r>
            <w:r w:rsidR="009542DE" w:rsidRPr="009542DE">
              <w:rPr>
                <w:rFonts w:ascii="Arial" w:hAnsi="Arial" w:cs="Arial"/>
                <w:color w:val="000000"/>
                <w:sz w:val="14"/>
                <w:szCs w:val="14"/>
                <w:lang w:eastAsia="es-AR"/>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7F46AC8A" w14:textId="2EDF8F81" w:rsidR="009542DE" w:rsidRPr="009542DE" w:rsidRDefault="00E05192" w:rsidP="009542DE">
            <w:pPr>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555638B8" w14:textId="51912453"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44.791</w:t>
            </w:r>
            <w:r w:rsidRPr="009542DE">
              <w:rPr>
                <w:rFonts w:ascii="Arial" w:hAnsi="Arial" w:cs="Arial"/>
                <w:color w:val="000000"/>
                <w:sz w:val="14"/>
                <w:szCs w:val="14"/>
                <w:lang w:eastAsia="es-AR"/>
              </w:rPr>
              <w:t>)</w:t>
            </w:r>
          </w:p>
        </w:tc>
        <w:tc>
          <w:tcPr>
            <w:tcW w:w="709" w:type="dxa"/>
            <w:tcBorders>
              <w:top w:val="nil"/>
              <w:left w:val="nil"/>
              <w:bottom w:val="single" w:sz="4" w:space="0" w:color="auto"/>
              <w:right w:val="single" w:sz="4" w:space="0" w:color="auto"/>
            </w:tcBorders>
            <w:shd w:val="clear" w:color="auto" w:fill="auto"/>
            <w:noWrap/>
            <w:vAlign w:val="center"/>
            <w:hideMark/>
          </w:tcPr>
          <w:p w14:paraId="67CADE28" w14:textId="099C99FF" w:rsidR="009542DE" w:rsidRPr="009542DE" w:rsidRDefault="009542DE" w:rsidP="002E1657">
            <w:pPr>
              <w:jc w:val="right"/>
              <w:rPr>
                <w:rFonts w:ascii="Arial" w:hAnsi="Arial" w:cs="Arial"/>
                <w:color w:val="000000"/>
                <w:sz w:val="14"/>
                <w:szCs w:val="14"/>
                <w:lang w:eastAsia="es-AR"/>
              </w:rPr>
            </w:pPr>
            <w:r w:rsidRPr="009542DE">
              <w:rPr>
                <w:rFonts w:ascii="Arial" w:hAnsi="Arial" w:cs="Arial"/>
                <w:color w:val="000000"/>
                <w:sz w:val="14"/>
                <w:szCs w:val="14"/>
                <w:lang w:eastAsia="es-AR"/>
              </w:rPr>
              <w:t> </w:t>
            </w:r>
            <w:r w:rsidR="002E1657">
              <w:rPr>
                <w:rFonts w:ascii="Arial" w:hAnsi="Arial" w:cs="Arial"/>
                <w:color w:val="000000"/>
                <w:sz w:val="14"/>
                <w:szCs w:val="14"/>
                <w:lang w:eastAsia="es-AR"/>
              </w:rPr>
              <w:t>-</w:t>
            </w:r>
          </w:p>
        </w:tc>
        <w:tc>
          <w:tcPr>
            <w:tcW w:w="850" w:type="dxa"/>
            <w:tcBorders>
              <w:top w:val="nil"/>
              <w:left w:val="nil"/>
              <w:bottom w:val="single" w:sz="4" w:space="0" w:color="auto"/>
              <w:right w:val="single" w:sz="4" w:space="0" w:color="auto"/>
            </w:tcBorders>
            <w:shd w:val="clear" w:color="auto" w:fill="auto"/>
            <w:noWrap/>
            <w:vAlign w:val="center"/>
            <w:hideMark/>
          </w:tcPr>
          <w:p w14:paraId="6CB99346" w14:textId="482B6389"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13.752</w:t>
            </w:r>
            <w:r w:rsidRPr="009542DE">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2653D01B" w14:textId="43966160" w:rsidR="009542DE" w:rsidRPr="009542DE" w:rsidRDefault="009542DE" w:rsidP="009542DE">
            <w:pPr>
              <w:jc w:val="right"/>
              <w:rPr>
                <w:rFonts w:ascii="Arial" w:hAnsi="Arial" w:cs="Arial"/>
                <w:color w:val="000000"/>
                <w:sz w:val="14"/>
                <w:szCs w:val="14"/>
                <w:lang w:eastAsia="es-AR"/>
              </w:rPr>
            </w:pPr>
            <w:r w:rsidRPr="009542DE">
              <w:rPr>
                <w:rFonts w:ascii="Arial" w:hAnsi="Arial" w:cs="Arial"/>
                <w:color w:val="000000"/>
                <w:sz w:val="14"/>
                <w:szCs w:val="14"/>
                <w:lang w:eastAsia="es-AR"/>
              </w:rPr>
              <w:t>(</w:t>
            </w:r>
            <w:r w:rsidR="00E05192">
              <w:rPr>
                <w:rFonts w:ascii="Arial" w:hAnsi="Arial" w:cs="Arial"/>
                <w:color w:val="000000"/>
                <w:sz w:val="14"/>
                <w:szCs w:val="14"/>
                <w:lang w:eastAsia="es-AR"/>
              </w:rPr>
              <w:t>58.543</w:t>
            </w:r>
            <w:r w:rsidRPr="009542DE">
              <w:rPr>
                <w:rFonts w:ascii="Arial" w:hAnsi="Arial" w:cs="Arial"/>
                <w:color w:val="000000"/>
                <w:sz w:val="14"/>
                <w:szCs w:val="14"/>
                <w:lang w:eastAsia="es-AR"/>
              </w:rPr>
              <w:t>)</w:t>
            </w:r>
          </w:p>
        </w:tc>
        <w:tc>
          <w:tcPr>
            <w:tcW w:w="851" w:type="dxa"/>
            <w:tcBorders>
              <w:top w:val="nil"/>
              <w:left w:val="nil"/>
              <w:bottom w:val="single" w:sz="4" w:space="0" w:color="auto"/>
              <w:right w:val="single" w:sz="4" w:space="0" w:color="auto"/>
            </w:tcBorders>
            <w:shd w:val="clear" w:color="auto" w:fill="auto"/>
            <w:noWrap/>
            <w:vAlign w:val="center"/>
            <w:hideMark/>
          </w:tcPr>
          <w:p w14:paraId="78635008" w14:textId="7B227B36" w:rsidR="009542DE" w:rsidRPr="009542DE" w:rsidRDefault="009542DE" w:rsidP="009542DE">
            <w:pPr>
              <w:jc w:val="right"/>
              <w:rPr>
                <w:rFonts w:ascii="Arial" w:hAnsi="Arial" w:cs="Arial"/>
                <w:b/>
                <w:bCs/>
                <w:color w:val="000000"/>
                <w:sz w:val="14"/>
                <w:szCs w:val="14"/>
                <w:lang w:eastAsia="es-AR"/>
              </w:rPr>
            </w:pPr>
            <w:r w:rsidRPr="009542DE">
              <w:rPr>
                <w:rFonts w:ascii="Arial" w:hAnsi="Arial" w:cs="Arial"/>
                <w:b/>
                <w:bCs/>
                <w:color w:val="000000"/>
                <w:sz w:val="14"/>
                <w:szCs w:val="14"/>
                <w:lang w:eastAsia="es-AR"/>
              </w:rPr>
              <w:t>1.</w:t>
            </w:r>
            <w:r w:rsidR="00E05192">
              <w:rPr>
                <w:rFonts w:ascii="Arial" w:hAnsi="Arial" w:cs="Arial"/>
                <w:b/>
                <w:bCs/>
                <w:color w:val="000000"/>
                <w:sz w:val="14"/>
                <w:szCs w:val="14"/>
                <w:lang w:eastAsia="es-AR"/>
              </w:rPr>
              <w:t>087.502</w:t>
            </w:r>
            <w:r w:rsidRPr="009542DE">
              <w:rPr>
                <w:rFonts w:ascii="Arial" w:hAnsi="Arial" w:cs="Arial"/>
                <w:b/>
                <w:bCs/>
                <w:color w:val="000000"/>
                <w:sz w:val="14"/>
                <w:szCs w:val="14"/>
                <w:lang w:eastAsia="es-AR"/>
              </w:rPr>
              <w:t xml:space="preserve"> </w:t>
            </w:r>
          </w:p>
        </w:tc>
      </w:tr>
      <w:tr w:rsidR="006D6903" w:rsidRPr="009542DE" w14:paraId="06A1F262" w14:textId="77777777" w:rsidTr="006E1AF7">
        <w:trPr>
          <w:trHeight w:val="384"/>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08DD51A" w14:textId="77777777" w:rsidR="009542DE" w:rsidRPr="009542DE" w:rsidRDefault="009542DE" w:rsidP="009542DE">
            <w:pPr>
              <w:rPr>
                <w:rFonts w:ascii="Arial" w:hAnsi="Arial" w:cs="Arial"/>
                <w:b/>
                <w:bCs/>
                <w:color w:val="000000"/>
                <w:sz w:val="14"/>
                <w:szCs w:val="14"/>
                <w:lang w:eastAsia="es-AR"/>
              </w:rPr>
            </w:pPr>
            <w:r w:rsidRPr="009542DE">
              <w:rPr>
                <w:rFonts w:ascii="Arial" w:hAnsi="Arial" w:cs="Arial"/>
                <w:b/>
                <w:bCs/>
                <w:color w:val="000000"/>
                <w:sz w:val="14"/>
                <w:szCs w:val="14"/>
                <w:lang w:eastAsia="es-AR"/>
              </w:rPr>
              <w:t>TOTAL PROPIEDAD PLANTA Y EQUIPO</w:t>
            </w:r>
          </w:p>
        </w:tc>
        <w:tc>
          <w:tcPr>
            <w:tcW w:w="851" w:type="dxa"/>
            <w:tcBorders>
              <w:top w:val="nil"/>
              <w:left w:val="nil"/>
              <w:bottom w:val="single" w:sz="4" w:space="0" w:color="auto"/>
              <w:right w:val="single" w:sz="4" w:space="0" w:color="auto"/>
            </w:tcBorders>
            <w:shd w:val="clear" w:color="auto" w:fill="auto"/>
            <w:noWrap/>
            <w:vAlign w:val="center"/>
            <w:hideMark/>
          </w:tcPr>
          <w:p w14:paraId="2C34F20E" w14:textId="74DDB090" w:rsidR="009542DE" w:rsidRPr="009542DE" w:rsidRDefault="00E05192" w:rsidP="009542DE">
            <w:pPr>
              <w:jc w:val="right"/>
              <w:rPr>
                <w:rFonts w:ascii="Arial" w:hAnsi="Arial" w:cs="Arial"/>
                <w:b/>
                <w:bCs/>
                <w:color w:val="000000"/>
                <w:sz w:val="14"/>
                <w:szCs w:val="14"/>
                <w:lang w:eastAsia="es-AR"/>
              </w:rPr>
            </w:pPr>
            <w:r>
              <w:rPr>
                <w:rFonts w:ascii="Arial" w:hAnsi="Arial" w:cs="Arial"/>
                <w:b/>
                <w:bCs/>
                <w:color w:val="000000"/>
                <w:sz w:val="14"/>
                <w:szCs w:val="14"/>
                <w:lang w:eastAsia="es-AR"/>
              </w:rPr>
              <w:t>1.481.919</w:t>
            </w:r>
            <w:r w:rsidR="009542DE" w:rsidRPr="009542DE">
              <w:rPr>
                <w:rFonts w:ascii="Arial" w:hAnsi="Arial" w:cs="Arial"/>
                <w:b/>
                <w:bCs/>
                <w:color w:val="000000"/>
                <w:sz w:val="14"/>
                <w:szCs w:val="14"/>
                <w:lang w:eastAsia="es-AR"/>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636D1FD" w14:textId="77777777" w:rsidR="009542DE" w:rsidRPr="009542DE" w:rsidRDefault="009542DE" w:rsidP="009542DE">
            <w:pPr>
              <w:rPr>
                <w:color w:val="000000"/>
                <w:sz w:val="20"/>
                <w:lang w:eastAsia="es-AR"/>
              </w:rPr>
            </w:pPr>
            <w:r w:rsidRPr="009542DE">
              <w:rPr>
                <w:color w:val="000000"/>
                <w:sz w:val="20"/>
                <w:lang w:eastAsia="es-AR"/>
              </w:rPr>
              <w:t> </w:t>
            </w:r>
          </w:p>
        </w:tc>
        <w:tc>
          <w:tcPr>
            <w:tcW w:w="992" w:type="dxa"/>
            <w:tcBorders>
              <w:top w:val="nil"/>
              <w:left w:val="nil"/>
              <w:bottom w:val="single" w:sz="4" w:space="0" w:color="auto"/>
              <w:right w:val="single" w:sz="4" w:space="0" w:color="auto"/>
            </w:tcBorders>
            <w:shd w:val="clear" w:color="auto" w:fill="auto"/>
            <w:noWrap/>
            <w:vAlign w:val="center"/>
            <w:hideMark/>
          </w:tcPr>
          <w:p w14:paraId="002294A8" w14:textId="77CB7E84" w:rsidR="009542DE" w:rsidRPr="009542DE" w:rsidRDefault="009542DE" w:rsidP="009542DE">
            <w:pPr>
              <w:jc w:val="right"/>
              <w:rPr>
                <w:rFonts w:ascii="Arial" w:hAnsi="Arial" w:cs="Arial"/>
                <w:b/>
                <w:bCs/>
                <w:color w:val="000000"/>
                <w:sz w:val="14"/>
                <w:szCs w:val="14"/>
                <w:lang w:eastAsia="es-AR"/>
              </w:rPr>
            </w:pPr>
            <w:r w:rsidRPr="009542DE">
              <w:rPr>
                <w:rFonts w:ascii="Arial" w:hAnsi="Arial" w:cs="Arial"/>
                <w:b/>
                <w:bCs/>
                <w:color w:val="000000"/>
                <w:sz w:val="14"/>
                <w:szCs w:val="14"/>
                <w:lang w:eastAsia="es-AR"/>
              </w:rPr>
              <w:t>57</w:t>
            </w:r>
            <w:r w:rsidR="00E05192">
              <w:rPr>
                <w:rFonts w:ascii="Arial" w:hAnsi="Arial" w:cs="Arial"/>
                <w:b/>
                <w:bCs/>
                <w:color w:val="000000"/>
                <w:sz w:val="14"/>
                <w:szCs w:val="14"/>
                <w:lang w:eastAsia="es-AR"/>
              </w:rPr>
              <w:t>5.402</w:t>
            </w:r>
            <w:r w:rsidRPr="009542DE">
              <w:rPr>
                <w:rFonts w:ascii="Arial" w:hAnsi="Arial" w:cs="Arial"/>
                <w:b/>
                <w:bCs/>
                <w:color w:val="000000"/>
                <w:sz w:val="14"/>
                <w:szCs w:val="14"/>
                <w:lang w:eastAsia="es-AR"/>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9AD97EB" w14:textId="54C1980C" w:rsidR="009542DE" w:rsidRPr="009542DE" w:rsidRDefault="009542DE" w:rsidP="00716050">
            <w:pPr>
              <w:jc w:val="center"/>
              <w:rPr>
                <w:rFonts w:ascii="Arial" w:hAnsi="Arial" w:cs="Arial"/>
                <w:b/>
                <w:bCs/>
                <w:color w:val="000000"/>
                <w:sz w:val="14"/>
                <w:szCs w:val="14"/>
                <w:lang w:eastAsia="es-AR"/>
              </w:rPr>
            </w:pPr>
            <w:r w:rsidRPr="009542DE">
              <w:rPr>
                <w:rFonts w:ascii="Arial" w:hAnsi="Arial" w:cs="Arial"/>
                <w:b/>
                <w:bCs/>
                <w:color w:val="000000"/>
                <w:sz w:val="14"/>
                <w:szCs w:val="14"/>
                <w:lang w:eastAsia="es-AR"/>
              </w:rPr>
              <w:t xml:space="preserve"> </w:t>
            </w:r>
            <w:r w:rsidR="00E05192">
              <w:rPr>
                <w:rFonts w:ascii="Arial" w:hAnsi="Arial" w:cs="Arial"/>
                <w:b/>
                <w:bCs/>
                <w:color w:val="000000"/>
                <w:sz w:val="14"/>
                <w:szCs w:val="14"/>
                <w:lang w:eastAsia="es-AR"/>
              </w:rPr>
              <w:t>285.535</w:t>
            </w:r>
          </w:p>
        </w:tc>
        <w:tc>
          <w:tcPr>
            <w:tcW w:w="851" w:type="dxa"/>
            <w:tcBorders>
              <w:top w:val="nil"/>
              <w:left w:val="nil"/>
              <w:bottom w:val="single" w:sz="4" w:space="0" w:color="auto"/>
              <w:right w:val="single" w:sz="4" w:space="0" w:color="auto"/>
            </w:tcBorders>
            <w:shd w:val="clear" w:color="auto" w:fill="auto"/>
            <w:noWrap/>
            <w:vAlign w:val="center"/>
            <w:hideMark/>
          </w:tcPr>
          <w:p w14:paraId="23A9F6A1" w14:textId="21F2D536" w:rsidR="009542DE" w:rsidRPr="009542DE" w:rsidRDefault="009542DE" w:rsidP="009542DE">
            <w:pPr>
              <w:jc w:val="right"/>
              <w:rPr>
                <w:rFonts w:ascii="Arial" w:hAnsi="Arial" w:cs="Arial"/>
                <w:b/>
                <w:bCs/>
                <w:color w:val="000000"/>
                <w:sz w:val="14"/>
                <w:szCs w:val="14"/>
                <w:lang w:eastAsia="es-AR"/>
              </w:rPr>
            </w:pPr>
            <w:r w:rsidRPr="009542DE">
              <w:rPr>
                <w:rFonts w:ascii="Arial" w:hAnsi="Arial" w:cs="Arial"/>
                <w:b/>
                <w:bCs/>
                <w:color w:val="000000"/>
                <w:sz w:val="14"/>
                <w:szCs w:val="14"/>
                <w:lang w:eastAsia="es-AR"/>
              </w:rPr>
              <w:t>(1</w:t>
            </w:r>
            <w:r w:rsidR="00E05192">
              <w:rPr>
                <w:rFonts w:ascii="Arial" w:hAnsi="Arial" w:cs="Arial"/>
                <w:b/>
                <w:bCs/>
                <w:color w:val="000000"/>
                <w:sz w:val="14"/>
                <w:szCs w:val="14"/>
                <w:lang w:eastAsia="es-AR"/>
              </w:rPr>
              <w:t>52.709</w:t>
            </w:r>
            <w:r w:rsidRPr="009542DE">
              <w:rPr>
                <w:rFonts w:ascii="Arial" w:hAnsi="Arial" w:cs="Arial"/>
                <w:b/>
                <w:bCs/>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4A6741B3" w14:textId="7BEA2BB7" w:rsidR="009542DE" w:rsidRPr="009542DE" w:rsidRDefault="009542DE" w:rsidP="009542DE">
            <w:pPr>
              <w:jc w:val="right"/>
              <w:rPr>
                <w:rFonts w:ascii="Arial" w:hAnsi="Arial" w:cs="Arial"/>
                <w:b/>
                <w:bCs/>
                <w:color w:val="000000"/>
                <w:sz w:val="14"/>
                <w:szCs w:val="14"/>
                <w:lang w:eastAsia="es-AR"/>
              </w:rPr>
            </w:pPr>
            <w:r w:rsidRPr="009542DE">
              <w:rPr>
                <w:rFonts w:ascii="Arial" w:hAnsi="Arial" w:cs="Arial"/>
                <w:b/>
                <w:bCs/>
                <w:color w:val="000000"/>
                <w:sz w:val="14"/>
                <w:szCs w:val="14"/>
                <w:lang w:eastAsia="es-AR"/>
              </w:rPr>
              <w:t>(</w:t>
            </w:r>
            <w:r w:rsidR="00E05192">
              <w:rPr>
                <w:rFonts w:ascii="Arial" w:hAnsi="Arial" w:cs="Arial"/>
                <w:b/>
                <w:bCs/>
                <w:color w:val="000000"/>
                <w:sz w:val="14"/>
                <w:szCs w:val="14"/>
                <w:lang w:eastAsia="es-AR"/>
              </w:rPr>
              <w:t>383.482</w:t>
            </w:r>
            <w:r w:rsidRPr="009542DE">
              <w:rPr>
                <w:rFonts w:ascii="Arial" w:hAnsi="Arial" w:cs="Arial"/>
                <w:b/>
                <w:bCs/>
                <w:color w:val="000000"/>
                <w:sz w:val="14"/>
                <w:szCs w:val="14"/>
                <w:lang w:eastAsia="es-AR"/>
              </w:rPr>
              <w:t>)</w:t>
            </w:r>
          </w:p>
        </w:tc>
        <w:tc>
          <w:tcPr>
            <w:tcW w:w="709" w:type="dxa"/>
            <w:tcBorders>
              <w:top w:val="nil"/>
              <w:left w:val="nil"/>
              <w:bottom w:val="single" w:sz="4" w:space="0" w:color="auto"/>
              <w:right w:val="single" w:sz="4" w:space="0" w:color="auto"/>
            </w:tcBorders>
            <w:shd w:val="clear" w:color="auto" w:fill="auto"/>
            <w:noWrap/>
            <w:vAlign w:val="center"/>
            <w:hideMark/>
          </w:tcPr>
          <w:p w14:paraId="7650473E" w14:textId="619C0709" w:rsidR="009542DE" w:rsidRPr="009542DE" w:rsidRDefault="00E05192" w:rsidP="009542DE">
            <w:pPr>
              <w:jc w:val="right"/>
              <w:rPr>
                <w:rFonts w:ascii="Arial" w:hAnsi="Arial" w:cs="Arial"/>
                <w:b/>
                <w:bCs/>
                <w:color w:val="000000"/>
                <w:sz w:val="14"/>
                <w:szCs w:val="14"/>
                <w:lang w:eastAsia="es-AR"/>
              </w:rPr>
            </w:pPr>
            <w:r>
              <w:rPr>
                <w:rFonts w:ascii="Arial" w:hAnsi="Arial" w:cs="Arial"/>
                <w:b/>
                <w:bCs/>
                <w:color w:val="000000"/>
                <w:sz w:val="14"/>
                <w:szCs w:val="14"/>
                <w:lang w:eastAsia="es-AR"/>
              </w:rPr>
              <w:t>14.937</w:t>
            </w:r>
          </w:p>
        </w:tc>
        <w:tc>
          <w:tcPr>
            <w:tcW w:w="850" w:type="dxa"/>
            <w:tcBorders>
              <w:top w:val="nil"/>
              <w:left w:val="nil"/>
              <w:bottom w:val="single" w:sz="4" w:space="0" w:color="auto"/>
              <w:right w:val="single" w:sz="4" w:space="0" w:color="auto"/>
            </w:tcBorders>
            <w:shd w:val="clear" w:color="auto" w:fill="auto"/>
            <w:noWrap/>
            <w:vAlign w:val="center"/>
            <w:hideMark/>
          </w:tcPr>
          <w:p w14:paraId="00C9FFDA" w14:textId="39C6D257" w:rsidR="009542DE" w:rsidRPr="009542DE" w:rsidRDefault="00716050" w:rsidP="009542DE">
            <w:pPr>
              <w:jc w:val="right"/>
              <w:rPr>
                <w:rFonts w:ascii="Arial" w:hAnsi="Arial" w:cs="Arial"/>
                <w:b/>
                <w:bCs/>
                <w:color w:val="000000"/>
                <w:sz w:val="14"/>
                <w:szCs w:val="14"/>
                <w:lang w:eastAsia="es-AR"/>
              </w:rPr>
            </w:pPr>
            <w:r>
              <w:rPr>
                <w:rFonts w:ascii="Arial" w:hAnsi="Arial" w:cs="Arial"/>
                <w:b/>
                <w:bCs/>
                <w:color w:val="000000"/>
                <w:sz w:val="14"/>
                <w:szCs w:val="14"/>
                <w:lang w:eastAsia="es-AR"/>
              </w:rPr>
              <w:t>(</w:t>
            </w:r>
            <w:r w:rsidR="00E05192">
              <w:rPr>
                <w:rFonts w:ascii="Arial" w:hAnsi="Arial" w:cs="Arial"/>
                <w:b/>
                <w:bCs/>
                <w:color w:val="000000"/>
                <w:sz w:val="14"/>
                <w:szCs w:val="14"/>
                <w:lang w:eastAsia="es-AR"/>
              </w:rPr>
              <w:t>146.320</w:t>
            </w:r>
            <w:r>
              <w:rPr>
                <w:rFonts w:ascii="Arial" w:hAnsi="Arial" w:cs="Arial"/>
                <w:b/>
                <w:bCs/>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6068F814" w14:textId="1B8026EE" w:rsidR="009542DE" w:rsidRPr="009542DE" w:rsidRDefault="00716050" w:rsidP="009542DE">
            <w:pPr>
              <w:jc w:val="right"/>
              <w:rPr>
                <w:rFonts w:ascii="Arial" w:hAnsi="Arial" w:cs="Arial"/>
                <w:b/>
                <w:bCs/>
                <w:color w:val="000000"/>
                <w:sz w:val="14"/>
                <w:szCs w:val="14"/>
                <w:lang w:eastAsia="es-AR"/>
              </w:rPr>
            </w:pPr>
            <w:r>
              <w:rPr>
                <w:rFonts w:ascii="Arial" w:hAnsi="Arial" w:cs="Arial"/>
                <w:b/>
                <w:bCs/>
                <w:color w:val="000000"/>
                <w:sz w:val="14"/>
                <w:szCs w:val="14"/>
                <w:lang w:eastAsia="es-AR"/>
              </w:rPr>
              <w:t>(</w:t>
            </w:r>
            <w:r w:rsidR="00E05192">
              <w:rPr>
                <w:rFonts w:ascii="Arial" w:hAnsi="Arial" w:cs="Arial"/>
                <w:b/>
                <w:bCs/>
                <w:color w:val="000000"/>
                <w:sz w:val="14"/>
                <w:szCs w:val="14"/>
                <w:lang w:eastAsia="es-AR"/>
              </w:rPr>
              <w:t>514.865</w:t>
            </w:r>
            <w:r>
              <w:rPr>
                <w:rFonts w:ascii="Arial" w:hAnsi="Arial" w:cs="Arial"/>
                <w:b/>
                <w:bCs/>
                <w:color w:val="000000"/>
                <w:sz w:val="14"/>
                <w:szCs w:val="14"/>
                <w:lang w:eastAsia="es-AR"/>
              </w:rPr>
              <w:t>)</w:t>
            </w:r>
          </w:p>
        </w:tc>
        <w:tc>
          <w:tcPr>
            <w:tcW w:w="851" w:type="dxa"/>
            <w:tcBorders>
              <w:top w:val="nil"/>
              <w:left w:val="nil"/>
              <w:bottom w:val="single" w:sz="4" w:space="0" w:color="auto"/>
              <w:right w:val="single" w:sz="4" w:space="0" w:color="auto"/>
            </w:tcBorders>
            <w:shd w:val="clear" w:color="auto" w:fill="auto"/>
            <w:noWrap/>
            <w:vAlign w:val="center"/>
            <w:hideMark/>
          </w:tcPr>
          <w:p w14:paraId="360205B6" w14:textId="1E622B57" w:rsidR="009542DE" w:rsidRPr="009542DE" w:rsidRDefault="00E05192" w:rsidP="009542DE">
            <w:pPr>
              <w:jc w:val="right"/>
              <w:rPr>
                <w:rFonts w:ascii="Arial" w:hAnsi="Arial" w:cs="Arial"/>
                <w:b/>
                <w:bCs/>
                <w:color w:val="000000"/>
                <w:sz w:val="14"/>
                <w:szCs w:val="14"/>
                <w:lang w:eastAsia="es-AR"/>
              </w:rPr>
            </w:pPr>
            <w:r>
              <w:rPr>
                <w:rFonts w:ascii="Arial" w:hAnsi="Arial" w:cs="Arial"/>
                <w:b/>
                <w:bCs/>
                <w:color w:val="000000"/>
                <w:sz w:val="14"/>
                <w:szCs w:val="14"/>
                <w:lang w:eastAsia="es-AR"/>
              </w:rPr>
              <w:t>1.675.282</w:t>
            </w:r>
            <w:r w:rsidR="009542DE" w:rsidRPr="009542DE">
              <w:rPr>
                <w:rFonts w:ascii="Arial" w:hAnsi="Arial" w:cs="Arial"/>
                <w:b/>
                <w:bCs/>
                <w:color w:val="000000"/>
                <w:sz w:val="14"/>
                <w:szCs w:val="14"/>
                <w:lang w:eastAsia="es-AR"/>
              </w:rPr>
              <w:t xml:space="preserve"> </w:t>
            </w:r>
          </w:p>
        </w:tc>
      </w:tr>
    </w:tbl>
    <w:p w14:paraId="6BA29625" w14:textId="77777777" w:rsidR="000C1DBC" w:rsidRPr="00701F32" w:rsidRDefault="000C1DBC" w:rsidP="00FE2245">
      <w:pPr>
        <w:spacing w:after="160" w:line="259" w:lineRule="auto"/>
        <w:jc w:val="both"/>
        <w:rPr>
          <w:rFonts w:ascii="Arial" w:eastAsia="Calibri" w:hAnsi="Arial" w:cs="Arial"/>
          <w:sz w:val="20"/>
        </w:rPr>
      </w:pPr>
    </w:p>
    <w:p w14:paraId="1B044858" w14:textId="372568E5" w:rsidR="00FE2245" w:rsidRDefault="00FE2245" w:rsidP="00FE2245">
      <w:pPr>
        <w:spacing w:after="160" w:line="259" w:lineRule="auto"/>
        <w:jc w:val="both"/>
        <w:rPr>
          <w:rFonts w:ascii="Arial" w:eastAsia="Calibri" w:hAnsi="Arial" w:cs="Arial"/>
          <w:sz w:val="20"/>
        </w:rPr>
      </w:pPr>
      <w:r w:rsidRPr="00701F32">
        <w:rPr>
          <w:rFonts w:ascii="Arial" w:eastAsia="Calibri" w:hAnsi="Arial" w:cs="Arial"/>
          <w:sz w:val="20"/>
        </w:rPr>
        <w:t>Los movimientos en propiedades de inversión para el ejercicio finalizado el 31 de diciembre 201</w:t>
      </w:r>
      <w:r w:rsidR="0036152D">
        <w:rPr>
          <w:rFonts w:ascii="Arial" w:eastAsia="Calibri" w:hAnsi="Arial" w:cs="Arial"/>
          <w:sz w:val="20"/>
        </w:rPr>
        <w:t>8</w:t>
      </w:r>
      <w:r w:rsidRPr="00701F32">
        <w:rPr>
          <w:rFonts w:ascii="Arial" w:eastAsia="Calibri" w:hAnsi="Arial" w:cs="Arial"/>
          <w:sz w:val="20"/>
        </w:rPr>
        <w:t xml:space="preserve"> fueron los siguientes:</w:t>
      </w:r>
    </w:p>
    <w:tbl>
      <w:tblPr>
        <w:tblW w:w="9709" w:type="dxa"/>
        <w:tblLayout w:type="fixed"/>
        <w:tblCellMar>
          <w:left w:w="70" w:type="dxa"/>
          <w:right w:w="70" w:type="dxa"/>
        </w:tblCellMar>
        <w:tblLook w:val="04A0" w:firstRow="1" w:lastRow="0" w:firstColumn="1" w:lastColumn="0" w:noHBand="0" w:noVBand="1"/>
      </w:tblPr>
      <w:tblGrid>
        <w:gridCol w:w="1913"/>
        <w:gridCol w:w="922"/>
        <w:gridCol w:w="840"/>
        <w:gridCol w:w="1073"/>
        <w:gridCol w:w="708"/>
        <w:gridCol w:w="735"/>
        <w:gridCol w:w="1006"/>
        <w:gridCol w:w="798"/>
        <w:gridCol w:w="801"/>
        <w:gridCol w:w="913"/>
      </w:tblGrid>
      <w:tr w:rsidR="00E83D53" w:rsidRPr="0036152D" w14:paraId="4384DD53" w14:textId="77777777" w:rsidTr="00A059FB">
        <w:trPr>
          <w:trHeight w:val="334"/>
        </w:trPr>
        <w:tc>
          <w:tcPr>
            <w:tcW w:w="19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EBBD62" w14:textId="77777777" w:rsidR="00E83D53" w:rsidRPr="006E1AF7" w:rsidRDefault="00E83D53" w:rsidP="00133704">
            <w:pPr>
              <w:jc w:val="center"/>
              <w:rPr>
                <w:rFonts w:ascii="Arial" w:hAnsi="Arial" w:cs="Arial"/>
                <w:b/>
                <w:bCs/>
                <w:sz w:val="14"/>
                <w:szCs w:val="14"/>
                <w:lang w:eastAsia="es-AR"/>
              </w:rPr>
            </w:pPr>
            <w:r w:rsidRPr="006E1AF7">
              <w:rPr>
                <w:rFonts w:ascii="Arial" w:hAnsi="Arial" w:cs="Arial"/>
                <w:b/>
                <w:bCs/>
                <w:sz w:val="14"/>
                <w:szCs w:val="14"/>
                <w:lang w:eastAsia="es-AR"/>
              </w:rPr>
              <w:t>Concepto</w:t>
            </w:r>
          </w:p>
        </w:tc>
        <w:tc>
          <w:tcPr>
            <w:tcW w:w="922"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19CD2050" w14:textId="77777777" w:rsidR="00E83D53" w:rsidRPr="0036152D" w:rsidRDefault="00E83D53" w:rsidP="00133704">
            <w:pPr>
              <w:jc w:val="center"/>
              <w:rPr>
                <w:rFonts w:ascii="Arial" w:hAnsi="Arial" w:cs="Arial"/>
                <w:b/>
                <w:bCs/>
                <w:sz w:val="14"/>
                <w:szCs w:val="14"/>
                <w:lang w:eastAsia="es-AR"/>
              </w:rPr>
            </w:pPr>
            <w:r w:rsidRPr="006E1AF7">
              <w:rPr>
                <w:rFonts w:ascii="Arial" w:hAnsi="Arial" w:cs="Arial"/>
                <w:b/>
                <w:bCs/>
                <w:sz w:val="14"/>
                <w:szCs w:val="14"/>
                <w:lang w:eastAsia="es-AR"/>
              </w:rPr>
              <w:t>Valor de origen al inicio del ejercicio</w:t>
            </w:r>
          </w:p>
        </w:tc>
        <w:tc>
          <w:tcPr>
            <w:tcW w:w="840"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6D5D4A04" w14:textId="77777777" w:rsidR="00E83D53" w:rsidRPr="0036152D" w:rsidRDefault="00E83D53" w:rsidP="00133704">
            <w:pPr>
              <w:jc w:val="center"/>
              <w:rPr>
                <w:rFonts w:ascii="Arial" w:hAnsi="Arial" w:cs="Arial"/>
                <w:b/>
                <w:bCs/>
                <w:sz w:val="14"/>
                <w:szCs w:val="14"/>
                <w:lang w:eastAsia="es-AR"/>
              </w:rPr>
            </w:pPr>
            <w:r w:rsidRPr="006E1AF7">
              <w:rPr>
                <w:rFonts w:ascii="Arial" w:hAnsi="Arial" w:cs="Arial"/>
                <w:b/>
                <w:bCs/>
                <w:sz w:val="14"/>
                <w:szCs w:val="14"/>
                <w:lang w:eastAsia="es-AR"/>
              </w:rPr>
              <w:t>Vida Útil total estimada en años</w:t>
            </w:r>
          </w:p>
        </w:tc>
        <w:tc>
          <w:tcPr>
            <w:tcW w:w="1073" w:type="dxa"/>
            <w:vMerge w:val="restart"/>
            <w:tcBorders>
              <w:top w:val="single" w:sz="4" w:space="0" w:color="363639"/>
              <w:left w:val="single" w:sz="4" w:space="0" w:color="363639"/>
              <w:bottom w:val="single" w:sz="4" w:space="0" w:color="363639"/>
              <w:right w:val="single" w:sz="4" w:space="0" w:color="363639"/>
            </w:tcBorders>
            <w:shd w:val="clear" w:color="auto" w:fill="auto"/>
            <w:hideMark/>
          </w:tcPr>
          <w:p w14:paraId="2EED7B0F" w14:textId="77777777" w:rsidR="00E83D53" w:rsidRPr="0036152D" w:rsidRDefault="00E83D53" w:rsidP="00133704">
            <w:pPr>
              <w:jc w:val="center"/>
              <w:rPr>
                <w:rFonts w:ascii="Arial" w:hAnsi="Arial" w:cs="Arial"/>
                <w:b/>
                <w:bCs/>
                <w:sz w:val="14"/>
                <w:szCs w:val="14"/>
                <w:lang w:eastAsia="es-AR"/>
              </w:rPr>
            </w:pPr>
            <w:r w:rsidRPr="006E1AF7">
              <w:rPr>
                <w:rFonts w:ascii="Arial" w:hAnsi="Arial" w:cs="Arial"/>
                <w:b/>
                <w:bCs/>
                <w:sz w:val="14"/>
                <w:szCs w:val="14"/>
                <w:lang w:eastAsia="es-AR"/>
              </w:rPr>
              <w:t>Pérdida/ Ganancia Neta por medición a VR</w:t>
            </w:r>
          </w:p>
        </w:tc>
        <w:tc>
          <w:tcPr>
            <w:tcW w:w="708"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6796AECF" w14:textId="77777777" w:rsidR="00E83D53" w:rsidRPr="0036152D" w:rsidRDefault="00E83D53" w:rsidP="00133704">
            <w:pPr>
              <w:jc w:val="center"/>
              <w:rPr>
                <w:rFonts w:ascii="Arial" w:hAnsi="Arial" w:cs="Arial"/>
                <w:b/>
                <w:bCs/>
                <w:sz w:val="14"/>
                <w:szCs w:val="14"/>
                <w:lang w:eastAsia="es-AR"/>
              </w:rPr>
            </w:pPr>
            <w:r w:rsidRPr="006E1AF7">
              <w:rPr>
                <w:rFonts w:ascii="Arial" w:hAnsi="Arial" w:cs="Arial"/>
                <w:b/>
                <w:bCs/>
                <w:sz w:val="14"/>
                <w:szCs w:val="14"/>
                <w:lang w:eastAsia="es-AR"/>
              </w:rPr>
              <w:t>Altas</w:t>
            </w:r>
          </w:p>
        </w:tc>
        <w:tc>
          <w:tcPr>
            <w:tcW w:w="735" w:type="dxa"/>
            <w:vMerge w:val="restart"/>
            <w:tcBorders>
              <w:top w:val="single" w:sz="4" w:space="0" w:color="363639"/>
              <w:left w:val="single" w:sz="4" w:space="0" w:color="363639"/>
              <w:bottom w:val="single" w:sz="4" w:space="0" w:color="363639"/>
              <w:right w:val="single" w:sz="4" w:space="0" w:color="363639"/>
            </w:tcBorders>
            <w:shd w:val="clear" w:color="auto" w:fill="auto"/>
            <w:vAlign w:val="center"/>
            <w:hideMark/>
          </w:tcPr>
          <w:p w14:paraId="1ABD3C87" w14:textId="77777777" w:rsidR="00E83D53" w:rsidRPr="0036152D" w:rsidRDefault="00E83D53" w:rsidP="00133704">
            <w:pPr>
              <w:jc w:val="center"/>
              <w:rPr>
                <w:rFonts w:ascii="Arial" w:hAnsi="Arial" w:cs="Arial"/>
                <w:b/>
                <w:bCs/>
                <w:sz w:val="14"/>
                <w:szCs w:val="14"/>
                <w:lang w:eastAsia="es-AR"/>
              </w:rPr>
            </w:pPr>
            <w:r w:rsidRPr="006E1AF7">
              <w:rPr>
                <w:rFonts w:ascii="Arial" w:hAnsi="Arial" w:cs="Arial"/>
                <w:b/>
                <w:bCs/>
                <w:sz w:val="14"/>
                <w:szCs w:val="14"/>
                <w:lang w:eastAsia="es-AR"/>
              </w:rPr>
              <w:t>Bajas</w:t>
            </w:r>
          </w:p>
        </w:tc>
        <w:tc>
          <w:tcPr>
            <w:tcW w:w="2605" w:type="dxa"/>
            <w:gridSpan w:val="3"/>
            <w:tcBorders>
              <w:top w:val="single" w:sz="4" w:space="0" w:color="363639"/>
              <w:left w:val="nil"/>
              <w:bottom w:val="single" w:sz="4" w:space="0" w:color="363639"/>
              <w:right w:val="single" w:sz="4" w:space="0" w:color="363639"/>
            </w:tcBorders>
            <w:shd w:val="clear" w:color="auto" w:fill="auto"/>
            <w:hideMark/>
          </w:tcPr>
          <w:p w14:paraId="68C7CE26" w14:textId="77777777" w:rsidR="00E83D53" w:rsidRPr="0036152D" w:rsidRDefault="00E83D53" w:rsidP="00133704">
            <w:pPr>
              <w:jc w:val="center"/>
              <w:rPr>
                <w:rFonts w:ascii="Arial" w:hAnsi="Arial" w:cs="Arial"/>
                <w:b/>
                <w:bCs/>
                <w:sz w:val="14"/>
                <w:szCs w:val="14"/>
                <w:lang w:eastAsia="es-AR"/>
              </w:rPr>
            </w:pPr>
            <w:r w:rsidRPr="006E1AF7">
              <w:rPr>
                <w:rFonts w:ascii="Arial" w:hAnsi="Arial" w:cs="Arial"/>
                <w:b/>
                <w:bCs/>
                <w:sz w:val="14"/>
                <w:szCs w:val="14"/>
                <w:lang w:eastAsia="es-AR"/>
              </w:rPr>
              <w:t>Depreciación</w:t>
            </w:r>
          </w:p>
        </w:tc>
        <w:tc>
          <w:tcPr>
            <w:tcW w:w="913" w:type="dxa"/>
            <w:vMerge w:val="restart"/>
            <w:tcBorders>
              <w:top w:val="single" w:sz="4" w:space="0" w:color="363639"/>
              <w:left w:val="single" w:sz="4" w:space="0" w:color="363639"/>
              <w:bottom w:val="single" w:sz="4" w:space="0" w:color="363639"/>
              <w:right w:val="single" w:sz="4" w:space="0" w:color="auto"/>
            </w:tcBorders>
            <w:shd w:val="clear" w:color="auto" w:fill="auto"/>
            <w:hideMark/>
          </w:tcPr>
          <w:p w14:paraId="543C701B" w14:textId="77777777" w:rsidR="00E83D53" w:rsidRPr="006E1AF7" w:rsidRDefault="00E83D53" w:rsidP="00133704">
            <w:pPr>
              <w:jc w:val="center"/>
              <w:rPr>
                <w:rFonts w:ascii="Arial" w:hAnsi="Arial" w:cs="Arial"/>
                <w:b/>
                <w:bCs/>
                <w:sz w:val="14"/>
                <w:szCs w:val="14"/>
                <w:lang w:eastAsia="es-AR"/>
              </w:rPr>
            </w:pPr>
            <w:r w:rsidRPr="006E1AF7">
              <w:rPr>
                <w:rFonts w:ascii="Arial" w:hAnsi="Arial" w:cs="Arial"/>
                <w:b/>
                <w:bCs/>
                <w:sz w:val="14"/>
                <w:szCs w:val="14"/>
                <w:lang w:eastAsia="es-AR"/>
              </w:rPr>
              <w:t xml:space="preserve">Valor </w:t>
            </w:r>
          </w:p>
          <w:p w14:paraId="2DA58FA8" w14:textId="3135ED30" w:rsidR="00E83D53" w:rsidRPr="0036152D" w:rsidRDefault="00E83D53" w:rsidP="00133704">
            <w:pPr>
              <w:jc w:val="center"/>
              <w:rPr>
                <w:rFonts w:ascii="Arial" w:hAnsi="Arial" w:cs="Arial"/>
                <w:b/>
                <w:bCs/>
                <w:sz w:val="14"/>
                <w:szCs w:val="14"/>
                <w:lang w:eastAsia="es-AR"/>
              </w:rPr>
            </w:pPr>
            <w:r w:rsidRPr="006E1AF7">
              <w:rPr>
                <w:rFonts w:ascii="Arial" w:hAnsi="Arial" w:cs="Arial"/>
                <w:b/>
                <w:bCs/>
                <w:sz w:val="14"/>
                <w:szCs w:val="14"/>
                <w:lang w:eastAsia="es-AR"/>
              </w:rPr>
              <w:t xml:space="preserve">residual al cierre del </w:t>
            </w:r>
            <w:r w:rsidR="0036152D">
              <w:rPr>
                <w:rFonts w:ascii="Arial" w:hAnsi="Arial" w:cs="Arial"/>
                <w:b/>
                <w:bCs/>
                <w:sz w:val="14"/>
                <w:szCs w:val="14"/>
                <w:lang w:eastAsia="es-AR"/>
              </w:rPr>
              <w:t>ejercicio</w:t>
            </w:r>
          </w:p>
        </w:tc>
      </w:tr>
      <w:tr w:rsidR="00E83D53" w:rsidRPr="0036152D" w14:paraId="7A538A9B" w14:textId="77777777" w:rsidTr="00A059FB">
        <w:trPr>
          <w:trHeight w:val="334"/>
        </w:trPr>
        <w:tc>
          <w:tcPr>
            <w:tcW w:w="1913" w:type="dxa"/>
            <w:vMerge/>
            <w:tcBorders>
              <w:top w:val="single" w:sz="4" w:space="0" w:color="auto"/>
              <w:left w:val="single" w:sz="4" w:space="0" w:color="auto"/>
              <w:bottom w:val="single" w:sz="4" w:space="0" w:color="auto"/>
              <w:right w:val="single" w:sz="4" w:space="0" w:color="auto"/>
            </w:tcBorders>
            <w:vAlign w:val="center"/>
            <w:hideMark/>
          </w:tcPr>
          <w:p w14:paraId="5B2B82F5" w14:textId="77777777" w:rsidR="00E83D53" w:rsidRPr="006E1AF7" w:rsidRDefault="00E83D53" w:rsidP="00133704">
            <w:pPr>
              <w:rPr>
                <w:rFonts w:ascii="Arial" w:hAnsi="Arial" w:cs="Arial"/>
                <w:b/>
                <w:bCs/>
                <w:sz w:val="14"/>
                <w:szCs w:val="14"/>
                <w:lang w:eastAsia="es-AR"/>
              </w:rPr>
            </w:pPr>
          </w:p>
        </w:tc>
        <w:tc>
          <w:tcPr>
            <w:tcW w:w="922" w:type="dxa"/>
            <w:vMerge/>
            <w:tcBorders>
              <w:top w:val="single" w:sz="4" w:space="0" w:color="363639"/>
              <w:left w:val="single" w:sz="4" w:space="0" w:color="363639"/>
              <w:bottom w:val="single" w:sz="4" w:space="0" w:color="363639"/>
              <w:right w:val="single" w:sz="4" w:space="0" w:color="363639"/>
            </w:tcBorders>
            <w:vAlign w:val="center"/>
            <w:hideMark/>
          </w:tcPr>
          <w:p w14:paraId="2F4BC79F" w14:textId="77777777" w:rsidR="00E83D53" w:rsidRPr="0036152D" w:rsidRDefault="00E83D53" w:rsidP="00133704">
            <w:pPr>
              <w:rPr>
                <w:rFonts w:ascii="Arial" w:hAnsi="Arial" w:cs="Arial"/>
                <w:b/>
                <w:bCs/>
                <w:sz w:val="14"/>
                <w:szCs w:val="14"/>
                <w:lang w:eastAsia="es-AR"/>
              </w:rPr>
            </w:pPr>
          </w:p>
        </w:tc>
        <w:tc>
          <w:tcPr>
            <w:tcW w:w="840" w:type="dxa"/>
            <w:vMerge/>
            <w:tcBorders>
              <w:top w:val="single" w:sz="4" w:space="0" w:color="363639"/>
              <w:left w:val="single" w:sz="4" w:space="0" w:color="363639"/>
              <w:bottom w:val="single" w:sz="4" w:space="0" w:color="363639"/>
              <w:right w:val="single" w:sz="4" w:space="0" w:color="363639"/>
            </w:tcBorders>
            <w:vAlign w:val="center"/>
            <w:hideMark/>
          </w:tcPr>
          <w:p w14:paraId="0935F7B5" w14:textId="77777777" w:rsidR="00E83D53" w:rsidRPr="0036152D" w:rsidRDefault="00E83D53" w:rsidP="00133704">
            <w:pPr>
              <w:rPr>
                <w:rFonts w:ascii="Arial" w:hAnsi="Arial" w:cs="Arial"/>
                <w:b/>
                <w:bCs/>
                <w:sz w:val="14"/>
                <w:szCs w:val="14"/>
                <w:lang w:eastAsia="es-AR"/>
              </w:rPr>
            </w:pPr>
          </w:p>
        </w:tc>
        <w:tc>
          <w:tcPr>
            <w:tcW w:w="1073" w:type="dxa"/>
            <w:vMerge/>
            <w:tcBorders>
              <w:top w:val="single" w:sz="4" w:space="0" w:color="363639"/>
              <w:left w:val="single" w:sz="4" w:space="0" w:color="363639"/>
              <w:bottom w:val="single" w:sz="4" w:space="0" w:color="363639"/>
              <w:right w:val="single" w:sz="4" w:space="0" w:color="363639"/>
            </w:tcBorders>
            <w:vAlign w:val="center"/>
            <w:hideMark/>
          </w:tcPr>
          <w:p w14:paraId="766C7F2B" w14:textId="77777777" w:rsidR="00E83D53" w:rsidRPr="0036152D" w:rsidRDefault="00E83D53" w:rsidP="00133704">
            <w:pPr>
              <w:rPr>
                <w:rFonts w:ascii="Arial" w:hAnsi="Arial" w:cs="Arial"/>
                <w:b/>
                <w:bCs/>
                <w:sz w:val="14"/>
                <w:szCs w:val="14"/>
                <w:lang w:eastAsia="es-AR"/>
              </w:rPr>
            </w:pPr>
          </w:p>
        </w:tc>
        <w:tc>
          <w:tcPr>
            <w:tcW w:w="708" w:type="dxa"/>
            <w:vMerge/>
            <w:tcBorders>
              <w:top w:val="single" w:sz="4" w:space="0" w:color="363639"/>
              <w:left w:val="single" w:sz="4" w:space="0" w:color="363639"/>
              <w:bottom w:val="single" w:sz="4" w:space="0" w:color="363639"/>
              <w:right w:val="single" w:sz="4" w:space="0" w:color="363639"/>
            </w:tcBorders>
            <w:vAlign w:val="center"/>
            <w:hideMark/>
          </w:tcPr>
          <w:p w14:paraId="3B57791A" w14:textId="77777777" w:rsidR="00E83D53" w:rsidRPr="0036152D" w:rsidRDefault="00E83D53" w:rsidP="00133704">
            <w:pPr>
              <w:rPr>
                <w:rFonts w:ascii="Arial" w:hAnsi="Arial" w:cs="Arial"/>
                <w:b/>
                <w:bCs/>
                <w:sz w:val="14"/>
                <w:szCs w:val="14"/>
                <w:lang w:eastAsia="es-AR"/>
              </w:rPr>
            </w:pPr>
          </w:p>
        </w:tc>
        <w:tc>
          <w:tcPr>
            <w:tcW w:w="735" w:type="dxa"/>
            <w:vMerge/>
            <w:tcBorders>
              <w:top w:val="single" w:sz="4" w:space="0" w:color="363639"/>
              <w:left w:val="single" w:sz="4" w:space="0" w:color="363639"/>
              <w:bottom w:val="single" w:sz="4" w:space="0" w:color="363639"/>
              <w:right w:val="single" w:sz="4" w:space="0" w:color="363639"/>
            </w:tcBorders>
            <w:vAlign w:val="center"/>
            <w:hideMark/>
          </w:tcPr>
          <w:p w14:paraId="25CDA440" w14:textId="77777777" w:rsidR="00E83D53" w:rsidRPr="0036152D" w:rsidRDefault="00E83D53" w:rsidP="00133704">
            <w:pPr>
              <w:rPr>
                <w:rFonts w:ascii="Arial" w:hAnsi="Arial" w:cs="Arial"/>
                <w:b/>
                <w:bCs/>
                <w:sz w:val="14"/>
                <w:szCs w:val="14"/>
                <w:lang w:eastAsia="es-AR"/>
              </w:rPr>
            </w:pPr>
          </w:p>
        </w:tc>
        <w:tc>
          <w:tcPr>
            <w:tcW w:w="1006" w:type="dxa"/>
            <w:tcBorders>
              <w:top w:val="nil"/>
              <w:left w:val="nil"/>
              <w:bottom w:val="single" w:sz="4" w:space="0" w:color="363639"/>
              <w:right w:val="single" w:sz="4" w:space="0" w:color="363639"/>
            </w:tcBorders>
            <w:shd w:val="clear" w:color="auto" w:fill="auto"/>
            <w:vAlign w:val="center"/>
            <w:hideMark/>
          </w:tcPr>
          <w:p w14:paraId="5D2301DE" w14:textId="7CD915AA" w:rsidR="00E83D53" w:rsidRPr="0036152D" w:rsidRDefault="00456A55" w:rsidP="00133704">
            <w:pPr>
              <w:jc w:val="center"/>
              <w:rPr>
                <w:rFonts w:ascii="Arial" w:hAnsi="Arial" w:cs="Arial"/>
                <w:b/>
                <w:bCs/>
                <w:sz w:val="14"/>
                <w:szCs w:val="14"/>
                <w:lang w:eastAsia="es-AR"/>
              </w:rPr>
            </w:pPr>
            <w:r>
              <w:rPr>
                <w:rFonts w:ascii="Arial" w:hAnsi="Arial" w:cs="Arial"/>
                <w:b/>
                <w:bCs/>
                <w:sz w:val="14"/>
                <w:szCs w:val="14"/>
                <w:lang w:eastAsia="es-AR"/>
              </w:rPr>
              <w:t>Baja</w:t>
            </w:r>
          </w:p>
        </w:tc>
        <w:tc>
          <w:tcPr>
            <w:tcW w:w="798" w:type="dxa"/>
            <w:tcBorders>
              <w:top w:val="nil"/>
              <w:left w:val="nil"/>
              <w:bottom w:val="single" w:sz="4" w:space="0" w:color="363639"/>
              <w:right w:val="single" w:sz="4" w:space="0" w:color="363639"/>
            </w:tcBorders>
            <w:shd w:val="clear" w:color="auto" w:fill="auto"/>
            <w:vAlign w:val="center"/>
            <w:hideMark/>
          </w:tcPr>
          <w:p w14:paraId="230B7A97" w14:textId="2F2102AF" w:rsidR="00E83D53" w:rsidRPr="0036152D" w:rsidRDefault="00E83D53" w:rsidP="00133704">
            <w:pPr>
              <w:jc w:val="center"/>
              <w:rPr>
                <w:rFonts w:ascii="Arial" w:hAnsi="Arial" w:cs="Arial"/>
                <w:b/>
                <w:bCs/>
                <w:sz w:val="14"/>
                <w:szCs w:val="14"/>
                <w:lang w:eastAsia="es-AR"/>
              </w:rPr>
            </w:pPr>
            <w:r w:rsidRPr="006E1AF7">
              <w:rPr>
                <w:rFonts w:ascii="Arial" w:hAnsi="Arial" w:cs="Arial"/>
                <w:b/>
                <w:bCs/>
                <w:sz w:val="14"/>
                <w:szCs w:val="14"/>
                <w:lang w:eastAsia="es-AR"/>
              </w:rPr>
              <w:t xml:space="preserve">Del </w:t>
            </w:r>
            <w:r w:rsidR="0036152D">
              <w:rPr>
                <w:rFonts w:ascii="Arial" w:hAnsi="Arial" w:cs="Arial"/>
                <w:b/>
                <w:bCs/>
                <w:sz w:val="14"/>
                <w:szCs w:val="14"/>
                <w:lang w:eastAsia="es-AR"/>
              </w:rPr>
              <w:t>ejercicio</w:t>
            </w:r>
          </w:p>
        </w:tc>
        <w:tc>
          <w:tcPr>
            <w:tcW w:w="801" w:type="dxa"/>
            <w:tcBorders>
              <w:top w:val="nil"/>
              <w:left w:val="nil"/>
              <w:bottom w:val="single" w:sz="4" w:space="0" w:color="363639"/>
              <w:right w:val="single" w:sz="4" w:space="0" w:color="363639"/>
            </w:tcBorders>
            <w:shd w:val="clear" w:color="auto" w:fill="auto"/>
            <w:vAlign w:val="center"/>
            <w:hideMark/>
          </w:tcPr>
          <w:p w14:paraId="0A6ABDA3" w14:textId="77777777" w:rsidR="00E83D53" w:rsidRPr="0036152D" w:rsidRDefault="00E83D53" w:rsidP="00133704">
            <w:pPr>
              <w:jc w:val="center"/>
              <w:rPr>
                <w:rFonts w:ascii="Arial" w:hAnsi="Arial" w:cs="Arial"/>
                <w:b/>
                <w:bCs/>
                <w:sz w:val="14"/>
                <w:szCs w:val="14"/>
                <w:lang w:eastAsia="es-AR"/>
              </w:rPr>
            </w:pPr>
            <w:r w:rsidRPr="006E1AF7">
              <w:rPr>
                <w:rFonts w:ascii="Arial" w:hAnsi="Arial" w:cs="Arial"/>
                <w:b/>
                <w:bCs/>
                <w:sz w:val="14"/>
                <w:szCs w:val="14"/>
                <w:lang w:eastAsia="es-AR"/>
              </w:rPr>
              <w:t>Al cierre</w:t>
            </w:r>
          </w:p>
        </w:tc>
        <w:tc>
          <w:tcPr>
            <w:tcW w:w="913" w:type="dxa"/>
            <w:vMerge/>
            <w:tcBorders>
              <w:top w:val="single" w:sz="4" w:space="0" w:color="363639"/>
              <w:left w:val="single" w:sz="4" w:space="0" w:color="363639"/>
              <w:bottom w:val="single" w:sz="4" w:space="0" w:color="363639"/>
              <w:right w:val="single" w:sz="4" w:space="0" w:color="auto"/>
            </w:tcBorders>
            <w:vAlign w:val="center"/>
            <w:hideMark/>
          </w:tcPr>
          <w:p w14:paraId="3BF9D455" w14:textId="77777777" w:rsidR="00E83D53" w:rsidRPr="0036152D" w:rsidRDefault="00E83D53" w:rsidP="00133704">
            <w:pPr>
              <w:rPr>
                <w:rFonts w:ascii="Arial" w:hAnsi="Arial" w:cs="Arial"/>
                <w:b/>
                <w:bCs/>
                <w:sz w:val="14"/>
                <w:szCs w:val="14"/>
                <w:lang w:eastAsia="es-AR"/>
              </w:rPr>
            </w:pPr>
          </w:p>
        </w:tc>
      </w:tr>
      <w:tr w:rsidR="00E83D53" w:rsidRPr="0036152D" w14:paraId="04D7F0EE" w14:textId="77777777" w:rsidTr="00A059FB">
        <w:trPr>
          <w:trHeight w:val="307"/>
        </w:trPr>
        <w:tc>
          <w:tcPr>
            <w:tcW w:w="9709" w:type="dxa"/>
            <w:gridSpan w:val="10"/>
            <w:tcBorders>
              <w:top w:val="nil"/>
              <w:left w:val="single" w:sz="4" w:space="0" w:color="363639"/>
              <w:bottom w:val="single" w:sz="4" w:space="0" w:color="363639"/>
              <w:right w:val="single" w:sz="4" w:space="0" w:color="000000"/>
            </w:tcBorders>
            <w:shd w:val="clear" w:color="auto" w:fill="auto"/>
            <w:hideMark/>
          </w:tcPr>
          <w:p w14:paraId="71F95251" w14:textId="77777777" w:rsidR="00E83D53" w:rsidRPr="0036152D" w:rsidRDefault="00E83D53" w:rsidP="00133704">
            <w:pPr>
              <w:rPr>
                <w:rFonts w:ascii="Arial" w:hAnsi="Arial" w:cs="Arial"/>
                <w:b/>
                <w:bCs/>
                <w:sz w:val="14"/>
                <w:szCs w:val="14"/>
                <w:lang w:eastAsia="es-AR"/>
              </w:rPr>
            </w:pPr>
            <w:r w:rsidRPr="006E1AF7">
              <w:rPr>
                <w:rFonts w:ascii="Arial" w:hAnsi="Arial" w:cs="Arial"/>
                <w:b/>
                <w:bCs/>
                <w:sz w:val="14"/>
                <w:szCs w:val="14"/>
                <w:lang w:eastAsia="es-AR"/>
              </w:rPr>
              <w:t>Medición al costo</w:t>
            </w:r>
          </w:p>
        </w:tc>
      </w:tr>
      <w:tr w:rsidR="00E83D53" w:rsidRPr="0036152D" w14:paraId="21C343FF" w14:textId="77777777" w:rsidTr="00A059FB">
        <w:trPr>
          <w:trHeight w:val="207"/>
        </w:trPr>
        <w:tc>
          <w:tcPr>
            <w:tcW w:w="1913" w:type="dxa"/>
            <w:tcBorders>
              <w:top w:val="single" w:sz="4" w:space="0" w:color="AC9F9B"/>
              <w:left w:val="single" w:sz="4" w:space="0" w:color="363639"/>
              <w:bottom w:val="single" w:sz="4" w:space="0" w:color="363639"/>
              <w:right w:val="single" w:sz="4" w:space="0" w:color="363639"/>
            </w:tcBorders>
            <w:shd w:val="clear" w:color="auto" w:fill="auto"/>
            <w:hideMark/>
          </w:tcPr>
          <w:p w14:paraId="6B42858B" w14:textId="77777777" w:rsidR="00E83D53" w:rsidRPr="0036152D" w:rsidRDefault="00E83D53" w:rsidP="00133704">
            <w:pPr>
              <w:rPr>
                <w:rFonts w:ascii="Arial" w:hAnsi="Arial" w:cs="Arial"/>
                <w:sz w:val="14"/>
                <w:szCs w:val="14"/>
                <w:lang w:eastAsia="es-AR"/>
              </w:rPr>
            </w:pPr>
            <w:r w:rsidRPr="006E1AF7">
              <w:rPr>
                <w:rFonts w:ascii="Arial" w:hAnsi="Arial" w:cs="Arial"/>
                <w:sz w:val="14"/>
                <w:szCs w:val="14"/>
                <w:lang w:eastAsia="es-AR"/>
              </w:rPr>
              <w:t>Inmuebles alquilados</w:t>
            </w:r>
          </w:p>
        </w:tc>
        <w:tc>
          <w:tcPr>
            <w:tcW w:w="922" w:type="dxa"/>
            <w:tcBorders>
              <w:top w:val="nil"/>
              <w:left w:val="nil"/>
              <w:bottom w:val="single" w:sz="4" w:space="0" w:color="auto"/>
              <w:right w:val="single" w:sz="4" w:space="0" w:color="363639"/>
            </w:tcBorders>
            <w:shd w:val="clear" w:color="auto" w:fill="auto"/>
            <w:noWrap/>
            <w:vAlign w:val="bottom"/>
            <w:hideMark/>
          </w:tcPr>
          <w:p w14:paraId="720A1057" w14:textId="2070CB05" w:rsidR="00E83D53" w:rsidRPr="0036152D" w:rsidRDefault="00456A55" w:rsidP="00133704">
            <w:pPr>
              <w:jc w:val="right"/>
              <w:rPr>
                <w:rFonts w:ascii="Arial" w:hAnsi="Arial" w:cs="Arial"/>
                <w:b/>
                <w:sz w:val="14"/>
                <w:szCs w:val="14"/>
                <w:lang w:eastAsia="es-AR"/>
              </w:rPr>
            </w:pPr>
            <w:r>
              <w:rPr>
                <w:rFonts w:ascii="Arial" w:hAnsi="Arial" w:cs="Arial"/>
                <w:b/>
                <w:sz w:val="14"/>
                <w:szCs w:val="14"/>
                <w:lang w:eastAsia="es-AR"/>
              </w:rPr>
              <w:t>0</w:t>
            </w:r>
            <w:r w:rsidR="00E83D53" w:rsidRPr="0036152D">
              <w:rPr>
                <w:rFonts w:ascii="Arial" w:hAnsi="Arial" w:cs="Arial"/>
                <w:b/>
                <w:sz w:val="14"/>
                <w:szCs w:val="14"/>
                <w:lang w:eastAsia="es-AR"/>
              </w:rPr>
              <w:t xml:space="preserve"> </w:t>
            </w:r>
          </w:p>
        </w:tc>
        <w:tc>
          <w:tcPr>
            <w:tcW w:w="840" w:type="dxa"/>
            <w:tcBorders>
              <w:top w:val="nil"/>
              <w:left w:val="nil"/>
              <w:bottom w:val="single" w:sz="4" w:space="0" w:color="auto"/>
              <w:right w:val="single" w:sz="4" w:space="0" w:color="363639"/>
            </w:tcBorders>
            <w:shd w:val="clear" w:color="auto" w:fill="auto"/>
            <w:noWrap/>
            <w:vAlign w:val="bottom"/>
            <w:hideMark/>
          </w:tcPr>
          <w:p w14:paraId="0721DAB6" w14:textId="77777777" w:rsidR="00E83D53" w:rsidRPr="0036152D" w:rsidRDefault="00E83D53" w:rsidP="00133704">
            <w:pPr>
              <w:jc w:val="right"/>
              <w:rPr>
                <w:rFonts w:ascii="Arial" w:hAnsi="Arial" w:cs="Arial"/>
                <w:sz w:val="14"/>
                <w:szCs w:val="14"/>
                <w:lang w:eastAsia="es-AR"/>
              </w:rPr>
            </w:pPr>
            <w:r w:rsidRPr="0036152D">
              <w:rPr>
                <w:rFonts w:ascii="Arial" w:hAnsi="Arial" w:cs="Arial"/>
                <w:sz w:val="14"/>
                <w:szCs w:val="14"/>
                <w:lang w:eastAsia="es-AR"/>
              </w:rPr>
              <w:t xml:space="preserve">5 </w:t>
            </w:r>
          </w:p>
        </w:tc>
        <w:tc>
          <w:tcPr>
            <w:tcW w:w="1073" w:type="dxa"/>
            <w:tcBorders>
              <w:top w:val="nil"/>
              <w:left w:val="nil"/>
              <w:bottom w:val="single" w:sz="4" w:space="0" w:color="363639"/>
              <w:right w:val="single" w:sz="4" w:space="0" w:color="363639"/>
            </w:tcBorders>
            <w:shd w:val="clear" w:color="auto" w:fill="auto"/>
            <w:vAlign w:val="bottom"/>
            <w:hideMark/>
          </w:tcPr>
          <w:p w14:paraId="38D02A65" w14:textId="4E35840D" w:rsidR="00E83D53" w:rsidRPr="0036152D" w:rsidRDefault="00E83D53" w:rsidP="002E1657">
            <w:pPr>
              <w:jc w:val="right"/>
              <w:rPr>
                <w:rFonts w:ascii="Calibri" w:hAnsi="Calibri" w:cs="Calibri"/>
                <w:sz w:val="14"/>
                <w:szCs w:val="14"/>
                <w:lang w:eastAsia="es-AR"/>
              </w:rPr>
            </w:pPr>
            <w:r w:rsidRPr="0036152D">
              <w:rPr>
                <w:rFonts w:ascii="Calibri" w:hAnsi="Calibri" w:cs="Calibri"/>
                <w:sz w:val="14"/>
                <w:szCs w:val="14"/>
                <w:lang w:eastAsia="es-AR"/>
              </w:rPr>
              <w:t> </w:t>
            </w:r>
            <w:r w:rsidR="002E1657" w:rsidRPr="006E1AF7">
              <w:rPr>
                <w:rFonts w:ascii="Arial" w:hAnsi="Arial" w:cs="Arial"/>
                <w:sz w:val="14"/>
                <w:szCs w:val="14"/>
                <w:lang w:eastAsia="es-AR"/>
              </w:rPr>
              <w:t>-</w:t>
            </w:r>
          </w:p>
        </w:tc>
        <w:tc>
          <w:tcPr>
            <w:tcW w:w="708" w:type="dxa"/>
            <w:tcBorders>
              <w:top w:val="nil"/>
              <w:left w:val="nil"/>
              <w:bottom w:val="single" w:sz="4" w:space="0" w:color="auto"/>
              <w:right w:val="single" w:sz="4" w:space="0" w:color="363639"/>
            </w:tcBorders>
            <w:shd w:val="clear" w:color="auto" w:fill="auto"/>
            <w:noWrap/>
            <w:vAlign w:val="bottom"/>
            <w:hideMark/>
          </w:tcPr>
          <w:p w14:paraId="24F739F6" w14:textId="22293152" w:rsidR="00E83D53" w:rsidRPr="0036152D" w:rsidRDefault="00456A55" w:rsidP="00133704">
            <w:pPr>
              <w:jc w:val="right"/>
              <w:rPr>
                <w:rFonts w:ascii="Arial" w:hAnsi="Arial" w:cs="Arial"/>
                <w:sz w:val="14"/>
                <w:szCs w:val="14"/>
                <w:lang w:eastAsia="es-AR"/>
              </w:rPr>
            </w:pPr>
            <w:r>
              <w:rPr>
                <w:rFonts w:ascii="Arial" w:hAnsi="Arial" w:cs="Arial"/>
                <w:sz w:val="14"/>
                <w:szCs w:val="14"/>
                <w:lang w:eastAsia="es-AR"/>
              </w:rPr>
              <w:t>5.995</w:t>
            </w:r>
            <w:r w:rsidR="00E83D53" w:rsidRPr="0036152D">
              <w:rPr>
                <w:rFonts w:ascii="Arial" w:hAnsi="Arial" w:cs="Arial"/>
                <w:sz w:val="14"/>
                <w:szCs w:val="14"/>
                <w:lang w:eastAsia="es-AR"/>
              </w:rPr>
              <w:t xml:space="preserve"> </w:t>
            </w:r>
          </w:p>
        </w:tc>
        <w:tc>
          <w:tcPr>
            <w:tcW w:w="735" w:type="dxa"/>
            <w:tcBorders>
              <w:top w:val="nil"/>
              <w:left w:val="nil"/>
              <w:bottom w:val="single" w:sz="4" w:space="0" w:color="auto"/>
              <w:right w:val="single" w:sz="4" w:space="0" w:color="363639"/>
            </w:tcBorders>
            <w:shd w:val="clear" w:color="auto" w:fill="auto"/>
            <w:noWrap/>
            <w:vAlign w:val="bottom"/>
            <w:hideMark/>
          </w:tcPr>
          <w:p w14:paraId="3B7760F8" w14:textId="6E4E5591" w:rsidR="00E83D53" w:rsidRPr="0036152D" w:rsidRDefault="00E83D53" w:rsidP="002E1657">
            <w:pPr>
              <w:jc w:val="right"/>
              <w:rPr>
                <w:rFonts w:ascii="Arial" w:hAnsi="Arial" w:cs="Arial"/>
                <w:sz w:val="14"/>
                <w:szCs w:val="14"/>
                <w:lang w:eastAsia="es-AR"/>
              </w:rPr>
            </w:pPr>
            <w:r w:rsidRPr="0036152D">
              <w:rPr>
                <w:rFonts w:ascii="Arial" w:hAnsi="Arial" w:cs="Arial"/>
                <w:sz w:val="14"/>
                <w:szCs w:val="14"/>
                <w:lang w:eastAsia="es-AR"/>
              </w:rPr>
              <w:t> </w:t>
            </w:r>
            <w:r w:rsidR="002E1657" w:rsidRPr="006E1AF7">
              <w:rPr>
                <w:rFonts w:ascii="Arial" w:hAnsi="Arial" w:cs="Arial"/>
                <w:sz w:val="14"/>
                <w:szCs w:val="14"/>
                <w:lang w:eastAsia="es-AR"/>
              </w:rPr>
              <w:t>-</w:t>
            </w:r>
          </w:p>
        </w:tc>
        <w:tc>
          <w:tcPr>
            <w:tcW w:w="1006" w:type="dxa"/>
            <w:tcBorders>
              <w:top w:val="nil"/>
              <w:left w:val="nil"/>
              <w:bottom w:val="single" w:sz="4" w:space="0" w:color="auto"/>
              <w:right w:val="single" w:sz="4" w:space="0" w:color="363639"/>
            </w:tcBorders>
            <w:shd w:val="clear" w:color="auto" w:fill="auto"/>
            <w:noWrap/>
            <w:vAlign w:val="bottom"/>
            <w:hideMark/>
          </w:tcPr>
          <w:p w14:paraId="6DCFD252" w14:textId="2155DA9A" w:rsidR="00E83D53" w:rsidRPr="0036152D" w:rsidRDefault="00456A55" w:rsidP="00133704">
            <w:pPr>
              <w:jc w:val="right"/>
              <w:rPr>
                <w:rFonts w:ascii="Arial" w:hAnsi="Arial" w:cs="Arial"/>
                <w:sz w:val="14"/>
                <w:szCs w:val="14"/>
                <w:lang w:eastAsia="es-AR"/>
              </w:rPr>
            </w:pPr>
            <w:r>
              <w:rPr>
                <w:rFonts w:ascii="Arial" w:hAnsi="Arial" w:cs="Arial"/>
                <w:sz w:val="14"/>
                <w:szCs w:val="14"/>
                <w:lang w:eastAsia="es-AR"/>
              </w:rPr>
              <w:t>(67)</w:t>
            </w:r>
          </w:p>
        </w:tc>
        <w:tc>
          <w:tcPr>
            <w:tcW w:w="798" w:type="dxa"/>
            <w:tcBorders>
              <w:top w:val="nil"/>
              <w:left w:val="nil"/>
              <w:bottom w:val="single" w:sz="4" w:space="0" w:color="auto"/>
              <w:right w:val="single" w:sz="4" w:space="0" w:color="363639"/>
            </w:tcBorders>
            <w:shd w:val="clear" w:color="auto" w:fill="auto"/>
            <w:noWrap/>
            <w:vAlign w:val="bottom"/>
            <w:hideMark/>
          </w:tcPr>
          <w:p w14:paraId="58C497E3" w14:textId="75B0082E" w:rsidR="00E83D53" w:rsidRPr="0036152D" w:rsidRDefault="00E83D53" w:rsidP="00133704">
            <w:pPr>
              <w:jc w:val="right"/>
              <w:rPr>
                <w:rFonts w:ascii="Arial" w:hAnsi="Arial" w:cs="Arial"/>
                <w:sz w:val="14"/>
                <w:szCs w:val="14"/>
                <w:lang w:eastAsia="es-AR"/>
              </w:rPr>
            </w:pPr>
            <w:r w:rsidRPr="0036152D">
              <w:rPr>
                <w:rFonts w:ascii="Arial" w:hAnsi="Arial" w:cs="Arial"/>
                <w:sz w:val="14"/>
                <w:szCs w:val="14"/>
                <w:lang w:eastAsia="es-AR"/>
              </w:rPr>
              <w:t>(</w:t>
            </w:r>
            <w:r w:rsidR="00456A55">
              <w:rPr>
                <w:rFonts w:ascii="Arial" w:hAnsi="Arial" w:cs="Arial"/>
                <w:sz w:val="14"/>
                <w:szCs w:val="14"/>
                <w:lang w:eastAsia="es-AR"/>
              </w:rPr>
              <w:t>406</w:t>
            </w:r>
            <w:r w:rsidRPr="0036152D">
              <w:rPr>
                <w:rFonts w:ascii="Arial" w:hAnsi="Arial" w:cs="Arial"/>
                <w:sz w:val="14"/>
                <w:szCs w:val="14"/>
                <w:lang w:eastAsia="es-AR"/>
              </w:rPr>
              <w:t>)</w:t>
            </w:r>
          </w:p>
        </w:tc>
        <w:tc>
          <w:tcPr>
            <w:tcW w:w="801" w:type="dxa"/>
            <w:tcBorders>
              <w:top w:val="nil"/>
              <w:left w:val="nil"/>
              <w:bottom w:val="single" w:sz="4" w:space="0" w:color="auto"/>
              <w:right w:val="single" w:sz="4" w:space="0" w:color="363639"/>
            </w:tcBorders>
            <w:shd w:val="clear" w:color="auto" w:fill="auto"/>
            <w:noWrap/>
            <w:vAlign w:val="bottom"/>
            <w:hideMark/>
          </w:tcPr>
          <w:p w14:paraId="0903C24D" w14:textId="7D36BC6D" w:rsidR="00E83D53" w:rsidRPr="0036152D" w:rsidRDefault="00E83D53" w:rsidP="00133704">
            <w:pPr>
              <w:jc w:val="right"/>
              <w:rPr>
                <w:rFonts w:ascii="Arial" w:hAnsi="Arial" w:cs="Arial"/>
                <w:sz w:val="14"/>
                <w:szCs w:val="14"/>
                <w:lang w:eastAsia="es-AR"/>
              </w:rPr>
            </w:pPr>
            <w:r w:rsidRPr="0036152D">
              <w:rPr>
                <w:rFonts w:ascii="Arial" w:hAnsi="Arial" w:cs="Arial"/>
                <w:sz w:val="14"/>
                <w:szCs w:val="14"/>
                <w:lang w:eastAsia="es-AR"/>
              </w:rPr>
              <w:t>(</w:t>
            </w:r>
            <w:r w:rsidR="00456A55">
              <w:rPr>
                <w:rFonts w:ascii="Arial" w:hAnsi="Arial" w:cs="Arial"/>
                <w:sz w:val="14"/>
                <w:szCs w:val="14"/>
                <w:lang w:eastAsia="es-AR"/>
              </w:rPr>
              <w:t>473</w:t>
            </w:r>
            <w:r w:rsidRPr="0036152D">
              <w:rPr>
                <w:rFonts w:ascii="Arial" w:hAnsi="Arial" w:cs="Arial"/>
                <w:sz w:val="14"/>
                <w:szCs w:val="14"/>
                <w:lang w:eastAsia="es-AR"/>
              </w:rPr>
              <w:t>)</w:t>
            </w:r>
          </w:p>
        </w:tc>
        <w:tc>
          <w:tcPr>
            <w:tcW w:w="913" w:type="dxa"/>
            <w:tcBorders>
              <w:top w:val="nil"/>
              <w:left w:val="nil"/>
              <w:bottom w:val="single" w:sz="4" w:space="0" w:color="auto"/>
              <w:right w:val="single" w:sz="4" w:space="0" w:color="auto"/>
            </w:tcBorders>
            <w:shd w:val="clear" w:color="auto" w:fill="auto"/>
            <w:noWrap/>
            <w:vAlign w:val="bottom"/>
            <w:hideMark/>
          </w:tcPr>
          <w:p w14:paraId="7041A77C" w14:textId="37E79B35" w:rsidR="00E83D53" w:rsidRPr="0036152D" w:rsidRDefault="00456A55" w:rsidP="00133704">
            <w:pPr>
              <w:jc w:val="right"/>
              <w:rPr>
                <w:rFonts w:ascii="Arial" w:hAnsi="Arial" w:cs="Arial"/>
                <w:b/>
                <w:sz w:val="14"/>
                <w:szCs w:val="14"/>
                <w:lang w:eastAsia="es-AR"/>
              </w:rPr>
            </w:pPr>
            <w:r>
              <w:rPr>
                <w:rFonts w:ascii="Arial" w:hAnsi="Arial" w:cs="Arial"/>
                <w:b/>
                <w:sz w:val="14"/>
                <w:szCs w:val="14"/>
                <w:lang w:eastAsia="es-AR"/>
              </w:rPr>
              <w:t>5.522</w:t>
            </w:r>
            <w:r w:rsidR="00E83D53" w:rsidRPr="0036152D">
              <w:rPr>
                <w:rFonts w:ascii="Arial" w:hAnsi="Arial" w:cs="Arial"/>
                <w:b/>
                <w:sz w:val="14"/>
                <w:szCs w:val="14"/>
                <w:lang w:eastAsia="es-AR"/>
              </w:rPr>
              <w:t xml:space="preserve"> </w:t>
            </w:r>
          </w:p>
        </w:tc>
      </w:tr>
      <w:tr w:rsidR="00E83D53" w:rsidRPr="0036152D" w14:paraId="3814CD87" w14:textId="77777777" w:rsidTr="00A059FB">
        <w:trPr>
          <w:trHeight w:val="267"/>
        </w:trPr>
        <w:tc>
          <w:tcPr>
            <w:tcW w:w="9709" w:type="dxa"/>
            <w:gridSpan w:val="10"/>
            <w:tcBorders>
              <w:top w:val="nil"/>
              <w:left w:val="single" w:sz="4" w:space="0" w:color="363639"/>
              <w:bottom w:val="nil"/>
              <w:right w:val="single" w:sz="4" w:space="0" w:color="000000"/>
            </w:tcBorders>
            <w:shd w:val="clear" w:color="auto" w:fill="auto"/>
            <w:hideMark/>
          </w:tcPr>
          <w:p w14:paraId="5B146287" w14:textId="77777777" w:rsidR="00E83D53" w:rsidRPr="0036152D" w:rsidRDefault="00E83D53" w:rsidP="00133704">
            <w:pPr>
              <w:rPr>
                <w:rFonts w:ascii="Arial" w:hAnsi="Arial" w:cs="Arial"/>
                <w:b/>
                <w:bCs/>
                <w:sz w:val="14"/>
                <w:szCs w:val="14"/>
                <w:lang w:eastAsia="es-AR"/>
              </w:rPr>
            </w:pPr>
            <w:r w:rsidRPr="006E1AF7">
              <w:rPr>
                <w:rFonts w:ascii="Arial" w:hAnsi="Arial" w:cs="Arial"/>
                <w:b/>
                <w:bCs/>
                <w:sz w:val="14"/>
                <w:szCs w:val="14"/>
                <w:lang w:eastAsia="es-AR"/>
              </w:rPr>
              <w:t>Medición al valor razonable</w:t>
            </w:r>
          </w:p>
        </w:tc>
      </w:tr>
      <w:tr w:rsidR="002E1657" w:rsidRPr="0036152D" w14:paraId="5BA5EAC7" w14:textId="77777777" w:rsidTr="00A059FB">
        <w:trPr>
          <w:trHeight w:val="157"/>
        </w:trPr>
        <w:tc>
          <w:tcPr>
            <w:tcW w:w="1913" w:type="dxa"/>
            <w:tcBorders>
              <w:top w:val="single" w:sz="4" w:space="0" w:color="AC9F9B"/>
              <w:left w:val="single" w:sz="4" w:space="0" w:color="363639"/>
              <w:bottom w:val="single" w:sz="4" w:space="0" w:color="363639"/>
              <w:right w:val="single" w:sz="4" w:space="0" w:color="363639"/>
            </w:tcBorders>
            <w:shd w:val="clear" w:color="auto" w:fill="auto"/>
            <w:hideMark/>
          </w:tcPr>
          <w:p w14:paraId="111D90E2" w14:textId="77777777" w:rsidR="002E1657" w:rsidRPr="0036152D" w:rsidRDefault="002E1657" w:rsidP="002E1657">
            <w:pPr>
              <w:rPr>
                <w:rFonts w:ascii="Arial" w:hAnsi="Arial" w:cs="Arial"/>
                <w:sz w:val="14"/>
                <w:szCs w:val="14"/>
                <w:lang w:eastAsia="es-AR"/>
              </w:rPr>
            </w:pPr>
            <w:r w:rsidRPr="006E1AF7">
              <w:rPr>
                <w:rFonts w:ascii="Arial" w:hAnsi="Arial" w:cs="Arial"/>
                <w:sz w:val="14"/>
                <w:szCs w:val="14"/>
                <w:lang w:eastAsia="es-AR"/>
              </w:rPr>
              <w:t>Inmuebles alquilados</w:t>
            </w:r>
          </w:p>
        </w:tc>
        <w:tc>
          <w:tcPr>
            <w:tcW w:w="922" w:type="dxa"/>
            <w:tcBorders>
              <w:top w:val="single" w:sz="4" w:space="0" w:color="363639"/>
              <w:left w:val="nil"/>
              <w:bottom w:val="single" w:sz="4" w:space="0" w:color="auto"/>
              <w:right w:val="single" w:sz="4" w:space="0" w:color="363639"/>
            </w:tcBorders>
            <w:shd w:val="clear" w:color="auto" w:fill="auto"/>
            <w:noWrap/>
            <w:vAlign w:val="bottom"/>
            <w:hideMark/>
          </w:tcPr>
          <w:p w14:paraId="364BE39A" w14:textId="4B3A129A" w:rsidR="002E1657" w:rsidRPr="0036152D" w:rsidRDefault="00456A55" w:rsidP="002E1657">
            <w:pPr>
              <w:jc w:val="right"/>
              <w:rPr>
                <w:rFonts w:ascii="Arial" w:hAnsi="Arial" w:cs="Arial"/>
                <w:b/>
                <w:sz w:val="14"/>
                <w:szCs w:val="14"/>
                <w:lang w:eastAsia="es-AR"/>
              </w:rPr>
            </w:pPr>
            <w:r>
              <w:rPr>
                <w:rFonts w:ascii="Arial" w:hAnsi="Arial" w:cs="Arial"/>
                <w:b/>
                <w:sz w:val="14"/>
                <w:szCs w:val="14"/>
                <w:lang w:eastAsia="es-AR"/>
              </w:rPr>
              <w:t>198.371</w:t>
            </w:r>
          </w:p>
        </w:tc>
        <w:tc>
          <w:tcPr>
            <w:tcW w:w="840" w:type="dxa"/>
            <w:tcBorders>
              <w:top w:val="single" w:sz="4" w:space="0" w:color="363639"/>
              <w:left w:val="nil"/>
              <w:bottom w:val="single" w:sz="4" w:space="0" w:color="auto"/>
              <w:right w:val="single" w:sz="4" w:space="0" w:color="363639"/>
            </w:tcBorders>
            <w:shd w:val="clear" w:color="auto" w:fill="auto"/>
            <w:noWrap/>
            <w:vAlign w:val="bottom"/>
            <w:hideMark/>
          </w:tcPr>
          <w:p w14:paraId="186758F3" w14:textId="77777777" w:rsidR="002E1657" w:rsidRPr="0036152D" w:rsidRDefault="002E1657" w:rsidP="002E1657">
            <w:pPr>
              <w:jc w:val="right"/>
              <w:rPr>
                <w:rFonts w:ascii="Arial" w:hAnsi="Arial" w:cs="Arial"/>
                <w:sz w:val="14"/>
                <w:szCs w:val="14"/>
                <w:lang w:eastAsia="es-AR"/>
              </w:rPr>
            </w:pPr>
            <w:r w:rsidRPr="0036152D">
              <w:rPr>
                <w:rFonts w:ascii="Arial" w:hAnsi="Arial" w:cs="Arial"/>
                <w:sz w:val="14"/>
                <w:szCs w:val="14"/>
                <w:lang w:eastAsia="es-AR"/>
              </w:rPr>
              <w:t xml:space="preserve">50 </w:t>
            </w:r>
          </w:p>
        </w:tc>
        <w:tc>
          <w:tcPr>
            <w:tcW w:w="1073" w:type="dxa"/>
            <w:tcBorders>
              <w:top w:val="single" w:sz="4" w:space="0" w:color="auto"/>
              <w:left w:val="nil"/>
              <w:bottom w:val="single" w:sz="4" w:space="0" w:color="auto"/>
              <w:right w:val="single" w:sz="4" w:space="0" w:color="363639"/>
            </w:tcBorders>
            <w:shd w:val="clear" w:color="auto" w:fill="auto"/>
            <w:noWrap/>
            <w:vAlign w:val="bottom"/>
            <w:hideMark/>
          </w:tcPr>
          <w:p w14:paraId="4FCC1920" w14:textId="0DE86954" w:rsidR="002E1657" w:rsidRPr="0036152D" w:rsidRDefault="00456A55" w:rsidP="002E1657">
            <w:pPr>
              <w:jc w:val="right"/>
              <w:rPr>
                <w:rFonts w:ascii="Arial" w:hAnsi="Arial" w:cs="Arial"/>
                <w:sz w:val="14"/>
                <w:szCs w:val="14"/>
                <w:lang w:eastAsia="es-AR"/>
              </w:rPr>
            </w:pPr>
            <w:r>
              <w:rPr>
                <w:rFonts w:ascii="Arial" w:hAnsi="Arial" w:cs="Arial"/>
                <w:sz w:val="14"/>
                <w:szCs w:val="14"/>
                <w:lang w:eastAsia="es-AR"/>
              </w:rPr>
              <w:t>208.983</w:t>
            </w:r>
            <w:r w:rsidR="002E1657" w:rsidRPr="0036152D">
              <w:rPr>
                <w:rFonts w:ascii="Arial" w:hAnsi="Arial" w:cs="Arial"/>
                <w:sz w:val="14"/>
                <w:szCs w:val="14"/>
                <w:lang w:eastAsia="es-AR"/>
              </w:rPr>
              <w:t xml:space="preserve"> </w:t>
            </w:r>
          </w:p>
        </w:tc>
        <w:tc>
          <w:tcPr>
            <w:tcW w:w="708" w:type="dxa"/>
            <w:tcBorders>
              <w:top w:val="single" w:sz="4" w:space="0" w:color="auto"/>
              <w:left w:val="nil"/>
              <w:bottom w:val="single" w:sz="4" w:space="0" w:color="auto"/>
              <w:right w:val="single" w:sz="4" w:space="0" w:color="363639"/>
            </w:tcBorders>
            <w:shd w:val="clear" w:color="auto" w:fill="auto"/>
            <w:noWrap/>
            <w:vAlign w:val="bottom"/>
            <w:hideMark/>
          </w:tcPr>
          <w:p w14:paraId="63ECB8F7" w14:textId="281D64A7" w:rsidR="002E1657" w:rsidRPr="0036152D" w:rsidRDefault="00456A55" w:rsidP="002E1657">
            <w:pPr>
              <w:jc w:val="right"/>
              <w:rPr>
                <w:rFonts w:ascii="Arial" w:hAnsi="Arial" w:cs="Arial"/>
                <w:sz w:val="14"/>
                <w:szCs w:val="14"/>
                <w:lang w:eastAsia="es-AR"/>
              </w:rPr>
            </w:pPr>
            <w:r>
              <w:rPr>
                <w:rFonts w:ascii="Arial" w:hAnsi="Arial" w:cs="Arial"/>
                <w:sz w:val="14"/>
                <w:szCs w:val="14"/>
                <w:lang w:eastAsia="es-AR"/>
              </w:rPr>
              <w:t>-</w:t>
            </w:r>
            <w:r w:rsidR="002E1657" w:rsidRPr="0036152D">
              <w:rPr>
                <w:rFonts w:ascii="Arial" w:hAnsi="Arial" w:cs="Arial"/>
                <w:sz w:val="14"/>
                <w:szCs w:val="14"/>
                <w:lang w:eastAsia="es-AR"/>
              </w:rPr>
              <w:t xml:space="preserve"> </w:t>
            </w:r>
          </w:p>
        </w:tc>
        <w:tc>
          <w:tcPr>
            <w:tcW w:w="735" w:type="dxa"/>
            <w:tcBorders>
              <w:top w:val="single" w:sz="4" w:space="0" w:color="auto"/>
              <w:left w:val="nil"/>
              <w:bottom w:val="single" w:sz="4" w:space="0" w:color="auto"/>
              <w:right w:val="single" w:sz="4" w:space="0" w:color="363639"/>
            </w:tcBorders>
            <w:shd w:val="clear" w:color="auto" w:fill="auto"/>
            <w:noWrap/>
            <w:vAlign w:val="bottom"/>
            <w:hideMark/>
          </w:tcPr>
          <w:p w14:paraId="0B80BB7E" w14:textId="0AAB29CC" w:rsidR="002E1657" w:rsidRPr="0036152D" w:rsidRDefault="002E1657" w:rsidP="002E1657">
            <w:pPr>
              <w:jc w:val="right"/>
              <w:rPr>
                <w:rFonts w:ascii="Arial" w:hAnsi="Arial" w:cs="Arial"/>
                <w:sz w:val="14"/>
                <w:szCs w:val="14"/>
                <w:lang w:eastAsia="es-AR"/>
              </w:rPr>
            </w:pPr>
            <w:r w:rsidRPr="0036152D">
              <w:rPr>
                <w:rFonts w:ascii="Arial" w:hAnsi="Arial" w:cs="Arial"/>
                <w:sz w:val="14"/>
                <w:szCs w:val="14"/>
                <w:lang w:eastAsia="es-AR"/>
              </w:rPr>
              <w:t>(</w:t>
            </w:r>
            <w:r w:rsidR="00456A55">
              <w:rPr>
                <w:rFonts w:ascii="Arial" w:hAnsi="Arial" w:cs="Arial"/>
                <w:sz w:val="14"/>
                <w:szCs w:val="14"/>
                <w:lang w:eastAsia="es-AR"/>
              </w:rPr>
              <w:t>54</w:t>
            </w:r>
            <w:r w:rsidRPr="0036152D">
              <w:rPr>
                <w:rFonts w:ascii="Arial" w:hAnsi="Arial" w:cs="Arial"/>
                <w:sz w:val="14"/>
                <w:szCs w:val="14"/>
                <w:lang w:eastAsia="es-AR"/>
              </w:rPr>
              <w:t>)</w:t>
            </w:r>
          </w:p>
        </w:tc>
        <w:tc>
          <w:tcPr>
            <w:tcW w:w="1006" w:type="dxa"/>
            <w:tcBorders>
              <w:top w:val="single" w:sz="4" w:space="0" w:color="363639"/>
              <w:left w:val="nil"/>
              <w:bottom w:val="single" w:sz="4" w:space="0" w:color="363639"/>
              <w:right w:val="single" w:sz="4" w:space="0" w:color="363639"/>
            </w:tcBorders>
            <w:shd w:val="clear" w:color="auto" w:fill="auto"/>
            <w:vAlign w:val="bottom"/>
            <w:hideMark/>
          </w:tcPr>
          <w:p w14:paraId="64A5897E" w14:textId="0E98FAFD" w:rsidR="002E1657" w:rsidRPr="0036152D" w:rsidRDefault="002E1657" w:rsidP="002E1657">
            <w:pPr>
              <w:jc w:val="right"/>
              <w:rPr>
                <w:rFonts w:ascii="Calibri" w:hAnsi="Calibri" w:cs="Calibri"/>
                <w:sz w:val="14"/>
                <w:szCs w:val="14"/>
                <w:lang w:eastAsia="es-AR"/>
              </w:rPr>
            </w:pPr>
            <w:r w:rsidRPr="006E1AF7">
              <w:rPr>
                <w:rFonts w:ascii="Arial" w:hAnsi="Arial" w:cs="Arial"/>
                <w:sz w:val="14"/>
                <w:szCs w:val="14"/>
                <w:lang w:eastAsia="es-AR"/>
              </w:rPr>
              <w:t>-</w:t>
            </w:r>
          </w:p>
        </w:tc>
        <w:tc>
          <w:tcPr>
            <w:tcW w:w="798" w:type="dxa"/>
            <w:tcBorders>
              <w:top w:val="single" w:sz="4" w:space="0" w:color="363639"/>
              <w:left w:val="nil"/>
              <w:bottom w:val="single" w:sz="4" w:space="0" w:color="363639"/>
              <w:right w:val="single" w:sz="4" w:space="0" w:color="363639"/>
            </w:tcBorders>
            <w:shd w:val="clear" w:color="auto" w:fill="auto"/>
            <w:vAlign w:val="bottom"/>
            <w:hideMark/>
          </w:tcPr>
          <w:p w14:paraId="3D9893DF" w14:textId="6F6EF89F" w:rsidR="002E1657" w:rsidRPr="0036152D" w:rsidRDefault="002E1657" w:rsidP="002E1657">
            <w:pPr>
              <w:jc w:val="right"/>
              <w:rPr>
                <w:rFonts w:ascii="Calibri" w:hAnsi="Calibri" w:cs="Calibri"/>
                <w:sz w:val="14"/>
                <w:szCs w:val="14"/>
                <w:lang w:eastAsia="es-AR"/>
              </w:rPr>
            </w:pPr>
            <w:r w:rsidRPr="006E1AF7">
              <w:rPr>
                <w:rFonts w:ascii="Arial" w:hAnsi="Arial" w:cs="Arial"/>
                <w:sz w:val="14"/>
                <w:szCs w:val="14"/>
                <w:lang w:eastAsia="es-AR"/>
              </w:rPr>
              <w:t>-</w:t>
            </w:r>
          </w:p>
        </w:tc>
        <w:tc>
          <w:tcPr>
            <w:tcW w:w="801" w:type="dxa"/>
            <w:tcBorders>
              <w:top w:val="single" w:sz="4" w:space="0" w:color="363639"/>
              <w:left w:val="nil"/>
              <w:bottom w:val="single" w:sz="4" w:space="0" w:color="363639"/>
              <w:right w:val="single" w:sz="4" w:space="0" w:color="363639"/>
            </w:tcBorders>
            <w:shd w:val="clear" w:color="auto" w:fill="auto"/>
            <w:vAlign w:val="bottom"/>
            <w:hideMark/>
          </w:tcPr>
          <w:p w14:paraId="216D9779" w14:textId="609925DC" w:rsidR="002E1657" w:rsidRPr="0036152D" w:rsidRDefault="002E1657" w:rsidP="002E1657">
            <w:pPr>
              <w:jc w:val="right"/>
              <w:rPr>
                <w:rFonts w:ascii="Calibri" w:hAnsi="Calibri" w:cs="Calibri"/>
                <w:sz w:val="14"/>
                <w:szCs w:val="14"/>
                <w:lang w:eastAsia="es-AR"/>
              </w:rPr>
            </w:pPr>
            <w:r w:rsidRPr="006E1AF7">
              <w:rPr>
                <w:rFonts w:ascii="Arial" w:hAnsi="Arial" w:cs="Arial"/>
                <w:sz w:val="14"/>
                <w:szCs w:val="14"/>
                <w:lang w:eastAsia="es-AR"/>
              </w:rPr>
              <w:t>-</w:t>
            </w:r>
          </w:p>
        </w:tc>
        <w:tc>
          <w:tcPr>
            <w:tcW w:w="913" w:type="dxa"/>
            <w:tcBorders>
              <w:top w:val="single" w:sz="4" w:space="0" w:color="363639"/>
              <w:left w:val="nil"/>
              <w:bottom w:val="single" w:sz="4" w:space="0" w:color="auto"/>
              <w:right w:val="single" w:sz="4" w:space="0" w:color="auto"/>
            </w:tcBorders>
            <w:shd w:val="clear" w:color="auto" w:fill="auto"/>
            <w:noWrap/>
            <w:vAlign w:val="bottom"/>
            <w:hideMark/>
          </w:tcPr>
          <w:p w14:paraId="0458BF0C" w14:textId="636F2364" w:rsidR="002E1657" w:rsidRPr="0036152D" w:rsidRDefault="00456A55" w:rsidP="002E1657">
            <w:pPr>
              <w:jc w:val="right"/>
              <w:rPr>
                <w:rFonts w:ascii="Arial" w:hAnsi="Arial" w:cs="Arial"/>
                <w:b/>
                <w:sz w:val="14"/>
                <w:szCs w:val="14"/>
                <w:lang w:eastAsia="es-AR"/>
              </w:rPr>
            </w:pPr>
            <w:r>
              <w:rPr>
                <w:rFonts w:ascii="Arial" w:hAnsi="Arial" w:cs="Arial"/>
                <w:b/>
                <w:sz w:val="14"/>
                <w:szCs w:val="14"/>
                <w:lang w:eastAsia="es-AR"/>
              </w:rPr>
              <w:t>407.300</w:t>
            </w:r>
            <w:r w:rsidR="002E1657" w:rsidRPr="0036152D">
              <w:rPr>
                <w:rFonts w:ascii="Arial" w:hAnsi="Arial" w:cs="Arial"/>
                <w:b/>
                <w:sz w:val="14"/>
                <w:szCs w:val="14"/>
                <w:lang w:eastAsia="es-AR"/>
              </w:rPr>
              <w:t xml:space="preserve"> </w:t>
            </w:r>
          </w:p>
        </w:tc>
      </w:tr>
      <w:tr w:rsidR="00E83D53" w:rsidRPr="0036152D" w14:paraId="20A749EA" w14:textId="77777777" w:rsidTr="00A059FB">
        <w:trPr>
          <w:trHeight w:val="256"/>
        </w:trPr>
        <w:tc>
          <w:tcPr>
            <w:tcW w:w="1913" w:type="dxa"/>
            <w:tcBorders>
              <w:top w:val="nil"/>
              <w:left w:val="single" w:sz="4" w:space="0" w:color="363639"/>
              <w:bottom w:val="single" w:sz="4" w:space="0" w:color="363639"/>
              <w:right w:val="single" w:sz="4" w:space="0" w:color="363639"/>
            </w:tcBorders>
            <w:shd w:val="clear" w:color="auto" w:fill="auto"/>
            <w:hideMark/>
          </w:tcPr>
          <w:p w14:paraId="072CAFB6" w14:textId="77777777" w:rsidR="00E83D53" w:rsidRPr="0036152D" w:rsidRDefault="00E83D53" w:rsidP="00133704">
            <w:pPr>
              <w:rPr>
                <w:rFonts w:ascii="Arial" w:hAnsi="Arial" w:cs="Arial"/>
                <w:b/>
                <w:bCs/>
                <w:sz w:val="14"/>
                <w:szCs w:val="14"/>
                <w:lang w:eastAsia="es-AR"/>
              </w:rPr>
            </w:pPr>
            <w:r w:rsidRPr="006E1AF7">
              <w:rPr>
                <w:rFonts w:ascii="Arial" w:hAnsi="Arial" w:cs="Arial"/>
                <w:b/>
                <w:bCs/>
                <w:sz w:val="14"/>
                <w:szCs w:val="14"/>
                <w:lang w:eastAsia="es-AR"/>
              </w:rPr>
              <w:t>TOTAL PROPIEDADES DE INVERSIÓN</w:t>
            </w:r>
          </w:p>
        </w:tc>
        <w:tc>
          <w:tcPr>
            <w:tcW w:w="922" w:type="dxa"/>
            <w:tcBorders>
              <w:top w:val="nil"/>
              <w:left w:val="nil"/>
              <w:bottom w:val="single" w:sz="4" w:space="0" w:color="auto"/>
              <w:right w:val="single" w:sz="4" w:space="0" w:color="363639"/>
            </w:tcBorders>
            <w:shd w:val="clear" w:color="auto" w:fill="auto"/>
            <w:noWrap/>
            <w:vAlign w:val="bottom"/>
            <w:hideMark/>
          </w:tcPr>
          <w:p w14:paraId="585D7D4E" w14:textId="39AD9A94" w:rsidR="00E83D53" w:rsidRPr="0036152D" w:rsidRDefault="00456A55" w:rsidP="00133704">
            <w:pPr>
              <w:jc w:val="right"/>
              <w:rPr>
                <w:rFonts w:ascii="Arial" w:hAnsi="Arial" w:cs="Arial"/>
                <w:b/>
                <w:sz w:val="14"/>
                <w:szCs w:val="14"/>
                <w:lang w:eastAsia="es-AR"/>
              </w:rPr>
            </w:pPr>
            <w:r>
              <w:rPr>
                <w:rFonts w:ascii="Arial" w:hAnsi="Arial" w:cs="Arial"/>
                <w:b/>
                <w:sz w:val="14"/>
                <w:szCs w:val="14"/>
                <w:lang w:eastAsia="es-AR"/>
              </w:rPr>
              <w:t>198.371</w:t>
            </w:r>
            <w:r w:rsidR="00E83D53" w:rsidRPr="0036152D">
              <w:rPr>
                <w:rFonts w:ascii="Arial" w:hAnsi="Arial" w:cs="Arial"/>
                <w:b/>
                <w:sz w:val="14"/>
                <w:szCs w:val="14"/>
                <w:lang w:eastAsia="es-AR"/>
              </w:rPr>
              <w:t xml:space="preserve"> </w:t>
            </w:r>
          </w:p>
        </w:tc>
        <w:tc>
          <w:tcPr>
            <w:tcW w:w="840" w:type="dxa"/>
            <w:tcBorders>
              <w:top w:val="nil"/>
              <w:left w:val="nil"/>
              <w:bottom w:val="single" w:sz="4" w:space="0" w:color="auto"/>
              <w:right w:val="single" w:sz="4" w:space="0" w:color="363639"/>
            </w:tcBorders>
            <w:shd w:val="clear" w:color="auto" w:fill="auto"/>
            <w:noWrap/>
            <w:vAlign w:val="bottom"/>
            <w:hideMark/>
          </w:tcPr>
          <w:p w14:paraId="159D0F47" w14:textId="60C6BF14" w:rsidR="00E83D53" w:rsidRPr="0036152D" w:rsidRDefault="00E83D53" w:rsidP="00133704">
            <w:pPr>
              <w:jc w:val="right"/>
              <w:rPr>
                <w:rFonts w:ascii="Arial" w:hAnsi="Arial" w:cs="Arial"/>
                <w:sz w:val="14"/>
                <w:szCs w:val="14"/>
                <w:lang w:eastAsia="es-AR"/>
              </w:rPr>
            </w:pPr>
          </w:p>
        </w:tc>
        <w:tc>
          <w:tcPr>
            <w:tcW w:w="1073" w:type="dxa"/>
            <w:tcBorders>
              <w:top w:val="nil"/>
              <w:left w:val="nil"/>
              <w:bottom w:val="single" w:sz="4" w:space="0" w:color="auto"/>
              <w:right w:val="single" w:sz="4" w:space="0" w:color="363639"/>
            </w:tcBorders>
            <w:shd w:val="clear" w:color="auto" w:fill="auto"/>
            <w:noWrap/>
            <w:vAlign w:val="bottom"/>
            <w:hideMark/>
          </w:tcPr>
          <w:p w14:paraId="455FC686" w14:textId="54100525" w:rsidR="00E83D53" w:rsidRPr="0036152D" w:rsidRDefault="00456A55" w:rsidP="00133704">
            <w:pPr>
              <w:jc w:val="right"/>
              <w:rPr>
                <w:rFonts w:ascii="Arial" w:hAnsi="Arial" w:cs="Arial"/>
                <w:b/>
                <w:sz w:val="14"/>
                <w:szCs w:val="14"/>
                <w:lang w:eastAsia="es-AR"/>
              </w:rPr>
            </w:pPr>
            <w:r>
              <w:rPr>
                <w:rFonts w:ascii="Arial" w:hAnsi="Arial" w:cs="Arial"/>
                <w:b/>
                <w:sz w:val="14"/>
                <w:szCs w:val="14"/>
                <w:lang w:eastAsia="es-AR"/>
              </w:rPr>
              <w:t>208.983</w:t>
            </w:r>
            <w:r w:rsidR="00E83D53" w:rsidRPr="0036152D">
              <w:rPr>
                <w:rFonts w:ascii="Arial" w:hAnsi="Arial" w:cs="Arial"/>
                <w:b/>
                <w:sz w:val="14"/>
                <w:szCs w:val="14"/>
                <w:lang w:eastAsia="es-AR"/>
              </w:rPr>
              <w:t xml:space="preserve"> </w:t>
            </w:r>
          </w:p>
        </w:tc>
        <w:tc>
          <w:tcPr>
            <w:tcW w:w="708" w:type="dxa"/>
            <w:tcBorders>
              <w:top w:val="nil"/>
              <w:left w:val="nil"/>
              <w:bottom w:val="single" w:sz="4" w:space="0" w:color="auto"/>
              <w:right w:val="single" w:sz="4" w:space="0" w:color="363639"/>
            </w:tcBorders>
            <w:shd w:val="clear" w:color="auto" w:fill="auto"/>
            <w:noWrap/>
            <w:vAlign w:val="bottom"/>
            <w:hideMark/>
          </w:tcPr>
          <w:p w14:paraId="064FD135" w14:textId="05A22D11" w:rsidR="00E83D53" w:rsidRPr="0036152D" w:rsidRDefault="00456A55" w:rsidP="00133704">
            <w:pPr>
              <w:jc w:val="right"/>
              <w:rPr>
                <w:rFonts w:ascii="Arial" w:hAnsi="Arial" w:cs="Arial"/>
                <w:b/>
                <w:sz w:val="14"/>
                <w:szCs w:val="14"/>
                <w:lang w:eastAsia="es-AR"/>
              </w:rPr>
            </w:pPr>
            <w:r>
              <w:rPr>
                <w:rFonts w:ascii="Arial" w:hAnsi="Arial" w:cs="Arial"/>
                <w:b/>
                <w:sz w:val="14"/>
                <w:szCs w:val="14"/>
                <w:lang w:eastAsia="es-AR"/>
              </w:rPr>
              <w:t>5.995</w:t>
            </w:r>
            <w:r w:rsidR="00E83D53" w:rsidRPr="0036152D">
              <w:rPr>
                <w:rFonts w:ascii="Arial" w:hAnsi="Arial" w:cs="Arial"/>
                <w:b/>
                <w:sz w:val="14"/>
                <w:szCs w:val="14"/>
                <w:lang w:eastAsia="es-AR"/>
              </w:rPr>
              <w:t xml:space="preserve"> </w:t>
            </w:r>
          </w:p>
        </w:tc>
        <w:tc>
          <w:tcPr>
            <w:tcW w:w="735" w:type="dxa"/>
            <w:tcBorders>
              <w:top w:val="nil"/>
              <w:left w:val="nil"/>
              <w:bottom w:val="single" w:sz="4" w:space="0" w:color="auto"/>
              <w:right w:val="single" w:sz="4" w:space="0" w:color="363639"/>
            </w:tcBorders>
            <w:shd w:val="clear" w:color="auto" w:fill="auto"/>
            <w:noWrap/>
            <w:vAlign w:val="bottom"/>
            <w:hideMark/>
          </w:tcPr>
          <w:p w14:paraId="3F199F84" w14:textId="39A7A9BC" w:rsidR="00E83D53" w:rsidRPr="0036152D" w:rsidRDefault="00E83D53" w:rsidP="00133704">
            <w:pPr>
              <w:jc w:val="right"/>
              <w:rPr>
                <w:rFonts w:ascii="Arial" w:hAnsi="Arial" w:cs="Arial"/>
                <w:b/>
                <w:sz w:val="14"/>
                <w:szCs w:val="14"/>
                <w:lang w:eastAsia="es-AR"/>
              </w:rPr>
            </w:pPr>
            <w:r w:rsidRPr="0036152D">
              <w:rPr>
                <w:rFonts w:ascii="Arial" w:hAnsi="Arial" w:cs="Arial"/>
                <w:b/>
                <w:sz w:val="14"/>
                <w:szCs w:val="14"/>
                <w:lang w:eastAsia="es-AR"/>
              </w:rPr>
              <w:t>(</w:t>
            </w:r>
            <w:r w:rsidR="00456A55">
              <w:rPr>
                <w:rFonts w:ascii="Arial" w:hAnsi="Arial" w:cs="Arial"/>
                <w:b/>
                <w:sz w:val="14"/>
                <w:szCs w:val="14"/>
                <w:lang w:eastAsia="es-AR"/>
              </w:rPr>
              <w:t>54</w:t>
            </w:r>
            <w:r w:rsidRPr="0036152D">
              <w:rPr>
                <w:rFonts w:ascii="Arial" w:hAnsi="Arial" w:cs="Arial"/>
                <w:b/>
                <w:sz w:val="14"/>
                <w:szCs w:val="14"/>
                <w:lang w:eastAsia="es-AR"/>
              </w:rPr>
              <w:t>)</w:t>
            </w:r>
          </w:p>
        </w:tc>
        <w:tc>
          <w:tcPr>
            <w:tcW w:w="1006" w:type="dxa"/>
            <w:tcBorders>
              <w:top w:val="single" w:sz="4" w:space="0" w:color="auto"/>
              <w:left w:val="nil"/>
              <w:bottom w:val="single" w:sz="4" w:space="0" w:color="auto"/>
              <w:right w:val="single" w:sz="4" w:space="0" w:color="363639"/>
            </w:tcBorders>
            <w:shd w:val="clear" w:color="auto" w:fill="auto"/>
            <w:noWrap/>
            <w:vAlign w:val="bottom"/>
            <w:hideMark/>
          </w:tcPr>
          <w:p w14:paraId="55096CCF" w14:textId="702772DA" w:rsidR="00E83D53" w:rsidRPr="0036152D" w:rsidRDefault="00E83D53" w:rsidP="00133704">
            <w:pPr>
              <w:jc w:val="right"/>
              <w:rPr>
                <w:rFonts w:ascii="Arial" w:hAnsi="Arial" w:cs="Arial"/>
                <w:b/>
                <w:sz w:val="14"/>
                <w:szCs w:val="14"/>
                <w:lang w:eastAsia="es-AR"/>
              </w:rPr>
            </w:pPr>
            <w:r w:rsidRPr="0036152D">
              <w:rPr>
                <w:rFonts w:ascii="Arial" w:hAnsi="Arial" w:cs="Arial"/>
                <w:b/>
                <w:sz w:val="14"/>
                <w:szCs w:val="14"/>
                <w:lang w:eastAsia="es-AR"/>
              </w:rPr>
              <w:t>(</w:t>
            </w:r>
            <w:r w:rsidR="00456A55">
              <w:rPr>
                <w:rFonts w:ascii="Arial" w:hAnsi="Arial" w:cs="Arial"/>
                <w:b/>
                <w:sz w:val="14"/>
                <w:szCs w:val="14"/>
                <w:lang w:eastAsia="es-AR"/>
              </w:rPr>
              <w:t>67</w:t>
            </w:r>
            <w:r w:rsidRPr="0036152D">
              <w:rPr>
                <w:rFonts w:ascii="Arial" w:hAnsi="Arial" w:cs="Arial"/>
                <w:b/>
                <w:sz w:val="14"/>
                <w:szCs w:val="14"/>
                <w:lang w:eastAsia="es-AR"/>
              </w:rPr>
              <w:t>)</w:t>
            </w:r>
          </w:p>
        </w:tc>
        <w:tc>
          <w:tcPr>
            <w:tcW w:w="798" w:type="dxa"/>
            <w:tcBorders>
              <w:top w:val="single" w:sz="4" w:space="0" w:color="auto"/>
              <w:left w:val="nil"/>
              <w:bottom w:val="single" w:sz="4" w:space="0" w:color="auto"/>
              <w:right w:val="single" w:sz="4" w:space="0" w:color="363639"/>
            </w:tcBorders>
            <w:shd w:val="clear" w:color="auto" w:fill="auto"/>
            <w:noWrap/>
            <w:vAlign w:val="bottom"/>
            <w:hideMark/>
          </w:tcPr>
          <w:p w14:paraId="65A02394" w14:textId="346E0211" w:rsidR="00E83D53" w:rsidRPr="0036152D" w:rsidRDefault="00E83D53" w:rsidP="00133704">
            <w:pPr>
              <w:jc w:val="right"/>
              <w:rPr>
                <w:rFonts w:ascii="Arial" w:hAnsi="Arial" w:cs="Arial"/>
                <w:b/>
                <w:sz w:val="14"/>
                <w:szCs w:val="14"/>
                <w:lang w:eastAsia="es-AR"/>
              </w:rPr>
            </w:pPr>
            <w:r w:rsidRPr="0036152D">
              <w:rPr>
                <w:rFonts w:ascii="Arial" w:hAnsi="Arial" w:cs="Arial"/>
                <w:b/>
                <w:sz w:val="14"/>
                <w:szCs w:val="14"/>
                <w:lang w:eastAsia="es-AR"/>
              </w:rPr>
              <w:t>(</w:t>
            </w:r>
            <w:r w:rsidR="00456A55">
              <w:rPr>
                <w:rFonts w:ascii="Arial" w:hAnsi="Arial" w:cs="Arial"/>
                <w:b/>
                <w:sz w:val="14"/>
                <w:szCs w:val="14"/>
                <w:lang w:eastAsia="es-AR"/>
              </w:rPr>
              <w:t>406</w:t>
            </w:r>
            <w:r w:rsidRPr="0036152D">
              <w:rPr>
                <w:rFonts w:ascii="Arial" w:hAnsi="Arial" w:cs="Arial"/>
                <w:b/>
                <w:sz w:val="14"/>
                <w:szCs w:val="14"/>
                <w:lang w:eastAsia="es-AR"/>
              </w:rPr>
              <w:t>)</w:t>
            </w:r>
          </w:p>
        </w:tc>
        <w:tc>
          <w:tcPr>
            <w:tcW w:w="801" w:type="dxa"/>
            <w:tcBorders>
              <w:top w:val="single" w:sz="4" w:space="0" w:color="auto"/>
              <w:left w:val="nil"/>
              <w:bottom w:val="single" w:sz="4" w:space="0" w:color="auto"/>
              <w:right w:val="single" w:sz="4" w:space="0" w:color="363639"/>
            </w:tcBorders>
            <w:shd w:val="clear" w:color="auto" w:fill="auto"/>
            <w:noWrap/>
            <w:vAlign w:val="bottom"/>
            <w:hideMark/>
          </w:tcPr>
          <w:p w14:paraId="4B81D190" w14:textId="7B521D2A" w:rsidR="00E83D53" w:rsidRPr="0036152D" w:rsidRDefault="00E83D53" w:rsidP="00133704">
            <w:pPr>
              <w:jc w:val="right"/>
              <w:rPr>
                <w:rFonts w:ascii="Arial" w:hAnsi="Arial" w:cs="Arial"/>
                <w:b/>
                <w:sz w:val="14"/>
                <w:szCs w:val="14"/>
                <w:lang w:eastAsia="es-AR"/>
              </w:rPr>
            </w:pPr>
            <w:r w:rsidRPr="0036152D">
              <w:rPr>
                <w:rFonts w:ascii="Arial" w:hAnsi="Arial" w:cs="Arial"/>
                <w:b/>
                <w:sz w:val="14"/>
                <w:szCs w:val="14"/>
                <w:lang w:eastAsia="es-AR"/>
              </w:rPr>
              <w:t>(</w:t>
            </w:r>
            <w:r w:rsidR="00456A55">
              <w:rPr>
                <w:rFonts w:ascii="Arial" w:hAnsi="Arial" w:cs="Arial"/>
                <w:b/>
                <w:sz w:val="14"/>
                <w:szCs w:val="14"/>
                <w:lang w:eastAsia="es-AR"/>
              </w:rPr>
              <w:t>473</w:t>
            </w:r>
            <w:r w:rsidRPr="0036152D">
              <w:rPr>
                <w:rFonts w:ascii="Arial" w:hAnsi="Arial" w:cs="Arial"/>
                <w:b/>
                <w:sz w:val="14"/>
                <w:szCs w:val="14"/>
                <w:lang w:eastAsia="es-AR"/>
              </w:rPr>
              <w:t>)</w:t>
            </w:r>
          </w:p>
        </w:tc>
        <w:tc>
          <w:tcPr>
            <w:tcW w:w="913" w:type="dxa"/>
            <w:tcBorders>
              <w:top w:val="nil"/>
              <w:left w:val="nil"/>
              <w:bottom w:val="single" w:sz="4" w:space="0" w:color="auto"/>
              <w:right w:val="single" w:sz="4" w:space="0" w:color="363639"/>
            </w:tcBorders>
            <w:shd w:val="clear" w:color="auto" w:fill="auto"/>
            <w:noWrap/>
            <w:vAlign w:val="bottom"/>
            <w:hideMark/>
          </w:tcPr>
          <w:p w14:paraId="4E515143" w14:textId="1835D00B" w:rsidR="00E83D53" w:rsidRPr="0036152D" w:rsidRDefault="00456A55" w:rsidP="00133704">
            <w:pPr>
              <w:jc w:val="right"/>
              <w:rPr>
                <w:rFonts w:ascii="Arial" w:hAnsi="Arial" w:cs="Arial"/>
                <w:b/>
                <w:sz w:val="14"/>
                <w:szCs w:val="14"/>
                <w:lang w:eastAsia="es-AR"/>
              </w:rPr>
            </w:pPr>
            <w:r>
              <w:rPr>
                <w:rFonts w:ascii="Arial" w:hAnsi="Arial" w:cs="Arial"/>
                <w:b/>
                <w:sz w:val="14"/>
                <w:szCs w:val="14"/>
                <w:lang w:eastAsia="es-AR"/>
              </w:rPr>
              <w:t>412.822</w:t>
            </w:r>
            <w:r w:rsidR="00E83D53" w:rsidRPr="0036152D">
              <w:rPr>
                <w:rFonts w:ascii="Arial" w:hAnsi="Arial" w:cs="Arial"/>
                <w:b/>
                <w:sz w:val="14"/>
                <w:szCs w:val="14"/>
                <w:lang w:eastAsia="es-AR"/>
              </w:rPr>
              <w:t xml:space="preserve"> </w:t>
            </w:r>
          </w:p>
        </w:tc>
      </w:tr>
    </w:tbl>
    <w:p w14:paraId="2EC62099" w14:textId="77777777" w:rsidR="00E83D53" w:rsidRPr="00701F32" w:rsidRDefault="00E83D53" w:rsidP="00FE2245">
      <w:pPr>
        <w:jc w:val="both"/>
        <w:rPr>
          <w:rFonts w:ascii="Arial" w:hAnsi="Arial" w:cs="Arial"/>
          <w:sz w:val="20"/>
        </w:rPr>
      </w:pPr>
    </w:p>
    <w:p w14:paraId="59225683" w14:textId="69FFE094" w:rsidR="00FE2245" w:rsidRPr="00701F32" w:rsidRDefault="00FE2245" w:rsidP="00FE2245">
      <w:pPr>
        <w:spacing w:after="160" w:line="259" w:lineRule="auto"/>
        <w:jc w:val="both"/>
        <w:rPr>
          <w:rFonts w:ascii="Arial" w:eastAsia="Calibri" w:hAnsi="Arial" w:cs="Arial"/>
          <w:b/>
          <w:color w:val="FF0000"/>
          <w:sz w:val="20"/>
        </w:rPr>
      </w:pPr>
      <w:r>
        <w:rPr>
          <w:rFonts w:ascii="Arial" w:eastAsia="Calibri" w:hAnsi="Arial" w:cs="Arial"/>
          <w:b/>
          <w:sz w:val="20"/>
        </w:rPr>
        <w:t>9</w:t>
      </w:r>
      <w:r w:rsidRPr="00701F32">
        <w:rPr>
          <w:rFonts w:ascii="Arial" w:eastAsia="Calibri" w:hAnsi="Arial" w:cs="Arial"/>
          <w:b/>
          <w:sz w:val="20"/>
        </w:rPr>
        <w:t>. ACTIVOS INTANGIBLES</w:t>
      </w:r>
    </w:p>
    <w:p w14:paraId="155DD4DB" w14:textId="637AEC2B" w:rsidR="00FE2245" w:rsidRPr="00701F32" w:rsidRDefault="00FE2245" w:rsidP="00FE2245">
      <w:pPr>
        <w:spacing w:after="160" w:line="259" w:lineRule="auto"/>
        <w:jc w:val="both"/>
        <w:rPr>
          <w:rFonts w:ascii="Arial" w:eastAsia="Calibri" w:hAnsi="Arial" w:cs="Arial"/>
          <w:sz w:val="20"/>
        </w:rPr>
      </w:pPr>
      <w:r w:rsidRPr="00701F32">
        <w:rPr>
          <w:rFonts w:ascii="Arial" w:eastAsia="Calibri" w:hAnsi="Arial" w:cs="Arial"/>
          <w:sz w:val="20"/>
        </w:rPr>
        <w:t xml:space="preserve">Los movimientos en activos intangibles para el </w:t>
      </w:r>
      <w:r>
        <w:rPr>
          <w:rFonts w:ascii="Arial" w:eastAsia="Calibri" w:hAnsi="Arial" w:cs="Arial"/>
          <w:sz w:val="20"/>
        </w:rPr>
        <w:t>ejercicio</w:t>
      </w:r>
      <w:r w:rsidRPr="00701F32">
        <w:rPr>
          <w:rFonts w:ascii="Arial" w:eastAsia="Calibri" w:hAnsi="Arial" w:cs="Arial"/>
          <w:sz w:val="20"/>
        </w:rPr>
        <w:t xml:space="preserve"> finalizado el 3</w:t>
      </w:r>
      <w:r>
        <w:rPr>
          <w:rFonts w:ascii="Arial" w:eastAsia="Calibri" w:hAnsi="Arial" w:cs="Arial"/>
          <w:sz w:val="20"/>
        </w:rPr>
        <w:t>1</w:t>
      </w:r>
      <w:r w:rsidRPr="00701F32">
        <w:rPr>
          <w:rFonts w:ascii="Arial" w:eastAsia="Calibri" w:hAnsi="Arial" w:cs="Arial"/>
          <w:sz w:val="20"/>
        </w:rPr>
        <w:t xml:space="preserve"> de </w:t>
      </w:r>
      <w:r>
        <w:rPr>
          <w:rFonts w:ascii="Arial" w:eastAsia="Calibri" w:hAnsi="Arial" w:cs="Arial"/>
          <w:sz w:val="20"/>
        </w:rPr>
        <w:t>diciembre</w:t>
      </w:r>
      <w:r w:rsidRPr="00701F32">
        <w:rPr>
          <w:rFonts w:ascii="Arial" w:eastAsia="Calibri" w:hAnsi="Arial" w:cs="Arial"/>
          <w:sz w:val="20"/>
        </w:rPr>
        <w:t xml:space="preserve"> de 201</w:t>
      </w:r>
      <w:r>
        <w:rPr>
          <w:rFonts w:ascii="Arial" w:eastAsia="Calibri" w:hAnsi="Arial" w:cs="Arial"/>
          <w:sz w:val="20"/>
        </w:rPr>
        <w:t>9</w:t>
      </w:r>
      <w:r w:rsidRPr="00701F32">
        <w:rPr>
          <w:rFonts w:ascii="Arial" w:eastAsia="Calibri" w:hAnsi="Arial" w:cs="Arial"/>
          <w:sz w:val="20"/>
        </w:rPr>
        <w:t xml:space="preserve"> se detallan en el Anexo</w:t>
      </w:r>
      <w:r w:rsidRPr="00701F32" w:rsidDel="00E72000">
        <w:rPr>
          <w:rFonts w:ascii="Arial" w:eastAsia="Calibri" w:hAnsi="Arial" w:cs="Arial"/>
          <w:sz w:val="20"/>
        </w:rPr>
        <w:t xml:space="preserve"> </w:t>
      </w:r>
      <w:r w:rsidRPr="00701F32">
        <w:rPr>
          <w:rFonts w:ascii="Arial" w:eastAsia="Calibri" w:hAnsi="Arial" w:cs="Arial"/>
          <w:sz w:val="20"/>
        </w:rPr>
        <w:t>G adjunto a estos estados financieros separados.</w:t>
      </w:r>
    </w:p>
    <w:p w14:paraId="4BBB934D" w14:textId="1482312C" w:rsidR="00FE2245" w:rsidRDefault="00FE2245" w:rsidP="00FE2245">
      <w:pPr>
        <w:spacing w:after="160" w:line="259" w:lineRule="auto"/>
        <w:jc w:val="both"/>
        <w:rPr>
          <w:rFonts w:ascii="Arial" w:eastAsia="Calibri" w:hAnsi="Arial" w:cs="Arial"/>
          <w:sz w:val="20"/>
        </w:rPr>
      </w:pPr>
      <w:r w:rsidRPr="00701F32">
        <w:rPr>
          <w:rFonts w:ascii="Arial" w:eastAsia="Calibri" w:hAnsi="Arial" w:cs="Arial"/>
          <w:sz w:val="20"/>
        </w:rPr>
        <w:t>Los movimientos en activos intangibles para los ejercicios finalizados el 31 de diciembre 201</w:t>
      </w:r>
      <w:r>
        <w:rPr>
          <w:rFonts w:ascii="Arial" w:eastAsia="Calibri" w:hAnsi="Arial" w:cs="Arial"/>
          <w:sz w:val="20"/>
        </w:rPr>
        <w:t>8</w:t>
      </w:r>
      <w:r w:rsidRPr="00701F32">
        <w:rPr>
          <w:rFonts w:ascii="Arial" w:eastAsia="Calibri" w:hAnsi="Arial" w:cs="Arial"/>
          <w:sz w:val="20"/>
        </w:rPr>
        <w:t xml:space="preserve"> fueron los siguientes:</w:t>
      </w:r>
    </w:p>
    <w:p w14:paraId="6F68C13E" w14:textId="77777777" w:rsidR="00456A55" w:rsidRDefault="00456A55" w:rsidP="00FE2245">
      <w:pPr>
        <w:spacing w:after="160" w:line="259" w:lineRule="auto"/>
        <w:jc w:val="both"/>
        <w:rPr>
          <w:rFonts w:ascii="Arial" w:eastAsia="Calibri" w:hAnsi="Arial" w:cs="Arial"/>
          <w:sz w:val="20"/>
        </w:rPr>
      </w:pPr>
    </w:p>
    <w:tbl>
      <w:tblPr>
        <w:tblW w:w="9284" w:type="dxa"/>
        <w:tblLayout w:type="fixed"/>
        <w:tblCellMar>
          <w:left w:w="70" w:type="dxa"/>
          <w:right w:w="70" w:type="dxa"/>
        </w:tblCellMar>
        <w:tblLook w:val="04A0" w:firstRow="1" w:lastRow="0" w:firstColumn="1" w:lastColumn="0" w:noHBand="0" w:noVBand="1"/>
      </w:tblPr>
      <w:tblGrid>
        <w:gridCol w:w="2308"/>
        <w:gridCol w:w="899"/>
        <w:gridCol w:w="747"/>
        <w:gridCol w:w="652"/>
        <w:gridCol w:w="584"/>
        <w:gridCol w:w="895"/>
        <w:gridCol w:w="506"/>
        <w:gridCol w:w="992"/>
        <w:gridCol w:w="851"/>
        <w:gridCol w:w="850"/>
      </w:tblGrid>
      <w:tr w:rsidR="006D0F3B" w:rsidRPr="006D0F3B" w14:paraId="1ABB3FBC" w14:textId="77777777" w:rsidTr="006D0F3B">
        <w:trPr>
          <w:trHeight w:val="298"/>
        </w:trPr>
        <w:tc>
          <w:tcPr>
            <w:tcW w:w="23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36A7FD" w14:textId="77777777" w:rsidR="006D0F3B" w:rsidRPr="006D0F3B" w:rsidRDefault="006D0F3B" w:rsidP="006D0F3B">
            <w:pPr>
              <w:jc w:val="center"/>
              <w:rPr>
                <w:rFonts w:ascii="Arial" w:hAnsi="Arial" w:cs="Arial"/>
                <w:b/>
                <w:bCs/>
                <w:color w:val="000000"/>
                <w:sz w:val="14"/>
                <w:szCs w:val="14"/>
                <w:lang w:eastAsia="es-AR"/>
              </w:rPr>
            </w:pPr>
            <w:r w:rsidRPr="006D0F3B">
              <w:rPr>
                <w:rFonts w:ascii="Arial" w:hAnsi="Arial" w:cs="Arial"/>
                <w:b/>
                <w:bCs/>
                <w:color w:val="000000"/>
                <w:sz w:val="14"/>
                <w:szCs w:val="14"/>
                <w:lang w:eastAsia="es-AR"/>
              </w:rPr>
              <w:t>Concepto</w:t>
            </w:r>
          </w:p>
        </w:tc>
        <w:tc>
          <w:tcPr>
            <w:tcW w:w="8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D7811C" w14:textId="77777777" w:rsidR="006D0F3B" w:rsidRPr="006D0F3B" w:rsidRDefault="006D0F3B" w:rsidP="006D0F3B">
            <w:pPr>
              <w:jc w:val="center"/>
              <w:rPr>
                <w:rFonts w:ascii="Arial" w:hAnsi="Arial" w:cs="Arial"/>
                <w:b/>
                <w:bCs/>
                <w:color w:val="000000"/>
                <w:sz w:val="14"/>
                <w:szCs w:val="14"/>
                <w:lang w:eastAsia="es-AR"/>
              </w:rPr>
            </w:pPr>
            <w:r w:rsidRPr="006D0F3B">
              <w:rPr>
                <w:rFonts w:ascii="Arial" w:hAnsi="Arial" w:cs="Arial"/>
                <w:b/>
                <w:bCs/>
                <w:color w:val="000000"/>
                <w:sz w:val="14"/>
                <w:szCs w:val="14"/>
                <w:lang w:eastAsia="es-AR"/>
              </w:rPr>
              <w:t>Valor de origen al inicio del ejercicio</w:t>
            </w:r>
          </w:p>
        </w:tc>
        <w:tc>
          <w:tcPr>
            <w:tcW w:w="7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80CDBE" w14:textId="77777777" w:rsidR="006D0F3B" w:rsidRPr="006D0F3B" w:rsidRDefault="006D0F3B" w:rsidP="006D0F3B">
            <w:pPr>
              <w:jc w:val="center"/>
              <w:rPr>
                <w:rFonts w:ascii="Arial" w:hAnsi="Arial" w:cs="Arial"/>
                <w:b/>
                <w:bCs/>
                <w:color w:val="000000"/>
                <w:sz w:val="14"/>
                <w:szCs w:val="14"/>
                <w:lang w:eastAsia="es-AR"/>
              </w:rPr>
            </w:pPr>
            <w:r w:rsidRPr="006D0F3B">
              <w:rPr>
                <w:rFonts w:ascii="Arial" w:hAnsi="Arial" w:cs="Arial"/>
                <w:b/>
                <w:bCs/>
                <w:color w:val="000000"/>
                <w:sz w:val="14"/>
                <w:szCs w:val="14"/>
                <w:lang w:eastAsia="es-AR"/>
              </w:rPr>
              <w:t>Vida Útil total estimada en años</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6198D5" w14:textId="77777777" w:rsidR="006D0F3B" w:rsidRPr="006D0F3B" w:rsidRDefault="006D0F3B" w:rsidP="006D0F3B">
            <w:pPr>
              <w:jc w:val="center"/>
              <w:rPr>
                <w:rFonts w:ascii="Arial" w:hAnsi="Arial" w:cs="Arial"/>
                <w:b/>
                <w:bCs/>
                <w:color w:val="000000"/>
                <w:sz w:val="14"/>
                <w:szCs w:val="14"/>
                <w:lang w:eastAsia="es-AR"/>
              </w:rPr>
            </w:pPr>
            <w:r w:rsidRPr="006D0F3B">
              <w:rPr>
                <w:rFonts w:ascii="Arial" w:hAnsi="Arial" w:cs="Arial"/>
                <w:b/>
                <w:bCs/>
                <w:color w:val="000000"/>
                <w:sz w:val="14"/>
                <w:szCs w:val="14"/>
                <w:lang w:eastAsia="es-AR"/>
              </w:rPr>
              <w:t>Altas</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312708" w14:textId="77777777" w:rsidR="006D0F3B" w:rsidRPr="006D0F3B" w:rsidRDefault="006D0F3B" w:rsidP="006D0F3B">
            <w:pPr>
              <w:jc w:val="center"/>
              <w:rPr>
                <w:rFonts w:ascii="Arial" w:hAnsi="Arial" w:cs="Arial"/>
                <w:b/>
                <w:bCs/>
                <w:color w:val="000000"/>
                <w:sz w:val="14"/>
                <w:szCs w:val="14"/>
                <w:lang w:eastAsia="es-AR"/>
              </w:rPr>
            </w:pPr>
            <w:r w:rsidRPr="006D0F3B">
              <w:rPr>
                <w:rFonts w:ascii="Arial" w:hAnsi="Arial" w:cs="Arial"/>
                <w:b/>
                <w:bCs/>
                <w:color w:val="000000"/>
                <w:sz w:val="14"/>
                <w:szCs w:val="14"/>
                <w:lang w:eastAsia="es-AR"/>
              </w:rPr>
              <w:t>Bajas</w:t>
            </w:r>
          </w:p>
        </w:tc>
        <w:tc>
          <w:tcPr>
            <w:tcW w:w="3244" w:type="dxa"/>
            <w:gridSpan w:val="4"/>
            <w:tcBorders>
              <w:top w:val="single" w:sz="4" w:space="0" w:color="auto"/>
              <w:left w:val="nil"/>
              <w:bottom w:val="single" w:sz="4" w:space="0" w:color="auto"/>
              <w:right w:val="single" w:sz="4" w:space="0" w:color="auto"/>
            </w:tcBorders>
            <w:shd w:val="clear" w:color="auto" w:fill="auto"/>
            <w:vAlign w:val="center"/>
            <w:hideMark/>
          </w:tcPr>
          <w:p w14:paraId="32B316EE" w14:textId="77777777" w:rsidR="006D0F3B" w:rsidRPr="006D0F3B" w:rsidRDefault="006D0F3B" w:rsidP="006D0F3B">
            <w:pPr>
              <w:jc w:val="center"/>
              <w:rPr>
                <w:rFonts w:ascii="Arial" w:hAnsi="Arial" w:cs="Arial"/>
                <w:b/>
                <w:bCs/>
                <w:color w:val="000000"/>
                <w:sz w:val="14"/>
                <w:szCs w:val="14"/>
                <w:lang w:eastAsia="es-AR"/>
              </w:rPr>
            </w:pPr>
            <w:r w:rsidRPr="006D0F3B">
              <w:rPr>
                <w:rFonts w:ascii="Arial" w:hAnsi="Arial" w:cs="Arial"/>
                <w:b/>
                <w:bCs/>
                <w:color w:val="000000"/>
                <w:sz w:val="14"/>
                <w:szCs w:val="14"/>
                <w:lang w:eastAsia="es-AR"/>
              </w:rPr>
              <w:t>Depreciación</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8364B5" w14:textId="7DC313F8" w:rsidR="006D0F3B" w:rsidRPr="006D0F3B" w:rsidRDefault="006D0F3B" w:rsidP="006D0F3B">
            <w:pPr>
              <w:jc w:val="center"/>
              <w:rPr>
                <w:rFonts w:ascii="Arial" w:hAnsi="Arial" w:cs="Arial"/>
                <w:b/>
                <w:bCs/>
                <w:color w:val="000000"/>
                <w:sz w:val="14"/>
                <w:szCs w:val="14"/>
                <w:lang w:eastAsia="es-AR"/>
              </w:rPr>
            </w:pPr>
            <w:r w:rsidRPr="006D0F3B">
              <w:rPr>
                <w:rFonts w:ascii="Arial" w:hAnsi="Arial" w:cs="Arial"/>
                <w:b/>
                <w:bCs/>
                <w:color w:val="000000"/>
                <w:sz w:val="14"/>
                <w:szCs w:val="14"/>
                <w:lang w:eastAsia="es-AR"/>
              </w:rPr>
              <w:t xml:space="preserve">Valor residual al cierre del </w:t>
            </w:r>
            <w:r w:rsidR="0036152D">
              <w:rPr>
                <w:rFonts w:ascii="Arial" w:hAnsi="Arial" w:cs="Arial"/>
                <w:b/>
                <w:bCs/>
                <w:color w:val="000000"/>
                <w:sz w:val="14"/>
                <w:szCs w:val="14"/>
                <w:lang w:eastAsia="es-AR"/>
              </w:rPr>
              <w:t>ejercicio</w:t>
            </w:r>
          </w:p>
        </w:tc>
      </w:tr>
      <w:tr w:rsidR="006D0F3B" w:rsidRPr="006D0F3B" w14:paraId="79541ED3" w14:textId="77777777" w:rsidTr="006D0F3B">
        <w:trPr>
          <w:trHeight w:val="466"/>
        </w:trPr>
        <w:tc>
          <w:tcPr>
            <w:tcW w:w="2308" w:type="dxa"/>
            <w:vMerge/>
            <w:tcBorders>
              <w:top w:val="single" w:sz="4" w:space="0" w:color="auto"/>
              <w:left w:val="single" w:sz="4" w:space="0" w:color="auto"/>
              <w:bottom w:val="single" w:sz="4" w:space="0" w:color="auto"/>
              <w:right w:val="single" w:sz="4" w:space="0" w:color="auto"/>
            </w:tcBorders>
            <w:vAlign w:val="center"/>
            <w:hideMark/>
          </w:tcPr>
          <w:p w14:paraId="1C88C9D2" w14:textId="77777777" w:rsidR="006D0F3B" w:rsidRPr="006D0F3B" w:rsidRDefault="006D0F3B" w:rsidP="006D0F3B">
            <w:pPr>
              <w:rPr>
                <w:rFonts w:ascii="Arial" w:hAnsi="Arial" w:cs="Arial"/>
                <w:b/>
                <w:bCs/>
                <w:color w:val="000000"/>
                <w:sz w:val="14"/>
                <w:szCs w:val="14"/>
                <w:lang w:eastAsia="es-AR"/>
              </w:rPr>
            </w:pPr>
          </w:p>
        </w:tc>
        <w:tc>
          <w:tcPr>
            <w:tcW w:w="899" w:type="dxa"/>
            <w:vMerge/>
            <w:tcBorders>
              <w:top w:val="single" w:sz="4" w:space="0" w:color="auto"/>
              <w:left w:val="single" w:sz="4" w:space="0" w:color="auto"/>
              <w:bottom w:val="single" w:sz="4" w:space="0" w:color="auto"/>
              <w:right w:val="single" w:sz="4" w:space="0" w:color="auto"/>
            </w:tcBorders>
            <w:vAlign w:val="center"/>
            <w:hideMark/>
          </w:tcPr>
          <w:p w14:paraId="46B32B72" w14:textId="77777777" w:rsidR="006D0F3B" w:rsidRPr="006D0F3B" w:rsidRDefault="006D0F3B" w:rsidP="006D0F3B">
            <w:pPr>
              <w:rPr>
                <w:rFonts w:ascii="Arial" w:hAnsi="Arial" w:cs="Arial"/>
                <w:b/>
                <w:bCs/>
                <w:color w:val="000000"/>
                <w:sz w:val="14"/>
                <w:szCs w:val="14"/>
                <w:lang w:eastAsia="es-AR"/>
              </w:rPr>
            </w:pPr>
          </w:p>
        </w:tc>
        <w:tc>
          <w:tcPr>
            <w:tcW w:w="747" w:type="dxa"/>
            <w:vMerge/>
            <w:tcBorders>
              <w:top w:val="single" w:sz="4" w:space="0" w:color="auto"/>
              <w:left w:val="single" w:sz="4" w:space="0" w:color="auto"/>
              <w:bottom w:val="single" w:sz="4" w:space="0" w:color="auto"/>
              <w:right w:val="single" w:sz="4" w:space="0" w:color="auto"/>
            </w:tcBorders>
            <w:vAlign w:val="center"/>
            <w:hideMark/>
          </w:tcPr>
          <w:p w14:paraId="62968A0E" w14:textId="77777777" w:rsidR="006D0F3B" w:rsidRPr="006D0F3B" w:rsidRDefault="006D0F3B" w:rsidP="006D0F3B">
            <w:pPr>
              <w:rPr>
                <w:rFonts w:ascii="Arial" w:hAnsi="Arial" w:cs="Arial"/>
                <w:b/>
                <w:bCs/>
                <w:color w:val="000000"/>
                <w:sz w:val="14"/>
                <w:szCs w:val="14"/>
                <w:lang w:eastAsia="es-AR"/>
              </w:rPr>
            </w:pPr>
          </w:p>
        </w:tc>
        <w:tc>
          <w:tcPr>
            <w:tcW w:w="652" w:type="dxa"/>
            <w:vMerge/>
            <w:tcBorders>
              <w:top w:val="single" w:sz="4" w:space="0" w:color="auto"/>
              <w:left w:val="single" w:sz="4" w:space="0" w:color="auto"/>
              <w:bottom w:val="single" w:sz="4" w:space="0" w:color="auto"/>
              <w:right w:val="single" w:sz="4" w:space="0" w:color="auto"/>
            </w:tcBorders>
            <w:vAlign w:val="center"/>
            <w:hideMark/>
          </w:tcPr>
          <w:p w14:paraId="443B2C87" w14:textId="77777777" w:rsidR="006D0F3B" w:rsidRPr="006D0F3B" w:rsidRDefault="006D0F3B" w:rsidP="006D0F3B">
            <w:pPr>
              <w:rPr>
                <w:rFonts w:ascii="Arial" w:hAnsi="Arial" w:cs="Arial"/>
                <w:b/>
                <w:bCs/>
                <w:color w:val="000000"/>
                <w:sz w:val="14"/>
                <w:szCs w:val="14"/>
                <w:lang w:eastAsia="es-AR"/>
              </w:rPr>
            </w:pPr>
          </w:p>
        </w:tc>
        <w:tc>
          <w:tcPr>
            <w:tcW w:w="584" w:type="dxa"/>
            <w:vMerge/>
            <w:tcBorders>
              <w:top w:val="single" w:sz="4" w:space="0" w:color="auto"/>
              <w:left w:val="single" w:sz="4" w:space="0" w:color="auto"/>
              <w:bottom w:val="single" w:sz="4" w:space="0" w:color="auto"/>
              <w:right w:val="single" w:sz="4" w:space="0" w:color="auto"/>
            </w:tcBorders>
            <w:vAlign w:val="center"/>
            <w:hideMark/>
          </w:tcPr>
          <w:p w14:paraId="2D281109" w14:textId="77777777" w:rsidR="006D0F3B" w:rsidRPr="006D0F3B" w:rsidRDefault="006D0F3B" w:rsidP="006D0F3B">
            <w:pPr>
              <w:rPr>
                <w:rFonts w:ascii="Arial" w:hAnsi="Arial" w:cs="Arial"/>
                <w:b/>
                <w:bCs/>
                <w:color w:val="000000"/>
                <w:sz w:val="14"/>
                <w:szCs w:val="14"/>
                <w:lang w:eastAsia="es-AR"/>
              </w:rPr>
            </w:pPr>
          </w:p>
        </w:tc>
        <w:tc>
          <w:tcPr>
            <w:tcW w:w="895" w:type="dxa"/>
            <w:tcBorders>
              <w:top w:val="nil"/>
              <w:left w:val="nil"/>
              <w:bottom w:val="single" w:sz="4" w:space="0" w:color="auto"/>
              <w:right w:val="single" w:sz="4" w:space="0" w:color="auto"/>
            </w:tcBorders>
            <w:shd w:val="clear" w:color="auto" w:fill="auto"/>
            <w:vAlign w:val="center"/>
            <w:hideMark/>
          </w:tcPr>
          <w:p w14:paraId="75223F83" w14:textId="77777777" w:rsidR="006D0F3B" w:rsidRPr="006D0F3B" w:rsidRDefault="006D0F3B" w:rsidP="006D0F3B">
            <w:pPr>
              <w:jc w:val="right"/>
              <w:rPr>
                <w:rFonts w:ascii="Arial" w:hAnsi="Arial" w:cs="Arial"/>
                <w:b/>
                <w:bCs/>
                <w:color w:val="000000"/>
                <w:sz w:val="14"/>
                <w:szCs w:val="14"/>
                <w:lang w:eastAsia="es-AR"/>
              </w:rPr>
            </w:pPr>
            <w:r w:rsidRPr="006D0F3B">
              <w:rPr>
                <w:rFonts w:ascii="Arial" w:hAnsi="Arial" w:cs="Arial"/>
                <w:b/>
                <w:bCs/>
                <w:color w:val="000000"/>
                <w:sz w:val="14"/>
                <w:szCs w:val="14"/>
                <w:lang w:eastAsia="es-AR"/>
              </w:rPr>
              <w:t>Acumulada</w:t>
            </w:r>
          </w:p>
        </w:tc>
        <w:tc>
          <w:tcPr>
            <w:tcW w:w="506" w:type="dxa"/>
            <w:tcBorders>
              <w:top w:val="nil"/>
              <w:left w:val="nil"/>
              <w:bottom w:val="single" w:sz="4" w:space="0" w:color="auto"/>
              <w:right w:val="single" w:sz="4" w:space="0" w:color="auto"/>
            </w:tcBorders>
            <w:shd w:val="clear" w:color="auto" w:fill="auto"/>
            <w:vAlign w:val="center"/>
            <w:hideMark/>
          </w:tcPr>
          <w:p w14:paraId="3DEB7C1A" w14:textId="77777777" w:rsidR="006D0F3B" w:rsidRPr="006D0F3B" w:rsidRDefault="006D0F3B" w:rsidP="006D0F3B">
            <w:pPr>
              <w:jc w:val="right"/>
              <w:rPr>
                <w:rFonts w:ascii="Arial" w:hAnsi="Arial" w:cs="Arial"/>
                <w:b/>
                <w:bCs/>
                <w:color w:val="000000"/>
                <w:sz w:val="14"/>
                <w:szCs w:val="14"/>
                <w:lang w:eastAsia="es-AR"/>
              </w:rPr>
            </w:pPr>
            <w:r w:rsidRPr="006D0F3B">
              <w:rPr>
                <w:rFonts w:ascii="Arial" w:hAnsi="Arial" w:cs="Arial"/>
                <w:b/>
                <w:bCs/>
                <w:color w:val="000000"/>
                <w:sz w:val="14"/>
                <w:szCs w:val="14"/>
                <w:lang w:eastAsia="es-AR"/>
              </w:rPr>
              <w:t>Baja</w:t>
            </w:r>
          </w:p>
        </w:tc>
        <w:tc>
          <w:tcPr>
            <w:tcW w:w="992" w:type="dxa"/>
            <w:tcBorders>
              <w:top w:val="nil"/>
              <w:left w:val="nil"/>
              <w:bottom w:val="single" w:sz="4" w:space="0" w:color="auto"/>
              <w:right w:val="single" w:sz="4" w:space="0" w:color="auto"/>
            </w:tcBorders>
            <w:shd w:val="clear" w:color="auto" w:fill="auto"/>
            <w:vAlign w:val="center"/>
            <w:hideMark/>
          </w:tcPr>
          <w:p w14:paraId="0E04C07F" w14:textId="3FE215F1" w:rsidR="006D0F3B" w:rsidRPr="006D0F3B" w:rsidRDefault="006D0F3B" w:rsidP="006D0F3B">
            <w:pPr>
              <w:jc w:val="center"/>
              <w:rPr>
                <w:rFonts w:ascii="Arial" w:hAnsi="Arial" w:cs="Arial"/>
                <w:b/>
                <w:bCs/>
                <w:color w:val="000000"/>
                <w:sz w:val="14"/>
                <w:szCs w:val="14"/>
                <w:lang w:eastAsia="es-AR"/>
              </w:rPr>
            </w:pPr>
            <w:r w:rsidRPr="006D0F3B">
              <w:rPr>
                <w:rFonts w:ascii="Arial" w:hAnsi="Arial" w:cs="Arial"/>
                <w:b/>
                <w:bCs/>
                <w:color w:val="000000"/>
                <w:sz w:val="14"/>
                <w:szCs w:val="14"/>
                <w:lang w:eastAsia="es-AR"/>
              </w:rPr>
              <w:t xml:space="preserve">Del </w:t>
            </w:r>
            <w:r w:rsidR="0036152D">
              <w:rPr>
                <w:rFonts w:ascii="Arial" w:hAnsi="Arial" w:cs="Arial"/>
                <w:b/>
                <w:bCs/>
                <w:color w:val="000000"/>
                <w:sz w:val="14"/>
                <w:szCs w:val="14"/>
                <w:lang w:eastAsia="es-AR"/>
              </w:rPr>
              <w:t>ejercicio</w:t>
            </w:r>
          </w:p>
        </w:tc>
        <w:tc>
          <w:tcPr>
            <w:tcW w:w="851" w:type="dxa"/>
            <w:tcBorders>
              <w:top w:val="nil"/>
              <w:left w:val="nil"/>
              <w:bottom w:val="single" w:sz="4" w:space="0" w:color="auto"/>
              <w:right w:val="single" w:sz="4" w:space="0" w:color="auto"/>
            </w:tcBorders>
            <w:shd w:val="clear" w:color="auto" w:fill="auto"/>
            <w:vAlign w:val="center"/>
            <w:hideMark/>
          </w:tcPr>
          <w:p w14:paraId="675993D0" w14:textId="77777777" w:rsidR="006D0F3B" w:rsidRPr="006D0F3B" w:rsidRDefault="006D0F3B" w:rsidP="006D0F3B">
            <w:pPr>
              <w:jc w:val="center"/>
              <w:rPr>
                <w:rFonts w:ascii="Arial" w:hAnsi="Arial" w:cs="Arial"/>
                <w:b/>
                <w:bCs/>
                <w:color w:val="000000"/>
                <w:sz w:val="14"/>
                <w:szCs w:val="14"/>
                <w:lang w:eastAsia="es-AR"/>
              </w:rPr>
            </w:pPr>
            <w:r w:rsidRPr="006D0F3B">
              <w:rPr>
                <w:rFonts w:ascii="Arial" w:hAnsi="Arial" w:cs="Arial"/>
                <w:b/>
                <w:bCs/>
                <w:color w:val="000000"/>
                <w:sz w:val="14"/>
                <w:szCs w:val="14"/>
                <w:lang w:eastAsia="es-AR"/>
              </w:rPr>
              <w:t>Al cierre</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2887DEF" w14:textId="77777777" w:rsidR="006D0F3B" w:rsidRPr="006D0F3B" w:rsidRDefault="006D0F3B" w:rsidP="006D0F3B">
            <w:pPr>
              <w:rPr>
                <w:rFonts w:ascii="Arial" w:hAnsi="Arial" w:cs="Arial"/>
                <w:b/>
                <w:bCs/>
                <w:color w:val="000000"/>
                <w:sz w:val="14"/>
                <w:szCs w:val="14"/>
                <w:lang w:eastAsia="es-AR"/>
              </w:rPr>
            </w:pPr>
          </w:p>
        </w:tc>
      </w:tr>
      <w:tr w:rsidR="002E1657" w:rsidRPr="006D0F3B" w14:paraId="18F6C9D4" w14:textId="77777777" w:rsidTr="002E1657">
        <w:trPr>
          <w:trHeight w:val="298"/>
        </w:trPr>
        <w:tc>
          <w:tcPr>
            <w:tcW w:w="2308" w:type="dxa"/>
            <w:tcBorders>
              <w:top w:val="nil"/>
              <w:left w:val="single" w:sz="4" w:space="0" w:color="auto"/>
              <w:bottom w:val="single" w:sz="4" w:space="0" w:color="auto"/>
              <w:right w:val="single" w:sz="4" w:space="0" w:color="auto"/>
            </w:tcBorders>
            <w:shd w:val="clear" w:color="auto" w:fill="auto"/>
            <w:noWrap/>
            <w:vAlign w:val="center"/>
            <w:hideMark/>
          </w:tcPr>
          <w:p w14:paraId="2B2F7F29" w14:textId="77777777" w:rsidR="002E1657" w:rsidRPr="006D0F3B" w:rsidRDefault="002E1657" w:rsidP="002E1657">
            <w:pPr>
              <w:rPr>
                <w:rFonts w:ascii="Arial" w:hAnsi="Arial" w:cs="Arial"/>
                <w:color w:val="000000"/>
                <w:sz w:val="14"/>
                <w:szCs w:val="14"/>
                <w:lang w:eastAsia="es-AR"/>
              </w:rPr>
            </w:pPr>
            <w:r w:rsidRPr="006D0F3B">
              <w:rPr>
                <w:rFonts w:ascii="Arial" w:hAnsi="Arial" w:cs="Arial"/>
                <w:color w:val="000000"/>
                <w:sz w:val="14"/>
                <w:szCs w:val="14"/>
                <w:lang w:eastAsia="es-AR"/>
              </w:rPr>
              <w:t>Llave de negocio- Combinación de negocios</w:t>
            </w:r>
          </w:p>
        </w:tc>
        <w:tc>
          <w:tcPr>
            <w:tcW w:w="899" w:type="dxa"/>
            <w:tcBorders>
              <w:top w:val="nil"/>
              <w:left w:val="nil"/>
              <w:bottom w:val="single" w:sz="4" w:space="0" w:color="auto"/>
              <w:right w:val="single" w:sz="4" w:space="0" w:color="auto"/>
            </w:tcBorders>
            <w:shd w:val="clear" w:color="auto" w:fill="auto"/>
            <w:noWrap/>
            <w:vAlign w:val="center"/>
            <w:hideMark/>
          </w:tcPr>
          <w:p w14:paraId="582E2122" w14:textId="77777777" w:rsidR="002E1657" w:rsidRPr="006D0F3B" w:rsidRDefault="002E1657" w:rsidP="002E1657">
            <w:pPr>
              <w:jc w:val="right"/>
              <w:rPr>
                <w:rFonts w:ascii="Arial" w:hAnsi="Arial" w:cs="Arial"/>
                <w:b/>
                <w:bCs/>
                <w:color w:val="000000"/>
                <w:sz w:val="14"/>
                <w:szCs w:val="14"/>
                <w:lang w:eastAsia="es-AR"/>
              </w:rPr>
            </w:pPr>
            <w:r w:rsidRPr="006D0F3B">
              <w:rPr>
                <w:rFonts w:ascii="Arial" w:hAnsi="Arial" w:cs="Arial"/>
                <w:b/>
                <w:bCs/>
                <w:color w:val="000000"/>
                <w:sz w:val="14"/>
                <w:szCs w:val="14"/>
                <w:lang w:eastAsia="es-AR"/>
              </w:rPr>
              <w:t xml:space="preserve">30.704 </w:t>
            </w:r>
          </w:p>
        </w:tc>
        <w:tc>
          <w:tcPr>
            <w:tcW w:w="747" w:type="dxa"/>
            <w:tcBorders>
              <w:top w:val="nil"/>
              <w:left w:val="nil"/>
              <w:bottom w:val="single" w:sz="4" w:space="0" w:color="auto"/>
              <w:right w:val="single" w:sz="4" w:space="0" w:color="auto"/>
            </w:tcBorders>
            <w:shd w:val="clear" w:color="auto" w:fill="auto"/>
            <w:noWrap/>
            <w:vAlign w:val="center"/>
            <w:hideMark/>
          </w:tcPr>
          <w:p w14:paraId="7CB9FC00" w14:textId="77777777" w:rsidR="002E1657" w:rsidRPr="006D0F3B" w:rsidRDefault="002E1657" w:rsidP="002E1657">
            <w:pPr>
              <w:rPr>
                <w:color w:val="000000"/>
                <w:sz w:val="20"/>
                <w:lang w:eastAsia="es-AR"/>
              </w:rPr>
            </w:pPr>
            <w:r w:rsidRPr="006D0F3B">
              <w:rPr>
                <w:color w:val="000000"/>
                <w:sz w:val="20"/>
                <w:lang w:eastAsia="es-AR"/>
              </w:rPr>
              <w:t> </w:t>
            </w:r>
          </w:p>
        </w:tc>
        <w:tc>
          <w:tcPr>
            <w:tcW w:w="652" w:type="dxa"/>
            <w:tcBorders>
              <w:top w:val="nil"/>
              <w:left w:val="nil"/>
              <w:bottom w:val="single" w:sz="4" w:space="0" w:color="auto"/>
              <w:right w:val="single" w:sz="4" w:space="0" w:color="auto"/>
            </w:tcBorders>
            <w:shd w:val="clear" w:color="auto" w:fill="auto"/>
            <w:noWrap/>
            <w:vAlign w:val="center"/>
            <w:hideMark/>
          </w:tcPr>
          <w:p w14:paraId="0605865D" w14:textId="62251E94" w:rsidR="002E1657" w:rsidRPr="006D0F3B" w:rsidRDefault="002E1657" w:rsidP="002E1657">
            <w:pPr>
              <w:jc w:val="right"/>
              <w:rPr>
                <w:rFonts w:ascii="Arial" w:hAnsi="Arial" w:cs="Arial"/>
                <w:color w:val="000000"/>
                <w:sz w:val="14"/>
                <w:szCs w:val="14"/>
                <w:lang w:eastAsia="es-AR"/>
              </w:rPr>
            </w:pPr>
            <w:r w:rsidRPr="00EE57F0">
              <w:rPr>
                <w:rFonts w:ascii="Arial" w:hAnsi="Arial" w:cs="Arial"/>
                <w:color w:val="000000"/>
                <w:sz w:val="14"/>
                <w:szCs w:val="14"/>
                <w:lang w:eastAsia="es-AR"/>
              </w:rPr>
              <w:t>-</w:t>
            </w:r>
          </w:p>
        </w:tc>
        <w:tc>
          <w:tcPr>
            <w:tcW w:w="584" w:type="dxa"/>
            <w:tcBorders>
              <w:top w:val="nil"/>
              <w:left w:val="nil"/>
              <w:bottom w:val="single" w:sz="4" w:space="0" w:color="auto"/>
              <w:right w:val="single" w:sz="4" w:space="0" w:color="auto"/>
            </w:tcBorders>
            <w:shd w:val="clear" w:color="auto" w:fill="auto"/>
            <w:noWrap/>
            <w:vAlign w:val="center"/>
            <w:hideMark/>
          </w:tcPr>
          <w:p w14:paraId="1D0042BA" w14:textId="04264E7B" w:rsidR="002E1657" w:rsidRPr="006D0F3B" w:rsidRDefault="002E1657" w:rsidP="002E1657">
            <w:pPr>
              <w:jc w:val="right"/>
              <w:rPr>
                <w:rFonts w:ascii="Arial" w:hAnsi="Arial" w:cs="Arial"/>
                <w:color w:val="000000"/>
                <w:sz w:val="14"/>
                <w:szCs w:val="14"/>
                <w:lang w:eastAsia="es-AR"/>
              </w:rPr>
            </w:pPr>
            <w:r w:rsidRPr="00EE57F0">
              <w:rPr>
                <w:rFonts w:ascii="Arial" w:hAnsi="Arial" w:cs="Arial"/>
                <w:color w:val="000000"/>
                <w:sz w:val="14"/>
                <w:szCs w:val="14"/>
                <w:lang w:eastAsia="es-AR"/>
              </w:rPr>
              <w:t>-</w:t>
            </w:r>
          </w:p>
        </w:tc>
        <w:tc>
          <w:tcPr>
            <w:tcW w:w="895" w:type="dxa"/>
            <w:tcBorders>
              <w:top w:val="nil"/>
              <w:left w:val="nil"/>
              <w:bottom w:val="single" w:sz="4" w:space="0" w:color="auto"/>
              <w:right w:val="single" w:sz="4" w:space="0" w:color="auto"/>
            </w:tcBorders>
            <w:shd w:val="clear" w:color="auto" w:fill="auto"/>
            <w:noWrap/>
            <w:vAlign w:val="center"/>
            <w:hideMark/>
          </w:tcPr>
          <w:p w14:paraId="2E0CA21A" w14:textId="51CC7AE8" w:rsidR="002E1657" w:rsidRPr="006D0F3B" w:rsidRDefault="002E1657" w:rsidP="002E1657">
            <w:pPr>
              <w:jc w:val="right"/>
              <w:rPr>
                <w:rFonts w:ascii="Arial" w:hAnsi="Arial" w:cs="Arial"/>
                <w:color w:val="000000"/>
                <w:sz w:val="14"/>
                <w:szCs w:val="14"/>
                <w:lang w:eastAsia="es-AR"/>
              </w:rPr>
            </w:pPr>
            <w:r w:rsidRPr="00EE57F0">
              <w:rPr>
                <w:rFonts w:ascii="Arial" w:hAnsi="Arial" w:cs="Arial"/>
                <w:color w:val="000000"/>
                <w:sz w:val="14"/>
                <w:szCs w:val="14"/>
                <w:lang w:eastAsia="es-AR"/>
              </w:rPr>
              <w:t>-</w:t>
            </w:r>
          </w:p>
        </w:tc>
        <w:tc>
          <w:tcPr>
            <w:tcW w:w="506" w:type="dxa"/>
            <w:tcBorders>
              <w:top w:val="nil"/>
              <w:left w:val="nil"/>
              <w:bottom w:val="single" w:sz="4" w:space="0" w:color="auto"/>
              <w:right w:val="single" w:sz="4" w:space="0" w:color="auto"/>
            </w:tcBorders>
            <w:shd w:val="clear" w:color="auto" w:fill="auto"/>
            <w:noWrap/>
            <w:vAlign w:val="center"/>
            <w:hideMark/>
          </w:tcPr>
          <w:p w14:paraId="35B392B1" w14:textId="463B3B39" w:rsidR="002E1657" w:rsidRPr="006D0F3B" w:rsidRDefault="002E1657" w:rsidP="002E1657">
            <w:pPr>
              <w:jc w:val="right"/>
              <w:rPr>
                <w:rFonts w:ascii="Arial" w:hAnsi="Arial" w:cs="Arial"/>
                <w:color w:val="000000"/>
                <w:sz w:val="14"/>
                <w:szCs w:val="14"/>
                <w:lang w:eastAsia="es-AR"/>
              </w:rPr>
            </w:pPr>
            <w:r w:rsidRPr="00EE57F0">
              <w:rPr>
                <w:rFonts w:ascii="Arial" w:hAnsi="Arial" w:cs="Arial"/>
                <w:color w:val="000000"/>
                <w:sz w:val="14"/>
                <w:szCs w:val="14"/>
                <w:lang w:eastAsia="es-AR"/>
              </w:rPr>
              <w:t>-</w:t>
            </w:r>
          </w:p>
        </w:tc>
        <w:tc>
          <w:tcPr>
            <w:tcW w:w="992" w:type="dxa"/>
            <w:tcBorders>
              <w:top w:val="nil"/>
              <w:left w:val="nil"/>
              <w:bottom w:val="single" w:sz="4" w:space="0" w:color="auto"/>
              <w:right w:val="single" w:sz="4" w:space="0" w:color="auto"/>
            </w:tcBorders>
            <w:shd w:val="clear" w:color="auto" w:fill="auto"/>
            <w:noWrap/>
            <w:vAlign w:val="center"/>
            <w:hideMark/>
          </w:tcPr>
          <w:p w14:paraId="450F6292" w14:textId="00F808BF" w:rsidR="002E1657" w:rsidRPr="006D0F3B" w:rsidRDefault="002E1657" w:rsidP="002E1657">
            <w:pPr>
              <w:jc w:val="right"/>
              <w:rPr>
                <w:rFonts w:ascii="Arial" w:hAnsi="Arial" w:cs="Arial"/>
                <w:color w:val="000000"/>
                <w:sz w:val="14"/>
                <w:szCs w:val="14"/>
                <w:lang w:eastAsia="es-AR"/>
              </w:rPr>
            </w:pPr>
            <w:r w:rsidRPr="00EE57F0">
              <w:rPr>
                <w:rFonts w:ascii="Arial" w:hAnsi="Arial" w:cs="Arial"/>
                <w:color w:val="000000"/>
                <w:sz w:val="14"/>
                <w:szCs w:val="14"/>
                <w:lang w:eastAsia="es-AR"/>
              </w:rPr>
              <w:t>-</w:t>
            </w:r>
          </w:p>
        </w:tc>
        <w:tc>
          <w:tcPr>
            <w:tcW w:w="851" w:type="dxa"/>
            <w:tcBorders>
              <w:top w:val="nil"/>
              <w:left w:val="nil"/>
              <w:bottom w:val="single" w:sz="4" w:space="0" w:color="auto"/>
              <w:right w:val="single" w:sz="4" w:space="0" w:color="auto"/>
            </w:tcBorders>
            <w:shd w:val="clear" w:color="auto" w:fill="auto"/>
            <w:noWrap/>
            <w:vAlign w:val="center"/>
            <w:hideMark/>
          </w:tcPr>
          <w:p w14:paraId="7A4565CF" w14:textId="71BE5C14" w:rsidR="002E1657" w:rsidRPr="006D0F3B" w:rsidRDefault="002E1657" w:rsidP="002E1657">
            <w:pPr>
              <w:jc w:val="right"/>
              <w:rPr>
                <w:rFonts w:ascii="Arial" w:hAnsi="Arial" w:cs="Arial"/>
                <w:color w:val="000000"/>
                <w:sz w:val="14"/>
                <w:szCs w:val="14"/>
                <w:lang w:eastAsia="es-AR"/>
              </w:rPr>
            </w:pPr>
            <w:r w:rsidRPr="00EE57F0">
              <w:rPr>
                <w:rFonts w:ascii="Arial" w:hAnsi="Arial" w:cs="Arial"/>
                <w:color w:val="000000"/>
                <w:sz w:val="14"/>
                <w:szCs w:val="14"/>
                <w:lang w:eastAsia="es-AR"/>
              </w:rPr>
              <w:t>-</w:t>
            </w:r>
          </w:p>
        </w:tc>
        <w:tc>
          <w:tcPr>
            <w:tcW w:w="850" w:type="dxa"/>
            <w:tcBorders>
              <w:top w:val="nil"/>
              <w:left w:val="nil"/>
              <w:bottom w:val="single" w:sz="4" w:space="0" w:color="auto"/>
              <w:right w:val="single" w:sz="4" w:space="0" w:color="auto"/>
            </w:tcBorders>
            <w:shd w:val="clear" w:color="auto" w:fill="auto"/>
            <w:noWrap/>
            <w:vAlign w:val="center"/>
            <w:hideMark/>
          </w:tcPr>
          <w:p w14:paraId="535FB02E" w14:textId="77777777" w:rsidR="002E1657" w:rsidRPr="006D0F3B" w:rsidRDefault="002E1657" w:rsidP="002E1657">
            <w:pPr>
              <w:jc w:val="right"/>
              <w:rPr>
                <w:rFonts w:ascii="Arial" w:hAnsi="Arial" w:cs="Arial"/>
                <w:b/>
                <w:bCs/>
                <w:color w:val="000000"/>
                <w:sz w:val="14"/>
                <w:szCs w:val="14"/>
                <w:lang w:eastAsia="es-AR"/>
              </w:rPr>
            </w:pPr>
            <w:r w:rsidRPr="006D0F3B">
              <w:rPr>
                <w:rFonts w:ascii="Arial" w:hAnsi="Arial" w:cs="Arial"/>
                <w:b/>
                <w:bCs/>
                <w:color w:val="000000"/>
                <w:sz w:val="14"/>
                <w:szCs w:val="14"/>
                <w:lang w:eastAsia="es-AR"/>
              </w:rPr>
              <w:t xml:space="preserve">30.704 </w:t>
            </w:r>
          </w:p>
        </w:tc>
      </w:tr>
      <w:tr w:rsidR="006D0F3B" w:rsidRPr="006D0F3B" w14:paraId="270EDA08" w14:textId="77777777" w:rsidTr="006D0F3B">
        <w:trPr>
          <w:trHeight w:val="298"/>
        </w:trPr>
        <w:tc>
          <w:tcPr>
            <w:tcW w:w="2308" w:type="dxa"/>
            <w:tcBorders>
              <w:top w:val="nil"/>
              <w:left w:val="single" w:sz="4" w:space="0" w:color="auto"/>
              <w:bottom w:val="single" w:sz="4" w:space="0" w:color="auto"/>
              <w:right w:val="single" w:sz="4" w:space="0" w:color="auto"/>
            </w:tcBorders>
            <w:shd w:val="clear" w:color="auto" w:fill="auto"/>
            <w:noWrap/>
            <w:vAlign w:val="center"/>
            <w:hideMark/>
          </w:tcPr>
          <w:p w14:paraId="4EA979D2" w14:textId="77777777" w:rsidR="006D0F3B" w:rsidRPr="006D0F3B" w:rsidRDefault="006D0F3B" w:rsidP="006D0F3B">
            <w:pPr>
              <w:rPr>
                <w:rFonts w:ascii="Arial" w:hAnsi="Arial" w:cs="Arial"/>
                <w:color w:val="000000"/>
                <w:sz w:val="14"/>
                <w:szCs w:val="14"/>
                <w:lang w:eastAsia="es-AR"/>
              </w:rPr>
            </w:pPr>
            <w:r w:rsidRPr="006D0F3B">
              <w:rPr>
                <w:rFonts w:ascii="Arial" w:hAnsi="Arial" w:cs="Arial"/>
                <w:color w:val="000000"/>
                <w:sz w:val="14"/>
                <w:szCs w:val="14"/>
                <w:lang w:eastAsia="es-AR"/>
              </w:rPr>
              <w:t>Otros activos intangibles</w:t>
            </w:r>
          </w:p>
        </w:tc>
        <w:tc>
          <w:tcPr>
            <w:tcW w:w="899" w:type="dxa"/>
            <w:tcBorders>
              <w:top w:val="nil"/>
              <w:left w:val="nil"/>
              <w:bottom w:val="single" w:sz="4" w:space="0" w:color="auto"/>
              <w:right w:val="single" w:sz="4" w:space="0" w:color="auto"/>
            </w:tcBorders>
            <w:shd w:val="clear" w:color="auto" w:fill="auto"/>
            <w:noWrap/>
            <w:vAlign w:val="center"/>
            <w:hideMark/>
          </w:tcPr>
          <w:p w14:paraId="56B342C8" w14:textId="5F709A56" w:rsidR="006D0F3B" w:rsidRPr="006D0F3B" w:rsidRDefault="00FC3D8A" w:rsidP="006D0F3B">
            <w:pPr>
              <w:jc w:val="right"/>
              <w:rPr>
                <w:rFonts w:ascii="Arial" w:hAnsi="Arial" w:cs="Arial"/>
                <w:b/>
                <w:bCs/>
                <w:color w:val="000000"/>
                <w:sz w:val="14"/>
                <w:szCs w:val="14"/>
                <w:lang w:eastAsia="es-AR"/>
              </w:rPr>
            </w:pPr>
            <w:r>
              <w:rPr>
                <w:rFonts w:ascii="Arial" w:hAnsi="Arial" w:cs="Arial"/>
                <w:b/>
                <w:bCs/>
                <w:color w:val="000000"/>
                <w:sz w:val="14"/>
                <w:szCs w:val="14"/>
                <w:lang w:eastAsia="es-AR"/>
              </w:rPr>
              <w:t>186.601</w:t>
            </w:r>
            <w:r w:rsidR="006D0F3B" w:rsidRPr="006D0F3B">
              <w:rPr>
                <w:rFonts w:ascii="Arial" w:hAnsi="Arial" w:cs="Arial"/>
                <w:b/>
                <w:bCs/>
                <w:color w:val="000000"/>
                <w:sz w:val="14"/>
                <w:szCs w:val="14"/>
                <w:lang w:eastAsia="es-AR"/>
              </w:rPr>
              <w:t xml:space="preserve"> </w:t>
            </w:r>
          </w:p>
        </w:tc>
        <w:tc>
          <w:tcPr>
            <w:tcW w:w="747" w:type="dxa"/>
            <w:tcBorders>
              <w:top w:val="nil"/>
              <w:left w:val="nil"/>
              <w:bottom w:val="single" w:sz="4" w:space="0" w:color="auto"/>
              <w:right w:val="single" w:sz="4" w:space="0" w:color="auto"/>
            </w:tcBorders>
            <w:shd w:val="clear" w:color="auto" w:fill="auto"/>
            <w:noWrap/>
            <w:vAlign w:val="center"/>
            <w:hideMark/>
          </w:tcPr>
          <w:p w14:paraId="3615D629" w14:textId="77777777" w:rsidR="006D0F3B" w:rsidRPr="006D0F3B" w:rsidRDefault="006D0F3B" w:rsidP="006D0F3B">
            <w:pPr>
              <w:jc w:val="center"/>
              <w:rPr>
                <w:rFonts w:ascii="Arial" w:hAnsi="Arial" w:cs="Arial"/>
                <w:color w:val="000000"/>
                <w:sz w:val="14"/>
                <w:szCs w:val="14"/>
                <w:lang w:eastAsia="es-AR"/>
              </w:rPr>
            </w:pPr>
            <w:r w:rsidRPr="006D0F3B">
              <w:rPr>
                <w:rFonts w:ascii="Arial" w:hAnsi="Arial" w:cs="Arial"/>
                <w:color w:val="000000"/>
                <w:sz w:val="14"/>
                <w:szCs w:val="14"/>
                <w:lang w:eastAsia="es-AR"/>
              </w:rPr>
              <w:t xml:space="preserve">3 </w:t>
            </w:r>
          </w:p>
        </w:tc>
        <w:tc>
          <w:tcPr>
            <w:tcW w:w="652" w:type="dxa"/>
            <w:tcBorders>
              <w:top w:val="nil"/>
              <w:left w:val="nil"/>
              <w:bottom w:val="single" w:sz="4" w:space="0" w:color="auto"/>
              <w:right w:val="single" w:sz="4" w:space="0" w:color="auto"/>
            </w:tcBorders>
            <w:shd w:val="clear" w:color="auto" w:fill="auto"/>
            <w:noWrap/>
            <w:vAlign w:val="center"/>
            <w:hideMark/>
          </w:tcPr>
          <w:p w14:paraId="7EC5C51F" w14:textId="7DDDC2A2" w:rsidR="006D0F3B" w:rsidRPr="006D0F3B" w:rsidRDefault="00456A55" w:rsidP="006D0F3B">
            <w:pPr>
              <w:jc w:val="right"/>
              <w:rPr>
                <w:rFonts w:ascii="Arial" w:hAnsi="Arial" w:cs="Arial"/>
                <w:color w:val="000000"/>
                <w:sz w:val="14"/>
                <w:szCs w:val="14"/>
                <w:lang w:eastAsia="es-AR"/>
              </w:rPr>
            </w:pPr>
            <w:r>
              <w:rPr>
                <w:rFonts w:ascii="Arial" w:hAnsi="Arial" w:cs="Arial"/>
                <w:color w:val="000000"/>
                <w:sz w:val="14"/>
                <w:szCs w:val="14"/>
                <w:lang w:eastAsia="es-AR"/>
              </w:rPr>
              <w:t>308.229</w:t>
            </w:r>
            <w:r w:rsidR="006D0F3B" w:rsidRPr="006D0F3B">
              <w:rPr>
                <w:rFonts w:ascii="Arial" w:hAnsi="Arial" w:cs="Arial"/>
                <w:color w:val="000000"/>
                <w:sz w:val="14"/>
                <w:szCs w:val="14"/>
                <w:lang w:eastAsia="es-AR"/>
              </w:rPr>
              <w:t xml:space="preserve"> </w:t>
            </w:r>
          </w:p>
        </w:tc>
        <w:tc>
          <w:tcPr>
            <w:tcW w:w="584" w:type="dxa"/>
            <w:tcBorders>
              <w:top w:val="nil"/>
              <w:left w:val="nil"/>
              <w:bottom w:val="single" w:sz="4" w:space="0" w:color="auto"/>
              <w:right w:val="single" w:sz="4" w:space="0" w:color="auto"/>
            </w:tcBorders>
            <w:shd w:val="clear" w:color="auto" w:fill="auto"/>
            <w:noWrap/>
            <w:vAlign w:val="center"/>
            <w:hideMark/>
          </w:tcPr>
          <w:p w14:paraId="04283B7D" w14:textId="3F80C88C" w:rsidR="006D0F3B" w:rsidRPr="006D0F3B" w:rsidRDefault="006D0F3B" w:rsidP="006D0F3B">
            <w:pPr>
              <w:jc w:val="right"/>
              <w:rPr>
                <w:rFonts w:ascii="Arial" w:hAnsi="Arial" w:cs="Arial"/>
                <w:color w:val="000000"/>
                <w:sz w:val="14"/>
                <w:szCs w:val="14"/>
                <w:lang w:eastAsia="es-AR"/>
              </w:rPr>
            </w:pPr>
            <w:r w:rsidRPr="006D0F3B">
              <w:rPr>
                <w:rFonts w:ascii="Arial" w:hAnsi="Arial" w:cs="Arial"/>
                <w:color w:val="000000"/>
                <w:sz w:val="14"/>
                <w:szCs w:val="14"/>
                <w:lang w:eastAsia="es-AR"/>
              </w:rPr>
              <w:t>(</w:t>
            </w:r>
            <w:r w:rsidR="00456A55">
              <w:rPr>
                <w:rFonts w:ascii="Arial" w:hAnsi="Arial" w:cs="Arial"/>
                <w:color w:val="000000"/>
                <w:sz w:val="14"/>
                <w:szCs w:val="14"/>
                <w:lang w:eastAsia="es-AR"/>
              </w:rPr>
              <w:t>5.524</w:t>
            </w:r>
            <w:r w:rsidRPr="006D0F3B">
              <w:rPr>
                <w:rFonts w:ascii="Arial" w:hAnsi="Arial" w:cs="Arial"/>
                <w:color w:val="000000"/>
                <w:sz w:val="14"/>
                <w:szCs w:val="14"/>
                <w:lang w:eastAsia="es-AR"/>
              </w:rPr>
              <w:t>)</w:t>
            </w:r>
          </w:p>
        </w:tc>
        <w:tc>
          <w:tcPr>
            <w:tcW w:w="895" w:type="dxa"/>
            <w:tcBorders>
              <w:top w:val="nil"/>
              <w:left w:val="nil"/>
              <w:bottom w:val="single" w:sz="4" w:space="0" w:color="auto"/>
              <w:right w:val="single" w:sz="4" w:space="0" w:color="auto"/>
            </w:tcBorders>
            <w:shd w:val="clear" w:color="auto" w:fill="auto"/>
            <w:noWrap/>
            <w:vAlign w:val="center"/>
            <w:hideMark/>
          </w:tcPr>
          <w:p w14:paraId="167EDC64" w14:textId="4A9A7AE6" w:rsidR="006D0F3B" w:rsidRPr="006D0F3B" w:rsidRDefault="006D0F3B" w:rsidP="006D0F3B">
            <w:pPr>
              <w:jc w:val="right"/>
              <w:rPr>
                <w:rFonts w:ascii="Arial" w:hAnsi="Arial" w:cs="Arial"/>
                <w:color w:val="000000"/>
                <w:sz w:val="14"/>
                <w:szCs w:val="14"/>
                <w:lang w:eastAsia="es-AR"/>
              </w:rPr>
            </w:pPr>
            <w:r w:rsidRPr="006D0F3B">
              <w:rPr>
                <w:rFonts w:ascii="Arial" w:hAnsi="Arial" w:cs="Arial"/>
                <w:color w:val="000000"/>
                <w:sz w:val="14"/>
                <w:szCs w:val="14"/>
                <w:lang w:eastAsia="es-AR"/>
              </w:rPr>
              <w:t>(</w:t>
            </w:r>
            <w:r w:rsidR="00456A55">
              <w:rPr>
                <w:rFonts w:ascii="Arial" w:hAnsi="Arial" w:cs="Arial"/>
                <w:color w:val="000000"/>
                <w:sz w:val="14"/>
                <w:szCs w:val="14"/>
                <w:lang w:eastAsia="es-AR"/>
              </w:rPr>
              <w:t>77.156</w:t>
            </w:r>
            <w:r w:rsidRPr="006D0F3B">
              <w:rPr>
                <w:rFonts w:ascii="Arial" w:hAnsi="Arial" w:cs="Arial"/>
                <w:color w:val="000000"/>
                <w:sz w:val="14"/>
                <w:szCs w:val="14"/>
                <w:lang w:eastAsia="es-AR"/>
              </w:rPr>
              <w:t>)</w:t>
            </w:r>
          </w:p>
        </w:tc>
        <w:tc>
          <w:tcPr>
            <w:tcW w:w="506" w:type="dxa"/>
            <w:tcBorders>
              <w:top w:val="nil"/>
              <w:left w:val="nil"/>
              <w:bottom w:val="single" w:sz="4" w:space="0" w:color="auto"/>
              <w:right w:val="single" w:sz="4" w:space="0" w:color="auto"/>
            </w:tcBorders>
            <w:shd w:val="clear" w:color="auto" w:fill="auto"/>
            <w:noWrap/>
            <w:vAlign w:val="center"/>
            <w:hideMark/>
          </w:tcPr>
          <w:p w14:paraId="1BD9A1BA" w14:textId="2369B3CE" w:rsidR="006D0F3B" w:rsidRPr="006D0F3B" w:rsidRDefault="00456A55" w:rsidP="006D0F3B">
            <w:pPr>
              <w:jc w:val="right"/>
              <w:rPr>
                <w:rFonts w:ascii="Arial" w:hAnsi="Arial" w:cs="Arial"/>
                <w:color w:val="000000"/>
                <w:sz w:val="14"/>
                <w:szCs w:val="14"/>
                <w:lang w:eastAsia="es-AR"/>
              </w:rPr>
            </w:pPr>
            <w:r>
              <w:rPr>
                <w:rFonts w:ascii="Arial" w:hAnsi="Arial" w:cs="Arial"/>
                <w:color w:val="000000"/>
                <w:sz w:val="14"/>
                <w:szCs w:val="14"/>
                <w:lang w:eastAsia="es-AR"/>
              </w:rPr>
              <w:t>-</w:t>
            </w:r>
            <w:r w:rsidR="006D0F3B" w:rsidRPr="006D0F3B">
              <w:rPr>
                <w:rFonts w:ascii="Arial" w:hAnsi="Arial" w:cs="Arial"/>
                <w:color w:val="000000"/>
                <w:sz w:val="14"/>
                <w:szCs w:val="14"/>
                <w:lang w:eastAsia="es-AR"/>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71E154B" w14:textId="2923AF0B" w:rsidR="006D0F3B" w:rsidRPr="006D0F3B" w:rsidRDefault="006D0F3B" w:rsidP="006D0F3B">
            <w:pPr>
              <w:jc w:val="right"/>
              <w:rPr>
                <w:rFonts w:ascii="Arial" w:hAnsi="Arial" w:cs="Arial"/>
                <w:color w:val="000000"/>
                <w:sz w:val="14"/>
                <w:szCs w:val="14"/>
                <w:lang w:eastAsia="es-AR"/>
              </w:rPr>
            </w:pPr>
            <w:r w:rsidRPr="006D0F3B">
              <w:rPr>
                <w:rFonts w:ascii="Arial" w:hAnsi="Arial" w:cs="Arial"/>
                <w:color w:val="000000"/>
                <w:sz w:val="14"/>
                <w:szCs w:val="14"/>
                <w:lang w:eastAsia="es-AR"/>
              </w:rPr>
              <w:t>(</w:t>
            </w:r>
            <w:r w:rsidR="00456A55">
              <w:rPr>
                <w:rFonts w:ascii="Arial" w:hAnsi="Arial" w:cs="Arial"/>
                <w:color w:val="000000"/>
                <w:sz w:val="14"/>
                <w:szCs w:val="14"/>
                <w:lang w:eastAsia="es-AR"/>
              </w:rPr>
              <w:t>90.273</w:t>
            </w:r>
            <w:r w:rsidRPr="006D0F3B">
              <w:rPr>
                <w:rFonts w:ascii="Arial" w:hAnsi="Arial" w:cs="Arial"/>
                <w:color w:val="000000"/>
                <w:sz w:val="14"/>
                <w:szCs w:val="14"/>
                <w:lang w:eastAsia="es-AR"/>
              </w:rPr>
              <w:t>)</w:t>
            </w:r>
          </w:p>
        </w:tc>
        <w:tc>
          <w:tcPr>
            <w:tcW w:w="851" w:type="dxa"/>
            <w:tcBorders>
              <w:top w:val="nil"/>
              <w:left w:val="nil"/>
              <w:bottom w:val="single" w:sz="4" w:space="0" w:color="auto"/>
              <w:right w:val="single" w:sz="4" w:space="0" w:color="auto"/>
            </w:tcBorders>
            <w:shd w:val="clear" w:color="auto" w:fill="auto"/>
            <w:noWrap/>
            <w:vAlign w:val="center"/>
            <w:hideMark/>
          </w:tcPr>
          <w:p w14:paraId="2823A4FB" w14:textId="496BF0FA" w:rsidR="006D0F3B" w:rsidRPr="006D0F3B" w:rsidRDefault="006D0F3B" w:rsidP="006D0F3B">
            <w:pPr>
              <w:jc w:val="right"/>
              <w:rPr>
                <w:rFonts w:ascii="Arial" w:hAnsi="Arial" w:cs="Arial"/>
                <w:color w:val="000000"/>
                <w:sz w:val="14"/>
                <w:szCs w:val="14"/>
                <w:lang w:eastAsia="es-AR"/>
              </w:rPr>
            </w:pPr>
            <w:r w:rsidRPr="006D0F3B">
              <w:rPr>
                <w:rFonts w:ascii="Arial" w:hAnsi="Arial" w:cs="Arial"/>
                <w:color w:val="000000"/>
                <w:sz w:val="14"/>
                <w:szCs w:val="14"/>
                <w:lang w:eastAsia="es-AR"/>
              </w:rPr>
              <w:t>(</w:t>
            </w:r>
            <w:r w:rsidR="00456A55">
              <w:rPr>
                <w:rFonts w:ascii="Arial" w:hAnsi="Arial" w:cs="Arial"/>
                <w:color w:val="000000"/>
                <w:sz w:val="14"/>
                <w:szCs w:val="14"/>
                <w:lang w:eastAsia="es-AR"/>
              </w:rPr>
              <w:t>167.429</w:t>
            </w:r>
            <w:r w:rsidRPr="006D0F3B">
              <w:rPr>
                <w:rFonts w:ascii="Arial" w:hAnsi="Arial" w:cs="Arial"/>
                <w:color w:val="000000"/>
                <w:sz w:val="14"/>
                <w:szCs w:val="14"/>
                <w:lang w:eastAsia="es-AR"/>
              </w:rPr>
              <w:t>)</w:t>
            </w:r>
          </w:p>
        </w:tc>
        <w:tc>
          <w:tcPr>
            <w:tcW w:w="850" w:type="dxa"/>
            <w:tcBorders>
              <w:top w:val="nil"/>
              <w:left w:val="nil"/>
              <w:bottom w:val="single" w:sz="4" w:space="0" w:color="auto"/>
              <w:right w:val="single" w:sz="4" w:space="0" w:color="auto"/>
            </w:tcBorders>
            <w:shd w:val="clear" w:color="auto" w:fill="auto"/>
            <w:noWrap/>
            <w:vAlign w:val="center"/>
            <w:hideMark/>
          </w:tcPr>
          <w:p w14:paraId="7A7CF6A4" w14:textId="4D0894F7" w:rsidR="006D0F3B" w:rsidRPr="006D0F3B" w:rsidRDefault="00456A55" w:rsidP="006D0F3B">
            <w:pPr>
              <w:jc w:val="right"/>
              <w:rPr>
                <w:rFonts w:ascii="Arial" w:hAnsi="Arial" w:cs="Arial"/>
                <w:b/>
                <w:bCs/>
                <w:color w:val="000000"/>
                <w:sz w:val="14"/>
                <w:szCs w:val="14"/>
                <w:lang w:eastAsia="es-AR"/>
              </w:rPr>
            </w:pPr>
            <w:r>
              <w:rPr>
                <w:rFonts w:ascii="Arial" w:hAnsi="Arial" w:cs="Arial"/>
                <w:b/>
                <w:bCs/>
                <w:color w:val="000000"/>
                <w:sz w:val="14"/>
                <w:szCs w:val="14"/>
                <w:lang w:eastAsia="es-AR"/>
              </w:rPr>
              <w:t>321.877</w:t>
            </w:r>
            <w:r w:rsidR="006D0F3B" w:rsidRPr="006D0F3B">
              <w:rPr>
                <w:rFonts w:ascii="Arial" w:hAnsi="Arial" w:cs="Arial"/>
                <w:b/>
                <w:bCs/>
                <w:color w:val="000000"/>
                <w:sz w:val="14"/>
                <w:szCs w:val="14"/>
                <w:lang w:eastAsia="es-AR"/>
              </w:rPr>
              <w:t xml:space="preserve"> </w:t>
            </w:r>
          </w:p>
        </w:tc>
      </w:tr>
      <w:tr w:rsidR="006D0F3B" w:rsidRPr="006D0F3B" w14:paraId="1F4CA94B" w14:textId="77777777" w:rsidTr="006D0F3B">
        <w:trPr>
          <w:trHeight w:val="298"/>
        </w:trPr>
        <w:tc>
          <w:tcPr>
            <w:tcW w:w="2308" w:type="dxa"/>
            <w:tcBorders>
              <w:top w:val="nil"/>
              <w:left w:val="single" w:sz="4" w:space="0" w:color="auto"/>
              <w:bottom w:val="single" w:sz="4" w:space="0" w:color="auto"/>
              <w:right w:val="single" w:sz="4" w:space="0" w:color="auto"/>
            </w:tcBorders>
            <w:shd w:val="clear" w:color="auto" w:fill="auto"/>
            <w:vAlign w:val="center"/>
            <w:hideMark/>
          </w:tcPr>
          <w:p w14:paraId="7FCF2078" w14:textId="77777777" w:rsidR="006D0F3B" w:rsidRPr="006D0F3B" w:rsidRDefault="006D0F3B" w:rsidP="006D0F3B">
            <w:pPr>
              <w:rPr>
                <w:rFonts w:ascii="Arial" w:hAnsi="Arial" w:cs="Arial"/>
                <w:b/>
                <w:bCs/>
                <w:color w:val="000000"/>
                <w:sz w:val="14"/>
                <w:szCs w:val="14"/>
                <w:lang w:eastAsia="es-AR"/>
              </w:rPr>
            </w:pPr>
            <w:r w:rsidRPr="006D0F3B">
              <w:rPr>
                <w:rFonts w:ascii="Arial" w:hAnsi="Arial" w:cs="Arial"/>
                <w:b/>
                <w:bCs/>
                <w:color w:val="000000"/>
                <w:sz w:val="14"/>
                <w:szCs w:val="14"/>
                <w:lang w:eastAsia="es-AR"/>
              </w:rPr>
              <w:t>TOTAL ACTIVOS INTANGIBLES</w:t>
            </w:r>
          </w:p>
        </w:tc>
        <w:tc>
          <w:tcPr>
            <w:tcW w:w="899" w:type="dxa"/>
            <w:tcBorders>
              <w:top w:val="nil"/>
              <w:left w:val="nil"/>
              <w:bottom w:val="single" w:sz="4" w:space="0" w:color="auto"/>
              <w:right w:val="single" w:sz="4" w:space="0" w:color="auto"/>
            </w:tcBorders>
            <w:shd w:val="clear" w:color="auto" w:fill="auto"/>
            <w:noWrap/>
            <w:vAlign w:val="center"/>
            <w:hideMark/>
          </w:tcPr>
          <w:p w14:paraId="481DAB4E" w14:textId="5D47A205" w:rsidR="006D0F3B" w:rsidRPr="006D0F3B" w:rsidRDefault="00456A55" w:rsidP="006D0F3B">
            <w:pPr>
              <w:jc w:val="right"/>
              <w:rPr>
                <w:rFonts w:ascii="Arial" w:hAnsi="Arial" w:cs="Arial"/>
                <w:b/>
                <w:bCs/>
                <w:color w:val="000000"/>
                <w:sz w:val="14"/>
                <w:szCs w:val="14"/>
                <w:lang w:eastAsia="es-AR"/>
              </w:rPr>
            </w:pPr>
            <w:r>
              <w:rPr>
                <w:rFonts w:ascii="Arial" w:hAnsi="Arial" w:cs="Arial"/>
                <w:b/>
                <w:bCs/>
                <w:color w:val="000000"/>
                <w:sz w:val="14"/>
                <w:szCs w:val="14"/>
                <w:lang w:eastAsia="es-AR"/>
              </w:rPr>
              <w:t>217.305</w:t>
            </w:r>
            <w:r w:rsidR="006D0F3B" w:rsidRPr="006D0F3B">
              <w:rPr>
                <w:rFonts w:ascii="Arial" w:hAnsi="Arial" w:cs="Arial"/>
                <w:b/>
                <w:bCs/>
                <w:color w:val="000000"/>
                <w:sz w:val="14"/>
                <w:szCs w:val="14"/>
                <w:lang w:eastAsia="es-AR"/>
              </w:rPr>
              <w:t xml:space="preserve"> </w:t>
            </w:r>
          </w:p>
        </w:tc>
        <w:tc>
          <w:tcPr>
            <w:tcW w:w="747" w:type="dxa"/>
            <w:tcBorders>
              <w:top w:val="nil"/>
              <w:left w:val="nil"/>
              <w:bottom w:val="single" w:sz="4" w:space="0" w:color="auto"/>
              <w:right w:val="single" w:sz="4" w:space="0" w:color="auto"/>
            </w:tcBorders>
            <w:shd w:val="clear" w:color="auto" w:fill="auto"/>
            <w:vAlign w:val="center"/>
            <w:hideMark/>
          </w:tcPr>
          <w:p w14:paraId="3541B829" w14:textId="77777777" w:rsidR="006D0F3B" w:rsidRPr="006D0F3B" w:rsidRDefault="006D0F3B" w:rsidP="006D0F3B">
            <w:pPr>
              <w:rPr>
                <w:color w:val="000000"/>
                <w:sz w:val="20"/>
                <w:lang w:eastAsia="es-AR"/>
              </w:rPr>
            </w:pPr>
            <w:r w:rsidRPr="006D0F3B">
              <w:rPr>
                <w:color w:val="000000"/>
                <w:sz w:val="20"/>
                <w:lang w:eastAsia="es-AR"/>
              </w:rPr>
              <w:t> </w:t>
            </w:r>
          </w:p>
        </w:tc>
        <w:tc>
          <w:tcPr>
            <w:tcW w:w="652" w:type="dxa"/>
            <w:tcBorders>
              <w:top w:val="nil"/>
              <w:left w:val="nil"/>
              <w:bottom w:val="single" w:sz="4" w:space="0" w:color="auto"/>
              <w:right w:val="single" w:sz="4" w:space="0" w:color="auto"/>
            </w:tcBorders>
            <w:shd w:val="clear" w:color="auto" w:fill="auto"/>
            <w:noWrap/>
            <w:vAlign w:val="center"/>
            <w:hideMark/>
          </w:tcPr>
          <w:p w14:paraId="3542DB28" w14:textId="201F6EF0" w:rsidR="006D0F3B" w:rsidRPr="006D0F3B" w:rsidRDefault="00456A55" w:rsidP="006D0F3B">
            <w:pPr>
              <w:jc w:val="right"/>
              <w:rPr>
                <w:rFonts w:ascii="Arial" w:hAnsi="Arial" w:cs="Arial"/>
                <w:b/>
                <w:bCs/>
                <w:color w:val="000000"/>
                <w:sz w:val="14"/>
                <w:szCs w:val="14"/>
                <w:lang w:eastAsia="es-AR"/>
              </w:rPr>
            </w:pPr>
            <w:r>
              <w:rPr>
                <w:rFonts w:ascii="Arial" w:hAnsi="Arial" w:cs="Arial"/>
                <w:b/>
                <w:bCs/>
                <w:color w:val="000000"/>
                <w:sz w:val="14"/>
                <w:szCs w:val="14"/>
                <w:lang w:eastAsia="es-AR"/>
              </w:rPr>
              <w:t>308.229</w:t>
            </w:r>
            <w:r w:rsidR="006D0F3B" w:rsidRPr="006D0F3B">
              <w:rPr>
                <w:rFonts w:ascii="Arial" w:hAnsi="Arial" w:cs="Arial"/>
                <w:b/>
                <w:bCs/>
                <w:color w:val="000000"/>
                <w:sz w:val="14"/>
                <w:szCs w:val="14"/>
                <w:lang w:eastAsia="es-AR"/>
              </w:rPr>
              <w:t xml:space="preserve"> </w:t>
            </w:r>
          </w:p>
        </w:tc>
        <w:tc>
          <w:tcPr>
            <w:tcW w:w="584" w:type="dxa"/>
            <w:tcBorders>
              <w:top w:val="nil"/>
              <w:left w:val="nil"/>
              <w:bottom w:val="single" w:sz="4" w:space="0" w:color="auto"/>
              <w:right w:val="single" w:sz="4" w:space="0" w:color="auto"/>
            </w:tcBorders>
            <w:shd w:val="clear" w:color="auto" w:fill="auto"/>
            <w:noWrap/>
            <w:vAlign w:val="center"/>
            <w:hideMark/>
          </w:tcPr>
          <w:p w14:paraId="60DE5456" w14:textId="70EFADD9" w:rsidR="006D0F3B" w:rsidRPr="006D0F3B" w:rsidRDefault="006D0F3B" w:rsidP="006D0F3B">
            <w:pPr>
              <w:jc w:val="right"/>
              <w:rPr>
                <w:rFonts w:ascii="Arial" w:hAnsi="Arial" w:cs="Arial"/>
                <w:b/>
                <w:bCs/>
                <w:color w:val="000000"/>
                <w:sz w:val="14"/>
                <w:szCs w:val="14"/>
                <w:lang w:eastAsia="es-AR"/>
              </w:rPr>
            </w:pPr>
            <w:r w:rsidRPr="006D0F3B">
              <w:rPr>
                <w:rFonts w:ascii="Arial" w:hAnsi="Arial" w:cs="Arial"/>
                <w:b/>
                <w:bCs/>
                <w:color w:val="000000"/>
                <w:sz w:val="14"/>
                <w:szCs w:val="14"/>
                <w:lang w:eastAsia="es-AR"/>
              </w:rPr>
              <w:t>(</w:t>
            </w:r>
            <w:r w:rsidR="00456A55">
              <w:rPr>
                <w:rFonts w:ascii="Arial" w:hAnsi="Arial" w:cs="Arial"/>
                <w:b/>
                <w:bCs/>
                <w:color w:val="000000"/>
                <w:sz w:val="14"/>
                <w:szCs w:val="14"/>
                <w:lang w:eastAsia="es-AR"/>
              </w:rPr>
              <w:t>5.524</w:t>
            </w:r>
            <w:r w:rsidRPr="006D0F3B">
              <w:rPr>
                <w:rFonts w:ascii="Arial" w:hAnsi="Arial" w:cs="Arial"/>
                <w:b/>
                <w:bCs/>
                <w:color w:val="000000"/>
                <w:sz w:val="14"/>
                <w:szCs w:val="14"/>
                <w:lang w:eastAsia="es-AR"/>
              </w:rPr>
              <w:t>)</w:t>
            </w:r>
          </w:p>
        </w:tc>
        <w:tc>
          <w:tcPr>
            <w:tcW w:w="895" w:type="dxa"/>
            <w:tcBorders>
              <w:top w:val="nil"/>
              <w:left w:val="nil"/>
              <w:bottom w:val="single" w:sz="4" w:space="0" w:color="auto"/>
              <w:right w:val="single" w:sz="4" w:space="0" w:color="auto"/>
            </w:tcBorders>
            <w:shd w:val="clear" w:color="auto" w:fill="auto"/>
            <w:noWrap/>
            <w:vAlign w:val="center"/>
            <w:hideMark/>
          </w:tcPr>
          <w:p w14:paraId="4C565A08" w14:textId="35ED54AB" w:rsidR="006D0F3B" w:rsidRPr="006D0F3B" w:rsidRDefault="006D0F3B" w:rsidP="006D0F3B">
            <w:pPr>
              <w:jc w:val="right"/>
              <w:rPr>
                <w:rFonts w:ascii="Arial" w:hAnsi="Arial" w:cs="Arial"/>
                <w:b/>
                <w:bCs/>
                <w:color w:val="000000"/>
                <w:sz w:val="14"/>
                <w:szCs w:val="14"/>
                <w:lang w:eastAsia="es-AR"/>
              </w:rPr>
            </w:pPr>
            <w:r w:rsidRPr="006D0F3B">
              <w:rPr>
                <w:rFonts w:ascii="Arial" w:hAnsi="Arial" w:cs="Arial"/>
                <w:b/>
                <w:bCs/>
                <w:color w:val="000000"/>
                <w:sz w:val="14"/>
                <w:szCs w:val="14"/>
                <w:lang w:eastAsia="es-AR"/>
              </w:rPr>
              <w:t>(</w:t>
            </w:r>
            <w:r w:rsidR="00456A55">
              <w:rPr>
                <w:rFonts w:ascii="Arial" w:hAnsi="Arial" w:cs="Arial"/>
                <w:b/>
                <w:bCs/>
                <w:color w:val="000000"/>
                <w:sz w:val="14"/>
                <w:szCs w:val="14"/>
                <w:lang w:eastAsia="es-AR"/>
              </w:rPr>
              <w:t>77.156</w:t>
            </w:r>
            <w:r w:rsidRPr="006D0F3B">
              <w:rPr>
                <w:rFonts w:ascii="Arial" w:hAnsi="Arial" w:cs="Arial"/>
                <w:b/>
                <w:bCs/>
                <w:color w:val="000000"/>
                <w:sz w:val="14"/>
                <w:szCs w:val="14"/>
                <w:lang w:eastAsia="es-AR"/>
              </w:rPr>
              <w:t>)</w:t>
            </w:r>
          </w:p>
        </w:tc>
        <w:tc>
          <w:tcPr>
            <w:tcW w:w="506" w:type="dxa"/>
            <w:tcBorders>
              <w:top w:val="nil"/>
              <w:left w:val="nil"/>
              <w:bottom w:val="single" w:sz="4" w:space="0" w:color="auto"/>
              <w:right w:val="single" w:sz="4" w:space="0" w:color="auto"/>
            </w:tcBorders>
            <w:shd w:val="clear" w:color="auto" w:fill="auto"/>
            <w:noWrap/>
            <w:vAlign w:val="center"/>
            <w:hideMark/>
          </w:tcPr>
          <w:p w14:paraId="27C8C93D" w14:textId="6CD60141" w:rsidR="006D0F3B" w:rsidRPr="006D0F3B" w:rsidRDefault="00456A55" w:rsidP="006D0F3B">
            <w:pPr>
              <w:jc w:val="right"/>
              <w:rPr>
                <w:rFonts w:ascii="Arial" w:hAnsi="Arial" w:cs="Arial"/>
                <w:b/>
                <w:bCs/>
                <w:color w:val="000000"/>
                <w:sz w:val="14"/>
                <w:szCs w:val="14"/>
                <w:lang w:eastAsia="es-AR"/>
              </w:rPr>
            </w:pPr>
            <w:r>
              <w:rPr>
                <w:rFonts w:ascii="Arial" w:hAnsi="Arial" w:cs="Arial"/>
                <w:b/>
                <w:bCs/>
                <w:color w:val="000000"/>
                <w:sz w:val="14"/>
                <w:szCs w:val="14"/>
                <w:lang w:eastAsia="es-AR"/>
              </w:rPr>
              <w:t>-</w:t>
            </w:r>
            <w:r w:rsidR="006D0F3B" w:rsidRPr="006D0F3B">
              <w:rPr>
                <w:rFonts w:ascii="Arial" w:hAnsi="Arial" w:cs="Arial"/>
                <w:b/>
                <w:bCs/>
                <w:color w:val="000000"/>
                <w:sz w:val="14"/>
                <w:szCs w:val="14"/>
                <w:lang w:eastAsia="es-AR"/>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CDCE4F4" w14:textId="68FB1259" w:rsidR="006D0F3B" w:rsidRPr="006D0F3B" w:rsidRDefault="006D0F3B" w:rsidP="006D0F3B">
            <w:pPr>
              <w:jc w:val="right"/>
              <w:rPr>
                <w:rFonts w:ascii="Arial" w:hAnsi="Arial" w:cs="Arial"/>
                <w:b/>
                <w:bCs/>
                <w:color w:val="000000"/>
                <w:sz w:val="14"/>
                <w:szCs w:val="14"/>
                <w:lang w:eastAsia="es-AR"/>
              </w:rPr>
            </w:pPr>
            <w:r w:rsidRPr="006D0F3B">
              <w:rPr>
                <w:rFonts w:ascii="Arial" w:hAnsi="Arial" w:cs="Arial"/>
                <w:b/>
                <w:bCs/>
                <w:color w:val="000000"/>
                <w:sz w:val="14"/>
                <w:szCs w:val="14"/>
                <w:lang w:eastAsia="es-AR"/>
              </w:rPr>
              <w:t>(</w:t>
            </w:r>
            <w:r w:rsidR="00456A55">
              <w:rPr>
                <w:rFonts w:ascii="Arial" w:hAnsi="Arial" w:cs="Arial"/>
                <w:b/>
                <w:bCs/>
                <w:color w:val="000000"/>
                <w:sz w:val="14"/>
                <w:szCs w:val="14"/>
                <w:lang w:eastAsia="es-AR"/>
              </w:rPr>
              <w:t>90.273</w:t>
            </w:r>
            <w:r w:rsidRPr="006D0F3B">
              <w:rPr>
                <w:rFonts w:ascii="Arial" w:hAnsi="Arial" w:cs="Arial"/>
                <w:b/>
                <w:bCs/>
                <w:color w:val="000000"/>
                <w:sz w:val="14"/>
                <w:szCs w:val="14"/>
                <w:lang w:eastAsia="es-AR"/>
              </w:rPr>
              <w:t>)</w:t>
            </w:r>
          </w:p>
        </w:tc>
        <w:tc>
          <w:tcPr>
            <w:tcW w:w="851" w:type="dxa"/>
            <w:tcBorders>
              <w:top w:val="nil"/>
              <w:left w:val="nil"/>
              <w:bottom w:val="single" w:sz="4" w:space="0" w:color="auto"/>
              <w:right w:val="single" w:sz="4" w:space="0" w:color="auto"/>
            </w:tcBorders>
            <w:shd w:val="clear" w:color="auto" w:fill="auto"/>
            <w:noWrap/>
            <w:vAlign w:val="center"/>
            <w:hideMark/>
          </w:tcPr>
          <w:p w14:paraId="21483C89" w14:textId="02FBC45E" w:rsidR="006D0F3B" w:rsidRPr="006D0F3B" w:rsidRDefault="006D0F3B" w:rsidP="006D0F3B">
            <w:pPr>
              <w:jc w:val="right"/>
              <w:rPr>
                <w:rFonts w:ascii="Arial" w:hAnsi="Arial" w:cs="Arial"/>
                <w:b/>
                <w:bCs/>
                <w:color w:val="000000"/>
                <w:sz w:val="14"/>
                <w:szCs w:val="14"/>
                <w:lang w:eastAsia="es-AR"/>
              </w:rPr>
            </w:pPr>
            <w:r w:rsidRPr="006D0F3B">
              <w:rPr>
                <w:rFonts w:ascii="Arial" w:hAnsi="Arial" w:cs="Arial"/>
                <w:b/>
                <w:bCs/>
                <w:color w:val="000000"/>
                <w:sz w:val="14"/>
                <w:szCs w:val="14"/>
                <w:lang w:eastAsia="es-AR"/>
              </w:rPr>
              <w:t>(</w:t>
            </w:r>
            <w:r w:rsidR="00456A55">
              <w:rPr>
                <w:rFonts w:ascii="Arial" w:hAnsi="Arial" w:cs="Arial"/>
                <w:b/>
                <w:bCs/>
                <w:color w:val="000000"/>
                <w:sz w:val="14"/>
                <w:szCs w:val="14"/>
                <w:lang w:eastAsia="es-AR"/>
              </w:rPr>
              <w:t>167.429</w:t>
            </w:r>
            <w:r w:rsidRPr="006D0F3B">
              <w:rPr>
                <w:rFonts w:ascii="Arial" w:hAnsi="Arial" w:cs="Arial"/>
                <w:b/>
                <w:bCs/>
                <w:color w:val="000000"/>
                <w:sz w:val="14"/>
                <w:szCs w:val="14"/>
                <w:lang w:eastAsia="es-AR"/>
              </w:rPr>
              <w:t>)</w:t>
            </w:r>
          </w:p>
        </w:tc>
        <w:tc>
          <w:tcPr>
            <w:tcW w:w="850" w:type="dxa"/>
            <w:tcBorders>
              <w:top w:val="nil"/>
              <w:left w:val="nil"/>
              <w:bottom w:val="single" w:sz="4" w:space="0" w:color="auto"/>
              <w:right w:val="single" w:sz="4" w:space="0" w:color="auto"/>
            </w:tcBorders>
            <w:shd w:val="clear" w:color="auto" w:fill="auto"/>
            <w:noWrap/>
            <w:vAlign w:val="center"/>
            <w:hideMark/>
          </w:tcPr>
          <w:p w14:paraId="6B4709B7" w14:textId="5E28768D" w:rsidR="006D0F3B" w:rsidRPr="006D0F3B" w:rsidRDefault="00456A55" w:rsidP="006D0F3B">
            <w:pPr>
              <w:jc w:val="right"/>
              <w:rPr>
                <w:rFonts w:ascii="Arial" w:hAnsi="Arial" w:cs="Arial"/>
                <w:b/>
                <w:bCs/>
                <w:color w:val="000000"/>
                <w:sz w:val="14"/>
                <w:szCs w:val="14"/>
                <w:lang w:eastAsia="es-AR"/>
              </w:rPr>
            </w:pPr>
            <w:r>
              <w:rPr>
                <w:rFonts w:ascii="Arial" w:hAnsi="Arial" w:cs="Arial"/>
                <w:b/>
                <w:bCs/>
                <w:color w:val="000000"/>
                <w:sz w:val="14"/>
                <w:szCs w:val="14"/>
                <w:lang w:eastAsia="es-AR"/>
              </w:rPr>
              <w:t>3</w:t>
            </w:r>
            <w:r w:rsidR="00E46D66">
              <w:rPr>
                <w:rFonts w:ascii="Arial" w:hAnsi="Arial" w:cs="Arial"/>
                <w:b/>
                <w:bCs/>
                <w:color w:val="000000"/>
                <w:sz w:val="14"/>
                <w:szCs w:val="14"/>
                <w:lang w:eastAsia="es-AR"/>
              </w:rPr>
              <w:t>52.581</w:t>
            </w:r>
            <w:r w:rsidR="006D0F3B" w:rsidRPr="006D0F3B">
              <w:rPr>
                <w:rFonts w:ascii="Arial" w:hAnsi="Arial" w:cs="Arial"/>
                <w:b/>
                <w:bCs/>
                <w:color w:val="000000"/>
                <w:sz w:val="14"/>
                <w:szCs w:val="14"/>
                <w:lang w:eastAsia="es-AR"/>
              </w:rPr>
              <w:t xml:space="preserve"> </w:t>
            </w:r>
          </w:p>
        </w:tc>
      </w:tr>
    </w:tbl>
    <w:p w14:paraId="22819348" w14:textId="77777777" w:rsidR="00FE2245" w:rsidRDefault="00FE2245" w:rsidP="00FE2245">
      <w:pPr>
        <w:jc w:val="both"/>
        <w:rPr>
          <w:rFonts w:ascii="Arial" w:hAnsi="Arial" w:cs="Arial"/>
          <w:sz w:val="20"/>
        </w:rPr>
      </w:pPr>
    </w:p>
    <w:p w14:paraId="5FFBFC15" w14:textId="77777777" w:rsidR="00FE2245" w:rsidRPr="008348C4" w:rsidRDefault="00FE2245" w:rsidP="00FE2245">
      <w:pPr>
        <w:jc w:val="both"/>
        <w:rPr>
          <w:rFonts w:ascii="Arial" w:eastAsia="Calibri" w:hAnsi="Arial" w:cs="Arial"/>
          <w:b/>
          <w:sz w:val="20"/>
          <w:u w:val="single"/>
        </w:rPr>
      </w:pPr>
      <w:r w:rsidRPr="008348C4">
        <w:rPr>
          <w:rFonts w:ascii="Arial" w:eastAsia="Calibri" w:hAnsi="Arial" w:cs="Arial"/>
          <w:b/>
          <w:sz w:val="20"/>
          <w:u w:val="single"/>
        </w:rPr>
        <w:t>Prueba de recuperabilidad de valores llaves</w:t>
      </w:r>
    </w:p>
    <w:p w14:paraId="6102A40B" w14:textId="77777777" w:rsidR="00FE2245" w:rsidRPr="008348C4" w:rsidRDefault="00FE2245" w:rsidP="00FE2245">
      <w:pPr>
        <w:jc w:val="both"/>
        <w:rPr>
          <w:rFonts w:ascii="Arial" w:eastAsia="Calibri" w:hAnsi="Arial" w:cs="Arial"/>
          <w:sz w:val="20"/>
        </w:rPr>
      </w:pPr>
    </w:p>
    <w:p w14:paraId="3D5C21D9" w14:textId="5158F10A" w:rsidR="00FE2245" w:rsidRPr="008348C4" w:rsidRDefault="00FE2245" w:rsidP="00FE2245">
      <w:pPr>
        <w:jc w:val="both"/>
        <w:rPr>
          <w:rFonts w:ascii="Arial" w:eastAsia="Calibri" w:hAnsi="Arial" w:cs="Arial"/>
          <w:sz w:val="20"/>
        </w:rPr>
      </w:pPr>
      <w:r w:rsidRPr="008348C4">
        <w:rPr>
          <w:rFonts w:ascii="Arial" w:eastAsia="Calibri" w:hAnsi="Arial" w:cs="Arial"/>
          <w:sz w:val="20"/>
        </w:rPr>
        <w:t xml:space="preserve">Los valores llaves se asignan a las unidades generadoras de efectivo </w:t>
      </w:r>
      <w:r w:rsidR="00C1383B">
        <w:rPr>
          <w:rFonts w:ascii="Arial" w:eastAsia="Calibri" w:hAnsi="Arial" w:cs="Arial"/>
          <w:sz w:val="20"/>
        </w:rPr>
        <w:t xml:space="preserve">(“UGE”) </w:t>
      </w:r>
      <w:r w:rsidRPr="008348C4">
        <w:rPr>
          <w:rFonts w:ascii="Arial" w:eastAsia="Calibri" w:hAnsi="Arial" w:cs="Arial"/>
          <w:sz w:val="20"/>
        </w:rPr>
        <w:t xml:space="preserve">del </w:t>
      </w:r>
      <w:r w:rsidR="00C1383B">
        <w:rPr>
          <w:rFonts w:ascii="Arial" w:eastAsia="Calibri" w:hAnsi="Arial" w:cs="Arial"/>
          <w:sz w:val="20"/>
        </w:rPr>
        <w:t>Banco</w:t>
      </w:r>
      <w:r w:rsidR="00C1383B" w:rsidRPr="008348C4">
        <w:rPr>
          <w:rFonts w:ascii="Arial" w:eastAsia="Calibri" w:hAnsi="Arial" w:cs="Arial"/>
          <w:sz w:val="20"/>
        </w:rPr>
        <w:t xml:space="preserve"> </w:t>
      </w:r>
      <w:r w:rsidRPr="008348C4">
        <w:rPr>
          <w:rFonts w:ascii="Arial" w:eastAsia="Calibri" w:hAnsi="Arial" w:cs="Arial"/>
          <w:sz w:val="20"/>
        </w:rPr>
        <w:t>sobre la base de los segmentos operativos.</w:t>
      </w:r>
    </w:p>
    <w:p w14:paraId="128B523C" w14:textId="77777777" w:rsidR="00FE2245" w:rsidRPr="008348C4" w:rsidRDefault="00FE2245" w:rsidP="00FE2245">
      <w:pPr>
        <w:jc w:val="both"/>
        <w:rPr>
          <w:rFonts w:ascii="Arial" w:eastAsia="Calibri" w:hAnsi="Arial" w:cs="Arial"/>
          <w:sz w:val="20"/>
        </w:rPr>
      </w:pPr>
    </w:p>
    <w:tbl>
      <w:tblPr>
        <w:tblW w:w="4350" w:type="pct"/>
        <w:jc w:val="center"/>
        <w:tblCellMar>
          <w:left w:w="0" w:type="dxa"/>
          <w:right w:w="0" w:type="dxa"/>
        </w:tblCellMar>
        <w:tblLook w:val="04A0" w:firstRow="1" w:lastRow="0" w:firstColumn="1" w:lastColumn="0" w:noHBand="0" w:noVBand="1"/>
      </w:tblPr>
      <w:tblGrid>
        <w:gridCol w:w="5153"/>
        <w:gridCol w:w="1217"/>
        <w:gridCol w:w="1217"/>
      </w:tblGrid>
      <w:tr w:rsidR="00FE2245" w:rsidRPr="008348C4" w14:paraId="7E52599F" w14:textId="77777777" w:rsidTr="00FE2245">
        <w:trPr>
          <w:trHeight w:val="64"/>
          <w:jc w:val="center"/>
        </w:trPr>
        <w:tc>
          <w:tcPr>
            <w:tcW w:w="33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DE7775" w14:textId="77777777" w:rsidR="00FE2245" w:rsidRPr="008348C4" w:rsidRDefault="00FE2245" w:rsidP="00FE2245">
            <w:pPr>
              <w:pStyle w:val="NormalWeb"/>
              <w:spacing w:before="0" w:beforeAutospacing="0" w:after="0" w:afterAutospacing="0"/>
              <w:jc w:val="both"/>
              <w:rPr>
                <w:rFonts w:ascii="Arial" w:eastAsia="Calibri" w:hAnsi="Arial" w:cs="Arial"/>
                <w:sz w:val="20"/>
                <w:szCs w:val="20"/>
                <w:lang w:val="es-AR" w:eastAsia="en-US"/>
              </w:rPr>
            </w:pPr>
            <w:r w:rsidRPr="008348C4">
              <w:rPr>
                <w:rFonts w:ascii="Arial" w:eastAsia="Calibri" w:hAnsi="Arial" w:cs="Arial"/>
                <w:sz w:val="20"/>
                <w:szCs w:val="20"/>
                <w:lang w:val="es-AR" w:eastAsia="en-US"/>
              </w:rPr>
              <w:t> </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9964B3" w14:textId="3E22C9C9" w:rsidR="00FE2245" w:rsidRPr="008348C4" w:rsidRDefault="00FE2245" w:rsidP="00FE2245">
            <w:pPr>
              <w:pStyle w:val="NormalWeb"/>
              <w:spacing w:before="0" w:beforeAutospacing="0" w:after="0" w:afterAutospacing="0"/>
              <w:jc w:val="center"/>
              <w:rPr>
                <w:rFonts w:ascii="Arial" w:eastAsia="Calibri" w:hAnsi="Arial" w:cs="Arial"/>
                <w:b/>
                <w:bCs/>
                <w:sz w:val="20"/>
                <w:szCs w:val="20"/>
                <w:lang w:val="es-AR" w:eastAsia="en-US"/>
              </w:rPr>
            </w:pPr>
            <w:r w:rsidRPr="008348C4">
              <w:rPr>
                <w:rFonts w:ascii="Arial" w:eastAsia="Calibri" w:hAnsi="Arial" w:cs="Arial"/>
                <w:b/>
                <w:bCs/>
                <w:sz w:val="20"/>
                <w:szCs w:val="20"/>
                <w:lang w:val="es-AR" w:eastAsia="en-US"/>
              </w:rPr>
              <w:t>31/12/201</w:t>
            </w:r>
            <w:r>
              <w:rPr>
                <w:rFonts w:ascii="Arial" w:eastAsia="Calibri" w:hAnsi="Arial" w:cs="Arial"/>
                <w:b/>
                <w:bCs/>
                <w:sz w:val="20"/>
                <w:szCs w:val="20"/>
                <w:lang w:val="es-AR" w:eastAsia="en-US"/>
              </w:rPr>
              <w:t>9</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B8EC6A" w14:textId="49EFAB5A" w:rsidR="00FE2245" w:rsidRPr="008348C4" w:rsidRDefault="00FE2245" w:rsidP="00FE2245">
            <w:pPr>
              <w:pStyle w:val="NormalWeb"/>
              <w:spacing w:before="0" w:beforeAutospacing="0" w:after="0" w:afterAutospacing="0"/>
              <w:jc w:val="center"/>
              <w:rPr>
                <w:rFonts w:ascii="Arial" w:eastAsia="Calibri" w:hAnsi="Arial" w:cs="Arial"/>
                <w:sz w:val="20"/>
                <w:szCs w:val="20"/>
                <w:lang w:val="es-AR" w:eastAsia="en-US"/>
              </w:rPr>
            </w:pPr>
            <w:r w:rsidRPr="008348C4">
              <w:rPr>
                <w:rFonts w:ascii="Arial" w:eastAsia="Calibri" w:hAnsi="Arial" w:cs="Arial"/>
                <w:b/>
                <w:bCs/>
                <w:sz w:val="20"/>
                <w:szCs w:val="20"/>
                <w:lang w:val="es-AR" w:eastAsia="en-US"/>
              </w:rPr>
              <w:t>31/12/201</w:t>
            </w:r>
            <w:r>
              <w:rPr>
                <w:rFonts w:ascii="Arial" w:eastAsia="Calibri" w:hAnsi="Arial" w:cs="Arial"/>
                <w:b/>
                <w:bCs/>
                <w:sz w:val="20"/>
                <w:szCs w:val="20"/>
                <w:lang w:val="es-AR" w:eastAsia="en-US"/>
              </w:rPr>
              <w:t>8</w:t>
            </w:r>
          </w:p>
        </w:tc>
      </w:tr>
      <w:tr w:rsidR="00FE2245" w:rsidRPr="008348C4" w14:paraId="621B7111" w14:textId="77777777" w:rsidTr="00FE2245">
        <w:trPr>
          <w:jc w:val="center"/>
        </w:trPr>
        <w:tc>
          <w:tcPr>
            <w:tcW w:w="33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453507" w14:textId="77777777" w:rsidR="00FE2245" w:rsidRPr="008348C4" w:rsidRDefault="00FE2245" w:rsidP="00FE2245">
            <w:pPr>
              <w:pStyle w:val="NormalWeb"/>
              <w:spacing w:before="0" w:beforeAutospacing="0" w:after="0" w:afterAutospacing="0"/>
              <w:rPr>
                <w:rFonts w:ascii="Arial" w:eastAsia="Calibri" w:hAnsi="Arial" w:cs="Arial"/>
                <w:sz w:val="20"/>
                <w:szCs w:val="20"/>
                <w:lang w:val="es-AR" w:eastAsia="en-US"/>
              </w:rPr>
            </w:pPr>
            <w:r w:rsidRPr="008348C4">
              <w:rPr>
                <w:rFonts w:ascii="Arial" w:eastAsia="Calibri" w:hAnsi="Arial" w:cs="Arial"/>
                <w:sz w:val="20"/>
                <w:szCs w:val="20"/>
                <w:lang w:val="es-AR" w:eastAsia="en-US"/>
              </w:rPr>
              <w:t>Cordial Compañía Financiera S.A.</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tcPr>
          <w:p w14:paraId="52102894" w14:textId="358138D9" w:rsidR="00FE2245" w:rsidRPr="008348C4" w:rsidRDefault="00A1527E" w:rsidP="00FE2245">
            <w:pPr>
              <w:pStyle w:val="NormalWeb"/>
              <w:spacing w:before="0" w:beforeAutospacing="0" w:after="0" w:afterAutospacing="0"/>
              <w:jc w:val="right"/>
              <w:rPr>
                <w:rFonts w:ascii="Arial" w:eastAsia="Calibri" w:hAnsi="Arial" w:cs="Arial"/>
                <w:sz w:val="20"/>
                <w:szCs w:val="20"/>
                <w:lang w:val="es-AR" w:eastAsia="en-US"/>
              </w:rPr>
            </w:pPr>
            <w:r>
              <w:rPr>
                <w:rFonts w:ascii="Arial" w:eastAsia="Calibri" w:hAnsi="Arial" w:cs="Arial"/>
                <w:sz w:val="20"/>
                <w:szCs w:val="20"/>
                <w:lang w:val="es-AR" w:eastAsia="en-US"/>
              </w:rPr>
              <w:t>22.541</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F1AA34" w14:textId="5E37A197" w:rsidR="00FE2245" w:rsidRPr="008348C4" w:rsidRDefault="00FE2245" w:rsidP="00FE2245">
            <w:pPr>
              <w:pStyle w:val="NormalWeb"/>
              <w:spacing w:before="0" w:beforeAutospacing="0" w:after="0" w:afterAutospacing="0"/>
              <w:jc w:val="right"/>
              <w:rPr>
                <w:rFonts w:ascii="Arial" w:eastAsia="Calibri" w:hAnsi="Arial" w:cs="Arial"/>
                <w:sz w:val="20"/>
                <w:szCs w:val="20"/>
                <w:lang w:val="es-AR" w:eastAsia="en-US"/>
              </w:rPr>
            </w:pPr>
            <w:r>
              <w:rPr>
                <w:rFonts w:ascii="Arial" w:eastAsia="Calibri" w:hAnsi="Arial" w:cs="Arial"/>
                <w:sz w:val="20"/>
                <w:szCs w:val="20"/>
                <w:lang w:val="es-AR" w:eastAsia="en-US"/>
              </w:rPr>
              <w:t>22.541</w:t>
            </w:r>
            <w:r w:rsidRPr="008348C4">
              <w:rPr>
                <w:rFonts w:ascii="Arial" w:eastAsia="Calibri" w:hAnsi="Arial" w:cs="Arial"/>
                <w:sz w:val="20"/>
                <w:szCs w:val="20"/>
                <w:lang w:val="es-AR" w:eastAsia="en-US"/>
              </w:rPr>
              <w:t xml:space="preserve"> </w:t>
            </w:r>
          </w:p>
        </w:tc>
      </w:tr>
      <w:tr w:rsidR="00FE2245" w:rsidRPr="008348C4" w14:paraId="0E9C834A" w14:textId="77777777" w:rsidTr="00FE2245">
        <w:trPr>
          <w:jc w:val="center"/>
        </w:trPr>
        <w:tc>
          <w:tcPr>
            <w:tcW w:w="33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CD93C2" w14:textId="77777777" w:rsidR="00FE2245" w:rsidRPr="008348C4" w:rsidRDefault="00FE2245" w:rsidP="00FE2245">
            <w:pPr>
              <w:pStyle w:val="NormalWeb"/>
              <w:spacing w:before="0" w:beforeAutospacing="0" w:after="0" w:afterAutospacing="0"/>
              <w:rPr>
                <w:rFonts w:ascii="Arial" w:eastAsia="Calibri" w:hAnsi="Arial" w:cs="Arial"/>
                <w:sz w:val="20"/>
                <w:szCs w:val="20"/>
                <w:lang w:val="es-AR" w:eastAsia="en-US"/>
              </w:rPr>
            </w:pPr>
            <w:r w:rsidRPr="008348C4">
              <w:rPr>
                <w:rFonts w:ascii="Arial" w:eastAsia="Calibri" w:hAnsi="Arial" w:cs="Arial"/>
                <w:sz w:val="20"/>
                <w:szCs w:val="20"/>
                <w:lang w:val="es-AR" w:eastAsia="en-US"/>
              </w:rPr>
              <w:t>Banco Regional de Cuyo S.A.</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tcPr>
          <w:p w14:paraId="56AA599C" w14:textId="6FD3D1DD" w:rsidR="00FE2245" w:rsidRPr="008348C4" w:rsidRDefault="00A1527E" w:rsidP="00FE2245">
            <w:pPr>
              <w:pStyle w:val="NormalWeb"/>
              <w:spacing w:before="0" w:beforeAutospacing="0" w:after="0" w:afterAutospacing="0"/>
              <w:jc w:val="right"/>
              <w:rPr>
                <w:rFonts w:ascii="Arial" w:eastAsia="Calibri" w:hAnsi="Arial" w:cs="Arial"/>
                <w:sz w:val="20"/>
                <w:szCs w:val="20"/>
                <w:lang w:val="es-AR" w:eastAsia="en-US"/>
              </w:rPr>
            </w:pPr>
            <w:r>
              <w:rPr>
                <w:rFonts w:ascii="Arial" w:eastAsia="Calibri" w:hAnsi="Arial" w:cs="Arial"/>
                <w:sz w:val="20"/>
                <w:szCs w:val="20"/>
                <w:lang w:val="es-AR" w:eastAsia="en-US"/>
              </w:rPr>
              <w:t>6.391</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3C913C" w14:textId="6A1806A3" w:rsidR="00FE2245" w:rsidRPr="008348C4" w:rsidRDefault="00FE2245" w:rsidP="00FE2245">
            <w:pPr>
              <w:pStyle w:val="NormalWeb"/>
              <w:spacing w:before="0" w:beforeAutospacing="0" w:after="0" w:afterAutospacing="0"/>
              <w:jc w:val="right"/>
              <w:rPr>
                <w:rFonts w:ascii="Arial" w:eastAsia="Calibri" w:hAnsi="Arial" w:cs="Arial"/>
                <w:sz w:val="20"/>
                <w:szCs w:val="20"/>
                <w:lang w:val="es-AR" w:eastAsia="en-US"/>
              </w:rPr>
            </w:pPr>
            <w:r>
              <w:rPr>
                <w:rFonts w:ascii="Arial" w:eastAsia="Calibri" w:hAnsi="Arial" w:cs="Arial"/>
                <w:sz w:val="20"/>
                <w:szCs w:val="20"/>
                <w:lang w:val="es-AR" w:eastAsia="en-US"/>
              </w:rPr>
              <w:t>6.391</w:t>
            </w:r>
            <w:r w:rsidRPr="008348C4">
              <w:rPr>
                <w:rFonts w:ascii="Arial" w:eastAsia="Calibri" w:hAnsi="Arial" w:cs="Arial"/>
                <w:sz w:val="20"/>
                <w:szCs w:val="20"/>
                <w:lang w:val="es-AR" w:eastAsia="en-US"/>
              </w:rPr>
              <w:t xml:space="preserve"> </w:t>
            </w:r>
          </w:p>
        </w:tc>
      </w:tr>
      <w:tr w:rsidR="00FE2245" w:rsidRPr="008348C4" w14:paraId="3E0B0821" w14:textId="77777777" w:rsidTr="00FE2245">
        <w:trPr>
          <w:jc w:val="center"/>
        </w:trPr>
        <w:tc>
          <w:tcPr>
            <w:tcW w:w="33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657537" w14:textId="77777777" w:rsidR="00FE2245" w:rsidRPr="008348C4" w:rsidRDefault="00FE2245" w:rsidP="00FE2245">
            <w:pPr>
              <w:pStyle w:val="NormalWeb"/>
              <w:spacing w:before="0" w:beforeAutospacing="0" w:after="0" w:afterAutospacing="0"/>
              <w:rPr>
                <w:rFonts w:ascii="Arial" w:eastAsia="Calibri" w:hAnsi="Arial" w:cs="Arial"/>
                <w:sz w:val="20"/>
                <w:szCs w:val="20"/>
                <w:lang w:val="es-AR" w:eastAsia="en-US"/>
              </w:rPr>
            </w:pPr>
            <w:r>
              <w:rPr>
                <w:rFonts w:ascii="Arial" w:eastAsia="Calibri" w:hAnsi="Arial" w:cs="Arial"/>
                <w:sz w:val="20"/>
                <w:szCs w:val="20"/>
                <w:lang w:val="es-AR" w:eastAsia="en-US"/>
              </w:rPr>
              <w:t>Tarjeta Automática S.A.</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tcPr>
          <w:p w14:paraId="404E95D3" w14:textId="2C9CFCDC" w:rsidR="00FE2245" w:rsidRPr="008348C4" w:rsidRDefault="00EB0034" w:rsidP="00FE2245">
            <w:pPr>
              <w:pStyle w:val="NormalWeb"/>
              <w:spacing w:before="0" w:beforeAutospacing="0" w:after="0" w:afterAutospacing="0"/>
              <w:jc w:val="right"/>
              <w:rPr>
                <w:rFonts w:ascii="Arial" w:eastAsia="Calibri" w:hAnsi="Arial" w:cs="Arial"/>
                <w:sz w:val="20"/>
                <w:szCs w:val="20"/>
                <w:lang w:val="es-AR" w:eastAsia="en-US"/>
              </w:rPr>
            </w:pPr>
            <w:r>
              <w:rPr>
                <w:rFonts w:ascii="Arial" w:eastAsia="Calibri" w:hAnsi="Arial" w:cs="Arial"/>
                <w:sz w:val="20"/>
                <w:szCs w:val="20"/>
                <w:lang w:val="es-AR" w:eastAsia="en-US"/>
              </w:rPr>
              <w:t>1.724</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D68723" w14:textId="087BF191" w:rsidR="00FE2245" w:rsidRPr="008348C4" w:rsidRDefault="00FE2245" w:rsidP="00FE2245">
            <w:pPr>
              <w:pStyle w:val="NormalWeb"/>
              <w:spacing w:before="0" w:beforeAutospacing="0" w:after="0" w:afterAutospacing="0"/>
              <w:jc w:val="right"/>
              <w:rPr>
                <w:rFonts w:ascii="Arial" w:eastAsia="Calibri" w:hAnsi="Arial" w:cs="Arial"/>
                <w:sz w:val="20"/>
                <w:szCs w:val="20"/>
                <w:lang w:eastAsia="en-US"/>
              </w:rPr>
            </w:pPr>
            <w:r>
              <w:rPr>
                <w:rFonts w:ascii="Arial" w:eastAsia="Calibri" w:hAnsi="Arial" w:cs="Arial"/>
                <w:sz w:val="20"/>
                <w:szCs w:val="20"/>
                <w:lang w:val="es-AR" w:eastAsia="en-US"/>
              </w:rPr>
              <w:t>1.724</w:t>
            </w:r>
            <w:r w:rsidRPr="008348C4">
              <w:rPr>
                <w:rFonts w:ascii="Arial" w:eastAsia="Calibri" w:hAnsi="Arial" w:cs="Arial"/>
                <w:sz w:val="20"/>
                <w:szCs w:val="20"/>
                <w:lang w:val="es-AR" w:eastAsia="en-US"/>
              </w:rPr>
              <w:t xml:space="preserve"> </w:t>
            </w:r>
          </w:p>
        </w:tc>
      </w:tr>
      <w:tr w:rsidR="00FE2245" w:rsidRPr="008348C4" w14:paraId="51868E93" w14:textId="77777777" w:rsidTr="00FE2245">
        <w:trPr>
          <w:jc w:val="center"/>
        </w:trPr>
        <w:tc>
          <w:tcPr>
            <w:tcW w:w="33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43BF97" w14:textId="77777777" w:rsidR="00FE2245" w:rsidRPr="008348C4" w:rsidRDefault="00FE2245" w:rsidP="00FE2245">
            <w:pPr>
              <w:pStyle w:val="NormalWeb"/>
              <w:spacing w:before="0" w:beforeAutospacing="0" w:after="0" w:afterAutospacing="0"/>
              <w:rPr>
                <w:rFonts w:ascii="Arial" w:eastAsia="Calibri" w:hAnsi="Arial" w:cs="Arial"/>
                <w:sz w:val="20"/>
                <w:szCs w:val="20"/>
                <w:lang w:val="es-AR" w:eastAsia="en-US"/>
              </w:rPr>
            </w:pPr>
            <w:r w:rsidRPr="008348C4">
              <w:rPr>
                <w:rFonts w:ascii="Arial" w:eastAsia="Calibri" w:hAnsi="Arial" w:cs="Arial"/>
                <w:sz w:val="20"/>
                <w:szCs w:val="20"/>
                <w:lang w:val="es-AR" w:eastAsia="en-US"/>
              </w:rPr>
              <w:t>Otros</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tcPr>
          <w:p w14:paraId="6A19E962" w14:textId="3939D27A" w:rsidR="00FE2245" w:rsidRPr="008348C4" w:rsidRDefault="00EB0034" w:rsidP="00FE2245">
            <w:pPr>
              <w:pStyle w:val="NormalWeb"/>
              <w:spacing w:before="0" w:beforeAutospacing="0" w:after="0" w:afterAutospacing="0"/>
              <w:jc w:val="right"/>
              <w:rPr>
                <w:rFonts w:ascii="Arial" w:eastAsia="Calibri" w:hAnsi="Arial" w:cs="Arial"/>
                <w:sz w:val="20"/>
                <w:szCs w:val="20"/>
                <w:lang w:val="es-AR" w:eastAsia="en-US"/>
              </w:rPr>
            </w:pPr>
            <w:r>
              <w:rPr>
                <w:rFonts w:ascii="Arial" w:eastAsia="Calibri" w:hAnsi="Arial" w:cs="Arial"/>
                <w:sz w:val="20"/>
                <w:szCs w:val="20"/>
                <w:lang w:val="es-AR" w:eastAsia="en-US"/>
              </w:rPr>
              <w:t>48</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tcPr>
          <w:p w14:paraId="7F1B3328" w14:textId="0A20701F" w:rsidR="00FE2245" w:rsidRPr="008348C4" w:rsidRDefault="00FE2245" w:rsidP="00FE2245">
            <w:pPr>
              <w:pStyle w:val="NormalWeb"/>
              <w:spacing w:before="0" w:beforeAutospacing="0" w:after="0" w:afterAutospacing="0"/>
              <w:jc w:val="right"/>
              <w:rPr>
                <w:rFonts w:ascii="Arial" w:eastAsia="Calibri" w:hAnsi="Arial" w:cs="Arial"/>
                <w:sz w:val="20"/>
                <w:szCs w:val="20"/>
                <w:lang w:val="es-AR" w:eastAsia="en-US"/>
              </w:rPr>
            </w:pPr>
            <w:r>
              <w:rPr>
                <w:rFonts w:ascii="Arial" w:eastAsia="Calibri" w:hAnsi="Arial" w:cs="Arial"/>
                <w:sz w:val="20"/>
                <w:szCs w:val="20"/>
                <w:lang w:val="es-AR" w:eastAsia="en-US"/>
              </w:rPr>
              <w:t>48</w:t>
            </w:r>
          </w:p>
        </w:tc>
      </w:tr>
      <w:tr w:rsidR="00FE2245" w:rsidRPr="008348C4" w14:paraId="15E5B701" w14:textId="77777777" w:rsidTr="00FE2245">
        <w:trPr>
          <w:jc w:val="center"/>
        </w:trPr>
        <w:tc>
          <w:tcPr>
            <w:tcW w:w="33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187FC9" w14:textId="77777777" w:rsidR="00FE2245" w:rsidRPr="008348C4" w:rsidRDefault="00FE2245" w:rsidP="00FE2245">
            <w:pPr>
              <w:pStyle w:val="NormalWeb"/>
              <w:spacing w:before="0" w:beforeAutospacing="0" w:after="0" w:afterAutospacing="0"/>
              <w:rPr>
                <w:rFonts w:ascii="Arial" w:eastAsia="Calibri" w:hAnsi="Arial" w:cs="Arial"/>
                <w:b/>
                <w:sz w:val="20"/>
                <w:szCs w:val="20"/>
                <w:lang w:val="es-AR" w:eastAsia="en-US"/>
              </w:rPr>
            </w:pPr>
            <w:r w:rsidRPr="008348C4">
              <w:rPr>
                <w:rFonts w:ascii="Arial" w:eastAsia="Calibri" w:hAnsi="Arial" w:cs="Arial"/>
                <w:b/>
                <w:sz w:val="20"/>
                <w:szCs w:val="20"/>
                <w:lang w:val="es-AR" w:eastAsia="en-US"/>
              </w:rPr>
              <w:t> TOTAL</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tcPr>
          <w:p w14:paraId="70EB0873" w14:textId="4CC572C9" w:rsidR="00FE2245" w:rsidRPr="008348C4" w:rsidRDefault="00EB0034" w:rsidP="00FE2245">
            <w:pPr>
              <w:pStyle w:val="NormalWeb"/>
              <w:spacing w:before="0" w:beforeAutospacing="0" w:after="0" w:afterAutospacing="0"/>
              <w:jc w:val="right"/>
              <w:rPr>
                <w:rFonts w:ascii="Arial" w:eastAsia="Calibri" w:hAnsi="Arial" w:cs="Arial"/>
                <w:b/>
                <w:sz w:val="20"/>
                <w:szCs w:val="20"/>
                <w:lang w:val="es-AR" w:eastAsia="en-US"/>
              </w:rPr>
            </w:pPr>
            <w:r>
              <w:rPr>
                <w:rFonts w:ascii="Arial" w:eastAsia="Calibri" w:hAnsi="Arial" w:cs="Arial"/>
                <w:b/>
                <w:sz w:val="20"/>
                <w:szCs w:val="20"/>
                <w:lang w:val="es-AR" w:eastAsia="en-US"/>
              </w:rPr>
              <w:t>30.704</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B01A18" w14:textId="7B8B36DC" w:rsidR="00FE2245" w:rsidRPr="008348C4" w:rsidRDefault="00FE2245" w:rsidP="00FE2245">
            <w:pPr>
              <w:pStyle w:val="NormalWeb"/>
              <w:spacing w:before="0" w:beforeAutospacing="0" w:after="0" w:afterAutospacing="0"/>
              <w:jc w:val="right"/>
              <w:rPr>
                <w:rFonts w:ascii="Arial" w:eastAsia="Calibri" w:hAnsi="Arial" w:cs="Arial"/>
                <w:b/>
                <w:sz w:val="20"/>
                <w:szCs w:val="20"/>
                <w:lang w:val="es-AR" w:eastAsia="en-US"/>
              </w:rPr>
            </w:pPr>
            <w:r>
              <w:rPr>
                <w:rFonts w:ascii="Arial" w:eastAsia="Calibri" w:hAnsi="Arial" w:cs="Arial"/>
                <w:b/>
                <w:sz w:val="20"/>
                <w:szCs w:val="20"/>
                <w:lang w:val="es-AR" w:eastAsia="en-US"/>
              </w:rPr>
              <w:t>30.704</w:t>
            </w:r>
            <w:r w:rsidRPr="008348C4">
              <w:rPr>
                <w:rFonts w:ascii="Arial" w:eastAsia="Calibri" w:hAnsi="Arial" w:cs="Arial"/>
                <w:b/>
                <w:sz w:val="20"/>
                <w:szCs w:val="20"/>
                <w:lang w:val="es-AR" w:eastAsia="en-US"/>
              </w:rPr>
              <w:t xml:space="preserve"> </w:t>
            </w:r>
          </w:p>
        </w:tc>
      </w:tr>
    </w:tbl>
    <w:p w14:paraId="28AA6241" w14:textId="77777777" w:rsidR="00FE2245" w:rsidRPr="008348C4" w:rsidRDefault="00FE2245" w:rsidP="00FE2245">
      <w:pPr>
        <w:pStyle w:val="Style1"/>
        <w:jc w:val="both"/>
        <w:rPr>
          <w:rFonts w:ascii="Arial" w:eastAsia="Calibri" w:hAnsi="Arial" w:cs="Arial"/>
          <w:noProof w:val="0"/>
          <w:szCs w:val="20"/>
        </w:rPr>
      </w:pPr>
    </w:p>
    <w:p w14:paraId="2B8816A1" w14:textId="2C822C83" w:rsidR="00FE2245" w:rsidRPr="008348C4" w:rsidRDefault="00FE2245" w:rsidP="00FE2245">
      <w:pPr>
        <w:spacing w:after="160" w:line="259" w:lineRule="auto"/>
        <w:jc w:val="both"/>
        <w:rPr>
          <w:rFonts w:ascii="Arial" w:eastAsia="Calibri" w:hAnsi="Arial" w:cs="Arial"/>
          <w:sz w:val="20"/>
        </w:rPr>
      </w:pPr>
      <w:r w:rsidRPr="008348C4">
        <w:rPr>
          <w:rFonts w:ascii="Arial" w:eastAsia="Calibri" w:hAnsi="Arial" w:cs="Arial"/>
          <w:sz w:val="20"/>
        </w:rPr>
        <w:t>Los valores llaves registrados al 31 de diciembre de 201</w:t>
      </w:r>
      <w:r>
        <w:rPr>
          <w:rFonts w:ascii="Arial" w:eastAsia="Calibri" w:hAnsi="Arial" w:cs="Arial"/>
          <w:sz w:val="20"/>
        </w:rPr>
        <w:t>9</w:t>
      </w:r>
      <w:r w:rsidRPr="008348C4">
        <w:rPr>
          <w:rFonts w:ascii="Arial" w:eastAsia="Calibri" w:hAnsi="Arial" w:cs="Arial"/>
          <w:sz w:val="20"/>
        </w:rPr>
        <w:t xml:space="preserve"> y 201</w:t>
      </w:r>
      <w:r>
        <w:rPr>
          <w:rFonts w:ascii="Arial" w:eastAsia="Calibri" w:hAnsi="Arial" w:cs="Arial"/>
          <w:sz w:val="20"/>
        </w:rPr>
        <w:t>8</w:t>
      </w:r>
      <w:r w:rsidRPr="008348C4">
        <w:rPr>
          <w:rFonts w:ascii="Arial" w:eastAsia="Calibri" w:hAnsi="Arial" w:cs="Arial"/>
          <w:sz w:val="20"/>
        </w:rPr>
        <w:t>, han sido testeados a la fecha de los estados financieros y no se han determinado ajustes por desvalorización como consecuencia de los análisis realizados.</w:t>
      </w:r>
    </w:p>
    <w:p w14:paraId="49733574" w14:textId="77777777" w:rsidR="00FE2245" w:rsidRDefault="00FE2245" w:rsidP="00656E62">
      <w:pPr>
        <w:autoSpaceDE w:val="0"/>
        <w:autoSpaceDN w:val="0"/>
        <w:adjustRightInd w:val="0"/>
        <w:jc w:val="both"/>
        <w:rPr>
          <w:rFonts w:ascii="Arial" w:hAnsi="Arial" w:cs="Arial"/>
          <w:sz w:val="20"/>
        </w:rPr>
      </w:pPr>
    </w:p>
    <w:p w14:paraId="799FD397" w14:textId="431BF766" w:rsidR="00656E62" w:rsidRPr="00701F32" w:rsidRDefault="00FE2245" w:rsidP="00656E62">
      <w:pPr>
        <w:autoSpaceDE w:val="0"/>
        <w:autoSpaceDN w:val="0"/>
        <w:adjustRightInd w:val="0"/>
        <w:jc w:val="both"/>
        <w:rPr>
          <w:rFonts w:ascii="Arial" w:eastAsia="Arial" w:hAnsi="Arial" w:cs="Arial"/>
          <w:b/>
          <w:bCs/>
          <w:i/>
          <w:noProof/>
          <w:sz w:val="20"/>
        </w:rPr>
      </w:pPr>
      <w:r>
        <w:rPr>
          <w:rFonts w:ascii="Arial" w:eastAsia="Arial" w:hAnsi="Arial" w:cs="Arial"/>
          <w:b/>
          <w:bCs/>
          <w:noProof/>
          <w:sz w:val="20"/>
        </w:rPr>
        <w:t>10</w:t>
      </w:r>
      <w:r w:rsidR="00656E62" w:rsidRPr="00701F32">
        <w:rPr>
          <w:rFonts w:ascii="Arial" w:eastAsia="Arial" w:hAnsi="Arial" w:cs="Arial"/>
          <w:b/>
          <w:bCs/>
          <w:noProof/>
          <w:sz w:val="20"/>
        </w:rPr>
        <w:t xml:space="preserve">. </w:t>
      </w:r>
      <w:r w:rsidR="006D7FAF" w:rsidRPr="00701F32">
        <w:rPr>
          <w:rFonts w:ascii="Arial" w:eastAsia="Arial" w:hAnsi="Arial" w:cs="Arial"/>
          <w:b/>
          <w:bCs/>
          <w:noProof/>
          <w:sz w:val="20"/>
        </w:rPr>
        <w:t>DISTRIBUCI</w:t>
      </w:r>
      <w:r w:rsidR="006104DE">
        <w:rPr>
          <w:rFonts w:ascii="Arial" w:eastAsia="Arial" w:hAnsi="Arial" w:cs="Arial"/>
          <w:b/>
          <w:bCs/>
          <w:noProof/>
          <w:sz w:val="20"/>
        </w:rPr>
        <w:t>Ó</w:t>
      </w:r>
      <w:r w:rsidR="006D7FAF" w:rsidRPr="00701F32">
        <w:rPr>
          <w:rFonts w:ascii="Arial" w:eastAsia="Arial" w:hAnsi="Arial" w:cs="Arial"/>
          <w:b/>
          <w:bCs/>
          <w:noProof/>
          <w:sz w:val="20"/>
        </w:rPr>
        <w:t>N DE RESULTADOS</w:t>
      </w:r>
    </w:p>
    <w:p w14:paraId="038541FE" w14:textId="77777777" w:rsidR="00656E62" w:rsidRPr="00701F32" w:rsidRDefault="00656E62" w:rsidP="00656E62">
      <w:pPr>
        <w:autoSpaceDE w:val="0"/>
        <w:autoSpaceDN w:val="0"/>
        <w:adjustRightInd w:val="0"/>
        <w:jc w:val="both"/>
        <w:rPr>
          <w:rFonts w:ascii="Arial" w:eastAsia="Arial" w:hAnsi="Arial" w:cs="Arial"/>
          <w:b/>
          <w:bCs/>
          <w:i/>
          <w:noProof/>
          <w:color w:val="FF0000"/>
          <w:sz w:val="20"/>
        </w:rPr>
      </w:pPr>
    </w:p>
    <w:p w14:paraId="6001E26E" w14:textId="63022AF4" w:rsidR="00E0369E" w:rsidRDefault="00E0369E" w:rsidP="00E0369E">
      <w:pPr>
        <w:jc w:val="both"/>
        <w:rPr>
          <w:rFonts w:ascii="Arial" w:eastAsia="Calibri" w:hAnsi="Arial" w:cs="Arial"/>
          <w:noProof/>
          <w:color w:val="000000"/>
          <w:sz w:val="20"/>
          <w:lang w:eastAsia="es-AR"/>
        </w:rPr>
      </w:pPr>
      <w:r w:rsidRPr="00701F32">
        <w:rPr>
          <w:rFonts w:ascii="Arial" w:eastAsia="Calibri" w:hAnsi="Arial" w:cs="Arial"/>
          <w:noProof/>
          <w:color w:val="000000"/>
          <w:sz w:val="20"/>
          <w:lang w:eastAsia="es-AR"/>
        </w:rPr>
        <w:t>La Asamblea Anual Ordinaria de Accionistas celebrada el 1</w:t>
      </w:r>
      <w:r w:rsidR="00840B76">
        <w:rPr>
          <w:rFonts w:ascii="Arial" w:eastAsia="Calibri" w:hAnsi="Arial" w:cs="Arial"/>
          <w:noProof/>
          <w:color w:val="000000"/>
          <w:sz w:val="20"/>
          <w:lang w:eastAsia="es-AR"/>
        </w:rPr>
        <w:t>2</w:t>
      </w:r>
      <w:r w:rsidRPr="00701F32">
        <w:rPr>
          <w:rFonts w:ascii="Arial" w:eastAsia="Calibri" w:hAnsi="Arial" w:cs="Arial"/>
          <w:noProof/>
          <w:color w:val="000000"/>
          <w:sz w:val="20"/>
          <w:lang w:eastAsia="es-AR"/>
        </w:rPr>
        <w:t xml:space="preserve"> de abril de 201</w:t>
      </w:r>
      <w:r w:rsidR="00840B76">
        <w:rPr>
          <w:rFonts w:ascii="Arial" w:eastAsia="Calibri" w:hAnsi="Arial" w:cs="Arial"/>
          <w:noProof/>
          <w:color w:val="000000"/>
          <w:sz w:val="20"/>
          <w:lang w:eastAsia="es-AR"/>
        </w:rPr>
        <w:t>9</w:t>
      </w:r>
      <w:r w:rsidRPr="00701F32">
        <w:rPr>
          <w:rFonts w:ascii="Arial" w:eastAsia="Calibri" w:hAnsi="Arial" w:cs="Arial"/>
          <w:noProof/>
          <w:color w:val="000000"/>
          <w:sz w:val="20"/>
          <w:lang w:eastAsia="es-AR"/>
        </w:rPr>
        <w:t xml:space="preserve"> aprobó los estados contables al 31 de diciembre de 201</w:t>
      </w:r>
      <w:r w:rsidR="00840B76">
        <w:rPr>
          <w:rFonts w:ascii="Arial" w:eastAsia="Calibri" w:hAnsi="Arial" w:cs="Arial"/>
          <w:noProof/>
          <w:color w:val="000000"/>
          <w:sz w:val="20"/>
          <w:lang w:eastAsia="es-AR"/>
        </w:rPr>
        <w:t>8</w:t>
      </w:r>
      <w:r w:rsidRPr="00701F32">
        <w:rPr>
          <w:rFonts w:ascii="Arial" w:eastAsia="Calibri" w:hAnsi="Arial" w:cs="Arial"/>
          <w:noProof/>
          <w:color w:val="000000"/>
          <w:sz w:val="20"/>
          <w:lang w:eastAsia="es-AR"/>
        </w:rPr>
        <w:t xml:space="preserve"> y el tratamiento de los resultados correspondientes al ejercicio finalizado en esa fecha. Se dispuso, de acuerdo a la normativa vigente, el siguiente destino de los resultados no asignados al 31 de diciembre de 201</w:t>
      </w:r>
      <w:r w:rsidR="00840B76">
        <w:rPr>
          <w:rFonts w:ascii="Arial" w:eastAsia="Calibri" w:hAnsi="Arial" w:cs="Arial"/>
          <w:noProof/>
          <w:color w:val="000000"/>
          <w:sz w:val="20"/>
          <w:lang w:eastAsia="es-AR"/>
        </w:rPr>
        <w:t>8</w:t>
      </w:r>
      <w:r w:rsidRPr="00701F32">
        <w:rPr>
          <w:rFonts w:ascii="Arial" w:eastAsia="Calibri" w:hAnsi="Arial" w:cs="Arial"/>
          <w:noProof/>
          <w:color w:val="000000"/>
          <w:sz w:val="20"/>
          <w:lang w:eastAsia="es-AR"/>
        </w:rPr>
        <w:t>:</w:t>
      </w:r>
    </w:p>
    <w:p w14:paraId="43588E5F" w14:textId="77777777" w:rsidR="00E0369E" w:rsidRPr="00701F32" w:rsidRDefault="00E0369E" w:rsidP="00E0369E">
      <w:pPr>
        <w:jc w:val="both"/>
        <w:rPr>
          <w:rFonts w:ascii="Arial" w:eastAsia="Calibri" w:hAnsi="Arial" w:cs="Arial"/>
          <w:noProof/>
          <w:color w:val="000000"/>
          <w:sz w:val="20"/>
          <w:lang w:eastAsia="es-AR"/>
        </w:rPr>
      </w:pPr>
    </w:p>
    <w:p w14:paraId="375AA861" w14:textId="4F12C8DF" w:rsidR="00E0369E" w:rsidRPr="00701F32" w:rsidRDefault="00E0369E" w:rsidP="00627289">
      <w:pPr>
        <w:numPr>
          <w:ilvl w:val="0"/>
          <w:numId w:val="28"/>
        </w:numPr>
        <w:spacing w:after="160"/>
        <w:jc w:val="both"/>
        <w:rPr>
          <w:rFonts w:ascii="Arial" w:eastAsia="Calibri" w:hAnsi="Arial" w:cs="Arial"/>
          <w:noProof/>
          <w:color w:val="000000"/>
          <w:sz w:val="20"/>
          <w:lang w:eastAsia="es-AR"/>
        </w:rPr>
      </w:pPr>
      <w:r w:rsidRPr="00701F32">
        <w:rPr>
          <w:rFonts w:ascii="Arial" w:eastAsia="Calibri" w:hAnsi="Arial" w:cs="Arial"/>
          <w:noProof/>
          <w:color w:val="000000"/>
          <w:sz w:val="20"/>
          <w:lang w:eastAsia="es-AR"/>
        </w:rPr>
        <w:t xml:space="preserve">A reserva legal: </w:t>
      </w:r>
      <w:r w:rsidR="00840B76">
        <w:rPr>
          <w:rFonts w:ascii="Arial" w:eastAsia="Calibri" w:hAnsi="Arial" w:cs="Arial"/>
          <w:noProof/>
          <w:color w:val="000000"/>
          <w:sz w:val="20"/>
          <w:lang w:eastAsia="es-AR"/>
        </w:rPr>
        <w:t>148.059</w:t>
      </w:r>
    </w:p>
    <w:p w14:paraId="2BFA7139" w14:textId="6A439874" w:rsidR="00E0369E" w:rsidRPr="00701F32" w:rsidRDefault="00E0369E" w:rsidP="00627289">
      <w:pPr>
        <w:numPr>
          <w:ilvl w:val="0"/>
          <w:numId w:val="28"/>
        </w:numPr>
        <w:spacing w:after="160"/>
        <w:jc w:val="both"/>
        <w:rPr>
          <w:rFonts w:ascii="Arial" w:eastAsia="Calibri" w:hAnsi="Arial" w:cs="Arial"/>
          <w:noProof/>
          <w:color w:val="000000"/>
          <w:sz w:val="20"/>
          <w:lang w:eastAsia="es-AR"/>
        </w:rPr>
      </w:pPr>
      <w:r w:rsidRPr="00701F32">
        <w:rPr>
          <w:rFonts w:ascii="Arial" w:eastAsia="Calibri" w:hAnsi="Arial" w:cs="Arial"/>
          <w:noProof/>
          <w:color w:val="000000"/>
          <w:sz w:val="20"/>
          <w:lang w:eastAsia="es-AR"/>
        </w:rPr>
        <w:t xml:space="preserve">A reserva facultativa: </w:t>
      </w:r>
      <w:r w:rsidR="00840B76">
        <w:rPr>
          <w:rFonts w:ascii="Arial" w:eastAsia="Calibri" w:hAnsi="Arial" w:cs="Arial"/>
          <w:noProof/>
          <w:color w:val="000000"/>
          <w:sz w:val="20"/>
          <w:lang w:eastAsia="es-AR"/>
        </w:rPr>
        <w:t>592.23</w:t>
      </w:r>
      <w:r w:rsidR="007F218F">
        <w:rPr>
          <w:rFonts w:ascii="Arial" w:eastAsia="Calibri" w:hAnsi="Arial" w:cs="Arial"/>
          <w:noProof/>
          <w:color w:val="000000"/>
          <w:sz w:val="20"/>
          <w:lang w:eastAsia="es-AR"/>
        </w:rPr>
        <w:t>4</w:t>
      </w:r>
    </w:p>
    <w:p w14:paraId="36B502D9" w14:textId="77777777" w:rsidR="00CA279F" w:rsidRDefault="00CA279F" w:rsidP="00CA279F">
      <w:pPr>
        <w:spacing w:after="160"/>
        <w:jc w:val="both"/>
        <w:rPr>
          <w:rFonts w:ascii="Arial" w:eastAsia="Calibri" w:hAnsi="Arial" w:cs="Arial"/>
          <w:noProof/>
          <w:color w:val="000000"/>
          <w:sz w:val="20"/>
          <w:lang w:eastAsia="es-AR"/>
        </w:rPr>
      </w:pPr>
    </w:p>
    <w:p w14:paraId="166A3F2D" w14:textId="107A1645" w:rsidR="00D65F4F" w:rsidRPr="00A059FB" w:rsidRDefault="00CA279F" w:rsidP="00A059FB">
      <w:pPr>
        <w:spacing w:after="160"/>
        <w:jc w:val="both"/>
        <w:rPr>
          <w:rFonts w:ascii="Arial" w:eastAsia="Calibri" w:hAnsi="Arial" w:cs="Arial"/>
          <w:noProof/>
          <w:color w:val="000000"/>
          <w:sz w:val="20"/>
          <w:lang w:eastAsia="es-AR"/>
        </w:rPr>
      </w:pPr>
      <w:r w:rsidRPr="00A059FB">
        <w:rPr>
          <w:rFonts w:ascii="Arial" w:eastAsia="Calibri" w:hAnsi="Arial" w:cs="Arial"/>
          <w:noProof/>
          <w:color w:val="000000"/>
          <w:sz w:val="20"/>
          <w:lang w:eastAsia="es-AR"/>
        </w:rPr>
        <w:t>Ver restricción para la distribución de utilidades en nota 14.9.</w:t>
      </w:r>
    </w:p>
    <w:p w14:paraId="16FE2C50" w14:textId="77777777" w:rsidR="00CA279F" w:rsidRPr="00701F32" w:rsidRDefault="00CA279F" w:rsidP="00E0369E">
      <w:pPr>
        <w:tabs>
          <w:tab w:val="left" w:pos="142"/>
        </w:tabs>
        <w:jc w:val="both"/>
        <w:rPr>
          <w:rFonts w:ascii="Arial" w:hAnsi="Arial" w:cs="Arial"/>
          <w:sz w:val="20"/>
        </w:rPr>
      </w:pPr>
    </w:p>
    <w:p w14:paraId="46E4ABD7" w14:textId="72CDF994" w:rsidR="00656E62" w:rsidRPr="00701F32" w:rsidRDefault="00FE2245" w:rsidP="00656E62">
      <w:pPr>
        <w:spacing w:after="160" w:line="259" w:lineRule="auto"/>
        <w:jc w:val="both"/>
        <w:rPr>
          <w:rFonts w:ascii="Arial" w:eastAsia="Arial" w:hAnsi="Arial" w:cs="Arial"/>
          <w:b/>
          <w:sz w:val="20"/>
        </w:rPr>
      </w:pPr>
      <w:r>
        <w:rPr>
          <w:rFonts w:ascii="Arial" w:eastAsia="Arial" w:hAnsi="Arial" w:cs="Arial"/>
          <w:b/>
          <w:sz w:val="20"/>
        </w:rPr>
        <w:t>11</w:t>
      </w:r>
      <w:r w:rsidR="00656E62" w:rsidRPr="00701F32">
        <w:rPr>
          <w:rFonts w:ascii="Arial" w:eastAsia="Arial" w:hAnsi="Arial" w:cs="Arial"/>
          <w:b/>
          <w:sz w:val="20"/>
        </w:rPr>
        <w:t>. C</w:t>
      </w:r>
      <w:r w:rsidR="000045FD" w:rsidRPr="00701F32">
        <w:rPr>
          <w:rFonts w:ascii="Arial" w:eastAsia="Arial" w:hAnsi="Arial" w:cs="Arial"/>
          <w:b/>
          <w:sz w:val="20"/>
        </w:rPr>
        <w:t>OMPROMISOS Y CONTINGENCIAS</w:t>
      </w:r>
      <w:r w:rsidR="00656E62" w:rsidRPr="00701F32">
        <w:rPr>
          <w:rFonts w:ascii="Arial" w:eastAsia="Arial" w:hAnsi="Arial" w:cs="Arial"/>
          <w:b/>
          <w:sz w:val="20"/>
        </w:rPr>
        <w:t xml:space="preserve"> </w:t>
      </w:r>
    </w:p>
    <w:p w14:paraId="0E3E7A61" w14:textId="74068559" w:rsidR="00656E62" w:rsidRPr="00701F32" w:rsidRDefault="00656E62" w:rsidP="00656E62">
      <w:pPr>
        <w:spacing w:after="160" w:line="259" w:lineRule="auto"/>
        <w:jc w:val="both"/>
        <w:rPr>
          <w:rFonts w:ascii="Arial" w:eastAsia="Arial" w:hAnsi="Arial" w:cs="Arial"/>
          <w:sz w:val="20"/>
        </w:rPr>
      </w:pPr>
      <w:r w:rsidRPr="00701F32">
        <w:rPr>
          <w:rFonts w:ascii="Arial" w:eastAsia="Arial" w:hAnsi="Arial" w:cs="Arial"/>
          <w:sz w:val="20"/>
        </w:rPr>
        <w:t>Las Normas Internacionales de Información Financiera establecen que un pasivo contingente consiste en (i) una obligación posible, surgida en función de sucesos pasados, cuya existencia ha de ser confirmada por la ocurrencia de uno o más hecho</w:t>
      </w:r>
      <w:r w:rsidR="00D35EF9">
        <w:rPr>
          <w:rFonts w:ascii="Arial" w:eastAsia="Arial" w:hAnsi="Arial" w:cs="Arial"/>
          <w:sz w:val="20"/>
        </w:rPr>
        <w:t>s</w:t>
      </w:r>
      <w:r w:rsidRPr="00701F32">
        <w:rPr>
          <w:rFonts w:ascii="Arial" w:eastAsia="Arial" w:hAnsi="Arial" w:cs="Arial"/>
          <w:sz w:val="20"/>
        </w:rPr>
        <w:t xml:space="preserve"> futuros de naturaleza incierta, las cuales no se hayan bajo el control de la Entidad o (ii) una obligación presente que no resulta probable o cuyo importe no ha de ser posible de medición o estimación con suficiente fiabilidad.</w:t>
      </w:r>
    </w:p>
    <w:p w14:paraId="436696E8" w14:textId="1F099876" w:rsidR="00AF4A0D" w:rsidRDefault="00AF4A0D" w:rsidP="00656E62">
      <w:pPr>
        <w:spacing w:after="160" w:line="259" w:lineRule="auto"/>
        <w:jc w:val="both"/>
        <w:rPr>
          <w:rFonts w:ascii="Arial" w:eastAsia="Arial" w:hAnsi="Arial" w:cs="Arial"/>
          <w:sz w:val="20"/>
        </w:rPr>
      </w:pPr>
      <w:r>
        <w:rPr>
          <w:rFonts w:ascii="Arial" w:eastAsia="Arial" w:hAnsi="Arial" w:cs="Arial"/>
          <w:sz w:val="20"/>
        </w:rPr>
        <w:t xml:space="preserve">Se detallan a continuación las provisiones registradas: </w:t>
      </w:r>
    </w:p>
    <w:tbl>
      <w:tblPr>
        <w:tblW w:w="4840" w:type="dxa"/>
        <w:jc w:val="center"/>
        <w:tblCellMar>
          <w:left w:w="70" w:type="dxa"/>
          <w:right w:w="70" w:type="dxa"/>
        </w:tblCellMar>
        <w:tblLook w:val="04A0" w:firstRow="1" w:lastRow="0" w:firstColumn="1" w:lastColumn="0" w:noHBand="0" w:noVBand="1"/>
      </w:tblPr>
      <w:tblGrid>
        <w:gridCol w:w="2440"/>
        <w:gridCol w:w="1200"/>
        <w:gridCol w:w="1200"/>
      </w:tblGrid>
      <w:tr w:rsidR="00AF4A0D" w:rsidRPr="00AF4A0D" w14:paraId="517E0B1A" w14:textId="77777777" w:rsidTr="006E1AF7">
        <w:trPr>
          <w:trHeight w:val="300"/>
          <w:tblHeader/>
          <w:jc w:val="center"/>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BF439"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4A50446" w14:textId="77777777" w:rsidR="00AF4A0D" w:rsidRPr="00AF4A0D" w:rsidRDefault="00AF4A0D" w:rsidP="00AF4A0D">
            <w:pPr>
              <w:jc w:val="center"/>
              <w:rPr>
                <w:rFonts w:ascii="Arial" w:hAnsi="Arial" w:cs="Arial"/>
                <w:b/>
                <w:bCs/>
                <w:color w:val="000000"/>
                <w:sz w:val="18"/>
                <w:szCs w:val="18"/>
                <w:lang w:eastAsia="es-AR"/>
              </w:rPr>
            </w:pPr>
            <w:r w:rsidRPr="00AF4A0D">
              <w:rPr>
                <w:rFonts w:ascii="Arial" w:hAnsi="Arial" w:cs="Arial"/>
                <w:b/>
                <w:bCs/>
                <w:color w:val="000000"/>
                <w:sz w:val="18"/>
                <w:szCs w:val="18"/>
                <w:lang w:eastAsia="es-AR"/>
              </w:rPr>
              <w:t>31/12/2019</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9A1DBE6" w14:textId="77777777" w:rsidR="00AF4A0D" w:rsidRPr="00AF4A0D" w:rsidRDefault="00AF4A0D" w:rsidP="00AF4A0D">
            <w:pPr>
              <w:jc w:val="center"/>
              <w:rPr>
                <w:rFonts w:ascii="Arial" w:hAnsi="Arial" w:cs="Arial"/>
                <w:b/>
                <w:bCs/>
                <w:color w:val="000000"/>
                <w:sz w:val="18"/>
                <w:szCs w:val="18"/>
                <w:lang w:eastAsia="es-AR"/>
              </w:rPr>
            </w:pPr>
            <w:r w:rsidRPr="00AF4A0D">
              <w:rPr>
                <w:rFonts w:ascii="Arial" w:hAnsi="Arial" w:cs="Arial"/>
                <w:b/>
                <w:bCs/>
                <w:color w:val="000000"/>
                <w:sz w:val="18"/>
                <w:szCs w:val="18"/>
                <w:lang w:eastAsia="es-AR"/>
              </w:rPr>
              <w:t>31/12/2018</w:t>
            </w:r>
          </w:p>
        </w:tc>
      </w:tr>
      <w:tr w:rsidR="00AF4A0D" w:rsidRPr="00AF4A0D" w14:paraId="49ECFCAF"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B7CCAB8"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Asuntos legales</w:t>
            </w:r>
          </w:p>
        </w:tc>
        <w:tc>
          <w:tcPr>
            <w:tcW w:w="1200" w:type="dxa"/>
            <w:tcBorders>
              <w:top w:val="nil"/>
              <w:left w:val="nil"/>
              <w:bottom w:val="single" w:sz="4" w:space="0" w:color="auto"/>
              <w:right w:val="single" w:sz="4" w:space="0" w:color="auto"/>
            </w:tcBorders>
            <w:shd w:val="clear" w:color="auto" w:fill="auto"/>
            <w:noWrap/>
            <w:vAlign w:val="bottom"/>
            <w:hideMark/>
          </w:tcPr>
          <w:p w14:paraId="2D79F2BA" w14:textId="323377C0"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22.748</w:t>
            </w:r>
          </w:p>
        </w:tc>
        <w:tc>
          <w:tcPr>
            <w:tcW w:w="1200" w:type="dxa"/>
            <w:tcBorders>
              <w:top w:val="nil"/>
              <w:left w:val="nil"/>
              <w:bottom w:val="single" w:sz="4" w:space="0" w:color="auto"/>
              <w:right w:val="single" w:sz="4" w:space="0" w:color="auto"/>
            </w:tcBorders>
            <w:shd w:val="clear" w:color="auto" w:fill="auto"/>
            <w:noWrap/>
            <w:vAlign w:val="bottom"/>
            <w:hideMark/>
          </w:tcPr>
          <w:p w14:paraId="3A61830A" w14:textId="5545B0E3"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20.365</w:t>
            </w:r>
          </w:p>
        </w:tc>
      </w:tr>
      <w:tr w:rsidR="00AF4A0D" w:rsidRPr="00AF4A0D" w14:paraId="2B8E71A1"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3A6AE8D"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Juicios Laborales</w:t>
            </w:r>
          </w:p>
        </w:tc>
        <w:tc>
          <w:tcPr>
            <w:tcW w:w="1200" w:type="dxa"/>
            <w:tcBorders>
              <w:top w:val="nil"/>
              <w:left w:val="nil"/>
              <w:bottom w:val="single" w:sz="4" w:space="0" w:color="auto"/>
              <w:right w:val="single" w:sz="4" w:space="0" w:color="auto"/>
            </w:tcBorders>
            <w:shd w:val="clear" w:color="auto" w:fill="auto"/>
            <w:noWrap/>
            <w:vAlign w:val="bottom"/>
            <w:hideMark/>
          </w:tcPr>
          <w:p w14:paraId="4C831D0E" w14:textId="25C8E2E0"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12.042</w:t>
            </w:r>
          </w:p>
        </w:tc>
        <w:tc>
          <w:tcPr>
            <w:tcW w:w="1200" w:type="dxa"/>
            <w:tcBorders>
              <w:top w:val="nil"/>
              <w:left w:val="nil"/>
              <w:bottom w:val="single" w:sz="4" w:space="0" w:color="auto"/>
              <w:right w:val="single" w:sz="4" w:space="0" w:color="auto"/>
            </w:tcBorders>
            <w:shd w:val="clear" w:color="auto" w:fill="auto"/>
            <w:noWrap/>
            <w:vAlign w:val="bottom"/>
            <w:hideMark/>
          </w:tcPr>
          <w:p w14:paraId="5CFE8703" w14:textId="70BEA1D4"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9.909</w:t>
            </w:r>
          </w:p>
        </w:tc>
      </w:tr>
      <w:tr w:rsidR="00AF4A0D" w:rsidRPr="00AF4A0D" w14:paraId="1B2B6992"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2AA0AC7"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Impositivos</w:t>
            </w:r>
          </w:p>
        </w:tc>
        <w:tc>
          <w:tcPr>
            <w:tcW w:w="1200" w:type="dxa"/>
            <w:tcBorders>
              <w:top w:val="nil"/>
              <w:left w:val="nil"/>
              <w:bottom w:val="single" w:sz="4" w:space="0" w:color="auto"/>
              <w:right w:val="single" w:sz="4" w:space="0" w:color="auto"/>
            </w:tcBorders>
            <w:shd w:val="clear" w:color="auto" w:fill="auto"/>
            <w:noWrap/>
            <w:vAlign w:val="bottom"/>
            <w:hideMark/>
          </w:tcPr>
          <w:p w14:paraId="206C2D3E" w14:textId="01DDE78F"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2.313</w:t>
            </w:r>
          </w:p>
        </w:tc>
        <w:tc>
          <w:tcPr>
            <w:tcW w:w="1200" w:type="dxa"/>
            <w:tcBorders>
              <w:top w:val="nil"/>
              <w:left w:val="nil"/>
              <w:bottom w:val="single" w:sz="4" w:space="0" w:color="auto"/>
              <w:right w:val="single" w:sz="4" w:space="0" w:color="auto"/>
            </w:tcBorders>
            <w:shd w:val="clear" w:color="auto" w:fill="auto"/>
            <w:noWrap/>
            <w:vAlign w:val="bottom"/>
            <w:hideMark/>
          </w:tcPr>
          <w:p w14:paraId="711058CB" w14:textId="2BA45DF9"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2.313</w:t>
            </w:r>
          </w:p>
        </w:tc>
      </w:tr>
      <w:tr w:rsidR="00AF4A0D" w:rsidRPr="00AF4A0D" w14:paraId="7B9525E7"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B7DC966"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Otros</w:t>
            </w:r>
          </w:p>
        </w:tc>
        <w:tc>
          <w:tcPr>
            <w:tcW w:w="1200" w:type="dxa"/>
            <w:tcBorders>
              <w:top w:val="nil"/>
              <w:left w:val="nil"/>
              <w:bottom w:val="single" w:sz="4" w:space="0" w:color="auto"/>
              <w:right w:val="single" w:sz="4" w:space="0" w:color="auto"/>
            </w:tcBorders>
            <w:shd w:val="clear" w:color="auto" w:fill="auto"/>
            <w:noWrap/>
            <w:vAlign w:val="bottom"/>
            <w:hideMark/>
          </w:tcPr>
          <w:p w14:paraId="53A43335" w14:textId="6991F256"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661</w:t>
            </w:r>
          </w:p>
        </w:tc>
        <w:tc>
          <w:tcPr>
            <w:tcW w:w="1200" w:type="dxa"/>
            <w:tcBorders>
              <w:top w:val="nil"/>
              <w:left w:val="nil"/>
              <w:bottom w:val="single" w:sz="4" w:space="0" w:color="auto"/>
              <w:right w:val="single" w:sz="4" w:space="0" w:color="auto"/>
            </w:tcBorders>
            <w:shd w:val="clear" w:color="auto" w:fill="auto"/>
            <w:noWrap/>
            <w:vAlign w:val="bottom"/>
            <w:hideMark/>
          </w:tcPr>
          <w:p w14:paraId="5D4D5A7C" w14:textId="7BD76753"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661</w:t>
            </w:r>
          </w:p>
        </w:tc>
      </w:tr>
      <w:tr w:rsidR="00AF4A0D" w:rsidRPr="00AF4A0D" w14:paraId="058E44A4"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3DC0D79"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Depósitos Judiciales</w:t>
            </w:r>
          </w:p>
        </w:tc>
        <w:tc>
          <w:tcPr>
            <w:tcW w:w="1200" w:type="dxa"/>
            <w:tcBorders>
              <w:top w:val="nil"/>
              <w:left w:val="nil"/>
              <w:bottom w:val="single" w:sz="4" w:space="0" w:color="auto"/>
              <w:right w:val="single" w:sz="4" w:space="0" w:color="auto"/>
            </w:tcBorders>
            <w:shd w:val="clear" w:color="auto" w:fill="auto"/>
            <w:noWrap/>
            <w:vAlign w:val="bottom"/>
            <w:hideMark/>
          </w:tcPr>
          <w:p w14:paraId="4BFDACDA" w14:textId="5628C38C"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15.767</w:t>
            </w:r>
          </w:p>
        </w:tc>
        <w:tc>
          <w:tcPr>
            <w:tcW w:w="1200" w:type="dxa"/>
            <w:tcBorders>
              <w:top w:val="nil"/>
              <w:left w:val="nil"/>
              <w:bottom w:val="single" w:sz="4" w:space="0" w:color="auto"/>
              <w:right w:val="single" w:sz="4" w:space="0" w:color="auto"/>
            </w:tcBorders>
            <w:shd w:val="clear" w:color="auto" w:fill="auto"/>
            <w:noWrap/>
            <w:vAlign w:val="bottom"/>
            <w:hideMark/>
          </w:tcPr>
          <w:p w14:paraId="5DDD157D" w14:textId="369FA6AD"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9.814</w:t>
            </w:r>
          </w:p>
        </w:tc>
      </w:tr>
      <w:tr w:rsidR="00AF4A0D" w:rsidRPr="00AF4A0D" w14:paraId="41E3DFCC"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DEBEE17"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Compromisos eventuales</w:t>
            </w:r>
          </w:p>
        </w:tc>
        <w:tc>
          <w:tcPr>
            <w:tcW w:w="1200" w:type="dxa"/>
            <w:tcBorders>
              <w:top w:val="nil"/>
              <w:left w:val="nil"/>
              <w:bottom w:val="single" w:sz="4" w:space="0" w:color="auto"/>
              <w:right w:val="single" w:sz="4" w:space="0" w:color="auto"/>
            </w:tcBorders>
            <w:shd w:val="clear" w:color="auto" w:fill="auto"/>
            <w:noWrap/>
            <w:vAlign w:val="bottom"/>
            <w:hideMark/>
          </w:tcPr>
          <w:p w14:paraId="1F19D022" w14:textId="516F194D"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367</w:t>
            </w:r>
          </w:p>
        </w:tc>
        <w:tc>
          <w:tcPr>
            <w:tcW w:w="1200" w:type="dxa"/>
            <w:tcBorders>
              <w:top w:val="nil"/>
              <w:left w:val="nil"/>
              <w:bottom w:val="single" w:sz="4" w:space="0" w:color="auto"/>
              <w:right w:val="single" w:sz="4" w:space="0" w:color="auto"/>
            </w:tcBorders>
            <w:shd w:val="clear" w:color="auto" w:fill="auto"/>
            <w:noWrap/>
            <w:vAlign w:val="bottom"/>
            <w:hideMark/>
          </w:tcPr>
          <w:p w14:paraId="3C5271C8" w14:textId="3212AB13"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1.196</w:t>
            </w:r>
          </w:p>
        </w:tc>
      </w:tr>
      <w:tr w:rsidR="00AF4A0D" w:rsidRPr="00AF4A0D" w14:paraId="4C2D3BDB"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E0D5C4A" w14:textId="77777777" w:rsidR="00AF4A0D" w:rsidRPr="00AF4A0D" w:rsidRDefault="00AF4A0D" w:rsidP="00AF4A0D">
            <w:pPr>
              <w:rPr>
                <w:rFonts w:ascii="Arial" w:hAnsi="Arial" w:cs="Arial"/>
                <w:color w:val="000000"/>
                <w:sz w:val="18"/>
                <w:szCs w:val="18"/>
                <w:lang w:eastAsia="es-AR"/>
              </w:rPr>
            </w:pPr>
            <w:r w:rsidRPr="00AF4A0D">
              <w:rPr>
                <w:rFonts w:ascii="Arial" w:hAnsi="Arial" w:cs="Arial"/>
                <w:color w:val="000000"/>
                <w:sz w:val="18"/>
                <w:szCs w:val="18"/>
                <w:lang w:eastAsia="es-AR"/>
              </w:rPr>
              <w:t>Gastos por reorganización</w:t>
            </w:r>
          </w:p>
        </w:tc>
        <w:tc>
          <w:tcPr>
            <w:tcW w:w="1200" w:type="dxa"/>
            <w:tcBorders>
              <w:top w:val="nil"/>
              <w:left w:val="nil"/>
              <w:bottom w:val="single" w:sz="4" w:space="0" w:color="auto"/>
              <w:right w:val="single" w:sz="4" w:space="0" w:color="auto"/>
            </w:tcBorders>
            <w:shd w:val="clear" w:color="auto" w:fill="auto"/>
            <w:noWrap/>
            <w:vAlign w:val="bottom"/>
            <w:hideMark/>
          </w:tcPr>
          <w:p w14:paraId="419A7227" w14:textId="720239C3"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500.000</w:t>
            </w:r>
          </w:p>
        </w:tc>
        <w:tc>
          <w:tcPr>
            <w:tcW w:w="1200" w:type="dxa"/>
            <w:tcBorders>
              <w:top w:val="nil"/>
              <w:left w:val="nil"/>
              <w:bottom w:val="single" w:sz="4" w:space="0" w:color="auto"/>
              <w:right w:val="single" w:sz="4" w:space="0" w:color="auto"/>
            </w:tcBorders>
            <w:shd w:val="clear" w:color="auto" w:fill="auto"/>
            <w:noWrap/>
            <w:vAlign w:val="bottom"/>
            <w:hideMark/>
          </w:tcPr>
          <w:p w14:paraId="5D1A11E4" w14:textId="6AFFC124" w:rsidR="00AF4A0D" w:rsidRPr="00AF4A0D" w:rsidRDefault="00AF4A0D" w:rsidP="006E1AF7">
            <w:pPr>
              <w:jc w:val="right"/>
              <w:rPr>
                <w:rFonts w:ascii="Arial" w:hAnsi="Arial" w:cs="Arial"/>
                <w:color w:val="000000"/>
                <w:sz w:val="18"/>
                <w:szCs w:val="18"/>
                <w:lang w:eastAsia="es-AR"/>
              </w:rPr>
            </w:pPr>
            <w:r w:rsidRPr="00AF4A0D">
              <w:rPr>
                <w:rFonts w:ascii="Arial" w:hAnsi="Arial" w:cs="Arial"/>
                <w:color w:val="000000"/>
                <w:sz w:val="18"/>
                <w:szCs w:val="18"/>
                <w:lang w:eastAsia="es-AR"/>
              </w:rPr>
              <w:t>-</w:t>
            </w:r>
          </w:p>
        </w:tc>
      </w:tr>
      <w:tr w:rsidR="00AF4A0D" w:rsidRPr="00AF4A0D" w14:paraId="188AF26F" w14:textId="77777777" w:rsidTr="006E1AF7">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E5E2D33" w14:textId="5F9A1E92" w:rsidR="00AF4A0D" w:rsidRPr="00AF4A0D" w:rsidRDefault="00AF4A0D" w:rsidP="00AF4A0D">
            <w:pPr>
              <w:rPr>
                <w:rFonts w:ascii="Arial" w:hAnsi="Arial" w:cs="Arial"/>
                <w:b/>
                <w:bCs/>
                <w:color w:val="000000"/>
                <w:sz w:val="18"/>
                <w:szCs w:val="18"/>
                <w:lang w:eastAsia="es-AR"/>
              </w:rPr>
            </w:pPr>
            <w:r w:rsidRPr="00AF4A0D">
              <w:rPr>
                <w:rFonts w:ascii="Arial" w:hAnsi="Arial" w:cs="Arial"/>
                <w:b/>
                <w:bCs/>
                <w:color w:val="000000"/>
                <w:sz w:val="18"/>
                <w:szCs w:val="18"/>
                <w:lang w:eastAsia="es-AR"/>
              </w:rPr>
              <w:t>Total</w:t>
            </w:r>
            <w:r>
              <w:rPr>
                <w:rFonts w:ascii="Arial" w:hAnsi="Arial" w:cs="Arial"/>
                <w:b/>
                <w:bCs/>
                <w:color w:val="000000"/>
                <w:sz w:val="18"/>
                <w:szCs w:val="18"/>
                <w:lang w:eastAsia="es-AR"/>
              </w:rPr>
              <w:t xml:space="preserve"> Provisiones</w:t>
            </w:r>
          </w:p>
        </w:tc>
        <w:tc>
          <w:tcPr>
            <w:tcW w:w="1200" w:type="dxa"/>
            <w:tcBorders>
              <w:top w:val="nil"/>
              <w:left w:val="nil"/>
              <w:bottom w:val="single" w:sz="4" w:space="0" w:color="auto"/>
              <w:right w:val="single" w:sz="4" w:space="0" w:color="auto"/>
            </w:tcBorders>
            <w:shd w:val="clear" w:color="auto" w:fill="auto"/>
            <w:noWrap/>
            <w:vAlign w:val="bottom"/>
            <w:hideMark/>
          </w:tcPr>
          <w:p w14:paraId="7DF90C43" w14:textId="7AF0E54A" w:rsidR="00AF4A0D" w:rsidRPr="00AF4A0D" w:rsidRDefault="00AF4A0D" w:rsidP="006E1AF7">
            <w:pPr>
              <w:jc w:val="right"/>
              <w:rPr>
                <w:rFonts w:ascii="Arial" w:hAnsi="Arial" w:cs="Arial"/>
                <w:b/>
                <w:bCs/>
                <w:color w:val="000000"/>
                <w:sz w:val="18"/>
                <w:szCs w:val="18"/>
                <w:lang w:eastAsia="es-AR"/>
              </w:rPr>
            </w:pPr>
            <w:r w:rsidRPr="00AF4A0D">
              <w:rPr>
                <w:rFonts w:ascii="Arial" w:hAnsi="Arial" w:cs="Arial"/>
                <w:b/>
                <w:bCs/>
                <w:color w:val="000000"/>
                <w:sz w:val="18"/>
                <w:szCs w:val="18"/>
                <w:lang w:eastAsia="es-AR"/>
              </w:rPr>
              <w:t>553.898</w:t>
            </w:r>
          </w:p>
        </w:tc>
        <w:tc>
          <w:tcPr>
            <w:tcW w:w="1200" w:type="dxa"/>
            <w:tcBorders>
              <w:top w:val="nil"/>
              <w:left w:val="nil"/>
              <w:bottom w:val="single" w:sz="4" w:space="0" w:color="auto"/>
              <w:right w:val="single" w:sz="4" w:space="0" w:color="auto"/>
            </w:tcBorders>
            <w:shd w:val="clear" w:color="auto" w:fill="auto"/>
            <w:noWrap/>
            <w:vAlign w:val="bottom"/>
            <w:hideMark/>
          </w:tcPr>
          <w:p w14:paraId="56586797" w14:textId="3E10EC8A" w:rsidR="00AF4A0D" w:rsidRPr="00AF4A0D" w:rsidRDefault="00AF4A0D" w:rsidP="006E1AF7">
            <w:pPr>
              <w:jc w:val="right"/>
              <w:rPr>
                <w:rFonts w:ascii="Arial" w:hAnsi="Arial" w:cs="Arial"/>
                <w:b/>
                <w:bCs/>
                <w:color w:val="000000"/>
                <w:sz w:val="18"/>
                <w:szCs w:val="18"/>
                <w:lang w:eastAsia="es-AR"/>
              </w:rPr>
            </w:pPr>
            <w:r w:rsidRPr="00AF4A0D">
              <w:rPr>
                <w:rFonts w:ascii="Arial" w:hAnsi="Arial" w:cs="Arial"/>
                <w:b/>
                <w:bCs/>
                <w:color w:val="000000"/>
                <w:sz w:val="18"/>
                <w:szCs w:val="18"/>
                <w:lang w:eastAsia="es-AR"/>
              </w:rPr>
              <w:t>44.259</w:t>
            </w:r>
          </w:p>
        </w:tc>
      </w:tr>
    </w:tbl>
    <w:p w14:paraId="1D04FAFE" w14:textId="77777777" w:rsidR="00AF4A0D" w:rsidRDefault="00AF4A0D" w:rsidP="00656E62">
      <w:pPr>
        <w:spacing w:after="160" w:line="259" w:lineRule="auto"/>
        <w:jc w:val="both"/>
        <w:rPr>
          <w:rFonts w:ascii="Arial" w:eastAsia="Arial" w:hAnsi="Arial" w:cs="Arial"/>
          <w:sz w:val="20"/>
        </w:rPr>
      </w:pPr>
    </w:p>
    <w:p w14:paraId="6BC62D04" w14:textId="51B80E2F" w:rsidR="002421DD" w:rsidRPr="00701F32" w:rsidRDefault="00656E62" w:rsidP="00656E62">
      <w:pPr>
        <w:spacing w:after="160" w:line="259" w:lineRule="auto"/>
        <w:jc w:val="both"/>
        <w:rPr>
          <w:rFonts w:ascii="Arial" w:eastAsia="Arial" w:hAnsi="Arial" w:cs="Arial"/>
          <w:sz w:val="20"/>
        </w:rPr>
      </w:pPr>
      <w:r w:rsidRPr="00701F32">
        <w:rPr>
          <w:rFonts w:ascii="Arial" w:eastAsia="Arial" w:hAnsi="Arial" w:cs="Arial"/>
          <w:sz w:val="20"/>
        </w:rPr>
        <w:t xml:space="preserve">Los movimientos de provisiones por contingencias ocurridos durante el </w:t>
      </w:r>
      <w:r w:rsidR="00D35EF9">
        <w:rPr>
          <w:rFonts w:ascii="Arial" w:eastAsia="Arial" w:hAnsi="Arial" w:cs="Arial"/>
          <w:sz w:val="20"/>
        </w:rPr>
        <w:t>ejercicio</w:t>
      </w:r>
      <w:r w:rsidR="00094BCD" w:rsidRPr="00701F32">
        <w:rPr>
          <w:rFonts w:ascii="Arial" w:eastAsia="Arial" w:hAnsi="Arial" w:cs="Arial"/>
          <w:sz w:val="20"/>
        </w:rPr>
        <w:t xml:space="preserve"> </w:t>
      </w:r>
      <w:r w:rsidRPr="00701F32">
        <w:rPr>
          <w:rFonts w:ascii="Arial" w:eastAsia="Arial" w:hAnsi="Arial" w:cs="Arial"/>
          <w:sz w:val="20"/>
        </w:rPr>
        <w:t>se encuentran detallados en el Anexo J correspondiente al cual se remite.</w:t>
      </w:r>
    </w:p>
    <w:p w14:paraId="57760D39" w14:textId="18C618F0" w:rsidR="00656E62" w:rsidRPr="00701F32" w:rsidRDefault="00FE2245">
      <w:pPr>
        <w:keepNext/>
        <w:keepLines/>
        <w:jc w:val="both"/>
        <w:outlineLvl w:val="1"/>
        <w:rPr>
          <w:rFonts w:ascii="Arial" w:hAnsi="Arial" w:cs="Arial"/>
          <w:b/>
          <w:bCs/>
          <w:noProof/>
          <w:sz w:val="20"/>
        </w:rPr>
      </w:pPr>
      <w:r>
        <w:rPr>
          <w:rFonts w:ascii="Arial" w:hAnsi="Arial" w:cs="Arial"/>
          <w:b/>
          <w:bCs/>
          <w:noProof/>
          <w:sz w:val="20"/>
        </w:rPr>
        <w:t>12</w:t>
      </w:r>
      <w:r w:rsidR="00656E62" w:rsidRPr="00701F32">
        <w:rPr>
          <w:rFonts w:ascii="Arial" w:hAnsi="Arial" w:cs="Arial"/>
          <w:b/>
          <w:bCs/>
          <w:noProof/>
          <w:sz w:val="20"/>
        </w:rPr>
        <w:t xml:space="preserve">. TRANSACCIONES Y SALDOS ENTRE PARTES RELACIONADAS </w:t>
      </w:r>
    </w:p>
    <w:p w14:paraId="66E636A5" w14:textId="77777777" w:rsidR="00656E62" w:rsidRPr="00701F32" w:rsidRDefault="00656E62">
      <w:pPr>
        <w:jc w:val="both"/>
        <w:rPr>
          <w:rFonts w:ascii="Arial" w:eastAsia="Calibri" w:hAnsi="Arial" w:cs="Arial"/>
          <w:b/>
          <w:noProof/>
          <w:sz w:val="20"/>
        </w:rPr>
      </w:pPr>
    </w:p>
    <w:p w14:paraId="28CB4A35" w14:textId="77777777" w:rsidR="00656E62" w:rsidRPr="00701F32" w:rsidRDefault="00656E62">
      <w:pPr>
        <w:contextualSpacing/>
        <w:jc w:val="both"/>
        <w:rPr>
          <w:rFonts w:ascii="Arial" w:eastAsia="Arial" w:hAnsi="Arial" w:cs="Arial"/>
          <w:sz w:val="20"/>
        </w:rPr>
      </w:pPr>
      <w:r w:rsidRPr="00701F32">
        <w:rPr>
          <w:rFonts w:ascii="Arial" w:eastAsia="Arial" w:hAnsi="Arial" w:cs="Arial"/>
          <w:sz w:val="20"/>
        </w:rPr>
        <w:t xml:space="preserve">Se consideran partes relacionadas todas aquellas entidades que poseen directa, o indirectamente a través de otras entidades, control sobre otra, se encuentren bajo el mismo control o pueda ejercer influencia significativa sobre las decisiones financieras u operacionales de otra entidad.  </w:t>
      </w:r>
    </w:p>
    <w:p w14:paraId="19EAAD2C" w14:textId="77777777" w:rsidR="00656E62" w:rsidRPr="00701F32" w:rsidRDefault="00656E62">
      <w:pPr>
        <w:contextualSpacing/>
        <w:jc w:val="both"/>
        <w:rPr>
          <w:rFonts w:ascii="Arial" w:eastAsia="Arial" w:hAnsi="Arial" w:cs="Arial"/>
          <w:sz w:val="20"/>
        </w:rPr>
      </w:pPr>
    </w:p>
    <w:p w14:paraId="5B022343" w14:textId="77777777" w:rsidR="00656E62" w:rsidRPr="00701F32" w:rsidRDefault="00656E62">
      <w:pPr>
        <w:contextualSpacing/>
        <w:jc w:val="both"/>
        <w:rPr>
          <w:rFonts w:ascii="Arial" w:eastAsia="Arial" w:hAnsi="Arial" w:cs="Arial"/>
          <w:sz w:val="20"/>
        </w:rPr>
      </w:pPr>
      <w:r w:rsidRPr="00701F32">
        <w:rPr>
          <w:rFonts w:ascii="Arial" w:eastAsia="Arial" w:hAnsi="Arial" w:cs="Arial"/>
          <w:sz w:val="20"/>
        </w:rPr>
        <w:t>La Entidad controla otra entidad cuando tiene el poder sobre las decisiones financieras y operativas de otras entidades y a su vez obtiene beneficios de la misma.</w:t>
      </w:r>
    </w:p>
    <w:p w14:paraId="7C0F969B" w14:textId="77777777" w:rsidR="00656E62" w:rsidRPr="00701F32" w:rsidRDefault="00656E62">
      <w:pPr>
        <w:contextualSpacing/>
        <w:jc w:val="both"/>
        <w:rPr>
          <w:rFonts w:ascii="Arial" w:eastAsia="Arial" w:hAnsi="Arial" w:cs="Arial"/>
          <w:sz w:val="20"/>
        </w:rPr>
      </w:pPr>
    </w:p>
    <w:p w14:paraId="7D11AD45" w14:textId="77777777" w:rsidR="00656E62" w:rsidRPr="00701F32" w:rsidRDefault="00656E62">
      <w:pPr>
        <w:contextualSpacing/>
        <w:jc w:val="both"/>
        <w:rPr>
          <w:rFonts w:ascii="Arial" w:eastAsia="Arial" w:hAnsi="Arial" w:cs="Arial"/>
          <w:sz w:val="20"/>
        </w:rPr>
      </w:pPr>
      <w:r w:rsidRPr="00701F32">
        <w:rPr>
          <w:rFonts w:ascii="Arial" w:eastAsia="Arial" w:hAnsi="Arial" w:cs="Arial"/>
          <w:sz w:val="20"/>
        </w:rPr>
        <w:t xml:space="preserve">Por otro lado, </w:t>
      </w:r>
      <w:r w:rsidR="00C40DFD" w:rsidRPr="00701F32">
        <w:rPr>
          <w:rFonts w:ascii="Arial" w:eastAsia="Arial" w:hAnsi="Arial" w:cs="Arial"/>
          <w:sz w:val="20"/>
        </w:rPr>
        <w:t>l</w:t>
      </w:r>
      <w:r w:rsidRPr="00701F32">
        <w:rPr>
          <w:rFonts w:ascii="Arial" w:eastAsia="Arial" w:hAnsi="Arial" w:cs="Arial"/>
          <w:sz w:val="20"/>
        </w:rPr>
        <w:t>a Entidad considera que tiene control conjunto cuando existe un acuerdo entre partes sobre el control de una actividad económica en común.</w:t>
      </w:r>
    </w:p>
    <w:p w14:paraId="2A311EBD" w14:textId="77777777" w:rsidR="00656E62" w:rsidRPr="00701F32" w:rsidRDefault="00656E62">
      <w:pPr>
        <w:contextualSpacing/>
        <w:jc w:val="both"/>
        <w:rPr>
          <w:rFonts w:ascii="Arial" w:eastAsia="Arial" w:hAnsi="Arial" w:cs="Arial"/>
          <w:sz w:val="20"/>
        </w:rPr>
      </w:pPr>
    </w:p>
    <w:p w14:paraId="3974F713" w14:textId="7067247D" w:rsidR="00656E62" w:rsidRPr="00701F32" w:rsidRDefault="00656E62">
      <w:pPr>
        <w:contextualSpacing/>
        <w:jc w:val="both"/>
        <w:rPr>
          <w:rFonts w:ascii="Arial" w:eastAsia="Arial" w:hAnsi="Arial" w:cs="Arial"/>
          <w:sz w:val="20"/>
        </w:rPr>
      </w:pPr>
      <w:r w:rsidRPr="00701F32">
        <w:rPr>
          <w:rFonts w:ascii="Arial" w:eastAsia="Arial" w:hAnsi="Arial" w:cs="Arial"/>
          <w:sz w:val="20"/>
        </w:rPr>
        <w:t xml:space="preserve">Por último, aquellos casos en los que </w:t>
      </w:r>
      <w:r w:rsidR="00C40DFD" w:rsidRPr="00701F32">
        <w:rPr>
          <w:rFonts w:ascii="Arial" w:eastAsia="Arial" w:hAnsi="Arial" w:cs="Arial"/>
          <w:sz w:val="20"/>
        </w:rPr>
        <w:t xml:space="preserve">la </w:t>
      </w:r>
      <w:r w:rsidRPr="00701F32">
        <w:rPr>
          <w:rFonts w:ascii="Arial" w:eastAsia="Arial" w:hAnsi="Arial" w:cs="Arial"/>
          <w:sz w:val="20"/>
        </w:rPr>
        <w:t xml:space="preserve">Entidad posea influencia significativa </w:t>
      </w:r>
      <w:r w:rsidR="00AE73E8" w:rsidRPr="00701F32">
        <w:rPr>
          <w:rFonts w:ascii="Arial" w:eastAsia="Arial" w:hAnsi="Arial" w:cs="Arial"/>
          <w:sz w:val="20"/>
        </w:rPr>
        <w:t>son</w:t>
      </w:r>
      <w:r w:rsidRPr="00701F32">
        <w:rPr>
          <w:rFonts w:ascii="Arial" w:eastAsia="Arial" w:hAnsi="Arial" w:cs="Arial"/>
          <w:sz w:val="20"/>
        </w:rPr>
        <w:t xml:space="preserve"> debido al poder de influir sobre las decisiones financieras y operativas de otra entidad pero no poder ejercer el control sobre las mismas.</w:t>
      </w:r>
    </w:p>
    <w:p w14:paraId="57377981" w14:textId="77777777" w:rsidR="00656E62" w:rsidRPr="00701F32" w:rsidRDefault="00656E62">
      <w:pPr>
        <w:contextualSpacing/>
        <w:jc w:val="both"/>
        <w:rPr>
          <w:rFonts w:ascii="Arial" w:eastAsia="Arial" w:hAnsi="Arial" w:cs="Arial"/>
          <w:sz w:val="20"/>
        </w:rPr>
      </w:pPr>
    </w:p>
    <w:p w14:paraId="063D2F65" w14:textId="77777777" w:rsidR="00656E62" w:rsidRPr="00701F32" w:rsidRDefault="00656E62">
      <w:pPr>
        <w:contextualSpacing/>
        <w:jc w:val="both"/>
        <w:rPr>
          <w:rFonts w:ascii="Arial" w:eastAsia="Arial" w:hAnsi="Arial" w:cs="Arial"/>
          <w:sz w:val="20"/>
        </w:rPr>
      </w:pPr>
      <w:r w:rsidRPr="00701F32">
        <w:rPr>
          <w:rFonts w:ascii="Arial" w:eastAsia="Arial" w:hAnsi="Arial" w:cs="Arial"/>
          <w:sz w:val="20"/>
        </w:rPr>
        <w:t>Para la determinación de dichas situaciones, no solamente se observan los aspectos legales sino además la naturaleza y sustanciación de la relación.</w:t>
      </w:r>
    </w:p>
    <w:p w14:paraId="744FEDE2" w14:textId="588FD276" w:rsidR="00656E62" w:rsidRDefault="00656E62">
      <w:pPr>
        <w:contextualSpacing/>
        <w:jc w:val="both"/>
        <w:rPr>
          <w:rFonts w:ascii="Arial" w:eastAsia="Arial" w:hAnsi="Arial" w:cs="Arial"/>
          <w:sz w:val="20"/>
        </w:rPr>
      </w:pPr>
    </w:p>
    <w:p w14:paraId="2089CDFD" w14:textId="61B02392" w:rsidR="00C1383B" w:rsidRPr="00701F32" w:rsidRDefault="00C1383B">
      <w:pPr>
        <w:contextualSpacing/>
        <w:jc w:val="both"/>
        <w:rPr>
          <w:rFonts w:ascii="Arial" w:eastAsia="Arial" w:hAnsi="Arial" w:cs="Arial"/>
          <w:sz w:val="20"/>
        </w:rPr>
      </w:pPr>
      <w:r w:rsidRPr="00107CA1">
        <w:rPr>
          <w:rFonts w:ascii="Arial" w:eastAsia="Arial" w:hAnsi="Arial" w:cs="Arial"/>
          <w:sz w:val="20"/>
        </w:rPr>
        <w:t xml:space="preserve">Adicionalmente, se consideran partes relacionadas, el personal clave de la Dirección del </w:t>
      </w:r>
      <w:r>
        <w:rPr>
          <w:rFonts w:ascii="Arial" w:eastAsia="Arial" w:hAnsi="Arial" w:cs="Arial"/>
          <w:sz w:val="20"/>
        </w:rPr>
        <w:t>Banco</w:t>
      </w:r>
      <w:r w:rsidRPr="00107CA1">
        <w:rPr>
          <w:rFonts w:ascii="Arial" w:eastAsia="Arial" w:hAnsi="Arial" w:cs="Arial"/>
          <w:sz w:val="20"/>
        </w:rPr>
        <w:t xml:space="preserve"> (miembros del Directorio y gerentes del </w:t>
      </w:r>
      <w:r>
        <w:rPr>
          <w:rFonts w:ascii="Arial" w:eastAsia="Arial" w:hAnsi="Arial" w:cs="Arial"/>
          <w:sz w:val="20"/>
        </w:rPr>
        <w:t>Banco</w:t>
      </w:r>
      <w:r w:rsidRPr="00107CA1">
        <w:rPr>
          <w:rFonts w:ascii="Arial" w:eastAsia="Arial" w:hAnsi="Arial" w:cs="Arial"/>
          <w:sz w:val="20"/>
        </w:rPr>
        <w:t xml:space="preserve"> y sus subsidiarias), asi como las entidades sobre las que el personal clave puede ejercer influencia signitificativa o control.</w:t>
      </w:r>
    </w:p>
    <w:p w14:paraId="7CE3045C" w14:textId="77777777" w:rsidR="00C1383B" w:rsidRDefault="00C1383B">
      <w:pPr>
        <w:contextualSpacing/>
        <w:jc w:val="both"/>
        <w:rPr>
          <w:rFonts w:ascii="Arial" w:eastAsia="Arial" w:hAnsi="Arial" w:cs="Arial"/>
          <w:sz w:val="20"/>
          <w:u w:val="single"/>
        </w:rPr>
      </w:pPr>
    </w:p>
    <w:p w14:paraId="39660025" w14:textId="3D518EE0" w:rsidR="00656E62" w:rsidRPr="00701F32" w:rsidRDefault="00656E62">
      <w:pPr>
        <w:contextualSpacing/>
        <w:jc w:val="both"/>
        <w:rPr>
          <w:rFonts w:ascii="Arial" w:eastAsia="Arial" w:hAnsi="Arial" w:cs="Arial"/>
          <w:sz w:val="20"/>
          <w:u w:val="single"/>
        </w:rPr>
      </w:pPr>
      <w:r w:rsidRPr="00701F32">
        <w:rPr>
          <w:rFonts w:ascii="Arial" w:eastAsia="Arial" w:hAnsi="Arial" w:cs="Arial"/>
          <w:sz w:val="20"/>
          <w:u w:val="single"/>
        </w:rPr>
        <w:t>Entidades controladoras</w:t>
      </w:r>
    </w:p>
    <w:p w14:paraId="19206DD3" w14:textId="77777777" w:rsidR="00656E62" w:rsidRPr="00701F32" w:rsidRDefault="00656E62">
      <w:pPr>
        <w:contextualSpacing/>
        <w:jc w:val="both"/>
        <w:rPr>
          <w:rFonts w:ascii="Arial" w:eastAsia="Arial" w:hAnsi="Arial" w:cs="Arial"/>
          <w:sz w:val="20"/>
        </w:rPr>
      </w:pPr>
    </w:p>
    <w:p w14:paraId="0C21FE17" w14:textId="77777777" w:rsidR="00656E62" w:rsidRPr="00701F32" w:rsidRDefault="00656E62">
      <w:pPr>
        <w:contextualSpacing/>
        <w:jc w:val="both"/>
        <w:rPr>
          <w:rFonts w:ascii="Arial" w:eastAsia="Arial" w:hAnsi="Arial" w:cs="Arial"/>
          <w:sz w:val="20"/>
        </w:rPr>
      </w:pPr>
      <w:r w:rsidRPr="00701F32">
        <w:rPr>
          <w:rFonts w:ascii="Arial" w:eastAsia="Arial" w:hAnsi="Arial" w:cs="Arial"/>
          <w:sz w:val="20"/>
        </w:rPr>
        <w:t xml:space="preserve">El </w:t>
      </w:r>
      <w:r w:rsidR="00D12E45" w:rsidRPr="00701F32">
        <w:rPr>
          <w:rFonts w:ascii="Arial" w:eastAsia="Arial" w:hAnsi="Arial" w:cs="Arial"/>
          <w:sz w:val="20"/>
        </w:rPr>
        <w:t xml:space="preserve">Banco </w:t>
      </w:r>
      <w:r w:rsidRPr="00701F32">
        <w:rPr>
          <w:rFonts w:ascii="Arial" w:eastAsia="Arial" w:hAnsi="Arial" w:cs="Arial"/>
          <w:sz w:val="20"/>
        </w:rPr>
        <w:t xml:space="preserve">es </w:t>
      </w:r>
      <w:r w:rsidR="00D12E45" w:rsidRPr="00701F32">
        <w:rPr>
          <w:rFonts w:ascii="Arial" w:eastAsia="Arial" w:hAnsi="Arial" w:cs="Arial"/>
          <w:sz w:val="20"/>
        </w:rPr>
        <w:t xml:space="preserve">controlado </w:t>
      </w:r>
      <w:r w:rsidRPr="00701F32">
        <w:rPr>
          <w:rFonts w:ascii="Arial" w:eastAsia="Arial" w:hAnsi="Arial" w:cs="Arial"/>
          <w:sz w:val="20"/>
        </w:rPr>
        <w:t>por la siguiente entidad:</w:t>
      </w:r>
    </w:p>
    <w:p w14:paraId="0F1D61F2" w14:textId="77777777" w:rsidR="00656E62" w:rsidRPr="00701F32" w:rsidRDefault="00656E62">
      <w:pPr>
        <w:contextualSpacing/>
        <w:jc w:val="both"/>
        <w:rPr>
          <w:rFonts w:ascii="Calibri Light" w:eastAsia="Calibri" w:hAnsi="Calibri Light" w:cs="Calibri"/>
          <w:noProof/>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453"/>
        <w:gridCol w:w="1453"/>
        <w:gridCol w:w="1453"/>
        <w:gridCol w:w="1453"/>
        <w:gridCol w:w="1455"/>
      </w:tblGrid>
      <w:tr w:rsidR="00656E62" w:rsidRPr="00701F32" w14:paraId="5B91DBDC" w14:textId="77777777" w:rsidTr="00464C0F">
        <w:tc>
          <w:tcPr>
            <w:tcW w:w="833" w:type="pct"/>
            <w:vMerge w:val="restart"/>
            <w:vAlign w:val="center"/>
          </w:tcPr>
          <w:p w14:paraId="75432D1E" w14:textId="77777777" w:rsidR="00656E62" w:rsidRPr="00701F32" w:rsidRDefault="00656E62">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Nombre</w:t>
            </w:r>
          </w:p>
        </w:tc>
        <w:tc>
          <w:tcPr>
            <w:tcW w:w="833" w:type="pct"/>
            <w:vMerge w:val="restart"/>
            <w:vAlign w:val="center"/>
          </w:tcPr>
          <w:p w14:paraId="2D26DE8C" w14:textId="77777777" w:rsidR="00656E62" w:rsidRPr="00701F32" w:rsidRDefault="00656E62">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 xml:space="preserve">Naturaleza </w:t>
            </w:r>
          </w:p>
        </w:tc>
        <w:tc>
          <w:tcPr>
            <w:tcW w:w="833" w:type="pct"/>
            <w:vMerge w:val="restart"/>
            <w:vAlign w:val="center"/>
          </w:tcPr>
          <w:p w14:paraId="47346412" w14:textId="77777777" w:rsidR="00656E62" w:rsidRPr="00701F32" w:rsidRDefault="00656E62">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Actividad principal</w:t>
            </w:r>
          </w:p>
        </w:tc>
        <w:tc>
          <w:tcPr>
            <w:tcW w:w="833" w:type="pct"/>
            <w:vMerge w:val="restart"/>
            <w:vAlign w:val="center"/>
          </w:tcPr>
          <w:p w14:paraId="3FEFDDC2" w14:textId="77777777" w:rsidR="00656E62" w:rsidRPr="00701F32" w:rsidRDefault="00656E62">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Lugar de radicación</w:t>
            </w:r>
          </w:p>
        </w:tc>
        <w:tc>
          <w:tcPr>
            <w:tcW w:w="1667" w:type="pct"/>
            <w:gridSpan w:val="2"/>
            <w:vAlign w:val="center"/>
          </w:tcPr>
          <w:p w14:paraId="701B1F6F" w14:textId="77777777" w:rsidR="00656E62" w:rsidRPr="00701F32" w:rsidRDefault="00656E62">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Porcentaje de participación</w:t>
            </w:r>
          </w:p>
        </w:tc>
      </w:tr>
      <w:tr w:rsidR="00656E62" w:rsidRPr="00701F32" w14:paraId="688007B5" w14:textId="77777777" w:rsidTr="00464C0F">
        <w:tc>
          <w:tcPr>
            <w:tcW w:w="833" w:type="pct"/>
            <w:vMerge/>
            <w:vAlign w:val="center"/>
          </w:tcPr>
          <w:p w14:paraId="05AC6E8D" w14:textId="77777777" w:rsidR="00656E62" w:rsidRPr="00701F32" w:rsidRDefault="00656E62">
            <w:pPr>
              <w:spacing w:after="160" w:line="259" w:lineRule="auto"/>
              <w:contextualSpacing/>
              <w:jc w:val="center"/>
              <w:rPr>
                <w:rFonts w:ascii="Arial" w:eastAsia="Calibri" w:hAnsi="Arial" w:cs="Arial"/>
                <w:b/>
                <w:noProof/>
                <w:sz w:val="18"/>
              </w:rPr>
            </w:pPr>
          </w:p>
        </w:tc>
        <w:tc>
          <w:tcPr>
            <w:tcW w:w="833" w:type="pct"/>
            <w:vMerge/>
            <w:vAlign w:val="center"/>
          </w:tcPr>
          <w:p w14:paraId="4319D2B7" w14:textId="77777777" w:rsidR="00656E62" w:rsidRPr="00701F32" w:rsidRDefault="00656E62">
            <w:pPr>
              <w:spacing w:after="160" w:line="259" w:lineRule="auto"/>
              <w:contextualSpacing/>
              <w:jc w:val="center"/>
              <w:rPr>
                <w:rFonts w:ascii="Arial" w:eastAsia="Calibri" w:hAnsi="Arial" w:cs="Arial"/>
                <w:b/>
                <w:noProof/>
                <w:sz w:val="18"/>
              </w:rPr>
            </w:pPr>
          </w:p>
        </w:tc>
        <w:tc>
          <w:tcPr>
            <w:tcW w:w="833" w:type="pct"/>
            <w:vMerge/>
            <w:vAlign w:val="center"/>
          </w:tcPr>
          <w:p w14:paraId="50B598DC" w14:textId="77777777" w:rsidR="00656E62" w:rsidRPr="00701F32" w:rsidRDefault="00656E62">
            <w:pPr>
              <w:spacing w:after="160" w:line="259" w:lineRule="auto"/>
              <w:contextualSpacing/>
              <w:jc w:val="center"/>
              <w:rPr>
                <w:rFonts w:ascii="Arial" w:eastAsia="Calibri" w:hAnsi="Arial" w:cs="Arial"/>
                <w:b/>
                <w:noProof/>
                <w:sz w:val="18"/>
              </w:rPr>
            </w:pPr>
          </w:p>
        </w:tc>
        <w:tc>
          <w:tcPr>
            <w:tcW w:w="833" w:type="pct"/>
            <w:vMerge/>
            <w:vAlign w:val="center"/>
          </w:tcPr>
          <w:p w14:paraId="61B61CB7" w14:textId="77777777" w:rsidR="00656E62" w:rsidRPr="00701F32" w:rsidRDefault="00656E62">
            <w:pPr>
              <w:spacing w:after="160" w:line="259" w:lineRule="auto"/>
              <w:contextualSpacing/>
              <w:jc w:val="center"/>
              <w:rPr>
                <w:rFonts w:ascii="Arial" w:eastAsia="Calibri" w:hAnsi="Arial" w:cs="Arial"/>
                <w:b/>
                <w:noProof/>
                <w:sz w:val="18"/>
              </w:rPr>
            </w:pPr>
          </w:p>
        </w:tc>
        <w:tc>
          <w:tcPr>
            <w:tcW w:w="833" w:type="pct"/>
            <w:vAlign w:val="center"/>
          </w:tcPr>
          <w:p w14:paraId="22788ECB" w14:textId="5CB9E40C" w:rsidR="00656E62" w:rsidRPr="00701F32" w:rsidRDefault="00656E62" w:rsidP="00034C0E">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201</w:t>
            </w:r>
            <w:r w:rsidR="009A58C2">
              <w:rPr>
                <w:rFonts w:ascii="Arial" w:eastAsia="Calibri" w:hAnsi="Arial" w:cs="Arial"/>
                <w:b/>
                <w:noProof/>
                <w:sz w:val="18"/>
              </w:rPr>
              <w:t>9</w:t>
            </w:r>
          </w:p>
        </w:tc>
        <w:tc>
          <w:tcPr>
            <w:tcW w:w="834" w:type="pct"/>
            <w:vAlign w:val="center"/>
          </w:tcPr>
          <w:p w14:paraId="060AD452" w14:textId="626E7806" w:rsidR="00656E62" w:rsidRPr="00701F32" w:rsidRDefault="00656E62">
            <w:pPr>
              <w:spacing w:after="160" w:line="259" w:lineRule="auto"/>
              <w:contextualSpacing/>
              <w:jc w:val="center"/>
              <w:rPr>
                <w:rFonts w:ascii="Arial" w:eastAsia="Calibri" w:hAnsi="Arial" w:cs="Arial"/>
                <w:b/>
                <w:noProof/>
                <w:sz w:val="18"/>
              </w:rPr>
            </w:pPr>
            <w:r w:rsidRPr="00701F32">
              <w:rPr>
                <w:rFonts w:ascii="Arial" w:eastAsia="Calibri" w:hAnsi="Arial" w:cs="Arial"/>
                <w:b/>
                <w:noProof/>
                <w:sz w:val="18"/>
              </w:rPr>
              <w:t>201</w:t>
            </w:r>
            <w:r w:rsidR="009A58C2">
              <w:rPr>
                <w:rFonts w:ascii="Arial" w:eastAsia="Calibri" w:hAnsi="Arial" w:cs="Arial"/>
                <w:b/>
                <w:noProof/>
                <w:sz w:val="18"/>
              </w:rPr>
              <w:t>8</w:t>
            </w:r>
          </w:p>
        </w:tc>
      </w:tr>
      <w:tr w:rsidR="00656E62" w:rsidRPr="00701F32" w14:paraId="2A185B5F" w14:textId="77777777" w:rsidTr="00712ADC">
        <w:trPr>
          <w:trHeight w:val="221"/>
        </w:trPr>
        <w:tc>
          <w:tcPr>
            <w:tcW w:w="833" w:type="pct"/>
            <w:vAlign w:val="center"/>
          </w:tcPr>
          <w:p w14:paraId="12B49442" w14:textId="77777777" w:rsidR="00656E62" w:rsidRPr="00701F32" w:rsidRDefault="00656E62">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Grupo Supervielle S.A.</w:t>
            </w:r>
          </w:p>
        </w:tc>
        <w:tc>
          <w:tcPr>
            <w:tcW w:w="833" w:type="pct"/>
            <w:vAlign w:val="center"/>
          </w:tcPr>
          <w:p w14:paraId="34A851DD" w14:textId="3E8D0AA5" w:rsidR="00656E62" w:rsidRPr="00701F32" w:rsidRDefault="00656E62" w:rsidP="00034C0E">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9</w:t>
            </w:r>
            <w:r w:rsidR="007C74F0">
              <w:rPr>
                <w:rFonts w:ascii="Arial" w:eastAsia="Calibri" w:hAnsi="Arial" w:cs="Arial"/>
                <w:noProof/>
                <w:sz w:val="18"/>
              </w:rPr>
              <w:t>7</w:t>
            </w:r>
            <w:r w:rsidRPr="00701F32">
              <w:rPr>
                <w:rFonts w:ascii="Arial" w:eastAsia="Calibri" w:hAnsi="Arial" w:cs="Arial"/>
                <w:noProof/>
                <w:sz w:val="18"/>
              </w:rPr>
              <w:t>,</w:t>
            </w:r>
            <w:r w:rsidR="007C74F0">
              <w:rPr>
                <w:rFonts w:ascii="Arial" w:eastAsia="Calibri" w:hAnsi="Arial" w:cs="Arial"/>
                <w:noProof/>
                <w:sz w:val="18"/>
              </w:rPr>
              <w:t>07</w:t>
            </w:r>
            <w:r w:rsidRPr="00701F32">
              <w:rPr>
                <w:rFonts w:ascii="Arial" w:eastAsia="Calibri" w:hAnsi="Arial" w:cs="Arial"/>
                <w:noProof/>
                <w:sz w:val="18"/>
              </w:rPr>
              <w:t>% de derecho a votos</w:t>
            </w:r>
          </w:p>
        </w:tc>
        <w:tc>
          <w:tcPr>
            <w:tcW w:w="833" w:type="pct"/>
            <w:vAlign w:val="center"/>
          </w:tcPr>
          <w:p w14:paraId="3859535E" w14:textId="77777777" w:rsidR="00656E62" w:rsidRPr="00701F32" w:rsidRDefault="00656E62">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Financiera y de Inversion</w:t>
            </w:r>
          </w:p>
        </w:tc>
        <w:tc>
          <w:tcPr>
            <w:tcW w:w="833" w:type="pct"/>
            <w:vAlign w:val="center"/>
          </w:tcPr>
          <w:p w14:paraId="55E00CF2" w14:textId="77777777" w:rsidR="00656E62" w:rsidRPr="00701F32" w:rsidRDefault="00656E62">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Bme Mitre 434 5to Piso. CABA</w:t>
            </w:r>
          </w:p>
        </w:tc>
        <w:tc>
          <w:tcPr>
            <w:tcW w:w="833" w:type="pct"/>
            <w:vAlign w:val="center"/>
          </w:tcPr>
          <w:p w14:paraId="0F5D8AEA" w14:textId="3F79F28E" w:rsidR="00656E62" w:rsidRPr="00701F32" w:rsidRDefault="00656E62" w:rsidP="00034C0E">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9</w:t>
            </w:r>
            <w:r w:rsidR="009A58C2">
              <w:rPr>
                <w:rFonts w:ascii="Arial" w:eastAsia="Calibri" w:hAnsi="Arial" w:cs="Arial"/>
                <w:noProof/>
                <w:sz w:val="18"/>
              </w:rPr>
              <w:t>7</w:t>
            </w:r>
            <w:r w:rsidRPr="00701F32">
              <w:rPr>
                <w:rFonts w:ascii="Arial" w:eastAsia="Calibri" w:hAnsi="Arial" w:cs="Arial"/>
                <w:noProof/>
                <w:sz w:val="18"/>
              </w:rPr>
              <w:t>,</w:t>
            </w:r>
            <w:r w:rsidR="0037305B">
              <w:rPr>
                <w:rFonts w:ascii="Arial" w:eastAsia="Calibri" w:hAnsi="Arial" w:cs="Arial"/>
                <w:noProof/>
                <w:sz w:val="18"/>
              </w:rPr>
              <w:t>1</w:t>
            </w:r>
            <w:r w:rsidR="009A58C2">
              <w:rPr>
                <w:rFonts w:ascii="Arial" w:eastAsia="Calibri" w:hAnsi="Arial" w:cs="Arial"/>
                <w:noProof/>
                <w:sz w:val="18"/>
              </w:rPr>
              <w:t>0</w:t>
            </w:r>
            <w:r w:rsidRPr="00701F32">
              <w:rPr>
                <w:rFonts w:ascii="Arial" w:eastAsia="Calibri" w:hAnsi="Arial" w:cs="Arial"/>
                <w:noProof/>
                <w:sz w:val="18"/>
              </w:rPr>
              <w:t>%</w:t>
            </w:r>
          </w:p>
        </w:tc>
        <w:tc>
          <w:tcPr>
            <w:tcW w:w="834" w:type="pct"/>
            <w:vAlign w:val="center"/>
          </w:tcPr>
          <w:p w14:paraId="12A6F52C" w14:textId="575831A2" w:rsidR="00656E62" w:rsidRPr="00701F32" w:rsidRDefault="00656E62">
            <w:pPr>
              <w:spacing w:after="160" w:line="259" w:lineRule="auto"/>
              <w:contextualSpacing/>
              <w:jc w:val="center"/>
              <w:rPr>
                <w:rFonts w:ascii="Arial" w:eastAsia="Calibri" w:hAnsi="Arial" w:cs="Arial"/>
                <w:noProof/>
                <w:sz w:val="18"/>
              </w:rPr>
            </w:pPr>
            <w:r w:rsidRPr="00701F32">
              <w:rPr>
                <w:rFonts w:ascii="Arial" w:eastAsia="Calibri" w:hAnsi="Arial" w:cs="Arial"/>
                <w:noProof/>
                <w:sz w:val="18"/>
              </w:rPr>
              <w:t>96,</w:t>
            </w:r>
            <w:r w:rsidR="009A58C2">
              <w:rPr>
                <w:rFonts w:ascii="Arial" w:eastAsia="Calibri" w:hAnsi="Arial" w:cs="Arial"/>
                <w:noProof/>
                <w:sz w:val="18"/>
              </w:rPr>
              <w:t>89</w:t>
            </w:r>
            <w:r w:rsidRPr="00701F32">
              <w:rPr>
                <w:rFonts w:ascii="Arial" w:eastAsia="Calibri" w:hAnsi="Arial" w:cs="Arial"/>
                <w:noProof/>
                <w:sz w:val="18"/>
              </w:rPr>
              <w:t>%</w:t>
            </w:r>
          </w:p>
        </w:tc>
      </w:tr>
    </w:tbl>
    <w:p w14:paraId="662203C3" w14:textId="6183155D" w:rsidR="00656E62" w:rsidRDefault="00656E62">
      <w:pPr>
        <w:contextualSpacing/>
        <w:jc w:val="both"/>
        <w:rPr>
          <w:rFonts w:ascii="Arial" w:eastAsia="Arial" w:hAnsi="Arial" w:cs="Arial"/>
          <w:sz w:val="20"/>
          <w:u w:val="single"/>
        </w:rPr>
      </w:pPr>
    </w:p>
    <w:p w14:paraId="41F74241" w14:textId="77777777" w:rsidR="00656E62" w:rsidRPr="00701F32" w:rsidRDefault="00367CA1">
      <w:pPr>
        <w:contextualSpacing/>
        <w:jc w:val="both"/>
        <w:rPr>
          <w:rFonts w:ascii="Arial" w:eastAsia="Arial" w:hAnsi="Arial" w:cs="Arial"/>
          <w:sz w:val="20"/>
          <w:u w:val="single"/>
        </w:rPr>
      </w:pPr>
      <w:r w:rsidRPr="00701F32">
        <w:rPr>
          <w:rFonts w:ascii="Arial" w:eastAsia="Arial" w:hAnsi="Arial" w:cs="Arial"/>
          <w:sz w:val="20"/>
          <w:u w:val="single"/>
        </w:rPr>
        <w:t>Entidades controladas y s</w:t>
      </w:r>
      <w:r w:rsidR="00656E62" w:rsidRPr="00701F32">
        <w:rPr>
          <w:rFonts w:ascii="Arial" w:eastAsia="Arial" w:hAnsi="Arial" w:cs="Arial"/>
          <w:sz w:val="20"/>
          <w:u w:val="single"/>
        </w:rPr>
        <w:t xml:space="preserve">ubsidiarias </w:t>
      </w:r>
    </w:p>
    <w:p w14:paraId="45B59F77" w14:textId="77777777" w:rsidR="00656E62" w:rsidRPr="00701F32" w:rsidRDefault="00656E62">
      <w:pPr>
        <w:contextualSpacing/>
        <w:jc w:val="both"/>
        <w:rPr>
          <w:rFonts w:ascii="Arial" w:eastAsia="Arial" w:hAnsi="Arial" w:cs="Arial"/>
          <w:sz w:val="20"/>
        </w:rPr>
      </w:pPr>
    </w:p>
    <w:p w14:paraId="63B368A0" w14:textId="3314C312" w:rsidR="00656E62" w:rsidRPr="00701F32" w:rsidRDefault="00656E62">
      <w:pPr>
        <w:contextualSpacing/>
        <w:jc w:val="both"/>
        <w:rPr>
          <w:rFonts w:ascii="Arial" w:eastAsia="Arial" w:hAnsi="Arial" w:cs="Arial"/>
          <w:sz w:val="20"/>
        </w:rPr>
      </w:pPr>
      <w:r w:rsidRPr="00701F32">
        <w:rPr>
          <w:rFonts w:ascii="Arial" w:eastAsia="Arial" w:hAnsi="Arial" w:cs="Arial"/>
          <w:sz w:val="20"/>
        </w:rPr>
        <w:t xml:space="preserve">Las partes relacionadas al </w:t>
      </w:r>
      <w:r w:rsidR="00FE2245">
        <w:rPr>
          <w:rFonts w:ascii="Arial" w:eastAsia="Arial" w:hAnsi="Arial" w:cs="Arial"/>
          <w:sz w:val="20"/>
        </w:rPr>
        <w:t>31 de diciembre de 2019 y 2018</w:t>
      </w:r>
      <w:r w:rsidR="00D17399" w:rsidRPr="00701F32">
        <w:rPr>
          <w:rFonts w:ascii="Arial" w:eastAsia="Arial" w:hAnsi="Arial" w:cs="Arial"/>
          <w:sz w:val="20"/>
        </w:rPr>
        <w:t xml:space="preserve"> </w:t>
      </w:r>
      <w:r w:rsidRPr="00701F32">
        <w:rPr>
          <w:rFonts w:ascii="Arial" w:eastAsia="Arial" w:hAnsi="Arial" w:cs="Arial"/>
          <w:sz w:val="20"/>
        </w:rPr>
        <w:t>y el detalle de la naturaleza de su relación es la siguiente:</w:t>
      </w:r>
    </w:p>
    <w:p w14:paraId="74C1BE81" w14:textId="77777777" w:rsidR="00656E62" w:rsidRPr="00701F32" w:rsidRDefault="00656E62">
      <w:pPr>
        <w:contextualSpacing/>
        <w:jc w:val="both"/>
        <w:rPr>
          <w:rFonts w:ascii="Calibri Light" w:eastAsia="Calibri" w:hAnsi="Calibri Light" w:cs="Calibri"/>
          <w:noProof/>
          <w:sz w:val="20"/>
        </w:rPr>
      </w:pP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1744"/>
        <w:gridCol w:w="1744"/>
        <w:gridCol w:w="1743"/>
        <w:gridCol w:w="1745"/>
      </w:tblGrid>
      <w:tr w:rsidR="00656E62" w:rsidRPr="00701F32" w14:paraId="3F7788D2" w14:textId="77777777" w:rsidTr="00464C0F">
        <w:tc>
          <w:tcPr>
            <w:tcW w:w="950" w:type="pct"/>
            <w:vMerge w:val="restart"/>
            <w:vAlign w:val="center"/>
          </w:tcPr>
          <w:p w14:paraId="47B648C8" w14:textId="77777777" w:rsidR="00656E62" w:rsidRPr="00701F32" w:rsidRDefault="00656E62">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Nombre</w:t>
            </w:r>
          </w:p>
        </w:tc>
        <w:tc>
          <w:tcPr>
            <w:tcW w:w="1012" w:type="pct"/>
            <w:vMerge w:val="restart"/>
            <w:vAlign w:val="center"/>
          </w:tcPr>
          <w:p w14:paraId="37130C7B" w14:textId="77777777" w:rsidR="00656E62" w:rsidRPr="00701F32" w:rsidRDefault="00656E62">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Naturaleza</w:t>
            </w:r>
          </w:p>
        </w:tc>
        <w:tc>
          <w:tcPr>
            <w:tcW w:w="1012" w:type="pct"/>
            <w:vMerge w:val="restart"/>
            <w:vAlign w:val="center"/>
          </w:tcPr>
          <w:p w14:paraId="70D28CC5" w14:textId="77777777" w:rsidR="00656E62" w:rsidRPr="00701F32" w:rsidRDefault="00656E62">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Lugar de radicación</w:t>
            </w:r>
          </w:p>
        </w:tc>
        <w:tc>
          <w:tcPr>
            <w:tcW w:w="2025" w:type="pct"/>
            <w:gridSpan w:val="2"/>
            <w:vAlign w:val="center"/>
          </w:tcPr>
          <w:p w14:paraId="586F4359" w14:textId="77777777" w:rsidR="00656E62" w:rsidRPr="00701F32" w:rsidRDefault="00656E62">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Porcentaje de participación</w:t>
            </w:r>
          </w:p>
        </w:tc>
      </w:tr>
      <w:tr w:rsidR="00656E62" w:rsidRPr="00701F32" w14:paraId="59F77EF0" w14:textId="77777777" w:rsidTr="00367CA1">
        <w:tc>
          <w:tcPr>
            <w:tcW w:w="950" w:type="pct"/>
            <w:vMerge/>
            <w:vAlign w:val="center"/>
          </w:tcPr>
          <w:p w14:paraId="67C8B1CF" w14:textId="77777777" w:rsidR="00656E62" w:rsidRPr="00701F32" w:rsidRDefault="00656E62">
            <w:pPr>
              <w:spacing w:after="160" w:line="259" w:lineRule="auto"/>
              <w:contextualSpacing/>
              <w:jc w:val="center"/>
              <w:rPr>
                <w:rFonts w:ascii="Arial" w:eastAsia="Calibri" w:hAnsi="Arial" w:cs="Arial"/>
                <w:b/>
                <w:noProof/>
                <w:sz w:val="18"/>
                <w:szCs w:val="18"/>
              </w:rPr>
            </w:pPr>
          </w:p>
        </w:tc>
        <w:tc>
          <w:tcPr>
            <w:tcW w:w="1012" w:type="pct"/>
            <w:vMerge/>
            <w:vAlign w:val="center"/>
          </w:tcPr>
          <w:p w14:paraId="195A4405" w14:textId="77777777" w:rsidR="00656E62" w:rsidRPr="00701F32" w:rsidRDefault="00656E62">
            <w:pPr>
              <w:spacing w:after="160" w:line="259" w:lineRule="auto"/>
              <w:contextualSpacing/>
              <w:jc w:val="center"/>
              <w:rPr>
                <w:rFonts w:ascii="Arial" w:eastAsia="Calibri" w:hAnsi="Arial" w:cs="Arial"/>
                <w:b/>
                <w:noProof/>
                <w:sz w:val="18"/>
                <w:szCs w:val="18"/>
              </w:rPr>
            </w:pPr>
          </w:p>
        </w:tc>
        <w:tc>
          <w:tcPr>
            <w:tcW w:w="1012" w:type="pct"/>
            <w:vMerge/>
            <w:vAlign w:val="center"/>
          </w:tcPr>
          <w:p w14:paraId="36F023EC" w14:textId="77777777" w:rsidR="00656E62" w:rsidRPr="00701F32" w:rsidRDefault="00656E62">
            <w:pPr>
              <w:spacing w:after="160" w:line="259" w:lineRule="auto"/>
              <w:contextualSpacing/>
              <w:jc w:val="center"/>
              <w:rPr>
                <w:rFonts w:ascii="Arial" w:eastAsia="Calibri" w:hAnsi="Arial" w:cs="Arial"/>
                <w:b/>
                <w:noProof/>
                <w:sz w:val="18"/>
                <w:szCs w:val="18"/>
              </w:rPr>
            </w:pPr>
          </w:p>
        </w:tc>
        <w:tc>
          <w:tcPr>
            <w:tcW w:w="1012" w:type="pct"/>
            <w:vAlign w:val="center"/>
          </w:tcPr>
          <w:p w14:paraId="359EDFBD" w14:textId="72D59E5C" w:rsidR="00656E62" w:rsidRPr="00701F32" w:rsidRDefault="00656E62" w:rsidP="00034C0E">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201</w:t>
            </w:r>
            <w:r w:rsidR="009A58C2">
              <w:rPr>
                <w:rFonts w:ascii="Arial" w:eastAsia="Calibri" w:hAnsi="Arial" w:cs="Arial"/>
                <w:b/>
                <w:noProof/>
                <w:sz w:val="18"/>
                <w:szCs w:val="18"/>
              </w:rPr>
              <w:t>9</w:t>
            </w:r>
          </w:p>
        </w:tc>
        <w:tc>
          <w:tcPr>
            <w:tcW w:w="1013" w:type="pct"/>
            <w:vAlign w:val="center"/>
          </w:tcPr>
          <w:p w14:paraId="2AFA28AF" w14:textId="08291DCC" w:rsidR="00656E62" w:rsidRPr="00701F32" w:rsidRDefault="00656E62">
            <w:pPr>
              <w:spacing w:after="160" w:line="259" w:lineRule="auto"/>
              <w:contextualSpacing/>
              <w:jc w:val="center"/>
              <w:rPr>
                <w:rFonts w:ascii="Arial" w:eastAsia="Calibri" w:hAnsi="Arial" w:cs="Arial"/>
                <w:b/>
                <w:noProof/>
                <w:sz w:val="18"/>
                <w:szCs w:val="18"/>
              </w:rPr>
            </w:pPr>
            <w:r w:rsidRPr="00701F32">
              <w:rPr>
                <w:rFonts w:ascii="Arial" w:eastAsia="Calibri" w:hAnsi="Arial" w:cs="Arial"/>
                <w:b/>
                <w:noProof/>
                <w:sz w:val="18"/>
                <w:szCs w:val="18"/>
              </w:rPr>
              <w:t>201</w:t>
            </w:r>
            <w:r w:rsidR="009A58C2">
              <w:rPr>
                <w:rFonts w:ascii="Arial" w:eastAsia="Calibri" w:hAnsi="Arial" w:cs="Arial"/>
                <w:b/>
                <w:noProof/>
                <w:sz w:val="18"/>
                <w:szCs w:val="18"/>
              </w:rPr>
              <w:t>8</w:t>
            </w:r>
          </w:p>
        </w:tc>
      </w:tr>
      <w:tr w:rsidR="00656E62" w:rsidRPr="00701F32" w14:paraId="268C1B0E" w14:textId="77777777" w:rsidTr="00367CA1">
        <w:trPr>
          <w:trHeight w:val="221"/>
        </w:trPr>
        <w:tc>
          <w:tcPr>
            <w:tcW w:w="950" w:type="pct"/>
            <w:vAlign w:val="center"/>
          </w:tcPr>
          <w:p w14:paraId="06CDB454" w14:textId="77777777" w:rsidR="00656E62" w:rsidRPr="00701F32" w:rsidRDefault="00656E62" w:rsidP="00712ADC">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Cordial Compañía Financiera S.A.</w:t>
            </w:r>
          </w:p>
        </w:tc>
        <w:tc>
          <w:tcPr>
            <w:tcW w:w="1012" w:type="pct"/>
            <w:vAlign w:val="center"/>
          </w:tcPr>
          <w:p w14:paraId="1C8BA6A7" w14:textId="77777777" w:rsidR="00656E62" w:rsidRPr="00701F32" w:rsidRDefault="000045FD">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95</w:t>
            </w:r>
            <w:r w:rsidR="00656E62" w:rsidRPr="00701F32">
              <w:rPr>
                <w:rFonts w:ascii="Arial" w:eastAsia="Calibri" w:hAnsi="Arial" w:cs="Arial"/>
                <w:noProof/>
                <w:sz w:val="18"/>
                <w:szCs w:val="18"/>
              </w:rPr>
              <w:t xml:space="preserve"> % del Capital Social y derecho a votos</w:t>
            </w:r>
          </w:p>
        </w:tc>
        <w:tc>
          <w:tcPr>
            <w:tcW w:w="1012" w:type="pct"/>
            <w:vAlign w:val="center"/>
          </w:tcPr>
          <w:p w14:paraId="3485079F" w14:textId="77777777" w:rsidR="00656E62" w:rsidRPr="00701F32" w:rsidRDefault="00656E62">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Reconquista 320 CABA</w:t>
            </w:r>
          </w:p>
        </w:tc>
        <w:tc>
          <w:tcPr>
            <w:tcW w:w="1012" w:type="pct"/>
            <w:vAlign w:val="center"/>
          </w:tcPr>
          <w:p w14:paraId="6E822604" w14:textId="77777777" w:rsidR="00656E62" w:rsidRPr="00701F32" w:rsidRDefault="00656E62">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95%</w:t>
            </w:r>
          </w:p>
        </w:tc>
        <w:tc>
          <w:tcPr>
            <w:tcW w:w="1013" w:type="pct"/>
            <w:vAlign w:val="center"/>
          </w:tcPr>
          <w:p w14:paraId="11F95DB1" w14:textId="77777777" w:rsidR="00656E62" w:rsidRPr="00701F32" w:rsidRDefault="00656E62">
            <w:pPr>
              <w:spacing w:after="160" w:line="259" w:lineRule="auto"/>
              <w:contextualSpacing/>
              <w:jc w:val="center"/>
              <w:rPr>
                <w:rFonts w:ascii="Arial" w:eastAsia="Calibri" w:hAnsi="Arial" w:cs="Arial"/>
                <w:noProof/>
                <w:sz w:val="18"/>
                <w:szCs w:val="18"/>
              </w:rPr>
            </w:pPr>
            <w:r w:rsidRPr="00701F32">
              <w:rPr>
                <w:rFonts w:ascii="Arial" w:eastAsia="Calibri" w:hAnsi="Arial" w:cs="Arial"/>
                <w:noProof/>
                <w:sz w:val="18"/>
                <w:szCs w:val="18"/>
              </w:rPr>
              <w:t>95%</w:t>
            </w:r>
          </w:p>
        </w:tc>
      </w:tr>
    </w:tbl>
    <w:p w14:paraId="67F6B410" w14:textId="77777777" w:rsidR="00656E62" w:rsidRPr="00A059FB" w:rsidRDefault="00656E62" w:rsidP="00656E62">
      <w:pPr>
        <w:contextualSpacing/>
        <w:jc w:val="both"/>
        <w:rPr>
          <w:rFonts w:ascii="Arial" w:eastAsia="Arial" w:hAnsi="Arial" w:cs="Arial"/>
          <w:sz w:val="16"/>
          <w:szCs w:val="16"/>
        </w:rPr>
      </w:pPr>
    </w:p>
    <w:p w14:paraId="38A370F9" w14:textId="00FD345E" w:rsidR="00C110B3" w:rsidRDefault="001E0B16" w:rsidP="00656E62">
      <w:pPr>
        <w:jc w:val="both"/>
        <w:rPr>
          <w:rFonts w:ascii="Arial" w:eastAsia="Calibri" w:hAnsi="Arial" w:cs="Arial"/>
          <w:sz w:val="20"/>
        </w:rPr>
      </w:pPr>
      <w:r>
        <w:rPr>
          <w:rFonts w:ascii="Arial" w:eastAsia="Calibri" w:hAnsi="Arial" w:cs="Arial"/>
          <w:sz w:val="20"/>
        </w:rPr>
        <w:t xml:space="preserve">Con fecha 12 de febrero de 2019 </w:t>
      </w:r>
      <w:r w:rsidR="00D35EF9">
        <w:rPr>
          <w:rFonts w:ascii="Arial" w:eastAsia="Calibri" w:hAnsi="Arial" w:cs="Arial"/>
          <w:sz w:val="20"/>
        </w:rPr>
        <w:t xml:space="preserve">y 12 de junio de 2019 </w:t>
      </w:r>
      <w:r>
        <w:rPr>
          <w:rFonts w:ascii="Arial" w:eastAsia="Calibri" w:hAnsi="Arial" w:cs="Arial"/>
          <w:sz w:val="20"/>
        </w:rPr>
        <w:t xml:space="preserve">el Banco efectuó </w:t>
      </w:r>
      <w:r w:rsidR="00D35EF9">
        <w:rPr>
          <w:rFonts w:ascii="Arial" w:eastAsia="Calibri" w:hAnsi="Arial" w:cs="Arial"/>
          <w:sz w:val="20"/>
        </w:rPr>
        <w:t xml:space="preserve">dos </w:t>
      </w:r>
      <w:r>
        <w:rPr>
          <w:rFonts w:ascii="Arial" w:eastAsia="Calibri" w:hAnsi="Arial" w:cs="Arial"/>
          <w:sz w:val="20"/>
        </w:rPr>
        <w:t>aporte</w:t>
      </w:r>
      <w:r w:rsidR="00D35EF9">
        <w:rPr>
          <w:rFonts w:ascii="Arial" w:eastAsia="Calibri" w:hAnsi="Arial" w:cs="Arial"/>
          <w:sz w:val="20"/>
        </w:rPr>
        <w:t>s</w:t>
      </w:r>
      <w:r>
        <w:rPr>
          <w:rFonts w:ascii="Arial" w:eastAsia="Calibri" w:hAnsi="Arial" w:cs="Arial"/>
          <w:sz w:val="20"/>
        </w:rPr>
        <w:t xml:space="preserve"> de capital en la sociedad controlada por </w:t>
      </w:r>
      <w:r w:rsidR="00D35EF9">
        <w:rPr>
          <w:rFonts w:ascii="Arial" w:eastAsia="Calibri" w:hAnsi="Arial" w:cs="Arial"/>
          <w:sz w:val="20"/>
        </w:rPr>
        <w:t xml:space="preserve">$ </w:t>
      </w:r>
      <w:r>
        <w:rPr>
          <w:rFonts w:ascii="Arial" w:eastAsia="Calibri" w:hAnsi="Arial" w:cs="Arial"/>
          <w:sz w:val="20"/>
        </w:rPr>
        <w:t>950.000</w:t>
      </w:r>
      <w:r w:rsidR="00D35EF9">
        <w:rPr>
          <w:rFonts w:ascii="Arial" w:eastAsia="Calibri" w:hAnsi="Arial" w:cs="Arial"/>
          <w:sz w:val="20"/>
        </w:rPr>
        <w:t xml:space="preserve"> y $ 475.000, respectivamente</w:t>
      </w:r>
      <w:r>
        <w:rPr>
          <w:rFonts w:ascii="Arial" w:eastAsia="Calibri" w:hAnsi="Arial" w:cs="Arial"/>
          <w:sz w:val="20"/>
        </w:rPr>
        <w:t xml:space="preserve">. </w:t>
      </w:r>
    </w:p>
    <w:p w14:paraId="15FFE0A9" w14:textId="77777777" w:rsidR="006470AD" w:rsidRPr="00701F32" w:rsidRDefault="006470AD" w:rsidP="00656E62">
      <w:pPr>
        <w:jc w:val="both"/>
        <w:rPr>
          <w:rFonts w:ascii="Arial" w:eastAsia="Calibri" w:hAnsi="Arial" w:cs="Arial"/>
          <w:sz w:val="20"/>
        </w:rPr>
      </w:pPr>
    </w:p>
    <w:p w14:paraId="35B137B8" w14:textId="77777777" w:rsidR="003A0C03" w:rsidRPr="00701F32" w:rsidRDefault="003A0C03" w:rsidP="003A0C03">
      <w:pPr>
        <w:tabs>
          <w:tab w:val="left" w:pos="142"/>
        </w:tabs>
        <w:spacing w:after="160" w:line="259" w:lineRule="auto"/>
        <w:jc w:val="both"/>
        <w:rPr>
          <w:rFonts w:ascii="Arial" w:eastAsia="Arial" w:hAnsi="Arial" w:cs="Arial"/>
          <w:bCs/>
          <w:noProof/>
          <w:color w:val="000000"/>
          <w:sz w:val="20"/>
          <w:u w:val="single"/>
        </w:rPr>
      </w:pPr>
      <w:r w:rsidRPr="00701F32">
        <w:rPr>
          <w:rFonts w:ascii="Arial" w:eastAsia="Calibri" w:hAnsi="Arial" w:cs="Arial"/>
          <w:sz w:val="20"/>
          <w:u w:val="single"/>
        </w:rPr>
        <w:t xml:space="preserve">Asociadas </w:t>
      </w:r>
    </w:p>
    <w:p w14:paraId="6AB358EB" w14:textId="5C23E319" w:rsidR="003A0C03" w:rsidRPr="00701F32" w:rsidRDefault="003A0C03" w:rsidP="003A0C03">
      <w:pPr>
        <w:jc w:val="both"/>
        <w:rPr>
          <w:rFonts w:ascii="Arial" w:eastAsia="Calibri" w:hAnsi="Arial" w:cs="Arial"/>
          <w:sz w:val="20"/>
        </w:rPr>
      </w:pPr>
      <w:r w:rsidRPr="00701F32">
        <w:rPr>
          <w:rFonts w:ascii="Arial" w:eastAsia="Calibri" w:hAnsi="Arial" w:cs="Arial"/>
          <w:sz w:val="20"/>
        </w:rPr>
        <w:t xml:space="preserve">Al </w:t>
      </w:r>
      <w:r w:rsidR="00FE2245">
        <w:rPr>
          <w:rFonts w:ascii="Arial" w:eastAsia="Calibri" w:hAnsi="Arial" w:cs="Arial"/>
          <w:sz w:val="20"/>
        </w:rPr>
        <w:t>31 de diciembre de 2019</w:t>
      </w:r>
      <w:r w:rsidR="006104DE" w:rsidRPr="00701F32">
        <w:rPr>
          <w:rFonts w:ascii="Arial" w:eastAsia="Calibri" w:hAnsi="Arial" w:cs="Arial"/>
          <w:sz w:val="20"/>
        </w:rPr>
        <w:t xml:space="preserve"> </w:t>
      </w:r>
      <w:r w:rsidRPr="00701F32">
        <w:rPr>
          <w:rFonts w:ascii="Arial" w:eastAsia="Calibri" w:hAnsi="Arial" w:cs="Arial"/>
          <w:sz w:val="20"/>
        </w:rPr>
        <w:t xml:space="preserve">la entidad tenía una participación accionaria de la Entidad en Tarjeta Automática S.A. representa el 10 % del capital social y de los votos y se encuentra registrada en el rubro Inversión en subsidiarias, asociadas y negocios conjuntos por </w:t>
      </w:r>
      <w:r w:rsidR="00D35EF9">
        <w:rPr>
          <w:rFonts w:ascii="Arial" w:eastAsia="Calibri" w:hAnsi="Arial" w:cs="Arial"/>
          <w:sz w:val="20"/>
        </w:rPr>
        <w:t xml:space="preserve">$ </w:t>
      </w:r>
      <w:r w:rsidR="001C1547">
        <w:rPr>
          <w:rFonts w:ascii="Arial" w:eastAsia="Calibri" w:hAnsi="Arial" w:cs="Arial"/>
          <w:sz w:val="20"/>
        </w:rPr>
        <w:t>33.483</w:t>
      </w:r>
      <w:r w:rsidR="000A1F75">
        <w:rPr>
          <w:rFonts w:ascii="Arial" w:eastAsia="Calibri" w:hAnsi="Arial" w:cs="Arial"/>
          <w:sz w:val="20"/>
        </w:rPr>
        <w:t>.</w:t>
      </w:r>
    </w:p>
    <w:p w14:paraId="7D672FB8" w14:textId="70BB02B1" w:rsidR="003A0C03" w:rsidRPr="00A059FB" w:rsidRDefault="003A0C03" w:rsidP="00656E62">
      <w:pPr>
        <w:jc w:val="both"/>
        <w:rPr>
          <w:rFonts w:ascii="Arial" w:eastAsia="Calibri" w:hAnsi="Arial" w:cs="Arial"/>
          <w:color w:val="000000"/>
          <w:sz w:val="16"/>
          <w:szCs w:val="16"/>
        </w:rPr>
      </w:pPr>
    </w:p>
    <w:p w14:paraId="7CB30467" w14:textId="77777777" w:rsidR="00C1383B" w:rsidRDefault="00C1383B" w:rsidP="00C1383B">
      <w:pPr>
        <w:jc w:val="both"/>
        <w:rPr>
          <w:rFonts w:ascii="Arial" w:eastAsia="Calibri" w:hAnsi="Arial" w:cs="Arial"/>
          <w:sz w:val="20"/>
        </w:rPr>
      </w:pPr>
      <w:r>
        <w:rPr>
          <w:rFonts w:ascii="Arial" w:eastAsia="Calibri" w:hAnsi="Arial" w:cs="Arial"/>
          <w:sz w:val="20"/>
        </w:rPr>
        <w:t xml:space="preserve">Los activos, pasivos, patrimonio neto y resultados de Tarjeta Automática son los siguientes: </w:t>
      </w:r>
    </w:p>
    <w:p w14:paraId="7ABCD54E" w14:textId="77777777" w:rsidR="00C1383B" w:rsidRPr="00A059FB" w:rsidRDefault="00C1383B" w:rsidP="00C1383B">
      <w:pPr>
        <w:jc w:val="both"/>
        <w:rPr>
          <w:rFonts w:ascii="Arial" w:eastAsia="Calibri" w:hAnsi="Arial" w:cs="Arial"/>
          <w:sz w:val="16"/>
          <w:szCs w:val="16"/>
        </w:rPr>
      </w:pPr>
    </w:p>
    <w:tbl>
      <w:tblPr>
        <w:tblStyle w:val="Tablaconcuadrcula"/>
        <w:tblW w:w="0" w:type="auto"/>
        <w:jc w:val="center"/>
        <w:tblLook w:val="04A0" w:firstRow="1" w:lastRow="0" w:firstColumn="1" w:lastColumn="0" w:noHBand="0" w:noVBand="1"/>
      </w:tblPr>
      <w:tblGrid>
        <w:gridCol w:w="2881"/>
        <w:gridCol w:w="2189"/>
        <w:gridCol w:w="2409"/>
      </w:tblGrid>
      <w:tr w:rsidR="00C1383B" w:rsidRPr="009D07F3" w14:paraId="7BC4D6EA" w14:textId="77777777" w:rsidTr="006E1AF7">
        <w:trPr>
          <w:jc w:val="center"/>
        </w:trPr>
        <w:tc>
          <w:tcPr>
            <w:tcW w:w="2881" w:type="dxa"/>
          </w:tcPr>
          <w:p w14:paraId="39501523" w14:textId="77777777" w:rsidR="00C1383B" w:rsidRPr="006E1AF7" w:rsidRDefault="00C1383B" w:rsidP="00B168E7">
            <w:pPr>
              <w:jc w:val="both"/>
              <w:rPr>
                <w:rFonts w:ascii="Arial" w:eastAsia="Calibri" w:hAnsi="Arial" w:cs="Arial"/>
                <w:sz w:val="18"/>
                <w:szCs w:val="18"/>
              </w:rPr>
            </w:pPr>
          </w:p>
        </w:tc>
        <w:tc>
          <w:tcPr>
            <w:tcW w:w="2189" w:type="dxa"/>
          </w:tcPr>
          <w:p w14:paraId="5047A6AC" w14:textId="77777777" w:rsidR="00C1383B" w:rsidRPr="006E1AF7" w:rsidRDefault="00C1383B" w:rsidP="00B168E7">
            <w:pPr>
              <w:jc w:val="center"/>
              <w:rPr>
                <w:rFonts w:ascii="Arial" w:eastAsia="Calibri" w:hAnsi="Arial" w:cs="Arial"/>
                <w:b/>
                <w:sz w:val="18"/>
                <w:szCs w:val="18"/>
              </w:rPr>
            </w:pPr>
            <w:r w:rsidRPr="006E1AF7">
              <w:rPr>
                <w:rFonts w:ascii="Arial" w:eastAsia="Calibri" w:hAnsi="Arial" w:cs="Arial"/>
                <w:b/>
                <w:sz w:val="18"/>
                <w:szCs w:val="18"/>
              </w:rPr>
              <w:t>31/12/2019</w:t>
            </w:r>
          </w:p>
        </w:tc>
        <w:tc>
          <w:tcPr>
            <w:tcW w:w="2409" w:type="dxa"/>
          </w:tcPr>
          <w:p w14:paraId="67D1EED9" w14:textId="77777777" w:rsidR="00C1383B" w:rsidRPr="006E1AF7" w:rsidRDefault="00C1383B" w:rsidP="00B168E7">
            <w:pPr>
              <w:jc w:val="center"/>
              <w:rPr>
                <w:rFonts w:ascii="Arial" w:eastAsia="Calibri" w:hAnsi="Arial" w:cs="Arial"/>
                <w:b/>
                <w:sz w:val="18"/>
                <w:szCs w:val="18"/>
              </w:rPr>
            </w:pPr>
            <w:r w:rsidRPr="006E1AF7">
              <w:rPr>
                <w:rFonts w:ascii="Arial" w:eastAsia="Calibri" w:hAnsi="Arial" w:cs="Arial"/>
                <w:b/>
                <w:sz w:val="18"/>
                <w:szCs w:val="18"/>
              </w:rPr>
              <w:t>31/12/2018</w:t>
            </w:r>
          </w:p>
        </w:tc>
      </w:tr>
      <w:tr w:rsidR="00C1383B" w:rsidRPr="009D07F3" w14:paraId="2FF06031" w14:textId="77777777" w:rsidTr="006E1AF7">
        <w:trPr>
          <w:jc w:val="center"/>
        </w:trPr>
        <w:tc>
          <w:tcPr>
            <w:tcW w:w="2881" w:type="dxa"/>
          </w:tcPr>
          <w:p w14:paraId="4975D847" w14:textId="77777777" w:rsidR="00C1383B" w:rsidRPr="006E1AF7" w:rsidRDefault="00C1383B" w:rsidP="00B168E7">
            <w:pPr>
              <w:jc w:val="both"/>
              <w:rPr>
                <w:rFonts w:ascii="Arial" w:eastAsia="Calibri" w:hAnsi="Arial" w:cs="Arial"/>
                <w:sz w:val="18"/>
                <w:szCs w:val="18"/>
              </w:rPr>
            </w:pPr>
            <w:r w:rsidRPr="006E1AF7">
              <w:rPr>
                <w:rFonts w:ascii="Arial" w:eastAsia="Calibri" w:hAnsi="Arial" w:cs="Arial"/>
                <w:sz w:val="18"/>
                <w:szCs w:val="18"/>
              </w:rPr>
              <w:t>Activo</w:t>
            </w:r>
          </w:p>
        </w:tc>
        <w:tc>
          <w:tcPr>
            <w:tcW w:w="2189" w:type="dxa"/>
          </w:tcPr>
          <w:p w14:paraId="48F6ECA4" w14:textId="38150277" w:rsidR="00C1383B" w:rsidRPr="006E1AF7" w:rsidRDefault="008F50E0" w:rsidP="006E1AF7">
            <w:pPr>
              <w:jc w:val="right"/>
              <w:rPr>
                <w:rFonts w:ascii="Arial" w:hAnsi="Arial" w:cs="Arial"/>
                <w:bCs/>
                <w:sz w:val="18"/>
                <w:szCs w:val="18"/>
                <w:lang w:eastAsia="es-AR"/>
              </w:rPr>
            </w:pPr>
            <w:r w:rsidRPr="006E1AF7">
              <w:rPr>
                <w:rFonts w:ascii="Arial" w:hAnsi="Arial" w:cs="Arial"/>
                <w:bCs/>
                <w:sz w:val="18"/>
                <w:szCs w:val="18"/>
              </w:rPr>
              <w:t>443.484</w:t>
            </w:r>
          </w:p>
        </w:tc>
        <w:tc>
          <w:tcPr>
            <w:tcW w:w="2409" w:type="dxa"/>
          </w:tcPr>
          <w:p w14:paraId="43E1290B" w14:textId="77478147" w:rsidR="00C1383B" w:rsidRPr="006E1AF7" w:rsidRDefault="009D07F3" w:rsidP="006E1AF7">
            <w:pPr>
              <w:jc w:val="right"/>
              <w:rPr>
                <w:rFonts w:ascii="Arial" w:hAnsi="Arial" w:cs="Arial"/>
                <w:bCs/>
                <w:sz w:val="18"/>
                <w:szCs w:val="18"/>
              </w:rPr>
            </w:pPr>
            <w:r w:rsidRPr="006E1AF7">
              <w:rPr>
                <w:rFonts w:ascii="Arial" w:hAnsi="Arial" w:cs="Arial"/>
                <w:bCs/>
                <w:sz w:val="18"/>
                <w:szCs w:val="18"/>
              </w:rPr>
              <w:t>495.203</w:t>
            </w:r>
          </w:p>
        </w:tc>
      </w:tr>
      <w:tr w:rsidR="00C1383B" w:rsidRPr="009D07F3" w14:paraId="76F49287" w14:textId="77777777" w:rsidTr="006E1AF7">
        <w:trPr>
          <w:jc w:val="center"/>
        </w:trPr>
        <w:tc>
          <w:tcPr>
            <w:tcW w:w="2881" w:type="dxa"/>
          </w:tcPr>
          <w:p w14:paraId="33A6FF6F" w14:textId="77777777" w:rsidR="00C1383B" w:rsidRPr="006E1AF7" w:rsidRDefault="00C1383B" w:rsidP="00B168E7">
            <w:pPr>
              <w:jc w:val="both"/>
              <w:rPr>
                <w:rFonts w:ascii="Arial" w:eastAsia="Calibri" w:hAnsi="Arial" w:cs="Arial"/>
                <w:sz w:val="18"/>
                <w:szCs w:val="18"/>
              </w:rPr>
            </w:pPr>
            <w:r w:rsidRPr="006E1AF7">
              <w:rPr>
                <w:rFonts w:ascii="Arial" w:eastAsia="Calibri" w:hAnsi="Arial" w:cs="Arial"/>
                <w:sz w:val="18"/>
                <w:szCs w:val="18"/>
              </w:rPr>
              <w:t>Pasivo</w:t>
            </w:r>
          </w:p>
        </w:tc>
        <w:tc>
          <w:tcPr>
            <w:tcW w:w="2189" w:type="dxa"/>
          </w:tcPr>
          <w:p w14:paraId="28A211AE" w14:textId="6D433C6A" w:rsidR="00C1383B" w:rsidRPr="006E1AF7" w:rsidRDefault="008F50E0" w:rsidP="006E1AF7">
            <w:pPr>
              <w:jc w:val="right"/>
              <w:rPr>
                <w:rFonts w:ascii="Arial" w:hAnsi="Arial" w:cs="Arial"/>
                <w:bCs/>
                <w:sz w:val="18"/>
                <w:szCs w:val="18"/>
                <w:lang w:eastAsia="es-AR"/>
              </w:rPr>
            </w:pPr>
            <w:r w:rsidRPr="006E1AF7">
              <w:rPr>
                <w:rFonts w:ascii="Arial" w:hAnsi="Arial" w:cs="Arial"/>
                <w:bCs/>
                <w:sz w:val="18"/>
                <w:szCs w:val="18"/>
              </w:rPr>
              <w:t>108.654</w:t>
            </w:r>
          </w:p>
        </w:tc>
        <w:tc>
          <w:tcPr>
            <w:tcW w:w="2409" w:type="dxa"/>
          </w:tcPr>
          <w:p w14:paraId="6C8CF735" w14:textId="4690A73D" w:rsidR="00C1383B" w:rsidRPr="006E1AF7" w:rsidRDefault="009D07F3" w:rsidP="006E1AF7">
            <w:pPr>
              <w:jc w:val="right"/>
              <w:rPr>
                <w:rFonts w:ascii="Arial" w:hAnsi="Arial" w:cs="Arial"/>
                <w:bCs/>
                <w:sz w:val="18"/>
                <w:szCs w:val="18"/>
              </w:rPr>
            </w:pPr>
            <w:r w:rsidRPr="006E1AF7">
              <w:rPr>
                <w:rFonts w:ascii="Arial" w:hAnsi="Arial" w:cs="Arial"/>
                <w:bCs/>
                <w:sz w:val="18"/>
                <w:szCs w:val="18"/>
              </w:rPr>
              <w:t>104.740</w:t>
            </w:r>
          </w:p>
        </w:tc>
      </w:tr>
      <w:tr w:rsidR="00C1383B" w:rsidRPr="009D07F3" w14:paraId="6CC7D1A3" w14:textId="77777777" w:rsidTr="006E1AF7">
        <w:trPr>
          <w:jc w:val="center"/>
        </w:trPr>
        <w:tc>
          <w:tcPr>
            <w:tcW w:w="2881" w:type="dxa"/>
          </w:tcPr>
          <w:p w14:paraId="1FA64300" w14:textId="77777777" w:rsidR="00C1383B" w:rsidRPr="006E1AF7" w:rsidRDefault="00C1383B" w:rsidP="00B168E7">
            <w:pPr>
              <w:jc w:val="both"/>
              <w:rPr>
                <w:rFonts w:ascii="Arial" w:eastAsia="Calibri" w:hAnsi="Arial" w:cs="Arial"/>
                <w:sz w:val="18"/>
                <w:szCs w:val="18"/>
              </w:rPr>
            </w:pPr>
            <w:r w:rsidRPr="006E1AF7">
              <w:rPr>
                <w:rFonts w:ascii="Arial" w:eastAsia="Calibri" w:hAnsi="Arial" w:cs="Arial"/>
                <w:sz w:val="18"/>
                <w:szCs w:val="18"/>
              </w:rPr>
              <w:t>Patrimonio Neto</w:t>
            </w:r>
          </w:p>
        </w:tc>
        <w:tc>
          <w:tcPr>
            <w:tcW w:w="2189" w:type="dxa"/>
          </w:tcPr>
          <w:p w14:paraId="48651783" w14:textId="5C420EEB" w:rsidR="00C1383B" w:rsidRPr="006E1AF7" w:rsidRDefault="008F50E0" w:rsidP="006E1AF7">
            <w:pPr>
              <w:jc w:val="right"/>
              <w:rPr>
                <w:rFonts w:ascii="Arial" w:hAnsi="Arial" w:cs="Arial"/>
                <w:bCs/>
                <w:sz w:val="18"/>
                <w:szCs w:val="18"/>
                <w:lang w:eastAsia="es-AR"/>
              </w:rPr>
            </w:pPr>
            <w:r w:rsidRPr="006E1AF7">
              <w:rPr>
                <w:rFonts w:ascii="Arial" w:hAnsi="Arial" w:cs="Arial"/>
                <w:bCs/>
                <w:sz w:val="18"/>
                <w:szCs w:val="18"/>
              </w:rPr>
              <w:t>334.830</w:t>
            </w:r>
          </w:p>
        </w:tc>
        <w:tc>
          <w:tcPr>
            <w:tcW w:w="2409" w:type="dxa"/>
          </w:tcPr>
          <w:p w14:paraId="6943E57D" w14:textId="5B322330" w:rsidR="00C1383B" w:rsidRPr="006E1AF7" w:rsidRDefault="009D07F3" w:rsidP="006E1AF7">
            <w:pPr>
              <w:jc w:val="right"/>
              <w:rPr>
                <w:rFonts w:ascii="Arial" w:hAnsi="Arial" w:cs="Arial"/>
                <w:bCs/>
                <w:sz w:val="18"/>
                <w:szCs w:val="18"/>
              </w:rPr>
            </w:pPr>
            <w:r w:rsidRPr="006E1AF7">
              <w:rPr>
                <w:rFonts w:ascii="Arial" w:hAnsi="Arial" w:cs="Arial"/>
                <w:bCs/>
                <w:sz w:val="18"/>
                <w:szCs w:val="18"/>
              </w:rPr>
              <w:t>390.463</w:t>
            </w:r>
          </w:p>
        </w:tc>
      </w:tr>
      <w:tr w:rsidR="00C1383B" w:rsidRPr="009D07F3" w14:paraId="043D9CD2" w14:textId="77777777" w:rsidTr="006E1AF7">
        <w:trPr>
          <w:jc w:val="center"/>
        </w:trPr>
        <w:tc>
          <w:tcPr>
            <w:tcW w:w="2881" w:type="dxa"/>
          </w:tcPr>
          <w:p w14:paraId="48C24344" w14:textId="77777777" w:rsidR="00C1383B" w:rsidRPr="006E1AF7" w:rsidRDefault="00C1383B" w:rsidP="00B168E7">
            <w:pPr>
              <w:jc w:val="both"/>
              <w:rPr>
                <w:rFonts w:ascii="Arial" w:eastAsia="Calibri" w:hAnsi="Arial" w:cs="Arial"/>
                <w:sz w:val="18"/>
                <w:szCs w:val="18"/>
              </w:rPr>
            </w:pPr>
            <w:r w:rsidRPr="006E1AF7">
              <w:rPr>
                <w:rFonts w:ascii="Arial" w:eastAsia="Calibri" w:hAnsi="Arial" w:cs="Arial"/>
                <w:sz w:val="18"/>
                <w:szCs w:val="18"/>
              </w:rPr>
              <w:t>Resultado</w:t>
            </w:r>
          </w:p>
        </w:tc>
        <w:tc>
          <w:tcPr>
            <w:tcW w:w="2189" w:type="dxa"/>
          </w:tcPr>
          <w:p w14:paraId="5F9B54A7" w14:textId="518AFE13" w:rsidR="00C1383B" w:rsidRPr="006E1AF7" w:rsidRDefault="008F50E0" w:rsidP="006E1AF7">
            <w:pPr>
              <w:jc w:val="right"/>
              <w:rPr>
                <w:rFonts w:ascii="Arial" w:hAnsi="Arial" w:cs="Arial"/>
                <w:bCs/>
                <w:sz w:val="18"/>
                <w:szCs w:val="18"/>
                <w:lang w:eastAsia="es-AR"/>
              </w:rPr>
            </w:pPr>
            <w:r w:rsidRPr="006E1AF7">
              <w:rPr>
                <w:rFonts w:ascii="Arial" w:hAnsi="Arial" w:cs="Arial"/>
                <w:bCs/>
                <w:sz w:val="18"/>
                <w:szCs w:val="18"/>
              </w:rPr>
              <w:t>-55.635</w:t>
            </w:r>
          </w:p>
        </w:tc>
        <w:tc>
          <w:tcPr>
            <w:tcW w:w="2409" w:type="dxa"/>
          </w:tcPr>
          <w:p w14:paraId="650B7969" w14:textId="002A3956" w:rsidR="00C1383B" w:rsidRPr="006E1AF7" w:rsidRDefault="009D07F3" w:rsidP="006E1AF7">
            <w:pPr>
              <w:jc w:val="right"/>
              <w:rPr>
                <w:rFonts w:ascii="Arial" w:hAnsi="Arial" w:cs="Arial"/>
                <w:bCs/>
                <w:sz w:val="18"/>
                <w:szCs w:val="18"/>
              </w:rPr>
            </w:pPr>
            <w:r w:rsidRPr="006E1AF7">
              <w:rPr>
                <w:rFonts w:ascii="Arial" w:hAnsi="Arial" w:cs="Arial"/>
                <w:bCs/>
                <w:sz w:val="18"/>
                <w:szCs w:val="18"/>
              </w:rPr>
              <w:t>-90.911</w:t>
            </w:r>
          </w:p>
        </w:tc>
      </w:tr>
    </w:tbl>
    <w:p w14:paraId="0FC7BD3A" w14:textId="77777777" w:rsidR="00C1383B" w:rsidRPr="00701F32" w:rsidRDefault="00C1383B" w:rsidP="00656E62">
      <w:pPr>
        <w:jc w:val="both"/>
        <w:rPr>
          <w:rFonts w:ascii="Arial" w:eastAsia="Calibri" w:hAnsi="Arial" w:cs="Arial"/>
          <w:color w:val="000000"/>
          <w:sz w:val="20"/>
        </w:rPr>
      </w:pPr>
    </w:p>
    <w:p w14:paraId="071DA1F5" w14:textId="77777777" w:rsidR="00656E62" w:rsidRPr="00701F32" w:rsidRDefault="00656E62" w:rsidP="00656E62">
      <w:pPr>
        <w:tabs>
          <w:tab w:val="left" w:pos="142"/>
        </w:tabs>
        <w:spacing w:after="200" w:line="276" w:lineRule="auto"/>
        <w:contextualSpacing/>
        <w:jc w:val="both"/>
        <w:rPr>
          <w:rFonts w:ascii="Arial" w:eastAsia="Calibri" w:hAnsi="Arial" w:cs="Arial"/>
          <w:bCs/>
          <w:sz w:val="20"/>
          <w:lang w:eastAsia="es-AR"/>
        </w:rPr>
      </w:pPr>
      <w:r w:rsidRPr="00701F32">
        <w:rPr>
          <w:rFonts w:ascii="Arial" w:eastAsia="Calibri" w:hAnsi="Arial" w:cs="Arial"/>
          <w:sz w:val="20"/>
          <w:u w:val="single"/>
          <w:lang w:eastAsia="es-AR"/>
        </w:rPr>
        <w:t>Sociedades vinculadas</w:t>
      </w:r>
    </w:p>
    <w:p w14:paraId="16DAD952" w14:textId="77777777" w:rsidR="00656E62" w:rsidRPr="00701F32" w:rsidRDefault="00656E62" w:rsidP="00656E62">
      <w:pPr>
        <w:tabs>
          <w:tab w:val="left" w:pos="142"/>
        </w:tabs>
        <w:spacing w:after="200" w:line="276" w:lineRule="auto"/>
        <w:contextualSpacing/>
        <w:jc w:val="both"/>
        <w:rPr>
          <w:rFonts w:ascii="Arial" w:eastAsia="Calibri" w:hAnsi="Arial" w:cs="Arial"/>
          <w:bCs/>
          <w:sz w:val="20"/>
          <w:lang w:eastAsia="es-AR"/>
        </w:rPr>
      </w:pPr>
    </w:p>
    <w:p w14:paraId="1662EE1E" w14:textId="49A39176" w:rsidR="00656E62" w:rsidRPr="00701F32" w:rsidRDefault="00656E62" w:rsidP="00656E62">
      <w:pPr>
        <w:tabs>
          <w:tab w:val="left" w:pos="142"/>
        </w:tabs>
        <w:spacing w:after="160" w:line="259" w:lineRule="auto"/>
        <w:jc w:val="both"/>
        <w:rPr>
          <w:rFonts w:ascii="Arial" w:eastAsia="Calibri" w:hAnsi="Arial" w:cs="Arial"/>
          <w:sz w:val="20"/>
        </w:rPr>
      </w:pPr>
      <w:r w:rsidRPr="00701F32">
        <w:rPr>
          <w:rFonts w:ascii="Arial" w:eastAsia="Calibri" w:hAnsi="Arial" w:cs="Arial"/>
          <w:sz w:val="20"/>
        </w:rPr>
        <w:t xml:space="preserve">Banco Supervielle S.A. está vinculado a Sofital S.A.F.e I.I. Al </w:t>
      </w:r>
      <w:r w:rsidR="00886AE1">
        <w:rPr>
          <w:rFonts w:ascii="Arial" w:eastAsia="Calibri" w:hAnsi="Arial" w:cs="Arial"/>
          <w:sz w:val="20"/>
        </w:rPr>
        <w:t>3</w:t>
      </w:r>
      <w:r w:rsidR="00FE2245">
        <w:rPr>
          <w:rFonts w:ascii="Arial" w:eastAsia="Calibri" w:hAnsi="Arial" w:cs="Arial"/>
          <w:sz w:val="20"/>
        </w:rPr>
        <w:t>1</w:t>
      </w:r>
      <w:r w:rsidR="00467044" w:rsidRPr="00701F32">
        <w:rPr>
          <w:rFonts w:ascii="Arial" w:eastAsia="Calibri" w:hAnsi="Arial" w:cs="Arial"/>
          <w:sz w:val="20"/>
        </w:rPr>
        <w:t xml:space="preserve"> </w:t>
      </w:r>
      <w:r w:rsidRPr="00701F32">
        <w:rPr>
          <w:rFonts w:ascii="Arial" w:eastAsia="Calibri" w:hAnsi="Arial" w:cs="Arial"/>
          <w:sz w:val="20"/>
        </w:rPr>
        <w:t xml:space="preserve">de </w:t>
      </w:r>
      <w:r w:rsidR="00FE2245">
        <w:rPr>
          <w:rFonts w:ascii="Arial" w:eastAsia="Calibri" w:hAnsi="Arial" w:cs="Arial"/>
          <w:sz w:val="20"/>
        </w:rPr>
        <w:t>diciembre</w:t>
      </w:r>
      <w:r w:rsidR="00467044" w:rsidRPr="00701F32">
        <w:rPr>
          <w:rFonts w:ascii="Arial" w:eastAsia="Calibri" w:hAnsi="Arial" w:cs="Arial"/>
          <w:sz w:val="20"/>
        </w:rPr>
        <w:t xml:space="preserve"> </w:t>
      </w:r>
      <w:r w:rsidRPr="00701F32">
        <w:rPr>
          <w:rFonts w:ascii="Arial" w:eastAsia="Calibri" w:hAnsi="Arial" w:cs="Arial"/>
          <w:sz w:val="20"/>
        </w:rPr>
        <w:t>de 201</w:t>
      </w:r>
      <w:r w:rsidR="009A58C2">
        <w:rPr>
          <w:rFonts w:ascii="Arial" w:eastAsia="Calibri" w:hAnsi="Arial" w:cs="Arial"/>
          <w:sz w:val="20"/>
        </w:rPr>
        <w:t>9</w:t>
      </w:r>
      <w:r w:rsidRPr="00701F32">
        <w:rPr>
          <w:rFonts w:ascii="Arial" w:eastAsia="Calibri" w:hAnsi="Arial" w:cs="Arial"/>
          <w:sz w:val="20"/>
        </w:rPr>
        <w:t xml:space="preserve"> la participación accionaria de Sofital S.A.F.e I.I. en Banco Supervielle S.A. representa el </w:t>
      </w:r>
      <w:r w:rsidR="009A58C2">
        <w:rPr>
          <w:rFonts w:ascii="Arial" w:eastAsia="Calibri" w:hAnsi="Arial" w:cs="Arial"/>
          <w:sz w:val="20"/>
        </w:rPr>
        <w:t>2</w:t>
      </w:r>
      <w:r w:rsidRPr="00701F32">
        <w:rPr>
          <w:rFonts w:ascii="Arial" w:eastAsia="Calibri" w:hAnsi="Arial" w:cs="Arial"/>
          <w:sz w:val="20"/>
        </w:rPr>
        <w:t>,</w:t>
      </w:r>
      <w:r w:rsidR="0037305B">
        <w:rPr>
          <w:rFonts w:ascii="Arial" w:eastAsia="Calibri" w:hAnsi="Arial" w:cs="Arial"/>
          <w:sz w:val="20"/>
        </w:rPr>
        <w:t>79</w:t>
      </w:r>
      <w:r w:rsidRPr="00701F32">
        <w:rPr>
          <w:rFonts w:ascii="Arial" w:eastAsia="Calibri" w:hAnsi="Arial" w:cs="Arial"/>
          <w:sz w:val="20"/>
        </w:rPr>
        <w:t xml:space="preserve">% del capital social y el </w:t>
      </w:r>
      <w:r w:rsidR="009A58C2">
        <w:rPr>
          <w:rFonts w:ascii="Arial" w:eastAsia="Calibri" w:hAnsi="Arial" w:cs="Arial"/>
          <w:sz w:val="20"/>
        </w:rPr>
        <w:t>2</w:t>
      </w:r>
      <w:r w:rsidRPr="00701F32">
        <w:rPr>
          <w:rFonts w:ascii="Arial" w:eastAsia="Calibri" w:hAnsi="Arial" w:cs="Arial"/>
          <w:sz w:val="20"/>
        </w:rPr>
        <w:t>,</w:t>
      </w:r>
      <w:r w:rsidR="009A58C2">
        <w:rPr>
          <w:rFonts w:ascii="Arial" w:eastAsia="Calibri" w:hAnsi="Arial" w:cs="Arial"/>
          <w:sz w:val="20"/>
        </w:rPr>
        <w:t>8</w:t>
      </w:r>
      <w:r w:rsidR="0037305B">
        <w:rPr>
          <w:rFonts w:ascii="Arial" w:eastAsia="Calibri" w:hAnsi="Arial" w:cs="Arial"/>
          <w:sz w:val="20"/>
        </w:rPr>
        <w:t>1</w:t>
      </w:r>
      <w:r w:rsidRPr="00701F32">
        <w:rPr>
          <w:rFonts w:ascii="Arial" w:eastAsia="Calibri" w:hAnsi="Arial" w:cs="Arial"/>
          <w:sz w:val="20"/>
        </w:rPr>
        <w:t>% de los votos</w:t>
      </w:r>
      <w:r w:rsidR="00C40DFD" w:rsidRPr="00701F32">
        <w:rPr>
          <w:rFonts w:ascii="Arial" w:eastAsia="Calibri" w:hAnsi="Arial" w:cs="Arial"/>
          <w:sz w:val="20"/>
        </w:rPr>
        <w:t>.</w:t>
      </w:r>
      <w:r w:rsidRPr="00701F32">
        <w:rPr>
          <w:rFonts w:ascii="Arial" w:eastAsia="Calibri" w:hAnsi="Arial" w:cs="Arial"/>
          <w:sz w:val="20"/>
        </w:rPr>
        <w:t xml:space="preserve"> </w:t>
      </w:r>
      <w:r w:rsidR="00C40DFD" w:rsidRPr="00701F32">
        <w:rPr>
          <w:rFonts w:ascii="Arial" w:eastAsia="Calibri" w:hAnsi="Arial" w:cs="Arial"/>
          <w:sz w:val="20"/>
        </w:rPr>
        <w:t xml:space="preserve">Al </w:t>
      </w:r>
      <w:r w:rsidRPr="00701F32">
        <w:rPr>
          <w:rFonts w:ascii="Arial" w:eastAsia="Calibri" w:hAnsi="Arial" w:cs="Arial"/>
          <w:sz w:val="20"/>
        </w:rPr>
        <w:t>31 de diciembre de 201</w:t>
      </w:r>
      <w:r w:rsidR="009A58C2">
        <w:rPr>
          <w:rFonts w:ascii="Arial" w:eastAsia="Calibri" w:hAnsi="Arial" w:cs="Arial"/>
          <w:sz w:val="20"/>
        </w:rPr>
        <w:t>8</w:t>
      </w:r>
      <w:r w:rsidRPr="00701F32">
        <w:rPr>
          <w:rFonts w:ascii="Arial" w:eastAsia="Calibri" w:hAnsi="Arial" w:cs="Arial"/>
          <w:sz w:val="20"/>
        </w:rPr>
        <w:t xml:space="preserve"> representaba el 3,11% del capital social y el 3,1</w:t>
      </w:r>
      <w:r w:rsidR="009A58C2">
        <w:rPr>
          <w:rFonts w:ascii="Arial" w:eastAsia="Calibri" w:hAnsi="Arial" w:cs="Arial"/>
          <w:sz w:val="20"/>
        </w:rPr>
        <w:t>3</w:t>
      </w:r>
      <w:r w:rsidRPr="00701F32">
        <w:rPr>
          <w:rFonts w:ascii="Arial" w:eastAsia="Calibri" w:hAnsi="Arial" w:cs="Arial"/>
          <w:sz w:val="20"/>
        </w:rPr>
        <w:t>% de los votos</w:t>
      </w:r>
      <w:r w:rsidR="009A58C2">
        <w:rPr>
          <w:rFonts w:ascii="Arial" w:eastAsia="Calibri" w:hAnsi="Arial" w:cs="Arial"/>
          <w:sz w:val="20"/>
        </w:rPr>
        <w:t>.</w:t>
      </w:r>
    </w:p>
    <w:p w14:paraId="2C4EC661" w14:textId="28F4550E" w:rsidR="00656E62" w:rsidRDefault="00656E62" w:rsidP="00656E62">
      <w:pPr>
        <w:tabs>
          <w:tab w:val="left" w:pos="142"/>
        </w:tabs>
        <w:spacing w:after="160" w:line="259" w:lineRule="auto"/>
        <w:jc w:val="both"/>
        <w:rPr>
          <w:rFonts w:ascii="Arial" w:eastAsia="Calibri" w:hAnsi="Arial" w:cs="Arial"/>
          <w:sz w:val="20"/>
        </w:rPr>
      </w:pPr>
      <w:r w:rsidRPr="00701F32">
        <w:rPr>
          <w:rFonts w:ascii="Arial" w:eastAsia="Calibri" w:hAnsi="Arial" w:cs="Arial"/>
          <w:sz w:val="20"/>
        </w:rPr>
        <w:t>La Entidad se encuentra vinculada a las empresas Supervielle Asset Management S.A.,</w:t>
      </w:r>
      <w:r w:rsidR="00EA3204" w:rsidRPr="00701F32">
        <w:rPr>
          <w:rFonts w:ascii="Arial" w:eastAsia="Calibri" w:hAnsi="Arial" w:cs="Arial"/>
          <w:sz w:val="20"/>
        </w:rPr>
        <w:t xml:space="preserve"> </w:t>
      </w:r>
      <w:r w:rsidRPr="00701F32">
        <w:rPr>
          <w:rFonts w:ascii="Arial" w:eastAsia="Calibri" w:hAnsi="Arial" w:cs="Arial"/>
          <w:sz w:val="20"/>
        </w:rPr>
        <w:t>Espacio Cordial de Servicios S.A.</w:t>
      </w:r>
      <w:r w:rsidR="001C4AB8" w:rsidRPr="00701F32">
        <w:rPr>
          <w:rFonts w:ascii="Arial" w:eastAsia="Calibri" w:hAnsi="Arial" w:cs="Arial"/>
          <w:sz w:val="20"/>
        </w:rPr>
        <w:t xml:space="preserve">, </w:t>
      </w:r>
      <w:r w:rsidRPr="00701F32">
        <w:rPr>
          <w:rFonts w:ascii="Arial" w:eastAsia="Calibri" w:hAnsi="Arial" w:cs="Arial"/>
          <w:sz w:val="20"/>
        </w:rPr>
        <w:t>Supervielle Seguros S.A.</w:t>
      </w:r>
      <w:r w:rsidR="00114557" w:rsidRPr="00701F32">
        <w:rPr>
          <w:rFonts w:ascii="Arial" w:eastAsia="Calibri" w:hAnsi="Arial" w:cs="Arial"/>
          <w:sz w:val="20"/>
        </w:rPr>
        <w:t>,</w:t>
      </w:r>
      <w:r w:rsidR="001C4AB8" w:rsidRPr="00701F32">
        <w:rPr>
          <w:rFonts w:ascii="Arial" w:eastAsia="Calibri" w:hAnsi="Arial" w:cs="Arial"/>
          <w:sz w:val="20"/>
        </w:rPr>
        <w:t xml:space="preserve"> InvertirOnLine S.A.</w:t>
      </w:r>
      <w:r w:rsidR="00C00F7F">
        <w:rPr>
          <w:rFonts w:ascii="Arial" w:eastAsia="Calibri" w:hAnsi="Arial" w:cs="Arial"/>
          <w:sz w:val="20"/>
        </w:rPr>
        <w:t>U.</w:t>
      </w:r>
      <w:r w:rsidR="00114557" w:rsidRPr="00701F32">
        <w:rPr>
          <w:rFonts w:ascii="Arial" w:eastAsia="Calibri" w:hAnsi="Arial" w:cs="Arial"/>
          <w:sz w:val="20"/>
        </w:rPr>
        <w:t>, InvertirOnline.Com Argentina S.A.</w:t>
      </w:r>
      <w:r w:rsidR="00C5517A">
        <w:rPr>
          <w:rFonts w:ascii="Arial" w:eastAsia="Calibri" w:hAnsi="Arial" w:cs="Arial"/>
          <w:sz w:val="20"/>
        </w:rPr>
        <w:t>U.</w:t>
      </w:r>
      <w:r w:rsidR="00114557" w:rsidRPr="00701F32">
        <w:rPr>
          <w:rFonts w:ascii="Arial" w:eastAsia="Calibri" w:hAnsi="Arial" w:cs="Arial"/>
          <w:sz w:val="20"/>
        </w:rPr>
        <w:t xml:space="preserve"> y Micro Lending S.A.</w:t>
      </w:r>
      <w:r w:rsidR="00C00F7F">
        <w:rPr>
          <w:rFonts w:ascii="Arial" w:eastAsia="Calibri" w:hAnsi="Arial" w:cs="Arial"/>
          <w:sz w:val="20"/>
        </w:rPr>
        <w:t>U.</w:t>
      </w:r>
      <w:r w:rsidR="001C4AB8" w:rsidRPr="00701F32">
        <w:rPr>
          <w:rFonts w:ascii="Arial" w:eastAsia="Calibri" w:hAnsi="Arial" w:cs="Arial"/>
          <w:sz w:val="20"/>
        </w:rPr>
        <w:t xml:space="preserve"> </w:t>
      </w:r>
      <w:r w:rsidRPr="00701F32">
        <w:rPr>
          <w:rFonts w:ascii="Arial" w:eastAsia="Calibri" w:hAnsi="Arial" w:cs="Arial"/>
          <w:sz w:val="20"/>
        </w:rPr>
        <w:t>por ser sociedades controladas por Grupo Supervielle S.A.</w:t>
      </w:r>
    </w:p>
    <w:p w14:paraId="406FD114" w14:textId="1CB4C1B0" w:rsidR="00C1383B" w:rsidRDefault="00C1383B" w:rsidP="00656E62">
      <w:pPr>
        <w:tabs>
          <w:tab w:val="left" w:pos="142"/>
        </w:tabs>
        <w:spacing w:after="160" w:line="259" w:lineRule="auto"/>
        <w:jc w:val="both"/>
        <w:rPr>
          <w:rFonts w:ascii="Arial" w:eastAsia="Calibri" w:hAnsi="Arial" w:cs="Arial"/>
          <w:sz w:val="20"/>
        </w:rPr>
      </w:pPr>
    </w:p>
    <w:p w14:paraId="40F09F86" w14:textId="77777777" w:rsidR="00C1383B" w:rsidRPr="00D53032" w:rsidRDefault="00C1383B" w:rsidP="00C1383B">
      <w:pPr>
        <w:pStyle w:val="Textoindependiente2"/>
        <w:rPr>
          <w:rFonts w:ascii="Arial" w:eastAsia="Calibri" w:hAnsi="Arial" w:cs="Arial"/>
          <w:b w:val="0"/>
          <w:sz w:val="20"/>
          <w:u w:val="single"/>
          <w:lang w:val="es-AR"/>
        </w:rPr>
      </w:pPr>
      <w:r w:rsidRPr="00D53032">
        <w:rPr>
          <w:rFonts w:ascii="Arial" w:eastAsia="Calibri" w:hAnsi="Arial" w:cs="Arial"/>
          <w:b w:val="0"/>
          <w:sz w:val="20"/>
          <w:u w:val="single"/>
          <w:lang w:val="es-AR"/>
        </w:rPr>
        <w:t>Remuneración del personal clave</w:t>
      </w:r>
    </w:p>
    <w:p w14:paraId="6A24B629" w14:textId="77777777" w:rsidR="00C1383B" w:rsidRPr="00D53032" w:rsidRDefault="00C1383B" w:rsidP="00C1383B">
      <w:pPr>
        <w:pStyle w:val="Textoindependiente2"/>
        <w:rPr>
          <w:rFonts w:ascii="Arial" w:eastAsia="Calibri" w:hAnsi="Arial" w:cs="Arial"/>
          <w:b w:val="0"/>
          <w:sz w:val="20"/>
          <w:lang w:val="es-AR"/>
        </w:rPr>
      </w:pPr>
    </w:p>
    <w:p w14:paraId="1D6D44F9" w14:textId="6F8C09A1" w:rsidR="00C1383B" w:rsidRPr="00D53032" w:rsidRDefault="00C1383B" w:rsidP="00C1383B">
      <w:pPr>
        <w:pStyle w:val="Textoindependiente2"/>
        <w:jc w:val="both"/>
        <w:rPr>
          <w:rFonts w:ascii="Arial" w:eastAsia="Calibri" w:hAnsi="Arial" w:cs="Arial"/>
          <w:b w:val="0"/>
          <w:sz w:val="20"/>
          <w:lang w:val="es-AR"/>
        </w:rPr>
      </w:pPr>
      <w:r w:rsidRPr="00D53032">
        <w:rPr>
          <w:rFonts w:ascii="Arial" w:eastAsia="Calibri" w:hAnsi="Arial" w:cs="Arial"/>
          <w:b w:val="0"/>
          <w:sz w:val="20"/>
          <w:lang w:val="es-AR"/>
        </w:rPr>
        <w:t>Las retribuciones percibidas por el personal clave del</w:t>
      </w:r>
      <w:r>
        <w:rPr>
          <w:rFonts w:ascii="Arial" w:eastAsia="Calibri" w:hAnsi="Arial" w:cs="Arial"/>
          <w:b w:val="0"/>
          <w:sz w:val="20"/>
          <w:lang w:val="es-AR"/>
        </w:rPr>
        <w:t xml:space="preserve"> Banco</w:t>
      </w:r>
      <w:r w:rsidRPr="00D53032">
        <w:rPr>
          <w:rFonts w:ascii="Arial" w:eastAsia="Calibri" w:hAnsi="Arial" w:cs="Arial"/>
          <w:b w:val="0"/>
          <w:sz w:val="20"/>
          <w:lang w:val="es-AR"/>
        </w:rPr>
        <w:t xml:space="preserve"> al 31 de diciembre de 2019</w:t>
      </w:r>
      <w:r w:rsidR="008E7CC6">
        <w:rPr>
          <w:rFonts w:ascii="Arial" w:eastAsia="Calibri" w:hAnsi="Arial" w:cs="Arial"/>
          <w:b w:val="0"/>
          <w:sz w:val="20"/>
          <w:lang w:val="es-AR"/>
        </w:rPr>
        <w:t xml:space="preserve"> </w:t>
      </w:r>
      <w:r w:rsidRPr="00D53032">
        <w:rPr>
          <w:rFonts w:ascii="Arial" w:eastAsia="Calibri" w:hAnsi="Arial" w:cs="Arial"/>
          <w:b w:val="0"/>
          <w:sz w:val="20"/>
          <w:lang w:val="es-AR"/>
        </w:rPr>
        <w:t>asciende</w:t>
      </w:r>
      <w:r w:rsidR="008E7CC6">
        <w:rPr>
          <w:rFonts w:ascii="Arial" w:eastAsia="Calibri" w:hAnsi="Arial" w:cs="Arial"/>
          <w:b w:val="0"/>
          <w:sz w:val="20"/>
          <w:lang w:val="es-AR"/>
        </w:rPr>
        <w:t>n</w:t>
      </w:r>
      <w:r w:rsidRPr="00D53032">
        <w:rPr>
          <w:rFonts w:ascii="Arial" w:eastAsia="Calibri" w:hAnsi="Arial" w:cs="Arial"/>
          <w:b w:val="0"/>
          <w:sz w:val="20"/>
          <w:lang w:val="es-AR"/>
        </w:rPr>
        <w:t xml:space="preserve"> a </w:t>
      </w:r>
      <w:r w:rsidR="008E7CC6">
        <w:rPr>
          <w:rFonts w:ascii="Arial" w:eastAsia="Calibri" w:hAnsi="Arial" w:cs="Arial"/>
          <w:b w:val="0"/>
          <w:sz w:val="20"/>
          <w:lang w:val="es-AR"/>
        </w:rPr>
        <w:t xml:space="preserve">$ </w:t>
      </w:r>
      <w:r w:rsidR="00A14F94">
        <w:rPr>
          <w:rFonts w:ascii="Arial" w:eastAsia="Calibri" w:hAnsi="Arial" w:cs="Arial"/>
          <w:b w:val="0"/>
          <w:sz w:val="20"/>
          <w:lang w:val="es-AR"/>
        </w:rPr>
        <w:t>505</w:t>
      </w:r>
      <w:r w:rsidRPr="00D53032">
        <w:rPr>
          <w:rFonts w:ascii="Arial" w:eastAsia="Calibri" w:hAnsi="Arial" w:cs="Arial"/>
          <w:b w:val="0"/>
          <w:sz w:val="20"/>
          <w:lang w:val="es-AR"/>
        </w:rPr>
        <w:t xml:space="preserve"> millones.</w:t>
      </w:r>
    </w:p>
    <w:p w14:paraId="03FBC486" w14:textId="77777777" w:rsidR="00C1383B" w:rsidRPr="00D53032" w:rsidRDefault="00C1383B" w:rsidP="00C1383B">
      <w:pPr>
        <w:pStyle w:val="Textoindependiente2"/>
        <w:jc w:val="both"/>
        <w:rPr>
          <w:rFonts w:ascii="Arial" w:eastAsia="Calibri" w:hAnsi="Arial" w:cs="Arial"/>
          <w:b w:val="0"/>
          <w:sz w:val="20"/>
          <w:lang w:val="es-AR"/>
        </w:rPr>
      </w:pPr>
    </w:p>
    <w:p w14:paraId="6CAF07C4" w14:textId="77777777" w:rsidR="00C1383B" w:rsidRPr="00D53032" w:rsidRDefault="00C1383B" w:rsidP="00C1383B">
      <w:pPr>
        <w:pStyle w:val="Textoindependiente2"/>
        <w:rPr>
          <w:rFonts w:ascii="Arial" w:eastAsia="Calibri" w:hAnsi="Arial" w:cs="Arial"/>
          <w:b w:val="0"/>
          <w:sz w:val="20"/>
          <w:u w:val="single"/>
          <w:lang w:val="es-AR"/>
        </w:rPr>
      </w:pPr>
      <w:r w:rsidRPr="00D53032">
        <w:rPr>
          <w:rFonts w:ascii="Arial" w:eastAsia="Calibri" w:hAnsi="Arial" w:cs="Arial"/>
          <w:b w:val="0"/>
          <w:sz w:val="20"/>
          <w:u w:val="single"/>
          <w:lang w:val="es-AR"/>
        </w:rPr>
        <w:t>Transacciones con partes relacionadas</w:t>
      </w:r>
    </w:p>
    <w:p w14:paraId="11C9E829" w14:textId="77777777" w:rsidR="00C1383B" w:rsidRDefault="00C1383B" w:rsidP="00C1383B">
      <w:pPr>
        <w:pStyle w:val="Textoindependiente2"/>
        <w:rPr>
          <w:rFonts w:ascii="Arial" w:eastAsia="Calibri" w:hAnsi="Arial" w:cs="Arial"/>
          <w:b w:val="0"/>
          <w:sz w:val="20"/>
          <w:lang w:val="es-AR"/>
        </w:rPr>
      </w:pPr>
    </w:p>
    <w:p w14:paraId="09DC2D69" w14:textId="77777777" w:rsidR="00C1383B" w:rsidRPr="00D53032" w:rsidRDefault="00C1383B" w:rsidP="00C1383B">
      <w:pPr>
        <w:pStyle w:val="Textoindependiente2"/>
        <w:jc w:val="both"/>
        <w:rPr>
          <w:rFonts w:ascii="Arial" w:eastAsia="Calibri" w:hAnsi="Arial" w:cs="Arial"/>
          <w:b w:val="0"/>
          <w:sz w:val="20"/>
          <w:lang w:val="es-AR"/>
        </w:rPr>
      </w:pPr>
      <w:r w:rsidRPr="00D53032">
        <w:rPr>
          <w:rFonts w:ascii="Arial" w:eastAsia="Calibri" w:hAnsi="Arial" w:cs="Arial"/>
          <w:b w:val="0"/>
          <w:sz w:val="20"/>
          <w:lang w:val="es-AR"/>
        </w:rPr>
        <w:t xml:space="preserve">El siguiente cuadro muestra el total de asistencia crediticia otorgada por el </w:t>
      </w:r>
      <w:r>
        <w:rPr>
          <w:rFonts w:ascii="Arial" w:eastAsia="Calibri" w:hAnsi="Arial" w:cs="Arial"/>
          <w:b w:val="0"/>
          <w:sz w:val="20"/>
          <w:lang w:val="es-AR"/>
        </w:rPr>
        <w:t>Banco</w:t>
      </w:r>
      <w:r w:rsidRPr="00D53032">
        <w:rPr>
          <w:rFonts w:ascii="Arial" w:eastAsia="Calibri" w:hAnsi="Arial" w:cs="Arial"/>
          <w:b w:val="0"/>
          <w:sz w:val="20"/>
          <w:lang w:val="es-AR"/>
        </w:rPr>
        <w:t xml:space="preserve"> al personal clave, síndicos accionistas principales, sus familiares de hasta segundo grado de consanguinidad o primero de afinidad (según la definición de persona física vinculada del BCRA) y cualquier empresa vinculada a cualquiera de los anteriores cuya consolidación no sea reuqerida.</w:t>
      </w:r>
    </w:p>
    <w:p w14:paraId="5EC6D7AE" w14:textId="77777777" w:rsidR="00C1383B" w:rsidRPr="00D53032" w:rsidRDefault="00C1383B" w:rsidP="00C1383B">
      <w:pPr>
        <w:pStyle w:val="Textoindependiente2"/>
        <w:jc w:val="both"/>
        <w:rPr>
          <w:rFonts w:ascii="Arial" w:eastAsia="Calibri" w:hAnsi="Arial" w:cs="Arial"/>
          <w:b w:val="0"/>
          <w:sz w:val="20"/>
          <w:lang w:val="es-AR"/>
        </w:rPr>
      </w:pPr>
    </w:p>
    <w:tbl>
      <w:tblPr>
        <w:tblW w:w="33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12"/>
        <w:gridCol w:w="1341"/>
        <w:gridCol w:w="1041"/>
      </w:tblGrid>
      <w:tr w:rsidR="00C1383B" w:rsidRPr="00D53032" w14:paraId="7AFF2AAC" w14:textId="77777777" w:rsidTr="006E1AF7">
        <w:trPr>
          <w:trHeight w:val="228"/>
          <w:jc w:val="center"/>
        </w:trPr>
        <w:tc>
          <w:tcPr>
            <w:tcW w:w="3203" w:type="pct"/>
            <w:noWrap/>
            <w:tcMar>
              <w:top w:w="0" w:type="dxa"/>
              <w:left w:w="70" w:type="dxa"/>
              <w:bottom w:w="0" w:type="dxa"/>
              <w:right w:w="70" w:type="dxa"/>
            </w:tcMar>
            <w:vAlign w:val="center"/>
          </w:tcPr>
          <w:p w14:paraId="0D4D1371" w14:textId="77777777" w:rsidR="00C1383B" w:rsidRPr="00D53032" w:rsidRDefault="00C1383B" w:rsidP="00B168E7">
            <w:pPr>
              <w:spacing w:before="100" w:beforeAutospacing="1" w:after="100" w:afterAutospacing="1"/>
              <w:rPr>
                <w:rFonts w:ascii="Arial" w:eastAsia="Calibri" w:hAnsi="Arial" w:cs="Arial"/>
                <w:b/>
                <w:sz w:val="18"/>
                <w:szCs w:val="18"/>
              </w:rPr>
            </w:pPr>
          </w:p>
        </w:tc>
        <w:tc>
          <w:tcPr>
            <w:tcW w:w="898" w:type="pct"/>
            <w:noWrap/>
            <w:tcMar>
              <w:top w:w="0" w:type="dxa"/>
              <w:left w:w="70" w:type="dxa"/>
              <w:bottom w:w="0" w:type="dxa"/>
              <w:right w:w="70" w:type="dxa"/>
            </w:tcMar>
            <w:vAlign w:val="center"/>
            <w:hideMark/>
          </w:tcPr>
          <w:p w14:paraId="60EF98BC" w14:textId="77777777" w:rsidR="00C1383B" w:rsidRPr="00D53032" w:rsidRDefault="00C1383B" w:rsidP="00B168E7">
            <w:pPr>
              <w:spacing w:before="100" w:beforeAutospacing="1" w:after="100" w:afterAutospacing="1"/>
              <w:jc w:val="center"/>
              <w:rPr>
                <w:rFonts w:ascii="Arial" w:eastAsia="Calibri" w:hAnsi="Arial" w:cs="Arial"/>
                <w:b/>
                <w:sz w:val="18"/>
                <w:szCs w:val="18"/>
              </w:rPr>
            </w:pPr>
            <w:r w:rsidRPr="00D53032">
              <w:rPr>
                <w:rFonts w:ascii="Arial" w:eastAsia="Calibri" w:hAnsi="Arial" w:cs="Arial"/>
                <w:b/>
                <w:sz w:val="18"/>
                <w:szCs w:val="18"/>
              </w:rPr>
              <w:t>31/12/2019</w:t>
            </w:r>
          </w:p>
        </w:tc>
        <w:tc>
          <w:tcPr>
            <w:tcW w:w="898" w:type="pct"/>
            <w:noWrap/>
            <w:tcMar>
              <w:top w:w="0" w:type="dxa"/>
              <w:left w:w="70" w:type="dxa"/>
              <w:bottom w:w="0" w:type="dxa"/>
              <w:right w:w="70" w:type="dxa"/>
            </w:tcMar>
            <w:vAlign w:val="center"/>
            <w:hideMark/>
          </w:tcPr>
          <w:p w14:paraId="62C35776" w14:textId="77777777" w:rsidR="00C1383B" w:rsidRPr="00D53032" w:rsidRDefault="00C1383B" w:rsidP="00B168E7">
            <w:pPr>
              <w:spacing w:before="100" w:beforeAutospacing="1" w:after="100" w:afterAutospacing="1"/>
              <w:jc w:val="center"/>
              <w:rPr>
                <w:rFonts w:ascii="Arial" w:eastAsia="Calibri" w:hAnsi="Arial" w:cs="Arial"/>
                <w:b/>
                <w:sz w:val="18"/>
                <w:szCs w:val="18"/>
              </w:rPr>
            </w:pPr>
            <w:r w:rsidRPr="00D53032">
              <w:rPr>
                <w:rFonts w:ascii="Arial" w:eastAsia="Calibri" w:hAnsi="Arial" w:cs="Arial"/>
                <w:b/>
                <w:sz w:val="18"/>
                <w:szCs w:val="18"/>
              </w:rPr>
              <w:t>31/12/2018</w:t>
            </w:r>
          </w:p>
        </w:tc>
      </w:tr>
      <w:tr w:rsidR="000966C6" w:rsidRPr="00D53032" w14:paraId="51D2EFAD" w14:textId="77777777" w:rsidTr="006E1AF7">
        <w:trPr>
          <w:trHeight w:val="228"/>
          <w:jc w:val="center"/>
        </w:trPr>
        <w:tc>
          <w:tcPr>
            <w:tcW w:w="3203" w:type="pct"/>
            <w:noWrap/>
            <w:tcMar>
              <w:top w:w="0" w:type="dxa"/>
              <w:left w:w="70" w:type="dxa"/>
              <w:bottom w:w="0" w:type="dxa"/>
              <w:right w:w="70" w:type="dxa"/>
            </w:tcMar>
            <w:vAlign w:val="bottom"/>
            <w:hideMark/>
          </w:tcPr>
          <w:p w14:paraId="2A14FC66" w14:textId="77777777" w:rsidR="000966C6" w:rsidRPr="00D53032" w:rsidRDefault="000966C6" w:rsidP="000966C6">
            <w:pPr>
              <w:spacing w:before="100" w:beforeAutospacing="1" w:after="100" w:afterAutospacing="1"/>
              <w:rPr>
                <w:rFonts w:ascii="Arial" w:eastAsia="Calibri" w:hAnsi="Arial" w:cs="Arial"/>
                <w:sz w:val="18"/>
                <w:szCs w:val="18"/>
              </w:rPr>
            </w:pPr>
            <w:r w:rsidRPr="00D53032">
              <w:rPr>
                <w:rFonts w:ascii="Arial" w:eastAsia="Calibri" w:hAnsi="Arial" w:cs="Arial"/>
                <w:sz w:val="18"/>
                <w:szCs w:val="18"/>
              </w:rPr>
              <w:t>Exposición financiera total agregada</w:t>
            </w:r>
          </w:p>
        </w:tc>
        <w:tc>
          <w:tcPr>
            <w:tcW w:w="898" w:type="pct"/>
            <w:noWrap/>
            <w:tcMar>
              <w:top w:w="0" w:type="dxa"/>
              <w:left w:w="70" w:type="dxa"/>
              <w:bottom w:w="0" w:type="dxa"/>
              <w:right w:w="70" w:type="dxa"/>
            </w:tcMar>
            <w:vAlign w:val="center"/>
          </w:tcPr>
          <w:p w14:paraId="0223AEE6" w14:textId="6ADD6A62"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902.029 </w:t>
            </w:r>
          </w:p>
        </w:tc>
        <w:tc>
          <w:tcPr>
            <w:tcW w:w="898" w:type="pct"/>
            <w:noWrap/>
            <w:tcMar>
              <w:top w:w="0" w:type="dxa"/>
              <w:left w:w="70" w:type="dxa"/>
              <w:bottom w:w="0" w:type="dxa"/>
              <w:right w:w="70" w:type="dxa"/>
            </w:tcMar>
            <w:vAlign w:val="center"/>
            <w:hideMark/>
          </w:tcPr>
          <w:p w14:paraId="2DF958DD" w14:textId="476220D8"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696.668 </w:t>
            </w:r>
          </w:p>
        </w:tc>
      </w:tr>
      <w:tr w:rsidR="000966C6" w:rsidRPr="00D53032" w14:paraId="2CE65ADC" w14:textId="77777777" w:rsidTr="006E1AF7">
        <w:trPr>
          <w:trHeight w:val="228"/>
          <w:jc w:val="center"/>
        </w:trPr>
        <w:tc>
          <w:tcPr>
            <w:tcW w:w="3203" w:type="pct"/>
            <w:noWrap/>
            <w:tcMar>
              <w:top w:w="0" w:type="dxa"/>
              <w:left w:w="70" w:type="dxa"/>
              <w:bottom w:w="0" w:type="dxa"/>
              <w:right w:w="70" w:type="dxa"/>
            </w:tcMar>
            <w:vAlign w:val="bottom"/>
            <w:hideMark/>
          </w:tcPr>
          <w:p w14:paraId="2441A514" w14:textId="77777777" w:rsidR="000966C6" w:rsidRPr="00D53032" w:rsidRDefault="000966C6" w:rsidP="000966C6">
            <w:pPr>
              <w:spacing w:before="100" w:beforeAutospacing="1" w:after="100" w:afterAutospacing="1"/>
              <w:rPr>
                <w:rFonts w:ascii="Arial" w:eastAsia="Calibri" w:hAnsi="Arial" w:cs="Arial"/>
                <w:sz w:val="18"/>
                <w:szCs w:val="18"/>
              </w:rPr>
            </w:pPr>
            <w:r w:rsidRPr="00D53032">
              <w:rPr>
                <w:rFonts w:ascii="Arial" w:eastAsia="Calibri" w:hAnsi="Arial" w:cs="Arial"/>
                <w:sz w:val="18"/>
                <w:szCs w:val="18"/>
              </w:rPr>
              <w:t>Número de partes relacionadas beneficiarios</w:t>
            </w:r>
          </w:p>
        </w:tc>
        <w:tc>
          <w:tcPr>
            <w:tcW w:w="898" w:type="pct"/>
            <w:noWrap/>
            <w:tcMar>
              <w:top w:w="0" w:type="dxa"/>
              <w:left w:w="70" w:type="dxa"/>
              <w:bottom w:w="0" w:type="dxa"/>
              <w:right w:w="70" w:type="dxa"/>
            </w:tcMar>
            <w:vAlign w:val="center"/>
          </w:tcPr>
          <w:p w14:paraId="0566B2F5" w14:textId="4B471149"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68 </w:t>
            </w:r>
          </w:p>
        </w:tc>
        <w:tc>
          <w:tcPr>
            <w:tcW w:w="898" w:type="pct"/>
            <w:noWrap/>
            <w:tcMar>
              <w:top w:w="0" w:type="dxa"/>
              <w:left w:w="70" w:type="dxa"/>
              <w:bottom w:w="0" w:type="dxa"/>
              <w:right w:w="70" w:type="dxa"/>
            </w:tcMar>
            <w:vAlign w:val="center"/>
            <w:hideMark/>
          </w:tcPr>
          <w:p w14:paraId="4FEC0771" w14:textId="0C78D7C8"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73 </w:t>
            </w:r>
          </w:p>
        </w:tc>
      </w:tr>
      <w:tr w:rsidR="000966C6" w:rsidRPr="00D53032" w14:paraId="2B0DC528" w14:textId="77777777" w:rsidTr="006E1AF7">
        <w:trPr>
          <w:trHeight w:val="228"/>
          <w:jc w:val="center"/>
        </w:trPr>
        <w:tc>
          <w:tcPr>
            <w:tcW w:w="3203" w:type="pct"/>
            <w:noWrap/>
            <w:tcMar>
              <w:top w:w="0" w:type="dxa"/>
              <w:left w:w="70" w:type="dxa"/>
              <w:bottom w:w="0" w:type="dxa"/>
              <w:right w:w="70" w:type="dxa"/>
            </w:tcMar>
            <w:vAlign w:val="bottom"/>
            <w:hideMark/>
          </w:tcPr>
          <w:p w14:paraId="1C38777A" w14:textId="77777777" w:rsidR="000966C6" w:rsidRPr="00D53032" w:rsidRDefault="000966C6" w:rsidP="000966C6">
            <w:pPr>
              <w:spacing w:before="100" w:beforeAutospacing="1" w:after="100" w:afterAutospacing="1"/>
              <w:rPr>
                <w:rFonts w:ascii="Arial" w:eastAsia="Calibri" w:hAnsi="Arial" w:cs="Arial"/>
                <w:sz w:val="18"/>
                <w:szCs w:val="18"/>
              </w:rPr>
            </w:pPr>
            <w:r w:rsidRPr="00D53032">
              <w:rPr>
                <w:rFonts w:ascii="Arial" w:eastAsia="Calibri" w:hAnsi="Arial" w:cs="Arial"/>
                <w:sz w:val="18"/>
                <w:szCs w:val="18"/>
              </w:rPr>
              <w:t>   (a) individuos</w:t>
            </w:r>
          </w:p>
        </w:tc>
        <w:tc>
          <w:tcPr>
            <w:tcW w:w="898" w:type="pct"/>
            <w:noWrap/>
            <w:tcMar>
              <w:top w:w="0" w:type="dxa"/>
              <w:left w:w="70" w:type="dxa"/>
              <w:bottom w:w="0" w:type="dxa"/>
              <w:right w:w="70" w:type="dxa"/>
            </w:tcMar>
            <w:vAlign w:val="center"/>
          </w:tcPr>
          <w:p w14:paraId="3D4C36B9" w14:textId="006EF5B7"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62 </w:t>
            </w:r>
          </w:p>
        </w:tc>
        <w:tc>
          <w:tcPr>
            <w:tcW w:w="898" w:type="pct"/>
            <w:noWrap/>
            <w:tcMar>
              <w:top w:w="0" w:type="dxa"/>
              <w:left w:w="70" w:type="dxa"/>
              <w:bottom w:w="0" w:type="dxa"/>
              <w:right w:w="70" w:type="dxa"/>
            </w:tcMar>
            <w:vAlign w:val="center"/>
            <w:hideMark/>
          </w:tcPr>
          <w:p w14:paraId="2FDC21E9" w14:textId="3C317871"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67 </w:t>
            </w:r>
          </w:p>
        </w:tc>
      </w:tr>
      <w:tr w:rsidR="000966C6" w:rsidRPr="00D53032" w14:paraId="21B16204" w14:textId="77777777" w:rsidTr="006E1AF7">
        <w:trPr>
          <w:trHeight w:val="228"/>
          <w:jc w:val="center"/>
        </w:trPr>
        <w:tc>
          <w:tcPr>
            <w:tcW w:w="3203" w:type="pct"/>
            <w:noWrap/>
            <w:tcMar>
              <w:top w:w="0" w:type="dxa"/>
              <w:left w:w="70" w:type="dxa"/>
              <w:bottom w:w="0" w:type="dxa"/>
              <w:right w:w="70" w:type="dxa"/>
            </w:tcMar>
            <w:vAlign w:val="bottom"/>
            <w:hideMark/>
          </w:tcPr>
          <w:p w14:paraId="4A515D62" w14:textId="77777777" w:rsidR="000966C6" w:rsidRPr="00D53032" w:rsidRDefault="000966C6" w:rsidP="000966C6">
            <w:pPr>
              <w:spacing w:before="100" w:beforeAutospacing="1" w:after="100" w:afterAutospacing="1"/>
              <w:rPr>
                <w:rFonts w:ascii="Arial" w:eastAsia="Calibri" w:hAnsi="Arial" w:cs="Arial"/>
                <w:sz w:val="18"/>
                <w:szCs w:val="18"/>
              </w:rPr>
            </w:pPr>
            <w:r w:rsidRPr="00D53032">
              <w:rPr>
                <w:rFonts w:ascii="Arial" w:eastAsia="Calibri" w:hAnsi="Arial" w:cs="Arial"/>
                <w:sz w:val="18"/>
                <w:szCs w:val="18"/>
              </w:rPr>
              <w:t>   (b) compañias</w:t>
            </w:r>
          </w:p>
        </w:tc>
        <w:tc>
          <w:tcPr>
            <w:tcW w:w="898" w:type="pct"/>
            <w:noWrap/>
            <w:tcMar>
              <w:top w:w="0" w:type="dxa"/>
              <w:left w:w="70" w:type="dxa"/>
              <w:bottom w:w="0" w:type="dxa"/>
              <w:right w:w="70" w:type="dxa"/>
            </w:tcMar>
            <w:vAlign w:val="center"/>
          </w:tcPr>
          <w:p w14:paraId="2E7847E1" w14:textId="3BD518F1"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6 </w:t>
            </w:r>
          </w:p>
        </w:tc>
        <w:tc>
          <w:tcPr>
            <w:tcW w:w="898" w:type="pct"/>
            <w:noWrap/>
            <w:tcMar>
              <w:top w:w="0" w:type="dxa"/>
              <w:left w:w="70" w:type="dxa"/>
              <w:bottom w:w="0" w:type="dxa"/>
              <w:right w:w="70" w:type="dxa"/>
            </w:tcMar>
            <w:vAlign w:val="center"/>
            <w:hideMark/>
          </w:tcPr>
          <w:p w14:paraId="576A3CF5" w14:textId="328CEC14"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6 </w:t>
            </w:r>
          </w:p>
        </w:tc>
      </w:tr>
      <w:tr w:rsidR="000966C6" w:rsidRPr="00D53032" w14:paraId="0ED60F95" w14:textId="77777777" w:rsidTr="006E1AF7">
        <w:trPr>
          <w:trHeight w:val="228"/>
          <w:jc w:val="center"/>
        </w:trPr>
        <w:tc>
          <w:tcPr>
            <w:tcW w:w="3203" w:type="pct"/>
            <w:noWrap/>
            <w:tcMar>
              <w:top w:w="0" w:type="dxa"/>
              <w:left w:w="70" w:type="dxa"/>
              <w:bottom w:w="0" w:type="dxa"/>
              <w:right w:w="70" w:type="dxa"/>
            </w:tcMar>
            <w:vAlign w:val="bottom"/>
            <w:hideMark/>
          </w:tcPr>
          <w:p w14:paraId="2D09F338" w14:textId="77777777" w:rsidR="000966C6" w:rsidRPr="00D53032" w:rsidRDefault="000966C6" w:rsidP="000966C6">
            <w:pPr>
              <w:spacing w:before="100" w:beforeAutospacing="1" w:after="100" w:afterAutospacing="1"/>
              <w:rPr>
                <w:rFonts w:ascii="Arial" w:eastAsia="Calibri" w:hAnsi="Arial" w:cs="Arial"/>
                <w:sz w:val="18"/>
                <w:szCs w:val="18"/>
              </w:rPr>
            </w:pPr>
            <w:r w:rsidRPr="00D53032">
              <w:rPr>
                <w:rFonts w:ascii="Arial" w:eastAsia="Calibri" w:hAnsi="Arial" w:cs="Arial"/>
                <w:sz w:val="18"/>
                <w:szCs w:val="18"/>
              </w:rPr>
              <w:t>Exposición financiera total promedio</w:t>
            </w:r>
          </w:p>
        </w:tc>
        <w:tc>
          <w:tcPr>
            <w:tcW w:w="898" w:type="pct"/>
            <w:noWrap/>
            <w:tcMar>
              <w:top w:w="0" w:type="dxa"/>
              <w:left w:w="70" w:type="dxa"/>
              <w:bottom w:w="0" w:type="dxa"/>
              <w:right w:w="70" w:type="dxa"/>
            </w:tcMar>
            <w:vAlign w:val="center"/>
          </w:tcPr>
          <w:p w14:paraId="71C474EC" w14:textId="792A9683"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13.265 </w:t>
            </w:r>
          </w:p>
        </w:tc>
        <w:tc>
          <w:tcPr>
            <w:tcW w:w="898" w:type="pct"/>
            <w:noWrap/>
            <w:tcMar>
              <w:top w:w="0" w:type="dxa"/>
              <w:left w:w="70" w:type="dxa"/>
              <w:bottom w:w="0" w:type="dxa"/>
              <w:right w:w="70" w:type="dxa"/>
            </w:tcMar>
            <w:vAlign w:val="center"/>
            <w:hideMark/>
          </w:tcPr>
          <w:p w14:paraId="18C669D0" w14:textId="152709CF"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9.543 </w:t>
            </w:r>
          </w:p>
        </w:tc>
      </w:tr>
      <w:tr w:rsidR="000966C6" w:rsidRPr="00D53032" w14:paraId="4BAF2FB0" w14:textId="77777777" w:rsidTr="006E1AF7">
        <w:trPr>
          <w:trHeight w:val="228"/>
          <w:jc w:val="center"/>
        </w:trPr>
        <w:tc>
          <w:tcPr>
            <w:tcW w:w="3203" w:type="pct"/>
            <w:noWrap/>
            <w:tcMar>
              <w:top w:w="0" w:type="dxa"/>
              <w:left w:w="70" w:type="dxa"/>
              <w:bottom w:w="0" w:type="dxa"/>
              <w:right w:w="70" w:type="dxa"/>
            </w:tcMar>
            <w:vAlign w:val="bottom"/>
            <w:hideMark/>
          </w:tcPr>
          <w:p w14:paraId="45207163" w14:textId="77777777" w:rsidR="000966C6" w:rsidRPr="00D53032" w:rsidRDefault="000966C6" w:rsidP="000966C6">
            <w:pPr>
              <w:spacing w:before="100" w:beforeAutospacing="1" w:after="100" w:afterAutospacing="1"/>
              <w:rPr>
                <w:rFonts w:ascii="Arial" w:eastAsia="Calibri" w:hAnsi="Arial" w:cs="Arial"/>
                <w:sz w:val="18"/>
                <w:szCs w:val="18"/>
              </w:rPr>
            </w:pPr>
            <w:r w:rsidRPr="00D53032">
              <w:rPr>
                <w:rFonts w:ascii="Arial" w:eastAsia="Calibri" w:hAnsi="Arial" w:cs="Arial"/>
                <w:sz w:val="18"/>
                <w:szCs w:val="18"/>
              </w:rPr>
              <w:t xml:space="preserve">Mayor exposición individual </w:t>
            </w:r>
          </w:p>
        </w:tc>
        <w:tc>
          <w:tcPr>
            <w:tcW w:w="898" w:type="pct"/>
            <w:noWrap/>
            <w:tcMar>
              <w:top w:w="0" w:type="dxa"/>
              <w:left w:w="70" w:type="dxa"/>
              <w:bottom w:w="0" w:type="dxa"/>
              <w:right w:w="70" w:type="dxa"/>
            </w:tcMar>
            <w:vAlign w:val="center"/>
          </w:tcPr>
          <w:p w14:paraId="08AACDE4" w14:textId="71DD1766"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823.172 </w:t>
            </w:r>
          </w:p>
        </w:tc>
        <w:tc>
          <w:tcPr>
            <w:tcW w:w="898" w:type="pct"/>
            <w:noWrap/>
            <w:tcMar>
              <w:top w:w="0" w:type="dxa"/>
              <w:left w:w="70" w:type="dxa"/>
              <w:bottom w:w="0" w:type="dxa"/>
              <w:right w:w="70" w:type="dxa"/>
            </w:tcMar>
            <w:vAlign w:val="center"/>
            <w:hideMark/>
          </w:tcPr>
          <w:p w14:paraId="1BA95F06" w14:textId="1B7E4934" w:rsidR="000966C6" w:rsidRPr="000966C6" w:rsidRDefault="000966C6">
            <w:pPr>
              <w:spacing w:before="100" w:beforeAutospacing="1" w:after="100" w:afterAutospacing="1"/>
              <w:jc w:val="right"/>
              <w:rPr>
                <w:rFonts w:ascii="Arial" w:eastAsia="Calibri" w:hAnsi="Arial" w:cs="Arial"/>
                <w:sz w:val="18"/>
                <w:szCs w:val="18"/>
              </w:rPr>
            </w:pPr>
            <w:r w:rsidRPr="006E1AF7">
              <w:rPr>
                <w:rFonts w:ascii="Arial" w:hAnsi="Arial" w:cs="Arial"/>
                <w:sz w:val="18"/>
                <w:szCs w:val="18"/>
              </w:rPr>
              <w:t xml:space="preserve"> 511.689 </w:t>
            </w:r>
          </w:p>
        </w:tc>
      </w:tr>
    </w:tbl>
    <w:p w14:paraId="1AC549DB" w14:textId="77777777" w:rsidR="00C1383B" w:rsidRPr="00D53032" w:rsidRDefault="00C1383B" w:rsidP="00C1383B">
      <w:pPr>
        <w:pStyle w:val="Textoindependiente2"/>
        <w:rPr>
          <w:rFonts w:ascii="Arial" w:eastAsia="Calibri" w:hAnsi="Arial" w:cs="Arial"/>
          <w:b w:val="0"/>
          <w:sz w:val="20"/>
          <w:lang w:val="es-AR"/>
        </w:rPr>
      </w:pPr>
    </w:p>
    <w:p w14:paraId="1DAF2503" w14:textId="77777777" w:rsidR="00C1383B" w:rsidRPr="00D53032" w:rsidRDefault="00C1383B" w:rsidP="00C1383B">
      <w:pPr>
        <w:pStyle w:val="Textoindependiente2"/>
        <w:jc w:val="both"/>
        <w:rPr>
          <w:rFonts w:ascii="Arial" w:eastAsia="Calibri" w:hAnsi="Arial" w:cs="Arial"/>
          <w:b w:val="0"/>
          <w:sz w:val="20"/>
          <w:lang w:val="es-AR"/>
        </w:rPr>
      </w:pPr>
      <w:r w:rsidRPr="00D53032">
        <w:rPr>
          <w:rFonts w:ascii="Arial" w:eastAsia="Calibri" w:hAnsi="Arial" w:cs="Arial"/>
          <w:b w:val="0"/>
          <w:sz w:val="20"/>
          <w:lang w:val="es-AR"/>
        </w:rPr>
        <w:t xml:space="preserve">Las financiaciones, incluyendo las que fueron reestructuradas, fueron otorgadas en el curso normal de los negocios y sustancialmente  en los mismos términos, incluyendo tasas de interés y garantías, que los vigentes en su momento para otorgar crédito a no vinculados. Asimismo, no implicaron un riesgo de incobrabilidad mayor al normal ni presentaron otro tipo de condiciones desfavorables. </w:t>
      </w:r>
    </w:p>
    <w:p w14:paraId="5D77331C" w14:textId="77777777" w:rsidR="00C1383B" w:rsidRPr="00701F32" w:rsidRDefault="00C1383B" w:rsidP="00656E62">
      <w:pPr>
        <w:tabs>
          <w:tab w:val="left" w:pos="142"/>
        </w:tabs>
        <w:spacing w:after="160" w:line="259" w:lineRule="auto"/>
        <w:jc w:val="both"/>
        <w:rPr>
          <w:rFonts w:ascii="Arial" w:eastAsia="Calibri" w:hAnsi="Arial" w:cs="Arial"/>
          <w:sz w:val="20"/>
        </w:rPr>
      </w:pPr>
    </w:p>
    <w:p w14:paraId="651D30B5" w14:textId="77777777" w:rsidR="00656E62" w:rsidRPr="00701F32" w:rsidRDefault="00656E62" w:rsidP="00656E62">
      <w:pPr>
        <w:contextualSpacing/>
        <w:jc w:val="both"/>
        <w:rPr>
          <w:rFonts w:ascii="Arial" w:eastAsia="Calibri" w:hAnsi="Arial" w:cs="Arial"/>
          <w:noProof/>
          <w:sz w:val="20"/>
          <w:u w:val="single"/>
        </w:rPr>
      </w:pPr>
      <w:r w:rsidRPr="00701F32">
        <w:rPr>
          <w:rFonts w:ascii="Arial" w:eastAsia="Calibri" w:hAnsi="Arial" w:cs="Arial"/>
          <w:noProof/>
          <w:sz w:val="20"/>
          <w:u w:val="single"/>
        </w:rPr>
        <w:t>A continuación se detallan los saldos y transacciones más significativas con partes relacionadas:</w:t>
      </w:r>
    </w:p>
    <w:p w14:paraId="2BE275CF" w14:textId="77777777" w:rsidR="00656E62" w:rsidRPr="00701F32" w:rsidRDefault="00656E62" w:rsidP="00656E62">
      <w:pPr>
        <w:widowControl w:val="0"/>
        <w:autoSpaceDE w:val="0"/>
        <w:autoSpaceDN w:val="0"/>
        <w:adjustRightInd w:val="0"/>
        <w:jc w:val="both"/>
        <w:rPr>
          <w:rFonts w:ascii="Arial" w:hAnsi="Arial" w:cs="Arial"/>
          <w:b/>
          <w:noProof/>
          <w:sz w:val="20"/>
        </w:rPr>
      </w:pPr>
    </w:p>
    <w:p w14:paraId="29CE48D0" w14:textId="1D57699F" w:rsidR="001C4AB8" w:rsidRPr="00701F32" w:rsidRDefault="00656E62" w:rsidP="00656E62">
      <w:pPr>
        <w:widowControl w:val="0"/>
        <w:autoSpaceDE w:val="0"/>
        <w:autoSpaceDN w:val="0"/>
        <w:adjustRightInd w:val="0"/>
        <w:jc w:val="both"/>
        <w:rPr>
          <w:rFonts w:ascii="Arial" w:eastAsia="Calibri" w:hAnsi="Arial" w:cs="Arial"/>
          <w:color w:val="000000"/>
          <w:sz w:val="20"/>
        </w:rPr>
      </w:pPr>
      <w:r w:rsidRPr="00701F32">
        <w:rPr>
          <w:rFonts w:ascii="Arial" w:eastAsia="Calibri" w:hAnsi="Arial" w:cs="Arial"/>
          <w:color w:val="000000"/>
          <w:sz w:val="20"/>
        </w:rPr>
        <w:t xml:space="preserve">Los saldos al </w:t>
      </w:r>
      <w:r w:rsidR="00886AE1">
        <w:rPr>
          <w:rFonts w:ascii="Arial" w:eastAsia="Calibri" w:hAnsi="Arial" w:cs="Arial"/>
          <w:color w:val="000000"/>
          <w:sz w:val="20"/>
        </w:rPr>
        <w:t>3</w:t>
      </w:r>
      <w:r w:rsidR="00FE2245">
        <w:rPr>
          <w:rFonts w:ascii="Arial" w:eastAsia="Calibri" w:hAnsi="Arial" w:cs="Arial"/>
          <w:color w:val="000000"/>
          <w:sz w:val="20"/>
        </w:rPr>
        <w:t>1</w:t>
      </w:r>
      <w:r w:rsidR="006104DE">
        <w:rPr>
          <w:rFonts w:ascii="Arial" w:eastAsia="Calibri" w:hAnsi="Arial" w:cs="Arial"/>
          <w:color w:val="000000"/>
          <w:sz w:val="20"/>
        </w:rPr>
        <w:t xml:space="preserve"> de </w:t>
      </w:r>
      <w:r w:rsidR="00FE2245">
        <w:rPr>
          <w:rFonts w:ascii="Arial" w:eastAsia="Calibri" w:hAnsi="Arial" w:cs="Arial"/>
          <w:color w:val="000000"/>
          <w:sz w:val="20"/>
        </w:rPr>
        <w:t>diciembre</w:t>
      </w:r>
      <w:r w:rsidR="006104DE">
        <w:rPr>
          <w:rFonts w:ascii="Arial" w:eastAsia="Calibri" w:hAnsi="Arial" w:cs="Arial"/>
          <w:color w:val="000000"/>
          <w:sz w:val="20"/>
        </w:rPr>
        <w:t xml:space="preserve"> de 2019</w:t>
      </w:r>
      <w:r w:rsidR="00FE2245">
        <w:rPr>
          <w:rFonts w:ascii="Arial" w:eastAsia="Calibri" w:hAnsi="Arial" w:cs="Arial"/>
          <w:color w:val="000000"/>
          <w:sz w:val="20"/>
        </w:rPr>
        <w:t xml:space="preserve"> y 2018</w:t>
      </w:r>
      <w:r w:rsidRPr="00701F32">
        <w:rPr>
          <w:rFonts w:ascii="Arial" w:eastAsia="Calibri" w:hAnsi="Arial" w:cs="Arial"/>
          <w:color w:val="000000"/>
          <w:sz w:val="20"/>
        </w:rPr>
        <w:t>, con las sociedades indicadas son los siguientes:</w:t>
      </w:r>
    </w:p>
    <w:p w14:paraId="3644471C" w14:textId="77777777" w:rsidR="00034C0E" w:rsidRPr="00701F32" w:rsidRDefault="00034C0E" w:rsidP="00034C0E">
      <w:pPr>
        <w:widowControl w:val="0"/>
        <w:autoSpaceDE w:val="0"/>
        <w:autoSpaceDN w:val="0"/>
        <w:adjustRightInd w:val="0"/>
        <w:jc w:val="both"/>
        <w:rPr>
          <w:rFonts w:ascii="Arial" w:hAnsi="Arial" w:cs="Arial"/>
          <w:b/>
          <w:noProof/>
          <w:sz w:val="20"/>
        </w:rPr>
      </w:pPr>
    </w:p>
    <w:tbl>
      <w:tblPr>
        <w:tblW w:w="10207"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269"/>
        <w:gridCol w:w="1276"/>
        <w:gridCol w:w="992"/>
        <w:gridCol w:w="1006"/>
        <w:gridCol w:w="837"/>
        <w:gridCol w:w="823"/>
        <w:gridCol w:w="993"/>
        <w:gridCol w:w="992"/>
        <w:gridCol w:w="1019"/>
      </w:tblGrid>
      <w:tr w:rsidR="00EF1510" w:rsidRPr="00D76A56" w14:paraId="29439C41" w14:textId="3EBB576B" w:rsidTr="006E1AF7">
        <w:trPr>
          <w:trHeight w:val="297"/>
          <w:tblHeader/>
        </w:trPr>
        <w:tc>
          <w:tcPr>
            <w:tcW w:w="2269" w:type="dxa"/>
            <w:vMerge w:val="restart"/>
            <w:shd w:val="clear" w:color="auto" w:fill="auto"/>
            <w:vAlign w:val="center"/>
            <w:hideMark/>
          </w:tcPr>
          <w:p w14:paraId="7468C9F8" w14:textId="77777777" w:rsidR="00EF1510" w:rsidRPr="006E1AF7" w:rsidRDefault="00EF1510" w:rsidP="00034C0E">
            <w:pPr>
              <w:spacing w:after="160" w:line="259" w:lineRule="auto"/>
              <w:jc w:val="center"/>
              <w:rPr>
                <w:rFonts w:ascii="Arial" w:eastAsia="Calibri" w:hAnsi="Arial" w:cs="Arial"/>
                <w:b/>
                <w:color w:val="000000"/>
                <w:sz w:val="14"/>
                <w:szCs w:val="14"/>
              </w:rPr>
            </w:pPr>
            <w:r w:rsidRPr="006E1AF7">
              <w:rPr>
                <w:rFonts w:ascii="Arial" w:eastAsia="Calibri" w:hAnsi="Arial" w:cs="Arial"/>
                <w:b/>
                <w:color w:val="000000"/>
                <w:sz w:val="14"/>
                <w:szCs w:val="14"/>
              </w:rPr>
              <w:t>Sociedades</w:t>
            </w:r>
          </w:p>
        </w:tc>
        <w:tc>
          <w:tcPr>
            <w:tcW w:w="7938" w:type="dxa"/>
            <w:gridSpan w:val="8"/>
            <w:vAlign w:val="bottom"/>
          </w:tcPr>
          <w:p w14:paraId="3415704D" w14:textId="2BA03076" w:rsidR="00EF1510" w:rsidRPr="006E1AF7" w:rsidRDefault="00EF1510" w:rsidP="00886AE1">
            <w:pPr>
              <w:spacing w:after="160" w:line="259" w:lineRule="auto"/>
              <w:jc w:val="center"/>
              <w:rPr>
                <w:rFonts w:ascii="Arial" w:eastAsia="Calibri" w:hAnsi="Arial" w:cs="Arial"/>
                <w:b/>
                <w:color w:val="000000"/>
                <w:sz w:val="14"/>
                <w:szCs w:val="14"/>
                <w:lang w:eastAsia="es-AR"/>
              </w:rPr>
            </w:pPr>
            <w:r w:rsidRPr="006E1AF7">
              <w:rPr>
                <w:rFonts w:ascii="Arial" w:eastAsia="Calibri" w:hAnsi="Arial" w:cs="Arial"/>
                <w:b/>
                <w:color w:val="000000"/>
                <w:sz w:val="14"/>
                <w:szCs w:val="14"/>
                <w:lang w:eastAsia="es-AR"/>
              </w:rPr>
              <w:t>31/12/2019</w:t>
            </w:r>
          </w:p>
        </w:tc>
      </w:tr>
      <w:tr w:rsidR="00EF1510" w:rsidRPr="00D76A56" w14:paraId="0D487119" w14:textId="3581F7F0" w:rsidTr="006E1AF7">
        <w:trPr>
          <w:trHeight w:val="398"/>
          <w:tblHeader/>
        </w:trPr>
        <w:tc>
          <w:tcPr>
            <w:tcW w:w="2269" w:type="dxa"/>
            <w:vMerge/>
            <w:shd w:val="clear" w:color="auto" w:fill="auto"/>
            <w:vAlign w:val="bottom"/>
            <w:hideMark/>
          </w:tcPr>
          <w:p w14:paraId="21CE4374" w14:textId="77777777" w:rsidR="00EF1510" w:rsidRPr="006E1AF7" w:rsidRDefault="00EF1510" w:rsidP="00EF1510">
            <w:pPr>
              <w:spacing w:after="160" w:line="259" w:lineRule="auto"/>
              <w:jc w:val="center"/>
              <w:rPr>
                <w:rFonts w:ascii="Arial" w:eastAsia="Calibri" w:hAnsi="Arial" w:cs="Arial"/>
                <w:color w:val="000000"/>
                <w:sz w:val="14"/>
                <w:szCs w:val="14"/>
              </w:rPr>
            </w:pPr>
          </w:p>
        </w:tc>
        <w:tc>
          <w:tcPr>
            <w:tcW w:w="1276" w:type="dxa"/>
            <w:vAlign w:val="center"/>
          </w:tcPr>
          <w:p w14:paraId="00FE8AD1" w14:textId="77777777" w:rsidR="00EF1510" w:rsidRPr="006E1AF7" w:rsidRDefault="00EF1510" w:rsidP="00EF1510">
            <w:pPr>
              <w:spacing w:after="160" w:line="259" w:lineRule="auto"/>
              <w:jc w:val="center"/>
              <w:rPr>
                <w:rFonts w:ascii="Arial" w:eastAsia="Calibri" w:hAnsi="Arial" w:cs="Arial"/>
                <w:b/>
                <w:bCs/>
                <w:color w:val="000000"/>
                <w:sz w:val="14"/>
                <w:szCs w:val="14"/>
                <w:lang w:eastAsia="es-AR"/>
              </w:rPr>
            </w:pPr>
            <w:r w:rsidRPr="006E1AF7">
              <w:rPr>
                <w:rFonts w:ascii="Arial" w:eastAsia="Calibri" w:hAnsi="Arial" w:cs="Arial"/>
                <w:b/>
                <w:bCs/>
                <w:color w:val="000000"/>
                <w:sz w:val="14"/>
                <w:szCs w:val="14"/>
                <w:lang w:eastAsia="es-AR"/>
              </w:rPr>
              <w:t>Préstamos y Otras Financiaciones</w:t>
            </w:r>
          </w:p>
        </w:tc>
        <w:tc>
          <w:tcPr>
            <w:tcW w:w="992" w:type="dxa"/>
            <w:shd w:val="clear" w:color="auto" w:fill="auto"/>
            <w:vAlign w:val="center"/>
            <w:hideMark/>
          </w:tcPr>
          <w:p w14:paraId="2C832CDE" w14:textId="77777777" w:rsidR="00EF1510" w:rsidRPr="006E1AF7" w:rsidRDefault="00EF1510" w:rsidP="00EF1510">
            <w:pPr>
              <w:spacing w:after="160" w:line="259" w:lineRule="auto"/>
              <w:jc w:val="center"/>
              <w:rPr>
                <w:rFonts w:ascii="Arial" w:eastAsia="Calibri" w:hAnsi="Arial" w:cs="Arial"/>
                <w:b/>
                <w:bCs/>
                <w:color w:val="000000"/>
                <w:sz w:val="14"/>
                <w:szCs w:val="14"/>
                <w:lang w:eastAsia="es-AR"/>
              </w:rPr>
            </w:pPr>
            <w:r w:rsidRPr="006E1AF7">
              <w:rPr>
                <w:rFonts w:ascii="Arial" w:eastAsia="Calibri" w:hAnsi="Arial" w:cs="Arial"/>
                <w:b/>
                <w:bCs/>
                <w:color w:val="000000"/>
                <w:sz w:val="14"/>
                <w:szCs w:val="14"/>
                <w:lang w:eastAsia="es-AR"/>
              </w:rPr>
              <w:t>Otros Activos Financieros</w:t>
            </w:r>
          </w:p>
        </w:tc>
        <w:tc>
          <w:tcPr>
            <w:tcW w:w="1006" w:type="dxa"/>
            <w:vAlign w:val="center"/>
          </w:tcPr>
          <w:p w14:paraId="6FB61B6B" w14:textId="54BE7BE4" w:rsidR="00EF1510" w:rsidRPr="00D76A56" w:rsidRDefault="00EF1510">
            <w:pPr>
              <w:spacing w:after="160" w:line="259" w:lineRule="auto"/>
              <w:jc w:val="center"/>
              <w:rPr>
                <w:rFonts w:ascii="Arial" w:eastAsia="Calibri" w:hAnsi="Arial" w:cs="Arial"/>
                <w:b/>
                <w:bCs/>
                <w:color w:val="000000"/>
                <w:sz w:val="14"/>
                <w:szCs w:val="14"/>
                <w:lang w:eastAsia="es-AR"/>
              </w:rPr>
            </w:pPr>
            <w:r w:rsidRPr="006E1AF7">
              <w:rPr>
                <w:rFonts w:ascii="Arial" w:hAnsi="Arial" w:cs="Arial"/>
                <w:b/>
                <w:bCs/>
                <w:color w:val="000000"/>
                <w:sz w:val="14"/>
                <w:szCs w:val="14"/>
              </w:rPr>
              <w:t>Activos financieros entregados en garantía</w:t>
            </w:r>
          </w:p>
        </w:tc>
        <w:tc>
          <w:tcPr>
            <w:tcW w:w="837" w:type="dxa"/>
            <w:vAlign w:val="center"/>
          </w:tcPr>
          <w:p w14:paraId="54C04D84" w14:textId="2AA3C8B9" w:rsidR="00EF1510" w:rsidRPr="00D76A56" w:rsidRDefault="00EF1510">
            <w:pPr>
              <w:spacing w:after="160" w:line="259" w:lineRule="auto"/>
              <w:jc w:val="center"/>
              <w:rPr>
                <w:rFonts w:ascii="Arial" w:eastAsia="Calibri" w:hAnsi="Arial" w:cs="Arial"/>
                <w:b/>
                <w:bCs/>
                <w:color w:val="000000"/>
                <w:sz w:val="14"/>
                <w:szCs w:val="14"/>
                <w:lang w:eastAsia="es-AR"/>
              </w:rPr>
            </w:pPr>
            <w:r w:rsidRPr="006E1AF7">
              <w:rPr>
                <w:rFonts w:ascii="Arial" w:hAnsi="Arial" w:cs="Arial"/>
                <w:b/>
                <w:bCs/>
                <w:color w:val="000000"/>
                <w:sz w:val="14"/>
                <w:szCs w:val="14"/>
              </w:rPr>
              <w:t>Otros títulos de Deuda</w:t>
            </w:r>
          </w:p>
        </w:tc>
        <w:tc>
          <w:tcPr>
            <w:tcW w:w="823" w:type="dxa"/>
            <w:shd w:val="clear" w:color="auto" w:fill="auto"/>
            <w:vAlign w:val="center"/>
            <w:hideMark/>
          </w:tcPr>
          <w:p w14:paraId="3F5D17DE" w14:textId="505129E0" w:rsidR="00EF1510" w:rsidRPr="006E1AF7" w:rsidRDefault="00EF1510" w:rsidP="00EF1510">
            <w:pPr>
              <w:spacing w:after="160" w:line="259" w:lineRule="auto"/>
              <w:jc w:val="center"/>
              <w:rPr>
                <w:rFonts w:ascii="Arial" w:eastAsia="Calibri" w:hAnsi="Arial" w:cs="Arial"/>
                <w:b/>
                <w:bCs/>
                <w:color w:val="000000"/>
                <w:sz w:val="14"/>
                <w:szCs w:val="14"/>
                <w:lang w:eastAsia="es-AR"/>
              </w:rPr>
            </w:pPr>
            <w:r w:rsidRPr="006E1AF7">
              <w:rPr>
                <w:rFonts w:ascii="Arial" w:eastAsia="Calibri" w:hAnsi="Arial" w:cs="Arial"/>
                <w:b/>
                <w:bCs/>
                <w:color w:val="000000"/>
                <w:sz w:val="14"/>
                <w:szCs w:val="14"/>
                <w:lang w:eastAsia="es-AR"/>
              </w:rPr>
              <w:t>Depósitos</w:t>
            </w:r>
          </w:p>
        </w:tc>
        <w:tc>
          <w:tcPr>
            <w:tcW w:w="993" w:type="dxa"/>
            <w:vAlign w:val="center"/>
          </w:tcPr>
          <w:p w14:paraId="7169639B" w14:textId="77777777" w:rsidR="00EF1510" w:rsidRPr="006E1AF7" w:rsidRDefault="00EF1510" w:rsidP="00EF1510">
            <w:pPr>
              <w:spacing w:after="160" w:line="259" w:lineRule="auto"/>
              <w:jc w:val="center"/>
              <w:rPr>
                <w:rFonts w:ascii="Arial" w:eastAsia="Calibri" w:hAnsi="Arial" w:cs="Arial"/>
                <w:b/>
                <w:bCs/>
                <w:color w:val="000000"/>
                <w:sz w:val="14"/>
                <w:szCs w:val="14"/>
                <w:lang w:eastAsia="es-AR"/>
              </w:rPr>
            </w:pPr>
            <w:r w:rsidRPr="006E1AF7">
              <w:rPr>
                <w:rFonts w:ascii="Arial" w:eastAsia="Calibri" w:hAnsi="Arial" w:cs="Arial"/>
                <w:b/>
                <w:bCs/>
                <w:color w:val="000000"/>
                <w:sz w:val="14"/>
                <w:szCs w:val="14"/>
                <w:lang w:eastAsia="es-AR"/>
              </w:rPr>
              <w:t>Otros Pasivos no Financieros</w:t>
            </w:r>
          </w:p>
        </w:tc>
        <w:tc>
          <w:tcPr>
            <w:tcW w:w="992" w:type="dxa"/>
            <w:shd w:val="clear" w:color="auto" w:fill="auto"/>
            <w:vAlign w:val="center"/>
          </w:tcPr>
          <w:p w14:paraId="731F27D8" w14:textId="209727F1" w:rsidR="00EF1510" w:rsidRPr="006E1AF7" w:rsidRDefault="00EF1510" w:rsidP="00EF1510">
            <w:pPr>
              <w:spacing w:after="160" w:line="259" w:lineRule="auto"/>
              <w:jc w:val="center"/>
              <w:rPr>
                <w:rFonts w:ascii="Arial" w:eastAsia="Calibri" w:hAnsi="Arial" w:cs="Arial"/>
                <w:b/>
                <w:bCs/>
                <w:color w:val="000000"/>
                <w:sz w:val="14"/>
                <w:szCs w:val="14"/>
                <w:lang w:eastAsia="es-AR"/>
              </w:rPr>
            </w:pPr>
            <w:r w:rsidRPr="006E1AF7">
              <w:rPr>
                <w:rFonts w:ascii="Arial" w:eastAsia="Calibri" w:hAnsi="Arial" w:cs="Arial"/>
                <w:b/>
                <w:bCs/>
                <w:color w:val="000000"/>
                <w:sz w:val="14"/>
                <w:szCs w:val="14"/>
                <w:lang w:eastAsia="es-AR"/>
              </w:rPr>
              <w:t>Otros Pasivos Financieros</w:t>
            </w:r>
          </w:p>
        </w:tc>
        <w:tc>
          <w:tcPr>
            <w:tcW w:w="1019" w:type="dxa"/>
            <w:vAlign w:val="center"/>
          </w:tcPr>
          <w:p w14:paraId="56119458" w14:textId="71934455" w:rsidR="00EF1510" w:rsidRPr="006E1AF7" w:rsidRDefault="00EF1510" w:rsidP="006E1AF7">
            <w:pPr>
              <w:jc w:val="center"/>
              <w:rPr>
                <w:rFonts w:ascii="Arial" w:eastAsia="Calibri" w:hAnsi="Arial" w:cs="Arial"/>
                <w:b/>
                <w:bCs/>
                <w:color w:val="000000"/>
                <w:sz w:val="14"/>
                <w:szCs w:val="14"/>
                <w:lang w:eastAsia="es-AR"/>
              </w:rPr>
            </w:pPr>
            <w:r w:rsidRPr="00D76A56">
              <w:rPr>
                <w:rFonts w:ascii="Arial" w:eastAsia="Calibri" w:hAnsi="Arial" w:cs="Arial"/>
                <w:b/>
                <w:bCs/>
                <w:color w:val="000000"/>
                <w:sz w:val="14"/>
                <w:szCs w:val="14"/>
                <w:lang w:eastAsia="es-AR"/>
              </w:rPr>
              <w:t>Operaciones de Pase</w:t>
            </w:r>
          </w:p>
        </w:tc>
      </w:tr>
      <w:tr w:rsidR="00D76A56" w:rsidRPr="00D76A56" w14:paraId="29BFE1FA" w14:textId="7B74CBDB" w:rsidTr="006E1AF7">
        <w:trPr>
          <w:trHeight w:val="182"/>
        </w:trPr>
        <w:tc>
          <w:tcPr>
            <w:tcW w:w="2269" w:type="dxa"/>
            <w:shd w:val="clear" w:color="auto" w:fill="auto"/>
            <w:vAlign w:val="bottom"/>
            <w:hideMark/>
          </w:tcPr>
          <w:p w14:paraId="2F2787A7" w14:textId="77777777" w:rsidR="00D76A56" w:rsidRPr="006E1AF7" w:rsidRDefault="00D76A56" w:rsidP="00D76A56">
            <w:pPr>
              <w:spacing w:after="160" w:line="259" w:lineRule="auto"/>
              <w:rPr>
                <w:rFonts w:ascii="Arial" w:eastAsia="Calibri" w:hAnsi="Arial" w:cs="Arial"/>
                <w:color w:val="000000"/>
                <w:sz w:val="14"/>
                <w:szCs w:val="14"/>
                <w:lang w:eastAsia="es-AR"/>
              </w:rPr>
            </w:pPr>
            <w:r w:rsidRPr="006E1AF7">
              <w:rPr>
                <w:rFonts w:ascii="Arial" w:eastAsia="Calibri" w:hAnsi="Arial" w:cs="Arial"/>
                <w:color w:val="000000"/>
                <w:sz w:val="14"/>
                <w:szCs w:val="14"/>
              </w:rPr>
              <w:t>Cordial Cía. Financiera S.A.</w:t>
            </w:r>
          </w:p>
        </w:tc>
        <w:tc>
          <w:tcPr>
            <w:tcW w:w="1276" w:type="dxa"/>
          </w:tcPr>
          <w:p w14:paraId="1A8BD4A8" w14:textId="67CC2772"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sz w:val="14"/>
                <w:szCs w:val="14"/>
              </w:rPr>
              <w:t>1.166.432</w:t>
            </w:r>
          </w:p>
        </w:tc>
        <w:tc>
          <w:tcPr>
            <w:tcW w:w="992" w:type="dxa"/>
            <w:shd w:val="clear" w:color="auto" w:fill="auto"/>
            <w:vAlign w:val="bottom"/>
          </w:tcPr>
          <w:p w14:paraId="58A9474A" w14:textId="1E1239CD" w:rsidR="00D76A56" w:rsidRPr="006E1AF7" w:rsidRDefault="00D76A56" w:rsidP="00D76A56">
            <w:pPr>
              <w:spacing w:after="160" w:line="259" w:lineRule="auto"/>
              <w:jc w:val="right"/>
              <w:rPr>
                <w:rFonts w:ascii="Arial" w:eastAsia="Calibri" w:hAnsi="Arial" w:cs="Arial"/>
                <w:color w:val="000000"/>
                <w:sz w:val="14"/>
                <w:szCs w:val="14"/>
                <w:lang w:val="es-ES_tradnl"/>
              </w:rPr>
            </w:pPr>
            <w:r>
              <w:rPr>
                <w:rFonts w:ascii="Arial" w:hAnsi="Arial" w:cs="Arial"/>
                <w:color w:val="000000"/>
                <w:sz w:val="14"/>
                <w:szCs w:val="14"/>
              </w:rPr>
              <w:t>-</w:t>
            </w:r>
          </w:p>
        </w:tc>
        <w:tc>
          <w:tcPr>
            <w:tcW w:w="1006" w:type="dxa"/>
            <w:vAlign w:val="bottom"/>
          </w:tcPr>
          <w:p w14:paraId="0EA5EA71" w14:textId="31659D6E" w:rsidR="00D76A56" w:rsidRPr="00D76A56"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358.200</w:t>
            </w:r>
          </w:p>
        </w:tc>
        <w:tc>
          <w:tcPr>
            <w:tcW w:w="837" w:type="dxa"/>
            <w:vAlign w:val="bottom"/>
          </w:tcPr>
          <w:p w14:paraId="462E3EFE" w14:textId="1760D3B0" w:rsidR="00D76A56" w:rsidRPr="00D76A56"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580.375</w:t>
            </w:r>
          </w:p>
        </w:tc>
        <w:tc>
          <w:tcPr>
            <w:tcW w:w="823" w:type="dxa"/>
            <w:shd w:val="clear" w:color="auto" w:fill="auto"/>
            <w:vAlign w:val="bottom"/>
          </w:tcPr>
          <w:p w14:paraId="7120D74B" w14:textId="3C402AD7"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9.259</w:t>
            </w:r>
          </w:p>
        </w:tc>
        <w:tc>
          <w:tcPr>
            <w:tcW w:w="993" w:type="dxa"/>
            <w:vAlign w:val="bottom"/>
          </w:tcPr>
          <w:p w14:paraId="13F055C1" w14:textId="04B84AE2"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w:t>
            </w:r>
          </w:p>
        </w:tc>
        <w:tc>
          <w:tcPr>
            <w:tcW w:w="992" w:type="dxa"/>
            <w:shd w:val="clear" w:color="auto" w:fill="auto"/>
            <w:vAlign w:val="bottom"/>
          </w:tcPr>
          <w:p w14:paraId="06168A2F" w14:textId="2D1D6C3C" w:rsidR="00D76A56" w:rsidRPr="006E1AF7" w:rsidRDefault="00D76A56" w:rsidP="00D76A56">
            <w:pPr>
              <w:spacing w:after="160" w:line="259" w:lineRule="auto"/>
              <w:jc w:val="right"/>
              <w:rPr>
                <w:rFonts w:ascii="Arial" w:eastAsia="Calibri" w:hAnsi="Arial" w:cs="Arial"/>
                <w:color w:val="000000"/>
                <w:sz w:val="14"/>
                <w:szCs w:val="14"/>
                <w:lang w:val="es-ES_tradnl"/>
              </w:rPr>
            </w:pPr>
            <w:r>
              <w:rPr>
                <w:rFonts w:ascii="Arial" w:hAnsi="Arial" w:cs="Arial"/>
                <w:color w:val="000000"/>
                <w:sz w:val="14"/>
                <w:szCs w:val="14"/>
              </w:rPr>
              <w:t>-</w:t>
            </w:r>
          </w:p>
        </w:tc>
        <w:tc>
          <w:tcPr>
            <w:tcW w:w="1019" w:type="dxa"/>
            <w:vAlign w:val="bottom"/>
          </w:tcPr>
          <w:p w14:paraId="4ABD933C" w14:textId="1269E9D3"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216.613</w:t>
            </w:r>
          </w:p>
        </w:tc>
      </w:tr>
      <w:tr w:rsidR="00D76A56" w:rsidRPr="00D76A56" w14:paraId="7CF70D8D" w14:textId="65C6363E" w:rsidTr="006E1AF7">
        <w:trPr>
          <w:trHeight w:val="173"/>
        </w:trPr>
        <w:tc>
          <w:tcPr>
            <w:tcW w:w="2269" w:type="dxa"/>
            <w:shd w:val="clear" w:color="auto" w:fill="auto"/>
            <w:vAlign w:val="bottom"/>
            <w:hideMark/>
          </w:tcPr>
          <w:p w14:paraId="414CF070" w14:textId="77777777" w:rsidR="00D76A56" w:rsidRPr="006E1AF7" w:rsidRDefault="00D76A56" w:rsidP="00D76A56">
            <w:pPr>
              <w:spacing w:after="160" w:line="259" w:lineRule="auto"/>
              <w:rPr>
                <w:rFonts w:ascii="Arial" w:eastAsia="Calibri" w:hAnsi="Arial" w:cs="Arial"/>
                <w:color w:val="000000"/>
                <w:sz w:val="14"/>
                <w:szCs w:val="14"/>
                <w:lang w:eastAsia="es-AR"/>
              </w:rPr>
            </w:pPr>
            <w:r w:rsidRPr="006E1AF7">
              <w:rPr>
                <w:rFonts w:ascii="Arial" w:eastAsia="Calibri" w:hAnsi="Arial" w:cs="Arial"/>
                <w:color w:val="000000"/>
                <w:sz w:val="14"/>
                <w:szCs w:val="14"/>
              </w:rPr>
              <w:t>Sofital S.A.F. e I.I.</w:t>
            </w:r>
          </w:p>
        </w:tc>
        <w:tc>
          <w:tcPr>
            <w:tcW w:w="1276" w:type="dxa"/>
          </w:tcPr>
          <w:p w14:paraId="3FB0D081" w14:textId="5CCE131C"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BA17AD">
              <w:rPr>
                <w:rFonts w:ascii="Arial" w:hAnsi="Arial" w:cs="Arial"/>
                <w:color w:val="000000"/>
                <w:sz w:val="14"/>
                <w:szCs w:val="14"/>
              </w:rPr>
              <w:t>-</w:t>
            </w:r>
          </w:p>
        </w:tc>
        <w:tc>
          <w:tcPr>
            <w:tcW w:w="992" w:type="dxa"/>
            <w:shd w:val="clear" w:color="auto" w:fill="auto"/>
          </w:tcPr>
          <w:p w14:paraId="776358D2" w14:textId="68C006CA"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BA17AD">
              <w:rPr>
                <w:rFonts w:ascii="Arial" w:hAnsi="Arial" w:cs="Arial"/>
                <w:color w:val="000000"/>
                <w:sz w:val="14"/>
                <w:szCs w:val="14"/>
              </w:rPr>
              <w:t>-</w:t>
            </w:r>
          </w:p>
        </w:tc>
        <w:tc>
          <w:tcPr>
            <w:tcW w:w="1006" w:type="dxa"/>
          </w:tcPr>
          <w:p w14:paraId="6F1CFF08" w14:textId="6C04E6E1" w:rsidR="00D76A56" w:rsidRPr="00D76A56" w:rsidRDefault="00D76A56" w:rsidP="00D76A56">
            <w:pPr>
              <w:spacing w:after="160" w:line="259" w:lineRule="auto"/>
              <w:jc w:val="right"/>
              <w:rPr>
                <w:rFonts w:ascii="Arial" w:eastAsia="Calibri" w:hAnsi="Arial" w:cs="Arial"/>
                <w:color w:val="000000"/>
                <w:sz w:val="14"/>
                <w:szCs w:val="14"/>
                <w:lang w:val="es-ES_tradnl"/>
              </w:rPr>
            </w:pPr>
            <w:r w:rsidRPr="00BA17AD">
              <w:rPr>
                <w:rFonts w:ascii="Arial" w:hAnsi="Arial" w:cs="Arial"/>
                <w:color w:val="000000"/>
                <w:sz w:val="14"/>
                <w:szCs w:val="14"/>
              </w:rPr>
              <w:t>-</w:t>
            </w:r>
          </w:p>
        </w:tc>
        <w:tc>
          <w:tcPr>
            <w:tcW w:w="837" w:type="dxa"/>
          </w:tcPr>
          <w:p w14:paraId="0D608331" w14:textId="70E04CF8" w:rsidR="00D76A56" w:rsidRPr="00D76A56" w:rsidRDefault="00D76A56" w:rsidP="00D76A56">
            <w:pPr>
              <w:spacing w:after="160" w:line="259" w:lineRule="auto"/>
              <w:jc w:val="right"/>
              <w:rPr>
                <w:rFonts w:ascii="Arial" w:eastAsia="Calibri" w:hAnsi="Arial" w:cs="Arial"/>
                <w:color w:val="000000"/>
                <w:sz w:val="14"/>
                <w:szCs w:val="14"/>
                <w:lang w:val="es-ES_tradnl"/>
              </w:rPr>
            </w:pPr>
            <w:r w:rsidRPr="00BA17AD">
              <w:rPr>
                <w:rFonts w:ascii="Arial" w:hAnsi="Arial" w:cs="Arial"/>
                <w:color w:val="000000"/>
                <w:sz w:val="14"/>
                <w:szCs w:val="14"/>
              </w:rPr>
              <w:t>-</w:t>
            </w:r>
          </w:p>
        </w:tc>
        <w:tc>
          <w:tcPr>
            <w:tcW w:w="823" w:type="dxa"/>
            <w:shd w:val="clear" w:color="auto" w:fill="auto"/>
            <w:vAlign w:val="bottom"/>
          </w:tcPr>
          <w:p w14:paraId="39535AEA" w14:textId="29D1699F"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84</w:t>
            </w:r>
          </w:p>
        </w:tc>
        <w:tc>
          <w:tcPr>
            <w:tcW w:w="993" w:type="dxa"/>
            <w:vAlign w:val="bottom"/>
          </w:tcPr>
          <w:p w14:paraId="4DD388C4" w14:textId="61CDC45D" w:rsidR="00D76A56" w:rsidRPr="006E1AF7" w:rsidRDefault="00D76A56" w:rsidP="00D76A56">
            <w:pPr>
              <w:spacing w:after="160" w:line="259" w:lineRule="auto"/>
              <w:jc w:val="right"/>
              <w:rPr>
                <w:rFonts w:ascii="Arial" w:eastAsia="Calibri" w:hAnsi="Arial" w:cs="Arial"/>
                <w:color w:val="000000"/>
                <w:sz w:val="14"/>
                <w:szCs w:val="14"/>
                <w:lang w:val="es-ES_tradnl"/>
              </w:rPr>
            </w:pPr>
            <w:r>
              <w:rPr>
                <w:rFonts w:ascii="Arial" w:hAnsi="Arial" w:cs="Arial"/>
                <w:color w:val="000000"/>
                <w:sz w:val="14"/>
                <w:szCs w:val="14"/>
              </w:rPr>
              <w:t>-</w:t>
            </w:r>
          </w:p>
        </w:tc>
        <w:tc>
          <w:tcPr>
            <w:tcW w:w="992" w:type="dxa"/>
            <w:shd w:val="clear" w:color="auto" w:fill="auto"/>
          </w:tcPr>
          <w:p w14:paraId="4732A52A" w14:textId="2DF30831"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1B3463">
              <w:rPr>
                <w:rFonts w:ascii="Arial" w:hAnsi="Arial" w:cs="Arial"/>
                <w:color w:val="000000"/>
                <w:sz w:val="14"/>
                <w:szCs w:val="14"/>
              </w:rPr>
              <w:t>-</w:t>
            </w:r>
          </w:p>
        </w:tc>
        <w:tc>
          <w:tcPr>
            <w:tcW w:w="1019" w:type="dxa"/>
          </w:tcPr>
          <w:p w14:paraId="001BD360" w14:textId="08AE7B9D"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1B3463">
              <w:rPr>
                <w:rFonts w:ascii="Arial" w:hAnsi="Arial" w:cs="Arial"/>
                <w:color w:val="000000"/>
                <w:sz w:val="14"/>
                <w:szCs w:val="14"/>
              </w:rPr>
              <w:t>-</w:t>
            </w:r>
          </w:p>
        </w:tc>
      </w:tr>
      <w:tr w:rsidR="00D76A56" w:rsidRPr="00D76A56" w14:paraId="5C676D31" w14:textId="4688BE1A" w:rsidTr="006E1AF7">
        <w:trPr>
          <w:trHeight w:val="160"/>
        </w:trPr>
        <w:tc>
          <w:tcPr>
            <w:tcW w:w="2269" w:type="dxa"/>
            <w:shd w:val="clear" w:color="auto" w:fill="auto"/>
            <w:vAlign w:val="bottom"/>
            <w:hideMark/>
          </w:tcPr>
          <w:p w14:paraId="2CCFDD80" w14:textId="031EEF1C" w:rsidR="00D76A56" w:rsidRPr="006E1AF7" w:rsidRDefault="00D76A56" w:rsidP="00D76A56">
            <w:pPr>
              <w:spacing w:after="160" w:line="259" w:lineRule="auto"/>
              <w:rPr>
                <w:rFonts w:ascii="Arial" w:eastAsia="Calibri" w:hAnsi="Arial" w:cs="Arial"/>
                <w:color w:val="000000"/>
                <w:sz w:val="14"/>
                <w:szCs w:val="14"/>
                <w:lang w:eastAsia="es-AR"/>
              </w:rPr>
            </w:pPr>
            <w:r w:rsidRPr="006E1AF7">
              <w:rPr>
                <w:rFonts w:ascii="Arial" w:eastAsia="Calibri" w:hAnsi="Arial" w:cs="Arial"/>
                <w:color w:val="000000"/>
                <w:sz w:val="14"/>
                <w:szCs w:val="14"/>
                <w:lang w:eastAsia="es-AR"/>
              </w:rPr>
              <w:t>Espacio Cordial de Servicios S.A.</w:t>
            </w:r>
          </w:p>
        </w:tc>
        <w:tc>
          <w:tcPr>
            <w:tcW w:w="1276" w:type="dxa"/>
          </w:tcPr>
          <w:p w14:paraId="3D7133F8" w14:textId="5F8E028F"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sz w:val="14"/>
                <w:szCs w:val="14"/>
              </w:rPr>
              <w:t>2</w:t>
            </w:r>
          </w:p>
        </w:tc>
        <w:tc>
          <w:tcPr>
            <w:tcW w:w="992" w:type="dxa"/>
            <w:shd w:val="clear" w:color="auto" w:fill="auto"/>
            <w:vAlign w:val="bottom"/>
          </w:tcPr>
          <w:p w14:paraId="43F1800B" w14:textId="66052215" w:rsidR="00D76A56" w:rsidRPr="006E1AF7" w:rsidRDefault="00D76A56" w:rsidP="00D76A56">
            <w:pPr>
              <w:spacing w:after="160" w:line="259" w:lineRule="auto"/>
              <w:jc w:val="right"/>
              <w:rPr>
                <w:rFonts w:ascii="Arial" w:eastAsia="Calibri" w:hAnsi="Arial" w:cs="Arial"/>
                <w:color w:val="000000"/>
                <w:sz w:val="14"/>
                <w:szCs w:val="14"/>
                <w:lang w:val="es-ES_tradnl"/>
              </w:rPr>
            </w:pPr>
            <w:r>
              <w:rPr>
                <w:rFonts w:ascii="Arial" w:hAnsi="Arial" w:cs="Arial"/>
                <w:color w:val="000000"/>
                <w:sz w:val="14"/>
                <w:szCs w:val="14"/>
              </w:rPr>
              <w:t>-</w:t>
            </w:r>
          </w:p>
        </w:tc>
        <w:tc>
          <w:tcPr>
            <w:tcW w:w="1006" w:type="dxa"/>
          </w:tcPr>
          <w:p w14:paraId="6F79FD05" w14:textId="461D5342" w:rsidR="00D76A56" w:rsidRPr="00D76A56" w:rsidRDefault="00D76A56" w:rsidP="00D76A56">
            <w:pPr>
              <w:spacing w:after="160" w:line="259" w:lineRule="auto"/>
              <w:jc w:val="right"/>
              <w:rPr>
                <w:rFonts w:ascii="Arial" w:eastAsia="Calibri" w:hAnsi="Arial" w:cs="Arial"/>
                <w:color w:val="000000"/>
                <w:sz w:val="14"/>
                <w:szCs w:val="14"/>
                <w:lang w:val="es-ES_tradnl"/>
              </w:rPr>
            </w:pPr>
            <w:r w:rsidRPr="00456254">
              <w:rPr>
                <w:rFonts w:ascii="Arial" w:hAnsi="Arial" w:cs="Arial"/>
                <w:color w:val="000000"/>
                <w:sz w:val="14"/>
                <w:szCs w:val="14"/>
              </w:rPr>
              <w:t>-</w:t>
            </w:r>
          </w:p>
        </w:tc>
        <w:tc>
          <w:tcPr>
            <w:tcW w:w="837" w:type="dxa"/>
          </w:tcPr>
          <w:p w14:paraId="68BBD842" w14:textId="753F7B46" w:rsidR="00D76A56" w:rsidRPr="00D76A56" w:rsidRDefault="00D76A56" w:rsidP="00D76A56">
            <w:pPr>
              <w:spacing w:after="160" w:line="259" w:lineRule="auto"/>
              <w:jc w:val="right"/>
              <w:rPr>
                <w:rFonts w:ascii="Arial" w:eastAsia="Calibri" w:hAnsi="Arial" w:cs="Arial"/>
                <w:color w:val="000000"/>
                <w:sz w:val="14"/>
                <w:szCs w:val="14"/>
                <w:lang w:val="es-ES_tradnl"/>
              </w:rPr>
            </w:pPr>
            <w:r w:rsidRPr="00456254">
              <w:rPr>
                <w:rFonts w:ascii="Arial" w:hAnsi="Arial" w:cs="Arial"/>
                <w:color w:val="000000"/>
                <w:sz w:val="14"/>
                <w:szCs w:val="14"/>
              </w:rPr>
              <w:t>-</w:t>
            </w:r>
          </w:p>
        </w:tc>
        <w:tc>
          <w:tcPr>
            <w:tcW w:w="823" w:type="dxa"/>
            <w:shd w:val="clear" w:color="auto" w:fill="auto"/>
            <w:vAlign w:val="bottom"/>
          </w:tcPr>
          <w:p w14:paraId="22C9FAD1" w14:textId="6DF95C50"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259</w:t>
            </w:r>
          </w:p>
        </w:tc>
        <w:tc>
          <w:tcPr>
            <w:tcW w:w="993" w:type="dxa"/>
            <w:vAlign w:val="bottom"/>
          </w:tcPr>
          <w:p w14:paraId="39A7EF14" w14:textId="12575D5B" w:rsidR="00D76A56" w:rsidRPr="006E1AF7" w:rsidRDefault="00D76A56" w:rsidP="00D76A56">
            <w:pPr>
              <w:spacing w:after="160" w:line="259" w:lineRule="auto"/>
              <w:jc w:val="right"/>
              <w:rPr>
                <w:rFonts w:ascii="Arial" w:eastAsia="Calibri" w:hAnsi="Arial" w:cs="Arial"/>
                <w:color w:val="000000"/>
                <w:sz w:val="14"/>
                <w:szCs w:val="14"/>
                <w:lang w:val="es-ES_tradnl"/>
              </w:rPr>
            </w:pPr>
            <w:r>
              <w:rPr>
                <w:rFonts w:ascii="Arial" w:hAnsi="Arial" w:cs="Arial"/>
                <w:color w:val="000000"/>
                <w:sz w:val="14"/>
                <w:szCs w:val="14"/>
              </w:rPr>
              <w:t>-</w:t>
            </w:r>
          </w:p>
        </w:tc>
        <w:tc>
          <w:tcPr>
            <w:tcW w:w="992" w:type="dxa"/>
            <w:shd w:val="clear" w:color="auto" w:fill="auto"/>
            <w:vAlign w:val="bottom"/>
          </w:tcPr>
          <w:p w14:paraId="7A8BB338" w14:textId="3CA51BF0"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8.488</w:t>
            </w:r>
          </w:p>
        </w:tc>
        <w:tc>
          <w:tcPr>
            <w:tcW w:w="1019" w:type="dxa"/>
          </w:tcPr>
          <w:p w14:paraId="06F1B614" w14:textId="7D9A6676"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F74EB3">
              <w:rPr>
                <w:rFonts w:ascii="Arial" w:hAnsi="Arial" w:cs="Arial"/>
                <w:color w:val="000000"/>
                <w:sz w:val="14"/>
                <w:szCs w:val="14"/>
              </w:rPr>
              <w:t>-</w:t>
            </w:r>
          </w:p>
        </w:tc>
      </w:tr>
      <w:tr w:rsidR="00D76A56" w:rsidRPr="00D76A56" w14:paraId="088AF3F3" w14:textId="01E2DBD6" w:rsidTr="006E1AF7">
        <w:trPr>
          <w:trHeight w:val="157"/>
        </w:trPr>
        <w:tc>
          <w:tcPr>
            <w:tcW w:w="2269" w:type="dxa"/>
            <w:shd w:val="clear" w:color="auto" w:fill="auto"/>
            <w:vAlign w:val="bottom"/>
            <w:hideMark/>
          </w:tcPr>
          <w:p w14:paraId="06D4E8C4" w14:textId="77777777" w:rsidR="00D76A56" w:rsidRPr="006E1AF7" w:rsidRDefault="00D76A56" w:rsidP="00D76A56">
            <w:pPr>
              <w:spacing w:after="160" w:line="259" w:lineRule="auto"/>
              <w:rPr>
                <w:rFonts w:ascii="Arial" w:eastAsia="Calibri" w:hAnsi="Arial" w:cs="Arial"/>
                <w:color w:val="000000"/>
                <w:sz w:val="14"/>
                <w:szCs w:val="14"/>
                <w:lang w:eastAsia="es-AR"/>
              </w:rPr>
            </w:pPr>
            <w:r w:rsidRPr="006E1AF7">
              <w:rPr>
                <w:rFonts w:ascii="Arial" w:eastAsia="Calibri" w:hAnsi="Arial" w:cs="Arial"/>
                <w:color w:val="000000"/>
                <w:sz w:val="14"/>
                <w:szCs w:val="14"/>
                <w:lang w:eastAsia="es-AR"/>
              </w:rPr>
              <w:t>Supervielle Seguros S.A.</w:t>
            </w:r>
          </w:p>
        </w:tc>
        <w:tc>
          <w:tcPr>
            <w:tcW w:w="1276" w:type="dxa"/>
          </w:tcPr>
          <w:p w14:paraId="30F25343" w14:textId="252DA2A7"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sz w:val="14"/>
                <w:szCs w:val="14"/>
              </w:rPr>
              <w:t>25.757</w:t>
            </w:r>
          </w:p>
        </w:tc>
        <w:tc>
          <w:tcPr>
            <w:tcW w:w="992" w:type="dxa"/>
            <w:shd w:val="clear" w:color="auto" w:fill="auto"/>
            <w:vAlign w:val="bottom"/>
          </w:tcPr>
          <w:p w14:paraId="19A74251" w14:textId="62C599B0"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1.911</w:t>
            </w:r>
          </w:p>
        </w:tc>
        <w:tc>
          <w:tcPr>
            <w:tcW w:w="1006" w:type="dxa"/>
          </w:tcPr>
          <w:p w14:paraId="51FAA3B3" w14:textId="10FCCFAB" w:rsidR="00D76A56" w:rsidRPr="00D76A56" w:rsidRDefault="00D76A56" w:rsidP="00D76A56">
            <w:pPr>
              <w:spacing w:after="160" w:line="259" w:lineRule="auto"/>
              <w:jc w:val="right"/>
              <w:rPr>
                <w:rFonts w:ascii="Arial" w:eastAsia="Calibri" w:hAnsi="Arial" w:cs="Arial"/>
                <w:color w:val="000000"/>
                <w:sz w:val="14"/>
                <w:szCs w:val="14"/>
                <w:lang w:val="es-ES_tradnl"/>
              </w:rPr>
            </w:pPr>
            <w:r w:rsidRPr="00DF6637">
              <w:rPr>
                <w:rFonts w:ascii="Arial" w:hAnsi="Arial" w:cs="Arial"/>
                <w:color w:val="000000"/>
                <w:sz w:val="14"/>
                <w:szCs w:val="14"/>
              </w:rPr>
              <w:t>-</w:t>
            </w:r>
          </w:p>
        </w:tc>
        <w:tc>
          <w:tcPr>
            <w:tcW w:w="837" w:type="dxa"/>
          </w:tcPr>
          <w:p w14:paraId="66209132" w14:textId="149C6E4B" w:rsidR="00D76A56" w:rsidRPr="00D76A56" w:rsidRDefault="00D76A56" w:rsidP="00D76A56">
            <w:pPr>
              <w:spacing w:after="160" w:line="259" w:lineRule="auto"/>
              <w:jc w:val="right"/>
              <w:rPr>
                <w:rFonts w:ascii="Arial" w:eastAsia="Calibri" w:hAnsi="Arial" w:cs="Arial"/>
                <w:color w:val="000000"/>
                <w:sz w:val="14"/>
                <w:szCs w:val="14"/>
                <w:lang w:val="es-ES_tradnl"/>
              </w:rPr>
            </w:pPr>
            <w:r w:rsidRPr="00DF6637">
              <w:rPr>
                <w:rFonts w:ascii="Arial" w:hAnsi="Arial" w:cs="Arial"/>
                <w:color w:val="000000"/>
                <w:sz w:val="14"/>
                <w:szCs w:val="14"/>
              </w:rPr>
              <w:t>-</w:t>
            </w:r>
          </w:p>
        </w:tc>
        <w:tc>
          <w:tcPr>
            <w:tcW w:w="823" w:type="dxa"/>
            <w:shd w:val="clear" w:color="auto" w:fill="auto"/>
            <w:vAlign w:val="bottom"/>
          </w:tcPr>
          <w:p w14:paraId="40A7ECED" w14:textId="51A5D78B"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2.793</w:t>
            </w:r>
          </w:p>
        </w:tc>
        <w:tc>
          <w:tcPr>
            <w:tcW w:w="993" w:type="dxa"/>
            <w:vAlign w:val="bottom"/>
          </w:tcPr>
          <w:p w14:paraId="05390F3A" w14:textId="624ACAD5"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21.108</w:t>
            </w:r>
          </w:p>
        </w:tc>
        <w:tc>
          <w:tcPr>
            <w:tcW w:w="992" w:type="dxa"/>
            <w:shd w:val="clear" w:color="auto" w:fill="auto"/>
          </w:tcPr>
          <w:p w14:paraId="7909D05A" w14:textId="6A543753"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C8187E">
              <w:rPr>
                <w:rFonts w:ascii="Arial" w:hAnsi="Arial" w:cs="Arial"/>
                <w:color w:val="000000"/>
                <w:sz w:val="14"/>
                <w:szCs w:val="14"/>
              </w:rPr>
              <w:t>-</w:t>
            </w:r>
          </w:p>
        </w:tc>
        <w:tc>
          <w:tcPr>
            <w:tcW w:w="1019" w:type="dxa"/>
          </w:tcPr>
          <w:p w14:paraId="7718478D" w14:textId="38FC2A2F"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F74EB3">
              <w:rPr>
                <w:rFonts w:ascii="Arial" w:hAnsi="Arial" w:cs="Arial"/>
                <w:color w:val="000000"/>
                <w:sz w:val="14"/>
                <w:szCs w:val="14"/>
              </w:rPr>
              <w:t>-</w:t>
            </w:r>
          </w:p>
        </w:tc>
      </w:tr>
      <w:tr w:rsidR="00D76A56" w:rsidRPr="00D76A56" w14:paraId="5BA4200F" w14:textId="797DEFDF" w:rsidTr="006E1AF7">
        <w:trPr>
          <w:trHeight w:val="286"/>
        </w:trPr>
        <w:tc>
          <w:tcPr>
            <w:tcW w:w="2269" w:type="dxa"/>
            <w:shd w:val="clear" w:color="auto" w:fill="auto"/>
            <w:vAlign w:val="bottom"/>
            <w:hideMark/>
          </w:tcPr>
          <w:p w14:paraId="55BD7071" w14:textId="77777777" w:rsidR="00D76A56" w:rsidRPr="006E1AF7" w:rsidRDefault="00D76A56" w:rsidP="00D76A56">
            <w:pPr>
              <w:spacing w:after="160" w:line="259" w:lineRule="auto"/>
              <w:rPr>
                <w:rFonts w:ascii="Arial" w:eastAsia="Calibri" w:hAnsi="Arial" w:cs="Arial"/>
                <w:color w:val="000000"/>
                <w:sz w:val="14"/>
                <w:szCs w:val="14"/>
                <w:lang w:eastAsia="es-AR"/>
              </w:rPr>
            </w:pPr>
            <w:r w:rsidRPr="006E1AF7">
              <w:rPr>
                <w:rFonts w:ascii="Arial" w:eastAsia="Calibri" w:hAnsi="Arial" w:cs="Arial"/>
                <w:color w:val="000000"/>
                <w:sz w:val="14"/>
                <w:szCs w:val="14"/>
              </w:rPr>
              <w:t>Tarjeta Automática S.A.</w:t>
            </w:r>
          </w:p>
        </w:tc>
        <w:tc>
          <w:tcPr>
            <w:tcW w:w="1276" w:type="dxa"/>
          </w:tcPr>
          <w:p w14:paraId="5F8F7D9C" w14:textId="3BDB6536" w:rsidR="00D76A56" w:rsidRPr="006E1AF7" w:rsidRDefault="00D76A56" w:rsidP="00D76A56">
            <w:pPr>
              <w:spacing w:after="160" w:line="259" w:lineRule="auto"/>
              <w:jc w:val="right"/>
              <w:rPr>
                <w:rFonts w:ascii="Arial" w:eastAsia="Calibri" w:hAnsi="Arial" w:cs="Arial"/>
                <w:color w:val="000000"/>
                <w:sz w:val="14"/>
                <w:szCs w:val="14"/>
                <w:lang w:val="es-ES_tradnl"/>
              </w:rPr>
            </w:pPr>
            <w:r>
              <w:rPr>
                <w:rFonts w:ascii="Arial" w:hAnsi="Arial" w:cs="Arial"/>
                <w:color w:val="000000"/>
                <w:sz w:val="14"/>
                <w:szCs w:val="14"/>
              </w:rPr>
              <w:t>-</w:t>
            </w:r>
          </w:p>
        </w:tc>
        <w:tc>
          <w:tcPr>
            <w:tcW w:w="992" w:type="dxa"/>
            <w:shd w:val="clear" w:color="auto" w:fill="auto"/>
            <w:vAlign w:val="bottom"/>
          </w:tcPr>
          <w:p w14:paraId="132ADB01" w14:textId="6AC69E55"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34</w:t>
            </w:r>
          </w:p>
        </w:tc>
        <w:tc>
          <w:tcPr>
            <w:tcW w:w="1006" w:type="dxa"/>
          </w:tcPr>
          <w:p w14:paraId="62689FFF" w14:textId="34093E3A" w:rsidR="00D76A56" w:rsidRPr="00D76A56" w:rsidRDefault="00D76A56" w:rsidP="00D76A56">
            <w:pPr>
              <w:spacing w:after="160" w:line="259" w:lineRule="auto"/>
              <w:jc w:val="right"/>
              <w:rPr>
                <w:rFonts w:ascii="Arial" w:eastAsia="Calibri" w:hAnsi="Arial" w:cs="Arial"/>
                <w:color w:val="000000"/>
                <w:sz w:val="14"/>
                <w:szCs w:val="14"/>
                <w:lang w:val="es-ES_tradnl"/>
              </w:rPr>
            </w:pPr>
            <w:r w:rsidRPr="00E928E7">
              <w:rPr>
                <w:rFonts w:ascii="Arial" w:hAnsi="Arial" w:cs="Arial"/>
                <w:color w:val="000000"/>
                <w:sz w:val="14"/>
                <w:szCs w:val="14"/>
              </w:rPr>
              <w:t>-</w:t>
            </w:r>
          </w:p>
        </w:tc>
        <w:tc>
          <w:tcPr>
            <w:tcW w:w="837" w:type="dxa"/>
          </w:tcPr>
          <w:p w14:paraId="65278F18" w14:textId="157DC133" w:rsidR="00D76A56" w:rsidRPr="00D76A56" w:rsidRDefault="00D76A56" w:rsidP="00D76A56">
            <w:pPr>
              <w:spacing w:after="160" w:line="259" w:lineRule="auto"/>
              <w:jc w:val="right"/>
              <w:rPr>
                <w:rFonts w:ascii="Arial" w:eastAsia="Calibri" w:hAnsi="Arial" w:cs="Arial"/>
                <w:color w:val="000000"/>
                <w:sz w:val="14"/>
                <w:szCs w:val="14"/>
                <w:lang w:val="es-ES_tradnl"/>
              </w:rPr>
            </w:pPr>
            <w:r w:rsidRPr="00E928E7">
              <w:rPr>
                <w:rFonts w:ascii="Arial" w:hAnsi="Arial" w:cs="Arial"/>
                <w:color w:val="000000"/>
                <w:sz w:val="14"/>
                <w:szCs w:val="14"/>
              </w:rPr>
              <w:t>-</w:t>
            </w:r>
          </w:p>
        </w:tc>
        <w:tc>
          <w:tcPr>
            <w:tcW w:w="823" w:type="dxa"/>
            <w:shd w:val="clear" w:color="auto" w:fill="auto"/>
            <w:vAlign w:val="bottom"/>
          </w:tcPr>
          <w:p w14:paraId="6E2074D3" w14:textId="60B51B49"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435</w:t>
            </w:r>
          </w:p>
        </w:tc>
        <w:tc>
          <w:tcPr>
            <w:tcW w:w="993" w:type="dxa"/>
          </w:tcPr>
          <w:p w14:paraId="6E2EBD15" w14:textId="1EE4BBD4"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DE5EF2">
              <w:rPr>
                <w:rFonts w:ascii="Arial" w:hAnsi="Arial" w:cs="Arial"/>
                <w:color w:val="000000"/>
                <w:sz w:val="14"/>
                <w:szCs w:val="14"/>
              </w:rPr>
              <w:t>-</w:t>
            </w:r>
          </w:p>
        </w:tc>
        <w:tc>
          <w:tcPr>
            <w:tcW w:w="992" w:type="dxa"/>
            <w:shd w:val="clear" w:color="auto" w:fill="auto"/>
          </w:tcPr>
          <w:p w14:paraId="1218C757" w14:textId="4806749B"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C8187E">
              <w:rPr>
                <w:rFonts w:ascii="Arial" w:hAnsi="Arial" w:cs="Arial"/>
                <w:color w:val="000000"/>
                <w:sz w:val="14"/>
                <w:szCs w:val="14"/>
              </w:rPr>
              <w:t>-</w:t>
            </w:r>
          </w:p>
        </w:tc>
        <w:tc>
          <w:tcPr>
            <w:tcW w:w="1019" w:type="dxa"/>
          </w:tcPr>
          <w:p w14:paraId="6F683452" w14:textId="21E7EBB6"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F74EB3">
              <w:rPr>
                <w:rFonts w:ascii="Arial" w:hAnsi="Arial" w:cs="Arial"/>
                <w:color w:val="000000"/>
                <w:sz w:val="14"/>
                <w:szCs w:val="14"/>
              </w:rPr>
              <w:t>-</w:t>
            </w:r>
          </w:p>
        </w:tc>
      </w:tr>
      <w:tr w:rsidR="00D76A56" w:rsidRPr="00D76A56" w14:paraId="4574B0CF" w14:textId="0BAC26CD" w:rsidTr="006E1AF7">
        <w:trPr>
          <w:trHeight w:val="217"/>
        </w:trPr>
        <w:tc>
          <w:tcPr>
            <w:tcW w:w="2269" w:type="dxa"/>
            <w:shd w:val="clear" w:color="auto" w:fill="auto"/>
            <w:vAlign w:val="bottom"/>
            <w:hideMark/>
          </w:tcPr>
          <w:p w14:paraId="426EB5EB" w14:textId="77777777" w:rsidR="00D76A56" w:rsidRPr="006E1AF7" w:rsidRDefault="00D76A56" w:rsidP="00D76A56">
            <w:pPr>
              <w:spacing w:after="160" w:line="259" w:lineRule="auto"/>
              <w:rPr>
                <w:rFonts w:ascii="Arial" w:eastAsia="Calibri" w:hAnsi="Arial" w:cs="Arial"/>
                <w:color w:val="000000"/>
                <w:sz w:val="14"/>
                <w:szCs w:val="14"/>
                <w:lang w:val="en-US" w:eastAsia="es-AR"/>
              </w:rPr>
            </w:pPr>
            <w:r w:rsidRPr="006E1AF7">
              <w:rPr>
                <w:rFonts w:ascii="Arial" w:eastAsia="Calibri" w:hAnsi="Arial" w:cs="Arial"/>
                <w:color w:val="000000"/>
                <w:sz w:val="14"/>
                <w:szCs w:val="14"/>
                <w:lang w:val="fr-FR"/>
              </w:rPr>
              <w:t>Supervielle Asset Management S.A.</w:t>
            </w:r>
          </w:p>
        </w:tc>
        <w:tc>
          <w:tcPr>
            <w:tcW w:w="1276" w:type="dxa"/>
          </w:tcPr>
          <w:p w14:paraId="2C45C360" w14:textId="3AB427D0" w:rsidR="00D76A56" w:rsidRPr="006E1AF7" w:rsidRDefault="00D76A56" w:rsidP="00D76A56">
            <w:pPr>
              <w:spacing w:after="160" w:line="259" w:lineRule="auto"/>
              <w:jc w:val="right"/>
              <w:rPr>
                <w:rFonts w:ascii="Arial" w:eastAsia="Calibri" w:hAnsi="Arial" w:cs="Arial"/>
                <w:color w:val="000000"/>
                <w:sz w:val="14"/>
                <w:szCs w:val="14"/>
                <w:lang w:val="en-US"/>
              </w:rPr>
            </w:pPr>
            <w:r w:rsidRPr="001750EF">
              <w:rPr>
                <w:rFonts w:ascii="Arial" w:hAnsi="Arial" w:cs="Arial"/>
                <w:color w:val="000000"/>
                <w:sz w:val="14"/>
                <w:szCs w:val="14"/>
              </w:rPr>
              <w:t>-</w:t>
            </w:r>
          </w:p>
        </w:tc>
        <w:tc>
          <w:tcPr>
            <w:tcW w:w="992" w:type="dxa"/>
            <w:shd w:val="clear" w:color="auto" w:fill="auto"/>
          </w:tcPr>
          <w:p w14:paraId="3EAC90EC" w14:textId="2C6837AC" w:rsidR="00D76A56" w:rsidRPr="006E1AF7" w:rsidRDefault="00D76A56" w:rsidP="00D76A56">
            <w:pPr>
              <w:spacing w:after="160" w:line="259" w:lineRule="auto"/>
              <w:jc w:val="right"/>
              <w:rPr>
                <w:rFonts w:ascii="Arial" w:eastAsia="Calibri" w:hAnsi="Arial" w:cs="Arial"/>
                <w:color w:val="000000"/>
                <w:sz w:val="14"/>
                <w:szCs w:val="14"/>
                <w:lang w:val="en-US"/>
              </w:rPr>
            </w:pPr>
            <w:r w:rsidRPr="001750EF">
              <w:rPr>
                <w:rFonts w:ascii="Arial" w:hAnsi="Arial" w:cs="Arial"/>
                <w:color w:val="000000"/>
                <w:sz w:val="14"/>
                <w:szCs w:val="14"/>
              </w:rPr>
              <w:t>-</w:t>
            </w:r>
          </w:p>
        </w:tc>
        <w:tc>
          <w:tcPr>
            <w:tcW w:w="1006" w:type="dxa"/>
          </w:tcPr>
          <w:p w14:paraId="38E363D2" w14:textId="47CB4E43" w:rsidR="00D76A56" w:rsidRPr="00D76A56" w:rsidRDefault="00D76A56" w:rsidP="00D76A56">
            <w:pPr>
              <w:spacing w:after="160" w:line="259" w:lineRule="auto"/>
              <w:jc w:val="right"/>
              <w:rPr>
                <w:rFonts w:ascii="Arial" w:eastAsia="Calibri" w:hAnsi="Arial" w:cs="Arial"/>
                <w:color w:val="000000"/>
                <w:sz w:val="14"/>
                <w:szCs w:val="14"/>
                <w:lang w:val="en-US"/>
              </w:rPr>
            </w:pPr>
            <w:r w:rsidRPr="008C754F">
              <w:rPr>
                <w:rFonts w:ascii="Arial" w:hAnsi="Arial" w:cs="Arial"/>
                <w:color w:val="000000"/>
                <w:sz w:val="14"/>
                <w:szCs w:val="14"/>
              </w:rPr>
              <w:t>-</w:t>
            </w:r>
          </w:p>
        </w:tc>
        <w:tc>
          <w:tcPr>
            <w:tcW w:w="837" w:type="dxa"/>
          </w:tcPr>
          <w:p w14:paraId="37A07776" w14:textId="020B2188" w:rsidR="00D76A56" w:rsidRPr="00D76A56" w:rsidRDefault="00D76A56" w:rsidP="00D76A56">
            <w:pPr>
              <w:spacing w:after="160" w:line="259" w:lineRule="auto"/>
              <w:jc w:val="right"/>
              <w:rPr>
                <w:rFonts w:ascii="Arial" w:eastAsia="Calibri" w:hAnsi="Arial" w:cs="Arial"/>
                <w:color w:val="000000"/>
                <w:sz w:val="14"/>
                <w:szCs w:val="14"/>
                <w:lang w:val="en-US"/>
              </w:rPr>
            </w:pPr>
            <w:r w:rsidRPr="008C754F">
              <w:rPr>
                <w:rFonts w:ascii="Arial" w:hAnsi="Arial" w:cs="Arial"/>
                <w:color w:val="000000"/>
                <w:sz w:val="14"/>
                <w:szCs w:val="14"/>
              </w:rPr>
              <w:t>-</w:t>
            </w:r>
          </w:p>
        </w:tc>
        <w:tc>
          <w:tcPr>
            <w:tcW w:w="823" w:type="dxa"/>
            <w:shd w:val="clear" w:color="auto" w:fill="auto"/>
            <w:vAlign w:val="bottom"/>
          </w:tcPr>
          <w:p w14:paraId="7D407E81" w14:textId="352C848C" w:rsidR="00D76A56" w:rsidRPr="006E1AF7" w:rsidRDefault="00D76A56" w:rsidP="00D76A56">
            <w:pPr>
              <w:spacing w:after="160" w:line="259" w:lineRule="auto"/>
              <w:jc w:val="right"/>
              <w:rPr>
                <w:rFonts w:ascii="Arial" w:eastAsia="Calibri" w:hAnsi="Arial" w:cs="Arial"/>
                <w:color w:val="000000"/>
                <w:sz w:val="14"/>
                <w:szCs w:val="14"/>
                <w:lang w:val="en-US"/>
              </w:rPr>
            </w:pPr>
            <w:r w:rsidRPr="006E1AF7">
              <w:rPr>
                <w:rFonts w:ascii="Arial" w:hAnsi="Arial" w:cs="Arial"/>
                <w:color w:val="000000"/>
                <w:sz w:val="14"/>
                <w:szCs w:val="14"/>
              </w:rPr>
              <w:t>2.730</w:t>
            </w:r>
          </w:p>
        </w:tc>
        <w:tc>
          <w:tcPr>
            <w:tcW w:w="993" w:type="dxa"/>
          </w:tcPr>
          <w:p w14:paraId="2E4213B9" w14:textId="07E5B825" w:rsidR="00D76A56" w:rsidRPr="006E1AF7" w:rsidRDefault="00D76A56" w:rsidP="00D76A56">
            <w:pPr>
              <w:spacing w:after="160" w:line="259" w:lineRule="auto"/>
              <w:jc w:val="right"/>
              <w:rPr>
                <w:rFonts w:ascii="Arial" w:eastAsia="Calibri" w:hAnsi="Arial" w:cs="Arial"/>
                <w:color w:val="000000"/>
                <w:sz w:val="14"/>
                <w:szCs w:val="14"/>
                <w:lang w:val="en-US"/>
              </w:rPr>
            </w:pPr>
            <w:r w:rsidRPr="00DE5EF2">
              <w:rPr>
                <w:rFonts w:ascii="Arial" w:hAnsi="Arial" w:cs="Arial"/>
                <w:color w:val="000000"/>
                <w:sz w:val="14"/>
                <w:szCs w:val="14"/>
              </w:rPr>
              <w:t>-</w:t>
            </w:r>
          </w:p>
        </w:tc>
        <w:tc>
          <w:tcPr>
            <w:tcW w:w="992" w:type="dxa"/>
            <w:shd w:val="clear" w:color="auto" w:fill="auto"/>
          </w:tcPr>
          <w:p w14:paraId="37FB7999" w14:textId="12D60949" w:rsidR="00D76A56" w:rsidRPr="006E1AF7" w:rsidRDefault="00D76A56" w:rsidP="00D76A56">
            <w:pPr>
              <w:spacing w:after="160" w:line="259" w:lineRule="auto"/>
              <w:jc w:val="right"/>
              <w:rPr>
                <w:rFonts w:ascii="Arial" w:eastAsia="Calibri" w:hAnsi="Arial" w:cs="Arial"/>
                <w:color w:val="000000"/>
                <w:sz w:val="14"/>
                <w:szCs w:val="14"/>
                <w:lang w:val="en-US"/>
              </w:rPr>
            </w:pPr>
            <w:r w:rsidRPr="00C8187E">
              <w:rPr>
                <w:rFonts w:ascii="Arial" w:hAnsi="Arial" w:cs="Arial"/>
                <w:color w:val="000000"/>
                <w:sz w:val="14"/>
                <w:szCs w:val="14"/>
              </w:rPr>
              <w:t>-</w:t>
            </w:r>
          </w:p>
        </w:tc>
        <w:tc>
          <w:tcPr>
            <w:tcW w:w="1019" w:type="dxa"/>
          </w:tcPr>
          <w:p w14:paraId="6659476F" w14:textId="16BC53CC" w:rsidR="00D76A56" w:rsidRPr="006E1AF7" w:rsidRDefault="00D76A56" w:rsidP="00D76A56">
            <w:pPr>
              <w:spacing w:after="160" w:line="259" w:lineRule="auto"/>
              <w:jc w:val="right"/>
              <w:rPr>
                <w:rFonts w:ascii="Arial" w:eastAsia="Calibri" w:hAnsi="Arial" w:cs="Arial"/>
                <w:color w:val="000000"/>
                <w:sz w:val="14"/>
                <w:szCs w:val="14"/>
                <w:lang w:val="en-US"/>
              </w:rPr>
            </w:pPr>
            <w:r w:rsidRPr="00F74EB3">
              <w:rPr>
                <w:rFonts w:ascii="Arial" w:hAnsi="Arial" w:cs="Arial"/>
                <w:color w:val="000000"/>
                <w:sz w:val="14"/>
                <w:szCs w:val="14"/>
              </w:rPr>
              <w:t>-</w:t>
            </w:r>
          </w:p>
        </w:tc>
      </w:tr>
      <w:tr w:rsidR="00D76A56" w:rsidRPr="00D76A56" w14:paraId="775E190C" w14:textId="0A1659AD" w:rsidTr="006E1AF7">
        <w:trPr>
          <w:trHeight w:val="139"/>
        </w:trPr>
        <w:tc>
          <w:tcPr>
            <w:tcW w:w="2269" w:type="dxa"/>
            <w:shd w:val="clear" w:color="auto" w:fill="auto"/>
            <w:vAlign w:val="bottom"/>
          </w:tcPr>
          <w:p w14:paraId="28AFC0F4" w14:textId="5E0739A6" w:rsidR="00D76A56" w:rsidRPr="006E1AF7" w:rsidRDefault="00D76A56" w:rsidP="00D76A56">
            <w:pPr>
              <w:spacing w:after="160" w:line="259" w:lineRule="auto"/>
              <w:rPr>
                <w:rFonts w:ascii="Arial" w:eastAsia="Calibri" w:hAnsi="Arial" w:cs="Arial"/>
                <w:color w:val="000000"/>
                <w:sz w:val="14"/>
                <w:szCs w:val="14"/>
                <w:lang w:val="en-US"/>
              </w:rPr>
            </w:pPr>
            <w:r w:rsidRPr="006E1AF7">
              <w:rPr>
                <w:rFonts w:ascii="Arial" w:eastAsia="Calibri" w:hAnsi="Arial" w:cs="Arial"/>
                <w:color w:val="000000"/>
                <w:sz w:val="14"/>
                <w:szCs w:val="14"/>
                <w:lang w:val="en-US"/>
              </w:rPr>
              <w:t>Invertir OnLine S.A.U.</w:t>
            </w:r>
          </w:p>
        </w:tc>
        <w:tc>
          <w:tcPr>
            <w:tcW w:w="1276" w:type="dxa"/>
          </w:tcPr>
          <w:p w14:paraId="798A1C9D" w14:textId="382EDE95" w:rsidR="00D76A56" w:rsidRPr="006E1AF7" w:rsidRDefault="00D76A56" w:rsidP="00D76A56">
            <w:pPr>
              <w:spacing w:after="160" w:line="259" w:lineRule="auto"/>
              <w:jc w:val="right"/>
              <w:rPr>
                <w:rFonts w:ascii="Arial" w:eastAsia="Calibri" w:hAnsi="Arial" w:cs="Arial"/>
                <w:color w:val="000000"/>
                <w:sz w:val="14"/>
                <w:szCs w:val="14"/>
                <w:lang w:val="en-US"/>
              </w:rPr>
            </w:pPr>
            <w:r w:rsidRPr="001750EF">
              <w:rPr>
                <w:rFonts w:ascii="Arial" w:hAnsi="Arial" w:cs="Arial"/>
                <w:color w:val="000000"/>
                <w:sz w:val="14"/>
                <w:szCs w:val="14"/>
              </w:rPr>
              <w:t>-</w:t>
            </w:r>
          </w:p>
        </w:tc>
        <w:tc>
          <w:tcPr>
            <w:tcW w:w="992" w:type="dxa"/>
            <w:shd w:val="clear" w:color="auto" w:fill="auto"/>
          </w:tcPr>
          <w:p w14:paraId="2C8F30C0" w14:textId="791DC248" w:rsidR="00D76A56" w:rsidRPr="006E1AF7" w:rsidRDefault="00D76A56" w:rsidP="00D76A56">
            <w:pPr>
              <w:spacing w:after="160" w:line="259" w:lineRule="auto"/>
              <w:jc w:val="right"/>
              <w:rPr>
                <w:rFonts w:ascii="Arial" w:eastAsia="Calibri" w:hAnsi="Arial" w:cs="Arial"/>
                <w:color w:val="000000"/>
                <w:sz w:val="14"/>
                <w:szCs w:val="14"/>
                <w:lang w:val="en-US"/>
              </w:rPr>
            </w:pPr>
            <w:r w:rsidRPr="001750EF">
              <w:rPr>
                <w:rFonts w:ascii="Arial" w:hAnsi="Arial" w:cs="Arial"/>
                <w:color w:val="000000"/>
                <w:sz w:val="14"/>
                <w:szCs w:val="14"/>
              </w:rPr>
              <w:t>-</w:t>
            </w:r>
          </w:p>
        </w:tc>
        <w:tc>
          <w:tcPr>
            <w:tcW w:w="1006" w:type="dxa"/>
          </w:tcPr>
          <w:p w14:paraId="76FCDCE3" w14:textId="2D7563D3" w:rsidR="00D76A56" w:rsidRPr="00D76A56" w:rsidRDefault="00D76A56" w:rsidP="00D76A56">
            <w:pPr>
              <w:spacing w:after="160" w:line="259" w:lineRule="auto"/>
              <w:jc w:val="right"/>
              <w:rPr>
                <w:rFonts w:ascii="Arial" w:eastAsia="Calibri" w:hAnsi="Arial" w:cs="Arial"/>
                <w:color w:val="000000"/>
                <w:sz w:val="14"/>
                <w:szCs w:val="14"/>
                <w:lang w:val="en-US"/>
              </w:rPr>
            </w:pPr>
            <w:r w:rsidRPr="005E3F3B">
              <w:rPr>
                <w:rFonts w:ascii="Arial" w:hAnsi="Arial" w:cs="Arial"/>
                <w:color w:val="000000"/>
                <w:sz w:val="14"/>
                <w:szCs w:val="14"/>
              </w:rPr>
              <w:t>-</w:t>
            </w:r>
          </w:p>
        </w:tc>
        <w:tc>
          <w:tcPr>
            <w:tcW w:w="837" w:type="dxa"/>
          </w:tcPr>
          <w:p w14:paraId="68736904" w14:textId="478ABDCC" w:rsidR="00D76A56" w:rsidRPr="00D76A56" w:rsidRDefault="00D76A56" w:rsidP="00D76A56">
            <w:pPr>
              <w:spacing w:after="160" w:line="259" w:lineRule="auto"/>
              <w:jc w:val="right"/>
              <w:rPr>
                <w:rFonts w:ascii="Arial" w:eastAsia="Calibri" w:hAnsi="Arial" w:cs="Arial"/>
                <w:color w:val="000000"/>
                <w:sz w:val="14"/>
                <w:szCs w:val="14"/>
                <w:lang w:val="en-US"/>
              </w:rPr>
            </w:pPr>
            <w:r w:rsidRPr="005E3F3B">
              <w:rPr>
                <w:rFonts w:ascii="Arial" w:hAnsi="Arial" w:cs="Arial"/>
                <w:color w:val="000000"/>
                <w:sz w:val="14"/>
                <w:szCs w:val="14"/>
              </w:rPr>
              <w:t>-</w:t>
            </w:r>
          </w:p>
        </w:tc>
        <w:tc>
          <w:tcPr>
            <w:tcW w:w="823" w:type="dxa"/>
            <w:shd w:val="clear" w:color="auto" w:fill="auto"/>
            <w:vAlign w:val="bottom"/>
          </w:tcPr>
          <w:p w14:paraId="0C4E125D" w14:textId="05B3414A" w:rsidR="00D76A56" w:rsidRPr="006E1AF7" w:rsidRDefault="00D76A56" w:rsidP="00D76A56">
            <w:pPr>
              <w:spacing w:after="160" w:line="259" w:lineRule="auto"/>
              <w:jc w:val="right"/>
              <w:rPr>
                <w:rFonts w:ascii="Arial" w:eastAsia="Calibri" w:hAnsi="Arial" w:cs="Arial"/>
                <w:color w:val="000000"/>
                <w:sz w:val="14"/>
                <w:szCs w:val="14"/>
                <w:lang w:val="en-US"/>
              </w:rPr>
            </w:pPr>
            <w:r w:rsidRPr="006E1AF7">
              <w:rPr>
                <w:rFonts w:ascii="Arial" w:hAnsi="Arial" w:cs="Arial"/>
                <w:color w:val="000000"/>
                <w:sz w:val="14"/>
                <w:szCs w:val="14"/>
              </w:rPr>
              <w:t>1.538.346</w:t>
            </w:r>
          </w:p>
        </w:tc>
        <w:tc>
          <w:tcPr>
            <w:tcW w:w="993" w:type="dxa"/>
          </w:tcPr>
          <w:p w14:paraId="2A2340BE" w14:textId="48DC748C" w:rsidR="00D76A56" w:rsidRPr="006E1AF7" w:rsidRDefault="00D76A56" w:rsidP="00D76A56">
            <w:pPr>
              <w:spacing w:after="160" w:line="259" w:lineRule="auto"/>
              <w:jc w:val="right"/>
              <w:rPr>
                <w:rFonts w:ascii="Arial" w:eastAsia="Calibri" w:hAnsi="Arial" w:cs="Arial"/>
                <w:color w:val="000000"/>
                <w:sz w:val="14"/>
                <w:szCs w:val="14"/>
                <w:lang w:val="en-US"/>
              </w:rPr>
            </w:pPr>
            <w:r w:rsidRPr="00DE5EF2">
              <w:rPr>
                <w:rFonts w:ascii="Arial" w:hAnsi="Arial" w:cs="Arial"/>
                <w:color w:val="000000"/>
                <w:sz w:val="14"/>
                <w:szCs w:val="14"/>
              </w:rPr>
              <w:t>-</w:t>
            </w:r>
          </w:p>
        </w:tc>
        <w:tc>
          <w:tcPr>
            <w:tcW w:w="992" w:type="dxa"/>
            <w:shd w:val="clear" w:color="auto" w:fill="auto"/>
          </w:tcPr>
          <w:p w14:paraId="25779364" w14:textId="4C6FEF55" w:rsidR="00D76A56" w:rsidRPr="006E1AF7" w:rsidRDefault="00D76A56" w:rsidP="00D76A56">
            <w:pPr>
              <w:spacing w:after="160" w:line="259" w:lineRule="auto"/>
              <w:jc w:val="right"/>
              <w:rPr>
                <w:rFonts w:ascii="Arial" w:eastAsia="Calibri" w:hAnsi="Arial" w:cs="Arial"/>
                <w:color w:val="000000"/>
                <w:sz w:val="14"/>
                <w:szCs w:val="14"/>
                <w:lang w:val="en-US"/>
              </w:rPr>
            </w:pPr>
            <w:r w:rsidRPr="00C8187E">
              <w:rPr>
                <w:rFonts w:ascii="Arial" w:hAnsi="Arial" w:cs="Arial"/>
                <w:color w:val="000000"/>
                <w:sz w:val="14"/>
                <w:szCs w:val="14"/>
              </w:rPr>
              <w:t>-</w:t>
            </w:r>
          </w:p>
        </w:tc>
        <w:tc>
          <w:tcPr>
            <w:tcW w:w="1019" w:type="dxa"/>
          </w:tcPr>
          <w:p w14:paraId="167AE7FD" w14:textId="35323431" w:rsidR="00D76A56" w:rsidRPr="006E1AF7" w:rsidRDefault="00D76A56" w:rsidP="00D76A56">
            <w:pPr>
              <w:spacing w:after="160" w:line="259" w:lineRule="auto"/>
              <w:jc w:val="right"/>
              <w:rPr>
                <w:rFonts w:ascii="Arial" w:eastAsia="Calibri" w:hAnsi="Arial" w:cs="Arial"/>
                <w:color w:val="000000"/>
                <w:sz w:val="14"/>
                <w:szCs w:val="14"/>
                <w:lang w:val="en-US"/>
              </w:rPr>
            </w:pPr>
            <w:r w:rsidRPr="00F74EB3">
              <w:rPr>
                <w:rFonts w:ascii="Arial" w:hAnsi="Arial" w:cs="Arial"/>
                <w:color w:val="000000"/>
                <w:sz w:val="14"/>
                <w:szCs w:val="14"/>
              </w:rPr>
              <w:t>-</w:t>
            </w:r>
          </w:p>
        </w:tc>
      </w:tr>
      <w:tr w:rsidR="00D76A56" w:rsidRPr="00D76A56" w14:paraId="6CFCF430" w14:textId="042299D9" w:rsidTr="006E1AF7">
        <w:trPr>
          <w:trHeight w:val="139"/>
        </w:trPr>
        <w:tc>
          <w:tcPr>
            <w:tcW w:w="2269" w:type="dxa"/>
            <w:shd w:val="clear" w:color="auto" w:fill="auto"/>
            <w:vAlign w:val="bottom"/>
          </w:tcPr>
          <w:p w14:paraId="6FF3EAA0" w14:textId="2536363D" w:rsidR="00D76A56" w:rsidRPr="006E1AF7" w:rsidRDefault="00D76A56" w:rsidP="00D76A56">
            <w:pPr>
              <w:spacing w:after="160" w:line="259" w:lineRule="auto"/>
              <w:rPr>
                <w:rFonts w:ascii="Arial" w:eastAsia="Calibri" w:hAnsi="Arial" w:cs="Arial"/>
                <w:color w:val="000000"/>
                <w:sz w:val="14"/>
                <w:szCs w:val="14"/>
              </w:rPr>
            </w:pPr>
            <w:r w:rsidRPr="006E1AF7">
              <w:rPr>
                <w:rFonts w:ascii="Arial" w:eastAsia="Calibri" w:hAnsi="Arial" w:cs="Arial"/>
                <w:color w:val="000000"/>
                <w:sz w:val="14"/>
                <w:szCs w:val="14"/>
              </w:rPr>
              <w:t>Invertir OnLine.com Argentina S.A.U.</w:t>
            </w:r>
          </w:p>
        </w:tc>
        <w:tc>
          <w:tcPr>
            <w:tcW w:w="1276" w:type="dxa"/>
          </w:tcPr>
          <w:p w14:paraId="7B7CF355" w14:textId="7D3D6CDD" w:rsidR="00D76A56" w:rsidRPr="006E1AF7" w:rsidDel="00293759" w:rsidRDefault="00D76A56" w:rsidP="00D76A56">
            <w:pPr>
              <w:spacing w:after="160" w:line="259" w:lineRule="auto"/>
              <w:jc w:val="right"/>
              <w:rPr>
                <w:rFonts w:ascii="Arial" w:eastAsia="Calibri" w:hAnsi="Arial" w:cs="Arial"/>
                <w:color w:val="000000"/>
                <w:sz w:val="14"/>
                <w:szCs w:val="14"/>
              </w:rPr>
            </w:pPr>
            <w:r w:rsidRPr="001750EF">
              <w:rPr>
                <w:rFonts w:ascii="Arial" w:hAnsi="Arial" w:cs="Arial"/>
                <w:color w:val="000000"/>
                <w:sz w:val="14"/>
                <w:szCs w:val="14"/>
              </w:rPr>
              <w:t>-</w:t>
            </w:r>
          </w:p>
        </w:tc>
        <w:tc>
          <w:tcPr>
            <w:tcW w:w="992" w:type="dxa"/>
            <w:shd w:val="clear" w:color="auto" w:fill="auto"/>
          </w:tcPr>
          <w:p w14:paraId="46EDEBE5" w14:textId="38864416" w:rsidR="00D76A56" w:rsidRPr="006E1AF7" w:rsidRDefault="00D76A56" w:rsidP="00D76A56">
            <w:pPr>
              <w:spacing w:after="160" w:line="259" w:lineRule="auto"/>
              <w:jc w:val="right"/>
              <w:rPr>
                <w:rFonts w:ascii="Arial" w:eastAsia="Calibri" w:hAnsi="Arial" w:cs="Arial"/>
                <w:color w:val="000000"/>
                <w:sz w:val="14"/>
                <w:szCs w:val="14"/>
              </w:rPr>
            </w:pPr>
            <w:r w:rsidRPr="001750EF">
              <w:rPr>
                <w:rFonts w:ascii="Arial" w:hAnsi="Arial" w:cs="Arial"/>
                <w:color w:val="000000"/>
                <w:sz w:val="14"/>
                <w:szCs w:val="14"/>
              </w:rPr>
              <w:t>-</w:t>
            </w:r>
          </w:p>
        </w:tc>
        <w:tc>
          <w:tcPr>
            <w:tcW w:w="1006" w:type="dxa"/>
          </w:tcPr>
          <w:p w14:paraId="3600F3B3" w14:textId="77D04BF3" w:rsidR="00D76A56" w:rsidRPr="00D76A56" w:rsidRDefault="00D76A56" w:rsidP="00D76A56">
            <w:pPr>
              <w:spacing w:after="160" w:line="259" w:lineRule="auto"/>
              <w:jc w:val="right"/>
              <w:rPr>
                <w:rFonts w:ascii="Arial" w:eastAsia="Calibri" w:hAnsi="Arial" w:cs="Arial"/>
                <w:color w:val="000000"/>
                <w:sz w:val="14"/>
                <w:szCs w:val="14"/>
              </w:rPr>
            </w:pPr>
            <w:r w:rsidRPr="00554696">
              <w:rPr>
                <w:rFonts w:ascii="Arial" w:hAnsi="Arial" w:cs="Arial"/>
                <w:color w:val="000000"/>
                <w:sz w:val="14"/>
                <w:szCs w:val="14"/>
              </w:rPr>
              <w:t>-</w:t>
            </w:r>
          </w:p>
        </w:tc>
        <w:tc>
          <w:tcPr>
            <w:tcW w:w="837" w:type="dxa"/>
          </w:tcPr>
          <w:p w14:paraId="7C858309" w14:textId="1E23832D" w:rsidR="00D76A56" w:rsidRPr="00D76A56" w:rsidRDefault="00D76A56" w:rsidP="00D76A56">
            <w:pPr>
              <w:spacing w:after="160" w:line="259" w:lineRule="auto"/>
              <w:jc w:val="right"/>
              <w:rPr>
                <w:rFonts w:ascii="Arial" w:eastAsia="Calibri" w:hAnsi="Arial" w:cs="Arial"/>
                <w:color w:val="000000"/>
                <w:sz w:val="14"/>
                <w:szCs w:val="14"/>
              </w:rPr>
            </w:pPr>
            <w:r w:rsidRPr="00554696">
              <w:rPr>
                <w:rFonts w:ascii="Arial" w:hAnsi="Arial" w:cs="Arial"/>
                <w:color w:val="000000"/>
                <w:sz w:val="14"/>
                <w:szCs w:val="14"/>
              </w:rPr>
              <w:t>-</w:t>
            </w:r>
          </w:p>
        </w:tc>
        <w:tc>
          <w:tcPr>
            <w:tcW w:w="823" w:type="dxa"/>
            <w:shd w:val="clear" w:color="auto" w:fill="auto"/>
            <w:vAlign w:val="bottom"/>
          </w:tcPr>
          <w:p w14:paraId="307F7AAC" w14:textId="11EEC5C1" w:rsidR="00D76A56" w:rsidRPr="006E1AF7" w:rsidDel="00293759" w:rsidRDefault="00D76A56" w:rsidP="00D76A56">
            <w:pPr>
              <w:spacing w:after="160" w:line="259" w:lineRule="auto"/>
              <w:jc w:val="right"/>
              <w:rPr>
                <w:rFonts w:ascii="Arial" w:eastAsia="Calibri" w:hAnsi="Arial" w:cs="Arial"/>
                <w:color w:val="000000"/>
                <w:sz w:val="14"/>
                <w:szCs w:val="14"/>
              </w:rPr>
            </w:pPr>
            <w:r w:rsidRPr="006E1AF7">
              <w:rPr>
                <w:rFonts w:ascii="Arial" w:hAnsi="Arial" w:cs="Arial"/>
                <w:color w:val="000000"/>
                <w:sz w:val="14"/>
                <w:szCs w:val="14"/>
              </w:rPr>
              <w:t>2.435</w:t>
            </w:r>
          </w:p>
        </w:tc>
        <w:tc>
          <w:tcPr>
            <w:tcW w:w="993" w:type="dxa"/>
          </w:tcPr>
          <w:p w14:paraId="2591E118" w14:textId="102534B7" w:rsidR="00D76A56" w:rsidRPr="006E1AF7" w:rsidRDefault="00D76A56" w:rsidP="00D76A56">
            <w:pPr>
              <w:spacing w:after="160" w:line="259" w:lineRule="auto"/>
              <w:jc w:val="right"/>
              <w:rPr>
                <w:rFonts w:ascii="Arial" w:eastAsia="Calibri" w:hAnsi="Arial" w:cs="Arial"/>
                <w:color w:val="000000"/>
                <w:sz w:val="14"/>
                <w:szCs w:val="14"/>
              </w:rPr>
            </w:pPr>
            <w:r w:rsidRPr="00DE5EF2">
              <w:rPr>
                <w:rFonts w:ascii="Arial" w:hAnsi="Arial" w:cs="Arial"/>
                <w:color w:val="000000"/>
                <w:sz w:val="14"/>
                <w:szCs w:val="14"/>
              </w:rPr>
              <w:t>-</w:t>
            </w:r>
          </w:p>
        </w:tc>
        <w:tc>
          <w:tcPr>
            <w:tcW w:w="992" w:type="dxa"/>
            <w:shd w:val="clear" w:color="auto" w:fill="auto"/>
          </w:tcPr>
          <w:p w14:paraId="68750991" w14:textId="7E63FB69" w:rsidR="00D76A56" w:rsidRPr="006E1AF7" w:rsidRDefault="00D76A56" w:rsidP="00D76A56">
            <w:pPr>
              <w:spacing w:after="160" w:line="259" w:lineRule="auto"/>
              <w:jc w:val="right"/>
              <w:rPr>
                <w:rFonts w:ascii="Arial" w:eastAsia="Calibri" w:hAnsi="Arial" w:cs="Arial"/>
                <w:color w:val="000000"/>
                <w:sz w:val="14"/>
                <w:szCs w:val="14"/>
              </w:rPr>
            </w:pPr>
            <w:r w:rsidRPr="00C8187E">
              <w:rPr>
                <w:rFonts w:ascii="Arial" w:hAnsi="Arial" w:cs="Arial"/>
                <w:color w:val="000000"/>
                <w:sz w:val="14"/>
                <w:szCs w:val="14"/>
              </w:rPr>
              <w:t>-</w:t>
            </w:r>
          </w:p>
        </w:tc>
        <w:tc>
          <w:tcPr>
            <w:tcW w:w="1019" w:type="dxa"/>
          </w:tcPr>
          <w:p w14:paraId="3E74D181" w14:textId="117067AD" w:rsidR="00D76A56" w:rsidRPr="006E1AF7" w:rsidRDefault="00D76A56" w:rsidP="00D76A56">
            <w:pPr>
              <w:spacing w:after="160" w:line="259" w:lineRule="auto"/>
              <w:jc w:val="right"/>
              <w:rPr>
                <w:rFonts w:ascii="Arial" w:eastAsia="Calibri" w:hAnsi="Arial" w:cs="Arial"/>
                <w:color w:val="000000"/>
                <w:sz w:val="14"/>
                <w:szCs w:val="14"/>
              </w:rPr>
            </w:pPr>
            <w:r w:rsidRPr="00F74EB3">
              <w:rPr>
                <w:rFonts w:ascii="Arial" w:hAnsi="Arial" w:cs="Arial"/>
                <w:color w:val="000000"/>
                <w:sz w:val="14"/>
                <w:szCs w:val="14"/>
              </w:rPr>
              <w:t>-</w:t>
            </w:r>
          </w:p>
        </w:tc>
      </w:tr>
      <w:tr w:rsidR="00D76A56" w:rsidRPr="00D76A56" w14:paraId="42D400C7" w14:textId="22961A22" w:rsidTr="006E1AF7">
        <w:trPr>
          <w:trHeight w:val="139"/>
        </w:trPr>
        <w:tc>
          <w:tcPr>
            <w:tcW w:w="2269" w:type="dxa"/>
            <w:shd w:val="clear" w:color="auto" w:fill="auto"/>
            <w:vAlign w:val="bottom"/>
          </w:tcPr>
          <w:p w14:paraId="3F30C096" w14:textId="4276E0DA" w:rsidR="00D76A56" w:rsidRPr="006E1AF7" w:rsidRDefault="00D76A56" w:rsidP="00D76A56">
            <w:pPr>
              <w:spacing w:after="160" w:line="259" w:lineRule="auto"/>
              <w:rPr>
                <w:rFonts w:ascii="Arial" w:eastAsia="Calibri" w:hAnsi="Arial" w:cs="Arial"/>
                <w:color w:val="000000"/>
                <w:sz w:val="14"/>
                <w:szCs w:val="14"/>
                <w:lang w:val="en-US"/>
              </w:rPr>
            </w:pPr>
            <w:r w:rsidRPr="006E1AF7">
              <w:rPr>
                <w:rFonts w:ascii="Arial" w:eastAsia="Calibri" w:hAnsi="Arial" w:cs="Arial"/>
                <w:color w:val="000000"/>
                <w:sz w:val="14"/>
                <w:szCs w:val="14"/>
                <w:lang w:val="en-US"/>
              </w:rPr>
              <w:t>Micro Lending S.A.U.</w:t>
            </w:r>
          </w:p>
        </w:tc>
        <w:tc>
          <w:tcPr>
            <w:tcW w:w="1276" w:type="dxa"/>
          </w:tcPr>
          <w:p w14:paraId="4C590ABD" w14:textId="5CB0EE6B" w:rsidR="00D76A56" w:rsidRPr="006E1AF7" w:rsidDel="00293759" w:rsidRDefault="00D76A56" w:rsidP="00D76A56">
            <w:pPr>
              <w:spacing w:after="160" w:line="259" w:lineRule="auto"/>
              <w:jc w:val="right"/>
              <w:rPr>
                <w:rFonts w:ascii="Arial" w:eastAsia="Calibri" w:hAnsi="Arial" w:cs="Arial"/>
                <w:color w:val="000000"/>
                <w:sz w:val="14"/>
                <w:szCs w:val="14"/>
                <w:lang w:val="en-US"/>
              </w:rPr>
            </w:pPr>
            <w:r w:rsidRPr="006E1AF7">
              <w:rPr>
                <w:rFonts w:ascii="Arial" w:hAnsi="Arial" w:cs="Arial"/>
                <w:sz w:val="14"/>
                <w:szCs w:val="14"/>
              </w:rPr>
              <w:t>4.735</w:t>
            </w:r>
          </w:p>
        </w:tc>
        <w:tc>
          <w:tcPr>
            <w:tcW w:w="992" w:type="dxa"/>
            <w:shd w:val="clear" w:color="auto" w:fill="auto"/>
            <w:vAlign w:val="bottom"/>
          </w:tcPr>
          <w:p w14:paraId="3CFE529C" w14:textId="0AB761B5" w:rsidR="00D76A56" w:rsidRPr="006E1AF7" w:rsidRDefault="00D76A56" w:rsidP="00D76A56">
            <w:pPr>
              <w:spacing w:after="160" w:line="259" w:lineRule="auto"/>
              <w:jc w:val="right"/>
              <w:rPr>
                <w:rFonts w:ascii="Arial" w:eastAsia="Calibri" w:hAnsi="Arial" w:cs="Arial"/>
                <w:color w:val="000000"/>
                <w:sz w:val="14"/>
                <w:szCs w:val="14"/>
                <w:lang w:val="en-US"/>
              </w:rPr>
            </w:pPr>
            <w:r w:rsidRPr="006E1AF7">
              <w:rPr>
                <w:rFonts w:ascii="Arial" w:hAnsi="Arial" w:cs="Arial"/>
                <w:color w:val="000000"/>
                <w:sz w:val="14"/>
                <w:szCs w:val="14"/>
              </w:rPr>
              <w:t>910</w:t>
            </w:r>
          </w:p>
        </w:tc>
        <w:tc>
          <w:tcPr>
            <w:tcW w:w="1006" w:type="dxa"/>
          </w:tcPr>
          <w:p w14:paraId="3F20AD0B" w14:textId="3BA66B25" w:rsidR="00D76A56" w:rsidRPr="00D76A56" w:rsidRDefault="00D76A56" w:rsidP="00D76A56">
            <w:pPr>
              <w:spacing w:after="160" w:line="259" w:lineRule="auto"/>
              <w:jc w:val="right"/>
              <w:rPr>
                <w:rFonts w:ascii="Arial" w:eastAsia="Calibri" w:hAnsi="Arial" w:cs="Arial"/>
                <w:color w:val="000000"/>
                <w:sz w:val="14"/>
                <w:szCs w:val="14"/>
                <w:lang w:val="en-US"/>
              </w:rPr>
            </w:pPr>
            <w:r w:rsidRPr="000908BC">
              <w:rPr>
                <w:rFonts w:ascii="Arial" w:hAnsi="Arial" w:cs="Arial"/>
                <w:color w:val="000000"/>
                <w:sz w:val="14"/>
                <w:szCs w:val="14"/>
              </w:rPr>
              <w:t>-</w:t>
            </w:r>
          </w:p>
        </w:tc>
        <w:tc>
          <w:tcPr>
            <w:tcW w:w="837" w:type="dxa"/>
          </w:tcPr>
          <w:p w14:paraId="22BD333A" w14:textId="070FEEC3" w:rsidR="00D76A56" w:rsidRPr="00D76A56" w:rsidRDefault="00D76A56" w:rsidP="00D76A56">
            <w:pPr>
              <w:spacing w:after="160" w:line="259" w:lineRule="auto"/>
              <w:jc w:val="right"/>
              <w:rPr>
                <w:rFonts w:ascii="Arial" w:eastAsia="Calibri" w:hAnsi="Arial" w:cs="Arial"/>
                <w:color w:val="000000"/>
                <w:sz w:val="14"/>
                <w:szCs w:val="14"/>
                <w:lang w:val="en-US"/>
              </w:rPr>
            </w:pPr>
            <w:r w:rsidRPr="000908BC">
              <w:rPr>
                <w:rFonts w:ascii="Arial" w:hAnsi="Arial" w:cs="Arial"/>
                <w:color w:val="000000"/>
                <w:sz w:val="14"/>
                <w:szCs w:val="14"/>
              </w:rPr>
              <w:t>-</w:t>
            </w:r>
          </w:p>
        </w:tc>
        <w:tc>
          <w:tcPr>
            <w:tcW w:w="823" w:type="dxa"/>
            <w:shd w:val="clear" w:color="auto" w:fill="auto"/>
          </w:tcPr>
          <w:p w14:paraId="03B3EF4F" w14:textId="382C0045" w:rsidR="00D76A56" w:rsidRPr="006E1AF7" w:rsidDel="00293759" w:rsidRDefault="00D76A56" w:rsidP="00D76A56">
            <w:pPr>
              <w:spacing w:after="160" w:line="259" w:lineRule="auto"/>
              <w:jc w:val="right"/>
              <w:rPr>
                <w:rFonts w:ascii="Arial" w:eastAsia="Calibri" w:hAnsi="Arial" w:cs="Arial"/>
                <w:color w:val="000000"/>
                <w:sz w:val="14"/>
                <w:szCs w:val="14"/>
                <w:lang w:val="en-US"/>
              </w:rPr>
            </w:pPr>
            <w:r w:rsidRPr="00C17258">
              <w:rPr>
                <w:rFonts w:ascii="Arial" w:hAnsi="Arial" w:cs="Arial"/>
                <w:color w:val="000000"/>
                <w:sz w:val="14"/>
                <w:szCs w:val="14"/>
              </w:rPr>
              <w:t>-</w:t>
            </w:r>
          </w:p>
        </w:tc>
        <w:tc>
          <w:tcPr>
            <w:tcW w:w="993" w:type="dxa"/>
          </w:tcPr>
          <w:p w14:paraId="28F06BDD" w14:textId="0B1334A8" w:rsidR="00D76A56" w:rsidRPr="006E1AF7" w:rsidRDefault="00D76A56" w:rsidP="00D76A56">
            <w:pPr>
              <w:spacing w:after="160" w:line="259" w:lineRule="auto"/>
              <w:jc w:val="right"/>
              <w:rPr>
                <w:rFonts w:ascii="Arial" w:eastAsia="Calibri" w:hAnsi="Arial" w:cs="Arial"/>
                <w:color w:val="000000"/>
                <w:sz w:val="14"/>
                <w:szCs w:val="14"/>
                <w:lang w:val="en-US"/>
              </w:rPr>
            </w:pPr>
            <w:r w:rsidRPr="00C17258">
              <w:rPr>
                <w:rFonts w:ascii="Arial" w:hAnsi="Arial" w:cs="Arial"/>
                <w:color w:val="000000"/>
                <w:sz w:val="14"/>
                <w:szCs w:val="14"/>
              </w:rPr>
              <w:t>-</w:t>
            </w:r>
          </w:p>
        </w:tc>
        <w:tc>
          <w:tcPr>
            <w:tcW w:w="992" w:type="dxa"/>
            <w:shd w:val="clear" w:color="auto" w:fill="auto"/>
            <w:vAlign w:val="bottom"/>
          </w:tcPr>
          <w:p w14:paraId="2A66BFAC" w14:textId="7AD7BF7C" w:rsidR="00D76A56" w:rsidRPr="006E1AF7" w:rsidRDefault="00D76A56" w:rsidP="00D76A56">
            <w:pPr>
              <w:spacing w:after="160" w:line="259" w:lineRule="auto"/>
              <w:jc w:val="right"/>
              <w:rPr>
                <w:rFonts w:ascii="Arial" w:eastAsia="Calibri" w:hAnsi="Arial" w:cs="Arial"/>
                <w:color w:val="000000"/>
                <w:sz w:val="14"/>
                <w:szCs w:val="14"/>
                <w:lang w:val="en-US"/>
              </w:rPr>
            </w:pPr>
            <w:r w:rsidRPr="006E1AF7">
              <w:rPr>
                <w:rFonts w:ascii="Arial" w:hAnsi="Arial" w:cs="Arial"/>
                <w:color w:val="000000"/>
                <w:sz w:val="14"/>
                <w:szCs w:val="14"/>
              </w:rPr>
              <w:t>647</w:t>
            </w:r>
          </w:p>
        </w:tc>
        <w:tc>
          <w:tcPr>
            <w:tcW w:w="1019" w:type="dxa"/>
          </w:tcPr>
          <w:p w14:paraId="73753CC7" w14:textId="179BB5BC" w:rsidR="00D76A56" w:rsidRPr="006E1AF7" w:rsidRDefault="00D76A56" w:rsidP="00D76A56">
            <w:pPr>
              <w:spacing w:after="160" w:line="259" w:lineRule="auto"/>
              <w:jc w:val="right"/>
              <w:rPr>
                <w:rFonts w:ascii="Arial" w:eastAsia="Calibri" w:hAnsi="Arial" w:cs="Arial"/>
                <w:color w:val="000000"/>
                <w:sz w:val="14"/>
                <w:szCs w:val="14"/>
                <w:lang w:val="en-US"/>
              </w:rPr>
            </w:pPr>
            <w:r w:rsidRPr="00AB27A1">
              <w:rPr>
                <w:rFonts w:ascii="Arial" w:hAnsi="Arial" w:cs="Arial"/>
                <w:color w:val="000000"/>
                <w:sz w:val="14"/>
                <w:szCs w:val="14"/>
              </w:rPr>
              <w:t>-</w:t>
            </w:r>
          </w:p>
        </w:tc>
      </w:tr>
      <w:tr w:rsidR="00D76A56" w:rsidRPr="00D76A56" w14:paraId="2C97B348" w14:textId="73A9817F" w:rsidTr="006E1AF7">
        <w:trPr>
          <w:trHeight w:val="212"/>
        </w:trPr>
        <w:tc>
          <w:tcPr>
            <w:tcW w:w="2269" w:type="dxa"/>
            <w:shd w:val="clear" w:color="auto" w:fill="auto"/>
            <w:vAlign w:val="bottom"/>
          </w:tcPr>
          <w:p w14:paraId="5F5530A7" w14:textId="4FBF454B" w:rsidR="00D76A56" w:rsidRPr="006E1AF7" w:rsidRDefault="00D76A56" w:rsidP="00D76A56">
            <w:pPr>
              <w:spacing w:after="160" w:line="259" w:lineRule="auto"/>
              <w:rPr>
                <w:rFonts w:ascii="Arial" w:eastAsia="Calibri" w:hAnsi="Arial" w:cs="Arial"/>
                <w:color w:val="000000"/>
                <w:sz w:val="14"/>
                <w:szCs w:val="14"/>
              </w:rPr>
            </w:pPr>
            <w:r w:rsidRPr="006E1AF7">
              <w:rPr>
                <w:rFonts w:ascii="Arial" w:eastAsia="Calibri" w:hAnsi="Arial" w:cs="Arial"/>
                <w:color w:val="000000"/>
                <w:sz w:val="14"/>
                <w:szCs w:val="14"/>
              </w:rPr>
              <w:t>Grupo Supervielle S.A.</w:t>
            </w:r>
          </w:p>
        </w:tc>
        <w:tc>
          <w:tcPr>
            <w:tcW w:w="1276" w:type="dxa"/>
          </w:tcPr>
          <w:p w14:paraId="623866FC" w14:textId="41D9E990" w:rsidR="00D76A56" w:rsidRPr="006E1AF7" w:rsidRDefault="00D76A56" w:rsidP="00D76A56">
            <w:pPr>
              <w:spacing w:after="160" w:line="259" w:lineRule="auto"/>
              <w:jc w:val="right"/>
              <w:rPr>
                <w:rFonts w:ascii="Arial" w:eastAsia="Calibri" w:hAnsi="Arial" w:cs="Arial"/>
                <w:color w:val="000000"/>
                <w:sz w:val="14"/>
                <w:szCs w:val="14"/>
                <w:lang w:val="es-ES_tradnl"/>
              </w:rPr>
            </w:pPr>
            <w:r>
              <w:rPr>
                <w:rFonts w:ascii="Arial" w:hAnsi="Arial" w:cs="Arial"/>
                <w:color w:val="000000"/>
                <w:sz w:val="14"/>
                <w:szCs w:val="14"/>
              </w:rPr>
              <w:t>-</w:t>
            </w:r>
          </w:p>
        </w:tc>
        <w:tc>
          <w:tcPr>
            <w:tcW w:w="992" w:type="dxa"/>
            <w:shd w:val="clear" w:color="auto" w:fill="auto"/>
            <w:vAlign w:val="bottom"/>
          </w:tcPr>
          <w:p w14:paraId="5CFDD424" w14:textId="5FE21A58"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color w:val="000000"/>
                <w:sz w:val="14"/>
                <w:szCs w:val="14"/>
              </w:rPr>
              <w:t>68</w:t>
            </w:r>
          </w:p>
        </w:tc>
        <w:tc>
          <w:tcPr>
            <w:tcW w:w="1006" w:type="dxa"/>
          </w:tcPr>
          <w:p w14:paraId="5786D41D" w14:textId="3516BCB0" w:rsidR="00D76A56" w:rsidRPr="00D76A56" w:rsidRDefault="00D76A56" w:rsidP="00D76A56">
            <w:pPr>
              <w:spacing w:after="160" w:line="259" w:lineRule="auto"/>
              <w:jc w:val="right"/>
              <w:rPr>
                <w:rFonts w:ascii="Arial" w:eastAsia="Calibri" w:hAnsi="Arial" w:cs="Arial"/>
                <w:color w:val="000000"/>
                <w:sz w:val="14"/>
                <w:szCs w:val="14"/>
              </w:rPr>
            </w:pPr>
            <w:r w:rsidRPr="000908BC">
              <w:rPr>
                <w:rFonts w:ascii="Arial" w:hAnsi="Arial" w:cs="Arial"/>
                <w:color w:val="000000"/>
                <w:sz w:val="14"/>
                <w:szCs w:val="14"/>
              </w:rPr>
              <w:t>-</w:t>
            </w:r>
          </w:p>
        </w:tc>
        <w:tc>
          <w:tcPr>
            <w:tcW w:w="837" w:type="dxa"/>
          </w:tcPr>
          <w:p w14:paraId="214C4786" w14:textId="119C5A39" w:rsidR="00D76A56" w:rsidRPr="00D76A56" w:rsidRDefault="00D76A56" w:rsidP="00D76A56">
            <w:pPr>
              <w:spacing w:after="160" w:line="259" w:lineRule="auto"/>
              <w:jc w:val="right"/>
              <w:rPr>
                <w:rFonts w:ascii="Arial" w:eastAsia="Calibri" w:hAnsi="Arial" w:cs="Arial"/>
                <w:color w:val="000000"/>
                <w:sz w:val="14"/>
                <w:szCs w:val="14"/>
              </w:rPr>
            </w:pPr>
            <w:r w:rsidRPr="000908BC">
              <w:rPr>
                <w:rFonts w:ascii="Arial" w:hAnsi="Arial" w:cs="Arial"/>
                <w:color w:val="000000"/>
                <w:sz w:val="14"/>
                <w:szCs w:val="14"/>
              </w:rPr>
              <w:t>-</w:t>
            </w:r>
          </w:p>
        </w:tc>
        <w:tc>
          <w:tcPr>
            <w:tcW w:w="823" w:type="dxa"/>
            <w:shd w:val="clear" w:color="auto" w:fill="auto"/>
            <w:vAlign w:val="bottom"/>
          </w:tcPr>
          <w:p w14:paraId="10C05AF9" w14:textId="0019846E" w:rsidR="00D76A56" w:rsidRPr="006E1AF7" w:rsidRDefault="00D76A56" w:rsidP="00D76A56">
            <w:pPr>
              <w:spacing w:after="160" w:line="259" w:lineRule="auto"/>
              <w:jc w:val="right"/>
              <w:rPr>
                <w:rFonts w:ascii="Arial" w:eastAsia="Calibri" w:hAnsi="Arial" w:cs="Arial"/>
                <w:color w:val="000000"/>
                <w:sz w:val="14"/>
                <w:szCs w:val="14"/>
              </w:rPr>
            </w:pPr>
            <w:r w:rsidRPr="006E1AF7">
              <w:rPr>
                <w:rFonts w:ascii="Arial" w:hAnsi="Arial" w:cs="Arial"/>
                <w:color w:val="000000"/>
                <w:sz w:val="14"/>
                <w:szCs w:val="14"/>
              </w:rPr>
              <w:t>1.425</w:t>
            </w:r>
          </w:p>
        </w:tc>
        <w:tc>
          <w:tcPr>
            <w:tcW w:w="993" w:type="dxa"/>
          </w:tcPr>
          <w:p w14:paraId="3E6EB988" w14:textId="6DFA16FF"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4E4A86">
              <w:rPr>
                <w:rFonts w:ascii="Arial" w:hAnsi="Arial" w:cs="Arial"/>
                <w:color w:val="000000"/>
                <w:sz w:val="14"/>
                <w:szCs w:val="14"/>
              </w:rPr>
              <w:t>-</w:t>
            </w:r>
          </w:p>
        </w:tc>
        <w:tc>
          <w:tcPr>
            <w:tcW w:w="992" w:type="dxa"/>
            <w:shd w:val="clear" w:color="auto" w:fill="auto"/>
          </w:tcPr>
          <w:p w14:paraId="38D05D4A" w14:textId="2E5126D5" w:rsidR="00D76A56" w:rsidRPr="006E1AF7" w:rsidRDefault="00D76A56" w:rsidP="00D76A56">
            <w:pPr>
              <w:spacing w:after="160" w:line="259" w:lineRule="auto"/>
              <w:jc w:val="right"/>
              <w:rPr>
                <w:rFonts w:ascii="Arial" w:eastAsia="Calibri" w:hAnsi="Arial" w:cs="Arial"/>
                <w:color w:val="000000"/>
                <w:sz w:val="14"/>
                <w:szCs w:val="14"/>
              </w:rPr>
            </w:pPr>
            <w:r w:rsidRPr="004E4A86">
              <w:rPr>
                <w:rFonts w:ascii="Arial" w:hAnsi="Arial" w:cs="Arial"/>
                <w:color w:val="000000"/>
                <w:sz w:val="14"/>
                <w:szCs w:val="14"/>
              </w:rPr>
              <w:t>-</w:t>
            </w:r>
          </w:p>
        </w:tc>
        <w:tc>
          <w:tcPr>
            <w:tcW w:w="1019" w:type="dxa"/>
          </w:tcPr>
          <w:p w14:paraId="48D9D1DC" w14:textId="14EB277D" w:rsidR="00D76A56" w:rsidRPr="006E1AF7" w:rsidRDefault="00D76A56" w:rsidP="00D76A56">
            <w:pPr>
              <w:spacing w:after="160" w:line="259" w:lineRule="auto"/>
              <w:jc w:val="right"/>
              <w:rPr>
                <w:rFonts w:ascii="Arial" w:eastAsia="Calibri" w:hAnsi="Arial" w:cs="Arial"/>
                <w:color w:val="000000"/>
                <w:sz w:val="14"/>
                <w:szCs w:val="14"/>
              </w:rPr>
            </w:pPr>
            <w:r w:rsidRPr="00AB27A1">
              <w:rPr>
                <w:rFonts w:ascii="Arial" w:hAnsi="Arial" w:cs="Arial"/>
                <w:color w:val="000000"/>
                <w:sz w:val="14"/>
                <w:szCs w:val="14"/>
              </w:rPr>
              <w:t>-</w:t>
            </w:r>
          </w:p>
        </w:tc>
      </w:tr>
      <w:tr w:rsidR="00D76A56" w:rsidRPr="00D76A56" w14:paraId="42461897" w14:textId="6754ADFA" w:rsidTr="006E1AF7">
        <w:trPr>
          <w:trHeight w:val="211"/>
        </w:trPr>
        <w:tc>
          <w:tcPr>
            <w:tcW w:w="2269" w:type="dxa"/>
            <w:shd w:val="clear" w:color="auto" w:fill="auto"/>
            <w:vAlign w:val="bottom"/>
            <w:hideMark/>
          </w:tcPr>
          <w:p w14:paraId="5A2E9D38" w14:textId="4F2AC8B3" w:rsidR="00D76A56" w:rsidRPr="006E1AF7" w:rsidRDefault="00D76A56" w:rsidP="00D76A56">
            <w:pPr>
              <w:spacing w:after="160" w:line="259" w:lineRule="auto"/>
              <w:rPr>
                <w:rFonts w:ascii="Arial" w:eastAsia="Calibri" w:hAnsi="Arial" w:cs="Arial"/>
                <w:color w:val="000000"/>
                <w:sz w:val="14"/>
                <w:szCs w:val="14"/>
                <w:lang w:eastAsia="es-AR"/>
              </w:rPr>
            </w:pPr>
            <w:r w:rsidRPr="006E1AF7">
              <w:rPr>
                <w:rFonts w:ascii="Arial" w:eastAsia="Calibri" w:hAnsi="Arial" w:cs="Arial"/>
                <w:b/>
                <w:bCs/>
                <w:color w:val="000000"/>
                <w:sz w:val="14"/>
                <w:szCs w:val="14"/>
              </w:rPr>
              <w:t>TOTAL</w:t>
            </w:r>
          </w:p>
        </w:tc>
        <w:tc>
          <w:tcPr>
            <w:tcW w:w="1276" w:type="dxa"/>
          </w:tcPr>
          <w:p w14:paraId="49525FC2" w14:textId="7A4B73BF"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sz w:val="14"/>
                <w:szCs w:val="14"/>
              </w:rPr>
              <w:t>1.196.926</w:t>
            </w:r>
          </w:p>
        </w:tc>
        <w:tc>
          <w:tcPr>
            <w:tcW w:w="992" w:type="dxa"/>
            <w:shd w:val="clear" w:color="auto" w:fill="auto"/>
            <w:vAlign w:val="bottom"/>
          </w:tcPr>
          <w:p w14:paraId="7744CFE9" w14:textId="3BA45355"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b/>
                <w:bCs/>
                <w:color w:val="000000"/>
                <w:sz w:val="14"/>
                <w:szCs w:val="14"/>
              </w:rPr>
              <w:t>2.923</w:t>
            </w:r>
          </w:p>
        </w:tc>
        <w:tc>
          <w:tcPr>
            <w:tcW w:w="1006" w:type="dxa"/>
            <w:vAlign w:val="bottom"/>
          </w:tcPr>
          <w:p w14:paraId="700F510D" w14:textId="2E7D3652" w:rsidR="00D76A56" w:rsidRPr="00D76A56" w:rsidRDefault="00D76A56" w:rsidP="00D76A56">
            <w:pPr>
              <w:spacing w:after="160" w:line="259" w:lineRule="auto"/>
              <w:jc w:val="right"/>
              <w:rPr>
                <w:rFonts w:ascii="Arial" w:eastAsia="Calibri" w:hAnsi="Arial" w:cs="Arial"/>
                <w:b/>
                <w:color w:val="000000"/>
                <w:sz w:val="14"/>
                <w:szCs w:val="14"/>
                <w:lang w:val="es-ES_tradnl"/>
              </w:rPr>
            </w:pPr>
            <w:r w:rsidRPr="006E1AF7">
              <w:rPr>
                <w:rFonts w:ascii="Arial" w:hAnsi="Arial" w:cs="Arial"/>
                <w:b/>
                <w:bCs/>
                <w:color w:val="000000"/>
                <w:sz w:val="14"/>
                <w:szCs w:val="14"/>
              </w:rPr>
              <w:t>358.200</w:t>
            </w:r>
          </w:p>
        </w:tc>
        <w:tc>
          <w:tcPr>
            <w:tcW w:w="837" w:type="dxa"/>
            <w:vAlign w:val="bottom"/>
          </w:tcPr>
          <w:p w14:paraId="45C2EB9F" w14:textId="1B3EDC7E" w:rsidR="00D76A56" w:rsidRPr="00D76A56" w:rsidRDefault="00D76A56" w:rsidP="00D76A56">
            <w:pPr>
              <w:spacing w:after="160" w:line="259" w:lineRule="auto"/>
              <w:jc w:val="right"/>
              <w:rPr>
                <w:rFonts w:ascii="Arial" w:eastAsia="Calibri" w:hAnsi="Arial" w:cs="Arial"/>
                <w:b/>
                <w:color w:val="000000"/>
                <w:sz w:val="14"/>
                <w:szCs w:val="14"/>
                <w:lang w:val="es-ES_tradnl"/>
              </w:rPr>
            </w:pPr>
            <w:r w:rsidRPr="006E1AF7">
              <w:rPr>
                <w:rFonts w:ascii="Arial" w:hAnsi="Arial" w:cs="Arial"/>
                <w:b/>
                <w:bCs/>
                <w:color w:val="000000"/>
                <w:sz w:val="14"/>
                <w:szCs w:val="14"/>
              </w:rPr>
              <w:t>580.375</w:t>
            </w:r>
          </w:p>
        </w:tc>
        <w:tc>
          <w:tcPr>
            <w:tcW w:w="823" w:type="dxa"/>
            <w:shd w:val="clear" w:color="auto" w:fill="auto"/>
            <w:vAlign w:val="bottom"/>
          </w:tcPr>
          <w:p w14:paraId="25E91A1A" w14:textId="2A1DC1EA" w:rsidR="00D76A56" w:rsidRPr="006E1AF7" w:rsidRDefault="00D76A56" w:rsidP="00D76A56">
            <w:pPr>
              <w:spacing w:after="160" w:line="259" w:lineRule="auto"/>
              <w:jc w:val="right"/>
              <w:rPr>
                <w:rFonts w:ascii="Arial" w:eastAsia="Calibri" w:hAnsi="Arial" w:cs="Arial"/>
                <w:b/>
                <w:color w:val="000000"/>
                <w:sz w:val="14"/>
                <w:szCs w:val="14"/>
                <w:lang w:val="es-ES_tradnl"/>
              </w:rPr>
            </w:pPr>
            <w:r w:rsidRPr="006E1AF7">
              <w:rPr>
                <w:rFonts w:ascii="Arial" w:hAnsi="Arial" w:cs="Arial"/>
                <w:b/>
                <w:bCs/>
                <w:color w:val="000000"/>
                <w:sz w:val="14"/>
                <w:szCs w:val="14"/>
              </w:rPr>
              <w:t>1.557.766</w:t>
            </w:r>
          </w:p>
        </w:tc>
        <w:tc>
          <w:tcPr>
            <w:tcW w:w="993" w:type="dxa"/>
            <w:vAlign w:val="bottom"/>
          </w:tcPr>
          <w:p w14:paraId="7A9B260B" w14:textId="52A50646"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b/>
                <w:bCs/>
                <w:color w:val="000000"/>
                <w:sz w:val="14"/>
                <w:szCs w:val="14"/>
              </w:rPr>
              <w:t>21.108</w:t>
            </w:r>
          </w:p>
        </w:tc>
        <w:tc>
          <w:tcPr>
            <w:tcW w:w="992" w:type="dxa"/>
            <w:shd w:val="clear" w:color="auto" w:fill="auto"/>
            <w:vAlign w:val="bottom"/>
          </w:tcPr>
          <w:p w14:paraId="2D0F6297" w14:textId="1FEE8439"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b/>
                <w:bCs/>
                <w:color w:val="000000"/>
                <w:sz w:val="14"/>
                <w:szCs w:val="14"/>
              </w:rPr>
              <w:t>9.135</w:t>
            </w:r>
          </w:p>
        </w:tc>
        <w:tc>
          <w:tcPr>
            <w:tcW w:w="1019" w:type="dxa"/>
            <w:vAlign w:val="bottom"/>
          </w:tcPr>
          <w:p w14:paraId="36A32D7B" w14:textId="2F35A395" w:rsidR="00D76A56" w:rsidRPr="006E1AF7" w:rsidRDefault="00D76A56" w:rsidP="00D76A56">
            <w:pPr>
              <w:spacing w:after="160" w:line="259" w:lineRule="auto"/>
              <w:jc w:val="right"/>
              <w:rPr>
                <w:rFonts w:ascii="Arial" w:eastAsia="Calibri" w:hAnsi="Arial" w:cs="Arial"/>
                <w:color w:val="000000"/>
                <w:sz w:val="14"/>
                <w:szCs w:val="14"/>
                <w:lang w:val="es-ES_tradnl"/>
              </w:rPr>
            </w:pPr>
            <w:r w:rsidRPr="006E1AF7">
              <w:rPr>
                <w:rFonts w:ascii="Arial" w:hAnsi="Arial" w:cs="Arial"/>
                <w:b/>
                <w:bCs/>
                <w:color w:val="000000"/>
                <w:sz w:val="14"/>
                <w:szCs w:val="14"/>
              </w:rPr>
              <w:t>216.613</w:t>
            </w:r>
          </w:p>
        </w:tc>
      </w:tr>
    </w:tbl>
    <w:p w14:paraId="605EF75B" w14:textId="53E2A55D" w:rsidR="00034C0E" w:rsidRDefault="00034C0E" w:rsidP="00656E62">
      <w:pPr>
        <w:widowControl w:val="0"/>
        <w:autoSpaceDE w:val="0"/>
        <w:autoSpaceDN w:val="0"/>
        <w:adjustRightInd w:val="0"/>
        <w:jc w:val="both"/>
        <w:rPr>
          <w:rFonts w:ascii="Arial" w:eastAsia="Calibri" w:hAnsi="Arial" w:cs="Arial"/>
          <w:color w:val="000000"/>
          <w:sz w:val="20"/>
        </w:rPr>
      </w:pPr>
    </w:p>
    <w:tbl>
      <w:tblPr>
        <w:tblW w:w="9214"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671"/>
        <w:gridCol w:w="1335"/>
        <w:gridCol w:w="881"/>
        <w:gridCol w:w="1026"/>
        <w:gridCol w:w="1042"/>
        <w:gridCol w:w="1094"/>
        <w:gridCol w:w="1165"/>
      </w:tblGrid>
      <w:tr w:rsidR="00E23D63" w:rsidRPr="00701F32" w14:paraId="4A45302C" w14:textId="77777777" w:rsidTr="00F73F7F">
        <w:trPr>
          <w:trHeight w:val="284"/>
          <w:tblHeader/>
        </w:trPr>
        <w:tc>
          <w:tcPr>
            <w:tcW w:w="2671" w:type="dxa"/>
            <w:vMerge w:val="restart"/>
            <w:shd w:val="clear" w:color="auto" w:fill="auto"/>
            <w:vAlign w:val="center"/>
            <w:hideMark/>
          </w:tcPr>
          <w:p w14:paraId="3C1AFF89" w14:textId="77777777" w:rsidR="00E23D63" w:rsidRPr="00701F32" w:rsidRDefault="00E23D63" w:rsidP="00A9135D">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Sociedades</w:t>
            </w:r>
          </w:p>
        </w:tc>
        <w:tc>
          <w:tcPr>
            <w:tcW w:w="6543" w:type="dxa"/>
            <w:gridSpan w:val="6"/>
            <w:vAlign w:val="bottom"/>
          </w:tcPr>
          <w:p w14:paraId="72C9FEE9" w14:textId="77777777" w:rsidR="00E23D63" w:rsidRPr="00701F32" w:rsidRDefault="00E23D63" w:rsidP="00A9135D">
            <w:pPr>
              <w:spacing w:after="160" w:line="259" w:lineRule="auto"/>
              <w:jc w:val="center"/>
              <w:rPr>
                <w:rFonts w:ascii="Arial" w:eastAsia="Calibri" w:hAnsi="Arial" w:cs="Arial"/>
                <w:b/>
                <w:color w:val="000000"/>
                <w:sz w:val="16"/>
                <w:lang w:eastAsia="es-AR"/>
              </w:rPr>
            </w:pPr>
            <w:r>
              <w:rPr>
                <w:rFonts w:ascii="Arial" w:eastAsia="Calibri" w:hAnsi="Arial" w:cs="Arial"/>
                <w:b/>
                <w:color w:val="000000"/>
                <w:sz w:val="16"/>
                <w:lang w:eastAsia="es-AR"/>
              </w:rPr>
              <w:t>31</w:t>
            </w:r>
            <w:r w:rsidRPr="00701F32">
              <w:rPr>
                <w:rFonts w:ascii="Arial" w:eastAsia="Calibri" w:hAnsi="Arial" w:cs="Arial"/>
                <w:b/>
                <w:color w:val="000000"/>
                <w:sz w:val="16"/>
                <w:lang w:eastAsia="es-AR"/>
              </w:rPr>
              <w:t>/</w:t>
            </w:r>
            <w:r>
              <w:rPr>
                <w:rFonts w:ascii="Arial" w:eastAsia="Calibri" w:hAnsi="Arial" w:cs="Arial"/>
                <w:b/>
                <w:color w:val="000000"/>
                <w:sz w:val="16"/>
                <w:lang w:eastAsia="es-AR"/>
              </w:rPr>
              <w:t>12</w:t>
            </w:r>
            <w:r w:rsidRPr="00701F32">
              <w:rPr>
                <w:rFonts w:ascii="Arial" w:eastAsia="Calibri" w:hAnsi="Arial" w:cs="Arial"/>
                <w:b/>
                <w:color w:val="000000"/>
                <w:sz w:val="16"/>
                <w:lang w:eastAsia="es-AR"/>
              </w:rPr>
              <w:t>/2018</w:t>
            </w:r>
          </w:p>
        </w:tc>
      </w:tr>
      <w:tr w:rsidR="00E23D63" w:rsidRPr="00701F32" w14:paraId="0211DA91" w14:textId="77777777" w:rsidTr="00F73F7F">
        <w:trPr>
          <w:trHeight w:val="381"/>
          <w:tblHeader/>
        </w:trPr>
        <w:tc>
          <w:tcPr>
            <w:tcW w:w="2671" w:type="dxa"/>
            <w:vMerge/>
            <w:shd w:val="clear" w:color="auto" w:fill="auto"/>
            <w:vAlign w:val="bottom"/>
            <w:hideMark/>
          </w:tcPr>
          <w:p w14:paraId="5B55E7D1" w14:textId="77777777" w:rsidR="00E23D63" w:rsidRPr="00701F32" w:rsidRDefault="00E23D63" w:rsidP="00A9135D">
            <w:pPr>
              <w:spacing w:after="160" w:line="259" w:lineRule="auto"/>
              <w:jc w:val="center"/>
              <w:rPr>
                <w:rFonts w:ascii="Arial" w:eastAsia="Calibri" w:hAnsi="Arial" w:cs="Arial"/>
                <w:color w:val="000000"/>
                <w:sz w:val="16"/>
              </w:rPr>
            </w:pPr>
          </w:p>
        </w:tc>
        <w:tc>
          <w:tcPr>
            <w:tcW w:w="1335" w:type="dxa"/>
            <w:vAlign w:val="center"/>
          </w:tcPr>
          <w:p w14:paraId="09AB22FB" w14:textId="77777777" w:rsidR="00E23D63" w:rsidRPr="00701F32" w:rsidRDefault="00E23D63" w:rsidP="00A9135D">
            <w:pPr>
              <w:spacing w:after="160" w:line="259" w:lineRule="auto"/>
              <w:jc w:val="center"/>
              <w:rPr>
                <w:rFonts w:ascii="Arial" w:eastAsia="Calibri" w:hAnsi="Arial" w:cs="Arial"/>
                <w:b/>
                <w:bCs/>
                <w:color w:val="000000"/>
                <w:sz w:val="16"/>
                <w:lang w:eastAsia="es-AR"/>
              </w:rPr>
            </w:pPr>
            <w:r w:rsidRPr="00701F32">
              <w:rPr>
                <w:rFonts w:ascii="Arial" w:eastAsia="Calibri" w:hAnsi="Arial" w:cs="Arial"/>
                <w:b/>
                <w:bCs/>
                <w:color w:val="000000"/>
                <w:sz w:val="16"/>
                <w:lang w:eastAsia="es-AR"/>
              </w:rPr>
              <w:t>Préstamos y Otras Financiaciones</w:t>
            </w:r>
          </w:p>
        </w:tc>
        <w:tc>
          <w:tcPr>
            <w:tcW w:w="881" w:type="dxa"/>
            <w:vAlign w:val="center"/>
          </w:tcPr>
          <w:p w14:paraId="0569B9CC" w14:textId="77777777" w:rsidR="00E23D63" w:rsidRPr="00701F32" w:rsidRDefault="00E23D63" w:rsidP="00A9135D">
            <w:pPr>
              <w:spacing w:after="160" w:line="259" w:lineRule="auto"/>
              <w:jc w:val="center"/>
              <w:rPr>
                <w:rFonts w:ascii="Arial" w:eastAsia="Calibri" w:hAnsi="Arial" w:cs="Arial"/>
                <w:b/>
                <w:bCs/>
                <w:color w:val="000000"/>
                <w:sz w:val="16"/>
                <w:lang w:eastAsia="es-AR"/>
              </w:rPr>
            </w:pPr>
            <w:r w:rsidRPr="00701F32">
              <w:rPr>
                <w:rFonts w:ascii="Arial" w:eastAsia="Calibri" w:hAnsi="Arial" w:cs="Arial"/>
                <w:b/>
                <w:bCs/>
                <w:color w:val="000000"/>
                <w:sz w:val="16"/>
                <w:lang w:eastAsia="es-AR"/>
              </w:rPr>
              <w:t>Otros Títulos de Deuda</w:t>
            </w:r>
          </w:p>
        </w:tc>
        <w:tc>
          <w:tcPr>
            <w:tcW w:w="1026" w:type="dxa"/>
            <w:shd w:val="clear" w:color="auto" w:fill="auto"/>
            <w:vAlign w:val="center"/>
            <w:hideMark/>
          </w:tcPr>
          <w:p w14:paraId="44098CF1" w14:textId="77777777" w:rsidR="00E23D63" w:rsidRPr="00701F32" w:rsidRDefault="00E23D63" w:rsidP="00A9135D">
            <w:pPr>
              <w:spacing w:after="160" w:line="259" w:lineRule="auto"/>
              <w:jc w:val="center"/>
              <w:rPr>
                <w:rFonts w:ascii="Arial" w:eastAsia="Calibri" w:hAnsi="Arial" w:cs="Arial"/>
                <w:b/>
                <w:bCs/>
                <w:color w:val="000000"/>
                <w:sz w:val="16"/>
                <w:lang w:eastAsia="es-AR"/>
              </w:rPr>
            </w:pPr>
            <w:r w:rsidRPr="00701F32">
              <w:rPr>
                <w:rFonts w:ascii="Arial" w:eastAsia="Calibri" w:hAnsi="Arial" w:cs="Arial"/>
                <w:b/>
                <w:bCs/>
                <w:color w:val="000000"/>
                <w:sz w:val="16"/>
                <w:lang w:eastAsia="es-AR"/>
              </w:rPr>
              <w:t>Otros Activos Financieros</w:t>
            </w:r>
          </w:p>
        </w:tc>
        <w:tc>
          <w:tcPr>
            <w:tcW w:w="1042" w:type="dxa"/>
            <w:shd w:val="clear" w:color="auto" w:fill="auto"/>
            <w:vAlign w:val="center"/>
            <w:hideMark/>
          </w:tcPr>
          <w:p w14:paraId="3D70DE7B" w14:textId="77777777" w:rsidR="00E23D63" w:rsidRPr="00701F32" w:rsidRDefault="00E23D63" w:rsidP="00A9135D">
            <w:pPr>
              <w:spacing w:after="160" w:line="259" w:lineRule="auto"/>
              <w:jc w:val="center"/>
              <w:rPr>
                <w:rFonts w:ascii="Arial" w:eastAsia="Calibri" w:hAnsi="Arial" w:cs="Arial"/>
                <w:b/>
                <w:bCs/>
                <w:color w:val="000000"/>
                <w:sz w:val="16"/>
                <w:lang w:eastAsia="es-AR"/>
              </w:rPr>
            </w:pPr>
            <w:r w:rsidRPr="00701F32">
              <w:rPr>
                <w:rFonts w:ascii="Arial" w:eastAsia="Calibri" w:hAnsi="Arial" w:cs="Arial"/>
                <w:b/>
                <w:bCs/>
                <w:color w:val="000000"/>
                <w:sz w:val="16"/>
                <w:lang w:eastAsia="es-AR"/>
              </w:rPr>
              <w:t>Depósitos</w:t>
            </w:r>
          </w:p>
        </w:tc>
        <w:tc>
          <w:tcPr>
            <w:tcW w:w="1094" w:type="dxa"/>
            <w:vAlign w:val="center"/>
          </w:tcPr>
          <w:p w14:paraId="2E13E1DC" w14:textId="77777777" w:rsidR="00E23D63" w:rsidRPr="00701F32" w:rsidRDefault="00E23D63" w:rsidP="00A9135D">
            <w:pPr>
              <w:spacing w:after="160" w:line="259" w:lineRule="auto"/>
              <w:jc w:val="center"/>
              <w:rPr>
                <w:rFonts w:ascii="Arial" w:eastAsia="Calibri" w:hAnsi="Arial" w:cs="Arial"/>
                <w:b/>
                <w:bCs/>
                <w:color w:val="000000"/>
                <w:sz w:val="16"/>
                <w:lang w:eastAsia="es-AR"/>
              </w:rPr>
            </w:pPr>
            <w:r w:rsidRPr="00701F32">
              <w:rPr>
                <w:rFonts w:ascii="Arial" w:eastAsia="Calibri" w:hAnsi="Arial" w:cs="Arial"/>
                <w:b/>
                <w:bCs/>
                <w:color w:val="000000"/>
                <w:sz w:val="16"/>
                <w:lang w:eastAsia="es-AR"/>
              </w:rPr>
              <w:t>Otros Pasivos no Financieros</w:t>
            </w:r>
          </w:p>
        </w:tc>
        <w:tc>
          <w:tcPr>
            <w:tcW w:w="1165" w:type="dxa"/>
            <w:shd w:val="clear" w:color="auto" w:fill="auto"/>
            <w:vAlign w:val="center"/>
          </w:tcPr>
          <w:p w14:paraId="4BCC9235" w14:textId="65BFD8E2" w:rsidR="00E23D63" w:rsidRPr="00701F32" w:rsidRDefault="00E23D63" w:rsidP="00A9135D">
            <w:pPr>
              <w:spacing w:after="160" w:line="259" w:lineRule="auto"/>
              <w:jc w:val="center"/>
              <w:rPr>
                <w:rFonts w:ascii="Arial" w:eastAsia="Calibri" w:hAnsi="Arial" w:cs="Arial"/>
                <w:b/>
                <w:bCs/>
                <w:color w:val="000000"/>
                <w:sz w:val="16"/>
                <w:lang w:eastAsia="es-AR"/>
              </w:rPr>
            </w:pPr>
            <w:r>
              <w:rPr>
                <w:rFonts w:ascii="Arial" w:eastAsia="Calibri" w:hAnsi="Arial" w:cs="Arial"/>
                <w:b/>
                <w:bCs/>
                <w:color w:val="000000"/>
                <w:sz w:val="16"/>
                <w:lang w:eastAsia="es-AR"/>
              </w:rPr>
              <w:t>Otros pasivos financieros</w:t>
            </w:r>
          </w:p>
        </w:tc>
      </w:tr>
      <w:tr w:rsidR="00E23D63" w:rsidRPr="00701F32" w14:paraId="0848D748" w14:textId="77777777" w:rsidTr="00F73F7F">
        <w:trPr>
          <w:trHeight w:val="174"/>
        </w:trPr>
        <w:tc>
          <w:tcPr>
            <w:tcW w:w="2671" w:type="dxa"/>
            <w:shd w:val="clear" w:color="auto" w:fill="auto"/>
            <w:vAlign w:val="bottom"/>
            <w:hideMark/>
          </w:tcPr>
          <w:p w14:paraId="01FAA1F4" w14:textId="77777777" w:rsidR="00E23D63" w:rsidRPr="00701F32" w:rsidRDefault="00E23D63" w:rsidP="00A9135D">
            <w:pPr>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Cordial Cía. Financiera S.A.</w:t>
            </w:r>
          </w:p>
        </w:tc>
        <w:tc>
          <w:tcPr>
            <w:tcW w:w="1335" w:type="dxa"/>
            <w:vAlign w:val="bottom"/>
          </w:tcPr>
          <w:p w14:paraId="0723C6BE"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2</w:t>
            </w:r>
            <w:r w:rsidRPr="00701F32">
              <w:rPr>
                <w:rFonts w:ascii="Arial" w:eastAsia="Calibri" w:hAnsi="Arial" w:cs="Arial"/>
                <w:color w:val="000000"/>
                <w:sz w:val="16"/>
              </w:rPr>
              <w:t>.5</w:t>
            </w:r>
            <w:r>
              <w:rPr>
                <w:rFonts w:ascii="Arial" w:eastAsia="Calibri" w:hAnsi="Arial" w:cs="Arial"/>
                <w:color w:val="000000"/>
                <w:sz w:val="16"/>
              </w:rPr>
              <w:t>52</w:t>
            </w:r>
            <w:r w:rsidRPr="00701F32">
              <w:rPr>
                <w:rFonts w:ascii="Arial" w:eastAsia="Calibri" w:hAnsi="Arial" w:cs="Arial"/>
                <w:color w:val="000000"/>
                <w:sz w:val="16"/>
              </w:rPr>
              <w:t>.</w:t>
            </w:r>
            <w:r>
              <w:rPr>
                <w:rFonts w:ascii="Arial" w:eastAsia="Calibri" w:hAnsi="Arial" w:cs="Arial"/>
                <w:color w:val="000000"/>
                <w:sz w:val="16"/>
              </w:rPr>
              <w:t>377</w:t>
            </w:r>
          </w:p>
        </w:tc>
        <w:tc>
          <w:tcPr>
            <w:tcW w:w="881" w:type="dxa"/>
            <w:vAlign w:val="bottom"/>
          </w:tcPr>
          <w:p w14:paraId="028C1AE0"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26" w:type="dxa"/>
            <w:shd w:val="clear" w:color="auto" w:fill="auto"/>
            <w:vAlign w:val="bottom"/>
          </w:tcPr>
          <w:p w14:paraId="53EFA389"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42" w:type="dxa"/>
            <w:shd w:val="clear" w:color="auto" w:fill="auto"/>
            <w:vAlign w:val="bottom"/>
          </w:tcPr>
          <w:p w14:paraId="2B61B434"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1</w:t>
            </w:r>
            <w:r>
              <w:rPr>
                <w:rFonts w:ascii="Arial" w:eastAsia="Calibri" w:hAnsi="Arial" w:cs="Arial"/>
                <w:color w:val="000000"/>
                <w:sz w:val="16"/>
              </w:rPr>
              <w:t>5</w:t>
            </w:r>
            <w:r w:rsidRPr="00701F32">
              <w:rPr>
                <w:rFonts w:ascii="Arial" w:eastAsia="Calibri" w:hAnsi="Arial" w:cs="Arial"/>
                <w:color w:val="000000"/>
                <w:sz w:val="16"/>
              </w:rPr>
              <w:t>.</w:t>
            </w:r>
            <w:r>
              <w:rPr>
                <w:rFonts w:ascii="Arial" w:eastAsia="Calibri" w:hAnsi="Arial" w:cs="Arial"/>
                <w:color w:val="000000"/>
                <w:sz w:val="16"/>
              </w:rPr>
              <w:t>518</w:t>
            </w:r>
          </w:p>
        </w:tc>
        <w:tc>
          <w:tcPr>
            <w:tcW w:w="1094" w:type="dxa"/>
            <w:vAlign w:val="bottom"/>
          </w:tcPr>
          <w:p w14:paraId="5E4B09B4"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165" w:type="dxa"/>
            <w:shd w:val="clear" w:color="auto" w:fill="auto"/>
            <w:vAlign w:val="bottom"/>
          </w:tcPr>
          <w:p w14:paraId="7FC01DEC"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r>
      <w:tr w:rsidR="00E23D63" w:rsidRPr="00701F32" w14:paraId="4342C546" w14:textId="77777777" w:rsidTr="00A059FB">
        <w:trPr>
          <w:trHeight w:val="205"/>
        </w:trPr>
        <w:tc>
          <w:tcPr>
            <w:tcW w:w="2671" w:type="dxa"/>
            <w:shd w:val="clear" w:color="auto" w:fill="auto"/>
            <w:vAlign w:val="bottom"/>
            <w:hideMark/>
          </w:tcPr>
          <w:p w14:paraId="6D779209" w14:textId="77777777" w:rsidR="00E23D63" w:rsidRPr="00701F32" w:rsidRDefault="00E23D63" w:rsidP="00A9135D">
            <w:pPr>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Sofital S.A.F. e I.I.</w:t>
            </w:r>
          </w:p>
        </w:tc>
        <w:tc>
          <w:tcPr>
            <w:tcW w:w="1335" w:type="dxa"/>
            <w:vAlign w:val="bottom"/>
          </w:tcPr>
          <w:p w14:paraId="1F2A5BE8"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881" w:type="dxa"/>
            <w:vAlign w:val="bottom"/>
          </w:tcPr>
          <w:p w14:paraId="371497D7"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26" w:type="dxa"/>
            <w:shd w:val="clear" w:color="auto" w:fill="auto"/>
            <w:vAlign w:val="bottom"/>
          </w:tcPr>
          <w:p w14:paraId="2C11F4AA"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42" w:type="dxa"/>
            <w:shd w:val="clear" w:color="auto" w:fill="auto"/>
            <w:vAlign w:val="bottom"/>
          </w:tcPr>
          <w:p w14:paraId="47E3E444"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62</w:t>
            </w:r>
          </w:p>
        </w:tc>
        <w:tc>
          <w:tcPr>
            <w:tcW w:w="1094" w:type="dxa"/>
            <w:vAlign w:val="bottom"/>
          </w:tcPr>
          <w:p w14:paraId="0CB8DBA0"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165" w:type="dxa"/>
            <w:shd w:val="clear" w:color="auto" w:fill="auto"/>
            <w:vAlign w:val="bottom"/>
          </w:tcPr>
          <w:p w14:paraId="2ACE3137"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r>
      <w:tr w:rsidR="00E23D63" w:rsidRPr="00701F32" w14:paraId="125232D6" w14:textId="77777777" w:rsidTr="00F73F7F">
        <w:trPr>
          <w:trHeight w:val="153"/>
        </w:trPr>
        <w:tc>
          <w:tcPr>
            <w:tcW w:w="2671" w:type="dxa"/>
            <w:shd w:val="clear" w:color="auto" w:fill="auto"/>
            <w:vAlign w:val="bottom"/>
            <w:hideMark/>
          </w:tcPr>
          <w:p w14:paraId="7396F467" w14:textId="77777777" w:rsidR="00E23D63" w:rsidRPr="00701F32" w:rsidRDefault="00E23D63" w:rsidP="00A9135D">
            <w:pPr>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Espacio Cordial de Servicios SA</w:t>
            </w:r>
          </w:p>
        </w:tc>
        <w:tc>
          <w:tcPr>
            <w:tcW w:w="1335" w:type="dxa"/>
            <w:vAlign w:val="bottom"/>
          </w:tcPr>
          <w:p w14:paraId="012B1BCB"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881" w:type="dxa"/>
            <w:vAlign w:val="bottom"/>
          </w:tcPr>
          <w:p w14:paraId="6DD5DE56"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26" w:type="dxa"/>
            <w:shd w:val="clear" w:color="auto" w:fill="auto"/>
            <w:vAlign w:val="bottom"/>
          </w:tcPr>
          <w:p w14:paraId="40BF6DCC"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135</w:t>
            </w:r>
          </w:p>
        </w:tc>
        <w:tc>
          <w:tcPr>
            <w:tcW w:w="1042" w:type="dxa"/>
            <w:shd w:val="clear" w:color="auto" w:fill="auto"/>
            <w:vAlign w:val="bottom"/>
          </w:tcPr>
          <w:p w14:paraId="0AE4075A"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1</w:t>
            </w:r>
            <w:r w:rsidRPr="00701F32">
              <w:rPr>
                <w:rFonts w:ascii="Arial" w:eastAsia="Calibri" w:hAnsi="Arial" w:cs="Arial"/>
                <w:color w:val="000000"/>
                <w:sz w:val="16"/>
              </w:rPr>
              <w:t>.</w:t>
            </w:r>
            <w:r>
              <w:rPr>
                <w:rFonts w:ascii="Arial" w:eastAsia="Calibri" w:hAnsi="Arial" w:cs="Arial"/>
                <w:color w:val="000000"/>
                <w:sz w:val="16"/>
              </w:rPr>
              <w:t>158</w:t>
            </w:r>
          </w:p>
        </w:tc>
        <w:tc>
          <w:tcPr>
            <w:tcW w:w="1094" w:type="dxa"/>
            <w:vAlign w:val="bottom"/>
          </w:tcPr>
          <w:p w14:paraId="68FAABCF"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2.230</w:t>
            </w:r>
          </w:p>
        </w:tc>
        <w:tc>
          <w:tcPr>
            <w:tcW w:w="1165" w:type="dxa"/>
            <w:shd w:val="clear" w:color="auto" w:fill="auto"/>
            <w:vAlign w:val="bottom"/>
          </w:tcPr>
          <w:p w14:paraId="739E132A"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r>
      <w:tr w:rsidR="00E23D63" w:rsidRPr="00701F32" w14:paraId="227741D7" w14:textId="77777777" w:rsidTr="00F73F7F">
        <w:trPr>
          <w:trHeight w:val="150"/>
        </w:trPr>
        <w:tc>
          <w:tcPr>
            <w:tcW w:w="2671" w:type="dxa"/>
            <w:shd w:val="clear" w:color="auto" w:fill="auto"/>
            <w:vAlign w:val="bottom"/>
            <w:hideMark/>
          </w:tcPr>
          <w:p w14:paraId="767509E4" w14:textId="77777777" w:rsidR="00E23D63" w:rsidRPr="00701F32" w:rsidRDefault="00E23D63" w:rsidP="00A9135D">
            <w:pPr>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Supervielle Seguros S.A.</w:t>
            </w:r>
          </w:p>
        </w:tc>
        <w:tc>
          <w:tcPr>
            <w:tcW w:w="1335" w:type="dxa"/>
            <w:vAlign w:val="bottom"/>
          </w:tcPr>
          <w:p w14:paraId="03095AFB"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1</w:t>
            </w:r>
            <w:r>
              <w:rPr>
                <w:rFonts w:ascii="Arial" w:eastAsia="Calibri" w:hAnsi="Arial" w:cs="Arial"/>
                <w:color w:val="000000"/>
                <w:sz w:val="16"/>
              </w:rPr>
              <w:t>1</w:t>
            </w:r>
            <w:r w:rsidRPr="00701F32">
              <w:rPr>
                <w:rFonts w:ascii="Arial" w:eastAsia="Calibri" w:hAnsi="Arial" w:cs="Arial"/>
                <w:color w:val="000000"/>
                <w:sz w:val="16"/>
              </w:rPr>
              <w:t>.</w:t>
            </w:r>
            <w:r>
              <w:rPr>
                <w:rFonts w:ascii="Arial" w:eastAsia="Calibri" w:hAnsi="Arial" w:cs="Arial"/>
                <w:color w:val="000000"/>
                <w:sz w:val="16"/>
              </w:rPr>
              <w:t>137</w:t>
            </w:r>
          </w:p>
        </w:tc>
        <w:tc>
          <w:tcPr>
            <w:tcW w:w="881" w:type="dxa"/>
            <w:vAlign w:val="bottom"/>
          </w:tcPr>
          <w:p w14:paraId="18F3F912"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26" w:type="dxa"/>
            <w:shd w:val="clear" w:color="auto" w:fill="auto"/>
            <w:vAlign w:val="bottom"/>
          </w:tcPr>
          <w:p w14:paraId="62A6EF9F"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5.986</w:t>
            </w:r>
          </w:p>
        </w:tc>
        <w:tc>
          <w:tcPr>
            <w:tcW w:w="1042" w:type="dxa"/>
            <w:shd w:val="clear" w:color="auto" w:fill="auto"/>
            <w:vAlign w:val="bottom"/>
          </w:tcPr>
          <w:p w14:paraId="39438D90"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2</w:t>
            </w:r>
            <w:r w:rsidRPr="00701F32">
              <w:rPr>
                <w:rFonts w:ascii="Arial" w:eastAsia="Calibri" w:hAnsi="Arial" w:cs="Arial"/>
                <w:color w:val="000000"/>
                <w:sz w:val="16"/>
              </w:rPr>
              <w:t>.5</w:t>
            </w:r>
            <w:r>
              <w:rPr>
                <w:rFonts w:ascii="Arial" w:eastAsia="Calibri" w:hAnsi="Arial" w:cs="Arial"/>
                <w:color w:val="000000"/>
                <w:sz w:val="16"/>
              </w:rPr>
              <w:t>98</w:t>
            </w:r>
          </w:p>
        </w:tc>
        <w:tc>
          <w:tcPr>
            <w:tcW w:w="1094" w:type="dxa"/>
            <w:vAlign w:val="bottom"/>
          </w:tcPr>
          <w:p w14:paraId="6F9AAF3E"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4</w:t>
            </w:r>
            <w:r>
              <w:rPr>
                <w:rFonts w:ascii="Arial" w:eastAsia="Calibri" w:hAnsi="Arial" w:cs="Arial"/>
                <w:color w:val="000000"/>
                <w:sz w:val="16"/>
              </w:rPr>
              <w:t>6</w:t>
            </w:r>
            <w:r w:rsidRPr="00701F32">
              <w:rPr>
                <w:rFonts w:ascii="Arial" w:eastAsia="Calibri" w:hAnsi="Arial" w:cs="Arial"/>
                <w:color w:val="000000"/>
                <w:sz w:val="16"/>
              </w:rPr>
              <w:t>.</w:t>
            </w:r>
            <w:r>
              <w:rPr>
                <w:rFonts w:ascii="Arial" w:eastAsia="Calibri" w:hAnsi="Arial" w:cs="Arial"/>
                <w:color w:val="000000"/>
                <w:sz w:val="16"/>
              </w:rPr>
              <w:t>55</w:t>
            </w:r>
            <w:r w:rsidRPr="00701F32">
              <w:rPr>
                <w:rFonts w:ascii="Arial" w:eastAsia="Calibri" w:hAnsi="Arial" w:cs="Arial"/>
                <w:color w:val="000000"/>
                <w:sz w:val="16"/>
              </w:rPr>
              <w:t>3</w:t>
            </w:r>
          </w:p>
        </w:tc>
        <w:tc>
          <w:tcPr>
            <w:tcW w:w="1165" w:type="dxa"/>
            <w:shd w:val="clear" w:color="auto" w:fill="auto"/>
            <w:vAlign w:val="bottom"/>
          </w:tcPr>
          <w:p w14:paraId="1C41C6E0"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r>
      <w:tr w:rsidR="00E23D63" w:rsidRPr="00701F32" w14:paraId="4A473717" w14:textId="77777777" w:rsidTr="00F73F7F">
        <w:trPr>
          <w:trHeight w:val="273"/>
        </w:trPr>
        <w:tc>
          <w:tcPr>
            <w:tcW w:w="2671" w:type="dxa"/>
            <w:shd w:val="clear" w:color="auto" w:fill="auto"/>
            <w:vAlign w:val="bottom"/>
            <w:hideMark/>
          </w:tcPr>
          <w:p w14:paraId="54258D00" w14:textId="77777777" w:rsidR="00E23D63" w:rsidRPr="00701F32" w:rsidRDefault="00E23D63" w:rsidP="00A9135D">
            <w:pPr>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Tarjeta Automática S.A.</w:t>
            </w:r>
          </w:p>
        </w:tc>
        <w:tc>
          <w:tcPr>
            <w:tcW w:w="1335" w:type="dxa"/>
            <w:vAlign w:val="bottom"/>
          </w:tcPr>
          <w:p w14:paraId="3F9F262C"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364</w:t>
            </w:r>
          </w:p>
        </w:tc>
        <w:tc>
          <w:tcPr>
            <w:tcW w:w="881" w:type="dxa"/>
            <w:vAlign w:val="bottom"/>
          </w:tcPr>
          <w:p w14:paraId="57883269"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26" w:type="dxa"/>
            <w:shd w:val="clear" w:color="auto" w:fill="auto"/>
            <w:vAlign w:val="bottom"/>
          </w:tcPr>
          <w:p w14:paraId="1F02CA7A"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42" w:type="dxa"/>
            <w:shd w:val="clear" w:color="auto" w:fill="auto"/>
            <w:vAlign w:val="bottom"/>
          </w:tcPr>
          <w:p w14:paraId="491E661D"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8</w:t>
            </w:r>
            <w:r w:rsidRPr="00701F32">
              <w:rPr>
                <w:rFonts w:ascii="Arial" w:eastAsia="Calibri" w:hAnsi="Arial" w:cs="Arial"/>
                <w:color w:val="000000"/>
                <w:sz w:val="16"/>
              </w:rPr>
              <w:t>1</w:t>
            </w:r>
            <w:r>
              <w:rPr>
                <w:rFonts w:ascii="Arial" w:eastAsia="Calibri" w:hAnsi="Arial" w:cs="Arial"/>
                <w:color w:val="000000"/>
                <w:sz w:val="16"/>
              </w:rPr>
              <w:t>2</w:t>
            </w:r>
          </w:p>
        </w:tc>
        <w:tc>
          <w:tcPr>
            <w:tcW w:w="1094" w:type="dxa"/>
            <w:vAlign w:val="bottom"/>
          </w:tcPr>
          <w:p w14:paraId="2E403E6D"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165" w:type="dxa"/>
            <w:shd w:val="clear" w:color="auto" w:fill="auto"/>
            <w:vAlign w:val="bottom"/>
          </w:tcPr>
          <w:p w14:paraId="71A7B7E8"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r>
      <w:tr w:rsidR="00E23D63" w:rsidRPr="00701F32" w14:paraId="7AF734B7" w14:textId="77777777" w:rsidTr="00F73F7F">
        <w:trPr>
          <w:trHeight w:val="207"/>
        </w:trPr>
        <w:tc>
          <w:tcPr>
            <w:tcW w:w="2671" w:type="dxa"/>
            <w:shd w:val="clear" w:color="auto" w:fill="auto"/>
            <w:vAlign w:val="bottom"/>
            <w:hideMark/>
          </w:tcPr>
          <w:p w14:paraId="29195848" w14:textId="77777777" w:rsidR="00E23D63" w:rsidRPr="00701F32" w:rsidRDefault="00E23D63" w:rsidP="00A9135D">
            <w:pPr>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fr-FR"/>
              </w:rPr>
              <w:t>Supervielle Asset Management S.A.</w:t>
            </w:r>
          </w:p>
        </w:tc>
        <w:tc>
          <w:tcPr>
            <w:tcW w:w="1335" w:type="dxa"/>
            <w:vAlign w:val="bottom"/>
          </w:tcPr>
          <w:p w14:paraId="4C5C7D59"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881" w:type="dxa"/>
            <w:vAlign w:val="bottom"/>
          </w:tcPr>
          <w:p w14:paraId="1341AC35"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26" w:type="dxa"/>
            <w:shd w:val="clear" w:color="auto" w:fill="auto"/>
            <w:vAlign w:val="bottom"/>
          </w:tcPr>
          <w:p w14:paraId="59781DCE"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42" w:type="dxa"/>
            <w:shd w:val="clear" w:color="auto" w:fill="auto"/>
            <w:vAlign w:val="bottom"/>
          </w:tcPr>
          <w:p w14:paraId="701C5CA6"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700</w:t>
            </w:r>
          </w:p>
        </w:tc>
        <w:tc>
          <w:tcPr>
            <w:tcW w:w="1094" w:type="dxa"/>
            <w:vAlign w:val="bottom"/>
          </w:tcPr>
          <w:p w14:paraId="0B1B2CF7"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165" w:type="dxa"/>
            <w:shd w:val="clear" w:color="auto" w:fill="auto"/>
            <w:vAlign w:val="bottom"/>
          </w:tcPr>
          <w:p w14:paraId="2C98BF7F"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r>
      <w:tr w:rsidR="00E23D63" w:rsidRPr="00701F32" w14:paraId="43664E95" w14:textId="77777777" w:rsidTr="00F73F7F">
        <w:trPr>
          <w:trHeight w:val="133"/>
        </w:trPr>
        <w:tc>
          <w:tcPr>
            <w:tcW w:w="2671" w:type="dxa"/>
            <w:shd w:val="clear" w:color="auto" w:fill="auto"/>
            <w:vAlign w:val="bottom"/>
          </w:tcPr>
          <w:p w14:paraId="78AE388E" w14:textId="77777777" w:rsidR="00E23D63" w:rsidRPr="00701F32" w:rsidRDefault="00E23D63" w:rsidP="00A9135D">
            <w:pPr>
              <w:spacing w:after="160" w:line="259" w:lineRule="auto"/>
              <w:rPr>
                <w:rFonts w:ascii="Arial" w:eastAsia="Calibri" w:hAnsi="Arial" w:cs="Arial"/>
                <w:color w:val="000000"/>
                <w:sz w:val="16"/>
              </w:rPr>
            </w:pPr>
            <w:r w:rsidRPr="00701F32">
              <w:rPr>
                <w:rFonts w:ascii="Arial" w:eastAsia="Calibri" w:hAnsi="Arial" w:cs="Arial"/>
                <w:color w:val="000000"/>
                <w:sz w:val="16"/>
              </w:rPr>
              <w:t>Invertir OnLine S.A.</w:t>
            </w:r>
          </w:p>
        </w:tc>
        <w:tc>
          <w:tcPr>
            <w:tcW w:w="1335" w:type="dxa"/>
            <w:vAlign w:val="bottom"/>
          </w:tcPr>
          <w:p w14:paraId="4EBC84F7"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1</w:t>
            </w:r>
          </w:p>
        </w:tc>
        <w:tc>
          <w:tcPr>
            <w:tcW w:w="881" w:type="dxa"/>
            <w:vAlign w:val="bottom"/>
          </w:tcPr>
          <w:p w14:paraId="3145C86E"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26" w:type="dxa"/>
            <w:shd w:val="clear" w:color="auto" w:fill="auto"/>
            <w:vAlign w:val="bottom"/>
          </w:tcPr>
          <w:p w14:paraId="5D26EF7D"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42" w:type="dxa"/>
            <w:shd w:val="clear" w:color="auto" w:fill="auto"/>
            <w:vAlign w:val="bottom"/>
          </w:tcPr>
          <w:p w14:paraId="39BE6BD9"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489</w:t>
            </w:r>
            <w:r w:rsidRPr="00701F32">
              <w:rPr>
                <w:rFonts w:ascii="Arial" w:eastAsia="Calibri" w:hAnsi="Arial" w:cs="Arial"/>
                <w:color w:val="000000"/>
                <w:sz w:val="16"/>
              </w:rPr>
              <w:t>.</w:t>
            </w:r>
            <w:r>
              <w:rPr>
                <w:rFonts w:ascii="Arial" w:eastAsia="Calibri" w:hAnsi="Arial" w:cs="Arial"/>
                <w:color w:val="000000"/>
                <w:sz w:val="16"/>
              </w:rPr>
              <w:t>325</w:t>
            </w:r>
          </w:p>
        </w:tc>
        <w:tc>
          <w:tcPr>
            <w:tcW w:w="1094" w:type="dxa"/>
            <w:vAlign w:val="bottom"/>
          </w:tcPr>
          <w:p w14:paraId="593C2AB7"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165" w:type="dxa"/>
            <w:shd w:val="clear" w:color="auto" w:fill="auto"/>
            <w:vAlign w:val="bottom"/>
          </w:tcPr>
          <w:p w14:paraId="743F81DF"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r>
      <w:tr w:rsidR="00E23D63" w:rsidRPr="00701F32" w14:paraId="7949A391" w14:textId="77777777" w:rsidTr="00F73F7F">
        <w:trPr>
          <w:trHeight w:val="133"/>
        </w:trPr>
        <w:tc>
          <w:tcPr>
            <w:tcW w:w="2671" w:type="dxa"/>
            <w:shd w:val="clear" w:color="auto" w:fill="auto"/>
            <w:vAlign w:val="bottom"/>
          </w:tcPr>
          <w:p w14:paraId="46E18CA9" w14:textId="77777777" w:rsidR="00E23D63" w:rsidRPr="00701F32" w:rsidRDefault="00E23D63" w:rsidP="00A9135D">
            <w:pPr>
              <w:spacing w:after="160" w:line="259" w:lineRule="auto"/>
              <w:rPr>
                <w:rFonts w:ascii="Arial" w:eastAsia="Calibri" w:hAnsi="Arial" w:cs="Arial"/>
                <w:color w:val="000000"/>
                <w:sz w:val="16"/>
              </w:rPr>
            </w:pPr>
            <w:r w:rsidRPr="00701F32">
              <w:rPr>
                <w:rFonts w:ascii="Arial" w:eastAsia="Calibri" w:hAnsi="Arial" w:cs="Arial"/>
                <w:color w:val="000000"/>
                <w:sz w:val="16"/>
              </w:rPr>
              <w:t>Invertir OnLine.com Argentina S.A.</w:t>
            </w:r>
          </w:p>
        </w:tc>
        <w:tc>
          <w:tcPr>
            <w:tcW w:w="1335" w:type="dxa"/>
            <w:vAlign w:val="bottom"/>
          </w:tcPr>
          <w:p w14:paraId="55DE03C3" w14:textId="77777777" w:rsidR="00E23D63" w:rsidRPr="00701F32" w:rsidDel="00293759" w:rsidRDefault="00E23D63" w:rsidP="00A9135D">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881" w:type="dxa"/>
            <w:vAlign w:val="bottom"/>
          </w:tcPr>
          <w:p w14:paraId="41433DE9" w14:textId="77777777" w:rsidR="00E23D63" w:rsidRPr="00701F32" w:rsidRDefault="00E23D63" w:rsidP="00A9135D">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026" w:type="dxa"/>
            <w:shd w:val="clear" w:color="auto" w:fill="auto"/>
            <w:vAlign w:val="bottom"/>
          </w:tcPr>
          <w:p w14:paraId="4BAAE6F7" w14:textId="77777777" w:rsidR="00E23D63" w:rsidRPr="00701F32" w:rsidRDefault="00E23D63" w:rsidP="00A9135D">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042" w:type="dxa"/>
            <w:shd w:val="clear" w:color="auto" w:fill="auto"/>
            <w:vAlign w:val="bottom"/>
          </w:tcPr>
          <w:p w14:paraId="766B6AF8" w14:textId="77777777" w:rsidR="00E23D63" w:rsidRPr="00701F32" w:rsidDel="00293759" w:rsidRDefault="00E23D63" w:rsidP="00A9135D">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3.2</w:t>
            </w:r>
            <w:r>
              <w:rPr>
                <w:rFonts w:ascii="Arial" w:eastAsia="Calibri" w:hAnsi="Arial" w:cs="Arial"/>
                <w:color w:val="000000"/>
                <w:sz w:val="16"/>
              </w:rPr>
              <w:t>20</w:t>
            </w:r>
          </w:p>
        </w:tc>
        <w:tc>
          <w:tcPr>
            <w:tcW w:w="1094" w:type="dxa"/>
            <w:vAlign w:val="bottom"/>
          </w:tcPr>
          <w:p w14:paraId="11F392C0" w14:textId="77777777" w:rsidR="00E23D63" w:rsidRPr="00701F32" w:rsidRDefault="00E23D63" w:rsidP="00A9135D">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165" w:type="dxa"/>
            <w:shd w:val="clear" w:color="auto" w:fill="auto"/>
            <w:vAlign w:val="bottom"/>
          </w:tcPr>
          <w:p w14:paraId="48517D88" w14:textId="77777777" w:rsidR="00E23D63" w:rsidRPr="00701F32" w:rsidRDefault="00E23D63" w:rsidP="00A9135D">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r>
      <w:tr w:rsidR="00E23D63" w:rsidRPr="00701F32" w14:paraId="35F43439" w14:textId="77777777" w:rsidTr="00F73F7F">
        <w:trPr>
          <w:trHeight w:val="133"/>
        </w:trPr>
        <w:tc>
          <w:tcPr>
            <w:tcW w:w="2671" w:type="dxa"/>
            <w:shd w:val="clear" w:color="auto" w:fill="auto"/>
            <w:vAlign w:val="bottom"/>
          </w:tcPr>
          <w:p w14:paraId="1914F7BA" w14:textId="77777777" w:rsidR="00E23D63" w:rsidRPr="00701F32" w:rsidRDefault="00E23D63" w:rsidP="00A9135D">
            <w:pPr>
              <w:spacing w:after="160" w:line="259" w:lineRule="auto"/>
              <w:rPr>
                <w:rFonts w:ascii="Arial" w:eastAsia="Calibri" w:hAnsi="Arial" w:cs="Arial"/>
                <w:color w:val="000000"/>
                <w:sz w:val="16"/>
              </w:rPr>
            </w:pPr>
            <w:r w:rsidRPr="00701F32">
              <w:rPr>
                <w:rFonts w:ascii="Arial" w:eastAsia="Calibri" w:hAnsi="Arial" w:cs="Arial"/>
                <w:color w:val="000000"/>
                <w:sz w:val="16"/>
              </w:rPr>
              <w:t>Micro Lending S.A.</w:t>
            </w:r>
          </w:p>
        </w:tc>
        <w:tc>
          <w:tcPr>
            <w:tcW w:w="1335" w:type="dxa"/>
            <w:vAlign w:val="bottom"/>
          </w:tcPr>
          <w:p w14:paraId="54704C66" w14:textId="77777777" w:rsidR="00E23D63" w:rsidRPr="00701F32" w:rsidDel="00293759" w:rsidRDefault="00E23D63" w:rsidP="00A9135D">
            <w:pPr>
              <w:spacing w:after="160" w:line="259" w:lineRule="auto"/>
              <w:jc w:val="right"/>
              <w:rPr>
                <w:rFonts w:ascii="Arial" w:eastAsia="Calibri" w:hAnsi="Arial" w:cs="Arial"/>
                <w:color w:val="000000"/>
                <w:sz w:val="16"/>
              </w:rPr>
            </w:pPr>
            <w:r>
              <w:rPr>
                <w:rFonts w:ascii="Arial" w:eastAsia="Calibri" w:hAnsi="Arial" w:cs="Arial"/>
                <w:color w:val="000000"/>
                <w:sz w:val="16"/>
              </w:rPr>
              <w:t>67</w:t>
            </w:r>
            <w:r w:rsidRPr="00701F32">
              <w:rPr>
                <w:rFonts w:ascii="Arial" w:eastAsia="Calibri" w:hAnsi="Arial" w:cs="Arial"/>
                <w:color w:val="000000"/>
                <w:sz w:val="16"/>
              </w:rPr>
              <w:t>.</w:t>
            </w:r>
            <w:r>
              <w:rPr>
                <w:rFonts w:ascii="Arial" w:eastAsia="Calibri" w:hAnsi="Arial" w:cs="Arial"/>
                <w:color w:val="000000"/>
                <w:sz w:val="16"/>
              </w:rPr>
              <w:t>876</w:t>
            </w:r>
          </w:p>
        </w:tc>
        <w:tc>
          <w:tcPr>
            <w:tcW w:w="881" w:type="dxa"/>
            <w:vAlign w:val="bottom"/>
          </w:tcPr>
          <w:p w14:paraId="732FB6E0" w14:textId="77777777" w:rsidR="00E23D63" w:rsidRPr="00701F32" w:rsidRDefault="00E23D63" w:rsidP="00A9135D">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026" w:type="dxa"/>
            <w:shd w:val="clear" w:color="auto" w:fill="auto"/>
            <w:vAlign w:val="bottom"/>
          </w:tcPr>
          <w:p w14:paraId="088796B4" w14:textId="77777777" w:rsidR="00E23D63" w:rsidRPr="00701F32" w:rsidRDefault="00E23D63" w:rsidP="00A9135D">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2.</w:t>
            </w:r>
            <w:r>
              <w:rPr>
                <w:rFonts w:ascii="Arial" w:eastAsia="Calibri" w:hAnsi="Arial" w:cs="Arial"/>
                <w:color w:val="000000"/>
                <w:sz w:val="16"/>
              </w:rPr>
              <w:t>7</w:t>
            </w:r>
            <w:r w:rsidRPr="00701F32">
              <w:rPr>
                <w:rFonts w:ascii="Arial" w:eastAsia="Calibri" w:hAnsi="Arial" w:cs="Arial"/>
                <w:color w:val="000000"/>
                <w:sz w:val="16"/>
              </w:rPr>
              <w:t>4</w:t>
            </w:r>
            <w:r>
              <w:rPr>
                <w:rFonts w:ascii="Arial" w:eastAsia="Calibri" w:hAnsi="Arial" w:cs="Arial"/>
                <w:color w:val="000000"/>
                <w:sz w:val="16"/>
              </w:rPr>
              <w:t>5</w:t>
            </w:r>
          </w:p>
        </w:tc>
        <w:tc>
          <w:tcPr>
            <w:tcW w:w="1042" w:type="dxa"/>
            <w:shd w:val="clear" w:color="auto" w:fill="auto"/>
            <w:vAlign w:val="bottom"/>
          </w:tcPr>
          <w:p w14:paraId="54AD3D73" w14:textId="77777777" w:rsidR="00E23D63" w:rsidRPr="00701F32" w:rsidDel="00293759" w:rsidRDefault="00E23D63" w:rsidP="00A9135D">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094" w:type="dxa"/>
            <w:vAlign w:val="bottom"/>
          </w:tcPr>
          <w:p w14:paraId="151B3840" w14:textId="77777777" w:rsidR="00E23D63" w:rsidRPr="00701F32" w:rsidRDefault="00E23D63" w:rsidP="00A9135D">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c>
          <w:tcPr>
            <w:tcW w:w="1165" w:type="dxa"/>
            <w:shd w:val="clear" w:color="auto" w:fill="auto"/>
            <w:vAlign w:val="bottom"/>
          </w:tcPr>
          <w:p w14:paraId="5049B010" w14:textId="77777777" w:rsidR="00E23D63" w:rsidRPr="00701F32" w:rsidRDefault="00E23D63" w:rsidP="00A9135D">
            <w:pPr>
              <w:spacing w:after="160" w:line="259" w:lineRule="auto"/>
              <w:jc w:val="right"/>
              <w:rPr>
                <w:rFonts w:ascii="Arial" w:eastAsia="Calibri" w:hAnsi="Arial" w:cs="Arial"/>
                <w:color w:val="000000"/>
                <w:sz w:val="16"/>
              </w:rPr>
            </w:pPr>
            <w:r w:rsidRPr="00701F32">
              <w:rPr>
                <w:rFonts w:ascii="Arial" w:eastAsia="Calibri" w:hAnsi="Arial" w:cs="Arial"/>
                <w:color w:val="000000"/>
                <w:sz w:val="16"/>
              </w:rPr>
              <w:t>-</w:t>
            </w:r>
          </w:p>
        </w:tc>
      </w:tr>
      <w:tr w:rsidR="00E23D63" w:rsidRPr="00701F32" w14:paraId="7C1655D2" w14:textId="77777777" w:rsidTr="00F73F7F">
        <w:trPr>
          <w:trHeight w:val="203"/>
        </w:trPr>
        <w:tc>
          <w:tcPr>
            <w:tcW w:w="2671" w:type="dxa"/>
            <w:shd w:val="clear" w:color="auto" w:fill="auto"/>
            <w:vAlign w:val="bottom"/>
            <w:hideMark/>
          </w:tcPr>
          <w:p w14:paraId="74844373" w14:textId="77777777" w:rsidR="00E23D63" w:rsidRPr="00701F32" w:rsidRDefault="00E23D63" w:rsidP="00A9135D">
            <w:pPr>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Grupo Supervielle S.A.</w:t>
            </w:r>
          </w:p>
        </w:tc>
        <w:tc>
          <w:tcPr>
            <w:tcW w:w="1335" w:type="dxa"/>
            <w:vAlign w:val="bottom"/>
          </w:tcPr>
          <w:p w14:paraId="111C7D54"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881" w:type="dxa"/>
            <w:vAlign w:val="bottom"/>
          </w:tcPr>
          <w:p w14:paraId="0D00BE62"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c>
          <w:tcPr>
            <w:tcW w:w="1026" w:type="dxa"/>
            <w:shd w:val="clear" w:color="auto" w:fill="auto"/>
            <w:vAlign w:val="bottom"/>
          </w:tcPr>
          <w:p w14:paraId="70947849"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1</w:t>
            </w:r>
            <w:r>
              <w:rPr>
                <w:rFonts w:ascii="Arial" w:eastAsia="Calibri" w:hAnsi="Arial" w:cs="Arial"/>
                <w:color w:val="000000"/>
                <w:sz w:val="16"/>
              </w:rPr>
              <w:t>70</w:t>
            </w:r>
          </w:p>
        </w:tc>
        <w:tc>
          <w:tcPr>
            <w:tcW w:w="1042" w:type="dxa"/>
            <w:shd w:val="clear" w:color="auto" w:fill="auto"/>
            <w:vAlign w:val="bottom"/>
          </w:tcPr>
          <w:p w14:paraId="0AD77BB0"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rPr>
              <w:t>677</w:t>
            </w:r>
          </w:p>
        </w:tc>
        <w:tc>
          <w:tcPr>
            <w:tcW w:w="1094" w:type="dxa"/>
            <w:vAlign w:val="bottom"/>
          </w:tcPr>
          <w:p w14:paraId="07B0C976" w14:textId="77777777" w:rsidR="00E23D63" w:rsidRPr="00701F32" w:rsidRDefault="00E23D63" w:rsidP="00A9135D">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351.886</w:t>
            </w:r>
          </w:p>
        </w:tc>
        <w:tc>
          <w:tcPr>
            <w:tcW w:w="1165" w:type="dxa"/>
            <w:shd w:val="clear" w:color="auto" w:fill="auto"/>
            <w:vAlign w:val="bottom"/>
          </w:tcPr>
          <w:p w14:paraId="242D6206" w14:textId="77777777" w:rsidR="00E23D63" w:rsidRPr="00701F32" w:rsidRDefault="00E23D63" w:rsidP="00A9135D">
            <w:pPr>
              <w:spacing w:after="160" w:line="259" w:lineRule="auto"/>
              <w:jc w:val="right"/>
              <w:rPr>
                <w:rFonts w:ascii="Arial" w:eastAsia="Calibri" w:hAnsi="Arial" w:cs="Arial"/>
                <w:color w:val="000000"/>
                <w:sz w:val="16"/>
                <w:lang w:val="es-ES_tradnl"/>
              </w:rPr>
            </w:pPr>
            <w:r w:rsidRPr="00701F32">
              <w:rPr>
                <w:rFonts w:ascii="Arial" w:eastAsia="Calibri" w:hAnsi="Arial" w:cs="Arial"/>
                <w:color w:val="000000"/>
                <w:sz w:val="16"/>
              </w:rPr>
              <w:t>-</w:t>
            </w:r>
          </w:p>
        </w:tc>
      </w:tr>
      <w:tr w:rsidR="00E23D63" w:rsidRPr="00701F32" w14:paraId="2BA0B883" w14:textId="77777777" w:rsidTr="00F73F7F">
        <w:trPr>
          <w:trHeight w:val="224"/>
        </w:trPr>
        <w:tc>
          <w:tcPr>
            <w:tcW w:w="2671" w:type="dxa"/>
            <w:shd w:val="clear" w:color="auto" w:fill="auto"/>
            <w:vAlign w:val="bottom"/>
            <w:hideMark/>
          </w:tcPr>
          <w:p w14:paraId="7FE74ABA" w14:textId="77777777" w:rsidR="00E23D63" w:rsidRPr="00701F32" w:rsidRDefault="00E23D63" w:rsidP="00A9135D">
            <w:pPr>
              <w:spacing w:after="160" w:line="259" w:lineRule="auto"/>
              <w:jc w:val="center"/>
              <w:rPr>
                <w:rFonts w:ascii="Arial" w:eastAsia="Calibri" w:hAnsi="Arial" w:cs="Arial"/>
                <w:b/>
                <w:bCs/>
                <w:color w:val="000000"/>
                <w:sz w:val="16"/>
                <w:lang w:eastAsia="es-AR"/>
              </w:rPr>
            </w:pPr>
            <w:r w:rsidRPr="00701F32">
              <w:rPr>
                <w:rFonts w:ascii="Arial" w:eastAsia="Calibri" w:hAnsi="Arial" w:cs="Arial"/>
                <w:b/>
                <w:bCs/>
                <w:color w:val="000000"/>
                <w:sz w:val="16"/>
              </w:rPr>
              <w:t>TOTAL</w:t>
            </w:r>
          </w:p>
        </w:tc>
        <w:tc>
          <w:tcPr>
            <w:tcW w:w="1335" w:type="dxa"/>
            <w:vAlign w:val="bottom"/>
          </w:tcPr>
          <w:p w14:paraId="672AC212" w14:textId="77777777" w:rsidR="00E23D63" w:rsidRPr="00701F32" w:rsidRDefault="00E23D63" w:rsidP="00A9135D">
            <w:pPr>
              <w:spacing w:after="160" w:line="259" w:lineRule="auto"/>
              <w:jc w:val="right"/>
              <w:rPr>
                <w:rFonts w:ascii="Arial" w:eastAsia="Calibri" w:hAnsi="Arial" w:cs="Arial"/>
                <w:b/>
                <w:bCs/>
                <w:color w:val="000000"/>
                <w:sz w:val="16"/>
                <w:lang w:val="es-ES_tradnl"/>
              </w:rPr>
            </w:pPr>
            <w:r>
              <w:rPr>
                <w:rFonts w:ascii="Arial" w:eastAsia="Calibri" w:hAnsi="Arial" w:cs="Arial"/>
                <w:b/>
                <w:bCs/>
                <w:color w:val="000000"/>
                <w:sz w:val="16"/>
              </w:rPr>
              <w:t>2</w:t>
            </w:r>
            <w:r w:rsidRPr="00701F32">
              <w:rPr>
                <w:rFonts w:ascii="Arial" w:eastAsia="Calibri" w:hAnsi="Arial" w:cs="Arial"/>
                <w:b/>
                <w:bCs/>
                <w:color w:val="000000"/>
                <w:sz w:val="16"/>
              </w:rPr>
              <w:t>.</w:t>
            </w:r>
            <w:r>
              <w:rPr>
                <w:rFonts w:ascii="Arial" w:eastAsia="Calibri" w:hAnsi="Arial" w:cs="Arial"/>
                <w:b/>
                <w:bCs/>
                <w:color w:val="000000"/>
                <w:sz w:val="16"/>
              </w:rPr>
              <w:t>631</w:t>
            </w:r>
            <w:r w:rsidRPr="00701F32">
              <w:rPr>
                <w:rFonts w:ascii="Arial" w:eastAsia="Calibri" w:hAnsi="Arial" w:cs="Arial"/>
                <w:b/>
                <w:bCs/>
                <w:color w:val="000000"/>
                <w:sz w:val="16"/>
              </w:rPr>
              <w:t>.</w:t>
            </w:r>
            <w:r>
              <w:rPr>
                <w:rFonts w:ascii="Arial" w:eastAsia="Calibri" w:hAnsi="Arial" w:cs="Arial"/>
                <w:b/>
                <w:bCs/>
                <w:color w:val="000000"/>
                <w:sz w:val="16"/>
              </w:rPr>
              <w:t>755</w:t>
            </w:r>
          </w:p>
        </w:tc>
        <w:tc>
          <w:tcPr>
            <w:tcW w:w="881" w:type="dxa"/>
            <w:vAlign w:val="bottom"/>
          </w:tcPr>
          <w:p w14:paraId="6E641A28" w14:textId="77777777" w:rsidR="00E23D63" w:rsidRPr="00701F32" w:rsidRDefault="00E23D63" w:rsidP="00A9135D">
            <w:pPr>
              <w:spacing w:after="160" w:line="259" w:lineRule="auto"/>
              <w:jc w:val="right"/>
              <w:rPr>
                <w:rFonts w:ascii="Arial" w:eastAsia="Calibri" w:hAnsi="Arial" w:cs="Arial"/>
                <w:b/>
                <w:bCs/>
                <w:color w:val="000000"/>
                <w:sz w:val="16"/>
                <w:lang w:val="es-ES_tradnl"/>
              </w:rPr>
            </w:pPr>
            <w:r w:rsidRPr="00701F32">
              <w:rPr>
                <w:rFonts w:ascii="Arial" w:eastAsia="Calibri" w:hAnsi="Arial" w:cs="Arial"/>
                <w:b/>
                <w:bCs/>
                <w:color w:val="000000"/>
                <w:sz w:val="16"/>
              </w:rPr>
              <w:t>-</w:t>
            </w:r>
          </w:p>
        </w:tc>
        <w:tc>
          <w:tcPr>
            <w:tcW w:w="1026" w:type="dxa"/>
            <w:shd w:val="clear" w:color="auto" w:fill="auto"/>
            <w:vAlign w:val="bottom"/>
          </w:tcPr>
          <w:p w14:paraId="114C66C5" w14:textId="77777777" w:rsidR="00E23D63" w:rsidRPr="00701F32" w:rsidRDefault="00E23D63" w:rsidP="00A9135D">
            <w:pPr>
              <w:spacing w:after="160" w:line="259" w:lineRule="auto"/>
              <w:jc w:val="right"/>
              <w:rPr>
                <w:rFonts w:ascii="Arial" w:eastAsia="Calibri" w:hAnsi="Arial" w:cs="Arial"/>
                <w:b/>
                <w:bCs/>
                <w:color w:val="000000"/>
                <w:sz w:val="16"/>
                <w:lang w:val="es-ES_tradnl"/>
              </w:rPr>
            </w:pPr>
            <w:r>
              <w:rPr>
                <w:rFonts w:ascii="Arial" w:eastAsia="Calibri" w:hAnsi="Arial" w:cs="Arial"/>
                <w:b/>
                <w:bCs/>
                <w:color w:val="000000"/>
                <w:sz w:val="16"/>
              </w:rPr>
              <w:t>9</w:t>
            </w:r>
            <w:r w:rsidRPr="00701F32">
              <w:rPr>
                <w:rFonts w:ascii="Arial" w:eastAsia="Calibri" w:hAnsi="Arial" w:cs="Arial"/>
                <w:b/>
                <w:bCs/>
                <w:color w:val="000000"/>
                <w:sz w:val="16"/>
              </w:rPr>
              <w:t>.0</w:t>
            </w:r>
            <w:r>
              <w:rPr>
                <w:rFonts w:ascii="Arial" w:eastAsia="Calibri" w:hAnsi="Arial" w:cs="Arial"/>
                <w:b/>
                <w:bCs/>
                <w:color w:val="000000"/>
                <w:sz w:val="16"/>
              </w:rPr>
              <w:t>36</w:t>
            </w:r>
          </w:p>
        </w:tc>
        <w:tc>
          <w:tcPr>
            <w:tcW w:w="1042" w:type="dxa"/>
            <w:shd w:val="clear" w:color="auto" w:fill="auto"/>
            <w:vAlign w:val="bottom"/>
          </w:tcPr>
          <w:p w14:paraId="3B0F5F52" w14:textId="77777777" w:rsidR="00E23D63" w:rsidRPr="00701F32" w:rsidRDefault="00E23D63" w:rsidP="00A9135D">
            <w:pPr>
              <w:spacing w:after="160" w:line="259" w:lineRule="auto"/>
              <w:jc w:val="right"/>
              <w:rPr>
                <w:rFonts w:ascii="Arial" w:eastAsia="Calibri" w:hAnsi="Arial" w:cs="Arial"/>
                <w:b/>
                <w:bCs/>
                <w:color w:val="000000"/>
                <w:sz w:val="16"/>
                <w:lang w:val="es-ES_tradnl"/>
              </w:rPr>
            </w:pPr>
            <w:r w:rsidRPr="00701F32">
              <w:rPr>
                <w:rFonts w:ascii="Arial" w:eastAsia="Calibri" w:hAnsi="Arial" w:cs="Arial"/>
                <w:b/>
                <w:bCs/>
                <w:color w:val="000000"/>
                <w:sz w:val="16"/>
              </w:rPr>
              <w:t>5</w:t>
            </w:r>
            <w:r>
              <w:rPr>
                <w:rFonts w:ascii="Arial" w:eastAsia="Calibri" w:hAnsi="Arial" w:cs="Arial"/>
                <w:b/>
                <w:bCs/>
                <w:color w:val="000000"/>
                <w:sz w:val="16"/>
              </w:rPr>
              <w:t>14</w:t>
            </w:r>
            <w:r w:rsidRPr="00701F32">
              <w:rPr>
                <w:rFonts w:ascii="Arial" w:eastAsia="Calibri" w:hAnsi="Arial" w:cs="Arial"/>
                <w:b/>
                <w:bCs/>
                <w:color w:val="000000"/>
                <w:sz w:val="16"/>
              </w:rPr>
              <w:t>.</w:t>
            </w:r>
            <w:r>
              <w:rPr>
                <w:rFonts w:ascii="Arial" w:eastAsia="Calibri" w:hAnsi="Arial" w:cs="Arial"/>
                <w:b/>
                <w:bCs/>
                <w:color w:val="000000"/>
                <w:sz w:val="16"/>
              </w:rPr>
              <w:t>070</w:t>
            </w:r>
          </w:p>
        </w:tc>
        <w:tc>
          <w:tcPr>
            <w:tcW w:w="1094" w:type="dxa"/>
            <w:vAlign w:val="bottom"/>
          </w:tcPr>
          <w:p w14:paraId="57C898C4" w14:textId="77777777" w:rsidR="00E23D63" w:rsidRPr="00701F32" w:rsidRDefault="00E23D63" w:rsidP="00A9135D">
            <w:pPr>
              <w:spacing w:after="160" w:line="259" w:lineRule="auto"/>
              <w:jc w:val="right"/>
              <w:rPr>
                <w:rFonts w:ascii="Arial" w:eastAsia="Calibri" w:hAnsi="Arial" w:cs="Arial"/>
                <w:b/>
                <w:bCs/>
                <w:color w:val="000000"/>
                <w:sz w:val="16"/>
                <w:lang w:val="es-ES_tradnl"/>
              </w:rPr>
            </w:pPr>
            <w:r w:rsidRPr="00701F32">
              <w:rPr>
                <w:rFonts w:ascii="Arial" w:eastAsia="Calibri" w:hAnsi="Arial" w:cs="Arial"/>
                <w:b/>
                <w:bCs/>
                <w:color w:val="000000"/>
                <w:sz w:val="16"/>
              </w:rPr>
              <w:t>4</w:t>
            </w:r>
            <w:r>
              <w:rPr>
                <w:rFonts w:ascii="Arial" w:eastAsia="Calibri" w:hAnsi="Arial" w:cs="Arial"/>
                <w:b/>
                <w:bCs/>
                <w:color w:val="000000"/>
                <w:sz w:val="16"/>
              </w:rPr>
              <w:t>00</w:t>
            </w:r>
            <w:r w:rsidRPr="00701F32">
              <w:rPr>
                <w:rFonts w:ascii="Arial" w:eastAsia="Calibri" w:hAnsi="Arial" w:cs="Arial"/>
                <w:b/>
                <w:bCs/>
                <w:color w:val="000000"/>
                <w:sz w:val="16"/>
              </w:rPr>
              <w:t>.</w:t>
            </w:r>
            <w:r>
              <w:rPr>
                <w:rFonts w:ascii="Arial" w:eastAsia="Calibri" w:hAnsi="Arial" w:cs="Arial"/>
                <w:b/>
                <w:bCs/>
                <w:color w:val="000000"/>
                <w:sz w:val="16"/>
              </w:rPr>
              <w:t>669</w:t>
            </w:r>
          </w:p>
        </w:tc>
        <w:tc>
          <w:tcPr>
            <w:tcW w:w="1165" w:type="dxa"/>
            <w:shd w:val="clear" w:color="auto" w:fill="auto"/>
            <w:vAlign w:val="bottom"/>
          </w:tcPr>
          <w:p w14:paraId="45997816" w14:textId="77777777" w:rsidR="00E23D63" w:rsidRPr="00701F32" w:rsidRDefault="00E23D63" w:rsidP="00A9135D">
            <w:pPr>
              <w:spacing w:after="160" w:line="259" w:lineRule="auto"/>
              <w:jc w:val="right"/>
              <w:rPr>
                <w:rFonts w:ascii="Arial" w:eastAsia="Calibri" w:hAnsi="Arial" w:cs="Arial"/>
                <w:b/>
                <w:bCs/>
                <w:color w:val="000000"/>
                <w:sz w:val="16"/>
                <w:lang w:val="es-ES_tradnl"/>
              </w:rPr>
            </w:pPr>
            <w:r w:rsidRPr="00701F32">
              <w:rPr>
                <w:rFonts w:ascii="Arial" w:eastAsia="Calibri" w:hAnsi="Arial" w:cs="Arial"/>
                <w:b/>
                <w:bCs/>
                <w:color w:val="000000"/>
                <w:sz w:val="16"/>
              </w:rPr>
              <w:t>-</w:t>
            </w:r>
          </w:p>
        </w:tc>
      </w:tr>
    </w:tbl>
    <w:p w14:paraId="38EECC28" w14:textId="77777777" w:rsidR="00E23D63" w:rsidRDefault="00E23D63" w:rsidP="00656E62">
      <w:pPr>
        <w:widowControl w:val="0"/>
        <w:autoSpaceDE w:val="0"/>
        <w:autoSpaceDN w:val="0"/>
        <w:adjustRightInd w:val="0"/>
        <w:jc w:val="both"/>
        <w:rPr>
          <w:rFonts w:ascii="Arial" w:eastAsia="Calibri" w:hAnsi="Arial" w:cs="Arial"/>
          <w:color w:val="000000"/>
          <w:sz w:val="20"/>
        </w:rPr>
      </w:pPr>
    </w:p>
    <w:p w14:paraId="405EA9BD" w14:textId="5A5C29CB" w:rsidR="00721980" w:rsidRPr="00701F32" w:rsidRDefault="00140E64" w:rsidP="00140E64">
      <w:pPr>
        <w:widowControl w:val="0"/>
        <w:autoSpaceDE w:val="0"/>
        <w:autoSpaceDN w:val="0"/>
        <w:adjustRightInd w:val="0"/>
        <w:jc w:val="both"/>
        <w:rPr>
          <w:rFonts w:ascii="Arial" w:eastAsia="Calibri" w:hAnsi="Arial" w:cs="Arial"/>
          <w:color w:val="000000"/>
          <w:sz w:val="20"/>
        </w:rPr>
      </w:pPr>
      <w:r w:rsidRPr="00701F32">
        <w:rPr>
          <w:rFonts w:ascii="Arial" w:eastAsia="Calibri" w:hAnsi="Arial" w:cs="Arial"/>
          <w:color w:val="000000"/>
          <w:sz w:val="20"/>
        </w:rPr>
        <w:t>Los res</w:t>
      </w:r>
      <w:r w:rsidR="00886AE1">
        <w:rPr>
          <w:rFonts w:ascii="Arial" w:eastAsia="Calibri" w:hAnsi="Arial" w:cs="Arial"/>
          <w:color w:val="000000"/>
          <w:sz w:val="20"/>
        </w:rPr>
        <w:t>ultados más significativos al 3</w:t>
      </w:r>
      <w:r w:rsidR="00FE2245">
        <w:rPr>
          <w:rFonts w:ascii="Arial" w:eastAsia="Calibri" w:hAnsi="Arial" w:cs="Arial"/>
          <w:color w:val="000000"/>
          <w:sz w:val="20"/>
        </w:rPr>
        <w:t>1</w:t>
      </w:r>
      <w:r w:rsidRPr="00701F32">
        <w:rPr>
          <w:rFonts w:ascii="Arial" w:eastAsia="Calibri" w:hAnsi="Arial" w:cs="Arial"/>
          <w:color w:val="000000"/>
          <w:sz w:val="20"/>
        </w:rPr>
        <w:t xml:space="preserve"> de </w:t>
      </w:r>
      <w:r w:rsidR="00FE2245">
        <w:rPr>
          <w:rFonts w:ascii="Arial" w:eastAsia="Calibri" w:hAnsi="Arial" w:cs="Arial"/>
          <w:color w:val="000000"/>
          <w:sz w:val="20"/>
        </w:rPr>
        <w:t>diciembre</w:t>
      </w:r>
      <w:r w:rsidR="006104DE" w:rsidRPr="00701F32">
        <w:rPr>
          <w:rFonts w:ascii="Arial" w:eastAsia="Calibri" w:hAnsi="Arial" w:cs="Arial"/>
          <w:color w:val="000000"/>
          <w:sz w:val="20"/>
        </w:rPr>
        <w:t xml:space="preserve"> </w:t>
      </w:r>
      <w:r w:rsidR="008716E7">
        <w:rPr>
          <w:rFonts w:ascii="Arial" w:eastAsia="Calibri" w:hAnsi="Arial" w:cs="Arial"/>
          <w:color w:val="000000"/>
          <w:sz w:val="20"/>
        </w:rPr>
        <w:t xml:space="preserve">de </w:t>
      </w:r>
      <w:r w:rsidR="006104DE">
        <w:rPr>
          <w:rFonts w:ascii="Arial" w:eastAsia="Calibri" w:hAnsi="Arial" w:cs="Arial"/>
          <w:color w:val="000000"/>
          <w:sz w:val="20"/>
        </w:rPr>
        <w:t xml:space="preserve">2019 </w:t>
      </w:r>
      <w:r w:rsidR="008716E7">
        <w:rPr>
          <w:rFonts w:ascii="Arial" w:eastAsia="Calibri" w:hAnsi="Arial" w:cs="Arial"/>
          <w:color w:val="000000"/>
          <w:sz w:val="20"/>
        </w:rPr>
        <w:t xml:space="preserve">y </w:t>
      </w:r>
      <w:r w:rsidR="006104DE">
        <w:rPr>
          <w:rFonts w:ascii="Arial" w:eastAsia="Calibri" w:hAnsi="Arial" w:cs="Arial"/>
          <w:color w:val="000000"/>
          <w:sz w:val="20"/>
        </w:rPr>
        <w:t xml:space="preserve">2018 </w:t>
      </w:r>
      <w:r w:rsidRPr="00701F32">
        <w:rPr>
          <w:rFonts w:ascii="Arial" w:eastAsia="Calibri" w:hAnsi="Arial" w:cs="Arial"/>
          <w:color w:val="000000"/>
          <w:sz w:val="20"/>
        </w:rPr>
        <w:t>son los siguientes</w:t>
      </w:r>
      <w:r w:rsidR="007D1882" w:rsidRPr="00701F32">
        <w:rPr>
          <w:rFonts w:ascii="Arial" w:eastAsia="Calibri" w:hAnsi="Arial" w:cs="Arial"/>
          <w:color w:val="000000"/>
          <w:sz w:val="20"/>
        </w:rPr>
        <w:t>:</w:t>
      </w:r>
    </w:p>
    <w:p w14:paraId="72AC17CF" w14:textId="77777777" w:rsidR="002C3A48" w:rsidRPr="00701F32" w:rsidRDefault="002C3A48" w:rsidP="0010654A">
      <w:pPr>
        <w:widowControl w:val="0"/>
        <w:autoSpaceDE w:val="0"/>
        <w:autoSpaceDN w:val="0"/>
        <w:adjustRightInd w:val="0"/>
        <w:jc w:val="both"/>
        <w:rPr>
          <w:rFonts w:ascii="Arial" w:eastAsia="Calibri" w:hAnsi="Arial" w:cs="Arial"/>
          <w:color w:val="000000"/>
          <w:sz w:val="20"/>
        </w:rPr>
      </w:pPr>
    </w:p>
    <w:tbl>
      <w:tblPr>
        <w:tblW w:w="92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603"/>
        <w:gridCol w:w="1158"/>
        <w:gridCol w:w="1099"/>
        <w:gridCol w:w="1099"/>
        <w:gridCol w:w="1099"/>
        <w:gridCol w:w="1327"/>
        <w:gridCol w:w="899"/>
      </w:tblGrid>
      <w:tr w:rsidR="0010654A" w:rsidRPr="00701F32" w14:paraId="3F8F2359" w14:textId="77777777" w:rsidTr="00F73F7F">
        <w:trPr>
          <w:trHeight w:val="233"/>
          <w:tblHeader/>
        </w:trPr>
        <w:tc>
          <w:tcPr>
            <w:tcW w:w="2603" w:type="dxa"/>
            <w:vMerge w:val="restart"/>
            <w:shd w:val="clear" w:color="auto" w:fill="auto"/>
            <w:vAlign w:val="center"/>
            <w:hideMark/>
          </w:tcPr>
          <w:p w14:paraId="0FC10A1A" w14:textId="77777777" w:rsidR="0010654A" w:rsidRPr="00701F32" w:rsidRDefault="0010654A" w:rsidP="002E5672">
            <w:pPr>
              <w:tabs>
                <w:tab w:val="left" w:pos="142"/>
              </w:tabs>
              <w:spacing w:after="160" w:line="259" w:lineRule="auto"/>
              <w:jc w:val="center"/>
              <w:rPr>
                <w:rFonts w:ascii="Arial" w:eastAsia="Calibri" w:hAnsi="Arial" w:cs="Arial"/>
                <w:b/>
                <w:color w:val="000000"/>
                <w:sz w:val="16"/>
                <w:lang w:eastAsia="es-AR"/>
              </w:rPr>
            </w:pPr>
            <w:r w:rsidRPr="00701F32">
              <w:rPr>
                <w:rFonts w:ascii="Arial" w:eastAsia="Calibri" w:hAnsi="Arial" w:cs="Arial"/>
                <w:b/>
                <w:color w:val="000000"/>
                <w:sz w:val="16"/>
                <w:lang w:eastAsia="es-AR"/>
              </w:rPr>
              <w:t>Sociedades</w:t>
            </w:r>
          </w:p>
        </w:tc>
        <w:tc>
          <w:tcPr>
            <w:tcW w:w="6681" w:type="dxa"/>
            <w:gridSpan w:val="6"/>
            <w:vAlign w:val="center"/>
          </w:tcPr>
          <w:p w14:paraId="7BAD39CB" w14:textId="3F40BEC6" w:rsidR="0010654A" w:rsidRPr="00701F32" w:rsidRDefault="003C2633" w:rsidP="00886AE1">
            <w:pPr>
              <w:spacing w:after="160" w:line="259" w:lineRule="auto"/>
              <w:jc w:val="center"/>
              <w:rPr>
                <w:rFonts w:ascii="Arial" w:eastAsia="Calibri" w:hAnsi="Arial" w:cs="Arial"/>
                <w:b/>
                <w:color w:val="000000"/>
                <w:sz w:val="16"/>
              </w:rPr>
            </w:pPr>
            <w:r>
              <w:rPr>
                <w:rFonts w:ascii="Arial" w:eastAsia="Calibri" w:hAnsi="Arial" w:cs="Arial"/>
                <w:b/>
                <w:color w:val="000000"/>
                <w:sz w:val="16"/>
              </w:rPr>
              <w:t>3</w:t>
            </w:r>
            <w:r w:rsidR="00FE2245">
              <w:rPr>
                <w:rFonts w:ascii="Arial" w:eastAsia="Calibri" w:hAnsi="Arial" w:cs="Arial"/>
                <w:b/>
                <w:color w:val="000000"/>
                <w:sz w:val="16"/>
              </w:rPr>
              <w:t>1</w:t>
            </w:r>
            <w:r>
              <w:rPr>
                <w:rFonts w:ascii="Arial" w:eastAsia="Calibri" w:hAnsi="Arial" w:cs="Arial"/>
                <w:b/>
                <w:color w:val="000000"/>
                <w:sz w:val="16"/>
              </w:rPr>
              <w:t>/</w:t>
            </w:r>
            <w:r w:rsidR="00FE2245">
              <w:rPr>
                <w:rFonts w:ascii="Arial" w:eastAsia="Calibri" w:hAnsi="Arial" w:cs="Arial"/>
                <w:b/>
                <w:color w:val="000000"/>
                <w:sz w:val="16"/>
              </w:rPr>
              <w:t>12</w:t>
            </w:r>
            <w:r>
              <w:rPr>
                <w:rFonts w:ascii="Arial" w:eastAsia="Calibri" w:hAnsi="Arial" w:cs="Arial"/>
                <w:b/>
                <w:color w:val="000000"/>
                <w:sz w:val="16"/>
              </w:rPr>
              <w:t>/2019</w:t>
            </w:r>
          </w:p>
        </w:tc>
      </w:tr>
      <w:tr w:rsidR="0010654A" w:rsidRPr="00701F32" w14:paraId="73CF7183" w14:textId="77777777" w:rsidTr="00F73F7F">
        <w:trPr>
          <w:trHeight w:val="566"/>
          <w:tblHeader/>
        </w:trPr>
        <w:tc>
          <w:tcPr>
            <w:tcW w:w="2603" w:type="dxa"/>
            <w:vMerge/>
            <w:shd w:val="clear" w:color="auto" w:fill="auto"/>
            <w:vAlign w:val="center"/>
            <w:hideMark/>
          </w:tcPr>
          <w:p w14:paraId="714BD7E2" w14:textId="77777777" w:rsidR="0010654A" w:rsidRPr="00701F32" w:rsidRDefault="0010654A" w:rsidP="002E5672">
            <w:pPr>
              <w:tabs>
                <w:tab w:val="left" w:pos="142"/>
              </w:tabs>
              <w:spacing w:after="160" w:line="259" w:lineRule="auto"/>
              <w:jc w:val="center"/>
              <w:rPr>
                <w:rFonts w:ascii="Arial" w:eastAsia="Calibri" w:hAnsi="Arial" w:cs="Arial"/>
                <w:color w:val="000000"/>
                <w:sz w:val="16"/>
                <w:lang w:eastAsia="es-AR"/>
              </w:rPr>
            </w:pPr>
          </w:p>
        </w:tc>
        <w:tc>
          <w:tcPr>
            <w:tcW w:w="1158" w:type="dxa"/>
            <w:vAlign w:val="center"/>
          </w:tcPr>
          <w:p w14:paraId="05A5EF0B" w14:textId="77777777"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Ingresos por Intereses</w:t>
            </w:r>
          </w:p>
        </w:tc>
        <w:tc>
          <w:tcPr>
            <w:tcW w:w="1099" w:type="dxa"/>
            <w:vAlign w:val="center"/>
          </w:tcPr>
          <w:p w14:paraId="49D028E0" w14:textId="77777777"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Egresos por intereses</w:t>
            </w:r>
          </w:p>
        </w:tc>
        <w:tc>
          <w:tcPr>
            <w:tcW w:w="1099" w:type="dxa"/>
            <w:shd w:val="clear" w:color="auto" w:fill="auto"/>
            <w:vAlign w:val="center"/>
          </w:tcPr>
          <w:p w14:paraId="51BCF5D6" w14:textId="77777777"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Ingresos por Comisiones</w:t>
            </w:r>
          </w:p>
        </w:tc>
        <w:tc>
          <w:tcPr>
            <w:tcW w:w="1099" w:type="dxa"/>
            <w:vAlign w:val="center"/>
          </w:tcPr>
          <w:p w14:paraId="592FF220" w14:textId="77777777"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Egresos por Comisiones</w:t>
            </w:r>
          </w:p>
        </w:tc>
        <w:tc>
          <w:tcPr>
            <w:tcW w:w="1327" w:type="dxa"/>
            <w:vAlign w:val="center"/>
          </w:tcPr>
          <w:p w14:paraId="1F68983C" w14:textId="6E446879"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 xml:space="preserve">Gastos de </w:t>
            </w:r>
            <w:r w:rsidR="00AE73E8" w:rsidRPr="00701F32">
              <w:rPr>
                <w:rFonts w:ascii="Arial" w:eastAsia="Calibri" w:hAnsi="Arial" w:cs="Arial"/>
                <w:b/>
                <w:color w:val="000000"/>
                <w:sz w:val="16"/>
              </w:rPr>
              <w:t>Administración</w:t>
            </w:r>
          </w:p>
        </w:tc>
        <w:tc>
          <w:tcPr>
            <w:tcW w:w="899" w:type="dxa"/>
            <w:vAlign w:val="center"/>
          </w:tcPr>
          <w:p w14:paraId="0AA4EAC6" w14:textId="77777777" w:rsidR="0010654A" w:rsidRPr="00701F32" w:rsidRDefault="0010654A" w:rsidP="002E5672">
            <w:pPr>
              <w:spacing w:after="160" w:line="259" w:lineRule="auto"/>
              <w:jc w:val="center"/>
              <w:rPr>
                <w:rFonts w:ascii="Arial" w:eastAsia="Calibri" w:hAnsi="Arial" w:cs="Arial"/>
                <w:b/>
                <w:color w:val="000000"/>
                <w:sz w:val="16"/>
              </w:rPr>
            </w:pPr>
            <w:r w:rsidRPr="00701F32">
              <w:rPr>
                <w:rFonts w:ascii="Arial" w:eastAsia="Calibri" w:hAnsi="Arial" w:cs="Arial"/>
                <w:b/>
                <w:color w:val="000000"/>
                <w:sz w:val="16"/>
              </w:rPr>
              <w:t>Otros Ingresos Operativos</w:t>
            </w:r>
          </w:p>
        </w:tc>
      </w:tr>
      <w:tr w:rsidR="0010654A" w:rsidRPr="00701F32" w14:paraId="6C4EC86C" w14:textId="77777777" w:rsidTr="00F73F7F">
        <w:trPr>
          <w:trHeight w:val="403"/>
        </w:trPr>
        <w:tc>
          <w:tcPr>
            <w:tcW w:w="2603" w:type="dxa"/>
            <w:shd w:val="clear" w:color="auto" w:fill="auto"/>
            <w:vAlign w:val="bottom"/>
            <w:hideMark/>
          </w:tcPr>
          <w:p w14:paraId="7842A8A5" w14:textId="0A4BE948" w:rsidR="0010654A" w:rsidRPr="00701F32" w:rsidRDefault="0010654A" w:rsidP="002E2271">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Cordial Cía. Financiera S</w:t>
            </w:r>
            <w:r w:rsidR="00084EEA">
              <w:rPr>
                <w:rFonts w:ascii="Arial" w:eastAsia="Calibri" w:hAnsi="Arial" w:cs="Arial"/>
                <w:color w:val="000000"/>
                <w:sz w:val="16"/>
                <w:lang w:eastAsia="es-AR"/>
              </w:rPr>
              <w:t>.</w:t>
            </w:r>
            <w:r w:rsidRPr="00701F32">
              <w:rPr>
                <w:rFonts w:ascii="Arial" w:eastAsia="Calibri" w:hAnsi="Arial" w:cs="Arial"/>
                <w:color w:val="000000"/>
                <w:sz w:val="16"/>
                <w:lang w:eastAsia="es-AR"/>
              </w:rPr>
              <w:t>A</w:t>
            </w:r>
            <w:r w:rsidR="00084EEA">
              <w:rPr>
                <w:rFonts w:ascii="Arial" w:eastAsia="Calibri" w:hAnsi="Arial" w:cs="Arial"/>
                <w:color w:val="000000"/>
                <w:sz w:val="16"/>
                <w:lang w:eastAsia="es-AR"/>
              </w:rPr>
              <w:t>.</w:t>
            </w:r>
          </w:p>
        </w:tc>
        <w:tc>
          <w:tcPr>
            <w:tcW w:w="1158" w:type="dxa"/>
            <w:vAlign w:val="bottom"/>
          </w:tcPr>
          <w:p w14:paraId="304CBE19" w14:textId="47B3A496"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1.331.418</w:t>
            </w:r>
          </w:p>
        </w:tc>
        <w:tc>
          <w:tcPr>
            <w:tcW w:w="1099" w:type="dxa"/>
            <w:vAlign w:val="bottom"/>
          </w:tcPr>
          <w:p w14:paraId="0B259E2D" w14:textId="6A7806C0"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29.568</w:t>
            </w:r>
          </w:p>
        </w:tc>
        <w:tc>
          <w:tcPr>
            <w:tcW w:w="1099" w:type="dxa"/>
            <w:shd w:val="clear" w:color="auto" w:fill="auto"/>
            <w:vAlign w:val="bottom"/>
          </w:tcPr>
          <w:p w14:paraId="3D31D6B3" w14:textId="557301E2"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8.379</w:t>
            </w:r>
          </w:p>
        </w:tc>
        <w:tc>
          <w:tcPr>
            <w:tcW w:w="1099" w:type="dxa"/>
            <w:vAlign w:val="bottom"/>
          </w:tcPr>
          <w:p w14:paraId="3C066D44" w14:textId="381C1B63"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1</w:t>
            </w:r>
          </w:p>
        </w:tc>
        <w:tc>
          <w:tcPr>
            <w:tcW w:w="1327" w:type="dxa"/>
            <w:vAlign w:val="bottom"/>
          </w:tcPr>
          <w:p w14:paraId="5D9A942E" w14:textId="2953681A"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899" w:type="dxa"/>
            <w:vAlign w:val="bottom"/>
          </w:tcPr>
          <w:p w14:paraId="0E3397AF" w14:textId="095BDDC0"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85</w:t>
            </w:r>
          </w:p>
        </w:tc>
      </w:tr>
      <w:tr w:rsidR="0010654A" w:rsidRPr="00701F32" w14:paraId="18CBC9E5" w14:textId="77777777" w:rsidTr="00F73F7F">
        <w:trPr>
          <w:trHeight w:val="403"/>
        </w:trPr>
        <w:tc>
          <w:tcPr>
            <w:tcW w:w="2603" w:type="dxa"/>
            <w:shd w:val="clear" w:color="auto" w:fill="auto"/>
            <w:vAlign w:val="bottom"/>
            <w:hideMark/>
          </w:tcPr>
          <w:p w14:paraId="256BCBC0" w14:textId="77777777" w:rsidR="0010654A" w:rsidRPr="00701F32" w:rsidRDefault="0010654A" w:rsidP="002E2271">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Sofital S.A.F. e I.I.</w:t>
            </w:r>
          </w:p>
        </w:tc>
        <w:tc>
          <w:tcPr>
            <w:tcW w:w="1158" w:type="dxa"/>
            <w:vAlign w:val="bottom"/>
          </w:tcPr>
          <w:p w14:paraId="3374499C" w14:textId="2456B856"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099" w:type="dxa"/>
            <w:vAlign w:val="bottom"/>
          </w:tcPr>
          <w:p w14:paraId="0F38BCBE" w14:textId="2DEA8DD1"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099" w:type="dxa"/>
            <w:shd w:val="clear" w:color="auto" w:fill="auto"/>
            <w:vAlign w:val="bottom"/>
          </w:tcPr>
          <w:p w14:paraId="0EAD7B0D" w14:textId="6E10FBF7"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34</w:t>
            </w:r>
          </w:p>
        </w:tc>
        <w:tc>
          <w:tcPr>
            <w:tcW w:w="1099" w:type="dxa"/>
            <w:vAlign w:val="bottom"/>
          </w:tcPr>
          <w:p w14:paraId="305653C7" w14:textId="1C9F2958"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327" w:type="dxa"/>
            <w:vAlign w:val="bottom"/>
          </w:tcPr>
          <w:p w14:paraId="7AD8B9A7" w14:textId="2101DD20"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899" w:type="dxa"/>
            <w:vAlign w:val="bottom"/>
          </w:tcPr>
          <w:p w14:paraId="67573CFE" w14:textId="5F8CEB64"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10654A" w:rsidRPr="00701F32" w14:paraId="5AB2BF4A" w14:textId="77777777" w:rsidTr="00F73F7F">
        <w:trPr>
          <w:trHeight w:val="403"/>
        </w:trPr>
        <w:tc>
          <w:tcPr>
            <w:tcW w:w="2603" w:type="dxa"/>
            <w:shd w:val="clear" w:color="auto" w:fill="auto"/>
            <w:vAlign w:val="bottom"/>
            <w:hideMark/>
          </w:tcPr>
          <w:p w14:paraId="5D0D2610" w14:textId="77777777" w:rsidR="0010654A" w:rsidRPr="00701F32" w:rsidRDefault="0010654A" w:rsidP="002E2271">
            <w:pPr>
              <w:spacing w:after="160" w:line="259" w:lineRule="auto"/>
              <w:rPr>
                <w:rFonts w:ascii="Arial" w:eastAsia="Calibri" w:hAnsi="Arial" w:cs="Arial"/>
                <w:color w:val="000000"/>
                <w:sz w:val="16"/>
              </w:rPr>
            </w:pPr>
            <w:r w:rsidRPr="00701F32">
              <w:rPr>
                <w:rFonts w:ascii="Arial" w:eastAsia="Calibri" w:hAnsi="Arial" w:cs="Arial"/>
                <w:color w:val="000000"/>
                <w:sz w:val="16"/>
              </w:rPr>
              <w:t>Espacio Cordial S.A.</w:t>
            </w:r>
          </w:p>
        </w:tc>
        <w:tc>
          <w:tcPr>
            <w:tcW w:w="1158" w:type="dxa"/>
            <w:vAlign w:val="bottom"/>
          </w:tcPr>
          <w:p w14:paraId="5C7A25C7" w14:textId="6717039C"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446</w:t>
            </w:r>
          </w:p>
        </w:tc>
        <w:tc>
          <w:tcPr>
            <w:tcW w:w="1099" w:type="dxa"/>
            <w:vAlign w:val="bottom"/>
          </w:tcPr>
          <w:p w14:paraId="550827B2" w14:textId="78F260CB"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099" w:type="dxa"/>
            <w:shd w:val="clear" w:color="auto" w:fill="auto"/>
            <w:vAlign w:val="bottom"/>
          </w:tcPr>
          <w:p w14:paraId="34E7C0CA" w14:textId="7665D443"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287</w:t>
            </w:r>
          </w:p>
        </w:tc>
        <w:tc>
          <w:tcPr>
            <w:tcW w:w="1099" w:type="dxa"/>
            <w:vAlign w:val="bottom"/>
          </w:tcPr>
          <w:p w14:paraId="39DBD927" w14:textId="3B8D02DB"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327" w:type="dxa"/>
            <w:vAlign w:val="bottom"/>
          </w:tcPr>
          <w:p w14:paraId="422689DB" w14:textId="2BB3506B"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899" w:type="dxa"/>
            <w:vAlign w:val="bottom"/>
          </w:tcPr>
          <w:p w14:paraId="5B83647C" w14:textId="1FA1A694"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13</w:t>
            </w:r>
          </w:p>
        </w:tc>
      </w:tr>
      <w:tr w:rsidR="0010654A" w:rsidRPr="00701F32" w14:paraId="55F39AAC" w14:textId="77777777" w:rsidTr="00F73F7F">
        <w:trPr>
          <w:trHeight w:val="403"/>
        </w:trPr>
        <w:tc>
          <w:tcPr>
            <w:tcW w:w="2603" w:type="dxa"/>
            <w:shd w:val="clear" w:color="auto" w:fill="auto"/>
            <w:vAlign w:val="bottom"/>
          </w:tcPr>
          <w:p w14:paraId="16615659" w14:textId="77777777" w:rsidR="0010654A" w:rsidRPr="00701F32" w:rsidRDefault="0010654A" w:rsidP="002E2271">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rPr>
              <w:t>Supervielle Seguros S.A.</w:t>
            </w:r>
          </w:p>
        </w:tc>
        <w:tc>
          <w:tcPr>
            <w:tcW w:w="1158" w:type="dxa"/>
            <w:vAlign w:val="bottom"/>
          </w:tcPr>
          <w:p w14:paraId="2F3A4D5B" w14:textId="17802DD2"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099" w:type="dxa"/>
            <w:vAlign w:val="bottom"/>
          </w:tcPr>
          <w:p w14:paraId="6AB6584C" w14:textId="2B6A91A7"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099" w:type="dxa"/>
            <w:shd w:val="clear" w:color="auto" w:fill="auto"/>
            <w:vAlign w:val="bottom"/>
          </w:tcPr>
          <w:p w14:paraId="70665D4F" w14:textId="7D2DBC54"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126.564</w:t>
            </w:r>
          </w:p>
        </w:tc>
        <w:tc>
          <w:tcPr>
            <w:tcW w:w="1099" w:type="dxa"/>
            <w:vAlign w:val="bottom"/>
          </w:tcPr>
          <w:p w14:paraId="221689A6" w14:textId="5E9EE8C9"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327" w:type="dxa"/>
            <w:vAlign w:val="bottom"/>
          </w:tcPr>
          <w:p w14:paraId="55AB7926" w14:textId="5E5E24C5"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6.061</w:t>
            </w:r>
          </w:p>
        </w:tc>
        <w:tc>
          <w:tcPr>
            <w:tcW w:w="899" w:type="dxa"/>
            <w:vAlign w:val="bottom"/>
          </w:tcPr>
          <w:p w14:paraId="2E538A76" w14:textId="098219CE"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7.827</w:t>
            </w:r>
          </w:p>
        </w:tc>
      </w:tr>
      <w:tr w:rsidR="0010654A" w:rsidRPr="00701F32" w14:paraId="3757FC0B" w14:textId="77777777" w:rsidTr="00F73F7F">
        <w:trPr>
          <w:trHeight w:val="403"/>
        </w:trPr>
        <w:tc>
          <w:tcPr>
            <w:tcW w:w="2603" w:type="dxa"/>
            <w:shd w:val="clear" w:color="auto" w:fill="auto"/>
            <w:vAlign w:val="bottom"/>
            <w:hideMark/>
          </w:tcPr>
          <w:p w14:paraId="4E51DCC8" w14:textId="77777777" w:rsidR="0010654A" w:rsidRPr="00701F32" w:rsidRDefault="0010654A" w:rsidP="002E2271">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Tarjeta Automática S.A.</w:t>
            </w:r>
          </w:p>
        </w:tc>
        <w:tc>
          <w:tcPr>
            <w:tcW w:w="1158" w:type="dxa"/>
            <w:vAlign w:val="bottom"/>
          </w:tcPr>
          <w:p w14:paraId="358FD294" w14:textId="20C8B27B"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218</w:t>
            </w:r>
          </w:p>
        </w:tc>
        <w:tc>
          <w:tcPr>
            <w:tcW w:w="1099" w:type="dxa"/>
            <w:vAlign w:val="bottom"/>
          </w:tcPr>
          <w:p w14:paraId="698E3D26" w14:textId="4E73D47A"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099" w:type="dxa"/>
            <w:shd w:val="clear" w:color="auto" w:fill="auto"/>
            <w:vAlign w:val="bottom"/>
          </w:tcPr>
          <w:p w14:paraId="10CCBC4A" w14:textId="75D206E8"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703</w:t>
            </w:r>
          </w:p>
        </w:tc>
        <w:tc>
          <w:tcPr>
            <w:tcW w:w="1099" w:type="dxa"/>
            <w:vAlign w:val="bottom"/>
          </w:tcPr>
          <w:p w14:paraId="1960226D" w14:textId="155FDD22"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1327" w:type="dxa"/>
            <w:vAlign w:val="bottom"/>
          </w:tcPr>
          <w:p w14:paraId="18156446" w14:textId="19B315BB"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c>
          <w:tcPr>
            <w:tcW w:w="899" w:type="dxa"/>
            <w:vAlign w:val="bottom"/>
          </w:tcPr>
          <w:p w14:paraId="07B49F82" w14:textId="06555924"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w:t>
            </w:r>
          </w:p>
        </w:tc>
      </w:tr>
      <w:tr w:rsidR="0010654A" w:rsidRPr="003D7E1E" w14:paraId="5A75B4FA" w14:textId="77777777" w:rsidTr="00F73F7F">
        <w:trPr>
          <w:trHeight w:val="403"/>
        </w:trPr>
        <w:tc>
          <w:tcPr>
            <w:tcW w:w="2603" w:type="dxa"/>
            <w:shd w:val="clear" w:color="auto" w:fill="auto"/>
            <w:vAlign w:val="bottom"/>
            <w:hideMark/>
          </w:tcPr>
          <w:p w14:paraId="456D0637" w14:textId="77777777" w:rsidR="0010654A" w:rsidRPr="00701F32" w:rsidRDefault="0010654A" w:rsidP="002E2271">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en-US" w:eastAsia="es-AR"/>
              </w:rPr>
              <w:t>Supervielle Asset Management S.A.</w:t>
            </w:r>
          </w:p>
        </w:tc>
        <w:tc>
          <w:tcPr>
            <w:tcW w:w="1158" w:type="dxa"/>
            <w:vAlign w:val="bottom"/>
          </w:tcPr>
          <w:p w14:paraId="02944C1E" w14:textId="0142062E" w:rsidR="0010654A" w:rsidRPr="00C7765D" w:rsidRDefault="008503E5" w:rsidP="002E5672">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31</w:t>
            </w:r>
          </w:p>
        </w:tc>
        <w:tc>
          <w:tcPr>
            <w:tcW w:w="1099" w:type="dxa"/>
            <w:vAlign w:val="bottom"/>
          </w:tcPr>
          <w:p w14:paraId="0E38D01A" w14:textId="5CF3B434" w:rsidR="0010654A" w:rsidRPr="00C7765D" w:rsidRDefault="008503E5" w:rsidP="002E5672">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099" w:type="dxa"/>
            <w:shd w:val="clear" w:color="auto" w:fill="auto"/>
            <w:vAlign w:val="bottom"/>
          </w:tcPr>
          <w:p w14:paraId="34942793" w14:textId="1D823617" w:rsidR="0010654A" w:rsidRPr="00C7765D" w:rsidRDefault="008503E5">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171</w:t>
            </w:r>
          </w:p>
        </w:tc>
        <w:tc>
          <w:tcPr>
            <w:tcW w:w="1099" w:type="dxa"/>
            <w:vAlign w:val="bottom"/>
          </w:tcPr>
          <w:p w14:paraId="32BF10BD" w14:textId="2761CC9A" w:rsidR="0010654A" w:rsidRPr="00C7765D" w:rsidRDefault="008503E5" w:rsidP="002E5672">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327" w:type="dxa"/>
            <w:vAlign w:val="bottom"/>
          </w:tcPr>
          <w:p w14:paraId="66F1F06F" w14:textId="6DF2E4EB" w:rsidR="0010654A" w:rsidRPr="00C7765D" w:rsidRDefault="008503E5" w:rsidP="002E5672">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899" w:type="dxa"/>
            <w:vAlign w:val="bottom"/>
          </w:tcPr>
          <w:p w14:paraId="6AA1C0FE" w14:textId="3439AA87" w:rsidR="0010654A" w:rsidRPr="00C7765D" w:rsidRDefault="008503E5">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2.929</w:t>
            </w:r>
          </w:p>
        </w:tc>
      </w:tr>
      <w:tr w:rsidR="0010654A" w:rsidRPr="003D7E1E" w14:paraId="24AB8791" w14:textId="77777777" w:rsidTr="00F73F7F">
        <w:trPr>
          <w:trHeight w:val="403"/>
        </w:trPr>
        <w:tc>
          <w:tcPr>
            <w:tcW w:w="2603" w:type="dxa"/>
            <w:shd w:val="clear" w:color="auto" w:fill="auto"/>
            <w:vAlign w:val="bottom"/>
          </w:tcPr>
          <w:p w14:paraId="70ACB974" w14:textId="5CD66B5E" w:rsidR="0010654A" w:rsidRPr="00701F32" w:rsidRDefault="0010654A" w:rsidP="002E2271">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lang w:val="en-US" w:eastAsia="es-AR"/>
              </w:rPr>
              <w:t>Invertir OnLine S.A.</w:t>
            </w:r>
            <w:r w:rsidR="00C00F7F">
              <w:rPr>
                <w:rFonts w:ascii="Arial" w:eastAsia="Calibri" w:hAnsi="Arial" w:cs="Arial"/>
                <w:color w:val="000000"/>
                <w:sz w:val="16"/>
                <w:lang w:val="en-US" w:eastAsia="es-AR"/>
              </w:rPr>
              <w:t>U.</w:t>
            </w:r>
          </w:p>
        </w:tc>
        <w:tc>
          <w:tcPr>
            <w:tcW w:w="1158" w:type="dxa"/>
            <w:vAlign w:val="bottom"/>
          </w:tcPr>
          <w:p w14:paraId="2D5380CA" w14:textId="234FBB16" w:rsidR="0010654A" w:rsidRPr="00C7765D" w:rsidRDefault="008503E5" w:rsidP="002E5672">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099" w:type="dxa"/>
            <w:vAlign w:val="bottom"/>
          </w:tcPr>
          <w:p w14:paraId="7780A3B7" w14:textId="416141AD" w:rsidR="0010654A" w:rsidRPr="00C7765D" w:rsidRDefault="008503E5">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102.337</w:t>
            </w:r>
          </w:p>
        </w:tc>
        <w:tc>
          <w:tcPr>
            <w:tcW w:w="1099" w:type="dxa"/>
            <w:shd w:val="clear" w:color="auto" w:fill="auto"/>
            <w:vAlign w:val="bottom"/>
          </w:tcPr>
          <w:p w14:paraId="1D15979F" w14:textId="03AD655E" w:rsidR="0010654A" w:rsidRPr="00C7765D" w:rsidDel="00B660DC" w:rsidRDefault="008503E5">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1.403</w:t>
            </w:r>
          </w:p>
        </w:tc>
        <w:tc>
          <w:tcPr>
            <w:tcW w:w="1099" w:type="dxa"/>
            <w:vAlign w:val="bottom"/>
          </w:tcPr>
          <w:p w14:paraId="60667737" w14:textId="2E168A23" w:rsidR="0010654A" w:rsidRPr="00C7765D" w:rsidRDefault="008503E5" w:rsidP="002E5672">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327" w:type="dxa"/>
            <w:vAlign w:val="bottom"/>
          </w:tcPr>
          <w:p w14:paraId="55F86B9F" w14:textId="31BE2307" w:rsidR="0010654A" w:rsidRPr="00C7765D" w:rsidRDefault="008503E5" w:rsidP="002E5672">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899" w:type="dxa"/>
            <w:vAlign w:val="bottom"/>
          </w:tcPr>
          <w:p w14:paraId="36458928" w14:textId="08FF7AB4" w:rsidR="0010654A" w:rsidRPr="00C7765D" w:rsidRDefault="008503E5">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40</w:t>
            </w:r>
          </w:p>
        </w:tc>
      </w:tr>
      <w:tr w:rsidR="0010654A" w:rsidRPr="00701F32" w14:paraId="502EAE00" w14:textId="77777777" w:rsidTr="00F73F7F">
        <w:trPr>
          <w:trHeight w:val="403"/>
        </w:trPr>
        <w:tc>
          <w:tcPr>
            <w:tcW w:w="2603" w:type="dxa"/>
            <w:shd w:val="clear" w:color="auto" w:fill="auto"/>
            <w:vAlign w:val="bottom"/>
          </w:tcPr>
          <w:p w14:paraId="637C9CD1" w14:textId="3A10417F" w:rsidR="0010654A" w:rsidRPr="00701F32" w:rsidRDefault="0010654A" w:rsidP="002E2271">
            <w:pPr>
              <w:tabs>
                <w:tab w:val="left" w:pos="142"/>
              </w:tabs>
              <w:spacing w:after="160" w:line="259" w:lineRule="auto"/>
              <w:rPr>
                <w:rFonts w:ascii="Arial" w:eastAsia="Calibri" w:hAnsi="Arial" w:cs="Arial"/>
                <w:color w:val="000000"/>
                <w:sz w:val="16"/>
                <w:lang w:val="en-US" w:eastAsia="es-AR"/>
              </w:rPr>
            </w:pPr>
            <w:r w:rsidRPr="00701F32">
              <w:rPr>
                <w:rFonts w:ascii="Arial" w:eastAsia="Calibri" w:hAnsi="Arial" w:cs="Arial"/>
                <w:color w:val="000000"/>
                <w:sz w:val="16"/>
              </w:rPr>
              <w:t>Invertir OnLine.com Argentina S.A.</w:t>
            </w:r>
            <w:r w:rsidR="00C5517A">
              <w:rPr>
                <w:rFonts w:ascii="Arial" w:eastAsia="Calibri" w:hAnsi="Arial" w:cs="Arial"/>
                <w:color w:val="000000"/>
                <w:sz w:val="16"/>
              </w:rPr>
              <w:t>U.</w:t>
            </w:r>
          </w:p>
        </w:tc>
        <w:tc>
          <w:tcPr>
            <w:tcW w:w="1158" w:type="dxa"/>
            <w:vAlign w:val="bottom"/>
          </w:tcPr>
          <w:p w14:paraId="3E98E148" w14:textId="4C12F0B4" w:rsidR="0010654A" w:rsidRPr="00701F32" w:rsidRDefault="008503E5" w:rsidP="002E5672">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c>
          <w:tcPr>
            <w:tcW w:w="1099" w:type="dxa"/>
            <w:vAlign w:val="bottom"/>
          </w:tcPr>
          <w:p w14:paraId="0A075B74" w14:textId="63818B35" w:rsidR="0010654A" w:rsidRPr="00701F32" w:rsidDel="00AA3E91" w:rsidRDefault="008503E5">
            <w:pPr>
              <w:spacing w:after="160" w:line="259" w:lineRule="auto"/>
              <w:jc w:val="right"/>
              <w:rPr>
                <w:rFonts w:ascii="Arial" w:eastAsia="Calibri" w:hAnsi="Arial" w:cs="Arial"/>
                <w:color w:val="000000"/>
                <w:sz w:val="16"/>
              </w:rPr>
            </w:pPr>
            <w:r>
              <w:rPr>
                <w:rFonts w:ascii="Arial" w:eastAsia="Calibri" w:hAnsi="Arial" w:cs="Arial"/>
                <w:color w:val="000000"/>
                <w:sz w:val="16"/>
              </w:rPr>
              <w:t>1.502</w:t>
            </w:r>
          </w:p>
        </w:tc>
        <w:tc>
          <w:tcPr>
            <w:tcW w:w="1099" w:type="dxa"/>
            <w:shd w:val="clear" w:color="auto" w:fill="auto"/>
            <w:vAlign w:val="bottom"/>
          </w:tcPr>
          <w:p w14:paraId="574C31E1" w14:textId="554A4AAD" w:rsidR="0010654A" w:rsidRPr="00701F32" w:rsidDel="00AA3E91" w:rsidRDefault="008503E5">
            <w:pPr>
              <w:spacing w:after="160" w:line="259" w:lineRule="auto"/>
              <w:jc w:val="right"/>
              <w:rPr>
                <w:rFonts w:ascii="Arial" w:eastAsia="Calibri" w:hAnsi="Arial" w:cs="Arial"/>
                <w:color w:val="000000"/>
                <w:sz w:val="16"/>
              </w:rPr>
            </w:pPr>
            <w:r>
              <w:rPr>
                <w:rFonts w:ascii="Arial" w:eastAsia="Calibri" w:hAnsi="Arial" w:cs="Arial"/>
                <w:color w:val="000000"/>
                <w:sz w:val="16"/>
              </w:rPr>
              <w:t>27.049</w:t>
            </w:r>
          </w:p>
        </w:tc>
        <w:tc>
          <w:tcPr>
            <w:tcW w:w="1099" w:type="dxa"/>
            <w:vAlign w:val="bottom"/>
          </w:tcPr>
          <w:p w14:paraId="21225C2F" w14:textId="1E1FA77D" w:rsidR="0010654A" w:rsidRPr="00701F32" w:rsidRDefault="008503E5" w:rsidP="002E5672">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c>
          <w:tcPr>
            <w:tcW w:w="1327" w:type="dxa"/>
            <w:vAlign w:val="bottom"/>
          </w:tcPr>
          <w:p w14:paraId="3E372994" w14:textId="3F693BAE" w:rsidR="0010654A" w:rsidRPr="00701F32" w:rsidRDefault="008503E5" w:rsidP="002E5672">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c>
          <w:tcPr>
            <w:tcW w:w="899" w:type="dxa"/>
            <w:vAlign w:val="bottom"/>
          </w:tcPr>
          <w:p w14:paraId="6542D693" w14:textId="432350D0" w:rsidR="0010654A" w:rsidRPr="00701F32" w:rsidRDefault="008503E5" w:rsidP="002E5672">
            <w:pPr>
              <w:spacing w:after="160" w:line="259" w:lineRule="auto"/>
              <w:jc w:val="right"/>
              <w:rPr>
                <w:rFonts w:ascii="Arial" w:eastAsia="Calibri" w:hAnsi="Arial" w:cs="Arial"/>
                <w:color w:val="000000"/>
                <w:sz w:val="16"/>
              </w:rPr>
            </w:pPr>
            <w:r>
              <w:rPr>
                <w:rFonts w:ascii="Arial" w:eastAsia="Calibri" w:hAnsi="Arial" w:cs="Arial"/>
                <w:color w:val="000000"/>
                <w:sz w:val="16"/>
              </w:rPr>
              <w:t>-</w:t>
            </w:r>
          </w:p>
        </w:tc>
      </w:tr>
      <w:tr w:rsidR="0010654A" w:rsidRPr="003D7E1E" w14:paraId="4FC41097" w14:textId="77777777" w:rsidTr="00F73F7F">
        <w:trPr>
          <w:trHeight w:val="403"/>
        </w:trPr>
        <w:tc>
          <w:tcPr>
            <w:tcW w:w="2603" w:type="dxa"/>
            <w:shd w:val="clear" w:color="auto" w:fill="auto"/>
            <w:vAlign w:val="bottom"/>
          </w:tcPr>
          <w:p w14:paraId="29D625B8" w14:textId="79C8D1D6" w:rsidR="0010654A" w:rsidRPr="00C00F7F" w:rsidRDefault="0010654A" w:rsidP="002E2271">
            <w:pPr>
              <w:tabs>
                <w:tab w:val="left" w:pos="142"/>
              </w:tabs>
              <w:spacing w:after="160" w:line="259" w:lineRule="auto"/>
              <w:rPr>
                <w:rFonts w:ascii="Arial" w:eastAsia="Calibri" w:hAnsi="Arial" w:cs="Arial"/>
                <w:color w:val="000000"/>
                <w:sz w:val="16"/>
                <w:lang w:val="en-US" w:eastAsia="es-AR"/>
              </w:rPr>
            </w:pPr>
            <w:r w:rsidRPr="0023020F">
              <w:rPr>
                <w:rFonts w:ascii="Arial" w:eastAsia="Calibri" w:hAnsi="Arial" w:cs="Arial"/>
                <w:color w:val="000000"/>
                <w:sz w:val="16"/>
                <w:lang w:val="en-US"/>
              </w:rPr>
              <w:t>Micro Lending S.A.</w:t>
            </w:r>
            <w:r w:rsidR="00C00F7F" w:rsidRPr="0023020F">
              <w:rPr>
                <w:rFonts w:ascii="Arial" w:eastAsia="Calibri" w:hAnsi="Arial" w:cs="Arial"/>
                <w:color w:val="000000"/>
                <w:sz w:val="16"/>
                <w:lang w:val="en-US"/>
              </w:rPr>
              <w:t>U</w:t>
            </w:r>
            <w:r w:rsidR="00C00F7F">
              <w:rPr>
                <w:rFonts w:ascii="Arial" w:eastAsia="Calibri" w:hAnsi="Arial" w:cs="Arial"/>
                <w:color w:val="000000"/>
                <w:sz w:val="16"/>
                <w:lang w:val="en-US"/>
              </w:rPr>
              <w:t>.</w:t>
            </w:r>
          </w:p>
        </w:tc>
        <w:tc>
          <w:tcPr>
            <w:tcW w:w="1158" w:type="dxa"/>
            <w:vAlign w:val="bottom"/>
          </w:tcPr>
          <w:p w14:paraId="1771D704" w14:textId="6236D220" w:rsidR="0010654A" w:rsidRPr="00C7765D" w:rsidRDefault="008503E5">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54.696</w:t>
            </w:r>
          </w:p>
        </w:tc>
        <w:tc>
          <w:tcPr>
            <w:tcW w:w="1099" w:type="dxa"/>
            <w:vAlign w:val="bottom"/>
          </w:tcPr>
          <w:p w14:paraId="05527FC3" w14:textId="6C280B7C" w:rsidR="0010654A" w:rsidRPr="00C7765D" w:rsidDel="00AA3E91" w:rsidRDefault="008503E5" w:rsidP="002E5672">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099" w:type="dxa"/>
            <w:shd w:val="clear" w:color="auto" w:fill="auto"/>
            <w:vAlign w:val="bottom"/>
          </w:tcPr>
          <w:p w14:paraId="48FBFE02" w14:textId="574D8989" w:rsidR="0010654A" w:rsidRPr="00C7765D" w:rsidDel="00AA3E91" w:rsidRDefault="008503E5" w:rsidP="002E5672">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099" w:type="dxa"/>
            <w:vAlign w:val="bottom"/>
          </w:tcPr>
          <w:p w14:paraId="064C65FA" w14:textId="54A21F6A" w:rsidR="0010654A" w:rsidRPr="00C7765D" w:rsidRDefault="008503E5" w:rsidP="002E5672">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w:t>
            </w:r>
          </w:p>
        </w:tc>
        <w:tc>
          <w:tcPr>
            <w:tcW w:w="1327" w:type="dxa"/>
            <w:vAlign w:val="bottom"/>
          </w:tcPr>
          <w:p w14:paraId="3BF0D3BB" w14:textId="1177C92F" w:rsidR="0010654A" w:rsidRPr="00C7765D" w:rsidRDefault="008503E5">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149</w:t>
            </w:r>
          </w:p>
        </w:tc>
        <w:tc>
          <w:tcPr>
            <w:tcW w:w="899" w:type="dxa"/>
            <w:vAlign w:val="bottom"/>
          </w:tcPr>
          <w:p w14:paraId="20F77158" w14:textId="1DC58B1A" w:rsidR="0010654A" w:rsidRPr="00C7765D" w:rsidRDefault="008503E5">
            <w:pPr>
              <w:spacing w:after="160" w:line="259" w:lineRule="auto"/>
              <w:jc w:val="right"/>
              <w:rPr>
                <w:rFonts w:ascii="Arial" w:eastAsia="Calibri" w:hAnsi="Arial" w:cs="Arial"/>
                <w:color w:val="000000"/>
                <w:sz w:val="16"/>
                <w:lang w:val="en-US"/>
              </w:rPr>
            </w:pPr>
            <w:r>
              <w:rPr>
                <w:rFonts w:ascii="Arial" w:eastAsia="Calibri" w:hAnsi="Arial" w:cs="Arial"/>
                <w:color w:val="000000"/>
                <w:sz w:val="16"/>
                <w:lang w:val="en-US"/>
              </w:rPr>
              <w:t>33.856</w:t>
            </w:r>
          </w:p>
        </w:tc>
      </w:tr>
      <w:tr w:rsidR="0010654A" w:rsidRPr="00701F32" w14:paraId="24744364" w14:textId="77777777" w:rsidTr="00F73F7F">
        <w:trPr>
          <w:trHeight w:val="403"/>
        </w:trPr>
        <w:tc>
          <w:tcPr>
            <w:tcW w:w="2603" w:type="dxa"/>
            <w:shd w:val="clear" w:color="auto" w:fill="auto"/>
            <w:vAlign w:val="bottom"/>
            <w:hideMark/>
          </w:tcPr>
          <w:p w14:paraId="2FBD3F9B" w14:textId="77777777" w:rsidR="0010654A" w:rsidRPr="00701F32" w:rsidRDefault="0010654A" w:rsidP="002E2271">
            <w:pPr>
              <w:tabs>
                <w:tab w:val="left" w:pos="142"/>
              </w:tabs>
              <w:spacing w:after="160" w:line="259" w:lineRule="auto"/>
              <w:rPr>
                <w:rFonts w:ascii="Arial" w:eastAsia="Calibri" w:hAnsi="Arial" w:cs="Arial"/>
                <w:color w:val="000000"/>
                <w:sz w:val="16"/>
                <w:lang w:eastAsia="es-AR"/>
              </w:rPr>
            </w:pPr>
            <w:r w:rsidRPr="00701F32">
              <w:rPr>
                <w:rFonts w:ascii="Arial" w:eastAsia="Calibri" w:hAnsi="Arial" w:cs="Arial"/>
                <w:color w:val="000000"/>
                <w:sz w:val="16"/>
                <w:lang w:eastAsia="es-AR"/>
              </w:rPr>
              <w:t>Grupo Supervielle S.A.</w:t>
            </w:r>
          </w:p>
        </w:tc>
        <w:tc>
          <w:tcPr>
            <w:tcW w:w="1158" w:type="dxa"/>
            <w:vAlign w:val="bottom"/>
          </w:tcPr>
          <w:p w14:paraId="0A3DF37B" w14:textId="3E76246F" w:rsidR="0010654A" w:rsidRPr="00701F32" w:rsidRDefault="008503E5" w:rsidP="002E5672">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1</w:t>
            </w:r>
          </w:p>
        </w:tc>
        <w:tc>
          <w:tcPr>
            <w:tcW w:w="1099" w:type="dxa"/>
            <w:vAlign w:val="bottom"/>
          </w:tcPr>
          <w:p w14:paraId="05B264D1" w14:textId="7539A4E9"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15</w:t>
            </w:r>
          </w:p>
        </w:tc>
        <w:tc>
          <w:tcPr>
            <w:tcW w:w="1099" w:type="dxa"/>
            <w:shd w:val="clear" w:color="auto" w:fill="auto"/>
            <w:vAlign w:val="bottom"/>
          </w:tcPr>
          <w:p w14:paraId="27D26312" w14:textId="27881621"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2.279</w:t>
            </w:r>
          </w:p>
        </w:tc>
        <w:tc>
          <w:tcPr>
            <w:tcW w:w="1099" w:type="dxa"/>
            <w:vAlign w:val="bottom"/>
          </w:tcPr>
          <w:p w14:paraId="4D2F6568" w14:textId="075D1EC4"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3.053</w:t>
            </w:r>
          </w:p>
        </w:tc>
        <w:tc>
          <w:tcPr>
            <w:tcW w:w="1327" w:type="dxa"/>
            <w:vAlign w:val="bottom"/>
          </w:tcPr>
          <w:p w14:paraId="2E5225A4" w14:textId="6CAC998C"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75.852</w:t>
            </w:r>
          </w:p>
        </w:tc>
        <w:tc>
          <w:tcPr>
            <w:tcW w:w="899" w:type="dxa"/>
            <w:vAlign w:val="bottom"/>
          </w:tcPr>
          <w:p w14:paraId="207ADCC5" w14:textId="249521DE" w:rsidR="0010654A" w:rsidRPr="00701F32" w:rsidRDefault="008503E5">
            <w:pPr>
              <w:spacing w:after="160" w:line="259" w:lineRule="auto"/>
              <w:jc w:val="right"/>
              <w:rPr>
                <w:rFonts w:ascii="Arial" w:eastAsia="Calibri" w:hAnsi="Arial" w:cs="Arial"/>
                <w:color w:val="000000"/>
                <w:sz w:val="16"/>
                <w:lang w:val="es-ES_tradnl"/>
              </w:rPr>
            </w:pPr>
            <w:r>
              <w:rPr>
                <w:rFonts w:ascii="Arial" w:eastAsia="Calibri" w:hAnsi="Arial" w:cs="Arial"/>
                <w:color w:val="000000"/>
                <w:sz w:val="16"/>
                <w:lang w:val="es-ES_tradnl"/>
              </w:rPr>
              <w:t>3.231</w:t>
            </w:r>
          </w:p>
        </w:tc>
      </w:tr>
      <w:tr w:rsidR="0010654A" w:rsidRPr="00701F32" w14:paraId="1B21E477" w14:textId="77777777" w:rsidTr="00F73F7F">
        <w:trPr>
          <w:trHeight w:val="403"/>
        </w:trPr>
        <w:tc>
          <w:tcPr>
            <w:tcW w:w="2603" w:type="dxa"/>
            <w:shd w:val="clear" w:color="auto" w:fill="auto"/>
            <w:vAlign w:val="bottom"/>
            <w:hideMark/>
          </w:tcPr>
          <w:p w14:paraId="1B4A144B" w14:textId="77777777" w:rsidR="0010654A" w:rsidRPr="00701F32" w:rsidRDefault="0010654A" w:rsidP="002E2271">
            <w:pPr>
              <w:tabs>
                <w:tab w:val="left" w:pos="142"/>
              </w:tabs>
              <w:spacing w:after="160" w:line="259" w:lineRule="auto"/>
              <w:rPr>
                <w:rFonts w:ascii="Arial" w:eastAsia="Calibri" w:hAnsi="Arial" w:cs="Arial"/>
                <w:b/>
                <w:bCs/>
                <w:color w:val="000000"/>
                <w:sz w:val="16"/>
                <w:lang w:eastAsia="es-AR"/>
              </w:rPr>
            </w:pPr>
            <w:r w:rsidRPr="00701F32">
              <w:rPr>
                <w:rFonts w:ascii="Arial" w:eastAsia="Calibri" w:hAnsi="Arial" w:cs="Arial"/>
                <w:b/>
                <w:bCs/>
                <w:color w:val="000000"/>
                <w:sz w:val="16"/>
                <w:lang w:eastAsia="es-AR"/>
              </w:rPr>
              <w:t>TOTAL</w:t>
            </w:r>
          </w:p>
        </w:tc>
        <w:tc>
          <w:tcPr>
            <w:tcW w:w="1158" w:type="dxa"/>
            <w:vAlign w:val="bottom"/>
          </w:tcPr>
          <w:p w14:paraId="03F9473C" w14:textId="76F0DAC2" w:rsidR="0010654A" w:rsidRPr="00701F32" w:rsidRDefault="008503E5">
            <w:pPr>
              <w:spacing w:after="160" w:line="259" w:lineRule="auto"/>
              <w:jc w:val="right"/>
              <w:rPr>
                <w:rFonts w:ascii="Arial" w:eastAsia="Calibri" w:hAnsi="Arial" w:cs="Arial"/>
                <w:b/>
                <w:bCs/>
                <w:color w:val="000000"/>
                <w:sz w:val="16"/>
                <w:lang w:val="es-ES_tradnl"/>
              </w:rPr>
            </w:pPr>
            <w:r>
              <w:rPr>
                <w:rFonts w:ascii="Arial" w:eastAsia="Calibri" w:hAnsi="Arial" w:cs="Arial"/>
                <w:b/>
                <w:bCs/>
                <w:color w:val="000000"/>
                <w:sz w:val="16"/>
                <w:lang w:val="es-ES_tradnl"/>
              </w:rPr>
              <w:t>1.386.810</w:t>
            </w:r>
          </w:p>
        </w:tc>
        <w:tc>
          <w:tcPr>
            <w:tcW w:w="1099" w:type="dxa"/>
            <w:vAlign w:val="bottom"/>
          </w:tcPr>
          <w:p w14:paraId="0D2E6EF0" w14:textId="31594458" w:rsidR="0010654A" w:rsidRPr="00701F32" w:rsidRDefault="008503E5">
            <w:pPr>
              <w:spacing w:after="160" w:line="259" w:lineRule="auto"/>
              <w:jc w:val="right"/>
              <w:rPr>
                <w:rFonts w:ascii="Arial" w:eastAsia="Calibri" w:hAnsi="Arial" w:cs="Arial"/>
                <w:b/>
                <w:bCs/>
                <w:color w:val="000000"/>
                <w:sz w:val="16"/>
                <w:lang w:val="es-ES_tradnl"/>
              </w:rPr>
            </w:pPr>
            <w:r>
              <w:rPr>
                <w:rFonts w:ascii="Arial" w:eastAsia="Calibri" w:hAnsi="Arial" w:cs="Arial"/>
                <w:b/>
                <w:bCs/>
                <w:color w:val="000000"/>
                <w:sz w:val="16"/>
                <w:lang w:val="es-ES_tradnl"/>
              </w:rPr>
              <w:t>133.422</w:t>
            </w:r>
          </w:p>
        </w:tc>
        <w:tc>
          <w:tcPr>
            <w:tcW w:w="1099" w:type="dxa"/>
            <w:shd w:val="clear" w:color="auto" w:fill="auto"/>
            <w:vAlign w:val="bottom"/>
          </w:tcPr>
          <w:p w14:paraId="4962B21F" w14:textId="3ABB9C65" w:rsidR="0010654A" w:rsidRPr="00701F32" w:rsidRDefault="008503E5">
            <w:pPr>
              <w:spacing w:after="160" w:line="259" w:lineRule="auto"/>
              <w:jc w:val="right"/>
              <w:rPr>
                <w:rFonts w:ascii="Arial" w:eastAsia="Calibri" w:hAnsi="Arial" w:cs="Arial"/>
                <w:b/>
                <w:bCs/>
                <w:color w:val="000000"/>
                <w:sz w:val="16"/>
                <w:lang w:val="es-ES_tradnl"/>
              </w:rPr>
            </w:pPr>
            <w:r>
              <w:rPr>
                <w:rFonts w:ascii="Arial" w:eastAsia="Calibri" w:hAnsi="Arial" w:cs="Arial"/>
                <w:b/>
                <w:bCs/>
                <w:color w:val="000000"/>
                <w:sz w:val="16"/>
                <w:lang w:val="es-ES_tradnl"/>
              </w:rPr>
              <w:t>166.869</w:t>
            </w:r>
          </w:p>
        </w:tc>
        <w:tc>
          <w:tcPr>
            <w:tcW w:w="1099" w:type="dxa"/>
            <w:vAlign w:val="bottom"/>
          </w:tcPr>
          <w:p w14:paraId="6A582D4B" w14:textId="34E2B968" w:rsidR="0010654A" w:rsidRPr="00701F32" w:rsidRDefault="008503E5">
            <w:pPr>
              <w:spacing w:after="160" w:line="259" w:lineRule="auto"/>
              <w:jc w:val="right"/>
              <w:rPr>
                <w:rFonts w:ascii="Arial" w:eastAsia="Calibri" w:hAnsi="Arial" w:cs="Arial"/>
                <w:b/>
                <w:bCs/>
                <w:color w:val="000000"/>
                <w:sz w:val="16"/>
                <w:lang w:val="es-ES_tradnl"/>
              </w:rPr>
            </w:pPr>
            <w:r>
              <w:rPr>
                <w:rFonts w:ascii="Arial" w:eastAsia="Calibri" w:hAnsi="Arial" w:cs="Arial"/>
                <w:b/>
                <w:bCs/>
                <w:color w:val="000000"/>
                <w:sz w:val="16"/>
                <w:lang w:val="es-ES_tradnl"/>
              </w:rPr>
              <w:t>3.054</w:t>
            </w:r>
          </w:p>
        </w:tc>
        <w:tc>
          <w:tcPr>
            <w:tcW w:w="1327" w:type="dxa"/>
            <w:vAlign w:val="bottom"/>
          </w:tcPr>
          <w:p w14:paraId="53CE94E0" w14:textId="5C80ADB1" w:rsidR="0010654A" w:rsidRPr="00701F32" w:rsidRDefault="008503E5">
            <w:pPr>
              <w:spacing w:after="160" w:line="259" w:lineRule="auto"/>
              <w:jc w:val="right"/>
              <w:rPr>
                <w:rFonts w:ascii="Arial" w:eastAsia="Calibri" w:hAnsi="Arial" w:cs="Arial"/>
                <w:b/>
                <w:bCs/>
                <w:color w:val="000000"/>
                <w:sz w:val="16"/>
                <w:lang w:val="es-ES_tradnl"/>
              </w:rPr>
            </w:pPr>
            <w:r>
              <w:rPr>
                <w:rFonts w:ascii="Arial" w:eastAsia="Calibri" w:hAnsi="Arial" w:cs="Arial"/>
                <w:b/>
                <w:bCs/>
                <w:color w:val="000000"/>
                <w:sz w:val="16"/>
                <w:lang w:val="es-ES_tradnl"/>
              </w:rPr>
              <w:t>82.062</w:t>
            </w:r>
          </w:p>
        </w:tc>
        <w:tc>
          <w:tcPr>
            <w:tcW w:w="899" w:type="dxa"/>
            <w:vAlign w:val="bottom"/>
          </w:tcPr>
          <w:p w14:paraId="37322E2A" w14:textId="65977CD5" w:rsidR="0010654A" w:rsidRPr="00701F32" w:rsidRDefault="008503E5">
            <w:pPr>
              <w:spacing w:after="160" w:line="259" w:lineRule="auto"/>
              <w:jc w:val="right"/>
              <w:rPr>
                <w:rFonts w:ascii="Arial" w:eastAsia="Calibri" w:hAnsi="Arial" w:cs="Arial"/>
                <w:b/>
                <w:bCs/>
                <w:color w:val="000000"/>
                <w:sz w:val="16"/>
                <w:lang w:val="es-ES_tradnl"/>
              </w:rPr>
            </w:pPr>
            <w:r>
              <w:rPr>
                <w:rFonts w:ascii="Arial" w:eastAsia="Calibri" w:hAnsi="Arial" w:cs="Arial"/>
                <w:b/>
                <w:bCs/>
                <w:color w:val="000000"/>
                <w:sz w:val="16"/>
                <w:lang w:val="es-ES_tradnl"/>
              </w:rPr>
              <w:t>47.981</w:t>
            </w:r>
          </w:p>
        </w:tc>
      </w:tr>
    </w:tbl>
    <w:p w14:paraId="7E466F96" w14:textId="0261696E" w:rsidR="0010654A" w:rsidRDefault="0010654A" w:rsidP="0010654A">
      <w:pPr>
        <w:tabs>
          <w:tab w:val="left" w:pos="142"/>
        </w:tabs>
        <w:spacing w:after="160" w:line="259" w:lineRule="auto"/>
        <w:jc w:val="both"/>
        <w:rPr>
          <w:rFonts w:ascii="Arial" w:eastAsia="Calibri" w:hAnsi="Arial" w:cs="Arial"/>
          <w:color w:val="000000"/>
          <w:sz w:val="16"/>
        </w:rPr>
      </w:pPr>
    </w:p>
    <w:p w14:paraId="6E164333" w14:textId="77777777" w:rsidR="00EB687D" w:rsidRPr="00701F32" w:rsidRDefault="00EB687D" w:rsidP="0010654A">
      <w:pPr>
        <w:tabs>
          <w:tab w:val="left" w:pos="142"/>
        </w:tabs>
        <w:spacing w:after="160" w:line="259" w:lineRule="auto"/>
        <w:jc w:val="both"/>
        <w:rPr>
          <w:rFonts w:ascii="Arial" w:eastAsia="Calibri" w:hAnsi="Arial" w:cs="Arial"/>
          <w:color w:val="000000"/>
          <w:sz w:val="16"/>
        </w:rPr>
      </w:pPr>
    </w:p>
    <w:tbl>
      <w:tblPr>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544"/>
        <w:gridCol w:w="1134"/>
        <w:gridCol w:w="1134"/>
        <w:gridCol w:w="1275"/>
        <w:gridCol w:w="1134"/>
        <w:gridCol w:w="1369"/>
        <w:gridCol w:w="1325"/>
      </w:tblGrid>
      <w:tr w:rsidR="0010654A" w:rsidRPr="00701F32" w14:paraId="6A4E260C" w14:textId="77777777" w:rsidTr="00F30223">
        <w:trPr>
          <w:trHeight w:val="455"/>
          <w:tblHeader/>
        </w:trPr>
        <w:tc>
          <w:tcPr>
            <w:tcW w:w="2544" w:type="dxa"/>
            <w:vMerge w:val="restart"/>
            <w:shd w:val="clear" w:color="auto" w:fill="auto"/>
            <w:vAlign w:val="center"/>
            <w:hideMark/>
          </w:tcPr>
          <w:p w14:paraId="6F33BCD5" w14:textId="77777777" w:rsidR="0010654A" w:rsidRPr="00701F32" w:rsidRDefault="0010654A" w:rsidP="002E5672">
            <w:pPr>
              <w:tabs>
                <w:tab w:val="left" w:pos="142"/>
              </w:tabs>
              <w:jc w:val="center"/>
              <w:rPr>
                <w:rFonts w:ascii="Arial" w:hAnsi="Arial" w:cs="Arial"/>
                <w:b/>
                <w:color w:val="000000" w:themeColor="text1"/>
                <w:sz w:val="16"/>
                <w:szCs w:val="16"/>
                <w:lang w:eastAsia="es-AR"/>
              </w:rPr>
            </w:pPr>
            <w:r w:rsidRPr="00701F32">
              <w:rPr>
                <w:rFonts w:ascii="Arial" w:hAnsi="Arial" w:cs="Arial"/>
                <w:b/>
                <w:color w:val="000000" w:themeColor="text1"/>
                <w:sz w:val="16"/>
                <w:szCs w:val="16"/>
                <w:lang w:eastAsia="es-AR"/>
              </w:rPr>
              <w:t>Sociedades</w:t>
            </w:r>
          </w:p>
        </w:tc>
        <w:tc>
          <w:tcPr>
            <w:tcW w:w="7371" w:type="dxa"/>
            <w:gridSpan w:val="6"/>
            <w:vAlign w:val="center"/>
          </w:tcPr>
          <w:p w14:paraId="2EE03496" w14:textId="431D9014" w:rsidR="0010654A" w:rsidRPr="00701F32" w:rsidRDefault="003C2633" w:rsidP="00886AE1">
            <w:pPr>
              <w:jc w:val="center"/>
              <w:rPr>
                <w:rFonts w:ascii="Arial" w:hAnsi="Arial" w:cs="Arial"/>
                <w:b/>
                <w:color w:val="000000" w:themeColor="text1"/>
                <w:sz w:val="16"/>
                <w:szCs w:val="16"/>
              </w:rPr>
            </w:pPr>
            <w:r>
              <w:rPr>
                <w:rFonts w:ascii="Arial" w:hAnsi="Arial" w:cs="Arial"/>
                <w:b/>
                <w:color w:val="000000" w:themeColor="text1"/>
                <w:sz w:val="16"/>
                <w:szCs w:val="16"/>
              </w:rPr>
              <w:t>3</w:t>
            </w:r>
            <w:r w:rsidR="00FE2245">
              <w:rPr>
                <w:rFonts w:ascii="Arial" w:hAnsi="Arial" w:cs="Arial"/>
                <w:b/>
                <w:color w:val="000000" w:themeColor="text1"/>
                <w:sz w:val="16"/>
                <w:szCs w:val="16"/>
              </w:rPr>
              <w:t>1</w:t>
            </w:r>
            <w:r>
              <w:rPr>
                <w:rFonts w:ascii="Arial" w:hAnsi="Arial" w:cs="Arial"/>
                <w:b/>
                <w:color w:val="000000" w:themeColor="text1"/>
                <w:sz w:val="16"/>
                <w:szCs w:val="16"/>
              </w:rPr>
              <w:t>/</w:t>
            </w:r>
            <w:r w:rsidR="00FE2245">
              <w:rPr>
                <w:rFonts w:ascii="Arial" w:hAnsi="Arial" w:cs="Arial"/>
                <w:b/>
                <w:color w:val="000000" w:themeColor="text1"/>
                <w:sz w:val="16"/>
                <w:szCs w:val="16"/>
              </w:rPr>
              <w:t>12</w:t>
            </w:r>
            <w:r>
              <w:rPr>
                <w:rFonts w:ascii="Arial" w:hAnsi="Arial" w:cs="Arial"/>
                <w:b/>
                <w:color w:val="000000" w:themeColor="text1"/>
                <w:sz w:val="16"/>
                <w:szCs w:val="16"/>
              </w:rPr>
              <w:t>/2018</w:t>
            </w:r>
          </w:p>
        </w:tc>
      </w:tr>
      <w:tr w:rsidR="0010654A" w:rsidRPr="00701F32" w14:paraId="70C5E335" w14:textId="77777777" w:rsidTr="00F30223">
        <w:trPr>
          <w:trHeight w:val="588"/>
          <w:tblHeader/>
        </w:trPr>
        <w:tc>
          <w:tcPr>
            <w:tcW w:w="2544" w:type="dxa"/>
            <w:vMerge/>
            <w:shd w:val="clear" w:color="auto" w:fill="auto"/>
            <w:vAlign w:val="center"/>
            <w:hideMark/>
          </w:tcPr>
          <w:p w14:paraId="5316861B" w14:textId="77777777" w:rsidR="0010654A" w:rsidRPr="00701F32" w:rsidRDefault="0010654A" w:rsidP="002E5672">
            <w:pPr>
              <w:tabs>
                <w:tab w:val="left" w:pos="142"/>
              </w:tabs>
              <w:jc w:val="center"/>
              <w:rPr>
                <w:rFonts w:ascii="Arial" w:hAnsi="Arial" w:cs="Arial"/>
                <w:color w:val="000000" w:themeColor="text1"/>
                <w:sz w:val="16"/>
                <w:szCs w:val="16"/>
                <w:lang w:eastAsia="es-AR"/>
              </w:rPr>
            </w:pPr>
          </w:p>
        </w:tc>
        <w:tc>
          <w:tcPr>
            <w:tcW w:w="1134" w:type="dxa"/>
            <w:vAlign w:val="center"/>
          </w:tcPr>
          <w:p w14:paraId="22239B4B"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Ingresos por Intereses</w:t>
            </w:r>
          </w:p>
        </w:tc>
        <w:tc>
          <w:tcPr>
            <w:tcW w:w="1134" w:type="dxa"/>
            <w:vAlign w:val="center"/>
          </w:tcPr>
          <w:p w14:paraId="4B094BC9"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Egresos por intereses</w:t>
            </w:r>
          </w:p>
        </w:tc>
        <w:tc>
          <w:tcPr>
            <w:tcW w:w="1275" w:type="dxa"/>
            <w:shd w:val="clear" w:color="auto" w:fill="auto"/>
            <w:vAlign w:val="center"/>
          </w:tcPr>
          <w:p w14:paraId="3EAD390F"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Ingresos por Comisiones</w:t>
            </w:r>
          </w:p>
        </w:tc>
        <w:tc>
          <w:tcPr>
            <w:tcW w:w="1134" w:type="dxa"/>
            <w:vAlign w:val="center"/>
          </w:tcPr>
          <w:p w14:paraId="1672C287"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Egresos por Comisiones</w:t>
            </w:r>
          </w:p>
        </w:tc>
        <w:tc>
          <w:tcPr>
            <w:tcW w:w="1369" w:type="dxa"/>
            <w:vAlign w:val="center"/>
          </w:tcPr>
          <w:p w14:paraId="4B9D72DC"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Gastos de Administración</w:t>
            </w:r>
          </w:p>
        </w:tc>
        <w:tc>
          <w:tcPr>
            <w:tcW w:w="1325" w:type="dxa"/>
            <w:vAlign w:val="center"/>
          </w:tcPr>
          <w:p w14:paraId="724C3623" w14:textId="77777777" w:rsidR="0010654A" w:rsidRPr="00701F32" w:rsidRDefault="0010654A" w:rsidP="002E5672">
            <w:pPr>
              <w:jc w:val="center"/>
              <w:rPr>
                <w:rFonts w:ascii="Arial" w:hAnsi="Arial" w:cs="Arial"/>
                <w:b/>
                <w:color w:val="000000" w:themeColor="text1"/>
                <w:sz w:val="16"/>
                <w:szCs w:val="16"/>
              </w:rPr>
            </w:pPr>
            <w:r w:rsidRPr="00701F32">
              <w:rPr>
                <w:rFonts w:ascii="Arial" w:hAnsi="Arial" w:cs="Arial"/>
                <w:b/>
                <w:color w:val="000000" w:themeColor="text1"/>
                <w:sz w:val="16"/>
                <w:szCs w:val="16"/>
              </w:rPr>
              <w:t>Otros Ingresos Operativos</w:t>
            </w:r>
          </w:p>
        </w:tc>
      </w:tr>
      <w:tr w:rsidR="00E23D63" w:rsidRPr="00701F32" w14:paraId="1C9A1339" w14:textId="77777777" w:rsidTr="00F30223">
        <w:trPr>
          <w:trHeight w:val="455"/>
        </w:trPr>
        <w:tc>
          <w:tcPr>
            <w:tcW w:w="2544" w:type="dxa"/>
            <w:shd w:val="clear" w:color="auto" w:fill="auto"/>
            <w:vAlign w:val="bottom"/>
            <w:hideMark/>
          </w:tcPr>
          <w:p w14:paraId="72AA6A40" w14:textId="77777777" w:rsidR="00E23D63" w:rsidRPr="00701F32" w:rsidRDefault="00E23D63" w:rsidP="00E23D63">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lang w:eastAsia="es-AR"/>
              </w:rPr>
              <w:t>Cordial Cía. Financiera SA</w:t>
            </w:r>
          </w:p>
        </w:tc>
        <w:tc>
          <w:tcPr>
            <w:tcW w:w="1134" w:type="dxa"/>
            <w:vAlign w:val="bottom"/>
          </w:tcPr>
          <w:p w14:paraId="0EBB1F26" w14:textId="774911A9"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rPr>
              <w:t>1.145</w:t>
            </w:r>
            <w:r w:rsidRPr="00701F32">
              <w:rPr>
                <w:rFonts w:ascii="Arial" w:eastAsia="Calibri" w:hAnsi="Arial" w:cs="Arial"/>
                <w:color w:val="000000"/>
                <w:sz w:val="16"/>
              </w:rPr>
              <w:t>.</w:t>
            </w:r>
            <w:r>
              <w:rPr>
                <w:rFonts w:ascii="Arial" w:eastAsia="Calibri" w:hAnsi="Arial" w:cs="Arial"/>
                <w:color w:val="000000"/>
                <w:sz w:val="16"/>
              </w:rPr>
              <w:t>039</w:t>
            </w:r>
          </w:p>
        </w:tc>
        <w:tc>
          <w:tcPr>
            <w:tcW w:w="1134" w:type="dxa"/>
            <w:vAlign w:val="bottom"/>
          </w:tcPr>
          <w:p w14:paraId="3BA6BF0F" w14:textId="6FDD4FE1"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rPr>
              <w:t>8</w:t>
            </w:r>
            <w:r w:rsidRPr="00701F32">
              <w:rPr>
                <w:rFonts w:ascii="Arial" w:eastAsia="Calibri" w:hAnsi="Arial" w:cs="Arial"/>
                <w:color w:val="000000"/>
                <w:sz w:val="16"/>
              </w:rPr>
              <w:t>6.</w:t>
            </w:r>
            <w:r>
              <w:rPr>
                <w:rFonts w:ascii="Arial" w:eastAsia="Calibri" w:hAnsi="Arial" w:cs="Arial"/>
                <w:color w:val="000000"/>
                <w:sz w:val="16"/>
              </w:rPr>
              <w:t>8</w:t>
            </w:r>
            <w:r w:rsidRPr="00701F32">
              <w:rPr>
                <w:rFonts w:ascii="Arial" w:eastAsia="Calibri" w:hAnsi="Arial" w:cs="Arial"/>
                <w:color w:val="000000"/>
                <w:sz w:val="16"/>
              </w:rPr>
              <w:t>3</w:t>
            </w:r>
            <w:r>
              <w:rPr>
                <w:rFonts w:ascii="Arial" w:eastAsia="Calibri" w:hAnsi="Arial" w:cs="Arial"/>
                <w:color w:val="000000"/>
                <w:sz w:val="16"/>
              </w:rPr>
              <w:t>0</w:t>
            </w:r>
          </w:p>
        </w:tc>
        <w:tc>
          <w:tcPr>
            <w:tcW w:w="1275" w:type="dxa"/>
            <w:shd w:val="clear" w:color="auto" w:fill="auto"/>
            <w:vAlign w:val="bottom"/>
          </w:tcPr>
          <w:p w14:paraId="06FC7C84" w14:textId="12F396AE"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rPr>
              <w:t>3</w:t>
            </w:r>
            <w:r w:rsidRPr="00701F32">
              <w:rPr>
                <w:rFonts w:ascii="Arial" w:eastAsia="Calibri" w:hAnsi="Arial" w:cs="Arial"/>
                <w:color w:val="000000"/>
                <w:sz w:val="16"/>
              </w:rPr>
              <w:t>.</w:t>
            </w:r>
            <w:r>
              <w:rPr>
                <w:rFonts w:ascii="Arial" w:eastAsia="Calibri" w:hAnsi="Arial" w:cs="Arial"/>
                <w:color w:val="000000"/>
                <w:sz w:val="16"/>
              </w:rPr>
              <w:t>201</w:t>
            </w:r>
          </w:p>
        </w:tc>
        <w:tc>
          <w:tcPr>
            <w:tcW w:w="1134" w:type="dxa"/>
            <w:vAlign w:val="bottom"/>
          </w:tcPr>
          <w:p w14:paraId="1F41942B" w14:textId="593895C6"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369" w:type="dxa"/>
            <w:vAlign w:val="bottom"/>
          </w:tcPr>
          <w:p w14:paraId="31DE02A6" w14:textId="4A2CE9B1"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325" w:type="dxa"/>
            <w:vAlign w:val="bottom"/>
          </w:tcPr>
          <w:p w14:paraId="2D1869A8" w14:textId="0D890083"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rPr>
              <w:t>36</w:t>
            </w:r>
          </w:p>
        </w:tc>
      </w:tr>
      <w:tr w:rsidR="00E23D63" w:rsidRPr="00701F32" w14:paraId="78CBE77F" w14:textId="77777777" w:rsidTr="00F30223">
        <w:trPr>
          <w:trHeight w:val="455"/>
        </w:trPr>
        <w:tc>
          <w:tcPr>
            <w:tcW w:w="2544" w:type="dxa"/>
            <w:shd w:val="clear" w:color="auto" w:fill="auto"/>
            <w:vAlign w:val="bottom"/>
            <w:hideMark/>
          </w:tcPr>
          <w:p w14:paraId="5DE0263B" w14:textId="77777777" w:rsidR="00E23D63" w:rsidRPr="00701F32" w:rsidRDefault="00E23D63" w:rsidP="00E23D63">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lang w:eastAsia="es-AR"/>
              </w:rPr>
              <w:t>Sofital S.A.F. e I.I.</w:t>
            </w:r>
          </w:p>
        </w:tc>
        <w:tc>
          <w:tcPr>
            <w:tcW w:w="1134" w:type="dxa"/>
            <w:vAlign w:val="bottom"/>
          </w:tcPr>
          <w:p w14:paraId="7B278BEF" w14:textId="07D500A9"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134" w:type="dxa"/>
            <w:vAlign w:val="bottom"/>
          </w:tcPr>
          <w:p w14:paraId="37303C3F" w14:textId="06F3CA19"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 </w:t>
            </w:r>
          </w:p>
        </w:tc>
        <w:tc>
          <w:tcPr>
            <w:tcW w:w="1275" w:type="dxa"/>
            <w:shd w:val="clear" w:color="auto" w:fill="auto"/>
            <w:vAlign w:val="bottom"/>
          </w:tcPr>
          <w:p w14:paraId="5084106E" w14:textId="081A890E"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3</w:t>
            </w:r>
            <w:r>
              <w:rPr>
                <w:rFonts w:ascii="Arial" w:eastAsia="Calibri" w:hAnsi="Arial" w:cs="Arial"/>
                <w:color w:val="000000"/>
                <w:sz w:val="16"/>
              </w:rPr>
              <w:t>1</w:t>
            </w:r>
          </w:p>
        </w:tc>
        <w:tc>
          <w:tcPr>
            <w:tcW w:w="1134" w:type="dxa"/>
            <w:vAlign w:val="bottom"/>
          </w:tcPr>
          <w:p w14:paraId="75773A1A" w14:textId="4FA4F1E0"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 </w:t>
            </w:r>
          </w:p>
        </w:tc>
        <w:tc>
          <w:tcPr>
            <w:tcW w:w="1369" w:type="dxa"/>
            <w:vAlign w:val="bottom"/>
          </w:tcPr>
          <w:p w14:paraId="79FCF818" w14:textId="7F16870F"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325" w:type="dxa"/>
            <w:vAlign w:val="bottom"/>
          </w:tcPr>
          <w:p w14:paraId="78C6AC46" w14:textId="55EBFFD8"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 </w:t>
            </w:r>
          </w:p>
        </w:tc>
      </w:tr>
      <w:tr w:rsidR="00E23D63" w:rsidRPr="00701F32" w14:paraId="2698A550" w14:textId="77777777" w:rsidTr="00F30223">
        <w:trPr>
          <w:trHeight w:val="455"/>
        </w:trPr>
        <w:tc>
          <w:tcPr>
            <w:tcW w:w="2544" w:type="dxa"/>
            <w:shd w:val="clear" w:color="auto" w:fill="auto"/>
            <w:vAlign w:val="bottom"/>
            <w:hideMark/>
          </w:tcPr>
          <w:p w14:paraId="417CECE5" w14:textId="77777777" w:rsidR="00E23D63" w:rsidRPr="00701F32" w:rsidRDefault="00E23D63" w:rsidP="00E23D63">
            <w:pPr>
              <w:rPr>
                <w:rFonts w:ascii="Arial" w:hAnsi="Arial" w:cs="Arial"/>
                <w:color w:val="000000" w:themeColor="text1"/>
                <w:sz w:val="16"/>
                <w:szCs w:val="16"/>
              </w:rPr>
            </w:pPr>
            <w:r w:rsidRPr="00701F32">
              <w:rPr>
                <w:rFonts w:ascii="Arial" w:hAnsi="Arial" w:cs="Arial"/>
                <w:color w:val="000000" w:themeColor="text1"/>
                <w:sz w:val="16"/>
                <w:szCs w:val="16"/>
              </w:rPr>
              <w:t>Espacio Cordial S.A.</w:t>
            </w:r>
          </w:p>
        </w:tc>
        <w:tc>
          <w:tcPr>
            <w:tcW w:w="1134" w:type="dxa"/>
            <w:vAlign w:val="bottom"/>
          </w:tcPr>
          <w:p w14:paraId="7098ED79" w14:textId="274F6A3D"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28</w:t>
            </w:r>
          </w:p>
        </w:tc>
        <w:tc>
          <w:tcPr>
            <w:tcW w:w="1134" w:type="dxa"/>
            <w:vAlign w:val="bottom"/>
          </w:tcPr>
          <w:p w14:paraId="35DB2475" w14:textId="477792E9"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 </w:t>
            </w:r>
          </w:p>
        </w:tc>
        <w:tc>
          <w:tcPr>
            <w:tcW w:w="1275" w:type="dxa"/>
            <w:shd w:val="clear" w:color="auto" w:fill="auto"/>
            <w:vAlign w:val="bottom"/>
          </w:tcPr>
          <w:p w14:paraId="33126CC1" w14:textId="61EA377D"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1</w:t>
            </w:r>
            <w:r>
              <w:rPr>
                <w:rFonts w:ascii="Arial" w:eastAsia="Calibri" w:hAnsi="Arial" w:cs="Arial"/>
                <w:color w:val="000000"/>
                <w:sz w:val="16"/>
              </w:rPr>
              <w:t>31</w:t>
            </w:r>
          </w:p>
        </w:tc>
        <w:tc>
          <w:tcPr>
            <w:tcW w:w="1134" w:type="dxa"/>
            <w:vAlign w:val="bottom"/>
          </w:tcPr>
          <w:p w14:paraId="64E2F031" w14:textId="7B784A0C"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369" w:type="dxa"/>
            <w:vAlign w:val="bottom"/>
          </w:tcPr>
          <w:p w14:paraId="71257DF6" w14:textId="15C7F41E"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325" w:type="dxa"/>
            <w:vAlign w:val="bottom"/>
          </w:tcPr>
          <w:p w14:paraId="465E315D" w14:textId="43C64897"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1</w:t>
            </w:r>
            <w:r>
              <w:rPr>
                <w:rFonts w:ascii="Arial" w:eastAsia="Calibri" w:hAnsi="Arial" w:cs="Arial"/>
                <w:color w:val="000000"/>
                <w:sz w:val="16"/>
              </w:rPr>
              <w:t>63</w:t>
            </w:r>
          </w:p>
        </w:tc>
      </w:tr>
      <w:tr w:rsidR="00E23D63" w:rsidRPr="00701F32" w14:paraId="5B24BFA0" w14:textId="77777777" w:rsidTr="00F30223">
        <w:trPr>
          <w:trHeight w:val="455"/>
        </w:trPr>
        <w:tc>
          <w:tcPr>
            <w:tcW w:w="2544" w:type="dxa"/>
            <w:shd w:val="clear" w:color="auto" w:fill="auto"/>
            <w:vAlign w:val="bottom"/>
          </w:tcPr>
          <w:p w14:paraId="490AB073" w14:textId="77777777" w:rsidR="00E23D63" w:rsidRPr="00701F32" w:rsidRDefault="00E23D63" w:rsidP="00E23D63">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rPr>
              <w:t>Supervielle Seguros S.A.</w:t>
            </w:r>
          </w:p>
        </w:tc>
        <w:tc>
          <w:tcPr>
            <w:tcW w:w="1134" w:type="dxa"/>
            <w:vAlign w:val="bottom"/>
          </w:tcPr>
          <w:p w14:paraId="3A200312" w14:textId="0B5C8B17"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lang w:val="es-ES_tradnl"/>
              </w:rPr>
              <w:t>-</w:t>
            </w:r>
          </w:p>
        </w:tc>
        <w:tc>
          <w:tcPr>
            <w:tcW w:w="1134" w:type="dxa"/>
            <w:vAlign w:val="bottom"/>
          </w:tcPr>
          <w:p w14:paraId="79229477" w14:textId="4C0F0BAD"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 </w:t>
            </w:r>
          </w:p>
        </w:tc>
        <w:tc>
          <w:tcPr>
            <w:tcW w:w="1275" w:type="dxa"/>
            <w:shd w:val="clear" w:color="auto" w:fill="auto"/>
            <w:vAlign w:val="bottom"/>
          </w:tcPr>
          <w:p w14:paraId="3EA68BA5" w14:textId="413F463B"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rPr>
              <w:t>117</w:t>
            </w:r>
            <w:r w:rsidRPr="00701F32">
              <w:rPr>
                <w:rFonts w:ascii="Arial" w:eastAsia="Calibri" w:hAnsi="Arial" w:cs="Arial"/>
                <w:color w:val="000000"/>
                <w:sz w:val="16"/>
              </w:rPr>
              <w:t>.</w:t>
            </w:r>
            <w:r>
              <w:rPr>
                <w:rFonts w:ascii="Arial" w:eastAsia="Calibri" w:hAnsi="Arial" w:cs="Arial"/>
                <w:color w:val="000000"/>
                <w:sz w:val="16"/>
              </w:rPr>
              <w:t>816</w:t>
            </w:r>
          </w:p>
        </w:tc>
        <w:tc>
          <w:tcPr>
            <w:tcW w:w="1134" w:type="dxa"/>
            <w:vAlign w:val="bottom"/>
          </w:tcPr>
          <w:p w14:paraId="164820DF" w14:textId="559A921A"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369" w:type="dxa"/>
            <w:vAlign w:val="bottom"/>
          </w:tcPr>
          <w:p w14:paraId="6821BC03" w14:textId="2E9C87F8"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rPr>
              <w:t>3</w:t>
            </w:r>
            <w:r w:rsidRPr="00701F32">
              <w:rPr>
                <w:rFonts w:ascii="Arial" w:eastAsia="Calibri" w:hAnsi="Arial" w:cs="Arial"/>
                <w:color w:val="000000"/>
                <w:sz w:val="16"/>
              </w:rPr>
              <w:t>.</w:t>
            </w:r>
            <w:r>
              <w:rPr>
                <w:rFonts w:ascii="Arial" w:eastAsia="Calibri" w:hAnsi="Arial" w:cs="Arial"/>
                <w:color w:val="000000"/>
                <w:sz w:val="16"/>
              </w:rPr>
              <w:t>408</w:t>
            </w:r>
          </w:p>
        </w:tc>
        <w:tc>
          <w:tcPr>
            <w:tcW w:w="1325" w:type="dxa"/>
            <w:vAlign w:val="bottom"/>
          </w:tcPr>
          <w:p w14:paraId="7136B759" w14:textId="484250CF"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rPr>
              <w:t>10</w:t>
            </w:r>
          </w:p>
        </w:tc>
      </w:tr>
      <w:tr w:rsidR="00E23D63" w:rsidRPr="00701F32" w14:paraId="08BB4CD0" w14:textId="77777777" w:rsidTr="00F30223">
        <w:trPr>
          <w:trHeight w:val="455"/>
        </w:trPr>
        <w:tc>
          <w:tcPr>
            <w:tcW w:w="2544" w:type="dxa"/>
            <w:shd w:val="clear" w:color="auto" w:fill="auto"/>
            <w:vAlign w:val="bottom"/>
            <w:hideMark/>
          </w:tcPr>
          <w:p w14:paraId="3D3D6727" w14:textId="77777777" w:rsidR="00E23D63" w:rsidRPr="00701F32" w:rsidRDefault="00E23D63" w:rsidP="00E23D63">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lang w:eastAsia="es-AR"/>
              </w:rPr>
              <w:t>Tarjeta Automática S.A.</w:t>
            </w:r>
          </w:p>
        </w:tc>
        <w:tc>
          <w:tcPr>
            <w:tcW w:w="1134" w:type="dxa"/>
            <w:vAlign w:val="bottom"/>
          </w:tcPr>
          <w:p w14:paraId="77AB05ED" w14:textId="5F475825"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5.</w:t>
            </w:r>
            <w:r>
              <w:rPr>
                <w:rFonts w:ascii="Arial" w:eastAsia="Calibri" w:hAnsi="Arial" w:cs="Arial"/>
                <w:color w:val="000000"/>
                <w:sz w:val="16"/>
              </w:rPr>
              <w:t>4</w:t>
            </w:r>
            <w:r w:rsidRPr="00701F32">
              <w:rPr>
                <w:rFonts w:ascii="Arial" w:eastAsia="Calibri" w:hAnsi="Arial" w:cs="Arial"/>
                <w:color w:val="000000"/>
                <w:sz w:val="16"/>
              </w:rPr>
              <w:t>3</w:t>
            </w:r>
            <w:r>
              <w:rPr>
                <w:rFonts w:ascii="Arial" w:eastAsia="Calibri" w:hAnsi="Arial" w:cs="Arial"/>
                <w:color w:val="000000"/>
                <w:sz w:val="16"/>
              </w:rPr>
              <w:t>8</w:t>
            </w:r>
          </w:p>
        </w:tc>
        <w:tc>
          <w:tcPr>
            <w:tcW w:w="1134" w:type="dxa"/>
            <w:vAlign w:val="bottom"/>
          </w:tcPr>
          <w:p w14:paraId="770F4F3A" w14:textId="53DF29DB"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275" w:type="dxa"/>
            <w:shd w:val="clear" w:color="auto" w:fill="auto"/>
            <w:vAlign w:val="bottom"/>
          </w:tcPr>
          <w:p w14:paraId="215F6746" w14:textId="74972A77"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rPr>
              <w:t>521</w:t>
            </w:r>
          </w:p>
        </w:tc>
        <w:tc>
          <w:tcPr>
            <w:tcW w:w="1134" w:type="dxa"/>
            <w:vAlign w:val="bottom"/>
          </w:tcPr>
          <w:p w14:paraId="64099E00" w14:textId="02535E14"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 -</w:t>
            </w:r>
          </w:p>
        </w:tc>
        <w:tc>
          <w:tcPr>
            <w:tcW w:w="1369" w:type="dxa"/>
            <w:vAlign w:val="bottom"/>
          </w:tcPr>
          <w:p w14:paraId="5FFF6155" w14:textId="44047B24"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325" w:type="dxa"/>
            <w:vAlign w:val="bottom"/>
          </w:tcPr>
          <w:p w14:paraId="6345D2F8" w14:textId="20B7294A"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 -</w:t>
            </w:r>
          </w:p>
        </w:tc>
      </w:tr>
      <w:tr w:rsidR="00E23D63" w:rsidRPr="00701F32" w14:paraId="113DF8D8" w14:textId="77777777" w:rsidTr="00F30223">
        <w:trPr>
          <w:trHeight w:val="455"/>
        </w:trPr>
        <w:tc>
          <w:tcPr>
            <w:tcW w:w="2544" w:type="dxa"/>
            <w:shd w:val="clear" w:color="auto" w:fill="auto"/>
            <w:vAlign w:val="bottom"/>
            <w:hideMark/>
          </w:tcPr>
          <w:p w14:paraId="147E7D70" w14:textId="77777777" w:rsidR="00E23D63" w:rsidRPr="00701F32" w:rsidRDefault="00E23D63" w:rsidP="00E23D63">
            <w:pPr>
              <w:tabs>
                <w:tab w:val="left" w:pos="142"/>
              </w:tabs>
              <w:rPr>
                <w:rFonts w:ascii="Arial" w:hAnsi="Arial" w:cs="Arial"/>
                <w:color w:val="000000" w:themeColor="text1"/>
                <w:sz w:val="16"/>
                <w:szCs w:val="16"/>
                <w:lang w:val="en-US" w:eastAsia="es-AR"/>
              </w:rPr>
            </w:pPr>
            <w:r w:rsidRPr="00701F32">
              <w:rPr>
                <w:rFonts w:ascii="Arial" w:hAnsi="Arial" w:cs="Arial"/>
                <w:color w:val="000000" w:themeColor="text1"/>
                <w:sz w:val="16"/>
                <w:szCs w:val="16"/>
                <w:lang w:val="en-US" w:eastAsia="es-AR"/>
              </w:rPr>
              <w:t>Supervielle Asset Management S.A.</w:t>
            </w:r>
          </w:p>
        </w:tc>
        <w:tc>
          <w:tcPr>
            <w:tcW w:w="1134" w:type="dxa"/>
            <w:vAlign w:val="bottom"/>
          </w:tcPr>
          <w:p w14:paraId="539EFC2A" w14:textId="7ADAAD93"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2</w:t>
            </w:r>
          </w:p>
        </w:tc>
        <w:tc>
          <w:tcPr>
            <w:tcW w:w="1134" w:type="dxa"/>
            <w:vAlign w:val="bottom"/>
          </w:tcPr>
          <w:p w14:paraId="153CC63B" w14:textId="21C8C949"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275" w:type="dxa"/>
            <w:shd w:val="clear" w:color="auto" w:fill="auto"/>
            <w:vAlign w:val="bottom"/>
          </w:tcPr>
          <w:p w14:paraId="578D7948" w14:textId="319852B2"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2</w:t>
            </w:r>
            <w:r>
              <w:rPr>
                <w:rFonts w:ascii="Arial" w:eastAsia="Calibri" w:hAnsi="Arial" w:cs="Arial"/>
                <w:color w:val="000000"/>
                <w:sz w:val="16"/>
              </w:rPr>
              <w:t>16</w:t>
            </w:r>
          </w:p>
        </w:tc>
        <w:tc>
          <w:tcPr>
            <w:tcW w:w="1134" w:type="dxa"/>
            <w:vAlign w:val="bottom"/>
          </w:tcPr>
          <w:p w14:paraId="6972B3AB" w14:textId="65FE7F03"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 -</w:t>
            </w:r>
          </w:p>
        </w:tc>
        <w:tc>
          <w:tcPr>
            <w:tcW w:w="1369" w:type="dxa"/>
            <w:vAlign w:val="bottom"/>
          </w:tcPr>
          <w:p w14:paraId="70639244" w14:textId="256586A8"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325" w:type="dxa"/>
            <w:vAlign w:val="bottom"/>
          </w:tcPr>
          <w:p w14:paraId="36EF312A" w14:textId="63E34A95"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rPr>
              <w:t>2</w:t>
            </w:r>
            <w:r w:rsidRPr="00701F32">
              <w:rPr>
                <w:rFonts w:ascii="Arial" w:eastAsia="Calibri" w:hAnsi="Arial" w:cs="Arial"/>
                <w:color w:val="000000"/>
                <w:sz w:val="16"/>
              </w:rPr>
              <w:t>.</w:t>
            </w:r>
            <w:r>
              <w:rPr>
                <w:rFonts w:ascii="Arial" w:eastAsia="Calibri" w:hAnsi="Arial" w:cs="Arial"/>
                <w:color w:val="000000"/>
                <w:sz w:val="16"/>
              </w:rPr>
              <w:t>0</w:t>
            </w:r>
            <w:r w:rsidRPr="00701F32">
              <w:rPr>
                <w:rFonts w:ascii="Arial" w:eastAsia="Calibri" w:hAnsi="Arial" w:cs="Arial"/>
                <w:color w:val="000000"/>
                <w:sz w:val="16"/>
              </w:rPr>
              <w:t>4</w:t>
            </w:r>
            <w:r>
              <w:rPr>
                <w:rFonts w:ascii="Arial" w:eastAsia="Calibri" w:hAnsi="Arial" w:cs="Arial"/>
                <w:color w:val="000000"/>
                <w:sz w:val="16"/>
              </w:rPr>
              <w:t>5</w:t>
            </w:r>
          </w:p>
        </w:tc>
      </w:tr>
      <w:tr w:rsidR="00E23D63" w:rsidRPr="00701F32" w14:paraId="3491A0AC" w14:textId="77777777" w:rsidTr="00F30223">
        <w:trPr>
          <w:trHeight w:val="455"/>
        </w:trPr>
        <w:tc>
          <w:tcPr>
            <w:tcW w:w="2544" w:type="dxa"/>
            <w:shd w:val="clear" w:color="auto" w:fill="auto"/>
            <w:vAlign w:val="bottom"/>
          </w:tcPr>
          <w:p w14:paraId="1BA42534" w14:textId="7C3A4E35" w:rsidR="00E23D63" w:rsidRPr="0023020F" w:rsidRDefault="00E23D63" w:rsidP="00E23D63">
            <w:pPr>
              <w:tabs>
                <w:tab w:val="left" w:pos="142"/>
              </w:tabs>
              <w:rPr>
                <w:rFonts w:ascii="Arial" w:hAnsi="Arial" w:cs="Arial"/>
                <w:color w:val="000000" w:themeColor="text1"/>
                <w:sz w:val="16"/>
                <w:szCs w:val="16"/>
                <w:lang w:val="en-US" w:eastAsia="es-AR"/>
              </w:rPr>
            </w:pPr>
            <w:r w:rsidRPr="00701F32">
              <w:rPr>
                <w:rFonts w:ascii="Arial" w:eastAsia="Calibri" w:hAnsi="Arial" w:cs="Arial"/>
                <w:color w:val="000000"/>
                <w:sz w:val="16"/>
                <w:lang w:val="en-US" w:eastAsia="es-AR"/>
              </w:rPr>
              <w:t>Invertir OnLine S.A.</w:t>
            </w:r>
            <w:r>
              <w:rPr>
                <w:rFonts w:ascii="Arial" w:eastAsia="Calibri" w:hAnsi="Arial" w:cs="Arial"/>
                <w:color w:val="000000"/>
                <w:sz w:val="16"/>
                <w:lang w:val="en-US" w:eastAsia="es-AR"/>
              </w:rPr>
              <w:t>U.</w:t>
            </w:r>
          </w:p>
        </w:tc>
        <w:tc>
          <w:tcPr>
            <w:tcW w:w="1134" w:type="dxa"/>
            <w:vAlign w:val="bottom"/>
          </w:tcPr>
          <w:p w14:paraId="0333FBE2" w14:textId="254D7A43" w:rsidR="00E23D63" w:rsidRDefault="00E23D63" w:rsidP="00E23D63">
            <w:pPr>
              <w:jc w:val="right"/>
              <w:rPr>
                <w:rFonts w:ascii="Arial" w:hAnsi="Arial" w:cs="Arial"/>
                <w:color w:val="000000" w:themeColor="text1"/>
                <w:sz w:val="16"/>
                <w:szCs w:val="16"/>
              </w:rPr>
            </w:pPr>
            <w:r w:rsidRPr="00701F32">
              <w:rPr>
                <w:rFonts w:ascii="Arial" w:eastAsia="Calibri" w:hAnsi="Arial" w:cs="Arial"/>
                <w:color w:val="000000"/>
                <w:sz w:val="16"/>
              </w:rPr>
              <w:t>-</w:t>
            </w:r>
          </w:p>
        </w:tc>
        <w:tc>
          <w:tcPr>
            <w:tcW w:w="1134" w:type="dxa"/>
            <w:vAlign w:val="bottom"/>
          </w:tcPr>
          <w:p w14:paraId="7C52C538" w14:textId="578B7DC4" w:rsidR="00E23D63" w:rsidRDefault="00E23D63" w:rsidP="00E23D63">
            <w:pPr>
              <w:jc w:val="right"/>
              <w:rPr>
                <w:rFonts w:ascii="Arial" w:hAnsi="Arial" w:cs="Arial"/>
                <w:color w:val="000000" w:themeColor="text1"/>
                <w:sz w:val="16"/>
                <w:szCs w:val="16"/>
              </w:rPr>
            </w:pPr>
            <w:r w:rsidRPr="00701F32">
              <w:rPr>
                <w:rFonts w:ascii="Arial" w:eastAsia="Calibri" w:hAnsi="Arial" w:cs="Arial"/>
                <w:color w:val="000000"/>
                <w:sz w:val="16"/>
              </w:rPr>
              <w:t>4</w:t>
            </w:r>
            <w:r>
              <w:rPr>
                <w:rFonts w:ascii="Arial" w:eastAsia="Calibri" w:hAnsi="Arial" w:cs="Arial"/>
                <w:color w:val="000000"/>
                <w:sz w:val="16"/>
              </w:rPr>
              <w:t>6</w:t>
            </w:r>
            <w:r w:rsidRPr="00701F32">
              <w:rPr>
                <w:rFonts w:ascii="Arial" w:eastAsia="Calibri" w:hAnsi="Arial" w:cs="Arial"/>
                <w:color w:val="000000"/>
                <w:sz w:val="16"/>
              </w:rPr>
              <w:t>.9</w:t>
            </w:r>
            <w:r>
              <w:rPr>
                <w:rFonts w:ascii="Arial" w:eastAsia="Calibri" w:hAnsi="Arial" w:cs="Arial"/>
                <w:color w:val="000000"/>
                <w:sz w:val="16"/>
              </w:rPr>
              <w:t>20</w:t>
            </w:r>
          </w:p>
        </w:tc>
        <w:tc>
          <w:tcPr>
            <w:tcW w:w="1275" w:type="dxa"/>
            <w:shd w:val="clear" w:color="auto" w:fill="auto"/>
            <w:vAlign w:val="bottom"/>
          </w:tcPr>
          <w:p w14:paraId="0E64F76D" w14:textId="3ABFF99D" w:rsidR="00E23D63" w:rsidRDefault="00E23D63" w:rsidP="00E23D63">
            <w:pPr>
              <w:jc w:val="right"/>
              <w:rPr>
                <w:rFonts w:ascii="Arial" w:hAnsi="Arial" w:cs="Arial"/>
                <w:color w:val="000000" w:themeColor="text1"/>
                <w:sz w:val="16"/>
                <w:szCs w:val="16"/>
              </w:rPr>
            </w:pPr>
            <w:r>
              <w:rPr>
                <w:rFonts w:ascii="Arial" w:eastAsia="Calibri" w:hAnsi="Arial" w:cs="Arial"/>
                <w:color w:val="000000"/>
                <w:sz w:val="16"/>
              </w:rPr>
              <w:t>89</w:t>
            </w:r>
          </w:p>
        </w:tc>
        <w:tc>
          <w:tcPr>
            <w:tcW w:w="1134" w:type="dxa"/>
            <w:vAlign w:val="bottom"/>
          </w:tcPr>
          <w:p w14:paraId="5274C160" w14:textId="00404389" w:rsidR="00E23D63" w:rsidRDefault="00E23D63" w:rsidP="00E23D63">
            <w:pPr>
              <w:jc w:val="right"/>
              <w:rPr>
                <w:rFonts w:ascii="Arial" w:hAnsi="Arial" w:cs="Arial"/>
                <w:color w:val="000000" w:themeColor="text1"/>
                <w:sz w:val="16"/>
                <w:szCs w:val="16"/>
              </w:rPr>
            </w:pPr>
            <w:r w:rsidRPr="00701F32">
              <w:rPr>
                <w:rFonts w:ascii="Arial" w:eastAsia="Calibri" w:hAnsi="Arial" w:cs="Arial"/>
                <w:color w:val="000000"/>
                <w:sz w:val="16"/>
              </w:rPr>
              <w:t>-</w:t>
            </w:r>
          </w:p>
        </w:tc>
        <w:tc>
          <w:tcPr>
            <w:tcW w:w="1369" w:type="dxa"/>
            <w:vAlign w:val="bottom"/>
          </w:tcPr>
          <w:p w14:paraId="642B633A" w14:textId="03526988" w:rsidR="00E23D63" w:rsidRDefault="00E23D63" w:rsidP="00E23D63">
            <w:pPr>
              <w:jc w:val="right"/>
              <w:rPr>
                <w:rFonts w:ascii="Arial" w:hAnsi="Arial" w:cs="Arial"/>
                <w:color w:val="000000" w:themeColor="text1"/>
                <w:sz w:val="16"/>
                <w:szCs w:val="16"/>
              </w:rPr>
            </w:pPr>
            <w:r w:rsidRPr="00701F32">
              <w:rPr>
                <w:rFonts w:ascii="Arial" w:eastAsia="Calibri" w:hAnsi="Arial" w:cs="Arial"/>
                <w:color w:val="000000"/>
                <w:sz w:val="16"/>
              </w:rPr>
              <w:t>-</w:t>
            </w:r>
          </w:p>
        </w:tc>
        <w:tc>
          <w:tcPr>
            <w:tcW w:w="1325" w:type="dxa"/>
            <w:vAlign w:val="bottom"/>
          </w:tcPr>
          <w:p w14:paraId="6F8AA2BA" w14:textId="2BD70896" w:rsidR="00E23D63" w:rsidRDefault="00E23D63" w:rsidP="00E23D63">
            <w:pPr>
              <w:jc w:val="right"/>
              <w:rPr>
                <w:rFonts w:ascii="Arial" w:hAnsi="Arial" w:cs="Arial"/>
                <w:color w:val="000000" w:themeColor="text1"/>
                <w:sz w:val="16"/>
                <w:szCs w:val="16"/>
              </w:rPr>
            </w:pPr>
            <w:r w:rsidRPr="00701F32">
              <w:rPr>
                <w:rFonts w:ascii="Arial" w:eastAsia="Calibri" w:hAnsi="Arial" w:cs="Arial"/>
                <w:color w:val="000000"/>
                <w:sz w:val="16"/>
              </w:rPr>
              <w:t>-</w:t>
            </w:r>
          </w:p>
        </w:tc>
      </w:tr>
      <w:tr w:rsidR="00E23D63" w:rsidRPr="00687C79" w14:paraId="5D492223" w14:textId="77777777" w:rsidTr="00F30223">
        <w:trPr>
          <w:trHeight w:val="455"/>
        </w:trPr>
        <w:tc>
          <w:tcPr>
            <w:tcW w:w="2544" w:type="dxa"/>
            <w:shd w:val="clear" w:color="auto" w:fill="auto"/>
            <w:vAlign w:val="bottom"/>
          </w:tcPr>
          <w:p w14:paraId="1DB16A98" w14:textId="45747F6F" w:rsidR="00E23D63" w:rsidRPr="00687C79" w:rsidRDefault="00E23D63" w:rsidP="00E23D63">
            <w:pPr>
              <w:tabs>
                <w:tab w:val="left" w:pos="142"/>
              </w:tabs>
              <w:rPr>
                <w:rFonts w:ascii="Arial" w:hAnsi="Arial" w:cs="Arial"/>
                <w:color w:val="000000" w:themeColor="text1"/>
                <w:sz w:val="16"/>
                <w:szCs w:val="16"/>
                <w:lang w:val="en-US" w:eastAsia="es-AR"/>
              </w:rPr>
            </w:pPr>
            <w:r w:rsidRPr="00687C79">
              <w:rPr>
                <w:rFonts w:ascii="Arial" w:hAnsi="Arial" w:cs="Arial"/>
                <w:color w:val="000000" w:themeColor="text1"/>
                <w:sz w:val="16"/>
                <w:szCs w:val="16"/>
                <w:lang w:val="en-US" w:eastAsia="es-AR"/>
              </w:rPr>
              <w:t>Invertir OnLine.com Argentina S</w:t>
            </w:r>
            <w:r>
              <w:rPr>
                <w:rFonts w:ascii="Arial" w:hAnsi="Arial" w:cs="Arial"/>
                <w:color w:val="000000" w:themeColor="text1"/>
                <w:sz w:val="16"/>
                <w:szCs w:val="16"/>
                <w:lang w:val="en-US" w:eastAsia="es-AR"/>
              </w:rPr>
              <w:t>.A.U.</w:t>
            </w:r>
          </w:p>
        </w:tc>
        <w:tc>
          <w:tcPr>
            <w:tcW w:w="1134" w:type="dxa"/>
            <w:vAlign w:val="bottom"/>
          </w:tcPr>
          <w:p w14:paraId="3A5302C4" w14:textId="555E558A" w:rsidR="00E23D63" w:rsidRPr="00687C79" w:rsidRDefault="00E23D63" w:rsidP="00E23D63">
            <w:pPr>
              <w:jc w:val="right"/>
              <w:rPr>
                <w:rFonts w:ascii="Arial" w:hAnsi="Arial" w:cs="Arial"/>
                <w:color w:val="000000" w:themeColor="text1"/>
                <w:sz w:val="16"/>
                <w:szCs w:val="16"/>
                <w:lang w:val="en-US"/>
              </w:rPr>
            </w:pPr>
            <w:r w:rsidRPr="00701F32">
              <w:rPr>
                <w:rFonts w:ascii="Arial" w:eastAsia="Calibri" w:hAnsi="Arial" w:cs="Arial"/>
                <w:color w:val="000000"/>
                <w:sz w:val="16"/>
              </w:rPr>
              <w:t>-</w:t>
            </w:r>
          </w:p>
        </w:tc>
        <w:tc>
          <w:tcPr>
            <w:tcW w:w="1134" w:type="dxa"/>
            <w:vAlign w:val="bottom"/>
          </w:tcPr>
          <w:p w14:paraId="1D9DDFDD" w14:textId="08445E3C" w:rsidR="00E23D63" w:rsidRPr="00687C79" w:rsidRDefault="00E23D63" w:rsidP="00E23D63">
            <w:pPr>
              <w:jc w:val="right"/>
              <w:rPr>
                <w:rFonts w:ascii="Arial" w:hAnsi="Arial" w:cs="Arial"/>
                <w:color w:val="000000" w:themeColor="text1"/>
                <w:sz w:val="16"/>
                <w:szCs w:val="16"/>
                <w:lang w:val="en-US"/>
              </w:rPr>
            </w:pPr>
            <w:r w:rsidRPr="00701F32">
              <w:rPr>
                <w:rFonts w:ascii="Arial" w:eastAsia="Calibri" w:hAnsi="Arial" w:cs="Arial"/>
                <w:color w:val="000000"/>
                <w:sz w:val="16"/>
              </w:rPr>
              <w:t>1</w:t>
            </w:r>
            <w:r>
              <w:rPr>
                <w:rFonts w:ascii="Arial" w:eastAsia="Calibri" w:hAnsi="Arial" w:cs="Arial"/>
                <w:color w:val="000000"/>
                <w:sz w:val="16"/>
              </w:rPr>
              <w:t>98</w:t>
            </w:r>
          </w:p>
        </w:tc>
        <w:tc>
          <w:tcPr>
            <w:tcW w:w="1275" w:type="dxa"/>
            <w:shd w:val="clear" w:color="auto" w:fill="auto"/>
            <w:vAlign w:val="bottom"/>
          </w:tcPr>
          <w:p w14:paraId="4CA1DFC6" w14:textId="43EDA31E" w:rsidR="00E23D63" w:rsidRPr="00687C79" w:rsidRDefault="00E23D63" w:rsidP="00E23D63">
            <w:pPr>
              <w:jc w:val="right"/>
              <w:rPr>
                <w:rFonts w:ascii="Arial" w:hAnsi="Arial" w:cs="Arial"/>
                <w:color w:val="000000" w:themeColor="text1"/>
                <w:sz w:val="16"/>
                <w:szCs w:val="16"/>
                <w:lang w:val="en-US"/>
              </w:rPr>
            </w:pPr>
            <w:r>
              <w:rPr>
                <w:rFonts w:ascii="Arial" w:eastAsia="Calibri" w:hAnsi="Arial" w:cs="Arial"/>
                <w:color w:val="000000"/>
                <w:sz w:val="16"/>
              </w:rPr>
              <w:t>2</w:t>
            </w:r>
          </w:p>
        </w:tc>
        <w:tc>
          <w:tcPr>
            <w:tcW w:w="1134" w:type="dxa"/>
            <w:vAlign w:val="bottom"/>
          </w:tcPr>
          <w:p w14:paraId="79129B7F" w14:textId="68860AEA" w:rsidR="00E23D63" w:rsidRPr="00687C79" w:rsidRDefault="00E23D63" w:rsidP="00E23D63">
            <w:pPr>
              <w:jc w:val="right"/>
              <w:rPr>
                <w:rFonts w:ascii="Arial" w:hAnsi="Arial" w:cs="Arial"/>
                <w:color w:val="000000" w:themeColor="text1"/>
                <w:sz w:val="16"/>
                <w:szCs w:val="16"/>
                <w:lang w:val="en-US"/>
              </w:rPr>
            </w:pPr>
            <w:r w:rsidRPr="00701F32">
              <w:rPr>
                <w:rFonts w:ascii="Arial" w:eastAsia="Calibri" w:hAnsi="Arial" w:cs="Arial"/>
                <w:color w:val="000000"/>
                <w:sz w:val="16"/>
              </w:rPr>
              <w:t>-</w:t>
            </w:r>
          </w:p>
        </w:tc>
        <w:tc>
          <w:tcPr>
            <w:tcW w:w="1369" w:type="dxa"/>
            <w:vAlign w:val="bottom"/>
          </w:tcPr>
          <w:p w14:paraId="59E45EE8" w14:textId="18D3C5C3" w:rsidR="00E23D63" w:rsidRPr="00687C79" w:rsidRDefault="00E23D63" w:rsidP="00E23D63">
            <w:pPr>
              <w:jc w:val="right"/>
              <w:rPr>
                <w:rFonts w:ascii="Arial" w:hAnsi="Arial" w:cs="Arial"/>
                <w:color w:val="000000" w:themeColor="text1"/>
                <w:sz w:val="16"/>
                <w:szCs w:val="16"/>
                <w:lang w:val="en-US"/>
              </w:rPr>
            </w:pPr>
            <w:r w:rsidRPr="00701F32">
              <w:rPr>
                <w:rFonts w:ascii="Arial" w:eastAsia="Calibri" w:hAnsi="Arial" w:cs="Arial"/>
                <w:color w:val="000000"/>
                <w:sz w:val="16"/>
              </w:rPr>
              <w:t>-</w:t>
            </w:r>
          </w:p>
        </w:tc>
        <w:tc>
          <w:tcPr>
            <w:tcW w:w="1325" w:type="dxa"/>
            <w:vAlign w:val="bottom"/>
          </w:tcPr>
          <w:p w14:paraId="2919C938" w14:textId="0309EA00" w:rsidR="00E23D63" w:rsidRPr="00687C79" w:rsidRDefault="00E23D63" w:rsidP="00E23D63">
            <w:pPr>
              <w:jc w:val="right"/>
              <w:rPr>
                <w:rFonts w:ascii="Arial" w:hAnsi="Arial" w:cs="Arial"/>
                <w:color w:val="000000" w:themeColor="text1"/>
                <w:sz w:val="16"/>
                <w:szCs w:val="16"/>
                <w:lang w:val="en-US"/>
              </w:rPr>
            </w:pPr>
            <w:r w:rsidRPr="00701F32">
              <w:rPr>
                <w:rFonts w:ascii="Arial" w:eastAsia="Calibri" w:hAnsi="Arial" w:cs="Arial"/>
                <w:color w:val="000000"/>
                <w:sz w:val="16"/>
              </w:rPr>
              <w:t>-</w:t>
            </w:r>
          </w:p>
        </w:tc>
      </w:tr>
      <w:tr w:rsidR="00E23D63" w:rsidRPr="00687C79" w14:paraId="5CF154D8" w14:textId="77777777" w:rsidTr="00F30223">
        <w:trPr>
          <w:trHeight w:val="455"/>
        </w:trPr>
        <w:tc>
          <w:tcPr>
            <w:tcW w:w="2544" w:type="dxa"/>
            <w:shd w:val="clear" w:color="auto" w:fill="auto"/>
            <w:vAlign w:val="bottom"/>
          </w:tcPr>
          <w:p w14:paraId="5A681657" w14:textId="54DA4574" w:rsidR="00E23D63" w:rsidRPr="00687C79" w:rsidRDefault="00E23D63" w:rsidP="00E23D63">
            <w:pPr>
              <w:tabs>
                <w:tab w:val="left" w:pos="142"/>
              </w:tabs>
              <w:rPr>
                <w:rFonts w:ascii="Arial" w:hAnsi="Arial" w:cs="Arial"/>
                <w:color w:val="000000" w:themeColor="text1"/>
                <w:sz w:val="16"/>
                <w:szCs w:val="16"/>
                <w:lang w:val="en-US" w:eastAsia="es-AR"/>
              </w:rPr>
            </w:pPr>
            <w:r>
              <w:rPr>
                <w:rFonts w:ascii="Arial" w:hAnsi="Arial" w:cs="Arial"/>
                <w:color w:val="000000" w:themeColor="text1"/>
                <w:sz w:val="16"/>
                <w:szCs w:val="16"/>
                <w:lang w:val="en-US" w:eastAsia="es-AR"/>
              </w:rPr>
              <w:t>Micro Lending S.A.U.</w:t>
            </w:r>
          </w:p>
        </w:tc>
        <w:tc>
          <w:tcPr>
            <w:tcW w:w="1134" w:type="dxa"/>
            <w:vAlign w:val="bottom"/>
          </w:tcPr>
          <w:p w14:paraId="662DF513" w14:textId="1B1B2388" w:rsidR="00E23D63" w:rsidRPr="00687C79" w:rsidRDefault="00E23D63" w:rsidP="00E23D63">
            <w:pPr>
              <w:jc w:val="right"/>
              <w:rPr>
                <w:rFonts w:ascii="Arial" w:hAnsi="Arial" w:cs="Arial"/>
                <w:color w:val="000000" w:themeColor="text1"/>
                <w:sz w:val="16"/>
                <w:szCs w:val="16"/>
                <w:lang w:val="en-US"/>
              </w:rPr>
            </w:pPr>
            <w:r>
              <w:rPr>
                <w:rFonts w:ascii="Arial" w:eastAsia="Calibri" w:hAnsi="Arial" w:cs="Arial"/>
                <w:color w:val="000000"/>
                <w:sz w:val="16"/>
              </w:rPr>
              <w:t>36</w:t>
            </w:r>
            <w:r w:rsidRPr="00701F32">
              <w:rPr>
                <w:rFonts w:ascii="Arial" w:eastAsia="Calibri" w:hAnsi="Arial" w:cs="Arial"/>
                <w:color w:val="000000"/>
                <w:sz w:val="16"/>
              </w:rPr>
              <w:t>.</w:t>
            </w:r>
            <w:r>
              <w:rPr>
                <w:rFonts w:ascii="Arial" w:eastAsia="Calibri" w:hAnsi="Arial" w:cs="Arial"/>
                <w:color w:val="000000"/>
                <w:sz w:val="16"/>
              </w:rPr>
              <w:t>887</w:t>
            </w:r>
          </w:p>
        </w:tc>
        <w:tc>
          <w:tcPr>
            <w:tcW w:w="1134" w:type="dxa"/>
            <w:vAlign w:val="bottom"/>
          </w:tcPr>
          <w:p w14:paraId="0C1FC235" w14:textId="5135E1E6" w:rsidR="00E23D63" w:rsidRPr="00687C79" w:rsidRDefault="00E23D63" w:rsidP="00E23D63">
            <w:pPr>
              <w:jc w:val="right"/>
              <w:rPr>
                <w:rFonts w:ascii="Arial" w:hAnsi="Arial" w:cs="Arial"/>
                <w:color w:val="000000" w:themeColor="text1"/>
                <w:sz w:val="16"/>
                <w:szCs w:val="16"/>
                <w:lang w:val="en-US"/>
              </w:rPr>
            </w:pPr>
            <w:r w:rsidRPr="00701F32">
              <w:rPr>
                <w:rFonts w:ascii="Arial" w:eastAsia="Calibri" w:hAnsi="Arial" w:cs="Arial"/>
                <w:color w:val="000000"/>
                <w:sz w:val="16"/>
              </w:rPr>
              <w:t>-</w:t>
            </w:r>
          </w:p>
        </w:tc>
        <w:tc>
          <w:tcPr>
            <w:tcW w:w="1275" w:type="dxa"/>
            <w:shd w:val="clear" w:color="auto" w:fill="auto"/>
            <w:vAlign w:val="bottom"/>
          </w:tcPr>
          <w:p w14:paraId="396A18BC" w14:textId="69195D3E" w:rsidR="00E23D63" w:rsidRPr="00687C79" w:rsidRDefault="00E23D63" w:rsidP="00E23D63">
            <w:pPr>
              <w:jc w:val="right"/>
              <w:rPr>
                <w:rFonts w:ascii="Arial" w:hAnsi="Arial" w:cs="Arial"/>
                <w:color w:val="000000" w:themeColor="text1"/>
                <w:sz w:val="16"/>
                <w:szCs w:val="16"/>
                <w:lang w:val="en-US"/>
              </w:rPr>
            </w:pPr>
            <w:r w:rsidRPr="00701F32">
              <w:rPr>
                <w:rFonts w:ascii="Arial" w:eastAsia="Calibri" w:hAnsi="Arial" w:cs="Arial"/>
                <w:color w:val="000000"/>
                <w:sz w:val="16"/>
              </w:rPr>
              <w:t>-</w:t>
            </w:r>
          </w:p>
        </w:tc>
        <w:tc>
          <w:tcPr>
            <w:tcW w:w="1134" w:type="dxa"/>
            <w:vAlign w:val="bottom"/>
          </w:tcPr>
          <w:p w14:paraId="3643C7F4" w14:textId="60EDADF8" w:rsidR="00E23D63" w:rsidRPr="00687C79" w:rsidRDefault="00E23D63" w:rsidP="00E23D63">
            <w:pPr>
              <w:jc w:val="right"/>
              <w:rPr>
                <w:rFonts w:ascii="Arial" w:hAnsi="Arial" w:cs="Arial"/>
                <w:color w:val="000000" w:themeColor="text1"/>
                <w:sz w:val="16"/>
                <w:szCs w:val="16"/>
                <w:lang w:val="en-US"/>
              </w:rPr>
            </w:pPr>
            <w:r w:rsidRPr="00701F32">
              <w:rPr>
                <w:rFonts w:ascii="Arial" w:eastAsia="Calibri" w:hAnsi="Arial" w:cs="Arial"/>
                <w:color w:val="000000"/>
                <w:sz w:val="16"/>
              </w:rPr>
              <w:t>-</w:t>
            </w:r>
          </w:p>
        </w:tc>
        <w:tc>
          <w:tcPr>
            <w:tcW w:w="1369" w:type="dxa"/>
            <w:vAlign w:val="bottom"/>
          </w:tcPr>
          <w:p w14:paraId="615AA571" w14:textId="0F574C2C" w:rsidR="00E23D63" w:rsidRPr="00687C79" w:rsidRDefault="00E23D63" w:rsidP="00E23D63">
            <w:pPr>
              <w:jc w:val="right"/>
              <w:rPr>
                <w:rFonts w:ascii="Arial" w:hAnsi="Arial" w:cs="Arial"/>
                <w:color w:val="000000" w:themeColor="text1"/>
                <w:sz w:val="16"/>
                <w:szCs w:val="16"/>
                <w:lang w:val="en-US"/>
              </w:rPr>
            </w:pPr>
            <w:r w:rsidRPr="00701F32">
              <w:rPr>
                <w:rFonts w:ascii="Arial" w:eastAsia="Calibri" w:hAnsi="Arial" w:cs="Arial"/>
                <w:color w:val="000000"/>
                <w:sz w:val="16"/>
              </w:rPr>
              <w:t>2</w:t>
            </w:r>
            <w:r>
              <w:rPr>
                <w:rFonts w:ascii="Arial" w:eastAsia="Calibri" w:hAnsi="Arial" w:cs="Arial"/>
                <w:color w:val="000000"/>
                <w:sz w:val="16"/>
              </w:rPr>
              <w:t>97</w:t>
            </w:r>
          </w:p>
        </w:tc>
        <w:tc>
          <w:tcPr>
            <w:tcW w:w="1325" w:type="dxa"/>
            <w:vAlign w:val="bottom"/>
          </w:tcPr>
          <w:p w14:paraId="6D89DD07" w14:textId="0139E7EC" w:rsidR="00E23D63" w:rsidRPr="00687C79" w:rsidRDefault="00E23D63" w:rsidP="00E23D63">
            <w:pPr>
              <w:jc w:val="right"/>
              <w:rPr>
                <w:rFonts w:ascii="Arial" w:hAnsi="Arial" w:cs="Arial"/>
                <w:color w:val="000000" w:themeColor="text1"/>
                <w:sz w:val="16"/>
                <w:szCs w:val="16"/>
                <w:lang w:val="en-US"/>
              </w:rPr>
            </w:pPr>
            <w:r w:rsidRPr="00701F32">
              <w:rPr>
                <w:rFonts w:ascii="Arial" w:eastAsia="Calibri" w:hAnsi="Arial" w:cs="Arial"/>
                <w:color w:val="000000"/>
                <w:sz w:val="16"/>
              </w:rPr>
              <w:t>19</w:t>
            </w:r>
          </w:p>
        </w:tc>
      </w:tr>
      <w:tr w:rsidR="00E23D63" w:rsidRPr="00701F32" w14:paraId="74573FE1" w14:textId="77777777" w:rsidTr="00F30223">
        <w:trPr>
          <w:trHeight w:val="455"/>
        </w:trPr>
        <w:tc>
          <w:tcPr>
            <w:tcW w:w="2544" w:type="dxa"/>
            <w:shd w:val="clear" w:color="auto" w:fill="auto"/>
            <w:vAlign w:val="bottom"/>
            <w:hideMark/>
          </w:tcPr>
          <w:p w14:paraId="69715FDB" w14:textId="77777777" w:rsidR="00E23D63" w:rsidRPr="00701F32" w:rsidRDefault="00E23D63" w:rsidP="00E23D63">
            <w:pPr>
              <w:tabs>
                <w:tab w:val="left" w:pos="142"/>
              </w:tabs>
              <w:rPr>
                <w:rFonts w:ascii="Arial" w:hAnsi="Arial" w:cs="Arial"/>
                <w:color w:val="000000" w:themeColor="text1"/>
                <w:sz w:val="16"/>
                <w:szCs w:val="16"/>
                <w:lang w:eastAsia="es-AR"/>
              </w:rPr>
            </w:pPr>
            <w:r w:rsidRPr="00701F32">
              <w:rPr>
                <w:rFonts w:ascii="Arial" w:hAnsi="Arial" w:cs="Arial"/>
                <w:color w:val="000000" w:themeColor="text1"/>
                <w:sz w:val="16"/>
                <w:szCs w:val="16"/>
                <w:lang w:eastAsia="es-AR"/>
              </w:rPr>
              <w:t>Grupo Supervielle S.A.</w:t>
            </w:r>
          </w:p>
        </w:tc>
        <w:tc>
          <w:tcPr>
            <w:tcW w:w="1134" w:type="dxa"/>
            <w:vAlign w:val="bottom"/>
          </w:tcPr>
          <w:p w14:paraId="3D7735F7" w14:textId="2CF5B696"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w:t>
            </w:r>
          </w:p>
        </w:tc>
        <w:tc>
          <w:tcPr>
            <w:tcW w:w="1134" w:type="dxa"/>
            <w:vAlign w:val="bottom"/>
          </w:tcPr>
          <w:p w14:paraId="215E23AB" w14:textId="300672C7"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45.2</w:t>
            </w:r>
            <w:r>
              <w:rPr>
                <w:rFonts w:ascii="Arial" w:eastAsia="Calibri" w:hAnsi="Arial" w:cs="Arial"/>
                <w:color w:val="000000"/>
                <w:sz w:val="16"/>
              </w:rPr>
              <w:t>1</w:t>
            </w:r>
            <w:r w:rsidRPr="00701F32">
              <w:rPr>
                <w:rFonts w:ascii="Arial" w:eastAsia="Calibri" w:hAnsi="Arial" w:cs="Arial"/>
                <w:color w:val="000000"/>
                <w:sz w:val="16"/>
              </w:rPr>
              <w:t>3</w:t>
            </w:r>
          </w:p>
        </w:tc>
        <w:tc>
          <w:tcPr>
            <w:tcW w:w="1275" w:type="dxa"/>
            <w:shd w:val="clear" w:color="auto" w:fill="auto"/>
            <w:vAlign w:val="bottom"/>
          </w:tcPr>
          <w:p w14:paraId="338B0FEB" w14:textId="51CD251F"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rPr>
              <w:t>3</w:t>
            </w:r>
            <w:r w:rsidRPr="00701F32">
              <w:rPr>
                <w:rFonts w:ascii="Arial" w:eastAsia="Calibri" w:hAnsi="Arial" w:cs="Arial"/>
                <w:color w:val="000000"/>
                <w:sz w:val="16"/>
              </w:rPr>
              <w:t>.</w:t>
            </w:r>
            <w:r>
              <w:rPr>
                <w:rFonts w:ascii="Arial" w:eastAsia="Calibri" w:hAnsi="Arial" w:cs="Arial"/>
                <w:color w:val="000000"/>
                <w:sz w:val="16"/>
              </w:rPr>
              <w:t>21</w:t>
            </w:r>
            <w:r w:rsidRPr="00701F32">
              <w:rPr>
                <w:rFonts w:ascii="Arial" w:eastAsia="Calibri" w:hAnsi="Arial" w:cs="Arial"/>
                <w:color w:val="000000"/>
                <w:sz w:val="16"/>
              </w:rPr>
              <w:t>3</w:t>
            </w:r>
          </w:p>
        </w:tc>
        <w:tc>
          <w:tcPr>
            <w:tcW w:w="1134" w:type="dxa"/>
            <w:vAlign w:val="bottom"/>
          </w:tcPr>
          <w:p w14:paraId="78EE7812" w14:textId="5391D3A5"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1</w:t>
            </w:r>
            <w:r>
              <w:rPr>
                <w:rFonts w:ascii="Arial" w:eastAsia="Calibri" w:hAnsi="Arial" w:cs="Arial"/>
                <w:color w:val="000000"/>
                <w:sz w:val="16"/>
              </w:rPr>
              <w:t>5</w:t>
            </w:r>
            <w:r w:rsidRPr="00701F32">
              <w:rPr>
                <w:rFonts w:ascii="Arial" w:eastAsia="Calibri" w:hAnsi="Arial" w:cs="Arial"/>
                <w:color w:val="000000"/>
                <w:sz w:val="16"/>
              </w:rPr>
              <w:t>.</w:t>
            </w:r>
            <w:r>
              <w:rPr>
                <w:rFonts w:ascii="Arial" w:eastAsia="Calibri" w:hAnsi="Arial" w:cs="Arial"/>
                <w:color w:val="000000"/>
                <w:sz w:val="16"/>
              </w:rPr>
              <w:t>181</w:t>
            </w:r>
          </w:p>
        </w:tc>
        <w:tc>
          <w:tcPr>
            <w:tcW w:w="1369" w:type="dxa"/>
            <w:vAlign w:val="bottom"/>
          </w:tcPr>
          <w:p w14:paraId="6F81323D" w14:textId="3F3398F7" w:rsidR="00E23D63" w:rsidRPr="00701F32" w:rsidRDefault="00E23D63" w:rsidP="00E23D63">
            <w:pPr>
              <w:jc w:val="right"/>
              <w:rPr>
                <w:rFonts w:ascii="Arial" w:hAnsi="Arial" w:cs="Arial"/>
                <w:color w:val="000000" w:themeColor="text1"/>
                <w:sz w:val="16"/>
                <w:szCs w:val="16"/>
                <w:lang w:val="es-ES_tradnl"/>
              </w:rPr>
            </w:pPr>
            <w:r>
              <w:rPr>
                <w:rFonts w:ascii="Arial" w:eastAsia="Calibri" w:hAnsi="Arial" w:cs="Arial"/>
                <w:color w:val="000000"/>
                <w:sz w:val="16"/>
              </w:rPr>
              <w:t>58</w:t>
            </w:r>
            <w:r w:rsidRPr="00701F32">
              <w:rPr>
                <w:rFonts w:ascii="Arial" w:eastAsia="Calibri" w:hAnsi="Arial" w:cs="Arial"/>
                <w:color w:val="000000"/>
                <w:sz w:val="16"/>
              </w:rPr>
              <w:t>.</w:t>
            </w:r>
            <w:r>
              <w:rPr>
                <w:rFonts w:ascii="Arial" w:eastAsia="Calibri" w:hAnsi="Arial" w:cs="Arial"/>
                <w:color w:val="000000"/>
                <w:sz w:val="16"/>
              </w:rPr>
              <w:t>20</w:t>
            </w:r>
            <w:r w:rsidRPr="00701F32">
              <w:rPr>
                <w:rFonts w:ascii="Arial" w:eastAsia="Calibri" w:hAnsi="Arial" w:cs="Arial"/>
                <w:color w:val="000000"/>
                <w:sz w:val="16"/>
              </w:rPr>
              <w:t>0</w:t>
            </w:r>
          </w:p>
        </w:tc>
        <w:tc>
          <w:tcPr>
            <w:tcW w:w="1325" w:type="dxa"/>
            <w:vAlign w:val="bottom"/>
          </w:tcPr>
          <w:p w14:paraId="4A7136FC" w14:textId="02E7C6C8" w:rsidR="00E23D63" w:rsidRPr="00701F32" w:rsidRDefault="00E23D63" w:rsidP="00E23D63">
            <w:pPr>
              <w:jc w:val="right"/>
              <w:rPr>
                <w:rFonts w:ascii="Arial" w:hAnsi="Arial" w:cs="Arial"/>
                <w:color w:val="000000" w:themeColor="text1"/>
                <w:sz w:val="16"/>
                <w:szCs w:val="16"/>
                <w:lang w:val="es-ES_tradnl"/>
              </w:rPr>
            </w:pPr>
            <w:r w:rsidRPr="00701F32">
              <w:rPr>
                <w:rFonts w:ascii="Arial" w:eastAsia="Calibri" w:hAnsi="Arial" w:cs="Arial"/>
                <w:color w:val="000000"/>
                <w:sz w:val="16"/>
              </w:rPr>
              <w:t>1.</w:t>
            </w:r>
            <w:r>
              <w:rPr>
                <w:rFonts w:ascii="Arial" w:eastAsia="Calibri" w:hAnsi="Arial" w:cs="Arial"/>
                <w:color w:val="000000"/>
                <w:sz w:val="16"/>
              </w:rPr>
              <w:t>79</w:t>
            </w:r>
            <w:r w:rsidRPr="00701F32">
              <w:rPr>
                <w:rFonts w:ascii="Arial" w:eastAsia="Calibri" w:hAnsi="Arial" w:cs="Arial"/>
                <w:color w:val="000000"/>
                <w:sz w:val="16"/>
              </w:rPr>
              <w:t>6</w:t>
            </w:r>
          </w:p>
        </w:tc>
      </w:tr>
      <w:tr w:rsidR="00E23D63" w:rsidRPr="00701F32" w14:paraId="015D01DE" w14:textId="77777777" w:rsidTr="00F30223">
        <w:trPr>
          <w:trHeight w:val="455"/>
        </w:trPr>
        <w:tc>
          <w:tcPr>
            <w:tcW w:w="2544" w:type="dxa"/>
            <w:shd w:val="clear" w:color="auto" w:fill="auto"/>
            <w:vAlign w:val="bottom"/>
            <w:hideMark/>
          </w:tcPr>
          <w:p w14:paraId="523A8EE0" w14:textId="77777777" w:rsidR="00E23D63" w:rsidRPr="00701F32" w:rsidRDefault="00E23D63" w:rsidP="00E23D63">
            <w:pPr>
              <w:tabs>
                <w:tab w:val="left" w:pos="142"/>
              </w:tabs>
              <w:rPr>
                <w:rFonts w:ascii="Arial" w:hAnsi="Arial" w:cs="Arial"/>
                <w:b/>
                <w:bCs/>
                <w:color w:val="000000" w:themeColor="text1"/>
                <w:sz w:val="16"/>
                <w:szCs w:val="16"/>
                <w:lang w:eastAsia="es-AR"/>
              </w:rPr>
            </w:pPr>
            <w:r w:rsidRPr="00701F32">
              <w:rPr>
                <w:rFonts w:ascii="Arial" w:hAnsi="Arial" w:cs="Arial"/>
                <w:b/>
                <w:bCs/>
                <w:color w:val="000000" w:themeColor="text1"/>
                <w:sz w:val="16"/>
                <w:szCs w:val="16"/>
                <w:lang w:eastAsia="es-AR"/>
              </w:rPr>
              <w:t>TOTAL</w:t>
            </w:r>
          </w:p>
        </w:tc>
        <w:tc>
          <w:tcPr>
            <w:tcW w:w="1134" w:type="dxa"/>
            <w:vAlign w:val="bottom"/>
          </w:tcPr>
          <w:p w14:paraId="2B881632" w14:textId="6FAD0BBA" w:rsidR="00E23D63" w:rsidRPr="00701F32" w:rsidRDefault="00E23D63" w:rsidP="00E23D63">
            <w:pPr>
              <w:jc w:val="right"/>
              <w:rPr>
                <w:rFonts w:ascii="Arial" w:hAnsi="Arial" w:cs="Arial"/>
                <w:b/>
                <w:bCs/>
                <w:color w:val="000000" w:themeColor="text1"/>
                <w:sz w:val="16"/>
                <w:szCs w:val="16"/>
                <w:lang w:val="es-ES_tradnl"/>
              </w:rPr>
            </w:pPr>
            <w:r>
              <w:rPr>
                <w:rFonts w:ascii="Arial" w:eastAsia="Calibri" w:hAnsi="Arial" w:cs="Arial"/>
                <w:b/>
                <w:bCs/>
                <w:color w:val="000000"/>
                <w:sz w:val="16"/>
              </w:rPr>
              <w:t>1.1</w:t>
            </w:r>
            <w:r w:rsidRPr="00701F32">
              <w:rPr>
                <w:rFonts w:ascii="Arial" w:eastAsia="Calibri" w:hAnsi="Arial" w:cs="Arial"/>
                <w:b/>
                <w:bCs/>
                <w:color w:val="000000"/>
                <w:sz w:val="16"/>
              </w:rPr>
              <w:t>8</w:t>
            </w:r>
            <w:r>
              <w:rPr>
                <w:rFonts w:ascii="Arial" w:eastAsia="Calibri" w:hAnsi="Arial" w:cs="Arial"/>
                <w:b/>
                <w:bCs/>
                <w:color w:val="000000"/>
                <w:sz w:val="16"/>
              </w:rPr>
              <w:t>7</w:t>
            </w:r>
            <w:r w:rsidRPr="00701F32">
              <w:rPr>
                <w:rFonts w:ascii="Arial" w:eastAsia="Calibri" w:hAnsi="Arial" w:cs="Arial"/>
                <w:b/>
                <w:bCs/>
                <w:color w:val="000000"/>
                <w:sz w:val="16"/>
              </w:rPr>
              <w:t>.</w:t>
            </w:r>
            <w:r>
              <w:rPr>
                <w:rFonts w:ascii="Arial" w:eastAsia="Calibri" w:hAnsi="Arial" w:cs="Arial"/>
                <w:b/>
                <w:bCs/>
                <w:color w:val="000000"/>
                <w:sz w:val="16"/>
              </w:rPr>
              <w:t>3</w:t>
            </w:r>
            <w:r w:rsidRPr="00701F32">
              <w:rPr>
                <w:rFonts w:ascii="Arial" w:eastAsia="Calibri" w:hAnsi="Arial" w:cs="Arial"/>
                <w:b/>
                <w:bCs/>
                <w:color w:val="000000"/>
                <w:sz w:val="16"/>
              </w:rPr>
              <w:t>9</w:t>
            </w:r>
            <w:r>
              <w:rPr>
                <w:rFonts w:ascii="Arial" w:eastAsia="Calibri" w:hAnsi="Arial" w:cs="Arial"/>
                <w:b/>
                <w:bCs/>
                <w:color w:val="000000"/>
                <w:sz w:val="16"/>
              </w:rPr>
              <w:t>4</w:t>
            </w:r>
          </w:p>
        </w:tc>
        <w:tc>
          <w:tcPr>
            <w:tcW w:w="1134" w:type="dxa"/>
            <w:vAlign w:val="bottom"/>
          </w:tcPr>
          <w:p w14:paraId="1EC84872" w14:textId="2F67C043" w:rsidR="00E23D63" w:rsidRPr="00701F32" w:rsidRDefault="00E23D63" w:rsidP="00E23D63">
            <w:pPr>
              <w:jc w:val="right"/>
              <w:rPr>
                <w:rFonts w:ascii="Arial" w:hAnsi="Arial" w:cs="Arial"/>
                <w:b/>
                <w:bCs/>
                <w:color w:val="000000" w:themeColor="text1"/>
                <w:sz w:val="16"/>
                <w:szCs w:val="16"/>
                <w:lang w:val="es-ES_tradnl"/>
              </w:rPr>
            </w:pPr>
            <w:r w:rsidRPr="00701F32">
              <w:rPr>
                <w:rFonts w:ascii="Arial" w:eastAsia="Calibri" w:hAnsi="Arial" w:cs="Arial"/>
                <w:b/>
                <w:bCs/>
                <w:color w:val="000000"/>
                <w:sz w:val="16"/>
              </w:rPr>
              <w:t>1</w:t>
            </w:r>
            <w:r>
              <w:rPr>
                <w:rFonts w:ascii="Arial" w:eastAsia="Calibri" w:hAnsi="Arial" w:cs="Arial"/>
                <w:b/>
                <w:bCs/>
                <w:color w:val="000000"/>
                <w:sz w:val="16"/>
              </w:rPr>
              <w:t>79</w:t>
            </w:r>
            <w:r w:rsidRPr="00701F32">
              <w:rPr>
                <w:rFonts w:ascii="Arial" w:eastAsia="Calibri" w:hAnsi="Arial" w:cs="Arial"/>
                <w:b/>
                <w:bCs/>
                <w:color w:val="000000"/>
                <w:sz w:val="16"/>
              </w:rPr>
              <w:t>.</w:t>
            </w:r>
            <w:r>
              <w:rPr>
                <w:rFonts w:ascii="Arial" w:eastAsia="Calibri" w:hAnsi="Arial" w:cs="Arial"/>
                <w:b/>
                <w:bCs/>
                <w:color w:val="000000"/>
                <w:sz w:val="16"/>
              </w:rPr>
              <w:t>16</w:t>
            </w:r>
            <w:r w:rsidRPr="00701F32">
              <w:rPr>
                <w:rFonts w:ascii="Arial" w:eastAsia="Calibri" w:hAnsi="Arial" w:cs="Arial"/>
                <w:b/>
                <w:bCs/>
                <w:color w:val="000000"/>
                <w:sz w:val="16"/>
              </w:rPr>
              <w:t>1</w:t>
            </w:r>
          </w:p>
        </w:tc>
        <w:tc>
          <w:tcPr>
            <w:tcW w:w="1275" w:type="dxa"/>
            <w:shd w:val="clear" w:color="auto" w:fill="auto"/>
            <w:vAlign w:val="bottom"/>
          </w:tcPr>
          <w:p w14:paraId="048FED72" w14:textId="664A8EB9" w:rsidR="00E23D63" w:rsidRPr="00701F32" w:rsidRDefault="00E23D63" w:rsidP="00E23D63">
            <w:pPr>
              <w:jc w:val="right"/>
              <w:rPr>
                <w:rFonts w:ascii="Arial" w:hAnsi="Arial" w:cs="Arial"/>
                <w:b/>
                <w:bCs/>
                <w:color w:val="000000" w:themeColor="text1"/>
                <w:sz w:val="16"/>
                <w:szCs w:val="16"/>
                <w:lang w:val="es-ES_tradnl"/>
              </w:rPr>
            </w:pPr>
            <w:r>
              <w:rPr>
                <w:rFonts w:ascii="Arial" w:eastAsia="Calibri" w:hAnsi="Arial" w:cs="Arial"/>
                <w:b/>
                <w:bCs/>
                <w:color w:val="000000"/>
                <w:sz w:val="16"/>
              </w:rPr>
              <w:t>125</w:t>
            </w:r>
            <w:r w:rsidRPr="00701F32">
              <w:rPr>
                <w:rFonts w:ascii="Arial" w:eastAsia="Calibri" w:hAnsi="Arial" w:cs="Arial"/>
                <w:b/>
                <w:bCs/>
                <w:color w:val="000000"/>
                <w:sz w:val="16"/>
              </w:rPr>
              <w:t>.</w:t>
            </w:r>
            <w:r>
              <w:rPr>
                <w:rFonts w:ascii="Arial" w:eastAsia="Calibri" w:hAnsi="Arial" w:cs="Arial"/>
                <w:b/>
                <w:bCs/>
                <w:color w:val="000000"/>
                <w:sz w:val="16"/>
              </w:rPr>
              <w:t>220</w:t>
            </w:r>
          </w:p>
        </w:tc>
        <w:tc>
          <w:tcPr>
            <w:tcW w:w="1134" w:type="dxa"/>
            <w:vAlign w:val="bottom"/>
          </w:tcPr>
          <w:p w14:paraId="2094F274" w14:textId="4CFD5785" w:rsidR="00E23D63" w:rsidRPr="00701F32" w:rsidRDefault="00E23D63" w:rsidP="00E23D63">
            <w:pPr>
              <w:jc w:val="right"/>
              <w:rPr>
                <w:rFonts w:ascii="Arial" w:hAnsi="Arial" w:cs="Arial"/>
                <w:b/>
                <w:bCs/>
                <w:color w:val="000000" w:themeColor="text1"/>
                <w:sz w:val="16"/>
                <w:szCs w:val="16"/>
                <w:lang w:val="es-ES_tradnl"/>
              </w:rPr>
            </w:pPr>
            <w:r w:rsidRPr="00701F32">
              <w:rPr>
                <w:rFonts w:ascii="Arial" w:eastAsia="Calibri" w:hAnsi="Arial" w:cs="Arial"/>
                <w:b/>
                <w:bCs/>
                <w:color w:val="000000"/>
                <w:sz w:val="16"/>
              </w:rPr>
              <w:t>1</w:t>
            </w:r>
            <w:r>
              <w:rPr>
                <w:rFonts w:ascii="Arial" w:eastAsia="Calibri" w:hAnsi="Arial" w:cs="Arial"/>
                <w:b/>
                <w:bCs/>
                <w:color w:val="000000"/>
                <w:sz w:val="16"/>
              </w:rPr>
              <w:t>5</w:t>
            </w:r>
            <w:r w:rsidRPr="00701F32">
              <w:rPr>
                <w:rFonts w:ascii="Arial" w:eastAsia="Calibri" w:hAnsi="Arial" w:cs="Arial"/>
                <w:b/>
                <w:bCs/>
                <w:color w:val="000000"/>
                <w:sz w:val="16"/>
              </w:rPr>
              <w:t>.</w:t>
            </w:r>
            <w:r>
              <w:rPr>
                <w:rFonts w:ascii="Arial" w:eastAsia="Calibri" w:hAnsi="Arial" w:cs="Arial"/>
                <w:b/>
                <w:bCs/>
                <w:color w:val="000000"/>
                <w:sz w:val="16"/>
              </w:rPr>
              <w:t>181</w:t>
            </w:r>
          </w:p>
        </w:tc>
        <w:tc>
          <w:tcPr>
            <w:tcW w:w="1369" w:type="dxa"/>
            <w:vAlign w:val="bottom"/>
          </w:tcPr>
          <w:p w14:paraId="0D25FCEC" w14:textId="3B454AE2" w:rsidR="00E23D63" w:rsidRPr="00701F32" w:rsidRDefault="00E23D63" w:rsidP="00E23D63">
            <w:pPr>
              <w:jc w:val="right"/>
              <w:rPr>
                <w:rFonts w:ascii="Arial" w:hAnsi="Arial" w:cs="Arial"/>
                <w:b/>
                <w:bCs/>
                <w:color w:val="000000" w:themeColor="text1"/>
                <w:sz w:val="16"/>
                <w:szCs w:val="16"/>
                <w:lang w:val="es-ES_tradnl"/>
              </w:rPr>
            </w:pPr>
            <w:r w:rsidRPr="00701F32">
              <w:rPr>
                <w:rFonts w:ascii="Arial" w:eastAsia="Calibri" w:hAnsi="Arial" w:cs="Arial"/>
                <w:b/>
                <w:bCs/>
                <w:color w:val="000000"/>
                <w:sz w:val="16"/>
              </w:rPr>
              <w:t>6</w:t>
            </w:r>
            <w:r>
              <w:rPr>
                <w:rFonts w:ascii="Arial" w:eastAsia="Calibri" w:hAnsi="Arial" w:cs="Arial"/>
                <w:b/>
                <w:bCs/>
                <w:color w:val="000000"/>
                <w:sz w:val="16"/>
              </w:rPr>
              <w:t>1</w:t>
            </w:r>
            <w:r w:rsidRPr="00701F32">
              <w:rPr>
                <w:rFonts w:ascii="Arial" w:eastAsia="Calibri" w:hAnsi="Arial" w:cs="Arial"/>
                <w:b/>
                <w:bCs/>
                <w:color w:val="000000"/>
                <w:sz w:val="16"/>
              </w:rPr>
              <w:t>.</w:t>
            </w:r>
            <w:r>
              <w:rPr>
                <w:rFonts w:ascii="Arial" w:eastAsia="Calibri" w:hAnsi="Arial" w:cs="Arial"/>
                <w:b/>
                <w:bCs/>
                <w:color w:val="000000"/>
                <w:sz w:val="16"/>
              </w:rPr>
              <w:t>905</w:t>
            </w:r>
          </w:p>
        </w:tc>
        <w:tc>
          <w:tcPr>
            <w:tcW w:w="1325" w:type="dxa"/>
            <w:vAlign w:val="bottom"/>
          </w:tcPr>
          <w:p w14:paraId="0564A6BB" w14:textId="4E4607C9" w:rsidR="00E23D63" w:rsidRPr="00701F32" w:rsidRDefault="00E23D63" w:rsidP="00E23D63">
            <w:pPr>
              <w:jc w:val="right"/>
              <w:rPr>
                <w:rFonts w:ascii="Arial" w:hAnsi="Arial" w:cs="Arial"/>
                <w:b/>
                <w:bCs/>
                <w:color w:val="000000" w:themeColor="text1"/>
                <w:sz w:val="16"/>
                <w:szCs w:val="16"/>
                <w:lang w:val="es-ES_tradnl"/>
              </w:rPr>
            </w:pPr>
            <w:r>
              <w:rPr>
                <w:rFonts w:ascii="Arial" w:eastAsia="Calibri" w:hAnsi="Arial" w:cs="Arial"/>
                <w:b/>
                <w:bCs/>
                <w:color w:val="000000"/>
                <w:sz w:val="16"/>
              </w:rPr>
              <w:t>4</w:t>
            </w:r>
            <w:r w:rsidRPr="00701F32">
              <w:rPr>
                <w:rFonts w:ascii="Arial" w:eastAsia="Calibri" w:hAnsi="Arial" w:cs="Arial"/>
                <w:b/>
                <w:bCs/>
                <w:color w:val="000000"/>
                <w:sz w:val="16"/>
              </w:rPr>
              <w:t>.</w:t>
            </w:r>
            <w:r>
              <w:rPr>
                <w:rFonts w:ascii="Arial" w:eastAsia="Calibri" w:hAnsi="Arial" w:cs="Arial"/>
                <w:b/>
                <w:bCs/>
                <w:color w:val="000000"/>
                <w:sz w:val="16"/>
              </w:rPr>
              <w:t>0</w:t>
            </w:r>
            <w:r w:rsidRPr="00701F32">
              <w:rPr>
                <w:rFonts w:ascii="Arial" w:eastAsia="Calibri" w:hAnsi="Arial" w:cs="Arial"/>
                <w:b/>
                <w:bCs/>
                <w:color w:val="000000"/>
                <w:sz w:val="16"/>
              </w:rPr>
              <w:t>6</w:t>
            </w:r>
            <w:r>
              <w:rPr>
                <w:rFonts w:ascii="Arial" w:eastAsia="Calibri" w:hAnsi="Arial" w:cs="Arial"/>
                <w:b/>
                <w:bCs/>
                <w:color w:val="000000"/>
                <w:sz w:val="16"/>
              </w:rPr>
              <w:t>9</w:t>
            </w:r>
          </w:p>
        </w:tc>
      </w:tr>
    </w:tbl>
    <w:p w14:paraId="3466298D" w14:textId="77777777" w:rsidR="00F73F7F" w:rsidRDefault="00F73F7F" w:rsidP="00D242BF">
      <w:pPr>
        <w:tabs>
          <w:tab w:val="left" w:pos="142"/>
        </w:tabs>
        <w:jc w:val="both"/>
        <w:rPr>
          <w:rFonts w:ascii="Arial" w:hAnsi="Arial" w:cs="Arial"/>
          <w:b/>
          <w:sz w:val="20"/>
        </w:rPr>
      </w:pPr>
    </w:p>
    <w:p w14:paraId="3E82AD16" w14:textId="77777777" w:rsidR="00B2136F" w:rsidRDefault="00B2136F">
      <w:pPr>
        <w:rPr>
          <w:rFonts w:ascii="Arial" w:hAnsi="Arial" w:cs="Arial"/>
          <w:b/>
          <w:sz w:val="20"/>
        </w:rPr>
      </w:pPr>
      <w:r>
        <w:rPr>
          <w:rFonts w:ascii="Arial" w:hAnsi="Arial" w:cs="Arial"/>
          <w:b/>
          <w:sz w:val="20"/>
        </w:rPr>
        <w:br w:type="page"/>
      </w:r>
    </w:p>
    <w:p w14:paraId="63666ED6" w14:textId="675B8ED0" w:rsidR="00D242BF" w:rsidRPr="00701F32" w:rsidRDefault="00E23D63" w:rsidP="00D242BF">
      <w:pPr>
        <w:tabs>
          <w:tab w:val="left" w:pos="142"/>
        </w:tabs>
        <w:jc w:val="both"/>
        <w:rPr>
          <w:rFonts w:ascii="Arial" w:hAnsi="Arial" w:cs="Arial"/>
          <w:b/>
          <w:sz w:val="20"/>
        </w:rPr>
      </w:pPr>
      <w:r>
        <w:rPr>
          <w:rFonts w:ascii="Arial" w:hAnsi="Arial" w:cs="Arial"/>
          <w:b/>
          <w:sz w:val="20"/>
        </w:rPr>
        <w:t>13</w:t>
      </w:r>
      <w:r w:rsidR="00D242BF" w:rsidRPr="00701F32">
        <w:rPr>
          <w:rFonts w:ascii="Arial" w:hAnsi="Arial" w:cs="Arial"/>
          <w:b/>
          <w:sz w:val="20"/>
        </w:rPr>
        <w:t>. FONDOS COMUNES DE INVERSION</w:t>
      </w:r>
    </w:p>
    <w:p w14:paraId="6BB6E6F9" w14:textId="77777777" w:rsidR="00D242BF" w:rsidRPr="00701F32" w:rsidRDefault="00D242BF" w:rsidP="00D242BF">
      <w:pPr>
        <w:tabs>
          <w:tab w:val="left" w:pos="142"/>
        </w:tabs>
        <w:jc w:val="both"/>
        <w:rPr>
          <w:rFonts w:ascii="Arial" w:hAnsi="Arial" w:cs="Arial"/>
          <w:b/>
          <w:sz w:val="20"/>
        </w:rPr>
      </w:pPr>
    </w:p>
    <w:p w14:paraId="62C7D97D" w14:textId="6159277B" w:rsidR="00D242BF" w:rsidRDefault="00886AE1" w:rsidP="00D242BF">
      <w:pPr>
        <w:tabs>
          <w:tab w:val="left" w:pos="142"/>
        </w:tabs>
        <w:jc w:val="both"/>
        <w:rPr>
          <w:rFonts w:ascii="Arial" w:hAnsi="Arial" w:cs="Arial"/>
          <w:sz w:val="20"/>
        </w:rPr>
      </w:pPr>
      <w:r>
        <w:rPr>
          <w:rFonts w:ascii="Arial" w:hAnsi="Arial" w:cs="Arial"/>
          <w:sz w:val="20"/>
        </w:rPr>
        <w:t xml:space="preserve">Al </w:t>
      </w:r>
      <w:r w:rsidR="00525B17">
        <w:rPr>
          <w:rFonts w:ascii="Arial" w:hAnsi="Arial" w:cs="Arial"/>
          <w:sz w:val="20"/>
        </w:rPr>
        <w:t>31</w:t>
      </w:r>
      <w:r w:rsidR="006104DE">
        <w:rPr>
          <w:rFonts w:ascii="Arial" w:hAnsi="Arial" w:cs="Arial"/>
          <w:sz w:val="20"/>
        </w:rPr>
        <w:t xml:space="preserve"> </w:t>
      </w:r>
      <w:r w:rsidR="00525B17">
        <w:rPr>
          <w:rFonts w:ascii="Arial" w:hAnsi="Arial" w:cs="Arial"/>
          <w:sz w:val="20"/>
        </w:rPr>
        <w:t>de</w:t>
      </w:r>
      <w:r w:rsidR="00D242BF" w:rsidRPr="00701F32">
        <w:rPr>
          <w:rFonts w:ascii="Arial" w:hAnsi="Arial" w:cs="Arial"/>
          <w:sz w:val="20"/>
        </w:rPr>
        <w:t xml:space="preserve"> diciembre de </w:t>
      </w:r>
      <w:r w:rsidR="00E23D63">
        <w:rPr>
          <w:rFonts w:ascii="Arial" w:hAnsi="Arial" w:cs="Arial"/>
          <w:sz w:val="20"/>
        </w:rPr>
        <w:t xml:space="preserve">2019 y </w:t>
      </w:r>
      <w:r w:rsidR="008716E7">
        <w:rPr>
          <w:rFonts w:ascii="Arial" w:hAnsi="Arial" w:cs="Arial"/>
          <w:sz w:val="20"/>
        </w:rPr>
        <w:t>2018</w:t>
      </w:r>
      <w:r w:rsidR="00D242BF" w:rsidRPr="00701F32">
        <w:rPr>
          <w:rFonts w:ascii="Arial" w:hAnsi="Arial" w:cs="Arial"/>
          <w:sz w:val="20"/>
        </w:rPr>
        <w:t>, Banco Supervielle S.A. es la sociedad depositaria de los Fondos Comunes de Inversión que administra Supervielle Asset Management S.A. De acuerdo a lo requerido por la Resolución General N° 622/13 de la CNV, se detalla a continuación la cartera, patrimonio neto y cantidad de cuotapartes de los fondos comunes de inversión mencionados precedentemente.</w:t>
      </w:r>
    </w:p>
    <w:p w14:paraId="3088BD94" w14:textId="77777777" w:rsidR="00084EEA" w:rsidRDefault="00084EEA" w:rsidP="00D242BF">
      <w:pPr>
        <w:tabs>
          <w:tab w:val="left" w:pos="142"/>
        </w:tabs>
        <w:jc w:val="both"/>
        <w:rPr>
          <w:rFonts w:ascii="Arial" w:hAnsi="Arial" w:cs="Arial"/>
          <w:sz w:val="20"/>
        </w:rPr>
      </w:pPr>
    </w:p>
    <w:tbl>
      <w:tblPr>
        <w:tblW w:w="9001" w:type="dxa"/>
        <w:tblLayout w:type="fixed"/>
        <w:tblCellMar>
          <w:left w:w="70" w:type="dxa"/>
          <w:right w:w="70" w:type="dxa"/>
        </w:tblCellMar>
        <w:tblLook w:val="04A0" w:firstRow="1" w:lastRow="0" w:firstColumn="1" w:lastColumn="0" w:noHBand="0" w:noVBand="1"/>
      </w:tblPr>
      <w:tblGrid>
        <w:gridCol w:w="2291"/>
        <w:gridCol w:w="1135"/>
        <w:gridCol w:w="1074"/>
        <w:gridCol w:w="9"/>
        <w:gridCol w:w="998"/>
        <w:gridCol w:w="1010"/>
        <w:gridCol w:w="9"/>
        <w:gridCol w:w="1199"/>
        <w:gridCol w:w="1276"/>
      </w:tblGrid>
      <w:tr w:rsidR="006227D4" w:rsidRPr="006F2033" w14:paraId="61330444" w14:textId="77777777" w:rsidTr="00A059FB">
        <w:trPr>
          <w:trHeight w:val="186"/>
          <w:tblHeader/>
        </w:trPr>
        <w:tc>
          <w:tcPr>
            <w:tcW w:w="22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CDDC98" w14:textId="77777777" w:rsidR="006227D4" w:rsidRPr="00E01808" w:rsidRDefault="006227D4" w:rsidP="001B4F5C">
            <w:pPr>
              <w:jc w:val="center"/>
              <w:rPr>
                <w:rFonts w:ascii="Arial" w:hAnsi="Arial" w:cs="Arial"/>
                <w:b/>
                <w:bCs/>
                <w:color w:val="000000"/>
                <w:sz w:val="16"/>
                <w:szCs w:val="16"/>
                <w:lang w:eastAsia="es-AR"/>
              </w:rPr>
            </w:pPr>
            <w:r w:rsidRPr="00EC349E">
              <w:rPr>
                <w:rFonts w:ascii="Arial" w:hAnsi="Arial" w:cs="Arial"/>
                <w:b/>
                <w:bCs/>
                <w:color w:val="000000"/>
                <w:sz w:val="16"/>
                <w:szCs w:val="18"/>
                <w:lang w:eastAsia="es-AR"/>
              </w:rPr>
              <w:t>Fondo común de inversión</w:t>
            </w:r>
          </w:p>
        </w:tc>
        <w:tc>
          <w:tcPr>
            <w:tcW w:w="2218" w:type="dxa"/>
            <w:gridSpan w:val="3"/>
            <w:tcBorders>
              <w:top w:val="single" w:sz="4" w:space="0" w:color="auto"/>
              <w:left w:val="nil"/>
              <w:bottom w:val="single" w:sz="4" w:space="0" w:color="auto"/>
              <w:right w:val="single" w:sz="4" w:space="0" w:color="auto"/>
            </w:tcBorders>
            <w:shd w:val="clear" w:color="auto" w:fill="auto"/>
            <w:noWrap/>
            <w:vAlign w:val="bottom"/>
            <w:hideMark/>
          </w:tcPr>
          <w:p w14:paraId="1D9486EB" w14:textId="77777777" w:rsidR="006227D4" w:rsidRPr="00EC349E" w:rsidRDefault="006227D4" w:rsidP="001B4F5C">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Activo</w:t>
            </w:r>
          </w:p>
        </w:tc>
        <w:tc>
          <w:tcPr>
            <w:tcW w:w="2017" w:type="dxa"/>
            <w:gridSpan w:val="3"/>
            <w:tcBorders>
              <w:top w:val="single" w:sz="4" w:space="0" w:color="auto"/>
              <w:left w:val="nil"/>
              <w:bottom w:val="single" w:sz="4" w:space="0" w:color="auto"/>
              <w:right w:val="single" w:sz="4" w:space="0" w:color="auto"/>
            </w:tcBorders>
            <w:shd w:val="clear" w:color="auto" w:fill="auto"/>
            <w:noWrap/>
            <w:vAlign w:val="bottom"/>
            <w:hideMark/>
          </w:tcPr>
          <w:p w14:paraId="660894B9" w14:textId="77777777" w:rsidR="006227D4" w:rsidRPr="00EC349E" w:rsidRDefault="006227D4" w:rsidP="001B4F5C">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Patrimonio Neto</w:t>
            </w:r>
          </w:p>
        </w:tc>
        <w:tc>
          <w:tcPr>
            <w:tcW w:w="247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3E759D" w14:textId="77777777" w:rsidR="006227D4" w:rsidRPr="00EC349E" w:rsidRDefault="006227D4" w:rsidP="001B4F5C">
            <w:pPr>
              <w:jc w:val="center"/>
              <w:rPr>
                <w:rFonts w:ascii="Arial" w:hAnsi="Arial" w:cs="Arial"/>
                <w:b/>
                <w:bCs/>
                <w:color w:val="000000"/>
                <w:sz w:val="16"/>
                <w:szCs w:val="18"/>
                <w:lang w:eastAsia="es-AR"/>
              </w:rPr>
            </w:pPr>
            <w:r w:rsidRPr="00EC349E">
              <w:rPr>
                <w:rFonts w:ascii="Arial" w:hAnsi="Arial" w:cs="Arial"/>
                <w:b/>
                <w:bCs/>
                <w:color w:val="000000"/>
                <w:sz w:val="16"/>
                <w:szCs w:val="18"/>
                <w:lang w:eastAsia="es-AR"/>
              </w:rPr>
              <w:t>Cantidad de Cuotapartes</w:t>
            </w:r>
          </w:p>
        </w:tc>
      </w:tr>
      <w:tr w:rsidR="006227D4" w:rsidRPr="006F2033" w14:paraId="00945792" w14:textId="77777777" w:rsidTr="00A059FB">
        <w:trPr>
          <w:trHeight w:val="186"/>
          <w:tblHeader/>
        </w:trPr>
        <w:tc>
          <w:tcPr>
            <w:tcW w:w="2291" w:type="dxa"/>
            <w:vMerge/>
            <w:tcBorders>
              <w:top w:val="single" w:sz="4" w:space="0" w:color="auto"/>
              <w:left w:val="single" w:sz="4" w:space="0" w:color="auto"/>
              <w:bottom w:val="single" w:sz="4" w:space="0" w:color="auto"/>
              <w:right w:val="single" w:sz="4" w:space="0" w:color="auto"/>
            </w:tcBorders>
            <w:vAlign w:val="center"/>
            <w:hideMark/>
          </w:tcPr>
          <w:p w14:paraId="7D3784D5" w14:textId="77777777" w:rsidR="006227D4" w:rsidRPr="00EC349E" w:rsidRDefault="006227D4" w:rsidP="001B4F5C">
            <w:pPr>
              <w:rPr>
                <w:rFonts w:ascii="Arial" w:hAnsi="Arial" w:cs="Arial"/>
                <w:b/>
                <w:bCs/>
                <w:color w:val="000000"/>
                <w:sz w:val="16"/>
                <w:szCs w:val="18"/>
                <w:lang w:eastAsia="es-AR"/>
              </w:rPr>
            </w:pPr>
          </w:p>
        </w:tc>
        <w:tc>
          <w:tcPr>
            <w:tcW w:w="1135" w:type="dxa"/>
            <w:tcBorders>
              <w:top w:val="nil"/>
              <w:left w:val="nil"/>
              <w:bottom w:val="single" w:sz="4" w:space="0" w:color="auto"/>
              <w:right w:val="single" w:sz="4" w:space="0" w:color="auto"/>
            </w:tcBorders>
            <w:shd w:val="clear" w:color="auto" w:fill="auto"/>
            <w:noWrap/>
          </w:tcPr>
          <w:p w14:paraId="55EFE14E" w14:textId="7E26CA64" w:rsidR="006227D4" w:rsidRPr="001D2B86" w:rsidRDefault="00E23D63" w:rsidP="001B4F5C">
            <w:pPr>
              <w:jc w:val="center"/>
              <w:rPr>
                <w:rFonts w:ascii="Arial" w:hAnsi="Arial" w:cs="Arial"/>
                <w:b/>
                <w:bCs/>
                <w:color w:val="000000"/>
                <w:sz w:val="16"/>
                <w:szCs w:val="16"/>
                <w:lang w:eastAsia="es-AR"/>
              </w:rPr>
            </w:pPr>
            <w:r>
              <w:rPr>
                <w:rFonts w:ascii="Arial" w:hAnsi="Arial" w:cs="Arial"/>
                <w:b/>
                <w:bCs/>
                <w:color w:val="000000"/>
                <w:sz w:val="16"/>
                <w:szCs w:val="16"/>
                <w:lang w:eastAsia="es-AR"/>
              </w:rPr>
              <w:t>31/12/2019</w:t>
            </w:r>
          </w:p>
        </w:tc>
        <w:tc>
          <w:tcPr>
            <w:tcW w:w="1074" w:type="dxa"/>
            <w:tcBorders>
              <w:top w:val="nil"/>
              <w:left w:val="nil"/>
              <w:bottom w:val="single" w:sz="4" w:space="0" w:color="auto"/>
              <w:right w:val="single" w:sz="4" w:space="0" w:color="auto"/>
            </w:tcBorders>
            <w:shd w:val="clear" w:color="auto" w:fill="auto"/>
            <w:noWrap/>
          </w:tcPr>
          <w:p w14:paraId="6EA345F9" w14:textId="77777777" w:rsidR="006227D4" w:rsidRPr="001D2B86" w:rsidRDefault="006227D4" w:rsidP="001B4F5C">
            <w:pPr>
              <w:jc w:val="center"/>
              <w:rPr>
                <w:rFonts w:ascii="Arial" w:hAnsi="Arial" w:cs="Arial"/>
                <w:b/>
                <w:bCs/>
                <w:color w:val="000000"/>
                <w:sz w:val="16"/>
                <w:szCs w:val="16"/>
                <w:lang w:eastAsia="es-AR"/>
              </w:rPr>
            </w:pPr>
            <w:r w:rsidRPr="00534414">
              <w:rPr>
                <w:rFonts w:ascii="Arial" w:hAnsi="Arial" w:cs="Arial"/>
                <w:b/>
                <w:sz w:val="16"/>
                <w:szCs w:val="16"/>
              </w:rPr>
              <w:t>31/12/2018</w:t>
            </w:r>
          </w:p>
        </w:tc>
        <w:tc>
          <w:tcPr>
            <w:tcW w:w="1007" w:type="dxa"/>
            <w:gridSpan w:val="2"/>
            <w:tcBorders>
              <w:top w:val="nil"/>
              <w:left w:val="nil"/>
              <w:bottom w:val="single" w:sz="4" w:space="0" w:color="auto"/>
              <w:right w:val="single" w:sz="4" w:space="0" w:color="auto"/>
            </w:tcBorders>
            <w:shd w:val="clear" w:color="auto" w:fill="auto"/>
            <w:noWrap/>
          </w:tcPr>
          <w:p w14:paraId="08C05D18" w14:textId="481478A4" w:rsidR="006227D4" w:rsidRPr="001D2B86" w:rsidRDefault="00E23D63" w:rsidP="001B4F5C">
            <w:pPr>
              <w:jc w:val="center"/>
              <w:rPr>
                <w:rFonts w:ascii="Arial" w:hAnsi="Arial" w:cs="Arial"/>
                <w:b/>
                <w:bCs/>
                <w:color w:val="000000"/>
                <w:sz w:val="16"/>
                <w:szCs w:val="16"/>
                <w:lang w:eastAsia="es-AR"/>
              </w:rPr>
            </w:pPr>
            <w:r>
              <w:rPr>
                <w:rFonts w:ascii="Arial" w:hAnsi="Arial" w:cs="Arial"/>
                <w:b/>
                <w:bCs/>
                <w:color w:val="000000"/>
                <w:sz w:val="16"/>
                <w:szCs w:val="16"/>
                <w:lang w:eastAsia="es-AR"/>
              </w:rPr>
              <w:t>31/12/2019</w:t>
            </w:r>
          </w:p>
        </w:tc>
        <w:tc>
          <w:tcPr>
            <w:tcW w:w="1010" w:type="dxa"/>
            <w:tcBorders>
              <w:top w:val="nil"/>
              <w:left w:val="nil"/>
              <w:bottom w:val="single" w:sz="4" w:space="0" w:color="auto"/>
              <w:right w:val="single" w:sz="4" w:space="0" w:color="auto"/>
            </w:tcBorders>
            <w:shd w:val="clear" w:color="auto" w:fill="auto"/>
            <w:noWrap/>
          </w:tcPr>
          <w:p w14:paraId="56C00A1B" w14:textId="77777777" w:rsidR="006227D4" w:rsidRPr="001D2B86" w:rsidRDefault="006227D4" w:rsidP="001B4F5C">
            <w:pPr>
              <w:jc w:val="center"/>
              <w:rPr>
                <w:rFonts w:ascii="Arial" w:hAnsi="Arial" w:cs="Arial"/>
                <w:b/>
                <w:bCs/>
                <w:color w:val="000000"/>
                <w:sz w:val="16"/>
                <w:szCs w:val="16"/>
                <w:lang w:eastAsia="es-AR"/>
              </w:rPr>
            </w:pPr>
            <w:r w:rsidRPr="00534414">
              <w:rPr>
                <w:rFonts w:ascii="Arial" w:hAnsi="Arial" w:cs="Arial"/>
                <w:b/>
                <w:sz w:val="16"/>
                <w:szCs w:val="16"/>
              </w:rPr>
              <w:t>31/12/2018</w:t>
            </w:r>
          </w:p>
        </w:tc>
        <w:tc>
          <w:tcPr>
            <w:tcW w:w="1208" w:type="dxa"/>
            <w:gridSpan w:val="2"/>
            <w:tcBorders>
              <w:top w:val="nil"/>
              <w:left w:val="nil"/>
              <w:bottom w:val="single" w:sz="4" w:space="0" w:color="auto"/>
              <w:right w:val="single" w:sz="4" w:space="0" w:color="auto"/>
            </w:tcBorders>
            <w:shd w:val="clear" w:color="auto" w:fill="auto"/>
            <w:noWrap/>
          </w:tcPr>
          <w:p w14:paraId="205083FA" w14:textId="438AA02A" w:rsidR="006227D4" w:rsidRPr="001D2B86" w:rsidRDefault="00E23D63" w:rsidP="001B4F5C">
            <w:pPr>
              <w:jc w:val="center"/>
              <w:rPr>
                <w:rFonts w:ascii="Arial" w:hAnsi="Arial" w:cs="Arial"/>
                <w:b/>
                <w:bCs/>
                <w:color w:val="000000"/>
                <w:sz w:val="16"/>
                <w:szCs w:val="16"/>
                <w:lang w:eastAsia="es-AR"/>
              </w:rPr>
            </w:pPr>
            <w:r>
              <w:rPr>
                <w:rFonts w:ascii="Arial" w:hAnsi="Arial" w:cs="Arial"/>
                <w:b/>
                <w:bCs/>
                <w:color w:val="000000"/>
                <w:sz w:val="16"/>
                <w:szCs w:val="16"/>
                <w:lang w:eastAsia="es-AR"/>
              </w:rPr>
              <w:t>31/12/2019</w:t>
            </w:r>
          </w:p>
        </w:tc>
        <w:tc>
          <w:tcPr>
            <w:tcW w:w="1276" w:type="dxa"/>
            <w:tcBorders>
              <w:top w:val="nil"/>
              <w:left w:val="nil"/>
              <w:bottom w:val="single" w:sz="4" w:space="0" w:color="auto"/>
              <w:right w:val="single" w:sz="4" w:space="0" w:color="auto"/>
            </w:tcBorders>
            <w:shd w:val="clear" w:color="auto" w:fill="auto"/>
            <w:noWrap/>
          </w:tcPr>
          <w:p w14:paraId="4BE3E350" w14:textId="77777777" w:rsidR="006227D4" w:rsidRPr="00534414" w:rsidRDefault="006227D4" w:rsidP="001B4F5C">
            <w:pPr>
              <w:jc w:val="center"/>
              <w:rPr>
                <w:rFonts w:ascii="Arial" w:hAnsi="Arial" w:cs="Arial"/>
                <w:b/>
                <w:sz w:val="16"/>
                <w:szCs w:val="16"/>
              </w:rPr>
            </w:pPr>
            <w:r w:rsidRPr="00534414">
              <w:rPr>
                <w:rFonts w:ascii="Arial" w:hAnsi="Arial" w:cs="Arial"/>
                <w:b/>
                <w:sz w:val="16"/>
                <w:szCs w:val="16"/>
              </w:rPr>
              <w:t>31/12/2018</w:t>
            </w:r>
          </w:p>
        </w:tc>
      </w:tr>
      <w:tr w:rsidR="0025710E" w:rsidRPr="006F2033" w14:paraId="7115F5D3"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55F037E8"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Renta CP en Pesos</w:t>
            </w:r>
          </w:p>
        </w:tc>
        <w:tc>
          <w:tcPr>
            <w:tcW w:w="1135" w:type="dxa"/>
            <w:tcBorders>
              <w:top w:val="nil"/>
              <w:left w:val="nil"/>
              <w:bottom w:val="single" w:sz="4" w:space="0" w:color="auto"/>
              <w:right w:val="single" w:sz="4" w:space="0" w:color="auto"/>
            </w:tcBorders>
            <w:shd w:val="clear" w:color="auto" w:fill="auto"/>
            <w:noWrap/>
            <w:vAlign w:val="center"/>
          </w:tcPr>
          <w:p w14:paraId="7B9D9E23" w14:textId="45A97873" w:rsidR="0025710E" w:rsidRPr="002047BA" w:rsidRDefault="0025710E" w:rsidP="002E1657">
            <w:pPr>
              <w:jc w:val="right"/>
              <w:rPr>
                <w:rFonts w:ascii="Arial" w:hAnsi="Arial" w:cs="Arial"/>
                <w:sz w:val="16"/>
                <w:szCs w:val="16"/>
                <w:lang w:eastAsia="es-AR"/>
              </w:rPr>
            </w:pPr>
            <w:r w:rsidRPr="00136846">
              <w:rPr>
                <w:rFonts w:ascii="Arial" w:hAnsi="Arial" w:cs="Arial"/>
                <w:sz w:val="16"/>
                <w:szCs w:val="16"/>
              </w:rPr>
              <w:t>14.031.863</w:t>
            </w:r>
          </w:p>
        </w:tc>
        <w:tc>
          <w:tcPr>
            <w:tcW w:w="1074" w:type="dxa"/>
            <w:tcBorders>
              <w:top w:val="nil"/>
              <w:left w:val="nil"/>
              <w:bottom w:val="single" w:sz="4" w:space="0" w:color="auto"/>
              <w:right w:val="single" w:sz="4" w:space="0" w:color="auto"/>
            </w:tcBorders>
            <w:shd w:val="clear" w:color="auto" w:fill="auto"/>
            <w:noWrap/>
            <w:vAlign w:val="center"/>
          </w:tcPr>
          <w:p w14:paraId="68C8AEBB" w14:textId="45640639" w:rsidR="0025710E" w:rsidRPr="00525B17" w:rsidRDefault="0025710E" w:rsidP="002E1657">
            <w:pPr>
              <w:jc w:val="right"/>
              <w:rPr>
                <w:rFonts w:ascii="Arial" w:hAnsi="Arial" w:cs="Arial"/>
                <w:color w:val="000000"/>
                <w:sz w:val="16"/>
                <w:szCs w:val="16"/>
                <w:lang w:eastAsia="es-AR"/>
              </w:rPr>
            </w:pPr>
            <w:r w:rsidRPr="00534414">
              <w:rPr>
                <w:rFonts w:ascii="Arial" w:hAnsi="Arial" w:cs="Arial"/>
                <w:sz w:val="16"/>
                <w:szCs w:val="16"/>
              </w:rPr>
              <w:t>5.383.139</w:t>
            </w:r>
          </w:p>
        </w:tc>
        <w:tc>
          <w:tcPr>
            <w:tcW w:w="1007" w:type="dxa"/>
            <w:gridSpan w:val="2"/>
            <w:tcBorders>
              <w:top w:val="nil"/>
              <w:left w:val="nil"/>
              <w:bottom w:val="single" w:sz="4" w:space="0" w:color="auto"/>
              <w:right w:val="single" w:sz="4" w:space="0" w:color="auto"/>
            </w:tcBorders>
            <w:shd w:val="clear" w:color="auto" w:fill="auto"/>
            <w:noWrap/>
            <w:vAlign w:val="center"/>
          </w:tcPr>
          <w:p w14:paraId="75E42C40" w14:textId="294F98D7" w:rsidR="0025710E" w:rsidRPr="002047BA" w:rsidRDefault="0025710E" w:rsidP="002E1657">
            <w:pPr>
              <w:jc w:val="right"/>
              <w:rPr>
                <w:rFonts w:ascii="Arial" w:hAnsi="Arial" w:cs="Arial"/>
                <w:sz w:val="16"/>
                <w:szCs w:val="16"/>
                <w:lang w:eastAsia="es-AR"/>
              </w:rPr>
            </w:pPr>
            <w:r w:rsidRPr="00136846">
              <w:rPr>
                <w:rFonts w:ascii="Arial" w:hAnsi="Arial" w:cs="Arial"/>
                <w:sz w:val="16"/>
                <w:szCs w:val="16"/>
              </w:rPr>
              <w:t>14.010.386</w:t>
            </w:r>
          </w:p>
        </w:tc>
        <w:tc>
          <w:tcPr>
            <w:tcW w:w="1010" w:type="dxa"/>
            <w:tcBorders>
              <w:top w:val="nil"/>
              <w:left w:val="nil"/>
              <w:bottom w:val="single" w:sz="4" w:space="0" w:color="auto"/>
              <w:right w:val="single" w:sz="4" w:space="0" w:color="auto"/>
            </w:tcBorders>
            <w:shd w:val="clear" w:color="auto" w:fill="auto"/>
            <w:noWrap/>
            <w:vAlign w:val="center"/>
          </w:tcPr>
          <w:p w14:paraId="4D8277CE" w14:textId="460EB79D" w:rsidR="0025710E" w:rsidRPr="00525B17" w:rsidRDefault="0025710E" w:rsidP="002E1657">
            <w:pPr>
              <w:jc w:val="right"/>
              <w:rPr>
                <w:rFonts w:ascii="Arial" w:hAnsi="Arial" w:cs="Arial"/>
                <w:color w:val="000000"/>
                <w:sz w:val="16"/>
                <w:szCs w:val="16"/>
                <w:lang w:eastAsia="es-AR"/>
              </w:rPr>
            </w:pPr>
            <w:r w:rsidRPr="00534414">
              <w:rPr>
                <w:rFonts w:ascii="Arial" w:hAnsi="Arial" w:cs="Arial"/>
                <w:sz w:val="16"/>
                <w:szCs w:val="16"/>
              </w:rPr>
              <w:t>5.373.434</w:t>
            </w:r>
          </w:p>
        </w:tc>
        <w:tc>
          <w:tcPr>
            <w:tcW w:w="1208" w:type="dxa"/>
            <w:gridSpan w:val="2"/>
            <w:tcBorders>
              <w:top w:val="nil"/>
              <w:left w:val="nil"/>
              <w:bottom w:val="single" w:sz="4" w:space="0" w:color="auto"/>
              <w:right w:val="single" w:sz="4" w:space="0" w:color="auto"/>
            </w:tcBorders>
            <w:shd w:val="clear" w:color="auto" w:fill="auto"/>
            <w:noWrap/>
            <w:vAlign w:val="center"/>
          </w:tcPr>
          <w:p w14:paraId="213AEAB0" w14:textId="3DA6C971" w:rsidR="0025710E" w:rsidRPr="002047BA" w:rsidRDefault="0025710E" w:rsidP="002E1657">
            <w:pPr>
              <w:jc w:val="right"/>
              <w:rPr>
                <w:rFonts w:ascii="Arial" w:hAnsi="Arial" w:cs="Arial"/>
                <w:sz w:val="16"/>
                <w:szCs w:val="16"/>
                <w:lang w:eastAsia="es-AR"/>
              </w:rPr>
            </w:pPr>
            <w:r w:rsidRPr="00136846">
              <w:rPr>
                <w:rFonts w:ascii="Arial" w:hAnsi="Arial" w:cs="Arial"/>
                <w:sz w:val="16"/>
                <w:szCs w:val="16"/>
              </w:rPr>
              <w:t>3.958.398.573</w:t>
            </w:r>
          </w:p>
        </w:tc>
        <w:tc>
          <w:tcPr>
            <w:tcW w:w="1276" w:type="dxa"/>
            <w:tcBorders>
              <w:top w:val="nil"/>
              <w:left w:val="nil"/>
              <w:bottom w:val="single" w:sz="4" w:space="0" w:color="auto"/>
              <w:right w:val="single" w:sz="4" w:space="0" w:color="auto"/>
            </w:tcBorders>
            <w:shd w:val="clear" w:color="auto" w:fill="auto"/>
            <w:noWrap/>
            <w:vAlign w:val="center"/>
          </w:tcPr>
          <w:p w14:paraId="6C4A1509" w14:textId="62A1CEA5" w:rsidR="0025710E" w:rsidRPr="00534414" w:rsidRDefault="0025710E" w:rsidP="002E1657">
            <w:pPr>
              <w:jc w:val="right"/>
              <w:rPr>
                <w:rFonts w:ascii="Arial" w:hAnsi="Arial" w:cs="Arial"/>
                <w:sz w:val="16"/>
                <w:szCs w:val="16"/>
              </w:rPr>
            </w:pPr>
            <w:r w:rsidRPr="00534414">
              <w:rPr>
                <w:rFonts w:ascii="Arial" w:hAnsi="Arial" w:cs="Arial"/>
                <w:sz w:val="16"/>
                <w:szCs w:val="16"/>
              </w:rPr>
              <w:t>1.475.029.312</w:t>
            </w:r>
          </w:p>
        </w:tc>
      </w:tr>
      <w:tr w:rsidR="0025710E" w:rsidRPr="006F2033" w14:paraId="7B4F6B0A"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72848DB8"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Renta Plus en Pesos</w:t>
            </w:r>
          </w:p>
        </w:tc>
        <w:tc>
          <w:tcPr>
            <w:tcW w:w="1135" w:type="dxa"/>
            <w:tcBorders>
              <w:top w:val="nil"/>
              <w:left w:val="nil"/>
              <w:bottom w:val="single" w:sz="4" w:space="0" w:color="auto"/>
              <w:right w:val="single" w:sz="4" w:space="0" w:color="auto"/>
            </w:tcBorders>
            <w:shd w:val="clear" w:color="auto" w:fill="auto"/>
            <w:noWrap/>
            <w:vAlign w:val="center"/>
          </w:tcPr>
          <w:p w14:paraId="623DC59A" w14:textId="74817517"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109.147</w:t>
            </w:r>
          </w:p>
        </w:tc>
        <w:tc>
          <w:tcPr>
            <w:tcW w:w="1074" w:type="dxa"/>
            <w:tcBorders>
              <w:top w:val="nil"/>
              <w:left w:val="nil"/>
              <w:bottom w:val="single" w:sz="4" w:space="0" w:color="auto"/>
              <w:right w:val="single" w:sz="4" w:space="0" w:color="auto"/>
            </w:tcBorders>
            <w:shd w:val="clear" w:color="auto" w:fill="auto"/>
            <w:noWrap/>
          </w:tcPr>
          <w:p w14:paraId="76D2853A" w14:textId="3A49B879"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372.537</w:t>
            </w:r>
          </w:p>
        </w:tc>
        <w:tc>
          <w:tcPr>
            <w:tcW w:w="1007" w:type="dxa"/>
            <w:gridSpan w:val="2"/>
            <w:tcBorders>
              <w:top w:val="nil"/>
              <w:left w:val="nil"/>
              <w:bottom w:val="single" w:sz="4" w:space="0" w:color="auto"/>
              <w:right w:val="single" w:sz="4" w:space="0" w:color="auto"/>
            </w:tcBorders>
            <w:shd w:val="clear" w:color="auto" w:fill="auto"/>
            <w:noWrap/>
            <w:vAlign w:val="center"/>
          </w:tcPr>
          <w:p w14:paraId="054DEB93" w14:textId="3936BAFF"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107.200</w:t>
            </w:r>
          </w:p>
        </w:tc>
        <w:tc>
          <w:tcPr>
            <w:tcW w:w="1010" w:type="dxa"/>
            <w:tcBorders>
              <w:top w:val="nil"/>
              <w:left w:val="nil"/>
              <w:bottom w:val="single" w:sz="4" w:space="0" w:color="auto"/>
              <w:right w:val="single" w:sz="4" w:space="0" w:color="auto"/>
            </w:tcBorders>
            <w:shd w:val="clear" w:color="auto" w:fill="auto"/>
            <w:noWrap/>
          </w:tcPr>
          <w:p w14:paraId="1953104A" w14:textId="28678A3D"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360.626</w:t>
            </w:r>
          </w:p>
        </w:tc>
        <w:tc>
          <w:tcPr>
            <w:tcW w:w="1208" w:type="dxa"/>
            <w:gridSpan w:val="2"/>
            <w:tcBorders>
              <w:top w:val="nil"/>
              <w:left w:val="nil"/>
              <w:bottom w:val="single" w:sz="4" w:space="0" w:color="auto"/>
              <w:right w:val="single" w:sz="4" w:space="0" w:color="auto"/>
            </w:tcBorders>
            <w:shd w:val="clear" w:color="auto" w:fill="auto"/>
            <w:noWrap/>
            <w:vAlign w:val="center"/>
          </w:tcPr>
          <w:p w14:paraId="22A4AEF7" w14:textId="272F0B78"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10.250.999</w:t>
            </w:r>
          </w:p>
        </w:tc>
        <w:tc>
          <w:tcPr>
            <w:tcW w:w="1276" w:type="dxa"/>
            <w:tcBorders>
              <w:top w:val="nil"/>
              <w:left w:val="nil"/>
              <w:bottom w:val="single" w:sz="4" w:space="0" w:color="auto"/>
              <w:right w:val="single" w:sz="4" w:space="0" w:color="auto"/>
            </w:tcBorders>
            <w:shd w:val="clear" w:color="auto" w:fill="auto"/>
            <w:noWrap/>
          </w:tcPr>
          <w:p w14:paraId="22D90988" w14:textId="3D1756D5" w:rsidR="0025710E" w:rsidRPr="00534414" w:rsidRDefault="0025710E" w:rsidP="0025710E">
            <w:pPr>
              <w:jc w:val="right"/>
              <w:rPr>
                <w:rFonts w:ascii="Arial" w:hAnsi="Arial" w:cs="Arial"/>
                <w:sz w:val="16"/>
                <w:szCs w:val="16"/>
              </w:rPr>
            </w:pPr>
            <w:r w:rsidRPr="00534414">
              <w:rPr>
                <w:rFonts w:ascii="Arial" w:hAnsi="Arial" w:cs="Arial"/>
                <w:sz w:val="16"/>
                <w:szCs w:val="16"/>
              </w:rPr>
              <w:t>49.671.811</w:t>
            </w:r>
          </w:p>
        </w:tc>
      </w:tr>
      <w:tr w:rsidR="0025710E" w:rsidRPr="006F2033" w14:paraId="52894B6A"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30CA4729"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Renta Fija Ahorro</w:t>
            </w:r>
          </w:p>
        </w:tc>
        <w:tc>
          <w:tcPr>
            <w:tcW w:w="1135" w:type="dxa"/>
            <w:tcBorders>
              <w:top w:val="nil"/>
              <w:left w:val="nil"/>
              <w:bottom w:val="single" w:sz="4" w:space="0" w:color="auto"/>
              <w:right w:val="single" w:sz="4" w:space="0" w:color="auto"/>
            </w:tcBorders>
            <w:shd w:val="clear" w:color="auto" w:fill="auto"/>
            <w:noWrap/>
            <w:vAlign w:val="center"/>
          </w:tcPr>
          <w:p w14:paraId="5B18B25B" w14:textId="436B040B"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465.427</w:t>
            </w:r>
          </w:p>
        </w:tc>
        <w:tc>
          <w:tcPr>
            <w:tcW w:w="1074" w:type="dxa"/>
            <w:tcBorders>
              <w:top w:val="nil"/>
              <w:left w:val="nil"/>
              <w:bottom w:val="single" w:sz="4" w:space="0" w:color="auto"/>
              <w:right w:val="single" w:sz="4" w:space="0" w:color="auto"/>
            </w:tcBorders>
            <w:shd w:val="clear" w:color="auto" w:fill="auto"/>
            <w:noWrap/>
          </w:tcPr>
          <w:p w14:paraId="5D7F2B51" w14:textId="0208F8A5"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3.351.833</w:t>
            </w:r>
          </w:p>
        </w:tc>
        <w:tc>
          <w:tcPr>
            <w:tcW w:w="1007" w:type="dxa"/>
            <w:gridSpan w:val="2"/>
            <w:tcBorders>
              <w:top w:val="nil"/>
              <w:left w:val="nil"/>
              <w:bottom w:val="single" w:sz="4" w:space="0" w:color="auto"/>
              <w:right w:val="single" w:sz="4" w:space="0" w:color="auto"/>
            </w:tcBorders>
            <w:shd w:val="clear" w:color="auto" w:fill="auto"/>
            <w:noWrap/>
            <w:vAlign w:val="center"/>
          </w:tcPr>
          <w:p w14:paraId="72ADAF98" w14:textId="2D377DED"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459.494</w:t>
            </w:r>
          </w:p>
        </w:tc>
        <w:tc>
          <w:tcPr>
            <w:tcW w:w="1010" w:type="dxa"/>
            <w:tcBorders>
              <w:top w:val="nil"/>
              <w:left w:val="nil"/>
              <w:bottom w:val="single" w:sz="4" w:space="0" w:color="auto"/>
              <w:right w:val="single" w:sz="4" w:space="0" w:color="auto"/>
            </w:tcBorders>
            <w:shd w:val="clear" w:color="auto" w:fill="auto"/>
            <w:noWrap/>
          </w:tcPr>
          <w:p w14:paraId="0C364D03" w14:textId="624006D2"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3.275.490</w:t>
            </w:r>
          </w:p>
        </w:tc>
        <w:tc>
          <w:tcPr>
            <w:tcW w:w="1208" w:type="dxa"/>
            <w:gridSpan w:val="2"/>
            <w:tcBorders>
              <w:top w:val="nil"/>
              <w:left w:val="nil"/>
              <w:bottom w:val="single" w:sz="4" w:space="0" w:color="auto"/>
              <w:right w:val="single" w:sz="4" w:space="0" w:color="auto"/>
            </w:tcBorders>
            <w:shd w:val="clear" w:color="auto" w:fill="auto"/>
            <w:noWrap/>
            <w:vAlign w:val="center"/>
          </w:tcPr>
          <w:p w14:paraId="1A352A0F" w14:textId="4D5292B6"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12.851.475</w:t>
            </w:r>
          </w:p>
        </w:tc>
        <w:tc>
          <w:tcPr>
            <w:tcW w:w="1276" w:type="dxa"/>
            <w:tcBorders>
              <w:top w:val="nil"/>
              <w:left w:val="nil"/>
              <w:bottom w:val="single" w:sz="4" w:space="0" w:color="auto"/>
              <w:right w:val="single" w:sz="4" w:space="0" w:color="auto"/>
            </w:tcBorders>
            <w:shd w:val="clear" w:color="auto" w:fill="auto"/>
            <w:noWrap/>
          </w:tcPr>
          <w:p w14:paraId="049B3D3F" w14:textId="060918AC" w:rsidR="0025710E" w:rsidRPr="00534414" w:rsidRDefault="0025710E" w:rsidP="0025710E">
            <w:pPr>
              <w:jc w:val="right"/>
              <w:rPr>
                <w:rFonts w:ascii="Arial" w:hAnsi="Arial" w:cs="Arial"/>
                <w:sz w:val="16"/>
                <w:szCs w:val="16"/>
              </w:rPr>
            </w:pPr>
            <w:r w:rsidRPr="00534414">
              <w:rPr>
                <w:rFonts w:ascii="Arial" w:hAnsi="Arial" w:cs="Arial"/>
                <w:sz w:val="16"/>
                <w:szCs w:val="16"/>
              </w:rPr>
              <w:t>136.640.47</w:t>
            </w:r>
            <w:r>
              <w:rPr>
                <w:rFonts w:ascii="Arial" w:hAnsi="Arial" w:cs="Arial"/>
                <w:sz w:val="16"/>
                <w:szCs w:val="16"/>
              </w:rPr>
              <w:t>2</w:t>
            </w:r>
          </w:p>
        </w:tc>
      </w:tr>
      <w:tr w:rsidR="0025710E" w:rsidRPr="006F2033" w14:paraId="462DDE5B"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781EFDD1"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Renta Fija Crecimiento</w:t>
            </w:r>
          </w:p>
        </w:tc>
        <w:tc>
          <w:tcPr>
            <w:tcW w:w="1135" w:type="dxa"/>
            <w:tcBorders>
              <w:top w:val="nil"/>
              <w:left w:val="nil"/>
              <w:bottom w:val="single" w:sz="4" w:space="0" w:color="auto"/>
              <w:right w:val="single" w:sz="4" w:space="0" w:color="auto"/>
            </w:tcBorders>
            <w:shd w:val="clear" w:color="auto" w:fill="auto"/>
            <w:noWrap/>
            <w:vAlign w:val="center"/>
          </w:tcPr>
          <w:p w14:paraId="57FC32BC" w14:textId="2604369C"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46.922</w:t>
            </w:r>
          </w:p>
        </w:tc>
        <w:tc>
          <w:tcPr>
            <w:tcW w:w="1074" w:type="dxa"/>
            <w:tcBorders>
              <w:top w:val="nil"/>
              <w:left w:val="nil"/>
              <w:bottom w:val="single" w:sz="4" w:space="0" w:color="auto"/>
              <w:right w:val="single" w:sz="4" w:space="0" w:color="auto"/>
            </w:tcBorders>
            <w:shd w:val="clear" w:color="auto" w:fill="auto"/>
            <w:noWrap/>
          </w:tcPr>
          <w:p w14:paraId="01334139" w14:textId="119A0A3F"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43.644</w:t>
            </w:r>
          </w:p>
        </w:tc>
        <w:tc>
          <w:tcPr>
            <w:tcW w:w="1007" w:type="dxa"/>
            <w:gridSpan w:val="2"/>
            <w:tcBorders>
              <w:top w:val="nil"/>
              <w:left w:val="nil"/>
              <w:bottom w:val="single" w:sz="4" w:space="0" w:color="auto"/>
              <w:right w:val="single" w:sz="4" w:space="0" w:color="auto"/>
            </w:tcBorders>
            <w:shd w:val="clear" w:color="auto" w:fill="auto"/>
            <w:noWrap/>
            <w:vAlign w:val="center"/>
          </w:tcPr>
          <w:p w14:paraId="2659E2E7" w14:textId="5D87D1FA"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46.657</w:t>
            </w:r>
          </w:p>
        </w:tc>
        <w:tc>
          <w:tcPr>
            <w:tcW w:w="1010" w:type="dxa"/>
            <w:tcBorders>
              <w:top w:val="nil"/>
              <w:left w:val="nil"/>
              <w:bottom w:val="single" w:sz="4" w:space="0" w:color="auto"/>
              <w:right w:val="single" w:sz="4" w:space="0" w:color="auto"/>
            </w:tcBorders>
            <w:shd w:val="clear" w:color="auto" w:fill="auto"/>
            <w:noWrap/>
          </w:tcPr>
          <w:p w14:paraId="61627E6D" w14:textId="17E711F3"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43.322</w:t>
            </w:r>
          </w:p>
        </w:tc>
        <w:tc>
          <w:tcPr>
            <w:tcW w:w="1208" w:type="dxa"/>
            <w:gridSpan w:val="2"/>
            <w:tcBorders>
              <w:top w:val="nil"/>
              <w:left w:val="nil"/>
              <w:bottom w:val="single" w:sz="4" w:space="0" w:color="auto"/>
              <w:right w:val="single" w:sz="4" w:space="0" w:color="auto"/>
            </w:tcBorders>
            <w:shd w:val="clear" w:color="auto" w:fill="auto"/>
            <w:noWrap/>
            <w:vAlign w:val="center"/>
          </w:tcPr>
          <w:p w14:paraId="1A98FE05" w14:textId="16A852D9"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3.688.485</w:t>
            </w:r>
          </w:p>
        </w:tc>
        <w:tc>
          <w:tcPr>
            <w:tcW w:w="1276" w:type="dxa"/>
            <w:tcBorders>
              <w:top w:val="nil"/>
              <w:left w:val="nil"/>
              <w:bottom w:val="single" w:sz="4" w:space="0" w:color="auto"/>
              <w:right w:val="single" w:sz="4" w:space="0" w:color="auto"/>
            </w:tcBorders>
            <w:shd w:val="clear" w:color="auto" w:fill="auto"/>
            <w:noWrap/>
          </w:tcPr>
          <w:p w14:paraId="7A55BC83" w14:textId="6FDB6799" w:rsidR="0025710E" w:rsidRPr="00534414" w:rsidRDefault="0025710E" w:rsidP="0025710E">
            <w:pPr>
              <w:jc w:val="right"/>
              <w:rPr>
                <w:rFonts w:ascii="Arial" w:hAnsi="Arial" w:cs="Arial"/>
                <w:sz w:val="16"/>
                <w:szCs w:val="16"/>
              </w:rPr>
            </w:pPr>
            <w:r w:rsidRPr="00534414">
              <w:rPr>
                <w:rFonts w:ascii="Arial" w:hAnsi="Arial" w:cs="Arial"/>
                <w:sz w:val="16"/>
                <w:szCs w:val="16"/>
              </w:rPr>
              <w:t>4.369.322</w:t>
            </w:r>
          </w:p>
        </w:tc>
      </w:tr>
      <w:tr w:rsidR="0025710E" w:rsidRPr="006F2033" w14:paraId="491612E7"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68B83122"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Renta Variable</w:t>
            </w:r>
          </w:p>
        </w:tc>
        <w:tc>
          <w:tcPr>
            <w:tcW w:w="1135" w:type="dxa"/>
            <w:tcBorders>
              <w:top w:val="nil"/>
              <w:left w:val="nil"/>
              <w:bottom w:val="single" w:sz="4" w:space="0" w:color="auto"/>
              <w:right w:val="single" w:sz="4" w:space="0" w:color="auto"/>
            </w:tcBorders>
            <w:shd w:val="clear" w:color="auto" w:fill="auto"/>
            <w:noWrap/>
            <w:vAlign w:val="center"/>
          </w:tcPr>
          <w:p w14:paraId="7D41CAA7" w14:textId="4F224F45"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166.391</w:t>
            </w:r>
          </w:p>
        </w:tc>
        <w:tc>
          <w:tcPr>
            <w:tcW w:w="1074" w:type="dxa"/>
            <w:tcBorders>
              <w:top w:val="nil"/>
              <w:left w:val="nil"/>
              <w:bottom w:val="single" w:sz="4" w:space="0" w:color="auto"/>
              <w:right w:val="single" w:sz="4" w:space="0" w:color="auto"/>
            </w:tcBorders>
            <w:shd w:val="clear" w:color="auto" w:fill="auto"/>
            <w:noWrap/>
          </w:tcPr>
          <w:p w14:paraId="600858AF" w14:textId="49611F93"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159.411</w:t>
            </w:r>
          </w:p>
        </w:tc>
        <w:tc>
          <w:tcPr>
            <w:tcW w:w="1007" w:type="dxa"/>
            <w:gridSpan w:val="2"/>
            <w:tcBorders>
              <w:top w:val="nil"/>
              <w:left w:val="nil"/>
              <w:bottom w:val="single" w:sz="4" w:space="0" w:color="auto"/>
              <w:right w:val="single" w:sz="4" w:space="0" w:color="auto"/>
            </w:tcBorders>
            <w:shd w:val="clear" w:color="auto" w:fill="auto"/>
            <w:noWrap/>
            <w:vAlign w:val="center"/>
          </w:tcPr>
          <w:p w14:paraId="3B3F20B2" w14:textId="2E0535ED"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163.998</w:t>
            </w:r>
          </w:p>
        </w:tc>
        <w:tc>
          <w:tcPr>
            <w:tcW w:w="1010" w:type="dxa"/>
            <w:tcBorders>
              <w:top w:val="nil"/>
              <w:left w:val="nil"/>
              <w:bottom w:val="single" w:sz="4" w:space="0" w:color="auto"/>
              <w:right w:val="single" w:sz="4" w:space="0" w:color="auto"/>
            </w:tcBorders>
            <w:shd w:val="clear" w:color="auto" w:fill="auto"/>
            <w:noWrap/>
          </w:tcPr>
          <w:p w14:paraId="7FD60E73" w14:textId="2CCB65C0"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146.952</w:t>
            </w:r>
          </w:p>
        </w:tc>
        <w:tc>
          <w:tcPr>
            <w:tcW w:w="1208" w:type="dxa"/>
            <w:gridSpan w:val="2"/>
            <w:tcBorders>
              <w:top w:val="nil"/>
              <w:left w:val="nil"/>
              <w:bottom w:val="single" w:sz="4" w:space="0" w:color="auto"/>
              <w:right w:val="single" w:sz="4" w:space="0" w:color="auto"/>
            </w:tcBorders>
            <w:shd w:val="clear" w:color="auto" w:fill="auto"/>
            <w:noWrap/>
            <w:vAlign w:val="center"/>
          </w:tcPr>
          <w:p w14:paraId="51F53E0C" w14:textId="120B50AB"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6.982.580</w:t>
            </w:r>
          </w:p>
        </w:tc>
        <w:tc>
          <w:tcPr>
            <w:tcW w:w="1276" w:type="dxa"/>
            <w:tcBorders>
              <w:top w:val="nil"/>
              <w:left w:val="nil"/>
              <w:bottom w:val="single" w:sz="4" w:space="0" w:color="auto"/>
              <w:right w:val="single" w:sz="4" w:space="0" w:color="auto"/>
            </w:tcBorders>
            <w:shd w:val="clear" w:color="auto" w:fill="auto"/>
            <w:noWrap/>
          </w:tcPr>
          <w:p w14:paraId="485A3E55" w14:textId="5D25B852" w:rsidR="0025710E" w:rsidRPr="00534414" w:rsidRDefault="0025710E" w:rsidP="0025710E">
            <w:pPr>
              <w:jc w:val="right"/>
              <w:rPr>
                <w:rFonts w:ascii="Arial" w:hAnsi="Arial" w:cs="Arial"/>
                <w:sz w:val="16"/>
                <w:szCs w:val="16"/>
              </w:rPr>
            </w:pPr>
            <w:r w:rsidRPr="00534414">
              <w:rPr>
                <w:rFonts w:ascii="Arial" w:hAnsi="Arial" w:cs="Arial"/>
                <w:sz w:val="16"/>
                <w:szCs w:val="16"/>
              </w:rPr>
              <w:t>8.130.311</w:t>
            </w:r>
          </w:p>
        </w:tc>
      </w:tr>
      <w:tr w:rsidR="0025710E" w:rsidRPr="006F2033" w14:paraId="58AF6C54"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6EE00174"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Abierto Pymes</w:t>
            </w:r>
          </w:p>
        </w:tc>
        <w:tc>
          <w:tcPr>
            <w:tcW w:w="1135" w:type="dxa"/>
            <w:tcBorders>
              <w:top w:val="nil"/>
              <w:left w:val="nil"/>
              <w:bottom w:val="single" w:sz="4" w:space="0" w:color="auto"/>
              <w:right w:val="single" w:sz="4" w:space="0" w:color="auto"/>
            </w:tcBorders>
            <w:shd w:val="clear" w:color="auto" w:fill="auto"/>
            <w:noWrap/>
            <w:vAlign w:val="center"/>
          </w:tcPr>
          <w:p w14:paraId="22A4C1AB" w14:textId="0B1D16C1"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560.360</w:t>
            </w:r>
          </w:p>
        </w:tc>
        <w:tc>
          <w:tcPr>
            <w:tcW w:w="1074" w:type="dxa"/>
            <w:tcBorders>
              <w:top w:val="nil"/>
              <w:left w:val="nil"/>
              <w:bottom w:val="single" w:sz="4" w:space="0" w:color="auto"/>
              <w:right w:val="single" w:sz="4" w:space="0" w:color="auto"/>
            </w:tcBorders>
            <w:shd w:val="clear" w:color="auto" w:fill="auto"/>
            <w:noWrap/>
          </w:tcPr>
          <w:p w14:paraId="25A680C9" w14:textId="470CB7B4"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410.</w:t>
            </w:r>
            <w:r>
              <w:rPr>
                <w:rFonts w:ascii="Arial" w:hAnsi="Arial" w:cs="Arial"/>
                <w:sz w:val="16"/>
                <w:szCs w:val="16"/>
              </w:rPr>
              <w:t>43</w:t>
            </w:r>
            <w:r w:rsidRPr="00534414">
              <w:rPr>
                <w:rFonts w:ascii="Arial" w:hAnsi="Arial" w:cs="Arial"/>
                <w:sz w:val="16"/>
                <w:szCs w:val="16"/>
              </w:rPr>
              <w:t>4</w:t>
            </w:r>
          </w:p>
        </w:tc>
        <w:tc>
          <w:tcPr>
            <w:tcW w:w="1007" w:type="dxa"/>
            <w:gridSpan w:val="2"/>
            <w:tcBorders>
              <w:top w:val="nil"/>
              <w:left w:val="nil"/>
              <w:bottom w:val="single" w:sz="4" w:space="0" w:color="auto"/>
              <w:right w:val="single" w:sz="4" w:space="0" w:color="auto"/>
            </w:tcBorders>
            <w:shd w:val="clear" w:color="auto" w:fill="auto"/>
            <w:noWrap/>
            <w:vAlign w:val="center"/>
          </w:tcPr>
          <w:p w14:paraId="7FA75351" w14:textId="4DF05738"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559.099</w:t>
            </w:r>
          </w:p>
        </w:tc>
        <w:tc>
          <w:tcPr>
            <w:tcW w:w="1010" w:type="dxa"/>
            <w:tcBorders>
              <w:top w:val="nil"/>
              <w:left w:val="nil"/>
              <w:bottom w:val="single" w:sz="4" w:space="0" w:color="auto"/>
              <w:right w:val="single" w:sz="4" w:space="0" w:color="auto"/>
            </w:tcBorders>
            <w:shd w:val="clear" w:color="auto" w:fill="auto"/>
            <w:noWrap/>
          </w:tcPr>
          <w:p w14:paraId="51344263" w14:textId="274A2B14"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409.705</w:t>
            </w:r>
          </w:p>
        </w:tc>
        <w:tc>
          <w:tcPr>
            <w:tcW w:w="1208" w:type="dxa"/>
            <w:gridSpan w:val="2"/>
            <w:tcBorders>
              <w:top w:val="nil"/>
              <w:left w:val="nil"/>
              <w:bottom w:val="single" w:sz="4" w:space="0" w:color="auto"/>
              <w:right w:val="single" w:sz="4" w:space="0" w:color="auto"/>
            </w:tcBorders>
            <w:shd w:val="clear" w:color="auto" w:fill="auto"/>
            <w:noWrap/>
            <w:vAlign w:val="center"/>
          </w:tcPr>
          <w:p w14:paraId="5CE3A276" w14:textId="63637315"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91.559.624</w:t>
            </w:r>
          </w:p>
        </w:tc>
        <w:tc>
          <w:tcPr>
            <w:tcW w:w="1276" w:type="dxa"/>
            <w:tcBorders>
              <w:top w:val="nil"/>
              <w:left w:val="nil"/>
              <w:bottom w:val="single" w:sz="4" w:space="0" w:color="auto"/>
              <w:right w:val="single" w:sz="4" w:space="0" w:color="auto"/>
            </w:tcBorders>
            <w:shd w:val="clear" w:color="auto" w:fill="auto"/>
            <w:noWrap/>
          </w:tcPr>
          <w:p w14:paraId="23DC622F" w14:textId="15511267" w:rsidR="0025710E" w:rsidRPr="00534414" w:rsidRDefault="0025710E" w:rsidP="0025710E">
            <w:pPr>
              <w:jc w:val="right"/>
              <w:rPr>
                <w:rFonts w:ascii="Arial" w:hAnsi="Arial" w:cs="Arial"/>
                <w:sz w:val="16"/>
                <w:szCs w:val="16"/>
              </w:rPr>
            </w:pPr>
            <w:r w:rsidRPr="00534414">
              <w:rPr>
                <w:rFonts w:ascii="Arial" w:hAnsi="Arial" w:cs="Arial"/>
                <w:sz w:val="16"/>
                <w:szCs w:val="16"/>
              </w:rPr>
              <w:t>99.122.237</w:t>
            </w:r>
          </w:p>
        </w:tc>
      </w:tr>
      <w:tr w:rsidR="0025710E" w:rsidRPr="006F2033" w14:paraId="7F673B81"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5CDBC8C0"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Commodities</w:t>
            </w:r>
          </w:p>
        </w:tc>
        <w:tc>
          <w:tcPr>
            <w:tcW w:w="1135" w:type="dxa"/>
            <w:tcBorders>
              <w:top w:val="nil"/>
              <w:left w:val="nil"/>
              <w:bottom w:val="single" w:sz="4" w:space="0" w:color="auto"/>
              <w:right w:val="single" w:sz="4" w:space="0" w:color="auto"/>
            </w:tcBorders>
            <w:shd w:val="clear" w:color="auto" w:fill="auto"/>
            <w:noWrap/>
            <w:vAlign w:val="center"/>
          </w:tcPr>
          <w:p w14:paraId="76B15FB7" w14:textId="623BAEB1"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21.039</w:t>
            </w:r>
          </w:p>
        </w:tc>
        <w:tc>
          <w:tcPr>
            <w:tcW w:w="1074" w:type="dxa"/>
            <w:tcBorders>
              <w:top w:val="nil"/>
              <w:left w:val="nil"/>
              <w:bottom w:val="single" w:sz="4" w:space="0" w:color="auto"/>
              <w:right w:val="single" w:sz="4" w:space="0" w:color="auto"/>
            </w:tcBorders>
            <w:shd w:val="clear" w:color="auto" w:fill="auto"/>
            <w:noWrap/>
          </w:tcPr>
          <w:p w14:paraId="0DB1D3E3" w14:textId="53C94B0D" w:rsidR="0025710E" w:rsidRPr="00525B17" w:rsidRDefault="0025710E" w:rsidP="0025710E">
            <w:pPr>
              <w:jc w:val="right"/>
              <w:rPr>
                <w:rFonts w:ascii="Arial" w:hAnsi="Arial" w:cs="Arial"/>
                <w:color w:val="000000"/>
                <w:sz w:val="16"/>
                <w:szCs w:val="16"/>
                <w:lang w:eastAsia="es-AR"/>
              </w:rPr>
            </w:pPr>
            <w:r>
              <w:rPr>
                <w:rFonts w:ascii="Arial" w:hAnsi="Arial" w:cs="Arial"/>
                <w:sz w:val="16"/>
                <w:szCs w:val="16"/>
              </w:rPr>
              <w:t>5.793</w:t>
            </w:r>
          </w:p>
        </w:tc>
        <w:tc>
          <w:tcPr>
            <w:tcW w:w="1007" w:type="dxa"/>
            <w:gridSpan w:val="2"/>
            <w:tcBorders>
              <w:top w:val="nil"/>
              <w:left w:val="nil"/>
              <w:bottom w:val="single" w:sz="4" w:space="0" w:color="auto"/>
              <w:right w:val="single" w:sz="4" w:space="0" w:color="auto"/>
            </w:tcBorders>
            <w:shd w:val="clear" w:color="auto" w:fill="auto"/>
            <w:noWrap/>
            <w:vAlign w:val="center"/>
          </w:tcPr>
          <w:p w14:paraId="7A1A6E39" w14:textId="6C5108F0"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13.593</w:t>
            </w:r>
          </w:p>
        </w:tc>
        <w:tc>
          <w:tcPr>
            <w:tcW w:w="1010" w:type="dxa"/>
            <w:tcBorders>
              <w:top w:val="nil"/>
              <w:left w:val="nil"/>
              <w:bottom w:val="single" w:sz="4" w:space="0" w:color="auto"/>
              <w:right w:val="single" w:sz="4" w:space="0" w:color="auto"/>
            </w:tcBorders>
            <w:shd w:val="clear" w:color="auto" w:fill="auto"/>
            <w:noWrap/>
          </w:tcPr>
          <w:p w14:paraId="63037AD7" w14:textId="13CF76D7"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5.155</w:t>
            </w:r>
          </w:p>
        </w:tc>
        <w:tc>
          <w:tcPr>
            <w:tcW w:w="1208" w:type="dxa"/>
            <w:gridSpan w:val="2"/>
            <w:tcBorders>
              <w:top w:val="nil"/>
              <w:left w:val="nil"/>
              <w:bottom w:val="single" w:sz="4" w:space="0" w:color="auto"/>
              <w:right w:val="single" w:sz="4" w:space="0" w:color="auto"/>
            </w:tcBorders>
            <w:shd w:val="clear" w:color="auto" w:fill="auto"/>
            <w:noWrap/>
            <w:vAlign w:val="center"/>
          </w:tcPr>
          <w:p w14:paraId="178C66F2" w14:textId="190EDE44"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2.596.034</w:t>
            </w:r>
          </w:p>
        </w:tc>
        <w:tc>
          <w:tcPr>
            <w:tcW w:w="1276" w:type="dxa"/>
            <w:tcBorders>
              <w:top w:val="nil"/>
              <w:left w:val="nil"/>
              <w:bottom w:val="single" w:sz="4" w:space="0" w:color="auto"/>
              <w:right w:val="single" w:sz="4" w:space="0" w:color="auto"/>
            </w:tcBorders>
            <w:shd w:val="clear" w:color="auto" w:fill="auto"/>
            <w:noWrap/>
          </w:tcPr>
          <w:p w14:paraId="0056076B" w14:textId="2058FDB0" w:rsidR="0025710E" w:rsidRPr="00534414" w:rsidRDefault="0025710E" w:rsidP="0025710E">
            <w:pPr>
              <w:jc w:val="right"/>
              <w:rPr>
                <w:rFonts w:ascii="Arial" w:hAnsi="Arial" w:cs="Arial"/>
                <w:sz w:val="16"/>
                <w:szCs w:val="16"/>
              </w:rPr>
            </w:pPr>
            <w:r w:rsidRPr="00534414">
              <w:rPr>
                <w:rFonts w:ascii="Arial" w:hAnsi="Arial" w:cs="Arial"/>
                <w:sz w:val="16"/>
                <w:szCs w:val="16"/>
              </w:rPr>
              <w:t>1.599.150</w:t>
            </w:r>
          </w:p>
        </w:tc>
      </w:tr>
      <w:tr w:rsidR="0025710E" w:rsidRPr="006F2033" w14:paraId="10A95534"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3662C771"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Capital</w:t>
            </w:r>
          </w:p>
        </w:tc>
        <w:tc>
          <w:tcPr>
            <w:tcW w:w="1135" w:type="dxa"/>
            <w:tcBorders>
              <w:top w:val="nil"/>
              <w:left w:val="nil"/>
              <w:bottom w:val="single" w:sz="4" w:space="0" w:color="auto"/>
              <w:right w:val="single" w:sz="4" w:space="0" w:color="auto"/>
            </w:tcBorders>
            <w:shd w:val="clear" w:color="auto" w:fill="auto"/>
            <w:noWrap/>
            <w:vAlign w:val="center"/>
          </w:tcPr>
          <w:p w14:paraId="0689FA6B" w14:textId="11090B7A"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129.058</w:t>
            </w:r>
          </w:p>
        </w:tc>
        <w:tc>
          <w:tcPr>
            <w:tcW w:w="1074" w:type="dxa"/>
            <w:tcBorders>
              <w:top w:val="nil"/>
              <w:left w:val="nil"/>
              <w:bottom w:val="single" w:sz="4" w:space="0" w:color="auto"/>
              <w:right w:val="single" w:sz="4" w:space="0" w:color="auto"/>
            </w:tcBorders>
            <w:shd w:val="clear" w:color="auto" w:fill="auto"/>
            <w:noWrap/>
          </w:tcPr>
          <w:p w14:paraId="76588F78" w14:textId="529C221F"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18</w:t>
            </w:r>
            <w:r>
              <w:rPr>
                <w:rFonts w:ascii="Arial" w:hAnsi="Arial" w:cs="Arial"/>
                <w:sz w:val="16"/>
                <w:szCs w:val="16"/>
              </w:rPr>
              <w:t>0.572</w:t>
            </w:r>
          </w:p>
        </w:tc>
        <w:tc>
          <w:tcPr>
            <w:tcW w:w="1007" w:type="dxa"/>
            <w:gridSpan w:val="2"/>
            <w:tcBorders>
              <w:top w:val="nil"/>
              <w:left w:val="nil"/>
              <w:bottom w:val="single" w:sz="4" w:space="0" w:color="auto"/>
              <w:right w:val="single" w:sz="4" w:space="0" w:color="auto"/>
            </w:tcBorders>
            <w:shd w:val="clear" w:color="auto" w:fill="auto"/>
            <w:noWrap/>
            <w:vAlign w:val="center"/>
          </w:tcPr>
          <w:p w14:paraId="3E84DC10" w14:textId="4AD5F26D"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128.718</w:t>
            </w:r>
          </w:p>
        </w:tc>
        <w:tc>
          <w:tcPr>
            <w:tcW w:w="1010" w:type="dxa"/>
            <w:tcBorders>
              <w:top w:val="nil"/>
              <w:left w:val="nil"/>
              <w:bottom w:val="single" w:sz="4" w:space="0" w:color="auto"/>
              <w:right w:val="single" w:sz="4" w:space="0" w:color="auto"/>
            </w:tcBorders>
            <w:shd w:val="clear" w:color="auto" w:fill="auto"/>
            <w:noWrap/>
          </w:tcPr>
          <w:p w14:paraId="09FB3A31" w14:textId="0E620356"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180.362</w:t>
            </w:r>
          </w:p>
        </w:tc>
        <w:tc>
          <w:tcPr>
            <w:tcW w:w="1208" w:type="dxa"/>
            <w:gridSpan w:val="2"/>
            <w:tcBorders>
              <w:top w:val="nil"/>
              <w:left w:val="nil"/>
              <w:bottom w:val="single" w:sz="4" w:space="0" w:color="auto"/>
              <w:right w:val="single" w:sz="4" w:space="0" w:color="auto"/>
            </w:tcBorders>
            <w:shd w:val="clear" w:color="auto" w:fill="auto"/>
            <w:noWrap/>
            <w:vAlign w:val="center"/>
          </w:tcPr>
          <w:p w14:paraId="05F41E41" w14:textId="6126ADA4"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36.057.519</w:t>
            </w:r>
          </w:p>
        </w:tc>
        <w:tc>
          <w:tcPr>
            <w:tcW w:w="1276" w:type="dxa"/>
            <w:tcBorders>
              <w:top w:val="nil"/>
              <w:left w:val="nil"/>
              <w:bottom w:val="single" w:sz="4" w:space="0" w:color="auto"/>
              <w:right w:val="single" w:sz="4" w:space="0" w:color="auto"/>
            </w:tcBorders>
            <w:shd w:val="clear" w:color="auto" w:fill="auto"/>
            <w:noWrap/>
          </w:tcPr>
          <w:p w14:paraId="01395CCA" w14:textId="71756073" w:rsidR="0025710E" w:rsidRPr="00534414" w:rsidRDefault="0025710E" w:rsidP="0025710E">
            <w:pPr>
              <w:jc w:val="right"/>
              <w:rPr>
                <w:rFonts w:ascii="Arial" w:hAnsi="Arial" w:cs="Arial"/>
                <w:sz w:val="16"/>
                <w:szCs w:val="16"/>
              </w:rPr>
            </w:pPr>
            <w:r w:rsidRPr="00534414">
              <w:rPr>
                <w:rFonts w:ascii="Arial" w:hAnsi="Arial" w:cs="Arial"/>
                <w:sz w:val="16"/>
                <w:szCs w:val="16"/>
              </w:rPr>
              <w:t>67.052.867</w:t>
            </w:r>
          </w:p>
        </w:tc>
      </w:tr>
      <w:tr w:rsidR="0025710E" w:rsidRPr="006F2033" w14:paraId="5C51077E"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4B3658A0"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Inversión</w:t>
            </w:r>
          </w:p>
        </w:tc>
        <w:tc>
          <w:tcPr>
            <w:tcW w:w="1135" w:type="dxa"/>
            <w:tcBorders>
              <w:top w:val="nil"/>
              <w:left w:val="nil"/>
              <w:bottom w:val="single" w:sz="4" w:space="0" w:color="auto"/>
              <w:right w:val="single" w:sz="4" w:space="0" w:color="auto"/>
            </w:tcBorders>
            <w:shd w:val="clear" w:color="auto" w:fill="auto"/>
            <w:noWrap/>
            <w:vAlign w:val="center"/>
          </w:tcPr>
          <w:p w14:paraId="7EF2C1F5" w14:textId="3F020FFE"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135.360</w:t>
            </w:r>
          </w:p>
        </w:tc>
        <w:tc>
          <w:tcPr>
            <w:tcW w:w="1074" w:type="dxa"/>
            <w:tcBorders>
              <w:top w:val="nil"/>
              <w:left w:val="nil"/>
              <w:bottom w:val="single" w:sz="4" w:space="0" w:color="auto"/>
              <w:right w:val="single" w:sz="4" w:space="0" w:color="auto"/>
            </w:tcBorders>
            <w:shd w:val="clear" w:color="auto" w:fill="auto"/>
            <w:noWrap/>
          </w:tcPr>
          <w:p w14:paraId="4207D5A1" w14:textId="386A8550"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1</w:t>
            </w:r>
            <w:r>
              <w:rPr>
                <w:rFonts w:ascii="Arial" w:hAnsi="Arial" w:cs="Arial"/>
                <w:sz w:val="16"/>
                <w:szCs w:val="16"/>
              </w:rPr>
              <w:t>79.267</w:t>
            </w:r>
          </w:p>
        </w:tc>
        <w:tc>
          <w:tcPr>
            <w:tcW w:w="1007" w:type="dxa"/>
            <w:gridSpan w:val="2"/>
            <w:tcBorders>
              <w:top w:val="nil"/>
              <w:left w:val="nil"/>
              <w:bottom w:val="single" w:sz="4" w:space="0" w:color="auto"/>
              <w:right w:val="single" w:sz="4" w:space="0" w:color="auto"/>
            </w:tcBorders>
            <w:shd w:val="clear" w:color="auto" w:fill="auto"/>
            <w:noWrap/>
            <w:vAlign w:val="center"/>
          </w:tcPr>
          <w:p w14:paraId="419B649E" w14:textId="698928F3"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135.291</w:t>
            </w:r>
          </w:p>
        </w:tc>
        <w:tc>
          <w:tcPr>
            <w:tcW w:w="1010" w:type="dxa"/>
            <w:tcBorders>
              <w:top w:val="nil"/>
              <w:left w:val="nil"/>
              <w:bottom w:val="single" w:sz="4" w:space="0" w:color="auto"/>
              <w:right w:val="single" w:sz="4" w:space="0" w:color="auto"/>
            </w:tcBorders>
            <w:shd w:val="clear" w:color="auto" w:fill="auto"/>
            <w:noWrap/>
          </w:tcPr>
          <w:p w14:paraId="016FE728" w14:textId="452D36B7"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179.023</w:t>
            </w:r>
          </w:p>
        </w:tc>
        <w:tc>
          <w:tcPr>
            <w:tcW w:w="1208" w:type="dxa"/>
            <w:gridSpan w:val="2"/>
            <w:tcBorders>
              <w:top w:val="nil"/>
              <w:left w:val="nil"/>
              <w:bottom w:val="single" w:sz="4" w:space="0" w:color="auto"/>
              <w:right w:val="single" w:sz="4" w:space="0" w:color="auto"/>
            </w:tcBorders>
            <w:shd w:val="clear" w:color="auto" w:fill="auto"/>
            <w:noWrap/>
            <w:vAlign w:val="center"/>
          </w:tcPr>
          <w:p w14:paraId="3D039045" w14:textId="7298DDF3"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442.160.447</w:t>
            </w:r>
          </w:p>
        </w:tc>
        <w:tc>
          <w:tcPr>
            <w:tcW w:w="1276" w:type="dxa"/>
            <w:tcBorders>
              <w:top w:val="nil"/>
              <w:left w:val="nil"/>
              <w:bottom w:val="single" w:sz="4" w:space="0" w:color="auto"/>
              <w:right w:val="single" w:sz="4" w:space="0" w:color="auto"/>
            </w:tcBorders>
            <w:shd w:val="clear" w:color="auto" w:fill="auto"/>
            <w:noWrap/>
          </w:tcPr>
          <w:p w14:paraId="4CC27D62" w14:textId="063D32A1" w:rsidR="0025710E" w:rsidRPr="00534414" w:rsidRDefault="0025710E" w:rsidP="0025710E">
            <w:pPr>
              <w:jc w:val="right"/>
              <w:rPr>
                <w:rFonts w:ascii="Arial" w:hAnsi="Arial" w:cs="Arial"/>
                <w:sz w:val="16"/>
                <w:szCs w:val="16"/>
              </w:rPr>
            </w:pPr>
            <w:r w:rsidRPr="00534414">
              <w:rPr>
                <w:rFonts w:ascii="Arial" w:hAnsi="Arial" w:cs="Arial"/>
                <w:sz w:val="16"/>
                <w:szCs w:val="16"/>
              </w:rPr>
              <w:t>888.100.323</w:t>
            </w:r>
          </w:p>
        </w:tc>
      </w:tr>
      <w:tr w:rsidR="0025710E" w:rsidRPr="006F2033" w14:paraId="6E0A3C92"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2B996662"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Balanceado</w:t>
            </w:r>
          </w:p>
        </w:tc>
        <w:tc>
          <w:tcPr>
            <w:tcW w:w="1135" w:type="dxa"/>
            <w:tcBorders>
              <w:top w:val="nil"/>
              <w:left w:val="nil"/>
              <w:bottom w:val="single" w:sz="4" w:space="0" w:color="auto"/>
              <w:right w:val="single" w:sz="4" w:space="0" w:color="auto"/>
            </w:tcBorders>
            <w:shd w:val="clear" w:color="auto" w:fill="auto"/>
            <w:noWrap/>
            <w:vAlign w:val="center"/>
          </w:tcPr>
          <w:p w14:paraId="36F98FE0" w14:textId="74CBFFE9"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623.862</w:t>
            </w:r>
          </w:p>
        </w:tc>
        <w:tc>
          <w:tcPr>
            <w:tcW w:w="1074" w:type="dxa"/>
            <w:tcBorders>
              <w:top w:val="nil"/>
              <w:left w:val="nil"/>
              <w:bottom w:val="single" w:sz="4" w:space="0" w:color="auto"/>
              <w:right w:val="single" w:sz="4" w:space="0" w:color="auto"/>
            </w:tcBorders>
            <w:shd w:val="clear" w:color="auto" w:fill="auto"/>
            <w:noWrap/>
          </w:tcPr>
          <w:p w14:paraId="1F1148C9" w14:textId="25EE0FF7"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6</w:t>
            </w:r>
            <w:r>
              <w:rPr>
                <w:rFonts w:ascii="Arial" w:hAnsi="Arial" w:cs="Arial"/>
                <w:sz w:val="16"/>
                <w:szCs w:val="16"/>
              </w:rPr>
              <w:t>12.858</w:t>
            </w:r>
          </w:p>
        </w:tc>
        <w:tc>
          <w:tcPr>
            <w:tcW w:w="1007" w:type="dxa"/>
            <w:gridSpan w:val="2"/>
            <w:tcBorders>
              <w:top w:val="nil"/>
              <w:left w:val="nil"/>
              <w:bottom w:val="single" w:sz="4" w:space="0" w:color="auto"/>
              <w:right w:val="single" w:sz="4" w:space="0" w:color="auto"/>
            </w:tcBorders>
            <w:shd w:val="clear" w:color="auto" w:fill="auto"/>
            <w:noWrap/>
            <w:vAlign w:val="center"/>
          </w:tcPr>
          <w:p w14:paraId="75221AA3" w14:textId="38E74EB2"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623.293</w:t>
            </w:r>
          </w:p>
        </w:tc>
        <w:tc>
          <w:tcPr>
            <w:tcW w:w="1010" w:type="dxa"/>
            <w:tcBorders>
              <w:top w:val="nil"/>
              <w:left w:val="nil"/>
              <w:bottom w:val="single" w:sz="4" w:space="0" w:color="auto"/>
              <w:right w:val="single" w:sz="4" w:space="0" w:color="auto"/>
            </w:tcBorders>
            <w:shd w:val="clear" w:color="auto" w:fill="auto"/>
            <w:noWrap/>
          </w:tcPr>
          <w:p w14:paraId="3864D454" w14:textId="7BFC423D"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612.374</w:t>
            </w:r>
          </w:p>
        </w:tc>
        <w:tc>
          <w:tcPr>
            <w:tcW w:w="1208" w:type="dxa"/>
            <w:gridSpan w:val="2"/>
            <w:tcBorders>
              <w:top w:val="nil"/>
              <w:left w:val="nil"/>
              <w:bottom w:val="single" w:sz="4" w:space="0" w:color="auto"/>
              <w:right w:val="single" w:sz="4" w:space="0" w:color="auto"/>
            </w:tcBorders>
            <w:shd w:val="clear" w:color="auto" w:fill="auto"/>
            <w:noWrap/>
            <w:vAlign w:val="center"/>
          </w:tcPr>
          <w:p w14:paraId="0F3270C3" w14:textId="17860963"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249.317.925</w:t>
            </w:r>
          </w:p>
        </w:tc>
        <w:tc>
          <w:tcPr>
            <w:tcW w:w="1276" w:type="dxa"/>
            <w:tcBorders>
              <w:top w:val="nil"/>
              <w:left w:val="nil"/>
              <w:bottom w:val="single" w:sz="4" w:space="0" w:color="auto"/>
              <w:right w:val="single" w:sz="4" w:space="0" w:color="auto"/>
            </w:tcBorders>
            <w:shd w:val="clear" w:color="auto" w:fill="auto"/>
            <w:noWrap/>
          </w:tcPr>
          <w:p w14:paraId="1D1C9EF1" w14:textId="2DEF1B61" w:rsidR="0025710E" w:rsidRPr="00534414" w:rsidRDefault="0025710E" w:rsidP="0025710E">
            <w:pPr>
              <w:jc w:val="right"/>
              <w:rPr>
                <w:rFonts w:ascii="Arial" w:hAnsi="Arial" w:cs="Arial"/>
                <w:sz w:val="16"/>
                <w:szCs w:val="16"/>
              </w:rPr>
            </w:pPr>
            <w:r w:rsidRPr="00534414">
              <w:rPr>
                <w:rFonts w:ascii="Arial" w:hAnsi="Arial" w:cs="Arial"/>
                <w:sz w:val="16"/>
                <w:szCs w:val="16"/>
              </w:rPr>
              <w:t>359.887.367</w:t>
            </w:r>
          </w:p>
        </w:tc>
      </w:tr>
      <w:tr w:rsidR="0025710E" w:rsidRPr="006F2033" w14:paraId="462EB504"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19C28FA6"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Renta Mixta</w:t>
            </w:r>
          </w:p>
        </w:tc>
        <w:tc>
          <w:tcPr>
            <w:tcW w:w="1135" w:type="dxa"/>
            <w:tcBorders>
              <w:top w:val="nil"/>
              <w:left w:val="nil"/>
              <w:bottom w:val="single" w:sz="4" w:space="0" w:color="auto"/>
              <w:right w:val="single" w:sz="4" w:space="0" w:color="auto"/>
            </w:tcBorders>
            <w:shd w:val="clear" w:color="auto" w:fill="auto"/>
            <w:noWrap/>
            <w:vAlign w:val="center"/>
          </w:tcPr>
          <w:p w14:paraId="580D8847" w14:textId="48FA2C88"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133.255</w:t>
            </w:r>
          </w:p>
        </w:tc>
        <w:tc>
          <w:tcPr>
            <w:tcW w:w="1074" w:type="dxa"/>
            <w:tcBorders>
              <w:top w:val="nil"/>
              <w:left w:val="nil"/>
              <w:bottom w:val="single" w:sz="4" w:space="0" w:color="auto"/>
              <w:right w:val="single" w:sz="4" w:space="0" w:color="auto"/>
            </w:tcBorders>
            <w:shd w:val="clear" w:color="auto" w:fill="auto"/>
            <w:noWrap/>
          </w:tcPr>
          <w:p w14:paraId="1A31F5BF" w14:textId="39D006AB"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58.586</w:t>
            </w:r>
          </w:p>
        </w:tc>
        <w:tc>
          <w:tcPr>
            <w:tcW w:w="1007" w:type="dxa"/>
            <w:gridSpan w:val="2"/>
            <w:tcBorders>
              <w:top w:val="nil"/>
              <w:left w:val="nil"/>
              <w:bottom w:val="single" w:sz="4" w:space="0" w:color="auto"/>
              <w:right w:val="single" w:sz="4" w:space="0" w:color="auto"/>
            </w:tcBorders>
            <w:shd w:val="clear" w:color="auto" w:fill="auto"/>
            <w:noWrap/>
            <w:vAlign w:val="center"/>
          </w:tcPr>
          <w:p w14:paraId="09AD4DB9" w14:textId="7C9CA6FC"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133.147</w:t>
            </w:r>
          </w:p>
        </w:tc>
        <w:tc>
          <w:tcPr>
            <w:tcW w:w="1010" w:type="dxa"/>
            <w:tcBorders>
              <w:top w:val="nil"/>
              <w:left w:val="nil"/>
              <w:bottom w:val="single" w:sz="4" w:space="0" w:color="auto"/>
              <w:right w:val="single" w:sz="4" w:space="0" w:color="auto"/>
            </w:tcBorders>
            <w:shd w:val="clear" w:color="auto" w:fill="auto"/>
            <w:noWrap/>
          </w:tcPr>
          <w:p w14:paraId="588B618F" w14:textId="59CBAA84"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58.557</w:t>
            </w:r>
          </w:p>
        </w:tc>
        <w:tc>
          <w:tcPr>
            <w:tcW w:w="1208" w:type="dxa"/>
            <w:gridSpan w:val="2"/>
            <w:tcBorders>
              <w:top w:val="nil"/>
              <w:left w:val="nil"/>
              <w:bottom w:val="single" w:sz="4" w:space="0" w:color="auto"/>
              <w:right w:val="single" w:sz="4" w:space="0" w:color="auto"/>
            </w:tcBorders>
            <w:shd w:val="clear" w:color="auto" w:fill="auto"/>
            <w:noWrap/>
            <w:vAlign w:val="center"/>
          </w:tcPr>
          <w:p w14:paraId="762AA35B" w14:textId="755980A3"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76.562.093</w:t>
            </w:r>
          </w:p>
        </w:tc>
        <w:tc>
          <w:tcPr>
            <w:tcW w:w="1276" w:type="dxa"/>
            <w:tcBorders>
              <w:top w:val="nil"/>
              <w:left w:val="nil"/>
              <w:bottom w:val="single" w:sz="4" w:space="0" w:color="auto"/>
              <w:right w:val="single" w:sz="4" w:space="0" w:color="auto"/>
            </w:tcBorders>
            <w:shd w:val="clear" w:color="auto" w:fill="auto"/>
            <w:noWrap/>
          </w:tcPr>
          <w:p w14:paraId="5CC9D64A" w14:textId="3B0B063E" w:rsidR="0025710E" w:rsidRPr="00534414" w:rsidRDefault="0025710E" w:rsidP="0025710E">
            <w:pPr>
              <w:jc w:val="right"/>
              <w:rPr>
                <w:rFonts w:ascii="Arial" w:hAnsi="Arial" w:cs="Arial"/>
                <w:sz w:val="16"/>
                <w:szCs w:val="16"/>
              </w:rPr>
            </w:pPr>
            <w:r w:rsidRPr="00534414">
              <w:rPr>
                <w:rFonts w:ascii="Arial" w:hAnsi="Arial" w:cs="Arial"/>
                <w:sz w:val="16"/>
                <w:szCs w:val="16"/>
              </w:rPr>
              <w:t>44.863.1</w:t>
            </w:r>
            <w:r>
              <w:rPr>
                <w:rFonts w:ascii="Arial" w:hAnsi="Arial" w:cs="Arial"/>
                <w:sz w:val="16"/>
                <w:szCs w:val="16"/>
              </w:rPr>
              <w:t>20</w:t>
            </w:r>
          </w:p>
        </w:tc>
      </w:tr>
      <w:tr w:rsidR="0025710E" w:rsidRPr="006F2033" w14:paraId="0A31DFE3" w14:textId="77777777" w:rsidTr="002E1657">
        <w:trPr>
          <w:trHeight w:val="175"/>
        </w:trPr>
        <w:tc>
          <w:tcPr>
            <w:tcW w:w="2291" w:type="dxa"/>
            <w:tcBorders>
              <w:top w:val="nil"/>
              <w:left w:val="single" w:sz="4" w:space="0" w:color="auto"/>
              <w:bottom w:val="single" w:sz="4" w:space="0" w:color="auto"/>
              <w:right w:val="single" w:sz="4" w:space="0" w:color="auto"/>
            </w:tcBorders>
            <w:shd w:val="clear" w:color="auto" w:fill="auto"/>
            <w:noWrap/>
            <w:vAlign w:val="bottom"/>
            <w:hideMark/>
          </w:tcPr>
          <w:p w14:paraId="08E33605"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Renta Mixta en Dólares</w:t>
            </w:r>
          </w:p>
        </w:tc>
        <w:tc>
          <w:tcPr>
            <w:tcW w:w="1135" w:type="dxa"/>
            <w:tcBorders>
              <w:top w:val="nil"/>
              <w:left w:val="nil"/>
              <w:bottom w:val="single" w:sz="4" w:space="0" w:color="auto"/>
              <w:right w:val="single" w:sz="4" w:space="0" w:color="auto"/>
            </w:tcBorders>
            <w:shd w:val="clear" w:color="auto" w:fill="auto"/>
            <w:noWrap/>
            <w:vAlign w:val="center"/>
          </w:tcPr>
          <w:p w14:paraId="0F9C0FF2" w14:textId="30FB4481"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130.212</w:t>
            </w:r>
          </w:p>
        </w:tc>
        <w:tc>
          <w:tcPr>
            <w:tcW w:w="1074" w:type="dxa"/>
            <w:tcBorders>
              <w:top w:val="nil"/>
              <w:left w:val="nil"/>
              <w:bottom w:val="single" w:sz="4" w:space="0" w:color="auto"/>
              <w:right w:val="single" w:sz="4" w:space="0" w:color="auto"/>
            </w:tcBorders>
            <w:shd w:val="clear" w:color="auto" w:fill="auto"/>
            <w:noWrap/>
            <w:vAlign w:val="center"/>
          </w:tcPr>
          <w:p w14:paraId="711C7E3E" w14:textId="6A775B1E"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47</w:t>
            </w:r>
            <w:r>
              <w:rPr>
                <w:rFonts w:ascii="Arial" w:hAnsi="Arial" w:cs="Arial"/>
                <w:sz w:val="16"/>
                <w:szCs w:val="16"/>
              </w:rPr>
              <w:t>1.329</w:t>
            </w:r>
          </w:p>
        </w:tc>
        <w:tc>
          <w:tcPr>
            <w:tcW w:w="1007" w:type="dxa"/>
            <w:gridSpan w:val="2"/>
            <w:tcBorders>
              <w:top w:val="nil"/>
              <w:left w:val="nil"/>
              <w:bottom w:val="single" w:sz="4" w:space="0" w:color="auto"/>
              <w:right w:val="single" w:sz="4" w:space="0" w:color="auto"/>
            </w:tcBorders>
            <w:shd w:val="clear" w:color="auto" w:fill="auto"/>
            <w:noWrap/>
            <w:vAlign w:val="center"/>
          </w:tcPr>
          <w:p w14:paraId="6D240DBA" w14:textId="7FEF89E7"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129.733</w:t>
            </w:r>
          </w:p>
        </w:tc>
        <w:tc>
          <w:tcPr>
            <w:tcW w:w="1010" w:type="dxa"/>
            <w:tcBorders>
              <w:top w:val="nil"/>
              <w:left w:val="nil"/>
              <w:bottom w:val="single" w:sz="4" w:space="0" w:color="auto"/>
              <w:right w:val="single" w:sz="4" w:space="0" w:color="auto"/>
            </w:tcBorders>
            <w:shd w:val="clear" w:color="auto" w:fill="auto"/>
            <w:noWrap/>
            <w:vAlign w:val="center"/>
          </w:tcPr>
          <w:p w14:paraId="1B2F867E" w14:textId="0CD32790" w:rsidR="0025710E" w:rsidRPr="00525B17" w:rsidRDefault="0025710E" w:rsidP="0025710E">
            <w:pPr>
              <w:jc w:val="right"/>
              <w:rPr>
                <w:rFonts w:ascii="Arial" w:hAnsi="Arial" w:cs="Arial"/>
                <w:color w:val="000000"/>
                <w:sz w:val="16"/>
                <w:szCs w:val="16"/>
                <w:lang w:eastAsia="es-AR"/>
              </w:rPr>
            </w:pPr>
            <w:r w:rsidRPr="00534414">
              <w:rPr>
                <w:rFonts w:ascii="Arial" w:hAnsi="Arial" w:cs="Arial"/>
                <w:sz w:val="16"/>
                <w:szCs w:val="16"/>
              </w:rPr>
              <w:t>4</w:t>
            </w:r>
            <w:r>
              <w:rPr>
                <w:rFonts w:ascii="Arial" w:hAnsi="Arial" w:cs="Arial"/>
                <w:sz w:val="16"/>
                <w:szCs w:val="16"/>
              </w:rPr>
              <w:t>.695.131</w:t>
            </w:r>
          </w:p>
        </w:tc>
        <w:tc>
          <w:tcPr>
            <w:tcW w:w="1208" w:type="dxa"/>
            <w:gridSpan w:val="2"/>
            <w:tcBorders>
              <w:top w:val="nil"/>
              <w:left w:val="nil"/>
              <w:bottom w:val="single" w:sz="4" w:space="0" w:color="auto"/>
              <w:right w:val="single" w:sz="4" w:space="0" w:color="auto"/>
            </w:tcBorders>
            <w:shd w:val="clear" w:color="auto" w:fill="auto"/>
            <w:noWrap/>
            <w:vAlign w:val="center"/>
          </w:tcPr>
          <w:p w14:paraId="0947553C" w14:textId="1BA1867F"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2.815.589</w:t>
            </w:r>
          </w:p>
        </w:tc>
        <w:tc>
          <w:tcPr>
            <w:tcW w:w="1276" w:type="dxa"/>
            <w:tcBorders>
              <w:top w:val="nil"/>
              <w:left w:val="nil"/>
              <w:bottom w:val="single" w:sz="4" w:space="0" w:color="auto"/>
              <w:right w:val="single" w:sz="4" w:space="0" w:color="auto"/>
            </w:tcBorders>
            <w:shd w:val="clear" w:color="auto" w:fill="auto"/>
            <w:noWrap/>
            <w:vAlign w:val="center"/>
          </w:tcPr>
          <w:p w14:paraId="109DA0E3" w14:textId="1A6398B9" w:rsidR="0025710E" w:rsidRPr="00534414" w:rsidRDefault="0025710E" w:rsidP="0025710E">
            <w:pPr>
              <w:jc w:val="right"/>
              <w:rPr>
                <w:rFonts w:ascii="Arial" w:hAnsi="Arial" w:cs="Arial"/>
                <w:sz w:val="16"/>
                <w:szCs w:val="16"/>
              </w:rPr>
            </w:pPr>
            <w:r w:rsidRPr="00534414">
              <w:rPr>
                <w:rFonts w:ascii="Arial" w:hAnsi="Arial" w:cs="Arial"/>
                <w:sz w:val="16"/>
                <w:szCs w:val="16"/>
              </w:rPr>
              <w:t>13.892.155</w:t>
            </w:r>
          </w:p>
        </w:tc>
      </w:tr>
      <w:tr w:rsidR="0025710E" w:rsidRPr="006F2033" w14:paraId="3DD71190"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tcPr>
          <w:p w14:paraId="3666BC84" w14:textId="77777777" w:rsidR="0025710E" w:rsidRPr="00EC349E" w:rsidRDefault="0025710E" w:rsidP="0025710E">
            <w:pPr>
              <w:rPr>
                <w:rFonts w:ascii="Arial" w:hAnsi="Arial" w:cs="Arial"/>
                <w:color w:val="000000"/>
                <w:sz w:val="16"/>
                <w:szCs w:val="18"/>
                <w:lang w:eastAsia="es-AR"/>
              </w:rPr>
            </w:pPr>
            <w:r w:rsidRPr="00EC349E">
              <w:rPr>
                <w:rFonts w:ascii="Arial" w:hAnsi="Arial" w:cs="Arial"/>
                <w:color w:val="000000"/>
                <w:sz w:val="16"/>
                <w:szCs w:val="18"/>
                <w:lang w:eastAsia="es-AR"/>
              </w:rPr>
              <w:t>Premier Performance Dólares</w:t>
            </w:r>
          </w:p>
        </w:tc>
        <w:tc>
          <w:tcPr>
            <w:tcW w:w="1135" w:type="dxa"/>
            <w:tcBorders>
              <w:top w:val="nil"/>
              <w:left w:val="nil"/>
              <w:bottom w:val="single" w:sz="4" w:space="0" w:color="auto"/>
              <w:right w:val="single" w:sz="4" w:space="0" w:color="auto"/>
            </w:tcBorders>
            <w:shd w:val="clear" w:color="auto" w:fill="auto"/>
            <w:noWrap/>
            <w:vAlign w:val="center"/>
          </w:tcPr>
          <w:p w14:paraId="1E5ADE82" w14:textId="79E6AEDF" w:rsidR="0025710E" w:rsidRPr="002047BA" w:rsidRDefault="0025710E" w:rsidP="0025710E">
            <w:pPr>
              <w:jc w:val="right"/>
              <w:rPr>
                <w:rFonts w:ascii="Arial" w:hAnsi="Arial" w:cs="Arial"/>
                <w:sz w:val="16"/>
                <w:szCs w:val="16"/>
              </w:rPr>
            </w:pPr>
            <w:r w:rsidRPr="00136846">
              <w:rPr>
                <w:rFonts w:ascii="Arial" w:hAnsi="Arial" w:cs="Arial"/>
                <w:sz w:val="16"/>
                <w:szCs w:val="16"/>
              </w:rPr>
              <w:t>453.884</w:t>
            </w:r>
          </w:p>
        </w:tc>
        <w:tc>
          <w:tcPr>
            <w:tcW w:w="1074" w:type="dxa"/>
            <w:tcBorders>
              <w:top w:val="nil"/>
              <w:left w:val="nil"/>
              <w:bottom w:val="single" w:sz="4" w:space="0" w:color="auto"/>
              <w:right w:val="single" w:sz="4" w:space="0" w:color="auto"/>
            </w:tcBorders>
            <w:shd w:val="clear" w:color="auto" w:fill="auto"/>
            <w:noWrap/>
          </w:tcPr>
          <w:p w14:paraId="1F16F0CE" w14:textId="327A4E8F" w:rsidR="0025710E" w:rsidRPr="00534414" w:rsidRDefault="0025710E" w:rsidP="0025710E">
            <w:pPr>
              <w:jc w:val="right"/>
              <w:rPr>
                <w:rFonts w:ascii="Arial" w:hAnsi="Arial" w:cs="Arial"/>
                <w:sz w:val="16"/>
                <w:szCs w:val="16"/>
              </w:rPr>
            </w:pPr>
            <w:r w:rsidRPr="00534414">
              <w:rPr>
                <w:rFonts w:ascii="Arial" w:hAnsi="Arial" w:cs="Arial"/>
                <w:sz w:val="16"/>
                <w:szCs w:val="16"/>
              </w:rPr>
              <w:t>2.3</w:t>
            </w:r>
            <w:r>
              <w:rPr>
                <w:rFonts w:ascii="Arial" w:hAnsi="Arial" w:cs="Arial"/>
                <w:sz w:val="16"/>
                <w:szCs w:val="16"/>
              </w:rPr>
              <w:t>72.279</w:t>
            </w:r>
          </w:p>
        </w:tc>
        <w:tc>
          <w:tcPr>
            <w:tcW w:w="1007" w:type="dxa"/>
            <w:gridSpan w:val="2"/>
            <w:tcBorders>
              <w:top w:val="nil"/>
              <w:left w:val="nil"/>
              <w:bottom w:val="single" w:sz="4" w:space="0" w:color="auto"/>
              <w:right w:val="single" w:sz="4" w:space="0" w:color="auto"/>
            </w:tcBorders>
            <w:shd w:val="clear" w:color="auto" w:fill="auto"/>
            <w:noWrap/>
            <w:vAlign w:val="center"/>
          </w:tcPr>
          <w:p w14:paraId="4E20BE91" w14:textId="19248657" w:rsidR="0025710E" w:rsidRPr="002047BA" w:rsidRDefault="0025710E" w:rsidP="0025710E">
            <w:pPr>
              <w:jc w:val="right"/>
              <w:rPr>
                <w:rFonts w:ascii="Arial" w:hAnsi="Arial" w:cs="Arial"/>
                <w:sz w:val="16"/>
                <w:szCs w:val="16"/>
              </w:rPr>
            </w:pPr>
            <w:r w:rsidRPr="00136846">
              <w:rPr>
                <w:rFonts w:ascii="Arial" w:hAnsi="Arial" w:cs="Arial"/>
                <w:sz w:val="16"/>
                <w:szCs w:val="16"/>
              </w:rPr>
              <w:t>452.866</w:t>
            </w:r>
          </w:p>
        </w:tc>
        <w:tc>
          <w:tcPr>
            <w:tcW w:w="1010" w:type="dxa"/>
            <w:tcBorders>
              <w:top w:val="nil"/>
              <w:left w:val="nil"/>
              <w:bottom w:val="single" w:sz="4" w:space="0" w:color="auto"/>
              <w:right w:val="single" w:sz="4" w:space="0" w:color="auto"/>
            </w:tcBorders>
            <w:shd w:val="clear" w:color="auto" w:fill="auto"/>
            <w:noWrap/>
          </w:tcPr>
          <w:p w14:paraId="593B8F33" w14:textId="73B11AB2" w:rsidR="0025710E" w:rsidRPr="00534414" w:rsidRDefault="0025710E" w:rsidP="0025710E">
            <w:pPr>
              <w:jc w:val="right"/>
              <w:rPr>
                <w:rFonts w:ascii="Arial" w:hAnsi="Arial" w:cs="Arial"/>
                <w:sz w:val="16"/>
                <w:szCs w:val="16"/>
              </w:rPr>
            </w:pPr>
            <w:r w:rsidRPr="00534414">
              <w:rPr>
                <w:rFonts w:ascii="Arial" w:hAnsi="Arial" w:cs="Arial"/>
                <w:sz w:val="16"/>
                <w:szCs w:val="16"/>
              </w:rPr>
              <w:t>2.3</w:t>
            </w:r>
            <w:r>
              <w:rPr>
                <w:rFonts w:ascii="Arial" w:hAnsi="Arial" w:cs="Arial"/>
                <w:sz w:val="16"/>
                <w:szCs w:val="16"/>
              </w:rPr>
              <w:t>60.235</w:t>
            </w:r>
          </w:p>
        </w:tc>
        <w:tc>
          <w:tcPr>
            <w:tcW w:w="1208" w:type="dxa"/>
            <w:gridSpan w:val="2"/>
            <w:tcBorders>
              <w:top w:val="nil"/>
              <w:left w:val="nil"/>
              <w:bottom w:val="single" w:sz="4" w:space="0" w:color="auto"/>
              <w:right w:val="single" w:sz="4" w:space="0" w:color="auto"/>
            </w:tcBorders>
            <w:shd w:val="clear" w:color="auto" w:fill="auto"/>
            <w:noWrap/>
            <w:vAlign w:val="center"/>
          </w:tcPr>
          <w:p w14:paraId="5CF17F27" w14:textId="6C5A1114" w:rsidR="0025710E" w:rsidRPr="002047BA" w:rsidRDefault="0025710E" w:rsidP="0025710E">
            <w:pPr>
              <w:jc w:val="right"/>
              <w:rPr>
                <w:rFonts w:ascii="Arial" w:hAnsi="Arial" w:cs="Arial"/>
                <w:sz w:val="16"/>
                <w:szCs w:val="16"/>
              </w:rPr>
            </w:pPr>
            <w:r w:rsidRPr="00136846">
              <w:rPr>
                <w:rFonts w:ascii="Arial" w:hAnsi="Arial" w:cs="Arial"/>
                <w:sz w:val="16"/>
                <w:szCs w:val="16"/>
              </w:rPr>
              <w:t>9.312.208</w:t>
            </w:r>
          </w:p>
        </w:tc>
        <w:tc>
          <w:tcPr>
            <w:tcW w:w="1276" w:type="dxa"/>
            <w:tcBorders>
              <w:top w:val="nil"/>
              <w:left w:val="nil"/>
              <w:bottom w:val="single" w:sz="4" w:space="0" w:color="auto"/>
              <w:right w:val="single" w:sz="4" w:space="0" w:color="auto"/>
            </w:tcBorders>
            <w:shd w:val="clear" w:color="auto" w:fill="auto"/>
            <w:noWrap/>
          </w:tcPr>
          <w:p w14:paraId="37A7DD06" w14:textId="0C69733F" w:rsidR="0025710E" w:rsidRPr="00534414" w:rsidRDefault="0025710E" w:rsidP="0025710E">
            <w:pPr>
              <w:jc w:val="right"/>
              <w:rPr>
                <w:rFonts w:ascii="Arial" w:hAnsi="Arial" w:cs="Arial"/>
                <w:sz w:val="16"/>
                <w:szCs w:val="16"/>
              </w:rPr>
            </w:pPr>
            <w:r w:rsidRPr="00534414">
              <w:rPr>
                <w:rFonts w:ascii="Arial" w:hAnsi="Arial" w:cs="Arial"/>
                <w:sz w:val="16"/>
                <w:szCs w:val="16"/>
              </w:rPr>
              <w:t>62.805.29</w:t>
            </w:r>
            <w:r>
              <w:rPr>
                <w:rFonts w:ascii="Arial" w:hAnsi="Arial" w:cs="Arial"/>
                <w:sz w:val="16"/>
                <w:szCs w:val="16"/>
              </w:rPr>
              <w:t>4</w:t>
            </w:r>
          </w:p>
        </w:tc>
      </w:tr>
      <w:tr w:rsidR="0025710E" w:rsidRPr="006F2033" w14:paraId="21654081" w14:textId="77777777" w:rsidTr="002E1657">
        <w:trPr>
          <w:trHeight w:val="186"/>
        </w:trPr>
        <w:tc>
          <w:tcPr>
            <w:tcW w:w="2291" w:type="dxa"/>
            <w:tcBorders>
              <w:top w:val="nil"/>
              <w:left w:val="single" w:sz="4" w:space="0" w:color="auto"/>
              <w:bottom w:val="single" w:sz="4" w:space="0" w:color="auto"/>
              <w:right w:val="single" w:sz="4" w:space="0" w:color="auto"/>
            </w:tcBorders>
            <w:shd w:val="clear" w:color="auto" w:fill="auto"/>
            <w:noWrap/>
            <w:vAlign w:val="bottom"/>
          </w:tcPr>
          <w:p w14:paraId="7EC987BE" w14:textId="77777777" w:rsidR="0025710E" w:rsidRPr="00EC349E" w:rsidRDefault="0025710E" w:rsidP="0025710E">
            <w:pPr>
              <w:rPr>
                <w:rFonts w:ascii="Arial" w:hAnsi="Arial" w:cs="Arial"/>
                <w:color w:val="000000"/>
                <w:sz w:val="16"/>
                <w:szCs w:val="18"/>
                <w:lang w:eastAsia="es-AR"/>
              </w:rPr>
            </w:pPr>
            <w:r w:rsidRPr="0066728C">
              <w:rPr>
                <w:rFonts w:ascii="Arial" w:hAnsi="Arial" w:cs="Arial"/>
                <w:color w:val="000000"/>
                <w:sz w:val="16"/>
                <w:szCs w:val="18"/>
                <w:lang w:eastAsia="es-AR"/>
              </w:rPr>
              <w:t>Premier Global USD</w:t>
            </w:r>
          </w:p>
        </w:tc>
        <w:tc>
          <w:tcPr>
            <w:tcW w:w="1135" w:type="dxa"/>
            <w:tcBorders>
              <w:top w:val="nil"/>
              <w:left w:val="nil"/>
              <w:bottom w:val="single" w:sz="4" w:space="0" w:color="auto"/>
              <w:right w:val="single" w:sz="4" w:space="0" w:color="auto"/>
            </w:tcBorders>
            <w:shd w:val="clear" w:color="auto" w:fill="auto"/>
            <w:noWrap/>
            <w:vAlign w:val="center"/>
          </w:tcPr>
          <w:p w14:paraId="14697A57" w14:textId="4476EA63"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698.915</w:t>
            </w:r>
          </w:p>
        </w:tc>
        <w:tc>
          <w:tcPr>
            <w:tcW w:w="1074" w:type="dxa"/>
            <w:tcBorders>
              <w:top w:val="nil"/>
              <w:left w:val="nil"/>
              <w:bottom w:val="single" w:sz="4" w:space="0" w:color="auto"/>
              <w:right w:val="single" w:sz="4" w:space="0" w:color="auto"/>
            </w:tcBorders>
            <w:shd w:val="clear" w:color="auto" w:fill="auto"/>
            <w:noWrap/>
            <w:vAlign w:val="center"/>
          </w:tcPr>
          <w:p w14:paraId="2D8707E4" w14:textId="34C6A151" w:rsidR="0025710E" w:rsidRPr="0066728C" w:rsidRDefault="0025710E" w:rsidP="0025710E">
            <w:pPr>
              <w:jc w:val="right"/>
              <w:rPr>
                <w:rFonts w:ascii="Arial" w:hAnsi="Arial" w:cs="Arial"/>
                <w:sz w:val="16"/>
                <w:szCs w:val="16"/>
                <w:lang w:eastAsia="es-AR"/>
              </w:rPr>
            </w:pPr>
            <w:r w:rsidRPr="0066728C">
              <w:rPr>
                <w:rFonts w:ascii="Arial" w:hAnsi="Arial" w:cs="Arial"/>
                <w:sz w:val="16"/>
                <w:szCs w:val="16"/>
              </w:rPr>
              <w:t>-</w:t>
            </w:r>
          </w:p>
        </w:tc>
        <w:tc>
          <w:tcPr>
            <w:tcW w:w="1007" w:type="dxa"/>
            <w:gridSpan w:val="2"/>
            <w:tcBorders>
              <w:top w:val="nil"/>
              <w:left w:val="nil"/>
              <w:bottom w:val="single" w:sz="4" w:space="0" w:color="auto"/>
              <w:right w:val="single" w:sz="4" w:space="0" w:color="auto"/>
            </w:tcBorders>
            <w:shd w:val="clear" w:color="auto" w:fill="auto"/>
            <w:noWrap/>
            <w:vAlign w:val="center"/>
          </w:tcPr>
          <w:p w14:paraId="304676B8" w14:textId="432769C8"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696.759</w:t>
            </w:r>
          </w:p>
        </w:tc>
        <w:tc>
          <w:tcPr>
            <w:tcW w:w="1010" w:type="dxa"/>
            <w:tcBorders>
              <w:top w:val="nil"/>
              <w:left w:val="nil"/>
              <w:bottom w:val="single" w:sz="4" w:space="0" w:color="auto"/>
              <w:right w:val="single" w:sz="4" w:space="0" w:color="auto"/>
            </w:tcBorders>
            <w:shd w:val="clear" w:color="auto" w:fill="auto"/>
            <w:noWrap/>
            <w:vAlign w:val="center"/>
          </w:tcPr>
          <w:p w14:paraId="1A452FDC" w14:textId="7D50C051" w:rsidR="0025710E" w:rsidRPr="0066728C" w:rsidRDefault="0025710E" w:rsidP="0025710E">
            <w:pPr>
              <w:jc w:val="right"/>
              <w:rPr>
                <w:rFonts w:ascii="Arial" w:hAnsi="Arial" w:cs="Arial"/>
                <w:sz w:val="16"/>
                <w:szCs w:val="16"/>
                <w:lang w:eastAsia="es-AR"/>
              </w:rPr>
            </w:pPr>
            <w:r w:rsidRPr="0066728C">
              <w:rPr>
                <w:rFonts w:ascii="Arial" w:hAnsi="Arial" w:cs="Arial"/>
                <w:sz w:val="16"/>
                <w:szCs w:val="16"/>
              </w:rPr>
              <w:t>-</w:t>
            </w:r>
          </w:p>
        </w:tc>
        <w:tc>
          <w:tcPr>
            <w:tcW w:w="1208" w:type="dxa"/>
            <w:gridSpan w:val="2"/>
            <w:tcBorders>
              <w:top w:val="nil"/>
              <w:left w:val="nil"/>
              <w:bottom w:val="single" w:sz="4" w:space="0" w:color="auto"/>
              <w:right w:val="single" w:sz="4" w:space="0" w:color="auto"/>
            </w:tcBorders>
            <w:shd w:val="clear" w:color="auto" w:fill="auto"/>
            <w:noWrap/>
            <w:vAlign w:val="center"/>
          </w:tcPr>
          <w:p w14:paraId="6B49DB8B" w14:textId="1DEED252" w:rsidR="0025710E" w:rsidRPr="002047BA" w:rsidRDefault="0025710E" w:rsidP="0025710E">
            <w:pPr>
              <w:jc w:val="right"/>
              <w:rPr>
                <w:rFonts w:ascii="Arial" w:hAnsi="Arial" w:cs="Arial"/>
                <w:sz w:val="16"/>
                <w:szCs w:val="16"/>
                <w:lang w:eastAsia="es-AR"/>
              </w:rPr>
            </w:pPr>
            <w:r w:rsidRPr="00136846">
              <w:rPr>
                <w:rFonts w:ascii="Arial" w:hAnsi="Arial" w:cs="Arial"/>
                <w:sz w:val="16"/>
                <w:szCs w:val="16"/>
              </w:rPr>
              <w:t>11.338.023</w:t>
            </w:r>
          </w:p>
        </w:tc>
        <w:tc>
          <w:tcPr>
            <w:tcW w:w="1276" w:type="dxa"/>
            <w:tcBorders>
              <w:top w:val="nil"/>
              <w:left w:val="nil"/>
              <w:bottom w:val="single" w:sz="4" w:space="0" w:color="auto"/>
              <w:right w:val="single" w:sz="4" w:space="0" w:color="auto"/>
            </w:tcBorders>
            <w:shd w:val="clear" w:color="auto" w:fill="auto"/>
            <w:noWrap/>
            <w:vAlign w:val="center"/>
          </w:tcPr>
          <w:p w14:paraId="0B784E6C" w14:textId="2D08968B" w:rsidR="0025710E" w:rsidRPr="0066728C" w:rsidRDefault="0025710E" w:rsidP="0025710E">
            <w:pPr>
              <w:jc w:val="right"/>
              <w:rPr>
                <w:rFonts w:ascii="Arial" w:hAnsi="Arial" w:cs="Arial"/>
                <w:sz w:val="16"/>
                <w:szCs w:val="16"/>
              </w:rPr>
            </w:pPr>
            <w:r w:rsidRPr="0066728C">
              <w:rPr>
                <w:rFonts w:ascii="Arial" w:hAnsi="Arial" w:cs="Arial"/>
                <w:sz w:val="16"/>
                <w:szCs w:val="16"/>
              </w:rPr>
              <w:t>-</w:t>
            </w:r>
          </w:p>
        </w:tc>
      </w:tr>
    </w:tbl>
    <w:p w14:paraId="37B393A4" w14:textId="77777777" w:rsidR="00122507" w:rsidRPr="00701F32" w:rsidRDefault="00122507" w:rsidP="00D242BF">
      <w:pPr>
        <w:tabs>
          <w:tab w:val="left" w:pos="142"/>
        </w:tabs>
        <w:jc w:val="both"/>
        <w:rPr>
          <w:rFonts w:ascii="Arial" w:hAnsi="Arial" w:cs="Arial"/>
          <w:sz w:val="20"/>
        </w:rPr>
      </w:pPr>
    </w:p>
    <w:p w14:paraId="4583C8D8" w14:textId="7B554126" w:rsidR="00656E62" w:rsidRPr="00701F32" w:rsidRDefault="00E23D63" w:rsidP="00656E62">
      <w:pPr>
        <w:widowControl w:val="0"/>
        <w:autoSpaceDE w:val="0"/>
        <w:autoSpaceDN w:val="0"/>
        <w:adjustRightInd w:val="0"/>
        <w:jc w:val="both"/>
        <w:rPr>
          <w:rFonts w:ascii="Arial" w:hAnsi="Arial" w:cs="Arial"/>
          <w:b/>
          <w:noProof/>
          <w:sz w:val="20"/>
        </w:rPr>
      </w:pPr>
      <w:r>
        <w:rPr>
          <w:rFonts w:ascii="Arial" w:hAnsi="Arial" w:cs="Arial"/>
          <w:b/>
          <w:noProof/>
          <w:sz w:val="20"/>
        </w:rPr>
        <w:t>14</w:t>
      </w:r>
      <w:r w:rsidR="00656E62" w:rsidRPr="00701F32">
        <w:rPr>
          <w:rFonts w:ascii="Arial" w:hAnsi="Arial" w:cs="Arial"/>
          <w:b/>
          <w:noProof/>
          <w:sz w:val="20"/>
        </w:rPr>
        <w:t xml:space="preserve">. </w:t>
      </w:r>
      <w:r w:rsidR="00656E62" w:rsidRPr="00701F32">
        <w:rPr>
          <w:rFonts w:ascii="Arial" w:hAnsi="Arial" w:cs="Arial"/>
          <w:b/>
          <w:sz w:val="20"/>
        </w:rPr>
        <w:t>I</w:t>
      </w:r>
      <w:r w:rsidR="00D242BF" w:rsidRPr="00701F32">
        <w:rPr>
          <w:rFonts w:ascii="Arial" w:hAnsi="Arial" w:cs="Arial"/>
          <w:b/>
          <w:sz w:val="20"/>
        </w:rPr>
        <w:t xml:space="preserve">NFORMACION ADICIONAL REQUERIDA POR EL </w:t>
      </w:r>
      <w:r w:rsidR="00656E62" w:rsidRPr="00701F32">
        <w:rPr>
          <w:rFonts w:ascii="Arial" w:hAnsi="Arial" w:cs="Arial"/>
          <w:b/>
          <w:sz w:val="20"/>
        </w:rPr>
        <w:t>BCRA</w:t>
      </w:r>
    </w:p>
    <w:p w14:paraId="6BBCE699" w14:textId="77777777" w:rsidR="00656E62" w:rsidRPr="00701F32" w:rsidRDefault="00656E62" w:rsidP="00656E62">
      <w:pPr>
        <w:jc w:val="both"/>
        <w:rPr>
          <w:rFonts w:ascii="Arial" w:hAnsi="Arial" w:cs="Arial"/>
          <w:b/>
          <w:sz w:val="20"/>
        </w:rPr>
      </w:pPr>
    </w:p>
    <w:p w14:paraId="48E77D82" w14:textId="1C43BC2F" w:rsidR="00656E62" w:rsidRPr="00701F32" w:rsidRDefault="00E23D63" w:rsidP="00656E62">
      <w:pPr>
        <w:tabs>
          <w:tab w:val="left" w:pos="142"/>
          <w:tab w:val="left" w:pos="9923"/>
        </w:tabs>
        <w:spacing w:after="200" w:line="276" w:lineRule="auto"/>
        <w:contextualSpacing/>
        <w:jc w:val="both"/>
        <w:rPr>
          <w:rFonts w:ascii="Arial" w:hAnsi="Arial" w:cs="Arial"/>
          <w:b/>
          <w:sz w:val="20"/>
        </w:rPr>
      </w:pPr>
      <w:r>
        <w:rPr>
          <w:rFonts w:ascii="Arial" w:hAnsi="Arial" w:cs="Arial"/>
          <w:b/>
          <w:sz w:val="20"/>
        </w:rPr>
        <w:t>14</w:t>
      </w:r>
      <w:r w:rsidR="00656E62" w:rsidRPr="00701F32">
        <w:rPr>
          <w:rFonts w:ascii="Arial" w:hAnsi="Arial" w:cs="Arial"/>
          <w:b/>
          <w:sz w:val="20"/>
        </w:rPr>
        <w:t xml:space="preserve">.1 Sistema de Seguros de Garantía de Depósitos </w:t>
      </w:r>
    </w:p>
    <w:p w14:paraId="73C6BCDD" w14:textId="77777777" w:rsidR="00656E62" w:rsidRPr="00701F32" w:rsidRDefault="00656E62" w:rsidP="00656E62">
      <w:pPr>
        <w:tabs>
          <w:tab w:val="left" w:pos="142"/>
          <w:tab w:val="left" w:pos="9923"/>
        </w:tabs>
        <w:spacing w:after="200" w:line="276" w:lineRule="auto"/>
        <w:contextualSpacing/>
        <w:jc w:val="both"/>
        <w:rPr>
          <w:rFonts w:ascii="Arial" w:hAnsi="Arial" w:cs="Arial"/>
          <w:sz w:val="20"/>
        </w:rPr>
      </w:pPr>
    </w:p>
    <w:p w14:paraId="59B6CA0A" w14:textId="77777777" w:rsidR="006D7FAF" w:rsidRPr="00701F32" w:rsidRDefault="006D7FAF" w:rsidP="006D7FAF">
      <w:pPr>
        <w:tabs>
          <w:tab w:val="left" w:pos="142"/>
          <w:tab w:val="left" w:pos="9923"/>
        </w:tabs>
        <w:spacing w:after="200" w:line="276" w:lineRule="auto"/>
        <w:contextualSpacing/>
        <w:jc w:val="both"/>
        <w:rPr>
          <w:rFonts w:ascii="Arial" w:hAnsi="Arial" w:cs="Arial"/>
          <w:sz w:val="20"/>
        </w:rPr>
      </w:pPr>
      <w:r w:rsidRPr="00701F32">
        <w:rPr>
          <w:rFonts w:ascii="Arial" w:hAnsi="Arial" w:cs="Arial"/>
          <w:sz w:val="20"/>
        </w:rPr>
        <w:t>Mediante la Ley N° 24485 y el Decreto N° 540/95 se dispuso la creación del Sistema de Seguro de Garantía de los Depósitos con el objeto de cubrir el riesgo de los depósitos bancarios adicionalmente al sistema de privilegios y protección previsto en la Ley de Entidades Financieras.</w:t>
      </w:r>
    </w:p>
    <w:p w14:paraId="5471C6EF" w14:textId="77777777" w:rsidR="006D7FAF" w:rsidRPr="00701F32" w:rsidRDefault="006D7FAF" w:rsidP="006D7FAF">
      <w:pPr>
        <w:tabs>
          <w:tab w:val="left" w:pos="142"/>
          <w:tab w:val="left" w:pos="9923"/>
        </w:tabs>
        <w:spacing w:after="200" w:line="276" w:lineRule="auto"/>
        <w:contextualSpacing/>
        <w:jc w:val="both"/>
        <w:rPr>
          <w:rFonts w:ascii="Arial" w:hAnsi="Arial" w:cs="Arial"/>
          <w:sz w:val="20"/>
        </w:rPr>
      </w:pPr>
    </w:p>
    <w:p w14:paraId="79049B78" w14:textId="371E51E9" w:rsidR="00CB0AB9" w:rsidRPr="00701F32" w:rsidRDefault="006D7FAF" w:rsidP="00CB0AB9">
      <w:pPr>
        <w:tabs>
          <w:tab w:val="left" w:pos="142"/>
        </w:tabs>
        <w:jc w:val="both"/>
        <w:rPr>
          <w:rFonts w:ascii="Arial" w:hAnsi="Arial" w:cs="Arial"/>
          <w:sz w:val="20"/>
        </w:rPr>
      </w:pPr>
      <w:r w:rsidRPr="00701F32">
        <w:rPr>
          <w:rFonts w:ascii="Arial" w:hAnsi="Arial" w:cs="Arial"/>
          <w:sz w:val="20"/>
        </w:rPr>
        <w:t xml:space="preserve">Por el Decreto N° 1127/98 del 24 de septiembre de 1998, el P.E.N. estableció el límite máximo de cobertura del sistema de garantía, alcanzando a los depósitos a la vista o a plazo fijo, en pesos y/o moneda extranjera.  </w:t>
      </w:r>
      <w:r w:rsidR="00CB0AB9">
        <w:rPr>
          <w:rFonts w:ascii="Arial" w:hAnsi="Arial" w:cs="Arial"/>
          <w:sz w:val="20"/>
        </w:rPr>
        <w:t>Hasta el 28 de febrero de 2019,</w:t>
      </w:r>
      <w:r w:rsidR="00CB0AB9" w:rsidRPr="00701F32">
        <w:rPr>
          <w:rFonts w:ascii="Arial" w:hAnsi="Arial" w:cs="Arial"/>
          <w:sz w:val="20"/>
        </w:rPr>
        <w:t xml:space="preserve"> dicho límite alcanza</w:t>
      </w:r>
      <w:r w:rsidR="00CB0AB9">
        <w:rPr>
          <w:rFonts w:ascii="Arial" w:hAnsi="Arial" w:cs="Arial"/>
          <w:sz w:val="20"/>
        </w:rPr>
        <w:t>ba</w:t>
      </w:r>
      <w:r w:rsidR="00CB0AB9" w:rsidRPr="00701F32">
        <w:rPr>
          <w:rFonts w:ascii="Arial" w:hAnsi="Arial" w:cs="Arial"/>
          <w:sz w:val="20"/>
        </w:rPr>
        <w:t xml:space="preserve"> la suma de </w:t>
      </w:r>
      <w:r w:rsidR="00084EEA">
        <w:rPr>
          <w:rFonts w:ascii="Arial" w:hAnsi="Arial" w:cs="Arial"/>
          <w:sz w:val="20"/>
        </w:rPr>
        <w:t xml:space="preserve">$ </w:t>
      </w:r>
      <w:r w:rsidR="00CB0AB9" w:rsidRPr="00701F32">
        <w:rPr>
          <w:rFonts w:ascii="Arial" w:hAnsi="Arial" w:cs="Arial"/>
          <w:sz w:val="20"/>
        </w:rPr>
        <w:t>450, el cual fue establecido por la comunicación “A” 5943.</w:t>
      </w:r>
      <w:r w:rsidR="00CB0AB9">
        <w:rPr>
          <w:rFonts w:ascii="Arial" w:hAnsi="Arial" w:cs="Arial"/>
          <w:sz w:val="20"/>
        </w:rPr>
        <w:t xml:space="preserve"> A partir del 1 de marzo de 2019 el nuevo límite asciende a </w:t>
      </w:r>
      <w:r w:rsidR="00B154F6">
        <w:rPr>
          <w:rFonts w:ascii="Arial" w:hAnsi="Arial" w:cs="Arial"/>
          <w:sz w:val="20"/>
        </w:rPr>
        <w:t xml:space="preserve">$ </w:t>
      </w:r>
      <w:r w:rsidR="00CB0AB9">
        <w:rPr>
          <w:rFonts w:ascii="Arial" w:hAnsi="Arial" w:cs="Arial"/>
          <w:sz w:val="20"/>
        </w:rPr>
        <w:t>1.000, de acuerdo a lo establecido por la Comun</w:t>
      </w:r>
      <w:r w:rsidR="0026710C">
        <w:rPr>
          <w:rFonts w:ascii="Arial" w:hAnsi="Arial" w:cs="Arial"/>
          <w:sz w:val="20"/>
        </w:rPr>
        <w:t>i</w:t>
      </w:r>
      <w:r w:rsidR="00CB0AB9">
        <w:rPr>
          <w:rFonts w:ascii="Arial" w:hAnsi="Arial" w:cs="Arial"/>
          <w:sz w:val="20"/>
        </w:rPr>
        <w:t>cación “A” 6654.</w:t>
      </w:r>
    </w:p>
    <w:p w14:paraId="3EE55D26" w14:textId="77777777" w:rsidR="006D7FAF" w:rsidRPr="00701F32" w:rsidRDefault="006D7FAF" w:rsidP="006D7FAF">
      <w:pPr>
        <w:tabs>
          <w:tab w:val="left" w:pos="142"/>
          <w:tab w:val="left" w:pos="9923"/>
        </w:tabs>
        <w:spacing w:after="200" w:line="276" w:lineRule="auto"/>
        <w:contextualSpacing/>
        <w:jc w:val="both"/>
        <w:rPr>
          <w:rFonts w:ascii="Arial" w:hAnsi="Arial" w:cs="Arial"/>
          <w:sz w:val="20"/>
        </w:rPr>
      </w:pPr>
      <w:r w:rsidRPr="00701F32">
        <w:rPr>
          <w:rFonts w:ascii="Arial" w:hAnsi="Arial" w:cs="Arial"/>
          <w:sz w:val="20"/>
        </w:rPr>
        <w:t xml:space="preserve"> </w:t>
      </w:r>
    </w:p>
    <w:p w14:paraId="4D5CC2F0" w14:textId="3CE9C6E3" w:rsidR="006D7FAF" w:rsidRDefault="006D7FAF" w:rsidP="00656E62">
      <w:pPr>
        <w:jc w:val="both"/>
        <w:rPr>
          <w:rFonts w:ascii="Arial" w:hAnsi="Arial" w:cs="Arial"/>
          <w:sz w:val="20"/>
        </w:rPr>
      </w:pPr>
      <w:r w:rsidRPr="00701F32">
        <w:rPr>
          <w:rFonts w:ascii="Arial" w:hAnsi="Arial" w:cs="Arial"/>
          <w:sz w:val="20"/>
        </w:rPr>
        <w:t xml:space="preserve">No están incluidos en el presente régimen los depósitos efectuados por otras entidades financieras (incluyendo los certificados a plazo fijo adquiridos por negociación secundaria), los depósitos efectuados por personas vinculadas directa o indirectamente a la entidad, los depósitos de títulos valores, aceptaciones o garantías y, los depósitos a la vista convenidos a una tasa superior a la establecida periódicamente por el BCRA en base a la encuesta diaria que realiza dicha institución </w:t>
      </w:r>
      <w:r w:rsidR="00FF46E5">
        <w:rPr>
          <w:rFonts w:ascii="Arial" w:hAnsi="Arial" w:cs="Arial"/>
          <w:sz w:val="20"/>
        </w:rPr>
        <w:t xml:space="preserve">(*) </w:t>
      </w:r>
      <w:r w:rsidRPr="00701F32">
        <w:rPr>
          <w:rFonts w:ascii="Arial" w:hAnsi="Arial" w:cs="Arial"/>
          <w:sz w:val="20"/>
        </w:rPr>
        <w:t xml:space="preserve">y los depósitos e inversiones a plazo que superen en 1,3 veces dicha tasa o la tasa de referencia </w:t>
      </w:r>
      <w:r w:rsidR="00AE73E8" w:rsidRPr="00701F32">
        <w:rPr>
          <w:rFonts w:ascii="Arial" w:hAnsi="Arial" w:cs="Arial"/>
          <w:sz w:val="20"/>
        </w:rPr>
        <w:t>más</w:t>
      </w:r>
      <w:r w:rsidRPr="00701F32">
        <w:rPr>
          <w:rFonts w:ascii="Arial" w:hAnsi="Arial" w:cs="Arial"/>
          <w:sz w:val="20"/>
        </w:rPr>
        <w:t xml:space="preserve"> 5 puntos porcentuales, la que fuese mayor</w:t>
      </w:r>
      <w:r w:rsidR="00FF46E5">
        <w:rPr>
          <w:rFonts w:ascii="Arial" w:hAnsi="Arial" w:cs="Arial"/>
          <w:sz w:val="20"/>
        </w:rPr>
        <w:t xml:space="preserve"> (*)</w:t>
      </w:r>
      <w:r w:rsidRPr="00701F32">
        <w:rPr>
          <w:rFonts w:ascii="Arial" w:hAnsi="Arial" w:cs="Arial"/>
          <w:sz w:val="20"/>
        </w:rPr>
        <w:t>. También se hallan excluidos los depósitos cuya titularidad haya sido adquirida vía endoso y las imposiciones que ofrezcan incentivos adicionales a la tasa de interés. El sistema ha sido implementado mediante la creación de un fondo denominado "Fondo de Garantía de los Depósitos" (F.G.D.), que es administrado por la sociedad Seguros de Depósitos S.A. (SEDESA) y cuyos accionistas son el BCRA y las entidades financieras en la proporción que para cada una de ellas determina dicha institución en función de los aportes efectuados al mencionado fondo.</w:t>
      </w:r>
    </w:p>
    <w:p w14:paraId="7BB37AB6" w14:textId="45840C7D" w:rsidR="00FF46E5" w:rsidRDefault="00FF46E5" w:rsidP="00656E62">
      <w:pPr>
        <w:jc w:val="both"/>
        <w:rPr>
          <w:rFonts w:ascii="Arial" w:hAnsi="Arial" w:cs="Arial"/>
          <w:sz w:val="20"/>
        </w:rPr>
      </w:pPr>
    </w:p>
    <w:p w14:paraId="75DFEAF4" w14:textId="2AE74CC3" w:rsidR="00FF46E5" w:rsidRPr="00701F32" w:rsidRDefault="00FF46E5" w:rsidP="00656E62">
      <w:pPr>
        <w:jc w:val="both"/>
        <w:rPr>
          <w:rFonts w:ascii="Arial" w:hAnsi="Arial" w:cs="Arial"/>
          <w:sz w:val="20"/>
        </w:rPr>
      </w:pPr>
      <w:r>
        <w:rPr>
          <w:rFonts w:ascii="Arial" w:hAnsi="Arial" w:cs="Arial"/>
          <w:sz w:val="20"/>
        </w:rPr>
        <w:t>(*) Con vigencia a partir del 20 de enero de 2019, por disposición de la “A” 6435, dichas exclusiones son las siguientes: Los depósitos a la vista en los que se convengan tasas de interés superiores a las tasas de referencia y los depósitos e inversiones a plazo que superen 1,3 veces esa tasa.  Las tasas de referencia son difundidas periódicamente por el BCRA según el promedio móvil de los últimos cinco días hábiles bancarios de las tasas pasivas que para los depósitos a plazo fijo de hasta 100 (o su equivalente en otras monedas), su</w:t>
      </w:r>
      <w:r w:rsidR="00D0115C">
        <w:rPr>
          <w:rFonts w:ascii="Arial" w:hAnsi="Arial" w:cs="Arial"/>
          <w:sz w:val="20"/>
        </w:rPr>
        <w:t>r</w:t>
      </w:r>
      <w:r>
        <w:rPr>
          <w:rFonts w:ascii="Arial" w:hAnsi="Arial" w:cs="Arial"/>
          <w:sz w:val="20"/>
        </w:rPr>
        <w:t>jan de la encuesta que realiza dicha Institución.</w:t>
      </w:r>
    </w:p>
    <w:p w14:paraId="1B74142D" w14:textId="77777777" w:rsidR="00656E62" w:rsidRPr="00701F32" w:rsidRDefault="00656E62" w:rsidP="00656E62">
      <w:pPr>
        <w:jc w:val="both"/>
        <w:rPr>
          <w:rFonts w:ascii="Arial" w:hAnsi="Arial" w:cs="Arial"/>
          <w:sz w:val="20"/>
        </w:rPr>
      </w:pPr>
    </w:p>
    <w:p w14:paraId="4F36BAD8" w14:textId="769C3DDA" w:rsidR="00656E62" w:rsidRPr="00701F32" w:rsidRDefault="00E23D63" w:rsidP="00656E62">
      <w:pPr>
        <w:tabs>
          <w:tab w:val="left" w:pos="9923"/>
        </w:tabs>
        <w:spacing w:after="200" w:line="276" w:lineRule="auto"/>
        <w:jc w:val="both"/>
        <w:rPr>
          <w:rFonts w:ascii="Arial" w:hAnsi="Arial" w:cs="Arial"/>
          <w:b/>
          <w:sz w:val="20"/>
        </w:rPr>
      </w:pPr>
      <w:r>
        <w:rPr>
          <w:rFonts w:ascii="Arial" w:hAnsi="Arial" w:cs="Arial"/>
          <w:b/>
          <w:sz w:val="20"/>
        </w:rPr>
        <w:t>14</w:t>
      </w:r>
      <w:r w:rsidR="00656E62" w:rsidRPr="00701F32">
        <w:rPr>
          <w:rFonts w:ascii="Arial" w:hAnsi="Arial" w:cs="Arial"/>
          <w:b/>
          <w:sz w:val="20"/>
        </w:rPr>
        <w:t>.2 Bienes de disponibilidad restringida</w:t>
      </w:r>
    </w:p>
    <w:p w14:paraId="01AAD42A" w14:textId="77777777" w:rsidR="00656E62" w:rsidRPr="00701F32" w:rsidRDefault="00656E62" w:rsidP="00656E62">
      <w:pPr>
        <w:tabs>
          <w:tab w:val="left" w:pos="142"/>
        </w:tabs>
        <w:jc w:val="both"/>
        <w:rPr>
          <w:rFonts w:ascii="Arial" w:hAnsi="Arial" w:cs="Arial"/>
          <w:sz w:val="20"/>
        </w:rPr>
      </w:pPr>
      <w:r w:rsidRPr="00701F32">
        <w:rPr>
          <w:rFonts w:ascii="Arial" w:hAnsi="Arial" w:cs="Arial"/>
          <w:sz w:val="20"/>
        </w:rPr>
        <w:t>La Entidad posee activos cuya disponibilidad se encuentra restringida, según el siguiente detalle:</w:t>
      </w:r>
    </w:p>
    <w:p w14:paraId="4A53F97B" w14:textId="77777777" w:rsidR="00EF11DF" w:rsidRPr="00701F32" w:rsidRDefault="00EF11DF" w:rsidP="00656E62">
      <w:pPr>
        <w:tabs>
          <w:tab w:val="left" w:pos="142"/>
        </w:tabs>
        <w:jc w:val="both"/>
        <w:rPr>
          <w:rFonts w:ascii="Arial" w:hAnsi="Arial" w:cs="Arial"/>
          <w:sz w:val="20"/>
        </w:rPr>
      </w:pPr>
    </w:p>
    <w:tbl>
      <w:tblPr>
        <w:tblW w:w="49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936"/>
        <w:gridCol w:w="1450"/>
        <w:gridCol w:w="1237"/>
      </w:tblGrid>
      <w:tr w:rsidR="00E52346" w:rsidRPr="00701F32" w14:paraId="7ACBFDF9" w14:textId="77777777" w:rsidTr="00B57E77">
        <w:trPr>
          <w:trHeight w:val="306"/>
          <w:tblHeader/>
        </w:trPr>
        <w:tc>
          <w:tcPr>
            <w:tcW w:w="34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678C76" w14:textId="77777777" w:rsidR="00E52346" w:rsidRPr="00B57E77" w:rsidRDefault="00E52346" w:rsidP="00464C0F">
            <w:pPr>
              <w:tabs>
                <w:tab w:val="left" w:pos="142"/>
              </w:tabs>
              <w:jc w:val="both"/>
              <w:rPr>
                <w:rFonts w:ascii="Arial" w:hAnsi="Arial" w:cs="Arial"/>
                <w:b/>
                <w:bCs/>
                <w:sz w:val="18"/>
              </w:rPr>
            </w:pPr>
            <w:r w:rsidRPr="00B57E77">
              <w:rPr>
                <w:rFonts w:ascii="Arial" w:hAnsi="Arial" w:cs="Arial"/>
                <w:b/>
                <w:bCs/>
                <w:sz w:val="18"/>
              </w:rPr>
              <w:t>Concepto</w:t>
            </w:r>
          </w:p>
        </w:tc>
        <w:tc>
          <w:tcPr>
            <w:tcW w:w="8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8465C1" w14:textId="4F46C808" w:rsidR="00E52346" w:rsidRPr="00B57E77" w:rsidRDefault="003C2633" w:rsidP="007F209B">
            <w:pPr>
              <w:tabs>
                <w:tab w:val="left" w:pos="142"/>
              </w:tabs>
              <w:jc w:val="center"/>
              <w:rPr>
                <w:rFonts w:ascii="Arial" w:hAnsi="Arial" w:cs="Arial"/>
                <w:b/>
                <w:sz w:val="18"/>
              </w:rPr>
            </w:pPr>
            <w:r w:rsidRPr="00B57E77">
              <w:rPr>
                <w:rFonts w:ascii="Arial" w:hAnsi="Arial" w:cs="Arial"/>
                <w:b/>
                <w:sz w:val="18"/>
              </w:rPr>
              <w:t>3</w:t>
            </w:r>
            <w:r w:rsidR="00E23D63" w:rsidRPr="00B57E77">
              <w:rPr>
                <w:rFonts w:ascii="Arial" w:hAnsi="Arial" w:cs="Arial"/>
                <w:b/>
                <w:sz w:val="18"/>
              </w:rPr>
              <w:t>1</w:t>
            </w:r>
            <w:r w:rsidRPr="00B57E77">
              <w:rPr>
                <w:rFonts w:ascii="Arial" w:hAnsi="Arial" w:cs="Arial"/>
                <w:b/>
                <w:sz w:val="18"/>
              </w:rPr>
              <w:t>/</w:t>
            </w:r>
            <w:r w:rsidR="00E23D63" w:rsidRPr="00B57E77">
              <w:rPr>
                <w:rFonts w:ascii="Arial" w:hAnsi="Arial" w:cs="Arial"/>
                <w:b/>
                <w:sz w:val="18"/>
              </w:rPr>
              <w:t>12</w:t>
            </w:r>
            <w:r w:rsidRPr="00B57E77">
              <w:rPr>
                <w:rFonts w:ascii="Arial" w:hAnsi="Arial" w:cs="Arial"/>
                <w:b/>
                <w:sz w:val="18"/>
              </w:rPr>
              <w:t>/2019</w:t>
            </w:r>
          </w:p>
        </w:tc>
        <w:tc>
          <w:tcPr>
            <w:tcW w:w="7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40839E" w14:textId="51AF06DF" w:rsidR="00E52346" w:rsidRPr="00B57E77" w:rsidRDefault="00E52346" w:rsidP="002B52DE">
            <w:pPr>
              <w:tabs>
                <w:tab w:val="left" w:pos="142"/>
              </w:tabs>
              <w:jc w:val="center"/>
              <w:rPr>
                <w:rFonts w:ascii="Arial" w:hAnsi="Arial" w:cs="Arial"/>
                <w:b/>
                <w:sz w:val="18"/>
              </w:rPr>
            </w:pPr>
            <w:r w:rsidRPr="00B57E77">
              <w:rPr>
                <w:rFonts w:ascii="Arial" w:hAnsi="Arial" w:cs="Arial"/>
                <w:b/>
                <w:sz w:val="18"/>
              </w:rPr>
              <w:t>31/12/2018</w:t>
            </w:r>
          </w:p>
        </w:tc>
      </w:tr>
      <w:tr w:rsidR="00E52346" w:rsidRPr="00701F32" w14:paraId="2C570A05" w14:textId="77777777" w:rsidTr="00B57E77">
        <w:trPr>
          <w:trHeight w:val="261"/>
        </w:trPr>
        <w:tc>
          <w:tcPr>
            <w:tcW w:w="3442" w:type="pct"/>
            <w:tcBorders>
              <w:left w:val="single" w:sz="4" w:space="0" w:color="auto"/>
              <w:right w:val="single" w:sz="4" w:space="0" w:color="auto"/>
            </w:tcBorders>
            <w:shd w:val="clear" w:color="auto" w:fill="auto"/>
            <w:noWrap/>
            <w:vAlign w:val="center"/>
          </w:tcPr>
          <w:p w14:paraId="7B084F47" w14:textId="77777777" w:rsidR="00E52346" w:rsidRPr="00B57E77" w:rsidRDefault="00E52346" w:rsidP="00E52346">
            <w:pPr>
              <w:tabs>
                <w:tab w:val="left" w:pos="142"/>
              </w:tabs>
              <w:jc w:val="both"/>
              <w:rPr>
                <w:rFonts w:ascii="Arial" w:hAnsi="Arial" w:cs="Arial"/>
                <w:sz w:val="18"/>
              </w:rPr>
            </w:pPr>
            <w:r w:rsidRPr="00B57E77">
              <w:rPr>
                <w:rFonts w:ascii="Arial" w:hAnsi="Arial" w:cs="Arial"/>
                <w:sz w:val="18"/>
              </w:rPr>
              <w:t>Cuentas especiales de garantía en el BCRA</w:t>
            </w:r>
          </w:p>
        </w:tc>
        <w:tc>
          <w:tcPr>
            <w:tcW w:w="841" w:type="pct"/>
            <w:tcBorders>
              <w:left w:val="single" w:sz="4" w:space="0" w:color="auto"/>
              <w:right w:val="single" w:sz="4" w:space="0" w:color="auto"/>
            </w:tcBorders>
            <w:shd w:val="clear" w:color="auto" w:fill="auto"/>
            <w:noWrap/>
            <w:vAlign w:val="bottom"/>
          </w:tcPr>
          <w:p w14:paraId="08D66071" w14:textId="682451DD" w:rsidR="00E52346" w:rsidRPr="00B57E77" w:rsidRDefault="00B85329">
            <w:pPr>
              <w:tabs>
                <w:tab w:val="left" w:pos="142"/>
              </w:tabs>
              <w:jc w:val="right"/>
              <w:rPr>
                <w:rFonts w:ascii="Arial" w:hAnsi="Arial" w:cs="Arial"/>
                <w:sz w:val="18"/>
                <w:lang w:val="es-ES_tradnl"/>
              </w:rPr>
            </w:pPr>
            <w:r>
              <w:rPr>
                <w:rFonts w:ascii="Arial" w:hAnsi="Arial" w:cs="Arial"/>
                <w:sz w:val="18"/>
                <w:lang w:val="es-ES_tradnl"/>
              </w:rPr>
              <w:t>1.975.535</w:t>
            </w:r>
          </w:p>
        </w:tc>
        <w:tc>
          <w:tcPr>
            <w:tcW w:w="717" w:type="pct"/>
            <w:tcBorders>
              <w:left w:val="single" w:sz="4" w:space="0" w:color="auto"/>
              <w:right w:val="single" w:sz="4" w:space="0" w:color="auto"/>
            </w:tcBorders>
            <w:shd w:val="clear" w:color="auto" w:fill="auto"/>
            <w:noWrap/>
            <w:vAlign w:val="bottom"/>
          </w:tcPr>
          <w:p w14:paraId="233E7617" w14:textId="44515875" w:rsidR="00E52346" w:rsidRPr="00B57E77" w:rsidRDefault="00E52346">
            <w:pPr>
              <w:tabs>
                <w:tab w:val="left" w:pos="142"/>
              </w:tabs>
              <w:jc w:val="right"/>
              <w:rPr>
                <w:rFonts w:ascii="Arial" w:hAnsi="Arial" w:cs="Arial"/>
                <w:sz w:val="18"/>
              </w:rPr>
            </w:pPr>
            <w:r w:rsidRPr="00B57E77">
              <w:rPr>
                <w:rFonts w:ascii="Arial" w:hAnsi="Arial" w:cs="Arial"/>
                <w:sz w:val="18"/>
                <w:lang w:val="es-ES_tradnl"/>
              </w:rPr>
              <w:t>1.256.084</w:t>
            </w:r>
          </w:p>
        </w:tc>
      </w:tr>
      <w:tr w:rsidR="00E52346" w:rsidRPr="00701F32" w14:paraId="3EAE6A52" w14:textId="77777777" w:rsidTr="00B57E77">
        <w:trPr>
          <w:trHeight w:val="261"/>
        </w:trPr>
        <w:tc>
          <w:tcPr>
            <w:tcW w:w="3442" w:type="pct"/>
            <w:tcBorders>
              <w:left w:val="single" w:sz="4" w:space="0" w:color="auto"/>
              <w:right w:val="single" w:sz="4" w:space="0" w:color="auto"/>
            </w:tcBorders>
            <w:shd w:val="clear" w:color="auto" w:fill="auto"/>
            <w:noWrap/>
            <w:vAlign w:val="center"/>
          </w:tcPr>
          <w:p w14:paraId="22283E94" w14:textId="77777777" w:rsidR="00E52346" w:rsidRPr="00B57E77" w:rsidRDefault="00E52346" w:rsidP="00E52346">
            <w:pPr>
              <w:tabs>
                <w:tab w:val="left" w:pos="142"/>
              </w:tabs>
              <w:jc w:val="both"/>
              <w:rPr>
                <w:rFonts w:ascii="Arial" w:hAnsi="Arial" w:cs="Arial"/>
                <w:sz w:val="18"/>
              </w:rPr>
            </w:pPr>
            <w:r w:rsidRPr="00B57E77">
              <w:rPr>
                <w:rFonts w:ascii="Arial" w:hAnsi="Arial" w:cs="Arial"/>
                <w:sz w:val="18"/>
              </w:rPr>
              <w:t>Depósitos en garantía por fideicomisos</w:t>
            </w:r>
          </w:p>
        </w:tc>
        <w:tc>
          <w:tcPr>
            <w:tcW w:w="841" w:type="pct"/>
            <w:tcBorders>
              <w:left w:val="single" w:sz="4" w:space="0" w:color="auto"/>
              <w:right w:val="single" w:sz="4" w:space="0" w:color="auto"/>
            </w:tcBorders>
            <w:shd w:val="clear" w:color="auto" w:fill="auto"/>
            <w:noWrap/>
            <w:vAlign w:val="bottom"/>
          </w:tcPr>
          <w:p w14:paraId="7CF588A8" w14:textId="70FD28BE" w:rsidR="00E52346" w:rsidRPr="00B57E77" w:rsidRDefault="00B85329">
            <w:pPr>
              <w:tabs>
                <w:tab w:val="left" w:pos="142"/>
              </w:tabs>
              <w:jc w:val="right"/>
              <w:rPr>
                <w:rFonts w:ascii="Arial" w:hAnsi="Arial" w:cs="Arial"/>
                <w:sz w:val="18"/>
                <w:lang w:val="es-ES_tradnl"/>
              </w:rPr>
            </w:pPr>
            <w:r>
              <w:rPr>
                <w:rFonts w:ascii="Arial" w:hAnsi="Arial" w:cs="Arial"/>
                <w:sz w:val="18"/>
                <w:lang w:val="es-ES_tradnl"/>
              </w:rPr>
              <w:t>3.800</w:t>
            </w:r>
          </w:p>
        </w:tc>
        <w:tc>
          <w:tcPr>
            <w:tcW w:w="717" w:type="pct"/>
            <w:tcBorders>
              <w:left w:val="single" w:sz="4" w:space="0" w:color="auto"/>
              <w:right w:val="single" w:sz="4" w:space="0" w:color="auto"/>
            </w:tcBorders>
            <w:shd w:val="clear" w:color="auto" w:fill="auto"/>
            <w:noWrap/>
            <w:vAlign w:val="bottom"/>
          </w:tcPr>
          <w:p w14:paraId="72888D83" w14:textId="3C966ACE" w:rsidR="00E52346" w:rsidRPr="00B57E77" w:rsidRDefault="00E52346">
            <w:pPr>
              <w:tabs>
                <w:tab w:val="left" w:pos="142"/>
              </w:tabs>
              <w:jc w:val="right"/>
              <w:rPr>
                <w:rFonts w:ascii="Arial" w:hAnsi="Arial" w:cs="Arial"/>
                <w:sz w:val="18"/>
              </w:rPr>
            </w:pPr>
            <w:r w:rsidRPr="00B57E77">
              <w:rPr>
                <w:rFonts w:ascii="Arial" w:hAnsi="Arial" w:cs="Arial"/>
                <w:sz w:val="18"/>
                <w:lang w:val="es-ES_tradnl"/>
              </w:rPr>
              <w:t>3.333</w:t>
            </w:r>
          </w:p>
        </w:tc>
      </w:tr>
      <w:tr w:rsidR="00E52346" w:rsidRPr="00701F32" w14:paraId="3AEA7686" w14:textId="77777777" w:rsidTr="00B57E77">
        <w:trPr>
          <w:trHeight w:val="261"/>
        </w:trPr>
        <w:tc>
          <w:tcPr>
            <w:tcW w:w="3442" w:type="pct"/>
            <w:tcBorders>
              <w:left w:val="single" w:sz="4" w:space="0" w:color="auto"/>
              <w:right w:val="single" w:sz="4" w:space="0" w:color="auto"/>
            </w:tcBorders>
            <w:shd w:val="clear" w:color="auto" w:fill="auto"/>
            <w:noWrap/>
            <w:vAlign w:val="center"/>
          </w:tcPr>
          <w:p w14:paraId="4431A0D5" w14:textId="77777777" w:rsidR="00E52346" w:rsidRPr="00B57E77" w:rsidRDefault="00E52346" w:rsidP="00E52346">
            <w:pPr>
              <w:tabs>
                <w:tab w:val="left" w:pos="142"/>
              </w:tabs>
              <w:jc w:val="both"/>
              <w:rPr>
                <w:rFonts w:ascii="Arial" w:hAnsi="Arial" w:cs="Arial"/>
                <w:sz w:val="18"/>
              </w:rPr>
            </w:pPr>
            <w:r w:rsidRPr="00B57E77">
              <w:rPr>
                <w:rFonts w:ascii="Arial" w:hAnsi="Arial" w:cs="Arial"/>
                <w:sz w:val="18"/>
              </w:rPr>
              <w:t>Depósitos en garantía por operaciones de cambio a término</w:t>
            </w:r>
          </w:p>
        </w:tc>
        <w:tc>
          <w:tcPr>
            <w:tcW w:w="841" w:type="pct"/>
            <w:tcBorders>
              <w:left w:val="single" w:sz="4" w:space="0" w:color="auto"/>
              <w:right w:val="single" w:sz="4" w:space="0" w:color="auto"/>
            </w:tcBorders>
            <w:shd w:val="clear" w:color="auto" w:fill="auto"/>
            <w:noWrap/>
            <w:vAlign w:val="bottom"/>
          </w:tcPr>
          <w:p w14:paraId="3EF3EB70" w14:textId="67CC587F" w:rsidR="00E52346" w:rsidRPr="00B57E77" w:rsidRDefault="00B85329">
            <w:pPr>
              <w:jc w:val="right"/>
              <w:rPr>
                <w:rFonts w:ascii="Arial" w:hAnsi="Arial" w:cs="Arial"/>
                <w:sz w:val="18"/>
                <w:lang w:val="es-ES_tradnl"/>
              </w:rPr>
            </w:pPr>
            <w:r>
              <w:rPr>
                <w:rFonts w:ascii="Arial" w:hAnsi="Arial" w:cs="Arial"/>
                <w:sz w:val="18"/>
                <w:lang w:val="es-ES_tradnl"/>
              </w:rPr>
              <w:t>2.104.713</w:t>
            </w:r>
          </w:p>
        </w:tc>
        <w:tc>
          <w:tcPr>
            <w:tcW w:w="717" w:type="pct"/>
            <w:tcBorders>
              <w:left w:val="single" w:sz="4" w:space="0" w:color="auto"/>
              <w:right w:val="single" w:sz="4" w:space="0" w:color="auto"/>
            </w:tcBorders>
            <w:shd w:val="clear" w:color="auto" w:fill="auto"/>
            <w:noWrap/>
            <w:vAlign w:val="bottom"/>
          </w:tcPr>
          <w:p w14:paraId="2E9BFC48" w14:textId="5F5AFBD4" w:rsidR="00E52346" w:rsidRPr="00B57E77" w:rsidRDefault="00E52346">
            <w:pPr>
              <w:tabs>
                <w:tab w:val="left" w:pos="142"/>
              </w:tabs>
              <w:jc w:val="right"/>
              <w:rPr>
                <w:rFonts w:ascii="Arial" w:hAnsi="Arial" w:cs="Arial"/>
                <w:sz w:val="18"/>
              </w:rPr>
            </w:pPr>
            <w:r w:rsidRPr="00B57E77">
              <w:rPr>
                <w:rFonts w:ascii="Arial" w:hAnsi="Arial" w:cs="Arial"/>
                <w:sz w:val="18"/>
                <w:lang w:val="es-ES_tradnl"/>
              </w:rPr>
              <w:t>282.207</w:t>
            </w:r>
          </w:p>
        </w:tc>
      </w:tr>
      <w:tr w:rsidR="00E52346" w:rsidRPr="00701F32" w14:paraId="2D6BADDD" w14:textId="77777777" w:rsidTr="00B57E77">
        <w:trPr>
          <w:trHeight w:val="261"/>
        </w:trPr>
        <w:tc>
          <w:tcPr>
            <w:tcW w:w="3442" w:type="pct"/>
            <w:tcBorders>
              <w:left w:val="single" w:sz="4" w:space="0" w:color="auto"/>
              <w:bottom w:val="single" w:sz="6" w:space="0" w:color="auto"/>
              <w:right w:val="single" w:sz="4" w:space="0" w:color="auto"/>
            </w:tcBorders>
            <w:shd w:val="clear" w:color="auto" w:fill="auto"/>
            <w:noWrap/>
            <w:vAlign w:val="center"/>
          </w:tcPr>
          <w:p w14:paraId="4FD1CD0B" w14:textId="77777777" w:rsidR="00E52346" w:rsidRPr="00B57E77" w:rsidRDefault="00E52346" w:rsidP="00E52346">
            <w:pPr>
              <w:tabs>
                <w:tab w:val="left" w:pos="142"/>
              </w:tabs>
              <w:jc w:val="both"/>
              <w:rPr>
                <w:rFonts w:ascii="Arial" w:hAnsi="Arial" w:cs="Arial"/>
                <w:sz w:val="18"/>
              </w:rPr>
            </w:pPr>
            <w:r w:rsidRPr="00B57E77">
              <w:rPr>
                <w:rFonts w:ascii="Arial" w:hAnsi="Arial" w:cs="Arial"/>
                <w:sz w:val="18"/>
              </w:rPr>
              <w:t>Depósitos en garantía por operaciones con tarjetas de crédito</w:t>
            </w:r>
          </w:p>
        </w:tc>
        <w:tc>
          <w:tcPr>
            <w:tcW w:w="841" w:type="pct"/>
            <w:tcBorders>
              <w:left w:val="single" w:sz="4" w:space="0" w:color="auto"/>
              <w:bottom w:val="single" w:sz="6" w:space="0" w:color="auto"/>
              <w:right w:val="single" w:sz="4" w:space="0" w:color="auto"/>
            </w:tcBorders>
            <w:shd w:val="clear" w:color="auto" w:fill="auto"/>
            <w:noWrap/>
            <w:vAlign w:val="bottom"/>
          </w:tcPr>
          <w:p w14:paraId="3EB3FB15" w14:textId="0A2620ED" w:rsidR="00E52346" w:rsidRPr="00B57E77" w:rsidRDefault="00B85329">
            <w:pPr>
              <w:tabs>
                <w:tab w:val="left" w:pos="142"/>
              </w:tabs>
              <w:jc w:val="right"/>
              <w:rPr>
                <w:rFonts w:ascii="Arial" w:hAnsi="Arial" w:cs="Arial"/>
                <w:sz w:val="18"/>
                <w:lang w:val="es-ES_tradnl"/>
              </w:rPr>
            </w:pPr>
            <w:r>
              <w:rPr>
                <w:rFonts w:ascii="Arial" w:hAnsi="Arial" w:cs="Arial"/>
                <w:sz w:val="18"/>
                <w:lang w:val="es-ES_tradnl"/>
              </w:rPr>
              <w:t>316.542</w:t>
            </w:r>
          </w:p>
        </w:tc>
        <w:tc>
          <w:tcPr>
            <w:tcW w:w="717" w:type="pct"/>
            <w:tcBorders>
              <w:left w:val="single" w:sz="4" w:space="0" w:color="auto"/>
              <w:bottom w:val="single" w:sz="6" w:space="0" w:color="auto"/>
              <w:right w:val="single" w:sz="4" w:space="0" w:color="auto"/>
            </w:tcBorders>
            <w:shd w:val="clear" w:color="auto" w:fill="auto"/>
            <w:noWrap/>
            <w:vAlign w:val="bottom"/>
          </w:tcPr>
          <w:p w14:paraId="19B43789" w14:textId="05816BDC" w:rsidR="00E52346" w:rsidRPr="00B57E77" w:rsidRDefault="00E52346">
            <w:pPr>
              <w:tabs>
                <w:tab w:val="left" w:pos="142"/>
              </w:tabs>
              <w:jc w:val="right"/>
              <w:rPr>
                <w:rFonts w:ascii="Arial" w:hAnsi="Arial" w:cs="Arial"/>
                <w:sz w:val="18"/>
              </w:rPr>
            </w:pPr>
            <w:r w:rsidRPr="00B57E77">
              <w:rPr>
                <w:rFonts w:ascii="Arial" w:hAnsi="Arial" w:cs="Arial"/>
                <w:sz w:val="18"/>
                <w:lang w:val="es-ES_tradnl"/>
              </w:rPr>
              <w:t>243.573</w:t>
            </w:r>
          </w:p>
        </w:tc>
      </w:tr>
      <w:tr w:rsidR="00E52346" w:rsidRPr="00701F32" w14:paraId="7E77C0F1" w14:textId="77777777" w:rsidTr="00B57E77">
        <w:trPr>
          <w:trHeight w:val="261"/>
        </w:trPr>
        <w:tc>
          <w:tcPr>
            <w:tcW w:w="3442" w:type="pct"/>
            <w:tcBorders>
              <w:top w:val="single" w:sz="6" w:space="0" w:color="auto"/>
              <w:left w:val="single" w:sz="4" w:space="0" w:color="auto"/>
              <w:bottom w:val="single" w:sz="6" w:space="0" w:color="auto"/>
              <w:right w:val="single" w:sz="4" w:space="0" w:color="auto"/>
            </w:tcBorders>
            <w:shd w:val="clear" w:color="auto" w:fill="auto"/>
            <w:noWrap/>
            <w:vAlign w:val="center"/>
          </w:tcPr>
          <w:p w14:paraId="16F9CC7B" w14:textId="77777777" w:rsidR="00E52346" w:rsidRPr="00B57E77" w:rsidRDefault="00E52346" w:rsidP="00E52346">
            <w:pPr>
              <w:tabs>
                <w:tab w:val="left" w:pos="142"/>
              </w:tabs>
              <w:jc w:val="both"/>
              <w:rPr>
                <w:rFonts w:ascii="Arial" w:hAnsi="Arial" w:cs="Arial"/>
                <w:sz w:val="18"/>
              </w:rPr>
            </w:pPr>
            <w:r w:rsidRPr="00B57E77">
              <w:rPr>
                <w:rFonts w:ascii="Arial" w:hAnsi="Arial" w:cs="Arial"/>
                <w:sz w:val="18"/>
              </w:rPr>
              <w:t>Aforos por operaciones de pase</w:t>
            </w:r>
          </w:p>
        </w:tc>
        <w:tc>
          <w:tcPr>
            <w:tcW w:w="841" w:type="pct"/>
            <w:tcBorders>
              <w:top w:val="single" w:sz="6" w:space="0" w:color="auto"/>
              <w:left w:val="single" w:sz="4" w:space="0" w:color="auto"/>
              <w:bottom w:val="single" w:sz="6" w:space="0" w:color="auto"/>
              <w:right w:val="single" w:sz="4" w:space="0" w:color="auto"/>
            </w:tcBorders>
            <w:shd w:val="clear" w:color="auto" w:fill="auto"/>
            <w:noWrap/>
            <w:vAlign w:val="bottom"/>
          </w:tcPr>
          <w:p w14:paraId="08265252" w14:textId="5207F18E" w:rsidR="00E52346" w:rsidRPr="00B57E77" w:rsidRDefault="00B85329">
            <w:pPr>
              <w:tabs>
                <w:tab w:val="left" w:pos="142"/>
              </w:tabs>
              <w:jc w:val="right"/>
              <w:rPr>
                <w:rFonts w:ascii="Arial" w:hAnsi="Arial" w:cs="Arial"/>
                <w:sz w:val="18"/>
                <w:lang w:val="es-ES_tradnl"/>
              </w:rPr>
            </w:pPr>
            <w:r>
              <w:rPr>
                <w:rFonts w:ascii="Arial" w:hAnsi="Arial" w:cs="Arial"/>
                <w:sz w:val="18"/>
                <w:lang w:val="es-ES_tradnl"/>
              </w:rPr>
              <w:t>23.880</w:t>
            </w:r>
          </w:p>
        </w:tc>
        <w:tc>
          <w:tcPr>
            <w:tcW w:w="717" w:type="pct"/>
            <w:tcBorders>
              <w:top w:val="single" w:sz="6" w:space="0" w:color="auto"/>
              <w:left w:val="single" w:sz="4" w:space="0" w:color="auto"/>
              <w:bottom w:val="single" w:sz="6" w:space="0" w:color="auto"/>
              <w:right w:val="single" w:sz="4" w:space="0" w:color="auto"/>
            </w:tcBorders>
            <w:shd w:val="clear" w:color="auto" w:fill="auto"/>
            <w:noWrap/>
            <w:vAlign w:val="bottom"/>
          </w:tcPr>
          <w:p w14:paraId="4130B9C7" w14:textId="730ADB3F" w:rsidR="00E52346" w:rsidRPr="00B57E77" w:rsidRDefault="00E52346">
            <w:pPr>
              <w:tabs>
                <w:tab w:val="left" w:pos="142"/>
              </w:tabs>
              <w:jc w:val="right"/>
              <w:rPr>
                <w:rFonts w:ascii="Arial" w:hAnsi="Arial" w:cs="Arial"/>
                <w:sz w:val="18"/>
              </w:rPr>
            </w:pPr>
            <w:r w:rsidRPr="00B57E77">
              <w:rPr>
                <w:rFonts w:ascii="Arial" w:hAnsi="Arial" w:cs="Arial"/>
                <w:sz w:val="18"/>
                <w:lang w:val="es-ES_tradnl"/>
              </w:rPr>
              <w:t>-</w:t>
            </w:r>
          </w:p>
        </w:tc>
      </w:tr>
      <w:tr w:rsidR="00E52346" w:rsidRPr="00701F32" w14:paraId="7F68EBD2" w14:textId="77777777" w:rsidTr="00B57E77">
        <w:trPr>
          <w:trHeight w:val="261"/>
        </w:trPr>
        <w:tc>
          <w:tcPr>
            <w:tcW w:w="3442" w:type="pct"/>
            <w:tcBorders>
              <w:top w:val="single" w:sz="6" w:space="0" w:color="auto"/>
              <w:left w:val="single" w:sz="4" w:space="0" w:color="auto"/>
              <w:bottom w:val="single" w:sz="4" w:space="0" w:color="auto"/>
              <w:right w:val="single" w:sz="4" w:space="0" w:color="auto"/>
            </w:tcBorders>
            <w:shd w:val="clear" w:color="auto" w:fill="auto"/>
            <w:noWrap/>
            <w:vAlign w:val="center"/>
          </w:tcPr>
          <w:p w14:paraId="5331DB6E" w14:textId="77777777" w:rsidR="00E52346" w:rsidRPr="00B57E77" w:rsidRDefault="00E52346" w:rsidP="00E52346">
            <w:pPr>
              <w:tabs>
                <w:tab w:val="left" w:pos="142"/>
              </w:tabs>
              <w:jc w:val="both"/>
              <w:rPr>
                <w:rFonts w:ascii="Arial" w:hAnsi="Arial" w:cs="Arial"/>
                <w:sz w:val="18"/>
              </w:rPr>
            </w:pPr>
            <w:r w:rsidRPr="00B57E77">
              <w:rPr>
                <w:rFonts w:ascii="Arial" w:hAnsi="Arial" w:cs="Arial"/>
                <w:sz w:val="18"/>
              </w:rPr>
              <w:t xml:space="preserve">Otros depósitos en garantía </w:t>
            </w:r>
          </w:p>
        </w:tc>
        <w:tc>
          <w:tcPr>
            <w:tcW w:w="841" w:type="pct"/>
            <w:tcBorders>
              <w:top w:val="single" w:sz="6" w:space="0" w:color="auto"/>
              <w:left w:val="single" w:sz="4" w:space="0" w:color="auto"/>
              <w:bottom w:val="single" w:sz="4" w:space="0" w:color="auto"/>
              <w:right w:val="single" w:sz="4" w:space="0" w:color="auto"/>
            </w:tcBorders>
            <w:shd w:val="clear" w:color="auto" w:fill="auto"/>
            <w:noWrap/>
            <w:vAlign w:val="bottom"/>
          </w:tcPr>
          <w:p w14:paraId="3ABBEACB" w14:textId="13574018" w:rsidR="00E52346" w:rsidRPr="00B57E77" w:rsidRDefault="00B85329">
            <w:pPr>
              <w:tabs>
                <w:tab w:val="left" w:pos="142"/>
              </w:tabs>
              <w:jc w:val="right"/>
              <w:rPr>
                <w:rFonts w:ascii="Arial" w:hAnsi="Arial" w:cs="Arial"/>
                <w:sz w:val="18"/>
                <w:lang w:val="es-ES_tradnl"/>
              </w:rPr>
            </w:pPr>
            <w:r>
              <w:rPr>
                <w:rFonts w:ascii="Arial" w:hAnsi="Arial" w:cs="Arial"/>
                <w:sz w:val="18"/>
                <w:lang w:val="es-ES_tradnl"/>
              </w:rPr>
              <w:t>141.870</w:t>
            </w:r>
          </w:p>
        </w:tc>
        <w:tc>
          <w:tcPr>
            <w:tcW w:w="717" w:type="pct"/>
            <w:tcBorders>
              <w:top w:val="single" w:sz="6" w:space="0" w:color="auto"/>
              <w:left w:val="single" w:sz="4" w:space="0" w:color="auto"/>
              <w:bottom w:val="single" w:sz="4" w:space="0" w:color="auto"/>
              <w:right w:val="single" w:sz="4" w:space="0" w:color="auto"/>
            </w:tcBorders>
            <w:shd w:val="clear" w:color="auto" w:fill="auto"/>
            <w:noWrap/>
            <w:vAlign w:val="bottom"/>
          </w:tcPr>
          <w:p w14:paraId="562B53CC" w14:textId="2173AAC3" w:rsidR="00E52346" w:rsidRPr="00B57E77" w:rsidRDefault="00E52346">
            <w:pPr>
              <w:tabs>
                <w:tab w:val="left" w:pos="142"/>
              </w:tabs>
              <w:jc w:val="right"/>
              <w:rPr>
                <w:rFonts w:ascii="Arial" w:hAnsi="Arial" w:cs="Arial"/>
                <w:sz w:val="18"/>
              </w:rPr>
            </w:pPr>
            <w:r w:rsidRPr="00B57E77">
              <w:rPr>
                <w:rFonts w:ascii="Arial" w:hAnsi="Arial" w:cs="Arial"/>
                <w:sz w:val="18"/>
                <w:lang w:val="es-ES_tradnl"/>
              </w:rPr>
              <w:t>97.404</w:t>
            </w:r>
          </w:p>
        </w:tc>
      </w:tr>
      <w:tr w:rsidR="00E52346" w:rsidRPr="00701F32" w14:paraId="54222B45" w14:textId="77777777" w:rsidTr="00B57E77">
        <w:trPr>
          <w:trHeight w:val="196"/>
        </w:trPr>
        <w:tc>
          <w:tcPr>
            <w:tcW w:w="34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BE294" w14:textId="0082A263" w:rsidR="00E52346" w:rsidRPr="00B57E77" w:rsidRDefault="00CD0C4D" w:rsidP="00E52346">
            <w:pPr>
              <w:tabs>
                <w:tab w:val="left" w:pos="142"/>
              </w:tabs>
              <w:jc w:val="both"/>
              <w:rPr>
                <w:rFonts w:ascii="Arial" w:hAnsi="Arial" w:cs="Arial"/>
                <w:b/>
                <w:sz w:val="18"/>
              </w:rPr>
            </w:pPr>
            <w:r w:rsidRPr="00B57E77">
              <w:rPr>
                <w:rFonts w:ascii="Arial" w:hAnsi="Arial" w:cs="Arial"/>
                <w:b/>
                <w:sz w:val="18"/>
              </w:rPr>
              <w:t>Total</w:t>
            </w:r>
          </w:p>
        </w:tc>
        <w:tc>
          <w:tcPr>
            <w:tcW w:w="8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A03B61" w14:textId="653AEB00" w:rsidR="00E52346" w:rsidRPr="00B57E77" w:rsidRDefault="00B85329">
            <w:pPr>
              <w:tabs>
                <w:tab w:val="left" w:pos="142"/>
              </w:tabs>
              <w:jc w:val="right"/>
              <w:rPr>
                <w:rFonts w:ascii="Arial" w:hAnsi="Arial" w:cs="Arial"/>
                <w:b/>
                <w:bCs/>
                <w:sz w:val="18"/>
                <w:lang w:val="es-ES_tradnl"/>
              </w:rPr>
            </w:pPr>
            <w:r>
              <w:rPr>
                <w:rFonts w:ascii="Arial" w:hAnsi="Arial" w:cs="Arial"/>
                <w:b/>
                <w:bCs/>
                <w:sz w:val="18"/>
                <w:lang w:val="es-ES_tradnl"/>
              </w:rPr>
              <w:t>4.566.340</w:t>
            </w:r>
          </w:p>
        </w:tc>
        <w:tc>
          <w:tcPr>
            <w:tcW w:w="7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12DC91" w14:textId="163BA9DF" w:rsidR="00E52346" w:rsidRPr="00B57E77" w:rsidRDefault="00E52346">
            <w:pPr>
              <w:tabs>
                <w:tab w:val="left" w:pos="142"/>
              </w:tabs>
              <w:jc w:val="right"/>
              <w:rPr>
                <w:rFonts w:ascii="Arial" w:hAnsi="Arial" w:cs="Arial"/>
                <w:b/>
                <w:bCs/>
                <w:sz w:val="18"/>
              </w:rPr>
            </w:pPr>
            <w:r w:rsidRPr="00B57E77">
              <w:rPr>
                <w:rFonts w:ascii="Arial" w:hAnsi="Arial" w:cs="Arial"/>
                <w:b/>
                <w:bCs/>
                <w:sz w:val="18"/>
                <w:lang w:val="es-ES_tradnl"/>
              </w:rPr>
              <w:t>1.882.601</w:t>
            </w:r>
          </w:p>
        </w:tc>
      </w:tr>
    </w:tbl>
    <w:p w14:paraId="3E63716E" w14:textId="77777777" w:rsidR="00DE221E" w:rsidRDefault="00DE221E" w:rsidP="00656E62">
      <w:pPr>
        <w:tabs>
          <w:tab w:val="left" w:pos="142"/>
          <w:tab w:val="left" w:pos="9923"/>
        </w:tabs>
        <w:spacing w:after="200" w:line="276" w:lineRule="auto"/>
        <w:contextualSpacing/>
        <w:jc w:val="both"/>
        <w:rPr>
          <w:rFonts w:ascii="Arial" w:hAnsi="Arial" w:cs="Arial"/>
          <w:b/>
          <w:sz w:val="20"/>
        </w:rPr>
      </w:pPr>
    </w:p>
    <w:p w14:paraId="41ADA4B0" w14:textId="0013261C" w:rsidR="00656E62" w:rsidRDefault="00E23D63" w:rsidP="00656E62">
      <w:pPr>
        <w:tabs>
          <w:tab w:val="left" w:pos="142"/>
          <w:tab w:val="left" w:pos="9923"/>
        </w:tabs>
        <w:spacing w:after="200" w:line="276" w:lineRule="auto"/>
        <w:contextualSpacing/>
        <w:jc w:val="both"/>
        <w:rPr>
          <w:rFonts w:ascii="Arial" w:hAnsi="Arial" w:cs="Arial"/>
          <w:b/>
          <w:sz w:val="20"/>
        </w:rPr>
      </w:pPr>
      <w:r>
        <w:rPr>
          <w:rFonts w:ascii="Arial" w:hAnsi="Arial" w:cs="Arial"/>
          <w:b/>
          <w:sz w:val="20"/>
        </w:rPr>
        <w:t>14</w:t>
      </w:r>
      <w:r w:rsidR="00656E62" w:rsidRPr="00701F32">
        <w:rPr>
          <w:rFonts w:ascii="Arial" w:hAnsi="Arial" w:cs="Arial"/>
          <w:b/>
          <w:sz w:val="20"/>
        </w:rPr>
        <w:t>.3 Aumentos de capital pendientes de autorización</w:t>
      </w:r>
    </w:p>
    <w:p w14:paraId="02E6FBB0" w14:textId="77777777" w:rsidR="00DE221E" w:rsidRPr="00701F32" w:rsidRDefault="00DE221E" w:rsidP="00656E62">
      <w:pPr>
        <w:tabs>
          <w:tab w:val="left" w:pos="142"/>
          <w:tab w:val="left" w:pos="9923"/>
        </w:tabs>
        <w:spacing w:after="200" w:line="276" w:lineRule="auto"/>
        <w:contextualSpacing/>
        <w:jc w:val="both"/>
        <w:rPr>
          <w:rFonts w:ascii="Arial" w:hAnsi="Arial" w:cs="Arial"/>
          <w:b/>
          <w:sz w:val="20"/>
        </w:rPr>
      </w:pPr>
    </w:p>
    <w:p w14:paraId="437E2897" w14:textId="4388B653" w:rsidR="00DE221E" w:rsidRDefault="00DE221E" w:rsidP="00DE221E">
      <w:pPr>
        <w:tabs>
          <w:tab w:val="left" w:pos="142"/>
        </w:tabs>
        <w:jc w:val="both"/>
        <w:rPr>
          <w:rFonts w:ascii="Arial" w:hAnsi="Arial" w:cs="Arial"/>
          <w:sz w:val="20"/>
        </w:rPr>
      </w:pPr>
      <w:r w:rsidRPr="00701F32">
        <w:rPr>
          <w:rFonts w:ascii="Arial" w:hAnsi="Arial" w:cs="Arial"/>
          <w:sz w:val="20"/>
        </w:rPr>
        <w:t xml:space="preserve">Se resume a continuación el estado de capital social al cierre del </w:t>
      </w:r>
      <w:r w:rsidR="00835461">
        <w:rPr>
          <w:rFonts w:ascii="Arial" w:hAnsi="Arial" w:cs="Arial"/>
          <w:sz w:val="20"/>
        </w:rPr>
        <w:t>ejercicio</w:t>
      </w:r>
      <w:r>
        <w:rPr>
          <w:rFonts w:ascii="Arial" w:hAnsi="Arial" w:cs="Arial"/>
          <w:sz w:val="20"/>
        </w:rPr>
        <w:t xml:space="preserve"> </w:t>
      </w:r>
      <w:r w:rsidRPr="00701F32">
        <w:rPr>
          <w:rFonts w:ascii="Arial" w:hAnsi="Arial" w:cs="Arial"/>
          <w:sz w:val="20"/>
        </w:rPr>
        <w:t>finalizado el 3</w:t>
      </w:r>
      <w:r w:rsidR="00835461">
        <w:rPr>
          <w:rFonts w:ascii="Arial" w:hAnsi="Arial" w:cs="Arial"/>
          <w:sz w:val="20"/>
        </w:rPr>
        <w:t>1</w:t>
      </w:r>
      <w:r w:rsidRPr="00701F32">
        <w:rPr>
          <w:rFonts w:ascii="Arial" w:hAnsi="Arial" w:cs="Arial"/>
          <w:sz w:val="20"/>
        </w:rPr>
        <w:t xml:space="preserve"> de </w:t>
      </w:r>
      <w:r w:rsidR="00835461">
        <w:rPr>
          <w:rFonts w:ascii="Arial" w:hAnsi="Arial" w:cs="Arial"/>
          <w:sz w:val="20"/>
        </w:rPr>
        <w:t>diciembre</w:t>
      </w:r>
      <w:r w:rsidRPr="00701F32">
        <w:rPr>
          <w:rFonts w:ascii="Arial" w:hAnsi="Arial" w:cs="Arial"/>
          <w:sz w:val="20"/>
        </w:rPr>
        <w:t xml:space="preserve"> de 201</w:t>
      </w:r>
      <w:r>
        <w:rPr>
          <w:rFonts w:ascii="Arial" w:hAnsi="Arial" w:cs="Arial"/>
          <w:sz w:val="20"/>
        </w:rPr>
        <w:t>9</w:t>
      </w:r>
      <w:r w:rsidRPr="00701F32">
        <w:rPr>
          <w:rFonts w:ascii="Arial" w:hAnsi="Arial" w:cs="Arial"/>
          <w:sz w:val="20"/>
        </w:rPr>
        <w:t xml:space="preserve"> a partir de los últimos 3 ejercicios anteriores:</w:t>
      </w:r>
    </w:p>
    <w:p w14:paraId="59E806AA" w14:textId="77777777" w:rsidR="00DE221E" w:rsidRPr="00701F32" w:rsidRDefault="00DE221E" w:rsidP="00DE221E">
      <w:pPr>
        <w:tabs>
          <w:tab w:val="left" w:pos="142"/>
        </w:tabs>
        <w:jc w:val="both"/>
        <w:rPr>
          <w:rFonts w:ascii="Arial" w:hAnsi="Arial" w:cs="Arial"/>
          <w:sz w:val="20"/>
        </w:rPr>
      </w:pPr>
    </w:p>
    <w:tbl>
      <w:tblPr>
        <w:tblW w:w="8622" w:type="dxa"/>
        <w:tblInd w:w="53" w:type="dxa"/>
        <w:tblLayout w:type="fixed"/>
        <w:tblCellMar>
          <w:left w:w="70" w:type="dxa"/>
          <w:right w:w="70" w:type="dxa"/>
        </w:tblCellMar>
        <w:tblLook w:val="04A0" w:firstRow="1" w:lastRow="0" w:firstColumn="1" w:lastColumn="0" w:noHBand="0" w:noVBand="1"/>
      </w:tblPr>
      <w:tblGrid>
        <w:gridCol w:w="4260"/>
        <w:gridCol w:w="1773"/>
        <w:gridCol w:w="1366"/>
        <w:gridCol w:w="1223"/>
      </w:tblGrid>
      <w:tr w:rsidR="00DE221E" w:rsidRPr="00701F32" w14:paraId="7F4905D5" w14:textId="77777777" w:rsidTr="00B57E77">
        <w:trPr>
          <w:trHeight w:val="276"/>
          <w:tblHeader/>
        </w:trPr>
        <w:tc>
          <w:tcPr>
            <w:tcW w:w="42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554917C" w14:textId="77777777" w:rsidR="00DE221E" w:rsidRPr="00701F32" w:rsidRDefault="00DE221E" w:rsidP="006F757F">
            <w:pPr>
              <w:jc w:val="center"/>
              <w:rPr>
                <w:rFonts w:ascii="Arial" w:hAnsi="Arial" w:cs="Arial"/>
                <w:b/>
                <w:bCs/>
                <w:sz w:val="18"/>
                <w:lang w:eastAsia="es-AR"/>
              </w:rPr>
            </w:pPr>
            <w:r w:rsidRPr="00701F32">
              <w:rPr>
                <w:rFonts w:ascii="Arial" w:hAnsi="Arial" w:cs="Arial"/>
                <w:b/>
                <w:bCs/>
                <w:sz w:val="18"/>
                <w:lang w:eastAsia="es-AR"/>
              </w:rPr>
              <w:t>Concepto</w:t>
            </w:r>
          </w:p>
        </w:tc>
        <w:tc>
          <w:tcPr>
            <w:tcW w:w="1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5E00D7" w14:textId="77777777" w:rsidR="00DE221E" w:rsidRPr="00701F32" w:rsidRDefault="00DE221E" w:rsidP="006F757F">
            <w:pPr>
              <w:jc w:val="center"/>
              <w:rPr>
                <w:rFonts w:ascii="Arial" w:hAnsi="Arial" w:cs="Arial"/>
                <w:b/>
                <w:bCs/>
                <w:sz w:val="18"/>
                <w:lang w:eastAsia="es-AR"/>
              </w:rPr>
            </w:pPr>
            <w:r w:rsidRPr="00701F32">
              <w:rPr>
                <w:rFonts w:ascii="Arial" w:hAnsi="Arial" w:cs="Arial"/>
                <w:b/>
                <w:bCs/>
                <w:sz w:val="18"/>
                <w:lang w:eastAsia="es-AR"/>
              </w:rPr>
              <w:t>Importe</w:t>
            </w:r>
          </w:p>
        </w:tc>
        <w:tc>
          <w:tcPr>
            <w:tcW w:w="13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52F3D3" w14:textId="77777777" w:rsidR="00DE221E" w:rsidRPr="00701F32" w:rsidRDefault="00DE221E" w:rsidP="006F757F">
            <w:pPr>
              <w:jc w:val="center"/>
              <w:rPr>
                <w:rFonts w:ascii="Arial" w:hAnsi="Arial" w:cs="Arial"/>
                <w:b/>
                <w:bCs/>
                <w:sz w:val="18"/>
                <w:lang w:eastAsia="es-AR"/>
              </w:rPr>
            </w:pPr>
            <w:r w:rsidRPr="00701F32">
              <w:rPr>
                <w:rFonts w:ascii="Arial" w:hAnsi="Arial" w:cs="Arial"/>
                <w:b/>
                <w:bCs/>
                <w:sz w:val="18"/>
                <w:lang w:eastAsia="es-AR"/>
              </w:rPr>
              <w:t>Saldo del Capital Social</w:t>
            </w:r>
          </w:p>
        </w:tc>
        <w:tc>
          <w:tcPr>
            <w:tcW w:w="12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60B694" w14:textId="77777777" w:rsidR="00DE221E" w:rsidRPr="00701F32" w:rsidRDefault="00DE221E" w:rsidP="006F757F">
            <w:pPr>
              <w:jc w:val="center"/>
              <w:rPr>
                <w:rFonts w:ascii="Arial" w:hAnsi="Arial" w:cs="Arial"/>
                <w:b/>
                <w:bCs/>
                <w:sz w:val="18"/>
                <w:lang w:eastAsia="es-AR"/>
              </w:rPr>
            </w:pPr>
            <w:r w:rsidRPr="00701F32">
              <w:rPr>
                <w:rFonts w:ascii="Arial" w:hAnsi="Arial" w:cs="Arial"/>
                <w:b/>
                <w:bCs/>
                <w:sz w:val="18"/>
                <w:lang w:eastAsia="es-AR"/>
              </w:rPr>
              <w:t>Fecha de inscripción en la IGJ</w:t>
            </w:r>
          </w:p>
        </w:tc>
      </w:tr>
      <w:tr w:rsidR="00DE221E" w:rsidRPr="00701F32" w14:paraId="73456993" w14:textId="77777777" w:rsidTr="00B57E77">
        <w:trPr>
          <w:trHeight w:val="316"/>
          <w:tblHeader/>
        </w:trPr>
        <w:tc>
          <w:tcPr>
            <w:tcW w:w="4260" w:type="dxa"/>
            <w:vMerge/>
            <w:tcBorders>
              <w:top w:val="nil"/>
              <w:left w:val="single" w:sz="4" w:space="0" w:color="auto"/>
              <w:bottom w:val="single" w:sz="4" w:space="0" w:color="auto"/>
              <w:right w:val="single" w:sz="4" w:space="0" w:color="auto"/>
            </w:tcBorders>
            <w:vAlign w:val="center"/>
            <w:hideMark/>
          </w:tcPr>
          <w:p w14:paraId="2F71B3D1" w14:textId="77777777" w:rsidR="00DE221E" w:rsidRPr="00701F32" w:rsidRDefault="00DE221E" w:rsidP="006F757F">
            <w:pPr>
              <w:jc w:val="both"/>
              <w:rPr>
                <w:rFonts w:ascii="Arial" w:hAnsi="Arial" w:cs="Arial"/>
                <w:b/>
                <w:bCs/>
                <w:sz w:val="18"/>
                <w:lang w:eastAsia="es-AR"/>
              </w:rPr>
            </w:pPr>
          </w:p>
        </w:tc>
        <w:tc>
          <w:tcPr>
            <w:tcW w:w="1773" w:type="dxa"/>
            <w:vMerge/>
            <w:tcBorders>
              <w:top w:val="nil"/>
              <w:left w:val="single" w:sz="4" w:space="0" w:color="auto"/>
              <w:bottom w:val="single" w:sz="4" w:space="0" w:color="auto"/>
              <w:right w:val="single" w:sz="4" w:space="0" w:color="auto"/>
            </w:tcBorders>
            <w:vAlign w:val="center"/>
            <w:hideMark/>
          </w:tcPr>
          <w:p w14:paraId="380C2115" w14:textId="77777777" w:rsidR="00DE221E" w:rsidRPr="00701F32" w:rsidRDefault="00DE221E" w:rsidP="006F757F">
            <w:pPr>
              <w:jc w:val="both"/>
              <w:rPr>
                <w:rFonts w:ascii="Arial" w:hAnsi="Arial" w:cs="Arial"/>
                <w:b/>
                <w:bCs/>
                <w:sz w:val="18"/>
                <w:lang w:eastAsia="es-AR"/>
              </w:rPr>
            </w:pPr>
          </w:p>
        </w:tc>
        <w:tc>
          <w:tcPr>
            <w:tcW w:w="1366" w:type="dxa"/>
            <w:vMerge/>
            <w:tcBorders>
              <w:top w:val="nil"/>
              <w:left w:val="single" w:sz="4" w:space="0" w:color="auto"/>
              <w:bottom w:val="single" w:sz="4" w:space="0" w:color="auto"/>
              <w:right w:val="single" w:sz="4" w:space="0" w:color="auto"/>
            </w:tcBorders>
            <w:vAlign w:val="center"/>
            <w:hideMark/>
          </w:tcPr>
          <w:p w14:paraId="445DF965" w14:textId="77777777" w:rsidR="00DE221E" w:rsidRPr="00701F32" w:rsidRDefault="00DE221E" w:rsidP="006F757F">
            <w:pPr>
              <w:jc w:val="center"/>
              <w:rPr>
                <w:rFonts w:ascii="Arial" w:hAnsi="Arial" w:cs="Arial"/>
                <w:b/>
                <w:bCs/>
                <w:sz w:val="18"/>
                <w:lang w:eastAsia="es-AR"/>
              </w:rPr>
            </w:pPr>
          </w:p>
        </w:tc>
        <w:tc>
          <w:tcPr>
            <w:tcW w:w="1223" w:type="dxa"/>
            <w:vMerge/>
            <w:tcBorders>
              <w:top w:val="nil"/>
              <w:left w:val="single" w:sz="4" w:space="0" w:color="auto"/>
              <w:bottom w:val="single" w:sz="4" w:space="0" w:color="auto"/>
              <w:right w:val="single" w:sz="4" w:space="0" w:color="auto"/>
            </w:tcBorders>
            <w:vAlign w:val="center"/>
            <w:hideMark/>
          </w:tcPr>
          <w:p w14:paraId="64357E91" w14:textId="77777777" w:rsidR="00DE221E" w:rsidRPr="00701F32" w:rsidRDefault="00DE221E" w:rsidP="006F757F">
            <w:pPr>
              <w:jc w:val="both"/>
              <w:rPr>
                <w:rFonts w:ascii="Arial" w:hAnsi="Arial" w:cs="Arial"/>
                <w:b/>
                <w:bCs/>
                <w:sz w:val="18"/>
                <w:lang w:eastAsia="es-AR"/>
              </w:rPr>
            </w:pPr>
          </w:p>
        </w:tc>
      </w:tr>
      <w:tr w:rsidR="00DE221E" w:rsidRPr="00701F32" w14:paraId="27A3D58E" w14:textId="77777777" w:rsidTr="00B57E77">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011A1" w14:textId="77777777" w:rsidR="00DE221E" w:rsidRPr="00701F32" w:rsidRDefault="00DE221E" w:rsidP="006F757F">
            <w:pPr>
              <w:rPr>
                <w:rFonts w:ascii="Arial" w:hAnsi="Arial" w:cs="Arial"/>
                <w:b/>
                <w:bCs/>
                <w:sz w:val="18"/>
                <w:lang w:eastAsia="es-AR"/>
              </w:rPr>
            </w:pPr>
            <w:r w:rsidRPr="00701F32">
              <w:rPr>
                <w:rFonts w:ascii="Arial" w:hAnsi="Arial" w:cs="Arial"/>
                <w:b/>
                <w:bCs/>
                <w:sz w:val="18"/>
              </w:rPr>
              <w:t>Saldo del Capital Social al 31</w:t>
            </w:r>
            <w:r>
              <w:rPr>
                <w:rFonts w:ascii="Arial" w:hAnsi="Arial" w:cs="Arial"/>
                <w:b/>
                <w:bCs/>
                <w:sz w:val="18"/>
              </w:rPr>
              <w:t>/</w:t>
            </w:r>
            <w:r w:rsidRPr="00701F32">
              <w:rPr>
                <w:rFonts w:ascii="Arial" w:hAnsi="Arial" w:cs="Arial"/>
                <w:b/>
                <w:bCs/>
                <w:sz w:val="18"/>
              </w:rPr>
              <w:t>12</w:t>
            </w:r>
            <w:r>
              <w:rPr>
                <w:rFonts w:ascii="Arial" w:hAnsi="Arial" w:cs="Arial"/>
                <w:b/>
                <w:bCs/>
                <w:sz w:val="18"/>
              </w:rPr>
              <w:t>/</w:t>
            </w:r>
            <w:r w:rsidRPr="00701F32">
              <w:rPr>
                <w:rFonts w:ascii="Arial" w:hAnsi="Arial" w:cs="Arial"/>
                <w:b/>
                <w:bCs/>
                <w:sz w:val="18"/>
              </w:rPr>
              <w:t>16</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1369D" w14:textId="77777777" w:rsidR="00DE221E" w:rsidRPr="00701F32" w:rsidRDefault="00DE221E" w:rsidP="006F757F">
            <w:pPr>
              <w:jc w:val="center"/>
              <w:rPr>
                <w:rFonts w:ascii="Arial" w:hAnsi="Arial" w:cs="Arial"/>
                <w:sz w:val="18"/>
                <w:lang w:eastAsia="es-AR"/>
              </w:rPr>
            </w:pP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8F8CF" w14:textId="77777777" w:rsidR="00DE221E" w:rsidRPr="00701F32" w:rsidRDefault="00DE221E" w:rsidP="006F757F">
            <w:pPr>
              <w:jc w:val="center"/>
              <w:rPr>
                <w:rFonts w:ascii="Arial" w:hAnsi="Arial" w:cs="Arial"/>
                <w:b/>
                <w:bCs/>
                <w:sz w:val="18"/>
                <w:lang w:eastAsia="es-AR"/>
              </w:rPr>
            </w:pPr>
            <w:r w:rsidRPr="00701F32">
              <w:rPr>
                <w:rFonts w:ascii="Arial" w:hAnsi="Arial" w:cs="Arial"/>
                <w:b/>
                <w:bCs/>
                <w:sz w:val="18"/>
                <w:lang w:eastAsia="es-AR"/>
              </w:rPr>
              <w:t>638.283</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DD386" w14:textId="77777777" w:rsidR="00DE221E" w:rsidRPr="00701F32" w:rsidRDefault="00DE221E" w:rsidP="006F757F">
            <w:pPr>
              <w:jc w:val="center"/>
              <w:rPr>
                <w:rFonts w:ascii="Arial" w:hAnsi="Arial" w:cs="Arial"/>
                <w:sz w:val="18"/>
                <w:lang w:eastAsia="es-AR"/>
              </w:rPr>
            </w:pPr>
          </w:p>
          <w:p w14:paraId="6858899A" w14:textId="77777777" w:rsidR="00DE221E" w:rsidRPr="00701F32" w:rsidRDefault="00DE221E" w:rsidP="006F757F">
            <w:pPr>
              <w:jc w:val="center"/>
              <w:rPr>
                <w:rFonts w:ascii="Arial" w:hAnsi="Arial" w:cs="Arial"/>
                <w:sz w:val="18"/>
                <w:lang w:eastAsia="es-AR"/>
              </w:rPr>
            </w:pPr>
          </w:p>
        </w:tc>
      </w:tr>
      <w:tr w:rsidR="00DE221E" w:rsidRPr="00701F32" w14:paraId="0E2B6524" w14:textId="77777777" w:rsidTr="00B57E77">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45EAF" w14:textId="77777777" w:rsidR="00DE221E" w:rsidRPr="00701F32" w:rsidRDefault="00DE221E" w:rsidP="006F757F">
            <w:pPr>
              <w:rPr>
                <w:rFonts w:ascii="Arial" w:hAnsi="Arial" w:cs="Arial"/>
                <w:sz w:val="18"/>
                <w:lang w:eastAsia="es-AR"/>
              </w:rPr>
            </w:pPr>
            <w:r w:rsidRPr="00701F32">
              <w:rPr>
                <w:rFonts w:ascii="Arial" w:hAnsi="Arial" w:cs="Arial"/>
                <w:sz w:val="18"/>
                <w:lang w:eastAsia="es-AR"/>
              </w:rPr>
              <w:t>Aumento de capital según Asamblea Ordinaria y Extraordinaria de Accionistas del 04-05-2017</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13EF6" w14:textId="77777777" w:rsidR="00DE221E" w:rsidRPr="00701F32" w:rsidRDefault="00DE221E" w:rsidP="006F757F">
            <w:pPr>
              <w:jc w:val="center"/>
              <w:rPr>
                <w:rFonts w:ascii="Arial" w:hAnsi="Arial" w:cs="Arial"/>
                <w:sz w:val="18"/>
                <w:lang w:eastAsia="es-AR"/>
              </w:rPr>
            </w:pPr>
            <w:r w:rsidRPr="00701F32">
              <w:rPr>
                <w:rFonts w:ascii="Arial" w:hAnsi="Arial" w:cs="Arial"/>
                <w:sz w:val="18"/>
                <w:lang w:eastAsia="es-AR"/>
              </w:rPr>
              <w:t>4.594</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91F9C" w14:textId="77777777" w:rsidR="00DE221E" w:rsidRPr="00701F32" w:rsidRDefault="00DE221E" w:rsidP="006F757F">
            <w:pPr>
              <w:jc w:val="center"/>
              <w:rPr>
                <w:rFonts w:ascii="Arial" w:hAnsi="Arial" w:cs="Arial"/>
                <w:sz w:val="18"/>
                <w:lang w:eastAsia="es-AR"/>
              </w:rPr>
            </w:pP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E7F02" w14:textId="77777777" w:rsidR="00DE221E" w:rsidRPr="00701F32" w:rsidRDefault="00DE221E" w:rsidP="006F757F">
            <w:pPr>
              <w:jc w:val="center"/>
              <w:rPr>
                <w:rFonts w:ascii="Arial" w:hAnsi="Arial" w:cs="Arial"/>
                <w:sz w:val="18"/>
                <w:lang w:eastAsia="es-AR"/>
              </w:rPr>
            </w:pPr>
            <w:r>
              <w:rPr>
                <w:rFonts w:ascii="Arial" w:hAnsi="Arial" w:cs="Arial"/>
                <w:bCs/>
                <w:sz w:val="18"/>
              </w:rPr>
              <w:t>11-01-2019</w:t>
            </w:r>
          </w:p>
        </w:tc>
      </w:tr>
      <w:tr w:rsidR="00DE221E" w:rsidRPr="00701F32" w14:paraId="30A4912F" w14:textId="77777777" w:rsidTr="00B57E77">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3E1D5" w14:textId="77777777" w:rsidR="00DE221E" w:rsidRPr="00701F32" w:rsidRDefault="00DE221E" w:rsidP="006F757F">
            <w:pPr>
              <w:rPr>
                <w:rFonts w:ascii="Arial" w:hAnsi="Arial" w:cs="Arial"/>
                <w:sz w:val="18"/>
                <w:lang w:eastAsia="es-AR"/>
              </w:rPr>
            </w:pPr>
            <w:r w:rsidRPr="00701F32">
              <w:rPr>
                <w:rFonts w:ascii="Arial" w:hAnsi="Arial" w:cs="Arial"/>
                <w:sz w:val="18"/>
                <w:lang w:eastAsia="es-AR"/>
              </w:rPr>
              <w:t>Aumento de capital según Asamblea Ordinaria de Accionistas del 24-11-2017</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B745C" w14:textId="77777777" w:rsidR="00DE221E" w:rsidRPr="00701F32" w:rsidRDefault="00DE221E" w:rsidP="006F757F">
            <w:pPr>
              <w:jc w:val="center"/>
              <w:rPr>
                <w:rFonts w:ascii="Arial" w:hAnsi="Arial" w:cs="Arial"/>
                <w:sz w:val="18"/>
                <w:lang w:eastAsia="es-AR"/>
              </w:rPr>
            </w:pPr>
            <w:r w:rsidRPr="00701F32">
              <w:rPr>
                <w:rFonts w:ascii="Arial" w:hAnsi="Arial" w:cs="Arial"/>
                <w:sz w:val="18"/>
                <w:lang w:eastAsia="es-AR"/>
              </w:rPr>
              <w:t>101.509</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BA7F2" w14:textId="77777777" w:rsidR="00DE221E" w:rsidRPr="00701F32" w:rsidRDefault="00DE221E" w:rsidP="006F757F">
            <w:pPr>
              <w:jc w:val="center"/>
              <w:rPr>
                <w:rFonts w:ascii="Arial" w:hAnsi="Arial" w:cs="Arial"/>
                <w:sz w:val="18"/>
                <w:lang w:eastAsia="es-AR"/>
              </w:rPr>
            </w:pP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69D12" w14:textId="77777777" w:rsidR="00DE221E" w:rsidRPr="00701F32" w:rsidRDefault="00DE221E" w:rsidP="006F757F">
            <w:pPr>
              <w:jc w:val="center"/>
              <w:rPr>
                <w:rFonts w:ascii="Arial" w:hAnsi="Arial" w:cs="Arial"/>
                <w:bCs/>
                <w:sz w:val="18"/>
              </w:rPr>
            </w:pPr>
            <w:r>
              <w:rPr>
                <w:rFonts w:ascii="Arial" w:hAnsi="Arial" w:cs="Arial"/>
                <w:bCs/>
                <w:sz w:val="18"/>
              </w:rPr>
              <w:t>15-03-2019</w:t>
            </w:r>
          </w:p>
        </w:tc>
      </w:tr>
      <w:tr w:rsidR="00DE221E" w:rsidRPr="00701F32" w14:paraId="15FCD90C" w14:textId="77777777" w:rsidTr="00B57E77">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28327" w14:textId="77777777" w:rsidR="00DE221E" w:rsidRPr="00701F32" w:rsidRDefault="00DE221E" w:rsidP="006F757F">
            <w:pPr>
              <w:rPr>
                <w:rFonts w:ascii="Arial" w:hAnsi="Arial" w:cs="Arial"/>
                <w:b/>
                <w:bCs/>
                <w:sz w:val="18"/>
                <w:lang w:eastAsia="es-AR"/>
              </w:rPr>
            </w:pPr>
            <w:r w:rsidRPr="00701F32">
              <w:rPr>
                <w:rFonts w:ascii="Arial" w:hAnsi="Arial" w:cs="Arial"/>
                <w:b/>
                <w:bCs/>
                <w:sz w:val="18"/>
              </w:rPr>
              <w:t>Saldo del Capital Social al 31</w:t>
            </w:r>
            <w:r>
              <w:rPr>
                <w:rFonts w:ascii="Arial" w:hAnsi="Arial" w:cs="Arial"/>
                <w:b/>
                <w:bCs/>
                <w:sz w:val="18"/>
              </w:rPr>
              <w:t>/</w:t>
            </w:r>
            <w:r w:rsidRPr="00701F32">
              <w:rPr>
                <w:rFonts w:ascii="Arial" w:hAnsi="Arial" w:cs="Arial"/>
                <w:b/>
                <w:bCs/>
                <w:sz w:val="18"/>
              </w:rPr>
              <w:t>12</w:t>
            </w:r>
            <w:r>
              <w:rPr>
                <w:rFonts w:ascii="Arial" w:hAnsi="Arial" w:cs="Arial"/>
                <w:b/>
                <w:bCs/>
                <w:sz w:val="18"/>
              </w:rPr>
              <w:t>/</w:t>
            </w:r>
            <w:r w:rsidRPr="00701F32">
              <w:rPr>
                <w:rFonts w:ascii="Arial" w:hAnsi="Arial" w:cs="Arial"/>
                <w:b/>
                <w:bCs/>
                <w:sz w:val="18"/>
              </w:rPr>
              <w:t>17</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E4928" w14:textId="77777777" w:rsidR="00DE221E" w:rsidRPr="00701F32" w:rsidRDefault="00DE221E" w:rsidP="006F757F">
            <w:pPr>
              <w:jc w:val="center"/>
              <w:rPr>
                <w:rFonts w:ascii="Arial" w:hAnsi="Arial" w:cs="Arial"/>
                <w:sz w:val="18"/>
                <w:lang w:eastAsia="es-AR"/>
              </w:rPr>
            </w:pP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96324" w14:textId="77777777" w:rsidR="00DE221E" w:rsidRPr="00701F32" w:rsidRDefault="00DE221E" w:rsidP="006F757F">
            <w:pPr>
              <w:jc w:val="center"/>
              <w:rPr>
                <w:rFonts w:ascii="Arial" w:hAnsi="Arial" w:cs="Arial"/>
                <w:b/>
                <w:bCs/>
                <w:sz w:val="18"/>
                <w:lang w:eastAsia="es-AR"/>
              </w:rPr>
            </w:pPr>
            <w:r w:rsidRPr="00701F32">
              <w:rPr>
                <w:rFonts w:ascii="Arial" w:hAnsi="Arial" w:cs="Arial"/>
                <w:b/>
                <w:bCs/>
                <w:sz w:val="18"/>
                <w:lang w:eastAsia="es-AR"/>
              </w:rPr>
              <w:t>744.386</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D2D3B" w14:textId="77777777" w:rsidR="00DE221E" w:rsidRPr="00701F32" w:rsidRDefault="00DE221E" w:rsidP="006F757F">
            <w:pPr>
              <w:jc w:val="center"/>
              <w:rPr>
                <w:rFonts w:ascii="Arial" w:hAnsi="Arial" w:cs="Arial"/>
                <w:sz w:val="18"/>
                <w:lang w:eastAsia="es-AR"/>
              </w:rPr>
            </w:pPr>
          </w:p>
        </w:tc>
      </w:tr>
      <w:tr w:rsidR="00DE221E" w:rsidRPr="00701F32" w14:paraId="7F4F0A25" w14:textId="77777777" w:rsidTr="00B57E77">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F6612" w14:textId="77777777" w:rsidR="00DE221E" w:rsidRPr="00701F32" w:rsidRDefault="00DE221E" w:rsidP="006F757F">
            <w:pPr>
              <w:rPr>
                <w:rFonts w:ascii="Arial" w:hAnsi="Arial" w:cs="Arial"/>
                <w:b/>
                <w:bCs/>
                <w:sz w:val="18"/>
              </w:rPr>
            </w:pPr>
            <w:r w:rsidRPr="00701F32">
              <w:rPr>
                <w:rFonts w:ascii="Arial" w:hAnsi="Arial" w:cs="Arial"/>
                <w:sz w:val="18"/>
                <w:lang w:eastAsia="es-AR"/>
              </w:rPr>
              <w:t>Aumento de capital según Asamblea Ordinaria y Extraordinaria de Accionistas del 19-04-2018</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B89AB" w14:textId="77777777" w:rsidR="00DE221E" w:rsidRPr="00701F32" w:rsidRDefault="00DE221E" w:rsidP="006F757F">
            <w:pPr>
              <w:jc w:val="center"/>
              <w:rPr>
                <w:rFonts w:ascii="Arial" w:hAnsi="Arial" w:cs="Arial"/>
                <w:sz w:val="18"/>
                <w:lang w:eastAsia="es-AR"/>
              </w:rPr>
            </w:pPr>
            <w:r w:rsidRPr="00701F32">
              <w:rPr>
                <w:rFonts w:ascii="Arial" w:hAnsi="Arial" w:cs="Arial"/>
                <w:sz w:val="18"/>
                <w:lang w:eastAsia="es-AR"/>
              </w:rPr>
              <w:t>27.579</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D49C0" w14:textId="77777777" w:rsidR="00DE221E" w:rsidRPr="00701F32" w:rsidRDefault="00DE221E" w:rsidP="006F757F">
            <w:pPr>
              <w:jc w:val="center"/>
              <w:rPr>
                <w:rFonts w:ascii="Arial" w:hAnsi="Arial" w:cs="Arial"/>
                <w:b/>
                <w:bCs/>
                <w:sz w:val="18"/>
                <w:lang w:eastAsia="es-AR"/>
              </w:rPr>
            </w:pP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3227D" w14:textId="77777777" w:rsidR="00DE221E" w:rsidRPr="00701F32" w:rsidRDefault="00DE221E" w:rsidP="006F757F">
            <w:pPr>
              <w:jc w:val="center"/>
              <w:rPr>
                <w:rFonts w:ascii="Arial" w:hAnsi="Arial" w:cs="Arial"/>
                <w:sz w:val="18"/>
                <w:lang w:eastAsia="es-AR"/>
              </w:rPr>
            </w:pPr>
            <w:r>
              <w:rPr>
                <w:rFonts w:ascii="Arial" w:hAnsi="Arial" w:cs="Arial"/>
                <w:bCs/>
                <w:sz w:val="18"/>
              </w:rPr>
              <w:t>11-04-2019</w:t>
            </w:r>
          </w:p>
        </w:tc>
      </w:tr>
      <w:tr w:rsidR="00DE221E" w:rsidRPr="00701F32" w14:paraId="195696DF" w14:textId="77777777" w:rsidTr="00B57E77">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52D7F" w14:textId="77777777" w:rsidR="00DE221E" w:rsidRPr="00701F32" w:rsidRDefault="00DE221E" w:rsidP="006F757F">
            <w:pPr>
              <w:rPr>
                <w:rFonts w:ascii="Arial" w:hAnsi="Arial" w:cs="Arial"/>
                <w:sz w:val="18"/>
                <w:lang w:eastAsia="es-AR"/>
              </w:rPr>
            </w:pPr>
            <w:r w:rsidRPr="00701F32">
              <w:rPr>
                <w:rFonts w:ascii="Arial" w:hAnsi="Arial" w:cs="Arial"/>
                <w:sz w:val="18"/>
                <w:lang w:eastAsia="es-AR"/>
              </w:rPr>
              <w:t>Aumento de c</w:t>
            </w:r>
            <w:r>
              <w:rPr>
                <w:rFonts w:ascii="Arial" w:hAnsi="Arial" w:cs="Arial"/>
                <w:sz w:val="18"/>
                <w:lang w:eastAsia="es-AR"/>
              </w:rPr>
              <w:t>apital según Asamblea Ordinaria</w:t>
            </w:r>
            <w:r w:rsidRPr="00701F32">
              <w:rPr>
                <w:rFonts w:ascii="Arial" w:hAnsi="Arial" w:cs="Arial"/>
                <w:sz w:val="18"/>
                <w:lang w:eastAsia="es-AR"/>
              </w:rPr>
              <w:t xml:space="preserve"> de Accionistas del </w:t>
            </w:r>
            <w:r>
              <w:rPr>
                <w:rFonts w:ascii="Arial" w:hAnsi="Arial" w:cs="Arial"/>
                <w:sz w:val="18"/>
                <w:lang w:eastAsia="es-AR"/>
              </w:rPr>
              <w:t>21</w:t>
            </w:r>
            <w:r w:rsidRPr="00701F32">
              <w:rPr>
                <w:rFonts w:ascii="Arial" w:hAnsi="Arial" w:cs="Arial"/>
                <w:sz w:val="18"/>
                <w:lang w:eastAsia="es-AR"/>
              </w:rPr>
              <w:t>-</w:t>
            </w:r>
            <w:r>
              <w:rPr>
                <w:rFonts w:ascii="Arial" w:hAnsi="Arial" w:cs="Arial"/>
                <w:sz w:val="18"/>
                <w:lang w:eastAsia="es-AR"/>
              </w:rPr>
              <w:t>11</w:t>
            </w:r>
            <w:r w:rsidRPr="00701F32">
              <w:rPr>
                <w:rFonts w:ascii="Arial" w:hAnsi="Arial" w:cs="Arial"/>
                <w:sz w:val="18"/>
                <w:lang w:eastAsia="es-AR"/>
              </w:rPr>
              <w:t>-2018</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F24F2" w14:textId="77777777" w:rsidR="00DE221E" w:rsidRPr="00701F32" w:rsidRDefault="00DE221E" w:rsidP="006F757F">
            <w:pPr>
              <w:jc w:val="center"/>
              <w:rPr>
                <w:rFonts w:ascii="Arial" w:hAnsi="Arial" w:cs="Arial"/>
                <w:sz w:val="18"/>
                <w:lang w:eastAsia="es-AR"/>
              </w:rPr>
            </w:pPr>
            <w:r>
              <w:rPr>
                <w:rFonts w:ascii="Arial" w:hAnsi="Arial" w:cs="Arial"/>
                <w:sz w:val="18"/>
                <w:lang w:eastAsia="es-AR"/>
              </w:rPr>
              <w:t>36.887</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94083" w14:textId="77777777" w:rsidR="00DE221E" w:rsidRPr="00701F32" w:rsidRDefault="00DE221E" w:rsidP="006F757F">
            <w:pPr>
              <w:jc w:val="center"/>
              <w:rPr>
                <w:rFonts w:ascii="Arial" w:hAnsi="Arial" w:cs="Arial"/>
                <w:b/>
                <w:bCs/>
                <w:sz w:val="18"/>
                <w:lang w:eastAsia="es-AR"/>
              </w:rPr>
            </w:pP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CD150" w14:textId="77777777" w:rsidR="00DE221E" w:rsidRPr="00701F32" w:rsidRDefault="00DE221E" w:rsidP="006F757F">
            <w:pPr>
              <w:jc w:val="center"/>
              <w:rPr>
                <w:rFonts w:ascii="Arial" w:hAnsi="Arial" w:cs="Arial"/>
                <w:bCs/>
                <w:sz w:val="18"/>
              </w:rPr>
            </w:pPr>
            <w:r>
              <w:rPr>
                <w:rFonts w:ascii="Arial" w:hAnsi="Arial" w:cs="Arial"/>
                <w:bCs/>
                <w:sz w:val="18"/>
              </w:rPr>
              <w:t>02-05-2019</w:t>
            </w:r>
          </w:p>
        </w:tc>
      </w:tr>
      <w:tr w:rsidR="0035700B" w:rsidRPr="00701F32" w14:paraId="2CA612C7" w14:textId="77777777" w:rsidTr="00B57E77">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C99F5" w14:textId="338FD330" w:rsidR="0035700B" w:rsidRPr="00701F32" w:rsidRDefault="0035700B" w:rsidP="006F757F">
            <w:pPr>
              <w:rPr>
                <w:rFonts w:ascii="Arial" w:hAnsi="Arial" w:cs="Arial"/>
                <w:sz w:val="18"/>
                <w:lang w:eastAsia="es-AR"/>
              </w:rPr>
            </w:pPr>
            <w:r w:rsidRPr="00701F32">
              <w:rPr>
                <w:rFonts w:ascii="Arial" w:hAnsi="Arial" w:cs="Arial"/>
                <w:b/>
                <w:bCs/>
                <w:sz w:val="18"/>
              </w:rPr>
              <w:t>Saldo del Capital Social al 31</w:t>
            </w:r>
            <w:r>
              <w:rPr>
                <w:rFonts w:ascii="Arial" w:hAnsi="Arial" w:cs="Arial"/>
                <w:b/>
                <w:bCs/>
                <w:sz w:val="18"/>
              </w:rPr>
              <w:t>/</w:t>
            </w:r>
            <w:r w:rsidRPr="00701F32">
              <w:rPr>
                <w:rFonts w:ascii="Arial" w:hAnsi="Arial" w:cs="Arial"/>
                <w:b/>
                <w:bCs/>
                <w:sz w:val="18"/>
              </w:rPr>
              <w:t>12</w:t>
            </w:r>
            <w:r>
              <w:rPr>
                <w:rFonts w:ascii="Arial" w:hAnsi="Arial" w:cs="Arial"/>
                <w:b/>
                <w:bCs/>
                <w:sz w:val="18"/>
              </w:rPr>
              <w:t>/</w:t>
            </w:r>
            <w:r w:rsidRPr="00701F32">
              <w:rPr>
                <w:rFonts w:ascii="Arial" w:hAnsi="Arial" w:cs="Arial"/>
                <w:b/>
                <w:bCs/>
                <w:sz w:val="18"/>
              </w:rPr>
              <w:t>1</w:t>
            </w:r>
            <w:r>
              <w:rPr>
                <w:rFonts w:ascii="Arial" w:hAnsi="Arial" w:cs="Arial"/>
                <w:b/>
                <w:bCs/>
                <w:sz w:val="18"/>
              </w:rPr>
              <w:t>8</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B19A2" w14:textId="77777777" w:rsidR="0035700B" w:rsidRDefault="0035700B" w:rsidP="006F757F">
            <w:pPr>
              <w:jc w:val="center"/>
              <w:rPr>
                <w:rFonts w:ascii="Arial" w:hAnsi="Arial" w:cs="Arial"/>
                <w:sz w:val="18"/>
                <w:lang w:eastAsia="es-AR"/>
              </w:rPr>
            </w:pP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3249B" w14:textId="0166426E" w:rsidR="0035700B" w:rsidRPr="00701F32" w:rsidRDefault="0035700B" w:rsidP="006F757F">
            <w:pPr>
              <w:jc w:val="center"/>
              <w:rPr>
                <w:rFonts w:ascii="Arial" w:hAnsi="Arial" w:cs="Arial"/>
                <w:b/>
                <w:bCs/>
                <w:sz w:val="18"/>
                <w:lang w:eastAsia="es-AR"/>
              </w:rPr>
            </w:pPr>
            <w:r>
              <w:rPr>
                <w:rFonts w:ascii="Arial" w:hAnsi="Arial" w:cs="Arial"/>
                <w:b/>
                <w:bCs/>
                <w:sz w:val="18"/>
                <w:lang w:eastAsia="es-AR"/>
              </w:rPr>
              <w:t>808.852</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03676" w14:textId="77777777" w:rsidR="0035700B" w:rsidRDefault="0035700B" w:rsidP="006F757F">
            <w:pPr>
              <w:jc w:val="center"/>
              <w:rPr>
                <w:rFonts w:ascii="Arial" w:hAnsi="Arial" w:cs="Arial"/>
                <w:bCs/>
                <w:sz w:val="18"/>
              </w:rPr>
            </w:pPr>
          </w:p>
        </w:tc>
      </w:tr>
      <w:tr w:rsidR="00DE221E" w:rsidRPr="00701F32" w14:paraId="607BE316" w14:textId="77777777" w:rsidTr="00B57E77">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6B451" w14:textId="77777777" w:rsidR="00DE221E" w:rsidRPr="00701F32" w:rsidRDefault="00DE221E" w:rsidP="006F757F">
            <w:pPr>
              <w:rPr>
                <w:rFonts w:ascii="Arial" w:hAnsi="Arial" w:cs="Arial"/>
                <w:sz w:val="18"/>
                <w:lang w:eastAsia="es-AR"/>
              </w:rPr>
            </w:pPr>
            <w:r w:rsidRPr="00701F32">
              <w:rPr>
                <w:rFonts w:ascii="Arial" w:hAnsi="Arial" w:cs="Arial"/>
                <w:sz w:val="18"/>
                <w:lang w:eastAsia="es-AR"/>
              </w:rPr>
              <w:t>Aumento de c</w:t>
            </w:r>
            <w:r>
              <w:rPr>
                <w:rFonts w:ascii="Arial" w:hAnsi="Arial" w:cs="Arial"/>
                <w:sz w:val="18"/>
                <w:lang w:eastAsia="es-AR"/>
              </w:rPr>
              <w:t>apital según Asamblea Ordinaria</w:t>
            </w:r>
            <w:r w:rsidRPr="00701F32">
              <w:rPr>
                <w:rFonts w:ascii="Arial" w:hAnsi="Arial" w:cs="Arial"/>
                <w:sz w:val="18"/>
                <w:lang w:eastAsia="es-AR"/>
              </w:rPr>
              <w:t xml:space="preserve"> de Accionistas del </w:t>
            </w:r>
            <w:r>
              <w:rPr>
                <w:rFonts w:ascii="Arial" w:hAnsi="Arial" w:cs="Arial"/>
                <w:sz w:val="18"/>
                <w:lang w:eastAsia="es-AR"/>
              </w:rPr>
              <w:t>10</w:t>
            </w:r>
            <w:r w:rsidRPr="00701F32">
              <w:rPr>
                <w:rFonts w:ascii="Arial" w:hAnsi="Arial" w:cs="Arial"/>
                <w:sz w:val="18"/>
                <w:lang w:eastAsia="es-AR"/>
              </w:rPr>
              <w:t>-</w:t>
            </w:r>
            <w:r>
              <w:rPr>
                <w:rFonts w:ascii="Arial" w:hAnsi="Arial" w:cs="Arial"/>
                <w:sz w:val="18"/>
                <w:lang w:eastAsia="es-AR"/>
              </w:rPr>
              <w:t>07</w:t>
            </w:r>
            <w:r w:rsidRPr="00701F32">
              <w:rPr>
                <w:rFonts w:ascii="Arial" w:hAnsi="Arial" w:cs="Arial"/>
                <w:sz w:val="18"/>
                <w:lang w:eastAsia="es-AR"/>
              </w:rPr>
              <w:t>-201</w:t>
            </w:r>
            <w:r>
              <w:rPr>
                <w:rFonts w:ascii="Arial" w:hAnsi="Arial" w:cs="Arial"/>
                <w:sz w:val="18"/>
                <w:lang w:eastAsia="es-AR"/>
              </w:rPr>
              <w:t>9</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04FF6" w14:textId="77777777" w:rsidR="00DE221E" w:rsidRDefault="00DE221E" w:rsidP="006F757F">
            <w:pPr>
              <w:jc w:val="center"/>
              <w:rPr>
                <w:rFonts w:ascii="Arial" w:hAnsi="Arial" w:cs="Arial"/>
                <w:sz w:val="18"/>
                <w:lang w:eastAsia="es-AR"/>
              </w:rPr>
            </w:pPr>
            <w:r>
              <w:rPr>
                <w:rFonts w:ascii="Arial" w:hAnsi="Arial" w:cs="Arial"/>
                <w:sz w:val="18"/>
                <w:lang w:eastAsia="es-AR"/>
              </w:rPr>
              <w:t>20.712</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83D40" w14:textId="77777777" w:rsidR="00DE221E" w:rsidRPr="00701F32" w:rsidRDefault="00DE221E" w:rsidP="006F757F">
            <w:pPr>
              <w:jc w:val="center"/>
              <w:rPr>
                <w:rFonts w:ascii="Arial" w:hAnsi="Arial" w:cs="Arial"/>
                <w:b/>
                <w:bCs/>
                <w:sz w:val="18"/>
                <w:lang w:eastAsia="es-AR"/>
              </w:rPr>
            </w:pP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29285" w14:textId="7D6BC5C5" w:rsidR="00DE221E" w:rsidRDefault="00D366A8" w:rsidP="006F757F">
            <w:pPr>
              <w:jc w:val="center"/>
              <w:rPr>
                <w:rFonts w:ascii="Arial" w:hAnsi="Arial" w:cs="Arial"/>
                <w:bCs/>
                <w:sz w:val="18"/>
              </w:rPr>
            </w:pPr>
            <w:r>
              <w:rPr>
                <w:rFonts w:ascii="Arial" w:hAnsi="Arial" w:cs="Arial"/>
                <w:bCs/>
                <w:sz w:val="18"/>
              </w:rPr>
              <w:t>17-12-2019</w:t>
            </w:r>
          </w:p>
        </w:tc>
      </w:tr>
      <w:tr w:rsidR="00DE221E" w:rsidRPr="00701F32" w14:paraId="465464B6" w14:textId="77777777" w:rsidTr="00B57E77">
        <w:trPr>
          <w:trHeight w:val="204"/>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3BCFB" w14:textId="4EE6AEC2" w:rsidR="00DE221E" w:rsidRPr="00701F32" w:rsidRDefault="00DE221E" w:rsidP="006F757F">
            <w:pPr>
              <w:rPr>
                <w:rFonts w:ascii="Arial" w:hAnsi="Arial" w:cs="Arial"/>
                <w:b/>
                <w:bCs/>
                <w:sz w:val="18"/>
                <w:lang w:eastAsia="es-AR"/>
              </w:rPr>
            </w:pPr>
            <w:r>
              <w:rPr>
                <w:rFonts w:ascii="Arial" w:hAnsi="Arial" w:cs="Arial"/>
                <w:b/>
                <w:bCs/>
                <w:sz w:val="18"/>
              </w:rPr>
              <w:t>Saldo del Capital Social al 3</w:t>
            </w:r>
            <w:r w:rsidR="00CA4B7E">
              <w:rPr>
                <w:rFonts w:ascii="Arial" w:hAnsi="Arial" w:cs="Arial"/>
                <w:b/>
                <w:bCs/>
                <w:sz w:val="18"/>
              </w:rPr>
              <w:t>1</w:t>
            </w:r>
            <w:r w:rsidRPr="00701F32">
              <w:rPr>
                <w:rFonts w:ascii="Arial" w:hAnsi="Arial" w:cs="Arial"/>
                <w:b/>
                <w:bCs/>
                <w:sz w:val="18"/>
              </w:rPr>
              <w:t>/</w:t>
            </w:r>
            <w:r w:rsidR="00CA4B7E">
              <w:rPr>
                <w:rFonts w:ascii="Arial" w:hAnsi="Arial" w:cs="Arial"/>
                <w:b/>
                <w:bCs/>
                <w:sz w:val="18"/>
              </w:rPr>
              <w:t>12</w:t>
            </w:r>
            <w:r w:rsidRPr="00701F32">
              <w:rPr>
                <w:rFonts w:ascii="Arial" w:hAnsi="Arial" w:cs="Arial"/>
                <w:b/>
                <w:bCs/>
                <w:sz w:val="18"/>
              </w:rPr>
              <w:t>/1</w:t>
            </w:r>
            <w:r>
              <w:rPr>
                <w:rFonts w:ascii="Arial" w:hAnsi="Arial" w:cs="Arial"/>
                <w:b/>
                <w:bCs/>
                <w:sz w:val="18"/>
              </w:rPr>
              <w:t>9</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59191" w14:textId="77777777" w:rsidR="00DE221E" w:rsidRPr="00701F32" w:rsidRDefault="00DE221E" w:rsidP="006F757F">
            <w:pPr>
              <w:jc w:val="center"/>
              <w:rPr>
                <w:rFonts w:ascii="Arial" w:hAnsi="Arial" w:cs="Arial"/>
                <w:sz w:val="18"/>
                <w:lang w:eastAsia="es-AR"/>
              </w:rPr>
            </w:pP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E6434" w14:textId="77777777" w:rsidR="00DE221E" w:rsidRPr="00701F32" w:rsidRDefault="00DE221E" w:rsidP="006F757F">
            <w:pPr>
              <w:jc w:val="center"/>
              <w:rPr>
                <w:rFonts w:ascii="Arial" w:hAnsi="Arial" w:cs="Arial"/>
                <w:b/>
                <w:bCs/>
                <w:sz w:val="18"/>
                <w:lang w:eastAsia="es-AR"/>
              </w:rPr>
            </w:pPr>
            <w:r>
              <w:rPr>
                <w:rFonts w:ascii="Arial" w:hAnsi="Arial" w:cs="Arial"/>
                <w:b/>
                <w:bCs/>
                <w:sz w:val="18"/>
                <w:lang w:eastAsia="es-AR"/>
              </w:rPr>
              <w:t>829.564</w:t>
            </w: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71AE6" w14:textId="77777777" w:rsidR="00DE221E" w:rsidRPr="00701F32" w:rsidRDefault="00DE221E" w:rsidP="006F757F">
            <w:pPr>
              <w:jc w:val="center"/>
              <w:rPr>
                <w:rFonts w:ascii="Arial" w:hAnsi="Arial" w:cs="Arial"/>
                <w:sz w:val="18"/>
                <w:lang w:eastAsia="es-AR"/>
              </w:rPr>
            </w:pPr>
          </w:p>
          <w:p w14:paraId="07CFB4B6" w14:textId="77777777" w:rsidR="00DE221E" w:rsidRPr="00701F32" w:rsidRDefault="00DE221E" w:rsidP="006F757F">
            <w:pPr>
              <w:jc w:val="center"/>
              <w:rPr>
                <w:rFonts w:ascii="Arial" w:hAnsi="Arial" w:cs="Arial"/>
                <w:sz w:val="18"/>
                <w:lang w:eastAsia="es-AR"/>
              </w:rPr>
            </w:pPr>
          </w:p>
        </w:tc>
      </w:tr>
    </w:tbl>
    <w:p w14:paraId="2EA8759B" w14:textId="77777777" w:rsidR="00DE221E" w:rsidRDefault="00DE221E" w:rsidP="00DE221E">
      <w:pPr>
        <w:tabs>
          <w:tab w:val="left" w:pos="142"/>
        </w:tabs>
        <w:jc w:val="both"/>
        <w:rPr>
          <w:rFonts w:ascii="Arial" w:hAnsi="Arial" w:cs="Arial"/>
          <w:sz w:val="20"/>
        </w:rPr>
      </w:pPr>
    </w:p>
    <w:p w14:paraId="0FB48CD5" w14:textId="1C533B8D" w:rsidR="00DE221E" w:rsidRPr="00A209A7" w:rsidRDefault="00DE221E" w:rsidP="00DE221E">
      <w:pPr>
        <w:tabs>
          <w:tab w:val="left" w:pos="142"/>
        </w:tabs>
        <w:jc w:val="both"/>
        <w:rPr>
          <w:rFonts w:ascii="Arial" w:hAnsi="Arial" w:cs="Arial"/>
          <w:sz w:val="20"/>
        </w:rPr>
      </w:pPr>
      <w:r>
        <w:rPr>
          <w:rFonts w:ascii="Arial" w:hAnsi="Arial" w:cs="Arial"/>
          <w:sz w:val="20"/>
        </w:rPr>
        <w:t xml:space="preserve">En fecha 12 de junio de 2019 el accionista Grupo Supervielle S.A. comunicó a la Entidad su decisión de realizar un aporte irrevocable de capital en efectivo por la suma de </w:t>
      </w:r>
      <w:r w:rsidR="00084EEA">
        <w:rPr>
          <w:rFonts w:ascii="Arial" w:hAnsi="Arial" w:cs="Arial"/>
          <w:sz w:val="20"/>
        </w:rPr>
        <w:t xml:space="preserve">$ </w:t>
      </w:r>
      <w:r>
        <w:rPr>
          <w:rFonts w:ascii="Arial" w:hAnsi="Arial" w:cs="Arial"/>
          <w:sz w:val="20"/>
        </w:rPr>
        <w:t xml:space="preserve">475.000 para ser destinado a capital de trabajo. Por tal motivo, la Entidad convocó una Asamblea General de Accionistas para el 10 de julio de 2019 a fines de aprobar el aumento del capital. Dicha Asamblea resolvió aprobar la capitalización del aporte irrevocable y aprobar un aumento de capital por hasta la suma de </w:t>
      </w:r>
      <w:r w:rsidR="00084EEA">
        <w:rPr>
          <w:rFonts w:ascii="Arial" w:hAnsi="Arial" w:cs="Arial"/>
          <w:sz w:val="20"/>
        </w:rPr>
        <w:t xml:space="preserve">$ </w:t>
      </w:r>
      <w:r>
        <w:rPr>
          <w:rFonts w:ascii="Arial" w:hAnsi="Arial" w:cs="Arial"/>
          <w:sz w:val="20"/>
        </w:rPr>
        <w:t xml:space="preserve">20.712 mediante la emisión de 20.711.607 acciones </w:t>
      </w:r>
      <w:r w:rsidRPr="00A209A7">
        <w:rPr>
          <w:rFonts w:ascii="Arial" w:hAnsi="Arial" w:cs="Arial"/>
          <w:sz w:val="20"/>
          <w:lang w:val="es-ES"/>
        </w:rPr>
        <w:t>ordinarias, escriturales, Clase B de valor nominal $ 1 cada una y con derecho a 1 voto por acción, a un precio de suscripción de $ 22,9340 por acción, con derecho a percibir dividendos o cualquier otra acreencia a partir de la fecha de su emisión y en igualdad de condiciones que el resto de las acciones Clase B que se encuentren en circulación en ese momento.</w:t>
      </w:r>
    </w:p>
    <w:p w14:paraId="1C8B92D6" w14:textId="77777777" w:rsidR="00DE221E" w:rsidRDefault="00DE221E" w:rsidP="00DE221E">
      <w:pPr>
        <w:tabs>
          <w:tab w:val="left" w:pos="142"/>
        </w:tabs>
        <w:jc w:val="both"/>
        <w:rPr>
          <w:rFonts w:ascii="Arial" w:hAnsi="Arial" w:cs="Arial"/>
          <w:sz w:val="20"/>
        </w:rPr>
      </w:pPr>
    </w:p>
    <w:p w14:paraId="3D93B86C" w14:textId="0CCEACF4" w:rsidR="00656E62" w:rsidRPr="00701F32" w:rsidRDefault="00DE221E" w:rsidP="00DE221E">
      <w:pPr>
        <w:tabs>
          <w:tab w:val="left" w:pos="142"/>
        </w:tabs>
        <w:jc w:val="both"/>
        <w:rPr>
          <w:rFonts w:ascii="Arial" w:hAnsi="Arial" w:cs="Arial"/>
          <w:sz w:val="20"/>
        </w:rPr>
      </w:pPr>
      <w:r>
        <w:rPr>
          <w:rFonts w:ascii="Arial" w:hAnsi="Arial" w:cs="Arial"/>
          <w:sz w:val="20"/>
        </w:rPr>
        <w:t xml:space="preserve">A </w:t>
      </w:r>
      <w:r w:rsidRPr="00701F32">
        <w:rPr>
          <w:rFonts w:ascii="Arial" w:hAnsi="Arial" w:cs="Arial"/>
          <w:sz w:val="20"/>
        </w:rPr>
        <w:t xml:space="preserve">la fecha de los presentes estados financieros el capital social asciende a </w:t>
      </w:r>
      <w:r>
        <w:rPr>
          <w:rFonts w:ascii="Arial" w:hAnsi="Arial" w:cs="Arial"/>
          <w:sz w:val="20"/>
        </w:rPr>
        <w:t>829</w:t>
      </w:r>
      <w:r w:rsidRPr="00701F32">
        <w:rPr>
          <w:rFonts w:ascii="Arial" w:hAnsi="Arial" w:cs="Arial"/>
          <w:sz w:val="20"/>
        </w:rPr>
        <w:t>.5</w:t>
      </w:r>
      <w:r>
        <w:rPr>
          <w:rFonts w:ascii="Arial" w:hAnsi="Arial" w:cs="Arial"/>
          <w:sz w:val="20"/>
        </w:rPr>
        <w:t>64</w:t>
      </w:r>
      <w:r w:rsidRPr="00701F32">
        <w:rPr>
          <w:rFonts w:ascii="Arial" w:hAnsi="Arial" w:cs="Arial"/>
          <w:sz w:val="20"/>
        </w:rPr>
        <w:t xml:space="preserve">, conformado por </w:t>
      </w:r>
      <w:r>
        <w:rPr>
          <w:rFonts w:ascii="Arial" w:hAnsi="Arial" w:cs="Arial"/>
          <w:sz w:val="20"/>
        </w:rPr>
        <w:t>829.563.871</w:t>
      </w:r>
      <w:r w:rsidRPr="00701F32">
        <w:rPr>
          <w:rFonts w:ascii="Arial" w:hAnsi="Arial" w:cs="Arial"/>
          <w:sz w:val="20"/>
        </w:rPr>
        <w:t xml:space="preserve"> acciones, de las cuales, 930.371 son acciones ordinarias, nominativas no endosables, escriturales, clase A de un peso valor nominal cada una y con derecho a cinco votos por acción y </w:t>
      </w:r>
      <w:r>
        <w:rPr>
          <w:rFonts w:ascii="Arial" w:hAnsi="Arial" w:cs="Arial"/>
          <w:sz w:val="20"/>
        </w:rPr>
        <w:t>828.633.500</w:t>
      </w:r>
      <w:r w:rsidRPr="00701F32">
        <w:rPr>
          <w:rFonts w:ascii="Arial" w:hAnsi="Arial" w:cs="Arial"/>
          <w:sz w:val="20"/>
        </w:rPr>
        <w:t xml:space="preserve"> son acciones ordinarias, nominativas no endosables, escriturales, </w:t>
      </w:r>
      <w:r w:rsidR="00B154F6">
        <w:rPr>
          <w:rFonts w:ascii="Arial" w:hAnsi="Arial" w:cs="Arial"/>
          <w:sz w:val="20"/>
        </w:rPr>
        <w:t>C</w:t>
      </w:r>
      <w:r w:rsidRPr="00701F32">
        <w:rPr>
          <w:rFonts w:ascii="Arial" w:hAnsi="Arial" w:cs="Arial"/>
          <w:sz w:val="20"/>
        </w:rPr>
        <w:t>lase B de un peso valor nominal cada una y con derecho a un voto por acción.</w:t>
      </w:r>
    </w:p>
    <w:p w14:paraId="7AB3E6A2" w14:textId="6772FF56" w:rsidR="00232A35" w:rsidRPr="00A209A7" w:rsidRDefault="00232A35" w:rsidP="00232A35">
      <w:pPr>
        <w:tabs>
          <w:tab w:val="left" w:pos="142"/>
        </w:tabs>
        <w:jc w:val="both"/>
        <w:rPr>
          <w:rFonts w:ascii="Arial" w:hAnsi="Arial" w:cs="Arial"/>
          <w:sz w:val="20"/>
        </w:rPr>
      </w:pPr>
    </w:p>
    <w:p w14:paraId="72DF4745" w14:textId="01861968" w:rsidR="00656E62" w:rsidRPr="00701F32" w:rsidRDefault="00CA4B7E" w:rsidP="00656E62">
      <w:pPr>
        <w:tabs>
          <w:tab w:val="left" w:pos="142"/>
          <w:tab w:val="left" w:pos="9923"/>
        </w:tabs>
        <w:spacing w:after="200" w:line="276" w:lineRule="auto"/>
        <w:contextualSpacing/>
        <w:jc w:val="both"/>
        <w:rPr>
          <w:rFonts w:ascii="Arial" w:hAnsi="Arial" w:cs="Arial"/>
          <w:b/>
          <w:sz w:val="20"/>
        </w:rPr>
      </w:pPr>
      <w:r>
        <w:rPr>
          <w:rFonts w:ascii="Arial" w:hAnsi="Arial" w:cs="Arial"/>
          <w:b/>
          <w:sz w:val="20"/>
        </w:rPr>
        <w:t>14</w:t>
      </w:r>
      <w:r w:rsidR="00656E62" w:rsidRPr="00701F32">
        <w:rPr>
          <w:rFonts w:ascii="Arial" w:hAnsi="Arial" w:cs="Arial"/>
          <w:b/>
          <w:sz w:val="20"/>
        </w:rPr>
        <w:t>.4 Actividades fiduciarias</w:t>
      </w:r>
    </w:p>
    <w:p w14:paraId="7ABE1740" w14:textId="77777777" w:rsidR="00656E62" w:rsidRPr="00701F32" w:rsidRDefault="00656E62" w:rsidP="00656E62">
      <w:pPr>
        <w:tabs>
          <w:tab w:val="left" w:pos="142"/>
          <w:tab w:val="left" w:pos="9923"/>
        </w:tabs>
        <w:spacing w:after="200" w:line="276" w:lineRule="auto"/>
        <w:contextualSpacing/>
        <w:jc w:val="both"/>
        <w:rPr>
          <w:rFonts w:ascii="Arial" w:hAnsi="Arial" w:cs="Arial"/>
          <w:b/>
          <w:sz w:val="20"/>
        </w:rPr>
      </w:pPr>
    </w:p>
    <w:p w14:paraId="698EF5BF" w14:textId="77777777" w:rsidR="00656E62" w:rsidRPr="00701F32" w:rsidRDefault="00656E62" w:rsidP="00656E62">
      <w:pPr>
        <w:tabs>
          <w:tab w:val="left" w:pos="142"/>
        </w:tabs>
        <w:jc w:val="both"/>
        <w:rPr>
          <w:rFonts w:ascii="Arial" w:hAnsi="Arial" w:cs="Arial"/>
          <w:sz w:val="20"/>
        </w:rPr>
      </w:pPr>
      <w:r w:rsidRPr="00701F32">
        <w:rPr>
          <w:rFonts w:ascii="Arial" w:hAnsi="Arial" w:cs="Arial"/>
          <w:sz w:val="20"/>
        </w:rPr>
        <w:t>La Entidad actúa como Fiduciario o Fiduciante en los fideicomisos que se detallan a continuación:</w:t>
      </w:r>
    </w:p>
    <w:p w14:paraId="2C769833" w14:textId="379ADE50" w:rsidR="00656E62" w:rsidRDefault="00656E62" w:rsidP="00656E62">
      <w:pPr>
        <w:tabs>
          <w:tab w:val="left" w:pos="142"/>
        </w:tabs>
        <w:jc w:val="both"/>
        <w:rPr>
          <w:rFonts w:ascii="Arial" w:hAnsi="Arial" w:cs="Arial"/>
          <w:sz w:val="20"/>
        </w:rPr>
      </w:pPr>
    </w:p>
    <w:p w14:paraId="5CB9A103" w14:textId="77777777" w:rsidR="00656E62" w:rsidRPr="00701F32" w:rsidRDefault="00656E62" w:rsidP="00656E62">
      <w:pPr>
        <w:tabs>
          <w:tab w:val="left" w:pos="142"/>
        </w:tabs>
        <w:jc w:val="both"/>
        <w:rPr>
          <w:rFonts w:ascii="Arial" w:hAnsi="Arial" w:cs="Arial"/>
          <w:b/>
          <w:sz w:val="20"/>
          <w:u w:val="single"/>
        </w:rPr>
      </w:pPr>
      <w:r w:rsidRPr="00701F32">
        <w:rPr>
          <w:rFonts w:ascii="Arial" w:hAnsi="Arial" w:cs="Arial"/>
          <w:b/>
          <w:sz w:val="20"/>
          <w:u w:val="single"/>
        </w:rPr>
        <w:t>Actuación como Fiduciario</w:t>
      </w:r>
    </w:p>
    <w:p w14:paraId="5862CAAD" w14:textId="77777777" w:rsidR="00656E62" w:rsidRPr="00701F32" w:rsidRDefault="00656E62" w:rsidP="00656E62">
      <w:pPr>
        <w:tabs>
          <w:tab w:val="left" w:pos="142"/>
        </w:tabs>
        <w:jc w:val="both"/>
        <w:rPr>
          <w:rFonts w:ascii="Arial" w:hAnsi="Arial" w:cs="Arial"/>
          <w:sz w:val="20"/>
        </w:rPr>
      </w:pPr>
    </w:p>
    <w:p w14:paraId="61063FD6" w14:textId="77777777" w:rsidR="00656E62" w:rsidRPr="00701F32" w:rsidRDefault="00656E62" w:rsidP="00656E62">
      <w:pPr>
        <w:tabs>
          <w:tab w:val="left" w:pos="142"/>
        </w:tabs>
        <w:jc w:val="both"/>
        <w:rPr>
          <w:rFonts w:ascii="Arial" w:hAnsi="Arial" w:cs="Arial"/>
          <w:sz w:val="20"/>
        </w:rPr>
      </w:pPr>
      <w:r w:rsidRPr="00701F32">
        <w:rPr>
          <w:rFonts w:ascii="Arial" w:hAnsi="Arial" w:cs="Arial"/>
          <w:sz w:val="20"/>
        </w:rPr>
        <w:t>Se resume a continuación el detalle de los fideicomisos financieros:</w:t>
      </w:r>
    </w:p>
    <w:p w14:paraId="47CBF1A6" w14:textId="77777777" w:rsidR="00656E62" w:rsidRPr="00701F32" w:rsidRDefault="00656E62" w:rsidP="00656E62">
      <w:pPr>
        <w:tabs>
          <w:tab w:val="left" w:pos="142"/>
        </w:tabs>
        <w:jc w:val="both"/>
        <w:rPr>
          <w:rFonts w:ascii="Arial" w:hAnsi="Arial" w:cs="Arial"/>
          <w:sz w:val="20"/>
        </w:rPr>
      </w:pPr>
      <w:r w:rsidRPr="00701F32">
        <w:rPr>
          <w:rFonts w:ascii="Arial" w:hAnsi="Arial" w:cs="Arial"/>
          <w:sz w:val="20"/>
        </w:rPr>
        <w:t xml:space="preserve">      </w:t>
      </w:r>
    </w:p>
    <w:p w14:paraId="07C09255" w14:textId="1A32488B" w:rsidR="00D87ABD" w:rsidRPr="00701F32" w:rsidRDefault="00D87ABD" w:rsidP="00D87ABD">
      <w:pPr>
        <w:tabs>
          <w:tab w:val="left" w:pos="142"/>
        </w:tabs>
        <w:jc w:val="both"/>
        <w:rPr>
          <w:rFonts w:ascii="Arial" w:hAnsi="Arial" w:cs="Arial"/>
          <w:sz w:val="20"/>
        </w:rPr>
      </w:pPr>
      <w:r w:rsidRPr="00701F32">
        <w:rPr>
          <w:rFonts w:ascii="Arial" w:hAnsi="Arial" w:cs="Arial"/>
          <w:sz w:val="20"/>
        </w:rPr>
        <w:t>Fideicomisos de administración en garantía en los cuales Banco Supervielle S.A. actúa como fiduciario al 3</w:t>
      </w:r>
      <w:r w:rsidR="00CA4B7E">
        <w:rPr>
          <w:rFonts w:ascii="Arial" w:hAnsi="Arial" w:cs="Arial"/>
          <w:sz w:val="20"/>
        </w:rPr>
        <w:t>1</w:t>
      </w:r>
      <w:r w:rsidRPr="00701F32">
        <w:rPr>
          <w:rFonts w:ascii="Arial" w:hAnsi="Arial" w:cs="Arial"/>
          <w:sz w:val="20"/>
        </w:rPr>
        <w:t xml:space="preserve"> de </w:t>
      </w:r>
      <w:r w:rsidR="00CA4B7E">
        <w:rPr>
          <w:rFonts w:ascii="Arial" w:hAnsi="Arial" w:cs="Arial"/>
          <w:sz w:val="20"/>
        </w:rPr>
        <w:t>diciembre</w:t>
      </w:r>
      <w:r w:rsidR="000E1F15">
        <w:rPr>
          <w:rFonts w:ascii="Arial" w:hAnsi="Arial" w:cs="Arial"/>
          <w:sz w:val="20"/>
        </w:rPr>
        <w:t xml:space="preserve"> </w:t>
      </w:r>
      <w:r w:rsidRPr="00701F32">
        <w:rPr>
          <w:rFonts w:ascii="Arial" w:hAnsi="Arial" w:cs="Arial"/>
          <w:sz w:val="20"/>
        </w:rPr>
        <w:t>de 201</w:t>
      </w:r>
      <w:r w:rsidR="000E1F15">
        <w:rPr>
          <w:rFonts w:ascii="Arial" w:hAnsi="Arial" w:cs="Arial"/>
          <w:sz w:val="20"/>
        </w:rPr>
        <w:t>9</w:t>
      </w:r>
      <w:r w:rsidRPr="00701F32">
        <w:rPr>
          <w:rFonts w:ascii="Arial" w:hAnsi="Arial" w:cs="Arial"/>
          <w:sz w:val="20"/>
        </w:rPr>
        <w:t>:</w:t>
      </w:r>
    </w:p>
    <w:p w14:paraId="70ECF1D5" w14:textId="3636F192" w:rsidR="00B2136F" w:rsidRDefault="00B2136F">
      <w:pPr>
        <w:rPr>
          <w:rFonts w:ascii="Arial" w:hAnsi="Arial" w:cs="Arial"/>
          <w:strike/>
          <w:sz w:val="20"/>
        </w:rPr>
      </w:pPr>
      <w:r>
        <w:rPr>
          <w:rFonts w:ascii="Arial" w:hAnsi="Arial" w:cs="Arial"/>
          <w:strike/>
          <w:sz w:val="20"/>
        </w:rPr>
        <w:br w:type="page"/>
      </w:r>
    </w:p>
    <w:p w14:paraId="74DE39F0" w14:textId="77777777" w:rsidR="00D87ABD" w:rsidRPr="00D87ABD" w:rsidRDefault="00D87ABD" w:rsidP="00656E62">
      <w:pPr>
        <w:tabs>
          <w:tab w:val="left" w:pos="142"/>
        </w:tabs>
        <w:jc w:val="both"/>
        <w:rPr>
          <w:rFonts w:ascii="Arial" w:hAnsi="Arial" w:cs="Arial"/>
          <w:strike/>
          <w:sz w:val="20"/>
        </w:rPr>
      </w:pPr>
    </w:p>
    <w:tbl>
      <w:tblPr>
        <w:tblW w:w="8864" w:type="dxa"/>
        <w:tblInd w:w="-5" w:type="dxa"/>
        <w:tblLayout w:type="fixed"/>
        <w:tblCellMar>
          <w:left w:w="70" w:type="dxa"/>
          <w:right w:w="70" w:type="dxa"/>
        </w:tblCellMar>
        <w:tblLook w:val="04A0" w:firstRow="1" w:lastRow="0" w:firstColumn="1" w:lastColumn="0" w:noHBand="0" w:noVBand="1"/>
      </w:tblPr>
      <w:tblGrid>
        <w:gridCol w:w="1190"/>
        <w:gridCol w:w="941"/>
        <w:gridCol w:w="2197"/>
        <w:gridCol w:w="992"/>
        <w:gridCol w:w="851"/>
        <w:gridCol w:w="1417"/>
        <w:gridCol w:w="1276"/>
      </w:tblGrid>
      <w:tr w:rsidR="00D87ABD" w:rsidRPr="00701F32" w14:paraId="2A009F23" w14:textId="77777777" w:rsidTr="005A1F48">
        <w:trPr>
          <w:trHeight w:val="740"/>
          <w:tblHeader/>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95CB5"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Fideicomiso</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6EC64BF7"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Fecha Firma Contrato</w:t>
            </w:r>
          </w:p>
        </w:tc>
        <w:tc>
          <w:tcPr>
            <w:tcW w:w="2197" w:type="dxa"/>
            <w:tcBorders>
              <w:top w:val="single" w:sz="4" w:space="0" w:color="auto"/>
              <w:left w:val="nil"/>
              <w:bottom w:val="single" w:sz="4" w:space="0" w:color="auto"/>
              <w:right w:val="single" w:sz="4" w:space="0" w:color="auto"/>
            </w:tcBorders>
            <w:shd w:val="clear" w:color="auto" w:fill="auto"/>
            <w:vAlign w:val="center"/>
            <w:hideMark/>
          </w:tcPr>
          <w:p w14:paraId="485D361F"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Vencimiento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AF2129D"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Monto de Capital Original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3C0D238"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Saldo de Capital</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74DAF98"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Beneficiarios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A5640CD" w14:textId="77777777" w:rsidR="00D87ABD" w:rsidRPr="00701F32" w:rsidRDefault="00D87ABD" w:rsidP="00C36F34">
            <w:pPr>
              <w:jc w:val="center"/>
              <w:rPr>
                <w:rFonts w:ascii="Arial" w:hAnsi="Arial" w:cs="Arial"/>
                <w:b/>
                <w:sz w:val="16"/>
                <w:szCs w:val="16"/>
              </w:rPr>
            </w:pPr>
            <w:r w:rsidRPr="00701F32">
              <w:rPr>
                <w:rFonts w:ascii="Arial" w:hAnsi="Arial" w:cs="Arial"/>
                <w:b/>
                <w:sz w:val="16"/>
                <w:szCs w:val="16"/>
              </w:rPr>
              <w:t>Fiduciante</w:t>
            </w:r>
          </w:p>
        </w:tc>
      </w:tr>
      <w:tr w:rsidR="00084EEA" w:rsidRPr="00701F32" w14:paraId="6C386EED" w14:textId="77777777" w:rsidTr="00BB5356">
        <w:trPr>
          <w:trHeight w:val="325"/>
        </w:trPr>
        <w:tc>
          <w:tcPr>
            <w:tcW w:w="1190" w:type="dxa"/>
            <w:tcBorders>
              <w:top w:val="single" w:sz="4" w:space="0" w:color="auto"/>
              <w:left w:val="single" w:sz="4" w:space="0" w:color="auto"/>
              <w:right w:val="single" w:sz="4" w:space="0" w:color="auto"/>
            </w:tcBorders>
            <w:shd w:val="clear" w:color="auto" w:fill="auto"/>
            <w:vAlign w:val="center"/>
          </w:tcPr>
          <w:p w14:paraId="74E5D110" w14:textId="1C2B746F" w:rsidR="00084EEA" w:rsidRPr="00701F32" w:rsidRDefault="00084EEA" w:rsidP="00084EEA">
            <w:pPr>
              <w:jc w:val="both"/>
              <w:rPr>
                <w:rFonts w:ascii="Arial" w:hAnsi="Arial" w:cs="Arial"/>
                <w:sz w:val="16"/>
                <w:szCs w:val="16"/>
              </w:rPr>
            </w:pPr>
            <w:r w:rsidRPr="00701F32">
              <w:rPr>
                <w:rFonts w:ascii="Arial" w:hAnsi="Arial" w:cs="Arial"/>
                <w:sz w:val="16"/>
                <w:szCs w:val="16"/>
              </w:rPr>
              <w:t>Credimas</w:t>
            </w:r>
          </w:p>
        </w:tc>
        <w:tc>
          <w:tcPr>
            <w:tcW w:w="941" w:type="dxa"/>
            <w:tcBorders>
              <w:top w:val="single" w:sz="4" w:space="0" w:color="auto"/>
              <w:left w:val="single" w:sz="4" w:space="0" w:color="auto"/>
              <w:right w:val="single" w:sz="4" w:space="0" w:color="auto"/>
            </w:tcBorders>
            <w:shd w:val="clear" w:color="auto" w:fill="auto"/>
            <w:vAlign w:val="center"/>
          </w:tcPr>
          <w:p w14:paraId="2F923A5D" w14:textId="4A1E7C46" w:rsidR="00084EEA" w:rsidRPr="00701F32" w:rsidRDefault="00084EEA" w:rsidP="00084EEA">
            <w:pPr>
              <w:jc w:val="both"/>
              <w:rPr>
                <w:rFonts w:ascii="Arial" w:hAnsi="Arial" w:cs="Arial"/>
                <w:sz w:val="16"/>
                <w:szCs w:val="16"/>
              </w:rPr>
            </w:pPr>
            <w:r w:rsidRPr="00701F32">
              <w:rPr>
                <w:rFonts w:ascii="Arial" w:hAnsi="Arial" w:cs="Arial"/>
                <w:sz w:val="16"/>
                <w:szCs w:val="16"/>
              </w:rPr>
              <w:t>11/01/2013</w:t>
            </w:r>
          </w:p>
        </w:tc>
        <w:tc>
          <w:tcPr>
            <w:tcW w:w="2197" w:type="dxa"/>
            <w:tcBorders>
              <w:top w:val="single" w:sz="4" w:space="0" w:color="auto"/>
              <w:left w:val="nil"/>
              <w:bottom w:val="single" w:sz="4" w:space="0" w:color="auto"/>
              <w:right w:val="single" w:sz="4" w:space="0" w:color="auto"/>
            </w:tcBorders>
            <w:shd w:val="clear" w:color="auto" w:fill="auto"/>
            <w:vAlign w:val="center"/>
          </w:tcPr>
          <w:p w14:paraId="17D5DCD3" w14:textId="0E925AE1" w:rsidR="00084EEA" w:rsidRPr="00701F32" w:rsidRDefault="00084EEA" w:rsidP="00084EEA">
            <w:pPr>
              <w:jc w:val="center"/>
              <w:rPr>
                <w:rFonts w:ascii="Arial" w:hAnsi="Arial" w:cs="Arial"/>
                <w:sz w:val="16"/>
                <w:szCs w:val="16"/>
                <w:lang w:val="es-ES_tradnl"/>
              </w:rPr>
            </w:pPr>
            <w:r>
              <w:rPr>
                <w:rFonts w:ascii="Arial" w:hAnsi="Arial" w:cs="Arial"/>
                <w:sz w:val="16"/>
                <w:szCs w:val="16"/>
                <w:lang w:val="es-ES_tradnl"/>
              </w:rPr>
              <w:t>Con fecha 21-06-2019 se llegó a un acuerdo de extinción</w:t>
            </w:r>
          </w:p>
        </w:tc>
        <w:tc>
          <w:tcPr>
            <w:tcW w:w="992" w:type="dxa"/>
            <w:tcBorders>
              <w:top w:val="single" w:sz="4" w:space="0" w:color="auto"/>
              <w:left w:val="nil"/>
              <w:bottom w:val="single" w:sz="4" w:space="0" w:color="auto"/>
              <w:right w:val="single" w:sz="4" w:space="0" w:color="auto"/>
            </w:tcBorders>
            <w:shd w:val="clear" w:color="auto" w:fill="auto"/>
            <w:vAlign w:val="center"/>
          </w:tcPr>
          <w:p w14:paraId="028558BB" w14:textId="1FB52E3A" w:rsidR="00084EEA" w:rsidRPr="00701F32" w:rsidRDefault="00084EEA" w:rsidP="00084EEA">
            <w:pPr>
              <w:jc w:val="center"/>
              <w:rPr>
                <w:rFonts w:ascii="Arial" w:hAnsi="Arial" w:cs="Arial"/>
                <w:sz w:val="16"/>
                <w:szCs w:val="16"/>
                <w:lang w:val="es-ES_tradnl"/>
              </w:rPr>
            </w:pPr>
            <w:r>
              <w:rPr>
                <w:rFonts w:ascii="Arial" w:hAnsi="Arial" w:cs="Arial"/>
                <w:sz w:val="16"/>
                <w:szCs w:val="16"/>
                <w:lang w:val="es-ES_tradnl"/>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50A9BBC0" w14:textId="04BB1B4D" w:rsidR="00084EEA" w:rsidRPr="00701F32" w:rsidRDefault="00084EEA" w:rsidP="00084EEA">
            <w:pPr>
              <w:jc w:val="center"/>
              <w:rPr>
                <w:rFonts w:ascii="Arial" w:hAnsi="Arial" w:cs="Arial"/>
                <w:sz w:val="16"/>
                <w:szCs w:val="16"/>
                <w:lang w:val="es-ES_tradnl"/>
              </w:rPr>
            </w:pPr>
            <w:r>
              <w:rPr>
                <w:rFonts w:ascii="Arial" w:hAnsi="Arial" w:cs="Arial"/>
                <w:sz w:val="16"/>
                <w:szCs w:val="16"/>
                <w:lang w:val="es-ES_tradnl"/>
              </w:rPr>
              <w:t>-</w:t>
            </w:r>
          </w:p>
        </w:tc>
        <w:tc>
          <w:tcPr>
            <w:tcW w:w="1417" w:type="dxa"/>
            <w:tcBorders>
              <w:top w:val="single" w:sz="4" w:space="0" w:color="auto"/>
              <w:left w:val="single" w:sz="4" w:space="0" w:color="auto"/>
              <w:right w:val="single" w:sz="4" w:space="0" w:color="auto"/>
            </w:tcBorders>
            <w:shd w:val="clear" w:color="auto" w:fill="auto"/>
            <w:vAlign w:val="center"/>
          </w:tcPr>
          <w:p w14:paraId="1A9488F9" w14:textId="0889E3B5" w:rsidR="00084EEA" w:rsidRPr="00701F32" w:rsidRDefault="00084EEA" w:rsidP="00084EEA">
            <w:pPr>
              <w:jc w:val="both"/>
              <w:rPr>
                <w:rFonts w:ascii="Arial" w:hAnsi="Arial" w:cs="Arial"/>
                <w:sz w:val="16"/>
                <w:szCs w:val="16"/>
              </w:rPr>
            </w:pPr>
            <w:r w:rsidRPr="00701F32">
              <w:rPr>
                <w:rFonts w:ascii="Arial" w:hAnsi="Arial" w:cs="Arial"/>
                <w:sz w:val="16"/>
                <w:szCs w:val="16"/>
              </w:rPr>
              <w:t>Banco Supervielle S.A.</w:t>
            </w:r>
          </w:p>
        </w:tc>
        <w:tc>
          <w:tcPr>
            <w:tcW w:w="1276" w:type="dxa"/>
            <w:tcBorders>
              <w:top w:val="single" w:sz="4" w:space="0" w:color="auto"/>
              <w:left w:val="single" w:sz="4" w:space="0" w:color="auto"/>
              <w:right w:val="single" w:sz="4" w:space="0" w:color="auto"/>
            </w:tcBorders>
            <w:shd w:val="clear" w:color="auto" w:fill="auto"/>
            <w:vAlign w:val="center"/>
          </w:tcPr>
          <w:p w14:paraId="4F57893B" w14:textId="0CC1FE7B" w:rsidR="00084EEA" w:rsidRPr="00701F32" w:rsidRDefault="00084EEA" w:rsidP="00084EEA">
            <w:pPr>
              <w:jc w:val="both"/>
              <w:rPr>
                <w:rFonts w:ascii="Arial" w:hAnsi="Arial" w:cs="Arial"/>
                <w:sz w:val="16"/>
                <w:szCs w:val="16"/>
              </w:rPr>
            </w:pPr>
            <w:r w:rsidRPr="00701F32">
              <w:rPr>
                <w:rFonts w:ascii="Arial" w:hAnsi="Arial" w:cs="Arial"/>
                <w:sz w:val="16"/>
                <w:szCs w:val="16"/>
              </w:rPr>
              <w:t>Credimas S.A.</w:t>
            </w:r>
          </w:p>
        </w:tc>
      </w:tr>
      <w:tr w:rsidR="00084EEA" w:rsidRPr="00701F32" w14:paraId="56F5E4C5" w14:textId="77777777" w:rsidTr="00C36F34">
        <w:trPr>
          <w:trHeight w:val="580"/>
        </w:trPr>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1F8DC829" w14:textId="2CF1425D" w:rsidR="00084EEA" w:rsidRPr="00701F32" w:rsidRDefault="00084EEA" w:rsidP="00084EEA">
            <w:pPr>
              <w:jc w:val="center"/>
              <w:rPr>
                <w:rFonts w:ascii="Arial" w:hAnsi="Arial" w:cs="Arial"/>
                <w:sz w:val="16"/>
                <w:szCs w:val="16"/>
              </w:rPr>
            </w:pPr>
            <w:r w:rsidRPr="00701F32">
              <w:rPr>
                <w:rFonts w:ascii="Arial" w:hAnsi="Arial" w:cs="Arial"/>
                <w:sz w:val="16"/>
                <w:szCs w:val="16"/>
              </w:rPr>
              <w:t>Fideicomiso de Administración Interconexión 500 KV ET Nueva San Juan - ET Rodeo Iglesia</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14:paraId="1D447D27" w14:textId="3E8BB8AF" w:rsidR="00084EEA" w:rsidRPr="00701F32" w:rsidRDefault="00084EEA" w:rsidP="00084EEA">
            <w:pPr>
              <w:jc w:val="center"/>
              <w:rPr>
                <w:rFonts w:ascii="Arial" w:hAnsi="Arial" w:cs="Arial"/>
                <w:sz w:val="16"/>
                <w:szCs w:val="16"/>
              </w:rPr>
            </w:pPr>
            <w:r w:rsidRPr="00701F32">
              <w:rPr>
                <w:rFonts w:ascii="Arial" w:hAnsi="Arial" w:cs="Arial"/>
                <w:sz w:val="16"/>
                <w:szCs w:val="16"/>
              </w:rPr>
              <w:t>12/09/2018</w:t>
            </w:r>
          </w:p>
        </w:tc>
        <w:tc>
          <w:tcPr>
            <w:tcW w:w="2197" w:type="dxa"/>
            <w:tcBorders>
              <w:top w:val="single" w:sz="4" w:space="0" w:color="auto"/>
              <w:left w:val="nil"/>
              <w:bottom w:val="single" w:sz="4" w:space="0" w:color="auto"/>
              <w:right w:val="single" w:sz="4" w:space="0" w:color="auto"/>
            </w:tcBorders>
            <w:shd w:val="clear" w:color="auto" w:fill="auto"/>
            <w:vAlign w:val="center"/>
          </w:tcPr>
          <w:p w14:paraId="6781F3BE" w14:textId="2EA4BD91" w:rsidR="00084EEA" w:rsidRPr="00701F32" w:rsidRDefault="00084EEA" w:rsidP="00084EEA">
            <w:pPr>
              <w:jc w:val="center"/>
              <w:rPr>
                <w:rFonts w:ascii="Arial" w:hAnsi="Arial" w:cs="Arial"/>
                <w:sz w:val="16"/>
                <w:szCs w:val="16"/>
                <w:lang w:val="es-ES_tradnl"/>
              </w:rPr>
            </w:pPr>
            <w:r>
              <w:rPr>
                <w:rFonts w:ascii="Arial" w:hAnsi="Arial" w:cs="Arial"/>
                <w:sz w:val="16"/>
                <w:szCs w:val="16"/>
              </w:rPr>
              <w:t xml:space="preserve">La duración de este Contrato de FIDEICOMISO será de 24 meses a contar  </w:t>
            </w:r>
            <w:r w:rsidRPr="00701F32">
              <w:rPr>
                <w:rFonts w:ascii="Arial" w:hAnsi="Arial" w:cs="Arial"/>
                <w:sz w:val="16"/>
                <w:szCs w:val="16"/>
              </w:rPr>
              <w:t>12/09/20</w:t>
            </w:r>
            <w:r>
              <w:rPr>
                <w:rFonts w:ascii="Arial" w:hAnsi="Arial" w:cs="Arial"/>
                <w:sz w:val="16"/>
                <w:szCs w:val="16"/>
              </w:rPr>
              <w:t>18</w:t>
            </w:r>
            <w:r w:rsidRPr="00701F32">
              <w:rPr>
                <w:rFonts w:ascii="Arial" w:hAnsi="Arial" w:cs="Arial"/>
                <w:sz w:val="16"/>
                <w:szCs w:val="16"/>
              </w:rPr>
              <w:t xml:space="preserve">, o hasta la extinción de las obligaciones de pago mediante Desembolsos (la “Fecha de Extinción”). </w:t>
            </w:r>
            <w:r w:rsidRPr="00CE31CA">
              <w:rPr>
                <w:rFonts w:ascii="Arial" w:hAnsi="Arial" w:cs="Arial"/>
                <w:sz w:val="16"/>
                <w:szCs w:val="16"/>
                <w:lang w:eastAsia="es-AR"/>
              </w:rPr>
              <w:t>Transcurridos 30 (treinta días ) días de la finalización del plazo del presente Contrato de FIDEICOMISO sin que las Partes hubieran acordado una Comisión de Prórroga, se dará por extinguido el FIDEICOMISO sin posibilidad de prórroga, percibiendo el FIDUCIARIO, de la Cuenta Fiduciaria, la suma de pesos equivalente a U$D 6.000 (dólares estadounidenses seis mil) al tipo de cambio comprador vigente en Banco Supervielle en concepto de penalidad</w:t>
            </w:r>
            <w:r>
              <w:rPr>
                <w:rFonts w:ascii="Century Gothic" w:hAnsi="Century Gothic" w:cs="Arial"/>
                <w:sz w:val="16"/>
                <w:szCs w:val="16"/>
                <w:lang w:eastAsia="es-AR"/>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7F70B129" w14:textId="01093C65" w:rsidR="00084EEA" w:rsidRPr="00701F32" w:rsidRDefault="00084EEA" w:rsidP="00084EEA">
            <w:pPr>
              <w:jc w:val="center"/>
              <w:rPr>
                <w:rFonts w:ascii="Arial" w:hAnsi="Arial" w:cs="Arial"/>
                <w:sz w:val="16"/>
                <w:szCs w:val="16"/>
                <w:lang w:val="es-ES_tradnl"/>
              </w:rPr>
            </w:pPr>
            <w:r w:rsidRPr="00701F32">
              <w:rPr>
                <w:rFonts w:ascii="Arial" w:hAnsi="Arial" w:cs="Arial"/>
                <w:sz w:val="16"/>
                <w:szCs w:val="16"/>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21497CBD" w14:textId="5A5EA490" w:rsidR="00084EEA" w:rsidRPr="00701F32" w:rsidRDefault="00084EEA" w:rsidP="00084EEA">
            <w:pPr>
              <w:jc w:val="center"/>
              <w:rPr>
                <w:rFonts w:ascii="Arial" w:hAnsi="Arial" w:cs="Arial"/>
                <w:sz w:val="16"/>
                <w:szCs w:val="16"/>
                <w:lang w:val="es-ES_tradnl"/>
              </w:rPr>
            </w:pPr>
            <w:r w:rsidRPr="00701F32">
              <w:rPr>
                <w:rFonts w:ascii="Arial" w:hAnsi="Arial"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432878" w14:textId="45BDE79A" w:rsidR="00084EEA" w:rsidRPr="00701F32" w:rsidRDefault="00084EEA" w:rsidP="00084EEA">
            <w:pPr>
              <w:jc w:val="center"/>
              <w:rPr>
                <w:rFonts w:ascii="Arial" w:hAnsi="Arial" w:cs="Arial"/>
                <w:sz w:val="16"/>
                <w:szCs w:val="16"/>
                <w:lang w:val="es-ES_tradnl"/>
              </w:rPr>
            </w:pPr>
            <w:r w:rsidRPr="00CE31CA">
              <w:rPr>
                <w:rFonts w:ascii="Arial" w:hAnsi="Arial" w:cs="Arial"/>
                <w:sz w:val="16"/>
                <w:szCs w:val="16"/>
                <w:lang w:eastAsia="es-AR"/>
              </w:rPr>
              <w:t>Los mencionados originalmente en el Anexo V (DISERVEL S.R.L., INGENIAS S.R.L, GEOTECNIA (INV. CALVENTE), NEWEN INGENIERIA S.A., INGICIAP S.A., MERCADOS ENERGETICOS, DISERVEL S.R.L.) y los proveedores de obras, bienes y servicios comprendidos en el Proyecto, a ser designados por el FIDUCIANTE con la previa conformidad del COMITENTE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7433D8" w14:textId="4393EE32" w:rsidR="00084EEA" w:rsidRPr="00701F32" w:rsidRDefault="00084EEA" w:rsidP="00084EEA">
            <w:pPr>
              <w:jc w:val="center"/>
              <w:rPr>
                <w:rFonts w:ascii="Arial" w:hAnsi="Arial" w:cs="Arial"/>
                <w:sz w:val="16"/>
                <w:szCs w:val="16"/>
              </w:rPr>
            </w:pPr>
            <w:r w:rsidRPr="00701F32">
              <w:rPr>
                <w:rFonts w:ascii="Arial" w:hAnsi="Arial" w:cs="Arial"/>
                <w:sz w:val="16"/>
                <w:szCs w:val="16"/>
              </w:rPr>
              <w:t>Interconexion Electrica Rodeo S.A.</w:t>
            </w:r>
          </w:p>
        </w:tc>
      </w:tr>
    </w:tbl>
    <w:p w14:paraId="337FC61B" w14:textId="77777777" w:rsidR="00D87ABD" w:rsidRPr="00701F32" w:rsidRDefault="00D87ABD" w:rsidP="00D87ABD">
      <w:pPr>
        <w:jc w:val="both"/>
        <w:rPr>
          <w:rFonts w:ascii="Arial" w:hAnsi="Arial" w:cs="Arial"/>
          <w:sz w:val="20"/>
        </w:rPr>
      </w:pPr>
    </w:p>
    <w:p w14:paraId="47DFBF6B" w14:textId="77777777" w:rsidR="00D87ABD" w:rsidRPr="00701F32" w:rsidRDefault="00D87ABD" w:rsidP="00D87ABD">
      <w:pPr>
        <w:jc w:val="both"/>
        <w:rPr>
          <w:rFonts w:ascii="Arial" w:hAnsi="Arial" w:cs="Arial"/>
          <w:sz w:val="20"/>
        </w:rPr>
      </w:pPr>
      <w:r w:rsidRPr="00701F32">
        <w:rPr>
          <w:rFonts w:ascii="Arial" w:hAnsi="Arial" w:cs="Arial"/>
          <w:sz w:val="20"/>
        </w:rPr>
        <w:t>Con motivo de la fusión con el ex Banco Regional de Cuyo S.A. efectuada el 1° de noviembre de 2010, la Entidad tomó a su cargo los siguientes fideicomisos en los cuales el ex Banco Regional de Cuyo S.A. actuaba como fiduciario:</w:t>
      </w:r>
    </w:p>
    <w:p w14:paraId="6DBF3BE4" w14:textId="77777777" w:rsidR="00D87ABD" w:rsidRPr="00701F32" w:rsidRDefault="00D87ABD" w:rsidP="00D87ABD">
      <w:pPr>
        <w:jc w:val="both"/>
        <w:rPr>
          <w:rFonts w:ascii="Arial" w:hAnsi="Arial" w:cs="Arial"/>
          <w:sz w:val="20"/>
          <w:u w:val="single"/>
        </w:rPr>
      </w:pPr>
    </w:p>
    <w:p w14:paraId="5C6999BB" w14:textId="2AC45022" w:rsidR="00D87ABD" w:rsidRPr="00701F32" w:rsidRDefault="00D87ABD" w:rsidP="00D87ABD">
      <w:pPr>
        <w:jc w:val="both"/>
        <w:rPr>
          <w:rFonts w:ascii="Arial" w:hAnsi="Arial" w:cs="Arial"/>
          <w:sz w:val="20"/>
        </w:rPr>
      </w:pPr>
      <w:r w:rsidRPr="00701F32">
        <w:rPr>
          <w:rFonts w:ascii="Arial" w:hAnsi="Arial" w:cs="Arial"/>
          <w:sz w:val="20"/>
          <w:u w:val="single"/>
        </w:rPr>
        <w:t>Fideicomiso Mendoza</w:t>
      </w:r>
      <w:r w:rsidRPr="00701F32">
        <w:rPr>
          <w:rFonts w:ascii="Arial" w:hAnsi="Arial" w:cs="Arial"/>
          <w:sz w:val="20"/>
        </w:rPr>
        <w:t xml:space="preserve">: Se encuentra en etapa de liquidación, toda vez que se ha cumplido el plazo contractual, aunque queda pendiente la realización de varios actos que derivan de la actividad fiduciaria. </w:t>
      </w:r>
      <w:r w:rsidR="00C57477" w:rsidRPr="00C57477">
        <w:rPr>
          <w:rFonts w:ascii="Arial" w:hAnsi="Arial" w:cs="Arial"/>
          <w:sz w:val="20"/>
        </w:rPr>
        <w:t>Los pasivos contabilizados al 30 Junio de 2019 (de acuerdo a la Certificación Literal del Estado de Situación Patrimonial Especial de Liquidación - Fecha de cierre al 30/06/19) , fundamentalmente originados en la exclusión de activos, ascienden a la suma de $ 21.018 miles y han sido respaldados con activos fideicomitidos (préstamos, otros créditos diversos, otros activos no financieros, etc.) por la suma de $ 646 miles, oportunamente se procederá a la liquidación del fideicomiso conforme a lo establecido la ley 24.441.</w:t>
      </w:r>
    </w:p>
    <w:p w14:paraId="5A3B772B" w14:textId="77777777" w:rsidR="00D87ABD" w:rsidRPr="00701F32" w:rsidRDefault="00D87ABD" w:rsidP="00D87ABD">
      <w:pPr>
        <w:jc w:val="both"/>
        <w:rPr>
          <w:rFonts w:ascii="Arial" w:hAnsi="Arial" w:cs="Arial"/>
          <w:sz w:val="20"/>
        </w:rPr>
      </w:pPr>
    </w:p>
    <w:p w14:paraId="36579D77" w14:textId="67A3B479" w:rsidR="00D87ABD" w:rsidRDefault="00D87ABD" w:rsidP="00D87ABD">
      <w:pPr>
        <w:jc w:val="both"/>
        <w:rPr>
          <w:rFonts w:ascii="Arial" w:hAnsi="Arial" w:cs="Arial"/>
          <w:sz w:val="20"/>
        </w:rPr>
      </w:pPr>
      <w:r w:rsidRPr="00701F32">
        <w:rPr>
          <w:rFonts w:ascii="Arial" w:hAnsi="Arial" w:cs="Arial"/>
          <w:sz w:val="20"/>
          <w:u w:val="single"/>
        </w:rPr>
        <w:t>Fideicomiso Luján</w:t>
      </w:r>
      <w:r w:rsidRPr="00701F32">
        <w:rPr>
          <w:rFonts w:ascii="Arial" w:hAnsi="Arial" w:cs="Arial"/>
          <w:sz w:val="20"/>
        </w:rPr>
        <w:t xml:space="preserve">: Se ha cumplido el plazo del contrato por lo que la Entidad ha procedido a la entrega de toda la documentación referente a la liquidación y se ha solicitado la baja definitiva en la Dirección General de Rentas en el impuesto sobre los ingresos brutos y como agente de retención de sellos e ingresos brutos, la cual fue resuelta favorablemente por la DGR. Igualmente se ha solicitado la baja definitiva ante AFIP. </w:t>
      </w:r>
      <w:r w:rsidR="00721980">
        <w:rPr>
          <w:rFonts w:ascii="Arial" w:hAnsi="Arial" w:cs="Arial"/>
          <w:sz w:val="20"/>
        </w:rPr>
        <w:t>Al 31 de julio de 2019 se ha recibido la constancia de baja por parte del mencionado ente.</w:t>
      </w:r>
    </w:p>
    <w:p w14:paraId="5A40A6D6" w14:textId="77777777" w:rsidR="00D87ABD" w:rsidRPr="00701F32" w:rsidRDefault="00D87ABD" w:rsidP="00D87ABD">
      <w:pPr>
        <w:jc w:val="both"/>
        <w:rPr>
          <w:rFonts w:ascii="Arial" w:hAnsi="Arial" w:cs="Arial"/>
          <w:sz w:val="20"/>
        </w:rPr>
      </w:pPr>
    </w:p>
    <w:p w14:paraId="16B53A28" w14:textId="4525862F" w:rsidR="00D87ABD" w:rsidRPr="00701F32" w:rsidRDefault="00D87ABD" w:rsidP="00D87ABD">
      <w:pPr>
        <w:tabs>
          <w:tab w:val="left" w:pos="142"/>
        </w:tabs>
        <w:autoSpaceDE w:val="0"/>
        <w:autoSpaceDN w:val="0"/>
        <w:adjustRightInd w:val="0"/>
        <w:jc w:val="both"/>
        <w:rPr>
          <w:rFonts w:ascii="Arial" w:hAnsi="Arial" w:cs="Arial"/>
          <w:b/>
          <w:sz w:val="20"/>
          <w:u w:val="single"/>
        </w:rPr>
      </w:pPr>
      <w:r w:rsidRPr="00701F32">
        <w:rPr>
          <w:rFonts w:ascii="Arial" w:hAnsi="Arial" w:cs="Arial"/>
          <w:b/>
          <w:sz w:val="20"/>
          <w:u w:val="single"/>
        </w:rPr>
        <w:t>Actuación como Fiduciante</w:t>
      </w:r>
    </w:p>
    <w:p w14:paraId="4184D564" w14:textId="77777777" w:rsidR="00D87ABD" w:rsidRPr="00701F32" w:rsidRDefault="00D87ABD" w:rsidP="00D87ABD">
      <w:pPr>
        <w:tabs>
          <w:tab w:val="left" w:pos="142"/>
        </w:tabs>
        <w:jc w:val="both"/>
        <w:rPr>
          <w:rFonts w:ascii="Arial" w:hAnsi="Arial" w:cs="Arial"/>
          <w:b/>
          <w:sz w:val="20"/>
        </w:rPr>
      </w:pPr>
    </w:p>
    <w:p w14:paraId="1FFB3466" w14:textId="77777777" w:rsidR="00D87ABD" w:rsidRPr="00701F32" w:rsidRDefault="00D87ABD" w:rsidP="00D87ABD">
      <w:pPr>
        <w:tabs>
          <w:tab w:val="left" w:pos="142"/>
        </w:tabs>
        <w:jc w:val="both"/>
        <w:rPr>
          <w:rFonts w:ascii="Arial" w:hAnsi="Arial" w:cs="Arial"/>
          <w:sz w:val="20"/>
        </w:rPr>
      </w:pPr>
      <w:r w:rsidRPr="00701F32">
        <w:rPr>
          <w:rFonts w:ascii="Arial" w:hAnsi="Arial" w:cs="Arial"/>
          <w:sz w:val="20"/>
        </w:rPr>
        <w:t>Se resume a continuación el detalle de los fideicomisos financieros:</w:t>
      </w:r>
    </w:p>
    <w:p w14:paraId="0315E315" w14:textId="77777777" w:rsidR="00D87ABD" w:rsidRPr="00701F32" w:rsidRDefault="00D87ABD" w:rsidP="00D87ABD">
      <w:pPr>
        <w:tabs>
          <w:tab w:val="left" w:pos="142"/>
        </w:tabs>
        <w:jc w:val="both"/>
        <w:rPr>
          <w:rFonts w:ascii="Arial" w:hAnsi="Arial" w:cs="Arial"/>
          <w:sz w:val="20"/>
        </w:rPr>
      </w:pPr>
    </w:p>
    <w:p w14:paraId="79B54EAE" w14:textId="61D9C7A1" w:rsidR="00D87ABD" w:rsidRPr="00701F32" w:rsidRDefault="00D87ABD" w:rsidP="00D87ABD">
      <w:pPr>
        <w:tabs>
          <w:tab w:val="left" w:pos="142"/>
        </w:tabs>
        <w:jc w:val="both"/>
        <w:rPr>
          <w:rFonts w:ascii="Arial" w:hAnsi="Arial" w:cs="Arial"/>
          <w:sz w:val="20"/>
        </w:rPr>
      </w:pPr>
      <w:r w:rsidRPr="00701F32">
        <w:rPr>
          <w:rFonts w:ascii="Arial" w:hAnsi="Arial" w:cs="Arial"/>
          <w:sz w:val="20"/>
        </w:rPr>
        <w:t>Fideicomisos financieros con oferta pública y cotización al 3</w:t>
      </w:r>
      <w:r w:rsidR="00CA4B7E">
        <w:rPr>
          <w:rFonts w:ascii="Arial" w:hAnsi="Arial" w:cs="Arial"/>
          <w:sz w:val="20"/>
        </w:rPr>
        <w:t>1</w:t>
      </w:r>
      <w:r w:rsidRPr="00701F32">
        <w:rPr>
          <w:rFonts w:ascii="Arial" w:hAnsi="Arial" w:cs="Arial"/>
          <w:sz w:val="20"/>
        </w:rPr>
        <w:t xml:space="preserve"> de </w:t>
      </w:r>
      <w:r w:rsidR="00CA4B7E">
        <w:rPr>
          <w:rFonts w:ascii="Arial" w:hAnsi="Arial" w:cs="Arial"/>
          <w:sz w:val="20"/>
        </w:rPr>
        <w:t>diciembre</w:t>
      </w:r>
      <w:r w:rsidR="00B81DD6">
        <w:rPr>
          <w:rFonts w:ascii="Arial" w:hAnsi="Arial" w:cs="Arial"/>
          <w:sz w:val="20"/>
        </w:rPr>
        <w:t xml:space="preserve"> </w:t>
      </w:r>
      <w:r w:rsidRPr="00701F32">
        <w:rPr>
          <w:rFonts w:ascii="Arial" w:hAnsi="Arial" w:cs="Arial"/>
          <w:sz w:val="20"/>
        </w:rPr>
        <w:t>de 201</w:t>
      </w:r>
      <w:r w:rsidR="000E1F15">
        <w:rPr>
          <w:rFonts w:ascii="Arial" w:hAnsi="Arial" w:cs="Arial"/>
          <w:sz w:val="20"/>
        </w:rPr>
        <w:t>9</w:t>
      </w:r>
      <w:r w:rsidRPr="00701F32">
        <w:rPr>
          <w:rFonts w:ascii="Arial" w:hAnsi="Arial" w:cs="Arial"/>
          <w:sz w:val="20"/>
        </w:rPr>
        <w:t xml:space="preserve">. </w:t>
      </w:r>
    </w:p>
    <w:p w14:paraId="05EB28EE" w14:textId="77777777" w:rsidR="008D7556" w:rsidRPr="00701F32" w:rsidRDefault="008D7556" w:rsidP="00D87ABD">
      <w:pPr>
        <w:tabs>
          <w:tab w:val="left" w:pos="142"/>
        </w:tabs>
        <w:jc w:val="both"/>
        <w:rPr>
          <w:rFonts w:ascii="Arial" w:hAnsi="Arial" w:cs="Arial"/>
          <w:sz w:val="20"/>
        </w:rPr>
      </w:pPr>
    </w:p>
    <w:p w14:paraId="3D8C480A" w14:textId="08C1240C" w:rsidR="002E2271" w:rsidRPr="00B81DD6" w:rsidRDefault="00D87ABD" w:rsidP="005A1F48">
      <w:pPr>
        <w:numPr>
          <w:ilvl w:val="0"/>
          <w:numId w:val="3"/>
        </w:numPr>
        <w:tabs>
          <w:tab w:val="left" w:pos="142"/>
        </w:tabs>
        <w:contextualSpacing/>
        <w:jc w:val="both"/>
        <w:rPr>
          <w:rFonts w:ascii="Arial" w:hAnsi="Arial" w:cs="Arial"/>
          <w:b/>
          <w:sz w:val="20"/>
          <w:lang w:eastAsia="es-AR"/>
        </w:rPr>
      </w:pPr>
      <w:r w:rsidRPr="00701F32">
        <w:rPr>
          <w:rFonts w:ascii="Arial" w:hAnsi="Arial" w:cs="Arial"/>
          <w:b/>
          <w:sz w:val="20"/>
          <w:lang w:eastAsia="es-AR"/>
        </w:rPr>
        <w:t>Fideicomiso Financiero Supervielle Créditos</w:t>
      </w:r>
    </w:p>
    <w:p w14:paraId="6C566892" w14:textId="77777777" w:rsidR="00D87ABD" w:rsidRPr="00701F32" w:rsidRDefault="00D87ABD" w:rsidP="00D87ABD">
      <w:pPr>
        <w:tabs>
          <w:tab w:val="left" w:pos="6990"/>
        </w:tabs>
        <w:jc w:val="both"/>
        <w:rPr>
          <w:rFonts w:ascii="Arial" w:hAnsi="Arial" w:cs="Arial"/>
          <w:b/>
          <w:sz w:val="20"/>
        </w:rPr>
      </w:pPr>
      <w:r w:rsidRPr="00701F32">
        <w:rPr>
          <w:rFonts w:ascii="Arial" w:hAnsi="Arial" w:cs="Arial"/>
          <w:b/>
          <w:sz w:val="20"/>
        </w:rPr>
        <w:tab/>
      </w:r>
    </w:p>
    <w:p w14:paraId="49F6922A" w14:textId="77777777" w:rsidR="00D87ABD" w:rsidRPr="00701F32" w:rsidRDefault="00D87ABD" w:rsidP="00D87ABD">
      <w:pPr>
        <w:tabs>
          <w:tab w:val="left" w:pos="142"/>
        </w:tabs>
        <w:jc w:val="both"/>
        <w:rPr>
          <w:rFonts w:ascii="Arial" w:hAnsi="Arial" w:cs="Arial"/>
          <w:sz w:val="20"/>
        </w:rPr>
      </w:pPr>
      <w:r w:rsidRPr="00701F32">
        <w:rPr>
          <w:rFonts w:ascii="Arial" w:hAnsi="Arial" w:cs="Arial"/>
          <w:sz w:val="20"/>
          <w:u w:val="single"/>
        </w:rPr>
        <w:t>Activos Fideicomitidos</w:t>
      </w:r>
      <w:r w:rsidRPr="00701F32">
        <w:rPr>
          <w:rFonts w:ascii="Arial" w:hAnsi="Arial" w:cs="Arial"/>
          <w:sz w:val="20"/>
        </w:rPr>
        <w:t xml:space="preserve">: Préstamos Personales </w:t>
      </w:r>
    </w:p>
    <w:p w14:paraId="1352291B" w14:textId="77777777" w:rsidR="00D87ABD" w:rsidRPr="00701F32" w:rsidRDefault="00D87ABD" w:rsidP="00D87ABD">
      <w:pPr>
        <w:tabs>
          <w:tab w:val="left" w:pos="142"/>
        </w:tabs>
        <w:jc w:val="both"/>
        <w:rPr>
          <w:rFonts w:ascii="Arial" w:hAnsi="Arial" w:cs="Arial"/>
          <w:sz w:val="20"/>
        </w:rPr>
      </w:pPr>
      <w:r w:rsidRPr="00701F32">
        <w:rPr>
          <w:rFonts w:ascii="Arial" w:hAnsi="Arial" w:cs="Arial"/>
          <w:sz w:val="20"/>
          <w:u w:val="single"/>
        </w:rPr>
        <w:t>Fiduciario:</w:t>
      </w:r>
      <w:r w:rsidRPr="00701F32">
        <w:rPr>
          <w:rFonts w:ascii="Arial" w:hAnsi="Arial" w:cs="Arial"/>
          <w:sz w:val="20"/>
        </w:rPr>
        <w:t xml:space="preserve"> TMF Trust Company (Argentina) S.A.</w:t>
      </w:r>
    </w:p>
    <w:p w14:paraId="5E007D09" w14:textId="77777777" w:rsidR="00D87ABD" w:rsidRPr="00701F32" w:rsidRDefault="00D87ABD" w:rsidP="00D87ABD">
      <w:pPr>
        <w:jc w:val="both"/>
        <w:rPr>
          <w:rFonts w:ascii="Arial" w:hAnsi="Arial" w:cs="Arial"/>
          <w:sz w:val="20"/>
        </w:rPr>
      </w:pPr>
    </w:p>
    <w:tbl>
      <w:tblPr>
        <w:tblW w:w="6000" w:type="dxa"/>
        <w:jc w:val="center"/>
        <w:tblCellMar>
          <w:left w:w="70" w:type="dxa"/>
          <w:right w:w="70" w:type="dxa"/>
        </w:tblCellMar>
        <w:tblLook w:val="04A0" w:firstRow="1" w:lastRow="0" w:firstColumn="1" w:lastColumn="0" w:noHBand="0" w:noVBand="1"/>
      </w:tblPr>
      <w:tblGrid>
        <w:gridCol w:w="809"/>
        <w:gridCol w:w="1154"/>
        <w:gridCol w:w="1495"/>
        <w:gridCol w:w="1593"/>
        <w:gridCol w:w="949"/>
      </w:tblGrid>
      <w:tr w:rsidR="00D87ABD" w:rsidRPr="00701F32" w14:paraId="64D0B79B" w14:textId="77777777" w:rsidTr="00E97E6A">
        <w:trPr>
          <w:trHeight w:val="420"/>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559EDE" w14:textId="77777777" w:rsidR="00D87ABD" w:rsidRPr="00701F32" w:rsidRDefault="00D87ABD" w:rsidP="00C36F34">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Serie</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BC8397" w14:textId="77777777" w:rsidR="00D87ABD" w:rsidRPr="00701F32" w:rsidRDefault="00D87ABD" w:rsidP="00C36F34">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Fecha de Emisión</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71102A2" w14:textId="77777777" w:rsidR="00D87ABD" w:rsidRPr="00701F32" w:rsidRDefault="00D87ABD" w:rsidP="00C36F34">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Valor fideicomitido inicial</w:t>
            </w:r>
          </w:p>
        </w:tc>
        <w:tc>
          <w:tcPr>
            <w:tcW w:w="0" w:type="auto"/>
            <w:gridSpan w:val="2"/>
            <w:tcBorders>
              <w:top w:val="single" w:sz="8" w:space="0" w:color="auto"/>
              <w:left w:val="nil"/>
              <w:bottom w:val="single" w:sz="8" w:space="0" w:color="auto"/>
              <w:right w:val="single" w:sz="8" w:space="0" w:color="000000"/>
            </w:tcBorders>
            <w:shd w:val="clear" w:color="auto" w:fill="auto"/>
            <w:vAlign w:val="center"/>
            <w:hideMark/>
          </w:tcPr>
          <w:p w14:paraId="429EE555" w14:textId="77777777" w:rsidR="00D87ABD" w:rsidRPr="00701F32" w:rsidRDefault="00D87ABD" w:rsidP="00C36F34">
            <w:pPr>
              <w:jc w:val="center"/>
              <w:rPr>
                <w:rFonts w:ascii="Arial" w:hAnsi="Arial" w:cs="Arial"/>
                <w:b/>
                <w:bCs/>
                <w:color w:val="000000"/>
                <w:sz w:val="16"/>
                <w:szCs w:val="16"/>
                <w:lang w:eastAsia="es-AR"/>
              </w:rPr>
            </w:pPr>
            <w:r w:rsidRPr="00701F32">
              <w:rPr>
                <w:rFonts w:ascii="Arial" w:hAnsi="Arial" w:cs="Arial"/>
                <w:b/>
                <w:bCs/>
                <w:color w:val="000000"/>
                <w:sz w:val="16"/>
                <w:szCs w:val="16"/>
                <w:lang w:eastAsia="es-AR"/>
              </w:rPr>
              <w:t>Títulos Emitidos</w:t>
            </w:r>
          </w:p>
        </w:tc>
      </w:tr>
      <w:tr w:rsidR="00D87ABD" w:rsidRPr="00701F32" w14:paraId="2AA6A815" w14:textId="77777777" w:rsidTr="00E97E6A">
        <w:trPr>
          <w:trHeight w:val="307"/>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620AB52" w14:textId="77777777" w:rsidR="00D87ABD" w:rsidRPr="00701F32" w:rsidRDefault="00D87ABD" w:rsidP="00C36F34">
            <w:pPr>
              <w:rPr>
                <w:rFonts w:ascii="Arial" w:hAnsi="Arial" w:cs="Arial"/>
                <w:b/>
                <w:bCs/>
                <w:color w:val="000000"/>
                <w:sz w:val="16"/>
                <w:szCs w:val="16"/>
                <w:lang w:eastAsia="es-AR"/>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E5945DA" w14:textId="77777777" w:rsidR="00D87ABD" w:rsidRPr="00701F32" w:rsidRDefault="00D87ABD" w:rsidP="00C36F34">
            <w:pPr>
              <w:rPr>
                <w:rFonts w:ascii="Arial" w:hAnsi="Arial" w:cs="Arial"/>
                <w:b/>
                <w:bCs/>
                <w:color w:val="000000"/>
                <w:sz w:val="16"/>
                <w:szCs w:val="16"/>
                <w:lang w:eastAsia="es-AR"/>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1D98699" w14:textId="77777777" w:rsidR="00D87ABD" w:rsidRPr="00701F32" w:rsidRDefault="00D87ABD" w:rsidP="00C36F34">
            <w:pPr>
              <w:rPr>
                <w:rFonts w:ascii="Arial" w:hAnsi="Arial" w:cs="Arial"/>
                <w:b/>
                <w:bCs/>
                <w:color w:val="000000"/>
                <w:sz w:val="16"/>
                <w:szCs w:val="16"/>
                <w:lang w:eastAsia="es-AR"/>
              </w:rPr>
            </w:pPr>
          </w:p>
        </w:tc>
        <w:tc>
          <w:tcPr>
            <w:tcW w:w="0" w:type="auto"/>
            <w:tcBorders>
              <w:top w:val="nil"/>
              <w:left w:val="nil"/>
              <w:bottom w:val="single" w:sz="8" w:space="0" w:color="auto"/>
              <w:right w:val="single" w:sz="8" w:space="0" w:color="auto"/>
            </w:tcBorders>
            <w:shd w:val="clear" w:color="auto" w:fill="auto"/>
            <w:vAlign w:val="center"/>
            <w:hideMark/>
          </w:tcPr>
          <w:p w14:paraId="710D8394" w14:textId="77777777" w:rsidR="00D87ABD" w:rsidRPr="00701F32" w:rsidRDefault="00D87ABD" w:rsidP="00C36F34">
            <w:pPr>
              <w:jc w:val="center"/>
              <w:rPr>
                <w:rFonts w:ascii="Arial" w:hAnsi="Arial" w:cs="Arial"/>
                <w:b/>
                <w:color w:val="000000"/>
                <w:sz w:val="16"/>
                <w:szCs w:val="16"/>
                <w:lang w:eastAsia="es-AR"/>
              </w:rPr>
            </w:pPr>
            <w:r w:rsidRPr="00701F32">
              <w:rPr>
                <w:rFonts w:ascii="Arial" w:hAnsi="Arial" w:cs="Arial"/>
                <w:b/>
                <w:color w:val="000000"/>
                <w:sz w:val="16"/>
                <w:szCs w:val="16"/>
                <w:lang w:eastAsia="es-AR"/>
              </w:rPr>
              <w:t>Certificados de participación</w:t>
            </w:r>
          </w:p>
        </w:tc>
        <w:tc>
          <w:tcPr>
            <w:tcW w:w="0" w:type="auto"/>
            <w:tcBorders>
              <w:top w:val="nil"/>
              <w:left w:val="nil"/>
              <w:bottom w:val="single" w:sz="8" w:space="0" w:color="auto"/>
              <w:right w:val="single" w:sz="8" w:space="0" w:color="auto"/>
            </w:tcBorders>
            <w:shd w:val="clear" w:color="auto" w:fill="auto"/>
            <w:vAlign w:val="center"/>
            <w:hideMark/>
          </w:tcPr>
          <w:p w14:paraId="2E7DC977" w14:textId="77777777" w:rsidR="00D87ABD" w:rsidRPr="00701F32" w:rsidRDefault="00D87ABD" w:rsidP="00C36F34">
            <w:pPr>
              <w:jc w:val="center"/>
              <w:rPr>
                <w:rFonts w:ascii="Arial" w:hAnsi="Arial" w:cs="Arial"/>
                <w:b/>
                <w:color w:val="000000"/>
                <w:sz w:val="16"/>
                <w:szCs w:val="16"/>
                <w:lang w:eastAsia="es-AR"/>
              </w:rPr>
            </w:pPr>
            <w:r w:rsidRPr="00701F32">
              <w:rPr>
                <w:rFonts w:ascii="Arial" w:hAnsi="Arial" w:cs="Arial"/>
                <w:b/>
                <w:color w:val="000000"/>
                <w:sz w:val="16"/>
                <w:szCs w:val="16"/>
                <w:lang w:eastAsia="es-AR"/>
              </w:rPr>
              <w:t>Títulos de deuda</w:t>
            </w:r>
          </w:p>
        </w:tc>
      </w:tr>
      <w:tr w:rsidR="00FD0151" w:rsidRPr="00701F32" w14:paraId="34BCF2C2" w14:textId="77777777" w:rsidTr="00FD0151">
        <w:trPr>
          <w:trHeight w:val="465"/>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C626D43" w14:textId="4E61E08A" w:rsidR="00FD0151" w:rsidRPr="00AB3DEA" w:rsidRDefault="00FD0151" w:rsidP="00627B73">
            <w:pPr>
              <w:jc w:val="center"/>
              <w:rPr>
                <w:rFonts w:ascii="Arial" w:hAnsi="Arial" w:cs="Arial"/>
                <w:color w:val="000000"/>
                <w:sz w:val="16"/>
                <w:szCs w:val="16"/>
                <w:lang w:eastAsia="es-AR"/>
              </w:rPr>
            </w:pPr>
            <w:r w:rsidRPr="00AB3DEA">
              <w:rPr>
                <w:rFonts w:ascii="Arial" w:hAnsi="Arial" w:cs="Arial"/>
                <w:color w:val="000000"/>
                <w:sz w:val="16"/>
                <w:szCs w:val="16"/>
              </w:rPr>
              <w:t>Serie 9</w:t>
            </w:r>
            <w:r>
              <w:rPr>
                <w:rFonts w:ascii="Arial" w:hAnsi="Arial" w:cs="Arial"/>
                <w:color w:val="000000"/>
                <w:sz w:val="16"/>
                <w:szCs w:val="16"/>
              </w:rPr>
              <w:t>7</w:t>
            </w:r>
            <w:r w:rsidRPr="00AB3DEA">
              <w:rPr>
                <w:rFonts w:ascii="Arial" w:hAnsi="Arial" w:cs="Arial"/>
                <w:color w:val="000000"/>
                <w:sz w:val="16"/>
                <w:szCs w:val="16"/>
              </w:rPr>
              <w:t xml:space="preserve"> (1), (2)</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70673F6" w14:textId="60468EBC" w:rsidR="00FD0151" w:rsidRPr="00AB3DEA" w:rsidRDefault="00FD0151" w:rsidP="00627B73">
            <w:pPr>
              <w:jc w:val="center"/>
              <w:rPr>
                <w:rFonts w:ascii="Arial" w:hAnsi="Arial" w:cs="Arial"/>
                <w:color w:val="000000"/>
                <w:sz w:val="16"/>
                <w:szCs w:val="16"/>
                <w:lang w:eastAsia="es-AR"/>
              </w:rPr>
            </w:pPr>
            <w:r>
              <w:rPr>
                <w:rFonts w:ascii="Arial" w:hAnsi="Arial" w:cs="Arial"/>
                <w:color w:val="000000"/>
                <w:sz w:val="16"/>
                <w:szCs w:val="16"/>
              </w:rPr>
              <w:t>27/03/2018</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D9B8F4A" w14:textId="345FEB1D" w:rsidR="00FD0151" w:rsidRPr="00AB3DEA" w:rsidRDefault="00FD0151" w:rsidP="00627B73">
            <w:pPr>
              <w:jc w:val="center"/>
              <w:rPr>
                <w:rFonts w:ascii="Arial" w:hAnsi="Arial" w:cs="Arial"/>
                <w:color w:val="000000"/>
                <w:sz w:val="16"/>
                <w:szCs w:val="16"/>
                <w:lang w:eastAsia="es-AR"/>
              </w:rPr>
            </w:pPr>
            <w:r>
              <w:rPr>
                <w:rFonts w:ascii="Arial" w:hAnsi="Arial" w:cs="Arial"/>
                <w:color w:val="000000"/>
                <w:sz w:val="16"/>
                <w:szCs w:val="16"/>
              </w:rPr>
              <w:t>750.000</w:t>
            </w:r>
          </w:p>
        </w:tc>
        <w:tc>
          <w:tcPr>
            <w:tcW w:w="0" w:type="auto"/>
            <w:tcBorders>
              <w:top w:val="single" w:sz="8" w:space="0" w:color="auto"/>
              <w:left w:val="nil"/>
              <w:bottom w:val="single" w:sz="8" w:space="0" w:color="auto"/>
              <w:right w:val="single" w:sz="8" w:space="0" w:color="auto"/>
            </w:tcBorders>
            <w:shd w:val="clear" w:color="auto" w:fill="auto"/>
            <w:vAlign w:val="center"/>
          </w:tcPr>
          <w:p w14:paraId="63D4EB83" w14:textId="42EDFD8A" w:rsidR="00FD0151" w:rsidRPr="000E1F15" w:rsidRDefault="00FD0151">
            <w:pPr>
              <w:jc w:val="right"/>
              <w:rPr>
                <w:rFonts w:ascii="Arial" w:hAnsi="Arial" w:cs="Arial"/>
                <w:color w:val="000000"/>
                <w:sz w:val="16"/>
                <w:szCs w:val="16"/>
                <w:lang w:eastAsia="es-AR"/>
              </w:rPr>
            </w:pPr>
            <w:r w:rsidRPr="00534414">
              <w:rPr>
                <w:rFonts w:ascii="Arial" w:hAnsi="Arial" w:cs="Arial"/>
                <w:sz w:val="16"/>
                <w:szCs w:val="16"/>
              </w:rPr>
              <w:t>-</w:t>
            </w:r>
          </w:p>
        </w:tc>
        <w:tc>
          <w:tcPr>
            <w:tcW w:w="0" w:type="auto"/>
            <w:tcBorders>
              <w:top w:val="single" w:sz="8" w:space="0" w:color="auto"/>
              <w:left w:val="nil"/>
              <w:bottom w:val="single" w:sz="8" w:space="0" w:color="auto"/>
              <w:right w:val="single" w:sz="8" w:space="0" w:color="auto"/>
            </w:tcBorders>
            <w:shd w:val="clear" w:color="auto" w:fill="auto"/>
            <w:vAlign w:val="center"/>
          </w:tcPr>
          <w:p w14:paraId="7A5BF46D" w14:textId="3E25AF81" w:rsidR="00FD0151" w:rsidRPr="000E1F15" w:rsidRDefault="001A0EFE">
            <w:pPr>
              <w:jc w:val="right"/>
              <w:rPr>
                <w:rFonts w:ascii="Arial" w:hAnsi="Arial" w:cs="Arial"/>
                <w:color w:val="000000"/>
                <w:sz w:val="16"/>
                <w:szCs w:val="16"/>
                <w:lang w:eastAsia="es-AR"/>
              </w:rPr>
            </w:pPr>
            <w:r>
              <w:rPr>
                <w:rFonts w:ascii="Arial" w:hAnsi="Arial" w:cs="Arial"/>
                <w:sz w:val="16"/>
                <w:szCs w:val="16"/>
              </w:rPr>
              <w:t>-</w:t>
            </w:r>
          </w:p>
        </w:tc>
      </w:tr>
    </w:tbl>
    <w:p w14:paraId="255A2F9B" w14:textId="77777777" w:rsidR="00D87ABD" w:rsidRDefault="00D87ABD" w:rsidP="00D87ABD">
      <w:pPr>
        <w:tabs>
          <w:tab w:val="left" w:pos="142"/>
          <w:tab w:val="left" w:pos="9923"/>
        </w:tabs>
        <w:spacing w:after="200" w:line="276" w:lineRule="auto"/>
        <w:contextualSpacing/>
        <w:jc w:val="both"/>
        <w:rPr>
          <w:rFonts w:ascii="Arial" w:hAnsi="Arial" w:cs="Arial"/>
          <w:b/>
          <w:sz w:val="20"/>
        </w:rPr>
      </w:pPr>
    </w:p>
    <w:p w14:paraId="0FE12248" w14:textId="5CFF342E" w:rsidR="00D87ABD" w:rsidRPr="002229F3" w:rsidRDefault="00D87ABD" w:rsidP="00D87ABD">
      <w:pPr>
        <w:tabs>
          <w:tab w:val="left" w:pos="142"/>
        </w:tabs>
        <w:jc w:val="both"/>
        <w:rPr>
          <w:rFonts w:ascii="Arial" w:hAnsi="Arial" w:cs="Arial"/>
          <w:sz w:val="18"/>
        </w:rPr>
      </w:pPr>
      <w:r w:rsidRPr="002229F3">
        <w:rPr>
          <w:rFonts w:ascii="Arial" w:hAnsi="Arial" w:cs="Arial"/>
          <w:sz w:val="18"/>
        </w:rPr>
        <w:t>(</w:t>
      </w:r>
      <w:r>
        <w:rPr>
          <w:rFonts w:ascii="Arial" w:hAnsi="Arial" w:cs="Arial"/>
          <w:sz w:val="18"/>
        </w:rPr>
        <w:t>1</w:t>
      </w:r>
      <w:r w:rsidRPr="002229F3">
        <w:rPr>
          <w:rFonts w:ascii="Arial" w:hAnsi="Arial" w:cs="Arial"/>
          <w:sz w:val="18"/>
        </w:rPr>
        <w:t>) Emitido bajo el p</w:t>
      </w:r>
      <w:r>
        <w:rPr>
          <w:rFonts w:ascii="Arial" w:hAnsi="Arial" w:cs="Arial"/>
          <w:sz w:val="18"/>
        </w:rPr>
        <w:t>rograma Supervielle Confiance 4</w:t>
      </w:r>
      <w:r w:rsidR="00B154F6">
        <w:rPr>
          <w:rFonts w:ascii="Arial" w:hAnsi="Arial" w:cs="Arial"/>
          <w:sz w:val="18"/>
        </w:rPr>
        <w:t>.</w:t>
      </w:r>
    </w:p>
    <w:p w14:paraId="4AECD6E2" w14:textId="77777777" w:rsidR="00D87ABD" w:rsidRDefault="00D87ABD" w:rsidP="00D87ABD">
      <w:pPr>
        <w:tabs>
          <w:tab w:val="left" w:pos="142"/>
        </w:tabs>
        <w:jc w:val="both"/>
        <w:rPr>
          <w:rFonts w:ascii="Arial" w:hAnsi="Arial" w:cs="Arial"/>
          <w:sz w:val="18"/>
        </w:rPr>
      </w:pPr>
      <w:r>
        <w:rPr>
          <w:rFonts w:ascii="Arial" w:hAnsi="Arial" w:cs="Arial"/>
          <w:sz w:val="18"/>
        </w:rPr>
        <w:t xml:space="preserve">(2) </w:t>
      </w:r>
      <w:r w:rsidRPr="002229F3">
        <w:rPr>
          <w:rFonts w:ascii="Arial" w:hAnsi="Arial" w:cs="Arial"/>
          <w:sz w:val="18"/>
        </w:rPr>
        <w:t>Créditos Personales originados por Banco Supervielle otorgados</w:t>
      </w:r>
      <w:r>
        <w:rPr>
          <w:rFonts w:ascii="Arial" w:hAnsi="Arial" w:cs="Arial"/>
          <w:sz w:val="18"/>
        </w:rPr>
        <w:t xml:space="preserve"> a</w:t>
      </w:r>
      <w:r w:rsidRPr="002229F3">
        <w:rPr>
          <w:rFonts w:ascii="Arial" w:hAnsi="Arial" w:cs="Arial"/>
          <w:sz w:val="18"/>
        </w:rPr>
        <w:t xml:space="preserve"> jubilados</w:t>
      </w:r>
      <w:r>
        <w:rPr>
          <w:rFonts w:ascii="Arial" w:hAnsi="Arial" w:cs="Arial"/>
          <w:sz w:val="18"/>
        </w:rPr>
        <w:t xml:space="preserve"> y pensionados de ANSES.</w:t>
      </w:r>
    </w:p>
    <w:p w14:paraId="12362522" w14:textId="77777777" w:rsidR="00FD0151" w:rsidRDefault="00FD0151" w:rsidP="00656E62">
      <w:pPr>
        <w:tabs>
          <w:tab w:val="left" w:pos="142"/>
          <w:tab w:val="left" w:pos="9923"/>
        </w:tabs>
        <w:spacing w:after="200" w:line="276" w:lineRule="auto"/>
        <w:contextualSpacing/>
        <w:jc w:val="both"/>
        <w:rPr>
          <w:rFonts w:ascii="Arial" w:hAnsi="Arial" w:cs="Arial"/>
          <w:b/>
          <w:sz w:val="20"/>
        </w:rPr>
      </w:pPr>
    </w:p>
    <w:p w14:paraId="2840C1F6" w14:textId="4167B1E5" w:rsidR="00656E62" w:rsidRPr="00701F32" w:rsidRDefault="00CA4B7E" w:rsidP="00656E62">
      <w:pPr>
        <w:tabs>
          <w:tab w:val="left" w:pos="142"/>
          <w:tab w:val="left" w:pos="9923"/>
        </w:tabs>
        <w:spacing w:after="200" w:line="276" w:lineRule="auto"/>
        <w:contextualSpacing/>
        <w:jc w:val="both"/>
        <w:rPr>
          <w:rFonts w:ascii="Arial" w:hAnsi="Arial" w:cs="Arial"/>
          <w:b/>
          <w:sz w:val="20"/>
        </w:rPr>
      </w:pPr>
      <w:r>
        <w:rPr>
          <w:rFonts w:ascii="Arial" w:hAnsi="Arial" w:cs="Arial"/>
          <w:b/>
          <w:sz w:val="20"/>
        </w:rPr>
        <w:t>14</w:t>
      </w:r>
      <w:r w:rsidR="00656E62" w:rsidRPr="00701F32">
        <w:rPr>
          <w:rFonts w:ascii="Arial" w:hAnsi="Arial" w:cs="Arial"/>
          <w:b/>
          <w:sz w:val="20"/>
        </w:rPr>
        <w:t>.5 Cumplimiento de disposiciones requeridas por la Comisión Nacional de Valores</w:t>
      </w:r>
    </w:p>
    <w:p w14:paraId="64F2B444" w14:textId="77777777" w:rsidR="00893B68" w:rsidRPr="00701F32" w:rsidRDefault="00893B68" w:rsidP="00656E62">
      <w:pPr>
        <w:tabs>
          <w:tab w:val="left" w:pos="142"/>
          <w:tab w:val="left" w:pos="9923"/>
        </w:tabs>
        <w:spacing w:after="200" w:line="276" w:lineRule="auto"/>
        <w:contextualSpacing/>
        <w:jc w:val="both"/>
        <w:rPr>
          <w:rFonts w:ascii="Arial" w:hAnsi="Arial" w:cs="Arial"/>
          <w:b/>
          <w:sz w:val="20"/>
        </w:rPr>
      </w:pPr>
    </w:p>
    <w:p w14:paraId="44A8B22D" w14:textId="46DFF7DA" w:rsidR="00656E62" w:rsidRPr="00701F32" w:rsidRDefault="00CA4B7E" w:rsidP="00656E62">
      <w:pPr>
        <w:tabs>
          <w:tab w:val="left" w:pos="142"/>
          <w:tab w:val="left" w:pos="9923"/>
        </w:tabs>
        <w:spacing w:after="200" w:line="276" w:lineRule="auto"/>
        <w:contextualSpacing/>
        <w:jc w:val="both"/>
        <w:rPr>
          <w:rFonts w:ascii="Arial" w:hAnsi="Arial" w:cs="Arial"/>
          <w:sz w:val="20"/>
        </w:rPr>
      </w:pPr>
      <w:r>
        <w:rPr>
          <w:rFonts w:ascii="Arial" w:hAnsi="Arial" w:cs="Arial"/>
          <w:b/>
          <w:sz w:val="20"/>
        </w:rPr>
        <w:t>14</w:t>
      </w:r>
      <w:r w:rsidR="00656E62" w:rsidRPr="00701F32">
        <w:rPr>
          <w:rFonts w:ascii="Arial" w:hAnsi="Arial" w:cs="Arial"/>
          <w:b/>
          <w:sz w:val="20"/>
        </w:rPr>
        <w:t>.5.1 Disposiciones para operar como agente de mercado abierto</w:t>
      </w:r>
    </w:p>
    <w:p w14:paraId="16C84F01" w14:textId="77777777" w:rsidR="00656E62" w:rsidRPr="00701F32" w:rsidRDefault="00656E62" w:rsidP="00656E62">
      <w:pPr>
        <w:tabs>
          <w:tab w:val="left" w:pos="142"/>
          <w:tab w:val="left" w:pos="9923"/>
        </w:tabs>
        <w:spacing w:after="200" w:line="276" w:lineRule="auto"/>
        <w:contextualSpacing/>
        <w:jc w:val="both"/>
        <w:rPr>
          <w:rFonts w:ascii="Arial" w:hAnsi="Arial" w:cs="Arial"/>
          <w:sz w:val="20"/>
        </w:rPr>
      </w:pPr>
    </w:p>
    <w:p w14:paraId="5C013E8D" w14:textId="47099ECE" w:rsidR="00DE221E" w:rsidRPr="00701F32" w:rsidRDefault="00DE221E" w:rsidP="00DE221E">
      <w:pPr>
        <w:tabs>
          <w:tab w:val="left" w:pos="142"/>
        </w:tabs>
        <w:jc w:val="both"/>
        <w:rPr>
          <w:rFonts w:ascii="Arial" w:hAnsi="Arial" w:cs="Arial"/>
          <w:sz w:val="20"/>
        </w:rPr>
      </w:pPr>
      <w:r w:rsidRPr="00701F32">
        <w:rPr>
          <w:rFonts w:ascii="Arial" w:hAnsi="Arial" w:cs="Arial"/>
          <w:sz w:val="20"/>
        </w:rPr>
        <w:t>Considerando la operatoria que actualmente realiza la Entidad, y conforme a las diferentes categorías de agentes que establece la Resolución General N° 622</w:t>
      </w:r>
      <w:r w:rsidR="00B154F6">
        <w:rPr>
          <w:rFonts w:ascii="Arial" w:hAnsi="Arial" w:cs="Arial"/>
          <w:sz w:val="20"/>
        </w:rPr>
        <w:t>/13</w:t>
      </w:r>
      <w:r w:rsidRPr="00701F32">
        <w:rPr>
          <w:rFonts w:ascii="Arial" w:hAnsi="Arial" w:cs="Arial"/>
          <w:sz w:val="20"/>
        </w:rPr>
        <w:t xml:space="preserve"> de la Comisión Nacional de</w:t>
      </w:r>
      <w:r w:rsidR="00B154F6">
        <w:rPr>
          <w:rFonts w:ascii="Arial" w:hAnsi="Arial" w:cs="Arial"/>
          <w:sz w:val="20"/>
        </w:rPr>
        <w:t xml:space="preserve"> Valores</w:t>
      </w:r>
      <w:r w:rsidRPr="00701F32">
        <w:rPr>
          <w:rFonts w:ascii="Arial" w:hAnsi="Arial" w:cs="Arial"/>
          <w:sz w:val="20"/>
        </w:rPr>
        <w:t xml:space="preserve"> la misma se encuentra inscripta ante dicho organismo para la categoría de Agente de Liquidación, Compensación y Agente de Negociación Integral.</w:t>
      </w:r>
    </w:p>
    <w:p w14:paraId="36C99299" w14:textId="77777777" w:rsidR="00DE221E" w:rsidRPr="00536C0C" w:rsidRDefault="00DE221E" w:rsidP="00DE221E">
      <w:pPr>
        <w:autoSpaceDE w:val="0"/>
        <w:autoSpaceDN w:val="0"/>
        <w:adjustRightInd w:val="0"/>
        <w:jc w:val="both"/>
        <w:rPr>
          <w:rFonts w:ascii="Arial" w:hAnsi="Arial" w:cs="Arial"/>
          <w:sz w:val="20"/>
        </w:rPr>
      </w:pPr>
    </w:p>
    <w:p w14:paraId="22366827" w14:textId="270ADEDE" w:rsidR="00536C0C" w:rsidRPr="00701F32" w:rsidRDefault="00536C0C" w:rsidP="00536C0C">
      <w:pPr>
        <w:jc w:val="both"/>
        <w:rPr>
          <w:rFonts w:ascii="Arial" w:hAnsi="Arial" w:cs="Arial"/>
          <w:sz w:val="20"/>
        </w:rPr>
      </w:pPr>
      <w:r w:rsidRPr="00701F32">
        <w:rPr>
          <w:rFonts w:ascii="Arial" w:hAnsi="Arial" w:cs="Arial"/>
          <w:sz w:val="20"/>
        </w:rPr>
        <w:t>Asimismo, se informa que al 3</w:t>
      </w:r>
      <w:r>
        <w:rPr>
          <w:rFonts w:ascii="Arial" w:hAnsi="Arial" w:cs="Arial"/>
          <w:sz w:val="20"/>
        </w:rPr>
        <w:t>1 de diciembre</w:t>
      </w:r>
      <w:r w:rsidRPr="00701F32">
        <w:rPr>
          <w:rFonts w:ascii="Arial" w:hAnsi="Arial" w:cs="Arial"/>
          <w:sz w:val="20"/>
        </w:rPr>
        <w:t xml:space="preserve"> de </w:t>
      </w:r>
      <w:r>
        <w:rPr>
          <w:rFonts w:ascii="Arial" w:hAnsi="Arial" w:cs="Arial"/>
          <w:sz w:val="20"/>
        </w:rPr>
        <w:t xml:space="preserve">2019 y </w:t>
      </w:r>
      <w:r w:rsidRPr="00701F32">
        <w:rPr>
          <w:rFonts w:ascii="Arial" w:hAnsi="Arial" w:cs="Arial"/>
          <w:sz w:val="20"/>
        </w:rPr>
        <w:t>201</w:t>
      </w:r>
      <w:r>
        <w:rPr>
          <w:rFonts w:ascii="Arial" w:hAnsi="Arial" w:cs="Arial"/>
          <w:sz w:val="20"/>
        </w:rPr>
        <w:t>8</w:t>
      </w:r>
      <w:r w:rsidRPr="00701F32">
        <w:rPr>
          <w:rFonts w:ascii="Arial" w:hAnsi="Arial" w:cs="Arial"/>
          <w:sz w:val="20"/>
        </w:rPr>
        <w:t xml:space="preserve"> el patrimonio neto de la Entidad supera el patrimonio neto mínimo requerido por dicha norma para actuar como agente de mercado abierto, el cual asciende a </w:t>
      </w:r>
      <w:r>
        <w:rPr>
          <w:rFonts w:ascii="Arial" w:hAnsi="Arial" w:cs="Arial"/>
          <w:sz w:val="20"/>
        </w:rPr>
        <w:t xml:space="preserve">$ 22.182 y $ </w:t>
      </w:r>
      <w:r w:rsidRPr="00701F32">
        <w:rPr>
          <w:rFonts w:ascii="Arial" w:hAnsi="Arial" w:cs="Arial"/>
          <w:sz w:val="20"/>
        </w:rPr>
        <w:t>1</w:t>
      </w:r>
      <w:r>
        <w:rPr>
          <w:rFonts w:ascii="Arial" w:hAnsi="Arial" w:cs="Arial"/>
          <w:sz w:val="20"/>
        </w:rPr>
        <w:t>8</w:t>
      </w:r>
      <w:r w:rsidRPr="00701F32">
        <w:rPr>
          <w:rFonts w:ascii="Arial" w:hAnsi="Arial" w:cs="Arial"/>
          <w:sz w:val="20"/>
        </w:rPr>
        <w:t>.000</w:t>
      </w:r>
      <w:r>
        <w:rPr>
          <w:rFonts w:ascii="Arial" w:hAnsi="Arial" w:cs="Arial"/>
          <w:sz w:val="20"/>
        </w:rPr>
        <w:t xml:space="preserve"> miles respectivamente. L</w:t>
      </w:r>
      <w:r w:rsidRPr="00701F32">
        <w:rPr>
          <w:rFonts w:ascii="Arial" w:hAnsi="Arial" w:cs="Arial"/>
          <w:sz w:val="20"/>
        </w:rPr>
        <w:t>a contrapartida líquida exigida por la norma asciende a</w:t>
      </w:r>
      <w:r>
        <w:rPr>
          <w:rFonts w:ascii="Arial" w:hAnsi="Arial" w:cs="Arial"/>
          <w:sz w:val="20"/>
        </w:rPr>
        <w:t xml:space="preserve"> $</w:t>
      </w:r>
      <w:r w:rsidRPr="00701F32">
        <w:rPr>
          <w:rFonts w:ascii="Arial" w:hAnsi="Arial" w:cs="Arial"/>
          <w:sz w:val="20"/>
        </w:rPr>
        <w:t xml:space="preserve"> </w:t>
      </w:r>
      <w:r>
        <w:rPr>
          <w:rFonts w:ascii="Arial" w:hAnsi="Arial" w:cs="Arial"/>
          <w:sz w:val="20"/>
        </w:rPr>
        <w:t>11.091 y $ 9</w:t>
      </w:r>
      <w:r w:rsidRPr="00701F32">
        <w:rPr>
          <w:rFonts w:ascii="Arial" w:hAnsi="Arial" w:cs="Arial"/>
          <w:sz w:val="20"/>
        </w:rPr>
        <w:t>.</w:t>
      </w:r>
      <w:r>
        <w:rPr>
          <w:rFonts w:ascii="Arial" w:hAnsi="Arial" w:cs="Arial"/>
          <w:sz w:val="20"/>
        </w:rPr>
        <w:t>0</w:t>
      </w:r>
      <w:r w:rsidRPr="00701F32">
        <w:rPr>
          <w:rFonts w:ascii="Arial" w:hAnsi="Arial" w:cs="Arial"/>
          <w:sz w:val="20"/>
        </w:rPr>
        <w:t xml:space="preserve">00 </w:t>
      </w:r>
      <w:r>
        <w:rPr>
          <w:rFonts w:ascii="Arial" w:hAnsi="Arial" w:cs="Arial"/>
          <w:sz w:val="20"/>
        </w:rPr>
        <w:t xml:space="preserve">miles respectivamente </w:t>
      </w:r>
      <w:r w:rsidRPr="00701F32">
        <w:rPr>
          <w:rFonts w:ascii="Arial" w:hAnsi="Arial" w:cs="Arial"/>
          <w:sz w:val="20"/>
        </w:rPr>
        <w:t xml:space="preserve">y se encuentra constituida </w:t>
      </w:r>
      <w:r>
        <w:rPr>
          <w:rFonts w:ascii="Arial" w:hAnsi="Arial" w:cs="Arial"/>
          <w:sz w:val="20"/>
        </w:rPr>
        <w:t>mediante</w:t>
      </w:r>
      <w:r w:rsidRPr="00701F32">
        <w:rPr>
          <w:rFonts w:ascii="Arial" w:hAnsi="Arial" w:cs="Arial"/>
          <w:sz w:val="20"/>
        </w:rPr>
        <w:t xml:space="preserve"> la cuenta corriente en pesos abierta en el BCRA </w:t>
      </w:r>
      <w:r w:rsidRPr="00F40E42">
        <w:rPr>
          <w:rFonts w:ascii="Arial" w:hAnsi="Arial" w:cs="Arial"/>
          <w:sz w:val="20"/>
        </w:rPr>
        <w:t xml:space="preserve">cuyo saldo ascendía a </w:t>
      </w:r>
      <w:r>
        <w:rPr>
          <w:rFonts w:ascii="Arial" w:hAnsi="Arial" w:cs="Arial"/>
          <w:sz w:val="20"/>
        </w:rPr>
        <w:t>$ 7.895.943</w:t>
      </w:r>
      <w:r w:rsidRPr="00F40E42">
        <w:rPr>
          <w:rFonts w:ascii="Arial" w:hAnsi="Arial" w:cs="Arial"/>
          <w:sz w:val="20"/>
        </w:rPr>
        <w:t xml:space="preserve"> y </w:t>
      </w:r>
      <w:r>
        <w:rPr>
          <w:rFonts w:ascii="Arial" w:hAnsi="Arial" w:cs="Arial"/>
          <w:sz w:val="20"/>
        </w:rPr>
        <w:t>$ 14.518.879</w:t>
      </w:r>
      <w:r w:rsidRPr="00F40E42">
        <w:rPr>
          <w:rFonts w:ascii="Arial" w:hAnsi="Arial" w:cs="Arial"/>
          <w:sz w:val="20"/>
        </w:rPr>
        <w:t xml:space="preserve"> </w:t>
      </w:r>
      <w:r>
        <w:rPr>
          <w:rFonts w:ascii="Arial" w:hAnsi="Arial" w:cs="Arial"/>
          <w:sz w:val="20"/>
        </w:rPr>
        <w:t xml:space="preserve">miles </w:t>
      </w:r>
      <w:r w:rsidRPr="00F40E42">
        <w:rPr>
          <w:rFonts w:ascii="Arial" w:hAnsi="Arial" w:cs="Arial"/>
          <w:sz w:val="20"/>
        </w:rPr>
        <w:t>al 3</w:t>
      </w:r>
      <w:r>
        <w:rPr>
          <w:rFonts w:ascii="Arial" w:hAnsi="Arial" w:cs="Arial"/>
          <w:sz w:val="20"/>
        </w:rPr>
        <w:t>1</w:t>
      </w:r>
      <w:r w:rsidRPr="00F40E42">
        <w:rPr>
          <w:rFonts w:ascii="Arial" w:hAnsi="Arial" w:cs="Arial"/>
          <w:sz w:val="20"/>
        </w:rPr>
        <w:t xml:space="preserve"> de </w:t>
      </w:r>
      <w:r>
        <w:rPr>
          <w:rFonts w:ascii="Arial" w:hAnsi="Arial" w:cs="Arial"/>
          <w:sz w:val="20"/>
        </w:rPr>
        <w:t>diciembre</w:t>
      </w:r>
      <w:r w:rsidRPr="00F40E42">
        <w:rPr>
          <w:rFonts w:ascii="Arial" w:hAnsi="Arial" w:cs="Arial"/>
          <w:sz w:val="20"/>
        </w:rPr>
        <w:t xml:space="preserve"> de 2019 y</w:t>
      </w:r>
      <w:r>
        <w:rPr>
          <w:rFonts w:ascii="Arial" w:hAnsi="Arial" w:cs="Arial"/>
          <w:sz w:val="20"/>
        </w:rPr>
        <w:t xml:space="preserve"> </w:t>
      </w:r>
      <w:r w:rsidRPr="00F40E42">
        <w:rPr>
          <w:rFonts w:ascii="Arial" w:hAnsi="Arial" w:cs="Arial"/>
          <w:sz w:val="20"/>
        </w:rPr>
        <w:t>2018 respectivamente.</w:t>
      </w:r>
    </w:p>
    <w:p w14:paraId="1C4657D8" w14:textId="77777777" w:rsidR="00536C0C" w:rsidRPr="00701F32" w:rsidRDefault="00536C0C" w:rsidP="00536C0C">
      <w:pPr>
        <w:autoSpaceDE w:val="0"/>
        <w:autoSpaceDN w:val="0"/>
        <w:adjustRightInd w:val="0"/>
        <w:jc w:val="both"/>
        <w:rPr>
          <w:rFonts w:ascii="Arial" w:hAnsi="Arial" w:cs="Arial"/>
          <w:sz w:val="20"/>
        </w:rPr>
      </w:pPr>
    </w:p>
    <w:p w14:paraId="6951C176" w14:textId="51A4AB5F" w:rsidR="00721980" w:rsidRDefault="00536C0C" w:rsidP="00536C0C">
      <w:pPr>
        <w:tabs>
          <w:tab w:val="left" w:pos="142"/>
        </w:tabs>
        <w:jc w:val="both"/>
        <w:rPr>
          <w:rFonts w:ascii="Arial" w:hAnsi="Arial" w:cs="Arial"/>
          <w:sz w:val="20"/>
        </w:rPr>
      </w:pPr>
      <w:r w:rsidRPr="00701F32">
        <w:rPr>
          <w:rFonts w:ascii="Arial" w:hAnsi="Arial" w:cs="Arial"/>
          <w:sz w:val="20"/>
        </w:rPr>
        <w:t>Por otra parte, en cumplimiento de la citada resolución general, el inmueble sito en la calle Reconquista 330 de esta Ciudad Autónoma</w:t>
      </w:r>
      <w:r>
        <w:rPr>
          <w:rFonts w:ascii="Arial" w:hAnsi="Arial" w:cs="Arial"/>
          <w:sz w:val="20"/>
        </w:rPr>
        <w:t xml:space="preserve"> de Buenos Aires</w:t>
      </w:r>
      <w:r w:rsidRPr="00701F32">
        <w:rPr>
          <w:rFonts w:ascii="Arial" w:hAnsi="Arial" w:cs="Arial"/>
          <w:sz w:val="20"/>
        </w:rPr>
        <w:t>, cuyo valor residual contable al 3</w:t>
      </w:r>
      <w:r>
        <w:rPr>
          <w:rFonts w:ascii="Arial" w:hAnsi="Arial" w:cs="Arial"/>
          <w:sz w:val="20"/>
        </w:rPr>
        <w:t>1</w:t>
      </w:r>
      <w:r w:rsidRPr="00701F32">
        <w:rPr>
          <w:rFonts w:ascii="Arial" w:hAnsi="Arial" w:cs="Arial"/>
          <w:sz w:val="20"/>
        </w:rPr>
        <w:t xml:space="preserve"> </w:t>
      </w:r>
      <w:r>
        <w:rPr>
          <w:rFonts w:ascii="Arial" w:hAnsi="Arial" w:cs="Arial"/>
          <w:sz w:val="20"/>
        </w:rPr>
        <w:t>de diciembre</w:t>
      </w:r>
      <w:r w:rsidRPr="00701F32">
        <w:rPr>
          <w:rFonts w:ascii="Arial" w:hAnsi="Arial" w:cs="Arial"/>
          <w:sz w:val="20"/>
        </w:rPr>
        <w:t xml:space="preserve"> de </w:t>
      </w:r>
      <w:r>
        <w:rPr>
          <w:rFonts w:ascii="Arial" w:hAnsi="Arial" w:cs="Arial"/>
          <w:sz w:val="20"/>
        </w:rPr>
        <w:t xml:space="preserve">2019 y </w:t>
      </w:r>
      <w:r w:rsidRPr="00701F32">
        <w:rPr>
          <w:rFonts w:ascii="Arial" w:hAnsi="Arial" w:cs="Arial"/>
          <w:sz w:val="20"/>
        </w:rPr>
        <w:t xml:space="preserve">2018 es de </w:t>
      </w:r>
      <w:r>
        <w:rPr>
          <w:rFonts w:ascii="Arial" w:hAnsi="Arial" w:cs="Arial"/>
          <w:sz w:val="20"/>
        </w:rPr>
        <w:t xml:space="preserve">$ </w:t>
      </w:r>
      <w:r w:rsidRPr="00907B5E">
        <w:rPr>
          <w:rFonts w:ascii="Arial" w:hAnsi="Arial" w:cs="Arial"/>
          <w:sz w:val="20"/>
        </w:rPr>
        <w:t>2</w:t>
      </w:r>
      <w:r>
        <w:rPr>
          <w:rFonts w:ascii="Arial" w:hAnsi="Arial" w:cs="Arial"/>
          <w:sz w:val="20"/>
        </w:rPr>
        <w:t>84</w:t>
      </w:r>
      <w:r w:rsidRPr="00907B5E">
        <w:rPr>
          <w:rFonts w:ascii="Arial" w:hAnsi="Arial" w:cs="Arial"/>
          <w:sz w:val="20"/>
        </w:rPr>
        <w:t>.</w:t>
      </w:r>
      <w:r>
        <w:rPr>
          <w:rFonts w:ascii="Arial" w:hAnsi="Arial" w:cs="Arial"/>
          <w:sz w:val="20"/>
        </w:rPr>
        <w:t>01</w:t>
      </w:r>
      <w:r w:rsidRPr="00907B5E">
        <w:rPr>
          <w:rFonts w:ascii="Arial" w:hAnsi="Arial" w:cs="Arial"/>
          <w:sz w:val="20"/>
        </w:rPr>
        <w:t>5 y</w:t>
      </w:r>
      <w:r w:rsidRPr="00701F32">
        <w:rPr>
          <w:rFonts w:ascii="Arial" w:hAnsi="Arial" w:cs="Arial"/>
          <w:sz w:val="20"/>
        </w:rPr>
        <w:t xml:space="preserve"> </w:t>
      </w:r>
      <w:r>
        <w:rPr>
          <w:rFonts w:ascii="Arial" w:hAnsi="Arial" w:cs="Arial"/>
          <w:sz w:val="20"/>
        </w:rPr>
        <w:t>$ 219.466 miles, respectivamente</w:t>
      </w:r>
      <w:r w:rsidRPr="00701F32">
        <w:rPr>
          <w:rFonts w:ascii="Arial" w:hAnsi="Arial" w:cs="Arial"/>
          <w:sz w:val="20"/>
        </w:rPr>
        <w:t>, se encuentra afectado al desarrollo de las operaciones del Mercado Abierto.</w:t>
      </w:r>
    </w:p>
    <w:p w14:paraId="0BFFA131" w14:textId="77777777" w:rsidR="00721980" w:rsidRPr="00701F32" w:rsidRDefault="00721980" w:rsidP="003462F0">
      <w:pPr>
        <w:tabs>
          <w:tab w:val="left" w:pos="142"/>
        </w:tabs>
        <w:jc w:val="both"/>
        <w:rPr>
          <w:rFonts w:ascii="Arial" w:hAnsi="Arial" w:cs="Arial"/>
          <w:sz w:val="20"/>
        </w:rPr>
      </w:pPr>
    </w:p>
    <w:p w14:paraId="5292641D" w14:textId="23EDC362" w:rsidR="00656E62" w:rsidRPr="00701F32" w:rsidRDefault="00CA4B7E" w:rsidP="00656E62">
      <w:pPr>
        <w:tabs>
          <w:tab w:val="left" w:pos="142"/>
        </w:tabs>
        <w:spacing w:after="200" w:line="276" w:lineRule="auto"/>
        <w:contextualSpacing/>
        <w:jc w:val="both"/>
        <w:rPr>
          <w:rFonts w:ascii="Arial" w:hAnsi="Arial" w:cs="Arial"/>
          <w:b/>
          <w:sz w:val="20"/>
        </w:rPr>
      </w:pPr>
      <w:r>
        <w:rPr>
          <w:rFonts w:ascii="Arial" w:hAnsi="Arial" w:cs="Arial"/>
          <w:b/>
          <w:sz w:val="20"/>
        </w:rPr>
        <w:t>14</w:t>
      </w:r>
      <w:r w:rsidR="00656E62" w:rsidRPr="00701F32">
        <w:rPr>
          <w:rFonts w:ascii="Arial" w:hAnsi="Arial" w:cs="Arial"/>
          <w:b/>
          <w:sz w:val="20"/>
        </w:rPr>
        <w:t>.5.2 Resolución N° 629 de la Comisión Nacional de Valores</w:t>
      </w:r>
    </w:p>
    <w:p w14:paraId="55179B5A" w14:textId="77777777" w:rsidR="00656E62" w:rsidRPr="00701F32" w:rsidRDefault="00656E62" w:rsidP="00656E62">
      <w:pPr>
        <w:tabs>
          <w:tab w:val="left" w:pos="142"/>
        </w:tabs>
        <w:spacing w:after="200" w:line="276" w:lineRule="auto"/>
        <w:contextualSpacing/>
        <w:jc w:val="both"/>
        <w:rPr>
          <w:rFonts w:ascii="Arial" w:hAnsi="Arial" w:cs="Arial"/>
          <w:b/>
          <w:sz w:val="20"/>
        </w:rPr>
      </w:pPr>
    </w:p>
    <w:p w14:paraId="05AFBE57" w14:textId="77777777" w:rsidR="00656E62" w:rsidRPr="00701F32" w:rsidRDefault="00656E62" w:rsidP="00656E62">
      <w:pPr>
        <w:jc w:val="both"/>
        <w:rPr>
          <w:rFonts w:ascii="Arial" w:hAnsi="Arial" w:cs="Arial"/>
          <w:sz w:val="20"/>
        </w:rPr>
      </w:pPr>
      <w:r w:rsidRPr="00701F32">
        <w:rPr>
          <w:rFonts w:ascii="Arial" w:hAnsi="Arial" w:cs="Arial"/>
          <w:sz w:val="20"/>
        </w:rPr>
        <w:t xml:space="preserve">En cumplimiento de lo dispuesto por la Resolución General N° 629 de la CNV se aclara que los libros de comercio y los libros societarios se guardan en la sede social inscripta (Bartolomé Mitre 434 de la Ciudad Autónoma de Buenos Aires) de acuerdo con el siguiente detalle: </w:t>
      </w:r>
    </w:p>
    <w:p w14:paraId="4225BFA2" w14:textId="6EFA19F8" w:rsidR="00656E62" w:rsidRPr="00701F32" w:rsidRDefault="00656E62" w:rsidP="00656E62">
      <w:pPr>
        <w:numPr>
          <w:ilvl w:val="0"/>
          <w:numId w:val="2"/>
        </w:numPr>
        <w:jc w:val="both"/>
        <w:rPr>
          <w:rFonts w:ascii="Arial" w:hAnsi="Arial" w:cs="Arial"/>
          <w:sz w:val="20"/>
        </w:rPr>
      </w:pPr>
      <w:r w:rsidRPr="00701F32">
        <w:rPr>
          <w:rFonts w:ascii="Arial" w:hAnsi="Arial" w:cs="Arial"/>
          <w:sz w:val="20"/>
        </w:rPr>
        <w:t xml:space="preserve">Libro Diario (Registro de Habilitación de Medios </w:t>
      </w:r>
      <w:r w:rsidR="00AE73E8">
        <w:rPr>
          <w:rFonts w:ascii="Arial" w:hAnsi="Arial" w:cs="Arial"/>
          <w:sz w:val="20"/>
        </w:rPr>
        <w:t>Ó</w:t>
      </w:r>
      <w:r w:rsidRPr="00701F32">
        <w:rPr>
          <w:rFonts w:ascii="Arial" w:hAnsi="Arial" w:cs="Arial"/>
          <w:sz w:val="20"/>
        </w:rPr>
        <w:t xml:space="preserve">pticos y sus correspondientes soportes ópticos –CD y DVD-) desde el 1° de octubre de 2009. </w:t>
      </w:r>
    </w:p>
    <w:p w14:paraId="3D359440"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 xml:space="preserve">Libro Inventario desde el 31 de diciembre de 2016. </w:t>
      </w:r>
    </w:p>
    <w:p w14:paraId="4B853264"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 xml:space="preserve">Libro Balance desde el 31 de diciembre de 2002. </w:t>
      </w:r>
    </w:p>
    <w:p w14:paraId="4FEB09AF" w14:textId="48D68095" w:rsidR="00656E62" w:rsidRPr="00701F32" w:rsidRDefault="00656E62" w:rsidP="00656E62">
      <w:pPr>
        <w:numPr>
          <w:ilvl w:val="0"/>
          <w:numId w:val="2"/>
        </w:numPr>
        <w:jc w:val="both"/>
        <w:rPr>
          <w:rFonts w:ascii="Arial" w:hAnsi="Arial" w:cs="Arial"/>
          <w:sz w:val="20"/>
        </w:rPr>
      </w:pPr>
      <w:r w:rsidRPr="00701F32">
        <w:rPr>
          <w:rFonts w:ascii="Arial" w:hAnsi="Arial" w:cs="Arial"/>
          <w:sz w:val="20"/>
        </w:rPr>
        <w:t>Libro Actas de Directorio desde el diciembre de 1988 a noviembre de 1999, desde mayo de 2000 a octubre de 2003 y febrero de 2007 a la fecha.</w:t>
      </w:r>
    </w:p>
    <w:p w14:paraId="06DF52DF"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Libro Depósito de Acciones y Registro de Asistencia a Asambleas desde el 30 de mayo de 2001 a la fecha.</w:t>
      </w:r>
    </w:p>
    <w:p w14:paraId="407AF5C0"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Libro de Actas de Asambleas desde el 27 de mayo de 1999 a la fecha.</w:t>
      </w:r>
    </w:p>
    <w:p w14:paraId="48329E31" w14:textId="77777777" w:rsidR="00656E62" w:rsidRPr="00701F32" w:rsidRDefault="00656E62" w:rsidP="00656E62">
      <w:pPr>
        <w:numPr>
          <w:ilvl w:val="0"/>
          <w:numId w:val="2"/>
        </w:numPr>
        <w:jc w:val="both"/>
        <w:rPr>
          <w:rFonts w:ascii="Arial" w:hAnsi="Arial" w:cs="Arial"/>
          <w:sz w:val="20"/>
        </w:rPr>
      </w:pPr>
      <w:r w:rsidRPr="00701F32">
        <w:rPr>
          <w:rFonts w:ascii="Arial" w:hAnsi="Arial" w:cs="Arial"/>
          <w:sz w:val="20"/>
        </w:rPr>
        <w:t xml:space="preserve">Libro de Actas de Comisión Fiscalizadora desde el 13 de agosto de 2004.  </w:t>
      </w:r>
    </w:p>
    <w:p w14:paraId="58EB96AA" w14:textId="77777777" w:rsidR="00656E62" w:rsidRPr="00701F32" w:rsidRDefault="00656E62" w:rsidP="00656E62">
      <w:pPr>
        <w:jc w:val="both"/>
        <w:rPr>
          <w:rFonts w:ascii="Arial" w:hAnsi="Arial" w:cs="Arial"/>
          <w:sz w:val="20"/>
        </w:rPr>
      </w:pPr>
    </w:p>
    <w:p w14:paraId="60FFE1EE" w14:textId="77777777" w:rsidR="00656E62" w:rsidRPr="00701F32" w:rsidRDefault="00656E62" w:rsidP="00656E62">
      <w:pPr>
        <w:jc w:val="both"/>
        <w:rPr>
          <w:rFonts w:ascii="Arial" w:hAnsi="Arial" w:cs="Arial"/>
          <w:sz w:val="20"/>
        </w:rPr>
      </w:pPr>
      <w:r w:rsidRPr="00701F32">
        <w:rPr>
          <w:rFonts w:ascii="Arial" w:hAnsi="Arial" w:cs="Arial"/>
          <w:sz w:val="20"/>
        </w:rPr>
        <w:t xml:space="preserve">Respecto de los libros de operaciones de títulos y de mercado abierto, se encuentran en la sede social inscripta mencionada precedentemente de acuerdo con el siguiente detalle: </w:t>
      </w:r>
    </w:p>
    <w:p w14:paraId="32982B7C" w14:textId="77777777" w:rsidR="00BA5076" w:rsidRPr="00701F32" w:rsidRDefault="00BA5076" w:rsidP="00BA5076">
      <w:pPr>
        <w:numPr>
          <w:ilvl w:val="0"/>
          <w:numId w:val="2"/>
        </w:numPr>
        <w:jc w:val="both"/>
        <w:rPr>
          <w:rFonts w:ascii="Arial" w:hAnsi="Arial" w:cs="Arial"/>
          <w:sz w:val="20"/>
        </w:rPr>
      </w:pPr>
      <w:r w:rsidRPr="00701F32">
        <w:rPr>
          <w:rFonts w:ascii="Arial" w:hAnsi="Arial" w:cs="Arial"/>
          <w:sz w:val="20"/>
        </w:rPr>
        <w:t xml:space="preserve">Registro de Ordenes de Agente desde el </w:t>
      </w:r>
      <w:r>
        <w:rPr>
          <w:rFonts w:ascii="Arial" w:hAnsi="Arial" w:cs="Arial"/>
          <w:sz w:val="20"/>
        </w:rPr>
        <w:t>2</w:t>
      </w:r>
      <w:r w:rsidRPr="00701F32">
        <w:rPr>
          <w:rFonts w:ascii="Arial" w:hAnsi="Arial" w:cs="Arial"/>
          <w:sz w:val="20"/>
        </w:rPr>
        <w:t xml:space="preserve">6 de </w:t>
      </w:r>
      <w:r>
        <w:rPr>
          <w:rFonts w:ascii="Arial" w:hAnsi="Arial" w:cs="Arial"/>
          <w:sz w:val="20"/>
        </w:rPr>
        <w:t>septiembre</w:t>
      </w:r>
      <w:r w:rsidRPr="00701F32">
        <w:rPr>
          <w:rFonts w:ascii="Arial" w:hAnsi="Arial" w:cs="Arial"/>
          <w:sz w:val="20"/>
        </w:rPr>
        <w:t xml:space="preserve"> de 201</w:t>
      </w:r>
      <w:r>
        <w:rPr>
          <w:rFonts w:ascii="Arial" w:hAnsi="Arial" w:cs="Arial"/>
          <w:sz w:val="20"/>
        </w:rPr>
        <w:t>8</w:t>
      </w:r>
      <w:r w:rsidRPr="00701F32">
        <w:rPr>
          <w:rFonts w:ascii="Arial" w:hAnsi="Arial" w:cs="Arial"/>
          <w:sz w:val="20"/>
        </w:rPr>
        <w:t>.</w:t>
      </w:r>
    </w:p>
    <w:p w14:paraId="12C8F709" w14:textId="77777777" w:rsidR="00BA5076" w:rsidRPr="00701F32" w:rsidRDefault="00BA5076" w:rsidP="00BA5076">
      <w:pPr>
        <w:numPr>
          <w:ilvl w:val="0"/>
          <w:numId w:val="2"/>
        </w:numPr>
        <w:jc w:val="both"/>
        <w:rPr>
          <w:rFonts w:ascii="Arial" w:hAnsi="Arial" w:cs="Arial"/>
          <w:sz w:val="20"/>
        </w:rPr>
      </w:pPr>
      <w:r w:rsidRPr="00701F32">
        <w:rPr>
          <w:rFonts w:ascii="Arial" w:hAnsi="Arial" w:cs="Arial"/>
          <w:sz w:val="20"/>
        </w:rPr>
        <w:t>Registro de Operaciones desde el 2</w:t>
      </w:r>
      <w:r>
        <w:rPr>
          <w:rFonts w:ascii="Arial" w:hAnsi="Arial" w:cs="Arial"/>
          <w:sz w:val="20"/>
        </w:rPr>
        <w:t>2</w:t>
      </w:r>
      <w:r w:rsidRPr="00701F32">
        <w:rPr>
          <w:rFonts w:ascii="Arial" w:hAnsi="Arial" w:cs="Arial"/>
          <w:sz w:val="20"/>
        </w:rPr>
        <w:t xml:space="preserve"> de </w:t>
      </w:r>
      <w:r>
        <w:rPr>
          <w:rFonts w:ascii="Arial" w:hAnsi="Arial" w:cs="Arial"/>
          <w:sz w:val="20"/>
        </w:rPr>
        <w:t>juni</w:t>
      </w:r>
      <w:r w:rsidRPr="00701F32">
        <w:rPr>
          <w:rFonts w:ascii="Arial" w:hAnsi="Arial" w:cs="Arial"/>
          <w:sz w:val="20"/>
        </w:rPr>
        <w:t>o de 201</w:t>
      </w:r>
      <w:r>
        <w:rPr>
          <w:rFonts w:ascii="Arial" w:hAnsi="Arial" w:cs="Arial"/>
          <w:sz w:val="20"/>
        </w:rPr>
        <w:t>8</w:t>
      </w:r>
      <w:r w:rsidRPr="00701F32">
        <w:rPr>
          <w:rFonts w:ascii="Arial" w:hAnsi="Arial" w:cs="Arial"/>
          <w:sz w:val="20"/>
        </w:rPr>
        <w:t>.</w:t>
      </w:r>
    </w:p>
    <w:p w14:paraId="42B9D695" w14:textId="77777777" w:rsidR="00BA5076" w:rsidRPr="00701F32" w:rsidRDefault="00BA5076" w:rsidP="00BA5076">
      <w:pPr>
        <w:numPr>
          <w:ilvl w:val="0"/>
          <w:numId w:val="2"/>
        </w:numPr>
        <w:jc w:val="both"/>
        <w:rPr>
          <w:rFonts w:ascii="Arial" w:hAnsi="Arial" w:cs="Arial"/>
          <w:sz w:val="20"/>
        </w:rPr>
      </w:pPr>
      <w:r w:rsidRPr="00701F32">
        <w:rPr>
          <w:rFonts w:ascii="Arial" w:hAnsi="Arial" w:cs="Arial"/>
          <w:sz w:val="20"/>
        </w:rPr>
        <w:t>Registro de Operaciones Cartera Propia desde el 5 de enero de 2015.</w:t>
      </w:r>
    </w:p>
    <w:p w14:paraId="6E69E273" w14:textId="77777777" w:rsidR="00BA5076" w:rsidRPr="00701F32" w:rsidRDefault="00BA5076" w:rsidP="00BA5076">
      <w:pPr>
        <w:numPr>
          <w:ilvl w:val="0"/>
          <w:numId w:val="2"/>
        </w:numPr>
        <w:jc w:val="both"/>
        <w:rPr>
          <w:rFonts w:ascii="Arial" w:hAnsi="Arial" w:cs="Arial"/>
          <w:sz w:val="20"/>
        </w:rPr>
      </w:pPr>
      <w:r w:rsidRPr="00701F32">
        <w:rPr>
          <w:rFonts w:ascii="Arial" w:hAnsi="Arial" w:cs="Arial"/>
          <w:sz w:val="20"/>
        </w:rPr>
        <w:t xml:space="preserve">Libro de Caja desde el </w:t>
      </w:r>
      <w:r>
        <w:rPr>
          <w:rFonts w:ascii="Arial" w:hAnsi="Arial" w:cs="Arial"/>
          <w:sz w:val="20"/>
        </w:rPr>
        <w:t>1</w:t>
      </w:r>
      <w:r w:rsidRPr="00701F32">
        <w:rPr>
          <w:rFonts w:ascii="Arial" w:hAnsi="Arial" w:cs="Arial"/>
          <w:sz w:val="20"/>
        </w:rPr>
        <w:t xml:space="preserve">5 de </w:t>
      </w:r>
      <w:r>
        <w:rPr>
          <w:rFonts w:ascii="Arial" w:hAnsi="Arial" w:cs="Arial"/>
          <w:sz w:val="20"/>
        </w:rPr>
        <w:t>agost</w:t>
      </w:r>
      <w:r w:rsidRPr="00701F32">
        <w:rPr>
          <w:rFonts w:ascii="Arial" w:hAnsi="Arial" w:cs="Arial"/>
          <w:sz w:val="20"/>
        </w:rPr>
        <w:t>o de 201</w:t>
      </w:r>
      <w:r>
        <w:rPr>
          <w:rFonts w:ascii="Arial" w:hAnsi="Arial" w:cs="Arial"/>
          <w:sz w:val="20"/>
        </w:rPr>
        <w:t>8</w:t>
      </w:r>
      <w:r w:rsidRPr="00701F32">
        <w:rPr>
          <w:rFonts w:ascii="Arial" w:hAnsi="Arial" w:cs="Arial"/>
          <w:sz w:val="20"/>
        </w:rPr>
        <w:t>.</w:t>
      </w:r>
    </w:p>
    <w:p w14:paraId="7E305540" w14:textId="6F214B30" w:rsidR="00656E62" w:rsidRPr="00701F32" w:rsidRDefault="00BA5076" w:rsidP="00BA5076">
      <w:pPr>
        <w:numPr>
          <w:ilvl w:val="0"/>
          <w:numId w:val="2"/>
        </w:numPr>
        <w:jc w:val="both"/>
        <w:rPr>
          <w:rFonts w:ascii="Arial" w:hAnsi="Arial" w:cs="Arial"/>
          <w:sz w:val="20"/>
        </w:rPr>
      </w:pPr>
      <w:r w:rsidRPr="00701F32">
        <w:rPr>
          <w:rFonts w:ascii="Arial" w:hAnsi="Arial" w:cs="Arial"/>
          <w:sz w:val="20"/>
        </w:rPr>
        <w:t>Registro de Ordenes (ACYL N° 57) desde el 7 de enero de 2015.</w:t>
      </w:r>
    </w:p>
    <w:p w14:paraId="1F4371DC" w14:textId="77777777" w:rsidR="00656E62" w:rsidRPr="00701F32" w:rsidRDefault="00656E62" w:rsidP="00656E62">
      <w:pPr>
        <w:ind w:left="720"/>
        <w:jc w:val="both"/>
        <w:rPr>
          <w:rFonts w:ascii="Arial" w:hAnsi="Arial" w:cs="Arial"/>
          <w:sz w:val="20"/>
        </w:rPr>
      </w:pPr>
    </w:p>
    <w:p w14:paraId="7973D744" w14:textId="77777777" w:rsidR="00656E62" w:rsidRPr="00701F32" w:rsidRDefault="00656E62" w:rsidP="00656E62">
      <w:pPr>
        <w:jc w:val="both"/>
        <w:rPr>
          <w:rFonts w:ascii="Arial" w:hAnsi="Arial" w:cs="Arial"/>
          <w:sz w:val="20"/>
        </w:rPr>
      </w:pPr>
      <w:r w:rsidRPr="00701F32">
        <w:rPr>
          <w:rFonts w:ascii="Arial" w:hAnsi="Arial" w:cs="Arial"/>
          <w:sz w:val="20"/>
        </w:rPr>
        <w:t>Los libros antecesores a los señalados precedentemente que contienen las operaciones anteriores a la fecha indicada en cada caso, se encuentran bajo la guarda de la empresa Adea S.A. cuyo depósito está ubicado en Ruta provincial N° 36, Km 31,500 localidad de Bosques, Partido de Florencio Varela de la Provincia de Buenos Aires.</w:t>
      </w:r>
    </w:p>
    <w:p w14:paraId="6C163D71" w14:textId="77777777" w:rsidR="00656E62" w:rsidRPr="00701F32" w:rsidRDefault="00656E62" w:rsidP="00656E62">
      <w:pPr>
        <w:jc w:val="both"/>
        <w:rPr>
          <w:rFonts w:ascii="Arial" w:hAnsi="Arial" w:cs="Arial"/>
          <w:sz w:val="20"/>
        </w:rPr>
      </w:pPr>
    </w:p>
    <w:p w14:paraId="2C400E10" w14:textId="60F7B412" w:rsidR="00656E62" w:rsidRPr="00701F32" w:rsidRDefault="00656E62" w:rsidP="00656E62">
      <w:pPr>
        <w:tabs>
          <w:tab w:val="left" w:pos="142"/>
        </w:tabs>
        <w:jc w:val="both"/>
        <w:rPr>
          <w:rFonts w:ascii="Arial" w:hAnsi="Arial" w:cs="Arial"/>
          <w:sz w:val="20"/>
        </w:rPr>
      </w:pPr>
      <w:r w:rsidRPr="00701F32">
        <w:rPr>
          <w:rFonts w:ascii="Arial" w:hAnsi="Arial" w:cs="Arial"/>
          <w:sz w:val="20"/>
        </w:rPr>
        <w:t>La documentación respaldatoria de las operaciones contables y de la gestión de la Entidad hasta una antigüedad de 2 (dos) meses anterior</w:t>
      </w:r>
      <w:r w:rsidR="00841E78">
        <w:rPr>
          <w:rFonts w:ascii="Arial" w:hAnsi="Arial" w:cs="Arial"/>
          <w:sz w:val="20"/>
        </w:rPr>
        <w:t>es</w:t>
      </w:r>
      <w:r w:rsidRPr="00701F32">
        <w:rPr>
          <w:rFonts w:ascii="Arial" w:hAnsi="Arial" w:cs="Arial"/>
          <w:sz w:val="20"/>
        </w:rPr>
        <w:t xml:space="preserve"> a la actual, se encuentra en cada sucursal, y, con antigüedad superior a dicho lapso de tiempo se encuentra bajo la guarda de la empresa Adea S.A. </w:t>
      </w:r>
    </w:p>
    <w:p w14:paraId="306858F3" w14:textId="5607A4C3" w:rsidR="00656E62" w:rsidRDefault="00656E62" w:rsidP="00656E62">
      <w:pPr>
        <w:tabs>
          <w:tab w:val="left" w:pos="142"/>
        </w:tabs>
        <w:jc w:val="both"/>
        <w:rPr>
          <w:rFonts w:ascii="Arial" w:hAnsi="Arial" w:cs="Arial"/>
          <w:sz w:val="20"/>
        </w:rPr>
      </w:pPr>
    </w:p>
    <w:p w14:paraId="2E2933A7" w14:textId="7086D924" w:rsidR="00656E62" w:rsidRPr="00701F32" w:rsidRDefault="00CA4B7E" w:rsidP="00656E62">
      <w:pPr>
        <w:tabs>
          <w:tab w:val="left" w:pos="142"/>
        </w:tabs>
        <w:spacing w:after="200" w:line="276" w:lineRule="auto"/>
        <w:contextualSpacing/>
        <w:jc w:val="both"/>
        <w:rPr>
          <w:rFonts w:ascii="Arial" w:hAnsi="Arial" w:cs="Arial"/>
          <w:b/>
          <w:sz w:val="20"/>
        </w:rPr>
      </w:pPr>
      <w:r>
        <w:rPr>
          <w:rFonts w:ascii="Arial" w:hAnsi="Arial" w:cs="Arial"/>
          <w:b/>
          <w:sz w:val="20"/>
        </w:rPr>
        <w:t>14</w:t>
      </w:r>
      <w:r w:rsidR="00656E62" w:rsidRPr="00701F32">
        <w:rPr>
          <w:rFonts w:ascii="Arial" w:hAnsi="Arial" w:cs="Arial"/>
          <w:b/>
          <w:sz w:val="20"/>
        </w:rPr>
        <w:t>.6 Cuentas que identifican el cumplimiento de efectivo mínimo</w:t>
      </w:r>
    </w:p>
    <w:p w14:paraId="7DAF4B2E" w14:textId="77777777" w:rsidR="00656E62" w:rsidRPr="00701F32" w:rsidRDefault="00656E62" w:rsidP="00656E62">
      <w:pPr>
        <w:tabs>
          <w:tab w:val="left" w:pos="142"/>
        </w:tabs>
        <w:spacing w:after="200" w:line="276" w:lineRule="auto"/>
        <w:contextualSpacing/>
        <w:jc w:val="both"/>
        <w:rPr>
          <w:rFonts w:ascii="Arial" w:hAnsi="Arial" w:cs="Arial"/>
          <w:b/>
          <w:sz w:val="20"/>
        </w:rPr>
      </w:pPr>
    </w:p>
    <w:p w14:paraId="3D3784BC" w14:textId="278F4628" w:rsidR="00721980" w:rsidRPr="00701F32" w:rsidRDefault="00656E62" w:rsidP="00656E62">
      <w:pPr>
        <w:tabs>
          <w:tab w:val="left" w:pos="142"/>
        </w:tabs>
        <w:jc w:val="both"/>
        <w:rPr>
          <w:rFonts w:ascii="Arial" w:hAnsi="Arial" w:cs="Arial"/>
          <w:sz w:val="20"/>
        </w:rPr>
      </w:pPr>
      <w:r w:rsidRPr="00701F32">
        <w:rPr>
          <w:rFonts w:ascii="Arial" w:hAnsi="Arial" w:cs="Arial"/>
          <w:sz w:val="20"/>
        </w:rPr>
        <w:t xml:space="preserve">Al 31 de diciembre de </w:t>
      </w:r>
      <w:r w:rsidR="00CA4B7E">
        <w:rPr>
          <w:rFonts w:ascii="Arial" w:hAnsi="Arial" w:cs="Arial"/>
          <w:sz w:val="20"/>
        </w:rPr>
        <w:t xml:space="preserve">2019 y </w:t>
      </w:r>
      <w:r w:rsidR="008716E7">
        <w:rPr>
          <w:rFonts w:ascii="Arial" w:hAnsi="Arial" w:cs="Arial"/>
          <w:sz w:val="20"/>
        </w:rPr>
        <w:t>2018</w:t>
      </w:r>
      <w:r w:rsidRPr="00701F32">
        <w:rPr>
          <w:rFonts w:ascii="Arial" w:hAnsi="Arial" w:cs="Arial"/>
          <w:sz w:val="20"/>
        </w:rPr>
        <w:t xml:space="preserve"> la integración de efectivo mínimo estaba compuesta de la siguiente manera: </w:t>
      </w:r>
    </w:p>
    <w:p w14:paraId="2BBB72DB" w14:textId="0C61AC78" w:rsidR="00B2136F" w:rsidRDefault="00B2136F">
      <w:pPr>
        <w:rPr>
          <w:rFonts w:ascii="Arial" w:hAnsi="Arial" w:cs="Arial"/>
          <w:sz w:val="20"/>
        </w:rPr>
      </w:pPr>
      <w:r>
        <w:rPr>
          <w:rFonts w:ascii="Arial" w:hAnsi="Arial" w:cs="Arial"/>
          <w:sz w:val="20"/>
        </w:rPr>
        <w:br w:type="page"/>
      </w:r>
    </w:p>
    <w:p w14:paraId="1A2229E0" w14:textId="77777777" w:rsidR="00656E62" w:rsidRPr="00701F32" w:rsidRDefault="00656E62" w:rsidP="00656E62">
      <w:pPr>
        <w:tabs>
          <w:tab w:val="left" w:pos="142"/>
        </w:tabs>
        <w:jc w:val="both"/>
        <w:rPr>
          <w:rFonts w:ascii="Arial" w:hAnsi="Arial" w:cs="Arial"/>
          <w:sz w:val="20"/>
        </w:rPr>
      </w:pPr>
    </w:p>
    <w:tbl>
      <w:tblPr>
        <w:tblW w:w="432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559"/>
        <w:gridCol w:w="1489"/>
        <w:gridCol w:w="1487"/>
      </w:tblGrid>
      <w:tr w:rsidR="001B4A0E" w:rsidRPr="00701F32" w14:paraId="7480DD56" w14:textId="77777777" w:rsidTr="00E97E6A">
        <w:trPr>
          <w:trHeight w:val="314"/>
          <w:tblHeader/>
          <w:jc w:val="center"/>
        </w:trPr>
        <w:tc>
          <w:tcPr>
            <w:tcW w:w="3025" w:type="pct"/>
            <w:tcBorders>
              <w:top w:val="single" w:sz="4" w:space="0" w:color="auto"/>
              <w:left w:val="single" w:sz="4" w:space="0" w:color="auto"/>
              <w:bottom w:val="single" w:sz="4" w:space="0" w:color="auto"/>
            </w:tcBorders>
            <w:vAlign w:val="center"/>
          </w:tcPr>
          <w:p w14:paraId="5CEF647E" w14:textId="77777777" w:rsidR="001B4A0E" w:rsidRPr="00E97E6A" w:rsidRDefault="001B4A0E" w:rsidP="00464C0F">
            <w:pPr>
              <w:ind w:left="371" w:hanging="142"/>
              <w:jc w:val="both"/>
              <w:rPr>
                <w:rFonts w:ascii="Arial" w:hAnsi="Arial" w:cs="Arial"/>
                <w:b/>
                <w:sz w:val="16"/>
              </w:rPr>
            </w:pPr>
            <w:r w:rsidRPr="00E97E6A">
              <w:rPr>
                <w:rFonts w:ascii="Arial" w:hAnsi="Arial" w:cs="Arial"/>
                <w:b/>
                <w:sz w:val="16"/>
              </w:rPr>
              <w:t>Concepto</w:t>
            </w:r>
          </w:p>
        </w:tc>
        <w:tc>
          <w:tcPr>
            <w:tcW w:w="988" w:type="pct"/>
            <w:tcBorders>
              <w:top w:val="single" w:sz="4" w:space="0" w:color="auto"/>
              <w:bottom w:val="single" w:sz="4" w:space="0" w:color="auto"/>
            </w:tcBorders>
            <w:vAlign w:val="center"/>
          </w:tcPr>
          <w:p w14:paraId="35B1154D" w14:textId="590C6615" w:rsidR="001B4A0E" w:rsidRPr="00E97E6A" w:rsidRDefault="003C2633" w:rsidP="007F209B">
            <w:pPr>
              <w:tabs>
                <w:tab w:val="left" w:pos="142"/>
              </w:tabs>
              <w:jc w:val="center"/>
              <w:rPr>
                <w:rFonts w:ascii="Arial" w:hAnsi="Arial" w:cs="Arial"/>
                <w:b/>
                <w:sz w:val="16"/>
              </w:rPr>
            </w:pPr>
            <w:r>
              <w:rPr>
                <w:rFonts w:ascii="Arial" w:hAnsi="Arial" w:cs="Arial"/>
                <w:b/>
                <w:sz w:val="16"/>
              </w:rPr>
              <w:t>3</w:t>
            </w:r>
            <w:r w:rsidR="00CA4B7E">
              <w:rPr>
                <w:rFonts w:ascii="Arial" w:hAnsi="Arial" w:cs="Arial"/>
                <w:b/>
                <w:sz w:val="16"/>
              </w:rPr>
              <w:t>1</w:t>
            </w:r>
            <w:r>
              <w:rPr>
                <w:rFonts w:ascii="Arial" w:hAnsi="Arial" w:cs="Arial"/>
                <w:b/>
                <w:sz w:val="16"/>
              </w:rPr>
              <w:t>/</w:t>
            </w:r>
            <w:r w:rsidR="00CA4B7E">
              <w:rPr>
                <w:rFonts w:ascii="Arial" w:hAnsi="Arial" w:cs="Arial"/>
                <w:b/>
                <w:sz w:val="16"/>
              </w:rPr>
              <w:t>12</w:t>
            </w:r>
            <w:r>
              <w:rPr>
                <w:rFonts w:ascii="Arial" w:hAnsi="Arial" w:cs="Arial"/>
                <w:b/>
                <w:sz w:val="16"/>
              </w:rPr>
              <w:t>/2019</w:t>
            </w:r>
          </w:p>
        </w:tc>
        <w:tc>
          <w:tcPr>
            <w:tcW w:w="987" w:type="pct"/>
            <w:tcBorders>
              <w:top w:val="single" w:sz="4" w:space="0" w:color="auto"/>
              <w:bottom w:val="single" w:sz="4" w:space="0" w:color="auto"/>
              <w:right w:val="single" w:sz="4" w:space="0" w:color="auto"/>
            </w:tcBorders>
            <w:vAlign w:val="center"/>
          </w:tcPr>
          <w:p w14:paraId="66EF1C80" w14:textId="03A03F82" w:rsidR="001B4A0E" w:rsidRPr="00E97E6A" w:rsidRDefault="001B4A0E" w:rsidP="008716E7">
            <w:pPr>
              <w:tabs>
                <w:tab w:val="left" w:pos="142"/>
              </w:tabs>
              <w:jc w:val="center"/>
              <w:rPr>
                <w:rFonts w:ascii="Arial" w:hAnsi="Arial" w:cs="Arial"/>
                <w:b/>
                <w:sz w:val="16"/>
              </w:rPr>
            </w:pPr>
            <w:r w:rsidRPr="00E97E6A">
              <w:rPr>
                <w:rFonts w:ascii="Arial" w:hAnsi="Arial" w:cs="Arial"/>
                <w:b/>
                <w:sz w:val="16"/>
              </w:rPr>
              <w:t>31/12/2018</w:t>
            </w:r>
          </w:p>
        </w:tc>
      </w:tr>
      <w:tr w:rsidR="001B4A0E" w:rsidRPr="00701F32" w14:paraId="51EFF33D" w14:textId="77777777" w:rsidTr="00E97E6A">
        <w:trPr>
          <w:trHeight w:val="230"/>
          <w:jc w:val="center"/>
        </w:trPr>
        <w:tc>
          <w:tcPr>
            <w:tcW w:w="3025" w:type="pct"/>
            <w:tcBorders>
              <w:top w:val="single" w:sz="4" w:space="0" w:color="auto"/>
              <w:left w:val="single" w:sz="4" w:space="0" w:color="auto"/>
            </w:tcBorders>
            <w:vAlign w:val="bottom"/>
          </w:tcPr>
          <w:p w14:paraId="0EB8149F" w14:textId="77777777" w:rsidR="001B4A0E" w:rsidRPr="00E97E6A" w:rsidRDefault="001B4A0E" w:rsidP="00C23045">
            <w:pPr>
              <w:ind w:left="154"/>
              <w:rPr>
                <w:rFonts w:ascii="Arial" w:hAnsi="Arial" w:cs="Arial"/>
                <w:sz w:val="16"/>
              </w:rPr>
            </w:pPr>
            <w:r w:rsidRPr="00E97E6A">
              <w:rPr>
                <w:rFonts w:ascii="Arial" w:hAnsi="Arial" w:cs="Arial"/>
                <w:sz w:val="16"/>
              </w:rPr>
              <w:t>Cuentas corrientes en el BCRA (*)</w:t>
            </w:r>
          </w:p>
        </w:tc>
        <w:tc>
          <w:tcPr>
            <w:tcW w:w="988" w:type="pct"/>
            <w:tcBorders>
              <w:top w:val="single" w:sz="4" w:space="0" w:color="auto"/>
            </w:tcBorders>
            <w:vAlign w:val="center"/>
          </w:tcPr>
          <w:p w14:paraId="1E6D31F5" w14:textId="1AAF3A5F" w:rsidR="001B4A0E" w:rsidRPr="00E97E6A" w:rsidRDefault="00A849E3" w:rsidP="00534414">
            <w:pPr>
              <w:tabs>
                <w:tab w:val="left" w:pos="142"/>
              </w:tabs>
              <w:jc w:val="right"/>
              <w:rPr>
                <w:rFonts w:ascii="Arial" w:hAnsi="Arial" w:cs="Arial"/>
                <w:sz w:val="16"/>
                <w:lang w:val="es-ES_tradnl"/>
              </w:rPr>
            </w:pPr>
            <w:r>
              <w:rPr>
                <w:rFonts w:ascii="Arial" w:hAnsi="Arial" w:cs="Arial"/>
                <w:sz w:val="16"/>
                <w:lang w:val="es-ES_tradnl"/>
              </w:rPr>
              <w:t>8.554.797</w:t>
            </w:r>
          </w:p>
        </w:tc>
        <w:tc>
          <w:tcPr>
            <w:tcW w:w="987" w:type="pct"/>
            <w:tcBorders>
              <w:top w:val="single" w:sz="4" w:space="0" w:color="auto"/>
              <w:right w:val="single" w:sz="4" w:space="0" w:color="auto"/>
            </w:tcBorders>
            <w:vAlign w:val="center"/>
          </w:tcPr>
          <w:p w14:paraId="46FBCC49" w14:textId="658AF1DA" w:rsidR="001B4A0E" w:rsidRPr="00E97E6A" w:rsidRDefault="001B4A0E" w:rsidP="00534414">
            <w:pPr>
              <w:tabs>
                <w:tab w:val="left" w:pos="142"/>
              </w:tabs>
              <w:jc w:val="right"/>
              <w:rPr>
                <w:rFonts w:ascii="Arial" w:hAnsi="Arial" w:cs="Arial"/>
                <w:sz w:val="16"/>
                <w:lang w:val="es-ES_tradnl"/>
              </w:rPr>
            </w:pPr>
            <w:r w:rsidRPr="00E97E6A">
              <w:rPr>
                <w:rFonts w:ascii="Arial" w:hAnsi="Arial" w:cs="Arial"/>
                <w:sz w:val="16"/>
                <w:lang w:val="es-ES_tradnl"/>
              </w:rPr>
              <w:t>14.874.753</w:t>
            </w:r>
          </w:p>
        </w:tc>
      </w:tr>
      <w:tr w:rsidR="001B4A0E" w:rsidRPr="00701F32" w14:paraId="1D61D350" w14:textId="77777777" w:rsidTr="00E97E6A">
        <w:trPr>
          <w:trHeight w:val="230"/>
          <w:jc w:val="center"/>
        </w:trPr>
        <w:tc>
          <w:tcPr>
            <w:tcW w:w="3025" w:type="pct"/>
            <w:tcBorders>
              <w:left w:val="single" w:sz="4" w:space="0" w:color="auto"/>
            </w:tcBorders>
            <w:vAlign w:val="bottom"/>
          </w:tcPr>
          <w:p w14:paraId="7D533EA0" w14:textId="77777777" w:rsidR="001B4A0E" w:rsidRPr="00E97E6A" w:rsidRDefault="001B4A0E" w:rsidP="00C23045">
            <w:pPr>
              <w:ind w:left="154"/>
              <w:rPr>
                <w:rFonts w:ascii="Arial" w:hAnsi="Arial" w:cs="Arial"/>
                <w:sz w:val="16"/>
              </w:rPr>
            </w:pPr>
            <w:r w:rsidRPr="00E97E6A">
              <w:rPr>
                <w:rFonts w:ascii="Arial" w:hAnsi="Arial" w:cs="Arial"/>
                <w:sz w:val="16"/>
              </w:rPr>
              <w:t>Cuentas a la vista en el BCRA (*)</w:t>
            </w:r>
          </w:p>
        </w:tc>
        <w:tc>
          <w:tcPr>
            <w:tcW w:w="988" w:type="pct"/>
            <w:vAlign w:val="center"/>
          </w:tcPr>
          <w:p w14:paraId="62AB905C" w14:textId="31838ADD" w:rsidR="001B4A0E" w:rsidRPr="00E97E6A" w:rsidRDefault="00A849E3" w:rsidP="00534414">
            <w:pPr>
              <w:tabs>
                <w:tab w:val="left" w:pos="142"/>
              </w:tabs>
              <w:jc w:val="right"/>
              <w:rPr>
                <w:rFonts w:ascii="Arial" w:hAnsi="Arial" w:cs="Arial"/>
                <w:sz w:val="16"/>
                <w:lang w:val="es-ES_tradnl"/>
              </w:rPr>
            </w:pPr>
            <w:r>
              <w:rPr>
                <w:rFonts w:ascii="Arial" w:hAnsi="Arial" w:cs="Arial"/>
                <w:sz w:val="16"/>
                <w:lang w:val="es-ES_tradnl"/>
              </w:rPr>
              <w:t>7.909.938</w:t>
            </w:r>
          </w:p>
        </w:tc>
        <w:tc>
          <w:tcPr>
            <w:tcW w:w="987" w:type="pct"/>
            <w:tcBorders>
              <w:right w:val="single" w:sz="4" w:space="0" w:color="auto"/>
            </w:tcBorders>
            <w:vAlign w:val="center"/>
          </w:tcPr>
          <w:p w14:paraId="7D968DA9" w14:textId="5E223DD9" w:rsidR="001B4A0E" w:rsidRPr="00E97E6A" w:rsidRDefault="001B4A0E" w:rsidP="00534414">
            <w:pPr>
              <w:tabs>
                <w:tab w:val="left" w:pos="142"/>
              </w:tabs>
              <w:jc w:val="right"/>
              <w:rPr>
                <w:rFonts w:ascii="Arial" w:hAnsi="Arial" w:cs="Arial"/>
                <w:sz w:val="16"/>
                <w:lang w:val="es-ES_tradnl"/>
              </w:rPr>
            </w:pPr>
            <w:r w:rsidRPr="00E97E6A">
              <w:rPr>
                <w:rFonts w:ascii="Arial" w:hAnsi="Arial" w:cs="Arial"/>
                <w:sz w:val="16"/>
                <w:lang w:val="es-ES_tradnl"/>
              </w:rPr>
              <w:t>12.889.135</w:t>
            </w:r>
          </w:p>
        </w:tc>
      </w:tr>
      <w:tr w:rsidR="001B4A0E" w:rsidRPr="00701F32" w14:paraId="36E28638" w14:textId="77777777" w:rsidTr="00E97E6A">
        <w:trPr>
          <w:trHeight w:val="230"/>
          <w:jc w:val="center"/>
        </w:trPr>
        <w:tc>
          <w:tcPr>
            <w:tcW w:w="3025" w:type="pct"/>
            <w:tcBorders>
              <w:left w:val="single" w:sz="4" w:space="0" w:color="auto"/>
            </w:tcBorders>
            <w:vAlign w:val="bottom"/>
          </w:tcPr>
          <w:p w14:paraId="4CF46B18" w14:textId="071ACB06" w:rsidR="001B4A0E" w:rsidRPr="00E97E6A" w:rsidRDefault="001B4A0E" w:rsidP="00C23045">
            <w:pPr>
              <w:ind w:left="154"/>
              <w:rPr>
                <w:rFonts w:ascii="Arial" w:hAnsi="Arial" w:cs="Arial"/>
                <w:sz w:val="16"/>
              </w:rPr>
            </w:pPr>
            <w:r w:rsidRPr="00E97E6A">
              <w:rPr>
                <w:rFonts w:ascii="Arial" w:hAnsi="Arial" w:cs="Arial"/>
                <w:sz w:val="16"/>
              </w:rPr>
              <w:t>Cuentas especiales de garantías en el BCRA (*)</w:t>
            </w:r>
          </w:p>
        </w:tc>
        <w:tc>
          <w:tcPr>
            <w:tcW w:w="988" w:type="pct"/>
            <w:vAlign w:val="center"/>
          </w:tcPr>
          <w:p w14:paraId="7EE80A3C" w14:textId="4D0CF236" w:rsidR="001B4A0E" w:rsidRPr="00E97E6A" w:rsidRDefault="00A849E3" w:rsidP="00534414">
            <w:pPr>
              <w:tabs>
                <w:tab w:val="left" w:pos="142"/>
              </w:tabs>
              <w:jc w:val="right"/>
              <w:rPr>
                <w:rFonts w:ascii="Arial" w:hAnsi="Arial" w:cs="Arial"/>
                <w:sz w:val="16"/>
                <w:lang w:val="es-ES_tradnl"/>
              </w:rPr>
            </w:pPr>
            <w:r>
              <w:rPr>
                <w:rFonts w:ascii="Arial" w:hAnsi="Arial" w:cs="Arial"/>
                <w:sz w:val="16"/>
                <w:lang w:val="es-ES_tradnl"/>
              </w:rPr>
              <w:t>1.979.535</w:t>
            </w:r>
          </w:p>
        </w:tc>
        <w:tc>
          <w:tcPr>
            <w:tcW w:w="987" w:type="pct"/>
            <w:tcBorders>
              <w:right w:val="single" w:sz="4" w:space="0" w:color="auto"/>
            </w:tcBorders>
            <w:vAlign w:val="center"/>
          </w:tcPr>
          <w:p w14:paraId="57BD590D" w14:textId="6ACE1427" w:rsidR="001B4A0E" w:rsidRPr="00E97E6A" w:rsidRDefault="001B4A0E" w:rsidP="00534414">
            <w:pPr>
              <w:tabs>
                <w:tab w:val="left" w:pos="142"/>
              </w:tabs>
              <w:jc w:val="right"/>
              <w:rPr>
                <w:rFonts w:ascii="Arial" w:hAnsi="Arial" w:cs="Arial"/>
                <w:sz w:val="16"/>
                <w:lang w:val="es-ES_tradnl"/>
              </w:rPr>
            </w:pPr>
            <w:r w:rsidRPr="00E97E6A">
              <w:rPr>
                <w:rFonts w:ascii="Arial" w:hAnsi="Arial" w:cs="Arial"/>
                <w:sz w:val="16"/>
                <w:lang w:val="es-ES_tradnl"/>
              </w:rPr>
              <w:t>1.256.084</w:t>
            </w:r>
          </w:p>
        </w:tc>
      </w:tr>
      <w:tr w:rsidR="00A849E3" w:rsidRPr="00701F32" w14:paraId="3340FF5F" w14:textId="77777777" w:rsidTr="00E97E6A">
        <w:trPr>
          <w:trHeight w:val="230"/>
          <w:jc w:val="center"/>
        </w:trPr>
        <w:tc>
          <w:tcPr>
            <w:tcW w:w="3025" w:type="pct"/>
            <w:tcBorders>
              <w:left w:val="single" w:sz="4" w:space="0" w:color="auto"/>
            </w:tcBorders>
            <w:vAlign w:val="bottom"/>
          </w:tcPr>
          <w:p w14:paraId="1D92881D" w14:textId="3C2350A0" w:rsidR="00A849E3" w:rsidRPr="00E97E6A" w:rsidRDefault="00A849E3" w:rsidP="00C23045">
            <w:pPr>
              <w:ind w:left="154"/>
              <w:rPr>
                <w:rFonts w:ascii="Arial" w:hAnsi="Arial" w:cs="Arial"/>
                <w:sz w:val="16"/>
              </w:rPr>
            </w:pPr>
            <w:r>
              <w:rPr>
                <w:rFonts w:ascii="Arial" w:hAnsi="Arial" w:cs="Arial"/>
                <w:sz w:val="16"/>
              </w:rPr>
              <w:t>Cuentes esp.para acreditación de hab.prev (*)</w:t>
            </w:r>
          </w:p>
        </w:tc>
        <w:tc>
          <w:tcPr>
            <w:tcW w:w="988" w:type="pct"/>
            <w:vAlign w:val="center"/>
          </w:tcPr>
          <w:p w14:paraId="197C9163" w14:textId="2FB14C61" w:rsidR="00A849E3" w:rsidRPr="00E97E6A" w:rsidRDefault="00A849E3" w:rsidP="00534414">
            <w:pPr>
              <w:tabs>
                <w:tab w:val="left" w:pos="142"/>
              </w:tabs>
              <w:jc w:val="right"/>
              <w:rPr>
                <w:rFonts w:ascii="Arial" w:hAnsi="Arial" w:cs="Arial"/>
                <w:sz w:val="16"/>
                <w:lang w:val="es-ES_tradnl"/>
              </w:rPr>
            </w:pPr>
            <w:r>
              <w:rPr>
                <w:rFonts w:ascii="Arial" w:hAnsi="Arial" w:cs="Arial"/>
                <w:sz w:val="16"/>
                <w:lang w:val="es-ES_tradnl"/>
              </w:rPr>
              <w:t>1.836</w:t>
            </w:r>
          </w:p>
        </w:tc>
        <w:tc>
          <w:tcPr>
            <w:tcW w:w="987" w:type="pct"/>
            <w:tcBorders>
              <w:right w:val="single" w:sz="4" w:space="0" w:color="auto"/>
            </w:tcBorders>
            <w:vAlign w:val="center"/>
          </w:tcPr>
          <w:p w14:paraId="5AE23611" w14:textId="04B4D9D0" w:rsidR="00A849E3" w:rsidRPr="00E97E6A" w:rsidRDefault="00A849E3" w:rsidP="00534414">
            <w:pPr>
              <w:tabs>
                <w:tab w:val="left" w:pos="142"/>
              </w:tabs>
              <w:jc w:val="right"/>
              <w:rPr>
                <w:rFonts w:ascii="Arial" w:hAnsi="Arial" w:cs="Arial"/>
                <w:sz w:val="16"/>
                <w:lang w:val="es-ES_tradnl"/>
              </w:rPr>
            </w:pPr>
            <w:r>
              <w:rPr>
                <w:rFonts w:ascii="Arial" w:hAnsi="Arial" w:cs="Arial"/>
                <w:sz w:val="16"/>
                <w:lang w:val="es-ES_tradnl"/>
              </w:rPr>
              <w:t>-</w:t>
            </w:r>
          </w:p>
        </w:tc>
      </w:tr>
      <w:tr w:rsidR="001B4A0E" w:rsidRPr="00701F32" w14:paraId="03AE1FFA" w14:textId="77777777" w:rsidTr="00E97E6A">
        <w:trPr>
          <w:trHeight w:val="314"/>
          <w:jc w:val="center"/>
        </w:trPr>
        <w:tc>
          <w:tcPr>
            <w:tcW w:w="3025" w:type="pct"/>
            <w:tcBorders>
              <w:top w:val="single" w:sz="4" w:space="0" w:color="auto"/>
              <w:left w:val="single" w:sz="4" w:space="0" w:color="auto"/>
              <w:bottom w:val="single" w:sz="4" w:space="0" w:color="auto"/>
            </w:tcBorders>
            <w:vAlign w:val="bottom"/>
          </w:tcPr>
          <w:p w14:paraId="79428B72" w14:textId="77777777" w:rsidR="001B4A0E" w:rsidRPr="00E97E6A" w:rsidRDefault="001B4A0E" w:rsidP="00C23045">
            <w:pPr>
              <w:rPr>
                <w:rFonts w:ascii="Arial" w:hAnsi="Arial" w:cs="Arial"/>
                <w:b/>
                <w:sz w:val="16"/>
              </w:rPr>
            </w:pPr>
            <w:r w:rsidRPr="00E97E6A">
              <w:rPr>
                <w:rFonts w:ascii="Arial" w:hAnsi="Arial" w:cs="Arial"/>
                <w:b/>
                <w:sz w:val="16"/>
              </w:rPr>
              <w:t xml:space="preserve">   Total</w:t>
            </w:r>
          </w:p>
        </w:tc>
        <w:tc>
          <w:tcPr>
            <w:tcW w:w="988" w:type="pct"/>
            <w:tcBorders>
              <w:top w:val="single" w:sz="4" w:space="0" w:color="auto"/>
              <w:bottom w:val="single" w:sz="4" w:space="0" w:color="auto"/>
            </w:tcBorders>
            <w:vAlign w:val="center"/>
          </w:tcPr>
          <w:p w14:paraId="1E58BCDF" w14:textId="40205695" w:rsidR="001B4A0E" w:rsidRPr="00E97E6A" w:rsidRDefault="00A849E3" w:rsidP="00534414">
            <w:pPr>
              <w:tabs>
                <w:tab w:val="left" w:pos="142"/>
              </w:tabs>
              <w:jc w:val="right"/>
              <w:rPr>
                <w:rFonts w:ascii="Arial" w:hAnsi="Arial" w:cs="Arial"/>
                <w:b/>
                <w:sz w:val="16"/>
                <w:lang w:val="es-ES_tradnl"/>
              </w:rPr>
            </w:pPr>
            <w:r>
              <w:rPr>
                <w:rFonts w:ascii="Arial" w:hAnsi="Arial" w:cs="Arial"/>
                <w:b/>
                <w:sz w:val="16"/>
                <w:lang w:val="es-ES_tradnl"/>
              </w:rPr>
              <w:t>18.</w:t>
            </w:r>
            <w:r w:rsidR="008007ED">
              <w:rPr>
                <w:rFonts w:ascii="Arial" w:hAnsi="Arial" w:cs="Arial"/>
                <w:b/>
                <w:sz w:val="16"/>
                <w:lang w:val="es-ES_tradnl"/>
              </w:rPr>
              <w:t>44</w:t>
            </w:r>
            <w:r w:rsidR="0035700B">
              <w:rPr>
                <w:rFonts w:ascii="Arial" w:hAnsi="Arial" w:cs="Arial"/>
                <w:b/>
                <w:sz w:val="16"/>
                <w:lang w:val="es-ES_tradnl"/>
              </w:rPr>
              <w:t>6</w:t>
            </w:r>
            <w:r w:rsidR="008007ED">
              <w:rPr>
                <w:rFonts w:ascii="Arial" w:hAnsi="Arial" w:cs="Arial"/>
                <w:b/>
                <w:sz w:val="16"/>
                <w:lang w:val="es-ES_tradnl"/>
              </w:rPr>
              <w:t>.10</w:t>
            </w:r>
            <w:r w:rsidR="009C7E42">
              <w:rPr>
                <w:rFonts w:ascii="Arial" w:hAnsi="Arial" w:cs="Arial"/>
                <w:b/>
                <w:sz w:val="16"/>
                <w:lang w:val="es-ES_tradnl"/>
              </w:rPr>
              <w:t>6</w:t>
            </w:r>
          </w:p>
        </w:tc>
        <w:tc>
          <w:tcPr>
            <w:tcW w:w="987" w:type="pct"/>
            <w:tcBorders>
              <w:top w:val="single" w:sz="4" w:space="0" w:color="auto"/>
              <w:bottom w:val="single" w:sz="4" w:space="0" w:color="auto"/>
              <w:right w:val="single" w:sz="4" w:space="0" w:color="auto"/>
            </w:tcBorders>
            <w:vAlign w:val="center"/>
          </w:tcPr>
          <w:p w14:paraId="08EC7B25" w14:textId="26DD998F" w:rsidR="001B4A0E" w:rsidRPr="00E97E6A" w:rsidRDefault="001B4A0E" w:rsidP="00534414">
            <w:pPr>
              <w:tabs>
                <w:tab w:val="left" w:pos="142"/>
              </w:tabs>
              <w:jc w:val="right"/>
              <w:rPr>
                <w:rFonts w:ascii="Arial" w:hAnsi="Arial" w:cs="Arial"/>
                <w:b/>
                <w:sz w:val="16"/>
                <w:lang w:val="es-ES_tradnl"/>
              </w:rPr>
            </w:pPr>
            <w:r w:rsidRPr="00E97E6A">
              <w:rPr>
                <w:rFonts w:ascii="Arial" w:hAnsi="Arial" w:cs="Arial"/>
                <w:b/>
                <w:sz w:val="16"/>
                <w:lang w:val="es-ES_tradnl"/>
              </w:rPr>
              <w:t>29.019.972</w:t>
            </w:r>
          </w:p>
        </w:tc>
      </w:tr>
    </w:tbl>
    <w:p w14:paraId="4A0D77C9" w14:textId="77777777" w:rsidR="00656E62" w:rsidRPr="00701F32" w:rsidRDefault="00656E62" w:rsidP="00656E62">
      <w:pPr>
        <w:tabs>
          <w:tab w:val="left" w:pos="142"/>
        </w:tabs>
        <w:jc w:val="both"/>
        <w:rPr>
          <w:rFonts w:ascii="Arial" w:hAnsi="Arial" w:cs="Arial"/>
          <w:sz w:val="20"/>
        </w:rPr>
      </w:pPr>
    </w:p>
    <w:p w14:paraId="01B93C2E" w14:textId="77777777" w:rsidR="00656E62" w:rsidRPr="00701F32" w:rsidRDefault="00656E62" w:rsidP="00656E62">
      <w:pPr>
        <w:tabs>
          <w:tab w:val="left" w:pos="142"/>
        </w:tabs>
        <w:jc w:val="both"/>
        <w:rPr>
          <w:rFonts w:ascii="Arial" w:hAnsi="Arial" w:cs="Arial"/>
          <w:sz w:val="20"/>
        </w:rPr>
      </w:pPr>
      <w:r w:rsidRPr="00701F32">
        <w:rPr>
          <w:rFonts w:ascii="Arial" w:hAnsi="Arial" w:cs="Arial"/>
          <w:sz w:val="20"/>
        </w:rPr>
        <w:t xml:space="preserve"> (*) Corresponden a saldos según extractos bancarios.</w:t>
      </w:r>
    </w:p>
    <w:p w14:paraId="3A46623D" w14:textId="77777777" w:rsidR="00656E62" w:rsidRPr="00701F32" w:rsidRDefault="00656E62" w:rsidP="00656E62">
      <w:pPr>
        <w:tabs>
          <w:tab w:val="left" w:pos="142"/>
        </w:tabs>
        <w:jc w:val="both"/>
        <w:rPr>
          <w:rFonts w:ascii="Arial" w:hAnsi="Arial" w:cs="Arial"/>
          <w:sz w:val="20"/>
        </w:rPr>
      </w:pPr>
    </w:p>
    <w:p w14:paraId="39339A7A" w14:textId="53B9347E" w:rsidR="00976DC6" w:rsidRPr="00701F32" w:rsidRDefault="00656E62" w:rsidP="00976DC6">
      <w:pPr>
        <w:tabs>
          <w:tab w:val="left" w:pos="142"/>
        </w:tabs>
        <w:jc w:val="both"/>
        <w:rPr>
          <w:rFonts w:ascii="Arial" w:hAnsi="Arial" w:cs="Arial"/>
          <w:sz w:val="20"/>
        </w:rPr>
      </w:pPr>
      <w:r w:rsidRPr="00701F32">
        <w:rPr>
          <w:rFonts w:ascii="Arial" w:hAnsi="Arial" w:cs="Arial"/>
          <w:sz w:val="20"/>
        </w:rPr>
        <w:t>Cabe señalar que en dichas fechas la Entidad no presentaba incumplimientos en la integración del efectivo mínimo</w:t>
      </w:r>
      <w:r w:rsidR="007A783F" w:rsidRPr="00701F32">
        <w:rPr>
          <w:rFonts w:ascii="Arial" w:hAnsi="Arial" w:cs="Arial"/>
          <w:sz w:val="20"/>
        </w:rPr>
        <w:t>.</w:t>
      </w:r>
      <w:r w:rsidR="00976DC6" w:rsidRPr="00701F32">
        <w:rPr>
          <w:rFonts w:ascii="Arial" w:hAnsi="Arial" w:cs="Arial"/>
          <w:sz w:val="20"/>
        </w:rPr>
        <w:t xml:space="preserve"> </w:t>
      </w:r>
    </w:p>
    <w:p w14:paraId="0BB9FC69" w14:textId="77777777" w:rsidR="00656E62" w:rsidRPr="00701F32" w:rsidRDefault="00656E62" w:rsidP="00656E62">
      <w:pPr>
        <w:tabs>
          <w:tab w:val="left" w:pos="142"/>
        </w:tabs>
        <w:jc w:val="both"/>
        <w:rPr>
          <w:rFonts w:ascii="Arial" w:hAnsi="Arial" w:cs="Arial"/>
          <w:sz w:val="20"/>
        </w:rPr>
      </w:pPr>
    </w:p>
    <w:p w14:paraId="7915038F" w14:textId="44076E0A" w:rsidR="00656E62" w:rsidRPr="00701F32" w:rsidRDefault="00CA4B7E" w:rsidP="00656E62">
      <w:pPr>
        <w:tabs>
          <w:tab w:val="left" w:pos="142"/>
        </w:tabs>
        <w:jc w:val="both"/>
        <w:rPr>
          <w:rFonts w:ascii="Arial" w:hAnsi="Arial" w:cs="Arial"/>
          <w:b/>
          <w:sz w:val="20"/>
        </w:rPr>
      </w:pPr>
      <w:r>
        <w:rPr>
          <w:rFonts w:ascii="Arial" w:hAnsi="Arial" w:cs="Arial"/>
          <w:b/>
          <w:sz w:val="20"/>
        </w:rPr>
        <w:t>14</w:t>
      </w:r>
      <w:r w:rsidR="00656E62" w:rsidRPr="00701F32">
        <w:rPr>
          <w:rFonts w:ascii="Arial" w:hAnsi="Arial" w:cs="Arial"/>
          <w:b/>
          <w:sz w:val="20"/>
        </w:rPr>
        <w:t>.7 Sanciones aplicadas a la Entidad financiera y sumarios iniciados por el BCRA</w:t>
      </w:r>
    </w:p>
    <w:p w14:paraId="7ABE3596" w14:textId="77777777" w:rsidR="00ED5289" w:rsidRPr="00701F32" w:rsidRDefault="00ED5289" w:rsidP="00ED5289">
      <w:pPr>
        <w:tabs>
          <w:tab w:val="left" w:pos="142"/>
        </w:tabs>
        <w:jc w:val="both"/>
        <w:rPr>
          <w:rFonts w:ascii="Arial" w:hAnsi="Arial" w:cs="Arial"/>
          <w:sz w:val="20"/>
        </w:rPr>
      </w:pPr>
    </w:p>
    <w:p w14:paraId="31D9811D" w14:textId="77777777" w:rsidR="00B00089" w:rsidRPr="00A23BBB" w:rsidRDefault="00B00089" w:rsidP="00B00089">
      <w:pPr>
        <w:tabs>
          <w:tab w:val="left" w:pos="142"/>
        </w:tabs>
        <w:jc w:val="both"/>
        <w:rPr>
          <w:rFonts w:ascii="Arial" w:hAnsi="Arial" w:cs="Arial"/>
          <w:b/>
          <w:sz w:val="20"/>
        </w:rPr>
      </w:pPr>
      <w:r w:rsidRPr="00A23BBB">
        <w:rPr>
          <w:rFonts w:ascii="Arial" w:hAnsi="Arial" w:cs="Arial"/>
          <w:b/>
          <w:sz w:val="20"/>
        </w:rPr>
        <w:t xml:space="preserve">1. </w:t>
      </w:r>
      <w:r w:rsidRPr="00A23BBB">
        <w:rPr>
          <w:rFonts w:ascii="Arial" w:hAnsi="Arial" w:cs="Arial"/>
          <w:b/>
          <w:sz w:val="20"/>
          <w:u w:val="single"/>
        </w:rPr>
        <w:t>Sumarios iniciados por el BCRA</w:t>
      </w:r>
    </w:p>
    <w:p w14:paraId="003B16A6" w14:textId="77777777" w:rsidR="00B00089" w:rsidRPr="00701F32" w:rsidRDefault="00B00089" w:rsidP="00B00089">
      <w:pPr>
        <w:tabs>
          <w:tab w:val="left" w:pos="142"/>
        </w:tabs>
        <w:jc w:val="both"/>
        <w:rPr>
          <w:rFonts w:ascii="Arial" w:hAnsi="Arial" w:cs="Arial"/>
          <w:sz w:val="20"/>
        </w:rPr>
      </w:pPr>
    </w:p>
    <w:p w14:paraId="75E08680" w14:textId="77777777" w:rsidR="00B00089" w:rsidRPr="00701F32" w:rsidRDefault="00B00089" w:rsidP="00B00089">
      <w:pPr>
        <w:tabs>
          <w:tab w:val="left" w:pos="142"/>
        </w:tabs>
        <w:jc w:val="both"/>
        <w:rPr>
          <w:rFonts w:ascii="Arial" w:hAnsi="Arial" w:cs="Arial"/>
          <w:sz w:val="20"/>
        </w:rPr>
      </w:pPr>
      <w:r>
        <w:rPr>
          <w:rFonts w:ascii="Arial" w:hAnsi="Arial" w:cs="Arial"/>
          <w:sz w:val="20"/>
        </w:rPr>
        <w:t>1</w:t>
      </w:r>
      <w:r w:rsidRPr="00701F32">
        <w:rPr>
          <w:rFonts w:ascii="Arial" w:hAnsi="Arial" w:cs="Arial"/>
          <w:sz w:val="20"/>
        </w:rPr>
        <w:t>.1. Banco Central de la República Argentina: “Supervielle S/ Sumario Penal Cambiario. Expte. Nº 100.936/07 (3928)”:</w:t>
      </w:r>
    </w:p>
    <w:p w14:paraId="4194DACB" w14:textId="77777777" w:rsidR="00B00089" w:rsidRPr="00701F32" w:rsidRDefault="00B00089" w:rsidP="00B00089">
      <w:pPr>
        <w:tabs>
          <w:tab w:val="left" w:pos="142"/>
        </w:tabs>
        <w:jc w:val="both"/>
        <w:rPr>
          <w:rFonts w:ascii="Arial" w:hAnsi="Arial" w:cs="Arial"/>
          <w:sz w:val="20"/>
        </w:rPr>
      </w:pPr>
    </w:p>
    <w:p w14:paraId="069A78CA" w14:textId="77777777" w:rsidR="00B00089" w:rsidRPr="00701F32" w:rsidRDefault="00B00089" w:rsidP="00B00089">
      <w:pPr>
        <w:tabs>
          <w:tab w:val="left" w:pos="142"/>
        </w:tabs>
        <w:jc w:val="both"/>
        <w:rPr>
          <w:rFonts w:ascii="Arial" w:hAnsi="Arial" w:cs="Arial"/>
          <w:sz w:val="20"/>
        </w:rPr>
      </w:pPr>
      <w:r w:rsidRPr="00701F32">
        <w:rPr>
          <w:rFonts w:ascii="Arial" w:hAnsi="Arial" w:cs="Arial"/>
          <w:sz w:val="20"/>
          <w:u w:val="single"/>
        </w:rPr>
        <w:t>Fecha de notificación y N° de sumario</w:t>
      </w:r>
      <w:r w:rsidRPr="00701F32">
        <w:rPr>
          <w:rFonts w:ascii="Arial" w:hAnsi="Arial" w:cs="Arial"/>
          <w:sz w:val="20"/>
        </w:rPr>
        <w:t>: iniciado por Resolución N° 535 del 8 de septiembre de 2008.</w:t>
      </w:r>
    </w:p>
    <w:p w14:paraId="6F188518" w14:textId="77777777" w:rsidR="00B00089" w:rsidRPr="00701F32" w:rsidRDefault="00B00089" w:rsidP="00B00089">
      <w:pPr>
        <w:tabs>
          <w:tab w:val="left" w:pos="142"/>
        </w:tabs>
        <w:jc w:val="both"/>
        <w:rPr>
          <w:rFonts w:ascii="Arial" w:hAnsi="Arial" w:cs="Arial"/>
          <w:sz w:val="20"/>
        </w:rPr>
      </w:pPr>
      <w:r w:rsidRPr="00701F32">
        <w:rPr>
          <w:rFonts w:ascii="Arial" w:hAnsi="Arial" w:cs="Arial"/>
          <w:sz w:val="20"/>
          <w:u w:val="single"/>
        </w:rPr>
        <w:t>Cargo imputado</w:t>
      </w:r>
      <w:r w:rsidRPr="00701F32">
        <w:rPr>
          <w:rFonts w:ascii="Arial" w:hAnsi="Arial" w:cs="Arial"/>
          <w:sz w:val="20"/>
        </w:rPr>
        <w:t>: Exceso en venta de dólares estadounidenses.</w:t>
      </w:r>
    </w:p>
    <w:p w14:paraId="1AB6CDE7" w14:textId="77777777" w:rsidR="00B00089" w:rsidRPr="00701F32" w:rsidRDefault="00B00089" w:rsidP="00B00089">
      <w:pPr>
        <w:tabs>
          <w:tab w:val="left" w:pos="142"/>
        </w:tabs>
        <w:jc w:val="both"/>
        <w:rPr>
          <w:rFonts w:ascii="Arial" w:hAnsi="Arial" w:cs="Arial"/>
          <w:sz w:val="20"/>
        </w:rPr>
      </w:pPr>
      <w:r w:rsidRPr="00701F32">
        <w:rPr>
          <w:rFonts w:ascii="Arial" w:hAnsi="Arial" w:cs="Arial"/>
          <w:sz w:val="20"/>
          <w:u w:val="single"/>
        </w:rPr>
        <w:t>Personas Sumariadas</w:t>
      </w:r>
      <w:r w:rsidRPr="00701F32">
        <w:rPr>
          <w:rFonts w:ascii="Arial" w:hAnsi="Arial" w:cs="Arial"/>
          <w:sz w:val="20"/>
        </w:rPr>
        <w:t>: Ricardo Pablo Villaverde, Raúl Oscar Pastor, Christian Bellanti, Fernando Suarez y de las Sras. Andrea Marisa Suarez, Eleonora Gabriela Laurini de Morolli.</w:t>
      </w:r>
    </w:p>
    <w:p w14:paraId="7205C4D9" w14:textId="77777777" w:rsidR="00B00089" w:rsidRPr="00701F32" w:rsidRDefault="00B00089" w:rsidP="00B00089">
      <w:pPr>
        <w:tabs>
          <w:tab w:val="left" w:pos="142"/>
        </w:tabs>
        <w:jc w:val="both"/>
        <w:rPr>
          <w:rFonts w:ascii="Arial" w:hAnsi="Arial" w:cs="Arial"/>
          <w:sz w:val="20"/>
        </w:rPr>
      </w:pPr>
      <w:r w:rsidRPr="00701F32">
        <w:rPr>
          <w:rFonts w:ascii="Arial" w:hAnsi="Arial" w:cs="Arial"/>
          <w:sz w:val="20"/>
          <w:u w:val="single"/>
        </w:rPr>
        <w:t>Estado Actual</w:t>
      </w:r>
      <w:r w:rsidRPr="00701F32">
        <w:rPr>
          <w:rFonts w:ascii="Arial" w:hAnsi="Arial" w:cs="Arial"/>
          <w:sz w:val="20"/>
        </w:rPr>
        <w:t>: con fecha 25 de junio de 2013 el BCRA resolvió no hacer lugar a la excepción de falta de acción por prescripción de la acción penal interpuesta como así tampoco a la aplicación del principio de ley penal más benigna; contra ello la Entidad presentó recurso de apelación. Con fecha 9 de febrero de 2015, se resolvió no conceder el recurso de apelación interpuesto.</w:t>
      </w:r>
    </w:p>
    <w:p w14:paraId="625D9FEE" w14:textId="77777777" w:rsidR="00B00089" w:rsidRPr="00701F32" w:rsidRDefault="00B00089" w:rsidP="00B00089">
      <w:pPr>
        <w:tabs>
          <w:tab w:val="left" w:pos="142"/>
        </w:tabs>
        <w:jc w:val="both"/>
        <w:rPr>
          <w:rFonts w:ascii="Arial" w:hAnsi="Arial" w:cs="Arial"/>
          <w:sz w:val="20"/>
        </w:rPr>
      </w:pPr>
    </w:p>
    <w:p w14:paraId="3CCD6B44" w14:textId="77777777" w:rsidR="00B00089" w:rsidRDefault="00B00089" w:rsidP="00B00089">
      <w:pPr>
        <w:tabs>
          <w:tab w:val="left" w:pos="142"/>
        </w:tabs>
        <w:jc w:val="both"/>
        <w:rPr>
          <w:rFonts w:ascii="Arial" w:hAnsi="Arial" w:cs="Arial"/>
          <w:sz w:val="20"/>
        </w:rPr>
      </w:pPr>
      <w:r w:rsidRPr="00701F32">
        <w:rPr>
          <w:rFonts w:ascii="Arial" w:hAnsi="Arial" w:cs="Arial"/>
          <w:sz w:val="20"/>
        </w:rPr>
        <w:t>A raíz de ello, con fecha 20 de febrero de 2015, la Entidad interpuso recurso de queja el cual quedó radicado en el Juzgado Nacional en lo Penal Económico N° 5, bajo el N° 111/15. Con fecha 13 de abril de 2015 dicho Juzgado resolvió rechazar la queja, de modo que el 24 de abril de 2015 se devolvió el expediente al BCRA. Con fecha 3 de noviembre de 2015 se presentó ante el BCRA el memorial correspondiente en los términos del art. 8 inc c) de la Ley de Régimen Penal Cambiario.</w:t>
      </w:r>
    </w:p>
    <w:p w14:paraId="2F98E892" w14:textId="77777777" w:rsidR="00B00089" w:rsidRPr="00701F32" w:rsidRDefault="00B00089" w:rsidP="00B00089">
      <w:pPr>
        <w:tabs>
          <w:tab w:val="left" w:pos="142"/>
        </w:tabs>
        <w:jc w:val="both"/>
        <w:rPr>
          <w:rFonts w:ascii="Arial" w:hAnsi="Arial" w:cs="Arial"/>
          <w:sz w:val="20"/>
        </w:rPr>
      </w:pPr>
    </w:p>
    <w:p w14:paraId="181EECDA" w14:textId="77777777" w:rsidR="00B00089" w:rsidRPr="00701F32" w:rsidRDefault="00B00089" w:rsidP="00B00089">
      <w:pPr>
        <w:tabs>
          <w:tab w:val="left" w:pos="142"/>
        </w:tabs>
        <w:jc w:val="both"/>
        <w:rPr>
          <w:rFonts w:ascii="Arial" w:hAnsi="Arial" w:cs="Arial"/>
          <w:sz w:val="20"/>
        </w:rPr>
      </w:pPr>
      <w:r w:rsidRPr="00701F32">
        <w:rPr>
          <w:rFonts w:ascii="Arial" w:hAnsi="Arial" w:cs="Arial"/>
          <w:sz w:val="20"/>
        </w:rPr>
        <w:t xml:space="preserve">Luego de ello, concluido el trámite del sumario cambiario de referencia en el Banco Central de la República Argentina, ese organismo –según lo dispuesto por el art. 8° de la Ley del Régimen Penal Cambiario -, se elevó para el sorteo a la Excelentísima Cámara de Apelaciones del Fuero Penal económico en estado de conclusa para definitiva a fin de que se continuara la tramitación de conformidad con lo dispuesto por el art.9 de la ley 19.359 (T.O. por Decreto N° 480/95). Quedando el expediente radicado por ante el Juzgado Nacional en lo Penal Económico N° 5, Secretaría 9 bajo el N° 121/16 donde el 25 de agosto de 2016 se acompañó a audiencia art. 41 a Suarez Andrea, Morolli y Bellanti. Por Fernando Suarez, se dejó escrito haciendo constar que aún no se ha podido contactar. </w:t>
      </w:r>
      <w:r>
        <w:rPr>
          <w:rFonts w:ascii="Arial" w:hAnsi="Arial" w:cs="Arial"/>
          <w:sz w:val="20"/>
        </w:rPr>
        <w:t>A la fecha</w:t>
      </w:r>
      <w:r w:rsidRPr="00701F32">
        <w:rPr>
          <w:rFonts w:ascii="Arial" w:hAnsi="Arial" w:cs="Arial"/>
          <w:sz w:val="20"/>
        </w:rPr>
        <w:t xml:space="preserve"> no hay novedades.</w:t>
      </w:r>
    </w:p>
    <w:p w14:paraId="7571296E" w14:textId="77777777" w:rsidR="00B00089" w:rsidRPr="00701F32" w:rsidRDefault="00B00089" w:rsidP="00B00089">
      <w:pPr>
        <w:tabs>
          <w:tab w:val="left" w:pos="142"/>
        </w:tabs>
        <w:jc w:val="both"/>
        <w:rPr>
          <w:rFonts w:ascii="Arial" w:hAnsi="Arial" w:cs="Arial"/>
          <w:sz w:val="20"/>
        </w:rPr>
      </w:pPr>
    </w:p>
    <w:p w14:paraId="114F50AF" w14:textId="77777777" w:rsidR="00B00089" w:rsidRPr="00701F32" w:rsidRDefault="00B00089" w:rsidP="00B00089">
      <w:pPr>
        <w:tabs>
          <w:tab w:val="left" w:pos="142"/>
        </w:tabs>
        <w:jc w:val="both"/>
        <w:rPr>
          <w:rFonts w:ascii="Arial" w:hAnsi="Arial" w:cs="Arial"/>
          <w:sz w:val="20"/>
        </w:rPr>
      </w:pPr>
      <w:r w:rsidRPr="00701F32">
        <w:rPr>
          <w:rFonts w:ascii="Arial" w:hAnsi="Arial" w:cs="Arial"/>
          <w:sz w:val="20"/>
        </w:rPr>
        <w:t>La defensa de Ricardo Pablo Villaverde planteó la extinción de la acción penal por aplicación de la ley penal más benigna que fue rechazada por el Juzgado, y al apelar, la Sala A de la Cámara Nacional de Apelaciones en lo Penal Económico revocó dicha resolución e hizo lugar al planteo. El Ministerio Público Fiscal presentó Recurso Extraordinario contra la resolución de Cámara que, con fecha 21 de noviembre de 2017, fue rechazado ante lo cual el Fiscal presentó queja ante la Corte Suprema de Justicia de la Nación que en este momento se encuentra a estudio.</w:t>
      </w:r>
    </w:p>
    <w:p w14:paraId="2AD6F675" w14:textId="77777777" w:rsidR="00B00089" w:rsidRPr="00701F32" w:rsidRDefault="00B00089" w:rsidP="00B00089">
      <w:pPr>
        <w:tabs>
          <w:tab w:val="left" w:pos="142"/>
        </w:tabs>
        <w:jc w:val="both"/>
        <w:rPr>
          <w:rFonts w:ascii="Arial" w:hAnsi="Arial" w:cs="Arial"/>
          <w:sz w:val="20"/>
        </w:rPr>
      </w:pPr>
    </w:p>
    <w:p w14:paraId="13B9B8C7" w14:textId="77777777" w:rsidR="00B00089" w:rsidRPr="00701F32" w:rsidRDefault="00B00089" w:rsidP="00B00089">
      <w:pPr>
        <w:tabs>
          <w:tab w:val="left" w:pos="142"/>
        </w:tabs>
        <w:jc w:val="both"/>
        <w:rPr>
          <w:rFonts w:ascii="Arial" w:hAnsi="Arial" w:cs="Arial"/>
          <w:sz w:val="20"/>
        </w:rPr>
      </w:pPr>
      <w:r>
        <w:rPr>
          <w:rFonts w:ascii="Arial" w:hAnsi="Arial" w:cs="Arial"/>
          <w:sz w:val="20"/>
        </w:rPr>
        <w:t>1</w:t>
      </w:r>
      <w:r w:rsidRPr="00701F32">
        <w:rPr>
          <w:rFonts w:ascii="Arial" w:hAnsi="Arial" w:cs="Arial"/>
          <w:sz w:val="20"/>
        </w:rPr>
        <w:t>.2. Supervielle S/Sumario Penal Cambiario Expte. N° 48.225/07 (5424).</w:t>
      </w:r>
    </w:p>
    <w:p w14:paraId="56F26EB4" w14:textId="77777777" w:rsidR="00B00089" w:rsidRPr="00701F32" w:rsidRDefault="00B00089" w:rsidP="00B00089">
      <w:pPr>
        <w:tabs>
          <w:tab w:val="left" w:pos="142"/>
        </w:tabs>
        <w:jc w:val="both"/>
        <w:rPr>
          <w:rFonts w:ascii="Arial" w:hAnsi="Arial" w:cs="Arial"/>
          <w:sz w:val="20"/>
        </w:rPr>
      </w:pPr>
    </w:p>
    <w:p w14:paraId="2D8DC303" w14:textId="77777777" w:rsidR="00B00089" w:rsidRPr="00701F32" w:rsidRDefault="00B00089" w:rsidP="00B00089">
      <w:pPr>
        <w:tabs>
          <w:tab w:val="left" w:pos="142"/>
        </w:tabs>
        <w:jc w:val="both"/>
        <w:rPr>
          <w:rFonts w:ascii="Arial" w:hAnsi="Arial" w:cs="Arial"/>
          <w:sz w:val="20"/>
        </w:rPr>
      </w:pPr>
      <w:r w:rsidRPr="00701F32">
        <w:rPr>
          <w:rFonts w:ascii="Arial" w:hAnsi="Arial" w:cs="Arial"/>
          <w:sz w:val="20"/>
          <w:u w:val="single"/>
        </w:rPr>
        <w:t>Fecha de inicio</w:t>
      </w:r>
      <w:r w:rsidRPr="00701F32">
        <w:rPr>
          <w:rFonts w:ascii="Arial" w:hAnsi="Arial" w:cs="Arial"/>
          <w:sz w:val="20"/>
        </w:rPr>
        <w:t>: 31 de julio de 2013.</w:t>
      </w:r>
    </w:p>
    <w:p w14:paraId="327F18D7" w14:textId="77777777" w:rsidR="00B00089" w:rsidRPr="00701F32" w:rsidRDefault="00B00089" w:rsidP="00B00089">
      <w:pPr>
        <w:tabs>
          <w:tab w:val="left" w:pos="142"/>
        </w:tabs>
        <w:jc w:val="both"/>
        <w:rPr>
          <w:rFonts w:ascii="Arial" w:hAnsi="Arial" w:cs="Arial"/>
          <w:sz w:val="20"/>
        </w:rPr>
      </w:pPr>
      <w:r w:rsidRPr="00701F32">
        <w:rPr>
          <w:rFonts w:ascii="Arial" w:hAnsi="Arial" w:cs="Arial"/>
          <w:sz w:val="20"/>
          <w:u w:val="single"/>
        </w:rPr>
        <w:t>Personas Sumariadas</w:t>
      </w:r>
      <w:r w:rsidRPr="00701F32">
        <w:rPr>
          <w:rFonts w:ascii="Arial" w:hAnsi="Arial" w:cs="Arial"/>
          <w:sz w:val="20"/>
        </w:rPr>
        <w:t>: Defensa de la Entidad y de los señores Jorge Di Péntima y Alberto Cid.</w:t>
      </w:r>
    </w:p>
    <w:p w14:paraId="50E8C646" w14:textId="77777777" w:rsidR="00B00089" w:rsidRPr="00701F32" w:rsidRDefault="00B00089" w:rsidP="00B00089">
      <w:pPr>
        <w:tabs>
          <w:tab w:val="left" w:pos="142"/>
        </w:tabs>
        <w:jc w:val="both"/>
        <w:rPr>
          <w:rFonts w:ascii="Arial" w:hAnsi="Arial" w:cs="Arial"/>
          <w:sz w:val="20"/>
        </w:rPr>
      </w:pPr>
      <w:r w:rsidRPr="00701F32">
        <w:rPr>
          <w:rFonts w:ascii="Arial" w:hAnsi="Arial" w:cs="Arial"/>
          <w:sz w:val="20"/>
          <w:u w:val="single"/>
        </w:rPr>
        <w:t>Cargo Imputado</w:t>
      </w:r>
      <w:r w:rsidRPr="00701F32">
        <w:rPr>
          <w:rFonts w:ascii="Arial" w:hAnsi="Arial" w:cs="Arial"/>
          <w:sz w:val="20"/>
        </w:rPr>
        <w:t>: Venta de dólares a Inhabilitados.</w:t>
      </w:r>
    </w:p>
    <w:p w14:paraId="0D0B40ED" w14:textId="77777777" w:rsidR="00B00089" w:rsidRDefault="00B00089" w:rsidP="00B00089">
      <w:pPr>
        <w:tabs>
          <w:tab w:val="left" w:pos="142"/>
        </w:tabs>
        <w:jc w:val="both"/>
        <w:rPr>
          <w:rFonts w:ascii="Arial" w:hAnsi="Arial" w:cs="Arial"/>
          <w:b/>
          <w:sz w:val="20"/>
        </w:rPr>
      </w:pPr>
      <w:r w:rsidRPr="00701F32">
        <w:rPr>
          <w:rFonts w:ascii="Arial" w:hAnsi="Arial" w:cs="Arial"/>
          <w:sz w:val="20"/>
          <w:u w:val="single"/>
        </w:rPr>
        <w:t>Estado Actual</w:t>
      </w:r>
      <w:r w:rsidRPr="00701F32">
        <w:rPr>
          <w:rFonts w:ascii="Arial" w:hAnsi="Arial" w:cs="Arial"/>
          <w:sz w:val="20"/>
        </w:rPr>
        <w:t>: con fecha 12 de febrero de 2015 el BCRA resolvió abrir el presente sumario a prueba por el término de 20 días hábiles bancarios, en los términos del artículo 8° de la Ley del Régimen Penal Cambiario. En ese sentido, se dispuso librar oficio al Departamento de Recursos Humanos de la Entidad y citar a las señoras Claudia Andretto y Mónica Carrizo a prestar declaración testimonial para el día 15 de abril de 2015, quienes efectivamente se presentaron a declarar. Con fecha 12 de junio de 2015 se respondió el oficio. Con fecha 14 de diciembre de 2017 se cerró el período de prueba, y el día 18 de diciembre de 2017 se presentó el memorial y se planteó la prescripción de la acción. El día 1 de marzo de 2018 el BCRA resolvió no hacer lugar al planteo de nulidad y a la violación de la garantía de ser Juzgado en un plazo justo. Contra dicha resolución, el día 15 de marzo de 2018, se interpuso recurso de apelación que fue rechazado el día 21 de marzo de 2018. Luego, el 23 de marzo de 2018 se presentó el escrito manifestando que se consiente la resolución y que se hace reserva de plantear su nulidad. El BCRA declaró concluido el sumario y lo elevó al Juzgado Penal Económico N° 11, Secretaría N° 22, en el cual ingresó bajo el N° 645/20</w:t>
      </w:r>
      <w:r>
        <w:rPr>
          <w:rFonts w:ascii="Arial" w:hAnsi="Arial" w:cs="Arial"/>
          <w:sz w:val="20"/>
        </w:rPr>
        <w:t>18 y actualmente se encuentra con medidas de prueba</w:t>
      </w:r>
      <w:r w:rsidRPr="00701F32">
        <w:rPr>
          <w:rFonts w:ascii="Arial" w:hAnsi="Arial" w:cs="Arial"/>
          <w:sz w:val="20"/>
        </w:rPr>
        <w:t>.</w:t>
      </w:r>
      <w:r>
        <w:rPr>
          <w:rFonts w:ascii="Arial" w:hAnsi="Arial" w:cs="Arial"/>
          <w:sz w:val="20"/>
        </w:rPr>
        <w:t xml:space="preserve"> Con fecha 18 de diciembre de 2018 se le recibió la declaración testimonial a un empleado de la Subgerencia General de Sistemas y Organización del BCRA a fin de que se expida respecto al envío de comunicados y comunicaciones de dicho organismo, entre otros. </w:t>
      </w:r>
      <w:r w:rsidRPr="00F37949">
        <w:rPr>
          <w:rFonts w:ascii="Arial" w:hAnsi="Arial" w:cs="Arial"/>
          <w:sz w:val="20"/>
        </w:rPr>
        <w:t>Con fecha 30</w:t>
      </w:r>
      <w:r>
        <w:rPr>
          <w:rFonts w:ascii="Arial" w:hAnsi="Arial" w:cs="Arial"/>
          <w:sz w:val="20"/>
        </w:rPr>
        <w:t xml:space="preserve"> de mayo de </w:t>
      </w:r>
      <w:r w:rsidRPr="00F37949">
        <w:rPr>
          <w:rFonts w:ascii="Arial" w:hAnsi="Arial" w:cs="Arial"/>
          <w:sz w:val="20"/>
        </w:rPr>
        <w:t>2019 se le tomó declaración testimonial a la Sra. Gladys Tacone</w:t>
      </w:r>
      <w:r>
        <w:rPr>
          <w:rFonts w:ascii="Arial" w:hAnsi="Arial" w:cs="Arial"/>
          <w:sz w:val="20"/>
        </w:rPr>
        <w:t>,</w:t>
      </w:r>
      <w:r w:rsidRPr="00F37949">
        <w:rPr>
          <w:rFonts w:ascii="Arial" w:hAnsi="Arial" w:cs="Arial"/>
          <w:sz w:val="20"/>
        </w:rPr>
        <w:t xml:space="preserve"> a cargo de la Gerencia de Asuntos Contenciosos en lo Cambiario del BCRA, a fin de que indique si se encuentran vigentes las suspensiones que dieron origen al sumario cambiario.</w:t>
      </w:r>
      <w:r w:rsidRPr="0071398D">
        <w:rPr>
          <w:rFonts w:ascii="Arial" w:eastAsia="Calibri" w:hAnsi="Arial" w:cs="Arial"/>
          <w:szCs w:val="24"/>
        </w:rPr>
        <w:t xml:space="preserve"> </w:t>
      </w:r>
      <w:r w:rsidRPr="0071398D">
        <w:rPr>
          <w:rFonts w:ascii="Arial" w:hAnsi="Arial" w:cs="Arial"/>
          <w:sz w:val="20"/>
        </w:rPr>
        <w:t>Los Sres. Cid y Di Péntima asistieron a la audiencia con el Juez prevista en el art. 41 del Código Penal (a fin de tomar conocimiento directo con los imputados)</w:t>
      </w:r>
      <w:r w:rsidRPr="00F37949">
        <w:rPr>
          <w:rFonts w:ascii="Arial" w:hAnsi="Arial" w:cs="Arial"/>
          <w:sz w:val="20"/>
        </w:rPr>
        <w:t>.</w:t>
      </w:r>
    </w:p>
    <w:p w14:paraId="03C6813E" w14:textId="77777777" w:rsidR="00B00089" w:rsidRDefault="00B00089" w:rsidP="00B00089"/>
    <w:p w14:paraId="7158E363" w14:textId="77777777" w:rsidR="00B00089" w:rsidRDefault="00B00089" w:rsidP="00B00089">
      <w:pPr>
        <w:rPr>
          <w:rFonts w:ascii="Arial" w:hAnsi="Arial" w:cs="Arial"/>
          <w:sz w:val="20"/>
        </w:rPr>
      </w:pPr>
      <w:r w:rsidRPr="00901FFA">
        <w:rPr>
          <w:rFonts w:ascii="Arial" w:hAnsi="Arial" w:cs="Arial"/>
          <w:sz w:val="20"/>
        </w:rPr>
        <w:t>1.</w:t>
      </w:r>
      <w:r>
        <w:rPr>
          <w:rFonts w:ascii="Arial" w:hAnsi="Arial" w:cs="Arial"/>
          <w:sz w:val="20"/>
        </w:rPr>
        <w:t>3</w:t>
      </w:r>
      <w:r w:rsidRPr="00901FFA">
        <w:rPr>
          <w:rFonts w:ascii="Arial" w:hAnsi="Arial" w:cs="Arial"/>
          <w:sz w:val="20"/>
        </w:rPr>
        <w:t xml:space="preserve">. </w:t>
      </w:r>
      <w:r>
        <w:rPr>
          <w:rFonts w:ascii="Arial" w:hAnsi="Arial" w:cs="Arial"/>
          <w:sz w:val="20"/>
        </w:rPr>
        <w:t>Banco Central de la República Argentina: Sumario en lo Financiero N° 1556, Expediente N° 388/04/19.</w:t>
      </w:r>
    </w:p>
    <w:p w14:paraId="7A18522F" w14:textId="77777777" w:rsidR="00B00089" w:rsidRDefault="00B00089" w:rsidP="00B00089">
      <w:pPr>
        <w:rPr>
          <w:rFonts w:ascii="Arial" w:hAnsi="Arial" w:cs="Arial"/>
          <w:sz w:val="20"/>
        </w:rPr>
      </w:pPr>
    </w:p>
    <w:p w14:paraId="1215D3C8" w14:textId="77777777" w:rsidR="00B00089" w:rsidRDefault="00B00089" w:rsidP="00B00089">
      <w:pPr>
        <w:rPr>
          <w:rFonts w:ascii="Arial" w:eastAsiaTheme="minorHAnsi" w:hAnsi="Arial" w:cs="Arial"/>
          <w:sz w:val="20"/>
        </w:rPr>
      </w:pPr>
      <w:r w:rsidRPr="00B248F7">
        <w:rPr>
          <w:rFonts w:ascii="Arial" w:eastAsiaTheme="minorHAnsi" w:hAnsi="Arial" w:cs="Arial"/>
          <w:sz w:val="20"/>
          <w:u w:val="single"/>
        </w:rPr>
        <w:t>Carátula:</w:t>
      </w:r>
      <w:r w:rsidRPr="00B248F7">
        <w:rPr>
          <w:rFonts w:ascii="Arial" w:eastAsiaTheme="minorHAnsi" w:hAnsi="Arial" w:cs="Arial"/>
          <w:sz w:val="20"/>
        </w:rPr>
        <w:t xml:space="preserve"> </w:t>
      </w:r>
      <w:r>
        <w:rPr>
          <w:rFonts w:ascii="Arial" w:eastAsiaTheme="minorHAnsi" w:hAnsi="Arial" w:cs="Arial"/>
          <w:sz w:val="20"/>
        </w:rPr>
        <w:t>“Banco Supervielle S.A.”</w:t>
      </w:r>
    </w:p>
    <w:p w14:paraId="6A6A5920" w14:textId="77777777" w:rsidR="00B00089" w:rsidRPr="00B248F7" w:rsidRDefault="00B00089" w:rsidP="00B00089">
      <w:pPr>
        <w:rPr>
          <w:rFonts w:ascii="Arial" w:eastAsiaTheme="minorHAnsi" w:hAnsi="Arial" w:cs="Arial"/>
          <w:sz w:val="20"/>
        </w:rPr>
      </w:pPr>
      <w:r w:rsidRPr="00B248F7">
        <w:rPr>
          <w:rFonts w:ascii="Arial" w:eastAsiaTheme="minorHAnsi" w:hAnsi="Arial" w:cs="Arial"/>
          <w:sz w:val="20"/>
          <w:u w:val="single"/>
        </w:rPr>
        <w:t>Número de sumario:</w:t>
      </w:r>
      <w:r>
        <w:rPr>
          <w:rFonts w:ascii="Arial" w:eastAsiaTheme="minorHAnsi" w:hAnsi="Arial" w:cs="Arial"/>
          <w:sz w:val="20"/>
        </w:rPr>
        <w:t xml:space="preserve"> </w:t>
      </w:r>
      <w:r w:rsidRPr="00B248F7">
        <w:rPr>
          <w:rFonts w:ascii="Arial" w:eastAsiaTheme="minorHAnsi" w:hAnsi="Arial" w:cs="Arial"/>
          <w:sz w:val="20"/>
        </w:rPr>
        <w:t>Sumario en lo Financiero N° 1556, Expediente N° 388/04/19.</w:t>
      </w:r>
      <w:r>
        <w:rPr>
          <w:rFonts w:ascii="Arial" w:eastAsiaTheme="minorHAnsi" w:hAnsi="Arial" w:cs="Arial"/>
          <w:sz w:val="20"/>
        </w:rPr>
        <w:t xml:space="preserve"> Iniciado por Resolución N° 204 de fecha 27.06.2019.</w:t>
      </w:r>
    </w:p>
    <w:p w14:paraId="0CEA06AE" w14:textId="77777777" w:rsidR="00B00089" w:rsidRDefault="00B00089" w:rsidP="00B00089">
      <w:pPr>
        <w:rPr>
          <w:rFonts w:ascii="Arial" w:eastAsiaTheme="minorHAnsi" w:hAnsi="Arial" w:cs="Arial"/>
          <w:sz w:val="20"/>
        </w:rPr>
      </w:pPr>
      <w:r w:rsidRPr="00B248F7">
        <w:rPr>
          <w:rFonts w:ascii="Arial" w:eastAsiaTheme="minorHAnsi" w:hAnsi="Arial" w:cs="Arial"/>
          <w:sz w:val="20"/>
          <w:u w:val="single"/>
        </w:rPr>
        <w:t>Fecha de notificación</w:t>
      </w:r>
      <w:r>
        <w:rPr>
          <w:rFonts w:ascii="Arial" w:eastAsiaTheme="minorHAnsi" w:hAnsi="Arial" w:cs="Arial"/>
          <w:sz w:val="20"/>
          <w:u w:val="single"/>
        </w:rPr>
        <w:t>:</w:t>
      </w:r>
      <w:r>
        <w:rPr>
          <w:rFonts w:ascii="Arial" w:eastAsiaTheme="minorHAnsi" w:hAnsi="Arial" w:cs="Arial"/>
          <w:sz w:val="20"/>
        </w:rPr>
        <w:t xml:space="preserve"> </w:t>
      </w:r>
      <w:r w:rsidRPr="00B248F7">
        <w:rPr>
          <w:rFonts w:ascii="Arial" w:eastAsiaTheme="minorHAnsi" w:hAnsi="Arial" w:cs="Arial"/>
          <w:sz w:val="20"/>
        </w:rPr>
        <w:t>11/07/2019</w:t>
      </w:r>
    </w:p>
    <w:p w14:paraId="090F03D3" w14:textId="77777777" w:rsidR="00B00089" w:rsidRPr="008325EA" w:rsidRDefault="00B00089" w:rsidP="00B00089">
      <w:pPr>
        <w:rPr>
          <w:rFonts w:ascii="Arial" w:eastAsiaTheme="minorHAnsi" w:hAnsi="Arial" w:cs="Arial"/>
          <w:sz w:val="20"/>
        </w:rPr>
      </w:pPr>
      <w:r w:rsidRPr="008325EA">
        <w:rPr>
          <w:rFonts w:ascii="Arial" w:eastAsiaTheme="minorHAnsi" w:hAnsi="Arial" w:cs="Arial"/>
          <w:sz w:val="20"/>
          <w:u w:val="single"/>
        </w:rPr>
        <w:t>Fecha de contestación:</w:t>
      </w:r>
      <w:r>
        <w:rPr>
          <w:rFonts w:ascii="Arial" w:eastAsiaTheme="minorHAnsi" w:hAnsi="Arial" w:cs="Arial"/>
          <w:sz w:val="20"/>
        </w:rPr>
        <w:t xml:space="preserve"> 09/08/2019</w:t>
      </w:r>
    </w:p>
    <w:p w14:paraId="20127B7D" w14:textId="77777777" w:rsidR="00B00089" w:rsidRDefault="00B00089" w:rsidP="00B00089">
      <w:pPr>
        <w:rPr>
          <w:rFonts w:ascii="Arial" w:eastAsiaTheme="minorHAnsi" w:hAnsi="Arial" w:cs="Arial"/>
          <w:sz w:val="20"/>
        </w:rPr>
      </w:pPr>
      <w:r w:rsidRPr="00B248F7">
        <w:rPr>
          <w:rFonts w:ascii="Arial" w:eastAsiaTheme="minorHAnsi" w:hAnsi="Arial" w:cs="Arial"/>
          <w:sz w:val="20"/>
          <w:u w:val="single"/>
        </w:rPr>
        <w:t>El/Los Cargo/s imputado/s</w:t>
      </w:r>
      <w:r>
        <w:rPr>
          <w:rFonts w:ascii="Arial" w:eastAsiaTheme="minorHAnsi" w:hAnsi="Arial" w:cs="Arial"/>
          <w:sz w:val="20"/>
        </w:rPr>
        <w:t>:</w:t>
      </w:r>
    </w:p>
    <w:p w14:paraId="001828FB" w14:textId="77777777" w:rsidR="00B00089" w:rsidRDefault="00B00089" w:rsidP="00B00089">
      <w:pPr>
        <w:rPr>
          <w:rFonts w:ascii="Arial" w:eastAsiaTheme="minorHAnsi" w:hAnsi="Arial" w:cs="Arial"/>
          <w:sz w:val="20"/>
        </w:rPr>
      </w:pPr>
    </w:p>
    <w:p w14:paraId="39E8CBFF" w14:textId="77777777" w:rsidR="00B00089" w:rsidRPr="00B248F7" w:rsidRDefault="00B00089" w:rsidP="00B00089">
      <w:pPr>
        <w:jc w:val="both"/>
        <w:rPr>
          <w:rFonts w:ascii="Arial" w:eastAsiaTheme="minorHAnsi" w:hAnsi="Arial" w:cs="Arial"/>
          <w:sz w:val="20"/>
        </w:rPr>
      </w:pPr>
      <w:r w:rsidRPr="00B248F7">
        <w:rPr>
          <w:rFonts w:ascii="Arial" w:eastAsiaTheme="minorHAnsi" w:hAnsi="Arial" w:cs="Arial"/>
          <w:sz w:val="20"/>
          <w:u w:val="single"/>
        </w:rPr>
        <w:t>Cargo 1:</w:t>
      </w:r>
      <w:r w:rsidRPr="00B248F7">
        <w:rPr>
          <w:rFonts w:ascii="Arial" w:eastAsiaTheme="minorHAnsi" w:hAnsi="Arial" w:cs="Arial"/>
          <w:sz w:val="20"/>
        </w:rPr>
        <w:t xml:space="preserve"> “Desempeño en el cargo de síndico encontrándose inhabilitado por el BCRA en contravención a lo dispuesto en la Ley de Entidades Financieras N° 21.526, artículo 10, inciso e) del citado texto legal y Texto Ordenado de las normas sobre “Autoridades de Entidades Financieras” Sección 2, punto 2.1. primer párrafo (conforme Comunicación A 2241, Circular CREFI 2, Anexo. Capítulo 1, sección 1, punto 1.1.3. –complementarias y modificatorias-)” (considerando 1. de la Resolución SEFyC n° 204/19).</w:t>
      </w:r>
    </w:p>
    <w:p w14:paraId="32E6D2ED" w14:textId="77777777" w:rsidR="00B00089" w:rsidRPr="00B248F7" w:rsidRDefault="00B00089" w:rsidP="00B00089">
      <w:pPr>
        <w:jc w:val="both"/>
        <w:rPr>
          <w:rFonts w:ascii="Arial" w:eastAsiaTheme="minorHAnsi" w:hAnsi="Arial" w:cs="Arial"/>
          <w:sz w:val="20"/>
        </w:rPr>
      </w:pPr>
      <w:r w:rsidRPr="00B248F7">
        <w:rPr>
          <w:rFonts w:ascii="Arial" w:eastAsiaTheme="minorHAnsi" w:hAnsi="Arial" w:cs="Arial"/>
          <w:sz w:val="20"/>
          <w:u w:val="single"/>
        </w:rPr>
        <w:t>Cargo 2:</w:t>
      </w:r>
      <w:r w:rsidRPr="00B248F7">
        <w:rPr>
          <w:rFonts w:ascii="Arial" w:eastAsiaTheme="minorHAnsi" w:hAnsi="Arial" w:cs="Arial"/>
          <w:sz w:val="20"/>
        </w:rPr>
        <w:t xml:space="preserve"> “Deficiencias en la certificación anual efectuada por la entidad, respecto de las habilidades legales de sus autoridades, en contravención a lo dispuesto en el Texto Ordenado de las normas sobre “Autoridades de Entidades Financieras” Sección 3, punto 3.1.2 tercer párrafo (conforme Comunicación A 5785, Circular CREFI 2, 84 Anexo. Capítulo 1, sección 5, punto 5.5., segundo párrafo –complementarias y modificatorias-; A 6111, Circular CREFI 2 – 92 – Anexo, Sección 3, punto 3.1.2., último párrafo –complementarias y modificatorios; A 6304, Circular CREFI 2 – 100 – Anexo, Sección 3, punto  3.1.2., segundo párrafo –complementarias y modificatorias-“ (considerando 2 de la Resolución SEFyC n° 204/19).</w:t>
      </w:r>
    </w:p>
    <w:p w14:paraId="5C3694AE" w14:textId="77777777" w:rsidR="00B00089" w:rsidRPr="00B248F7" w:rsidRDefault="00B00089" w:rsidP="00B00089">
      <w:pPr>
        <w:jc w:val="both"/>
        <w:rPr>
          <w:rFonts w:ascii="Arial" w:eastAsiaTheme="minorHAnsi" w:hAnsi="Arial" w:cs="Arial"/>
          <w:sz w:val="20"/>
        </w:rPr>
      </w:pPr>
    </w:p>
    <w:p w14:paraId="34F2B519" w14:textId="77777777" w:rsidR="00B00089" w:rsidRPr="00B248F7" w:rsidRDefault="00B00089" w:rsidP="00B00089">
      <w:pPr>
        <w:spacing w:after="200" w:line="276" w:lineRule="auto"/>
        <w:jc w:val="both"/>
        <w:rPr>
          <w:rFonts w:ascii="Arial" w:eastAsia="Calibri" w:hAnsi="Arial" w:cs="Arial"/>
          <w:sz w:val="20"/>
        </w:rPr>
      </w:pPr>
      <w:r w:rsidRPr="00B248F7">
        <w:rPr>
          <w:rFonts w:ascii="Arial" w:eastAsia="Calibri" w:hAnsi="Arial" w:cs="Arial"/>
          <w:sz w:val="20"/>
          <w:u w:val="single"/>
        </w:rPr>
        <w:t>Sumariados</w:t>
      </w:r>
      <w:r w:rsidRPr="00B248F7">
        <w:rPr>
          <w:rFonts w:ascii="Arial" w:eastAsia="Calibri" w:hAnsi="Arial" w:cs="Arial"/>
          <w:sz w:val="20"/>
        </w:rPr>
        <w:t>: Banco Supervielle S.A., Julio Patricio SUPERVIELLE, Carlos Alberto ASATO, Richard Guy GLUZMAN, Nicole Laurence MENGIN DE LOYER, Carlos Martín NOEL, Atilio María DELL ORO MAINI, Emérico Alejandro STENGEL, Jorge Oscar RAMIREZ, José Luis PANERO, Enrique José BARREIRO, Ariel José PORTNOY y María Cristina FIORIO.</w:t>
      </w:r>
    </w:p>
    <w:p w14:paraId="5E1A4A69" w14:textId="77777777" w:rsidR="00B00089" w:rsidRDefault="00B00089" w:rsidP="00B00089">
      <w:pPr>
        <w:rPr>
          <w:rFonts w:ascii="Arial" w:eastAsia="Calibri" w:hAnsi="Arial" w:cs="Arial"/>
          <w:sz w:val="20"/>
        </w:rPr>
      </w:pPr>
      <w:r w:rsidRPr="00B248F7">
        <w:rPr>
          <w:rFonts w:ascii="Arial" w:eastAsia="Calibri" w:hAnsi="Arial" w:cs="Arial"/>
          <w:sz w:val="20"/>
          <w:u w:val="single"/>
        </w:rPr>
        <w:t>Estado actual</w:t>
      </w:r>
      <w:r w:rsidRPr="00B248F7">
        <w:rPr>
          <w:rFonts w:ascii="Arial" w:eastAsia="Calibri" w:hAnsi="Arial" w:cs="Arial"/>
          <w:sz w:val="20"/>
        </w:rPr>
        <w:t xml:space="preserve">: </w:t>
      </w:r>
      <w:r>
        <w:rPr>
          <w:rFonts w:ascii="Arial" w:eastAsia="Calibri" w:hAnsi="Arial" w:cs="Arial"/>
          <w:sz w:val="20"/>
        </w:rPr>
        <w:t>El sumariante analiza descargos presentados y prueba ofrecida.</w:t>
      </w:r>
    </w:p>
    <w:p w14:paraId="31A57F2E" w14:textId="77777777" w:rsidR="00B00089" w:rsidRDefault="00B00089" w:rsidP="00B00089">
      <w:pPr>
        <w:rPr>
          <w:rFonts w:ascii="Arial" w:eastAsia="Calibri" w:hAnsi="Arial" w:cs="Arial"/>
          <w:sz w:val="20"/>
        </w:rPr>
      </w:pPr>
    </w:p>
    <w:p w14:paraId="45C0833D" w14:textId="77777777" w:rsidR="00B00089" w:rsidRPr="00871FEF" w:rsidRDefault="00B00089" w:rsidP="00B00089">
      <w:pPr>
        <w:jc w:val="both"/>
        <w:rPr>
          <w:rFonts w:ascii="Arial" w:eastAsia="Calibri" w:hAnsi="Arial" w:cs="Arial"/>
          <w:sz w:val="20"/>
        </w:rPr>
      </w:pPr>
      <w:r>
        <w:rPr>
          <w:rFonts w:ascii="Arial" w:eastAsia="Calibri" w:hAnsi="Arial" w:cs="Arial"/>
          <w:sz w:val="20"/>
        </w:rPr>
        <w:t xml:space="preserve">1.4 </w:t>
      </w:r>
      <w:r w:rsidRPr="00871FEF">
        <w:rPr>
          <w:rFonts w:ascii="Arial" w:eastAsia="Calibri" w:hAnsi="Arial" w:cs="Arial"/>
          <w:sz w:val="20"/>
        </w:rPr>
        <w:t>Banco Central de la República Argentina: Sumario en lo Financiero N° 1</w:t>
      </w:r>
      <w:r>
        <w:rPr>
          <w:rFonts w:ascii="Arial" w:eastAsia="Calibri" w:hAnsi="Arial" w:cs="Arial"/>
          <w:sz w:val="20"/>
        </w:rPr>
        <w:t>.560</w:t>
      </w:r>
      <w:r w:rsidRPr="00871FEF">
        <w:rPr>
          <w:rFonts w:ascii="Arial" w:eastAsia="Calibri" w:hAnsi="Arial" w:cs="Arial"/>
          <w:sz w:val="20"/>
        </w:rPr>
        <w:t>.</w:t>
      </w:r>
    </w:p>
    <w:p w14:paraId="057786FE" w14:textId="77777777" w:rsidR="00B00089" w:rsidRPr="00871FEF" w:rsidRDefault="00B00089" w:rsidP="00B00089">
      <w:pPr>
        <w:jc w:val="both"/>
        <w:rPr>
          <w:rFonts w:ascii="Arial" w:eastAsia="Calibri" w:hAnsi="Arial" w:cs="Arial"/>
          <w:sz w:val="20"/>
        </w:rPr>
      </w:pPr>
    </w:p>
    <w:p w14:paraId="55826ADB" w14:textId="77777777" w:rsidR="00B00089" w:rsidRDefault="00B00089" w:rsidP="00B00089">
      <w:pPr>
        <w:jc w:val="both"/>
        <w:rPr>
          <w:rFonts w:ascii="Arial" w:eastAsia="Calibri" w:hAnsi="Arial" w:cs="Arial"/>
          <w:sz w:val="20"/>
        </w:rPr>
      </w:pPr>
      <w:r w:rsidRPr="00871FEF">
        <w:rPr>
          <w:rFonts w:ascii="Arial" w:eastAsia="Calibri" w:hAnsi="Arial" w:cs="Arial"/>
          <w:sz w:val="20"/>
          <w:u w:val="single"/>
        </w:rPr>
        <w:t>Número de sumario:</w:t>
      </w:r>
      <w:r w:rsidRPr="00871FEF">
        <w:rPr>
          <w:rFonts w:ascii="Arial" w:eastAsia="Calibri" w:hAnsi="Arial" w:cs="Arial"/>
          <w:sz w:val="20"/>
        </w:rPr>
        <w:t xml:space="preserve"> Sumario en lo Financiero N° 1.560.</w:t>
      </w:r>
    </w:p>
    <w:p w14:paraId="074A3053" w14:textId="77777777" w:rsidR="00B00089" w:rsidRPr="00D93726" w:rsidRDefault="00B00089" w:rsidP="00B00089">
      <w:pPr>
        <w:jc w:val="both"/>
        <w:rPr>
          <w:rFonts w:ascii="Arial" w:eastAsia="Calibri" w:hAnsi="Arial" w:cs="Arial"/>
          <w:sz w:val="20"/>
        </w:rPr>
      </w:pPr>
      <w:r w:rsidRPr="00D93726">
        <w:rPr>
          <w:rFonts w:ascii="Arial" w:eastAsia="Calibri" w:hAnsi="Arial" w:cs="Arial"/>
          <w:sz w:val="20"/>
          <w:u w:val="single"/>
        </w:rPr>
        <w:t>Fecha de notificación:</w:t>
      </w:r>
      <w:r>
        <w:rPr>
          <w:rFonts w:ascii="Arial" w:eastAsia="Calibri" w:hAnsi="Arial" w:cs="Arial"/>
          <w:sz w:val="20"/>
        </w:rPr>
        <w:t xml:space="preserve"> 24/10/2019.</w:t>
      </w:r>
    </w:p>
    <w:p w14:paraId="442C8EAF" w14:textId="77777777" w:rsidR="00B00089" w:rsidRPr="00871FEF" w:rsidRDefault="00B00089" w:rsidP="00B00089">
      <w:pPr>
        <w:jc w:val="both"/>
        <w:rPr>
          <w:rFonts w:ascii="Arial" w:eastAsia="Calibri" w:hAnsi="Arial" w:cs="Arial"/>
          <w:sz w:val="20"/>
        </w:rPr>
      </w:pPr>
      <w:r w:rsidRPr="00871FEF">
        <w:rPr>
          <w:rFonts w:ascii="Arial" w:eastAsia="Calibri" w:hAnsi="Arial" w:cs="Arial"/>
          <w:sz w:val="20"/>
          <w:u w:val="single"/>
        </w:rPr>
        <w:t>Fecha de contestación:</w:t>
      </w:r>
      <w:r w:rsidRPr="00871FEF">
        <w:rPr>
          <w:rFonts w:ascii="Arial" w:eastAsia="Calibri" w:hAnsi="Arial" w:cs="Arial"/>
          <w:sz w:val="20"/>
        </w:rPr>
        <w:t xml:space="preserve"> </w:t>
      </w:r>
      <w:r>
        <w:rPr>
          <w:rFonts w:ascii="Arial" w:eastAsia="Calibri" w:hAnsi="Arial" w:cs="Arial"/>
          <w:sz w:val="20"/>
        </w:rPr>
        <w:t>13</w:t>
      </w:r>
      <w:r w:rsidRPr="00871FEF">
        <w:rPr>
          <w:rFonts w:ascii="Arial" w:eastAsia="Calibri" w:hAnsi="Arial" w:cs="Arial"/>
          <w:sz w:val="20"/>
        </w:rPr>
        <w:t>/</w:t>
      </w:r>
      <w:r>
        <w:rPr>
          <w:rFonts w:ascii="Arial" w:eastAsia="Calibri" w:hAnsi="Arial" w:cs="Arial"/>
          <w:sz w:val="20"/>
        </w:rPr>
        <w:t>11</w:t>
      </w:r>
      <w:r w:rsidRPr="00871FEF">
        <w:rPr>
          <w:rFonts w:ascii="Arial" w:eastAsia="Calibri" w:hAnsi="Arial" w:cs="Arial"/>
          <w:sz w:val="20"/>
        </w:rPr>
        <w:t>/2019</w:t>
      </w:r>
    </w:p>
    <w:p w14:paraId="7C6AA1B1" w14:textId="77777777" w:rsidR="00B00089" w:rsidRDefault="00B00089" w:rsidP="00B00089">
      <w:pPr>
        <w:jc w:val="both"/>
        <w:rPr>
          <w:rFonts w:ascii="Arial" w:eastAsia="Calibri" w:hAnsi="Arial" w:cs="Arial"/>
          <w:sz w:val="20"/>
          <w:u w:val="single"/>
        </w:rPr>
      </w:pPr>
    </w:p>
    <w:p w14:paraId="21CA0681" w14:textId="77777777" w:rsidR="00B00089" w:rsidRPr="00871FEF" w:rsidRDefault="00B00089" w:rsidP="00B00089">
      <w:pPr>
        <w:jc w:val="both"/>
        <w:rPr>
          <w:rFonts w:ascii="Arial" w:eastAsia="Calibri" w:hAnsi="Arial" w:cs="Arial"/>
          <w:sz w:val="20"/>
        </w:rPr>
      </w:pPr>
      <w:r w:rsidRPr="00871FEF">
        <w:rPr>
          <w:rFonts w:ascii="Arial" w:eastAsia="Calibri" w:hAnsi="Arial" w:cs="Arial"/>
          <w:sz w:val="20"/>
          <w:u w:val="single"/>
        </w:rPr>
        <w:t>El</w:t>
      </w:r>
      <w:r>
        <w:rPr>
          <w:rFonts w:ascii="Arial" w:eastAsia="Calibri" w:hAnsi="Arial" w:cs="Arial"/>
          <w:sz w:val="20"/>
          <w:u w:val="single"/>
        </w:rPr>
        <w:t xml:space="preserve"> </w:t>
      </w:r>
      <w:r w:rsidRPr="00871FEF">
        <w:rPr>
          <w:rFonts w:ascii="Arial" w:eastAsia="Calibri" w:hAnsi="Arial" w:cs="Arial"/>
          <w:sz w:val="20"/>
          <w:u w:val="single"/>
        </w:rPr>
        <w:t>Cargo</w:t>
      </w:r>
      <w:r>
        <w:rPr>
          <w:rFonts w:ascii="Arial" w:eastAsia="Calibri" w:hAnsi="Arial" w:cs="Arial"/>
          <w:sz w:val="20"/>
          <w:u w:val="single"/>
        </w:rPr>
        <w:t xml:space="preserve"> imputado</w:t>
      </w:r>
      <w:r w:rsidRPr="00871FEF">
        <w:rPr>
          <w:rFonts w:ascii="Arial" w:eastAsia="Calibri" w:hAnsi="Arial" w:cs="Arial"/>
          <w:sz w:val="20"/>
          <w:u w:val="single"/>
        </w:rPr>
        <w:t>:</w:t>
      </w:r>
      <w:r w:rsidRPr="00871FEF">
        <w:rPr>
          <w:rFonts w:ascii="Arial" w:eastAsia="Calibri" w:hAnsi="Arial" w:cs="Arial"/>
          <w:sz w:val="20"/>
        </w:rPr>
        <w:t xml:space="preserve"> Reiteradas demoras en remitir al BCRA información y/o documentación vinculadas con nombramientos de nuevas autoridades de la entidad financiera, por lo que, prima facie, se habría transgredido lo dispuesto en el Texto Ordenado de las normas sobre “Autoridades de Entidades Financieras” Sección 3, punto 3.1.3., subpunto 3.1.3.2. (conforme Comunicación A 6111, Circular CREFI 2 - 92, Anexo. Sección 3, punto 3.1.3., subpunto 3.1.3.2. y “A” 6304, CREFI 2 – 100, Sección 3, punto 3.1.3., subpunto 3.1.3.2., en concordancia con la comunicación “B” 11.461 –complementarias y modificatorias-)” (considerando 1. de la Resolución SEFyC n° 307/19).</w:t>
      </w:r>
    </w:p>
    <w:p w14:paraId="5E68386F" w14:textId="77777777" w:rsidR="00B00089" w:rsidRPr="00871FEF" w:rsidRDefault="00B00089" w:rsidP="00B00089">
      <w:pPr>
        <w:jc w:val="both"/>
        <w:rPr>
          <w:rFonts w:ascii="Arial" w:eastAsia="Calibri" w:hAnsi="Arial" w:cs="Arial"/>
          <w:sz w:val="20"/>
        </w:rPr>
      </w:pPr>
    </w:p>
    <w:p w14:paraId="5F49F5A8" w14:textId="77777777" w:rsidR="00B00089" w:rsidRDefault="00B00089" w:rsidP="00B00089">
      <w:pPr>
        <w:jc w:val="both"/>
        <w:rPr>
          <w:rFonts w:ascii="Arial" w:eastAsia="Calibri" w:hAnsi="Arial" w:cs="Arial"/>
          <w:sz w:val="20"/>
        </w:rPr>
      </w:pPr>
      <w:r w:rsidRPr="00871FEF">
        <w:rPr>
          <w:rFonts w:ascii="Arial" w:eastAsia="Calibri" w:hAnsi="Arial" w:cs="Arial"/>
          <w:sz w:val="20"/>
          <w:u w:val="single"/>
        </w:rPr>
        <w:t>Sumariado</w:t>
      </w:r>
      <w:r w:rsidRPr="00871FEF">
        <w:rPr>
          <w:rFonts w:ascii="Arial" w:eastAsia="Calibri" w:hAnsi="Arial" w:cs="Arial"/>
          <w:sz w:val="20"/>
        </w:rPr>
        <w:t>: Banco Supervielle S.A.</w:t>
      </w:r>
    </w:p>
    <w:p w14:paraId="3362071F" w14:textId="77777777" w:rsidR="00B00089" w:rsidRPr="00871FEF" w:rsidRDefault="00B00089" w:rsidP="00B00089">
      <w:pPr>
        <w:jc w:val="both"/>
        <w:rPr>
          <w:rFonts w:ascii="Arial" w:eastAsia="Calibri" w:hAnsi="Arial" w:cs="Arial"/>
          <w:sz w:val="20"/>
        </w:rPr>
      </w:pPr>
    </w:p>
    <w:p w14:paraId="52B808FA" w14:textId="77777777" w:rsidR="00B00089" w:rsidRDefault="00B00089" w:rsidP="00B00089">
      <w:pPr>
        <w:jc w:val="both"/>
        <w:rPr>
          <w:rFonts w:ascii="Arial" w:eastAsia="Calibri" w:hAnsi="Arial" w:cs="Arial"/>
          <w:sz w:val="20"/>
        </w:rPr>
      </w:pPr>
      <w:r w:rsidRPr="00871FEF">
        <w:rPr>
          <w:rFonts w:ascii="Arial" w:eastAsia="Calibri" w:hAnsi="Arial" w:cs="Arial"/>
          <w:sz w:val="20"/>
          <w:u w:val="single"/>
        </w:rPr>
        <w:t>Estado actual</w:t>
      </w:r>
      <w:r w:rsidRPr="00871FEF">
        <w:rPr>
          <w:rFonts w:ascii="Arial" w:eastAsia="Calibri" w:hAnsi="Arial" w:cs="Arial"/>
          <w:sz w:val="20"/>
        </w:rPr>
        <w:t xml:space="preserve">: </w:t>
      </w:r>
      <w:r>
        <w:rPr>
          <w:rFonts w:ascii="Arial" w:eastAsia="Calibri" w:hAnsi="Arial" w:cs="Arial"/>
          <w:sz w:val="20"/>
        </w:rPr>
        <w:t>Para proveer el descargo presentado</w:t>
      </w:r>
      <w:r w:rsidRPr="00871FEF">
        <w:rPr>
          <w:rFonts w:ascii="Arial" w:eastAsia="Calibri" w:hAnsi="Arial" w:cs="Arial"/>
          <w:sz w:val="20"/>
        </w:rPr>
        <w:t>.</w:t>
      </w:r>
    </w:p>
    <w:p w14:paraId="793D3B0E" w14:textId="77777777" w:rsidR="00B00089" w:rsidRDefault="00B00089" w:rsidP="00B00089">
      <w:pPr>
        <w:jc w:val="both"/>
        <w:rPr>
          <w:rFonts w:ascii="Arial" w:eastAsia="Calibri" w:hAnsi="Arial" w:cs="Arial"/>
          <w:sz w:val="20"/>
        </w:rPr>
      </w:pPr>
    </w:p>
    <w:p w14:paraId="159F0B38" w14:textId="67D6DA6E" w:rsidR="00B00089" w:rsidRPr="00CB4373" w:rsidRDefault="00B00089" w:rsidP="00B00089">
      <w:pPr>
        <w:jc w:val="both"/>
        <w:rPr>
          <w:rFonts w:ascii="Arial" w:eastAsia="Calibri" w:hAnsi="Arial" w:cs="Arial"/>
          <w:b/>
          <w:sz w:val="20"/>
          <w:u w:val="single"/>
        </w:rPr>
      </w:pPr>
      <w:r>
        <w:rPr>
          <w:rFonts w:ascii="Arial" w:eastAsia="Calibri" w:hAnsi="Arial" w:cs="Arial"/>
          <w:b/>
          <w:sz w:val="20"/>
        </w:rPr>
        <w:t xml:space="preserve">2. </w:t>
      </w:r>
      <w:r w:rsidR="00CB4373" w:rsidRPr="00CB4373">
        <w:rPr>
          <w:rFonts w:ascii="Arial" w:eastAsia="Calibri" w:hAnsi="Arial" w:cs="Arial"/>
          <w:b/>
          <w:sz w:val="20"/>
          <w:u w:val="single"/>
        </w:rPr>
        <w:t xml:space="preserve">Sumarios iniciados por la </w:t>
      </w:r>
      <w:r w:rsidRPr="00CB4373">
        <w:rPr>
          <w:rFonts w:ascii="Arial" w:eastAsia="Calibri" w:hAnsi="Arial" w:cs="Arial"/>
          <w:b/>
          <w:sz w:val="20"/>
          <w:u w:val="single"/>
        </w:rPr>
        <w:t>Unidad de Información Financiera:</w:t>
      </w:r>
    </w:p>
    <w:p w14:paraId="117E2522" w14:textId="77777777" w:rsidR="00B00089" w:rsidRPr="00A23BBB" w:rsidRDefault="00B00089" w:rsidP="00B00089">
      <w:pPr>
        <w:jc w:val="both"/>
        <w:rPr>
          <w:rFonts w:ascii="Arial" w:eastAsia="Calibri" w:hAnsi="Arial" w:cs="Arial"/>
          <w:b/>
          <w:sz w:val="20"/>
        </w:rPr>
      </w:pPr>
    </w:p>
    <w:p w14:paraId="2F634F43" w14:textId="7ACCA014" w:rsidR="00B00089" w:rsidRPr="00A23BBB" w:rsidRDefault="00CB4373" w:rsidP="00B00089">
      <w:pPr>
        <w:jc w:val="both"/>
        <w:rPr>
          <w:rFonts w:ascii="Arial" w:eastAsia="Calibri" w:hAnsi="Arial" w:cs="Arial"/>
          <w:sz w:val="20"/>
        </w:rPr>
      </w:pPr>
      <w:r>
        <w:rPr>
          <w:rFonts w:ascii="Arial" w:eastAsia="Calibri" w:hAnsi="Arial" w:cs="Arial"/>
          <w:sz w:val="20"/>
        </w:rPr>
        <w:t xml:space="preserve">2. </w:t>
      </w:r>
      <w:r w:rsidR="00B00089" w:rsidRPr="00A23BBB">
        <w:rPr>
          <w:rFonts w:ascii="Arial" w:eastAsia="Calibri" w:hAnsi="Arial" w:cs="Arial"/>
          <w:sz w:val="20"/>
        </w:rPr>
        <w:t>1.</w:t>
      </w:r>
      <w:r w:rsidR="00B00089">
        <w:rPr>
          <w:rFonts w:ascii="Arial" w:eastAsia="Calibri" w:hAnsi="Arial" w:cs="Arial"/>
          <w:sz w:val="20"/>
        </w:rPr>
        <w:t xml:space="preserve"> </w:t>
      </w:r>
      <w:r w:rsidR="00B00089" w:rsidRPr="00A23BBB">
        <w:rPr>
          <w:rFonts w:ascii="Arial" w:eastAsia="Calibri" w:hAnsi="Arial" w:cs="Arial"/>
          <w:sz w:val="20"/>
        </w:rPr>
        <w:t>Banco Supervielle S.A. s/ Supervisión B.C.R.A.</w:t>
      </w:r>
    </w:p>
    <w:p w14:paraId="0FE482E0" w14:textId="77777777" w:rsidR="00B00089" w:rsidRDefault="00B00089" w:rsidP="00B00089">
      <w:pPr>
        <w:jc w:val="both"/>
        <w:rPr>
          <w:rFonts w:ascii="Arial" w:eastAsia="Calibri" w:hAnsi="Arial" w:cs="Arial"/>
          <w:sz w:val="20"/>
          <w:u w:val="single"/>
        </w:rPr>
      </w:pPr>
    </w:p>
    <w:p w14:paraId="4C7D946E" w14:textId="77777777" w:rsidR="00B00089" w:rsidRDefault="00B00089" w:rsidP="00B00089">
      <w:pPr>
        <w:jc w:val="both"/>
        <w:rPr>
          <w:rFonts w:ascii="Arial" w:eastAsia="Calibri" w:hAnsi="Arial" w:cs="Arial"/>
          <w:sz w:val="20"/>
        </w:rPr>
      </w:pPr>
      <w:r w:rsidRPr="00A23BBB">
        <w:rPr>
          <w:rFonts w:ascii="Arial" w:eastAsia="Calibri" w:hAnsi="Arial" w:cs="Arial"/>
          <w:sz w:val="20"/>
          <w:u w:val="single"/>
        </w:rPr>
        <w:t>Expte. UIF Nº:</w:t>
      </w:r>
      <w:r w:rsidRPr="00A23BBB">
        <w:rPr>
          <w:rFonts w:ascii="Arial" w:eastAsia="Calibri" w:hAnsi="Arial" w:cs="Arial"/>
          <w:sz w:val="20"/>
        </w:rPr>
        <w:t xml:space="preserve"> 2545/14. </w:t>
      </w:r>
    </w:p>
    <w:p w14:paraId="08B41DA0" w14:textId="77777777" w:rsidR="00B00089" w:rsidRPr="00A23BBB" w:rsidRDefault="00B00089" w:rsidP="00B00089">
      <w:pPr>
        <w:jc w:val="both"/>
        <w:rPr>
          <w:rFonts w:ascii="Arial" w:eastAsia="Calibri" w:hAnsi="Arial" w:cs="Arial"/>
          <w:sz w:val="20"/>
          <w:u w:val="single"/>
        </w:rPr>
      </w:pPr>
      <w:r w:rsidRPr="00A23BBB">
        <w:rPr>
          <w:rFonts w:ascii="Arial" w:eastAsia="Calibri" w:hAnsi="Arial" w:cs="Arial"/>
          <w:sz w:val="20"/>
          <w:u w:val="single"/>
        </w:rPr>
        <w:t>Sumariante:</w:t>
      </w:r>
      <w:r w:rsidRPr="00A23BBB">
        <w:rPr>
          <w:rFonts w:ascii="Arial" w:eastAsia="Calibri" w:hAnsi="Arial" w:cs="Arial"/>
          <w:sz w:val="20"/>
        </w:rPr>
        <w:t xml:space="preserve"> Ignacio Bagnardi.</w:t>
      </w:r>
    </w:p>
    <w:p w14:paraId="00E1388E" w14:textId="77777777" w:rsidR="00B00089" w:rsidRDefault="00B00089" w:rsidP="00B00089">
      <w:pPr>
        <w:jc w:val="both"/>
        <w:rPr>
          <w:rFonts w:ascii="Arial" w:eastAsia="Calibri" w:hAnsi="Arial" w:cs="Arial"/>
          <w:sz w:val="20"/>
        </w:rPr>
      </w:pPr>
    </w:p>
    <w:p w14:paraId="5B434041" w14:textId="77777777" w:rsidR="00B00089" w:rsidRPr="00A23BBB" w:rsidRDefault="00B00089" w:rsidP="00B00089">
      <w:pPr>
        <w:jc w:val="both"/>
        <w:rPr>
          <w:rFonts w:ascii="Arial" w:eastAsia="Calibri" w:hAnsi="Arial" w:cs="Arial"/>
          <w:sz w:val="20"/>
          <w:u w:val="single"/>
        </w:rPr>
      </w:pPr>
      <w:r w:rsidRPr="00A23BBB">
        <w:rPr>
          <w:rFonts w:ascii="Arial" w:eastAsia="Calibri" w:hAnsi="Arial" w:cs="Arial"/>
          <w:sz w:val="20"/>
          <w:u w:val="single"/>
        </w:rPr>
        <w:t>Fecha de notificación:</w:t>
      </w:r>
      <w:r w:rsidRPr="00A23BBB">
        <w:rPr>
          <w:rFonts w:ascii="Arial" w:eastAsia="Calibri" w:hAnsi="Arial" w:cs="Arial"/>
          <w:sz w:val="20"/>
        </w:rPr>
        <w:t xml:space="preserve"> 26/12/2019.</w:t>
      </w:r>
    </w:p>
    <w:p w14:paraId="3E04DEF2" w14:textId="77777777" w:rsidR="00B00089" w:rsidRDefault="00B00089" w:rsidP="00B00089">
      <w:pPr>
        <w:jc w:val="both"/>
        <w:rPr>
          <w:rFonts w:ascii="Arial" w:eastAsia="Calibri" w:hAnsi="Arial" w:cs="Arial"/>
          <w:sz w:val="20"/>
        </w:rPr>
      </w:pPr>
    </w:p>
    <w:p w14:paraId="5BE9CD58" w14:textId="77777777" w:rsidR="00B00089" w:rsidRPr="00A23BBB" w:rsidRDefault="00B00089" w:rsidP="00B00089">
      <w:pPr>
        <w:jc w:val="both"/>
        <w:rPr>
          <w:rFonts w:ascii="Arial" w:eastAsia="Calibri" w:hAnsi="Arial" w:cs="Arial"/>
          <w:sz w:val="20"/>
          <w:u w:val="single"/>
        </w:rPr>
      </w:pPr>
      <w:r w:rsidRPr="00A23BBB">
        <w:rPr>
          <w:rFonts w:ascii="Arial" w:eastAsia="Calibri" w:hAnsi="Arial" w:cs="Arial"/>
          <w:sz w:val="20"/>
          <w:u w:val="single"/>
        </w:rPr>
        <w:t>Intervención:</w:t>
      </w:r>
      <w:r w:rsidRPr="00A23BBB">
        <w:rPr>
          <w:rFonts w:ascii="Arial" w:eastAsia="Calibri" w:hAnsi="Arial" w:cs="Arial"/>
          <w:sz w:val="20"/>
        </w:rPr>
        <w:t xml:space="preserve"> Defensa del Banco, de los Sres. Jorge Oscar Ramírez, Atilio María Dell Oro Maini, Richard Guy Gluzman, Laurence Nicole Mengin, Emerico Alejandro Stengel, Carlos Martin Noel, Julio Patricio Supervielle Saavedra y Aníbal Rodríguez Melgarejo.</w:t>
      </w:r>
    </w:p>
    <w:p w14:paraId="3377843C" w14:textId="77777777" w:rsidR="00B00089" w:rsidRDefault="00B00089" w:rsidP="00B00089">
      <w:pPr>
        <w:jc w:val="both"/>
        <w:rPr>
          <w:rFonts w:ascii="Arial" w:eastAsia="Calibri" w:hAnsi="Arial" w:cs="Arial"/>
          <w:sz w:val="20"/>
        </w:rPr>
      </w:pPr>
    </w:p>
    <w:p w14:paraId="0B18AE6B" w14:textId="77777777" w:rsidR="00B00089" w:rsidRPr="00A23BBB" w:rsidRDefault="00B00089" w:rsidP="00B00089">
      <w:pPr>
        <w:jc w:val="both"/>
        <w:rPr>
          <w:rFonts w:ascii="Arial" w:eastAsia="Calibri" w:hAnsi="Arial" w:cs="Arial"/>
          <w:sz w:val="20"/>
          <w:u w:val="single"/>
        </w:rPr>
      </w:pPr>
      <w:r w:rsidRPr="00A23BBB">
        <w:rPr>
          <w:rFonts w:ascii="Arial" w:eastAsia="Calibri" w:hAnsi="Arial" w:cs="Arial"/>
          <w:sz w:val="20"/>
          <w:u w:val="single"/>
        </w:rPr>
        <w:t>Objeto:</w:t>
      </w:r>
      <w:r w:rsidRPr="00A23BBB">
        <w:rPr>
          <w:rFonts w:ascii="Arial" w:eastAsia="Calibri" w:hAnsi="Arial" w:cs="Arial"/>
          <w:sz w:val="20"/>
        </w:rPr>
        <w:t xml:space="preserve"> Se investigan las acciones vinculadas con el contenido de la inspección integral del BCRA enfocada principalmente en la revisión del sistema de monitoreo de las operaciones de los clientes, la emisión de alertas, su gestión y análisis, la matriz de riesgo y la definición y administración de perfiles entre los días 19/12/16 y 2/02/17 –la Inspección BCRA 2017-, así como la acción administrativa sancionatoria que se vincula con el aporte efectuado por Woodford S.A.R.L. a los clientes Valle del Carmen S.a. y Valle Encantado S.A. con fecha 31/07/2014 por un monto de $578.813.</w:t>
      </w:r>
    </w:p>
    <w:p w14:paraId="4CE7F053" w14:textId="77777777" w:rsidR="00B00089" w:rsidRDefault="00B00089" w:rsidP="00B00089">
      <w:pPr>
        <w:jc w:val="both"/>
        <w:rPr>
          <w:rFonts w:ascii="Arial" w:eastAsia="Calibri" w:hAnsi="Arial" w:cs="Arial"/>
          <w:sz w:val="20"/>
        </w:rPr>
      </w:pPr>
    </w:p>
    <w:p w14:paraId="78FB757E" w14:textId="77777777" w:rsidR="00B00089" w:rsidRPr="00A23BBB" w:rsidRDefault="00B00089" w:rsidP="00B00089">
      <w:pPr>
        <w:jc w:val="both"/>
        <w:rPr>
          <w:rFonts w:ascii="Arial" w:eastAsia="Calibri" w:hAnsi="Arial" w:cs="Arial"/>
          <w:sz w:val="20"/>
          <w:u w:val="single"/>
        </w:rPr>
      </w:pPr>
      <w:r w:rsidRPr="00A23BBB">
        <w:rPr>
          <w:rFonts w:ascii="Arial" w:eastAsia="Calibri" w:hAnsi="Arial" w:cs="Arial"/>
          <w:sz w:val="20"/>
          <w:u w:val="single"/>
        </w:rPr>
        <w:t>Estado Actual:</w:t>
      </w:r>
      <w:r w:rsidRPr="00A23BBB">
        <w:rPr>
          <w:rFonts w:ascii="Arial" w:eastAsia="Calibri" w:hAnsi="Arial" w:cs="Arial"/>
          <w:sz w:val="20"/>
        </w:rPr>
        <w:t xml:space="preserve"> Nos presentamos formalmente por los sujetos mencionados. Con fecha 06/01/2020 nos concedieron una prórroga de 10 días hábiles para presentar el descargo por ellos, la cual vence el día 13/01/2020.</w:t>
      </w:r>
    </w:p>
    <w:p w14:paraId="526B8CE6" w14:textId="77777777" w:rsidR="005C5446" w:rsidRDefault="005C5446" w:rsidP="005C5446">
      <w:pPr>
        <w:jc w:val="both"/>
        <w:rPr>
          <w:rFonts w:ascii="Arial" w:eastAsia="Calibri" w:hAnsi="Arial" w:cs="Arial"/>
          <w:sz w:val="20"/>
        </w:rPr>
      </w:pPr>
    </w:p>
    <w:p w14:paraId="09930A1D" w14:textId="459E06D8" w:rsidR="00656E62" w:rsidRPr="00701F32" w:rsidRDefault="00CA4B7E" w:rsidP="00701F32">
      <w:pPr>
        <w:rPr>
          <w:rFonts w:ascii="Arial" w:hAnsi="Arial" w:cs="Arial"/>
          <w:b/>
          <w:sz w:val="20"/>
        </w:rPr>
      </w:pPr>
      <w:r>
        <w:rPr>
          <w:rFonts w:ascii="Arial" w:hAnsi="Arial" w:cs="Arial"/>
          <w:b/>
          <w:sz w:val="20"/>
        </w:rPr>
        <w:t>14</w:t>
      </w:r>
      <w:r w:rsidR="00656E62" w:rsidRPr="00701F32">
        <w:rPr>
          <w:rFonts w:ascii="Arial" w:hAnsi="Arial" w:cs="Arial"/>
          <w:b/>
          <w:sz w:val="20"/>
        </w:rPr>
        <w:t>.8 Emisión de obligaciones negociables</w:t>
      </w:r>
    </w:p>
    <w:p w14:paraId="68F7AAF0" w14:textId="77777777" w:rsidR="00656E62" w:rsidRPr="00701F32" w:rsidRDefault="00656E62" w:rsidP="00656E62">
      <w:pPr>
        <w:tabs>
          <w:tab w:val="left" w:pos="142"/>
        </w:tabs>
        <w:jc w:val="both"/>
        <w:rPr>
          <w:rFonts w:ascii="Arial" w:hAnsi="Arial" w:cs="Arial"/>
          <w:b/>
          <w:sz w:val="20"/>
        </w:rPr>
      </w:pPr>
    </w:p>
    <w:p w14:paraId="0D83CFC8" w14:textId="77777777" w:rsidR="00413157" w:rsidRPr="00701F32" w:rsidRDefault="00413157" w:rsidP="00413157">
      <w:pPr>
        <w:pStyle w:val="PrimerNivel"/>
        <w:numPr>
          <w:ilvl w:val="0"/>
          <w:numId w:val="0"/>
        </w:numPr>
        <w:rPr>
          <w:rFonts w:ascii="Arial" w:hAnsi="Arial" w:cs="Arial"/>
          <w:b/>
          <w:sz w:val="20"/>
        </w:rPr>
      </w:pPr>
      <w:r w:rsidRPr="00701F32">
        <w:rPr>
          <w:rFonts w:ascii="Arial" w:hAnsi="Arial" w:cs="Arial"/>
          <w:b/>
          <w:sz w:val="20"/>
        </w:rPr>
        <w:t>Obligaciones Negociables no subordinadas</w:t>
      </w:r>
    </w:p>
    <w:p w14:paraId="14C6D565" w14:textId="77777777" w:rsidR="00413157" w:rsidRPr="00CA279F" w:rsidRDefault="00413157" w:rsidP="00413157">
      <w:pPr>
        <w:tabs>
          <w:tab w:val="left" w:pos="142"/>
          <w:tab w:val="left" w:pos="9923"/>
        </w:tabs>
        <w:jc w:val="both"/>
        <w:rPr>
          <w:rFonts w:ascii="Arial" w:hAnsi="Arial" w:cs="Arial"/>
          <w:sz w:val="20"/>
        </w:rPr>
      </w:pPr>
    </w:p>
    <w:p w14:paraId="01645A60" w14:textId="7998FCE9" w:rsidR="00CA279F" w:rsidRPr="00A059FB" w:rsidRDefault="00CA279F" w:rsidP="00CA279F">
      <w:pPr>
        <w:spacing w:line="220" w:lineRule="exact"/>
        <w:jc w:val="both"/>
        <w:rPr>
          <w:rFonts w:ascii="Arial" w:hAnsi="Arial" w:cs="Arial"/>
          <w:sz w:val="20"/>
        </w:rPr>
      </w:pPr>
      <w:r w:rsidRPr="00A059FB">
        <w:rPr>
          <w:rFonts w:ascii="Arial" w:hAnsi="Arial" w:cs="Arial"/>
          <w:sz w:val="20"/>
        </w:rPr>
        <w:t>Con fecha 25 de marzo de 2013, la Asamblea General Ordinaria de Accionistas, resolvió aprobar la creación de un Programa Global de emisión de Obligaciones Negociables (el “Programa”) por hasta un monto máximo en circulación de $750.000. El Programa fue autorizado por la Comisión Nacional de Valores (la “CNV”) a través de la Resolución N° 17.066 de fecha 02 de mayo de 2013. Con fecha 15 de abril de 2016, la Asamblea General Ordinaria y Extraordinaria de Accionistas, aprobó la ampliación del monto total del Programa a un valor nominal de hasta $ 2.000.000. Dicha ampliación fue aprobada por el directorio de la CNV, mediante Resolución N°18.224 de fecha 22 de septiembre de 2016. A partir de la fecha 2 de mayo de 2018 el programa ya no se encuentra vigente.</w:t>
      </w:r>
    </w:p>
    <w:p w14:paraId="01EBB672" w14:textId="77777777" w:rsidR="00CA279F" w:rsidRPr="00A059FB" w:rsidRDefault="00CA279F" w:rsidP="00CA279F">
      <w:pPr>
        <w:jc w:val="both"/>
        <w:rPr>
          <w:rFonts w:ascii="Arial" w:hAnsi="Arial" w:cs="Arial"/>
          <w:sz w:val="20"/>
        </w:rPr>
      </w:pPr>
    </w:p>
    <w:p w14:paraId="4AC2F547" w14:textId="77777777" w:rsidR="00CA279F" w:rsidRPr="00CA279F" w:rsidRDefault="00CA279F" w:rsidP="00CA279F">
      <w:pPr>
        <w:jc w:val="both"/>
        <w:rPr>
          <w:rFonts w:ascii="Arial" w:hAnsi="Arial" w:cs="Arial"/>
          <w:b/>
          <w:bCs/>
          <w:sz w:val="20"/>
        </w:rPr>
      </w:pPr>
      <w:r w:rsidRPr="00CA279F">
        <w:rPr>
          <w:rFonts w:ascii="Arial" w:hAnsi="Arial" w:cs="Arial"/>
          <w:b/>
          <w:bCs/>
          <w:sz w:val="20"/>
        </w:rPr>
        <w:t>Programa Global de Emisión de</w:t>
      </w:r>
      <w:r w:rsidRPr="00CA279F">
        <w:t xml:space="preserve"> </w:t>
      </w:r>
      <w:r w:rsidRPr="00A059FB">
        <w:rPr>
          <w:rFonts w:ascii="Arial" w:hAnsi="Arial" w:cs="Arial"/>
          <w:b/>
          <w:bCs/>
          <w:sz w:val="20"/>
        </w:rPr>
        <w:t>Obligaciones Negociables</w:t>
      </w:r>
      <w:r w:rsidRPr="00CA279F">
        <w:rPr>
          <w:rFonts w:ascii="Arial" w:hAnsi="Arial" w:cs="Arial"/>
          <w:b/>
          <w:bCs/>
          <w:sz w:val="20"/>
        </w:rPr>
        <w:t xml:space="preserve"> por hasta V/N US$ 800.000.</w:t>
      </w:r>
      <w:r w:rsidRPr="00A059FB">
        <w:rPr>
          <w:rFonts w:ascii="Arial" w:hAnsi="Arial" w:cs="Arial"/>
          <w:b/>
          <w:bCs/>
          <w:sz w:val="20"/>
        </w:rPr>
        <w:t>000</w:t>
      </w:r>
    </w:p>
    <w:p w14:paraId="34487D2B" w14:textId="77777777" w:rsidR="00CA279F" w:rsidRPr="00CA279F" w:rsidRDefault="00CA279F" w:rsidP="00CA279F">
      <w:pPr>
        <w:jc w:val="both"/>
        <w:rPr>
          <w:rFonts w:ascii="Arial" w:hAnsi="Arial" w:cs="Arial"/>
          <w:sz w:val="20"/>
        </w:rPr>
      </w:pPr>
    </w:p>
    <w:p w14:paraId="5BF6BA14" w14:textId="10F55F9B" w:rsidR="00CA279F" w:rsidRPr="00A059FB" w:rsidRDefault="00CA279F" w:rsidP="00CA279F">
      <w:pPr>
        <w:jc w:val="both"/>
        <w:rPr>
          <w:rFonts w:ascii="Arial" w:hAnsi="Arial" w:cs="Arial"/>
          <w:sz w:val="20"/>
        </w:rPr>
      </w:pPr>
      <w:r w:rsidRPr="00A059FB">
        <w:rPr>
          <w:rFonts w:ascii="Arial" w:hAnsi="Arial" w:cs="Arial"/>
          <w:sz w:val="20"/>
        </w:rPr>
        <w:t>Con fecha 22 de septiembre de 2016, la Asamblea General Extraordinaria resolvió aprobar la creación de un Programa Global de Emisión de Obligaciones Negociables por hasta un monto máximo en circulación en cualquier momento durante la vigencia del programa de U$S 800.000. El programa fue autorizado por la Comisión Nacional de Valores a través de la Resolución Nº 18.376 de fecha 24 de noviembre de 2016. Con fecha 6 marzo de 2018 se aprobó por acta de asamblea la ampliación del Programa Global de Obligaciones Negociables por U$S 2.300.000. Con fecha 16 de abril de 2018 la CNV aprobó el aumento del Programa mediante la resolución Nro 19.470</w:t>
      </w:r>
      <w:r w:rsidRPr="00CA279F">
        <w:rPr>
          <w:rFonts w:ascii="Arial" w:hAnsi="Arial" w:cs="Arial"/>
          <w:sz w:val="20"/>
        </w:rPr>
        <w:t>.</w:t>
      </w:r>
    </w:p>
    <w:p w14:paraId="234D7AD7" w14:textId="77777777" w:rsidR="00CA279F" w:rsidRPr="00A059FB" w:rsidRDefault="00CA279F" w:rsidP="00CA279F">
      <w:pPr>
        <w:jc w:val="both"/>
        <w:rPr>
          <w:rFonts w:ascii="Arial" w:hAnsi="Arial" w:cs="Arial"/>
          <w:sz w:val="20"/>
        </w:rPr>
      </w:pPr>
    </w:p>
    <w:p w14:paraId="6E6E6152" w14:textId="77777777" w:rsidR="00CA279F" w:rsidRPr="00A059FB" w:rsidRDefault="00CA279F" w:rsidP="00CA279F">
      <w:pPr>
        <w:spacing w:line="220" w:lineRule="exact"/>
        <w:jc w:val="both"/>
        <w:rPr>
          <w:rFonts w:ascii="Arial" w:hAnsi="Arial" w:cs="Arial"/>
          <w:b/>
          <w:bCs/>
          <w:sz w:val="20"/>
        </w:rPr>
      </w:pPr>
      <w:r w:rsidRPr="00A059FB">
        <w:rPr>
          <w:rFonts w:ascii="Arial" w:hAnsi="Arial" w:cs="Arial"/>
          <w:b/>
          <w:bCs/>
          <w:sz w:val="20"/>
        </w:rPr>
        <w:t>Inscripción régimen emisor frecuente CNV</w:t>
      </w:r>
    </w:p>
    <w:p w14:paraId="1B98711D" w14:textId="77777777" w:rsidR="00CA279F" w:rsidRPr="00A059FB" w:rsidRDefault="00CA279F" w:rsidP="00CA279F">
      <w:pPr>
        <w:jc w:val="both"/>
        <w:rPr>
          <w:rFonts w:ascii="Century Gothic" w:hAnsi="Century Gothic" w:cs="Calibri"/>
          <w:sz w:val="20"/>
        </w:rPr>
      </w:pPr>
    </w:p>
    <w:p w14:paraId="43C6D212" w14:textId="38EAB140" w:rsidR="00413157" w:rsidRPr="00CA279F" w:rsidRDefault="00CA279F" w:rsidP="00413157">
      <w:pPr>
        <w:tabs>
          <w:tab w:val="left" w:pos="142"/>
          <w:tab w:val="left" w:pos="9923"/>
        </w:tabs>
        <w:jc w:val="both"/>
        <w:rPr>
          <w:rFonts w:ascii="Arial" w:hAnsi="Arial" w:cs="Arial"/>
          <w:sz w:val="20"/>
        </w:rPr>
      </w:pPr>
      <w:r w:rsidRPr="00A059FB">
        <w:rPr>
          <w:rFonts w:ascii="Arial" w:hAnsi="Arial" w:cs="Arial"/>
          <w:sz w:val="20"/>
        </w:rPr>
        <w:t>Con fecha 6 de agosto de 2018 el Directorio resolvió solicitar a la Comisión Nacional de Valores (la “CNV”)  el registro del Banco como emisor frecuente de obligaciones negociables. Dicha solicitud fue autorizada por la CNV a través de la Resolución N° 19.958 de fecha 27 de diciembre de 2018. El Banco se encuentra registrado ante la CNV como emisor frecuente de Obligaciones Negociables bajo el N° 03. En la reunión de directorio de la sociedad 7 de marzo de 2019, se resolvió aprobar la ratificación del Banco en el Régimen de Emisor Frecuente y en la reunión de Directorio de fecha 2 de diciembre de 2019 se resolvió destinar el monto máximo de U$S 300.000 correspondientes al Programa Global de Emisión de Obligaciones Negociables por hasta U$S 2.300.000, encontrándose el banco en proceso de reducción del monto máximo de dicho Programa. La CNV aprobó dicha ratificación a través de la Resolución DI-2020-11-APN-GE #CNV de fecha 11 de febrero de 2020.</w:t>
      </w:r>
    </w:p>
    <w:p w14:paraId="3D75CBAA" w14:textId="77777777" w:rsidR="00413157" w:rsidRPr="00701F32" w:rsidRDefault="00413157" w:rsidP="00413157">
      <w:pPr>
        <w:tabs>
          <w:tab w:val="left" w:pos="142"/>
          <w:tab w:val="left" w:pos="9923"/>
        </w:tabs>
        <w:jc w:val="both"/>
        <w:rPr>
          <w:rFonts w:ascii="Arial" w:hAnsi="Arial" w:cs="Arial"/>
          <w:sz w:val="20"/>
        </w:rPr>
      </w:pPr>
    </w:p>
    <w:p w14:paraId="4F4C7FE5" w14:textId="283BBE94" w:rsidR="00656E62" w:rsidRPr="00701F32" w:rsidRDefault="008A0152" w:rsidP="00656E62">
      <w:pPr>
        <w:pStyle w:val="PrimerNivel"/>
        <w:numPr>
          <w:ilvl w:val="0"/>
          <w:numId w:val="0"/>
        </w:numPr>
        <w:rPr>
          <w:rFonts w:ascii="Arial" w:hAnsi="Arial" w:cs="Arial"/>
          <w:sz w:val="20"/>
        </w:rPr>
      </w:pPr>
      <w:r>
        <w:rPr>
          <w:rFonts w:ascii="Arial" w:hAnsi="Arial" w:cs="Arial"/>
          <w:sz w:val="20"/>
        </w:rPr>
        <w:t xml:space="preserve">A </w:t>
      </w:r>
      <w:r w:rsidR="00656E62" w:rsidRPr="00701F32">
        <w:rPr>
          <w:rFonts w:ascii="Arial" w:hAnsi="Arial" w:cs="Arial"/>
          <w:sz w:val="20"/>
        </w:rPr>
        <w:t>continuación se expone un detalle</w:t>
      </w:r>
      <w:r w:rsidR="007F209B">
        <w:rPr>
          <w:rFonts w:ascii="Arial" w:hAnsi="Arial" w:cs="Arial"/>
          <w:sz w:val="20"/>
        </w:rPr>
        <w:t xml:space="preserve"> de las emisiones vigentes al </w:t>
      </w:r>
      <w:r w:rsidR="00710EB6">
        <w:rPr>
          <w:rFonts w:ascii="Arial" w:hAnsi="Arial" w:cs="Arial"/>
          <w:sz w:val="20"/>
        </w:rPr>
        <w:t xml:space="preserve">31 de diciembre de </w:t>
      </w:r>
      <w:r w:rsidR="00CA4B7E">
        <w:rPr>
          <w:rFonts w:ascii="Arial" w:hAnsi="Arial" w:cs="Arial"/>
          <w:sz w:val="20"/>
        </w:rPr>
        <w:t xml:space="preserve">2019 y </w:t>
      </w:r>
      <w:r w:rsidR="00656E62" w:rsidRPr="00701F32">
        <w:rPr>
          <w:rFonts w:ascii="Arial" w:hAnsi="Arial" w:cs="Arial"/>
          <w:sz w:val="20"/>
        </w:rPr>
        <w:t>201</w:t>
      </w:r>
      <w:r w:rsidR="00710EB6">
        <w:rPr>
          <w:rFonts w:ascii="Arial" w:hAnsi="Arial" w:cs="Arial"/>
          <w:sz w:val="20"/>
        </w:rPr>
        <w:t>8</w:t>
      </w:r>
      <w:r w:rsidR="00656E62" w:rsidRPr="00701F32">
        <w:rPr>
          <w:rFonts w:ascii="Arial" w:hAnsi="Arial" w:cs="Arial"/>
          <w:sz w:val="20"/>
        </w:rPr>
        <w:t>:</w:t>
      </w:r>
    </w:p>
    <w:p w14:paraId="2EF055A4" w14:textId="77777777" w:rsidR="00B64F35" w:rsidRPr="00701F32" w:rsidRDefault="00B64F35" w:rsidP="00656E62">
      <w:pPr>
        <w:pStyle w:val="PrimerNivel"/>
        <w:numPr>
          <w:ilvl w:val="0"/>
          <w:numId w:val="0"/>
        </w:numPr>
        <w:rPr>
          <w:rFonts w:ascii="Arial" w:hAnsi="Arial" w:cs="Arial"/>
          <w:sz w:val="20"/>
        </w:rPr>
      </w:pPr>
    </w:p>
    <w:tbl>
      <w:tblPr>
        <w:tblW w:w="5336" w:type="pct"/>
        <w:tblInd w:w="-15" w:type="dxa"/>
        <w:tblLayout w:type="fixed"/>
        <w:tblCellMar>
          <w:left w:w="70" w:type="dxa"/>
          <w:right w:w="70" w:type="dxa"/>
        </w:tblCellMar>
        <w:tblLook w:val="04A0" w:firstRow="1" w:lastRow="0" w:firstColumn="1" w:lastColumn="0" w:noHBand="0" w:noVBand="1"/>
      </w:tblPr>
      <w:tblGrid>
        <w:gridCol w:w="929"/>
        <w:gridCol w:w="712"/>
        <w:gridCol w:w="566"/>
        <w:gridCol w:w="830"/>
        <w:gridCol w:w="1135"/>
        <w:gridCol w:w="852"/>
        <w:gridCol w:w="1002"/>
        <w:gridCol w:w="1268"/>
        <w:gridCol w:w="923"/>
        <w:gridCol w:w="1009"/>
      </w:tblGrid>
      <w:tr w:rsidR="001B4A0E" w:rsidRPr="00701F32" w14:paraId="5E9370D7" w14:textId="77777777" w:rsidTr="001B4A0E">
        <w:trPr>
          <w:trHeight w:val="323"/>
          <w:tblHeader/>
        </w:trPr>
        <w:tc>
          <w:tcPr>
            <w:tcW w:w="50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77F906E"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Fecha de colocación</w:t>
            </w:r>
          </w:p>
        </w:tc>
        <w:tc>
          <w:tcPr>
            <w:tcW w:w="38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D4D1A1"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Moneda</w:t>
            </w:r>
          </w:p>
        </w:tc>
        <w:tc>
          <w:tcPr>
            <w:tcW w:w="30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67B0F7D"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Nro. de Clase</w:t>
            </w:r>
          </w:p>
        </w:tc>
        <w:tc>
          <w:tcPr>
            <w:tcW w:w="45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A0E0DF1"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Monto</w:t>
            </w:r>
          </w:p>
        </w:tc>
        <w:tc>
          <w:tcPr>
            <w:tcW w:w="61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839C719"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Amortización</w:t>
            </w:r>
          </w:p>
        </w:tc>
        <w:tc>
          <w:tcPr>
            <w:tcW w:w="46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B97B6F7"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Plazo</w:t>
            </w:r>
          </w:p>
        </w:tc>
        <w:tc>
          <w:tcPr>
            <w:tcW w:w="54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52F400"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Fecha de vencimiento</w:t>
            </w:r>
          </w:p>
        </w:tc>
        <w:tc>
          <w:tcPr>
            <w:tcW w:w="68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678EC5" w14:textId="77777777"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Tasa</w:t>
            </w:r>
          </w:p>
        </w:tc>
        <w:tc>
          <w:tcPr>
            <w:tcW w:w="1047" w:type="pct"/>
            <w:gridSpan w:val="2"/>
            <w:tcBorders>
              <w:top w:val="single" w:sz="8" w:space="0" w:color="auto"/>
              <w:left w:val="nil"/>
              <w:bottom w:val="single" w:sz="8" w:space="0" w:color="auto"/>
              <w:right w:val="single" w:sz="8" w:space="0" w:color="000000"/>
            </w:tcBorders>
            <w:shd w:val="clear" w:color="auto" w:fill="auto"/>
            <w:vAlign w:val="center"/>
            <w:hideMark/>
          </w:tcPr>
          <w:p w14:paraId="6520A445" w14:textId="3FC9BC46" w:rsidR="00B64F35" w:rsidRPr="00701F32" w:rsidRDefault="00B64F35" w:rsidP="007C07F0">
            <w:pPr>
              <w:jc w:val="center"/>
              <w:rPr>
                <w:rFonts w:ascii="Arial" w:hAnsi="Arial" w:cs="Arial"/>
                <w:b/>
                <w:color w:val="000000"/>
                <w:sz w:val="14"/>
                <w:szCs w:val="14"/>
                <w:lang w:eastAsia="es-AR"/>
              </w:rPr>
            </w:pPr>
            <w:r w:rsidRPr="00701F32">
              <w:rPr>
                <w:rFonts w:ascii="Arial" w:hAnsi="Arial" w:cs="Arial"/>
                <w:b/>
                <w:color w:val="000000"/>
                <w:sz w:val="14"/>
                <w:szCs w:val="14"/>
                <w:lang w:eastAsia="es-AR"/>
              </w:rPr>
              <w:t>Valor Libros</w:t>
            </w:r>
          </w:p>
        </w:tc>
      </w:tr>
      <w:tr w:rsidR="001B4A0E" w:rsidRPr="00701F32" w14:paraId="0CAA4776" w14:textId="77777777" w:rsidTr="00534414">
        <w:trPr>
          <w:trHeight w:val="323"/>
          <w:tblHeader/>
        </w:trPr>
        <w:tc>
          <w:tcPr>
            <w:tcW w:w="503" w:type="pct"/>
            <w:vMerge/>
            <w:tcBorders>
              <w:top w:val="single" w:sz="8" w:space="0" w:color="auto"/>
              <w:left w:val="single" w:sz="8" w:space="0" w:color="auto"/>
              <w:bottom w:val="single" w:sz="8" w:space="0" w:color="000000"/>
              <w:right w:val="single" w:sz="8" w:space="0" w:color="auto"/>
            </w:tcBorders>
            <w:vAlign w:val="center"/>
            <w:hideMark/>
          </w:tcPr>
          <w:p w14:paraId="595CE084" w14:textId="77777777" w:rsidR="00B64F35" w:rsidRPr="00701F32" w:rsidRDefault="00B64F35" w:rsidP="007D1882">
            <w:pPr>
              <w:jc w:val="center"/>
              <w:rPr>
                <w:rFonts w:ascii="Arial" w:hAnsi="Arial" w:cs="Arial"/>
                <w:b/>
                <w:color w:val="000000"/>
                <w:sz w:val="14"/>
                <w:szCs w:val="14"/>
                <w:lang w:eastAsia="es-AR"/>
              </w:rPr>
            </w:pPr>
          </w:p>
        </w:tc>
        <w:tc>
          <w:tcPr>
            <w:tcW w:w="386" w:type="pct"/>
            <w:vMerge/>
            <w:tcBorders>
              <w:top w:val="single" w:sz="8" w:space="0" w:color="auto"/>
              <w:left w:val="single" w:sz="8" w:space="0" w:color="auto"/>
              <w:bottom w:val="single" w:sz="8" w:space="0" w:color="000000"/>
              <w:right w:val="single" w:sz="8" w:space="0" w:color="auto"/>
            </w:tcBorders>
            <w:vAlign w:val="center"/>
            <w:hideMark/>
          </w:tcPr>
          <w:p w14:paraId="5B1DFDD2" w14:textId="77777777" w:rsidR="00B64F35" w:rsidRPr="00701F32" w:rsidRDefault="00B64F35" w:rsidP="007D1882">
            <w:pPr>
              <w:jc w:val="center"/>
              <w:rPr>
                <w:rFonts w:ascii="Arial" w:hAnsi="Arial" w:cs="Arial"/>
                <w:b/>
                <w:color w:val="000000"/>
                <w:sz w:val="14"/>
                <w:szCs w:val="14"/>
                <w:lang w:eastAsia="es-AR"/>
              </w:rPr>
            </w:pPr>
          </w:p>
        </w:tc>
        <w:tc>
          <w:tcPr>
            <w:tcW w:w="307" w:type="pct"/>
            <w:vMerge/>
            <w:tcBorders>
              <w:top w:val="single" w:sz="8" w:space="0" w:color="auto"/>
              <w:left w:val="single" w:sz="8" w:space="0" w:color="auto"/>
              <w:bottom w:val="single" w:sz="8" w:space="0" w:color="000000"/>
              <w:right w:val="single" w:sz="8" w:space="0" w:color="auto"/>
            </w:tcBorders>
            <w:vAlign w:val="center"/>
            <w:hideMark/>
          </w:tcPr>
          <w:p w14:paraId="289F4146" w14:textId="77777777" w:rsidR="00B64F35" w:rsidRPr="00701F32" w:rsidRDefault="00B64F35" w:rsidP="007D1882">
            <w:pPr>
              <w:jc w:val="center"/>
              <w:rPr>
                <w:rFonts w:ascii="Arial" w:hAnsi="Arial" w:cs="Arial"/>
                <w:b/>
                <w:color w:val="000000"/>
                <w:sz w:val="14"/>
                <w:szCs w:val="14"/>
                <w:lang w:eastAsia="es-AR"/>
              </w:rPr>
            </w:pPr>
          </w:p>
        </w:tc>
        <w:tc>
          <w:tcPr>
            <w:tcW w:w="450" w:type="pct"/>
            <w:vMerge/>
            <w:tcBorders>
              <w:top w:val="single" w:sz="8" w:space="0" w:color="auto"/>
              <w:left w:val="single" w:sz="8" w:space="0" w:color="auto"/>
              <w:bottom w:val="single" w:sz="8" w:space="0" w:color="000000"/>
              <w:right w:val="single" w:sz="8" w:space="0" w:color="auto"/>
            </w:tcBorders>
            <w:vAlign w:val="center"/>
            <w:hideMark/>
          </w:tcPr>
          <w:p w14:paraId="0097E80F" w14:textId="77777777" w:rsidR="00B64F35" w:rsidRPr="00701F32" w:rsidRDefault="00B64F35" w:rsidP="007D1882">
            <w:pPr>
              <w:jc w:val="center"/>
              <w:rPr>
                <w:rFonts w:ascii="Arial" w:hAnsi="Arial" w:cs="Arial"/>
                <w:b/>
                <w:color w:val="000000"/>
                <w:sz w:val="14"/>
                <w:szCs w:val="14"/>
                <w:lang w:eastAsia="es-AR"/>
              </w:rPr>
            </w:pPr>
          </w:p>
        </w:tc>
        <w:tc>
          <w:tcPr>
            <w:tcW w:w="615" w:type="pct"/>
            <w:vMerge/>
            <w:tcBorders>
              <w:top w:val="single" w:sz="8" w:space="0" w:color="auto"/>
              <w:left w:val="single" w:sz="8" w:space="0" w:color="auto"/>
              <w:bottom w:val="single" w:sz="8" w:space="0" w:color="000000"/>
              <w:right w:val="single" w:sz="8" w:space="0" w:color="auto"/>
            </w:tcBorders>
            <w:vAlign w:val="center"/>
            <w:hideMark/>
          </w:tcPr>
          <w:p w14:paraId="5EAE41D1" w14:textId="77777777" w:rsidR="00B64F35" w:rsidRPr="00701F32" w:rsidRDefault="00B64F35" w:rsidP="007D1882">
            <w:pPr>
              <w:jc w:val="center"/>
              <w:rPr>
                <w:rFonts w:ascii="Arial" w:hAnsi="Arial" w:cs="Arial"/>
                <w:b/>
                <w:color w:val="000000"/>
                <w:sz w:val="14"/>
                <w:szCs w:val="14"/>
                <w:lang w:eastAsia="es-AR"/>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14:paraId="5E1FDBDF" w14:textId="77777777" w:rsidR="00B64F35" w:rsidRPr="00701F32" w:rsidRDefault="00B64F35" w:rsidP="007D1882">
            <w:pPr>
              <w:jc w:val="center"/>
              <w:rPr>
                <w:rFonts w:ascii="Arial" w:hAnsi="Arial" w:cs="Arial"/>
                <w:b/>
                <w:color w:val="000000"/>
                <w:sz w:val="14"/>
                <w:szCs w:val="14"/>
                <w:lang w:eastAsia="es-AR"/>
              </w:rPr>
            </w:pPr>
          </w:p>
        </w:tc>
        <w:tc>
          <w:tcPr>
            <w:tcW w:w="543" w:type="pct"/>
            <w:vMerge/>
            <w:tcBorders>
              <w:top w:val="single" w:sz="8" w:space="0" w:color="auto"/>
              <w:left w:val="single" w:sz="8" w:space="0" w:color="auto"/>
              <w:bottom w:val="single" w:sz="8" w:space="0" w:color="000000"/>
              <w:right w:val="single" w:sz="8" w:space="0" w:color="auto"/>
            </w:tcBorders>
            <w:vAlign w:val="center"/>
            <w:hideMark/>
          </w:tcPr>
          <w:p w14:paraId="0742E35D" w14:textId="77777777" w:rsidR="00B64F35" w:rsidRPr="00701F32" w:rsidRDefault="00B64F35" w:rsidP="007D1882">
            <w:pPr>
              <w:jc w:val="center"/>
              <w:rPr>
                <w:rFonts w:ascii="Arial" w:hAnsi="Arial" w:cs="Arial"/>
                <w:b/>
                <w:color w:val="000000"/>
                <w:sz w:val="14"/>
                <w:szCs w:val="14"/>
                <w:lang w:eastAsia="es-AR"/>
              </w:rPr>
            </w:pPr>
          </w:p>
        </w:tc>
        <w:tc>
          <w:tcPr>
            <w:tcW w:w="687" w:type="pct"/>
            <w:vMerge/>
            <w:tcBorders>
              <w:top w:val="single" w:sz="8" w:space="0" w:color="auto"/>
              <w:left w:val="single" w:sz="8" w:space="0" w:color="auto"/>
              <w:bottom w:val="single" w:sz="8" w:space="0" w:color="000000"/>
              <w:right w:val="single" w:sz="8" w:space="0" w:color="auto"/>
            </w:tcBorders>
            <w:vAlign w:val="center"/>
            <w:hideMark/>
          </w:tcPr>
          <w:p w14:paraId="2C192919" w14:textId="77777777" w:rsidR="00B64F35" w:rsidRPr="00701F32" w:rsidRDefault="00B64F35" w:rsidP="007D1882">
            <w:pPr>
              <w:jc w:val="center"/>
              <w:rPr>
                <w:rFonts w:ascii="Arial" w:hAnsi="Arial" w:cs="Arial"/>
                <w:b/>
                <w:color w:val="000000"/>
                <w:sz w:val="14"/>
                <w:szCs w:val="14"/>
                <w:lang w:eastAsia="es-AR"/>
              </w:rPr>
            </w:pPr>
          </w:p>
        </w:tc>
        <w:tc>
          <w:tcPr>
            <w:tcW w:w="500" w:type="pct"/>
            <w:tcBorders>
              <w:top w:val="nil"/>
              <w:left w:val="nil"/>
              <w:bottom w:val="single" w:sz="8" w:space="0" w:color="auto"/>
              <w:right w:val="single" w:sz="8" w:space="0" w:color="auto"/>
            </w:tcBorders>
            <w:shd w:val="clear" w:color="auto" w:fill="auto"/>
            <w:vAlign w:val="center"/>
            <w:hideMark/>
          </w:tcPr>
          <w:p w14:paraId="5C4A7467" w14:textId="6D471C01" w:rsidR="00B64F35" w:rsidRPr="00701F32" w:rsidRDefault="003C2633" w:rsidP="007F209B">
            <w:pPr>
              <w:jc w:val="center"/>
              <w:rPr>
                <w:rFonts w:ascii="Arial" w:hAnsi="Arial" w:cs="Arial"/>
                <w:b/>
                <w:color w:val="000000"/>
                <w:sz w:val="14"/>
                <w:szCs w:val="14"/>
                <w:lang w:eastAsia="es-AR"/>
              </w:rPr>
            </w:pPr>
            <w:r>
              <w:rPr>
                <w:rFonts w:ascii="Arial" w:hAnsi="Arial" w:cs="Arial"/>
                <w:b/>
                <w:color w:val="000000"/>
                <w:sz w:val="14"/>
                <w:szCs w:val="16"/>
                <w:lang w:eastAsia="es-AR"/>
              </w:rPr>
              <w:t>3</w:t>
            </w:r>
            <w:r w:rsidR="00AF7176">
              <w:rPr>
                <w:rFonts w:ascii="Arial" w:hAnsi="Arial" w:cs="Arial"/>
                <w:b/>
                <w:color w:val="000000"/>
                <w:sz w:val="14"/>
                <w:szCs w:val="16"/>
                <w:lang w:eastAsia="es-AR"/>
              </w:rPr>
              <w:t>1</w:t>
            </w:r>
            <w:r>
              <w:rPr>
                <w:rFonts w:ascii="Arial" w:hAnsi="Arial" w:cs="Arial"/>
                <w:b/>
                <w:color w:val="000000"/>
                <w:sz w:val="14"/>
                <w:szCs w:val="16"/>
                <w:lang w:eastAsia="es-AR"/>
              </w:rPr>
              <w:t>/</w:t>
            </w:r>
            <w:r w:rsidR="00AF7176">
              <w:rPr>
                <w:rFonts w:ascii="Arial" w:hAnsi="Arial" w:cs="Arial"/>
                <w:b/>
                <w:color w:val="000000"/>
                <w:sz w:val="14"/>
                <w:szCs w:val="16"/>
                <w:lang w:eastAsia="es-AR"/>
              </w:rPr>
              <w:t>12</w:t>
            </w:r>
            <w:r>
              <w:rPr>
                <w:rFonts w:ascii="Arial" w:hAnsi="Arial" w:cs="Arial"/>
                <w:b/>
                <w:color w:val="000000"/>
                <w:sz w:val="14"/>
                <w:szCs w:val="16"/>
                <w:lang w:eastAsia="es-AR"/>
              </w:rPr>
              <w:t>/2019</w:t>
            </w:r>
          </w:p>
        </w:tc>
        <w:tc>
          <w:tcPr>
            <w:tcW w:w="547" w:type="pct"/>
            <w:tcBorders>
              <w:top w:val="nil"/>
              <w:left w:val="nil"/>
              <w:bottom w:val="single" w:sz="8" w:space="0" w:color="auto"/>
              <w:right w:val="single" w:sz="8" w:space="0" w:color="auto"/>
            </w:tcBorders>
            <w:shd w:val="clear" w:color="auto" w:fill="auto"/>
            <w:vAlign w:val="center"/>
            <w:hideMark/>
          </w:tcPr>
          <w:p w14:paraId="2F6088D5" w14:textId="38E13C4A" w:rsidR="00B64F35" w:rsidRPr="00701F32" w:rsidRDefault="00B64F35" w:rsidP="007D1882">
            <w:pPr>
              <w:jc w:val="center"/>
              <w:rPr>
                <w:rFonts w:ascii="Arial" w:hAnsi="Arial" w:cs="Arial"/>
                <w:b/>
                <w:color w:val="000000"/>
                <w:sz w:val="14"/>
                <w:szCs w:val="14"/>
                <w:lang w:eastAsia="es-AR"/>
              </w:rPr>
            </w:pPr>
            <w:r w:rsidRPr="00701F32">
              <w:rPr>
                <w:rFonts w:ascii="Arial" w:hAnsi="Arial" w:cs="Arial"/>
                <w:b/>
                <w:color w:val="000000"/>
                <w:sz w:val="14"/>
                <w:szCs w:val="16"/>
                <w:lang w:eastAsia="es-AR"/>
              </w:rPr>
              <w:t>31/12/201</w:t>
            </w:r>
            <w:r>
              <w:rPr>
                <w:rFonts w:ascii="Arial" w:hAnsi="Arial" w:cs="Arial"/>
                <w:b/>
                <w:color w:val="000000"/>
                <w:sz w:val="14"/>
                <w:szCs w:val="16"/>
                <w:lang w:eastAsia="es-AR"/>
              </w:rPr>
              <w:t>8</w:t>
            </w:r>
          </w:p>
        </w:tc>
      </w:tr>
      <w:tr w:rsidR="001B4A0E" w:rsidRPr="00701F32" w14:paraId="725F5ADC" w14:textId="77777777" w:rsidTr="00534414">
        <w:trPr>
          <w:trHeight w:val="538"/>
        </w:trPr>
        <w:tc>
          <w:tcPr>
            <w:tcW w:w="503" w:type="pct"/>
            <w:tcBorders>
              <w:top w:val="nil"/>
              <w:left w:val="single" w:sz="8" w:space="0" w:color="auto"/>
              <w:bottom w:val="single" w:sz="8" w:space="0" w:color="auto"/>
              <w:right w:val="single" w:sz="8" w:space="0" w:color="auto"/>
            </w:tcBorders>
            <w:shd w:val="clear" w:color="auto" w:fill="auto"/>
            <w:noWrap/>
            <w:vAlign w:val="center"/>
          </w:tcPr>
          <w:p w14:paraId="0DD2E877"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09/02/17</w:t>
            </w:r>
          </w:p>
        </w:tc>
        <w:tc>
          <w:tcPr>
            <w:tcW w:w="386" w:type="pct"/>
            <w:tcBorders>
              <w:top w:val="nil"/>
              <w:left w:val="nil"/>
              <w:bottom w:val="single" w:sz="8" w:space="0" w:color="auto"/>
              <w:right w:val="single" w:sz="8" w:space="0" w:color="auto"/>
            </w:tcBorders>
            <w:shd w:val="clear" w:color="auto" w:fill="auto"/>
            <w:noWrap/>
            <w:vAlign w:val="center"/>
          </w:tcPr>
          <w:p w14:paraId="6F2CE7A2"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07" w:type="pct"/>
            <w:tcBorders>
              <w:top w:val="nil"/>
              <w:left w:val="nil"/>
              <w:bottom w:val="single" w:sz="8" w:space="0" w:color="auto"/>
              <w:right w:val="single" w:sz="8" w:space="0" w:color="auto"/>
            </w:tcBorders>
            <w:shd w:val="clear" w:color="auto" w:fill="auto"/>
            <w:noWrap/>
            <w:vAlign w:val="center"/>
          </w:tcPr>
          <w:p w14:paraId="28BF19DB"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A</w:t>
            </w:r>
          </w:p>
        </w:tc>
        <w:tc>
          <w:tcPr>
            <w:tcW w:w="450" w:type="pct"/>
            <w:tcBorders>
              <w:top w:val="nil"/>
              <w:left w:val="nil"/>
              <w:bottom w:val="single" w:sz="8" w:space="0" w:color="auto"/>
              <w:right w:val="single" w:sz="8" w:space="0" w:color="auto"/>
            </w:tcBorders>
            <w:shd w:val="clear" w:color="auto" w:fill="auto"/>
            <w:noWrap/>
            <w:vAlign w:val="center"/>
          </w:tcPr>
          <w:p w14:paraId="464F9E88" w14:textId="54D671EB" w:rsidR="00B64F35" w:rsidRPr="00701F32" w:rsidRDefault="00B64F35" w:rsidP="00254884">
            <w:pPr>
              <w:jc w:val="right"/>
              <w:rPr>
                <w:rFonts w:ascii="Arial" w:hAnsi="Arial" w:cs="Arial"/>
                <w:color w:val="000000"/>
                <w:sz w:val="14"/>
                <w:szCs w:val="14"/>
                <w:lang w:eastAsia="es-AR"/>
              </w:rPr>
            </w:pPr>
            <w:r w:rsidRPr="00701F32">
              <w:rPr>
                <w:rFonts w:ascii="Arial" w:hAnsi="Arial" w:cs="Arial"/>
                <w:color w:val="000000"/>
                <w:sz w:val="14"/>
                <w:szCs w:val="14"/>
                <w:lang w:eastAsia="es-AR"/>
              </w:rPr>
              <w:t>4.150.140</w:t>
            </w:r>
          </w:p>
        </w:tc>
        <w:tc>
          <w:tcPr>
            <w:tcW w:w="615" w:type="pct"/>
            <w:tcBorders>
              <w:top w:val="nil"/>
              <w:left w:val="nil"/>
              <w:bottom w:val="single" w:sz="8" w:space="0" w:color="auto"/>
              <w:right w:val="single" w:sz="8" w:space="0" w:color="auto"/>
            </w:tcBorders>
            <w:shd w:val="clear" w:color="auto" w:fill="auto"/>
            <w:vAlign w:val="center"/>
          </w:tcPr>
          <w:p w14:paraId="7781952E"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50% el 9-2-2020 y 50% al vencimiento el 9-8-2020</w:t>
            </w:r>
          </w:p>
        </w:tc>
        <w:tc>
          <w:tcPr>
            <w:tcW w:w="462" w:type="pct"/>
            <w:tcBorders>
              <w:top w:val="nil"/>
              <w:left w:val="nil"/>
              <w:bottom w:val="single" w:sz="8" w:space="0" w:color="auto"/>
              <w:right w:val="single" w:sz="8" w:space="0" w:color="auto"/>
            </w:tcBorders>
            <w:shd w:val="clear" w:color="auto" w:fill="auto"/>
            <w:noWrap/>
            <w:vAlign w:val="center"/>
          </w:tcPr>
          <w:p w14:paraId="4144F461" w14:textId="59E7B4CE"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42 </w:t>
            </w:r>
            <w:r w:rsidR="00AE73E8" w:rsidRPr="00701F32">
              <w:rPr>
                <w:rFonts w:ascii="Arial" w:hAnsi="Arial" w:cs="Arial"/>
                <w:color w:val="000000"/>
                <w:sz w:val="14"/>
                <w:szCs w:val="14"/>
                <w:lang w:eastAsia="es-AR"/>
              </w:rPr>
              <w:t>meses</w:t>
            </w:r>
          </w:p>
        </w:tc>
        <w:tc>
          <w:tcPr>
            <w:tcW w:w="543" w:type="pct"/>
            <w:tcBorders>
              <w:top w:val="nil"/>
              <w:left w:val="nil"/>
              <w:bottom w:val="single" w:sz="8" w:space="0" w:color="auto"/>
              <w:right w:val="single" w:sz="8" w:space="0" w:color="auto"/>
            </w:tcBorders>
            <w:shd w:val="clear" w:color="auto" w:fill="auto"/>
            <w:noWrap/>
            <w:vAlign w:val="center"/>
          </w:tcPr>
          <w:p w14:paraId="0D601205"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09/08/2020</w:t>
            </w:r>
          </w:p>
        </w:tc>
        <w:tc>
          <w:tcPr>
            <w:tcW w:w="687" w:type="pct"/>
            <w:tcBorders>
              <w:top w:val="nil"/>
              <w:left w:val="nil"/>
              <w:bottom w:val="single" w:sz="8" w:space="0" w:color="auto"/>
              <w:right w:val="single" w:sz="8" w:space="0" w:color="auto"/>
            </w:tcBorders>
            <w:shd w:val="clear" w:color="auto" w:fill="auto"/>
            <w:vAlign w:val="center"/>
          </w:tcPr>
          <w:p w14:paraId="39A0090E"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de Bancos Privados + 4,50%, con un mínimo del 18% nominal anual</w:t>
            </w:r>
          </w:p>
        </w:tc>
        <w:tc>
          <w:tcPr>
            <w:tcW w:w="500" w:type="pct"/>
            <w:tcBorders>
              <w:top w:val="nil"/>
              <w:left w:val="nil"/>
              <w:bottom w:val="single" w:sz="8" w:space="0" w:color="auto"/>
              <w:right w:val="single" w:sz="8" w:space="0" w:color="auto"/>
            </w:tcBorders>
            <w:shd w:val="clear" w:color="auto" w:fill="auto"/>
            <w:noWrap/>
            <w:vAlign w:val="bottom"/>
          </w:tcPr>
          <w:p w14:paraId="4B88439D" w14:textId="420204B3" w:rsidR="00B64F35" w:rsidRPr="000E1F15" w:rsidRDefault="000A1F75">
            <w:pPr>
              <w:jc w:val="right"/>
              <w:rPr>
                <w:rFonts w:ascii="Arial" w:hAnsi="Arial" w:cs="Arial"/>
                <w:color w:val="000000"/>
                <w:sz w:val="14"/>
                <w:szCs w:val="14"/>
                <w:lang w:eastAsia="es-AR"/>
              </w:rPr>
            </w:pPr>
            <w:r>
              <w:rPr>
                <w:rFonts w:ascii="Arial" w:hAnsi="Arial" w:cs="Arial"/>
                <w:color w:val="000000"/>
                <w:sz w:val="14"/>
                <w:szCs w:val="14"/>
                <w:lang w:eastAsia="es-AR"/>
              </w:rPr>
              <w:t>3.804.338</w:t>
            </w:r>
          </w:p>
        </w:tc>
        <w:tc>
          <w:tcPr>
            <w:tcW w:w="547" w:type="pct"/>
            <w:tcBorders>
              <w:top w:val="nil"/>
              <w:left w:val="nil"/>
              <w:bottom w:val="single" w:sz="8" w:space="0" w:color="auto"/>
              <w:right w:val="single" w:sz="8" w:space="0" w:color="auto"/>
            </w:tcBorders>
            <w:shd w:val="clear" w:color="auto" w:fill="auto"/>
            <w:noWrap/>
            <w:vAlign w:val="bottom"/>
          </w:tcPr>
          <w:p w14:paraId="4596BC98" w14:textId="32BF237F" w:rsidR="00B64F35" w:rsidRPr="000E1F15" w:rsidRDefault="00B64F35">
            <w:pPr>
              <w:jc w:val="right"/>
              <w:rPr>
                <w:rFonts w:ascii="Arial" w:hAnsi="Arial" w:cs="Arial"/>
                <w:color w:val="000000"/>
                <w:sz w:val="14"/>
                <w:szCs w:val="14"/>
                <w:lang w:eastAsia="es-AR"/>
              </w:rPr>
            </w:pPr>
            <w:r w:rsidRPr="00534414">
              <w:rPr>
                <w:rFonts w:ascii="Arial" w:hAnsi="Arial" w:cs="Arial"/>
                <w:sz w:val="14"/>
                <w:szCs w:val="14"/>
              </w:rPr>
              <w:t>4.200.603</w:t>
            </w:r>
          </w:p>
        </w:tc>
      </w:tr>
      <w:tr w:rsidR="001B4A0E" w:rsidRPr="00701F32" w14:paraId="0B6C523F" w14:textId="77777777" w:rsidTr="00534414">
        <w:trPr>
          <w:trHeight w:val="538"/>
        </w:trPr>
        <w:tc>
          <w:tcPr>
            <w:tcW w:w="503" w:type="pct"/>
            <w:tcBorders>
              <w:top w:val="nil"/>
              <w:left w:val="single" w:sz="8" w:space="0" w:color="auto"/>
              <w:bottom w:val="single" w:sz="8" w:space="0" w:color="auto"/>
              <w:right w:val="single" w:sz="8" w:space="0" w:color="auto"/>
            </w:tcBorders>
            <w:shd w:val="clear" w:color="auto" w:fill="auto"/>
            <w:noWrap/>
            <w:vAlign w:val="center"/>
            <w:hideMark/>
          </w:tcPr>
          <w:p w14:paraId="4F2D8FC0"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22/12/17</w:t>
            </w:r>
          </w:p>
        </w:tc>
        <w:tc>
          <w:tcPr>
            <w:tcW w:w="386" w:type="pct"/>
            <w:tcBorders>
              <w:top w:val="nil"/>
              <w:left w:val="nil"/>
              <w:bottom w:val="single" w:sz="8" w:space="0" w:color="auto"/>
              <w:right w:val="single" w:sz="8" w:space="0" w:color="auto"/>
            </w:tcBorders>
            <w:shd w:val="clear" w:color="auto" w:fill="auto"/>
            <w:noWrap/>
            <w:vAlign w:val="center"/>
            <w:hideMark/>
          </w:tcPr>
          <w:p w14:paraId="21F08CE6"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07" w:type="pct"/>
            <w:tcBorders>
              <w:top w:val="nil"/>
              <w:left w:val="nil"/>
              <w:bottom w:val="single" w:sz="8" w:space="0" w:color="auto"/>
              <w:right w:val="single" w:sz="8" w:space="0" w:color="auto"/>
            </w:tcBorders>
            <w:shd w:val="clear" w:color="auto" w:fill="auto"/>
            <w:noWrap/>
            <w:vAlign w:val="center"/>
            <w:hideMark/>
          </w:tcPr>
          <w:p w14:paraId="245A065C"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B</w:t>
            </w:r>
          </w:p>
        </w:tc>
        <w:tc>
          <w:tcPr>
            <w:tcW w:w="450" w:type="pct"/>
            <w:tcBorders>
              <w:top w:val="nil"/>
              <w:left w:val="nil"/>
              <w:bottom w:val="single" w:sz="8" w:space="0" w:color="auto"/>
              <w:right w:val="single" w:sz="8" w:space="0" w:color="auto"/>
            </w:tcBorders>
            <w:shd w:val="clear" w:color="auto" w:fill="auto"/>
            <w:noWrap/>
            <w:vAlign w:val="center"/>
            <w:hideMark/>
          </w:tcPr>
          <w:p w14:paraId="2CB2B0BE" w14:textId="77777777" w:rsidR="00B64F35" w:rsidRPr="00701F32" w:rsidRDefault="00B64F35" w:rsidP="00254884">
            <w:pPr>
              <w:jc w:val="right"/>
              <w:rPr>
                <w:rFonts w:ascii="Arial" w:hAnsi="Arial" w:cs="Arial"/>
                <w:color w:val="000000"/>
                <w:sz w:val="14"/>
                <w:szCs w:val="14"/>
                <w:lang w:eastAsia="es-AR"/>
              </w:rPr>
            </w:pPr>
            <w:r w:rsidRPr="00701F32">
              <w:rPr>
                <w:rFonts w:ascii="Arial" w:hAnsi="Arial" w:cs="Arial"/>
                <w:color w:val="000000"/>
                <w:sz w:val="14"/>
                <w:szCs w:val="14"/>
                <w:lang w:eastAsia="es-AR"/>
              </w:rPr>
              <w:t>629.000</w:t>
            </w:r>
          </w:p>
        </w:tc>
        <w:tc>
          <w:tcPr>
            <w:tcW w:w="615" w:type="pct"/>
            <w:tcBorders>
              <w:top w:val="nil"/>
              <w:left w:val="nil"/>
              <w:bottom w:val="single" w:sz="8" w:space="0" w:color="auto"/>
              <w:right w:val="single" w:sz="8" w:space="0" w:color="auto"/>
            </w:tcBorders>
            <w:shd w:val="clear" w:color="auto" w:fill="auto"/>
            <w:vAlign w:val="center"/>
            <w:hideMark/>
          </w:tcPr>
          <w:p w14:paraId="5E334123"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100% al vto.</w:t>
            </w:r>
          </w:p>
        </w:tc>
        <w:tc>
          <w:tcPr>
            <w:tcW w:w="462" w:type="pct"/>
            <w:tcBorders>
              <w:top w:val="nil"/>
              <w:left w:val="nil"/>
              <w:bottom w:val="single" w:sz="8" w:space="0" w:color="auto"/>
              <w:right w:val="single" w:sz="8" w:space="0" w:color="auto"/>
            </w:tcBorders>
            <w:shd w:val="clear" w:color="auto" w:fill="auto"/>
            <w:noWrap/>
            <w:vAlign w:val="center"/>
            <w:hideMark/>
          </w:tcPr>
          <w:p w14:paraId="6F56CCEE" w14:textId="6EC6555D"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24 </w:t>
            </w:r>
            <w:r w:rsidR="00AE73E8" w:rsidRPr="00701F32">
              <w:rPr>
                <w:rFonts w:ascii="Arial" w:hAnsi="Arial" w:cs="Arial"/>
                <w:color w:val="000000"/>
                <w:sz w:val="14"/>
                <w:szCs w:val="14"/>
                <w:lang w:eastAsia="es-AR"/>
              </w:rPr>
              <w:t>meses</w:t>
            </w:r>
          </w:p>
        </w:tc>
        <w:tc>
          <w:tcPr>
            <w:tcW w:w="543" w:type="pct"/>
            <w:tcBorders>
              <w:top w:val="nil"/>
              <w:left w:val="nil"/>
              <w:bottom w:val="single" w:sz="8" w:space="0" w:color="auto"/>
              <w:right w:val="single" w:sz="8" w:space="0" w:color="auto"/>
            </w:tcBorders>
            <w:shd w:val="clear" w:color="auto" w:fill="auto"/>
            <w:noWrap/>
            <w:vAlign w:val="center"/>
            <w:hideMark/>
          </w:tcPr>
          <w:p w14:paraId="7000B1E8"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22/12/2019</w:t>
            </w:r>
          </w:p>
        </w:tc>
        <w:tc>
          <w:tcPr>
            <w:tcW w:w="687" w:type="pct"/>
            <w:tcBorders>
              <w:top w:val="nil"/>
              <w:left w:val="nil"/>
              <w:bottom w:val="single" w:sz="8" w:space="0" w:color="auto"/>
              <w:right w:val="single" w:sz="8" w:space="0" w:color="auto"/>
            </w:tcBorders>
            <w:shd w:val="clear" w:color="auto" w:fill="auto"/>
            <w:vAlign w:val="center"/>
            <w:hideMark/>
          </w:tcPr>
          <w:p w14:paraId="65B5FD67"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TM20 + 3,25%</w:t>
            </w:r>
          </w:p>
        </w:tc>
        <w:tc>
          <w:tcPr>
            <w:tcW w:w="500" w:type="pct"/>
            <w:tcBorders>
              <w:top w:val="nil"/>
              <w:left w:val="nil"/>
              <w:bottom w:val="single" w:sz="8" w:space="0" w:color="auto"/>
              <w:right w:val="single" w:sz="8" w:space="0" w:color="auto"/>
            </w:tcBorders>
            <w:shd w:val="clear" w:color="auto" w:fill="auto"/>
            <w:noWrap/>
            <w:vAlign w:val="bottom"/>
          </w:tcPr>
          <w:p w14:paraId="11C73675" w14:textId="1C6C5820" w:rsidR="00B64F35" w:rsidRPr="000E1F15" w:rsidRDefault="00CA4B7E">
            <w:pPr>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547" w:type="pct"/>
            <w:tcBorders>
              <w:top w:val="nil"/>
              <w:left w:val="nil"/>
              <w:bottom w:val="single" w:sz="8" w:space="0" w:color="auto"/>
              <w:right w:val="single" w:sz="8" w:space="0" w:color="auto"/>
            </w:tcBorders>
            <w:shd w:val="clear" w:color="auto" w:fill="auto"/>
            <w:noWrap/>
            <w:vAlign w:val="bottom"/>
            <w:hideMark/>
          </w:tcPr>
          <w:p w14:paraId="2280D869" w14:textId="435E5D42" w:rsidR="00B64F35" w:rsidRPr="000E1F15" w:rsidRDefault="00B64F35">
            <w:pPr>
              <w:jc w:val="right"/>
              <w:rPr>
                <w:rFonts w:ascii="Arial" w:hAnsi="Arial" w:cs="Arial"/>
                <w:color w:val="000000"/>
                <w:sz w:val="14"/>
                <w:szCs w:val="14"/>
                <w:lang w:eastAsia="es-AR"/>
              </w:rPr>
            </w:pPr>
            <w:r w:rsidRPr="00534414">
              <w:rPr>
                <w:rFonts w:ascii="Arial" w:hAnsi="Arial" w:cs="Arial"/>
                <w:sz w:val="14"/>
                <w:szCs w:val="14"/>
              </w:rPr>
              <w:t>600.155</w:t>
            </w:r>
          </w:p>
        </w:tc>
      </w:tr>
      <w:tr w:rsidR="001B4A0E" w:rsidRPr="00701F32" w14:paraId="6C7B6631" w14:textId="77777777" w:rsidTr="00534414">
        <w:trPr>
          <w:trHeight w:val="1780"/>
        </w:trPr>
        <w:tc>
          <w:tcPr>
            <w:tcW w:w="503" w:type="pct"/>
            <w:tcBorders>
              <w:top w:val="nil"/>
              <w:left w:val="single" w:sz="8" w:space="0" w:color="auto"/>
              <w:bottom w:val="single" w:sz="8" w:space="0" w:color="auto"/>
              <w:right w:val="single" w:sz="8" w:space="0" w:color="auto"/>
            </w:tcBorders>
            <w:shd w:val="clear" w:color="auto" w:fill="auto"/>
            <w:noWrap/>
            <w:vAlign w:val="center"/>
            <w:hideMark/>
          </w:tcPr>
          <w:p w14:paraId="559C013E"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22/12/17</w:t>
            </w:r>
          </w:p>
        </w:tc>
        <w:tc>
          <w:tcPr>
            <w:tcW w:w="386" w:type="pct"/>
            <w:tcBorders>
              <w:top w:val="nil"/>
              <w:left w:val="nil"/>
              <w:bottom w:val="single" w:sz="8" w:space="0" w:color="auto"/>
              <w:right w:val="single" w:sz="8" w:space="0" w:color="auto"/>
            </w:tcBorders>
            <w:shd w:val="clear" w:color="auto" w:fill="auto"/>
            <w:noWrap/>
            <w:vAlign w:val="center"/>
            <w:hideMark/>
          </w:tcPr>
          <w:p w14:paraId="5CE896DE"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07" w:type="pct"/>
            <w:tcBorders>
              <w:top w:val="nil"/>
              <w:left w:val="nil"/>
              <w:bottom w:val="single" w:sz="8" w:space="0" w:color="auto"/>
              <w:right w:val="single" w:sz="8" w:space="0" w:color="auto"/>
            </w:tcBorders>
            <w:shd w:val="clear" w:color="auto" w:fill="auto"/>
            <w:noWrap/>
            <w:vAlign w:val="center"/>
            <w:hideMark/>
          </w:tcPr>
          <w:p w14:paraId="61F09957"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C</w:t>
            </w:r>
          </w:p>
        </w:tc>
        <w:tc>
          <w:tcPr>
            <w:tcW w:w="450" w:type="pct"/>
            <w:tcBorders>
              <w:top w:val="nil"/>
              <w:left w:val="nil"/>
              <w:bottom w:val="single" w:sz="8" w:space="0" w:color="auto"/>
              <w:right w:val="single" w:sz="8" w:space="0" w:color="auto"/>
            </w:tcBorders>
            <w:shd w:val="clear" w:color="auto" w:fill="auto"/>
            <w:noWrap/>
            <w:vAlign w:val="center"/>
            <w:hideMark/>
          </w:tcPr>
          <w:p w14:paraId="66377E83" w14:textId="77777777" w:rsidR="00B64F35" w:rsidRPr="00701F32" w:rsidRDefault="00B64F35" w:rsidP="00254884">
            <w:pPr>
              <w:jc w:val="right"/>
              <w:rPr>
                <w:rFonts w:ascii="Arial" w:hAnsi="Arial" w:cs="Arial"/>
                <w:color w:val="000000"/>
                <w:sz w:val="14"/>
                <w:szCs w:val="14"/>
                <w:lang w:eastAsia="es-AR"/>
              </w:rPr>
            </w:pPr>
            <w:r w:rsidRPr="00701F32">
              <w:rPr>
                <w:rFonts w:ascii="Arial" w:hAnsi="Arial" w:cs="Arial"/>
                <w:color w:val="000000"/>
                <w:sz w:val="14"/>
                <w:szCs w:val="14"/>
                <w:lang w:eastAsia="es-AR"/>
              </w:rPr>
              <w:t>659.750</w:t>
            </w:r>
          </w:p>
        </w:tc>
        <w:tc>
          <w:tcPr>
            <w:tcW w:w="615" w:type="pct"/>
            <w:tcBorders>
              <w:top w:val="nil"/>
              <w:left w:val="nil"/>
              <w:bottom w:val="single" w:sz="8" w:space="0" w:color="auto"/>
              <w:right w:val="single" w:sz="8" w:space="0" w:color="auto"/>
            </w:tcBorders>
            <w:shd w:val="clear" w:color="auto" w:fill="auto"/>
            <w:vAlign w:val="center"/>
            <w:hideMark/>
          </w:tcPr>
          <w:p w14:paraId="79FD549B"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3 cuotas:</w:t>
            </w:r>
          </w:p>
          <w:p w14:paraId="06A3C987" w14:textId="77777777" w:rsidR="00B64F35" w:rsidRPr="00701F32" w:rsidRDefault="00B64F35" w:rsidP="00254884">
            <w:pPr>
              <w:jc w:val="both"/>
              <w:rPr>
                <w:rFonts w:ascii="Arial" w:hAnsi="Arial" w:cs="Arial"/>
                <w:color w:val="000000"/>
                <w:sz w:val="14"/>
                <w:szCs w:val="14"/>
                <w:lang w:eastAsia="es-AR"/>
              </w:rPr>
            </w:pPr>
          </w:p>
          <w:p w14:paraId="54770666"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22-12-2020 33,33%,</w:t>
            </w:r>
          </w:p>
          <w:p w14:paraId="753D6665" w14:textId="77777777" w:rsidR="00B64F35" w:rsidRPr="00701F32" w:rsidRDefault="00B64F35" w:rsidP="00254884">
            <w:pPr>
              <w:jc w:val="both"/>
              <w:rPr>
                <w:rFonts w:ascii="Arial" w:hAnsi="Arial" w:cs="Arial"/>
                <w:color w:val="000000"/>
                <w:sz w:val="14"/>
                <w:szCs w:val="14"/>
                <w:lang w:eastAsia="es-AR"/>
              </w:rPr>
            </w:pPr>
          </w:p>
          <w:p w14:paraId="4F8E2DBF"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22-06-2021 33,33%,</w:t>
            </w:r>
          </w:p>
          <w:p w14:paraId="22E28224" w14:textId="41DD21A8"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y en la fecha de vencimiento 33,34%.</w:t>
            </w:r>
          </w:p>
        </w:tc>
        <w:tc>
          <w:tcPr>
            <w:tcW w:w="462" w:type="pct"/>
            <w:tcBorders>
              <w:top w:val="nil"/>
              <w:left w:val="nil"/>
              <w:bottom w:val="single" w:sz="8" w:space="0" w:color="auto"/>
              <w:right w:val="single" w:sz="8" w:space="0" w:color="auto"/>
            </w:tcBorders>
            <w:shd w:val="clear" w:color="auto" w:fill="auto"/>
            <w:noWrap/>
            <w:vAlign w:val="center"/>
            <w:hideMark/>
          </w:tcPr>
          <w:p w14:paraId="66A75972" w14:textId="4400B651"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48 </w:t>
            </w:r>
            <w:r w:rsidR="00AE73E8" w:rsidRPr="00701F32">
              <w:rPr>
                <w:rFonts w:ascii="Arial" w:hAnsi="Arial" w:cs="Arial"/>
                <w:color w:val="000000"/>
                <w:sz w:val="14"/>
                <w:szCs w:val="14"/>
                <w:lang w:eastAsia="es-AR"/>
              </w:rPr>
              <w:t>meses</w:t>
            </w:r>
          </w:p>
        </w:tc>
        <w:tc>
          <w:tcPr>
            <w:tcW w:w="543" w:type="pct"/>
            <w:tcBorders>
              <w:top w:val="nil"/>
              <w:left w:val="nil"/>
              <w:bottom w:val="single" w:sz="8" w:space="0" w:color="auto"/>
              <w:right w:val="single" w:sz="8" w:space="0" w:color="auto"/>
            </w:tcBorders>
            <w:shd w:val="clear" w:color="auto" w:fill="auto"/>
            <w:noWrap/>
            <w:vAlign w:val="center"/>
            <w:hideMark/>
          </w:tcPr>
          <w:p w14:paraId="3D1F575C"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22/12/2021</w:t>
            </w:r>
          </w:p>
        </w:tc>
        <w:tc>
          <w:tcPr>
            <w:tcW w:w="687" w:type="pct"/>
            <w:tcBorders>
              <w:top w:val="nil"/>
              <w:left w:val="nil"/>
              <w:bottom w:val="single" w:sz="8" w:space="0" w:color="auto"/>
              <w:right w:val="single" w:sz="8" w:space="0" w:color="auto"/>
            </w:tcBorders>
            <w:shd w:val="clear" w:color="auto" w:fill="auto"/>
            <w:vAlign w:val="center"/>
            <w:hideMark/>
          </w:tcPr>
          <w:p w14:paraId="7667424E"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+ 4,25%</w:t>
            </w:r>
          </w:p>
        </w:tc>
        <w:tc>
          <w:tcPr>
            <w:tcW w:w="500" w:type="pct"/>
            <w:tcBorders>
              <w:top w:val="nil"/>
              <w:left w:val="nil"/>
              <w:bottom w:val="single" w:sz="8" w:space="0" w:color="auto"/>
              <w:right w:val="single" w:sz="8" w:space="0" w:color="auto"/>
            </w:tcBorders>
            <w:shd w:val="clear" w:color="auto" w:fill="auto"/>
            <w:noWrap/>
            <w:vAlign w:val="bottom"/>
          </w:tcPr>
          <w:p w14:paraId="72679B06" w14:textId="6E27B942" w:rsidR="00B64F35" w:rsidRPr="000E1F15" w:rsidRDefault="000A1F75" w:rsidP="00BB4D47">
            <w:pPr>
              <w:jc w:val="right"/>
              <w:rPr>
                <w:rFonts w:ascii="Arial" w:hAnsi="Arial" w:cs="Arial"/>
                <w:color w:val="000000"/>
                <w:sz w:val="14"/>
                <w:szCs w:val="14"/>
                <w:lang w:eastAsia="es-AR"/>
              </w:rPr>
            </w:pPr>
            <w:r>
              <w:rPr>
                <w:rFonts w:ascii="Arial" w:hAnsi="Arial" w:cs="Arial"/>
                <w:color w:val="000000"/>
                <w:sz w:val="14"/>
                <w:szCs w:val="14"/>
                <w:lang w:eastAsia="es-AR"/>
              </w:rPr>
              <w:t>667.169</w:t>
            </w:r>
          </w:p>
        </w:tc>
        <w:tc>
          <w:tcPr>
            <w:tcW w:w="547" w:type="pct"/>
            <w:tcBorders>
              <w:top w:val="nil"/>
              <w:left w:val="nil"/>
              <w:bottom w:val="single" w:sz="8" w:space="0" w:color="auto"/>
              <w:right w:val="single" w:sz="8" w:space="0" w:color="auto"/>
            </w:tcBorders>
            <w:shd w:val="clear" w:color="auto" w:fill="auto"/>
            <w:noWrap/>
            <w:vAlign w:val="bottom"/>
            <w:hideMark/>
          </w:tcPr>
          <w:p w14:paraId="0BB33C94" w14:textId="46FA5D8D" w:rsidR="00B64F35" w:rsidRPr="000E1F15" w:rsidRDefault="00B64F35">
            <w:pPr>
              <w:jc w:val="right"/>
              <w:rPr>
                <w:rFonts w:ascii="Arial" w:hAnsi="Arial" w:cs="Arial"/>
                <w:color w:val="000000"/>
                <w:sz w:val="14"/>
                <w:szCs w:val="14"/>
                <w:lang w:eastAsia="es-AR"/>
              </w:rPr>
            </w:pPr>
            <w:r w:rsidRPr="00534414">
              <w:rPr>
                <w:rFonts w:ascii="Arial" w:hAnsi="Arial" w:cs="Arial"/>
                <w:sz w:val="14"/>
                <w:szCs w:val="14"/>
              </w:rPr>
              <w:t>667.236</w:t>
            </w:r>
          </w:p>
        </w:tc>
      </w:tr>
      <w:tr w:rsidR="001B4A0E" w:rsidRPr="00701F32" w14:paraId="29E654C1" w14:textId="77777777" w:rsidTr="00534414">
        <w:trPr>
          <w:trHeight w:val="800"/>
        </w:trPr>
        <w:tc>
          <w:tcPr>
            <w:tcW w:w="503" w:type="pct"/>
            <w:tcBorders>
              <w:top w:val="nil"/>
              <w:left w:val="single" w:sz="8" w:space="0" w:color="auto"/>
              <w:bottom w:val="single" w:sz="8" w:space="0" w:color="auto"/>
              <w:right w:val="single" w:sz="8" w:space="0" w:color="auto"/>
            </w:tcBorders>
            <w:shd w:val="clear" w:color="auto" w:fill="auto"/>
            <w:noWrap/>
            <w:vAlign w:val="center"/>
            <w:hideMark/>
          </w:tcPr>
          <w:p w14:paraId="550C5405"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14/02/18</w:t>
            </w:r>
          </w:p>
        </w:tc>
        <w:tc>
          <w:tcPr>
            <w:tcW w:w="386" w:type="pct"/>
            <w:tcBorders>
              <w:top w:val="nil"/>
              <w:left w:val="nil"/>
              <w:bottom w:val="single" w:sz="8" w:space="0" w:color="auto"/>
              <w:right w:val="single" w:sz="8" w:space="0" w:color="auto"/>
            </w:tcBorders>
            <w:shd w:val="clear" w:color="auto" w:fill="auto"/>
            <w:noWrap/>
            <w:vAlign w:val="center"/>
            <w:hideMark/>
          </w:tcPr>
          <w:p w14:paraId="55002526"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07" w:type="pct"/>
            <w:tcBorders>
              <w:top w:val="nil"/>
              <w:left w:val="nil"/>
              <w:bottom w:val="single" w:sz="8" w:space="0" w:color="auto"/>
              <w:right w:val="single" w:sz="8" w:space="0" w:color="auto"/>
            </w:tcBorders>
            <w:shd w:val="clear" w:color="auto" w:fill="auto"/>
            <w:noWrap/>
            <w:vAlign w:val="center"/>
            <w:hideMark/>
          </w:tcPr>
          <w:p w14:paraId="019DFAC6" w14:textId="77777777" w:rsidR="00B64F35" w:rsidRPr="00701F32" w:rsidRDefault="00B64F35" w:rsidP="00254884">
            <w:pPr>
              <w:jc w:val="center"/>
              <w:rPr>
                <w:rFonts w:ascii="Arial" w:hAnsi="Arial" w:cs="Arial"/>
                <w:color w:val="000000"/>
                <w:sz w:val="14"/>
                <w:szCs w:val="14"/>
                <w:lang w:eastAsia="es-AR"/>
              </w:rPr>
            </w:pPr>
            <w:r w:rsidRPr="00701F32">
              <w:rPr>
                <w:rFonts w:ascii="Arial" w:hAnsi="Arial" w:cs="Arial"/>
                <w:color w:val="000000"/>
                <w:sz w:val="14"/>
                <w:szCs w:val="14"/>
                <w:lang w:eastAsia="es-AR"/>
              </w:rPr>
              <w:t>D</w:t>
            </w:r>
          </w:p>
        </w:tc>
        <w:tc>
          <w:tcPr>
            <w:tcW w:w="450" w:type="pct"/>
            <w:tcBorders>
              <w:top w:val="nil"/>
              <w:left w:val="nil"/>
              <w:bottom w:val="single" w:sz="8" w:space="0" w:color="auto"/>
              <w:right w:val="single" w:sz="8" w:space="0" w:color="auto"/>
            </w:tcBorders>
            <w:shd w:val="clear" w:color="auto" w:fill="auto"/>
            <w:noWrap/>
            <w:vAlign w:val="center"/>
            <w:hideMark/>
          </w:tcPr>
          <w:p w14:paraId="24AA3AD9" w14:textId="77777777" w:rsidR="00B64F35" w:rsidRPr="00701F32" w:rsidRDefault="00B64F35" w:rsidP="00254884">
            <w:pPr>
              <w:jc w:val="right"/>
              <w:rPr>
                <w:rFonts w:ascii="Arial" w:hAnsi="Arial" w:cs="Arial"/>
                <w:color w:val="000000"/>
                <w:sz w:val="14"/>
                <w:szCs w:val="14"/>
                <w:lang w:eastAsia="es-AR"/>
              </w:rPr>
            </w:pPr>
            <w:r w:rsidRPr="00701F32">
              <w:rPr>
                <w:rFonts w:ascii="Arial" w:hAnsi="Arial" w:cs="Arial"/>
                <w:color w:val="000000"/>
                <w:sz w:val="14"/>
                <w:szCs w:val="14"/>
                <w:lang w:eastAsia="es-AR"/>
              </w:rPr>
              <w:t>748.889</w:t>
            </w:r>
          </w:p>
        </w:tc>
        <w:tc>
          <w:tcPr>
            <w:tcW w:w="615" w:type="pct"/>
            <w:tcBorders>
              <w:top w:val="nil"/>
              <w:left w:val="nil"/>
              <w:bottom w:val="single" w:sz="8" w:space="0" w:color="auto"/>
              <w:right w:val="single" w:sz="8" w:space="0" w:color="auto"/>
            </w:tcBorders>
            <w:shd w:val="clear" w:color="auto" w:fill="auto"/>
            <w:vAlign w:val="center"/>
            <w:hideMark/>
          </w:tcPr>
          <w:p w14:paraId="31A06429"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100% al vto.</w:t>
            </w:r>
          </w:p>
        </w:tc>
        <w:tc>
          <w:tcPr>
            <w:tcW w:w="462" w:type="pct"/>
            <w:tcBorders>
              <w:top w:val="nil"/>
              <w:left w:val="nil"/>
              <w:bottom w:val="single" w:sz="8" w:space="0" w:color="auto"/>
              <w:right w:val="single" w:sz="8" w:space="0" w:color="auto"/>
            </w:tcBorders>
            <w:shd w:val="clear" w:color="auto" w:fill="auto"/>
            <w:noWrap/>
            <w:vAlign w:val="center"/>
            <w:hideMark/>
          </w:tcPr>
          <w:p w14:paraId="712F4941" w14:textId="5D18F7B6"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 xml:space="preserve">18 </w:t>
            </w:r>
            <w:r w:rsidR="00AE73E8" w:rsidRPr="00701F32">
              <w:rPr>
                <w:rFonts w:ascii="Arial" w:hAnsi="Arial" w:cs="Arial"/>
                <w:color w:val="000000"/>
                <w:sz w:val="14"/>
                <w:szCs w:val="14"/>
                <w:lang w:eastAsia="es-AR"/>
              </w:rPr>
              <w:t>meses</w:t>
            </w:r>
          </w:p>
        </w:tc>
        <w:tc>
          <w:tcPr>
            <w:tcW w:w="543" w:type="pct"/>
            <w:tcBorders>
              <w:top w:val="nil"/>
              <w:left w:val="nil"/>
              <w:bottom w:val="single" w:sz="8" w:space="0" w:color="auto"/>
              <w:right w:val="single" w:sz="8" w:space="0" w:color="auto"/>
            </w:tcBorders>
            <w:shd w:val="clear" w:color="auto" w:fill="auto"/>
            <w:noWrap/>
            <w:vAlign w:val="center"/>
            <w:hideMark/>
          </w:tcPr>
          <w:p w14:paraId="3E1A2854"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14/08/2019</w:t>
            </w:r>
          </w:p>
        </w:tc>
        <w:tc>
          <w:tcPr>
            <w:tcW w:w="687" w:type="pct"/>
            <w:tcBorders>
              <w:top w:val="nil"/>
              <w:left w:val="nil"/>
              <w:bottom w:val="single" w:sz="8" w:space="0" w:color="auto"/>
              <w:right w:val="single" w:sz="8" w:space="0" w:color="auto"/>
            </w:tcBorders>
            <w:shd w:val="clear" w:color="auto" w:fill="auto"/>
            <w:vAlign w:val="center"/>
            <w:hideMark/>
          </w:tcPr>
          <w:p w14:paraId="0C89FB5B" w14:textId="77777777" w:rsidR="00B64F35" w:rsidRPr="00701F32" w:rsidRDefault="00B64F35" w:rsidP="00254884">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de Bancos Privados + 3,5%</w:t>
            </w:r>
          </w:p>
        </w:tc>
        <w:tc>
          <w:tcPr>
            <w:tcW w:w="500" w:type="pct"/>
            <w:tcBorders>
              <w:top w:val="nil"/>
              <w:left w:val="nil"/>
              <w:bottom w:val="single" w:sz="8" w:space="0" w:color="auto"/>
              <w:right w:val="single" w:sz="8" w:space="0" w:color="auto"/>
            </w:tcBorders>
            <w:shd w:val="clear" w:color="auto" w:fill="auto"/>
            <w:noWrap/>
            <w:vAlign w:val="bottom"/>
          </w:tcPr>
          <w:p w14:paraId="247C878F" w14:textId="3D926850" w:rsidR="00B64F35" w:rsidRPr="000E1F15" w:rsidRDefault="00BB4D47">
            <w:pPr>
              <w:jc w:val="right"/>
              <w:rPr>
                <w:rFonts w:ascii="Arial" w:hAnsi="Arial" w:cs="Arial"/>
                <w:color w:val="000000"/>
                <w:sz w:val="14"/>
                <w:szCs w:val="14"/>
                <w:lang w:eastAsia="es-AR"/>
              </w:rPr>
            </w:pPr>
            <w:r>
              <w:rPr>
                <w:rFonts w:ascii="Arial" w:hAnsi="Arial" w:cs="Arial"/>
                <w:color w:val="000000"/>
                <w:sz w:val="14"/>
                <w:szCs w:val="14"/>
                <w:lang w:eastAsia="es-AR"/>
              </w:rPr>
              <w:t>-</w:t>
            </w:r>
          </w:p>
        </w:tc>
        <w:tc>
          <w:tcPr>
            <w:tcW w:w="547" w:type="pct"/>
            <w:tcBorders>
              <w:top w:val="nil"/>
              <w:left w:val="nil"/>
              <w:bottom w:val="single" w:sz="8" w:space="0" w:color="auto"/>
              <w:right w:val="single" w:sz="8" w:space="0" w:color="auto"/>
            </w:tcBorders>
            <w:shd w:val="clear" w:color="auto" w:fill="auto"/>
            <w:noWrap/>
            <w:vAlign w:val="bottom"/>
            <w:hideMark/>
          </w:tcPr>
          <w:p w14:paraId="586946F3" w14:textId="77D6B51C" w:rsidR="00B64F35" w:rsidRPr="00710EB6" w:rsidRDefault="00B64F35">
            <w:pPr>
              <w:jc w:val="right"/>
              <w:rPr>
                <w:rFonts w:ascii="Arial" w:hAnsi="Arial" w:cs="Arial"/>
                <w:color w:val="000000"/>
                <w:sz w:val="14"/>
                <w:szCs w:val="14"/>
                <w:lang w:eastAsia="es-AR"/>
              </w:rPr>
            </w:pPr>
            <w:r w:rsidRPr="00534414">
              <w:rPr>
                <w:rFonts w:ascii="Arial" w:hAnsi="Arial" w:cs="Arial"/>
                <w:sz w:val="14"/>
                <w:szCs w:val="14"/>
              </w:rPr>
              <w:t>768.861</w:t>
            </w:r>
          </w:p>
        </w:tc>
      </w:tr>
      <w:tr w:rsidR="00C00F7F" w:rsidRPr="00701F32" w14:paraId="53E4AC0D" w14:textId="77777777" w:rsidTr="00534414">
        <w:trPr>
          <w:trHeight w:val="1261"/>
        </w:trPr>
        <w:tc>
          <w:tcPr>
            <w:tcW w:w="503"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44E2983" w14:textId="77777777" w:rsidR="00C00F7F" w:rsidRPr="00701F32" w:rsidRDefault="00C00F7F" w:rsidP="00C00F7F">
            <w:pPr>
              <w:jc w:val="center"/>
              <w:rPr>
                <w:rFonts w:ascii="Arial" w:hAnsi="Arial" w:cs="Arial"/>
                <w:color w:val="000000"/>
                <w:sz w:val="14"/>
                <w:szCs w:val="14"/>
                <w:lang w:eastAsia="es-AR"/>
              </w:rPr>
            </w:pPr>
            <w:r w:rsidRPr="00701F32">
              <w:rPr>
                <w:rFonts w:ascii="Arial" w:hAnsi="Arial" w:cs="Arial"/>
                <w:color w:val="000000"/>
                <w:sz w:val="14"/>
                <w:szCs w:val="14"/>
                <w:lang w:eastAsia="es-AR"/>
              </w:rPr>
              <w:t>14/02/18</w:t>
            </w:r>
          </w:p>
        </w:tc>
        <w:tc>
          <w:tcPr>
            <w:tcW w:w="386" w:type="pct"/>
            <w:tcBorders>
              <w:top w:val="single" w:sz="8" w:space="0" w:color="auto"/>
              <w:left w:val="nil"/>
              <w:bottom w:val="single" w:sz="4" w:space="0" w:color="auto"/>
              <w:right w:val="single" w:sz="8" w:space="0" w:color="auto"/>
            </w:tcBorders>
            <w:shd w:val="clear" w:color="auto" w:fill="auto"/>
            <w:noWrap/>
            <w:vAlign w:val="center"/>
            <w:hideMark/>
          </w:tcPr>
          <w:p w14:paraId="459B3F50" w14:textId="77777777" w:rsidR="00C00F7F" w:rsidRPr="00701F32" w:rsidRDefault="00C00F7F" w:rsidP="00C00F7F">
            <w:pPr>
              <w:jc w:val="center"/>
              <w:rPr>
                <w:rFonts w:ascii="Arial" w:hAnsi="Arial" w:cs="Arial"/>
                <w:color w:val="000000"/>
                <w:sz w:val="14"/>
                <w:szCs w:val="14"/>
                <w:lang w:eastAsia="es-AR"/>
              </w:rPr>
            </w:pPr>
            <w:r w:rsidRPr="00701F32">
              <w:rPr>
                <w:rFonts w:ascii="Arial" w:hAnsi="Arial" w:cs="Arial"/>
                <w:color w:val="000000"/>
                <w:sz w:val="14"/>
                <w:szCs w:val="14"/>
                <w:lang w:eastAsia="es-AR"/>
              </w:rPr>
              <w:t>$</w:t>
            </w:r>
          </w:p>
        </w:tc>
        <w:tc>
          <w:tcPr>
            <w:tcW w:w="307" w:type="pct"/>
            <w:tcBorders>
              <w:top w:val="single" w:sz="8" w:space="0" w:color="auto"/>
              <w:left w:val="nil"/>
              <w:bottom w:val="single" w:sz="4" w:space="0" w:color="auto"/>
              <w:right w:val="single" w:sz="8" w:space="0" w:color="auto"/>
            </w:tcBorders>
            <w:shd w:val="clear" w:color="auto" w:fill="auto"/>
            <w:noWrap/>
            <w:vAlign w:val="center"/>
            <w:hideMark/>
          </w:tcPr>
          <w:p w14:paraId="6FD8A6CB" w14:textId="77777777" w:rsidR="00C00F7F" w:rsidRPr="00701F32" w:rsidRDefault="00C00F7F" w:rsidP="00C00F7F">
            <w:pPr>
              <w:jc w:val="center"/>
              <w:rPr>
                <w:rFonts w:ascii="Arial" w:hAnsi="Arial" w:cs="Arial"/>
                <w:color w:val="000000"/>
                <w:sz w:val="14"/>
                <w:szCs w:val="14"/>
                <w:lang w:eastAsia="es-AR"/>
              </w:rPr>
            </w:pPr>
            <w:r w:rsidRPr="00701F32">
              <w:rPr>
                <w:rFonts w:ascii="Arial" w:hAnsi="Arial" w:cs="Arial"/>
                <w:color w:val="000000"/>
                <w:sz w:val="14"/>
                <w:szCs w:val="14"/>
                <w:lang w:eastAsia="es-AR"/>
              </w:rPr>
              <w:t>E</w:t>
            </w:r>
          </w:p>
        </w:tc>
        <w:tc>
          <w:tcPr>
            <w:tcW w:w="450" w:type="pct"/>
            <w:tcBorders>
              <w:top w:val="single" w:sz="8" w:space="0" w:color="auto"/>
              <w:left w:val="nil"/>
              <w:bottom w:val="single" w:sz="4" w:space="0" w:color="auto"/>
              <w:right w:val="single" w:sz="8" w:space="0" w:color="auto"/>
            </w:tcBorders>
            <w:shd w:val="clear" w:color="auto" w:fill="auto"/>
            <w:noWrap/>
            <w:vAlign w:val="center"/>
            <w:hideMark/>
          </w:tcPr>
          <w:p w14:paraId="6583A591" w14:textId="77777777" w:rsidR="00C00F7F" w:rsidRPr="00701F32" w:rsidRDefault="00C00F7F" w:rsidP="00C00F7F">
            <w:pPr>
              <w:jc w:val="right"/>
              <w:rPr>
                <w:rFonts w:ascii="Arial" w:hAnsi="Arial" w:cs="Arial"/>
                <w:color w:val="000000"/>
                <w:sz w:val="14"/>
                <w:szCs w:val="14"/>
                <w:lang w:eastAsia="es-AR"/>
              </w:rPr>
            </w:pPr>
            <w:r w:rsidRPr="00701F32">
              <w:rPr>
                <w:rFonts w:ascii="Arial" w:hAnsi="Arial" w:cs="Arial"/>
                <w:color w:val="000000"/>
                <w:sz w:val="14"/>
                <w:szCs w:val="14"/>
                <w:lang w:eastAsia="es-AR"/>
              </w:rPr>
              <w:t>1.607.667</w:t>
            </w:r>
          </w:p>
        </w:tc>
        <w:tc>
          <w:tcPr>
            <w:tcW w:w="615" w:type="pct"/>
            <w:tcBorders>
              <w:top w:val="single" w:sz="8" w:space="0" w:color="auto"/>
              <w:left w:val="nil"/>
              <w:bottom w:val="single" w:sz="4" w:space="0" w:color="auto"/>
              <w:right w:val="single" w:sz="8" w:space="0" w:color="auto"/>
            </w:tcBorders>
            <w:shd w:val="clear" w:color="auto" w:fill="auto"/>
            <w:vAlign w:val="center"/>
            <w:hideMark/>
          </w:tcPr>
          <w:p w14:paraId="5905A27A" w14:textId="77777777" w:rsidR="00C00F7F" w:rsidRPr="00701F32" w:rsidRDefault="00C00F7F" w:rsidP="00C00F7F">
            <w:pPr>
              <w:jc w:val="both"/>
              <w:rPr>
                <w:rFonts w:ascii="Arial" w:hAnsi="Arial" w:cs="Arial"/>
                <w:color w:val="000000"/>
                <w:sz w:val="14"/>
                <w:szCs w:val="14"/>
                <w:lang w:eastAsia="es-AR"/>
              </w:rPr>
            </w:pPr>
            <w:r w:rsidRPr="00701F32">
              <w:rPr>
                <w:rFonts w:ascii="Arial" w:hAnsi="Arial" w:cs="Arial"/>
                <w:color w:val="000000"/>
                <w:sz w:val="14"/>
                <w:szCs w:val="14"/>
                <w:lang w:eastAsia="es-AR"/>
              </w:rPr>
              <w:t>3 cuotas:</w:t>
            </w:r>
          </w:p>
          <w:p w14:paraId="48371795" w14:textId="77777777" w:rsidR="00C00F7F" w:rsidRPr="00701F32" w:rsidRDefault="00C00F7F" w:rsidP="00C00F7F">
            <w:pPr>
              <w:jc w:val="both"/>
              <w:rPr>
                <w:rFonts w:ascii="Arial" w:hAnsi="Arial" w:cs="Arial"/>
                <w:color w:val="000000"/>
                <w:sz w:val="14"/>
                <w:szCs w:val="14"/>
                <w:lang w:eastAsia="es-AR"/>
              </w:rPr>
            </w:pPr>
          </w:p>
          <w:p w14:paraId="0490933D" w14:textId="03A9827A" w:rsidR="00C00F7F" w:rsidRPr="00701F32" w:rsidRDefault="00C00F7F" w:rsidP="00C00F7F">
            <w:pPr>
              <w:jc w:val="both"/>
              <w:rPr>
                <w:rFonts w:ascii="Arial" w:hAnsi="Arial" w:cs="Arial"/>
                <w:color w:val="000000"/>
                <w:sz w:val="14"/>
                <w:szCs w:val="14"/>
                <w:lang w:eastAsia="es-AR"/>
              </w:rPr>
            </w:pPr>
            <w:r>
              <w:rPr>
                <w:rFonts w:ascii="Arial" w:hAnsi="Arial" w:cs="Arial"/>
                <w:color w:val="000000"/>
                <w:sz w:val="14"/>
                <w:szCs w:val="14"/>
                <w:lang w:eastAsia="es-AR"/>
              </w:rPr>
              <w:t>14</w:t>
            </w:r>
            <w:r w:rsidRPr="00701F32">
              <w:rPr>
                <w:rFonts w:ascii="Arial" w:hAnsi="Arial" w:cs="Arial"/>
                <w:color w:val="000000"/>
                <w:sz w:val="14"/>
                <w:szCs w:val="14"/>
                <w:lang w:eastAsia="es-AR"/>
              </w:rPr>
              <w:t>-</w:t>
            </w:r>
            <w:r>
              <w:rPr>
                <w:rFonts w:ascii="Arial" w:hAnsi="Arial" w:cs="Arial"/>
                <w:color w:val="000000"/>
                <w:sz w:val="14"/>
                <w:szCs w:val="14"/>
                <w:lang w:eastAsia="es-AR"/>
              </w:rPr>
              <w:t>0</w:t>
            </w:r>
            <w:r w:rsidRPr="00701F32">
              <w:rPr>
                <w:rFonts w:ascii="Arial" w:hAnsi="Arial" w:cs="Arial"/>
                <w:color w:val="000000"/>
                <w:sz w:val="14"/>
                <w:szCs w:val="14"/>
                <w:lang w:eastAsia="es-AR"/>
              </w:rPr>
              <w:t>2-202</w:t>
            </w:r>
            <w:r>
              <w:rPr>
                <w:rFonts w:ascii="Arial" w:hAnsi="Arial" w:cs="Arial"/>
                <w:color w:val="000000"/>
                <w:sz w:val="14"/>
                <w:szCs w:val="14"/>
                <w:lang w:eastAsia="es-AR"/>
              </w:rPr>
              <w:t>1</w:t>
            </w:r>
            <w:r w:rsidRPr="00701F32">
              <w:rPr>
                <w:rFonts w:ascii="Arial" w:hAnsi="Arial" w:cs="Arial"/>
                <w:color w:val="000000"/>
                <w:sz w:val="14"/>
                <w:szCs w:val="14"/>
                <w:lang w:eastAsia="es-AR"/>
              </w:rPr>
              <w:t xml:space="preserve"> 33,33%,</w:t>
            </w:r>
          </w:p>
          <w:p w14:paraId="396D320C" w14:textId="77777777" w:rsidR="00C00F7F" w:rsidRPr="00701F32" w:rsidRDefault="00C00F7F" w:rsidP="00C00F7F">
            <w:pPr>
              <w:jc w:val="both"/>
              <w:rPr>
                <w:rFonts w:ascii="Arial" w:hAnsi="Arial" w:cs="Arial"/>
                <w:color w:val="000000"/>
                <w:sz w:val="14"/>
                <w:szCs w:val="14"/>
                <w:lang w:eastAsia="es-AR"/>
              </w:rPr>
            </w:pPr>
          </w:p>
          <w:p w14:paraId="2D25DA9D" w14:textId="60C596C9" w:rsidR="00C00F7F" w:rsidRPr="00701F32" w:rsidRDefault="00C00F7F" w:rsidP="00C00F7F">
            <w:pPr>
              <w:jc w:val="both"/>
              <w:rPr>
                <w:rFonts w:ascii="Arial" w:hAnsi="Arial" w:cs="Arial"/>
                <w:color w:val="000000"/>
                <w:sz w:val="14"/>
                <w:szCs w:val="14"/>
                <w:lang w:eastAsia="es-AR"/>
              </w:rPr>
            </w:pPr>
            <w:r>
              <w:rPr>
                <w:rFonts w:ascii="Arial" w:hAnsi="Arial" w:cs="Arial"/>
                <w:color w:val="000000"/>
                <w:sz w:val="14"/>
                <w:szCs w:val="14"/>
                <w:lang w:eastAsia="es-AR"/>
              </w:rPr>
              <w:t>14</w:t>
            </w:r>
            <w:r w:rsidRPr="00701F32">
              <w:rPr>
                <w:rFonts w:ascii="Arial" w:hAnsi="Arial" w:cs="Arial"/>
                <w:color w:val="000000"/>
                <w:sz w:val="14"/>
                <w:szCs w:val="14"/>
                <w:lang w:eastAsia="es-AR"/>
              </w:rPr>
              <w:t>-0</w:t>
            </w:r>
            <w:r>
              <w:rPr>
                <w:rFonts w:ascii="Arial" w:hAnsi="Arial" w:cs="Arial"/>
                <w:color w:val="000000"/>
                <w:sz w:val="14"/>
                <w:szCs w:val="14"/>
                <w:lang w:eastAsia="es-AR"/>
              </w:rPr>
              <w:t>2</w:t>
            </w:r>
            <w:r w:rsidRPr="00701F32">
              <w:rPr>
                <w:rFonts w:ascii="Arial" w:hAnsi="Arial" w:cs="Arial"/>
                <w:color w:val="000000"/>
                <w:sz w:val="14"/>
                <w:szCs w:val="14"/>
                <w:lang w:eastAsia="es-AR"/>
              </w:rPr>
              <w:t>-202</w:t>
            </w:r>
            <w:r>
              <w:rPr>
                <w:rFonts w:ascii="Arial" w:hAnsi="Arial" w:cs="Arial"/>
                <w:color w:val="000000"/>
                <w:sz w:val="14"/>
                <w:szCs w:val="14"/>
                <w:lang w:eastAsia="es-AR"/>
              </w:rPr>
              <w:t>2</w:t>
            </w:r>
            <w:r w:rsidRPr="00701F32">
              <w:rPr>
                <w:rFonts w:ascii="Arial" w:hAnsi="Arial" w:cs="Arial"/>
                <w:color w:val="000000"/>
                <w:sz w:val="14"/>
                <w:szCs w:val="14"/>
                <w:lang w:eastAsia="es-AR"/>
              </w:rPr>
              <w:t xml:space="preserve"> 33,33%,</w:t>
            </w:r>
          </w:p>
          <w:p w14:paraId="06739434" w14:textId="65F42721" w:rsidR="00C00F7F" w:rsidRPr="00701F32" w:rsidRDefault="00C00F7F" w:rsidP="00C00F7F">
            <w:pPr>
              <w:jc w:val="both"/>
              <w:rPr>
                <w:rFonts w:ascii="Arial" w:hAnsi="Arial" w:cs="Arial"/>
                <w:color w:val="000000"/>
                <w:sz w:val="14"/>
                <w:szCs w:val="14"/>
                <w:lang w:eastAsia="es-AR"/>
              </w:rPr>
            </w:pPr>
            <w:r w:rsidRPr="00701F32">
              <w:rPr>
                <w:rFonts w:ascii="Arial" w:hAnsi="Arial" w:cs="Arial"/>
                <w:color w:val="000000"/>
                <w:sz w:val="14"/>
                <w:szCs w:val="14"/>
                <w:lang w:eastAsia="es-AR"/>
              </w:rPr>
              <w:t>y en la fecha de vencimiento 33,34%.</w:t>
            </w:r>
          </w:p>
        </w:tc>
        <w:tc>
          <w:tcPr>
            <w:tcW w:w="462" w:type="pct"/>
            <w:tcBorders>
              <w:top w:val="single" w:sz="8" w:space="0" w:color="auto"/>
              <w:left w:val="nil"/>
              <w:bottom w:val="single" w:sz="4" w:space="0" w:color="auto"/>
              <w:right w:val="single" w:sz="8" w:space="0" w:color="auto"/>
            </w:tcBorders>
            <w:shd w:val="clear" w:color="auto" w:fill="auto"/>
            <w:noWrap/>
            <w:vAlign w:val="center"/>
            <w:hideMark/>
          </w:tcPr>
          <w:p w14:paraId="1B095148" w14:textId="3EC689FE" w:rsidR="00C00F7F" w:rsidRPr="00701F32" w:rsidRDefault="00C00F7F" w:rsidP="00C00F7F">
            <w:pPr>
              <w:jc w:val="both"/>
              <w:rPr>
                <w:rFonts w:ascii="Arial" w:hAnsi="Arial" w:cs="Arial"/>
                <w:color w:val="000000"/>
                <w:sz w:val="14"/>
                <w:szCs w:val="14"/>
                <w:lang w:eastAsia="es-AR"/>
              </w:rPr>
            </w:pPr>
            <w:r w:rsidRPr="00701F32">
              <w:rPr>
                <w:rFonts w:ascii="Arial" w:hAnsi="Arial" w:cs="Arial"/>
                <w:color w:val="000000"/>
                <w:sz w:val="14"/>
                <w:szCs w:val="14"/>
                <w:lang w:eastAsia="es-AR"/>
              </w:rPr>
              <w:t>60 meses</w:t>
            </w:r>
          </w:p>
        </w:tc>
        <w:tc>
          <w:tcPr>
            <w:tcW w:w="543" w:type="pct"/>
            <w:tcBorders>
              <w:top w:val="single" w:sz="8" w:space="0" w:color="auto"/>
              <w:left w:val="nil"/>
              <w:bottom w:val="single" w:sz="4" w:space="0" w:color="auto"/>
              <w:right w:val="single" w:sz="8" w:space="0" w:color="auto"/>
            </w:tcBorders>
            <w:shd w:val="clear" w:color="auto" w:fill="auto"/>
            <w:noWrap/>
            <w:vAlign w:val="center"/>
            <w:hideMark/>
          </w:tcPr>
          <w:p w14:paraId="4F7FE815" w14:textId="77777777" w:rsidR="00C00F7F" w:rsidRPr="00701F32" w:rsidRDefault="00C00F7F" w:rsidP="00C00F7F">
            <w:pPr>
              <w:jc w:val="both"/>
              <w:rPr>
                <w:rFonts w:ascii="Arial" w:hAnsi="Arial" w:cs="Arial"/>
                <w:color w:val="000000"/>
                <w:sz w:val="14"/>
                <w:szCs w:val="14"/>
                <w:lang w:eastAsia="es-AR"/>
              </w:rPr>
            </w:pPr>
            <w:r w:rsidRPr="00701F32">
              <w:rPr>
                <w:rFonts w:ascii="Arial" w:hAnsi="Arial" w:cs="Arial"/>
                <w:color w:val="000000"/>
                <w:sz w:val="14"/>
                <w:szCs w:val="14"/>
                <w:lang w:eastAsia="es-AR"/>
              </w:rPr>
              <w:t>14/02/2023</w:t>
            </w:r>
          </w:p>
        </w:tc>
        <w:tc>
          <w:tcPr>
            <w:tcW w:w="687" w:type="pct"/>
            <w:tcBorders>
              <w:top w:val="single" w:sz="8" w:space="0" w:color="auto"/>
              <w:left w:val="nil"/>
              <w:bottom w:val="single" w:sz="4" w:space="0" w:color="auto"/>
              <w:right w:val="single" w:sz="8" w:space="0" w:color="auto"/>
            </w:tcBorders>
            <w:shd w:val="clear" w:color="auto" w:fill="auto"/>
            <w:vAlign w:val="center"/>
            <w:hideMark/>
          </w:tcPr>
          <w:p w14:paraId="78F75EEB" w14:textId="77777777" w:rsidR="00C00F7F" w:rsidRPr="00701F32" w:rsidRDefault="00C00F7F" w:rsidP="00C00F7F">
            <w:pPr>
              <w:jc w:val="both"/>
              <w:rPr>
                <w:rFonts w:ascii="Arial" w:hAnsi="Arial" w:cs="Arial"/>
                <w:color w:val="000000"/>
                <w:sz w:val="14"/>
                <w:szCs w:val="14"/>
                <w:lang w:eastAsia="es-AR"/>
              </w:rPr>
            </w:pPr>
            <w:r w:rsidRPr="00701F32">
              <w:rPr>
                <w:rFonts w:ascii="Arial" w:hAnsi="Arial" w:cs="Arial"/>
                <w:color w:val="000000"/>
                <w:sz w:val="14"/>
                <w:szCs w:val="14"/>
                <w:lang w:eastAsia="es-AR"/>
              </w:rPr>
              <w:t>Flotante Badlar de Bancos Privados + 4,05%</w:t>
            </w:r>
          </w:p>
        </w:tc>
        <w:tc>
          <w:tcPr>
            <w:tcW w:w="500" w:type="pct"/>
            <w:tcBorders>
              <w:top w:val="single" w:sz="8" w:space="0" w:color="auto"/>
              <w:left w:val="nil"/>
              <w:bottom w:val="single" w:sz="4" w:space="0" w:color="auto"/>
              <w:right w:val="single" w:sz="8" w:space="0" w:color="auto"/>
            </w:tcBorders>
            <w:shd w:val="clear" w:color="auto" w:fill="auto"/>
            <w:noWrap/>
            <w:vAlign w:val="bottom"/>
          </w:tcPr>
          <w:p w14:paraId="45014FC9" w14:textId="0AD40011" w:rsidR="00C00F7F" w:rsidRPr="000E1F15" w:rsidRDefault="000A1F75" w:rsidP="00C00F7F">
            <w:pPr>
              <w:jc w:val="right"/>
              <w:rPr>
                <w:rFonts w:ascii="Arial" w:hAnsi="Arial" w:cs="Arial"/>
                <w:color w:val="000000"/>
                <w:sz w:val="14"/>
                <w:szCs w:val="14"/>
                <w:lang w:eastAsia="es-AR"/>
              </w:rPr>
            </w:pPr>
            <w:r>
              <w:rPr>
                <w:rFonts w:ascii="Arial" w:hAnsi="Arial" w:cs="Arial"/>
                <w:color w:val="000000"/>
                <w:sz w:val="14"/>
                <w:szCs w:val="14"/>
                <w:lang w:eastAsia="es-AR"/>
              </w:rPr>
              <w:t>1.599.410</w:t>
            </w:r>
          </w:p>
        </w:tc>
        <w:tc>
          <w:tcPr>
            <w:tcW w:w="547" w:type="pct"/>
            <w:tcBorders>
              <w:top w:val="single" w:sz="8" w:space="0" w:color="auto"/>
              <w:left w:val="nil"/>
              <w:bottom w:val="single" w:sz="4" w:space="0" w:color="auto"/>
              <w:right w:val="single" w:sz="8" w:space="0" w:color="auto"/>
            </w:tcBorders>
            <w:shd w:val="clear" w:color="auto" w:fill="auto"/>
            <w:noWrap/>
            <w:vAlign w:val="bottom"/>
            <w:hideMark/>
          </w:tcPr>
          <w:p w14:paraId="5E5EB9F2" w14:textId="208EC325" w:rsidR="00C00F7F" w:rsidRPr="00710EB6" w:rsidRDefault="00C00F7F" w:rsidP="00C00F7F">
            <w:pPr>
              <w:jc w:val="right"/>
              <w:rPr>
                <w:rFonts w:ascii="Arial" w:hAnsi="Arial" w:cs="Arial"/>
                <w:color w:val="000000"/>
                <w:sz w:val="14"/>
                <w:szCs w:val="14"/>
                <w:lang w:eastAsia="es-AR"/>
              </w:rPr>
            </w:pPr>
            <w:r w:rsidRPr="00534414">
              <w:rPr>
                <w:rFonts w:ascii="Arial" w:hAnsi="Arial" w:cs="Arial"/>
                <w:sz w:val="14"/>
                <w:szCs w:val="14"/>
              </w:rPr>
              <w:t>1.687.174</w:t>
            </w:r>
          </w:p>
        </w:tc>
      </w:tr>
      <w:tr w:rsidR="00C00F7F" w:rsidRPr="00701F32" w14:paraId="503ECE70" w14:textId="77777777" w:rsidTr="00534414">
        <w:trPr>
          <w:trHeight w:val="489"/>
        </w:trPr>
        <w:tc>
          <w:tcPr>
            <w:tcW w:w="503" w:type="pct"/>
            <w:tcBorders>
              <w:top w:val="single" w:sz="8" w:space="0" w:color="auto"/>
              <w:left w:val="single" w:sz="8" w:space="0" w:color="auto"/>
              <w:bottom w:val="single" w:sz="4" w:space="0" w:color="auto"/>
              <w:right w:val="single" w:sz="8" w:space="0" w:color="auto"/>
            </w:tcBorders>
            <w:shd w:val="clear" w:color="auto" w:fill="auto"/>
            <w:noWrap/>
          </w:tcPr>
          <w:p w14:paraId="120C8BA2" w14:textId="60F618FB" w:rsidR="00C00F7F" w:rsidRPr="00710EB6" w:rsidRDefault="00C00F7F" w:rsidP="00C00F7F">
            <w:pPr>
              <w:jc w:val="center"/>
              <w:rPr>
                <w:rFonts w:ascii="Arial" w:hAnsi="Arial" w:cs="Arial"/>
                <w:color w:val="000000"/>
                <w:sz w:val="14"/>
                <w:szCs w:val="14"/>
                <w:lang w:eastAsia="es-AR"/>
              </w:rPr>
            </w:pPr>
            <w:r w:rsidRPr="00534414">
              <w:rPr>
                <w:rFonts w:ascii="Arial" w:hAnsi="Arial" w:cs="Arial"/>
                <w:sz w:val="14"/>
                <w:szCs w:val="14"/>
              </w:rPr>
              <w:t>04/02/19</w:t>
            </w:r>
          </w:p>
        </w:tc>
        <w:tc>
          <w:tcPr>
            <w:tcW w:w="386" w:type="pct"/>
            <w:tcBorders>
              <w:top w:val="single" w:sz="8" w:space="0" w:color="auto"/>
              <w:left w:val="nil"/>
              <w:bottom w:val="single" w:sz="4" w:space="0" w:color="auto"/>
              <w:right w:val="single" w:sz="8" w:space="0" w:color="auto"/>
            </w:tcBorders>
            <w:shd w:val="clear" w:color="auto" w:fill="auto"/>
            <w:noWrap/>
          </w:tcPr>
          <w:p w14:paraId="06558758" w14:textId="5C2942BA" w:rsidR="00C00F7F" w:rsidRPr="00710EB6" w:rsidRDefault="00C00F7F" w:rsidP="00C00F7F">
            <w:pPr>
              <w:jc w:val="center"/>
              <w:rPr>
                <w:rFonts w:ascii="Arial" w:hAnsi="Arial" w:cs="Arial"/>
                <w:color w:val="000000"/>
                <w:sz w:val="14"/>
                <w:szCs w:val="14"/>
                <w:lang w:eastAsia="es-AR"/>
              </w:rPr>
            </w:pPr>
            <w:r w:rsidRPr="00534414">
              <w:rPr>
                <w:rFonts w:ascii="Arial" w:hAnsi="Arial" w:cs="Arial"/>
                <w:sz w:val="14"/>
                <w:szCs w:val="14"/>
              </w:rPr>
              <w:t>$</w:t>
            </w:r>
          </w:p>
        </w:tc>
        <w:tc>
          <w:tcPr>
            <w:tcW w:w="307" w:type="pct"/>
            <w:tcBorders>
              <w:top w:val="single" w:sz="8" w:space="0" w:color="auto"/>
              <w:left w:val="nil"/>
              <w:bottom w:val="single" w:sz="4" w:space="0" w:color="auto"/>
              <w:right w:val="single" w:sz="8" w:space="0" w:color="auto"/>
            </w:tcBorders>
            <w:shd w:val="clear" w:color="auto" w:fill="auto"/>
            <w:noWrap/>
          </w:tcPr>
          <w:p w14:paraId="1A35E502" w14:textId="35F1C8D7" w:rsidR="00C00F7F" w:rsidRPr="00710EB6" w:rsidRDefault="00C00F7F" w:rsidP="00C00F7F">
            <w:pPr>
              <w:jc w:val="center"/>
              <w:rPr>
                <w:rFonts w:ascii="Arial" w:hAnsi="Arial" w:cs="Arial"/>
                <w:color w:val="000000"/>
                <w:sz w:val="14"/>
                <w:szCs w:val="14"/>
                <w:lang w:eastAsia="es-AR"/>
              </w:rPr>
            </w:pPr>
            <w:r w:rsidRPr="00534414">
              <w:rPr>
                <w:rFonts w:ascii="Arial" w:hAnsi="Arial" w:cs="Arial"/>
                <w:sz w:val="14"/>
                <w:szCs w:val="14"/>
              </w:rPr>
              <w:t>F</w:t>
            </w:r>
          </w:p>
        </w:tc>
        <w:tc>
          <w:tcPr>
            <w:tcW w:w="450" w:type="pct"/>
            <w:tcBorders>
              <w:top w:val="single" w:sz="8" w:space="0" w:color="auto"/>
              <w:left w:val="nil"/>
              <w:bottom w:val="single" w:sz="4" w:space="0" w:color="auto"/>
              <w:right w:val="single" w:sz="8" w:space="0" w:color="auto"/>
            </w:tcBorders>
            <w:shd w:val="clear" w:color="auto" w:fill="auto"/>
            <w:noWrap/>
          </w:tcPr>
          <w:p w14:paraId="209F2D62" w14:textId="1FE11A58" w:rsidR="00C00F7F" w:rsidRPr="00710EB6" w:rsidRDefault="00C00F7F" w:rsidP="00C00F7F">
            <w:pPr>
              <w:jc w:val="right"/>
              <w:rPr>
                <w:rFonts w:ascii="Arial" w:hAnsi="Arial" w:cs="Arial"/>
                <w:color w:val="000000"/>
                <w:sz w:val="14"/>
                <w:szCs w:val="14"/>
                <w:lang w:eastAsia="es-AR"/>
              </w:rPr>
            </w:pPr>
            <w:r w:rsidRPr="00534414">
              <w:rPr>
                <w:rFonts w:ascii="Arial" w:hAnsi="Arial" w:cs="Arial"/>
                <w:sz w:val="14"/>
                <w:szCs w:val="14"/>
              </w:rPr>
              <w:t>3.000.000</w:t>
            </w:r>
          </w:p>
        </w:tc>
        <w:tc>
          <w:tcPr>
            <w:tcW w:w="615" w:type="pct"/>
            <w:tcBorders>
              <w:top w:val="single" w:sz="8" w:space="0" w:color="auto"/>
              <w:left w:val="nil"/>
              <w:bottom w:val="single" w:sz="4" w:space="0" w:color="auto"/>
              <w:right w:val="single" w:sz="8" w:space="0" w:color="auto"/>
            </w:tcBorders>
            <w:shd w:val="clear" w:color="auto" w:fill="auto"/>
          </w:tcPr>
          <w:p w14:paraId="159CD029" w14:textId="3D103C0C" w:rsidR="00C00F7F" w:rsidRPr="00710EB6" w:rsidRDefault="00C00F7F" w:rsidP="00C00F7F">
            <w:pPr>
              <w:jc w:val="both"/>
              <w:rPr>
                <w:rFonts w:ascii="Arial" w:hAnsi="Arial" w:cs="Arial"/>
                <w:color w:val="000000"/>
                <w:sz w:val="14"/>
                <w:szCs w:val="14"/>
                <w:lang w:eastAsia="es-AR"/>
              </w:rPr>
            </w:pPr>
            <w:r w:rsidRPr="00534414">
              <w:rPr>
                <w:rFonts w:ascii="Arial" w:hAnsi="Arial" w:cs="Arial"/>
                <w:sz w:val="14"/>
                <w:szCs w:val="14"/>
              </w:rPr>
              <w:t>100% al vto.</w:t>
            </w:r>
          </w:p>
        </w:tc>
        <w:tc>
          <w:tcPr>
            <w:tcW w:w="462" w:type="pct"/>
            <w:tcBorders>
              <w:top w:val="single" w:sz="8" w:space="0" w:color="auto"/>
              <w:left w:val="nil"/>
              <w:bottom w:val="single" w:sz="4" w:space="0" w:color="auto"/>
              <w:right w:val="single" w:sz="8" w:space="0" w:color="auto"/>
            </w:tcBorders>
            <w:shd w:val="clear" w:color="auto" w:fill="auto"/>
            <w:noWrap/>
          </w:tcPr>
          <w:p w14:paraId="3BEA7A47" w14:textId="2013548B" w:rsidR="00C00F7F" w:rsidRPr="00710EB6" w:rsidRDefault="00C00F7F" w:rsidP="00C00F7F">
            <w:pPr>
              <w:jc w:val="both"/>
              <w:rPr>
                <w:rFonts w:ascii="Arial" w:hAnsi="Arial" w:cs="Arial"/>
                <w:color w:val="000000"/>
                <w:sz w:val="14"/>
                <w:szCs w:val="14"/>
                <w:lang w:eastAsia="es-AR"/>
              </w:rPr>
            </w:pPr>
            <w:r w:rsidRPr="00534414">
              <w:rPr>
                <w:rFonts w:ascii="Arial" w:hAnsi="Arial" w:cs="Arial"/>
                <w:sz w:val="14"/>
                <w:szCs w:val="14"/>
              </w:rPr>
              <w:t>9 meses</w:t>
            </w:r>
          </w:p>
        </w:tc>
        <w:tc>
          <w:tcPr>
            <w:tcW w:w="543" w:type="pct"/>
            <w:tcBorders>
              <w:top w:val="single" w:sz="8" w:space="0" w:color="auto"/>
              <w:left w:val="nil"/>
              <w:bottom w:val="single" w:sz="4" w:space="0" w:color="auto"/>
              <w:right w:val="single" w:sz="8" w:space="0" w:color="auto"/>
            </w:tcBorders>
            <w:shd w:val="clear" w:color="auto" w:fill="auto"/>
            <w:noWrap/>
          </w:tcPr>
          <w:p w14:paraId="2D61D747" w14:textId="4B27A1F4" w:rsidR="00C00F7F" w:rsidRPr="00710EB6" w:rsidRDefault="00C00F7F" w:rsidP="00C00F7F">
            <w:pPr>
              <w:jc w:val="both"/>
              <w:rPr>
                <w:rFonts w:ascii="Arial" w:hAnsi="Arial" w:cs="Arial"/>
                <w:color w:val="000000"/>
                <w:sz w:val="14"/>
                <w:szCs w:val="14"/>
                <w:lang w:eastAsia="es-AR"/>
              </w:rPr>
            </w:pPr>
            <w:r w:rsidRPr="00534414">
              <w:rPr>
                <w:rFonts w:ascii="Arial" w:hAnsi="Arial" w:cs="Arial"/>
                <w:sz w:val="14"/>
                <w:szCs w:val="14"/>
              </w:rPr>
              <w:t>04/11/2019</w:t>
            </w:r>
          </w:p>
        </w:tc>
        <w:tc>
          <w:tcPr>
            <w:tcW w:w="687" w:type="pct"/>
            <w:tcBorders>
              <w:top w:val="single" w:sz="8" w:space="0" w:color="auto"/>
              <w:left w:val="nil"/>
              <w:bottom w:val="single" w:sz="4" w:space="0" w:color="auto"/>
              <w:right w:val="single" w:sz="8" w:space="0" w:color="auto"/>
            </w:tcBorders>
            <w:shd w:val="clear" w:color="auto" w:fill="auto"/>
          </w:tcPr>
          <w:p w14:paraId="1D8C7E56" w14:textId="4A7CE874" w:rsidR="00C00F7F" w:rsidRPr="00710EB6" w:rsidRDefault="00C00F7F" w:rsidP="00C00F7F">
            <w:pPr>
              <w:jc w:val="both"/>
              <w:rPr>
                <w:rFonts w:ascii="Arial" w:hAnsi="Arial" w:cs="Arial"/>
                <w:color w:val="000000"/>
                <w:sz w:val="14"/>
                <w:szCs w:val="14"/>
                <w:lang w:eastAsia="es-AR"/>
              </w:rPr>
            </w:pPr>
            <w:r w:rsidRPr="00534414">
              <w:rPr>
                <w:rFonts w:ascii="Arial" w:hAnsi="Arial" w:cs="Arial"/>
                <w:sz w:val="14"/>
                <w:szCs w:val="14"/>
              </w:rPr>
              <w:t>Flotante Badlar de Bancos Privados + 4,85%</w:t>
            </w:r>
          </w:p>
        </w:tc>
        <w:tc>
          <w:tcPr>
            <w:tcW w:w="500" w:type="pct"/>
            <w:tcBorders>
              <w:top w:val="single" w:sz="8" w:space="0" w:color="auto"/>
              <w:left w:val="nil"/>
              <w:bottom w:val="single" w:sz="4" w:space="0" w:color="auto"/>
              <w:right w:val="single" w:sz="8" w:space="0" w:color="auto"/>
            </w:tcBorders>
            <w:shd w:val="clear" w:color="auto" w:fill="auto"/>
            <w:noWrap/>
            <w:vAlign w:val="bottom"/>
          </w:tcPr>
          <w:p w14:paraId="31D75DEB" w14:textId="42BED53D" w:rsidR="00C00F7F" w:rsidRPr="00710EB6" w:rsidRDefault="00CB4373" w:rsidP="00C00F7F">
            <w:pPr>
              <w:jc w:val="right"/>
              <w:rPr>
                <w:rFonts w:ascii="Arial" w:hAnsi="Arial" w:cs="Arial"/>
                <w:color w:val="000000"/>
                <w:sz w:val="14"/>
                <w:szCs w:val="14"/>
              </w:rPr>
            </w:pPr>
            <w:r>
              <w:rPr>
                <w:rFonts w:ascii="Arial" w:hAnsi="Arial" w:cs="Arial"/>
                <w:color w:val="000000"/>
                <w:sz w:val="14"/>
                <w:szCs w:val="14"/>
              </w:rPr>
              <w:t>-</w:t>
            </w:r>
          </w:p>
        </w:tc>
        <w:tc>
          <w:tcPr>
            <w:tcW w:w="547" w:type="pct"/>
            <w:tcBorders>
              <w:top w:val="single" w:sz="8" w:space="0" w:color="auto"/>
              <w:left w:val="nil"/>
              <w:bottom w:val="single" w:sz="4" w:space="0" w:color="auto"/>
              <w:right w:val="single" w:sz="8" w:space="0" w:color="auto"/>
            </w:tcBorders>
            <w:shd w:val="clear" w:color="auto" w:fill="auto"/>
            <w:noWrap/>
            <w:vAlign w:val="bottom"/>
          </w:tcPr>
          <w:p w14:paraId="2E3ACE73" w14:textId="3E247C07" w:rsidR="00C00F7F" w:rsidRPr="00710EB6" w:rsidRDefault="00C00F7F" w:rsidP="00C00F7F">
            <w:pPr>
              <w:jc w:val="right"/>
              <w:rPr>
                <w:rFonts w:ascii="Arial" w:hAnsi="Arial" w:cs="Arial"/>
                <w:color w:val="000000"/>
                <w:sz w:val="14"/>
                <w:szCs w:val="14"/>
                <w:lang w:eastAsia="es-AR"/>
              </w:rPr>
            </w:pPr>
            <w:r w:rsidRPr="00534414">
              <w:rPr>
                <w:rFonts w:ascii="Arial" w:hAnsi="Arial" w:cs="Arial"/>
                <w:sz w:val="14"/>
                <w:szCs w:val="14"/>
              </w:rPr>
              <w:t>-</w:t>
            </w:r>
          </w:p>
        </w:tc>
      </w:tr>
      <w:tr w:rsidR="00C00F7F" w:rsidRPr="00701F32" w14:paraId="38B17EAF" w14:textId="77777777" w:rsidTr="00534414">
        <w:trPr>
          <w:trHeight w:val="323"/>
        </w:trPr>
        <w:tc>
          <w:tcPr>
            <w:tcW w:w="3266" w:type="pct"/>
            <w:gridSpan w:val="7"/>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6A95D19" w14:textId="77777777" w:rsidR="00C00F7F" w:rsidRPr="00701F32" w:rsidRDefault="00C00F7F" w:rsidP="00C00F7F">
            <w:pPr>
              <w:jc w:val="both"/>
              <w:rPr>
                <w:rFonts w:ascii="Arial" w:hAnsi="Arial" w:cs="Arial"/>
                <w:color w:val="000000"/>
                <w:sz w:val="14"/>
                <w:szCs w:val="14"/>
                <w:lang w:eastAsia="es-AR"/>
              </w:rPr>
            </w:pPr>
          </w:p>
        </w:tc>
        <w:tc>
          <w:tcPr>
            <w:tcW w:w="687" w:type="pct"/>
            <w:tcBorders>
              <w:top w:val="single" w:sz="4" w:space="0" w:color="auto"/>
              <w:left w:val="nil"/>
              <w:bottom w:val="single" w:sz="4" w:space="0" w:color="auto"/>
              <w:right w:val="single" w:sz="8" w:space="0" w:color="auto"/>
            </w:tcBorders>
            <w:shd w:val="clear" w:color="auto" w:fill="auto"/>
            <w:noWrap/>
            <w:vAlign w:val="bottom"/>
            <w:hideMark/>
          </w:tcPr>
          <w:p w14:paraId="2A652A8D" w14:textId="1BA64435" w:rsidR="00C00F7F" w:rsidRPr="00701F32" w:rsidRDefault="00C00F7F" w:rsidP="00C00F7F">
            <w:pPr>
              <w:rPr>
                <w:rFonts w:ascii="Arial" w:hAnsi="Arial" w:cs="Arial"/>
                <w:b/>
                <w:bCs/>
                <w:color w:val="000000"/>
                <w:sz w:val="14"/>
                <w:szCs w:val="14"/>
                <w:lang w:eastAsia="es-AR"/>
              </w:rPr>
            </w:pPr>
            <w:r w:rsidRPr="00701F32">
              <w:rPr>
                <w:rFonts w:ascii="Arial" w:hAnsi="Arial" w:cs="Arial"/>
                <w:b/>
                <w:bCs/>
                <w:color w:val="000000"/>
                <w:sz w:val="14"/>
                <w:szCs w:val="14"/>
                <w:lang w:eastAsia="es-AR"/>
              </w:rPr>
              <w:t>Total</w:t>
            </w:r>
          </w:p>
        </w:tc>
        <w:tc>
          <w:tcPr>
            <w:tcW w:w="500" w:type="pct"/>
            <w:tcBorders>
              <w:top w:val="single" w:sz="4" w:space="0" w:color="auto"/>
              <w:left w:val="nil"/>
              <w:bottom w:val="single" w:sz="4" w:space="0" w:color="auto"/>
              <w:right w:val="single" w:sz="8" w:space="0" w:color="auto"/>
            </w:tcBorders>
            <w:shd w:val="clear" w:color="auto" w:fill="auto"/>
            <w:noWrap/>
            <w:vAlign w:val="bottom"/>
          </w:tcPr>
          <w:p w14:paraId="061E2BFB" w14:textId="016EDEAB" w:rsidR="00C00F7F" w:rsidRPr="00B64F35" w:rsidRDefault="000A1F75" w:rsidP="00C00F7F">
            <w:pPr>
              <w:jc w:val="right"/>
              <w:rPr>
                <w:rFonts w:ascii="Arial" w:hAnsi="Arial" w:cs="Arial"/>
                <w:b/>
                <w:bCs/>
                <w:color w:val="000000"/>
                <w:sz w:val="14"/>
                <w:szCs w:val="14"/>
                <w:lang w:eastAsia="es-AR"/>
              </w:rPr>
            </w:pPr>
            <w:r>
              <w:rPr>
                <w:rFonts w:ascii="Arial" w:hAnsi="Arial" w:cs="Arial"/>
                <w:b/>
                <w:bCs/>
                <w:color w:val="000000"/>
                <w:sz w:val="14"/>
                <w:szCs w:val="14"/>
                <w:lang w:eastAsia="es-AR"/>
              </w:rPr>
              <w:t>6.070.917</w:t>
            </w:r>
          </w:p>
        </w:tc>
        <w:tc>
          <w:tcPr>
            <w:tcW w:w="547" w:type="pct"/>
            <w:tcBorders>
              <w:top w:val="single" w:sz="4" w:space="0" w:color="auto"/>
              <w:left w:val="nil"/>
              <w:bottom w:val="single" w:sz="4" w:space="0" w:color="auto"/>
              <w:right w:val="single" w:sz="4" w:space="0" w:color="auto"/>
            </w:tcBorders>
            <w:shd w:val="clear" w:color="auto" w:fill="auto"/>
            <w:noWrap/>
            <w:vAlign w:val="bottom"/>
          </w:tcPr>
          <w:p w14:paraId="4E89FDF8" w14:textId="69BF213B" w:rsidR="00C00F7F" w:rsidRPr="00B64F35" w:rsidRDefault="00C00F7F" w:rsidP="00C00F7F">
            <w:pPr>
              <w:jc w:val="right"/>
              <w:rPr>
                <w:rFonts w:ascii="Arial" w:hAnsi="Arial" w:cs="Arial"/>
                <w:b/>
                <w:bCs/>
                <w:color w:val="000000"/>
                <w:sz w:val="14"/>
                <w:szCs w:val="14"/>
                <w:lang w:eastAsia="es-AR"/>
              </w:rPr>
            </w:pPr>
            <w:r w:rsidRPr="00534414">
              <w:rPr>
                <w:rFonts w:ascii="Arial" w:hAnsi="Arial" w:cs="Arial"/>
                <w:b/>
                <w:sz w:val="14"/>
                <w:szCs w:val="14"/>
              </w:rPr>
              <w:t>7.924.029</w:t>
            </w:r>
          </w:p>
        </w:tc>
      </w:tr>
    </w:tbl>
    <w:p w14:paraId="4FF757D9" w14:textId="77777777" w:rsidR="00B64F35" w:rsidRPr="00701F32" w:rsidRDefault="00B64F35" w:rsidP="00656E62">
      <w:pPr>
        <w:pStyle w:val="PrimerNivel"/>
        <w:numPr>
          <w:ilvl w:val="0"/>
          <w:numId w:val="0"/>
        </w:numPr>
        <w:rPr>
          <w:rFonts w:ascii="Arial" w:hAnsi="Arial" w:cs="Arial"/>
          <w:b/>
          <w:sz w:val="20"/>
          <w:szCs w:val="20"/>
        </w:rPr>
      </w:pPr>
    </w:p>
    <w:p w14:paraId="44AA8188" w14:textId="2978ACF4" w:rsidR="00710EB6" w:rsidRDefault="00710EB6" w:rsidP="00534414">
      <w:pPr>
        <w:jc w:val="both"/>
        <w:rPr>
          <w:rFonts w:ascii="Arial" w:hAnsi="Arial" w:cs="Arial"/>
          <w:sz w:val="20"/>
        </w:rPr>
      </w:pPr>
      <w:r w:rsidRPr="00534414">
        <w:rPr>
          <w:rFonts w:ascii="Arial" w:hAnsi="Arial" w:cs="Arial"/>
          <w:sz w:val="20"/>
        </w:rPr>
        <w:t>El monto en circulación de la Obligaciones Negociables Clase A fue reducido con fecha 17 de octubre de 2018 por un valor nominal en pesos de $ 618.030 y con fecha 23 de enero de 2019 por un valor nominal en pesos de $ 254.92</w:t>
      </w:r>
      <w:r w:rsidR="00910602">
        <w:rPr>
          <w:rFonts w:ascii="Arial" w:hAnsi="Arial" w:cs="Arial"/>
          <w:sz w:val="20"/>
        </w:rPr>
        <w:t>5</w:t>
      </w:r>
      <w:r w:rsidRPr="00534414">
        <w:rPr>
          <w:rFonts w:ascii="Arial" w:hAnsi="Arial" w:cs="Arial"/>
          <w:sz w:val="20"/>
        </w:rPr>
        <w:t>.</w:t>
      </w:r>
      <w:r w:rsidR="00910602">
        <w:rPr>
          <w:rFonts w:ascii="Arial" w:hAnsi="Arial" w:cs="Arial"/>
          <w:sz w:val="20"/>
        </w:rPr>
        <w:t xml:space="preserve"> </w:t>
      </w:r>
      <w:r w:rsidRPr="00534414">
        <w:rPr>
          <w:rFonts w:ascii="Arial" w:hAnsi="Arial" w:cs="Arial"/>
          <w:sz w:val="20"/>
        </w:rPr>
        <w:t>Resultando así el monto total de circulación en pesos de $ 3.895.215.</w:t>
      </w:r>
    </w:p>
    <w:p w14:paraId="38696022" w14:textId="77777777" w:rsidR="004C6096" w:rsidRDefault="004C6096" w:rsidP="00534414">
      <w:pPr>
        <w:jc w:val="both"/>
        <w:rPr>
          <w:rFonts w:ascii="Arial" w:hAnsi="Arial" w:cs="Arial"/>
          <w:sz w:val="20"/>
        </w:rPr>
      </w:pPr>
    </w:p>
    <w:p w14:paraId="72F43A93" w14:textId="158FE50F" w:rsidR="004C6096" w:rsidRDefault="004C6096" w:rsidP="00604F0C">
      <w:pPr>
        <w:jc w:val="both"/>
        <w:rPr>
          <w:rFonts w:ascii="Arial" w:hAnsi="Arial" w:cs="Arial"/>
          <w:sz w:val="20"/>
        </w:rPr>
      </w:pPr>
      <w:r>
        <w:rPr>
          <w:rFonts w:ascii="Arial" w:hAnsi="Arial" w:cs="Arial"/>
          <w:sz w:val="20"/>
        </w:rPr>
        <w:t xml:space="preserve">Durante los meses de </w:t>
      </w:r>
      <w:r w:rsidR="003764B5">
        <w:rPr>
          <w:rFonts w:ascii="Arial" w:hAnsi="Arial" w:cs="Arial"/>
          <w:sz w:val="20"/>
        </w:rPr>
        <w:t>a</w:t>
      </w:r>
      <w:r>
        <w:rPr>
          <w:rFonts w:ascii="Arial" w:hAnsi="Arial" w:cs="Arial"/>
          <w:sz w:val="20"/>
        </w:rPr>
        <w:t xml:space="preserve">gosto y </w:t>
      </w:r>
      <w:r w:rsidR="003764B5">
        <w:rPr>
          <w:rFonts w:ascii="Arial" w:hAnsi="Arial" w:cs="Arial"/>
          <w:sz w:val="20"/>
        </w:rPr>
        <w:t>s</w:t>
      </w:r>
      <w:r>
        <w:rPr>
          <w:rFonts w:ascii="Arial" w:hAnsi="Arial" w:cs="Arial"/>
          <w:sz w:val="20"/>
        </w:rPr>
        <w:t xml:space="preserve">eptiembre </w:t>
      </w:r>
      <w:r w:rsidR="003764B5">
        <w:rPr>
          <w:rFonts w:ascii="Arial" w:hAnsi="Arial" w:cs="Arial"/>
          <w:sz w:val="20"/>
        </w:rPr>
        <w:t xml:space="preserve">de 2019 </w:t>
      </w:r>
      <w:r>
        <w:rPr>
          <w:rFonts w:ascii="Arial" w:hAnsi="Arial" w:cs="Arial"/>
          <w:sz w:val="20"/>
        </w:rPr>
        <w:t xml:space="preserve">se recompraron Obligaciones Negociables </w:t>
      </w:r>
      <w:r w:rsidR="00604F0C">
        <w:rPr>
          <w:rFonts w:ascii="Arial" w:hAnsi="Arial" w:cs="Arial"/>
          <w:sz w:val="20"/>
        </w:rPr>
        <w:t xml:space="preserve">Clase B por un valor nominal en pesos de $ </w:t>
      </w:r>
      <w:r w:rsidR="00604F0C" w:rsidRPr="00604F0C">
        <w:rPr>
          <w:rFonts w:ascii="Arial" w:hAnsi="Arial" w:cs="Arial"/>
          <w:sz w:val="20"/>
        </w:rPr>
        <w:t>101.000</w:t>
      </w:r>
      <w:r w:rsidR="006967B5">
        <w:rPr>
          <w:rFonts w:ascii="Arial" w:hAnsi="Arial" w:cs="Arial"/>
          <w:sz w:val="20"/>
        </w:rPr>
        <w:t>.</w:t>
      </w:r>
    </w:p>
    <w:p w14:paraId="60EEFA1E" w14:textId="1665A1EA" w:rsidR="000E671A" w:rsidRDefault="000E671A" w:rsidP="000E671A">
      <w:pPr>
        <w:pStyle w:val="PrimerNivel"/>
        <w:numPr>
          <w:ilvl w:val="0"/>
          <w:numId w:val="0"/>
        </w:numPr>
        <w:rPr>
          <w:rFonts w:ascii="Arial" w:hAnsi="Arial" w:cs="Arial"/>
          <w:b/>
          <w:sz w:val="20"/>
          <w:szCs w:val="20"/>
        </w:rPr>
      </w:pPr>
    </w:p>
    <w:p w14:paraId="197D8039" w14:textId="6CDCC8C5" w:rsidR="00EC4C71" w:rsidRPr="00520598" w:rsidRDefault="00EC4C71" w:rsidP="00EC4C71">
      <w:pPr>
        <w:pStyle w:val="PrimerNivel"/>
        <w:numPr>
          <w:ilvl w:val="0"/>
          <w:numId w:val="0"/>
        </w:numPr>
        <w:rPr>
          <w:rFonts w:ascii="Arial" w:hAnsi="Arial" w:cs="Arial"/>
          <w:bCs/>
          <w:sz w:val="20"/>
          <w:szCs w:val="20"/>
        </w:rPr>
      </w:pPr>
      <w:r>
        <w:rPr>
          <w:rFonts w:ascii="Arial" w:hAnsi="Arial" w:cs="Arial"/>
          <w:bCs/>
          <w:sz w:val="20"/>
          <w:szCs w:val="20"/>
        </w:rPr>
        <w:t xml:space="preserve">Las Obligaciones Negociables clase B, D y F se encuentran totalmente amortizadas desde el 14 de </w:t>
      </w:r>
      <w:r w:rsidR="00CB4373">
        <w:rPr>
          <w:rFonts w:ascii="Arial" w:hAnsi="Arial" w:cs="Arial"/>
          <w:bCs/>
          <w:sz w:val="20"/>
          <w:szCs w:val="20"/>
        </w:rPr>
        <w:t>agosto</w:t>
      </w:r>
      <w:r>
        <w:rPr>
          <w:rFonts w:ascii="Arial" w:hAnsi="Arial" w:cs="Arial"/>
          <w:bCs/>
          <w:sz w:val="20"/>
          <w:szCs w:val="20"/>
        </w:rPr>
        <w:t xml:space="preserve"> de 2019 para la clase D, 4 de noviembre de 2019 para la clase F y </w:t>
      </w:r>
      <w:r>
        <w:rPr>
          <w:rFonts w:ascii="Arial" w:hAnsi="Arial" w:cs="Arial"/>
          <w:sz w:val="20"/>
          <w:szCs w:val="20"/>
          <w:lang w:val="es-AR" w:eastAsia="en-US"/>
        </w:rPr>
        <w:t>23 de diciembre de 2019 para la clase B.</w:t>
      </w:r>
    </w:p>
    <w:p w14:paraId="0749137E" w14:textId="7EACCE10" w:rsidR="00EC4C71" w:rsidRDefault="00EC4C71" w:rsidP="000E671A">
      <w:pPr>
        <w:pStyle w:val="PrimerNivel"/>
        <w:numPr>
          <w:ilvl w:val="0"/>
          <w:numId w:val="0"/>
        </w:numPr>
        <w:rPr>
          <w:rFonts w:ascii="Arial" w:hAnsi="Arial" w:cs="Arial"/>
          <w:b/>
          <w:sz w:val="20"/>
          <w:szCs w:val="20"/>
        </w:rPr>
      </w:pPr>
    </w:p>
    <w:p w14:paraId="6D4D1D40" w14:textId="5BAE1CD2" w:rsidR="00656E62" w:rsidRPr="00701F32" w:rsidRDefault="00656E62" w:rsidP="00656E62">
      <w:pPr>
        <w:pStyle w:val="PrimerNivel"/>
        <w:numPr>
          <w:ilvl w:val="0"/>
          <w:numId w:val="0"/>
        </w:numPr>
        <w:rPr>
          <w:rFonts w:ascii="Arial" w:hAnsi="Arial" w:cs="Arial"/>
          <w:b/>
          <w:sz w:val="20"/>
          <w:szCs w:val="20"/>
        </w:rPr>
      </w:pPr>
      <w:r w:rsidRPr="00701F32">
        <w:rPr>
          <w:rFonts w:ascii="Arial" w:hAnsi="Arial" w:cs="Arial"/>
          <w:b/>
          <w:sz w:val="20"/>
          <w:szCs w:val="20"/>
        </w:rPr>
        <w:t>Obligaciones Negociables subordinadas</w:t>
      </w:r>
    </w:p>
    <w:p w14:paraId="42680195" w14:textId="77777777" w:rsidR="00656E62" w:rsidRPr="00701F32" w:rsidRDefault="00656E62" w:rsidP="00656E62">
      <w:pPr>
        <w:pStyle w:val="PrimerNivel"/>
        <w:numPr>
          <w:ilvl w:val="0"/>
          <w:numId w:val="0"/>
        </w:numPr>
        <w:ind w:left="66"/>
        <w:rPr>
          <w:rFonts w:ascii="Arial" w:hAnsi="Arial" w:cs="Arial"/>
          <w:b/>
          <w:sz w:val="20"/>
          <w:szCs w:val="20"/>
        </w:rPr>
      </w:pPr>
    </w:p>
    <w:p w14:paraId="2B11892C" w14:textId="2AC3E027" w:rsidR="00656E62" w:rsidRPr="00701F32" w:rsidRDefault="00656E62" w:rsidP="00656E62">
      <w:pPr>
        <w:tabs>
          <w:tab w:val="left" w:pos="142"/>
          <w:tab w:val="left" w:pos="9923"/>
        </w:tabs>
        <w:jc w:val="both"/>
        <w:rPr>
          <w:rFonts w:ascii="Arial" w:hAnsi="Arial" w:cs="Arial"/>
          <w:b/>
          <w:sz w:val="20"/>
        </w:rPr>
      </w:pPr>
      <w:r w:rsidRPr="00701F32">
        <w:rPr>
          <w:rFonts w:ascii="Arial" w:hAnsi="Arial" w:cs="Arial"/>
          <w:b/>
          <w:sz w:val="20"/>
        </w:rPr>
        <w:t>Programa Global de Emisión de Obligaciones Negociables por hasta V/N $ 750.000 (ampliado a V/N $2.000</w:t>
      </w:r>
      <w:r w:rsidR="00CE53C0">
        <w:rPr>
          <w:rFonts w:ascii="Arial" w:hAnsi="Arial" w:cs="Arial"/>
          <w:b/>
          <w:sz w:val="20"/>
        </w:rPr>
        <w:t>.000</w:t>
      </w:r>
      <w:r w:rsidRPr="00701F32">
        <w:rPr>
          <w:rFonts w:ascii="Arial" w:hAnsi="Arial" w:cs="Arial"/>
          <w:b/>
          <w:sz w:val="20"/>
        </w:rPr>
        <w:t xml:space="preserve">). </w:t>
      </w:r>
    </w:p>
    <w:p w14:paraId="5AC820DE" w14:textId="77777777" w:rsidR="00656E62" w:rsidRPr="00701F32" w:rsidRDefault="00656E62" w:rsidP="00656E62">
      <w:pPr>
        <w:pStyle w:val="Sinespaciado"/>
        <w:jc w:val="both"/>
        <w:rPr>
          <w:rFonts w:ascii="Arial" w:hAnsi="Arial" w:cs="Arial"/>
          <w:sz w:val="20"/>
          <w:szCs w:val="20"/>
        </w:rPr>
      </w:pPr>
    </w:p>
    <w:p w14:paraId="4AA1D437" w14:textId="03D9B1A8" w:rsidR="00656E62" w:rsidRPr="00701F32" w:rsidRDefault="00656E62" w:rsidP="00656E62">
      <w:pPr>
        <w:pStyle w:val="Sinespaciado"/>
        <w:jc w:val="both"/>
        <w:rPr>
          <w:rFonts w:ascii="Arial" w:hAnsi="Arial" w:cs="Arial"/>
          <w:sz w:val="20"/>
          <w:szCs w:val="20"/>
        </w:rPr>
      </w:pPr>
      <w:r w:rsidRPr="00701F32">
        <w:rPr>
          <w:rFonts w:ascii="Arial" w:hAnsi="Arial" w:cs="Arial"/>
          <w:sz w:val="20"/>
          <w:szCs w:val="20"/>
        </w:rPr>
        <w:t xml:space="preserve">Con fecha 25 de marzo de 2013, la Asamblea General Extraordinaria de Accionistas resolvió aprobar la creación de un Programa Global de Emisión de Obligaciones Negociables por hasta un monto máximo en circulación en cualquier momento durante la vigencia del programa de </w:t>
      </w:r>
      <w:r w:rsidR="00C5517A">
        <w:rPr>
          <w:rFonts w:ascii="Arial" w:hAnsi="Arial" w:cs="Arial"/>
          <w:sz w:val="20"/>
          <w:szCs w:val="20"/>
        </w:rPr>
        <w:t>$</w:t>
      </w:r>
      <w:r w:rsidR="00C5517A" w:rsidRPr="00701F32">
        <w:rPr>
          <w:rFonts w:ascii="Arial" w:hAnsi="Arial" w:cs="Arial"/>
          <w:sz w:val="20"/>
          <w:szCs w:val="20"/>
        </w:rPr>
        <w:t xml:space="preserve"> </w:t>
      </w:r>
      <w:r w:rsidRPr="00701F32">
        <w:rPr>
          <w:rFonts w:ascii="Arial" w:hAnsi="Arial" w:cs="Arial"/>
          <w:sz w:val="20"/>
          <w:szCs w:val="20"/>
        </w:rPr>
        <w:t>750.000.000. Al respecto, cabe mencionar que en fecha 15 de abril de 2016 la Asamblea General Ordinaria y Extraordinaria de Accionistas resolvió incrementar el monto máximo de dicho programa hasta un valor nominal de pesos 2.000.000 o su equivalente en otras monedas, el cual fue aprobado por CNV mediante resolución N° 18.224 con fecha 22 de septiembre de 2016.</w:t>
      </w:r>
    </w:p>
    <w:p w14:paraId="76CAE598" w14:textId="77777777" w:rsidR="00656E62" w:rsidRPr="00701F32" w:rsidRDefault="00656E62" w:rsidP="00656E62">
      <w:pPr>
        <w:pStyle w:val="Sinespaciado"/>
        <w:jc w:val="both"/>
        <w:rPr>
          <w:rFonts w:ascii="Arial" w:hAnsi="Arial" w:cs="Arial"/>
          <w:sz w:val="20"/>
          <w:szCs w:val="20"/>
        </w:rPr>
      </w:pPr>
    </w:p>
    <w:p w14:paraId="60D6DF3E" w14:textId="4583A405" w:rsidR="00656E62" w:rsidRPr="00701F32" w:rsidRDefault="00656E62" w:rsidP="00656E62">
      <w:pPr>
        <w:pStyle w:val="PrimerNivel"/>
        <w:numPr>
          <w:ilvl w:val="0"/>
          <w:numId w:val="0"/>
        </w:numPr>
        <w:rPr>
          <w:rFonts w:ascii="Arial" w:hAnsi="Arial" w:cs="Arial"/>
          <w:sz w:val="20"/>
          <w:szCs w:val="20"/>
        </w:rPr>
      </w:pPr>
      <w:r w:rsidRPr="00701F32">
        <w:rPr>
          <w:rFonts w:ascii="Arial" w:hAnsi="Arial" w:cs="Arial"/>
          <w:sz w:val="20"/>
          <w:szCs w:val="20"/>
        </w:rPr>
        <w:t xml:space="preserve">A continuación, se detallan los principales términos y condiciones de las emisiones vigentes al </w:t>
      </w:r>
      <w:r w:rsidR="00710EB6">
        <w:rPr>
          <w:rFonts w:ascii="Arial" w:hAnsi="Arial" w:cs="Arial"/>
          <w:sz w:val="20"/>
          <w:szCs w:val="20"/>
        </w:rPr>
        <w:t xml:space="preserve">31 de diciembre de </w:t>
      </w:r>
      <w:r w:rsidR="00CA4B7E">
        <w:rPr>
          <w:rFonts w:ascii="Arial" w:hAnsi="Arial" w:cs="Arial"/>
          <w:sz w:val="20"/>
          <w:szCs w:val="20"/>
        </w:rPr>
        <w:t xml:space="preserve">2019 y </w:t>
      </w:r>
      <w:r w:rsidR="009661CB">
        <w:rPr>
          <w:rFonts w:ascii="Arial" w:hAnsi="Arial" w:cs="Arial"/>
          <w:sz w:val="20"/>
          <w:szCs w:val="20"/>
        </w:rPr>
        <w:t>201</w:t>
      </w:r>
      <w:r w:rsidR="00710EB6">
        <w:rPr>
          <w:rFonts w:ascii="Arial" w:hAnsi="Arial" w:cs="Arial"/>
          <w:sz w:val="20"/>
          <w:szCs w:val="20"/>
        </w:rPr>
        <w:t>8</w:t>
      </w:r>
      <w:r w:rsidRPr="00701F32">
        <w:rPr>
          <w:rFonts w:ascii="Arial" w:hAnsi="Arial" w:cs="Arial"/>
          <w:sz w:val="20"/>
          <w:szCs w:val="20"/>
        </w:rPr>
        <w:t>:</w:t>
      </w:r>
    </w:p>
    <w:p w14:paraId="4C313A47" w14:textId="2BAD2548" w:rsidR="00B2136F" w:rsidRDefault="00B2136F">
      <w:pPr>
        <w:rPr>
          <w:rFonts w:ascii="Arial" w:eastAsia="Calibri" w:hAnsi="Arial" w:cs="Arial"/>
          <w:sz w:val="20"/>
          <w:lang w:val="es-PE" w:eastAsia="es-PE"/>
        </w:rPr>
      </w:pPr>
      <w:r>
        <w:rPr>
          <w:rFonts w:ascii="Arial" w:hAnsi="Arial" w:cs="Arial"/>
          <w:sz w:val="20"/>
        </w:rPr>
        <w:br w:type="page"/>
      </w:r>
    </w:p>
    <w:p w14:paraId="2C7C09C2" w14:textId="77777777" w:rsidR="00656E62" w:rsidRPr="00701F32" w:rsidRDefault="00656E62" w:rsidP="00656E62">
      <w:pPr>
        <w:pStyle w:val="PrimerNivel"/>
        <w:numPr>
          <w:ilvl w:val="0"/>
          <w:numId w:val="0"/>
        </w:numPr>
        <w:rPr>
          <w:rFonts w:ascii="Arial" w:hAnsi="Arial" w:cs="Arial"/>
          <w:sz w:val="20"/>
          <w:szCs w:val="20"/>
        </w:rPr>
      </w:pPr>
    </w:p>
    <w:tbl>
      <w:tblPr>
        <w:tblW w:w="8800" w:type="dxa"/>
        <w:tblInd w:w="55" w:type="dxa"/>
        <w:tblLayout w:type="fixed"/>
        <w:tblCellMar>
          <w:left w:w="70" w:type="dxa"/>
          <w:right w:w="70" w:type="dxa"/>
        </w:tblCellMar>
        <w:tblLook w:val="04A0" w:firstRow="1" w:lastRow="0" w:firstColumn="1" w:lastColumn="0" w:noHBand="0" w:noVBand="1"/>
      </w:tblPr>
      <w:tblGrid>
        <w:gridCol w:w="953"/>
        <w:gridCol w:w="728"/>
        <w:gridCol w:w="555"/>
        <w:gridCol w:w="846"/>
        <w:gridCol w:w="1188"/>
        <w:gridCol w:w="750"/>
        <w:gridCol w:w="1013"/>
        <w:gridCol w:w="820"/>
        <w:gridCol w:w="951"/>
        <w:gridCol w:w="996"/>
      </w:tblGrid>
      <w:tr w:rsidR="00B64F35" w:rsidRPr="00701F32" w14:paraId="06D243C9" w14:textId="77777777" w:rsidTr="006D43FB">
        <w:trPr>
          <w:trHeight w:val="261"/>
        </w:trPr>
        <w:tc>
          <w:tcPr>
            <w:tcW w:w="9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7959B79"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Fecha de colocación</w:t>
            </w:r>
          </w:p>
        </w:tc>
        <w:tc>
          <w:tcPr>
            <w:tcW w:w="7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7A3717" w14:textId="77777777" w:rsidR="00B64F35" w:rsidRPr="00701F32" w:rsidRDefault="00B64F35" w:rsidP="007C07F0">
            <w:pPr>
              <w:jc w:val="center"/>
              <w:rPr>
                <w:rFonts w:ascii="Arial" w:hAnsi="Arial" w:cs="Arial"/>
                <w:color w:val="000000"/>
                <w:sz w:val="14"/>
                <w:szCs w:val="16"/>
                <w:lang w:eastAsia="es-AR"/>
              </w:rPr>
            </w:pPr>
            <w:r w:rsidRPr="00701F32">
              <w:rPr>
                <w:rFonts w:ascii="Arial" w:hAnsi="Arial" w:cs="Arial"/>
                <w:color w:val="000000"/>
                <w:sz w:val="14"/>
                <w:szCs w:val="16"/>
                <w:lang w:eastAsia="es-AR"/>
              </w:rPr>
              <w:t>Moneda</w:t>
            </w:r>
          </w:p>
        </w:tc>
        <w:tc>
          <w:tcPr>
            <w:tcW w:w="55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A047CC"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Nro. de Clase</w:t>
            </w:r>
          </w:p>
        </w:tc>
        <w:tc>
          <w:tcPr>
            <w:tcW w:w="8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7EF19CE"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Monto</w:t>
            </w:r>
          </w:p>
        </w:tc>
        <w:tc>
          <w:tcPr>
            <w:tcW w:w="118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BDAC42"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Amortización</w:t>
            </w:r>
          </w:p>
        </w:tc>
        <w:tc>
          <w:tcPr>
            <w:tcW w:w="7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863132"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Plazo</w:t>
            </w:r>
          </w:p>
        </w:tc>
        <w:tc>
          <w:tcPr>
            <w:tcW w:w="101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1A4779"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Fecha de vencimiento</w:t>
            </w:r>
          </w:p>
        </w:tc>
        <w:tc>
          <w:tcPr>
            <w:tcW w:w="8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734ADA0" w14:textId="77777777"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Tasa</w:t>
            </w:r>
          </w:p>
        </w:tc>
        <w:tc>
          <w:tcPr>
            <w:tcW w:w="1947" w:type="dxa"/>
            <w:gridSpan w:val="2"/>
            <w:tcBorders>
              <w:top w:val="single" w:sz="8" w:space="0" w:color="auto"/>
              <w:left w:val="nil"/>
              <w:bottom w:val="single" w:sz="8" w:space="0" w:color="auto"/>
              <w:right w:val="single" w:sz="8" w:space="0" w:color="000000"/>
            </w:tcBorders>
            <w:shd w:val="clear" w:color="auto" w:fill="auto"/>
            <w:vAlign w:val="center"/>
            <w:hideMark/>
          </w:tcPr>
          <w:p w14:paraId="69B4BC16" w14:textId="347CF3CC" w:rsidR="00B64F35" w:rsidRPr="00701F32" w:rsidRDefault="00B64F35" w:rsidP="007C07F0">
            <w:pPr>
              <w:jc w:val="center"/>
              <w:rPr>
                <w:rFonts w:ascii="Arial" w:hAnsi="Arial" w:cs="Arial"/>
                <w:b/>
                <w:color w:val="000000"/>
                <w:sz w:val="14"/>
                <w:szCs w:val="16"/>
                <w:lang w:eastAsia="es-AR"/>
              </w:rPr>
            </w:pPr>
            <w:r w:rsidRPr="00701F32">
              <w:rPr>
                <w:rFonts w:ascii="Arial" w:hAnsi="Arial" w:cs="Arial"/>
                <w:b/>
                <w:color w:val="000000"/>
                <w:sz w:val="14"/>
                <w:szCs w:val="16"/>
                <w:lang w:eastAsia="es-AR"/>
              </w:rPr>
              <w:t>Valor Libros</w:t>
            </w:r>
          </w:p>
        </w:tc>
      </w:tr>
      <w:tr w:rsidR="00B64F35" w:rsidRPr="00701F32" w14:paraId="4FBA03E1" w14:textId="77777777" w:rsidTr="00534414">
        <w:trPr>
          <w:trHeight w:val="261"/>
        </w:trPr>
        <w:tc>
          <w:tcPr>
            <w:tcW w:w="953" w:type="dxa"/>
            <w:vMerge/>
            <w:tcBorders>
              <w:top w:val="single" w:sz="8" w:space="0" w:color="auto"/>
              <w:left w:val="single" w:sz="8" w:space="0" w:color="auto"/>
              <w:bottom w:val="single" w:sz="8" w:space="0" w:color="000000"/>
              <w:right w:val="single" w:sz="8" w:space="0" w:color="auto"/>
            </w:tcBorders>
            <w:vAlign w:val="center"/>
            <w:hideMark/>
          </w:tcPr>
          <w:p w14:paraId="4B7F3974" w14:textId="77777777" w:rsidR="00B64F35" w:rsidRPr="00701F32" w:rsidRDefault="00B64F35" w:rsidP="007C07F0">
            <w:pPr>
              <w:jc w:val="center"/>
              <w:rPr>
                <w:rFonts w:ascii="Arial" w:hAnsi="Arial" w:cs="Arial"/>
                <w:b/>
                <w:color w:val="000000"/>
                <w:sz w:val="14"/>
                <w:szCs w:val="16"/>
                <w:lang w:eastAsia="es-AR"/>
              </w:rPr>
            </w:pPr>
          </w:p>
        </w:tc>
        <w:tc>
          <w:tcPr>
            <w:tcW w:w="728" w:type="dxa"/>
            <w:vMerge/>
            <w:tcBorders>
              <w:top w:val="single" w:sz="8" w:space="0" w:color="auto"/>
              <w:left w:val="single" w:sz="8" w:space="0" w:color="auto"/>
              <w:bottom w:val="single" w:sz="8" w:space="0" w:color="000000"/>
              <w:right w:val="single" w:sz="8" w:space="0" w:color="auto"/>
            </w:tcBorders>
            <w:vAlign w:val="center"/>
            <w:hideMark/>
          </w:tcPr>
          <w:p w14:paraId="6ACC0343" w14:textId="77777777" w:rsidR="00B64F35" w:rsidRPr="00701F32" w:rsidRDefault="00B64F35" w:rsidP="007C07F0">
            <w:pPr>
              <w:jc w:val="center"/>
              <w:rPr>
                <w:rFonts w:ascii="Arial" w:hAnsi="Arial" w:cs="Arial"/>
                <w:b/>
                <w:color w:val="000000"/>
                <w:sz w:val="14"/>
                <w:szCs w:val="16"/>
                <w:lang w:eastAsia="es-AR"/>
              </w:rPr>
            </w:pPr>
          </w:p>
        </w:tc>
        <w:tc>
          <w:tcPr>
            <w:tcW w:w="555" w:type="dxa"/>
            <w:vMerge/>
            <w:tcBorders>
              <w:top w:val="single" w:sz="8" w:space="0" w:color="auto"/>
              <w:left w:val="single" w:sz="8" w:space="0" w:color="auto"/>
              <w:bottom w:val="single" w:sz="8" w:space="0" w:color="000000"/>
              <w:right w:val="single" w:sz="8" w:space="0" w:color="auto"/>
            </w:tcBorders>
            <w:vAlign w:val="center"/>
            <w:hideMark/>
          </w:tcPr>
          <w:p w14:paraId="2FA5FF4D" w14:textId="77777777" w:rsidR="00B64F35" w:rsidRPr="00701F32" w:rsidRDefault="00B64F35" w:rsidP="007C07F0">
            <w:pPr>
              <w:jc w:val="center"/>
              <w:rPr>
                <w:rFonts w:ascii="Arial" w:hAnsi="Arial" w:cs="Arial"/>
                <w:b/>
                <w:color w:val="000000"/>
                <w:sz w:val="14"/>
                <w:szCs w:val="16"/>
                <w:lang w:eastAsia="es-AR"/>
              </w:rPr>
            </w:pPr>
          </w:p>
        </w:tc>
        <w:tc>
          <w:tcPr>
            <w:tcW w:w="846" w:type="dxa"/>
            <w:vMerge/>
            <w:tcBorders>
              <w:top w:val="single" w:sz="8" w:space="0" w:color="auto"/>
              <w:left w:val="single" w:sz="8" w:space="0" w:color="auto"/>
              <w:bottom w:val="single" w:sz="8" w:space="0" w:color="000000"/>
              <w:right w:val="single" w:sz="8" w:space="0" w:color="auto"/>
            </w:tcBorders>
            <w:vAlign w:val="center"/>
            <w:hideMark/>
          </w:tcPr>
          <w:p w14:paraId="0E3FFE6C" w14:textId="77777777" w:rsidR="00B64F35" w:rsidRPr="00701F32" w:rsidRDefault="00B64F35" w:rsidP="007C07F0">
            <w:pPr>
              <w:jc w:val="center"/>
              <w:rPr>
                <w:rFonts w:ascii="Arial" w:hAnsi="Arial" w:cs="Arial"/>
                <w:b/>
                <w:color w:val="000000"/>
                <w:sz w:val="14"/>
                <w:szCs w:val="16"/>
                <w:lang w:eastAsia="es-AR"/>
              </w:rPr>
            </w:pPr>
          </w:p>
        </w:tc>
        <w:tc>
          <w:tcPr>
            <w:tcW w:w="1188" w:type="dxa"/>
            <w:vMerge/>
            <w:tcBorders>
              <w:top w:val="single" w:sz="8" w:space="0" w:color="auto"/>
              <w:left w:val="single" w:sz="8" w:space="0" w:color="auto"/>
              <w:bottom w:val="single" w:sz="8" w:space="0" w:color="000000"/>
              <w:right w:val="single" w:sz="8" w:space="0" w:color="auto"/>
            </w:tcBorders>
            <w:vAlign w:val="center"/>
            <w:hideMark/>
          </w:tcPr>
          <w:p w14:paraId="481039B8" w14:textId="77777777" w:rsidR="00B64F35" w:rsidRPr="00701F32" w:rsidRDefault="00B64F35" w:rsidP="007C07F0">
            <w:pPr>
              <w:jc w:val="center"/>
              <w:rPr>
                <w:rFonts w:ascii="Arial" w:hAnsi="Arial" w:cs="Arial"/>
                <w:b/>
                <w:color w:val="000000"/>
                <w:sz w:val="14"/>
                <w:szCs w:val="16"/>
                <w:lang w:eastAsia="es-AR"/>
              </w:rPr>
            </w:pPr>
          </w:p>
        </w:tc>
        <w:tc>
          <w:tcPr>
            <w:tcW w:w="750" w:type="dxa"/>
            <w:vMerge/>
            <w:tcBorders>
              <w:top w:val="single" w:sz="8" w:space="0" w:color="auto"/>
              <w:left w:val="single" w:sz="8" w:space="0" w:color="auto"/>
              <w:bottom w:val="single" w:sz="8" w:space="0" w:color="000000"/>
              <w:right w:val="single" w:sz="8" w:space="0" w:color="auto"/>
            </w:tcBorders>
            <w:vAlign w:val="center"/>
            <w:hideMark/>
          </w:tcPr>
          <w:p w14:paraId="3183226F" w14:textId="77777777" w:rsidR="00B64F35" w:rsidRPr="00701F32" w:rsidRDefault="00B64F35" w:rsidP="007C07F0">
            <w:pPr>
              <w:jc w:val="center"/>
              <w:rPr>
                <w:rFonts w:ascii="Arial" w:hAnsi="Arial" w:cs="Arial"/>
                <w:b/>
                <w:color w:val="000000"/>
                <w:sz w:val="14"/>
                <w:szCs w:val="16"/>
                <w:lang w:eastAsia="es-AR"/>
              </w:rPr>
            </w:pPr>
          </w:p>
        </w:tc>
        <w:tc>
          <w:tcPr>
            <w:tcW w:w="1013" w:type="dxa"/>
            <w:vMerge/>
            <w:tcBorders>
              <w:top w:val="single" w:sz="8" w:space="0" w:color="auto"/>
              <w:left w:val="single" w:sz="8" w:space="0" w:color="auto"/>
              <w:bottom w:val="single" w:sz="8" w:space="0" w:color="000000"/>
              <w:right w:val="single" w:sz="8" w:space="0" w:color="auto"/>
            </w:tcBorders>
            <w:vAlign w:val="center"/>
            <w:hideMark/>
          </w:tcPr>
          <w:p w14:paraId="0ECCC6F5" w14:textId="77777777" w:rsidR="00B64F35" w:rsidRPr="00701F32" w:rsidRDefault="00B64F35" w:rsidP="007C07F0">
            <w:pPr>
              <w:jc w:val="center"/>
              <w:rPr>
                <w:rFonts w:ascii="Arial" w:hAnsi="Arial" w:cs="Arial"/>
                <w:b/>
                <w:color w:val="000000"/>
                <w:sz w:val="14"/>
                <w:szCs w:val="16"/>
                <w:lang w:eastAsia="es-AR"/>
              </w:rPr>
            </w:pPr>
          </w:p>
        </w:tc>
        <w:tc>
          <w:tcPr>
            <w:tcW w:w="820" w:type="dxa"/>
            <w:vMerge/>
            <w:tcBorders>
              <w:top w:val="single" w:sz="8" w:space="0" w:color="auto"/>
              <w:left w:val="single" w:sz="8" w:space="0" w:color="auto"/>
              <w:bottom w:val="single" w:sz="8" w:space="0" w:color="000000"/>
              <w:right w:val="single" w:sz="8" w:space="0" w:color="auto"/>
            </w:tcBorders>
            <w:vAlign w:val="center"/>
            <w:hideMark/>
          </w:tcPr>
          <w:p w14:paraId="60F9552E" w14:textId="77777777" w:rsidR="00B64F35" w:rsidRPr="00701F32" w:rsidRDefault="00B64F35" w:rsidP="007C07F0">
            <w:pPr>
              <w:jc w:val="center"/>
              <w:rPr>
                <w:rFonts w:ascii="Arial" w:hAnsi="Arial" w:cs="Arial"/>
                <w:b/>
                <w:color w:val="000000"/>
                <w:sz w:val="14"/>
                <w:szCs w:val="16"/>
                <w:lang w:eastAsia="es-AR"/>
              </w:rPr>
            </w:pPr>
          </w:p>
        </w:tc>
        <w:tc>
          <w:tcPr>
            <w:tcW w:w="951" w:type="dxa"/>
            <w:tcBorders>
              <w:top w:val="nil"/>
              <w:left w:val="nil"/>
              <w:bottom w:val="single" w:sz="8" w:space="0" w:color="auto"/>
              <w:right w:val="single" w:sz="8" w:space="0" w:color="auto"/>
            </w:tcBorders>
            <w:shd w:val="clear" w:color="auto" w:fill="auto"/>
            <w:vAlign w:val="center"/>
            <w:hideMark/>
          </w:tcPr>
          <w:p w14:paraId="5845BE0B" w14:textId="16B2CDF9" w:rsidR="00B64F35" w:rsidRPr="00701F32" w:rsidRDefault="003C2633" w:rsidP="007F209B">
            <w:pPr>
              <w:jc w:val="center"/>
              <w:rPr>
                <w:rFonts w:ascii="Arial" w:hAnsi="Arial" w:cs="Arial"/>
                <w:b/>
                <w:color w:val="000000"/>
                <w:sz w:val="14"/>
                <w:szCs w:val="16"/>
                <w:lang w:eastAsia="es-AR"/>
              </w:rPr>
            </w:pPr>
            <w:r>
              <w:rPr>
                <w:rFonts w:ascii="Arial" w:hAnsi="Arial" w:cs="Arial"/>
                <w:b/>
                <w:color w:val="000000"/>
                <w:sz w:val="14"/>
                <w:szCs w:val="16"/>
                <w:lang w:eastAsia="es-AR"/>
              </w:rPr>
              <w:t>3</w:t>
            </w:r>
            <w:r w:rsidR="00CA4B7E">
              <w:rPr>
                <w:rFonts w:ascii="Arial" w:hAnsi="Arial" w:cs="Arial"/>
                <w:b/>
                <w:color w:val="000000"/>
                <w:sz w:val="14"/>
                <w:szCs w:val="16"/>
                <w:lang w:eastAsia="es-AR"/>
              </w:rPr>
              <w:t>1</w:t>
            </w:r>
            <w:r>
              <w:rPr>
                <w:rFonts w:ascii="Arial" w:hAnsi="Arial" w:cs="Arial"/>
                <w:b/>
                <w:color w:val="000000"/>
                <w:sz w:val="14"/>
                <w:szCs w:val="16"/>
                <w:lang w:eastAsia="es-AR"/>
              </w:rPr>
              <w:t>/</w:t>
            </w:r>
            <w:r w:rsidR="00CA4B7E">
              <w:rPr>
                <w:rFonts w:ascii="Arial" w:hAnsi="Arial" w:cs="Arial"/>
                <w:b/>
                <w:color w:val="000000"/>
                <w:sz w:val="14"/>
                <w:szCs w:val="16"/>
                <w:lang w:eastAsia="es-AR"/>
              </w:rPr>
              <w:t>12</w:t>
            </w:r>
            <w:r>
              <w:rPr>
                <w:rFonts w:ascii="Arial" w:hAnsi="Arial" w:cs="Arial"/>
                <w:b/>
                <w:color w:val="000000"/>
                <w:sz w:val="14"/>
                <w:szCs w:val="16"/>
                <w:lang w:eastAsia="es-AR"/>
              </w:rPr>
              <w:t>/2019</w:t>
            </w:r>
          </w:p>
        </w:tc>
        <w:tc>
          <w:tcPr>
            <w:tcW w:w="996" w:type="dxa"/>
            <w:tcBorders>
              <w:top w:val="nil"/>
              <w:left w:val="nil"/>
              <w:bottom w:val="single" w:sz="8" w:space="0" w:color="auto"/>
              <w:right w:val="single" w:sz="8" w:space="0" w:color="auto"/>
            </w:tcBorders>
            <w:shd w:val="clear" w:color="auto" w:fill="auto"/>
            <w:vAlign w:val="center"/>
            <w:hideMark/>
          </w:tcPr>
          <w:p w14:paraId="0698A143" w14:textId="7FEB6519" w:rsidR="00B64F35" w:rsidRPr="00701F32" w:rsidRDefault="00B64F35" w:rsidP="007C07F0">
            <w:pPr>
              <w:jc w:val="center"/>
              <w:rPr>
                <w:rFonts w:ascii="Arial" w:hAnsi="Arial" w:cs="Arial"/>
                <w:b/>
                <w:color w:val="000000"/>
                <w:sz w:val="14"/>
                <w:szCs w:val="16"/>
                <w:lang w:eastAsia="es-AR"/>
              </w:rPr>
            </w:pPr>
            <w:r>
              <w:rPr>
                <w:rFonts w:ascii="Arial" w:hAnsi="Arial" w:cs="Arial"/>
                <w:b/>
                <w:color w:val="000000"/>
                <w:sz w:val="14"/>
                <w:szCs w:val="16"/>
                <w:lang w:eastAsia="es-AR"/>
              </w:rPr>
              <w:t>31/12/2018</w:t>
            </w:r>
          </w:p>
        </w:tc>
      </w:tr>
      <w:tr w:rsidR="00B64F35" w:rsidRPr="00701F32" w14:paraId="40ADACAE" w14:textId="77777777" w:rsidTr="00534414">
        <w:trPr>
          <w:trHeight w:val="261"/>
        </w:trPr>
        <w:tc>
          <w:tcPr>
            <w:tcW w:w="953" w:type="dxa"/>
            <w:tcBorders>
              <w:top w:val="nil"/>
              <w:left w:val="single" w:sz="8" w:space="0" w:color="auto"/>
              <w:bottom w:val="single" w:sz="8" w:space="0" w:color="auto"/>
              <w:right w:val="single" w:sz="8" w:space="0" w:color="auto"/>
            </w:tcBorders>
            <w:shd w:val="clear" w:color="auto" w:fill="auto"/>
            <w:noWrap/>
            <w:vAlign w:val="center"/>
            <w:hideMark/>
          </w:tcPr>
          <w:p w14:paraId="1779796F" w14:textId="77777777" w:rsidR="00B64F35" w:rsidRPr="00701F32" w:rsidRDefault="00B64F35" w:rsidP="007C07F0">
            <w:pPr>
              <w:jc w:val="both"/>
              <w:rPr>
                <w:rFonts w:ascii="Arial" w:hAnsi="Arial" w:cs="Arial"/>
                <w:color w:val="000000"/>
                <w:sz w:val="14"/>
                <w:szCs w:val="16"/>
                <w:lang w:eastAsia="es-AR"/>
              </w:rPr>
            </w:pPr>
            <w:r w:rsidRPr="00701F32">
              <w:rPr>
                <w:rFonts w:ascii="Arial" w:hAnsi="Arial" w:cs="Arial"/>
                <w:color w:val="000000"/>
                <w:sz w:val="14"/>
                <w:szCs w:val="16"/>
                <w:lang w:eastAsia="es-AR"/>
              </w:rPr>
              <w:t>20/08/13</w:t>
            </w:r>
          </w:p>
        </w:tc>
        <w:tc>
          <w:tcPr>
            <w:tcW w:w="728" w:type="dxa"/>
            <w:tcBorders>
              <w:top w:val="nil"/>
              <w:left w:val="nil"/>
              <w:bottom w:val="single" w:sz="8" w:space="0" w:color="auto"/>
              <w:right w:val="single" w:sz="8" w:space="0" w:color="auto"/>
            </w:tcBorders>
            <w:shd w:val="clear" w:color="auto" w:fill="auto"/>
            <w:noWrap/>
            <w:vAlign w:val="center"/>
            <w:hideMark/>
          </w:tcPr>
          <w:p w14:paraId="2A345418" w14:textId="77777777" w:rsidR="00B64F35" w:rsidRPr="00701F32" w:rsidRDefault="00B64F35" w:rsidP="007C07F0">
            <w:pPr>
              <w:jc w:val="both"/>
              <w:rPr>
                <w:rFonts w:ascii="Arial" w:hAnsi="Arial" w:cs="Arial"/>
                <w:color w:val="000000"/>
                <w:sz w:val="14"/>
                <w:szCs w:val="16"/>
                <w:lang w:eastAsia="es-AR"/>
              </w:rPr>
            </w:pPr>
            <w:r w:rsidRPr="00701F32">
              <w:rPr>
                <w:rFonts w:ascii="Arial" w:hAnsi="Arial" w:cs="Arial"/>
                <w:color w:val="000000"/>
                <w:sz w:val="14"/>
                <w:szCs w:val="16"/>
                <w:lang w:eastAsia="es-AR"/>
              </w:rPr>
              <w:t>u$s</w:t>
            </w:r>
          </w:p>
        </w:tc>
        <w:tc>
          <w:tcPr>
            <w:tcW w:w="555" w:type="dxa"/>
            <w:tcBorders>
              <w:top w:val="nil"/>
              <w:left w:val="nil"/>
              <w:bottom w:val="single" w:sz="8" w:space="0" w:color="auto"/>
              <w:right w:val="single" w:sz="8" w:space="0" w:color="auto"/>
            </w:tcBorders>
            <w:shd w:val="clear" w:color="auto" w:fill="auto"/>
            <w:noWrap/>
            <w:vAlign w:val="center"/>
            <w:hideMark/>
          </w:tcPr>
          <w:p w14:paraId="348ADC1C" w14:textId="77777777" w:rsidR="00B64F35" w:rsidRPr="00701F32" w:rsidRDefault="00B64F35" w:rsidP="007C07F0">
            <w:pPr>
              <w:jc w:val="both"/>
              <w:rPr>
                <w:rFonts w:ascii="Arial" w:hAnsi="Arial" w:cs="Arial"/>
                <w:color w:val="000000"/>
                <w:sz w:val="14"/>
                <w:szCs w:val="16"/>
                <w:lang w:eastAsia="es-AR"/>
              </w:rPr>
            </w:pPr>
            <w:r w:rsidRPr="00701F32">
              <w:rPr>
                <w:rFonts w:ascii="Arial" w:hAnsi="Arial" w:cs="Arial"/>
                <w:color w:val="000000"/>
                <w:sz w:val="14"/>
                <w:szCs w:val="16"/>
                <w:lang w:eastAsia="es-AR"/>
              </w:rPr>
              <w:t>III</w:t>
            </w:r>
          </w:p>
        </w:tc>
        <w:tc>
          <w:tcPr>
            <w:tcW w:w="846" w:type="dxa"/>
            <w:tcBorders>
              <w:top w:val="nil"/>
              <w:left w:val="nil"/>
              <w:bottom w:val="single" w:sz="8" w:space="0" w:color="auto"/>
              <w:right w:val="single" w:sz="8" w:space="0" w:color="auto"/>
            </w:tcBorders>
            <w:shd w:val="clear" w:color="auto" w:fill="auto"/>
            <w:noWrap/>
            <w:vAlign w:val="center"/>
            <w:hideMark/>
          </w:tcPr>
          <w:p w14:paraId="4E2AEB46" w14:textId="77777777" w:rsidR="00B64F35" w:rsidRPr="00701F32" w:rsidRDefault="00B64F35" w:rsidP="007C07F0">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22.500</w:t>
            </w:r>
          </w:p>
        </w:tc>
        <w:tc>
          <w:tcPr>
            <w:tcW w:w="1188" w:type="dxa"/>
            <w:tcBorders>
              <w:top w:val="nil"/>
              <w:left w:val="nil"/>
              <w:bottom w:val="single" w:sz="8" w:space="0" w:color="auto"/>
              <w:right w:val="single" w:sz="8" w:space="0" w:color="auto"/>
            </w:tcBorders>
            <w:shd w:val="clear" w:color="auto" w:fill="auto"/>
            <w:vAlign w:val="center"/>
            <w:hideMark/>
          </w:tcPr>
          <w:p w14:paraId="5F90B2BF" w14:textId="77777777" w:rsidR="00B64F35" w:rsidRPr="00701F32" w:rsidRDefault="00B64F35" w:rsidP="00E97E6A">
            <w:pPr>
              <w:jc w:val="center"/>
              <w:rPr>
                <w:rFonts w:ascii="Arial" w:hAnsi="Arial" w:cs="Arial"/>
                <w:color w:val="000000"/>
                <w:sz w:val="14"/>
                <w:szCs w:val="16"/>
                <w:lang w:eastAsia="es-AR"/>
              </w:rPr>
            </w:pPr>
            <w:r w:rsidRPr="00701F32">
              <w:rPr>
                <w:rFonts w:ascii="Arial" w:hAnsi="Arial" w:cs="Arial"/>
                <w:color w:val="000000"/>
                <w:sz w:val="14"/>
                <w:szCs w:val="16"/>
                <w:lang w:eastAsia="es-AR"/>
              </w:rPr>
              <w:t>100% al vto.</w:t>
            </w:r>
          </w:p>
        </w:tc>
        <w:tc>
          <w:tcPr>
            <w:tcW w:w="750" w:type="dxa"/>
            <w:tcBorders>
              <w:top w:val="nil"/>
              <w:left w:val="nil"/>
              <w:bottom w:val="single" w:sz="8" w:space="0" w:color="auto"/>
              <w:right w:val="single" w:sz="8" w:space="0" w:color="auto"/>
            </w:tcBorders>
            <w:shd w:val="clear" w:color="auto" w:fill="auto"/>
            <w:noWrap/>
            <w:vAlign w:val="center"/>
            <w:hideMark/>
          </w:tcPr>
          <w:p w14:paraId="4D262CD1" w14:textId="15274CC1" w:rsidR="00B64F35" w:rsidRPr="00701F32" w:rsidRDefault="00B64F35">
            <w:pPr>
              <w:jc w:val="center"/>
              <w:rPr>
                <w:rFonts w:ascii="Arial" w:hAnsi="Arial" w:cs="Arial"/>
                <w:color w:val="000000"/>
                <w:sz w:val="14"/>
                <w:szCs w:val="16"/>
                <w:lang w:val="es-ES_tradnl" w:eastAsia="es-AR"/>
              </w:rPr>
            </w:pPr>
            <w:r w:rsidRPr="00701F32">
              <w:rPr>
                <w:rFonts w:ascii="Arial" w:hAnsi="Arial" w:cs="Arial"/>
                <w:color w:val="000000"/>
                <w:sz w:val="14"/>
                <w:szCs w:val="16"/>
                <w:lang w:eastAsia="es-AR"/>
              </w:rPr>
              <w:t xml:space="preserve">84 </w:t>
            </w:r>
            <w:r w:rsidR="00AE73E8" w:rsidRPr="00701F32">
              <w:rPr>
                <w:rFonts w:ascii="Arial" w:hAnsi="Arial" w:cs="Arial"/>
                <w:color w:val="000000"/>
                <w:sz w:val="14"/>
                <w:szCs w:val="16"/>
                <w:lang w:eastAsia="es-AR"/>
              </w:rPr>
              <w:t>meses</w:t>
            </w:r>
          </w:p>
        </w:tc>
        <w:tc>
          <w:tcPr>
            <w:tcW w:w="1013" w:type="dxa"/>
            <w:tcBorders>
              <w:top w:val="nil"/>
              <w:left w:val="nil"/>
              <w:bottom w:val="single" w:sz="8" w:space="0" w:color="auto"/>
              <w:right w:val="single" w:sz="8" w:space="0" w:color="auto"/>
            </w:tcBorders>
            <w:shd w:val="clear" w:color="auto" w:fill="auto"/>
            <w:noWrap/>
            <w:vAlign w:val="center"/>
            <w:hideMark/>
          </w:tcPr>
          <w:p w14:paraId="4C922930" w14:textId="77777777" w:rsidR="00B64F35" w:rsidRPr="00701F32" w:rsidRDefault="00B64F35" w:rsidP="007C07F0">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20/08/20</w:t>
            </w:r>
          </w:p>
        </w:tc>
        <w:tc>
          <w:tcPr>
            <w:tcW w:w="820" w:type="dxa"/>
            <w:tcBorders>
              <w:top w:val="nil"/>
              <w:left w:val="nil"/>
              <w:bottom w:val="single" w:sz="8" w:space="0" w:color="auto"/>
              <w:right w:val="single" w:sz="8" w:space="0" w:color="auto"/>
            </w:tcBorders>
            <w:shd w:val="clear" w:color="auto" w:fill="auto"/>
            <w:noWrap/>
            <w:vAlign w:val="center"/>
            <w:hideMark/>
          </w:tcPr>
          <w:p w14:paraId="1E42F96C" w14:textId="77777777" w:rsidR="00B64F35" w:rsidRPr="00701F32" w:rsidRDefault="00B64F35" w:rsidP="007C07F0">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7</w:t>
            </w:r>
          </w:p>
        </w:tc>
        <w:tc>
          <w:tcPr>
            <w:tcW w:w="951" w:type="dxa"/>
            <w:tcBorders>
              <w:top w:val="nil"/>
              <w:left w:val="nil"/>
              <w:bottom w:val="single" w:sz="8" w:space="0" w:color="auto"/>
              <w:right w:val="single" w:sz="8" w:space="0" w:color="auto"/>
            </w:tcBorders>
            <w:shd w:val="clear" w:color="auto" w:fill="auto"/>
            <w:noWrap/>
            <w:vAlign w:val="bottom"/>
          </w:tcPr>
          <w:p w14:paraId="0A6755B1" w14:textId="07322E4B" w:rsidR="00B64F35" w:rsidRPr="00710EB6" w:rsidRDefault="000A1F75">
            <w:pPr>
              <w:jc w:val="right"/>
              <w:rPr>
                <w:rFonts w:ascii="Arial" w:hAnsi="Arial" w:cs="Arial"/>
                <w:color w:val="000000"/>
                <w:sz w:val="14"/>
                <w:szCs w:val="14"/>
                <w:lang w:val="es-ES_tradnl" w:eastAsia="es-AR"/>
              </w:rPr>
            </w:pPr>
            <w:r>
              <w:rPr>
                <w:rFonts w:ascii="Arial" w:hAnsi="Arial" w:cs="Arial"/>
                <w:color w:val="000000"/>
                <w:sz w:val="14"/>
                <w:szCs w:val="14"/>
                <w:lang w:val="es-ES_tradnl" w:eastAsia="es-AR"/>
              </w:rPr>
              <w:t>1.308.192</w:t>
            </w:r>
          </w:p>
        </w:tc>
        <w:tc>
          <w:tcPr>
            <w:tcW w:w="996" w:type="dxa"/>
            <w:tcBorders>
              <w:top w:val="nil"/>
              <w:left w:val="nil"/>
              <w:bottom w:val="single" w:sz="8" w:space="0" w:color="auto"/>
              <w:right w:val="single" w:sz="8" w:space="0" w:color="auto"/>
            </w:tcBorders>
            <w:shd w:val="clear" w:color="auto" w:fill="auto"/>
            <w:noWrap/>
            <w:vAlign w:val="bottom"/>
          </w:tcPr>
          <w:p w14:paraId="394F1648" w14:textId="60856A0B" w:rsidR="00B64F35" w:rsidRPr="006104DE" w:rsidRDefault="00B64F35">
            <w:pPr>
              <w:jc w:val="right"/>
              <w:rPr>
                <w:rFonts w:ascii="Arial" w:hAnsi="Arial" w:cs="Arial"/>
                <w:color w:val="000000"/>
                <w:sz w:val="14"/>
                <w:szCs w:val="14"/>
                <w:lang w:val="es-ES_tradnl" w:eastAsia="es-AR"/>
              </w:rPr>
            </w:pPr>
            <w:r w:rsidRPr="00534414">
              <w:rPr>
                <w:rFonts w:ascii="Arial" w:hAnsi="Arial" w:cs="Arial"/>
                <w:sz w:val="14"/>
                <w:szCs w:val="14"/>
              </w:rPr>
              <w:t>871.571</w:t>
            </w:r>
          </w:p>
        </w:tc>
      </w:tr>
      <w:tr w:rsidR="00B64F35" w:rsidRPr="00701F32" w14:paraId="5AC28450" w14:textId="77777777" w:rsidTr="00534414">
        <w:trPr>
          <w:trHeight w:val="261"/>
        </w:trPr>
        <w:tc>
          <w:tcPr>
            <w:tcW w:w="953" w:type="dxa"/>
            <w:tcBorders>
              <w:top w:val="nil"/>
              <w:left w:val="single" w:sz="8" w:space="0" w:color="auto"/>
              <w:bottom w:val="single" w:sz="8" w:space="0" w:color="auto"/>
              <w:right w:val="single" w:sz="8" w:space="0" w:color="auto"/>
            </w:tcBorders>
            <w:shd w:val="clear" w:color="auto" w:fill="auto"/>
            <w:noWrap/>
            <w:vAlign w:val="center"/>
            <w:hideMark/>
          </w:tcPr>
          <w:p w14:paraId="61C66D52" w14:textId="77777777" w:rsidR="00B64F35" w:rsidRPr="00701F32" w:rsidRDefault="00B64F35" w:rsidP="007C07F0">
            <w:pPr>
              <w:jc w:val="both"/>
              <w:rPr>
                <w:rFonts w:ascii="Arial" w:hAnsi="Arial" w:cs="Arial"/>
                <w:color w:val="000000"/>
                <w:sz w:val="14"/>
                <w:szCs w:val="16"/>
                <w:lang w:eastAsia="es-AR"/>
              </w:rPr>
            </w:pPr>
            <w:r w:rsidRPr="00701F32">
              <w:rPr>
                <w:rFonts w:ascii="Arial" w:hAnsi="Arial" w:cs="Arial"/>
                <w:color w:val="000000"/>
                <w:sz w:val="14"/>
                <w:szCs w:val="16"/>
                <w:lang w:eastAsia="es-AR"/>
              </w:rPr>
              <w:t>18/11/14</w:t>
            </w:r>
          </w:p>
        </w:tc>
        <w:tc>
          <w:tcPr>
            <w:tcW w:w="728" w:type="dxa"/>
            <w:tcBorders>
              <w:top w:val="nil"/>
              <w:left w:val="nil"/>
              <w:bottom w:val="single" w:sz="8" w:space="0" w:color="auto"/>
              <w:right w:val="single" w:sz="8" w:space="0" w:color="auto"/>
            </w:tcBorders>
            <w:shd w:val="clear" w:color="auto" w:fill="auto"/>
            <w:noWrap/>
            <w:vAlign w:val="center"/>
            <w:hideMark/>
          </w:tcPr>
          <w:p w14:paraId="145CC207" w14:textId="77777777" w:rsidR="00B64F35" w:rsidRPr="00701F32" w:rsidRDefault="00B64F35" w:rsidP="007C07F0">
            <w:pPr>
              <w:jc w:val="both"/>
              <w:rPr>
                <w:rFonts w:ascii="Arial" w:hAnsi="Arial" w:cs="Arial"/>
                <w:color w:val="000000"/>
                <w:sz w:val="14"/>
                <w:szCs w:val="16"/>
                <w:lang w:eastAsia="es-AR"/>
              </w:rPr>
            </w:pPr>
            <w:r w:rsidRPr="00701F32">
              <w:rPr>
                <w:rFonts w:ascii="Arial" w:hAnsi="Arial" w:cs="Arial"/>
                <w:color w:val="000000"/>
                <w:sz w:val="14"/>
                <w:szCs w:val="16"/>
                <w:lang w:eastAsia="es-AR"/>
              </w:rPr>
              <w:t>u$s</w:t>
            </w:r>
          </w:p>
        </w:tc>
        <w:tc>
          <w:tcPr>
            <w:tcW w:w="555" w:type="dxa"/>
            <w:tcBorders>
              <w:top w:val="nil"/>
              <w:left w:val="nil"/>
              <w:bottom w:val="single" w:sz="8" w:space="0" w:color="auto"/>
              <w:right w:val="single" w:sz="8" w:space="0" w:color="auto"/>
            </w:tcBorders>
            <w:shd w:val="clear" w:color="auto" w:fill="auto"/>
            <w:noWrap/>
            <w:vAlign w:val="center"/>
            <w:hideMark/>
          </w:tcPr>
          <w:p w14:paraId="458C34D9" w14:textId="77777777" w:rsidR="00B64F35" w:rsidRPr="00701F32" w:rsidRDefault="00B64F35" w:rsidP="007C07F0">
            <w:pPr>
              <w:jc w:val="both"/>
              <w:rPr>
                <w:rFonts w:ascii="Arial" w:hAnsi="Arial" w:cs="Arial"/>
                <w:color w:val="000000"/>
                <w:sz w:val="14"/>
                <w:szCs w:val="16"/>
                <w:lang w:eastAsia="es-AR"/>
              </w:rPr>
            </w:pPr>
            <w:r w:rsidRPr="00701F32">
              <w:rPr>
                <w:rFonts w:ascii="Arial" w:hAnsi="Arial" w:cs="Arial"/>
                <w:color w:val="000000"/>
                <w:sz w:val="14"/>
                <w:szCs w:val="16"/>
                <w:lang w:eastAsia="es-AR"/>
              </w:rPr>
              <w:t>IV</w:t>
            </w:r>
          </w:p>
        </w:tc>
        <w:tc>
          <w:tcPr>
            <w:tcW w:w="846" w:type="dxa"/>
            <w:tcBorders>
              <w:top w:val="nil"/>
              <w:left w:val="nil"/>
              <w:bottom w:val="single" w:sz="8" w:space="0" w:color="auto"/>
              <w:right w:val="single" w:sz="8" w:space="0" w:color="auto"/>
            </w:tcBorders>
            <w:shd w:val="clear" w:color="auto" w:fill="auto"/>
            <w:noWrap/>
            <w:vAlign w:val="center"/>
            <w:hideMark/>
          </w:tcPr>
          <w:p w14:paraId="2ED44C6A" w14:textId="77777777" w:rsidR="00B64F35" w:rsidRPr="00701F32" w:rsidRDefault="00B64F35" w:rsidP="007C07F0">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13.441</w:t>
            </w:r>
          </w:p>
        </w:tc>
        <w:tc>
          <w:tcPr>
            <w:tcW w:w="1188" w:type="dxa"/>
            <w:tcBorders>
              <w:top w:val="nil"/>
              <w:left w:val="nil"/>
              <w:bottom w:val="single" w:sz="8" w:space="0" w:color="auto"/>
              <w:right w:val="single" w:sz="8" w:space="0" w:color="auto"/>
            </w:tcBorders>
            <w:shd w:val="clear" w:color="auto" w:fill="auto"/>
            <w:vAlign w:val="center"/>
            <w:hideMark/>
          </w:tcPr>
          <w:p w14:paraId="21844159" w14:textId="77777777" w:rsidR="00B64F35" w:rsidRPr="00701F32" w:rsidRDefault="00B64F35" w:rsidP="00E97E6A">
            <w:pPr>
              <w:jc w:val="center"/>
              <w:rPr>
                <w:rFonts w:ascii="Arial" w:hAnsi="Arial" w:cs="Arial"/>
                <w:color w:val="000000"/>
                <w:sz w:val="14"/>
                <w:szCs w:val="16"/>
                <w:lang w:eastAsia="es-AR"/>
              </w:rPr>
            </w:pPr>
            <w:r w:rsidRPr="00701F32">
              <w:rPr>
                <w:rFonts w:ascii="Arial" w:hAnsi="Arial" w:cs="Arial"/>
                <w:color w:val="000000"/>
                <w:sz w:val="14"/>
                <w:szCs w:val="16"/>
                <w:lang w:eastAsia="es-AR"/>
              </w:rPr>
              <w:t>100% al vto.</w:t>
            </w:r>
          </w:p>
        </w:tc>
        <w:tc>
          <w:tcPr>
            <w:tcW w:w="750" w:type="dxa"/>
            <w:tcBorders>
              <w:top w:val="nil"/>
              <w:left w:val="nil"/>
              <w:bottom w:val="single" w:sz="8" w:space="0" w:color="auto"/>
              <w:right w:val="single" w:sz="8" w:space="0" w:color="auto"/>
            </w:tcBorders>
            <w:shd w:val="clear" w:color="auto" w:fill="auto"/>
            <w:noWrap/>
            <w:vAlign w:val="center"/>
            <w:hideMark/>
          </w:tcPr>
          <w:p w14:paraId="69CBA7B4" w14:textId="7C98E195" w:rsidR="00B64F35" w:rsidRPr="00701F32" w:rsidRDefault="00B64F35">
            <w:pPr>
              <w:jc w:val="center"/>
              <w:rPr>
                <w:rFonts w:ascii="Arial" w:hAnsi="Arial" w:cs="Arial"/>
                <w:color w:val="000000"/>
                <w:sz w:val="14"/>
                <w:szCs w:val="16"/>
                <w:lang w:val="es-ES_tradnl" w:eastAsia="es-AR"/>
              </w:rPr>
            </w:pPr>
            <w:r w:rsidRPr="00701F32">
              <w:rPr>
                <w:rFonts w:ascii="Arial" w:hAnsi="Arial" w:cs="Arial"/>
                <w:color w:val="000000"/>
                <w:sz w:val="14"/>
                <w:szCs w:val="16"/>
                <w:lang w:eastAsia="es-AR"/>
              </w:rPr>
              <w:t xml:space="preserve">84 </w:t>
            </w:r>
            <w:r w:rsidR="00AE73E8" w:rsidRPr="00701F32">
              <w:rPr>
                <w:rFonts w:ascii="Arial" w:hAnsi="Arial" w:cs="Arial"/>
                <w:color w:val="000000"/>
                <w:sz w:val="14"/>
                <w:szCs w:val="16"/>
                <w:lang w:eastAsia="es-AR"/>
              </w:rPr>
              <w:t>meses</w:t>
            </w:r>
          </w:p>
        </w:tc>
        <w:tc>
          <w:tcPr>
            <w:tcW w:w="1013" w:type="dxa"/>
            <w:tcBorders>
              <w:top w:val="nil"/>
              <w:left w:val="nil"/>
              <w:bottom w:val="single" w:sz="8" w:space="0" w:color="auto"/>
              <w:right w:val="single" w:sz="8" w:space="0" w:color="auto"/>
            </w:tcBorders>
            <w:shd w:val="clear" w:color="auto" w:fill="auto"/>
            <w:noWrap/>
            <w:vAlign w:val="center"/>
            <w:hideMark/>
          </w:tcPr>
          <w:p w14:paraId="44EDA352" w14:textId="77777777" w:rsidR="00B64F35" w:rsidRPr="00701F32" w:rsidRDefault="00B64F35" w:rsidP="007C07F0">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18/11/21</w:t>
            </w:r>
          </w:p>
        </w:tc>
        <w:tc>
          <w:tcPr>
            <w:tcW w:w="820" w:type="dxa"/>
            <w:tcBorders>
              <w:top w:val="nil"/>
              <w:left w:val="nil"/>
              <w:bottom w:val="single" w:sz="8" w:space="0" w:color="auto"/>
              <w:right w:val="single" w:sz="8" w:space="0" w:color="auto"/>
            </w:tcBorders>
            <w:shd w:val="clear" w:color="auto" w:fill="auto"/>
            <w:noWrap/>
            <w:vAlign w:val="center"/>
            <w:hideMark/>
          </w:tcPr>
          <w:p w14:paraId="6B9F4F16" w14:textId="77777777" w:rsidR="00B64F35" w:rsidRPr="00701F32" w:rsidRDefault="00B64F35" w:rsidP="007C07F0">
            <w:pPr>
              <w:jc w:val="right"/>
              <w:rPr>
                <w:rFonts w:ascii="Arial" w:hAnsi="Arial" w:cs="Arial"/>
                <w:color w:val="000000"/>
                <w:sz w:val="14"/>
                <w:szCs w:val="16"/>
                <w:lang w:val="es-ES_tradnl" w:eastAsia="es-AR"/>
              </w:rPr>
            </w:pPr>
            <w:r w:rsidRPr="00701F32">
              <w:rPr>
                <w:rFonts w:ascii="Arial" w:hAnsi="Arial" w:cs="Arial"/>
                <w:color w:val="000000"/>
                <w:sz w:val="14"/>
                <w:szCs w:val="16"/>
                <w:lang w:eastAsia="es-AR"/>
              </w:rPr>
              <w:t>7</w:t>
            </w:r>
          </w:p>
        </w:tc>
        <w:tc>
          <w:tcPr>
            <w:tcW w:w="951" w:type="dxa"/>
            <w:tcBorders>
              <w:top w:val="nil"/>
              <w:left w:val="nil"/>
              <w:bottom w:val="single" w:sz="8" w:space="0" w:color="auto"/>
              <w:right w:val="single" w:sz="8" w:space="0" w:color="auto"/>
            </w:tcBorders>
            <w:shd w:val="clear" w:color="auto" w:fill="auto"/>
            <w:noWrap/>
            <w:vAlign w:val="bottom"/>
          </w:tcPr>
          <w:p w14:paraId="59A9F813" w14:textId="54D4985A" w:rsidR="00B64F35" w:rsidRPr="00710EB6" w:rsidRDefault="000A1F75">
            <w:pPr>
              <w:jc w:val="right"/>
              <w:rPr>
                <w:rFonts w:ascii="Arial" w:hAnsi="Arial" w:cs="Arial"/>
                <w:color w:val="000000"/>
                <w:sz w:val="14"/>
                <w:szCs w:val="14"/>
                <w:lang w:val="es-ES_tradnl" w:eastAsia="es-AR"/>
              </w:rPr>
            </w:pPr>
            <w:r>
              <w:rPr>
                <w:rFonts w:ascii="Arial" w:hAnsi="Arial" w:cs="Arial"/>
                <w:color w:val="000000"/>
                <w:sz w:val="14"/>
                <w:szCs w:val="14"/>
                <w:lang w:val="es-ES_tradnl" w:eastAsia="es-AR"/>
              </w:rPr>
              <w:t>811.696</w:t>
            </w:r>
          </w:p>
        </w:tc>
        <w:tc>
          <w:tcPr>
            <w:tcW w:w="996" w:type="dxa"/>
            <w:tcBorders>
              <w:top w:val="nil"/>
              <w:left w:val="nil"/>
              <w:bottom w:val="single" w:sz="8" w:space="0" w:color="auto"/>
              <w:right w:val="single" w:sz="8" w:space="0" w:color="auto"/>
            </w:tcBorders>
            <w:shd w:val="clear" w:color="auto" w:fill="auto"/>
            <w:noWrap/>
            <w:vAlign w:val="bottom"/>
          </w:tcPr>
          <w:p w14:paraId="689EDF1F" w14:textId="74DD0569" w:rsidR="00B64F35" w:rsidRPr="006104DE" w:rsidRDefault="00B64F35">
            <w:pPr>
              <w:jc w:val="right"/>
              <w:rPr>
                <w:rFonts w:ascii="Arial" w:hAnsi="Arial" w:cs="Arial"/>
                <w:color w:val="000000"/>
                <w:sz w:val="14"/>
                <w:szCs w:val="14"/>
                <w:lang w:val="es-ES_tradnl" w:eastAsia="es-AR"/>
              </w:rPr>
            </w:pPr>
            <w:r w:rsidRPr="00534414">
              <w:rPr>
                <w:rFonts w:ascii="Arial" w:hAnsi="Arial" w:cs="Arial"/>
                <w:sz w:val="14"/>
                <w:szCs w:val="14"/>
              </w:rPr>
              <w:t>512.246</w:t>
            </w:r>
          </w:p>
        </w:tc>
      </w:tr>
      <w:tr w:rsidR="00B64F35" w:rsidRPr="00701F32" w14:paraId="074D792C" w14:textId="77777777" w:rsidTr="00534414">
        <w:trPr>
          <w:trHeight w:val="261"/>
        </w:trPr>
        <w:tc>
          <w:tcPr>
            <w:tcW w:w="6033" w:type="dxa"/>
            <w:gridSpan w:val="7"/>
            <w:tcBorders>
              <w:top w:val="single" w:sz="8" w:space="0" w:color="auto"/>
              <w:left w:val="nil"/>
              <w:bottom w:val="nil"/>
              <w:right w:val="single" w:sz="8" w:space="0" w:color="000000"/>
            </w:tcBorders>
            <w:shd w:val="clear" w:color="auto" w:fill="auto"/>
            <w:noWrap/>
            <w:vAlign w:val="center"/>
          </w:tcPr>
          <w:p w14:paraId="735AD876" w14:textId="77777777" w:rsidR="00B64F35" w:rsidRPr="00701F32" w:rsidRDefault="00B64F35" w:rsidP="007C07F0">
            <w:pPr>
              <w:jc w:val="both"/>
              <w:rPr>
                <w:rFonts w:ascii="Arial" w:hAnsi="Arial" w:cs="Arial"/>
                <w:color w:val="000000"/>
                <w:sz w:val="14"/>
                <w:szCs w:val="16"/>
                <w:lang w:eastAsia="es-AR"/>
              </w:rPr>
            </w:pPr>
          </w:p>
        </w:tc>
        <w:tc>
          <w:tcPr>
            <w:tcW w:w="820" w:type="dxa"/>
            <w:tcBorders>
              <w:top w:val="nil"/>
              <w:left w:val="nil"/>
              <w:bottom w:val="single" w:sz="8" w:space="0" w:color="auto"/>
              <w:right w:val="single" w:sz="8" w:space="0" w:color="auto"/>
            </w:tcBorders>
            <w:shd w:val="clear" w:color="auto" w:fill="auto"/>
            <w:noWrap/>
            <w:vAlign w:val="center"/>
            <w:hideMark/>
          </w:tcPr>
          <w:p w14:paraId="7F2F1A2E" w14:textId="77777777" w:rsidR="00B64F35" w:rsidRPr="00701F32" w:rsidRDefault="00B64F35" w:rsidP="007C07F0">
            <w:pPr>
              <w:jc w:val="both"/>
              <w:rPr>
                <w:rFonts w:ascii="Arial" w:hAnsi="Arial" w:cs="Arial"/>
                <w:b/>
                <w:bCs/>
                <w:color w:val="000000"/>
                <w:sz w:val="14"/>
                <w:szCs w:val="16"/>
                <w:lang w:eastAsia="es-AR"/>
              </w:rPr>
            </w:pPr>
            <w:r w:rsidRPr="00701F32">
              <w:rPr>
                <w:rFonts w:ascii="Arial" w:hAnsi="Arial" w:cs="Arial"/>
                <w:b/>
                <w:bCs/>
                <w:color w:val="000000"/>
                <w:sz w:val="14"/>
                <w:szCs w:val="16"/>
                <w:lang w:eastAsia="es-AR"/>
              </w:rPr>
              <w:t>Total</w:t>
            </w:r>
          </w:p>
        </w:tc>
        <w:tc>
          <w:tcPr>
            <w:tcW w:w="951" w:type="dxa"/>
            <w:tcBorders>
              <w:top w:val="nil"/>
              <w:left w:val="nil"/>
              <w:bottom w:val="single" w:sz="8" w:space="0" w:color="auto"/>
              <w:right w:val="single" w:sz="8" w:space="0" w:color="auto"/>
            </w:tcBorders>
            <w:shd w:val="clear" w:color="auto" w:fill="auto"/>
            <w:noWrap/>
            <w:vAlign w:val="bottom"/>
          </w:tcPr>
          <w:p w14:paraId="4D0C4588" w14:textId="4E70402B" w:rsidR="00B64F35" w:rsidRPr="00B64F35" w:rsidRDefault="000A1F75">
            <w:pPr>
              <w:jc w:val="right"/>
              <w:rPr>
                <w:rFonts w:ascii="Arial" w:hAnsi="Arial" w:cs="Arial"/>
                <w:b/>
                <w:bCs/>
                <w:color w:val="000000"/>
                <w:sz w:val="14"/>
                <w:szCs w:val="14"/>
                <w:lang w:val="es-ES_tradnl" w:eastAsia="es-AR"/>
              </w:rPr>
            </w:pPr>
            <w:r>
              <w:rPr>
                <w:rFonts w:ascii="Arial" w:hAnsi="Arial" w:cs="Arial"/>
                <w:b/>
                <w:bCs/>
                <w:color w:val="000000"/>
                <w:sz w:val="14"/>
                <w:szCs w:val="14"/>
                <w:lang w:val="es-ES_tradnl" w:eastAsia="es-AR"/>
              </w:rPr>
              <w:t>2.119.888</w:t>
            </w:r>
          </w:p>
        </w:tc>
        <w:tc>
          <w:tcPr>
            <w:tcW w:w="996" w:type="dxa"/>
            <w:tcBorders>
              <w:top w:val="nil"/>
              <w:left w:val="nil"/>
              <w:bottom w:val="single" w:sz="8" w:space="0" w:color="auto"/>
              <w:right w:val="single" w:sz="8" w:space="0" w:color="auto"/>
            </w:tcBorders>
            <w:shd w:val="clear" w:color="auto" w:fill="auto"/>
            <w:noWrap/>
            <w:vAlign w:val="bottom"/>
          </w:tcPr>
          <w:p w14:paraId="6AD43EC2" w14:textId="5E484822" w:rsidR="00B64F35" w:rsidRPr="00B64F35" w:rsidRDefault="00B64F35">
            <w:pPr>
              <w:jc w:val="right"/>
              <w:rPr>
                <w:rFonts w:ascii="Arial" w:hAnsi="Arial" w:cs="Arial"/>
                <w:b/>
                <w:bCs/>
                <w:color w:val="000000"/>
                <w:sz w:val="14"/>
                <w:szCs w:val="14"/>
                <w:lang w:val="es-ES_tradnl" w:eastAsia="es-AR"/>
              </w:rPr>
            </w:pPr>
            <w:r w:rsidRPr="00534414">
              <w:rPr>
                <w:rFonts w:ascii="Arial" w:hAnsi="Arial" w:cs="Arial"/>
                <w:b/>
                <w:sz w:val="14"/>
                <w:szCs w:val="14"/>
              </w:rPr>
              <w:t>1.383.817</w:t>
            </w:r>
          </w:p>
        </w:tc>
      </w:tr>
    </w:tbl>
    <w:p w14:paraId="422E4C26" w14:textId="77777777" w:rsidR="00656E62" w:rsidRPr="00701F32" w:rsidRDefault="00656E62" w:rsidP="00656E62">
      <w:pPr>
        <w:pStyle w:val="Sinespaciado"/>
        <w:jc w:val="both"/>
        <w:rPr>
          <w:rFonts w:ascii="Arial" w:hAnsi="Arial" w:cs="Arial"/>
          <w:sz w:val="20"/>
          <w:szCs w:val="20"/>
          <w:lang w:val="es-PE"/>
        </w:rPr>
      </w:pPr>
    </w:p>
    <w:p w14:paraId="0AAECE78" w14:textId="2E71A262" w:rsidR="00656E62" w:rsidRPr="00701F32" w:rsidRDefault="00CA4B7E" w:rsidP="00656E62">
      <w:pPr>
        <w:tabs>
          <w:tab w:val="left" w:pos="142"/>
        </w:tabs>
        <w:jc w:val="both"/>
        <w:rPr>
          <w:rFonts w:ascii="Arial" w:hAnsi="Arial" w:cs="Arial"/>
          <w:b/>
          <w:sz w:val="20"/>
        </w:rPr>
      </w:pPr>
      <w:r>
        <w:rPr>
          <w:rFonts w:ascii="Arial" w:hAnsi="Arial" w:cs="Arial"/>
          <w:b/>
          <w:sz w:val="20"/>
        </w:rPr>
        <w:t>14</w:t>
      </w:r>
      <w:r w:rsidR="00656E62" w:rsidRPr="00701F32">
        <w:rPr>
          <w:rFonts w:ascii="Arial" w:hAnsi="Arial" w:cs="Arial"/>
          <w:b/>
          <w:sz w:val="20"/>
        </w:rPr>
        <w:t>.9 Restricciones para la distribución de utilidades</w:t>
      </w:r>
    </w:p>
    <w:p w14:paraId="6F338D89" w14:textId="77777777" w:rsidR="00656E62" w:rsidRPr="00701F32" w:rsidRDefault="00656E62" w:rsidP="00656E62">
      <w:pPr>
        <w:tabs>
          <w:tab w:val="left" w:pos="142"/>
        </w:tabs>
        <w:jc w:val="both"/>
        <w:rPr>
          <w:rFonts w:ascii="Arial" w:hAnsi="Arial" w:cs="Arial"/>
          <w:b/>
          <w:sz w:val="20"/>
        </w:rPr>
      </w:pPr>
    </w:p>
    <w:p w14:paraId="663D0772" w14:textId="77777777" w:rsidR="00DE221E" w:rsidRPr="00701F32" w:rsidRDefault="00DE221E" w:rsidP="00DE221E">
      <w:pPr>
        <w:tabs>
          <w:tab w:val="left" w:pos="142"/>
        </w:tabs>
        <w:jc w:val="both"/>
        <w:rPr>
          <w:rFonts w:ascii="Arial" w:hAnsi="Arial" w:cs="Arial"/>
          <w:sz w:val="20"/>
        </w:rPr>
      </w:pPr>
      <w:r w:rsidRPr="00701F32">
        <w:rPr>
          <w:rFonts w:ascii="Arial" w:hAnsi="Arial" w:cs="Arial"/>
          <w:sz w:val="20"/>
        </w:rPr>
        <w:t>Conforme a las regulaciones establecidas por el B.C.R.A., corresponde asignar a reserva legal el 20% de las utilidades del ejercicio netas de los eventuales ajustes de ejercicios anteriores, en caso de corresponder.</w:t>
      </w:r>
    </w:p>
    <w:p w14:paraId="4E538844" w14:textId="77777777" w:rsidR="00DE221E" w:rsidRPr="00701F32" w:rsidRDefault="00DE221E" w:rsidP="00DE221E">
      <w:pPr>
        <w:tabs>
          <w:tab w:val="left" w:pos="142"/>
        </w:tabs>
        <w:jc w:val="both"/>
        <w:rPr>
          <w:rFonts w:ascii="Arial" w:hAnsi="Arial" w:cs="Arial"/>
          <w:sz w:val="20"/>
        </w:rPr>
      </w:pPr>
    </w:p>
    <w:p w14:paraId="759F6919" w14:textId="77777777" w:rsidR="00DE221E" w:rsidRPr="00701F32" w:rsidRDefault="00DE221E" w:rsidP="00DE221E">
      <w:pPr>
        <w:tabs>
          <w:tab w:val="left" w:pos="142"/>
        </w:tabs>
        <w:jc w:val="both"/>
        <w:rPr>
          <w:rFonts w:ascii="Arial" w:hAnsi="Arial" w:cs="Arial"/>
          <w:sz w:val="20"/>
        </w:rPr>
      </w:pPr>
      <w:r w:rsidRPr="00701F32">
        <w:rPr>
          <w:rFonts w:ascii="Arial" w:hAnsi="Arial" w:cs="Arial"/>
          <w:sz w:val="20"/>
        </w:rPr>
        <w:t>Según lo estipulado en el texto ordenado sobre distribución de resultados, las entidades financieras deberán dar cumplimiento a una serie de requerimientos entre los que se destacan: i) No encontrarse alcanzada por las disposiciones de los artículos 34 y 35 bis de la Ley de Entidades Financieras, ii) No registrar asistencia por iliquidez, iii) No presentar atrasos o incumplimientos en los regímenes informativos, iv) No registrar deficiencias de integración de capital mínimo (sin computar a tales fines los efectos de las franquicias otorgadas por la Superintendencia de Entidades Financieras y Cambiarias) o de efectivo mínimo, v) haber dado cumplimiento a los márgenes adicionales de capital que les sean de aplicación.</w:t>
      </w:r>
    </w:p>
    <w:p w14:paraId="7F8FE076" w14:textId="77777777" w:rsidR="00DE221E" w:rsidRPr="00701F32" w:rsidRDefault="00DE221E" w:rsidP="00DE221E">
      <w:pPr>
        <w:tabs>
          <w:tab w:val="left" w:pos="142"/>
        </w:tabs>
        <w:jc w:val="both"/>
        <w:rPr>
          <w:rFonts w:ascii="Arial" w:hAnsi="Arial" w:cs="Arial"/>
          <w:sz w:val="20"/>
        </w:rPr>
      </w:pPr>
    </w:p>
    <w:p w14:paraId="4DA2FCC9" w14:textId="77777777" w:rsidR="00DE221E" w:rsidRDefault="00DE221E" w:rsidP="00DE221E">
      <w:pPr>
        <w:tabs>
          <w:tab w:val="left" w:pos="142"/>
        </w:tabs>
        <w:jc w:val="both"/>
        <w:rPr>
          <w:rFonts w:ascii="Arial" w:hAnsi="Arial" w:cs="Arial"/>
          <w:sz w:val="20"/>
        </w:rPr>
      </w:pPr>
      <w:r w:rsidRPr="00701F32">
        <w:rPr>
          <w:rFonts w:ascii="Arial" w:hAnsi="Arial" w:cs="Arial"/>
          <w:sz w:val="20"/>
        </w:rPr>
        <w:t>Las entidades no comprendidas en algunas de estas situaciones podrán distribuir resultados con arreglo a las regulaciones establecidas en dicho texto ordenado, siempre y cuando no se comprometa la liquidez y solvencia de la entidad</w:t>
      </w:r>
      <w:r>
        <w:rPr>
          <w:rFonts w:ascii="Arial" w:hAnsi="Arial" w:cs="Arial"/>
          <w:sz w:val="20"/>
        </w:rPr>
        <w:t>.</w:t>
      </w:r>
    </w:p>
    <w:p w14:paraId="00C896D8" w14:textId="77777777" w:rsidR="00DE221E" w:rsidRPr="00701F32" w:rsidRDefault="00DE221E" w:rsidP="00DE221E">
      <w:pPr>
        <w:tabs>
          <w:tab w:val="left" w:pos="142"/>
        </w:tabs>
        <w:jc w:val="both"/>
        <w:rPr>
          <w:rFonts w:ascii="Arial" w:hAnsi="Arial" w:cs="Arial"/>
          <w:sz w:val="20"/>
        </w:rPr>
      </w:pPr>
    </w:p>
    <w:p w14:paraId="2A4F9E8F" w14:textId="77777777" w:rsidR="00DE221E" w:rsidRDefault="00DE221E" w:rsidP="00DE221E">
      <w:pPr>
        <w:jc w:val="both"/>
        <w:rPr>
          <w:rFonts w:ascii="Arial" w:hAnsi="Arial" w:cs="Arial"/>
          <w:sz w:val="20"/>
        </w:rPr>
      </w:pPr>
      <w:r>
        <w:rPr>
          <w:rFonts w:ascii="Arial" w:hAnsi="Arial" w:cs="Arial"/>
          <w:sz w:val="20"/>
        </w:rPr>
        <w:t xml:space="preserve">A </w:t>
      </w:r>
      <w:r w:rsidRPr="00701F32">
        <w:rPr>
          <w:rFonts w:ascii="Arial" w:hAnsi="Arial" w:cs="Arial"/>
          <w:sz w:val="20"/>
        </w:rPr>
        <w:t>través de la Comunicación “A” 6464 el B.C.R.A. estableció que hasta el 31 de marzo de 2020 deberán contar con la autorización previa de la SEFyC para la distribución de resultados las entidades financieras que, para determinar el resultado distribuible, no hayan incrementado los márgenes de conservación de capital en 1 punto porcentual adicional a lo establecido en las normas.</w:t>
      </w:r>
    </w:p>
    <w:p w14:paraId="4B828F5E" w14:textId="77777777" w:rsidR="00DE221E" w:rsidRDefault="00DE221E" w:rsidP="00DE221E">
      <w:pPr>
        <w:rPr>
          <w:rFonts w:ascii="Arial" w:hAnsi="Arial" w:cs="Arial"/>
          <w:sz w:val="20"/>
        </w:rPr>
      </w:pPr>
    </w:p>
    <w:p w14:paraId="2F8A26C0" w14:textId="0207D55E" w:rsidR="00721980" w:rsidRDefault="00DE221E" w:rsidP="00DE221E">
      <w:pPr>
        <w:tabs>
          <w:tab w:val="left" w:pos="142"/>
        </w:tabs>
        <w:jc w:val="both"/>
        <w:rPr>
          <w:rFonts w:ascii="Arial" w:hAnsi="Arial" w:cs="Arial"/>
          <w:sz w:val="20"/>
        </w:rPr>
      </w:pPr>
      <w:r>
        <w:rPr>
          <w:rFonts w:ascii="Arial" w:hAnsi="Arial" w:cs="Arial"/>
          <w:sz w:val="20"/>
        </w:rPr>
        <w:t xml:space="preserve">En fecha 30 de agosto de 2019 y con el objetivo de </w:t>
      </w:r>
      <w:r w:rsidRPr="00963114">
        <w:rPr>
          <w:rFonts w:ascii="Arial" w:hAnsi="Arial" w:cs="Arial"/>
          <w:sz w:val="20"/>
        </w:rPr>
        <w:t>estabilizar el mercado cambiario</w:t>
      </w:r>
      <w:r>
        <w:rPr>
          <w:rFonts w:ascii="Arial" w:hAnsi="Arial" w:cs="Arial"/>
          <w:sz w:val="20"/>
        </w:rPr>
        <w:t xml:space="preserve">, el B.C.R.A. dispuso mediante la Comunicación “A” 6768 que </w:t>
      </w:r>
      <w:r w:rsidRPr="00963114">
        <w:rPr>
          <w:rFonts w:ascii="Arial" w:hAnsi="Arial" w:cs="Arial"/>
          <w:sz w:val="20"/>
        </w:rPr>
        <w:t xml:space="preserve">las entidades financieras </w:t>
      </w:r>
      <w:r>
        <w:rPr>
          <w:rFonts w:ascii="Arial" w:hAnsi="Arial" w:cs="Arial"/>
          <w:sz w:val="20"/>
        </w:rPr>
        <w:t xml:space="preserve">para proceder a la </w:t>
      </w:r>
      <w:r w:rsidRPr="002E2271">
        <w:rPr>
          <w:rFonts w:ascii="Arial" w:hAnsi="Arial" w:cs="Arial"/>
          <w:sz w:val="20"/>
        </w:rPr>
        <w:t xml:space="preserve">distribución de sus resultados deberán contar con la autorización previa de la Superintendencia de Entidades Financieras y Cambiarias.  En dicho proceso de autorización la Entidad de Contralor tendrá en consideración, entre otros </w:t>
      </w:r>
      <w:r w:rsidRPr="00B85DD7">
        <w:rPr>
          <w:rFonts w:ascii="Arial" w:hAnsi="Arial" w:cs="Arial"/>
          <w:sz w:val="20"/>
        </w:rPr>
        <w:t>elementos, los potenciales efectos de la aplicación de las normas internacionales de contabilidad según Comunicación "A" 6430 (Punto 5.5. de NIIF 9 - Deterioro de valor de activos financieros) como también los efectos de la reexpresión de estados financieros prevista por la Comunicación "A" 6651.</w:t>
      </w:r>
    </w:p>
    <w:p w14:paraId="75720901" w14:textId="77777777" w:rsidR="00CA279F" w:rsidRDefault="00CA279F" w:rsidP="00DE221E">
      <w:pPr>
        <w:tabs>
          <w:tab w:val="left" w:pos="142"/>
        </w:tabs>
        <w:jc w:val="both"/>
        <w:rPr>
          <w:rFonts w:ascii="Arial" w:hAnsi="Arial" w:cs="Arial"/>
          <w:sz w:val="20"/>
        </w:rPr>
      </w:pPr>
    </w:p>
    <w:p w14:paraId="01911679" w14:textId="00E68990" w:rsidR="00CA279F" w:rsidRPr="005A1F48" w:rsidRDefault="00CA279F" w:rsidP="00DE221E">
      <w:pPr>
        <w:tabs>
          <w:tab w:val="left" w:pos="142"/>
        </w:tabs>
        <w:jc w:val="both"/>
        <w:rPr>
          <w:rFonts w:ascii="Arial" w:hAnsi="Arial" w:cs="Arial"/>
          <w:sz w:val="20"/>
        </w:rPr>
      </w:pPr>
      <w:r w:rsidRPr="00256DE1">
        <w:rPr>
          <w:rFonts w:ascii="Arial" w:hAnsi="Arial" w:cs="Arial"/>
          <w:sz w:val="20"/>
        </w:rPr>
        <w:t>Adicionalmente, el Banco se encuentra restringido para distribuir utilidades por el incumplimiento de determinados covenants financieros, mencionados en nota 2</w:t>
      </w:r>
      <w:r>
        <w:rPr>
          <w:rFonts w:ascii="Arial" w:hAnsi="Arial" w:cs="Arial"/>
          <w:sz w:val="20"/>
        </w:rPr>
        <w:t>6</w:t>
      </w:r>
      <w:r w:rsidRPr="00256DE1">
        <w:rPr>
          <w:rFonts w:ascii="Arial" w:hAnsi="Arial" w:cs="Arial"/>
          <w:sz w:val="20"/>
        </w:rPr>
        <w:t>.</w:t>
      </w:r>
    </w:p>
    <w:p w14:paraId="6133F31F" w14:textId="6AB89F90" w:rsidR="00861D9E" w:rsidRDefault="00861D9E" w:rsidP="00066653">
      <w:pPr>
        <w:tabs>
          <w:tab w:val="left" w:pos="142"/>
        </w:tabs>
        <w:jc w:val="both"/>
      </w:pPr>
    </w:p>
    <w:p w14:paraId="66C0407D" w14:textId="77777777" w:rsidR="00B2136F" w:rsidRDefault="00B2136F">
      <w:pPr>
        <w:rPr>
          <w:rFonts w:ascii="Arial" w:hAnsi="Arial" w:cs="Arial"/>
          <w:b/>
          <w:sz w:val="20"/>
        </w:rPr>
      </w:pPr>
      <w:r>
        <w:rPr>
          <w:rFonts w:ascii="Arial" w:hAnsi="Arial" w:cs="Arial"/>
          <w:b/>
          <w:sz w:val="20"/>
        </w:rPr>
        <w:br w:type="page"/>
      </w:r>
    </w:p>
    <w:p w14:paraId="76446CB2" w14:textId="2D8F1FB5" w:rsidR="00A9135D" w:rsidRDefault="00A9135D" w:rsidP="00A9135D">
      <w:pPr>
        <w:tabs>
          <w:tab w:val="left" w:pos="142"/>
        </w:tabs>
        <w:jc w:val="both"/>
        <w:rPr>
          <w:rFonts w:ascii="Arial" w:hAnsi="Arial" w:cs="Arial"/>
          <w:b/>
          <w:sz w:val="20"/>
        </w:rPr>
      </w:pPr>
      <w:r>
        <w:rPr>
          <w:rFonts w:ascii="Arial" w:hAnsi="Arial" w:cs="Arial"/>
          <w:b/>
          <w:sz w:val="20"/>
        </w:rPr>
        <w:t>1</w:t>
      </w:r>
      <w:r w:rsidR="00C902C8">
        <w:rPr>
          <w:rFonts w:ascii="Arial" w:hAnsi="Arial" w:cs="Arial"/>
          <w:b/>
          <w:sz w:val="20"/>
        </w:rPr>
        <w:t>4</w:t>
      </w:r>
      <w:r>
        <w:rPr>
          <w:rFonts w:ascii="Arial" w:hAnsi="Arial" w:cs="Arial"/>
          <w:b/>
          <w:sz w:val="20"/>
        </w:rPr>
        <w:t>.10 Gestión de capital y política de transparencia en materia de Gobierno Societario</w:t>
      </w:r>
    </w:p>
    <w:p w14:paraId="3A0AE545" w14:textId="77777777" w:rsidR="00A9135D" w:rsidRDefault="00A9135D" w:rsidP="00A9135D">
      <w:pPr>
        <w:tabs>
          <w:tab w:val="left" w:pos="142"/>
        </w:tabs>
        <w:jc w:val="both"/>
        <w:rPr>
          <w:rFonts w:ascii="Arial" w:hAnsi="Arial" w:cs="Arial"/>
          <w:b/>
          <w:sz w:val="20"/>
        </w:rPr>
      </w:pPr>
    </w:p>
    <w:p w14:paraId="4F0A649A" w14:textId="77777777" w:rsidR="00A9135D" w:rsidRPr="00C84814" w:rsidRDefault="00A9135D" w:rsidP="00A9135D">
      <w:pPr>
        <w:jc w:val="both"/>
        <w:rPr>
          <w:rFonts w:ascii="Arial" w:hAnsi="Arial" w:cs="Arial"/>
          <w:sz w:val="20"/>
          <w:lang w:val="es-ES"/>
        </w:rPr>
      </w:pPr>
      <w:r w:rsidRPr="00C84814">
        <w:rPr>
          <w:rFonts w:ascii="Arial" w:hAnsi="Arial" w:cs="Arial"/>
          <w:sz w:val="20"/>
          <w:lang w:val="es-ES"/>
        </w:rPr>
        <w:t>El gobierno corporativo es la manera en que las sociedades son administradas, es decir, la forma en la cual el directorio y la alta gerencia dirigen las actividades y negocios de la Entidad. El gobierno corporativo también se ocupa de los derechos y responsabilidades del directorio, la alta gerencia, accionistas e inversores en general de la sociedad.</w:t>
      </w:r>
    </w:p>
    <w:p w14:paraId="5CC24E4C" w14:textId="77777777" w:rsidR="00A9135D" w:rsidRPr="00C84814" w:rsidRDefault="00A9135D" w:rsidP="00A9135D">
      <w:pPr>
        <w:jc w:val="both"/>
        <w:rPr>
          <w:rFonts w:ascii="Arial" w:hAnsi="Arial" w:cs="Arial"/>
          <w:sz w:val="20"/>
          <w:lang w:val="es-ES"/>
        </w:rPr>
      </w:pPr>
    </w:p>
    <w:p w14:paraId="25429819" w14:textId="77777777" w:rsidR="00A9135D" w:rsidRPr="00C84814" w:rsidRDefault="00A9135D" w:rsidP="00A9135D">
      <w:pPr>
        <w:jc w:val="both"/>
        <w:rPr>
          <w:rFonts w:ascii="Arial" w:hAnsi="Arial" w:cs="Arial"/>
          <w:bCs/>
          <w:sz w:val="20"/>
          <w:lang w:val="es-ES"/>
        </w:rPr>
      </w:pPr>
      <w:r w:rsidRPr="00C84814">
        <w:rPr>
          <w:rFonts w:ascii="Arial" w:hAnsi="Arial" w:cs="Arial"/>
          <w:sz w:val="20"/>
          <w:lang w:val="es-ES"/>
        </w:rPr>
        <w:t>Bajo este sistema de gestión, las mejores prácticas de gobierno corporativo se vinculan con acciones tendientes a la transparencia y respeto con los accionistas y con tareas relacionadas con la responsabilidad corporativa, procurando integrar los aspectos económico-financieros, sociales y ambientales.</w:t>
      </w:r>
    </w:p>
    <w:p w14:paraId="06D1AC6F" w14:textId="77777777" w:rsidR="00A9135D" w:rsidRPr="00C84814" w:rsidRDefault="00A9135D" w:rsidP="00A9135D">
      <w:pPr>
        <w:jc w:val="both"/>
        <w:rPr>
          <w:rFonts w:ascii="Arial" w:hAnsi="Arial" w:cs="Arial"/>
          <w:bCs/>
          <w:sz w:val="20"/>
          <w:lang w:val="es-ES"/>
        </w:rPr>
      </w:pPr>
    </w:p>
    <w:p w14:paraId="34D0DE64" w14:textId="77777777" w:rsidR="00A9135D" w:rsidRPr="00C84814" w:rsidRDefault="00A9135D" w:rsidP="00A9135D">
      <w:pPr>
        <w:jc w:val="both"/>
        <w:rPr>
          <w:rFonts w:ascii="Arial" w:hAnsi="Arial" w:cs="Arial"/>
          <w:bCs/>
          <w:sz w:val="20"/>
          <w:lang w:val="es-ES"/>
        </w:rPr>
      </w:pPr>
      <w:r w:rsidRPr="00C84814">
        <w:rPr>
          <w:rFonts w:ascii="Arial" w:hAnsi="Arial" w:cs="Arial"/>
          <w:bCs/>
          <w:sz w:val="20"/>
          <w:lang w:val="es-ES"/>
        </w:rPr>
        <w:t>La Entidad otorga una importante ponderación al diseño de su estructura de gobierno corporativo, actuando en línea con las mejores prácticas y estándares vigentes.</w:t>
      </w:r>
    </w:p>
    <w:p w14:paraId="4BF0616B" w14:textId="77777777" w:rsidR="00A9135D" w:rsidRPr="00C84814" w:rsidRDefault="00A9135D" w:rsidP="00A9135D">
      <w:pPr>
        <w:jc w:val="both"/>
        <w:rPr>
          <w:rFonts w:ascii="Arial" w:hAnsi="Arial" w:cs="Arial"/>
          <w:bCs/>
          <w:sz w:val="20"/>
          <w:lang w:val="es-ES"/>
        </w:rPr>
      </w:pPr>
    </w:p>
    <w:p w14:paraId="5FD61D76" w14:textId="77777777" w:rsidR="00A9135D" w:rsidRPr="00C84814" w:rsidRDefault="00A9135D" w:rsidP="00A9135D">
      <w:pPr>
        <w:shd w:val="clear" w:color="auto" w:fill="FFFFFF"/>
        <w:jc w:val="both"/>
        <w:rPr>
          <w:rFonts w:ascii="Arial" w:hAnsi="Arial" w:cs="Arial"/>
          <w:sz w:val="20"/>
        </w:rPr>
      </w:pPr>
      <w:r w:rsidRPr="00C84814">
        <w:rPr>
          <w:rFonts w:ascii="Arial" w:hAnsi="Arial" w:cs="Arial"/>
          <w:sz w:val="20"/>
        </w:rPr>
        <w:t>Banco Supervielle es una sociedad anónima sujeta a la Ley General de Sociedades No. 19.550 y a la Ley de Entidades Financieras y Cambiarias No. 21.526, sus complementarias y modificatorias, regulada y supervisada por el Banco Central de la República Argentina (“BCRA”) en el marco de la normativa establecida por dicho organismo. Asimismo, el Banco se encuentra admitida como sociedad “emisora” al régimen de oferta pública de deuda, sujeta a las regulaciones emitidas por la Comisión Nacional de Valores (“CNV”).</w:t>
      </w:r>
    </w:p>
    <w:p w14:paraId="34351EAB" w14:textId="77777777" w:rsidR="00A9135D" w:rsidRPr="00C84814" w:rsidRDefault="00A9135D" w:rsidP="00A9135D">
      <w:pPr>
        <w:shd w:val="clear" w:color="auto" w:fill="FFFFFF"/>
        <w:jc w:val="both"/>
        <w:rPr>
          <w:rFonts w:ascii="Arial" w:hAnsi="Arial" w:cs="Arial"/>
          <w:sz w:val="20"/>
        </w:rPr>
      </w:pPr>
    </w:p>
    <w:p w14:paraId="74E6680D" w14:textId="77777777" w:rsidR="00A9135D" w:rsidRPr="00C84814" w:rsidRDefault="00A9135D" w:rsidP="00A9135D">
      <w:pPr>
        <w:shd w:val="clear" w:color="auto" w:fill="FFFFFF"/>
        <w:jc w:val="both"/>
        <w:rPr>
          <w:rFonts w:ascii="Arial" w:hAnsi="Arial" w:cs="Arial"/>
          <w:sz w:val="20"/>
        </w:rPr>
      </w:pPr>
      <w:r w:rsidRPr="00C84814">
        <w:rPr>
          <w:rFonts w:ascii="Arial" w:hAnsi="Arial" w:cs="Arial"/>
          <w:sz w:val="20"/>
        </w:rPr>
        <w:t>Por lo tanto, el Código de Gobierno Corporativo de Banco Supervielle cuenta con los lineamientos para el gobierno societario en entidades financieras establecidos por la Comunicación A 5201 del BCRA y adhiere a los lineamientos y mejores prácticas en la materia contenidos en las normas de la CNV en las que se incorporan conceptos de buen gobierno corporativo a la gestión empresarial bajo la forma de lineamientos o recomendaciones que buscan darle transparencia. La CNV requiere informar si la sociedad cumple totalmente los principios y recomendaciones enunciadas y, en caso de no hacerlo, se expliquen las razones por las cuales cumple parcialmente o no cumple tales recomendaciones.</w:t>
      </w:r>
    </w:p>
    <w:p w14:paraId="4632A412" w14:textId="77777777" w:rsidR="00A9135D" w:rsidRPr="00C84814" w:rsidRDefault="00A9135D" w:rsidP="00A9135D">
      <w:pPr>
        <w:jc w:val="both"/>
        <w:rPr>
          <w:rFonts w:ascii="Arial" w:hAnsi="Arial" w:cs="Arial"/>
          <w:bCs/>
          <w:sz w:val="20"/>
        </w:rPr>
      </w:pPr>
    </w:p>
    <w:p w14:paraId="1FCD2F5E" w14:textId="77777777" w:rsidR="00A9135D" w:rsidRPr="00C84814" w:rsidRDefault="00A9135D" w:rsidP="00A9135D">
      <w:pPr>
        <w:shd w:val="clear" w:color="auto" w:fill="FFFFFF"/>
        <w:jc w:val="both"/>
        <w:rPr>
          <w:rFonts w:ascii="Arial" w:hAnsi="Arial" w:cs="Arial"/>
          <w:sz w:val="20"/>
          <w:lang w:val="es-ES"/>
        </w:rPr>
      </w:pPr>
      <w:r w:rsidRPr="00C84814">
        <w:rPr>
          <w:rFonts w:ascii="Arial" w:hAnsi="Arial" w:cs="Arial"/>
          <w:bCs/>
          <w:sz w:val="20"/>
          <w:lang w:val="es-ES"/>
        </w:rPr>
        <w:t xml:space="preserve">El Código de Gobierno Corporativo establece los objetivos primordiales que </w:t>
      </w:r>
      <w:r w:rsidRPr="00C84814">
        <w:rPr>
          <w:rFonts w:ascii="Arial" w:hAnsi="Arial" w:cs="Arial"/>
          <w:sz w:val="20"/>
          <w:lang w:val="es-ES"/>
        </w:rPr>
        <w:t xml:space="preserve">el Directorio y la Alta Gerencia deberán seguir en el cumplimiento de sus actividades y negocios, a saber: </w:t>
      </w:r>
    </w:p>
    <w:p w14:paraId="1D9EE10C" w14:textId="77777777" w:rsidR="00A9135D" w:rsidRPr="00C84814" w:rsidRDefault="00A9135D" w:rsidP="00A9135D">
      <w:pPr>
        <w:shd w:val="clear" w:color="auto" w:fill="FFFFFF"/>
        <w:jc w:val="both"/>
        <w:rPr>
          <w:rFonts w:ascii="Arial" w:hAnsi="Arial" w:cs="Arial"/>
          <w:sz w:val="20"/>
          <w:lang w:val="es-ES"/>
        </w:rPr>
      </w:pPr>
    </w:p>
    <w:p w14:paraId="732C502A" w14:textId="77777777" w:rsidR="00A9135D" w:rsidRPr="00C84814" w:rsidRDefault="00A9135D" w:rsidP="00A9135D">
      <w:pPr>
        <w:numPr>
          <w:ilvl w:val="0"/>
          <w:numId w:val="56"/>
        </w:numPr>
        <w:shd w:val="clear" w:color="auto" w:fill="FFFFFF"/>
        <w:tabs>
          <w:tab w:val="num" w:pos="-357"/>
        </w:tabs>
        <w:suppressAutoHyphens/>
        <w:spacing w:line="100" w:lineRule="atLeast"/>
        <w:ind w:left="357" w:hanging="357"/>
        <w:jc w:val="both"/>
        <w:rPr>
          <w:rFonts w:ascii="Arial" w:hAnsi="Arial" w:cs="Arial"/>
          <w:sz w:val="20"/>
        </w:rPr>
      </w:pPr>
      <w:r w:rsidRPr="00C84814">
        <w:rPr>
          <w:rFonts w:ascii="Arial" w:hAnsi="Arial" w:cs="Arial"/>
          <w:sz w:val="20"/>
        </w:rPr>
        <w:t>Establecer las políticas para cumplir los objetivos societarios.</w:t>
      </w:r>
    </w:p>
    <w:p w14:paraId="060C4E0D" w14:textId="77777777" w:rsidR="00A9135D" w:rsidRPr="00C84814" w:rsidRDefault="00A9135D" w:rsidP="00A9135D">
      <w:pPr>
        <w:numPr>
          <w:ilvl w:val="0"/>
          <w:numId w:val="56"/>
        </w:numPr>
        <w:shd w:val="clear" w:color="auto" w:fill="FFFFFF"/>
        <w:tabs>
          <w:tab w:val="num" w:pos="-357"/>
        </w:tabs>
        <w:suppressAutoHyphens/>
        <w:spacing w:line="100" w:lineRule="atLeast"/>
        <w:ind w:left="357" w:hanging="357"/>
        <w:jc w:val="both"/>
        <w:rPr>
          <w:rFonts w:ascii="Arial" w:hAnsi="Arial" w:cs="Arial"/>
          <w:sz w:val="20"/>
        </w:rPr>
      </w:pPr>
      <w:r w:rsidRPr="00C84814">
        <w:rPr>
          <w:rFonts w:ascii="Arial" w:hAnsi="Arial" w:cs="Arial"/>
          <w:sz w:val="20"/>
        </w:rPr>
        <w:t xml:space="preserve">Asegurar que las actividades de la Entidad cumplan con los niveles de seguridad y solvencia necesarios y que se ajusten a las leyes y demás normas vigentes.  </w:t>
      </w:r>
    </w:p>
    <w:p w14:paraId="211B06B1" w14:textId="77777777" w:rsidR="00A9135D" w:rsidRPr="00C84814" w:rsidRDefault="00A9135D" w:rsidP="00A9135D">
      <w:pPr>
        <w:numPr>
          <w:ilvl w:val="0"/>
          <w:numId w:val="56"/>
        </w:numPr>
        <w:shd w:val="clear" w:color="auto" w:fill="FFFFFF"/>
        <w:tabs>
          <w:tab w:val="num" w:pos="-357"/>
        </w:tabs>
        <w:suppressAutoHyphens/>
        <w:spacing w:line="100" w:lineRule="atLeast"/>
        <w:ind w:left="357" w:hanging="357"/>
        <w:jc w:val="both"/>
        <w:rPr>
          <w:rFonts w:ascii="Arial" w:hAnsi="Arial" w:cs="Arial"/>
          <w:sz w:val="20"/>
        </w:rPr>
      </w:pPr>
      <w:r w:rsidRPr="00C84814">
        <w:rPr>
          <w:rFonts w:ascii="Arial" w:hAnsi="Arial" w:cs="Arial"/>
          <w:sz w:val="20"/>
        </w:rPr>
        <w:t xml:space="preserve">Definir el apetito de riesgo de la Entidad. </w:t>
      </w:r>
    </w:p>
    <w:p w14:paraId="24DC7018" w14:textId="77777777" w:rsidR="00A9135D" w:rsidRPr="00C84814" w:rsidRDefault="00A9135D" w:rsidP="00A9135D">
      <w:pPr>
        <w:numPr>
          <w:ilvl w:val="0"/>
          <w:numId w:val="56"/>
        </w:numPr>
        <w:shd w:val="clear" w:color="auto" w:fill="FFFFFF"/>
        <w:tabs>
          <w:tab w:val="num" w:pos="-357"/>
        </w:tabs>
        <w:suppressAutoHyphens/>
        <w:spacing w:line="100" w:lineRule="atLeast"/>
        <w:ind w:left="357" w:hanging="357"/>
        <w:jc w:val="both"/>
        <w:rPr>
          <w:rFonts w:ascii="Arial" w:hAnsi="Arial" w:cs="Arial"/>
          <w:sz w:val="20"/>
        </w:rPr>
      </w:pPr>
      <w:r w:rsidRPr="00C84814">
        <w:rPr>
          <w:rFonts w:ascii="Arial" w:hAnsi="Arial" w:cs="Arial"/>
          <w:sz w:val="20"/>
        </w:rPr>
        <w:t xml:space="preserve">Proteger los intereses de los depositantes. </w:t>
      </w:r>
    </w:p>
    <w:p w14:paraId="37C5209C" w14:textId="77777777" w:rsidR="00A9135D" w:rsidRPr="00C84814" w:rsidRDefault="00A9135D" w:rsidP="00A9135D">
      <w:pPr>
        <w:numPr>
          <w:ilvl w:val="0"/>
          <w:numId w:val="56"/>
        </w:numPr>
        <w:shd w:val="clear" w:color="auto" w:fill="FFFFFF"/>
        <w:tabs>
          <w:tab w:val="num" w:pos="-357"/>
        </w:tabs>
        <w:suppressAutoHyphens/>
        <w:spacing w:line="100" w:lineRule="atLeast"/>
        <w:ind w:left="357" w:hanging="357"/>
        <w:jc w:val="both"/>
        <w:rPr>
          <w:rFonts w:ascii="Arial" w:hAnsi="Arial" w:cs="Arial"/>
          <w:sz w:val="20"/>
        </w:rPr>
      </w:pPr>
      <w:r w:rsidRPr="00C84814">
        <w:rPr>
          <w:rFonts w:ascii="Arial" w:hAnsi="Arial" w:cs="Arial"/>
          <w:sz w:val="20"/>
        </w:rPr>
        <w:t xml:space="preserve">Asumir sus responsabilidades frente a los accionistas, teniendo en cuenta los intereses de otros terceros relevantes. </w:t>
      </w:r>
    </w:p>
    <w:p w14:paraId="2080DCFC" w14:textId="77777777" w:rsidR="00A9135D" w:rsidRPr="00C84814" w:rsidRDefault="00A9135D" w:rsidP="00A9135D">
      <w:pPr>
        <w:numPr>
          <w:ilvl w:val="0"/>
          <w:numId w:val="60"/>
        </w:numPr>
        <w:shd w:val="clear" w:color="auto" w:fill="FFFFFF"/>
        <w:ind w:left="357" w:hanging="357"/>
        <w:jc w:val="both"/>
        <w:rPr>
          <w:rFonts w:ascii="Arial" w:hAnsi="Arial" w:cs="Arial"/>
          <w:sz w:val="20"/>
        </w:rPr>
      </w:pPr>
      <w:r w:rsidRPr="00C84814">
        <w:rPr>
          <w:rFonts w:ascii="Arial" w:hAnsi="Arial" w:cs="Arial"/>
          <w:sz w:val="20"/>
        </w:rPr>
        <w:t>Realizar las operaciones diarias; y</w:t>
      </w:r>
    </w:p>
    <w:p w14:paraId="0AAA80FF" w14:textId="77777777" w:rsidR="00A9135D" w:rsidRPr="00C84814" w:rsidRDefault="00A9135D" w:rsidP="00A9135D">
      <w:pPr>
        <w:shd w:val="clear" w:color="auto" w:fill="FFFFFF"/>
        <w:suppressAutoHyphens/>
        <w:spacing w:line="100" w:lineRule="atLeast"/>
        <w:ind w:left="357"/>
        <w:jc w:val="both"/>
        <w:rPr>
          <w:rFonts w:ascii="Arial" w:hAnsi="Arial" w:cs="Arial"/>
          <w:sz w:val="20"/>
        </w:rPr>
      </w:pPr>
      <w:r w:rsidRPr="00C84814">
        <w:rPr>
          <w:rFonts w:ascii="Arial" w:hAnsi="Arial" w:cs="Arial"/>
          <w:sz w:val="20"/>
        </w:rPr>
        <w:t>Utilizar las tecnologías nuevas y las existentes para optimizar aspectos importantes para el negocio, sus clientes, empleados y socios.</w:t>
      </w:r>
    </w:p>
    <w:p w14:paraId="4A237B1F" w14:textId="77777777" w:rsidR="00A9135D" w:rsidRPr="00C84814" w:rsidRDefault="00A9135D" w:rsidP="00A9135D">
      <w:pPr>
        <w:shd w:val="clear" w:color="auto" w:fill="FFFFFF"/>
        <w:suppressAutoHyphens/>
        <w:spacing w:line="100" w:lineRule="atLeast"/>
        <w:ind w:left="714"/>
        <w:jc w:val="both"/>
        <w:rPr>
          <w:rFonts w:ascii="Arial" w:hAnsi="Arial" w:cs="Arial"/>
          <w:b/>
          <w:bCs/>
          <w:sz w:val="20"/>
          <w:lang w:val="es-ES"/>
        </w:rPr>
      </w:pPr>
    </w:p>
    <w:p w14:paraId="0335DA89" w14:textId="77777777" w:rsidR="00B2136F" w:rsidRDefault="00B2136F">
      <w:pPr>
        <w:rPr>
          <w:rFonts w:ascii="Arial" w:hAnsi="Arial" w:cs="Arial"/>
          <w:b/>
          <w:sz w:val="20"/>
        </w:rPr>
      </w:pPr>
      <w:r>
        <w:rPr>
          <w:rFonts w:ascii="Arial" w:hAnsi="Arial" w:cs="Arial"/>
          <w:b/>
          <w:sz w:val="20"/>
        </w:rPr>
        <w:br w:type="page"/>
      </w:r>
    </w:p>
    <w:p w14:paraId="4E372ED9" w14:textId="7876DE2A" w:rsidR="00A9135D" w:rsidRPr="00C84814" w:rsidRDefault="00A9135D" w:rsidP="00A9135D">
      <w:pPr>
        <w:tabs>
          <w:tab w:val="left" w:pos="0"/>
        </w:tabs>
        <w:jc w:val="both"/>
        <w:rPr>
          <w:rFonts w:ascii="Arial" w:hAnsi="Arial" w:cs="Arial"/>
          <w:sz w:val="20"/>
          <w:lang w:val="es-ES"/>
        </w:rPr>
      </w:pPr>
      <w:r>
        <w:rPr>
          <w:rFonts w:ascii="Arial" w:hAnsi="Arial" w:cs="Arial"/>
          <w:b/>
          <w:sz w:val="20"/>
        </w:rPr>
        <w:t>1</w:t>
      </w:r>
      <w:r w:rsidR="00C902C8">
        <w:rPr>
          <w:rFonts w:ascii="Arial" w:hAnsi="Arial" w:cs="Arial"/>
          <w:b/>
          <w:sz w:val="20"/>
        </w:rPr>
        <w:t>4</w:t>
      </w:r>
      <w:r>
        <w:rPr>
          <w:rFonts w:ascii="Arial" w:hAnsi="Arial" w:cs="Arial"/>
          <w:b/>
          <w:sz w:val="20"/>
        </w:rPr>
        <w:t>.10</w:t>
      </w:r>
      <w:r w:rsidRPr="00C84814">
        <w:rPr>
          <w:rFonts w:ascii="Arial" w:hAnsi="Arial" w:cs="Arial"/>
          <w:b/>
          <w:sz w:val="20"/>
        </w:rPr>
        <w:t xml:space="preserve">.1.    </w:t>
      </w:r>
      <w:r w:rsidRPr="00C84814">
        <w:rPr>
          <w:rFonts w:ascii="Arial" w:hAnsi="Arial" w:cs="Arial"/>
          <w:b/>
          <w:sz w:val="20"/>
          <w:u w:val="single"/>
        </w:rPr>
        <w:t>Estructura del Di</w:t>
      </w:r>
      <w:r w:rsidRPr="00C84814">
        <w:rPr>
          <w:rFonts w:ascii="Arial" w:hAnsi="Arial" w:cs="Arial"/>
          <w:b/>
          <w:bCs/>
          <w:sz w:val="20"/>
          <w:u w:val="single"/>
          <w:lang w:val="es-ES"/>
        </w:rPr>
        <w:t>r</w:t>
      </w:r>
      <w:r w:rsidRPr="00C84814">
        <w:rPr>
          <w:rFonts w:ascii="Arial" w:hAnsi="Arial" w:cs="Arial"/>
          <w:b/>
          <w:sz w:val="20"/>
          <w:u w:val="single"/>
        </w:rPr>
        <w:t>ectorio y de la Alta Gerencia</w:t>
      </w:r>
    </w:p>
    <w:p w14:paraId="360D2BD3" w14:textId="77777777" w:rsidR="00A9135D" w:rsidRPr="00C84814" w:rsidRDefault="00A9135D" w:rsidP="00A9135D">
      <w:pPr>
        <w:jc w:val="both"/>
        <w:rPr>
          <w:rFonts w:ascii="Arial" w:hAnsi="Arial" w:cs="Arial"/>
          <w:sz w:val="20"/>
          <w:lang w:val="es-ES"/>
        </w:rPr>
      </w:pPr>
    </w:p>
    <w:p w14:paraId="32571432" w14:textId="77777777" w:rsidR="00A9135D" w:rsidRPr="00C84814" w:rsidRDefault="00A9135D" w:rsidP="00A9135D">
      <w:pPr>
        <w:jc w:val="both"/>
        <w:rPr>
          <w:rFonts w:ascii="Arial" w:hAnsi="Arial" w:cs="Arial"/>
          <w:sz w:val="20"/>
          <w:lang w:val="es-ES"/>
        </w:rPr>
      </w:pPr>
      <w:r w:rsidRPr="00C84814">
        <w:rPr>
          <w:rFonts w:ascii="Arial" w:hAnsi="Arial" w:cs="Arial"/>
          <w:sz w:val="20"/>
          <w:lang w:val="es-ES"/>
        </w:rPr>
        <w:t xml:space="preserve">La Entidad es dirigida y administrada por un Directorio compuesto de tres a nueve miembros titulares, cuyos mandatos duran dos años. </w:t>
      </w:r>
    </w:p>
    <w:p w14:paraId="51AE9423" w14:textId="77777777" w:rsidR="00A9135D" w:rsidRPr="00C84814" w:rsidRDefault="00A9135D" w:rsidP="00A9135D">
      <w:pPr>
        <w:jc w:val="both"/>
        <w:rPr>
          <w:rFonts w:ascii="Arial" w:hAnsi="Arial" w:cs="Arial"/>
          <w:sz w:val="20"/>
          <w:lang w:val="es-ES"/>
        </w:rPr>
      </w:pPr>
    </w:p>
    <w:p w14:paraId="3175D19E" w14:textId="77777777" w:rsidR="00A9135D" w:rsidRPr="00C84814" w:rsidRDefault="00A9135D" w:rsidP="00A9135D">
      <w:pPr>
        <w:jc w:val="both"/>
        <w:rPr>
          <w:rFonts w:ascii="Arial" w:hAnsi="Arial" w:cs="Arial"/>
          <w:sz w:val="20"/>
          <w:lang w:val="es-ES"/>
        </w:rPr>
      </w:pPr>
      <w:r w:rsidRPr="00C84814">
        <w:rPr>
          <w:rFonts w:ascii="Arial" w:hAnsi="Arial" w:cs="Arial"/>
          <w:sz w:val="20"/>
          <w:lang w:val="es-ES"/>
        </w:rPr>
        <w:t xml:space="preserve">La Asamblea de Accionistas puede designar directores suplentes en igual o menor número que los titulares y por el plazo de un año, para formar quórum en caso necesario. </w:t>
      </w:r>
    </w:p>
    <w:p w14:paraId="0FF75825" w14:textId="77777777" w:rsidR="00A9135D" w:rsidRPr="00C84814" w:rsidRDefault="00A9135D" w:rsidP="00A9135D">
      <w:pPr>
        <w:jc w:val="both"/>
        <w:rPr>
          <w:rFonts w:ascii="Arial" w:hAnsi="Arial" w:cs="Arial"/>
          <w:sz w:val="20"/>
          <w:lang w:val="es-ES"/>
        </w:rPr>
      </w:pPr>
    </w:p>
    <w:p w14:paraId="1EFD2A55" w14:textId="77777777" w:rsidR="00A9135D" w:rsidRPr="00C84814" w:rsidRDefault="00A9135D" w:rsidP="00A9135D">
      <w:pPr>
        <w:jc w:val="both"/>
        <w:rPr>
          <w:rFonts w:ascii="Arial" w:hAnsi="Arial" w:cs="Arial"/>
          <w:sz w:val="20"/>
          <w:lang w:val="es-ES"/>
        </w:rPr>
      </w:pPr>
      <w:r w:rsidRPr="00C84814">
        <w:rPr>
          <w:rFonts w:ascii="Arial" w:hAnsi="Arial" w:cs="Arial"/>
          <w:sz w:val="20"/>
          <w:lang w:val="es-ES"/>
        </w:rPr>
        <w:t xml:space="preserve">Anualmente se renueva la mitad o la cifra más cercana a la mitad del Directorio. Para mantener esta proporción en casos de aumento o disminución del número de directores la Asamblea está autorizada para designar directores por períodos menores a 2 años. </w:t>
      </w:r>
    </w:p>
    <w:p w14:paraId="714DBCC4" w14:textId="77777777" w:rsidR="00A9135D" w:rsidRPr="00C84814" w:rsidRDefault="00A9135D" w:rsidP="00A9135D">
      <w:pPr>
        <w:jc w:val="both"/>
        <w:rPr>
          <w:rFonts w:ascii="Arial" w:hAnsi="Arial" w:cs="Arial"/>
          <w:sz w:val="20"/>
          <w:lang w:val="es-ES"/>
        </w:rPr>
      </w:pPr>
    </w:p>
    <w:p w14:paraId="4E4FACC1" w14:textId="77777777" w:rsidR="00A9135D" w:rsidRPr="00C84814" w:rsidRDefault="00A9135D" w:rsidP="00A9135D">
      <w:pPr>
        <w:jc w:val="both"/>
        <w:rPr>
          <w:rFonts w:ascii="Arial" w:hAnsi="Arial" w:cs="Arial"/>
          <w:sz w:val="20"/>
          <w:lang w:val="es-ES"/>
        </w:rPr>
      </w:pPr>
      <w:r w:rsidRPr="00C84814">
        <w:rPr>
          <w:rFonts w:ascii="Arial" w:hAnsi="Arial" w:cs="Arial"/>
          <w:sz w:val="20"/>
          <w:lang w:val="es-ES"/>
        </w:rPr>
        <w:t>Los directores son reelegibles. El mandato de los directores salientes se entenderá que subsiste mientras no se hiciesen cargo de sus puestos los nuevos directores, electos dentro del plazo fijado por el artículo 234 de la Ley General de Sociedades No. 19.550.</w:t>
      </w:r>
    </w:p>
    <w:p w14:paraId="61A34433" w14:textId="77777777" w:rsidR="00A9135D" w:rsidRPr="00C84814" w:rsidRDefault="00A9135D" w:rsidP="00A9135D">
      <w:pPr>
        <w:jc w:val="both"/>
        <w:rPr>
          <w:rFonts w:ascii="Arial" w:hAnsi="Arial" w:cs="Arial"/>
          <w:sz w:val="20"/>
          <w:lang w:val="es-ES"/>
        </w:rPr>
      </w:pPr>
    </w:p>
    <w:p w14:paraId="4F7C3B6F" w14:textId="3DD89BB6" w:rsidR="00A9135D" w:rsidRPr="00C902C8" w:rsidRDefault="00A9135D" w:rsidP="00CC42D2">
      <w:pPr>
        <w:pStyle w:val="Prrafodelista"/>
        <w:numPr>
          <w:ilvl w:val="3"/>
          <w:numId w:val="92"/>
        </w:numPr>
        <w:shd w:val="clear" w:color="auto" w:fill="FFFFFF"/>
        <w:suppressAutoHyphens/>
        <w:spacing w:line="100" w:lineRule="atLeast"/>
        <w:jc w:val="both"/>
        <w:rPr>
          <w:rFonts w:ascii="Arial" w:hAnsi="Arial" w:cs="Arial"/>
          <w:sz w:val="20"/>
        </w:rPr>
      </w:pPr>
      <w:r w:rsidRPr="00C902C8">
        <w:rPr>
          <w:rFonts w:ascii="Arial" w:hAnsi="Arial" w:cs="Arial"/>
          <w:b/>
          <w:sz w:val="20"/>
          <w:u w:val="single"/>
        </w:rPr>
        <w:t xml:space="preserve">Directorio </w:t>
      </w:r>
    </w:p>
    <w:p w14:paraId="6C00E22B" w14:textId="77777777" w:rsidR="00A9135D" w:rsidRPr="00C84814" w:rsidRDefault="00A9135D" w:rsidP="00A9135D">
      <w:pPr>
        <w:shd w:val="clear" w:color="auto" w:fill="FFFFFF"/>
        <w:ind w:left="1134"/>
        <w:jc w:val="both"/>
        <w:rPr>
          <w:rFonts w:ascii="Arial" w:hAnsi="Arial" w:cs="Arial"/>
          <w:sz w:val="20"/>
        </w:rPr>
      </w:pPr>
    </w:p>
    <w:p w14:paraId="78F18B72" w14:textId="77777777" w:rsidR="00A9135D" w:rsidRPr="00C84814" w:rsidRDefault="00A9135D" w:rsidP="00A9135D">
      <w:pPr>
        <w:shd w:val="clear" w:color="auto" w:fill="FFFFFF"/>
        <w:jc w:val="both"/>
        <w:rPr>
          <w:rFonts w:ascii="Arial" w:hAnsi="Arial" w:cs="Arial"/>
          <w:sz w:val="20"/>
        </w:rPr>
      </w:pPr>
      <w:r w:rsidRPr="00C84814">
        <w:rPr>
          <w:rFonts w:ascii="Arial" w:hAnsi="Arial" w:cs="Arial"/>
          <w:sz w:val="20"/>
        </w:rPr>
        <w:t xml:space="preserve">El Directorio ejerce el liderazgo estratégico de la Entidad. La función del Directorio es llevar a cabo la administración de los negocios del Banco y aprobar las políticas y estrategias generales de la Sociedad. En particular corresponde al Directorio aprobar: </w:t>
      </w:r>
    </w:p>
    <w:p w14:paraId="657F901E" w14:textId="77777777" w:rsidR="00A9135D" w:rsidRPr="00C84814" w:rsidRDefault="00A9135D" w:rsidP="00A9135D">
      <w:pPr>
        <w:shd w:val="clear" w:color="auto" w:fill="FFFFFF"/>
        <w:jc w:val="both"/>
        <w:rPr>
          <w:rFonts w:ascii="Arial" w:hAnsi="Arial" w:cs="Arial"/>
          <w:sz w:val="20"/>
        </w:rPr>
      </w:pPr>
    </w:p>
    <w:p w14:paraId="69C8CAE7" w14:textId="77777777" w:rsidR="00A9135D" w:rsidRPr="00C84814" w:rsidRDefault="00A9135D" w:rsidP="00CC42D2">
      <w:pPr>
        <w:numPr>
          <w:ilvl w:val="0"/>
          <w:numId w:val="93"/>
        </w:numPr>
        <w:shd w:val="clear" w:color="auto" w:fill="FFFFFF"/>
        <w:ind w:left="567" w:hanging="567"/>
        <w:contextualSpacing/>
        <w:jc w:val="both"/>
        <w:rPr>
          <w:rFonts w:ascii="Arial" w:hAnsi="Arial" w:cs="Arial"/>
          <w:sz w:val="20"/>
        </w:rPr>
      </w:pPr>
      <w:r w:rsidRPr="00C84814">
        <w:rPr>
          <w:rFonts w:ascii="Arial" w:hAnsi="Arial" w:cs="Arial"/>
          <w:sz w:val="20"/>
        </w:rPr>
        <w:t>El plan estratégico o de negocios, así como los objetivos de gestión y presupuestos anuales.</w:t>
      </w:r>
    </w:p>
    <w:p w14:paraId="571CF15C" w14:textId="77777777" w:rsidR="00A9135D" w:rsidRPr="00C84814" w:rsidRDefault="00A9135D" w:rsidP="00A9135D">
      <w:pPr>
        <w:shd w:val="clear" w:color="auto" w:fill="FFFFFF"/>
        <w:ind w:left="567" w:hanging="567"/>
        <w:jc w:val="both"/>
        <w:rPr>
          <w:rFonts w:ascii="Arial" w:hAnsi="Arial" w:cs="Arial"/>
          <w:sz w:val="20"/>
        </w:rPr>
      </w:pPr>
    </w:p>
    <w:p w14:paraId="0C64306A" w14:textId="77777777" w:rsidR="00A9135D" w:rsidRPr="00C84814" w:rsidRDefault="00A9135D" w:rsidP="00CC42D2">
      <w:pPr>
        <w:numPr>
          <w:ilvl w:val="0"/>
          <w:numId w:val="93"/>
        </w:numPr>
        <w:shd w:val="clear" w:color="auto" w:fill="FFFFFF"/>
        <w:ind w:left="567" w:hanging="567"/>
        <w:contextualSpacing/>
        <w:jc w:val="both"/>
        <w:rPr>
          <w:rFonts w:ascii="Arial" w:hAnsi="Arial" w:cs="Arial"/>
          <w:sz w:val="20"/>
        </w:rPr>
      </w:pPr>
      <w:r w:rsidRPr="00C84814">
        <w:rPr>
          <w:rFonts w:ascii="Arial" w:hAnsi="Arial" w:cs="Arial"/>
          <w:sz w:val="20"/>
        </w:rPr>
        <w:t>La política de inversiones y financiación.</w:t>
      </w:r>
    </w:p>
    <w:p w14:paraId="7AA20BC0" w14:textId="77777777" w:rsidR="00A9135D" w:rsidRPr="00C84814" w:rsidRDefault="00A9135D" w:rsidP="00A9135D">
      <w:pPr>
        <w:shd w:val="clear" w:color="auto" w:fill="FFFFFF"/>
        <w:ind w:left="567" w:hanging="567"/>
        <w:jc w:val="both"/>
        <w:rPr>
          <w:rFonts w:ascii="Arial" w:hAnsi="Arial" w:cs="Arial"/>
          <w:sz w:val="20"/>
        </w:rPr>
      </w:pPr>
    </w:p>
    <w:p w14:paraId="35A9BC43" w14:textId="77777777" w:rsidR="00A9135D" w:rsidRPr="00C84814" w:rsidRDefault="00A9135D" w:rsidP="00CC42D2">
      <w:pPr>
        <w:numPr>
          <w:ilvl w:val="0"/>
          <w:numId w:val="93"/>
        </w:numPr>
        <w:shd w:val="clear" w:color="auto" w:fill="FFFFFF"/>
        <w:ind w:left="567" w:hanging="567"/>
        <w:contextualSpacing/>
        <w:jc w:val="both"/>
        <w:rPr>
          <w:rFonts w:ascii="Arial" w:hAnsi="Arial" w:cs="Arial"/>
          <w:sz w:val="20"/>
        </w:rPr>
      </w:pPr>
      <w:r w:rsidRPr="00C84814">
        <w:rPr>
          <w:rFonts w:ascii="Arial" w:hAnsi="Arial" w:cs="Arial"/>
          <w:sz w:val="20"/>
        </w:rPr>
        <w:t>La política de gobierno corporativo.</w:t>
      </w:r>
    </w:p>
    <w:p w14:paraId="4BA82564" w14:textId="77777777" w:rsidR="00A9135D" w:rsidRPr="00C84814" w:rsidRDefault="00A9135D" w:rsidP="00A9135D">
      <w:pPr>
        <w:shd w:val="clear" w:color="auto" w:fill="FFFFFF"/>
        <w:ind w:left="567" w:hanging="567"/>
        <w:jc w:val="both"/>
        <w:rPr>
          <w:rFonts w:ascii="Arial" w:hAnsi="Arial" w:cs="Arial"/>
          <w:sz w:val="20"/>
        </w:rPr>
      </w:pPr>
    </w:p>
    <w:p w14:paraId="0CAF3902" w14:textId="77777777" w:rsidR="00A9135D" w:rsidRPr="00C84814" w:rsidRDefault="00A9135D" w:rsidP="00CC42D2">
      <w:pPr>
        <w:numPr>
          <w:ilvl w:val="0"/>
          <w:numId w:val="93"/>
        </w:numPr>
        <w:shd w:val="clear" w:color="auto" w:fill="FFFFFF"/>
        <w:ind w:left="567" w:hanging="567"/>
        <w:contextualSpacing/>
        <w:jc w:val="both"/>
        <w:rPr>
          <w:rFonts w:ascii="Arial" w:hAnsi="Arial" w:cs="Arial"/>
          <w:sz w:val="20"/>
        </w:rPr>
      </w:pPr>
      <w:r w:rsidRPr="00C84814">
        <w:rPr>
          <w:rFonts w:ascii="Arial" w:hAnsi="Arial" w:cs="Arial"/>
          <w:sz w:val="20"/>
        </w:rPr>
        <w:t>La política de responsabilidad social empresaria.</w:t>
      </w:r>
    </w:p>
    <w:p w14:paraId="392AC6BC" w14:textId="77777777" w:rsidR="00A9135D" w:rsidRPr="00C84814" w:rsidRDefault="00A9135D" w:rsidP="00A9135D">
      <w:pPr>
        <w:shd w:val="clear" w:color="auto" w:fill="FFFFFF"/>
        <w:ind w:left="567" w:hanging="567"/>
        <w:jc w:val="both"/>
        <w:rPr>
          <w:rFonts w:ascii="Arial" w:hAnsi="Arial" w:cs="Arial"/>
          <w:sz w:val="20"/>
        </w:rPr>
      </w:pPr>
    </w:p>
    <w:p w14:paraId="3916FF4D" w14:textId="77777777" w:rsidR="00A9135D" w:rsidRPr="00C84814" w:rsidRDefault="00A9135D" w:rsidP="00CC42D2">
      <w:pPr>
        <w:numPr>
          <w:ilvl w:val="0"/>
          <w:numId w:val="93"/>
        </w:numPr>
        <w:shd w:val="clear" w:color="auto" w:fill="FFFFFF"/>
        <w:ind w:left="567" w:hanging="567"/>
        <w:contextualSpacing/>
        <w:jc w:val="both"/>
        <w:rPr>
          <w:rFonts w:ascii="Arial" w:hAnsi="Arial" w:cs="Arial"/>
          <w:sz w:val="20"/>
        </w:rPr>
      </w:pPr>
      <w:r w:rsidRPr="00C84814">
        <w:rPr>
          <w:rFonts w:ascii="Arial" w:hAnsi="Arial" w:cs="Arial"/>
          <w:sz w:val="20"/>
        </w:rPr>
        <w:t>Las políticas de apetito, control y gestión integral de riesgos y toda otra que tenga por objeto el seguimiento periódico de los sistemas internos de información y control.</w:t>
      </w:r>
    </w:p>
    <w:p w14:paraId="424D011E" w14:textId="77777777" w:rsidR="00A9135D" w:rsidRPr="00C84814" w:rsidRDefault="00A9135D" w:rsidP="00A9135D">
      <w:pPr>
        <w:shd w:val="clear" w:color="auto" w:fill="FFFFFF"/>
        <w:ind w:left="567" w:hanging="567"/>
        <w:jc w:val="both"/>
        <w:rPr>
          <w:rFonts w:ascii="Arial" w:hAnsi="Arial" w:cs="Arial"/>
          <w:sz w:val="20"/>
        </w:rPr>
      </w:pPr>
    </w:p>
    <w:p w14:paraId="1F30B511" w14:textId="77777777" w:rsidR="00A9135D" w:rsidRPr="00C84814" w:rsidRDefault="00A9135D" w:rsidP="00CC42D2">
      <w:pPr>
        <w:numPr>
          <w:ilvl w:val="0"/>
          <w:numId w:val="93"/>
        </w:numPr>
        <w:shd w:val="clear" w:color="auto" w:fill="FFFFFF"/>
        <w:ind w:left="567" w:hanging="567"/>
        <w:contextualSpacing/>
        <w:jc w:val="both"/>
        <w:rPr>
          <w:rFonts w:ascii="Arial" w:hAnsi="Arial" w:cs="Arial"/>
          <w:sz w:val="20"/>
        </w:rPr>
      </w:pPr>
      <w:r w:rsidRPr="00C84814">
        <w:rPr>
          <w:rFonts w:ascii="Arial" w:hAnsi="Arial" w:cs="Arial"/>
          <w:sz w:val="20"/>
        </w:rPr>
        <w:t>El desarrollo de programas de entrenamiento continuo para directores y ejecutivos gerenciales con el fin de mantener actualizados sus conocimientos y capacidades.</w:t>
      </w:r>
    </w:p>
    <w:p w14:paraId="2A9F067F" w14:textId="77777777" w:rsidR="00A9135D" w:rsidRPr="00C84814" w:rsidRDefault="00A9135D" w:rsidP="00A9135D">
      <w:pPr>
        <w:shd w:val="clear" w:color="auto" w:fill="FFFFFF"/>
        <w:ind w:left="567" w:hanging="567"/>
        <w:jc w:val="both"/>
        <w:rPr>
          <w:rFonts w:ascii="Arial" w:hAnsi="Arial" w:cs="Arial"/>
          <w:sz w:val="20"/>
        </w:rPr>
      </w:pPr>
    </w:p>
    <w:p w14:paraId="31C90E41" w14:textId="77777777" w:rsidR="00A9135D" w:rsidRPr="00C84814" w:rsidRDefault="00A9135D" w:rsidP="00CC42D2">
      <w:pPr>
        <w:numPr>
          <w:ilvl w:val="0"/>
          <w:numId w:val="93"/>
        </w:numPr>
        <w:shd w:val="clear" w:color="auto" w:fill="FFFFFF"/>
        <w:ind w:left="567" w:hanging="567"/>
        <w:contextualSpacing/>
        <w:jc w:val="both"/>
        <w:rPr>
          <w:rFonts w:ascii="Arial" w:hAnsi="Arial" w:cs="Arial"/>
          <w:sz w:val="20"/>
        </w:rPr>
      </w:pPr>
      <w:r w:rsidRPr="00C84814">
        <w:rPr>
          <w:rFonts w:ascii="Arial" w:hAnsi="Arial" w:cs="Arial"/>
          <w:sz w:val="20"/>
        </w:rPr>
        <w:t>Las políticas de incentivos al personal teniendo en cuenta los riesgos asociados en la implementación de dichas políticas.</w:t>
      </w:r>
    </w:p>
    <w:p w14:paraId="09349E78" w14:textId="77777777" w:rsidR="00A9135D" w:rsidRPr="00C84814" w:rsidRDefault="00A9135D" w:rsidP="00A9135D">
      <w:pPr>
        <w:shd w:val="clear" w:color="auto" w:fill="FFFFFF"/>
        <w:ind w:left="567" w:hanging="567"/>
        <w:jc w:val="both"/>
        <w:rPr>
          <w:rFonts w:ascii="Arial" w:hAnsi="Arial" w:cs="Arial"/>
          <w:sz w:val="20"/>
        </w:rPr>
      </w:pPr>
    </w:p>
    <w:p w14:paraId="42B026AE" w14:textId="77777777" w:rsidR="00A9135D" w:rsidRPr="00C84814" w:rsidRDefault="00A9135D" w:rsidP="00CC42D2">
      <w:pPr>
        <w:numPr>
          <w:ilvl w:val="0"/>
          <w:numId w:val="93"/>
        </w:numPr>
        <w:shd w:val="clear" w:color="auto" w:fill="FFFFFF"/>
        <w:ind w:left="567" w:hanging="567"/>
        <w:contextualSpacing/>
        <w:jc w:val="both"/>
        <w:rPr>
          <w:rFonts w:ascii="Arial" w:hAnsi="Arial" w:cs="Arial"/>
          <w:sz w:val="20"/>
        </w:rPr>
      </w:pPr>
      <w:r w:rsidRPr="00C84814">
        <w:rPr>
          <w:rFonts w:ascii="Arial" w:hAnsi="Arial" w:cs="Arial"/>
          <w:sz w:val="20"/>
        </w:rPr>
        <w:t>El plan de sucesión, confección del mapa de talentos, identificación de las áreas de riesgos (puestos y personas) a cubrir y los sucesores más adecuados para cada caso.</w:t>
      </w:r>
    </w:p>
    <w:p w14:paraId="7AC8A6D1" w14:textId="77777777" w:rsidR="00A9135D" w:rsidRPr="00C84814" w:rsidRDefault="00A9135D" w:rsidP="00A9135D">
      <w:pPr>
        <w:shd w:val="clear" w:color="auto" w:fill="FFFFFF"/>
        <w:autoSpaceDE w:val="0"/>
        <w:autoSpaceDN w:val="0"/>
        <w:adjustRightInd w:val="0"/>
        <w:jc w:val="both"/>
        <w:rPr>
          <w:rFonts w:ascii="Arial" w:hAnsi="Arial" w:cs="Arial"/>
          <w:sz w:val="20"/>
          <w:lang w:eastAsia="es-AR"/>
        </w:rPr>
      </w:pPr>
    </w:p>
    <w:p w14:paraId="7EB4964F" w14:textId="77777777" w:rsidR="00A9135D" w:rsidRPr="00C84814" w:rsidRDefault="00A9135D" w:rsidP="00A9135D">
      <w:pPr>
        <w:shd w:val="clear" w:color="auto" w:fill="FFFFFF"/>
        <w:autoSpaceDE w:val="0"/>
        <w:autoSpaceDN w:val="0"/>
        <w:adjustRightInd w:val="0"/>
        <w:jc w:val="both"/>
        <w:rPr>
          <w:rFonts w:ascii="Arial" w:hAnsi="Arial" w:cs="Arial"/>
          <w:sz w:val="20"/>
        </w:rPr>
      </w:pPr>
      <w:r w:rsidRPr="00C84814">
        <w:rPr>
          <w:rFonts w:ascii="Arial" w:hAnsi="Arial" w:cs="Arial"/>
          <w:sz w:val="20"/>
        </w:rPr>
        <w:t>Los objetivos estratégicos de la entidad son definidos por el Directorio y aprobados en las reuniones celebradas al efecto. Se trata de objetivos cuyos lineamientos van más allá de la coyuntura y se encuentran recogidos en el documento de apetito de riesgo.</w:t>
      </w:r>
    </w:p>
    <w:p w14:paraId="70F75499" w14:textId="77777777" w:rsidR="00A9135D" w:rsidRPr="00C84814" w:rsidRDefault="00A9135D" w:rsidP="00A9135D">
      <w:pPr>
        <w:shd w:val="clear" w:color="auto" w:fill="FFFFFF"/>
        <w:autoSpaceDE w:val="0"/>
        <w:autoSpaceDN w:val="0"/>
        <w:adjustRightInd w:val="0"/>
        <w:jc w:val="both"/>
        <w:rPr>
          <w:rFonts w:ascii="Arial" w:hAnsi="Arial" w:cs="Arial"/>
          <w:sz w:val="20"/>
        </w:rPr>
      </w:pPr>
    </w:p>
    <w:p w14:paraId="5B75742E" w14:textId="77777777" w:rsidR="00A9135D" w:rsidRPr="00C84814" w:rsidRDefault="00A9135D" w:rsidP="00A9135D">
      <w:pPr>
        <w:shd w:val="clear" w:color="auto" w:fill="FFFFFF"/>
        <w:autoSpaceDE w:val="0"/>
        <w:autoSpaceDN w:val="0"/>
        <w:adjustRightInd w:val="0"/>
        <w:jc w:val="both"/>
        <w:rPr>
          <w:rFonts w:ascii="Arial" w:hAnsi="Arial" w:cs="Arial"/>
          <w:sz w:val="20"/>
          <w:lang w:eastAsia="es-AR"/>
        </w:rPr>
      </w:pPr>
      <w:r w:rsidRPr="00C84814">
        <w:rPr>
          <w:rFonts w:ascii="Arial" w:hAnsi="Arial" w:cs="Arial"/>
          <w:sz w:val="20"/>
          <w:lang w:eastAsia="es-AR"/>
        </w:rPr>
        <w:t>Luego de ser aprobados por el Directorio, los objetivos estratégicos son comunicados a nivel de la Alta Gerencia a los efectos de su implementación y seguimiento e informados a todas las gerencias de la Entidad sobre los alcances y metas para comprometer y alinear al personal con los mismos.</w:t>
      </w:r>
    </w:p>
    <w:p w14:paraId="43F6F9A1" w14:textId="77777777" w:rsidR="00A9135D" w:rsidRPr="00C84814" w:rsidRDefault="00A9135D" w:rsidP="00A9135D">
      <w:pPr>
        <w:shd w:val="clear" w:color="auto" w:fill="FFFFFF"/>
        <w:jc w:val="both"/>
        <w:rPr>
          <w:rFonts w:ascii="Arial" w:hAnsi="Arial" w:cs="Arial"/>
          <w:sz w:val="20"/>
        </w:rPr>
      </w:pPr>
    </w:p>
    <w:p w14:paraId="74D3650F" w14:textId="77777777" w:rsidR="00A9135D" w:rsidRPr="00C84814" w:rsidRDefault="00A9135D" w:rsidP="00A9135D">
      <w:pPr>
        <w:shd w:val="clear" w:color="auto" w:fill="FFFFFF"/>
        <w:jc w:val="both"/>
        <w:rPr>
          <w:rFonts w:ascii="Arial" w:hAnsi="Arial" w:cs="Arial"/>
          <w:sz w:val="20"/>
          <w:lang w:val="es-ES"/>
        </w:rPr>
      </w:pPr>
      <w:r w:rsidRPr="00C84814">
        <w:rPr>
          <w:rFonts w:ascii="Arial" w:hAnsi="Arial" w:cs="Arial"/>
          <w:sz w:val="20"/>
        </w:rPr>
        <w:t>Es política de la Entidad llevar adelante un proceso anual de planificación estratégica que incluye el desarrollo de su orientación futura de negocios a nivel global y para cada una de sus líneas de negocio.</w:t>
      </w:r>
    </w:p>
    <w:p w14:paraId="6CD8ECE7" w14:textId="77777777" w:rsidR="00A9135D" w:rsidRPr="00C84814" w:rsidRDefault="00A9135D" w:rsidP="00A9135D">
      <w:pPr>
        <w:shd w:val="clear" w:color="auto" w:fill="FFFFFF"/>
        <w:jc w:val="both"/>
        <w:rPr>
          <w:rFonts w:ascii="Arial" w:hAnsi="Arial" w:cs="Arial"/>
          <w:sz w:val="20"/>
          <w:lang w:val="es-ES"/>
        </w:rPr>
      </w:pPr>
      <w:r w:rsidRPr="00C84814">
        <w:rPr>
          <w:rFonts w:ascii="Arial" w:hAnsi="Arial" w:cs="Arial"/>
          <w:sz w:val="20"/>
          <w:lang w:val="es-ES"/>
        </w:rPr>
        <w:br/>
        <w:t>Este proceso consta de dos fases principales:</w:t>
      </w:r>
    </w:p>
    <w:p w14:paraId="59054EE1" w14:textId="77777777" w:rsidR="00A9135D" w:rsidRPr="00C84814" w:rsidRDefault="00A9135D" w:rsidP="00A9135D">
      <w:pPr>
        <w:shd w:val="clear" w:color="auto" w:fill="FFFFFF"/>
        <w:jc w:val="both"/>
        <w:rPr>
          <w:rFonts w:ascii="Arial" w:hAnsi="Arial" w:cs="Arial"/>
          <w:sz w:val="20"/>
          <w:lang w:val="es-ES"/>
        </w:rPr>
      </w:pPr>
    </w:p>
    <w:p w14:paraId="3BAFFC68" w14:textId="77777777" w:rsidR="00A9135D" w:rsidRPr="00C84814" w:rsidRDefault="00A9135D" w:rsidP="00CC42D2">
      <w:pPr>
        <w:numPr>
          <w:ilvl w:val="0"/>
          <w:numId w:val="94"/>
        </w:numPr>
        <w:jc w:val="both"/>
        <w:rPr>
          <w:rFonts w:ascii="Arial" w:hAnsi="Arial" w:cs="Arial"/>
          <w:sz w:val="20"/>
        </w:rPr>
      </w:pPr>
      <w:r w:rsidRPr="00C84814">
        <w:rPr>
          <w:rFonts w:ascii="Arial" w:hAnsi="Arial" w:cs="Arial"/>
          <w:sz w:val="20"/>
        </w:rPr>
        <w:t>La revisión de los niveles de apetito de riesgo y los objetivos estratégicos claves a ser incorporados en el presupuesto y plan de negocios. Ello incluye la estimación de ingresos, gastos y necesidades de capital para las áreas de negocio en los próximos 2 años considerando asimismo las expectativas macroeconómicas y el marco regulatorio. Esta fase comienza con los lineamientos estratégicos que define el Directorio. En base a dichos lineamientos es desarrollada y discutida por la Alta Gerencia y es posteriormente elevada para la aprobación del Directorio.</w:t>
      </w:r>
    </w:p>
    <w:p w14:paraId="6973067C" w14:textId="77777777" w:rsidR="00A9135D" w:rsidRPr="00C84814" w:rsidRDefault="00A9135D" w:rsidP="00A9135D">
      <w:pPr>
        <w:ind w:left="720"/>
        <w:jc w:val="both"/>
        <w:rPr>
          <w:rFonts w:ascii="Arial" w:hAnsi="Arial" w:cs="Arial"/>
          <w:sz w:val="20"/>
        </w:rPr>
      </w:pPr>
    </w:p>
    <w:p w14:paraId="7CCCA1AE" w14:textId="77777777" w:rsidR="00A9135D" w:rsidRPr="00C84814" w:rsidRDefault="00A9135D" w:rsidP="00CC42D2">
      <w:pPr>
        <w:numPr>
          <w:ilvl w:val="0"/>
          <w:numId w:val="94"/>
        </w:numPr>
        <w:jc w:val="both"/>
        <w:rPr>
          <w:rFonts w:ascii="Arial" w:hAnsi="Arial" w:cs="Arial"/>
          <w:sz w:val="20"/>
        </w:rPr>
      </w:pPr>
      <w:r w:rsidRPr="00C84814">
        <w:rPr>
          <w:rFonts w:ascii="Arial" w:hAnsi="Arial" w:cs="Arial"/>
          <w:sz w:val="20"/>
        </w:rPr>
        <w:t>La definición de objetivos específicos del plan de negocios que surge de los lineamientos estratégicos de la fase anterior incluye un presupuesto detallado a nivel mensual para el primer año mientras que para el segundo año posee un nivel de agregación mayor y se realiza por periodos semestrales. El plan de negocios detallado es elaborado con la participación de distintas áreas de la Entidad:</w:t>
      </w:r>
    </w:p>
    <w:p w14:paraId="516379DC" w14:textId="77777777" w:rsidR="00A9135D" w:rsidRPr="00C84814" w:rsidRDefault="00A9135D" w:rsidP="00A9135D">
      <w:pPr>
        <w:suppressAutoHyphens/>
        <w:spacing w:line="100" w:lineRule="atLeast"/>
        <w:ind w:left="1797"/>
        <w:jc w:val="both"/>
        <w:rPr>
          <w:rFonts w:ascii="Arial" w:hAnsi="Arial" w:cs="Arial"/>
          <w:sz w:val="20"/>
        </w:rPr>
      </w:pPr>
    </w:p>
    <w:p w14:paraId="7046CB41" w14:textId="77777777" w:rsidR="00A9135D" w:rsidRPr="00C84814" w:rsidRDefault="00A9135D" w:rsidP="00CC42D2">
      <w:pPr>
        <w:numPr>
          <w:ilvl w:val="1"/>
          <w:numId w:val="95"/>
        </w:numPr>
        <w:suppressAutoHyphens/>
        <w:spacing w:line="100" w:lineRule="atLeast"/>
        <w:jc w:val="both"/>
        <w:rPr>
          <w:rFonts w:ascii="Arial" w:hAnsi="Arial" w:cs="Arial"/>
          <w:sz w:val="20"/>
        </w:rPr>
      </w:pPr>
      <w:r w:rsidRPr="00C84814">
        <w:rPr>
          <w:rFonts w:ascii="Arial" w:hAnsi="Arial" w:cs="Arial"/>
          <w:sz w:val="20"/>
        </w:rPr>
        <w:t>Administración y Control de Gestión elabora el plan y su presupuesto siguiendo los lineamientos ya mencionados, las consideraciones regulatorias e interactuando con todas las áreas de negocio y soporte de la Entidad.</w:t>
      </w:r>
    </w:p>
    <w:p w14:paraId="66F070C0" w14:textId="77777777" w:rsidR="00A9135D" w:rsidRPr="00C84814" w:rsidRDefault="00A9135D" w:rsidP="00A9135D">
      <w:pPr>
        <w:suppressAutoHyphens/>
        <w:spacing w:line="100" w:lineRule="atLeast"/>
        <w:ind w:left="1797"/>
        <w:jc w:val="both"/>
        <w:rPr>
          <w:rFonts w:ascii="Arial" w:hAnsi="Arial" w:cs="Arial"/>
          <w:sz w:val="20"/>
        </w:rPr>
      </w:pPr>
    </w:p>
    <w:p w14:paraId="31226492" w14:textId="77777777" w:rsidR="00A9135D" w:rsidRPr="00C84814" w:rsidRDefault="00A9135D" w:rsidP="00CC42D2">
      <w:pPr>
        <w:numPr>
          <w:ilvl w:val="1"/>
          <w:numId w:val="95"/>
        </w:numPr>
        <w:suppressAutoHyphens/>
        <w:spacing w:line="100" w:lineRule="atLeast"/>
        <w:ind w:left="1797" w:hanging="357"/>
        <w:jc w:val="both"/>
        <w:rPr>
          <w:rFonts w:ascii="Arial" w:hAnsi="Arial" w:cs="Arial"/>
          <w:sz w:val="20"/>
        </w:rPr>
      </w:pPr>
      <w:r w:rsidRPr="00C84814">
        <w:rPr>
          <w:rFonts w:ascii="Arial" w:hAnsi="Arial" w:cs="Arial"/>
          <w:sz w:val="20"/>
        </w:rPr>
        <w:t>Finanzas considera los distintos aspectos que hacen a la planificación financiera.</w:t>
      </w:r>
    </w:p>
    <w:p w14:paraId="0F790152" w14:textId="77777777" w:rsidR="00A9135D" w:rsidRPr="00C84814" w:rsidRDefault="00A9135D" w:rsidP="00A9135D">
      <w:pPr>
        <w:suppressAutoHyphens/>
        <w:spacing w:line="100" w:lineRule="atLeast"/>
        <w:ind w:left="1797"/>
        <w:jc w:val="both"/>
        <w:rPr>
          <w:rFonts w:ascii="Arial" w:hAnsi="Arial" w:cs="Arial"/>
          <w:sz w:val="20"/>
        </w:rPr>
      </w:pPr>
    </w:p>
    <w:p w14:paraId="303456D2" w14:textId="77777777" w:rsidR="00A9135D" w:rsidRPr="00C84814" w:rsidRDefault="00A9135D" w:rsidP="00CC42D2">
      <w:pPr>
        <w:numPr>
          <w:ilvl w:val="1"/>
          <w:numId w:val="95"/>
        </w:numPr>
        <w:suppressAutoHyphens/>
        <w:spacing w:line="100" w:lineRule="atLeast"/>
        <w:ind w:left="1797" w:hanging="357"/>
        <w:jc w:val="both"/>
        <w:rPr>
          <w:rFonts w:ascii="Arial" w:hAnsi="Arial" w:cs="Arial"/>
          <w:sz w:val="20"/>
        </w:rPr>
      </w:pPr>
      <w:r w:rsidRPr="00C84814">
        <w:rPr>
          <w:rFonts w:ascii="Arial" w:hAnsi="Arial" w:cs="Arial"/>
          <w:sz w:val="20"/>
        </w:rPr>
        <w:t>Riesgos verifica el cumplimiento de los niveles de apetito al riesgo y junto a Finanzas y Administración realiza la evaluación de las proyecciones de suficiencia de capital regulatorio y económico para el escenario previsto en el plan de negocios y también para escenarios de estrés.</w:t>
      </w:r>
    </w:p>
    <w:p w14:paraId="62F37A52" w14:textId="77777777" w:rsidR="00A9135D" w:rsidRPr="00C84814" w:rsidRDefault="00A9135D" w:rsidP="00A9135D">
      <w:pPr>
        <w:suppressAutoHyphens/>
        <w:spacing w:line="100" w:lineRule="atLeast"/>
        <w:ind w:left="1797"/>
        <w:jc w:val="both"/>
        <w:rPr>
          <w:rFonts w:ascii="Arial" w:hAnsi="Arial" w:cs="Arial"/>
          <w:sz w:val="20"/>
        </w:rPr>
      </w:pPr>
    </w:p>
    <w:p w14:paraId="31A8994C" w14:textId="77777777" w:rsidR="00A9135D" w:rsidRPr="00C84814" w:rsidRDefault="00A9135D" w:rsidP="00CC42D2">
      <w:pPr>
        <w:numPr>
          <w:ilvl w:val="1"/>
          <w:numId w:val="95"/>
        </w:numPr>
        <w:suppressAutoHyphens/>
        <w:spacing w:line="100" w:lineRule="atLeast"/>
        <w:ind w:left="1797" w:hanging="357"/>
        <w:jc w:val="both"/>
        <w:rPr>
          <w:rFonts w:ascii="Arial" w:hAnsi="Arial" w:cs="Arial"/>
          <w:sz w:val="20"/>
        </w:rPr>
      </w:pPr>
      <w:r w:rsidRPr="00C84814">
        <w:rPr>
          <w:rFonts w:ascii="Arial" w:hAnsi="Arial" w:cs="Arial"/>
          <w:sz w:val="20"/>
        </w:rPr>
        <w:t xml:space="preserve">La Gerencia General y todas las Gerencias Corporativas que constituyen la Alta Gerencia hacen la revisión final del presupuesto y plan de negocios, los que son aprobados al igual que en la fase anterior por el Directorio. </w:t>
      </w:r>
    </w:p>
    <w:p w14:paraId="2C0DB59A" w14:textId="77777777" w:rsidR="00A9135D" w:rsidRPr="00C84814" w:rsidRDefault="00A9135D" w:rsidP="00A9135D">
      <w:pPr>
        <w:ind w:left="1797"/>
        <w:jc w:val="both"/>
        <w:rPr>
          <w:rFonts w:ascii="Arial" w:hAnsi="Arial" w:cs="Arial"/>
          <w:sz w:val="20"/>
        </w:rPr>
      </w:pPr>
    </w:p>
    <w:p w14:paraId="24FCA93E" w14:textId="77777777" w:rsidR="00A9135D" w:rsidRPr="00C84814" w:rsidRDefault="00A9135D" w:rsidP="00A9135D">
      <w:pPr>
        <w:shd w:val="clear" w:color="auto" w:fill="FFFFFF"/>
        <w:jc w:val="both"/>
        <w:rPr>
          <w:rFonts w:ascii="Arial" w:hAnsi="Arial" w:cs="Arial"/>
          <w:sz w:val="20"/>
          <w:lang w:val="es-ES"/>
        </w:rPr>
      </w:pPr>
      <w:r w:rsidRPr="00C84814">
        <w:rPr>
          <w:rFonts w:ascii="Arial" w:hAnsi="Arial" w:cs="Arial"/>
          <w:sz w:val="20"/>
          <w:lang w:val="es-ES"/>
        </w:rPr>
        <w:t>Se desprende, por lo tanto, que los objetivos específicos previstos en el plan de negocios y presupuestos se encuentran alineados con la estrategia general de negocios y riesgos de la Dirección.</w:t>
      </w:r>
    </w:p>
    <w:p w14:paraId="0BF57044" w14:textId="77777777" w:rsidR="00A9135D" w:rsidRPr="00C84814" w:rsidRDefault="00A9135D" w:rsidP="00A9135D">
      <w:pPr>
        <w:shd w:val="clear" w:color="auto" w:fill="FFFFFF"/>
        <w:ind w:left="1134"/>
        <w:jc w:val="both"/>
        <w:rPr>
          <w:rFonts w:ascii="Arial" w:hAnsi="Arial" w:cs="Arial"/>
          <w:sz w:val="20"/>
          <w:lang w:val="es-ES"/>
        </w:rPr>
      </w:pPr>
    </w:p>
    <w:p w14:paraId="61E091C8" w14:textId="77777777" w:rsidR="00A9135D" w:rsidRPr="00C84814" w:rsidRDefault="00A9135D" w:rsidP="00A9135D">
      <w:pPr>
        <w:shd w:val="clear" w:color="auto" w:fill="FFFFFF"/>
        <w:jc w:val="both"/>
        <w:rPr>
          <w:rFonts w:ascii="Arial" w:hAnsi="Arial" w:cs="Arial"/>
          <w:sz w:val="20"/>
          <w:lang w:val="es-ES"/>
        </w:rPr>
      </w:pPr>
      <w:r w:rsidRPr="00C84814">
        <w:rPr>
          <w:rFonts w:ascii="Arial" w:hAnsi="Arial" w:cs="Arial"/>
          <w:sz w:val="20"/>
          <w:lang w:val="es-ES"/>
        </w:rPr>
        <w:t>El proceso descripto es comunicado a los distintos niveles de la organización, con asignación de prioridades, responsabilidades específicas y tiempos de ejecución de los proyectos, que aseguren el logro de los objetivos perseguidos, en forma coordinada y sistemática.</w:t>
      </w:r>
    </w:p>
    <w:p w14:paraId="7F457E85" w14:textId="77777777" w:rsidR="00A9135D" w:rsidRPr="00C84814" w:rsidRDefault="00A9135D" w:rsidP="00A9135D">
      <w:pPr>
        <w:shd w:val="clear" w:color="auto" w:fill="FFFFFF"/>
        <w:ind w:left="1134"/>
        <w:jc w:val="both"/>
        <w:rPr>
          <w:rFonts w:ascii="Arial" w:hAnsi="Arial" w:cs="Arial"/>
          <w:sz w:val="20"/>
          <w:lang w:val="es-ES"/>
        </w:rPr>
      </w:pPr>
    </w:p>
    <w:p w14:paraId="28139E7E" w14:textId="77777777" w:rsidR="00A9135D" w:rsidRPr="00C84814" w:rsidRDefault="00A9135D" w:rsidP="00A9135D">
      <w:pPr>
        <w:jc w:val="both"/>
        <w:rPr>
          <w:rFonts w:ascii="Arial" w:hAnsi="Arial" w:cs="Arial"/>
          <w:sz w:val="20"/>
        </w:rPr>
      </w:pPr>
      <w:r w:rsidRPr="00C84814">
        <w:rPr>
          <w:rFonts w:ascii="Arial" w:hAnsi="Arial" w:cs="Arial"/>
          <w:sz w:val="20"/>
        </w:rPr>
        <w:t>El Directorio debe aprobar una Política de Aprobación de Operaciones con Partes Relacionadas y Personas Vinculadas con el propósito de establecer los lineamientos generales para regular las operaciones entre el Banco y sus personas vinculadas, de tal forma que se celebren dando cumplimiento a las normas del Banco Central de la República Argentina que rigen la materia, en términos de transparencia, equidad e imparcialidad, se reflejen debidamente en los estados contables, y se realicen bajo buenas prácticas de gobierno corporativo, en línea con los principios y valores organizacionales, el Código de Gobierno Corporativo y demás políticas impartidas por el D</w:t>
      </w:r>
      <w:r w:rsidRPr="00C84814">
        <w:rPr>
          <w:rFonts w:ascii="Arial" w:eastAsia="Calibri" w:hAnsi="Arial" w:cs="Arial"/>
          <w:bCs/>
          <w:kern w:val="32"/>
          <w:sz w:val="20"/>
          <w:lang w:val="es-ES" w:eastAsia="es-ES"/>
        </w:rPr>
        <w:t>irectorio</w:t>
      </w:r>
      <w:r w:rsidRPr="00C84814">
        <w:rPr>
          <w:rFonts w:ascii="Arial" w:hAnsi="Arial" w:cs="Arial"/>
          <w:sz w:val="20"/>
        </w:rPr>
        <w:t>.</w:t>
      </w:r>
    </w:p>
    <w:p w14:paraId="13B40A17" w14:textId="77777777" w:rsidR="00A9135D" w:rsidRPr="00C84814" w:rsidRDefault="00A9135D" w:rsidP="00A9135D">
      <w:pPr>
        <w:jc w:val="both"/>
        <w:rPr>
          <w:rFonts w:ascii="Arial" w:hAnsi="Arial" w:cs="Arial"/>
          <w:sz w:val="20"/>
        </w:rPr>
      </w:pPr>
    </w:p>
    <w:p w14:paraId="7CF3BE50" w14:textId="77777777" w:rsidR="00A9135D" w:rsidRPr="00C84814" w:rsidRDefault="00A9135D" w:rsidP="00A9135D">
      <w:pPr>
        <w:shd w:val="clear" w:color="auto" w:fill="FFFFFF"/>
        <w:suppressAutoHyphens/>
        <w:spacing w:line="100" w:lineRule="atLeast"/>
        <w:jc w:val="both"/>
        <w:rPr>
          <w:rFonts w:ascii="Arial" w:eastAsia="Calibri" w:hAnsi="Arial" w:cs="Arial"/>
          <w:sz w:val="20"/>
        </w:rPr>
      </w:pPr>
    </w:p>
    <w:p w14:paraId="2DD8F87A" w14:textId="77777777" w:rsidR="00A9135D" w:rsidRPr="00C84814" w:rsidRDefault="00A9135D" w:rsidP="00A9135D">
      <w:pPr>
        <w:jc w:val="both"/>
        <w:rPr>
          <w:rFonts w:ascii="Arial" w:hAnsi="Arial" w:cs="Arial"/>
          <w:sz w:val="20"/>
          <w:lang w:val="es-ES"/>
        </w:rPr>
      </w:pPr>
      <w:r w:rsidRPr="00C84814">
        <w:rPr>
          <w:rFonts w:ascii="Arial" w:hAnsi="Arial" w:cs="Arial"/>
          <w:sz w:val="20"/>
          <w:lang w:val="es-ES"/>
        </w:rPr>
        <w:t>Además, en línea con las mejores prácticas en la materia, Banco Supervielle S.A. adhirió, en su condición de sociedad controlada, a las siguientes políticas corporativas de Grupo Supervielle S.A.:</w:t>
      </w:r>
    </w:p>
    <w:p w14:paraId="77C12C12" w14:textId="77777777" w:rsidR="00A9135D" w:rsidRPr="00C84814" w:rsidRDefault="00A9135D" w:rsidP="00A9135D">
      <w:pPr>
        <w:jc w:val="both"/>
        <w:rPr>
          <w:rFonts w:ascii="Arial" w:hAnsi="Arial" w:cs="Arial"/>
          <w:sz w:val="20"/>
          <w:lang w:val="es-ES"/>
        </w:rPr>
      </w:pPr>
    </w:p>
    <w:p w14:paraId="48C4A0E1" w14:textId="77777777" w:rsidR="00A9135D" w:rsidRPr="00C84814" w:rsidRDefault="00A9135D" w:rsidP="00A9135D">
      <w:pPr>
        <w:numPr>
          <w:ilvl w:val="0"/>
          <w:numId w:val="61"/>
        </w:numPr>
        <w:jc w:val="both"/>
        <w:rPr>
          <w:rFonts w:ascii="Arial" w:hAnsi="Arial" w:cs="Arial"/>
          <w:sz w:val="20"/>
          <w:lang w:val="es-ES"/>
        </w:rPr>
      </w:pPr>
      <w:r w:rsidRPr="00C84814">
        <w:rPr>
          <w:rFonts w:ascii="Arial" w:hAnsi="Arial" w:cs="Arial"/>
          <w:sz w:val="20"/>
          <w:lang w:val="es-ES"/>
        </w:rPr>
        <w:t>Política de Compliance</w:t>
      </w:r>
    </w:p>
    <w:p w14:paraId="3A5CB8C5" w14:textId="77777777" w:rsidR="00A9135D" w:rsidRPr="00C84814" w:rsidRDefault="00A9135D" w:rsidP="00A9135D">
      <w:pPr>
        <w:numPr>
          <w:ilvl w:val="0"/>
          <w:numId w:val="61"/>
        </w:numPr>
        <w:jc w:val="both"/>
        <w:rPr>
          <w:rFonts w:ascii="Arial" w:hAnsi="Arial" w:cs="Arial"/>
          <w:sz w:val="20"/>
          <w:lang w:val="es-ES"/>
        </w:rPr>
      </w:pPr>
      <w:r w:rsidRPr="00C84814">
        <w:rPr>
          <w:rFonts w:ascii="Arial" w:hAnsi="Arial" w:cs="Arial"/>
          <w:sz w:val="20"/>
          <w:lang w:val="es-ES"/>
        </w:rPr>
        <w:t>Política de Comunicación con Inversores, Confidencialidad y Uso de Información Privilegiada</w:t>
      </w:r>
    </w:p>
    <w:p w14:paraId="12294006" w14:textId="77777777" w:rsidR="00A9135D" w:rsidRPr="00C84814" w:rsidRDefault="00A9135D" w:rsidP="00A9135D">
      <w:pPr>
        <w:numPr>
          <w:ilvl w:val="0"/>
          <w:numId w:val="61"/>
        </w:numPr>
        <w:jc w:val="both"/>
        <w:rPr>
          <w:rFonts w:ascii="Arial" w:hAnsi="Arial" w:cs="Arial"/>
          <w:sz w:val="20"/>
          <w:lang w:val="es-ES"/>
        </w:rPr>
      </w:pPr>
      <w:r w:rsidRPr="00C84814">
        <w:rPr>
          <w:rFonts w:ascii="Arial" w:hAnsi="Arial" w:cs="Arial"/>
          <w:sz w:val="20"/>
          <w:lang w:val="es-ES"/>
        </w:rPr>
        <w:t xml:space="preserve">Política de Conflicto de Intereses  </w:t>
      </w:r>
    </w:p>
    <w:p w14:paraId="5389F394" w14:textId="77777777" w:rsidR="00A9135D" w:rsidRPr="00C84814" w:rsidRDefault="00A9135D" w:rsidP="00A9135D">
      <w:pPr>
        <w:numPr>
          <w:ilvl w:val="0"/>
          <w:numId w:val="61"/>
        </w:numPr>
        <w:jc w:val="both"/>
        <w:rPr>
          <w:rFonts w:ascii="Arial" w:hAnsi="Arial" w:cs="Arial"/>
          <w:sz w:val="20"/>
          <w:lang w:val="es-ES"/>
        </w:rPr>
      </w:pPr>
      <w:r w:rsidRPr="00C84814">
        <w:rPr>
          <w:rFonts w:ascii="Arial" w:hAnsi="Arial" w:cs="Arial"/>
          <w:sz w:val="20"/>
          <w:lang w:val="es-ES"/>
        </w:rPr>
        <w:t>Política de Regalos y Viajes Comerciales de Clientes</w:t>
      </w:r>
    </w:p>
    <w:p w14:paraId="6E5266F4" w14:textId="77777777" w:rsidR="00A9135D" w:rsidRPr="00C84814" w:rsidRDefault="00A9135D" w:rsidP="00A9135D">
      <w:pPr>
        <w:numPr>
          <w:ilvl w:val="0"/>
          <w:numId w:val="61"/>
        </w:numPr>
        <w:jc w:val="both"/>
        <w:rPr>
          <w:rFonts w:ascii="Arial" w:hAnsi="Arial" w:cs="Arial"/>
          <w:sz w:val="20"/>
          <w:lang w:val="es-ES"/>
        </w:rPr>
      </w:pPr>
      <w:r w:rsidRPr="00C84814">
        <w:rPr>
          <w:rFonts w:ascii="Arial" w:hAnsi="Arial" w:cs="Arial"/>
          <w:sz w:val="20"/>
          <w:lang w:val="es-ES"/>
        </w:rPr>
        <w:t>Política de Operaciones con Partes Relacionadas</w:t>
      </w:r>
    </w:p>
    <w:p w14:paraId="6A4497F3" w14:textId="77777777" w:rsidR="00A9135D" w:rsidRPr="00C84814" w:rsidRDefault="00A9135D" w:rsidP="00A9135D">
      <w:pPr>
        <w:numPr>
          <w:ilvl w:val="0"/>
          <w:numId w:val="61"/>
        </w:numPr>
        <w:jc w:val="both"/>
        <w:rPr>
          <w:rFonts w:ascii="Arial" w:hAnsi="Arial" w:cs="Arial"/>
          <w:sz w:val="20"/>
          <w:lang w:val="es-ES"/>
        </w:rPr>
      </w:pPr>
      <w:r w:rsidRPr="00C84814">
        <w:rPr>
          <w:rFonts w:ascii="Arial" w:hAnsi="Arial" w:cs="Arial"/>
          <w:sz w:val="20"/>
          <w:lang w:val="es-ES"/>
        </w:rPr>
        <w:t>Política de Privacidad y Protección de Datos Personales</w:t>
      </w:r>
    </w:p>
    <w:p w14:paraId="6486221D" w14:textId="77777777" w:rsidR="00A9135D" w:rsidRPr="00C84814" w:rsidRDefault="00A9135D" w:rsidP="00A9135D">
      <w:pPr>
        <w:numPr>
          <w:ilvl w:val="0"/>
          <w:numId w:val="61"/>
        </w:numPr>
        <w:jc w:val="both"/>
        <w:rPr>
          <w:rFonts w:ascii="Arial" w:hAnsi="Arial" w:cs="Arial"/>
          <w:sz w:val="20"/>
          <w:lang w:val="es-ES"/>
        </w:rPr>
      </w:pPr>
      <w:r w:rsidRPr="00C84814">
        <w:rPr>
          <w:rFonts w:ascii="Arial" w:hAnsi="Arial" w:cs="Arial"/>
          <w:sz w:val="20"/>
          <w:lang w:val="es-ES"/>
        </w:rPr>
        <w:t>Política de Seguridad de la Navegación por Internet</w:t>
      </w:r>
    </w:p>
    <w:p w14:paraId="08D78E67" w14:textId="77777777" w:rsidR="00A9135D" w:rsidRPr="00C84814" w:rsidRDefault="00A9135D" w:rsidP="00A9135D">
      <w:pPr>
        <w:numPr>
          <w:ilvl w:val="0"/>
          <w:numId w:val="61"/>
        </w:numPr>
        <w:jc w:val="both"/>
        <w:rPr>
          <w:rFonts w:ascii="Arial" w:hAnsi="Arial" w:cs="Arial"/>
          <w:sz w:val="20"/>
          <w:lang w:val="es-ES"/>
        </w:rPr>
      </w:pPr>
      <w:r w:rsidRPr="00C84814">
        <w:rPr>
          <w:rFonts w:ascii="Arial" w:hAnsi="Arial" w:cs="Arial"/>
          <w:sz w:val="20"/>
          <w:lang w:val="es-ES"/>
        </w:rPr>
        <w:t>Política de Seguridad e Higiene.</w:t>
      </w:r>
    </w:p>
    <w:p w14:paraId="507EAD0E" w14:textId="77777777" w:rsidR="00A9135D" w:rsidRPr="00C84814" w:rsidRDefault="00A9135D" w:rsidP="00A9135D">
      <w:pPr>
        <w:shd w:val="clear" w:color="auto" w:fill="FFFFFF"/>
        <w:jc w:val="both"/>
        <w:rPr>
          <w:rFonts w:ascii="Arial" w:hAnsi="Arial" w:cs="Arial"/>
          <w:b/>
          <w:sz w:val="20"/>
        </w:rPr>
      </w:pPr>
    </w:p>
    <w:p w14:paraId="26C1CF4C" w14:textId="7AAAFEDD" w:rsidR="00A9135D" w:rsidRPr="00C902C8" w:rsidRDefault="00A9135D" w:rsidP="00CC42D2">
      <w:pPr>
        <w:pStyle w:val="Prrafodelista"/>
        <w:numPr>
          <w:ilvl w:val="3"/>
          <w:numId w:val="92"/>
        </w:numPr>
        <w:shd w:val="clear" w:color="auto" w:fill="FFFFFF"/>
        <w:suppressAutoHyphens/>
        <w:spacing w:line="100" w:lineRule="atLeast"/>
        <w:jc w:val="both"/>
        <w:rPr>
          <w:rFonts w:ascii="Arial" w:hAnsi="Arial" w:cs="Arial"/>
          <w:b/>
          <w:sz w:val="20"/>
        </w:rPr>
      </w:pPr>
      <w:r w:rsidRPr="00C902C8">
        <w:rPr>
          <w:rFonts w:ascii="Arial" w:hAnsi="Arial" w:cs="Arial"/>
          <w:b/>
          <w:sz w:val="20"/>
          <w:u w:val="single"/>
        </w:rPr>
        <w:t>Alta Gerencia</w:t>
      </w:r>
    </w:p>
    <w:p w14:paraId="743A6EF2" w14:textId="77777777" w:rsidR="00A9135D" w:rsidRPr="00C84814" w:rsidRDefault="00A9135D" w:rsidP="00A9135D">
      <w:pPr>
        <w:ind w:firstLine="720"/>
        <w:jc w:val="both"/>
        <w:rPr>
          <w:rFonts w:ascii="Arial" w:hAnsi="Arial" w:cs="Arial"/>
          <w:b/>
          <w:sz w:val="20"/>
        </w:rPr>
      </w:pPr>
    </w:p>
    <w:p w14:paraId="00BF400A" w14:textId="77777777" w:rsidR="00A9135D" w:rsidRPr="00C84814" w:rsidRDefault="00A9135D" w:rsidP="00A9135D">
      <w:pPr>
        <w:jc w:val="both"/>
        <w:rPr>
          <w:rFonts w:ascii="Arial" w:eastAsia="Calibri" w:hAnsi="Arial" w:cs="Arial"/>
          <w:sz w:val="20"/>
        </w:rPr>
      </w:pPr>
      <w:r w:rsidRPr="00C84814">
        <w:rPr>
          <w:rFonts w:ascii="Arial" w:hAnsi="Arial" w:cs="Arial"/>
          <w:sz w:val="20"/>
        </w:rPr>
        <w:t>L</w:t>
      </w:r>
      <w:r w:rsidRPr="00C84814">
        <w:rPr>
          <w:rFonts w:ascii="Arial" w:eastAsia="Calibri" w:hAnsi="Arial" w:cs="Arial"/>
          <w:sz w:val="20"/>
        </w:rPr>
        <w:t xml:space="preserve">a Alta Gerencia tiene a su cargo la gestión ordinaria de los negocios. Su responsabilidad primaria es la implementación y la ejecución de las políticas y objetivos societarios definidos por el Directorio. Eleva a la aprobación del Directorio los planes de acción estratégicos, las políticas de riesgos y los presupuestos y planes anuales y, una vez aprobados por el Directorio, los ejecuta. </w:t>
      </w:r>
    </w:p>
    <w:p w14:paraId="44087881" w14:textId="77777777" w:rsidR="00A9135D" w:rsidRPr="00C84814" w:rsidRDefault="00A9135D" w:rsidP="00A9135D">
      <w:pPr>
        <w:ind w:firstLine="720"/>
        <w:jc w:val="both"/>
        <w:rPr>
          <w:rFonts w:ascii="Arial" w:eastAsia="Calibri" w:hAnsi="Arial" w:cs="Arial"/>
          <w:sz w:val="20"/>
        </w:rPr>
      </w:pPr>
    </w:p>
    <w:p w14:paraId="1403C189" w14:textId="77777777" w:rsidR="00A9135D" w:rsidRPr="00C84814" w:rsidRDefault="00A9135D" w:rsidP="00A9135D">
      <w:pPr>
        <w:jc w:val="both"/>
        <w:rPr>
          <w:rFonts w:ascii="Arial" w:eastAsia="Calibri" w:hAnsi="Arial" w:cs="Arial"/>
          <w:sz w:val="20"/>
        </w:rPr>
      </w:pPr>
      <w:r w:rsidRPr="00C84814">
        <w:rPr>
          <w:rFonts w:ascii="Arial" w:eastAsia="Calibri" w:hAnsi="Arial" w:cs="Arial"/>
          <w:sz w:val="20"/>
        </w:rPr>
        <w:t>Está conformada por la Gerencia General y las distintas Gerencias Corporativas que le reportan.</w:t>
      </w:r>
    </w:p>
    <w:p w14:paraId="6F246D73" w14:textId="77777777" w:rsidR="00A9135D" w:rsidRPr="00C84814" w:rsidRDefault="00A9135D" w:rsidP="00A9135D">
      <w:pPr>
        <w:ind w:firstLine="720"/>
        <w:jc w:val="both"/>
        <w:rPr>
          <w:rFonts w:ascii="Arial" w:eastAsia="Calibri" w:hAnsi="Arial" w:cs="Arial"/>
          <w:sz w:val="20"/>
        </w:rPr>
      </w:pPr>
    </w:p>
    <w:p w14:paraId="6387B5F5" w14:textId="77777777" w:rsidR="00A9135D" w:rsidRPr="00C84814" w:rsidRDefault="00A9135D" w:rsidP="00A9135D">
      <w:pPr>
        <w:jc w:val="both"/>
        <w:rPr>
          <w:rFonts w:ascii="Arial" w:eastAsia="Calibri" w:hAnsi="Arial" w:cs="Arial"/>
          <w:sz w:val="20"/>
        </w:rPr>
      </w:pPr>
      <w:r w:rsidRPr="00C84814">
        <w:rPr>
          <w:rFonts w:ascii="Arial" w:eastAsia="Calibri" w:hAnsi="Arial" w:cs="Arial"/>
          <w:sz w:val="20"/>
        </w:rPr>
        <w:t>Las funciones y responsabilidades de la Alta Gerencia son establecidas por el Directorio a través de la definición de las estrategias corporativas. Sin perjuicio de ello, será función de la Alta Gerencia:</w:t>
      </w:r>
    </w:p>
    <w:p w14:paraId="685C6878" w14:textId="77777777" w:rsidR="00A9135D" w:rsidRPr="00C84814" w:rsidRDefault="00A9135D" w:rsidP="00A9135D">
      <w:pPr>
        <w:ind w:firstLine="720"/>
        <w:jc w:val="both"/>
        <w:rPr>
          <w:rFonts w:ascii="Arial" w:eastAsia="Calibri" w:hAnsi="Arial" w:cs="Arial"/>
          <w:sz w:val="20"/>
        </w:rPr>
      </w:pPr>
    </w:p>
    <w:p w14:paraId="3C20B616" w14:textId="77777777" w:rsidR="00A9135D" w:rsidRPr="00C84814" w:rsidRDefault="00A9135D" w:rsidP="00A9135D">
      <w:pPr>
        <w:numPr>
          <w:ilvl w:val="0"/>
          <w:numId w:val="58"/>
        </w:numPr>
        <w:shd w:val="clear" w:color="auto" w:fill="FFFFFF"/>
        <w:suppressAutoHyphens/>
        <w:spacing w:line="100" w:lineRule="atLeast"/>
        <w:jc w:val="both"/>
        <w:rPr>
          <w:rFonts w:ascii="Arial" w:hAnsi="Arial" w:cs="Arial"/>
          <w:sz w:val="20"/>
        </w:rPr>
      </w:pPr>
      <w:r w:rsidRPr="00C84814">
        <w:rPr>
          <w:rFonts w:ascii="Arial" w:hAnsi="Arial" w:cs="Arial"/>
          <w:sz w:val="20"/>
        </w:rPr>
        <w:t>Implementar las estrategias y objetivos establecidos por el Directorio.</w:t>
      </w:r>
    </w:p>
    <w:p w14:paraId="4DF63273" w14:textId="77777777" w:rsidR="00A9135D" w:rsidRPr="00C84814" w:rsidRDefault="00A9135D" w:rsidP="00A9135D">
      <w:pPr>
        <w:numPr>
          <w:ilvl w:val="0"/>
          <w:numId w:val="58"/>
        </w:numPr>
        <w:shd w:val="clear" w:color="auto" w:fill="FFFFFF"/>
        <w:suppressAutoHyphens/>
        <w:spacing w:line="100" w:lineRule="atLeast"/>
        <w:jc w:val="both"/>
        <w:rPr>
          <w:rFonts w:ascii="Arial" w:hAnsi="Arial" w:cs="Arial"/>
          <w:sz w:val="20"/>
        </w:rPr>
      </w:pPr>
      <w:r w:rsidRPr="00C84814">
        <w:rPr>
          <w:rFonts w:ascii="Arial" w:hAnsi="Arial" w:cs="Arial"/>
          <w:sz w:val="20"/>
        </w:rPr>
        <w:t>Desarrollar los procesos para identificar, evaluar, controlar, monitorear y mitigar los riesgos en que incurre la Entidad.</w:t>
      </w:r>
    </w:p>
    <w:p w14:paraId="78FA320D" w14:textId="77777777" w:rsidR="00A9135D" w:rsidRPr="00C84814" w:rsidRDefault="00A9135D" w:rsidP="00A9135D">
      <w:pPr>
        <w:numPr>
          <w:ilvl w:val="0"/>
          <w:numId w:val="58"/>
        </w:numPr>
        <w:shd w:val="clear" w:color="auto" w:fill="FFFFFF"/>
        <w:suppressAutoHyphens/>
        <w:spacing w:line="100" w:lineRule="atLeast"/>
        <w:jc w:val="both"/>
        <w:rPr>
          <w:rFonts w:ascii="Arial" w:hAnsi="Arial" w:cs="Arial"/>
          <w:sz w:val="20"/>
        </w:rPr>
      </w:pPr>
      <w:r w:rsidRPr="00C84814">
        <w:rPr>
          <w:rFonts w:ascii="Arial" w:hAnsi="Arial" w:cs="Arial"/>
          <w:sz w:val="20"/>
        </w:rPr>
        <w:t>Asignar responsabilidades y vigilar su cumplimiento.</w:t>
      </w:r>
    </w:p>
    <w:p w14:paraId="315F197B" w14:textId="77777777" w:rsidR="00A9135D" w:rsidRPr="00C84814" w:rsidRDefault="00A9135D" w:rsidP="00A9135D">
      <w:pPr>
        <w:numPr>
          <w:ilvl w:val="0"/>
          <w:numId w:val="58"/>
        </w:numPr>
        <w:shd w:val="clear" w:color="auto" w:fill="FFFFFF"/>
        <w:suppressAutoHyphens/>
        <w:spacing w:line="100" w:lineRule="atLeast"/>
        <w:jc w:val="both"/>
        <w:rPr>
          <w:rFonts w:ascii="Arial" w:hAnsi="Arial" w:cs="Arial"/>
          <w:sz w:val="20"/>
        </w:rPr>
      </w:pPr>
      <w:r w:rsidRPr="00C84814">
        <w:rPr>
          <w:rFonts w:ascii="Arial" w:hAnsi="Arial" w:cs="Arial"/>
          <w:sz w:val="20"/>
        </w:rPr>
        <w:t>Implementar sistemas apropiados de control interno e informar al Directorio sobre el cumplimiento de los objetivos.</w:t>
      </w:r>
    </w:p>
    <w:p w14:paraId="286147CC" w14:textId="77777777" w:rsidR="00A9135D" w:rsidRPr="00C84814" w:rsidRDefault="00A9135D" w:rsidP="00A9135D">
      <w:pPr>
        <w:numPr>
          <w:ilvl w:val="0"/>
          <w:numId w:val="58"/>
        </w:numPr>
        <w:shd w:val="clear" w:color="auto" w:fill="FFFFFF"/>
        <w:suppressAutoHyphens/>
        <w:spacing w:line="100" w:lineRule="atLeast"/>
        <w:jc w:val="both"/>
        <w:rPr>
          <w:rFonts w:ascii="Arial" w:hAnsi="Arial" w:cs="Arial"/>
          <w:sz w:val="20"/>
          <w:lang w:val="es-ES"/>
        </w:rPr>
      </w:pPr>
      <w:r w:rsidRPr="00C84814">
        <w:rPr>
          <w:rFonts w:ascii="Arial" w:hAnsi="Arial" w:cs="Arial"/>
          <w:sz w:val="20"/>
        </w:rPr>
        <w:t xml:space="preserve">Utilizar los informes generados por las auditorías interna y externa a fin de evaluar la gestión. </w:t>
      </w:r>
    </w:p>
    <w:p w14:paraId="370C14DB" w14:textId="77777777" w:rsidR="00A9135D" w:rsidRPr="00C84814" w:rsidRDefault="00A9135D" w:rsidP="00A9135D">
      <w:pPr>
        <w:shd w:val="clear" w:color="auto" w:fill="FFFFFF"/>
        <w:jc w:val="both"/>
        <w:rPr>
          <w:rFonts w:ascii="Arial" w:hAnsi="Arial" w:cs="Arial"/>
          <w:sz w:val="20"/>
          <w:lang w:val="es-ES"/>
        </w:rPr>
      </w:pPr>
    </w:p>
    <w:p w14:paraId="6588F4CA" w14:textId="77777777" w:rsidR="00A9135D" w:rsidRPr="00C84814" w:rsidRDefault="00A9135D" w:rsidP="00A9135D">
      <w:pPr>
        <w:shd w:val="clear" w:color="auto" w:fill="FFFFFF"/>
        <w:jc w:val="both"/>
        <w:rPr>
          <w:rFonts w:ascii="Arial" w:hAnsi="Arial" w:cs="Arial"/>
          <w:sz w:val="20"/>
          <w:lang w:val="es-ES"/>
        </w:rPr>
      </w:pPr>
      <w:r w:rsidRPr="00C84814">
        <w:rPr>
          <w:rFonts w:ascii="Arial" w:hAnsi="Arial" w:cs="Arial"/>
          <w:sz w:val="20"/>
          <w:lang w:val="es-ES"/>
        </w:rPr>
        <w:t>Los propósitos y responsabilidades de la Alta Gerencia se describen en el manual de funciones de la entidad y los mismos se complementan con las políticas y procedimientos específicos aplicables a cada una de las áreas correspondientes.</w:t>
      </w:r>
    </w:p>
    <w:p w14:paraId="5223E46A" w14:textId="77777777" w:rsidR="00A9135D" w:rsidRPr="00C84814" w:rsidRDefault="00A9135D" w:rsidP="00A9135D">
      <w:pPr>
        <w:jc w:val="both"/>
        <w:rPr>
          <w:rFonts w:ascii="Arial" w:hAnsi="Arial" w:cs="Arial"/>
          <w:sz w:val="20"/>
          <w:lang w:val="es-ES"/>
        </w:rPr>
      </w:pPr>
    </w:p>
    <w:p w14:paraId="45FE9A16" w14:textId="77777777" w:rsidR="00A9135D" w:rsidRPr="00E541A5" w:rsidRDefault="00A9135D" w:rsidP="00CC42D2">
      <w:pPr>
        <w:pStyle w:val="Prrafodelista"/>
        <w:numPr>
          <w:ilvl w:val="3"/>
          <w:numId w:val="92"/>
        </w:numPr>
        <w:tabs>
          <w:tab w:val="left" w:pos="142"/>
        </w:tabs>
        <w:suppressAutoHyphens/>
        <w:spacing w:line="100" w:lineRule="atLeast"/>
        <w:jc w:val="both"/>
        <w:rPr>
          <w:rFonts w:ascii="Arial" w:hAnsi="Arial" w:cs="Arial"/>
          <w:sz w:val="20"/>
        </w:rPr>
      </w:pPr>
      <w:r w:rsidRPr="00E541A5">
        <w:rPr>
          <w:rFonts w:ascii="Arial" w:hAnsi="Arial" w:cs="Arial"/>
          <w:b/>
          <w:sz w:val="20"/>
          <w:u w:val="single"/>
        </w:rPr>
        <w:t>Comités de Directorio</w:t>
      </w:r>
    </w:p>
    <w:p w14:paraId="536A2731" w14:textId="77777777" w:rsidR="00A9135D" w:rsidRPr="00C84814" w:rsidRDefault="00A9135D" w:rsidP="00A9135D">
      <w:pPr>
        <w:tabs>
          <w:tab w:val="left" w:pos="142"/>
        </w:tabs>
        <w:jc w:val="both"/>
        <w:rPr>
          <w:rFonts w:ascii="Arial" w:hAnsi="Arial" w:cs="Arial"/>
          <w:sz w:val="20"/>
        </w:rPr>
      </w:pPr>
    </w:p>
    <w:p w14:paraId="2A6E5D8A" w14:textId="77777777" w:rsidR="00A9135D" w:rsidRPr="00C84814" w:rsidRDefault="00A9135D" w:rsidP="00A9135D">
      <w:pPr>
        <w:tabs>
          <w:tab w:val="left" w:pos="142"/>
        </w:tabs>
        <w:jc w:val="both"/>
        <w:rPr>
          <w:rFonts w:ascii="Arial" w:hAnsi="Arial" w:cs="Arial"/>
          <w:sz w:val="20"/>
        </w:rPr>
      </w:pPr>
      <w:r w:rsidRPr="00C84814">
        <w:rPr>
          <w:rFonts w:ascii="Arial" w:hAnsi="Arial" w:cs="Arial"/>
          <w:sz w:val="20"/>
        </w:rPr>
        <w:t>El Directorio forma parte de los comités que se detallan a continuación:</w:t>
      </w:r>
    </w:p>
    <w:p w14:paraId="67074FB2" w14:textId="77777777" w:rsidR="00A9135D" w:rsidRPr="00C84814" w:rsidRDefault="00A9135D" w:rsidP="00A9135D">
      <w:pPr>
        <w:tabs>
          <w:tab w:val="left" w:pos="142"/>
        </w:tabs>
        <w:jc w:val="both"/>
        <w:rPr>
          <w:rFonts w:ascii="Arial" w:hAnsi="Arial" w:cs="Arial"/>
          <w:sz w:val="20"/>
        </w:rPr>
      </w:pPr>
    </w:p>
    <w:p w14:paraId="1E895454" w14:textId="77777777" w:rsidR="00A9135D" w:rsidRPr="00C84814" w:rsidRDefault="00A9135D" w:rsidP="00A9135D">
      <w:pPr>
        <w:jc w:val="both"/>
        <w:rPr>
          <w:rFonts w:ascii="Arial" w:hAnsi="Arial" w:cs="Arial"/>
          <w:b/>
          <w:iCs/>
          <w:spacing w:val="15"/>
          <w:sz w:val="20"/>
        </w:rPr>
      </w:pPr>
      <w:r w:rsidRPr="00C84814">
        <w:rPr>
          <w:rFonts w:ascii="Arial" w:hAnsi="Arial" w:cs="Arial"/>
          <w:b/>
          <w:iCs/>
          <w:spacing w:val="15"/>
          <w:sz w:val="20"/>
        </w:rPr>
        <w:t>Comité de Auditoría</w:t>
      </w:r>
    </w:p>
    <w:p w14:paraId="1574ED3D" w14:textId="77777777" w:rsidR="00A9135D" w:rsidRPr="00C84814" w:rsidRDefault="00A9135D" w:rsidP="00A9135D">
      <w:pPr>
        <w:jc w:val="both"/>
        <w:rPr>
          <w:rFonts w:ascii="Arial" w:hAnsi="Arial" w:cs="Arial"/>
          <w:iCs/>
          <w:spacing w:val="15"/>
          <w:sz w:val="20"/>
        </w:rPr>
      </w:pPr>
    </w:p>
    <w:p w14:paraId="41BE0504" w14:textId="77777777" w:rsidR="00A9135D" w:rsidRPr="00C84814" w:rsidRDefault="00A9135D" w:rsidP="00A9135D">
      <w:pPr>
        <w:jc w:val="both"/>
        <w:rPr>
          <w:rFonts w:ascii="Arial" w:hAnsi="Arial" w:cs="Arial"/>
          <w:sz w:val="20"/>
        </w:rPr>
      </w:pPr>
      <w:r w:rsidRPr="00C84814">
        <w:rPr>
          <w:rFonts w:ascii="Arial" w:hAnsi="Arial" w:cs="Arial"/>
          <w:sz w:val="20"/>
        </w:rPr>
        <w:t xml:space="preserve">El Comité de Auditoría se rige por los lineamientos contenidos en las Normas Mínimas sobre Controles Internos de las Entidades Financieras del Banco Central de la República Argentina (texto ordenado por la Comunicación A 6552). Tiene el cometido de asistir al Directorio en la supervisión de los estados contables, el control del cumplimiento de las políticas, procesos, procedimientos y normas establecidas para cada una de las áreas de negocios del Banco y evaluar y aprobar las medidas correctivas propuestas por el responsable de cada área auditada bajo la supervisión de la Gerencia General.   </w:t>
      </w:r>
    </w:p>
    <w:p w14:paraId="31D34BB6" w14:textId="77777777" w:rsidR="00A9135D" w:rsidRPr="00C84814" w:rsidRDefault="00A9135D" w:rsidP="00A9135D">
      <w:pPr>
        <w:jc w:val="both"/>
        <w:rPr>
          <w:rFonts w:ascii="Arial" w:hAnsi="Arial" w:cs="Arial"/>
          <w:sz w:val="20"/>
        </w:rPr>
      </w:pPr>
    </w:p>
    <w:p w14:paraId="120C561E" w14:textId="77777777" w:rsidR="00A9135D" w:rsidRPr="00C84814" w:rsidRDefault="00A9135D" w:rsidP="00A9135D">
      <w:pPr>
        <w:jc w:val="both"/>
        <w:rPr>
          <w:rFonts w:ascii="Arial" w:hAnsi="Arial" w:cs="Arial"/>
          <w:sz w:val="20"/>
        </w:rPr>
      </w:pPr>
      <w:r w:rsidRPr="00C84814">
        <w:rPr>
          <w:rFonts w:ascii="Arial" w:hAnsi="Arial" w:cs="Arial"/>
          <w:sz w:val="20"/>
        </w:rPr>
        <w:t>El Comité de Auditoría tiene por objeto:</w:t>
      </w:r>
    </w:p>
    <w:p w14:paraId="7E507DEF" w14:textId="77777777" w:rsidR="00A9135D" w:rsidRPr="00C84814" w:rsidRDefault="00A9135D" w:rsidP="00A9135D">
      <w:pPr>
        <w:jc w:val="both"/>
        <w:rPr>
          <w:rFonts w:ascii="Arial" w:hAnsi="Arial" w:cs="Arial"/>
          <w:sz w:val="20"/>
        </w:rPr>
      </w:pPr>
      <w:r w:rsidRPr="00C84814">
        <w:rPr>
          <w:rFonts w:ascii="Arial" w:hAnsi="Arial" w:cs="Arial"/>
          <w:sz w:val="20"/>
        </w:rPr>
        <w:t xml:space="preserve"> </w:t>
      </w:r>
    </w:p>
    <w:p w14:paraId="70FC2D23" w14:textId="77777777" w:rsidR="00A9135D" w:rsidRPr="00C84814" w:rsidRDefault="00A9135D" w:rsidP="00CC42D2">
      <w:pPr>
        <w:numPr>
          <w:ilvl w:val="0"/>
          <w:numId w:val="96"/>
        </w:numPr>
        <w:ind w:left="567" w:hanging="567"/>
        <w:contextualSpacing/>
        <w:jc w:val="both"/>
        <w:rPr>
          <w:rFonts w:ascii="Arial" w:hAnsi="Arial" w:cs="Arial"/>
          <w:sz w:val="20"/>
        </w:rPr>
      </w:pPr>
      <w:r w:rsidRPr="00C84814">
        <w:rPr>
          <w:rFonts w:ascii="Arial" w:hAnsi="Arial" w:cs="Arial"/>
          <w:sz w:val="20"/>
        </w:rPr>
        <w:t>Supervisar la suficiencia, adecuación y eficaz funcionamiento de los sistemas de control interno.</w:t>
      </w:r>
    </w:p>
    <w:p w14:paraId="155C8689" w14:textId="77777777" w:rsidR="00A9135D" w:rsidRPr="00C84814" w:rsidRDefault="00A9135D" w:rsidP="00A9135D">
      <w:pPr>
        <w:ind w:left="567" w:hanging="567"/>
        <w:jc w:val="both"/>
        <w:rPr>
          <w:rFonts w:ascii="Arial" w:hAnsi="Arial" w:cs="Arial"/>
          <w:sz w:val="20"/>
        </w:rPr>
      </w:pPr>
    </w:p>
    <w:p w14:paraId="19A20220" w14:textId="77777777" w:rsidR="00A9135D" w:rsidRPr="00C84814" w:rsidRDefault="00A9135D" w:rsidP="00CC42D2">
      <w:pPr>
        <w:numPr>
          <w:ilvl w:val="0"/>
          <w:numId w:val="96"/>
        </w:numPr>
        <w:ind w:left="567" w:hanging="567"/>
        <w:contextualSpacing/>
        <w:jc w:val="both"/>
        <w:rPr>
          <w:rFonts w:ascii="Arial" w:hAnsi="Arial" w:cs="Arial"/>
          <w:sz w:val="20"/>
        </w:rPr>
      </w:pPr>
      <w:r w:rsidRPr="00C84814">
        <w:rPr>
          <w:rFonts w:ascii="Arial" w:hAnsi="Arial" w:cs="Arial"/>
          <w:sz w:val="20"/>
        </w:rPr>
        <w:t>Asegurarse de la corrección, fiabilidad, suficiencia y claridad de los estados contables y la información contable o financiera del Banco.</w:t>
      </w:r>
    </w:p>
    <w:p w14:paraId="77383C9F" w14:textId="77777777" w:rsidR="00A9135D" w:rsidRPr="00C84814" w:rsidRDefault="00A9135D" w:rsidP="00A9135D">
      <w:pPr>
        <w:ind w:left="567" w:hanging="567"/>
        <w:jc w:val="both"/>
        <w:rPr>
          <w:rFonts w:ascii="Arial" w:hAnsi="Arial" w:cs="Arial"/>
          <w:sz w:val="20"/>
        </w:rPr>
      </w:pPr>
    </w:p>
    <w:p w14:paraId="437A860A" w14:textId="77777777" w:rsidR="00A9135D" w:rsidRPr="00C84814" w:rsidRDefault="00A9135D" w:rsidP="00CC42D2">
      <w:pPr>
        <w:numPr>
          <w:ilvl w:val="0"/>
          <w:numId w:val="96"/>
        </w:numPr>
        <w:ind w:left="567" w:hanging="567"/>
        <w:contextualSpacing/>
        <w:jc w:val="both"/>
        <w:rPr>
          <w:rFonts w:ascii="Arial" w:hAnsi="Arial" w:cs="Arial"/>
          <w:sz w:val="20"/>
        </w:rPr>
      </w:pPr>
      <w:r w:rsidRPr="00C84814">
        <w:rPr>
          <w:rFonts w:ascii="Arial" w:hAnsi="Arial" w:cs="Arial"/>
          <w:sz w:val="20"/>
        </w:rPr>
        <w:t>Tomar conocimiento acerca del cumplimiento de la normativa aplicable en asuntos relacionados con el blanqueo de capitales, conductas en los mercados de valores, protección de datos así como que los requerimientos de información o actuación que hicieren los organismos oficiales competentes sobre estas materias sean atendidos en tiempo y forma adecuados.</w:t>
      </w:r>
    </w:p>
    <w:p w14:paraId="4E750539" w14:textId="77777777" w:rsidR="00A9135D" w:rsidRPr="00C84814" w:rsidRDefault="00A9135D" w:rsidP="00A9135D">
      <w:pPr>
        <w:ind w:left="567" w:hanging="567"/>
        <w:jc w:val="both"/>
        <w:rPr>
          <w:rFonts w:ascii="Arial" w:hAnsi="Arial" w:cs="Arial"/>
          <w:sz w:val="20"/>
        </w:rPr>
      </w:pPr>
    </w:p>
    <w:p w14:paraId="7A564281" w14:textId="77777777" w:rsidR="00A9135D" w:rsidRPr="00C84814" w:rsidRDefault="00A9135D" w:rsidP="00CC42D2">
      <w:pPr>
        <w:numPr>
          <w:ilvl w:val="0"/>
          <w:numId w:val="96"/>
        </w:numPr>
        <w:ind w:left="567" w:hanging="567"/>
        <w:contextualSpacing/>
        <w:jc w:val="both"/>
        <w:rPr>
          <w:rFonts w:ascii="Arial" w:hAnsi="Arial" w:cs="Arial"/>
          <w:sz w:val="20"/>
        </w:rPr>
      </w:pPr>
      <w:r w:rsidRPr="00C84814">
        <w:rPr>
          <w:rFonts w:ascii="Arial" w:hAnsi="Arial" w:cs="Arial"/>
          <w:sz w:val="20"/>
        </w:rPr>
        <w:t>Asegurarse de que los Códigos de Ética y de Conducta internos y ante los mercados de valores aplicables al personal del Banco cumplan las exigencias normativas y sean adecuados para el Banco.</w:t>
      </w:r>
    </w:p>
    <w:p w14:paraId="5A425728" w14:textId="77777777" w:rsidR="00A9135D" w:rsidRPr="00C84814" w:rsidRDefault="00A9135D" w:rsidP="00A9135D">
      <w:pPr>
        <w:ind w:left="567" w:hanging="567"/>
        <w:jc w:val="both"/>
        <w:rPr>
          <w:rFonts w:ascii="Arial" w:hAnsi="Arial" w:cs="Arial"/>
          <w:sz w:val="20"/>
        </w:rPr>
      </w:pPr>
    </w:p>
    <w:p w14:paraId="3E1682F5" w14:textId="77777777" w:rsidR="00A9135D" w:rsidRPr="00C84814" w:rsidRDefault="00A9135D" w:rsidP="00CC42D2">
      <w:pPr>
        <w:numPr>
          <w:ilvl w:val="0"/>
          <w:numId w:val="96"/>
        </w:numPr>
        <w:ind w:left="567" w:hanging="567"/>
        <w:contextualSpacing/>
        <w:jc w:val="both"/>
        <w:rPr>
          <w:rFonts w:ascii="Arial" w:hAnsi="Arial" w:cs="Arial"/>
          <w:sz w:val="20"/>
        </w:rPr>
      </w:pPr>
      <w:r w:rsidRPr="00C84814">
        <w:rPr>
          <w:rFonts w:ascii="Arial" w:hAnsi="Arial" w:cs="Arial"/>
          <w:sz w:val="20"/>
        </w:rPr>
        <w:t xml:space="preserve">Tomar conocimiento de las políticas de auditoría para asegurarse de que esten completas y actualizadas y aprobarlas y luego elevarlas al Directorio para su consideración y aprobación. </w:t>
      </w:r>
    </w:p>
    <w:p w14:paraId="00AABA4A" w14:textId="77777777" w:rsidR="00A9135D" w:rsidRPr="00C84814" w:rsidRDefault="00A9135D" w:rsidP="00A9135D">
      <w:pPr>
        <w:ind w:left="567" w:hanging="567"/>
        <w:jc w:val="both"/>
        <w:rPr>
          <w:rFonts w:ascii="Arial" w:hAnsi="Arial" w:cs="Arial"/>
          <w:sz w:val="20"/>
        </w:rPr>
      </w:pPr>
    </w:p>
    <w:p w14:paraId="30B94EB9" w14:textId="77777777" w:rsidR="00A9135D" w:rsidRPr="00C84814" w:rsidRDefault="00A9135D" w:rsidP="00CC42D2">
      <w:pPr>
        <w:numPr>
          <w:ilvl w:val="0"/>
          <w:numId w:val="96"/>
        </w:numPr>
        <w:ind w:left="567" w:hanging="567"/>
        <w:contextualSpacing/>
        <w:jc w:val="both"/>
        <w:rPr>
          <w:rFonts w:ascii="Arial" w:hAnsi="Arial" w:cs="Arial"/>
          <w:sz w:val="20"/>
        </w:rPr>
      </w:pPr>
      <w:r w:rsidRPr="00C84814">
        <w:rPr>
          <w:rFonts w:ascii="Arial" w:hAnsi="Arial" w:cs="Arial"/>
          <w:sz w:val="20"/>
        </w:rPr>
        <w:t>Informarse sobre los riesgos del Banco (financieros, reputacionales, legales y operativos) y supervisar el cumplimiento de las políticas diseñadas para mitigarlos.</w:t>
      </w:r>
    </w:p>
    <w:p w14:paraId="500DDEA2" w14:textId="77777777" w:rsidR="00A9135D" w:rsidRPr="00C84814" w:rsidRDefault="00A9135D" w:rsidP="00A9135D">
      <w:pPr>
        <w:ind w:left="567" w:hanging="567"/>
        <w:jc w:val="both"/>
        <w:rPr>
          <w:rFonts w:ascii="Arial" w:hAnsi="Arial" w:cs="Arial"/>
          <w:sz w:val="20"/>
        </w:rPr>
      </w:pPr>
    </w:p>
    <w:p w14:paraId="3F22C082" w14:textId="77777777" w:rsidR="00A9135D" w:rsidRPr="00C84814" w:rsidRDefault="00A9135D" w:rsidP="00CC42D2">
      <w:pPr>
        <w:numPr>
          <w:ilvl w:val="0"/>
          <w:numId w:val="96"/>
        </w:numPr>
        <w:ind w:left="567" w:hanging="567"/>
        <w:contextualSpacing/>
        <w:jc w:val="both"/>
        <w:rPr>
          <w:rFonts w:ascii="Arial" w:hAnsi="Arial" w:cs="Arial"/>
          <w:sz w:val="20"/>
        </w:rPr>
      </w:pPr>
      <w:r w:rsidRPr="00C84814">
        <w:rPr>
          <w:rFonts w:ascii="Arial" w:hAnsi="Arial" w:cs="Arial"/>
          <w:sz w:val="20"/>
        </w:rPr>
        <w:t>Evaluar la calidad de los procesos internos con el objetivo de mejorar la calidad del servicio al cliente, el control de riesgos y la eficiencia en el funcionamiento del Banco.</w:t>
      </w:r>
    </w:p>
    <w:p w14:paraId="334020AE" w14:textId="77777777" w:rsidR="00A9135D" w:rsidRPr="00C84814" w:rsidRDefault="00A9135D" w:rsidP="00A9135D">
      <w:pPr>
        <w:ind w:left="567" w:hanging="567"/>
        <w:jc w:val="both"/>
        <w:rPr>
          <w:rFonts w:ascii="Arial" w:hAnsi="Arial" w:cs="Arial"/>
          <w:sz w:val="20"/>
        </w:rPr>
      </w:pPr>
    </w:p>
    <w:p w14:paraId="3E328ACD" w14:textId="77777777" w:rsidR="00A9135D" w:rsidRPr="00C84814" w:rsidRDefault="00A9135D" w:rsidP="00CC42D2">
      <w:pPr>
        <w:numPr>
          <w:ilvl w:val="0"/>
          <w:numId w:val="96"/>
        </w:numPr>
        <w:ind w:left="567" w:hanging="567"/>
        <w:contextualSpacing/>
        <w:jc w:val="both"/>
        <w:rPr>
          <w:rFonts w:ascii="Arial" w:hAnsi="Arial" w:cs="Arial"/>
          <w:sz w:val="20"/>
        </w:rPr>
      </w:pPr>
      <w:r w:rsidRPr="00C84814">
        <w:rPr>
          <w:rFonts w:ascii="Arial" w:hAnsi="Arial" w:cs="Arial"/>
          <w:sz w:val="20"/>
        </w:rPr>
        <w:t>Asegurar la debida intervención del Directorio en la ratificación de las decisiones adoptadas por los comités cuando ello fuera requerido por las normas de gobierno corporativo y supervisar el fiel cumplimiento de dichas políticas.</w:t>
      </w:r>
    </w:p>
    <w:p w14:paraId="3403C146" w14:textId="77777777" w:rsidR="00A9135D" w:rsidRPr="00C84814" w:rsidRDefault="00A9135D" w:rsidP="00A9135D">
      <w:pPr>
        <w:jc w:val="both"/>
        <w:rPr>
          <w:rFonts w:ascii="Arial" w:hAnsi="Arial" w:cs="Arial"/>
          <w:sz w:val="20"/>
          <w:lang w:val="es-ES"/>
        </w:rPr>
      </w:pPr>
    </w:p>
    <w:p w14:paraId="0F1A7C5D" w14:textId="7AF6E954" w:rsidR="00A9135D" w:rsidRPr="00C84814" w:rsidRDefault="00A9135D" w:rsidP="00A9135D">
      <w:pPr>
        <w:jc w:val="both"/>
        <w:rPr>
          <w:rFonts w:ascii="Arial" w:hAnsi="Arial" w:cs="Arial"/>
          <w:sz w:val="20"/>
        </w:rPr>
      </w:pPr>
      <w:r w:rsidRPr="00C84814">
        <w:rPr>
          <w:rFonts w:ascii="Arial" w:hAnsi="Arial" w:cs="Arial"/>
          <w:sz w:val="20"/>
          <w:lang w:val="es-ES"/>
        </w:rPr>
        <w:t xml:space="preserve">El Comité de Auditoría está constituido por un mínimo de dos </w:t>
      </w:r>
      <w:r w:rsidR="00CB4373" w:rsidRPr="00C84814">
        <w:rPr>
          <w:rFonts w:ascii="Arial" w:hAnsi="Arial" w:cs="Arial"/>
          <w:sz w:val="20"/>
          <w:lang w:val="es-ES"/>
        </w:rPr>
        <w:t>directores</w:t>
      </w:r>
      <w:r w:rsidRPr="00C84814">
        <w:rPr>
          <w:rFonts w:ascii="Arial" w:hAnsi="Arial" w:cs="Arial"/>
          <w:sz w:val="20"/>
          <w:lang w:val="es-ES"/>
        </w:rPr>
        <w:t xml:space="preserve"> y por el responsable máximo de Auditoría Interna de la entidad. </w:t>
      </w:r>
    </w:p>
    <w:p w14:paraId="0621BEC6" w14:textId="77777777" w:rsidR="00A9135D" w:rsidRPr="00C84814" w:rsidRDefault="00A9135D" w:rsidP="00A9135D">
      <w:pPr>
        <w:jc w:val="both"/>
        <w:rPr>
          <w:rFonts w:ascii="Arial" w:hAnsi="Arial" w:cs="Arial"/>
          <w:b/>
          <w:iCs/>
          <w:spacing w:val="15"/>
          <w:sz w:val="20"/>
        </w:rPr>
      </w:pPr>
    </w:p>
    <w:p w14:paraId="57A0743D" w14:textId="77777777" w:rsidR="00A9135D" w:rsidRPr="00C84814" w:rsidRDefault="00A9135D" w:rsidP="00A9135D">
      <w:pPr>
        <w:jc w:val="both"/>
        <w:rPr>
          <w:rFonts w:ascii="Arial" w:hAnsi="Arial" w:cs="Arial"/>
          <w:b/>
          <w:iCs/>
          <w:spacing w:val="15"/>
          <w:sz w:val="20"/>
        </w:rPr>
      </w:pPr>
      <w:r w:rsidRPr="00C84814">
        <w:rPr>
          <w:rFonts w:ascii="Arial" w:hAnsi="Arial" w:cs="Arial"/>
          <w:b/>
          <w:iCs/>
          <w:spacing w:val="15"/>
          <w:sz w:val="20"/>
        </w:rPr>
        <w:t>Comité de Prevención de Lavado de Dinero y Financiamiento del Terrorismo</w:t>
      </w:r>
    </w:p>
    <w:p w14:paraId="41983ED9" w14:textId="77777777" w:rsidR="00A9135D" w:rsidRPr="00C84814" w:rsidRDefault="00A9135D" w:rsidP="00A9135D">
      <w:pPr>
        <w:jc w:val="both"/>
        <w:rPr>
          <w:rFonts w:ascii="Arial" w:hAnsi="Arial" w:cs="Arial"/>
          <w:b/>
          <w:sz w:val="20"/>
        </w:rPr>
      </w:pPr>
    </w:p>
    <w:p w14:paraId="08AFD9E3" w14:textId="77777777" w:rsidR="00A9135D" w:rsidRPr="00C84814" w:rsidRDefault="00A9135D" w:rsidP="00A9135D">
      <w:pPr>
        <w:shd w:val="clear" w:color="auto" w:fill="FFFFFF"/>
        <w:jc w:val="both"/>
        <w:rPr>
          <w:rFonts w:ascii="Arial" w:eastAsia="MS Mincho" w:hAnsi="Arial" w:cs="Arial"/>
          <w:sz w:val="20"/>
          <w:lang w:val="es-ES" w:eastAsia="es-ES"/>
        </w:rPr>
      </w:pPr>
      <w:r w:rsidRPr="00C84814">
        <w:rPr>
          <w:rFonts w:ascii="Arial" w:eastAsia="MS Mincho" w:hAnsi="Arial" w:cs="Arial"/>
          <w:sz w:val="20"/>
          <w:lang w:val="es-ES" w:eastAsia="es-ES"/>
        </w:rPr>
        <w:t>El Comité de Prevención de Lavado de Dinero y Financiación del Terrorismo tiene a su cargo entre otras funciones:</w:t>
      </w:r>
    </w:p>
    <w:p w14:paraId="5D467EC7" w14:textId="77777777" w:rsidR="00A9135D" w:rsidRPr="00C84814" w:rsidRDefault="00A9135D" w:rsidP="00A9135D">
      <w:pPr>
        <w:shd w:val="clear" w:color="auto" w:fill="FFFFFF"/>
        <w:jc w:val="both"/>
        <w:rPr>
          <w:rFonts w:ascii="Arial" w:eastAsia="MS Mincho" w:hAnsi="Arial" w:cs="Arial"/>
          <w:sz w:val="20"/>
          <w:lang w:val="es-ES" w:eastAsia="es-ES"/>
        </w:rPr>
      </w:pPr>
    </w:p>
    <w:p w14:paraId="747A83AA" w14:textId="77777777" w:rsidR="00A9135D" w:rsidRPr="00C84814" w:rsidRDefault="00A9135D" w:rsidP="00CC42D2">
      <w:pPr>
        <w:numPr>
          <w:ilvl w:val="0"/>
          <w:numId w:val="97"/>
        </w:numPr>
        <w:shd w:val="clear" w:color="auto" w:fill="FFFFFF"/>
        <w:ind w:left="567" w:hanging="578"/>
        <w:jc w:val="both"/>
        <w:rPr>
          <w:rFonts w:ascii="Arial" w:eastAsia="MS Mincho" w:hAnsi="Arial" w:cs="Arial"/>
          <w:sz w:val="20"/>
          <w:lang w:val="es-ES" w:eastAsia="es-ES"/>
        </w:rPr>
      </w:pPr>
      <w:r w:rsidRPr="00C84814">
        <w:rPr>
          <w:rFonts w:ascii="Arial" w:eastAsia="MS Mincho" w:hAnsi="Arial" w:cs="Arial"/>
          <w:sz w:val="20"/>
          <w:lang w:val="es-ES" w:eastAsia="es-ES"/>
        </w:rPr>
        <w:t xml:space="preserve">Considerar las estrategias y políticas generales del Banco en materia de prevención del lavado de dinero y de financiación del terrorismo presentadas por la Alta Gerencia y elevarlas con sus recomendaciones al Directorio para su aprobación. </w:t>
      </w:r>
    </w:p>
    <w:p w14:paraId="1B19F5C4" w14:textId="77777777" w:rsidR="00A9135D" w:rsidRPr="00C84814" w:rsidRDefault="00A9135D" w:rsidP="00A9135D">
      <w:pPr>
        <w:shd w:val="clear" w:color="auto" w:fill="FFFFFF"/>
        <w:ind w:left="567" w:hanging="567"/>
        <w:jc w:val="both"/>
        <w:rPr>
          <w:rFonts w:ascii="Arial" w:eastAsia="MS Mincho" w:hAnsi="Arial" w:cs="Arial"/>
          <w:sz w:val="20"/>
          <w:lang w:val="es-ES" w:eastAsia="es-ES"/>
        </w:rPr>
      </w:pPr>
    </w:p>
    <w:p w14:paraId="4DF60DFC" w14:textId="77777777" w:rsidR="00A9135D" w:rsidRPr="00C84814" w:rsidRDefault="00A9135D" w:rsidP="00CC42D2">
      <w:pPr>
        <w:numPr>
          <w:ilvl w:val="0"/>
          <w:numId w:val="97"/>
        </w:numPr>
        <w:shd w:val="clear" w:color="auto" w:fill="FFFFFF"/>
        <w:ind w:left="567" w:hanging="567"/>
        <w:jc w:val="both"/>
        <w:rPr>
          <w:rFonts w:ascii="Arial" w:eastAsia="MS Mincho" w:hAnsi="Arial" w:cs="Arial"/>
          <w:sz w:val="20"/>
          <w:lang w:val="es-ES" w:eastAsia="es-ES"/>
        </w:rPr>
      </w:pPr>
      <w:r w:rsidRPr="00C84814">
        <w:rPr>
          <w:rFonts w:ascii="Arial" w:eastAsia="MS Mincho" w:hAnsi="Arial" w:cs="Arial"/>
          <w:sz w:val="20"/>
          <w:lang w:val="es-ES" w:eastAsia="es-ES"/>
        </w:rPr>
        <w:t>Aprobar, en aplicación de las estrategias y políticas generales aprobadas por el Directorio, los procedimientos internos necesarios para asegurar el efectivo cumplimiento de las normas legales y políticas vigentes en la materia, promover su implementación y controlar su adecuado cumplimiento.</w:t>
      </w:r>
    </w:p>
    <w:p w14:paraId="738355B5" w14:textId="77777777" w:rsidR="00A9135D" w:rsidRPr="00C84814" w:rsidRDefault="00A9135D" w:rsidP="00A9135D">
      <w:pPr>
        <w:ind w:left="567" w:hanging="567"/>
        <w:jc w:val="both"/>
        <w:rPr>
          <w:rFonts w:ascii="Arial" w:hAnsi="Arial" w:cs="Arial"/>
          <w:sz w:val="20"/>
        </w:rPr>
      </w:pPr>
    </w:p>
    <w:p w14:paraId="107C06CE" w14:textId="77777777" w:rsidR="00A9135D" w:rsidRPr="00C84814" w:rsidRDefault="00A9135D" w:rsidP="00CC42D2">
      <w:pPr>
        <w:numPr>
          <w:ilvl w:val="0"/>
          <w:numId w:val="97"/>
        </w:numPr>
        <w:shd w:val="clear" w:color="auto" w:fill="FFFFFF"/>
        <w:ind w:left="567" w:hanging="567"/>
        <w:jc w:val="both"/>
        <w:rPr>
          <w:rFonts w:ascii="Arial" w:eastAsia="MS Mincho" w:hAnsi="Arial" w:cs="Arial"/>
          <w:sz w:val="20"/>
          <w:lang w:val="es-ES" w:eastAsia="es-ES"/>
        </w:rPr>
      </w:pPr>
      <w:r w:rsidRPr="00C84814">
        <w:rPr>
          <w:rFonts w:ascii="Arial" w:eastAsia="MS Mincho" w:hAnsi="Arial" w:cs="Arial"/>
          <w:sz w:val="20"/>
          <w:lang w:val="es-ES" w:eastAsia="es-ES"/>
        </w:rPr>
        <w:t>Tomar conocimiento de las modificaciones a las normas vigentes y asegurarse que se realicen las actualizaciones y adecuaciones de los manuales de políticas y procedimientos internos en relación con los temas de su competencia.</w:t>
      </w:r>
    </w:p>
    <w:p w14:paraId="011DBEAB" w14:textId="77777777" w:rsidR="00A9135D" w:rsidRPr="00C84814" w:rsidRDefault="00A9135D" w:rsidP="00A9135D">
      <w:pPr>
        <w:ind w:left="567" w:hanging="567"/>
        <w:jc w:val="both"/>
        <w:rPr>
          <w:rFonts w:ascii="Arial" w:hAnsi="Arial" w:cs="Arial"/>
          <w:sz w:val="20"/>
        </w:rPr>
      </w:pPr>
    </w:p>
    <w:p w14:paraId="6D285194" w14:textId="77777777" w:rsidR="00A9135D" w:rsidRPr="00C84814" w:rsidRDefault="00A9135D" w:rsidP="00CC42D2">
      <w:pPr>
        <w:numPr>
          <w:ilvl w:val="0"/>
          <w:numId w:val="97"/>
        </w:numPr>
        <w:shd w:val="clear" w:color="auto" w:fill="FFFFFF"/>
        <w:ind w:left="567" w:hanging="567"/>
        <w:jc w:val="both"/>
        <w:rPr>
          <w:rFonts w:ascii="Arial" w:eastAsia="MS Mincho" w:hAnsi="Arial" w:cs="Arial"/>
          <w:sz w:val="20"/>
          <w:lang w:val="es-ES" w:eastAsia="es-ES"/>
        </w:rPr>
      </w:pPr>
      <w:r w:rsidRPr="00C84814">
        <w:rPr>
          <w:rFonts w:ascii="Arial" w:eastAsia="MS Mincho" w:hAnsi="Arial" w:cs="Arial"/>
          <w:sz w:val="20"/>
          <w:lang w:val="es-ES" w:eastAsia="es-ES"/>
        </w:rPr>
        <w:t>Asegurarse que se coordine con la Gerencia de Recursos Humanos la adopción de un programa formal y permanente de capacitación, entrenamiento y actualización en la materia para sus empleados y la adopción de sistemas adecuados de preselección para asegurar normas estrictas de contratación de empleados.</w:t>
      </w:r>
    </w:p>
    <w:p w14:paraId="3ECE8218" w14:textId="77777777" w:rsidR="00A9135D" w:rsidRPr="00C84814" w:rsidRDefault="00A9135D" w:rsidP="00A9135D">
      <w:pPr>
        <w:ind w:left="567" w:hanging="567"/>
        <w:jc w:val="both"/>
        <w:rPr>
          <w:rFonts w:ascii="Arial" w:hAnsi="Arial" w:cs="Arial"/>
          <w:sz w:val="20"/>
        </w:rPr>
      </w:pPr>
    </w:p>
    <w:p w14:paraId="1361A452" w14:textId="77777777" w:rsidR="00A9135D" w:rsidRPr="00C84814" w:rsidRDefault="00A9135D" w:rsidP="00CC42D2">
      <w:pPr>
        <w:numPr>
          <w:ilvl w:val="0"/>
          <w:numId w:val="97"/>
        </w:numPr>
        <w:shd w:val="clear" w:color="auto" w:fill="FFFFFF"/>
        <w:ind w:left="567" w:hanging="567"/>
        <w:jc w:val="both"/>
        <w:rPr>
          <w:rFonts w:ascii="Arial" w:eastAsia="MS Mincho" w:hAnsi="Arial" w:cs="Arial"/>
          <w:sz w:val="20"/>
          <w:lang w:val="es-ES" w:eastAsia="es-ES"/>
        </w:rPr>
      </w:pPr>
      <w:r w:rsidRPr="00C84814">
        <w:rPr>
          <w:rFonts w:ascii="Arial" w:eastAsia="MS Mincho" w:hAnsi="Arial" w:cs="Arial"/>
          <w:sz w:val="20"/>
          <w:lang w:val="es-ES" w:eastAsia="es-ES"/>
        </w:rPr>
        <w:t xml:space="preserve">Entender en la consideración y el relevamiento de las mejores prácticas de mercado relativas a la prevención del lavado de dinero y financiación del terrorismo e impulsar su aplicación en el Banco. </w:t>
      </w:r>
    </w:p>
    <w:p w14:paraId="23E989D9" w14:textId="77777777" w:rsidR="00A9135D" w:rsidRPr="00C84814" w:rsidRDefault="00A9135D" w:rsidP="00A9135D">
      <w:pPr>
        <w:ind w:left="567" w:hanging="567"/>
        <w:jc w:val="both"/>
        <w:rPr>
          <w:rFonts w:ascii="Arial" w:hAnsi="Arial" w:cs="Arial"/>
          <w:sz w:val="20"/>
        </w:rPr>
      </w:pPr>
    </w:p>
    <w:p w14:paraId="515A1C2D" w14:textId="77777777" w:rsidR="00A9135D" w:rsidRPr="00C84814" w:rsidRDefault="00A9135D" w:rsidP="00CC42D2">
      <w:pPr>
        <w:numPr>
          <w:ilvl w:val="0"/>
          <w:numId w:val="97"/>
        </w:numPr>
        <w:shd w:val="clear" w:color="auto" w:fill="FFFFFF"/>
        <w:ind w:left="567" w:hanging="567"/>
        <w:jc w:val="both"/>
        <w:rPr>
          <w:rFonts w:ascii="Arial" w:eastAsia="MS Mincho" w:hAnsi="Arial" w:cs="Arial"/>
          <w:sz w:val="20"/>
          <w:lang w:val="es-ES" w:eastAsia="es-ES"/>
        </w:rPr>
      </w:pPr>
      <w:r w:rsidRPr="00C84814">
        <w:rPr>
          <w:rFonts w:ascii="Arial" w:eastAsia="MS Mincho" w:hAnsi="Arial" w:cs="Arial"/>
          <w:sz w:val="20"/>
          <w:lang w:val="es-ES" w:eastAsia="es-ES"/>
        </w:rPr>
        <w:t>Tomar conocimiento y promover el cumplimiento de las medidas correctivas surgidas como consecuencia de los informes de auditoría externa e interna referidos a la prevención del lavado de dinero y la financiación del terrorismo.</w:t>
      </w:r>
    </w:p>
    <w:p w14:paraId="08F7DC18" w14:textId="77777777" w:rsidR="00A9135D" w:rsidRPr="00C84814" w:rsidRDefault="00A9135D" w:rsidP="00A9135D">
      <w:pPr>
        <w:ind w:left="567" w:hanging="567"/>
        <w:jc w:val="both"/>
        <w:rPr>
          <w:rFonts w:ascii="Arial" w:hAnsi="Arial" w:cs="Arial"/>
          <w:sz w:val="20"/>
        </w:rPr>
      </w:pPr>
    </w:p>
    <w:p w14:paraId="27C32DDB" w14:textId="77777777" w:rsidR="00A9135D" w:rsidRPr="00C84814" w:rsidRDefault="00A9135D" w:rsidP="00CC42D2">
      <w:pPr>
        <w:numPr>
          <w:ilvl w:val="0"/>
          <w:numId w:val="97"/>
        </w:numPr>
        <w:shd w:val="clear" w:color="auto" w:fill="FFFFFF"/>
        <w:ind w:left="567" w:hanging="567"/>
        <w:jc w:val="both"/>
        <w:rPr>
          <w:rFonts w:ascii="Arial" w:eastAsia="MS Mincho" w:hAnsi="Arial" w:cs="Arial"/>
          <w:sz w:val="20"/>
          <w:lang w:val="es-ES" w:eastAsia="es-ES"/>
        </w:rPr>
      </w:pPr>
      <w:r w:rsidRPr="00C84814">
        <w:rPr>
          <w:rFonts w:ascii="Arial" w:eastAsia="MS Mincho" w:hAnsi="Arial" w:cs="Arial"/>
          <w:sz w:val="20"/>
          <w:lang w:val="es-ES" w:eastAsia="es-ES"/>
        </w:rPr>
        <w:t>Desarrollar todas aquellas funciones que establezcan las normas del BCRA, de la Unidad de Información Financiera (UIF) y demás disposiciones aplicables en la materia.</w:t>
      </w:r>
    </w:p>
    <w:p w14:paraId="05C2F9B0" w14:textId="77777777" w:rsidR="00A9135D" w:rsidRPr="00C84814" w:rsidRDefault="00A9135D" w:rsidP="00A9135D">
      <w:pPr>
        <w:jc w:val="both"/>
        <w:rPr>
          <w:rFonts w:ascii="Arial" w:hAnsi="Arial" w:cs="Arial"/>
          <w:sz w:val="20"/>
        </w:rPr>
      </w:pPr>
    </w:p>
    <w:p w14:paraId="23F18139" w14:textId="68FC3D3B" w:rsidR="00A9135D" w:rsidRPr="00C84814" w:rsidRDefault="00A9135D" w:rsidP="00A9135D">
      <w:pPr>
        <w:jc w:val="both"/>
        <w:rPr>
          <w:rFonts w:ascii="Arial" w:hAnsi="Arial" w:cs="Arial"/>
          <w:sz w:val="20"/>
        </w:rPr>
      </w:pPr>
      <w:r w:rsidRPr="00C84814">
        <w:rPr>
          <w:rFonts w:ascii="Arial" w:hAnsi="Arial" w:cs="Arial"/>
          <w:sz w:val="20"/>
          <w:lang w:val="es-ES"/>
        </w:rPr>
        <w:t xml:space="preserve">El Comité está constituido por dos </w:t>
      </w:r>
      <w:r w:rsidR="00CB4373" w:rsidRPr="00C84814">
        <w:rPr>
          <w:rFonts w:ascii="Arial" w:hAnsi="Arial" w:cs="Arial"/>
          <w:sz w:val="20"/>
          <w:lang w:val="es-ES"/>
        </w:rPr>
        <w:t>directores</w:t>
      </w:r>
      <w:r w:rsidRPr="00C84814">
        <w:rPr>
          <w:rFonts w:ascii="Arial" w:hAnsi="Arial" w:cs="Arial"/>
          <w:sz w:val="20"/>
          <w:lang w:val="es-ES"/>
        </w:rPr>
        <w:t xml:space="preserve"> (uno de los cuales se desempeña como Oficial de Cumplimiento ante la UIF y actúa como Presidente del Comité y el otro como Oficial de Cumplimiento Suplente), el Gerente General, el Gerente Corporativo de Legales y el Gerente de la Unidad de Prevención de Lavado de Dinero y Financiación del Terrorismo, que actúa como secretario del comité.</w:t>
      </w:r>
    </w:p>
    <w:p w14:paraId="02F72899" w14:textId="77777777" w:rsidR="00A9135D" w:rsidRPr="00C84814" w:rsidRDefault="00A9135D" w:rsidP="00A9135D">
      <w:pPr>
        <w:jc w:val="both"/>
        <w:rPr>
          <w:rFonts w:ascii="Arial" w:hAnsi="Arial" w:cs="Arial"/>
          <w:iCs/>
          <w:spacing w:val="15"/>
          <w:sz w:val="20"/>
        </w:rPr>
      </w:pPr>
    </w:p>
    <w:p w14:paraId="5EDD3498" w14:textId="77777777" w:rsidR="00A9135D" w:rsidRPr="00C84814" w:rsidRDefault="00A9135D" w:rsidP="00A9135D">
      <w:pPr>
        <w:jc w:val="both"/>
        <w:rPr>
          <w:rFonts w:ascii="Arial" w:hAnsi="Arial" w:cs="Arial"/>
          <w:b/>
          <w:iCs/>
          <w:spacing w:val="15"/>
          <w:sz w:val="20"/>
        </w:rPr>
      </w:pPr>
      <w:r w:rsidRPr="00C84814">
        <w:rPr>
          <w:rFonts w:ascii="Arial" w:hAnsi="Arial" w:cs="Arial"/>
          <w:b/>
          <w:iCs/>
          <w:spacing w:val="15"/>
          <w:sz w:val="20"/>
        </w:rPr>
        <w:t xml:space="preserve">Comité de Riesgos Integrales </w:t>
      </w:r>
    </w:p>
    <w:p w14:paraId="6737A235" w14:textId="77777777" w:rsidR="00A9135D" w:rsidRPr="00C84814" w:rsidRDefault="00A9135D" w:rsidP="00A9135D">
      <w:pPr>
        <w:jc w:val="both"/>
        <w:rPr>
          <w:rFonts w:ascii="Arial" w:hAnsi="Arial" w:cs="Arial"/>
          <w:iCs/>
          <w:spacing w:val="15"/>
          <w:sz w:val="20"/>
        </w:rPr>
      </w:pPr>
    </w:p>
    <w:p w14:paraId="5C56A6D1" w14:textId="77777777" w:rsidR="00A9135D" w:rsidRPr="00C84814" w:rsidRDefault="00A9135D" w:rsidP="00A9135D">
      <w:pPr>
        <w:shd w:val="clear" w:color="auto" w:fill="FFFFFF"/>
        <w:jc w:val="both"/>
        <w:rPr>
          <w:rFonts w:ascii="Arial" w:hAnsi="Arial" w:cs="Arial"/>
          <w:sz w:val="20"/>
        </w:rPr>
      </w:pPr>
      <w:r w:rsidRPr="00C84814">
        <w:rPr>
          <w:rFonts w:ascii="Arial" w:hAnsi="Arial" w:cs="Arial"/>
          <w:sz w:val="20"/>
        </w:rPr>
        <w:t xml:space="preserve">En línea con las mejores prácticas de gobierno societario y con arreglo a las recomendaciones formuladas por el Banco Central de la República Argentina en la Comunicación A 5201 (Lineamientos para el gobierno societario en entidades financieras) y en la Comunicación A 5398 (Lineamientos para la gestión de riesgos en entidades financieras), y sus respectivas normas complementarias y modificatorias, se ha creado el Comité de Riesgos Integrales. </w:t>
      </w:r>
    </w:p>
    <w:p w14:paraId="034A786C" w14:textId="77777777" w:rsidR="00A9135D" w:rsidRPr="00C84814" w:rsidRDefault="00A9135D" w:rsidP="00A9135D">
      <w:pPr>
        <w:shd w:val="clear" w:color="auto" w:fill="FFFFFF"/>
        <w:jc w:val="both"/>
        <w:rPr>
          <w:rFonts w:ascii="Arial" w:hAnsi="Arial" w:cs="Arial"/>
          <w:sz w:val="20"/>
        </w:rPr>
      </w:pPr>
    </w:p>
    <w:p w14:paraId="5AFA6834" w14:textId="77777777" w:rsidR="00A9135D" w:rsidRPr="00C84814" w:rsidRDefault="00A9135D" w:rsidP="00A9135D">
      <w:pPr>
        <w:autoSpaceDE w:val="0"/>
        <w:autoSpaceDN w:val="0"/>
        <w:jc w:val="both"/>
        <w:rPr>
          <w:rFonts w:ascii="Arial" w:hAnsi="Arial" w:cs="Arial"/>
          <w:sz w:val="20"/>
        </w:rPr>
      </w:pPr>
      <w:r w:rsidRPr="00C84814">
        <w:rPr>
          <w:rFonts w:ascii="Arial" w:hAnsi="Arial" w:cs="Arial"/>
          <w:sz w:val="20"/>
        </w:rPr>
        <w:t>Sus funciones son:</w:t>
      </w:r>
    </w:p>
    <w:p w14:paraId="537C69BC" w14:textId="77777777" w:rsidR="00A9135D" w:rsidRPr="00C84814" w:rsidRDefault="00A9135D" w:rsidP="00A9135D">
      <w:pPr>
        <w:autoSpaceDE w:val="0"/>
        <w:autoSpaceDN w:val="0"/>
        <w:jc w:val="both"/>
        <w:rPr>
          <w:rFonts w:ascii="Arial" w:hAnsi="Arial" w:cs="Arial"/>
          <w:sz w:val="20"/>
        </w:rPr>
      </w:pPr>
    </w:p>
    <w:p w14:paraId="66F12FC8" w14:textId="77777777" w:rsidR="00A9135D" w:rsidRPr="00C84814" w:rsidRDefault="00A9135D" w:rsidP="00CC42D2">
      <w:pPr>
        <w:numPr>
          <w:ilvl w:val="0"/>
          <w:numId w:val="98"/>
        </w:numPr>
        <w:autoSpaceDE w:val="0"/>
        <w:autoSpaceDN w:val="0"/>
        <w:ind w:left="567" w:hanging="567"/>
        <w:jc w:val="both"/>
        <w:rPr>
          <w:rFonts w:ascii="Arial" w:hAnsi="Arial" w:cs="Arial"/>
          <w:sz w:val="20"/>
        </w:rPr>
      </w:pPr>
      <w:r w:rsidRPr="00C84814">
        <w:rPr>
          <w:rFonts w:ascii="Arial" w:hAnsi="Arial" w:cs="Arial"/>
          <w:sz w:val="20"/>
        </w:rPr>
        <w:t>Dar tratamiento institucional a las estrategias y políticas para la gestión de los riesgos de crédito, mercado, riesgos estructurales de balance (tasa de interés y liquidez), riesgos de concentración, riesgos de titulización, riesgos operacionales, de reputación y estratégicos, y todo riesgo que pueda afectar a la Entidad conforme las regulaciones vigentes y mejores prácticas, verificando su correcta instrumentación y cumplimiento. Elevar para la aprobación del Directorio los documentos de estrategia y políticas referidas a gestión de riesgos. Dicha documentación deberá ser revisada anualmente para garantizar su vigencia.</w:t>
      </w:r>
    </w:p>
    <w:p w14:paraId="4DC2E75E" w14:textId="77777777" w:rsidR="00A9135D" w:rsidRPr="00C84814" w:rsidRDefault="00A9135D" w:rsidP="00A9135D">
      <w:pPr>
        <w:autoSpaceDE w:val="0"/>
        <w:autoSpaceDN w:val="0"/>
        <w:ind w:left="567"/>
        <w:jc w:val="both"/>
        <w:rPr>
          <w:rFonts w:ascii="Arial" w:hAnsi="Arial" w:cs="Arial"/>
          <w:sz w:val="20"/>
        </w:rPr>
      </w:pPr>
    </w:p>
    <w:p w14:paraId="4932E793" w14:textId="77777777" w:rsidR="00A9135D" w:rsidRPr="00C84814" w:rsidRDefault="00A9135D" w:rsidP="00CC42D2">
      <w:pPr>
        <w:numPr>
          <w:ilvl w:val="0"/>
          <w:numId w:val="98"/>
        </w:numPr>
        <w:autoSpaceDE w:val="0"/>
        <w:autoSpaceDN w:val="0"/>
        <w:ind w:left="567" w:hanging="567"/>
        <w:jc w:val="both"/>
        <w:rPr>
          <w:rFonts w:ascii="Arial" w:hAnsi="Arial" w:cs="Arial"/>
          <w:sz w:val="20"/>
        </w:rPr>
      </w:pPr>
      <w:r w:rsidRPr="00C84814">
        <w:rPr>
          <w:rFonts w:ascii="Arial" w:hAnsi="Arial" w:cs="Arial"/>
          <w:sz w:val="20"/>
        </w:rPr>
        <w:t>Definición de los niveles de apetito de riesgo de la Entidad así como del perfil de riesgos de la Entidad para la aprobación del Directorio.</w:t>
      </w:r>
    </w:p>
    <w:p w14:paraId="40EAD7DB" w14:textId="77777777" w:rsidR="00A9135D" w:rsidRPr="00C84814" w:rsidRDefault="00A9135D" w:rsidP="00A9135D">
      <w:pPr>
        <w:autoSpaceDE w:val="0"/>
        <w:autoSpaceDN w:val="0"/>
        <w:ind w:left="567"/>
        <w:jc w:val="both"/>
        <w:rPr>
          <w:rFonts w:ascii="Arial" w:hAnsi="Arial" w:cs="Arial"/>
          <w:sz w:val="20"/>
        </w:rPr>
      </w:pPr>
    </w:p>
    <w:p w14:paraId="0C67C427" w14:textId="77777777" w:rsidR="00A9135D" w:rsidRPr="00C84814" w:rsidRDefault="00A9135D" w:rsidP="00CC42D2">
      <w:pPr>
        <w:numPr>
          <w:ilvl w:val="0"/>
          <w:numId w:val="98"/>
        </w:numPr>
        <w:autoSpaceDE w:val="0"/>
        <w:autoSpaceDN w:val="0"/>
        <w:ind w:left="567" w:hanging="567"/>
        <w:jc w:val="both"/>
        <w:rPr>
          <w:rFonts w:ascii="Arial" w:hAnsi="Arial" w:cs="Arial"/>
          <w:sz w:val="20"/>
        </w:rPr>
      </w:pPr>
      <w:r w:rsidRPr="00C84814">
        <w:rPr>
          <w:rFonts w:ascii="Arial" w:hAnsi="Arial" w:cs="Arial"/>
          <w:sz w:val="20"/>
        </w:rPr>
        <w:t>Aprobación de la estructura de umbrales y límites para la gestión de los riesgos así como informarse de la evolución de los indicadores respectivos. Ello incluye el tablero de riesgos integrales informado por la Gerencia Corporativa de Riesgos Integrales y los mapas de riesgos (unificado y a nivel Banco individual) utilizados por la Mesa de Dinero para el control de las operaciones de trading en las carteras de negociación en ellos incluidas.</w:t>
      </w:r>
    </w:p>
    <w:p w14:paraId="03DCCC9C" w14:textId="77777777" w:rsidR="00A9135D" w:rsidRPr="00C84814" w:rsidRDefault="00A9135D" w:rsidP="00A9135D">
      <w:pPr>
        <w:autoSpaceDE w:val="0"/>
        <w:autoSpaceDN w:val="0"/>
        <w:ind w:left="567"/>
        <w:jc w:val="both"/>
        <w:rPr>
          <w:rFonts w:ascii="Arial" w:hAnsi="Arial" w:cs="Arial"/>
          <w:sz w:val="20"/>
        </w:rPr>
      </w:pPr>
    </w:p>
    <w:p w14:paraId="48A2383D" w14:textId="77777777" w:rsidR="00A9135D" w:rsidRPr="00C84814" w:rsidRDefault="00A9135D" w:rsidP="00CC42D2">
      <w:pPr>
        <w:numPr>
          <w:ilvl w:val="0"/>
          <w:numId w:val="98"/>
        </w:numPr>
        <w:autoSpaceDE w:val="0"/>
        <w:autoSpaceDN w:val="0"/>
        <w:ind w:left="567" w:hanging="567"/>
        <w:jc w:val="both"/>
        <w:rPr>
          <w:rFonts w:ascii="Arial" w:hAnsi="Arial" w:cs="Arial"/>
          <w:sz w:val="20"/>
        </w:rPr>
      </w:pPr>
      <w:r w:rsidRPr="00C84814">
        <w:rPr>
          <w:rFonts w:ascii="Arial" w:hAnsi="Arial" w:cs="Arial"/>
          <w:sz w:val="20"/>
        </w:rPr>
        <w:t>Monitorear en forma periódica los distintos riesgos del Banco</w:t>
      </w:r>
      <w:r>
        <w:rPr>
          <w:rFonts w:ascii="Arial" w:hAnsi="Arial" w:cs="Arial"/>
          <w:sz w:val="20"/>
        </w:rPr>
        <w:t xml:space="preserve"> </w:t>
      </w:r>
      <w:r w:rsidRPr="00C84814">
        <w:rPr>
          <w:rFonts w:ascii="Arial" w:hAnsi="Arial" w:cs="Arial"/>
          <w:sz w:val="20"/>
        </w:rPr>
        <w:t>y la aplicación de las estrategias y políticas definidas para la gestión de los mismos así como monitorear los riesgos correspondientes a las compañías controladas por la Entidad.</w:t>
      </w:r>
    </w:p>
    <w:p w14:paraId="12546583" w14:textId="77777777" w:rsidR="00A9135D" w:rsidRPr="00C84814" w:rsidRDefault="00A9135D" w:rsidP="00A9135D">
      <w:pPr>
        <w:autoSpaceDE w:val="0"/>
        <w:autoSpaceDN w:val="0"/>
        <w:ind w:left="567"/>
        <w:jc w:val="both"/>
        <w:rPr>
          <w:rFonts w:ascii="Arial" w:hAnsi="Arial" w:cs="Arial"/>
          <w:sz w:val="20"/>
        </w:rPr>
      </w:pPr>
    </w:p>
    <w:p w14:paraId="4AC714E7" w14:textId="77777777" w:rsidR="00A9135D" w:rsidRPr="00C84814" w:rsidRDefault="00A9135D" w:rsidP="00CC42D2">
      <w:pPr>
        <w:numPr>
          <w:ilvl w:val="0"/>
          <w:numId w:val="98"/>
        </w:numPr>
        <w:autoSpaceDE w:val="0"/>
        <w:autoSpaceDN w:val="0"/>
        <w:ind w:left="567" w:hanging="567"/>
        <w:jc w:val="both"/>
        <w:rPr>
          <w:rFonts w:ascii="Arial" w:hAnsi="Arial" w:cs="Arial"/>
          <w:sz w:val="20"/>
        </w:rPr>
      </w:pPr>
      <w:r w:rsidRPr="00C84814">
        <w:rPr>
          <w:rFonts w:ascii="Arial" w:hAnsi="Arial" w:cs="Arial"/>
          <w:sz w:val="20"/>
        </w:rPr>
        <w:t>Evaluar la adecuación del capital con relación al perfil de riesgos de la Entidad, dando tratamiento al Informe Anual de Autoevaluación del Capital (IAC) previo a su remisión para su consideración y aprobación por parte del Directorio.</w:t>
      </w:r>
    </w:p>
    <w:p w14:paraId="5279B23E" w14:textId="77777777" w:rsidR="00A9135D" w:rsidRPr="00C84814" w:rsidRDefault="00A9135D" w:rsidP="00A9135D">
      <w:pPr>
        <w:autoSpaceDE w:val="0"/>
        <w:autoSpaceDN w:val="0"/>
        <w:ind w:left="567"/>
        <w:jc w:val="both"/>
        <w:rPr>
          <w:rFonts w:ascii="Arial" w:hAnsi="Arial" w:cs="Arial"/>
          <w:sz w:val="20"/>
        </w:rPr>
      </w:pPr>
    </w:p>
    <w:p w14:paraId="21B7C393" w14:textId="77777777" w:rsidR="00A9135D" w:rsidRPr="00C84814" w:rsidRDefault="00A9135D" w:rsidP="00CC42D2">
      <w:pPr>
        <w:numPr>
          <w:ilvl w:val="0"/>
          <w:numId w:val="98"/>
        </w:numPr>
        <w:autoSpaceDE w:val="0"/>
        <w:autoSpaceDN w:val="0"/>
        <w:ind w:left="567" w:hanging="567"/>
        <w:jc w:val="both"/>
        <w:rPr>
          <w:rFonts w:ascii="Arial" w:hAnsi="Arial" w:cs="Arial"/>
          <w:sz w:val="20"/>
        </w:rPr>
      </w:pPr>
      <w:r w:rsidRPr="00C84814">
        <w:rPr>
          <w:rFonts w:ascii="Arial" w:hAnsi="Arial" w:cs="Arial"/>
          <w:sz w:val="20"/>
        </w:rPr>
        <w:t>Definir la política y marco metodológico para las pruebas de estrés dentro de la gestión integral de riesgos de la Entidad. Aprobar los escenarios que permiten realizar las pruebas de estrés individuales para los distintos riesgos así como la integral; evaluar y discutir los resultados de las pruebas de estrés presentadas y recomendar los planes de contingencia a aplicar, utilizando los resultados de las pruebas para la consideración del establecimiento o revisión de límites y elevando todos los resultados para la aprobación del Directorio.</w:t>
      </w:r>
    </w:p>
    <w:p w14:paraId="21D6AA15" w14:textId="77777777" w:rsidR="00A9135D" w:rsidRPr="00C84814" w:rsidRDefault="00A9135D" w:rsidP="00A9135D">
      <w:pPr>
        <w:autoSpaceDE w:val="0"/>
        <w:autoSpaceDN w:val="0"/>
        <w:ind w:left="567"/>
        <w:jc w:val="both"/>
        <w:rPr>
          <w:rFonts w:ascii="Arial" w:hAnsi="Arial" w:cs="Arial"/>
          <w:sz w:val="20"/>
        </w:rPr>
      </w:pPr>
    </w:p>
    <w:p w14:paraId="4347ACA3" w14:textId="77777777" w:rsidR="00A9135D" w:rsidRPr="00C84814" w:rsidRDefault="00A9135D" w:rsidP="00CC42D2">
      <w:pPr>
        <w:numPr>
          <w:ilvl w:val="0"/>
          <w:numId w:val="98"/>
        </w:numPr>
        <w:autoSpaceDE w:val="0"/>
        <w:autoSpaceDN w:val="0"/>
        <w:ind w:left="567" w:hanging="567"/>
        <w:jc w:val="both"/>
        <w:rPr>
          <w:rFonts w:ascii="Arial" w:hAnsi="Arial" w:cs="Arial"/>
          <w:sz w:val="20"/>
        </w:rPr>
      </w:pPr>
      <w:r w:rsidRPr="00C84814">
        <w:rPr>
          <w:rFonts w:ascii="Arial" w:hAnsi="Arial" w:cs="Arial"/>
          <w:sz w:val="20"/>
        </w:rPr>
        <w:t>Diseñar canales y sistemas de información efectivos para mantener al Directorio y la Alta Gerencia adecuada y oportunamente informada acerca de los distintos temas que hacen a la gestión de riesgos.</w:t>
      </w:r>
    </w:p>
    <w:p w14:paraId="2FB6CE38" w14:textId="77777777" w:rsidR="00A9135D" w:rsidRPr="00C84814" w:rsidRDefault="00A9135D" w:rsidP="00A9135D">
      <w:pPr>
        <w:autoSpaceDE w:val="0"/>
        <w:autoSpaceDN w:val="0"/>
        <w:ind w:left="567"/>
        <w:jc w:val="both"/>
        <w:rPr>
          <w:rFonts w:ascii="Arial" w:hAnsi="Arial" w:cs="Arial"/>
          <w:sz w:val="20"/>
        </w:rPr>
      </w:pPr>
    </w:p>
    <w:p w14:paraId="13120E7E" w14:textId="77777777" w:rsidR="00A9135D" w:rsidRPr="00C84814" w:rsidRDefault="00A9135D" w:rsidP="00CC42D2">
      <w:pPr>
        <w:numPr>
          <w:ilvl w:val="0"/>
          <w:numId w:val="98"/>
        </w:numPr>
        <w:autoSpaceDE w:val="0"/>
        <w:autoSpaceDN w:val="0"/>
        <w:ind w:left="567" w:hanging="567"/>
        <w:jc w:val="both"/>
        <w:rPr>
          <w:rFonts w:ascii="Arial" w:hAnsi="Arial" w:cs="Arial"/>
          <w:sz w:val="20"/>
        </w:rPr>
      </w:pPr>
      <w:r w:rsidRPr="00C84814">
        <w:rPr>
          <w:rFonts w:ascii="Arial" w:hAnsi="Arial" w:cs="Arial"/>
          <w:sz w:val="20"/>
        </w:rPr>
        <w:t>Aprobar el marco metodológico y desarrollos correspondientes para los modelos cuantitativos utilizados para gestionar los diversos riesgos así como el marco metodológico y modelos internos desarrollados para el cálculo de capital económico para cada uno de esos riesgos.</w:t>
      </w:r>
    </w:p>
    <w:p w14:paraId="36C2AA93" w14:textId="77777777" w:rsidR="00A9135D" w:rsidRPr="00C84814" w:rsidRDefault="00A9135D" w:rsidP="00A9135D">
      <w:pPr>
        <w:autoSpaceDE w:val="0"/>
        <w:autoSpaceDN w:val="0"/>
        <w:ind w:left="567"/>
        <w:jc w:val="both"/>
        <w:rPr>
          <w:rFonts w:ascii="Arial" w:hAnsi="Arial" w:cs="Arial"/>
          <w:sz w:val="20"/>
        </w:rPr>
      </w:pPr>
    </w:p>
    <w:p w14:paraId="6516A915" w14:textId="77777777" w:rsidR="00A9135D" w:rsidRPr="00C84814" w:rsidRDefault="00A9135D" w:rsidP="00CC42D2">
      <w:pPr>
        <w:numPr>
          <w:ilvl w:val="0"/>
          <w:numId w:val="98"/>
        </w:numPr>
        <w:autoSpaceDE w:val="0"/>
        <w:autoSpaceDN w:val="0"/>
        <w:ind w:left="567" w:hanging="567"/>
        <w:jc w:val="both"/>
        <w:rPr>
          <w:rFonts w:ascii="Arial" w:hAnsi="Arial" w:cs="Arial"/>
          <w:sz w:val="20"/>
        </w:rPr>
      </w:pPr>
      <w:r w:rsidRPr="00C84814">
        <w:rPr>
          <w:rFonts w:ascii="Arial" w:hAnsi="Arial" w:cs="Arial"/>
          <w:sz w:val="20"/>
        </w:rPr>
        <w:t>Tomar conocimiento de las circulares y normas que, en materia de riesgos, emitan en particular el Banco Central de la República Argentina y, en general, todo otro organismo de contralor, así como de la repercusión que la aplicación de tales circulares y normas pueda tener en las operatorias vigentes del Banco.</w:t>
      </w:r>
    </w:p>
    <w:p w14:paraId="3161891C" w14:textId="77777777" w:rsidR="00A9135D" w:rsidRPr="00C84814" w:rsidRDefault="00A9135D" w:rsidP="00A9135D">
      <w:pPr>
        <w:jc w:val="both"/>
        <w:rPr>
          <w:rFonts w:ascii="Arial" w:eastAsia="Calibri" w:hAnsi="Arial" w:cs="Arial"/>
          <w:sz w:val="20"/>
          <w:u w:color="000000"/>
          <w:lang w:val="es-ES"/>
        </w:rPr>
      </w:pPr>
    </w:p>
    <w:p w14:paraId="05D5C207" w14:textId="77777777" w:rsidR="00A9135D" w:rsidRPr="00C84814" w:rsidRDefault="00A9135D" w:rsidP="00A9135D">
      <w:pPr>
        <w:jc w:val="both"/>
        <w:rPr>
          <w:rFonts w:ascii="Arial" w:eastAsia="Calibri" w:hAnsi="Arial" w:cs="Arial"/>
          <w:sz w:val="20"/>
          <w:u w:color="000000"/>
        </w:rPr>
      </w:pPr>
      <w:r w:rsidRPr="00C84814">
        <w:rPr>
          <w:rFonts w:ascii="Arial" w:eastAsia="Calibri" w:hAnsi="Arial" w:cs="Arial"/>
          <w:sz w:val="20"/>
          <w:u w:color="000000"/>
          <w:lang w:val="es-ES"/>
        </w:rPr>
        <w:t xml:space="preserve">El Comité de Riesgos Integrales está constituido por al menos dos Directores, el Gerente General de Grupo Supervielle, el Gerente General de Banco Supervielle, el Gerente Corporativo de Riesgos Integrales (CRO), el Gerente Corporativo de Créditos, el Gerente Corporativo de Finanzas y Mercado de Capitales, el Gerente Corporativo de Administración y Control de Gestión (CFO), el Gerente </w:t>
      </w:r>
      <w:r w:rsidRPr="00C84814">
        <w:rPr>
          <w:rFonts w:ascii="Arial" w:eastAsia="Calibri" w:hAnsi="Arial" w:cs="Arial"/>
          <w:sz w:val="20"/>
          <w:u w:color="000000"/>
          <w:lang w:val="es-ES_tradnl"/>
        </w:rPr>
        <w:t xml:space="preserve">Ejecutivo de Riesgos Financieros y el </w:t>
      </w:r>
      <w:r w:rsidRPr="00C84814">
        <w:rPr>
          <w:rFonts w:ascii="Arial" w:eastAsia="Calibri" w:hAnsi="Arial" w:cs="Arial"/>
          <w:sz w:val="20"/>
          <w:u w:color="000000"/>
        </w:rPr>
        <w:t>Gerente Ejecutivo de Riesgo de Crédito y Continuidad del Negocio.</w:t>
      </w:r>
    </w:p>
    <w:p w14:paraId="74814BA0" w14:textId="77777777" w:rsidR="00A9135D" w:rsidRPr="00C84814" w:rsidRDefault="00A9135D" w:rsidP="00A9135D">
      <w:pPr>
        <w:jc w:val="both"/>
        <w:rPr>
          <w:rFonts w:ascii="Arial" w:hAnsi="Arial" w:cs="Arial"/>
          <w:i/>
          <w:sz w:val="20"/>
        </w:rPr>
      </w:pPr>
    </w:p>
    <w:p w14:paraId="1F3F2519" w14:textId="77777777" w:rsidR="00A9135D" w:rsidRPr="00C84814" w:rsidRDefault="00A9135D" w:rsidP="00A9135D">
      <w:pPr>
        <w:jc w:val="both"/>
        <w:rPr>
          <w:rFonts w:ascii="Arial" w:hAnsi="Arial" w:cs="Arial"/>
          <w:b/>
          <w:iCs/>
          <w:spacing w:val="15"/>
          <w:sz w:val="20"/>
        </w:rPr>
      </w:pPr>
      <w:r w:rsidRPr="00C84814">
        <w:rPr>
          <w:rFonts w:ascii="Arial" w:hAnsi="Arial" w:cs="Arial"/>
          <w:b/>
          <w:iCs/>
          <w:spacing w:val="15"/>
          <w:sz w:val="20"/>
        </w:rPr>
        <w:t>Comité de Tecnología de la Información</w:t>
      </w:r>
    </w:p>
    <w:p w14:paraId="547F002E" w14:textId="77777777" w:rsidR="00A9135D" w:rsidRPr="00C84814" w:rsidRDefault="00A9135D" w:rsidP="00A9135D">
      <w:pPr>
        <w:jc w:val="both"/>
        <w:rPr>
          <w:rFonts w:ascii="Arial" w:hAnsi="Arial" w:cs="Arial"/>
          <w:b/>
          <w:iCs/>
          <w:spacing w:val="15"/>
          <w:sz w:val="20"/>
        </w:rPr>
      </w:pPr>
    </w:p>
    <w:p w14:paraId="2736C538" w14:textId="77777777" w:rsidR="00A9135D" w:rsidRPr="00C84814" w:rsidRDefault="00A9135D" w:rsidP="00A9135D">
      <w:pPr>
        <w:jc w:val="both"/>
        <w:rPr>
          <w:rFonts w:ascii="Arial" w:hAnsi="Arial" w:cs="Arial"/>
          <w:sz w:val="20"/>
        </w:rPr>
      </w:pPr>
      <w:r w:rsidRPr="00C84814">
        <w:rPr>
          <w:rFonts w:ascii="Arial" w:hAnsi="Arial" w:cs="Arial"/>
          <w:sz w:val="20"/>
        </w:rPr>
        <w:t>El Comité de Tecnología de la Información tiene el cometido de asistir al Directorio en las siguientes tareas:</w:t>
      </w:r>
    </w:p>
    <w:p w14:paraId="7B38CD62" w14:textId="77777777" w:rsidR="00A9135D" w:rsidRPr="00C84814" w:rsidRDefault="00A9135D" w:rsidP="00A9135D">
      <w:pPr>
        <w:jc w:val="both"/>
        <w:rPr>
          <w:rFonts w:ascii="Arial" w:hAnsi="Arial" w:cs="Arial"/>
          <w:sz w:val="20"/>
        </w:rPr>
      </w:pPr>
    </w:p>
    <w:p w14:paraId="4D2C12D9" w14:textId="77777777" w:rsidR="00A9135D" w:rsidRPr="00C84814" w:rsidRDefault="00A9135D" w:rsidP="00CC42D2">
      <w:pPr>
        <w:numPr>
          <w:ilvl w:val="0"/>
          <w:numId w:val="99"/>
        </w:numPr>
        <w:ind w:left="567" w:hanging="567"/>
        <w:contextualSpacing/>
        <w:jc w:val="both"/>
        <w:rPr>
          <w:rFonts w:ascii="Arial" w:hAnsi="Arial" w:cs="Arial"/>
          <w:sz w:val="20"/>
        </w:rPr>
      </w:pPr>
      <w:r w:rsidRPr="00C84814">
        <w:rPr>
          <w:rFonts w:ascii="Arial" w:hAnsi="Arial" w:cs="Arial"/>
          <w:sz w:val="20"/>
        </w:rPr>
        <w:t>Evaluación y seguimiento del modelo de Gobierno de Tecnología de la Información.</w:t>
      </w:r>
    </w:p>
    <w:p w14:paraId="2EDBFE8D" w14:textId="77777777" w:rsidR="00A9135D" w:rsidRPr="00C84814" w:rsidRDefault="00A9135D" w:rsidP="00A9135D">
      <w:pPr>
        <w:ind w:left="567" w:hanging="567"/>
        <w:jc w:val="both"/>
        <w:rPr>
          <w:rFonts w:ascii="Arial" w:hAnsi="Arial" w:cs="Arial"/>
          <w:sz w:val="20"/>
        </w:rPr>
      </w:pPr>
    </w:p>
    <w:p w14:paraId="48C13A65" w14:textId="77777777" w:rsidR="00A9135D" w:rsidRPr="00C84814" w:rsidRDefault="00A9135D" w:rsidP="00CC42D2">
      <w:pPr>
        <w:numPr>
          <w:ilvl w:val="0"/>
          <w:numId w:val="99"/>
        </w:numPr>
        <w:ind w:left="567" w:hanging="567"/>
        <w:contextualSpacing/>
        <w:jc w:val="both"/>
        <w:rPr>
          <w:rFonts w:ascii="Arial" w:hAnsi="Arial" w:cs="Arial"/>
          <w:sz w:val="20"/>
        </w:rPr>
      </w:pPr>
      <w:r w:rsidRPr="00C84814">
        <w:rPr>
          <w:rFonts w:ascii="Arial" w:hAnsi="Arial" w:cs="Arial"/>
          <w:sz w:val="20"/>
        </w:rPr>
        <w:t>Plan Estratégico de Sistemas.</w:t>
      </w:r>
    </w:p>
    <w:p w14:paraId="37E9FFFF" w14:textId="77777777" w:rsidR="00A9135D" w:rsidRPr="00C84814" w:rsidRDefault="00A9135D" w:rsidP="00A9135D">
      <w:pPr>
        <w:ind w:left="567" w:hanging="567"/>
        <w:jc w:val="both"/>
        <w:rPr>
          <w:rFonts w:ascii="Arial" w:hAnsi="Arial" w:cs="Arial"/>
          <w:sz w:val="20"/>
        </w:rPr>
      </w:pPr>
    </w:p>
    <w:p w14:paraId="270EA22B" w14:textId="77777777" w:rsidR="00A9135D" w:rsidRPr="00C84814" w:rsidRDefault="00A9135D" w:rsidP="00CC42D2">
      <w:pPr>
        <w:numPr>
          <w:ilvl w:val="0"/>
          <w:numId w:val="99"/>
        </w:numPr>
        <w:ind w:left="567" w:hanging="567"/>
        <w:contextualSpacing/>
        <w:jc w:val="both"/>
        <w:rPr>
          <w:rFonts w:ascii="Arial" w:hAnsi="Arial" w:cs="Arial"/>
          <w:sz w:val="20"/>
        </w:rPr>
      </w:pPr>
      <w:r w:rsidRPr="00C84814">
        <w:rPr>
          <w:rFonts w:ascii="Arial" w:hAnsi="Arial" w:cs="Arial"/>
          <w:sz w:val="20"/>
        </w:rPr>
        <w:t>Plan Estratégico de Seguridad de la Información.</w:t>
      </w:r>
    </w:p>
    <w:p w14:paraId="77701EDD" w14:textId="77777777" w:rsidR="00A9135D" w:rsidRPr="00C84814" w:rsidRDefault="00A9135D" w:rsidP="00A9135D">
      <w:pPr>
        <w:ind w:left="567" w:hanging="567"/>
        <w:jc w:val="both"/>
        <w:rPr>
          <w:rFonts w:ascii="Arial" w:hAnsi="Arial" w:cs="Arial"/>
          <w:sz w:val="20"/>
        </w:rPr>
      </w:pPr>
    </w:p>
    <w:p w14:paraId="235CFCEC" w14:textId="77777777" w:rsidR="00A9135D" w:rsidRPr="00C84814" w:rsidRDefault="00A9135D" w:rsidP="00CC42D2">
      <w:pPr>
        <w:numPr>
          <w:ilvl w:val="0"/>
          <w:numId w:val="99"/>
        </w:numPr>
        <w:ind w:left="567" w:hanging="567"/>
        <w:contextualSpacing/>
        <w:jc w:val="both"/>
        <w:rPr>
          <w:rFonts w:ascii="Arial" w:hAnsi="Arial" w:cs="Arial"/>
          <w:sz w:val="20"/>
        </w:rPr>
      </w:pPr>
      <w:r w:rsidRPr="00C84814">
        <w:rPr>
          <w:rFonts w:ascii="Arial" w:hAnsi="Arial" w:cs="Arial"/>
          <w:sz w:val="20"/>
        </w:rPr>
        <w:t>Aprobación del Plan de Contingencias de Sistemas y el Plan de Continuidad del Negocio.</w:t>
      </w:r>
    </w:p>
    <w:p w14:paraId="415FAE4B" w14:textId="77777777" w:rsidR="00A9135D" w:rsidRPr="00C84814" w:rsidRDefault="00A9135D" w:rsidP="00A9135D">
      <w:pPr>
        <w:ind w:left="567" w:hanging="567"/>
        <w:jc w:val="both"/>
        <w:rPr>
          <w:rFonts w:ascii="Arial" w:hAnsi="Arial" w:cs="Arial"/>
          <w:sz w:val="20"/>
        </w:rPr>
      </w:pPr>
    </w:p>
    <w:p w14:paraId="0EAE54CE" w14:textId="77777777" w:rsidR="00A9135D" w:rsidRPr="00C84814" w:rsidRDefault="00A9135D" w:rsidP="00CC42D2">
      <w:pPr>
        <w:numPr>
          <w:ilvl w:val="0"/>
          <w:numId w:val="99"/>
        </w:numPr>
        <w:ind w:left="567" w:hanging="567"/>
        <w:contextualSpacing/>
        <w:jc w:val="both"/>
        <w:rPr>
          <w:rFonts w:ascii="Arial" w:hAnsi="Arial" w:cs="Arial"/>
          <w:sz w:val="20"/>
        </w:rPr>
      </w:pPr>
      <w:r w:rsidRPr="00C84814">
        <w:rPr>
          <w:rFonts w:ascii="Arial" w:hAnsi="Arial" w:cs="Arial"/>
          <w:sz w:val="20"/>
        </w:rPr>
        <w:t>Análisis de las políticas sobre informática del Banco en el corto, mediano y largo plazo como así también los sistemas aplicativos y de base y equipamientos más convenientes.</w:t>
      </w:r>
    </w:p>
    <w:p w14:paraId="50F82958" w14:textId="77777777" w:rsidR="00A9135D" w:rsidRPr="00C84814" w:rsidRDefault="00A9135D" w:rsidP="00A9135D">
      <w:pPr>
        <w:ind w:left="567" w:hanging="567"/>
        <w:jc w:val="both"/>
        <w:rPr>
          <w:rFonts w:ascii="Arial" w:hAnsi="Arial" w:cs="Arial"/>
          <w:sz w:val="20"/>
        </w:rPr>
      </w:pPr>
    </w:p>
    <w:p w14:paraId="5B56EBE2" w14:textId="77777777" w:rsidR="00A9135D" w:rsidRPr="00C84814" w:rsidRDefault="00A9135D" w:rsidP="00CC42D2">
      <w:pPr>
        <w:numPr>
          <w:ilvl w:val="0"/>
          <w:numId w:val="99"/>
        </w:numPr>
        <w:ind w:left="567" w:hanging="567"/>
        <w:contextualSpacing/>
        <w:jc w:val="both"/>
        <w:rPr>
          <w:rFonts w:ascii="Arial" w:hAnsi="Arial" w:cs="Arial"/>
          <w:sz w:val="20"/>
        </w:rPr>
      </w:pPr>
      <w:r w:rsidRPr="00C84814">
        <w:rPr>
          <w:rFonts w:ascii="Arial" w:hAnsi="Arial" w:cs="Arial"/>
          <w:sz w:val="20"/>
        </w:rPr>
        <w:t xml:space="preserve">Planificación y coordinación del debido cumplimiento de las políticas y objetivos del área de Sistemas de Información que establezca el Directorio. </w:t>
      </w:r>
    </w:p>
    <w:p w14:paraId="30A431EB" w14:textId="77777777" w:rsidR="00A9135D" w:rsidRPr="00C84814" w:rsidRDefault="00A9135D" w:rsidP="00A9135D">
      <w:pPr>
        <w:ind w:left="567"/>
        <w:jc w:val="both"/>
        <w:rPr>
          <w:rFonts w:ascii="Arial" w:hAnsi="Arial" w:cs="Arial"/>
          <w:sz w:val="20"/>
        </w:rPr>
      </w:pPr>
    </w:p>
    <w:p w14:paraId="261BBEAB" w14:textId="77777777" w:rsidR="00A9135D" w:rsidRPr="00C84814" w:rsidRDefault="00A9135D" w:rsidP="00CC42D2">
      <w:pPr>
        <w:numPr>
          <w:ilvl w:val="0"/>
          <w:numId w:val="99"/>
        </w:numPr>
        <w:ind w:left="567" w:hanging="567"/>
        <w:contextualSpacing/>
        <w:jc w:val="both"/>
        <w:rPr>
          <w:rFonts w:ascii="Arial" w:hAnsi="Arial" w:cs="Arial"/>
          <w:sz w:val="20"/>
        </w:rPr>
      </w:pPr>
      <w:r w:rsidRPr="00C84814">
        <w:rPr>
          <w:rFonts w:ascii="Arial" w:hAnsi="Arial" w:cs="Arial"/>
          <w:sz w:val="20"/>
          <w:lang w:val="es-ES"/>
        </w:rPr>
        <w:t>Desempeñar todas aquellas funciones que establezcan las normas del Banco Central de la República Argentina y demás disposiciones aplicables en la materia.</w:t>
      </w:r>
      <w:r w:rsidRPr="00C84814">
        <w:rPr>
          <w:rFonts w:ascii="Arial" w:hAnsi="Arial" w:cs="Arial"/>
          <w:sz w:val="20"/>
        </w:rPr>
        <w:t xml:space="preserve"> </w:t>
      </w:r>
    </w:p>
    <w:p w14:paraId="116E65BD" w14:textId="77777777" w:rsidR="00A9135D" w:rsidRPr="00C84814" w:rsidRDefault="00A9135D" w:rsidP="00A9135D">
      <w:pPr>
        <w:jc w:val="both"/>
        <w:rPr>
          <w:rFonts w:ascii="Arial" w:hAnsi="Arial" w:cs="Arial"/>
          <w:iCs/>
          <w:spacing w:val="15"/>
          <w:sz w:val="20"/>
        </w:rPr>
      </w:pPr>
    </w:p>
    <w:p w14:paraId="5341BF4D" w14:textId="77777777" w:rsidR="00A9135D" w:rsidRPr="00C84814" w:rsidRDefault="00A9135D" w:rsidP="00A9135D">
      <w:pPr>
        <w:jc w:val="both"/>
        <w:rPr>
          <w:rFonts w:ascii="Arial" w:hAnsi="Arial" w:cs="Arial"/>
          <w:sz w:val="20"/>
        </w:rPr>
      </w:pPr>
      <w:r w:rsidRPr="00C902C8">
        <w:rPr>
          <w:rFonts w:ascii="Arial" w:hAnsi="Arial" w:cs="Arial"/>
          <w:sz w:val="20"/>
        </w:rPr>
        <w:t xml:space="preserve">El Comité de Tecnología de la Información está compuesto por </w:t>
      </w:r>
      <w:r w:rsidRPr="00C84814">
        <w:rPr>
          <w:rFonts w:ascii="Arial" w:hAnsi="Arial" w:cs="Arial"/>
          <w:sz w:val="20"/>
        </w:rPr>
        <w:t>hasta tres directores, el Gerente Corporativo de Tecnología de la Información, el Gerente General el Gerente Corporativo de Auditoría Interna, el Gerente Ejecutivo de Infraestructura y Tecnología, el Gerente Ejecutivo de Desarrollo de Sistemas, el Gerente Ejecutivo de Seguridad de la Información, el Gerente Ejecutivo de Producción y el Gerente Ejecutivo de Gobierno de TI.</w:t>
      </w:r>
    </w:p>
    <w:p w14:paraId="1C54DD4B" w14:textId="77777777" w:rsidR="00A9135D" w:rsidRPr="00C84814" w:rsidRDefault="00A9135D" w:rsidP="00A9135D">
      <w:pPr>
        <w:jc w:val="both"/>
        <w:rPr>
          <w:rFonts w:ascii="Arial" w:hAnsi="Arial" w:cs="Arial"/>
          <w:iCs/>
          <w:spacing w:val="15"/>
          <w:sz w:val="20"/>
        </w:rPr>
      </w:pPr>
    </w:p>
    <w:p w14:paraId="7EBA446F" w14:textId="77777777" w:rsidR="00A9135D" w:rsidRPr="00C84814" w:rsidRDefault="00A9135D" w:rsidP="00A9135D">
      <w:pPr>
        <w:jc w:val="both"/>
        <w:rPr>
          <w:rFonts w:ascii="Arial" w:hAnsi="Arial" w:cs="Arial"/>
          <w:b/>
          <w:iCs/>
          <w:spacing w:val="15"/>
          <w:sz w:val="20"/>
        </w:rPr>
      </w:pPr>
      <w:r w:rsidRPr="00C84814">
        <w:rPr>
          <w:rFonts w:ascii="Arial" w:hAnsi="Arial" w:cs="Arial"/>
          <w:b/>
          <w:iCs/>
          <w:spacing w:val="15"/>
          <w:sz w:val="20"/>
        </w:rPr>
        <w:t>Comité de Recursos Humanos</w:t>
      </w:r>
    </w:p>
    <w:p w14:paraId="4AE04D63" w14:textId="77777777" w:rsidR="00A9135D" w:rsidRPr="00C84814" w:rsidRDefault="00A9135D" w:rsidP="00A9135D">
      <w:pPr>
        <w:jc w:val="both"/>
        <w:rPr>
          <w:rFonts w:ascii="Arial" w:hAnsi="Arial" w:cs="Arial"/>
          <w:i/>
          <w:iCs/>
          <w:spacing w:val="15"/>
          <w:sz w:val="20"/>
          <w:lang w:val="es-ES" w:eastAsia="es-ES"/>
        </w:rPr>
      </w:pPr>
    </w:p>
    <w:p w14:paraId="1A059A92" w14:textId="77777777" w:rsidR="00A9135D" w:rsidRPr="00C84814" w:rsidRDefault="00A9135D" w:rsidP="00A9135D">
      <w:pPr>
        <w:jc w:val="both"/>
        <w:rPr>
          <w:rFonts w:ascii="Arial" w:hAnsi="Arial" w:cs="Arial"/>
          <w:sz w:val="20"/>
        </w:rPr>
      </w:pPr>
      <w:r w:rsidRPr="00C84814">
        <w:rPr>
          <w:rFonts w:ascii="Arial" w:hAnsi="Arial" w:cs="Arial"/>
          <w:sz w:val="20"/>
        </w:rPr>
        <w:t>El Comité de Recursos Humanos es un órgano a nivel Grupo Supervielle S.A. de aplicación para Banco Supervielle S.A. y el resto de sus subsidiarias, el cual tiene a su cargo la aprobación y el monitoreo de los sistemas de incentivos, incluyendo aquellos alineados al apetito de riesgo fijado por el Directorio y la remuneración variable en todas sus formas (bonus, RV, profit sharing), para lo cual participa en la fijación de las políticas de remuneración fija y variable y en los sistemas de evaluación de desempeño.</w:t>
      </w:r>
    </w:p>
    <w:p w14:paraId="64079114" w14:textId="77777777" w:rsidR="00A9135D" w:rsidRPr="00C84814" w:rsidRDefault="00A9135D" w:rsidP="00A9135D">
      <w:pPr>
        <w:jc w:val="both"/>
        <w:rPr>
          <w:rFonts w:ascii="Arial" w:hAnsi="Arial" w:cs="Arial"/>
          <w:sz w:val="20"/>
        </w:rPr>
      </w:pPr>
    </w:p>
    <w:p w14:paraId="11559565" w14:textId="33A65B1C" w:rsidR="00A9135D" w:rsidRPr="00C84814" w:rsidRDefault="00A9135D" w:rsidP="00A9135D">
      <w:pPr>
        <w:jc w:val="both"/>
        <w:rPr>
          <w:rFonts w:ascii="Arial" w:hAnsi="Arial" w:cs="Arial"/>
          <w:sz w:val="20"/>
        </w:rPr>
      </w:pPr>
      <w:r w:rsidRPr="00C84814">
        <w:rPr>
          <w:rFonts w:ascii="Arial" w:hAnsi="Arial" w:cs="Arial"/>
          <w:sz w:val="20"/>
        </w:rPr>
        <w:t xml:space="preserve">El Comité de Recursos Humanos está integrado por al menos tres </w:t>
      </w:r>
      <w:r w:rsidR="008D5E79" w:rsidRPr="00C84814">
        <w:rPr>
          <w:rFonts w:ascii="Arial" w:hAnsi="Arial" w:cs="Arial"/>
          <w:sz w:val="20"/>
        </w:rPr>
        <w:t>directores</w:t>
      </w:r>
      <w:r w:rsidRPr="00C84814">
        <w:rPr>
          <w:rFonts w:ascii="Arial" w:hAnsi="Arial" w:cs="Arial"/>
          <w:sz w:val="20"/>
        </w:rPr>
        <w:t>, y como secretario participa el Gerente Corporativo de Recursos Humanos.</w:t>
      </w:r>
    </w:p>
    <w:p w14:paraId="1B50F11A" w14:textId="77777777" w:rsidR="00A9135D" w:rsidRPr="00C84814" w:rsidRDefault="00A9135D" w:rsidP="00A9135D">
      <w:pPr>
        <w:jc w:val="both"/>
        <w:rPr>
          <w:rFonts w:ascii="Arial" w:hAnsi="Arial" w:cs="Arial"/>
          <w:sz w:val="20"/>
        </w:rPr>
      </w:pPr>
    </w:p>
    <w:p w14:paraId="6AAEDB7D" w14:textId="77777777" w:rsidR="00A9135D" w:rsidRPr="00C84814" w:rsidRDefault="00A9135D" w:rsidP="00A9135D">
      <w:pPr>
        <w:jc w:val="both"/>
        <w:rPr>
          <w:rFonts w:ascii="Arial" w:hAnsi="Arial" w:cs="Arial"/>
          <w:b/>
          <w:iCs/>
          <w:spacing w:val="15"/>
          <w:sz w:val="20"/>
        </w:rPr>
      </w:pPr>
      <w:r w:rsidRPr="00C84814">
        <w:rPr>
          <w:rFonts w:ascii="Arial" w:hAnsi="Arial" w:cs="Arial"/>
          <w:b/>
          <w:iCs/>
          <w:spacing w:val="15"/>
          <w:sz w:val="20"/>
        </w:rPr>
        <w:t>Comité de Ética, Compliance y Gobierno Corporativo</w:t>
      </w:r>
    </w:p>
    <w:p w14:paraId="51274704" w14:textId="77777777" w:rsidR="00A9135D" w:rsidRPr="00C84814" w:rsidRDefault="00A9135D" w:rsidP="00A9135D">
      <w:pPr>
        <w:jc w:val="both"/>
        <w:rPr>
          <w:rFonts w:ascii="Arial" w:hAnsi="Arial" w:cs="Arial"/>
          <w:sz w:val="20"/>
        </w:rPr>
      </w:pPr>
    </w:p>
    <w:p w14:paraId="6ADC40EA" w14:textId="77777777" w:rsidR="00A9135D" w:rsidRPr="00C84814" w:rsidRDefault="00A9135D" w:rsidP="00A9135D">
      <w:pPr>
        <w:jc w:val="both"/>
        <w:rPr>
          <w:rFonts w:ascii="Arial" w:hAnsi="Arial" w:cs="Arial"/>
          <w:sz w:val="20"/>
        </w:rPr>
      </w:pPr>
      <w:r w:rsidRPr="00C84814">
        <w:rPr>
          <w:rFonts w:ascii="Arial" w:hAnsi="Arial" w:cs="Arial"/>
          <w:sz w:val="20"/>
        </w:rPr>
        <w:t>El Comité de Ética, Compliance &amp; Gobierno Corporativo es un foro de Grupo Supervielle S.A., de aplicación para Banco Supervielle S.A. y el resto de sus subsidiarias, que tiene el cometido de asistir al Directorio en la adopción de las mejores prácticas del buen gobierno corporativo que apunten a maximizar la capacidad de crecimiento de Grupo Supervielle y de sus compañ</w:t>
      </w:r>
      <w:r>
        <w:rPr>
          <w:rFonts w:ascii="Arial" w:hAnsi="Arial" w:cs="Arial"/>
          <w:sz w:val="20"/>
        </w:rPr>
        <w:t>i</w:t>
      </w:r>
      <w:r w:rsidRPr="00C84814">
        <w:rPr>
          <w:rFonts w:ascii="Arial" w:hAnsi="Arial" w:cs="Arial"/>
          <w:sz w:val="20"/>
        </w:rPr>
        <w:t xml:space="preserve">as vinculadas y prevengan de la destrucción de valor.  </w:t>
      </w:r>
    </w:p>
    <w:p w14:paraId="1EB33065" w14:textId="77777777" w:rsidR="00A9135D" w:rsidRPr="00C84814" w:rsidRDefault="00A9135D" w:rsidP="00A9135D">
      <w:pPr>
        <w:jc w:val="both"/>
        <w:rPr>
          <w:rFonts w:ascii="Arial" w:hAnsi="Arial" w:cs="Arial"/>
          <w:sz w:val="20"/>
        </w:rPr>
      </w:pPr>
    </w:p>
    <w:p w14:paraId="5B544F02" w14:textId="2976EB7E" w:rsidR="00A9135D" w:rsidRPr="00C84814" w:rsidRDefault="00A9135D" w:rsidP="00A9135D">
      <w:pPr>
        <w:jc w:val="both"/>
        <w:rPr>
          <w:rFonts w:ascii="Arial" w:hAnsi="Arial" w:cs="Arial"/>
          <w:sz w:val="20"/>
        </w:rPr>
      </w:pPr>
      <w:r w:rsidRPr="00C84814">
        <w:rPr>
          <w:rFonts w:ascii="Arial" w:hAnsi="Arial" w:cs="Arial"/>
          <w:sz w:val="20"/>
        </w:rPr>
        <w:t xml:space="preserve">Asimismo, asiste al Directorio en la supervisión de su programa de ética y compliance en todos sus aspectos. Sin perjuicio de cualquier otro cometido que le pueda asignar el Directorio, el Comité Ética, Compliance </w:t>
      </w:r>
      <w:r w:rsidR="008D5E79">
        <w:rPr>
          <w:rFonts w:ascii="Arial" w:hAnsi="Arial" w:cs="Arial"/>
          <w:sz w:val="20"/>
        </w:rPr>
        <w:t xml:space="preserve">y </w:t>
      </w:r>
      <w:r w:rsidRPr="00C84814">
        <w:rPr>
          <w:rFonts w:ascii="Arial" w:hAnsi="Arial" w:cs="Arial"/>
          <w:sz w:val="20"/>
        </w:rPr>
        <w:t xml:space="preserve">Gobierno Corporativo ejercerá las siguientes funciones: </w:t>
      </w:r>
    </w:p>
    <w:p w14:paraId="4C67E208" w14:textId="77777777" w:rsidR="00A9135D" w:rsidRPr="00C902C8" w:rsidRDefault="00A9135D" w:rsidP="00A9135D">
      <w:pPr>
        <w:jc w:val="both"/>
        <w:rPr>
          <w:rFonts w:ascii="Arial" w:hAnsi="Arial" w:cs="Arial"/>
          <w:sz w:val="20"/>
        </w:rPr>
      </w:pPr>
    </w:p>
    <w:p w14:paraId="485732BC" w14:textId="77777777" w:rsidR="00A9135D" w:rsidRPr="00C84814" w:rsidRDefault="00A9135D" w:rsidP="00CC42D2">
      <w:pPr>
        <w:numPr>
          <w:ilvl w:val="0"/>
          <w:numId w:val="100"/>
        </w:numPr>
        <w:ind w:left="567" w:hanging="567"/>
        <w:jc w:val="both"/>
        <w:rPr>
          <w:rFonts w:ascii="Arial" w:hAnsi="Arial" w:cs="Arial"/>
          <w:sz w:val="20"/>
          <w:lang w:eastAsia="es-ES"/>
        </w:rPr>
      </w:pPr>
      <w:r w:rsidRPr="00C84814">
        <w:rPr>
          <w:rFonts w:ascii="Arial" w:hAnsi="Arial" w:cs="Arial"/>
          <w:sz w:val="20"/>
          <w:lang w:eastAsia="es-ES"/>
        </w:rPr>
        <w:t>Elaborar y elevar a la consideración del Directorio para su aprobación el Programa de Gobierno Corporativo y el Programa de Ética y Compliance que deberán apuntar a una progresiva convergencia hacia estándares internacionales de ética, compliance gobierno corporativo por parte de Grupo Supervielle S.A. y de sus compañas vinculadas.</w:t>
      </w:r>
    </w:p>
    <w:p w14:paraId="54422A5E" w14:textId="77777777" w:rsidR="00A9135D" w:rsidRPr="00C84814" w:rsidRDefault="00A9135D" w:rsidP="00A9135D">
      <w:pPr>
        <w:ind w:left="567"/>
        <w:jc w:val="both"/>
        <w:rPr>
          <w:rFonts w:ascii="Arial" w:hAnsi="Arial" w:cs="Arial"/>
          <w:sz w:val="20"/>
          <w:lang w:eastAsia="es-ES"/>
        </w:rPr>
      </w:pPr>
    </w:p>
    <w:p w14:paraId="09602A59" w14:textId="77777777" w:rsidR="00A9135D" w:rsidRPr="00C84814" w:rsidRDefault="00A9135D" w:rsidP="00CC42D2">
      <w:pPr>
        <w:numPr>
          <w:ilvl w:val="0"/>
          <w:numId w:val="100"/>
        </w:numPr>
        <w:ind w:left="567" w:hanging="567"/>
        <w:jc w:val="both"/>
        <w:rPr>
          <w:rFonts w:ascii="Arial" w:hAnsi="Arial" w:cs="Arial"/>
          <w:sz w:val="20"/>
          <w:lang w:eastAsia="es-ES"/>
        </w:rPr>
      </w:pPr>
      <w:r w:rsidRPr="00C84814">
        <w:rPr>
          <w:rFonts w:ascii="Arial" w:hAnsi="Arial" w:cs="Arial"/>
          <w:sz w:val="20"/>
          <w:lang w:eastAsia="es-ES"/>
        </w:rPr>
        <w:t>Proponer al Directorio una agenda y un cronograma anual de ejecución del Programa de Gobierno Corporativo y del Programa de Ética y Compliance.</w:t>
      </w:r>
    </w:p>
    <w:p w14:paraId="494555C6" w14:textId="77777777" w:rsidR="00A9135D" w:rsidRPr="00C84814" w:rsidRDefault="00A9135D" w:rsidP="00A9135D">
      <w:pPr>
        <w:ind w:left="567"/>
        <w:jc w:val="both"/>
        <w:rPr>
          <w:rFonts w:ascii="Arial" w:hAnsi="Arial" w:cs="Arial"/>
          <w:sz w:val="20"/>
        </w:rPr>
      </w:pPr>
    </w:p>
    <w:p w14:paraId="03F864AD" w14:textId="77777777" w:rsidR="00A9135D" w:rsidRPr="00C84814" w:rsidRDefault="00A9135D" w:rsidP="00CC42D2">
      <w:pPr>
        <w:numPr>
          <w:ilvl w:val="0"/>
          <w:numId w:val="100"/>
        </w:numPr>
        <w:ind w:left="567" w:hanging="567"/>
        <w:contextualSpacing/>
        <w:jc w:val="both"/>
        <w:rPr>
          <w:rFonts w:ascii="Arial" w:hAnsi="Arial" w:cs="Arial"/>
          <w:sz w:val="20"/>
        </w:rPr>
      </w:pPr>
      <w:r w:rsidRPr="00C84814">
        <w:rPr>
          <w:rFonts w:ascii="Arial" w:hAnsi="Arial" w:cs="Arial"/>
          <w:sz w:val="20"/>
        </w:rPr>
        <w:t>Definir políticas y procedimientos relativos a ética y compliance.</w:t>
      </w:r>
    </w:p>
    <w:p w14:paraId="6B3AE8DB" w14:textId="77777777" w:rsidR="00A9135D" w:rsidRPr="00C84814" w:rsidRDefault="00A9135D" w:rsidP="00A9135D">
      <w:pPr>
        <w:ind w:left="567" w:hanging="567"/>
        <w:jc w:val="both"/>
        <w:rPr>
          <w:rFonts w:ascii="Arial" w:hAnsi="Arial" w:cs="Arial"/>
          <w:sz w:val="20"/>
        </w:rPr>
      </w:pPr>
    </w:p>
    <w:p w14:paraId="4E04199C" w14:textId="77777777" w:rsidR="00A9135D" w:rsidRPr="00C84814" w:rsidRDefault="00A9135D" w:rsidP="00CC42D2">
      <w:pPr>
        <w:numPr>
          <w:ilvl w:val="0"/>
          <w:numId w:val="100"/>
        </w:numPr>
        <w:ind w:left="567" w:hanging="567"/>
        <w:jc w:val="both"/>
        <w:rPr>
          <w:rFonts w:ascii="Arial" w:hAnsi="Arial" w:cs="Arial"/>
          <w:sz w:val="20"/>
          <w:lang w:eastAsia="es-ES"/>
        </w:rPr>
      </w:pPr>
      <w:r w:rsidRPr="00C84814">
        <w:rPr>
          <w:rFonts w:ascii="Arial" w:hAnsi="Arial" w:cs="Arial"/>
          <w:sz w:val="20"/>
          <w:lang w:eastAsia="es-ES"/>
        </w:rPr>
        <w:t>Impulsar, hacer el seguimiento y supervisar el cumplimiento del Programa de Gobierno Corporativo y el Programa de Ética y Compliance e informar al Directorio cualquier desvío que pudiera producirse y formular las recomendaciones que estime convenientes.</w:t>
      </w:r>
    </w:p>
    <w:p w14:paraId="0E575FD9" w14:textId="77777777" w:rsidR="00A9135D" w:rsidRPr="00C84814" w:rsidRDefault="00A9135D" w:rsidP="00A9135D">
      <w:pPr>
        <w:ind w:left="567"/>
        <w:jc w:val="both"/>
        <w:rPr>
          <w:rFonts w:ascii="Arial" w:hAnsi="Arial" w:cs="Arial"/>
          <w:sz w:val="20"/>
          <w:lang w:eastAsia="es-ES"/>
        </w:rPr>
      </w:pPr>
    </w:p>
    <w:p w14:paraId="4904CA12" w14:textId="77777777" w:rsidR="00A9135D" w:rsidRPr="00C84814" w:rsidRDefault="00A9135D" w:rsidP="00CC42D2">
      <w:pPr>
        <w:numPr>
          <w:ilvl w:val="0"/>
          <w:numId w:val="100"/>
        </w:numPr>
        <w:ind w:left="567" w:hanging="567"/>
        <w:jc w:val="both"/>
        <w:rPr>
          <w:rFonts w:ascii="Arial" w:hAnsi="Arial" w:cs="Arial"/>
          <w:sz w:val="20"/>
          <w:lang w:eastAsia="es-ES"/>
        </w:rPr>
      </w:pPr>
      <w:r w:rsidRPr="00C84814">
        <w:rPr>
          <w:rFonts w:ascii="Arial" w:hAnsi="Arial" w:cs="Arial"/>
          <w:sz w:val="20"/>
          <w:lang w:eastAsia="es-ES"/>
        </w:rPr>
        <w:t>Tomar conocimiento de las circulares y normas que emitan en particular la Comisión Nacional de Valores, el Banco Central de la República Argentina, la Inspección General de Justicia, y, en general, todo otro organismo de contralor y de la repercusión que la aplicación de tales circulares y normas puedan tener en las prácticas de gobierno corporativo del Grupo.</w:t>
      </w:r>
    </w:p>
    <w:p w14:paraId="57C8DDE5" w14:textId="77777777" w:rsidR="00A9135D" w:rsidRPr="00C84814" w:rsidRDefault="00A9135D" w:rsidP="00A9135D">
      <w:pPr>
        <w:autoSpaceDE w:val="0"/>
        <w:autoSpaceDN w:val="0"/>
        <w:adjustRightInd w:val="0"/>
        <w:ind w:left="567"/>
        <w:jc w:val="both"/>
        <w:rPr>
          <w:rFonts w:ascii="Arial" w:hAnsi="Arial" w:cs="Arial"/>
          <w:sz w:val="20"/>
        </w:rPr>
      </w:pPr>
    </w:p>
    <w:p w14:paraId="4FF56D5C" w14:textId="77777777" w:rsidR="00A9135D" w:rsidRPr="00C84814" w:rsidRDefault="00A9135D" w:rsidP="00CC42D2">
      <w:pPr>
        <w:numPr>
          <w:ilvl w:val="0"/>
          <w:numId w:val="100"/>
        </w:numPr>
        <w:autoSpaceDE w:val="0"/>
        <w:autoSpaceDN w:val="0"/>
        <w:adjustRightInd w:val="0"/>
        <w:ind w:left="567" w:hanging="567"/>
        <w:contextualSpacing/>
        <w:jc w:val="both"/>
        <w:rPr>
          <w:rFonts w:ascii="Arial" w:hAnsi="Arial" w:cs="Arial"/>
          <w:sz w:val="20"/>
        </w:rPr>
      </w:pPr>
      <w:r w:rsidRPr="00C84814">
        <w:rPr>
          <w:rFonts w:ascii="Arial" w:hAnsi="Arial" w:cs="Arial"/>
          <w:sz w:val="20"/>
        </w:rPr>
        <w:t>Efectuar recomendaciones al Directorio respecto de la gradual y progresiva adopción de las disposiciones contenidas en la Resolución General No. 516/2007 (y sus normas complementarias y supletorias) de la Comisión Nacional de Valores acerca del Código de Gobierno Societario y de las disposiciones contenidas en Comunicación “A” 5201 (“</w:t>
      </w:r>
      <w:r w:rsidRPr="00C84814">
        <w:rPr>
          <w:rFonts w:ascii="Arial" w:hAnsi="Arial" w:cs="Arial"/>
          <w:iCs/>
          <w:sz w:val="20"/>
        </w:rPr>
        <w:t>Lineamientos para el gobierno societario de entidades financieras</w:t>
      </w:r>
      <w:r w:rsidRPr="00C84814">
        <w:rPr>
          <w:rFonts w:ascii="Arial" w:hAnsi="Arial" w:cs="Arial"/>
          <w:sz w:val="20"/>
        </w:rPr>
        <w:t>”) del Banco Central de la República Argentina (y sus normas complementarias y supletorias).</w:t>
      </w:r>
    </w:p>
    <w:p w14:paraId="15715417" w14:textId="77777777" w:rsidR="00A9135D" w:rsidRPr="00C84814" w:rsidRDefault="00A9135D" w:rsidP="00A9135D">
      <w:pPr>
        <w:ind w:left="567" w:hanging="567"/>
        <w:jc w:val="both"/>
        <w:rPr>
          <w:rFonts w:ascii="Arial" w:hAnsi="Arial" w:cs="Arial"/>
          <w:sz w:val="20"/>
        </w:rPr>
      </w:pPr>
    </w:p>
    <w:p w14:paraId="37B3BEE3" w14:textId="77777777" w:rsidR="00A9135D" w:rsidRPr="00C84814" w:rsidRDefault="00A9135D" w:rsidP="00CC42D2">
      <w:pPr>
        <w:numPr>
          <w:ilvl w:val="0"/>
          <w:numId w:val="100"/>
        </w:numPr>
        <w:ind w:left="567" w:hanging="567"/>
        <w:contextualSpacing/>
        <w:jc w:val="both"/>
        <w:rPr>
          <w:rFonts w:ascii="Arial" w:hAnsi="Arial" w:cs="Arial"/>
          <w:sz w:val="20"/>
        </w:rPr>
      </w:pPr>
      <w:r w:rsidRPr="00C84814">
        <w:rPr>
          <w:rFonts w:ascii="Arial" w:hAnsi="Arial" w:cs="Arial"/>
          <w:sz w:val="20"/>
        </w:rPr>
        <w:t>Informarse de las recomendaciones del Comité de Basilea y efectuar recomendaciones al Directorio para su gradual y progresiva adopción.</w:t>
      </w:r>
    </w:p>
    <w:p w14:paraId="05AEDDB7" w14:textId="77777777" w:rsidR="00A9135D" w:rsidRPr="00C84814" w:rsidRDefault="00A9135D" w:rsidP="00A9135D">
      <w:pPr>
        <w:ind w:left="567" w:hanging="567"/>
        <w:jc w:val="both"/>
        <w:rPr>
          <w:rFonts w:ascii="Arial" w:hAnsi="Arial" w:cs="Arial"/>
          <w:sz w:val="20"/>
        </w:rPr>
      </w:pPr>
    </w:p>
    <w:p w14:paraId="207C6164" w14:textId="77777777" w:rsidR="00A9135D" w:rsidRPr="00C84814" w:rsidRDefault="00A9135D" w:rsidP="00CC42D2">
      <w:pPr>
        <w:numPr>
          <w:ilvl w:val="0"/>
          <w:numId w:val="100"/>
        </w:numPr>
        <w:ind w:left="567" w:hanging="567"/>
        <w:contextualSpacing/>
        <w:jc w:val="both"/>
        <w:rPr>
          <w:rFonts w:ascii="Arial" w:hAnsi="Arial" w:cs="Arial"/>
          <w:sz w:val="20"/>
        </w:rPr>
      </w:pPr>
      <w:r w:rsidRPr="00C84814">
        <w:rPr>
          <w:rFonts w:ascii="Arial" w:hAnsi="Arial" w:cs="Arial"/>
          <w:sz w:val="20"/>
        </w:rPr>
        <w:t>Elevar al Directorio un informe anual de cumplimiento de los objetivos de gobierno corporativo.</w:t>
      </w:r>
    </w:p>
    <w:p w14:paraId="5EB0FDBC" w14:textId="77777777" w:rsidR="00A9135D" w:rsidRPr="00C84814" w:rsidRDefault="00A9135D" w:rsidP="00A9135D">
      <w:pPr>
        <w:ind w:left="567" w:hanging="567"/>
        <w:jc w:val="both"/>
        <w:rPr>
          <w:rFonts w:ascii="Arial" w:hAnsi="Arial" w:cs="Arial"/>
          <w:sz w:val="20"/>
        </w:rPr>
      </w:pPr>
    </w:p>
    <w:p w14:paraId="47030F48" w14:textId="77777777" w:rsidR="00A9135D" w:rsidRPr="00C84814" w:rsidRDefault="00A9135D" w:rsidP="00CC42D2">
      <w:pPr>
        <w:numPr>
          <w:ilvl w:val="0"/>
          <w:numId w:val="100"/>
        </w:numPr>
        <w:ind w:left="567" w:hanging="567"/>
        <w:contextualSpacing/>
        <w:jc w:val="both"/>
        <w:rPr>
          <w:rFonts w:ascii="Arial" w:hAnsi="Arial" w:cs="Arial"/>
          <w:sz w:val="20"/>
        </w:rPr>
      </w:pPr>
      <w:r w:rsidRPr="00C84814">
        <w:rPr>
          <w:rFonts w:ascii="Arial" w:hAnsi="Arial" w:cs="Arial"/>
          <w:sz w:val="20"/>
        </w:rPr>
        <w:t xml:space="preserve">Revisar los resultados de las inspecciones del BCRA y de otros organismos reguladores y atender las observaciones de los auditores externos vinculados a temas de ética, compliance y gobierno corporativo. </w:t>
      </w:r>
    </w:p>
    <w:p w14:paraId="5B6E0BE8" w14:textId="77777777" w:rsidR="00A9135D" w:rsidRPr="00C84814" w:rsidRDefault="00A9135D" w:rsidP="00A9135D">
      <w:pPr>
        <w:ind w:left="567" w:hanging="567"/>
        <w:jc w:val="both"/>
        <w:rPr>
          <w:rFonts w:ascii="Arial" w:hAnsi="Arial" w:cs="Arial"/>
          <w:sz w:val="20"/>
        </w:rPr>
      </w:pPr>
    </w:p>
    <w:p w14:paraId="27CB9973" w14:textId="77777777" w:rsidR="00A9135D" w:rsidRPr="00C84814" w:rsidRDefault="00A9135D" w:rsidP="00CC42D2">
      <w:pPr>
        <w:numPr>
          <w:ilvl w:val="0"/>
          <w:numId w:val="100"/>
        </w:numPr>
        <w:ind w:left="567" w:hanging="567"/>
        <w:contextualSpacing/>
        <w:jc w:val="both"/>
        <w:rPr>
          <w:rFonts w:ascii="Arial" w:hAnsi="Arial" w:cs="Arial"/>
          <w:sz w:val="20"/>
        </w:rPr>
      </w:pPr>
      <w:r w:rsidRPr="00C84814">
        <w:rPr>
          <w:rFonts w:ascii="Arial" w:hAnsi="Arial" w:cs="Arial"/>
          <w:sz w:val="20"/>
        </w:rPr>
        <w:t>Informar al Directorio en forma trimestral sobre la situación general del Programa de Gobierno Corporativo y el Programa de Ética y Compliance, así como sobre incidentes y denuncias.</w:t>
      </w:r>
    </w:p>
    <w:p w14:paraId="48CAA645" w14:textId="77777777" w:rsidR="00A9135D" w:rsidRPr="00C84814" w:rsidRDefault="00A9135D" w:rsidP="00A9135D">
      <w:pPr>
        <w:ind w:left="567" w:hanging="567"/>
        <w:jc w:val="both"/>
        <w:rPr>
          <w:rFonts w:ascii="Arial" w:hAnsi="Arial" w:cs="Arial"/>
          <w:sz w:val="20"/>
        </w:rPr>
      </w:pPr>
    </w:p>
    <w:p w14:paraId="21598893" w14:textId="77777777" w:rsidR="00A9135D" w:rsidRPr="00C84814" w:rsidRDefault="00A9135D" w:rsidP="00CC42D2">
      <w:pPr>
        <w:numPr>
          <w:ilvl w:val="0"/>
          <w:numId w:val="100"/>
        </w:numPr>
        <w:ind w:left="567" w:hanging="567"/>
        <w:contextualSpacing/>
        <w:jc w:val="both"/>
        <w:rPr>
          <w:rFonts w:ascii="Arial" w:hAnsi="Arial" w:cs="Arial"/>
          <w:sz w:val="20"/>
        </w:rPr>
      </w:pPr>
      <w:r w:rsidRPr="00C84814">
        <w:rPr>
          <w:rFonts w:ascii="Arial" w:hAnsi="Arial" w:cs="Arial"/>
          <w:sz w:val="20"/>
        </w:rPr>
        <w:t>Proponer al Directorio eventuales cambios al reglamento interno de este comité a fin de mejorar la ejecución de sus objetivos y funciones.</w:t>
      </w:r>
    </w:p>
    <w:p w14:paraId="02D92B46" w14:textId="77777777" w:rsidR="00A9135D" w:rsidRPr="00C84814" w:rsidRDefault="00A9135D" w:rsidP="00A9135D">
      <w:pPr>
        <w:ind w:left="567" w:hanging="567"/>
        <w:jc w:val="both"/>
        <w:rPr>
          <w:rFonts w:ascii="Arial" w:hAnsi="Arial" w:cs="Arial"/>
          <w:sz w:val="20"/>
        </w:rPr>
      </w:pPr>
    </w:p>
    <w:p w14:paraId="605DD4ED" w14:textId="77777777" w:rsidR="00A9135D" w:rsidRPr="00C84814" w:rsidRDefault="00A9135D" w:rsidP="00CC42D2">
      <w:pPr>
        <w:numPr>
          <w:ilvl w:val="0"/>
          <w:numId w:val="100"/>
        </w:numPr>
        <w:ind w:left="567" w:hanging="567"/>
        <w:contextualSpacing/>
        <w:jc w:val="both"/>
        <w:rPr>
          <w:rFonts w:ascii="Arial" w:hAnsi="Arial" w:cs="Arial"/>
          <w:sz w:val="20"/>
        </w:rPr>
      </w:pPr>
      <w:r w:rsidRPr="00C84814">
        <w:rPr>
          <w:rFonts w:ascii="Arial" w:hAnsi="Arial" w:cs="Arial"/>
          <w:sz w:val="20"/>
        </w:rPr>
        <w:t>Proponer al Directorio políticas y procedimientos para la evaluación y autoevaluación del Directorio y de sus miembros y de los comités de directorio.</w:t>
      </w:r>
    </w:p>
    <w:p w14:paraId="0ABE604B" w14:textId="77777777" w:rsidR="00A9135D" w:rsidRPr="00C84814" w:rsidRDefault="00A9135D" w:rsidP="00A9135D">
      <w:pPr>
        <w:ind w:left="567" w:hanging="567"/>
        <w:jc w:val="both"/>
        <w:rPr>
          <w:rFonts w:ascii="Arial" w:hAnsi="Arial" w:cs="Arial"/>
          <w:sz w:val="20"/>
        </w:rPr>
      </w:pPr>
    </w:p>
    <w:p w14:paraId="4480DFB5" w14:textId="77777777" w:rsidR="00A9135D" w:rsidRPr="00C84814" w:rsidRDefault="00A9135D" w:rsidP="00CC42D2">
      <w:pPr>
        <w:numPr>
          <w:ilvl w:val="0"/>
          <w:numId w:val="100"/>
        </w:numPr>
        <w:ind w:left="567" w:hanging="567"/>
        <w:contextualSpacing/>
        <w:jc w:val="both"/>
        <w:rPr>
          <w:rFonts w:ascii="Arial" w:hAnsi="Arial" w:cs="Arial"/>
          <w:sz w:val="20"/>
        </w:rPr>
      </w:pPr>
      <w:r w:rsidRPr="00C84814">
        <w:rPr>
          <w:rFonts w:ascii="Arial" w:hAnsi="Arial" w:cs="Arial"/>
          <w:sz w:val="20"/>
        </w:rPr>
        <w:t xml:space="preserve">Proponer al Directorio recomendaciones acerca de su composición. </w:t>
      </w:r>
    </w:p>
    <w:p w14:paraId="1F130104" w14:textId="77777777" w:rsidR="00A9135D" w:rsidRPr="00C84814" w:rsidRDefault="00A9135D" w:rsidP="00A9135D">
      <w:pPr>
        <w:ind w:left="567" w:hanging="567"/>
        <w:jc w:val="both"/>
        <w:rPr>
          <w:rFonts w:ascii="Arial" w:hAnsi="Arial" w:cs="Arial"/>
          <w:sz w:val="20"/>
        </w:rPr>
      </w:pPr>
    </w:p>
    <w:p w14:paraId="371ABD43" w14:textId="77777777" w:rsidR="00A9135D" w:rsidRPr="00C84814" w:rsidRDefault="00A9135D" w:rsidP="00CC42D2">
      <w:pPr>
        <w:numPr>
          <w:ilvl w:val="0"/>
          <w:numId w:val="100"/>
        </w:numPr>
        <w:ind w:left="567" w:hanging="567"/>
        <w:contextualSpacing/>
        <w:jc w:val="both"/>
        <w:rPr>
          <w:rFonts w:ascii="Arial" w:hAnsi="Arial" w:cs="Arial"/>
          <w:sz w:val="20"/>
        </w:rPr>
      </w:pPr>
      <w:r w:rsidRPr="00C84814">
        <w:rPr>
          <w:rFonts w:ascii="Arial" w:hAnsi="Arial" w:cs="Arial"/>
          <w:sz w:val="20"/>
        </w:rPr>
        <w:t xml:space="preserve">Definir políticas y lineamientos vinculados a partes relacionadas a Grupo Supervielle. </w:t>
      </w:r>
    </w:p>
    <w:p w14:paraId="17DB7FC5" w14:textId="77777777" w:rsidR="00A9135D" w:rsidRPr="00C84814" w:rsidRDefault="00A9135D" w:rsidP="00A9135D">
      <w:pPr>
        <w:ind w:left="567" w:hanging="567"/>
        <w:jc w:val="both"/>
        <w:rPr>
          <w:rFonts w:ascii="Arial" w:hAnsi="Arial" w:cs="Arial"/>
          <w:sz w:val="20"/>
        </w:rPr>
      </w:pPr>
    </w:p>
    <w:p w14:paraId="5AC16688" w14:textId="77777777" w:rsidR="00A9135D" w:rsidRPr="00C84814" w:rsidRDefault="00A9135D" w:rsidP="00CC42D2">
      <w:pPr>
        <w:numPr>
          <w:ilvl w:val="0"/>
          <w:numId w:val="100"/>
        </w:numPr>
        <w:ind w:left="567" w:hanging="567"/>
        <w:contextualSpacing/>
        <w:jc w:val="both"/>
        <w:rPr>
          <w:rFonts w:ascii="Arial" w:hAnsi="Arial" w:cs="Arial"/>
          <w:sz w:val="20"/>
        </w:rPr>
      </w:pPr>
      <w:r w:rsidRPr="00C84814">
        <w:rPr>
          <w:rFonts w:ascii="Arial" w:hAnsi="Arial" w:cs="Arial"/>
          <w:sz w:val="20"/>
        </w:rPr>
        <w:t>Ejercer aquellas otras competencias asignadas a este Comité por parte del Directorio.</w:t>
      </w:r>
    </w:p>
    <w:p w14:paraId="48875190" w14:textId="77777777" w:rsidR="00A9135D" w:rsidRPr="00C84814" w:rsidRDefault="00A9135D" w:rsidP="00A9135D">
      <w:pPr>
        <w:ind w:left="720"/>
        <w:jc w:val="both"/>
        <w:rPr>
          <w:rFonts w:ascii="Arial" w:hAnsi="Arial" w:cs="Arial"/>
          <w:sz w:val="20"/>
        </w:rPr>
      </w:pPr>
    </w:p>
    <w:p w14:paraId="0A50D935" w14:textId="5235160B" w:rsidR="00A9135D" w:rsidRPr="00C84814" w:rsidRDefault="00A9135D" w:rsidP="00A9135D">
      <w:pPr>
        <w:jc w:val="both"/>
        <w:rPr>
          <w:rFonts w:ascii="Arial" w:hAnsi="Arial" w:cs="Arial"/>
          <w:sz w:val="20"/>
        </w:rPr>
      </w:pPr>
      <w:r w:rsidRPr="00C84814">
        <w:rPr>
          <w:rFonts w:ascii="Arial" w:hAnsi="Arial" w:cs="Arial"/>
          <w:sz w:val="20"/>
        </w:rPr>
        <w:t xml:space="preserve">El Comité de Ética, Compliance y Gobierno Corporativo está compuesto por los siguientes funcionarios de Grupo Supervielle S.A.: al menos tres (3) </w:t>
      </w:r>
      <w:r w:rsidR="008D5E79" w:rsidRPr="00C84814">
        <w:rPr>
          <w:rFonts w:ascii="Arial" w:hAnsi="Arial" w:cs="Arial"/>
          <w:sz w:val="20"/>
        </w:rPr>
        <w:t>directores</w:t>
      </w:r>
      <w:r w:rsidRPr="00C84814">
        <w:rPr>
          <w:rFonts w:ascii="Arial" w:hAnsi="Arial" w:cs="Arial"/>
          <w:sz w:val="20"/>
        </w:rPr>
        <w:t xml:space="preserve">, el Gerente General y el Gerente Ejecutivo de Compliance. </w:t>
      </w:r>
    </w:p>
    <w:p w14:paraId="5AA97C33" w14:textId="77777777" w:rsidR="00A9135D" w:rsidRPr="00C84814" w:rsidRDefault="00A9135D" w:rsidP="00A9135D">
      <w:pPr>
        <w:jc w:val="both"/>
        <w:rPr>
          <w:rFonts w:ascii="Arial" w:hAnsi="Arial" w:cs="Arial"/>
          <w:sz w:val="20"/>
        </w:rPr>
      </w:pPr>
    </w:p>
    <w:p w14:paraId="330EA857" w14:textId="77777777" w:rsidR="00A9135D" w:rsidRPr="00C84814" w:rsidRDefault="00A9135D" w:rsidP="00A9135D">
      <w:pPr>
        <w:jc w:val="both"/>
        <w:rPr>
          <w:rFonts w:ascii="Arial" w:hAnsi="Arial" w:cs="Arial"/>
          <w:b/>
          <w:spacing w:val="15"/>
          <w:sz w:val="20"/>
        </w:rPr>
      </w:pPr>
      <w:r w:rsidRPr="00C84814">
        <w:rPr>
          <w:rFonts w:ascii="Arial" w:hAnsi="Arial" w:cs="Arial"/>
          <w:b/>
          <w:iCs/>
          <w:spacing w:val="15"/>
          <w:sz w:val="20"/>
        </w:rPr>
        <w:t>Comité de Divulgación de la Información</w:t>
      </w:r>
    </w:p>
    <w:p w14:paraId="545CD617" w14:textId="77777777" w:rsidR="00A9135D" w:rsidRPr="00C84814" w:rsidRDefault="00A9135D" w:rsidP="00A9135D">
      <w:pPr>
        <w:jc w:val="both"/>
        <w:rPr>
          <w:rFonts w:ascii="Arial" w:hAnsi="Arial" w:cs="Arial"/>
          <w:sz w:val="20"/>
        </w:rPr>
      </w:pPr>
    </w:p>
    <w:p w14:paraId="088E0AF3" w14:textId="77777777" w:rsidR="00A9135D" w:rsidRPr="00C84814" w:rsidRDefault="00A9135D" w:rsidP="00A9135D">
      <w:pPr>
        <w:jc w:val="both"/>
        <w:rPr>
          <w:rFonts w:ascii="Arial" w:hAnsi="Arial" w:cs="Arial"/>
          <w:sz w:val="20"/>
        </w:rPr>
      </w:pPr>
      <w:r w:rsidRPr="00C84814">
        <w:rPr>
          <w:rFonts w:ascii="Arial" w:hAnsi="Arial" w:cs="Arial"/>
          <w:sz w:val="20"/>
        </w:rPr>
        <w:t>El Comité de Divulgación de la Información es un órgano a nivel Grupo Supervielle S.A. de aplicación para el Banco y el resto de sus subsidiarias, que tiene por objeto asegurar el control de oportunidad, calidad y transparencia de la información relevante de Grupo Supervielle S.A. y sus compañías vinculadas, que deba ser divulgada a los tenedores de los títulos valores de la Sociedad y a los mercados donde coticen dichos títulos valores.</w:t>
      </w:r>
    </w:p>
    <w:p w14:paraId="4C46B08B" w14:textId="77777777" w:rsidR="00A9135D" w:rsidRPr="00C84814" w:rsidRDefault="00A9135D" w:rsidP="00A9135D">
      <w:pPr>
        <w:jc w:val="both"/>
        <w:rPr>
          <w:rFonts w:ascii="Arial" w:hAnsi="Arial" w:cs="Arial"/>
          <w:sz w:val="20"/>
        </w:rPr>
      </w:pPr>
    </w:p>
    <w:p w14:paraId="4EEF9B0A" w14:textId="77777777" w:rsidR="00A9135D" w:rsidRPr="00C84814" w:rsidRDefault="00A9135D" w:rsidP="00A9135D">
      <w:pPr>
        <w:jc w:val="both"/>
        <w:rPr>
          <w:rFonts w:ascii="Arial" w:hAnsi="Arial" w:cs="Arial"/>
          <w:sz w:val="20"/>
        </w:rPr>
      </w:pPr>
      <w:r w:rsidRPr="00C84814">
        <w:rPr>
          <w:rFonts w:ascii="Arial" w:hAnsi="Arial" w:cs="Arial"/>
          <w:sz w:val="20"/>
        </w:rPr>
        <w:t>El Comité de Divulgación de la Información es responsable de las siguientes tareas:</w:t>
      </w:r>
    </w:p>
    <w:p w14:paraId="591BA09A" w14:textId="77777777" w:rsidR="00A9135D" w:rsidRPr="00C84814" w:rsidRDefault="00A9135D" w:rsidP="00A9135D">
      <w:pPr>
        <w:jc w:val="both"/>
        <w:rPr>
          <w:rFonts w:ascii="Arial" w:hAnsi="Arial" w:cs="Arial"/>
          <w:spacing w:val="15"/>
          <w:sz w:val="20"/>
        </w:rPr>
      </w:pPr>
    </w:p>
    <w:p w14:paraId="13ED2936" w14:textId="77777777" w:rsidR="00A9135D" w:rsidRPr="00C84814" w:rsidRDefault="00A9135D" w:rsidP="00CC42D2">
      <w:pPr>
        <w:numPr>
          <w:ilvl w:val="0"/>
          <w:numId w:val="101"/>
        </w:numPr>
        <w:ind w:left="567" w:hanging="567"/>
        <w:contextualSpacing/>
        <w:jc w:val="both"/>
        <w:rPr>
          <w:rFonts w:ascii="Arial" w:hAnsi="Arial" w:cs="Arial"/>
          <w:sz w:val="20"/>
          <w:lang w:val="es-ES_tradnl" w:eastAsia="es-ES"/>
        </w:rPr>
      </w:pPr>
      <w:r w:rsidRPr="00C84814">
        <w:rPr>
          <w:rFonts w:ascii="Arial" w:hAnsi="Arial" w:cs="Arial"/>
          <w:sz w:val="20"/>
          <w:lang w:val="es-ES_tradnl" w:eastAsia="es-ES"/>
        </w:rPr>
        <w:t>Supervisar el sistema de controles y procedimientos de divulgación de la información de la Sociedad para asegurarse (i) que la información que se requiera dar a conocer al público (en forma directa o a través de los organismos reguladores), se registra, procesa, resume e informa con precisión y de manera oportuna y (ii) que dicha información se recopila y comunica a los cuadros gerenciales y directivos en tiempo y forma para permitir la adopción de decisiones oportunas sobre la información requerida.</w:t>
      </w:r>
    </w:p>
    <w:p w14:paraId="0C52BA5D" w14:textId="77777777" w:rsidR="00A9135D" w:rsidRPr="00C84814" w:rsidRDefault="00A9135D" w:rsidP="00A9135D">
      <w:pPr>
        <w:ind w:left="567" w:hanging="567"/>
        <w:jc w:val="both"/>
        <w:rPr>
          <w:rFonts w:ascii="Arial" w:hAnsi="Arial" w:cs="Arial"/>
          <w:sz w:val="20"/>
        </w:rPr>
      </w:pPr>
    </w:p>
    <w:p w14:paraId="5CC428AC" w14:textId="77777777" w:rsidR="00A9135D" w:rsidRPr="00C84814" w:rsidRDefault="00A9135D" w:rsidP="00CC42D2">
      <w:pPr>
        <w:numPr>
          <w:ilvl w:val="0"/>
          <w:numId w:val="101"/>
        </w:numPr>
        <w:ind w:left="567" w:hanging="567"/>
        <w:jc w:val="both"/>
        <w:rPr>
          <w:rFonts w:ascii="Arial" w:hAnsi="Arial" w:cs="Arial"/>
          <w:sz w:val="20"/>
        </w:rPr>
      </w:pPr>
      <w:r w:rsidRPr="00C84814">
        <w:rPr>
          <w:rFonts w:ascii="Arial" w:hAnsi="Arial" w:cs="Arial"/>
          <w:sz w:val="20"/>
        </w:rPr>
        <w:t xml:space="preserve">Evaluar la efectividad de los controles y procedimientos de divulgación de la información y determinar la necesidad o conveniencia de introducir cambios en dichos controles y procedimientos en relación con la preparación de los próximos informes periódicos y/o de los certificados de conformidad.  </w:t>
      </w:r>
    </w:p>
    <w:p w14:paraId="6C5932BC" w14:textId="77777777" w:rsidR="00A9135D" w:rsidRPr="00C84814" w:rsidRDefault="00A9135D" w:rsidP="00A9135D">
      <w:pPr>
        <w:ind w:left="567" w:hanging="567"/>
        <w:jc w:val="both"/>
        <w:rPr>
          <w:rFonts w:ascii="Arial" w:hAnsi="Arial" w:cs="Arial"/>
          <w:sz w:val="20"/>
        </w:rPr>
      </w:pPr>
    </w:p>
    <w:p w14:paraId="34FC57D9" w14:textId="77777777" w:rsidR="00A9135D" w:rsidRPr="00C84814" w:rsidRDefault="00A9135D" w:rsidP="00CC42D2">
      <w:pPr>
        <w:numPr>
          <w:ilvl w:val="0"/>
          <w:numId w:val="101"/>
        </w:numPr>
        <w:ind w:left="567" w:hanging="567"/>
        <w:jc w:val="both"/>
        <w:rPr>
          <w:rFonts w:ascii="Arial" w:hAnsi="Arial" w:cs="Arial"/>
          <w:sz w:val="20"/>
        </w:rPr>
      </w:pPr>
      <w:r w:rsidRPr="00C84814">
        <w:rPr>
          <w:rFonts w:ascii="Arial" w:hAnsi="Arial" w:cs="Arial"/>
          <w:sz w:val="20"/>
        </w:rPr>
        <w:t>Revisión de cualquier información con carácter de hecho relevante que deba ser presentada ante la  Comisión Nacional de Valores, Bolsa de Comercio de Buenos Aires, Mercado Abierto Electrónico, Security and Exchange Comission, NYSE, Banco Central de la República Argentina, Superintendencia de Seguros de la Nación y todo otro organismo regulatorio con el que se interactue y que se relacione con: (i) informes periódicos obligatorios ("Informes"), (ii) comunicados de prensa que contienen información financiera, previsión de beneficios, declaraciones sobre proyectos futuros, información sobre transacciones significactivas o materiales, (iii) publicación de hechos relevantes, (iv) comunicación oral y  correspondencia escrita para difusión a los accionistas e inversores y (v) otras comunicaciones o presentaciones que fueren pertinentes.</w:t>
      </w:r>
    </w:p>
    <w:p w14:paraId="4FC2FBEB" w14:textId="77777777" w:rsidR="00A9135D" w:rsidRPr="00C84814" w:rsidRDefault="00A9135D" w:rsidP="00A9135D">
      <w:pPr>
        <w:ind w:left="567" w:hanging="567"/>
        <w:jc w:val="both"/>
        <w:rPr>
          <w:rFonts w:ascii="Arial" w:hAnsi="Arial" w:cs="Arial"/>
          <w:sz w:val="20"/>
        </w:rPr>
      </w:pPr>
    </w:p>
    <w:p w14:paraId="06474948" w14:textId="77777777" w:rsidR="00A9135D" w:rsidRPr="00C84814" w:rsidRDefault="00A9135D" w:rsidP="00CC42D2">
      <w:pPr>
        <w:numPr>
          <w:ilvl w:val="0"/>
          <w:numId w:val="101"/>
        </w:numPr>
        <w:ind w:left="567" w:hanging="567"/>
        <w:jc w:val="both"/>
        <w:rPr>
          <w:rFonts w:ascii="Arial" w:hAnsi="Arial" w:cs="Arial"/>
          <w:sz w:val="20"/>
        </w:rPr>
      </w:pPr>
      <w:r w:rsidRPr="00C84814">
        <w:rPr>
          <w:rFonts w:ascii="Arial" w:hAnsi="Arial" w:cs="Arial"/>
          <w:sz w:val="20"/>
        </w:rPr>
        <w:t>Proponer al Directorio la política de manejo de la información confidencial y controlar su cumplimiento, en particular en lo que se refiere a personas vinculadas.</w:t>
      </w:r>
    </w:p>
    <w:p w14:paraId="77D2F9A3" w14:textId="77777777" w:rsidR="00A9135D" w:rsidRPr="00C84814" w:rsidRDefault="00A9135D" w:rsidP="00A9135D">
      <w:pPr>
        <w:jc w:val="both"/>
        <w:rPr>
          <w:rFonts w:ascii="Arial" w:hAnsi="Arial" w:cs="Arial"/>
          <w:spacing w:val="15"/>
          <w:sz w:val="20"/>
        </w:rPr>
      </w:pPr>
    </w:p>
    <w:p w14:paraId="73BFE20A" w14:textId="77777777" w:rsidR="00A9135D" w:rsidRPr="00C84814" w:rsidRDefault="00A9135D" w:rsidP="00A9135D">
      <w:pPr>
        <w:jc w:val="both"/>
        <w:rPr>
          <w:rFonts w:ascii="Arial" w:hAnsi="Arial" w:cs="Arial"/>
          <w:sz w:val="20"/>
        </w:rPr>
      </w:pPr>
      <w:r w:rsidRPr="00C84814">
        <w:rPr>
          <w:rFonts w:ascii="Arial" w:hAnsi="Arial" w:cs="Arial"/>
          <w:sz w:val="20"/>
        </w:rPr>
        <w:t>El Comité de Divulgación de la Información estará constituido por al menos tres directores de Grupo Supervielle S.A. (entre ellos, el Presidente del Comité de Auditoría de la Sociedad), el Gerente General, el Gerente Corporativo de Administración y Control de Gestión (CFO), el Gerente Corporativo de Riesgos (CRO), el Gerente de Relaciones con los Inversores, el Gerente Corporativo de Asuntos Legales, el Auditor Interno y el Contador de la Sociedad.</w:t>
      </w:r>
    </w:p>
    <w:p w14:paraId="234F9557" w14:textId="77777777" w:rsidR="00A9135D" w:rsidRPr="00C84814" w:rsidRDefault="00A9135D" w:rsidP="00A9135D">
      <w:pPr>
        <w:tabs>
          <w:tab w:val="left" w:pos="142"/>
        </w:tabs>
        <w:jc w:val="both"/>
        <w:rPr>
          <w:rFonts w:ascii="Arial" w:hAnsi="Arial" w:cs="Arial"/>
          <w:b/>
          <w:bCs/>
          <w:sz w:val="20"/>
          <w:lang w:val="es-ES"/>
        </w:rPr>
      </w:pPr>
    </w:p>
    <w:p w14:paraId="3F210040" w14:textId="77777777" w:rsidR="00A9135D" w:rsidRPr="00E541A5" w:rsidRDefault="00A9135D" w:rsidP="00CC42D2">
      <w:pPr>
        <w:pStyle w:val="Prrafodelista"/>
        <w:numPr>
          <w:ilvl w:val="3"/>
          <w:numId w:val="92"/>
        </w:numPr>
        <w:tabs>
          <w:tab w:val="left" w:pos="142"/>
        </w:tabs>
        <w:suppressAutoHyphens/>
        <w:spacing w:line="100" w:lineRule="atLeast"/>
        <w:jc w:val="both"/>
        <w:rPr>
          <w:rFonts w:ascii="Arial" w:hAnsi="Arial" w:cs="Arial"/>
          <w:b/>
          <w:sz w:val="20"/>
        </w:rPr>
      </w:pPr>
      <w:r w:rsidRPr="00E541A5">
        <w:rPr>
          <w:rFonts w:ascii="Arial" w:hAnsi="Arial" w:cs="Arial"/>
          <w:b/>
          <w:bCs/>
          <w:sz w:val="20"/>
          <w:u w:val="single"/>
        </w:rPr>
        <w:t>Comités de Gerencia</w:t>
      </w:r>
    </w:p>
    <w:p w14:paraId="70136253" w14:textId="77777777" w:rsidR="00A9135D" w:rsidRPr="00C84814" w:rsidRDefault="00A9135D" w:rsidP="00A9135D">
      <w:pPr>
        <w:tabs>
          <w:tab w:val="left" w:pos="142"/>
        </w:tabs>
        <w:jc w:val="both"/>
        <w:rPr>
          <w:rFonts w:ascii="Arial" w:hAnsi="Arial" w:cs="Arial"/>
          <w:b/>
          <w:sz w:val="20"/>
        </w:rPr>
      </w:pPr>
    </w:p>
    <w:p w14:paraId="32B00A81" w14:textId="77777777" w:rsidR="00A9135D" w:rsidRPr="00C84814" w:rsidRDefault="00A9135D" w:rsidP="00A9135D">
      <w:pPr>
        <w:jc w:val="both"/>
        <w:rPr>
          <w:rFonts w:ascii="Arial" w:hAnsi="Arial" w:cs="Arial"/>
          <w:b/>
          <w:iCs/>
          <w:spacing w:val="15"/>
          <w:sz w:val="20"/>
        </w:rPr>
      </w:pPr>
      <w:r w:rsidRPr="00C84814">
        <w:rPr>
          <w:rFonts w:ascii="Arial" w:hAnsi="Arial" w:cs="Arial"/>
          <w:b/>
          <w:iCs/>
          <w:spacing w:val="15"/>
          <w:sz w:val="20"/>
        </w:rPr>
        <w:t xml:space="preserve">Comité Ejecutivo </w:t>
      </w:r>
    </w:p>
    <w:p w14:paraId="268FD68C" w14:textId="77777777" w:rsidR="00A9135D" w:rsidRPr="00C84814" w:rsidRDefault="00A9135D" w:rsidP="00A9135D">
      <w:pPr>
        <w:jc w:val="both"/>
        <w:rPr>
          <w:rFonts w:ascii="Arial" w:hAnsi="Arial" w:cs="Arial"/>
          <w:sz w:val="20"/>
          <w:lang w:val="es-ES"/>
        </w:rPr>
      </w:pPr>
    </w:p>
    <w:p w14:paraId="772690F9" w14:textId="77777777" w:rsidR="00A9135D" w:rsidRPr="00C84814" w:rsidRDefault="00A9135D" w:rsidP="00A9135D">
      <w:pPr>
        <w:jc w:val="both"/>
        <w:rPr>
          <w:rFonts w:ascii="Arial" w:hAnsi="Arial" w:cs="Arial"/>
          <w:sz w:val="20"/>
        </w:rPr>
      </w:pPr>
      <w:r w:rsidRPr="00C84814">
        <w:rPr>
          <w:rFonts w:ascii="Arial" w:hAnsi="Arial" w:cs="Arial"/>
          <w:sz w:val="20"/>
        </w:rPr>
        <w:t>Este Comité es el ámbito de debate y decisión sobre los siguientes puntos, entre otros: (a) gestión de la empresa a través de la ejecución de políticas definidas por el Directorio; (b) propuesta y ejecución del presupuesto anual; (c) análisis de nuevos negocios y proyectos; (d) seguimiento de la evolución de proyectos estratégicos; y (e) evaluación de los nuevos productos y servicios que se propongan.</w:t>
      </w:r>
    </w:p>
    <w:p w14:paraId="1D9491AD" w14:textId="77777777" w:rsidR="00A9135D" w:rsidRPr="00C84814" w:rsidRDefault="00A9135D" w:rsidP="00A9135D">
      <w:pPr>
        <w:jc w:val="both"/>
        <w:rPr>
          <w:rFonts w:ascii="Arial" w:hAnsi="Arial" w:cs="Arial"/>
          <w:sz w:val="20"/>
        </w:rPr>
      </w:pPr>
    </w:p>
    <w:p w14:paraId="67A55F01" w14:textId="77777777" w:rsidR="00A9135D" w:rsidRPr="00C84814" w:rsidRDefault="00A9135D" w:rsidP="00A9135D">
      <w:pPr>
        <w:jc w:val="both"/>
        <w:rPr>
          <w:rFonts w:ascii="Arial" w:hAnsi="Arial" w:cs="Arial"/>
          <w:sz w:val="20"/>
        </w:rPr>
      </w:pPr>
      <w:r w:rsidRPr="00C84814">
        <w:rPr>
          <w:rFonts w:ascii="Arial" w:hAnsi="Arial" w:cs="Arial"/>
          <w:sz w:val="20"/>
        </w:rPr>
        <w:t>El Comité Ejecutivo está constituido por los reportes directos del Gerente General y es presidido por éste.</w:t>
      </w:r>
    </w:p>
    <w:p w14:paraId="4E3A9C4E" w14:textId="77777777" w:rsidR="00A9135D" w:rsidRPr="00C84814" w:rsidRDefault="00A9135D" w:rsidP="00A9135D">
      <w:pPr>
        <w:jc w:val="both"/>
        <w:rPr>
          <w:rFonts w:ascii="Arial" w:hAnsi="Arial" w:cs="Arial"/>
          <w:i/>
          <w:iCs/>
          <w:spacing w:val="15"/>
          <w:sz w:val="20"/>
          <w:lang w:val="es-ES" w:eastAsia="es-ES"/>
        </w:rPr>
      </w:pPr>
    </w:p>
    <w:p w14:paraId="2A938613" w14:textId="77777777" w:rsidR="00A9135D" w:rsidRPr="00C84814" w:rsidRDefault="00A9135D" w:rsidP="00A9135D">
      <w:pPr>
        <w:jc w:val="both"/>
        <w:rPr>
          <w:rFonts w:ascii="Arial" w:hAnsi="Arial" w:cs="Arial"/>
          <w:b/>
          <w:iCs/>
          <w:spacing w:val="15"/>
          <w:sz w:val="20"/>
        </w:rPr>
      </w:pPr>
      <w:r w:rsidRPr="00C84814">
        <w:rPr>
          <w:rFonts w:ascii="Arial" w:hAnsi="Arial" w:cs="Arial"/>
          <w:b/>
          <w:iCs/>
          <w:spacing w:val="15"/>
          <w:sz w:val="20"/>
        </w:rPr>
        <w:t xml:space="preserve">Comité de Créditos </w:t>
      </w:r>
    </w:p>
    <w:p w14:paraId="788B5F8A" w14:textId="77777777" w:rsidR="00A9135D" w:rsidRPr="00C84814" w:rsidRDefault="00A9135D" w:rsidP="00A9135D">
      <w:pPr>
        <w:jc w:val="both"/>
        <w:rPr>
          <w:rFonts w:ascii="Arial" w:hAnsi="Arial" w:cs="Arial"/>
          <w:sz w:val="20"/>
        </w:rPr>
      </w:pPr>
    </w:p>
    <w:p w14:paraId="15DD2CC4" w14:textId="77777777" w:rsidR="00A9135D" w:rsidRPr="00C84814" w:rsidRDefault="00A9135D" w:rsidP="00A9135D">
      <w:pPr>
        <w:jc w:val="both"/>
        <w:rPr>
          <w:rFonts w:ascii="Arial" w:hAnsi="Arial" w:cs="Arial"/>
          <w:sz w:val="20"/>
        </w:rPr>
      </w:pPr>
      <w:r w:rsidRPr="00C84814">
        <w:rPr>
          <w:rFonts w:ascii="Arial" w:hAnsi="Arial" w:cs="Arial"/>
          <w:sz w:val="20"/>
        </w:rPr>
        <w:t xml:space="preserve">El Comité de Créditos tiene por objeto desarrollar el proceso decisorio del crédito dentro de los marcos normativos externo e interno y de las políticas y facultades que le delegare el Directorio. </w:t>
      </w:r>
    </w:p>
    <w:p w14:paraId="610B29F3" w14:textId="77777777" w:rsidR="00A9135D" w:rsidRPr="00C84814" w:rsidRDefault="00A9135D" w:rsidP="00A9135D">
      <w:pPr>
        <w:jc w:val="both"/>
        <w:rPr>
          <w:rFonts w:ascii="Arial" w:hAnsi="Arial" w:cs="Arial"/>
          <w:sz w:val="20"/>
        </w:rPr>
      </w:pPr>
    </w:p>
    <w:p w14:paraId="04554BD0" w14:textId="77777777" w:rsidR="00A9135D" w:rsidRPr="00C84814" w:rsidRDefault="00A9135D" w:rsidP="00CC42D2">
      <w:pPr>
        <w:numPr>
          <w:ilvl w:val="0"/>
          <w:numId w:val="102"/>
        </w:numPr>
        <w:tabs>
          <w:tab w:val="clear" w:pos="720"/>
          <w:tab w:val="num" w:pos="567"/>
        </w:tabs>
        <w:ind w:left="567" w:hanging="567"/>
        <w:jc w:val="both"/>
        <w:rPr>
          <w:rFonts w:ascii="Arial" w:hAnsi="Arial" w:cs="Arial"/>
          <w:sz w:val="20"/>
        </w:rPr>
      </w:pPr>
      <w:r w:rsidRPr="00C84814">
        <w:rPr>
          <w:rFonts w:ascii="Arial" w:hAnsi="Arial" w:cs="Arial"/>
          <w:sz w:val="20"/>
        </w:rPr>
        <w:t xml:space="preserve">Evaluar y resolver en consenso las políticas de crédito propuestas por las plataformas comerciales de todas las bancas. </w:t>
      </w:r>
    </w:p>
    <w:p w14:paraId="574A19B1" w14:textId="77777777" w:rsidR="00A9135D" w:rsidRPr="00C84814" w:rsidRDefault="00A9135D" w:rsidP="00A9135D">
      <w:pPr>
        <w:ind w:left="567"/>
        <w:jc w:val="both"/>
        <w:rPr>
          <w:rFonts w:ascii="Arial" w:hAnsi="Arial" w:cs="Arial"/>
          <w:sz w:val="20"/>
        </w:rPr>
      </w:pPr>
    </w:p>
    <w:p w14:paraId="50C87ECE" w14:textId="77777777" w:rsidR="00A9135D" w:rsidRPr="00C84814" w:rsidRDefault="00A9135D" w:rsidP="00CC42D2">
      <w:pPr>
        <w:numPr>
          <w:ilvl w:val="0"/>
          <w:numId w:val="102"/>
        </w:numPr>
        <w:ind w:left="567" w:hanging="567"/>
        <w:jc w:val="both"/>
        <w:rPr>
          <w:rFonts w:ascii="Arial" w:hAnsi="Arial" w:cs="Arial"/>
          <w:sz w:val="20"/>
        </w:rPr>
      </w:pPr>
      <w:r w:rsidRPr="00C84814">
        <w:rPr>
          <w:rFonts w:ascii="Arial" w:hAnsi="Arial" w:cs="Arial"/>
          <w:sz w:val="20"/>
        </w:rPr>
        <w:t>Evaluar y resolver en consenso los límites para asumir riesgos crediticios con clientes y con contrapartes, propuestos por las plataformas comerciales de todas las bancas, referidos a facilidades, plazos, garantías, condiciones especiales y riesgos ambientales en la financiación de proyectos de inversión relevantes.</w:t>
      </w:r>
    </w:p>
    <w:p w14:paraId="36B58711" w14:textId="77777777" w:rsidR="00A9135D" w:rsidRPr="00C84814" w:rsidRDefault="00A9135D" w:rsidP="00A9135D">
      <w:pPr>
        <w:ind w:left="567"/>
        <w:jc w:val="both"/>
        <w:rPr>
          <w:rFonts w:ascii="Arial" w:hAnsi="Arial" w:cs="Arial"/>
          <w:sz w:val="20"/>
        </w:rPr>
      </w:pPr>
    </w:p>
    <w:p w14:paraId="6D0B7608" w14:textId="77777777" w:rsidR="00A9135D" w:rsidRPr="00C84814" w:rsidRDefault="00A9135D" w:rsidP="00CC42D2">
      <w:pPr>
        <w:numPr>
          <w:ilvl w:val="0"/>
          <w:numId w:val="102"/>
        </w:numPr>
        <w:ind w:left="567" w:hanging="567"/>
        <w:jc w:val="both"/>
        <w:rPr>
          <w:rFonts w:ascii="Arial" w:hAnsi="Arial" w:cs="Arial"/>
          <w:sz w:val="20"/>
        </w:rPr>
      </w:pPr>
      <w:r w:rsidRPr="00C84814">
        <w:rPr>
          <w:rFonts w:ascii="Arial" w:hAnsi="Arial" w:cs="Arial"/>
          <w:sz w:val="20"/>
        </w:rPr>
        <w:t>Elevar al Presidente (denominado internamente “House Limit”) para su opinión en todas aquellas propuestas en las que no se logre consenso o en los casos en que excediera sus facultades delegadas.</w:t>
      </w:r>
    </w:p>
    <w:p w14:paraId="6BBC0F75" w14:textId="77777777" w:rsidR="00A9135D" w:rsidRPr="00C84814" w:rsidRDefault="00A9135D" w:rsidP="00A9135D">
      <w:pPr>
        <w:ind w:left="720"/>
        <w:contextualSpacing/>
        <w:rPr>
          <w:rFonts w:ascii="Arial" w:hAnsi="Arial" w:cs="Arial"/>
          <w:sz w:val="20"/>
        </w:rPr>
      </w:pPr>
    </w:p>
    <w:p w14:paraId="28A9F3C4" w14:textId="77777777" w:rsidR="00A9135D" w:rsidRPr="00C84814" w:rsidRDefault="00A9135D" w:rsidP="00CC42D2">
      <w:pPr>
        <w:numPr>
          <w:ilvl w:val="0"/>
          <w:numId w:val="102"/>
        </w:numPr>
        <w:ind w:left="567" w:hanging="567"/>
        <w:jc w:val="both"/>
        <w:rPr>
          <w:rFonts w:ascii="Arial" w:hAnsi="Arial" w:cs="Arial"/>
          <w:sz w:val="20"/>
        </w:rPr>
      </w:pPr>
      <w:r w:rsidRPr="00C84814">
        <w:rPr>
          <w:rFonts w:ascii="Arial" w:hAnsi="Arial" w:cs="Arial"/>
          <w:sz w:val="20"/>
        </w:rPr>
        <w:t>Elevar al Directorio para su aprobación o puesta en conocimiento todas aquellas propuestas que en el marco de la normativa vigente y relaciones técnicas crediticias así lo requieran.</w:t>
      </w:r>
    </w:p>
    <w:p w14:paraId="1AF96E36" w14:textId="77777777" w:rsidR="00A9135D" w:rsidRPr="00C84814" w:rsidRDefault="00A9135D" w:rsidP="00A9135D">
      <w:pPr>
        <w:ind w:left="567"/>
        <w:jc w:val="both"/>
        <w:rPr>
          <w:rFonts w:ascii="Arial" w:hAnsi="Arial" w:cs="Arial"/>
          <w:sz w:val="20"/>
        </w:rPr>
      </w:pPr>
    </w:p>
    <w:p w14:paraId="6E05D672" w14:textId="77777777" w:rsidR="00A9135D" w:rsidRPr="00C84814" w:rsidRDefault="00A9135D" w:rsidP="00CC42D2">
      <w:pPr>
        <w:numPr>
          <w:ilvl w:val="0"/>
          <w:numId w:val="102"/>
        </w:numPr>
        <w:ind w:left="567" w:hanging="567"/>
        <w:jc w:val="both"/>
        <w:rPr>
          <w:rFonts w:ascii="Arial" w:hAnsi="Arial" w:cs="Arial"/>
          <w:sz w:val="20"/>
        </w:rPr>
      </w:pPr>
      <w:r w:rsidRPr="00C84814">
        <w:rPr>
          <w:rFonts w:ascii="Arial" w:hAnsi="Arial" w:cs="Arial"/>
          <w:sz w:val="20"/>
        </w:rPr>
        <w:t>Revisar y actualizar periódicamente las políticas crediticias y los límites de crédito.</w:t>
      </w:r>
    </w:p>
    <w:p w14:paraId="7100C288" w14:textId="77777777" w:rsidR="00A9135D" w:rsidRPr="00C84814" w:rsidRDefault="00A9135D" w:rsidP="00A9135D">
      <w:pPr>
        <w:ind w:left="567"/>
        <w:jc w:val="both"/>
        <w:rPr>
          <w:rFonts w:ascii="Arial" w:hAnsi="Arial" w:cs="Arial"/>
          <w:sz w:val="20"/>
        </w:rPr>
      </w:pPr>
    </w:p>
    <w:p w14:paraId="4533C3A2" w14:textId="77777777" w:rsidR="00A9135D" w:rsidRPr="00C84814" w:rsidRDefault="00A9135D" w:rsidP="00CC42D2">
      <w:pPr>
        <w:numPr>
          <w:ilvl w:val="0"/>
          <w:numId w:val="102"/>
        </w:numPr>
        <w:ind w:left="567" w:hanging="567"/>
        <w:jc w:val="both"/>
        <w:rPr>
          <w:rFonts w:ascii="Arial" w:hAnsi="Arial" w:cs="Arial"/>
          <w:sz w:val="20"/>
        </w:rPr>
      </w:pPr>
      <w:r w:rsidRPr="00C84814">
        <w:rPr>
          <w:rFonts w:ascii="Arial" w:hAnsi="Arial" w:cs="Arial"/>
          <w:sz w:val="20"/>
        </w:rPr>
        <w:t>Proponer al Directorio el otorgamiento de atribuciones crediticias a comités de crédito o instancias inferiores o incluso personas con aptitudes para resolver créditos.</w:t>
      </w:r>
    </w:p>
    <w:p w14:paraId="6DE4EACD" w14:textId="77777777" w:rsidR="00A9135D" w:rsidRPr="00C84814" w:rsidRDefault="00A9135D" w:rsidP="00A9135D">
      <w:pPr>
        <w:ind w:left="567"/>
        <w:jc w:val="both"/>
        <w:rPr>
          <w:rFonts w:ascii="Arial" w:hAnsi="Arial" w:cs="Arial"/>
          <w:sz w:val="20"/>
        </w:rPr>
      </w:pPr>
    </w:p>
    <w:p w14:paraId="0210A939" w14:textId="77777777" w:rsidR="00A9135D" w:rsidRPr="00C84814" w:rsidRDefault="00A9135D" w:rsidP="00CC42D2">
      <w:pPr>
        <w:numPr>
          <w:ilvl w:val="0"/>
          <w:numId w:val="102"/>
        </w:numPr>
        <w:ind w:left="567" w:hanging="567"/>
        <w:jc w:val="both"/>
        <w:rPr>
          <w:rFonts w:ascii="Arial" w:hAnsi="Arial" w:cs="Arial"/>
          <w:sz w:val="20"/>
        </w:rPr>
      </w:pPr>
      <w:r w:rsidRPr="00C84814">
        <w:rPr>
          <w:rFonts w:ascii="Arial" w:hAnsi="Arial" w:cs="Arial"/>
          <w:sz w:val="20"/>
        </w:rPr>
        <w:t>Supervisar la suficiencia y eficaz funcionamiento de comités de crédito o instancias inferiores o incluso personas con atribuciones crediticias delegadas.</w:t>
      </w:r>
    </w:p>
    <w:p w14:paraId="54388ECD" w14:textId="77777777" w:rsidR="00A9135D" w:rsidRPr="00C84814" w:rsidRDefault="00A9135D" w:rsidP="00A9135D">
      <w:pPr>
        <w:ind w:left="567"/>
        <w:jc w:val="both"/>
        <w:rPr>
          <w:rFonts w:ascii="Arial" w:hAnsi="Arial" w:cs="Arial"/>
          <w:sz w:val="20"/>
        </w:rPr>
      </w:pPr>
    </w:p>
    <w:p w14:paraId="18CB36EE" w14:textId="77777777" w:rsidR="00A9135D" w:rsidRPr="00C84814" w:rsidRDefault="00A9135D" w:rsidP="00CC42D2">
      <w:pPr>
        <w:numPr>
          <w:ilvl w:val="0"/>
          <w:numId w:val="102"/>
        </w:numPr>
        <w:ind w:left="567" w:hanging="567"/>
        <w:jc w:val="both"/>
        <w:rPr>
          <w:rFonts w:ascii="Arial" w:hAnsi="Arial" w:cs="Arial"/>
          <w:sz w:val="20"/>
        </w:rPr>
      </w:pPr>
      <w:r w:rsidRPr="00C84814">
        <w:rPr>
          <w:rFonts w:ascii="Arial" w:hAnsi="Arial" w:cs="Arial"/>
          <w:sz w:val="20"/>
        </w:rPr>
        <w:t>Estudiar cualquier asunto de naturaleza crediticia que le sea encomendado por el Directorio.</w:t>
      </w:r>
    </w:p>
    <w:p w14:paraId="4706F485" w14:textId="77777777" w:rsidR="00A9135D" w:rsidRPr="00C84814" w:rsidRDefault="00A9135D" w:rsidP="00A9135D">
      <w:pPr>
        <w:ind w:left="567"/>
        <w:jc w:val="both"/>
        <w:rPr>
          <w:rFonts w:ascii="Arial" w:hAnsi="Arial" w:cs="Arial"/>
          <w:sz w:val="20"/>
        </w:rPr>
      </w:pPr>
    </w:p>
    <w:p w14:paraId="70DF64A9" w14:textId="77777777" w:rsidR="00A9135D" w:rsidRPr="00C84814" w:rsidRDefault="00A9135D" w:rsidP="00CC42D2">
      <w:pPr>
        <w:numPr>
          <w:ilvl w:val="0"/>
          <w:numId w:val="102"/>
        </w:numPr>
        <w:ind w:left="567" w:hanging="567"/>
        <w:jc w:val="both"/>
        <w:rPr>
          <w:rFonts w:ascii="Arial" w:hAnsi="Arial" w:cs="Arial"/>
          <w:sz w:val="20"/>
        </w:rPr>
      </w:pPr>
      <w:r w:rsidRPr="00C84814">
        <w:rPr>
          <w:rFonts w:ascii="Arial" w:hAnsi="Arial" w:cs="Arial"/>
          <w:sz w:val="20"/>
        </w:rPr>
        <w:t>Tomar conocimiento de los informes de los organismos de supervisión externos, en particular la memoranda, informes y notas del BCRA, Comisión Nacional de Valores, agencias calificadoras de riesgos e instituciones similares en Argentina que se refieran al ámbito de sus funciones en los términos expresados en este Reglamento.</w:t>
      </w:r>
    </w:p>
    <w:p w14:paraId="45259923" w14:textId="77777777" w:rsidR="00A9135D" w:rsidRPr="00C84814" w:rsidRDefault="00A9135D" w:rsidP="00A9135D">
      <w:pPr>
        <w:ind w:left="567"/>
        <w:jc w:val="both"/>
        <w:rPr>
          <w:rFonts w:ascii="Arial" w:hAnsi="Arial" w:cs="Arial"/>
          <w:sz w:val="20"/>
        </w:rPr>
      </w:pPr>
    </w:p>
    <w:p w14:paraId="4E70A35D" w14:textId="77777777" w:rsidR="00A9135D" w:rsidRPr="00C84814" w:rsidRDefault="00A9135D" w:rsidP="00CC42D2">
      <w:pPr>
        <w:numPr>
          <w:ilvl w:val="0"/>
          <w:numId w:val="102"/>
        </w:numPr>
        <w:ind w:left="567" w:hanging="567"/>
        <w:jc w:val="both"/>
        <w:rPr>
          <w:rFonts w:ascii="Arial" w:hAnsi="Arial" w:cs="Arial"/>
          <w:sz w:val="20"/>
        </w:rPr>
      </w:pPr>
      <w:r w:rsidRPr="00C84814">
        <w:rPr>
          <w:rFonts w:ascii="Arial" w:hAnsi="Arial" w:cs="Arial"/>
          <w:sz w:val="20"/>
        </w:rPr>
        <w:t>Comprobar que se cumplimentan en tiempo y forma adecuados las instrucciones y recomendaciones de los organismos de supervisión antes indicados que afectaren sus decisiones y funcionamiento.</w:t>
      </w:r>
    </w:p>
    <w:p w14:paraId="523803D8" w14:textId="77777777" w:rsidR="00A9135D" w:rsidRPr="00C84814" w:rsidRDefault="00A9135D" w:rsidP="00A9135D">
      <w:pPr>
        <w:ind w:left="720"/>
        <w:contextualSpacing/>
        <w:rPr>
          <w:rFonts w:ascii="Arial" w:hAnsi="Arial" w:cs="Arial"/>
          <w:sz w:val="20"/>
        </w:rPr>
      </w:pPr>
    </w:p>
    <w:p w14:paraId="49F8663C" w14:textId="77777777" w:rsidR="00A9135D" w:rsidRPr="00C84814" w:rsidRDefault="00A9135D" w:rsidP="00CC42D2">
      <w:pPr>
        <w:numPr>
          <w:ilvl w:val="0"/>
          <w:numId w:val="102"/>
        </w:numPr>
        <w:ind w:left="567" w:hanging="567"/>
        <w:jc w:val="both"/>
        <w:rPr>
          <w:rFonts w:ascii="Arial" w:hAnsi="Arial" w:cs="Arial"/>
          <w:sz w:val="20"/>
        </w:rPr>
      </w:pPr>
      <w:r w:rsidRPr="00C84814">
        <w:rPr>
          <w:rFonts w:ascii="Arial" w:hAnsi="Arial" w:cs="Arial"/>
          <w:sz w:val="20"/>
        </w:rPr>
        <w:t>Velar por el efectivo cumplimiento en todo el Banco de las Políticas de Crédito aprobadas, para conservar una sólida cultura de créditos en todos los niveles de la organización.</w:t>
      </w:r>
    </w:p>
    <w:p w14:paraId="5976F3CC" w14:textId="77777777" w:rsidR="00A9135D" w:rsidRPr="00C84814" w:rsidRDefault="00A9135D" w:rsidP="00A9135D">
      <w:pPr>
        <w:ind w:left="567"/>
        <w:jc w:val="both"/>
        <w:rPr>
          <w:rFonts w:ascii="Arial" w:hAnsi="Arial" w:cs="Arial"/>
          <w:sz w:val="20"/>
        </w:rPr>
      </w:pPr>
    </w:p>
    <w:p w14:paraId="4373B772" w14:textId="77777777" w:rsidR="00A9135D" w:rsidRPr="00C84814" w:rsidRDefault="00A9135D" w:rsidP="00A9135D">
      <w:pPr>
        <w:ind w:left="720"/>
        <w:jc w:val="both"/>
        <w:rPr>
          <w:rFonts w:ascii="Arial" w:hAnsi="Arial" w:cs="Arial"/>
          <w:sz w:val="20"/>
        </w:rPr>
      </w:pPr>
    </w:p>
    <w:p w14:paraId="49515E30" w14:textId="77777777" w:rsidR="00A9135D" w:rsidRDefault="00A9135D" w:rsidP="00A9135D">
      <w:pPr>
        <w:jc w:val="both"/>
        <w:rPr>
          <w:rFonts w:ascii="Arial" w:hAnsi="Arial" w:cs="Arial"/>
          <w:sz w:val="20"/>
        </w:rPr>
      </w:pPr>
      <w:r w:rsidRPr="00C84814">
        <w:rPr>
          <w:rFonts w:ascii="Arial" w:hAnsi="Arial" w:cs="Arial"/>
          <w:sz w:val="20"/>
        </w:rPr>
        <w:t>El Comité de Créditos está compuesto por un Director, el Gerente General, el Gerente Corporativo de Créditos, el Gerente de Créditos de Empresas Megras y EF y/o el Gerente de Créditos de Empresas Pymes e Interior, y el Gerente Corporativo de Banca Empresas o el Gerente Corporativo de Finanzas o el Gerente Corporativo de Banca Minorista.</w:t>
      </w:r>
    </w:p>
    <w:p w14:paraId="5197461B" w14:textId="77777777" w:rsidR="00A9135D" w:rsidRPr="00C84814" w:rsidRDefault="00A9135D" w:rsidP="00A9135D">
      <w:pPr>
        <w:jc w:val="both"/>
        <w:rPr>
          <w:rFonts w:ascii="Arial" w:hAnsi="Arial" w:cs="Arial"/>
          <w:sz w:val="20"/>
        </w:rPr>
      </w:pPr>
    </w:p>
    <w:p w14:paraId="33695E83" w14:textId="77777777" w:rsidR="00A9135D" w:rsidRPr="00C84814" w:rsidRDefault="00A9135D" w:rsidP="00A9135D">
      <w:pPr>
        <w:jc w:val="both"/>
        <w:rPr>
          <w:rFonts w:ascii="Arial" w:hAnsi="Arial" w:cs="Arial"/>
          <w:b/>
          <w:iCs/>
          <w:spacing w:val="15"/>
          <w:sz w:val="20"/>
        </w:rPr>
      </w:pPr>
      <w:r w:rsidRPr="00C84814">
        <w:rPr>
          <w:rFonts w:ascii="Arial" w:hAnsi="Arial" w:cs="Arial"/>
          <w:b/>
          <w:iCs/>
          <w:spacing w:val="15"/>
          <w:sz w:val="20"/>
        </w:rPr>
        <w:t>Comité ALCO (Comité de Activos y Pasivos)</w:t>
      </w:r>
    </w:p>
    <w:p w14:paraId="6C5BA639" w14:textId="77777777" w:rsidR="00A9135D" w:rsidRPr="00C84814" w:rsidRDefault="00A9135D" w:rsidP="00A9135D">
      <w:pPr>
        <w:jc w:val="both"/>
        <w:rPr>
          <w:rFonts w:ascii="Arial" w:hAnsi="Arial" w:cs="Arial"/>
          <w:sz w:val="20"/>
        </w:rPr>
      </w:pPr>
    </w:p>
    <w:p w14:paraId="1304C25C" w14:textId="77777777" w:rsidR="00A9135D" w:rsidRPr="00C84814" w:rsidRDefault="00A9135D" w:rsidP="00A9135D">
      <w:pPr>
        <w:autoSpaceDE w:val="0"/>
        <w:autoSpaceDN w:val="0"/>
        <w:adjustRightInd w:val="0"/>
        <w:jc w:val="both"/>
        <w:rPr>
          <w:rFonts w:ascii="Arial" w:eastAsia="Calibri" w:hAnsi="Arial" w:cs="Arial"/>
          <w:sz w:val="20"/>
        </w:rPr>
      </w:pPr>
      <w:r w:rsidRPr="00C84814">
        <w:rPr>
          <w:rFonts w:ascii="Arial" w:eastAsia="Calibri" w:hAnsi="Arial" w:cs="Arial"/>
          <w:sz w:val="20"/>
        </w:rPr>
        <w:t xml:space="preserve">Este Comité abarca la gestión de activos y pasivos de Banco Supervielle. Son sus objetivos y principales funciones: </w:t>
      </w:r>
    </w:p>
    <w:p w14:paraId="38A0FB65" w14:textId="77777777" w:rsidR="00A9135D" w:rsidRPr="00C84814" w:rsidRDefault="00A9135D" w:rsidP="00A9135D">
      <w:pPr>
        <w:autoSpaceDE w:val="0"/>
        <w:autoSpaceDN w:val="0"/>
        <w:adjustRightInd w:val="0"/>
        <w:jc w:val="both"/>
        <w:rPr>
          <w:rFonts w:ascii="Arial" w:eastAsia="Calibri" w:hAnsi="Arial" w:cs="Arial"/>
          <w:sz w:val="20"/>
        </w:rPr>
      </w:pPr>
    </w:p>
    <w:p w14:paraId="12D91F78"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Monitorear los riesgos financieros, tales como riesgos de mercado, de liquidez, de tasas, de descalce de plazos, de moneda extranjera, de concentración de pasivos, etc. Elevar propuestas sobre estrategias, políticas y límites al respecto al Comité de Riesgos Integrales.</w:t>
      </w:r>
    </w:p>
    <w:p w14:paraId="2E9906E7" w14:textId="77777777" w:rsidR="00A9135D" w:rsidRPr="00C84814" w:rsidRDefault="00A9135D" w:rsidP="00A9135D">
      <w:pPr>
        <w:autoSpaceDE w:val="0"/>
        <w:autoSpaceDN w:val="0"/>
        <w:adjustRightInd w:val="0"/>
        <w:ind w:left="567"/>
        <w:jc w:val="both"/>
        <w:rPr>
          <w:rFonts w:ascii="Arial" w:eastAsia="Calibri" w:hAnsi="Arial" w:cs="Arial"/>
          <w:sz w:val="20"/>
        </w:rPr>
      </w:pPr>
    </w:p>
    <w:p w14:paraId="3FAA8A42"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Efectuar el seguimiento del grado de adecuación de los riesgos asumidos al perfil de riesgos establecido por el Directorio; </w:t>
      </w:r>
    </w:p>
    <w:p w14:paraId="0C86E49D" w14:textId="77777777" w:rsidR="00A9135D" w:rsidRPr="00C84814" w:rsidRDefault="00A9135D" w:rsidP="00A9135D">
      <w:pPr>
        <w:autoSpaceDE w:val="0"/>
        <w:autoSpaceDN w:val="0"/>
        <w:adjustRightInd w:val="0"/>
        <w:ind w:left="567"/>
        <w:jc w:val="both"/>
        <w:rPr>
          <w:rFonts w:ascii="Arial" w:eastAsia="Calibri" w:hAnsi="Arial" w:cs="Arial"/>
          <w:sz w:val="20"/>
        </w:rPr>
      </w:pPr>
    </w:p>
    <w:p w14:paraId="2DFD1E52"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Definir y controlar los niveles de tasas y precios de los activos y pasivos. </w:t>
      </w:r>
    </w:p>
    <w:p w14:paraId="62810DF9"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0C01EFAA"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Determinar y monitorear los niveles y condiciones de las líneas de colocación de fondos, dentro de las políticas vigentes. Elevar propuestas para la modificación y/o excepción de las mismas, en los casos pertinentes. </w:t>
      </w:r>
    </w:p>
    <w:p w14:paraId="4153F6F1"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4D355F81"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Aprobar las características financieras de los nuevos productos que involucren utilización de fondos. </w:t>
      </w:r>
    </w:p>
    <w:p w14:paraId="139DBD8B"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257D43A2"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Definir y monitorear el fondeo necesario para el desarrollo de las operaciones, en cuanto a su evolución y a su composición. Incluyendo la evaluación de nuevas alternativas de fondeo, dentro de las políticas vigentes. </w:t>
      </w:r>
    </w:p>
    <w:p w14:paraId="519851ED"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5B8BD427"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Aprobar los niveles de tasas activas y pasivas, procurando obtener un spread adecuado, así como las exposiciones máximas a asumir dentro de los límites y umbrales definidos por el Comité de Riesgos Integrales o el Directorio. </w:t>
      </w:r>
    </w:p>
    <w:p w14:paraId="1E56BAF4"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004EF3DE"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Monitorear la evolución de las principales carteras activas y pasivas de la entidad y la evolución de los principales indicadores financieros. </w:t>
      </w:r>
    </w:p>
    <w:p w14:paraId="6FEE3B3A"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21630707"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Controlar los objetivos establecidos para el uso del capital y proponer alternativas para su utilización, incluyendo los niveles de apalancamiento y composición. </w:t>
      </w:r>
    </w:p>
    <w:p w14:paraId="6F114911"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052D13DB"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Proponer alternativas de inversión en instrumentos financieros teniendo en cuenta los productos que ofrece el mercado. </w:t>
      </w:r>
    </w:p>
    <w:p w14:paraId="2D5F63A5"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3F7E756D"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Considerar las implicancias financieras de los casos de negocios desarrollados por cada unidad de negocios del Banco. </w:t>
      </w:r>
    </w:p>
    <w:p w14:paraId="716BB12F"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4B794911"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Supervisar y aprobar las tasas de transferencia tanto en lo que se refiere a operaciones activas como pasivas según la metodología aprobada, proponer y elevar modificaciones de las mismas. </w:t>
      </w:r>
    </w:p>
    <w:p w14:paraId="06F4E7B9"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7C6A4FD0"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Evaluar y analizar los posibles impactos financieros por cambios en normativas vigentes y aprobar medidas correctivas para mitigar eventuales impactos. </w:t>
      </w:r>
    </w:p>
    <w:p w14:paraId="1584D3D4"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23BF29D5"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Aprobar el nivel de market share máximo admisible para operaciones de fondeo provenientes de inversores institucionales. </w:t>
      </w:r>
    </w:p>
    <w:p w14:paraId="77B4A498"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681B61B7"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Revisión de la evolución de las relaciones técnicas (capitales mínimos, requisitos de liquidez, covenants financieros, etc.), incluyendo el impacto en las mismas de las medidas adoptadas. </w:t>
      </w:r>
    </w:p>
    <w:p w14:paraId="7D80851D"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467FAF5B"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Aprobar operaciones especiales que superen los límites que conforman el mapa de riesgos del Banco, tanto para operaciones de trading como de carácter institucional, en este caso se deberá generar de un Comité ampliado en el que participen al menos dos de los directores que conforman el Comité de Riesgos Integrales. </w:t>
      </w:r>
    </w:p>
    <w:p w14:paraId="2B771FC9"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140B20D0"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 xml:space="preserve">Evaluar las propuestas de modificaciones a las políticas de gestión de riesgos financieros y elevarlas a consideración del Comité de Riesgos Integrales. </w:t>
      </w:r>
    </w:p>
    <w:p w14:paraId="09F68749" w14:textId="77777777" w:rsidR="00A9135D" w:rsidRPr="00C84814" w:rsidRDefault="00A9135D" w:rsidP="00A9135D">
      <w:pPr>
        <w:autoSpaceDE w:val="0"/>
        <w:autoSpaceDN w:val="0"/>
        <w:adjustRightInd w:val="0"/>
        <w:ind w:left="567" w:hanging="567"/>
        <w:jc w:val="both"/>
        <w:rPr>
          <w:rFonts w:ascii="Arial" w:eastAsia="Calibri" w:hAnsi="Arial" w:cs="Arial"/>
          <w:sz w:val="20"/>
        </w:rPr>
      </w:pPr>
    </w:p>
    <w:p w14:paraId="51B0A614" w14:textId="77777777" w:rsidR="00A9135D" w:rsidRPr="00C84814" w:rsidRDefault="00A9135D" w:rsidP="00CC42D2">
      <w:pPr>
        <w:numPr>
          <w:ilvl w:val="0"/>
          <w:numId w:val="103"/>
        </w:numPr>
        <w:autoSpaceDE w:val="0"/>
        <w:autoSpaceDN w:val="0"/>
        <w:adjustRightInd w:val="0"/>
        <w:ind w:left="567" w:hanging="567"/>
        <w:jc w:val="both"/>
        <w:rPr>
          <w:rFonts w:ascii="Arial" w:eastAsia="Calibri" w:hAnsi="Arial" w:cs="Arial"/>
          <w:sz w:val="20"/>
        </w:rPr>
      </w:pPr>
      <w:r w:rsidRPr="00C84814">
        <w:rPr>
          <w:rFonts w:ascii="Arial" w:eastAsia="Calibri" w:hAnsi="Arial" w:cs="Arial"/>
          <w:sz w:val="20"/>
        </w:rPr>
        <w:t>Evaluar las metodologías aplicadas para el cálculo de capital económico de cada uno de los riesgos financieros y elevarlas a consideración del Comité de Riesgos Integrales.</w:t>
      </w:r>
    </w:p>
    <w:p w14:paraId="00E02DB4" w14:textId="77777777" w:rsidR="00A9135D" w:rsidRPr="00C84814" w:rsidRDefault="00A9135D" w:rsidP="00A9135D">
      <w:pPr>
        <w:ind w:left="720"/>
        <w:rPr>
          <w:rFonts w:ascii="Arial" w:hAnsi="Arial" w:cs="Arial"/>
          <w:sz w:val="20"/>
        </w:rPr>
      </w:pPr>
    </w:p>
    <w:p w14:paraId="3345FD1A" w14:textId="77777777" w:rsidR="00A9135D" w:rsidRPr="00C84814" w:rsidRDefault="00A9135D" w:rsidP="00A9135D">
      <w:pPr>
        <w:autoSpaceDE w:val="0"/>
        <w:autoSpaceDN w:val="0"/>
        <w:adjustRightInd w:val="0"/>
        <w:jc w:val="both"/>
        <w:rPr>
          <w:rFonts w:ascii="Arial" w:eastAsia="Calibri" w:hAnsi="Arial" w:cs="Arial"/>
          <w:sz w:val="20"/>
        </w:rPr>
      </w:pPr>
      <w:r w:rsidRPr="00C84814">
        <w:rPr>
          <w:rFonts w:ascii="Arial" w:eastAsia="Calibri" w:hAnsi="Arial" w:cs="Arial"/>
          <w:sz w:val="20"/>
        </w:rPr>
        <w:t>El Comité ALCO será integrado por el Gerente General, el Gerente Corporativo de Finanzas y Mercado de Capitales, el Gerente Corporativo de Banca Minorista, el Gerente Corporativo de Banca Empresas, el Gerente Corporativo de Créditos, el Gerente de Planeamiento Financiero y el Gerente Corporativo de Riesgos Integrales.</w:t>
      </w:r>
    </w:p>
    <w:p w14:paraId="1F0B9674" w14:textId="77777777" w:rsidR="00A9135D" w:rsidRPr="00C84814" w:rsidRDefault="00A9135D" w:rsidP="00A9135D">
      <w:pPr>
        <w:jc w:val="both"/>
        <w:rPr>
          <w:rFonts w:ascii="Arial" w:hAnsi="Arial" w:cs="Arial"/>
          <w:sz w:val="20"/>
        </w:rPr>
      </w:pPr>
    </w:p>
    <w:p w14:paraId="1A97B47A" w14:textId="77777777" w:rsidR="00A9135D" w:rsidRPr="00C84814" w:rsidRDefault="00A9135D" w:rsidP="00A9135D">
      <w:pPr>
        <w:jc w:val="both"/>
        <w:rPr>
          <w:rFonts w:ascii="Arial" w:hAnsi="Arial" w:cs="Arial"/>
          <w:b/>
          <w:iCs/>
          <w:spacing w:val="15"/>
          <w:sz w:val="20"/>
        </w:rPr>
      </w:pPr>
      <w:r w:rsidRPr="00C84814">
        <w:rPr>
          <w:rFonts w:ascii="Arial" w:hAnsi="Arial" w:cs="Arial"/>
          <w:b/>
          <w:iCs/>
          <w:spacing w:val="15"/>
          <w:sz w:val="20"/>
        </w:rPr>
        <w:t>Comité de Administración de Riesgos Operacionales</w:t>
      </w:r>
    </w:p>
    <w:p w14:paraId="48F35D5C" w14:textId="77777777" w:rsidR="00A9135D" w:rsidRPr="00C84814" w:rsidRDefault="00A9135D" w:rsidP="00A9135D">
      <w:pPr>
        <w:autoSpaceDE w:val="0"/>
        <w:autoSpaceDN w:val="0"/>
        <w:adjustRightInd w:val="0"/>
        <w:spacing w:before="240" w:after="240"/>
        <w:jc w:val="both"/>
        <w:rPr>
          <w:rFonts w:ascii="Arial" w:hAnsi="Arial" w:cs="Arial"/>
          <w:sz w:val="20"/>
          <w:lang w:val="es-ES_tradnl"/>
        </w:rPr>
      </w:pPr>
      <w:r w:rsidRPr="00C84814">
        <w:rPr>
          <w:rFonts w:ascii="Arial" w:eastAsia="MS Mincho" w:hAnsi="Arial" w:cs="Arial"/>
          <w:sz w:val="20"/>
        </w:rPr>
        <w:t xml:space="preserve">Sin perjuicio de cualquier otro cometido que le pueda asignar el Directorio, el Comité de Riesgos Operacionales ejerce las siguientes funciones: </w:t>
      </w:r>
    </w:p>
    <w:p w14:paraId="3B517AFC" w14:textId="77777777" w:rsidR="00A9135D" w:rsidRPr="00C84814" w:rsidRDefault="00A9135D" w:rsidP="00CC42D2">
      <w:pPr>
        <w:numPr>
          <w:ilvl w:val="0"/>
          <w:numId w:val="104"/>
        </w:numPr>
        <w:autoSpaceDE w:val="0"/>
        <w:autoSpaceDN w:val="0"/>
        <w:adjustRightInd w:val="0"/>
        <w:spacing w:before="240" w:after="240"/>
        <w:ind w:left="567" w:hanging="567"/>
        <w:jc w:val="both"/>
        <w:rPr>
          <w:rFonts w:ascii="Arial" w:hAnsi="Arial" w:cs="Arial"/>
          <w:sz w:val="20"/>
          <w:lang w:val="es-ES_tradnl"/>
        </w:rPr>
      </w:pPr>
      <w:r w:rsidRPr="00C84814">
        <w:rPr>
          <w:rFonts w:ascii="Arial" w:eastAsia="MS Mincho" w:hAnsi="Arial" w:cs="Arial"/>
          <w:sz w:val="20"/>
          <w:lang w:val="es-ES_tradnl"/>
        </w:rPr>
        <w:t>T</w:t>
      </w:r>
      <w:r w:rsidRPr="00C84814">
        <w:rPr>
          <w:rFonts w:ascii="Arial" w:hAnsi="Arial" w:cs="Arial"/>
          <w:sz w:val="20"/>
          <w:lang w:val="es-ES_tradnl"/>
        </w:rPr>
        <w:t>omar conocimiento de las circulares y normas que, en materia de riesgos operacionales/tecnológicos, emitan en particular el Banco Central de la República Argentina y, en general, todo otro organismo de contralor, así como de la repercusión que la aplicación de tales circulares y normas pueda tener en las operatorias vigentes del Banco.</w:t>
      </w:r>
    </w:p>
    <w:p w14:paraId="3FE7EE90" w14:textId="77777777" w:rsidR="00A9135D" w:rsidRPr="00C84814" w:rsidRDefault="00A9135D" w:rsidP="00CC42D2">
      <w:pPr>
        <w:numPr>
          <w:ilvl w:val="0"/>
          <w:numId w:val="104"/>
        </w:numPr>
        <w:autoSpaceDE w:val="0"/>
        <w:autoSpaceDN w:val="0"/>
        <w:adjustRightInd w:val="0"/>
        <w:spacing w:before="240" w:after="240"/>
        <w:ind w:left="567" w:hanging="567"/>
        <w:jc w:val="both"/>
        <w:rPr>
          <w:rFonts w:ascii="Arial" w:hAnsi="Arial" w:cs="Arial"/>
          <w:sz w:val="20"/>
          <w:lang w:val="es-ES_tradnl"/>
        </w:rPr>
      </w:pPr>
      <w:r w:rsidRPr="00C84814">
        <w:rPr>
          <w:rFonts w:ascii="Arial" w:hAnsi="Arial" w:cs="Arial"/>
          <w:sz w:val="20"/>
          <w:lang w:val="es-ES_tradnl"/>
        </w:rPr>
        <w:t>Velar por el debido cumplimiento de las políticas de riesgo operacional y tecnológico que establezca el Directorio así como proponer las modificaciones que estime conveniente.</w:t>
      </w:r>
    </w:p>
    <w:p w14:paraId="3FB7DC0F" w14:textId="77777777" w:rsidR="00A9135D" w:rsidRPr="00C84814" w:rsidRDefault="00A9135D" w:rsidP="00CC42D2">
      <w:pPr>
        <w:numPr>
          <w:ilvl w:val="0"/>
          <w:numId w:val="104"/>
        </w:numPr>
        <w:autoSpaceDE w:val="0"/>
        <w:autoSpaceDN w:val="0"/>
        <w:adjustRightInd w:val="0"/>
        <w:spacing w:before="240" w:after="240"/>
        <w:ind w:left="567" w:hanging="567"/>
        <w:jc w:val="both"/>
        <w:rPr>
          <w:rFonts w:ascii="Arial" w:hAnsi="Arial" w:cs="Arial"/>
          <w:sz w:val="20"/>
          <w:lang w:val="es-ES_tradnl"/>
        </w:rPr>
      </w:pPr>
      <w:r w:rsidRPr="00C84814">
        <w:rPr>
          <w:rFonts w:ascii="Arial" w:hAnsi="Arial" w:cs="Arial"/>
          <w:sz w:val="20"/>
          <w:lang w:val="es-ES_tradnl"/>
        </w:rPr>
        <w:t>Efectuar el seguimiento de los informes elevados por la Gerencia de Riesgos Operacionales, Tecnológicos y Continuidad del Negocio, relacionados con los resultados de la gestión de los riesgos operacionales y tecnológicos, la detección de posibles desvíos en los procesos de evaluación planificados, la implementación de planes de mitigación, el seguimiento de indicadores de gestión (KRI), formulando para todos los casos las recomendaciones que estime conveniente.</w:t>
      </w:r>
    </w:p>
    <w:p w14:paraId="0B820BCF" w14:textId="77777777" w:rsidR="00A9135D" w:rsidRPr="00C84814" w:rsidRDefault="00A9135D" w:rsidP="00CC42D2">
      <w:pPr>
        <w:numPr>
          <w:ilvl w:val="0"/>
          <w:numId w:val="104"/>
        </w:numPr>
        <w:autoSpaceDE w:val="0"/>
        <w:autoSpaceDN w:val="0"/>
        <w:adjustRightInd w:val="0"/>
        <w:spacing w:before="240" w:after="240"/>
        <w:ind w:left="567" w:hanging="567"/>
        <w:jc w:val="both"/>
        <w:rPr>
          <w:rFonts w:ascii="Arial" w:hAnsi="Arial" w:cs="Arial"/>
          <w:sz w:val="20"/>
          <w:lang w:val="es-ES_tradnl"/>
        </w:rPr>
      </w:pPr>
      <w:r w:rsidRPr="00C84814">
        <w:rPr>
          <w:rFonts w:ascii="Arial" w:hAnsi="Arial" w:cs="Arial"/>
          <w:sz w:val="20"/>
          <w:lang w:val="es-ES_tradnl"/>
        </w:rPr>
        <w:t>Mantenerse informado sobre el perfil de riesgo operacional/tecnológico del Banco y verificar las implicancias estratégicas y operativas para la actividad del mismo.</w:t>
      </w:r>
    </w:p>
    <w:p w14:paraId="170BCE4E" w14:textId="77777777" w:rsidR="00A9135D" w:rsidRPr="00C84814" w:rsidRDefault="00A9135D" w:rsidP="00CC42D2">
      <w:pPr>
        <w:numPr>
          <w:ilvl w:val="0"/>
          <w:numId w:val="104"/>
        </w:numPr>
        <w:autoSpaceDE w:val="0"/>
        <w:autoSpaceDN w:val="0"/>
        <w:adjustRightInd w:val="0"/>
        <w:spacing w:before="240" w:after="240"/>
        <w:ind w:left="567" w:hanging="567"/>
        <w:jc w:val="both"/>
        <w:rPr>
          <w:rFonts w:ascii="Arial" w:hAnsi="Arial" w:cs="Arial"/>
          <w:sz w:val="20"/>
          <w:lang w:val="es-ES_tradnl"/>
        </w:rPr>
      </w:pPr>
      <w:r w:rsidRPr="00C84814">
        <w:rPr>
          <w:rFonts w:ascii="Arial" w:hAnsi="Arial" w:cs="Arial"/>
          <w:sz w:val="20"/>
          <w:lang w:val="es-ES_tradnl"/>
        </w:rPr>
        <w:t>Velar por la difusión del sistema de gestión de riesgo operacional y tecnológico, dirigidas a todas las áreas y funcionarios del Banco o en relación a terceros.</w:t>
      </w:r>
    </w:p>
    <w:p w14:paraId="3AF65277" w14:textId="77777777" w:rsidR="00A9135D" w:rsidRPr="00C84814" w:rsidRDefault="00A9135D" w:rsidP="00CC42D2">
      <w:pPr>
        <w:numPr>
          <w:ilvl w:val="0"/>
          <w:numId w:val="104"/>
        </w:numPr>
        <w:autoSpaceDE w:val="0"/>
        <w:autoSpaceDN w:val="0"/>
        <w:adjustRightInd w:val="0"/>
        <w:spacing w:before="240" w:after="240"/>
        <w:ind w:left="567" w:hanging="567"/>
        <w:jc w:val="both"/>
        <w:rPr>
          <w:rFonts w:ascii="Arial" w:hAnsi="Arial" w:cs="Arial"/>
          <w:sz w:val="20"/>
          <w:lang w:val="es-ES_tradnl"/>
        </w:rPr>
      </w:pPr>
      <w:r w:rsidRPr="00C84814">
        <w:rPr>
          <w:rFonts w:ascii="Arial" w:hAnsi="Arial" w:cs="Arial"/>
          <w:sz w:val="20"/>
          <w:lang w:val="es-ES_tradnl"/>
        </w:rPr>
        <w:t>Tomar conocimiento de los riesgos residuales altos cuyo plan de mitigación encuentre dificultades para implementarse, debido a razones operativas, presupuestarias o de otra índole, a efectos de formular las recomendaciones que estime pertinentes.</w:t>
      </w:r>
    </w:p>
    <w:p w14:paraId="16C667B0" w14:textId="77777777" w:rsidR="00A9135D" w:rsidRPr="00C84814" w:rsidRDefault="00A9135D" w:rsidP="00CC42D2">
      <w:pPr>
        <w:numPr>
          <w:ilvl w:val="0"/>
          <w:numId w:val="104"/>
        </w:numPr>
        <w:autoSpaceDE w:val="0"/>
        <w:autoSpaceDN w:val="0"/>
        <w:adjustRightInd w:val="0"/>
        <w:spacing w:before="240" w:after="240"/>
        <w:ind w:left="567" w:hanging="567"/>
        <w:jc w:val="both"/>
        <w:rPr>
          <w:rFonts w:ascii="Arial" w:hAnsi="Arial" w:cs="Arial"/>
          <w:sz w:val="20"/>
          <w:lang w:val="es-ES_tradnl"/>
        </w:rPr>
      </w:pPr>
      <w:r w:rsidRPr="00C84814">
        <w:rPr>
          <w:rFonts w:ascii="Arial" w:hAnsi="Arial" w:cs="Arial"/>
          <w:sz w:val="20"/>
          <w:lang w:val="es-ES_tradnl"/>
        </w:rPr>
        <w:t>Tomar conocimiento a través de indicadores de gestión de riesgos operacionales y tecnológicos con respecto al apetito al riesgo asumido por el Banco.</w:t>
      </w:r>
    </w:p>
    <w:p w14:paraId="54849737" w14:textId="77777777" w:rsidR="00A9135D" w:rsidRPr="00C84814" w:rsidRDefault="00A9135D" w:rsidP="00CC42D2">
      <w:pPr>
        <w:numPr>
          <w:ilvl w:val="0"/>
          <w:numId w:val="104"/>
        </w:numPr>
        <w:autoSpaceDE w:val="0"/>
        <w:autoSpaceDN w:val="0"/>
        <w:adjustRightInd w:val="0"/>
        <w:spacing w:before="240" w:after="240"/>
        <w:ind w:left="567" w:hanging="567"/>
        <w:jc w:val="both"/>
        <w:rPr>
          <w:rFonts w:ascii="Arial" w:hAnsi="Arial" w:cs="Arial"/>
          <w:sz w:val="20"/>
          <w:lang w:val="es-ES_tradnl"/>
        </w:rPr>
      </w:pPr>
      <w:r w:rsidRPr="00C84814">
        <w:rPr>
          <w:rFonts w:ascii="Arial" w:hAnsi="Arial" w:cs="Arial"/>
          <w:sz w:val="20"/>
          <w:lang w:val="es-ES_tradnl"/>
        </w:rPr>
        <w:t>Desarrollar todas aquellas funciones que establezcan las normas del Banco Central de la República Argentina y demás disposiciones aplicables en la materia</w:t>
      </w:r>
    </w:p>
    <w:p w14:paraId="7DA9EF5F" w14:textId="77777777" w:rsidR="00A9135D" w:rsidRPr="00C84814" w:rsidRDefault="00A9135D" w:rsidP="00CC42D2">
      <w:pPr>
        <w:numPr>
          <w:ilvl w:val="0"/>
          <w:numId w:val="104"/>
        </w:numPr>
        <w:autoSpaceDE w:val="0"/>
        <w:autoSpaceDN w:val="0"/>
        <w:adjustRightInd w:val="0"/>
        <w:spacing w:before="240" w:after="240"/>
        <w:ind w:left="567" w:hanging="567"/>
        <w:jc w:val="both"/>
        <w:rPr>
          <w:rFonts w:ascii="Arial" w:hAnsi="Arial" w:cs="Arial"/>
          <w:sz w:val="20"/>
          <w:lang w:val="es-ES_tradnl"/>
        </w:rPr>
      </w:pPr>
      <w:r w:rsidRPr="00C84814">
        <w:rPr>
          <w:rFonts w:ascii="Arial" w:hAnsi="Arial" w:cs="Arial"/>
          <w:sz w:val="20"/>
          <w:lang w:val="es-ES_tradnl"/>
        </w:rPr>
        <w:t>Tomar conocimiento y dirimir (en caso de corresponder) sobre los temas que oportunamente fueron tratados en el Sub Comité de Prevención del Fraude (SCPF).</w:t>
      </w:r>
    </w:p>
    <w:p w14:paraId="7B50F9E8" w14:textId="77777777" w:rsidR="00A9135D" w:rsidRPr="00C84814" w:rsidRDefault="00A9135D" w:rsidP="00CC42D2">
      <w:pPr>
        <w:numPr>
          <w:ilvl w:val="0"/>
          <w:numId w:val="104"/>
        </w:numPr>
        <w:autoSpaceDE w:val="0"/>
        <w:autoSpaceDN w:val="0"/>
        <w:adjustRightInd w:val="0"/>
        <w:spacing w:before="240" w:after="240"/>
        <w:ind w:left="567" w:hanging="567"/>
        <w:jc w:val="both"/>
        <w:rPr>
          <w:rFonts w:ascii="Arial" w:hAnsi="Arial" w:cs="Arial"/>
          <w:sz w:val="20"/>
          <w:lang w:val="es-ES_tradnl"/>
        </w:rPr>
      </w:pPr>
      <w:r w:rsidRPr="00C84814">
        <w:rPr>
          <w:rFonts w:ascii="Arial" w:hAnsi="Arial" w:cs="Arial"/>
          <w:sz w:val="20"/>
          <w:lang w:val="es-ES_tradnl"/>
        </w:rPr>
        <w:t>Tomar conocimiento y aprobar los resultados de la gestión del programa de continuidad del negocio.</w:t>
      </w:r>
    </w:p>
    <w:p w14:paraId="6C9036C9" w14:textId="77777777" w:rsidR="00A9135D" w:rsidRPr="00C84814" w:rsidRDefault="00A9135D" w:rsidP="00CC42D2">
      <w:pPr>
        <w:numPr>
          <w:ilvl w:val="0"/>
          <w:numId w:val="104"/>
        </w:numPr>
        <w:autoSpaceDE w:val="0"/>
        <w:autoSpaceDN w:val="0"/>
        <w:adjustRightInd w:val="0"/>
        <w:spacing w:before="240" w:after="240"/>
        <w:ind w:left="567" w:hanging="567"/>
        <w:jc w:val="both"/>
        <w:rPr>
          <w:rFonts w:ascii="Arial" w:hAnsi="Arial" w:cs="Arial"/>
          <w:sz w:val="20"/>
          <w:lang w:val="es-ES_tradnl"/>
        </w:rPr>
      </w:pPr>
      <w:r w:rsidRPr="00C84814">
        <w:rPr>
          <w:rFonts w:ascii="Arial" w:hAnsi="Arial" w:cs="Arial"/>
          <w:sz w:val="20"/>
          <w:lang w:val="es-ES_tradnl"/>
        </w:rPr>
        <w:t>Evaluar las propuestas de nuevos productos o servicios del Banco (o modificación sustancial de los ya existentes) con el fin de aprobar o reanalizar los mismos; a cargo del gerente de producto de la banca correspondiente y conforme lo previsto en la norma interna vigente.</w:t>
      </w:r>
    </w:p>
    <w:p w14:paraId="7392A072" w14:textId="77777777" w:rsidR="00A9135D" w:rsidRPr="00C84814" w:rsidRDefault="00A9135D" w:rsidP="00A9135D">
      <w:pPr>
        <w:tabs>
          <w:tab w:val="left" w:pos="142"/>
        </w:tabs>
        <w:jc w:val="both"/>
        <w:rPr>
          <w:rFonts w:ascii="Arial" w:hAnsi="Arial" w:cs="Arial"/>
          <w:sz w:val="20"/>
          <w:lang w:val="es-ES_tradnl"/>
        </w:rPr>
      </w:pPr>
      <w:r w:rsidRPr="00C84814">
        <w:rPr>
          <w:rFonts w:ascii="Arial" w:hAnsi="Arial" w:cs="Arial"/>
          <w:sz w:val="20"/>
          <w:lang w:val="es-ES_tradnl"/>
        </w:rPr>
        <w:t>El Comité de Riesgos Operacionales estará constituido por el Gerente General, el Gerente Corporativo de Asuntos Legales, el Chief Risk Officer de Banco Supervielle, el Gerente de Riesgos Operacionales, Tecnológicos &amp; Continuidad del Negocio y el Gerente de Compliance.</w:t>
      </w:r>
    </w:p>
    <w:p w14:paraId="5B22371D" w14:textId="77777777" w:rsidR="00A9135D" w:rsidRPr="00C84814" w:rsidRDefault="00A9135D" w:rsidP="00A9135D">
      <w:pPr>
        <w:tabs>
          <w:tab w:val="left" w:pos="142"/>
        </w:tabs>
        <w:jc w:val="both"/>
        <w:rPr>
          <w:rFonts w:ascii="Arial" w:hAnsi="Arial" w:cs="Arial"/>
          <w:sz w:val="20"/>
        </w:rPr>
      </w:pPr>
    </w:p>
    <w:p w14:paraId="4AA93D8F" w14:textId="6355502D" w:rsidR="00A9135D" w:rsidRPr="00C84814" w:rsidRDefault="00CC42D2" w:rsidP="00CC42D2">
      <w:pPr>
        <w:tabs>
          <w:tab w:val="left" w:pos="142"/>
        </w:tabs>
        <w:jc w:val="both"/>
        <w:rPr>
          <w:rFonts w:ascii="Arial" w:hAnsi="Arial" w:cs="Arial"/>
          <w:b/>
          <w:sz w:val="20"/>
        </w:rPr>
      </w:pPr>
      <w:r>
        <w:rPr>
          <w:rFonts w:ascii="Arial" w:hAnsi="Arial" w:cs="Arial"/>
          <w:b/>
          <w:sz w:val="20"/>
        </w:rPr>
        <w:t>14</w:t>
      </w:r>
      <w:r w:rsidR="00A9135D">
        <w:rPr>
          <w:rFonts w:ascii="Arial" w:hAnsi="Arial" w:cs="Arial"/>
          <w:b/>
          <w:sz w:val="20"/>
        </w:rPr>
        <w:t>.10.2.</w:t>
      </w:r>
      <w:r w:rsidR="00A9135D" w:rsidRPr="00C84814">
        <w:rPr>
          <w:rFonts w:ascii="Arial" w:hAnsi="Arial" w:cs="Arial"/>
          <w:b/>
          <w:sz w:val="20"/>
        </w:rPr>
        <w:t xml:space="preserve">  Estructura propietaria básica (principales accionistas, y su participación en el capital y derecho a voto)</w:t>
      </w:r>
    </w:p>
    <w:p w14:paraId="59AB719C" w14:textId="77777777" w:rsidR="00A9135D" w:rsidRPr="00C84814" w:rsidRDefault="00A9135D" w:rsidP="00A9135D">
      <w:pPr>
        <w:tabs>
          <w:tab w:val="left" w:pos="142"/>
        </w:tabs>
        <w:jc w:val="both"/>
        <w:rPr>
          <w:rFonts w:ascii="Arial" w:hAnsi="Arial" w:cs="Arial"/>
          <w:sz w:val="20"/>
        </w:rPr>
      </w:pPr>
    </w:p>
    <w:tbl>
      <w:tblPr>
        <w:tblW w:w="8480" w:type="dxa"/>
        <w:tblInd w:w="75" w:type="dxa"/>
        <w:tblCellMar>
          <w:left w:w="70" w:type="dxa"/>
          <w:right w:w="70" w:type="dxa"/>
        </w:tblCellMar>
        <w:tblLook w:val="04A0" w:firstRow="1" w:lastRow="0" w:firstColumn="1" w:lastColumn="0" w:noHBand="0" w:noVBand="1"/>
      </w:tblPr>
      <w:tblGrid>
        <w:gridCol w:w="1900"/>
        <w:gridCol w:w="1420"/>
        <w:gridCol w:w="1420"/>
        <w:gridCol w:w="1420"/>
        <w:gridCol w:w="1160"/>
        <w:gridCol w:w="1160"/>
      </w:tblGrid>
      <w:tr w:rsidR="00A9135D" w:rsidRPr="00A65AB6" w14:paraId="157B3222" w14:textId="77777777" w:rsidTr="00A9135D">
        <w:trPr>
          <w:trHeight w:val="300"/>
        </w:trPr>
        <w:tc>
          <w:tcPr>
            <w:tcW w:w="190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13265A2" w14:textId="77777777" w:rsidR="00A9135D" w:rsidRPr="00A65AB6" w:rsidRDefault="00A9135D" w:rsidP="00A9135D">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Accionistas</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571CA46" w14:textId="77777777" w:rsidR="00A9135D" w:rsidRPr="00A65AB6" w:rsidRDefault="00A9135D" w:rsidP="00A9135D">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Acciones Clase A</w:t>
            </w:r>
          </w:p>
        </w:tc>
        <w:tc>
          <w:tcPr>
            <w:tcW w:w="1420" w:type="dxa"/>
            <w:tcBorders>
              <w:top w:val="single" w:sz="4" w:space="0" w:color="auto"/>
              <w:left w:val="nil"/>
              <w:bottom w:val="nil"/>
              <w:right w:val="single" w:sz="4" w:space="0" w:color="auto"/>
            </w:tcBorders>
            <w:shd w:val="clear" w:color="000000" w:fill="FFFFFF"/>
            <w:vAlign w:val="center"/>
            <w:hideMark/>
          </w:tcPr>
          <w:p w14:paraId="1969B1C7" w14:textId="77777777" w:rsidR="00A9135D" w:rsidRPr="00A65AB6" w:rsidRDefault="00A9135D" w:rsidP="00A9135D">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 xml:space="preserve">Acciones </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6D5EAAD" w14:textId="77777777" w:rsidR="00A9135D" w:rsidRPr="00A65AB6" w:rsidRDefault="00A9135D" w:rsidP="00A9135D">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Total de Acciones</w:t>
            </w:r>
          </w:p>
        </w:tc>
        <w:tc>
          <w:tcPr>
            <w:tcW w:w="11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79897FB" w14:textId="77777777" w:rsidR="00A9135D" w:rsidRPr="00A65AB6" w:rsidRDefault="00A9135D" w:rsidP="00A9135D">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 de Capital</w:t>
            </w:r>
          </w:p>
        </w:tc>
        <w:tc>
          <w:tcPr>
            <w:tcW w:w="11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40B6DAD" w14:textId="77777777" w:rsidR="00A9135D" w:rsidRPr="00A65AB6" w:rsidRDefault="00A9135D" w:rsidP="00A9135D">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 de Votos</w:t>
            </w:r>
          </w:p>
        </w:tc>
      </w:tr>
      <w:tr w:rsidR="00A9135D" w:rsidRPr="00A65AB6" w14:paraId="60A20F7C" w14:textId="77777777" w:rsidTr="00A10D09">
        <w:trPr>
          <w:trHeight w:val="300"/>
        </w:trPr>
        <w:tc>
          <w:tcPr>
            <w:tcW w:w="1900" w:type="dxa"/>
            <w:vMerge/>
            <w:tcBorders>
              <w:top w:val="single" w:sz="4" w:space="0" w:color="auto"/>
              <w:left w:val="single" w:sz="4" w:space="0" w:color="auto"/>
              <w:bottom w:val="single" w:sz="4" w:space="0" w:color="auto"/>
              <w:right w:val="single" w:sz="4" w:space="0" w:color="auto"/>
            </w:tcBorders>
            <w:vAlign w:val="center"/>
            <w:hideMark/>
          </w:tcPr>
          <w:p w14:paraId="323F033E" w14:textId="77777777" w:rsidR="00A9135D" w:rsidRPr="00A65AB6" w:rsidRDefault="00A9135D" w:rsidP="00A9135D">
            <w:pPr>
              <w:rPr>
                <w:rFonts w:ascii="Arial" w:hAnsi="Arial" w:cs="Arial"/>
                <w:b/>
                <w:bCs/>
                <w:color w:val="000000"/>
                <w:sz w:val="16"/>
                <w:szCs w:val="16"/>
                <w:lang w:eastAsia="es-AR"/>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366C208A" w14:textId="77777777" w:rsidR="00A9135D" w:rsidRPr="00A65AB6" w:rsidRDefault="00A9135D" w:rsidP="00A9135D">
            <w:pPr>
              <w:rPr>
                <w:rFonts w:ascii="Arial" w:hAnsi="Arial" w:cs="Arial"/>
                <w:b/>
                <w:bCs/>
                <w:color w:val="000000"/>
                <w:sz w:val="16"/>
                <w:szCs w:val="16"/>
                <w:lang w:eastAsia="es-AR"/>
              </w:rPr>
            </w:pPr>
          </w:p>
        </w:tc>
        <w:tc>
          <w:tcPr>
            <w:tcW w:w="1420" w:type="dxa"/>
            <w:tcBorders>
              <w:top w:val="nil"/>
              <w:left w:val="nil"/>
              <w:bottom w:val="single" w:sz="4" w:space="0" w:color="auto"/>
              <w:right w:val="single" w:sz="4" w:space="0" w:color="auto"/>
            </w:tcBorders>
            <w:shd w:val="clear" w:color="000000" w:fill="FFFFFF"/>
            <w:vAlign w:val="center"/>
            <w:hideMark/>
          </w:tcPr>
          <w:p w14:paraId="6D291EC1" w14:textId="77777777" w:rsidR="00A9135D" w:rsidRPr="00A65AB6" w:rsidRDefault="00A9135D" w:rsidP="00A9135D">
            <w:pPr>
              <w:jc w:val="center"/>
              <w:rPr>
                <w:rFonts w:ascii="Arial" w:hAnsi="Arial" w:cs="Arial"/>
                <w:b/>
                <w:bCs/>
                <w:color w:val="000000"/>
                <w:sz w:val="16"/>
                <w:szCs w:val="16"/>
                <w:lang w:eastAsia="es-AR"/>
              </w:rPr>
            </w:pPr>
            <w:r w:rsidRPr="00A65AB6">
              <w:rPr>
                <w:rFonts w:ascii="Arial" w:hAnsi="Arial" w:cs="Arial"/>
                <w:b/>
                <w:bCs/>
                <w:color w:val="000000"/>
                <w:sz w:val="16"/>
                <w:szCs w:val="16"/>
                <w:lang w:val="es-ES" w:eastAsia="es-AR"/>
              </w:rPr>
              <w:t>Clase B</w:t>
            </w: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5D8DBD09" w14:textId="77777777" w:rsidR="00A9135D" w:rsidRPr="00A65AB6" w:rsidRDefault="00A9135D" w:rsidP="00A9135D">
            <w:pPr>
              <w:rPr>
                <w:rFonts w:ascii="Arial" w:hAnsi="Arial" w:cs="Arial"/>
                <w:b/>
                <w:bCs/>
                <w:color w:val="000000"/>
                <w:sz w:val="16"/>
                <w:szCs w:val="16"/>
                <w:lang w:eastAsia="es-AR"/>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2199E3E7" w14:textId="77777777" w:rsidR="00A9135D" w:rsidRPr="00A65AB6" w:rsidRDefault="00A9135D" w:rsidP="00A9135D">
            <w:pPr>
              <w:rPr>
                <w:rFonts w:ascii="Arial" w:hAnsi="Arial" w:cs="Arial"/>
                <w:b/>
                <w:bCs/>
                <w:color w:val="000000"/>
                <w:sz w:val="16"/>
                <w:szCs w:val="16"/>
                <w:lang w:eastAsia="es-AR"/>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27C8E265" w14:textId="77777777" w:rsidR="00A9135D" w:rsidRPr="00A65AB6" w:rsidRDefault="00A9135D" w:rsidP="00A9135D">
            <w:pPr>
              <w:rPr>
                <w:rFonts w:ascii="Arial" w:hAnsi="Arial" w:cs="Arial"/>
                <w:b/>
                <w:bCs/>
                <w:color w:val="000000"/>
                <w:sz w:val="16"/>
                <w:szCs w:val="16"/>
                <w:lang w:eastAsia="es-AR"/>
              </w:rPr>
            </w:pPr>
          </w:p>
        </w:tc>
      </w:tr>
      <w:tr w:rsidR="00A9135D" w:rsidRPr="00A65AB6" w14:paraId="486E7FCA" w14:textId="77777777" w:rsidTr="00A10D09">
        <w:trPr>
          <w:trHeight w:val="300"/>
        </w:trPr>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38FD3C" w14:textId="77777777" w:rsidR="00A9135D" w:rsidRPr="00A65AB6" w:rsidRDefault="00A9135D" w:rsidP="00A9135D">
            <w:pPr>
              <w:rPr>
                <w:rFonts w:ascii="Arial" w:hAnsi="Arial" w:cs="Arial"/>
                <w:color w:val="000000"/>
                <w:sz w:val="16"/>
                <w:szCs w:val="16"/>
                <w:lang w:eastAsia="es-AR"/>
              </w:rPr>
            </w:pPr>
            <w:r w:rsidRPr="00A65AB6">
              <w:rPr>
                <w:rFonts w:ascii="Arial" w:hAnsi="Arial" w:cs="Arial"/>
                <w:color w:val="000000"/>
                <w:sz w:val="16"/>
                <w:szCs w:val="16"/>
                <w:lang w:val="es-ES" w:eastAsia="es-AR"/>
              </w:rPr>
              <w:t>Grupo Supervielle S.A.</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5957C3EE"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830.698</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17047933"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783.990.702</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21AA570C"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784.821.400</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14:paraId="1EDA1FB5"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97,03%</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14:paraId="30FF2D02"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96,99%</w:t>
            </w:r>
          </w:p>
        </w:tc>
      </w:tr>
      <w:tr w:rsidR="00A9135D" w:rsidRPr="00A65AB6" w14:paraId="470D6A12" w14:textId="77777777" w:rsidTr="00A10D09">
        <w:trPr>
          <w:trHeight w:val="300"/>
        </w:trPr>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294EF5" w14:textId="77777777" w:rsidR="00A9135D" w:rsidRPr="00A65AB6" w:rsidRDefault="00A9135D" w:rsidP="00A9135D">
            <w:pPr>
              <w:rPr>
                <w:rFonts w:ascii="Arial" w:hAnsi="Arial" w:cs="Arial"/>
                <w:color w:val="000000"/>
                <w:sz w:val="16"/>
                <w:szCs w:val="16"/>
                <w:lang w:eastAsia="es-AR"/>
              </w:rPr>
            </w:pPr>
            <w:r w:rsidRPr="00A65AB6">
              <w:rPr>
                <w:rFonts w:ascii="Arial" w:hAnsi="Arial" w:cs="Arial"/>
                <w:color w:val="000000"/>
                <w:sz w:val="16"/>
                <w:szCs w:val="16"/>
                <w:lang w:val="es-ES" w:eastAsia="es-AR"/>
              </w:rPr>
              <w:t>Sofital S.A.</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15C70065"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49.667</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0E66F20B"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23.131.588</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1E605130"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23.181.255</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14:paraId="701752F6"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2,87%</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14:paraId="49D68DDE"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2,88%</w:t>
            </w:r>
          </w:p>
        </w:tc>
      </w:tr>
      <w:tr w:rsidR="00A9135D" w:rsidRPr="00A65AB6" w14:paraId="46B77297" w14:textId="77777777" w:rsidTr="00A10D09">
        <w:trPr>
          <w:trHeight w:val="300"/>
        </w:trPr>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B0802" w14:textId="77777777" w:rsidR="00A9135D" w:rsidRPr="00A65AB6" w:rsidRDefault="00A9135D" w:rsidP="00A9135D">
            <w:pPr>
              <w:rPr>
                <w:rFonts w:ascii="Arial" w:hAnsi="Arial" w:cs="Arial"/>
                <w:color w:val="000000"/>
                <w:sz w:val="16"/>
                <w:szCs w:val="16"/>
                <w:lang w:eastAsia="es-AR"/>
              </w:rPr>
            </w:pPr>
            <w:r w:rsidRPr="00A65AB6">
              <w:rPr>
                <w:rFonts w:ascii="Arial" w:hAnsi="Arial" w:cs="Arial"/>
                <w:color w:val="000000"/>
                <w:sz w:val="16"/>
                <w:szCs w:val="16"/>
                <w:lang w:val="es-ES" w:eastAsia="es-AR"/>
              </w:rPr>
              <w:t>Accionistas  Minoritarios</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045F1BE8"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50.006</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4FBE4B54"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799.603</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525CAA42"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849.609</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14:paraId="47FC9086"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0,1</w:t>
            </w:r>
            <w:r>
              <w:rPr>
                <w:rFonts w:ascii="Arial" w:hAnsi="Arial" w:cs="Arial"/>
                <w:color w:val="000000"/>
                <w:sz w:val="16"/>
                <w:szCs w:val="16"/>
                <w:lang w:eastAsia="es-AR"/>
              </w:rPr>
              <w:t>0</w:t>
            </w:r>
            <w:r w:rsidRPr="00A65AB6">
              <w:rPr>
                <w:rFonts w:ascii="Arial" w:hAnsi="Arial" w:cs="Arial"/>
                <w:color w:val="000000"/>
                <w:sz w:val="16"/>
                <w:szCs w:val="16"/>
                <w:lang w:eastAsia="es-AR"/>
              </w:rPr>
              <w:t>%</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14:paraId="3F4149C2" w14:textId="77777777" w:rsidR="00A9135D" w:rsidRPr="00A65AB6" w:rsidRDefault="00A9135D" w:rsidP="00A9135D">
            <w:pPr>
              <w:jc w:val="right"/>
              <w:rPr>
                <w:rFonts w:ascii="Arial" w:hAnsi="Arial" w:cs="Arial"/>
                <w:color w:val="000000"/>
                <w:sz w:val="16"/>
                <w:szCs w:val="16"/>
                <w:lang w:eastAsia="es-AR"/>
              </w:rPr>
            </w:pPr>
            <w:r w:rsidRPr="00A65AB6">
              <w:rPr>
                <w:rFonts w:ascii="Arial" w:hAnsi="Arial" w:cs="Arial"/>
                <w:color w:val="000000"/>
                <w:sz w:val="16"/>
                <w:szCs w:val="16"/>
                <w:lang w:eastAsia="es-AR"/>
              </w:rPr>
              <w:t>0,13%</w:t>
            </w:r>
          </w:p>
        </w:tc>
      </w:tr>
      <w:tr w:rsidR="00A9135D" w:rsidRPr="00A65AB6" w14:paraId="607EF3E4" w14:textId="77777777" w:rsidTr="00A9135D">
        <w:trPr>
          <w:trHeight w:val="300"/>
        </w:trPr>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06B3DFE7" w14:textId="77777777" w:rsidR="00A9135D" w:rsidRPr="00A65AB6" w:rsidRDefault="00A9135D" w:rsidP="00A9135D">
            <w:pPr>
              <w:rPr>
                <w:rFonts w:ascii="Arial" w:hAnsi="Arial" w:cs="Arial"/>
                <w:color w:val="000000"/>
                <w:sz w:val="16"/>
                <w:szCs w:val="16"/>
                <w:lang w:eastAsia="es-AR"/>
              </w:rPr>
            </w:pPr>
            <w:r w:rsidRPr="00A65AB6">
              <w:rPr>
                <w:rFonts w:ascii="Arial" w:hAnsi="Arial" w:cs="Arial"/>
                <w:color w:val="000000"/>
                <w:sz w:val="16"/>
                <w:szCs w:val="16"/>
                <w:lang w:val="es-ES" w:eastAsia="es-AR"/>
              </w:rPr>
              <w:t>Total de acciones</w:t>
            </w:r>
          </w:p>
        </w:tc>
        <w:tc>
          <w:tcPr>
            <w:tcW w:w="1420" w:type="dxa"/>
            <w:tcBorders>
              <w:top w:val="nil"/>
              <w:left w:val="nil"/>
              <w:bottom w:val="single" w:sz="4" w:space="0" w:color="auto"/>
              <w:right w:val="single" w:sz="4" w:space="0" w:color="auto"/>
            </w:tcBorders>
            <w:shd w:val="clear" w:color="000000" w:fill="FFFFFF"/>
            <w:vAlign w:val="center"/>
            <w:hideMark/>
          </w:tcPr>
          <w:p w14:paraId="3DA15A9D" w14:textId="77777777" w:rsidR="00A9135D" w:rsidRPr="00A65AB6" w:rsidRDefault="00A9135D" w:rsidP="00A9135D">
            <w:pPr>
              <w:jc w:val="right"/>
              <w:rPr>
                <w:rFonts w:ascii="Arial" w:hAnsi="Arial" w:cs="Arial"/>
                <w:b/>
                <w:bCs/>
                <w:color w:val="000000"/>
                <w:sz w:val="16"/>
                <w:szCs w:val="16"/>
                <w:lang w:eastAsia="es-AR"/>
              </w:rPr>
            </w:pPr>
            <w:r w:rsidRPr="00A65AB6">
              <w:rPr>
                <w:rFonts w:ascii="Arial" w:hAnsi="Arial" w:cs="Arial"/>
                <w:b/>
                <w:bCs/>
                <w:color w:val="000000"/>
                <w:sz w:val="16"/>
                <w:szCs w:val="16"/>
                <w:lang w:eastAsia="es-AR"/>
              </w:rPr>
              <w:t>930.371</w:t>
            </w:r>
          </w:p>
        </w:tc>
        <w:tc>
          <w:tcPr>
            <w:tcW w:w="1420" w:type="dxa"/>
            <w:tcBorders>
              <w:top w:val="nil"/>
              <w:left w:val="nil"/>
              <w:bottom w:val="single" w:sz="4" w:space="0" w:color="auto"/>
              <w:right w:val="single" w:sz="4" w:space="0" w:color="auto"/>
            </w:tcBorders>
            <w:shd w:val="clear" w:color="000000" w:fill="FFFFFF"/>
            <w:vAlign w:val="center"/>
            <w:hideMark/>
          </w:tcPr>
          <w:p w14:paraId="721E0DA0" w14:textId="77777777" w:rsidR="00A9135D" w:rsidRPr="00A65AB6" w:rsidRDefault="00A9135D" w:rsidP="00A9135D">
            <w:pPr>
              <w:jc w:val="right"/>
              <w:rPr>
                <w:rFonts w:ascii="Arial" w:hAnsi="Arial" w:cs="Arial"/>
                <w:b/>
                <w:bCs/>
                <w:color w:val="000000"/>
                <w:sz w:val="16"/>
                <w:szCs w:val="16"/>
                <w:lang w:eastAsia="es-AR"/>
              </w:rPr>
            </w:pPr>
            <w:r w:rsidRPr="00A65AB6">
              <w:rPr>
                <w:rFonts w:ascii="Arial" w:hAnsi="Arial" w:cs="Arial"/>
                <w:b/>
                <w:bCs/>
                <w:color w:val="000000"/>
                <w:sz w:val="16"/>
                <w:szCs w:val="16"/>
                <w:lang w:eastAsia="es-AR"/>
              </w:rPr>
              <w:t>807.921.893</w:t>
            </w:r>
          </w:p>
        </w:tc>
        <w:tc>
          <w:tcPr>
            <w:tcW w:w="1420" w:type="dxa"/>
            <w:tcBorders>
              <w:top w:val="nil"/>
              <w:left w:val="nil"/>
              <w:bottom w:val="single" w:sz="4" w:space="0" w:color="auto"/>
              <w:right w:val="single" w:sz="4" w:space="0" w:color="auto"/>
            </w:tcBorders>
            <w:shd w:val="clear" w:color="000000" w:fill="FFFFFF"/>
            <w:vAlign w:val="center"/>
            <w:hideMark/>
          </w:tcPr>
          <w:p w14:paraId="05FDB61B" w14:textId="77777777" w:rsidR="00A9135D" w:rsidRPr="00A65AB6" w:rsidRDefault="00A9135D" w:rsidP="00A9135D">
            <w:pPr>
              <w:jc w:val="right"/>
              <w:rPr>
                <w:rFonts w:ascii="Arial" w:hAnsi="Arial" w:cs="Arial"/>
                <w:b/>
                <w:bCs/>
                <w:color w:val="000000"/>
                <w:sz w:val="16"/>
                <w:szCs w:val="16"/>
                <w:lang w:eastAsia="es-AR"/>
              </w:rPr>
            </w:pPr>
            <w:r w:rsidRPr="00A65AB6">
              <w:rPr>
                <w:rFonts w:ascii="Arial" w:hAnsi="Arial" w:cs="Arial"/>
                <w:b/>
                <w:bCs/>
                <w:color w:val="000000"/>
                <w:sz w:val="16"/>
                <w:szCs w:val="16"/>
                <w:lang w:eastAsia="es-AR"/>
              </w:rPr>
              <w:t>808.852.264</w:t>
            </w:r>
          </w:p>
        </w:tc>
        <w:tc>
          <w:tcPr>
            <w:tcW w:w="1160" w:type="dxa"/>
            <w:tcBorders>
              <w:top w:val="nil"/>
              <w:left w:val="nil"/>
              <w:bottom w:val="single" w:sz="4" w:space="0" w:color="auto"/>
              <w:right w:val="single" w:sz="4" w:space="0" w:color="auto"/>
            </w:tcBorders>
            <w:shd w:val="clear" w:color="000000" w:fill="FFFFFF"/>
            <w:vAlign w:val="center"/>
            <w:hideMark/>
          </w:tcPr>
          <w:p w14:paraId="713FCA66" w14:textId="77777777" w:rsidR="00A9135D" w:rsidRPr="00A65AB6" w:rsidRDefault="00A9135D" w:rsidP="00A9135D">
            <w:pPr>
              <w:jc w:val="right"/>
              <w:rPr>
                <w:rFonts w:ascii="Arial" w:hAnsi="Arial" w:cs="Arial"/>
                <w:b/>
                <w:bCs/>
                <w:color w:val="000000"/>
                <w:sz w:val="16"/>
                <w:szCs w:val="16"/>
                <w:lang w:eastAsia="es-AR"/>
              </w:rPr>
            </w:pPr>
            <w:r w:rsidRPr="00A65AB6">
              <w:rPr>
                <w:rFonts w:ascii="Arial" w:hAnsi="Arial" w:cs="Arial"/>
                <w:b/>
                <w:bCs/>
                <w:color w:val="000000"/>
                <w:sz w:val="16"/>
                <w:szCs w:val="16"/>
                <w:lang w:eastAsia="es-AR"/>
              </w:rPr>
              <w:t>100,00%</w:t>
            </w:r>
          </w:p>
        </w:tc>
        <w:tc>
          <w:tcPr>
            <w:tcW w:w="1160" w:type="dxa"/>
            <w:tcBorders>
              <w:top w:val="nil"/>
              <w:left w:val="nil"/>
              <w:bottom w:val="single" w:sz="4" w:space="0" w:color="auto"/>
              <w:right w:val="single" w:sz="4" w:space="0" w:color="auto"/>
            </w:tcBorders>
            <w:shd w:val="clear" w:color="000000" w:fill="FFFFFF"/>
            <w:vAlign w:val="center"/>
            <w:hideMark/>
          </w:tcPr>
          <w:p w14:paraId="3744ABC8" w14:textId="77777777" w:rsidR="00A9135D" w:rsidRPr="00A65AB6" w:rsidRDefault="00A9135D" w:rsidP="00A9135D">
            <w:pPr>
              <w:jc w:val="right"/>
              <w:rPr>
                <w:rFonts w:ascii="Arial" w:hAnsi="Arial" w:cs="Arial"/>
                <w:b/>
                <w:bCs/>
                <w:color w:val="000000"/>
                <w:sz w:val="16"/>
                <w:szCs w:val="16"/>
                <w:lang w:eastAsia="es-AR"/>
              </w:rPr>
            </w:pPr>
            <w:r w:rsidRPr="00A65AB6">
              <w:rPr>
                <w:rFonts w:ascii="Arial" w:hAnsi="Arial" w:cs="Arial"/>
                <w:b/>
                <w:bCs/>
                <w:color w:val="000000"/>
                <w:sz w:val="16"/>
                <w:szCs w:val="16"/>
                <w:lang w:eastAsia="es-AR"/>
              </w:rPr>
              <w:t>100,00%</w:t>
            </w:r>
          </w:p>
        </w:tc>
      </w:tr>
    </w:tbl>
    <w:p w14:paraId="015F62AD" w14:textId="77777777" w:rsidR="00A9135D" w:rsidRPr="00C84814" w:rsidRDefault="00A9135D" w:rsidP="00A9135D">
      <w:pPr>
        <w:tabs>
          <w:tab w:val="left" w:pos="142"/>
        </w:tabs>
        <w:jc w:val="both"/>
        <w:rPr>
          <w:rFonts w:ascii="Arial" w:hAnsi="Arial" w:cs="Arial"/>
          <w:sz w:val="20"/>
        </w:rPr>
      </w:pPr>
    </w:p>
    <w:p w14:paraId="43592917" w14:textId="19AEA1B4" w:rsidR="00A9135D" w:rsidRPr="00C84814" w:rsidRDefault="00CC42D2" w:rsidP="00CC42D2">
      <w:pPr>
        <w:tabs>
          <w:tab w:val="left" w:pos="142"/>
          <w:tab w:val="num" w:pos="1440"/>
        </w:tabs>
        <w:jc w:val="both"/>
        <w:rPr>
          <w:rFonts w:ascii="Arial" w:hAnsi="Arial" w:cs="Arial"/>
          <w:b/>
          <w:sz w:val="20"/>
        </w:rPr>
      </w:pPr>
      <w:r>
        <w:rPr>
          <w:rFonts w:ascii="Arial" w:hAnsi="Arial" w:cs="Arial"/>
          <w:b/>
          <w:sz w:val="20"/>
        </w:rPr>
        <w:t>14</w:t>
      </w:r>
      <w:r w:rsidR="00A9135D">
        <w:rPr>
          <w:rFonts w:ascii="Arial" w:hAnsi="Arial" w:cs="Arial"/>
          <w:b/>
          <w:sz w:val="20"/>
        </w:rPr>
        <w:t>.10.3.</w:t>
      </w:r>
      <w:r w:rsidR="00A9135D" w:rsidRPr="00C84814">
        <w:rPr>
          <w:rFonts w:ascii="Arial" w:hAnsi="Arial" w:cs="Arial"/>
          <w:b/>
          <w:sz w:val="20"/>
        </w:rPr>
        <w:t xml:space="preserve">  Estructura organizacional (organigrama general, líneas de negocios,    subsidiarias,  sucursales)</w:t>
      </w:r>
    </w:p>
    <w:p w14:paraId="4E8A3192" w14:textId="77777777" w:rsidR="00A9135D" w:rsidRPr="00C84814" w:rsidRDefault="00A9135D" w:rsidP="00A9135D">
      <w:pPr>
        <w:tabs>
          <w:tab w:val="left" w:pos="142"/>
        </w:tabs>
        <w:jc w:val="both"/>
        <w:rPr>
          <w:rFonts w:ascii="Arial" w:hAnsi="Arial" w:cs="Arial"/>
          <w:sz w:val="20"/>
        </w:rPr>
      </w:pPr>
    </w:p>
    <w:p w14:paraId="32CA3396" w14:textId="5BE0AB90" w:rsidR="00A9135D" w:rsidRPr="00A10D09" w:rsidRDefault="00A9135D" w:rsidP="00A9135D">
      <w:pPr>
        <w:tabs>
          <w:tab w:val="left" w:pos="142"/>
        </w:tabs>
        <w:spacing w:after="200" w:line="276" w:lineRule="auto"/>
        <w:contextualSpacing/>
        <w:jc w:val="both"/>
        <w:rPr>
          <w:rFonts w:ascii="Arial" w:hAnsi="Arial" w:cs="Arial"/>
          <w:sz w:val="20"/>
        </w:rPr>
      </w:pPr>
      <w:r w:rsidRPr="0011610F">
        <w:rPr>
          <w:rFonts w:ascii="Arial" w:hAnsi="Arial" w:cs="Arial"/>
          <w:sz w:val="20"/>
        </w:rPr>
        <w:t>El organigrama general de la entidad describe la estructura gerencial y las dependencias del directorio y de las diferentes gerencias del banco. Dicho organigrama general es aprobado por el Directorio y revisado periódicamente a fin de que responda a la estrategia del banco.</w:t>
      </w:r>
    </w:p>
    <w:p w14:paraId="178A60D0" w14:textId="4D92A3DA" w:rsidR="00F208DA" w:rsidRDefault="00F208DA" w:rsidP="00A9135D">
      <w:pPr>
        <w:tabs>
          <w:tab w:val="left" w:pos="142"/>
        </w:tabs>
        <w:spacing w:after="200" w:line="276" w:lineRule="auto"/>
        <w:contextualSpacing/>
        <w:jc w:val="both"/>
        <w:rPr>
          <w:noProof/>
          <w:lang w:eastAsia="es-AR"/>
        </w:rPr>
      </w:pPr>
    </w:p>
    <w:p w14:paraId="07A8A110" w14:textId="77777777" w:rsidR="00EB687D" w:rsidRDefault="00EB687D" w:rsidP="00A9135D">
      <w:pPr>
        <w:tabs>
          <w:tab w:val="left" w:pos="142"/>
        </w:tabs>
        <w:spacing w:after="200" w:line="276" w:lineRule="auto"/>
        <w:contextualSpacing/>
        <w:jc w:val="both"/>
        <w:rPr>
          <w:noProof/>
          <w:lang w:eastAsia="es-AR"/>
        </w:rPr>
      </w:pPr>
    </w:p>
    <w:p w14:paraId="5CCF2CDB" w14:textId="77777777" w:rsidR="00EB687D" w:rsidRDefault="00EB687D" w:rsidP="00A9135D">
      <w:pPr>
        <w:tabs>
          <w:tab w:val="left" w:pos="142"/>
        </w:tabs>
        <w:spacing w:after="200" w:line="276" w:lineRule="auto"/>
        <w:contextualSpacing/>
        <w:jc w:val="both"/>
        <w:rPr>
          <w:noProof/>
          <w:lang w:eastAsia="es-AR"/>
        </w:rPr>
      </w:pPr>
    </w:p>
    <w:p w14:paraId="683DA598" w14:textId="77777777" w:rsidR="00EB687D" w:rsidRDefault="00EB687D" w:rsidP="00A9135D">
      <w:pPr>
        <w:tabs>
          <w:tab w:val="left" w:pos="142"/>
        </w:tabs>
        <w:spacing w:after="200" w:line="276" w:lineRule="auto"/>
        <w:contextualSpacing/>
        <w:jc w:val="both"/>
        <w:rPr>
          <w:noProof/>
          <w:lang w:eastAsia="es-AR"/>
        </w:rPr>
      </w:pPr>
    </w:p>
    <w:p w14:paraId="3C2E80CC" w14:textId="77777777" w:rsidR="00EB687D" w:rsidRDefault="00EB687D" w:rsidP="00A9135D">
      <w:pPr>
        <w:tabs>
          <w:tab w:val="left" w:pos="142"/>
        </w:tabs>
        <w:spacing w:after="200" w:line="276" w:lineRule="auto"/>
        <w:contextualSpacing/>
        <w:jc w:val="both"/>
        <w:rPr>
          <w:noProof/>
          <w:lang w:eastAsia="es-AR"/>
        </w:rPr>
      </w:pPr>
    </w:p>
    <w:p w14:paraId="7E381956" w14:textId="77777777" w:rsidR="00EB687D" w:rsidRDefault="00EB687D" w:rsidP="00A9135D">
      <w:pPr>
        <w:tabs>
          <w:tab w:val="left" w:pos="142"/>
        </w:tabs>
        <w:spacing w:after="200" w:line="276" w:lineRule="auto"/>
        <w:contextualSpacing/>
        <w:jc w:val="both"/>
        <w:rPr>
          <w:noProof/>
          <w:lang w:eastAsia="es-AR"/>
        </w:rPr>
      </w:pPr>
    </w:p>
    <w:p w14:paraId="780E0FD8" w14:textId="77777777" w:rsidR="00EB687D" w:rsidRDefault="00EB687D" w:rsidP="00A9135D">
      <w:pPr>
        <w:tabs>
          <w:tab w:val="left" w:pos="142"/>
        </w:tabs>
        <w:spacing w:after="200" w:line="276" w:lineRule="auto"/>
        <w:contextualSpacing/>
        <w:jc w:val="both"/>
        <w:rPr>
          <w:noProof/>
          <w:lang w:eastAsia="es-AR"/>
        </w:rPr>
      </w:pPr>
    </w:p>
    <w:p w14:paraId="093741E4" w14:textId="77777777" w:rsidR="00EB687D" w:rsidRDefault="00EB687D" w:rsidP="00A9135D">
      <w:pPr>
        <w:tabs>
          <w:tab w:val="left" w:pos="142"/>
        </w:tabs>
        <w:spacing w:after="200" w:line="276" w:lineRule="auto"/>
        <w:contextualSpacing/>
        <w:jc w:val="both"/>
        <w:rPr>
          <w:noProof/>
          <w:lang w:eastAsia="es-AR"/>
        </w:rPr>
      </w:pPr>
    </w:p>
    <w:p w14:paraId="53558DDA" w14:textId="77777777" w:rsidR="00B2136F" w:rsidRDefault="00B2136F" w:rsidP="00A9135D">
      <w:pPr>
        <w:tabs>
          <w:tab w:val="left" w:pos="142"/>
        </w:tabs>
        <w:spacing w:after="200" w:line="276" w:lineRule="auto"/>
        <w:contextualSpacing/>
        <w:jc w:val="both"/>
        <w:rPr>
          <w:noProof/>
          <w:lang w:eastAsia="es-AR"/>
        </w:rPr>
      </w:pPr>
    </w:p>
    <w:p w14:paraId="07C243A0" w14:textId="77777777" w:rsidR="00B2136F" w:rsidRDefault="00B2136F" w:rsidP="00A9135D">
      <w:pPr>
        <w:tabs>
          <w:tab w:val="left" w:pos="142"/>
        </w:tabs>
        <w:spacing w:after="200" w:line="276" w:lineRule="auto"/>
        <w:contextualSpacing/>
        <w:jc w:val="both"/>
        <w:rPr>
          <w:noProof/>
          <w:lang w:eastAsia="es-AR"/>
        </w:rPr>
      </w:pPr>
    </w:p>
    <w:p w14:paraId="68B23EA9" w14:textId="77777777" w:rsidR="00B2136F" w:rsidRDefault="00B2136F" w:rsidP="00A9135D">
      <w:pPr>
        <w:tabs>
          <w:tab w:val="left" w:pos="142"/>
        </w:tabs>
        <w:spacing w:after="200" w:line="276" w:lineRule="auto"/>
        <w:contextualSpacing/>
        <w:jc w:val="both"/>
        <w:rPr>
          <w:noProof/>
          <w:lang w:eastAsia="es-AR"/>
        </w:rPr>
      </w:pPr>
    </w:p>
    <w:p w14:paraId="31606AB4" w14:textId="77777777" w:rsidR="00B2136F" w:rsidRDefault="00B2136F" w:rsidP="00A9135D">
      <w:pPr>
        <w:tabs>
          <w:tab w:val="left" w:pos="142"/>
        </w:tabs>
        <w:spacing w:after="200" w:line="276" w:lineRule="auto"/>
        <w:contextualSpacing/>
        <w:jc w:val="both"/>
        <w:rPr>
          <w:noProof/>
          <w:lang w:eastAsia="es-AR"/>
        </w:rPr>
      </w:pPr>
    </w:p>
    <w:p w14:paraId="664E1E39" w14:textId="77777777" w:rsidR="00B2136F" w:rsidRDefault="00B2136F" w:rsidP="00A9135D">
      <w:pPr>
        <w:tabs>
          <w:tab w:val="left" w:pos="142"/>
        </w:tabs>
        <w:spacing w:after="200" w:line="276" w:lineRule="auto"/>
        <w:contextualSpacing/>
        <w:jc w:val="both"/>
        <w:rPr>
          <w:noProof/>
          <w:lang w:eastAsia="es-AR"/>
        </w:rPr>
      </w:pPr>
    </w:p>
    <w:p w14:paraId="41AC13A9" w14:textId="5AEA3708" w:rsidR="00F208DA" w:rsidRDefault="00F208DA" w:rsidP="00A9135D">
      <w:pPr>
        <w:tabs>
          <w:tab w:val="left" w:pos="142"/>
        </w:tabs>
        <w:spacing w:after="200" w:line="276" w:lineRule="auto"/>
        <w:contextualSpacing/>
        <w:jc w:val="both"/>
        <w:rPr>
          <w:noProof/>
          <w:lang w:eastAsia="es-AR"/>
        </w:rPr>
      </w:pPr>
      <w:r w:rsidRPr="00D2454F">
        <w:rPr>
          <w:noProof/>
        </w:rPr>
        <w:drawing>
          <wp:anchor distT="0" distB="0" distL="114300" distR="114300" simplePos="0" relativeHeight="251655168" behindDoc="0" locked="0" layoutInCell="1" allowOverlap="1" wp14:anchorId="56A2ED84" wp14:editId="61786D45">
            <wp:simplePos x="0" y="0"/>
            <wp:positionH relativeFrom="column">
              <wp:posOffset>-165735</wp:posOffset>
            </wp:positionH>
            <wp:positionV relativeFrom="paragraph">
              <wp:posOffset>207645</wp:posOffset>
            </wp:positionV>
            <wp:extent cx="5724525" cy="318135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24525" cy="3181350"/>
                    </a:xfrm>
                    <a:prstGeom prst="rect">
                      <a:avLst/>
                    </a:prstGeom>
                  </pic:spPr>
                </pic:pic>
              </a:graphicData>
            </a:graphic>
            <wp14:sizeRelH relativeFrom="page">
              <wp14:pctWidth>0</wp14:pctWidth>
            </wp14:sizeRelH>
            <wp14:sizeRelV relativeFrom="page">
              <wp14:pctHeight>0</wp14:pctHeight>
            </wp14:sizeRelV>
          </wp:anchor>
        </w:drawing>
      </w:r>
    </w:p>
    <w:p w14:paraId="669C57CF" w14:textId="580B160A" w:rsidR="00F208DA" w:rsidRDefault="00F208DA" w:rsidP="00A9135D">
      <w:pPr>
        <w:tabs>
          <w:tab w:val="left" w:pos="142"/>
        </w:tabs>
        <w:spacing w:after="200" w:line="276" w:lineRule="auto"/>
        <w:contextualSpacing/>
        <w:jc w:val="both"/>
        <w:rPr>
          <w:noProof/>
          <w:lang w:eastAsia="es-AR"/>
        </w:rPr>
      </w:pPr>
    </w:p>
    <w:p w14:paraId="64138342" w14:textId="7C93F72A" w:rsidR="00F208DA" w:rsidRDefault="00F208DA" w:rsidP="00A9135D">
      <w:pPr>
        <w:tabs>
          <w:tab w:val="left" w:pos="142"/>
        </w:tabs>
        <w:spacing w:after="200" w:line="276" w:lineRule="auto"/>
        <w:contextualSpacing/>
        <w:jc w:val="both"/>
        <w:rPr>
          <w:noProof/>
          <w:lang w:eastAsia="es-AR"/>
        </w:rPr>
      </w:pPr>
    </w:p>
    <w:p w14:paraId="0BC7991E" w14:textId="45BC19CC" w:rsidR="00F208DA" w:rsidRDefault="00F208DA" w:rsidP="00A9135D">
      <w:pPr>
        <w:tabs>
          <w:tab w:val="left" w:pos="142"/>
        </w:tabs>
        <w:spacing w:after="200" w:line="276" w:lineRule="auto"/>
        <w:contextualSpacing/>
        <w:jc w:val="both"/>
        <w:rPr>
          <w:noProof/>
          <w:lang w:eastAsia="es-AR"/>
        </w:rPr>
      </w:pPr>
    </w:p>
    <w:p w14:paraId="40334264" w14:textId="0986DDA9" w:rsidR="00F208DA" w:rsidRDefault="00F208DA" w:rsidP="00A9135D">
      <w:pPr>
        <w:tabs>
          <w:tab w:val="left" w:pos="142"/>
        </w:tabs>
        <w:spacing w:after="200" w:line="276" w:lineRule="auto"/>
        <w:contextualSpacing/>
        <w:jc w:val="both"/>
        <w:rPr>
          <w:noProof/>
          <w:lang w:eastAsia="es-AR"/>
        </w:rPr>
      </w:pPr>
    </w:p>
    <w:p w14:paraId="15F25305" w14:textId="0C67AA41" w:rsidR="00F208DA" w:rsidRDefault="00F208DA" w:rsidP="00A9135D">
      <w:pPr>
        <w:tabs>
          <w:tab w:val="left" w:pos="142"/>
        </w:tabs>
        <w:spacing w:after="200" w:line="276" w:lineRule="auto"/>
        <w:contextualSpacing/>
        <w:jc w:val="both"/>
        <w:rPr>
          <w:noProof/>
          <w:lang w:eastAsia="es-AR"/>
        </w:rPr>
      </w:pPr>
    </w:p>
    <w:p w14:paraId="7FFB455E" w14:textId="65A12B78" w:rsidR="00F208DA" w:rsidRDefault="00F208DA" w:rsidP="00A9135D">
      <w:pPr>
        <w:tabs>
          <w:tab w:val="left" w:pos="142"/>
        </w:tabs>
        <w:spacing w:after="200" w:line="276" w:lineRule="auto"/>
        <w:contextualSpacing/>
        <w:jc w:val="both"/>
        <w:rPr>
          <w:noProof/>
          <w:lang w:eastAsia="es-AR"/>
        </w:rPr>
      </w:pPr>
    </w:p>
    <w:p w14:paraId="730D9267" w14:textId="6AB66443" w:rsidR="00F208DA" w:rsidRDefault="00F208DA" w:rsidP="00A9135D">
      <w:pPr>
        <w:tabs>
          <w:tab w:val="left" w:pos="142"/>
        </w:tabs>
        <w:spacing w:after="200" w:line="276" w:lineRule="auto"/>
        <w:contextualSpacing/>
        <w:jc w:val="both"/>
        <w:rPr>
          <w:noProof/>
          <w:lang w:eastAsia="es-AR"/>
        </w:rPr>
      </w:pPr>
    </w:p>
    <w:p w14:paraId="72315F70" w14:textId="6B274A9D" w:rsidR="00F208DA" w:rsidRDefault="00F208DA" w:rsidP="00A9135D">
      <w:pPr>
        <w:tabs>
          <w:tab w:val="left" w:pos="142"/>
        </w:tabs>
        <w:spacing w:after="200" w:line="276" w:lineRule="auto"/>
        <w:contextualSpacing/>
        <w:jc w:val="both"/>
        <w:rPr>
          <w:noProof/>
          <w:lang w:eastAsia="es-AR"/>
        </w:rPr>
      </w:pPr>
    </w:p>
    <w:p w14:paraId="5D665DD9" w14:textId="3B2B2E91" w:rsidR="00F208DA" w:rsidRDefault="00F208DA" w:rsidP="00A9135D">
      <w:pPr>
        <w:tabs>
          <w:tab w:val="left" w:pos="142"/>
        </w:tabs>
        <w:spacing w:after="200" w:line="276" w:lineRule="auto"/>
        <w:contextualSpacing/>
        <w:jc w:val="both"/>
        <w:rPr>
          <w:noProof/>
          <w:lang w:eastAsia="es-AR"/>
        </w:rPr>
      </w:pPr>
    </w:p>
    <w:p w14:paraId="02A63743" w14:textId="3DA2BCDD" w:rsidR="00F208DA" w:rsidRDefault="00F208DA" w:rsidP="00A9135D">
      <w:pPr>
        <w:tabs>
          <w:tab w:val="left" w:pos="142"/>
        </w:tabs>
        <w:spacing w:after="200" w:line="276" w:lineRule="auto"/>
        <w:contextualSpacing/>
        <w:jc w:val="both"/>
        <w:rPr>
          <w:noProof/>
          <w:lang w:eastAsia="es-AR"/>
        </w:rPr>
      </w:pPr>
    </w:p>
    <w:p w14:paraId="2734349E" w14:textId="18D36313" w:rsidR="00F208DA" w:rsidRDefault="00F208DA" w:rsidP="00A9135D">
      <w:pPr>
        <w:tabs>
          <w:tab w:val="left" w:pos="142"/>
        </w:tabs>
        <w:spacing w:after="200" w:line="276" w:lineRule="auto"/>
        <w:contextualSpacing/>
        <w:jc w:val="both"/>
        <w:rPr>
          <w:noProof/>
          <w:lang w:eastAsia="es-AR"/>
        </w:rPr>
      </w:pPr>
    </w:p>
    <w:p w14:paraId="008C82EF" w14:textId="2987B2B0" w:rsidR="00F208DA" w:rsidRDefault="00F208DA" w:rsidP="00A9135D">
      <w:pPr>
        <w:tabs>
          <w:tab w:val="left" w:pos="142"/>
        </w:tabs>
        <w:spacing w:after="200" w:line="276" w:lineRule="auto"/>
        <w:contextualSpacing/>
        <w:jc w:val="both"/>
        <w:rPr>
          <w:noProof/>
          <w:lang w:eastAsia="es-AR"/>
        </w:rPr>
      </w:pPr>
    </w:p>
    <w:p w14:paraId="55DED5B1" w14:textId="60B8BEC7" w:rsidR="00F208DA" w:rsidRDefault="00F208DA" w:rsidP="00A9135D">
      <w:pPr>
        <w:tabs>
          <w:tab w:val="left" w:pos="142"/>
        </w:tabs>
        <w:spacing w:after="200" w:line="276" w:lineRule="auto"/>
        <w:contextualSpacing/>
        <w:jc w:val="both"/>
        <w:rPr>
          <w:noProof/>
          <w:lang w:eastAsia="es-AR"/>
        </w:rPr>
      </w:pPr>
    </w:p>
    <w:p w14:paraId="2A7BC7CA" w14:textId="69AC4EA5" w:rsidR="00F208DA" w:rsidRDefault="00F208DA" w:rsidP="00A9135D">
      <w:pPr>
        <w:tabs>
          <w:tab w:val="left" w:pos="142"/>
        </w:tabs>
        <w:spacing w:after="200" w:line="276" w:lineRule="auto"/>
        <w:contextualSpacing/>
        <w:jc w:val="both"/>
        <w:rPr>
          <w:noProof/>
          <w:lang w:eastAsia="es-AR"/>
        </w:rPr>
      </w:pPr>
    </w:p>
    <w:p w14:paraId="12520DF9" w14:textId="70EED0DC" w:rsidR="00F208DA" w:rsidRDefault="00F208DA" w:rsidP="00A9135D">
      <w:pPr>
        <w:tabs>
          <w:tab w:val="left" w:pos="142"/>
        </w:tabs>
        <w:spacing w:after="200" w:line="276" w:lineRule="auto"/>
        <w:contextualSpacing/>
        <w:jc w:val="both"/>
        <w:rPr>
          <w:noProof/>
          <w:lang w:eastAsia="es-AR"/>
        </w:rPr>
      </w:pPr>
    </w:p>
    <w:p w14:paraId="14CF8C19" w14:textId="793E5E70" w:rsidR="00F208DA" w:rsidRDefault="00F208DA" w:rsidP="00A9135D">
      <w:pPr>
        <w:tabs>
          <w:tab w:val="left" w:pos="142"/>
        </w:tabs>
        <w:spacing w:after="200" w:line="276" w:lineRule="auto"/>
        <w:contextualSpacing/>
        <w:jc w:val="both"/>
        <w:rPr>
          <w:noProof/>
          <w:lang w:eastAsia="es-AR"/>
        </w:rPr>
      </w:pPr>
    </w:p>
    <w:p w14:paraId="5BE84844" w14:textId="79293516" w:rsidR="00EB687D" w:rsidRDefault="00EB687D" w:rsidP="00A9135D">
      <w:pPr>
        <w:tabs>
          <w:tab w:val="left" w:pos="142"/>
        </w:tabs>
        <w:spacing w:after="200" w:line="276" w:lineRule="auto"/>
        <w:contextualSpacing/>
        <w:jc w:val="both"/>
        <w:rPr>
          <w:noProof/>
          <w:lang w:eastAsia="es-AR"/>
        </w:rPr>
      </w:pPr>
    </w:p>
    <w:p w14:paraId="3CE68BC5" w14:textId="738CEB4A" w:rsidR="00EB687D" w:rsidRDefault="00EB687D" w:rsidP="00A9135D">
      <w:pPr>
        <w:tabs>
          <w:tab w:val="left" w:pos="142"/>
        </w:tabs>
        <w:spacing w:after="200" w:line="276" w:lineRule="auto"/>
        <w:contextualSpacing/>
        <w:jc w:val="both"/>
        <w:rPr>
          <w:noProof/>
          <w:lang w:eastAsia="es-AR"/>
        </w:rPr>
      </w:pPr>
    </w:p>
    <w:p w14:paraId="002B7737" w14:textId="1E8919E0" w:rsidR="00EB687D" w:rsidRDefault="00EB687D" w:rsidP="00A9135D">
      <w:pPr>
        <w:tabs>
          <w:tab w:val="left" w:pos="142"/>
        </w:tabs>
        <w:spacing w:after="200" w:line="276" w:lineRule="auto"/>
        <w:contextualSpacing/>
        <w:jc w:val="both"/>
        <w:rPr>
          <w:noProof/>
          <w:lang w:eastAsia="es-AR"/>
        </w:rPr>
      </w:pPr>
    </w:p>
    <w:p w14:paraId="0CB27641" w14:textId="356F4F3D" w:rsidR="00EB687D" w:rsidRDefault="00EB687D" w:rsidP="00A9135D">
      <w:pPr>
        <w:tabs>
          <w:tab w:val="left" w:pos="142"/>
        </w:tabs>
        <w:spacing w:after="200" w:line="276" w:lineRule="auto"/>
        <w:contextualSpacing/>
        <w:jc w:val="both"/>
        <w:rPr>
          <w:noProof/>
          <w:lang w:eastAsia="es-AR"/>
        </w:rPr>
      </w:pPr>
    </w:p>
    <w:p w14:paraId="0A3FB6C6" w14:textId="495374B7" w:rsidR="00EB687D" w:rsidRDefault="00EB687D" w:rsidP="00A9135D">
      <w:pPr>
        <w:tabs>
          <w:tab w:val="left" w:pos="142"/>
        </w:tabs>
        <w:spacing w:after="200" w:line="276" w:lineRule="auto"/>
        <w:contextualSpacing/>
        <w:jc w:val="both"/>
        <w:rPr>
          <w:noProof/>
          <w:lang w:eastAsia="es-AR"/>
        </w:rPr>
      </w:pPr>
    </w:p>
    <w:p w14:paraId="21B15F75" w14:textId="2CA7D037" w:rsidR="00EB687D" w:rsidRDefault="00EB687D" w:rsidP="00A9135D">
      <w:pPr>
        <w:tabs>
          <w:tab w:val="left" w:pos="142"/>
        </w:tabs>
        <w:spacing w:after="200" w:line="276" w:lineRule="auto"/>
        <w:contextualSpacing/>
        <w:jc w:val="both"/>
        <w:rPr>
          <w:noProof/>
          <w:lang w:eastAsia="es-AR"/>
        </w:rPr>
      </w:pPr>
    </w:p>
    <w:p w14:paraId="3CEB971C" w14:textId="3510F1CD" w:rsidR="00EB687D" w:rsidRDefault="00EB687D" w:rsidP="00A9135D">
      <w:pPr>
        <w:tabs>
          <w:tab w:val="left" w:pos="142"/>
        </w:tabs>
        <w:spacing w:after="200" w:line="276" w:lineRule="auto"/>
        <w:contextualSpacing/>
        <w:jc w:val="both"/>
        <w:rPr>
          <w:noProof/>
          <w:lang w:eastAsia="es-AR"/>
        </w:rPr>
      </w:pPr>
    </w:p>
    <w:p w14:paraId="66191D23" w14:textId="6C7FB57B" w:rsidR="00EB687D" w:rsidRDefault="00EB687D" w:rsidP="00A9135D">
      <w:pPr>
        <w:tabs>
          <w:tab w:val="left" w:pos="142"/>
        </w:tabs>
        <w:spacing w:after="200" w:line="276" w:lineRule="auto"/>
        <w:contextualSpacing/>
        <w:jc w:val="both"/>
        <w:rPr>
          <w:noProof/>
          <w:lang w:eastAsia="es-AR"/>
        </w:rPr>
      </w:pPr>
    </w:p>
    <w:p w14:paraId="7A6233DB" w14:textId="246C4249" w:rsidR="00EB687D" w:rsidRDefault="00EB687D" w:rsidP="00A9135D">
      <w:pPr>
        <w:tabs>
          <w:tab w:val="left" w:pos="142"/>
        </w:tabs>
        <w:spacing w:after="200" w:line="276" w:lineRule="auto"/>
        <w:contextualSpacing/>
        <w:jc w:val="both"/>
        <w:rPr>
          <w:noProof/>
          <w:lang w:eastAsia="es-AR"/>
        </w:rPr>
      </w:pPr>
    </w:p>
    <w:p w14:paraId="6837A962" w14:textId="3A69FDA7" w:rsidR="00EB687D" w:rsidRDefault="00EB687D" w:rsidP="00A9135D">
      <w:pPr>
        <w:tabs>
          <w:tab w:val="left" w:pos="142"/>
        </w:tabs>
        <w:spacing w:after="200" w:line="276" w:lineRule="auto"/>
        <w:contextualSpacing/>
        <w:jc w:val="both"/>
        <w:rPr>
          <w:noProof/>
          <w:lang w:eastAsia="es-AR"/>
        </w:rPr>
      </w:pPr>
    </w:p>
    <w:p w14:paraId="0F34BC79" w14:textId="752F2866" w:rsidR="00EB687D" w:rsidRDefault="00EB687D" w:rsidP="00A9135D">
      <w:pPr>
        <w:tabs>
          <w:tab w:val="left" w:pos="142"/>
        </w:tabs>
        <w:spacing w:after="200" w:line="276" w:lineRule="auto"/>
        <w:contextualSpacing/>
        <w:jc w:val="both"/>
        <w:rPr>
          <w:noProof/>
          <w:lang w:eastAsia="es-AR"/>
        </w:rPr>
      </w:pPr>
    </w:p>
    <w:p w14:paraId="2D2DC4F8" w14:textId="4FEA37EF" w:rsidR="00EB687D" w:rsidRDefault="00EB687D" w:rsidP="00A9135D">
      <w:pPr>
        <w:tabs>
          <w:tab w:val="left" w:pos="142"/>
        </w:tabs>
        <w:spacing w:after="200" w:line="276" w:lineRule="auto"/>
        <w:contextualSpacing/>
        <w:jc w:val="both"/>
        <w:rPr>
          <w:noProof/>
          <w:lang w:eastAsia="es-AR"/>
        </w:rPr>
      </w:pPr>
    </w:p>
    <w:p w14:paraId="67709D7E" w14:textId="6656EA86" w:rsidR="00EB687D" w:rsidRDefault="00EB687D" w:rsidP="00A9135D">
      <w:pPr>
        <w:tabs>
          <w:tab w:val="left" w:pos="142"/>
        </w:tabs>
        <w:spacing w:after="200" w:line="276" w:lineRule="auto"/>
        <w:contextualSpacing/>
        <w:jc w:val="both"/>
        <w:rPr>
          <w:noProof/>
          <w:lang w:eastAsia="es-AR"/>
        </w:rPr>
      </w:pPr>
    </w:p>
    <w:p w14:paraId="2F700B45" w14:textId="786D21D1" w:rsidR="00EB687D" w:rsidRDefault="00EB687D" w:rsidP="00A9135D">
      <w:pPr>
        <w:tabs>
          <w:tab w:val="left" w:pos="142"/>
        </w:tabs>
        <w:spacing w:after="200" w:line="276" w:lineRule="auto"/>
        <w:contextualSpacing/>
        <w:jc w:val="both"/>
        <w:rPr>
          <w:noProof/>
          <w:lang w:eastAsia="es-AR"/>
        </w:rPr>
      </w:pPr>
    </w:p>
    <w:p w14:paraId="0DB74145" w14:textId="4A4FAEBC" w:rsidR="00EB687D" w:rsidRDefault="00EB687D" w:rsidP="00A9135D">
      <w:pPr>
        <w:tabs>
          <w:tab w:val="left" w:pos="142"/>
        </w:tabs>
        <w:spacing w:after="200" w:line="276" w:lineRule="auto"/>
        <w:contextualSpacing/>
        <w:jc w:val="both"/>
        <w:rPr>
          <w:noProof/>
          <w:lang w:eastAsia="es-AR"/>
        </w:rPr>
      </w:pPr>
    </w:p>
    <w:p w14:paraId="6DEF44C0" w14:textId="77777777" w:rsidR="00EB687D" w:rsidRDefault="00EB687D" w:rsidP="00A9135D">
      <w:pPr>
        <w:tabs>
          <w:tab w:val="left" w:pos="142"/>
        </w:tabs>
        <w:spacing w:after="200" w:line="276" w:lineRule="auto"/>
        <w:contextualSpacing/>
        <w:jc w:val="both"/>
        <w:rPr>
          <w:noProof/>
          <w:lang w:eastAsia="es-AR"/>
        </w:rPr>
      </w:pPr>
    </w:p>
    <w:p w14:paraId="4CF12E01" w14:textId="0DECEAFC" w:rsidR="00F208DA" w:rsidRDefault="00F208DA" w:rsidP="00A9135D">
      <w:pPr>
        <w:tabs>
          <w:tab w:val="left" w:pos="142"/>
        </w:tabs>
        <w:spacing w:after="200" w:line="276" w:lineRule="auto"/>
        <w:contextualSpacing/>
        <w:jc w:val="both"/>
        <w:rPr>
          <w:noProof/>
          <w:lang w:eastAsia="es-AR"/>
        </w:rPr>
      </w:pPr>
      <w:r>
        <w:rPr>
          <w:noProof/>
        </w:rPr>
        <w:drawing>
          <wp:anchor distT="0" distB="0" distL="114300" distR="114300" simplePos="0" relativeHeight="251657216" behindDoc="0" locked="0" layoutInCell="1" allowOverlap="1" wp14:anchorId="1D1E479C" wp14:editId="51315AB9">
            <wp:simplePos x="0" y="0"/>
            <wp:positionH relativeFrom="column">
              <wp:posOffset>-817880</wp:posOffset>
            </wp:positionH>
            <wp:positionV relativeFrom="paragraph">
              <wp:posOffset>181610</wp:posOffset>
            </wp:positionV>
            <wp:extent cx="6861175" cy="4333875"/>
            <wp:effectExtent l="0" t="0" r="0"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861175" cy="4333875"/>
                    </a:xfrm>
                    <a:prstGeom prst="rect">
                      <a:avLst/>
                    </a:prstGeom>
                  </pic:spPr>
                </pic:pic>
              </a:graphicData>
            </a:graphic>
            <wp14:sizeRelH relativeFrom="page">
              <wp14:pctWidth>0</wp14:pctWidth>
            </wp14:sizeRelH>
            <wp14:sizeRelV relativeFrom="page">
              <wp14:pctHeight>0</wp14:pctHeight>
            </wp14:sizeRelV>
          </wp:anchor>
        </w:drawing>
      </w:r>
    </w:p>
    <w:p w14:paraId="2688616B" w14:textId="590E137F" w:rsidR="00F208DA" w:rsidRDefault="00F208DA" w:rsidP="00A9135D">
      <w:pPr>
        <w:tabs>
          <w:tab w:val="left" w:pos="142"/>
        </w:tabs>
        <w:spacing w:after="200" w:line="276" w:lineRule="auto"/>
        <w:contextualSpacing/>
        <w:jc w:val="both"/>
        <w:rPr>
          <w:noProof/>
          <w:lang w:eastAsia="es-AR"/>
        </w:rPr>
      </w:pPr>
    </w:p>
    <w:p w14:paraId="0C0ECFDF" w14:textId="2F496498" w:rsidR="00F208DA" w:rsidRDefault="00F208DA" w:rsidP="00A9135D">
      <w:pPr>
        <w:tabs>
          <w:tab w:val="left" w:pos="142"/>
        </w:tabs>
        <w:spacing w:after="200" w:line="276" w:lineRule="auto"/>
        <w:contextualSpacing/>
        <w:jc w:val="both"/>
        <w:rPr>
          <w:noProof/>
          <w:lang w:eastAsia="es-AR"/>
        </w:rPr>
      </w:pPr>
    </w:p>
    <w:p w14:paraId="2DA4F91B" w14:textId="2CF54B24" w:rsidR="00F208DA" w:rsidRDefault="00F208DA" w:rsidP="00A9135D">
      <w:pPr>
        <w:tabs>
          <w:tab w:val="left" w:pos="142"/>
        </w:tabs>
        <w:spacing w:after="200" w:line="276" w:lineRule="auto"/>
        <w:contextualSpacing/>
        <w:jc w:val="both"/>
        <w:rPr>
          <w:noProof/>
          <w:lang w:eastAsia="es-AR"/>
        </w:rPr>
      </w:pPr>
    </w:p>
    <w:p w14:paraId="59505EBF" w14:textId="7B4FA7D7" w:rsidR="00F208DA" w:rsidRDefault="00F208DA" w:rsidP="00A9135D">
      <w:pPr>
        <w:tabs>
          <w:tab w:val="left" w:pos="142"/>
        </w:tabs>
        <w:spacing w:after="200" w:line="276" w:lineRule="auto"/>
        <w:contextualSpacing/>
        <w:jc w:val="both"/>
        <w:rPr>
          <w:noProof/>
          <w:lang w:eastAsia="es-AR"/>
        </w:rPr>
      </w:pPr>
    </w:p>
    <w:p w14:paraId="39E6D6DF" w14:textId="67CDF4E9" w:rsidR="00F208DA" w:rsidRDefault="00F208DA" w:rsidP="00A9135D">
      <w:pPr>
        <w:tabs>
          <w:tab w:val="left" w:pos="142"/>
        </w:tabs>
        <w:spacing w:after="200" w:line="276" w:lineRule="auto"/>
        <w:contextualSpacing/>
        <w:jc w:val="both"/>
        <w:rPr>
          <w:noProof/>
          <w:lang w:eastAsia="es-AR"/>
        </w:rPr>
      </w:pPr>
    </w:p>
    <w:p w14:paraId="63398EEC" w14:textId="322CCC60" w:rsidR="00F208DA" w:rsidRDefault="00F208DA" w:rsidP="00A9135D">
      <w:pPr>
        <w:tabs>
          <w:tab w:val="left" w:pos="142"/>
        </w:tabs>
        <w:spacing w:after="200" w:line="276" w:lineRule="auto"/>
        <w:contextualSpacing/>
        <w:jc w:val="both"/>
        <w:rPr>
          <w:noProof/>
          <w:lang w:eastAsia="es-AR"/>
        </w:rPr>
      </w:pPr>
    </w:p>
    <w:p w14:paraId="7BA95424" w14:textId="2A0DDE0B" w:rsidR="00F208DA" w:rsidRDefault="00F208DA" w:rsidP="00A9135D">
      <w:pPr>
        <w:tabs>
          <w:tab w:val="left" w:pos="142"/>
        </w:tabs>
        <w:spacing w:after="200" w:line="276" w:lineRule="auto"/>
        <w:contextualSpacing/>
        <w:jc w:val="both"/>
        <w:rPr>
          <w:noProof/>
          <w:lang w:eastAsia="es-AR"/>
        </w:rPr>
      </w:pPr>
    </w:p>
    <w:p w14:paraId="710C144D" w14:textId="7773B2AC" w:rsidR="00F208DA" w:rsidRDefault="00F208DA" w:rsidP="00A9135D">
      <w:pPr>
        <w:tabs>
          <w:tab w:val="left" w:pos="142"/>
        </w:tabs>
        <w:spacing w:after="200" w:line="276" w:lineRule="auto"/>
        <w:contextualSpacing/>
        <w:jc w:val="both"/>
        <w:rPr>
          <w:noProof/>
          <w:lang w:eastAsia="es-AR"/>
        </w:rPr>
      </w:pPr>
    </w:p>
    <w:p w14:paraId="2C9A757C" w14:textId="3C99D968" w:rsidR="00F208DA" w:rsidRDefault="00F208DA" w:rsidP="00A9135D">
      <w:pPr>
        <w:tabs>
          <w:tab w:val="left" w:pos="142"/>
        </w:tabs>
        <w:spacing w:after="200" w:line="276" w:lineRule="auto"/>
        <w:contextualSpacing/>
        <w:jc w:val="both"/>
        <w:rPr>
          <w:noProof/>
          <w:lang w:eastAsia="es-AR"/>
        </w:rPr>
      </w:pPr>
    </w:p>
    <w:p w14:paraId="75364FEE" w14:textId="3FA565E8" w:rsidR="00F208DA" w:rsidRDefault="00F208DA" w:rsidP="00A9135D">
      <w:pPr>
        <w:tabs>
          <w:tab w:val="left" w:pos="142"/>
        </w:tabs>
        <w:spacing w:after="200" w:line="276" w:lineRule="auto"/>
        <w:contextualSpacing/>
        <w:jc w:val="both"/>
        <w:rPr>
          <w:noProof/>
          <w:lang w:eastAsia="es-AR"/>
        </w:rPr>
      </w:pPr>
    </w:p>
    <w:p w14:paraId="47434647" w14:textId="7AEBF931" w:rsidR="00F208DA" w:rsidRDefault="00F208DA" w:rsidP="00A9135D">
      <w:pPr>
        <w:tabs>
          <w:tab w:val="left" w:pos="142"/>
        </w:tabs>
        <w:spacing w:after="200" w:line="276" w:lineRule="auto"/>
        <w:contextualSpacing/>
        <w:jc w:val="both"/>
        <w:rPr>
          <w:noProof/>
          <w:lang w:eastAsia="es-AR"/>
        </w:rPr>
      </w:pPr>
    </w:p>
    <w:p w14:paraId="49C3C01D" w14:textId="75AE075A" w:rsidR="00F208DA" w:rsidRDefault="00F208DA" w:rsidP="00A9135D">
      <w:pPr>
        <w:tabs>
          <w:tab w:val="left" w:pos="142"/>
        </w:tabs>
        <w:spacing w:after="200" w:line="276" w:lineRule="auto"/>
        <w:contextualSpacing/>
        <w:jc w:val="both"/>
        <w:rPr>
          <w:noProof/>
          <w:lang w:eastAsia="es-AR"/>
        </w:rPr>
      </w:pPr>
    </w:p>
    <w:p w14:paraId="305CFA56" w14:textId="79FC8BC8" w:rsidR="00F208DA" w:rsidRDefault="00F208DA" w:rsidP="00A9135D">
      <w:pPr>
        <w:tabs>
          <w:tab w:val="left" w:pos="142"/>
        </w:tabs>
        <w:spacing w:after="200" w:line="276" w:lineRule="auto"/>
        <w:contextualSpacing/>
        <w:jc w:val="both"/>
        <w:rPr>
          <w:noProof/>
          <w:lang w:eastAsia="es-AR"/>
        </w:rPr>
      </w:pPr>
    </w:p>
    <w:p w14:paraId="688B6FFD" w14:textId="48543253" w:rsidR="00F208DA" w:rsidRDefault="00F208DA" w:rsidP="00A9135D">
      <w:pPr>
        <w:tabs>
          <w:tab w:val="left" w:pos="142"/>
        </w:tabs>
        <w:spacing w:after="200" w:line="276" w:lineRule="auto"/>
        <w:contextualSpacing/>
        <w:jc w:val="both"/>
        <w:rPr>
          <w:noProof/>
          <w:lang w:eastAsia="es-AR"/>
        </w:rPr>
      </w:pPr>
    </w:p>
    <w:p w14:paraId="611B65D4" w14:textId="731E6163" w:rsidR="00F208DA" w:rsidRDefault="00F208DA" w:rsidP="00A9135D">
      <w:pPr>
        <w:tabs>
          <w:tab w:val="left" w:pos="142"/>
        </w:tabs>
        <w:spacing w:after="200" w:line="276" w:lineRule="auto"/>
        <w:contextualSpacing/>
        <w:jc w:val="both"/>
        <w:rPr>
          <w:noProof/>
          <w:lang w:eastAsia="es-AR"/>
        </w:rPr>
      </w:pPr>
    </w:p>
    <w:p w14:paraId="6F8AF7F7" w14:textId="4157B93D" w:rsidR="00F208DA" w:rsidRDefault="00F208DA" w:rsidP="00A9135D">
      <w:pPr>
        <w:tabs>
          <w:tab w:val="left" w:pos="142"/>
        </w:tabs>
        <w:spacing w:after="200" w:line="276" w:lineRule="auto"/>
        <w:contextualSpacing/>
        <w:jc w:val="both"/>
        <w:rPr>
          <w:noProof/>
          <w:lang w:eastAsia="es-AR"/>
        </w:rPr>
      </w:pPr>
    </w:p>
    <w:p w14:paraId="5D6A3266" w14:textId="4E1C59B5" w:rsidR="00F208DA" w:rsidRDefault="00F208DA" w:rsidP="00A9135D">
      <w:pPr>
        <w:tabs>
          <w:tab w:val="left" w:pos="142"/>
        </w:tabs>
        <w:spacing w:after="200" w:line="276" w:lineRule="auto"/>
        <w:contextualSpacing/>
        <w:jc w:val="both"/>
        <w:rPr>
          <w:noProof/>
          <w:lang w:eastAsia="es-AR"/>
        </w:rPr>
      </w:pPr>
    </w:p>
    <w:p w14:paraId="30AA48C0" w14:textId="0FB5B8FB" w:rsidR="00F208DA" w:rsidRDefault="00F208DA" w:rsidP="00A9135D">
      <w:pPr>
        <w:tabs>
          <w:tab w:val="left" w:pos="142"/>
        </w:tabs>
        <w:spacing w:after="200" w:line="276" w:lineRule="auto"/>
        <w:contextualSpacing/>
        <w:jc w:val="both"/>
        <w:rPr>
          <w:noProof/>
          <w:lang w:eastAsia="es-AR"/>
        </w:rPr>
      </w:pPr>
    </w:p>
    <w:p w14:paraId="498636BF" w14:textId="3CEF14C1" w:rsidR="00F208DA" w:rsidRDefault="00F208DA" w:rsidP="00A9135D">
      <w:pPr>
        <w:tabs>
          <w:tab w:val="left" w:pos="142"/>
        </w:tabs>
        <w:spacing w:after="200" w:line="276" w:lineRule="auto"/>
        <w:contextualSpacing/>
        <w:jc w:val="both"/>
        <w:rPr>
          <w:noProof/>
          <w:lang w:eastAsia="es-AR"/>
        </w:rPr>
      </w:pPr>
    </w:p>
    <w:p w14:paraId="3AFC0203" w14:textId="70E5F505" w:rsidR="00F208DA" w:rsidRDefault="00F208DA" w:rsidP="00A9135D">
      <w:pPr>
        <w:tabs>
          <w:tab w:val="left" w:pos="142"/>
        </w:tabs>
        <w:spacing w:after="200" w:line="276" w:lineRule="auto"/>
        <w:contextualSpacing/>
        <w:jc w:val="both"/>
        <w:rPr>
          <w:noProof/>
          <w:lang w:eastAsia="es-AR"/>
        </w:rPr>
      </w:pPr>
    </w:p>
    <w:p w14:paraId="40F5A90B" w14:textId="2B62D7F3" w:rsidR="00F208DA" w:rsidRDefault="00F208DA" w:rsidP="00A9135D">
      <w:pPr>
        <w:tabs>
          <w:tab w:val="left" w:pos="142"/>
        </w:tabs>
        <w:spacing w:after="200" w:line="276" w:lineRule="auto"/>
        <w:contextualSpacing/>
        <w:jc w:val="both"/>
        <w:rPr>
          <w:noProof/>
          <w:lang w:eastAsia="es-AR"/>
        </w:rPr>
      </w:pPr>
    </w:p>
    <w:p w14:paraId="0A034DA9" w14:textId="3BC711B4" w:rsidR="00F208DA" w:rsidRDefault="00F208DA" w:rsidP="00A9135D">
      <w:pPr>
        <w:tabs>
          <w:tab w:val="left" w:pos="142"/>
        </w:tabs>
        <w:spacing w:after="200" w:line="276" w:lineRule="auto"/>
        <w:contextualSpacing/>
        <w:jc w:val="both"/>
        <w:rPr>
          <w:noProof/>
          <w:lang w:eastAsia="es-AR"/>
        </w:rPr>
      </w:pPr>
    </w:p>
    <w:p w14:paraId="5EFF00E7" w14:textId="77D287F0" w:rsidR="00F208DA" w:rsidRDefault="00F208DA" w:rsidP="00A9135D">
      <w:pPr>
        <w:tabs>
          <w:tab w:val="left" w:pos="142"/>
        </w:tabs>
        <w:spacing w:after="200" w:line="276" w:lineRule="auto"/>
        <w:contextualSpacing/>
        <w:jc w:val="both"/>
        <w:rPr>
          <w:noProof/>
          <w:lang w:eastAsia="es-AR"/>
        </w:rPr>
      </w:pPr>
    </w:p>
    <w:p w14:paraId="62B60336" w14:textId="7BA626B9" w:rsidR="00F208DA" w:rsidRDefault="00F208DA" w:rsidP="00A9135D">
      <w:pPr>
        <w:tabs>
          <w:tab w:val="left" w:pos="142"/>
        </w:tabs>
        <w:spacing w:after="200" w:line="276" w:lineRule="auto"/>
        <w:contextualSpacing/>
        <w:jc w:val="both"/>
        <w:rPr>
          <w:noProof/>
          <w:lang w:eastAsia="es-AR"/>
        </w:rPr>
      </w:pPr>
    </w:p>
    <w:p w14:paraId="30288DEE" w14:textId="1ED9ADB8" w:rsidR="00F208DA" w:rsidRDefault="00F208DA" w:rsidP="00A9135D">
      <w:pPr>
        <w:tabs>
          <w:tab w:val="left" w:pos="142"/>
        </w:tabs>
        <w:spacing w:after="200" w:line="276" w:lineRule="auto"/>
        <w:contextualSpacing/>
        <w:jc w:val="both"/>
        <w:rPr>
          <w:noProof/>
          <w:lang w:eastAsia="es-AR"/>
        </w:rPr>
      </w:pPr>
    </w:p>
    <w:p w14:paraId="1FEA1F8C" w14:textId="73C8FE12" w:rsidR="00F208DA" w:rsidRDefault="00F208DA" w:rsidP="00A9135D">
      <w:pPr>
        <w:tabs>
          <w:tab w:val="left" w:pos="142"/>
        </w:tabs>
        <w:spacing w:after="200" w:line="276" w:lineRule="auto"/>
        <w:contextualSpacing/>
        <w:jc w:val="both"/>
        <w:rPr>
          <w:noProof/>
          <w:lang w:eastAsia="es-AR"/>
        </w:rPr>
      </w:pPr>
    </w:p>
    <w:p w14:paraId="00C7EBEF" w14:textId="10B2D8D0" w:rsidR="00F208DA" w:rsidRDefault="00F208DA" w:rsidP="00A9135D">
      <w:pPr>
        <w:tabs>
          <w:tab w:val="left" w:pos="142"/>
        </w:tabs>
        <w:spacing w:after="200" w:line="276" w:lineRule="auto"/>
        <w:contextualSpacing/>
        <w:jc w:val="both"/>
        <w:rPr>
          <w:noProof/>
          <w:lang w:eastAsia="es-AR"/>
        </w:rPr>
      </w:pPr>
    </w:p>
    <w:p w14:paraId="383464C1" w14:textId="4D0A0024" w:rsidR="00F208DA" w:rsidRDefault="00F208DA" w:rsidP="00A9135D">
      <w:pPr>
        <w:tabs>
          <w:tab w:val="left" w:pos="142"/>
        </w:tabs>
        <w:spacing w:after="200" w:line="276" w:lineRule="auto"/>
        <w:contextualSpacing/>
        <w:jc w:val="both"/>
        <w:rPr>
          <w:noProof/>
          <w:lang w:eastAsia="es-AR"/>
        </w:rPr>
      </w:pPr>
    </w:p>
    <w:p w14:paraId="13B433E8" w14:textId="3E919D86" w:rsidR="00F208DA" w:rsidRDefault="00F208DA" w:rsidP="00A9135D">
      <w:pPr>
        <w:tabs>
          <w:tab w:val="left" w:pos="142"/>
        </w:tabs>
        <w:spacing w:after="200" w:line="276" w:lineRule="auto"/>
        <w:contextualSpacing/>
        <w:jc w:val="both"/>
        <w:rPr>
          <w:noProof/>
          <w:lang w:eastAsia="es-AR"/>
        </w:rPr>
      </w:pPr>
    </w:p>
    <w:p w14:paraId="16B3A476" w14:textId="5D139687" w:rsidR="00F208DA" w:rsidRDefault="00F208DA" w:rsidP="00A9135D">
      <w:pPr>
        <w:tabs>
          <w:tab w:val="left" w:pos="142"/>
        </w:tabs>
        <w:spacing w:after="200" w:line="276" w:lineRule="auto"/>
        <w:contextualSpacing/>
        <w:jc w:val="both"/>
        <w:rPr>
          <w:noProof/>
          <w:lang w:eastAsia="es-AR"/>
        </w:rPr>
      </w:pPr>
    </w:p>
    <w:p w14:paraId="4850A550" w14:textId="7AA95967" w:rsidR="00F208DA" w:rsidRDefault="00F208DA" w:rsidP="00A9135D">
      <w:pPr>
        <w:tabs>
          <w:tab w:val="left" w:pos="142"/>
        </w:tabs>
        <w:spacing w:after="200" w:line="276" w:lineRule="auto"/>
        <w:contextualSpacing/>
        <w:jc w:val="both"/>
        <w:rPr>
          <w:noProof/>
          <w:lang w:eastAsia="es-AR"/>
        </w:rPr>
      </w:pPr>
    </w:p>
    <w:p w14:paraId="59BD0C06" w14:textId="77777777" w:rsidR="0035700B" w:rsidRDefault="0035700B" w:rsidP="00A9135D">
      <w:pPr>
        <w:tabs>
          <w:tab w:val="left" w:pos="142"/>
        </w:tabs>
        <w:spacing w:after="200" w:line="276" w:lineRule="auto"/>
        <w:contextualSpacing/>
        <w:jc w:val="both"/>
        <w:rPr>
          <w:noProof/>
          <w:lang w:eastAsia="es-AR"/>
        </w:rPr>
      </w:pPr>
    </w:p>
    <w:p w14:paraId="31B9F038" w14:textId="6A34DD10" w:rsidR="00F208DA" w:rsidRDefault="00AE3EB3" w:rsidP="00A9135D">
      <w:pPr>
        <w:tabs>
          <w:tab w:val="left" w:pos="142"/>
        </w:tabs>
        <w:spacing w:after="200" w:line="276" w:lineRule="auto"/>
        <w:contextualSpacing/>
        <w:jc w:val="both"/>
        <w:rPr>
          <w:noProof/>
          <w:lang w:eastAsia="es-AR"/>
        </w:rPr>
      </w:pPr>
      <w:r>
        <w:rPr>
          <w:noProof/>
        </w:rPr>
        <w:drawing>
          <wp:anchor distT="0" distB="0" distL="114300" distR="114300" simplePos="0" relativeHeight="251660288" behindDoc="0" locked="0" layoutInCell="1" allowOverlap="1" wp14:anchorId="6BF70BB2" wp14:editId="0D3C327D">
            <wp:simplePos x="0" y="0"/>
            <wp:positionH relativeFrom="column">
              <wp:posOffset>-562928</wp:posOffset>
            </wp:positionH>
            <wp:positionV relativeFrom="paragraph">
              <wp:posOffset>303848</wp:posOffset>
            </wp:positionV>
            <wp:extent cx="6820535" cy="499872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820535" cy="4998720"/>
                    </a:xfrm>
                    <a:prstGeom prst="rect">
                      <a:avLst/>
                    </a:prstGeom>
                  </pic:spPr>
                </pic:pic>
              </a:graphicData>
            </a:graphic>
            <wp14:sizeRelH relativeFrom="page">
              <wp14:pctWidth>0</wp14:pctWidth>
            </wp14:sizeRelH>
            <wp14:sizeRelV relativeFrom="page">
              <wp14:pctHeight>0</wp14:pctHeight>
            </wp14:sizeRelV>
          </wp:anchor>
        </w:drawing>
      </w:r>
    </w:p>
    <w:p w14:paraId="79387DBC" w14:textId="073C9A13" w:rsidR="00F208DA" w:rsidRDefault="00F208DA" w:rsidP="00A9135D">
      <w:pPr>
        <w:tabs>
          <w:tab w:val="left" w:pos="142"/>
        </w:tabs>
        <w:spacing w:after="200" w:line="276" w:lineRule="auto"/>
        <w:contextualSpacing/>
        <w:jc w:val="both"/>
        <w:rPr>
          <w:noProof/>
          <w:lang w:eastAsia="es-AR"/>
        </w:rPr>
      </w:pPr>
    </w:p>
    <w:p w14:paraId="3AEF7949" w14:textId="100CA9B5" w:rsidR="00F208DA" w:rsidRDefault="00F208DA" w:rsidP="00A9135D">
      <w:pPr>
        <w:tabs>
          <w:tab w:val="left" w:pos="142"/>
        </w:tabs>
        <w:spacing w:after="200" w:line="276" w:lineRule="auto"/>
        <w:contextualSpacing/>
        <w:jc w:val="both"/>
        <w:rPr>
          <w:noProof/>
          <w:lang w:eastAsia="es-AR"/>
        </w:rPr>
      </w:pPr>
    </w:p>
    <w:p w14:paraId="50D74378" w14:textId="6D442DB4" w:rsidR="00F208DA" w:rsidRDefault="00F208DA" w:rsidP="00A9135D">
      <w:pPr>
        <w:tabs>
          <w:tab w:val="left" w:pos="142"/>
        </w:tabs>
        <w:spacing w:after="200" w:line="276" w:lineRule="auto"/>
        <w:contextualSpacing/>
        <w:jc w:val="both"/>
        <w:rPr>
          <w:noProof/>
          <w:lang w:eastAsia="es-AR"/>
        </w:rPr>
      </w:pPr>
    </w:p>
    <w:p w14:paraId="6B9A4DCC" w14:textId="19A76B3F" w:rsidR="00F208DA" w:rsidRDefault="00F208DA" w:rsidP="00A9135D">
      <w:pPr>
        <w:tabs>
          <w:tab w:val="left" w:pos="142"/>
        </w:tabs>
        <w:spacing w:after="200" w:line="276" w:lineRule="auto"/>
        <w:contextualSpacing/>
        <w:jc w:val="both"/>
        <w:rPr>
          <w:noProof/>
          <w:lang w:eastAsia="es-AR"/>
        </w:rPr>
      </w:pPr>
    </w:p>
    <w:p w14:paraId="46CA0529" w14:textId="4F34D55A" w:rsidR="00F208DA" w:rsidRDefault="00F208DA" w:rsidP="00A9135D">
      <w:pPr>
        <w:tabs>
          <w:tab w:val="left" w:pos="142"/>
        </w:tabs>
        <w:spacing w:after="200" w:line="276" w:lineRule="auto"/>
        <w:contextualSpacing/>
        <w:jc w:val="both"/>
        <w:rPr>
          <w:noProof/>
          <w:lang w:eastAsia="es-AR"/>
        </w:rPr>
      </w:pPr>
    </w:p>
    <w:p w14:paraId="38E9C745" w14:textId="7B8E7948" w:rsidR="00F208DA" w:rsidRDefault="00F208DA" w:rsidP="00A9135D">
      <w:pPr>
        <w:tabs>
          <w:tab w:val="left" w:pos="142"/>
        </w:tabs>
        <w:spacing w:after="200" w:line="276" w:lineRule="auto"/>
        <w:contextualSpacing/>
        <w:jc w:val="both"/>
        <w:rPr>
          <w:noProof/>
          <w:lang w:eastAsia="es-AR"/>
        </w:rPr>
      </w:pPr>
    </w:p>
    <w:p w14:paraId="23CFA97B" w14:textId="70A5A3EE" w:rsidR="00F208DA" w:rsidRDefault="00F208DA" w:rsidP="00A9135D">
      <w:pPr>
        <w:tabs>
          <w:tab w:val="left" w:pos="142"/>
        </w:tabs>
        <w:spacing w:after="200" w:line="276" w:lineRule="auto"/>
        <w:contextualSpacing/>
        <w:jc w:val="both"/>
        <w:rPr>
          <w:noProof/>
          <w:lang w:eastAsia="es-AR"/>
        </w:rPr>
      </w:pPr>
    </w:p>
    <w:p w14:paraId="1D8ECFE8" w14:textId="0ACAC73C" w:rsidR="00F208DA" w:rsidRDefault="00F208DA" w:rsidP="00A9135D">
      <w:pPr>
        <w:tabs>
          <w:tab w:val="left" w:pos="142"/>
        </w:tabs>
        <w:spacing w:after="200" w:line="276" w:lineRule="auto"/>
        <w:contextualSpacing/>
        <w:jc w:val="both"/>
        <w:rPr>
          <w:noProof/>
          <w:lang w:eastAsia="es-AR"/>
        </w:rPr>
      </w:pPr>
    </w:p>
    <w:p w14:paraId="2049F502" w14:textId="504907A5" w:rsidR="00F208DA" w:rsidRDefault="00F208DA" w:rsidP="00A9135D">
      <w:pPr>
        <w:tabs>
          <w:tab w:val="left" w:pos="142"/>
        </w:tabs>
        <w:spacing w:after="200" w:line="276" w:lineRule="auto"/>
        <w:contextualSpacing/>
        <w:jc w:val="both"/>
        <w:rPr>
          <w:noProof/>
          <w:lang w:eastAsia="es-AR"/>
        </w:rPr>
      </w:pPr>
    </w:p>
    <w:p w14:paraId="1CB72E71" w14:textId="3A7D754D" w:rsidR="00F208DA" w:rsidRDefault="00F208DA" w:rsidP="00A9135D">
      <w:pPr>
        <w:tabs>
          <w:tab w:val="left" w:pos="142"/>
        </w:tabs>
        <w:spacing w:after="200" w:line="276" w:lineRule="auto"/>
        <w:contextualSpacing/>
        <w:jc w:val="both"/>
        <w:rPr>
          <w:noProof/>
          <w:lang w:eastAsia="es-AR"/>
        </w:rPr>
      </w:pPr>
    </w:p>
    <w:p w14:paraId="7A09D30D" w14:textId="65F28FE2" w:rsidR="00F208DA" w:rsidRDefault="00F208DA" w:rsidP="00A9135D">
      <w:pPr>
        <w:tabs>
          <w:tab w:val="left" w:pos="142"/>
        </w:tabs>
        <w:spacing w:after="200" w:line="276" w:lineRule="auto"/>
        <w:contextualSpacing/>
        <w:jc w:val="both"/>
        <w:rPr>
          <w:noProof/>
          <w:lang w:eastAsia="es-AR"/>
        </w:rPr>
      </w:pPr>
    </w:p>
    <w:p w14:paraId="2586BC2D" w14:textId="3CEDD37A" w:rsidR="00F208DA" w:rsidRDefault="00F208DA" w:rsidP="00A9135D">
      <w:pPr>
        <w:tabs>
          <w:tab w:val="left" w:pos="142"/>
        </w:tabs>
        <w:spacing w:after="200" w:line="276" w:lineRule="auto"/>
        <w:contextualSpacing/>
        <w:jc w:val="both"/>
        <w:rPr>
          <w:noProof/>
          <w:lang w:eastAsia="es-AR"/>
        </w:rPr>
      </w:pPr>
    </w:p>
    <w:p w14:paraId="0AD6D3F4" w14:textId="6E8DE8F1" w:rsidR="00F208DA" w:rsidRDefault="00F208DA" w:rsidP="00A9135D">
      <w:pPr>
        <w:tabs>
          <w:tab w:val="left" w:pos="142"/>
        </w:tabs>
        <w:spacing w:after="200" w:line="276" w:lineRule="auto"/>
        <w:contextualSpacing/>
        <w:jc w:val="both"/>
        <w:rPr>
          <w:noProof/>
          <w:lang w:eastAsia="es-AR"/>
        </w:rPr>
      </w:pPr>
    </w:p>
    <w:p w14:paraId="552E5352" w14:textId="6D3F4EAC" w:rsidR="00F208DA" w:rsidRDefault="00F208DA" w:rsidP="00A9135D">
      <w:pPr>
        <w:tabs>
          <w:tab w:val="left" w:pos="142"/>
        </w:tabs>
        <w:spacing w:after="200" w:line="276" w:lineRule="auto"/>
        <w:contextualSpacing/>
        <w:jc w:val="both"/>
        <w:rPr>
          <w:noProof/>
          <w:lang w:eastAsia="es-AR"/>
        </w:rPr>
      </w:pPr>
    </w:p>
    <w:p w14:paraId="30BA0D2E" w14:textId="6C985861" w:rsidR="00F208DA" w:rsidRDefault="00F208DA" w:rsidP="00A9135D">
      <w:pPr>
        <w:tabs>
          <w:tab w:val="left" w:pos="142"/>
        </w:tabs>
        <w:spacing w:after="200" w:line="276" w:lineRule="auto"/>
        <w:contextualSpacing/>
        <w:jc w:val="both"/>
        <w:rPr>
          <w:noProof/>
          <w:lang w:eastAsia="es-AR"/>
        </w:rPr>
      </w:pPr>
    </w:p>
    <w:p w14:paraId="2B8363B2" w14:textId="6A947136" w:rsidR="00F208DA" w:rsidRDefault="00F208DA" w:rsidP="00A9135D">
      <w:pPr>
        <w:tabs>
          <w:tab w:val="left" w:pos="142"/>
        </w:tabs>
        <w:spacing w:after="200" w:line="276" w:lineRule="auto"/>
        <w:contextualSpacing/>
        <w:jc w:val="both"/>
        <w:rPr>
          <w:noProof/>
          <w:lang w:eastAsia="es-AR"/>
        </w:rPr>
      </w:pPr>
    </w:p>
    <w:p w14:paraId="5BC824BE" w14:textId="28367E18" w:rsidR="00F208DA" w:rsidRDefault="00F208DA" w:rsidP="00A9135D">
      <w:pPr>
        <w:tabs>
          <w:tab w:val="left" w:pos="142"/>
        </w:tabs>
        <w:spacing w:after="200" w:line="276" w:lineRule="auto"/>
        <w:contextualSpacing/>
        <w:jc w:val="both"/>
        <w:rPr>
          <w:noProof/>
          <w:lang w:eastAsia="es-AR"/>
        </w:rPr>
      </w:pPr>
    </w:p>
    <w:p w14:paraId="4D9015DE" w14:textId="2BA3B380" w:rsidR="00F208DA" w:rsidRDefault="00F208DA" w:rsidP="00A9135D">
      <w:pPr>
        <w:tabs>
          <w:tab w:val="left" w:pos="142"/>
        </w:tabs>
        <w:spacing w:after="200" w:line="276" w:lineRule="auto"/>
        <w:contextualSpacing/>
        <w:jc w:val="both"/>
        <w:rPr>
          <w:noProof/>
          <w:lang w:eastAsia="es-AR"/>
        </w:rPr>
      </w:pPr>
    </w:p>
    <w:p w14:paraId="422A04C6" w14:textId="61060083" w:rsidR="00F208DA" w:rsidRDefault="00F208DA" w:rsidP="00A9135D">
      <w:pPr>
        <w:tabs>
          <w:tab w:val="left" w:pos="142"/>
        </w:tabs>
        <w:spacing w:after="200" w:line="276" w:lineRule="auto"/>
        <w:contextualSpacing/>
        <w:jc w:val="both"/>
        <w:rPr>
          <w:noProof/>
          <w:lang w:eastAsia="es-AR"/>
        </w:rPr>
      </w:pPr>
    </w:p>
    <w:p w14:paraId="3E4E8099" w14:textId="64A853B5" w:rsidR="00F208DA" w:rsidRDefault="00F208DA" w:rsidP="00A9135D">
      <w:pPr>
        <w:tabs>
          <w:tab w:val="left" w:pos="142"/>
        </w:tabs>
        <w:spacing w:after="200" w:line="276" w:lineRule="auto"/>
        <w:contextualSpacing/>
        <w:jc w:val="both"/>
        <w:rPr>
          <w:noProof/>
          <w:lang w:eastAsia="es-AR"/>
        </w:rPr>
      </w:pPr>
    </w:p>
    <w:p w14:paraId="28A036B3" w14:textId="255F32BE" w:rsidR="00F208DA" w:rsidRDefault="00F208DA" w:rsidP="00A9135D">
      <w:pPr>
        <w:tabs>
          <w:tab w:val="left" w:pos="142"/>
        </w:tabs>
        <w:spacing w:after="200" w:line="276" w:lineRule="auto"/>
        <w:contextualSpacing/>
        <w:jc w:val="both"/>
        <w:rPr>
          <w:noProof/>
          <w:lang w:eastAsia="es-AR"/>
        </w:rPr>
      </w:pPr>
    </w:p>
    <w:p w14:paraId="502A61F6" w14:textId="04FD0A64" w:rsidR="00F208DA" w:rsidRDefault="00F208DA" w:rsidP="00A9135D">
      <w:pPr>
        <w:tabs>
          <w:tab w:val="left" w:pos="142"/>
        </w:tabs>
        <w:spacing w:after="200" w:line="276" w:lineRule="auto"/>
        <w:contextualSpacing/>
        <w:jc w:val="both"/>
        <w:rPr>
          <w:noProof/>
          <w:lang w:eastAsia="es-AR"/>
        </w:rPr>
      </w:pPr>
    </w:p>
    <w:p w14:paraId="7A8440A4" w14:textId="3EB0DB20" w:rsidR="00F208DA" w:rsidRDefault="00F208DA" w:rsidP="00A9135D">
      <w:pPr>
        <w:tabs>
          <w:tab w:val="left" w:pos="142"/>
        </w:tabs>
        <w:spacing w:after="200" w:line="276" w:lineRule="auto"/>
        <w:contextualSpacing/>
        <w:jc w:val="both"/>
        <w:rPr>
          <w:noProof/>
          <w:lang w:eastAsia="es-AR"/>
        </w:rPr>
      </w:pPr>
    </w:p>
    <w:p w14:paraId="21D324BB" w14:textId="3C34E610" w:rsidR="00F208DA" w:rsidRDefault="00F208DA" w:rsidP="00A9135D">
      <w:pPr>
        <w:tabs>
          <w:tab w:val="left" w:pos="142"/>
        </w:tabs>
        <w:spacing w:after="200" w:line="276" w:lineRule="auto"/>
        <w:contextualSpacing/>
        <w:jc w:val="both"/>
        <w:rPr>
          <w:noProof/>
          <w:lang w:eastAsia="es-AR"/>
        </w:rPr>
      </w:pPr>
    </w:p>
    <w:p w14:paraId="546ABC44" w14:textId="1DC56F59" w:rsidR="00F208DA" w:rsidRDefault="00F208DA" w:rsidP="00A9135D">
      <w:pPr>
        <w:tabs>
          <w:tab w:val="left" w:pos="142"/>
        </w:tabs>
        <w:spacing w:after="200" w:line="276" w:lineRule="auto"/>
        <w:contextualSpacing/>
        <w:jc w:val="both"/>
        <w:rPr>
          <w:noProof/>
          <w:lang w:eastAsia="es-AR"/>
        </w:rPr>
      </w:pPr>
    </w:p>
    <w:p w14:paraId="3A4D595D" w14:textId="446A08D2" w:rsidR="00F208DA" w:rsidRDefault="00F208DA" w:rsidP="00A9135D">
      <w:pPr>
        <w:tabs>
          <w:tab w:val="left" w:pos="142"/>
        </w:tabs>
        <w:spacing w:after="200" w:line="276" w:lineRule="auto"/>
        <w:contextualSpacing/>
        <w:jc w:val="both"/>
        <w:rPr>
          <w:noProof/>
          <w:lang w:eastAsia="es-AR"/>
        </w:rPr>
      </w:pPr>
    </w:p>
    <w:p w14:paraId="32E1376F" w14:textId="05185A52" w:rsidR="00F208DA" w:rsidRDefault="00F208DA" w:rsidP="00A9135D">
      <w:pPr>
        <w:tabs>
          <w:tab w:val="left" w:pos="142"/>
        </w:tabs>
        <w:spacing w:after="200" w:line="276" w:lineRule="auto"/>
        <w:contextualSpacing/>
        <w:jc w:val="both"/>
        <w:rPr>
          <w:noProof/>
          <w:lang w:eastAsia="es-AR"/>
        </w:rPr>
      </w:pPr>
    </w:p>
    <w:p w14:paraId="124DA9B9" w14:textId="4874DEF2" w:rsidR="00F208DA" w:rsidRDefault="00F208DA" w:rsidP="00A9135D">
      <w:pPr>
        <w:tabs>
          <w:tab w:val="left" w:pos="142"/>
        </w:tabs>
        <w:spacing w:after="200" w:line="276" w:lineRule="auto"/>
        <w:contextualSpacing/>
        <w:jc w:val="both"/>
        <w:rPr>
          <w:noProof/>
          <w:lang w:eastAsia="es-AR"/>
        </w:rPr>
      </w:pPr>
    </w:p>
    <w:p w14:paraId="4699C15B" w14:textId="5969A9F8" w:rsidR="00F208DA" w:rsidRDefault="00F208DA" w:rsidP="00A9135D">
      <w:pPr>
        <w:tabs>
          <w:tab w:val="left" w:pos="142"/>
        </w:tabs>
        <w:spacing w:after="200" w:line="276" w:lineRule="auto"/>
        <w:contextualSpacing/>
        <w:jc w:val="both"/>
        <w:rPr>
          <w:noProof/>
          <w:lang w:eastAsia="es-AR"/>
        </w:rPr>
      </w:pPr>
    </w:p>
    <w:p w14:paraId="45AA70A6" w14:textId="38C2C9D4" w:rsidR="00AE3EB3" w:rsidRDefault="00AE3EB3" w:rsidP="00A9135D">
      <w:pPr>
        <w:tabs>
          <w:tab w:val="left" w:pos="142"/>
        </w:tabs>
        <w:spacing w:after="200" w:line="276" w:lineRule="auto"/>
        <w:contextualSpacing/>
        <w:jc w:val="both"/>
        <w:rPr>
          <w:noProof/>
          <w:lang w:eastAsia="es-AR"/>
        </w:rPr>
      </w:pPr>
    </w:p>
    <w:p w14:paraId="23C589A2" w14:textId="448335CB" w:rsidR="00AE3EB3" w:rsidRDefault="00AE3EB3" w:rsidP="00A9135D">
      <w:pPr>
        <w:tabs>
          <w:tab w:val="left" w:pos="142"/>
        </w:tabs>
        <w:spacing w:after="200" w:line="276" w:lineRule="auto"/>
        <w:contextualSpacing/>
        <w:jc w:val="both"/>
        <w:rPr>
          <w:noProof/>
          <w:lang w:eastAsia="es-AR"/>
        </w:rPr>
      </w:pPr>
    </w:p>
    <w:p w14:paraId="78B390FF" w14:textId="1BCE8831" w:rsidR="0035700B" w:rsidRDefault="0035700B" w:rsidP="00A9135D">
      <w:pPr>
        <w:tabs>
          <w:tab w:val="left" w:pos="142"/>
        </w:tabs>
        <w:spacing w:after="200" w:line="276" w:lineRule="auto"/>
        <w:contextualSpacing/>
        <w:jc w:val="both"/>
        <w:rPr>
          <w:noProof/>
          <w:lang w:eastAsia="es-AR"/>
        </w:rPr>
      </w:pPr>
    </w:p>
    <w:p w14:paraId="5D4B7586" w14:textId="77777777" w:rsidR="0035700B" w:rsidRDefault="0035700B" w:rsidP="00A9135D">
      <w:pPr>
        <w:tabs>
          <w:tab w:val="left" w:pos="142"/>
        </w:tabs>
        <w:spacing w:after="200" w:line="276" w:lineRule="auto"/>
        <w:contextualSpacing/>
        <w:jc w:val="both"/>
        <w:rPr>
          <w:noProof/>
          <w:lang w:eastAsia="es-AR"/>
        </w:rPr>
      </w:pPr>
    </w:p>
    <w:p w14:paraId="53467FE8" w14:textId="39F77F20" w:rsidR="00F208DA" w:rsidRDefault="00F208DA" w:rsidP="00A9135D">
      <w:pPr>
        <w:tabs>
          <w:tab w:val="left" w:pos="142"/>
        </w:tabs>
        <w:spacing w:after="200" w:line="276" w:lineRule="auto"/>
        <w:contextualSpacing/>
        <w:jc w:val="both"/>
        <w:rPr>
          <w:noProof/>
          <w:lang w:eastAsia="es-AR"/>
        </w:rPr>
      </w:pPr>
      <w:r>
        <w:rPr>
          <w:noProof/>
        </w:rPr>
        <w:drawing>
          <wp:anchor distT="0" distB="0" distL="114300" distR="114300" simplePos="0" relativeHeight="251662336" behindDoc="0" locked="0" layoutInCell="1" allowOverlap="1" wp14:anchorId="0E8CAD21" wp14:editId="2ED20147">
            <wp:simplePos x="0" y="0"/>
            <wp:positionH relativeFrom="column">
              <wp:posOffset>-495300</wp:posOffset>
            </wp:positionH>
            <wp:positionV relativeFrom="paragraph">
              <wp:posOffset>201295</wp:posOffset>
            </wp:positionV>
            <wp:extent cx="6391293" cy="3816036"/>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391293" cy="3816036"/>
                    </a:xfrm>
                    <a:prstGeom prst="rect">
                      <a:avLst/>
                    </a:prstGeom>
                  </pic:spPr>
                </pic:pic>
              </a:graphicData>
            </a:graphic>
            <wp14:sizeRelH relativeFrom="page">
              <wp14:pctWidth>0</wp14:pctWidth>
            </wp14:sizeRelH>
            <wp14:sizeRelV relativeFrom="page">
              <wp14:pctHeight>0</wp14:pctHeight>
            </wp14:sizeRelV>
          </wp:anchor>
        </w:drawing>
      </w:r>
    </w:p>
    <w:p w14:paraId="3E24DA75" w14:textId="5411625D" w:rsidR="00F208DA" w:rsidRDefault="00F208DA" w:rsidP="00A9135D">
      <w:pPr>
        <w:tabs>
          <w:tab w:val="left" w:pos="142"/>
        </w:tabs>
        <w:spacing w:after="200" w:line="276" w:lineRule="auto"/>
        <w:contextualSpacing/>
        <w:jc w:val="both"/>
        <w:rPr>
          <w:noProof/>
          <w:lang w:eastAsia="es-AR"/>
        </w:rPr>
      </w:pPr>
    </w:p>
    <w:p w14:paraId="1C90F127" w14:textId="7F802DB2" w:rsidR="00F208DA" w:rsidRDefault="00F208DA" w:rsidP="00A9135D">
      <w:pPr>
        <w:tabs>
          <w:tab w:val="left" w:pos="142"/>
        </w:tabs>
        <w:spacing w:after="200" w:line="276" w:lineRule="auto"/>
        <w:contextualSpacing/>
        <w:jc w:val="both"/>
        <w:rPr>
          <w:noProof/>
          <w:lang w:eastAsia="es-AR"/>
        </w:rPr>
      </w:pPr>
    </w:p>
    <w:p w14:paraId="7365FF45" w14:textId="2AFEF2C7" w:rsidR="00F208DA" w:rsidRDefault="00F208DA" w:rsidP="00A9135D">
      <w:pPr>
        <w:tabs>
          <w:tab w:val="left" w:pos="142"/>
        </w:tabs>
        <w:spacing w:after="200" w:line="276" w:lineRule="auto"/>
        <w:contextualSpacing/>
        <w:jc w:val="both"/>
        <w:rPr>
          <w:noProof/>
          <w:lang w:eastAsia="es-AR"/>
        </w:rPr>
      </w:pPr>
    </w:p>
    <w:p w14:paraId="11B487C0" w14:textId="55C880DA" w:rsidR="00F208DA" w:rsidRDefault="00F208DA" w:rsidP="00A9135D">
      <w:pPr>
        <w:tabs>
          <w:tab w:val="left" w:pos="142"/>
        </w:tabs>
        <w:spacing w:after="200" w:line="276" w:lineRule="auto"/>
        <w:contextualSpacing/>
        <w:jc w:val="both"/>
        <w:rPr>
          <w:noProof/>
          <w:lang w:eastAsia="es-AR"/>
        </w:rPr>
      </w:pPr>
    </w:p>
    <w:p w14:paraId="08041C91" w14:textId="20C89356" w:rsidR="00F208DA" w:rsidRDefault="00F208DA" w:rsidP="00A9135D">
      <w:pPr>
        <w:tabs>
          <w:tab w:val="left" w:pos="142"/>
        </w:tabs>
        <w:spacing w:after="200" w:line="276" w:lineRule="auto"/>
        <w:contextualSpacing/>
        <w:jc w:val="both"/>
        <w:rPr>
          <w:noProof/>
          <w:lang w:eastAsia="es-AR"/>
        </w:rPr>
      </w:pPr>
    </w:p>
    <w:p w14:paraId="49C9079C" w14:textId="4035BC72" w:rsidR="00F208DA" w:rsidRDefault="00F208DA" w:rsidP="00A9135D">
      <w:pPr>
        <w:tabs>
          <w:tab w:val="left" w:pos="142"/>
        </w:tabs>
        <w:spacing w:after="200" w:line="276" w:lineRule="auto"/>
        <w:contextualSpacing/>
        <w:jc w:val="both"/>
        <w:rPr>
          <w:noProof/>
          <w:lang w:eastAsia="es-AR"/>
        </w:rPr>
      </w:pPr>
    </w:p>
    <w:p w14:paraId="688B33E8" w14:textId="3F534AF6" w:rsidR="00F208DA" w:rsidRDefault="00F208DA" w:rsidP="00A9135D">
      <w:pPr>
        <w:tabs>
          <w:tab w:val="left" w:pos="142"/>
        </w:tabs>
        <w:spacing w:after="200" w:line="276" w:lineRule="auto"/>
        <w:contextualSpacing/>
        <w:jc w:val="both"/>
        <w:rPr>
          <w:noProof/>
          <w:lang w:eastAsia="es-AR"/>
        </w:rPr>
      </w:pPr>
    </w:p>
    <w:p w14:paraId="796F869F" w14:textId="468C7800" w:rsidR="00F208DA" w:rsidRDefault="00F208DA" w:rsidP="00A9135D">
      <w:pPr>
        <w:tabs>
          <w:tab w:val="left" w:pos="142"/>
        </w:tabs>
        <w:spacing w:after="200" w:line="276" w:lineRule="auto"/>
        <w:contextualSpacing/>
        <w:jc w:val="both"/>
        <w:rPr>
          <w:noProof/>
          <w:lang w:eastAsia="es-AR"/>
        </w:rPr>
      </w:pPr>
    </w:p>
    <w:p w14:paraId="15E463C1" w14:textId="75D3AF16" w:rsidR="00F208DA" w:rsidRDefault="00F208DA" w:rsidP="00A9135D">
      <w:pPr>
        <w:tabs>
          <w:tab w:val="left" w:pos="142"/>
        </w:tabs>
        <w:spacing w:after="200" w:line="276" w:lineRule="auto"/>
        <w:contextualSpacing/>
        <w:jc w:val="both"/>
        <w:rPr>
          <w:noProof/>
          <w:lang w:eastAsia="es-AR"/>
        </w:rPr>
      </w:pPr>
    </w:p>
    <w:p w14:paraId="54F0E63D" w14:textId="38BD86C1" w:rsidR="00F208DA" w:rsidRDefault="00F208DA" w:rsidP="00A9135D">
      <w:pPr>
        <w:tabs>
          <w:tab w:val="left" w:pos="142"/>
        </w:tabs>
        <w:spacing w:after="200" w:line="276" w:lineRule="auto"/>
        <w:contextualSpacing/>
        <w:jc w:val="both"/>
        <w:rPr>
          <w:noProof/>
          <w:lang w:eastAsia="es-AR"/>
        </w:rPr>
      </w:pPr>
    </w:p>
    <w:p w14:paraId="59E776B9" w14:textId="1FC28488" w:rsidR="00F208DA" w:rsidRDefault="00F208DA" w:rsidP="00A9135D">
      <w:pPr>
        <w:tabs>
          <w:tab w:val="left" w:pos="142"/>
        </w:tabs>
        <w:spacing w:after="200" w:line="276" w:lineRule="auto"/>
        <w:contextualSpacing/>
        <w:jc w:val="both"/>
        <w:rPr>
          <w:noProof/>
          <w:lang w:eastAsia="es-AR"/>
        </w:rPr>
      </w:pPr>
    </w:p>
    <w:p w14:paraId="04630969" w14:textId="666CB6DE" w:rsidR="00F208DA" w:rsidRDefault="00F208DA" w:rsidP="00A9135D">
      <w:pPr>
        <w:tabs>
          <w:tab w:val="left" w:pos="142"/>
        </w:tabs>
        <w:spacing w:after="200" w:line="276" w:lineRule="auto"/>
        <w:contextualSpacing/>
        <w:jc w:val="both"/>
        <w:rPr>
          <w:noProof/>
          <w:lang w:eastAsia="es-AR"/>
        </w:rPr>
      </w:pPr>
    </w:p>
    <w:p w14:paraId="73B0458D" w14:textId="4C69296F" w:rsidR="00F208DA" w:rsidRDefault="00F208DA" w:rsidP="00A9135D">
      <w:pPr>
        <w:tabs>
          <w:tab w:val="left" w:pos="142"/>
        </w:tabs>
        <w:spacing w:after="200" w:line="276" w:lineRule="auto"/>
        <w:contextualSpacing/>
        <w:jc w:val="both"/>
        <w:rPr>
          <w:noProof/>
          <w:lang w:eastAsia="es-AR"/>
        </w:rPr>
      </w:pPr>
    </w:p>
    <w:p w14:paraId="796760DC" w14:textId="0DFBDA73" w:rsidR="00F208DA" w:rsidRDefault="00F208DA" w:rsidP="00A9135D">
      <w:pPr>
        <w:tabs>
          <w:tab w:val="left" w:pos="142"/>
        </w:tabs>
        <w:spacing w:after="200" w:line="276" w:lineRule="auto"/>
        <w:contextualSpacing/>
        <w:jc w:val="both"/>
        <w:rPr>
          <w:noProof/>
          <w:lang w:eastAsia="es-AR"/>
        </w:rPr>
      </w:pPr>
    </w:p>
    <w:p w14:paraId="11F83171" w14:textId="798D7059" w:rsidR="00F208DA" w:rsidRDefault="00F208DA" w:rsidP="00A9135D">
      <w:pPr>
        <w:tabs>
          <w:tab w:val="left" w:pos="142"/>
        </w:tabs>
        <w:spacing w:after="200" w:line="276" w:lineRule="auto"/>
        <w:contextualSpacing/>
        <w:jc w:val="both"/>
        <w:rPr>
          <w:noProof/>
          <w:lang w:eastAsia="es-AR"/>
        </w:rPr>
      </w:pPr>
    </w:p>
    <w:p w14:paraId="421BFE4B" w14:textId="46F755BE" w:rsidR="00F208DA" w:rsidRDefault="00F208DA" w:rsidP="00A9135D">
      <w:pPr>
        <w:tabs>
          <w:tab w:val="left" w:pos="142"/>
        </w:tabs>
        <w:spacing w:after="200" w:line="276" w:lineRule="auto"/>
        <w:contextualSpacing/>
        <w:jc w:val="both"/>
        <w:rPr>
          <w:noProof/>
          <w:lang w:eastAsia="es-AR"/>
        </w:rPr>
      </w:pPr>
    </w:p>
    <w:p w14:paraId="19A13357" w14:textId="583B57DC" w:rsidR="00F208DA" w:rsidRDefault="00F208DA" w:rsidP="00A9135D">
      <w:pPr>
        <w:tabs>
          <w:tab w:val="left" w:pos="142"/>
        </w:tabs>
        <w:spacing w:after="200" w:line="276" w:lineRule="auto"/>
        <w:contextualSpacing/>
        <w:jc w:val="both"/>
        <w:rPr>
          <w:noProof/>
          <w:lang w:eastAsia="es-AR"/>
        </w:rPr>
      </w:pPr>
    </w:p>
    <w:p w14:paraId="77A68928" w14:textId="4AE8B57F" w:rsidR="00F208DA" w:rsidRDefault="00F208DA" w:rsidP="00A9135D">
      <w:pPr>
        <w:tabs>
          <w:tab w:val="left" w:pos="142"/>
        </w:tabs>
        <w:spacing w:after="200" w:line="276" w:lineRule="auto"/>
        <w:contextualSpacing/>
        <w:jc w:val="both"/>
        <w:rPr>
          <w:noProof/>
          <w:lang w:eastAsia="es-AR"/>
        </w:rPr>
      </w:pPr>
    </w:p>
    <w:p w14:paraId="5C87AD9D" w14:textId="5C1C5020" w:rsidR="00F208DA" w:rsidRDefault="00F208DA" w:rsidP="00A9135D">
      <w:pPr>
        <w:tabs>
          <w:tab w:val="left" w:pos="142"/>
        </w:tabs>
        <w:spacing w:after="200" w:line="276" w:lineRule="auto"/>
        <w:contextualSpacing/>
        <w:jc w:val="both"/>
        <w:rPr>
          <w:noProof/>
          <w:lang w:eastAsia="es-AR"/>
        </w:rPr>
      </w:pPr>
    </w:p>
    <w:p w14:paraId="453AD1A3" w14:textId="7C893746" w:rsidR="00F208DA" w:rsidRDefault="00F208DA" w:rsidP="00A9135D">
      <w:pPr>
        <w:tabs>
          <w:tab w:val="left" w:pos="142"/>
        </w:tabs>
        <w:spacing w:after="200" w:line="276" w:lineRule="auto"/>
        <w:contextualSpacing/>
        <w:jc w:val="both"/>
        <w:rPr>
          <w:noProof/>
          <w:lang w:eastAsia="es-AR"/>
        </w:rPr>
      </w:pPr>
    </w:p>
    <w:p w14:paraId="56CF8E2D" w14:textId="77777777" w:rsidR="00A9135D" w:rsidRDefault="00A9135D" w:rsidP="00A9135D">
      <w:pPr>
        <w:tabs>
          <w:tab w:val="left" w:pos="142"/>
        </w:tabs>
        <w:spacing w:after="200" w:line="276" w:lineRule="auto"/>
        <w:contextualSpacing/>
        <w:jc w:val="both"/>
        <w:rPr>
          <w:rFonts w:ascii="Arial" w:hAnsi="Arial" w:cs="Arial"/>
          <w:sz w:val="20"/>
        </w:rPr>
      </w:pPr>
    </w:p>
    <w:p w14:paraId="1F048C33" w14:textId="77777777" w:rsidR="00A9135D" w:rsidRPr="00E446C3" w:rsidRDefault="00A9135D" w:rsidP="00A9135D">
      <w:pPr>
        <w:tabs>
          <w:tab w:val="left" w:pos="142"/>
        </w:tabs>
        <w:spacing w:after="200"/>
        <w:contextualSpacing/>
        <w:jc w:val="both"/>
        <w:rPr>
          <w:rFonts w:ascii="Arial" w:hAnsi="Arial" w:cs="Arial"/>
          <w:sz w:val="20"/>
          <w:lang w:eastAsia="es-AR"/>
        </w:rPr>
      </w:pPr>
      <w:r w:rsidRPr="00E446C3">
        <w:rPr>
          <w:rFonts w:ascii="Arial" w:hAnsi="Arial" w:cs="Arial"/>
          <w:sz w:val="20"/>
          <w:lang w:eastAsia="es-AR"/>
        </w:rPr>
        <w:t xml:space="preserve">La base estratégica de negocios es la concentración de los esfuerzos de la entidad en la prestación de servicios financieros tanto al segmento Minorista como Empresas, diferenciando en su estructura la banca minorista, la banca empresas y la banca finanzas. El negocio minorista se focaliza en la oferta de servicios financieros orientados a los segmentos de jubilados, comercios, renta alta y planes sueldo. La banca empresas se concentra en la atención de empresas medianas y pequeñas aprovechando la experiencia adquirida a través de los años en las operaciones de descuento de documentos, comercio exterior y leasing. </w:t>
      </w:r>
    </w:p>
    <w:p w14:paraId="0C833248" w14:textId="77777777" w:rsidR="00A9135D" w:rsidRPr="00E446C3" w:rsidRDefault="00A9135D" w:rsidP="00A9135D">
      <w:pPr>
        <w:tabs>
          <w:tab w:val="left" w:pos="142"/>
        </w:tabs>
        <w:spacing w:after="200" w:line="276" w:lineRule="auto"/>
        <w:contextualSpacing/>
        <w:jc w:val="both"/>
        <w:rPr>
          <w:rFonts w:ascii="Arial" w:hAnsi="Arial" w:cs="Arial"/>
          <w:sz w:val="20"/>
          <w:lang w:eastAsia="es-AR"/>
        </w:rPr>
      </w:pPr>
    </w:p>
    <w:p w14:paraId="202CBF03" w14:textId="77777777" w:rsidR="00A9135D" w:rsidRPr="00E446C3" w:rsidRDefault="00A9135D" w:rsidP="00A9135D">
      <w:pPr>
        <w:tabs>
          <w:tab w:val="left" w:pos="142"/>
        </w:tabs>
        <w:spacing w:after="200"/>
        <w:contextualSpacing/>
        <w:jc w:val="both"/>
        <w:rPr>
          <w:rFonts w:ascii="Arial" w:hAnsi="Arial" w:cs="Arial"/>
          <w:sz w:val="20"/>
          <w:lang w:eastAsia="es-AR"/>
        </w:rPr>
      </w:pPr>
      <w:r w:rsidRPr="00E446C3">
        <w:rPr>
          <w:rFonts w:ascii="Arial" w:hAnsi="Arial" w:cs="Arial"/>
          <w:sz w:val="20"/>
          <w:lang w:eastAsia="es-AR"/>
        </w:rPr>
        <w:t>La acción de las bancas comerciales, se complementa con el área de Finanzas y Mercado de Capitales que tiene como principal objetivo la asignación de fondeo así como también la securitización de los activos generados, acelerando la rotación de carteras y minimizando el descalce de plazo entre el fondeo y las colocaciones.</w:t>
      </w:r>
    </w:p>
    <w:p w14:paraId="6FA89B2C" w14:textId="77777777" w:rsidR="00A9135D" w:rsidRPr="00E446C3" w:rsidRDefault="00A9135D" w:rsidP="00A9135D">
      <w:pPr>
        <w:tabs>
          <w:tab w:val="left" w:pos="142"/>
        </w:tabs>
        <w:spacing w:after="200"/>
        <w:contextualSpacing/>
        <w:jc w:val="both"/>
        <w:rPr>
          <w:rFonts w:ascii="Arial" w:hAnsi="Arial" w:cs="Arial"/>
          <w:sz w:val="20"/>
          <w:lang w:eastAsia="es-AR"/>
        </w:rPr>
      </w:pPr>
    </w:p>
    <w:p w14:paraId="3255D2F5" w14:textId="77777777" w:rsidR="00A9135D" w:rsidRPr="00E446C3" w:rsidRDefault="00A9135D" w:rsidP="00A9135D">
      <w:pPr>
        <w:tabs>
          <w:tab w:val="left" w:pos="142"/>
        </w:tabs>
        <w:spacing w:after="200"/>
        <w:contextualSpacing/>
        <w:jc w:val="both"/>
        <w:rPr>
          <w:rFonts w:ascii="Arial" w:hAnsi="Arial" w:cs="Arial"/>
          <w:sz w:val="20"/>
          <w:lang w:eastAsia="es-AR"/>
        </w:rPr>
      </w:pPr>
      <w:r w:rsidRPr="00E446C3">
        <w:rPr>
          <w:rFonts w:ascii="Arial" w:hAnsi="Arial" w:cs="Arial"/>
          <w:sz w:val="20"/>
          <w:lang w:eastAsia="es-AR"/>
        </w:rPr>
        <w:t>La estrategia de negocio además incluye la sinergia con empresas de Grupo Supervielle S.A. tendiente a desarrollar la complementación de actividades y negocios como grupo económico respecto de los planes individuales consignados para cada unidad con actividad financiera.</w:t>
      </w:r>
    </w:p>
    <w:p w14:paraId="218AD11B" w14:textId="77777777" w:rsidR="00A9135D" w:rsidRPr="00E446C3" w:rsidRDefault="00A9135D" w:rsidP="00A9135D">
      <w:pPr>
        <w:tabs>
          <w:tab w:val="left" w:pos="142"/>
        </w:tabs>
        <w:spacing w:after="200"/>
        <w:contextualSpacing/>
        <w:jc w:val="both"/>
        <w:rPr>
          <w:rFonts w:ascii="Arial" w:hAnsi="Arial" w:cs="Arial"/>
          <w:sz w:val="20"/>
          <w:lang w:eastAsia="es-AR"/>
        </w:rPr>
      </w:pPr>
    </w:p>
    <w:p w14:paraId="6584B2F3" w14:textId="77777777" w:rsidR="00A9135D" w:rsidRPr="00E446C3" w:rsidRDefault="00A9135D" w:rsidP="00A9135D">
      <w:pPr>
        <w:tabs>
          <w:tab w:val="left" w:pos="142"/>
        </w:tabs>
        <w:spacing w:after="200"/>
        <w:contextualSpacing/>
        <w:jc w:val="both"/>
        <w:rPr>
          <w:rFonts w:ascii="Arial" w:hAnsi="Arial" w:cs="Arial"/>
          <w:sz w:val="20"/>
          <w:lang w:eastAsia="es-AR"/>
        </w:rPr>
      </w:pPr>
      <w:r w:rsidRPr="00E446C3">
        <w:rPr>
          <w:rFonts w:ascii="Arial" w:hAnsi="Arial" w:cs="Arial"/>
          <w:sz w:val="20"/>
          <w:lang w:eastAsia="es-AR"/>
        </w:rPr>
        <w:t>El proyecto pone especial énfasis en la protección de la identidad de las empresas y en la protección de su modelo de atención y tecnología crediticia específica. A su vez, el diseño de la complementariedad está armado en base a la normativa del BCRA referida a la CREFI 2 (Creación, Funcionamiento y Expansión de Entidades Financieras), Capítulo II (Instalación de filiales de entidades financieras en el interior del país y en el exterior).</w:t>
      </w:r>
    </w:p>
    <w:p w14:paraId="2ED212AF" w14:textId="77777777" w:rsidR="00A9135D" w:rsidRPr="00E446C3" w:rsidRDefault="00A9135D" w:rsidP="00A9135D">
      <w:pPr>
        <w:tabs>
          <w:tab w:val="left" w:pos="142"/>
        </w:tabs>
        <w:spacing w:after="200"/>
        <w:contextualSpacing/>
        <w:jc w:val="both"/>
        <w:rPr>
          <w:rFonts w:ascii="Arial" w:hAnsi="Arial" w:cs="Arial"/>
          <w:sz w:val="20"/>
          <w:lang w:eastAsia="es-AR"/>
        </w:rPr>
      </w:pPr>
    </w:p>
    <w:p w14:paraId="4C238775" w14:textId="77777777" w:rsidR="00A9135D" w:rsidRPr="00E446C3" w:rsidRDefault="00A9135D" w:rsidP="00A9135D">
      <w:pPr>
        <w:tabs>
          <w:tab w:val="left" w:pos="142"/>
        </w:tabs>
        <w:spacing w:after="200"/>
        <w:contextualSpacing/>
        <w:jc w:val="both"/>
        <w:rPr>
          <w:rFonts w:ascii="Arial" w:hAnsi="Arial" w:cs="Arial"/>
          <w:sz w:val="20"/>
          <w:lang w:eastAsia="es-AR"/>
        </w:rPr>
      </w:pPr>
      <w:r w:rsidRPr="00E446C3">
        <w:rPr>
          <w:rFonts w:ascii="Arial" w:hAnsi="Arial" w:cs="Arial"/>
          <w:sz w:val="20"/>
          <w:lang w:eastAsia="es-AR"/>
        </w:rPr>
        <w:t>Con relación a la información sobre las empresas subsidiarias controladas y vinculadas de la Entidad ver nota 13 a los presentes estados financieros separados.</w:t>
      </w:r>
    </w:p>
    <w:p w14:paraId="0A108313" w14:textId="77777777" w:rsidR="00A9135D" w:rsidRPr="00E541A5" w:rsidRDefault="00A9135D" w:rsidP="00A9135D">
      <w:pPr>
        <w:tabs>
          <w:tab w:val="left" w:pos="142"/>
        </w:tabs>
        <w:spacing w:after="200"/>
        <w:contextualSpacing/>
        <w:jc w:val="both"/>
        <w:rPr>
          <w:rFonts w:ascii="Arial" w:hAnsi="Arial" w:cs="Arial"/>
          <w:sz w:val="20"/>
          <w:highlight w:val="yellow"/>
          <w:lang w:eastAsia="es-AR"/>
        </w:rPr>
      </w:pPr>
    </w:p>
    <w:p w14:paraId="36813523" w14:textId="1ECA08CF" w:rsidR="00A9135D" w:rsidRPr="00C84814" w:rsidRDefault="00A9135D" w:rsidP="00A9135D">
      <w:pPr>
        <w:tabs>
          <w:tab w:val="left" w:pos="142"/>
        </w:tabs>
        <w:spacing w:after="200" w:line="276" w:lineRule="auto"/>
        <w:contextualSpacing/>
        <w:jc w:val="both"/>
        <w:rPr>
          <w:rFonts w:ascii="Arial" w:hAnsi="Arial" w:cs="Arial"/>
          <w:b/>
          <w:color w:val="0000FF"/>
          <w:sz w:val="20"/>
          <w:lang w:eastAsia="es-AR"/>
        </w:rPr>
      </w:pPr>
      <w:r w:rsidRPr="00E446C3">
        <w:rPr>
          <w:rFonts w:ascii="Arial" w:hAnsi="Arial" w:cs="Arial"/>
          <w:sz w:val="20"/>
          <w:lang w:eastAsia="es-AR"/>
        </w:rPr>
        <w:t>La Entidad cuenta con 19</w:t>
      </w:r>
      <w:r w:rsidR="001C73BD">
        <w:rPr>
          <w:rFonts w:ascii="Arial" w:hAnsi="Arial" w:cs="Arial"/>
          <w:sz w:val="20"/>
          <w:lang w:eastAsia="es-AR"/>
        </w:rPr>
        <w:t>7</w:t>
      </w:r>
      <w:r w:rsidRPr="00E446C3">
        <w:rPr>
          <w:rFonts w:ascii="Arial" w:hAnsi="Arial" w:cs="Arial"/>
          <w:sz w:val="20"/>
          <w:lang w:eastAsia="es-AR"/>
        </w:rPr>
        <w:t xml:space="preserve"> sucursales y 13 puestos p</w:t>
      </w:r>
      <w:r>
        <w:rPr>
          <w:rFonts w:ascii="Arial" w:hAnsi="Arial" w:cs="Arial"/>
          <w:sz w:val="20"/>
          <w:lang w:eastAsia="es-AR"/>
        </w:rPr>
        <w:t>er</w:t>
      </w:r>
      <w:r w:rsidRPr="00E446C3">
        <w:rPr>
          <w:rFonts w:ascii="Arial" w:hAnsi="Arial" w:cs="Arial"/>
          <w:sz w:val="20"/>
          <w:lang w:eastAsia="es-AR"/>
        </w:rPr>
        <w:t xml:space="preserve">manentes de promoción. Muchos de los locales están especialmente acondicionados para el pago de jubilaciones y pensiones de la ANSES, registrando además </w:t>
      </w:r>
      <w:r w:rsidRPr="00E446C3">
        <w:rPr>
          <w:rFonts w:ascii="Arial" w:hAnsi="Arial" w:cs="Arial"/>
          <w:sz w:val="20"/>
        </w:rPr>
        <w:t>5</w:t>
      </w:r>
      <w:r w:rsidR="00C1153D">
        <w:rPr>
          <w:rFonts w:ascii="Arial" w:hAnsi="Arial" w:cs="Arial"/>
          <w:sz w:val="20"/>
        </w:rPr>
        <w:t>37</w:t>
      </w:r>
      <w:r w:rsidRPr="00E446C3">
        <w:rPr>
          <w:rFonts w:ascii="Arial" w:hAnsi="Arial" w:cs="Arial"/>
          <w:sz w:val="20"/>
        </w:rPr>
        <w:t xml:space="preserve"> cajeros automáticos, 217 terminales de autoservicio</w:t>
      </w:r>
      <w:r w:rsidR="00C1153D">
        <w:rPr>
          <w:rFonts w:ascii="Arial" w:hAnsi="Arial" w:cs="Arial"/>
          <w:sz w:val="20"/>
        </w:rPr>
        <w:t xml:space="preserve"> y</w:t>
      </w:r>
      <w:r w:rsidRPr="00E446C3">
        <w:rPr>
          <w:rFonts w:ascii="Arial" w:hAnsi="Arial" w:cs="Arial"/>
          <w:sz w:val="20"/>
        </w:rPr>
        <w:t xml:space="preserve"> </w:t>
      </w:r>
      <w:r w:rsidR="00C1153D">
        <w:rPr>
          <w:rFonts w:ascii="Arial" w:hAnsi="Arial" w:cs="Arial"/>
          <w:sz w:val="20"/>
        </w:rPr>
        <w:t>202</w:t>
      </w:r>
      <w:r w:rsidRPr="00E446C3">
        <w:rPr>
          <w:rFonts w:ascii="Arial" w:hAnsi="Arial" w:cs="Arial"/>
          <w:sz w:val="20"/>
        </w:rPr>
        <w:t xml:space="preserve"> ca</w:t>
      </w:r>
      <w:r w:rsidR="00C1153D">
        <w:rPr>
          <w:rFonts w:ascii="Arial" w:hAnsi="Arial" w:cs="Arial"/>
          <w:sz w:val="20"/>
        </w:rPr>
        <w:t>jas rápidas</w:t>
      </w:r>
      <w:r w:rsidRPr="00E446C3">
        <w:rPr>
          <w:rFonts w:ascii="Arial" w:hAnsi="Arial" w:cs="Arial"/>
          <w:sz w:val="20"/>
        </w:rPr>
        <w:t>.</w:t>
      </w:r>
      <w:r w:rsidRPr="00E446C3">
        <w:rPr>
          <w:rFonts w:ascii="Arial" w:hAnsi="Arial" w:cs="Arial"/>
          <w:sz w:val="20"/>
          <w:lang w:eastAsia="es-AR"/>
        </w:rPr>
        <w:t xml:space="preserve"> La ubicación, domicilio y teléfono de las casas operativas pueden consultarse en la página web del Banco (</w:t>
      </w:r>
      <w:hyperlink r:id="rId50" w:history="1">
        <w:r w:rsidRPr="00E446C3">
          <w:rPr>
            <w:rFonts w:ascii="Arial" w:hAnsi="Arial" w:cs="Arial"/>
            <w:sz w:val="20"/>
            <w:u w:val="single"/>
            <w:lang w:eastAsia="es-AR"/>
          </w:rPr>
          <w:t>www.supervielle.com.ar</w:t>
        </w:r>
      </w:hyperlink>
      <w:r w:rsidRPr="00E446C3">
        <w:rPr>
          <w:rFonts w:ascii="Arial" w:hAnsi="Arial" w:cs="Arial"/>
          <w:sz w:val="20"/>
          <w:lang w:eastAsia="es-AR"/>
        </w:rPr>
        <w:t>).</w:t>
      </w:r>
    </w:p>
    <w:p w14:paraId="15E05343" w14:textId="77777777" w:rsidR="00A9135D" w:rsidRPr="00C84814" w:rsidRDefault="00A9135D" w:rsidP="00A9135D">
      <w:pPr>
        <w:tabs>
          <w:tab w:val="left" w:pos="142"/>
        </w:tabs>
        <w:spacing w:after="200" w:line="276" w:lineRule="auto"/>
        <w:contextualSpacing/>
        <w:jc w:val="both"/>
        <w:rPr>
          <w:rFonts w:ascii="Arial" w:hAnsi="Arial" w:cs="Arial"/>
          <w:b/>
          <w:color w:val="0000FF"/>
          <w:sz w:val="20"/>
          <w:lang w:eastAsia="es-AR"/>
        </w:rPr>
      </w:pPr>
    </w:p>
    <w:p w14:paraId="59E6F91F" w14:textId="4BE0F2C5" w:rsidR="00A9135D" w:rsidRPr="00C84814" w:rsidRDefault="00CC42D2" w:rsidP="00A9135D">
      <w:pPr>
        <w:tabs>
          <w:tab w:val="left" w:pos="142"/>
          <w:tab w:val="left" w:pos="851"/>
        </w:tabs>
        <w:spacing w:after="200" w:line="276" w:lineRule="auto"/>
        <w:contextualSpacing/>
        <w:jc w:val="both"/>
        <w:rPr>
          <w:rFonts w:ascii="Arial" w:hAnsi="Arial" w:cs="Arial"/>
          <w:b/>
          <w:sz w:val="20"/>
          <w:lang w:val="es-ES"/>
        </w:rPr>
      </w:pPr>
      <w:r>
        <w:rPr>
          <w:rFonts w:ascii="Arial" w:hAnsi="Arial" w:cs="Arial"/>
          <w:b/>
          <w:sz w:val="20"/>
        </w:rPr>
        <w:t>14</w:t>
      </w:r>
      <w:r w:rsidR="00A9135D">
        <w:rPr>
          <w:rFonts w:ascii="Arial" w:hAnsi="Arial" w:cs="Arial"/>
          <w:b/>
          <w:sz w:val="20"/>
        </w:rPr>
        <w:t>.10.4.</w:t>
      </w:r>
      <w:r w:rsidR="00A9135D" w:rsidRPr="00C84814">
        <w:rPr>
          <w:rFonts w:ascii="Arial" w:hAnsi="Arial" w:cs="Arial"/>
          <w:b/>
          <w:sz w:val="20"/>
        </w:rPr>
        <w:t xml:space="preserve">  Política de Conducta en los Negocios o Códigos de Ética</w:t>
      </w:r>
    </w:p>
    <w:p w14:paraId="0CEFF48E" w14:textId="77777777" w:rsidR="00A9135D" w:rsidRPr="00C84814" w:rsidRDefault="00A9135D" w:rsidP="00A9135D">
      <w:pPr>
        <w:tabs>
          <w:tab w:val="left" w:pos="284"/>
          <w:tab w:val="left" w:pos="567"/>
        </w:tabs>
        <w:rPr>
          <w:rFonts w:ascii="Arial" w:hAnsi="Arial" w:cs="Arial"/>
          <w:b/>
          <w:sz w:val="20"/>
          <w:lang w:val="es-ES"/>
        </w:rPr>
      </w:pPr>
    </w:p>
    <w:p w14:paraId="6C859A57" w14:textId="77777777" w:rsidR="00A9135D" w:rsidRPr="00C84814" w:rsidRDefault="00A9135D" w:rsidP="00A9135D">
      <w:pPr>
        <w:jc w:val="both"/>
        <w:rPr>
          <w:rFonts w:ascii="Arial" w:hAnsi="Arial" w:cs="Arial"/>
          <w:sz w:val="20"/>
          <w:lang w:val="es-ES"/>
        </w:rPr>
      </w:pPr>
      <w:r w:rsidRPr="00C84814">
        <w:rPr>
          <w:rFonts w:ascii="Arial" w:hAnsi="Arial" w:cs="Arial"/>
          <w:sz w:val="20"/>
          <w:lang w:val="es-ES"/>
        </w:rPr>
        <w:t xml:space="preserve">La entidad cuida que su actividad empresarial se lleve a cabo en cumplimiento del marco legal vigente, la buena fe y las mejores prácticas mercantiles, fomentando la implantación y desarrollo de principios éticos basados en la integridad, transparencia, pluralidad y compromiso con la sociedad que sirvan de base a la cultura corporativa de la Entidad y, en consecuencia, a la actuación en el ámbito de los negocios de todas las personas que forman parte del mismo. </w:t>
      </w:r>
    </w:p>
    <w:p w14:paraId="5C7EE2A1" w14:textId="77777777" w:rsidR="00A9135D" w:rsidRPr="00C84814" w:rsidRDefault="00A9135D" w:rsidP="00A9135D">
      <w:pPr>
        <w:jc w:val="both"/>
        <w:rPr>
          <w:rFonts w:ascii="Arial" w:hAnsi="Arial" w:cs="Arial"/>
          <w:sz w:val="20"/>
          <w:lang w:val="es-ES"/>
        </w:rPr>
      </w:pPr>
    </w:p>
    <w:p w14:paraId="0AC93167" w14:textId="77777777" w:rsidR="00A9135D" w:rsidRPr="00C84814" w:rsidRDefault="00A9135D" w:rsidP="00A9135D">
      <w:pPr>
        <w:jc w:val="both"/>
        <w:rPr>
          <w:rFonts w:ascii="Arial" w:hAnsi="Arial" w:cs="Arial"/>
          <w:sz w:val="20"/>
          <w:lang w:val="es-ES"/>
        </w:rPr>
      </w:pPr>
      <w:r w:rsidRPr="00C84814">
        <w:rPr>
          <w:rFonts w:ascii="Arial" w:hAnsi="Arial" w:cs="Arial"/>
          <w:sz w:val="20"/>
          <w:lang w:val="es-ES"/>
        </w:rPr>
        <w:t>Para ello ha desarrollado las siguientes acciones:</w:t>
      </w:r>
    </w:p>
    <w:p w14:paraId="6378FA02" w14:textId="77777777" w:rsidR="00A9135D" w:rsidRPr="00C84814" w:rsidRDefault="00A9135D" w:rsidP="00A9135D">
      <w:pPr>
        <w:ind w:left="426"/>
        <w:jc w:val="both"/>
        <w:rPr>
          <w:rFonts w:ascii="Arial" w:hAnsi="Arial" w:cs="Arial"/>
          <w:sz w:val="20"/>
          <w:lang w:val="es-ES"/>
        </w:rPr>
      </w:pPr>
    </w:p>
    <w:p w14:paraId="331C0468" w14:textId="77777777" w:rsidR="00A9135D" w:rsidRPr="00C84814" w:rsidRDefault="00A9135D" w:rsidP="00A9135D">
      <w:pPr>
        <w:numPr>
          <w:ilvl w:val="0"/>
          <w:numId w:val="59"/>
        </w:numPr>
        <w:suppressAutoHyphens/>
        <w:spacing w:line="100" w:lineRule="atLeast"/>
        <w:jc w:val="both"/>
        <w:rPr>
          <w:rFonts w:ascii="Arial" w:hAnsi="Arial" w:cs="Arial"/>
          <w:sz w:val="20"/>
          <w:lang w:val="es-ES"/>
        </w:rPr>
      </w:pPr>
      <w:r w:rsidRPr="00C84814">
        <w:rPr>
          <w:rFonts w:ascii="Arial" w:hAnsi="Arial" w:cs="Arial"/>
          <w:sz w:val="20"/>
          <w:lang w:val="es-ES"/>
        </w:rPr>
        <w:t>Adhirió al “Código de Ética” elaborado por Grupo Supervielle, donde se establecen los valores esenciales que distinguen a la Entidad y que guían su accionar diario con clientes, proveedores y empleados en un marco de responsabilidad, respeto, dignidad, transparencia y honestidad.</w:t>
      </w:r>
    </w:p>
    <w:p w14:paraId="54E1CFEA" w14:textId="77777777" w:rsidR="00A9135D" w:rsidRPr="00C84814" w:rsidRDefault="00A9135D" w:rsidP="00A9135D">
      <w:pPr>
        <w:ind w:left="426"/>
        <w:jc w:val="both"/>
        <w:rPr>
          <w:rFonts w:ascii="Arial" w:hAnsi="Arial" w:cs="Arial"/>
          <w:sz w:val="20"/>
          <w:lang w:val="es-ES"/>
        </w:rPr>
      </w:pPr>
    </w:p>
    <w:p w14:paraId="75F21E71" w14:textId="77777777" w:rsidR="00A9135D" w:rsidRPr="00C84814" w:rsidRDefault="00A9135D" w:rsidP="00A9135D">
      <w:pPr>
        <w:numPr>
          <w:ilvl w:val="0"/>
          <w:numId w:val="59"/>
        </w:numPr>
        <w:suppressAutoHyphens/>
        <w:spacing w:line="100" w:lineRule="atLeast"/>
        <w:jc w:val="both"/>
        <w:rPr>
          <w:rFonts w:ascii="Arial" w:hAnsi="Arial" w:cs="Arial"/>
          <w:sz w:val="20"/>
          <w:lang w:val="es-ES"/>
        </w:rPr>
      </w:pPr>
      <w:r w:rsidRPr="00C84814">
        <w:rPr>
          <w:rFonts w:ascii="Arial" w:hAnsi="Arial" w:cs="Arial"/>
          <w:sz w:val="20"/>
          <w:lang w:val="es-ES"/>
        </w:rPr>
        <w:t>Habilitó la “Línea Ética“ por la cual los empleados y proveedores pueden comunicarse de manera anónima (por teléfono o a través de internet) y describir cualquier comportamiento indebido o contrario al Código de Ética que se observe dentro de Banco Supervielle S.A</w:t>
      </w:r>
    </w:p>
    <w:p w14:paraId="6486DE78" w14:textId="77777777" w:rsidR="00A9135D" w:rsidRPr="00C84814" w:rsidRDefault="00A9135D" w:rsidP="00A9135D">
      <w:pPr>
        <w:ind w:left="426"/>
        <w:rPr>
          <w:rFonts w:ascii="Arial" w:hAnsi="Arial" w:cs="Arial"/>
          <w:sz w:val="20"/>
          <w:lang w:val="es-ES"/>
        </w:rPr>
      </w:pPr>
    </w:p>
    <w:p w14:paraId="25118088" w14:textId="77777777" w:rsidR="00A9135D" w:rsidRPr="00C84814" w:rsidRDefault="00A9135D" w:rsidP="00A9135D">
      <w:pPr>
        <w:numPr>
          <w:ilvl w:val="0"/>
          <w:numId w:val="59"/>
        </w:numPr>
        <w:suppressAutoHyphens/>
        <w:spacing w:line="100" w:lineRule="atLeast"/>
        <w:jc w:val="both"/>
        <w:rPr>
          <w:rFonts w:ascii="Arial" w:hAnsi="Arial" w:cs="Arial"/>
          <w:sz w:val="20"/>
          <w:lang w:val="es-ES"/>
        </w:rPr>
      </w:pPr>
      <w:r w:rsidRPr="00C84814">
        <w:rPr>
          <w:rFonts w:ascii="Arial" w:hAnsi="Arial" w:cs="Arial"/>
          <w:sz w:val="20"/>
          <w:lang w:val="es-ES"/>
        </w:rPr>
        <w:t>Adhirió al “Código de Prácticas Bancarias“, documento elaborado en conjunto por las distintas Asociaciones de Bancos (ADEBA, ABA, ABE Y ABAPPRA) y Entidades Financieras de la República Argentina con la finalidad de promover las mejores prácticas bancarias en protección del consumidor de productos y servicios financieros fomentando el principio de transparencia de la información</w:t>
      </w:r>
    </w:p>
    <w:p w14:paraId="2B7C9A34" w14:textId="77777777" w:rsidR="00A9135D" w:rsidRPr="00C84814" w:rsidRDefault="00A9135D" w:rsidP="00A9135D">
      <w:pPr>
        <w:ind w:left="426"/>
        <w:rPr>
          <w:rFonts w:ascii="Arial" w:hAnsi="Arial" w:cs="Arial"/>
          <w:sz w:val="20"/>
          <w:lang w:val="es-ES"/>
        </w:rPr>
      </w:pPr>
    </w:p>
    <w:p w14:paraId="66348A97" w14:textId="77777777" w:rsidR="00A9135D" w:rsidRPr="00C84814" w:rsidRDefault="00A9135D" w:rsidP="00A9135D">
      <w:pPr>
        <w:jc w:val="both"/>
        <w:rPr>
          <w:rFonts w:ascii="Arial" w:hAnsi="Arial" w:cs="Arial"/>
          <w:sz w:val="20"/>
          <w:lang w:val="es-ES"/>
        </w:rPr>
      </w:pPr>
      <w:r w:rsidRPr="00C84814">
        <w:rPr>
          <w:rFonts w:ascii="Arial" w:hAnsi="Arial" w:cs="Arial"/>
          <w:sz w:val="20"/>
          <w:lang w:val="es-ES"/>
        </w:rPr>
        <w:t>Estas acciones denotan el empeño de la Entidad en reforzar que la actividad de sus empleados, gerentes y directores se lleve a cabo dentro de un marco de principios éticos, normativos y en un ambiente de control interno y mitigación de riesgos, todo ello como evidencia de la responsabilidad de la entidad con la comunidad en general.</w:t>
      </w:r>
    </w:p>
    <w:p w14:paraId="08B5AA8F" w14:textId="77777777" w:rsidR="00A9135D" w:rsidRPr="00C84814" w:rsidRDefault="00A9135D" w:rsidP="00A9135D">
      <w:pPr>
        <w:tabs>
          <w:tab w:val="left" w:pos="142"/>
          <w:tab w:val="left" w:pos="426"/>
        </w:tabs>
        <w:jc w:val="both"/>
        <w:rPr>
          <w:rFonts w:ascii="Arial" w:hAnsi="Arial" w:cs="Arial"/>
          <w:sz w:val="20"/>
          <w:lang w:val="es-ES"/>
        </w:rPr>
      </w:pPr>
    </w:p>
    <w:p w14:paraId="3C5CF269" w14:textId="2A04C576" w:rsidR="00A9135D" w:rsidRPr="00C84814" w:rsidRDefault="00CC42D2" w:rsidP="00CC42D2">
      <w:pPr>
        <w:tabs>
          <w:tab w:val="left" w:pos="142"/>
        </w:tabs>
        <w:spacing w:after="200" w:line="276" w:lineRule="auto"/>
        <w:contextualSpacing/>
        <w:jc w:val="both"/>
        <w:rPr>
          <w:rFonts w:ascii="Arial" w:hAnsi="Arial" w:cs="Arial"/>
          <w:b/>
          <w:sz w:val="20"/>
          <w:lang w:val="es-ES" w:eastAsia="es-AR"/>
        </w:rPr>
      </w:pPr>
      <w:r>
        <w:rPr>
          <w:rFonts w:ascii="Arial" w:hAnsi="Arial" w:cs="Arial"/>
          <w:b/>
          <w:sz w:val="20"/>
          <w:lang w:val="es-ES" w:eastAsia="es-AR"/>
        </w:rPr>
        <w:t>14</w:t>
      </w:r>
      <w:r w:rsidR="00A9135D">
        <w:rPr>
          <w:rFonts w:ascii="Arial" w:hAnsi="Arial" w:cs="Arial"/>
          <w:b/>
          <w:sz w:val="20"/>
          <w:lang w:val="es-ES" w:eastAsia="es-AR"/>
        </w:rPr>
        <w:t>.10.5.</w:t>
      </w:r>
      <w:r w:rsidR="00A9135D" w:rsidRPr="00C84814">
        <w:rPr>
          <w:rFonts w:ascii="Arial" w:hAnsi="Arial" w:cs="Arial"/>
          <w:b/>
          <w:sz w:val="20"/>
          <w:lang w:val="es-ES" w:eastAsia="es-AR"/>
        </w:rPr>
        <w:t xml:space="preserve">  Rol de Agente Financiero del Sector Público no Financiero</w:t>
      </w:r>
    </w:p>
    <w:p w14:paraId="54CC8467" w14:textId="77777777" w:rsidR="00A9135D" w:rsidRPr="00C84814" w:rsidRDefault="00A9135D" w:rsidP="00A9135D">
      <w:pPr>
        <w:tabs>
          <w:tab w:val="left" w:pos="142"/>
        </w:tabs>
        <w:spacing w:after="200" w:line="276" w:lineRule="auto"/>
        <w:ind w:left="708"/>
        <w:contextualSpacing/>
        <w:jc w:val="both"/>
        <w:rPr>
          <w:rFonts w:ascii="Arial" w:hAnsi="Arial" w:cs="Arial"/>
          <w:b/>
          <w:sz w:val="20"/>
          <w:lang w:val="es-ES" w:eastAsia="es-AR"/>
        </w:rPr>
      </w:pPr>
    </w:p>
    <w:p w14:paraId="0B650C42" w14:textId="77777777" w:rsidR="00EC729F" w:rsidRPr="0011610F" w:rsidRDefault="00EC729F" w:rsidP="00EC729F">
      <w:pPr>
        <w:tabs>
          <w:tab w:val="left" w:pos="142"/>
        </w:tabs>
        <w:spacing w:after="200" w:line="276" w:lineRule="auto"/>
        <w:contextualSpacing/>
        <w:jc w:val="both"/>
        <w:rPr>
          <w:rFonts w:ascii="Arial" w:hAnsi="Arial" w:cs="Arial"/>
          <w:sz w:val="20"/>
          <w:lang w:val="es-ES" w:eastAsia="es-AR"/>
        </w:rPr>
      </w:pPr>
      <w:r w:rsidRPr="0011610F">
        <w:rPr>
          <w:rFonts w:ascii="Arial" w:hAnsi="Arial" w:cs="Arial"/>
          <w:sz w:val="20"/>
          <w:lang w:val="es-ES" w:eastAsia="es-AR"/>
        </w:rPr>
        <w:t>La actuación y trayectoria de la Entidad en su rol de Agente Financiero del Sector Público puede resumirse de la siguiente manera:</w:t>
      </w:r>
    </w:p>
    <w:p w14:paraId="3E93E691" w14:textId="77777777" w:rsidR="00EC729F" w:rsidRPr="0011610F" w:rsidRDefault="00EC729F" w:rsidP="00EC729F">
      <w:pPr>
        <w:numPr>
          <w:ilvl w:val="0"/>
          <w:numId w:val="73"/>
        </w:numPr>
        <w:tabs>
          <w:tab w:val="left" w:pos="142"/>
        </w:tabs>
        <w:spacing w:after="200" w:line="276" w:lineRule="auto"/>
        <w:contextualSpacing/>
        <w:jc w:val="both"/>
        <w:rPr>
          <w:rFonts w:ascii="Arial" w:hAnsi="Arial" w:cs="Arial"/>
          <w:sz w:val="20"/>
          <w:lang w:val="es-ES"/>
        </w:rPr>
      </w:pPr>
      <w:r w:rsidRPr="0011610F">
        <w:rPr>
          <w:rFonts w:ascii="Arial" w:hAnsi="Arial" w:cs="Arial"/>
          <w:sz w:val="20"/>
          <w:lang w:val="es-ES"/>
        </w:rPr>
        <w:t>Agente Financiero de la Provincia de San Luis desde del mes de Julio de 1996. (</w:t>
      </w:r>
      <w:r>
        <w:rPr>
          <w:rFonts w:ascii="Arial" w:hAnsi="Arial" w:cs="Arial"/>
          <w:sz w:val="20"/>
          <w:lang w:val="es-ES"/>
        </w:rPr>
        <w:t>Ve</w:t>
      </w:r>
      <w:r w:rsidRPr="0011610F">
        <w:rPr>
          <w:rFonts w:ascii="Arial" w:hAnsi="Arial" w:cs="Arial"/>
          <w:sz w:val="20"/>
          <w:lang w:val="es-ES"/>
        </w:rPr>
        <w:t xml:space="preserve">r </w:t>
      </w:r>
      <w:r>
        <w:rPr>
          <w:rFonts w:ascii="Arial" w:hAnsi="Arial" w:cs="Arial"/>
          <w:sz w:val="20"/>
          <w:lang w:val="es-ES"/>
        </w:rPr>
        <w:t>N</w:t>
      </w:r>
      <w:r w:rsidRPr="0011610F">
        <w:rPr>
          <w:rFonts w:ascii="Arial" w:hAnsi="Arial" w:cs="Arial"/>
          <w:sz w:val="20"/>
          <w:lang w:val="es-ES"/>
        </w:rPr>
        <w:t xml:space="preserve">ota </w:t>
      </w:r>
      <w:r>
        <w:rPr>
          <w:rFonts w:ascii="Arial" w:hAnsi="Arial" w:cs="Arial"/>
          <w:sz w:val="20"/>
          <w:lang w:val="es-ES"/>
        </w:rPr>
        <w:t>16 siguiente</w:t>
      </w:r>
      <w:r w:rsidRPr="0011610F">
        <w:rPr>
          <w:rFonts w:ascii="Arial" w:hAnsi="Arial" w:cs="Arial"/>
          <w:sz w:val="20"/>
          <w:lang w:val="es-ES"/>
        </w:rPr>
        <w:t>)</w:t>
      </w:r>
      <w:r w:rsidRPr="0011610F">
        <w:rPr>
          <w:rFonts w:ascii="Arial" w:hAnsi="Arial" w:cs="Arial"/>
          <w:sz w:val="20"/>
          <w:lang w:val="es-ES"/>
        </w:rPr>
        <w:tab/>
      </w:r>
    </w:p>
    <w:p w14:paraId="4B01110E" w14:textId="599B7298" w:rsidR="00EC729F" w:rsidRDefault="00EC729F" w:rsidP="00EC729F">
      <w:pPr>
        <w:numPr>
          <w:ilvl w:val="0"/>
          <w:numId w:val="73"/>
        </w:numPr>
        <w:tabs>
          <w:tab w:val="left" w:pos="142"/>
        </w:tabs>
        <w:spacing w:after="200" w:line="276" w:lineRule="auto"/>
        <w:contextualSpacing/>
        <w:jc w:val="both"/>
        <w:rPr>
          <w:rFonts w:ascii="Arial" w:hAnsi="Arial" w:cs="Arial"/>
          <w:sz w:val="20"/>
          <w:lang w:val="es-ES"/>
        </w:rPr>
      </w:pPr>
      <w:r w:rsidRPr="0011610F">
        <w:rPr>
          <w:rFonts w:ascii="Arial" w:hAnsi="Arial" w:cs="Arial"/>
          <w:sz w:val="20"/>
          <w:lang w:val="es-ES"/>
        </w:rPr>
        <w:t xml:space="preserve">Agente Financiero de la Municipalidad de la Ciudad de Godoy Cruz desde el mes de </w:t>
      </w:r>
      <w:r w:rsidR="008D5E79">
        <w:rPr>
          <w:rFonts w:ascii="Arial" w:hAnsi="Arial" w:cs="Arial"/>
          <w:sz w:val="20"/>
          <w:lang w:val="es-ES"/>
        </w:rPr>
        <w:t>abril</w:t>
      </w:r>
      <w:r w:rsidRPr="0011610F">
        <w:rPr>
          <w:rFonts w:ascii="Arial" w:hAnsi="Arial" w:cs="Arial"/>
          <w:sz w:val="20"/>
          <w:lang w:val="es-ES"/>
        </w:rPr>
        <w:t xml:space="preserve"> del 2009.</w:t>
      </w:r>
    </w:p>
    <w:p w14:paraId="02F831C3" w14:textId="3B881FD0" w:rsidR="00EC729F" w:rsidRPr="0011610F" w:rsidRDefault="00EC729F" w:rsidP="00EC729F">
      <w:pPr>
        <w:numPr>
          <w:ilvl w:val="0"/>
          <w:numId w:val="73"/>
        </w:numPr>
        <w:tabs>
          <w:tab w:val="left" w:pos="142"/>
        </w:tabs>
        <w:spacing w:after="200" w:line="276" w:lineRule="auto"/>
        <w:contextualSpacing/>
        <w:jc w:val="both"/>
        <w:rPr>
          <w:rFonts w:ascii="Arial" w:hAnsi="Arial" w:cs="Arial"/>
          <w:sz w:val="20"/>
          <w:lang w:val="es-ES"/>
        </w:rPr>
      </w:pPr>
      <w:r w:rsidRPr="0011610F">
        <w:rPr>
          <w:rFonts w:ascii="Arial" w:hAnsi="Arial" w:cs="Arial"/>
          <w:sz w:val="20"/>
          <w:lang w:val="es-ES"/>
        </w:rPr>
        <w:t xml:space="preserve">Agente Financiero de la Municipalidad de la Ciudad de Mendoza desde el mes de </w:t>
      </w:r>
      <w:r w:rsidR="008D5E79" w:rsidRPr="0011610F">
        <w:rPr>
          <w:rFonts w:ascii="Arial" w:hAnsi="Arial" w:cs="Arial"/>
          <w:sz w:val="20"/>
          <w:lang w:val="es-ES"/>
        </w:rPr>
        <w:t>marzo</w:t>
      </w:r>
      <w:r w:rsidRPr="0011610F">
        <w:rPr>
          <w:rFonts w:ascii="Arial" w:hAnsi="Arial" w:cs="Arial"/>
          <w:sz w:val="20"/>
          <w:lang w:val="es-ES"/>
        </w:rPr>
        <w:t xml:space="preserve"> del 2010.</w:t>
      </w:r>
    </w:p>
    <w:p w14:paraId="0699B9FE" w14:textId="70394C4C" w:rsidR="00EC729F" w:rsidRPr="0011610F" w:rsidRDefault="00EC729F" w:rsidP="00EC729F">
      <w:pPr>
        <w:numPr>
          <w:ilvl w:val="0"/>
          <w:numId w:val="73"/>
        </w:numPr>
        <w:tabs>
          <w:tab w:val="left" w:pos="142"/>
        </w:tabs>
        <w:spacing w:after="200" w:line="276" w:lineRule="auto"/>
        <w:contextualSpacing/>
        <w:jc w:val="both"/>
        <w:rPr>
          <w:rFonts w:ascii="Arial" w:hAnsi="Arial" w:cs="Arial"/>
          <w:sz w:val="20"/>
          <w:lang w:val="es-ES"/>
        </w:rPr>
      </w:pPr>
      <w:r w:rsidRPr="0011610F">
        <w:rPr>
          <w:rFonts w:ascii="Arial" w:hAnsi="Arial" w:cs="Arial"/>
          <w:sz w:val="20"/>
          <w:lang w:val="es-ES"/>
        </w:rPr>
        <w:t xml:space="preserve">Agente Financiero de la Municipalidad de la Ciudad de San Martín, Provincia de Mendoza desde el mes de </w:t>
      </w:r>
      <w:r w:rsidR="008D5E79" w:rsidRPr="0011610F">
        <w:rPr>
          <w:rFonts w:ascii="Arial" w:hAnsi="Arial" w:cs="Arial"/>
          <w:sz w:val="20"/>
          <w:lang w:val="es-ES"/>
        </w:rPr>
        <w:t>marzo</w:t>
      </w:r>
      <w:r w:rsidRPr="0011610F">
        <w:rPr>
          <w:rFonts w:ascii="Arial" w:hAnsi="Arial" w:cs="Arial"/>
          <w:sz w:val="20"/>
          <w:lang w:val="es-ES"/>
        </w:rPr>
        <w:t xml:space="preserve"> del 2010.</w:t>
      </w:r>
    </w:p>
    <w:p w14:paraId="528108EF" w14:textId="77777777" w:rsidR="00EC729F" w:rsidRDefault="00EC729F" w:rsidP="00EC729F">
      <w:pPr>
        <w:numPr>
          <w:ilvl w:val="0"/>
          <w:numId w:val="73"/>
        </w:numPr>
        <w:tabs>
          <w:tab w:val="left" w:pos="142"/>
        </w:tabs>
        <w:spacing w:after="200" w:line="276" w:lineRule="auto"/>
        <w:contextualSpacing/>
        <w:jc w:val="both"/>
        <w:rPr>
          <w:rFonts w:ascii="Arial" w:hAnsi="Arial" w:cs="Arial"/>
          <w:sz w:val="20"/>
          <w:lang w:val="es-ES"/>
        </w:rPr>
      </w:pPr>
      <w:r w:rsidRPr="0011610F">
        <w:rPr>
          <w:rFonts w:ascii="Arial" w:hAnsi="Arial" w:cs="Arial"/>
          <w:sz w:val="20"/>
          <w:lang w:val="es-ES"/>
        </w:rPr>
        <w:t>Agente Financiero de la Municipalidad de Luján de Cuyo, Provincia de Mendoza desde el mes de marzo de 2015.</w:t>
      </w:r>
    </w:p>
    <w:p w14:paraId="3B40AA7B" w14:textId="77777777" w:rsidR="00EC729F" w:rsidRDefault="00EC729F" w:rsidP="00EC729F">
      <w:pPr>
        <w:numPr>
          <w:ilvl w:val="0"/>
          <w:numId w:val="73"/>
        </w:numPr>
        <w:tabs>
          <w:tab w:val="left" w:pos="142"/>
        </w:tabs>
        <w:spacing w:after="200" w:line="276" w:lineRule="auto"/>
        <w:contextualSpacing/>
        <w:jc w:val="both"/>
        <w:rPr>
          <w:rFonts w:ascii="Arial" w:hAnsi="Arial" w:cs="Arial"/>
          <w:sz w:val="20"/>
          <w:lang w:val="es-ES"/>
        </w:rPr>
      </w:pPr>
      <w:r w:rsidRPr="00E04FC6">
        <w:rPr>
          <w:rFonts w:ascii="Arial" w:hAnsi="Arial" w:cs="Arial"/>
          <w:sz w:val="20"/>
          <w:lang w:val="es-ES"/>
        </w:rPr>
        <w:t>Agente Financiero de la Universidad de la Matanza, Provincia de Buenos Aires desde el mes de marzo de 2017</w:t>
      </w:r>
    </w:p>
    <w:p w14:paraId="3AD9104B" w14:textId="0BF63E65" w:rsidR="00EC729F" w:rsidRPr="00EC729F" w:rsidRDefault="00EC729F" w:rsidP="00EC729F">
      <w:pPr>
        <w:numPr>
          <w:ilvl w:val="0"/>
          <w:numId w:val="73"/>
        </w:numPr>
        <w:tabs>
          <w:tab w:val="left" w:pos="142"/>
        </w:tabs>
        <w:spacing w:after="200" w:line="276" w:lineRule="auto"/>
        <w:contextualSpacing/>
        <w:jc w:val="both"/>
      </w:pPr>
      <w:r w:rsidRPr="00E04FC6">
        <w:rPr>
          <w:rFonts w:ascii="Arial" w:hAnsi="Arial" w:cs="Arial"/>
          <w:sz w:val="20"/>
          <w:lang w:val="es-ES"/>
        </w:rPr>
        <w:t>Agente Financiero de la Municipalidad de Las Heras, Provincia de Mendoza desde el mes de abril de 2017.</w:t>
      </w:r>
    </w:p>
    <w:p w14:paraId="6EA8D7FA" w14:textId="3452DE65" w:rsidR="00A9135D" w:rsidRPr="00EC729F" w:rsidRDefault="00EC729F" w:rsidP="00EC729F">
      <w:pPr>
        <w:numPr>
          <w:ilvl w:val="0"/>
          <w:numId w:val="73"/>
        </w:numPr>
        <w:tabs>
          <w:tab w:val="left" w:pos="142"/>
        </w:tabs>
        <w:spacing w:after="200" w:line="276" w:lineRule="auto"/>
        <w:contextualSpacing/>
        <w:jc w:val="both"/>
      </w:pPr>
      <w:r w:rsidRPr="00EC729F">
        <w:rPr>
          <w:rFonts w:ascii="Arial" w:hAnsi="Arial" w:cs="Arial"/>
          <w:sz w:val="20"/>
          <w:lang w:val="es-ES"/>
        </w:rPr>
        <w:t>Agente Financiero de la Municipalidad de La ciudad de San Luis, Provincia de San Luis desde el mes de mayo de 2018.</w:t>
      </w:r>
    </w:p>
    <w:p w14:paraId="5E7292C5" w14:textId="77777777" w:rsidR="00A9135D" w:rsidRPr="005C0E2C" w:rsidRDefault="00A9135D" w:rsidP="00A9135D">
      <w:pPr>
        <w:tabs>
          <w:tab w:val="left" w:pos="142"/>
        </w:tabs>
        <w:spacing w:after="200" w:line="276" w:lineRule="auto"/>
        <w:ind w:left="1428"/>
        <w:contextualSpacing/>
        <w:jc w:val="both"/>
        <w:rPr>
          <w:rFonts w:ascii="Arial" w:hAnsi="Arial" w:cs="Arial"/>
          <w:sz w:val="20"/>
          <w:lang w:val="es-ES"/>
        </w:rPr>
      </w:pPr>
    </w:p>
    <w:p w14:paraId="6C7580A1" w14:textId="757D0D00" w:rsidR="00A9135D" w:rsidRPr="00C84814" w:rsidRDefault="00CC42D2" w:rsidP="00CC42D2">
      <w:pPr>
        <w:tabs>
          <w:tab w:val="left" w:pos="142"/>
        </w:tabs>
        <w:jc w:val="both"/>
        <w:rPr>
          <w:rFonts w:ascii="Arial" w:hAnsi="Arial" w:cs="Arial"/>
          <w:b/>
          <w:sz w:val="20"/>
          <w:lang w:val="es-ES"/>
        </w:rPr>
      </w:pPr>
      <w:r>
        <w:rPr>
          <w:rFonts w:ascii="Arial" w:hAnsi="Arial" w:cs="Arial"/>
          <w:b/>
          <w:sz w:val="20"/>
          <w:lang w:val="es-ES"/>
        </w:rPr>
        <w:t>14</w:t>
      </w:r>
      <w:r w:rsidR="00A9135D">
        <w:rPr>
          <w:rFonts w:ascii="Arial" w:hAnsi="Arial" w:cs="Arial"/>
          <w:b/>
          <w:sz w:val="20"/>
          <w:lang w:val="es-ES"/>
        </w:rPr>
        <w:t>.10.6.</w:t>
      </w:r>
      <w:r w:rsidR="00A9135D" w:rsidRPr="00C84814">
        <w:rPr>
          <w:rFonts w:ascii="Arial" w:hAnsi="Arial" w:cs="Arial"/>
          <w:b/>
          <w:sz w:val="20"/>
          <w:lang w:val="es-ES"/>
        </w:rPr>
        <w:t xml:space="preserve">  Políticas relativas al conflicto de intereses, naturaleza y extensión de las operaciones con subsidiarias y vinculadas, incluyendo los asuntos relacionados con la entidad en los cuales tengan intereses directos, indirectos o en nombre del Directorio y de la Alta Gerencia</w:t>
      </w:r>
    </w:p>
    <w:p w14:paraId="72D4A45C" w14:textId="77777777" w:rsidR="00A9135D" w:rsidRPr="00C84814" w:rsidRDefault="00A9135D" w:rsidP="00A9135D">
      <w:pPr>
        <w:rPr>
          <w:rFonts w:ascii="Arial" w:hAnsi="Arial" w:cs="Arial"/>
          <w:sz w:val="20"/>
          <w:lang w:val="es-ES"/>
        </w:rPr>
      </w:pPr>
    </w:p>
    <w:p w14:paraId="62B251A2" w14:textId="4E67BAF4" w:rsidR="00A9135D" w:rsidRPr="00C84814" w:rsidRDefault="00A9135D" w:rsidP="00A9135D">
      <w:pPr>
        <w:rPr>
          <w:rFonts w:ascii="Arial" w:hAnsi="Arial" w:cs="Arial"/>
          <w:sz w:val="20"/>
          <w:lang w:val="es-ES"/>
        </w:rPr>
      </w:pPr>
      <w:r w:rsidRPr="00C84814">
        <w:rPr>
          <w:rFonts w:ascii="Arial" w:hAnsi="Arial" w:cs="Arial"/>
          <w:sz w:val="20"/>
          <w:lang w:val="es-ES"/>
        </w:rPr>
        <w:t xml:space="preserve">Ver últimos párrafos de la Nota </w:t>
      </w:r>
      <w:r>
        <w:rPr>
          <w:rFonts w:ascii="Arial" w:hAnsi="Arial" w:cs="Arial"/>
          <w:sz w:val="20"/>
          <w:lang w:val="es-ES"/>
        </w:rPr>
        <w:t>1</w:t>
      </w:r>
      <w:r w:rsidR="00C95611">
        <w:rPr>
          <w:rFonts w:ascii="Arial" w:hAnsi="Arial" w:cs="Arial"/>
          <w:sz w:val="20"/>
          <w:lang w:val="es-ES"/>
        </w:rPr>
        <w:t>4</w:t>
      </w:r>
      <w:r>
        <w:rPr>
          <w:rFonts w:ascii="Arial" w:hAnsi="Arial" w:cs="Arial"/>
          <w:sz w:val="20"/>
          <w:lang w:val="es-ES"/>
        </w:rPr>
        <w:t>.10</w:t>
      </w:r>
      <w:r w:rsidRPr="00C84814">
        <w:rPr>
          <w:rFonts w:ascii="Arial" w:hAnsi="Arial" w:cs="Arial"/>
          <w:sz w:val="20"/>
          <w:lang w:val="es-ES"/>
        </w:rPr>
        <w:t xml:space="preserve">.1.1. </w:t>
      </w:r>
      <w:r>
        <w:rPr>
          <w:rFonts w:ascii="Arial" w:hAnsi="Arial" w:cs="Arial"/>
          <w:sz w:val="20"/>
          <w:lang w:val="es-ES"/>
        </w:rPr>
        <w:t>precedente</w:t>
      </w:r>
      <w:r w:rsidRPr="00C84814">
        <w:rPr>
          <w:rFonts w:ascii="Arial" w:hAnsi="Arial" w:cs="Arial"/>
          <w:sz w:val="20"/>
          <w:lang w:val="es-ES"/>
        </w:rPr>
        <w:t>.</w:t>
      </w:r>
    </w:p>
    <w:p w14:paraId="6DF2A990" w14:textId="77777777" w:rsidR="00A9135D" w:rsidRPr="00C84814" w:rsidRDefault="00A9135D" w:rsidP="00A9135D">
      <w:pPr>
        <w:ind w:left="708"/>
        <w:rPr>
          <w:rFonts w:ascii="Arial" w:hAnsi="Arial" w:cs="Arial"/>
          <w:b/>
          <w:sz w:val="20"/>
          <w:lang w:val="es-ES"/>
        </w:rPr>
      </w:pPr>
    </w:p>
    <w:p w14:paraId="115FE0DE" w14:textId="078C383C" w:rsidR="00A9135D" w:rsidRPr="00C84814" w:rsidRDefault="00A9135D" w:rsidP="00CC42D2">
      <w:pPr>
        <w:rPr>
          <w:rFonts w:ascii="Arial" w:hAnsi="Arial" w:cs="Arial"/>
          <w:b/>
          <w:sz w:val="20"/>
          <w:lang w:val="es-ES"/>
        </w:rPr>
      </w:pPr>
      <w:r>
        <w:rPr>
          <w:rFonts w:ascii="Arial" w:hAnsi="Arial" w:cs="Arial"/>
          <w:b/>
          <w:sz w:val="20"/>
          <w:lang w:val="es-ES"/>
        </w:rPr>
        <w:t>1</w:t>
      </w:r>
      <w:r w:rsidR="00CC42D2">
        <w:rPr>
          <w:rFonts w:ascii="Arial" w:hAnsi="Arial" w:cs="Arial"/>
          <w:b/>
          <w:sz w:val="20"/>
          <w:lang w:val="es-ES"/>
        </w:rPr>
        <w:t>4</w:t>
      </w:r>
      <w:r>
        <w:rPr>
          <w:rFonts w:ascii="Arial" w:hAnsi="Arial" w:cs="Arial"/>
          <w:b/>
          <w:sz w:val="20"/>
          <w:lang w:val="es-ES"/>
        </w:rPr>
        <w:t>.10.7.</w:t>
      </w:r>
      <w:r w:rsidRPr="00C84814">
        <w:rPr>
          <w:rFonts w:ascii="Arial" w:hAnsi="Arial" w:cs="Arial"/>
          <w:b/>
          <w:sz w:val="20"/>
          <w:lang w:val="es-ES"/>
        </w:rPr>
        <w:t xml:space="preserve">  Utilización de estructuras complejas</w:t>
      </w:r>
    </w:p>
    <w:p w14:paraId="26425953" w14:textId="77777777" w:rsidR="00A9135D" w:rsidRPr="00C84814" w:rsidRDefault="00A9135D" w:rsidP="00A9135D">
      <w:pPr>
        <w:ind w:left="708"/>
        <w:rPr>
          <w:rFonts w:ascii="Arial" w:hAnsi="Arial" w:cs="Arial"/>
          <w:b/>
          <w:sz w:val="20"/>
          <w:lang w:val="es-ES"/>
        </w:rPr>
      </w:pPr>
    </w:p>
    <w:p w14:paraId="3AEC1DB1" w14:textId="073289DA" w:rsidR="00BE0F28" w:rsidRDefault="00A9135D" w:rsidP="00A9135D">
      <w:pPr>
        <w:jc w:val="both"/>
        <w:rPr>
          <w:rFonts w:ascii="Arial" w:eastAsia="Calibri" w:hAnsi="Arial" w:cs="Arial"/>
          <w:sz w:val="20"/>
          <w:lang w:val="es-ES"/>
        </w:rPr>
      </w:pPr>
      <w:r w:rsidRPr="0011610F">
        <w:rPr>
          <w:rFonts w:ascii="Arial" w:eastAsia="Calibri" w:hAnsi="Arial" w:cs="Arial"/>
          <w:sz w:val="20"/>
        </w:rPr>
        <w:t>En el marco de la política de riesgo financiero que procura minimizar el descalce de plazos, la Entidad ha utilizado como herramienta la emisión de fideicomisos financieros de cartera propi</w:t>
      </w:r>
      <w:r>
        <w:rPr>
          <w:rFonts w:ascii="Arial" w:eastAsia="Calibri" w:hAnsi="Arial" w:cs="Arial"/>
          <w:sz w:val="20"/>
        </w:rPr>
        <w:t>a.  Desde 2003 hasta el año 201</w:t>
      </w:r>
      <w:r w:rsidR="00BE0F28">
        <w:rPr>
          <w:rFonts w:ascii="Arial" w:eastAsia="Calibri" w:hAnsi="Arial" w:cs="Arial"/>
          <w:sz w:val="20"/>
        </w:rPr>
        <w:t>9</w:t>
      </w:r>
      <w:r w:rsidRPr="0011610F">
        <w:rPr>
          <w:rFonts w:ascii="Arial" w:eastAsia="Calibri" w:hAnsi="Arial" w:cs="Arial"/>
          <w:sz w:val="20"/>
        </w:rPr>
        <w:t xml:space="preserve">, la Entidad </w:t>
      </w:r>
      <w:r>
        <w:rPr>
          <w:rFonts w:ascii="Arial" w:eastAsia="Calibri" w:hAnsi="Arial" w:cs="Arial"/>
          <w:sz w:val="20"/>
          <w:lang w:val="es-ES"/>
        </w:rPr>
        <w:t>emitió 15.526</w:t>
      </w:r>
      <w:r w:rsidRPr="0011610F">
        <w:rPr>
          <w:rFonts w:ascii="Arial" w:eastAsia="Calibri" w:hAnsi="Arial" w:cs="Arial"/>
          <w:sz w:val="20"/>
          <w:lang w:val="es-ES"/>
        </w:rPr>
        <w:t xml:space="preserve">.848 </w:t>
      </w:r>
      <w:r w:rsidRPr="0011610F">
        <w:rPr>
          <w:rFonts w:ascii="Arial" w:eastAsia="Calibri" w:hAnsi="Arial" w:cs="Arial"/>
          <w:sz w:val="20"/>
        </w:rPr>
        <w:t>en fideicomisos</w:t>
      </w:r>
      <w:r w:rsidRPr="0011610F">
        <w:rPr>
          <w:rFonts w:ascii="Arial" w:eastAsia="Calibri" w:hAnsi="Arial" w:cs="Arial"/>
          <w:sz w:val="20"/>
          <w:lang w:val="es-ES"/>
        </w:rPr>
        <w:t xml:space="preserve"> financi</w:t>
      </w:r>
      <w:r>
        <w:rPr>
          <w:rFonts w:ascii="Arial" w:eastAsia="Calibri" w:hAnsi="Arial" w:cs="Arial"/>
          <w:sz w:val="20"/>
          <w:lang w:val="es-ES"/>
        </w:rPr>
        <w:t>eros de diversos activos, 13.983</w:t>
      </w:r>
      <w:r w:rsidRPr="0011610F">
        <w:rPr>
          <w:rFonts w:ascii="Arial" w:eastAsia="Calibri" w:hAnsi="Arial" w:cs="Arial"/>
          <w:sz w:val="20"/>
          <w:lang w:val="es-ES"/>
        </w:rPr>
        <w:t>.352 correspondientes a Préstamos Personales, 1.330.976 correspo</w:t>
      </w:r>
      <w:r>
        <w:rPr>
          <w:rFonts w:ascii="Arial" w:eastAsia="Calibri" w:hAnsi="Arial" w:cs="Arial"/>
          <w:sz w:val="20"/>
          <w:lang w:val="es-ES"/>
        </w:rPr>
        <w:t>ndientes a Leasing y otros por </w:t>
      </w:r>
      <w:r w:rsidRPr="0011610F">
        <w:rPr>
          <w:rFonts w:ascii="Arial" w:eastAsia="Calibri" w:hAnsi="Arial" w:cs="Arial"/>
          <w:sz w:val="20"/>
          <w:lang w:val="es-ES"/>
        </w:rPr>
        <w:t>212.520, alcanzando en todas las emisiones mencionadas un elevado nivel de calidad y performance.</w:t>
      </w:r>
      <w:r>
        <w:rPr>
          <w:rFonts w:ascii="Arial" w:eastAsia="Calibri" w:hAnsi="Arial" w:cs="Arial"/>
          <w:sz w:val="20"/>
          <w:lang w:val="es-ES"/>
        </w:rPr>
        <w:t xml:space="preserve">  A partir de 2018 la utilización de este instrumento financiero como herramienta de fondeo se realizó en forma puntual dependiendo de las condiciones del mercado.  </w:t>
      </w:r>
    </w:p>
    <w:p w14:paraId="1F41FC40" w14:textId="6130E25D" w:rsidR="00A9135D" w:rsidRDefault="00A9135D" w:rsidP="006E1AF7">
      <w:pPr>
        <w:jc w:val="both"/>
        <w:rPr>
          <w:rFonts w:ascii="Arial" w:hAnsi="Arial" w:cs="Arial"/>
          <w:b/>
          <w:color w:val="0000FF"/>
          <w:sz w:val="20"/>
        </w:rPr>
      </w:pPr>
      <w:r>
        <w:rPr>
          <w:rFonts w:ascii="Arial" w:eastAsia="Calibri" w:hAnsi="Arial" w:cs="Arial"/>
          <w:sz w:val="20"/>
          <w:lang w:val="es-ES"/>
        </w:rPr>
        <w:t xml:space="preserve">  </w:t>
      </w:r>
    </w:p>
    <w:p w14:paraId="01D5BC0B" w14:textId="77777777" w:rsidR="00B2136F" w:rsidRDefault="00B2136F">
      <w:pPr>
        <w:rPr>
          <w:rFonts w:ascii="Arial" w:hAnsi="Arial" w:cs="Arial"/>
          <w:b/>
          <w:sz w:val="20"/>
          <w:lang w:eastAsia="es-AR"/>
        </w:rPr>
      </w:pPr>
      <w:r>
        <w:rPr>
          <w:rFonts w:ascii="Arial" w:hAnsi="Arial" w:cs="Arial"/>
          <w:b/>
          <w:sz w:val="20"/>
          <w:lang w:eastAsia="es-AR"/>
        </w:rPr>
        <w:br w:type="page"/>
      </w:r>
    </w:p>
    <w:p w14:paraId="4176F778" w14:textId="5DEA5542" w:rsidR="00A9135D" w:rsidRPr="00C84814" w:rsidRDefault="00CC42D2" w:rsidP="00A9135D">
      <w:pPr>
        <w:tabs>
          <w:tab w:val="left" w:pos="142"/>
          <w:tab w:val="left" w:pos="851"/>
        </w:tabs>
        <w:spacing w:after="200" w:line="276" w:lineRule="auto"/>
        <w:contextualSpacing/>
        <w:jc w:val="both"/>
        <w:rPr>
          <w:rFonts w:ascii="Arial" w:hAnsi="Arial" w:cs="Arial"/>
          <w:b/>
          <w:sz w:val="20"/>
          <w:lang w:eastAsia="es-AR"/>
        </w:rPr>
      </w:pPr>
      <w:r>
        <w:rPr>
          <w:rFonts w:ascii="Arial" w:hAnsi="Arial" w:cs="Arial"/>
          <w:b/>
          <w:sz w:val="20"/>
          <w:lang w:eastAsia="es-AR"/>
        </w:rPr>
        <w:t>14</w:t>
      </w:r>
      <w:r w:rsidR="00A9135D">
        <w:rPr>
          <w:rFonts w:ascii="Arial" w:hAnsi="Arial" w:cs="Arial"/>
          <w:b/>
          <w:sz w:val="20"/>
          <w:lang w:eastAsia="es-AR"/>
        </w:rPr>
        <w:t xml:space="preserve">.10.8. </w:t>
      </w:r>
      <w:r w:rsidR="00A9135D" w:rsidRPr="00C84814">
        <w:rPr>
          <w:rFonts w:ascii="Arial" w:hAnsi="Arial" w:cs="Arial"/>
          <w:b/>
          <w:sz w:val="20"/>
          <w:lang w:eastAsia="es-AR"/>
        </w:rPr>
        <w:t xml:space="preserve"> Información relativa a sus prácticas de incentivos económicos al personal</w:t>
      </w:r>
    </w:p>
    <w:p w14:paraId="0C0096BB" w14:textId="77777777" w:rsidR="00A9135D" w:rsidRPr="00C84814" w:rsidRDefault="00A9135D" w:rsidP="00A9135D">
      <w:pPr>
        <w:tabs>
          <w:tab w:val="left" w:pos="142"/>
        </w:tabs>
        <w:spacing w:after="200" w:line="276" w:lineRule="auto"/>
        <w:contextualSpacing/>
        <w:jc w:val="both"/>
        <w:rPr>
          <w:rFonts w:ascii="Arial" w:hAnsi="Arial" w:cs="Arial"/>
          <w:b/>
          <w:sz w:val="20"/>
          <w:lang w:eastAsia="es-AR"/>
        </w:rPr>
      </w:pPr>
    </w:p>
    <w:p w14:paraId="63F47EFE" w14:textId="77777777" w:rsidR="0045595B" w:rsidRPr="0011610F" w:rsidRDefault="0045595B" w:rsidP="0045595B">
      <w:pPr>
        <w:tabs>
          <w:tab w:val="left" w:pos="142"/>
        </w:tabs>
        <w:spacing w:after="200"/>
        <w:contextualSpacing/>
        <w:jc w:val="both"/>
        <w:rPr>
          <w:rFonts w:ascii="Arial" w:hAnsi="Arial" w:cs="Arial"/>
          <w:sz w:val="20"/>
          <w:lang w:eastAsia="es-AR"/>
        </w:rPr>
      </w:pPr>
      <w:r>
        <w:rPr>
          <w:rFonts w:ascii="Arial" w:hAnsi="Arial" w:cs="Arial"/>
          <w:sz w:val="20"/>
          <w:lang w:eastAsia="es-AR"/>
        </w:rPr>
        <w:t>14.10</w:t>
      </w:r>
      <w:r w:rsidRPr="0011610F">
        <w:rPr>
          <w:rFonts w:ascii="Arial" w:hAnsi="Arial" w:cs="Arial"/>
          <w:sz w:val="20"/>
          <w:lang w:eastAsia="es-AR"/>
        </w:rPr>
        <w:t>.</w:t>
      </w:r>
      <w:r>
        <w:rPr>
          <w:rFonts w:ascii="Arial" w:hAnsi="Arial" w:cs="Arial"/>
          <w:sz w:val="20"/>
          <w:lang w:eastAsia="es-AR"/>
        </w:rPr>
        <w:t>8</w:t>
      </w:r>
      <w:r w:rsidRPr="0011610F">
        <w:rPr>
          <w:rFonts w:ascii="Arial" w:hAnsi="Arial" w:cs="Arial"/>
          <w:sz w:val="20"/>
          <w:lang w:eastAsia="es-AR"/>
        </w:rPr>
        <w:t>.1.  Información sobre el proceso de decisión utilizado para determinar la política de incentivos</w:t>
      </w:r>
    </w:p>
    <w:p w14:paraId="35B8CF35" w14:textId="77777777" w:rsidR="0045595B" w:rsidRPr="0011610F" w:rsidRDefault="0045595B" w:rsidP="0045595B">
      <w:pPr>
        <w:tabs>
          <w:tab w:val="left" w:pos="142"/>
        </w:tabs>
        <w:spacing w:after="200"/>
        <w:contextualSpacing/>
        <w:jc w:val="both"/>
        <w:rPr>
          <w:rFonts w:ascii="Arial" w:hAnsi="Arial" w:cs="Arial"/>
          <w:sz w:val="20"/>
          <w:lang w:eastAsia="es-AR"/>
        </w:rPr>
      </w:pPr>
    </w:p>
    <w:p w14:paraId="0DF2048A" w14:textId="2B68F336" w:rsidR="0045595B" w:rsidRPr="0011610F" w:rsidRDefault="0045595B" w:rsidP="0045595B">
      <w:pPr>
        <w:tabs>
          <w:tab w:val="left" w:pos="142"/>
        </w:tabs>
        <w:spacing w:after="200"/>
        <w:contextualSpacing/>
        <w:jc w:val="both"/>
        <w:rPr>
          <w:rFonts w:ascii="Arial" w:hAnsi="Arial" w:cs="Arial"/>
          <w:sz w:val="20"/>
          <w:lang w:eastAsia="es-AR"/>
        </w:rPr>
      </w:pPr>
      <w:r w:rsidRPr="0011610F">
        <w:rPr>
          <w:rFonts w:ascii="Arial" w:hAnsi="Arial" w:cs="Arial"/>
          <w:sz w:val="20"/>
          <w:lang w:eastAsia="es-AR"/>
        </w:rPr>
        <w:t xml:space="preserve">La Entidad cuenta con un Comité de Recursos Humanos, de acuerdo a lo establecido en el Código de Gobierno Societario. El mismo está integrado por tres </w:t>
      </w:r>
      <w:r w:rsidR="008D5E79" w:rsidRPr="0011610F">
        <w:rPr>
          <w:rFonts w:ascii="Arial" w:hAnsi="Arial" w:cs="Arial"/>
          <w:sz w:val="20"/>
          <w:lang w:eastAsia="es-AR"/>
        </w:rPr>
        <w:t>directores</w:t>
      </w:r>
      <w:r w:rsidRPr="0011610F">
        <w:rPr>
          <w:rFonts w:ascii="Arial" w:hAnsi="Arial" w:cs="Arial"/>
          <w:sz w:val="20"/>
          <w:lang w:eastAsia="es-AR"/>
        </w:rPr>
        <w:t xml:space="preserve"> y el Gerente Corporativo de Recursos Humanos. Participa del mismo en forma permanente el Gerente General, y de ser necesario, podrá contar con la asistencia técnica de los expertos en lo referido a diseño y administración de esquemas de incentivos para personal de entidades financieras, ya sean externos o internos.</w:t>
      </w:r>
    </w:p>
    <w:p w14:paraId="18A4E545" w14:textId="77777777" w:rsidR="0045595B" w:rsidRPr="0011610F" w:rsidRDefault="0045595B" w:rsidP="0045595B">
      <w:pPr>
        <w:tabs>
          <w:tab w:val="left" w:pos="142"/>
        </w:tabs>
        <w:spacing w:after="200"/>
        <w:contextualSpacing/>
        <w:jc w:val="both"/>
        <w:rPr>
          <w:rFonts w:ascii="Arial" w:hAnsi="Arial" w:cs="Arial"/>
          <w:sz w:val="20"/>
          <w:lang w:eastAsia="es-AR"/>
        </w:rPr>
      </w:pPr>
    </w:p>
    <w:p w14:paraId="08FC5851" w14:textId="77777777" w:rsidR="0045595B" w:rsidRPr="0011610F" w:rsidRDefault="0045595B" w:rsidP="0045595B">
      <w:pPr>
        <w:tabs>
          <w:tab w:val="left" w:pos="142"/>
        </w:tabs>
        <w:spacing w:after="200"/>
        <w:contextualSpacing/>
        <w:jc w:val="both"/>
        <w:rPr>
          <w:rFonts w:ascii="Arial" w:hAnsi="Arial" w:cs="Arial"/>
          <w:sz w:val="20"/>
          <w:lang w:eastAsia="es-AR"/>
        </w:rPr>
      </w:pPr>
      <w:r w:rsidRPr="0011610F">
        <w:rPr>
          <w:rFonts w:ascii="Arial" w:hAnsi="Arial" w:cs="Arial"/>
          <w:sz w:val="20"/>
          <w:lang w:eastAsia="es-AR"/>
        </w:rPr>
        <w:t>El Comité de Recursos Humanos tiene a su cargo la aprobación de los sistemas de incentivos en todas sus formas y fija además, las políticas de remuneración fija y los sistemas de evaluación de desempeño.</w:t>
      </w:r>
    </w:p>
    <w:p w14:paraId="53D4E382" w14:textId="77777777" w:rsidR="0045595B" w:rsidRPr="0011610F" w:rsidRDefault="0045595B" w:rsidP="0045595B">
      <w:pPr>
        <w:tabs>
          <w:tab w:val="left" w:pos="142"/>
        </w:tabs>
        <w:spacing w:after="200"/>
        <w:contextualSpacing/>
        <w:jc w:val="both"/>
        <w:rPr>
          <w:rFonts w:ascii="Arial" w:hAnsi="Arial" w:cs="Arial"/>
          <w:sz w:val="20"/>
          <w:lang w:eastAsia="es-AR"/>
        </w:rPr>
      </w:pPr>
    </w:p>
    <w:p w14:paraId="2928C207" w14:textId="77777777" w:rsidR="0045595B" w:rsidRDefault="0045595B" w:rsidP="0045595B">
      <w:pPr>
        <w:tabs>
          <w:tab w:val="left" w:pos="142"/>
        </w:tabs>
        <w:spacing w:after="200"/>
        <w:contextualSpacing/>
        <w:jc w:val="both"/>
        <w:rPr>
          <w:rFonts w:ascii="Arial" w:hAnsi="Arial" w:cs="Arial"/>
          <w:sz w:val="20"/>
          <w:lang w:eastAsia="es-AR"/>
        </w:rPr>
      </w:pPr>
      <w:r w:rsidRPr="0011610F">
        <w:rPr>
          <w:rFonts w:ascii="Arial" w:hAnsi="Arial" w:cs="Arial"/>
          <w:sz w:val="20"/>
          <w:lang w:eastAsia="es-AR"/>
        </w:rPr>
        <w:t>Al menos uno de los directores que integra este Comité participa en forma simultánea del Comité de Riesgos, de forma tal de velar que la política de incentivos refleje el apetito de riesgo definido por la organización.</w:t>
      </w:r>
    </w:p>
    <w:p w14:paraId="1BA84B2E" w14:textId="77777777" w:rsidR="0045595B" w:rsidRDefault="0045595B" w:rsidP="0045595B">
      <w:pPr>
        <w:tabs>
          <w:tab w:val="left" w:pos="142"/>
        </w:tabs>
        <w:spacing w:after="200"/>
        <w:contextualSpacing/>
        <w:jc w:val="both"/>
        <w:rPr>
          <w:rFonts w:ascii="Arial" w:hAnsi="Arial" w:cs="Arial"/>
          <w:sz w:val="20"/>
          <w:lang w:eastAsia="es-AR"/>
        </w:rPr>
      </w:pPr>
    </w:p>
    <w:p w14:paraId="2258E5E0" w14:textId="77777777" w:rsidR="0045595B" w:rsidRPr="0011610F" w:rsidRDefault="0045595B" w:rsidP="0045595B">
      <w:pPr>
        <w:tabs>
          <w:tab w:val="left" w:pos="142"/>
        </w:tabs>
        <w:spacing w:after="200"/>
        <w:contextualSpacing/>
        <w:jc w:val="both"/>
        <w:rPr>
          <w:rFonts w:ascii="Arial" w:hAnsi="Arial" w:cs="Arial"/>
          <w:sz w:val="20"/>
          <w:lang w:eastAsia="es-AR"/>
        </w:rPr>
      </w:pPr>
      <w:r w:rsidRPr="00DD11AE">
        <w:rPr>
          <w:rFonts w:ascii="Arial" w:hAnsi="Arial" w:cs="Arial"/>
          <w:sz w:val="20"/>
          <w:lang w:eastAsia="es-AR"/>
        </w:rPr>
        <w:t>Es invitado el Gerente General de la compañía del Grupo que corresponda según el temario de la sesión y podrán asistir a requerimiento del Comité otros funcionarios y asesores que el Comité estime pertinente.</w:t>
      </w:r>
    </w:p>
    <w:p w14:paraId="477784C3" w14:textId="77777777" w:rsidR="0045595B" w:rsidRPr="0011610F" w:rsidRDefault="0045595B" w:rsidP="0045595B">
      <w:pPr>
        <w:tabs>
          <w:tab w:val="left" w:pos="142"/>
        </w:tabs>
        <w:spacing w:after="200"/>
        <w:contextualSpacing/>
        <w:jc w:val="both"/>
        <w:rPr>
          <w:rFonts w:ascii="Arial" w:hAnsi="Arial" w:cs="Arial"/>
          <w:sz w:val="20"/>
          <w:lang w:eastAsia="es-AR"/>
        </w:rPr>
      </w:pPr>
    </w:p>
    <w:p w14:paraId="4F2D0421" w14:textId="77777777" w:rsidR="0045595B" w:rsidRPr="0011610F" w:rsidRDefault="0045595B" w:rsidP="0045595B">
      <w:pPr>
        <w:tabs>
          <w:tab w:val="left" w:pos="142"/>
        </w:tabs>
        <w:spacing w:after="200"/>
        <w:contextualSpacing/>
        <w:jc w:val="both"/>
        <w:rPr>
          <w:rFonts w:ascii="Arial" w:hAnsi="Arial" w:cs="Arial"/>
          <w:sz w:val="20"/>
          <w:lang w:eastAsia="es-AR"/>
        </w:rPr>
      </w:pPr>
      <w:r>
        <w:rPr>
          <w:rFonts w:ascii="Arial" w:hAnsi="Arial" w:cs="Arial"/>
          <w:sz w:val="20"/>
          <w:lang w:eastAsia="es-AR"/>
        </w:rPr>
        <w:t>14.10</w:t>
      </w:r>
      <w:r w:rsidRPr="0011610F">
        <w:rPr>
          <w:rFonts w:ascii="Arial" w:hAnsi="Arial" w:cs="Arial"/>
          <w:sz w:val="20"/>
          <w:lang w:eastAsia="es-AR"/>
        </w:rPr>
        <w:t>.</w:t>
      </w:r>
      <w:r>
        <w:rPr>
          <w:rFonts w:ascii="Arial" w:hAnsi="Arial" w:cs="Arial"/>
          <w:sz w:val="20"/>
          <w:lang w:eastAsia="es-AR"/>
        </w:rPr>
        <w:t>8</w:t>
      </w:r>
      <w:r w:rsidRPr="0011610F">
        <w:rPr>
          <w:rFonts w:ascii="Arial" w:hAnsi="Arial" w:cs="Arial"/>
          <w:sz w:val="20"/>
          <w:lang w:eastAsia="es-AR"/>
        </w:rPr>
        <w:t>.2   Características más importantes del diseño del sistema</w:t>
      </w:r>
    </w:p>
    <w:p w14:paraId="0D045749"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7A953135"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    Información relativa al diseño y estructura de los procesos de remuneración.</w:t>
      </w:r>
    </w:p>
    <w:p w14:paraId="488DA61B"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7D2A2A5A"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La filosofía subyacente en la estructura de remuneraciones de la Entidad, busca contemplar un adecuado equilibrio entre la obtención de resultados y la gestión de riesgos en general. El diseño de los procesos de remuneración apunta a remunerar y reconocer la contribución de los empleados en el alcance de las metas individuales, de la unidad y de la compañía en un contexto de meritocracia, pago por desempeño y sana competencia, en un marco de control de riesgos robusto.</w:t>
      </w:r>
    </w:p>
    <w:p w14:paraId="55A7C903"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20D75DEB"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Es función del Comité de Recursos Humanos aprobar y validar las políticas propuestas por los expertos en cada tema a fin de que las áreas correspondientes implementen y administren dichas políticas.</w:t>
      </w:r>
    </w:p>
    <w:p w14:paraId="013AD472"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48F4C53F"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w:t>
      </w:r>
      <w:r w:rsidRPr="00192F32">
        <w:rPr>
          <w:rFonts w:ascii="Arial" w:hAnsi="Arial" w:cs="Arial"/>
          <w:sz w:val="20"/>
          <w:lang w:eastAsia="es-AR"/>
        </w:rPr>
        <w:tab/>
        <w:t xml:space="preserve">   Descripción de las medidas en las cuales los riesgos actuales y futuros son tomados en cuenta en los procesos de remuneración.</w:t>
      </w:r>
    </w:p>
    <w:p w14:paraId="713FE5B1"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3B5B9A82"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 xml:space="preserve">Los ejecutivos de la organización son remunerados en su porción variable teniendo en cuenta el cumplimiento de los objetivos individuales, los de su unidad de negocio y los objetivos de la organización, así como también objetivos específicos que apuntan a mantener los diferentes riesgos dentro de los umbrales deseados. </w:t>
      </w:r>
    </w:p>
    <w:p w14:paraId="44433396"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611ECA78"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Entre los riesgos contemplados en los planes de incentivos se encuentran los descriptos a continuación:</w:t>
      </w:r>
    </w:p>
    <w:p w14:paraId="754A5AA5"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40847237"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Riesgo de crédito: Los gerentes corporativos de las áreas de créditos y comerciales (banca minorista y banca empresas) contemplan entre sus objetivos aquellos destinados a mantener bajo los parámetros deseables el riesgo de crédito. Los mismos están comprendidos en conceptos tales como: i) mora; ii) % de cartera irregular (fijada por el Directorio) sobre cartera total; iii) previsiones de incobrabilidad, entre otros.</w:t>
      </w:r>
    </w:p>
    <w:p w14:paraId="341E6EA4"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0E874812"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Riesgo Estratégico: El Gerente General y el Gerente Corporativo de Administración y Control de Gestión (Objetivo nro. 4) contemplan entre sus objetivos aquellos dirigidos a alertar sobre el desvío de las variables principales de desempeño de las finanzas de la entidad frente al plan anual así como aquellos dirigidos a ajustar dichos desvíos.</w:t>
      </w:r>
    </w:p>
    <w:p w14:paraId="76E4A0BE"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3BF7A0CB"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Riesgo de mercado, liquidez, tasa y titulización: El Gerente Corporativo de Finanzas y Mercado de Capitales tiene entre sus objetivos, cumplir con presupuestos de rentabilidad a través de la realización de diversos tipos de operaciones. Las mismas se ejecutan en un marco definido por límites que aseguran que los riesgos expuestos en este apartado sean asumidos dentro los rangos deseables por la entidad y los permitidos por el ente regulador.</w:t>
      </w:r>
    </w:p>
    <w:p w14:paraId="25E06AAF"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2D69745F"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El margen de rentabilidad está determinado por las políticas vigentes en el área financiera las cuales son monitoreadas por el Comité de Activos y Pasivos ALCO.</w:t>
      </w:r>
    </w:p>
    <w:p w14:paraId="41A22E36"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05D3B552"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w:t>
      </w:r>
      <w:r w:rsidRPr="00192F32">
        <w:rPr>
          <w:rFonts w:ascii="Arial" w:hAnsi="Arial" w:cs="Arial"/>
          <w:sz w:val="20"/>
          <w:lang w:eastAsia="es-AR"/>
        </w:rPr>
        <w:tab/>
        <w:t xml:space="preserve">   Descripción de las formas en las cuales la Entidad trata de vincular el desempeño durante el período de medición con niveles de remuneración.</w:t>
      </w:r>
    </w:p>
    <w:p w14:paraId="25DFCD41"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15D1EE83"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Cada gerencia corporativa tiene un esquema de remuneración variable que vincula el pago con el cumplimiento de objetivos individuales y del banco. Los objetivos individuales definen una calificación de desempeño que impacta en el cálculo de la remuneración. El resultado del banco es un indicador que ajusta en más o en menos el monto del incentivo variable.</w:t>
      </w:r>
    </w:p>
    <w:p w14:paraId="31B7DE66" w14:textId="77777777" w:rsidR="0045595B" w:rsidRPr="00192F32" w:rsidRDefault="0045595B" w:rsidP="0045595B">
      <w:pPr>
        <w:rPr>
          <w:rFonts w:ascii="Arial" w:hAnsi="Arial" w:cs="Arial"/>
          <w:sz w:val="20"/>
          <w:lang w:eastAsia="es-AR"/>
        </w:rPr>
      </w:pPr>
    </w:p>
    <w:p w14:paraId="75DBBB7B"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w:t>
      </w:r>
      <w:r w:rsidRPr="00192F32">
        <w:rPr>
          <w:rFonts w:ascii="Arial" w:hAnsi="Arial" w:cs="Arial"/>
          <w:sz w:val="20"/>
          <w:lang w:eastAsia="es-AR"/>
        </w:rPr>
        <w:tab/>
        <w:t xml:space="preserve">   Descripción de las formas en que la Entidad trata de ajustar la remuneración para tener en cuenta el desempeño a largo plazo (incluyendo política de la Entidad sobre diferimiento).</w:t>
      </w:r>
    </w:p>
    <w:p w14:paraId="09B44204"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63554F52"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La Entidad establece un Incentivo de pago diferido con objetivos específicos que se abonan al cierre del segundo año a contar desde su otorgamiento. Contempla objetivos plurianuales de sustentabilidad del negocio y control de riesgos.</w:t>
      </w:r>
    </w:p>
    <w:p w14:paraId="5AD0DBA6"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1987477F" w14:textId="77777777" w:rsidR="0045595B" w:rsidRPr="00192F32" w:rsidRDefault="0045595B" w:rsidP="0045595B">
      <w:pPr>
        <w:tabs>
          <w:tab w:val="left" w:pos="142"/>
        </w:tabs>
        <w:spacing w:after="200"/>
        <w:contextualSpacing/>
        <w:jc w:val="both"/>
        <w:rPr>
          <w:rFonts w:ascii="Arial" w:hAnsi="Arial" w:cs="Arial"/>
          <w:sz w:val="20"/>
          <w:lang w:eastAsia="es-AR"/>
        </w:rPr>
      </w:pPr>
      <w:r w:rsidRPr="00192F32">
        <w:rPr>
          <w:rFonts w:ascii="Arial" w:hAnsi="Arial" w:cs="Arial"/>
          <w:sz w:val="20"/>
          <w:lang w:eastAsia="es-AR"/>
        </w:rPr>
        <w:t>-</w:t>
      </w:r>
      <w:r w:rsidRPr="00192F32">
        <w:rPr>
          <w:rFonts w:ascii="Arial" w:hAnsi="Arial" w:cs="Arial"/>
          <w:sz w:val="20"/>
          <w:lang w:eastAsia="es-AR"/>
        </w:rPr>
        <w:tab/>
        <w:t xml:space="preserve">   Descripción de las diferentes formas de remuneración variable que la Entidad utiliza y la justificación del uso de las mismas.</w:t>
      </w:r>
    </w:p>
    <w:p w14:paraId="75CEA4F5" w14:textId="77777777" w:rsidR="0045595B" w:rsidRPr="00192F32" w:rsidRDefault="0045595B" w:rsidP="0045595B">
      <w:pPr>
        <w:tabs>
          <w:tab w:val="left" w:pos="142"/>
        </w:tabs>
        <w:spacing w:after="200"/>
        <w:contextualSpacing/>
        <w:jc w:val="both"/>
        <w:rPr>
          <w:rFonts w:ascii="Arial" w:hAnsi="Arial" w:cs="Arial"/>
          <w:sz w:val="20"/>
          <w:lang w:eastAsia="es-AR"/>
        </w:rPr>
      </w:pPr>
    </w:p>
    <w:p w14:paraId="05DC1269" w14:textId="139B3255" w:rsidR="00A9135D" w:rsidRPr="00701F32" w:rsidRDefault="0045595B" w:rsidP="0045595B">
      <w:pPr>
        <w:ind w:right="51"/>
        <w:rPr>
          <w:rFonts w:ascii="Arial" w:hAnsi="Arial" w:cs="Arial"/>
          <w:sz w:val="20"/>
        </w:rPr>
      </w:pPr>
      <w:r w:rsidRPr="00192F32">
        <w:rPr>
          <w:rFonts w:ascii="Arial" w:hAnsi="Arial" w:cs="Arial"/>
          <w:sz w:val="20"/>
          <w:lang w:eastAsia="es-AR"/>
        </w:rPr>
        <w:t>Solo utiliza efectivo entendiendo que es el vehículo más directo y conveniente para remunerar a los empleados.</w:t>
      </w:r>
    </w:p>
    <w:p w14:paraId="24120C9D" w14:textId="77777777" w:rsidR="00CB3A2E" w:rsidRDefault="00CB3A2E" w:rsidP="00066653">
      <w:pPr>
        <w:tabs>
          <w:tab w:val="left" w:pos="142"/>
        </w:tabs>
        <w:jc w:val="both"/>
      </w:pPr>
    </w:p>
    <w:p w14:paraId="0F02DD56" w14:textId="77777777" w:rsidR="00B2136F" w:rsidRDefault="00B2136F">
      <w:pPr>
        <w:rPr>
          <w:rFonts w:ascii="Arial" w:hAnsi="Arial" w:cs="Arial"/>
          <w:b/>
          <w:noProof/>
          <w:sz w:val="20"/>
        </w:rPr>
      </w:pPr>
      <w:r>
        <w:rPr>
          <w:rFonts w:ascii="Arial" w:hAnsi="Arial" w:cs="Arial"/>
          <w:b/>
          <w:noProof/>
          <w:sz w:val="20"/>
        </w:rPr>
        <w:br w:type="page"/>
      </w:r>
    </w:p>
    <w:p w14:paraId="78E8DDA6" w14:textId="7F9B9728" w:rsidR="00CB3A2E" w:rsidRPr="006E1AF7" w:rsidRDefault="00CB3A2E">
      <w:pPr>
        <w:widowControl w:val="0"/>
        <w:autoSpaceDE w:val="0"/>
        <w:autoSpaceDN w:val="0"/>
        <w:adjustRightInd w:val="0"/>
        <w:jc w:val="both"/>
        <w:rPr>
          <w:rFonts w:ascii="Arial" w:hAnsi="Arial" w:cs="Arial"/>
          <w:b/>
          <w:noProof/>
          <w:sz w:val="20"/>
        </w:rPr>
      </w:pPr>
      <w:r w:rsidRPr="00CB3A2E">
        <w:rPr>
          <w:rFonts w:ascii="Arial" w:hAnsi="Arial" w:cs="Arial"/>
          <w:b/>
          <w:noProof/>
          <w:sz w:val="20"/>
        </w:rPr>
        <w:t>15.</w:t>
      </w:r>
      <w:r>
        <w:rPr>
          <w:rFonts w:ascii="Arial" w:hAnsi="Arial" w:cs="Arial"/>
          <w:b/>
          <w:noProof/>
          <w:sz w:val="20"/>
        </w:rPr>
        <w:t xml:space="preserve"> </w:t>
      </w:r>
      <w:r w:rsidR="006C1D52" w:rsidRPr="006E1AF7">
        <w:rPr>
          <w:rFonts w:ascii="Arial" w:hAnsi="Arial" w:cs="Arial"/>
          <w:b/>
          <w:noProof/>
          <w:sz w:val="20"/>
        </w:rPr>
        <w:t>ARRENDAMIENTOS</w:t>
      </w:r>
    </w:p>
    <w:p w14:paraId="436EFBF8" w14:textId="77777777" w:rsidR="00CB3A2E" w:rsidRDefault="00CB3A2E" w:rsidP="00CB3A2E">
      <w:pPr>
        <w:autoSpaceDE w:val="0"/>
        <w:autoSpaceDN w:val="0"/>
        <w:adjustRightInd w:val="0"/>
        <w:jc w:val="both"/>
        <w:rPr>
          <w:rFonts w:ascii="Arial" w:hAnsi="Arial" w:cs="Arial"/>
          <w:color w:val="000000"/>
          <w:sz w:val="20"/>
        </w:rPr>
      </w:pPr>
    </w:p>
    <w:p w14:paraId="0EA4B4EA" w14:textId="556FF74C" w:rsidR="00CB3A2E" w:rsidRPr="00313C20" w:rsidRDefault="00CB3A2E" w:rsidP="00CB3A2E">
      <w:pPr>
        <w:autoSpaceDE w:val="0"/>
        <w:autoSpaceDN w:val="0"/>
        <w:adjustRightInd w:val="0"/>
        <w:jc w:val="both"/>
        <w:rPr>
          <w:rFonts w:ascii="Arial" w:hAnsi="Arial" w:cs="Arial"/>
          <w:color w:val="000000"/>
          <w:sz w:val="20"/>
        </w:rPr>
      </w:pPr>
      <w:r w:rsidRPr="00313C20">
        <w:rPr>
          <w:rFonts w:ascii="Arial" w:hAnsi="Arial" w:cs="Arial"/>
          <w:color w:val="000000"/>
          <w:sz w:val="20"/>
        </w:rPr>
        <w:t>Esta nota provee información de los arrendamientos en los cuales el Banco actúa como arrendatario. Para los arrendamientos en los cuales el Banco es arrendador referirse a nota 18.</w:t>
      </w:r>
    </w:p>
    <w:p w14:paraId="5FBD2137"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75B01B43" w14:textId="76DF66C4" w:rsidR="00CB3A2E" w:rsidRPr="00313C20" w:rsidRDefault="00CB3A2E" w:rsidP="00CB3A2E">
      <w:pPr>
        <w:pStyle w:val="Prrafodelista"/>
        <w:numPr>
          <w:ilvl w:val="0"/>
          <w:numId w:val="114"/>
        </w:numPr>
        <w:autoSpaceDE w:val="0"/>
        <w:autoSpaceDN w:val="0"/>
        <w:adjustRightInd w:val="0"/>
        <w:contextualSpacing/>
        <w:jc w:val="both"/>
        <w:rPr>
          <w:rFonts w:ascii="Arial" w:hAnsi="Arial" w:cs="Arial"/>
          <w:color w:val="000000"/>
          <w:sz w:val="20"/>
        </w:rPr>
      </w:pPr>
      <w:r w:rsidRPr="00313C20">
        <w:rPr>
          <w:rFonts w:ascii="Arial" w:hAnsi="Arial" w:cs="Arial"/>
          <w:color w:val="000000"/>
          <w:sz w:val="20"/>
        </w:rPr>
        <w:t xml:space="preserve">Montos reconocidos en el estado de situación financiera </w:t>
      </w:r>
    </w:p>
    <w:p w14:paraId="0012C2D8" w14:textId="77777777" w:rsidR="00CB3A2E" w:rsidRPr="00313C20" w:rsidRDefault="00CB3A2E" w:rsidP="00CB3A2E">
      <w:pPr>
        <w:autoSpaceDE w:val="0"/>
        <w:autoSpaceDN w:val="0"/>
        <w:adjustRightInd w:val="0"/>
        <w:ind w:left="360"/>
        <w:jc w:val="both"/>
        <w:rPr>
          <w:rFonts w:ascii="Arial" w:hAnsi="Arial" w:cs="Arial"/>
          <w:color w:val="000000"/>
          <w:sz w:val="20"/>
        </w:rPr>
      </w:pPr>
    </w:p>
    <w:tbl>
      <w:tblPr>
        <w:tblW w:w="8721" w:type="dxa"/>
        <w:tblInd w:w="-108" w:type="dxa"/>
        <w:tblBorders>
          <w:top w:val="nil"/>
          <w:left w:val="nil"/>
          <w:bottom w:val="nil"/>
          <w:right w:val="nil"/>
        </w:tblBorders>
        <w:tblLayout w:type="fixed"/>
        <w:tblLook w:val="0000" w:firstRow="0" w:lastRow="0" w:firstColumn="0" w:lastColumn="0" w:noHBand="0" w:noVBand="0"/>
      </w:tblPr>
      <w:tblGrid>
        <w:gridCol w:w="3333"/>
        <w:gridCol w:w="805"/>
        <w:gridCol w:w="1625"/>
        <w:gridCol w:w="1257"/>
        <w:gridCol w:w="822"/>
        <w:gridCol w:w="879"/>
      </w:tblGrid>
      <w:tr w:rsidR="00CB3A2E" w:rsidRPr="00313C20" w14:paraId="4F9AA524" w14:textId="77777777" w:rsidTr="00F27605">
        <w:trPr>
          <w:trHeight w:val="84"/>
        </w:trPr>
        <w:tc>
          <w:tcPr>
            <w:tcW w:w="8721" w:type="dxa"/>
            <w:gridSpan w:val="6"/>
          </w:tcPr>
          <w:p w14:paraId="6AC9825A" w14:textId="77777777" w:rsidR="00CB3A2E" w:rsidRPr="00313C20" w:rsidRDefault="00CB3A2E" w:rsidP="00F27605">
            <w:pPr>
              <w:pStyle w:val="Default"/>
              <w:jc w:val="both"/>
              <w:rPr>
                <w:sz w:val="20"/>
                <w:szCs w:val="20"/>
              </w:rPr>
            </w:pPr>
          </w:p>
        </w:tc>
      </w:tr>
      <w:tr w:rsidR="00CB3A2E" w:rsidRPr="00313C20" w14:paraId="78EC6D66" w14:textId="77777777" w:rsidTr="00F27605">
        <w:trPr>
          <w:trHeight w:val="292"/>
        </w:trPr>
        <w:tc>
          <w:tcPr>
            <w:tcW w:w="4138" w:type="dxa"/>
            <w:gridSpan w:val="2"/>
          </w:tcPr>
          <w:p w14:paraId="7ABE33A9" w14:textId="77777777" w:rsidR="00CB3A2E" w:rsidRPr="00313C20" w:rsidRDefault="00CB3A2E" w:rsidP="00F27605">
            <w:pPr>
              <w:pStyle w:val="Default"/>
              <w:jc w:val="both"/>
              <w:rPr>
                <w:sz w:val="20"/>
                <w:szCs w:val="20"/>
              </w:rPr>
            </w:pPr>
          </w:p>
        </w:tc>
        <w:tc>
          <w:tcPr>
            <w:tcW w:w="2882" w:type="dxa"/>
            <w:gridSpan w:val="2"/>
          </w:tcPr>
          <w:p w14:paraId="6DD0D593" w14:textId="77777777" w:rsidR="00CB3A2E" w:rsidRPr="00313C20" w:rsidRDefault="00CB3A2E" w:rsidP="00F27605">
            <w:pPr>
              <w:pStyle w:val="Default"/>
              <w:jc w:val="both"/>
              <w:rPr>
                <w:b/>
                <w:bCs/>
                <w:sz w:val="20"/>
                <w:szCs w:val="20"/>
              </w:rPr>
            </w:pPr>
            <w:r w:rsidRPr="00313C20">
              <w:rPr>
                <w:b/>
                <w:bCs/>
                <w:sz w:val="20"/>
                <w:szCs w:val="20"/>
              </w:rPr>
              <w:t>31/12/2019</w:t>
            </w:r>
          </w:p>
        </w:tc>
        <w:tc>
          <w:tcPr>
            <w:tcW w:w="1701" w:type="dxa"/>
            <w:gridSpan w:val="2"/>
          </w:tcPr>
          <w:p w14:paraId="7F9E59EA" w14:textId="77777777" w:rsidR="00CB3A2E" w:rsidRPr="00313C20" w:rsidRDefault="00CB3A2E" w:rsidP="00F27605">
            <w:pPr>
              <w:pStyle w:val="Default"/>
              <w:jc w:val="both"/>
              <w:rPr>
                <w:sz w:val="20"/>
                <w:szCs w:val="20"/>
              </w:rPr>
            </w:pPr>
            <w:r w:rsidRPr="00313C20">
              <w:rPr>
                <w:b/>
                <w:sz w:val="20"/>
                <w:szCs w:val="20"/>
              </w:rPr>
              <w:t>1/01/2019</w:t>
            </w:r>
            <w:r w:rsidRPr="00313C20">
              <w:rPr>
                <w:sz w:val="20"/>
                <w:szCs w:val="20"/>
              </w:rPr>
              <w:t xml:space="preserve"> </w:t>
            </w:r>
          </w:p>
        </w:tc>
      </w:tr>
      <w:tr w:rsidR="00CB3A2E" w:rsidRPr="00313C20" w14:paraId="540EC7E1" w14:textId="77777777" w:rsidTr="00F27605">
        <w:trPr>
          <w:trHeight w:val="92"/>
        </w:trPr>
        <w:tc>
          <w:tcPr>
            <w:tcW w:w="5763" w:type="dxa"/>
            <w:gridSpan w:val="3"/>
          </w:tcPr>
          <w:p w14:paraId="212DEAF3" w14:textId="77777777" w:rsidR="00CB3A2E" w:rsidRPr="00313C20" w:rsidRDefault="00CB3A2E" w:rsidP="00F27605">
            <w:pPr>
              <w:pStyle w:val="Default"/>
              <w:jc w:val="both"/>
              <w:rPr>
                <w:b/>
                <w:sz w:val="20"/>
                <w:szCs w:val="20"/>
              </w:rPr>
            </w:pPr>
          </w:p>
        </w:tc>
        <w:tc>
          <w:tcPr>
            <w:tcW w:w="2958" w:type="dxa"/>
            <w:gridSpan w:val="3"/>
          </w:tcPr>
          <w:p w14:paraId="799B40B8" w14:textId="77777777" w:rsidR="00CB3A2E" w:rsidRPr="00313C20" w:rsidRDefault="00CB3A2E" w:rsidP="00F27605">
            <w:pPr>
              <w:pStyle w:val="Default"/>
              <w:jc w:val="both"/>
              <w:rPr>
                <w:sz w:val="20"/>
                <w:szCs w:val="20"/>
              </w:rPr>
            </w:pPr>
          </w:p>
        </w:tc>
      </w:tr>
      <w:tr w:rsidR="00CB3A2E" w:rsidRPr="00313C20" w14:paraId="69D3B5EB" w14:textId="77777777" w:rsidTr="00F27605">
        <w:trPr>
          <w:gridAfter w:val="1"/>
          <w:wAfter w:w="879" w:type="dxa"/>
          <w:trHeight w:val="96"/>
        </w:trPr>
        <w:tc>
          <w:tcPr>
            <w:tcW w:w="3333" w:type="dxa"/>
          </w:tcPr>
          <w:p w14:paraId="5616F873" w14:textId="77777777" w:rsidR="00CB3A2E" w:rsidRPr="00313C20" w:rsidRDefault="00CB3A2E" w:rsidP="00F27605">
            <w:pPr>
              <w:pStyle w:val="Default"/>
              <w:jc w:val="both"/>
              <w:rPr>
                <w:sz w:val="20"/>
                <w:szCs w:val="20"/>
              </w:rPr>
            </w:pPr>
            <w:r w:rsidRPr="00313C20">
              <w:rPr>
                <w:b/>
                <w:bCs/>
                <w:sz w:val="20"/>
                <w:szCs w:val="20"/>
              </w:rPr>
              <w:t>Derecho de uso del activo</w:t>
            </w:r>
          </w:p>
        </w:tc>
        <w:tc>
          <w:tcPr>
            <w:tcW w:w="2430" w:type="dxa"/>
            <w:gridSpan w:val="2"/>
          </w:tcPr>
          <w:p w14:paraId="4A463B54" w14:textId="77777777" w:rsidR="00CB3A2E" w:rsidRPr="00313C20" w:rsidRDefault="00CB3A2E" w:rsidP="00F27605">
            <w:pPr>
              <w:pStyle w:val="Default"/>
              <w:jc w:val="right"/>
              <w:rPr>
                <w:sz w:val="20"/>
                <w:szCs w:val="20"/>
              </w:rPr>
            </w:pPr>
          </w:p>
        </w:tc>
        <w:tc>
          <w:tcPr>
            <w:tcW w:w="2079" w:type="dxa"/>
            <w:gridSpan w:val="2"/>
          </w:tcPr>
          <w:p w14:paraId="035EE068" w14:textId="77777777" w:rsidR="00CB3A2E" w:rsidRPr="00313C20" w:rsidRDefault="00CB3A2E" w:rsidP="00F27605">
            <w:pPr>
              <w:pStyle w:val="Default"/>
              <w:jc w:val="right"/>
              <w:rPr>
                <w:sz w:val="20"/>
                <w:szCs w:val="20"/>
              </w:rPr>
            </w:pPr>
          </w:p>
        </w:tc>
      </w:tr>
      <w:tr w:rsidR="00CB3A2E" w:rsidRPr="00313C20" w14:paraId="08AEF8B0" w14:textId="77777777" w:rsidTr="00F27605">
        <w:trPr>
          <w:gridAfter w:val="1"/>
          <w:wAfter w:w="879" w:type="dxa"/>
          <w:trHeight w:val="96"/>
        </w:trPr>
        <w:tc>
          <w:tcPr>
            <w:tcW w:w="3333" w:type="dxa"/>
          </w:tcPr>
          <w:p w14:paraId="79F6E4CA" w14:textId="73765E44" w:rsidR="00CB3A2E" w:rsidRPr="00313C20" w:rsidRDefault="00CB3A2E" w:rsidP="00F27605">
            <w:pPr>
              <w:pStyle w:val="Default"/>
              <w:jc w:val="both"/>
              <w:rPr>
                <w:b/>
                <w:sz w:val="20"/>
                <w:szCs w:val="20"/>
              </w:rPr>
            </w:pPr>
            <w:r w:rsidRPr="00313C20">
              <w:rPr>
                <w:sz w:val="20"/>
                <w:szCs w:val="20"/>
              </w:rPr>
              <w:t>Inmuebles</w:t>
            </w:r>
            <w:r w:rsidR="00CA279F">
              <w:rPr>
                <w:sz w:val="20"/>
                <w:szCs w:val="20"/>
              </w:rPr>
              <w:t xml:space="preserve"> – valor de origen</w:t>
            </w:r>
          </w:p>
        </w:tc>
        <w:tc>
          <w:tcPr>
            <w:tcW w:w="2430" w:type="dxa"/>
            <w:gridSpan w:val="2"/>
          </w:tcPr>
          <w:p w14:paraId="0FB41338" w14:textId="36916D0A" w:rsidR="00CB3A2E" w:rsidRPr="00313C20" w:rsidRDefault="00F015EA" w:rsidP="00F27605">
            <w:pPr>
              <w:pStyle w:val="Default"/>
              <w:jc w:val="right"/>
              <w:rPr>
                <w:bCs/>
                <w:sz w:val="20"/>
                <w:szCs w:val="20"/>
              </w:rPr>
            </w:pPr>
            <w:r>
              <w:rPr>
                <w:bCs/>
                <w:sz w:val="20"/>
                <w:szCs w:val="20"/>
              </w:rPr>
              <w:t>988.386</w:t>
            </w:r>
          </w:p>
        </w:tc>
        <w:tc>
          <w:tcPr>
            <w:tcW w:w="2079" w:type="dxa"/>
            <w:gridSpan w:val="2"/>
          </w:tcPr>
          <w:p w14:paraId="0A520C4F" w14:textId="77777777" w:rsidR="00CB3A2E" w:rsidRPr="00313C20" w:rsidRDefault="00CB3A2E" w:rsidP="00F27605">
            <w:pPr>
              <w:pStyle w:val="Default"/>
              <w:jc w:val="right"/>
              <w:rPr>
                <w:sz w:val="20"/>
                <w:szCs w:val="20"/>
              </w:rPr>
            </w:pPr>
            <w:r w:rsidRPr="00313C20">
              <w:rPr>
                <w:iCs/>
                <w:sz w:val="20"/>
                <w:szCs w:val="20"/>
              </w:rPr>
              <w:t>905.945</w:t>
            </w:r>
          </w:p>
        </w:tc>
      </w:tr>
      <w:tr w:rsidR="00CB3A2E" w:rsidRPr="00313C20" w14:paraId="0F0A2095" w14:textId="77777777" w:rsidTr="00F27605">
        <w:trPr>
          <w:gridAfter w:val="1"/>
          <w:wAfter w:w="879" w:type="dxa"/>
          <w:trHeight w:val="96"/>
        </w:trPr>
        <w:tc>
          <w:tcPr>
            <w:tcW w:w="3333" w:type="dxa"/>
          </w:tcPr>
          <w:p w14:paraId="3B871E14" w14:textId="77777777" w:rsidR="00CB3A2E" w:rsidRPr="00313C20" w:rsidRDefault="00CB3A2E" w:rsidP="00F27605">
            <w:pPr>
              <w:pStyle w:val="Default"/>
              <w:jc w:val="both"/>
              <w:rPr>
                <w:sz w:val="20"/>
                <w:szCs w:val="20"/>
              </w:rPr>
            </w:pPr>
            <w:r w:rsidRPr="00313C20">
              <w:rPr>
                <w:b/>
                <w:bCs/>
                <w:sz w:val="20"/>
                <w:szCs w:val="20"/>
              </w:rPr>
              <w:t xml:space="preserve">Pasivo por arrendamiento </w:t>
            </w:r>
          </w:p>
        </w:tc>
        <w:tc>
          <w:tcPr>
            <w:tcW w:w="2430" w:type="dxa"/>
            <w:gridSpan w:val="2"/>
          </w:tcPr>
          <w:p w14:paraId="4999AA33" w14:textId="77777777" w:rsidR="00CB3A2E" w:rsidRPr="00313C20" w:rsidRDefault="00CB3A2E" w:rsidP="00F27605">
            <w:pPr>
              <w:pStyle w:val="Default"/>
              <w:jc w:val="right"/>
              <w:rPr>
                <w:bCs/>
                <w:sz w:val="20"/>
                <w:szCs w:val="20"/>
              </w:rPr>
            </w:pPr>
          </w:p>
        </w:tc>
        <w:tc>
          <w:tcPr>
            <w:tcW w:w="2079" w:type="dxa"/>
            <w:gridSpan w:val="2"/>
          </w:tcPr>
          <w:p w14:paraId="27234490" w14:textId="77777777" w:rsidR="00CB3A2E" w:rsidRPr="00313C20" w:rsidRDefault="00CB3A2E" w:rsidP="00F27605">
            <w:pPr>
              <w:pStyle w:val="Default"/>
              <w:jc w:val="right"/>
              <w:rPr>
                <w:iCs/>
                <w:sz w:val="20"/>
                <w:szCs w:val="20"/>
              </w:rPr>
            </w:pPr>
          </w:p>
        </w:tc>
      </w:tr>
      <w:tr w:rsidR="00D63203" w:rsidRPr="00313C20" w14:paraId="708636C9" w14:textId="77777777" w:rsidTr="006E1AF7">
        <w:trPr>
          <w:gridAfter w:val="1"/>
          <w:wAfter w:w="879" w:type="dxa"/>
          <w:trHeight w:val="96"/>
        </w:trPr>
        <w:tc>
          <w:tcPr>
            <w:tcW w:w="3333" w:type="dxa"/>
          </w:tcPr>
          <w:p w14:paraId="1290A68F" w14:textId="77777777" w:rsidR="00D63203" w:rsidRPr="00313C20" w:rsidRDefault="00D63203" w:rsidP="00D63203">
            <w:pPr>
              <w:pStyle w:val="Default"/>
              <w:jc w:val="both"/>
              <w:rPr>
                <w:sz w:val="20"/>
                <w:szCs w:val="20"/>
              </w:rPr>
            </w:pPr>
            <w:r w:rsidRPr="00313C20">
              <w:rPr>
                <w:sz w:val="20"/>
                <w:szCs w:val="20"/>
              </w:rPr>
              <w:t>Corriente</w:t>
            </w:r>
          </w:p>
        </w:tc>
        <w:tc>
          <w:tcPr>
            <w:tcW w:w="2430" w:type="dxa"/>
            <w:gridSpan w:val="2"/>
          </w:tcPr>
          <w:p w14:paraId="525278CA" w14:textId="2190D11F" w:rsidR="00D63203" w:rsidRPr="00A056FF" w:rsidRDefault="00D63203" w:rsidP="00D63203">
            <w:pPr>
              <w:pStyle w:val="Default"/>
              <w:jc w:val="right"/>
              <w:rPr>
                <w:iCs/>
                <w:sz w:val="20"/>
                <w:szCs w:val="20"/>
              </w:rPr>
            </w:pPr>
            <w:r w:rsidRPr="006E1AF7">
              <w:rPr>
                <w:iCs/>
                <w:sz w:val="20"/>
                <w:szCs w:val="20"/>
              </w:rPr>
              <w:t>467.977</w:t>
            </w:r>
          </w:p>
        </w:tc>
        <w:tc>
          <w:tcPr>
            <w:tcW w:w="2079" w:type="dxa"/>
            <w:gridSpan w:val="2"/>
          </w:tcPr>
          <w:p w14:paraId="40F0CA1B" w14:textId="77777777" w:rsidR="00D63203" w:rsidRPr="00313C20" w:rsidRDefault="00D63203" w:rsidP="00D63203">
            <w:pPr>
              <w:pStyle w:val="Default"/>
              <w:jc w:val="right"/>
              <w:rPr>
                <w:iCs/>
                <w:sz w:val="20"/>
                <w:szCs w:val="20"/>
              </w:rPr>
            </w:pPr>
            <w:r w:rsidRPr="00313C20">
              <w:rPr>
                <w:iCs/>
                <w:sz w:val="20"/>
                <w:szCs w:val="20"/>
              </w:rPr>
              <w:t xml:space="preserve"> 399.238 </w:t>
            </w:r>
          </w:p>
        </w:tc>
      </w:tr>
      <w:tr w:rsidR="00D63203" w:rsidRPr="00313C20" w14:paraId="7771B716" w14:textId="77777777" w:rsidTr="006E1AF7">
        <w:trPr>
          <w:gridAfter w:val="1"/>
          <w:wAfter w:w="879" w:type="dxa"/>
          <w:trHeight w:val="96"/>
        </w:trPr>
        <w:tc>
          <w:tcPr>
            <w:tcW w:w="3333" w:type="dxa"/>
          </w:tcPr>
          <w:p w14:paraId="67F0BA13" w14:textId="77777777" w:rsidR="00D63203" w:rsidRPr="00313C20" w:rsidRDefault="00D63203" w:rsidP="00D63203">
            <w:pPr>
              <w:pStyle w:val="Default"/>
              <w:jc w:val="both"/>
              <w:rPr>
                <w:sz w:val="20"/>
                <w:szCs w:val="20"/>
              </w:rPr>
            </w:pPr>
            <w:r w:rsidRPr="00313C20">
              <w:rPr>
                <w:sz w:val="20"/>
                <w:szCs w:val="20"/>
              </w:rPr>
              <w:t xml:space="preserve">No corriente </w:t>
            </w:r>
          </w:p>
        </w:tc>
        <w:tc>
          <w:tcPr>
            <w:tcW w:w="2430" w:type="dxa"/>
            <w:gridSpan w:val="2"/>
          </w:tcPr>
          <w:p w14:paraId="191F4AE3" w14:textId="3958E062" w:rsidR="00D63203" w:rsidRPr="00A056FF" w:rsidRDefault="00D63203" w:rsidP="00D63203">
            <w:pPr>
              <w:pStyle w:val="Default"/>
              <w:jc w:val="right"/>
              <w:rPr>
                <w:iCs/>
                <w:sz w:val="20"/>
                <w:szCs w:val="20"/>
              </w:rPr>
            </w:pPr>
            <w:r w:rsidRPr="006E1AF7">
              <w:rPr>
                <w:iCs/>
                <w:sz w:val="20"/>
                <w:szCs w:val="20"/>
              </w:rPr>
              <w:t>478.413</w:t>
            </w:r>
          </w:p>
        </w:tc>
        <w:tc>
          <w:tcPr>
            <w:tcW w:w="2079" w:type="dxa"/>
            <w:gridSpan w:val="2"/>
          </w:tcPr>
          <w:p w14:paraId="6088B417" w14:textId="1F0B5AA7" w:rsidR="00D63203" w:rsidRPr="00313C20" w:rsidRDefault="00D63203" w:rsidP="00D63203">
            <w:pPr>
              <w:pStyle w:val="Default"/>
              <w:jc w:val="right"/>
              <w:rPr>
                <w:iCs/>
                <w:sz w:val="20"/>
                <w:szCs w:val="20"/>
              </w:rPr>
            </w:pPr>
            <w:r w:rsidRPr="00313C20">
              <w:rPr>
                <w:iCs/>
                <w:sz w:val="20"/>
                <w:szCs w:val="20"/>
              </w:rPr>
              <w:t xml:space="preserve"> 506.70</w:t>
            </w:r>
            <w:r w:rsidR="00C86659">
              <w:rPr>
                <w:iCs/>
                <w:sz w:val="20"/>
                <w:szCs w:val="20"/>
              </w:rPr>
              <w:t>7</w:t>
            </w:r>
            <w:r w:rsidRPr="00313C20">
              <w:rPr>
                <w:iCs/>
                <w:sz w:val="20"/>
                <w:szCs w:val="20"/>
              </w:rPr>
              <w:t xml:space="preserve"> </w:t>
            </w:r>
          </w:p>
        </w:tc>
      </w:tr>
      <w:tr w:rsidR="00D63203" w:rsidRPr="00313C20" w14:paraId="6FA37F3F" w14:textId="77777777" w:rsidTr="006E1AF7">
        <w:trPr>
          <w:gridAfter w:val="1"/>
          <w:wAfter w:w="879" w:type="dxa"/>
          <w:trHeight w:val="96"/>
        </w:trPr>
        <w:tc>
          <w:tcPr>
            <w:tcW w:w="3333" w:type="dxa"/>
          </w:tcPr>
          <w:p w14:paraId="6089B3F0" w14:textId="77777777" w:rsidR="00D63203" w:rsidRPr="00313C20" w:rsidRDefault="00D63203" w:rsidP="00D63203">
            <w:pPr>
              <w:pStyle w:val="Default"/>
              <w:jc w:val="both"/>
              <w:rPr>
                <w:sz w:val="20"/>
                <w:szCs w:val="20"/>
              </w:rPr>
            </w:pPr>
            <w:r w:rsidRPr="00313C20">
              <w:rPr>
                <w:sz w:val="20"/>
                <w:szCs w:val="20"/>
              </w:rPr>
              <w:t xml:space="preserve">Total </w:t>
            </w:r>
          </w:p>
        </w:tc>
        <w:tc>
          <w:tcPr>
            <w:tcW w:w="2430" w:type="dxa"/>
            <w:gridSpan w:val="2"/>
          </w:tcPr>
          <w:p w14:paraId="1DC8DC3A" w14:textId="4C3B0124" w:rsidR="00D63203" w:rsidRPr="006E1AF7" w:rsidRDefault="00D63203" w:rsidP="00D63203">
            <w:pPr>
              <w:pStyle w:val="Default"/>
              <w:jc w:val="right"/>
              <w:rPr>
                <w:b/>
                <w:iCs/>
                <w:sz w:val="20"/>
                <w:szCs w:val="20"/>
              </w:rPr>
            </w:pPr>
            <w:r w:rsidRPr="006E1AF7">
              <w:rPr>
                <w:b/>
                <w:iCs/>
                <w:sz w:val="20"/>
                <w:szCs w:val="20"/>
              </w:rPr>
              <w:t xml:space="preserve"> 946.390 </w:t>
            </w:r>
          </w:p>
        </w:tc>
        <w:tc>
          <w:tcPr>
            <w:tcW w:w="2079" w:type="dxa"/>
            <w:gridSpan w:val="2"/>
          </w:tcPr>
          <w:p w14:paraId="3DB54EF9" w14:textId="77777777" w:rsidR="00D63203" w:rsidRPr="006E1AF7" w:rsidRDefault="00D63203" w:rsidP="00D63203">
            <w:pPr>
              <w:pStyle w:val="Default"/>
              <w:jc w:val="right"/>
              <w:rPr>
                <w:b/>
                <w:iCs/>
                <w:sz w:val="20"/>
                <w:szCs w:val="20"/>
              </w:rPr>
            </w:pPr>
            <w:r w:rsidRPr="00D63203">
              <w:rPr>
                <w:b/>
                <w:iCs/>
                <w:sz w:val="20"/>
                <w:szCs w:val="20"/>
              </w:rPr>
              <w:t>905.945</w:t>
            </w:r>
          </w:p>
        </w:tc>
      </w:tr>
    </w:tbl>
    <w:p w14:paraId="6E557717"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5FC69A13" w14:textId="77777777" w:rsidR="00CB3A2E" w:rsidRPr="00313C20" w:rsidRDefault="00CB3A2E" w:rsidP="00CB3A2E">
      <w:pPr>
        <w:pStyle w:val="Prrafodelista"/>
        <w:numPr>
          <w:ilvl w:val="0"/>
          <w:numId w:val="114"/>
        </w:numPr>
        <w:autoSpaceDE w:val="0"/>
        <w:autoSpaceDN w:val="0"/>
        <w:adjustRightInd w:val="0"/>
        <w:contextualSpacing/>
        <w:jc w:val="both"/>
        <w:rPr>
          <w:rFonts w:ascii="Arial" w:hAnsi="Arial" w:cs="Arial"/>
          <w:color w:val="000000"/>
          <w:sz w:val="20"/>
        </w:rPr>
      </w:pPr>
      <w:r w:rsidRPr="00313C20">
        <w:rPr>
          <w:rFonts w:ascii="Arial" w:hAnsi="Arial" w:cs="Arial"/>
          <w:color w:val="000000"/>
          <w:sz w:val="20"/>
        </w:rPr>
        <w:t xml:space="preserve">Montos reconocidos en el estado de resultados </w:t>
      </w:r>
    </w:p>
    <w:p w14:paraId="6111BA52" w14:textId="77777777" w:rsidR="00CB3A2E" w:rsidRPr="00313C20" w:rsidRDefault="00CB3A2E" w:rsidP="00CB3A2E">
      <w:pPr>
        <w:pStyle w:val="Prrafodelista"/>
        <w:autoSpaceDE w:val="0"/>
        <w:autoSpaceDN w:val="0"/>
        <w:adjustRightInd w:val="0"/>
        <w:ind w:left="1080"/>
        <w:jc w:val="both"/>
        <w:rPr>
          <w:rFonts w:ascii="Arial" w:hAnsi="Arial" w:cs="Arial"/>
          <w:color w:val="000000"/>
          <w:sz w:val="20"/>
        </w:rPr>
      </w:pPr>
    </w:p>
    <w:tbl>
      <w:tblPr>
        <w:tblStyle w:val="Tablaconcuadrcula"/>
        <w:tblW w:w="0" w:type="auto"/>
        <w:tblInd w:w="360" w:type="dxa"/>
        <w:tblLook w:val="04A0" w:firstRow="1" w:lastRow="0" w:firstColumn="1" w:lastColumn="0" w:noHBand="0" w:noVBand="1"/>
      </w:tblPr>
      <w:tblGrid>
        <w:gridCol w:w="5716"/>
        <w:gridCol w:w="2645"/>
      </w:tblGrid>
      <w:tr w:rsidR="00CB3A2E" w:rsidRPr="00313C20" w14:paraId="6AAE1DB5" w14:textId="77777777" w:rsidTr="00F27605">
        <w:tc>
          <w:tcPr>
            <w:tcW w:w="5716" w:type="dxa"/>
          </w:tcPr>
          <w:p w14:paraId="0025B974" w14:textId="77777777" w:rsidR="00CB3A2E" w:rsidRPr="00313C20" w:rsidRDefault="00CB3A2E" w:rsidP="00F27605">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Depreciación de derecho de uso</w:t>
            </w:r>
          </w:p>
        </w:tc>
        <w:tc>
          <w:tcPr>
            <w:tcW w:w="2645" w:type="dxa"/>
          </w:tcPr>
          <w:p w14:paraId="42484C91" w14:textId="77777777" w:rsidR="00CB3A2E" w:rsidRPr="00313C20" w:rsidRDefault="00CB3A2E" w:rsidP="00F27605">
            <w:pPr>
              <w:autoSpaceDE w:val="0"/>
              <w:autoSpaceDN w:val="0"/>
              <w:adjustRightInd w:val="0"/>
              <w:jc w:val="both"/>
              <w:rPr>
                <w:rFonts w:ascii="Arial" w:hAnsi="Arial" w:cs="Arial"/>
                <w:color w:val="000000"/>
                <w:sz w:val="20"/>
              </w:rPr>
            </w:pPr>
          </w:p>
        </w:tc>
      </w:tr>
      <w:tr w:rsidR="00CB3A2E" w:rsidRPr="00313C20" w14:paraId="2744164B" w14:textId="77777777" w:rsidTr="00F27605">
        <w:tc>
          <w:tcPr>
            <w:tcW w:w="5716" w:type="dxa"/>
          </w:tcPr>
          <w:p w14:paraId="34B69879" w14:textId="77777777" w:rsidR="00CB3A2E" w:rsidRPr="00313C20" w:rsidRDefault="00CB3A2E" w:rsidP="00F27605">
            <w:pPr>
              <w:autoSpaceDE w:val="0"/>
              <w:autoSpaceDN w:val="0"/>
              <w:adjustRightInd w:val="0"/>
              <w:jc w:val="both"/>
              <w:rPr>
                <w:rFonts w:ascii="Arial" w:hAnsi="Arial" w:cs="Arial"/>
                <w:color w:val="000000"/>
                <w:sz w:val="20"/>
              </w:rPr>
            </w:pPr>
            <w:r w:rsidRPr="00313C20">
              <w:rPr>
                <w:rFonts w:ascii="Arial" w:hAnsi="Arial" w:cs="Arial"/>
                <w:color w:val="000000"/>
                <w:sz w:val="20"/>
              </w:rPr>
              <w:t>Edificios</w:t>
            </w:r>
          </w:p>
        </w:tc>
        <w:tc>
          <w:tcPr>
            <w:tcW w:w="2645" w:type="dxa"/>
          </w:tcPr>
          <w:p w14:paraId="5C042D20" w14:textId="206DB479" w:rsidR="00CB3A2E" w:rsidRPr="00313C20" w:rsidRDefault="00CB3A2E" w:rsidP="00F27605">
            <w:pPr>
              <w:autoSpaceDE w:val="0"/>
              <w:autoSpaceDN w:val="0"/>
              <w:adjustRightInd w:val="0"/>
              <w:jc w:val="right"/>
              <w:rPr>
                <w:rFonts w:ascii="Arial" w:hAnsi="Arial" w:cs="Arial"/>
                <w:color w:val="000000"/>
                <w:sz w:val="20"/>
              </w:rPr>
            </w:pPr>
            <w:r w:rsidRPr="00313C20">
              <w:rPr>
                <w:rFonts w:ascii="Arial" w:hAnsi="Arial" w:cs="Arial"/>
                <w:color w:val="000000"/>
                <w:sz w:val="20"/>
              </w:rPr>
              <w:t>36</w:t>
            </w:r>
            <w:r w:rsidR="00D63203">
              <w:rPr>
                <w:rFonts w:ascii="Arial" w:hAnsi="Arial" w:cs="Arial"/>
                <w:color w:val="000000"/>
                <w:sz w:val="20"/>
              </w:rPr>
              <w:t>8</w:t>
            </w:r>
            <w:r w:rsidRPr="00313C20">
              <w:rPr>
                <w:rFonts w:ascii="Arial" w:hAnsi="Arial" w:cs="Arial"/>
                <w:color w:val="000000"/>
                <w:sz w:val="20"/>
              </w:rPr>
              <w:t>.</w:t>
            </w:r>
            <w:r w:rsidR="00D63203">
              <w:rPr>
                <w:rFonts w:ascii="Arial" w:hAnsi="Arial" w:cs="Arial"/>
                <w:color w:val="000000"/>
                <w:sz w:val="20"/>
              </w:rPr>
              <w:t>301</w:t>
            </w:r>
          </w:p>
        </w:tc>
      </w:tr>
      <w:tr w:rsidR="00CB3A2E" w:rsidRPr="00313C20" w14:paraId="222ECC7B" w14:textId="77777777" w:rsidTr="00F27605">
        <w:tc>
          <w:tcPr>
            <w:tcW w:w="5716" w:type="dxa"/>
          </w:tcPr>
          <w:p w14:paraId="7A1803C6" w14:textId="77777777" w:rsidR="00CB3A2E" w:rsidRPr="00313C20" w:rsidRDefault="00CB3A2E" w:rsidP="00F27605">
            <w:pPr>
              <w:autoSpaceDE w:val="0"/>
              <w:autoSpaceDN w:val="0"/>
              <w:adjustRightInd w:val="0"/>
              <w:jc w:val="both"/>
              <w:rPr>
                <w:rFonts w:ascii="Arial" w:hAnsi="Arial" w:cs="Arial"/>
                <w:color w:val="000000"/>
                <w:sz w:val="20"/>
              </w:rPr>
            </w:pPr>
          </w:p>
        </w:tc>
        <w:tc>
          <w:tcPr>
            <w:tcW w:w="2645" w:type="dxa"/>
          </w:tcPr>
          <w:p w14:paraId="0655BC8B" w14:textId="77777777" w:rsidR="00CB3A2E" w:rsidRPr="00313C20" w:rsidRDefault="00CB3A2E" w:rsidP="00F27605">
            <w:pPr>
              <w:autoSpaceDE w:val="0"/>
              <w:autoSpaceDN w:val="0"/>
              <w:adjustRightInd w:val="0"/>
              <w:jc w:val="right"/>
              <w:rPr>
                <w:rFonts w:ascii="Arial" w:hAnsi="Arial" w:cs="Arial"/>
                <w:color w:val="000000"/>
                <w:sz w:val="20"/>
              </w:rPr>
            </w:pPr>
          </w:p>
        </w:tc>
      </w:tr>
      <w:tr w:rsidR="00CB3A2E" w:rsidRPr="00313C20" w14:paraId="2F1D9343" w14:textId="77777777" w:rsidTr="00F27605">
        <w:tc>
          <w:tcPr>
            <w:tcW w:w="5716" w:type="dxa"/>
          </w:tcPr>
          <w:p w14:paraId="7867560F" w14:textId="77777777" w:rsidR="00CB3A2E" w:rsidRPr="00313C20" w:rsidRDefault="00CB3A2E" w:rsidP="00F27605">
            <w:pPr>
              <w:autoSpaceDE w:val="0"/>
              <w:autoSpaceDN w:val="0"/>
              <w:adjustRightInd w:val="0"/>
              <w:jc w:val="both"/>
              <w:rPr>
                <w:rFonts w:ascii="Arial" w:hAnsi="Arial" w:cs="Arial"/>
                <w:color w:val="000000"/>
                <w:sz w:val="20"/>
              </w:rPr>
            </w:pPr>
            <w:r w:rsidRPr="00313C20">
              <w:rPr>
                <w:rFonts w:ascii="Arial" w:hAnsi="Arial" w:cs="Arial"/>
                <w:color w:val="000000"/>
                <w:sz w:val="20"/>
              </w:rPr>
              <w:t>Intereses sobre pasivos por arrendamientos (Otros gastos operativos)</w:t>
            </w:r>
          </w:p>
        </w:tc>
        <w:tc>
          <w:tcPr>
            <w:tcW w:w="2645" w:type="dxa"/>
          </w:tcPr>
          <w:p w14:paraId="2F5D7350" w14:textId="1F166D03" w:rsidR="00CB3A2E" w:rsidRPr="00313C20" w:rsidRDefault="00CB3A2E" w:rsidP="00F27605">
            <w:pPr>
              <w:autoSpaceDE w:val="0"/>
              <w:autoSpaceDN w:val="0"/>
              <w:adjustRightInd w:val="0"/>
              <w:jc w:val="right"/>
              <w:rPr>
                <w:rFonts w:ascii="Arial" w:hAnsi="Arial" w:cs="Arial"/>
                <w:color w:val="000000"/>
                <w:sz w:val="20"/>
              </w:rPr>
            </w:pPr>
            <w:r w:rsidRPr="00313C20">
              <w:rPr>
                <w:rFonts w:ascii="Arial" w:hAnsi="Arial" w:cs="Arial"/>
                <w:color w:val="000000"/>
                <w:sz w:val="20"/>
              </w:rPr>
              <w:t>1</w:t>
            </w:r>
            <w:r w:rsidR="00D63203">
              <w:rPr>
                <w:rFonts w:ascii="Arial" w:hAnsi="Arial" w:cs="Arial"/>
                <w:color w:val="000000"/>
                <w:sz w:val="20"/>
              </w:rPr>
              <w:t>73</w:t>
            </w:r>
            <w:r w:rsidRPr="00313C20">
              <w:rPr>
                <w:rFonts w:ascii="Arial" w:hAnsi="Arial" w:cs="Arial"/>
                <w:color w:val="000000"/>
                <w:sz w:val="20"/>
              </w:rPr>
              <w:t>.</w:t>
            </w:r>
            <w:r w:rsidR="00D63203">
              <w:rPr>
                <w:rFonts w:ascii="Arial" w:hAnsi="Arial" w:cs="Arial"/>
                <w:color w:val="000000"/>
                <w:sz w:val="20"/>
              </w:rPr>
              <w:t>964</w:t>
            </w:r>
          </w:p>
        </w:tc>
      </w:tr>
    </w:tbl>
    <w:p w14:paraId="2AE67F47"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67AD8368" w14:textId="77777777" w:rsidR="00CB3A2E" w:rsidRPr="00313C20" w:rsidRDefault="00CB3A2E" w:rsidP="00CB3A2E">
      <w:pPr>
        <w:autoSpaceDE w:val="0"/>
        <w:autoSpaceDN w:val="0"/>
        <w:adjustRightInd w:val="0"/>
        <w:ind w:firstLine="360"/>
        <w:jc w:val="both"/>
        <w:rPr>
          <w:rFonts w:ascii="Arial" w:hAnsi="Arial" w:cs="Arial"/>
          <w:color w:val="000000"/>
          <w:sz w:val="20"/>
        </w:rPr>
      </w:pPr>
      <w:r w:rsidRPr="00313C20">
        <w:rPr>
          <w:rFonts w:ascii="Arial" w:hAnsi="Arial" w:cs="Arial"/>
          <w:color w:val="000000"/>
          <w:sz w:val="20"/>
        </w:rPr>
        <w:t xml:space="preserve">(iii) Actividades de arrendamiento de la Entidad y cómo se contabilizan según la NIIF 16 </w:t>
      </w:r>
    </w:p>
    <w:p w14:paraId="06972AF7"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7057F4B5" w14:textId="77777777" w:rsidR="00CB3A2E" w:rsidRPr="00313C20"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El Banco arrienda varias sucursales. Los contratos de alquiler generalmente se realizan por períodos fijos de 1 a 10 años, pero pueden tener opciones de extensión como se describe en (v) a continuación.</w:t>
      </w:r>
    </w:p>
    <w:p w14:paraId="7953BFAF" w14:textId="77777777" w:rsidR="00CB3A2E" w:rsidRPr="00313C20"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contratos pueden contener componentes de arrendamiento y no. El Banco asigna la consideración en el contrato a los componentes de arrendamiento y no arrendamiento con base en sus precios relativos independientes. Sin embargo, para los arrendamientos de bienes inmuebles para los cuales el Banco es  arrendatario, ha optado por no separar los componentes de arrendamiento y los que no lo son, y en su lugar los contabiliza como un solo componente de arrendamiento.</w:t>
      </w:r>
    </w:p>
    <w:p w14:paraId="1CED8733" w14:textId="77777777" w:rsidR="00CB3A2E" w:rsidRPr="00313C20"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términos de arrendamiento se negocian de manera individual y contienen una amplia gama de términos y condiciones diferentes. Los contratos de arrendamiento no imponen otras obligaciones de hacer o no hacer, que no sean los activos arrendados que posee el arrendador. Los activos arrendados no se pueden usar como garantía para la obtención de préstamos.</w:t>
      </w:r>
    </w:p>
    <w:p w14:paraId="5F687549"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45684F7B" w14:textId="77777777" w:rsidR="00CB3A2E" w:rsidRPr="00313C20"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Hasta el ejercicio 2018, los arrendamientos de propiedad, planta y equipo se clasificaron como arrendamientos operativos. A partir del 1 de enero de 2019, los arrendamientos se reconocen como un activo por derecho de uso registrando un pasivo como contrapartida en la fecha en que el activo arrendado está disponible para uso de la Entidad.</w:t>
      </w:r>
    </w:p>
    <w:p w14:paraId="4DBDF2FB"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0B1F6419" w14:textId="77777777" w:rsidR="00CB3A2E"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activos y pasivos que surgen de un arrendamiento se miden inicialmente sobre la base del valor presente. Los pasivos por arrendamiento incluyen el valor presente neto de los siguientes pagos por arrendamiento:</w:t>
      </w:r>
    </w:p>
    <w:p w14:paraId="4E4FCF8C"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66DA1E1A"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pagos fijos (incluidos los pagos fijos en sustancia), menos cualquier activo por incentivo a cobrar</w:t>
      </w:r>
    </w:p>
    <w:p w14:paraId="58C1A908"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pagos por arrendamiento variable basados en un índice o una tasa, inicialmente medido utilizando el índice o la tasa en la fecha de inicio</w:t>
      </w:r>
    </w:p>
    <w:p w14:paraId="187E6CBA"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importes que el Banco debe pagar bajo garantías de valor residual</w:t>
      </w:r>
    </w:p>
    <w:p w14:paraId="451DE6B9"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el precio de ejercicio de una opción de compra si el Banco está razonablemente seguro de ejercer esa opción, y</w:t>
      </w:r>
    </w:p>
    <w:p w14:paraId="2729282B"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 xml:space="preserve">pagos de multas por rescindir el arrendamiento, si el plazo del arrendamiento refleja que el Banco va a ejercer esa opción. </w:t>
      </w:r>
    </w:p>
    <w:p w14:paraId="70F6AEBE"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429AA6E9" w14:textId="77777777" w:rsidR="00CB3A2E" w:rsidRPr="00313C20"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pagos por arrendamiento que se realizarán bajo opciones de extensión razonablemente ciertas también se incluyen en la medición del pasivo.</w:t>
      </w:r>
    </w:p>
    <w:p w14:paraId="42020419" w14:textId="77777777" w:rsidR="00CB3A2E" w:rsidRDefault="00CB3A2E" w:rsidP="00CB3A2E">
      <w:pPr>
        <w:autoSpaceDE w:val="0"/>
        <w:autoSpaceDN w:val="0"/>
        <w:adjustRightInd w:val="0"/>
        <w:ind w:left="360"/>
        <w:jc w:val="both"/>
        <w:rPr>
          <w:rFonts w:ascii="Arial" w:hAnsi="Arial" w:cs="Arial"/>
          <w:color w:val="000000"/>
          <w:sz w:val="20"/>
        </w:rPr>
      </w:pPr>
    </w:p>
    <w:p w14:paraId="6264098C" w14:textId="77777777" w:rsidR="00CB3A2E" w:rsidRPr="00313C20"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pagos de arrendamiento se descuentan utilizando la tasa de interés implícita en el arrendamiento. Si esa tasa no se puede determinar fácilmente, que generalmente es el caso de los arrendamientos en el Banco, se utiliza la tasa de endeudamiento incremental del arrendatario, que es la tasa que el arrendatario individual tendría que pagar para pedir prestados los fondos necesarios para obtener un activo de valor similar al activo por derecho de uso en un entorno económico similar con términos, seguridad y condiciones similares.</w:t>
      </w:r>
    </w:p>
    <w:p w14:paraId="32CF313A" w14:textId="77777777" w:rsidR="00CB3A2E" w:rsidRPr="00313C20" w:rsidRDefault="00CB3A2E" w:rsidP="00CB3A2E">
      <w:pPr>
        <w:autoSpaceDE w:val="0"/>
        <w:autoSpaceDN w:val="0"/>
        <w:adjustRightInd w:val="0"/>
        <w:jc w:val="both"/>
        <w:rPr>
          <w:rFonts w:ascii="Arial" w:hAnsi="Arial" w:cs="Arial"/>
          <w:color w:val="000000"/>
          <w:sz w:val="20"/>
        </w:rPr>
      </w:pPr>
    </w:p>
    <w:p w14:paraId="51A05117" w14:textId="77777777" w:rsidR="00CB3A2E"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Para determinar la tasa de interés incremental, el Banco:</w:t>
      </w:r>
    </w:p>
    <w:p w14:paraId="0E53C317"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3E6FF3C4"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siempre que sea posible, utiliza el financiamiento externo recibido recientemente como punto de partida, ajustado para reflejar los cambios en las condiciones de financiamiento desde que se recibió el financiamiento externo.</w:t>
      </w:r>
    </w:p>
    <w:p w14:paraId="67E778B2"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utiliza un enfoque de determinación de la tasa que comienza con una tasa de interés libre de riesgo ajustada por riesgo de crédito para arrendamientos que ya posee la Entidad para aquellos casos en los que no cuenta con financiamiento reciente de terceros, y</w:t>
      </w:r>
    </w:p>
    <w:p w14:paraId="360E4458"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realiza ajustes específicos para el arrendamiento, por ejemplo, plazo, moneda y garantía.</w:t>
      </w:r>
    </w:p>
    <w:p w14:paraId="5C60AB39"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03959FF3" w14:textId="77777777" w:rsidR="00CB3A2E" w:rsidRPr="00313C20"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El Banco está expuesto a posibles aumentos futuros en los pagos de arrendamiento variables basados ​​en un índice o tasa, que no se incluyen en el pasivo por arrendamiento hasta que entren en vigencia. Cuando los ajustes a los pagos por arrendamiento basados ​​en un índice o tasa entran en vigencia, el pasivo por arrendamiento se reevalúa y ajusta contra el activo por derecho de uso.</w:t>
      </w:r>
    </w:p>
    <w:p w14:paraId="1E25D285"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2C09F65C" w14:textId="77777777" w:rsidR="00CB3A2E" w:rsidRPr="00313C20"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 xml:space="preserve">Los pagos por arrendamiento se asignan entre el capital y el costo financiero. El costo financiero se carga a resultados durante el período de arrendamiento para producir una tasa de interés periódica constante sobre el saldo restante del pasivo para cada período. </w:t>
      </w:r>
    </w:p>
    <w:p w14:paraId="153CEA30"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5CF0E0D8" w14:textId="77777777" w:rsidR="00CB3A2E"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activos por derecho de uso se miden al costo que comprende lo siguiente:</w:t>
      </w:r>
    </w:p>
    <w:p w14:paraId="1FEE9B28"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1FC31B75"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el importe de la medición inicial del pasivo por arrendamiento</w:t>
      </w:r>
    </w:p>
    <w:p w14:paraId="1B012DC0"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 xml:space="preserve">cualquier pago por arrendamiento realizado en o antes de la fecha de inicio menos cualquier activo por incentivo de arrendamiento </w:t>
      </w:r>
    </w:p>
    <w:p w14:paraId="1744D4DA"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cualquier costo directo inicial, y</w:t>
      </w:r>
    </w:p>
    <w:p w14:paraId="46A66837" w14:textId="77777777" w:rsidR="00CB3A2E" w:rsidRPr="00313C20" w:rsidRDefault="00CB3A2E" w:rsidP="00CB3A2E">
      <w:pPr>
        <w:pStyle w:val="Prrafodelista"/>
        <w:numPr>
          <w:ilvl w:val="0"/>
          <w:numId w:val="59"/>
        </w:numPr>
        <w:autoSpaceDE w:val="0"/>
        <w:autoSpaceDN w:val="0"/>
        <w:adjustRightInd w:val="0"/>
        <w:jc w:val="both"/>
        <w:rPr>
          <w:rFonts w:ascii="Arial" w:hAnsi="Arial" w:cs="Arial"/>
          <w:color w:val="000000"/>
          <w:sz w:val="20"/>
        </w:rPr>
      </w:pPr>
      <w:r w:rsidRPr="00313C20">
        <w:rPr>
          <w:rFonts w:ascii="Arial" w:hAnsi="Arial" w:cs="Arial"/>
          <w:color w:val="000000"/>
          <w:sz w:val="20"/>
        </w:rPr>
        <w:t>costos de restauración.</w:t>
      </w:r>
    </w:p>
    <w:p w14:paraId="78F8E895"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7FFF9DD4" w14:textId="77777777" w:rsidR="00CB3A2E" w:rsidRPr="00313C20"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activos por derecho de uso generalmente se deprecian durante la vida útil más corta del activo y el plazo del arrendamiento en forma lineal.</w:t>
      </w:r>
    </w:p>
    <w:p w14:paraId="0C56B80B"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75DF325E" w14:textId="77777777" w:rsidR="00CB3A2E" w:rsidRPr="00313C20"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Los pagos asociados con arrendamientos a corto plazo de equipos y todos los arrendamientos de activos de bajo valor se reconocen linealmente como un gasto en resultados. Los arrendamientos a corto plazo son arrendamientos con un plazo de arrendamiento de 12 meses o menos. Los activos de bajo valor comprenden equipos informáticos y pequeños artículos de mobiliario de oficina.</w:t>
      </w:r>
    </w:p>
    <w:p w14:paraId="0E9C3F15" w14:textId="77777777" w:rsidR="00CB3A2E" w:rsidRPr="00313C20" w:rsidRDefault="00CB3A2E" w:rsidP="00CB3A2E">
      <w:pPr>
        <w:autoSpaceDE w:val="0"/>
        <w:autoSpaceDN w:val="0"/>
        <w:adjustRightInd w:val="0"/>
        <w:jc w:val="both"/>
        <w:rPr>
          <w:rFonts w:ascii="Arial" w:hAnsi="Arial" w:cs="Arial"/>
          <w:color w:val="000000"/>
          <w:sz w:val="20"/>
        </w:rPr>
      </w:pPr>
    </w:p>
    <w:p w14:paraId="1B2CB0B8" w14:textId="77777777" w:rsidR="00CB3A2E" w:rsidRPr="00313C20"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(v) Opciones de extensión y terminación</w:t>
      </w:r>
    </w:p>
    <w:p w14:paraId="1C843D24"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182A4DB2" w14:textId="13C53F60" w:rsidR="00CB3A2E" w:rsidRDefault="00CB3A2E" w:rsidP="00CB3A2E">
      <w:pPr>
        <w:autoSpaceDE w:val="0"/>
        <w:autoSpaceDN w:val="0"/>
        <w:adjustRightInd w:val="0"/>
        <w:ind w:left="360"/>
        <w:jc w:val="both"/>
        <w:rPr>
          <w:rFonts w:ascii="Arial" w:hAnsi="Arial" w:cs="Arial"/>
          <w:color w:val="000000"/>
          <w:sz w:val="20"/>
        </w:rPr>
      </w:pPr>
      <w:r w:rsidRPr="00313C20">
        <w:rPr>
          <w:rFonts w:ascii="Arial" w:hAnsi="Arial" w:cs="Arial"/>
          <w:color w:val="000000"/>
          <w:sz w:val="20"/>
        </w:rPr>
        <w:t>Las opciones de extensión y terminación están incluidas en varios contratos de arrendamiento de propiedades. Estos se utilizan para maximizar la flexibilidad operativa en términos de gestión de los activos utilizados en las operaciones. La mayoría de las opciones de extensión y terminación mantenidas son ejercibles solo por el Banco y no por el arrendador respectivo.</w:t>
      </w:r>
    </w:p>
    <w:p w14:paraId="76F94AED" w14:textId="77777777" w:rsidR="00CB3A2E" w:rsidRPr="00313C20" w:rsidRDefault="00CB3A2E" w:rsidP="00CB3A2E">
      <w:pPr>
        <w:autoSpaceDE w:val="0"/>
        <w:autoSpaceDN w:val="0"/>
        <w:adjustRightInd w:val="0"/>
        <w:ind w:left="360"/>
        <w:jc w:val="both"/>
        <w:rPr>
          <w:rFonts w:ascii="Arial" w:hAnsi="Arial" w:cs="Arial"/>
          <w:color w:val="000000"/>
          <w:sz w:val="20"/>
        </w:rPr>
      </w:pPr>
    </w:p>
    <w:p w14:paraId="36627CCF" w14:textId="7DA443D9" w:rsidR="00E23C30" w:rsidRPr="00073290" w:rsidRDefault="00E23C30" w:rsidP="00E23C30">
      <w:pPr>
        <w:widowControl w:val="0"/>
        <w:autoSpaceDE w:val="0"/>
        <w:autoSpaceDN w:val="0"/>
        <w:adjustRightInd w:val="0"/>
        <w:jc w:val="both"/>
        <w:rPr>
          <w:rFonts w:ascii="Arial" w:hAnsi="Arial" w:cs="Arial"/>
          <w:b/>
          <w:noProof/>
          <w:sz w:val="20"/>
        </w:rPr>
      </w:pPr>
      <w:r w:rsidRPr="00073290">
        <w:rPr>
          <w:rFonts w:ascii="Arial" w:hAnsi="Arial" w:cs="Arial"/>
          <w:b/>
          <w:noProof/>
          <w:sz w:val="20"/>
        </w:rPr>
        <w:t>1</w:t>
      </w:r>
      <w:r w:rsidR="002A4D61">
        <w:rPr>
          <w:rFonts w:ascii="Arial" w:hAnsi="Arial" w:cs="Arial"/>
          <w:b/>
          <w:noProof/>
          <w:sz w:val="20"/>
        </w:rPr>
        <w:t>6</w:t>
      </w:r>
      <w:r w:rsidRPr="00073290">
        <w:rPr>
          <w:rFonts w:ascii="Arial" w:hAnsi="Arial" w:cs="Arial"/>
          <w:b/>
          <w:noProof/>
          <w:sz w:val="20"/>
        </w:rPr>
        <w:t>. CONTRATO COMO AGENTE FINANCIERO POR PARTE DE LA PROVINCIA DE SAN LUIS</w:t>
      </w:r>
    </w:p>
    <w:p w14:paraId="7B5AE38B" w14:textId="77777777" w:rsidR="00E23C30" w:rsidRPr="00E23C30" w:rsidRDefault="00E23C30" w:rsidP="00E23C30">
      <w:pPr>
        <w:widowControl w:val="0"/>
        <w:autoSpaceDE w:val="0"/>
        <w:autoSpaceDN w:val="0"/>
        <w:adjustRightInd w:val="0"/>
        <w:jc w:val="both"/>
        <w:rPr>
          <w:rFonts w:ascii="Arial" w:hAnsi="Arial" w:cs="Arial"/>
          <w:noProof/>
          <w:sz w:val="20"/>
        </w:rPr>
      </w:pPr>
    </w:p>
    <w:p w14:paraId="01502257"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Con fecha 17 de enero de 2017 se recibió una comunicación fehaciente del Ministerio de Hacienda Pública de la Provincia de San Luis mediante la cual se comunica a Banco Supervielle S.A. que a partir del 28 de febrero de 2017 se rescindió el Contrato de Vinculación mediante el cual la Entidad cumple el rol de Agente Financiero de esa provincia. Dicho Ministerio también manifestó que, sin perjuicio del ejercicio del derecho a rescindir el contrato, el Estado Provincial podrá continuar operando con el Banco hasta tanto se seleccione un nuevo agente financiero.</w:t>
      </w:r>
    </w:p>
    <w:p w14:paraId="7A422790"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 xml:space="preserve"> </w:t>
      </w:r>
    </w:p>
    <w:p w14:paraId="56F4B5D9"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Desde febrero de 2017, el Banco ha continuado brindando servicios financieros al gobierno de la Provincia de San Luis y a sus empleados a pesar de la terminación del acuerdo en febrero de 2017.</w:t>
      </w:r>
    </w:p>
    <w:p w14:paraId="04F138DA"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 xml:space="preserve"> </w:t>
      </w:r>
    </w:p>
    <w:p w14:paraId="351EAFB4"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El 23 de mayo de 2018, la Municipalidad de la ciudad de San Luis designó al Banco Supervielle como agente financiero por un período de 2 años, con renovación automática por 2 años adicionales, comenzando con el primer pago de sueldos el 29 de junio del año en curso. Con esta designación, el Banco se convirtió en agente financiero de todos los municipios de la Provincia.</w:t>
      </w:r>
    </w:p>
    <w:p w14:paraId="7547622E" w14:textId="77777777"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 xml:space="preserve"> </w:t>
      </w:r>
    </w:p>
    <w:p w14:paraId="4E8E7E17" w14:textId="50FF5A31" w:rsidR="001859C8" w:rsidRPr="001859C8"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 xml:space="preserve">El 7 de junio de 2018, la Provincia ratificó el convenio firmado con el Banco por un plazo de 12 meses formalizando su rol de agente de servicios financieros exclusivo que ha continuado ejerciendo desde hace más de 20 años. El dicho convenió venció el 9 de diciembre de 2019 y el mismo </w:t>
      </w:r>
      <w:r w:rsidR="00EA6379">
        <w:rPr>
          <w:rFonts w:ascii="Arial" w:hAnsi="Arial" w:cs="Arial"/>
          <w:sz w:val="20"/>
        </w:rPr>
        <w:t>ha sido</w:t>
      </w:r>
      <w:r w:rsidRPr="001859C8">
        <w:rPr>
          <w:rFonts w:ascii="Arial" w:hAnsi="Arial" w:cs="Arial"/>
          <w:sz w:val="20"/>
        </w:rPr>
        <w:t xml:space="preserve"> renovado hasta el 31 de marzo de 2020.</w:t>
      </w:r>
    </w:p>
    <w:p w14:paraId="4B880A1A" w14:textId="77777777" w:rsidR="001859C8" w:rsidRPr="001859C8" w:rsidRDefault="001859C8" w:rsidP="001859C8">
      <w:pPr>
        <w:widowControl w:val="0"/>
        <w:autoSpaceDE w:val="0"/>
        <w:autoSpaceDN w:val="0"/>
        <w:adjustRightInd w:val="0"/>
        <w:jc w:val="both"/>
        <w:rPr>
          <w:rFonts w:ascii="Arial" w:hAnsi="Arial" w:cs="Arial"/>
          <w:sz w:val="20"/>
        </w:rPr>
      </w:pPr>
    </w:p>
    <w:p w14:paraId="03223FAB" w14:textId="77777777" w:rsidR="00EA6379" w:rsidRDefault="00EA6379" w:rsidP="00EA6379">
      <w:pPr>
        <w:jc w:val="both"/>
        <w:rPr>
          <w:szCs w:val="24"/>
          <w:lang w:eastAsia="es-ES_tradnl"/>
        </w:rPr>
      </w:pPr>
      <w:r>
        <w:rPr>
          <w:rFonts w:ascii="Arial" w:hAnsi="Arial" w:cs="Arial"/>
          <w:color w:val="000000"/>
          <w:sz w:val="20"/>
          <w:lang w:eastAsia="es-ES_tradnl"/>
        </w:rPr>
        <w:t xml:space="preserve">En enero de 2019, el gobierno de la Provincia de San Luis dio a conocer los términos y condiciones de la subasta que realizará la Provincia para el nuevo acuerdo de agencia financiera. El Banco presentó una oferta el 15 de marzo de 2019. Solamente dos ofertas fueron presentadas. Con fecha 6 de diciembre de 2019, el gobierno de la Provincia de San Luis emitió el Decreto Nro, 8589 que resolvió cerrar la licitación sin adjudicar el acuerdo de agente financiero. </w:t>
      </w:r>
    </w:p>
    <w:p w14:paraId="6612D9D3" w14:textId="77777777" w:rsidR="00EA6379" w:rsidRPr="001859C8" w:rsidRDefault="00EA6379" w:rsidP="001859C8">
      <w:pPr>
        <w:widowControl w:val="0"/>
        <w:autoSpaceDE w:val="0"/>
        <w:autoSpaceDN w:val="0"/>
        <w:adjustRightInd w:val="0"/>
        <w:jc w:val="both"/>
        <w:rPr>
          <w:rFonts w:ascii="Arial" w:hAnsi="Arial" w:cs="Arial"/>
          <w:sz w:val="20"/>
        </w:rPr>
      </w:pPr>
    </w:p>
    <w:p w14:paraId="756E2CDD" w14:textId="4D226BAB" w:rsidR="00151C24" w:rsidRDefault="001859C8" w:rsidP="001859C8">
      <w:pPr>
        <w:widowControl w:val="0"/>
        <w:autoSpaceDE w:val="0"/>
        <w:autoSpaceDN w:val="0"/>
        <w:adjustRightInd w:val="0"/>
        <w:jc w:val="both"/>
        <w:rPr>
          <w:rFonts w:ascii="Arial" w:hAnsi="Arial" w:cs="Arial"/>
          <w:sz w:val="20"/>
        </w:rPr>
      </w:pPr>
      <w:r w:rsidRPr="001859C8">
        <w:rPr>
          <w:rFonts w:ascii="Arial" w:hAnsi="Arial" w:cs="Arial"/>
          <w:sz w:val="20"/>
        </w:rPr>
        <w:t>A la fecha de los presentes estados financieros, el Banco continúa brindando servicios financieros al gobierno provincial de la Provincia de San Luis y sus empleados.</w:t>
      </w:r>
    </w:p>
    <w:p w14:paraId="3C894B66" w14:textId="77777777" w:rsidR="001859C8" w:rsidRDefault="001859C8" w:rsidP="001859C8">
      <w:pPr>
        <w:widowControl w:val="0"/>
        <w:autoSpaceDE w:val="0"/>
        <w:autoSpaceDN w:val="0"/>
        <w:adjustRightInd w:val="0"/>
        <w:jc w:val="both"/>
        <w:rPr>
          <w:rFonts w:ascii="Arial" w:hAnsi="Arial" w:cs="Arial"/>
          <w:noProof/>
          <w:sz w:val="20"/>
        </w:rPr>
      </w:pPr>
    </w:p>
    <w:p w14:paraId="69BC4FED" w14:textId="77777777" w:rsidR="002A4D61" w:rsidRPr="00701F32" w:rsidRDefault="002A4D61" w:rsidP="002A4D61">
      <w:pPr>
        <w:rPr>
          <w:rFonts w:ascii="Arial" w:eastAsia="Calibri" w:hAnsi="Arial" w:cs="Arial"/>
          <w:b/>
          <w:bCs/>
          <w:sz w:val="20"/>
        </w:rPr>
      </w:pPr>
      <w:r>
        <w:rPr>
          <w:rFonts w:ascii="Arial" w:hAnsi="Arial" w:cs="Arial"/>
          <w:b/>
          <w:noProof/>
          <w:sz w:val="20"/>
        </w:rPr>
        <w:t>17</w:t>
      </w:r>
      <w:r w:rsidRPr="002B52DE">
        <w:rPr>
          <w:rFonts w:ascii="Arial" w:hAnsi="Arial" w:cs="Arial"/>
          <w:b/>
          <w:caps/>
          <w:noProof/>
          <w:sz w:val="20"/>
        </w:rPr>
        <w:t>.</w:t>
      </w:r>
      <w:r w:rsidRPr="002B52DE">
        <w:rPr>
          <w:rFonts w:ascii="Arial" w:eastAsia="Calibri" w:hAnsi="Arial" w:cs="Arial"/>
          <w:b/>
          <w:bCs/>
          <w:caps/>
          <w:sz w:val="20"/>
        </w:rPr>
        <w:t xml:space="preserve"> Instrumentos Financieros</w:t>
      </w:r>
      <w:r w:rsidRPr="00701F32">
        <w:rPr>
          <w:rFonts w:ascii="Arial" w:eastAsia="Calibri" w:hAnsi="Arial" w:cs="Arial"/>
          <w:b/>
          <w:bCs/>
          <w:sz w:val="20"/>
        </w:rPr>
        <w:t xml:space="preserve"> </w:t>
      </w:r>
    </w:p>
    <w:p w14:paraId="78533533" w14:textId="77777777" w:rsidR="002A4D61" w:rsidRDefault="002A4D61" w:rsidP="002A4D61">
      <w:pPr>
        <w:spacing w:line="259" w:lineRule="auto"/>
        <w:jc w:val="both"/>
        <w:rPr>
          <w:rFonts w:ascii="Arial" w:eastAsia="Calibri" w:hAnsi="Arial" w:cs="Arial"/>
          <w:sz w:val="20"/>
        </w:rPr>
      </w:pPr>
    </w:p>
    <w:p w14:paraId="2B2CDA44" w14:textId="101EA160" w:rsidR="002A4D61" w:rsidRDefault="002A4D61" w:rsidP="002A4D61">
      <w:pPr>
        <w:spacing w:line="259" w:lineRule="auto"/>
        <w:jc w:val="both"/>
        <w:rPr>
          <w:rFonts w:ascii="Arial" w:eastAsia="Calibri" w:hAnsi="Arial" w:cs="Arial"/>
          <w:sz w:val="20"/>
        </w:rPr>
      </w:pPr>
      <w:r>
        <w:rPr>
          <w:rFonts w:ascii="Arial" w:eastAsia="Calibri" w:hAnsi="Arial" w:cs="Arial"/>
          <w:sz w:val="20"/>
        </w:rPr>
        <w:t>Los instrumentos financieros</w:t>
      </w:r>
      <w:r w:rsidRPr="00701F32">
        <w:rPr>
          <w:rFonts w:ascii="Arial" w:eastAsia="Calibri" w:hAnsi="Arial" w:cs="Arial"/>
          <w:sz w:val="20"/>
        </w:rPr>
        <w:t xml:space="preserve"> para el </w:t>
      </w:r>
      <w:r>
        <w:rPr>
          <w:rFonts w:ascii="Arial" w:eastAsia="Calibri" w:hAnsi="Arial" w:cs="Arial"/>
          <w:sz w:val="20"/>
        </w:rPr>
        <w:t>ejercicio finalizado el 31</w:t>
      </w:r>
      <w:r w:rsidRPr="00701F32">
        <w:rPr>
          <w:rFonts w:ascii="Arial" w:eastAsia="Calibri" w:hAnsi="Arial" w:cs="Arial"/>
          <w:sz w:val="20"/>
        </w:rPr>
        <w:t xml:space="preserve"> de </w:t>
      </w:r>
      <w:r>
        <w:rPr>
          <w:rFonts w:ascii="Arial" w:eastAsia="Calibri" w:hAnsi="Arial" w:cs="Arial"/>
          <w:sz w:val="20"/>
        </w:rPr>
        <w:t>diciembre de 201</w:t>
      </w:r>
      <w:r w:rsidR="00970522">
        <w:rPr>
          <w:rFonts w:ascii="Arial" w:eastAsia="Calibri" w:hAnsi="Arial" w:cs="Arial"/>
          <w:sz w:val="20"/>
        </w:rPr>
        <w:t>9</w:t>
      </w:r>
      <w:r w:rsidRPr="00701F32">
        <w:rPr>
          <w:rFonts w:ascii="Arial" w:eastAsia="Calibri" w:hAnsi="Arial" w:cs="Arial"/>
          <w:sz w:val="20"/>
        </w:rPr>
        <w:t xml:space="preserve"> se detallan en el Anexo </w:t>
      </w:r>
      <w:r>
        <w:rPr>
          <w:rFonts w:ascii="Arial" w:eastAsia="Calibri" w:hAnsi="Arial" w:cs="Arial"/>
          <w:sz w:val="20"/>
        </w:rPr>
        <w:t>P</w:t>
      </w:r>
      <w:r w:rsidRPr="00701F32">
        <w:rPr>
          <w:rFonts w:ascii="Arial" w:eastAsia="Calibri" w:hAnsi="Arial" w:cs="Arial"/>
          <w:sz w:val="20"/>
        </w:rPr>
        <w:t xml:space="preserve"> adjunto a estos estados financieros </w:t>
      </w:r>
      <w:r>
        <w:rPr>
          <w:rFonts w:ascii="Arial" w:eastAsia="Calibri" w:hAnsi="Arial" w:cs="Arial"/>
          <w:sz w:val="20"/>
        </w:rPr>
        <w:t>separados</w:t>
      </w:r>
      <w:r w:rsidRPr="00701F32">
        <w:rPr>
          <w:rFonts w:ascii="Arial" w:eastAsia="Calibri" w:hAnsi="Arial" w:cs="Arial"/>
          <w:sz w:val="20"/>
        </w:rPr>
        <w:t>.</w:t>
      </w:r>
    </w:p>
    <w:p w14:paraId="72BE3C8A" w14:textId="77777777" w:rsidR="002A4D61" w:rsidRDefault="002A4D61" w:rsidP="002A4D61">
      <w:pPr>
        <w:spacing w:line="259" w:lineRule="auto"/>
        <w:jc w:val="both"/>
        <w:rPr>
          <w:rFonts w:ascii="Arial" w:eastAsia="Calibri" w:hAnsi="Arial" w:cs="Arial"/>
          <w:sz w:val="20"/>
        </w:rPr>
      </w:pPr>
    </w:p>
    <w:p w14:paraId="0725722C" w14:textId="60E769C8" w:rsidR="002A4D61" w:rsidRDefault="002A4D61" w:rsidP="002A4D61">
      <w:pPr>
        <w:spacing w:line="259" w:lineRule="auto"/>
        <w:jc w:val="both"/>
        <w:rPr>
          <w:rFonts w:ascii="Arial" w:eastAsia="Calibri" w:hAnsi="Arial" w:cs="Arial"/>
          <w:sz w:val="20"/>
        </w:rPr>
      </w:pPr>
      <w:r w:rsidRPr="00701F32">
        <w:rPr>
          <w:rFonts w:ascii="Arial" w:eastAsia="Calibri" w:hAnsi="Arial" w:cs="Arial"/>
          <w:sz w:val="20"/>
        </w:rPr>
        <w:t>Al cierre de</w:t>
      </w:r>
      <w:r>
        <w:rPr>
          <w:rFonts w:ascii="Arial" w:eastAsia="Calibri" w:hAnsi="Arial" w:cs="Arial"/>
          <w:sz w:val="20"/>
        </w:rPr>
        <w:t xml:space="preserve"> </w:t>
      </w:r>
      <w:r w:rsidRPr="00701F32">
        <w:rPr>
          <w:rFonts w:ascii="Arial" w:eastAsia="Calibri" w:hAnsi="Arial" w:cs="Arial"/>
          <w:sz w:val="20"/>
        </w:rPr>
        <w:t>l</w:t>
      </w:r>
      <w:r>
        <w:rPr>
          <w:rFonts w:ascii="Arial" w:eastAsia="Calibri" w:hAnsi="Arial" w:cs="Arial"/>
          <w:sz w:val="20"/>
        </w:rPr>
        <w:t>os</w:t>
      </w:r>
      <w:r w:rsidRPr="00701F32">
        <w:rPr>
          <w:rFonts w:ascii="Arial" w:eastAsia="Calibri" w:hAnsi="Arial" w:cs="Arial"/>
          <w:sz w:val="20"/>
        </w:rPr>
        <w:t xml:space="preserve"> ejercicio</w:t>
      </w:r>
      <w:r>
        <w:rPr>
          <w:rFonts w:ascii="Arial" w:eastAsia="Calibri" w:hAnsi="Arial" w:cs="Arial"/>
          <w:sz w:val="20"/>
        </w:rPr>
        <w:t>s finalizados al 31 de diciembre de 201</w:t>
      </w:r>
      <w:r w:rsidR="00970522">
        <w:rPr>
          <w:rFonts w:ascii="Arial" w:eastAsia="Calibri" w:hAnsi="Arial" w:cs="Arial"/>
          <w:sz w:val="20"/>
        </w:rPr>
        <w:t>8</w:t>
      </w:r>
      <w:r w:rsidRPr="00701F32">
        <w:rPr>
          <w:rFonts w:ascii="Arial" w:eastAsia="Calibri" w:hAnsi="Arial" w:cs="Arial"/>
          <w:sz w:val="20"/>
        </w:rPr>
        <w:t xml:space="preserve"> la Entidad mantiene los siguientes instrumentos financieros:</w:t>
      </w:r>
    </w:p>
    <w:p w14:paraId="43FB1BD3" w14:textId="77777777" w:rsidR="00645BF5" w:rsidRPr="00701F32" w:rsidRDefault="00645BF5" w:rsidP="002A4D61">
      <w:pPr>
        <w:spacing w:line="259" w:lineRule="auto"/>
        <w:jc w:val="both"/>
        <w:rPr>
          <w:rFonts w:ascii="Arial" w:eastAsia="Calibri" w:hAnsi="Arial" w:cs="Arial"/>
          <w:sz w:val="20"/>
        </w:rPr>
      </w:pPr>
    </w:p>
    <w:tbl>
      <w:tblPr>
        <w:tblW w:w="5000" w:type="pct"/>
        <w:tblLayout w:type="fixed"/>
        <w:tblCellMar>
          <w:left w:w="70" w:type="dxa"/>
          <w:right w:w="70" w:type="dxa"/>
        </w:tblCellMar>
        <w:tblLook w:val="04A0" w:firstRow="1" w:lastRow="0" w:firstColumn="1" w:lastColumn="0" w:noHBand="0" w:noVBand="1"/>
      </w:tblPr>
      <w:tblGrid>
        <w:gridCol w:w="3740"/>
        <w:gridCol w:w="1183"/>
        <w:gridCol w:w="1292"/>
        <w:gridCol w:w="1215"/>
        <w:gridCol w:w="1215"/>
      </w:tblGrid>
      <w:tr w:rsidR="002A4D61" w:rsidRPr="00701F32" w14:paraId="7240A026" w14:textId="77777777" w:rsidTr="002A4D61">
        <w:trPr>
          <w:trHeight w:val="228"/>
          <w:tblHeader/>
        </w:trPr>
        <w:tc>
          <w:tcPr>
            <w:tcW w:w="21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7C20F" w14:textId="1E9717B2" w:rsidR="002A4D61" w:rsidRPr="00701F32" w:rsidRDefault="002A4D61" w:rsidP="002A4D61">
            <w:pPr>
              <w:rPr>
                <w:rFonts w:ascii="Arial" w:hAnsi="Arial" w:cs="Arial"/>
                <w:b/>
                <w:color w:val="000000"/>
                <w:sz w:val="18"/>
                <w:szCs w:val="18"/>
                <w:lang w:eastAsia="es-AR"/>
              </w:rPr>
            </w:pPr>
            <w:r w:rsidRPr="00701F32">
              <w:rPr>
                <w:rFonts w:ascii="Arial" w:hAnsi="Arial" w:cs="Arial"/>
                <w:b/>
                <w:color w:val="000000"/>
                <w:sz w:val="18"/>
                <w:szCs w:val="18"/>
                <w:lang w:eastAsia="es-AR"/>
              </w:rPr>
              <w:t>Cartera de instrumentos al 31/12/201</w:t>
            </w:r>
            <w:r w:rsidR="00970522">
              <w:rPr>
                <w:rFonts w:ascii="Arial" w:hAnsi="Arial" w:cs="Arial"/>
                <w:b/>
                <w:color w:val="000000"/>
                <w:sz w:val="18"/>
                <w:szCs w:val="18"/>
                <w:lang w:eastAsia="es-AR"/>
              </w:rPr>
              <w:t>8</w:t>
            </w:r>
          </w:p>
        </w:tc>
        <w:tc>
          <w:tcPr>
            <w:tcW w:w="684" w:type="pct"/>
            <w:tcBorders>
              <w:top w:val="single" w:sz="4" w:space="0" w:color="auto"/>
              <w:left w:val="nil"/>
              <w:bottom w:val="single" w:sz="4" w:space="0" w:color="auto"/>
              <w:right w:val="single" w:sz="4" w:space="0" w:color="auto"/>
            </w:tcBorders>
            <w:shd w:val="clear" w:color="auto" w:fill="auto"/>
            <w:noWrap/>
            <w:vAlign w:val="center"/>
            <w:hideMark/>
          </w:tcPr>
          <w:p w14:paraId="136C7CF6" w14:textId="77777777" w:rsidR="002A4D61" w:rsidRPr="00701F32" w:rsidRDefault="002A4D61" w:rsidP="002A4D61">
            <w:pPr>
              <w:jc w:val="center"/>
              <w:rPr>
                <w:rFonts w:ascii="Arial" w:hAnsi="Arial" w:cs="Arial"/>
                <w:b/>
                <w:bCs/>
                <w:color w:val="000000"/>
                <w:sz w:val="18"/>
                <w:szCs w:val="18"/>
              </w:rPr>
            </w:pPr>
            <w:r w:rsidRPr="00701F32">
              <w:rPr>
                <w:rFonts w:ascii="Arial" w:hAnsi="Arial" w:cs="Arial"/>
                <w:b/>
                <w:bCs/>
                <w:color w:val="000000"/>
                <w:sz w:val="18"/>
                <w:szCs w:val="18"/>
              </w:rPr>
              <w:t>Costo Amortizado</w:t>
            </w:r>
          </w:p>
        </w:tc>
        <w:tc>
          <w:tcPr>
            <w:tcW w:w="747" w:type="pct"/>
            <w:tcBorders>
              <w:top w:val="single" w:sz="4" w:space="0" w:color="auto"/>
              <w:left w:val="nil"/>
              <w:bottom w:val="single" w:sz="4" w:space="0" w:color="auto"/>
              <w:right w:val="single" w:sz="4" w:space="0" w:color="auto"/>
            </w:tcBorders>
            <w:shd w:val="clear" w:color="auto" w:fill="auto"/>
            <w:noWrap/>
            <w:vAlign w:val="center"/>
            <w:hideMark/>
          </w:tcPr>
          <w:p w14:paraId="4402B618" w14:textId="77777777" w:rsidR="002A4D61" w:rsidRPr="00701F32" w:rsidRDefault="002A4D61" w:rsidP="002A4D61">
            <w:pPr>
              <w:jc w:val="center"/>
              <w:rPr>
                <w:rFonts w:ascii="Arial" w:hAnsi="Arial" w:cs="Arial"/>
                <w:b/>
                <w:bCs/>
                <w:color w:val="000000"/>
                <w:sz w:val="18"/>
                <w:szCs w:val="18"/>
              </w:rPr>
            </w:pPr>
            <w:r w:rsidRPr="00701F32">
              <w:rPr>
                <w:rFonts w:ascii="Arial" w:hAnsi="Arial" w:cs="Arial"/>
                <w:b/>
                <w:bCs/>
                <w:color w:val="000000"/>
                <w:sz w:val="18"/>
                <w:szCs w:val="18"/>
              </w:rPr>
              <w:t>Valor Razonable - Resultados</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14:paraId="3710908F" w14:textId="77777777" w:rsidR="002A4D61" w:rsidRPr="00701F32" w:rsidRDefault="002A4D61" w:rsidP="002A4D61">
            <w:pPr>
              <w:jc w:val="center"/>
              <w:rPr>
                <w:rFonts w:ascii="Arial" w:hAnsi="Arial" w:cs="Arial"/>
                <w:b/>
                <w:bCs/>
                <w:color w:val="000000"/>
                <w:sz w:val="18"/>
                <w:szCs w:val="18"/>
              </w:rPr>
            </w:pPr>
            <w:r w:rsidRPr="00701F32">
              <w:rPr>
                <w:rFonts w:ascii="Arial" w:hAnsi="Arial" w:cs="Arial"/>
                <w:b/>
                <w:bCs/>
                <w:color w:val="000000"/>
                <w:sz w:val="18"/>
                <w:szCs w:val="18"/>
              </w:rPr>
              <w:t>Valor Razonable - ORI</w:t>
            </w:r>
          </w:p>
        </w:tc>
        <w:tc>
          <w:tcPr>
            <w:tcW w:w="703" w:type="pct"/>
            <w:tcBorders>
              <w:top w:val="single" w:sz="4" w:space="0" w:color="auto"/>
              <w:left w:val="nil"/>
              <w:bottom w:val="single" w:sz="4" w:space="0" w:color="auto"/>
              <w:right w:val="single" w:sz="4" w:space="0" w:color="auto"/>
            </w:tcBorders>
            <w:vAlign w:val="center"/>
          </w:tcPr>
          <w:p w14:paraId="11868FA0" w14:textId="77777777" w:rsidR="002A4D61" w:rsidRPr="00701F32" w:rsidRDefault="002A4D61" w:rsidP="002A4D61">
            <w:pPr>
              <w:jc w:val="center"/>
              <w:rPr>
                <w:rFonts w:ascii="Arial" w:hAnsi="Arial" w:cs="Arial"/>
                <w:b/>
                <w:bCs/>
                <w:color w:val="000000"/>
                <w:sz w:val="18"/>
                <w:szCs w:val="18"/>
              </w:rPr>
            </w:pPr>
            <w:r w:rsidRPr="00701F32">
              <w:rPr>
                <w:rFonts w:ascii="Arial" w:hAnsi="Arial" w:cs="Arial"/>
                <w:b/>
                <w:bCs/>
                <w:color w:val="000000"/>
                <w:sz w:val="18"/>
                <w:szCs w:val="18"/>
              </w:rPr>
              <w:t>Total</w:t>
            </w:r>
          </w:p>
        </w:tc>
      </w:tr>
      <w:tr w:rsidR="002A4D61" w:rsidRPr="00B87D37" w14:paraId="1E4C8590" w14:textId="77777777" w:rsidTr="002A4D61">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344CC665" w14:textId="77777777" w:rsidR="002A4D61" w:rsidRPr="00B87D37" w:rsidRDefault="002A4D61" w:rsidP="002A4D61">
            <w:pPr>
              <w:rPr>
                <w:rFonts w:ascii="Arial" w:hAnsi="Arial" w:cs="Arial"/>
                <w:b/>
                <w:bCs/>
                <w:color w:val="000000"/>
                <w:sz w:val="18"/>
                <w:szCs w:val="18"/>
                <w:lang w:eastAsia="es-AR"/>
              </w:rPr>
            </w:pPr>
            <w:r w:rsidRPr="00B87D37">
              <w:rPr>
                <w:rFonts w:ascii="Arial" w:hAnsi="Arial" w:cs="Arial"/>
                <w:b/>
                <w:bCs/>
                <w:color w:val="000000"/>
                <w:sz w:val="18"/>
                <w:szCs w:val="18"/>
                <w:lang w:eastAsia="es-AR"/>
              </w:rPr>
              <w:t>Activos</w:t>
            </w:r>
          </w:p>
        </w:tc>
        <w:tc>
          <w:tcPr>
            <w:tcW w:w="684" w:type="pct"/>
            <w:tcBorders>
              <w:top w:val="nil"/>
              <w:left w:val="nil"/>
              <w:bottom w:val="single" w:sz="4" w:space="0" w:color="auto"/>
              <w:right w:val="single" w:sz="4" w:space="0" w:color="auto"/>
            </w:tcBorders>
            <w:shd w:val="clear" w:color="auto" w:fill="auto"/>
            <w:noWrap/>
            <w:vAlign w:val="bottom"/>
            <w:hideMark/>
          </w:tcPr>
          <w:p w14:paraId="0063DC73" w14:textId="77777777" w:rsidR="002A4D61" w:rsidRPr="00B87D37" w:rsidRDefault="002A4D61" w:rsidP="002A4D61">
            <w:pPr>
              <w:jc w:val="right"/>
              <w:rPr>
                <w:rFonts w:ascii="Arial" w:hAnsi="Arial" w:cs="Arial"/>
                <w:b/>
                <w:bCs/>
                <w:color w:val="000000"/>
                <w:sz w:val="18"/>
                <w:szCs w:val="18"/>
                <w:lang w:eastAsia="es-AR"/>
              </w:rPr>
            </w:pPr>
          </w:p>
        </w:tc>
        <w:tc>
          <w:tcPr>
            <w:tcW w:w="747" w:type="pct"/>
            <w:tcBorders>
              <w:top w:val="nil"/>
              <w:left w:val="nil"/>
              <w:bottom w:val="single" w:sz="4" w:space="0" w:color="auto"/>
              <w:right w:val="single" w:sz="4" w:space="0" w:color="auto"/>
            </w:tcBorders>
            <w:shd w:val="clear" w:color="auto" w:fill="auto"/>
            <w:noWrap/>
            <w:vAlign w:val="bottom"/>
            <w:hideMark/>
          </w:tcPr>
          <w:p w14:paraId="120CCD65" w14:textId="77777777" w:rsidR="002A4D61" w:rsidRPr="00B87D37" w:rsidRDefault="002A4D61" w:rsidP="002A4D61">
            <w:pPr>
              <w:jc w:val="right"/>
              <w:rPr>
                <w:rFonts w:ascii="Arial" w:hAnsi="Arial" w:cs="Arial"/>
                <w:b/>
                <w:bCs/>
                <w:color w:val="000000"/>
                <w:sz w:val="18"/>
                <w:szCs w:val="18"/>
                <w:lang w:eastAsia="es-AR"/>
              </w:rPr>
            </w:pPr>
          </w:p>
        </w:tc>
        <w:tc>
          <w:tcPr>
            <w:tcW w:w="703" w:type="pct"/>
            <w:tcBorders>
              <w:top w:val="nil"/>
              <w:left w:val="nil"/>
              <w:bottom w:val="single" w:sz="4" w:space="0" w:color="auto"/>
              <w:right w:val="single" w:sz="4" w:space="0" w:color="auto"/>
            </w:tcBorders>
            <w:shd w:val="clear" w:color="auto" w:fill="auto"/>
            <w:noWrap/>
            <w:vAlign w:val="bottom"/>
            <w:hideMark/>
          </w:tcPr>
          <w:p w14:paraId="10305637" w14:textId="77777777" w:rsidR="002A4D61" w:rsidRPr="00B87D37" w:rsidRDefault="002A4D61" w:rsidP="002A4D61">
            <w:pPr>
              <w:jc w:val="right"/>
              <w:rPr>
                <w:rFonts w:ascii="Arial" w:hAnsi="Arial" w:cs="Arial"/>
                <w:b/>
                <w:bCs/>
                <w:color w:val="000000"/>
                <w:sz w:val="18"/>
                <w:szCs w:val="18"/>
                <w:lang w:eastAsia="es-AR"/>
              </w:rPr>
            </w:pPr>
          </w:p>
        </w:tc>
        <w:tc>
          <w:tcPr>
            <w:tcW w:w="703" w:type="pct"/>
            <w:tcBorders>
              <w:top w:val="nil"/>
              <w:left w:val="nil"/>
              <w:bottom w:val="single" w:sz="4" w:space="0" w:color="auto"/>
              <w:right w:val="single" w:sz="4" w:space="0" w:color="auto"/>
            </w:tcBorders>
          </w:tcPr>
          <w:p w14:paraId="29683881" w14:textId="77777777" w:rsidR="002A4D61" w:rsidRPr="00B87D37" w:rsidRDefault="002A4D61" w:rsidP="002A4D61">
            <w:pPr>
              <w:jc w:val="right"/>
              <w:rPr>
                <w:rFonts w:ascii="Arial" w:hAnsi="Arial" w:cs="Arial"/>
                <w:b/>
                <w:bCs/>
                <w:color w:val="000000"/>
                <w:sz w:val="18"/>
                <w:szCs w:val="18"/>
                <w:lang w:eastAsia="es-AR"/>
              </w:rPr>
            </w:pPr>
          </w:p>
        </w:tc>
      </w:tr>
      <w:tr w:rsidR="002A4D61" w:rsidRPr="00B87D37" w14:paraId="3AB19E24" w14:textId="77777777" w:rsidTr="002A4D61">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78ACA30D"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Efectivo y depósitos en Bancos</w:t>
            </w:r>
          </w:p>
        </w:tc>
        <w:tc>
          <w:tcPr>
            <w:tcW w:w="684" w:type="pct"/>
            <w:tcBorders>
              <w:top w:val="nil"/>
              <w:left w:val="nil"/>
              <w:bottom w:val="single" w:sz="4" w:space="0" w:color="auto"/>
              <w:right w:val="single" w:sz="4" w:space="0" w:color="auto"/>
            </w:tcBorders>
            <w:shd w:val="clear" w:color="auto" w:fill="auto"/>
            <w:noWrap/>
            <w:vAlign w:val="bottom"/>
          </w:tcPr>
          <w:p w14:paraId="11F81D57" w14:textId="0BB6D261" w:rsidR="002A4D61" w:rsidRPr="00EC349E" w:rsidRDefault="00645BF5" w:rsidP="002A4D61">
            <w:pPr>
              <w:jc w:val="right"/>
              <w:rPr>
                <w:rFonts w:ascii="Arial" w:hAnsi="Arial" w:cs="Arial"/>
                <w:sz w:val="18"/>
                <w:szCs w:val="18"/>
              </w:rPr>
            </w:pPr>
            <w:r w:rsidRPr="00645BF5">
              <w:rPr>
                <w:rFonts w:ascii="Arial" w:hAnsi="Arial" w:cs="Arial"/>
                <w:sz w:val="18"/>
                <w:szCs w:val="18"/>
              </w:rPr>
              <w:t>33.526.863</w:t>
            </w:r>
          </w:p>
        </w:tc>
        <w:tc>
          <w:tcPr>
            <w:tcW w:w="747" w:type="pct"/>
            <w:tcBorders>
              <w:top w:val="nil"/>
              <w:left w:val="nil"/>
              <w:bottom w:val="single" w:sz="4" w:space="0" w:color="auto"/>
              <w:right w:val="single" w:sz="4" w:space="0" w:color="auto"/>
            </w:tcBorders>
            <w:shd w:val="clear" w:color="auto" w:fill="auto"/>
            <w:noWrap/>
            <w:vAlign w:val="bottom"/>
          </w:tcPr>
          <w:p w14:paraId="768A5091" w14:textId="7727D5F9" w:rsidR="002A4D61" w:rsidRPr="00EC349E" w:rsidRDefault="00645BF5" w:rsidP="002A4D61">
            <w:pPr>
              <w:jc w:val="right"/>
              <w:rPr>
                <w:rFonts w:ascii="Arial" w:hAnsi="Arial" w:cs="Arial"/>
                <w:sz w:val="18"/>
                <w:szCs w:val="18"/>
              </w:rPr>
            </w:pPr>
            <w:r w:rsidRPr="00645BF5">
              <w:rPr>
                <w:rFonts w:ascii="Arial" w:hAnsi="Arial" w:cs="Arial"/>
                <w:sz w:val="18"/>
                <w:szCs w:val="18"/>
              </w:rPr>
              <w:t>10.399</w:t>
            </w:r>
          </w:p>
        </w:tc>
        <w:tc>
          <w:tcPr>
            <w:tcW w:w="703" w:type="pct"/>
            <w:tcBorders>
              <w:top w:val="nil"/>
              <w:left w:val="nil"/>
              <w:bottom w:val="single" w:sz="4" w:space="0" w:color="auto"/>
              <w:right w:val="single" w:sz="4" w:space="0" w:color="auto"/>
            </w:tcBorders>
            <w:shd w:val="clear" w:color="auto" w:fill="auto"/>
            <w:noWrap/>
            <w:vAlign w:val="bottom"/>
          </w:tcPr>
          <w:p w14:paraId="3341D332" w14:textId="29D0BC9D" w:rsidR="002A4D61" w:rsidRPr="00EC349E" w:rsidRDefault="00645BF5" w:rsidP="002A4D61">
            <w:pPr>
              <w:jc w:val="right"/>
              <w:rPr>
                <w:rFonts w:ascii="Arial" w:hAnsi="Arial" w:cs="Arial"/>
                <w:sz w:val="18"/>
                <w:szCs w:val="18"/>
              </w:rPr>
            </w:pPr>
            <w:r>
              <w:rPr>
                <w:rFonts w:ascii="Arial" w:hAnsi="Arial" w:cs="Arial"/>
                <w:sz w:val="18"/>
                <w:szCs w:val="18"/>
              </w:rPr>
              <w:t>-</w:t>
            </w:r>
          </w:p>
        </w:tc>
        <w:tc>
          <w:tcPr>
            <w:tcW w:w="703" w:type="pct"/>
            <w:tcBorders>
              <w:top w:val="nil"/>
              <w:left w:val="nil"/>
              <w:bottom w:val="single" w:sz="4" w:space="0" w:color="auto"/>
              <w:right w:val="single" w:sz="4" w:space="0" w:color="auto"/>
            </w:tcBorders>
            <w:vAlign w:val="bottom"/>
          </w:tcPr>
          <w:p w14:paraId="7F4FFD34" w14:textId="2F24A1A5" w:rsidR="002A4D61" w:rsidRPr="00EC349E" w:rsidRDefault="00645BF5" w:rsidP="002A4D61">
            <w:pPr>
              <w:jc w:val="right"/>
              <w:rPr>
                <w:rFonts w:ascii="Arial" w:hAnsi="Arial" w:cs="Arial"/>
                <w:sz w:val="18"/>
                <w:szCs w:val="18"/>
              </w:rPr>
            </w:pPr>
            <w:r w:rsidRPr="00645BF5">
              <w:rPr>
                <w:rFonts w:ascii="Arial" w:hAnsi="Arial" w:cs="Arial"/>
                <w:sz w:val="18"/>
                <w:szCs w:val="18"/>
              </w:rPr>
              <w:t>33.537.262</w:t>
            </w:r>
          </w:p>
        </w:tc>
      </w:tr>
      <w:tr w:rsidR="002A4D61" w:rsidRPr="00B87D37" w14:paraId="2C05B726" w14:textId="77777777" w:rsidTr="00970522">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4B0C946F"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Títulos de deuda a valor razonable con cambios en resultados</w:t>
            </w:r>
          </w:p>
        </w:tc>
        <w:tc>
          <w:tcPr>
            <w:tcW w:w="684" w:type="pct"/>
            <w:tcBorders>
              <w:top w:val="nil"/>
              <w:left w:val="nil"/>
              <w:bottom w:val="single" w:sz="4" w:space="0" w:color="auto"/>
              <w:right w:val="single" w:sz="4" w:space="0" w:color="auto"/>
            </w:tcBorders>
            <w:shd w:val="clear" w:color="auto" w:fill="auto"/>
            <w:noWrap/>
            <w:vAlign w:val="bottom"/>
          </w:tcPr>
          <w:p w14:paraId="3CA7397F" w14:textId="32AE307E"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 xml:space="preserve">-   </w:t>
            </w:r>
          </w:p>
        </w:tc>
        <w:tc>
          <w:tcPr>
            <w:tcW w:w="747" w:type="pct"/>
            <w:tcBorders>
              <w:top w:val="nil"/>
              <w:left w:val="nil"/>
              <w:bottom w:val="single" w:sz="4" w:space="0" w:color="auto"/>
              <w:right w:val="single" w:sz="4" w:space="0" w:color="auto"/>
            </w:tcBorders>
            <w:shd w:val="clear" w:color="auto" w:fill="auto"/>
            <w:noWrap/>
            <w:vAlign w:val="bottom"/>
          </w:tcPr>
          <w:p w14:paraId="76558870" w14:textId="3544E6F8"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14.941.290</w:t>
            </w:r>
          </w:p>
        </w:tc>
        <w:tc>
          <w:tcPr>
            <w:tcW w:w="703" w:type="pct"/>
            <w:tcBorders>
              <w:top w:val="nil"/>
              <w:left w:val="nil"/>
              <w:bottom w:val="single" w:sz="4" w:space="0" w:color="auto"/>
              <w:right w:val="single" w:sz="4" w:space="0" w:color="auto"/>
            </w:tcBorders>
            <w:shd w:val="clear" w:color="auto" w:fill="auto"/>
            <w:noWrap/>
            <w:vAlign w:val="bottom"/>
          </w:tcPr>
          <w:p w14:paraId="4A601F95" w14:textId="2A8E2290"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bottom"/>
          </w:tcPr>
          <w:p w14:paraId="64A86A5F" w14:textId="29BBF40B" w:rsidR="002A4D61" w:rsidRPr="00EC349E" w:rsidRDefault="00645BF5" w:rsidP="002A4D61">
            <w:pPr>
              <w:jc w:val="right"/>
              <w:rPr>
                <w:rFonts w:ascii="Arial" w:hAnsi="Arial" w:cs="Arial"/>
                <w:sz w:val="18"/>
                <w:szCs w:val="18"/>
              </w:rPr>
            </w:pPr>
            <w:r w:rsidRPr="00645BF5">
              <w:rPr>
                <w:rFonts w:ascii="Arial" w:hAnsi="Arial" w:cs="Arial"/>
                <w:sz w:val="18"/>
                <w:szCs w:val="18"/>
              </w:rPr>
              <w:t>14.941.290</w:t>
            </w:r>
          </w:p>
        </w:tc>
      </w:tr>
      <w:tr w:rsidR="002A4D61" w:rsidRPr="00B87D37" w14:paraId="6B80F268" w14:textId="77777777" w:rsidTr="00970522">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724FF136"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Instrumentos derivados</w:t>
            </w:r>
          </w:p>
        </w:tc>
        <w:tc>
          <w:tcPr>
            <w:tcW w:w="684" w:type="pct"/>
            <w:tcBorders>
              <w:top w:val="nil"/>
              <w:left w:val="nil"/>
              <w:bottom w:val="single" w:sz="4" w:space="0" w:color="auto"/>
              <w:right w:val="single" w:sz="4" w:space="0" w:color="auto"/>
            </w:tcBorders>
            <w:shd w:val="clear" w:color="auto" w:fill="auto"/>
            <w:noWrap/>
            <w:vAlign w:val="bottom"/>
          </w:tcPr>
          <w:p w14:paraId="7FE59E99" w14:textId="5486DCE3"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47" w:type="pct"/>
            <w:tcBorders>
              <w:top w:val="nil"/>
              <w:left w:val="nil"/>
              <w:bottom w:val="single" w:sz="4" w:space="0" w:color="auto"/>
              <w:right w:val="single" w:sz="4" w:space="0" w:color="auto"/>
            </w:tcBorders>
            <w:shd w:val="clear" w:color="auto" w:fill="auto"/>
            <w:noWrap/>
            <w:vAlign w:val="bottom"/>
          </w:tcPr>
          <w:p w14:paraId="270248B2" w14:textId="639B3681"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15.924</w:t>
            </w:r>
          </w:p>
        </w:tc>
        <w:tc>
          <w:tcPr>
            <w:tcW w:w="703" w:type="pct"/>
            <w:tcBorders>
              <w:top w:val="nil"/>
              <w:left w:val="nil"/>
              <w:bottom w:val="single" w:sz="4" w:space="0" w:color="auto"/>
              <w:right w:val="single" w:sz="4" w:space="0" w:color="auto"/>
            </w:tcBorders>
            <w:shd w:val="clear" w:color="auto" w:fill="auto"/>
            <w:noWrap/>
            <w:vAlign w:val="bottom"/>
          </w:tcPr>
          <w:p w14:paraId="1DABAAE9" w14:textId="14637D43"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bottom"/>
          </w:tcPr>
          <w:p w14:paraId="5DC862BE" w14:textId="425C3E4F" w:rsidR="002A4D61" w:rsidRPr="00EC349E" w:rsidRDefault="00A11ACD" w:rsidP="002A4D61">
            <w:pPr>
              <w:jc w:val="right"/>
              <w:rPr>
                <w:rFonts w:ascii="Arial" w:hAnsi="Arial" w:cs="Arial"/>
                <w:sz w:val="18"/>
                <w:szCs w:val="18"/>
              </w:rPr>
            </w:pPr>
            <w:r w:rsidRPr="00645BF5">
              <w:rPr>
                <w:rFonts w:ascii="Arial" w:hAnsi="Arial" w:cs="Arial"/>
                <w:color w:val="000000"/>
                <w:sz w:val="18"/>
                <w:szCs w:val="18"/>
                <w:lang w:eastAsia="es-AR"/>
              </w:rPr>
              <w:t>15.924</w:t>
            </w:r>
          </w:p>
        </w:tc>
      </w:tr>
      <w:tr w:rsidR="002A4D61" w:rsidRPr="00B87D37" w14:paraId="4A58C88B" w14:textId="77777777" w:rsidTr="00970522">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7AA3CAD7"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Otros activos financieros</w:t>
            </w:r>
          </w:p>
        </w:tc>
        <w:tc>
          <w:tcPr>
            <w:tcW w:w="684" w:type="pct"/>
            <w:tcBorders>
              <w:top w:val="nil"/>
              <w:left w:val="nil"/>
              <w:bottom w:val="single" w:sz="4" w:space="0" w:color="auto"/>
              <w:right w:val="single" w:sz="4" w:space="0" w:color="auto"/>
            </w:tcBorders>
            <w:shd w:val="clear" w:color="auto" w:fill="auto"/>
            <w:noWrap/>
            <w:vAlign w:val="bottom"/>
          </w:tcPr>
          <w:p w14:paraId="78A9A073" w14:textId="7147E3A4"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684.562</w:t>
            </w:r>
          </w:p>
        </w:tc>
        <w:tc>
          <w:tcPr>
            <w:tcW w:w="747" w:type="pct"/>
            <w:tcBorders>
              <w:top w:val="nil"/>
              <w:left w:val="nil"/>
              <w:bottom w:val="single" w:sz="4" w:space="0" w:color="auto"/>
              <w:right w:val="single" w:sz="4" w:space="0" w:color="auto"/>
            </w:tcBorders>
            <w:shd w:val="clear" w:color="auto" w:fill="auto"/>
            <w:noWrap/>
            <w:vAlign w:val="bottom"/>
          </w:tcPr>
          <w:p w14:paraId="1E7D4FD8" w14:textId="005E41F4"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15.069</w:t>
            </w:r>
          </w:p>
        </w:tc>
        <w:tc>
          <w:tcPr>
            <w:tcW w:w="703" w:type="pct"/>
            <w:tcBorders>
              <w:top w:val="nil"/>
              <w:left w:val="nil"/>
              <w:bottom w:val="single" w:sz="4" w:space="0" w:color="auto"/>
              <w:right w:val="single" w:sz="4" w:space="0" w:color="auto"/>
            </w:tcBorders>
            <w:shd w:val="clear" w:color="auto" w:fill="auto"/>
            <w:noWrap/>
            <w:vAlign w:val="bottom"/>
          </w:tcPr>
          <w:p w14:paraId="486CD2E2" w14:textId="03DC130A" w:rsidR="002A4D61" w:rsidRPr="00EC349E" w:rsidRDefault="00A11ACD"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bottom"/>
          </w:tcPr>
          <w:p w14:paraId="11E2F189" w14:textId="5AD8C6EB" w:rsidR="002A4D61" w:rsidRPr="00EC349E" w:rsidRDefault="00645BF5" w:rsidP="002A4D61">
            <w:pPr>
              <w:jc w:val="right"/>
              <w:rPr>
                <w:rFonts w:ascii="Arial" w:hAnsi="Arial" w:cs="Arial"/>
                <w:sz w:val="18"/>
                <w:szCs w:val="18"/>
              </w:rPr>
            </w:pPr>
            <w:r w:rsidRPr="00645BF5">
              <w:rPr>
                <w:rFonts w:ascii="Arial" w:hAnsi="Arial" w:cs="Arial"/>
                <w:sz w:val="18"/>
                <w:szCs w:val="18"/>
              </w:rPr>
              <w:t>699.631</w:t>
            </w:r>
          </w:p>
        </w:tc>
      </w:tr>
      <w:tr w:rsidR="002A4D61" w:rsidRPr="00B87D37" w14:paraId="3A3FC704" w14:textId="77777777" w:rsidTr="00970522">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4B126A0A"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Préstamos y otras financiaciones</w:t>
            </w:r>
          </w:p>
        </w:tc>
        <w:tc>
          <w:tcPr>
            <w:tcW w:w="684" w:type="pct"/>
            <w:tcBorders>
              <w:top w:val="nil"/>
              <w:left w:val="nil"/>
              <w:bottom w:val="single" w:sz="4" w:space="0" w:color="auto"/>
              <w:right w:val="single" w:sz="4" w:space="0" w:color="auto"/>
            </w:tcBorders>
            <w:shd w:val="clear" w:color="auto" w:fill="auto"/>
            <w:noWrap/>
            <w:vAlign w:val="bottom"/>
          </w:tcPr>
          <w:p w14:paraId="1C7AF0E7" w14:textId="3E1E0635"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72.865.654</w:t>
            </w:r>
          </w:p>
        </w:tc>
        <w:tc>
          <w:tcPr>
            <w:tcW w:w="747" w:type="pct"/>
            <w:tcBorders>
              <w:top w:val="nil"/>
              <w:left w:val="nil"/>
              <w:bottom w:val="single" w:sz="4" w:space="0" w:color="auto"/>
              <w:right w:val="single" w:sz="4" w:space="0" w:color="auto"/>
            </w:tcBorders>
            <w:shd w:val="clear" w:color="auto" w:fill="auto"/>
            <w:noWrap/>
            <w:vAlign w:val="bottom"/>
          </w:tcPr>
          <w:p w14:paraId="33789DA5" w14:textId="009EBAA7" w:rsidR="002A4D61" w:rsidRPr="00EC349E" w:rsidRDefault="00A11ACD"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shd w:val="clear" w:color="auto" w:fill="auto"/>
            <w:noWrap/>
            <w:vAlign w:val="bottom"/>
          </w:tcPr>
          <w:p w14:paraId="3544809C" w14:textId="2CD32340" w:rsidR="002A4D61" w:rsidRPr="00B87D37" w:rsidRDefault="00A11ACD"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bottom"/>
          </w:tcPr>
          <w:p w14:paraId="2006A6F5" w14:textId="29A02E6D"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72.865.654</w:t>
            </w:r>
          </w:p>
        </w:tc>
      </w:tr>
      <w:tr w:rsidR="002A4D61" w:rsidRPr="00B87D37" w14:paraId="43909A39" w14:textId="77777777" w:rsidTr="00970522">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3BC2BF44"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Otros títulos de deuda</w:t>
            </w:r>
          </w:p>
        </w:tc>
        <w:tc>
          <w:tcPr>
            <w:tcW w:w="684" w:type="pct"/>
            <w:tcBorders>
              <w:top w:val="nil"/>
              <w:left w:val="nil"/>
              <w:bottom w:val="single" w:sz="4" w:space="0" w:color="auto"/>
              <w:right w:val="single" w:sz="4" w:space="0" w:color="auto"/>
            </w:tcBorders>
            <w:shd w:val="clear" w:color="auto" w:fill="auto"/>
            <w:noWrap/>
            <w:vAlign w:val="bottom"/>
          </w:tcPr>
          <w:p w14:paraId="3930733D" w14:textId="77D3769D"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4.134.461</w:t>
            </w:r>
          </w:p>
        </w:tc>
        <w:tc>
          <w:tcPr>
            <w:tcW w:w="747" w:type="pct"/>
            <w:tcBorders>
              <w:top w:val="nil"/>
              <w:left w:val="nil"/>
              <w:bottom w:val="single" w:sz="4" w:space="0" w:color="auto"/>
              <w:right w:val="single" w:sz="4" w:space="0" w:color="auto"/>
            </w:tcBorders>
            <w:shd w:val="clear" w:color="auto" w:fill="auto"/>
            <w:noWrap/>
            <w:vAlign w:val="bottom"/>
          </w:tcPr>
          <w:p w14:paraId="12C1B558" w14:textId="646B4FAA" w:rsidR="002A4D61" w:rsidRPr="00EC349E" w:rsidRDefault="00A11ACD"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shd w:val="clear" w:color="auto" w:fill="auto"/>
            <w:noWrap/>
            <w:vAlign w:val="bottom"/>
          </w:tcPr>
          <w:p w14:paraId="2C569DB4" w14:textId="1EF6679F"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32</w:t>
            </w:r>
          </w:p>
        </w:tc>
        <w:tc>
          <w:tcPr>
            <w:tcW w:w="703" w:type="pct"/>
            <w:tcBorders>
              <w:top w:val="nil"/>
              <w:left w:val="nil"/>
              <w:bottom w:val="single" w:sz="4" w:space="0" w:color="auto"/>
              <w:right w:val="single" w:sz="4" w:space="0" w:color="auto"/>
            </w:tcBorders>
            <w:vAlign w:val="bottom"/>
          </w:tcPr>
          <w:p w14:paraId="11ECC6BA" w14:textId="7087FAAE" w:rsidR="002A4D61" w:rsidRPr="00EC349E" w:rsidRDefault="00645BF5" w:rsidP="002A4D61">
            <w:pPr>
              <w:jc w:val="right"/>
              <w:rPr>
                <w:rFonts w:ascii="Arial" w:hAnsi="Arial" w:cs="Arial"/>
                <w:sz w:val="18"/>
                <w:szCs w:val="18"/>
              </w:rPr>
            </w:pPr>
            <w:r w:rsidRPr="00645BF5">
              <w:rPr>
                <w:rFonts w:ascii="Arial" w:hAnsi="Arial" w:cs="Arial"/>
                <w:sz w:val="18"/>
                <w:szCs w:val="18"/>
              </w:rPr>
              <w:t>4.134.493</w:t>
            </w:r>
          </w:p>
        </w:tc>
      </w:tr>
      <w:tr w:rsidR="002A4D61" w:rsidRPr="00B87D37" w14:paraId="54419650" w14:textId="77777777" w:rsidTr="00970522">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1D794F95"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Activos financieros entregados en garantía</w:t>
            </w:r>
          </w:p>
        </w:tc>
        <w:tc>
          <w:tcPr>
            <w:tcW w:w="684" w:type="pct"/>
            <w:tcBorders>
              <w:top w:val="nil"/>
              <w:left w:val="nil"/>
              <w:bottom w:val="single" w:sz="4" w:space="0" w:color="auto"/>
              <w:right w:val="single" w:sz="4" w:space="0" w:color="auto"/>
            </w:tcBorders>
            <w:shd w:val="clear" w:color="auto" w:fill="auto"/>
            <w:noWrap/>
            <w:vAlign w:val="bottom"/>
          </w:tcPr>
          <w:p w14:paraId="51EEB68F" w14:textId="6A6BC9E1" w:rsidR="002A4D61" w:rsidRPr="00EC349E" w:rsidRDefault="00A11ACD"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47" w:type="pct"/>
            <w:tcBorders>
              <w:top w:val="nil"/>
              <w:left w:val="nil"/>
              <w:bottom w:val="single" w:sz="4" w:space="0" w:color="auto"/>
              <w:right w:val="single" w:sz="4" w:space="0" w:color="auto"/>
            </w:tcBorders>
            <w:shd w:val="clear" w:color="auto" w:fill="auto"/>
            <w:noWrap/>
            <w:vAlign w:val="bottom"/>
          </w:tcPr>
          <w:p w14:paraId="4DDE64F7" w14:textId="6F53E253"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1.882.600</w:t>
            </w:r>
          </w:p>
        </w:tc>
        <w:tc>
          <w:tcPr>
            <w:tcW w:w="703" w:type="pct"/>
            <w:tcBorders>
              <w:top w:val="nil"/>
              <w:left w:val="nil"/>
              <w:bottom w:val="single" w:sz="4" w:space="0" w:color="auto"/>
              <w:right w:val="single" w:sz="4" w:space="0" w:color="auto"/>
            </w:tcBorders>
            <w:shd w:val="clear" w:color="auto" w:fill="auto"/>
            <w:noWrap/>
            <w:vAlign w:val="bottom"/>
          </w:tcPr>
          <w:p w14:paraId="67D4297A" w14:textId="05B50D4E" w:rsidR="002A4D61" w:rsidRPr="00EC349E" w:rsidRDefault="00A11ACD"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bottom"/>
          </w:tcPr>
          <w:p w14:paraId="51480DAD" w14:textId="0DCC1C71" w:rsidR="002A4D61" w:rsidRPr="00EC349E" w:rsidRDefault="00A11ACD" w:rsidP="002A4D61">
            <w:pPr>
              <w:jc w:val="right"/>
              <w:rPr>
                <w:rFonts w:ascii="Arial" w:hAnsi="Arial" w:cs="Arial"/>
                <w:sz w:val="18"/>
                <w:szCs w:val="18"/>
              </w:rPr>
            </w:pPr>
            <w:r w:rsidRPr="00645BF5">
              <w:rPr>
                <w:rFonts w:ascii="Arial" w:hAnsi="Arial" w:cs="Arial"/>
                <w:color w:val="000000"/>
                <w:sz w:val="18"/>
                <w:szCs w:val="18"/>
                <w:lang w:eastAsia="es-AR"/>
              </w:rPr>
              <w:t>1.882.600</w:t>
            </w:r>
          </w:p>
        </w:tc>
      </w:tr>
      <w:tr w:rsidR="002A4D61" w:rsidRPr="00B87D37" w14:paraId="6A2E7F48" w14:textId="77777777" w:rsidTr="00970522">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73306D8D"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Inversiones en Instrumentos de Patrimonio</w:t>
            </w:r>
          </w:p>
        </w:tc>
        <w:tc>
          <w:tcPr>
            <w:tcW w:w="684" w:type="pct"/>
            <w:tcBorders>
              <w:top w:val="nil"/>
              <w:left w:val="nil"/>
              <w:bottom w:val="single" w:sz="4" w:space="0" w:color="auto"/>
              <w:right w:val="single" w:sz="4" w:space="0" w:color="auto"/>
            </w:tcBorders>
            <w:shd w:val="clear" w:color="auto" w:fill="auto"/>
            <w:noWrap/>
            <w:vAlign w:val="bottom"/>
          </w:tcPr>
          <w:p w14:paraId="23E7A90B" w14:textId="442CAABC" w:rsidR="002A4D61" w:rsidRPr="00EC349E" w:rsidRDefault="00A11ACD"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47" w:type="pct"/>
            <w:tcBorders>
              <w:top w:val="nil"/>
              <w:left w:val="nil"/>
              <w:bottom w:val="single" w:sz="4" w:space="0" w:color="auto"/>
              <w:right w:val="single" w:sz="4" w:space="0" w:color="auto"/>
            </w:tcBorders>
            <w:shd w:val="clear" w:color="auto" w:fill="auto"/>
            <w:noWrap/>
            <w:vAlign w:val="bottom"/>
          </w:tcPr>
          <w:p w14:paraId="094CD75A" w14:textId="43E05DBA"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1.603</w:t>
            </w:r>
          </w:p>
        </w:tc>
        <w:tc>
          <w:tcPr>
            <w:tcW w:w="703" w:type="pct"/>
            <w:tcBorders>
              <w:top w:val="nil"/>
              <w:left w:val="nil"/>
              <w:bottom w:val="single" w:sz="4" w:space="0" w:color="auto"/>
              <w:right w:val="single" w:sz="4" w:space="0" w:color="auto"/>
            </w:tcBorders>
            <w:shd w:val="clear" w:color="auto" w:fill="auto"/>
            <w:noWrap/>
            <w:vAlign w:val="bottom"/>
          </w:tcPr>
          <w:p w14:paraId="63EE4EB1" w14:textId="2140A190"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8.801</w:t>
            </w:r>
          </w:p>
        </w:tc>
        <w:tc>
          <w:tcPr>
            <w:tcW w:w="703" w:type="pct"/>
            <w:tcBorders>
              <w:top w:val="nil"/>
              <w:left w:val="nil"/>
              <w:bottom w:val="single" w:sz="4" w:space="0" w:color="auto"/>
              <w:right w:val="single" w:sz="4" w:space="0" w:color="auto"/>
            </w:tcBorders>
            <w:vAlign w:val="bottom"/>
          </w:tcPr>
          <w:p w14:paraId="484DC294" w14:textId="6A7796EC" w:rsidR="002A4D61" w:rsidRPr="00EC349E" w:rsidRDefault="00645BF5" w:rsidP="002A4D61">
            <w:pPr>
              <w:jc w:val="right"/>
              <w:rPr>
                <w:rFonts w:ascii="Arial" w:hAnsi="Arial" w:cs="Arial"/>
                <w:sz w:val="18"/>
                <w:szCs w:val="18"/>
              </w:rPr>
            </w:pPr>
            <w:r w:rsidRPr="00645BF5">
              <w:rPr>
                <w:rFonts w:ascii="Arial" w:hAnsi="Arial" w:cs="Arial"/>
                <w:sz w:val="18"/>
                <w:szCs w:val="18"/>
              </w:rPr>
              <w:t>10.404</w:t>
            </w:r>
          </w:p>
        </w:tc>
      </w:tr>
      <w:tr w:rsidR="002A4D61" w:rsidRPr="00B87D37" w14:paraId="45AF5B98" w14:textId="77777777" w:rsidTr="002A4D61">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14D5CCFE" w14:textId="77777777" w:rsidR="002A4D61" w:rsidRPr="00EC349E" w:rsidRDefault="002A4D61" w:rsidP="002A4D61">
            <w:pPr>
              <w:jc w:val="both"/>
              <w:rPr>
                <w:rFonts w:ascii="Arial" w:hAnsi="Arial" w:cs="Arial"/>
                <w:b/>
                <w:color w:val="000000"/>
                <w:sz w:val="18"/>
                <w:szCs w:val="18"/>
                <w:lang w:eastAsia="es-AR"/>
              </w:rPr>
            </w:pPr>
            <w:r w:rsidRPr="00B87D37">
              <w:rPr>
                <w:rFonts w:ascii="Arial" w:hAnsi="Arial" w:cs="Arial"/>
                <w:b/>
                <w:color w:val="000000"/>
                <w:sz w:val="18"/>
                <w:szCs w:val="18"/>
                <w:lang w:eastAsia="es-AR"/>
              </w:rPr>
              <w:t>Total Activo</w:t>
            </w:r>
          </w:p>
        </w:tc>
        <w:tc>
          <w:tcPr>
            <w:tcW w:w="684" w:type="pct"/>
            <w:tcBorders>
              <w:top w:val="nil"/>
              <w:left w:val="nil"/>
              <w:bottom w:val="single" w:sz="4" w:space="0" w:color="auto"/>
              <w:right w:val="single" w:sz="4" w:space="0" w:color="auto"/>
            </w:tcBorders>
            <w:shd w:val="clear" w:color="auto" w:fill="auto"/>
            <w:noWrap/>
            <w:vAlign w:val="bottom"/>
          </w:tcPr>
          <w:p w14:paraId="6925EBF6" w14:textId="70977AB7" w:rsidR="002A4D61" w:rsidRPr="00EC349E" w:rsidRDefault="00645BF5" w:rsidP="002A4D61">
            <w:pPr>
              <w:jc w:val="right"/>
              <w:rPr>
                <w:rFonts w:ascii="Arial" w:hAnsi="Arial" w:cs="Arial"/>
                <w:b/>
                <w:sz w:val="18"/>
                <w:szCs w:val="18"/>
              </w:rPr>
            </w:pPr>
            <w:r w:rsidRPr="00645BF5">
              <w:rPr>
                <w:rFonts w:ascii="Arial" w:hAnsi="Arial" w:cs="Arial"/>
                <w:b/>
                <w:sz w:val="18"/>
                <w:szCs w:val="18"/>
              </w:rPr>
              <w:t>111.211.540</w:t>
            </w:r>
          </w:p>
        </w:tc>
        <w:tc>
          <w:tcPr>
            <w:tcW w:w="747" w:type="pct"/>
            <w:tcBorders>
              <w:top w:val="nil"/>
              <w:left w:val="nil"/>
              <w:bottom w:val="single" w:sz="4" w:space="0" w:color="auto"/>
              <w:right w:val="single" w:sz="4" w:space="0" w:color="auto"/>
            </w:tcBorders>
            <w:shd w:val="clear" w:color="auto" w:fill="auto"/>
            <w:noWrap/>
            <w:vAlign w:val="bottom"/>
          </w:tcPr>
          <w:p w14:paraId="6EDA2557" w14:textId="024CB073" w:rsidR="002A4D61" w:rsidRPr="00EC349E" w:rsidRDefault="00645BF5" w:rsidP="002A4D61">
            <w:pPr>
              <w:jc w:val="right"/>
              <w:rPr>
                <w:rFonts w:ascii="Arial" w:hAnsi="Arial" w:cs="Arial"/>
                <w:b/>
                <w:sz w:val="18"/>
                <w:szCs w:val="18"/>
              </w:rPr>
            </w:pPr>
            <w:r w:rsidRPr="00645BF5">
              <w:rPr>
                <w:rFonts w:ascii="Arial" w:hAnsi="Arial" w:cs="Arial"/>
                <w:b/>
                <w:sz w:val="18"/>
                <w:szCs w:val="18"/>
              </w:rPr>
              <w:t>16.866.885</w:t>
            </w:r>
          </w:p>
        </w:tc>
        <w:tc>
          <w:tcPr>
            <w:tcW w:w="703" w:type="pct"/>
            <w:tcBorders>
              <w:top w:val="nil"/>
              <w:left w:val="nil"/>
              <w:bottom w:val="single" w:sz="4" w:space="0" w:color="auto"/>
              <w:right w:val="single" w:sz="4" w:space="0" w:color="auto"/>
            </w:tcBorders>
            <w:shd w:val="clear" w:color="auto" w:fill="auto"/>
            <w:noWrap/>
            <w:vAlign w:val="bottom"/>
          </w:tcPr>
          <w:p w14:paraId="41D766CD" w14:textId="1CD4447D" w:rsidR="002A4D61" w:rsidRPr="00EC349E" w:rsidRDefault="00645BF5" w:rsidP="002A4D61">
            <w:pPr>
              <w:jc w:val="right"/>
              <w:rPr>
                <w:rFonts w:ascii="Arial" w:hAnsi="Arial" w:cs="Arial"/>
                <w:b/>
                <w:sz w:val="18"/>
                <w:szCs w:val="18"/>
              </w:rPr>
            </w:pPr>
            <w:r w:rsidRPr="00645BF5">
              <w:rPr>
                <w:rFonts w:ascii="Arial" w:hAnsi="Arial" w:cs="Arial"/>
                <w:b/>
                <w:sz w:val="18"/>
                <w:szCs w:val="18"/>
              </w:rPr>
              <w:t>8.833</w:t>
            </w:r>
          </w:p>
        </w:tc>
        <w:tc>
          <w:tcPr>
            <w:tcW w:w="703" w:type="pct"/>
            <w:tcBorders>
              <w:top w:val="nil"/>
              <w:left w:val="nil"/>
              <w:bottom w:val="single" w:sz="4" w:space="0" w:color="auto"/>
              <w:right w:val="single" w:sz="4" w:space="0" w:color="auto"/>
            </w:tcBorders>
            <w:vAlign w:val="bottom"/>
          </w:tcPr>
          <w:p w14:paraId="7F8FAB66" w14:textId="3D36B709" w:rsidR="002A4D61" w:rsidRPr="00EC349E" w:rsidRDefault="00645BF5" w:rsidP="002A4D61">
            <w:pPr>
              <w:jc w:val="right"/>
              <w:rPr>
                <w:rFonts w:ascii="Arial" w:hAnsi="Arial" w:cs="Arial"/>
                <w:b/>
                <w:sz w:val="18"/>
                <w:szCs w:val="18"/>
              </w:rPr>
            </w:pPr>
            <w:r w:rsidRPr="00645BF5">
              <w:rPr>
                <w:rFonts w:ascii="Arial" w:hAnsi="Arial" w:cs="Arial"/>
                <w:b/>
                <w:sz w:val="18"/>
                <w:szCs w:val="18"/>
              </w:rPr>
              <w:t>128.087.258</w:t>
            </w:r>
          </w:p>
        </w:tc>
      </w:tr>
      <w:tr w:rsidR="002A4D61" w:rsidRPr="00B87D37" w14:paraId="17ABE28D" w14:textId="77777777" w:rsidTr="00970522">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7359B3A7" w14:textId="77777777" w:rsidR="002A4D61" w:rsidRPr="00EC349E" w:rsidRDefault="002A4D61" w:rsidP="002A4D61">
            <w:pPr>
              <w:jc w:val="both"/>
              <w:rPr>
                <w:rFonts w:ascii="Arial" w:hAnsi="Arial" w:cs="Arial"/>
                <w:b/>
                <w:bCs/>
                <w:color w:val="000000"/>
                <w:sz w:val="18"/>
                <w:szCs w:val="18"/>
                <w:lang w:eastAsia="es-AR"/>
              </w:rPr>
            </w:pPr>
            <w:r w:rsidRPr="00B87D37">
              <w:rPr>
                <w:rFonts w:ascii="Arial" w:hAnsi="Arial" w:cs="Arial"/>
                <w:b/>
                <w:bCs/>
                <w:color w:val="000000"/>
                <w:sz w:val="18"/>
                <w:szCs w:val="18"/>
                <w:lang w:eastAsia="es-AR"/>
              </w:rPr>
              <w:t>Pasivos</w:t>
            </w:r>
          </w:p>
        </w:tc>
        <w:tc>
          <w:tcPr>
            <w:tcW w:w="684" w:type="pct"/>
            <w:tcBorders>
              <w:top w:val="nil"/>
              <w:left w:val="nil"/>
              <w:bottom w:val="single" w:sz="4" w:space="0" w:color="auto"/>
              <w:right w:val="single" w:sz="4" w:space="0" w:color="auto"/>
            </w:tcBorders>
            <w:shd w:val="clear" w:color="auto" w:fill="auto"/>
            <w:noWrap/>
            <w:vAlign w:val="bottom"/>
          </w:tcPr>
          <w:p w14:paraId="534DFAEA" w14:textId="77777777" w:rsidR="002A4D61" w:rsidRPr="00B87D37" w:rsidRDefault="002A4D61" w:rsidP="002A4D61">
            <w:pPr>
              <w:jc w:val="right"/>
              <w:rPr>
                <w:rFonts w:ascii="Arial" w:hAnsi="Arial" w:cs="Arial"/>
                <w:b/>
                <w:bCs/>
                <w:color w:val="000000"/>
                <w:sz w:val="18"/>
                <w:szCs w:val="18"/>
                <w:lang w:eastAsia="es-AR"/>
              </w:rPr>
            </w:pPr>
          </w:p>
        </w:tc>
        <w:tc>
          <w:tcPr>
            <w:tcW w:w="747" w:type="pct"/>
            <w:tcBorders>
              <w:top w:val="nil"/>
              <w:left w:val="nil"/>
              <w:bottom w:val="single" w:sz="4" w:space="0" w:color="auto"/>
              <w:right w:val="single" w:sz="4" w:space="0" w:color="auto"/>
            </w:tcBorders>
            <w:shd w:val="clear" w:color="auto" w:fill="auto"/>
            <w:noWrap/>
            <w:vAlign w:val="bottom"/>
          </w:tcPr>
          <w:p w14:paraId="719FB68D" w14:textId="77777777" w:rsidR="002A4D61" w:rsidRPr="00B87D37" w:rsidRDefault="002A4D61" w:rsidP="002A4D61">
            <w:pPr>
              <w:jc w:val="right"/>
              <w:rPr>
                <w:rFonts w:ascii="Arial" w:hAnsi="Arial" w:cs="Arial"/>
                <w:b/>
                <w:bCs/>
                <w:color w:val="000000"/>
                <w:sz w:val="18"/>
                <w:szCs w:val="18"/>
                <w:lang w:eastAsia="es-AR"/>
              </w:rPr>
            </w:pPr>
          </w:p>
        </w:tc>
        <w:tc>
          <w:tcPr>
            <w:tcW w:w="703" w:type="pct"/>
            <w:tcBorders>
              <w:top w:val="nil"/>
              <w:left w:val="nil"/>
              <w:bottom w:val="single" w:sz="4" w:space="0" w:color="auto"/>
              <w:right w:val="single" w:sz="4" w:space="0" w:color="auto"/>
            </w:tcBorders>
            <w:shd w:val="clear" w:color="auto" w:fill="auto"/>
            <w:noWrap/>
            <w:vAlign w:val="bottom"/>
          </w:tcPr>
          <w:p w14:paraId="172B2D5F" w14:textId="77777777" w:rsidR="002A4D61" w:rsidRPr="00B87D37" w:rsidRDefault="002A4D61" w:rsidP="002A4D61">
            <w:pPr>
              <w:jc w:val="right"/>
              <w:rPr>
                <w:rFonts w:ascii="Arial" w:hAnsi="Arial" w:cs="Arial"/>
                <w:b/>
                <w:bCs/>
                <w:color w:val="000000"/>
                <w:sz w:val="18"/>
                <w:szCs w:val="18"/>
                <w:lang w:eastAsia="es-AR"/>
              </w:rPr>
            </w:pPr>
          </w:p>
        </w:tc>
        <w:tc>
          <w:tcPr>
            <w:tcW w:w="703" w:type="pct"/>
            <w:tcBorders>
              <w:top w:val="nil"/>
              <w:left w:val="nil"/>
              <w:bottom w:val="single" w:sz="4" w:space="0" w:color="auto"/>
              <w:right w:val="single" w:sz="4" w:space="0" w:color="auto"/>
            </w:tcBorders>
            <w:vAlign w:val="bottom"/>
          </w:tcPr>
          <w:p w14:paraId="6E784996" w14:textId="77777777" w:rsidR="002A4D61" w:rsidRPr="00B87D37" w:rsidRDefault="002A4D61" w:rsidP="002A4D61">
            <w:pPr>
              <w:jc w:val="right"/>
              <w:rPr>
                <w:rFonts w:ascii="Arial" w:hAnsi="Arial" w:cs="Arial"/>
                <w:b/>
                <w:bCs/>
                <w:color w:val="000000"/>
                <w:sz w:val="18"/>
                <w:szCs w:val="18"/>
                <w:lang w:eastAsia="es-AR"/>
              </w:rPr>
            </w:pPr>
          </w:p>
        </w:tc>
      </w:tr>
      <w:tr w:rsidR="002A4D61" w:rsidRPr="00B87D37" w14:paraId="751E2A5B" w14:textId="77777777" w:rsidTr="002A4D61">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381EF3CB" w14:textId="77777777" w:rsidR="002A4D61" w:rsidRPr="00EC349E" w:rsidRDefault="002A4D61" w:rsidP="002A4D61">
            <w:pPr>
              <w:jc w:val="both"/>
              <w:rPr>
                <w:rFonts w:ascii="Arial" w:hAnsi="Arial" w:cs="Arial"/>
                <w:b/>
                <w:bCs/>
                <w:color w:val="000000"/>
                <w:sz w:val="18"/>
                <w:szCs w:val="18"/>
                <w:lang w:eastAsia="es-AR"/>
              </w:rPr>
            </w:pPr>
            <w:r w:rsidRPr="00B87D37">
              <w:rPr>
                <w:rFonts w:ascii="Arial" w:hAnsi="Arial" w:cs="Arial"/>
                <w:b/>
                <w:bCs/>
                <w:color w:val="000000"/>
                <w:sz w:val="18"/>
                <w:szCs w:val="18"/>
                <w:lang w:eastAsia="es-AR"/>
              </w:rPr>
              <w:t xml:space="preserve">- </w:t>
            </w:r>
            <w:r w:rsidRPr="00EC349E">
              <w:rPr>
                <w:rFonts w:ascii="Arial" w:hAnsi="Arial" w:cs="Arial"/>
                <w:bCs/>
                <w:color w:val="000000"/>
                <w:sz w:val="18"/>
                <w:szCs w:val="18"/>
                <w:lang w:eastAsia="es-AR"/>
              </w:rPr>
              <w:t>Depositos</w:t>
            </w:r>
          </w:p>
        </w:tc>
        <w:tc>
          <w:tcPr>
            <w:tcW w:w="684" w:type="pct"/>
            <w:tcBorders>
              <w:top w:val="nil"/>
              <w:left w:val="nil"/>
              <w:bottom w:val="single" w:sz="4" w:space="0" w:color="auto"/>
              <w:right w:val="single" w:sz="4" w:space="0" w:color="auto"/>
            </w:tcBorders>
            <w:shd w:val="clear" w:color="auto" w:fill="auto"/>
            <w:noWrap/>
            <w:vAlign w:val="bottom"/>
          </w:tcPr>
          <w:p w14:paraId="167B91E8" w14:textId="393F8CB0" w:rsidR="002A4D61" w:rsidRPr="00EC349E" w:rsidRDefault="00645BF5" w:rsidP="002A4D61">
            <w:pPr>
              <w:jc w:val="right"/>
              <w:rPr>
                <w:rFonts w:ascii="Arial" w:hAnsi="Arial" w:cs="Arial"/>
                <w:bCs/>
                <w:color w:val="000000"/>
                <w:sz w:val="18"/>
                <w:szCs w:val="18"/>
                <w:lang w:eastAsia="es-AR"/>
              </w:rPr>
            </w:pPr>
            <w:r w:rsidRPr="00645BF5">
              <w:rPr>
                <w:rFonts w:ascii="Arial" w:hAnsi="Arial" w:cs="Arial"/>
                <w:bCs/>
                <w:color w:val="000000"/>
                <w:sz w:val="18"/>
                <w:szCs w:val="18"/>
                <w:lang w:eastAsia="es-AR"/>
              </w:rPr>
              <w:t>94.025.078</w:t>
            </w:r>
          </w:p>
        </w:tc>
        <w:tc>
          <w:tcPr>
            <w:tcW w:w="747" w:type="pct"/>
            <w:tcBorders>
              <w:top w:val="nil"/>
              <w:left w:val="nil"/>
              <w:bottom w:val="single" w:sz="4" w:space="0" w:color="auto"/>
              <w:right w:val="single" w:sz="4" w:space="0" w:color="auto"/>
            </w:tcBorders>
            <w:shd w:val="clear" w:color="auto" w:fill="auto"/>
            <w:noWrap/>
            <w:vAlign w:val="bottom"/>
          </w:tcPr>
          <w:p w14:paraId="1D993EFC" w14:textId="1D4F819D" w:rsidR="002A4D61" w:rsidRPr="00EC349E" w:rsidRDefault="00645BF5" w:rsidP="002A4D61">
            <w:pPr>
              <w:jc w:val="right"/>
              <w:rPr>
                <w:rFonts w:ascii="Arial" w:hAnsi="Arial" w:cs="Arial"/>
                <w:bCs/>
                <w:color w:val="000000"/>
                <w:sz w:val="18"/>
                <w:szCs w:val="18"/>
                <w:lang w:eastAsia="es-AR"/>
              </w:rPr>
            </w:pPr>
            <w:r>
              <w:rPr>
                <w:rFonts w:ascii="Arial" w:hAnsi="Arial" w:cs="Arial"/>
                <w:bCs/>
                <w:color w:val="000000"/>
                <w:sz w:val="18"/>
                <w:szCs w:val="18"/>
                <w:lang w:eastAsia="es-AR"/>
              </w:rPr>
              <w:t>-</w:t>
            </w:r>
          </w:p>
        </w:tc>
        <w:tc>
          <w:tcPr>
            <w:tcW w:w="703" w:type="pct"/>
            <w:tcBorders>
              <w:top w:val="nil"/>
              <w:left w:val="nil"/>
              <w:bottom w:val="single" w:sz="4" w:space="0" w:color="auto"/>
              <w:right w:val="single" w:sz="4" w:space="0" w:color="auto"/>
            </w:tcBorders>
            <w:shd w:val="clear" w:color="auto" w:fill="auto"/>
            <w:noWrap/>
            <w:vAlign w:val="bottom"/>
          </w:tcPr>
          <w:p w14:paraId="1B120AE3" w14:textId="0E2C28BF" w:rsidR="002A4D61" w:rsidRPr="00EC349E" w:rsidRDefault="00645BF5" w:rsidP="002A4D61">
            <w:pPr>
              <w:jc w:val="right"/>
              <w:rPr>
                <w:rFonts w:ascii="Arial" w:hAnsi="Arial" w:cs="Arial"/>
                <w:bCs/>
                <w:color w:val="000000"/>
                <w:sz w:val="18"/>
                <w:szCs w:val="18"/>
                <w:lang w:eastAsia="es-AR"/>
              </w:rPr>
            </w:pPr>
            <w:r>
              <w:rPr>
                <w:rFonts w:ascii="Arial" w:hAnsi="Arial" w:cs="Arial"/>
                <w:bCs/>
                <w:color w:val="000000"/>
                <w:sz w:val="18"/>
                <w:szCs w:val="18"/>
                <w:lang w:eastAsia="es-AR"/>
              </w:rPr>
              <w:t>-</w:t>
            </w:r>
          </w:p>
        </w:tc>
        <w:tc>
          <w:tcPr>
            <w:tcW w:w="703" w:type="pct"/>
            <w:tcBorders>
              <w:top w:val="nil"/>
              <w:left w:val="nil"/>
              <w:bottom w:val="single" w:sz="4" w:space="0" w:color="auto"/>
              <w:right w:val="single" w:sz="4" w:space="0" w:color="auto"/>
            </w:tcBorders>
            <w:vAlign w:val="bottom"/>
          </w:tcPr>
          <w:p w14:paraId="1E3868EE" w14:textId="2B6A6A04" w:rsidR="002A4D61" w:rsidRPr="00EC349E" w:rsidRDefault="00645BF5" w:rsidP="002A4D61">
            <w:pPr>
              <w:jc w:val="right"/>
              <w:rPr>
                <w:rFonts w:ascii="Arial" w:hAnsi="Arial" w:cs="Arial"/>
                <w:bCs/>
                <w:color w:val="000000"/>
                <w:sz w:val="18"/>
                <w:szCs w:val="18"/>
                <w:lang w:eastAsia="es-AR"/>
              </w:rPr>
            </w:pPr>
            <w:r w:rsidRPr="00645BF5">
              <w:rPr>
                <w:rFonts w:ascii="Arial" w:hAnsi="Arial" w:cs="Arial"/>
                <w:bCs/>
                <w:color w:val="000000"/>
                <w:sz w:val="18"/>
                <w:szCs w:val="18"/>
                <w:lang w:eastAsia="es-AR"/>
              </w:rPr>
              <w:t>94.025.078</w:t>
            </w:r>
          </w:p>
        </w:tc>
      </w:tr>
      <w:tr w:rsidR="00645BF5" w:rsidRPr="00B87D37" w14:paraId="7191DD7C" w14:textId="77777777" w:rsidTr="002A4D61">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3B8E448A" w14:textId="18425E60" w:rsidR="00645BF5" w:rsidRPr="00B87D37" w:rsidRDefault="00645BF5" w:rsidP="002A4D61">
            <w:pPr>
              <w:jc w:val="both"/>
              <w:rPr>
                <w:rFonts w:ascii="Arial" w:hAnsi="Arial" w:cs="Arial"/>
                <w:b/>
                <w:bCs/>
                <w:color w:val="000000"/>
                <w:sz w:val="18"/>
                <w:szCs w:val="18"/>
                <w:lang w:eastAsia="es-AR"/>
              </w:rPr>
            </w:pPr>
            <w:r w:rsidRPr="00B87D37">
              <w:rPr>
                <w:rFonts w:ascii="Arial" w:hAnsi="Arial" w:cs="Arial"/>
                <w:b/>
                <w:bCs/>
                <w:color w:val="000000"/>
                <w:sz w:val="18"/>
                <w:szCs w:val="18"/>
                <w:lang w:eastAsia="es-AR"/>
              </w:rPr>
              <w:t xml:space="preserve">- </w:t>
            </w:r>
            <w:r>
              <w:rPr>
                <w:rFonts w:ascii="Arial" w:hAnsi="Arial" w:cs="Arial"/>
                <w:bCs/>
                <w:color w:val="000000"/>
                <w:sz w:val="18"/>
                <w:szCs w:val="18"/>
                <w:lang w:eastAsia="es-AR"/>
              </w:rPr>
              <w:t>Instrumentos derivados</w:t>
            </w:r>
          </w:p>
        </w:tc>
        <w:tc>
          <w:tcPr>
            <w:tcW w:w="684" w:type="pct"/>
            <w:tcBorders>
              <w:top w:val="nil"/>
              <w:left w:val="nil"/>
              <w:bottom w:val="single" w:sz="4" w:space="0" w:color="auto"/>
              <w:right w:val="single" w:sz="4" w:space="0" w:color="auto"/>
            </w:tcBorders>
            <w:shd w:val="clear" w:color="auto" w:fill="auto"/>
            <w:noWrap/>
            <w:vAlign w:val="bottom"/>
          </w:tcPr>
          <w:p w14:paraId="5BE82AA9" w14:textId="30CEDC95" w:rsidR="00645BF5" w:rsidRPr="00645BF5" w:rsidRDefault="00645BF5" w:rsidP="002A4D61">
            <w:pPr>
              <w:jc w:val="right"/>
              <w:rPr>
                <w:rFonts w:ascii="Arial" w:hAnsi="Arial" w:cs="Arial"/>
                <w:bCs/>
                <w:color w:val="000000"/>
                <w:sz w:val="18"/>
                <w:szCs w:val="18"/>
                <w:lang w:eastAsia="es-AR"/>
              </w:rPr>
            </w:pPr>
            <w:r>
              <w:rPr>
                <w:rFonts w:ascii="Arial" w:hAnsi="Arial" w:cs="Arial"/>
                <w:bCs/>
                <w:color w:val="000000"/>
                <w:sz w:val="18"/>
                <w:szCs w:val="18"/>
                <w:lang w:eastAsia="es-AR"/>
              </w:rPr>
              <w:t>-</w:t>
            </w:r>
          </w:p>
        </w:tc>
        <w:tc>
          <w:tcPr>
            <w:tcW w:w="747" w:type="pct"/>
            <w:tcBorders>
              <w:top w:val="nil"/>
              <w:left w:val="nil"/>
              <w:bottom w:val="single" w:sz="4" w:space="0" w:color="auto"/>
              <w:right w:val="single" w:sz="4" w:space="0" w:color="auto"/>
            </w:tcBorders>
            <w:shd w:val="clear" w:color="auto" w:fill="auto"/>
            <w:noWrap/>
            <w:vAlign w:val="bottom"/>
          </w:tcPr>
          <w:p w14:paraId="74B98F00" w14:textId="3490CB93" w:rsidR="00645BF5" w:rsidRPr="00EC349E" w:rsidRDefault="00645BF5" w:rsidP="002A4D61">
            <w:pPr>
              <w:jc w:val="right"/>
              <w:rPr>
                <w:rFonts w:ascii="Arial" w:hAnsi="Arial" w:cs="Arial"/>
                <w:bCs/>
                <w:color w:val="000000"/>
                <w:sz w:val="18"/>
                <w:szCs w:val="18"/>
                <w:lang w:eastAsia="es-AR"/>
              </w:rPr>
            </w:pPr>
            <w:r w:rsidRPr="00645BF5">
              <w:rPr>
                <w:rFonts w:ascii="Arial" w:hAnsi="Arial" w:cs="Arial"/>
                <w:bCs/>
                <w:color w:val="000000"/>
                <w:sz w:val="18"/>
                <w:szCs w:val="18"/>
                <w:lang w:eastAsia="es-AR"/>
              </w:rPr>
              <w:t>94.222</w:t>
            </w:r>
          </w:p>
        </w:tc>
        <w:tc>
          <w:tcPr>
            <w:tcW w:w="703" w:type="pct"/>
            <w:tcBorders>
              <w:top w:val="nil"/>
              <w:left w:val="nil"/>
              <w:bottom w:val="single" w:sz="4" w:space="0" w:color="auto"/>
              <w:right w:val="single" w:sz="4" w:space="0" w:color="auto"/>
            </w:tcBorders>
            <w:shd w:val="clear" w:color="auto" w:fill="auto"/>
            <w:noWrap/>
            <w:vAlign w:val="bottom"/>
          </w:tcPr>
          <w:p w14:paraId="0DAFEBA3" w14:textId="4F23F084" w:rsidR="00645BF5" w:rsidRPr="00EC349E" w:rsidRDefault="00645BF5" w:rsidP="002A4D61">
            <w:pPr>
              <w:jc w:val="right"/>
              <w:rPr>
                <w:rFonts w:ascii="Arial" w:hAnsi="Arial" w:cs="Arial"/>
                <w:bCs/>
                <w:color w:val="000000"/>
                <w:sz w:val="18"/>
                <w:szCs w:val="18"/>
                <w:lang w:eastAsia="es-AR"/>
              </w:rPr>
            </w:pPr>
            <w:r>
              <w:rPr>
                <w:rFonts w:ascii="Arial" w:hAnsi="Arial" w:cs="Arial"/>
                <w:bCs/>
                <w:color w:val="000000"/>
                <w:sz w:val="18"/>
                <w:szCs w:val="18"/>
                <w:lang w:eastAsia="es-AR"/>
              </w:rPr>
              <w:t>-</w:t>
            </w:r>
          </w:p>
        </w:tc>
        <w:tc>
          <w:tcPr>
            <w:tcW w:w="703" w:type="pct"/>
            <w:tcBorders>
              <w:top w:val="nil"/>
              <w:left w:val="nil"/>
              <w:bottom w:val="single" w:sz="4" w:space="0" w:color="auto"/>
              <w:right w:val="single" w:sz="4" w:space="0" w:color="auto"/>
            </w:tcBorders>
            <w:vAlign w:val="bottom"/>
          </w:tcPr>
          <w:p w14:paraId="30EF90C7" w14:textId="32788467" w:rsidR="00645BF5" w:rsidRPr="00645BF5" w:rsidRDefault="00645BF5" w:rsidP="002A4D61">
            <w:pPr>
              <w:jc w:val="right"/>
              <w:rPr>
                <w:rFonts w:ascii="Arial" w:hAnsi="Arial" w:cs="Arial"/>
                <w:bCs/>
                <w:color w:val="000000"/>
                <w:sz w:val="18"/>
                <w:szCs w:val="18"/>
                <w:lang w:eastAsia="es-AR"/>
              </w:rPr>
            </w:pPr>
            <w:r w:rsidRPr="00645BF5">
              <w:rPr>
                <w:rFonts w:ascii="Arial" w:hAnsi="Arial" w:cs="Arial"/>
                <w:bCs/>
                <w:color w:val="000000"/>
                <w:sz w:val="18"/>
                <w:szCs w:val="18"/>
                <w:lang w:eastAsia="es-AR"/>
              </w:rPr>
              <w:t>94.222</w:t>
            </w:r>
          </w:p>
        </w:tc>
      </w:tr>
      <w:tr w:rsidR="002A4D61" w:rsidRPr="00B87D37" w14:paraId="74B3BD08" w14:textId="77777777" w:rsidTr="00970522">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hideMark/>
          </w:tcPr>
          <w:p w14:paraId="214BD23B" w14:textId="77777777" w:rsidR="002A4D61" w:rsidRPr="00B87D37"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Pasivos a valor razonable con cambios en resultados</w:t>
            </w:r>
          </w:p>
        </w:tc>
        <w:tc>
          <w:tcPr>
            <w:tcW w:w="684" w:type="pct"/>
            <w:tcBorders>
              <w:top w:val="nil"/>
              <w:left w:val="nil"/>
              <w:bottom w:val="single" w:sz="4" w:space="0" w:color="auto"/>
              <w:right w:val="single" w:sz="4" w:space="0" w:color="auto"/>
            </w:tcBorders>
            <w:shd w:val="clear" w:color="auto" w:fill="auto"/>
            <w:noWrap/>
            <w:vAlign w:val="center"/>
          </w:tcPr>
          <w:p w14:paraId="74CCEDEF" w14:textId="0AF117CC"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47" w:type="pct"/>
            <w:tcBorders>
              <w:top w:val="nil"/>
              <w:left w:val="nil"/>
              <w:bottom w:val="single" w:sz="4" w:space="0" w:color="auto"/>
              <w:right w:val="single" w:sz="4" w:space="0" w:color="auto"/>
            </w:tcBorders>
            <w:shd w:val="clear" w:color="auto" w:fill="auto"/>
            <w:noWrap/>
            <w:vAlign w:val="center"/>
          </w:tcPr>
          <w:p w14:paraId="74D0D51E" w14:textId="370FB6F6"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613.686</w:t>
            </w:r>
          </w:p>
        </w:tc>
        <w:tc>
          <w:tcPr>
            <w:tcW w:w="703" w:type="pct"/>
            <w:tcBorders>
              <w:top w:val="nil"/>
              <w:left w:val="nil"/>
              <w:bottom w:val="single" w:sz="4" w:space="0" w:color="auto"/>
              <w:right w:val="single" w:sz="4" w:space="0" w:color="auto"/>
            </w:tcBorders>
            <w:shd w:val="clear" w:color="auto" w:fill="auto"/>
            <w:noWrap/>
            <w:vAlign w:val="center"/>
          </w:tcPr>
          <w:p w14:paraId="0A8CE44D" w14:textId="5E2AB484"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5A1F0FF3" w14:textId="776C0D81" w:rsidR="002A4D61" w:rsidRPr="00EC349E" w:rsidRDefault="00645BF5" w:rsidP="002A4D61">
            <w:pPr>
              <w:jc w:val="right"/>
              <w:rPr>
                <w:rFonts w:ascii="Arial" w:hAnsi="Arial" w:cs="Arial"/>
                <w:sz w:val="18"/>
                <w:szCs w:val="18"/>
              </w:rPr>
            </w:pPr>
            <w:r w:rsidRPr="00645BF5">
              <w:rPr>
                <w:rFonts w:ascii="Arial" w:hAnsi="Arial" w:cs="Arial"/>
                <w:sz w:val="18"/>
                <w:szCs w:val="18"/>
              </w:rPr>
              <w:t>613.686</w:t>
            </w:r>
          </w:p>
        </w:tc>
      </w:tr>
      <w:tr w:rsidR="002A4D61" w:rsidRPr="00B87D37" w14:paraId="22C66DE6" w14:textId="77777777" w:rsidTr="002A4D61">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2E67E15B"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Otros pasivos financieros</w:t>
            </w:r>
          </w:p>
        </w:tc>
        <w:tc>
          <w:tcPr>
            <w:tcW w:w="684" w:type="pct"/>
            <w:tcBorders>
              <w:top w:val="nil"/>
              <w:left w:val="nil"/>
              <w:bottom w:val="single" w:sz="4" w:space="0" w:color="auto"/>
              <w:right w:val="single" w:sz="4" w:space="0" w:color="auto"/>
            </w:tcBorders>
            <w:shd w:val="clear" w:color="auto" w:fill="auto"/>
            <w:noWrap/>
            <w:vAlign w:val="center"/>
          </w:tcPr>
          <w:p w14:paraId="623D26DD" w14:textId="11FACBF5"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385.865</w:t>
            </w:r>
          </w:p>
        </w:tc>
        <w:tc>
          <w:tcPr>
            <w:tcW w:w="747" w:type="pct"/>
            <w:tcBorders>
              <w:top w:val="nil"/>
              <w:left w:val="nil"/>
              <w:bottom w:val="single" w:sz="4" w:space="0" w:color="auto"/>
              <w:right w:val="single" w:sz="4" w:space="0" w:color="auto"/>
            </w:tcBorders>
            <w:shd w:val="clear" w:color="auto" w:fill="auto"/>
            <w:noWrap/>
            <w:vAlign w:val="center"/>
          </w:tcPr>
          <w:p w14:paraId="5F08DF13" w14:textId="5426B79C"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2.759.854</w:t>
            </w:r>
          </w:p>
        </w:tc>
        <w:tc>
          <w:tcPr>
            <w:tcW w:w="703" w:type="pct"/>
            <w:tcBorders>
              <w:top w:val="nil"/>
              <w:left w:val="nil"/>
              <w:bottom w:val="single" w:sz="4" w:space="0" w:color="auto"/>
              <w:right w:val="single" w:sz="4" w:space="0" w:color="auto"/>
            </w:tcBorders>
            <w:shd w:val="clear" w:color="auto" w:fill="auto"/>
            <w:noWrap/>
            <w:vAlign w:val="center"/>
          </w:tcPr>
          <w:p w14:paraId="7262C03B" w14:textId="275C09C4"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51757997" w14:textId="65A689E0" w:rsidR="002A4D61" w:rsidRPr="00EC349E" w:rsidRDefault="00645BF5" w:rsidP="002A4D61">
            <w:pPr>
              <w:jc w:val="right"/>
              <w:rPr>
                <w:rFonts w:ascii="Arial" w:hAnsi="Arial" w:cs="Arial"/>
                <w:sz w:val="18"/>
                <w:szCs w:val="18"/>
              </w:rPr>
            </w:pPr>
            <w:r w:rsidRPr="00645BF5">
              <w:rPr>
                <w:rFonts w:ascii="Arial" w:hAnsi="Arial" w:cs="Arial"/>
                <w:sz w:val="18"/>
                <w:szCs w:val="18"/>
              </w:rPr>
              <w:t>3.145.719</w:t>
            </w:r>
          </w:p>
        </w:tc>
      </w:tr>
      <w:tr w:rsidR="002A4D61" w:rsidRPr="00B87D37" w14:paraId="217C8CEC" w14:textId="77777777" w:rsidTr="002A4D61">
        <w:trPr>
          <w:trHeight w:val="228"/>
        </w:trPr>
        <w:tc>
          <w:tcPr>
            <w:tcW w:w="21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72D471"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Financiaciones recibidas del BCRA y otras instituciones financieras</w:t>
            </w:r>
          </w:p>
        </w:tc>
        <w:tc>
          <w:tcPr>
            <w:tcW w:w="684" w:type="pct"/>
            <w:tcBorders>
              <w:top w:val="single" w:sz="4" w:space="0" w:color="auto"/>
              <w:left w:val="nil"/>
              <w:bottom w:val="single" w:sz="4" w:space="0" w:color="auto"/>
              <w:right w:val="single" w:sz="4" w:space="0" w:color="auto"/>
            </w:tcBorders>
            <w:shd w:val="clear" w:color="auto" w:fill="auto"/>
            <w:noWrap/>
            <w:vAlign w:val="center"/>
          </w:tcPr>
          <w:p w14:paraId="1D4CBC42" w14:textId="59E8739E"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8.010.059</w:t>
            </w:r>
          </w:p>
        </w:tc>
        <w:tc>
          <w:tcPr>
            <w:tcW w:w="747" w:type="pct"/>
            <w:tcBorders>
              <w:top w:val="single" w:sz="4" w:space="0" w:color="auto"/>
              <w:left w:val="nil"/>
              <w:bottom w:val="single" w:sz="4" w:space="0" w:color="auto"/>
              <w:right w:val="single" w:sz="4" w:space="0" w:color="auto"/>
            </w:tcBorders>
            <w:shd w:val="clear" w:color="auto" w:fill="auto"/>
            <w:noWrap/>
            <w:vAlign w:val="center"/>
          </w:tcPr>
          <w:p w14:paraId="23DEF536" w14:textId="10EF6791"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single" w:sz="4" w:space="0" w:color="auto"/>
              <w:left w:val="nil"/>
              <w:bottom w:val="single" w:sz="4" w:space="0" w:color="auto"/>
              <w:right w:val="single" w:sz="4" w:space="0" w:color="auto"/>
            </w:tcBorders>
            <w:shd w:val="clear" w:color="auto" w:fill="auto"/>
            <w:noWrap/>
            <w:vAlign w:val="center"/>
          </w:tcPr>
          <w:p w14:paraId="3B71EC2A" w14:textId="4B64E477"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single" w:sz="4" w:space="0" w:color="auto"/>
              <w:left w:val="nil"/>
              <w:bottom w:val="single" w:sz="4" w:space="0" w:color="auto"/>
              <w:right w:val="single" w:sz="4" w:space="0" w:color="auto"/>
            </w:tcBorders>
            <w:vAlign w:val="center"/>
          </w:tcPr>
          <w:p w14:paraId="1C7DCF0B" w14:textId="2BD879D7" w:rsidR="002A4D61" w:rsidRPr="00EC349E" w:rsidRDefault="00645BF5" w:rsidP="002A4D61">
            <w:pPr>
              <w:jc w:val="right"/>
              <w:rPr>
                <w:rFonts w:ascii="Arial" w:hAnsi="Arial" w:cs="Arial"/>
                <w:sz w:val="18"/>
                <w:szCs w:val="18"/>
              </w:rPr>
            </w:pPr>
            <w:r w:rsidRPr="00645BF5">
              <w:rPr>
                <w:rFonts w:ascii="Arial" w:hAnsi="Arial" w:cs="Arial"/>
                <w:sz w:val="18"/>
                <w:szCs w:val="18"/>
              </w:rPr>
              <w:t>8.010.059</w:t>
            </w:r>
          </w:p>
        </w:tc>
      </w:tr>
      <w:tr w:rsidR="002A4D61" w:rsidRPr="00B87D37" w14:paraId="6C7890FC" w14:textId="77777777" w:rsidTr="002A4D61">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42370EDA"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Obligaciones negociables emitidas</w:t>
            </w:r>
          </w:p>
        </w:tc>
        <w:tc>
          <w:tcPr>
            <w:tcW w:w="684" w:type="pct"/>
            <w:tcBorders>
              <w:top w:val="nil"/>
              <w:left w:val="nil"/>
              <w:bottom w:val="single" w:sz="4" w:space="0" w:color="auto"/>
              <w:right w:val="single" w:sz="4" w:space="0" w:color="auto"/>
            </w:tcBorders>
            <w:shd w:val="clear" w:color="auto" w:fill="auto"/>
            <w:noWrap/>
            <w:vAlign w:val="center"/>
          </w:tcPr>
          <w:p w14:paraId="5541A839" w14:textId="7691965F"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7.924.029</w:t>
            </w:r>
          </w:p>
        </w:tc>
        <w:tc>
          <w:tcPr>
            <w:tcW w:w="747" w:type="pct"/>
            <w:tcBorders>
              <w:top w:val="nil"/>
              <w:left w:val="nil"/>
              <w:bottom w:val="single" w:sz="4" w:space="0" w:color="auto"/>
              <w:right w:val="single" w:sz="4" w:space="0" w:color="auto"/>
            </w:tcBorders>
            <w:shd w:val="clear" w:color="auto" w:fill="auto"/>
            <w:noWrap/>
            <w:vAlign w:val="center"/>
          </w:tcPr>
          <w:p w14:paraId="52DF632E" w14:textId="789D8B4F"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shd w:val="clear" w:color="auto" w:fill="auto"/>
            <w:noWrap/>
            <w:vAlign w:val="center"/>
          </w:tcPr>
          <w:p w14:paraId="5EECB8B2" w14:textId="4EF64CFC"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3A766E77" w14:textId="7713C23C" w:rsidR="002A4D61" w:rsidRPr="00EC349E" w:rsidRDefault="00645BF5" w:rsidP="002A4D61">
            <w:pPr>
              <w:jc w:val="right"/>
              <w:rPr>
                <w:rFonts w:ascii="Arial" w:hAnsi="Arial" w:cs="Arial"/>
                <w:sz w:val="18"/>
                <w:szCs w:val="18"/>
              </w:rPr>
            </w:pPr>
            <w:r w:rsidRPr="00645BF5">
              <w:rPr>
                <w:rFonts w:ascii="Arial" w:hAnsi="Arial" w:cs="Arial"/>
                <w:sz w:val="18"/>
                <w:szCs w:val="18"/>
              </w:rPr>
              <w:t>7.924.029</w:t>
            </w:r>
          </w:p>
        </w:tc>
      </w:tr>
      <w:tr w:rsidR="002A4D61" w:rsidRPr="00B87D37" w14:paraId="179C4C5A" w14:textId="77777777" w:rsidTr="002A4D61">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685F17DE"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color w:val="000000"/>
                <w:sz w:val="18"/>
                <w:szCs w:val="18"/>
                <w:lang w:eastAsia="es-AR"/>
              </w:rPr>
              <w:t>- Obligaciones negociables subordinadas</w:t>
            </w:r>
          </w:p>
        </w:tc>
        <w:tc>
          <w:tcPr>
            <w:tcW w:w="684" w:type="pct"/>
            <w:tcBorders>
              <w:top w:val="nil"/>
              <w:left w:val="nil"/>
              <w:bottom w:val="single" w:sz="4" w:space="0" w:color="auto"/>
              <w:right w:val="single" w:sz="4" w:space="0" w:color="auto"/>
            </w:tcBorders>
            <w:shd w:val="clear" w:color="auto" w:fill="auto"/>
            <w:noWrap/>
            <w:vAlign w:val="center"/>
          </w:tcPr>
          <w:p w14:paraId="23239776" w14:textId="25A9FA60" w:rsidR="002A4D61" w:rsidRPr="00EC349E" w:rsidRDefault="00645BF5" w:rsidP="002A4D61">
            <w:pPr>
              <w:jc w:val="right"/>
              <w:rPr>
                <w:rFonts w:ascii="Arial" w:hAnsi="Arial" w:cs="Arial"/>
                <w:color w:val="000000"/>
                <w:sz w:val="18"/>
                <w:szCs w:val="18"/>
                <w:lang w:eastAsia="es-AR"/>
              </w:rPr>
            </w:pPr>
            <w:r w:rsidRPr="00645BF5">
              <w:rPr>
                <w:rFonts w:ascii="Arial" w:hAnsi="Arial" w:cs="Arial"/>
                <w:color w:val="000000"/>
                <w:sz w:val="18"/>
                <w:szCs w:val="18"/>
                <w:lang w:eastAsia="es-AR"/>
              </w:rPr>
              <w:t>1.383.817</w:t>
            </w:r>
          </w:p>
        </w:tc>
        <w:tc>
          <w:tcPr>
            <w:tcW w:w="747" w:type="pct"/>
            <w:tcBorders>
              <w:top w:val="nil"/>
              <w:left w:val="nil"/>
              <w:bottom w:val="single" w:sz="4" w:space="0" w:color="auto"/>
              <w:right w:val="single" w:sz="4" w:space="0" w:color="auto"/>
            </w:tcBorders>
            <w:shd w:val="clear" w:color="auto" w:fill="auto"/>
            <w:noWrap/>
            <w:vAlign w:val="center"/>
          </w:tcPr>
          <w:p w14:paraId="27764E5A" w14:textId="59F43FFA"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shd w:val="clear" w:color="auto" w:fill="auto"/>
            <w:noWrap/>
            <w:vAlign w:val="center"/>
          </w:tcPr>
          <w:p w14:paraId="00A8AD4A" w14:textId="0A475142" w:rsidR="002A4D61" w:rsidRPr="00EC349E" w:rsidRDefault="00645BF5" w:rsidP="002A4D61">
            <w:pPr>
              <w:jc w:val="right"/>
              <w:rPr>
                <w:rFonts w:ascii="Arial" w:hAnsi="Arial" w:cs="Arial"/>
                <w:color w:val="000000"/>
                <w:sz w:val="18"/>
                <w:szCs w:val="18"/>
                <w:lang w:eastAsia="es-AR"/>
              </w:rPr>
            </w:pPr>
            <w:r>
              <w:rPr>
                <w:rFonts w:ascii="Arial" w:hAnsi="Arial" w:cs="Arial"/>
                <w:color w:val="000000"/>
                <w:sz w:val="18"/>
                <w:szCs w:val="18"/>
                <w:lang w:eastAsia="es-AR"/>
              </w:rPr>
              <w:t>-</w:t>
            </w:r>
          </w:p>
        </w:tc>
        <w:tc>
          <w:tcPr>
            <w:tcW w:w="703" w:type="pct"/>
            <w:tcBorders>
              <w:top w:val="nil"/>
              <w:left w:val="nil"/>
              <w:bottom w:val="single" w:sz="4" w:space="0" w:color="auto"/>
              <w:right w:val="single" w:sz="4" w:space="0" w:color="auto"/>
            </w:tcBorders>
            <w:vAlign w:val="center"/>
          </w:tcPr>
          <w:p w14:paraId="620C9425" w14:textId="2B6C9DB0" w:rsidR="002A4D61" w:rsidRPr="00EC349E" w:rsidRDefault="00645BF5" w:rsidP="002A4D61">
            <w:pPr>
              <w:jc w:val="right"/>
              <w:rPr>
                <w:rFonts w:ascii="Arial" w:hAnsi="Arial" w:cs="Arial"/>
                <w:sz w:val="18"/>
                <w:szCs w:val="18"/>
              </w:rPr>
            </w:pPr>
            <w:r w:rsidRPr="00645BF5">
              <w:rPr>
                <w:rFonts w:ascii="Arial" w:hAnsi="Arial" w:cs="Arial"/>
                <w:sz w:val="18"/>
                <w:szCs w:val="18"/>
              </w:rPr>
              <w:t>1.383.817</w:t>
            </w:r>
          </w:p>
        </w:tc>
      </w:tr>
      <w:tr w:rsidR="002A4D61" w:rsidRPr="00B87D37" w14:paraId="63593F23" w14:textId="77777777" w:rsidTr="002A4D61">
        <w:trPr>
          <w:trHeight w:val="228"/>
        </w:trPr>
        <w:tc>
          <w:tcPr>
            <w:tcW w:w="2163" w:type="pct"/>
            <w:tcBorders>
              <w:top w:val="nil"/>
              <w:left w:val="single" w:sz="4" w:space="0" w:color="auto"/>
              <w:bottom w:val="single" w:sz="4" w:space="0" w:color="auto"/>
              <w:right w:val="single" w:sz="4" w:space="0" w:color="auto"/>
            </w:tcBorders>
            <w:shd w:val="clear" w:color="auto" w:fill="auto"/>
            <w:noWrap/>
            <w:vAlign w:val="bottom"/>
          </w:tcPr>
          <w:p w14:paraId="6229CFC4" w14:textId="77777777" w:rsidR="002A4D61" w:rsidRPr="00EC349E" w:rsidRDefault="002A4D61" w:rsidP="002A4D61">
            <w:pPr>
              <w:jc w:val="both"/>
              <w:rPr>
                <w:rFonts w:ascii="Arial" w:hAnsi="Arial" w:cs="Arial"/>
                <w:color w:val="000000"/>
                <w:sz w:val="18"/>
                <w:szCs w:val="18"/>
                <w:lang w:eastAsia="es-AR"/>
              </w:rPr>
            </w:pPr>
            <w:r w:rsidRPr="00B87D37">
              <w:rPr>
                <w:rFonts w:ascii="Arial" w:hAnsi="Arial" w:cs="Arial"/>
                <w:b/>
                <w:bCs/>
                <w:color w:val="000000"/>
                <w:sz w:val="18"/>
                <w:szCs w:val="18"/>
                <w:lang w:eastAsia="es-AR"/>
              </w:rPr>
              <w:t>Total pasivos</w:t>
            </w:r>
          </w:p>
        </w:tc>
        <w:tc>
          <w:tcPr>
            <w:tcW w:w="684" w:type="pct"/>
            <w:tcBorders>
              <w:top w:val="nil"/>
              <w:left w:val="nil"/>
              <w:bottom w:val="single" w:sz="4" w:space="0" w:color="auto"/>
              <w:right w:val="single" w:sz="4" w:space="0" w:color="auto"/>
            </w:tcBorders>
            <w:shd w:val="clear" w:color="auto" w:fill="auto"/>
            <w:noWrap/>
            <w:vAlign w:val="bottom"/>
          </w:tcPr>
          <w:p w14:paraId="79147F72" w14:textId="569E4191" w:rsidR="002A4D61" w:rsidRPr="00EC349E" w:rsidRDefault="00645BF5" w:rsidP="002A4D61">
            <w:pPr>
              <w:jc w:val="right"/>
              <w:rPr>
                <w:rFonts w:ascii="Arial" w:hAnsi="Arial" w:cs="Arial"/>
                <w:b/>
                <w:color w:val="000000"/>
                <w:sz w:val="18"/>
                <w:szCs w:val="18"/>
                <w:lang w:eastAsia="es-AR"/>
              </w:rPr>
            </w:pPr>
            <w:r w:rsidRPr="00645BF5">
              <w:rPr>
                <w:rFonts w:ascii="Arial" w:hAnsi="Arial" w:cs="Arial"/>
                <w:b/>
                <w:color w:val="000000"/>
                <w:sz w:val="18"/>
                <w:szCs w:val="18"/>
                <w:lang w:eastAsia="es-AR"/>
              </w:rPr>
              <w:t>111.728.848</w:t>
            </w:r>
          </w:p>
        </w:tc>
        <w:tc>
          <w:tcPr>
            <w:tcW w:w="747" w:type="pct"/>
            <w:tcBorders>
              <w:top w:val="nil"/>
              <w:left w:val="nil"/>
              <w:bottom w:val="single" w:sz="4" w:space="0" w:color="auto"/>
              <w:right w:val="single" w:sz="4" w:space="0" w:color="auto"/>
            </w:tcBorders>
            <w:shd w:val="clear" w:color="auto" w:fill="auto"/>
            <w:noWrap/>
            <w:vAlign w:val="bottom"/>
          </w:tcPr>
          <w:p w14:paraId="226A322D" w14:textId="0B5BAE12" w:rsidR="002A4D61" w:rsidRPr="00EC349E" w:rsidRDefault="00645BF5" w:rsidP="002A4D61">
            <w:pPr>
              <w:jc w:val="right"/>
              <w:rPr>
                <w:rFonts w:ascii="Arial" w:hAnsi="Arial" w:cs="Arial"/>
                <w:b/>
                <w:color w:val="000000"/>
                <w:sz w:val="18"/>
                <w:szCs w:val="18"/>
                <w:lang w:eastAsia="es-AR"/>
              </w:rPr>
            </w:pPr>
            <w:r w:rsidRPr="00645BF5">
              <w:rPr>
                <w:rFonts w:ascii="Arial" w:hAnsi="Arial" w:cs="Arial"/>
                <w:b/>
                <w:color w:val="000000"/>
                <w:sz w:val="18"/>
                <w:szCs w:val="18"/>
                <w:lang w:eastAsia="es-AR"/>
              </w:rPr>
              <w:t>3.467.762</w:t>
            </w:r>
          </w:p>
        </w:tc>
        <w:tc>
          <w:tcPr>
            <w:tcW w:w="703" w:type="pct"/>
            <w:tcBorders>
              <w:top w:val="nil"/>
              <w:left w:val="nil"/>
              <w:bottom w:val="single" w:sz="4" w:space="0" w:color="auto"/>
              <w:right w:val="single" w:sz="4" w:space="0" w:color="auto"/>
            </w:tcBorders>
            <w:shd w:val="clear" w:color="auto" w:fill="auto"/>
            <w:noWrap/>
            <w:vAlign w:val="bottom"/>
          </w:tcPr>
          <w:p w14:paraId="5F13A244" w14:textId="49716C0F" w:rsidR="002A4D61" w:rsidRPr="00EC349E" w:rsidRDefault="00645BF5" w:rsidP="002A4D61">
            <w:pPr>
              <w:jc w:val="right"/>
              <w:rPr>
                <w:rFonts w:ascii="Arial" w:hAnsi="Arial" w:cs="Arial"/>
                <w:b/>
                <w:color w:val="000000"/>
                <w:sz w:val="18"/>
                <w:szCs w:val="18"/>
                <w:lang w:eastAsia="es-AR"/>
              </w:rPr>
            </w:pPr>
            <w:r w:rsidRPr="00645BF5">
              <w:rPr>
                <w:rFonts w:ascii="Arial" w:hAnsi="Arial" w:cs="Arial"/>
                <w:b/>
                <w:color w:val="000000"/>
                <w:sz w:val="18"/>
                <w:szCs w:val="18"/>
                <w:lang w:eastAsia="es-AR"/>
              </w:rPr>
              <w:t xml:space="preserve">-   </w:t>
            </w:r>
          </w:p>
        </w:tc>
        <w:tc>
          <w:tcPr>
            <w:tcW w:w="703" w:type="pct"/>
            <w:tcBorders>
              <w:top w:val="nil"/>
              <w:left w:val="nil"/>
              <w:bottom w:val="single" w:sz="4" w:space="0" w:color="auto"/>
              <w:right w:val="single" w:sz="4" w:space="0" w:color="auto"/>
            </w:tcBorders>
            <w:vAlign w:val="bottom"/>
          </w:tcPr>
          <w:p w14:paraId="0F44F435" w14:textId="7524BC0F" w:rsidR="002A4D61" w:rsidRPr="00EC349E" w:rsidRDefault="00645BF5" w:rsidP="002A4D61">
            <w:pPr>
              <w:jc w:val="right"/>
              <w:rPr>
                <w:rFonts w:ascii="Arial" w:hAnsi="Arial" w:cs="Arial"/>
                <w:b/>
                <w:sz w:val="18"/>
                <w:szCs w:val="18"/>
              </w:rPr>
            </w:pPr>
            <w:r w:rsidRPr="00645BF5">
              <w:rPr>
                <w:rFonts w:ascii="Arial" w:hAnsi="Arial" w:cs="Arial"/>
                <w:b/>
                <w:sz w:val="18"/>
                <w:szCs w:val="18"/>
              </w:rPr>
              <w:t>115.196.610</w:t>
            </w:r>
          </w:p>
        </w:tc>
      </w:tr>
    </w:tbl>
    <w:p w14:paraId="71D81028" w14:textId="77777777" w:rsidR="002A4D61" w:rsidRPr="00B87D37" w:rsidRDefault="002A4D61" w:rsidP="002A4D61">
      <w:pPr>
        <w:spacing w:after="160" w:line="259" w:lineRule="auto"/>
        <w:jc w:val="both"/>
        <w:rPr>
          <w:rFonts w:ascii="Arial" w:eastAsia="Calibri" w:hAnsi="Arial" w:cs="Arial"/>
          <w:b/>
          <w:bCs/>
          <w:sz w:val="20"/>
        </w:rPr>
      </w:pPr>
    </w:p>
    <w:p w14:paraId="5ECF3C20" w14:textId="77777777" w:rsidR="002A4D61" w:rsidRPr="002B52DE" w:rsidRDefault="002A4D61" w:rsidP="002A4D61">
      <w:pPr>
        <w:widowControl w:val="0"/>
        <w:autoSpaceDE w:val="0"/>
        <w:autoSpaceDN w:val="0"/>
        <w:adjustRightInd w:val="0"/>
        <w:jc w:val="both"/>
        <w:rPr>
          <w:rFonts w:ascii="Arial" w:hAnsi="Arial" w:cs="Arial"/>
          <w:b/>
          <w:caps/>
          <w:noProof/>
          <w:sz w:val="20"/>
        </w:rPr>
      </w:pPr>
      <w:r>
        <w:rPr>
          <w:rFonts w:ascii="Arial" w:hAnsi="Arial" w:cs="Arial"/>
          <w:b/>
          <w:noProof/>
          <w:sz w:val="20"/>
        </w:rPr>
        <w:t>18.</w:t>
      </w:r>
      <w:r w:rsidRPr="002B52DE">
        <w:rPr>
          <w:rFonts w:ascii="Arial" w:hAnsi="Arial" w:cs="Arial"/>
          <w:b/>
          <w:caps/>
          <w:noProof/>
          <w:sz w:val="20"/>
        </w:rPr>
        <w:t xml:space="preserve"> </w:t>
      </w:r>
      <w:r>
        <w:rPr>
          <w:rFonts w:ascii="Arial" w:hAnsi="Arial" w:cs="Arial"/>
          <w:b/>
          <w:caps/>
          <w:noProof/>
          <w:sz w:val="20"/>
        </w:rPr>
        <w:t xml:space="preserve">creditos por </w:t>
      </w:r>
      <w:r w:rsidRPr="002B52DE">
        <w:rPr>
          <w:rFonts w:ascii="Arial" w:hAnsi="Arial" w:cs="Arial"/>
          <w:b/>
          <w:caps/>
          <w:noProof/>
          <w:sz w:val="20"/>
        </w:rPr>
        <w:t>Arrendamientos financieros</w:t>
      </w:r>
      <w:r>
        <w:rPr>
          <w:rFonts w:ascii="Arial" w:hAnsi="Arial" w:cs="Arial"/>
          <w:b/>
          <w:caps/>
          <w:noProof/>
          <w:sz w:val="20"/>
        </w:rPr>
        <w:t xml:space="preserve"> Y OPERATIVOS</w:t>
      </w:r>
    </w:p>
    <w:p w14:paraId="4F42761C" w14:textId="77777777" w:rsidR="002A4D61" w:rsidRPr="00701F32" w:rsidRDefault="002A4D61" w:rsidP="002A4D61">
      <w:pPr>
        <w:widowControl w:val="0"/>
        <w:autoSpaceDE w:val="0"/>
        <w:autoSpaceDN w:val="0"/>
        <w:adjustRightInd w:val="0"/>
        <w:jc w:val="both"/>
        <w:rPr>
          <w:rFonts w:ascii="Arial" w:hAnsi="Arial" w:cs="Arial"/>
          <w:b/>
          <w:noProof/>
          <w:sz w:val="20"/>
        </w:rPr>
      </w:pPr>
    </w:p>
    <w:p w14:paraId="43B9EBE2" w14:textId="597E49AE" w:rsidR="002A4D61" w:rsidRPr="00701F32" w:rsidRDefault="002A4D61" w:rsidP="002A4D61">
      <w:pPr>
        <w:spacing w:after="160" w:line="259" w:lineRule="auto"/>
        <w:jc w:val="both"/>
        <w:rPr>
          <w:rFonts w:ascii="Arial" w:eastAsia="Arial" w:hAnsi="Arial" w:cs="Arial"/>
          <w:sz w:val="20"/>
        </w:rPr>
      </w:pPr>
      <w:r w:rsidRPr="00701F32">
        <w:rPr>
          <w:rFonts w:ascii="Arial" w:eastAsia="Arial" w:hAnsi="Arial" w:cs="Arial"/>
          <w:sz w:val="20"/>
        </w:rPr>
        <w:t>A continuación, se realiza un detalle de los vencimientos de los arrendamientos por cobrar del Banco y de los valores act</w:t>
      </w:r>
      <w:r>
        <w:rPr>
          <w:rFonts w:ascii="Arial" w:eastAsia="Arial" w:hAnsi="Arial" w:cs="Arial"/>
          <w:sz w:val="20"/>
        </w:rPr>
        <w:t>uales al 31 de diciembre de 201</w:t>
      </w:r>
      <w:r w:rsidR="00F352E1">
        <w:rPr>
          <w:rFonts w:ascii="Arial" w:eastAsia="Arial" w:hAnsi="Arial" w:cs="Arial"/>
          <w:sz w:val="20"/>
        </w:rPr>
        <w:t>9</w:t>
      </w:r>
      <w:r>
        <w:rPr>
          <w:rFonts w:ascii="Arial" w:eastAsia="Arial" w:hAnsi="Arial" w:cs="Arial"/>
          <w:sz w:val="20"/>
        </w:rPr>
        <w:t xml:space="preserve"> y 201</w:t>
      </w:r>
      <w:r w:rsidR="00F352E1">
        <w:rPr>
          <w:rFonts w:ascii="Arial" w:eastAsia="Arial" w:hAnsi="Arial" w:cs="Arial"/>
          <w:sz w:val="20"/>
        </w:rPr>
        <w:t>8</w:t>
      </w:r>
      <w:r w:rsidRPr="00701F32">
        <w:rPr>
          <w:rFonts w:ascii="Arial" w:eastAsia="Arial" w:hAnsi="Arial" w:cs="Arial"/>
          <w:sz w:val="20"/>
        </w:rPr>
        <w:t>:</w:t>
      </w:r>
    </w:p>
    <w:tbl>
      <w:tblPr>
        <w:tblW w:w="8249" w:type="dxa"/>
        <w:jc w:val="center"/>
        <w:tblCellMar>
          <w:left w:w="70" w:type="dxa"/>
          <w:right w:w="70" w:type="dxa"/>
        </w:tblCellMar>
        <w:tblLook w:val="04A0" w:firstRow="1" w:lastRow="0" w:firstColumn="1" w:lastColumn="0" w:noHBand="0" w:noVBand="1"/>
      </w:tblPr>
      <w:tblGrid>
        <w:gridCol w:w="3841"/>
        <w:gridCol w:w="2125"/>
        <w:gridCol w:w="2283"/>
      </w:tblGrid>
      <w:tr w:rsidR="002A4D61" w:rsidRPr="00701F32" w14:paraId="67D8985F" w14:textId="77777777" w:rsidTr="002A4D61">
        <w:trPr>
          <w:trHeight w:val="256"/>
          <w:tblHeader/>
          <w:jc w:val="center"/>
        </w:trPr>
        <w:tc>
          <w:tcPr>
            <w:tcW w:w="384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9B2387" w14:textId="77777777" w:rsidR="002A4D61" w:rsidRPr="00701F32" w:rsidRDefault="002A4D61" w:rsidP="002A4D61">
            <w:pPr>
              <w:ind w:firstLine="10"/>
              <w:jc w:val="both"/>
              <w:rPr>
                <w:rFonts w:ascii="Arial" w:hAnsi="Arial" w:cs="Arial"/>
                <w:b/>
                <w:bCs/>
                <w:color w:val="000000"/>
                <w:sz w:val="20"/>
                <w:lang w:eastAsia="es-AR"/>
              </w:rPr>
            </w:pPr>
            <w:r w:rsidRPr="00701F32">
              <w:rPr>
                <w:rFonts w:ascii="Arial" w:hAnsi="Arial" w:cs="Arial"/>
                <w:b/>
                <w:bCs/>
                <w:color w:val="000000"/>
                <w:sz w:val="20"/>
                <w:lang w:eastAsia="es-AR"/>
              </w:rPr>
              <w:t>Canones a cobrar</w:t>
            </w:r>
            <w:r>
              <w:rPr>
                <w:rFonts w:ascii="Arial" w:hAnsi="Arial" w:cs="Arial"/>
                <w:b/>
                <w:bCs/>
                <w:color w:val="000000"/>
                <w:sz w:val="20"/>
                <w:lang w:eastAsia="es-AR"/>
              </w:rPr>
              <w:t xml:space="preserve"> arrend. financieros</w:t>
            </w:r>
          </w:p>
        </w:tc>
        <w:tc>
          <w:tcPr>
            <w:tcW w:w="2125" w:type="dxa"/>
            <w:tcBorders>
              <w:top w:val="single" w:sz="8" w:space="0" w:color="auto"/>
              <w:left w:val="nil"/>
              <w:bottom w:val="single" w:sz="8" w:space="0" w:color="auto"/>
              <w:right w:val="single" w:sz="8" w:space="0" w:color="auto"/>
            </w:tcBorders>
            <w:shd w:val="clear" w:color="auto" w:fill="auto"/>
            <w:vAlign w:val="bottom"/>
            <w:hideMark/>
          </w:tcPr>
          <w:p w14:paraId="30AED77F" w14:textId="4E80618C" w:rsidR="002A4D61" w:rsidRPr="00701F32" w:rsidRDefault="002A4D61" w:rsidP="002A4D61">
            <w:pPr>
              <w:ind w:firstLine="10"/>
              <w:jc w:val="right"/>
              <w:rPr>
                <w:rFonts w:ascii="Arial" w:hAnsi="Arial" w:cs="Arial"/>
                <w:b/>
                <w:bCs/>
                <w:color w:val="000000"/>
                <w:sz w:val="20"/>
                <w:lang w:eastAsia="es-AR"/>
              </w:rPr>
            </w:pPr>
            <w:r>
              <w:rPr>
                <w:rFonts w:ascii="Arial" w:hAnsi="Arial" w:cs="Arial"/>
                <w:b/>
                <w:bCs/>
                <w:color w:val="000000"/>
                <w:sz w:val="20"/>
                <w:lang w:eastAsia="es-AR"/>
              </w:rPr>
              <w:t>31/12/201</w:t>
            </w:r>
            <w:r w:rsidR="002A6A09">
              <w:rPr>
                <w:rFonts w:ascii="Arial" w:hAnsi="Arial" w:cs="Arial"/>
                <w:b/>
                <w:bCs/>
                <w:color w:val="000000"/>
                <w:sz w:val="20"/>
                <w:lang w:eastAsia="es-AR"/>
              </w:rPr>
              <w:t>9</w:t>
            </w:r>
          </w:p>
        </w:tc>
        <w:tc>
          <w:tcPr>
            <w:tcW w:w="2283" w:type="dxa"/>
            <w:tcBorders>
              <w:top w:val="single" w:sz="8" w:space="0" w:color="auto"/>
              <w:left w:val="nil"/>
              <w:bottom w:val="single" w:sz="8" w:space="0" w:color="auto"/>
              <w:right w:val="single" w:sz="8" w:space="0" w:color="auto"/>
            </w:tcBorders>
            <w:vAlign w:val="bottom"/>
          </w:tcPr>
          <w:p w14:paraId="3E8DFABA" w14:textId="3E937A99" w:rsidR="002A4D61" w:rsidRDefault="002A4D61" w:rsidP="002A4D61">
            <w:pPr>
              <w:ind w:firstLine="10"/>
              <w:jc w:val="right"/>
              <w:rPr>
                <w:rFonts w:ascii="Arial" w:hAnsi="Arial" w:cs="Arial"/>
                <w:b/>
                <w:bCs/>
                <w:color w:val="000000"/>
                <w:sz w:val="20"/>
                <w:lang w:eastAsia="es-AR"/>
              </w:rPr>
            </w:pPr>
            <w:r>
              <w:rPr>
                <w:rFonts w:ascii="Arial" w:hAnsi="Arial" w:cs="Arial"/>
                <w:b/>
                <w:bCs/>
                <w:color w:val="000000"/>
                <w:sz w:val="20"/>
                <w:lang w:eastAsia="es-AR"/>
              </w:rPr>
              <w:t>31/12/201</w:t>
            </w:r>
            <w:r w:rsidR="002A6A09">
              <w:rPr>
                <w:rFonts w:ascii="Arial" w:hAnsi="Arial" w:cs="Arial"/>
                <w:b/>
                <w:bCs/>
                <w:color w:val="000000"/>
                <w:sz w:val="20"/>
                <w:lang w:eastAsia="es-AR"/>
              </w:rPr>
              <w:t>8</w:t>
            </w:r>
          </w:p>
        </w:tc>
      </w:tr>
      <w:tr w:rsidR="002A4D61" w:rsidRPr="00701F32" w14:paraId="7C8CA8FF" w14:textId="77777777" w:rsidTr="002A4D61">
        <w:trPr>
          <w:trHeight w:val="256"/>
          <w:jc w:val="center"/>
        </w:trPr>
        <w:tc>
          <w:tcPr>
            <w:tcW w:w="3841" w:type="dxa"/>
            <w:tcBorders>
              <w:top w:val="nil"/>
              <w:left w:val="single" w:sz="8" w:space="0" w:color="auto"/>
              <w:bottom w:val="single" w:sz="8" w:space="0" w:color="auto"/>
              <w:right w:val="single" w:sz="8" w:space="0" w:color="auto"/>
            </w:tcBorders>
            <w:shd w:val="clear" w:color="auto" w:fill="auto"/>
            <w:vAlign w:val="center"/>
            <w:hideMark/>
          </w:tcPr>
          <w:p w14:paraId="7B5A5671" w14:textId="77777777" w:rsidR="002A4D61" w:rsidRPr="00701F32" w:rsidRDefault="002A4D61" w:rsidP="002A4D61">
            <w:pPr>
              <w:ind w:firstLine="10"/>
              <w:jc w:val="both"/>
              <w:rPr>
                <w:rFonts w:ascii="Arial" w:hAnsi="Arial" w:cs="Arial"/>
                <w:color w:val="000000"/>
                <w:sz w:val="20"/>
                <w:lang w:eastAsia="es-AR"/>
              </w:rPr>
            </w:pPr>
            <w:r w:rsidRPr="00701F32">
              <w:rPr>
                <w:rFonts w:ascii="Arial" w:hAnsi="Arial" w:cs="Arial"/>
                <w:color w:val="000000"/>
                <w:sz w:val="20"/>
                <w:lang w:eastAsia="es-AR"/>
              </w:rPr>
              <w:t>Hasta un año</w:t>
            </w:r>
          </w:p>
        </w:tc>
        <w:tc>
          <w:tcPr>
            <w:tcW w:w="2125" w:type="dxa"/>
            <w:tcBorders>
              <w:top w:val="nil"/>
              <w:left w:val="single" w:sz="8" w:space="0" w:color="auto"/>
              <w:bottom w:val="single" w:sz="8" w:space="0" w:color="auto"/>
              <w:right w:val="single" w:sz="8" w:space="0" w:color="auto"/>
            </w:tcBorders>
            <w:shd w:val="clear" w:color="auto" w:fill="auto"/>
            <w:vAlign w:val="bottom"/>
            <w:hideMark/>
          </w:tcPr>
          <w:p w14:paraId="53B31666" w14:textId="27407E04" w:rsidR="002A4D61" w:rsidRPr="006C6AAF" w:rsidRDefault="002A4D61" w:rsidP="002A4D61">
            <w:pPr>
              <w:ind w:firstLine="10"/>
              <w:jc w:val="right"/>
              <w:rPr>
                <w:rFonts w:ascii="Arial" w:hAnsi="Arial" w:cs="Arial"/>
                <w:color w:val="000000"/>
                <w:sz w:val="20"/>
                <w:lang w:eastAsia="es-AR"/>
              </w:rPr>
            </w:pPr>
            <w:r w:rsidRPr="00EC349E">
              <w:rPr>
                <w:rFonts w:ascii="Arial" w:hAnsi="Arial" w:cs="Arial"/>
                <w:color w:val="000000"/>
                <w:sz w:val="20"/>
              </w:rPr>
              <w:t>1.7</w:t>
            </w:r>
            <w:r w:rsidR="002A6A09">
              <w:rPr>
                <w:rFonts w:ascii="Arial" w:hAnsi="Arial" w:cs="Arial"/>
                <w:color w:val="000000"/>
                <w:sz w:val="20"/>
              </w:rPr>
              <w:t>83.106</w:t>
            </w:r>
            <w:r w:rsidRPr="00EC349E">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bottom"/>
          </w:tcPr>
          <w:p w14:paraId="186F2FE2" w14:textId="2A2F570E" w:rsidR="002A4D61" w:rsidRPr="006C6AAF" w:rsidRDefault="002A6A09" w:rsidP="002A4D61">
            <w:pPr>
              <w:ind w:firstLine="10"/>
              <w:jc w:val="right"/>
              <w:rPr>
                <w:rFonts w:ascii="Arial" w:hAnsi="Arial" w:cs="Arial"/>
                <w:color w:val="000000"/>
                <w:sz w:val="20"/>
              </w:rPr>
            </w:pPr>
            <w:r w:rsidRPr="00EC349E">
              <w:rPr>
                <w:rFonts w:ascii="Arial" w:hAnsi="Arial" w:cs="Arial"/>
                <w:color w:val="000000"/>
                <w:sz w:val="20"/>
              </w:rPr>
              <w:t>1.708.103</w:t>
            </w:r>
            <w:r w:rsidR="002A4D61" w:rsidRPr="00EC349E">
              <w:rPr>
                <w:rFonts w:ascii="Arial" w:hAnsi="Arial" w:cs="Arial"/>
                <w:color w:val="000000"/>
                <w:sz w:val="22"/>
                <w:szCs w:val="22"/>
              </w:rPr>
              <w:t xml:space="preserve"> </w:t>
            </w:r>
          </w:p>
        </w:tc>
      </w:tr>
      <w:tr w:rsidR="002A4D61" w:rsidRPr="00701F32" w14:paraId="17364431" w14:textId="77777777" w:rsidTr="002A4D61">
        <w:trPr>
          <w:trHeight w:val="256"/>
          <w:jc w:val="center"/>
        </w:trPr>
        <w:tc>
          <w:tcPr>
            <w:tcW w:w="3841" w:type="dxa"/>
            <w:tcBorders>
              <w:top w:val="nil"/>
              <w:left w:val="single" w:sz="8" w:space="0" w:color="auto"/>
              <w:bottom w:val="single" w:sz="8" w:space="0" w:color="auto"/>
              <w:right w:val="single" w:sz="8" w:space="0" w:color="auto"/>
            </w:tcBorders>
            <w:shd w:val="clear" w:color="auto" w:fill="auto"/>
            <w:vAlign w:val="center"/>
            <w:hideMark/>
          </w:tcPr>
          <w:p w14:paraId="3B3C2BCF" w14:textId="77777777" w:rsidR="002A4D61" w:rsidRPr="00701F32" w:rsidRDefault="002A4D61" w:rsidP="002A4D61">
            <w:pPr>
              <w:ind w:firstLine="10"/>
              <w:jc w:val="both"/>
              <w:rPr>
                <w:rFonts w:ascii="Arial" w:hAnsi="Arial" w:cs="Arial"/>
                <w:color w:val="000000"/>
                <w:sz w:val="20"/>
                <w:lang w:eastAsia="es-AR"/>
              </w:rPr>
            </w:pPr>
            <w:r w:rsidRPr="00701F32">
              <w:rPr>
                <w:rFonts w:ascii="Arial" w:hAnsi="Arial" w:cs="Arial"/>
                <w:color w:val="000000"/>
                <w:sz w:val="20"/>
                <w:lang w:eastAsia="es-AR"/>
              </w:rPr>
              <w:t>Más de uno a dos años</w:t>
            </w:r>
          </w:p>
        </w:tc>
        <w:tc>
          <w:tcPr>
            <w:tcW w:w="2125" w:type="dxa"/>
            <w:tcBorders>
              <w:top w:val="nil"/>
              <w:left w:val="single" w:sz="8" w:space="0" w:color="auto"/>
              <w:bottom w:val="single" w:sz="8" w:space="0" w:color="auto"/>
              <w:right w:val="single" w:sz="8" w:space="0" w:color="auto"/>
            </w:tcBorders>
            <w:shd w:val="clear" w:color="auto" w:fill="auto"/>
            <w:vAlign w:val="bottom"/>
            <w:hideMark/>
          </w:tcPr>
          <w:p w14:paraId="0E6970B4" w14:textId="65C9DCAF" w:rsidR="002A4D61" w:rsidRPr="006C6AAF" w:rsidRDefault="002A4D61" w:rsidP="002A4D61">
            <w:pPr>
              <w:ind w:firstLine="10"/>
              <w:jc w:val="right"/>
              <w:rPr>
                <w:rFonts w:ascii="Arial" w:hAnsi="Arial" w:cs="Arial"/>
                <w:color w:val="000000"/>
                <w:sz w:val="20"/>
                <w:lang w:eastAsia="es-AR"/>
              </w:rPr>
            </w:pPr>
            <w:r w:rsidRPr="00EC349E">
              <w:rPr>
                <w:rFonts w:ascii="Arial" w:hAnsi="Arial" w:cs="Arial"/>
                <w:color w:val="000000"/>
                <w:sz w:val="20"/>
              </w:rPr>
              <w:t>1.</w:t>
            </w:r>
            <w:r w:rsidR="002A6A09">
              <w:rPr>
                <w:rFonts w:ascii="Arial" w:hAnsi="Arial" w:cs="Arial"/>
                <w:color w:val="000000"/>
                <w:sz w:val="20"/>
              </w:rPr>
              <w:t>167.248</w:t>
            </w:r>
            <w:r w:rsidRPr="00EC349E">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bottom"/>
          </w:tcPr>
          <w:p w14:paraId="7E156E52" w14:textId="1AC5A139" w:rsidR="002A4D61" w:rsidRPr="006C6AAF" w:rsidRDefault="002A6A09" w:rsidP="002A4D61">
            <w:pPr>
              <w:ind w:firstLine="10"/>
              <w:jc w:val="right"/>
              <w:rPr>
                <w:rFonts w:ascii="Arial" w:hAnsi="Arial" w:cs="Arial"/>
                <w:color w:val="000000"/>
                <w:sz w:val="20"/>
              </w:rPr>
            </w:pPr>
            <w:r w:rsidRPr="00EC349E">
              <w:rPr>
                <w:rFonts w:ascii="Arial" w:hAnsi="Arial" w:cs="Arial"/>
                <w:color w:val="000000"/>
                <w:sz w:val="20"/>
              </w:rPr>
              <w:t>1.321.057</w:t>
            </w:r>
            <w:r w:rsidR="002A4D61" w:rsidRPr="00EC349E">
              <w:rPr>
                <w:rFonts w:ascii="Arial" w:hAnsi="Arial" w:cs="Arial"/>
                <w:color w:val="000000"/>
                <w:sz w:val="22"/>
                <w:szCs w:val="22"/>
              </w:rPr>
              <w:t xml:space="preserve"> </w:t>
            </w:r>
          </w:p>
        </w:tc>
      </w:tr>
      <w:tr w:rsidR="002A4D61" w:rsidRPr="00701F32" w14:paraId="2C992C02" w14:textId="77777777" w:rsidTr="002A4D61">
        <w:trPr>
          <w:trHeight w:val="256"/>
          <w:jc w:val="center"/>
        </w:trPr>
        <w:tc>
          <w:tcPr>
            <w:tcW w:w="3841" w:type="dxa"/>
            <w:tcBorders>
              <w:top w:val="nil"/>
              <w:left w:val="single" w:sz="8" w:space="0" w:color="auto"/>
              <w:bottom w:val="single" w:sz="8" w:space="0" w:color="auto"/>
              <w:right w:val="single" w:sz="8" w:space="0" w:color="auto"/>
            </w:tcBorders>
            <w:shd w:val="clear" w:color="auto" w:fill="auto"/>
            <w:vAlign w:val="center"/>
            <w:hideMark/>
          </w:tcPr>
          <w:p w14:paraId="17E2BDC8" w14:textId="77777777" w:rsidR="002A4D61" w:rsidRPr="00701F32" w:rsidRDefault="002A4D61" w:rsidP="002A4D61">
            <w:pPr>
              <w:ind w:firstLine="10"/>
              <w:jc w:val="both"/>
              <w:rPr>
                <w:rFonts w:ascii="Arial" w:hAnsi="Arial" w:cs="Arial"/>
                <w:color w:val="000000"/>
                <w:sz w:val="20"/>
                <w:lang w:eastAsia="es-AR"/>
              </w:rPr>
            </w:pPr>
            <w:r w:rsidRPr="00701F32">
              <w:rPr>
                <w:rFonts w:ascii="Arial" w:eastAsia="Arial" w:hAnsi="Arial" w:cs="Arial"/>
                <w:color w:val="000000"/>
                <w:sz w:val="20"/>
                <w:lang w:eastAsia="es-AR"/>
              </w:rPr>
              <w:t>De dos a tres años</w:t>
            </w:r>
          </w:p>
        </w:tc>
        <w:tc>
          <w:tcPr>
            <w:tcW w:w="2125" w:type="dxa"/>
            <w:tcBorders>
              <w:top w:val="nil"/>
              <w:left w:val="single" w:sz="8" w:space="0" w:color="auto"/>
              <w:bottom w:val="single" w:sz="8" w:space="0" w:color="auto"/>
              <w:right w:val="single" w:sz="8" w:space="0" w:color="auto"/>
            </w:tcBorders>
            <w:shd w:val="clear" w:color="auto" w:fill="auto"/>
            <w:vAlign w:val="bottom"/>
            <w:hideMark/>
          </w:tcPr>
          <w:p w14:paraId="70975B0C" w14:textId="3A4530D8" w:rsidR="002A4D61" w:rsidRPr="006C6AAF" w:rsidRDefault="002A6A09" w:rsidP="002A4D61">
            <w:pPr>
              <w:ind w:firstLine="10"/>
              <w:jc w:val="right"/>
              <w:rPr>
                <w:rFonts w:ascii="Arial" w:hAnsi="Arial" w:cs="Arial"/>
                <w:color w:val="000000"/>
                <w:sz w:val="20"/>
                <w:lang w:eastAsia="es-AR"/>
              </w:rPr>
            </w:pPr>
            <w:r>
              <w:rPr>
                <w:rFonts w:ascii="Arial" w:hAnsi="Arial" w:cs="Arial"/>
                <w:color w:val="000000"/>
                <w:sz w:val="20"/>
              </w:rPr>
              <w:t>665.603</w:t>
            </w:r>
            <w:r w:rsidR="002A4D61" w:rsidRPr="00EC349E">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bottom"/>
          </w:tcPr>
          <w:p w14:paraId="798CE0CE" w14:textId="10BA2186" w:rsidR="002A4D61" w:rsidRPr="006C6AAF" w:rsidRDefault="002A6A09" w:rsidP="002A4D61">
            <w:pPr>
              <w:ind w:firstLine="10"/>
              <w:jc w:val="right"/>
              <w:rPr>
                <w:rFonts w:ascii="Arial" w:hAnsi="Arial" w:cs="Arial"/>
                <w:color w:val="000000"/>
                <w:sz w:val="20"/>
              </w:rPr>
            </w:pPr>
            <w:r w:rsidRPr="00EC349E">
              <w:rPr>
                <w:rFonts w:ascii="Arial" w:hAnsi="Arial" w:cs="Arial"/>
                <w:color w:val="000000"/>
                <w:sz w:val="20"/>
              </w:rPr>
              <w:t>745.486</w:t>
            </w:r>
            <w:r w:rsidR="002A4D61" w:rsidRPr="00EC349E">
              <w:rPr>
                <w:rFonts w:ascii="Arial" w:hAnsi="Arial" w:cs="Arial"/>
                <w:color w:val="000000"/>
                <w:sz w:val="22"/>
                <w:szCs w:val="22"/>
              </w:rPr>
              <w:t xml:space="preserve"> </w:t>
            </w:r>
          </w:p>
        </w:tc>
      </w:tr>
      <w:tr w:rsidR="002A4D61" w:rsidRPr="00701F32" w14:paraId="77C46C56" w14:textId="77777777" w:rsidTr="002A4D61">
        <w:trPr>
          <w:trHeight w:val="256"/>
          <w:jc w:val="center"/>
        </w:trPr>
        <w:tc>
          <w:tcPr>
            <w:tcW w:w="3841" w:type="dxa"/>
            <w:tcBorders>
              <w:top w:val="nil"/>
              <w:left w:val="single" w:sz="8" w:space="0" w:color="auto"/>
              <w:bottom w:val="single" w:sz="8" w:space="0" w:color="auto"/>
              <w:right w:val="single" w:sz="8" w:space="0" w:color="auto"/>
            </w:tcBorders>
            <w:shd w:val="clear" w:color="auto" w:fill="auto"/>
            <w:vAlign w:val="center"/>
            <w:hideMark/>
          </w:tcPr>
          <w:p w14:paraId="0B3A153B" w14:textId="77777777" w:rsidR="002A4D61" w:rsidRPr="00701F32" w:rsidRDefault="002A4D61" w:rsidP="002A4D61">
            <w:pPr>
              <w:ind w:firstLine="10"/>
              <w:jc w:val="both"/>
              <w:rPr>
                <w:rFonts w:ascii="Arial" w:hAnsi="Arial" w:cs="Arial"/>
                <w:color w:val="000000"/>
                <w:sz w:val="20"/>
                <w:lang w:eastAsia="es-AR"/>
              </w:rPr>
            </w:pPr>
            <w:r w:rsidRPr="00701F32">
              <w:rPr>
                <w:rFonts w:ascii="Arial" w:eastAsia="Arial" w:hAnsi="Arial" w:cs="Arial"/>
                <w:color w:val="000000"/>
                <w:sz w:val="20"/>
                <w:lang w:eastAsia="es-AR"/>
              </w:rPr>
              <w:t>De tres a cinco años</w:t>
            </w:r>
          </w:p>
        </w:tc>
        <w:tc>
          <w:tcPr>
            <w:tcW w:w="2125" w:type="dxa"/>
            <w:tcBorders>
              <w:top w:val="nil"/>
              <w:left w:val="single" w:sz="8" w:space="0" w:color="auto"/>
              <w:bottom w:val="single" w:sz="8" w:space="0" w:color="auto"/>
              <w:right w:val="single" w:sz="8" w:space="0" w:color="auto"/>
            </w:tcBorders>
            <w:shd w:val="clear" w:color="auto" w:fill="auto"/>
            <w:vAlign w:val="bottom"/>
            <w:hideMark/>
          </w:tcPr>
          <w:p w14:paraId="4E4D3D5E" w14:textId="0A13397E" w:rsidR="002A4D61" w:rsidRPr="006C6AAF" w:rsidRDefault="002A4D61" w:rsidP="002A4D61">
            <w:pPr>
              <w:ind w:firstLine="10"/>
              <w:jc w:val="right"/>
              <w:rPr>
                <w:rFonts w:ascii="Arial" w:hAnsi="Arial" w:cs="Arial"/>
                <w:color w:val="000000"/>
                <w:sz w:val="20"/>
                <w:lang w:eastAsia="es-AR"/>
              </w:rPr>
            </w:pPr>
            <w:r w:rsidRPr="00EC349E">
              <w:rPr>
                <w:rFonts w:ascii="Arial" w:hAnsi="Arial" w:cs="Arial"/>
                <w:color w:val="000000"/>
                <w:sz w:val="20"/>
              </w:rPr>
              <w:t>4</w:t>
            </w:r>
            <w:r w:rsidR="002A6A09">
              <w:rPr>
                <w:rFonts w:ascii="Arial" w:hAnsi="Arial" w:cs="Arial"/>
                <w:color w:val="000000"/>
                <w:sz w:val="20"/>
              </w:rPr>
              <w:t>21.983</w:t>
            </w:r>
            <w:r w:rsidRPr="00EC349E">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bottom"/>
          </w:tcPr>
          <w:p w14:paraId="04381D30" w14:textId="50CC3606" w:rsidR="002A4D61" w:rsidRPr="006C6AAF" w:rsidRDefault="002A6A09" w:rsidP="002A4D61">
            <w:pPr>
              <w:ind w:firstLine="10"/>
              <w:jc w:val="right"/>
              <w:rPr>
                <w:rFonts w:ascii="Arial" w:hAnsi="Arial" w:cs="Arial"/>
                <w:color w:val="000000"/>
                <w:sz w:val="20"/>
              </w:rPr>
            </w:pPr>
            <w:r w:rsidRPr="00EC349E">
              <w:rPr>
                <w:rFonts w:ascii="Arial" w:hAnsi="Arial" w:cs="Arial"/>
                <w:color w:val="000000"/>
                <w:sz w:val="20"/>
              </w:rPr>
              <w:t>442.841</w:t>
            </w:r>
            <w:r w:rsidR="002A4D61" w:rsidRPr="00EC349E">
              <w:rPr>
                <w:rFonts w:ascii="Arial" w:hAnsi="Arial" w:cs="Arial"/>
                <w:color w:val="000000"/>
                <w:sz w:val="22"/>
                <w:szCs w:val="22"/>
              </w:rPr>
              <w:t xml:space="preserve"> </w:t>
            </w:r>
          </w:p>
        </w:tc>
      </w:tr>
      <w:tr w:rsidR="002A4D61" w:rsidRPr="00701F32" w14:paraId="753FEFE0" w14:textId="77777777" w:rsidTr="002A4D61">
        <w:trPr>
          <w:trHeight w:val="256"/>
          <w:jc w:val="center"/>
        </w:trPr>
        <w:tc>
          <w:tcPr>
            <w:tcW w:w="3841" w:type="dxa"/>
            <w:tcBorders>
              <w:top w:val="nil"/>
              <w:left w:val="single" w:sz="8" w:space="0" w:color="auto"/>
              <w:bottom w:val="single" w:sz="8" w:space="0" w:color="auto"/>
              <w:right w:val="single" w:sz="8" w:space="0" w:color="auto"/>
            </w:tcBorders>
            <w:shd w:val="clear" w:color="auto" w:fill="auto"/>
            <w:vAlign w:val="center"/>
            <w:hideMark/>
          </w:tcPr>
          <w:p w14:paraId="457D1E65" w14:textId="77777777" w:rsidR="002A4D61" w:rsidRPr="00701F32" w:rsidRDefault="002A4D61" w:rsidP="002A4D61">
            <w:pPr>
              <w:ind w:firstLine="10"/>
              <w:jc w:val="both"/>
              <w:rPr>
                <w:rFonts w:ascii="Arial" w:hAnsi="Arial" w:cs="Arial"/>
                <w:color w:val="000000"/>
                <w:sz w:val="20"/>
                <w:lang w:eastAsia="es-AR"/>
              </w:rPr>
            </w:pPr>
            <w:r w:rsidRPr="00701F32">
              <w:rPr>
                <w:rFonts w:ascii="Arial" w:eastAsia="Arial" w:hAnsi="Arial" w:cs="Arial"/>
                <w:color w:val="000000"/>
                <w:sz w:val="20"/>
                <w:lang w:eastAsia="es-AR"/>
              </w:rPr>
              <w:t>Más de cinco años</w:t>
            </w:r>
          </w:p>
        </w:tc>
        <w:tc>
          <w:tcPr>
            <w:tcW w:w="2125" w:type="dxa"/>
            <w:tcBorders>
              <w:top w:val="nil"/>
              <w:left w:val="single" w:sz="8" w:space="0" w:color="auto"/>
              <w:bottom w:val="single" w:sz="8" w:space="0" w:color="auto"/>
              <w:right w:val="single" w:sz="8" w:space="0" w:color="auto"/>
            </w:tcBorders>
            <w:shd w:val="clear" w:color="auto" w:fill="auto"/>
            <w:vAlign w:val="bottom"/>
            <w:hideMark/>
          </w:tcPr>
          <w:p w14:paraId="6C03EBF8" w14:textId="3E2A869C" w:rsidR="002A4D61" w:rsidRPr="006C6AAF" w:rsidRDefault="002A6A09" w:rsidP="002A4D61">
            <w:pPr>
              <w:ind w:firstLine="10"/>
              <w:jc w:val="right"/>
              <w:rPr>
                <w:rFonts w:ascii="Arial" w:hAnsi="Arial" w:cs="Arial"/>
                <w:color w:val="000000"/>
                <w:sz w:val="20"/>
                <w:lang w:eastAsia="es-AR"/>
              </w:rPr>
            </w:pPr>
            <w:r>
              <w:rPr>
                <w:rFonts w:ascii="Arial" w:hAnsi="Arial" w:cs="Arial"/>
                <w:color w:val="000000"/>
                <w:sz w:val="20"/>
              </w:rPr>
              <w:t>20.379</w:t>
            </w:r>
            <w:r w:rsidR="002A4D61" w:rsidRPr="00EC349E">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bottom"/>
          </w:tcPr>
          <w:p w14:paraId="6D807CC8" w14:textId="0C5BC929" w:rsidR="002A4D61" w:rsidRPr="006C6AAF" w:rsidRDefault="002A6A09" w:rsidP="002A4D61">
            <w:pPr>
              <w:ind w:firstLine="10"/>
              <w:jc w:val="right"/>
              <w:rPr>
                <w:rFonts w:ascii="Arial" w:hAnsi="Arial" w:cs="Arial"/>
                <w:color w:val="000000"/>
                <w:sz w:val="20"/>
              </w:rPr>
            </w:pPr>
            <w:r w:rsidRPr="00EC349E">
              <w:rPr>
                <w:rFonts w:ascii="Arial" w:hAnsi="Arial" w:cs="Arial"/>
                <w:color w:val="000000"/>
                <w:sz w:val="20"/>
              </w:rPr>
              <w:t xml:space="preserve">9.396 </w:t>
            </w:r>
            <w:r w:rsidR="002A4D61" w:rsidRPr="00EC349E">
              <w:rPr>
                <w:rFonts w:ascii="Arial" w:hAnsi="Arial" w:cs="Arial"/>
                <w:color w:val="000000"/>
                <w:sz w:val="22"/>
                <w:szCs w:val="22"/>
              </w:rPr>
              <w:t xml:space="preserve"> </w:t>
            </w:r>
          </w:p>
        </w:tc>
      </w:tr>
      <w:tr w:rsidR="002A4D61" w:rsidRPr="00701F32" w14:paraId="76B3F53B" w14:textId="77777777" w:rsidTr="002A4D61">
        <w:trPr>
          <w:trHeight w:val="256"/>
          <w:jc w:val="center"/>
        </w:trPr>
        <w:tc>
          <w:tcPr>
            <w:tcW w:w="3841"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0E261E2" w14:textId="77777777" w:rsidR="002A4D61" w:rsidRPr="00701F32" w:rsidRDefault="002A4D61" w:rsidP="002A4D61">
            <w:pPr>
              <w:ind w:firstLine="10"/>
              <w:jc w:val="both"/>
              <w:rPr>
                <w:rFonts w:ascii="Arial" w:hAnsi="Arial" w:cs="Arial"/>
                <w:b/>
                <w:bCs/>
                <w:color w:val="000000"/>
                <w:sz w:val="20"/>
                <w:lang w:eastAsia="es-AR"/>
              </w:rPr>
            </w:pPr>
            <w:r>
              <w:rPr>
                <w:rFonts w:ascii="Arial" w:hAnsi="Arial" w:cs="Arial"/>
                <w:b/>
                <w:bCs/>
                <w:color w:val="000000"/>
                <w:sz w:val="20"/>
                <w:lang w:eastAsia="es-AR"/>
              </w:rPr>
              <w:t>Total canones a cobrar</w:t>
            </w:r>
          </w:p>
        </w:tc>
        <w:tc>
          <w:tcPr>
            <w:tcW w:w="2125"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77D1D82A" w14:textId="3FA65BE7" w:rsidR="002A4D61" w:rsidRPr="006C6AAF" w:rsidRDefault="002A4D61" w:rsidP="002A4D61">
            <w:pPr>
              <w:ind w:firstLine="10"/>
              <w:jc w:val="right"/>
              <w:rPr>
                <w:rFonts w:ascii="Arial" w:hAnsi="Arial" w:cs="Arial"/>
                <w:b/>
                <w:bCs/>
                <w:color w:val="000000"/>
                <w:sz w:val="20"/>
                <w:lang w:eastAsia="es-AR"/>
              </w:rPr>
            </w:pPr>
            <w:r>
              <w:rPr>
                <w:rFonts w:ascii="Arial" w:hAnsi="Arial" w:cs="Arial"/>
                <w:b/>
                <w:bCs/>
                <w:color w:val="000000"/>
                <w:sz w:val="20"/>
              </w:rPr>
              <w:t>4.</w:t>
            </w:r>
            <w:r w:rsidR="002A6A09">
              <w:rPr>
                <w:rFonts w:ascii="Arial" w:hAnsi="Arial" w:cs="Arial"/>
                <w:b/>
                <w:bCs/>
                <w:color w:val="000000"/>
                <w:sz w:val="20"/>
              </w:rPr>
              <w:t>058.319</w:t>
            </w:r>
            <w:r w:rsidRPr="00EC349E">
              <w:rPr>
                <w:rFonts w:ascii="Arial" w:hAnsi="Arial" w:cs="Arial"/>
                <w:b/>
                <w:bCs/>
                <w:color w:val="000000"/>
                <w:sz w:val="20"/>
              </w:rPr>
              <w:t xml:space="preserve"> </w:t>
            </w:r>
          </w:p>
        </w:tc>
        <w:tc>
          <w:tcPr>
            <w:tcW w:w="2283" w:type="dxa"/>
            <w:tcBorders>
              <w:top w:val="single" w:sz="8" w:space="0" w:color="auto"/>
              <w:left w:val="nil"/>
              <w:bottom w:val="single" w:sz="4" w:space="0" w:color="auto"/>
              <w:right w:val="single" w:sz="8" w:space="0" w:color="auto"/>
            </w:tcBorders>
            <w:shd w:val="clear" w:color="auto" w:fill="auto"/>
            <w:vAlign w:val="bottom"/>
          </w:tcPr>
          <w:p w14:paraId="485EC4E2" w14:textId="58887022" w:rsidR="002A4D61" w:rsidRPr="006C6AAF" w:rsidRDefault="002A6A09" w:rsidP="002A4D61">
            <w:pPr>
              <w:ind w:firstLine="10"/>
              <w:jc w:val="right"/>
              <w:rPr>
                <w:rFonts w:ascii="Arial" w:hAnsi="Arial" w:cs="Arial"/>
                <w:color w:val="000000"/>
                <w:sz w:val="20"/>
              </w:rPr>
            </w:pPr>
            <w:r>
              <w:rPr>
                <w:rFonts w:ascii="Arial" w:hAnsi="Arial" w:cs="Arial"/>
                <w:b/>
                <w:bCs/>
                <w:color w:val="000000"/>
                <w:sz w:val="20"/>
              </w:rPr>
              <w:t>4.226.883</w:t>
            </w:r>
            <w:r w:rsidR="002A4D61" w:rsidRPr="00EC349E">
              <w:rPr>
                <w:rFonts w:ascii="Arial" w:hAnsi="Arial" w:cs="Arial"/>
                <w:b/>
                <w:bCs/>
                <w:color w:val="000000"/>
                <w:sz w:val="20"/>
              </w:rPr>
              <w:t xml:space="preserve"> </w:t>
            </w:r>
          </w:p>
        </w:tc>
      </w:tr>
      <w:tr w:rsidR="002A4D61" w:rsidRPr="00701F32" w14:paraId="0E3DEADD" w14:textId="77777777" w:rsidTr="002A4D61">
        <w:trPr>
          <w:trHeight w:val="256"/>
          <w:jc w:val="center"/>
        </w:trPr>
        <w:tc>
          <w:tcPr>
            <w:tcW w:w="3841" w:type="dxa"/>
            <w:tcBorders>
              <w:top w:val="single" w:sz="4" w:space="0" w:color="auto"/>
              <w:left w:val="single" w:sz="8" w:space="0" w:color="auto"/>
              <w:bottom w:val="single" w:sz="4" w:space="0" w:color="auto"/>
              <w:right w:val="single" w:sz="8" w:space="0" w:color="auto"/>
            </w:tcBorders>
            <w:shd w:val="clear" w:color="auto" w:fill="auto"/>
            <w:vAlign w:val="center"/>
          </w:tcPr>
          <w:p w14:paraId="70D3BE2F" w14:textId="77777777" w:rsidR="002A4D61" w:rsidRPr="006C6AAF" w:rsidRDefault="002A4D61" w:rsidP="002A4D61">
            <w:pPr>
              <w:ind w:firstLine="10"/>
              <w:jc w:val="both"/>
              <w:rPr>
                <w:rFonts w:ascii="Arial" w:hAnsi="Arial" w:cs="Arial"/>
                <w:b/>
                <w:bCs/>
                <w:color w:val="000000"/>
                <w:sz w:val="20"/>
                <w:lang w:eastAsia="es-AR"/>
              </w:rPr>
            </w:pPr>
            <w:r w:rsidRPr="00EC349E">
              <w:rPr>
                <w:rFonts w:ascii="Arial" w:hAnsi="Arial" w:cs="Arial"/>
                <w:b/>
                <w:bCs/>
                <w:color w:val="000000"/>
                <w:sz w:val="20"/>
              </w:rPr>
              <w:t>(Cargos financieros a devengar sobre arrendamientos financieros)</w:t>
            </w:r>
          </w:p>
        </w:tc>
        <w:tc>
          <w:tcPr>
            <w:tcW w:w="2125" w:type="dxa"/>
            <w:tcBorders>
              <w:top w:val="single" w:sz="4" w:space="0" w:color="auto"/>
              <w:left w:val="single" w:sz="8" w:space="0" w:color="auto"/>
              <w:bottom w:val="single" w:sz="4" w:space="0" w:color="auto"/>
              <w:right w:val="single" w:sz="8" w:space="0" w:color="auto"/>
            </w:tcBorders>
            <w:shd w:val="clear" w:color="auto" w:fill="auto"/>
            <w:vAlign w:val="bottom"/>
          </w:tcPr>
          <w:p w14:paraId="063404B1" w14:textId="06557435" w:rsidR="002A4D61" w:rsidRPr="006C6AAF" w:rsidRDefault="002A4D61" w:rsidP="002A4D61">
            <w:pPr>
              <w:ind w:firstLine="10"/>
              <w:jc w:val="right"/>
              <w:rPr>
                <w:rFonts w:ascii="Arial" w:hAnsi="Arial" w:cs="Arial"/>
                <w:b/>
                <w:bCs/>
                <w:color w:val="000000"/>
                <w:sz w:val="20"/>
              </w:rPr>
            </w:pPr>
            <w:r w:rsidRPr="00EC349E">
              <w:rPr>
                <w:rFonts w:ascii="Arial" w:hAnsi="Arial" w:cs="Arial"/>
                <w:b/>
                <w:bCs/>
                <w:color w:val="000000"/>
                <w:sz w:val="20"/>
              </w:rPr>
              <w:t>-8</w:t>
            </w:r>
            <w:r w:rsidR="002A6A09">
              <w:rPr>
                <w:rFonts w:ascii="Arial" w:hAnsi="Arial" w:cs="Arial"/>
                <w:b/>
                <w:bCs/>
                <w:color w:val="000000"/>
                <w:sz w:val="20"/>
              </w:rPr>
              <w:t>71.630</w:t>
            </w:r>
          </w:p>
        </w:tc>
        <w:tc>
          <w:tcPr>
            <w:tcW w:w="2283" w:type="dxa"/>
            <w:tcBorders>
              <w:top w:val="single" w:sz="4" w:space="0" w:color="auto"/>
              <w:left w:val="nil"/>
              <w:bottom w:val="single" w:sz="4" w:space="0" w:color="auto"/>
              <w:right w:val="single" w:sz="8" w:space="0" w:color="auto"/>
            </w:tcBorders>
            <w:shd w:val="clear" w:color="auto" w:fill="auto"/>
            <w:vAlign w:val="bottom"/>
          </w:tcPr>
          <w:p w14:paraId="14A4B845" w14:textId="79AF4FB6" w:rsidR="002A4D61" w:rsidRPr="006C6AAF" w:rsidRDefault="002A6A09" w:rsidP="002A4D61">
            <w:pPr>
              <w:ind w:firstLine="10"/>
              <w:jc w:val="right"/>
              <w:rPr>
                <w:rFonts w:ascii="Arial" w:hAnsi="Arial" w:cs="Arial"/>
                <w:bCs/>
                <w:color w:val="000000"/>
                <w:sz w:val="20"/>
              </w:rPr>
            </w:pPr>
            <w:r w:rsidRPr="00EC349E">
              <w:rPr>
                <w:rFonts w:ascii="Arial" w:hAnsi="Arial" w:cs="Arial"/>
                <w:b/>
                <w:bCs/>
                <w:color w:val="000000"/>
                <w:sz w:val="20"/>
              </w:rPr>
              <w:t>-881.19</w:t>
            </w:r>
            <w:r>
              <w:rPr>
                <w:rFonts w:ascii="Arial" w:hAnsi="Arial" w:cs="Arial"/>
                <w:b/>
                <w:bCs/>
                <w:color w:val="000000"/>
                <w:sz w:val="20"/>
              </w:rPr>
              <w:t>9</w:t>
            </w:r>
          </w:p>
        </w:tc>
      </w:tr>
      <w:tr w:rsidR="002A4D61" w:rsidRPr="00701F32" w14:paraId="259D9124" w14:textId="77777777" w:rsidTr="002A4D61">
        <w:trPr>
          <w:trHeight w:val="256"/>
          <w:jc w:val="center"/>
        </w:trPr>
        <w:tc>
          <w:tcPr>
            <w:tcW w:w="3841" w:type="dxa"/>
            <w:tcBorders>
              <w:top w:val="single" w:sz="4" w:space="0" w:color="auto"/>
              <w:left w:val="single" w:sz="8" w:space="0" w:color="auto"/>
              <w:bottom w:val="single" w:sz="8" w:space="0" w:color="auto"/>
              <w:right w:val="single" w:sz="8" w:space="0" w:color="auto"/>
            </w:tcBorders>
            <w:shd w:val="clear" w:color="auto" w:fill="auto"/>
            <w:vAlign w:val="center"/>
          </w:tcPr>
          <w:p w14:paraId="7867D1CF" w14:textId="77777777" w:rsidR="002A4D61" w:rsidRPr="006C6AAF" w:rsidRDefault="002A4D61" w:rsidP="002A4D61">
            <w:pPr>
              <w:ind w:firstLine="10"/>
              <w:jc w:val="both"/>
              <w:rPr>
                <w:rFonts w:ascii="Arial" w:hAnsi="Arial" w:cs="Arial"/>
                <w:b/>
                <w:bCs/>
                <w:color w:val="000000"/>
                <w:sz w:val="20"/>
                <w:lang w:eastAsia="es-AR"/>
              </w:rPr>
            </w:pPr>
            <w:r w:rsidRPr="00EC349E">
              <w:rPr>
                <w:rFonts w:ascii="Arial" w:hAnsi="Arial" w:cs="Arial"/>
                <w:b/>
                <w:bCs/>
                <w:color w:val="000000"/>
                <w:sz w:val="20"/>
              </w:rPr>
              <w:t>Inversión neta de los arrendamientos financieros</w:t>
            </w:r>
          </w:p>
        </w:tc>
        <w:tc>
          <w:tcPr>
            <w:tcW w:w="2125" w:type="dxa"/>
            <w:tcBorders>
              <w:top w:val="single" w:sz="4" w:space="0" w:color="auto"/>
              <w:left w:val="single" w:sz="8" w:space="0" w:color="auto"/>
              <w:bottom w:val="single" w:sz="8" w:space="0" w:color="auto"/>
              <w:right w:val="single" w:sz="8" w:space="0" w:color="auto"/>
            </w:tcBorders>
            <w:shd w:val="clear" w:color="auto" w:fill="auto"/>
            <w:vAlign w:val="bottom"/>
          </w:tcPr>
          <w:p w14:paraId="41E8F4E0" w14:textId="31B6C0D2" w:rsidR="002A4D61" w:rsidRPr="006C6AAF" w:rsidRDefault="002A4D61" w:rsidP="002A4D61">
            <w:pPr>
              <w:ind w:firstLine="10"/>
              <w:jc w:val="right"/>
              <w:rPr>
                <w:rFonts w:ascii="Arial" w:hAnsi="Arial" w:cs="Arial"/>
                <w:b/>
                <w:bCs/>
                <w:color w:val="000000"/>
                <w:sz w:val="20"/>
              </w:rPr>
            </w:pPr>
            <w:r w:rsidRPr="00EC349E">
              <w:rPr>
                <w:rFonts w:ascii="Arial" w:hAnsi="Arial" w:cs="Arial"/>
                <w:b/>
                <w:bCs/>
                <w:color w:val="000000"/>
                <w:sz w:val="20"/>
              </w:rPr>
              <w:t>3.</w:t>
            </w:r>
            <w:r w:rsidR="002A6A09">
              <w:rPr>
                <w:rFonts w:ascii="Arial" w:hAnsi="Arial" w:cs="Arial"/>
                <w:b/>
                <w:bCs/>
                <w:color w:val="000000"/>
                <w:sz w:val="20"/>
              </w:rPr>
              <w:t>186.689</w:t>
            </w:r>
          </w:p>
        </w:tc>
        <w:tc>
          <w:tcPr>
            <w:tcW w:w="2283" w:type="dxa"/>
            <w:tcBorders>
              <w:top w:val="single" w:sz="4" w:space="0" w:color="auto"/>
              <w:left w:val="nil"/>
              <w:bottom w:val="single" w:sz="8" w:space="0" w:color="auto"/>
              <w:right w:val="single" w:sz="8" w:space="0" w:color="auto"/>
            </w:tcBorders>
            <w:shd w:val="clear" w:color="auto" w:fill="auto"/>
            <w:vAlign w:val="bottom"/>
          </w:tcPr>
          <w:p w14:paraId="210706D3" w14:textId="7DA00550" w:rsidR="002A4D61" w:rsidRPr="00EC349E" w:rsidRDefault="002A6A09" w:rsidP="002A4D61">
            <w:pPr>
              <w:ind w:firstLine="10"/>
              <w:jc w:val="right"/>
              <w:rPr>
                <w:rFonts w:ascii="Arial" w:hAnsi="Arial" w:cs="Arial"/>
                <w:b/>
                <w:bCs/>
                <w:color w:val="000000"/>
                <w:sz w:val="20"/>
              </w:rPr>
            </w:pPr>
            <w:r w:rsidRPr="00EC349E">
              <w:rPr>
                <w:rFonts w:ascii="Arial" w:hAnsi="Arial" w:cs="Arial"/>
                <w:b/>
                <w:bCs/>
                <w:color w:val="000000"/>
                <w:sz w:val="20"/>
              </w:rPr>
              <w:t>3.345.684</w:t>
            </w:r>
          </w:p>
        </w:tc>
      </w:tr>
    </w:tbl>
    <w:p w14:paraId="28D5C64E" w14:textId="77777777" w:rsidR="002A4D61" w:rsidRDefault="002A4D61" w:rsidP="002A4D61">
      <w:pPr>
        <w:widowControl w:val="0"/>
        <w:autoSpaceDE w:val="0"/>
        <w:autoSpaceDN w:val="0"/>
        <w:adjustRightInd w:val="0"/>
        <w:jc w:val="both"/>
        <w:rPr>
          <w:rFonts w:ascii="Arial" w:hAnsi="Arial" w:cs="Arial"/>
          <w:noProof/>
          <w:color w:val="FF0000"/>
          <w:sz w:val="20"/>
        </w:rPr>
      </w:pPr>
    </w:p>
    <w:tbl>
      <w:tblPr>
        <w:tblW w:w="8249" w:type="dxa"/>
        <w:jc w:val="center"/>
        <w:tblCellMar>
          <w:left w:w="70" w:type="dxa"/>
          <w:right w:w="70" w:type="dxa"/>
        </w:tblCellMar>
        <w:tblLook w:val="04A0" w:firstRow="1" w:lastRow="0" w:firstColumn="1" w:lastColumn="0" w:noHBand="0" w:noVBand="1"/>
      </w:tblPr>
      <w:tblGrid>
        <w:gridCol w:w="3771"/>
        <w:gridCol w:w="2195"/>
        <w:gridCol w:w="2283"/>
      </w:tblGrid>
      <w:tr w:rsidR="002A4D61" w:rsidRPr="00903776" w14:paraId="045F2352" w14:textId="77777777" w:rsidTr="002A4D61">
        <w:trPr>
          <w:trHeight w:val="256"/>
          <w:tblHeader/>
          <w:jc w:val="center"/>
        </w:trPr>
        <w:tc>
          <w:tcPr>
            <w:tcW w:w="377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2568F7" w14:textId="77777777" w:rsidR="002A4D61" w:rsidRPr="00903776" w:rsidRDefault="002A4D61" w:rsidP="002A4D61">
            <w:pPr>
              <w:ind w:firstLine="10"/>
              <w:jc w:val="both"/>
              <w:rPr>
                <w:rFonts w:ascii="Arial" w:hAnsi="Arial" w:cs="Arial"/>
                <w:b/>
                <w:bCs/>
                <w:color w:val="000000"/>
                <w:sz w:val="20"/>
                <w:lang w:eastAsia="es-AR"/>
              </w:rPr>
            </w:pPr>
            <w:r w:rsidRPr="00903776">
              <w:rPr>
                <w:rFonts w:ascii="Arial" w:hAnsi="Arial" w:cs="Arial"/>
                <w:b/>
                <w:bCs/>
                <w:color w:val="000000"/>
                <w:sz w:val="20"/>
                <w:lang w:eastAsia="es-AR"/>
              </w:rPr>
              <w:t>Canones a cobrar</w:t>
            </w:r>
            <w:r>
              <w:rPr>
                <w:rFonts w:ascii="Arial" w:hAnsi="Arial" w:cs="Arial"/>
                <w:b/>
                <w:bCs/>
                <w:color w:val="000000"/>
                <w:sz w:val="20"/>
                <w:lang w:eastAsia="es-AR"/>
              </w:rPr>
              <w:t xml:space="preserve"> arrend. operativos</w:t>
            </w:r>
          </w:p>
        </w:tc>
        <w:tc>
          <w:tcPr>
            <w:tcW w:w="2195" w:type="dxa"/>
            <w:tcBorders>
              <w:top w:val="single" w:sz="8" w:space="0" w:color="auto"/>
              <w:left w:val="nil"/>
              <w:bottom w:val="single" w:sz="8" w:space="0" w:color="auto"/>
              <w:right w:val="single" w:sz="8" w:space="0" w:color="auto"/>
            </w:tcBorders>
            <w:shd w:val="clear" w:color="auto" w:fill="auto"/>
            <w:vAlign w:val="bottom"/>
            <w:hideMark/>
          </w:tcPr>
          <w:p w14:paraId="3238A246" w14:textId="1A76FD72" w:rsidR="002A4D61" w:rsidRPr="00903776" w:rsidRDefault="002A4D61" w:rsidP="002A4D61">
            <w:pPr>
              <w:ind w:firstLine="10"/>
              <w:jc w:val="right"/>
              <w:rPr>
                <w:rFonts w:ascii="Arial" w:hAnsi="Arial" w:cs="Arial"/>
                <w:b/>
                <w:bCs/>
                <w:color w:val="000000"/>
                <w:sz w:val="20"/>
                <w:lang w:eastAsia="es-AR"/>
              </w:rPr>
            </w:pPr>
            <w:r w:rsidRPr="00903776">
              <w:rPr>
                <w:rFonts w:ascii="Arial" w:hAnsi="Arial" w:cs="Arial"/>
                <w:b/>
                <w:bCs/>
                <w:color w:val="000000"/>
                <w:sz w:val="20"/>
                <w:lang w:eastAsia="es-AR"/>
              </w:rPr>
              <w:t>31/12/201</w:t>
            </w:r>
            <w:r w:rsidR="00F352E1">
              <w:rPr>
                <w:rFonts w:ascii="Arial" w:hAnsi="Arial" w:cs="Arial"/>
                <w:b/>
                <w:bCs/>
                <w:color w:val="000000"/>
                <w:sz w:val="20"/>
                <w:lang w:eastAsia="es-AR"/>
              </w:rPr>
              <w:t>9</w:t>
            </w:r>
          </w:p>
        </w:tc>
        <w:tc>
          <w:tcPr>
            <w:tcW w:w="2283" w:type="dxa"/>
            <w:tcBorders>
              <w:top w:val="single" w:sz="8" w:space="0" w:color="auto"/>
              <w:left w:val="nil"/>
              <w:bottom w:val="single" w:sz="8" w:space="0" w:color="auto"/>
              <w:right w:val="single" w:sz="8" w:space="0" w:color="auto"/>
            </w:tcBorders>
            <w:vAlign w:val="bottom"/>
          </w:tcPr>
          <w:p w14:paraId="41B62967" w14:textId="048D267F" w:rsidR="002A4D61" w:rsidRPr="00903776" w:rsidRDefault="002A4D61" w:rsidP="002A4D61">
            <w:pPr>
              <w:ind w:firstLine="10"/>
              <w:jc w:val="right"/>
              <w:rPr>
                <w:rFonts w:ascii="Arial" w:hAnsi="Arial" w:cs="Arial"/>
                <w:b/>
                <w:bCs/>
                <w:color w:val="000000"/>
                <w:sz w:val="20"/>
                <w:lang w:eastAsia="es-AR"/>
              </w:rPr>
            </w:pPr>
            <w:r w:rsidRPr="00903776">
              <w:rPr>
                <w:rFonts w:ascii="Arial" w:hAnsi="Arial" w:cs="Arial"/>
                <w:b/>
                <w:bCs/>
                <w:color w:val="000000"/>
                <w:sz w:val="20"/>
                <w:lang w:eastAsia="es-AR"/>
              </w:rPr>
              <w:t>31/12/201</w:t>
            </w:r>
            <w:r w:rsidR="00E914C6">
              <w:rPr>
                <w:rFonts w:ascii="Arial" w:hAnsi="Arial" w:cs="Arial"/>
                <w:b/>
                <w:bCs/>
                <w:color w:val="000000"/>
                <w:sz w:val="20"/>
                <w:lang w:eastAsia="es-AR"/>
              </w:rPr>
              <w:t>8</w:t>
            </w:r>
          </w:p>
        </w:tc>
      </w:tr>
      <w:tr w:rsidR="002A4D61" w:rsidRPr="00903776" w14:paraId="4F2ACCDB" w14:textId="77777777" w:rsidTr="002A4D61">
        <w:trPr>
          <w:trHeight w:val="256"/>
          <w:jc w:val="center"/>
        </w:trPr>
        <w:tc>
          <w:tcPr>
            <w:tcW w:w="3771" w:type="dxa"/>
            <w:tcBorders>
              <w:top w:val="nil"/>
              <w:left w:val="single" w:sz="8" w:space="0" w:color="auto"/>
              <w:bottom w:val="single" w:sz="8" w:space="0" w:color="auto"/>
              <w:right w:val="single" w:sz="8" w:space="0" w:color="auto"/>
            </w:tcBorders>
            <w:shd w:val="clear" w:color="auto" w:fill="auto"/>
            <w:vAlign w:val="center"/>
            <w:hideMark/>
          </w:tcPr>
          <w:p w14:paraId="50DABE87" w14:textId="77777777" w:rsidR="002A4D61" w:rsidRPr="00903776" w:rsidRDefault="002A4D61" w:rsidP="002A4D61">
            <w:pPr>
              <w:ind w:firstLine="10"/>
              <w:jc w:val="both"/>
              <w:rPr>
                <w:rFonts w:ascii="Arial" w:hAnsi="Arial" w:cs="Arial"/>
                <w:color w:val="000000"/>
                <w:sz w:val="20"/>
                <w:lang w:eastAsia="es-AR"/>
              </w:rPr>
            </w:pPr>
            <w:r w:rsidRPr="00903776">
              <w:rPr>
                <w:rFonts w:ascii="Arial" w:hAnsi="Arial" w:cs="Arial"/>
                <w:color w:val="000000"/>
                <w:sz w:val="20"/>
                <w:lang w:eastAsia="es-AR"/>
              </w:rPr>
              <w:t>Hasta un año</w:t>
            </w:r>
          </w:p>
        </w:tc>
        <w:tc>
          <w:tcPr>
            <w:tcW w:w="2195" w:type="dxa"/>
            <w:tcBorders>
              <w:top w:val="nil"/>
              <w:left w:val="single" w:sz="8" w:space="0" w:color="auto"/>
              <w:bottom w:val="single" w:sz="8" w:space="0" w:color="auto"/>
              <w:right w:val="single" w:sz="8" w:space="0" w:color="auto"/>
            </w:tcBorders>
            <w:shd w:val="clear" w:color="auto" w:fill="auto"/>
            <w:vAlign w:val="center"/>
            <w:hideMark/>
          </w:tcPr>
          <w:p w14:paraId="72CC34A8" w14:textId="564D48C3" w:rsidR="002A4D61" w:rsidRPr="00903776" w:rsidRDefault="00F352E1" w:rsidP="002A4D61">
            <w:pPr>
              <w:ind w:firstLine="10"/>
              <w:jc w:val="right"/>
              <w:rPr>
                <w:rFonts w:ascii="Arial" w:hAnsi="Arial" w:cs="Arial"/>
                <w:color w:val="000000"/>
                <w:sz w:val="20"/>
                <w:lang w:eastAsia="es-AR"/>
              </w:rPr>
            </w:pPr>
            <w:r>
              <w:rPr>
                <w:rFonts w:ascii="Arial" w:hAnsi="Arial" w:cs="Arial"/>
                <w:color w:val="000000"/>
                <w:sz w:val="20"/>
              </w:rPr>
              <w:t>16</w:t>
            </w:r>
            <w:r w:rsidR="002A4D61">
              <w:rPr>
                <w:rFonts w:ascii="Arial" w:hAnsi="Arial" w:cs="Arial"/>
                <w:color w:val="000000"/>
                <w:sz w:val="20"/>
              </w:rPr>
              <w:t>.</w:t>
            </w:r>
            <w:r>
              <w:rPr>
                <w:rFonts w:ascii="Arial" w:hAnsi="Arial" w:cs="Arial"/>
                <w:color w:val="000000"/>
                <w:sz w:val="20"/>
              </w:rPr>
              <w:t>7</w:t>
            </w:r>
            <w:r w:rsidR="002A4D61">
              <w:rPr>
                <w:rFonts w:ascii="Arial" w:hAnsi="Arial" w:cs="Arial"/>
                <w:color w:val="000000"/>
                <w:sz w:val="20"/>
              </w:rPr>
              <w:t>0</w:t>
            </w:r>
            <w:r>
              <w:rPr>
                <w:rFonts w:ascii="Arial" w:hAnsi="Arial" w:cs="Arial"/>
                <w:color w:val="000000"/>
                <w:sz w:val="20"/>
              </w:rPr>
              <w:t>6</w:t>
            </w:r>
            <w:r w:rsidR="002A4D61" w:rsidRPr="00903776">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center"/>
          </w:tcPr>
          <w:p w14:paraId="1F0CF54A" w14:textId="3983955D" w:rsidR="002A4D61" w:rsidRPr="00903776" w:rsidRDefault="00E914C6" w:rsidP="002A4D61">
            <w:pPr>
              <w:ind w:firstLine="10"/>
              <w:jc w:val="right"/>
              <w:rPr>
                <w:rFonts w:ascii="Arial" w:hAnsi="Arial" w:cs="Arial"/>
                <w:color w:val="000000"/>
                <w:sz w:val="20"/>
              </w:rPr>
            </w:pPr>
            <w:r>
              <w:rPr>
                <w:rFonts w:ascii="Arial" w:hAnsi="Arial" w:cs="Arial"/>
                <w:color w:val="000000"/>
                <w:sz w:val="20"/>
              </w:rPr>
              <w:t>2.402</w:t>
            </w:r>
            <w:r w:rsidRPr="00903776">
              <w:rPr>
                <w:rFonts w:ascii="Arial" w:hAnsi="Arial" w:cs="Arial"/>
                <w:color w:val="000000"/>
                <w:sz w:val="20"/>
              </w:rPr>
              <w:t xml:space="preserve"> </w:t>
            </w:r>
            <w:r w:rsidR="002A4D61" w:rsidRPr="00903776">
              <w:rPr>
                <w:rFonts w:ascii="Arial" w:hAnsi="Arial" w:cs="Arial"/>
                <w:color w:val="000000"/>
                <w:sz w:val="20"/>
              </w:rPr>
              <w:t xml:space="preserve"> </w:t>
            </w:r>
          </w:p>
        </w:tc>
      </w:tr>
      <w:tr w:rsidR="002A4D61" w:rsidRPr="00903776" w14:paraId="38272C30" w14:textId="77777777" w:rsidTr="002A4D61">
        <w:trPr>
          <w:trHeight w:val="256"/>
          <w:jc w:val="center"/>
        </w:trPr>
        <w:tc>
          <w:tcPr>
            <w:tcW w:w="3771" w:type="dxa"/>
            <w:tcBorders>
              <w:top w:val="nil"/>
              <w:left w:val="single" w:sz="8" w:space="0" w:color="auto"/>
              <w:bottom w:val="single" w:sz="8" w:space="0" w:color="auto"/>
              <w:right w:val="single" w:sz="8" w:space="0" w:color="auto"/>
            </w:tcBorders>
            <w:shd w:val="clear" w:color="auto" w:fill="auto"/>
            <w:vAlign w:val="center"/>
            <w:hideMark/>
          </w:tcPr>
          <w:p w14:paraId="3801D782" w14:textId="77777777" w:rsidR="002A4D61" w:rsidRPr="00903776" w:rsidRDefault="002A4D61" w:rsidP="002A4D61">
            <w:pPr>
              <w:ind w:firstLine="10"/>
              <w:jc w:val="both"/>
              <w:rPr>
                <w:rFonts w:ascii="Arial" w:hAnsi="Arial" w:cs="Arial"/>
                <w:color w:val="000000"/>
                <w:sz w:val="20"/>
                <w:lang w:eastAsia="es-AR"/>
              </w:rPr>
            </w:pPr>
            <w:r w:rsidRPr="00903776">
              <w:rPr>
                <w:rFonts w:ascii="Arial" w:hAnsi="Arial" w:cs="Arial"/>
                <w:color w:val="000000"/>
                <w:sz w:val="20"/>
                <w:lang w:eastAsia="es-AR"/>
              </w:rPr>
              <w:t>Más de uno a dos años</w:t>
            </w:r>
          </w:p>
        </w:tc>
        <w:tc>
          <w:tcPr>
            <w:tcW w:w="2195" w:type="dxa"/>
            <w:tcBorders>
              <w:top w:val="nil"/>
              <w:left w:val="single" w:sz="8" w:space="0" w:color="auto"/>
              <w:bottom w:val="single" w:sz="8" w:space="0" w:color="auto"/>
              <w:right w:val="single" w:sz="8" w:space="0" w:color="auto"/>
            </w:tcBorders>
            <w:shd w:val="clear" w:color="auto" w:fill="auto"/>
            <w:vAlign w:val="center"/>
            <w:hideMark/>
          </w:tcPr>
          <w:p w14:paraId="39B569EC" w14:textId="02C287C0" w:rsidR="002A4D61" w:rsidRPr="00903776" w:rsidRDefault="00F352E1" w:rsidP="002A4D61">
            <w:pPr>
              <w:ind w:firstLine="10"/>
              <w:jc w:val="right"/>
              <w:rPr>
                <w:rFonts w:ascii="Arial" w:hAnsi="Arial" w:cs="Arial"/>
                <w:color w:val="000000"/>
                <w:sz w:val="20"/>
                <w:lang w:eastAsia="es-AR"/>
              </w:rPr>
            </w:pPr>
            <w:r>
              <w:rPr>
                <w:rFonts w:ascii="Arial" w:hAnsi="Arial" w:cs="Arial"/>
                <w:color w:val="000000"/>
                <w:sz w:val="20"/>
              </w:rPr>
              <w:t>15</w:t>
            </w:r>
            <w:r w:rsidR="002A4D61">
              <w:rPr>
                <w:rFonts w:ascii="Arial" w:hAnsi="Arial" w:cs="Arial"/>
                <w:color w:val="000000"/>
                <w:sz w:val="20"/>
              </w:rPr>
              <w:t>.</w:t>
            </w:r>
            <w:r>
              <w:rPr>
                <w:rFonts w:ascii="Arial" w:hAnsi="Arial" w:cs="Arial"/>
                <w:color w:val="000000"/>
                <w:sz w:val="20"/>
              </w:rPr>
              <w:t>73</w:t>
            </w:r>
            <w:r w:rsidR="002A4D61">
              <w:rPr>
                <w:rFonts w:ascii="Arial" w:hAnsi="Arial" w:cs="Arial"/>
                <w:color w:val="000000"/>
                <w:sz w:val="20"/>
              </w:rPr>
              <w:t>2</w:t>
            </w:r>
            <w:r w:rsidR="002A4D61" w:rsidRPr="00903776">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center"/>
          </w:tcPr>
          <w:p w14:paraId="7FAD5873" w14:textId="14E9B1AF" w:rsidR="002A4D61" w:rsidRPr="00903776" w:rsidRDefault="00F352E1" w:rsidP="002A4D61">
            <w:pPr>
              <w:ind w:firstLine="10"/>
              <w:jc w:val="right"/>
              <w:rPr>
                <w:rFonts w:ascii="Arial" w:hAnsi="Arial" w:cs="Arial"/>
                <w:color w:val="000000"/>
                <w:sz w:val="20"/>
              </w:rPr>
            </w:pPr>
            <w:r>
              <w:rPr>
                <w:rFonts w:ascii="Arial" w:hAnsi="Arial" w:cs="Arial"/>
                <w:color w:val="000000"/>
                <w:sz w:val="20"/>
              </w:rPr>
              <w:t>2.402</w:t>
            </w:r>
            <w:r w:rsidRPr="00903776">
              <w:rPr>
                <w:rFonts w:ascii="Arial" w:hAnsi="Arial" w:cs="Arial"/>
                <w:color w:val="000000"/>
                <w:sz w:val="20"/>
              </w:rPr>
              <w:t xml:space="preserve"> </w:t>
            </w:r>
          </w:p>
        </w:tc>
      </w:tr>
      <w:tr w:rsidR="002A4D61" w:rsidRPr="00903776" w14:paraId="15148D72" w14:textId="77777777" w:rsidTr="002A4D61">
        <w:trPr>
          <w:trHeight w:val="256"/>
          <w:jc w:val="center"/>
        </w:trPr>
        <w:tc>
          <w:tcPr>
            <w:tcW w:w="3771" w:type="dxa"/>
            <w:tcBorders>
              <w:top w:val="nil"/>
              <w:left w:val="single" w:sz="8" w:space="0" w:color="auto"/>
              <w:bottom w:val="single" w:sz="8" w:space="0" w:color="auto"/>
              <w:right w:val="single" w:sz="8" w:space="0" w:color="auto"/>
            </w:tcBorders>
            <w:shd w:val="clear" w:color="auto" w:fill="auto"/>
            <w:vAlign w:val="center"/>
            <w:hideMark/>
          </w:tcPr>
          <w:p w14:paraId="51D70361" w14:textId="77777777" w:rsidR="002A4D61" w:rsidRPr="00903776" w:rsidRDefault="002A4D61" w:rsidP="002A4D61">
            <w:pPr>
              <w:ind w:firstLine="10"/>
              <w:jc w:val="both"/>
              <w:rPr>
                <w:rFonts w:ascii="Arial" w:hAnsi="Arial" w:cs="Arial"/>
                <w:color w:val="000000"/>
                <w:sz w:val="20"/>
                <w:lang w:eastAsia="es-AR"/>
              </w:rPr>
            </w:pPr>
            <w:r w:rsidRPr="00903776">
              <w:rPr>
                <w:rFonts w:ascii="Arial" w:eastAsia="Arial" w:hAnsi="Arial" w:cs="Arial"/>
                <w:color w:val="000000"/>
                <w:sz w:val="20"/>
                <w:lang w:eastAsia="es-AR"/>
              </w:rPr>
              <w:t>De dos a tres años</w:t>
            </w:r>
          </w:p>
        </w:tc>
        <w:tc>
          <w:tcPr>
            <w:tcW w:w="2195" w:type="dxa"/>
            <w:tcBorders>
              <w:top w:val="nil"/>
              <w:left w:val="single" w:sz="8" w:space="0" w:color="auto"/>
              <w:bottom w:val="single" w:sz="8" w:space="0" w:color="auto"/>
              <w:right w:val="single" w:sz="8" w:space="0" w:color="auto"/>
            </w:tcBorders>
            <w:shd w:val="clear" w:color="auto" w:fill="auto"/>
            <w:vAlign w:val="center"/>
            <w:hideMark/>
          </w:tcPr>
          <w:p w14:paraId="40A98731" w14:textId="23541E87" w:rsidR="002A4D61" w:rsidRPr="00903776" w:rsidRDefault="002A4D61" w:rsidP="002A4D61">
            <w:pPr>
              <w:ind w:firstLine="10"/>
              <w:jc w:val="right"/>
              <w:rPr>
                <w:rFonts w:ascii="Arial" w:hAnsi="Arial" w:cs="Arial"/>
                <w:color w:val="000000"/>
                <w:sz w:val="20"/>
                <w:lang w:eastAsia="es-AR"/>
              </w:rPr>
            </w:pPr>
            <w:r>
              <w:rPr>
                <w:rFonts w:ascii="Arial" w:hAnsi="Arial" w:cs="Arial"/>
                <w:color w:val="000000"/>
                <w:sz w:val="20"/>
              </w:rPr>
              <w:t>1</w:t>
            </w:r>
            <w:r w:rsidR="00F352E1">
              <w:rPr>
                <w:rFonts w:ascii="Arial" w:hAnsi="Arial" w:cs="Arial"/>
                <w:color w:val="000000"/>
                <w:sz w:val="20"/>
              </w:rPr>
              <w:t>3</w:t>
            </w:r>
            <w:r>
              <w:rPr>
                <w:rFonts w:ascii="Arial" w:hAnsi="Arial" w:cs="Arial"/>
                <w:color w:val="000000"/>
                <w:sz w:val="20"/>
              </w:rPr>
              <w:t>.</w:t>
            </w:r>
            <w:r w:rsidR="00F352E1">
              <w:rPr>
                <w:rFonts w:ascii="Arial" w:hAnsi="Arial" w:cs="Arial"/>
                <w:color w:val="000000"/>
                <w:sz w:val="20"/>
              </w:rPr>
              <w:t>543</w:t>
            </w:r>
            <w:r w:rsidRPr="00903776">
              <w:rPr>
                <w:rFonts w:ascii="Arial" w:hAnsi="Arial" w:cs="Arial"/>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center"/>
          </w:tcPr>
          <w:p w14:paraId="42B42C4E" w14:textId="4510FB6B" w:rsidR="002A4D61" w:rsidRPr="00903776" w:rsidRDefault="00F352E1" w:rsidP="002A4D61">
            <w:pPr>
              <w:ind w:firstLine="10"/>
              <w:jc w:val="right"/>
              <w:rPr>
                <w:rFonts w:ascii="Arial" w:hAnsi="Arial" w:cs="Arial"/>
                <w:color w:val="000000"/>
                <w:sz w:val="20"/>
              </w:rPr>
            </w:pPr>
            <w:r>
              <w:rPr>
                <w:rFonts w:ascii="Arial" w:hAnsi="Arial" w:cs="Arial"/>
                <w:color w:val="000000"/>
                <w:sz w:val="20"/>
              </w:rPr>
              <w:t>1.414</w:t>
            </w:r>
            <w:r w:rsidRPr="00903776">
              <w:rPr>
                <w:rFonts w:ascii="Arial" w:hAnsi="Arial" w:cs="Arial"/>
                <w:color w:val="000000"/>
                <w:sz w:val="20"/>
              </w:rPr>
              <w:t xml:space="preserve"> </w:t>
            </w:r>
          </w:p>
        </w:tc>
      </w:tr>
      <w:tr w:rsidR="00F352E1" w:rsidRPr="00903776" w14:paraId="599ED189" w14:textId="77777777" w:rsidTr="002A4D61">
        <w:trPr>
          <w:trHeight w:val="256"/>
          <w:jc w:val="center"/>
        </w:trPr>
        <w:tc>
          <w:tcPr>
            <w:tcW w:w="3771" w:type="dxa"/>
            <w:tcBorders>
              <w:top w:val="nil"/>
              <w:left w:val="single" w:sz="8" w:space="0" w:color="auto"/>
              <w:bottom w:val="single" w:sz="8" w:space="0" w:color="auto"/>
              <w:right w:val="single" w:sz="8" w:space="0" w:color="auto"/>
            </w:tcBorders>
            <w:shd w:val="clear" w:color="auto" w:fill="auto"/>
            <w:vAlign w:val="center"/>
          </w:tcPr>
          <w:p w14:paraId="545C2B41" w14:textId="3F6907F7" w:rsidR="00F352E1" w:rsidRPr="00903776" w:rsidRDefault="00F352E1" w:rsidP="002A4D61">
            <w:pPr>
              <w:ind w:firstLine="10"/>
              <w:jc w:val="both"/>
              <w:rPr>
                <w:rFonts w:ascii="Arial" w:eastAsia="Arial" w:hAnsi="Arial" w:cs="Arial"/>
                <w:color w:val="000000"/>
                <w:sz w:val="20"/>
                <w:lang w:eastAsia="es-AR"/>
              </w:rPr>
            </w:pPr>
            <w:r w:rsidRPr="00701F32">
              <w:rPr>
                <w:rFonts w:ascii="Arial" w:eastAsia="Arial" w:hAnsi="Arial" w:cs="Arial"/>
                <w:color w:val="000000"/>
                <w:sz w:val="20"/>
                <w:lang w:eastAsia="es-AR"/>
              </w:rPr>
              <w:t>De tres a cinco años</w:t>
            </w:r>
          </w:p>
        </w:tc>
        <w:tc>
          <w:tcPr>
            <w:tcW w:w="2195" w:type="dxa"/>
            <w:tcBorders>
              <w:top w:val="nil"/>
              <w:left w:val="single" w:sz="8" w:space="0" w:color="auto"/>
              <w:bottom w:val="single" w:sz="8" w:space="0" w:color="auto"/>
              <w:right w:val="single" w:sz="8" w:space="0" w:color="auto"/>
            </w:tcBorders>
            <w:shd w:val="clear" w:color="auto" w:fill="auto"/>
            <w:vAlign w:val="center"/>
          </w:tcPr>
          <w:p w14:paraId="6EF4315B" w14:textId="6BE85B39" w:rsidR="00F352E1" w:rsidRDefault="00F352E1" w:rsidP="002A4D61">
            <w:pPr>
              <w:ind w:firstLine="10"/>
              <w:jc w:val="right"/>
              <w:rPr>
                <w:rFonts w:ascii="Arial" w:hAnsi="Arial" w:cs="Arial"/>
                <w:color w:val="000000"/>
                <w:sz w:val="20"/>
              </w:rPr>
            </w:pPr>
            <w:r>
              <w:rPr>
                <w:rFonts w:ascii="Arial" w:hAnsi="Arial" w:cs="Arial"/>
                <w:color w:val="000000"/>
                <w:sz w:val="20"/>
              </w:rPr>
              <w:t>9.202</w:t>
            </w:r>
          </w:p>
        </w:tc>
        <w:tc>
          <w:tcPr>
            <w:tcW w:w="2283" w:type="dxa"/>
            <w:tcBorders>
              <w:top w:val="nil"/>
              <w:left w:val="nil"/>
              <w:bottom w:val="single" w:sz="8" w:space="0" w:color="auto"/>
              <w:right w:val="single" w:sz="8" w:space="0" w:color="auto"/>
            </w:tcBorders>
            <w:shd w:val="clear" w:color="auto" w:fill="auto"/>
            <w:vAlign w:val="center"/>
          </w:tcPr>
          <w:p w14:paraId="29165A9C" w14:textId="4C009AF5" w:rsidR="00F352E1" w:rsidRDefault="00F352E1" w:rsidP="002A4D61">
            <w:pPr>
              <w:ind w:firstLine="10"/>
              <w:jc w:val="right"/>
              <w:rPr>
                <w:rFonts w:ascii="Arial" w:hAnsi="Arial" w:cs="Arial"/>
                <w:color w:val="000000"/>
                <w:sz w:val="20"/>
              </w:rPr>
            </w:pPr>
            <w:r>
              <w:rPr>
                <w:rFonts w:ascii="Arial" w:hAnsi="Arial" w:cs="Arial"/>
                <w:color w:val="000000"/>
                <w:sz w:val="20"/>
              </w:rPr>
              <w:t>-</w:t>
            </w:r>
          </w:p>
        </w:tc>
      </w:tr>
      <w:tr w:rsidR="002A4D61" w:rsidRPr="00903776" w14:paraId="2F238F3B" w14:textId="77777777" w:rsidTr="002A4D61">
        <w:trPr>
          <w:trHeight w:val="256"/>
          <w:jc w:val="center"/>
        </w:trPr>
        <w:tc>
          <w:tcPr>
            <w:tcW w:w="3771" w:type="dxa"/>
            <w:tcBorders>
              <w:top w:val="nil"/>
              <w:left w:val="single" w:sz="8" w:space="0" w:color="auto"/>
              <w:bottom w:val="single" w:sz="8" w:space="0" w:color="auto"/>
              <w:right w:val="single" w:sz="8" w:space="0" w:color="auto"/>
            </w:tcBorders>
            <w:shd w:val="clear" w:color="auto" w:fill="auto"/>
            <w:vAlign w:val="center"/>
            <w:hideMark/>
          </w:tcPr>
          <w:p w14:paraId="50831179" w14:textId="77777777" w:rsidR="002A4D61" w:rsidRPr="00903776" w:rsidRDefault="002A4D61" w:rsidP="002A4D61">
            <w:pPr>
              <w:ind w:firstLine="10"/>
              <w:jc w:val="both"/>
              <w:rPr>
                <w:rFonts w:ascii="Arial" w:hAnsi="Arial" w:cs="Arial"/>
                <w:b/>
                <w:bCs/>
                <w:color w:val="000000"/>
                <w:sz w:val="20"/>
                <w:lang w:eastAsia="es-AR"/>
              </w:rPr>
            </w:pPr>
            <w:r>
              <w:rPr>
                <w:rFonts w:ascii="Arial" w:hAnsi="Arial" w:cs="Arial"/>
                <w:b/>
                <w:bCs/>
                <w:color w:val="000000"/>
                <w:sz w:val="20"/>
                <w:lang w:eastAsia="es-AR"/>
              </w:rPr>
              <w:t>Total canones a cobrar</w:t>
            </w:r>
          </w:p>
        </w:tc>
        <w:tc>
          <w:tcPr>
            <w:tcW w:w="2195" w:type="dxa"/>
            <w:tcBorders>
              <w:top w:val="nil"/>
              <w:left w:val="single" w:sz="8" w:space="0" w:color="auto"/>
              <w:bottom w:val="single" w:sz="8" w:space="0" w:color="auto"/>
              <w:right w:val="single" w:sz="8" w:space="0" w:color="auto"/>
            </w:tcBorders>
            <w:shd w:val="clear" w:color="auto" w:fill="auto"/>
            <w:vAlign w:val="center"/>
            <w:hideMark/>
          </w:tcPr>
          <w:p w14:paraId="4F423E99" w14:textId="2A75D377" w:rsidR="002A4D61" w:rsidRPr="00EC349E" w:rsidRDefault="002A6A09" w:rsidP="002A4D61">
            <w:pPr>
              <w:ind w:firstLine="10"/>
              <w:jc w:val="right"/>
              <w:rPr>
                <w:rFonts w:ascii="Arial" w:hAnsi="Arial" w:cs="Arial"/>
                <w:b/>
                <w:bCs/>
                <w:color w:val="000000"/>
                <w:sz w:val="20"/>
                <w:lang w:eastAsia="es-AR"/>
              </w:rPr>
            </w:pPr>
            <w:r>
              <w:rPr>
                <w:rFonts w:ascii="Arial" w:hAnsi="Arial" w:cs="Arial"/>
                <w:b/>
                <w:color w:val="000000"/>
                <w:sz w:val="20"/>
              </w:rPr>
              <w:t>55.183</w:t>
            </w:r>
            <w:r w:rsidR="002A4D61" w:rsidRPr="00EC349E">
              <w:rPr>
                <w:rFonts w:ascii="Arial" w:hAnsi="Arial" w:cs="Arial"/>
                <w:b/>
                <w:color w:val="000000"/>
                <w:sz w:val="20"/>
              </w:rPr>
              <w:t xml:space="preserve"> </w:t>
            </w:r>
          </w:p>
        </w:tc>
        <w:tc>
          <w:tcPr>
            <w:tcW w:w="2283" w:type="dxa"/>
            <w:tcBorders>
              <w:top w:val="nil"/>
              <w:left w:val="nil"/>
              <w:bottom w:val="single" w:sz="8" w:space="0" w:color="auto"/>
              <w:right w:val="single" w:sz="8" w:space="0" w:color="auto"/>
            </w:tcBorders>
            <w:shd w:val="clear" w:color="auto" w:fill="auto"/>
            <w:vAlign w:val="center"/>
          </w:tcPr>
          <w:p w14:paraId="3B686626" w14:textId="05E404BE" w:rsidR="002A4D61" w:rsidRPr="00903776" w:rsidRDefault="00F352E1" w:rsidP="002A4D61">
            <w:pPr>
              <w:ind w:firstLine="10"/>
              <w:jc w:val="right"/>
              <w:rPr>
                <w:rFonts w:ascii="Arial" w:hAnsi="Arial" w:cs="Arial"/>
                <w:color w:val="000000"/>
                <w:sz w:val="20"/>
              </w:rPr>
            </w:pPr>
            <w:r w:rsidRPr="00EC349E">
              <w:rPr>
                <w:rFonts w:ascii="Arial" w:hAnsi="Arial" w:cs="Arial"/>
                <w:b/>
                <w:color w:val="000000"/>
                <w:sz w:val="20"/>
              </w:rPr>
              <w:t xml:space="preserve">6.218 </w:t>
            </w:r>
          </w:p>
        </w:tc>
      </w:tr>
    </w:tbl>
    <w:p w14:paraId="023A9298" w14:textId="77777777" w:rsidR="002A4D61" w:rsidRPr="00701F32" w:rsidRDefault="002A4D61" w:rsidP="002A4D61">
      <w:pPr>
        <w:widowControl w:val="0"/>
        <w:autoSpaceDE w:val="0"/>
        <w:autoSpaceDN w:val="0"/>
        <w:adjustRightInd w:val="0"/>
        <w:jc w:val="both"/>
        <w:rPr>
          <w:rFonts w:ascii="Arial" w:hAnsi="Arial" w:cs="Arial"/>
          <w:noProof/>
          <w:color w:val="FF0000"/>
          <w:sz w:val="20"/>
        </w:rPr>
      </w:pPr>
    </w:p>
    <w:p w14:paraId="1C1681A0" w14:textId="01D7527C" w:rsidR="002A4D61" w:rsidRPr="00701F32" w:rsidRDefault="002A4D61" w:rsidP="002A4D61">
      <w:pPr>
        <w:widowControl w:val="0"/>
        <w:autoSpaceDE w:val="0"/>
        <w:autoSpaceDN w:val="0"/>
        <w:adjustRightInd w:val="0"/>
        <w:jc w:val="both"/>
        <w:rPr>
          <w:rFonts w:ascii="Arial" w:hAnsi="Arial" w:cs="Arial"/>
          <w:noProof/>
          <w:sz w:val="20"/>
        </w:rPr>
      </w:pPr>
      <w:r w:rsidRPr="00701F32">
        <w:rPr>
          <w:rFonts w:ascii="Arial" w:hAnsi="Arial" w:cs="Arial"/>
          <w:noProof/>
          <w:sz w:val="20"/>
        </w:rPr>
        <w:t>El saldo de las previsiones por riesgo de incobrabilidad asociadas a arrendamiento</w:t>
      </w:r>
      <w:r>
        <w:rPr>
          <w:rFonts w:ascii="Arial" w:hAnsi="Arial" w:cs="Arial"/>
          <w:noProof/>
          <w:sz w:val="20"/>
        </w:rPr>
        <w:t xml:space="preserve">s financieros asciende a  </w:t>
      </w:r>
      <w:r w:rsidR="00BA1266">
        <w:rPr>
          <w:rFonts w:ascii="Arial" w:hAnsi="Arial" w:cs="Arial"/>
          <w:noProof/>
          <w:sz w:val="20"/>
        </w:rPr>
        <w:t xml:space="preserve">82.052 y </w:t>
      </w:r>
      <w:r>
        <w:rPr>
          <w:rFonts w:ascii="Arial" w:hAnsi="Arial" w:cs="Arial"/>
          <w:noProof/>
          <w:sz w:val="20"/>
        </w:rPr>
        <w:t>54.901 al 31 de diciembre de 201</w:t>
      </w:r>
      <w:r w:rsidR="00BA1266">
        <w:rPr>
          <w:rFonts w:ascii="Arial" w:hAnsi="Arial" w:cs="Arial"/>
          <w:noProof/>
          <w:sz w:val="20"/>
        </w:rPr>
        <w:t>9</w:t>
      </w:r>
      <w:r>
        <w:rPr>
          <w:rFonts w:ascii="Arial" w:hAnsi="Arial" w:cs="Arial"/>
          <w:noProof/>
          <w:sz w:val="20"/>
        </w:rPr>
        <w:t xml:space="preserve"> y 201</w:t>
      </w:r>
      <w:r w:rsidR="00BA1266">
        <w:rPr>
          <w:rFonts w:ascii="Arial" w:hAnsi="Arial" w:cs="Arial"/>
          <w:noProof/>
          <w:sz w:val="20"/>
        </w:rPr>
        <w:t>8</w:t>
      </w:r>
      <w:r>
        <w:rPr>
          <w:rFonts w:ascii="Arial" w:hAnsi="Arial" w:cs="Arial"/>
          <w:noProof/>
          <w:sz w:val="20"/>
        </w:rPr>
        <w:t>, respectivamente</w:t>
      </w:r>
      <w:r w:rsidRPr="00701F32">
        <w:rPr>
          <w:rFonts w:ascii="Arial" w:hAnsi="Arial" w:cs="Arial"/>
          <w:noProof/>
          <w:sz w:val="20"/>
        </w:rPr>
        <w:t>.</w:t>
      </w:r>
    </w:p>
    <w:p w14:paraId="267797A4" w14:textId="77777777" w:rsidR="002A4D61" w:rsidRPr="00701F32" w:rsidRDefault="002A4D61" w:rsidP="002A4D61">
      <w:pPr>
        <w:jc w:val="both"/>
        <w:rPr>
          <w:rFonts w:ascii="Arial" w:hAnsi="Arial" w:cs="Arial"/>
          <w:b/>
          <w:noProof/>
          <w:sz w:val="20"/>
        </w:rPr>
      </w:pPr>
    </w:p>
    <w:p w14:paraId="5501481E" w14:textId="77777777" w:rsidR="002A4D61" w:rsidRPr="002B52DE" w:rsidRDefault="002A4D61" w:rsidP="002A4D61">
      <w:pPr>
        <w:jc w:val="both"/>
        <w:rPr>
          <w:rFonts w:ascii="Arial" w:eastAsiaTheme="minorHAnsi" w:hAnsi="Arial" w:cs="Arial"/>
          <w:b/>
          <w:caps/>
          <w:sz w:val="20"/>
        </w:rPr>
      </w:pPr>
      <w:r>
        <w:rPr>
          <w:rFonts w:ascii="Arial" w:eastAsiaTheme="minorHAnsi" w:hAnsi="Arial" w:cs="Arial"/>
          <w:b/>
          <w:sz w:val="20"/>
        </w:rPr>
        <w:t>19.</w:t>
      </w:r>
      <w:r w:rsidRPr="002B52DE">
        <w:rPr>
          <w:rFonts w:ascii="Arial" w:eastAsiaTheme="minorHAnsi" w:hAnsi="Arial" w:cs="Arial"/>
          <w:b/>
          <w:caps/>
          <w:sz w:val="20"/>
        </w:rPr>
        <w:t xml:space="preserve"> Transferencia de Activos Financieros </w:t>
      </w:r>
    </w:p>
    <w:p w14:paraId="2D388310" w14:textId="77777777" w:rsidR="002A4D61" w:rsidRPr="00701F32" w:rsidRDefault="002A4D61" w:rsidP="002A4D61">
      <w:pPr>
        <w:jc w:val="both"/>
        <w:rPr>
          <w:rFonts w:ascii="Arial" w:eastAsiaTheme="minorHAnsi" w:hAnsi="Arial" w:cs="Arial"/>
          <w:b/>
          <w:sz w:val="20"/>
        </w:rPr>
      </w:pPr>
    </w:p>
    <w:p w14:paraId="6C08C052" w14:textId="77777777" w:rsidR="002A4D61" w:rsidRPr="00701F32" w:rsidRDefault="002A4D61" w:rsidP="002A4D61">
      <w:pPr>
        <w:pStyle w:val="Style1"/>
        <w:jc w:val="both"/>
        <w:rPr>
          <w:rFonts w:ascii="Arial" w:hAnsi="Arial" w:cs="Arial"/>
          <w:szCs w:val="20"/>
        </w:rPr>
      </w:pPr>
      <w:r w:rsidRPr="00701F32">
        <w:rPr>
          <w:rFonts w:ascii="Arial" w:hAnsi="Arial" w:cs="Arial"/>
          <w:szCs w:val="20"/>
        </w:rPr>
        <w:t xml:space="preserve">Cuando el Banco realiza la transferencia de un activo financiero bajo un acuerdo que cumple con los requisitos para dar de baja dicho activo pero aún continúa con el derecho de administración a cambio de una comisión, se reconoce el activo o pasivo por la comisión establecida en el contrato. </w:t>
      </w:r>
    </w:p>
    <w:p w14:paraId="26C6FCE1" w14:textId="77777777" w:rsidR="002A4D61" w:rsidRPr="00701F32" w:rsidRDefault="002A4D61" w:rsidP="002A4D61">
      <w:pPr>
        <w:pStyle w:val="Style1"/>
        <w:jc w:val="both"/>
        <w:rPr>
          <w:rFonts w:ascii="Arial" w:hAnsi="Arial" w:cs="Arial"/>
          <w:szCs w:val="20"/>
        </w:rPr>
      </w:pPr>
    </w:p>
    <w:p w14:paraId="3AE01D94" w14:textId="77777777" w:rsidR="002A4D61" w:rsidRPr="00701F32" w:rsidRDefault="002A4D61" w:rsidP="002A4D61">
      <w:pPr>
        <w:pStyle w:val="Style1"/>
        <w:jc w:val="both"/>
        <w:rPr>
          <w:rFonts w:ascii="Arial" w:hAnsi="Arial" w:cs="Arial"/>
          <w:szCs w:val="20"/>
        </w:rPr>
      </w:pPr>
      <w:r w:rsidRPr="00701F32">
        <w:rPr>
          <w:rFonts w:ascii="Arial" w:hAnsi="Arial" w:cs="Arial"/>
          <w:szCs w:val="20"/>
        </w:rPr>
        <w:t xml:space="preserve">Al realizar la baja del activo financiero, la diferencia entre el valor de libros y el recibido en contrapartida es imputado a resultados. </w:t>
      </w:r>
    </w:p>
    <w:p w14:paraId="42DB8870" w14:textId="77777777" w:rsidR="002A4D61" w:rsidRPr="00701F32" w:rsidRDefault="002A4D61" w:rsidP="002A4D61">
      <w:pPr>
        <w:pStyle w:val="Style1"/>
        <w:jc w:val="both"/>
        <w:rPr>
          <w:rFonts w:ascii="Arial" w:hAnsi="Arial" w:cs="Arial"/>
          <w:szCs w:val="20"/>
          <w:u w:val="single"/>
        </w:rPr>
      </w:pPr>
    </w:p>
    <w:p w14:paraId="7B0E0A13" w14:textId="77777777" w:rsidR="002A4D61" w:rsidRPr="00701F32" w:rsidRDefault="002A4D61" w:rsidP="002A4D61">
      <w:pPr>
        <w:pStyle w:val="Style1"/>
        <w:jc w:val="both"/>
        <w:rPr>
          <w:rFonts w:ascii="Arial" w:hAnsi="Arial" w:cs="Arial"/>
          <w:szCs w:val="20"/>
          <w:u w:val="single"/>
        </w:rPr>
      </w:pPr>
      <w:r w:rsidRPr="00701F32">
        <w:rPr>
          <w:rFonts w:ascii="Arial" w:hAnsi="Arial" w:cs="Arial"/>
          <w:szCs w:val="20"/>
          <w:u w:val="single"/>
        </w:rPr>
        <w:t>Transferencias que no cumplen con los requisitos para dar de baja los activos financieros cedidos</w:t>
      </w:r>
    </w:p>
    <w:p w14:paraId="64A56F7D" w14:textId="77777777" w:rsidR="002A4D61" w:rsidRPr="00701F32" w:rsidRDefault="002A4D61" w:rsidP="002A4D61">
      <w:pPr>
        <w:pStyle w:val="Style1"/>
        <w:jc w:val="both"/>
        <w:rPr>
          <w:rFonts w:ascii="Arial" w:hAnsi="Arial" w:cs="Arial"/>
          <w:szCs w:val="20"/>
        </w:rPr>
      </w:pPr>
    </w:p>
    <w:p w14:paraId="39B30087" w14:textId="77777777" w:rsidR="002A4D61" w:rsidRPr="00701F32" w:rsidRDefault="002A4D61" w:rsidP="002A4D61">
      <w:pPr>
        <w:pStyle w:val="Style1"/>
        <w:jc w:val="both"/>
        <w:rPr>
          <w:rFonts w:ascii="Arial" w:hAnsi="Arial" w:cs="Arial"/>
          <w:szCs w:val="20"/>
        </w:rPr>
      </w:pPr>
      <w:r w:rsidRPr="00701F32">
        <w:rPr>
          <w:rFonts w:ascii="Arial" w:hAnsi="Arial" w:cs="Arial"/>
          <w:szCs w:val="20"/>
        </w:rPr>
        <w:t xml:space="preserve">A continuación se detallan los activos financieros transferidos por el Banco que se continuan reconociendo en sus estados financieros </w:t>
      </w:r>
      <w:r w:rsidRPr="00701F32">
        <w:rPr>
          <w:rFonts w:ascii="Arial" w:eastAsia="Arial" w:hAnsi="Arial" w:cs="Arial"/>
        </w:rPr>
        <w:t>separados</w:t>
      </w:r>
      <w:r w:rsidRPr="00701F32">
        <w:rPr>
          <w:rFonts w:ascii="Arial" w:hAnsi="Arial" w:cs="Arial"/>
          <w:szCs w:val="20"/>
        </w:rPr>
        <w:t>:</w:t>
      </w:r>
    </w:p>
    <w:p w14:paraId="23280706" w14:textId="77777777" w:rsidR="002A4D61" w:rsidRPr="00701F32" w:rsidRDefault="002A4D61" w:rsidP="002A4D61">
      <w:pPr>
        <w:pStyle w:val="Style1"/>
        <w:jc w:val="both"/>
        <w:rPr>
          <w:rFonts w:ascii="Arial" w:hAnsi="Arial" w:cs="Arial"/>
          <w:szCs w:val="20"/>
        </w:rPr>
      </w:pPr>
    </w:p>
    <w:tbl>
      <w:tblPr>
        <w:tblStyle w:val="Tablaconcuadrcula"/>
        <w:tblW w:w="8721" w:type="dxa"/>
        <w:tblLook w:val="04A0" w:firstRow="1" w:lastRow="0" w:firstColumn="1" w:lastColumn="0" w:noHBand="0" w:noVBand="1"/>
      </w:tblPr>
      <w:tblGrid>
        <w:gridCol w:w="2481"/>
        <w:gridCol w:w="1446"/>
        <w:gridCol w:w="1446"/>
        <w:gridCol w:w="1595"/>
        <w:gridCol w:w="1753"/>
      </w:tblGrid>
      <w:tr w:rsidR="002A4D61" w:rsidRPr="00701F32" w14:paraId="6778A5F0" w14:textId="77777777" w:rsidTr="002A4D61">
        <w:trPr>
          <w:trHeight w:val="274"/>
          <w:tblHeader/>
        </w:trPr>
        <w:tc>
          <w:tcPr>
            <w:tcW w:w="2481" w:type="dxa"/>
            <w:vMerge w:val="restart"/>
            <w:vAlign w:val="center"/>
          </w:tcPr>
          <w:p w14:paraId="51A22BB3" w14:textId="77777777" w:rsidR="002A4D61" w:rsidRPr="00701F32" w:rsidRDefault="002A4D61" w:rsidP="002A4D61">
            <w:pPr>
              <w:pStyle w:val="Style1"/>
              <w:jc w:val="both"/>
              <w:rPr>
                <w:rFonts w:ascii="Arial" w:hAnsi="Arial" w:cs="Arial"/>
                <w:b/>
                <w:sz w:val="18"/>
                <w:szCs w:val="20"/>
              </w:rPr>
            </w:pPr>
          </w:p>
        </w:tc>
        <w:tc>
          <w:tcPr>
            <w:tcW w:w="2892" w:type="dxa"/>
            <w:gridSpan w:val="2"/>
            <w:vAlign w:val="center"/>
          </w:tcPr>
          <w:p w14:paraId="5573468C" w14:textId="127FF49B" w:rsidR="002A4D61" w:rsidRPr="00701F32" w:rsidRDefault="002A4D61" w:rsidP="002A4D61">
            <w:pPr>
              <w:pStyle w:val="Style1"/>
              <w:jc w:val="center"/>
              <w:rPr>
                <w:rFonts w:ascii="Arial" w:hAnsi="Arial" w:cs="Arial"/>
                <w:b/>
                <w:sz w:val="18"/>
                <w:szCs w:val="20"/>
              </w:rPr>
            </w:pPr>
            <w:r>
              <w:rPr>
                <w:rFonts w:ascii="Arial" w:hAnsi="Arial" w:cs="Arial"/>
                <w:b/>
                <w:sz w:val="18"/>
                <w:szCs w:val="20"/>
              </w:rPr>
              <w:t>Al 31 de diciembre de 201</w:t>
            </w:r>
            <w:r w:rsidR="00970522">
              <w:rPr>
                <w:rFonts w:ascii="Arial" w:hAnsi="Arial" w:cs="Arial"/>
                <w:b/>
                <w:sz w:val="18"/>
                <w:szCs w:val="20"/>
              </w:rPr>
              <w:t>9</w:t>
            </w:r>
          </w:p>
        </w:tc>
        <w:tc>
          <w:tcPr>
            <w:tcW w:w="3348" w:type="dxa"/>
            <w:gridSpan w:val="2"/>
            <w:vAlign w:val="center"/>
          </w:tcPr>
          <w:p w14:paraId="42663E81" w14:textId="7278DA41" w:rsidR="002A4D61" w:rsidRPr="00701F32" w:rsidRDefault="002A4D61" w:rsidP="002A4D61">
            <w:pPr>
              <w:pStyle w:val="Style1"/>
              <w:jc w:val="center"/>
              <w:rPr>
                <w:rFonts w:ascii="Arial" w:hAnsi="Arial" w:cs="Arial"/>
                <w:b/>
                <w:sz w:val="18"/>
                <w:szCs w:val="20"/>
              </w:rPr>
            </w:pPr>
            <w:r w:rsidRPr="00701F32">
              <w:rPr>
                <w:rFonts w:ascii="Arial" w:hAnsi="Arial" w:cs="Arial"/>
                <w:b/>
                <w:sz w:val="18"/>
                <w:szCs w:val="20"/>
              </w:rPr>
              <w:t>Al 31 de diciembre de 201</w:t>
            </w:r>
            <w:r w:rsidR="00970522">
              <w:rPr>
                <w:rFonts w:ascii="Arial" w:hAnsi="Arial" w:cs="Arial"/>
                <w:b/>
                <w:sz w:val="18"/>
                <w:szCs w:val="20"/>
              </w:rPr>
              <w:t>8</w:t>
            </w:r>
          </w:p>
        </w:tc>
      </w:tr>
      <w:tr w:rsidR="002A4D61" w:rsidRPr="00701F32" w14:paraId="7400CF22" w14:textId="77777777" w:rsidTr="002A4D61">
        <w:trPr>
          <w:trHeight w:val="408"/>
          <w:tblHeader/>
        </w:trPr>
        <w:tc>
          <w:tcPr>
            <w:tcW w:w="2481" w:type="dxa"/>
            <w:vMerge/>
            <w:vAlign w:val="center"/>
          </w:tcPr>
          <w:p w14:paraId="1A82E88B" w14:textId="77777777" w:rsidR="002A4D61" w:rsidRPr="00701F32" w:rsidRDefault="002A4D61" w:rsidP="002A4D61">
            <w:pPr>
              <w:pStyle w:val="Style1"/>
              <w:jc w:val="both"/>
              <w:rPr>
                <w:rFonts w:ascii="Arial" w:hAnsi="Arial" w:cs="Arial"/>
                <w:b/>
                <w:sz w:val="18"/>
                <w:szCs w:val="20"/>
              </w:rPr>
            </w:pPr>
          </w:p>
        </w:tc>
        <w:tc>
          <w:tcPr>
            <w:tcW w:w="1446" w:type="dxa"/>
            <w:vAlign w:val="center"/>
          </w:tcPr>
          <w:p w14:paraId="2B1FD5BE" w14:textId="77777777" w:rsidR="002A4D61" w:rsidRPr="00701F32" w:rsidRDefault="002A4D61" w:rsidP="002A4D61">
            <w:pPr>
              <w:pStyle w:val="Style1"/>
              <w:jc w:val="center"/>
              <w:rPr>
                <w:rFonts w:ascii="Arial" w:hAnsi="Arial" w:cs="Arial"/>
                <w:b/>
                <w:sz w:val="18"/>
                <w:szCs w:val="20"/>
              </w:rPr>
            </w:pPr>
            <w:r w:rsidRPr="00701F32">
              <w:rPr>
                <w:rFonts w:ascii="Arial" w:hAnsi="Arial" w:cs="Arial"/>
                <w:b/>
                <w:sz w:val="18"/>
                <w:szCs w:val="20"/>
              </w:rPr>
              <w:t>Valor libro de activos</w:t>
            </w:r>
          </w:p>
        </w:tc>
        <w:tc>
          <w:tcPr>
            <w:tcW w:w="1446" w:type="dxa"/>
            <w:vAlign w:val="center"/>
          </w:tcPr>
          <w:p w14:paraId="7F57AB2B" w14:textId="77777777" w:rsidR="002A4D61" w:rsidRPr="00701F32" w:rsidRDefault="002A4D61" w:rsidP="002A4D61">
            <w:pPr>
              <w:pStyle w:val="Style1"/>
              <w:jc w:val="center"/>
              <w:rPr>
                <w:rFonts w:ascii="Arial" w:hAnsi="Arial" w:cs="Arial"/>
                <w:b/>
                <w:sz w:val="18"/>
                <w:szCs w:val="20"/>
              </w:rPr>
            </w:pPr>
            <w:r w:rsidRPr="00701F32">
              <w:rPr>
                <w:rFonts w:ascii="Arial" w:hAnsi="Arial" w:cs="Arial"/>
                <w:b/>
                <w:sz w:val="18"/>
                <w:szCs w:val="20"/>
              </w:rPr>
              <w:t>Valor libro de los pasivos asociados</w:t>
            </w:r>
          </w:p>
        </w:tc>
        <w:tc>
          <w:tcPr>
            <w:tcW w:w="1595" w:type="dxa"/>
            <w:vAlign w:val="center"/>
          </w:tcPr>
          <w:p w14:paraId="614E85F5" w14:textId="77777777" w:rsidR="002A4D61" w:rsidRPr="00701F32" w:rsidRDefault="002A4D61" w:rsidP="002A4D61">
            <w:pPr>
              <w:pStyle w:val="Style1"/>
              <w:jc w:val="center"/>
              <w:rPr>
                <w:rFonts w:ascii="Arial" w:hAnsi="Arial" w:cs="Arial"/>
                <w:b/>
                <w:sz w:val="18"/>
                <w:szCs w:val="20"/>
              </w:rPr>
            </w:pPr>
            <w:r w:rsidRPr="00701F32">
              <w:rPr>
                <w:rFonts w:ascii="Arial" w:hAnsi="Arial" w:cs="Arial"/>
                <w:b/>
                <w:sz w:val="18"/>
                <w:szCs w:val="20"/>
              </w:rPr>
              <w:t>Valor libro de activos</w:t>
            </w:r>
          </w:p>
        </w:tc>
        <w:tc>
          <w:tcPr>
            <w:tcW w:w="1753" w:type="dxa"/>
            <w:vAlign w:val="center"/>
          </w:tcPr>
          <w:p w14:paraId="1C75F33B" w14:textId="77777777" w:rsidR="002A4D61" w:rsidRPr="00701F32" w:rsidRDefault="002A4D61" w:rsidP="002A4D61">
            <w:pPr>
              <w:pStyle w:val="Style1"/>
              <w:jc w:val="center"/>
              <w:rPr>
                <w:rFonts w:ascii="Arial" w:hAnsi="Arial" w:cs="Arial"/>
                <w:b/>
                <w:sz w:val="18"/>
                <w:szCs w:val="20"/>
              </w:rPr>
            </w:pPr>
            <w:r w:rsidRPr="00701F32">
              <w:rPr>
                <w:rFonts w:ascii="Arial" w:hAnsi="Arial" w:cs="Arial"/>
                <w:b/>
                <w:sz w:val="18"/>
                <w:szCs w:val="20"/>
              </w:rPr>
              <w:t>Valor libro de los pasivos asociados</w:t>
            </w:r>
          </w:p>
        </w:tc>
      </w:tr>
      <w:tr w:rsidR="00970522" w:rsidRPr="00701F32" w14:paraId="2122E9A8" w14:textId="77777777" w:rsidTr="002A4D61">
        <w:trPr>
          <w:trHeight w:val="141"/>
        </w:trPr>
        <w:tc>
          <w:tcPr>
            <w:tcW w:w="2481" w:type="dxa"/>
          </w:tcPr>
          <w:p w14:paraId="5E174E1A" w14:textId="77777777" w:rsidR="00970522" w:rsidRPr="00701F32" w:rsidRDefault="00970522" w:rsidP="00970522">
            <w:pPr>
              <w:pStyle w:val="Style1"/>
              <w:jc w:val="both"/>
              <w:rPr>
                <w:rFonts w:ascii="Arial" w:hAnsi="Arial" w:cs="Arial"/>
                <w:sz w:val="18"/>
                <w:szCs w:val="20"/>
              </w:rPr>
            </w:pPr>
            <w:r w:rsidRPr="00701F32">
              <w:rPr>
                <w:rFonts w:ascii="Arial" w:hAnsi="Arial" w:cs="Arial"/>
                <w:sz w:val="18"/>
                <w:szCs w:val="20"/>
              </w:rPr>
              <w:t>Préstamos personales cedidos a fideicomisos financieros</w:t>
            </w:r>
          </w:p>
        </w:tc>
        <w:tc>
          <w:tcPr>
            <w:tcW w:w="1446" w:type="dxa"/>
            <w:vAlign w:val="center"/>
          </w:tcPr>
          <w:p w14:paraId="3F1C13F0" w14:textId="6B76261F" w:rsidR="00970522" w:rsidRPr="00701F32" w:rsidRDefault="000443CB" w:rsidP="00970522">
            <w:pPr>
              <w:pStyle w:val="Style1"/>
              <w:jc w:val="right"/>
              <w:rPr>
                <w:rFonts w:ascii="Arial" w:hAnsi="Arial" w:cs="Arial"/>
                <w:sz w:val="18"/>
                <w:szCs w:val="20"/>
              </w:rPr>
            </w:pPr>
            <w:r>
              <w:rPr>
                <w:rFonts w:ascii="Arial" w:hAnsi="Arial" w:cs="Arial"/>
                <w:sz w:val="18"/>
                <w:szCs w:val="20"/>
              </w:rPr>
              <w:t>11</w:t>
            </w:r>
            <w:r w:rsidR="005B6EDF">
              <w:rPr>
                <w:rFonts w:ascii="Arial" w:hAnsi="Arial" w:cs="Arial"/>
                <w:sz w:val="18"/>
                <w:szCs w:val="20"/>
              </w:rPr>
              <w:t>1</w:t>
            </w:r>
            <w:r>
              <w:rPr>
                <w:rFonts w:ascii="Arial" w:hAnsi="Arial" w:cs="Arial"/>
                <w:sz w:val="18"/>
                <w:szCs w:val="20"/>
              </w:rPr>
              <w:t>.</w:t>
            </w:r>
            <w:r w:rsidR="005B6EDF">
              <w:rPr>
                <w:rFonts w:ascii="Arial" w:hAnsi="Arial" w:cs="Arial"/>
                <w:sz w:val="18"/>
                <w:szCs w:val="20"/>
              </w:rPr>
              <w:t>922</w:t>
            </w:r>
          </w:p>
        </w:tc>
        <w:tc>
          <w:tcPr>
            <w:tcW w:w="1446" w:type="dxa"/>
            <w:vAlign w:val="center"/>
          </w:tcPr>
          <w:p w14:paraId="3335A585" w14:textId="01D826E5" w:rsidR="00970522" w:rsidRPr="00701F32" w:rsidRDefault="000443CB" w:rsidP="00970522">
            <w:pPr>
              <w:pStyle w:val="Style1"/>
              <w:jc w:val="right"/>
              <w:rPr>
                <w:rFonts w:ascii="Arial" w:hAnsi="Arial" w:cs="Arial"/>
                <w:sz w:val="18"/>
                <w:szCs w:val="20"/>
              </w:rPr>
            </w:pPr>
            <w:r>
              <w:rPr>
                <w:rFonts w:ascii="Arial" w:hAnsi="Arial" w:cs="Arial"/>
                <w:sz w:val="18"/>
                <w:szCs w:val="20"/>
              </w:rPr>
              <w:t>27.785</w:t>
            </w:r>
          </w:p>
        </w:tc>
        <w:tc>
          <w:tcPr>
            <w:tcW w:w="1595" w:type="dxa"/>
            <w:vAlign w:val="center"/>
          </w:tcPr>
          <w:p w14:paraId="2C1BB629" w14:textId="702C4459" w:rsidR="00970522" w:rsidRPr="00701F32" w:rsidRDefault="00970522" w:rsidP="00970522">
            <w:pPr>
              <w:pStyle w:val="Style1"/>
              <w:jc w:val="right"/>
              <w:rPr>
                <w:rFonts w:ascii="Arial" w:hAnsi="Arial" w:cs="Arial"/>
                <w:sz w:val="18"/>
                <w:szCs w:val="20"/>
              </w:rPr>
            </w:pPr>
            <w:r>
              <w:rPr>
                <w:rFonts w:ascii="Arial" w:hAnsi="Arial" w:cs="Arial"/>
                <w:color w:val="000000"/>
                <w:sz w:val="18"/>
                <w:szCs w:val="20"/>
              </w:rPr>
              <w:t>402.145</w:t>
            </w:r>
          </w:p>
        </w:tc>
        <w:tc>
          <w:tcPr>
            <w:tcW w:w="1753" w:type="dxa"/>
            <w:vAlign w:val="center"/>
          </w:tcPr>
          <w:p w14:paraId="3E280A60" w14:textId="5572694C" w:rsidR="00970522" w:rsidRPr="00701F32" w:rsidRDefault="00970522" w:rsidP="00970522">
            <w:pPr>
              <w:pStyle w:val="Style1"/>
              <w:jc w:val="right"/>
              <w:rPr>
                <w:rFonts w:ascii="Arial" w:hAnsi="Arial" w:cs="Arial"/>
                <w:sz w:val="18"/>
                <w:szCs w:val="20"/>
              </w:rPr>
            </w:pPr>
            <w:r>
              <w:rPr>
                <w:rFonts w:ascii="Arial" w:hAnsi="Arial" w:cs="Arial"/>
                <w:color w:val="000000"/>
                <w:sz w:val="18"/>
                <w:szCs w:val="20"/>
              </w:rPr>
              <w:t>224.992</w:t>
            </w:r>
          </w:p>
        </w:tc>
      </w:tr>
    </w:tbl>
    <w:p w14:paraId="536A9145" w14:textId="77777777" w:rsidR="002A4D61" w:rsidRPr="00701F32" w:rsidRDefault="002A4D61" w:rsidP="002A4D61">
      <w:pPr>
        <w:pStyle w:val="Style1"/>
        <w:jc w:val="both"/>
        <w:rPr>
          <w:rFonts w:ascii="Arial" w:hAnsi="Arial" w:cs="Arial"/>
          <w:szCs w:val="20"/>
        </w:rPr>
      </w:pPr>
    </w:p>
    <w:p w14:paraId="3A53E998" w14:textId="77777777" w:rsidR="002A4D61" w:rsidRPr="00701F32" w:rsidRDefault="002A4D61" w:rsidP="002A4D61">
      <w:pPr>
        <w:pStyle w:val="Style1"/>
        <w:jc w:val="both"/>
        <w:rPr>
          <w:rFonts w:ascii="Arial" w:hAnsi="Arial" w:cs="Arial"/>
          <w:color w:val="FF0000"/>
          <w:szCs w:val="20"/>
        </w:rPr>
      </w:pPr>
      <w:r w:rsidRPr="00701F32">
        <w:rPr>
          <w:rFonts w:ascii="Arial" w:hAnsi="Arial" w:cs="Arial"/>
          <w:szCs w:val="20"/>
        </w:rPr>
        <w:t xml:space="preserve">El Banco puede vender en determinadas oportunidades, cartera con mora significativa sin recurso para el comprador. En estos casos, </w:t>
      </w:r>
      <w:r>
        <w:rPr>
          <w:rFonts w:ascii="Arial" w:hAnsi="Arial" w:cs="Arial"/>
          <w:szCs w:val="20"/>
        </w:rPr>
        <w:t>l</w:t>
      </w:r>
      <w:r w:rsidRPr="00701F32">
        <w:rPr>
          <w:rFonts w:ascii="Arial" w:hAnsi="Arial" w:cs="Arial"/>
          <w:szCs w:val="20"/>
        </w:rPr>
        <w:t>a entidad no retiene ningún riesgo ni beneficio sustancial sobre la cartera cedida, y por lo tanto la misma califica para su baja en cuentas</w:t>
      </w:r>
    </w:p>
    <w:p w14:paraId="40354AC7" w14:textId="77777777" w:rsidR="002A4D61" w:rsidRPr="00701F32" w:rsidRDefault="002A4D61" w:rsidP="002A4D61">
      <w:pPr>
        <w:jc w:val="both"/>
        <w:rPr>
          <w:rFonts w:ascii="Arial" w:eastAsia="Arial" w:hAnsi="Arial" w:cs="Arial"/>
          <w:bCs/>
          <w:noProof/>
          <w:color w:val="000000"/>
          <w:sz w:val="20"/>
        </w:rPr>
      </w:pPr>
    </w:p>
    <w:p w14:paraId="578296F9" w14:textId="77777777" w:rsidR="002A4D61" w:rsidRPr="002B52DE" w:rsidRDefault="002A4D61" w:rsidP="002A4D61">
      <w:pPr>
        <w:pStyle w:val="Style1"/>
        <w:jc w:val="both"/>
        <w:rPr>
          <w:rFonts w:ascii="Arial" w:hAnsi="Arial" w:cs="Arial"/>
          <w:b/>
          <w:caps/>
          <w:szCs w:val="20"/>
          <w:lang w:eastAsia="es-ES"/>
        </w:rPr>
      </w:pPr>
      <w:r>
        <w:rPr>
          <w:rFonts w:ascii="Arial" w:hAnsi="Arial" w:cs="Arial"/>
          <w:b/>
          <w:szCs w:val="20"/>
          <w:lang w:eastAsia="es-ES"/>
        </w:rPr>
        <w:t>20.</w:t>
      </w:r>
      <w:r w:rsidRPr="002B52DE">
        <w:rPr>
          <w:rFonts w:ascii="Arial" w:hAnsi="Arial" w:cs="Arial"/>
          <w:b/>
          <w:caps/>
          <w:szCs w:val="20"/>
          <w:lang w:eastAsia="es-ES"/>
        </w:rPr>
        <w:t xml:space="preserve"> Inversión en </w:t>
      </w:r>
      <w:r>
        <w:rPr>
          <w:rFonts w:ascii="Arial" w:hAnsi="Arial" w:cs="Arial"/>
          <w:b/>
          <w:caps/>
          <w:szCs w:val="20"/>
          <w:lang w:eastAsia="es-ES"/>
        </w:rPr>
        <w:t>INSTRUMENTOS DE PATRIMONIO</w:t>
      </w:r>
    </w:p>
    <w:p w14:paraId="47E6B0C3" w14:textId="77777777" w:rsidR="002A4D61" w:rsidRDefault="002A4D61" w:rsidP="002A4D61">
      <w:pPr>
        <w:pStyle w:val="Lista"/>
        <w:ind w:left="502" w:hanging="502"/>
        <w:jc w:val="both"/>
        <w:rPr>
          <w:rFonts w:ascii="Arial" w:hAnsi="Arial" w:cs="Arial"/>
          <w:b/>
          <w:sz w:val="20"/>
          <w:szCs w:val="20"/>
          <w:u w:val="single"/>
          <w:lang w:val="es-AR"/>
        </w:rPr>
      </w:pPr>
    </w:p>
    <w:p w14:paraId="78180EAA" w14:textId="38123238" w:rsidR="002A4D61" w:rsidRPr="00701F32" w:rsidRDefault="002A4D61" w:rsidP="002A4D61">
      <w:pPr>
        <w:pStyle w:val="Lista"/>
        <w:ind w:left="0" w:firstLine="0"/>
        <w:jc w:val="both"/>
        <w:rPr>
          <w:rFonts w:ascii="Arial" w:hAnsi="Arial" w:cs="Arial"/>
          <w:sz w:val="20"/>
          <w:szCs w:val="20"/>
          <w:lang w:val="es-AR"/>
        </w:rPr>
      </w:pPr>
      <w:r w:rsidRPr="00701F32">
        <w:rPr>
          <w:rFonts w:ascii="Arial" w:hAnsi="Arial" w:cs="Arial"/>
          <w:sz w:val="20"/>
          <w:szCs w:val="20"/>
          <w:lang w:val="es-AR"/>
        </w:rPr>
        <w:t xml:space="preserve">Las inversiones en </w:t>
      </w:r>
      <w:r>
        <w:rPr>
          <w:rFonts w:ascii="Arial" w:hAnsi="Arial" w:cs="Arial"/>
          <w:sz w:val="20"/>
          <w:szCs w:val="20"/>
          <w:lang w:val="es-AR"/>
        </w:rPr>
        <w:t>instrumentos de patrimonio</w:t>
      </w:r>
      <w:r w:rsidRPr="00701F32">
        <w:rPr>
          <w:rFonts w:ascii="Arial" w:hAnsi="Arial" w:cs="Arial"/>
          <w:sz w:val="20"/>
          <w:szCs w:val="20"/>
          <w:lang w:val="es-AR"/>
        </w:rPr>
        <w:t xml:space="preserve"> </w:t>
      </w:r>
      <w:r>
        <w:rPr>
          <w:rFonts w:ascii="Arial" w:hAnsi="Arial" w:cs="Arial"/>
          <w:sz w:val="20"/>
          <w:szCs w:val="20"/>
          <w:lang w:val="es-AR"/>
        </w:rPr>
        <w:t xml:space="preserve">medidos a valor razonable con cambios en resultados </w:t>
      </w:r>
      <w:r w:rsidRPr="00701F32">
        <w:rPr>
          <w:rFonts w:ascii="Arial" w:hAnsi="Arial" w:cs="Arial"/>
          <w:sz w:val="20"/>
          <w:szCs w:val="20"/>
          <w:lang w:val="es-AR"/>
        </w:rPr>
        <w:t xml:space="preserve">al 31 de diciembre de </w:t>
      </w:r>
      <w:r w:rsidR="00970522">
        <w:rPr>
          <w:rFonts w:ascii="Arial" w:hAnsi="Arial" w:cs="Arial"/>
          <w:sz w:val="20"/>
          <w:szCs w:val="20"/>
          <w:lang w:val="es-AR"/>
        </w:rPr>
        <w:t>2019 y 201</w:t>
      </w:r>
      <w:r w:rsidRPr="00701F32">
        <w:rPr>
          <w:rFonts w:ascii="Arial" w:hAnsi="Arial" w:cs="Arial"/>
          <w:sz w:val="20"/>
          <w:szCs w:val="20"/>
          <w:lang w:val="es-AR"/>
        </w:rPr>
        <w:t xml:space="preserve"> son las siguientes: </w:t>
      </w:r>
    </w:p>
    <w:p w14:paraId="5A544DA7" w14:textId="77777777" w:rsidR="002A4D61" w:rsidRDefault="002A4D61" w:rsidP="002A4D61">
      <w:pPr>
        <w:pStyle w:val="Lista"/>
        <w:ind w:left="0" w:firstLine="0"/>
        <w:jc w:val="both"/>
        <w:rPr>
          <w:rFonts w:ascii="Arial" w:hAnsi="Arial" w:cs="Arial"/>
          <w:sz w:val="20"/>
          <w:szCs w:val="20"/>
          <w:lang w:val="es-AR"/>
        </w:rPr>
      </w:pPr>
    </w:p>
    <w:tbl>
      <w:tblPr>
        <w:tblW w:w="8579" w:type="dxa"/>
        <w:tblInd w:w="75" w:type="dxa"/>
        <w:tblLayout w:type="fixed"/>
        <w:tblCellMar>
          <w:left w:w="70" w:type="dxa"/>
          <w:right w:w="70" w:type="dxa"/>
        </w:tblCellMar>
        <w:tblLook w:val="04A0" w:firstRow="1" w:lastRow="0" w:firstColumn="1" w:lastColumn="0" w:noHBand="0" w:noVBand="1"/>
      </w:tblPr>
      <w:tblGrid>
        <w:gridCol w:w="5037"/>
        <w:gridCol w:w="1771"/>
        <w:gridCol w:w="1771"/>
      </w:tblGrid>
      <w:tr w:rsidR="002A4D61" w:rsidRPr="00701F32" w14:paraId="7454A986" w14:textId="77777777" w:rsidTr="00080C93">
        <w:trPr>
          <w:trHeight w:val="259"/>
        </w:trPr>
        <w:tc>
          <w:tcPr>
            <w:tcW w:w="50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7D4C26" w14:textId="77777777" w:rsidR="002A4D61" w:rsidRPr="00F12A5A" w:rsidRDefault="002A4D61" w:rsidP="002A4D61">
            <w:pPr>
              <w:jc w:val="center"/>
              <w:rPr>
                <w:rFonts w:ascii="Arial" w:hAnsi="Arial" w:cs="Arial"/>
                <w:b/>
                <w:color w:val="000000"/>
                <w:sz w:val="16"/>
                <w:szCs w:val="16"/>
              </w:rPr>
            </w:pPr>
          </w:p>
        </w:tc>
        <w:tc>
          <w:tcPr>
            <w:tcW w:w="1771" w:type="dxa"/>
            <w:tcBorders>
              <w:top w:val="single" w:sz="4" w:space="0" w:color="auto"/>
              <w:left w:val="single" w:sz="4" w:space="0" w:color="auto"/>
              <w:bottom w:val="single" w:sz="4" w:space="0" w:color="auto"/>
              <w:right w:val="single" w:sz="4" w:space="0" w:color="auto"/>
            </w:tcBorders>
            <w:vAlign w:val="bottom"/>
          </w:tcPr>
          <w:p w14:paraId="5DDF192E" w14:textId="0ECC6A6C" w:rsidR="002A4D61" w:rsidRPr="00F12A5A" w:rsidRDefault="002A4D61" w:rsidP="002A4D61">
            <w:pPr>
              <w:jc w:val="center"/>
              <w:rPr>
                <w:rFonts w:ascii="Arial" w:hAnsi="Arial" w:cs="Arial"/>
                <w:b/>
                <w:color w:val="000000"/>
                <w:sz w:val="16"/>
                <w:szCs w:val="16"/>
              </w:rPr>
            </w:pPr>
            <w:r w:rsidRPr="00F12A5A">
              <w:rPr>
                <w:rFonts w:ascii="Arial" w:hAnsi="Arial" w:cs="Arial"/>
                <w:b/>
                <w:color w:val="000000"/>
                <w:sz w:val="16"/>
                <w:szCs w:val="16"/>
              </w:rPr>
              <w:t>31/12/201</w:t>
            </w:r>
            <w:r w:rsidR="00970522" w:rsidRPr="00F12A5A">
              <w:rPr>
                <w:rFonts w:ascii="Arial" w:hAnsi="Arial" w:cs="Arial"/>
                <w:b/>
                <w:color w:val="000000"/>
                <w:sz w:val="16"/>
                <w:szCs w:val="16"/>
              </w:rPr>
              <w:t>9</w:t>
            </w:r>
          </w:p>
        </w:tc>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D5EF93" w14:textId="2664F3D4" w:rsidR="002A4D61" w:rsidRPr="00F12A5A" w:rsidRDefault="002A4D61" w:rsidP="002A4D61">
            <w:pPr>
              <w:jc w:val="center"/>
              <w:rPr>
                <w:rFonts w:ascii="Arial" w:hAnsi="Arial" w:cs="Arial"/>
                <w:b/>
                <w:color w:val="000000"/>
                <w:sz w:val="16"/>
                <w:szCs w:val="16"/>
              </w:rPr>
            </w:pPr>
            <w:r w:rsidRPr="00F12A5A">
              <w:rPr>
                <w:rFonts w:ascii="Arial" w:hAnsi="Arial" w:cs="Arial"/>
                <w:b/>
                <w:color w:val="000000"/>
                <w:sz w:val="16"/>
                <w:szCs w:val="16"/>
              </w:rPr>
              <w:t>31/12/201</w:t>
            </w:r>
            <w:r w:rsidR="00970522" w:rsidRPr="00F12A5A">
              <w:rPr>
                <w:rFonts w:ascii="Arial" w:hAnsi="Arial" w:cs="Arial"/>
                <w:b/>
                <w:color w:val="000000"/>
                <w:sz w:val="16"/>
                <w:szCs w:val="16"/>
              </w:rPr>
              <w:t>8</w:t>
            </w:r>
          </w:p>
        </w:tc>
      </w:tr>
      <w:tr w:rsidR="00970522" w:rsidRPr="00701F32" w14:paraId="5F31634F" w14:textId="77777777" w:rsidTr="00080C93">
        <w:trPr>
          <w:trHeight w:val="259"/>
        </w:trPr>
        <w:tc>
          <w:tcPr>
            <w:tcW w:w="5037" w:type="dxa"/>
            <w:tcBorders>
              <w:top w:val="nil"/>
              <w:left w:val="single" w:sz="4" w:space="0" w:color="auto"/>
              <w:bottom w:val="single" w:sz="4" w:space="0" w:color="auto"/>
              <w:right w:val="single" w:sz="4" w:space="0" w:color="auto"/>
            </w:tcBorders>
            <w:shd w:val="clear" w:color="auto" w:fill="auto"/>
            <w:noWrap/>
            <w:hideMark/>
          </w:tcPr>
          <w:p w14:paraId="6EF872B0" w14:textId="77777777" w:rsidR="00970522" w:rsidRPr="00F12A5A" w:rsidRDefault="00970522" w:rsidP="00970522">
            <w:pPr>
              <w:jc w:val="both"/>
              <w:rPr>
                <w:rFonts w:ascii="Arial" w:hAnsi="Arial" w:cs="Arial"/>
                <w:color w:val="000000"/>
                <w:sz w:val="16"/>
                <w:szCs w:val="16"/>
              </w:rPr>
            </w:pPr>
            <w:r w:rsidRPr="00F12A5A">
              <w:rPr>
                <w:rFonts w:ascii="Arial" w:hAnsi="Arial" w:cs="Arial"/>
                <w:color w:val="000000"/>
                <w:sz w:val="16"/>
                <w:szCs w:val="16"/>
              </w:rPr>
              <w:t>YPF SA</w:t>
            </w:r>
          </w:p>
        </w:tc>
        <w:tc>
          <w:tcPr>
            <w:tcW w:w="1771" w:type="dxa"/>
            <w:tcBorders>
              <w:top w:val="single" w:sz="4" w:space="0" w:color="auto"/>
              <w:left w:val="single" w:sz="4" w:space="0" w:color="auto"/>
              <w:bottom w:val="single" w:sz="4" w:space="0" w:color="auto"/>
              <w:right w:val="single" w:sz="4" w:space="0" w:color="auto"/>
            </w:tcBorders>
            <w:vAlign w:val="center"/>
          </w:tcPr>
          <w:p w14:paraId="4C54B143" w14:textId="794BAA56" w:rsidR="00F12A5A" w:rsidRPr="00F12A5A" w:rsidRDefault="00F12A5A" w:rsidP="00F12A5A">
            <w:pPr>
              <w:jc w:val="right"/>
              <w:rPr>
                <w:rFonts w:ascii="Arial" w:hAnsi="Arial" w:cs="Arial"/>
                <w:color w:val="000000"/>
                <w:sz w:val="16"/>
                <w:szCs w:val="18"/>
              </w:rPr>
            </w:pPr>
            <w:r w:rsidRPr="00F12A5A">
              <w:rPr>
                <w:rFonts w:ascii="Arial" w:hAnsi="Arial" w:cs="Arial"/>
                <w:color w:val="000000"/>
                <w:sz w:val="16"/>
                <w:szCs w:val="18"/>
              </w:rPr>
              <w:t>-</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682143C2" w14:textId="7494999F" w:rsidR="00970522" w:rsidRPr="00F12A5A" w:rsidRDefault="00970522" w:rsidP="00970522">
            <w:pPr>
              <w:jc w:val="right"/>
              <w:rPr>
                <w:rFonts w:ascii="Arial" w:hAnsi="Arial" w:cs="Arial"/>
                <w:color w:val="000000"/>
                <w:sz w:val="16"/>
                <w:szCs w:val="18"/>
              </w:rPr>
            </w:pPr>
            <w:r w:rsidRPr="00F12A5A">
              <w:rPr>
                <w:rFonts w:ascii="Arial" w:hAnsi="Arial" w:cs="Arial"/>
                <w:color w:val="000000"/>
                <w:sz w:val="16"/>
                <w:szCs w:val="18"/>
              </w:rPr>
              <w:t>1.082</w:t>
            </w:r>
          </w:p>
        </w:tc>
      </w:tr>
      <w:tr w:rsidR="00970522" w:rsidRPr="00701F32" w14:paraId="62891563" w14:textId="77777777" w:rsidTr="00080C93">
        <w:trPr>
          <w:trHeight w:val="259"/>
        </w:trPr>
        <w:tc>
          <w:tcPr>
            <w:tcW w:w="5037" w:type="dxa"/>
            <w:tcBorders>
              <w:top w:val="nil"/>
              <w:left w:val="single" w:sz="4" w:space="0" w:color="auto"/>
              <w:bottom w:val="single" w:sz="4" w:space="0" w:color="auto"/>
              <w:right w:val="single" w:sz="4" w:space="0" w:color="auto"/>
            </w:tcBorders>
            <w:shd w:val="clear" w:color="auto" w:fill="auto"/>
            <w:noWrap/>
            <w:hideMark/>
          </w:tcPr>
          <w:p w14:paraId="04BBB4E1" w14:textId="77777777" w:rsidR="00970522" w:rsidRPr="00F12A5A" w:rsidRDefault="00970522" w:rsidP="00970522">
            <w:pPr>
              <w:jc w:val="both"/>
              <w:rPr>
                <w:rFonts w:ascii="Arial" w:hAnsi="Arial" w:cs="Arial"/>
                <w:color w:val="000000"/>
                <w:sz w:val="16"/>
                <w:szCs w:val="16"/>
              </w:rPr>
            </w:pPr>
            <w:r w:rsidRPr="00F12A5A">
              <w:rPr>
                <w:rFonts w:ascii="Arial" w:hAnsi="Arial" w:cs="Arial"/>
                <w:color w:val="000000"/>
                <w:sz w:val="16"/>
                <w:szCs w:val="16"/>
              </w:rPr>
              <w:t>Grupo Financiero Galicia SA</w:t>
            </w:r>
          </w:p>
        </w:tc>
        <w:tc>
          <w:tcPr>
            <w:tcW w:w="1771" w:type="dxa"/>
            <w:tcBorders>
              <w:top w:val="single" w:sz="4" w:space="0" w:color="auto"/>
              <w:left w:val="single" w:sz="4" w:space="0" w:color="auto"/>
              <w:bottom w:val="single" w:sz="4" w:space="0" w:color="auto"/>
              <w:right w:val="single" w:sz="4" w:space="0" w:color="auto"/>
            </w:tcBorders>
            <w:vAlign w:val="center"/>
          </w:tcPr>
          <w:p w14:paraId="3016D3C9" w14:textId="52984CBF" w:rsidR="00970522" w:rsidRPr="00F12A5A" w:rsidRDefault="00F12A5A" w:rsidP="00970522">
            <w:pPr>
              <w:jc w:val="right"/>
              <w:rPr>
                <w:rFonts w:ascii="Arial" w:hAnsi="Arial" w:cs="Arial"/>
                <w:color w:val="000000"/>
                <w:sz w:val="16"/>
                <w:szCs w:val="18"/>
              </w:rPr>
            </w:pPr>
            <w:r w:rsidRPr="00F12A5A">
              <w:rPr>
                <w:rFonts w:ascii="Arial" w:hAnsi="Arial" w:cs="Arial"/>
                <w:color w:val="000000"/>
                <w:sz w:val="16"/>
                <w:szCs w:val="18"/>
              </w:rPr>
              <w:t>5.796</w:t>
            </w:r>
          </w:p>
        </w:tc>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76C79AC3" w14:textId="549C70DB" w:rsidR="00970522" w:rsidRPr="00F12A5A" w:rsidRDefault="00970522" w:rsidP="00970522">
            <w:pPr>
              <w:jc w:val="right"/>
              <w:rPr>
                <w:rFonts w:ascii="Arial" w:hAnsi="Arial" w:cs="Arial"/>
                <w:color w:val="000000"/>
                <w:sz w:val="16"/>
                <w:szCs w:val="18"/>
              </w:rPr>
            </w:pPr>
            <w:r w:rsidRPr="00F12A5A">
              <w:rPr>
                <w:rFonts w:ascii="Arial" w:hAnsi="Arial" w:cs="Arial"/>
                <w:color w:val="000000"/>
                <w:sz w:val="16"/>
                <w:szCs w:val="18"/>
              </w:rPr>
              <w:t>521</w:t>
            </w:r>
          </w:p>
        </w:tc>
      </w:tr>
      <w:tr w:rsidR="00970522" w:rsidRPr="00D27B18" w14:paraId="7D795661" w14:textId="77777777" w:rsidTr="00080C93">
        <w:trPr>
          <w:trHeight w:val="259"/>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6F22065D" w14:textId="77777777" w:rsidR="00970522" w:rsidRPr="00F12A5A" w:rsidRDefault="00970522" w:rsidP="00970522">
            <w:pPr>
              <w:jc w:val="both"/>
              <w:rPr>
                <w:rFonts w:ascii="Arial" w:hAnsi="Arial" w:cs="Arial"/>
                <w:b/>
                <w:bCs/>
                <w:color w:val="000000"/>
                <w:sz w:val="16"/>
                <w:szCs w:val="16"/>
              </w:rPr>
            </w:pPr>
            <w:r w:rsidRPr="00F12A5A">
              <w:rPr>
                <w:rFonts w:ascii="Arial" w:hAnsi="Arial" w:cs="Arial"/>
                <w:b/>
                <w:bCs/>
                <w:color w:val="000000"/>
                <w:sz w:val="16"/>
                <w:szCs w:val="16"/>
              </w:rPr>
              <w:t>Total</w:t>
            </w:r>
          </w:p>
        </w:tc>
        <w:tc>
          <w:tcPr>
            <w:tcW w:w="1771" w:type="dxa"/>
            <w:tcBorders>
              <w:top w:val="single" w:sz="4" w:space="0" w:color="auto"/>
              <w:left w:val="single" w:sz="4" w:space="0" w:color="auto"/>
              <w:bottom w:val="single" w:sz="4" w:space="0" w:color="auto"/>
              <w:right w:val="single" w:sz="4" w:space="0" w:color="auto"/>
            </w:tcBorders>
            <w:vAlign w:val="bottom"/>
          </w:tcPr>
          <w:p w14:paraId="075B0F9B" w14:textId="0A2B6587" w:rsidR="00970522" w:rsidRPr="00F12A5A" w:rsidRDefault="00F12A5A" w:rsidP="00970522">
            <w:pPr>
              <w:jc w:val="right"/>
              <w:rPr>
                <w:rFonts w:ascii="Arial" w:hAnsi="Arial" w:cs="Arial"/>
                <w:b/>
                <w:bCs/>
                <w:color w:val="000000"/>
                <w:sz w:val="16"/>
                <w:szCs w:val="18"/>
              </w:rPr>
            </w:pPr>
            <w:r w:rsidRPr="00F12A5A">
              <w:rPr>
                <w:rFonts w:ascii="Arial" w:hAnsi="Arial" w:cs="Arial"/>
                <w:b/>
                <w:bCs/>
                <w:color w:val="000000"/>
                <w:sz w:val="16"/>
                <w:szCs w:val="18"/>
              </w:rPr>
              <w:t>5.796</w:t>
            </w:r>
          </w:p>
        </w:tc>
        <w:tc>
          <w:tcPr>
            <w:tcW w:w="1771" w:type="dxa"/>
            <w:tcBorders>
              <w:top w:val="nil"/>
              <w:left w:val="single" w:sz="4" w:space="0" w:color="auto"/>
              <w:bottom w:val="single" w:sz="4" w:space="0" w:color="auto"/>
              <w:right w:val="single" w:sz="4" w:space="0" w:color="auto"/>
            </w:tcBorders>
            <w:shd w:val="clear" w:color="auto" w:fill="auto"/>
            <w:noWrap/>
            <w:vAlign w:val="bottom"/>
            <w:hideMark/>
          </w:tcPr>
          <w:p w14:paraId="4B725D7D" w14:textId="2D47B766" w:rsidR="00970522" w:rsidRPr="00F12A5A" w:rsidRDefault="00970522" w:rsidP="00970522">
            <w:pPr>
              <w:jc w:val="right"/>
              <w:rPr>
                <w:rFonts w:ascii="Arial" w:hAnsi="Arial" w:cs="Arial"/>
                <w:b/>
                <w:bCs/>
                <w:color w:val="000000"/>
                <w:sz w:val="16"/>
                <w:szCs w:val="18"/>
                <w:lang w:val="es-ES_tradnl"/>
              </w:rPr>
            </w:pPr>
            <w:r w:rsidRPr="00F12A5A">
              <w:rPr>
                <w:rFonts w:ascii="Arial" w:hAnsi="Arial" w:cs="Arial"/>
                <w:b/>
                <w:sz w:val="16"/>
                <w:szCs w:val="18"/>
              </w:rPr>
              <w:t>1.603</w:t>
            </w:r>
          </w:p>
        </w:tc>
      </w:tr>
    </w:tbl>
    <w:p w14:paraId="4B935EAE" w14:textId="77777777" w:rsidR="002A4D61" w:rsidRPr="00701F32" w:rsidRDefault="002A4D61" w:rsidP="002A4D61">
      <w:pPr>
        <w:pStyle w:val="Lista"/>
        <w:ind w:left="0" w:firstLine="0"/>
        <w:jc w:val="both"/>
        <w:rPr>
          <w:rFonts w:ascii="Arial" w:hAnsi="Arial" w:cs="Arial"/>
          <w:b/>
          <w:sz w:val="20"/>
          <w:szCs w:val="20"/>
          <w:u w:val="single"/>
          <w:lang w:val="es-AR"/>
        </w:rPr>
      </w:pPr>
    </w:p>
    <w:p w14:paraId="6FA40D6E" w14:textId="24268F0B" w:rsidR="002A4D61" w:rsidRDefault="002A4D61" w:rsidP="002A4D61">
      <w:pPr>
        <w:pStyle w:val="Lista"/>
        <w:ind w:left="0" w:firstLine="0"/>
        <w:jc w:val="both"/>
        <w:rPr>
          <w:rFonts w:ascii="Arial" w:hAnsi="Arial" w:cs="Arial"/>
          <w:sz w:val="20"/>
          <w:szCs w:val="20"/>
          <w:lang w:val="es-AR"/>
        </w:rPr>
      </w:pPr>
      <w:r w:rsidRPr="00701F32">
        <w:rPr>
          <w:rFonts w:ascii="Arial" w:hAnsi="Arial" w:cs="Arial"/>
          <w:sz w:val="20"/>
          <w:szCs w:val="20"/>
          <w:lang w:val="es-AR"/>
        </w:rPr>
        <w:t xml:space="preserve">Las inversiones en </w:t>
      </w:r>
      <w:r>
        <w:rPr>
          <w:rFonts w:ascii="Arial" w:hAnsi="Arial" w:cs="Arial"/>
          <w:sz w:val="20"/>
          <w:szCs w:val="20"/>
          <w:lang w:val="es-AR"/>
        </w:rPr>
        <w:t>instrumentos de patrimonio medidos a valor razonable con cambios en otros resultados integrales</w:t>
      </w:r>
      <w:r w:rsidRPr="00701F32">
        <w:rPr>
          <w:rFonts w:ascii="Arial" w:hAnsi="Arial" w:cs="Arial"/>
          <w:sz w:val="20"/>
          <w:szCs w:val="20"/>
          <w:lang w:val="es-AR"/>
        </w:rPr>
        <w:t xml:space="preserve"> al 31 de diciembre de </w:t>
      </w:r>
      <w:r w:rsidR="00970522">
        <w:rPr>
          <w:rFonts w:ascii="Arial" w:hAnsi="Arial" w:cs="Arial"/>
          <w:sz w:val="20"/>
          <w:szCs w:val="20"/>
          <w:lang w:val="es-AR"/>
        </w:rPr>
        <w:t>2019 y 2018</w:t>
      </w:r>
      <w:r w:rsidRPr="00701F32">
        <w:rPr>
          <w:rFonts w:ascii="Arial" w:hAnsi="Arial" w:cs="Arial"/>
          <w:sz w:val="20"/>
          <w:szCs w:val="20"/>
          <w:lang w:val="es-AR"/>
        </w:rPr>
        <w:t xml:space="preserve"> son las siguientes: </w:t>
      </w:r>
    </w:p>
    <w:p w14:paraId="0C8F115D" w14:textId="77777777" w:rsidR="00F12A5A" w:rsidRPr="00701F32" w:rsidRDefault="00F12A5A" w:rsidP="00A059FB">
      <w:pPr>
        <w:pStyle w:val="Lista"/>
        <w:ind w:left="0" w:firstLine="0"/>
        <w:jc w:val="both"/>
        <w:rPr>
          <w:rFonts w:ascii="Arial" w:hAnsi="Arial" w:cs="Arial"/>
          <w:sz w:val="20"/>
          <w:szCs w:val="20"/>
          <w:lang w:val="es-AR"/>
        </w:rPr>
      </w:pPr>
    </w:p>
    <w:tbl>
      <w:tblPr>
        <w:tblW w:w="7510" w:type="dxa"/>
        <w:tblInd w:w="354" w:type="dxa"/>
        <w:tblLayout w:type="fixed"/>
        <w:tblCellMar>
          <w:left w:w="70" w:type="dxa"/>
          <w:right w:w="70" w:type="dxa"/>
        </w:tblCellMar>
        <w:tblLook w:val="04A0" w:firstRow="1" w:lastRow="0" w:firstColumn="1" w:lastColumn="0" w:noHBand="0" w:noVBand="1"/>
      </w:tblPr>
      <w:tblGrid>
        <w:gridCol w:w="4062"/>
        <w:gridCol w:w="1724"/>
        <w:gridCol w:w="1724"/>
      </w:tblGrid>
      <w:tr w:rsidR="002A4D61" w:rsidRPr="00701F32" w14:paraId="436BDA42" w14:textId="77777777" w:rsidTr="00A059FB">
        <w:trPr>
          <w:trHeight w:val="257"/>
          <w:tblHeader/>
        </w:trPr>
        <w:tc>
          <w:tcPr>
            <w:tcW w:w="40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A155B" w14:textId="77777777" w:rsidR="002A4D61" w:rsidRPr="00F12A5A" w:rsidRDefault="002A4D61" w:rsidP="002A4D61">
            <w:pPr>
              <w:jc w:val="both"/>
              <w:rPr>
                <w:rFonts w:ascii="Arial" w:hAnsi="Arial" w:cs="Arial"/>
                <w:b/>
                <w:color w:val="000000"/>
                <w:sz w:val="16"/>
                <w:szCs w:val="18"/>
              </w:rPr>
            </w:pPr>
          </w:p>
        </w:tc>
        <w:tc>
          <w:tcPr>
            <w:tcW w:w="1724" w:type="dxa"/>
            <w:tcBorders>
              <w:top w:val="single" w:sz="4" w:space="0" w:color="auto"/>
              <w:left w:val="nil"/>
              <w:bottom w:val="single" w:sz="4" w:space="0" w:color="auto"/>
              <w:right w:val="single" w:sz="4" w:space="0" w:color="auto"/>
            </w:tcBorders>
            <w:vAlign w:val="center"/>
          </w:tcPr>
          <w:p w14:paraId="0BA22385" w14:textId="4A67D7AE" w:rsidR="002A4D61" w:rsidRPr="00F12A5A" w:rsidRDefault="002A4D61" w:rsidP="002A4D61">
            <w:pPr>
              <w:jc w:val="center"/>
              <w:rPr>
                <w:rFonts w:ascii="Arial" w:hAnsi="Arial" w:cs="Arial"/>
                <w:b/>
                <w:color w:val="000000"/>
                <w:sz w:val="16"/>
                <w:szCs w:val="18"/>
              </w:rPr>
            </w:pPr>
            <w:r w:rsidRPr="00F12A5A">
              <w:rPr>
                <w:rFonts w:ascii="Arial" w:hAnsi="Arial" w:cs="Arial"/>
                <w:b/>
                <w:color w:val="000000"/>
                <w:sz w:val="16"/>
                <w:szCs w:val="18"/>
              </w:rPr>
              <w:t>31/12/201</w:t>
            </w:r>
            <w:r w:rsidR="00970522" w:rsidRPr="00F12A5A">
              <w:rPr>
                <w:rFonts w:ascii="Arial" w:hAnsi="Arial" w:cs="Arial"/>
                <w:b/>
                <w:color w:val="000000"/>
                <w:sz w:val="16"/>
                <w:szCs w:val="18"/>
              </w:rPr>
              <w:t>9</w:t>
            </w:r>
          </w:p>
        </w:tc>
        <w:tc>
          <w:tcPr>
            <w:tcW w:w="17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96886" w14:textId="2FAAF971" w:rsidR="002A4D61" w:rsidRPr="00F12A5A" w:rsidRDefault="002A4D61" w:rsidP="002A4D61">
            <w:pPr>
              <w:jc w:val="center"/>
              <w:rPr>
                <w:rFonts w:ascii="Arial" w:hAnsi="Arial" w:cs="Arial"/>
                <w:b/>
                <w:color w:val="000000"/>
                <w:sz w:val="16"/>
                <w:szCs w:val="18"/>
              </w:rPr>
            </w:pPr>
            <w:r w:rsidRPr="00F12A5A">
              <w:rPr>
                <w:rFonts w:ascii="Arial" w:hAnsi="Arial" w:cs="Arial"/>
                <w:b/>
                <w:color w:val="000000"/>
                <w:sz w:val="16"/>
                <w:szCs w:val="18"/>
              </w:rPr>
              <w:t>31/12/201</w:t>
            </w:r>
            <w:r w:rsidR="00970522" w:rsidRPr="00F12A5A">
              <w:rPr>
                <w:rFonts w:ascii="Arial" w:hAnsi="Arial" w:cs="Arial"/>
                <w:b/>
                <w:color w:val="000000"/>
                <w:sz w:val="16"/>
                <w:szCs w:val="18"/>
              </w:rPr>
              <w:t>8</w:t>
            </w:r>
          </w:p>
        </w:tc>
      </w:tr>
      <w:tr w:rsidR="00AA0257" w:rsidRPr="00701F32" w14:paraId="66851F4A" w14:textId="77777777" w:rsidTr="00F12A5A">
        <w:trPr>
          <w:trHeight w:val="257"/>
        </w:trPr>
        <w:tc>
          <w:tcPr>
            <w:tcW w:w="4062" w:type="dxa"/>
            <w:tcBorders>
              <w:top w:val="nil"/>
              <w:left w:val="single" w:sz="4" w:space="0" w:color="auto"/>
              <w:bottom w:val="single" w:sz="4" w:space="0" w:color="auto"/>
              <w:right w:val="single" w:sz="4" w:space="0" w:color="auto"/>
            </w:tcBorders>
            <w:shd w:val="clear" w:color="auto" w:fill="auto"/>
            <w:noWrap/>
            <w:vAlign w:val="center"/>
            <w:hideMark/>
          </w:tcPr>
          <w:p w14:paraId="1BA1004D" w14:textId="77777777" w:rsidR="00AA0257" w:rsidRPr="00F12A5A" w:rsidRDefault="00AA0257" w:rsidP="00AA0257">
            <w:pPr>
              <w:jc w:val="both"/>
              <w:rPr>
                <w:rFonts w:ascii="Arial" w:hAnsi="Arial" w:cs="Arial"/>
                <w:color w:val="000000"/>
                <w:sz w:val="16"/>
                <w:szCs w:val="18"/>
              </w:rPr>
            </w:pPr>
            <w:r w:rsidRPr="00F12A5A">
              <w:rPr>
                <w:rFonts w:ascii="Arial" w:hAnsi="Arial" w:cs="Arial"/>
                <w:color w:val="000000"/>
                <w:sz w:val="16"/>
                <w:szCs w:val="18"/>
              </w:rPr>
              <w:t>Mercado Abierto Electrónico S.A.</w:t>
            </w:r>
          </w:p>
        </w:tc>
        <w:tc>
          <w:tcPr>
            <w:tcW w:w="1724" w:type="dxa"/>
            <w:tcBorders>
              <w:top w:val="single" w:sz="4" w:space="0" w:color="auto"/>
              <w:left w:val="nil"/>
              <w:bottom w:val="single" w:sz="4" w:space="0" w:color="auto"/>
              <w:right w:val="single" w:sz="4" w:space="0" w:color="auto"/>
            </w:tcBorders>
            <w:vAlign w:val="bottom"/>
          </w:tcPr>
          <w:p w14:paraId="0A955A26" w14:textId="355CD896" w:rsidR="00AA0257" w:rsidRPr="00F12A5A" w:rsidRDefault="00AA0257" w:rsidP="00AA0257">
            <w:pPr>
              <w:jc w:val="right"/>
              <w:rPr>
                <w:rFonts w:ascii="Arial" w:hAnsi="Arial" w:cs="Arial"/>
                <w:color w:val="000000"/>
                <w:sz w:val="16"/>
                <w:szCs w:val="16"/>
              </w:rPr>
            </w:pPr>
            <w:r w:rsidRPr="00F12A5A">
              <w:rPr>
                <w:rFonts w:ascii="Arial" w:hAnsi="Arial" w:cs="Arial"/>
                <w:color w:val="000000"/>
                <w:sz w:val="16"/>
                <w:szCs w:val="16"/>
              </w:rPr>
              <w:t>4.610</w:t>
            </w:r>
          </w:p>
        </w:tc>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1EB024EB" w14:textId="121EE9C8" w:rsidR="00AA0257" w:rsidRPr="00F12A5A" w:rsidRDefault="00AA0257" w:rsidP="00AA0257">
            <w:pPr>
              <w:jc w:val="right"/>
              <w:rPr>
                <w:rFonts w:ascii="Arial" w:hAnsi="Arial" w:cs="Arial"/>
                <w:color w:val="000000"/>
                <w:sz w:val="16"/>
                <w:szCs w:val="18"/>
              </w:rPr>
            </w:pPr>
            <w:r w:rsidRPr="00F12A5A">
              <w:rPr>
                <w:rFonts w:ascii="Arial" w:hAnsi="Arial" w:cs="Arial"/>
                <w:color w:val="000000"/>
                <w:sz w:val="16"/>
                <w:szCs w:val="16"/>
              </w:rPr>
              <w:t>4.610</w:t>
            </w:r>
          </w:p>
        </w:tc>
      </w:tr>
      <w:tr w:rsidR="00AA0257" w:rsidRPr="00701F32" w14:paraId="2B1DF3A2" w14:textId="77777777" w:rsidTr="00F12A5A">
        <w:trPr>
          <w:trHeight w:val="257"/>
        </w:trPr>
        <w:tc>
          <w:tcPr>
            <w:tcW w:w="4062" w:type="dxa"/>
            <w:tcBorders>
              <w:top w:val="nil"/>
              <w:left w:val="single" w:sz="4" w:space="0" w:color="auto"/>
              <w:bottom w:val="single" w:sz="4" w:space="0" w:color="auto"/>
              <w:right w:val="single" w:sz="4" w:space="0" w:color="auto"/>
            </w:tcBorders>
            <w:shd w:val="clear" w:color="auto" w:fill="auto"/>
            <w:noWrap/>
            <w:vAlign w:val="center"/>
            <w:hideMark/>
          </w:tcPr>
          <w:p w14:paraId="1C0E4482" w14:textId="77777777" w:rsidR="00AA0257" w:rsidRPr="00F12A5A" w:rsidRDefault="00AA0257" w:rsidP="00AA0257">
            <w:pPr>
              <w:jc w:val="both"/>
              <w:rPr>
                <w:rFonts w:ascii="Arial" w:hAnsi="Arial" w:cs="Arial"/>
                <w:color w:val="000000"/>
                <w:sz w:val="16"/>
                <w:szCs w:val="18"/>
              </w:rPr>
            </w:pPr>
            <w:r w:rsidRPr="00F12A5A">
              <w:rPr>
                <w:rFonts w:ascii="Arial" w:hAnsi="Arial" w:cs="Arial"/>
                <w:color w:val="000000"/>
                <w:sz w:val="16"/>
                <w:szCs w:val="18"/>
              </w:rPr>
              <w:t>Seguro de Depósitos S.A</w:t>
            </w:r>
          </w:p>
        </w:tc>
        <w:tc>
          <w:tcPr>
            <w:tcW w:w="1724" w:type="dxa"/>
            <w:tcBorders>
              <w:top w:val="single" w:sz="4" w:space="0" w:color="auto"/>
              <w:left w:val="nil"/>
              <w:bottom w:val="single" w:sz="4" w:space="0" w:color="auto"/>
              <w:right w:val="single" w:sz="4" w:space="0" w:color="auto"/>
            </w:tcBorders>
            <w:vAlign w:val="bottom"/>
          </w:tcPr>
          <w:p w14:paraId="6A66F4E8" w14:textId="45EDBFAB" w:rsidR="00AA0257" w:rsidRPr="00F12A5A" w:rsidRDefault="00AA0257" w:rsidP="00AA0257">
            <w:pPr>
              <w:jc w:val="right"/>
              <w:rPr>
                <w:rFonts w:ascii="Arial" w:hAnsi="Arial" w:cs="Arial"/>
                <w:color w:val="000000"/>
                <w:sz w:val="16"/>
                <w:szCs w:val="16"/>
              </w:rPr>
            </w:pPr>
            <w:r w:rsidRPr="00F12A5A">
              <w:rPr>
                <w:rFonts w:ascii="Arial" w:hAnsi="Arial" w:cs="Arial"/>
                <w:color w:val="000000"/>
                <w:sz w:val="16"/>
                <w:szCs w:val="16"/>
              </w:rPr>
              <w:t>1.614</w:t>
            </w:r>
          </w:p>
        </w:tc>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0ACE65A4" w14:textId="337E0A5A" w:rsidR="00AA0257" w:rsidRPr="00F12A5A" w:rsidRDefault="00AA0257" w:rsidP="00AA0257">
            <w:pPr>
              <w:jc w:val="right"/>
              <w:rPr>
                <w:rFonts w:ascii="Arial" w:hAnsi="Arial" w:cs="Arial"/>
                <w:color w:val="000000"/>
                <w:sz w:val="16"/>
                <w:szCs w:val="18"/>
              </w:rPr>
            </w:pPr>
            <w:r w:rsidRPr="00F12A5A">
              <w:rPr>
                <w:rFonts w:ascii="Arial" w:hAnsi="Arial" w:cs="Arial"/>
                <w:sz w:val="16"/>
                <w:szCs w:val="16"/>
              </w:rPr>
              <w:t>1.614</w:t>
            </w:r>
          </w:p>
        </w:tc>
      </w:tr>
      <w:tr w:rsidR="00AA0257" w:rsidRPr="00701F32" w14:paraId="3447D15C" w14:textId="77777777" w:rsidTr="00F12A5A">
        <w:trPr>
          <w:trHeight w:val="257"/>
        </w:trPr>
        <w:tc>
          <w:tcPr>
            <w:tcW w:w="4062" w:type="dxa"/>
            <w:tcBorders>
              <w:top w:val="nil"/>
              <w:left w:val="single" w:sz="4" w:space="0" w:color="auto"/>
              <w:bottom w:val="single" w:sz="4" w:space="0" w:color="auto"/>
              <w:right w:val="single" w:sz="4" w:space="0" w:color="auto"/>
            </w:tcBorders>
            <w:shd w:val="clear" w:color="auto" w:fill="auto"/>
            <w:noWrap/>
            <w:vAlign w:val="center"/>
            <w:hideMark/>
          </w:tcPr>
          <w:p w14:paraId="37186A64" w14:textId="77777777" w:rsidR="00AA0257" w:rsidRPr="00F12A5A" w:rsidRDefault="00AA0257" w:rsidP="00AA0257">
            <w:pPr>
              <w:jc w:val="both"/>
              <w:rPr>
                <w:rFonts w:ascii="Arial" w:hAnsi="Arial" w:cs="Arial"/>
                <w:color w:val="000000"/>
                <w:sz w:val="16"/>
                <w:szCs w:val="18"/>
              </w:rPr>
            </w:pPr>
            <w:r w:rsidRPr="00F12A5A">
              <w:rPr>
                <w:rFonts w:ascii="Arial" w:hAnsi="Arial" w:cs="Arial"/>
                <w:color w:val="000000"/>
                <w:sz w:val="16"/>
                <w:szCs w:val="18"/>
              </w:rPr>
              <w:t>Compensador Electrónica S.A.</w:t>
            </w:r>
          </w:p>
        </w:tc>
        <w:tc>
          <w:tcPr>
            <w:tcW w:w="1724" w:type="dxa"/>
            <w:tcBorders>
              <w:top w:val="single" w:sz="4" w:space="0" w:color="auto"/>
              <w:left w:val="nil"/>
              <w:bottom w:val="single" w:sz="4" w:space="0" w:color="auto"/>
              <w:right w:val="single" w:sz="4" w:space="0" w:color="auto"/>
            </w:tcBorders>
            <w:vAlign w:val="bottom"/>
          </w:tcPr>
          <w:p w14:paraId="3EB63E51" w14:textId="4CDEE068" w:rsidR="00AA0257" w:rsidRPr="00F12A5A" w:rsidRDefault="00AA0257" w:rsidP="00AA0257">
            <w:pPr>
              <w:jc w:val="right"/>
              <w:rPr>
                <w:rFonts w:ascii="Arial" w:hAnsi="Arial" w:cs="Arial"/>
                <w:color w:val="000000"/>
                <w:sz w:val="16"/>
                <w:szCs w:val="16"/>
              </w:rPr>
            </w:pPr>
            <w:r w:rsidRPr="00F12A5A">
              <w:rPr>
                <w:rFonts w:ascii="Arial" w:hAnsi="Arial" w:cs="Arial"/>
                <w:color w:val="000000"/>
                <w:sz w:val="16"/>
                <w:szCs w:val="16"/>
              </w:rPr>
              <w:t>919</w:t>
            </w:r>
          </w:p>
        </w:tc>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708187E8" w14:textId="4AB51523" w:rsidR="00AA0257" w:rsidRPr="00F12A5A" w:rsidRDefault="00AA0257" w:rsidP="00AA0257">
            <w:pPr>
              <w:jc w:val="right"/>
              <w:rPr>
                <w:rFonts w:ascii="Arial" w:hAnsi="Arial" w:cs="Arial"/>
                <w:color w:val="000000"/>
                <w:sz w:val="16"/>
                <w:szCs w:val="18"/>
              </w:rPr>
            </w:pPr>
            <w:r w:rsidRPr="00F12A5A">
              <w:rPr>
                <w:rFonts w:ascii="Arial" w:hAnsi="Arial" w:cs="Arial"/>
                <w:sz w:val="16"/>
                <w:szCs w:val="16"/>
              </w:rPr>
              <w:t>919</w:t>
            </w:r>
          </w:p>
        </w:tc>
      </w:tr>
      <w:tr w:rsidR="00AA0257" w:rsidRPr="00701F32" w14:paraId="26A49F29" w14:textId="77777777" w:rsidTr="00F12A5A">
        <w:trPr>
          <w:trHeight w:val="257"/>
        </w:trPr>
        <w:tc>
          <w:tcPr>
            <w:tcW w:w="4062" w:type="dxa"/>
            <w:tcBorders>
              <w:top w:val="nil"/>
              <w:left w:val="single" w:sz="4" w:space="0" w:color="auto"/>
              <w:bottom w:val="single" w:sz="4" w:space="0" w:color="auto"/>
              <w:right w:val="single" w:sz="4" w:space="0" w:color="auto"/>
            </w:tcBorders>
            <w:shd w:val="clear" w:color="auto" w:fill="auto"/>
            <w:noWrap/>
            <w:vAlign w:val="center"/>
            <w:hideMark/>
          </w:tcPr>
          <w:p w14:paraId="4237767C" w14:textId="77777777" w:rsidR="00AA0257" w:rsidRPr="00F12A5A" w:rsidRDefault="00AA0257" w:rsidP="00AA0257">
            <w:pPr>
              <w:jc w:val="both"/>
              <w:rPr>
                <w:rFonts w:ascii="Arial" w:hAnsi="Arial" w:cs="Arial"/>
                <w:color w:val="000000"/>
                <w:sz w:val="16"/>
                <w:szCs w:val="18"/>
              </w:rPr>
            </w:pPr>
            <w:r w:rsidRPr="00F12A5A">
              <w:rPr>
                <w:rFonts w:ascii="Arial" w:hAnsi="Arial" w:cs="Arial"/>
                <w:color w:val="000000"/>
                <w:sz w:val="16"/>
                <w:szCs w:val="18"/>
              </w:rPr>
              <w:t>Provincanje S.A.</w:t>
            </w:r>
          </w:p>
        </w:tc>
        <w:tc>
          <w:tcPr>
            <w:tcW w:w="1724" w:type="dxa"/>
            <w:tcBorders>
              <w:top w:val="single" w:sz="4" w:space="0" w:color="auto"/>
              <w:left w:val="nil"/>
              <w:bottom w:val="single" w:sz="4" w:space="0" w:color="auto"/>
              <w:right w:val="single" w:sz="4" w:space="0" w:color="auto"/>
            </w:tcBorders>
            <w:vAlign w:val="bottom"/>
          </w:tcPr>
          <w:p w14:paraId="64C9587F" w14:textId="1D53D518" w:rsidR="00AA0257" w:rsidRPr="00F12A5A" w:rsidRDefault="00AA0257" w:rsidP="00AA0257">
            <w:pPr>
              <w:jc w:val="right"/>
              <w:rPr>
                <w:rFonts w:ascii="Arial" w:hAnsi="Arial" w:cs="Arial"/>
                <w:color w:val="000000"/>
                <w:sz w:val="16"/>
                <w:szCs w:val="16"/>
              </w:rPr>
            </w:pPr>
            <w:r w:rsidRPr="00F12A5A">
              <w:rPr>
                <w:rFonts w:ascii="Arial" w:hAnsi="Arial" w:cs="Arial"/>
                <w:color w:val="000000"/>
                <w:sz w:val="16"/>
                <w:szCs w:val="16"/>
              </w:rPr>
              <w:t>272</w:t>
            </w:r>
          </w:p>
        </w:tc>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1B54FE18" w14:textId="409CE943" w:rsidR="00AA0257" w:rsidRPr="00F12A5A" w:rsidRDefault="00AA0257" w:rsidP="00AA0257">
            <w:pPr>
              <w:jc w:val="right"/>
              <w:rPr>
                <w:rFonts w:ascii="Arial" w:hAnsi="Arial" w:cs="Arial"/>
                <w:color w:val="000000"/>
                <w:sz w:val="16"/>
                <w:szCs w:val="18"/>
              </w:rPr>
            </w:pPr>
            <w:r w:rsidRPr="00F12A5A">
              <w:rPr>
                <w:rFonts w:ascii="Arial" w:hAnsi="Arial" w:cs="Arial"/>
                <w:sz w:val="16"/>
                <w:szCs w:val="16"/>
              </w:rPr>
              <w:t>272</w:t>
            </w:r>
          </w:p>
        </w:tc>
      </w:tr>
      <w:tr w:rsidR="00AA0257" w:rsidRPr="00701F32" w14:paraId="6D73525A" w14:textId="77777777" w:rsidTr="00F12A5A">
        <w:trPr>
          <w:trHeight w:val="257"/>
        </w:trPr>
        <w:tc>
          <w:tcPr>
            <w:tcW w:w="4062" w:type="dxa"/>
            <w:tcBorders>
              <w:top w:val="nil"/>
              <w:left w:val="single" w:sz="4" w:space="0" w:color="auto"/>
              <w:bottom w:val="single" w:sz="4" w:space="0" w:color="auto"/>
              <w:right w:val="single" w:sz="4" w:space="0" w:color="auto"/>
            </w:tcBorders>
            <w:shd w:val="clear" w:color="auto" w:fill="auto"/>
            <w:noWrap/>
            <w:vAlign w:val="center"/>
            <w:hideMark/>
          </w:tcPr>
          <w:p w14:paraId="147AA377" w14:textId="77777777" w:rsidR="00AA0257" w:rsidRPr="00F12A5A" w:rsidRDefault="00AA0257" w:rsidP="00AA0257">
            <w:pPr>
              <w:jc w:val="both"/>
              <w:rPr>
                <w:rFonts w:ascii="Arial" w:hAnsi="Arial" w:cs="Arial"/>
                <w:color w:val="000000"/>
                <w:sz w:val="16"/>
                <w:szCs w:val="18"/>
              </w:rPr>
            </w:pPr>
            <w:r w:rsidRPr="00F12A5A">
              <w:rPr>
                <w:rFonts w:ascii="Arial" w:hAnsi="Arial" w:cs="Arial"/>
                <w:color w:val="000000"/>
                <w:sz w:val="16"/>
                <w:szCs w:val="18"/>
              </w:rPr>
              <w:t>Cuyo Aval Sociedad de Garantía Recíproca</w:t>
            </w:r>
          </w:p>
        </w:tc>
        <w:tc>
          <w:tcPr>
            <w:tcW w:w="1724" w:type="dxa"/>
            <w:tcBorders>
              <w:top w:val="single" w:sz="4" w:space="0" w:color="auto"/>
              <w:left w:val="nil"/>
              <w:bottom w:val="single" w:sz="4" w:space="0" w:color="auto"/>
              <w:right w:val="single" w:sz="4" w:space="0" w:color="auto"/>
            </w:tcBorders>
            <w:vAlign w:val="bottom"/>
          </w:tcPr>
          <w:p w14:paraId="3FDDCF37" w14:textId="3422AEFE" w:rsidR="00AA0257" w:rsidRPr="00F12A5A" w:rsidRDefault="00AA0257" w:rsidP="00AA0257">
            <w:pPr>
              <w:jc w:val="right"/>
              <w:rPr>
                <w:rFonts w:ascii="Arial" w:hAnsi="Arial" w:cs="Arial"/>
                <w:color w:val="000000"/>
                <w:sz w:val="16"/>
                <w:szCs w:val="16"/>
              </w:rPr>
            </w:pPr>
            <w:r w:rsidRPr="00F12A5A">
              <w:rPr>
                <w:rFonts w:ascii="Arial" w:hAnsi="Arial" w:cs="Arial"/>
                <w:color w:val="000000"/>
                <w:sz w:val="16"/>
                <w:szCs w:val="16"/>
              </w:rPr>
              <w:t>1.049</w:t>
            </w:r>
          </w:p>
        </w:tc>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3B6359A8" w14:textId="799785A8" w:rsidR="00AA0257" w:rsidRPr="00F12A5A" w:rsidRDefault="00AA0257" w:rsidP="00AA0257">
            <w:pPr>
              <w:jc w:val="right"/>
              <w:rPr>
                <w:rFonts w:ascii="Arial" w:hAnsi="Arial" w:cs="Arial"/>
                <w:color w:val="000000"/>
                <w:sz w:val="16"/>
                <w:szCs w:val="18"/>
              </w:rPr>
            </w:pPr>
            <w:r w:rsidRPr="00F12A5A">
              <w:rPr>
                <w:rFonts w:ascii="Arial" w:hAnsi="Arial" w:cs="Arial"/>
                <w:color w:val="000000"/>
                <w:sz w:val="16"/>
                <w:szCs w:val="16"/>
              </w:rPr>
              <w:t>899</w:t>
            </w:r>
          </w:p>
        </w:tc>
      </w:tr>
      <w:tr w:rsidR="00AA0257" w:rsidRPr="00701F32" w14:paraId="5D577AA7" w14:textId="77777777" w:rsidTr="00F12A5A">
        <w:trPr>
          <w:trHeight w:val="257"/>
        </w:trPr>
        <w:tc>
          <w:tcPr>
            <w:tcW w:w="4062" w:type="dxa"/>
            <w:tcBorders>
              <w:top w:val="nil"/>
              <w:left w:val="single" w:sz="4" w:space="0" w:color="auto"/>
              <w:bottom w:val="single" w:sz="4" w:space="0" w:color="auto"/>
              <w:right w:val="single" w:sz="4" w:space="0" w:color="auto"/>
            </w:tcBorders>
            <w:shd w:val="clear" w:color="auto" w:fill="auto"/>
            <w:noWrap/>
            <w:vAlign w:val="center"/>
            <w:hideMark/>
          </w:tcPr>
          <w:p w14:paraId="7C2B3C1B" w14:textId="77777777" w:rsidR="00AA0257" w:rsidRPr="00F12A5A" w:rsidRDefault="00AA0257" w:rsidP="00AA0257">
            <w:pPr>
              <w:jc w:val="both"/>
              <w:rPr>
                <w:rFonts w:ascii="Arial" w:hAnsi="Arial" w:cs="Arial"/>
                <w:color w:val="000000"/>
                <w:sz w:val="16"/>
                <w:szCs w:val="18"/>
              </w:rPr>
            </w:pPr>
            <w:r w:rsidRPr="00F12A5A">
              <w:rPr>
                <w:rFonts w:ascii="Arial" w:hAnsi="Arial" w:cs="Arial"/>
                <w:color w:val="000000"/>
                <w:sz w:val="16"/>
                <w:szCs w:val="18"/>
              </w:rPr>
              <w:t>Argencontrol S.A.</w:t>
            </w:r>
          </w:p>
        </w:tc>
        <w:tc>
          <w:tcPr>
            <w:tcW w:w="1724" w:type="dxa"/>
            <w:tcBorders>
              <w:top w:val="single" w:sz="4" w:space="0" w:color="auto"/>
              <w:left w:val="nil"/>
              <w:bottom w:val="single" w:sz="4" w:space="0" w:color="auto"/>
              <w:right w:val="single" w:sz="4" w:space="0" w:color="auto"/>
            </w:tcBorders>
            <w:vAlign w:val="bottom"/>
          </w:tcPr>
          <w:p w14:paraId="21ADC9ED" w14:textId="31A025BC" w:rsidR="00AA0257" w:rsidRPr="00F12A5A" w:rsidRDefault="00AA0257" w:rsidP="00AA0257">
            <w:pPr>
              <w:jc w:val="right"/>
              <w:rPr>
                <w:rFonts w:ascii="Arial" w:hAnsi="Arial" w:cs="Arial"/>
                <w:color w:val="000000"/>
                <w:sz w:val="16"/>
                <w:szCs w:val="16"/>
              </w:rPr>
            </w:pPr>
            <w:r w:rsidRPr="00F12A5A">
              <w:rPr>
                <w:rFonts w:ascii="Arial" w:hAnsi="Arial" w:cs="Arial"/>
                <w:color w:val="000000"/>
                <w:sz w:val="16"/>
                <w:szCs w:val="16"/>
              </w:rPr>
              <w:t>125</w:t>
            </w:r>
          </w:p>
        </w:tc>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23285527" w14:textId="311B68F2" w:rsidR="00AA0257" w:rsidRPr="00F12A5A" w:rsidRDefault="00AA0257" w:rsidP="00AA0257">
            <w:pPr>
              <w:jc w:val="right"/>
              <w:rPr>
                <w:rFonts w:ascii="Arial" w:hAnsi="Arial" w:cs="Arial"/>
                <w:color w:val="000000"/>
                <w:sz w:val="16"/>
                <w:szCs w:val="18"/>
              </w:rPr>
            </w:pPr>
            <w:r w:rsidRPr="00F12A5A">
              <w:rPr>
                <w:rFonts w:ascii="Arial" w:hAnsi="Arial" w:cs="Arial"/>
                <w:color w:val="000000"/>
                <w:sz w:val="16"/>
                <w:szCs w:val="16"/>
              </w:rPr>
              <w:t>125</w:t>
            </w:r>
          </w:p>
        </w:tc>
      </w:tr>
      <w:tr w:rsidR="00AA0257" w:rsidRPr="00701F32" w14:paraId="3807C410" w14:textId="77777777" w:rsidTr="00F12A5A">
        <w:trPr>
          <w:trHeight w:val="257"/>
        </w:trPr>
        <w:tc>
          <w:tcPr>
            <w:tcW w:w="4062" w:type="dxa"/>
            <w:tcBorders>
              <w:top w:val="nil"/>
              <w:left w:val="single" w:sz="4" w:space="0" w:color="auto"/>
              <w:bottom w:val="single" w:sz="4" w:space="0" w:color="auto"/>
              <w:right w:val="single" w:sz="4" w:space="0" w:color="auto"/>
            </w:tcBorders>
            <w:shd w:val="clear" w:color="auto" w:fill="auto"/>
            <w:noWrap/>
            <w:vAlign w:val="center"/>
            <w:hideMark/>
          </w:tcPr>
          <w:p w14:paraId="00094F6F" w14:textId="77777777" w:rsidR="00AA0257" w:rsidRPr="00F12A5A" w:rsidRDefault="00AA0257" w:rsidP="00AA0257">
            <w:pPr>
              <w:jc w:val="both"/>
              <w:rPr>
                <w:rFonts w:ascii="Arial" w:hAnsi="Arial" w:cs="Arial"/>
                <w:color w:val="000000"/>
                <w:sz w:val="16"/>
                <w:szCs w:val="18"/>
              </w:rPr>
            </w:pPr>
            <w:r w:rsidRPr="00F12A5A">
              <w:rPr>
                <w:rFonts w:ascii="Arial" w:hAnsi="Arial" w:cs="Arial"/>
                <w:color w:val="000000"/>
                <w:sz w:val="16"/>
                <w:szCs w:val="18"/>
              </w:rPr>
              <w:t>Los Grobo Sociedad de Garantía Recíproca</w:t>
            </w:r>
          </w:p>
        </w:tc>
        <w:tc>
          <w:tcPr>
            <w:tcW w:w="1724" w:type="dxa"/>
            <w:tcBorders>
              <w:top w:val="single" w:sz="4" w:space="0" w:color="auto"/>
              <w:left w:val="nil"/>
              <w:bottom w:val="single" w:sz="4" w:space="0" w:color="auto"/>
              <w:right w:val="single" w:sz="4" w:space="0" w:color="auto"/>
            </w:tcBorders>
            <w:vAlign w:val="bottom"/>
          </w:tcPr>
          <w:p w14:paraId="003904FC" w14:textId="67D46081" w:rsidR="00AA0257" w:rsidRPr="00F12A5A" w:rsidRDefault="00AA0257" w:rsidP="00AA0257">
            <w:pPr>
              <w:jc w:val="right"/>
              <w:rPr>
                <w:rFonts w:ascii="Arial" w:hAnsi="Arial" w:cs="Arial"/>
                <w:color w:val="000000"/>
                <w:sz w:val="16"/>
                <w:szCs w:val="16"/>
              </w:rPr>
            </w:pPr>
            <w:r w:rsidRPr="00F12A5A">
              <w:rPr>
                <w:rFonts w:ascii="Arial" w:hAnsi="Arial" w:cs="Arial"/>
                <w:color w:val="000000"/>
                <w:sz w:val="16"/>
                <w:szCs w:val="16"/>
              </w:rPr>
              <w:t>70</w:t>
            </w:r>
          </w:p>
        </w:tc>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2680D8BE" w14:textId="247CFE40" w:rsidR="00AA0257" w:rsidRPr="00F12A5A" w:rsidRDefault="00AA0257" w:rsidP="00AA0257">
            <w:pPr>
              <w:jc w:val="right"/>
              <w:rPr>
                <w:rFonts w:ascii="Arial" w:hAnsi="Arial" w:cs="Arial"/>
                <w:color w:val="000000"/>
                <w:sz w:val="16"/>
                <w:szCs w:val="18"/>
              </w:rPr>
            </w:pPr>
            <w:r w:rsidRPr="00F12A5A">
              <w:rPr>
                <w:rFonts w:ascii="Arial" w:hAnsi="Arial" w:cs="Arial"/>
                <w:color w:val="000000"/>
                <w:sz w:val="16"/>
                <w:szCs w:val="16"/>
              </w:rPr>
              <w:t>209</w:t>
            </w:r>
          </w:p>
        </w:tc>
      </w:tr>
      <w:tr w:rsidR="00AA0257" w:rsidRPr="00701F32" w14:paraId="4BC483A2" w14:textId="77777777" w:rsidTr="00F12A5A">
        <w:trPr>
          <w:trHeight w:val="257"/>
        </w:trPr>
        <w:tc>
          <w:tcPr>
            <w:tcW w:w="4062" w:type="dxa"/>
            <w:tcBorders>
              <w:top w:val="nil"/>
              <w:left w:val="single" w:sz="4" w:space="0" w:color="auto"/>
              <w:bottom w:val="single" w:sz="4" w:space="0" w:color="auto"/>
              <w:right w:val="single" w:sz="4" w:space="0" w:color="auto"/>
            </w:tcBorders>
            <w:shd w:val="clear" w:color="auto" w:fill="auto"/>
            <w:noWrap/>
            <w:vAlign w:val="center"/>
            <w:hideMark/>
          </w:tcPr>
          <w:p w14:paraId="1CF972D4" w14:textId="77777777" w:rsidR="00AA0257" w:rsidRPr="00F12A5A" w:rsidRDefault="00AA0257" w:rsidP="00AA0257">
            <w:pPr>
              <w:jc w:val="both"/>
              <w:rPr>
                <w:rFonts w:ascii="Arial" w:hAnsi="Arial" w:cs="Arial"/>
                <w:color w:val="000000"/>
                <w:sz w:val="16"/>
                <w:szCs w:val="18"/>
              </w:rPr>
            </w:pPr>
            <w:r w:rsidRPr="00F12A5A">
              <w:rPr>
                <w:rFonts w:ascii="Arial" w:hAnsi="Arial" w:cs="Arial"/>
                <w:color w:val="000000"/>
                <w:sz w:val="16"/>
                <w:szCs w:val="18"/>
              </w:rPr>
              <w:t>IEBA S.A.</w:t>
            </w:r>
          </w:p>
        </w:tc>
        <w:tc>
          <w:tcPr>
            <w:tcW w:w="1724" w:type="dxa"/>
            <w:tcBorders>
              <w:top w:val="single" w:sz="4" w:space="0" w:color="auto"/>
              <w:left w:val="nil"/>
              <w:bottom w:val="single" w:sz="4" w:space="0" w:color="auto"/>
              <w:right w:val="single" w:sz="4" w:space="0" w:color="auto"/>
            </w:tcBorders>
            <w:vAlign w:val="bottom"/>
          </w:tcPr>
          <w:p w14:paraId="28B700C4" w14:textId="11A18D91" w:rsidR="00AA0257" w:rsidRPr="00F12A5A" w:rsidRDefault="00AA0257" w:rsidP="00AA0257">
            <w:pPr>
              <w:jc w:val="right"/>
              <w:rPr>
                <w:rFonts w:ascii="Arial" w:hAnsi="Arial" w:cs="Arial"/>
                <w:color w:val="000000"/>
                <w:sz w:val="16"/>
                <w:szCs w:val="16"/>
              </w:rPr>
            </w:pPr>
            <w:r w:rsidRPr="00F12A5A">
              <w:rPr>
                <w:rFonts w:ascii="Arial" w:hAnsi="Arial" w:cs="Arial"/>
                <w:color w:val="000000"/>
                <w:sz w:val="16"/>
                <w:szCs w:val="16"/>
              </w:rPr>
              <w:t>6</w:t>
            </w:r>
            <w:r w:rsidR="00F07B96">
              <w:rPr>
                <w:rFonts w:ascii="Arial" w:hAnsi="Arial" w:cs="Arial"/>
                <w:color w:val="000000"/>
                <w:sz w:val="16"/>
                <w:szCs w:val="16"/>
              </w:rPr>
              <w:t>0</w:t>
            </w:r>
          </w:p>
        </w:tc>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0FA51933" w14:textId="7DC09F6E" w:rsidR="00AA0257" w:rsidRPr="00F12A5A" w:rsidRDefault="00AA0257" w:rsidP="00AA0257">
            <w:pPr>
              <w:jc w:val="right"/>
              <w:rPr>
                <w:rFonts w:ascii="Arial" w:hAnsi="Arial" w:cs="Arial"/>
                <w:color w:val="000000"/>
                <w:sz w:val="16"/>
                <w:szCs w:val="18"/>
              </w:rPr>
            </w:pPr>
            <w:r w:rsidRPr="00F12A5A">
              <w:rPr>
                <w:rFonts w:ascii="Arial" w:hAnsi="Arial" w:cs="Arial"/>
                <w:color w:val="000000"/>
                <w:sz w:val="16"/>
                <w:szCs w:val="16"/>
              </w:rPr>
              <w:t>6</w:t>
            </w:r>
            <w:r w:rsidR="00F07B96">
              <w:rPr>
                <w:rFonts w:ascii="Arial" w:hAnsi="Arial" w:cs="Arial"/>
                <w:color w:val="000000"/>
                <w:sz w:val="16"/>
                <w:szCs w:val="16"/>
              </w:rPr>
              <w:t>0</w:t>
            </w:r>
          </w:p>
        </w:tc>
      </w:tr>
      <w:tr w:rsidR="00AA0257" w:rsidRPr="00701F32" w14:paraId="0DEAC4F4" w14:textId="77777777" w:rsidTr="00F12A5A">
        <w:trPr>
          <w:trHeight w:val="257"/>
        </w:trPr>
        <w:tc>
          <w:tcPr>
            <w:tcW w:w="4062" w:type="dxa"/>
            <w:tcBorders>
              <w:top w:val="nil"/>
              <w:left w:val="single" w:sz="4" w:space="0" w:color="auto"/>
              <w:bottom w:val="single" w:sz="4" w:space="0" w:color="auto"/>
              <w:right w:val="single" w:sz="4" w:space="0" w:color="auto"/>
            </w:tcBorders>
            <w:shd w:val="clear" w:color="auto" w:fill="auto"/>
            <w:noWrap/>
            <w:vAlign w:val="center"/>
            <w:hideMark/>
          </w:tcPr>
          <w:p w14:paraId="4CFAA9FA" w14:textId="77777777" w:rsidR="00AA0257" w:rsidRPr="00F12A5A" w:rsidRDefault="00AA0257" w:rsidP="00AA0257">
            <w:pPr>
              <w:jc w:val="both"/>
              <w:rPr>
                <w:rFonts w:ascii="Arial" w:hAnsi="Arial" w:cs="Arial"/>
                <w:color w:val="000000"/>
                <w:sz w:val="16"/>
                <w:szCs w:val="18"/>
              </w:rPr>
            </w:pPr>
            <w:r w:rsidRPr="00F12A5A">
              <w:rPr>
                <w:rFonts w:ascii="Arial" w:hAnsi="Arial" w:cs="Arial"/>
                <w:color w:val="000000"/>
                <w:sz w:val="16"/>
                <w:szCs w:val="18"/>
              </w:rPr>
              <w:t>Otras Sociedades de Garantía Recíproca</w:t>
            </w:r>
          </w:p>
        </w:tc>
        <w:tc>
          <w:tcPr>
            <w:tcW w:w="1724" w:type="dxa"/>
            <w:tcBorders>
              <w:top w:val="single" w:sz="4" w:space="0" w:color="auto"/>
              <w:left w:val="nil"/>
              <w:bottom w:val="single" w:sz="4" w:space="0" w:color="auto"/>
              <w:right w:val="single" w:sz="4" w:space="0" w:color="auto"/>
            </w:tcBorders>
            <w:vAlign w:val="bottom"/>
          </w:tcPr>
          <w:p w14:paraId="4757CAA4" w14:textId="61B14229" w:rsidR="00AA0257" w:rsidRPr="00F12A5A" w:rsidRDefault="00AA0257" w:rsidP="00AA0257">
            <w:pPr>
              <w:jc w:val="right"/>
              <w:rPr>
                <w:rFonts w:ascii="Arial" w:hAnsi="Arial" w:cs="Arial"/>
                <w:color w:val="000000"/>
                <w:sz w:val="16"/>
                <w:szCs w:val="16"/>
              </w:rPr>
            </w:pPr>
            <w:r w:rsidRPr="00F12A5A">
              <w:rPr>
                <w:rFonts w:ascii="Arial" w:hAnsi="Arial" w:cs="Arial"/>
                <w:color w:val="000000"/>
                <w:sz w:val="16"/>
                <w:szCs w:val="16"/>
              </w:rPr>
              <w:t>6</w:t>
            </w:r>
            <w:r w:rsidR="00EB601A">
              <w:rPr>
                <w:rFonts w:ascii="Arial" w:hAnsi="Arial" w:cs="Arial"/>
                <w:color w:val="000000"/>
                <w:sz w:val="16"/>
                <w:szCs w:val="16"/>
              </w:rPr>
              <w:t>4</w:t>
            </w:r>
          </w:p>
        </w:tc>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0E05C1DC" w14:textId="236F7A05" w:rsidR="00AA0257" w:rsidRPr="00F12A5A" w:rsidRDefault="00AA0257" w:rsidP="00AA0257">
            <w:pPr>
              <w:jc w:val="right"/>
              <w:rPr>
                <w:rFonts w:ascii="Arial" w:hAnsi="Arial" w:cs="Arial"/>
                <w:color w:val="000000"/>
                <w:sz w:val="16"/>
                <w:szCs w:val="18"/>
              </w:rPr>
            </w:pPr>
            <w:r w:rsidRPr="00F12A5A">
              <w:rPr>
                <w:rFonts w:ascii="Arial" w:hAnsi="Arial" w:cs="Arial"/>
                <w:sz w:val="16"/>
                <w:szCs w:val="16"/>
              </w:rPr>
              <w:t xml:space="preserve"> 93 </w:t>
            </w:r>
          </w:p>
        </w:tc>
      </w:tr>
      <w:tr w:rsidR="00970522" w:rsidRPr="00701F32" w14:paraId="127C5801" w14:textId="77777777" w:rsidTr="00F12A5A">
        <w:trPr>
          <w:trHeight w:val="257"/>
        </w:trPr>
        <w:tc>
          <w:tcPr>
            <w:tcW w:w="4062" w:type="dxa"/>
            <w:tcBorders>
              <w:top w:val="nil"/>
              <w:left w:val="single" w:sz="4" w:space="0" w:color="auto"/>
              <w:bottom w:val="single" w:sz="4" w:space="0" w:color="auto"/>
              <w:right w:val="single" w:sz="4" w:space="0" w:color="auto"/>
            </w:tcBorders>
            <w:shd w:val="clear" w:color="auto" w:fill="auto"/>
            <w:noWrap/>
            <w:vAlign w:val="center"/>
            <w:hideMark/>
          </w:tcPr>
          <w:p w14:paraId="029288AE" w14:textId="77777777" w:rsidR="00970522" w:rsidRPr="00F12A5A" w:rsidRDefault="00970522" w:rsidP="00970522">
            <w:pPr>
              <w:jc w:val="both"/>
              <w:rPr>
                <w:rFonts w:ascii="Arial" w:hAnsi="Arial" w:cs="Arial"/>
                <w:b/>
                <w:bCs/>
                <w:color w:val="000000"/>
                <w:sz w:val="16"/>
                <w:szCs w:val="18"/>
              </w:rPr>
            </w:pPr>
            <w:r w:rsidRPr="00F12A5A">
              <w:rPr>
                <w:rFonts w:ascii="Arial" w:hAnsi="Arial" w:cs="Arial"/>
                <w:b/>
                <w:bCs/>
                <w:color w:val="000000"/>
                <w:sz w:val="16"/>
                <w:szCs w:val="18"/>
              </w:rPr>
              <w:t>Total</w:t>
            </w:r>
          </w:p>
        </w:tc>
        <w:tc>
          <w:tcPr>
            <w:tcW w:w="1724" w:type="dxa"/>
            <w:tcBorders>
              <w:top w:val="single" w:sz="4" w:space="0" w:color="auto"/>
              <w:left w:val="nil"/>
              <w:bottom w:val="single" w:sz="4" w:space="0" w:color="auto"/>
              <w:right w:val="single" w:sz="4" w:space="0" w:color="auto"/>
            </w:tcBorders>
            <w:vAlign w:val="bottom"/>
          </w:tcPr>
          <w:p w14:paraId="4A922BFD" w14:textId="6843FAD4" w:rsidR="00970522" w:rsidRPr="00F12A5A" w:rsidRDefault="00AA0257" w:rsidP="00AA0257">
            <w:pPr>
              <w:jc w:val="right"/>
              <w:rPr>
                <w:rFonts w:ascii="Arial" w:hAnsi="Arial" w:cs="Arial"/>
                <w:b/>
                <w:sz w:val="16"/>
                <w:szCs w:val="16"/>
              </w:rPr>
            </w:pPr>
            <w:r w:rsidRPr="00F12A5A">
              <w:rPr>
                <w:rFonts w:ascii="Arial" w:hAnsi="Arial" w:cs="Arial"/>
                <w:b/>
                <w:sz w:val="16"/>
                <w:szCs w:val="16"/>
              </w:rPr>
              <w:t>8.</w:t>
            </w:r>
            <w:r w:rsidR="00EB601A" w:rsidRPr="00F12A5A">
              <w:rPr>
                <w:rFonts w:ascii="Arial" w:hAnsi="Arial" w:cs="Arial"/>
                <w:b/>
                <w:sz w:val="16"/>
                <w:szCs w:val="16"/>
              </w:rPr>
              <w:t>78</w:t>
            </w:r>
            <w:r w:rsidR="00F07B96">
              <w:rPr>
                <w:rFonts w:ascii="Arial" w:hAnsi="Arial" w:cs="Arial"/>
                <w:b/>
                <w:sz w:val="16"/>
                <w:szCs w:val="16"/>
              </w:rPr>
              <w:t>3</w:t>
            </w:r>
          </w:p>
        </w:tc>
        <w:tc>
          <w:tcPr>
            <w:tcW w:w="1724" w:type="dxa"/>
            <w:tcBorders>
              <w:top w:val="nil"/>
              <w:left w:val="single" w:sz="4" w:space="0" w:color="auto"/>
              <w:bottom w:val="single" w:sz="4" w:space="0" w:color="auto"/>
              <w:right w:val="single" w:sz="4" w:space="0" w:color="auto"/>
            </w:tcBorders>
            <w:shd w:val="clear" w:color="auto" w:fill="auto"/>
            <w:noWrap/>
            <w:vAlign w:val="bottom"/>
            <w:hideMark/>
          </w:tcPr>
          <w:p w14:paraId="64AE6C44" w14:textId="12FA925A" w:rsidR="00970522" w:rsidRPr="00F12A5A" w:rsidRDefault="00970522" w:rsidP="00AA0257">
            <w:pPr>
              <w:jc w:val="right"/>
              <w:rPr>
                <w:rFonts w:ascii="Arial" w:hAnsi="Arial" w:cs="Arial"/>
                <w:b/>
                <w:bCs/>
                <w:color w:val="000000"/>
                <w:sz w:val="16"/>
                <w:szCs w:val="18"/>
              </w:rPr>
            </w:pPr>
            <w:r w:rsidRPr="00F12A5A">
              <w:rPr>
                <w:rFonts w:ascii="Arial" w:hAnsi="Arial" w:cs="Arial"/>
                <w:b/>
                <w:sz w:val="16"/>
                <w:szCs w:val="16"/>
              </w:rPr>
              <w:t xml:space="preserve"> 8.80</w:t>
            </w:r>
            <w:r w:rsidR="00F07B96">
              <w:rPr>
                <w:rFonts w:ascii="Arial" w:hAnsi="Arial" w:cs="Arial"/>
                <w:b/>
                <w:sz w:val="16"/>
                <w:szCs w:val="16"/>
              </w:rPr>
              <w:t>1</w:t>
            </w:r>
            <w:r w:rsidRPr="00F12A5A">
              <w:rPr>
                <w:rFonts w:ascii="Arial" w:hAnsi="Arial" w:cs="Arial"/>
                <w:b/>
                <w:sz w:val="16"/>
                <w:szCs w:val="16"/>
              </w:rPr>
              <w:t xml:space="preserve"> </w:t>
            </w:r>
          </w:p>
        </w:tc>
      </w:tr>
    </w:tbl>
    <w:p w14:paraId="4748D609" w14:textId="77777777" w:rsidR="002A4D61" w:rsidRPr="00701F32" w:rsidRDefault="002A4D61" w:rsidP="002A4D61">
      <w:pPr>
        <w:pStyle w:val="Lista"/>
        <w:ind w:left="502" w:hanging="502"/>
        <w:jc w:val="both"/>
        <w:rPr>
          <w:rFonts w:ascii="Arial" w:hAnsi="Arial" w:cs="Arial"/>
          <w:sz w:val="20"/>
          <w:szCs w:val="20"/>
          <w:lang w:val="es-AR"/>
        </w:rPr>
      </w:pPr>
    </w:p>
    <w:p w14:paraId="72BD338F" w14:textId="4A9E3822" w:rsidR="002A4D61" w:rsidRDefault="002A4D61" w:rsidP="002A4D61">
      <w:pPr>
        <w:pStyle w:val="Lista"/>
        <w:ind w:left="0" w:firstLine="0"/>
        <w:jc w:val="both"/>
        <w:rPr>
          <w:rFonts w:ascii="Arial" w:hAnsi="Arial" w:cs="Arial"/>
          <w:sz w:val="20"/>
          <w:szCs w:val="20"/>
          <w:lang w:val="es-AR"/>
        </w:rPr>
      </w:pPr>
      <w:r w:rsidRPr="00701F32">
        <w:rPr>
          <w:rFonts w:ascii="Arial" w:hAnsi="Arial" w:cs="Arial"/>
          <w:sz w:val="20"/>
          <w:szCs w:val="20"/>
          <w:lang w:val="es-AR"/>
        </w:rPr>
        <w:t xml:space="preserve">A continuación, se detallan los movimientos ocurridos durante el ejercicio al 31 de diciembre de </w:t>
      </w:r>
      <w:r w:rsidR="00970522">
        <w:rPr>
          <w:rFonts w:ascii="Arial" w:hAnsi="Arial" w:cs="Arial"/>
          <w:sz w:val="20"/>
          <w:szCs w:val="20"/>
          <w:lang w:val="es-AR"/>
        </w:rPr>
        <w:t>2019 y 2018</w:t>
      </w:r>
      <w:r w:rsidRPr="00701F32">
        <w:rPr>
          <w:rFonts w:ascii="Arial" w:hAnsi="Arial" w:cs="Arial"/>
          <w:sz w:val="20"/>
          <w:szCs w:val="20"/>
          <w:lang w:val="es-AR"/>
        </w:rPr>
        <w:t>:</w:t>
      </w:r>
    </w:p>
    <w:p w14:paraId="70D7B1A6" w14:textId="1DC71515" w:rsidR="00AA0257" w:rsidRDefault="00AA0257" w:rsidP="002A4D61">
      <w:pPr>
        <w:pStyle w:val="Lista"/>
        <w:ind w:left="0" w:firstLine="0"/>
        <w:jc w:val="both"/>
        <w:rPr>
          <w:rFonts w:ascii="Arial" w:hAnsi="Arial" w:cs="Arial"/>
          <w:sz w:val="20"/>
          <w:szCs w:val="20"/>
          <w:lang w:val="es-AR"/>
        </w:rPr>
      </w:pPr>
    </w:p>
    <w:tbl>
      <w:tblPr>
        <w:tblW w:w="7507" w:type="dxa"/>
        <w:tblInd w:w="354" w:type="dxa"/>
        <w:tblLayout w:type="fixed"/>
        <w:tblCellMar>
          <w:left w:w="70" w:type="dxa"/>
          <w:right w:w="70" w:type="dxa"/>
        </w:tblCellMar>
        <w:tblLook w:val="04A0" w:firstRow="1" w:lastRow="0" w:firstColumn="1" w:lastColumn="0" w:noHBand="0" w:noVBand="1"/>
      </w:tblPr>
      <w:tblGrid>
        <w:gridCol w:w="3969"/>
        <w:gridCol w:w="1276"/>
        <w:gridCol w:w="1134"/>
        <w:gridCol w:w="1128"/>
      </w:tblGrid>
      <w:tr w:rsidR="00AA0257" w:rsidRPr="00701F32" w14:paraId="3E8233B3" w14:textId="77777777" w:rsidTr="00AA0257">
        <w:trPr>
          <w:trHeight w:val="430"/>
          <w:tblHeader/>
        </w:trPr>
        <w:tc>
          <w:tcPr>
            <w:tcW w:w="3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6C45AA" w14:textId="77777777" w:rsidR="00AA0257" w:rsidRPr="00C327F0" w:rsidRDefault="00AA0257" w:rsidP="00E914C6">
            <w:pPr>
              <w:jc w:val="center"/>
              <w:rPr>
                <w:rFonts w:ascii="Arial" w:hAnsi="Arial" w:cs="Arial"/>
                <w:b/>
                <w:bCs/>
                <w:color w:val="000000"/>
                <w:sz w:val="16"/>
                <w:szCs w:val="16"/>
                <w:lang w:eastAsia="es-AR"/>
              </w:rPr>
            </w:pPr>
            <w:r w:rsidRPr="00C327F0">
              <w:rPr>
                <w:rFonts w:ascii="Arial" w:hAnsi="Arial" w:cs="Arial"/>
                <w:b/>
                <w:bCs/>
                <w:color w:val="000000"/>
                <w:sz w:val="16"/>
                <w:szCs w:val="16"/>
              </w:rPr>
              <w:t> </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B969B1" w14:textId="77777777" w:rsidR="00AA0257" w:rsidRPr="00C327F0" w:rsidRDefault="00AA0257" w:rsidP="00E914C6">
            <w:pPr>
              <w:jc w:val="center"/>
              <w:rPr>
                <w:rFonts w:ascii="Arial" w:hAnsi="Arial" w:cs="Arial"/>
                <w:b/>
                <w:bCs/>
                <w:color w:val="000000"/>
                <w:sz w:val="16"/>
                <w:szCs w:val="16"/>
              </w:rPr>
            </w:pPr>
            <w:r w:rsidRPr="00C327F0">
              <w:rPr>
                <w:rFonts w:ascii="Arial" w:hAnsi="Arial" w:cs="Arial"/>
                <w:b/>
                <w:bCs/>
                <w:color w:val="000000"/>
                <w:sz w:val="16"/>
                <w:szCs w:val="16"/>
              </w:rPr>
              <w:t xml:space="preserve">Saldo al </w:t>
            </w:r>
            <w:r>
              <w:rPr>
                <w:rFonts w:ascii="Arial" w:hAnsi="Arial" w:cs="Arial"/>
                <w:b/>
                <w:bCs/>
                <w:color w:val="000000"/>
                <w:sz w:val="16"/>
                <w:szCs w:val="16"/>
              </w:rPr>
              <w:t>31/12/2018</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188A76" w14:textId="77777777" w:rsidR="00AA0257" w:rsidRPr="00C327F0" w:rsidRDefault="00AA0257" w:rsidP="00E914C6">
            <w:pPr>
              <w:jc w:val="center"/>
              <w:rPr>
                <w:rFonts w:ascii="Arial" w:hAnsi="Arial" w:cs="Arial"/>
                <w:b/>
                <w:bCs/>
                <w:color w:val="000000"/>
                <w:sz w:val="16"/>
                <w:szCs w:val="16"/>
              </w:rPr>
            </w:pPr>
            <w:r w:rsidRPr="00C327F0">
              <w:rPr>
                <w:rFonts w:ascii="Arial" w:hAnsi="Arial" w:cs="Arial"/>
                <w:b/>
                <w:bCs/>
                <w:color w:val="000000"/>
                <w:sz w:val="16"/>
                <w:szCs w:val="16"/>
              </w:rPr>
              <w:t>Incremento</w:t>
            </w:r>
          </w:p>
          <w:p w14:paraId="69849E91" w14:textId="77777777" w:rsidR="00AA0257" w:rsidRPr="00C327F0" w:rsidRDefault="00AA0257" w:rsidP="00E914C6">
            <w:pPr>
              <w:jc w:val="center"/>
              <w:rPr>
                <w:rFonts w:ascii="Arial" w:hAnsi="Arial" w:cs="Arial"/>
                <w:b/>
                <w:bCs/>
                <w:color w:val="000000"/>
                <w:sz w:val="16"/>
                <w:szCs w:val="16"/>
              </w:rPr>
            </w:pPr>
            <w:r w:rsidRPr="00C327F0">
              <w:rPr>
                <w:rFonts w:ascii="Arial" w:hAnsi="Arial" w:cs="Arial"/>
                <w:b/>
                <w:bCs/>
                <w:color w:val="000000"/>
                <w:sz w:val="16"/>
                <w:szCs w:val="16"/>
              </w:rPr>
              <w:t>en ORI</w:t>
            </w:r>
          </w:p>
        </w:tc>
        <w:tc>
          <w:tcPr>
            <w:tcW w:w="11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C40861" w14:textId="77777777" w:rsidR="00AA0257" w:rsidRPr="00C327F0" w:rsidRDefault="00AA0257" w:rsidP="00E914C6">
            <w:pPr>
              <w:jc w:val="center"/>
              <w:rPr>
                <w:rFonts w:ascii="Arial" w:hAnsi="Arial" w:cs="Arial"/>
                <w:b/>
                <w:bCs/>
                <w:color w:val="000000"/>
                <w:sz w:val="16"/>
                <w:szCs w:val="16"/>
              </w:rPr>
            </w:pPr>
            <w:r w:rsidRPr="00C327F0">
              <w:rPr>
                <w:rFonts w:ascii="Arial" w:hAnsi="Arial" w:cs="Arial"/>
                <w:b/>
                <w:bCs/>
                <w:color w:val="000000"/>
                <w:sz w:val="16"/>
                <w:szCs w:val="16"/>
              </w:rPr>
              <w:t>Saldo al 31/12/201</w:t>
            </w:r>
            <w:r>
              <w:rPr>
                <w:rFonts w:ascii="Arial" w:hAnsi="Arial" w:cs="Arial"/>
                <w:b/>
                <w:bCs/>
                <w:color w:val="000000"/>
                <w:sz w:val="16"/>
                <w:szCs w:val="16"/>
              </w:rPr>
              <w:t>9</w:t>
            </w:r>
          </w:p>
        </w:tc>
      </w:tr>
      <w:tr w:rsidR="00AA0257" w:rsidRPr="00701F32" w14:paraId="4A149BB6" w14:textId="77777777" w:rsidTr="00AA0257">
        <w:trPr>
          <w:trHeight w:val="644"/>
        </w:trPr>
        <w:tc>
          <w:tcPr>
            <w:tcW w:w="3969" w:type="dxa"/>
            <w:vMerge/>
            <w:tcBorders>
              <w:top w:val="single" w:sz="4" w:space="0" w:color="auto"/>
              <w:left w:val="single" w:sz="4" w:space="0" w:color="auto"/>
              <w:bottom w:val="single" w:sz="4" w:space="0" w:color="000000"/>
              <w:right w:val="single" w:sz="4" w:space="0" w:color="auto"/>
            </w:tcBorders>
            <w:vAlign w:val="center"/>
            <w:hideMark/>
          </w:tcPr>
          <w:p w14:paraId="2406384A" w14:textId="77777777" w:rsidR="00AA0257" w:rsidRPr="00A46CBE" w:rsidRDefault="00AA0257" w:rsidP="00E914C6">
            <w:pPr>
              <w:rPr>
                <w:rFonts w:ascii="Arial" w:hAnsi="Arial" w:cs="Arial"/>
                <w:b/>
                <w:bCs/>
                <w:color w:val="000000"/>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DAA35B1" w14:textId="77777777" w:rsidR="00AA0257" w:rsidRPr="00A46CBE" w:rsidRDefault="00AA0257" w:rsidP="00E914C6">
            <w:pPr>
              <w:rPr>
                <w:rFonts w:ascii="Arial" w:hAnsi="Arial" w:cs="Arial"/>
                <w:b/>
                <w:bCs/>
                <w:color w:val="000000"/>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5DA93BB" w14:textId="77777777" w:rsidR="00AA0257" w:rsidRPr="00A46CBE" w:rsidRDefault="00AA0257" w:rsidP="00E914C6">
            <w:pPr>
              <w:rPr>
                <w:rFonts w:ascii="Arial" w:hAnsi="Arial" w:cs="Arial"/>
                <w:b/>
                <w:bCs/>
                <w:color w:val="000000"/>
                <w:sz w:val="16"/>
                <w:szCs w:val="16"/>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14:paraId="4D622AE6" w14:textId="77777777" w:rsidR="00AA0257" w:rsidRPr="00A46CBE" w:rsidRDefault="00AA0257" w:rsidP="00E914C6">
            <w:pPr>
              <w:rPr>
                <w:rFonts w:ascii="Arial" w:hAnsi="Arial" w:cs="Arial"/>
                <w:b/>
                <w:bCs/>
                <w:color w:val="000000"/>
                <w:sz w:val="16"/>
                <w:szCs w:val="16"/>
              </w:rPr>
            </w:pPr>
          </w:p>
        </w:tc>
      </w:tr>
      <w:tr w:rsidR="00AA0257" w:rsidRPr="00701F32" w14:paraId="46A677FF" w14:textId="77777777" w:rsidTr="00AA025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3A66D03" w14:textId="77777777" w:rsidR="00AA0257" w:rsidRPr="00D27B18" w:rsidRDefault="00AA0257" w:rsidP="00E914C6">
            <w:pPr>
              <w:rPr>
                <w:rFonts w:ascii="Arial" w:hAnsi="Arial" w:cs="Arial"/>
                <w:color w:val="000000"/>
                <w:sz w:val="16"/>
                <w:szCs w:val="16"/>
              </w:rPr>
            </w:pPr>
            <w:r w:rsidRPr="00D27B18">
              <w:rPr>
                <w:rFonts w:ascii="Arial" w:hAnsi="Arial" w:cs="Arial"/>
                <w:sz w:val="16"/>
                <w:szCs w:val="16"/>
              </w:rPr>
              <w:t>Mercado Abierto Electrónico S.A.</w:t>
            </w:r>
          </w:p>
        </w:tc>
        <w:tc>
          <w:tcPr>
            <w:tcW w:w="1276" w:type="dxa"/>
            <w:tcBorders>
              <w:top w:val="nil"/>
              <w:left w:val="nil"/>
              <w:bottom w:val="single" w:sz="4" w:space="0" w:color="auto"/>
              <w:right w:val="single" w:sz="4" w:space="0" w:color="auto"/>
            </w:tcBorders>
            <w:shd w:val="clear" w:color="auto" w:fill="auto"/>
            <w:noWrap/>
            <w:vAlign w:val="bottom"/>
            <w:hideMark/>
          </w:tcPr>
          <w:p w14:paraId="72B0C209" w14:textId="77777777" w:rsidR="00AA0257" w:rsidRPr="00A46CBE" w:rsidRDefault="00AA0257" w:rsidP="00E914C6">
            <w:pPr>
              <w:jc w:val="right"/>
              <w:rPr>
                <w:rFonts w:ascii="Arial" w:hAnsi="Arial" w:cs="Arial"/>
                <w:color w:val="000000"/>
                <w:sz w:val="16"/>
                <w:szCs w:val="16"/>
              </w:rPr>
            </w:pPr>
            <w:r w:rsidRPr="00A46CBE">
              <w:rPr>
                <w:rFonts w:ascii="Arial" w:hAnsi="Arial" w:cs="Arial"/>
                <w:sz w:val="16"/>
                <w:szCs w:val="16"/>
              </w:rPr>
              <w:t>4.610</w:t>
            </w:r>
          </w:p>
        </w:tc>
        <w:tc>
          <w:tcPr>
            <w:tcW w:w="1134" w:type="dxa"/>
            <w:tcBorders>
              <w:top w:val="nil"/>
              <w:left w:val="nil"/>
              <w:bottom w:val="single" w:sz="4" w:space="0" w:color="auto"/>
              <w:right w:val="single" w:sz="4" w:space="0" w:color="auto"/>
            </w:tcBorders>
            <w:shd w:val="clear" w:color="auto" w:fill="auto"/>
            <w:noWrap/>
            <w:vAlign w:val="bottom"/>
          </w:tcPr>
          <w:p w14:paraId="0210CB15" w14:textId="77777777" w:rsidR="00AA0257" w:rsidRPr="00A46CBE" w:rsidRDefault="00AA0257" w:rsidP="00E914C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594BA930" w14:textId="77777777" w:rsidR="00AA0257" w:rsidRPr="00A46CBE" w:rsidRDefault="00AA0257" w:rsidP="00E914C6">
            <w:pPr>
              <w:jc w:val="right"/>
              <w:rPr>
                <w:rFonts w:ascii="Arial" w:hAnsi="Arial" w:cs="Arial"/>
                <w:color w:val="000000"/>
                <w:sz w:val="16"/>
                <w:szCs w:val="16"/>
              </w:rPr>
            </w:pPr>
            <w:r>
              <w:rPr>
                <w:rFonts w:ascii="Arial" w:hAnsi="Arial" w:cs="Arial"/>
                <w:color w:val="000000"/>
                <w:sz w:val="16"/>
                <w:szCs w:val="16"/>
              </w:rPr>
              <w:t>4.610</w:t>
            </w:r>
          </w:p>
        </w:tc>
      </w:tr>
      <w:tr w:rsidR="00AA0257" w:rsidRPr="00701F32" w14:paraId="5975A645" w14:textId="77777777" w:rsidTr="00AA025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B564F25" w14:textId="77777777" w:rsidR="00AA0257" w:rsidRPr="00D27B18" w:rsidRDefault="00AA0257" w:rsidP="00E914C6">
            <w:pPr>
              <w:rPr>
                <w:rFonts w:ascii="Arial" w:hAnsi="Arial" w:cs="Arial"/>
                <w:color w:val="000000"/>
                <w:sz w:val="16"/>
                <w:szCs w:val="16"/>
              </w:rPr>
            </w:pPr>
            <w:r w:rsidRPr="00D27B18">
              <w:rPr>
                <w:rFonts w:ascii="Arial" w:hAnsi="Arial" w:cs="Arial"/>
                <w:sz w:val="16"/>
                <w:szCs w:val="16"/>
              </w:rPr>
              <w:t>Seguro de Depósitos S.A</w:t>
            </w:r>
          </w:p>
        </w:tc>
        <w:tc>
          <w:tcPr>
            <w:tcW w:w="1276" w:type="dxa"/>
            <w:tcBorders>
              <w:top w:val="nil"/>
              <w:left w:val="nil"/>
              <w:bottom w:val="single" w:sz="4" w:space="0" w:color="auto"/>
              <w:right w:val="single" w:sz="4" w:space="0" w:color="auto"/>
            </w:tcBorders>
            <w:shd w:val="clear" w:color="auto" w:fill="auto"/>
            <w:noWrap/>
            <w:vAlign w:val="bottom"/>
            <w:hideMark/>
          </w:tcPr>
          <w:p w14:paraId="392732A8" w14:textId="77777777" w:rsidR="00AA0257" w:rsidRPr="00A46CBE" w:rsidRDefault="00AA0257" w:rsidP="00E914C6">
            <w:pPr>
              <w:jc w:val="right"/>
              <w:rPr>
                <w:rFonts w:ascii="Arial" w:hAnsi="Arial" w:cs="Arial"/>
                <w:color w:val="000000"/>
                <w:sz w:val="16"/>
                <w:szCs w:val="16"/>
              </w:rPr>
            </w:pPr>
            <w:r w:rsidRPr="00A46CBE">
              <w:rPr>
                <w:rFonts w:ascii="Arial" w:hAnsi="Arial" w:cs="Arial"/>
                <w:sz w:val="16"/>
                <w:szCs w:val="16"/>
              </w:rPr>
              <w:t>1.614</w:t>
            </w:r>
          </w:p>
        </w:tc>
        <w:tc>
          <w:tcPr>
            <w:tcW w:w="1134" w:type="dxa"/>
            <w:tcBorders>
              <w:top w:val="nil"/>
              <w:left w:val="nil"/>
              <w:bottom w:val="single" w:sz="4" w:space="0" w:color="auto"/>
              <w:right w:val="single" w:sz="4" w:space="0" w:color="auto"/>
            </w:tcBorders>
            <w:shd w:val="clear" w:color="auto" w:fill="auto"/>
            <w:noWrap/>
            <w:vAlign w:val="bottom"/>
          </w:tcPr>
          <w:p w14:paraId="2FCF2662" w14:textId="77777777" w:rsidR="00AA0257" w:rsidRPr="00A46CBE" w:rsidRDefault="00AA0257" w:rsidP="00E914C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39003ECA" w14:textId="77777777" w:rsidR="00AA0257" w:rsidRPr="00A46CBE" w:rsidRDefault="00AA0257" w:rsidP="00E914C6">
            <w:pPr>
              <w:jc w:val="right"/>
              <w:rPr>
                <w:rFonts w:ascii="Arial" w:hAnsi="Arial" w:cs="Arial"/>
                <w:color w:val="000000"/>
                <w:sz w:val="16"/>
                <w:szCs w:val="16"/>
              </w:rPr>
            </w:pPr>
            <w:r>
              <w:rPr>
                <w:rFonts w:ascii="Arial" w:hAnsi="Arial" w:cs="Arial"/>
                <w:color w:val="000000"/>
                <w:sz w:val="16"/>
                <w:szCs w:val="16"/>
              </w:rPr>
              <w:t>1.614</w:t>
            </w:r>
          </w:p>
        </w:tc>
      </w:tr>
      <w:tr w:rsidR="00AA0257" w:rsidRPr="00701F32" w14:paraId="4FF16F77" w14:textId="77777777" w:rsidTr="00AA025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1788B92" w14:textId="77777777" w:rsidR="00AA0257" w:rsidRPr="00D27B18" w:rsidRDefault="00AA0257" w:rsidP="00E914C6">
            <w:pPr>
              <w:rPr>
                <w:rFonts w:ascii="Arial" w:hAnsi="Arial" w:cs="Arial"/>
                <w:color w:val="000000"/>
                <w:sz w:val="16"/>
                <w:szCs w:val="16"/>
              </w:rPr>
            </w:pPr>
            <w:r w:rsidRPr="00D27B18">
              <w:rPr>
                <w:rFonts w:ascii="Arial" w:hAnsi="Arial" w:cs="Arial"/>
                <w:sz w:val="16"/>
                <w:szCs w:val="16"/>
              </w:rPr>
              <w:t>Compensador Electrónica S.A.</w:t>
            </w:r>
          </w:p>
        </w:tc>
        <w:tc>
          <w:tcPr>
            <w:tcW w:w="1276" w:type="dxa"/>
            <w:tcBorders>
              <w:top w:val="nil"/>
              <w:left w:val="nil"/>
              <w:bottom w:val="single" w:sz="4" w:space="0" w:color="auto"/>
              <w:right w:val="single" w:sz="4" w:space="0" w:color="auto"/>
            </w:tcBorders>
            <w:shd w:val="clear" w:color="auto" w:fill="auto"/>
            <w:noWrap/>
            <w:vAlign w:val="bottom"/>
            <w:hideMark/>
          </w:tcPr>
          <w:p w14:paraId="588F2619" w14:textId="77777777" w:rsidR="00AA0257" w:rsidRPr="00A46CBE" w:rsidRDefault="00AA0257" w:rsidP="00E914C6">
            <w:pPr>
              <w:jc w:val="right"/>
              <w:rPr>
                <w:rFonts w:ascii="Arial" w:hAnsi="Arial" w:cs="Arial"/>
                <w:color w:val="000000"/>
                <w:sz w:val="16"/>
                <w:szCs w:val="16"/>
              </w:rPr>
            </w:pPr>
            <w:r w:rsidRPr="00A46CBE">
              <w:rPr>
                <w:rFonts w:ascii="Arial" w:hAnsi="Arial" w:cs="Arial"/>
                <w:sz w:val="16"/>
                <w:szCs w:val="16"/>
              </w:rPr>
              <w:t>919</w:t>
            </w:r>
          </w:p>
        </w:tc>
        <w:tc>
          <w:tcPr>
            <w:tcW w:w="1134" w:type="dxa"/>
            <w:tcBorders>
              <w:top w:val="nil"/>
              <w:left w:val="nil"/>
              <w:bottom w:val="single" w:sz="4" w:space="0" w:color="auto"/>
              <w:right w:val="single" w:sz="4" w:space="0" w:color="auto"/>
            </w:tcBorders>
            <w:shd w:val="clear" w:color="auto" w:fill="auto"/>
            <w:noWrap/>
            <w:vAlign w:val="bottom"/>
          </w:tcPr>
          <w:p w14:paraId="06B5608E" w14:textId="77777777" w:rsidR="00AA0257" w:rsidRPr="00A46CBE" w:rsidRDefault="00AA0257" w:rsidP="00E914C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7745E865" w14:textId="77777777" w:rsidR="00AA0257" w:rsidRPr="00A46CBE" w:rsidRDefault="00AA0257" w:rsidP="00E914C6">
            <w:pPr>
              <w:jc w:val="right"/>
              <w:rPr>
                <w:rFonts w:ascii="Arial" w:hAnsi="Arial" w:cs="Arial"/>
                <w:color w:val="000000"/>
                <w:sz w:val="16"/>
                <w:szCs w:val="16"/>
              </w:rPr>
            </w:pPr>
            <w:r>
              <w:rPr>
                <w:rFonts w:ascii="Arial" w:hAnsi="Arial" w:cs="Arial"/>
                <w:color w:val="000000"/>
                <w:sz w:val="16"/>
                <w:szCs w:val="16"/>
              </w:rPr>
              <w:t>919</w:t>
            </w:r>
          </w:p>
        </w:tc>
      </w:tr>
      <w:tr w:rsidR="00AA0257" w:rsidRPr="00701F32" w14:paraId="13ECDC16" w14:textId="77777777" w:rsidTr="00AA025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C4DFCF9" w14:textId="77777777" w:rsidR="00AA0257" w:rsidRPr="00D27B18" w:rsidRDefault="00AA0257" w:rsidP="00E914C6">
            <w:pPr>
              <w:rPr>
                <w:rFonts w:ascii="Arial" w:hAnsi="Arial" w:cs="Arial"/>
                <w:color w:val="000000"/>
                <w:sz w:val="16"/>
                <w:szCs w:val="16"/>
              </w:rPr>
            </w:pPr>
            <w:r w:rsidRPr="00D27B18">
              <w:rPr>
                <w:rFonts w:ascii="Arial" w:hAnsi="Arial" w:cs="Arial"/>
                <w:sz w:val="16"/>
                <w:szCs w:val="16"/>
              </w:rPr>
              <w:t>Provincanje S.A.</w:t>
            </w:r>
          </w:p>
        </w:tc>
        <w:tc>
          <w:tcPr>
            <w:tcW w:w="1276" w:type="dxa"/>
            <w:tcBorders>
              <w:top w:val="nil"/>
              <w:left w:val="nil"/>
              <w:bottom w:val="single" w:sz="4" w:space="0" w:color="auto"/>
              <w:right w:val="single" w:sz="4" w:space="0" w:color="auto"/>
            </w:tcBorders>
            <w:shd w:val="clear" w:color="auto" w:fill="auto"/>
            <w:noWrap/>
            <w:vAlign w:val="bottom"/>
            <w:hideMark/>
          </w:tcPr>
          <w:p w14:paraId="56EEC701" w14:textId="77777777" w:rsidR="00AA0257" w:rsidRPr="00A46CBE" w:rsidRDefault="00AA0257" w:rsidP="00E914C6">
            <w:pPr>
              <w:jc w:val="right"/>
              <w:rPr>
                <w:rFonts w:ascii="Arial" w:hAnsi="Arial" w:cs="Arial"/>
                <w:color w:val="000000"/>
                <w:sz w:val="16"/>
                <w:szCs w:val="16"/>
              </w:rPr>
            </w:pPr>
            <w:r w:rsidRPr="00A46CBE">
              <w:rPr>
                <w:rFonts w:ascii="Arial" w:hAnsi="Arial" w:cs="Arial"/>
                <w:sz w:val="16"/>
                <w:szCs w:val="16"/>
              </w:rPr>
              <w:t>27</w:t>
            </w:r>
            <w:r>
              <w:rPr>
                <w:rFonts w:ascii="Arial" w:hAnsi="Arial" w:cs="Arial"/>
                <w:sz w:val="16"/>
                <w:szCs w:val="16"/>
              </w:rPr>
              <w:t>2</w:t>
            </w:r>
          </w:p>
        </w:tc>
        <w:tc>
          <w:tcPr>
            <w:tcW w:w="1134" w:type="dxa"/>
            <w:tcBorders>
              <w:top w:val="nil"/>
              <w:left w:val="nil"/>
              <w:bottom w:val="single" w:sz="4" w:space="0" w:color="auto"/>
              <w:right w:val="single" w:sz="4" w:space="0" w:color="auto"/>
            </w:tcBorders>
            <w:shd w:val="clear" w:color="auto" w:fill="auto"/>
            <w:noWrap/>
            <w:vAlign w:val="bottom"/>
          </w:tcPr>
          <w:p w14:paraId="21555698" w14:textId="77777777" w:rsidR="00AA0257" w:rsidRPr="00A46CBE" w:rsidRDefault="00AA0257" w:rsidP="00E914C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61E7C7E7" w14:textId="77777777" w:rsidR="00AA0257" w:rsidRPr="00A46CBE" w:rsidRDefault="00AA0257" w:rsidP="00E914C6">
            <w:pPr>
              <w:jc w:val="right"/>
              <w:rPr>
                <w:rFonts w:ascii="Arial" w:hAnsi="Arial" w:cs="Arial"/>
                <w:color w:val="000000"/>
                <w:sz w:val="16"/>
                <w:szCs w:val="16"/>
              </w:rPr>
            </w:pPr>
            <w:r>
              <w:rPr>
                <w:rFonts w:ascii="Arial" w:hAnsi="Arial" w:cs="Arial"/>
                <w:color w:val="000000"/>
                <w:sz w:val="16"/>
                <w:szCs w:val="16"/>
              </w:rPr>
              <w:t>272</w:t>
            </w:r>
          </w:p>
        </w:tc>
      </w:tr>
      <w:tr w:rsidR="00AA0257" w:rsidRPr="00701F32" w14:paraId="692DBD11" w14:textId="77777777" w:rsidTr="00AA025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0C3F271" w14:textId="77777777" w:rsidR="00AA0257" w:rsidRPr="00D27B18" w:rsidRDefault="00AA0257" w:rsidP="00E914C6">
            <w:pPr>
              <w:rPr>
                <w:rFonts w:ascii="Arial" w:hAnsi="Arial" w:cs="Arial"/>
                <w:color w:val="000000"/>
                <w:sz w:val="16"/>
                <w:szCs w:val="16"/>
              </w:rPr>
            </w:pPr>
            <w:r w:rsidRPr="00D27B18">
              <w:rPr>
                <w:rFonts w:ascii="Arial" w:hAnsi="Arial" w:cs="Arial"/>
                <w:sz w:val="16"/>
                <w:szCs w:val="16"/>
              </w:rPr>
              <w:t>Cuyo Aval Sociedad de Garantía Recíproca</w:t>
            </w:r>
          </w:p>
        </w:tc>
        <w:tc>
          <w:tcPr>
            <w:tcW w:w="1276" w:type="dxa"/>
            <w:tcBorders>
              <w:top w:val="nil"/>
              <w:left w:val="nil"/>
              <w:bottom w:val="single" w:sz="4" w:space="0" w:color="auto"/>
              <w:right w:val="single" w:sz="4" w:space="0" w:color="auto"/>
            </w:tcBorders>
            <w:shd w:val="clear" w:color="auto" w:fill="auto"/>
            <w:noWrap/>
            <w:vAlign w:val="bottom"/>
            <w:hideMark/>
          </w:tcPr>
          <w:p w14:paraId="7838803C" w14:textId="77777777" w:rsidR="00AA0257" w:rsidRPr="00A46CBE" w:rsidRDefault="00AA0257" w:rsidP="00E914C6">
            <w:pPr>
              <w:jc w:val="right"/>
              <w:rPr>
                <w:rFonts w:ascii="Arial" w:hAnsi="Arial" w:cs="Arial"/>
                <w:color w:val="000000"/>
                <w:sz w:val="16"/>
                <w:szCs w:val="16"/>
              </w:rPr>
            </w:pPr>
            <w:r w:rsidRPr="00A46CBE">
              <w:rPr>
                <w:rFonts w:ascii="Arial" w:hAnsi="Arial" w:cs="Arial"/>
                <w:sz w:val="16"/>
                <w:szCs w:val="16"/>
              </w:rPr>
              <w:t>899</w:t>
            </w:r>
          </w:p>
        </w:tc>
        <w:tc>
          <w:tcPr>
            <w:tcW w:w="1134" w:type="dxa"/>
            <w:tcBorders>
              <w:top w:val="nil"/>
              <w:left w:val="nil"/>
              <w:bottom w:val="single" w:sz="4" w:space="0" w:color="auto"/>
              <w:right w:val="single" w:sz="4" w:space="0" w:color="auto"/>
            </w:tcBorders>
            <w:shd w:val="clear" w:color="auto" w:fill="auto"/>
            <w:noWrap/>
            <w:vAlign w:val="bottom"/>
          </w:tcPr>
          <w:p w14:paraId="2A9C7DED" w14:textId="77777777" w:rsidR="00AA0257" w:rsidRPr="00A46CBE" w:rsidRDefault="00AA0257" w:rsidP="00E914C6">
            <w:pPr>
              <w:jc w:val="right"/>
              <w:rPr>
                <w:rFonts w:ascii="Arial" w:hAnsi="Arial" w:cs="Arial"/>
                <w:color w:val="000000"/>
                <w:sz w:val="16"/>
                <w:szCs w:val="16"/>
              </w:rPr>
            </w:pPr>
            <w:r w:rsidRPr="001053B7">
              <w:rPr>
                <w:rFonts w:ascii="Arial" w:hAnsi="Arial" w:cs="Arial"/>
                <w:color w:val="000000"/>
                <w:sz w:val="16"/>
                <w:szCs w:val="16"/>
              </w:rPr>
              <w:t>150</w:t>
            </w:r>
          </w:p>
        </w:tc>
        <w:tc>
          <w:tcPr>
            <w:tcW w:w="1128" w:type="dxa"/>
            <w:tcBorders>
              <w:top w:val="nil"/>
              <w:left w:val="nil"/>
              <w:bottom w:val="single" w:sz="4" w:space="0" w:color="auto"/>
              <w:right w:val="single" w:sz="4" w:space="0" w:color="auto"/>
            </w:tcBorders>
            <w:shd w:val="clear" w:color="auto" w:fill="auto"/>
            <w:noWrap/>
            <w:vAlign w:val="bottom"/>
          </w:tcPr>
          <w:p w14:paraId="5097C357" w14:textId="77777777" w:rsidR="00AA0257" w:rsidRPr="00A46CBE" w:rsidRDefault="00AA0257" w:rsidP="00E914C6">
            <w:pPr>
              <w:jc w:val="right"/>
              <w:rPr>
                <w:rFonts w:ascii="Arial" w:hAnsi="Arial" w:cs="Arial"/>
                <w:color w:val="000000"/>
                <w:sz w:val="16"/>
                <w:szCs w:val="16"/>
              </w:rPr>
            </w:pPr>
            <w:r w:rsidRPr="001053B7">
              <w:rPr>
                <w:rFonts w:ascii="Arial" w:hAnsi="Arial" w:cs="Arial"/>
                <w:color w:val="000000"/>
                <w:sz w:val="16"/>
                <w:szCs w:val="16"/>
              </w:rPr>
              <w:t>1.049</w:t>
            </w:r>
          </w:p>
        </w:tc>
      </w:tr>
      <w:tr w:rsidR="00AA0257" w:rsidRPr="00701F32" w14:paraId="63146E44" w14:textId="77777777" w:rsidTr="00AA025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ABB1490" w14:textId="77777777" w:rsidR="00AA0257" w:rsidRPr="00D27B18" w:rsidRDefault="00AA0257" w:rsidP="00E914C6">
            <w:pPr>
              <w:rPr>
                <w:rFonts w:ascii="Arial" w:hAnsi="Arial" w:cs="Arial"/>
                <w:color w:val="000000"/>
                <w:sz w:val="16"/>
                <w:szCs w:val="16"/>
              </w:rPr>
            </w:pPr>
            <w:r w:rsidRPr="00D27B18">
              <w:rPr>
                <w:rFonts w:ascii="Arial" w:hAnsi="Arial" w:cs="Arial"/>
                <w:sz w:val="16"/>
                <w:szCs w:val="16"/>
              </w:rPr>
              <w:t>Argencontrol S.A.</w:t>
            </w:r>
          </w:p>
        </w:tc>
        <w:tc>
          <w:tcPr>
            <w:tcW w:w="1276" w:type="dxa"/>
            <w:tcBorders>
              <w:top w:val="nil"/>
              <w:left w:val="nil"/>
              <w:bottom w:val="single" w:sz="4" w:space="0" w:color="auto"/>
              <w:right w:val="single" w:sz="4" w:space="0" w:color="auto"/>
            </w:tcBorders>
            <w:shd w:val="clear" w:color="auto" w:fill="auto"/>
            <w:noWrap/>
            <w:vAlign w:val="bottom"/>
            <w:hideMark/>
          </w:tcPr>
          <w:p w14:paraId="1610948F" w14:textId="77777777" w:rsidR="00AA0257" w:rsidRPr="00A46CBE" w:rsidRDefault="00AA0257" w:rsidP="00E914C6">
            <w:pPr>
              <w:jc w:val="right"/>
              <w:rPr>
                <w:rFonts w:ascii="Arial" w:hAnsi="Arial" w:cs="Arial"/>
                <w:color w:val="000000"/>
                <w:sz w:val="16"/>
                <w:szCs w:val="16"/>
              </w:rPr>
            </w:pPr>
            <w:r w:rsidRPr="00A46CBE">
              <w:rPr>
                <w:rFonts w:ascii="Arial" w:hAnsi="Arial" w:cs="Arial"/>
                <w:sz w:val="16"/>
                <w:szCs w:val="16"/>
              </w:rPr>
              <w:t>125</w:t>
            </w:r>
          </w:p>
        </w:tc>
        <w:tc>
          <w:tcPr>
            <w:tcW w:w="1134" w:type="dxa"/>
            <w:tcBorders>
              <w:top w:val="nil"/>
              <w:left w:val="nil"/>
              <w:bottom w:val="single" w:sz="4" w:space="0" w:color="auto"/>
              <w:right w:val="single" w:sz="4" w:space="0" w:color="auto"/>
            </w:tcBorders>
            <w:shd w:val="clear" w:color="auto" w:fill="auto"/>
            <w:noWrap/>
            <w:vAlign w:val="bottom"/>
          </w:tcPr>
          <w:p w14:paraId="151FE6ED" w14:textId="77777777" w:rsidR="00AA0257" w:rsidRPr="00A46CBE" w:rsidRDefault="00AA0257" w:rsidP="00E914C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03EAD5B0" w14:textId="77777777" w:rsidR="00AA0257" w:rsidRPr="00A46CBE" w:rsidRDefault="00AA0257" w:rsidP="00E914C6">
            <w:pPr>
              <w:jc w:val="right"/>
              <w:rPr>
                <w:rFonts w:ascii="Arial" w:hAnsi="Arial" w:cs="Arial"/>
                <w:color w:val="000000"/>
                <w:sz w:val="16"/>
                <w:szCs w:val="16"/>
              </w:rPr>
            </w:pPr>
            <w:r>
              <w:rPr>
                <w:rFonts w:ascii="Arial" w:hAnsi="Arial" w:cs="Arial"/>
                <w:color w:val="000000"/>
                <w:sz w:val="16"/>
                <w:szCs w:val="16"/>
              </w:rPr>
              <w:t>125</w:t>
            </w:r>
          </w:p>
        </w:tc>
      </w:tr>
      <w:tr w:rsidR="00AA0257" w:rsidRPr="00701F32" w14:paraId="761424CE" w14:textId="77777777" w:rsidTr="00AA025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1D722C9" w14:textId="77777777" w:rsidR="00AA0257" w:rsidRPr="00D27B18" w:rsidRDefault="00AA0257" w:rsidP="00E914C6">
            <w:pPr>
              <w:rPr>
                <w:rFonts w:ascii="Arial" w:hAnsi="Arial" w:cs="Arial"/>
                <w:color w:val="000000"/>
                <w:sz w:val="16"/>
                <w:szCs w:val="16"/>
              </w:rPr>
            </w:pPr>
            <w:r w:rsidRPr="00D27B18">
              <w:rPr>
                <w:rFonts w:ascii="Arial" w:hAnsi="Arial" w:cs="Arial"/>
                <w:sz w:val="16"/>
                <w:szCs w:val="16"/>
              </w:rPr>
              <w:t>Los Grobo Sociedad de Garantía Recíproca</w:t>
            </w:r>
          </w:p>
        </w:tc>
        <w:tc>
          <w:tcPr>
            <w:tcW w:w="1276" w:type="dxa"/>
            <w:tcBorders>
              <w:top w:val="nil"/>
              <w:left w:val="nil"/>
              <w:bottom w:val="single" w:sz="4" w:space="0" w:color="auto"/>
              <w:right w:val="single" w:sz="4" w:space="0" w:color="auto"/>
            </w:tcBorders>
            <w:shd w:val="clear" w:color="auto" w:fill="auto"/>
            <w:noWrap/>
            <w:vAlign w:val="bottom"/>
            <w:hideMark/>
          </w:tcPr>
          <w:p w14:paraId="555E4B11" w14:textId="77777777" w:rsidR="00AA0257" w:rsidRPr="00A46CBE" w:rsidRDefault="00AA0257" w:rsidP="00E914C6">
            <w:pPr>
              <w:jc w:val="right"/>
              <w:rPr>
                <w:rFonts w:ascii="Arial" w:hAnsi="Arial" w:cs="Arial"/>
                <w:color w:val="000000"/>
                <w:sz w:val="16"/>
                <w:szCs w:val="16"/>
              </w:rPr>
            </w:pPr>
            <w:r w:rsidRPr="00A46CBE">
              <w:rPr>
                <w:rFonts w:ascii="Arial" w:hAnsi="Arial" w:cs="Arial"/>
                <w:sz w:val="16"/>
                <w:szCs w:val="16"/>
              </w:rPr>
              <w:t>209</w:t>
            </w:r>
          </w:p>
        </w:tc>
        <w:tc>
          <w:tcPr>
            <w:tcW w:w="1134" w:type="dxa"/>
            <w:tcBorders>
              <w:top w:val="nil"/>
              <w:left w:val="nil"/>
              <w:bottom w:val="single" w:sz="4" w:space="0" w:color="auto"/>
              <w:right w:val="single" w:sz="4" w:space="0" w:color="auto"/>
            </w:tcBorders>
            <w:shd w:val="clear" w:color="auto" w:fill="auto"/>
            <w:noWrap/>
            <w:vAlign w:val="bottom"/>
          </w:tcPr>
          <w:p w14:paraId="1D72A10C" w14:textId="77777777" w:rsidR="00AA0257" w:rsidRPr="00A46CBE" w:rsidRDefault="00AA0257" w:rsidP="00E914C6">
            <w:pPr>
              <w:jc w:val="right"/>
              <w:rPr>
                <w:rFonts w:ascii="Arial" w:hAnsi="Arial" w:cs="Arial"/>
                <w:color w:val="000000"/>
                <w:sz w:val="16"/>
                <w:szCs w:val="16"/>
              </w:rPr>
            </w:pPr>
            <w:r w:rsidRPr="001053B7">
              <w:rPr>
                <w:rFonts w:ascii="Arial" w:hAnsi="Arial" w:cs="Arial"/>
                <w:color w:val="000000"/>
                <w:sz w:val="16"/>
                <w:szCs w:val="16"/>
              </w:rPr>
              <w:t>-139</w:t>
            </w:r>
          </w:p>
        </w:tc>
        <w:tc>
          <w:tcPr>
            <w:tcW w:w="1128" w:type="dxa"/>
            <w:tcBorders>
              <w:top w:val="nil"/>
              <w:left w:val="nil"/>
              <w:bottom w:val="single" w:sz="4" w:space="0" w:color="auto"/>
              <w:right w:val="single" w:sz="4" w:space="0" w:color="auto"/>
            </w:tcBorders>
            <w:shd w:val="clear" w:color="auto" w:fill="auto"/>
            <w:noWrap/>
            <w:vAlign w:val="bottom"/>
          </w:tcPr>
          <w:p w14:paraId="519902FA" w14:textId="77777777" w:rsidR="00AA0257" w:rsidRPr="00A46CBE" w:rsidRDefault="00AA0257" w:rsidP="00E914C6">
            <w:pPr>
              <w:jc w:val="right"/>
              <w:rPr>
                <w:rFonts w:ascii="Arial" w:hAnsi="Arial" w:cs="Arial"/>
                <w:color w:val="000000"/>
                <w:sz w:val="16"/>
                <w:szCs w:val="16"/>
              </w:rPr>
            </w:pPr>
            <w:r w:rsidRPr="001053B7">
              <w:rPr>
                <w:rFonts w:ascii="Arial" w:hAnsi="Arial" w:cs="Arial"/>
                <w:color w:val="000000"/>
                <w:sz w:val="16"/>
                <w:szCs w:val="16"/>
              </w:rPr>
              <w:t>70</w:t>
            </w:r>
          </w:p>
        </w:tc>
      </w:tr>
      <w:tr w:rsidR="00AA0257" w:rsidRPr="00701F32" w14:paraId="329ABFC7" w14:textId="77777777" w:rsidTr="00AA025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DD4F9EE" w14:textId="77777777" w:rsidR="00AA0257" w:rsidRPr="00D27B18" w:rsidRDefault="00AA0257" w:rsidP="00E914C6">
            <w:pPr>
              <w:rPr>
                <w:rFonts w:ascii="Arial" w:hAnsi="Arial" w:cs="Arial"/>
                <w:color w:val="000000"/>
                <w:sz w:val="16"/>
                <w:szCs w:val="16"/>
              </w:rPr>
            </w:pPr>
            <w:r w:rsidRPr="00D27B18">
              <w:rPr>
                <w:rFonts w:ascii="Arial" w:hAnsi="Arial" w:cs="Arial"/>
                <w:sz w:val="16"/>
                <w:szCs w:val="16"/>
              </w:rPr>
              <w:t>IEBA S.A.</w:t>
            </w:r>
          </w:p>
        </w:tc>
        <w:tc>
          <w:tcPr>
            <w:tcW w:w="1276" w:type="dxa"/>
            <w:tcBorders>
              <w:top w:val="nil"/>
              <w:left w:val="nil"/>
              <w:bottom w:val="single" w:sz="4" w:space="0" w:color="auto"/>
              <w:right w:val="single" w:sz="4" w:space="0" w:color="auto"/>
            </w:tcBorders>
            <w:shd w:val="clear" w:color="auto" w:fill="auto"/>
            <w:noWrap/>
            <w:vAlign w:val="bottom"/>
            <w:hideMark/>
          </w:tcPr>
          <w:p w14:paraId="6E850C7B" w14:textId="31CD396C" w:rsidR="00AA0257" w:rsidRPr="00A46CBE" w:rsidRDefault="00AA0257" w:rsidP="00E914C6">
            <w:pPr>
              <w:jc w:val="right"/>
              <w:rPr>
                <w:rFonts w:ascii="Arial" w:hAnsi="Arial" w:cs="Arial"/>
                <w:color w:val="000000"/>
                <w:sz w:val="16"/>
                <w:szCs w:val="16"/>
              </w:rPr>
            </w:pPr>
            <w:r w:rsidRPr="00A46CBE">
              <w:rPr>
                <w:rFonts w:ascii="Arial" w:hAnsi="Arial" w:cs="Arial"/>
                <w:sz w:val="16"/>
                <w:szCs w:val="16"/>
              </w:rPr>
              <w:t>6</w:t>
            </w:r>
            <w:r w:rsidR="00F07B96">
              <w:rPr>
                <w:rFonts w:ascii="Arial" w:hAnsi="Arial" w:cs="Arial"/>
                <w:sz w:val="16"/>
                <w:szCs w:val="16"/>
              </w:rPr>
              <w:t>0</w:t>
            </w:r>
          </w:p>
        </w:tc>
        <w:tc>
          <w:tcPr>
            <w:tcW w:w="1134" w:type="dxa"/>
            <w:tcBorders>
              <w:top w:val="nil"/>
              <w:left w:val="nil"/>
              <w:bottom w:val="single" w:sz="4" w:space="0" w:color="auto"/>
              <w:right w:val="single" w:sz="4" w:space="0" w:color="auto"/>
            </w:tcBorders>
            <w:shd w:val="clear" w:color="auto" w:fill="auto"/>
            <w:noWrap/>
            <w:vAlign w:val="bottom"/>
          </w:tcPr>
          <w:p w14:paraId="013CAF9E" w14:textId="77777777" w:rsidR="00AA0257" w:rsidRPr="00A46CBE" w:rsidRDefault="00AA0257" w:rsidP="00E914C6">
            <w:pPr>
              <w:jc w:val="right"/>
              <w:rPr>
                <w:rFonts w:ascii="Arial" w:hAnsi="Arial" w:cs="Arial"/>
                <w:color w:val="000000"/>
                <w:sz w:val="16"/>
                <w:szCs w:val="16"/>
              </w:rPr>
            </w:pPr>
            <w:r>
              <w:rPr>
                <w:rFonts w:ascii="Arial" w:hAnsi="Arial" w:cs="Arial"/>
                <w:color w:val="000000"/>
                <w:sz w:val="16"/>
                <w:szCs w:val="16"/>
              </w:rPr>
              <w:t>-</w:t>
            </w:r>
          </w:p>
        </w:tc>
        <w:tc>
          <w:tcPr>
            <w:tcW w:w="1128" w:type="dxa"/>
            <w:tcBorders>
              <w:top w:val="nil"/>
              <w:left w:val="nil"/>
              <w:bottom w:val="single" w:sz="4" w:space="0" w:color="auto"/>
              <w:right w:val="single" w:sz="4" w:space="0" w:color="auto"/>
            </w:tcBorders>
            <w:shd w:val="clear" w:color="auto" w:fill="auto"/>
            <w:noWrap/>
            <w:vAlign w:val="bottom"/>
          </w:tcPr>
          <w:p w14:paraId="1029E74A" w14:textId="2920BCF4" w:rsidR="00AA0257" w:rsidRPr="00A46CBE" w:rsidRDefault="00AA0257" w:rsidP="00E914C6">
            <w:pPr>
              <w:jc w:val="right"/>
              <w:rPr>
                <w:rFonts w:ascii="Arial" w:hAnsi="Arial" w:cs="Arial"/>
                <w:color w:val="000000"/>
                <w:sz w:val="16"/>
                <w:szCs w:val="16"/>
              </w:rPr>
            </w:pPr>
            <w:r w:rsidRPr="001053B7">
              <w:rPr>
                <w:rFonts w:ascii="Arial" w:hAnsi="Arial" w:cs="Arial"/>
                <w:color w:val="000000"/>
                <w:sz w:val="16"/>
                <w:szCs w:val="16"/>
              </w:rPr>
              <w:t>6</w:t>
            </w:r>
            <w:r w:rsidR="00F07B96">
              <w:rPr>
                <w:rFonts w:ascii="Arial" w:hAnsi="Arial" w:cs="Arial"/>
                <w:color w:val="000000"/>
                <w:sz w:val="16"/>
                <w:szCs w:val="16"/>
              </w:rPr>
              <w:t>0</w:t>
            </w:r>
          </w:p>
        </w:tc>
      </w:tr>
      <w:tr w:rsidR="00AA0257" w:rsidRPr="00701F32" w14:paraId="74681741" w14:textId="77777777" w:rsidTr="00AA025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5BBF59E" w14:textId="77777777" w:rsidR="00AA0257" w:rsidRPr="00D27B18" w:rsidRDefault="00AA0257" w:rsidP="00E914C6">
            <w:pPr>
              <w:rPr>
                <w:rFonts w:ascii="Arial" w:hAnsi="Arial" w:cs="Arial"/>
                <w:color w:val="000000"/>
                <w:sz w:val="16"/>
                <w:szCs w:val="16"/>
              </w:rPr>
            </w:pPr>
            <w:r w:rsidRPr="00D27B18">
              <w:rPr>
                <w:rFonts w:ascii="Arial" w:hAnsi="Arial" w:cs="Arial"/>
                <w:sz w:val="16"/>
                <w:szCs w:val="16"/>
              </w:rPr>
              <w:t>Otras Sociedades de Garantía Recíproca</w:t>
            </w:r>
          </w:p>
        </w:tc>
        <w:tc>
          <w:tcPr>
            <w:tcW w:w="1276" w:type="dxa"/>
            <w:tcBorders>
              <w:top w:val="nil"/>
              <w:left w:val="nil"/>
              <w:bottom w:val="single" w:sz="4" w:space="0" w:color="auto"/>
              <w:right w:val="single" w:sz="4" w:space="0" w:color="auto"/>
            </w:tcBorders>
            <w:shd w:val="clear" w:color="auto" w:fill="auto"/>
            <w:noWrap/>
            <w:vAlign w:val="bottom"/>
            <w:hideMark/>
          </w:tcPr>
          <w:p w14:paraId="46CA990F" w14:textId="77777777" w:rsidR="00AA0257" w:rsidRPr="00A46CBE" w:rsidRDefault="00AA0257" w:rsidP="00E914C6">
            <w:pPr>
              <w:jc w:val="right"/>
              <w:rPr>
                <w:rFonts w:ascii="Arial" w:hAnsi="Arial" w:cs="Arial"/>
                <w:color w:val="000000"/>
                <w:sz w:val="16"/>
                <w:szCs w:val="16"/>
              </w:rPr>
            </w:pPr>
            <w:r>
              <w:rPr>
                <w:rFonts w:ascii="Arial" w:hAnsi="Arial" w:cs="Arial"/>
                <w:sz w:val="16"/>
                <w:szCs w:val="16"/>
              </w:rPr>
              <w:t>93</w:t>
            </w:r>
            <w:r w:rsidRPr="00A46CBE">
              <w:rPr>
                <w:rFonts w:ascii="Arial" w:hAnsi="Arial" w:cs="Arial"/>
                <w:sz w:val="16"/>
                <w:szCs w:val="16"/>
              </w:rPr>
              <w:t xml:space="preserve"> </w:t>
            </w:r>
          </w:p>
        </w:tc>
        <w:tc>
          <w:tcPr>
            <w:tcW w:w="1134" w:type="dxa"/>
            <w:tcBorders>
              <w:top w:val="nil"/>
              <w:left w:val="nil"/>
              <w:bottom w:val="single" w:sz="4" w:space="0" w:color="auto"/>
              <w:right w:val="single" w:sz="4" w:space="0" w:color="auto"/>
            </w:tcBorders>
            <w:shd w:val="clear" w:color="auto" w:fill="auto"/>
            <w:noWrap/>
            <w:vAlign w:val="bottom"/>
          </w:tcPr>
          <w:p w14:paraId="655EB0D5" w14:textId="77777777" w:rsidR="00AA0257" w:rsidRPr="00A46CBE" w:rsidRDefault="00AA0257" w:rsidP="00E914C6">
            <w:pPr>
              <w:jc w:val="right"/>
              <w:rPr>
                <w:rFonts w:ascii="Arial" w:hAnsi="Arial" w:cs="Arial"/>
                <w:color w:val="000000"/>
                <w:sz w:val="16"/>
                <w:szCs w:val="16"/>
                <w:lang w:val="es-ES_tradnl"/>
              </w:rPr>
            </w:pPr>
            <w:r w:rsidRPr="001053B7">
              <w:rPr>
                <w:rFonts w:ascii="Arial" w:hAnsi="Arial" w:cs="Arial"/>
                <w:color w:val="000000"/>
                <w:sz w:val="16"/>
                <w:szCs w:val="16"/>
                <w:lang w:val="es-ES_tradnl"/>
              </w:rPr>
              <w:t>-29</w:t>
            </w:r>
          </w:p>
        </w:tc>
        <w:tc>
          <w:tcPr>
            <w:tcW w:w="1128" w:type="dxa"/>
            <w:tcBorders>
              <w:top w:val="nil"/>
              <w:left w:val="nil"/>
              <w:bottom w:val="single" w:sz="4" w:space="0" w:color="auto"/>
              <w:right w:val="single" w:sz="4" w:space="0" w:color="auto"/>
            </w:tcBorders>
            <w:shd w:val="clear" w:color="auto" w:fill="auto"/>
            <w:noWrap/>
            <w:vAlign w:val="bottom"/>
          </w:tcPr>
          <w:p w14:paraId="7CB2DA27" w14:textId="7F5D0783" w:rsidR="00AA0257" w:rsidRPr="00A46CBE" w:rsidRDefault="00AA0257" w:rsidP="00E914C6">
            <w:pPr>
              <w:jc w:val="right"/>
              <w:rPr>
                <w:rFonts w:ascii="Arial" w:hAnsi="Arial" w:cs="Arial"/>
                <w:color w:val="000000"/>
                <w:sz w:val="16"/>
                <w:szCs w:val="16"/>
                <w:lang w:val="es-ES_tradnl"/>
              </w:rPr>
            </w:pPr>
            <w:r>
              <w:rPr>
                <w:rFonts w:ascii="Arial" w:hAnsi="Arial" w:cs="Arial"/>
                <w:color w:val="000000"/>
                <w:sz w:val="16"/>
                <w:szCs w:val="16"/>
                <w:lang w:val="es-ES_tradnl"/>
              </w:rPr>
              <w:t>64</w:t>
            </w:r>
          </w:p>
        </w:tc>
      </w:tr>
      <w:tr w:rsidR="00AA0257" w:rsidRPr="00701F32" w14:paraId="637F6E6E" w14:textId="77777777" w:rsidTr="00AA025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center"/>
          </w:tcPr>
          <w:p w14:paraId="58511A03" w14:textId="77777777" w:rsidR="00AA0257" w:rsidRPr="00D27B18" w:rsidRDefault="00AA0257" w:rsidP="00E914C6">
            <w:pPr>
              <w:rPr>
                <w:rFonts w:ascii="Arial" w:hAnsi="Arial" w:cs="Arial"/>
                <w:sz w:val="16"/>
                <w:szCs w:val="16"/>
              </w:rPr>
            </w:pPr>
            <w:r>
              <w:rPr>
                <w:rFonts w:ascii="Arial" w:hAnsi="Arial" w:cs="Arial"/>
                <w:color w:val="000000"/>
                <w:sz w:val="16"/>
                <w:szCs w:val="18"/>
              </w:rPr>
              <w:t>Swift (*)</w:t>
            </w:r>
          </w:p>
        </w:tc>
        <w:tc>
          <w:tcPr>
            <w:tcW w:w="1276" w:type="dxa"/>
            <w:tcBorders>
              <w:top w:val="nil"/>
              <w:left w:val="nil"/>
              <w:bottom w:val="single" w:sz="4" w:space="0" w:color="auto"/>
              <w:right w:val="single" w:sz="4" w:space="0" w:color="auto"/>
            </w:tcBorders>
            <w:shd w:val="clear" w:color="auto" w:fill="auto"/>
            <w:noWrap/>
            <w:vAlign w:val="center"/>
          </w:tcPr>
          <w:p w14:paraId="3A5FD99B" w14:textId="77777777" w:rsidR="00AA0257" w:rsidRPr="00A46CBE" w:rsidDel="00BD6FD1" w:rsidRDefault="00AA0257" w:rsidP="00E914C6">
            <w:pPr>
              <w:jc w:val="right"/>
              <w:rPr>
                <w:rFonts w:ascii="Arial" w:hAnsi="Arial" w:cs="Arial"/>
                <w:sz w:val="16"/>
                <w:szCs w:val="16"/>
              </w:rPr>
            </w:pPr>
            <w:r>
              <w:rPr>
                <w:rFonts w:ascii="Arial" w:hAnsi="Arial" w:cs="Arial"/>
                <w:sz w:val="16"/>
                <w:szCs w:val="16"/>
              </w:rPr>
              <w:t>31</w:t>
            </w:r>
          </w:p>
        </w:tc>
        <w:tc>
          <w:tcPr>
            <w:tcW w:w="1134" w:type="dxa"/>
            <w:tcBorders>
              <w:top w:val="nil"/>
              <w:left w:val="nil"/>
              <w:bottom w:val="single" w:sz="4" w:space="0" w:color="auto"/>
              <w:right w:val="single" w:sz="4" w:space="0" w:color="auto"/>
            </w:tcBorders>
            <w:shd w:val="clear" w:color="auto" w:fill="auto"/>
            <w:noWrap/>
            <w:vAlign w:val="center"/>
          </w:tcPr>
          <w:p w14:paraId="0A2BD419" w14:textId="77777777" w:rsidR="00AA0257" w:rsidRPr="00A46CBE" w:rsidRDefault="00AA0257" w:rsidP="00E914C6">
            <w:pPr>
              <w:jc w:val="right"/>
              <w:rPr>
                <w:rFonts w:ascii="Arial" w:hAnsi="Arial" w:cs="Arial"/>
                <w:sz w:val="16"/>
                <w:szCs w:val="16"/>
              </w:rPr>
            </w:pPr>
            <w:r>
              <w:rPr>
                <w:rFonts w:ascii="Arial" w:hAnsi="Arial" w:cs="Arial"/>
                <w:sz w:val="16"/>
                <w:szCs w:val="16"/>
              </w:rPr>
              <w:t>-</w:t>
            </w:r>
          </w:p>
        </w:tc>
        <w:tc>
          <w:tcPr>
            <w:tcW w:w="1128" w:type="dxa"/>
            <w:tcBorders>
              <w:top w:val="nil"/>
              <w:left w:val="nil"/>
              <w:bottom w:val="single" w:sz="4" w:space="0" w:color="auto"/>
              <w:right w:val="single" w:sz="4" w:space="0" w:color="auto"/>
            </w:tcBorders>
            <w:shd w:val="clear" w:color="auto" w:fill="auto"/>
            <w:noWrap/>
            <w:vAlign w:val="center"/>
          </w:tcPr>
          <w:p w14:paraId="4E746CD1" w14:textId="77777777" w:rsidR="00AA0257" w:rsidRPr="00A46CBE" w:rsidDel="00BD6FD1" w:rsidRDefault="00AA0257" w:rsidP="00E914C6">
            <w:pPr>
              <w:jc w:val="right"/>
              <w:rPr>
                <w:rFonts w:ascii="Arial" w:hAnsi="Arial" w:cs="Arial"/>
                <w:sz w:val="16"/>
                <w:szCs w:val="16"/>
              </w:rPr>
            </w:pPr>
            <w:r>
              <w:rPr>
                <w:rFonts w:ascii="Arial" w:hAnsi="Arial" w:cs="Arial"/>
                <w:sz w:val="16"/>
                <w:szCs w:val="16"/>
              </w:rPr>
              <w:t>31</w:t>
            </w:r>
          </w:p>
        </w:tc>
      </w:tr>
      <w:tr w:rsidR="00AA0257" w:rsidRPr="00701F32" w14:paraId="01483823" w14:textId="77777777" w:rsidTr="00AA0257">
        <w:trPr>
          <w:trHeight w:val="227"/>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ABC705E" w14:textId="77777777" w:rsidR="00AA0257" w:rsidRPr="00EC349E" w:rsidRDefault="00AA0257" w:rsidP="00E914C6">
            <w:pPr>
              <w:jc w:val="both"/>
              <w:rPr>
                <w:rFonts w:ascii="Arial" w:hAnsi="Arial" w:cs="Arial"/>
                <w:b/>
                <w:bCs/>
                <w:color w:val="000000"/>
                <w:sz w:val="16"/>
                <w:szCs w:val="16"/>
              </w:rPr>
            </w:pPr>
            <w:r w:rsidRPr="00EC349E">
              <w:rPr>
                <w:rFonts w:ascii="Arial" w:hAnsi="Arial" w:cs="Arial"/>
                <w:b/>
                <w:sz w:val="16"/>
                <w:szCs w:val="16"/>
              </w:rPr>
              <w:t>Total</w:t>
            </w:r>
          </w:p>
        </w:tc>
        <w:tc>
          <w:tcPr>
            <w:tcW w:w="1276" w:type="dxa"/>
            <w:tcBorders>
              <w:top w:val="nil"/>
              <w:left w:val="nil"/>
              <w:bottom w:val="single" w:sz="4" w:space="0" w:color="auto"/>
              <w:right w:val="single" w:sz="4" w:space="0" w:color="auto"/>
            </w:tcBorders>
            <w:shd w:val="clear" w:color="auto" w:fill="auto"/>
            <w:noWrap/>
            <w:vAlign w:val="bottom"/>
            <w:hideMark/>
          </w:tcPr>
          <w:p w14:paraId="1A2F8A09" w14:textId="148016EF" w:rsidR="00AA0257" w:rsidRPr="00A46CBE" w:rsidRDefault="00AA0257" w:rsidP="00E914C6">
            <w:pPr>
              <w:jc w:val="right"/>
              <w:rPr>
                <w:rFonts w:ascii="Arial" w:hAnsi="Arial" w:cs="Arial"/>
                <w:b/>
                <w:bCs/>
                <w:color w:val="000000"/>
                <w:sz w:val="16"/>
                <w:szCs w:val="16"/>
                <w:lang w:val="es-ES_tradnl"/>
              </w:rPr>
            </w:pPr>
            <w:r w:rsidRPr="00A46CBE">
              <w:rPr>
                <w:rFonts w:ascii="Arial" w:hAnsi="Arial" w:cs="Arial"/>
                <w:b/>
                <w:sz w:val="16"/>
                <w:szCs w:val="16"/>
              </w:rPr>
              <w:t xml:space="preserve"> 8.</w:t>
            </w:r>
            <w:r w:rsidR="00F07B96" w:rsidRPr="00A46CBE">
              <w:rPr>
                <w:rFonts w:ascii="Arial" w:hAnsi="Arial" w:cs="Arial"/>
                <w:b/>
                <w:sz w:val="16"/>
                <w:szCs w:val="16"/>
              </w:rPr>
              <w:t>8</w:t>
            </w:r>
            <w:r w:rsidR="00F07B96">
              <w:rPr>
                <w:rFonts w:ascii="Arial" w:hAnsi="Arial" w:cs="Arial"/>
                <w:b/>
                <w:sz w:val="16"/>
                <w:szCs w:val="16"/>
              </w:rPr>
              <w:t>32</w:t>
            </w:r>
            <w:r w:rsidR="00F07B96" w:rsidRPr="00A46CBE">
              <w:rPr>
                <w:rFonts w:ascii="Arial" w:hAnsi="Arial" w:cs="Arial"/>
                <w:b/>
                <w:sz w:val="16"/>
                <w:szCs w:val="16"/>
              </w:rPr>
              <w:t xml:space="preserve"> </w:t>
            </w:r>
          </w:p>
        </w:tc>
        <w:tc>
          <w:tcPr>
            <w:tcW w:w="1134" w:type="dxa"/>
            <w:tcBorders>
              <w:top w:val="nil"/>
              <w:left w:val="nil"/>
              <w:bottom w:val="single" w:sz="4" w:space="0" w:color="auto"/>
              <w:right w:val="single" w:sz="4" w:space="0" w:color="auto"/>
            </w:tcBorders>
            <w:shd w:val="clear" w:color="auto" w:fill="auto"/>
            <w:noWrap/>
            <w:vAlign w:val="bottom"/>
          </w:tcPr>
          <w:p w14:paraId="2CCF447A" w14:textId="77777777" w:rsidR="00AA0257" w:rsidRPr="00A46CBE" w:rsidRDefault="00AA0257" w:rsidP="00E914C6">
            <w:pPr>
              <w:jc w:val="right"/>
              <w:rPr>
                <w:rFonts w:ascii="Arial" w:hAnsi="Arial" w:cs="Arial"/>
                <w:b/>
                <w:bCs/>
                <w:color w:val="000000"/>
                <w:sz w:val="16"/>
                <w:szCs w:val="16"/>
              </w:rPr>
            </w:pPr>
            <w:r w:rsidRPr="001053B7">
              <w:rPr>
                <w:rFonts w:ascii="Arial" w:hAnsi="Arial" w:cs="Arial"/>
                <w:b/>
                <w:bCs/>
                <w:color w:val="000000"/>
                <w:sz w:val="16"/>
                <w:szCs w:val="16"/>
              </w:rPr>
              <w:t>-18</w:t>
            </w:r>
          </w:p>
        </w:tc>
        <w:tc>
          <w:tcPr>
            <w:tcW w:w="1128" w:type="dxa"/>
            <w:tcBorders>
              <w:top w:val="nil"/>
              <w:left w:val="nil"/>
              <w:bottom w:val="single" w:sz="4" w:space="0" w:color="auto"/>
              <w:right w:val="single" w:sz="4" w:space="0" w:color="auto"/>
            </w:tcBorders>
            <w:shd w:val="clear" w:color="auto" w:fill="auto"/>
            <w:noWrap/>
            <w:vAlign w:val="bottom"/>
          </w:tcPr>
          <w:p w14:paraId="2682C18E" w14:textId="422DF500" w:rsidR="00AA0257" w:rsidRPr="00A46CBE" w:rsidRDefault="00AA0257" w:rsidP="00E914C6">
            <w:pPr>
              <w:jc w:val="right"/>
              <w:rPr>
                <w:rFonts w:ascii="Arial" w:hAnsi="Arial" w:cs="Arial"/>
                <w:b/>
                <w:bCs/>
                <w:color w:val="000000"/>
                <w:sz w:val="16"/>
                <w:szCs w:val="16"/>
                <w:lang w:val="es-ES_tradnl"/>
              </w:rPr>
            </w:pPr>
            <w:r w:rsidRPr="001053B7">
              <w:rPr>
                <w:rFonts w:ascii="Arial" w:hAnsi="Arial" w:cs="Arial"/>
                <w:b/>
                <w:bCs/>
                <w:color w:val="000000"/>
                <w:sz w:val="16"/>
                <w:szCs w:val="16"/>
                <w:lang w:val="es-ES_tradnl"/>
              </w:rPr>
              <w:t>8.</w:t>
            </w:r>
            <w:r w:rsidR="00F07B96" w:rsidRPr="001053B7">
              <w:rPr>
                <w:rFonts w:ascii="Arial" w:hAnsi="Arial" w:cs="Arial"/>
                <w:b/>
                <w:bCs/>
                <w:color w:val="000000"/>
                <w:sz w:val="16"/>
                <w:szCs w:val="16"/>
                <w:lang w:val="es-ES_tradnl"/>
              </w:rPr>
              <w:t>81</w:t>
            </w:r>
            <w:r w:rsidR="00F07B96">
              <w:rPr>
                <w:rFonts w:ascii="Arial" w:hAnsi="Arial" w:cs="Arial"/>
                <w:b/>
                <w:bCs/>
                <w:color w:val="000000"/>
                <w:sz w:val="16"/>
                <w:szCs w:val="16"/>
                <w:lang w:val="es-ES_tradnl"/>
              </w:rPr>
              <w:t>4</w:t>
            </w:r>
          </w:p>
        </w:tc>
      </w:tr>
    </w:tbl>
    <w:p w14:paraId="3F631CAC" w14:textId="77777777" w:rsidR="002A4D61" w:rsidRDefault="002A4D61" w:rsidP="00AA0257">
      <w:pPr>
        <w:pStyle w:val="Lista"/>
        <w:ind w:left="0" w:firstLine="0"/>
        <w:jc w:val="both"/>
        <w:rPr>
          <w:rFonts w:ascii="Arial" w:hAnsi="Arial" w:cs="Arial"/>
          <w:sz w:val="20"/>
          <w:szCs w:val="20"/>
          <w:lang w:val="es-AR"/>
        </w:rPr>
      </w:pPr>
    </w:p>
    <w:p w14:paraId="6E18F914" w14:textId="77777777" w:rsidR="002A4D61" w:rsidRPr="009B512A" w:rsidRDefault="002A4D61" w:rsidP="002A4D61">
      <w:pPr>
        <w:rPr>
          <w:rFonts w:ascii="Arial" w:eastAsiaTheme="minorHAnsi" w:hAnsi="Arial" w:cs="Arial"/>
          <w:sz w:val="20"/>
        </w:rPr>
      </w:pPr>
      <w:r w:rsidRPr="009B512A">
        <w:rPr>
          <w:rFonts w:ascii="Arial" w:eastAsiaTheme="minorHAnsi" w:hAnsi="Arial" w:cs="Arial"/>
          <w:sz w:val="20"/>
        </w:rPr>
        <w:t>(*) La participación en Swift se encuentra registrada en el rubro Otros títulos de deuda</w:t>
      </w:r>
    </w:p>
    <w:p w14:paraId="4F1856DF" w14:textId="77777777" w:rsidR="002A4D61" w:rsidRDefault="002A4D61" w:rsidP="002A4D61">
      <w:pPr>
        <w:rPr>
          <w:rFonts w:ascii="Arial" w:eastAsiaTheme="minorHAnsi" w:hAnsi="Arial" w:cs="Arial"/>
          <w:b/>
          <w:sz w:val="20"/>
        </w:rPr>
      </w:pPr>
    </w:p>
    <w:p w14:paraId="73C98459" w14:textId="781CC5C8" w:rsidR="002A4D61" w:rsidRPr="002B52DE" w:rsidRDefault="002A4D61" w:rsidP="002A4D61">
      <w:pPr>
        <w:widowControl w:val="0"/>
        <w:autoSpaceDE w:val="0"/>
        <w:autoSpaceDN w:val="0"/>
        <w:adjustRightInd w:val="0"/>
        <w:jc w:val="both"/>
        <w:rPr>
          <w:rFonts w:ascii="Arial" w:hAnsi="Arial" w:cs="Arial"/>
          <w:b/>
          <w:caps/>
          <w:noProof/>
          <w:sz w:val="20"/>
        </w:rPr>
      </w:pPr>
      <w:r>
        <w:rPr>
          <w:rFonts w:ascii="Arial" w:hAnsi="Arial" w:cs="Arial"/>
          <w:b/>
          <w:noProof/>
          <w:sz w:val="20"/>
        </w:rPr>
        <w:t>21.</w:t>
      </w:r>
      <w:r w:rsidRPr="002B52DE">
        <w:rPr>
          <w:rFonts w:ascii="Arial" w:hAnsi="Arial" w:cs="Arial"/>
          <w:b/>
          <w:caps/>
          <w:noProof/>
          <w:sz w:val="20"/>
        </w:rPr>
        <w:t xml:space="preserve"> Obligaciones por beneficios </w:t>
      </w:r>
      <w:r w:rsidR="00407C44">
        <w:rPr>
          <w:rFonts w:ascii="Arial" w:hAnsi="Arial" w:cs="Arial"/>
          <w:b/>
          <w:caps/>
          <w:noProof/>
          <w:sz w:val="20"/>
        </w:rPr>
        <w:t>A LARGO PLAZO</w:t>
      </w:r>
      <w:r w:rsidRPr="002B52DE">
        <w:rPr>
          <w:rFonts w:ascii="Arial" w:hAnsi="Arial" w:cs="Arial"/>
          <w:b/>
          <w:caps/>
          <w:noProof/>
          <w:sz w:val="20"/>
        </w:rPr>
        <w:t xml:space="preserve"> </w:t>
      </w:r>
    </w:p>
    <w:p w14:paraId="14E73449" w14:textId="77777777" w:rsidR="002A4D61" w:rsidRPr="00701F32" w:rsidRDefault="002A4D61" w:rsidP="002A4D61">
      <w:pPr>
        <w:widowControl w:val="0"/>
        <w:autoSpaceDE w:val="0"/>
        <w:autoSpaceDN w:val="0"/>
        <w:adjustRightInd w:val="0"/>
        <w:jc w:val="both"/>
        <w:rPr>
          <w:rFonts w:ascii="Arial" w:hAnsi="Arial" w:cs="Arial"/>
          <w:noProof/>
          <w:sz w:val="20"/>
        </w:rPr>
      </w:pPr>
    </w:p>
    <w:p w14:paraId="04CD8201" w14:textId="6209936E" w:rsidR="002A4D61" w:rsidRPr="00555D99" w:rsidRDefault="00CB4373" w:rsidP="002A4D61">
      <w:pPr>
        <w:widowControl w:val="0"/>
        <w:autoSpaceDE w:val="0"/>
        <w:autoSpaceDN w:val="0"/>
        <w:adjustRightInd w:val="0"/>
        <w:jc w:val="both"/>
        <w:rPr>
          <w:rFonts w:ascii="Arial" w:hAnsi="Arial" w:cs="Arial"/>
          <w:noProof/>
          <w:sz w:val="20"/>
        </w:rPr>
      </w:pPr>
      <w:r w:rsidRPr="00701F32">
        <w:rPr>
          <w:rFonts w:ascii="Arial" w:hAnsi="Arial" w:cs="Arial"/>
          <w:noProof/>
          <w:sz w:val="20"/>
        </w:rPr>
        <w:t xml:space="preserve">Al 31 de diciembre de </w:t>
      </w:r>
      <w:r>
        <w:rPr>
          <w:rFonts w:ascii="Arial" w:hAnsi="Arial" w:cs="Arial"/>
          <w:noProof/>
          <w:sz w:val="20"/>
        </w:rPr>
        <w:t xml:space="preserve">2019 y </w:t>
      </w:r>
      <w:r w:rsidRPr="00701F32">
        <w:rPr>
          <w:rFonts w:ascii="Arial" w:hAnsi="Arial" w:cs="Arial"/>
          <w:noProof/>
          <w:sz w:val="20"/>
        </w:rPr>
        <w:t>201</w:t>
      </w:r>
      <w:r>
        <w:rPr>
          <w:rFonts w:ascii="Arial" w:hAnsi="Arial" w:cs="Arial"/>
          <w:noProof/>
          <w:sz w:val="20"/>
        </w:rPr>
        <w:t xml:space="preserve">8 </w:t>
      </w:r>
      <w:r w:rsidRPr="00701F32">
        <w:rPr>
          <w:rFonts w:ascii="Arial" w:hAnsi="Arial" w:cs="Arial"/>
          <w:noProof/>
          <w:sz w:val="20"/>
        </w:rPr>
        <w:t xml:space="preserve">los saldos registrados por beneficios </w:t>
      </w:r>
      <w:r w:rsidR="00407C44">
        <w:rPr>
          <w:rFonts w:ascii="Arial" w:hAnsi="Arial" w:cs="Arial"/>
          <w:noProof/>
          <w:sz w:val="20"/>
        </w:rPr>
        <w:t>a largo plazo</w:t>
      </w:r>
      <w:r w:rsidRPr="00701F32">
        <w:rPr>
          <w:rFonts w:ascii="Arial" w:hAnsi="Arial" w:cs="Arial"/>
          <w:noProof/>
          <w:sz w:val="20"/>
        </w:rPr>
        <w:t xml:space="preserve"> ascendían a </w:t>
      </w:r>
      <w:r w:rsidRPr="005B1C95">
        <w:rPr>
          <w:rFonts w:ascii="Arial" w:hAnsi="Arial" w:cs="Arial"/>
          <w:noProof/>
          <w:sz w:val="20"/>
        </w:rPr>
        <w:t>947.536 y 396.082</w:t>
      </w:r>
      <w:r>
        <w:rPr>
          <w:rFonts w:ascii="Arial" w:hAnsi="Arial" w:cs="Arial"/>
          <w:noProof/>
          <w:sz w:val="20"/>
        </w:rPr>
        <w:t xml:space="preserve">, respectivamente. </w:t>
      </w:r>
      <w:r w:rsidRPr="00701F32">
        <w:rPr>
          <w:rFonts w:ascii="Arial" w:eastAsia="Arial" w:hAnsi="Arial" w:cs="Arial"/>
          <w:sz w:val="20"/>
        </w:rPr>
        <w:t xml:space="preserve">El importe del ejercicio reconocido como gasto respecto de los beneficios de retiro del personal al 31 de diciembre de </w:t>
      </w:r>
      <w:r>
        <w:rPr>
          <w:rFonts w:ascii="Arial" w:eastAsia="Arial" w:hAnsi="Arial" w:cs="Arial"/>
          <w:sz w:val="20"/>
        </w:rPr>
        <w:t xml:space="preserve">2019 y </w:t>
      </w:r>
      <w:r w:rsidRPr="00701F32">
        <w:rPr>
          <w:rFonts w:ascii="Arial" w:eastAsia="Arial" w:hAnsi="Arial" w:cs="Arial"/>
          <w:sz w:val="20"/>
        </w:rPr>
        <w:t>201</w:t>
      </w:r>
      <w:r>
        <w:rPr>
          <w:rFonts w:ascii="Arial" w:eastAsia="Arial" w:hAnsi="Arial" w:cs="Arial"/>
          <w:sz w:val="20"/>
        </w:rPr>
        <w:t>8</w:t>
      </w:r>
      <w:r w:rsidRPr="00701F32">
        <w:rPr>
          <w:rFonts w:ascii="Arial" w:eastAsia="Arial" w:hAnsi="Arial" w:cs="Arial"/>
          <w:sz w:val="20"/>
        </w:rPr>
        <w:t xml:space="preserve"> fue de </w:t>
      </w:r>
      <w:r>
        <w:rPr>
          <w:rFonts w:ascii="Arial" w:eastAsia="Arial" w:hAnsi="Arial" w:cs="Arial"/>
          <w:sz w:val="20"/>
        </w:rPr>
        <w:t>739</w:t>
      </w:r>
      <w:r w:rsidRPr="00381C57">
        <w:rPr>
          <w:rFonts w:ascii="Arial" w:eastAsia="Arial" w:hAnsi="Arial" w:cs="Arial"/>
          <w:sz w:val="20"/>
        </w:rPr>
        <w:t>.</w:t>
      </w:r>
      <w:r>
        <w:rPr>
          <w:rFonts w:ascii="Arial" w:eastAsia="Arial" w:hAnsi="Arial" w:cs="Arial"/>
          <w:sz w:val="20"/>
        </w:rPr>
        <w:t>182</w:t>
      </w:r>
      <w:r w:rsidRPr="00381C57">
        <w:rPr>
          <w:rFonts w:ascii="Arial" w:eastAsia="Arial" w:hAnsi="Arial" w:cs="Arial"/>
          <w:sz w:val="20"/>
        </w:rPr>
        <w:t xml:space="preserve"> y 83.433</w:t>
      </w:r>
      <w:r>
        <w:rPr>
          <w:rFonts w:ascii="Arial" w:eastAsia="Arial" w:hAnsi="Arial" w:cs="Arial"/>
          <w:sz w:val="20"/>
        </w:rPr>
        <w:t>, respectivamente.</w:t>
      </w:r>
    </w:p>
    <w:p w14:paraId="5B011DA7" w14:textId="77777777" w:rsidR="002A4D61" w:rsidRPr="00701F32" w:rsidRDefault="002A4D61" w:rsidP="002A4D61">
      <w:pPr>
        <w:widowControl w:val="0"/>
        <w:autoSpaceDE w:val="0"/>
        <w:autoSpaceDN w:val="0"/>
        <w:adjustRightInd w:val="0"/>
        <w:jc w:val="both"/>
        <w:rPr>
          <w:rFonts w:ascii="Arial" w:hAnsi="Arial" w:cs="Arial"/>
          <w:noProof/>
          <w:sz w:val="20"/>
        </w:rPr>
      </w:pPr>
    </w:p>
    <w:p w14:paraId="54DB7FD6" w14:textId="12934E40" w:rsidR="002A4D61" w:rsidRDefault="002A4D61" w:rsidP="002A4D61">
      <w:pPr>
        <w:spacing w:after="160" w:line="259" w:lineRule="auto"/>
        <w:jc w:val="both"/>
        <w:rPr>
          <w:rFonts w:ascii="Arial" w:eastAsia="Arial" w:hAnsi="Arial" w:cs="Arial"/>
          <w:sz w:val="20"/>
        </w:rPr>
      </w:pPr>
      <w:r w:rsidRPr="00701F32">
        <w:rPr>
          <w:rFonts w:ascii="Arial" w:eastAsia="Arial" w:hAnsi="Arial" w:cs="Arial"/>
          <w:sz w:val="20"/>
        </w:rPr>
        <w:t>Se detalla a continuación la evolución durante el ejercicio:</w:t>
      </w:r>
    </w:p>
    <w:p w14:paraId="382D9B7B" w14:textId="77777777" w:rsidR="00F12A5A" w:rsidRPr="00701F32" w:rsidRDefault="00F12A5A" w:rsidP="002A4D61">
      <w:pPr>
        <w:spacing w:after="160" w:line="259" w:lineRule="auto"/>
        <w:jc w:val="both"/>
        <w:rPr>
          <w:rFonts w:ascii="Arial" w:eastAsia="Arial" w:hAnsi="Arial" w:cs="Arial"/>
          <w:sz w:val="20"/>
        </w:rPr>
      </w:pPr>
    </w:p>
    <w:tbl>
      <w:tblPr>
        <w:tblW w:w="40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0"/>
        <w:gridCol w:w="1728"/>
        <w:gridCol w:w="1726"/>
      </w:tblGrid>
      <w:tr w:rsidR="00970522" w:rsidRPr="00701F32" w14:paraId="0D5DFC7B" w14:textId="77777777" w:rsidTr="00CB4373">
        <w:trPr>
          <w:trHeight w:val="142"/>
          <w:jc w:val="center"/>
        </w:trPr>
        <w:tc>
          <w:tcPr>
            <w:tcW w:w="2531" w:type="pct"/>
          </w:tcPr>
          <w:p w14:paraId="03C40B5D" w14:textId="77777777" w:rsidR="00970522" w:rsidRPr="00701F32" w:rsidRDefault="00970522" w:rsidP="002A4D61">
            <w:pPr>
              <w:jc w:val="both"/>
              <w:rPr>
                <w:rFonts w:ascii="Arial" w:eastAsia="SimSun" w:hAnsi="Arial" w:cs="Arial"/>
                <w:sz w:val="18"/>
                <w:lang w:eastAsia="zh-CN"/>
              </w:rPr>
            </w:pPr>
            <w:r w:rsidRPr="00701F32">
              <w:rPr>
                <w:rFonts w:ascii="Arial" w:eastAsia="SimSun" w:hAnsi="Arial" w:cs="Arial"/>
                <w:sz w:val="18"/>
                <w:lang w:eastAsia="zh-CN"/>
              </w:rPr>
              <w:t> </w:t>
            </w:r>
          </w:p>
        </w:tc>
        <w:tc>
          <w:tcPr>
            <w:tcW w:w="1235" w:type="pct"/>
            <w:vAlign w:val="center"/>
          </w:tcPr>
          <w:p w14:paraId="12F4A15D" w14:textId="08A75232" w:rsidR="00970522" w:rsidRPr="00701F32" w:rsidRDefault="00970522" w:rsidP="002A4D61">
            <w:pPr>
              <w:jc w:val="center"/>
              <w:rPr>
                <w:rFonts w:ascii="Arial" w:eastAsia="SimSun" w:hAnsi="Arial" w:cs="Arial"/>
                <w:b/>
                <w:bCs/>
                <w:sz w:val="18"/>
                <w:lang w:eastAsia="zh-CN"/>
              </w:rPr>
            </w:pPr>
            <w:r>
              <w:rPr>
                <w:rFonts w:ascii="Arial" w:eastAsia="SimSun" w:hAnsi="Arial" w:cs="Arial"/>
                <w:b/>
                <w:bCs/>
                <w:sz w:val="18"/>
                <w:lang w:eastAsia="zh-CN"/>
              </w:rPr>
              <w:t>31/12/2019</w:t>
            </w:r>
          </w:p>
        </w:tc>
        <w:tc>
          <w:tcPr>
            <w:tcW w:w="1234" w:type="pct"/>
          </w:tcPr>
          <w:p w14:paraId="4DDF3790" w14:textId="67951027" w:rsidR="00970522" w:rsidRPr="00701F32" w:rsidRDefault="00970522" w:rsidP="002A4D61">
            <w:pPr>
              <w:jc w:val="center"/>
              <w:rPr>
                <w:rFonts w:ascii="Arial" w:eastAsia="SimSun" w:hAnsi="Arial" w:cs="Arial"/>
                <w:b/>
                <w:bCs/>
                <w:sz w:val="18"/>
                <w:lang w:eastAsia="zh-CN"/>
              </w:rPr>
            </w:pPr>
            <w:r>
              <w:rPr>
                <w:rFonts w:ascii="Arial" w:eastAsia="SimSun" w:hAnsi="Arial" w:cs="Arial"/>
                <w:b/>
                <w:bCs/>
                <w:sz w:val="18"/>
                <w:lang w:eastAsia="zh-CN"/>
              </w:rPr>
              <w:t>31/12/2018</w:t>
            </w:r>
          </w:p>
        </w:tc>
      </w:tr>
      <w:tr w:rsidR="00CB4373" w:rsidRPr="00701F32" w14:paraId="24C072DC" w14:textId="77777777" w:rsidTr="00CB4373">
        <w:trPr>
          <w:trHeight w:val="287"/>
          <w:jc w:val="center"/>
        </w:trPr>
        <w:tc>
          <w:tcPr>
            <w:tcW w:w="2531" w:type="pct"/>
            <w:vAlign w:val="bottom"/>
          </w:tcPr>
          <w:p w14:paraId="69ABA3F8" w14:textId="77777777" w:rsidR="00CB4373" w:rsidRPr="00701F32" w:rsidRDefault="00CB4373" w:rsidP="00CB4373">
            <w:pPr>
              <w:jc w:val="both"/>
              <w:rPr>
                <w:rFonts w:ascii="Arial" w:eastAsia="SimSun" w:hAnsi="Arial" w:cs="Arial"/>
                <w:sz w:val="18"/>
                <w:lang w:eastAsia="zh-CN"/>
              </w:rPr>
            </w:pPr>
            <w:r w:rsidRPr="00701F32">
              <w:rPr>
                <w:rFonts w:ascii="Arial" w:eastAsia="SimSun" w:hAnsi="Arial" w:cs="Arial"/>
                <w:sz w:val="18"/>
                <w:lang w:eastAsia="zh-CN"/>
              </w:rPr>
              <w:t xml:space="preserve">Saldo al inicio del ejercicio </w:t>
            </w:r>
          </w:p>
        </w:tc>
        <w:tc>
          <w:tcPr>
            <w:tcW w:w="1235" w:type="pct"/>
            <w:vAlign w:val="center"/>
          </w:tcPr>
          <w:p w14:paraId="78BE3E27" w14:textId="7B3DF443" w:rsidR="00CB4373" w:rsidRPr="00701F32" w:rsidRDefault="00CB4373" w:rsidP="00CB4373">
            <w:pPr>
              <w:ind w:right="113"/>
              <w:jc w:val="right"/>
              <w:rPr>
                <w:rFonts w:ascii="Arial" w:eastAsia="SimSun" w:hAnsi="Arial" w:cs="Arial"/>
                <w:sz w:val="18"/>
                <w:lang w:eastAsia="zh-CN"/>
              </w:rPr>
            </w:pPr>
            <w:r>
              <w:rPr>
                <w:rFonts w:ascii="Arial" w:eastAsia="SimSun" w:hAnsi="Arial" w:cs="Arial"/>
                <w:sz w:val="18"/>
                <w:lang w:eastAsia="zh-CN"/>
              </w:rPr>
              <w:t>396.082</w:t>
            </w:r>
          </w:p>
        </w:tc>
        <w:tc>
          <w:tcPr>
            <w:tcW w:w="1234" w:type="pct"/>
            <w:vAlign w:val="bottom"/>
          </w:tcPr>
          <w:p w14:paraId="35634EF0" w14:textId="565BAFA2" w:rsidR="00CB4373" w:rsidRPr="00701F32" w:rsidRDefault="00CB4373" w:rsidP="00CB4373">
            <w:pPr>
              <w:ind w:right="113"/>
              <w:jc w:val="right"/>
              <w:rPr>
                <w:rFonts w:ascii="Arial" w:eastAsia="SimSun" w:hAnsi="Arial" w:cs="Arial"/>
                <w:sz w:val="18"/>
                <w:lang w:eastAsia="zh-CN"/>
              </w:rPr>
            </w:pPr>
            <w:r>
              <w:rPr>
                <w:rFonts w:ascii="Arial" w:eastAsia="SimSun" w:hAnsi="Arial" w:cs="Arial"/>
                <w:sz w:val="18"/>
                <w:lang w:eastAsia="zh-CN"/>
              </w:rPr>
              <w:t>451</w:t>
            </w:r>
            <w:r w:rsidRPr="00701F32">
              <w:rPr>
                <w:rFonts w:ascii="Arial" w:eastAsia="SimSun" w:hAnsi="Arial" w:cs="Arial"/>
                <w:sz w:val="18"/>
                <w:lang w:eastAsia="zh-CN"/>
              </w:rPr>
              <w:t>.</w:t>
            </w:r>
            <w:r>
              <w:rPr>
                <w:rFonts w:ascii="Arial" w:eastAsia="SimSun" w:hAnsi="Arial" w:cs="Arial"/>
                <w:sz w:val="18"/>
                <w:lang w:eastAsia="zh-CN"/>
              </w:rPr>
              <w:t>505</w:t>
            </w:r>
          </w:p>
        </w:tc>
      </w:tr>
      <w:tr w:rsidR="00CB4373" w:rsidRPr="00701F32" w14:paraId="602DD631" w14:textId="77777777" w:rsidTr="00CB4373">
        <w:trPr>
          <w:trHeight w:val="297"/>
          <w:jc w:val="center"/>
        </w:trPr>
        <w:tc>
          <w:tcPr>
            <w:tcW w:w="2531" w:type="pct"/>
            <w:vAlign w:val="bottom"/>
          </w:tcPr>
          <w:p w14:paraId="06032B95" w14:textId="77777777" w:rsidR="00CB4373" w:rsidRPr="00701F32" w:rsidRDefault="00CB4373" w:rsidP="00CB4373">
            <w:pPr>
              <w:jc w:val="both"/>
              <w:rPr>
                <w:rFonts w:ascii="Arial" w:eastAsia="SimSun" w:hAnsi="Arial" w:cs="Arial"/>
                <w:sz w:val="18"/>
                <w:lang w:eastAsia="zh-CN"/>
              </w:rPr>
            </w:pPr>
            <w:r w:rsidRPr="00701F32">
              <w:rPr>
                <w:rFonts w:ascii="Arial" w:eastAsia="SimSun" w:hAnsi="Arial" w:cs="Arial"/>
                <w:sz w:val="18"/>
                <w:lang w:eastAsia="zh-CN"/>
              </w:rPr>
              <w:t>Altas del</w:t>
            </w:r>
            <w:r>
              <w:rPr>
                <w:rFonts w:ascii="Arial" w:eastAsia="SimSun" w:hAnsi="Arial" w:cs="Arial"/>
                <w:sz w:val="18"/>
                <w:lang w:eastAsia="zh-CN"/>
              </w:rPr>
              <w:t xml:space="preserve"> ejercicio</w:t>
            </w:r>
          </w:p>
        </w:tc>
        <w:tc>
          <w:tcPr>
            <w:tcW w:w="1235" w:type="pct"/>
            <w:vAlign w:val="center"/>
          </w:tcPr>
          <w:p w14:paraId="42AB9572" w14:textId="12D0961E" w:rsidR="00CB4373" w:rsidRPr="00701F32" w:rsidRDefault="00CB4373" w:rsidP="00CB4373">
            <w:pPr>
              <w:ind w:right="113"/>
              <w:jc w:val="right"/>
              <w:rPr>
                <w:rFonts w:ascii="Arial" w:eastAsia="SimSun" w:hAnsi="Arial" w:cs="Arial"/>
                <w:sz w:val="18"/>
                <w:lang w:eastAsia="zh-CN"/>
              </w:rPr>
            </w:pPr>
            <w:r>
              <w:rPr>
                <w:rFonts w:ascii="Arial" w:eastAsia="SimSun" w:hAnsi="Arial" w:cs="Arial"/>
                <w:sz w:val="18"/>
                <w:lang w:eastAsia="zh-CN"/>
              </w:rPr>
              <w:t>741.121</w:t>
            </w:r>
          </w:p>
        </w:tc>
        <w:tc>
          <w:tcPr>
            <w:tcW w:w="1234" w:type="pct"/>
            <w:vAlign w:val="bottom"/>
          </w:tcPr>
          <w:p w14:paraId="4B911798" w14:textId="08F825F6" w:rsidR="00CB4373" w:rsidRPr="00701F32" w:rsidRDefault="00CB4373" w:rsidP="00CB4373">
            <w:pPr>
              <w:ind w:right="113"/>
              <w:jc w:val="right"/>
              <w:rPr>
                <w:rFonts w:ascii="Arial" w:eastAsia="SimSun" w:hAnsi="Arial" w:cs="Arial"/>
                <w:sz w:val="18"/>
                <w:lang w:eastAsia="zh-CN"/>
              </w:rPr>
            </w:pPr>
            <w:r>
              <w:rPr>
                <w:rFonts w:ascii="Arial" w:eastAsia="SimSun" w:hAnsi="Arial" w:cs="Arial"/>
                <w:sz w:val="18"/>
                <w:lang w:eastAsia="zh-CN"/>
              </w:rPr>
              <w:t>125.880</w:t>
            </w:r>
          </w:p>
        </w:tc>
      </w:tr>
      <w:tr w:rsidR="00CB4373" w:rsidRPr="00701F32" w14:paraId="165AC434" w14:textId="77777777" w:rsidTr="00CB4373">
        <w:trPr>
          <w:trHeight w:val="246"/>
          <w:jc w:val="center"/>
        </w:trPr>
        <w:tc>
          <w:tcPr>
            <w:tcW w:w="2531" w:type="pct"/>
            <w:vAlign w:val="bottom"/>
          </w:tcPr>
          <w:p w14:paraId="597F08BD" w14:textId="77777777" w:rsidR="00CB4373" w:rsidRPr="00701F32" w:rsidRDefault="00CB4373" w:rsidP="00CB4373">
            <w:pPr>
              <w:jc w:val="both"/>
              <w:rPr>
                <w:rFonts w:ascii="Arial" w:eastAsia="SimSun" w:hAnsi="Arial" w:cs="Arial"/>
                <w:sz w:val="18"/>
                <w:lang w:eastAsia="zh-CN"/>
              </w:rPr>
            </w:pPr>
            <w:r w:rsidRPr="00701F32">
              <w:rPr>
                <w:rFonts w:ascii="Arial" w:eastAsia="SimSun" w:hAnsi="Arial" w:cs="Arial"/>
                <w:sz w:val="18"/>
                <w:lang w:eastAsia="zh-CN"/>
              </w:rPr>
              <w:t>Beneficios pagados a los participantes</w:t>
            </w:r>
          </w:p>
        </w:tc>
        <w:tc>
          <w:tcPr>
            <w:tcW w:w="1235" w:type="pct"/>
            <w:vAlign w:val="center"/>
          </w:tcPr>
          <w:p w14:paraId="797F2CEC" w14:textId="671BC667" w:rsidR="00CB4373" w:rsidRPr="00701F32" w:rsidRDefault="00CB4373" w:rsidP="00CB4373">
            <w:pPr>
              <w:ind w:right="113"/>
              <w:jc w:val="right"/>
              <w:rPr>
                <w:rFonts w:ascii="Arial" w:eastAsia="SimSun" w:hAnsi="Arial" w:cs="Arial"/>
                <w:sz w:val="18"/>
                <w:lang w:eastAsia="zh-CN"/>
              </w:rPr>
            </w:pPr>
            <w:r>
              <w:rPr>
                <w:rFonts w:ascii="Arial" w:eastAsia="SimSun" w:hAnsi="Arial" w:cs="Arial"/>
                <w:sz w:val="18"/>
                <w:lang w:eastAsia="zh-CN"/>
              </w:rPr>
              <w:t>(189.667)</w:t>
            </w:r>
          </w:p>
        </w:tc>
        <w:tc>
          <w:tcPr>
            <w:tcW w:w="1234" w:type="pct"/>
            <w:vAlign w:val="bottom"/>
          </w:tcPr>
          <w:p w14:paraId="1EEB5A04" w14:textId="2F7E1B1C" w:rsidR="00CB4373" w:rsidRPr="00701F32" w:rsidRDefault="00CB4373" w:rsidP="00CB4373">
            <w:pPr>
              <w:ind w:right="113"/>
              <w:jc w:val="right"/>
              <w:rPr>
                <w:rFonts w:ascii="Arial" w:eastAsia="SimSun" w:hAnsi="Arial" w:cs="Arial"/>
                <w:sz w:val="18"/>
                <w:lang w:eastAsia="zh-CN"/>
              </w:rPr>
            </w:pPr>
            <w:r w:rsidRPr="00701F32">
              <w:rPr>
                <w:rFonts w:ascii="Arial" w:eastAsia="SimSun" w:hAnsi="Arial" w:cs="Arial"/>
                <w:sz w:val="18"/>
                <w:lang w:eastAsia="zh-CN"/>
              </w:rPr>
              <w:t>(1</w:t>
            </w:r>
            <w:r>
              <w:rPr>
                <w:rFonts w:ascii="Arial" w:eastAsia="SimSun" w:hAnsi="Arial" w:cs="Arial"/>
                <w:sz w:val="18"/>
                <w:lang w:eastAsia="zh-CN"/>
              </w:rPr>
              <w:t>81</w:t>
            </w:r>
            <w:r w:rsidRPr="00701F32">
              <w:rPr>
                <w:rFonts w:ascii="Arial" w:eastAsia="SimSun" w:hAnsi="Arial" w:cs="Arial"/>
                <w:sz w:val="18"/>
                <w:lang w:eastAsia="zh-CN"/>
              </w:rPr>
              <w:t>.</w:t>
            </w:r>
            <w:r>
              <w:rPr>
                <w:rFonts w:ascii="Arial" w:eastAsia="SimSun" w:hAnsi="Arial" w:cs="Arial"/>
                <w:sz w:val="18"/>
                <w:lang w:eastAsia="zh-CN"/>
              </w:rPr>
              <w:t>303</w:t>
            </w:r>
            <w:r w:rsidRPr="00701F32">
              <w:rPr>
                <w:rFonts w:ascii="Arial" w:eastAsia="SimSun" w:hAnsi="Arial" w:cs="Arial"/>
                <w:sz w:val="18"/>
                <w:lang w:eastAsia="zh-CN"/>
              </w:rPr>
              <w:t>)</w:t>
            </w:r>
          </w:p>
        </w:tc>
      </w:tr>
      <w:tr w:rsidR="00CB4373" w:rsidRPr="00701F32" w14:paraId="370F4B04" w14:textId="77777777" w:rsidTr="00CB4373">
        <w:trPr>
          <w:trHeight w:val="287"/>
          <w:jc w:val="center"/>
        </w:trPr>
        <w:tc>
          <w:tcPr>
            <w:tcW w:w="2531" w:type="pct"/>
            <w:vAlign w:val="bottom"/>
          </w:tcPr>
          <w:p w14:paraId="3325CD7E" w14:textId="77777777" w:rsidR="00CB4373" w:rsidRPr="00701F32" w:rsidRDefault="00CB4373" w:rsidP="00CB4373">
            <w:pPr>
              <w:jc w:val="both"/>
              <w:rPr>
                <w:rFonts w:ascii="Arial" w:eastAsia="SimSun" w:hAnsi="Arial" w:cs="Arial"/>
                <w:b/>
                <w:bCs/>
                <w:sz w:val="18"/>
                <w:lang w:eastAsia="zh-CN"/>
              </w:rPr>
            </w:pPr>
            <w:r w:rsidRPr="00701F32">
              <w:rPr>
                <w:rFonts w:ascii="Arial" w:eastAsia="SimSun" w:hAnsi="Arial" w:cs="Arial"/>
                <w:b/>
                <w:bCs/>
                <w:sz w:val="18"/>
                <w:lang w:eastAsia="zh-CN"/>
              </w:rPr>
              <w:t xml:space="preserve">Saldo al </w:t>
            </w:r>
            <w:r>
              <w:rPr>
                <w:rFonts w:ascii="Arial" w:eastAsia="SimSun" w:hAnsi="Arial" w:cs="Arial"/>
                <w:b/>
                <w:bCs/>
                <w:sz w:val="18"/>
                <w:lang w:eastAsia="zh-CN"/>
              </w:rPr>
              <w:t>cierre</w:t>
            </w:r>
          </w:p>
        </w:tc>
        <w:tc>
          <w:tcPr>
            <w:tcW w:w="1235" w:type="pct"/>
            <w:vAlign w:val="center"/>
          </w:tcPr>
          <w:p w14:paraId="4C492301" w14:textId="2F973E87" w:rsidR="00CB4373" w:rsidRPr="002C4E8B" w:rsidRDefault="00CB4373" w:rsidP="00CB4373">
            <w:pPr>
              <w:ind w:right="113"/>
              <w:jc w:val="right"/>
              <w:rPr>
                <w:rFonts w:ascii="Arial" w:eastAsia="SimSun" w:hAnsi="Arial" w:cs="Arial"/>
                <w:b/>
                <w:sz w:val="18"/>
                <w:lang w:eastAsia="zh-CN"/>
              </w:rPr>
            </w:pPr>
            <w:r>
              <w:rPr>
                <w:rFonts w:ascii="Arial" w:eastAsia="SimSun" w:hAnsi="Arial" w:cs="Arial"/>
                <w:b/>
                <w:sz w:val="18"/>
                <w:lang w:eastAsia="zh-CN"/>
              </w:rPr>
              <w:t>947.536</w:t>
            </w:r>
          </w:p>
        </w:tc>
        <w:tc>
          <w:tcPr>
            <w:tcW w:w="1234" w:type="pct"/>
            <w:vAlign w:val="bottom"/>
          </w:tcPr>
          <w:p w14:paraId="2CD0BB1A" w14:textId="7E9D2EEB" w:rsidR="00CB4373" w:rsidRPr="00701F32" w:rsidRDefault="00CB4373" w:rsidP="00CB4373">
            <w:pPr>
              <w:ind w:right="113"/>
              <w:jc w:val="right"/>
              <w:rPr>
                <w:rFonts w:ascii="Arial" w:eastAsia="SimSun" w:hAnsi="Arial" w:cs="Arial"/>
                <w:b/>
                <w:sz w:val="18"/>
                <w:lang w:eastAsia="zh-CN"/>
              </w:rPr>
            </w:pPr>
            <w:r w:rsidRPr="002C4E8B">
              <w:rPr>
                <w:rFonts w:ascii="Arial" w:eastAsia="SimSun" w:hAnsi="Arial" w:cs="Arial"/>
                <w:b/>
                <w:sz w:val="18"/>
                <w:lang w:eastAsia="zh-CN"/>
              </w:rPr>
              <w:t>396.082</w:t>
            </w:r>
          </w:p>
        </w:tc>
      </w:tr>
    </w:tbl>
    <w:p w14:paraId="60BDBA28" w14:textId="77777777" w:rsidR="002A4D61" w:rsidRPr="00701F32" w:rsidRDefault="002A4D61" w:rsidP="002A4D61">
      <w:pPr>
        <w:spacing w:after="160" w:line="259" w:lineRule="auto"/>
        <w:jc w:val="both"/>
        <w:rPr>
          <w:rFonts w:ascii="Arial" w:eastAsia="Arial" w:hAnsi="Arial" w:cs="Arial"/>
          <w:b/>
          <w:color w:val="0070C0"/>
          <w:sz w:val="20"/>
        </w:rPr>
      </w:pPr>
    </w:p>
    <w:p w14:paraId="7E0A626F" w14:textId="77777777" w:rsidR="00B2136F" w:rsidRDefault="00B2136F">
      <w:pPr>
        <w:rPr>
          <w:rFonts w:ascii="Arial" w:hAnsi="Arial" w:cs="Arial"/>
          <w:b/>
          <w:sz w:val="20"/>
        </w:rPr>
      </w:pPr>
      <w:r>
        <w:rPr>
          <w:rFonts w:ascii="Arial" w:hAnsi="Arial" w:cs="Arial"/>
          <w:b/>
          <w:sz w:val="20"/>
        </w:rPr>
        <w:br w:type="page"/>
      </w:r>
    </w:p>
    <w:p w14:paraId="699B8B56" w14:textId="09BBA089" w:rsidR="002A4D61" w:rsidRDefault="002A4D61" w:rsidP="002A4D61">
      <w:pPr>
        <w:jc w:val="both"/>
        <w:rPr>
          <w:rFonts w:ascii="Arial" w:hAnsi="Arial" w:cs="Arial"/>
          <w:b/>
          <w:caps/>
          <w:sz w:val="20"/>
        </w:rPr>
      </w:pPr>
      <w:r>
        <w:rPr>
          <w:rFonts w:ascii="Arial" w:hAnsi="Arial" w:cs="Arial"/>
          <w:b/>
          <w:sz w:val="20"/>
        </w:rPr>
        <w:t>22.</w:t>
      </w:r>
      <w:r w:rsidRPr="00555D99">
        <w:rPr>
          <w:rFonts w:ascii="Arial" w:hAnsi="Arial" w:cs="Arial"/>
          <w:b/>
          <w:caps/>
          <w:sz w:val="20"/>
        </w:rPr>
        <w:t xml:space="preserve"> Composición del capital</w:t>
      </w:r>
    </w:p>
    <w:p w14:paraId="0F3D5749" w14:textId="77777777" w:rsidR="002A4D61" w:rsidRPr="00555D99" w:rsidRDefault="002A4D61" w:rsidP="002A4D61">
      <w:pPr>
        <w:jc w:val="both"/>
        <w:rPr>
          <w:rFonts w:ascii="Arial" w:hAnsi="Arial" w:cs="Arial"/>
          <w:b/>
          <w:caps/>
          <w:sz w:val="20"/>
        </w:rPr>
      </w:pPr>
    </w:p>
    <w:p w14:paraId="3F4A345B" w14:textId="25DD4BC5" w:rsidR="002A4D61" w:rsidRDefault="002A4D61" w:rsidP="002A4D61">
      <w:pPr>
        <w:jc w:val="both"/>
        <w:rPr>
          <w:rFonts w:ascii="Arial" w:hAnsi="Arial" w:cs="Arial"/>
          <w:sz w:val="20"/>
        </w:rPr>
      </w:pPr>
      <w:r>
        <w:rPr>
          <w:rFonts w:ascii="Arial" w:hAnsi="Arial" w:cs="Arial"/>
          <w:sz w:val="20"/>
        </w:rPr>
        <w:t>La composición del capital al 31 de diciembre de 201</w:t>
      </w:r>
      <w:r w:rsidR="00970522">
        <w:rPr>
          <w:rFonts w:ascii="Arial" w:hAnsi="Arial" w:cs="Arial"/>
          <w:sz w:val="20"/>
        </w:rPr>
        <w:t>9</w:t>
      </w:r>
      <w:r>
        <w:rPr>
          <w:rFonts w:ascii="Arial" w:hAnsi="Arial" w:cs="Arial"/>
          <w:sz w:val="20"/>
        </w:rPr>
        <w:t xml:space="preserve"> se detalla en Anexo K </w:t>
      </w:r>
      <w:r w:rsidRPr="00701F32">
        <w:rPr>
          <w:rFonts w:ascii="Arial" w:eastAsia="Calibri" w:hAnsi="Arial" w:cs="Arial"/>
          <w:sz w:val="20"/>
        </w:rPr>
        <w:t xml:space="preserve">adjunto a estos estados financieros </w:t>
      </w:r>
      <w:r>
        <w:rPr>
          <w:rFonts w:ascii="Arial" w:eastAsia="Calibri" w:hAnsi="Arial" w:cs="Arial"/>
          <w:sz w:val="20"/>
        </w:rPr>
        <w:t>separados</w:t>
      </w:r>
      <w:r>
        <w:rPr>
          <w:rFonts w:ascii="Arial" w:hAnsi="Arial" w:cs="Arial"/>
          <w:sz w:val="20"/>
        </w:rPr>
        <w:t xml:space="preserve">. </w:t>
      </w:r>
    </w:p>
    <w:p w14:paraId="1CC760AD" w14:textId="77777777" w:rsidR="002A4D61" w:rsidRDefault="002A4D61" w:rsidP="002A4D61">
      <w:pPr>
        <w:jc w:val="both"/>
        <w:rPr>
          <w:rFonts w:ascii="Arial" w:hAnsi="Arial" w:cs="Arial"/>
          <w:sz w:val="20"/>
        </w:rPr>
      </w:pPr>
    </w:p>
    <w:p w14:paraId="27D4899E" w14:textId="53B12DD7" w:rsidR="002A4D61" w:rsidRDefault="002A4D61" w:rsidP="002A4D61">
      <w:pPr>
        <w:jc w:val="both"/>
        <w:rPr>
          <w:rFonts w:ascii="Arial" w:hAnsi="Arial" w:cs="Arial"/>
          <w:sz w:val="20"/>
        </w:rPr>
      </w:pPr>
      <w:r>
        <w:rPr>
          <w:rFonts w:ascii="Arial" w:hAnsi="Arial" w:cs="Arial"/>
          <w:sz w:val="20"/>
        </w:rPr>
        <w:t>Se detalla a continuación la composición del capital al 31 de diciembre de 201</w:t>
      </w:r>
      <w:r w:rsidR="00970522">
        <w:rPr>
          <w:rFonts w:ascii="Arial" w:hAnsi="Arial" w:cs="Arial"/>
          <w:sz w:val="20"/>
        </w:rPr>
        <w:t>8</w:t>
      </w:r>
      <w:r>
        <w:rPr>
          <w:rFonts w:ascii="Arial" w:hAnsi="Arial" w:cs="Arial"/>
          <w:sz w:val="20"/>
        </w:rPr>
        <w:t xml:space="preserve">: </w:t>
      </w:r>
    </w:p>
    <w:p w14:paraId="62F46E5D" w14:textId="77777777" w:rsidR="002A4D61" w:rsidRPr="00701F32" w:rsidRDefault="002A4D61" w:rsidP="002A4D61">
      <w:pPr>
        <w:jc w:val="both"/>
        <w:rPr>
          <w:rFonts w:ascii="Arial" w:hAnsi="Arial" w:cs="Arial"/>
          <w:b/>
          <w:sz w:val="20"/>
        </w:rPr>
      </w:pPr>
    </w:p>
    <w:tbl>
      <w:tblPr>
        <w:tblW w:w="9407" w:type="dxa"/>
        <w:tblCellMar>
          <w:left w:w="70" w:type="dxa"/>
          <w:right w:w="70" w:type="dxa"/>
        </w:tblCellMar>
        <w:tblLook w:val="04A0" w:firstRow="1" w:lastRow="0" w:firstColumn="1" w:lastColumn="0" w:noHBand="0" w:noVBand="1"/>
      </w:tblPr>
      <w:tblGrid>
        <w:gridCol w:w="1733"/>
        <w:gridCol w:w="1075"/>
        <w:gridCol w:w="674"/>
        <w:gridCol w:w="185"/>
        <w:gridCol w:w="985"/>
        <w:gridCol w:w="702"/>
        <w:gridCol w:w="603"/>
        <w:gridCol w:w="656"/>
        <w:gridCol w:w="1056"/>
        <w:gridCol w:w="869"/>
        <w:gridCol w:w="869"/>
      </w:tblGrid>
      <w:tr w:rsidR="002A4D61" w:rsidRPr="00701F32" w14:paraId="20E230C7" w14:textId="77777777" w:rsidTr="00EB601A">
        <w:trPr>
          <w:trHeight w:val="217"/>
        </w:trPr>
        <w:tc>
          <w:tcPr>
            <w:tcW w:w="1733" w:type="dxa"/>
            <w:tcBorders>
              <w:top w:val="single" w:sz="4" w:space="0" w:color="auto"/>
              <w:left w:val="single" w:sz="4" w:space="0" w:color="auto"/>
              <w:bottom w:val="nil"/>
              <w:right w:val="nil"/>
            </w:tcBorders>
            <w:shd w:val="clear" w:color="auto" w:fill="auto"/>
            <w:noWrap/>
            <w:vAlign w:val="bottom"/>
            <w:hideMark/>
          </w:tcPr>
          <w:p w14:paraId="563AC937" w14:textId="77777777" w:rsidR="002A4D61" w:rsidRPr="00701F32" w:rsidRDefault="002A4D61" w:rsidP="002A4D61">
            <w:pPr>
              <w:rPr>
                <w:rFonts w:ascii="Arial" w:hAnsi="Arial" w:cs="Arial"/>
                <w:b/>
                <w:bCs/>
                <w:sz w:val="16"/>
                <w:szCs w:val="16"/>
                <w:lang w:eastAsia="es-AR"/>
              </w:rPr>
            </w:pPr>
            <w:r w:rsidRPr="00701F32">
              <w:rPr>
                <w:rFonts w:ascii="Arial" w:hAnsi="Arial" w:cs="Arial"/>
                <w:b/>
                <w:bCs/>
                <w:sz w:val="16"/>
                <w:szCs w:val="16"/>
                <w:lang w:eastAsia="es-AR"/>
              </w:rPr>
              <w:t> </w:t>
            </w:r>
          </w:p>
        </w:tc>
        <w:tc>
          <w:tcPr>
            <w:tcW w:w="1075" w:type="dxa"/>
            <w:tcBorders>
              <w:top w:val="single" w:sz="4" w:space="0" w:color="auto"/>
              <w:left w:val="nil"/>
              <w:bottom w:val="single" w:sz="4" w:space="0" w:color="auto"/>
              <w:right w:val="nil"/>
            </w:tcBorders>
            <w:shd w:val="clear" w:color="auto" w:fill="auto"/>
            <w:noWrap/>
            <w:vAlign w:val="bottom"/>
            <w:hideMark/>
          </w:tcPr>
          <w:p w14:paraId="28461E3F"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Acciones</w:t>
            </w:r>
          </w:p>
        </w:tc>
        <w:tc>
          <w:tcPr>
            <w:tcW w:w="674" w:type="dxa"/>
            <w:tcBorders>
              <w:top w:val="single" w:sz="4" w:space="0" w:color="auto"/>
              <w:left w:val="nil"/>
              <w:bottom w:val="single" w:sz="4" w:space="0" w:color="auto"/>
              <w:right w:val="nil"/>
            </w:tcBorders>
            <w:shd w:val="clear" w:color="auto" w:fill="auto"/>
            <w:noWrap/>
            <w:vAlign w:val="bottom"/>
            <w:hideMark/>
          </w:tcPr>
          <w:p w14:paraId="25031381" w14:textId="77777777" w:rsidR="002A4D61" w:rsidRPr="00701F32" w:rsidRDefault="002A4D61" w:rsidP="002A4D61">
            <w:pPr>
              <w:jc w:val="center"/>
              <w:rPr>
                <w:rFonts w:ascii="Arial" w:hAnsi="Arial" w:cs="Arial"/>
                <w:b/>
                <w:bCs/>
                <w:sz w:val="16"/>
                <w:szCs w:val="16"/>
                <w:lang w:eastAsia="es-AR"/>
              </w:rPr>
            </w:pPr>
          </w:p>
        </w:tc>
        <w:tc>
          <w:tcPr>
            <w:tcW w:w="185" w:type="dxa"/>
            <w:tcBorders>
              <w:top w:val="single" w:sz="4" w:space="0" w:color="auto"/>
              <w:left w:val="nil"/>
              <w:bottom w:val="nil"/>
              <w:right w:val="nil"/>
            </w:tcBorders>
            <w:shd w:val="clear" w:color="auto" w:fill="auto"/>
            <w:noWrap/>
            <w:vAlign w:val="bottom"/>
            <w:hideMark/>
          </w:tcPr>
          <w:p w14:paraId="021013AF" w14:textId="77777777" w:rsidR="002A4D61" w:rsidRPr="00701F32" w:rsidRDefault="002A4D61" w:rsidP="002A4D61">
            <w:pPr>
              <w:jc w:val="center"/>
              <w:rPr>
                <w:rFonts w:ascii="Arial" w:hAnsi="Arial" w:cs="Arial"/>
                <w:b/>
                <w:bCs/>
                <w:sz w:val="16"/>
                <w:szCs w:val="16"/>
                <w:lang w:eastAsia="es-AR"/>
              </w:rPr>
            </w:pPr>
          </w:p>
        </w:tc>
        <w:tc>
          <w:tcPr>
            <w:tcW w:w="985" w:type="dxa"/>
            <w:tcBorders>
              <w:top w:val="single" w:sz="4" w:space="0" w:color="auto"/>
              <w:left w:val="nil"/>
              <w:bottom w:val="single" w:sz="4" w:space="0" w:color="auto"/>
              <w:right w:val="nil"/>
            </w:tcBorders>
            <w:shd w:val="clear" w:color="auto" w:fill="auto"/>
            <w:noWrap/>
            <w:vAlign w:val="bottom"/>
            <w:hideMark/>
          </w:tcPr>
          <w:p w14:paraId="3DCFCF8E" w14:textId="77777777" w:rsidR="002A4D61" w:rsidRPr="00701F32" w:rsidRDefault="002A4D61" w:rsidP="002A4D61">
            <w:pPr>
              <w:jc w:val="center"/>
              <w:rPr>
                <w:rFonts w:ascii="Arial" w:hAnsi="Arial" w:cs="Arial"/>
                <w:b/>
                <w:bCs/>
                <w:sz w:val="16"/>
                <w:szCs w:val="16"/>
                <w:lang w:eastAsia="es-AR"/>
              </w:rPr>
            </w:pPr>
          </w:p>
        </w:tc>
        <w:tc>
          <w:tcPr>
            <w:tcW w:w="702" w:type="dxa"/>
            <w:tcBorders>
              <w:top w:val="single" w:sz="4" w:space="0" w:color="auto"/>
              <w:left w:val="nil"/>
              <w:bottom w:val="single" w:sz="4" w:space="0" w:color="auto"/>
              <w:right w:val="nil"/>
            </w:tcBorders>
            <w:shd w:val="clear" w:color="auto" w:fill="auto"/>
            <w:noWrap/>
            <w:vAlign w:val="bottom"/>
            <w:hideMark/>
          </w:tcPr>
          <w:p w14:paraId="685A5027" w14:textId="77777777" w:rsidR="002A4D61" w:rsidRPr="00701F32" w:rsidRDefault="002A4D61" w:rsidP="002A4D61">
            <w:pPr>
              <w:jc w:val="center"/>
              <w:rPr>
                <w:rFonts w:ascii="Arial" w:hAnsi="Arial" w:cs="Arial"/>
                <w:b/>
                <w:bCs/>
                <w:sz w:val="16"/>
                <w:szCs w:val="16"/>
                <w:lang w:eastAsia="es-AR"/>
              </w:rPr>
            </w:pPr>
          </w:p>
        </w:tc>
        <w:tc>
          <w:tcPr>
            <w:tcW w:w="603" w:type="dxa"/>
            <w:tcBorders>
              <w:top w:val="single" w:sz="4" w:space="0" w:color="auto"/>
              <w:left w:val="nil"/>
              <w:bottom w:val="single" w:sz="4" w:space="0" w:color="auto"/>
              <w:right w:val="nil"/>
            </w:tcBorders>
            <w:shd w:val="clear" w:color="auto" w:fill="auto"/>
            <w:noWrap/>
            <w:vAlign w:val="bottom"/>
            <w:hideMark/>
          </w:tcPr>
          <w:p w14:paraId="6BC1E9A4" w14:textId="77777777" w:rsidR="002A4D61" w:rsidRPr="00701F32" w:rsidRDefault="002A4D61" w:rsidP="002A4D61">
            <w:pPr>
              <w:jc w:val="center"/>
              <w:rPr>
                <w:rFonts w:ascii="Arial" w:hAnsi="Arial" w:cs="Arial"/>
                <w:b/>
                <w:bCs/>
                <w:sz w:val="16"/>
                <w:szCs w:val="16"/>
                <w:lang w:eastAsia="es-AR"/>
              </w:rPr>
            </w:pPr>
          </w:p>
        </w:tc>
        <w:tc>
          <w:tcPr>
            <w:tcW w:w="2581" w:type="dxa"/>
            <w:gridSpan w:val="3"/>
            <w:tcBorders>
              <w:top w:val="single" w:sz="4" w:space="0" w:color="auto"/>
              <w:left w:val="nil"/>
              <w:bottom w:val="single" w:sz="4" w:space="0" w:color="auto"/>
              <w:right w:val="nil"/>
            </w:tcBorders>
            <w:shd w:val="clear" w:color="auto" w:fill="auto"/>
            <w:noWrap/>
            <w:vAlign w:val="bottom"/>
            <w:hideMark/>
          </w:tcPr>
          <w:p w14:paraId="092D33FD"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Capital Social (1)</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26302AAF" w14:textId="77777777" w:rsidR="002A4D61" w:rsidRPr="00701F32" w:rsidRDefault="002A4D61" w:rsidP="002A4D61">
            <w:pPr>
              <w:jc w:val="center"/>
              <w:rPr>
                <w:rFonts w:ascii="Arial" w:hAnsi="Arial" w:cs="Arial"/>
                <w:b/>
                <w:bCs/>
                <w:sz w:val="16"/>
                <w:szCs w:val="16"/>
                <w:lang w:eastAsia="es-AR"/>
              </w:rPr>
            </w:pPr>
          </w:p>
        </w:tc>
      </w:tr>
      <w:tr w:rsidR="002A4D61" w:rsidRPr="00701F32" w14:paraId="758D64F4" w14:textId="77777777" w:rsidTr="00EB601A">
        <w:trPr>
          <w:trHeight w:val="217"/>
        </w:trPr>
        <w:tc>
          <w:tcPr>
            <w:tcW w:w="1733" w:type="dxa"/>
            <w:tcBorders>
              <w:top w:val="nil"/>
              <w:left w:val="single" w:sz="4" w:space="0" w:color="auto"/>
              <w:bottom w:val="nil"/>
              <w:right w:val="nil"/>
            </w:tcBorders>
            <w:shd w:val="clear" w:color="auto" w:fill="auto"/>
            <w:noWrap/>
            <w:vAlign w:val="bottom"/>
            <w:hideMark/>
          </w:tcPr>
          <w:p w14:paraId="2075F46C" w14:textId="77777777" w:rsidR="002A4D61" w:rsidRPr="00701F32" w:rsidRDefault="002A4D61" w:rsidP="002A4D61">
            <w:pPr>
              <w:rPr>
                <w:rFonts w:ascii="Arial" w:hAnsi="Arial" w:cs="Arial"/>
                <w:b/>
                <w:bCs/>
                <w:sz w:val="16"/>
                <w:szCs w:val="16"/>
                <w:lang w:eastAsia="es-AR"/>
              </w:rPr>
            </w:pPr>
            <w:r w:rsidRPr="00701F32">
              <w:rPr>
                <w:rFonts w:ascii="Arial" w:hAnsi="Arial" w:cs="Arial"/>
                <w:b/>
                <w:bCs/>
                <w:sz w:val="16"/>
                <w:szCs w:val="16"/>
                <w:lang w:eastAsia="es-AR"/>
              </w:rPr>
              <w:t> </w:t>
            </w:r>
          </w:p>
        </w:tc>
        <w:tc>
          <w:tcPr>
            <w:tcW w:w="1075" w:type="dxa"/>
            <w:tcBorders>
              <w:top w:val="nil"/>
              <w:left w:val="nil"/>
              <w:bottom w:val="nil"/>
              <w:right w:val="nil"/>
            </w:tcBorders>
            <w:shd w:val="clear" w:color="auto" w:fill="auto"/>
            <w:noWrap/>
            <w:vAlign w:val="bottom"/>
            <w:hideMark/>
          </w:tcPr>
          <w:p w14:paraId="682E9A90" w14:textId="77777777" w:rsidR="002A4D61" w:rsidRPr="00701F32" w:rsidRDefault="002A4D61" w:rsidP="002A4D61">
            <w:pPr>
              <w:rPr>
                <w:rFonts w:ascii="Arial" w:hAnsi="Arial" w:cs="Arial"/>
                <w:b/>
                <w:bCs/>
                <w:sz w:val="16"/>
                <w:szCs w:val="16"/>
                <w:lang w:eastAsia="es-AR"/>
              </w:rPr>
            </w:pPr>
          </w:p>
        </w:tc>
        <w:tc>
          <w:tcPr>
            <w:tcW w:w="674" w:type="dxa"/>
            <w:tcBorders>
              <w:top w:val="nil"/>
              <w:left w:val="nil"/>
              <w:bottom w:val="nil"/>
              <w:right w:val="nil"/>
            </w:tcBorders>
            <w:shd w:val="clear" w:color="auto" w:fill="auto"/>
            <w:noWrap/>
            <w:vAlign w:val="bottom"/>
            <w:hideMark/>
          </w:tcPr>
          <w:p w14:paraId="5EEC8384"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Votos</w:t>
            </w:r>
          </w:p>
        </w:tc>
        <w:tc>
          <w:tcPr>
            <w:tcW w:w="185" w:type="dxa"/>
            <w:tcBorders>
              <w:top w:val="nil"/>
              <w:left w:val="nil"/>
              <w:bottom w:val="nil"/>
              <w:right w:val="nil"/>
            </w:tcBorders>
            <w:shd w:val="clear" w:color="auto" w:fill="auto"/>
            <w:noWrap/>
            <w:vAlign w:val="bottom"/>
            <w:hideMark/>
          </w:tcPr>
          <w:p w14:paraId="327E4CCD" w14:textId="77777777" w:rsidR="002A4D61" w:rsidRPr="00701F32" w:rsidRDefault="002A4D61" w:rsidP="002A4D61">
            <w:pPr>
              <w:jc w:val="center"/>
              <w:rPr>
                <w:rFonts w:ascii="Arial" w:hAnsi="Arial" w:cs="Arial"/>
                <w:b/>
                <w:bCs/>
                <w:sz w:val="16"/>
                <w:szCs w:val="16"/>
                <w:lang w:eastAsia="es-AR"/>
              </w:rPr>
            </w:pPr>
          </w:p>
        </w:tc>
        <w:tc>
          <w:tcPr>
            <w:tcW w:w="2946" w:type="dxa"/>
            <w:gridSpan w:val="4"/>
            <w:tcBorders>
              <w:top w:val="single" w:sz="4" w:space="0" w:color="auto"/>
              <w:left w:val="nil"/>
              <w:bottom w:val="single" w:sz="4" w:space="0" w:color="auto"/>
              <w:right w:val="nil"/>
            </w:tcBorders>
            <w:shd w:val="clear" w:color="auto" w:fill="auto"/>
            <w:noWrap/>
            <w:vAlign w:val="bottom"/>
            <w:hideMark/>
          </w:tcPr>
          <w:p w14:paraId="325512E4"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 xml:space="preserve">Emitido </w:t>
            </w:r>
          </w:p>
        </w:tc>
        <w:tc>
          <w:tcPr>
            <w:tcW w:w="1056" w:type="dxa"/>
            <w:tcBorders>
              <w:top w:val="nil"/>
              <w:left w:val="nil"/>
              <w:bottom w:val="nil"/>
              <w:right w:val="nil"/>
            </w:tcBorders>
            <w:shd w:val="clear" w:color="auto" w:fill="auto"/>
            <w:noWrap/>
            <w:vAlign w:val="bottom"/>
            <w:hideMark/>
          </w:tcPr>
          <w:p w14:paraId="04C27412"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Pendiente</w:t>
            </w:r>
          </w:p>
        </w:tc>
        <w:tc>
          <w:tcPr>
            <w:tcW w:w="869" w:type="dxa"/>
            <w:tcBorders>
              <w:top w:val="nil"/>
              <w:left w:val="nil"/>
              <w:bottom w:val="nil"/>
              <w:right w:val="nil"/>
            </w:tcBorders>
            <w:shd w:val="clear" w:color="auto" w:fill="auto"/>
            <w:noWrap/>
            <w:vAlign w:val="bottom"/>
            <w:hideMark/>
          </w:tcPr>
          <w:p w14:paraId="32EB95B4" w14:textId="77777777" w:rsidR="002A4D61" w:rsidRPr="00701F32" w:rsidRDefault="002A4D61" w:rsidP="002A4D61">
            <w:pPr>
              <w:jc w:val="center"/>
              <w:rPr>
                <w:rFonts w:ascii="Arial" w:hAnsi="Arial" w:cs="Arial"/>
                <w:b/>
                <w:bCs/>
                <w:sz w:val="16"/>
                <w:szCs w:val="16"/>
                <w:lang w:eastAsia="es-AR"/>
              </w:rPr>
            </w:pPr>
          </w:p>
        </w:tc>
        <w:tc>
          <w:tcPr>
            <w:tcW w:w="869" w:type="dxa"/>
            <w:tcBorders>
              <w:top w:val="nil"/>
              <w:left w:val="nil"/>
              <w:bottom w:val="nil"/>
              <w:right w:val="single" w:sz="4" w:space="0" w:color="auto"/>
            </w:tcBorders>
            <w:shd w:val="clear" w:color="auto" w:fill="auto"/>
            <w:noWrap/>
            <w:vAlign w:val="bottom"/>
            <w:hideMark/>
          </w:tcPr>
          <w:p w14:paraId="12DAF8F4" w14:textId="77777777" w:rsidR="002A4D61" w:rsidRPr="00701F32" w:rsidRDefault="002A4D61" w:rsidP="002A4D61">
            <w:pPr>
              <w:jc w:val="both"/>
              <w:rPr>
                <w:rFonts w:ascii="Arial" w:hAnsi="Arial" w:cs="Arial"/>
                <w:b/>
                <w:bCs/>
                <w:sz w:val="16"/>
                <w:szCs w:val="16"/>
                <w:lang w:eastAsia="es-AR"/>
              </w:rPr>
            </w:pPr>
            <w:r w:rsidRPr="00701F32">
              <w:rPr>
                <w:rFonts w:ascii="Arial" w:hAnsi="Arial" w:cs="Arial"/>
                <w:b/>
                <w:bCs/>
                <w:sz w:val="16"/>
                <w:szCs w:val="16"/>
                <w:lang w:eastAsia="es-AR"/>
              </w:rPr>
              <w:t> </w:t>
            </w:r>
          </w:p>
        </w:tc>
      </w:tr>
      <w:tr w:rsidR="002A4D61" w:rsidRPr="00701F32" w14:paraId="0AD59B2D" w14:textId="77777777" w:rsidTr="00EB601A">
        <w:trPr>
          <w:trHeight w:val="217"/>
        </w:trPr>
        <w:tc>
          <w:tcPr>
            <w:tcW w:w="1733" w:type="dxa"/>
            <w:tcBorders>
              <w:top w:val="nil"/>
              <w:left w:val="single" w:sz="4" w:space="0" w:color="auto"/>
              <w:bottom w:val="nil"/>
              <w:right w:val="nil"/>
            </w:tcBorders>
            <w:shd w:val="clear" w:color="auto" w:fill="auto"/>
            <w:noWrap/>
            <w:vAlign w:val="bottom"/>
            <w:hideMark/>
          </w:tcPr>
          <w:p w14:paraId="4C66ED4F"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Clase</w:t>
            </w:r>
          </w:p>
        </w:tc>
        <w:tc>
          <w:tcPr>
            <w:tcW w:w="1075" w:type="dxa"/>
            <w:tcBorders>
              <w:top w:val="nil"/>
              <w:left w:val="nil"/>
              <w:bottom w:val="nil"/>
              <w:right w:val="nil"/>
            </w:tcBorders>
            <w:shd w:val="clear" w:color="auto" w:fill="auto"/>
            <w:noWrap/>
            <w:vAlign w:val="bottom"/>
            <w:hideMark/>
          </w:tcPr>
          <w:p w14:paraId="23AAD587"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Cantidad</w:t>
            </w:r>
          </w:p>
        </w:tc>
        <w:tc>
          <w:tcPr>
            <w:tcW w:w="674" w:type="dxa"/>
            <w:tcBorders>
              <w:top w:val="nil"/>
              <w:left w:val="nil"/>
              <w:bottom w:val="nil"/>
              <w:right w:val="nil"/>
            </w:tcBorders>
            <w:shd w:val="clear" w:color="auto" w:fill="auto"/>
            <w:noWrap/>
            <w:vAlign w:val="bottom"/>
            <w:hideMark/>
          </w:tcPr>
          <w:p w14:paraId="6BCE701C"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por</w:t>
            </w:r>
          </w:p>
        </w:tc>
        <w:tc>
          <w:tcPr>
            <w:tcW w:w="185" w:type="dxa"/>
            <w:tcBorders>
              <w:top w:val="nil"/>
              <w:left w:val="nil"/>
              <w:bottom w:val="nil"/>
              <w:right w:val="nil"/>
            </w:tcBorders>
            <w:shd w:val="clear" w:color="auto" w:fill="auto"/>
            <w:noWrap/>
            <w:vAlign w:val="bottom"/>
            <w:hideMark/>
          </w:tcPr>
          <w:p w14:paraId="69AFDABB" w14:textId="77777777" w:rsidR="002A4D61" w:rsidRPr="00701F32" w:rsidRDefault="002A4D61" w:rsidP="002A4D61">
            <w:pPr>
              <w:jc w:val="center"/>
              <w:rPr>
                <w:rFonts w:ascii="Arial" w:hAnsi="Arial" w:cs="Arial"/>
                <w:b/>
                <w:bCs/>
                <w:sz w:val="16"/>
                <w:szCs w:val="16"/>
                <w:lang w:eastAsia="es-AR"/>
              </w:rPr>
            </w:pPr>
          </w:p>
        </w:tc>
        <w:tc>
          <w:tcPr>
            <w:tcW w:w="985" w:type="dxa"/>
            <w:tcBorders>
              <w:top w:val="nil"/>
              <w:left w:val="nil"/>
              <w:bottom w:val="nil"/>
              <w:right w:val="nil"/>
            </w:tcBorders>
            <w:shd w:val="clear" w:color="auto" w:fill="auto"/>
            <w:noWrap/>
            <w:vAlign w:val="bottom"/>
            <w:hideMark/>
          </w:tcPr>
          <w:p w14:paraId="1A671BD1"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En</w:t>
            </w:r>
          </w:p>
        </w:tc>
        <w:tc>
          <w:tcPr>
            <w:tcW w:w="702" w:type="dxa"/>
            <w:tcBorders>
              <w:top w:val="nil"/>
              <w:left w:val="nil"/>
              <w:bottom w:val="nil"/>
              <w:right w:val="nil"/>
            </w:tcBorders>
            <w:shd w:val="clear" w:color="auto" w:fill="auto"/>
            <w:noWrap/>
            <w:vAlign w:val="bottom"/>
            <w:hideMark/>
          </w:tcPr>
          <w:p w14:paraId="00A2D947"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En cartera</w:t>
            </w:r>
          </w:p>
        </w:tc>
        <w:tc>
          <w:tcPr>
            <w:tcW w:w="1259" w:type="dxa"/>
            <w:gridSpan w:val="2"/>
            <w:tcBorders>
              <w:top w:val="single" w:sz="4" w:space="0" w:color="auto"/>
              <w:left w:val="nil"/>
              <w:bottom w:val="nil"/>
              <w:right w:val="nil"/>
            </w:tcBorders>
            <w:shd w:val="clear" w:color="auto" w:fill="auto"/>
            <w:noWrap/>
            <w:vAlign w:val="bottom"/>
            <w:hideMark/>
          </w:tcPr>
          <w:p w14:paraId="02761CB0"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Adquisición</w:t>
            </w:r>
          </w:p>
        </w:tc>
        <w:tc>
          <w:tcPr>
            <w:tcW w:w="1056" w:type="dxa"/>
            <w:tcBorders>
              <w:top w:val="nil"/>
              <w:left w:val="nil"/>
              <w:bottom w:val="nil"/>
              <w:right w:val="nil"/>
            </w:tcBorders>
            <w:shd w:val="clear" w:color="auto" w:fill="auto"/>
            <w:noWrap/>
            <w:vAlign w:val="bottom"/>
            <w:hideMark/>
          </w:tcPr>
          <w:p w14:paraId="08373FA5"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 xml:space="preserve">de emisión </w:t>
            </w:r>
          </w:p>
        </w:tc>
        <w:tc>
          <w:tcPr>
            <w:tcW w:w="869" w:type="dxa"/>
            <w:tcBorders>
              <w:top w:val="nil"/>
              <w:left w:val="nil"/>
              <w:bottom w:val="nil"/>
              <w:right w:val="nil"/>
            </w:tcBorders>
            <w:shd w:val="clear" w:color="auto" w:fill="auto"/>
            <w:noWrap/>
            <w:vAlign w:val="bottom"/>
            <w:hideMark/>
          </w:tcPr>
          <w:p w14:paraId="4A91424A"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Asignado</w:t>
            </w:r>
          </w:p>
        </w:tc>
        <w:tc>
          <w:tcPr>
            <w:tcW w:w="869" w:type="dxa"/>
            <w:tcBorders>
              <w:top w:val="nil"/>
              <w:left w:val="nil"/>
              <w:bottom w:val="nil"/>
              <w:right w:val="single" w:sz="4" w:space="0" w:color="auto"/>
            </w:tcBorders>
            <w:shd w:val="clear" w:color="auto" w:fill="auto"/>
            <w:noWrap/>
            <w:vAlign w:val="bottom"/>
            <w:hideMark/>
          </w:tcPr>
          <w:p w14:paraId="41A8FBED"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Integrado</w:t>
            </w:r>
          </w:p>
        </w:tc>
      </w:tr>
      <w:tr w:rsidR="002A4D61" w:rsidRPr="00701F32" w14:paraId="65210463" w14:textId="77777777" w:rsidTr="00EB601A">
        <w:trPr>
          <w:trHeight w:val="217"/>
        </w:trPr>
        <w:tc>
          <w:tcPr>
            <w:tcW w:w="1733" w:type="dxa"/>
            <w:tcBorders>
              <w:top w:val="nil"/>
              <w:left w:val="single" w:sz="4" w:space="0" w:color="auto"/>
              <w:bottom w:val="single" w:sz="4" w:space="0" w:color="auto"/>
              <w:right w:val="nil"/>
            </w:tcBorders>
            <w:shd w:val="clear" w:color="auto" w:fill="auto"/>
            <w:noWrap/>
            <w:vAlign w:val="bottom"/>
            <w:hideMark/>
          </w:tcPr>
          <w:p w14:paraId="3FAECC4A"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 </w:t>
            </w:r>
          </w:p>
        </w:tc>
        <w:tc>
          <w:tcPr>
            <w:tcW w:w="1075" w:type="dxa"/>
            <w:tcBorders>
              <w:top w:val="nil"/>
              <w:left w:val="nil"/>
              <w:bottom w:val="single" w:sz="4" w:space="0" w:color="auto"/>
              <w:right w:val="nil"/>
            </w:tcBorders>
            <w:shd w:val="clear" w:color="auto" w:fill="auto"/>
            <w:noWrap/>
            <w:vAlign w:val="bottom"/>
            <w:hideMark/>
          </w:tcPr>
          <w:p w14:paraId="2FDFFC8A"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 </w:t>
            </w:r>
          </w:p>
        </w:tc>
        <w:tc>
          <w:tcPr>
            <w:tcW w:w="674" w:type="dxa"/>
            <w:tcBorders>
              <w:top w:val="nil"/>
              <w:left w:val="nil"/>
              <w:bottom w:val="single" w:sz="4" w:space="0" w:color="auto"/>
              <w:right w:val="nil"/>
            </w:tcBorders>
            <w:shd w:val="clear" w:color="auto" w:fill="auto"/>
            <w:noWrap/>
            <w:vAlign w:val="bottom"/>
            <w:hideMark/>
          </w:tcPr>
          <w:p w14:paraId="3EE802D0"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acción</w:t>
            </w:r>
          </w:p>
        </w:tc>
        <w:tc>
          <w:tcPr>
            <w:tcW w:w="185" w:type="dxa"/>
            <w:tcBorders>
              <w:top w:val="nil"/>
              <w:left w:val="nil"/>
              <w:bottom w:val="nil"/>
              <w:right w:val="nil"/>
            </w:tcBorders>
            <w:shd w:val="clear" w:color="auto" w:fill="auto"/>
            <w:noWrap/>
            <w:vAlign w:val="bottom"/>
            <w:hideMark/>
          </w:tcPr>
          <w:p w14:paraId="65C0C6BE" w14:textId="77777777" w:rsidR="002A4D61" w:rsidRPr="00701F32" w:rsidRDefault="002A4D61" w:rsidP="002A4D61">
            <w:pPr>
              <w:jc w:val="center"/>
              <w:rPr>
                <w:rFonts w:ascii="Arial" w:hAnsi="Arial" w:cs="Arial"/>
                <w:b/>
                <w:bCs/>
                <w:sz w:val="16"/>
                <w:szCs w:val="16"/>
                <w:lang w:eastAsia="es-AR"/>
              </w:rPr>
            </w:pPr>
          </w:p>
        </w:tc>
        <w:tc>
          <w:tcPr>
            <w:tcW w:w="985" w:type="dxa"/>
            <w:tcBorders>
              <w:top w:val="nil"/>
              <w:left w:val="nil"/>
              <w:bottom w:val="single" w:sz="4" w:space="0" w:color="auto"/>
              <w:right w:val="nil"/>
            </w:tcBorders>
            <w:shd w:val="clear" w:color="auto" w:fill="auto"/>
            <w:noWrap/>
            <w:vAlign w:val="bottom"/>
            <w:hideMark/>
          </w:tcPr>
          <w:p w14:paraId="2F95576B"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 xml:space="preserve">circulación </w:t>
            </w:r>
          </w:p>
        </w:tc>
        <w:tc>
          <w:tcPr>
            <w:tcW w:w="702" w:type="dxa"/>
            <w:tcBorders>
              <w:top w:val="nil"/>
              <w:left w:val="nil"/>
              <w:bottom w:val="single" w:sz="4" w:space="0" w:color="auto"/>
              <w:right w:val="nil"/>
            </w:tcBorders>
            <w:shd w:val="clear" w:color="auto" w:fill="auto"/>
            <w:noWrap/>
            <w:vAlign w:val="bottom"/>
            <w:hideMark/>
          </w:tcPr>
          <w:p w14:paraId="0F476909"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 </w:t>
            </w:r>
          </w:p>
        </w:tc>
        <w:tc>
          <w:tcPr>
            <w:tcW w:w="603" w:type="dxa"/>
            <w:tcBorders>
              <w:top w:val="nil"/>
              <w:left w:val="nil"/>
              <w:bottom w:val="single" w:sz="4" w:space="0" w:color="auto"/>
              <w:right w:val="nil"/>
            </w:tcBorders>
            <w:shd w:val="clear" w:color="auto" w:fill="auto"/>
            <w:noWrap/>
            <w:vAlign w:val="bottom"/>
            <w:hideMark/>
          </w:tcPr>
          <w:p w14:paraId="4195247C"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Fecha</w:t>
            </w:r>
          </w:p>
        </w:tc>
        <w:tc>
          <w:tcPr>
            <w:tcW w:w="656" w:type="dxa"/>
            <w:tcBorders>
              <w:top w:val="nil"/>
              <w:left w:val="nil"/>
              <w:bottom w:val="single" w:sz="4" w:space="0" w:color="auto"/>
              <w:right w:val="nil"/>
            </w:tcBorders>
            <w:shd w:val="clear" w:color="auto" w:fill="auto"/>
            <w:noWrap/>
            <w:vAlign w:val="bottom"/>
            <w:hideMark/>
          </w:tcPr>
          <w:p w14:paraId="11A574F4" w14:textId="77777777" w:rsidR="002A4D61" w:rsidRPr="00701F32" w:rsidRDefault="002A4D61" w:rsidP="002A4D61">
            <w:pPr>
              <w:jc w:val="both"/>
              <w:rPr>
                <w:rFonts w:ascii="Arial" w:hAnsi="Arial" w:cs="Arial"/>
                <w:b/>
                <w:bCs/>
                <w:sz w:val="16"/>
                <w:szCs w:val="16"/>
                <w:lang w:eastAsia="es-AR"/>
              </w:rPr>
            </w:pPr>
            <w:r w:rsidRPr="00701F32">
              <w:rPr>
                <w:rFonts w:ascii="Arial" w:hAnsi="Arial" w:cs="Arial"/>
                <w:b/>
                <w:bCs/>
                <w:sz w:val="16"/>
                <w:szCs w:val="16"/>
                <w:lang w:eastAsia="es-AR"/>
              </w:rPr>
              <w:t>Motivo</w:t>
            </w:r>
          </w:p>
        </w:tc>
        <w:tc>
          <w:tcPr>
            <w:tcW w:w="1056" w:type="dxa"/>
            <w:tcBorders>
              <w:top w:val="nil"/>
              <w:left w:val="nil"/>
              <w:bottom w:val="single" w:sz="4" w:space="0" w:color="auto"/>
              <w:right w:val="nil"/>
            </w:tcBorders>
            <w:shd w:val="clear" w:color="auto" w:fill="auto"/>
            <w:noWrap/>
            <w:vAlign w:val="bottom"/>
            <w:hideMark/>
          </w:tcPr>
          <w:p w14:paraId="13846832"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o distribución</w:t>
            </w:r>
          </w:p>
        </w:tc>
        <w:tc>
          <w:tcPr>
            <w:tcW w:w="869" w:type="dxa"/>
            <w:tcBorders>
              <w:top w:val="nil"/>
              <w:left w:val="nil"/>
              <w:bottom w:val="single" w:sz="4" w:space="0" w:color="auto"/>
              <w:right w:val="nil"/>
            </w:tcBorders>
            <w:shd w:val="clear" w:color="auto" w:fill="auto"/>
            <w:noWrap/>
            <w:vAlign w:val="bottom"/>
            <w:hideMark/>
          </w:tcPr>
          <w:p w14:paraId="599DF871"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 </w:t>
            </w:r>
          </w:p>
        </w:tc>
        <w:tc>
          <w:tcPr>
            <w:tcW w:w="869" w:type="dxa"/>
            <w:tcBorders>
              <w:top w:val="nil"/>
              <w:left w:val="nil"/>
              <w:bottom w:val="single" w:sz="4" w:space="0" w:color="auto"/>
              <w:right w:val="single" w:sz="4" w:space="0" w:color="auto"/>
            </w:tcBorders>
            <w:shd w:val="clear" w:color="auto" w:fill="auto"/>
            <w:noWrap/>
            <w:vAlign w:val="bottom"/>
            <w:hideMark/>
          </w:tcPr>
          <w:p w14:paraId="1C50DC52" w14:textId="77777777" w:rsidR="002A4D61" w:rsidRPr="00701F32" w:rsidRDefault="002A4D61" w:rsidP="002A4D61">
            <w:pPr>
              <w:jc w:val="center"/>
              <w:rPr>
                <w:rFonts w:ascii="Arial" w:hAnsi="Arial" w:cs="Arial"/>
                <w:b/>
                <w:bCs/>
                <w:sz w:val="16"/>
                <w:szCs w:val="16"/>
                <w:lang w:eastAsia="es-AR"/>
              </w:rPr>
            </w:pPr>
            <w:r w:rsidRPr="00701F32">
              <w:rPr>
                <w:rFonts w:ascii="Arial" w:hAnsi="Arial" w:cs="Arial"/>
                <w:b/>
                <w:bCs/>
                <w:sz w:val="16"/>
                <w:szCs w:val="16"/>
                <w:lang w:eastAsia="es-AR"/>
              </w:rPr>
              <w:t> </w:t>
            </w:r>
          </w:p>
        </w:tc>
      </w:tr>
      <w:tr w:rsidR="002A4D61" w:rsidRPr="00701F32" w14:paraId="1DEBF736" w14:textId="77777777" w:rsidTr="00EB601A">
        <w:trPr>
          <w:trHeight w:val="217"/>
        </w:trPr>
        <w:tc>
          <w:tcPr>
            <w:tcW w:w="1733" w:type="dxa"/>
            <w:tcBorders>
              <w:top w:val="nil"/>
              <w:left w:val="single" w:sz="4" w:space="0" w:color="auto"/>
              <w:bottom w:val="nil"/>
              <w:right w:val="nil"/>
            </w:tcBorders>
            <w:shd w:val="clear" w:color="auto" w:fill="auto"/>
            <w:noWrap/>
            <w:vAlign w:val="bottom"/>
            <w:hideMark/>
          </w:tcPr>
          <w:p w14:paraId="3EB2388F" w14:textId="77777777" w:rsidR="002A4D61" w:rsidRPr="00701F32" w:rsidRDefault="002A4D61" w:rsidP="002A4D61">
            <w:pPr>
              <w:rPr>
                <w:rFonts w:ascii="Arial" w:hAnsi="Arial" w:cs="Arial"/>
                <w:sz w:val="16"/>
                <w:szCs w:val="16"/>
                <w:lang w:eastAsia="es-AR"/>
              </w:rPr>
            </w:pPr>
            <w:r w:rsidRPr="00701F32">
              <w:rPr>
                <w:rFonts w:ascii="Arial" w:hAnsi="Arial" w:cs="Arial"/>
                <w:sz w:val="16"/>
                <w:szCs w:val="16"/>
                <w:lang w:eastAsia="es-AR"/>
              </w:rPr>
              <w:t> </w:t>
            </w:r>
          </w:p>
        </w:tc>
        <w:tc>
          <w:tcPr>
            <w:tcW w:w="1075" w:type="dxa"/>
            <w:tcBorders>
              <w:top w:val="nil"/>
              <w:left w:val="nil"/>
              <w:bottom w:val="nil"/>
              <w:right w:val="nil"/>
            </w:tcBorders>
            <w:shd w:val="clear" w:color="auto" w:fill="auto"/>
            <w:noWrap/>
            <w:vAlign w:val="bottom"/>
            <w:hideMark/>
          </w:tcPr>
          <w:p w14:paraId="5630A3AF" w14:textId="77777777" w:rsidR="002A4D61" w:rsidRPr="00701F32" w:rsidRDefault="002A4D61" w:rsidP="002A4D61">
            <w:pPr>
              <w:rPr>
                <w:rFonts w:ascii="Arial" w:hAnsi="Arial" w:cs="Arial"/>
                <w:sz w:val="16"/>
                <w:szCs w:val="16"/>
                <w:lang w:eastAsia="es-AR"/>
              </w:rPr>
            </w:pPr>
          </w:p>
        </w:tc>
        <w:tc>
          <w:tcPr>
            <w:tcW w:w="674" w:type="dxa"/>
            <w:tcBorders>
              <w:top w:val="nil"/>
              <w:left w:val="nil"/>
              <w:bottom w:val="nil"/>
              <w:right w:val="nil"/>
            </w:tcBorders>
            <w:shd w:val="clear" w:color="auto" w:fill="auto"/>
            <w:noWrap/>
            <w:vAlign w:val="bottom"/>
            <w:hideMark/>
          </w:tcPr>
          <w:p w14:paraId="23045355" w14:textId="77777777" w:rsidR="002A4D61" w:rsidRPr="00701F32" w:rsidRDefault="002A4D61" w:rsidP="002A4D61">
            <w:pPr>
              <w:rPr>
                <w:sz w:val="20"/>
                <w:lang w:eastAsia="es-AR"/>
              </w:rPr>
            </w:pPr>
          </w:p>
        </w:tc>
        <w:tc>
          <w:tcPr>
            <w:tcW w:w="185" w:type="dxa"/>
            <w:tcBorders>
              <w:top w:val="nil"/>
              <w:left w:val="nil"/>
              <w:bottom w:val="nil"/>
              <w:right w:val="nil"/>
            </w:tcBorders>
            <w:shd w:val="clear" w:color="auto" w:fill="auto"/>
            <w:noWrap/>
            <w:vAlign w:val="bottom"/>
            <w:hideMark/>
          </w:tcPr>
          <w:p w14:paraId="77FDA6C9" w14:textId="77777777" w:rsidR="002A4D61" w:rsidRPr="00701F32" w:rsidRDefault="002A4D61" w:rsidP="002A4D61">
            <w:pPr>
              <w:rPr>
                <w:sz w:val="20"/>
                <w:lang w:eastAsia="es-AR"/>
              </w:rPr>
            </w:pPr>
          </w:p>
        </w:tc>
        <w:tc>
          <w:tcPr>
            <w:tcW w:w="985" w:type="dxa"/>
            <w:tcBorders>
              <w:top w:val="nil"/>
              <w:left w:val="nil"/>
              <w:bottom w:val="nil"/>
              <w:right w:val="nil"/>
            </w:tcBorders>
            <w:shd w:val="clear" w:color="auto" w:fill="auto"/>
            <w:noWrap/>
            <w:vAlign w:val="bottom"/>
            <w:hideMark/>
          </w:tcPr>
          <w:p w14:paraId="58F47517" w14:textId="77777777" w:rsidR="002A4D61" w:rsidRPr="00701F32" w:rsidRDefault="002A4D61" w:rsidP="002A4D61">
            <w:pPr>
              <w:rPr>
                <w:sz w:val="20"/>
                <w:lang w:eastAsia="es-AR"/>
              </w:rPr>
            </w:pPr>
          </w:p>
        </w:tc>
        <w:tc>
          <w:tcPr>
            <w:tcW w:w="702" w:type="dxa"/>
            <w:tcBorders>
              <w:top w:val="nil"/>
              <w:left w:val="nil"/>
              <w:bottom w:val="nil"/>
              <w:right w:val="nil"/>
            </w:tcBorders>
            <w:shd w:val="clear" w:color="auto" w:fill="auto"/>
            <w:noWrap/>
            <w:vAlign w:val="bottom"/>
            <w:hideMark/>
          </w:tcPr>
          <w:p w14:paraId="353CC7CD" w14:textId="77777777" w:rsidR="002A4D61" w:rsidRPr="00701F32" w:rsidRDefault="002A4D61" w:rsidP="002A4D61">
            <w:pPr>
              <w:rPr>
                <w:sz w:val="20"/>
                <w:lang w:eastAsia="es-AR"/>
              </w:rPr>
            </w:pPr>
          </w:p>
        </w:tc>
        <w:tc>
          <w:tcPr>
            <w:tcW w:w="603" w:type="dxa"/>
            <w:tcBorders>
              <w:top w:val="nil"/>
              <w:left w:val="nil"/>
              <w:bottom w:val="nil"/>
              <w:right w:val="nil"/>
            </w:tcBorders>
            <w:shd w:val="clear" w:color="auto" w:fill="auto"/>
            <w:noWrap/>
            <w:vAlign w:val="bottom"/>
            <w:hideMark/>
          </w:tcPr>
          <w:p w14:paraId="77C9D225" w14:textId="77777777" w:rsidR="002A4D61" w:rsidRPr="00701F32" w:rsidRDefault="002A4D61" w:rsidP="002A4D61">
            <w:pPr>
              <w:rPr>
                <w:sz w:val="20"/>
                <w:lang w:eastAsia="es-AR"/>
              </w:rPr>
            </w:pPr>
          </w:p>
        </w:tc>
        <w:tc>
          <w:tcPr>
            <w:tcW w:w="656" w:type="dxa"/>
            <w:tcBorders>
              <w:top w:val="nil"/>
              <w:left w:val="nil"/>
              <w:bottom w:val="nil"/>
              <w:right w:val="nil"/>
            </w:tcBorders>
            <w:shd w:val="clear" w:color="auto" w:fill="auto"/>
            <w:noWrap/>
            <w:vAlign w:val="bottom"/>
            <w:hideMark/>
          </w:tcPr>
          <w:p w14:paraId="148FCB02" w14:textId="77777777" w:rsidR="002A4D61" w:rsidRPr="00701F32" w:rsidRDefault="002A4D61" w:rsidP="002A4D61">
            <w:pPr>
              <w:rPr>
                <w:sz w:val="20"/>
                <w:lang w:eastAsia="es-AR"/>
              </w:rPr>
            </w:pPr>
          </w:p>
        </w:tc>
        <w:tc>
          <w:tcPr>
            <w:tcW w:w="1056" w:type="dxa"/>
            <w:tcBorders>
              <w:top w:val="nil"/>
              <w:left w:val="nil"/>
              <w:bottom w:val="nil"/>
              <w:right w:val="nil"/>
            </w:tcBorders>
            <w:shd w:val="clear" w:color="auto" w:fill="auto"/>
            <w:noWrap/>
            <w:vAlign w:val="bottom"/>
            <w:hideMark/>
          </w:tcPr>
          <w:p w14:paraId="6B6BBF0D" w14:textId="77777777" w:rsidR="002A4D61" w:rsidRPr="00701F32" w:rsidRDefault="002A4D61" w:rsidP="002A4D61">
            <w:pPr>
              <w:rPr>
                <w:sz w:val="20"/>
                <w:lang w:eastAsia="es-AR"/>
              </w:rPr>
            </w:pPr>
          </w:p>
        </w:tc>
        <w:tc>
          <w:tcPr>
            <w:tcW w:w="869" w:type="dxa"/>
            <w:tcBorders>
              <w:top w:val="nil"/>
              <w:left w:val="nil"/>
              <w:bottom w:val="nil"/>
              <w:right w:val="nil"/>
            </w:tcBorders>
            <w:shd w:val="clear" w:color="auto" w:fill="auto"/>
            <w:noWrap/>
            <w:vAlign w:val="bottom"/>
            <w:hideMark/>
          </w:tcPr>
          <w:p w14:paraId="1F8D3FD3" w14:textId="77777777" w:rsidR="002A4D61" w:rsidRPr="00701F32" w:rsidRDefault="002A4D61" w:rsidP="002A4D61">
            <w:pPr>
              <w:rPr>
                <w:sz w:val="20"/>
                <w:lang w:eastAsia="es-AR"/>
              </w:rPr>
            </w:pPr>
          </w:p>
        </w:tc>
        <w:tc>
          <w:tcPr>
            <w:tcW w:w="869" w:type="dxa"/>
            <w:tcBorders>
              <w:top w:val="nil"/>
              <w:left w:val="nil"/>
              <w:bottom w:val="nil"/>
              <w:right w:val="single" w:sz="4" w:space="0" w:color="auto"/>
            </w:tcBorders>
            <w:shd w:val="clear" w:color="auto" w:fill="auto"/>
            <w:noWrap/>
            <w:vAlign w:val="bottom"/>
            <w:hideMark/>
          </w:tcPr>
          <w:p w14:paraId="08D63CED"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 </w:t>
            </w:r>
          </w:p>
        </w:tc>
      </w:tr>
      <w:tr w:rsidR="002A4D61" w:rsidRPr="00701F32" w14:paraId="4FD5735E" w14:textId="77777777" w:rsidTr="00EB601A">
        <w:trPr>
          <w:trHeight w:val="217"/>
        </w:trPr>
        <w:tc>
          <w:tcPr>
            <w:tcW w:w="1733" w:type="dxa"/>
            <w:tcBorders>
              <w:top w:val="nil"/>
              <w:left w:val="single" w:sz="4" w:space="0" w:color="auto"/>
              <w:bottom w:val="nil"/>
              <w:right w:val="nil"/>
            </w:tcBorders>
            <w:shd w:val="clear" w:color="auto" w:fill="auto"/>
            <w:noWrap/>
            <w:vAlign w:val="bottom"/>
            <w:hideMark/>
          </w:tcPr>
          <w:p w14:paraId="0077A56B"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Ordinarias escriturales clase A</w:t>
            </w:r>
          </w:p>
        </w:tc>
        <w:tc>
          <w:tcPr>
            <w:tcW w:w="1075" w:type="dxa"/>
            <w:tcBorders>
              <w:top w:val="nil"/>
              <w:left w:val="nil"/>
              <w:bottom w:val="nil"/>
              <w:right w:val="nil"/>
            </w:tcBorders>
            <w:shd w:val="clear" w:color="auto" w:fill="auto"/>
            <w:noWrap/>
            <w:vAlign w:val="bottom"/>
          </w:tcPr>
          <w:p w14:paraId="0911A256" w14:textId="3362A534" w:rsidR="002A4D61" w:rsidRPr="00701F32" w:rsidRDefault="00B57A1C" w:rsidP="002A4D61">
            <w:pPr>
              <w:jc w:val="right"/>
              <w:rPr>
                <w:rFonts w:ascii="Arial" w:hAnsi="Arial" w:cs="Arial"/>
                <w:sz w:val="16"/>
                <w:szCs w:val="16"/>
                <w:lang w:eastAsia="es-AR"/>
              </w:rPr>
            </w:pPr>
            <w:r>
              <w:rPr>
                <w:rFonts w:ascii="Arial" w:hAnsi="Arial" w:cs="Arial"/>
                <w:sz w:val="16"/>
                <w:szCs w:val="16"/>
                <w:lang w:eastAsia="es-AR"/>
              </w:rPr>
              <w:t>930.371</w:t>
            </w:r>
          </w:p>
        </w:tc>
        <w:tc>
          <w:tcPr>
            <w:tcW w:w="674" w:type="dxa"/>
            <w:tcBorders>
              <w:top w:val="nil"/>
              <w:left w:val="nil"/>
              <w:bottom w:val="nil"/>
              <w:right w:val="nil"/>
            </w:tcBorders>
            <w:shd w:val="clear" w:color="auto" w:fill="auto"/>
            <w:noWrap/>
            <w:vAlign w:val="bottom"/>
          </w:tcPr>
          <w:p w14:paraId="048D7405" w14:textId="6A689863" w:rsidR="002A4D61" w:rsidRPr="00701F32" w:rsidRDefault="00B57A1C" w:rsidP="002A4D61">
            <w:pPr>
              <w:jc w:val="right"/>
              <w:rPr>
                <w:rFonts w:ascii="Arial" w:hAnsi="Arial" w:cs="Arial"/>
                <w:sz w:val="16"/>
                <w:szCs w:val="16"/>
                <w:lang w:eastAsia="es-AR"/>
              </w:rPr>
            </w:pPr>
            <w:r>
              <w:rPr>
                <w:rFonts w:ascii="Arial" w:hAnsi="Arial" w:cs="Arial"/>
                <w:sz w:val="16"/>
                <w:szCs w:val="16"/>
                <w:lang w:eastAsia="es-AR"/>
              </w:rPr>
              <w:t>5</w:t>
            </w:r>
          </w:p>
        </w:tc>
        <w:tc>
          <w:tcPr>
            <w:tcW w:w="185" w:type="dxa"/>
            <w:tcBorders>
              <w:top w:val="nil"/>
              <w:left w:val="nil"/>
              <w:bottom w:val="nil"/>
              <w:right w:val="nil"/>
            </w:tcBorders>
            <w:shd w:val="clear" w:color="auto" w:fill="auto"/>
            <w:noWrap/>
            <w:vAlign w:val="bottom"/>
          </w:tcPr>
          <w:p w14:paraId="41A89A54" w14:textId="77777777" w:rsidR="002A4D61" w:rsidRPr="00701F32" w:rsidRDefault="002A4D61" w:rsidP="002A4D61">
            <w:pPr>
              <w:jc w:val="right"/>
              <w:rPr>
                <w:rFonts w:ascii="Arial" w:hAnsi="Arial" w:cs="Arial"/>
                <w:sz w:val="16"/>
                <w:szCs w:val="16"/>
                <w:lang w:eastAsia="es-AR"/>
              </w:rPr>
            </w:pPr>
          </w:p>
        </w:tc>
        <w:tc>
          <w:tcPr>
            <w:tcW w:w="985" w:type="dxa"/>
            <w:tcBorders>
              <w:top w:val="nil"/>
              <w:left w:val="nil"/>
              <w:bottom w:val="nil"/>
              <w:right w:val="nil"/>
            </w:tcBorders>
            <w:shd w:val="clear" w:color="auto" w:fill="auto"/>
            <w:noWrap/>
            <w:vAlign w:val="bottom"/>
          </w:tcPr>
          <w:p w14:paraId="7C3554AD" w14:textId="42F8D2F4" w:rsidR="002A4D61" w:rsidRPr="00701F32" w:rsidRDefault="00B57A1C" w:rsidP="002A4D61">
            <w:pPr>
              <w:jc w:val="right"/>
              <w:rPr>
                <w:rFonts w:ascii="Arial" w:hAnsi="Arial" w:cs="Arial"/>
                <w:sz w:val="16"/>
                <w:szCs w:val="16"/>
                <w:lang w:eastAsia="es-AR"/>
              </w:rPr>
            </w:pPr>
            <w:r>
              <w:rPr>
                <w:rFonts w:ascii="Arial" w:hAnsi="Arial" w:cs="Arial"/>
                <w:sz w:val="16"/>
                <w:szCs w:val="16"/>
                <w:lang w:eastAsia="es-AR"/>
              </w:rPr>
              <w:t>930</w:t>
            </w:r>
          </w:p>
        </w:tc>
        <w:tc>
          <w:tcPr>
            <w:tcW w:w="702" w:type="dxa"/>
            <w:tcBorders>
              <w:top w:val="nil"/>
              <w:left w:val="nil"/>
              <w:bottom w:val="nil"/>
              <w:right w:val="nil"/>
            </w:tcBorders>
            <w:shd w:val="clear" w:color="auto" w:fill="auto"/>
            <w:noWrap/>
            <w:vAlign w:val="bottom"/>
          </w:tcPr>
          <w:p w14:paraId="24FE765F" w14:textId="5C0A31AC" w:rsidR="002A4D61" w:rsidRPr="00701F32" w:rsidRDefault="00AF7176" w:rsidP="002A4D61">
            <w:pPr>
              <w:jc w:val="right"/>
              <w:rPr>
                <w:rFonts w:ascii="Arial" w:hAnsi="Arial" w:cs="Arial"/>
                <w:sz w:val="16"/>
                <w:szCs w:val="16"/>
                <w:lang w:eastAsia="es-AR"/>
              </w:rPr>
            </w:pPr>
            <w:r>
              <w:rPr>
                <w:rFonts w:ascii="Arial" w:hAnsi="Arial" w:cs="Arial"/>
                <w:sz w:val="16"/>
                <w:szCs w:val="16"/>
                <w:lang w:eastAsia="es-AR"/>
              </w:rPr>
              <w:t>-</w:t>
            </w:r>
          </w:p>
        </w:tc>
        <w:tc>
          <w:tcPr>
            <w:tcW w:w="603" w:type="dxa"/>
            <w:tcBorders>
              <w:top w:val="nil"/>
              <w:left w:val="nil"/>
              <w:bottom w:val="nil"/>
              <w:right w:val="nil"/>
            </w:tcBorders>
            <w:shd w:val="clear" w:color="auto" w:fill="auto"/>
            <w:noWrap/>
            <w:vAlign w:val="bottom"/>
          </w:tcPr>
          <w:p w14:paraId="510FE85D" w14:textId="50CE0E70" w:rsidR="002A4D61" w:rsidRPr="00701F32" w:rsidRDefault="00AF7176" w:rsidP="002A4D61">
            <w:pPr>
              <w:jc w:val="right"/>
              <w:rPr>
                <w:rFonts w:ascii="Arial" w:hAnsi="Arial" w:cs="Arial"/>
                <w:sz w:val="16"/>
                <w:szCs w:val="16"/>
                <w:lang w:eastAsia="es-AR"/>
              </w:rPr>
            </w:pPr>
            <w:r>
              <w:rPr>
                <w:rFonts w:ascii="Arial" w:hAnsi="Arial" w:cs="Arial"/>
                <w:sz w:val="16"/>
                <w:szCs w:val="16"/>
                <w:lang w:eastAsia="es-AR"/>
              </w:rPr>
              <w:t>-</w:t>
            </w:r>
          </w:p>
        </w:tc>
        <w:tc>
          <w:tcPr>
            <w:tcW w:w="656" w:type="dxa"/>
            <w:tcBorders>
              <w:top w:val="nil"/>
              <w:left w:val="nil"/>
              <w:bottom w:val="nil"/>
              <w:right w:val="nil"/>
            </w:tcBorders>
            <w:shd w:val="clear" w:color="auto" w:fill="auto"/>
            <w:noWrap/>
            <w:vAlign w:val="bottom"/>
          </w:tcPr>
          <w:p w14:paraId="6A52070F" w14:textId="6B5C58F8" w:rsidR="002A4D61" w:rsidRPr="00701F32" w:rsidRDefault="00AF7176" w:rsidP="002A4D61">
            <w:pPr>
              <w:jc w:val="right"/>
              <w:rPr>
                <w:rFonts w:ascii="Arial" w:hAnsi="Arial" w:cs="Arial"/>
                <w:sz w:val="16"/>
                <w:szCs w:val="16"/>
                <w:lang w:eastAsia="es-AR"/>
              </w:rPr>
            </w:pPr>
            <w:r>
              <w:rPr>
                <w:rFonts w:ascii="Arial" w:hAnsi="Arial" w:cs="Arial"/>
                <w:sz w:val="16"/>
                <w:szCs w:val="16"/>
                <w:lang w:eastAsia="es-AR"/>
              </w:rPr>
              <w:t>-</w:t>
            </w:r>
          </w:p>
        </w:tc>
        <w:tc>
          <w:tcPr>
            <w:tcW w:w="1056" w:type="dxa"/>
            <w:tcBorders>
              <w:top w:val="nil"/>
              <w:left w:val="nil"/>
              <w:bottom w:val="nil"/>
              <w:right w:val="nil"/>
            </w:tcBorders>
            <w:shd w:val="clear" w:color="auto" w:fill="auto"/>
            <w:noWrap/>
            <w:vAlign w:val="bottom"/>
          </w:tcPr>
          <w:p w14:paraId="67E5AB08" w14:textId="0253B830" w:rsidR="002A4D61" w:rsidRPr="00701F32" w:rsidRDefault="00AF7176" w:rsidP="002A4D61">
            <w:pPr>
              <w:jc w:val="right"/>
              <w:rPr>
                <w:rFonts w:ascii="Arial" w:hAnsi="Arial" w:cs="Arial"/>
                <w:sz w:val="16"/>
                <w:szCs w:val="16"/>
                <w:lang w:eastAsia="es-AR"/>
              </w:rPr>
            </w:pPr>
            <w:r>
              <w:rPr>
                <w:rFonts w:ascii="Arial" w:hAnsi="Arial" w:cs="Arial"/>
                <w:sz w:val="16"/>
                <w:szCs w:val="16"/>
                <w:lang w:eastAsia="es-AR"/>
              </w:rPr>
              <w:t>-</w:t>
            </w:r>
          </w:p>
        </w:tc>
        <w:tc>
          <w:tcPr>
            <w:tcW w:w="869" w:type="dxa"/>
            <w:tcBorders>
              <w:top w:val="nil"/>
              <w:left w:val="nil"/>
              <w:bottom w:val="nil"/>
              <w:right w:val="nil"/>
            </w:tcBorders>
            <w:shd w:val="clear" w:color="auto" w:fill="auto"/>
            <w:noWrap/>
            <w:vAlign w:val="bottom"/>
          </w:tcPr>
          <w:p w14:paraId="70DF30EA" w14:textId="5FE22935" w:rsidR="002A4D61" w:rsidRPr="00701F32" w:rsidRDefault="00AF7176" w:rsidP="002A4D61">
            <w:pPr>
              <w:jc w:val="right"/>
              <w:rPr>
                <w:rFonts w:ascii="Arial" w:hAnsi="Arial" w:cs="Arial"/>
                <w:sz w:val="16"/>
                <w:szCs w:val="16"/>
                <w:lang w:eastAsia="es-AR"/>
              </w:rPr>
            </w:pPr>
            <w:r>
              <w:rPr>
                <w:rFonts w:ascii="Arial" w:hAnsi="Arial" w:cs="Arial"/>
                <w:sz w:val="16"/>
                <w:szCs w:val="16"/>
                <w:lang w:eastAsia="es-AR"/>
              </w:rPr>
              <w:t>-</w:t>
            </w:r>
          </w:p>
        </w:tc>
        <w:tc>
          <w:tcPr>
            <w:tcW w:w="869" w:type="dxa"/>
            <w:tcBorders>
              <w:top w:val="nil"/>
              <w:left w:val="nil"/>
              <w:bottom w:val="nil"/>
              <w:right w:val="single" w:sz="4" w:space="0" w:color="auto"/>
            </w:tcBorders>
            <w:shd w:val="clear" w:color="auto" w:fill="auto"/>
            <w:noWrap/>
            <w:vAlign w:val="bottom"/>
          </w:tcPr>
          <w:p w14:paraId="3D646723" w14:textId="65C99589" w:rsidR="002A4D61" w:rsidRPr="00701F32" w:rsidRDefault="00B57A1C" w:rsidP="002A4D61">
            <w:pPr>
              <w:jc w:val="right"/>
              <w:rPr>
                <w:rFonts w:ascii="Arial" w:hAnsi="Arial" w:cs="Arial"/>
                <w:sz w:val="16"/>
                <w:szCs w:val="16"/>
                <w:lang w:eastAsia="es-AR"/>
              </w:rPr>
            </w:pPr>
            <w:r>
              <w:rPr>
                <w:rFonts w:ascii="Arial" w:hAnsi="Arial" w:cs="Arial"/>
                <w:sz w:val="16"/>
                <w:szCs w:val="16"/>
                <w:lang w:eastAsia="es-AR"/>
              </w:rPr>
              <w:t>930</w:t>
            </w:r>
          </w:p>
        </w:tc>
      </w:tr>
      <w:tr w:rsidR="002A4D61" w:rsidRPr="00701F32" w14:paraId="4681F187" w14:textId="77777777" w:rsidTr="00EB601A">
        <w:trPr>
          <w:trHeight w:val="217"/>
        </w:trPr>
        <w:tc>
          <w:tcPr>
            <w:tcW w:w="1733" w:type="dxa"/>
            <w:tcBorders>
              <w:top w:val="nil"/>
              <w:left w:val="single" w:sz="4" w:space="0" w:color="auto"/>
              <w:bottom w:val="nil"/>
              <w:right w:val="nil"/>
            </w:tcBorders>
            <w:shd w:val="clear" w:color="auto" w:fill="auto"/>
            <w:noWrap/>
            <w:vAlign w:val="bottom"/>
            <w:hideMark/>
          </w:tcPr>
          <w:p w14:paraId="4AB7CC31"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 </w:t>
            </w:r>
          </w:p>
        </w:tc>
        <w:tc>
          <w:tcPr>
            <w:tcW w:w="1075" w:type="dxa"/>
            <w:tcBorders>
              <w:top w:val="nil"/>
              <w:left w:val="nil"/>
              <w:bottom w:val="nil"/>
              <w:right w:val="nil"/>
            </w:tcBorders>
            <w:shd w:val="clear" w:color="auto" w:fill="auto"/>
            <w:noWrap/>
            <w:vAlign w:val="bottom"/>
          </w:tcPr>
          <w:p w14:paraId="082154FD" w14:textId="77777777" w:rsidR="002A4D61" w:rsidRPr="00701F32" w:rsidRDefault="002A4D61" w:rsidP="002A4D61">
            <w:pPr>
              <w:rPr>
                <w:rFonts w:ascii="Arial" w:hAnsi="Arial" w:cs="Arial"/>
                <w:sz w:val="16"/>
                <w:szCs w:val="16"/>
                <w:lang w:eastAsia="es-AR"/>
              </w:rPr>
            </w:pPr>
          </w:p>
        </w:tc>
        <w:tc>
          <w:tcPr>
            <w:tcW w:w="674" w:type="dxa"/>
            <w:tcBorders>
              <w:top w:val="nil"/>
              <w:left w:val="nil"/>
              <w:bottom w:val="nil"/>
              <w:right w:val="nil"/>
            </w:tcBorders>
            <w:shd w:val="clear" w:color="auto" w:fill="auto"/>
            <w:noWrap/>
            <w:vAlign w:val="bottom"/>
          </w:tcPr>
          <w:p w14:paraId="01C61195" w14:textId="77777777" w:rsidR="002A4D61" w:rsidRPr="00701F32" w:rsidRDefault="002A4D61" w:rsidP="002A4D61">
            <w:pPr>
              <w:rPr>
                <w:sz w:val="20"/>
                <w:lang w:eastAsia="es-AR"/>
              </w:rPr>
            </w:pPr>
          </w:p>
        </w:tc>
        <w:tc>
          <w:tcPr>
            <w:tcW w:w="185" w:type="dxa"/>
            <w:tcBorders>
              <w:top w:val="nil"/>
              <w:left w:val="nil"/>
              <w:bottom w:val="nil"/>
              <w:right w:val="nil"/>
            </w:tcBorders>
            <w:shd w:val="clear" w:color="auto" w:fill="auto"/>
            <w:noWrap/>
            <w:vAlign w:val="bottom"/>
          </w:tcPr>
          <w:p w14:paraId="269D1FED" w14:textId="77777777" w:rsidR="002A4D61" w:rsidRPr="00701F32" w:rsidRDefault="002A4D61" w:rsidP="002A4D61">
            <w:pPr>
              <w:rPr>
                <w:sz w:val="20"/>
                <w:lang w:eastAsia="es-AR"/>
              </w:rPr>
            </w:pPr>
          </w:p>
        </w:tc>
        <w:tc>
          <w:tcPr>
            <w:tcW w:w="985" w:type="dxa"/>
            <w:tcBorders>
              <w:top w:val="nil"/>
              <w:left w:val="nil"/>
              <w:bottom w:val="nil"/>
              <w:right w:val="nil"/>
            </w:tcBorders>
            <w:shd w:val="clear" w:color="auto" w:fill="auto"/>
            <w:noWrap/>
            <w:vAlign w:val="bottom"/>
          </w:tcPr>
          <w:p w14:paraId="74DE93AC" w14:textId="77777777" w:rsidR="002A4D61" w:rsidRPr="00701F32" w:rsidRDefault="002A4D61" w:rsidP="002A4D61">
            <w:pPr>
              <w:rPr>
                <w:sz w:val="20"/>
                <w:lang w:eastAsia="es-AR"/>
              </w:rPr>
            </w:pPr>
          </w:p>
        </w:tc>
        <w:tc>
          <w:tcPr>
            <w:tcW w:w="702" w:type="dxa"/>
            <w:tcBorders>
              <w:top w:val="nil"/>
              <w:left w:val="nil"/>
              <w:bottom w:val="nil"/>
              <w:right w:val="nil"/>
            </w:tcBorders>
            <w:shd w:val="clear" w:color="auto" w:fill="auto"/>
            <w:noWrap/>
            <w:vAlign w:val="bottom"/>
          </w:tcPr>
          <w:p w14:paraId="19D436C1" w14:textId="77777777" w:rsidR="002A4D61" w:rsidRPr="00701F32" w:rsidRDefault="002A4D61" w:rsidP="002A4D61">
            <w:pPr>
              <w:rPr>
                <w:sz w:val="20"/>
                <w:lang w:eastAsia="es-AR"/>
              </w:rPr>
            </w:pPr>
          </w:p>
        </w:tc>
        <w:tc>
          <w:tcPr>
            <w:tcW w:w="603" w:type="dxa"/>
            <w:tcBorders>
              <w:top w:val="nil"/>
              <w:left w:val="nil"/>
              <w:bottom w:val="nil"/>
              <w:right w:val="nil"/>
            </w:tcBorders>
            <w:shd w:val="clear" w:color="auto" w:fill="auto"/>
            <w:noWrap/>
            <w:vAlign w:val="bottom"/>
          </w:tcPr>
          <w:p w14:paraId="7D455AF5" w14:textId="77777777" w:rsidR="002A4D61" w:rsidRPr="00701F32" w:rsidRDefault="002A4D61" w:rsidP="002A4D61">
            <w:pPr>
              <w:rPr>
                <w:sz w:val="20"/>
                <w:lang w:eastAsia="es-AR"/>
              </w:rPr>
            </w:pPr>
          </w:p>
        </w:tc>
        <w:tc>
          <w:tcPr>
            <w:tcW w:w="656" w:type="dxa"/>
            <w:tcBorders>
              <w:top w:val="nil"/>
              <w:left w:val="nil"/>
              <w:bottom w:val="nil"/>
              <w:right w:val="nil"/>
            </w:tcBorders>
            <w:shd w:val="clear" w:color="auto" w:fill="auto"/>
            <w:noWrap/>
            <w:vAlign w:val="bottom"/>
          </w:tcPr>
          <w:p w14:paraId="68BF68D4" w14:textId="77777777" w:rsidR="002A4D61" w:rsidRPr="00701F32" w:rsidRDefault="002A4D61" w:rsidP="002A4D61">
            <w:pPr>
              <w:rPr>
                <w:sz w:val="20"/>
                <w:lang w:eastAsia="es-AR"/>
              </w:rPr>
            </w:pPr>
          </w:p>
        </w:tc>
        <w:tc>
          <w:tcPr>
            <w:tcW w:w="1056" w:type="dxa"/>
            <w:tcBorders>
              <w:top w:val="nil"/>
              <w:left w:val="nil"/>
              <w:bottom w:val="nil"/>
              <w:right w:val="nil"/>
            </w:tcBorders>
            <w:shd w:val="clear" w:color="auto" w:fill="auto"/>
            <w:noWrap/>
            <w:vAlign w:val="bottom"/>
          </w:tcPr>
          <w:p w14:paraId="122588BA" w14:textId="77777777" w:rsidR="002A4D61" w:rsidRPr="00701F32" w:rsidRDefault="002A4D61" w:rsidP="002A4D61">
            <w:pPr>
              <w:rPr>
                <w:sz w:val="20"/>
                <w:lang w:eastAsia="es-AR"/>
              </w:rPr>
            </w:pPr>
          </w:p>
        </w:tc>
        <w:tc>
          <w:tcPr>
            <w:tcW w:w="869" w:type="dxa"/>
            <w:tcBorders>
              <w:top w:val="nil"/>
              <w:left w:val="nil"/>
              <w:bottom w:val="nil"/>
              <w:right w:val="nil"/>
            </w:tcBorders>
            <w:shd w:val="clear" w:color="auto" w:fill="auto"/>
            <w:noWrap/>
            <w:vAlign w:val="bottom"/>
          </w:tcPr>
          <w:p w14:paraId="44FAF6C6" w14:textId="77777777" w:rsidR="002A4D61" w:rsidRPr="00701F32" w:rsidRDefault="002A4D61" w:rsidP="002A4D61">
            <w:pPr>
              <w:rPr>
                <w:sz w:val="20"/>
                <w:lang w:eastAsia="es-AR"/>
              </w:rPr>
            </w:pPr>
          </w:p>
        </w:tc>
        <w:tc>
          <w:tcPr>
            <w:tcW w:w="869" w:type="dxa"/>
            <w:tcBorders>
              <w:top w:val="nil"/>
              <w:left w:val="nil"/>
              <w:bottom w:val="nil"/>
              <w:right w:val="single" w:sz="4" w:space="0" w:color="auto"/>
            </w:tcBorders>
            <w:shd w:val="clear" w:color="auto" w:fill="auto"/>
            <w:noWrap/>
            <w:vAlign w:val="bottom"/>
          </w:tcPr>
          <w:p w14:paraId="6AD9F467" w14:textId="5ED5EB2B" w:rsidR="002A4D61" w:rsidRPr="00701F32" w:rsidRDefault="002A4D61" w:rsidP="002A4D61">
            <w:pPr>
              <w:jc w:val="both"/>
              <w:rPr>
                <w:rFonts w:ascii="Arial" w:hAnsi="Arial" w:cs="Arial"/>
                <w:sz w:val="16"/>
                <w:szCs w:val="16"/>
                <w:lang w:eastAsia="es-AR"/>
              </w:rPr>
            </w:pPr>
          </w:p>
        </w:tc>
      </w:tr>
      <w:tr w:rsidR="002A4D61" w:rsidRPr="00701F32" w14:paraId="113B51CB" w14:textId="77777777" w:rsidTr="00EB601A">
        <w:trPr>
          <w:trHeight w:val="217"/>
        </w:trPr>
        <w:tc>
          <w:tcPr>
            <w:tcW w:w="1733" w:type="dxa"/>
            <w:tcBorders>
              <w:top w:val="nil"/>
              <w:left w:val="single" w:sz="4" w:space="0" w:color="auto"/>
              <w:bottom w:val="nil"/>
              <w:right w:val="nil"/>
            </w:tcBorders>
            <w:shd w:val="clear" w:color="auto" w:fill="auto"/>
            <w:noWrap/>
            <w:vAlign w:val="bottom"/>
            <w:hideMark/>
          </w:tcPr>
          <w:p w14:paraId="021BA748"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Ordinarias escriturales clase B</w:t>
            </w:r>
          </w:p>
        </w:tc>
        <w:tc>
          <w:tcPr>
            <w:tcW w:w="1075" w:type="dxa"/>
            <w:tcBorders>
              <w:top w:val="nil"/>
              <w:left w:val="nil"/>
              <w:bottom w:val="nil"/>
              <w:right w:val="nil"/>
            </w:tcBorders>
            <w:shd w:val="clear" w:color="auto" w:fill="auto"/>
            <w:noWrap/>
            <w:vAlign w:val="bottom"/>
          </w:tcPr>
          <w:p w14:paraId="79ED2375" w14:textId="0A185D84" w:rsidR="002A4D61" w:rsidRPr="00701F32" w:rsidRDefault="00B57A1C" w:rsidP="002A4D61">
            <w:pPr>
              <w:jc w:val="right"/>
              <w:rPr>
                <w:rFonts w:ascii="Arial" w:hAnsi="Arial" w:cs="Arial"/>
                <w:sz w:val="16"/>
                <w:szCs w:val="16"/>
                <w:lang w:eastAsia="es-AR"/>
              </w:rPr>
            </w:pPr>
            <w:r>
              <w:rPr>
                <w:rFonts w:ascii="Arial" w:hAnsi="Arial" w:cs="Arial"/>
                <w:sz w:val="16"/>
                <w:szCs w:val="16"/>
                <w:lang w:eastAsia="es-AR"/>
              </w:rPr>
              <w:t>807.921.893</w:t>
            </w:r>
          </w:p>
        </w:tc>
        <w:tc>
          <w:tcPr>
            <w:tcW w:w="674" w:type="dxa"/>
            <w:tcBorders>
              <w:top w:val="nil"/>
              <w:left w:val="nil"/>
              <w:bottom w:val="nil"/>
              <w:right w:val="nil"/>
            </w:tcBorders>
            <w:shd w:val="clear" w:color="auto" w:fill="auto"/>
            <w:noWrap/>
            <w:vAlign w:val="bottom"/>
          </w:tcPr>
          <w:p w14:paraId="19764974" w14:textId="63C854C3" w:rsidR="002A4D61" w:rsidRPr="00701F32" w:rsidRDefault="00B57A1C" w:rsidP="002A4D61">
            <w:pPr>
              <w:jc w:val="right"/>
              <w:rPr>
                <w:rFonts w:ascii="Arial" w:hAnsi="Arial" w:cs="Arial"/>
                <w:sz w:val="16"/>
                <w:szCs w:val="16"/>
                <w:lang w:eastAsia="es-AR"/>
              </w:rPr>
            </w:pPr>
            <w:r>
              <w:rPr>
                <w:rFonts w:ascii="Arial" w:hAnsi="Arial" w:cs="Arial"/>
                <w:sz w:val="16"/>
                <w:szCs w:val="16"/>
                <w:lang w:eastAsia="es-AR"/>
              </w:rPr>
              <w:t>1</w:t>
            </w:r>
          </w:p>
        </w:tc>
        <w:tc>
          <w:tcPr>
            <w:tcW w:w="185" w:type="dxa"/>
            <w:tcBorders>
              <w:top w:val="nil"/>
              <w:left w:val="nil"/>
              <w:bottom w:val="nil"/>
              <w:right w:val="nil"/>
            </w:tcBorders>
            <w:shd w:val="clear" w:color="auto" w:fill="auto"/>
            <w:noWrap/>
            <w:vAlign w:val="bottom"/>
          </w:tcPr>
          <w:p w14:paraId="69EC9A9D" w14:textId="77777777" w:rsidR="002A4D61" w:rsidRPr="00701F32" w:rsidRDefault="002A4D61" w:rsidP="002A4D61">
            <w:pPr>
              <w:jc w:val="right"/>
              <w:rPr>
                <w:rFonts w:ascii="Arial" w:hAnsi="Arial" w:cs="Arial"/>
                <w:sz w:val="16"/>
                <w:szCs w:val="16"/>
                <w:lang w:eastAsia="es-AR"/>
              </w:rPr>
            </w:pPr>
          </w:p>
        </w:tc>
        <w:tc>
          <w:tcPr>
            <w:tcW w:w="985" w:type="dxa"/>
            <w:tcBorders>
              <w:top w:val="nil"/>
              <w:left w:val="nil"/>
              <w:bottom w:val="nil"/>
              <w:right w:val="nil"/>
            </w:tcBorders>
            <w:shd w:val="clear" w:color="auto" w:fill="auto"/>
            <w:noWrap/>
            <w:vAlign w:val="bottom"/>
          </w:tcPr>
          <w:p w14:paraId="34F47112" w14:textId="16D4FDAB" w:rsidR="002A4D61" w:rsidRPr="00701F32" w:rsidRDefault="00B57A1C" w:rsidP="002A4D61">
            <w:pPr>
              <w:jc w:val="right"/>
              <w:rPr>
                <w:rFonts w:ascii="Arial" w:hAnsi="Arial" w:cs="Arial"/>
                <w:sz w:val="16"/>
                <w:szCs w:val="16"/>
                <w:lang w:eastAsia="es-AR"/>
              </w:rPr>
            </w:pPr>
            <w:r>
              <w:rPr>
                <w:rFonts w:ascii="Arial" w:hAnsi="Arial" w:cs="Arial"/>
                <w:sz w:val="16"/>
                <w:szCs w:val="16"/>
                <w:lang w:eastAsia="es-AR"/>
              </w:rPr>
              <w:t>807.922</w:t>
            </w:r>
          </w:p>
        </w:tc>
        <w:tc>
          <w:tcPr>
            <w:tcW w:w="702" w:type="dxa"/>
            <w:tcBorders>
              <w:top w:val="nil"/>
              <w:left w:val="nil"/>
              <w:bottom w:val="nil"/>
              <w:right w:val="nil"/>
            </w:tcBorders>
            <w:shd w:val="clear" w:color="auto" w:fill="auto"/>
            <w:noWrap/>
            <w:vAlign w:val="bottom"/>
          </w:tcPr>
          <w:p w14:paraId="20A298EE" w14:textId="0E206F20" w:rsidR="002A4D61" w:rsidRPr="00701F32" w:rsidRDefault="00AF7176" w:rsidP="002A4D61">
            <w:pPr>
              <w:jc w:val="right"/>
              <w:rPr>
                <w:rFonts w:ascii="Arial" w:hAnsi="Arial" w:cs="Arial"/>
                <w:sz w:val="16"/>
                <w:szCs w:val="16"/>
                <w:lang w:eastAsia="es-AR"/>
              </w:rPr>
            </w:pPr>
            <w:r>
              <w:rPr>
                <w:rFonts w:ascii="Arial" w:hAnsi="Arial" w:cs="Arial"/>
                <w:sz w:val="16"/>
                <w:szCs w:val="16"/>
                <w:lang w:eastAsia="es-AR"/>
              </w:rPr>
              <w:t>-</w:t>
            </w:r>
          </w:p>
        </w:tc>
        <w:tc>
          <w:tcPr>
            <w:tcW w:w="603" w:type="dxa"/>
            <w:tcBorders>
              <w:top w:val="nil"/>
              <w:left w:val="nil"/>
              <w:bottom w:val="nil"/>
              <w:right w:val="nil"/>
            </w:tcBorders>
            <w:shd w:val="clear" w:color="auto" w:fill="auto"/>
            <w:noWrap/>
            <w:vAlign w:val="bottom"/>
          </w:tcPr>
          <w:p w14:paraId="18D1B0B0" w14:textId="0C0CD1B5" w:rsidR="002A4D61" w:rsidRPr="00701F32" w:rsidRDefault="00AF7176" w:rsidP="002A4D61">
            <w:pPr>
              <w:jc w:val="right"/>
              <w:rPr>
                <w:rFonts w:ascii="Arial" w:hAnsi="Arial" w:cs="Arial"/>
                <w:sz w:val="16"/>
                <w:szCs w:val="16"/>
                <w:lang w:eastAsia="es-AR"/>
              </w:rPr>
            </w:pPr>
            <w:r>
              <w:rPr>
                <w:rFonts w:ascii="Arial" w:hAnsi="Arial" w:cs="Arial"/>
                <w:sz w:val="16"/>
                <w:szCs w:val="16"/>
                <w:lang w:eastAsia="es-AR"/>
              </w:rPr>
              <w:t>-</w:t>
            </w:r>
          </w:p>
        </w:tc>
        <w:tc>
          <w:tcPr>
            <w:tcW w:w="656" w:type="dxa"/>
            <w:tcBorders>
              <w:top w:val="nil"/>
              <w:left w:val="nil"/>
              <w:bottom w:val="nil"/>
              <w:right w:val="nil"/>
            </w:tcBorders>
            <w:shd w:val="clear" w:color="auto" w:fill="auto"/>
            <w:noWrap/>
            <w:vAlign w:val="bottom"/>
          </w:tcPr>
          <w:p w14:paraId="3F741BB1" w14:textId="522833E9" w:rsidR="002A4D61" w:rsidRPr="00701F32" w:rsidRDefault="00AF7176" w:rsidP="002A4D61">
            <w:pPr>
              <w:jc w:val="right"/>
              <w:rPr>
                <w:rFonts w:ascii="Arial" w:hAnsi="Arial" w:cs="Arial"/>
                <w:sz w:val="16"/>
                <w:szCs w:val="16"/>
                <w:lang w:eastAsia="es-AR"/>
              </w:rPr>
            </w:pPr>
            <w:r>
              <w:rPr>
                <w:rFonts w:ascii="Arial" w:hAnsi="Arial" w:cs="Arial"/>
                <w:sz w:val="16"/>
                <w:szCs w:val="16"/>
                <w:lang w:eastAsia="es-AR"/>
              </w:rPr>
              <w:t>-</w:t>
            </w:r>
          </w:p>
        </w:tc>
        <w:tc>
          <w:tcPr>
            <w:tcW w:w="1056" w:type="dxa"/>
            <w:tcBorders>
              <w:top w:val="nil"/>
              <w:left w:val="nil"/>
              <w:bottom w:val="nil"/>
              <w:right w:val="nil"/>
            </w:tcBorders>
            <w:shd w:val="clear" w:color="auto" w:fill="auto"/>
            <w:noWrap/>
            <w:vAlign w:val="bottom"/>
          </w:tcPr>
          <w:p w14:paraId="64572147" w14:textId="60CDCC6C" w:rsidR="002A4D61" w:rsidRPr="00701F32" w:rsidRDefault="00AF7176" w:rsidP="002A4D61">
            <w:pPr>
              <w:jc w:val="right"/>
              <w:rPr>
                <w:rFonts w:ascii="Arial" w:hAnsi="Arial" w:cs="Arial"/>
                <w:sz w:val="16"/>
                <w:szCs w:val="16"/>
                <w:lang w:eastAsia="es-AR"/>
              </w:rPr>
            </w:pPr>
            <w:r>
              <w:rPr>
                <w:rFonts w:ascii="Arial" w:hAnsi="Arial" w:cs="Arial"/>
                <w:sz w:val="16"/>
                <w:szCs w:val="16"/>
                <w:lang w:eastAsia="es-AR"/>
              </w:rPr>
              <w:t>-</w:t>
            </w:r>
          </w:p>
        </w:tc>
        <w:tc>
          <w:tcPr>
            <w:tcW w:w="869" w:type="dxa"/>
            <w:tcBorders>
              <w:top w:val="nil"/>
              <w:left w:val="nil"/>
              <w:bottom w:val="nil"/>
              <w:right w:val="nil"/>
            </w:tcBorders>
            <w:shd w:val="clear" w:color="auto" w:fill="auto"/>
            <w:noWrap/>
            <w:vAlign w:val="bottom"/>
          </w:tcPr>
          <w:p w14:paraId="7DA481AC" w14:textId="6CAA6499" w:rsidR="002A4D61" w:rsidRPr="00701F32" w:rsidRDefault="00AF7176" w:rsidP="002A4D61">
            <w:pPr>
              <w:jc w:val="right"/>
              <w:rPr>
                <w:rFonts w:ascii="Arial" w:hAnsi="Arial" w:cs="Arial"/>
                <w:sz w:val="16"/>
                <w:szCs w:val="16"/>
                <w:lang w:eastAsia="es-AR"/>
              </w:rPr>
            </w:pPr>
            <w:r>
              <w:rPr>
                <w:rFonts w:ascii="Arial" w:hAnsi="Arial" w:cs="Arial"/>
                <w:sz w:val="16"/>
                <w:szCs w:val="16"/>
                <w:lang w:eastAsia="es-AR"/>
              </w:rPr>
              <w:t>-</w:t>
            </w:r>
          </w:p>
        </w:tc>
        <w:tc>
          <w:tcPr>
            <w:tcW w:w="869" w:type="dxa"/>
            <w:tcBorders>
              <w:top w:val="nil"/>
              <w:left w:val="nil"/>
              <w:bottom w:val="nil"/>
              <w:right w:val="single" w:sz="4" w:space="0" w:color="auto"/>
            </w:tcBorders>
            <w:shd w:val="clear" w:color="auto" w:fill="auto"/>
            <w:noWrap/>
            <w:vAlign w:val="bottom"/>
          </w:tcPr>
          <w:p w14:paraId="2B0F9E5E" w14:textId="12D7E619" w:rsidR="002A4D61" w:rsidRPr="00701F32" w:rsidRDefault="00B57A1C" w:rsidP="002A4D61">
            <w:pPr>
              <w:jc w:val="right"/>
              <w:rPr>
                <w:rFonts w:ascii="Arial" w:hAnsi="Arial" w:cs="Arial"/>
                <w:sz w:val="16"/>
                <w:szCs w:val="16"/>
                <w:lang w:eastAsia="es-AR"/>
              </w:rPr>
            </w:pPr>
            <w:r>
              <w:rPr>
                <w:rFonts w:ascii="Arial" w:hAnsi="Arial" w:cs="Arial"/>
                <w:sz w:val="16"/>
                <w:szCs w:val="16"/>
                <w:lang w:eastAsia="es-AR"/>
              </w:rPr>
              <w:t>807.922</w:t>
            </w:r>
          </w:p>
        </w:tc>
      </w:tr>
      <w:tr w:rsidR="002A4D61" w:rsidRPr="00701F32" w14:paraId="04CB7167" w14:textId="77777777" w:rsidTr="00EB601A">
        <w:trPr>
          <w:trHeight w:val="217"/>
        </w:trPr>
        <w:tc>
          <w:tcPr>
            <w:tcW w:w="1733" w:type="dxa"/>
            <w:tcBorders>
              <w:top w:val="nil"/>
              <w:left w:val="single" w:sz="4" w:space="0" w:color="auto"/>
              <w:bottom w:val="nil"/>
              <w:right w:val="nil"/>
            </w:tcBorders>
            <w:shd w:val="clear" w:color="auto" w:fill="auto"/>
            <w:noWrap/>
            <w:vAlign w:val="bottom"/>
            <w:hideMark/>
          </w:tcPr>
          <w:p w14:paraId="2BBDA3D3"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 </w:t>
            </w:r>
          </w:p>
        </w:tc>
        <w:tc>
          <w:tcPr>
            <w:tcW w:w="1075" w:type="dxa"/>
            <w:tcBorders>
              <w:top w:val="nil"/>
              <w:left w:val="nil"/>
              <w:bottom w:val="nil"/>
              <w:right w:val="nil"/>
            </w:tcBorders>
            <w:shd w:val="clear" w:color="auto" w:fill="auto"/>
            <w:noWrap/>
            <w:vAlign w:val="bottom"/>
            <w:hideMark/>
          </w:tcPr>
          <w:p w14:paraId="2542AFA5" w14:textId="77777777" w:rsidR="002A4D61" w:rsidRPr="00701F32" w:rsidRDefault="002A4D61" w:rsidP="002A4D61">
            <w:pPr>
              <w:rPr>
                <w:rFonts w:ascii="Arial" w:hAnsi="Arial" w:cs="Arial"/>
                <w:sz w:val="16"/>
                <w:szCs w:val="16"/>
                <w:lang w:eastAsia="es-AR"/>
              </w:rPr>
            </w:pPr>
          </w:p>
        </w:tc>
        <w:tc>
          <w:tcPr>
            <w:tcW w:w="674" w:type="dxa"/>
            <w:tcBorders>
              <w:top w:val="nil"/>
              <w:left w:val="nil"/>
              <w:bottom w:val="nil"/>
              <w:right w:val="nil"/>
            </w:tcBorders>
            <w:shd w:val="clear" w:color="auto" w:fill="auto"/>
            <w:noWrap/>
            <w:vAlign w:val="bottom"/>
            <w:hideMark/>
          </w:tcPr>
          <w:p w14:paraId="0A590631" w14:textId="77777777" w:rsidR="002A4D61" w:rsidRPr="00701F32" w:rsidRDefault="002A4D61" w:rsidP="002A4D61">
            <w:pPr>
              <w:rPr>
                <w:sz w:val="20"/>
                <w:lang w:eastAsia="es-AR"/>
              </w:rPr>
            </w:pPr>
          </w:p>
        </w:tc>
        <w:tc>
          <w:tcPr>
            <w:tcW w:w="185" w:type="dxa"/>
            <w:tcBorders>
              <w:top w:val="nil"/>
              <w:left w:val="nil"/>
              <w:bottom w:val="nil"/>
              <w:right w:val="nil"/>
            </w:tcBorders>
            <w:shd w:val="clear" w:color="auto" w:fill="auto"/>
            <w:noWrap/>
            <w:vAlign w:val="bottom"/>
            <w:hideMark/>
          </w:tcPr>
          <w:p w14:paraId="144F3096" w14:textId="77777777" w:rsidR="002A4D61" w:rsidRPr="00701F32" w:rsidRDefault="002A4D61" w:rsidP="002A4D61">
            <w:pPr>
              <w:jc w:val="center"/>
              <w:rPr>
                <w:sz w:val="20"/>
                <w:lang w:eastAsia="es-AR"/>
              </w:rPr>
            </w:pPr>
          </w:p>
        </w:tc>
        <w:tc>
          <w:tcPr>
            <w:tcW w:w="985" w:type="dxa"/>
            <w:tcBorders>
              <w:top w:val="nil"/>
              <w:left w:val="nil"/>
              <w:bottom w:val="single" w:sz="4" w:space="0" w:color="auto"/>
              <w:right w:val="nil"/>
            </w:tcBorders>
            <w:shd w:val="clear" w:color="auto" w:fill="auto"/>
            <w:noWrap/>
            <w:vAlign w:val="bottom"/>
            <w:hideMark/>
          </w:tcPr>
          <w:p w14:paraId="3D07B978"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 </w:t>
            </w:r>
          </w:p>
        </w:tc>
        <w:tc>
          <w:tcPr>
            <w:tcW w:w="702" w:type="dxa"/>
            <w:tcBorders>
              <w:top w:val="nil"/>
              <w:left w:val="nil"/>
              <w:bottom w:val="single" w:sz="4" w:space="0" w:color="auto"/>
              <w:right w:val="nil"/>
            </w:tcBorders>
            <w:shd w:val="clear" w:color="auto" w:fill="auto"/>
            <w:noWrap/>
            <w:vAlign w:val="bottom"/>
            <w:hideMark/>
          </w:tcPr>
          <w:p w14:paraId="6C62F54D"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 </w:t>
            </w:r>
          </w:p>
        </w:tc>
        <w:tc>
          <w:tcPr>
            <w:tcW w:w="603" w:type="dxa"/>
            <w:tcBorders>
              <w:top w:val="nil"/>
              <w:left w:val="nil"/>
              <w:bottom w:val="single" w:sz="4" w:space="0" w:color="auto"/>
              <w:right w:val="nil"/>
            </w:tcBorders>
            <w:shd w:val="clear" w:color="auto" w:fill="auto"/>
            <w:noWrap/>
            <w:vAlign w:val="bottom"/>
            <w:hideMark/>
          </w:tcPr>
          <w:p w14:paraId="2B697A78"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 </w:t>
            </w:r>
          </w:p>
        </w:tc>
        <w:tc>
          <w:tcPr>
            <w:tcW w:w="656" w:type="dxa"/>
            <w:tcBorders>
              <w:top w:val="nil"/>
              <w:left w:val="nil"/>
              <w:bottom w:val="single" w:sz="4" w:space="0" w:color="auto"/>
              <w:right w:val="nil"/>
            </w:tcBorders>
            <w:shd w:val="clear" w:color="auto" w:fill="auto"/>
            <w:noWrap/>
            <w:vAlign w:val="bottom"/>
            <w:hideMark/>
          </w:tcPr>
          <w:p w14:paraId="088C0BDD"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 </w:t>
            </w:r>
          </w:p>
        </w:tc>
        <w:tc>
          <w:tcPr>
            <w:tcW w:w="1056" w:type="dxa"/>
            <w:tcBorders>
              <w:top w:val="nil"/>
              <w:left w:val="nil"/>
              <w:bottom w:val="single" w:sz="4" w:space="0" w:color="auto"/>
              <w:right w:val="nil"/>
            </w:tcBorders>
            <w:shd w:val="clear" w:color="auto" w:fill="auto"/>
            <w:noWrap/>
            <w:vAlign w:val="bottom"/>
            <w:hideMark/>
          </w:tcPr>
          <w:p w14:paraId="7FAFCE96"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 </w:t>
            </w:r>
          </w:p>
        </w:tc>
        <w:tc>
          <w:tcPr>
            <w:tcW w:w="869" w:type="dxa"/>
            <w:tcBorders>
              <w:top w:val="nil"/>
              <w:left w:val="nil"/>
              <w:bottom w:val="single" w:sz="4" w:space="0" w:color="auto"/>
              <w:right w:val="nil"/>
            </w:tcBorders>
            <w:shd w:val="clear" w:color="auto" w:fill="auto"/>
            <w:noWrap/>
            <w:vAlign w:val="bottom"/>
            <w:hideMark/>
          </w:tcPr>
          <w:p w14:paraId="16953E44"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 </w:t>
            </w:r>
          </w:p>
        </w:tc>
        <w:tc>
          <w:tcPr>
            <w:tcW w:w="869" w:type="dxa"/>
            <w:tcBorders>
              <w:top w:val="nil"/>
              <w:left w:val="nil"/>
              <w:bottom w:val="single" w:sz="4" w:space="0" w:color="auto"/>
              <w:right w:val="single" w:sz="4" w:space="0" w:color="auto"/>
            </w:tcBorders>
            <w:shd w:val="clear" w:color="auto" w:fill="auto"/>
            <w:noWrap/>
            <w:vAlign w:val="bottom"/>
            <w:hideMark/>
          </w:tcPr>
          <w:p w14:paraId="76826E39" w14:textId="77777777" w:rsidR="002A4D61" w:rsidRPr="00701F32" w:rsidRDefault="002A4D61" w:rsidP="002A4D61">
            <w:pPr>
              <w:jc w:val="both"/>
              <w:rPr>
                <w:rFonts w:ascii="Arial" w:hAnsi="Arial" w:cs="Arial"/>
                <w:sz w:val="16"/>
                <w:szCs w:val="16"/>
                <w:lang w:eastAsia="es-AR"/>
              </w:rPr>
            </w:pPr>
            <w:r w:rsidRPr="00701F32">
              <w:rPr>
                <w:rFonts w:ascii="Arial" w:hAnsi="Arial" w:cs="Arial"/>
                <w:sz w:val="16"/>
                <w:szCs w:val="16"/>
                <w:lang w:eastAsia="es-AR"/>
              </w:rPr>
              <w:t> </w:t>
            </w:r>
          </w:p>
        </w:tc>
      </w:tr>
      <w:tr w:rsidR="00EB601A" w:rsidRPr="00701F32" w14:paraId="340EF00B" w14:textId="77777777" w:rsidTr="00A059FB">
        <w:trPr>
          <w:trHeight w:val="217"/>
        </w:trPr>
        <w:tc>
          <w:tcPr>
            <w:tcW w:w="1733" w:type="dxa"/>
            <w:tcBorders>
              <w:top w:val="nil"/>
              <w:left w:val="single" w:sz="4" w:space="0" w:color="auto"/>
              <w:bottom w:val="single" w:sz="4" w:space="0" w:color="auto"/>
              <w:right w:val="nil"/>
            </w:tcBorders>
            <w:shd w:val="clear" w:color="auto" w:fill="auto"/>
            <w:noWrap/>
            <w:vAlign w:val="bottom"/>
            <w:hideMark/>
          </w:tcPr>
          <w:p w14:paraId="0BCA3717" w14:textId="2469C9D7" w:rsidR="00EB601A" w:rsidRPr="00701F32" w:rsidRDefault="00EB601A" w:rsidP="00EB601A">
            <w:pPr>
              <w:jc w:val="both"/>
              <w:rPr>
                <w:rFonts w:ascii="Arial" w:hAnsi="Arial" w:cs="Arial"/>
                <w:sz w:val="16"/>
                <w:szCs w:val="16"/>
                <w:lang w:eastAsia="es-AR"/>
              </w:rPr>
            </w:pPr>
            <w:r w:rsidRPr="00701F32">
              <w:rPr>
                <w:rFonts w:ascii="Arial" w:hAnsi="Arial" w:cs="Arial"/>
                <w:b/>
                <w:bCs/>
                <w:sz w:val="16"/>
                <w:szCs w:val="16"/>
                <w:lang w:eastAsia="es-AR"/>
              </w:rPr>
              <w:t xml:space="preserve"> TOTAL </w:t>
            </w:r>
          </w:p>
        </w:tc>
        <w:tc>
          <w:tcPr>
            <w:tcW w:w="1075" w:type="dxa"/>
            <w:tcBorders>
              <w:top w:val="nil"/>
              <w:left w:val="nil"/>
              <w:bottom w:val="single" w:sz="4" w:space="0" w:color="auto"/>
              <w:right w:val="nil"/>
            </w:tcBorders>
            <w:shd w:val="clear" w:color="auto" w:fill="auto"/>
            <w:noWrap/>
            <w:vAlign w:val="bottom"/>
            <w:hideMark/>
          </w:tcPr>
          <w:p w14:paraId="67B02972" w14:textId="6F8B9D9B" w:rsidR="00EB601A" w:rsidRPr="00701F32" w:rsidRDefault="00EB601A" w:rsidP="00EB601A">
            <w:pPr>
              <w:jc w:val="both"/>
              <w:rPr>
                <w:rFonts w:ascii="Arial" w:hAnsi="Arial" w:cs="Arial"/>
                <w:sz w:val="16"/>
                <w:szCs w:val="16"/>
                <w:lang w:eastAsia="es-AR"/>
              </w:rPr>
            </w:pPr>
            <w:r>
              <w:rPr>
                <w:rFonts w:ascii="Arial" w:hAnsi="Arial" w:cs="Arial"/>
                <w:sz w:val="16"/>
                <w:szCs w:val="16"/>
                <w:lang w:eastAsia="es-AR"/>
              </w:rPr>
              <w:t>808.852.264</w:t>
            </w:r>
            <w:r w:rsidRPr="00701F32">
              <w:rPr>
                <w:rFonts w:ascii="Arial" w:hAnsi="Arial" w:cs="Arial"/>
                <w:sz w:val="16"/>
                <w:szCs w:val="16"/>
                <w:lang w:eastAsia="es-AR"/>
              </w:rPr>
              <w:t> </w:t>
            </w:r>
          </w:p>
        </w:tc>
        <w:tc>
          <w:tcPr>
            <w:tcW w:w="674" w:type="dxa"/>
            <w:tcBorders>
              <w:top w:val="nil"/>
              <w:left w:val="nil"/>
              <w:bottom w:val="single" w:sz="4" w:space="0" w:color="auto"/>
              <w:right w:val="nil"/>
            </w:tcBorders>
            <w:shd w:val="clear" w:color="auto" w:fill="auto"/>
            <w:noWrap/>
            <w:vAlign w:val="bottom"/>
          </w:tcPr>
          <w:p w14:paraId="6C32EE2D" w14:textId="0970FFA5" w:rsidR="00EB601A" w:rsidRPr="00701F32" w:rsidRDefault="00EB601A" w:rsidP="00EB601A">
            <w:pPr>
              <w:jc w:val="right"/>
              <w:rPr>
                <w:rFonts w:ascii="Arial" w:hAnsi="Arial" w:cs="Arial"/>
                <w:b/>
                <w:bCs/>
                <w:sz w:val="16"/>
                <w:szCs w:val="16"/>
                <w:lang w:eastAsia="es-AR"/>
              </w:rPr>
            </w:pPr>
          </w:p>
        </w:tc>
        <w:tc>
          <w:tcPr>
            <w:tcW w:w="185" w:type="dxa"/>
            <w:tcBorders>
              <w:top w:val="nil"/>
              <w:left w:val="nil"/>
              <w:bottom w:val="single" w:sz="4" w:space="0" w:color="auto"/>
              <w:right w:val="nil"/>
            </w:tcBorders>
            <w:shd w:val="clear" w:color="auto" w:fill="auto"/>
            <w:noWrap/>
            <w:vAlign w:val="bottom"/>
            <w:hideMark/>
          </w:tcPr>
          <w:p w14:paraId="78E82689" w14:textId="77777777" w:rsidR="00EB601A" w:rsidRPr="00701F32" w:rsidRDefault="00EB601A" w:rsidP="00EB601A">
            <w:pPr>
              <w:jc w:val="both"/>
              <w:rPr>
                <w:rFonts w:ascii="Arial" w:hAnsi="Arial" w:cs="Arial"/>
                <w:sz w:val="16"/>
                <w:szCs w:val="16"/>
                <w:lang w:eastAsia="es-AR"/>
              </w:rPr>
            </w:pPr>
            <w:r w:rsidRPr="00701F32">
              <w:rPr>
                <w:rFonts w:ascii="Arial" w:hAnsi="Arial" w:cs="Arial"/>
                <w:sz w:val="16"/>
                <w:szCs w:val="16"/>
                <w:lang w:eastAsia="es-AR"/>
              </w:rPr>
              <w:t> </w:t>
            </w:r>
          </w:p>
        </w:tc>
        <w:tc>
          <w:tcPr>
            <w:tcW w:w="985" w:type="dxa"/>
            <w:tcBorders>
              <w:top w:val="nil"/>
              <w:left w:val="nil"/>
              <w:bottom w:val="single" w:sz="4" w:space="0" w:color="auto"/>
              <w:right w:val="nil"/>
            </w:tcBorders>
            <w:shd w:val="clear" w:color="auto" w:fill="auto"/>
            <w:noWrap/>
            <w:vAlign w:val="bottom"/>
          </w:tcPr>
          <w:p w14:paraId="7D1B4F13" w14:textId="1041FF74" w:rsidR="00EB601A" w:rsidRPr="00701F32" w:rsidRDefault="00EB601A" w:rsidP="00EB601A">
            <w:pPr>
              <w:jc w:val="right"/>
              <w:rPr>
                <w:rFonts w:ascii="Arial" w:hAnsi="Arial" w:cs="Arial"/>
                <w:b/>
                <w:bCs/>
                <w:sz w:val="16"/>
                <w:szCs w:val="16"/>
                <w:lang w:eastAsia="es-AR"/>
              </w:rPr>
            </w:pPr>
            <w:r>
              <w:rPr>
                <w:rFonts w:ascii="Arial" w:hAnsi="Arial" w:cs="Arial"/>
                <w:b/>
                <w:bCs/>
                <w:sz w:val="16"/>
                <w:szCs w:val="16"/>
                <w:lang w:eastAsia="es-AR"/>
              </w:rPr>
              <w:t>808.852</w:t>
            </w:r>
          </w:p>
        </w:tc>
        <w:tc>
          <w:tcPr>
            <w:tcW w:w="702" w:type="dxa"/>
            <w:tcBorders>
              <w:top w:val="nil"/>
              <w:left w:val="nil"/>
              <w:bottom w:val="single" w:sz="4" w:space="0" w:color="auto"/>
              <w:right w:val="nil"/>
            </w:tcBorders>
            <w:shd w:val="clear" w:color="auto" w:fill="auto"/>
            <w:noWrap/>
            <w:vAlign w:val="bottom"/>
          </w:tcPr>
          <w:p w14:paraId="1BB58F1B" w14:textId="0D53D7B9" w:rsidR="00EB601A" w:rsidRPr="00701F32" w:rsidRDefault="00EB601A" w:rsidP="00EB601A">
            <w:pPr>
              <w:jc w:val="right"/>
              <w:rPr>
                <w:rFonts w:ascii="Arial" w:hAnsi="Arial" w:cs="Arial"/>
                <w:b/>
                <w:bCs/>
                <w:sz w:val="16"/>
                <w:szCs w:val="16"/>
                <w:lang w:eastAsia="es-AR"/>
              </w:rPr>
            </w:pPr>
            <w:r>
              <w:rPr>
                <w:rFonts w:ascii="Arial" w:hAnsi="Arial" w:cs="Arial"/>
                <w:b/>
                <w:bCs/>
                <w:sz w:val="16"/>
                <w:szCs w:val="16"/>
                <w:lang w:eastAsia="es-AR"/>
              </w:rPr>
              <w:t>-</w:t>
            </w:r>
          </w:p>
        </w:tc>
        <w:tc>
          <w:tcPr>
            <w:tcW w:w="603" w:type="dxa"/>
            <w:tcBorders>
              <w:top w:val="nil"/>
              <w:left w:val="nil"/>
              <w:bottom w:val="single" w:sz="4" w:space="0" w:color="auto"/>
              <w:right w:val="nil"/>
            </w:tcBorders>
            <w:shd w:val="clear" w:color="auto" w:fill="auto"/>
            <w:noWrap/>
            <w:vAlign w:val="bottom"/>
          </w:tcPr>
          <w:p w14:paraId="1F3FB462" w14:textId="62D5B942" w:rsidR="00EB601A" w:rsidRPr="00701F32" w:rsidRDefault="00EB601A" w:rsidP="00EB601A">
            <w:pPr>
              <w:jc w:val="right"/>
              <w:rPr>
                <w:rFonts w:ascii="Arial" w:hAnsi="Arial" w:cs="Arial"/>
                <w:b/>
                <w:bCs/>
                <w:sz w:val="16"/>
                <w:szCs w:val="16"/>
                <w:lang w:eastAsia="es-AR"/>
              </w:rPr>
            </w:pPr>
            <w:r>
              <w:rPr>
                <w:rFonts w:ascii="Arial" w:hAnsi="Arial" w:cs="Arial"/>
                <w:b/>
                <w:bCs/>
                <w:sz w:val="16"/>
                <w:szCs w:val="16"/>
                <w:lang w:eastAsia="es-AR"/>
              </w:rPr>
              <w:t>-</w:t>
            </w:r>
          </w:p>
        </w:tc>
        <w:tc>
          <w:tcPr>
            <w:tcW w:w="656" w:type="dxa"/>
            <w:tcBorders>
              <w:top w:val="nil"/>
              <w:left w:val="nil"/>
              <w:bottom w:val="single" w:sz="4" w:space="0" w:color="auto"/>
              <w:right w:val="nil"/>
            </w:tcBorders>
            <w:shd w:val="clear" w:color="auto" w:fill="auto"/>
            <w:noWrap/>
            <w:vAlign w:val="bottom"/>
          </w:tcPr>
          <w:p w14:paraId="69F7E891" w14:textId="6487976A" w:rsidR="00EB601A" w:rsidRPr="00701F32" w:rsidRDefault="00EB601A" w:rsidP="00EB601A">
            <w:pPr>
              <w:jc w:val="right"/>
              <w:rPr>
                <w:rFonts w:ascii="Arial" w:hAnsi="Arial" w:cs="Arial"/>
                <w:b/>
                <w:bCs/>
                <w:sz w:val="16"/>
                <w:szCs w:val="16"/>
                <w:lang w:eastAsia="es-AR"/>
              </w:rPr>
            </w:pPr>
            <w:r>
              <w:rPr>
                <w:rFonts w:ascii="Arial" w:hAnsi="Arial" w:cs="Arial"/>
                <w:b/>
                <w:bCs/>
                <w:sz w:val="16"/>
                <w:szCs w:val="16"/>
                <w:lang w:eastAsia="es-AR"/>
              </w:rPr>
              <w:t>-</w:t>
            </w:r>
          </w:p>
        </w:tc>
        <w:tc>
          <w:tcPr>
            <w:tcW w:w="1056" w:type="dxa"/>
            <w:tcBorders>
              <w:top w:val="nil"/>
              <w:left w:val="nil"/>
              <w:bottom w:val="single" w:sz="4" w:space="0" w:color="auto"/>
              <w:right w:val="nil"/>
            </w:tcBorders>
            <w:shd w:val="clear" w:color="auto" w:fill="auto"/>
            <w:noWrap/>
            <w:vAlign w:val="bottom"/>
          </w:tcPr>
          <w:p w14:paraId="66A20220" w14:textId="40C8BB17" w:rsidR="00EB601A" w:rsidRPr="00701F32" w:rsidRDefault="00EB601A" w:rsidP="00EB601A">
            <w:pPr>
              <w:jc w:val="right"/>
              <w:rPr>
                <w:rFonts w:ascii="Arial" w:hAnsi="Arial" w:cs="Arial"/>
                <w:b/>
                <w:bCs/>
                <w:sz w:val="16"/>
                <w:szCs w:val="16"/>
                <w:lang w:eastAsia="es-AR"/>
              </w:rPr>
            </w:pPr>
            <w:r>
              <w:rPr>
                <w:rFonts w:ascii="Arial" w:hAnsi="Arial" w:cs="Arial"/>
                <w:b/>
                <w:bCs/>
                <w:sz w:val="16"/>
                <w:szCs w:val="16"/>
                <w:lang w:eastAsia="es-AR"/>
              </w:rPr>
              <w:t>-</w:t>
            </w:r>
          </w:p>
        </w:tc>
        <w:tc>
          <w:tcPr>
            <w:tcW w:w="869" w:type="dxa"/>
            <w:tcBorders>
              <w:top w:val="nil"/>
              <w:left w:val="nil"/>
              <w:bottom w:val="single" w:sz="4" w:space="0" w:color="auto"/>
              <w:right w:val="nil"/>
            </w:tcBorders>
            <w:shd w:val="clear" w:color="auto" w:fill="auto"/>
            <w:noWrap/>
            <w:vAlign w:val="bottom"/>
          </w:tcPr>
          <w:p w14:paraId="703884B3" w14:textId="6FBE2550" w:rsidR="00EB601A" w:rsidRPr="00701F32" w:rsidRDefault="00EB601A" w:rsidP="00EB601A">
            <w:pPr>
              <w:jc w:val="right"/>
              <w:rPr>
                <w:rFonts w:ascii="Arial" w:hAnsi="Arial" w:cs="Arial"/>
                <w:b/>
                <w:bCs/>
                <w:sz w:val="16"/>
                <w:szCs w:val="16"/>
                <w:lang w:eastAsia="es-AR"/>
              </w:rPr>
            </w:pPr>
            <w:r>
              <w:rPr>
                <w:rFonts w:ascii="Arial" w:hAnsi="Arial" w:cs="Arial"/>
                <w:b/>
                <w:bCs/>
                <w:sz w:val="16"/>
                <w:szCs w:val="16"/>
                <w:lang w:eastAsia="es-AR"/>
              </w:rPr>
              <w:t>-</w:t>
            </w:r>
          </w:p>
        </w:tc>
        <w:tc>
          <w:tcPr>
            <w:tcW w:w="869" w:type="dxa"/>
            <w:tcBorders>
              <w:top w:val="nil"/>
              <w:left w:val="nil"/>
              <w:bottom w:val="single" w:sz="4" w:space="0" w:color="auto"/>
              <w:right w:val="single" w:sz="4" w:space="0" w:color="auto"/>
            </w:tcBorders>
            <w:shd w:val="clear" w:color="auto" w:fill="auto"/>
            <w:noWrap/>
            <w:vAlign w:val="bottom"/>
          </w:tcPr>
          <w:p w14:paraId="4347C9A1" w14:textId="6E6DDD3D" w:rsidR="00EB601A" w:rsidRPr="00701F32" w:rsidRDefault="00EB601A" w:rsidP="00EB601A">
            <w:pPr>
              <w:jc w:val="right"/>
              <w:rPr>
                <w:rFonts w:ascii="Arial" w:hAnsi="Arial" w:cs="Arial"/>
                <w:b/>
                <w:bCs/>
                <w:sz w:val="16"/>
                <w:szCs w:val="16"/>
                <w:lang w:eastAsia="es-AR"/>
              </w:rPr>
            </w:pPr>
            <w:r>
              <w:rPr>
                <w:rFonts w:ascii="Arial" w:hAnsi="Arial" w:cs="Arial"/>
                <w:b/>
                <w:bCs/>
                <w:sz w:val="16"/>
                <w:szCs w:val="16"/>
                <w:lang w:eastAsia="es-AR"/>
              </w:rPr>
              <w:t>808.852</w:t>
            </w:r>
          </w:p>
        </w:tc>
      </w:tr>
    </w:tbl>
    <w:p w14:paraId="3C1BA592" w14:textId="77777777" w:rsidR="002A4D61" w:rsidRDefault="002A4D61" w:rsidP="002A4D61">
      <w:pPr>
        <w:spacing w:after="160" w:line="259" w:lineRule="auto"/>
        <w:jc w:val="both"/>
        <w:rPr>
          <w:rFonts w:ascii="Arial" w:hAnsi="Arial" w:cs="Arial"/>
          <w:sz w:val="20"/>
        </w:rPr>
      </w:pPr>
    </w:p>
    <w:p w14:paraId="0BABA823" w14:textId="77777777" w:rsidR="002A4D61" w:rsidRPr="00555D99" w:rsidRDefault="002A4D61" w:rsidP="002A4D61">
      <w:pPr>
        <w:spacing w:after="160" w:line="259" w:lineRule="auto"/>
        <w:jc w:val="both"/>
        <w:rPr>
          <w:rFonts w:ascii="Arial" w:eastAsia="Arial" w:hAnsi="Arial" w:cs="Arial"/>
          <w:b/>
          <w:caps/>
          <w:sz w:val="20"/>
        </w:rPr>
      </w:pPr>
      <w:r>
        <w:rPr>
          <w:rFonts w:ascii="Arial" w:eastAsia="Arial" w:hAnsi="Arial" w:cs="Arial"/>
          <w:b/>
          <w:sz w:val="20"/>
        </w:rPr>
        <w:t>23.</w:t>
      </w:r>
      <w:r w:rsidRPr="00555D99">
        <w:rPr>
          <w:rFonts w:ascii="Arial" w:eastAsia="Arial" w:hAnsi="Arial" w:cs="Arial"/>
          <w:b/>
          <w:caps/>
          <w:sz w:val="20"/>
        </w:rPr>
        <w:t xml:space="preserve"> Factores de riesgos financieros </w:t>
      </w:r>
    </w:p>
    <w:p w14:paraId="535DEEE0" w14:textId="77777777" w:rsidR="002A4D61" w:rsidRPr="00701F32" w:rsidRDefault="002A4D61" w:rsidP="002A4D61">
      <w:pPr>
        <w:pBdr>
          <w:top w:val="nil"/>
          <w:left w:val="nil"/>
          <w:bottom w:val="nil"/>
          <w:right w:val="nil"/>
          <w:between w:val="nil"/>
          <w:bar w:val="nil"/>
        </w:pBdr>
        <w:tabs>
          <w:tab w:val="left" w:pos="142"/>
          <w:tab w:val="left" w:pos="993"/>
        </w:tabs>
        <w:jc w:val="both"/>
        <w:rPr>
          <w:rFonts w:ascii="Arial" w:eastAsia="Arial" w:hAnsi="Arial" w:cs="Arial"/>
          <w:b/>
          <w:bCs/>
          <w:sz w:val="20"/>
          <w:u w:val="single" w:color="000000"/>
          <w:bdr w:val="nil"/>
          <w:lang w:val="es-ES_tradnl" w:eastAsia="es-AR"/>
        </w:rPr>
      </w:pPr>
      <w:r w:rsidRPr="00701F32">
        <w:rPr>
          <w:rFonts w:ascii="Arial" w:eastAsia="Arial Unicode MS" w:hAnsi="Arial" w:cs="Arial"/>
          <w:b/>
          <w:bCs/>
          <w:sz w:val="20"/>
          <w:u w:val="single" w:color="000000"/>
          <w:bdr w:val="nil"/>
          <w:lang w:val="es-ES_tradnl" w:eastAsia="es-AR"/>
        </w:rPr>
        <w:t>Riesgo de crédito</w:t>
      </w:r>
    </w:p>
    <w:p w14:paraId="55A1EF00" w14:textId="77777777" w:rsidR="002A4D61" w:rsidRPr="00701F32" w:rsidRDefault="002A4D61" w:rsidP="002A4D61">
      <w:pPr>
        <w:pBdr>
          <w:top w:val="nil"/>
          <w:left w:val="nil"/>
          <w:bottom w:val="nil"/>
          <w:right w:val="nil"/>
          <w:between w:val="nil"/>
          <w:bar w:val="nil"/>
        </w:pBdr>
        <w:tabs>
          <w:tab w:val="left" w:pos="142"/>
          <w:tab w:val="left" w:pos="993"/>
        </w:tabs>
        <w:jc w:val="both"/>
        <w:rPr>
          <w:rFonts w:ascii="Arial" w:eastAsia="Arial" w:hAnsi="Arial" w:cs="Arial"/>
          <w:b/>
          <w:bCs/>
          <w:sz w:val="20"/>
          <w:u w:val="single" w:color="000000"/>
          <w:bdr w:val="nil"/>
          <w:lang w:val="es-ES_tradnl" w:eastAsia="es-AR"/>
        </w:rPr>
      </w:pPr>
    </w:p>
    <w:p w14:paraId="19B9F64D" w14:textId="77777777" w:rsidR="00DE5E66" w:rsidRPr="00701F32" w:rsidRDefault="00DE5E66" w:rsidP="00DE5E66">
      <w:pPr>
        <w:autoSpaceDE w:val="0"/>
        <w:autoSpaceDN w:val="0"/>
        <w:spacing w:after="240"/>
        <w:jc w:val="both"/>
        <w:rPr>
          <w:rFonts w:ascii="Arial" w:hAnsi="Arial" w:cs="Arial"/>
          <w:sz w:val="20"/>
          <w:lang w:val="es-ES_tradnl"/>
        </w:rPr>
      </w:pPr>
      <w:r w:rsidRPr="00701F32">
        <w:rPr>
          <w:rFonts w:ascii="Arial" w:hAnsi="Arial" w:cs="Arial"/>
          <w:sz w:val="20"/>
          <w:lang w:val="es-ES_tradnl"/>
        </w:rPr>
        <w:t xml:space="preserve">El Comité de Riesgos Integrales aprueba las estrategias y políticas de riesgo de crédito elevadas en base al asesoramiento de la Gerencia Corporativa de Riesgos Integrales, la Gerencia Corporativa de Créditos y las bancas comerciales y en cumplimiento con las reglamentaciones del BCRA. La estrategia y política crediticia apunta al desarrollo de oportunidades comerciales dentro del ámbito y las condiciones del plan de negocios del Banco, manteniendo al mismo tiempo adecuados niveles de prudencia frente al riesgo. </w:t>
      </w:r>
    </w:p>
    <w:p w14:paraId="0E2AA2DF" w14:textId="77777777" w:rsidR="00DE5E66" w:rsidRPr="00701F32" w:rsidRDefault="00DE5E66" w:rsidP="00DE5E66">
      <w:pPr>
        <w:autoSpaceDE w:val="0"/>
        <w:autoSpaceDN w:val="0"/>
        <w:spacing w:after="240"/>
        <w:jc w:val="both"/>
        <w:rPr>
          <w:rFonts w:ascii="Arial" w:hAnsi="Arial" w:cs="Arial"/>
          <w:sz w:val="20"/>
          <w:lang w:val="es-ES_tradnl"/>
        </w:rPr>
      </w:pPr>
      <w:r w:rsidRPr="00701F32">
        <w:rPr>
          <w:rFonts w:ascii="Arial" w:hAnsi="Arial" w:cs="Arial"/>
          <w:sz w:val="20"/>
        </w:rPr>
        <w:t xml:space="preserve">Por medio de políticas y procedimientos, son definidos los aspectos detallados para llevar a cabo la Estrategia del Banco vinculada a la gestión del riesgo de crédito; entre ellos los criterios del Banco para otorgar crédito, atribuciones y facultades crediticias, tipos de productos y la forma en que organiza su estructura, entre otros aspectos. Asimismo, el Banco posee por un lado una política de </w:t>
      </w:r>
      <w:r>
        <w:rPr>
          <w:rFonts w:ascii="Arial" w:hAnsi="Arial" w:cs="Arial"/>
          <w:sz w:val="20"/>
        </w:rPr>
        <w:t>gestión integral de riesgos</w:t>
      </w:r>
      <w:r w:rsidRPr="00701F32">
        <w:rPr>
          <w:rFonts w:ascii="Arial" w:hAnsi="Arial" w:cs="Arial"/>
          <w:sz w:val="20"/>
        </w:rPr>
        <w:t xml:space="preserve"> donde se detallan aspectos vinculados al gobierno de riesgos fundamentales generales para su gestión y por otro, manuales y procedimientos especifico</w:t>
      </w:r>
      <w:r>
        <w:rPr>
          <w:rFonts w:ascii="Arial" w:hAnsi="Arial" w:cs="Arial"/>
          <w:sz w:val="20"/>
        </w:rPr>
        <w:t>s</w:t>
      </w:r>
      <w:r w:rsidRPr="00701F32">
        <w:rPr>
          <w:rFonts w:ascii="Arial" w:hAnsi="Arial" w:cs="Arial"/>
          <w:sz w:val="20"/>
        </w:rPr>
        <w:t xml:space="preserve"> que contemplan entre otros las normas señaladas en las materias emanadas del BCRA.</w:t>
      </w:r>
    </w:p>
    <w:p w14:paraId="14B6EFA6" w14:textId="77777777" w:rsidR="00DE5E66" w:rsidRPr="00701F32" w:rsidRDefault="00DE5E66" w:rsidP="00DE5E66">
      <w:pPr>
        <w:autoSpaceDE w:val="0"/>
        <w:autoSpaceDN w:val="0"/>
        <w:adjustRightInd w:val="0"/>
        <w:spacing w:after="240"/>
        <w:jc w:val="both"/>
        <w:rPr>
          <w:rFonts w:ascii="Arial" w:eastAsia="Calibri" w:hAnsi="Arial" w:cs="Arial"/>
          <w:sz w:val="20"/>
        </w:rPr>
      </w:pPr>
      <w:r w:rsidRPr="00701F32">
        <w:rPr>
          <w:rFonts w:ascii="Arial" w:hAnsi="Arial" w:cs="Arial"/>
          <w:sz w:val="20"/>
          <w:lang w:val="es-ES_tradnl"/>
        </w:rPr>
        <w:t>La política para la gestión de riesgo de crédito de la Entidad está abierta a los mercados de empresas e individuos. Para ello, se ha definido una segmentación</w:t>
      </w:r>
      <w:r w:rsidRPr="00701F32">
        <w:rPr>
          <w:rFonts w:ascii="Arial" w:eastAsia="Calibri" w:hAnsi="Arial" w:cs="Arial"/>
          <w:sz w:val="20"/>
        </w:rPr>
        <w:t xml:space="preserve"> de clientela para la </w:t>
      </w:r>
      <w:r>
        <w:rPr>
          <w:rFonts w:ascii="Arial" w:eastAsia="Calibri" w:hAnsi="Arial" w:cs="Arial"/>
          <w:sz w:val="20"/>
        </w:rPr>
        <w:t>Banca Corporativa y la Banca de Personas y Negocios.</w:t>
      </w:r>
    </w:p>
    <w:p w14:paraId="49147458" w14:textId="77777777" w:rsidR="00DE5E66" w:rsidRPr="00701F32" w:rsidRDefault="00DE5E66" w:rsidP="00DE5E66">
      <w:pPr>
        <w:autoSpaceDE w:val="0"/>
        <w:autoSpaceDN w:val="0"/>
        <w:adjustRightInd w:val="0"/>
        <w:spacing w:after="240"/>
        <w:jc w:val="both"/>
        <w:rPr>
          <w:rFonts w:ascii="Arial" w:eastAsia="Calibri" w:hAnsi="Arial" w:cs="Arial"/>
          <w:sz w:val="20"/>
        </w:rPr>
      </w:pPr>
      <w:r w:rsidRPr="00701F32">
        <w:rPr>
          <w:rFonts w:ascii="Arial" w:eastAsia="Calibri" w:hAnsi="Arial" w:cs="Arial"/>
          <w:sz w:val="20"/>
        </w:rPr>
        <w:t>El Banco se focaliza en el apoyo a empresas pertenecientes a sectores con potencial, y, exitosas en su actividad. Dentro de la gama de productos crediticios ofrecidos para el segmento de empresas, el Banco apunta a desarrollar y liderar el mercado de factoring y leasing, como así también ser referente en comercio exterior.</w:t>
      </w:r>
    </w:p>
    <w:p w14:paraId="30C020EC" w14:textId="77777777" w:rsidR="00DE5E66" w:rsidRPr="00701F32" w:rsidRDefault="00DE5E66" w:rsidP="00DE5E66">
      <w:pPr>
        <w:autoSpaceDE w:val="0"/>
        <w:autoSpaceDN w:val="0"/>
        <w:adjustRightInd w:val="0"/>
        <w:spacing w:after="240"/>
        <w:jc w:val="both"/>
        <w:rPr>
          <w:rFonts w:ascii="Arial" w:eastAsia="Calibri" w:hAnsi="Arial" w:cs="Arial"/>
          <w:sz w:val="20"/>
        </w:rPr>
      </w:pPr>
      <w:r w:rsidRPr="00701F32">
        <w:rPr>
          <w:rFonts w:ascii="Arial" w:eastAsia="Calibri" w:hAnsi="Arial" w:cs="Arial"/>
          <w:sz w:val="20"/>
        </w:rPr>
        <w:t xml:space="preserve">Dentro de la </w:t>
      </w:r>
      <w:r>
        <w:rPr>
          <w:rFonts w:ascii="Arial" w:eastAsia="Calibri" w:hAnsi="Arial" w:cs="Arial"/>
          <w:sz w:val="20"/>
        </w:rPr>
        <w:t>Banca Corporativa</w:t>
      </w:r>
      <w:r w:rsidRPr="00701F32">
        <w:rPr>
          <w:rFonts w:ascii="Arial" w:eastAsia="Calibri" w:hAnsi="Arial" w:cs="Arial"/>
          <w:sz w:val="20"/>
        </w:rPr>
        <w:t xml:space="preserve"> se busca tener una propuesta sólida para el mercado de Megras buscando mantener la proximidad con los clientes a través de los centros de atención, acuerdos con clientes a lo largo de su cadena de valor y brindando respuestas ágiles mediante los procesos crediticios existentes.</w:t>
      </w:r>
    </w:p>
    <w:p w14:paraId="55BBC61D" w14:textId="77777777" w:rsidR="00DE5E66" w:rsidRPr="00701F32" w:rsidRDefault="00DE5E66" w:rsidP="00DE5E66">
      <w:pPr>
        <w:autoSpaceDE w:val="0"/>
        <w:autoSpaceDN w:val="0"/>
        <w:adjustRightInd w:val="0"/>
        <w:spacing w:after="240"/>
        <w:jc w:val="both"/>
        <w:rPr>
          <w:rFonts w:ascii="Arial" w:eastAsia="Calibri" w:hAnsi="Arial" w:cs="Arial"/>
          <w:bCs/>
          <w:sz w:val="20"/>
        </w:rPr>
      </w:pPr>
      <w:r w:rsidRPr="0084331E">
        <w:rPr>
          <w:rFonts w:ascii="Arial" w:eastAsia="Calibri" w:hAnsi="Arial" w:cs="Arial"/>
          <w:sz w:val="20"/>
        </w:rPr>
        <w:t xml:space="preserve">En lo que se refiere a </w:t>
      </w:r>
      <w:r>
        <w:rPr>
          <w:rFonts w:ascii="Arial" w:eastAsia="Calibri" w:hAnsi="Arial" w:cs="Arial"/>
          <w:sz w:val="20"/>
        </w:rPr>
        <w:t>Personas y Negocios,</w:t>
      </w:r>
      <w:r w:rsidRPr="0084331E">
        <w:rPr>
          <w:rFonts w:ascii="Arial" w:eastAsia="Calibri" w:hAnsi="Arial" w:cs="Arial"/>
          <w:sz w:val="20"/>
        </w:rPr>
        <w:t xml:space="preserve"> </w:t>
      </w:r>
      <w:r w:rsidRPr="00F023ED">
        <w:rPr>
          <w:rFonts w:ascii="Arial" w:eastAsia="Calibri" w:hAnsi="Arial" w:cs="Arial"/>
          <w:sz w:val="20"/>
        </w:rPr>
        <w:t>adicionalmente a los segmentos planes sueldo y beneficiarios de haberes previsionales (jubilados), se pone especial foco en Emprendedores y PyMEs</w:t>
      </w:r>
      <w:r>
        <w:rPr>
          <w:rFonts w:ascii="Arial" w:eastAsia="Calibri" w:hAnsi="Arial" w:cs="Arial"/>
          <w:sz w:val="20"/>
        </w:rPr>
        <w:t>, PyMES</w:t>
      </w:r>
      <w:r w:rsidRPr="00F023ED">
        <w:rPr>
          <w:rFonts w:ascii="Arial" w:eastAsia="Calibri" w:hAnsi="Arial" w:cs="Arial"/>
          <w:sz w:val="20"/>
        </w:rPr>
        <w:t xml:space="preserve"> así como el segmento Identité del Banco.</w:t>
      </w:r>
    </w:p>
    <w:p w14:paraId="1FAC3236" w14:textId="77777777" w:rsidR="00DE5E66" w:rsidRPr="00701F32" w:rsidRDefault="00DE5E66" w:rsidP="00DE5E66">
      <w:pPr>
        <w:autoSpaceDE w:val="0"/>
        <w:autoSpaceDN w:val="0"/>
        <w:adjustRightInd w:val="0"/>
        <w:spacing w:after="240"/>
        <w:jc w:val="both"/>
        <w:rPr>
          <w:rFonts w:ascii="Arial" w:eastAsia="Calibri" w:hAnsi="Arial" w:cs="Arial"/>
          <w:bCs/>
          <w:sz w:val="20"/>
        </w:rPr>
      </w:pPr>
      <w:r w:rsidRPr="00701F32">
        <w:rPr>
          <w:rFonts w:ascii="Arial" w:eastAsia="Calibri" w:hAnsi="Arial" w:cs="Arial"/>
          <w:bCs/>
          <w:sz w:val="20"/>
        </w:rPr>
        <w:t xml:space="preserve">Por su parte, </w:t>
      </w:r>
      <w:r>
        <w:rPr>
          <w:rFonts w:ascii="Arial" w:eastAsia="Calibri" w:hAnsi="Arial" w:cs="Arial"/>
          <w:bCs/>
          <w:sz w:val="20"/>
        </w:rPr>
        <w:t>la Gerencia Corporativa de Mercado de Capitales y Estructuraciones</w:t>
      </w:r>
      <w:r w:rsidRPr="00701F32">
        <w:rPr>
          <w:rFonts w:ascii="Arial" w:eastAsia="Calibri" w:hAnsi="Arial" w:cs="Arial"/>
          <w:bCs/>
          <w:sz w:val="20"/>
        </w:rPr>
        <w:t xml:space="preserve"> apunta al segmento de negocios fiduciarios; colocación de activos en el mercado de capitales a través de fideicomisos financieros y obligaciones negociables, propios y de terceros; y </w:t>
      </w:r>
      <w:r>
        <w:rPr>
          <w:rFonts w:ascii="Arial" w:eastAsia="Calibri" w:hAnsi="Arial" w:cs="Arial"/>
          <w:bCs/>
          <w:sz w:val="20"/>
        </w:rPr>
        <w:t>por su parte la Gerencia Corporativa de Finanzas tiene dentro de su ámbito de gestión la M</w:t>
      </w:r>
      <w:r w:rsidRPr="00701F32">
        <w:rPr>
          <w:rFonts w:ascii="Arial" w:eastAsia="Calibri" w:hAnsi="Arial" w:cs="Arial"/>
          <w:bCs/>
          <w:sz w:val="20"/>
        </w:rPr>
        <w:t xml:space="preserve">esa de </w:t>
      </w:r>
      <w:r>
        <w:rPr>
          <w:rFonts w:ascii="Arial" w:eastAsia="Calibri" w:hAnsi="Arial" w:cs="Arial"/>
          <w:bCs/>
          <w:sz w:val="20"/>
        </w:rPr>
        <w:t>D</w:t>
      </w:r>
      <w:r w:rsidRPr="00701F32">
        <w:rPr>
          <w:rFonts w:ascii="Arial" w:eastAsia="Calibri" w:hAnsi="Arial" w:cs="Arial"/>
          <w:bCs/>
          <w:sz w:val="20"/>
        </w:rPr>
        <w:t xml:space="preserve">inero. Entre los productos negociados </w:t>
      </w:r>
      <w:r>
        <w:rPr>
          <w:rFonts w:ascii="Arial" w:eastAsia="Calibri" w:hAnsi="Arial" w:cs="Arial"/>
          <w:bCs/>
          <w:sz w:val="20"/>
        </w:rPr>
        <w:t>se encuentran</w:t>
      </w:r>
      <w:r w:rsidRPr="00701F32">
        <w:rPr>
          <w:rFonts w:ascii="Arial" w:eastAsia="Calibri" w:hAnsi="Arial" w:cs="Arial"/>
          <w:bCs/>
          <w:sz w:val="20"/>
        </w:rPr>
        <w:t xml:space="preserve">: call interbancario, pases REPO, call corporate, títulos públicos e instrumentos de política monetaria del Banco Central, </w:t>
      </w:r>
      <w:r>
        <w:rPr>
          <w:rFonts w:ascii="Arial" w:eastAsia="Calibri" w:hAnsi="Arial" w:cs="Arial"/>
          <w:bCs/>
          <w:sz w:val="20"/>
        </w:rPr>
        <w:t>c</w:t>
      </w:r>
      <w:r w:rsidRPr="00701F32">
        <w:rPr>
          <w:rFonts w:ascii="Arial" w:eastAsia="Calibri" w:hAnsi="Arial" w:cs="Arial"/>
          <w:bCs/>
          <w:sz w:val="20"/>
        </w:rPr>
        <w:t xml:space="preserve">ompra </w:t>
      </w:r>
      <w:r>
        <w:rPr>
          <w:rFonts w:ascii="Arial" w:eastAsia="Calibri" w:hAnsi="Arial" w:cs="Arial"/>
          <w:bCs/>
          <w:sz w:val="20"/>
        </w:rPr>
        <w:t xml:space="preserve">de </w:t>
      </w:r>
      <w:r w:rsidRPr="00701F32">
        <w:rPr>
          <w:rFonts w:ascii="Arial" w:eastAsia="Calibri" w:hAnsi="Arial" w:cs="Arial"/>
          <w:bCs/>
          <w:sz w:val="20"/>
        </w:rPr>
        <w:t>cartera de consumo, fideicomisos financieros de terceros, negociación de derivados financieros (futuros, swaps de tasas, etc.), entre otros.</w:t>
      </w:r>
    </w:p>
    <w:p w14:paraId="2C0EF5C5" w14:textId="77777777" w:rsidR="00DE5E66" w:rsidRDefault="00DE5E66" w:rsidP="00DE5E66">
      <w:pPr>
        <w:autoSpaceDE w:val="0"/>
        <w:autoSpaceDN w:val="0"/>
        <w:adjustRightInd w:val="0"/>
        <w:spacing w:after="240"/>
        <w:jc w:val="both"/>
        <w:rPr>
          <w:rFonts w:ascii="Arial" w:eastAsia="Calibri" w:hAnsi="Arial" w:cs="Arial"/>
          <w:bCs/>
          <w:sz w:val="20"/>
        </w:rPr>
      </w:pPr>
      <w:r w:rsidRPr="00701F32">
        <w:rPr>
          <w:rFonts w:ascii="Arial" w:eastAsia="Calibri" w:hAnsi="Arial" w:cs="Arial"/>
          <w:bCs/>
          <w:sz w:val="20"/>
        </w:rPr>
        <w:t xml:space="preserve">Es voluntad de la Entidad llevar a cabo una estrategia que permita atender sus compromisos contractuales, tanto en condiciones normales de mercado como en situaciones adversas. </w:t>
      </w:r>
    </w:p>
    <w:p w14:paraId="54F74A3A" w14:textId="77777777" w:rsidR="00DE5E66" w:rsidRPr="00701F32" w:rsidRDefault="00DE5E66" w:rsidP="00DE5E66">
      <w:pPr>
        <w:autoSpaceDE w:val="0"/>
        <w:autoSpaceDN w:val="0"/>
        <w:adjustRightInd w:val="0"/>
        <w:spacing w:after="240"/>
        <w:jc w:val="both"/>
        <w:rPr>
          <w:rFonts w:ascii="Arial" w:eastAsia="Calibri" w:hAnsi="Arial" w:cs="Arial"/>
          <w:bCs/>
          <w:sz w:val="20"/>
        </w:rPr>
      </w:pPr>
      <w:r w:rsidRPr="00701F32">
        <w:rPr>
          <w:rFonts w:ascii="Arial" w:eastAsia="Calibri" w:hAnsi="Arial" w:cs="Arial"/>
          <w:bCs/>
          <w:sz w:val="20"/>
        </w:rPr>
        <w:t xml:space="preserve">En relación </w:t>
      </w:r>
      <w:r>
        <w:rPr>
          <w:rFonts w:ascii="Arial" w:eastAsia="Calibri" w:hAnsi="Arial" w:cs="Arial"/>
          <w:bCs/>
          <w:sz w:val="20"/>
        </w:rPr>
        <w:t>con</w:t>
      </w:r>
      <w:r w:rsidRPr="00701F32">
        <w:rPr>
          <w:rFonts w:ascii="Arial" w:eastAsia="Calibri" w:hAnsi="Arial" w:cs="Arial"/>
          <w:bCs/>
          <w:sz w:val="20"/>
        </w:rPr>
        <w:t xml:space="preserve"> ello, la entidad cuenta con modelos de scoring y rating con el objetivo de estimar la probabilidad de default (PD) de las distintas carteras de clientes. Vinculado al marco de apetito de riesgo, la Entidad posee cut offs para cada segmento que reflejan el riesgo máximo que están dispuesta a asumir en términos de probabilidad de default.</w:t>
      </w:r>
    </w:p>
    <w:p w14:paraId="2DE76DBC" w14:textId="77777777" w:rsidR="00DE5E66" w:rsidRPr="00701F32" w:rsidRDefault="00DE5E66" w:rsidP="00DE5E66">
      <w:pPr>
        <w:tabs>
          <w:tab w:val="left" w:pos="0"/>
        </w:tabs>
        <w:spacing w:before="240"/>
        <w:jc w:val="both"/>
        <w:rPr>
          <w:rFonts w:ascii="Arial" w:hAnsi="Arial" w:cs="Arial"/>
          <w:bCs/>
          <w:sz w:val="20"/>
        </w:rPr>
      </w:pPr>
      <w:r w:rsidRPr="00701F32">
        <w:rPr>
          <w:rFonts w:ascii="Arial" w:hAnsi="Arial" w:cs="Arial"/>
          <w:bCs/>
          <w:sz w:val="20"/>
        </w:rPr>
        <w:t>Adicionalmente a los parámetros de PD, se cuenta con estimaciones de los parámetros exposición al default (EAD) y la pérdida dado el default (LGD) con el objetivo de poder estimar las previsiones estadísticas de la cartera del Banco y el capital económico necesario para afrontar las pérdidas inesperadas que puedan ocurrir en materia de riesgo crediticio.</w:t>
      </w:r>
    </w:p>
    <w:p w14:paraId="226996E5" w14:textId="77777777" w:rsidR="00DE5E66" w:rsidRPr="00701F32" w:rsidRDefault="00DE5E66" w:rsidP="00DE5E66">
      <w:pPr>
        <w:tabs>
          <w:tab w:val="left" w:pos="0"/>
        </w:tabs>
        <w:spacing w:before="240"/>
        <w:jc w:val="both"/>
        <w:rPr>
          <w:rFonts w:ascii="Arial" w:hAnsi="Arial" w:cs="Arial"/>
          <w:bCs/>
          <w:sz w:val="20"/>
        </w:rPr>
      </w:pPr>
      <w:r w:rsidRPr="00701F32">
        <w:rPr>
          <w:rFonts w:ascii="Arial" w:hAnsi="Arial" w:cs="Arial"/>
          <w:bCs/>
          <w:sz w:val="20"/>
        </w:rPr>
        <w:t>El Banco tiene como pauta mantener una cartera diversificada y atomizada para minimizar la concentración de riesgos, para lo cual se orienta el otorgamiento del crédito y perfil de cartera objetivo, todo ello ajustado a las circunstancias del momento en que correspondan las mismas.</w:t>
      </w:r>
    </w:p>
    <w:p w14:paraId="47CEA19D" w14:textId="77777777" w:rsidR="00DE5E66" w:rsidRPr="00701F32" w:rsidRDefault="00DE5E66" w:rsidP="00DE5E66">
      <w:pPr>
        <w:keepNext/>
        <w:tabs>
          <w:tab w:val="left" w:pos="1843"/>
        </w:tabs>
        <w:spacing w:before="240" w:after="60"/>
        <w:jc w:val="both"/>
        <w:outlineLvl w:val="2"/>
        <w:rPr>
          <w:rFonts w:ascii="Arial" w:hAnsi="Arial" w:cs="Arial"/>
          <w:b/>
          <w:sz w:val="20"/>
        </w:rPr>
      </w:pPr>
      <w:r w:rsidRPr="00701F32">
        <w:rPr>
          <w:rFonts w:ascii="Arial" w:hAnsi="Arial" w:cs="Arial"/>
          <w:bCs/>
          <w:sz w:val="20"/>
          <w:szCs w:val="22"/>
        </w:rPr>
        <w:t>Modelos de medición del riesgo de crédito</w:t>
      </w:r>
    </w:p>
    <w:p w14:paraId="5D1AD661" w14:textId="77777777" w:rsidR="00DE5E66" w:rsidRPr="00701F32" w:rsidRDefault="00DE5E66" w:rsidP="00DE5E66">
      <w:pPr>
        <w:spacing w:before="240"/>
        <w:jc w:val="both"/>
        <w:rPr>
          <w:rFonts w:ascii="Arial" w:hAnsi="Arial" w:cs="Arial"/>
          <w:bCs/>
          <w:sz w:val="20"/>
        </w:rPr>
      </w:pPr>
      <w:r w:rsidRPr="00701F32">
        <w:rPr>
          <w:rFonts w:ascii="Arial" w:hAnsi="Arial" w:cs="Arial"/>
          <w:bCs/>
          <w:sz w:val="20"/>
        </w:rPr>
        <w:t xml:space="preserve">La Entidad cuenta con modelos para estimar la distribución de posibles pérdidas de la cartera crediticia, las cuales dependen de la realización de incumplimientos por parte de las contrapartes (PD – probabilidad de incumplimiento), así como de la exposición asumida con ellos (EAD – exposición al momento del incumplimiento) y de la proporción de cada préstamo incumplido que la Entidad sea capaz de recuperar (LGD – pérdida en caso de impago). </w:t>
      </w:r>
    </w:p>
    <w:p w14:paraId="3ADB3CB3" w14:textId="1140AA2D" w:rsidR="00DE5E66" w:rsidRPr="00701F32" w:rsidRDefault="00DE5E66" w:rsidP="00A059FB">
      <w:pPr>
        <w:spacing w:before="240"/>
        <w:jc w:val="both"/>
        <w:rPr>
          <w:rFonts w:ascii="Arial" w:hAnsi="Arial" w:cs="Arial"/>
          <w:bCs/>
          <w:sz w:val="20"/>
        </w:rPr>
      </w:pPr>
      <w:r w:rsidRPr="00701F32">
        <w:rPr>
          <w:rFonts w:ascii="Arial" w:hAnsi="Arial" w:cs="Arial"/>
          <w:bCs/>
          <w:sz w:val="20"/>
        </w:rPr>
        <w:t>A partir de ello, se desarrollaron en el Banco sistemas que calculan las previsiones estadísticas, capital económico y modelos de Rentabilidad Ajustada al Riesgo (RAROC) con el fin de optimizar la gestión y la toma de decisiones.</w:t>
      </w:r>
    </w:p>
    <w:p w14:paraId="07B471AD" w14:textId="77777777" w:rsidR="00DE5E66" w:rsidRPr="00701F32" w:rsidRDefault="00DE5E66" w:rsidP="00DE5E66">
      <w:pPr>
        <w:autoSpaceDE w:val="0"/>
        <w:autoSpaceDN w:val="0"/>
        <w:adjustRightInd w:val="0"/>
        <w:spacing w:before="240"/>
        <w:jc w:val="both"/>
        <w:rPr>
          <w:rFonts w:ascii="Arial" w:hAnsi="Arial" w:cs="Arial"/>
          <w:bCs/>
          <w:sz w:val="20"/>
          <w:u w:val="single"/>
        </w:rPr>
      </w:pPr>
      <w:r w:rsidRPr="00701F32">
        <w:rPr>
          <w:rFonts w:ascii="Arial" w:hAnsi="Arial" w:cs="Arial"/>
          <w:bCs/>
          <w:sz w:val="20"/>
          <w:u w:val="single"/>
        </w:rPr>
        <w:t>Cálculo de capital económico</w:t>
      </w:r>
    </w:p>
    <w:p w14:paraId="3079BABD" w14:textId="77777777" w:rsidR="00DE5E66" w:rsidRPr="00701F32" w:rsidRDefault="00DE5E66" w:rsidP="00DE5E66">
      <w:pPr>
        <w:autoSpaceDE w:val="0"/>
        <w:autoSpaceDN w:val="0"/>
        <w:adjustRightInd w:val="0"/>
        <w:spacing w:before="240"/>
        <w:jc w:val="both"/>
        <w:rPr>
          <w:rFonts w:ascii="Arial" w:hAnsi="Arial" w:cs="Arial"/>
          <w:bCs/>
          <w:sz w:val="20"/>
        </w:rPr>
      </w:pPr>
      <w:r w:rsidRPr="00701F32">
        <w:rPr>
          <w:rFonts w:ascii="Arial" w:hAnsi="Arial" w:cs="Arial"/>
          <w:bCs/>
          <w:sz w:val="20"/>
        </w:rPr>
        <w:t xml:space="preserve">El capital económico por riesgo de crédito representa la diferencia entre el valor a riesgo del portafolio (según el nivel de confianza establecido del 99,9% para individuos y 99% para empresas) y las pérdidas esperadas. </w:t>
      </w:r>
    </w:p>
    <w:p w14:paraId="48FDA3AD" w14:textId="77777777" w:rsidR="00DE5E66" w:rsidRPr="00701F32" w:rsidRDefault="00DE5E66" w:rsidP="00DE5E66">
      <w:pPr>
        <w:autoSpaceDE w:val="0"/>
        <w:autoSpaceDN w:val="0"/>
        <w:adjustRightInd w:val="0"/>
        <w:spacing w:before="240"/>
        <w:jc w:val="both"/>
        <w:rPr>
          <w:rFonts w:ascii="Arial" w:hAnsi="Arial" w:cs="Arial"/>
          <w:bCs/>
          <w:sz w:val="20"/>
        </w:rPr>
      </w:pPr>
      <w:r w:rsidRPr="00701F32">
        <w:rPr>
          <w:rFonts w:ascii="Arial" w:hAnsi="Arial" w:cs="Arial"/>
          <w:bCs/>
          <w:sz w:val="20"/>
        </w:rPr>
        <w:t xml:space="preserve">La Entidad cuenta con dos modelos de capital económico por riesgo de crédito (uno para individuos y otro para empresas). En dichos modelos cuantitativos se incluye la exacerbación del capital por riesgo de concentración, así como la correspondiente por riesgo de titulización. El holding period utilizado en los modelos de capital económico para el presente riesgo es de un año, con excepción de las exposiciones vinculadas con factoring. Para dichas exposiciones se utiliza un holding period de seis meses. </w:t>
      </w:r>
    </w:p>
    <w:p w14:paraId="457CF478" w14:textId="77777777" w:rsidR="00DE5E66" w:rsidRDefault="00DE5E66" w:rsidP="00DE5E66">
      <w:pPr>
        <w:autoSpaceDE w:val="0"/>
        <w:autoSpaceDN w:val="0"/>
        <w:spacing w:after="240"/>
        <w:jc w:val="both"/>
        <w:rPr>
          <w:rFonts w:ascii="Arial" w:hAnsi="Arial" w:cs="Arial"/>
          <w:b/>
          <w:bCs/>
          <w:sz w:val="20"/>
          <w:lang w:val="es-ES_tradnl"/>
        </w:rPr>
      </w:pPr>
    </w:p>
    <w:p w14:paraId="66BDCB82" w14:textId="77777777" w:rsidR="00DE5E66" w:rsidRPr="00701F32" w:rsidRDefault="00DE5E66" w:rsidP="00DE5E66">
      <w:pPr>
        <w:autoSpaceDE w:val="0"/>
        <w:autoSpaceDN w:val="0"/>
        <w:spacing w:after="240"/>
        <w:jc w:val="both"/>
        <w:rPr>
          <w:rFonts w:ascii="Arial" w:eastAsia="Arial" w:hAnsi="Arial" w:cs="Arial"/>
          <w:b/>
          <w:bCs/>
          <w:sz w:val="20"/>
          <w:lang w:val="es-ES_tradnl"/>
        </w:rPr>
      </w:pPr>
      <w:r w:rsidRPr="00701F32">
        <w:rPr>
          <w:rFonts w:ascii="Arial" w:hAnsi="Arial" w:cs="Arial"/>
          <w:b/>
          <w:bCs/>
          <w:sz w:val="20"/>
          <w:lang w:val="es-ES_tradnl"/>
        </w:rPr>
        <w:t>Gestión del riesgo de contrapartes</w:t>
      </w:r>
    </w:p>
    <w:p w14:paraId="1A35271A" w14:textId="77777777" w:rsidR="00DE5E66" w:rsidRPr="00701F32" w:rsidRDefault="00DE5E66" w:rsidP="00DE5E66">
      <w:pPr>
        <w:pBdr>
          <w:top w:val="nil"/>
          <w:left w:val="nil"/>
          <w:bottom w:val="nil"/>
          <w:right w:val="nil"/>
          <w:between w:val="nil"/>
          <w:bar w:val="nil"/>
        </w:pBdr>
        <w:spacing w:before="240"/>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La Entidad cuenta con un mapa de riesgos de contraparte donde se define por cada contraparte en función al apetito de riesgo de la Entidad: límites de exposición crediticia y liquidación (Settlement), riesgo liquidación (Settlement) en cambios, títulos, operaciones de pases entre otros aspectos que la Entidad aprueba en el Comité de Créditos y definiendo un marco de acción para finanzas.</w:t>
      </w:r>
    </w:p>
    <w:p w14:paraId="35D17AF8" w14:textId="50DDEB73" w:rsidR="002A4D61" w:rsidRDefault="00DE5E66" w:rsidP="00DE5E66">
      <w:pPr>
        <w:pBdr>
          <w:top w:val="nil"/>
          <w:left w:val="nil"/>
          <w:bottom w:val="nil"/>
          <w:right w:val="nil"/>
          <w:between w:val="nil"/>
          <w:bar w:val="nil"/>
        </w:pBdr>
        <w:jc w:val="both"/>
        <w:rPr>
          <w:rFonts w:ascii="Arial" w:eastAsia="Arial Unicode MS"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En lo que se refiere al capital económico por el riesgo de contraparte se encuentra incluido en el modelo cuantitativo de capital económico por riesgo de crédito.</w:t>
      </w:r>
    </w:p>
    <w:p w14:paraId="6C9E7B6F" w14:textId="77777777" w:rsidR="00DE5E66" w:rsidRPr="00701F32" w:rsidRDefault="00DE5E66" w:rsidP="00DE5E66">
      <w:pPr>
        <w:pBdr>
          <w:top w:val="nil"/>
          <w:left w:val="nil"/>
          <w:bottom w:val="nil"/>
          <w:right w:val="nil"/>
          <w:between w:val="nil"/>
          <w:bar w:val="nil"/>
        </w:pBdr>
        <w:jc w:val="both"/>
        <w:rPr>
          <w:rFonts w:ascii="Arial" w:eastAsia="Arial Unicode MS" w:hAnsi="Arial" w:cs="Arial"/>
          <w:sz w:val="20"/>
          <w:u w:color="000000"/>
          <w:bdr w:val="nil"/>
          <w:lang w:val="es-ES_tradnl" w:eastAsia="es-AR"/>
        </w:rPr>
      </w:pPr>
    </w:p>
    <w:p w14:paraId="40673EC8" w14:textId="77777777" w:rsidR="002A4D61" w:rsidRPr="00701F32" w:rsidRDefault="002A4D61" w:rsidP="002A4D61">
      <w:pPr>
        <w:spacing w:after="160" w:line="259" w:lineRule="auto"/>
        <w:jc w:val="both"/>
        <w:rPr>
          <w:rFonts w:ascii="Arial" w:eastAsia="Arial" w:hAnsi="Arial" w:cs="Arial"/>
          <w:b/>
          <w:sz w:val="20"/>
        </w:rPr>
      </w:pPr>
      <w:r w:rsidRPr="00701F32">
        <w:rPr>
          <w:rFonts w:ascii="Arial" w:eastAsia="Arial" w:hAnsi="Arial" w:cs="Arial"/>
          <w:b/>
          <w:sz w:val="20"/>
        </w:rPr>
        <w:t>Deterioro de Instrumentos Financieros</w:t>
      </w:r>
    </w:p>
    <w:p w14:paraId="53E04B75" w14:textId="77777777" w:rsidR="002A4D61" w:rsidRPr="00701F32" w:rsidRDefault="002A4D61" w:rsidP="002A4D61">
      <w:pPr>
        <w:spacing w:after="160" w:line="259" w:lineRule="auto"/>
        <w:jc w:val="both"/>
        <w:rPr>
          <w:rFonts w:ascii="Arial" w:eastAsia="Arial" w:hAnsi="Arial" w:cs="Arial"/>
          <w:sz w:val="20"/>
        </w:rPr>
      </w:pPr>
      <w:r w:rsidRPr="00701F32">
        <w:rPr>
          <w:rFonts w:ascii="Arial" w:eastAsia="Arial" w:hAnsi="Arial" w:cs="Arial"/>
          <w:sz w:val="20"/>
        </w:rPr>
        <w:t>La Entidad previsiona los préstamos de acuerdo al tipo de cartera del préstamo, realizando un análisis individual para cada cliente en el caso de aquellos clasificados como “Cartera Comercial” o “Cartera Asimilable a Consumo” y un análisis masivo en base a los días de mora para aquellos clientes clasificados como “Carte</w:t>
      </w:r>
      <w:r>
        <w:rPr>
          <w:rFonts w:ascii="Arial" w:eastAsia="Arial" w:hAnsi="Arial" w:cs="Arial"/>
          <w:sz w:val="20"/>
        </w:rPr>
        <w:t>ra de Consumo”. Ver en Nota 1.11</w:t>
      </w:r>
      <w:r w:rsidRPr="00701F32">
        <w:rPr>
          <w:rFonts w:ascii="Arial" w:eastAsia="Arial" w:hAnsi="Arial" w:cs="Arial"/>
          <w:sz w:val="20"/>
        </w:rPr>
        <w:t xml:space="preserve"> los criterios de previsionamiento seguidos.</w:t>
      </w:r>
    </w:p>
    <w:p w14:paraId="5EBBA84F" w14:textId="493B0F1D" w:rsidR="00B2136F" w:rsidRDefault="002A4D61" w:rsidP="002A4D61">
      <w:pPr>
        <w:spacing w:after="160" w:line="259" w:lineRule="auto"/>
        <w:jc w:val="both"/>
        <w:rPr>
          <w:rFonts w:ascii="Arial" w:eastAsia="Arial" w:hAnsi="Arial" w:cs="Arial"/>
          <w:sz w:val="20"/>
        </w:rPr>
      </w:pPr>
      <w:r w:rsidRPr="00701F32">
        <w:rPr>
          <w:rFonts w:ascii="Arial" w:eastAsia="Arial" w:hAnsi="Arial" w:cs="Arial"/>
          <w:sz w:val="20"/>
        </w:rPr>
        <w:t xml:space="preserve">A continuación, se detallan los movimientos de las provisiones por deterioro </w:t>
      </w:r>
      <w:r>
        <w:rPr>
          <w:rFonts w:ascii="Arial" w:eastAsia="Arial" w:hAnsi="Arial" w:cs="Arial"/>
          <w:sz w:val="20"/>
        </w:rPr>
        <w:t xml:space="preserve">al 31 de diciembre de </w:t>
      </w:r>
      <w:r w:rsidR="00970522">
        <w:rPr>
          <w:rFonts w:ascii="Arial" w:eastAsia="Arial" w:hAnsi="Arial" w:cs="Arial"/>
          <w:sz w:val="20"/>
        </w:rPr>
        <w:t>2019 y 2018</w:t>
      </w:r>
      <w:r w:rsidRPr="00701F32">
        <w:rPr>
          <w:rFonts w:ascii="Arial" w:eastAsia="Arial" w:hAnsi="Arial" w:cs="Arial"/>
          <w:sz w:val="20"/>
        </w:rPr>
        <w:t>:</w:t>
      </w:r>
    </w:p>
    <w:p w14:paraId="79BF9D34" w14:textId="77777777" w:rsidR="00B2136F" w:rsidRDefault="00B2136F">
      <w:pPr>
        <w:rPr>
          <w:rFonts w:ascii="Arial" w:eastAsia="Arial" w:hAnsi="Arial" w:cs="Arial"/>
          <w:sz w:val="20"/>
        </w:rPr>
      </w:pPr>
      <w:r>
        <w:rPr>
          <w:rFonts w:ascii="Arial" w:eastAsia="Arial" w:hAnsi="Arial" w:cs="Arial"/>
          <w:sz w:val="20"/>
        </w:rPr>
        <w:br w:type="page"/>
      </w:r>
    </w:p>
    <w:p w14:paraId="1ABC69FF" w14:textId="77777777" w:rsidR="002A4D61" w:rsidRPr="00701F32" w:rsidRDefault="002A4D61" w:rsidP="002A4D61">
      <w:pPr>
        <w:spacing w:after="160" w:line="259" w:lineRule="auto"/>
        <w:jc w:val="both"/>
        <w:rPr>
          <w:rFonts w:ascii="Arial" w:eastAsia="Arial" w:hAnsi="Arial" w:cs="Arial"/>
          <w:sz w:val="20"/>
        </w:rPr>
      </w:pPr>
    </w:p>
    <w:tbl>
      <w:tblPr>
        <w:tblW w:w="42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4"/>
        <w:gridCol w:w="2269"/>
        <w:gridCol w:w="2267"/>
      </w:tblGrid>
      <w:tr w:rsidR="002A4D61" w:rsidRPr="00701F32" w14:paraId="74DBACDB" w14:textId="77777777" w:rsidTr="00970522">
        <w:trPr>
          <w:trHeight w:val="254"/>
          <w:jc w:val="center"/>
        </w:trPr>
        <w:tc>
          <w:tcPr>
            <w:tcW w:w="1893" w:type="pct"/>
            <w:shd w:val="clear" w:color="auto" w:fill="auto"/>
            <w:noWrap/>
            <w:vAlign w:val="bottom"/>
          </w:tcPr>
          <w:p w14:paraId="6034D29D" w14:textId="77777777" w:rsidR="002A4D61" w:rsidRPr="00E010FD" w:rsidRDefault="002A4D61" w:rsidP="002A4D61">
            <w:pPr>
              <w:spacing w:line="259" w:lineRule="auto"/>
              <w:jc w:val="both"/>
              <w:rPr>
                <w:rFonts w:ascii="Arial" w:hAnsi="Arial" w:cs="Arial"/>
                <w:color w:val="000000"/>
                <w:sz w:val="18"/>
                <w:lang w:eastAsia="es-AR"/>
              </w:rPr>
            </w:pPr>
          </w:p>
        </w:tc>
        <w:tc>
          <w:tcPr>
            <w:tcW w:w="1554" w:type="pct"/>
          </w:tcPr>
          <w:p w14:paraId="6580AACC" w14:textId="048BD90C" w:rsidR="002A4D61" w:rsidRPr="00E010FD" w:rsidRDefault="002A4D61" w:rsidP="002A4D61">
            <w:pPr>
              <w:spacing w:line="259" w:lineRule="auto"/>
              <w:jc w:val="center"/>
              <w:rPr>
                <w:rFonts w:ascii="Arial" w:hAnsi="Arial" w:cs="Arial"/>
                <w:b/>
                <w:color w:val="000000"/>
                <w:sz w:val="18"/>
                <w:lang w:eastAsia="es-AR"/>
              </w:rPr>
            </w:pPr>
            <w:r w:rsidRPr="00E010FD">
              <w:rPr>
                <w:rFonts w:ascii="Arial" w:hAnsi="Arial" w:cs="Arial"/>
                <w:b/>
                <w:color w:val="000000"/>
                <w:sz w:val="18"/>
                <w:lang w:eastAsia="es-AR"/>
              </w:rPr>
              <w:t>31/12/201</w:t>
            </w:r>
            <w:r w:rsidR="00970522" w:rsidRPr="00E010FD">
              <w:rPr>
                <w:rFonts w:ascii="Arial" w:hAnsi="Arial" w:cs="Arial"/>
                <w:b/>
                <w:color w:val="000000"/>
                <w:sz w:val="18"/>
                <w:lang w:eastAsia="es-AR"/>
              </w:rPr>
              <w:t>9</w:t>
            </w:r>
          </w:p>
        </w:tc>
        <w:tc>
          <w:tcPr>
            <w:tcW w:w="1553" w:type="pct"/>
            <w:shd w:val="clear" w:color="auto" w:fill="auto"/>
            <w:noWrap/>
            <w:vAlign w:val="bottom"/>
          </w:tcPr>
          <w:p w14:paraId="1425452E" w14:textId="1C45EAA9" w:rsidR="002A4D61" w:rsidRPr="00E010FD" w:rsidRDefault="002A4D61" w:rsidP="002A4D61">
            <w:pPr>
              <w:spacing w:line="259" w:lineRule="auto"/>
              <w:jc w:val="center"/>
              <w:rPr>
                <w:rFonts w:ascii="Arial" w:hAnsi="Arial" w:cs="Arial"/>
                <w:color w:val="000000"/>
                <w:sz w:val="18"/>
                <w:lang w:eastAsia="es-AR"/>
              </w:rPr>
            </w:pPr>
            <w:r w:rsidRPr="00E010FD">
              <w:rPr>
                <w:rFonts w:ascii="Arial" w:hAnsi="Arial" w:cs="Arial"/>
                <w:b/>
                <w:color w:val="000000"/>
                <w:sz w:val="18"/>
                <w:lang w:eastAsia="es-AR"/>
              </w:rPr>
              <w:t>31/12/201</w:t>
            </w:r>
            <w:r w:rsidR="00970522" w:rsidRPr="00E010FD">
              <w:rPr>
                <w:rFonts w:ascii="Arial" w:hAnsi="Arial" w:cs="Arial"/>
                <w:b/>
                <w:color w:val="000000"/>
                <w:sz w:val="18"/>
                <w:lang w:eastAsia="es-AR"/>
              </w:rPr>
              <w:t>8</w:t>
            </w:r>
          </w:p>
        </w:tc>
      </w:tr>
      <w:tr w:rsidR="00970522" w:rsidRPr="00701F32" w14:paraId="59CB61DB" w14:textId="77777777" w:rsidTr="00970522">
        <w:trPr>
          <w:trHeight w:val="254"/>
          <w:jc w:val="center"/>
        </w:trPr>
        <w:tc>
          <w:tcPr>
            <w:tcW w:w="1893" w:type="pct"/>
            <w:shd w:val="clear" w:color="auto" w:fill="auto"/>
            <w:noWrap/>
            <w:vAlign w:val="bottom"/>
            <w:hideMark/>
          </w:tcPr>
          <w:p w14:paraId="2A8341C6" w14:textId="77777777" w:rsidR="00970522" w:rsidRPr="00E010FD" w:rsidRDefault="00970522" w:rsidP="00970522">
            <w:pPr>
              <w:spacing w:line="259" w:lineRule="auto"/>
              <w:jc w:val="both"/>
              <w:rPr>
                <w:rFonts w:ascii="Arial" w:hAnsi="Arial" w:cs="Arial"/>
                <w:color w:val="000000"/>
                <w:sz w:val="18"/>
                <w:lang w:eastAsia="es-AR"/>
              </w:rPr>
            </w:pPr>
            <w:r w:rsidRPr="00E010FD">
              <w:rPr>
                <w:rFonts w:ascii="Arial" w:hAnsi="Arial" w:cs="Arial"/>
                <w:color w:val="000000"/>
                <w:sz w:val="18"/>
                <w:lang w:eastAsia="es-AR"/>
              </w:rPr>
              <w:t>Saldo inicial</w:t>
            </w:r>
          </w:p>
        </w:tc>
        <w:tc>
          <w:tcPr>
            <w:tcW w:w="1554" w:type="pct"/>
          </w:tcPr>
          <w:p w14:paraId="087F1848" w14:textId="07B58AC4" w:rsidR="00970522" w:rsidRPr="00E010FD" w:rsidRDefault="00224CE9" w:rsidP="00970522">
            <w:pPr>
              <w:spacing w:line="259" w:lineRule="auto"/>
              <w:jc w:val="right"/>
              <w:rPr>
                <w:rFonts w:ascii="Arial" w:hAnsi="Arial" w:cs="Arial"/>
                <w:color w:val="000000"/>
                <w:sz w:val="18"/>
                <w:lang w:eastAsia="es-AR"/>
              </w:rPr>
            </w:pPr>
            <w:r>
              <w:rPr>
                <w:rFonts w:ascii="Arial" w:hAnsi="Arial" w:cs="Arial"/>
                <w:color w:val="000000"/>
                <w:sz w:val="18"/>
                <w:lang w:eastAsia="es-AR"/>
              </w:rPr>
              <w:t>2.108.725</w:t>
            </w:r>
          </w:p>
        </w:tc>
        <w:tc>
          <w:tcPr>
            <w:tcW w:w="1553" w:type="pct"/>
            <w:shd w:val="clear" w:color="auto" w:fill="auto"/>
            <w:noWrap/>
            <w:hideMark/>
          </w:tcPr>
          <w:p w14:paraId="0ED34359" w14:textId="44BF4A3D" w:rsidR="00970522" w:rsidRPr="00E010FD" w:rsidRDefault="00970522" w:rsidP="00970522">
            <w:pPr>
              <w:spacing w:line="259" w:lineRule="auto"/>
              <w:jc w:val="right"/>
              <w:rPr>
                <w:rFonts w:ascii="Arial" w:hAnsi="Arial" w:cs="Arial"/>
                <w:color w:val="000000"/>
                <w:sz w:val="18"/>
                <w:lang w:eastAsia="es-AR"/>
              </w:rPr>
            </w:pPr>
            <w:r w:rsidRPr="00E010FD">
              <w:rPr>
                <w:rFonts w:ascii="Arial" w:hAnsi="Arial" w:cs="Arial"/>
                <w:color w:val="000000"/>
                <w:sz w:val="18"/>
                <w:lang w:eastAsia="es-AR"/>
              </w:rPr>
              <w:t>883.771</w:t>
            </w:r>
          </w:p>
        </w:tc>
      </w:tr>
      <w:tr w:rsidR="00970522" w:rsidRPr="00701F32" w14:paraId="097D67DD" w14:textId="77777777" w:rsidTr="00970522">
        <w:trPr>
          <w:trHeight w:val="254"/>
          <w:jc w:val="center"/>
        </w:trPr>
        <w:tc>
          <w:tcPr>
            <w:tcW w:w="1893" w:type="pct"/>
            <w:shd w:val="clear" w:color="auto" w:fill="auto"/>
            <w:noWrap/>
            <w:vAlign w:val="bottom"/>
            <w:hideMark/>
          </w:tcPr>
          <w:p w14:paraId="6A75F50F" w14:textId="77777777" w:rsidR="00970522" w:rsidRPr="00E010FD" w:rsidRDefault="00970522" w:rsidP="00970522">
            <w:pPr>
              <w:spacing w:line="259" w:lineRule="auto"/>
              <w:jc w:val="both"/>
              <w:rPr>
                <w:rFonts w:ascii="Arial" w:hAnsi="Arial" w:cs="Arial"/>
                <w:color w:val="000000"/>
                <w:sz w:val="18"/>
                <w:lang w:eastAsia="es-AR"/>
              </w:rPr>
            </w:pPr>
            <w:r w:rsidRPr="00E010FD">
              <w:rPr>
                <w:rFonts w:ascii="Arial" w:hAnsi="Arial" w:cs="Arial"/>
                <w:color w:val="000000"/>
                <w:sz w:val="18"/>
                <w:lang w:eastAsia="es-AR"/>
              </w:rPr>
              <w:t>Deterioros del ejercicio</w:t>
            </w:r>
          </w:p>
        </w:tc>
        <w:tc>
          <w:tcPr>
            <w:tcW w:w="1554" w:type="pct"/>
          </w:tcPr>
          <w:p w14:paraId="4A472CDF" w14:textId="4DAF194A" w:rsidR="00970522" w:rsidRPr="00E010FD" w:rsidRDefault="00224CE9" w:rsidP="00970522">
            <w:pPr>
              <w:spacing w:line="259" w:lineRule="auto"/>
              <w:jc w:val="right"/>
              <w:rPr>
                <w:rFonts w:ascii="Arial" w:hAnsi="Arial" w:cs="Arial"/>
                <w:color w:val="000000"/>
                <w:sz w:val="18"/>
                <w:lang w:eastAsia="es-AR"/>
              </w:rPr>
            </w:pPr>
            <w:r>
              <w:rPr>
                <w:rFonts w:ascii="Arial" w:hAnsi="Arial" w:cs="Arial"/>
                <w:color w:val="000000"/>
                <w:sz w:val="18"/>
                <w:lang w:eastAsia="es-AR"/>
              </w:rPr>
              <w:t>4.476.493</w:t>
            </w:r>
          </w:p>
        </w:tc>
        <w:tc>
          <w:tcPr>
            <w:tcW w:w="1553" w:type="pct"/>
            <w:shd w:val="clear" w:color="auto" w:fill="auto"/>
            <w:noWrap/>
            <w:hideMark/>
          </w:tcPr>
          <w:p w14:paraId="27913A7C" w14:textId="22209430" w:rsidR="00970522" w:rsidRPr="00E010FD" w:rsidRDefault="00970522" w:rsidP="00970522">
            <w:pPr>
              <w:spacing w:line="259" w:lineRule="auto"/>
              <w:jc w:val="right"/>
              <w:rPr>
                <w:rFonts w:ascii="Arial" w:hAnsi="Arial" w:cs="Arial"/>
                <w:color w:val="000000"/>
                <w:sz w:val="18"/>
                <w:lang w:eastAsia="es-AR"/>
              </w:rPr>
            </w:pPr>
            <w:r w:rsidRPr="00E010FD">
              <w:rPr>
                <w:rFonts w:ascii="Arial" w:hAnsi="Arial" w:cs="Arial"/>
                <w:color w:val="000000"/>
                <w:sz w:val="18"/>
                <w:lang w:eastAsia="es-AR"/>
              </w:rPr>
              <w:t>1.965.522</w:t>
            </w:r>
          </w:p>
        </w:tc>
      </w:tr>
      <w:tr w:rsidR="00970522" w:rsidRPr="00701F32" w14:paraId="0EACDFC8" w14:textId="77777777" w:rsidTr="00970522">
        <w:trPr>
          <w:trHeight w:val="254"/>
          <w:jc w:val="center"/>
        </w:trPr>
        <w:tc>
          <w:tcPr>
            <w:tcW w:w="1893" w:type="pct"/>
            <w:shd w:val="clear" w:color="auto" w:fill="auto"/>
            <w:noWrap/>
            <w:vAlign w:val="bottom"/>
            <w:hideMark/>
          </w:tcPr>
          <w:p w14:paraId="2B064155" w14:textId="77777777" w:rsidR="00970522" w:rsidRPr="00E010FD" w:rsidRDefault="00970522" w:rsidP="00970522">
            <w:pPr>
              <w:spacing w:line="259" w:lineRule="auto"/>
              <w:jc w:val="both"/>
              <w:rPr>
                <w:rFonts w:ascii="Arial" w:hAnsi="Arial" w:cs="Arial"/>
                <w:color w:val="000000"/>
                <w:sz w:val="18"/>
                <w:lang w:eastAsia="es-AR"/>
              </w:rPr>
            </w:pPr>
            <w:r w:rsidRPr="00E010FD">
              <w:rPr>
                <w:rFonts w:ascii="Arial" w:hAnsi="Arial" w:cs="Arial"/>
                <w:color w:val="000000"/>
                <w:sz w:val="18"/>
                <w:lang w:eastAsia="es-AR"/>
              </w:rPr>
              <w:t>Write Off</w:t>
            </w:r>
          </w:p>
        </w:tc>
        <w:tc>
          <w:tcPr>
            <w:tcW w:w="1554" w:type="pct"/>
          </w:tcPr>
          <w:p w14:paraId="2A052EA0" w14:textId="11307554" w:rsidR="00970522" w:rsidRPr="00E010FD" w:rsidRDefault="00224CE9" w:rsidP="00970522">
            <w:pPr>
              <w:spacing w:line="259" w:lineRule="auto"/>
              <w:jc w:val="right"/>
              <w:rPr>
                <w:rFonts w:ascii="Arial" w:hAnsi="Arial" w:cs="Arial"/>
                <w:color w:val="000000"/>
                <w:sz w:val="18"/>
                <w:lang w:eastAsia="es-AR"/>
              </w:rPr>
            </w:pPr>
            <w:r>
              <w:rPr>
                <w:rFonts w:ascii="Arial" w:hAnsi="Arial" w:cs="Arial"/>
                <w:color w:val="000000"/>
                <w:sz w:val="18"/>
                <w:lang w:eastAsia="es-AR"/>
              </w:rPr>
              <w:t>(1.438.79</w:t>
            </w:r>
            <w:r w:rsidR="00094583">
              <w:rPr>
                <w:rFonts w:ascii="Arial" w:hAnsi="Arial" w:cs="Arial"/>
                <w:color w:val="000000"/>
                <w:sz w:val="18"/>
                <w:lang w:eastAsia="es-AR"/>
              </w:rPr>
              <w:t>4</w:t>
            </w:r>
            <w:r>
              <w:rPr>
                <w:rFonts w:ascii="Arial" w:hAnsi="Arial" w:cs="Arial"/>
                <w:color w:val="000000"/>
                <w:sz w:val="18"/>
                <w:lang w:eastAsia="es-AR"/>
              </w:rPr>
              <w:t>)</w:t>
            </w:r>
          </w:p>
        </w:tc>
        <w:tc>
          <w:tcPr>
            <w:tcW w:w="1553" w:type="pct"/>
            <w:shd w:val="clear" w:color="auto" w:fill="auto"/>
            <w:noWrap/>
            <w:hideMark/>
          </w:tcPr>
          <w:p w14:paraId="23DA7450" w14:textId="2CF9C993" w:rsidR="00970522" w:rsidRPr="00E010FD" w:rsidRDefault="00970522" w:rsidP="00970522">
            <w:pPr>
              <w:spacing w:line="259" w:lineRule="auto"/>
              <w:jc w:val="right"/>
              <w:rPr>
                <w:rFonts w:ascii="Arial" w:hAnsi="Arial" w:cs="Arial"/>
                <w:color w:val="000000"/>
                <w:sz w:val="18"/>
                <w:lang w:eastAsia="es-AR"/>
              </w:rPr>
            </w:pPr>
            <w:r w:rsidRPr="00E010FD">
              <w:rPr>
                <w:rFonts w:ascii="Arial" w:hAnsi="Arial" w:cs="Arial"/>
                <w:color w:val="000000"/>
                <w:sz w:val="18"/>
                <w:lang w:eastAsia="es-AR"/>
              </w:rPr>
              <w:t>(732.416)</w:t>
            </w:r>
          </w:p>
        </w:tc>
      </w:tr>
      <w:tr w:rsidR="00970522" w:rsidRPr="00701F32" w14:paraId="4D6F8AB6" w14:textId="77777777" w:rsidTr="00970522">
        <w:trPr>
          <w:trHeight w:val="254"/>
          <w:jc w:val="center"/>
        </w:trPr>
        <w:tc>
          <w:tcPr>
            <w:tcW w:w="1893" w:type="pct"/>
            <w:shd w:val="clear" w:color="auto" w:fill="auto"/>
            <w:noWrap/>
            <w:vAlign w:val="bottom"/>
            <w:hideMark/>
          </w:tcPr>
          <w:p w14:paraId="1911B069" w14:textId="77777777" w:rsidR="00970522" w:rsidRPr="00E010FD" w:rsidRDefault="00970522" w:rsidP="00970522">
            <w:pPr>
              <w:spacing w:line="259" w:lineRule="auto"/>
              <w:jc w:val="both"/>
              <w:rPr>
                <w:rFonts w:ascii="Arial" w:hAnsi="Arial" w:cs="Arial"/>
                <w:color w:val="000000"/>
                <w:sz w:val="18"/>
                <w:lang w:eastAsia="es-AR"/>
              </w:rPr>
            </w:pPr>
            <w:r w:rsidRPr="00E010FD">
              <w:rPr>
                <w:rFonts w:ascii="Arial" w:hAnsi="Arial" w:cs="Arial"/>
                <w:color w:val="000000"/>
                <w:sz w:val="18"/>
                <w:lang w:eastAsia="es-AR"/>
              </w:rPr>
              <w:t>Recupero del ejercicio</w:t>
            </w:r>
          </w:p>
        </w:tc>
        <w:tc>
          <w:tcPr>
            <w:tcW w:w="1554" w:type="pct"/>
          </w:tcPr>
          <w:p w14:paraId="56A95AD3" w14:textId="536E13A9" w:rsidR="00970522" w:rsidRPr="00E010FD" w:rsidRDefault="00224CE9" w:rsidP="00970522">
            <w:pPr>
              <w:spacing w:line="259" w:lineRule="auto"/>
              <w:jc w:val="right"/>
              <w:rPr>
                <w:rFonts w:ascii="Arial" w:hAnsi="Arial" w:cs="Arial"/>
                <w:color w:val="000000"/>
                <w:sz w:val="18"/>
                <w:lang w:eastAsia="es-AR"/>
              </w:rPr>
            </w:pPr>
            <w:r>
              <w:rPr>
                <w:rFonts w:ascii="Arial" w:hAnsi="Arial" w:cs="Arial"/>
                <w:color w:val="000000"/>
                <w:sz w:val="18"/>
                <w:lang w:eastAsia="es-AR"/>
              </w:rPr>
              <w:t>(57.317)</w:t>
            </w:r>
          </w:p>
        </w:tc>
        <w:tc>
          <w:tcPr>
            <w:tcW w:w="1553" w:type="pct"/>
            <w:shd w:val="clear" w:color="auto" w:fill="auto"/>
            <w:noWrap/>
            <w:hideMark/>
          </w:tcPr>
          <w:p w14:paraId="3A0E30B6" w14:textId="51BA8C14" w:rsidR="00970522" w:rsidRPr="00E010FD" w:rsidRDefault="00970522" w:rsidP="00970522">
            <w:pPr>
              <w:spacing w:line="259" w:lineRule="auto"/>
              <w:jc w:val="right"/>
              <w:rPr>
                <w:rFonts w:ascii="Arial" w:hAnsi="Arial" w:cs="Arial"/>
                <w:color w:val="000000"/>
                <w:sz w:val="18"/>
                <w:lang w:eastAsia="es-AR"/>
              </w:rPr>
            </w:pPr>
            <w:r w:rsidRPr="00E010FD">
              <w:rPr>
                <w:rFonts w:ascii="Arial" w:hAnsi="Arial" w:cs="Arial"/>
                <w:color w:val="000000"/>
                <w:sz w:val="18"/>
                <w:lang w:eastAsia="es-AR"/>
              </w:rPr>
              <w:t>(8.152)</w:t>
            </w:r>
          </w:p>
        </w:tc>
      </w:tr>
      <w:tr w:rsidR="00970522" w:rsidRPr="00701F32" w14:paraId="5C7984E3" w14:textId="77777777" w:rsidTr="00970522">
        <w:trPr>
          <w:trHeight w:val="254"/>
          <w:jc w:val="center"/>
        </w:trPr>
        <w:tc>
          <w:tcPr>
            <w:tcW w:w="1893" w:type="pct"/>
            <w:shd w:val="clear" w:color="auto" w:fill="auto"/>
            <w:noWrap/>
            <w:vAlign w:val="bottom"/>
            <w:hideMark/>
          </w:tcPr>
          <w:p w14:paraId="4B2944BA" w14:textId="77777777" w:rsidR="00970522" w:rsidRPr="00E010FD" w:rsidRDefault="00970522" w:rsidP="00970522">
            <w:pPr>
              <w:spacing w:line="259" w:lineRule="auto"/>
              <w:jc w:val="both"/>
              <w:rPr>
                <w:rFonts w:ascii="Arial" w:hAnsi="Arial" w:cs="Arial"/>
                <w:b/>
                <w:bCs/>
                <w:color w:val="000000"/>
                <w:sz w:val="18"/>
                <w:lang w:eastAsia="es-AR"/>
              </w:rPr>
            </w:pPr>
            <w:r w:rsidRPr="00E010FD">
              <w:rPr>
                <w:rFonts w:ascii="Arial" w:hAnsi="Arial" w:cs="Arial"/>
                <w:b/>
                <w:bCs/>
                <w:color w:val="000000"/>
                <w:sz w:val="18"/>
                <w:lang w:eastAsia="es-AR"/>
              </w:rPr>
              <w:t>Saldo final</w:t>
            </w:r>
          </w:p>
        </w:tc>
        <w:tc>
          <w:tcPr>
            <w:tcW w:w="1554" w:type="pct"/>
          </w:tcPr>
          <w:p w14:paraId="093E80E5" w14:textId="0720CDC4" w:rsidR="00970522" w:rsidRPr="00E010FD" w:rsidRDefault="00224CE9" w:rsidP="00970522">
            <w:pPr>
              <w:spacing w:line="259" w:lineRule="auto"/>
              <w:jc w:val="right"/>
              <w:rPr>
                <w:rFonts w:ascii="Arial" w:hAnsi="Arial" w:cs="Arial"/>
                <w:b/>
                <w:bCs/>
                <w:color w:val="000000"/>
                <w:sz w:val="18"/>
                <w:lang w:eastAsia="es-AR"/>
              </w:rPr>
            </w:pPr>
            <w:r>
              <w:rPr>
                <w:rFonts w:ascii="Arial" w:hAnsi="Arial" w:cs="Arial"/>
                <w:b/>
                <w:bCs/>
                <w:color w:val="000000"/>
                <w:sz w:val="18"/>
                <w:lang w:eastAsia="es-AR"/>
              </w:rPr>
              <w:t>5.089.107</w:t>
            </w:r>
          </w:p>
        </w:tc>
        <w:tc>
          <w:tcPr>
            <w:tcW w:w="1553" w:type="pct"/>
            <w:shd w:val="clear" w:color="auto" w:fill="auto"/>
            <w:noWrap/>
            <w:hideMark/>
          </w:tcPr>
          <w:p w14:paraId="3DE38531" w14:textId="23A015B0" w:rsidR="00970522" w:rsidRPr="00E010FD" w:rsidRDefault="00970522" w:rsidP="00970522">
            <w:pPr>
              <w:spacing w:line="259" w:lineRule="auto"/>
              <w:jc w:val="right"/>
              <w:rPr>
                <w:rFonts w:ascii="Arial" w:hAnsi="Arial" w:cs="Arial"/>
                <w:b/>
                <w:bCs/>
                <w:color w:val="000000"/>
                <w:sz w:val="18"/>
                <w:lang w:eastAsia="es-AR"/>
              </w:rPr>
            </w:pPr>
            <w:r w:rsidRPr="00E010FD">
              <w:rPr>
                <w:rFonts w:ascii="Arial" w:hAnsi="Arial" w:cs="Arial"/>
                <w:b/>
                <w:bCs/>
                <w:color w:val="000000"/>
                <w:sz w:val="18"/>
                <w:lang w:eastAsia="es-AR"/>
              </w:rPr>
              <w:t>2.108.725</w:t>
            </w:r>
          </w:p>
        </w:tc>
      </w:tr>
    </w:tbl>
    <w:p w14:paraId="3CEBDB5F" w14:textId="77777777" w:rsidR="002A4D61" w:rsidRPr="00701F32" w:rsidRDefault="002A4D61" w:rsidP="002A4D61">
      <w:pPr>
        <w:jc w:val="both"/>
        <w:rPr>
          <w:rFonts w:ascii="Arial" w:eastAsia="Calibri" w:hAnsi="Arial" w:cs="Arial"/>
          <w:sz w:val="20"/>
          <w:lang w:eastAsia="es-PE"/>
        </w:rPr>
      </w:pPr>
    </w:p>
    <w:p w14:paraId="3F4B9C5C" w14:textId="57549931" w:rsidR="002A4D61" w:rsidRPr="00701F32" w:rsidRDefault="002A4D61" w:rsidP="002A4D61">
      <w:pPr>
        <w:jc w:val="both"/>
        <w:rPr>
          <w:rFonts w:ascii="Arial" w:eastAsia="Calibri" w:hAnsi="Arial" w:cs="Arial"/>
          <w:sz w:val="20"/>
          <w:lang w:eastAsia="es-PE"/>
        </w:rPr>
      </w:pPr>
      <w:r w:rsidRPr="00701F32">
        <w:rPr>
          <w:rFonts w:ascii="Arial" w:eastAsia="Calibri" w:hAnsi="Arial" w:cs="Arial"/>
          <w:sz w:val="20"/>
          <w:lang w:eastAsia="es-PE"/>
        </w:rPr>
        <w:t xml:space="preserve">De acuerdo a las normas de previsionamiento, los préstamos al sector financiero y las responsabilidades eventuales en situación normal no deben generar pérdidas por deterioro. El valor de los mencionados saldos </w:t>
      </w:r>
      <w:r>
        <w:rPr>
          <w:rFonts w:ascii="Arial" w:eastAsia="Calibri" w:hAnsi="Arial" w:cs="Arial"/>
          <w:sz w:val="20"/>
          <w:lang w:eastAsia="es-PE"/>
        </w:rPr>
        <w:t>al 31 de diciembre de 201</w:t>
      </w:r>
      <w:r w:rsidR="00970522">
        <w:rPr>
          <w:rFonts w:ascii="Arial" w:eastAsia="Calibri" w:hAnsi="Arial" w:cs="Arial"/>
          <w:sz w:val="20"/>
          <w:lang w:eastAsia="es-PE"/>
        </w:rPr>
        <w:t>9</w:t>
      </w:r>
      <w:r>
        <w:rPr>
          <w:rFonts w:ascii="Arial" w:eastAsia="Calibri" w:hAnsi="Arial" w:cs="Arial"/>
          <w:sz w:val="20"/>
          <w:lang w:eastAsia="es-PE"/>
        </w:rPr>
        <w:t xml:space="preserve"> y 201</w:t>
      </w:r>
      <w:r w:rsidR="00970522">
        <w:rPr>
          <w:rFonts w:ascii="Arial" w:eastAsia="Calibri" w:hAnsi="Arial" w:cs="Arial"/>
          <w:sz w:val="20"/>
          <w:lang w:eastAsia="es-PE"/>
        </w:rPr>
        <w:t>8</w:t>
      </w:r>
      <w:r>
        <w:rPr>
          <w:rFonts w:ascii="Arial" w:eastAsia="Calibri" w:hAnsi="Arial" w:cs="Arial"/>
          <w:sz w:val="20"/>
          <w:lang w:eastAsia="es-PE"/>
        </w:rPr>
        <w:t xml:space="preserve"> </w:t>
      </w:r>
      <w:r w:rsidRPr="00701F32">
        <w:rPr>
          <w:rFonts w:ascii="Arial" w:eastAsia="Calibri" w:hAnsi="Arial" w:cs="Arial"/>
          <w:sz w:val="20"/>
          <w:lang w:eastAsia="es-PE"/>
        </w:rPr>
        <w:t>asciende</w:t>
      </w:r>
      <w:r>
        <w:rPr>
          <w:rFonts w:ascii="Arial" w:eastAsia="Calibri" w:hAnsi="Arial" w:cs="Arial"/>
          <w:sz w:val="20"/>
          <w:lang w:eastAsia="es-PE"/>
        </w:rPr>
        <w:t>n</w:t>
      </w:r>
      <w:r w:rsidRPr="00701F32">
        <w:rPr>
          <w:rFonts w:ascii="Arial" w:eastAsia="Calibri" w:hAnsi="Arial" w:cs="Arial"/>
          <w:sz w:val="20"/>
          <w:lang w:eastAsia="es-PE"/>
        </w:rPr>
        <w:t xml:space="preserve"> a</w:t>
      </w:r>
      <w:r>
        <w:rPr>
          <w:rFonts w:ascii="Arial" w:eastAsia="Calibri" w:hAnsi="Arial" w:cs="Arial"/>
          <w:sz w:val="20"/>
          <w:lang w:eastAsia="es-PE"/>
        </w:rPr>
        <w:t xml:space="preserve"> </w:t>
      </w:r>
      <w:r w:rsidR="00224CE9">
        <w:rPr>
          <w:rFonts w:ascii="Arial" w:eastAsia="Calibri" w:hAnsi="Arial" w:cs="Arial"/>
          <w:sz w:val="20"/>
          <w:lang w:eastAsia="es-PE"/>
        </w:rPr>
        <w:t xml:space="preserve">12.080 y 367, </w:t>
      </w:r>
      <w:r w:rsidRPr="00337327">
        <w:rPr>
          <w:rFonts w:ascii="Arial" w:eastAsia="Calibri" w:hAnsi="Arial" w:cs="Arial"/>
          <w:sz w:val="20"/>
          <w:lang w:eastAsia="es-PE"/>
        </w:rPr>
        <w:t xml:space="preserve">y </w:t>
      </w:r>
      <w:r w:rsidR="00337327" w:rsidRPr="00337327">
        <w:rPr>
          <w:rFonts w:ascii="Arial" w:eastAsia="Calibri" w:hAnsi="Arial" w:cs="Arial"/>
          <w:sz w:val="20"/>
          <w:lang w:eastAsia="es-PE"/>
        </w:rPr>
        <w:t xml:space="preserve">29.812 y </w:t>
      </w:r>
      <w:r w:rsidR="00337327">
        <w:rPr>
          <w:rFonts w:ascii="Arial" w:eastAsia="Calibri" w:hAnsi="Arial" w:cs="Arial"/>
          <w:sz w:val="20"/>
          <w:lang w:eastAsia="es-PE"/>
        </w:rPr>
        <w:t>1</w:t>
      </w:r>
      <w:r w:rsidR="00337327" w:rsidRPr="00337327">
        <w:rPr>
          <w:rFonts w:ascii="Arial" w:eastAsia="Calibri" w:hAnsi="Arial" w:cs="Arial"/>
          <w:sz w:val="20"/>
          <w:lang w:eastAsia="es-PE"/>
        </w:rPr>
        <w:t>.</w:t>
      </w:r>
      <w:r w:rsidR="00337327">
        <w:rPr>
          <w:rFonts w:ascii="Arial" w:eastAsia="Calibri" w:hAnsi="Arial" w:cs="Arial"/>
          <w:sz w:val="20"/>
          <w:lang w:eastAsia="es-PE"/>
        </w:rPr>
        <w:t>196</w:t>
      </w:r>
      <w:r w:rsidRPr="00337327">
        <w:rPr>
          <w:rFonts w:ascii="Arial" w:eastAsia="Calibri" w:hAnsi="Arial" w:cs="Arial"/>
          <w:sz w:val="20"/>
          <w:lang w:eastAsia="es-PE"/>
        </w:rPr>
        <w:t>,</w:t>
      </w:r>
      <w:r w:rsidRPr="00701F32">
        <w:rPr>
          <w:rFonts w:ascii="Arial" w:eastAsia="Calibri" w:hAnsi="Arial" w:cs="Arial"/>
          <w:sz w:val="20"/>
          <w:lang w:eastAsia="es-PE"/>
        </w:rPr>
        <w:t xml:space="preserve"> respectivamente.</w:t>
      </w:r>
    </w:p>
    <w:p w14:paraId="52BA4EE3" w14:textId="77777777" w:rsidR="002A4D61" w:rsidRPr="00701F32" w:rsidRDefault="002A4D61" w:rsidP="002A4D61">
      <w:pPr>
        <w:jc w:val="both"/>
        <w:rPr>
          <w:rFonts w:ascii="Arial" w:eastAsia="Calibri" w:hAnsi="Arial" w:cs="Arial"/>
          <w:sz w:val="20"/>
          <w:lang w:eastAsia="es-PE"/>
        </w:rPr>
      </w:pPr>
    </w:p>
    <w:p w14:paraId="50712FA8" w14:textId="77777777" w:rsidR="002A4D61" w:rsidRPr="00701F32" w:rsidRDefault="002A4D61" w:rsidP="002A4D61">
      <w:pPr>
        <w:jc w:val="both"/>
        <w:rPr>
          <w:rFonts w:ascii="Arial" w:eastAsia="Calibri" w:hAnsi="Arial" w:cs="Arial"/>
          <w:sz w:val="20"/>
          <w:u w:val="single"/>
          <w:lang w:eastAsia="es-PE"/>
        </w:rPr>
      </w:pPr>
      <w:r w:rsidRPr="00701F32">
        <w:rPr>
          <w:rFonts w:ascii="Arial" w:eastAsia="Calibri" w:hAnsi="Arial" w:cs="Arial"/>
          <w:sz w:val="20"/>
          <w:u w:val="single"/>
          <w:lang w:eastAsia="es-PE"/>
        </w:rPr>
        <w:t>Préstamos dados de baja</w:t>
      </w:r>
    </w:p>
    <w:p w14:paraId="213E2E07" w14:textId="77777777" w:rsidR="002A4D61" w:rsidRPr="00701F32" w:rsidRDefault="002A4D61" w:rsidP="002A4D61">
      <w:pPr>
        <w:jc w:val="both"/>
        <w:rPr>
          <w:rFonts w:ascii="Arial" w:eastAsia="Calibri" w:hAnsi="Arial" w:cs="Arial"/>
          <w:sz w:val="20"/>
          <w:u w:val="single"/>
          <w:lang w:eastAsia="es-PE"/>
        </w:rPr>
      </w:pPr>
    </w:p>
    <w:p w14:paraId="69788EE5" w14:textId="752C5674" w:rsidR="002A4D61" w:rsidRPr="00701F32" w:rsidRDefault="002A4D61" w:rsidP="002A4D61">
      <w:pPr>
        <w:spacing w:after="160" w:line="259" w:lineRule="auto"/>
        <w:jc w:val="both"/>
        <w:rPr>
          <w:rFonts w:ascii="Arial" w:eastAsia="Arial" w:hAnsi="Arial" w:cs="Arial"/>
          <w:sz w:val="20"/>
        </w:rPr>
      </w:pPr>
      <w:r w:rsidRPr="00701F32">
        <w:rPr>
          <w:rFonts w:ascii="Arial" w:eastAsia="Arial" w:hAnsi="Arial" w:cs="Arial"/>
          <w:sz w:val="20"/>
        </w:rPr>
        <w:t xml:space="preserve">Aquellos créditos clasificados como irrecuperables durante 7 meses, son eliminados del activo reconociéndose los mismos en cuentas fuera de balance.  El saldo de los mismos al 31 de diciembre de </w:t>
      </w:r>
      <w:r>
        <w:rPr>
          <w:rFonts w:ascii="Arial" w:eastAsia="Arial" w:hAnsi="Arial" w:cs="Arial"/>
          <w:sz w:val="20"/>
        </w:rPr>
        <w:t>201</w:t>
      </w:r>
      <w:r w:rsidR="00970522">
        <w:rPr>
          <w:rFonts w:ascii="Arial" w:eastAsia="Arial" w:hAnsi="Arial" w:cs="Arial"/>
          <w:sz w:val="20"/>
        </w:rPr>
        <w:t>9</w:t>
      </w:r>
      <w:r>
        <w:rPr>
          <w:rFonts w:ascii="Arial" w:eastAsia="Arial" w:hAnsi="Arial" w:cs="Arial"/>
          <w:sz w:val="20"/>
        </w:rPr>
        <w:t xml:space="preserve"> y </w:t>
      </w:r>
      <w:r w:rsidRPr="00701F32">
        <w:rPr>
          <w:rFonts w:ascii="Arial" w:eastAsia="Arial" w:hAnsi="Arial" w:cs="Arial"/>
          <w:sz w:val="20"/>
        </w:rPr>
        <w:t>201</w:t>
      </w:r>
      <w:r w:rsidR="00970522">
        <w:rPr>
          <w:rFonts w:ascii="Arial" w:eastAsia="Arial" w:hAnsi="Arial" w:cs="Arial"/>
          <w:sz w:val="20"/>
        </w:rPr>
        <w:t>8</w:t>
      </w:r>
      <w:r w:rsidRPr="00701F32">
        <w:rPr>
          <w:rFonts w:ascii="Arial" w:eastAsia="Arial" w:hAnsi="Arial" w:cs="Arial"/>
          <w:sz w:val="20"/>
        </w:rPr>
        <w:t xml:space="preserve"> asciende a</w:t>
      </w:r>
      <w:r>
        <w:rPr>
          <w:rFonts w:ascii="Arial" w:eastAsia="Arial" w:hAnsi="Arial" w:cs="Arial"/>
          <w:sz w:val="20"/>
        </w:rPr>
        <w:t xml:space="preserve"> </w:t>
      </w:r>
      <w:r w:rsidR="00337327">
        <w:rPr>
          <w:rFonts w:ascii="Arial" w:eastAsia="Arial" w:hAnsi="Arial" w:cs="Arial"/>
          <w:sz w:val="20"/>
        </w:rPr>
        <w:t>1.978.538</w:t>
      </w:r>
      <w:r w:rsidRPr="00337327">
        <w:rPr>
          <w:rFonts w:ascii="Arial" w:eastAsia="Arial" w:hAnsi="Arial" w:cs="Arial"/>
          <w:sz w:val="20"/>
        </w:rPr>
        <w:t xml:space="preserve"> y </w:t>
      </w:r>
      <w:r w:rsidR="00337327" w:rsidRPr="00337327">
        <w:rPr>
          <w:rFonts w:ascii="Arial" w:eastAsia="Arial" w:hAnsi="Arial" w:cs="Arial"/>
          <w:sz w:val="20"/>
        </w:rPr>
        <w:t>90</w:t>
      </w:r>
      <w:r w:rsidR="00337327">
        <w:rPr>
          <w:rFonts w:ascii="Arial" w:eastAsia="Arial" w:hAnsi="Arial" w:cs="Arial"/>
          <w:sz w:val="20"/>
        </w:rPr>
        <w:t>4.347</w:t>
      </w:r>
      <w:r>
        <w:rPr>
          <w:rFonts w:ascii="Arial" w:eastAsia="Arial" w:hAnsi="Arial" w:cs="Arial"/>
          <w:sz w:val="20"/>
        </w:rPr>
        <w:t>, respectivamente</w:t>
      </w:r>
      <w:r w:rsidRPr="00701F32">
        <w:rPr>
          <w:rFonts w:ascii="Arial" w:eastAsia="Arial" w:hAnsi="Arial" w:cs="Arial"/>
          <w:sz w:val="20"/>
        </w:rPr>
        <w:t>.</w:t>
      </w:r>
    </w:p>
    <w:p w14:paraId="510EC48D" w14:textId="77777777" w:rsidR="002A4D61" w:rsidRPr="00701F32" w:rsidRDefault="002A4D61" w:rsidP="002A4D61">
      <w:pPr>
        <w:pBdr>
          <w:top w:val="nil"/>
          <w:left w:val="nil"/>
          <w:bottom w:val="nil"/>
          <w:right w:val="nil"/>
          <w:between w:val="nil"/>
          <w:bar w:val="nil"/>
        </w:pBdr>
        <w:tabs>
          <w:tab w:val="left" w:pos="142"/>
          <w:tab w:val="left" w:pos="993"/>
        </w:tabs>
        <w:jc w:val="both"/>
        <w:rPr>
          <w:rFonts w:ascii="Arial" w:eastAsia="Arial" w:hAnsi="Arial" w:cs="Arial"/>
          <w:b/>
          <w:bCs/>
          <w:sz w:val="20"/>
          <w:u w:val="single" w:color="000000"/>
          <w:bdr w:val="nil"/>
          <w:lang w:val="es-ES_tradnl" w:eastAsia="es-AR"/>
        </w:rPr>
      </w:pPr>
      <w:r w:rsidRPr="00701F32">
        <w:rPr>
          <w:rFonts w:ascii="Arial" w:eastAsia="Arial Unicode MS" w:hAnsi="Arial" w:cs="Arial"/>
          <w:b/>
          <w:bCs/>
          <w:sz w:val="20"/>
          <w:u w:val="single" w:color="000000"/>
          <w:bdr w:val="nil"/>
          <w:lang w:val="es-ES_tradnl" w:eastAsia="es-AR"/>
        </w:rPr>
        <w:t>Riesgo de mercado</w:t>
      </w:r>
    </w:p>
    <w:p w14:paraId="3E973B80" w14:textId="77777777" w:rsidR="002A4D61" w:rsidRPr="00701F32" w:rsidRDefault="002A4D61" w:rsidP="002A4D61">
      <w:pPr>
        <w:pBdr>
          <w:top w:val="nil"/>
          <w:left w:val="nil"/>
          <w:bottom w:val="nil"/>
          <w:right w:val="nil"/>
          <w:between w:val="nil"/>
          <w:bar w:val="nil"/>
        </w:pBdr>
        <w:tabs>
          <w:tab w:val="left" w:pos="142"/>
        </w:tabs>
        <w:jc w:val="both"/>
        <w:rPr>
          <w:rFonts w:ascii="Arial" w:eastAsia="Arial" w:hAnsi="Arial" w:cs="Arial"/>
          <w:b/>
          <w:bCs/>
          <w:sz w:val="20"/>
          <w:u w:val="single" w:color="000000"/>
          <w:bdr w:val="nil"/>
          <w:lang w:val="es-ES_tradnl" w:eastAsia="es-AR"/>
        </w:rPr>
      </w:pPr>
    </w:p>
    <w:p w14:paraId="35E01528" w14:textId="77777777" w:rsidR="003955F8" w:rsidRDefault="003955F8" w:rsidP="003955F8">
      <w:pPr>
        <w:tabs>
          <w:tab w:val="left" w:pos="142"/>
        </w:tabs>
        <w:spacing w:after="200"/>
        <w:jc w:val="both"/>
        <w:rPr>
          <w:rFonts w:ascii="Arial" w:hAnsi="Arial" w:cs="Arial"/>
          <w:sz w:val="20"/>
          <w:lang w:eastAsia="es-AR"/>
        </w:rPr>
      </w:pPr>
      <w:r w:rsidRPr="00701F32">
        <w:rPr>
          <w:rFonts w:ascii="Arial" w:hAnsi="Arial" w:cs="Arial"/>
          <w:sz w:val="20"/>
          <w:lang w:eastAsia="es-AR"/>
        </w:rPr>
        <w:t xml:space="preserve">Banco Supervielle define al Riesgo de Mercado como el riesgo que surge de las desviaciones que se producen en el valor de la cartera de negociación, como consecuencia de las fluctuaciones en los mercados durante el período de tiempo requerido para liquidar las posiciones de la cartera. </w:t>
      </w:r>
    </w:p>
    <w:p w14:paraId="70986690" w14:textId="77777777" w:rsidR="003955F8" w:rsidRPr="00701F32" w:rsidRDefault="003955F8" w:rsidP="003955F8">
      <w:pPr>
        <w:tabs>
          <w:tab w:val="left" w:pos="142"/>
        </w:tabs>
        <w:spacing w:after="200"/>
        <w:jc w:val="both"/>
        <w:rPr>
          <w:rFonts w:ascii="Arial" w:hAnsi="Arial" w:cs="Arial"/>
          <w:sz w:val="20"/>
          <w:lang w:eastAsia="es-AR"/>
        </w:rPr>
      </w:pPr>
      <w:r w:rsidRPr="00701F32">
        <w:rPr>
          <w:rFonts w:ascii="Arial" w:hAnsi="Arial" w:cs="Arial"/>
          <w:sz w:val="20"/>
          <w:lang w:eastAsia="es-AR"/>
        </w:rPr>
        <w:t>El perímetro de medición, control y seguimiento de la Gerencia de Riesgos Financieros abarca aquellas operaciones donde se asume riesgo de pérdida en el valor patrimonial de la Entidad, a nivel consolidado e individual en cada una de las entidades con las que consolida, como consecuencia de cambios en los factores de mercado. Este riesgo proviene de la variación de los factores de riesgo considerados (tasa de interés, tipo de cambio, precio de activos de renta variable y opciones), así como del riesgo de liquidez de los distintos productos y mercados en los que opera la Entidad.</w:t>
      </w:r>
    </w:p>
    <w:p w14:paraId="18FE28FC" w14:textId="77777777" w:rsidR="003955F8" w:rsidRPr="00701F32" w:rsidRDefault="003955F8" w:rsidP="003955F8">
      <w:pPr>
        <w:tabs>
          <w:tab w:val="left" w:pos="142"/>
        </w:tabs>
        <w:spacing w:after="200"/>
        <w:jc w:val="both"/>
        <w:rPr>
          <w:rFonts w:ascii="Arial" w:hAnsi="Arial" w:cs="Arial"/>
          <w:sz w:val="20"/>
          <w:lang w:val="es-ES_tradnl" w:eastAsia="es-AR"/>
        </w:rPr>
      </w:pPr>
      <w:r w:rsidRPr="00701F32">
        <w:rPr>
          <w:rFonts w:ascii="Arial" w:hAnsi="Arial" w:cs="Arial"/>
          <w:sz w:val="20"/>
          <w:lang w:val="es-ES_tradnl" w:eastAsia="es-AR"/>
        </w:rPr>
        <w:t>A efectos de medir el riesgo de las posiciones en forma homogénea y en base a ello establecer una estructura de límites y umbrales a los efectos d</w:t>
      </w:r>
      <w:r>
        <w:rPr>
          <w:rFonts w:ascii="Arial" w:hAnsi="Arial" w:cs="Arial"/>
          <w:sz w:val="20"/>
          <w:lang w:val="es-ES_tradnl" w:eastAsia="es-AR"/>
        </w:rPr>
        <w:t>e gestión y esquemas de control.</w:t>
      </w:r>
      <w:r w:rsidRPr="00701F32">
        <w:rPr>
          <w:rFonts w:ascii="Arial" w:hAnsi="Arial" w:cs="Arial"/>
          <w:sz w:val="20"/>
          <w:lang w:val="es-ES_tradnl" w:eastAsia="es-AR"/>
        </w:rPr>
        <w:t xml:space="preserve"> Banco Supervielle utiliza el modelo VaR (valor a riesgo)</w:t>
      </w:r>
      <w:r>
        <w:rPr>
          <w:rFonts w:ascii="Arial" w:hAnsi="Arial" w:cs="Arial"/>
          <w:sz w:val="20"/>
          <w:lang w:val="es-ES_tradnl" w:eastAsia="es-AR"/>
        </w:rPr>
        <w:t xml:space="preserve"> diversificado</w:t>
      </w:r>
      <w:r w:rsidRPr="00701F32">
        <w:rPr>
          <w:rFonts w:ascii="Arial" w:hAnsi="Arial" w:cs="Arial"/>
          <w:sz w:val="20"/>
          <w:lang w:val="es-ES_tradnl" w:eastAsia="es-AR"/>
        </w:rPr>
        <w:t xml:space="preserve">, el que se define como la máxima pérdida esperada que puede registrar una cartera de activos financieros en situaciones normales de mercado, dentro de un horizonte de tiempo determinado y con un nivel de confianza preestablecido. Los indicadores elaborados en base a ello permiten detectar el nivel a partir del cual se identifica un riesgo potencial de mercado para, de esta forma, tomar las acciones preventivas correspondientes. </w:t>
      </w:r>
    </w:p>
    <w:p w14:paraId="69770F6E" w14:textId="77777777" w:rsidR="003955F8" w:rsidRDefault="003955F8" w:rsidP="003955F8">
      <w:pPr>
        <w:tabs>
          <w:tab w:val="left" w:pos="142"/>
        </w:tabs>
        <w:spacing w:after="200"/>
        <w:jc w:val="both"/>
        <w:rPr>
          <w:rFonts w:ascii="Arial" w:hAnsi="Arial" w:cs="Arial"/>
          <w:sz w:val="20"/>
          <w:lang w:val="es-ES_tradnl" w:eastAsia="es-AR"/>
        </w:rPr>
      </w:pPr>
      <w:r>
        <w:rPr>
          <w:rFonts w:ascii="Arial" w:hAnsi="Arial" w:cs="Arial"/>
          <w:sz w:val="20"/>
          <w:lang w:val="es-ES_tradnl" w:eastAsia="es-AR"/>
        </w:rPr>
        <w:t xml:space="preserve">El foco de atención en lo que hace a la gestión de riesgo de mercado está puesto sobre la cartera de negociación administrada por la Mesa de Dinero, si bien se realiza también un control más amplio incluyendo posiciones administradas con objetivos de gestión de liquidez. Es por ello que en lo que respecta a la cartera de negociación más amplia, los controles se limitan a la exposición al riesgo asumida, medida a partir de la metodología VaR, en relación con la responsabilidad patrimonial computable (RPC). </w:t>
      </w:r>
    </w:p>
    <w:p w14:paraId="1797DE88" w14:textId="684EA7D0" w:rsidR="003955F8" w:rsidRDefault="003955F8" w:rsidP="003955F8">
      <w:pPr>
        <w:tabs>
          <w:tab w:val="left" w:pos="142"/>
        </w:tabs>
        <w:spacing w:after="200"/>
        <w:jc w:val="both"/>
        <w:rPr>
          <w:rFonts w:ascii="Arial" w:hAnsi="Arial" w:cs="Arial"/>
          <w:sz w:val="20"/>
          <w:lang w:val="es-ES_tradnl" w:eastAsia="es-AR"/>
        </w:rPr>
      </w:pPr>
      <w:r w:rsidRPr="00BE30B8">
        <w:rPr>
          <w:rFonts w:ascii="Arial" w:hAnsi="Arial" w:cs="Arial"/>
          <w:sz w:val="20"/>
          <w:lang w:val="es-ES_tradnl" w:eastAsia="es-AR"/>
        </w:rPr>
        <w:t>Durante 2019 se aprobó el establecimiento de un límite para el VaR por grupo de activos, limitando de esta forma el riesgo que la Entidad puede asumir en cada grupo de activo considerado aisladamente. El objetivo es incorporar un elemento de alerta ante eventos crediticios o quiebre en las correlaciones entre grupos de activos, eventos que pueden escapar a la consideración de un VaR diversificado. Otro hito importante del año fue la modificación de la metodología utilizada para la ejecución de pruebas de estrés por riesgo de mercado, tanto para la cartera de negociación total de Banco Supervielle como para las carteras administradas por su Mesa de Dinero. La nueva metodología implica la selección de uno o más eventos históricos caracterizados por situaciones de tensión que pudiesen incrementar el riesgo de mercado asumido. A partir de allí, las matrices de varianzas y covarianzas de estos momentos históricos son incorporadas a la evaluación de las carteras de negociación actuales.</w:t>
      </w:r>
    </w:p>
    <w:p w14:paraId="3840CCA4" w14:textId="77777777" w:rsidR="003955F8" w:rsidRDefault="003955F8" w:rsidP="003955F8">
      <w:pPr>
        <w:tabs>
          <w:tab w:val="left" w:pos="142"/>
        </w:tabs>
        <w:spacing w:after="200"/>
        <w:jc w:val="both"/>
        <w:rPr>
          <w:rFonts w:ascii="Arial" w:hAnsi="Arial" w:cs="Arial"/>
          <w:sz w:val="20"/>
          <w:lang w:val="es-ES_tradnl" w:eastAsia="es-AR"/>
        </w:rPr>
      </w:pPr>
      <w:r>
        <w:rPr>
          <w:rFonts w:ascii="Arial" w:hAnsi="Arial" w:cs="Arial"/>
          <w:sz w:val="20"/>
          <w:lang w:val="es-ES_tradnl" w:eastAsia="es-AR"/>
        </w:rPr>
        <w:t xml:space="preserve">Los controles sobre la operatoria de la Mesa de Dinero son más exhaustivos. </w:t>
      </w:r>
      <w:r w:rsidRPr="00701F32">
        <w:rPr>
          <w:rFonts w:ascii="Arial" w:hAnsi="Arial" w:cs="Arial"/>
          <w:sz w:val="20"/>
          <w:lang w:val="es-ES_tradnl" w:eastAsia="es-AR"/>
        </w:rPr>
        <w:t xml:space="preserve">Las estrategias y políticas aprobadas se reflejan en </w:t>
      </w:r>
      <w:r>
        <w:rPr>
          <w:rFonts w:ascii="Arial" w:hAnsi="Arial" w:cs="Arial"/>
          <w:sz w:val="20"/>
          <w:lang w:val="es-ES_tradnl" w:eastAsia="es-AR"/>
        </w:rPr>
        <w:t>lo que se conoce internamente como</w:t>
      </w:r>
      <w:r w:rsidRPr="00701F32">
        <w:rPr>
          <w:rFonts w:ascii="Arial" w:hAnsi="Arial" w:cs="Arial"/>
          <w:sz w:val="20"/>
          <w:lang w:val="es-ES_tradnl" w:eastAsia="es-AR"/>
        </w:rPr>
        <w:t xml:space="preserve"> </w:t>
      </w:r>
      <w:r>
        <w:rPr>
          <w:rFonts w:ascii="Arial" w:hAnsi="Arial" w:cs="Arial"/>
          <w:sz w:val="20"/>
          <w:lang w:val="es-ES_tradnl" w:eastAsia="es-AR"/>
        </w:rPr>
        <w:t>M</w:t>
      </w:r>
      <w:r w:rsidRPr="00701F32">
        <w:rPr>
          <w:rFonts w:ascii="Arial" w:hAnsi="Arial" w:cs="Arial"/>
          <w:sz w:val="20"/>
          <w:lang w:val="es-ES_tradnl" w:eastAsia="es-AR"/>
        </w:rPr>
        <w:t xml:space="preserve">apa de </w:t>
      </w:r>
      <w:r>
        <w:rPr>
          <w:rFonts w:ascii="Arial" w:hAnsi="Arial" w:cs="Arial"/>
          <w:sz w:val="20"/>
          <w:lang w:val="es-ES_tradnl" w:eastAsia="es-AR"/>
        </w:rPr>
        <w:t>R</w:t>
      </w:r>
      <w:r w:rsidRPr="00701F32">
        <w:rPr>
          <w:rFonts w:ascii="Arial" w:hAnsi="Arial" w:cs="Arial"/>
          <w:sz w:val="20"/>
          <w:lang w:val="es-ES_tradnl" w:eastAsia="es-AR"/>
        </w:rPr>
        <w:t xml:space="preserve">iesgos </w:t>
      </w:r>
      <w:r>
        <w:rPr>
          <w:rFonts w:ascii="Arial" w:hAnsi="Arial" w:cs="Arial"/>
          <w:sz w:val="20"/>
          <w:lang w:val="es-ES_tradnl" w:eastAsia="es-AR"/>
        </w:rPr>
        <w:t>U</w:t>
      </w:r>
      <w:r w:rsidRPr="00701F32">
        <w:rPr>
          <w:rFonts w:ascii="Arial" w:hAnsi="Arial" w:cs="Arial"/>
          <w:sz w:val="20"/>
          <w:lang w:val="es-ES_tradnl" w:eastAsia="es-AR"/>
        </w:rPr>
        <w:t xml:space="preserve">nificado, donde se explican detalladamente las operaciones habilitadas que puede realizar la Mesa de Dinero. En el mismo documento </w:t>
      </w:r>
      <w:r>
        <w:rPr>
          <w:rFonts w:ascii="Arial" w:hAnsi="Arial" w:cs="Arial"/>
          <w:sz w:val="20"/>
          <w:lang w:val="es-ES_tradnl" w:eastAsia="es-AR"/>
        </w:rPr>
        <w:t>se expone todo el marco de controles que traducen el apetito de riesgo con el que la Entidad se muestra dispuesta a operar. De esta manera, se establecen limitaciones sobre la posición abierta en determinados instrumentos financieros, VaR límite sobre la cartera diversificada, monto máximo de pérdida admisible antes de ejecutar la política de stop loss y condiciones que podrían dar lugar a la ejecución de una estrategia de stop gain. Todo el esquema de control se complementa con planes de acción que deben ser implementados una vez producida alguna vulneración en los límites allí establecidos.</w:t>
      </w:r>
    </w:p>
    <w:p w14:paraId="68071AF4" w14:textId="28F78320" w:rsidR="002A4D61" w:rsidRPr="00834AC7" w:rsidRDefault="003955F8" w:rsidP="003955F8">
      <w:pPr>
        <w:pStyle w:val="PrimerNivel"/>
        <w:numPr>
          <w:ilvl w:val="0"/>
          <w:numId w:val="0"/>
        </w:numPr>
        <w:rPr>
          <w:rFonts w:ascii="Arial" w:hAnsi="Arial" w:cs="Arial"/>
          <w:sz w:val="20"/>
          <w:szCs w:val="20"/>
          <w:lang w:val="es-AR"/>
        </w:rPr>
      </w:pPr>
      <w:r w:rsidRPr="00834AC7">
        <w:rPr>
          <w:rFonts w:ascii="Arial" w:hAnsi="Arial" w:cs="Arial"/>
          <w:sz w:val="20"/>
          <w:szCs w:val="20"/>
          <w:lang w:val="es-AR"/>
        </w:rPr>
        <w:t>Se detalla a continuación la exposición al riesgo de tipo de cambio de la Entidad al cierre de ejercicio por tipo de moneda:</w:t>
      </w:r>
    </w:p>
    <w:p w14:paraId="7CE7520B" w14:textId="77777777" w:rsidR="002A4D61" w:rsidRPr="001C45C7" w:rsidRDefault="002A4D61" w:rsidP="002A4D61">
      <w:pPr>
        <w:pStyle w:val="PrimerNivel"/>
        <w:numPr>
          <w:ilvl w:val="0"/>
          <w:numId w:val="0"/>
        </w:numPr>
        <w:rPr>
          <w:rFonts w:asciiTheme="majorHAnsi" w:hAnsiTheme="majorHAnsi"/>
          <w:sz w:val="20"/>
          <w:szCs w:val="20"/>
          <w:lang w:val="es-AR"/>
        </w:rPr>
      </w:pPr>
    </w:p>
    <w:tbl>
      <w:tblPr>
        <w:tblW w:w="9280" w:type="dxa"/>
        <w:tblInd w:w="75" w:type="dxa"/>
        <w:tblCellMar>
          <w:left w:w="70" w:type="dxa"/>
          <w:right w:w="70" w:type="dxa"/>
        </w:tblCellMar>
        <w:tblLook w:val="04A0" w:firstRow="1" w:lastRow="0" w:firstColumn="1" w:lastColumn="0" w:noHBand="0" w:noVBand="1"/>
      </w:tblPr>
      <w:tblGrid>
        <w:gridCol w:w="821"/>
        <w:gridCol w:w="1151"/>
        <w:gridCol w:w="1151"/>
        <w:gridCol w:w="1011"/>
        <w:gridCol w:w="892"/>
        <w:gridCol w:w="1151"/>
        <w:gridCol w:w="1151"/>
        <w:gridCol w:w="1011"/>
        <w:gridCol w:w="941"/>
      </w:tblGrid>
      <w:tr w:rsidR="002A4D61" w:rsidRPr="004E24B5" w14:paraId="2CF57F17" w14:textId="77777777" w:rsidTr="00E010FD">
        <w:trPr>
          <w:trHeight w:val="203"/>
        </w:trPr>
        <w:tc>
          <w:tcPr>
            <w:tcW w:w="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86669" w14:textId="77777777" w:rsidR="002A4D61" w:rsidRPr="004E24B5" w:rsidRDefault="002A4D61" w:rsidP="002A4D61">
            <w:pPr>
              <w:jc w:val="center"/>
              <w:rPr>
                <w:rFonts w:ascii="Arial" w:hAnsi="Arial" w:cs="Arial"/>
                <w:b/>
                <w:bCs/>
                <w:color w:val="000000"/>
                <w:sz w:val="18"/>
                <w:szCs w:val="18"/>
                <w:lang w:eastAsia="es-AR"/>
              </w:rPr>
            </w:pPr>
            <w:r w:rsidRPr="004E24B5">
              <w:rPr>
                <w:rFonts w:ascii="Arial" w:hAnsi="Arial" w:cs="Arial"/>
                <w:b/>
                <w:bCs/>
                <w:color w:val="000000"/>
                <w:sz w:val="18"/>
                <w:szCs w:val="18"/>
                <w:lang w:eastAsia="es-AR"/>
              </w:rPr>
              <w:t>Moneda</w:t>
            </w:r>
          </w:p>
        </w:tc>
        <w:tc>
          <w:tcPr>
            <w:tcW w:w="4205"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1D7F6B" w14:textId="4A97C68B" w:rsidR="002A4D61" w:rsidRPr="004E24B5" w:rsidRDefault="002A4D61" w:rsidP="002A4D61">
            <w:pPr>
              <w:jc w:val="center"/>
              <w:rPr>
                <w:rFonts w:ascii="Arial" w:hAnsi="Arial" w:cs="Arial"/>
                <w:b/>
                <w:bCs/>
                <w:color w:val="000000"/>
                <w:sz w:val="18"/>
                <w:szCs w:val="18"/>
                <w:lang w:eastAsia="es-AR"/>
              </w:rPr>
            </w:pPr>
            <w:r w:rsidRPr="004E24B5">
              <w:rPr>
                <w:rFonts w:ascii="Arial" w:hAnsi="Arial" w:cs="Arial"/>
                <w:b/>
                <w:bCs/>
                <w:color w:val="000000"/>
                <w:sz w:val="18"/>
                <w:szCs w:val="18"/>
                <w:lang w:eastAsia="es-AR"/>
              </w:rPr>
              <w:t>Saldos al 31/12/201</w:t>
            </w:r>
            <w:r w:rsidR="00970522">
              <w:rPr>
                <w:rFonts w:ascii="Arial" w:hAnsi="Arial" w:cs="Arial"/>
                <w:b/>
                <w:bCs/>
                <w:color w:val="000000"/>
                <w:sz w:val="18"/>
                <w:szCs w:val="18"/>
                <w:lang w:eastAsia="es-AR"/>
              </w:rPr>
              <w:t>9</w:t>
            </w:r>
          </w:p>
        </w:tc>
        <w:tc>
          <w:tcPr>
            <w:tcW w:w="4254" w:type="dxa"/>
            <w:gridSpan w:val="4"/>
            <w:tcBorders>
              <w:top w:val="single" w:sz="4" w:space="0" w:color="auto"/>
              <w:left w:val="nil"/>
              <w:bottom w:val="single" w:sz="4" w:space="0" w:color="auto"/>
              <w:right w:val="single" w:sz="4" w:space="0" w:color="auto"/>
            </w:tcBorders>
            <w:shd w:val="clear" w:color="auto" w:fill="auto"/>
            <w:noWrap/>
            <w:vAlign w:val="center"/>
            <w:hideMark/>
          </w:tcPr>
          <w:p w14:paraId="21AE0B55" w14:textId="2E86DF6E" w:rsidR="002A4D61" w:rsidRPr="004E24B5" w:rsidRDefault="002A4D61" w:rsidP="002A4D61">
            <w:pPr>
              <w:jc w:val="center"/>
              <w:rPr>
                <w:rFonts w:ascii="Arial" w:hAnsi="Arial" w:cs="Arial"/>
                <w:b/>
                <w:bCs/>
                <w:color w:val="000000"/>
                <w:sz w:val="18"/>
                <w:szCs w:val="18"/>
                <w:lang w:eastAsia="es-AR"/>
              </w:rPr>
            </w:pPr>
            <w:r w:rsidRPr="004E24B5">
              <w:rPr>
                <w:rFonts w:ascii="Arial" w:hAnsi="Arial" w:cs="Arial"/>
                <w:b/>
                <w:bCs/>
                <w:color w:val="000000"/>
                <w:sz w:val="18"/>
                <w:szCs w:val="18"/>
                <w:lang w:eastAsia="es-AR"/>
              </w:rPr>
              <w:t>Saldos al 31/12/201</w:t>
            </w:r>
            <w:r w:rsidR="00970522">
              <w:rPr>
                <w:rFonts w:ascii="Arial" w:hAnsi="Arial" w:cs="Arial"/>
                <w:b/>
                <w:bCs/>
                <w:color w:val="000000"/>
                <w:sz w:val="18"/>
                <w:szCs w:val="18"/>
                <w:lang w:eastAsia="es-AR"/>
              </w:rPr>
              <w:t>8</w:t>
            </w:r>
          </w:p>
        </w:tc>
      </w:tr>
      <w:tr w:rsidR="002A4D61" w:rsidRPr="004E24B5" w14:paraId="19285B75" w14:textId="77777777" w:rsidTr="00517628">
        <w:trPr>
          <w:trHeight w:val="276"/>
        </w:trPr>
        <w:tc>
          <w:tcPr>
            <w:tcW w:w="821" w:type="dxa"/>
            <w:vMerge/>
            <w:tcBorders>
              <w:top w:val="single" w:sz="4" w:space="0" w:color="auto"/>
              <w:left w:val="single" w:sz="4" w:space="0" w:color="auto"/>
              <w:bottom w:val="single" w:sz="4" w:space="0" w:color="auto"/>
              <w:right w:val="single" w:sz="4" w:space="0" w:color="auto"/>
            </w:tcBorders>
            <w:vAlign w:val="center"/>
            <w:hideMark/>
          </w:tcPr>
          <w:p w14:paraId="61196C92" w14:textId="77777777" w:rsidR="002A4D61" w:rsidRPr="004E24B5" w:rsidRDefault="002A4D61" w:rsidP="002A4D61">
            <w:pPr>
              <w:rPr>
                <w:rFonts w:ascii="Arial" w:hAnsi="Arial" w:cs="Arial"/>
                <w:b/>
                <w:bCs/>
                <w:color w:val="000000"/>
                <w:sz w:val="18"/>
                <w:szCs w:val="18"/>
                <w:lang w:eastAsia="es-AR"/>
              </w:rPr>
            </w:pPr>
          </w:p>
        </w:tc>
        <w:tc>
          <w:tcPr>
            <w:tcW w:w="1151" w:type="dxa"/>
            <w:vMerge w:val="restart"/>
            <w:tcBorders>
              <w:top w:val="nil"/>
              <w:left w:val="single" w:sz="4" w:space="0" w:color="auto"/>
              <w:bottom w:val="single" w:sz="4" w:space="0" w:color="auto"/>
              <w:right w:val="single" w:sz="4" w:space="0" w:color="auto"/>
            </w:tcBorders>
            <w:shd w:val="clear" w:color="auto" w:fill="auto"/>
            <w:vAlign w:val="center"/>
            <w:hideMark/>
          </w:tcPr>
          <w:p w14:paraId="2767075D" w14:textId="77777777" w:rsidR="002A4D61" w:rsidRPr="004E24B5" w:rsidRDefault="002A4D61" w:rsidP="002A4D61">
            <w:pPr>
              <w:jc w:val="center"/>
              <w:rPr>
                <w:rFonts w:ascii="Arial" w:hAnsi="Arial" w:cs="Arial"/>
                <w:b/>
                <w:bCs/>
                <w:color w:val="000000"/>
                <w:sz w:val="18"/>
                <w:szCs w:val="18"/>
                <w:lang w:eastAsia="es-AR"/>
              </w:rPr>
            </w:pPr>
            <w:r w:rsidRPr="004E24B5">
              <w:rPr>
                <w:rFonts w:ascii="Arial" w:hAnsi="Arial" w:cs="Arial"/>
                <w:b/>
                <w:bCs/>
                <w:color w:val="000000"/>
                <w:sz w:val="18"/>
                <w:szCs w:val="18"/>
                <w:lang w:eastAsia="es-AR"/>
              </w:rPr>
              <w:t>Activos Financieros Monetarios</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hideMark/>
          </w:tcPr>
          <w:p w14:paraId="36924AF6" w14:textId="77777777" w:rsidR="002A4D61" w:rsidRPr="004E24B5" w:rsidRDefault="002A4D61" w:rsidP="002A4D61">
            <w:pPr>
              <w:jc w:val="center"/>
              <w:rPr>
                <w:rFonts w:ascii="Arial" w:hAnsi="Arial" w:cs="Arial"/>
                <w:b/>
                <w:bCs/>
                <w:color w:val="000000"/>
                <w:sz w:val="18"/>
                <w:szCs w:val="18"/>
                <w:lang w:eastAsia="es-AR"/>
              </w:rPr>
            </w:pPr>
            <w:r w:rsidRPr="004E24B5">
              <w:rPr>
                <w:rFonts w:ascii="Arial" w:hAnsi="Arial" w:cs="Arial"/>
                <w:b/>
                <w:bCs/>
                <w:color w:val="000000"/>
                <w:sz w:val="18"/>
                <w:szCs w:val="18"/>
                <w:lang w:eastAsia="es-AR"/>
              </w:rPr>
              <w:t>Pasivos Financieros Monetarios</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2552807B" w14:textId="77777777" w:rsidR="002A4D61" w:rsidRPr="004E24B5" w:rsidRDefault="002A4D61" w:rsidP="002A4D61">
            <w:pPr>
              <w:jc w:val="center"/>
              <w:rPr>
                <w:rFonts w:ascii="Arial" w:hAnsi="Arial" w:cs="Arial"/>
                <w:b/>
                <w:bCs/>
                <w:color w:val="000000"/>
                <w:sz w:val="18"/>
                <w:szCs w:val="18"/>
                <w:lang w:eastAsia="es-AR"/>
              </w:rPr>
            </w:pPr>
            <w:r w:rsidRPr="004E24B5">
              <w:rPr>
                <w:rFonts w:ascii="Arial" w:hAnsi="Arial" w:cs="Arial"/>
                <w:b/>
                <w:bCs/>
                <w:color w:val="000000"/>
                <w:sz w:val="18"/>
                <w:szCs w:val="18"/>
                <w:lang w:eastAsia="es-AR"/>
              </w:rPr>
              <w:t>Derivados</w:t>
            </w:r>
          </w:p>
        </w:tc>
        <w:tc>
          <w:tcPr>
            <w:tcW w:w="892" w:type="dxa"/>
            <w:vMerge w:val="restart"/>
            <w:tcBorders>
              <w:top w:val="nil"/>
              <w:left w:val="single" w:sz="4" w:space="0" w:color="auto"/>
              <w:bottom w:val="single" w:sz="4" w:space="0" w:color="auto"/>
              <w:right w:val="single" w:sz="4" w:space="0" w:color="auto"/>
            </w:tcBorders>
            <w:shd w:val="clear" w:color="auto" w:fill="auto"/>
            <w:vAlign w:val="center"/>
            <w:hideMark/>
          </w:tcPr>
          <w:p w14:paraId="6917C29A" w14:textId="77777777" w:rsidR="002A4D61" w:rsidRPr="004E24B5" w:rsidRDefault="002A4D61" w:rsidP="002A4D61">
            <w:pPr>
              <w:jc w:val="center"/>
              <w:rPr>
                <w:rFonts w:ascii="Arial" w:hAnsi="Arial" w:cs="Arial"/>
                <w:b/>
                <w:bCs/>
                <w:color w:val="000000"/>
                <w:sz w:val="18"/>
                <w:szCs w:val="18"/>
                <w:lang w:eastAsia="es-AR"/>
              </w:rPr>
            </w:pPr>
            <w:r w:rsidRPr="004E24B5">
              <w:rPr>
                <w:rFonts w:ascii="Arial" w:hAnsi="Arial" w:cs="Arial"/>
                <w:b/>
                <w:bCs/>
                <w:color w:val="000000"/>
                <w:sz w:val="18"/>
                <w:szCs w:val="18"/>
                <w:lang w:eastAsia="es-AR"/>
              </w:rPr>
              <w:t>Posición Neta</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hideMark/>
          </w:tcPr>
          <w:p w14:paraId="4F917891" w14:textId="77777777" w:rsidR="002A4D61" w:rsidRPr="004E24B5" w:rsidRDefault="002A4D61" w:rsidP="002A4D61">
            <w:pPr>
              <w:jc w:val="center"/>
              <w:rPr>
                <w:rFonts w:ascii="Arial" w:hAnsi="Arial" w:cs="Arial"/>
                <w:b/>
                <w:bCs/>
                <w:color w:val="000000"/>
                <w:sz w:val="18"/>
                <w:szCs w:val="18"/>
                <w:lang w:eastAsia="es-AR"/>
              </w:rPr>
            </w:pPr>
            <w:r w:rsidRPr="004E24B5">
              <w:rPr>
                <w:rFonts w:ascii="Arial" w:hAnsi="Arial" w:cs="Arial"/>
                <w:b/>
                <w:bCs/>
                <w:color w:val="000000"/>
                <w:sz w:val="18"/>
                <w:szCs w:val="18"/>
                <w:lang w:eastAsia="es-AR"/>
              </w:rPr>
              <w:t>Activos Financieros Monetarios</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hideMark/>
          </w:tcPr>
          <w:p w14:paraId="1ACB3EBA" w14:textId="77777777" w:rsidR="002A4D61" w:rsidRPr="004E24B5" w:rsidRDefault="002A4D61" w:rsidP="002A4D61">
            <w:pPr>
              <w:jc w:val="center"/>
              <w:rPr>
                <w:rFonts w:ascii="Arial" w:hAnsi="Arial" w:cs="Arial"/>
                <w:b/>
                <w:bCs/>
                <w:color w:val="000000"/>
                <w:sz w:val="18"/>
                <w:szCs w:val="18"/>
                <w:lang w:eastAsia="es-AR"/>
              </w:rPr>
            </w:pPr>
            <w:r w:rsidRPr="004E24B5">
              <w:rPr>
                <w:rFonts w:ascii="Arial" w:hAnsi="Arial" w:cs="Arial"/>
                <w:b/>
                <w:bCs/>
                <w:color w:val="000000"/>
                <w:sz w:val="18"/>
                <w:szCs w:val="18"/>
                <w:lang w:eastAsia="es-AR"/>
              </w:rPr>
              <w:t>Pasivos Financieros Monetarios</w:t>
            </w:r>
          </w:p>
        </w:tc>
        <w:tc>
          <w:tcPr>
            <w:tcW w:w="1011" w:type="dxa"/>
            <w:vMerge w:val="restart"/>
            <w:tcBorders>
              <w:top w:val="nil"/>
              <w:left w:val="single" w:sz="4" w:space="0" w:color="auto"/>
              <w:bottom w:val="single" w:sz="4" w:space="0" w:color="auto"/>
              <w:right w:val="single" w:sz="4" w:space="0" w:color="auto"/>
            </w:tcBorders>
            <w:shd w:val="clear" w:color="auto" w:fill="auto"/>
            <w:vAlign w:val="center"/>
            <w:hideMark/>
          </w:tcPr>
          <w:p w14:paraId="02321634" w14:textId="77777777" w:rsidR="002A4D61" w:rsidRPr="004E24B5" w:rsidRDefault="002A4D61" w:rsidP="002A4D61">
            <w:pPr>
              <w:jc w:val="center"/>
              <w:rPr>
                <w:rFonts w:ascii="Arial" w:hAnsi="Arial" w:cs="Arial"/>
                <w:b/>
                <w:bCs/>
                <w:color w:val="000000"/>
                <w:sz w:val="18"/>
                <w:szCs w:val="18"/>
                <w:lang w:eastAsia="es-AR"/>
              </w:rPr>
            </w:pPr>
            <w:r w:rsidRPr="004E24B5">
              <w:rPr>
                <w:rFonts w:ascii="Arial" w:hAnsi="Arial" w:cs="Arial"/>
                <w:b/>
                <w:bCs/>
                <w:color w:val="000000"/>
                <w:sz w:val="18"/>
                <w:szCs w:val="18"/>
                <w:lang w:eastAsia="es-AR"/>
              </w:rPr>
              <w:t>Derivados</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hideMark/>
          </w:tcPr>
          <w:p w14:paraId="568A77F2" w14:textId="77777777" w:rsidR="002A4D61" w:rsidRPr="004E24B5" w:rsidRDefault="002A4D61" w:rsidP="002A4D61">
            <w:pPr>
              <w:jc w:val="center"/>
              <w:rPr>
                <w:rFonts w:ascii="Arial" w:hAnsi="Arial" w:cs="Arial"/>
                <w:b/>
                <w:bCs/>
                <w:color w:val="000000"/>
                <w:sz w:val="18"/>
                <w:szCs w:val="18"/>
                <w:lang w:eastAsia="es-AR"/>
              </w:rPr>
            </w:pPr>
            <w:r w:rsidRPr="004E24B5">
              <w:rPr>
                <w:rFonts w:ascii="Arial" w:hAnsi="Arial" w:cs="Arial"/>
                <w:b/>
                <w:bCs/>
                <w:color w:val="000000"/>
                <w:sz w:val="18"/>
                <w:szCs w:val="18"/>
                <w:lang w:eastAsia="es-AR"/>
              </w:rPr>
              <w:t>Posición Neta</w:t>
            </w:r>
          </w:p>
        </w:tc>
      </w:tr>
      <w:tr w:rsidR="002A4D61" w:rsidRPr="004E24B5" w14:paraId="161C0936" w14:textId="77777777" w:rsidTr="00517628">
        <w:trPr>
          <w:trHeight w:val="362"/>
        </w:trPr>
        <w:tc>
          <w:tcPr>
            <w:tcW w:w="821" w:type="dxa"/>
            <w:vMerge/>
            <w:tcBorders>
              <w:top w:val="single" w:sz="4" w:space="0" w:color="auto"/>
              <w:left w:val="single" w:sz="4" w:space="0" w:color="auto"/>
              <w:bottom w:val="single" w:sz="4" w:space="0" w:color="auto"/>
              <w:right w:val="single" w:sz="4" w:space="0" w:color="auto"/>
            </w:tcBorders>
            <w:vAlign w:val="center"/>
            <w:hideMark/>
          </w:tcPr>
          <w:p w14:paraId="3C494822" w14:textId="77777777" w:rsidR="002A4D61" w:rsidRPr="004E24B5" w:rsidRDefault="002A4D61" w:rsidP="002A4D61">
            <w:pPr>
              <w:rPr>
                <w:rFonts w:ascii="Arial" w:hAnsi="Arial" w:cs="Arial"/>
                <w:b/>
                <w:bCs/>
                <w:color w:val="000000"/>
                <w:sz w:val="18"/>
                <w:szCs w:val="18"/>
                <w:lang w:eastAsia="es-AR"/>
              </w:rPr>
            </w:pPr>
          </w:p>
        </w:tc>
        <w:tc>
          <w:tcPr>
            <w:tcW w:w="1151" w:type="dxa"/>
            <w:vMerge/>
            <w:tcBorders>
              <w:top w:val="nil"/>
              <w:left w:val="single" w:sz="4" w:space="0" w:color="auto"/>
              <w:bottom w:val="single" w:sz="4" w:space="0" w:color="auto"/>
              <w:right w:val="single" w:sz="4" w:space="0" w:color="auto"/>
            </w:tcBorders>
            <w:vAlign w:val="center"/>
            <w:hideMark/>
          </w:tcPr>
          <w:p w14:paraId="626115C5" w14:textId="77777777" w:rsidR="002A4D61" w:rsidRPr="004E24B5" w:rsidRDefault="002A4D61" w:rsidP="002A4D61">
            <w:pPr>
              <w:rPr>
                <w:rFonts w:ascii="Arial" w:hAnsi="Arial" w:cs="Arial"/>
                <w:b/>
                <w:bCs/>
                <w:color w:val="000000"/>
                <w:sz w:val="18"/>
                <w:szCs w:val="18"/>
                <w:lang w:eastAsia="es-AR"/>
              </w:rPr>
            </w:pPr>
          </w:p>
        </w:tc>
        <w:tc>
          <w:tcPr>
            <w:tcW w:w="1151" w:type="dxa"/>
            <w:vMerge/>
            <w:tcBorders>
              <w:top w:val="nil"/>
              <w:left w:val="single" w:sz="4" w:space="0" w:color="auto"/>
              <w:bottom w:val="single" w:sz="4" w:space="0" w:color="auto"/>
              <w:right w:val="single" w:sz="4" w:space="0" w:color="auto"/>
            </w:tcBorders>
            <w:vAlign w:val="center"/>
            <w:hideMark/>
          </w:tcPr>
          <w:p w14:paraId="418D031A" w14:textId="77777777" w:rsidR="002A4D61" w:rsidRPr="004E24B5" w:rsidRDefault="002A4D61" w:rsidP="002A4D61">
            <w:pPr>
              <w:rPr>
                <w:rFonts w:ascii="Arial" w:hAnsi="Arial" w:cs="Arial"/>
                <w:b/>
                <w:bCs/>
                <w:color w:val="000000"/>
                <w:sz w:val="18"/>
                <w:szCs w:val="18"/>
                <w:lang w:eastAsia="es-AR"/>
              </w:rPr>
            </w:pPr>
          </w:p>
        </w:tc>
        <w:tc>
          <w:tcPr>
            <w:tcW w:w="1011" w:type="dxa"/>
            <w:vMerge/>
            <w:tcBorders>
              <w:top w:val="nil"/>
              <w:left w:val="single" w:sz="4" w:space="0" w:color="auto"/>
              <w:bottom w:val="single" w:sz="4" w:space="0" w:color="auto"/>
              <w:right w:val="single" w:sz="4" w:space="0" w:color="auto"/>
            </w:tcBorders>
            <w:vAlign w:val="center"/>
            <w:hideMark/>
          </w:tcPr>
          <w:p w14:paraId="59BCE2CC" w14:textId="77777777" w:rsidR="002A4D61" w:rsidRPr="004E24B5" w:rsidRDefault="002A4D61" w:rsidP="002A4D61">
            <w:pPr>
              <w:rPr>
                <w:rFonts w:ascii="Arial" w:hAnsi="Arial" w:cs="Arial"/>
                <w:b/>
                <w:bCs/>
                <w:color w:val="000000"/>
                <w:sz w:val="18"/>
                <w:szCs w:val="18"/>
                <w:lang w:eastAsia="es-AR"/>
              </w:rPr>
            </w:pPr>
          </w:p>
        </w:tc>
        <w:tc>
          <w:tcPr>
            <w:tcW w:w="892" w:type="dxa"/>
            <w:vMerge/>
            <w:tcBorders>
              <w:top w:val="nil"/>
              <w:left w:val="single" w:sz="4" w:space="0" w:color="auto"/>
              <w:bottom w:val="single" w:sz="4" w:space="0" w:color="auto"/>
              <w:right w:val="single" w:sz="4" w:space="0" w:color="auto"/>
            </w:tcBorders>
            <w:vAlign w:val="center"/>
            <w:hideMark/>
          </w:tcPr>
          <w:p w14:paraId="3E558A98" w14:textId="77777777" w:rsidR="002A4D61" w:rsidRPr="004E24B5" w:rsidRDefault="002A4D61" w:rsidP="002A4D61">
            <w:pPr>
              <w:rPr>
                <w:rFonts w:ascii="Arial" w:hAnsi="Arial" w:cs="Arial"/>
                <w:b/>
                <w:bCs/>
                <w:color w:val="000000"/>
                <w:sz w:val="18"/>
                <w:szCs w:val="18"/>
                <w:lang w:eastAsia="es-AR"/>
              </w:rPr>
            </w:pPr>
          </w:p>
        </w:tc>
        <w:tc>
          <w:tcPr>
            <w:tcW w:w="1151" w:type="dxa"/>
            <w:vMerge/>
            <w:tcBorders>
              <w:top w:val="nil"/>
              <w:left w:val="single" w:sz="4" w:space="0" w:color="auto"/>
              <w:bottom w:val="single" w:sz="4" w:space="0" w:color="auto"/>
              <w:right w:val="single" w:sz="4" w:space="0" w:color="auto"/>
            </w:tcBorders>
            <w:vAlign w:val="center"/>
            <w:hideMark/>
          </w:tcPr>
          <w:p w14:paraId="72B2C4EE" w14:textId="77777777" w:rsidR="002A4D61" w:rsidRPr="004E24B5" w:rsidRDefault="002A4D61" w:rsidP="002A4D61">
            <w:pPr>
              <w:rPr>
                <w:rFonts w:ascii="Arial" w:hAnsi="Arial" w:cs="Arial"/>
                <w:b/>
                <w:bCs/>
                <w:color w:val="000000"/>
                <w:sz w:val="18"/>
                <w:szCs w:val="18"/>
                <w:lang w:eastAsia="es-AR"/>
              </w:rPr>
            </w:pPr>
          </w:p>
        </w:tc>
        <w:tc>
          <w:tcPr>
            <w:tcW w:w="1151" w:type="dxa"/>
            <w:vMerge/>
            <w:tcBorders>
              <w:top w:val="nil"/>
              <w:left w:val="single" w:sz="4" w:space="0" w:color="auto"/>
              <w:bottom w:val="single" w:sz="4" w:space="0" w:color="auto"/>
              <w:right w:val="single" w:sz="4" w:space="0" w:color="auto"/>
            </w:tcBorders>
            <w:vAlign w:val="center"/>
            <w:hideMark/>
          </w:tcPr>
          <w:p w14:paraId="4F39C4E3" w14:textId="77777777" w:rsidR="002A4D61" w:rsidRPr="004E24B5" w:rsidRDefault="002A4D61" w:rsidP="002A4D61">
            <w:pPr>
              <w:rPr>
                <w:rFonts w:ascii="Arial" w:hAnsi="Arial" w:cs="Arial"/>
                <w:b/>
                <w:bCs/>
                <w:color w:val="000000"/>
                <w:sz w:val="18"/>
                <w:szCs w:val="18"/>
                <w:lang w:eastAsia="es-AR"/>
              </w:rPr>
            </w:pPr>
          </w:p>
        </w:tc>
        <w:tc>
          <w:tcPr>
            <w:tcW w:w="1011" w:type="dxa"/>
            <w:vMerge/>
            <w:tcBorders>
              <w:top w:val="nil"/>
              <w:left w:val="single" w:sz="4" w:space="0" w:color="auto"/>
              <w:bottom w:val="single" w:sz="4" w:space="0" w:color="auto"/>
              <w:right w:val="single" w:sz="4" w:space="0" w:color="auto"/>
            </w:tcBorders>
            <w:vAlign w:val="center"/>
            <w:hideMark/>
          </w:tcPr>
          <w:p w14:paraId="76431DFD" w14:textId="77777777" w:rsidR="002A4D61" w:rsidRPr="004E24B5" w:rsidRDefault="002A4D61" w:rsidP="002A4D61">
            <w:pPr>
              <w:rPr>
                <w:rFonts w:ascii="Arial" w:hAnsi="Arial" w:cs="Arial"/>
                <w:b/>
                <w:bCs/>
                <w:color w:val="000000"/>
                <w:sz w:val="18"/>
                <w:szCs w:val="18"/>
                <w:lang w:eastAsia="es-AR"/>
              </w:rPr>
            </w:pPr>
          </w:p>
        </w:tc>
        <w:tc>
          <w:tcPr>
            <w:tcW w:w="941" w:type="dxa"/>
            <w:vMerge/>
            <w:tcBorders>
              <w:top w:val="nil"/>
              <w:left w:val="single" w:sz="4" w:space="0" w:color="auto"/>
              <w:bottom w:val="single" w:sz="4" w:space="0" w:color="auto"/>
              <w:right w:val="single" w:sz="4" w:space="0" w:color="auto"/>
            </w:tcBorders>
            <w:vAlign w:val="center"/>
            <w:hideMark/>
          </w:tcPr>
          <w:p w14:paraId="07E277D6" w14:textId="77777777" w:rsidR="002A4D61" w:rsidRPr="004E24B5" w:rsidRDefault="002A4D61" w:rsidP="002A4D61">
            <w:pPr>
              <w:rPr>
                <w:rFonts w:ascii="Arial" w:hAnsi="Arial" w:cs="Arial"/>
                <w:b/>
                <w:bCs/>
                <w:color w:val="000000"/>
                <w:sz w:val="18"/>
                <w:szCs w:val="18"/>
                <w:lang w:eastAsia="es-AR"/>
              </w:rPr>
            </w:pPr>
          </w:p>
        </w:tc>
      </w:tr>
      <w:tr w:rsidR="00517628" w:rsidRPr="004E24B5" w14:paraId="36150E78" w14:textId="77777777" w:rsidTr="006E1AF7">
        <w:trPr>
          <w:trHeight w:val="386"/>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4C9A267F" w14:textId="77777777" w:rsidR="00517628" w:rsidRDefault="00517628" w:rsidP="00517628">
            <w:pPr>
              <w:rPr>
                <w:rFonts w:ascii="Arial" w:hAnsi="Arial" w:cs="Arial"/>
                <w:color w:val="000000"/>
                <w:sz w:val="18"/>
                <w:szCs w:val="18"/>
                <w:lang w:eastAsia="es-AR"/>
              </w:rPr>
            </w:pPr>
            <w:r>
              <w:rPr>
                <w:rFonts w:ascii="Arial" w:hAnsi="Arial" w:cs="Arial"/>
                <w:color w:val="000000"/>
                <w:sz w:val="18"/>
                <w:szCs w:val="18"/>
                <w:lang w:eastAsia="es-AR"/>
              </w:rPr>
              <w:t xml:space="preserve">Dólar </w:t>
            </w:r>
          </w:p>
          <w:p w14:paraId="50C3B3B9" w14:textId="77777777" w:rsidR="00517628" w:rsidRPr="004E24B5" w:rsidRDefault="00517628" w:rsidP="00517628">
            <w:pPr>
              <w:rPr>
                <w:rFonts w:ascii="Arial" w:hAnsi="Arial" w:cs="Arial"/>
                <w:color w:val="000000"/>
                <w:sz w:val="18"/>
                <w:szCs w:val="18"/>
                <w:lang w:eastAsia="es-AR"/>
              </w:rPr>
            </w:pPr>
            <w:r>
              <w:rPr>
                <w:rFonts w:ascii="Arial" w:hAnsi="Arial" w:cs="Arial"/>
                <w:color w:val="000000"/>
                <w:sz w:val="18"/>
                <w:szCs w:val="18"/>
                <w:lang w:eastAsia="es-AR"/>
              </w:rPr>
              <w:t>EE UU</w:t>
            </w:r>
          </w:p>
        </w:tc>
        <w:tc>
          <w:tcPr>
            <w:tcW w:w="1151" w:type="dxa"/>
            <w:tcBorders>
              <w:top w:val="nil"/>
              <w:left w:val="nil"/>
              <w:bottom w:val="single" w:sz="4" w:space="0" w:color="auto"/>
              <w:right w:val="single" w:sz="4" w:space="0" w:color="auto"/>
            </w:tcBorders>
            <w:shd w:val="clear" w:color="auto" w:fill="auto"/>
            <w:noWrap/>
            <w:vAlign w:val="center"/>
          </w:tcPr>
          <w:p w14:paraId="7ED29506" w14:textId="1B89F781" w:rsidR="00517628" w:rsidRPr="004E24B5" w:rsidRDefault="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36.960.196 </w:t>
            </w:r>
          </w:p>
        </w:tc>
        <w:tc>
          <w:tcPr>
            <w:tcW w:w="1151" w:type="dxa"/>
            <w:tcBorders>
              <w:top w:val="nil"/>
              <w:left w:val="nil"/>
              <w:bottom w:val="single" w:sz="4" w:space="0" w:color="auto"/>
              <w:right w:val="single" w:sz="4" w:space="0" w:color="auto"/>
            </w:tcBorders>
            <w:shd w:val="clear" w:color="auto" w:fill="auto"/>
            <w:noWrap/>
            <w:vAlign w:val="center"/>
          </w:tcPr>
          <w:p w14:paraId="6FABF8B2" w14:textId="16E8C67D" w:rsidR="00517628" w:rsidRPr="004E24B5" w:rsidRDefault="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36.467.785 </w:t>
            </w:r>
          </w:p>
        </w:tc>
        <w:tc>
          <w:tcPr>
            <w:tcW w:w="1011" w:type="dxa"/>
            <w:tcBorders>
              <w:top w:val="nil"/>
              <w:left w:val="nil"/>
              <w:bottom w:val="single" w:sz="4" w:space="0" w:color="auto"/>
              <w:right w:val="single" w:sz="4" w:space="0" w:color="auto"/>
            </w:tcBorders>
            <w:shd w:val="clear" w:color="auto" w:fill="auto"/>
            <w:noWrap/>
            <w:vAlign w:val="center"/>
          </w:tcPr>
          <w:p w14:paraId="3370A5B3" w14:textId="7B136CD8" w:rsidR="00517628" w:rsidRPr="004E24B5" w:rsidRDefault="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 </w:t>
            </w:r>
          </w:p>
        </w:tc>
        <w:tc>
          <w:tcPr>
            <w:tcW w:w="892" w:type="dxa"/>
            <w:tcBorders>
              <w:top w:val="nil"/>
              <w:left w:val="nil"/>
              <w:bottom w:val="single" w:sz="4" w:space="0" w:color="auto"/>
              <w:right w:val="single" w:sz="4" w:space="0" w:color="auto"/>
            </w:tcBorders>
            <w:shd w:val="clear" w:color="auto" w:fill="auto"/>
            <w:noWrap/>
            <w:vAlign w:val="center"/>
          </w:tcPr>
          <w:p w14:paraId="03918033" w14:textId="33438697" w:rsidR="00517628" w:rsidRPr="004E24B5" w:rsidRDefault="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492.411 </w:t>
            </w:r>
          </w:p>
        </w:tc>
        <w:tc>
          <w:tcPr>
            <w:tcW w:w="1151" w:type="dxa"/>
            <w:tcBorders>
              <w:top w:val="nil"/>
              <w:left w:val="nil"/>
              <w:bottom w:val="single" w:sz="4" w:space="0" w:color="auto"/>
              <w:right w:val="single" w:sz="4" w:space="0" w:color="auto"/>
            </w:tcBorders>
            <w:shd w:val="clear" w:color="auto" w:fill="auto"/>
            <w:noWrap/>
            <w:vAlign w:val="center"/>
            <w:hideMark/>
          </w:tcPr>
          <w:p w14:paraId="7FEFD288" w14:textId="08983155" w:rsidR="00517628" w:rsidRPr="004E24B5" w:rsidRDefault="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 xml:space="preserve">41.453.841 </w:t>
            </w:r>
          </w:p>
        </w:tc>
        <w:tc>
          <w:tcPr>
            <w:tcW w:w="1151" w:type="dxa"/>
            <w:tcBorders>
              <w:top w:val="nil"/>
              <w:left w:val="nil"/>
              <w:bottom w:val="single" w:sz="4" w:space="0" w:color="auto"/>
              <w:right w:val="single" w:sz="4" w:space="0" w:color="auto"/>
            </w:tcBorders>
            <w:shd w:val="clear" w:color="auto" w:fill="auto"/>
            <w:noWrap/>
            <w:vAlign w:val="center"/>
            <w:hideMark/>
          </w:tcPr>
          <w:p w14:paraId="2E6C997A" w14:textId="65BA712F" w:rsidR="00517628" w:rsidRPr="004E24B5" w:rsidRDefault="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 xml:space="preserve">40.327.318 </w:t>
            </w:r>
          </w:p>
        </w:tc>
        <w:tc>
          <w:tcPr>
            <w:tcW w:w="1011" w:type="dxa"/>
            <w:tcBorders>
              <w:top w:val="nil"/>
              <w:left w:val="nil"/>
              <w:bottom w:val="single" w:sz="4" w:space="0" w:color="auto"/>
              <w:right w:val="single" w:sz="4" w:space="0" w:color="auto"/>
            </w:tcBorders>
            <w:shd w:val="clear" w:color="auto" w:fill="auto"/>
            <w:noWrap/>
            <w:vAlign w:val="center"/>
            <w:hideMark/>
          </w:tcPr>
          <w:p w14:paraId="1748B0B8" w14:textId="3C55EA0C" w:rsidR="00517628" w:rsidRPr="004E24B5" w:rsidRDefault="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 xml:space="preserve">13.405 </w:t>
            </w:r>
          </w:p>
        </w:tc>
        <w:tc>
          <w:tcPr>
            <w:tcW w:w="941" w:type="dxa"/>
            <w:tcBorders>
              <w:top w:val="nil"/>
              <w:left w:val="nil"/>
              <w:bottom w:val="single" w:sz="4" w:space="0" w:color="auto"/>
              <w:right w:val="single" w:sz="4" w:space="0" w:color="auto"/>
            </w:tcBorders>
            <w:shd w:val="clear" w:color="auto" w:fill="auto"/>
            <w:noWrap/>
            <w:vAlign w:val="center"/>
            <w:hideMark/>
          </w:tcPr>
          <w:p w14:paraId="5AB03CB0" w14:textId="7DB1F02C" w:rsidR="00517628" w:rsidRPr="004E24B5" w:rsidRDefault="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 xml:space="preserve">1.139.928 </w:t>
            </w:r>
          </w:p>
        </w:tc>
      </w:tr>
      <w:tr w:rsidR="00517628" w:rsidRPr="004E24B5" w14:paraId="66AF116B" w14:textId="77777777" w:rsidTr="00517628">
        <w:trPr>
          <w:trHeight w:val="203"/>
        </w:trPr>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60D8E5F6" w14:textId="77777777" w:rsidR="00517628" w:rsidRPr="004E24B5" w:rsidRDefault="00517628" w:rsidP="00517628">
            <w:pPr>
              <w:rPr>
                <w:rFonts w:ascii="Arial" w:hAnsi="Arial" w:cs="Arial"/>
                <w:color w:val="000000"/>
                <w:sz w:val="18"/>
                <w:szCs w:val="18"/>
                <w:lang w:eastAsia="es-AR"/>
              </w:rPr>
            </w:pPr>
            <w:r w:rsidRPr="004E24B5">
              <w:rPr>
                <w:rFonts w:ascii="Arial" w:hAnsi="Arial" w:cs="Arial"/>
                <w:color w:val="000000"/>
                <w:sz w:val="18"/>
                <w:szCs w:val="18"/>
                <w:lang w:eastAsia="es-AR"/>
              </w:rPr>
              <w:t>Euro</w:t>
            </w:r>
          </w:p>
        </w:tc>
        <w:tc>
          <w:tcPr>
            <w:tcW w:w="1151" w:type="dxa"/>
            <w:tcBorders>
              <w:top w:val="nil"/>
              <w:left w:val="nil"/>
              <w:bottom w:val="single" w:sz="4" w:space="0" w:color="auto"/>
              <w:right w:val="single" w:sz="4" w:space="0" w:color="auto"/>
            </w:tcBorders>
            <w:shd w:val="clear" w:color="auto" w:fill="auto"/>
            <w:noWrap/>
          </w:tcPr>
          <w:p w14:paraId="7BFAFC6F" w14:textId="408F2CE4" w:rsidR="00517628" w:rsidRPr="004E24B5" w:rsidRDefault="00517628" w:rsidP="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593.090 </w:t>
            </w:r>
          </w:p>
        </w:tc>
        <w:tc>
          <w:tcPr>
            <w:tcW w:w="1151" w:type="dxa"/>
            <w:tcBorders>
              <w:top w:val="nil"/>
              <w:left w:val="nil"/>
              <w:bottom w:val="single" w:sz="4" w:space="0" w:color="auto"/>
              <w:right w:val="single" w:sz="4" w:space="0" w:color="auto"/>
            </w:tcBorders>
            <w:shd w:val="clear" w:color="auto" w:fill="auto"/>
            <w:noWrap/>
          </w:tcPr>
          <w:p w14:paraId="66B32801" w14:textId="4FB9FF18" w:rsidR="00517628" w:rsidRPr="004E24B5" w:rsidRDefault="00517628" w:rsidP="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575.147 </w:t>
            </w:r>
          </w:p>
        </w:tc>
        <w:tc>
          <w:tcPr>
            <w:tcW w:w="1011" w:type="dxa"/>
            <w:tcBorders>
              <w:top w:val="nil"/>
              <w:left w:val="nil"/>
              <w:bottom w:val="single" w:sz="4" w:space="0" w:color="auto"/>
              <w:right w:val="single" w:sz="4" w:space="0" w:color="auto"/>
            </w:tcBorders>
            <w:shd w:val="clear" w:color="auto" w:fill="auto"/>
            <w:noWrap/>
          </w:tcPr>
          <w:p w14:paraId="0212ADF8" w14:textId="2D7C1483" w:rsidR="00517628" w:rsidRPr="004E24B5" w:rsidRDefault="00517628" w:rsidP="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 </w:t>
            </w:r>
          </w:p>
        </w:tc>
        <w:tc>
          <w:tcPr>
            <w:tcW w:w="892" w:type="dxa"/>
            <w:tcBorders>
              <w:top w:val="nil"/>
              <w:left w:val="nil"/>
              <w:bottom w:val="single" w:sz="4" w:space="0" w:color="auto"/>
              <w:right w:val="single" w:sz="4" w:space="0" w:color="auto"/>
            </w:tcBorders>
            <w:shd w:val="clear" w:color="auto" w:fill="auto"/>
            <w:noWrap/>
          </w:tcPr>
          <w:p w14:paraId="21A8C362" w14:textId="0C2BA26F" w:rsidR="00517628" w:rsidRPr="004E24B5" w:rsidRDefault="00517628" w:rsidP="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17.943 </w:t>
            </w:r>
          </w:p>
        </w:tc>
        <w:tc>
          <w:tcPr>
            <w:tcW w:w="1151" w:type="dxa"/>
            <w:tcBorders>
              <w:top w:val="nil"/>
              <w:left w:val="nil"/>
              <w:bottom w:val="single" w:sz="4" w:space="0" w:color="auto"/>
              <w:right w:val="single" w:sz="4" w:space="0" w:color="auto"/>
            </w:tcBorders>
            <w:shd w:val="clear" w:color="auto" w:fill="auto"/>
            <w:noWrap/>
            <w:vAlign w:val="bottom"/>
            <w:hideMark/>
          </w:tcPr>
          <w:p w14:paraId="625C5A99" w14:textId="7831D08F" w:rsidR="00517628" w:rsidRPr="004E24B5" w:rsidRDefault="00517628" w:rsidP="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 xml:space="preserve">463.781 </w:t>
            </w:r>
          </w:p>
        </w:tc>
        <w:tc>
          <w:tcPr>
            <w:tcW w:w="1151" w:type="dxa"/>
            <w:tcBorders>
              <w:top w:val="nil"/>
              <w:left w:val="nil"/>
              <w:bottom w:val="single" w:sz="4" w:space="0" w:color="auto"/>
              <w:right w:val="single" w:sz="4" w:space="0" w:color="auto"/>
            </w:tcBorders>
            <w:shd w:val="clear" w:color="auto" w:fill="auto"/>
            <w:noWrap/>
            <w:vAlign w:val="bottom"/>
            <w:hideMark/>
          </w:tcPr>
          <w:p w14:paraId="0C0C81D1" w14:textId="672DA027" w:rsidR="00517628" w:rsidRPr="004E24B5" w:rsidRDefault="00517628" w:rsidP="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 xml:space="preserve">474.602 </w:t>
            </w:r>
          </w:p>
        </w:tc>
        <w:tc>
          <w:tcPr>
            <w:tcW w:w="1011" w:type="dxa"/>
            <w:tcBorders>
              <w:top w:val="nil"/>
              <w:left w:val="nil"/>
              <w:bottom w:val="single" w:sz="4" w:space="0" w:color="auto"/>
              <w:right w:val="single" w:sz="4" w:space="0" w:color="auto"/>
            </w:tcBorders>
            <w:shd w:val="clear" w:color="auto" w:fill="auto"/>
            <w:noWrap/>
            <w:vAlign w:val="bottom"/>
            <w:hideMark/>
          </w:tcPr>
          <w:p w14:paraId="56DCE76C" w14:textId="4DB154CC" w:rsidR="00517628" w:rsidRPr="004E24B5" w:rsidRDefault="00517628" w:rsidP="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 xml:space="preserve">- </w:t>
            </w:r>
          </w:p>
        </w:tc>
        <w:tc>
          <w:tcPr>
            <w:tcW w:w="941" w:type="dxa"/>
            <w:tcBorders>
              <w:top w:val="nil"/>
              <w:left w:val="nil"/>
              <w:bottom w:val="single" w:sz="4" w:space="0" w:color="auto"/>
              <w:right w:val="single" w:sz="4" w:space="0" w:color="auto"/>
            </w:tcBorders>
            <w:shd w:val="clear" w:color="auto" w:fill="auto"/>
            <w:noWrap/>
            <w:vAlign w:val="bottom"/>
            <w:hideMark/>
          </w:tcPr>
          <w:p w14:paraId="73A6F26C" w14:textId="03D2E68C" w:rsidR="00517628" w:rsidRPr="004E24B5" w:rsidRDefault="00517628" w:rsidP="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(10.821)</w:t>
            </w:r>
          </w:p>
        </w:tc>
      </w:tr>
      <w:tr w:rsidR="00517628" w:rsidRPr="004E24B5" w14:paraId="6C82E08F" w14:textId="77777777" w:rsidTr="00517628">
        <w:trPr>
          <w:trHeight w:val="203"/>
        </w:trPr>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653C1D32" w14:textId="77777777" w:rsidR="00517628" w:rsidRPr="004E24B5" w:rsidRDefault="00517628" w:rsidP="00517628">
            <w:pPr>
              <w:rPr>
                <w:rFonts w:ascii="Arial" w:hAnsi="Arial" w:cs="Arial"/>
                <w:color w:val="000000"/>
                <w:sz w:val="18"/>
                <w:szCs w:val="18"/>
                <w:lang w:eastAsia="es-AR"/>
              </w:rPr>
            </w:pPr>
            <w:r w:rsidRPr="004E24B5">
              <w:rPr>
                <w:rFonts w:ascii="Arial" w:hAnsi="Arial" w:cs="Arial"/>
                <w:color w:val="000000"/>
                <w:sz w:val="18"/>
                <w:szCs w:val="18"/>
                <w:lang w:eastAsia="es-AR"/>
              </w:rPr>
              <w:t xml:space="preserve">Otras </w:t>
            </w:r>
          </w:p>
        </w:tc>
        <w:tc>
          <w:tcPr>
            <w:tcW w:w="1151" w:type="dxa"/>
            <w:tcBorders>
              <w:top w:val="nil"/>
              <w:left w:val="nil"/>
              <w:bottom w:val="single" w:sz="4" w:space="0" w:color="auto"/>
              <w:right w:val="single" w:sz="4" w:space="0" w:color="auto"/>
            </w:tcBorders>
            <w:shd w:val="clear" w:color="auto" w:fill="auto"/>
            <w:noWrap/>
          </w:tcPr>
          <w:p w14:paraId="4E38F383" w14:textId="010342B0" w:rsidR="00517628" w:rsidRPr="004E24B5" w:rsidRDefault="00517628" w:rsidP="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146.439 </w:t>
            </w:r>
          </w:p>
        </w:tc>
        <w:tc>
          <w:tcPr>
            <w:tcW w:w="1151" w:type="dxa"/>
            <w:tcBorders>
              <w:top w:val="nil"/>
              <w:left w:val="nil"/>
              <w:bottom w:val="single" w:sz="4" w:space="0" w:color="auto"/>
              <w:right w:val="single" w:sz="4" w:space="0" w:color="auto"/>
            </w:tcBorders>
            <w:shd w:val="clear" w:color="auto" w:fill="auto"/>
            <w:noWrap/>
          </w:tcPr>
          <w:p w14:paraId="79E2B517" w14:textId="7521FC8D" w:rsidR="00517628" w:rsidRPr="004E24B5" w:rsidRDefault="00517628" w:rsidP="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3.693 </w:t>
            </w:r>
          </w:p>
        </w:tc>
        <w:tc>
          <w:tcPr>
            <w:tcW w:w="1011" w:type="dxa"/>
            <w:tcBorders>
              <w:top w:val="nil"/>
              <w:left w:val="nil"/>
              <w:bottom w:val="single" w:sz="4" w:space="0" w:color="auto"/>
              <w:right w:val="single" w:sz="4" w:space="0" w:color="auto"/>
            </w:tcBorders>
            <w:shd w:val="clear" w:color="auto" w:fill="auto"/>
            <w:noWrap/>
          </w:tcPr>
          <w:p w14:paraId="094A1EA8" w14:textId="33E2AA48" w:rsidR="00517628" w:rsidRPr="004E24B5" w:rsidRDefault="00517628" w:rsidP="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 </w:t>
            </w:r>
          </w:p>
        </w:tc>
        <w:tc>
          <w:tcPr>
            <w:tcW w:w="892" w:type="dxa"/>
            <w:tcBorders>
              <w:top w:val="nil"/>
              <w:left w:val="nil"/>
              <w:bottom w:val="single" w:sz="4" w:space="0" w:color="auto"/>
              <w:right w:val="single" w:sz="4" w:space="0" w:color="auto"/>
            </w:tcBorders>
            <w:shd w:val="clear" w:color="auto" w:fill="auto"/>
            <w:noWrap/>
          </w:tcPr>
          <w:p w14:paraId="7B86CAB3" w14:textId="19AB5151" w:rsidR="00517628" w:rsidRPr="004E24B5" w:rsidRDefault="00517628" w:rsidP="00517628">
            <w:pPr>
              <w:jc w:val="right"/>
              <w:rPr>
                <w:rFonts w:ascii="Arial" w:hAnsi="Arial" w:cs="Arial"/>
                <w:color w:val="000000"/>
                <w:sz w:val="18"/>
                <w:szCs w:val="18"/>
                <w:lang w:eastAsia="es-AR"/>
              </w:rPr>
            </w:pPr>
            <w:r w:rsidRPr="00517628">
              <w:rPr>
                <w:rFonts w:ascii="Arial" w:hAnsi="Arial" w:cs="Arial"/>
                <w:color w:val="000000"/>
                <w:sz w:val="18"/>
                <w:szCs w:val="18"/>
                <w:lang w:eastAsia="es-AR"/>
              </w:rPr>
              <w:t xml:space="preserve">142.746 </w:t>
            </w:r>
          </w:p>
        </w:tc>
        <w:tc>
          <w:tcPr>
            <w:tcW w:w="1151" w:type="dxa"/>
            <w:tcBorders>
              <w:top w:val="nil"/>
              <w:left w:val="nil"/>
              <w:bottom w:val="single" w:sz="4" w:space="0" w:color="auto"/>
              <w:right w:val="single" w:sz="4" w:space="0" w:color="auto"/>
            </w:tcBorders>
            <w:shd w:val="clear" w:color="auto" w:fill="auto"/>
            <w:noWrap/>
            <w:vAlign w:val="bottom"/>
            <w:hideMark/>
          </w:tcPr>
          <w:p w14:paraId="7D1B33A7" w14:textId="44972087" w:rsidR="00517628" w:rsidRPr="004E24B5" w:rsidRDefault="00517628" w:rsidP="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 xml:space="preserve">114.521 </w:t>
            </w:r>
          </w:p>
        </w:tc>
        <w:tc>
          <w:tcPr>
            <w:tcW w:w="1151" w:type="dxa"/>
            <w:tcBorders>
              <w:top w:val="nil"/>
              <w:left w:val="nil"/>
              <w:bottom w:val="single" w:sz="4" w:space="0" w:color="auto"/>
              <w:right w:val="single" w:sz="4" w:space="0" w:color="auto"/>
            </w:tcBorders>
            <w:shd w:val="clear" w:color="auto" w:fill="auto"/>
            <w:noWrap/>
            <w:vAlign w:val="bottom"/>
            <w:hideMark/>
          </w:tcPr>
          <w:p w14:paraId="17998CF9" w14:textId="2A8789E4" w:rsidR="00517628" w:rsidRPr="004E24B5" w:rsidRDefault="00517628" w:rsidP="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 xml:space="preserve">3.338 </w:t>
            </w:r>
          </w:p>
        </w:tc>
        <w:tc>
          <w:tcPr>
            <w:tcW w:w="1011" w:type="dxa"/>
            <w:tcBorders>
              <w:top w:val="nil"/>
              <w:left w:val="nil"/>
              <w:bottom w:val="single" w:sz="4" w:space="0" w:color="auto"/>
              <w:right w:val="single" w:sz="4" w:space="0" w:color="auto"/>
            </w:tcBorders>
            <w:shd w:val="clear" w:color="auto" w:fill="auto"/>
            <w:noWrap/>
            <w:vAlign w:val="bottom"/>
            <w:hideMark/>
          </w:tcPr>
          <w:p w14:paraId="78C1F74F" w14:textId="1DB3A137" w:rsidR="00517628" w:rsidRPr="004E24B5" w:rsidRDefault="00517628" w:rsidP="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 xml:space="preserve">- </w:t>
            </w:r>
          </w:p>
        </w:tc>
        <w:tc>
          <w:tcPr>
            <w:tcW w:w="941" w:type="dxa"/>
            <w:tcBorders>
              <w:top w:val="nil"/>
              <w:left w:val="nil"/>
              <w:bottom w:val="single" w:sz="4" w:space="0" w:color="auto"/>
              <w:right w:val="single" w:sz="4" w:space="0" w:color="auto"/>
            </w:tcBorders>
            <w:shd w:val="clear" w:color="auto" w:fill="auto"/>
            <w:noWrap/>
            <w:vAlign w:val="bottom"/>
            <w:hideMark/>
          </w:tcPr>
          <w:p w14:paraId="44397D25" w14:textId="1DAE016F" w:rsidR="00517628" w:rsidRPr="004E24B5" w:rsidRDefault="00517628" w:rsidP="00517628">
            <w:pPr>
              <w:jc w:val="right"/>
              <w:rPr>
                <w:rFonts w:ascii="Arial" w:hAnsi="Arial" w:cs="Arial"/>
                <w:color w:val="000000"/>
                <w:sz w:val="18"/>
                <w:szCs w:val="18"/>
                <w:lang w:eastAsia="es-AR"/>
              </w:rPr>
            </w:pPr>
            <w:r w:rsidRPr="004E24B5">
              <w:rPr>
                <w:rFonts w:ascii="Arial" w:hAnsi="Arial" w:cs="Arial"/>
                <w:color w:val="000000"/>
                <w:sz w:val="18"/>
                <w:szCs w:val="18"/>
                <w:lang w:eastAsia="es-AR"/>
              </w:rPr>
              <w:t xml:space="preserve">111.183 </w:t>
            </w:r>
          </w:p>
        </w:tc>
      </w:tr>
      <w:tr w:rsidR="00517628" w:rsidRPr="004E24B5" w14:paraId="41DBD639" w14:textId="77777777" w:rsidTr="00517628">
        <w:trPr>
          <w:trHeight w:val="203"/>
        </w:trPr>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73EDD245" w14:textId="77777777" w:rsidR="00517628" w:rsidRPr="004E24B5" w:rsidRDefault="00517628" w:rsidP="00517628">
            <w:pPr>
              <w:rPr>
                <w:rFonts w:ascii="Arial" w:hAnsi="Arial" w:cs="Arial"/>
                <w:b/>
                <w:bCs/>
                <w:color w:val="000000"/>
                <w:sz w:val="18"/>
                <w:szCs w:val="18"/>
                <w:lang w:eastAsia="es-AR"/>
              </w:rPr>
            </w:pPr>
            <w:r w:rsidRPr="004E24B5">
              <w:rPr>
                <w:rFonts w:ascii="Arial" w:hAnsi="Arial" w:cs="Arial"/>
                <w:b/>
                <w:bCs/>
                <w:color w:val="000000"/>
                <w:sz w:val="18"/>
                <w:szCs w:val="18"/>
                <w:lang w:eastAsia="es-AR"/>
              </w:rPr>
              <w:t>Total</w:t>
            </w:r>
          </w:p>
        </w:tc>
        <w:tc>
          <w:tcPr>
            <w:tcW w:w="1151" w:type="dxa"/>
            <w:tcBorders>
              <w:top w:val="nil"/>
              <w:left w:val="nil"/>
              <w:bottom w:val="single" w:sz="4" w:space="0" w:color="auto"/>
              <w:right w:val="single" w:sz="4" w:space="0" w:color="auto"/>
            </w:tcBorders>
            <w:shd w:val="clear" w:color="auto" w:fill="auto"/>
            <w:noWrap/>
          </w:tcPr>
          <w:p w14:paraId="05A898E1" w14:textId="5C5B5D00" w:rsidR="00517628" w:rsidRPr="00517628" w:rsidRDefault="00517628" w:rsidP="00517628">
            <w:pPr>
              <w:jc w:val="right"/>
              <w:rPr>
                <w:rFonts w:ascii="Arial" w:hAnsi="Arial" w:cs="Arial"/>
                <w:b/>
                <w:color w:val="000000"/>
                <w:sz w:val="18"/>
                <w:szCs w:val="18"/>
                <w:lang w:eastAsia="es-AR"/>
              </w:rPr>
            </w:pPr>
            <w:r w:rsidRPr="00517628">
              <w:rPr>
                <w:rFonts w:ascii="Arial" w:hAnsi="Arial" w:cs="Arial"/>
                <w:b/>
                <w:color w:val="000000"/>
                <w:sz w:val="18"/>
                <w:szCs w:val="18"/>
                <w:lang w:eastAsia="es-AR"/>
              </w:rPr>
              <w:t xml:space="preserve">37.699.725 </w:t>
            </w:r>
          </w:p>
        </w:tc>
        <w:tc>
          <w:tcPr>
            <w:tcW w:w="1151" w:type="dxa"/>
            <w:tcBorders>
              <w:top w:val="nil"/>
              <w:left w:val="nil"/>
              <w:bottom w:val="single" w:sz="4" w:space="0" w:color="auto"/>
              <w:right w:val="single" w:sz="4" w:space="0" w:color="auto"/>
            </w:tcBorders>
            <w:shd w:val="clear" w:color="auto" w:fill="auto"/>
            <w:noWrap/>
          </w:tcPr>
          <w:p w14:paraId="2FFDB44D" w14:textId="380BBB44" w:rsidR="00517628" w:rsidRPr="00517628" w:rsidRDefault="00517628" w:rsidP="00517628">
            <w:pPr>
              <w:jc w:val="right"/>
              <w:rPr>
                <w:rFonts w:ascii="Arial" w:hAnsi="Arial" w:cs="Arial"/>
                <w:b/>
                <w:color w:val="000000"/>
                <w:sz w:val="18"/>
                <w:szCs w:val="18"/>
                <w:lang w:eastAsia="es-AR"/>
              </w:rPr>
            </w:pPr>
            <w:r w:rsidRPr="00517628">
              <w:rPr>
                <w:rFonts w:ascii="Arial" w:hAnsi="Arial" w:cs="Arial"/>
                <w:b/>
                <w:color w:val="000000"/>
                <w:sz w:val="18"/>
                <w:szCs w:val="18"/>
                <w:lang w:eastAsia="es-AR"/>
              </w:rPr>
              <w:t xml:space="preserve">37.046.625 </w:t>
            </w:r>
          </w:p>
        </w:tc>
        <w:tc>
          <w:tcPr>
            <w:tcW w:w="1011" w:type="dxa"/>
            <w:tcBorders>
              <w:top w:val="nil"/>
              <w:left w:val="nil"/>
              <w:bottom w:val="single" w:sz="4" w:space="0" w:color="auto"/>
              <w:right w:val="single" w:sz="4" w:space="0" w:color="auto"/>
            </w:tcBorders>
            <w:shd w:val="clear" w:color="auto" w:fill="auto"/>
            <w:noWrap/>
          </w:tcPr>
          <w:p w14:paraId="32FAA92B" w14:textId="351BF99E" w:rsidR="00517628" w:rsidRPr="00517628" w:rsidRDefault="00517628" w:rsidP="00517628">
            <w:pPr>
              <w:jc w:val="right"/>
              <w:rPr>
                <w:rFonts w:ascii="Arial" w:hAnsi="Arial" w:cs="Arial"/>
                <w:b/>
                <w:color w:val="000000"/>
                <w:sz w:val="18"/>
                <w:szCs w:val="18"/>
                <w:lang w:eastAsia="es-AR"/>
              </w:rPr>
            </w:pPr>
            <w:r w:rsidRPr="00517628">
              <w:rPr>
                <w:rFonts w:ascii="Arial" w:hAnsi="Arial" w:cs="Arial"/>
                <w:b/>
                <w:color w:val="000000"/>
                <w:sz w:val="18"/>
                <w:szCs w:val="18"/>
                <w:lang w:eastAsia="es-AR"/>
              </w:rPr>
              <w:t xml:space="preserve">- </w:t>
            </w:r>
          </w:p>
        </w:tc>
        <w:tc>
          <w:tcPr>
            <w:tcW w:w="892" w:type="dxa"/>
            <w:tcBorders>
              <w:top w:val="nil"/>
              <w:left w:val="nil"/>
              <w:bottom w:val="single" w:sz="4" w:space="0" w:color="auto"/>
              <w:right w:val="single" w:sz="4" w:space="0" w:color="auto"/>
            </w:tcBorders>
            <w:shd w:val="clear" w:color="auto" w:fill="auto"/>
            <w:noWrap/>
          </w:tcPr>
          <w:p w14:paraId="55389D21" w14:textId="0D43FB0B" w:rsidR="00517628" w:rsidRPr="00517628" w:rsidRDefault="00517628" w:rsidP="00517628">
            <w:pPr>
              <w:jc w:val="right"/>
              <w:rPr>
                <w:rFonts w:ascii="Arial" w:hAnsi="Arial" w:cs="Arial"/>
                <w:b/>
                <w:color w:val="000000"/>
                <w:sz w:val="18"/>
                <w:szCs w:val="18"/>
                <w:lang w:eastAsia="es-AR"/>
              </w:rPr>
            </w:pPr>
            <w:r w:rsidRPr="00517628">
              <w:rPr>
                <w:rFonts w:ascii="Arial" w:hAnsi="Arial" w:cs="Arial"/>
                <w:b/>
                <w:color w:val="000000"/>
                <w:sz w:val="18"/>
                <w:szCs w:val="18"/>
                <w:lang w:eastAsia="es-AR"/>
              </w:rPr>
              <w:t xml:space="preserve">653.100 </w:t>
            </w:r>
          </w:p>
        </w:tc>
        <w:tc>
          <w:tcPr>
            <w:tcW w:w="1151" w:type="dxa"/>
            <w:tcBorders>
              <w:top w:val="nil"/>
              <w:left w:val="nil"/>
              <w:bottom w:val="single" w:sz="4" w:space="0" w:color="auto"/>
              <w:right w:val="single" w:sz="4" w:space="0" w:color="auto"/>
            </w:tcBorders>
            <w:shd w:val="clear" w:color="auto" w:fill="auto"/>
            <w:noWrap/>
            <w:vAlign w:val="bottom"/>
            <w:hideMark/>
          </w:tcPr>
          <w:p w14:paraId="77F0D1E7" w14:textId="57118300" w:rsidR="00517628" w:rsidRPr="004E24B5" w:rsidRDefault="00517628" w:rsidP="00517628">
            <w:pPr>
              <w:jc w:val="right"/>
              <w:rPr>
                <w:rFonts w:ascii="Arial" w:hAnsi="Arial" w:cs="Arial"/>
                <w:b/>
                <w:bCs/>
                <w:color w:val="000000"/>
                <w:sz w:val="18"/>
                <w:szCs w:val="18"/>
                <w:lang w:eastAsia="es-AR"/>
              </w:rPr>
            </w:pPr>
            <w:r w:rsidRPr="004E24B5">
              <w:rPr>
                <w:rFonts w:ascii="Arial" w:hAnsi="Arial" w:cs="Arial"/>
                <w:b/>
                <w:bCs/>
                <w:color w:val="000000"/>
                <w:sz w:val="18"/>
                <w:szCs w:val="18"/>
                <w:lang w:eastAsia="es-AR"/>
              </w:rPr>
              <w:t xml:space="preserve">42.032.143 </w:t>
            </w:r>
          </w:p>
        </w:tc>
        <w:tc>
          <w:tcPr>
            <w:tcW w:w="1151" w:type="dxa"/>
            <w:tcBorders>
              <w:top w:val="nil"/>
              <w:left w:val="nil"/>
              <w:bottom w:val="single" w:sz="4" w:space="0" w:color="auto"/>
              <w:right w:val="single" w:sz="4" w:space="0" w:color="auto"/>
            </w:tcBorders>
            <w:shd w:val="clear" w:color="auto" w:fill="auto"/>
            <w:noWrap/>
            <w:vAlign w:val="bottom"/>
            <w:hideMark/>
          </w:tcPr>
          <w:p w14:paraId="6CB17FBB" w14:textId="5F7BEEA7" w:rsidR="00517628" w:rsidRPr="004E24B5" w:rsidRDefault="00517628" w:rsidP="00517628">
            <w:pPr>
              <w:jc w:val="right"/>
              <w:rPr>
                <w:rFonts w:ascii="Arial" w:hAnsi="Arial" w:cs="Arial"/>
                <w:b/>
                <w:bCs/>
                <w:color w:val="000000"/>
                <w:sz w:val="18"/>
                <w:szCs w:val="18"/>
                <w:lang w:eastAsia="es-AR"/>
              </w:rPr>
            </w:pPr>
            <w:r w:rsidRPr="004E24B5">
              <w:rPr>
                <w:rFonts w:ascii="Arial" w:hAnsi="Arial" w:cs="Arial"/>
                <w:b/>
                <w:bCs/>
                <w:color w:val="000000"/>
                <w:sz w:val="18"/>
                <w:szCs w:val="18"/>
                <w:lang w:eastAsia="es-AR"/>
              </w:rPr>
              <w:t xml:space="preserve">40.805.258 </w:t>
            </w:r>
          </w:p>
        </w:tc>
        <w:tc>
          <w:tcPr>
            <w:tcW w:w="1011" w:type="dxa"/>
            <w:tcBorders>
              <w:top w:val="nil"/>
              <w:left w:val="nil"/>
              <w:bottom w:val="single" w:sz="4" w:space="0" w:color="auto"/>
              <w:right w:val="single" w:sz="4" w:space="0" w:color="auto"/>
            </w:tcBorders>
            <w:shd w:val="clear" w:color="auto" w:fill="auto"/>
            <w:noWrap/>
            <w:vAlign w:val="bottom"/>
            <w:hideMark/>
          </w:tcPr>
          <w:p w14:paraId="707E09AA" w14:textId="2476593D" w:rsidR="00517628" w:rsidRPr="004E24B5" w:rsidRDefault="00517628" w:rsidP="00517628">
            <w:pPr>
              <w:jc w:val="right"/>
              <w:rPr>
                <w:rFonts w:ascii="Arial" w:hAnsi="Arial" w:cs="Arial"/>
                <w:b/>
                <w:bCs/>
                <w:color w:val="000000"/>
                <w:sz w:val="18"/>
                <w:szCs w:val="18"/>
                <w:lang w:eastAsia="es-AR"/>
              </w:rPr>
            </w:pPr>
            <w:r w:rsidRPr="004E24B5">
              <w:rPr>
                <w:rFonts w:ascii="Arial" w:hAnsi="Arial" w:cs="Arial"/>
                <w:b/>
                <w:bCs/>
                <w:color w:val="000000"/>
                <w:sz w:val="18"/>
                <w:szCs w:val="18"/>
                <w:lang w:eastAsia="es-AR"/>
              </w:rPr>
              <w:t xml:space="preserve">13.405 </w:t>
            </w:r>
          </w:p>
        </w:tc>
        <w:tc>
          <w:tcPr>
            <w:tcW w:w="941" w:type="dxa"/>
            <w:tcBorders>
              <w:top w:val="nil"/>
              <w:left w:val="nil"/>
              <w:bottom w:val="single" w:sz="4" w:space="0" w:color="auto"/>
              <w:right w:val="single" w:sz="4" w:space="0" w:color="auto"/>
            </w:tcBorders>
            <w:shd w:val="clear" w:color="auto" w:fill="auto"/>
            <w:noWrap/>
            <w:vAlign w:val="bottom"/>
            <w:hideMark/>
          </w:tcPr>
          <w:p w14:paraId="2E45ABC8" w14:textId="1BDDCA01" w:rsidR="00517628" w:rsidRPr="004E24B5" w:rsidRDefault="00517628" w:rsidP="00517628">
            <w:pPr>
              <w:jc w:val="right"/>
              <w:rPr>
                <w:rFonts w:ascii="Arial" w:hAnsi="Arial" w:cs="Arial"/>
                <w:b/>
                <w:bCs/>
                <w:color w:val="000000"/>
                <w:sz w:val="18"/>
                <w:szCs w:val="18"/>
                <w:lang w:eastAsia="es-AR"/>
              </w:rPr>
            </w:pPr>
            <w:r w:rsidRPr="004E24B5">
              <w:rPr>
                <w:rFonts w:ascii="Arial" w:hAnsi="Arial" w:cs="Arial"/>
                <w:b/>
                <w:bCs/>
                <w:color w:val="000000"/>
                <w:sz w:val="18"/>
                <w:szCs w:val="18"/>
                <w:lang w:eastAsia="es-AR"/>
              </w:rPr>
              <w:t xml:space="preserve">1.240.290 </w:t>
            </w:r>
          </w:p>
        </w:tc>
      </w:tr>
    </w:tbl>
    <w:p w14:paraId="29B615E3" w14:textId="77777777" w:rsidR="002A4D61" w:rsidRDefault="002A4D61" w:rsidP="002A4D61">
      <w:pPr>
        <w:pStyle w:val="PrimerNivel"/>
        <w:numPr>
          <w:ilvl w:val="0"/>
          <w:numId w:val="0"/>
        </w:numPr>
        <w:rPr>
          <w:rFonts w:asciiTheme="majorHAnsi" w:hAnsiTheme="majorHAnsi"/>
          <w:sz w:val="20"/>
          <w:szCs w:val="20"/>
          <w:lang w:val="es-AR"/>
        </w:rPr>
      </w:pPr>
    </w:p>
    <w:p w14:paraId="5A8E86C1" w14:textId="78CD377E" w:rsidR="00EE283D" w:rsidRPr="00834AC7" w:rsidRDefault="00EE283D" w:rsidP="00EE283D">
      <w:pPr>
        <w:pStyle w:val="PrimerNivel"/>
        <w:numPr>
          <w:ilvl w:val="0"/>
          <w:numId w:val="0"/>
        </w:numPr>
        <w:rPr>
          <w:rFonts w:ascii="Arial" w:hAnsi="Arial" w:cs="Arial"/>
          <w:sz w:val="20"/>
          <w:szCs w:val="20"/>
          <w:lang w:val="es-AR"/>
        </w:rPr>
      </w:pPr>
      <w:r w:rsidRPr="00834AC7">
        <w:rPr>
          <w:rFonts w:ascii="Arial" w:hAnsi="Arial" w:cs="Arial"/>
          <w:sz w:val="20"/>
          <w:szCs w:val="20"/>
          <w:lang w:val="es-AR"/>
        </w:rPr>
        <w:t xml:space="preserve">Los activos y pasivos financieros son presentados netos de derivados, exponiéndose </w:t>
      </w:r>
      <w:r>
        <w:rPr>
          <w:rFonts w:ascii="Arial" w:hAnsi="Arial" w:cs="Arial"/>
          <w:sz w:val="20"/>
          <w:szCs w:val="20"/>
          <w:lang w:val="es-AR"/>
        </w:rPr>
        <w:t>é</w:t>
      </w:r>
      <w:r w:rsidRPr="00834AC7">
        <w:rPr>
          <w:rFonts w:ascii="Arial" w:hAnsi="Arial" w:cs="Arial"/>
          <w:sz w:val="20"/>
          <w:szCs w:val="20"/>
          <w:lang w:val="es-AR"/>
        </w:rPr>
        <w:t>stos en forma separada.</w:t>
      </w:r>
      <w:r>
        <w:rPr>
          <w:rFonts w:ascii="Arial" w:hAnsi="Arial" w:cs="Arial"/>
          <w:sz w:val="20"/>
          <w:szCs w:val="20"/>
          <w:lang w:val="es-AR"/>
        </w:rPr>
        <w:t xml:space="preserve"> </w:t>
      </w:r>
      <w:r w:rsidRPr="00834AC7">
        <w:rPr>
          <w:rFonts w:ascii="Arial" w:hAnsi="Arial" w:cs="Arial"/>
          <w:sz w:val="20"/>
          <w:szCs w:val="20"/>
          <w:lang w:val="es-AR"/>
        </w:rPr>
        <w:t>Los saldos de derivados son expuestos por su Valor Razonable al cierre del ejercicio de la respectiva moneda.</w:t>
      </w:r>
    </w:p>
    <w:p w14:paraId="28D48F01" w14:textId="77777777" w:rsidR="00EE283D" w:rsidRPr="00834AC7" w:rsidRDefault="00EE283D" w:rsidP="00EE283D">
      <w:pPr>
        <w:pStyle w:val="PrimerNivel"/>
        <w:numPr>
          <w:ilvl w:val="0"/>
          <w:numId w:val="0"/>
        </w:numPr>
        <w:rPr>
          <w:rFonts w:ascii="Arial" w:hAnsi="Arial" w:cs="Arial"/>
          <w:sz w:val="20"/>
          <w:szCs w:val="20"/>
          <w:lang w:val="es-AR"/>
        </w:rPr>
      </w:pPr>
    </w:p>
    <w:p w14:paraId="7D7EDA9F" w14:textId="77777777" w:rsidR="00EE283D" w:rsidRPr="00834AC7" w:rsidRDefault="00EE283D" w:rsidP="00EE283D">
      <w:pPr>
        <w:pStyle w:val="PrimerNivel"/>
        <w:numPr>
          <w:ilvl w:val="0"/>
          <w:numId w:val="0"/>
        </w:numPr>
        <w:rPr>
          <w:rFonts w:ascii="Arial" w:hAnsi="Arial" w:cs="Arial"/>
          <w:sz w:val="20"/>
          <w:szCs w:val="20"/>
          <w:lang w:val="es-AR"/>
        </w:rPr>
      </w:pPr>
      <w:r w:rsidRPr="00834AC7">
        <w:rPr>
          <w:rFonts w:ascii="Arial" w:hAnsi="Arial" w:cs="Arial"/>
          <w:sz w:val="20"/>
          <w:szCs w:val="20"/>
          <w:lang w:val="es-AR"/>
        </w:rPr>
        <w:t>El cuadro expuesto anteriormente incluye solamente Activos y Pasivos Monetarios, dado que las inversiones en instrumento de patrimonio y los instrumentos no monetarios no genera</w:t>
      </w:r>
      <w:r>
        <w:rPr>
          <w:rFonts w:ascii="Arial" w:hAnsi="Arial" w:cs="Arial"/>
          <w:sz w:val="20"/>
          <w:szCs w:val="20"/>
          <w:lang w:val="es-AR"/>
        </w:rPr>
        <w:t>n</w:t>
      </w:r>
      <w:r w:rsidRPr="00834AC7">
        <w:rPr>
          <w:rFonts w:ascii="Arial" w:hAnsi="Arial" w:cs="Arial"/>
          <w:sz w:val="20"/>
          <w:szCs w:val="20"/>
          <w:lang w:val="es-AR"/>
        </w:rPr>
        <w:t xml:space="preserve"> exposición por riesgo de mercado.</w:t>
      </w:r>
    </w:p>
    <w:p w14:paraId="06960DFC" w14:textId="77777777" w:rsidR="00EE283D" w:rsidRPr="00834AC7" w:rsidRDefault="00EE283D" w:rsidP="00EE283D">
      <w:pPr>
        <w:pStyle w:val="PrimerNivel"/>
        <w:numPr>
          <w:ilvl w:val="0"/>
          <w:numId w:val="0"/>
        </w:numPr>
        <w:rPr>
          <w:rFonts w:ascii="Arial" w:hAnsi="Arial" w:cs="Arial"/>
          <w:sz w:val="20"/>
          <w:szCs w:val="20"/>
          <w:lang w:val="es-AR"/>
        </w:rPr>
      </w:pPr>
    </w:p>
    <w:p w14:paraId="45A338B7" w14:textId="77777777" w:rsidR="00EE283D" w:rsidRDefault="00EE283D" w:rsidP="00EE283D">
      <w:pPr>
        <w:tabs>
          <w:tab w:val="left" w:pos="142"/>
        </w:tabs>
        <w:spacing w:after="200"/>
        <w:jc w:val="both"/>
        <w:rPr>
          <w:rFonts w:ascii="Arial" w:hAnsi="Arial" w:cs="Arial"/>
          <w:sz w:val="20"/>
        </w:rPr>
      </w:pPr>
      <w:r w:rsidRPr="00EC349E">
        <w:rPr>
          <w:rFonts w:ascii="Arial" w:hAnsi="Arial" w:cs="Arial"/>
          <w:sz w:val="20"/>
        </w:rPr>
        <w:t>Se exponen a continuación los análisis de sensibilidad de los resultados ante cambios razonables en los tipos de cambios expuestos anteriormente en relación a la moneda funcional del Banco.</w:t>
      </w:r>
      <w:r w:rsidRPr="00E446C3">
        <w:rPr>
          <w:rFonts w:ascii="Arial" w:hAnsi="Arial" w:cs="Arial"/>
          <w:sz w:val="20"/>
        </w:rPr>
        <w:t xml:space="preserve"> </w:t>
      </w:r>
      <w:r>
        <w:rPr>
          <w:rFonts w:ascii="Arial" w:hAnsi="Arial" w:cs="Arial"/>
          <w:sz w:val="20"/>
        </w:rPr>
        <w:t>El porcentaje de variación aquí indicado se corresponde con el utilizado en el Plan de Negocios y Proyecciones.</w:t>
      </w:r>
    </w:p>
    <w:tbl>
      <w:tblPr>
        <w:tblW w:w="5000" w:type="pct"/>
        <w:jc w:val="center"/>
        <w:tblCellMar>
          <w:left w:w="70" w:type="dxa"/>
          <w:right w:w="70" w:type="dxa"/>
        </w:tblCellMar>
        <w:tblLook w:val="04A0" w:firstRow="1" w:lastRow="0" w:firstColumn="1" w:lastColumn="0" w:noHBand="0" w:noVBand="1"/>
      </w:tblPr>
      <w:tblGrid>
        <w:gridCol w:w="2065"/>
        <w:gridCol w:w="1029"/>
        <w:gridCol w:w="1093"/>
        <w:gridCol w:w="1169"/>
        <w:gridCol w:w="1029"/>
        <w:gridCol w:w="1093"/>
        <w:gridCol w:w="1167"/>
      </w:tblGrid>
      <w:tr w:rsidR="00EE283D" w:rsidRPr="00D9456F" w14:paraId="104CAAC0" w14:textId="77777777" w:rsidTr="007D7797">
        <w:trPr>
          <w:trHeight w:val="255"/>
          <w:tblHeader/>
          <w:jc w:val="center"/>
        </w:trPr>
        <w:tc>
          <w:tcPr>
            <w:tcW w:w="1194" w:type="pct"/>
            <w:vMerge w:val="restart"/>
            <w:tcBorders>
              <w:top w:val="single" w:sz="4" w:space="0" w:color="auto"/>
              <w:left w:val="single" w:sz="4" w:space="0" w:color="auto"/>
              <w:right w:val="single" w:sz="4" w:space="0" w:color="auto"/>
            </w:tcBorders>
            <w:shd w:val="clear" w:color="auto" w:fill="auto"/>
            <w:noWrap/>
            <w:vAlign w:val="center"/>
            <w:hideMark/>
          </w:tcPr>
          <w:p w14:paraId="21C398DA" w14:textId="77777777" w:rsidR="00EE283D" w:rsidRPr="00D9456F" w:rsidRDefault="00EE283D" w:rsidP="007D7797">
            <w:pPr>
              <w:jc w:val="center"/>
              <w:rPr>
                <w:rFonts w:ascii="Arial" w:hAnsi="Arial" w:cs="Arial"/>
                <w:b/>
                <w:bCs/>
                <w:color w:val="000000"/>
                <w:sz w:val="18"/>
                <w:szCs w:val="18"/>
                <w:lang w:eastAsia="es-AR"/>
              </w:rPr>
            </w:pPr>
            <w:r w:rsidRPr="00D9456F">
              <w:rPr>
                <w:rFonts w:ascii="Arial" w:hAnsi="Arial" w:cs="Arial"/>
                <w:b/>
                <w:bCs/>
                <w:color w:val="000000"/>
                <w:sz w:val="18"/>
                <w:szCs w:val="18"/>
                <w:lang w:eastAsia="es-AR"/>
              </w:rPr>
              <w:t>Moneda</w:t>
            </w:r>
          </w:p>
        </w:tc>
        <w:tc>
          <w:tcPr>
            <w:tcW w:w="595" w:type="pct"/>
            <w:vMerge w:val="restart"/>
            <w:tcBorders>
              <w:top w:val="single" w:sz="4" w:space="0" w:color="auto"/>
              <w:left w:val="nil"/>
              <w:right w:val="single" w:sz="4" w:space="0" w:color="auto"/>
            </w:tcBorders>
            <w:shd w:val="clear" w:color="auto" w:fill="auto"/>
            <w:noWrap/>
            <w:vAlign w:val="center"/>
            <w:hideMark/>
          </w:tcPr>
          <w:p w14:paraId="67CBAAE6" w14:textId="77777777" w:rsidR="00EE283D" w:rsidRPr="00D9456F" w:rsidRDefault="00EE283D" w:rsidP="007D7797">
            <w:pPr>
              <w:jc w:val="center"/>
              <w:rPr>
                <w:rFonts w:ascii="Arial" w:hAnsi="Arial" w:cs="Arial"/>
                <w:b/>
                <w:bCs/>
                <w:color w:val="000000"/>
                <w:sz w:val="18"/>
                <w:szCs w:val="18"/>
                <w:lang w:eastAsia="es-AR"/>
              </w:rPr>
            </w:pPr>
            <w:r w:rsidRPr="00D9456F">
              <w:rPr>
                <w:rFonts w:ascii="Arial" w:hAnsi="Arial" w:cs="Arial"/>
                <w:b/>
                <w:bCs/>
                <w:color w:val="000000"/>
                <w:sz w:val="18"/>
                <w:szCs w:val="18"/>
                <w:lang w:eastAsia="es-AR"/>
              </w:rPr>
              <w:t>Variación</w:t>
            </w:r>
          </w:p>
        </w:tc>
        <w:tc>
          <w:tcPr>
            <w:tcW w:w="13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0B68333E" w14:textId="77777777" w:rsidR="00EE283D" w:rsidRPr="00D9456F" w:rsidRDefault="00EE283D" w:rsidP="007D7797">
            <w:pPr>
              <w:jc w:val="center"/>
              <w:rPr>
                <w:rFonts w:ascii="Arial" w:hAnsi="Arial" w:cs="Arial"/>
                <w:b/>
                <w:bCs/>
                <w:color w:val="000000"/>
                <w:sz w:val="18"/>
                <w:szCs w:val="18"/>
                <w:lang w:eastAsia="es-AR"/>
              </w:rPr>
            </w:pPr>
            <w:r w:rsidRPr="00D9456F">
              <w:rPr>
                <w:rFonts w:ascii="Arial" w:hAnsi="Arial" w:cs="Arial"/>
                <w:b/>
                <w:bCs/>
                <w:color w:val="000000"/>
                <w:sz w:val="18"/>
                <w:szCs w:val="18"/>
                <w:lang w:eastAsia="es-AR"/>
              </w:rPr>
              <w:t>31/12/2019</w:t>
            </w:r>
          </w:p>
        </w:tc>
        <w:tc>
          <w:tcPr>
            <w:tcW w:w="595" w:type="pct"/>
            <w:vMerge w:val="restart"/>
            <w:tcBorders>
              <w:top w:val="single" w:sz="4" w:space="0" w:color="auto"/>
              <w:left w:val="nil"/>
              <w:right w:val="single" w:sz="4" w:space="0" w:color="auto"/>
            </w:tcBorders>
            <w:vAlign w:val="center"/>
          </w:tcPr>
          <w:p w14:paraId="37828467" w14:textId="77777777" w:rsidR="00EE283D" w:rsidRPr="00D9456F" w:rsidRDefault="00EE283D" w:rsidP="007D7797">
            <w:pPr>
              <w:jc w:val="center"/>
              <w:rPr>
                <w:rFonts w:ascii="Arial" w:hAnsi="Arial" w:cs="Arial"/>
                <w:b/>
                <w:bCs/>
                <w:color w:val="000000"/>
                <w:sz w:val="18"/>
                <w:szCs w:val="18"/>
                <w:lang w:eastAsia="es-AR"/>
              </w:rPr>
            </w:pPr>
            <w:r w:rsidRPr="00D9456F">
              <w:rPr>
                <w:rFonts w:ascii="Arial" w:hAnsi="Arial" w:cs="Arial"/>
                <w:b/>
                <w:bCs/>
                <w:color w:val="000000"/>
                <w:sz w:val="18"/>
                <w:szCs w:val="18"/>
                <w:lang w:eastAsia="es-AR"/>
              </w:rPr>
              <w:t>Variación</w:t>
            </w:r>
          </w:p>
        </w:tc>
        <w:tc>
          <w:tcPr>
            <w:tcW w:w="1307" w:type="pct"/>
            <w:gridSpan w:val="2"/>
            <w:tcBorders>
              <w:top w:val="single" w:sz="4" w:space="0" w:color="auto"/>
              <w:left w:val="nil"/>
              <w:bottom w:val="single" w:sz="4" w:space="0" w:color="auto"/>
              <w:right w:val="single" w:sz="4" w:space="0" w:color="auto"/>
            </w:tcBorders>
          </w:tcPr>
          <w:p w14:paraId="251E23B5" w14:textId="77777777" w:rsidR="00EE283D" w:rsidRPr="00D9456F" w:rsidRDefault="00EE283D" w:rsidP="007D7797">
            <w:pPr>
              <w:jc w:val="center"/>
              <w:rPr>
                <w:rFonts w:ascii="Arial" w:hAnsi="Arial" w:cs="Arial"/>
                <w:b/>
                <w:bCs/>
                <w:color w:val="000000"/>
                <w:sz w:val="18"/>
                <w:szCs w:val="18"/>
                <w:lang w:eastAsia="es-AR"/>
              </w:rPr>
            </w:pPr>
            <w:r w:rsidRPr="00D9456F">
              <w:rPr>
                <w:rFonts w:ascii="Arial" w:hAnsi="Arial" w:cs="Arial"/>
                <w:b/>
                <w:bCs/>
                <w:color w:val="000000"/>
                <w:sz w:val="18"/>
                <w:szCs w:val="18"/>
                <w:lang w:eastAsia="es-AR"/>
              </w:rPr>
              <w:t>31/12/2018</w:t>
            </w:r>
          </w:p>
        </w:tc>
      </w:tr>
      <w:tr w:rsidR="00EE283D" w:rsidRPr="00D9456F" w14:paraId="43D00FF0" w14:textId="77777777" w:rsidTr="007D7797">
        <w:trPr>
          <w:trHeight w:val="270"/>
          <w:tblHeader/>
          <w:jc w:val="center"/>
        </w:trPr>
        <w:tc>
          <w:tcPr>
            <w:tcW w:w="1194" w:type="pct"/>
            <w:vMerge/>
            <w:tcBorders>
              <w:left w:val="single" w:sz="4" w:space="0" w:color="auto"/>
              <w:bottom w:val="single" w:sz="4" w:space="0" w:color="auto"/>
              <w:right w:val="single" w:sz="4" w:space="0" w:color="auto"/>
            </w:tcBorders>
            <w:shd w:val="clear" w:color="auto" w:fill="auto"/>
            <w:vAlign w:val="center"/>
          </w:tcPr>
          <w:p w14:paraId="683F52FA" w14:textId="77777777" w:rsidR="00EE283D" w:rsidRPr="00D9456F" w:rsidRDefault="00EE283D" w:rsidP="007D7797">
            <w:pPr>
              <w:jc w:val="center"/>
              <w:rPr>
                <w:rFonts w:ascii="Arial" w:hAnsi="Arial" w:cs="Arial"/>
                <w:color w:val="000000"/>
                <w:sz w:val="18"/>
                <w:szCs w:val="18"/>
                <w:lang w:eastAsia="es-AR"/>
              </w:rPr>
            </w:pPr>
          </w:p>
        </w:tc>
        <w:tc>
          <w:tcPr>
            <w:tcW w:w="595" w:type="pct"/>
            <w:vMerge/>
            <w:tcBorders>
              <w:left w:val="nil"/>
              <w:bottom w:val="single" w:sz="4" w:space="0" w:color="auto"/>
              <w:right w:val="single" w:sz="4" w:space="0" w:color="auto"/>
            </w:tcBorders>
            <w:shd w:val="clear" w:color="auto" w:fill="auto"/>
            <w:noWrap/>
            <w:vAlign w:val="center"/>
          </w:tcPr>
          <w:p w14:paraId="605F28BF" w14:textId="77777777" w:rsidR="00EE283D" w:rsidRPr="00D9456F" w:rsidRDefault="00EE283D" w:rsidP="007D7797">
            <w:pPr>
              <w:jc w:val="center"/>
              <w:rPr>
                <w:rFonts w:ascii="Arial" w:hAnsi="Arial" w:cs="Arial"/>
                <w:color w:val="000000"/>
                <w:sz w:val="18"/>
                <w:szCs w:val="18"/>
                <w:lang w:eastAsia="es-AR"/>
              </w:rPr>
            </w:pPr>
          </w:p>
        </w:tc>
        <w:tc>
          <w:tcPr>
            <w:tcW w:w="632" w:type="pct"/>
            <w:tcBorders>
              <w:top w:val="nil"/>
              <w:left w:val="nil"/>
              <w:bottom w:val="single" w:sz="4" w:space="0" w:color="auto"/>
              <w:right w:val="single" w:sz="4" w:space="0" w:color="auto"/>
            </w:tcBorders>
            <w:shd w:val="clear" w:color="auto" w:fill="auto"/>
            <w:noWrap/>
            <w:vAlign w:val="center"/>
          </w:tcPr>
          <w:p w14:paraId="3DAAFEC1" w14:textId="77777777" w:rsidR="00EE283D" w:rsidRPr="00D9456F" w:rsidRDefault="00EE283D" w:rsidP="007D7797">
            <w:pPr>
              <w:jc w:val="center"/>
              <w:rPr>
                <w:rFonts w:ascii="Arial" w:hAnsi="Arial" w:cs="Arial"/>
                <w:b/>
                <w:color w:val="000000"/>
                <w:sz w:val="18"/>
                <w:szCs w:val="18"/>
                <w:lang w:eastAsia="es-AR"/>
              </w:rPr>
            </w:pPr>
            <w:r w:rsidRPr="00D9456F">
              <w:rPr>
                <w:rFonts w:ascii="Arial" w:hAnsi="Arial" w:cs="Arial"/>
                <w:b/>
                <w:color w:val="000000"/>
                <w:sz w:val="18"/>
                <w:szCs w:val="18"/>
                <w:lang w:eastAsia="es-AR"/>
              </w:rPr>
              <w:t>Resultado</w:t>
            </w:r>
          </w:p>
        </w:tc>
        <w:tc>
          <w:tcPr>
            <w:tcW w:w="676" w:type="pct"/>
            <w:tcBorders>
              <w:top w:val="nil"/>
              <w:left w:val="nil"/>
              <w:bottom w:val="single" w:sz="4" w:space="0" w:color="auto"/>
              <w:right w:val="single" w:sz="4" w:space="0" w:color="auto"/>
            </w:tcBorders>
            <w:vAlign w:val="center"/>
          </w:tcPr>
          <w:p w14:paraId="63FC0402" w14:textId="77777777" w:rsidR="00EE283D" w:rsidRPr="00D9456F" w:rsidRDefault="00EE283D" w:rsidP="007D7797">
            <w:pPr>
              <w:jc w:val="center"/>
              <w:rPr>
                <w:rFonts w:ascii="Arial" w:hAnsi="Arial" w:cs="Arial"/>
                <w:b/>
                <w:color w:val="000000"/>
                <w:sz w:val="18"/>
                <w:szCs w:val="18"/>
                <w:lang w:eastAsia="es-AR"/>
              </w:rPr>
            </w:pPr>
            <w:r w:rsidRPr="00D9456F">
              <w:rPr>
                <w:rFonts w:ascii="Arial" w:hAnsi="Arial" w:cs="Arial"/>
                <w:b/>
                <w:color w:val="000000"/>
                <w:sz w:val="18"/>
                <w:szCs w:val="18"/>
                <w:lang w:eastAsia="es-AR"/>
              </w:rPr>
              <w:t>Patrimonio</w:t>
            </w:r>
          </w:p>
        </w:tc>
        <w:tc>
          <w:tcPr>
            <w:tcW w:w="595" w:type="pct"/>
            <w:vMerge/>
            <w:tcBorders>
              <w:left w:val="nil"/>
              <w:bottom w:val="single" w:sz="4" w:space="0" w:color="auto"/>
              <w:right w:val="single" w:sz="4" w:space="0" w:color="auto"/>
            </w:tcBorders>
          </w:tcPr>
          <w:p w14:paraId="5632AF05" w14:textId="77777777" w:rsidR="00EE283D" w:rsidRPr="00D9456F" w:rsidRDefault="00EE283D" w:rsidP="007D7797">
            <w:pPr>
              <w:jc w:val="center"/>
              <w:rPr>
                <w:rFonts w:ascii="Arial" w:hAnsi="Arial" w:cs="Arial"/>
                <w:b/>
                <w:color w:val="000000"/>
                <w:sz w:val="18"/>
                <w:szCs w:val="18"/>
                <w:lang w:eastAsia="es-AR"/>
              </w:rPr>
            </w:pPr>
          </w:p>
        </w:tc>
        <w:tc>
          <w:tcPr>
            <w:tcW w:w="632" w:type="pct"/>
            <w:tcBorders>
              <w:top w:val="nil"/>
              <w:left w:val="nil"/>
              <w:bottom w:val="single" w:sz="4" w:space="0" w:color="auto"/>
              <w:right w:val="single" w:sz="4" w:space="0" w:color="auto"/>
            </w:tcBorders>
            <w:vAlign w:val="center"/>
          </w:tcPr>
          <w:p w14:paraId="71713B0A" w14:textId="77777777" w:rsidR="00EE283D" w:rsidRPr="00D9456F" w:rsidRDefault="00EE283D" w:rsidP="007D7797">
            <w:pPr>
              <w:jc w:val="center"/>
              <w:rPr>
                <w:rFonts w:ascii="Arial" w:hAnsi="Arial" w:cs="Arial"/>
                <w:b/>
                <w:color w:val="000000"/>
                <w:sz w:val="18"/>
                <w:szCs w:val="18"/>
                <w:lang w:eastAsia="es-AR"/>
              </w:rPr>
            </w:pPr>
            <w:r w:rsidRPr="00D9456F">
              <w:rPr>
                <w:rFonts w:ascii="Arial" w:hAnsi="Arial" w:cs="Arial"/>
                <w:b/>
                <w:color w:val="000000"/>
                <w:sz w:val="18"/>
                <w:szCs w:val="18"/>
                <w:lang w:eastAsia="es-AR"/>
              </w:rPr>
              <w:t>Resultado</w:t>
            </w:r>
          </w:p>
        </w:tc>
        <w:tc>
          <w:tcPr>
            <w:tcW w:w="675" w:type="pct"/>
            <w:tcBorders>
              <w:top w:val="nil"/>
              <w:left w:val="nil"/>
              <w:bottom w:val="single" w:sz="4" w:space="0" w:color="auto"/>
              <w:right w:val="single" w:sz="4" w:space="0" w:color="auto"/>
            </w:tcBorders>
            <w:vAlign w:val="center"/>
          </w:tcPr>
          <w:p w14:paraId="1FF2E1E0" w14:textId="77777777" w:rsidR="00EE283D" w:rsidRPr="00D9456F" w:rsidRDefault="00EE283D" w:rsidP="007D7797">
            <w:pPr>
              <w:jc w:val="center"/>
              <w:rPr>
                <w:rFonts w:ascii="Arial" w:hAnsi="Arial" w:cs="Arial"/>
                <w:b/>
                <w:color w:val="000000"/>
                <w:sz w:val="18"/>
                <w:szCs w:val="18"/>
                <w:lang w:eastAsia="es-AR"/>
              </w:rPr>
            </w:pPr>
            <w:r w:rsidRPr="00D9456F">
              <w:rPr>
                <w:rFonts w:ascii="Arial" w:hAnsi="Arial" w:cs="Arial"/>
                <w:b/>
                <w:color w:val="000000"/>
                <w:sz w:val="18"/>
                <w:szCs w:val="18"/>
                <w:lang w:eastAsia="es-AR"/>
              </w:rPr>
              <w:t>Patrimonio</w:t>
            </w:r>
          </w:p>
        </w:tc>
      </w:tr>
      <w:tr w:rsidR="00E66B76" w:rsidRPr="00D9456F" w14:paraId="046EA086" w14:textId="77777777" w:rsidTr="007D7797">
        <w:trPr>
          <w:trHeight w:val="314"/>
          <w:tblHeader/>
          <w:jc w:val="center"/>
        </w:trPr>
        <w:tc>
          <w:tcPr>
            <w:tcW w:w="1194" w:type="pct"/>
            <w:vMerge w:val="restart"/>
            <w:tcBorders>
              <w:top w:val="nil"/>
              <w:left w:val="single" w:sz="4" w:space="0" w:color="auto"/>
              <w:bottom w:val="single" w:sz="4" w:space="0" w:color="auto"/>
              <w:right w:val="single" w:sz="4" w:space="0" w:color="auto"/>
            </w:tcBorders>
            <w:shd w:val="clear" w:color="auto" w:fill="auto"/>
            <w:vAlign w:val="center"/>
            <w:hideMark/>
          </w:tcPr>
          <w:p w14:paraId="2000418E" w14:textId="77777777" w:rsidR="00E66B76" w:rsidRPr="00D9456F" w:rsidRDefault="00E66B76" w:rsidP="00E66B76">
            <w:pPr>
              <w:jc w:val="center"/>
              <w:rPr>
                <w:rFonts w:ascii="Arial" w:hAnsi="Arial" w:cs="Arial"/>
                <w:color w:val="000000"/>
                <w:sz w:val="18"/>
                <w:szCs w:val="18"/>
                <w:lang w:eastAsia="es-AR"/>
              </w:rPr>
            </w:pPr>
            <w:r w:rsidRPr="00D9456F">
              <w:rPr>
                <w:rFonts w:ascii="Arial" w:hAnsi="Arial" w:cs="Arial"/>
                <w:color w:val="000000"/>
                <w:sz w:val="18"/>
                <w:szCs w:val="18"/>
                <w:lang w:eastAsia="es-AR"/>
              </w:rPr>
              <w:t>Dólar Estadounidense</w:t>
            </w:r>
          </w:p>
        </w:tc>
        <w:tc>
          <w:tcPr>
            <w:tcW w:w="595" w:type="pct"/>
            <w:tcBorders>
              <w:top w:val="nil"/>
              <w:left w:val="nil"/>
              <w:bottom w:val="single" w:sz="4" w:space="0" w:color="auto"/>
              <w:right w:val="single" w:sz="4" w:space="0" w:color="auto"/>
            </w:tcBorders>
            <w:shd w:val="clear" w:color="auto" w:fill="auto"/>
            <w:noWrap/>
            <w:vAlign w:val="bottom"/>
          </w:tcPr>
          <w:p w14:paraId="44DFB67C" w14:textId="77777777" w:rsidR="00E66B76" w:rsidRPr="00D9456F" w:rsidRDefault="00E66B76" w:rsidP="00E66B76">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nil"/>
              <w:left w:val="nil"/>
              <w:bottom w:val="single" w:sz="8" w:space="0" w:color="auto"/>
              <w:right w:val="single" w:sz="8" w:space="0" w:color="auto"/>
            </w:tcBorders>
            <w:shd w:val="clear" w:color="auto" w:fill="auto"/>
            <w:noWrap/>
            <w:vAlign w:val="bottom"/>
          </w:tcPr>
          <w:p w14:paraId="55687AFA" w14:textId="1DE276A1" w:rsidR="00E66B76" w:rsidRPr="00E66B76" w:rsidRDefault="00E66B76" w:rsidP="00E66B76">
            <w:pPr>
              <w:jc w:val="right"/>
              <w:rPr>
                <w:rFonts w:ascii="Arial" w:hAnsi="Arial" w:cs="Arial"/>
                <w:color w:val="000000"/>
                <w:sz w:val="18"/>
                <w:szCs w:val="18"/>
                <w:lang w:eastAsia="es-AR"/>
              </w:rPr>
            </w:pPr>
            <w:r w:rsidRPr="00E66B76">
              <w:rPr>
                <w:rFonts w:ascii="Arial" w:hAnsi="Arial" w:cs="Arial"/>
                <w:sz w:val="18"/>
                <w:szCs w:val="18"/>
              </w:rPr>
              <w:t xml:space="preserve">157.079 </w:t>
            </w:r>
          </w:p>
        </w:tc>
        <w:tc>
          <w:tcPr>
            <w:tcW w:w="676" w:type="pct"/>
            <w:tcBorders>
              <w:top w:val="nil"/>
              <w:left w:val="nil"/>
              <w:bottom w:val="single" w:sz="8" w:space="0" w:color="auto"/>
              <w:right w:val="single" w:sz="8" w:space="0" w:color="auto"/>
            </w:tcBorders>
            <w:shd w:val="clear" w:color="auto" w:fill="auto"/>
            <w:vAlign w:val="bottom"/>
          </w:tcPr>
          <w:p w14:paraId="2442B10C" w14:textId="5D243ADA" w:rsidR="00E66B76" w:rsidRPr="00D9456F" w:rsidRDefault="00E66B76" w:rsidP="00E66B76">
            <w:pPr>
              <w:jc w:val="right"/>
              <w:rPr>
                <w:rFonts w:ascii="Arial" w:hAnsi="Arial" w:cs="Arial"/>
                <w:color w:val="000000"/>
                <w:sz w:val="18"/>
                <w:szCs w:val="18"/>
                <w:lang w:eastAsia="es-AR"/>
              </w:rPr>
            </w:pPr>
            <w:r w:rsidRPr="00E66B76">
              <w:rPr>
                <w:rFonts w:ascii="Arial" w:hAnsi="Arial" w:cs="Arial"/>
                <w:sz w:val="18"/>
                <w:szCs w:val="18"/>
              </w:rPr>
              <w:t xml:space="preserve">157.079 </w:t>
            </w:r>
          </w:p>
        </w:tc>
        <w:tc>
          <w:tcPr>
            <w:tcW w:w="595" w:type="pct"/>
            <w:tcBorders>
              <w:top w:val="nil"/>
              <w:left w:val="nil"/>
              <w:bottom w:val="single" w:sz="4" w:space="0" w:color="auto"/>
              <w:right w:val="single" w:sz="4" w:space="0" w:color="auto"/>
            </w:tcBorders>
            <w:shd w:val="clear" w:color="auto" w:fill="auto"/>
            <w:vAlign w:val="bottom"/>
          </w:tcPr>
          <w:p w14:paraId="2D8EE63D" w14:textId="77777777" w:rsidR="00E66B76" w:rsidRPr="00D9456F" w:rsidRDefault="00E66B76" w:rsidP="00E66B76">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5E237392"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336.894 </w:t>
            </w:r>
          </w:p>
        </w:tc>
        <w:tc>
          <w:tcPr>
            <w:tcW w:w="675" w:type="pct"/>
            <w:tcBorders>
              <w:top w:val="nil"/>
              <w:left w:val="nil"/>
              <w:bottom w:val="single" w:sz="4" w:space="0" w:color="auto"/>
              <w:right w:val="single" w:sz="4" w:space="0" w:color="auto"/>
            </w:tcBorders>
            <w:vAlign w:val="bottom"/>
          </w:tcPr>
          <w:p w14:paraId="111597D6"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336.894 </w:t>
            </w:r>
          </w:p>
        </w:tc>
      </w:tr>
      <w:tr w:rsidR="00E66B76" w:rsidRPr="00D9456F" w14:paraId="6BBB3EB4" w14:textId="77777777" w:rsidTr="007D7797">
        <w:trPr>
          <w:trHeight w:val="291"/>
          <w:tblHeader/>
          <w:jc w:val="center"/>
        </w:trPr>
        <w:tc>
          <w:tcPr>
            <w:tcW w:w="1194" w:type="pct"/>
            <w:vMerge/>
            <w:tcBorders>
              <w:top w:val="nil"/>
              <w:left w:val="single" w:sz="4" w:space="0" w:color="auto"/>
              <w:bottom w:val="single" w:sz="4" w:space="0" w:color="auto"/>
              <w:right w:val="single" w:sz="4" w:space="0" w:color="auto"/>
            </w:tcBorders>
            <w:vAlign w:val="center"/>
            <w:hideMark/>
          </w:tcPr>
          <w:p w14:paraId="2310D580" w14:textId="77777777" w:rsidR="00E66B76" w:rsidRPr="00D9456F" w:rsidRDefault="00E66B76" w:rsidP="00E66B76">
            <w:pPr>
              <w:rPr>
                <w:rFonts w:ascii="Arial" w:hAnsi="Arial" w:cs="Arial"/>
                <w:color w:val="000000"/>
                <w:sz w:val="18"/>
                <w:szCs w:val="18"/>
                <w:lang w:eastAsia="es-AR"/>
              </w:rPr>
            </w:pPr>
          </w:p>
        </w:tc>
        <w:tc>
          <w:tcPr>
            <w:tcW w:w="595" w:type="pct"/>
            <w:tcBorders>
              <w:top w:val="nil"/>
              <w:left w:val="nil"/>
              <w:bottom w:val="single" w:sz="4" w:space="0" w:color="auto"/>
              <w:right w:val="single" w:sz="4" w:space="0" w:color="auto"/>
            </w:tcBorders>
            <w:shd w:val="clear" w:color="auto" w:fill="auto"/>
            <w:noWrap/>
            <w:vAlign w:val="bottom"/>
          </w:tcPr>
          <w:p w14:paraId="57DB5867" w14:textId="77777777" w:rsidR="00E66B76" w:rsidRPr="00D9456F" w:rsidRDefault="00E66B76" w:rsidP="00E66B76">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nil"/>
              <w:left w:val="nil"/>
              <w:bottom w:val="single" w:sz="8" w:space="0" w:color="auto"/>
              <w:right w:val="single" w:sz="8" w:space="0" w:color="auto"/>
            </w:tcBorders>
            <w:shd w:val="clear" w:color="auto" w:fill="auto"/>
            <w:noWrap/>
            <w:vAlign w:val="bottom"/>
          </w:tcPr>
          <w:p w14:paraId="14DB5D82" w14:textId="25D77888" w:rsidR="00E66B76" w:rsidRPr="00E66B76" w:rsidRDefault="00E66B76" w:rsidP="00E66B76">
            <w:pPr>
              <w:jc w:val="right"/>
              <w:rPr>
                <w:rFonts w:ascii="Arial" w:hAnsi="Arial" w:cs="Arial"/>
                <w:color w:val="000000"/>
                <w:sz w:val="18"/>
                <w:szCs w:val="18"/>
                <w:lang w:eastAsia="es-AR"/>
              </w:rPr>
            </w:pPr>
            <w:r w:rsidRPr="00E66B76">
              <w:rPr>
                <w:rFonts w:ascii="Arial" w:hAnsi="Arial" w:cs="Arial"/>
                <w:sz w:val="18"/>
                <w:szCs w:val="18"/>
              </w:rPr>
              <w:t>(157.079)</w:t>
            </w:r>
          </w:p>
        </w:tc>
        <w:tc>
          <w:tcPr>
            <w:tcW w:w="676" w:type="pct"/>
            <w:tcBorders>
              <w:top w:val="nil"/>
              <w:left w:val="nil"/>
              <w:bottom w:val="single" w:sz="8" w:space="0" w:color="auto"/>
              <w:right w:val="single" w:sz="8" w:space="0" w:color="auto"/>
            </w:tcBorders>
            <w:shd w:val="clear" w:color="auto" w:fill="auto"/>
            <w:vAlign w:val="bottom"/>
          </w:tcPr>
          <w:p w14:paraId="3E9F01E5" w14:textId="632B9F58" w:rsidR="00E66B76" w:rsidRPr="00D9456F" w:rsidRDefault="00E66B76" w:rsidP="00E66B76">
            <w:pPr>
              <w:jc w:val="right"/>
              <w:rPr>
                <w:rFonts w:ascii="Arial" w:hAnsi="Arial" w:cs="Arial"/>
                <w:color w:val="000000"/>
                <w:sz w:val="18"/>
                <w:szCs w:val="18"/>
                <w:lang w:eastAsia="es-AR"/>
              </w:rPr>
            </w:pPr>
            <w:r w:rsidRPr="00E66B76">
              <w:rPr>
                <w:rFonts w:ascii="Arial" w:hAnsi="Arial" w:cs="Arial"/>
                <w:sz w:val="18"/>
                <w:szCs w:val="18"/>
              </w:rPr>
              <w:t>(157.079)</w:t>
            </w:r>
          </w:p>
        </w:tc>
        <w:tc>
          <w:tcPr>
            <w:tcW w:w="595" w:type="pct"/>
            <w:tcBorders>
              <w:top w:val="nil"/>
              <w:left w:val="nil"/>
              <w:bottom w:val="single" w:sz="4" w:space="0" w:color="auto"/>
              <w:right w:val="single" w:sz="4" w:space="0" w:color="auto"/>
            </w:tcBorders>
            <w:shd w:val="clear" w:color="auto" w:fill="auto"/>
            <w:vAlign w:val="bottom"/>
          </w:tcPr>
          <w:p w14:paraId="75187479" w14:textId="77777777" w:rsidR="00E66B76" w:rsidRPr="00D9456F" w:rsidRDefault="00E66B76" w:rsidP="00E66B76">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46392E55"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(336.894)</w:t>
            </w:r>
          </w:p>
        </w:tc>
        <w:tc>
          <w:tcPr>
            <w:tcW w:w="675" w:type="pct"/>
            <w:tcBorders>
              <w:top w:val="nil"/>
              <w:left w:val="nil"/>
              <w:bottom w:val="single" w:sz="4" w:space="0" w:color="auto"/>
              <w:right w:val="single" w:sz="4" w:space="0" w:color="auto"/>
            </w:tcBorders>
            <w:vAlign w:val="bottom"/>
          </w:tcPr>
          <w:p w14:paraId="1AB34DC5"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(336.894)</w:t>
            </w:r>
          </w:p>
        </w:tc>
      </w:tr>
      <w:tr w:rsidR="00E66B76" w:rsidRPr="00D9456F" w14:paraId="7CEE205C" w14:textId="77777777" w:rsidTr="007D7797">
        <w:trPr>
          <w:trHeight w:val="255"/>
          <w:tblHeader/>
          <w:jc w:val="center"/>
        </w:trPr>
        <w:tc>
          <w:tcPr>
            <w:tcW w:w="1194" w:type="pct"/>
            <w:vMerge w:val="restart"/>
            <w:tcBorders>
              <w:top w:val="nil"/>
              <w:left w:val="single" w:sz="4" w:space="0" w:color="auto"/>
              <w:bottom w:val="single" w:sz="4" w:space="0" w:color="auto"/>
              <w:right w:val="single" w:sz="4" w:space="0" w:color="auto"/>
            </w:tcBorders>
            <w:shd w:val="clear" w:color="auto" w:fill="auto"/>
            <w:vAlign w:val="center"/>
            <w:hideMark/>
          </w:tcPr>
          <w:p w14:paraId="09616BD1" w14:textId="77777777" w:rsidR="00E66B76" w:rsidRPr="00D9456F" w:rsidRDefault="00E66B76" w:rsidP="00E66B76">
            <w:pPr>
              <w:jc w:val="center"/>
              <w:rPr>
                <w:rFonts w:ascii="Arial" w:hAnsi="Arial" w:cs="Arial"/>
                <w:color w:val="000000"/>
                <w:sz w:val="18"/>
                <w:szCs w:val="18"/>
                <w:lang w:eastAsia="es-AR"/>
              </w:rPr>
            </w:pPr>
            <w:r w:rsidRPr="00D9456F">
              <w:rPr>
                <w:rFonts w:ascii="Arial" w:hAnsi="Arial" w:cs="Arial"/>
                <w:color w:val="000000"/>
                <w:sz w:val="18"/>
                <w:szCs w:val="18"/>
                <w:lang w:eastAsia="es-AR"/>
              </w:rPr>
              <w:t>Euro</w:t>
            </w:r>
          </w:p>
        </w:tc>
        <w:tc>
          <w:tcPr>
            <w:tcW w:w="595" w:type="pct"/>
            <w:tcBorders>
              <w:top w:val="nil"/>
              <w:left w:val="nil"/>
              <w:bottom w:val="single" w:sz="4" w:space="0" w:color="auto"/>
              <w:right w:val="single" w:sz="4" w:space="0" w:color="auto"/>
            </w:tcBorders>
            <w:shd w:val="clear" w:color="auto" w:fill="auto"/>
            <w:noWrap/>
            <w:vAlign w:val="bottom"/>
          </w:tcPr>
          <w:p w14:paraId="7971DE1B" w14:textId="77777777" w:rsidR="00E66B76" w:rsidRPr="00D9456F" w:rsidRDefault="00E66B76" w:rsidP="00E66B76">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nil"/>
              <w:left w:val="nil"/>
              <w:bottom w:val="single" w:sz="8" w:space="0" w:color="auto"/>
              <w:right w:val="single" w:sz="8" w:space="0" w:color="auto"/>
            </w:tcBorders>
            <w:shd w:val="clear" w:color="auto" w:fill="auto"/>
            <w:noWrap/>
            <w:vAlign w:val="bottom"/>
          </w:tcPr>
          <w:p w14:paraId="20629FF5" w14:textId="3355E02A" w:rsidR="00E66B76" w:rsidRPr="00E66B76" w:rsidRDefault="00E66B76" w:rsidP="00E66B76">
            <w:pPr>
              <w:jc w:val="right"/>
              <w:rPr>
                <w:rFonts w:ascii="Arial" w:hAnsi="Arial" w:cs="Arial"/>
                <w:color w:val="000000"/>
                <w:sz w:val="18"/>
                <w:szCs w:val="18"/>
                <w:lang w:eastAsia="es-AR"/>
              </w:rPr>
            </w:pPr>
            <w:r w:rsidRPr="00E66B76">
              <w:rPr>
                <w:rFonts w:ascii="Arial" w:hAnsi="Arial" w:cs="Arial"/>
                <w:sz w:val="18"/>
                <w:szCs w:val="18"/>
              </w:rPr>
              <w:t xml:space="preserve">5.724 </w:t>
            </w:r>
          </w:p>
        </w:tc>
        <w:tc>
          <w:tcPr>
            <w:tcW w:w="676" w:type="pct"/>
            <w:tcBorders>
              <w:top w:val="nil"/>
              <w:left w:val="nil"/>
              <w:bottom w:val="single" w:sz="8" w:space="0" w:color="auto"/>
              <w:right w:val="single" w:sz="8" w:space="0" w:color="auto"/>
            </w:tcBorders>
            <w:shd w:val="clear" w:color="auto" w:fill="auto"/>
            <w:vAlign w:val="bottom"/>
          </w:tcPr>
          <w:p w14:paraId="029F2E15" w14:textId="0688311F" w:rsidR="00E66B76" w:rsidRPr="00D9456F" w:rsidRDefault="00E66B76" w:rsidP="00E66B76">
            <w:pPr>
              <w:jc w:val="right"/>
              <w:rPr>
                <w:rFonts w:ascii="Arial" w:hAnsi="Arial" w:cs="Arial"/>
                <w:color w:val="000000"/>
                <w:sz w:val="18"/>
                <w:szCs w:val="18"/>
                <w:lang w:eastAsia="es-AR"/>
              </w:rPr>
            </w:pPr>
            <w:r w:rsidRPr="00E66B76">
              <w:rPr>
                <w:rFonts w:ascii="Arial" w:hAnsi="Arial" w:cs="Arial"/>
                <w:sz w:val="18"/>
                <w:szCs w:val="18"/>
              </w:rPr>
              <w:t xml:space="preserve">5.724 </w:t>
            </w:r>
          </w:p>
        </w:tc>
        <w:tc>
          <w:tcPr>
            <w:tcW w:w="595" w:type="pct"/>
            <w:tcBorders>
              <w:top w:val="nil"/>
              <w:left w:val="nil"/>
              <w:bottom w:val="single" w:sz="4" w:space="0" w:color="auto"/>
              <w:right w:val="single" w:sz="4" w:space="0" w:color="auto"/>
            </w:tcBorders>
            <w:shd w:val="clear" w:color="auto" w:fill="auto"/>
            <w:vAlign w:val="bottom"/>
          </w:tcPr>
          <w:p w14:paraId="2FB79852" w14:textId="77777777" w:rsidR="00E66B76" w:rsidRPr="00D9456F" w:rsidRDefault="00E66B76" w:rsidP="00E66B76">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315B6094"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(3.175)</w:t>
            </w:r>
          </w:p>
        </w:tc>
        <w:tc>
          <w:tcPr>
            <w:tcW w:w="675" w:type="pct"/>
            <w:tcBorders>
              <w:top w:val="nil"/>
              <w:left w:val="nil"/>
              <w:bottom w:val="single" w:sz="4" w:space="0" w:color="auto"/>
              <w:right w:val="single" w:sz="4" w:space="0" w:color="auto"/>
            </w:tcBorders>
            <w:vAlign w:val="bottom"/>
          </w:tcPr>
          <w:p w14:paraId="1994CFA1"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(3.175)</w:t>
            </w:r>
          </w:p>
        </w:tc>
      </w:tr>
      <w:tr w:rsidR="00E66B76" w:rsidRPr="00D9456F" w14:paraId="6BE1EB95" w14:textId="77777777" w:rsidTr="007D7797">
        <w:trPr>
          <w:trHeight w:val="255"/>
          <w:tblHeader/>
          <w:jc w:val="center"/>
        </w:trPr>
        <w:tc>
          <w:tcPr>
            <w:tcW w:w="1194" w:type="pct"/>
            <w:vMerge/>
            <w:tcBorders>
              <w:top w:val="nil"/>
              <w:left w:val="single" w:sz="4" w:space="0" w:color="auto"/>
              <w:bottom w:val="single" w:sz="4" w:space="0" w:color="auto"/>
              <w:right w:val="single" w:sz="4" w:space="0" w:color="auto"/>
            </w:tcBorders>
            <w:vAlign w:val="center"/>
            <w:hideMark/>
          </w:tcPr>
          <w:p w14:paraId="565C778F" w14:textId="77777777" w:rsidR="00E66B76" w:rsidRPr="00D9456F" w:rsidRDefault="00E66B76" w:rsidP="00E66B76">
            <w:pPr>
              <w:rPr>
                <w:rFonts w:ascii="Arial" w:hAnsi="Arial" w:cs="Arial"/>
                <w:color w:val="000000"/>
                <w:sz w:val="18"/>
                <w:szCs w:val="18"/>
                <w:lang w:eastAsia="es-AR"/>
              </w:rPr>
            </w:pPr>
          </w:p>
        </w:tc>
        <w:tc>
          <w:tcPr>
            <w:tcW w:w="595" w:type="pct"/>
            <w:tcBorders>
              <w:top w:val="nil"/>
              <w:left w:val="nil"/>
              <w:bottom w:val="single" w:sz="4" w:space="0" w:color="auto"/>
              <w:right w:val="single" w:sz="4" w:space="0" w:color="auto"/>
            </w:tcBorders>
            <w:shd w:val="clear" w:color="auto" w:fill="auto"/>
            <w:noWrap/>
            <w:vAlign w:val="bottom"/>
          </w:tcPr>
          <w:p w14:paraId="346398D1" w14:textId="77777777" w:rsidR="00E66B76" w:rsidRPr="00D9456F" w:rsidRDefault="00E66B76" w:rsidP="00E66B76">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nil"/>
              <w:left w:val="nil"/>
              <w:bottom w:val="single" w:sz="8" w:space="0" w:color="auto"/>
              <w:right w:val="single" w:sz="8" w:space="0" w:color="auto"/>
            </w:tcBorders>
            <w:shd w:val="clear" w:color="auto" w:fill="auto"/>
            <w:noWrap/>
            <w:vAlign w:val="bottom"/>
          </w:tcPr>
          <w:p w14:paraId="6BEA6B08" w14:textId="1ABD9F5F" w:rsidR="00E66B76" w:rsidRPr="00E66B76" w:rsidRDefault="00E66B76" w:rsidP="00E66B76">
            <w:pPr>
              <w:jc w:val="right"/>
              <w:rPr>
                <w:rFonts w:ascii="Arial" w:hAnsi="Arial" w:cs="Arial"/>
                <w:color w:val="000000"/>
                <w:sz w:val="18"/>
                <w:szCs w:val="18"/>
                <w:lang w:eastAsia="es-AR"/>
              </w:rPr>
            </w:pPr>
            <w:r w:rsidRPr="00E66B76">
              <w:rPr>
                <w:rFonts w:ascii="Arial" w:hAnsi="Arial" w:cs="Arial"/>
                <w:sz w:val="18"/>
                <w:szCs w:val="18"/>
              </w:rPr>
              <w:t>(5.724)</w:t>
            </w:r>
          </w:p>
        </w:tc>
        <w:tc>
          <w:tcPr>
            <w:tcW w:w="676" w:type="pct"/>
            <w:tcBorders>
              <w:top w:val="nil"/>
              <w:left w:val="nil"/>
              <w:bottom w:val="single" w:sz="8" w:space="0" w:color="auto"/>
              <w:right w:val="single" w:sz="8" w:space="0" w:color="auto"/>
            </w:tcBorders>
            <w:shd w:val="clear" w:color="auto" w:fill="auto"/>
            <w:vAlign w:val="bottom"/>
          </w:tcPr>
          <w:p w14:paraId="1B18FB55" w14:textId="3F59B891" w:rsidR="00E66B76" w:rsidRPr="00D9456F" w:rsidRDefault="00E66B76" w:rsidP="00E66B76">
            <w:pPr>
              <w:jc w:val="right"/>
              <w:rPr>
                <w:rFonts w:ascii="Arial" w:hAnsi="Arial" w:cs="Arial"/>
                <w:color w:val="000000"/>
                <w:sz w:val="18"/>
                <w:szCs w:val="18"/>
                <w:lang w:eastAsia="es-AR"/>
              </w:rPr>
            </w:pPr>
            <w:r w:rsidRPr="00E66B76">
              <w:rPr>
                <w:rFonts w:ascii="Arial" w:hAnsi="Arial" w:cs="Arial"/>
                <w:sz w:val="18"/>
                <w:szCs w:val="18"/>
              </w:rPr>
              <w:t>(5.724)</w:t>
            </w:r>
          </w:p>
        </w:tc>
        <w:tc>
          <w:tcPr>
            <w:tcW w:w="595" w:type="pct"/>
            <w:tcBorders>
              <w:top w:val="nil"/>
              <w:left w:val="nil"/>
              <w:bottom w:val="single" w:sz="4" w:space="0" w:color="auto"/>
              <w:right w:val="single" w:sz="4" w:space="0" w:color="auto"/>
            </w:tcBorders>
            <w:shd w:val="clear" w:color="auto" w:fill="auto"/>
            <w:vAlign w:val="bottom"/>
          </w:tcPr>
          <w:p w14:paraId="286EB53C" w14:textId="77777777" w:rsidR="00E66B76" w:rsidRPr="00D9456F" w:rsidRDefault="00E66B76" w:rsidP="00E66B76">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3A2B91F8"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3.175 </w:t>
            </w:r>
          </w:p>
        </w:tc>
        <w:tc>
          <w:tcPr>
            <w:tcW w:w="675" w:type="pct"/>
            <w:tcBorders>
              <w:top w:val="nil"/>
              <w:left w:val="nil"/>
              <w:bottom w:val="single" w:sz="4" w:space="0" w:color="auto"/>
              <w:right w:val="single" w:sz="4" w:space="0" w:color="auto"/>
            </w:tcBorders>
            <w:vAlign w:val="bottom"/>
          </w:tcPr>
          <w:p w14:paraId="348BA266"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3.175 </w:t>
            </w:r>
          </w:p>
        </w:tc>
      </w:tr>
      <w:tr w:rsidR="00E66B76" w:rsidRPr="00D9456F" w14:paraId="1A6D4D2C" w14:textId="77777777" w:rsidTr="007D7797">
        <w:trPr>
          <w:trHeight w:val="255"/>
          <w:tblHeader/>
          <w:jc w:val="center"/>
        </w:trPr>
        <w:tc>
          <w:tcPr>
            <w:tcW w:w="1194" w:type="pct"/>
            <w:vMerge w:val="restart"/>
            <w:tcBorders>
              <w:top w:val="nil"/>
              <w:left w:val="single" w:sz="4" w:space="0" w:color="auto"/>
              <w:bottom w:val="single" w:sz="4" w:space="0" w:color="auto"/>
              <w:right w:val="single" w:sz="4" w:space="0" w:color="auto"/>
            </w:tcBorders>
            <w:shd w:val="clear" w:color="auto" w:fill="auto"/>
            <w:vAlign w:val="center"/>
            <w:hideMark/>
          </w:tcPr>
          <w:p w14:paraId="5517ACBD" w14:textId="77777777" w:rsidR="00E66B76" w:rsidRPr="00D9456F" w:rsidRDefault="00E66B76" w:rsidP="00E66B76">
            <w:pPr>
              <w:jc w:val="center"/>
              <w:rPr>
                <w:rFonts w:ascii="Arial" w:hAnsi="Arial" w:cs="Arial"/>
                <w:color w:val="000000"/>
                <w:sz w:val="18"/>
                <w:szCs w:val="18"/>
                <w:lang w:eastAsia="es-AR"/>
              </w:rPr>
            </w:pPr>
            <w:r w:rsidRPr="00D9456F">
              <w:rPr>
                <w:rFonts w:ascii="Arial" w:hAnsi="Arial" w:cs="Arial"/>
                <w:color w:val="000000"/>
                <w:sz w:val="18"/>
                <w:szCs w:val="18"/>
                <w:lang w:eastAsia="es-AR"/>
              </w:rPr>
              <w:t>Otras</w:t>
            </w:r>
          </w:p>
        </w:tc>
        <w:tc>
          <w:tcPr>
            <w:tcW w:w="595" w:type="pct"/>
            <w:tcBorders>
              <w:top w:val="nil"/>
              <w:left w:val="nil"/>
              <w:bottom w:val="single" w:sz="4" w:space="0" w:color="auto"/>
              <w:right w:val="single" w:sz="4" w:space="0" w:color="auto"/>
            </w:tcBorders>
            <w:shd w:val="clear" w:color="auto" w:fill="auto"/>
            <w:noWrap/>
            <w:vAlign w:val="bottom"/>
          </w:tcPr>
          <w:p w14:paraId="084AA103" w14:textId="77777777" w:rsidR="00E66B76" w:rsidRPr="00D9456F" w:rsidRDefault="00E66B76" w:rsidP="00E66B76">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nil"/>
              <w:left w:val="nil"/>
              <w:bottom w:val="single" w:sz="8" w:space="0" w:color="auto"/>
              <w:right w:val="single" w:sz="8" w:space="0" w:color="auto"/>
            </w:tcBorders>
            <w:shd w:val="clear" w:color="auto" w:fill="auto"/>
            <w:noWrap/>
            <w:vAlign w:val="bottom"/>
          </w:tcPr>
          <w:p w14:paraId="320F951B" w14:textId="151BAA29" w:rsidR="00E66B76" w:rsidRPr="00E66B76" w:rsidRDefault="00E66B76" w:rsidP="00E66B76">
            <w:pPr>
              <w:jc w:val="right"/>
              <w:rPr>
                <w:rFonts w:ascii="Arial" w:hAnsi="Arial" w:cs="Arial"/>
                <w:color w:val="000000"/>
                <w:sz w:val="18"/>
                <w:szCs w:val="18"/>
                <w:lang w:eastAsia="es-AR"/>
              </w:rPr>
            </w:pPr>
            <w:r w:rsidRPr="00E66B76">
              <w:rPr>
                <w:rFonts w:ascii="Arial" w:hAnsi="Arial" w:cs="Arial"/>
                <w:sz w:val="18"/>
                <w:szCs w:val="18"/>
              </w:rPr>
              <w:t xml:space="preserve">45.536 </w:t>
            </w:r>
          </w:p>
        </w:tc>
        <w:tc>
          <w:tcPr>
            <w:tcW w:w="676" w:type="pct"/>
            <w:tcBorders>
              <w:top w:val="nil"/>
              <w:left w:val="nil"/>
              <w:bottom w:val="single" w:sz="8" w:space="0" w:color="auto"/>
              <w:right w:val="single" w:sz="8" w:space="0" w:color="auto"/>
            </w:tcBorders>
            <w:shd w:val="clear" w:color="auto" w:fill="auto"/>
            <w:vAlign w:val="bottom"/>
          </w:tcPr>
          <w:p w14:paraId="1AD7FC4F" w14:textId="5911CB39" w:rsidR="00E66B76" w:rsidRPr="00D9456F" w:rsidRDefault="00E66B76" w:rsidP="00E66B76">
            <w:pPr>
              <w:jc w:val="right"/>
              <w:rPr>
                <w:rFonts w:ascii="Arial" w:hAnsi="Arial" w:cs="Arial"/>
                <w:color w:val="000000"/>
                <w:sz w:val="18"/>
                <w:szCs w:val="18"/>
                <w:lang w:eastAsia="es-AR"/>
              </w:rPr>
            </w:pPr>
            <w:r w:rsidRPr="00E66B76">
              <w:rPr>
                <w:rFonts w:ascii="Arial" w:hAnsi="Arial" w:cs="Arial"/>
                <w:sz w:val="18"/>
                <w:szCs w:val="18"/>
              </w:rPr>
              <w:t xml:space="preserve">45.536 </w:t>
            </w:r>
          </w:p>
        </w:tc>
        <w:tc>
          <w:tcPr>
            <w:tcW w:w="595" w:type="pct"/>
            <w:tcBorders>
              <w:top w:val="nil"/>
              <w:left w:val="nil"/>
              <w:bottom w:val="single" w:sz="4" w:space="0" w:color="auto"/>
              <w:right w:val="single" w:sz="4" w:space="0" w:color="auto"/>
            </w:tcBorders>
            <w:shd w:val="clear" w:color="auto" w:fill="auto"/>
            <w:vAlign w:val="bottom"/>
          </w:tcPr>
          <w:p w14:paraId="6AF731D2" w14:textId="77777777" w:rsidR="00E66B76" w:rsidRPr="00D9456F" w:rsidRDefault="00E66B76" w:rsidP="00E66B76">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283F3E4D"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32.617 </w:t>
            </w:r>
          </w:p>
        </w:tc>
        <w:tc>
          <w:tcPr>
            <w:tcW w:w="675" w:type="pct"/>
            <w:tcBorders>
              <w:top w:val="nil"/>
              <w:left w:val="nil"/>
              <w:bottom w:val="single" w:sz="4" w:space="0" w:color="auto"/>
              <w:right w:val="single" w:sz="4" w:space="0" w:color="auto"/>
            </w:tcBorders>
            <w:vAlign w:val="bottom"/>
          </w:tcPr>
          <w:p w14:paraId="1D45D0F0"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 xml:space="preserve">32.617 </w:t>
            </w:r>
          </w:p>
        </w:tc>
      </w:tr>
      <w:tr w:rsidR="00E66B76" w:rsidRPr="00D9456F" w14:paraId="32F7D167" w14:textId="77777777" w:rsidTr="007D7797">
        <w:trPr>
          <w:trHeight w:val="255"/>
          <w:tblHeader/>
          <w:jc w:val="center"/>
        </w:trPr>
        <w:tc>
          <w:tcPr>
            <w:tcW w:w="1194" w:type="pct"/>
            <w:vMerge/>
            <w:tcBorders>
              <w:top w:val="nil"/>
              <w:left w:val="single" w:sz="4" w:space="0" w:color="auto"/>
              <w:bottom w:val="single" w:sz="4" w:space="0" w:color="auto"/>
              <w:right w:val="single" w:sz="4" w:space="0" w:color="auto"/>
            </w:tcBorders>
            <w:vAlign w:val="center"/>
            <w:hideMark/>
          </w:tcPr>
          <w:p w14:paraId="6E365D7C" w14:textId="77777777" w:rsidR="00E66B76" w:rsidRPr="00D9456F" w:rsidRDefault="00E66B76" w:rsidP="00E66B76">
            <w:pPr>
              <w:rPr>
                <w:rFonts w:ascii="Arial" w:hAnsi="Arial" w:cs="Arial"/>
                <w:color w:val="000000"/>
                <w:sz w:val="18"/>
                <w:szCs w:val="18"/>
                <w:lang w:eastAsia="es-AR"/>
              </w:rPr>
            </w:pPr>
          </w:p>
        </w:tc>
        <w:tc>
          <w:tcPr>
            <w:tcW w:w="595" w:type="pct"/>
            <w:tcBorders>
              <w:top w:val="nil"/>
              <w:left w:val="nil"/>
              <w:bottom w:val="single" w:sz="4" w:space="0" w:color="auto"/>
              <w:right w:val="single" w:sz="4" w:space="0" w:color="auto"/>
            </w:tcBorders>
            <w:shd w:val="clear" w:color="auto" w:fill="auto"/>
            <w:noWrap/>
            <w:vAlign w:val="bottom"/>
          </w:tcPr>
          <w:p w14:paraId="36AD4958" w14:textId="77777777" w:rsidR="00E66B76" w:rsidRPr="00D9456F" w:rsidRDefault="00E66B76" w:rsidP="00E66B76">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nil"/>
              <w:left w:val="nil"/>
              <w:bottom w:val="single" w:sz="8" w:space="0" w:color="auto"/>
              <w:right w:val="single" w:sz="8" w:space="0" w:color="auto"/>
            </w:tcBorders>
            <w:shd w:val="clear" w:color="auto" w:fill="auto"/>
            <w:noWrap/>
            <w:vAlign w:val="bottom"/>
          </w:tcPr>
          <w:p w14:paraId="30E39301" w14:textId="12777D9A" w:rsidR="00E66B76" w:rsidRPr="00E66B76" w:rsidRDefault="00E66B76" w:rsidP="00E66B76">
            <w:pPr>
              <w:jc w:val="right"/>
              <w:rPr>
                <w:rFonts w:ascii="Arial" w:hAnsi="Arial" w:cs="Arial"/>
                <w:color w:val="000000"/>
                <w:sz w:val="18"/>
                <w:szCs w:val="18"/>
                <w:lang w:eastAsia="es-AR"/>
              </w:rPr>
            </w:pPr>
            <w:r w:rsidRPr="00E66B76">
              <w:rPr>
                <w:rFonts w:ascii="Arial" w:hAnsi="Arial" w:cs="Arial"/>
                <w:sz w:val="18"/>
                <w:szCs w:val="18"/>
              </w:rPr>
              <w:t>(45.536)</w:t>
            </w:r>
          </w:p>
        </w:tc>
        <w:tc>
          <w:tcPr>
            <w:tcW w:w="676" w:type="pct"/>
            <w:tcBorders>
              <w:top w:val="nil"/>
              <w:left w:val="nil"/>
              <w:bottom w:val="single" w:sz="8" w:space="0" w:color="auto"/>
              <w:right w:val="single" w:sz="8" w:space="0" w:color="auto"/>
            </w:tcBorders>
            <w:shd w:val="clear" w:color="auto" w:fill="auto"/>
            <w:vAlign w:val="bottom"/>
          </w:tcPr>
          <w:p w14:paraId="258B65A1" w14:textId="252F0830" w:rsidR="00E66B76" w:rsidRPr="00D9456F" w:rsidRDefault="00E66B76" w:rsidP="00E66B76">
            <w:pPr>
              <w:jc w:val="right"/>
              <w:rPr>
                <w:rFonts w:ascii="Arial" w:hAnsi="Arial" w:cs="Arial"/>
                <w:color w:val="000000"/>
                <w:sz w:val="18"/>
                <w:szCs w:val="18"/>
                <w:lang w:eastAsia="es-AR"/>
              </w:rPr>
            </w:pPr>
            <w:r w:rsidRPr="00E66B76">
              <w:rPr>
                <w:rFonts w:ascii="Arial" w:hAnsi="Arial" w:cs="Arial"/>
                <w:sz w:val="18"/>
                <w:szCs w:val="18"/>
              </w:rPr>
              <w:t>(45.536)</w:t>
            </w:r>
          </w:p>
        </w:tc>
        <w:tc>
          <w:tcPr>
            <w:tcW w:w="595" w:type="pct"/>
            <w:tcBorders>
              <w:top w:val="nil"/>
              <w:left w:val="nil"/>
              <w:bottom w:val="single" w:sz="4" w:space="0" w:color="auto"/>
              <w:right w:val="single" w:sz="4" w:space="0" w:color="auto"/>
            </w:tcBorders>
            <w:shd w:val="clear" w:color="auto" w:fill="auto"/>
            <w:vAlign w:val="bottom"/>
          </w:tcPr>
          <w:p w14:paraId="6FC6AA47" w14:textId="77777777" w:rsidR="00E66B76" w:rsidRPr="00D9456F" w:rsidRDefault="00E66B76" w:rsidP="00E66B76">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337F4900"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(32.617)</w:t>
            </w:r>
          </w:p>
        </w:tc>
        <w:tc>
          <w:tcPr>
            <w:tcW w:w="675" w:type="pct"/>
            <w:tcBorders>
              <w:top w:val="nil"/>
              <w:left w:val="nil"/>
              <w:bottom w:val="single" w:sz="4" w:space="0" w:color="auto"/>
              <w:right w:val="single" w:sz="4" w:space="0" w:color="auto"/>
            </w:tcBorders>
            <w:vAlign w:val="bottom"/>
          </w:tcPr>
          <w:p w14:paraId="35204B5C" w14:textId="77777777"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(32.617)</w:t>
            </w:r>
          </w:p>
        </w:tc>
      </w:tr>
      <w:tr w:rsidR="00E66B76" w:rsidRPr="00D9456F" w14:paraId="7F7DA00C" w14:textId="77777777" w:rsidTr="007D7797">
        <w:trPr>
          <w:trHeight w:val="255"/>
          <w:tblHeader/>
          <w:jc w:val="center"/>
        </w:trPr>
        <w:tc>
          <w:tcPr>
            <w:tcW w:w="1194" w:type="pct"/>
            <w:vMerge w:val="restart"/>
            <w:tcBorders>
              <w:top w:val="nil"/>
              <w:left w:val="single" w:sz="4" w:space="0" w:color="auto"/>
              <w:bottom w:val="single" w:sz="4" w:space="0" w:color="auto"/>
              <w:right w:val="single" w:sz="4" w:space="0" w:color="auto"/>
            </w:tcBorders>
            <w:shd w:val="clear" w:color="auto" w:fill="auto"/>
            <w:vAlign w:val="center"/>
            <w:hideMark/>
          </w:tcPr>
          <w:p w14:paraId="6829331C" w14:textId="77777777" w:rsidR="00E66B76" w:rsidRPr="00D9456F" w:rsidRDefault="00E66B76" w:rsidP="00E66B76">
            <w:pPr>
              <w:jc w:val="center"/>
              <w:rPr>
                <w:rFonts w:ascii="Arial" w:hAnsi="Arial" w:cs="Arial"/>
                <w:color w:val="000000"/>
                <w:sz w:val="18"/>
                <w:szCs w:val="18"/>
                <w:lang w:eastAsia="es-AR"/>
              </w:rPr>
            </w:pPr>
            <w:r w:rsidRPr="00D9456F">
              <w:rPr>
                <w:rFonts w:ascii="Arial" w:hAnsi="Arial" w:cs="Arial"/>
                <w:color w:val="000000"/>
                <w:sz w:val="18"/>
                <w:szCs w:val="18"/>
                <w:lang w:eastAsia="es-AR"/>
              </w:rPr>
              <w:t>Total</w:t>
            </w:r>
          </w:p>
        </w:tc>
        <w:tc>
          <w:tcPr>
            <w:tcW w:w="595" w:type="pct"/>
            <w:tcBorders>
              <w:top w:val="nil"/>
              <w:left w:val="nil"/>
              <w:bottom w:val="single" w:sz="4" w:space="0" w:color="auto"/>
              <w:right w:val="single" w:sz="4" w:space="0" w:color="auto"/>
            </w:tcBorders>
            <w:shd w:val="clear" w:color="auto" w:fill="auto"/>
            <w:noWrap/>
            <w:vAlign w:val="bottom"/>
          </w:tcPr>
          <w:p w14:paraId="0F9A9915" w14:textId="77777777" w:rsidR="00E66B76" w:rsidRPr="00D9456F" w:rsidRDefault="00E66B76" w:rsidP="00E66B76">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nil"/>
              <w:left w:val="nil"/>
              <w:bottom w:val="single" w:sz="8" w:space="0" w:color="auto"/>
              <w:right w:val="single" w:sz="8" w:space="0" w:color="auto"/>
            </w:tcBorders>
            <w:shd w:val="clear" w:color="auto" w:fill="auto"/>
            <w:noWrap/>
            <w:vAlign w:val="bottom"/>
          </w:tcPr>
          <w:p w14:paraId="38EF8149" w14:textId="3FD4BB83" w:rsidR="00E66B76" w:rsidRPr="00E66B76" w:rsidRDefault="00E66B76" w:rsidP="00E66B76">
            <w:pPr>
              <w:jc w:val="right"/>
              <w:rPr>
                <w:rFonts w:ascii="Arial" w:hAnsi="Arial" w:cs="Arial"/>
                <w:color w:val="000000"/>
                <w:sz w:val="18"/>
                <w:szCs w:val="18"/>
                <w:lang w:eastAsia="es-AR"/>
              </w:rPr>
            </w:pPr>
            <w:r w:rsidRPr="00E66B76">
              <w:rPr>
                <w:rFonts w:ascii="Arial" w:hAnsi="Arial" w:cs="Arial"/>
                <w:sz w:val="18"/>
                <w:szCs w:val="18"/>
              </w:rPr>
              <w:t xml:space="preserve">208.339 </w:t>
            </w:r>
          </w:p>
        </w:tc>
        <w:tc>
          <w:tcPr>
            <w:tcW w:w="676" w:type="pct"/>
            <w:tcBorders>
              <w:top w:val="nil"/>
              <w:left w:val="nil"/>
              <w:bottom w:val="single" w:sz="8" w:space="0" w:color="auto"/>
              <w:right w:val="single" w:sz="8" w:space="0" w:color="auto"/>
            </w:tcBorders>
            <w:shd w:val="clear" w:color="auto" w:fill="auto"/>
            <w:vAlign w:val="bottom"/>
          </w:tcPr>
          <w:p w14:paraId="573FB25F" w14:textId="4D020609" w:rsidR="00E66B76" w:rsidRPr="00D9456F" w:rsidRDefault="00E66B76" w:rsidP="00E66B76">
            <w:pPr>
              <w:jc w:val="right"/>
              <w:rPr>
                <w:rFonts w:ascii="Arial" w:hAnsi="Arial" w:cs="Arial"/>
                <w:color w:val="000000"/>
                <w:sz w:val="18"/>
                <w:szCs w:val="18"/>
                <w:lang w:eastAsia="es-AR"/>
              </w:rPr>
            </w:pPr>
            <w:r w:rsidRPr="00E66B76">
              <w:rPr>
                <w:rFonts w:ascii="Arial" w:hAnsi="Arial" w:cs="Arial"/>
                <w:sz w:val="18"/>
                <w:szCs w:val="18"/>
              </w:rPr>
              <w:t xml:space="preserve">208.339 </w:t>
            </w:r>
          </w:p>
        </w:tc>
        <w:tc>
          <w:tcPr>
            <w:tcW w:w="595" w:type="pct"/>
            <w:tcBorders>
              <w:top w:val="nil"/>
              <w:left w:val="nil"/>
              <w:bottom w:val="single" w:sz="4" w:space="0" w:color="auto"/>
              <w:right w:val="single" w:sz="4" w:space="0" w:color="auto"/>
            </w:tcBorders>
            <w:shd w:val="clear" w:color="auto" w:fill="auto"/>
            <w:vAlign w:val="bottom"/>
          </w:tcPr>
          <w:p w14:paraId="41AAD315" w14:textId="77777777" w:rsidR="00E66B76" w:rsidRPr="00D9456F" w:rsidRDefault="00E66B76" w:rsidP="00E66B76">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5170AE09" w14:textId="73D6D0FC"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366.33</w:t>
            </w:r>
            <w:r w:rsidR="00991C8D">
              <w:rPr>
                <w:rFonts w:ascii="Arial" w:hAnsi="Arial" w:cs="Arial"/>
                <w:color w:val="000000"/>
                <w:sz w:val="18"/>
                <w:szCs w:val="18"/>
                <w:lang w:eastAsia="es-AR"/>
              </w:rPr>
              <w:t>6</w:t>
            </w:r>
            <w:r w:rsidRPr="00D9456F">
              <w:rPr>
                <w:rFonts w:ascii="Arial" w:hAnsi="Arial" w:cs="Arial"/>
                <w:color w:val="000000"/>
                <w:sz w:val="18"/>
                <w:szCs w:val="18"/>
                <w:lang w:eastAsia="es-AR"/>
              </w:rPr>
              <w:t xml:space="preserve"> </w:t>
            </w:r>
          </w:p>
        </w:tc>
        <w:tc>
          <w:tcPr>
            <w:tcW w:w="675" w:type="pct"/>
            <w:tcBorders>
              <w:top w:val="nil"/>
              <w:left w:val="nil"/>
              <w:bottom w:val="single" w:sz="4" w:space="0" w:color="auto"/>
              <w:right w:val="single" w:sz="4" w:space="0" w:color="auto"/>
            </w:tcBorders>
            <w:vAlign w:val="bottom"/>
          </w:tcPr>
          <w:p w14:paraId="6AD16E34" w14:textId="131C4943"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366.33</w:t>
            </w:r>
            <w:r w:rsidR="00991C8D">
              <w:rPr>
                <w:rFonts w:ascii="Arial" w:hAnsi="Arial" w:cs="Arial"/>
                <w:color w:val="000000"/>
                <w:sz w:val="18"/>
                <w:szCs w:val="18"/>
                <w:lang w:eastAsia="es-AR"/>
              </w:rPr>
              <w:t>6</w:t>
            </w:r>
            <w:r w:rsidRPr="00D9456F">
              <w:rPr>
                <w:rFonts w:ascii="Arial" w:hAnsi="Arial" w:cs="Arial"/>
                <w:color w:val="000000"/>
                <w:sz w:val="18"/>
                <w:szCs w:val="18"/>
                <w:lang w:eastAsia="es-AR"/>
              </w:rPr>
              <w:t xml:space="preserve"> </w:t>
            </w:r>
          </w:p>
        </w:tc>
      </w:tr>
      <w:tr w:rsidR="00E66B76" w:rsidRPr="00D9456F" w14:paraId="5994918C" w14:textId="77777777" w:rsidTr="007D7797">
        <w:trPr>
          <w:trHeight w:val="255"/>
          <w:tblHeader/>
          <w:jc w:val="center"/>
        </w:trPr>
        <w:tc>
          <w:tcPr>
            <w:tcW w:w="1194" w:type="pct"/>
            <w:vMerge/>
            <w:tcBorders>
              <w:top w:val="nil"/>
              <w:left w:val="single" w:sz="4" w:space="0" w:color="auto"/>
              <w:bottom w:val="single" w:sz="4" w:space="0" w:color="auto"/>
              <w:right w:val="single" w:sz="4" w:space="0" w:color="auto"/>
            </w:tcBorders>
            <w:vAlign w:val="center"/>
            <w:hideMark/>
          </w:tcPr>
          <w:p w14:paraId="1171E094" w14:textId="77777777" w:rsidR="00E66B76" w:rsidRPr="00D9456F" w:rsidRDefault="00E66B76" w:rsidP="00E66B76">
            <w:pPr>
              <w:rPr>
                <w:rFonts w:ascii="Arial" w:hAnsi="Arial" w:cs="Arial"/>
                <w:color w:val="000000"/>
                <w:sz w:val="18"/>
                <w:szCs w:val="18"/>
                <w:lang w:eastAsia="es-AR"/>
              </w:rPr>
            </w:pPr>
          </w:p>
        </w:tc>
        <w:tc>
          <w:tcPr>
            <w:tcW w:w="595" w:type="pct"/>
            <w:tcBorders>
              <w:top w:val="nil"/>
              <w:left w:val="nil"/>
              <w:bottom w:val="single" w:sz="4" w:space="0" w:color="auto"/>
              <w:right w:val="single" w:sz="4" w:space="0" w:color="auto"/>
            </w:tcBorders>
            <w:shd w:val="clear" w:color="auto" w:fill="auto"/>
            <w:noWrap/>
            <w:vAlign w:val="bottom"/>
          </w:tcPr>
          <w:p w14:paraId="58C136C0" w14:textId="77777777" w:rsidR="00E66B76" w:rsidRPr="00D9456F" w:rsidRDefault="00E66B76" w:rsidP="00E66B76">
            <w:pPr>
              <w:jc w:val="center"/>
              <w:rPr>
                <w:rFonts w:ascii="Arial" w:hAnsi="Arial" w:cs="Arial"/>
                <w:color w:val="000000"/>
                <w:sz w:val="18"/>
                <w:szCs w:val="18"/>
                <w:lang w:eastAsia="es-AR"/>
              </w:rPr>
            </w:pPr>
            <w:r w:rsidRPr="001B611B">
              <w:rPr>
                <w:rFonts w:ascii="Arial" w:hAnsi="Arial" w:cs="Arial"/>
                <w:color w:val="000000"/>
                <w:sz w:val="18"/>
                <w:szCs w:val="18"/>
                <w:lang w:eastAsia="es-AR"/>
              </w:rPr>
              <w:t>-31,9%</w:t>
            </w:r>
          </w:p>
        </w:tc>
        <w:tc>
          <w:tcPr>
            <w:tcW w:w="632" w:type="pct"/>
            <w:tcBorders>
              <w:top w:val="nil"/>
              <w:left w:val="nil"/>
              <w:bottom w:val="single" w:sz="8" w:space="0" w:color="auto"/>
              <w:right w:val="single" w:sz="8" w:space="0" w:color="auto"/>
            </w:tcBorders>
            <w:shd w:val="clear" w:color="auto" w:fill="auto"/>
            <w:noWrap/>
            <w:vAlign w:val="bottom"/>
          </w:tcPr>
          <w:p w14:paraId="075E4B4E" w14:textId="7816DD14" w:rsidR="00E66B76" w:rsidRPr="00E66B76" w:rsidRDefault="00E66B76" w:rsidP="00E66B76">
            <w:pPr>
              <w:jc w:val="right"/>
              <w:rPr>
                <w:rFonts w:ascii="Arial" w:hAnsi="Arial" w:cs="Arial"/>
                <w:color w:val="000000"/>
                <w:sz w:val="18"/>
                <w:szCs w:val="18"/>
                <w:lang w:eastAsia="es-AR"/>
              </w:rPr>
            </w:pPr>
            <w:r w:rsidRPr="00E66B76">
              <w:rPr>
                <w:rFonts w:ascii="Arial" w:hAnsi="Arial" w:cs="Arial"/>
                <w:sz w:val="18"/>
                <w:szCs w:val="18"/>
              </w:rPr>
              <w:t>(208.339)</w:t>
            </w:r>
          </w:p>
        </w:tc>
        <w:tc>
          <w:tcPr>
            <w:tcW w:w="676" w:type="pct"/>
            <w:tcBorders>
              <w:top w:val="nil"/>
              <w:left w:val="nil"/>
              <w:bottom w:val="single" w:sz="8" w:space="0" w:color="auto"/>
              <w:right w:val="single" w:sz="8" w:space="0" w:color="auto"/>
            </w:tcBorders>
            <w:shd w:val="clear" w:color="auto" w:fill="auto"/>
            <w:vAlign w:val="bottom"/>
          </w:tcPr>
          <w:p w14:paraId="477BA3DC" w14:textId="797444FB" w:rsidR="00E66B76" w:rsidRPr="00D9456F" w:rsidRDefault="00E66B76" w:rsidP="00E66B76">
            <w:pPr>
              <w:jc w:val="right"/>
              <w:rPr>
                <w:rFonts w:ascii="Arial" w:hAnsi="Arial" w:cs="Arial"/>
                <w:color w:val="000000"/>
                <w:sz w:val="18"/>
                <w:szCs w:val="18"/>
                <w:lang w:eastAsia="es-AR"/>
              </w:rPr>
            </w:pPr>
            <w:r w:rsidRPr="00E66B76">
              <w:rPr>
                <w:rFonts w:ascii="Arial" w:hAnsi="Arial" w:cs="Arial"/>
                <w:sz w:val="18"/>
                <w:szCs w:val="18"/>
              </w:rPr>
              <w:t>(208.339)</w:t>
            </w:r>
          </w:p>
        </w:tc>
        <w:tc>
          <w:tcPr>
            <w:tcW w:w="595" w:type="pct"/>
            <w:tcBorders>
              <w:top w:val="nil"/>
              <w:left w:val="nil"/>
              <w:bottom w:val="single" w:sz="4" w:space="0" w:color="auto"/>
              <w:right w:val="single" w:sz="4" w:space="0" w:color="auto"/>
            </w:tcBorders>
            <w:shd w:val="clear" w:color="auto" w:fill="auto"/>
            <w:vAlign w:val="bottom"/>
          </w:tcPr>
          <w:p w14:paraId="6D4A156C" w14:textId="77777777" w:rsidR="00E66B76" w:rsidRPr="00D9456F" w:rsidRDefault="00E66B76" w:rsidP="00E66B76">
            <w:pPr>
              <w:jc w:val="center"/>
              <w:rPr>
                <w:rFonts w:ascii="Arial" w:hAnsi="Arial" w:cs="Arial"/>
                <w:color w:val="000000"/>
                <w:sz w:val="18"/>
                <w:szCs w:val="18"/>
                <w:highlight w:val="yellow"/>
                <w:lang w:eastAsia="es-AR"/>
              </w:rPr>
            </w:pPr>
            <w:r w:rsidRPr="00D9456F">
              <w:rPr>
                <w:rFonts w:ascii="Arial" w:hAnsi="Arial" w:cs="Arial"/>
                <w:color w:val="000000"/>
                <w:sz w:val="18"/>
                <w:szCs w:val="18"/>
                <w:lang w:eastAsia="es-AR"/>
              </w:rPr>
              <w:t>-29%</w:t>
            </w:r>
          </w:p>
        </w:tc>
        <w:tc>
          <w:tcPr>
            <w:tcW w:w="632" w:type="pct"/>
            <w:tcBorders>
              <w:top w:val="nil"/>
              <w:left w:val="nil"/>
              <w:bottom w:val="single" w:sz="4" w:space="0" w:color="auto"/>
              <w:right w:val="single" w:sz="4" w:space="0" w:color="auto"/>
            </w:tcBorders>
            <w:shd w:val="clear" w:color="auto" w:fill="auto"/>
            <w:vAlign w:val="bottom"/>
          </w:tcPr>
          <w:p w14:paraId="4E24BCA8" w14:textId="3F33509A"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(366.33</w:t>
            </w:r>
            <w:r w:rsidR="00991C8D">
              <w:rPr>
                <w:rFonts w:ascii="Arial" w:hAnsi="Arial" w:cs="Arial"/>
                <w:color w:val="000000"/>
                <w:sz w:val="18"/>
                <w:szCs w:val="18"/>
                <w:lang w:eastAsia="es-AR"/>
              </w:rPr>
              <w:t>6</w:t>
            </w:r>
            <w:r w:rsidRPr="00D9456F">
              <w:rPr>
                <w:rFonts w:ascii="Arial" w:hAnsi="Arial" w:cs="Arial"/>
                <w:color w:val="000000"/>
                <w:sz w:val="18"/>
                <w:szCs w:val="18"/>
                <w:lang w:eastAsia="es-AR"/>
              </w:rPr>
              <w:t>)</w:t>
            </w:r>
          </w:p>
        </w:tc>
        <w:tc>
          <w:tcPr>
            <w:tcW w:w="675" w:type="pct"/>
            <w:tcBorders>
              <w:top w:val="nil"/>
              <w:left w:val="nil"/>
              <w:bottom w:val="single" w:sz="4" w:space="0" w:color="auto"/>
              <w:right w:val="single" w:sz="4" w:space="0" w:color="auto"/>
            </w:tcBorders>
            <w:vAlign w:val="bottom"/>
          </w:tcPr>
          <w:p w14:paraId="72664C93" w14:textId="2EA805CE" w:rsidR="00E66B76" w:rsidRPr="00D9456F" w:rsidRDefault="00E66B76" w:rsidP="00E66B76">
            <w:pPr>
              <w:jc w:val="right"/>
              <w:rPr>
                <w:rFonts w:ascii="Arial" w:hAnsi="Arial" w:cs="Arial"/>
                <w:color w:val="000000"/>
                <w:sz w:val="18"/>
                <w:szCs w:val="18"/>
                <w:highlight w:val="yellow"/>
                <w:lang w:eastAsia="es-AR"/>
              </w:rPr>
            </w:pPr>
            <w:r w:rsidRPr="00D9456F">
              <w:rPr>
                <w:rFonts w:ascii="Arial" w:hAnsi="Arial" w:cs="Arial"/>
                <w:color w:val="000000"/>
                <w:sz w:val="18"/>
                <w:szCs w:val="18"/>
                <w:lang w:eastAsia="es-AR"/>
              </w:rPr>
              <w:t>(366.33</w:t>
            </w:r>
            <w:r w:rsidR="00991C8D">
              <w:rPr>
                <w:rFonts w:ascii="Arial" w:hAnsi="Arial" w:cs="Arial"/>
                <w:color w:val="000000"/>
                <w:sz w:val="18"/>
                <w:szCs w:val="18"/>
                <w:lang w:eastAsia="es-AR"/>
              </w:rPr>
              <w:t>6</w:t>
            </w:r>
            <w:r w:rsidRPr="00D9456F">
              <w:rPr>
                <w:rFonts w:ascii="Arial" w:hAnsi="Arial" w:cs="Arial"/>
                <w:color w:val="000000"/>
                <w:sz w:val="18"/>
                <w:szCs w:val="18"/>
                <w:lang w:eastAsia="es-AR"/>
              </w:rPr>
              <w:t>)</w:t>
            </w:r>
          </w:p>
        </w:tc>
      </w:tr>
    </w:tbl>
    <w:p w14:paraId="33A0824D" w14:textId="77777777" w:rsidR="00EE283D" w:rsidRDefault="00EE283D" w:rsidP="00EE283D">
      <w:pPr>
        <w:tabs>
          <w:tab w:val="left" w:pos="142"/>
        </w:tabs>
        <w:spacing w:after="200"/>
        <w:jc w:val="both"/>
        <w:rPr>
          <w:rFonts w:ascii="Arial" w:hAnsi="Arial" w:cs="Arial"/>
          <w:sz w:val="20"/>
        </w:rPr>
      </w:pPr>
    </w:p>
    <w:p w14:paraId="2FB380AA" w14:textId="77777777" w:rsidR="00EE283D" w:rsidRPr="00C92384" w:rsidRDefault="00EE283D" w:rsidP="00EE283D">
      <w:pPr>
        <w:tabs>
          <w:tab w:val="left" w:pos="142"/>
        </w:tabs>
        <w:spacing w:after="200"/>
        <w:jc w:val="both"/>
        <w:rPr>
          <w:rFonts w:ascii="Arial" w:hAnsi="Arial" w:cs="Arial"/>
          <w:sz w:val="20"/>
          <w:u w:val="single"/>
          <w:lang w:val="es-ES_tradnl" w:eastAsia="es-AR"/>
        </w:rPr>
      </w:pPr>
      <w:r w:rsidRPr="00C92384">
        <w:rPr>
          <w:rFonts w:ascii="Arial" w:hAnsi="Arial" w:cs="Arial"/>
          <w:sz w:val="20"/>
          <w:u w:val="single"/>
          <w:lang w:val="es-ES_tradnl" w:eastAsia="es-AR"/>
        </w:rPr>
        <w:t>Análisis de Sensibilidad</w:t>
      </w:r>
    </w:p>
    <w:p w14:paraId="145BD88C" w14:textId="77777777" w:rsidR="00EE283D" w:rsidRDefault="00EE283D" w:rsidP="00EE283D">
      <w:pPr>
        <w:tabs>
          <w:tab w:val="left" w:pos="142"/>
        </w:tabs>
        <w:spacing w:after="200"/>
        <w:jc w:val="both"/>
        <w:rPr>
          <w:rFonts w:ascii="Arial" w:hAnsi="Arial" w:cs="Arial"/>
          <w:sz w:val="20"/>
          <w:lang w:val="es-ES_tradnl" w:eastAsia="es-AR"/>
        </w:rPr>
      </w:pPr>
      <w:r>
        <w:rPr>
          <w:rFonts w:ascii="Arial" w:hAnsi="Arial" w:cs="Arial"/>
          <w:sz w:val="20"/>
          <w:lang w:val="es-ES_tradnl" w:eastAsia="es-AR"/>
        </w:rPr>
        <w:t>Es importante destacar que dentro del informe diario provisto a la Mesa de Dinero para el monitoreo de la exposición a riesgo asumida, la Gerencia de Riesgos Financieros realiza una contraposición entre la rentabilidad obtenida y el riesgo implícito. Al emplearse una metodología de VaR diversificado resulta importante brindar información relacionada con el aporte que cada activo en cartera hace a la medición de VaR agregada, y fundamentalmente si ese activo genera o no diversificación de riesgo. Es por ello que dentro de las variables incluidas en la reportería diaria se incluye el Component VaR de cada activo, permitiendo así un análisis de sensibilidad sobre el impacto de cada activo en la exposición a riesgo total.</w:t>
      </w:r>
    </w:p>
    <w:p w14:paraId="228F1DB8" w14:textId="77777777" w:rsidR="00EE283D" w:rsidRDefault="00EE283D" w:rsidP="00EE283D">
      <w:pPr>
        <w:tabs>
          <w:tab w:val="left" w:pos="142"/>
        </w:tabs>
        <w:spacing w:after="200"/>
        <w:jc w:val="both"/>
        <w:rPr>
          <w:rFonts w:ascii="Arial" w:hAnsi="Arial" w:cs="Arial"/>
          <w:sz w:val="20"/>
          <w:lang w:val="es-ES_tradnl" w:eastAsia="es-AR"/>
        </w:rPr>
      </w:pPr>
      <w:r>
        <w:rPr>
          <w:rFonts w:ascii="Arial" w:hAnsi="Arial" w:cs="Arial"/>
          <w:sz w:val="20"/>
          <w:lang w:val="es-ES_tradnl" w:eastAsia="es-AR"/>
        </w:rPr>
        <w:t xml:space="preserve">Con el objetivo de nutrir el análisis del riesgo asumido con métricas alternativas de medición capaces de mitigar las críticas habituales que recaen sobre la metodología VaR, la Entidad reconoce el cambio en las condiciones de mercado sobre la exposición al riesgo utilizando un ajuste sobre las volatilidades empleadas en el cómputo del VaR. De acuerdo a la metodología empleada, los retornos de activos registrados en fechas más recientes tienen una mayor incidencia en el cálculo de volatilidades. Paralelamente, la Entidad realiza una medición y seguimiento del riesgo asumido a partir de la aplicación de una metodología de Expected Shortfall, analizándose así el universo de pérdidas inesperadas ubicadas en la cola de distribución más allá del punto crítico indicado por el VaR.   </w:t>
      </w:r>
    </w:p>
    <w:p w14:paraId="56C3303E" w14:textId="77777777" w:rsidR="00B2136F" w:rsidRDefault="00B2136F" w:rsidP="00EE283D">
      <w:pPr>
        <w:contextualSpacing/>
        <w:jc w:val="both"/>
        <w:rPr>
          <w:rFonts w:ascii="Arial" w:hAnsi="Arial" w:cs="Arial"/>
          <w:sz w:val="20"/>
          <w:u w:val="single"/>
          <w:lang w:val="es-ES_tradnl" w:eastAsia="es-AR"/>
        </w:rPr>
      </w:pPr>
    </w:p>
    <w:p w14:paraId="483C6248" w14:textId="77777777" w:rsidR="00B2136F" w:rsidRDefault="00B2136F" w:rsidP="00EE283D">
      <w:pPr>
        <w:contextualSpacing/>
        <w:jc w:val="both"/>
        <w:rPr>
          <w:rFonts w:ascii="Arial" w:hAnsi="Arial" w:cs="Arial"/>
          <w:sz w:val="20"/>
          <w:u w:val="single"/>
          <w:lang w:val="es-ES_tradnl" w:eastAsia="es-AR"/>
        </w:rPr>
      </w:pPr>
    </w:p>
    <w:p w14:paraId="5D6B0091" w14:textId="77777777" w:rsidR="00B2136F" w:rsidRDefault="00B2136F" w:rsidP="00EE283D">
      <w:pPr>
        <w:contextualSpacing/>
        <w:jc w:val="both"/>
        <w:rPr>
          <w:rFonts w:ascii="Arial" w:hAnsi="Arial" w:cs="Arial"/>
          <w:sz w:val="20"/>
          <w:u w:val="single"/>
          <w:lang w:val="es-ES_tradnl" w:eastAsia="es-AR"/>
        </w:rPr>
      </w:pPr>
    </w:p>
    <w:p w14:paraId="6773F1C9" w14:textId="4F933527" w:rsidR="00EE283D" w:rsidRPr="00C92384" w:rsidRDefault="00EE283D" w:rsidP="00EE283D">
      <w:pPr>
        <w:contextualSpacing/>
        <w:jc w:val="both"/>
        <w:rPr>
          <w:rFonts w:ascii="Arial" w:hAnsi="Arial" w:cs="Arial"/>
          <w:sz w:val="20"/>
          <w:u w:val="single"/>
          <w:lang w:val="es-ES_tradnl" w:eastAsia="es-AR"/>
        </w:rPr>
      </w:pPr>
      <w:r w:rsidRPr="00C92384">
        <w:rPr>
          <w:rFonts w:ascii="Arial" w:hAnsi="Arial" w:cs="Arial"/>
          <w:sz w:val="20"/>
          <w:u w:val="single"/>
          <w:lang w:val="es-ES_tradnl" w:eastAsia="es-AR"/>
        </w:rPr>
        <w:t>Cálculo de capital económico</w:t>
      </w:r>
    </w:p>
    <w:p w14:paraId="660F92F8" w14:textId="77777777" w:rsidR="00EE283D" w:rsidRPr="00701F32" w:rsidRDefault="00EE283D" w:rsidP="00EE283D">
      <w:pPr>
        <w:contextualSpacing/>
        <w:jc w:val="both"/>
        <w:rPr>
          <w:rFonts w:ascii="Arial" w:hAnsi="Arial" w:cs="Arial"/>
          <w:b/>
          <w:sz w:val="22"/>
          <w:szCs w:val="22"/>
          <w:lang w:val="es-ES_tradnl" w:eastAsia="es-AR"/>
        </w:rPr>
      </w:pPr>
    </w:p>
    <w:p w14:paraId="75DDB7AD" w14:textId="487D323E" w:rsidR="00EE283D" w:rsidRPr="00701F32" w:rsidRDefault="00EE283D" w:rsidP="00EE283D">
      <w:pPr>
        <w:pBdr>
          <w:top w:val="nil"/>
          <w:left w:val="nil"/>
          <w:bottom w:val="nil"/>
          <w:right w:val="nil"/>
          <w:between w:val="nil"/>
          <w:bar w:val="nil"/>
        </w:pBdr>
        <w:tabs>
          <w:tab w:val="left" w:pos="142"/>
        </w:tabs>
        <w:jc w:val="both"/>
        <w:rPr>
          <w:rFonts w:ascii="Arial" w:hAnsi="Arial" w:cs="Arial"/>
          <w:bCs/>
          <w:sz w:val="20"/>
          <w:lang w:eastAsia="es-AR"/>
        </w:rPr>
      </w:pPr>
      <w:r w:rsidRPr="00701F32">
        <w:rPr>
          <w:rFonts w:ascii="Arial" w:hAnsi="Arial" w:cs="Arial"/>
          <w:bCs/>
          <w:sz w:val="20"/>
          <w:lang w:eastAsia="es-AR"/>
        </w:rPr>
        <w:t xml:space="preserve">Banco Supervielle adopta la metodología de VaR Paramétrico </w:t>
      </w:r>
      <w:r>
        <w:rPr>
          <w:rFonts w:ascii="Arial" w:hAnsi="Arial" w:cs="Arial"/>
          <w:bCs/>
          <w:sz w:val="20"/>
          <w:lang w:eastAsia="es-AR"/>
        </w:rPr>
        <w:t xml:space="preserve">diversificado </w:t>
      </w:r>
      <w:r w:rsidRPr="00701F32">
        <w:rPr>
          <w:rFonts w:ascii="Arial" w:hAnsi="Arial" w:cs="Arial"/>
          <w:bCs/>
          <w:sz w:val="20"/>
          <w:lang w:eastAsia="es-AR"/>
        </w:rPr>
        <w:t>para el cálculo del capital económico por riesgo de mercado</w:t>
      </w:r>
      <w:r w:rsidR="001262DE">
        <w:rPr>
          <w:rFonts w:ascii="Arial" w:hAnsi="Arial" w:cs="Arial"/>
          <w:bCs/>
          <w:sz w:val="20"/>
          <w:lang w:eastAsia="es-AR"/>
        </w:rPr>
        <w:t>.</w:t>
      </w:r>
    </w:p>
    <w:p w14:paraId="55DC4D99" w14:textId="77777777" w:rsidR="00EE283D" w:rsidRPr="00701F32" w:rsidRDefault="00EE283D" w:rsidP="00EE283D">
      <w:pPr>
        <w:pBdr>
          <w:top w:val="nil"/>
          <w:left w:val="nil"/>
          <w:bottom w:val="nil"/>
          <w:right w:val="nil"/>
          <w:between w:val="nil"/>
          <w:bar w:val="nil"/>
        </w:pBdr>
        <w:tabs>
          <w:tab w:val="left" w:pos="142"/>
          <w:tab w:val="left" w:pos="993"/>
        </w:tabs>
        <w:jc w:val="both"/>
        <w:rPr>
          <w:rFonts w:ascii="Arial" w:eastAsia="Arial Unicode MS" w:hAnsi="Arial" w:cs="Arial"/>
          <w:b/>
          <w:bCs/>
          <w:sz w:val="20"/>
          <w:u w:val="single" w:color="000000"/>
          <w:bdr w:val="nil"/>
          <w:lang w:val="es-ES_tradnl" w:eastAsia="es-AR"/>
        </w:rPr>
      </w:pPr>
    </w:p>
    <w:p w14:paraId="7F99DA31" w14:textId="77777777" w:rsidR="00EE283D" w:rsidRPr="00701F32" w:rsidRDefault="00EE283D" w:rsidP="00EE283D">
      <w:pPr>
        <w:pBdr>
          <w:top w:val="nil"/>
          <w:left w:val="nil"/>
          <w:bottom w:val="nil"/>
          <w:right w:val="nil"/>
          <w:between w:val="nil"/>
          <w:bar w:val="nil"/>
        </w:pBdr>
        <w:tabs>
          <w:tab w:val="left" w:pos="142"/>
          <w:tab w:val="left" w:pos="993"/>
        </w:tabs>
        <w:jc w:val="both"/>
        <w:rPr>
          <w:rFonts w:ascii="Arial" w:eastAsia="Arial" w:hAnsi="Arial" w:cs="Arial"/>
          <w:b/>
          <w:bCs/>
          <w:sz w:val="20"/>
          <w:u w:val="single" w:color="000000"/>
          <w:bdr w:val="nil"/>
          <w:lang w:val="es-ES_tradnl" w:eastAsia="es-AR"/>
        </w:rPr>
      </w:pPr>
      <w:r w:rsidRPr="00701F32">
        <w:rPr>
          <w:rFonts w:ascii="Arial" w:eastAsia="Arial Unicode MS" w:hAnsi="Arial" w:cs="Arial"/>
          <w:b/>
          <w:bCs/>
          <w:sz w:val="20"/>
          <w:u w:val="single" w:color="000000"/>
          <w:bdr w:val="nil"/>
          <w:lang w:val="es-ES_tradnl" w:eastAsia="es-AR"/>
        </w:rPr>
        <w:t>Riesgo de tasa de interés</w:t>
      </w:r>
    </w:p>
    <w:p w14:paraId="4C54946B" w14:textId="77777777" w:rsidR="00EE283D" w:rsidRPr="00701F32" w:rsidRDefault="00EE283D" w:rsidP="00EE283D">
      <w:pPr>
        <w:pBdr>
          <w:top w:val="nil"/>
          <w:left w:val="nil"/>
          <w:bottom w:val="nil"/>
          <w:right w:val="nil"/>
          <w:between w:val="nil"/>
          <w:bar w:val="nil"/>
        </w:pBdr>
        <w:tabs>
          <w:tab w:val="left" w:pos="142"/>
        </w:tabs>
        <w:jc w:val="both"/>
        <w:rPr>
          <w:rFonts w:ascii="Arial" w:eastAsia="Arial" w:hAnsi="Arial" w:cs="Arial"/>
          <w:b/>
          <w:bCs/>
          <w:sz w:val="20"/>
          <w:u w:val="single" w:color="000000"/>
          <w:bdr w:val="nil"/>
          <w:lang w:val="es-ES_tradnl" w:eastAsia="es-AR"/>
        </w:rPr>
      </w:pPr>
    </w:p>
    <w:p w14:paraId="63CEA835" w14:textId="77777777" w:rsidR="00EE283D" w:rsidRPr="00701F32" w:rsidRDefault="00EE283D" w:rsidP="00EE283D">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Se define al riesgo de tasa de interés como el riesgo que se basa en la posibilidad de que se produzcan cambios en la condición financiera de la Entidad como consecuencia de fluctuaciones en las tasas de interés del mercado, teniendo efecto sobre los ingresos financieros de la Entidad así como también en su valor económico. Se reconocen los siguientes factores de riesgo:</w:t>
      </w:r>
    </w:p>
    <w:p w14:paraId="0A17E335" w14:textId="77777777" w:rsidR="00EE283D" w:rsidRPr="00701F32" w:rsidRDefault="00EE283D" w:rsidP="00EE283D">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51741596" w14:textId="77777777" w:rsidR="00EE283D" w:rsidRPr="00701F32" w:rsidRDefault="00EE283D" w:rsidP="00EE283D">
      <w:pPr>
        <w:numPr>
          <w:ilvl w:val="0"/>
          <w:numId w:val="78"/>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Diferentes plazos de vencimiento y fechas de reajustes de tasa para activos, pasivos y tenencias fuera de balance.</w:t>
      </w:r>
    </w:p>
    <w:p w14:paraId="6D6CF135" w14:textId="77777777" w:rsidR="00EE283D" w:rsidRPr="00701F32" w:rsidRDefault="00EE283D" w:rsidP="00EE283D">
      <w:pPr>
        <w:numPr>
          <w:ilvl w:val="0"/>
          <w:numId w:val="78"/>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 xml:space="preserve">Tasa local, tasa extranjera y </w:t>
      </w:r>
      <w:r>
        <w:rPr>
          <w:rFonts w:ascii="Arial" w:eastAsia="Arial Unicode MS" w:hAnsi="Arial" w:cs="Arial"/>
          <w:sz w:val="20"/>
          <w:u w:color="000000"/>
          <w:bdr w:val="nil"/>
          <w:lang w:val="es-ES_tradnl" w:eastAsia="es-AR"/>
        </w:rPr>
        <w:t>UVA</w:t>
      </w:r>
      <w:r w:rsidRPr="00701F32">
        <w:rPr>
          <w:rFonts w:ascii="Arial" w:eastAsia="Arial Unicode MS" w:hAnsi="Arial" w:cs="Arial"/>
          <w:sz w:val="20"/>
          <w:u w:color="000000"/>
          <w:bdr w:val="nil"/>
          <w:lang w:val="es-ES_tradnl" w:eastAsia="es-AR"/>
        </w:rPr>
        <w:t xml:space="preserve"> en cuanto a su proyección, evolución y volatilidad.</w:t>
      </w:r>
    </w:p>
    <w:p w14:paraId="076E76AB" w14:textId="77777777" w:rsidR="00EE283D" w:rsidRPr="00701F32" w:rsidRDefault="00EE283D" w:rsidP="00EE283D">
      <w:pPr>
        <w:numPr>
          <w:ilvl w:val="0"/>
          <w:numId w:val="78"/>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El riesgo de base que surge como consecuencia de una correlación imperfecta en el ajuste de las tasas activas y pasivas para instrumentos que poseen características similares de revaluación;</w:t>
      </w:r>
    </w:p>
    <w:p w14:paraId="33CB2DB4" w14:textId="77777777" w:rsidR="00EE283D" w:rsidRPr="00701F32" w:rsidRDefault="00EE283D" w:rsidP="00EE283D">
      <w:pPr>
        <w:numPr>
          <w:ilvl w:val="0"/>
          <w:numId w:val="78"/>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Las opciones implícitas en determinados activos, pasivos y conceptos fuera de balance de la Entidad</w:t>
      </w:r>
    </w:p>
    <w:p w14:paraId="14A512FB" w14:textId="77777777" w:rsidR="00EE283D" w:rsidRPr="00701F32" w:rsidRDefault="00EE283D" w:rsidP="00EE283D">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1BD5F0B1" w14:textId="05FD61D9" w:rsidR="00EE283D" w:rsidRPr="00701F32" w:rsidRDefault="00EE283D" w:rsidP="00EE283D">
      <w:pPr>
        <w:pBdr>
          <w:top w:val="nil"/>
          <w:left w:val="nil"/>
          <w:bottom w:val="nil"/>
          <w:right w:val="nil"/>
          <w:between w:val="nil"/>
          <w:bar w:val="nil"/>
        </w:pBdr>
        <w:tabs>
          <w:tab w:val="left" w:pos="142"/>
        </w:tabs>
        <w:jc w:val="both"/>
        <w:rPr>
          <w:rFonts w:ascii="Arial" w:eastAsia="Arial Unicode MS" w:hAnsi="Arial" w:cs="Arial"/>
          <w:sz w:val="20"/>
          <w:u w:color="000000"/>
          <w:bdr w:val="nil"/>
          <w:lang w:val="es-ES_tradnl" w:eastAsia="es-AR"/>
        </w:rPr>
      </w:pPr>
      <w:r>
        <w:rPr>
          <w:rFonts w:ascii="Arial" w:eastAsia="Arial Unicode MS" w:hAnsi="Arial" w:cs="Arial"/>
          <w:sz w:val="20"/>
          <w:u w:color="000000"/>
          <w:bdr w:val="nil"/>
          <w:lang w:val="es-ES_tradnl" w:eastAsia="es-AR"/>
        </w:rPr>
        <w:t>La Entidad</w:t>
      </w:r>
      <w:r w:rsidRPr="00701F32">
        <w:rPr>
          <w:rFonts w:ascii="Arial" w:eastAsia="Arial Unicode MS" w:hAnsi="Arial" w:cs="Arial"/>
          <w:sz w:val="20"/>
          <w:u w:color="000000"/>
          <w:bdr w:val="nil"/>
          <w:lang w:val="es-ES_tradnl" w:eastAsia="es-AR"/>
        </w:rPr>
        <w:t xml:space="preserve"> encara el modelo de gestión del riesgo de tasa de interés incorporando el análisis de gaps de tasas de interés. Este análisis facilita una representación básica de la estructura del balance y permite detectar concentraciones de riesgo de interés en los distintos plazos. </w:t>
      </w:r>
      <w:r>
        <w:rPr>
          <w:rFonts w:ascii="Arial" w:eastAsia="Arial Unicode MS" w:hAnsi="Arial" w:cs="Arial"/>
          <w:sz w:val="20"/>
          <w:u w:color="000000"/>
          <w:bdr w:val="nil"/>
          <w:lang w:val="es-ES_tradnl" w:eastAsia="es-AR"/>
        </w:rPr>
        <w:t>Especial atención concentra el gap acumulado durante los primeros noventa días, al tratarse del holding period utilizado al momento de evaluar la exposición al riesgo de tasa de interés en cada una de las entidades y por su relevancia a la hora de evaluar acciones que puedan modificar el posicionamiento estructural de balance.</w:t>
      </w:r>
    </w:p>
    <w:p w14:paraId="797F710B" w14:textId="77777777" w:rsidR="00EE283D" w:rsidRPr="00701F32" w:rsidRDefault="00EE283D" w:rsidP="00EE283D">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29209C6C" w14:textId="77777777" w:rsidR="00EE283D" w:rsidRPr="00701F32" w:rsidRDefault="00EE283D" w:rsidP="00EE283D">
      <w:pPr>
        <w:ind w:right="-1"/>
        <w:jc w:val="both"/>
        <w:rPr>
          <w:rFonts w:ascii="Arial" w:hAnsi="Arial" w:cs="Arial"/>
          <w:sz w:val="20"/>
        </w:rPr>
      </w:pPr>
      <w:r w:rsidRPr="00701F32">
        <w:rPr>
          <w:rFonts w:ascii="Arial" w:hAnsi="Arial" w:cs="Arial"/>
          <w:sz w:val="20"/>
        </w:rPr>
        <w:t>La gestión del riesgo de tasa de interés del balance busca mantener la exposición del Banco en niveles acordes con el perfil de apetito al riesgo validado por el Directorio ante variaciones en los tipos de interés del mercado.</w:t>
      </w:r>
    </w:p>
    <w:p w14:paraId="631DA496" w14:textId="77777777" w:rsidR="00EE283D" w:rsidRPr="00701F32" w:rsidRDefault="00EE283D" w:rsidP="00EE283D">
      <w:pPr>
        <w:ind w:right="-1"/>
        <w:jc w:val="both"/>
        <w:rPr>
          <w:rFonts w:ascii="Arial" w:hAnsi="Arial" w:cs="Arial"/>
          <w:sz w:val="20"/>
        </w:rPr>
      </w:pPr>
    </w:p>
    <w:p w14:paraId="03400808" w14:textId="77777777" w:rsidR="00EE283D" w:rsidRPr="00701F32" w:rsidRDefault="00EE283D" w:rsidP="00EE283D">
      <w:pPr>
        <w:ind w:right="-1"/>
        <w:jc w:val="both"/>
        <w:rPr>
          <w:rFonts w:ascii="Arial" w:hAnsi="Arial" w:cs="Arial"/>
          <w:sz w:val="20"/>
        </w:rPr>
      </w:pPr>
      <w:r w:rsidRPr="00701F32">
        <w:rPr>
          <w:rFonts w:ascii="Arial" w:hAnsi="Arial" w:cs="Arial"/>
          <w:sz w:val="20"/>
        </w:rPr>
        <w:t>Con ese objetivo, la gestión del riesgo de tasa de interés descansa en el monitoreo de dos métricas:</w:t>
      </w:r>
    </w:p>
    <w:p w14:paraId="4A80BFD8" w14:textId="77777777" w:rsidR="00EE283D" w:rsidRPr="00701F32" w:rsidRDefault="00EE283D" w:rsidP="00EE283D">
      <w:pPr>
        <w:ind w:right="-1"/>
        <w:jc w:val="both"/>
        <w:rPr>
          <w:rFonts w:ascii="Arial" w:hAnsi="Arial" w:cs="Arial"/>
          <w:sz w:val="20"/>
        </w:rPr>
      </w:pPr>
    </w:p>
    <w:p w14:paraId="484CB05D" w14:textId="77777777" w:rsidR="00EE283D" w:rsidRPr="00701F32" w:rsidRDefault="00EE283D" w:rsidP="00EE283D">
      <w:pPr>
        <w:numPr>
          <w:ilvl w:val="0"/>
          <w:numId w:val="80"/>
        </w:numPr>
        <w:ind w:right="-1"/>
        <w:jc w:val="both"/>
        <w:rPr>
          <w:rFonts w:ascii="Arial" w:hAnsi="Arial" w:cs="Arial"/>
          <w:sz w:val="20"/>
        </w:rPr>
      </w:pPr>
      <w:r w:rsidRPr="00701F32">
        <w:rPr>
          <w:rFonts w:ascii="Arial" w:hAnsi="Arial" w:cs="Arial"/>
          <w:b/>
          <w:i/>
          <w:sz w:val="20"/>
        </w:rPr>
        <w:t>Enfoque MVE – VaR</w:t>
      </w:r>
      <w:r w:rsidRPr="00701F32">
        <w:rPr>
          <w:rFonts w:ascii="Arial" w:hAnsi="Arial" w:cs="Arial"/>
          <w:sz w:val="20"/>
        </w:rPr>
        <w:t>: mide la diferencia entre el valor económico estimado con la curva de interés de mercado y el mismo considerando la curva de tasas de interés que surge de la simulación de distintos escenarios de estrés. Este es el enfoque empleado por la entidad para calcular capital económico por este riesgo.</w:t>
      </w:r>
    </w:p>
    <w:p w14:paraId="4116CA09" w14:textId="77777777" w:rsidR="00EE283D" w:rsidRPr="00701F32" w:rsidRDefault="00EE283D" w:rsidP="00EE283D">
      <w:pPr>
        <w:numPr>
          <w:ilvl w:val="0"/>
          <w:numId w:val="80"/>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b/>
          <w:i/>
          <w:sz w:val="20"/>
          <w:u w:color="000000"/>
          <w:bdr w:val="nil"/>
          <w:lang w:val="es-ES_tradnl" w:eastAsia="es-AR"/>
        </w:rPr>
        <w:t>Enfoque NIM – EaR</w:t>
      </w:r>
      <w:r w:rsidRPr="00701F32">
        <w:rPr>
          <w:rFonts w:ascii="Arial" w:eastAsia="Arial Unicode MS" w:hAnsi="Arial" w:cs="Arial"/>
          <w:sz w:val="20"/>
          <w:u w:color="000000"/>
          <w:bdr w:val="nil"/>
          <w:lang w:val="es-ES_tradnl" w:eastAsia="es-AR"/>
        </w:rPr>
        <w:t>: mide el cambio en los devengos esperados para un plazo determinado (12 meses) ante un desplazamiento de la curva de interés originado en un ejercicio de simulación de distintos escenarios de estrés.</w:t>
      </w:r>
    </w:p>
    <w:p w14:paraId="2251847A" w14:textId="14719E99" w:rsidR="00EE283D" w:rsidRDefault="00EE283D" w:rsidP="00EE283D">
      <w:pPr>
        <w:spacing w:before="240"/>
        <w:jc w:val="both"/>
        <w:rPr>
          <w:rFonts w:ascii="Arial" w:hAnsi="Arial" w:cs="Arial"/>
          <w:bCs/>
          <w:iCs/>
          <w:sz w:val="20"/>
          <w:lang w:val="es-ES_tradnl"/>
        </w:rPr>
      </w:pPr>
      <w:r>
        <w:rPr>
          <w:rFonts w:ascii="Arial" w:hAnsi="Arial" w:cs="Arial"/>
          <w:bCs/>
          <w:iCs/>
          <w:sz w:val="20"/>
          <w:lang w:val="es-ES_tradnl"/>
        </w:rPr>
        <w:t xml:space="preserve">A partir de la Comunicación “A” 6397, el BCRA expuso los lineamientos aplicables para el tratamiento del riesgo de tasa de interés en la cartera de inversión. La normativa hace una distinción entre el impacto de fluctuaciones en los niveles de tasa de interés sobre </w:t>
      </w:r>
      <w:r w:rsidRPr="00420E06">
        <w:rPr>
          <w:rFonts w:ascii="Arial" w:hAnsi="Arial" w:cs="Arial"/>
          <w:bCs/>
          <w:iCs/>
          <w:sz w:val="20"/>
          <w:lang w:val="es-ES_tradnl"/>
        </w:rPr>
        <w:t>el v</w:t>
      </w:r>
      <w:r>
        <w:rPr>
          <w:rFonts w:ascii="Arial" w:hAnsi="Arial" w:cs="Arial"/>
          <w:bCs/>
          <w:iCs/>
          <w:sz w:val="20"/>
          <w:lang w:val="es-ES_tradnl"/>
        </w:rPr>
        <w:t xml:space="preserve">alor subyacente de los activos, </w:t>
      </w:r>
      <w:r w:rsidRPr="00420E06">
        <w:rPr>
          <w:rFonts w:ascii="Arial" w:hAnsi="Arial" w:cs="Arial"/>
          <w:bCs/>
          <w:iCs/>
          <w:sz w:val="20"/>
          <w:lang w:val="es-ES_tradnl"/>
        </w:rPr>
        <w:t>pasivos y partidas fuera de balance de la entidad</w:t>
      </w:r>
      <w:r>
        <w:rPr>
          <w:rFonts w:ascii="Arial" w:hAnsi="Arial" w:cs="Arial"/>
          <w:bCs/>
          <w:iCs/>
          <w:sz w:val="20"/>
          <w:lang w:val="es-ES_tradnl"/>
        </w:rPr>
        <w:t xml:space="preserve"> (valor económico o MVE por sus siglas en inglés) por un lado, y las alteraciones que tales movimientos de tasas puedan tener sobre </w:t>
      </w:r>
      <w:r w:rsidRPr="00347275">
        <w:rPr>
          <w:rFonts w:ascii="Arial" w:hAnsi="Arial" w:cs="Arial"/>
          <w:bCs/>
          <w:iCs/>
          <w:sz w:val="20"/>
          <w:lang w:val="es-ES_tradnl"/>
        </w:rPr>
        <w:t xml:space="preserve">los ingresos y egresos sensibles a ellas, afectando </w:t>
      </w:r>
      <w:r>
        <w:rPr>
          <w:rFonts w:ascii="Arial" w:hAnsi="Arial" w:cs="Arial"/>
          <w:bCs/>
          <w:iCs/>
          <w:sz w:val="20"/>
          <w:lang w:val="es-ES_tradnl"/>
        </w:rPr>
        <w:t xml:space="preserve">al </w:t>
      </w:r>
      <w:r w:rsidRPr="00347275">
        <w:rPr>
          <w:rFonts w:ascii="Arial" w:hAnsi="Arial" w:cs="Arial"/>
          <w:bCs/>
          <w:iCs/>
          <w:sz w:val="20"/>
          <w:lang w:val="es-ES_tradnl"/>
        </w:rPr>
        <w:t>ingreso neto por intereses (NII)</w:t>
      </w:r>
      <w:r>
        <w:rPr>
          <w:rFonts w:ascii="Arial" w:hAnsi="Arial" w:cs="Arial"/>
          <w:bCs/>
          <w:iCs/>
          <w:sz w:val="20"/>
          <w:lang w:val="es-ES_tradnl"/>
        </w:rPr>
        <w:t xml:space="preserve">. Este mismo criterio ya había sido adoptado por </w:t>
      </w:r>
      <w:r w:rsidR="001262DE">
        <w:rPr>
          <w:rFonts w:ascii="Arial" w:hAnsi="Arial" w:cs="Arial"/>
          <w:bCs/>
          <w:iCs/>
          <w:sz w:val="20"/>
          <w:lang w:val="es-ES_tradnl"/>
        </w:rPr>
        <w:t>la Entidad</w:t>
      </w:r>
      <w:r>
        <w:rPr>
          <w:rFonts w:ascii="Arial" w:hAnsi="Arial" w:cs="Arial"/>
          <w:bCs/>
          <w:iCs/>
          <w:sz w:val="20"/>
          <w:lang w:val="es-ES_tradnl"/>
        </w:rPr>
        <w:t xml:space="preserve">, </w:t>
      </w:r>
      <w:r w:rsidR="001262DE">
        <w:rPr>
          <w:rFonts w:ascii="Arial" w:hAnsi="Arial" w:cs="Arial"/>
          <w:bCs/>
          <w:iCs/>
          <w:sz w:val="20"/>
          <w:lang w:val="es-ES_tradnl"/>
        </w:rPr>
        <w:t xml:space="preserve">de modo que </w:t>
      </w:r>
      <w:r>
        <w:rPr>
          <w:rFonts w:ascii="Arial" w:hAnsi="Arial" w:cs="Arial"/>
          <w:bCs/>
          <w:iCs/>
          <w:sz w:val="20"/>
          <w:lang w:val="es-ES_tradnl"/>
        </w:rPr>
        <w:t>la nueva normativa implicó una readaptación del modelo de gestión a la metodología de medición sugerida, manteniendo algunos criterios e incorporando otros.</w:t>
      </w:r>
    </w:p>
    <w:p w14:paraId="2C54018E" w14:textId="0021CADE" w:rsidR="00EE283D" w:rsidRDefault="001262DE" w:rsidP="00EE283D">
      <w:pPr>
        <w:spacing w:before="240"/>
        <w:jc w:val="both"/>
        <w:rPr>
          <w:rFonts w:ascii="Arial" w:hAnsi="Arial" w:cs="Arial"/>
          <w:bCs/>
          <w:iCs/>
          <w:sz w:val="20"/>
          <w:lang w:val="es-ES_tradnl"/>
        </w:rPr>
      </w:pPr>
      <w:r>
        <w:rPr>
          <w:rFonts w:ascii="Arial" w:hAnsi="Arial" w:cs="Arial"/>
          <w:bCs/>
          <w:iCs/>
          <w:sz w:val="20"/>
          <w:lang w:val="es-ES_tradnl"/>
        </w:rPr>
        <w:t>La Entidad</w:t>
      </w:r>
      <w:r w:rsidR="00EE283D">
        <w:rPr>
          <w:rFonts w:ascii="Arial" w:hAnsi="Arial" w:cs="Arial"/>
          <w:bCs/>
          <w:iCs/>
          <w:sz w:val="20"/>
          <w:lang w:val="es-ES_tradnl"/>
        </w:rPr>
        <w:t xml:space="preserve"> debe </w:t>
      </w:r>
      <w:r w:rsidR="00EE283D" w:rsidRPr="00B550C7">
        <w:rPr>
          <w:rFonts w:ascii="Arial" w:hAnsi="Arial" w:cs="Arial"/>
          <w:bCs/>
          <w:iCs/>
          <w:sz w:val="20"/>
          <w:lang w:val="es-ES_tradnl"/>
        </w:rPr>
        <w:t xml:space="preserve">utilizar </w:t>
      </w:r>
      <w:r w:rsidR="00EE283D">
        <w:rPr>
          <w:rFonts w:ascii="Arial" w:hAnsi="Arial" w:cs="Arial"/>
          <w:bCs/>
          <w:iCs/>
          <w:sz w:val="20"/>
          <w:lang w:val="es-ES_tradnl"/>
        </w:rPr>
        <w:t>el Marco Estandarizado</w:t>
      </w:r>
      <w:r w:rsidR="00EE283D" w:rsidRPr="00B550C7">
        <w:rPr>
          <w:rFonts w:ascii="Arial" w:hAnsi="Arial" w:cs="Arial"/>
          <w:bCs/>
          <w:iCs/>
          <w:sz w:val="20"/>
          <w:lang w:val="es-ES_tradnl"/>
        </w:rPr>
        <w:t xml:space="preserve"> d</w:t>
      </w:r>
      <w:r w:rsidR="00EE283D">
        <w:rPr>
          <w:rFonts w:ascii="Arial" w:hAnsi="Arial" w:cs="Arial"/>
          <w:bCs/>
          <w:iCs/>
          <w:sz w:val="20"/>
          <w:lang w:val="es-ES_tradnl"/>
        </w:rPr>
        <w:t xml:space="preserve">escripto en el punto 5.4. de la Comunicación “A” 6397 para la medición del impacto sobre el valor económico de las entidades </w:t>
      </w:r>
      <w:r w:rsidR="00EE283D" w:rsidRPr="00B550C7">
        <w:rPr>
          <w:rFonts w:ascii="Arial" w:hAnsi="Arial" w:cs="Arial"/>
          <w:bCs/>
          <w:iCs/>
          <w:sz w:val="20"/>
          <w:lang w:val="es-ES_tradnl"/>
        </w:rPr>
        <w:t>(∆EVE)</w:t>
      </w:r>
      <w:r w:rsidR="00EE283D">
        <w:rPr>
          <w:rFonts w:ascii="Arial" w:hAnsi="Arial" w:cs="Arial"/>
          <w:bCs/>
          <w:iCs/>
          <w:sz w:val="20"/>
          <w:lang w:val="es-ES_tradnl"/>
        </w:rPr>
        <w:t xml:space="preserve"> de seis escenarios de perturbación planteados. Estos escenarios incluyen movimientos paralelos en las curvas de tasas de mercado hacia arriba o hacia abajo, aplanamiento o empinamiento de la pendiente de dichas curvas, así como </w:t>
      </w:r>
      <w:r w:rsidR="00EE283D" w:rsidRPr="007B5543">
        <w:rPr>
          <w:rFonts w:ascii="Arial" w:hAnsi="Arial" w:cs="Arial"/>
          <w:bCs/>
          <w:iCs/>
          <w:sz w:val="20"/>
          <w:lang w:val="es-ES_tradnl"/>
        </w:rPr>
        <w:t xml:space="preserve">aumento </w:t>
      </w:r>
      <w:r w:rsidR="00EE283D">
        <w:rPr>
          <w:rFonts w:ascii="Arial" w:hAnsi="Arial" w:cs="Arial"/>
          <w:bCs/>
          <w:iCs/>
          <w:sz w:val="20"/>
          <w:lang w:val="es-ES_tradnl"/>
        </w:rPr>
        <w:t xml:space="preserve">o disminución </w:t>
      </w:r>
      <w:r w:rsidR="00EE283D" w:rsidRPr="007B5543">
        <w:rPr>
          <w:rFonts w:ascii="Arial" w:hAnsi="Arial" w:cs="Arial"/>
          <w:bCs/>
          <w:iCs/>
          <w:sz w:val="20"/>
          <w:lang w:val="es-ES_tradnl"/>
        </w:rPr>
        <w:t>de las tasas de corto plazo</w:t>
      </w:r>
      <w:r w:rsidR="00EE283D">
        <w:rPr>
          <w:rFonts w:ascii="Arial" w:hAnsi="Arial" w:cs="Arial"/>
          <w:bCs/>
          <w:iCs/>
          <w:sz w:val="20"/>
          <w:lang w:val="es-ES_tradnl"/>
        </w:rPr>
        <w:t>. Se considera una curva base de tasas de mercado por cada una de las monedas significativas en el balance contable de cada entidad.  Perteneciendo al Grupo “A” de entidades financieras</w:t>
      </w:r>
      <w:r w:rsidR="00EE283D" w:rsidRPr="007B5543">
        <w:rPr>
          <w:rFonts w:ascii="Arial" w:hAnsi="Arial" w:cs="Arial"/>
          <w:bCs/>
          <w:iCs/>
          <w:sz w:val="20"/>
          <w:lang w:val="es-ES_tradnl"/>
        </w:rPr>
        <w:t>, de conformidad con la clasificaci</w:t>
      </w:r>
      <w:r w:rsidR="00EE283D">
        <w:rPr>
          <w:rFonts w:ascii="Arial" w:hAnsi="Arial" w:cs="Arial"/>
          <w:bCs/>
          <w:iCs/>
          <w:sz w:val="20"/>
          <w:lang w:val="es-ES_tradnl"/>
        </w:rPr>
        <w:t xml:space="preserve">ón prevista en el punto 4.1. de </w:t>
      </w:r>
      <w:r w:rsidR="00EE283D" w:rsidRPr="007B5543">
        <w:rPr>
          <w:rFonts w:ascii="Arial" w:hAnsi="Arial" w:cs="Arial"/>
          <w:bCs/>
          <w:iCs/>
          <w:sz w:val="20"/>
          <w:lang w:val="es-ES_tradnl"/>
        </w:rPr>
        <w:t>las normas sobre “Autoridades de entidades financieras”,</w:t>
      </w:r>
      <w:r w:rsidR="00EE283D">
        <w:rPr>
          <w:rFonts w:ascii="Arial" w:hAnsi="Arial" w:cs="Arial"/>
          <w:bCs/>
          <w:iCs/>
          <w:sz w:val="20"/>
          <w:lang w:val="es-ES_tradnl"/>
        </w:rPr>
        <w:t xml:space="preserve"> Banco Supervielle debe utilizar un sistema de medición interno (SIM) para </w:t>
      </w:r>
      <w:r w:rsidR="00EE283D" w:rsidRPr="00B128EA">
        <w:rPr>
          <w:rFonts w:ascii="Arial" w:hAnsi="Arial" w:cs="Arial"/>
          <w:bCs/>
          <w:iCs/>
          <w:sz w:val="20"/>
          <w:lang w:val="es-ES_tradnl"/>
        </w:rPr>
        <w:t>la medición basada en los resultados</w:t>
      </w:r>
      <w:r w:rsidR="00EE283D">
        <w:rPr>
          <w:rFonts w:ascii="Arial" w:hAnsi="Arial" w:cs="Arial"/>
          <w:bCs/>
          <w:iCs/>
          <w:sz w:val="20"/>
          <w:lang w:val="es-ES_tradnl"/>
        </w:rPr>
        <w:t xml:space="preserve"> </w:t>
      </w:r>
      <w:r w:rsidR="00EE283D" w:rsidRPr="00B550C7">
        <w:rPr>
          <w:rFonts w:ascii="Arial" w:hAnsi="Arial" w:cs="Arial"/>
          <w:bCs/>
          <w:iCs/>
          <w:sz w:val="20"/>
          <w:lang w:val="es-ES_tradnl"/>
        </w:rPr>
        <w:t>(∆</w:t>
      </w:r>
      <w:r w:rsidR="00EE283D">
        <w:rPr>
          <w:rFonts w:ascii="Arial" w:hAnsi="Arial" w:cs="Arial"/>
          <w:bCs/>
          <w:iCs/>
          <w:sz w:val="20"/>
          <w:lang w:val="es-ES_tradnl"/>
        </w:rPr>
        <w:t>NIM</w:t>
      </w:r>
      <w:r w:rsidR="00EE283D" w:rsidRPr="00B550C7">
        <w:rPr>
          <w:rFonts w:ascii="Arial" w:hAnsi="Arial" w:cs="Arial"/>
          <w:bCs/>
          <w:iCs/>
          <w:sz w:val="20"/>
          <w:lang w:val="es-ES_tradnl"/>
        </w:rPr>
        <w:t>)</w:t>
      </w:r>
      <w:r w:rsidR="00EE283D">
        <w:rPr>
          <w:rFonts w:ascii="Arial" w:hAnsi="Arial" w:cs="Arial"/>
          <w:bCs/>
          <w:iCs/>
          <w:sz w:val="20"/>
          <w:lang w:val="es-ES_tradnl"/>
        </w:rPr>
        <w:t>.</w:t>
      </w:r>
      <w:r>
        <w:rPr>
          <w:rFonts w:ascii="Arial" w:hAnsi="Arial" w:cs="Arial"/>
          <w:bCs/>
          <w:iCs/>
          <w:sz w:val="20"/>
          <w:lang w:val="es-ES_tradnl"/>
        </w:rPr>
        <w:t xml:space="preserve"> </w:t>
      </w:r>
      <w:r w:rsidR="00EE283D">
        <w:rPr>
          <w:rFonts w:ascii="Arial" w:hAnsi="Arial" w:cs="Arial"/>
          <w:bCs/>
          <w:iCs/>
          <w:sz w:val="20"/>
          <w:lang w:val="es-ES_tradnl"/>
        </w:rPr>
        <w:t xml:space="preserve">Es importante destacar que </w:t>
      </w:r>
      <w:r>
        <w:rPr>
          <w:rFonts w:ascii="Arial" w:hAnsi="Arial" w:cs="Arial"/>
          <w:bCs/>
          <w:iCs/>
          <w:sz w:val="20"/>
          <w:lang w:val="es-ES_tradnl"/>
        </w:rPr>
        <w:t>la Entidad</w:t>
      </w:r>
      <w:r w:rsidR="00EE283D">
        <w:rPr>
          <w:rFonts w:ascii="Arial" w:hAnsi="Arial" w:cs="Arial"/>
          <w:bCs/>
          <w:iCs/>
          <w:sz w:val="20"/>
          <w:lang w:val="es-ES_tradnl"/>
        </w:rPr>
        <w:t xml:space="preserve">, al no ser calificado momentáneamente por el Banco Central de la República Argentina como </w:t>
      </w:r>
      <w:r w:rsidR="00EE283D" w:rsidRPr="00A230D5">
        <w:rPr>
          <w:rFonts w:ascii="Arial" w:hAnsi="Arial" w:cs="Arial"/>
          <w:bCs/>
          <w:iCs/>
          <w:sz w:val="20"/>
          <w:lang w:val="es-ES_tradnl"/>
        </w:rPr>
        <w:t>de importancia sistémica local (D-SIB)</w:t>
      </w:r>
      <w:r w:rsidR="00EE283D">
        <w:rPr>
          <w:rFonts w:ascii="Arial" w:hAnsi="Arial" w:cs="Arial"/>
          <w:bCs/>
          <w:iCs/>
          <w:sz w:val="20"/>
          <w:lang w:val="es-ES_tradnl"/>
        </w:rPr>
        <w:t xml:space="preserve">, no se encuentra obligado normativamente a contar con un sistema de medición interno (SIM) propio para la medición basada en el valor económico </w:t>
      </w:r>
      <w:r w:rsidR="00EE283D" w:rsidRPr="00B550C7">
        <w:rPr>
          <w:rFonts w:ascii="Arial" w:hAnsi="Arial" w:cs="Arial"/>
          <w:bCs/>
          <w:iCs/>
          <w:sz w:val="20"/>
          <w:lang w:val="es-ES_tradnl"/>
        </w:rPr>
        <w:t>(∆EVE)</w:t>
      </w:r>
      <w:r w:rsidR="00EE283D">
        <w:rPr>
          <w:rFonts w:ascii="Arial" w:hAnsi="Arial" w:cs="Arial"/>
          <w:bCs/>
          <w:iCs/>
          <w:sz w:val="20"/>
          <w:lang w:val="es-ES_tradnl"/>
        </w:rPr>
        <w:t xml:space="preserve">. </w:t>
      </w:r>
    </w:p>
    <w:p w14:paraId="2DCC7822" w14:textId="34AD3DF4" w:rsidR="00EE283D" w:rsidRDefault="00EE283D" w:rsidP="00EE283D">
      <w:pPr>
        <w:spacing w:before="240"/>
        <w:jc w:val="both"/>
        <w:rPr>
          <w:rFonts w:ascii="Arial" w:hAnsi="Arial" w:cs="Arial"/>
          <w:bCs/>
          <w:iCs/>
          <w:sz w:val="20"/>
          <w:lang w:val="es-ES_tradnl"/>
        </w:rPr>
      </w:pPr>
      <w:r>
        <w:rPr>
          <w:rFonts w:ascii="Arial" w:hAnsi="Arial" w:cs="Arial"/>
          <w:bCs/>
          <w:iCs/>
          <w:sz w:val="20"/>
          <w:lang w:val="es-ES_tradnl"/>
        </w:rPr>
        <w:t xml:space="preserve">Más allá de las disposiciones normativas, es importante notar que </w:t>
      </w:r>
      <w:r w:rsidR="001262DE">
        <w:rPr>
          <w:rFonts w:ascii="Arial" w:hAnsi="Arial" w:cs="Arial"/>
          <w:bCs/>
          <w:iCs/>
          <w:sz w:val="20"/>
          <w:lang w:val="es-ES_tradnl"/>
        </w:rPr>
        <w:t xml:space="preserve">la Entidad ha </w:t>
      </w:r>
      <w:r>
        <w:rPr>
          <w:rFonts w:ascii="Arial" w:hAnsi="Arial" w:cs="Arial"/>
          <w:bCs/>
          <w:iCs/>
          <w:sz w:val="20"/>
          <w:lang w:val="es-ES_tradnl"/>
        </w:rPr>
        <w:t xml:space="preserve">venido trabajando con sistemas de medición internos (SIM) para la medición del impacto de fluctuaciones de tasas, tanto sobre el valor económico </w:t>
      </w:r>
      <w:r w:rsidRPr="00B550C7">
        <w:rPr>
          <w:rFonts w:ascii="Arial" w:hAnsi="Arial" w:cs="Arial"/>
          <w:bCs/>
          <w:iCs/>
          <w:sz w:val="20"/>
          <w:lang w:val="es-ES_tradnl"/>
        </w:rPr>
        <w:t>(∆EVE)</w:t>
      </w:r>
      <w:r>
        <w:rPr>
          <w:rFonts w:ascii="Arial" w:hAnsi="Arial" w:cs="Arial"/>
          <w:bCs/>
          <w:iCs/>
          <w:sz w:val="20"/>
          <w:lang w:val="es-ES_tradnl"/>
        </w:rPr>
        <w:t xml:space="preserve"> como sobre resultados </w:t>
      </w:r>
      <w:r w:rsidRPr="00B550C7">
        <w:rPr>
          <w:rFonts w:ascii="Arial" w:hAnsi="Arial" w:cs="Arial"/>
          <w:bCs/>
          <w:iCs/>
          <w:sz w:val="20"/>
          <w:lang w:val="es-ES_tradnl"/>
        </w:rPr>
        <w:t>(∆</w:t>
      </w:r>
      <w:r>
        <w:rPr>
          <w:rFonts w:ascii="Arial" w:hAnsi="Arial" w:cs="Arial"/>
          <w:bCs/>
          <w:iCs/>
          <w:sz w:val="20"/>
          <w:lang w:val="es-ES_tradnl"/>
        </w:rPr>
        <w:t>NIM</w:t>
      </w:r>
      <w:r w:rsidRPr="00B550C7">
        <w:rPr>
          <w:rFonts w:ascii="Arial" w:hAnsi="Arial" w:cs="Arial"/>
          <w:bCs/>
          <w:iCs/>
          <w:sz w:val="20"/>
          <w:lang w:val="es-ES_tradnl"/>
        </w:rPr>
        <w:t>)</w:t>
      </w:r>
      <w:r>
        <w:rPr>
          <w:rFonts w:ascii="Arial" w:hAnsi="Arial" w:cs="Arial"/>
          <w:bCs/>
          <w:iCs/>
          <w:sz w:val="20"/>
          <w:lang w:val="es-ES_tradnl"/>
        </w:rPr>
        <w:t>. El desarrollo de estos sistemas incluyó el establecimiento de supuestos para la determinación del flujo de vencimiento de distintas líneas del activo y del pasivo sin vencimiento definido o con opciones implícitas o explícitas de comportamiento.</w:t>
      </w:r>
    </w:p>
    <w:p w14:paraId="18297823" w14:textId="77777777" w:rsidR="00EE283D" w:rsidRPr="004724A9" w:rsidRDefault="00EE283D" w:rsidP="00EE283D">
      <w:pPr>
        <w:spacing w:before="240"/>
        <w:jc w:val="both"/>
        <w:rPr>
          <w:rFonts w:ascii="Arial" w:hAnsi="Arial" w:cs="Arial"/>
          <w:bCs/>
          <w:iCs/>
          <w:sz w:val="20"/>
          <w:lang w:val="es-ES_tradnl"/>
        </w:rPr>
      </w:pPr>
      <w:r>
        <w:rPr>
          <w:rFonts w:ascii="Arial" w:hAnsi="Arial" w:cs="Arial"/>
          <w:bCs/>
          <w:iCs/>
          <w:sz w:val="20"/>
          <w:lang w:val="es-ES_tradnl"/>
        </w:rPr>
        <w:t xml:space="preserve">Es importante destacar que, a diferencia de lo establecido en el Marco Estandarizado provisto por el regulador para la medición del impacto de fluctuaciones en las tasas de mercado sobre el valor económico, los sistemas de medición internos empleados por la Entidad consideran a los activos y pasivos con ajuste UVA como susceptibles al riesgo de tasa de interés, por lo que la variable UVA se incorpora como un factor de riesgo adicional, al igual que las tasas activas y de fondeo en pesos y dólares. </w:t>
      </w:r>
    </w:p>
    <w:p w14:paraId="09F28AA5" w14:textId="77777777" w:rsidR="00EE283D" w:rsidRPr="00701F32" w:rsidRDefault="00EE283D" w:rsidP="00EE283D">
      <w:pPr>
        <w:spacing w:before="240"/>
        <w:jc w:val="both"/>
        <w:rPr>
          <w:rFonts w:ascii="Arial" w:eastAsia="Arial" w:hAnsi="Arial" w:cs="Arial"/>
          <w:i/>
          <w:iCs/>
          <w:sz w:val="20"/>
          <w:u w:val="single"/>
          <w:shd w:val="clear" w:color="auto" w:fill="FFFF00"/>
          <w:lang w:val="es-ES_tradnl"/>
        </w:rPr>
      </w:pPr>
      <w:r w:rsidRPr="00701F32">
        <w:rPr>
          <w:rFonts w:ascii="Arial" w:hAnsi="Arial" w:cs="Arial"/>
          <w:b/>
          <w:bCs/>
          <w:i/>
          <w:iCs/>
          <w:sz w:val="20"/>
          <w:lang w:val="es-ES_tradnl"/>
        </w:rPr>
        <w:t>Cálculo de capital económico</w:t>
      </w:r>
    </w:p>
    <w:p w14:paraId="38BD8AB3" w14:textId="77777777" w:rsidR="00EE283D" w:rsidRPr="00701F32" w:rsidRDefault="00EE283D" w:rsidP="001262DE">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5A7EB5B0" w14:textId="77777777" w:rsidR="00EE283D" w:rsidRDefault="00EE283D" w:rsidP="001262DE">
      <w:pPr>
        <w:pBdr>
          <w:top w:val="nil"/>
          <w:left w:val="nil"/>
          <w:bottom w:val="nil"/>
          <w:right w:val="nil"/>
          <w:between w:val="nil"/>
          <w:bar w:val="nil"/>
        </w:pBdr>
        <w:tabs>
          <w:tab w:val="left" w:pos="142"/>
          <w:tab w:val="left" w:pos="993"/>
        </w:tabs>
        <w:jc w:val="both"/>
        <w:rPr>
          <w:rFonts w:ascii="Arial" w:eastAsia="Arial Unicode MS" w:hAnsi="Arial" w:cs="Arial"/>
          <w:sz w:val="20"/>
          <w:u w:color="000000"/>
          <w:bdr w:val="nil"/>
          <w:lang w:val="es-ES_tradnl" w:eastAsia="es-AR"/>
        </w:rPr>
      </w:pPr>
      <w:r>
        <w:rPr>
          <w:rFonts w:ascii="Arial" w:eastAsia="Arial Unicode MS" w:hAnsi="Arial" w:cs="Arial"/>
          <w:sz w:val="20"/>
          <w:u w:color="000000"/>
          <w:bdr w:val="nil"/>
          <w:lang w:val="es-ES_tradnl" w:eastAsia="es-AR"/>
        </w:rPr>
        <w:t>Como primer paso para el cálculo de capital económico, Banco Supervielle</w:t>
      </w:r>
      <w:r w:rsidRPr="00701F32">
        <w:rPr>
          <w:rFonts w:ascii="Arial" w:eastAsia="Arial Unicode MS" w:hAnsi="Arial" w:cs="Arial"/>
          <w:sz w:val="20"/>
          <w:u w:color="000000"/>
          <w:bdr w:val="nil"/>
          <w:lang w:val="es-ES_tradnl" w:eastAsia="es-AR"/>
        </w:rPr>
        <w:t xml:space="preserve"> calcula </w:t>
      </w:r>
      <w:r>
        <w:rPr>
          <w:rFonts w:ascii="Arial" w:eastAsia="Arial Unicode MS" w:hAnsi="Arial" w:cs="Arial"/>
          <w:sz w:val="20"/>
          <w:u w:color="000000"/>
          <w:bdr w:val="nil"/>
          <w:lang w:val="es-ES_tradnl" w:eastAsia="es-AR"/>
        </w:rPr>
        <w:t>su exposición al</w:t>
      </w:r>
      <w:r w:rsidRPr="00701F32">
        <w:rPr>
          <w:rFonts w:ascii="Arial" w:eastAsia="Arial Unicode MS" w:hAnsi="Arial" w:cs="Arial"/>
          <w:sz w:val="20"/>
          <w:u w:color="000000"/>
          <w:bdr w:val="nil"/>
          <w:lang w:val="es-ES_tradnl" w:eastAsia="es-AR"/>
        </w:rPr>
        <w:t xml:space="preserve"> riesgo de tasa de interés a partir del enfoque MVE-EaR</w:t>
      </w:r>
      <w:r>
        <w:rPr>
          <w:rFonts w:ascii="Arial" w:eastAsia="Arial Unicode MS" w:hAnsi="Arial" w:cs="Arial"/>
          <w:sz w:val="20"/>
          <w:u w:color="000000"/>
          <w:bdr w:val="nil"/>
          <w:lang w:val="es-ES_tradnl" w:eastAsia="es-AR"/>
        </w:rPr>
        <w:t xml:space="preserve"> (valor económico) de su sistema de medición interno (SIM)</w:t>
      </w:r>
      <w:r w:rsidRPr="00701F32">
        <w:rPr>
          <w:rFonts w:ascii="Arial" w:eastAsia="Arial Unicode MS" w:hAnsi="Arial" w:cs="Arial"/>
          <w:sz w:val="20"/>
          <w:u w:color="000000"/>
          <w:bdr w:val="nil"/>
          <w:lang w:val="es-ES_tradnl" w:eastAsia="es-AR"/>
        </w:rPr>
        <w:t xml:space="preserve">, utilizando para ello un holding period de tres meses </w:t>
      </w:r>
      <w:r>
        <w:rPr>
          <w:rFonts w:ascii="Arial" w:eastAsia="Arial Unicode MS" w:hAnsi="Arial" w:cs="Arial"/>
          <w:sz w:val="20"/>
          <w:u w:color="000000"/>
          <w:bdr w:val="nil"/>
          <w:lang w:val="es-ES_tradnl" w:eastAsia="es-AR"/>
        </w:rPr>
        <w:t xml:space="preserve">(90 días) </w:t>
      </w:r>
      <w:r w:rsidRPr="00701F32">
        <w:rPr>
          <w:rFonts w:ascii="Arial" w:eastAsia="Arial Unicode MS" w:hAnsi="Arial" w:cs="Arial"/>
          <w:sz w:val="20"/>
          <w:u w:color="000000"/>
          <w:bdr w:val="nil"/>
          <w:lang w:val="es-ES_tradnl" w:eastAsia="es-AR"/>
        </w:rPr>
        <w:t>y un nivel de confianza del 99%. Este modelo cuantitativo incluye la exacerbación del capital por riesgo de titulización.</w:t>
      </w:r>
      <w:r>
        <w:rPr>
          <w:rFonts w:ascii="Arial" w:eastAsia="Arial Unicode MS" w:hAnsi="Arial" w:cs="Arial"/>
          <w:sz w:val="20"/>
          <w:u w:color="000000"/>
          <w:bdr w:val="nil"/>
          <w:lang w:val="es-ES_tradnl" w:eastAsia="es-AR"/>
        </w:rPr>
        <w:t xml:space="preserve"> El resultado obtenido se compara con el peor resultado de las alteraciones planteadas en los seis escenarios propuestos por el Marco Estandarizado, siendo el capital económico resultante el peor de ambas mediciones (SIM y Marco Estandarizado).</w:t>
      </w:r>
    </w:p>
    <w:p w14:paraId="4A0D17C6" w14:textId="77777777" w:rsidR="00EE283D" w:rsidRDefault="00EE283D" w:rsidP="001262DE">
      <w:pPr>
        <w:pBdr>
          <w:top w:val="nil"/>
          <w:left w:val="nil"/>
          <w:bottom w:val="nil"/>
          <w:right w:val="nil"/>
          <w:between w:val="nil"/>
          <w:bar w:val="nil"/>
        </w:pBdr>
        <w:tabs>
          <w:tab w:val="left" w:pos="142"/>
          <w:tab w:val="left" w:pos="993"/>
        </w:tabs>
        <w:jc w:val="both"/>
        <w:rPr>
          <w:rFonts w:ascii="Arial" w:eastAsia="Arial Unicode MS" w:hAnsi="Arial" w:cs="Arial"/>
          <w:sz w:val="20"/>
          <w:u w:color="000000"/>
          <w:bdr w:val="nil"/>
          <w:lang w:val="es-ES_tradnl" w:eastAsia="es-AR"/>
        </w:rPr>
      </w:pPr>
    </w:p>
    <w:p w14:paraId="3DF1BAD0" w14:textId="6EBBD7F4" w:rsidR="002A4D61" w:rsidRPr="00E541A5" w:rsidRDefault="00EE283D" w:rsidP="001262DE">
      <w:pPr>
        <w:pBdr>
          <w:top w:val="nil"/>
          <w:left w:val="nil"/>
          <w:bottom w:val="nil"/>
          <w:right w:val="nil"/>
          <w:between w:val="nil"/>
          <w:bar w:val="nil"/>
        </w:pBdr>
        <w:tabs>
          <w:tab w:val="left" w:pos="142"/>
          <w:tab w:val="left" w:pos="993"/>
        </w:tabs>
        <w:jc w:val="both"/>
        <w:rPr>
          <w:rFonts w:ascii="Arial" w:hAnsi="Arial" w:cs="Arial"/>
          <w:bCs/>
          <w:sz w:val="20"/>
          <w:lang w:eastAsia="es-AR"/>
        </w:rPr>
      </w:pPr>
      <w:r w:rsidRPr="00613EB0">
        <w:rPr>
          <w:rFonts w:ascii="Arial" w:hAnsi="Arial" w:cs="Arial"/>
          <w:bCs/>
          <w:sz w:val="20"/>
          <w:lang w:eastAsia="es-AR"/>
        </w:rPr>
        <w:t>En el cuadro detallado a continuación se detalla la exposición al riesgo de tasa de interés.  En el mismo se presentan los valores residuales de los activos y pasivos, categorizados por fecha de renegociación de intereses o fecha de vencimiento, el menor.</w:t>
      </w:r>
    </w:p>
    <w:p w14:paraId="7D98A09D" w14:textId="77777777" w:rsidR="002A4D61" w:rsidRPr="00691D6F" w:rsidRDefault="002A4D61" w:rsidP="001262DE">
      <w:pPr>
        <w:pBdr>
          <w:top w:val="nil"/>
          <w:left w:val="nil"/>
          <w:bottom w:val="nil"/>
          <w:right w:val="nil"/>
          <w:between w:val="nil"/>
          <w:bar w:val="nil"/>
        </w:pBdr>
        <w:tabs>
          <w:tab w:val="left" w:pos="142"/>
          <w:tab w:val="left" w:pos="993"/>
        </w:tabs>
        <w:jc w:val="both"/>
        <w:rPr>
          <w:rFonts w:ascii="Arial" w:hAnsi="Arial" w:cs="Arial"/>
          <w:bCs/>
          <w:sz w:val="20"/>
          <w:highlight w:val="yellow"/>
          <w:lang w:eastAsia="es-AR"/>
        </w:rPr>
      </w:pPr>
    </w:p>
    <w:tbl>
      <w:tblPr>
        <w:tblW w:w="8499" w:type="dxa"/>
        <w:tblInd w:w="75" w:type="dxa"/>
        <w:tblCellMar>
          <w:left w:w="70" w:type="dxa"/>
          <w:right w:w="70" w:type="dxa"/>
        </w:tblCellMar>
        <w:tblLook w:val="04A0" w:firstRow="1" w:lastRow="0" w:firstColumn="1" w:lastColumn="0" w:noHBand="0" w:noVBand="1"/>
      </w:tblPr>
      <w:tblGrid>
        <w:gridCol w:w="2099"/>
        <w:gridCol w:w="1099"/>
        <w:gridCol w:w="1000"/>
        <w:gridCol w:w="1035"/>
        <w:gridCol w:w="1140"/>
        <w:gridCol w:w="1049"/>
        <w:gridCol w:w="1077"/>
      </w:tblGrid>
      <w:tr w:rsidR="00970522" w:rsidRPr="00E81452" w14:paraId="74C03F10" w14:textId="77777777" w:rsidTr="00970522">
        <w:trPr>
          <w:trHeight w:val="296"/>
        </w:trPr>
        <w:tc>
          <w:tcPr>
            <w:tcW w:w="209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356AC2E" w14:textId="61049BCD" w:rsidR="00970522" w:rsidRPr="00E446C3" w:rsidRDefault="00970522"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Activos y pasivos </w:t>
            </w:r>
            <w:r w:rsidR="00115D7A">
              <w:rPr>
                <w:rFonts w:ascii="Arial" w:hAnsi="Arial" w:cs="Arial"/>
                <w:b/>
                <w:bCs/>
                <w:color w:val="000000"/>
                <w:sz w:val="16"/>
                <w:szCs w:val="16"/>
                <w:lang w:eastAsia="es-AR"/>
              </w:rPr>
              <w:t>al 31/12/2019</w:t>
            </w:r>
          </w:p>
        </w:tc>
        <w:tc>
          <w:tcPr>
            <w:tcW w:w="53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0F185860" w14:textId="77777777" w:rsidR="00970522" w:rsidRPr="00E446C3" w:rsidRDefault="00970522"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Plazo en días</w:t>
            </w:r>
          </w:p>
        </w:tc>
        <w:tc>
          <w:tcPr>
            <w:tcW w:w="1077" w:type="dxa"/>
            <w:vMerge w:val="restart"/>
            <w:tcBorders>
              <w:top w:val="single" w:sz="4" w:space="0" w:color="auto"/>
              <w:left w:val="nil"/>
              <w:right w:val="single" w:sz="4" w:space="0" w:color="auto"/>
            </w:tcBorders>
            <w:shd w:val="clear" w:color="auto" w:fill="auto"/>
            <w:noWrap/>
            <w:vAlign w:val="center"/>
            <w:hideMark/>
          </w:tcPr>
          <w:p w14:paraId="3403116D" w14:textId="2568EF63" w:rsidR="00970522" w:rsidRPr="00E446C3" w:rsidRDefault="00970522" w:rsidP="00970522">
            <w:pPr>
              <w:jc w:val="center"/>
              <w:rPr>
                <w:rFonts w:ascii="Arial" w:hAnsi="Arial" w:cs="Arial"/>
                <w:color w:val="000000"/>
                <w:sz w:val="16"/>
                <w:szCs w:val="16"/>
                <w:lang w:eastAsia="es-AR"/>
              </w:rPr>
            </w:pPr>
            <w:r w:rsidRPr="00E446C3">
              <w:rPr>
                <w:rFonts w:ascii="Arial" w:hAnsi="Arial" w:cs="Arial"/>
                <w:b/>
                <w:bCs/>
                <w:color w:val="000000"/>
                <w:sz w:val="16"/>
                <w:szCs w:val="16"/>
                <w:lang w:eastAsia="es-AR"/>
              </w:rPr>
              <w:t>Total</w:t>
            </w:r>
          </w:p>
        </w:tc>
      </w:tr>
      <w:tr w:rsidR="00970522" w:rsidRPr="00E81452" w14:paraId="03DD066D" w14:textId="77777777" w:rsidTr="00970522">
        <w:trPr>
          <w:trHeight w:val="296"/>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0E40390F" w14:textId="77777777" w:rsidR="00970522" w:rsidRPr="00E446C3" w:rsidRDefault="00970522" w:rsidP="002A4D61">
            <w:pPr>
              <w:rPr>
                <w:rFonts w:ascii="Arial" w:hAnsi="Arial" w:cs="Arial"/>
                <w:b/>
                <w:bCs/>
                <w:color w:val="000000"/>
                <w:sz w:val="16"/>
                <w:szCs w:val="16"/>
                <w:lang w:eastAsia="es-AR"/>
              </w:rPr>
            </w:pPr>
          </w:p>
        </w:tc>
        <w:tc>
          <w:tcPr>
            <w:tcW w:w="1099" w:type="dxa"/>
            <w:tcBorders>
              <w:top w:val="nil"/>
              <w:left w:val="nil"/>
              <w:bottom w:val="single" w:sz="4" w:space="0" w:color="auto"/>
              <w:right w:val="single" w:sz="4" w:space="0" w:color="auto"/>
            </w:tcBorders>
            <w:shd w:val="clear" w:color="auto" w:fill="auto"/>
            <w:noWrap/>
            <w:vAlign w:val="bottom"/>
            <w:hideMark/>
          </w:tcPr>
          <w:p w14:paraId="50D9ABD2" w14:textId="77777777" w:rsidR="00970522" w:rsidRPr="00E446C3" w:rsidRDefault="00970522"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hasta 30</w:t>
            </w:r>
          </w:p>
        </w:tc>
        <w:tc>
          <w:tcPr>
            <w:tcW w:w="1000" w:type="dxa"/>
            <w:tcBorders>
              <w:top w:val="nil"/>
              <w:left w:val="nil"/>
              <w:bottom w:val="single" w:sz="4" w:space="0" w:color="auto"/>
              <w:right w:val="single" w:sz="4" w:space="0" w:color="auto"/>
            </w:tcBorders>
            <w:shd w:val="clear" w:color="auto" w:fill="auto"/>
            <w:noWrap/>
            <w:vAlign w:val="bottom"/>
            <w:hideMark/>
          </w:tcPr>
          <w:p w14:paraId="49A17A0B" w14:textId="77777777" w:rsidR="00970522" w:rsidRPr="00E446C3" w:rsidRDefault="00970522"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30 a 90</w:t>
            </w:r>
          </w:p>
        </w:tc>
        <w:tc>
          <w:tcPr>
            <w:tcW w:w="1035" w:type="dxa"/>
            <w:tcBorders>
              <w:top w:val="nil"/>
              <w:left w:val="nil"/>
              <w:bottom w:val="single" w:sz="4" w:space="0" w:color="auto"/>
              <w:right w:val="single" w:sz="4" w:space="0" w:color="auto"/>
            </w:tcBorders>
            <w:shd w:val="clear" w:color="auto" w:fill="auto"/>
            <w:noWrap/>
            <w:vAlign w:val="bottom"/>
            <w:hideMark/>
          </w:tcPr>
          <w:p w14:paraId="52D3E145" w14:textId="77777777" w:rsidR="00970522" w:rsidRPr="00E446C3" w:rsidRDefault="00970522"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90 a 180</w:t>
            </w:r>
          </w:p>
        </w:tc>
        <w:tc>
          <w:tcPr>
            <w:tcW w:w="1140" w:type="dxa"/>
            <w:tcBorders>
              <w:top w:val="nil"/>
              <w:left w:val="nil"/>
              <w:bottom w:val="single" w:sz="4" w:space="0" w:color="auto"/>
              <w:right w:val="single" w:sz="4" w:space="0" w:color="auto"/>
            </w:tcBorders>
            <w:shd w:val="clear" w:color="auto" w:fill="auto"/>
            <w:noWrap/>
            <w:vAlign w:val="bottom"/>
            <w:hideMark/>
          </w:tcPr>
          <w:p w14:paraId="2575F5C6" w14:textId="77777777" w:rsidR="00970522" w:rsidRPr="00E446C3" w:rsidRDefault="00970522"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180 a 365</w:t>
            </w:r>
          </w:p>
        </w:tc>
        <w:tc>
          <w:tcPr>
            <w:tcW w:w="1049" w:type="dxa"/>
            <w:tcBorders>
              <w:top w:val="nil"/>
              <w:left w:val="nil"/>
              <w:bottom w:val="single" w:sz="4" w:space="0" w:color="auto"/>
              <w:right w:val="single" w:sz="4" w:space="0" w:color="auto"/>
            </w:tcBorders>
            <w:shd w:val="clear" w:color="auto" w:fill="auto"/>
            <w:noWrap/>
            <w:vAlign w:val="bottom"/>
            <w:hideMark/>
          </w:tcPr>
          <w:p w14:paraId="39628160" w14:textId="77777777" w:rsidR="00970522" w:rsidRPr="00E446C3" w:rsidRDefault="00970522"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más de 365</w:t>
            </w:r>
          </w:p>
        </w:tc>
        <w:tc>
          <w:tcPr>
            <w:tcW w:w="1077" w:type="dxa"/>
            <w:vMerge/>
            <w:tcBorders>
              <w:left w:val="nil"/>
              <w:bottom w:val="single" w:sz="4" w:space="0" w:color="auto"/>
              <w:right w:val="single" w:sz="4" w:space="0" w:color="auto"/>
            </w:tcBorders>
            <w:shd w:val="clear" w:color="auto" w:fill="auto"/>
            <w:noWrap/>
            <w:vAlign w:val="bottom"/>
            <w:hideMark/>
          </w:tcPr>
          <w:p w14:paraId="130A0E8E" w14:textId="24C64C9C" w:rsidR="00970522" w:rsidRPr="00E446C3" w:rsidRDefault="00970522" w:rsidP="002A4D61">
            <w:pPr>
              <w:jc w:val="center"/>
              <w:rPr>
                <w:rFonts w:ascii="Arial" w:hAnsi="Arial" w:cs="Arial"/>
                <w:b/>
                <w:bCs/>
                <w:color w:val="000000"/>
                <w:sz w:val="16"/>
                <w:szCs w:val="16"/>
                <w:lang w:eastAsia="es-AR"/>
              </w:rPr>
            </w:pPr>
          </w:p>
        </w:tc>
      </w:tr>
      <w:tr w:rsidR="00343842" w:rsidRPr="00E81452" w14:paraId="449E018D" w14:textId="77777777" w:rsidTr="00970522">
        <w:trPr>
          <w:trHeight w:val="296"/>
        </w:trPr>
        <w:tc>
          <w:tcPr>
            <w:tcW w:w="2099" w:type="dxa"/>
            <w:tcBorders>
              <w:top w:val="nil"/>
              <w:left w:val="single" w:sz="4" w:space="0" w:color="auto"/>
              <w:bottom w:val="single" w:sz="4" w:space="0" w:color="auto"/>
              <w:right w:val="single" w:sz="4" w:space="0" w:color="auto"/>
            </w:tcBorders>
            <w:shd w:val="clear" w:color="auto" w:fill="auto"/>
            <w:noWrap/>
            <w:vAlign w:val="bottom"/>
            <w:hideMark/>
          </w:tcPr>
          <w:p w14:paraId="17C243CC" w14:textId="77777777" w:rsidR="00343842" w:rsidRPr="00E446C3" w:rsidRDefault="00343842" w:rsidP="00343842">
            <w:pPr>
              <w:rPr>
                <w:rFonts w:ascii="Arial" w:hAnsi="Arial" w:cs="Arial"/>
                <w:color w:val="000000"/>
                <w:sz w:val="16"/>
                <w:szCs w:val="16"/>
                <w:lang w:eastAsia="es-AR"/>
              </w:rPr>
            </w:pPr>
            <w:r w:rsidRPr="00E446C3">
              <w:rPr>
                <w:rFonts w:ascii="Arial" w:hAnsi="Arial" w:cs="Arial"/>
                <w:color w:val="000000"/>
                <w:sz w:val="16"/>
                <w:szCs w:val="16"/>
                <w:lang w:eastAsia="es-AR"/>
              </w:rPr>
              <w:t>Total Activos Financieros</w:t>
            </w:r>
          </w:p>
        </w:tc>
        <w:tc>
          <w:tcPr>
            <w:tcW w:w="1099" w:type="dxa"/>
            <w:tcBorders>
              <w:top w:val="nil"/>
              <w:left w:val="nil"/>
              <w:bottom w:val="single" w:sz="4" w:space="0" w:color="auto"/>
              <w:right w:val="single" w:sz="4" w:space="0" w:color="auto"/>
            </w:tcBorders>
            <w:shd w:val="clear" w:color="auto" w:fill="auto"/>
            <w:noWrap/>
            <w:vAlign w:val="bottom"/>
          </w:tcPr>
          <w:p w14:paraId="12AF9BD7" w14:textId="12A83BF6" w:rsidR="00343842" w:rsidRPr="00E446C3" w:rsidRDefault="00343842" w:rsidP="00343842">
            <w:pPr>
              <w:jc w:val="right"/>
              <w:rPr>
                <w:rFonts w:ascii="Arial" w:hAnsi="Arial" w:cs="Arial"/>
                <w:color w:val="000000"/>
                <w:sz w:val="16"/>
                <w:szCs w:val="16"/>
                <w:lang w:eastAsia="es-AR"/>
              </w:rPr>
            </w:pPr>
            <w:r w:rsidRPr="00343842">
              <w:rPr>
                <w:rFonts w:ascii="Arial" w:hAnsi="Arial" w:cs="Arial"/>
                <w:color w:val="000000"/>
                <w:sz w:val="16"/>
                <w:szCs w:val="16"/>
                <w:lang w:eastAsia="es-AR"/>
              </w:rPr>
              <w:t xml:space="preserve">  42.459.435 </w:t>
            </w:r>
          </w:p>
        </w:tc>
        <w:tc>
          <w:tcPr>
            <w:tcW w:w="1000" w:type="dxa"/>
            <w:tcBorders>
              <w:top w:val="nil"/>
              <w:left w:val="nil"/>
              <w:bottom w:val="single" w:sz="4" w:space="0" w:color="auto"/>
              <w:right w:val="single" w:sz="4" w:space="0" w:color="auto"/>
            </w:tcBorders>
            <w:shd w:val="clear" w:color="auto" w:fill="auto"/>
            <w:noWrap/>
            <w:vAlign w:val="bottom"/>
          </w:tcPr>
          <w:p w14:paraId="75FA3974" w14:textId="5B10F6B3" w:rsidR="00343842" w:rsidRPr="00E446C3" w:rsidRDefault="00343842" w:rsidP="00343842">
            <w:pPr>
              <w:jc w:val="right"/>
              <w:rPr>
                <w:rFonts w:ascii="Arial" w:hAnsi="Arial" w:cs="Arial"/>
                <w:color w:val="000000"/>
                <w:sz w:val="16"/>
                <w:szCs w:val="16"/>
                <w:lang w:eastAsia="es-AR"/>
              </w:rPr>
            </w:pPr>
            <w:r w:rsidRPr="00343842">
              <w:rPr>
                <w:rFonts w:ascii="Arial" w:hAnsi="Arial" w:cs="Arial"/>
                <w:color w:val="000000"/>
                <w:sz w:val="16"/>
                <w:szCs w:val="16"/>
                <w:lang w:eastAsia="es-AR"/>
              </w:rPr>
              <w:t xml:space="preserve">  14.881.702 </w:t>
            </w:r>
          </w:p>
        </w:tc>
        <w:tc>
          <w:tcPr>
            <w:tcW w:w="1035" w:type="dxa"/>
            <w:tcBorders>
              <w:top w:val="nil"/>
              <w:left w:val="nil"/>
              <w:bottom w:val="single" w:sz="4" w:space="0" w:color="auto"/>
              <w:right w:val="single" w:sz="4" w:space="0" w:color="auto"/>
            </w:tcBorders>
            <w:shd w:val="clear" w:color="auto" w:fill="auto"/>
            <w:noWrap/>
            <w:vAlign w:val="bottom"/>
          </w:tcPr>
          <w:p w14:paraId="1B7B19BE" w14:textId="34D522EB" w:rsidR="00343842" w:rsidRPr="00E446C3" w:rsidRDefault="00343842" w:rsidP="00343842">
            <w:pPr>
              <w:jc w:val="right"/>
              <w:rPr>
                <w:rFonts w:ascii="Arial" w:hAnsi="Arial" w:cs="Arial"/>
                <w:color w:val="000000"/>
                <w:sz w:val="16"/>
                <w:szCs w:val="16"/>
                <w:lang w:eastAsia="es-AR"/>
              </w:rPr>
            </w:pPr>
            <w:r w:rsidRPr="00343842">
              <w:rPr>
                <w:rFonts w:ascii="Arial" w:hAnsi="Arial" w:cs="Arial"/>
                <w:color w:val="000000"/>
                <w:sz w:val="16"/>
                <w:szCs w:val="16"/>
                <w:lang w:eastAsia="es-AR"/>
              </w:rPr>
              <w:t xml:space="preserve">  11.451.613 </w:t>
            </w:r>
          </w:p>
        </w:tc>
        <w:tc>
          <w:tcPr>
            <w:tcW w:w="1140" w:type="dxa"/>
            <w:tcBorders>
              <w:top w:val="nil"/>
              <w:left w:val="nil"/>
              <w:bottom w:val="single" w:sz="4" w:space="0" w:color="auto"/>
              <w:right w:val="single" w:sz="4" w:space="0" w:color="auto"/>
            </w:tcBorders>
            <w:shd w:val="clear" w:color="auto" w:fill="auto"/>
            <w:noWrap/>
            <w:vAlign w:val="bottom"/>
          </w:tcPr>
          <w:p w14:paraId="5C975893" w14:textId="6FA96ECE" w:rsidR="00343842" w:rsidRPr="00E446C3" w:rsidRDefault="00343842" w:rsidP="00343842">
            <w:pPr>
              <w:jc w:val="right"/>
              <w:rPr>
                <w:rFonts w:ascii="Arial" w:hAnsi="Arial" w:cs="Arial"/>
                <w:color w:val="000000"/>
                <w:sz w:val="16"/>
                <w:szCs w:val="16"/>
                <w:lang w:eastAsia="es-AR"/>
              </w:rPr>
            </w:pPr>
            <w:r w:rsidRPr="00343842">
              <w:rPr>
                <w:rFonts w:ascii="Arial" w:hAnsi="Arial" w:cs="Arial"/>
                <w:color w:val="000000"/>
                <w:sz w:val="16"/>
                <w:szCs w:val="16"/>
                <w:lang w:eastAsia="es-AR"/>
              </w:rPr>
              <w:t xml:space="preserve"> 12.233.236 </w:t>
            </w:r>
          </w:p>
        </w:tc>
        <w:tc>
          <w:tcPr>
            <w:tcW w:w="1049" w:type="dxa"/>
            <w:tcBorders>
              <w:top w:val="nil"/>
              <w:left w:val="nil"/>
              <w:bottom w:val="single" w:sz="4" w:space="0" w:color="auto"/>
              <w:right w:val="single" w:sz="4" w:space="0" w:color="auto"/>
            </w:tcBorders>
            <w:shd w:val="clear" w:color="auto" w:fill="auto"/>
            <w:noWrap/>
            <w:vAlign w:val="bottom"/>
          </w:tcPr>
          <w:p w14:paraId="352DF557" w14:textId="520CC215" w:rsidR="00343842" w:rsidRPr="00E446C3" w:rsidRDefault="00343842" w:rsidP="00343842">
            <w:pPr>
              <w:jc w:val="right"/>
              <w:rPr>
                <w:rFonts w:ascii="Arial" w:hAnsi="Arial" w:cs="Arial"/>
                <w:color w:val="000000"/>
                <w:sz w:val="16"/>
                <w:szCs w:val="16"/>
                <w:lang w:eastAsia="es-AR"/>
              </w:rPr>
            </w:pPr>
            <w:r w:rsidRPr="00343842">
              <w:rPr>
                <w:rFonts w:ascii="Arial" w:hAnsi="Arial" w:cs="Arial"/>
                <w:color w:val="000000"/>
                <w:sz w:val="16"/>
                <w:szCs w:val="16"/>
                <w:lang w:eastAsia="es-AR"/>
              </w:rPr>
              <w:t xml:space="preserve">         50.715.255 </w:t>
            </w:r>
          </w:p>
        </w:tc>
        <w:tc>
          <w:tcPr>
            <w:tcW w:w="1077" w:type="dxa"/>
            <w:tcBorders>
              <w:top w:val="nil"/>
              <w:left w:val="nil"/>
              <w:bottom w:val="single" w:sz="4" w:space="0" w:color="auto"/>
              <w:right w:val="single" w:sz="4" w:space="0" w:color="auto"/>
            </w:tcBorders>
            <w:shd w:val="clear" w:color="auto" w:fill="auto"/>
            <w:noWrap/>
            <w:vAlign w:val="bottom"/>
          </w:tcPr>
          <w:p w14:paraId="3F29E0B3" w14:textId="4E7E732C" w:rsidR="00343842" w:rsidRPr="00343842" w:rsidRDefault="00343842" w:rsidP="00343842">
            <w:pPr>
              <w:jc w:val="right"/>
              <w:rPr>
                <w:rFonts w:ascii="Arial" w:hAnsi="Arial" w:cs="Arial"/>
                <w:b/>
                <w:color w:val="000000"/>
                <w:sz w:val="16"/>
                <w:szCs w:val="16"/>
                <w:lang w:eastAsia="es-AR"/>
              </w:rPr>
            </w:pPr>
            <w:r w:rsidRPr="00343842">
              <w:rPr>
                <w:rFonts w:ascii="Arial" w:hAnsi="Arial" w:cs="Arial"/>
                <w:b/>
                <w:color w:val="000000"/>
                <w:sz w:val="16"/>
                <w:szCs w:val="16"/>
                <w:lang w:eastAsia="es-AR"/>
              </w:rPr>
              <w:t xml:space="preserve"> 131.741.241 </w:t>
            </w:r>
          </w:p>
        </w:tc>
      </w:tr>
      <w:tr w:rsidR="00343842" w:rsidRPr="00E81452" w14:paraId="7D7B2661" w14:textId="77777777" w:rsidTr="00970522">
        <w:trPr>
          <w:trHeight w:val="296"/>
        </w:trPr>
        <w:tc>
          <w:tcPr>
            <w:tcW w:w="2099" w:type="dxa"/>
            <w:tcBorders>
              <w:top w:val="nil"/>
              <w:left w:val="single" w:sz="4" w:space="0" w:color="auto"/>
              <w:bottom w:val="single" w:sz="4" w:space="0" w:color="auto"/>
              <w:right w:val="single" w:sz="4" w:space="0" w:color="auto"/>
            </w:tcBorders>
            <w:shd w:val="clear" w:color="auto" w:fill="auto"/>
            <w:noWrap/>
            <w:vAlign w:val="bottom"/>
            <w:hideMark/>
          </w:tcPr>
          <w:p w14:paraId="7CAE65D8" w14:textId="77777777" w:rsidR="00343842" w:rsidRPr="00E446C3" w:rsidRDefault="00343842" w:rsidP="00343842">
            <w:pPr>
              <w:rPr>
                <w:rFonts w:ascii="Arial" w:hAnsi="Arial" w:cs="Arial"/>
                <w:color w:val="000000"/>
                <w:sz w:val="16"/>
                <w:szCs w:val="16"/>
                <w:lang w:eastAsia="es-AR"/>
              </w:rPr>
            </w:pPr>
            <w:r w:rsidRPr="00E446C3">
              <w:rPr>
                <w:rFonts w:ascii="Arial" w:hAnsi="Arial" w:cs="Arial"/>
                <w:color w:val="000000"/>
                <w:sz w:val="16"/>
                <w:szCs w:val="16"/>
                <w:lang w:eastAsia="es-AR"/>
              </w:rPr>
              <w:t>Total Pasivos Financieros</w:t>
            </w:r>
          </w:p>
        </w:tc>
        <w:tc>
          <w:tcPr>
            <w:tcW w:w="1099" w:type="dxa"/>
            <w:tcBorders>
              <w:top w:val="nil"/>
              <w:left w:val="nil"/>
              <w:bottom w:val="single" w:sz="4" w:space="0" w:color="auto"/>
              <w:right w:val="single" w:sz="4" w:space="0" w:color="auto"/>
            </w:tcBorders>
            <w:shd w:val="clear" w:color="auto" w:fill="auto"/>
            <w:noWrap/>
            <w:vAlign w:val="bottom"/>
          </w:tcPr>
          <w:p w14:paraId="498617B0" w14:textId="64154D21" w:rsidR="00343842" w:rsidRPr="00E446C3" w:rsidRDefault="00343842" w:rsidP="00343842">
            <w:pPr>
              <w:jc w:val="right"/>
              <w:rPr>
                <w:rFonts w:ascii="Arial" w:hAnsi="Arial" w:cs="Arial"/>
                <w:color w:val="000000"/>
                <w:sz w:val="16"/>
                <w:szCs w:val="16"/>
                <w:lang w:eastAsia="es-AR"/>
              </w:rPr>
            </w:pPr>
            <w:r w:rsidRPr="00343842">
              <w:rPr>
                <w:rFonts w:ascii="Arial" w:hAnsi="Arial" w:cs="Arial"/>
                <w:color w:val="000000"/>
                <w:sz w:val="16"/>
                <w:szCs w:val="16"/>
                <w:lang w:eastAsia="es-AR"/>
              </w:rPr>
              <w:t xml:space="preserve">    50.452.394 </w:t>
            </w:r>
          </w:p>
        </w:tc>
        <w:tc>
          <w:tcPr>
            <w:tcW w:w="1000" w:type="dxa"/>
            <w:tcBorders>
              <w:top w:val="nil"/>
              <w:left w:val="nil"/>
              <w:bottom w:val="single" w:sz="4" w:space="0" w:color="auto"/>
              <w:right w:val="single" w:sz="4" w:space="0" w:color="auto"/>
            </w:tcBorders>
            <w:shd w:val="clear" w:color="auto" w:fill="auto"/>
            <w:noWrap/>
            <w:vAlign w:val="bottom"/>
          </w:tcPr>
          <w:p w14:paraId="38479D78" w14:textId="203CC547" w:rsidR="00343842" w:rsidRPr="00E446C3" w:rsidRDefault="00343842" w:rsidP="00343842">
            <w:pPr>
              <w:jc w:val="right"/>
              <w:rPr>
                <w:rFonts w:ascii="Arial" w:hAnsi="Arial" w:cs="Arial"/>
                <w:color w:val="000000"/>
                <w:sz w:val="16"/>
                <w:szCs w:val="16"/>
                <w:lang w:eastAsia="es-AR"/>
              </w:rPr>
            </w:pPr>
            <w:r w:rsidRPr="00343842">
              <w:rPr>
                <w:rFonts w:ascii="Arial" w:hAnsi="Arial" w:cs="Arial"/>
                <w:color w:val="000000"/>
                <w:sz w:val="16"/>
                <w:szCs w:val="16"/>
                <w:lang w:eastAsia="es-AR"/>
              </w:rPr>
              <w:t xml:space="preserve">  13.428.687 </w:t>
            </w:r>
          </w:p>
        </w:tc>
        <w:tc>
          <w:tcPr>
            <w:tcW w:w="1035" w:type="dxa"/>
            <w:tcBorders>
              <w:top w:val="nil"/>
              <w:left w:val="nil"/>
              <w:bottom w:val="single" w:sz="4" w:space="0" w:color="auto"/>
              <w:right w:val="single" w:sz="4" w:space="0" w:color="auto"/>
            </w:tcBorders>
            <w:shd w:val="clear" w:color="auto" w:fill="auto"/>
            <w:noWrap/>
            <w:vAlign w:val="bottom"/>
          </w:tcPr>
          <w:p w14:paraId="2E70D8F7" w14:textId="566909E9" w:rsidR="00343842" w:rsidRPr="00E446C3" w:rsidRDefault="00343842" w:rsidP="00343842">
            <w:pPr>
              <w:jc w:val="right"/>
              <w:rPr>
                <w:rFonts w:ascii="Arial" w:hAnsi="Arial" w:cs="Arial"/>
                <w:color w:val="000000"/>
                <w:sz w:val="16"/>
                <w:szCs w:val="16"/>
                <w:lang w:eastAsia="es-AR"/>
              </w:rPr>
            </w:pPr>
            <w:r w:rsidRPr="00343842">
              <w:rPr>
                <w:rFonts w:ascii="Arial" w:hAnsi="Arial" w:cs="Arial"/>
                <w:color w:val="000000"/>
                <w:sz w:val="16"/>
                <w:szCs w:val="16"/>
                <w:lang w:eastAsia="es-AR"/>
              </w:rPr>
              <w:t xml:space="preserve">    5.116.494 </w:t>
            </w:r>
          </w:p>
        </w:tc>
        <w:tc>
          <w:tcPr>
            <w:tcW w:w="1140" w:type="dxa"/>
            <w:tcBorders>
              <w:top w:val="nil"/>
              <w:left w:val="nil"/>
              <w:bottom w:val="single" w:sz="4" w:space="0" w:color="auto"/>
              <w:right w:val="single" w:sz="4" w:space="0" w:color="auto"/>
            </w:tcBorders>
            <w:shd w:val="clear" w:color="auto" w:fill="auto"/>
            <w:noWrap/>
            <w:vAlign w:val="bottom"/>
          </w:tcPr>
          <w:p w14:paraId="3A404370" w14:textId="16AE16AC" w:rsidR="00343842" w:rsidRPr="00E446C3" w:rsidRDefault="00343842" w:rsidP="00343842">
            <w:pPr>
              <w:jc w:val="right"/>
              <w:rPr>
                <w:rFonts w:ascii="Arial" w:hAnsi="Arial" w:cs="Arial"/>
                <w:color w:val="000000"/>
                <w:sz w:val="16"/>
                <w:szCs w:val="16"/>
                <w:lang w:eastAsia="es-AR"/>
              </w:rPr>
            </w:pPr>
            <w:r w:rsidRPr="00343842">
              <w:rPr>
                <w:rFonts w:ascii="Arial" w:hAnsi="Arial" w:cs="Arial"/>
                <w:color w:val="000000"/>
                <w:sz w:val="16"/>
                <w:szCs w:val="16"/>
                <w:lang w:eastAsia="es-AR"/>
              </w:rPr>
              <w:t xml:space="preserve">    6.674.589 </w:t>
            </w:r>
          </w:p>
        </w:tc>
        <w:tc>
          <w:tcPr>
            <w:tcW w:w="1049" w:type="dxa"/>
            <w:tcBorders>
              <w:top w:val="nil"/>
              <w:left w:val="nil"/>
              <w:bottom w:val="single" w:sz="4" w:space="0" w:color="auto"/>
              <w:right w:val="single" w:sz="4" w:space="0" w:color="auto"/>
            </w:tcBorders>
            <w:shd w:val="clear" w:color="auto" w:fill="auto"/>
            <w:noWrap/>
            <w:vAlign w:val="bottom"/>
          </w:tcPr>
          <w:p w14:paraId="4E67F302" w14:textId="2FA894F5" w:rsidR="00343842" w:rsidRPr="00E446C3" w:rsidRDefault="00343842" w:rsidP="00343842">
            <w:pPr>
              <w:jc w:val="right"/>
              <w:rPr>
                <w:rFonts w:ascii="Arial" w:hAnsi="Arial" w:cs="Arial"/>
                <w:color w:val="000000"/>
                <w:sz w:val="16"/>
                <w:szCs w:val="16"/>
                <w:lang w:eastAsia="es-AR"/>
              </w:rPr>
            </w:pPr>
            <w:r w:rsidRPr="00343842">
              <w:rPr>
                <w:rFonts w:ascii="Arial" w:hAnsi="Arial" w:cs="Arial"/>
                <w:color w:val="000000"/>
                <w:sz w:val="16"/>
                <w:szCs w:val="16"/>
                <w:lang w:eastAsia="es-AR"/>
              </w:rPr>
              <w:t xml:space="preserve">         44.708.853 </w:t>
            </w:r>
          </w:p>
        </w:tc>
        <w:tc>
          <w:tcPr>
            <w:tcW w:w="1077" w:type="dxa"/>
            <w:tcBorders>
              <w:top w:val="nil"/>
              <w:left w:val="nil"/>
              <w:bottom w:val="single" w:sz="4" w:space="0" w:color="auto"/>
              <w:right w:val="single" w:sz="4" w:space="0" w:color="auto"/>
            </w:tcBorders>
            <w:shd w:val="clear" w:color="auto" w:fill="auto"/>
            <w:noWrap/>
            <w:vAlign w:val="bottom"/>
          </w:tcPr>
          <w:p w14:paraId="04E26CF8" w14:textId="716757FD" w:rsidR="00343842" w:rsidRPr="00343842" w:rsidRDefault="00343842" w:rsidP="00343842">
            <w:pPr>
              <w:jc w:val="right"/>
              <w:rPr>
                <w:rFonts w:ascii="Arial" w:hAnsi="Arial" w:cs="Arial"/>
                <w:b/>
                <w:color w:val="000000"/>
                <w:sz w:val="16"/>
                <w:szCs w:val="16"/>
                <w:lang w:eastAsia="es-AR"/>
              </w:rPr>
            </w:pPr>
            <w:r w:rsidRPr="00343842">
              <w:rPr>
                <w:rFonts w:ascii="Arial" w:hAnsi="Arial" w:cs="Arial"/>
                <w:b/>
                <w:color w:val="000000"/>
                <w:sz w:val="16"/>
                <w:szCs w:val="16"/>
                <w:lang w:eastAsia="es-AR"/>
              </w:rPr>
              <w:t xml:space="preserve"> 120.381.017 </w:t>
            </w:r>
          </w:p>
        </w:tc>
      </w:tr>
      <w:tr w:rsidR="00343842" w:rsidRPr="00E81452" w14:paraId="51538BBC" w14:textId="77777777" w:rsidTr="00343842">
        <w:trPr>
          <w:trHeight w:val="296"/>
        </w:trPr>
        <w:tc>
          <w:tcPr>
            <w:tcW w:w="2099" w:type="dxa"/>
            <w:tcBorders>
              <w:top w:val="nil"/>
              <w:left w:val="single" w:sz="4" w:space="0" w:color="auto"/>
              <w:bottom w:val="single" w:sz="4" w:space="0" w:color="auto"/>
              <w:right w:val="single" w:sz="4" w:space="0" w:color="auto"/>
            </w:tcBorders>
            <w:shd w:val="clear" w:color="auto" w:fill="auto"/>
            <w:noWrap/>
            <w:vAlign w:val="bottom"/>
            <w:hideMark/>
          </w:tcPr>
          <w:p w14:paraId="787C5198" w14:textId="77777777" w:rsidR="00343842" w:rsidRPr="00E446C3" w:rsidRDefault="00343842" w:rsidP="00343842">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Monto Neto</w:t>
            </w:r>
          </w:p>
        </w:tc>
        <w:tc>
          <w:tcPr>
            <w:tcW w:w="1099" w:type="dxa"/>
            <w:tcBorders>
              <w:top w:val="nil"/>
              <w:left w:val="nil"/>
              <w:bottom w:val="single" w:sz="4" w:space="0" w:color="auto"/>
              <w:right w:val="single" w:sz="4" w:space="0" w:color="auto"/>
            </w:tcBorders>
            <w:shd w:val="clear" w:color="auto" w:fill="auto"/>
            <w:noWrap/>
            <w:vAlign w:val="bottom"/>
          </w:tcPr>
          <w:p w14:paraId="545325E2" w14:textId="24A76EB6" w:rsidR="00343842" w:rsidRPr="00343842" w:rsidRDefault="00343842" w:rsidP="00343842">
            <w:pPr>
              <w:jc w:val="right"/>
              <w:rPr>
                <w:rFonts w:ascii="Arial" w:hAnsi="Arial" w:cs="Arial"/>
                <w:b/>
                <w:color w:val="000000"/>
                <w:sz w:val="16"/>
                <w:szCs w:val="16"/>
                <w:lang w:eastAsia="es-AR"/>
              </w:rPr>
            </w:pPr>
            <w:r w:rsidRPr="00343842">
              <w:rPr>
                <w:rFonts w:ascii="Arial" w:hAnsi="Arial" w:cs="Arial"/>
                <w:b/>
                <w:color w:val="000000"/>
                <w:sz w:val="16"/>
                <w:szCs w:val="16"/>
                <w:lang w:eastAsia="es-AR"/>
              </w:rPr>
              <w:t xml:space="preserve">   (7.992.959) </w:t>
            </w:r>
          </w:p>
        </w:tc>
        <w:tc>
          <w:tcPr>
            <w:tcW w:w="1000" w:type="dxa"/>
            <w:tcBorders>
              <w:top w:val="nil"/>
              <w:left w:val="nil"/>
              <w:bottom w:val="single" w:sz="4" w:space="0" w:color="auto"/>
              <w:right w:val="single" w:sz="4" w:space="0" w:color="auto"/>
            </w:tcBorders>
            <w:shd w:val="clear" w:color="auto" w:fill="auto"/>
            <w:noWrap/>
            <w:vAlign w:val="bottom"/>
          </w:tcPr>
          <w:p w14:paraId="14E13E13" w14:textId="464F01E0" w:rsidR="00343842" w:rsidRPr="00343842" w:rsidRDefault="00343842" w:rsidP="00343842">
            <w:pPr>
              <w:jc w:val="right"/>
              <w:rPr>
                <w:rFonts w:ascii="Arial" w:hAnsi="Arial" w:cs="Arial"/>
                <w:b/>
                <w:color w:val="000000"/>
                <w:sz w:val="16"/>
                <w:szCs w:val="16"/>
                <w:lang w:eastAsia="es-AR"/>
              </w:rPr>
            </w:pPr>
            <w:r w:rsidRPr="00343842">
              <w:rPr>
                <w:rFonts w:ascii="Arial" w:hAnsi="Arial" w:cs="Arial"/>
                <w:b/>
                <w:color w:val="000000"/>
                <w:sz w:val="16"/>
                <w:szCs w:val="16"/>
                <w:lang w:eastAsia="es-AR"/>
              </w:rPr>
              <w:t xml:space="preserve">   1.453.015 </w:t>
            </w:r>
          </w:p>
        </w:tc>
        <w:tc>
          <w:tcPr>
            <w:tcW w:w="1035" w:type="dxa"/>
            <w:tcBorders>
              <w:top w:val="nil"/>
              <w:left w:val="nil"/>
              <w:bottom w:val="single" w:sz="4" w:space="0" w:color="auto"/>
              <w:right w:val="single" w:sz="4" w:space="0" w:color="auto"/>
            </w:tcBorders>
            <w:shd w:val="clear" w:color="auto" w:fill="auto"/>
            <w:noWrap/>
            <w:vAlign w:val="bottom"/>
          </w:tcPr>
          <w:p w14:paraId="201712C1" w14:textId="6007CC55" w:rsidR="00343842" w:rsidRPr="00343842" w:rsidRDefault="00343842" w:rsidP="00343842">
            <w:pPr>
              <w:jc w:val="right"/>
              <w:rPr>
                <w:rFonts w:ascii="Arial" w:hAnsi="Arial" w:cs="Arial"/>
                <w:b/>
                <w:color w:val="000000"/>
                <w:sz w:val="16"/>
                <w:szCs w:val="16"/>
                <w:lang w:eastAsia="es-AR"/>
              </w:rPr>
            </w:pPr>
            <w:r w:rsidRPr="00343842">
              <w:rPr>
                <w:rFonts w:ascii="Arial" w:hAnsi="Arial" w:cs="Arial"/>
                <w:b/>
                <w:color w:val="000000"/>
                <w:sz w:val="16"/>
                <w:szCs w:val="16"/>
                <w:lang w:eastAsia="es-AR"/>
              </w:rPr>
              <w:t xml:space="preserve">   6.335.119 </w:t>
            </w:r>
          </w:p>
        </w:tc>
        <w:tc>
          <w:tcPr>
            <w:tcW w:w="1140" w:type="dxa"/>
            <w:tcBorders>
              <w:top w:val="nil"/>
              <w:left w:val="nil"/>
              <w:bottom w:val="single" w:sz="4" w:space="0" w:color="auto"/>
              <w:right w:val="single" w:sz="4" w:space="0" w:color="auto"/>
            </w:tcBorders>
            <w:shd w:val="clear" w:color="auto" w:fill="auto"/>
            <w:noWrap/>
            <w:vAlign w:val="bottom"/>
          </w:tcPr>
          <w:p w14:paraId="30374444" w14:textId="2636D08B" w:rsidR="00343842" w:rsidRPr="00343842" w:rsidRDefault="00343842" w:rsidP="00343842">
            <w:pPr>
              <w:jc w:val="right"/>
              <w:rPr>
                <w:rFonts w:ascii="Arial" w:hAnsi="Arial" w:cs="Arial"/>
                <w:b/>
                <w:color w:val="000000"/>
                <w:sz w:val="16"/>
                <w:szCs w:val="16"/>
                <w:lang w:eastAsia="es-AR"/>
              </w:rPr>
            </w:pPr>
            <w:r w:rsidRPr="00343842">
              <w:rPr>
                <w:rFonts w:ascii="Arial" w:hAnsi="Arial" w:cs="Arial"/>
                <w:b/>
                <w:color w:val="000000"/>
                <w:sz w:val="16"/>
                <w:szCs w:val="16"/>
                <w:lang w:eastAsia="es-AR"/>
              </w:rPr>
              <w:t xml:space="preserve">  5.558.647 </w:t>
            </w:r>
          </w:p>
        </w:tc>
        <w:tc>
          <w:tcPr>
            <w:tcW w:w="1049" w:type="dxa"/>
            <w:tcBorders>
              <w:top w:val="nil"/>
              <w:left w:val="nil"/>
              <w:bottom w:val="single" w:sz="4" w:space="0" w:color="auto"/>
              <w:right w:val="single" w:sz="4" w:space="0" w:color="auto"/>
            </w:tcBorders>
            <w:shd w:val="clear" w:color="auto" w:fill="auto"/>
            <w:noWrap/>
            <w:vAlign w:val="bottom"/>
          </w:tcPr>
          <w:p w14:paraId="5342A97D" w14:textId="16783475" w:rsidR="00343842" w:rsidRPr="00343842" w:rsidRDefault="00343842" w:rsidP="00343842">
            <w:pPr>
              <w:jc w:val="right"/>
              <w:rPr>
                <w:rFonts w:ascii="Arial" w:hAnsi="Arial" w:cs="Arial"/>
                <w:b/>
                <w:color w:val="000000"/>
                <w:sz w:val="16"/>
                <w:szCs w:val="16"/>
                <w:lang w:eastAsia="es-AR"/>
              </w:rPr>
            </w:pPr>
            <w:r w:rsidRPr="00343842">
              <w:rPr>
                <w:rFonts w:ascii="Arial" w:hAnsi="Arial" w:cs="Arial"/>
                <w:b/>
                <w:color w:val="000000"/>
                <w:sz w:val="16"/>
                <w:szCs w:val="16"/>
                <w:lang w:eastAsia="es-AR"/>
              </w:rPr>
              <w:t xml:space="preserve">    6.00</w:t>
            </w:r>
            <w:r w:rsidR="00A11ACD">
              <w:rPr>
                <w:rFonts w:ascii="Arial" w:hAnsi="Arial" w:cs="Arial"/>
                <w:b/>
                <w:color w:val="000000"/>
                <w:sz w:val="16"/>
                <w:szCs w:val="16"/>
                <w:lang w:eastAsia="es-AR"/>
              </w:rPr>
              <w:t>6.</w:t>
            </w:r>
            <w:r w:rsidRPr="00343842">
              <w:rPr>
                <w:rFonts w:ascii="Arial" w:hAnsi="Arial" w:cs="Arial"/>
                <w:b/>
                <w:color w:val="000000"/>
                <w:sz w:val="16"/>
                <w:szCs w:val="16"/>
                <w:lang w:eastAsia="es-AR"/>
              </w:rPr>
              <w:t>40</w:t>
            </w:r>
            <w:r w:rsidR="00A11ACD">
              <w:rPr>
                <w:rFonts w:ascii="Arial" w:hAnsi="Arial" w:cs="Arial"/>
                <w:b/>
                <w:color w:val="000000"/>
                <w:sz w:val="16"/>
                <w:szCs w:val="16"/>
                <w:lang w:eastAsia="es-AR"/>
              </w:rPr>
              <w:t>2</w:t>
            </w:r>
            <w:r w:rsidRPr="00343842">
              <w:rPr>
                <w:rFonts w:ascii="Arial" w:hAnsi="Arial" w:cs="Arial"/>
                <w:b/>
                <w:color w:val="000000"/>
                <w:sz w:val="16"/>
                <w:szCs w:val="16"/>
                <w:lang w:eastAsia="es-AR"/>
              </w:rPr>
              <w:t xml:space="preserve"> </w:t>
            </w:r>
          </w:p>
        </w:tc>
        <w:tc>
          <w:tcPr>
            <w:tcW w:w="1077" w:type="dxa"/>
            <w:tcBorders>
              <w:top w:val="nil"/>
              <w:left w:val="nil"/>
              <w:bottom w:val="single" w:sz="4" w:space="0" w:color="auto"/>
              <w:right w:val="single" w:sz="4" w:space="0" w:color="auto"/>
            </w:tcBorders>
            <w:shd w:val="clear" w:color="auto" w:fill="auto"/>
            <w:noWrap/>
            <w:vAlign w:val="bottom"/>
          </w:tcPr>
          <w:p w14:paraId="3F6CF082" w14:textId="197957D4" w:rsidR="00343842" w:rsidRPr="00343842" w:rsidRDefault="00343842" w:rsidP="00343842">
            <w:pPr>
              <w:jc w:val="right"/>
              <w:rPr>
                <w:rFonts w:ascii="Arial" w:hAnsi="Arial" w:cs="Arial"/>
                <w:b/>
                <w:color w:val="000000"/>
                <w:sz w:val="16"/>
                <w:szCs w:val="16"/>
                <w:lang w:eastAsia="es-AR"/>
              </w:rPr>
            </w:pPr>
            <w:r w:rsidRPr="00343842">
              <w:rPr>
                <w:rFonts w:ascii="Arial" w:hAnsi="Arial" w:cs="Arial"/>
                <w:b/>
                <w:color w:val="000000"/>
                <w:sz w:val="16"/>
                <w:szCs w:val="16"/>
                <w:lang w:eastAsia="es-AR"/>
              </w:rPr>
              <w:t xml:space="preserve">  11.360.224 </w:t>
            </w:r>
          </w:p>
        </w:tc>
      </w:tr>
    </w:tbl>
    <w:p w14:paraId="0D248357" w14:textId="77777777" w:rsidR="002A4D61" w:rsidRDefault="002A4D61" w:rsidP="002A4D61">
      <w:pPr>
        <w:autoSpaceDE w:val="0"/>
        <w:autoSpaceDN w:val="0"/>
        <w:adjustRightInd w:val="0"/>
        <w:jc w:val="both"/>
        <w:rPr>
          <w:rFonts w:ascii="Arial" w:hAnsi="Arial" w:cs="Arial"/>
          <w:sz w:val="20"/>
        </w:rPr>
      </w:pPr>
    </w:p>
    <w:p w14:paraId="4CCF647D" w14:textId="3758AFF7" w:rsidR="002A4D61" w:rsidRDefault="002A4D61" w:rsidP="002A4D61">
      <w:pPr>
        <w:autoSpaceDE w:val="0"/>
        <w:autoSpaceDN w:val="0"/>
        <w:adjustRightInd w:val="0"/>
        <w:jc w:val="both"/>
        <w:rPr>
          <w:rFonts w:ascii="Arial" w:hAnsi="Arial" w:cs="Arial"/>
          <w:sz w:val="20"/>
        </w:rPr>
      </w:pPr>
    </w:p>
    <w:tbl>
      <w:tblPr>
        <w:tblW w:w="8499" w:type="dxa"/>
        <w:tblInd w:w="75" w:type="dxa"/>
        <w:tblCellMar>
          <w:left w:w="70" w:type="dxa"/>
          <w:right w:w="70" w:type="dxa"/>
        </w:tblCellMar>
        <w:tblLook w:val="04A0" w:firstRow="1" w:lastRow="0" w:firstColumn="1" w:lastColumn="0" w:noHBand="0" w:noVBand="1"/>
      </w:tblPr>
      <w:tblGrid>
        <w:gridCol w:w="2099"/>
        <w:gridCol w:w="1099"/>
        <w:gridCol w:w="1000"/>
        <w:gridCol w:w="1035"/>
        <w:gridCol w:w="1140"/>
        <w:gridCol w:w="1049"/>
        <w:gridCol w:w="1077"/>
      </w:tblGrid>
      <w:tr w:rsidR="00EE283D" w:rsidRPr="00E81452" w14:paraId="39F0A505" w14:textId="77777777" w:rsidTr="007D7797">
        <w:trPr>
          <w:trHeight w:val="296"/>
        </w:trPr>
        <w:tc>
          <w:tcPr>
            <w:tcW w:w="209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F07D38A" w14:textId="1E07B638" w:rsidR="00EE283D" w:rsidRPr="00E446C3" w:rsidRDefault="00EE283D"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Activos y pasivos </w:t>
            </w:r>
            <w:r w:rsidR="00115D7A">
              <w:rPr>
                <w:rFonts w:ascii="Arial" w:hAnsi="Arial" w:cs="Arial"/>
                <w:b/>
                <w:bCs/>
                <w:color w:val="000000"/>
                <w:sz w:val="16"/>
                <w:szCs w:val="16"/>
                <w:lang w:eastAsia="es-AR"/>
              </w:rPr>
              <w:t>al 31/12/2018</w:t>
            </w:r>
          </w:p>
        </w:tc>
        <w:tc>
          <w:tcPr>
            <w:tcW w:w="5323" w:type="dxa"/>
            <w:gridSpan w:val="5"/>
            <w:tcBorders>
              <w:top w:val="single" w:sz="4" w:space="0" w:color="auto"/>
              <w:left w:val="nil"/>
              <w:bottom w:val="single" w:sz="4" w:space="0" w:color="auto"/>
              <w:right w:val="single" w:sz="4" w:space="0" w:color="auto"/>
            </w:tcBorders>
            <w:shd w:val="clear" w:color="auto" w:fill="auto"/>
            <w:noWrap/>
            <w:vAlign w:val="bottom"/>
            <w:hideMark/>
          </w:tcPr>
          <w:p w14:paraId="4A4B4EBE" w14:textId="77777777" w:rsidR="00EE283D" w:rsidRPr="00E446C3" w:rsidRDefault="00EE283D"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Plazo en días</w:t>
            </w:r>
          </w:p>
        </w:tc>
        <w:tc>
          <w:tcPr>
            <w:tcW w:w="1077" w:type="dxa"/>
            <w:vMerge w:val="restart"/>
            <w:tcBorders>
              <w:top w:val="single" w:sz="4" w:space="0" w:color="auto"/>
              <w:left w:val="nil"/>
              <w:right w:val="single" w:sz="4" w:space="0" w:color="auto"/>
            </w:tcBorders>
            <w:shd w:val="clear" w:color="auto" w:fill="auto"/>
            <w:noWrap/>
            <w:vAlign w:val="center"/>
            <w:hideMark/>
          </w:tcPr>
          <w:p w14:paraId="4618A14B" w14:textId="77777777" w:rsidR="00EE283D" w:rsidRPr="00E446C3" w:rsidRDefault="00EE283D" w:rsidP="007D7797">
            <w:pPr>
              <w:jc w:val="center"/>
              <w:rPr>
                <w:rFonts w:ascii="Arial" w:hAnsi="Arial" w:cs="Arial"/>
                <w:color w:val="000000"/>
                <w:sz w:val="16"/>
                <w:szCs w:val="16"/>
                <w:lang w:eastAsia="es-AR"/>
              </w:rPr>
            </w:pPr>
            <w:r w:rsidRPr="00E446C3">
              <w:rPr>
                <w:rFonts w:ascii="Arial" w:hAnsi="Arial" w:cs="Arial"/>
                <w:b/>
                <w:bCs/>
                <w:color w:val="000000"/>
                <w:sz w:val="16"/>
                <w:szCs w:val="16"/>
                <w:lang w:eastAsia="es-AR"/>
              </w:rPr>
              <w:t>Total</w:t>
            </w:r>
          </w:p>
        </w:tc>
      </w:tr>
      <w:tr w:rsidR="00EE283D" w:rsidRPr="00E81452" w14:paraId="063FA4DA" w14:textId="77777777" w:rsidTr="007D7797">
        <w:trPr>
          <w:trHeight w:val="296"/>
        </w:trPr>
        <w:tc>
          <w:tcPr>
            <w:tcW w:w="2099" w:type="dxa"/>
            <w:vMerge/>
            <w:tcBorders>
              <w:top w:val="single" w:sz="4" w:space="0" w:color="auto"/>
              <w:left w:val="single" w:sz="4" w:space="0" w:color="auto"/>
              <w:bottom w:val="single" w:sz="4" w:space="0" w:color="auto"/>
              <w:right w:val="single" w:sz="4" w:space="0" w:color="auto"/>
            </w:tcBorders>
            <w:vAlign w:val="center"/>
            <w:hideMark/>
          </w:tcPr>
          <w:p w14:paraId="5FF7846F" w14:textId="77777777" w:rsidR="00EE283D" w:rsidRPr="00E446C3" w:rsidRDefault="00EE283D" w:rsidP="007D7797">
            <w:pPr>
              <w:rPr>
                <w:rFonts w:ascii="Arial" w:hAnsi="Arial" w:cs="Arial"/>
                <w:b/>
                <w:bCs/>
                <w:color w:val="000000"/>
                <w:sz w:val="16"/>
                <w:szCs w:val="16"/>
                <w:lang w:eastAsia="es-AR"/>
              </w:rPr>
            </w:pPr>
          </w:p>
        </w:tc>
        <w:tc>
          <w:tcPr>
            <w:tcW w:w="1099" w:type="dxa"/>
            <w:tcBorders>
              <w:top w:val="nil"/>
              <w:left w:val="nil"/>
              <w:bottom w:val="single" w:sz="4" w:space="0" w:color="auto"/>
              <w:right w:val="single" w:sz="4" w:space="0" w:color="auto"/>
            </w:tcBorders>
            <w:shd w:val="clear" w:color="auto" w:fill="auto"/>
            <w:noWrap/>
            <w:vAlign w:val="bottom"/>
            <w:hideMark/>
          </w:tcPr>
          <w:p w14:paraId="35A08B70" w14:textId="77777777" w:rsidR="00EE283D" w:rsidRPr="00E446C3" w:rsidRDefault="00EE283D"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hasta 30</w:t>
            </w:r>
          </w:p>
        </w:tc>
        <w:tc>
          <w:tcPr>
            <w:tcW w:w="1000" w:type="dxa"/>
            <w:tcBorders>
              <w:top w:val="nil"/>
              <w:left w:val="nil"/>
              <w:bottom w:val="single" w:sz="4" w:space="0" w:color="auto"/>
              <w:right w:val="single" w:sz="4" w:space="0" w:color="auto"/>
            </w:tcBorders>
            <w:shd w:val="clear" w:color="auto" w:fill="auto"/>
            <w:noWrap/>
            <w:vAlign w:val="bottom"/>
            <w:hideMark/>
          </w:tcPr>
          <w:p w14:paraId="6B121DDA" w14:textId="77777777" w:rsidR="00EE283D" w:rsidRPr="00E446C3" w:rsidRDefault="00EE283D"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30 a 90</w:t>
            </w:r>
          </w:p>
        </w:tc>
        <w:tc>
          <w:tcPr>
            <w:tcW w:w="1035" w:type="dxa"/>
            <w:tcBorders>
              <w:top w:val="nil"/>
              <w:left w:val="nil"/>
              <w:bottom w:val="single" w:sz="4" w:space="0" w:color="auto"/>
              <w:right w:val="single" w:sz="4" w:space="0" w:color="auto"/>
            </w:tcBorders>
            <w:shd w:val="clear" w:color="auto" w:fill="auto"/>
            <w:noWrap/>
            <w:vAlign w:val="bottom"/>
            <w:hideMark/>
          </w:tcPr>
          <w:p w14:paraId="3110300E" w14:textId="77777777" w:rsidR="00EE283D" w:rsidRPr="00E446C3" w:rsidRDefault="00EE283D"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90 a 180</w:t>
            </w:r>
          </w:p>
        </w:tc>
        <w:tc>
          <w:tcPr>
            <w:tcW w:w="1140" w:type="dxa"/>
            <w:tcBorders>
              <w:top w:val="nil"/>
              <w:left w:val="nil"/>
              <w:bottom w:val="single" w:sz="4" w:space="0" w:color="auto"/>
              <w:right w:val="single" w:sz="4" w:space="0" w:color="auto"/>
            </w:tcBorders>
            <w:shd w:val="clear" w:color="auto" w:fill="auto"/>
            <w:noWrap/>
            <w:vAlign w:val="bottom"/>
            <w:hideMark/>
          </w:tcPr>
          <w:p w14:paraId="5510464D" w14:textId="77777777" w:rsidR="00EE283D" w:rsidRPr="00E446C3" w:rsidRDefault="00EE283D"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180 a 365</w:t>
            </w:r>
          </w:p>
        </w:tc>
        <w:tc>
          <w:tcPr>
            <w:tcW w:w="1049" w:type="dxa"/>
            <w:tcBorders>
              <w:top w:val="nil"/>
              <w:left w:val="nil"/>
              <w:bottom w:val="single" w:sz="4" w:space="0" w:color="auto"/>
              <w:right w:val="single" w:sz="4" w:space="0" w:color="auto"/>
            </w:tcBorders>
            <w:shd w:val="clear" w:color="auto" w:fill="auto"/>
            <w:noWrap/>
            <w:vAlign w:val="bottom"/>
            <w:hideMark/>
          </w:tcPr>
          <w:p w14:paraId="6C65E12B" w14:textId="77777777" w:rsidR="00EE283D" w:rsidRPr="00E446C3" w:rsidRDefault="00EE283D" w:rsidP="007D7797">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más de 365</w:t>
            </w:r>
          </w:p>
        </w:tc>
        <w:tc>
          <w:tcPr>
            <w:tcW w:w="1077" w:type="dxa"/>
            <w:vMerge/>
            <w:tcBorders>
              <w:left w:val="nil"/>
              <w:bottom w:val="single" w:sz="4" w:space="0" w:color="auto"/>
              <w:right w:val="single" w:sz="4" w:space="0" w:color="auto"/>
            </w:tcBorders>
            <w:shd w:val="clear" w:color="auto" w:fill="auto"/>
            <w:noWrap/>
            <w:vAlign w:val="bottom"/>
            <w:hideMark/>
          </w:tcPr>
          <w:p w14:paraId="1B7C2FBA" w14:textId="77777777" w:rsidR="00EE283D" w:rsidRPr="00E446C3" w:rsidRDefault="00EE283D" w:rsidP="007D7797">
            <w:pPr>
              <w:jc w:val="center"/>
              <w:rPr>
                <w:rFonts w:ascii="Arial" w:hAnsi="Arial" w:cs="Arial"/>
                <w:b/>
                <w:bCs/>
                <w:color w:val="000000"/>
                <w:sz w:val="16"/>
                <w:szCs w:val="16"/>
                <w:lang w:eastAsia="es-AR"/>
              </w:rPr>
            </w:pPr>
          </w:p>
        </w:tc>
      </w:tr>
      <w:tr w:rsidR="004867E7" w:rsidRPr="00E81452" w14:paraId="3039819D" w14:textId="77777777" w:rsidTr="007D7797">
        <w:trPr>
          <w:trHeight w:val="296"/>
        </w:trPr>
        <w:tc>
          <w:tcPr>
            <w:tcW w:w="2099" w:type="dxa"/>
            <w:tcBorders>
              <w:top w:val="nil"/>
              <w:left w:val="single" w:sz="4" w:space="0" w:color="auto"/>
              <w:bottom w:val="single" w:sz="4" w:space="0" w:color="auto"/>
              <w:right w:val="single" w:sz="4" w:space="0" w:color="auto"/>
            </w:tcBorders>
            <w:shd w:val="clear" w:color="auto" w:fill="auto"/>
            <w:noWrap/>
            <w:vAlign w:val="bottom"/>
            <w:hideMark/>
          </w:tcPr>
          <w:p w14:paraId="1F90C0EE" w14:textId="77777777" w:rsidR="004867E7" w:rsidRPr="00E446C3" w:rsidRDefault="004867E7" w:rsidP="004867E7">
            <w:pPr>
              <w:rPr>
                <w:rFonts w:ascii="Arial" w:hAnsi="Arial" w:cs="Arial"/>
                <w:color w:val="000000"/>
                <w:sz w:val="16"/>
                <w:szCs w:val="16"/>
                <w:lang w:eastAsia="es-AR"/>
              </w:rPr>
            </w:pPr>
            <w:r w:rsidRPr="00E446C3">
              <w:rPr>
                <w:rFonts w:ascii="Arial" w:hAnsi="Arial" w:cs="Arial"/>
                <w:color w:val="000000"/>
                <w:sz w:val="16"/>
                <w:szCs w:val="16"/>
                <w:lang w:eastAsia="es-AR"/>
              </w:rPr>
              <w:t>Total Activos Financieros</w:t>
            </w:r>
          </w:p>
        </w:tc>
        <w:tc>
          <w:tcPr>
            <w:tcW w:w="1099" w:type="dxa"/>
            <w:tcBorders>
              <w:top w:val="nil"/>
              <w:left w:val="nil"/>
              <w:bottom w:val="single" w:sz="4" w:space="0" w:color="auto"/>
              <w:right w:val="single" w:sz="4" w:space="0" w:color="auto"/>
            </w:tcBorders>
            <w:shd w:val="clear" w:color="auto" w:fill="auto"/>
            <w:noWrap/>
            <w:vAlign w:val="bottom"/>
          </w:tcPr>
          <w:p w14:paraId="0F4639AA" w14:textId="65DF21E9" w:rsidR="004867E7" w:rsidRPr="00E446C3" w:rsidRDefault="004867E7" w:rsidP="004867E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55.751.798 </w:t>
            </w:r>
          </w:p>
        </w:tc>
        <w:tc>
          <w:tcPr>
            <w:tcW w:w="1000" w:type="dxa"/>
            <w:tcBorders>
              <w:top w:val="nil"/>
              <w:left w:val="nil"/>
              <w:bottom w:val="single" w:sz="4" w:space="0" w:color="auto"/>
              <w:right w:val="single" w:sz="4" w:space="0" w:color="auto"/>
            </w:tcBorders>
            <w:shd w:val="clear" w:color="auto" w:fill="auto"/>
            <w:noWrap/>
            <w:vAlign w:val="bottom"/>
          </w:tcPr>
          <w:p w14:paraId="141EE203" w14:textId="3C24C89A" w:rsidR="004867E7" w:rsidRPr="00E446C3" w:rsidRDefault="004867E7" w:rsidP="004867E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12.026.669 </w:t>
            </w:r>
          </w:p>
        </w:tc>
        <w:tc>
          <w:tcPr>
            <w:tcW w:w="1035" w:type="dxa"/>
            <w:tcBorders>
              <w:top w:val="nil"/>
              <w:left w:val="nil"/>
              <w:bottom w:val="single" w:sz="4" w:space="0" w:color="auto"/>
              <w:right w:val="single" w:sz="4" w:space="0" w:color="auto"/>
            </w:tcBorders>
            <w:shd w:val="clear" w:color="auto" w:fill="auto"/>
            <w:noWrap/>
            <w:vAlign w:val="bottom"/>
          </w:tcPr>
          <w:p w14:paraId="7FD149DA" w14:textId="6A30976E" w:rsidR="004867E7" w:rsidRPr="00E446C3" w:rsidRDefault="004867E7" w:rsidP="004867E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10.379.064 </w:t>
            </w:r>
          </w:p>
        </w:tc>
        <w:tc>
          <w:tcPr>
            <w:tcW w:w="1140" w:type="dxa"/>
            <w:tcBorders>
              <w:top w:val="nil"/>
              <w:left w:val="nil"/>
              <w:bottom w:val="single" w:sz="4" w:space="0" w:color="auto"/>
              <w:right w:val="single" w:sz="4" w:space="0" w:color="auto"/>
            </w:tcBorders>
            <w:shd w:val="clear" w:color="auto" w:fill="auto"/>
            <w:noWrap/>
            <w:vAlign w:val="bottom"/>
          </w:tcPr>
          <w:p w14:paraId="1B0B3C50" w14:textId="652E4ED8" w:rsidR="004867E7" w:rsidRPr="00E446C3" w:rsidRDefault="004867E7" w:rsidP="004867E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7.854.339 </w:t>
            </w:r>
          </w:p>
        </w:tc>
        <w:tc>
          <w:tcPr>
            <w:tcW w:w="1049" w:type="dxa"/>
            <w:tcBorders>
              <w:top w:val="nil"/>
              <w:left w:val="nil"/>
              <w:bottom w:val="single" w:sz="4" w:space="0" w:color="auto"/>
              <w:right w:val="single" w:sz="4" w:space="0" w:color="auto"/>
            </w:tcBorders>
            <w:shd w:val="clear" w:color="auto" w:fill="auto"/>
            <w:noWrap/>
            <w:vAlign w:val="bottom"/>
          </w:tcPr>
          <w:p w14:paraId="19159651" w14:textId="3C93A649" w:rsidR="004867E7" w:rsidRPr="00E446C3" w:rsidRDefault="004867E7" w:rsidP="004867E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45.419.989 </w:t>
            </w:r>
          </w:p>
        </w:tc>
        <w:tc>
          <w:tcPr>
            <w:tcW w:w="1077" w:type="dxa"/>
            <w:tcBorders>
              <w:top w:val="nil"/>
              <w:left w:val="nil"/>
              <w:bottom w:val="single" w:sz="4" w:space="0" w:color="auto"/>
              <w:right w:val="single" w:sz="4" w:space="0" w:color="auto"/>
            </w:tcBorders>
            <w:shd w:val="clear" w:color="auto" w:fill="auto"/>
            <w:noWrap/>
            <w:vAlign w:val="bottom"/>
          </w:tcPr>
          <w:p w14:paraId="6C345F50" w14:textId="075F14FE" w:rsidR="004867E7" w:rsidRPr="00E446C3" w:rsidRDefault="004867E7" w:rsidP="004867E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131.431.859 </w:t>
            </w:r>
          </w:p>
        </w:tc>
      </w:tr>
      <w:tr w:rsidR="004867E7" w:rsidRPr="00E81452" w14:paraId="224A7BD8" w14:textId="77777777" w:rsidTr="007D7797">
        <w:trPr>
          <w:trHeight w:val="296"/>
        </w:trPr>
        <w:tc>
          <w:tcPr>
            <w:tcW w:w="2099" w:type="dxa"/>
            <w:tcBorders>
              <w:top w:val="nil"/>
              <w:left w:val="single" w:sz="4" w:space="0" w:color="auto"/>
              <w:bottom w:val="single" w:sz="4" w:space="0" w:color="auto"/>
              <w:right w:val="single" w:sz="4" w:space="0" w:color="auto"/>
            </w:tcBorders>
            <w:shd w:val="clear" w:color="auto" w:fill="auto"/>
            <w:noWrap/>
            <w:vAlign w:val="bottom"/>
            <w:hideMark/>
          </w:tcPr>
          <w:p w14:paraId="292E4020" w14:textId="77777777" w:rsidR="004867E7" w:rsidRPr="00E446C3" w:rsidRDefault="004867E7" w:rsidP="004867E7">
            <w:pPr>
              <w:rPr>
                <w:rFonts w:ascii="Arial" w:hAnsi="Arial" w:cs="Arial"/>
                <w:color w:val="000000"/>
                <w:sz w:val="16"/>
                <w:szCs w:val="16"/>
                <w:lang w:eastAsia="es-AR"/>
              </w:rPr>
            </w:pPr>
            <w:r w:rsidRPr="00E446C3">
              <w:rPr>
                <w:rFonts w:ascii="Arial" w:hAnsi="Arial" w:cs="Arial"/>
                <w:color w:val="000000"/>
                <w:sz w:val="16"/>
                <w:szCs w:val="16"/>
                <w:lang w:eastAsia="es-AR"/>
              </w:rPr>
              <w:t>Total Pasivos Financieros</w:t>
            </w:r>
          </w:p>
        </w:tc>
        <w:tc>
          <w:tcPr>
            <w:tcW w:w="1099" w:type="dxa"/>
            <w:tcBorders>
              <w:top w:val="nil"/>
              <w:left w:val="nil"/>
              <w:bottom w:val="single" w:sz="4" w:space="0" w:color="auto"/>
              <w:right w:val="single" w:sz="4" w:space="0" w:color="auto"/>
            </w:tcBorders>
            <w:shd w:val="clear" w:color="auto" w:fill="auto"/>
            <w:noWrap/>
            <w:vAlign w:val="bottom"/>
          </w:tcPr>
          <w:p w14:paraId="6E5EC82A" w14:textId="65B4F8E9" w:rsidR="004867E7" w:rsidRPr="00E446C3" w:rsidRDefault="004867E7" w:rsidP="004867E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72.818.746 </w:t>
            </w:r>
          </w:p>
        </w:tc>
        <w:tc>
          <w:tcPr>
            <w:tcW w:w="1000" w:type="dxa"/>
            <w:tcBorders>
              <w:top w:val="nil"/>
              <w:left w:val="nil"/>
              <w:bottom w:val="single" w:sz="4" w:space="0" w:color="auto"/>
              <w:right w:val="single" w:sz="4" w:space="0" w:color="auto"/>
            </w:tcBorders>
            <w:shd w:val="clear" w:color="auto" w:fill="auto"/>
            <w:noWrap/>
            <w:vAlign w:val="bottom"/>
          </w:tcPr>
          <w:p w14:paraId="4531EA78" w14:textId="6ABDFC07" w:rsidR="004867E7" w:rsidRPr="00E446C3" w:rsidRDefault="004867E7" w:rsidP="004867E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19.117.676 </w:t>
            </w:r>
          </w:p>
        </w:tc>
        <w:tc>
          <w:tcPr>
            <w:tcW w:w="1035" w:type="dxa"/>
            <w:tcBorders>
              <w:top w:val="nil"/>
              <w:left w:val="nil"/>
              <w:bottom w:val="single" w:sz="4" w:space="0" w:color="auto"/>
              <w:right w:val="single" w:sz="4" w:space="0" w:color="auto"/>
            </w:tcBorders>
            <w:shd w:val="clear" w:color="auto" w:fill="auto"/>
            <w:noWrap/>
            <w:vAlign w:val="bottom"/>
          </w:tcPr>
          <w:p w14:paraId="26FCD723" w14:textId="157A7C47" w:rsidR="004867E7" w:rsidRPr="00E446C3" w:rsidRDefault="004867E7" w:rsidP="004867E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1.388.595 </w:t>
            </w:r>
          </w:p>
        </w:tc>
        <w:tc>
          <w:tcPr>
            <w:tcW w:w="1140" w:type="dxa"/>
            <w:tcBorders>
              <w:top w:val="nil"/>
              <w:left w:val="nil"/>
              <w:bottom w:val="single" w:sz="4" w:space="0" w:color="auto"/>
              <w:right w:val="single" w:sz="4" w:space="0" w:color="auto"/>
            </w:tcBorders>
            <w:shd w:val="clear" w:color="auto" w:fill="auto"/>
            <w:noWrap/>
            <w:vAlign w:val="bottom"/>
          </w:tcPr>
          <w:p w14:paraId="4CD60F83" w14:textId="16FE5A35" w:rsidR="004867E7" w:rsidRPr="00E446C3" w:rsidRDefault="004867E7" w:rsidP="004867E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1.500.302 </w:t>
            </w:r>
          </w:p>
        </w:tc>
        <w:tc>
          <w:tcPr>
            <w:tcW w:w="1049" w:type="dxa"/>
            <w:tcBorders>
              <w:top w:val="nil"/>
              <w:left w:val="nil"/>
              <w:bottom w:val="single" w:sz="4" w:space="0" w:color="auto"/>
              <w:right w:val="single" w:sz="4" w:space="0" w:color="auto"/>
            </w:tcBorders>
            <w:shd w:val="clear" w:color="auto" w:fill="auto"/>
            <w:noWrap/>
            <w:vAlign w:val="bottom"/>
          </w:tcPr>
          <w:p w14:paraId="4B1DFE77" w14:textId="36D74F63" w:rsidR="004867E7" w:rsidRPr="00E446C3" w:rsidRDefault="004867E7" w:rsidP="004867E7">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25.013.662 </w:t>
            </w:r>
          </w:p>
        </w:tc>
        <w:tc>
          <w:tcPr>
            <w:tcW w:w="1077" w:type="dxa"/>
            <w:tcBorders>
              <w:top w:val="nil"/>
              <w:left w:val="nil"/>
              <w:bottom w:val="single" w:sz="4" w:space="0" w:color="auto"/>
              <w:right w:val="single" w:sz="4" w:space="0" w:color="auto"/>
            </w:tcBorders>
            <w:shd w:val="clear" w:color="auto" w:fill="auto"/>
            <w:noWrap/>
            <w:vAlign w:val="bottom"/>
          </w:tcPr>
          <w:p w14:paraId="58B7E7F5" w14:textId="7D0D6247" w:rsidR="004867E7" w:rsidRPr="00E446C3" w:rsidRDefault="004867E7" w:rsidP="004867E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119.838.981 </w:t>
            </w:r>
          </w:p>
        </w:tc>
      </w:tr>
      <w:tr w:rsidR="004867E7" w:rsidRPr="00E81452" w14:paraId="0D78E746" w14:textId="77777777" w:rsidTr="007D7797">
        <w:trPr>
          <w:trHeight w:val="296"/>
        </w:trPr>
        <w:tc>
          <w:tcPr>
            <w:tcW w:w="2099" w:type="dxa"/>
            <w:tcBorders>
              <w:top w:val="nil"/>
              <w:left w:val="single" w:sz="4" w:space="0" w:color="auto"/>
              <w:bottom w:val="single" w:sz="4" w:space="0" w:color="auto"/>
              <w:right w:val="single" w:sz="4" w:space="0" w:color="auto"/>
            </w:tcBorders>
            <w:shd w:val="clear" w:color="auto" w:fill="auto"/>
            <w:noWrap/>
            <w:vAlign w:val="bottom"/>
            <w:hideMark/>
          </w:tcPr>
          <w:p w14:paraId="1E7DDF25" w14:textId="77777777" w:rsidR="004867E7" w:rsidRPr="00E446C3" w:rsidRDefault="004867E7" w:rsidP="004867E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Monto Neto</w:t>
            </w:r>
          </w:p>
        </w:tc>
        <w:tc>
          <w:tcPr>
            <w:tcW w:w="1099" w:type="dxa"/>
            <w:tcBorders>
              <w:top w:val="nil"/>
              <w:left w:val="nil"/>
              <w:bottom w:val="single" w:sz="4" w:space="0" w:color="auto"/>
              <w:right w:val="single" w:sz="4" w:space="0" w:color="auto"/>
            </w:tcBorders>
            <w:shd w:val="clear" w:color="auto" w:fill="auto"/>
            <w:noWrap/>
            <w:vAlign w:val="bottom"/>
          </w:tcPr>
          <w:p w14:paraId="5DE64177" w14:textId="05802B6B" w:rsidR="004867E7" w:rsidRPr="00E446C3" w:rsidRDefault="004867E7" w:rsidP="004867E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(17.066.948)</w:t>
            </w:r>
          </w:p>
        </w:tc>
        <w:tc>
          <w:tcPr>
            <w:tcW w:w="1000" w:type="dxa"/>
            <w:tcBorders>
              <w:top w:val="nil"/>
              <w:left w:val="nil"/>
              <w:bottom w:val="single" w:sz="4" w:space="0" w:color="auto"/>
              <w:right w:val="single" w:sz="4" w:space="0" w:color="auto"/>
            </w:tcBorders>
            <w:shd w:val="clear" w:color="auto" w:fill="auto"/>
            <w:noWrap/>
            <w:vAlign w:val="bottom"/>
          </w:tcPr>
          <w:p w14:paraId="656A66D1" w14:textId="210E5175" w:rsidR="004867E7" w:rsidRPr="00E446C3" w:rsidRDefault="004867E7" w:rsidP="004867E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(7.091.007)</w:t>
            </w:r>
          </w:p>
        </w:tc>
        <w:tc>
          <w:tcPr>
            <w:tcW w:w="1035" w:type="dxa"/>
            <w:tcBorders>
              <w:top w:val="nil"/>
              <w:left w:val="nil"/>
              <w:bottom w:val="single" w:sz="4" w:space="0" w:color="auto"/>
              <w:right w:val="single" w:sz="4" w:space="0" w:color="auto"/>
            </w:tcBorders>
            <w:shd w:val="clear" w:color="auto" w:fill="auto"/>
            <w:noWrap/>
            <w:vAlign w:val="bottom"/>
          </w:tcPr>
          <w:p w14:paraId="3DF7520B" w14:textId="3D57C813" w:rsidR="004867E7" w:rsidRPr="00E446C3" w:rsidRDefault="004867E7" w:rsidP="004867E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8.990.469 </w:t>
            </w:r>
          </w:p>
        </w:tc>
        <w:tc>
          <w:tcPr>
            <w:tcW w:w="1140" w:type="dxa"/>
            <w:tcBorders>
              <w:top w:val="nil"/>
              <w:left w:val="nil"/>
              <w:bottom w:val="single" w:sz="4" w:space="0" w:color="auto"/>
              <w:right w:val="single" w:sz="4" w:space="0" w:color="auto"/>
            </w:tcBorders>
            <w:shd w:val="clear" w:color="auto" w:fill="auto"/>
            <w:noWrap/>
            <w:vAlign w:val="bottom"/>
          </w:tcPr>
          <w:p w14:paraId="54133BF9" w14:textId="6BA3612F" w:rsidR="004867E7" w:rsidRPr="00E446C3" w:rsidRDefault="004867E7" w:rsidP="004867E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6.354.037 </w:t>
            </w:r>
          </w:p>
        </w:tc>
        <w:tc>
          <w:tcPr>
            <w:tcW w:w="1049" w:type="dxa"/>
            <w:tcBorders>
              <w:top w:val="nil"/>
              <w:left w:val="nil"/>
              <w:bottom w:val="single" w:sz="4" w:space="0" w:color="auto"/>
              <w:right w:val="single" w:sz="4" w:space="0" w:color="auto"/>
            </w:tcBorders>
            <w:shd w:val="clear" w:color="auto" w:fill="auto"/>
            <w:noWrap/>
            <w:vAlign w:val="bottom"/>
          </w:tcPr>
          <w:p w14:paraId="00F0A058" w14:textId="75D43192" w:rsidR="004867E7" w:rsidRPr="00E446C3" w:rsidRDefault="004867E7" w:rsidP="004867E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20.406.327 </w:t>
            </w:r>
          </w:p>
        </w:tc>
        <w:tc>
          <w:tcPr>
            <w:tcW w:w="1077" w:type="dxa"/>
            <w:tcBorders>
              <w:top w:val="nil"/>
              <w:left w:val="nil"/>
              <w:bottom w:val="single" w:sz="4" w:space="0" w:color="auto"/>
              <w:right w:val="single" w:sz="4" w:space="0" w:color="auto"/>
            </w:tcBorders>
            <w:shd w:val="clear" w:color="auto" w:fill="auto"/>
            <w:noWrap/>
            <w:vAlign w:val="bottom"/>
          </w:tcPr>
          <w:p w14:paraId="2A43FE20" w14:textId="687EA4A6" w:rsidR="004867E7" w:rsidRPr="00E446C3" w:rsidRDefault="004867E7" w:rsidP="004867E7">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11.592.878 </w:t>
            </w:r>
          </w:p>
        </w:tc>
      </w:tr>
    </w:tbl>
    <w:p w14:paraId="17175855" w14:textId="7DCBC32F" w:rsidR="00EE283D" w:rsidRDefault="00EE283D" w:rsidP="002A4D61">
      <w:pPr>
        <w:autoSpaceDE w:val="0"/>
        <w:autoSpaceDN w:val="0"/>
        <w:adjustRightInd w:val="0"/>
        <w:jc w:val="both"/>
        <w:rPr>
          <w:rFonts w:ascii="Arial" w:hAnsi="Arial" w:cs="Arial"/>
          <w:sz w:val="20"/>
        </w:rPr>
      </w:pPr>
    </w:p>
    <w:p w14:paraId="1AB85DC5" w14:textId="77777777" w:rsidR="00EE283D" w:rsidRDefault="00EE283D" w:rsidP="00EE283D">
      <w:pPr>
        <w:autoSpaceDE w:val="0"/>
        <w:autoSpaceDN w:val="0"/>
        <w:adjustRightInd w:val="0"/>
        <w:jc w:val="both"/>
        <w:rPr>
          <w:rFonts w:ascii="Arial" w:hAnsi="Arial" w:cs="Arial"/>
          <w:sz w:val="20"/>
        </w:rPr>
      </w:pPr>
      <w:r w:rsidRPr="00376067">
        <w:rPr>
          <w:rFonts w:ascii="Arial" w:hAnsi="Arial" w:cs="Arial"/>
          <w:sz w:val="20"/>
        </w:rPr>
        <w:t>El cuadro que se detalla a continuación muestra la sensibilidad frente a una posible variación adicional para el próximo ejercicio en las tasas de interés, teniendo en cuenta la composición al 31 de diciembre de 201</w:t>
      </w:r>
      <w:r>
        <w:rPr>
          <w:rFonts w:ascii="Arial" w:hAnsi="Arial" w:cs="Arial"/>
          <w:sz w:val="20"/>
        </w:rPr>
        <w:t>9 y 2018</w:t>
      </w:r>
      <w:r w:rsidRPr="00376067">
        <w:rPr>
          <w:rFonts w:ascii="Arial" w:hAnsi="Arial" w:cs="Arial"/>
          <w:sz w:val="20"/>
        </w:rPr>
        <w:t xml:space="preserve">. </w:t>
      </w:r>
      <w:r>
        <w:rPr>
          <w:rFonts w:ascii="Arial" w:hAnsi="Arial" w:cs="Arial"/>
          <w:sz w:val="20"/>
        </w:rPr>
        <w:t xml:space="preserve">Las variaciones en las tasas </w:t>
      </w:r>
      <w:r w:rsidRPr="00376067">
        <w:rPr>
          <w:rFonts w:ascii="Arial" w:hAnsi="Arial" w:cs="Arial"/>
          <w:sz w:val="20"/>
        </w:rPr>
        <w:t>fue</w:t>
      </w:r>
      <w:r>
        <w:rPr>
          <w:rFonts w:ascii="Arial" w:hAnsi="Arial" w:cs="Arial"/>
          <w:sz w:val="20"/>
        </w:rPr>
        <w:t>ron determinadas</w:t>
      </w:r>
      <w:r w:rsidRPr="00376067">
        <w:rPr>
          <w:rFonts w:ascii="Arial" w:hAnsi="Arial" w:cs="Arial"/>
          <w:sz w:val="20"/>
        </w:rPr>
        <w:t xml:space="preserve"> considerando</w:t>
      </w:r>
      <w:r>
        <w:rPr>
          <w:rFonts w:ascii="Arial" w:hAnsi="Arial" w:cs="Arial"/>
          <w:sz w:val="20"/>
        </w:rPr>
        <w:t xml:space="preserve"> los escenarios dispuestos por la Comunicación “A” 6397 para el cálculo del Riesgo de Tasa de Interés en la Cartera de Inversión. Los parámetros tomados como base y o </w:t>
      </w:r>
      <w:r w:rsidRPr="00376067">
        <w:rPr>
          <w:rFonts w:ascii="Arial" w:hAnsi="Arial" w:cs="Arial"/>
          <w:sz w:val="20"/>
        </w:rPr>
        <w:t>presupuestad</w:t>
      </w:r>
      <w:r>
        <w:rPr>
          <w:rFonts w:ascii="Arial" w:hAnsi="Arial" w:cs="Arial"/>
          <w:sz w:val="20"/>
        </w:rPr>
        <w:t>os por el Banc</w:t>
      </w:r>
      <w:r w:rsidRPr="00376067">
        <w:rPr>
          <w:rFonts w:ascii="Arial" w:hAnsi="Arial" w:cs="Arial"/>
          <w:sz w:val="20"/>
        </w:rPr>
        <w:t>o para el ejercicio 201</w:t>
      </w:r>
      <w:r>
        <w:rPr>
          <w:rFonts w:ascii="Arial" w:hAnsi="Arial" w:cs="Arial"/>
          <w:sz w:val="20"/>
        </w:rPr>
        <w:t>9 y 2018</w:t>
      </w:r>
      <w:r w:rsidRPr="00376067">
        <w:rPr>
          <w:rFonts w:ascii="Arial" w:hAnsi="Arial" w:cs="Arial"/>
          <w:sz w:val="20"/>
        </w:rPr>
        <w:t xml:space="preserve"> y los cambios</w:t>
      </w:r>
      <w:r>
        <w:rPr>
          <w:rFonts w:ascii="Arial" w:hAnsi="Arial" w:cs="Arial"/>
          <w:sz w:val="20"/>
        </w:rPr>
        <w:t>,</w:t>
      </w:r>
      <w:r w:rsidRPr="00376067">
        <w:rPr>
          <w:rFonts w:ascii="Arial" w:hAnsi="Arial" w:cs="Arial"/>
          <w:sz w:val="20"/>
        </w:rPr>
        <w:t xml:space="preserve"> son considerados razonablemente posibles basados en la observación de las condiciones del mercado:</w:t>
      </w:r>
    </w:p>
    <w:p w14:paraId="2DF20185" w14:textId="77777777" w:rsidR="00EE283D" w:rsidRPr="00613EB0" w:rsidRDefault="00EE283D" w:rsidP="00EE283D">
      <w:pPr>
        <w:autoSpaceDE w:val="0"/>
        <w:autoSpaceDN w:val="0"/>
        <w:adjustRightInd w:val="0"/>
        <w:jc w:val="both"/>
        <w:rPr>
          <w:rFonts w:ascii="Arial" w:hAnsi="Arial" w:cs="Arial"/>
          <w:sz w:val="20"/>
        </w:rPr>
      </w:pPr>
    </w:p>
    <w:p w14:paraId="38311293" w14:textId="77777777" w:rsidR="00EE283D" w:rsidRPr="00613EB0" w:rsidRDefault="00EE283D" w:rsidP="00EE283D">
      <w:pPr>
        <w:autoSpaceDE w:val="0"/>
        <w:autoSpaceDN w:val="0"/>
        <w:adjustRightInd w:val="0"/>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3"/>
        <w:gridCol w:w="1701"/>
        <w:gridCol w:w="1559"/>
        <w:gridCol w:w="1701"/>
        <w:gridCol w:w="1771"/>
      </w:tblGrid>
      <w:tr w:rsidR="00EE283D" w:rsidRPr="00BB5CD3" w14:paraId="087E02DA" w14:textId="77777777" w:rsidTr="00A059FB">
        <w:trPr>
          <w:trHeight w:val="398"/>
        </w:trPr>
        <w:tc>
          <w:tcPr>
            <w:tcW w:w="1913" w:type="dxa"/>
            <w:vMerge w:val="restart"/>
            <w:shd w:val="clear" w:color="auto" w:fill="auto"/>
            <w:noWrap/>
            <w:vAlign w:val="center"/>
          </w:tcPr>
          <w:p w14:paraId="4DA26147" w14:textId="77777777" w:rsidR="00EE283D" w:rsidRPr="00BB5CD3" w:rsidRDefault="00EE283D" w:rsidP="007D7797">
            <w:pPr>
              <w:jc w:val="center"/>
              <w:rPr>
                <w:rFonts w:ascii="Arial" w:hAnsi="Arial" w:cs="Arial"/>
                <w:b/>
                <w:sz w:val="16"/>
                <w:szCs w:val="16"/>
                <w:lang w:eastAsia="es-AR"/>
              </w:rPr>
            </w:pPr>
            <w:r w:rsidRPr="00BB5CD3">
              <w:rPr>
                <w:rFonts w:ascii="Arial" w:hAnsi="Arial" w:cs="Arial"/>
                <w:b/>
                <w:sz w:val="16"/>
                <w:szCs w:val="16"/>
                <w:lang w:eastAsia="es-AR"/>
              </w:rPr>
              <w:t>Concepto</w:t>
            </w:r>
          </w:p>
        </w:tc>
        <w:tc>
          <w:tcPr>
            <w:tcW w:w="3260" w:type="dxa"/>
            <w:gridSpan w:val="2"/>
            <w:shd w:val="clear" w:color="auto" w:fill="auto"/>
            <w:vAlign w:val="center"/>
          </w:tcPr>
          <w:p w14:paraId="697AAC65" w14:textId="77777777" w:rsidR="00EE283D" w:rsidRPr="00BB5CD3" w:rsidRDefault="00EE283D" w:rsidP="007D7797">
            <w:pPr>
              <w:jc w:val="center"/>
              <w:rPr>
                <w:rFonts w:ascii="Arial" w:hAnsi="Arial" w:cs="Arial"/>
                <w:b/>
                <w:bCs/>
                <w:color w:val="000000"/>
                <w:sz w:val="16"/>
                <w:szCs w:val="16"/>
                <w:lang w:eastAsia="es-AR"/>
              </w:rPr>
            </w:pPr>
            <w:r w:rsidRPr="00BB5CD3">
              <w:rPr>
                <w:rFonts w:ascii="Arial" w:hAnsi="Arial" w:cs="Arial"/>
                <w:b/>
                <w:bCs/>
                <w:color w:val="000000"/>
                <w:sz w:val="16"/>
                <w:szCs w:val="16"/>
                <w:lang w:eastAsia="es-AR"/>
              </w:rPr>
              <w:t>31/12/2019</w:t>
            </w:r>
          </w:p>
        </w:tc>
        <w:tc>
          <w:tcPr>
            <w:tcW w:w="3472" w:type="dxa"/>
            <w:gridSpan w:val="2"/>
            <w:vAlign w:val="center"/>
          </w:tcPr>
          <w:p w14:paraId="4043EA3D" w14:textId="5B7D76FD" w:rsidR="00EE283D" w:rsidRPr="00BB5CD3" w:rsidRDefault="00EE283D">
            <w:pPr>
              <w:jc w:val="center"/>
              <w:rPr>
                <w:rFonts w:ascii="Arial" w:hAnsi="Arial" w:cs="Arial"/>
                <w:b/>
                <w:bCs/>
                <w:color w:val="000000"/>
                <w:sz w:val="16"/>
                <w:szCs w:val="16"/>
                <w:lang w:eastAsia="es-AR"/>
              </w:rPr>
            </w:pPr>
            <w:r w:rsidRPr="00BB5CD3">
              <w:rPr>
                <w:rFonts w:ascii="Arial" w:hAnsi="Arial" w:cs="Arial"/>
                <w:b/>
                <w:bCs/>
                <w:color w:val="000000"/>
                <w:sz w:val="16"/>
                <w:szCs w:val="16"/>
                <w:lang w:eastAsia="es-AR"/>
              </w:rPr>
              <w:t>31/12/201</w:t>
            </w:r>
            <w:r w:rsidR="00EB601A">
              <w:rPr>
                <w:rFonts w:ascii="Arial" w:hAnsi="Arial" w:cs="Arial"/>
                <w:b/>
                <w:bCs/>
                <w:color w:val="000000"/>
                <w:sz w:val="16"/>
                <w:szCs w:val="16"/>
                <w:lang w:eastAsia="es-AR"/>
              </w:rPr>
              <w:t>8</w:t>
            </w:r>
          </w:p>
        </w:tc>
      </w:tr>
      <w:tr w:rsidR="00EE283D" w:rsidRPr="00BB5CD3" w14:paraId="7E9EC242" w14:textId="77777777" w:rsidTr="00A059FB">
        <w:trPr>
          <w:trHeight w:val="1073"/>
        </w:trPr>
        <w:tc>
          <w:tcPr>
            <w:tcW w:w="1913" w:type="dxa"/>
            <w:vMerge/>
            <w:shd w:val="clear" w:color="auto" w:fill="auto"/>
            <w:noWrap/>
            <w:vAlign w:val="center"/>
            <w:hideMark/>
          </w:tcPr>
          <w:p w14:paraId="65400CC1" w14:textId="77777777" w:rsidR="00EE283D" w:rsidRPr="00BB5CD3" w:rsidRDefault="00EE283D" w:rsidP="007D7797">
            <w:pPr>
              <w:jc w:val="center"/>
              <w:rPr>
                <w:rFonts w:ascii="Arial" w:hAnsi="Arial" w:cs="Arial"/>
                <w:sz w:val="16"/>
                <w:szCs w:val="16"/>
                <w:lang w:eastAsia="es-AR"/>
              </w:rPr>
            </w:pPr>
          </w:p>
        </w:tc>
        <w:tc>
          <w:tcPr>
            <w:tcW w:w="1701" w:type="dxa"/>
            <w:shd w:val="clear" w:color="auto" w:fill="auto"/>
            <w:vAlign w:val="center"/>
            <w:hideMark/>
          </w:tcPr>
          <w:p w14:paraId="653644B8" w14:textId="77777777" w:rsidR="00EE283D" w:rsidRPr="00BB5CD3" w:rsidRDefault="00EE283D" w:rsidP="007D7797">
            <w:pPr>
              <w:jc w:val="center"/>
              <w:rPr>
                <w:rFonts w:ascii="Arial" w:hAnsi="Arial" w:cs="Arial"/>
                <w:b/>
                <w:bCs/>
                <w:sz w:val="16"/>
                <w:szCs w:val="16"/>
                <w:lang w:eastAsia="es-AR"/>
              </w:rPr>
            </w:pPr>
            <w:r w:rsidRPr="00BB5CD3">
              <w:rPr>
                <w:rFonts w:ascii="Arial" w:hAnsi="Arial" w:cs="Arial"/>
                <w:b/>
                <w:bCs/>
                <w:sz w:val="16"/>
                <w:szCs w:val="16"/>
                <w:lang w:eastAsia="es-AR"/>
              </w:rPr>
              <w:t>Variación adicional en la tasa de interés</w:t>
            </w:r>
          </w:p>
        </w:tc>
        <w:tc>
          <w:tcPr>
            <w:tcW w:w="1559" w:type="dxa"/>
            <w:shd w:val="clear" w:color="auto" w:fill="auto"/>
            <w:vAlign w:val="center"/>
            <w:hideMark/>
          </w:tcPr>
          <w:p w14:paraId="3D1246B8" w14:textId="774ABE38" w:rsidR="00EE283D" w:rsidRPr="00BB5CD3" w:rsidRDefault="00EE283D">
            <w:pPr>
              <w:jc w:val="center"/>
              <w:rPr>
                <w:rFonts w:ascii="Arial" w:hAnsi="Arial" w:cs="Arial"/>
                <w:b/>
                <w:bCs/>
                <w:sz w:val="16"/>
                <w:szCs w:val="16"/>
                <w:lang w:eastAsia="es-AR"/>
              </w:rPr>
            </w:pPr>
            <w:r w:rsidRPr="00BB5CD3">
              <w:rPr>
                <w:rFonts w:ascii="Arial" w:hAnsi="Arial" w:cs="Arial"/>
                <w:b/>
                <w:bCs/>
                <w:color w:val="000000"/>
                <w:sz w:val="16"/>
                <w:szCs w:val="16"/>
                <w:lang w:eastAsia="es-AR"/>
              </w:rPr>
              <w:t>Aumento / (descenso) del resultado neto de impuesto a las ganancias</w:t>
            </w:r>
          </w:p>
        </w:tc>
        <w:tc>
          <w:tcPr>
            <w:tcW w:w="1701" w:type="dxa"/>
            <w:vAlign w:val="center"/>
          </w:tcPr>
          <w:p w14:paraId="012FE387" w14:textId="77777777" w:rsidR="00EE283D" w:rsidRPr="00BB5CD3" w:rsidRDefault="00EE283D" w:rsidP="007D7797">
            <w:pPr>
              <w:jc w:val="center"/>
              <w:rPr>
                <w:rFonts w:ascii="Arial" w:hAnsi="Arial" w:cs="Arial"/>
                <w:b/>
                <w:bCs/>
                <w:color w:val="000000"/>
                <w:sz w:val="16"/>
                <w:szCs w:val="16"/>
                <w:lang w:eastAsia="es-AR"/>
              </w:rPr>
            </w:pPr>
            <w:r w:rsidRPr="00BB5CD3">
              <w:rPr>
                <w:rFonts w:ascii="Arial" w:hAnsi="Arial" w:cs="Arial"/>
                <w:b/>
                <w:bCs/>
                <w:sz w:val="16"/>
                <w:szCs w:val="16"/>
                <w:lang w:eastAsia="es-AR"/>
              </w:rPr>
              <w:t>Variación adicional en la tasa de interés</w:t>
            </w:r>
          </w:p>
        </w:tc>
        <w:tc>
          <w:tcPr>
            <w:tcW w:w="1771" w:type="dxa"/>
            <w:vAlign w:val="center"/>
          </w:tcPr>
          <w:p w14:paraId="365F3C72" w14:textId="09706348" w:rsidR="00EE283D" w:rsidRPr="00BB5CD3" w:rsidRDefault="00EE283D">
            <w:pPr>
              <w:jc w:val="center"/>
              <w:rPr>
                <w:rFonts w:ascii="Arial" w:hAnsi="Arial" w:cs="Arial"/>
                <w:b/>
                <w:bCs/>
                <w:color w:val="000000"/>
                <w:sz w:val="16"/>
                <w:szCs w:val="16"/>
                <w:lang w:eastAsia="es-AR"/>
              </w:rPr>
            </w:pPr>
            <w:r w:rsidRPr="00BB5CD3">
              <w:rPr>
                <w:rFonts w:ascii="Arial" w:hAnsi="Arial" w:cs="Arial"/>
                <w:b/>
                <w:bCs/>
                <w:color w:val="000000"/>
                <w:sz w:val="16"/>
                <w:szCs w:val="16"/>
                <w:lang w:eastAsia="es-AR"/>
              </w:rPr>
              <w:t>Aumento / (descenso) del resultado neto de impuesto a las ganancias</w:t>
            </w:r>
          </w:p>
        </w:tc>
      </w:tr>
      <w:tr w:rsidR="00EE283D" w:rsidRPr="00BB5CD3" w14:paraId="7A43458A" w14:textId="77777777" w:rsidTr="007D7797">
        <w:trPr>
          <w:trHeight w:val="278"/>
        </w:trPr>
        <w:tc>
          <w:tcPr>
            <w:tcW w:w="1913" w:type="dxa"/>
            <w:shd w:val="clear" w:color="auto" w:fill="auto"/>
            <w:noWrap/>
            <w:vAlign w:val="bottom"/>
            <w:hideMark/>
          </w:tcPr>
          <w:p w14:paraId="2B8F4DB2" w14:textId="77777777" w:rsidR="00EE283D" w:rsidRPr="00BB5CD3" w:rsidRDefault="00EE283D" w:rsidP="007D7797">
            <w:pPr>
              <w:rPr>
                <w:rFonts w:ascii="Arial" w:hAnsi="Arial" w:cs="Arial"/>
                <w:sz w:val="16"/>
                <w:szCs w:val="16"/>
                <w:lang w:eastAsia="es-AR"/>
              </w:rPr>
            </w:pPr>
            <w:r w:rsidRPr="00BB5CD3">
              <w:rPr>
                <w:rFonts w:ascii="Arial" w:hAnsi="Arial" w:cs="Arial"/>
                <w:color w:val="000000"/>
                <w:sz w:val="16"/>
                <w:szCs w:val="16"/>
                <w:lang w:eastAsia="es-AR"/>
              </w:rPr>
              <w:t>Descenso en la tasa de interés</w:t>
            </w:r>
          </w:p>
        </w:tc>
        <w:tc>
          <w:tcPr>
            <w:tcW w:w="1701" w:type="dxa"/>
            <w:shd w:val="clear" w:color="auto" w:fill="auto"/>
            <w:noWrap/>
            <w:vAlign w:val="bottom"/>
          </w:tcPr>
          <w:p w14:paraId="33A478E9" w14:textId="77777777" w:rsidR="00EE283D" w:rsidRPr="00BB5CD3" w:rsidRDefault="00EE283D" w:rsidP="007D7797">
            <w:pPr>
              <w:pStyle w:val="Prrafodelista"/>
              <w:ind w:left="0"/>
              <w:jc w:val="right"/>
              <w:rPr>
                <w:rFonts w:ascii="Arial" w:hAnsi="Arial" w:cs="Arial"/>
                <w:sz w:val="16"/>
                <w:szCs w:val="16"/>
                <w:lang w:eastAsia="es-AR"/>
              </w:rPr>
            </w:pPr>
            <w:r w:rsidRPr="00BB5CD3">
              <w:rPr>
                <w:rFonts w:ascii="Arial" w:hAnsi="Arial" w:cs="Arial"/>
                <w:sz w:val="16"/>
                <w:szCs w:val="16"/>
                <w:lang w:eastAsia="es-AR"/>
              </w:rPr>
              <w:t>4% ARS; 2% USD</w:t>
            </w:r>
          </w:p>
        </w:tc>
        <w:tc>
          <w:tcPr>
            <w:tcW w:w="1559" w:type="dxa"/>
            <w:shd w:val="clear" w:color="auto" w:fill="auto"/>
            <w:noWrap/>
            <w:vAlign w:val="bottom"/>
          </w:tcPr>
          <w:p w14:paraId="47BF54EA" w14:textId="77777777" w:rsidR="00EE283D" w:rsidRPr="00BB5CD3" w:rsidRDefault="00EE283D" w:rsidP="007D7797">
            <w:pPr>
              <w:jc w:val="right"/>
              <w:rPr>
                <w:rFonts w:ascii="Arial" w:hAnsi="Arial" w:cs="Arial"/>
                <w:sz w:val="16"/>
                <w:szCs w:val="16"/>
                <w:lang w:eastAsia="es-AR"/>
              </w:rPr>
            </w:pPr>
            <w:r w:rsidRPr="00BB5CD3">
              <w:rPr>
                <w:rFonts w:ascii="Arial" w:hAnsi="Arial" w:cs="Arial"/>
                <w:sz w:val="16"/>
                <w:szCs w:val="16"/>
                <w:lang w:eastAsia="es-AR"/>
              </w:rPr>
              <w:t>(368.556)</w:t>
            </w:r>
          </w:p>
        </w:tc>
        <w:tc>
          <w:tcPr>
            <w:tcW w:w="1701" w:type="dxa"/>
            <w:shd w:val="clear" w:color="auto" w:fill="auto"/>
            <w:vAlign w:val="bottom"/>
          </w:tcPr>
          <w:p w14:paraId="12297FC9" w14:textId="77777777" w:rsidR="00EE283D" w:rsidRPr="00BB5CD3" w:rsidRDefault="00EE283D" w:rsidP="007D7797">
            <w:pPr>
              <w:jc w:val="right"/>
              <w:rPr>
                <w:rFonts w:ascii="Arial" w:hAnsi="Arial" w:cs="Arial"/>
                <w:sz w:val="16"/>
                <w:szCs w:val="16"/>
                <w:lang w:eastAsia="es-AR"/>
              </w:rPr>
            </w:pPr>
            <w:r w:rsidRPr="00BB5CD3">
              <w:rPr>
                <w:rFonts w:ascii="Arial" w:hAnsi="Arial" w:cs="Arial"/>
                <w:sz w:val="16"/>
                <w:szCs w:val="16"/>
                <w:lang w:eastAsia="es-AR"/>
              </w:rPr>
              <w:t>4% ARS; 2% USD</w:t>
            </w:r>
          </w:p>
        </w:tc>
        <w:tc>
          <w:tcPr>
            <w:tcW w:w="1771" w:type="dxa"/>
            <w:vAlign w:val="bottom"/>
          </w:tcPr>
          <w:p w14:paraId="5D17EF46" w14:textId="49714D03" w:rsidR="00EE283D" w:rsidRPr="00BB5CD3" w:rsidRDefault="00115D7A" w:rsidP="007D7797">
            <w:pPr>
              <w:jc w:val="right"/>
              <w:rPr>
                <w:rFonts w:ascii="Arial" w:hAnsi="Arial" w:cs="Arial"/>
                <w:sz w:val="16"/>
                <w:szCs w:val="16"/>
                <w:lang w:eastAsia="es-AR"/>
              </w:rPr>
            </w:pPr>
            <w:r>
              <w:rPr>
                <w:rFonts w:ascii="Arial" w:hAnsi="Arial" w:cs="Arial"/>
                <w:sz w:val="16"/>
                <w:szCs w:val="16"/>
                <w:lang w:eastAsia="es-AR"/>
              </w:rPr>
              <w:t>(46.863)</w:t>
            </w:r>
          </w:p>
        </w:tc>
      </w:tr>
      <w:tr w:rsidR="00EE283D" w:rsidRPr="00BB5CD3" w14:paraId="6DC71C60" w14:textId="77777777" w:rsidTr="007D7797">
        <w:trPr>
          <w:trHeight w:val="278"/>
        </w:trPr>
        <w:tc>
          <w:tcPr>
            <w:tcW w:w="1913" w:type="dxa"/>
            <w:shd w:val="clear" w:color="auto" w:fill="auto"/>
            <w:noWrap/>
            <w:vAlign w:val="bottom"/>
            <w:hideMark/>
          </w:tcPr>
          <w:p w14:paraId="01CFBBAB" w14:textId="77777777" w:rsidR="00EE283D" w:rsidRPr="00BB5CD3" w:rsidRDefault="00EE283D" w:rsidP="007D7797">
            <w:pPr>
              <w:rPr>
                <w:rFonts w:ascii="Arial" w:hAnsi="Arial" w:cs="Arial"/>
                <w:sz w:val="16"/>
                <w:szCs w:val="16"/>
                <w:lang w:eastAsia="es-AR"/>
              </w:rPr>
            </w:pPr>
            <w:r w:rsidRPr="00BB5CD3">
              <w:rPr>
                <w:rFonts w:ascii="Arial" w:hAnsi="Arial" w:cs="Arial"/>
                <w:color w:val="000000"/>
                <w:sz w:val="16"/>
                <w:szCs w:val="16"/>
                <w:lang w:eastAsia="es-AR"/>
              </w:rPr>
              <w:t>Incremento en la tasa de interés</w:t>
            </w:r>
          </w:p>
        </w:tc>
        <w:tc>
          <w:tcPr>
            <w:tcW w:w="1701" w:type="dxa"/>
            <w:shd w:val="clear" w:color="auto" w:fill="auto"/>
            <w:noWrap/>
            <w:vAlign w:val="bottom"/>
          </w:tcPr>
          <w:p w14:paraId="195F3E67" w14:textId="77777777" w:rsidR="00EE283D" w:rsidRPr="00BB5CD3" w:rsidRDefault="00EE283D" w:rsidP="007D7797">
            <w:pPr>
              <w:jc w:val="right"/>
              <w:rPr>
                <w:rFonts w:ascii="Arial" w:hAnsi="Arial" w:cs="Arial"/>
                <w:sz w:val="16"/>
                <w:szCs w:val="16"/>
                <w:lang w:eastAsia="es-AR"/>
              </w:rPr>
            </w:pPr>
            <w:r w:rsidRPr="00BB5CD3">
              <w:rPr>
                <w:rFonts w:ascii="Arial" w:hAnsi="Arial" w:cs="Arial"/>
                <w:sz w:val="16"/>
                <w:szCs w:val="16"/>
                <w:lang w:eastAsia="es-AR"/>
              </w:rPr>
              <w:t>4% ARS; 2% USD</w:t>
            </w:r>
          </w:p>
        </w:tc>
        <w:tc>
          <w:tcPr>
            <w:tcW w:w="1559" w:type="dxa"/>
            <w:shd w:val="clear" w:color="auto" w:fill="auto"/>
            <w:noWrap/>
            <w:vAlign w:val="bottom"/>
          </w:tcPr>
          <w:p w14:paraId="75E9C07F" w14:textId="77777777" w:rsidR="00EE283D" w:rsidRPr="00BB5CD3" w:rsidRDefault="00EE283D" w:rsidP="007D7797">
            <w:pPr>
              <w:jc w:val="right"/>
              <w:rPr>
                <w:rFonts w:ascii="Arial" w:hAnsi="Arial" w:cs="Arial"/>
                <w:sz w:val="16"/>
                <w:szCs w:val="16"/>
                <w:lang w:eastAsia="es-AR"/>
              </w:rPr>
            </w:pPr>
            <w:r w:rsidRPr="00BB5CD3">
              <w:rPr>
                <w:rFonts w:ascii="Arial" w:hAnsi="Arial" w:cs="Arial"/>
                <w:sz w:val="16"/>
                <w:szCs w:val="16"/>
                <w:lang w:eastAsia="es-AR"/>
              </w:rPr>
              <w:t>269.381</w:t>
            </w:r>
          </w:p>
        </w:tc>
        <w:tc>
          <w:tcPr>
            <w:tcW w:w="1701" w:type="dxa"/>
            <w:shd w:val="clear" w:color="auto" w:fill="auto"/>
            <w:vAlign w:val="bottom"/>
          </w:tcPr>
          <w:p w14:paraId="238AB921" w14:textId="77777777" w:rsidR="00EE283D" w:rsidRPr="00BB5CD3" w:rsidRDefault="00EE283D" w:rsidP="007D7797">
            <w:pPr>
              <w:jc w:val="right"/>
              <w:rPr>
                <w:rFonts w:ascii="Arial" w:hAnsi="Arial" w:cs="Arial"/>
                <w:sz w:val="16"/>
                <w:szCs w:val="16"/>
                <w:lang w:eastAsia="es-AR"/>
              </w:rPr>
            </w:pPr>
            <w:r w:rsidRPr="00BB5CD3">
              <w:rPr>
                <w:rFonts w:ascii="Arial" w:hAnsi="Arial" w:cs="Arial"/>
                <w:sz w:val="16"/>
                <w:szCs w:val="16"/>
                <w:lang w:eastAsia="es-AR"/>
              </w:rPr>
              <w:t>4% ARS; 2% USD</w:t>
            </w:r>
          </w:p>
        </w:tc>
        <w:tc>
          <w:tcPr>
            <w:tcW w:w="1771" w:type="dxa"/>
            <w:vAlign w:val="bottom"/>
          </w:tcPr>
          <w:p w14:paraId="1BECFD88" w14:textId="6677A37F" w:rsidR="00EE283D" w:rsidRPr="00BB5CD3" w:rsidRDefault="00115D7A" w:rsidP="007D7797">
            <w:pPr>
              <w:jc w:val="right"/>
              <w:rPr>
                <w:rFonts w:ascii="Arial" w:hAnsi="Arial" w:cs="Arial"/>
                <w:sz w:val="16"/>
                <w:szCs w:val="16"/>
                <w:lang w:eastAsia="es-AR"/>
              </w:rPr>
            </w:pPr>
            <w:r>
              <w:rPr>
                <w:rFonts w:ascii="Arial" w:hAnsi="Arial" w:cs="Arial"/>
                <w:sz w:val="16"/>
                <w:szCs w:val="16"/>
                <w:lang w:eastAsia="es-AR"/>
              </w:rPr>
              <w:t>46.863</w:t>
            </w:r>
          </w:p>
        </w:tc>
      </w:tr>
    </w:tbl>
    <w:p w14:paraId="2615FEB0" w14:textId="77777777" w:rsidR="002A4D61" w:rsidRPr="00E541A5" w:rsidRDefault="002A4D61" w:rsidP="002A4D61">
      <w:pPr>
        <w:autoSpaceDE w:val="0"/>
        <w:autoSpaceDN w:val="0"/>
        <w:adjustRightInd w:val="0"/>
        <w:jc w:val="both"/>
        <w:rPr>
          <w:rFonts w:ascii="Arial" w:hAnsi="Arial" w:cs="Arial"/>
          <w:sz w:val="20"/>
        </w:rPr>
      </w:pPr>
    </w:p>
    <w:p w14:paraId="3225A791" w14:textId="51C4F192" w:rsidR="007B0F02" w:rsidRPr="00701F32" w:rsidRDefault="007B0F02" w:rsidP="007B0F02">
      <w:pPr>
        <w:pBdr>
          <w:top w:val="nil"/>
          <w:left w:val="nil"/>
          <w:bottom w:val="nil"/>
          <w:right w:val="nil"/>
          <w:between w:val="nil"/>
          <w:bar w:val="nil"/>
        </w:pBdr>
        <w:tabs>
          <w:tab w:val="left" w:pos="142"/>
          <w:tab w:val="left" w:pos="993"/>
        </w:tabs>
        <w:jc w:val="both"/>
        <w:rPr>
          <w:rFonts w:ascii="Arial" w:eastAsia="Arial Unicode MS" w:hAnsi="Arial" w:cs="Arial"/>
          <w:b/>
          <w:bCs/>
          <w:sz w:val="20"/>
          <w:u w:val="single" w:color="000000"/>
          <w:bdr w:val="nil"/>
          <w:lang w:val="es-ES_tradnl" w:eastAsia="es-AR"/>
        </w:rPr>
      </w:pPr>
      <w:r w:rsidRPr="00CD21B2">
        <w:rPr>
          <w:rFonts w:ascii="Arial" w:hAnsi="Arial" w:cs="Arial"/>
          <w:sz w:val="20"/>
        </w:rPr>
        <w:t>Si las tasas de interés de mercado</w:t>
      </w:r>
      <w:r w:rsidRPr="00C63352">
        <w:rPr>
          <w:rFonts w:ascii="Arial" w:hAnsi="Arial" w:cs="Arial"/>
          <w:sz w:val="20"/>
        </w:rPr>
        <w:t xml:space="preserve"> para instrumentos nominados en pesos disminuyeran 4 puntos porcentuales y para aquellos nominados en dólares cayeran 2 puntos porcentuales, </w:t>
      </w:r>
      <w:r w:rsidR="00CE02C6">
        <w:rPr>
          <w:rFonts w:ascii="Arial" w:hAnsi="Arial" w:cs="Arial"/>
          <w:sz w:val="20"/>
        </w:rPr>
        <w:t>el resultado anu</w:t>
      </w:r>
      <w:r w:rsidR="002A5C5B">
        <w:rPr>
          <w:rFonts w:ascii="Arial" w:hAnsi="Arial" w:cs="Arial"/>
          <w:sz w:val="20"/>
        </w:rPr>
        <w:t>a</w:t>
      </w:r>
      <w:r w:rsidR="00CE02C6">
        <w:rPr>
          <w:rFonts w:ascii="Arial" w:hAnsi="Arial" w:cs="Arial"/>
          <w:sz w:val="20"/>
        </w:rPr>
        <w:t>l,</w:t>
      </w:r>
      <w:r w:rsidRPr="00C63352">
        <w:rPr>
          <w:rFonts w:ascii="Arial" w:hAnsi="Arial" w:cs="Arial"/>
          <w:sz w:val="20"/>
        </w:rPr>
        <w:t xml:space="preserve"> net</w:t>
      </w:r>
      <w:r w:rsidR="00CE02C6">
        <w:rPr>
          <w:rFonts w:ascii="Arial" w:hAnsi="Arial" w:cs="Arial"/>
          <w:sz w:val="20"/>
        </w:rPr>
        <w:t>o</w:t>
      </w:r>
      <w:r w:rsidRPr="00C63352">
        <w:rPr>
          <w:rFonts w:ascii="Arial" w:hAnsi="Arial" w:cs="Arial"/>
          <w:sz w:val="20"/>
        </w:rPr>
        <w:t xml:space="preserve"> de impuesto a las ganancias</w:t>
      </w:r>
      <w:r w:rsidR="00517628">
        <w:rPr>
          <w:rFonts w:ascii="Arial" w:hAnsi="Arial" w:cs="Arial"/>
          <w:sz w:val="20"/>
        </w:rPr>
        <w:t>,</w:t>
      </w:r>
      <w:r w:rsidRPr="00C63352">
        <w:rPr>
          <w:rFonts w:ascii="Arial" w:hAnsi="Arial" w:cs="Arial"/>
          <w:sz w:val="20"/>
        </w:rPr>
        <w:t xml:space="preserve"> </w:t>
      </w:r>
      <w:r>
        <w:rPr>
          <w:rFonts w:ascii="Arial" w:hAnsi="Arial" w:cs="Arial"/>
          <w:sz w:val="20"/>
        </w:rPr>
        <w:t>caería</w:t>
      </w:r>
      <w:r w:rsidRPr="00C252FB">
        <w:rPr>
          <w:rFonts w:ascii="Arial" w:hAnsi="Arial" w:cs="Arial"/>
          <w:sz w:val="20"/>
        </w:rPr>
        <w:t xml:space="preserve"> en </w:t>
      </w:r>
      <w:r w:rsidR="00147227">
        <w:rPr>
          <w:rFonts w:ascii="Arial" w:hAnsi="Arial" w:cs="Arial"/>
          <w:sz w:val="20"/>
        </w:rPr>
        <w:t xml:space="preserve">$ </w:t>
      </w:r>
      <w:r>
        <w:rPr>
          <w:rFonts w:ascii="Arial" w:hAnsi="Arial" w:cs="Arial"/>
          <w:sz w:val="20"/>
        </w:rPr>
        <w:t xml:space="preserve">368.556 y </w:t>
      </w:r>
      <w:r w:rsidR="00517628">
        <w:rPr>
          <w:rFonts w:ascii="Arial" w:hAnsi="Arial" w:cs="Arial"/>
          <w:sz w:val="20"/>
        </w:rPr>
        <w:t xml:space="preserve">$ </w:t>
      </w:r>
      <w:r w:rsidR="00CE02C6">
        <w:rPr>
          <w:rFonts w:ascii="Arial" w:hAnsi="Arial" w:cs="Arial"/>
          <w:sz w:val="20"/>
        </w:rPr>
        <w:t>46.863</w:t>
      </w:r>
      <w:r w:rsidR="00517628">
        <w:rPr>
          <w:rFonts w:ascii="Arial" w:hAnsi="Arial" w:cs="Arial"/>
          <w:sz w:val="20"/>
        </w:rPr>
        <w:t xml:space="preserve"> miles</w:t>
      </w:r>
      <w:r>
        <w:rPr>
          <w:rFonts w:ascii="Arial" w:hAnsi="Arial" w:cs="Arial"/>
          <w:sz w:val="20"/>
        </w:rPr>
        <w:t xml:space="preserve"> a partir del cierre al 31 de diciembre de 2019 y 2018 respectivamente</w:t>
      </w:r>
      <w:r w:rsidRPr="003F1881">
        <w:rPr>
          <w:rFonts w:ascii="Arial" w:hAnsi="Arial" w:cs="Arial"/>
          <w:sz w:val="20"/>
        </w:rPr>
        <w:t>. De lo contrario, si la</w:t>
      </w:r>
      <w:r w:rsidRPr="007856A6">
        <w:rPr>
          <w:rFonts w:ascii="Arial" w:hAnsi="Arial" w:cs="Arial"/>
          <w:sz w:val="20"/>
        </w:rPr>
        <w:t>s tasas</w:t>
      </w:r>
      <w:r w:rsidRPr="00CD21B2">
        <w:rPr>
          <w:rFonts w:ascii="Arial" w:hAnsi="Arial" w:cs="Arial"/>
          <w:sz w:val="20"/>
        </w:rPr>
        <w:t xml:space="preserve"> aumentaran en igual medida, se </w:t>
      </w:r>
      <w:r>
        <w:rPr>
          <w:rFonts w:ascii="Arial" w:hAnsi="Arial" w:cs="Arial"/>
          <w:sz w:val="20"/>
        </w:rPr>
        <w:t>ganar</w:t>
      </w:r>
      <w:r w:rsidRPr="00CD21B2">
        <w:rPr>
          <w:rFonts w:ascii="Arial" w:hAnsi="Arial" w:cs="Arial"/>
          <w:sz w:val="20"/>
        </w:rPr>
        <w:t xml:space="preserve">ían </w:t>
      </w:r>
      <w:r w:rsidR="00517628">
        <w:rPr>
          <w:rFonts w:ascii="Arial" w:hAnsi="Arial" w:cs="Arial"/>
          <w:sz w:val="20"/>
        </w:rPr>
        <w:t xml:space="preserve">$ </w:t>
      </w:r>
      <w:r>
        <w:rPr>
          <w:rFonts w:ascii="Arial" w:hAnsi="Arial" w:cs="Arial"/>
          <w:sz w:val="20"/>
        </w:rPr>
        <w:t>269.381 y</w:t>
      </w:r>
      <w:r w:rsidR="00517628">
        <w:rPr>
          <w:rFonts w:ascii="Arial" w:hAnsi="Arial" w:cs="Arial"/>
          <w:sz w:val="20"/>
        </w:rPr>
        <w:t xml:space="preserve"> $</w:t>
      </w:r>
      <w:r>
        <w:rPr>
          <w:rFonts w:ascii="Arial" w:hAnsi="Arial" w:cs="Arial"/>
          <w:sz w:val="20"/>
        </w:rPr>
        <w:t xml:space="preserve"> </w:t>
      </w:r>
      <w:r w:rsidR="00CE02C6">
        <w:rPr>
          <w:rFonts w:ascii="Arial" w:hAnsi="Arial" w:cs="Arial"/>
          <w:sz w:val="20"/>
        </w:rPr>
        <w:t>46.863</w:t>
      </w:r>
      <w:r>
        <w:rPr>
          <w:rFonts w:ascii="Arial" w:hAnsi="Arial" w:cs="Arial"/>
          <w:sz w:val="20"/>
        </w:rPr>
        <w:t xml:space="preserve"> </w:t>
      </w:r>
      <w:r w:rsidR="00517628">
        <w:rPr>
          <w:rFonts w:ascii="Arial" w:hAnsi="Arial" w:cs="Arial"/>
          <w:sz w:val="20"/>
        </w:rPr>
        <w:t xml:space="preserve">miles </w:t>
      </w:r>
      <w:r>
        <w:rPr>
          <w:rFonts w:ascii="Arial" w:hAnsi="Arial" w:cs="Arial"/>
          <w:sz w:val="20"/>
        </w:rPr>
        <w:t>respectivamente</w:t>
      </w:r>
      <w:r w:rsidRPr="00AA1E83">
        <w:rPr>
          <w:rFonts w:ascii="Arial" w:hAnsi="Arial" w:cs="Arial"/>
          <w:sz w:val="20"/>
        </w:rPr>
        <w:t>.</w:t>
      </w:r>
    </w:p>
    <w:p w14:paraId="4FBD745B" w14:textId="77777777" w:rsidR="007B0F02" w:rsidRPr="00701F32" w:rsidRDefault="007B0F02" w:rsidP="002A4D61">
      <w:pPr>
        <w:pBdr>
          <w:top w:val="nil"/>
          <w:left w:val="nil"/>
          <w:bottom w:val="nil"/>
          <w:right w:val="nil"/>
          <w:between w:val="nil"/>
          <w:bar w:val="nil"/>
        </w:pBdr>
        <w:tabs>
          <w:tab w:val="left" w:pos="142"/>
          <w:tab w:val="left" w:pos="993"/>
        </w:tabs>
        <w:jc w:val="both"/>
        <w:rPr>
          <w:rFonts w:ascii="Arial" w:eastAsia="Arial Unicode MS" w:hAnsi="Arial" w:cs="Arial"/>
          <w:b/>
          <w:bCs/>
          <w:sz w:val="20"/>
          <w:u w:val="single" w:color="000000"/>
          <w:bdr w:val="nil"/>
          <w:lang w:val="es-ES_tradnl" w:eastAsia="es-AR"/>
        </w:rPr>
      </w:pPr>
    </w:p>
    <w:p w14:paraId="5999CB3A" w14:textId="77777777" w:rsidR="002A4D61" w:rsidRPr="00701F32" w:rsidRDefault="002A4D61" w:rsidP="002A4D61">
      <w:pPr>
        <w:pBdr>
          <w:top w:val="nil"/>
          <w:left w:val="nil"/>
          <w:bottom w:val="nil"/>
          <w:right w:val="nil"/>
          <w:between w:val="nil"/>
          <w:bar w:val="nil"/>
        </w:pBdr>
        <w:tabs>
          <w:tab w:val="left" w:pos="142"/>
          <w:tab w:val="left" w:pos="993"/>
        </w:tabs>
        <w:jc w:val="both"/>
        <w:rPr>
          <w:rFonts w:ascii="Arial" w:eastAsia="Arial" w:hAnsi="Arial" w:cs="Arial"/>
          <w:b/>
          <w:bCs/>
          <w:sz w:val="20"/>
          <w:u w:val="single" w:color="000000"/>
          <w:bdr w:val="nil"/>
          <w:lang w:val="es-ES_tradnl" w:eastAsia="es-AR"/>
        </w:rPr>
      </w:pPr>
      <w:r w:rsidRPr="00701F32">
        <w:rPr>
          <w:rFonts w:ascii="Arial" w:eastAsia="Arial Unicode MS" w:hAnsi="Arial" w:cs="Arial"/>
          <w:b/>
          <w:bCs/>
          <w:sz w:val="20"/>
          <w:u w:val="single" w:color="000000"/>
          <w:bdr w:val="nil"/>
          <w:lang w:val="es-ES_tradnl" w:eastAsia="es-AR"/>
        </w:rPr>
        <w:t>Riesgo de Liquidez</w:t>
      </w:r>
    </w:p>
    <w:p w14:paraId="7C165957" w14:textId="77777777" w:rsidR="002A4D61" w:rsidRPr="00701F32" w:rsidRDefault="002A4D61" w:rsidP="002A4D61">
      <w:pPr>
        <w:pBdr>
          <w:top w:val="nil"/>
          <w:left w:val="nil"/>
          <w:bottom w:val="nil"/>
          <w:right w:val="nil"/>
          <w:between w:val="nil"/>
          <w:bar w:val="nil"/>
        </w:pBdr>
        <w:tabs>
          <w:tab w:val="left" w:pos="142"/>
        </w:tabs>
        <w:jc w:val="both"/>
        <w:rPr>
          <w:rFonts w:ascii="Arial" w:eastAsia="Arial" w:hAnsi="Arial" w:cs="Arial"/>
          <w:b/>
          <w:bCs/>
          <w:sz w:val="20"/>
          <w:u w:val="single" w:color="000000"/>
          <w:bdr w:val="nil"/>
          <w:lang w:val="es-ES_tradnl" w:eastAsia="es-AR"/>
        </w:rPr>
      </w:pPr>
    </w:p>
    <w:p w14:paraId="2068EF9B" w14:textId="77777777" w:rsidR="00EE283D" w:rsidRPr="00701F32" w:rsidRDefault="00EE283D" w:rsidP="00EE283D">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La Entidad define al riesgo de liquidez como el riesgo de afrontar costos de financiación adicionales cuando se producen necesidades de liquidez inesperadas. Este riesgo surge debido a la diferencia de tamaños y de vencimientos entre los activos y pasivos de la Entidad. Se reconocen:</w:t>
      </w:r>
    </w:p>
    <w:p w14:paraId="74BCD8FC" w14:textId="77777777" w:rsidR="00EE283D" w:rsidRPr="00701F32" w:rsidRDefault="00EE283D" w:rsidP="00EE283D">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0BDD26EC" w14:textId="77777777" w:rsidR="00EE283D" w:rsidRPr="00701F32" w:rsidRDefault="00EE283D" w:rsidP="00EE283D">
      <w:pPr>
        <w:numPr>
          <w:ilvl w:val="0"/>
          <w:numId w:val="75"/>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 xml:space="preserve">Riesgo </w:t>
      </w:r>
      <w:r>
        <w:rPr>
          <w:rFonts w:ascii="Arial" w:eastAsia="Arial Unicode MS" w:hAnsi="Arial" w:cs="Arial"/>
          <w:sz w:val="20"/>
          <w:u w:color="000000"/>
          <w:bdr w:val="nil"/>
          <w:lang w:val="es-ES_tradnl" w:eastAsia="es-AR"/>
        </w:rPr>
        <w:t xml:space="preserve">de </w:t>
      </w:r>
      <w:r w:rsidRPr="00701F32">
        <w:rPr>
          <w:rFonts w:ascii="Arial" w:eastAsia="Arial Unicode MS" w:hAnsi="Arial" w:cs="Arial"/>
          <w:sz w:val="20"/>
          <w:u w:color="000000"/>
          <w:bdr w:val="nil"/>
          <w:lang w:val="es-ES_tradnl" w:eastAsia="es-AR"/>
        </w:rPr>
        <w:t xml:space="preserve">liquidez de fondeo; es el riesgo que surge de la imposibilidad de conseguir fondos a costo normal de mercado cuando son requeridos, teniendo como fundamento la percepción que el mercado posea sobre la Entidad. </w:t>
      </w:r>
    </w:p>
    <w:p w14:paraId="3E2AEA73" w14:textId="77777777" w:rsidR="00EE283D" w:rsidRPr="00701F32" w:rsidRDefault="00EE283D" w:rsidP="00EE283D">
      <w:pPr>
        <w:numPr>
          <w:ilvl w:val="0"/>
          <w:numId w:val="75"/>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Riesgo de liquidez de mercado; es el riesgo que nace cuando la Entidad no puede deshacer una posición a precio de mercado en uno o varios activos para la obtención de fondos, como consecuencia de dos factores clave:</w:t>
      </w:r>
    </w:p>
    <w:p w14:paraId="0F7118E5" w14:textId="77777777" w:rsidR="00EE283D" w:rsidRPr="00701F32" w:rsidRDefault="00EE283D" w:rsidP="00EE283D">
      <w:pPr>
        <w:pBdr>
          <w:top w:val="nil"/>
          <w:left w:val="nil"/>
          <w:bottom w:val="nil"/>
          <w:right w:val="nil"/>
          <w:between w:val="nil"/>
          <w:bar w:val="nil"/>
        </w:pBdr>
        <w:tabs>
          <w:tab w:val="left" w:pos="142"/>
        </w:tabs>
        <w:ind w:left="720"/>
        <w:jc w:val="both"/>
        <w:rPr>
          <w:rFonts w:ascii="Arial" w:eastAsia="Arial" w:hAnsi="Arial" w:cs="Arial"/>
          <w:sz w:val="20"/>
          <w:u w:color="000000"/>
          <w:bdr w:val="nil"/>
          <w:lang w:val="es-ES_tradnl" w:eastAsia="es-AR"/>
        </w:rPr>
      </w:pPr>
    </w:p>
    <w:p w14:paraId="00D4B7E0" w14:textId="77777777" w:rsidR="00EE283D" w:rsidRPr="00701F32" w:rsidRDefault="00EE283D" w:rsidP="00EE283D">
      <w:pPr>
        <w:numPr>
          <w:ilvl w:val="3"/>
          <w:numId w:val="76"/>
        </w:numPr>
        <w:pBdr>
          <w:top w:val="nil"/>
          <w:left w:val="nil"/>
          <w:bottom w:val="nil"/>
          <w:right w:val="nil"/>
          <w:between w:val="nil"/>
          <w:bar w:val="nil"/>
        </w:pBdr>
        <w:ind w:left="1134"/>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los activos no son lo suficientemente líquidos, es decir, no cuentan con el mercado secundario necesario.</w:t>
      </w:r>
    </w:p>
    <w:p w14:paraId="7B9EC611" w14:textId="77777777" w:rsidR="00EE283D" w:rsidRPr="00701F32" w:rsidRDefault="00EE283D" w:rsidP="00EE283D">
      <w:pPr>
        <w:numPr>
          <w:ilvl w:val="3"/>
          <w:numId w:val="76"/>
        </w:numPr>
        <w:pBdr>
          <w:top w:val="nil"/>
          <w:left w:val="nil"/>
          <w:bottom w:val="nil"/>
          <w:right w:val="nil"/>
          <w:between w:val="nil"/>
          <w:bar w:val="nil"/>
        </w:pBdr>
        <w:ind w:left="1134"/>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las alteraciones que puedan producirse en los mercados donde cotizan</w:t>
      </w:r>
    </w:p>
    <w:p w14:paraId="15217523" w14:textId="77777777" w:rsidR="00EE283D" w:rsidRPr="00701F32" w:rsidRDefault="00EE283D" w:rsidP="00EE283D">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3F978194" w14:textId="77777777" w:rsidR="00EE283D" w:rsidRPr="00701F32" w:rsidRDefault="00EE283D" w:rsidP="00EE283D">
      <w:pPr>
        <w:jc w:val="both"/>
        <w:rPr>
          <w:rFonts w:ascii="Arial" w:hAnsi="Arial" w:cs="Arial"/>
          <w:sz w:val="20"/>
        </w:rPr>
      </w:pPr>
      <w:r w:rsidRPr="00701F32">
        <w:rPr>
          <w:rFonts w:ascii="Arial" w:hAnsi="Arial" w:cs="Arial"/>
          <w:sz w:val="20"/>
        </w:rPr>
        <w:t>Los indicadores de liquidez y concentración de fuentes de fondeo permiten cuantificar la tolerancia a este riesgo, partiendo desde las definiciones más ácidas o restrictivas del concepto de liquidez hasta aquellas más abarcativas y que incluyen particularidades propias del modelo de negocios de la Entidad.</w:t>
      </w:r>
    </w:p>
    <w:p w14:paraId="3252D7A5" w14:textId="77777777" w:rsidR="00EE283D" w:rsidRPr="00701F32" w:rsidRDefault="00EE283D" w:rsidP="00EE283D">
      <w:pPr>
        <w:jc w:val="both"/>
        <w:rPr>
          <w:rFonts w:ascii="Arial" w:hAnsi="Arial" w:cs="Arial"/>
          <w:sz w:val="20"/>
        </w:rPr>
      </w:pPr>
    </w:p>
    <w:p w14:paraId="2F27965B" w14:textId="77777777" w:rsidR="00EE283D" w:rsidRPr="00701F32" w:rsidRDefault="00EE283D" w:rsidP="00EE283D">
      <w:pPr>
        <w:tabs>
          <w:tab w:val="left" w:pos="7938"/>
        </w:tabs>
        <w:ind w:right="-1"/>
        <w:jc w:val="both"/>
        <w:rPr>
          <w:rFonts w:ascii="Arial" w:hAnsi="Arial" w:cs="Arial"/>
          <w:sz w:val="20"/>
        </w:rPr>
      </w:pPr>
      <w:r w:rsidRPr="00701F32">
        <w:rPr>
          <w:rFonts w:ascii="Arial" w:hAnsi="Arial" w:cs="Arial"/>
          <w:sz w:val="20"/>
        </w:rPr>
        <w:t>Entre las métricas fundamentales (core metrics) utilizadas para la gestión del riesgo de liquidez se destacan:</w:t>
      </w:r>
    </w:p>
    <w:p w14:paraId="1CBFEA7E" w14:textId="77777777" w:rsidR="00EE283D" w:rsidRPr="00701F32" w:rsidRDefault="00EE283D" w:rsidP="00EE283D">
      <w:pPr>
        <w:tabs>
          <w:tab w:val="left" w:pos="7938"/>
        </w:tabs>
        <w:ind w:right="-1"/>
        <w:jc w:val="both"/>
        <w:rPr>
          <w:rFonts w:ascii="Arial" w:hAnsi="Arial" w:cs="Arial"/>
          <w:sz w:val="20"/>
        </w:rPr>
      </w:pPr>
    </w:p>
    <w:p w14:paraId="0993978D" w14:textId="77777777" w:rsidR="00EE283D" w:rsidRDefault="00EE283D" w:rsidP="00EE283D">
      <w:pPr>
        <w:numPr>
          <w:ilvl w:val="0"/>
          <w:numId w:val="79"/>
        </w:numPr>
        <w:tabs>
          <w:tab w:val="left" w:pos="7938"/>
        </w:tabs>
        <w:ind w:left="709" w:right="-1"/>
        <w:jc w:val="both"/>
        <w:rPr>
          <w:rFonts w:ascii="Arial" w:hAnsi="Arial" w:cs="Arial"/>
          <w:sz w:val="20"/>
        </w:rPr>
      </w:pPr>
      <w:r>
        <w:rPr>
          <w:rFonts w:ascii="Arial" w:hAnsi="Arial" w:cs="Arial"/>
          <w:b/>
          <w:i/>
          <w:sz w:val="20"/>
        </w:rPr>
        <w:t xml:space="preserve">Ratio de Cobertura de Liquidez o </w:t>
      </w:r>
      <w:r w:rsidRPr="00701F32">
        <w:rPr>
          <w:rFonts w:ascii="Arial" w:hAnsi="Arial" w:cs="Arial"/>
          <w:b/>
          <w:i/>
          <w:sz w:val="20"/>
        </w:rPr>
        <w:t xml:space="preserve">LCR </w:t>
      </w:r>
      <w:r>
        <w:rPr>
          <w:rFonts w:ascii="Arial" w:hAnsi="Arial" w:cs="Arial"/>
          <w:b/>
          <w:i/>
          <w:sz w:val="20"/>
        </w:rPr>
        <w:t>por sus siglas en inglés</w:t>
      </w:r>
      <w:r w:rsidRPr="00701F32">
        <w:rPr>
          <w:rFonts w:ascii="Arial" w:hAnsi="Arial" w:cs="Arial"/>
          <w:sz w:val="20"/>
        </w:rPr>
        <w:t xml:space="preserve">: mide la relación entre activos líquidos de alta calidad y las salidas de efectivo netas totales durante un período de 30 días. Banco Supervielle calcula diariamente este indicador, habiéndose cumplido durante </w:t>
      </w:r>
      <w:r>
        <w:rPr>
          <w:rFonts w:ascii="Arial" w:hAnsi="Arial" w:cs="Arial"/>
          <w:sz w:val="20"/>
        </w:rPr>
        <w:t>el año</w:t>
      </w:r>
      <w:r w:rsidRPr="00701F32">
        <w:rPr>
          <w:rFonts w:ascii="Arial" w:hAnsi="Arial" w:cs="Arial"/>
          <w:sz w:val="20"/>
        </w:rPr>
        <w:t xml:space="preserve"> el valor mínimo previsto</w:t>
      </w:r>
      <w:r>
        <w:rPr>
          <w:rFonts w:ascii="Arial" w:hAnsi="Arial" w:cs="Arial"/>
          <w:sz w:val="20"/>
        </w:rPr>
        <w:t xml:space="preserve"> normativamente, así como el establecido internamente en función de su apetito de riesgo.</w:t>
      </w:r>
    </w:p>
    <w:p w14:paraId="7E29C367" w14:textId="642937E4" w:rsidR="00EE283D" w:rsidRPr="00701F32" w:rsidRDefault="00EE283D" w:rsidP="00EE283D">
      <w:pPr>
        <w:numPr>
          <w:ilvl w:val="0"/>
          <w:numId w:val="79"/>
        </w:numPr>
        <w:tabs>
          <w:tab w:val="left" w:pos="7938"/>
        </w:tabs>
        <w:ind w:right="-1"/>
        <w:jc w:val="both"/>
        <w:rPr>
          <w:rFonts w:ascii="Arial" w:hAnsi="Arial" w:cs="Arial"/>
          <w:sz w:val="20"/>
        </w:rPr>
      </w:pPr>
      <w:r>
        <w:rPr>
          <w:rFonts w:ascii="Arial" w:hAnsi="Arial" w:cs="Arial"/>
          <w:b/>
          <w:i/>
          <w:sz w:val="20"/>
        </w:rPr>
        <w:t>Ratio de Fondeo Estable o NSFR por sus siglas en inglés</w:t>
      </w:r>
      <w:r>
        <w:rPr>
          <w:rFonts w:ascii="Arial" w:hAnsi="Arial" w:cs="Arial"/>
          <w:sz w:val="20"/>
        </w:rPr>
        <w:t xml:space="preserve">: mide la capacidad de Banco Supervielle de </w:t>
      </w:r>
      <w:r w:rsidRPr="001C0EC5">
        <w:rPr>
          <w:rFonts w:ascii="Arial" w:hAnsi="Arial" w:cs="Arial"/>
          <w:sz w:val="20"/>
        </w:rPr>
        <w:t>financiar sus actividades con fuentes suficientemente estables para mitigar el riesgo de futuras situaciones de estrés originadas en su fondeo</w:t>
      </w:r>
      <w:r>
        <w:rPr>
          <w:rFonts w:ascii="Arial" w:hAnsi="Arial" w:cs="Arial"/>
          <w:sz w:val="20"/>
        </w:rPr>
        <w:t xml:space="preserve">. </w:t>
      </w:r>
      <w:r w:rsidR="002A5C5B">
        <w:rPr>
          <w:rFonts w:ascii="Arial" w:hAnsi="Arial" w:cs="Arial"/>
          <w:sz w:val="20"/>
        </w:rPr>
        <w:t xml:space="preserve">La Entidad </w:t>
      </w:r>
      <w:r w:rsidRPr="00701F32">
        <w:rPr>
          <w:rFonts w:ascii="Arial" w:hAnsi="Arial" w:cs="Arial"/>
          <w:sz w:val="20"/>
        </w:rPr>
        <w:t>calcula diariamente este indicador, habiéndose cumplido el valor mínimo previsto</w:t>
      </w:r>
      <w:r>
        <w:rPr>
          <w:rFonts w:ascii="Arial" w:hAnsi="Arial" w:cs="Arial"/>
          <w:sz w:val="20"/>
        </w:rPr>
        <w:t xml:space="preserve"> normativamente, así como el establecido internamente en función de su apetito de riesgo</w:t>
      </w:r>
      <w:r w:rsidRPr="00701F32">
        <w:rPr>
          <w:rFonts w:ascii="Arial" w:hAnsi="Arial" w:cs="Arial"/>
          <w:sz w:val="20"/>
        </w:rPr>
        <w:t>.</w:t>
      </w:r>
    </w:p>
    <w:p w14:paraId="233A35B0" w14:textId="77777777" w:rsidR="00EE283D" w:rsidRPr="00701F32" w:rsidRDefault="00EE283D" w:rsidP="00EE283D">
      <w:pPr>
        <w:numPr>
          <w:ilvl w:val="0"/>
          <w:numId w:val="79"/>
        </w:numPr>
        <w:tabs>
          <w:tab w:val="left" w:pos="7938"/>
        </w:tabs>
        <w:ind w:left="709" w:right="-1"/>
        <w:jc w:val="both"/>
        <w:rPr>
          <w:rFonts w:ascii="Arial" w:hAnsi="Arial" w:cs="Arial"/>
          <w:sz w:val="20"/>
        </w:rPr>
      </w:pPr>
      <w:r w:rsidRPr="00701F32">
        <w:rPr>
          <w:rFonts w:ascii="Arial" w:hAnsi="Arial" w:cs="Arial"/>
          <w:b/>
          <w:i/>
          <w:sz w:val="20"/>
        </w:rPr>
        <w:t xml:space="preserve">Cobertura de Cuentas </w:t>
      </w:r>
      <w:r>
        <w:rPr>
          <w:rFonts w:ascii="Arial" w:hAnsi="Arial" w:cs="Arial"/>
          <w:b/>
          <w:i/>
          <w:sz w:val="20"/>
        </w:rPr>
        <w:t xml:space="preserve">a la Vista </w:t>
      </w:r>
      <w:r w:rsidRPr="00701F32">
        <w:rPr>
          <w:rFonts w:ascii="Arial" w:hAnsi="Arial" w:cs="Arial"/>
          <w:b/>
          <w:i/>
          <w:sz w:val="20"/>
        </w:rPr>
        <w:t>Remuneradas y PF Precancelables</w:t>
      </w:r>
      <w:r w:rsidRPr="00701F32">
        <w:rPr>
          <w:rFonts w:ascii="Arial" w:hAnsi="Arial" w:cs="Arial"/>
          <w:sz w:val="20"/>
        </w:rPr>
        <w:t>: este indicador</w:t>
      </w:r>
      <w:r>
        <w:rPr>
          <w:rFonts w:ascii="Arial" w:hAnsi="Arial" w:cs="Arial"/>
          <w:sz w:val="20"/>
        </w:rPr>
        <w:t>, relacionado con la concentración de fuentes de fondeo,</w:t>
      </w:r>
      <w:r w:rsidRPr="00701F32">
        <w:rPr>
          <w:rFonts w:ascii="Arial" w:hAnsi="Arial" w:cs="Arial"/>
          <w:sz w:val="20"/>
        </w:rPr>
        <w:t xml:space="preserve"> busca limitar la dependencia del fondeo de fuentes más inestables en escenarios ilíquidos, ya sean de características idiosincráticas o sistémicas. </w:t>
      </w:r>
    </w:p>
    <w:p w14:paraId="0B2A70BD" w14:textId="77777777" w:rsidR="00EE283D" w:rsidRPr="00701F32" w:rsidRDefault="00EE283D" w:rsidP="00EE283D">
      <w:pPr>
        <w:tabs>
          <w:tab w:val="left" w:pos="7938"/>
        </w:tabs>
        <w:ind w:right="-1"/>
        <w:jc w:val="both"/>
        <w:rPr>
          <w:rFonts w:ascii="Arial" w:hAnsi="Arial" w:cs="Arial"/>
          <w:sz w:val="20"/>
        </w:rPr>
      </w:pPr>
    </w:p>
    <w:p w14:paraId="7633C74B" w14:textId="77777777" w:rsidR="00EE283D" w:rsidRDefault="00EE283D" w:rsidP="00EE283D">
      <w:pPr>
        <w:tabs>
          <w:tab w:val="left" w:pos="7938"/>
        </w:tabs>
        <w:ind w:right="-1"/>
        <w:jc w:val="both"/>
        <w:rPr>
          <w:rFonts w:ascii="Arial" w:hAnsi="Arial" w:cs="Arial"/>
          <w:sz w:val="20"/>
        </w:rPr>
      </w:pPr>
      <w:r w:rsidRPr="00701F32">
        <w:rPr>
          <w:rFonts w:ascii="Arial" w:hAnsi="Arial" w:cs="Arial"/>
          <w:sz w:val="20"/>
        </w:rPr>
        <w:t>Adicionalmente, la gestión se complementa con el monitoreo diario de una serie de métricas de seguimiento en el ámbito del Comité de Activos y Pasivos (ALCO). Estos indicadores procuran desagregar los principales componentes del LCR, ofreciendo una evaluación de la situación de liquidez en la entidad y alertando ante eventuales cambios de tendencia que puedan poner en juego los lineamientos establecidos en la política de apetito de riesgo.</w:t>
      </w:r>
      <w:r>
        <w:rPr>
          <w:rFonts w:ascii="Arial" w:hAnsi="Arial" w:cs="Arial"/>
          <w:sz w:val="20"/>
        </w:rPr>
        <w:t xml:space="preserve"> Dentro del tablero de indicadores de seguimiento en el ámbito de este Comité se evalúa también la disponibilidad de activos líquidos para responder a una eventual salida de depósitos más volátiles, entendiendo como tales a las cuentas a la vista remuneradas y a los depósitos del sector público en moneda extranjera.</w:t>
      </w:r>
    </w:p>
    <w:p w14:paraId="3B7170C6" w14:textId="77777777" w:rsidR="00EE283D" w:rsidRDefault="00EE283D" w:rsidP="00EE283D">
      <w:pPr>
        <w:tabs>
          <w:tab w:val="left" w:pos="7938"/>
        </w:tabs>
        <w:ind w:right="-1"/>
        <w:jc w:val="both"/>
        <w:rPr>
          <w:rFonts w:ascii="Arial" w:hAnsi="Arial" w:cs="Arial"/>
          <w:sz w:val="20"/>
        </w:rPr>
      </w:pPr>
    </w:p>
    <w:p w14:paraId="0A001E65" w14:textId="77777777" w:rsidR="00EE283D" w:rsidRPr="00701F32" w:rsidRDefault="00EE283D" w:rsidP="00EE283D">
      <w:pPr>
        <w:tabs>
          <w:tab w:val="left" w:pos="7938"/>
        </w:tabs>
        <w:ind w:right="-1"/>
        <w:jc w:val="both"/>
        <w:rPr>
          <w:rFonts w:ascii="Arial" w:hAnsi="Arial" w:cs="Arial"/>
          <w:sz w:val="20"/>
        </w:rPr>
      </w:pPr>
      <w:r w:rsidRPr="0071258D">
        <w:rPr>
          <w:rFonts w:ascii="Arial" w:hAnsi="Arial" w:cs="Arial"/>
          <w:sz w:val="20"/>
        </w:rPr>
        <w:t>Durante 2019 se realizó una revisión del ejercicio de prueba de estrés de liquidez. La fuerte salida de depósitos en moneda extranjera, que afectó al sistema financiero en su conjunto a partir de la segunda mitad del mes de agosto, puso en evidencia la necesidad de contar con ejercicios de estrés que evalúen independientemente la liquidez por moneda relevante. Es por eso que se plantearos dos nuevas métricas al tablero de indicadores del Comité ALCO, reemplazando así el ratio de seguimiento vigente hasta entonces e incorporando la experiencia de lo ocurrido en términos de liquidez durante 2019, tanto en pesos como en moneda extranjera.</w:t>
      </w:r>
    </w:p>
    <w:p w14:paraId="419AC097" w14:textId="77777777" w:rsidR="00EE283D" w:rsidRPr="00701F32" w:rsidRDefault="00EE283D" w:rsidP="00EE283D">
      <w:pPr>
        <w:ind w:right="474"/>
        <w:jc w:val="both"/>
        <w:rPr>
          <w:rFonts w:ascii="Arial" w:hAnsi="Arial" w:cs="Arial"/>
          <w:sz w:val="20"/>
        </w:rPr>
      </w:pPr>
    </w:p>
    <w:p w14:paraId="68DB27A9" w14:textId="77777777" w:rsidR="00EE283D" w:rsidRPr="00701F32" w:rsidRDefault="00EE283D" w:rsidP="00EE283D">
      <w:pPr>
        <w:jc w:val="both"/>
        <w:rPr>
          <w:rFonts w:ascii="Arial" w:hAnsi="Arial" w:cs="Arial"/>
          <w:sz w:val="20"/>
        </w:rPr>
      </w:pPr>
      <w:r w:rsidRPr="00701F32">
        <w:rPr>
          <w:rFonts w:ascii="Arial" w:hAnsi="Arial" w:cs="Arial"/>
          <w:sz w:val="20"/>
        </w:rPr>
        <w:t>Finalmente, apropiados controles sobre la liquidez intradiaria y el cumplimiento con la normativa de efectivo mínimo constituyen los restantes pilares en los que se sustenta la política de liquidez de la entidad.</w:t>
      </w:r>
      <w:r>
        <w:rPr>
          <w:rFonts w:ascii="Arial" w:hAnsi="Arial" w:cs="Arial"/>
          <w:sz w:val="20"/>
        </w:rPr>
        <w:t xml:space="preserve"> </w:t>
      </w:r>
      <w:r w:rsidRPr="0071258D">
        <w:rPr>
          <w:rFonts w:ascii="Arial" w:hAnsi="Arial" w:cs="Arial"/>
          <w:sz w:val="20"/>
        </w:rPr>
        <w:t xml:space="preserve">En lo que respecta a liquidez intradiaria, la Gerencia de Riesgos Financieros implementó a partir del 30.06.2019 los lineamientos establecidos en la Comunicación “A” 6685, encarando el monitoreo diario de diferentes métricas que permiten evaluar la suficiencia de liquidez en términos intradiarios y generando un reporte mensual que incluye conclusiones sobre la ejecución de diferentes escenarios de estrés y un resumen evolutivo de las distintas métricas citadas en la normativa. Se estableció como criterio que el saldo de inicio de la cuenta corriente de Banco Supervielle en el Banco Central de la República Argentina, sumado a los ingresos derivados del vencimiento en el día de </w:t>
      </w:r>
      <w:r>
        <w:rPr>
          <w:rFonts w:ascii="Arial" w:hAnsi="Arial" w:cs="Arial"/>
          <w:sz w:val="20"/>
        </w:rPr>
        <w:t>instrumentos de regulación monetaria</w:t>
      </w:r>
      <w:r w:rsidRPr="0071258D">
        <w:rPr>
          <w:rFonts w:ascii="Arial" w:hAnsi="Arial" w:cs="Arial"/>
          <w:sz w:val="20"/>
        </w:rPr>
        <w:t xml:space="preserve"> y/o de operaciones de pase con la autoridad monetaria, nunca puede ser inferior al promedio de pagos sensibles en el tiempo registrado en el mes inmediato anterior.</w:t>
      </w:r>
      <w:r>
        <w:rPr>
          <w:rFonts w:ascii="Arial" w:hAnsi="Arial" w:cs="Arial"/>
          <w:sz w:val="20"/>
        </w:rPr>
        <w:t xml:space="preserve"> </w:t>
      </w:r>
    </w:p>
    <w:p w14:paraId="3A8D712F" w14:textId="77777777" w:rsidR="00EE283D" w:rsidRPr="00701F32" w:rsidRDefault="00EE283D" w:rsidP="00EE283D">
      <w:pPr>
        <w:jc w:val="both"/>
        <w:rPr>
          <w:rFonts w:ascii="Arial" w:hAnsi="Arial" w:cs="Arial"/>
          <w:sz w:val="20"/>
        </w:rPr>
      </w:pPr>
    </w:p>
    <w:p w14:paraId="5F3BFC67" w14:textId="77777777" w:rsidR="00EE283D" w:rsidRDefault="00EE283D" w:rsidP="00EE283D">
      <w:pPr>
        <w:jc w:val="both"/>
        <w:rPr>
          <w:rFonts w:ascii="Arial" w:hAnsi="Arial" w:cs="Arial"/>
          <w:sz w:val="20"/>
        </w:rPr>
      </w:pPr>
      <w:r w:rsidRPr="00701F32">
        <w:rPr>
          <w:rFonts w:ascii="Arial" w:hAnsi="Arial" w:cs="Arial"/>
          <w:sz w:val="20"/>
        </w:rPr>
        <w:t>La gestión del riesgo de liquidez se caracteriza por un estricto control diario del ratio de cobertura de liquidez (LCR), procurando una correcta proyección de las necesidades de fondeo y de activos líquidos de libre disponibilidad para mantener el LCR dentro de los niveles establecidos en la política de apetito de riesgo. A partir de 2018 se incorpor</w:t>
      </w:r>
      <w:r>
        <w:rPr>
          <w:rFonts w:ascii="Arial" w:hAnsi="Arial" w:cs="Arial"/>
          <w:sz w:val="20"/>
        </w:rPr>
        <w:t>ó</w:t>
      </w:r>
      <w:r w:rsidRPr="00701F32">
        <w:rPr>
          <w:rFonts w:ascii="Arial" w:hAnsi="Arial" w:cs="Arial"/>
          <w:sz w:val="20"/>
        </w:rPr>
        <w:t xml:space="preserve"> el seguimiento del ratio de fondeo estable (NSFR), de acuerdo a lo establecido por normativa del BCRA y alineándose a los criterios de Basilea III.</w:t>
      </w:r>
    </w:p>
    <w:p w14:paraId="3B97284B" w14:textId="77777777" w:rsidR="00EE283D" w:rsidRPr="00701F32" w:rsidRDefault="00EE283D" w:rsidP="00EE283D">
      <w:pPr>
        <w:spacing w:before="240"/>
        <w:jc w:val="both"/>
        <w:rPr>
          <w:rFonts w:ascii="Arial" w:eastAsia="Arial" w:hAnsi="Arial" w:cs="Arial"/>
          <w:b/>
          <w:bCs/>
          <w:iCs/>
          <w:sz w:val="20"/>
          <w:lang w:val="es-ES_tradnl"/>
        </w:rPr>
      </w:pPr>
      <w:r w:rsidRPr="00701F32">
        <w:rPr>
          <w:rFonts w:ascii="Arial" w:hAnsi="Arial" w:cs="Arial"/>
          <w:b/>
          <w:bCs/>
          <w:iCs/>
          <w:sz w:val="20"/>
          <w:lang w:val="es-ES_tradnl"/>
        </w:rPr>
        <w:t>Cálculo de Capital Económico</w:t>
      </w:r>
    </w:p>
    <w:p w14:paraId="30F1A18F" w14:textId="77777777" w:rsidR="00EE283D" w:rsidRPr="00701F32" w:rsidRDefault="00EE283D" w:rsidP="00EE283D">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La Entidad cuenta con elementos que aseguran una adecuada gestión de este riesgo, a saber:</w:t>
      </w:r>
    </w:p>
    <w:p w14:paraId="40CFBC66" w14:textId="77777777" w:rsidR="00EE283D" w:rsidRPr="00701F32" w:rsidRDefault="00EE283D" w:rsidP="00EE283D">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7C7B5989" w14:textId="77777777" w:rsidR="00EE283D" w:rsidRPr="00701F32" w:rsidRDefault="00EE283D" w:rsidP="00EE283D">
      <w:pPr>
        <w:numPr>
          <w:ilvl w:val="0"/>
          <w:numId w:val="77"/>
        </w:numPr>
        <w:pBdr>
          <w:top w:val="nil"/>
          <w:left w:val="nil"/>
          <w:bottom w:val="nil"/>
          <w:right w:val="nil"/>
          <w:between w:val="nil"/>
          <w:bar w:val="nil"/>
        </w:pBdr>
        <w:tabs>
          <w:tab w:val="left" w:pos="709"/>
        </w:tabs>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Tablero de indicadores de liquidez abarcativo, a través del cual se monitorea un abanico de niveles de liquidez. Cada indicador cuenta con su correspondiente umbral y límite, los cuales son monitoreados con una frecuencia diaria dentro de la Gerencia de Riesgos Financieros (dando la debida alerta en caso de vulneración), quincenal en el ámbito del Comité de Activos y Pasivos (ALCO) y mensual en el Comité de Dirección de Riesgos Integrales. Asimismo, se realiza un reporte semanal destinado a miembros del Comité de Dirección de Riesgos Integrales, ALCO y otros miembros del Directorio.</w:t>
      </w:r>
    </w:p>
    <w:p w14:paraId="2326DDB9" w14:textId="77777777" w:rsidR="00EE283D" w:rsidRPr="00701F32" w:rsidRDefault="00EE283D" w:rsidP="00EE283D">
      <w:pPr>
        <w:pBdr>
          <w:top w:val="nil"/>
          <w:left w:val="nil"/>
          <w:bottom w:val="nil"/>
          <w:right w:val="nil"/>
          <w:between w:val="nil"/>
          <w:bar w:val="nil"/>
        </w:pBdr>
        <w:tabs>
          <w:tab w:val="left" w:pos="709"/>
        </w:tabs>
        <w:ind w:left="709" w:hanging="425"/>
        <w:jc w:val="both"/>
        <w:rPr>
          <w:rFonts w:ascii="Arial" w:eastAsia="Arial" w:hAnsi="Arial" w:cs="Arial"/>
          <w:sz w:val="20"/>
          <w:u w:color="000000"/>
          <w:bdr w:val="nil"/>
          <w:lang w:val="es-ES_tradnl" w:eastAsia="es-AR"/>
        </w:rPr>
      </w:pPr>
    </w:p>
    <w:p w14:paraId="2514CCEA" w14:textId="77777777" w:rsidR="00EE283D" w:rsidRPr="00701F32" w:rsidRDefault="00EE283D" w:rsidP="00EE283D">
      <w:pPr>
        <w:numPr>
          <w:ilvl w:val="0"/>
          <w:numId w:val="77"/>
        </w:numPr>
        <w:pBdr>
          <w:top w:val="nil"/>
          <w:left w:val="nil"/>
          <w:bottom w:val="nil"/>
          <w:right w:val="nil"/>
          <w:between w:val="nil"/>
          <w:bar w:val="nil"/>
        </w:pBdr>
        <w:tabs>
          <w:tab w:val="left" w:pos="709"/>
        </w:tabs>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Indicadores que miden la concentración de las fuentes de fondeo, estableciendo el apetito de la Entidad a este riesgo.</w:t>
      </w:r>
    </w:p>
    <w:p w14:paraId="2A05E428" w14:textId="77777777" w:rsidR="00EE283D" w:rsidRPr="00701F32" w:rsidRDefault="00EE283D" w:rsidP="00EE283D">
      <w:pPr>
        <w:pBdr>
          <w:top w:val="nil"/>
          <w:left w:val="nil"/>
          <w:bottom w:val="nil"/>
          <w:right w:val="nil"/>
          <w:between w:val="nil"/>
          <w:bar w:val="nil"/>
        </w:pBdr>
        <w:tabs>
          <w:tab w:val="left" w:pos="709"/>
        </w:tabs>
        <w:jc w:val="both"/>
        <w:rPr>
          <w:rFonts w:ascii="Arial" w:eastAsia="Arial" w:hAnsi="Arial" w:cs="Arial"/>
          <w:sz w:val="20"/>
          <w:u w:color="000000"/>
          <w:bdr w:val="nil"/>
          <w:lang w:val="es-ES_tradnl" w:eastAsia="es-AR"/>
        </w:rPr>
      </w:pPr>
    </w:p>
    <w:p w14:paraId="3F0EA062" w14:textId="77777777" w:rsidR="00EE283D" w:rsidRPr="00701F32" w:rsidRDefault="00EE283D" w:rsidP="00EE283D">
      <w:pPr>
        <w:numPr>
          <w:ilvl w:val="0"/>
          <w:numId w:val="77"/>
        </w:numPr>
        <w:spacing w:after="200"/>
        <w:contextualSpacing/>
        <w:jc w:val="both"/>
        <w:rPr>
          <w:rFonts w:ascii="Arial" w:hAnsi="Arial" w:cs="Arial"/>
          <w:sz w:val="20"/>
          <w:lang w:val="es-ES_tradnl"/>
        </w:rPr>
      </w:pPr>
      <w:r w:rsidRPr="00701F32">
        <w:rPr>
          <w:rFonts w:ascii="Arial" w:hAnsi="Arial" w:cs="Arial"/>
          <w:sz w:val="20"/>
          <w:lang w:val="es-ES_tradnl"/>
        </w:rPr>
        <w:t>Elaboración y monitoreo de los nuevos indicadores de cobertura de liquidez y apalancamiento requeridos por el BCRA en el marco del cumplimiento de la hoja de ruta hacia Basilea III.</w:t>
      </w:r>
    </w:p>
    <w:p w14:paraId="2F2B9EE1" w14:textId="77777777" w:rsidR="00EE283D" w:rsidRPr="00701F32" w:rsidRDefault="00EE283D" w:rsidP="00EE283D">
      <w:pPr>
        <w:ind w:left="709"/>
        <w:jc w:val="both"/>
        <w:rPr>
          <w:rFonts w:ascii="Arial" w:hAnsi="Arial" w:cs="Arial"/>
          <w:sz w:val="20"/>
          <w:lang w:val="es-ES_tradnl"/>
        </w:rPr>
      </w:pPr>
    </w:p>
    <w:p w14:paraId="377AD7F5" w14:textId="77777777" w:rsidR="00EE283D" w:rsidRPr="00701F32" w:rsidRDefault="00EE283D" w:rsidP="00EE283D">
      <w:pPr>
        <w:numPr>
          <w:ilvl w:val="0"/>
          <w:numId w:val="77"/>
        </w:numPr>
        <w:spacing w:after="200"/>
        <w:contextualSpacing/>
        <w:jc w:val="both"/>
        <w:rPr>
          <w:rFonts w:ascii="Arial" w:hAnsi="Arial" w:cs="Arial"/>
          <w:sz w:val="20"/>
          <w:lang w:val="es-ES_tradnl"/>
        </w:rPr>
      </w:pPr>
      <w:r w:rsidRPr="00701F32">
        <w:rPr>
          <w:rFonts w:ascii="Arial" w:hAnsi="Arial" w:cs="Arial"/>
          <w:sz w:val="20"/>
          <w:lang w:val="es-ES_tradnl"/>
        </w:rPr>
        <w:t xml:space="preserve">Se incorporaron a la gestión diversas herramientas de seguimiento del riesgo de liquidez, incluyendo un desagregado análisis de los desfases de plazos contractuales e informes de concentración del fondeo captado por la Entidad, por contraparte, producto y moneda significativa. La granularidad de la información requerida para la elaboración de estos reportes contribuyó significativamente a la mejora del MIS (Management Information System) de riesgos. </w:t>
      </w:r>
    </w:p>
    <w:p w14:paraId="7EBBB102" w14:textId="77777777" w:rsidR="00EE283D" w:rsidRPr="00701F32" w:rsidRDefault="00EE283D" w:rsidP="00EE283D">
      <w:pPr>
        <w:ind w:left="709"/>
        <w:jc w:val="both"/>
        <w:rPr>
          <w:rFonts w:ascii="Arial" w:hAnsi="Arial" w:cs="Arial"/>
          <w:sz w:val="20"/>
          <w:lang w:val="es-ES_tradnl"/>
        </w:rPr>
      </w:pPr>
    </w:p>
    <w:p w14:paraId="0182A639" w14:textId="77777777" w:rsidR="00EE283D" w:rsidRPr="00701F32" w:rsidRDefault="00EE283D" w:rsidP="00EE283D">
      <w:pPr>
        <w:numPr>
          <w:ilvl w:val="0"/>
          <w:numId w:val="77"/>
        </w:numPr>
        <w:contextualSpacing/>
        <w:jc w:val="both"/>
        <w:rPr>
          <w:rFonts w:ascii="Arial" w:hAnsi="Arial" w:cs="Arial"/>
          <w:sz w:val="20"/>
          <w:lang w:val="es-ES_tradnl"/>
        </w:rPr>
      </w:pPr>
      <w:r w:rsidRPr="00701F32">
        <w:rPr>
          <w:rFonts w:ascii="Arial" w:hAnsi="Arial" w:cs="Arial"/>
          <w:sz w:val="20"/>
          <w:lang w:val="es-ES_tradnl"/>
        </w:rPr>
        <w:t xml:space="preserve">La propia definición del ratio de cobertura de liquidez supone evaluar la capacidad de la Entidad de cubrir sus necesidades de liquidez durante un período de 30 días en el escenario de estrés descripto por el BCRA. El seguimiento de este indicador se realiza en forma diaria, manteniéndose informados semanalmente sobre su evolución al director y a los funcionarios responsables de la liquidez de la Entidad. </w:t>
      </w:r>
    </w:p>
    <w:p w14:paraId="0C2F7C00" w14:textId="77777777" w:rsidR="00EE283D" w:rsidRDefault="00EE283D" w:rsidP="00EE283D">
      <w:pPr>
        <w:numPr>
          <w:ilvl w:val="0"/>
          <w:numId w:val="77"/>
        </w:numPr>
        <w:pBdr>
          <w:top w:val="nil"/>
          <w:left w:val="nil"/>
          <w:bottom w:val="nil"/>
          <w:right w:val="nil"/>
          <w:between w:val="nil"/>
          <w:bar w:val="nil"/>
        </w:pBdr>
        <w:spacing w:before="240" w:after="200"/>
        <w:jc w:val="both"/>
        <w:rPr>
          <w:rFonts w:ascii="Arial" w:eastAsia="Verdana" w:hAnsi="Arial" w:cs="Arial"/>
          <w:sz w:val="20"/>
          <w:lang w:val="es-ES_tradnl"/>
        </w:rPr>
      </w:pPr>
      <w:r w:rsidRPr="00701F32">
        <w:rPr>
          <w:rFonts w:ascii="Arial" w:eastAsia="Verdana" w:hAnsi="Arial" w:cs="Arial"/>
          <w:sz w:val="20"/>
          <w:lang w:val="es-ES_tradnl"/>
        </w:rPr>
        <w:t>Observancia en todo momento del cumplimiento con los límites y umbrales establecidos para el ratio de fondeo estable (NSFR).</w:t>
      </w:r>
    </w:p>
    <w:p w14:paraId="14B4D4AF" w14:textId="77777777" w:rsidR="00EE283D" w:rsidRPr="00701F32" w:rsidRDefault="00EE283D" w:rsidP="00EE283D">
      <w:pPr>
        <w:numPr>
          <w:ilvl w:val="0"/>
          <w:numId w:val="77"/>
        </w:numPr>
        <w:pBdr>
          <w:top w:val="nil"/>
          <w:left w:val="nil"/>
          <w:bottom w:val="nil"/>
          <w:right w:val="nil"/>
          <w:between w:val="nil"/>
          <w:bar w:val="nil"/>
        </w:pBdr>
        <w:spacing w:before="240" w:after="200"/>
        <w:jc w:val="both"/>
        <w:rPr>
          <w:rFonts w:ascii="Arial" w:eastAsia="Verdana" w:hAnsi="Arial" w:cs="Arial"/>
          <w:sz w:val="20"/>
          <w:lang w:val="es-ES_tradnl"/>
        </w:rPr>
      </w:pPr>
      <w:r>
        <w:rPr>
          <w:rFonts w:ascii="Arial" w:eastAsia="Verdana" w:hAnsi="Arial" w:cs="Arial"/>
          <w:sz w:val="20"/>
          <w:lang w:val="es-ES_tradnl"/>
        </w:rPr>
        <w:t>Herramientas de monitoreo de liquidez intradiaria tal como se indicó precedentemente.</w:t>
      </w:r>
    </w:p>
    <w:p w14:paraId="785003E4" w14:textId="77777777" w:rsidR="00EE283D" w:rsidRPr="00701F32" w:rsidRDefault="00EE283D" w:rsidP="00EE283D">
      <w:pPr>
        <w:numPr>
          <w:ilvl w:val="0"/>
          <w:numId w:val="77"/>
        </w:numPr>
        <w:pBdr>
          <w:top w:val="nil"/>
          <w:left w:val="nil"/>
          <w:bottom w:val="nil"/>
          <w:right w:val="nil"/>
          <w:between w:val="nil"/>
          <w:bar w:val="nil"/>
        </w:pBdr>
        <w:spacing w:before="240" w:after="200"/>
        <w:jc w:val="both"/>
        <w:rPr>
          <w:rFonts w:ascii="Arial" w:eastAsia="Arial" w:hAnsi="Arial" w:cs="Arial"/>
          <w:sz w:val="20"/>
          <w:lang w:val="es-ES_tradnl"/>
        </w:rPr>
      </w:pPr>
      <w:r w:rsidRPr="00701F32">
        <w:rPr>
          <w:rFonts w:ascii="Arial" w:hAnsi="Arial" w:cs="Arial"/>
          <w:sz w:val="20"/>
          <w:lang w:val="es-ES_tradnl"/>
        </w:rPr>
        <w:t xml:space="preserve">Pruebas de estrés individuales </w:t>
      </w:r>
      <w:r>
        <w:rPr>
          <w:rFonts w:ascii="Arial" w:hAnsi="Arial" w:cs="Arial"/>
          <w:sz w:val="20"/>
          <w:lang w:val="es-ES_tradnl"/>
        </w:rPr>
        <w:t xml:space="preserve">por moneda relevante </w:t>
      </w:r>
      <w:r w:rsidRPr="00701F32">
        <w:rPr>
          <w:rFonts w:ascii="Arial" w:hAnsi="Arial" w:cs="Arial"/>
          <w:sz w:val="20"/>
          <w:lang w:val="es-ES_tradnl"/>
        </w:rPr>
        <w:t>ejecutadas diariamente</w:t>
      </w:r>
      <w:r>
        <w:rPr>
          <w:rFonts w:ascii="Arial" w:hAnsi="Arial" w:cs="Arial"/>
          <w:sz w:val="20"/>
          <w:lang w:val="es-ES_tradnl"/>
        </w:rPr>
        <w:t>.</w:t>
      </w:r>
      <w:r w:rsidRPr="00701F32">
        <w:rPr>
          <w:rFonts w:ascii="Arial" w:hAnsi="Arial" w:cs="Arial"/>
          <w:sz w:val="20"/>
          <w:lang w:val="es-ES_tradnl"/>
        </w:rPr>
        <w:t xml:space="preserve"> </w:t>
      </w:r>
    </w:p>
    <w:p w14:paraId="30B240DF" w14:textId="77777777" w:rsidR="00EE283D" w:rsidRPr="00701F32" w:rsidRDefault="00EE283D" w:rsidP="00EE283D">
      <w:pPr>
        <w:numPr>
          <w:ilvl w:val="0"/>
          <w:numId w:val="77"/>
        </w:numPr>
        <w:pBdr>
          <w:top w:val="nil"/>
          <w:left w:val="nil"/>
          <w:bottom w:val="nil"/>
          <w:right w:val="nil"/>
          <w:between w:val="nil"/>
          <w:bar w:val="nil"/>
        </w:pBdr>
        <w:jc w:val="both"/>
        <w:rPr>
          <w:rFonts w:ascii="Arial" w:eastAsia="Arial"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En cuanto a los planes de contingencia, la Entidad adopta la política de aplicar sus lineamientos en ejercicios de pruebas de estrés, así como en situaciones en las que la vulneración de umbrales y/o límites así lo ameriten, de acuerdo a la decisión adoptada por el Comité ALCO y validada por el Comité de Dirección de Riesgos Integrales.</w:t>
      </w:r>
    </w:p>
    <w:p w14:paraId="416F709F" w14:textId="77777777" w:rsidR="00EE283D" w:rsidRPr="00701F32" w:rsidRDefault="00EE283D" w:rsidP="00EE283D">
      <w:pPr>
        <w:pBdr>
          <w:top w:val="nil"/>
          <w:left w:val="nil"/>
          <w:bottom w:val="nil"/>
          <w:right w:val="nil"/>
          <w:between w:val="nil"/>
          <w:bar w:val="nil"/>
        </w:pBdr>
        <w:tabs>
          <w:tab w:val="left" w:pos="142"/>
        </w:tabs>
        <w:jc w:val="both"/>
        <w:rPr>
          <w:rFonts w:ascii="Arial" w:eastAsia="Arial" w:hAnsi="Arial" w:cs="Arial"/>
          <w:sz w:val="20"/>
          <w:u w:color="000000"/>
          <w:bdr w:val="nil"/>
          <w:lang w:val="es-ES_tradnl" w:eastAsia="es-AR"/>
        </w:rPr>
      </w:pPr>
    </w:p>
    <w:p w14:paraId="6B4053C8" w14:textId="77777777" w:rsidR="00EE283D" w:rsidRDefault="00EE283D" w:rsidP="00EE283D">
      <w:pPr>
        <w:pBdr>
          <w:top w:val="nil"/>
          <w:left w:val="nil"/>
          <w:bottom w:val="nil"/>
          <w:right w:val="nil"/>
          <w:between w:val="nil"/>
          <w:bar w:val="nil"/>
        </w:pBdr>
        <w:tabs>
          <w:tab w:val="left" w:pos="142"/>
        </w:tabs>
        <w:jc w:val="both"/>
        <w:rPr>
          <w:rFonts w:ascii="Arial" w:eastAsia="Arial Unicode MS" w:hAnsi="Arial" w:cs="Arial"/>
          <w:sz w:val="20"/>
          <w:u w:color="000000"/>
          <w:bdr w:val="nil"/>
          <w:lang w:val="es-ES_tradnl" w:eastAsia="es-AR"/>
        </w:rPr>
      </w:pPr>
      <w:r w:rsidRPr="00701F32">
        <w:rPr>
          <w:rFonts w:ascii="Arial" w:eastAsia="Arial Unicode MS" w:hAnsi="Arial" w:cs="Arial"/>
          <w:sz w:val="20"/>
          <w:u w:color="000000"/>
          <w:bdr w:val="nil"/>
          <w:lang w:val="es-ES_tradnl" w:eastAsia="es-AR"/>
        </w:rPr>
        <w:t>El esquema de gestión de riesgo aquí descripto permite justificar una adecuada situación de liquidez, por lo que la Entidad no considera necesaria la estimación de capital económico para cubrir este riesgo, en la medida en que la solvencia de la Entidad no se vea afectada una vez aplicadas las medidas establecidas en el plan de contingencia de las pruebas de estrés.</w:t>
      </w:r>
    </w:p>
    <w:p w14:paraId="1DDB1F90" w14:textId="77777777" w:rsidR="00EE283D" w:rsidRDefault="00EE283D" w:rsidP="00EE283D">
      <w:pPr>
        <w:pBdr>
          <w:top w:val="nil"/>
          <w:left w:val="nil"/>
          <w:bottom w:val="nil"/>
          <w:right w:val="nil"/>
          <w:between w:val="nil"/>
          <w:bar w:val="nil"/>
        </w:pBdr>
        <w:tabs>
          <w:tab w:val="left" w:pos="142"/>
        </w:tabs>
        <w:jc w:val="both"/>
        <w:rPr>
          <w:rFonts w:ascii="Arial" w:eastAsia="Arial Unicode MS" w:hAnsi="Arial" w:cs="Arial"/>
          <w:sz w:val="20"/>
          <w:u w:color="000000"/>
          <w:bdr w:val="nil"/>
          <w:lang w:val="es-ES_tradnl" w:eastAsia="es-AR"/>
        </w:rPr>
      </w:pPr>
    </w:p>
    <w:p w14:paraId="24857E35" w14:textId="7A568D2F" w:rsidR="002A4D61" w:rsidRDefault="00EE283D" w:rsidP="00EE283D">
      <w:pPr>
        <w:pStyle w:val="Style1"/>
        <w:jc w:val="both"/>
        <w:rPr>
          <w:rFonts w:ascii="Arial" w:hAnsi="Arial" w:cs="Arial"/>
          <w:szCs w:val="20"/>
        </w:rPr>
      </w:pPr>
      <w:r w:rsidRPr="00E446C3">
        <w:rPr>
          <w:rFonts w:ascii="Arial" w:hAnsi="Arial" w:cs="Arial"/>
          <w:szCs w:val="20"/>
        </w:rPr>
        <w:t xml:space="preserve">A continuación se presenta un análisis de los vencimientos de los activos y pasivos, determinados en base al período remanente a la fecha de cierre del ejercicio </w:t>
      </w:r>
      <w:r>
        <w:rPr>
          <w:rFonts w:ascii="Arial" w:hAnsi="Arial" w:cs="Arial"/>
          <w:szCs w:val="20"/>
        </w:rPr>
        <w:t xml:space="preserve">al 31 de diciembre de 2019 y 2018 </w:t>
      </w:r>
      <w:r w:rsidRPr="00E446C3">
        <w:rPr>
          <w:rFonts w:ascii="Arial" w:hAnsi="Arial" w:cs="Arial"/>
          <w:szCs w:val="20"/>
        </w:rPr>
        <w:t>hasta la fecha de vencimiento contractual, en base a los flujos de efectivo no descontados:</w:t>
      </w:r>
    </w:p>
    <w:p w14:paraId="65861C7E" w14:textId="77777777" w:rsidR="00970522" w:rsidRPr="00E446C3" w:rsidRDefault="00970522" w:rsidP="002A4D61">
      <w:pPr>
        <w:pStyle w:val="Style1"/>
        <w:jc w:val="both"/>
        <w:rPr>
          <w:rFonts w:ascii="Arial" w:hAnsi="Arial" w:cs="Arial"/>
          <w:szCs w:val="20"/>
        </w:rPr>
      </w:pPr>
    </w:p>
    <w:tbl>
      <w:tblPr>
        <w:tblW w:w="8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1134"/>
        <w:gridCol w:w="1112"/>
        <w:gridCol w:w="1148"/>
        <w:gridCol w:w="1001"/>
        <w:gridCol w:w="941"/>
        <w:gridCol w:w="1183"/>
      </w:tblGrid>
      <w:tr w:rsidR="00AF7175" w:rsidRPr="00E81452" w14:paraId="76C8A154" w14:textId="77777777" w:rsidTr="006E1AF7">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4D7B5" w14:textId="49EC321E" w:rsidR="00970522" w:rsidRPr="00E446C3" w:rsidRDefault="00970522" w:rsidP="00FF21C0">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AL 31/12/201</w:t>
            </w:r>
            <w:r>
              <w:rPr>
                <w:rFonts w:ascii="Arial" w:hAnsi="Arial" w:cs="Arial"/>
                <w:b/>
                <w:bCs/>
                <w:color w:val="000000"/>
                <w:sz w:val="16"/>
                <w:szCs w:val="16"/>
                <w:lang w:eastAsia="es-AR"/>
              </w:rPr>
              <w:t>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AB41F61" w14:textId="77777777" w:rsidR="00970522" w:rsidRPr="00E446C3" w:rsidRDefault="00970522" w:rsidP="00FF21C0">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Menor a 1 mes</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1B24CA45" w14:textId="77777777" w:rsidR="00970522" w:rsidRPr="00E446C3" w:rsidRDefault="00970522" w:rsidP="00FF21C0">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 a 6 meses</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6D708078" w14:textId="77777777" w:rsidR="00970522" w:rsidRPr="00E446C3" w:rsidRDefault="00970522" w:rsidP="00FF21C0">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6 a 12 meses</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0FFD7FC5" w14:textId="77777777" w:rsidR="00970522" w:rsidRPr="00E446C3" w:rsidRDefault="00970522" w:rsidP="00FF21C0">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12 meses a 5 años</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0B1B6BEE" w14:textId="77777777" w:rsidR="00970522" w:rsidRPr="00E446C3" w:rsidRDefault="00970522" w:rsidP="00FF21C0">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Mayor a 5 años</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36084840" w14:textId="77777777" w:rsidR="00970522" w:rsidRPr="00E446C3" w:rsidRDefault="00970522" w:rsidP="00FF21C0">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Total</w:t>
            </w:r>
          </w:p>
        </w:tc>
      </w:tr>
      <w:tr w:rsidR="003B6D95" w:rsidRPr="00E81452" w14:paraId="5F3E95E1" w14:textId="77777777" w:rsidTr="006E1AF7">
        <w:tc>
          <w:tcPr>
            <w:tcW w:w="2338" w:type="dxa"/>
            <w:tcBorders>
              <w:top w:val="nil"/>
              <w:left w:val="single" w:sz="4" w:space="0" w:color="auto"/>
              <w:bottom w:val="single" w:sz="4" w:space="0" w:color="auto"/>
              <w:right w:val="single" w:sz="4" w:space="0" w:color="auto"/>
            </w:tcBorders>
            <w:shd w:val="clear" w:color="auto" w:fill="auto"/>
            <w:vAlign w:val="center"/>
            <w:hideMark/>
          </w:tcPr>
          <w:p w14:paraId="35A5A4D1" w14:textId="77777777" w:rsidR="003B6D95" w:rsidRPr="00E446C3" w:rsidRDefault="003B6D95" w:rsidP="003B6D95">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Activos</w:t>
            </w:r>
          </w:p>
        </w:tc>
        <w:tc>
          <w:tcPr>
            <w:tcW w:w="1134" w:type="dxa"/>
            <w:tcBorders>
              <w:top w:val="nil"/>
              <w:left w:val="nil"/>
              <w:bottom w:val="single" w:sz="4" w:space="0" w:color="auto"/>
              <w:right w:val="single" w:sz="4" w:space="0" w:color="auto"/>
            </w:tcBorders>
            <w:shd w:val="clear" w:color="auto" w:fill="auto"/>
            <w:vAlign w:val="center"/>
          </w:tcPr>
          <w:p w14:paraId="2EB0B4E7" w14:textId="1C8133C3" w:rsidR="003B6D95" w:rsidRPr="00AF7175" w:rsidRDefault="003B6D95" w:rsidP="003B6D95">
            <w:pPr>
              <w:jc w:val="center"/>
              <w:rPr>
                <w:rFonts w:ascii="Arial" w:hAnsi="Arial" w:cs="Arial"/>
                <w:b/>
                <w:bCs/>
                <w:color w:val="000000"/>
                <w:sz w:val="16"/>
                <w:szCs w:val="16"/>
                <w:lang w:eastAsia="es-AR"/>
              </w:rPr>
            </w:pPr>
            <w:r w:rsidRPr="002C419B">
              <w:rPr>
                <w:rFonts w:ascii="Arial" w:hAnsi="Arial" w:cs="Arial"/>
                <w:b/>
                <w:bCs/>
                <w:color w:val="000000"/>
                <w:sz w:val="16"/>
                <w:szCs w:val="16"/>
              </w:rPr>
              <w:t xml:space="preserve">50.752.209 </w:t>
            </w:r>
          </w:p>
        </w:tc>
        <w:tc>
          <w:tcPr>
            <w:tcW w:w="1112" w:type="dxa"/>
            <w:tcBorders>
              <w:top w:val="nil"/>
              <w:left w:val="nil"/>
              <w:bottom w:val="single" w:sz="4" w:space="0" w:color="auto"/>
              <w:right w:val="single" w:sz="4" w:space="0" w:color="auto"/>
            </w:tcBorders>
            <w:shd w:val="clear" w:color="auto" w:fill="auto"/>
            <w:vAlign w:val="center"/>
          </w:tcPr>
          <w:p w14:paraId="4C18C6A0" w14:textId="23AB8FB7" w:rsidR="003B6D95" w:rsidRPr="00AF7175" w:rsidRDefault="003B6D95" w:rsidP="003B6D95">
            <w:pPr>
              <w:jc w:val="center"/>
              <w:rPr>
                <w:rFonts w:ascii="Arial" w:hAnsi="Arial" w:cs="Arial"/>
                <w:b/>
                <w:bCs/>
                <w:color w:val="000000"/>
                <w:sz w:val="16"/>
                <w:szCs w:val="16"/>
                <w:lang w:eastAsia="es-AR"/>
              </w:rPr>
            </w:pPr>
            <w:r w:rsidRPr="002C419B">
              <w:rPr>
                <w:rFonts w:ascii="Arial" w:hAnsi="Arial" w:cs="Arial"/>
                <w:b/>
                <w:bCs/>
                <w:color w:val="000000"/>
                <w:sz w:val="16"/>
                <w:szCs w:val="16"/>
              </w:rPr>
              <w:t xml:space="preserve">46.272.959 </w:t>
            </w:r>
          </w:p>
        </w:tc>
        <w:tc>
          <w:tcPr>
            <w:tcW w:w="1148" w:type="dxa"/>
            <w:tcBorders>
              <w:top w:val="nil"/>
              <w:left w:val="nil"/>
              <w:bottom w:val="single" w:sz="4" w:space="0" w:color="auto"/>
              <w:right w:val="single" w:sz="4" w:space="0" w:color="auto"/>
            </w:tcBorders>
            <w:shd w:val="clear" w:color="auto" w:fill="auto"/>
            <w:vAlign w:val="center"/>
          </w:tcPr>
          <w:p w14:paraId="6D88D79E" w14:textId="07B52B16" w:rsidR="003B6D95" w:rsidRPr="00AF7175" w:rsidRDefault="003B6D95" w:rsidP="003B6D95">
            <w:pPr>
              <w:jc w:val="center"/>
              <w:rPr>
                <w:rFonts w:ascii="Arial" w:hAnsi="Arial" w:cs="Arial"/>
                <w:b/>
                <w:bCs/>
                <w:color w:val="000000"/>
                <w:sz w:val="16"/>
                <w:szCs w:val="16"/>
                <w:lang w:eastAsia="es-AR"/>
              </w:rPr>
            </w:pPr>
            <w:r w:rsidRPr="002C419B">
              <w:rPr>
                <w:rFonts w:ascii="Arial" w:hAnsi="Arial" w:cs="Arial"/>
                <w:b/>
                <w:bCs/>
                <w:color w:val="000000"/>
                <w:sz w:val="16"/>
                <w:szCs w:val="16"/>
              </w:rPr>
              <w:t xml:space="preserve">33.013.096 </w:t>
            </w:r>
          </w:p>
        </w:tc>
        <w:tc>
          <w:tcPr>
            <w:tcW w:w="1001" w:type="dxa"/>
            <w:tcBorders>
              <w:top w:val="nil"/>
              <w:left w:val="nil"/>
              <w:bottom w:val="single" w:sz="4" w:space="0" w:color="auto"/>
              <w:right w:val="single" w:sz="4" w:space="0" w:color="auto"/>
            </w:tcBorders>
            <w:shd w:val="clear" w:color="auto" w:fill="auto"/>
            <w:vAlign w:val="center"/>
          </w:tcPr>
          <w:p w14:paraId="35C4AD07" w14:textId="4C42A908" w:rsidR="003B6D95" w:rsidRPr="00AF7175" w:rsidRDefault="003B6D95" w:rsidP="003B6D95">
            <w:pPr>
              <w:jc w:val="center"/>
              <w:rPr>
                <w:rFonts w:ascii="Arial" w:hAnsi="Arial" w:cs="Arial"/>
                <w:b/>
                <w:bCs/>
                <w:color w:val="000000"/>
                <w:sz w:val="16"/>
                <w:szCs w:val="16"/>
                <w:lang w:eastAsia="es-AR"/>
              </w:rPr>
            </w:pPr>
            <w:r w:rsidRPr="002C419B">
              <w:rPr>
                <w:rFonts w:ascii="Arial" w:hAnsi="Arial" w:cs="Arial"/>
                <w:b/>
                <w:bCs/>
                <w:color w:val="000000"/>
                <w:sz w:val="16"/>
                <w:szCs w:val="16"/>
              </w:rPr>
              <w:t xml:space="preserve">99.329.157 </w:t>
            </w:r>
          </w:p>
        </w:tc>
        <w:tc>
          <w:tcPr>
            <w:tcW w:w="941" w:type="dxa"/>
            <w:tcBorders>
              <w:top w:val="nil"/>
              <w:left w:val="nil"/>
              <w:bottom w:val="single" w:sz="4" w:space="0" w:color="auto"/>
              <w:right w:val="single" w:sz="4" w:space="0" w:color="auto"/>
            </w:tcBorders>
            <w:shd w:val="clear" w:color="auto" w:fill="auto"/>
            <w:vAlign w:val="center"/>
          </w:tcPr>
          <w:p w14:paraId="552EBD48" w14:textId="345B8108" w:rsidR="003B6D95" w:rsidRPr="00AF7175" w:rsidRDefault="003B6D95" w:rsidP="003B6D95">
            <w:pPr>
              <w:jc w:val="center"/>
              <w:rPr>
                <w:rFonts w:ascii="Arial" w:hAnsi="Arial" w:cs="Arial"/>
                <w:b/>
                <w:bCs/>
                <w:color w:val="000000"/>
                <w:sz w:val="16"/>
                <w:szCs w:val="16"/>
                <w:lang w:eastAsia="es-AR"/>
              </w:rPr>
            </w:pPr>
            <w:r w:rsidRPr="002C419B">
              <w:rPr>
                <w:rFonts w:ascii="Arial" w:hAnsi="Arial" w:cs="Arial"/>
                <w:b/>
                <w:bCs/>
                <w:color w:val="000000"/>
                <w:sz w:val="16"/>
                <w:szCs w:val="16"/>
              </w:rPr>
              <w:t xml:space="preserve">33.914.944 </w:t>
            </w:r>
          </w:p>
        </w:tc>
        <w:tc>
          <w:tcPr>
            <w:tcW w:w="1183" w:type="dxa"/>
            <w:tcBorders>
              <w:top w:val="nil"/>
              <w:left w:val="nil"/>
              <w:bottom w:val="single" w:sz="4" w:space="0" w:color="auto"/>
              <w:right w:val="single" w:sz="4" w:space="0" w:color="auto"/>
            </w:tcBorders>
            <w:shd w:val="clear" w:color="auto" w:fill="auto"/>
            <w:vAlign w:val="center"/>
          </w:tcPr>
          <w:p w14:paraId="7D2067E4" w14:textId="3571E3AD" w:rsidR="003B6D95" w:rsidRPr="00AF7175" w:rsidRDefault="003B6D95" w:rsidP="003B6D95">
            <w:pPr>
              <w:jc w:val="center"/>
              <w:rPr>
                <w:rFonts w:ascii="Arial" w:hAnsi="Arial" w:cs="Arial"/>
                <w:b/>
                <w:bCs/>
                <w:color w:val="000000"/>
                <w:sz w:val="16"/>
                <w:szCs w:val="16"/>
                <w:lang w:eastAsia="es-AR"/>
              </w:rPr>
            </w:pPr>
            <w:r w:rsidRPr="002C419B">
              <w:rPr>
                <w:rFonts w:ascii="Arial" w:hAnsi="Arial" w:cs="Arial"/>
                <w:b/>
                <w:bCs/>
                <w:color w:val="000000"/>
                <w:sz w:val="16"/>
                <w:szCs w:val="16"/>
              </w:rPr>
              <w:t xml:space="preserve">263.282.365 </w:t>
            </w:r>
          </w:p>
        </w:tc>
      </w:tr>
      <w:tr w:rsidR="003B6D95" w:rsidRPr="00E81452" w14:paraId="5E1BC0DB" w14:textId="77777777" w:rsidTr="006E1AF7">
        <w:tc>
          <w:tcPr>
            <w:tcW w:w="2338" w:type="dxa"/>
            <w:tcBorders>
              <w:top w:val="nil"/>
              <w:left w:val="single" w:sz="4" w:space="0" w:color="auto"/>
              <w:bottom w:val="single" w:sz="4" w:space="0" w:color="auto"/>
              <w:right w:val="single" w:sz="4" w:space="0" w:color="auto"/>
            </w:tcBorders>
            <w:shd w:val="clear" w:color="auto" w:fill="auto"/>
            <w:vAlign w:val="center"/>
            <w:hideMark/>
          </w:tcPr>
          <w:p w14:paraId="7F08C2E8" w14:textId="77777777" w:rsidR="003B6D95" w:rsidRPr="00E446C3" w:rsidRDefault="003B6D95" w:rsidP="003B6D95">
            <w:pPr>
              <w:rPr>
                <w:rFonts w:ascii="Arial" w:hAnsi="Arial" w:cs="Arial"/>
                <w:color w:val="000000"/>
                <w:sz w:val="16"/>
                <w:szCs w:val="16"/>
                <w:lang w:eastAsia="es-AR"/>
              </w:rPr>
            </w:pPr>
            <w:r w:rsidRPr="00E446C3">
              <w:rPr>
                <w:rFonts w:ascii="Arial" w:hAnsi="Arial" w:cs="Arial"/>
                <w:color w:val="000000"/>
                <w:sz w:val="16"/>
                <w:szCs w:val="16"/>
                <w:lang w:eastAsia="es-AR"/>
              </w:rPr>
              <w:t>Préstamos y otras financiaciones</w:t>
            </w:r>
          </w:p>
        </w:tc>
        <w:tc>
          <w:tcPr>
            <w:tcW w:w="1134" w:type="dxa"/>
            <w:tcBorders>
              <w:top w:val="nil"/>
              <w:left w:val="nil"/>
              <w:bottom w:val="single" w:sz="4" w:space="0" w:color="auto"/>
              <w:right w:val="single" w:sz="4" w:space="0" w:color="auto"/>
            </w:tcBorders>
            <w:shd w:val="clear" w:color="auto" w:fill="auto"/>
            <w:noWrap/>
            <w:vAlign w:val="bottom"/>
          </w:tcPr>
          <w:p w14:paraId="0E2A4D3F" w14:textId="6D384088" w:rsidR="003B6D95" w:rsidRPr="00AF7175" w:rsidRDefault="003B6D95" w:rsidP="003B6D95">
            <w:pPr>
              <w:jc w:val="right"/>
              <w:rPr>
                <w:rFonts w:ascii="Arial" w:hAnsi="Arial" w:cs="Arial"/>
                <w:color w:val="000000"/>
                <w:sz w:val="16"/>
                <w:szCs w:val="16"/>
                <w:lang w:eastAsia="es-AR"/>
              </w:rPr>
            </w:pPr>
            <w:r w:rsidRPr="002C419B">
              <w:rPr>
                <w:rFonts w:ascii="Arial" w:hAnsi="Arial" w:cs="Arial"/>
                <w:color w:val="000000"/>
                <w:sz w:val="16"/>
                <w:szCs w:val="16"/>
              </w:rPr>
              <w:t xml:space="preserve">50.752.209 </w:t>
            </w:r>
          </w:p>
        </w:tc>
        <w:tc>
          <w:tcPr>
            <w:tcW w:w="1112" w:type="dxa"/>
            <w:tcBorders>
              <w:top w:val="nil"/>
              <w:left w:val="nil"/>
              <w:bottom w:val="single" w:sz="4" w:space="0" w:color="auto"/>
              <w:right w:val="single" w:sz="4" w:space="0" w:color="auto"/>
            </w:tcBorders>
            <w:shd w:val="clear" w:color="auto" w:fill="auto"/>
            <w:noWrap/>
            <w:vAlign w:val="bottom"/>
          </w:tcPr>
          <w:p w14:paraId="07E2333F" w14:textId="221095B2" w:rsidR="003B6D95" w:rsidRPr="00AF7175" w:rsidRDefault="003B6D95" w:rsidP="003B6D95">
            <w:pPr>
              <w:jc w:val="right"/>
              <w:rPr>
                <w:rFonts w:ascii="Arial" w:hAnsi="Arial" w:cs="Arial"/>
                <w:color w:val="000000"/>
                <w:sz w:val="16"/>
                <w:szCs w:val="16"/>
                <w:lang w:eastAsia="es-AR"/>
              </w:rPr>
            </w:pPr>
            <w:r w:rsidRPr="002C419B">
              <w:rPr>
                <w:rFonts w:ascii="Arial" w:hAnsi="Arial" w:cs="Arial"/>
                <w:color w:val="000000"/>
                <w:sz w:val="16"/>
                <w:szCs w:val="16"/>
              </w:rPr>
              <w:t xml:space="preserve">46.272.959 </w:t>
            </w:r>
          </w:p>
        </w:tc>
        <w:tc>
          <w:tcPr>
            <w:tcW w:w="1148" w:type="dxa"/>
            <w:tcBorders>
              <w:top w:val="nil"/>
              <w:left w:val="nil"/>
              <w:bottom w:val="single" w:sz="4" w:space="0" w:color="auto"/>
              <w:right w:val="single" w:sz="4" w:space="0" w:color="auto"/>
            </w:tcBorders>
            <w:shd w:val="clear" w:color="auto" w:fill="auto"/>
            <w:noWrap/>
            <w:vAlign w:val="bottom"/>
          </w:tcPr>
          <w:p w14:paraId="0BD4A4B3" w14:textId="714BA3E7" w:rsidR="003B6D95" w:rsidRPr="00AF7175" w:rsidRDefault="003B6D95" w:rsidP="003B6D95">
            <w:pPr>
              <w:jc w:val="right"/>
              <w:rPr>
                <w:rFonts w:ascii="Arial" w:hAnsi="Arial" w:cs="Arial"/>
                <w:color w:val="000000"/>
                <w:sz w:val="16"/>
                <w:szCs w:val="16"/>
                <w:lang w:eastAsia="es-AR"/>
              </w:rPr>
            </w:pPr>
            <w:r w:rsidRPr="002C419B">
              <w:rPr>
                <w:rFonts w:ascii="Arial" w:hAnsi="Arial" w:cs="Arial"/>
                <w:color w:val="000000"/>
                <w:sz w:val="16"/>
                <w:szCs w:val="16"/>
              </w:rPr>
              <w:t xml:space="preserve">33.013.096 </w:t>
            </w:r>
          </w:p>
        </w:tc>
        <w:tc>
          <w:tcPr>
            <w:tcW w:w="1001" w:type="dxa"/>
            <w:tcBorders>
              <w:top w:val="nil"/>
              <w:left w:val="nil"/>
              <w:bottom w:val="single" w:sz="4" w:space="0" w:color="auto"/>
              <w:right w:val="single" w:sz="4" w:space="0" w:color="auto"/>
            </w:tcBorders>
            <w:shd w:val="clear" w:color="auto" w:fill="auto"/>
            <w:noWrap/>
            <w:vAlign w:val="bottom"/>
          </w:tcPr>
          <w:p w14:paraId="77BF0BF7" w14:textId="7DDBD7BD" w:rsidR="003B6D95" w:rsidRPr="00AF7175" w:rsidRDefault="003B6D95" w:rsidP="003B6D95">
            <w:pPr>
              <w:jc w:val="right"/>
              <w:rPr>
                <w:rFonts w:ascii="Arial" w:hAnsi="Arial" w:cs="Arial"/>
                <w:color w:val="000000"/>
                <w:sz w:val="16"/>
                <w:szCs w:val="16"/>
                <w:lang w:eastAsia="es-AR"/>
              </w:rPr>
            </w:pPr>
            <w:r w:rsidRPr="002C419B">
              <w:rPr>
                <w:rFonts w:ascii="Arial" w:hAnsi="Arial" w:cs="Arial"/>
                <w:color w:val="000000"/>
                <w:sz w:val="16"/>
                <w:szCs w:val="16"/>
              </w:rPr>
              <w:t xml:space="preserve">99.329.157 </w:t>
            </w:r>
          </w:p>
        </w:tc>
        <w:tc>
          <w:tcPr>
            <w:tcW w:w="941" w:type="dxa"/>
            <w:tcBorders>
              <w:top w:val="nil"/>
              <w:left w:val="nil"/>
              <w:bottom w:val="single" w:sz="4" w:space="0" w:color="auto"/>
              <w:right w:val="single" w:sz="4" w:space="0" w:color="auto"/>
            </w:tcBorders>
            <w:shd w:val="clear" w:color="auto" w:fill="auto"/>
            <w:noWrap/>
            <w:vAlign w:val="bottom"/>
          </w:tcPr>
          <w:p w14:paraId="773AF19F" w14:textId="75F0738E" w:rsidR="003B6D95" w:rsidRPr="00AF7175" w:rsidRDefault="003B6D95" w:rsidP="003B6D95">
            <w:pPr>
              <w:jc w:val="right"/>
              <w:rPr>
                <w:rFonts w:ascii="Arial" w:hAnsi="Arial" w:cs="Arial"/>
                <w:color w:val="000000"/>
                <w:sz w:val="16"/>
                <w:szCs w:val="16"/>
                <w:lang w:eastAsia="es-AR"/>
              </w:rPr>
            </w:pPr>
            <w:r w:rsidRPr="002C419B">
              <w:rPr>
                <w:rFonts w:ascii="Arial" w:hAnsi="Arial" w:cs="Arial"/>
                <w:color w:val="000000"/>
                <w:sz w:val="16"/>
                <w:szCs w:val="16"/>
              </w:rPr>
              <w:t xml:space="preserve">33.914.944 </w:t>
            </w:r>
          </w:p>
        </w:tc>
        <w:tc>
          <w:tcPr>
            <w:tcW w:w="1183" w:type="dxa"/>
            <w:tcBorders>
              <w:top w:val="nil"/>
              <w:left w:val="nil"/>
              <w:bottom w:val="single" w:sz="4" w:space="0" w:color="auto"/>
              <w:right w:val="single" w:sz="4" w:space="0" w:color="auto"/>
            </w:tcBorders>
            <w:shd w:val="clear" w:color="auto" w:fill="auto"/>
            <w:noWrap/>
            <w:vAlign w:val="bottom"/>
          </w:tcPr>
          <w:p w14:paraId="2B545A5F" w14:textId="248DFF35" w:rsidR="003B6D95" w:rsidRPr="00AF7175" w:rsidRDefault="003B6D95" w:rsidP="003B6D95">
            <w:pPr>
              <w:jc w:val="right"/>
              <w:rPr>
                <w:rFonts w:ascii="Arial" w:hAnsi="Arial" w:cs="Arial"/>
                <w:color w:val="000000"/>
                <w:sz w:val="16"/>
                <w:szCs w:val="16"/>
                <w:lang w:eastAsia="es-AR"/>
              </w:rPr>
            </w:pPr>
            <w:r w:rsidRPr="002C419B">
              <w:rPr>
                <w:rFonts w:ascii="Arial" w:hAnsi="Arial" w:cs="Arial"/>
                <w:color w:val="000000"/>
                <w:sz w:val="16"/>
                <w:szCs w:val="16"/>
              </w:rPr>
              <w:t xml:space="preserve">263.282.365 </w:t>
            </w:r>
          </w:p>
        </w:tc>
      </w:tr>
      <w:tr w:rsidR="004D5C01" w:rsidRPr="00E81452" w14:paraId="1ADC4173" w14:textId="77777777" w:rsidTr="006E1AF7">
        <w:tc>
          <w:tcPr>
            <w:tcW w:w="2338" w:type="dxa"/>
            <w:tcBorders>
              <w:top w:val="nil"/>
              <w:left w:val="single" w:sz="4" w:space="0" w:color="auto"/>
              <w:bottom w:val="single" w:sz="4" w:space="0" w:color="auto"/>
              <w:right w:val="single" w:sz="4" w:space="0" w:color="auto"/>
            </w:tcBorders>
            <w:shd w:val="clear" w:color="auto" w:fill="auto"/>
            <w:vAlign w:val="center"/>
            <w:hideMark/>
          </w:tcPr>
          <w:p w14:paraId="69C2834C" w14:textId="77777777" w:rsidR="004D5C01" w:rsidRPr="00E446C3" w:rsidRDefault="004D5C01" w:rsidP="004D5C0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Pasivos</w:t>
            </w:r>
          </w:p>
        </w:tc>
        <w:tc>
          <w:tcPr>
            <w:tcW w:w="1134" w:type="dxa"/>
            <w:tcBorders>
              <w:top w:val="nil"/>
              <w:left w:val="nil"/>
              <w:bottom w:val="single" w:sz="4" w:space="0" w:color="auto"/>
              <w:right w:val="single" w:sz="4" w:space="0" w:color="auto"/>
            </w:tcBorders>
            <w:shd w:val="clear" w:color="auto" w:fill="auto"/>
            <w:vAlign w:val="center"/>
          </w:tcPr>
          <w:p w14:paraId="6633F078" w14:textId="4BCC2216" w:rsidR="004D5C01" w:rsidRPr="004D5C01" w:rsidRDefault="004D5C01" w:rsidP="004D5C01">
            <w:pPr>
              <w:jc w:val="right"/>
              <w:rPr>
                <w:rFonts w:ascii="Arial" w:hAnsi="Arial" w:cs="Arial"/>
                <w:b/>
                <w:bCs/>
                <w:color w:val="000000"/>
                <w:sz w:val="16"/>
                <w:szCs w:val="16"/>
                <w:lang w:eastAsia="es-AR"/>
              </w:rPr>
            </w:pPr>
            <w:r w:rsidRPr="006E1AF7">
              <w:rPr>
                <w:rFonts w:ascii="Arial" w:hAnsi="Arial" w:cs="Arial"/>
                <w:b/>
                <w:bCs/>
                <w:color w:val="000000"/>
                <w:sz w:val="16"/>
                <w:szCs w:val="16"/>
              </w:rPr>
              <w:t>91.319.026</w:t>
            </w:r>
          </w:p>
        </w:tc>
        <w:tc>
          <w:tcPr>
            <w:tcW w:w="1112" w:type="dxa"/>
            <w:tcBorders>
              <w:top w:val="nil"/>
              <w:left w:val="nil"/>
              <w:bottom w:val="single" w:sz="4" w:space="0" w:color="auto"/>
              <w:right w:val="single" w:sz="4" w:space="0" w:color="auto"/>
            </w:tcBorders>
            <w:shd w:val="clear" w:color="auto" w:fill="auto"/>
            <w:vAlign w:val="center"/>
          </w:tcPr>
          <w:p w14:paraId="719D2114" w14:textId="6F24BACD" w:rsidR="004D5C01" w:rsidRPr="006E1AF7" w:rsidRDefault="004D5C01" w:rsidP="004D5C01">
            <w:pPr>
              <w:jc w:val="right"/>
              <w:rPr>
                <w:rFonts w:ascii="Arial" w:hAnsi="Arial" w:cs="Arial"/>
                <w:b/>
                <w:bCs/>
                <w:color w:val="000000"/>
                <w:sz w:val="16"/>
                <w:szCs w:val="16"/>
              </w:rPr>
            </w:pPr>
            <w:r w:rsidRPr="006E1AF7">
              <w:rPr>
                <w:rFonts w:ascii="Arial" w:hAnsi="Arial" w:cs="Arial"/>
                <w:b/>
                <w:bCs/>
                <w:color w:val="000000"/>
                <w:sz w:val="16"/>
                <w:szCs w:val="16"/>
              </w:rPr>
              <w:t>16.166.194</w:t>
            </w:r>
          </w:p>
        </w:tc>
        <w:tc>
          <w:tcPr>
            <w:tcW w:w="1148" w:type="dxa"/>
            <w:tcBorders>
              <w:top w:val="nil"/>
              <w:left w:val="nil"/>
              <w:bottom w:val="single" w:sz="4" w:space="0" w:color="auto"/>
              <w:right w:val="single" w:sz="4" w:space="0" w:color="auto"/>
            </w:tcBorders>
            <w:shd w:val="clear" w:color="auto" w:fill="auto"/>
            <w:vAlign w:val="center"/>
          </w:tcPr>
          <w:p w14:paraId="340AF547" w14:textId="1ED11CFA" w:rsidR="004D5C01" w:rsidRPr="006E1AF7" w:rsidRDefault="004D5C01" w:rsidP="004D5C01">
            <w:pPr>
              <w:jc w:val="right"/>
              <w:rPr>
                <w:rFonts w:ascii="Arial" w:hAnsi="Arial" w:cs="Arial"/>
                <w:b/>
                <w:bCs/>
                <w:color w:val="000000"/>
                <w:sz w:val="16"/>
                <w:szCs w:val="16"/>
              </w:rPr>
            </w:pPr>
            <w:r w:rsidRPr="006E1AF7">
              <w:rPr>
                <w:rFonts w:ascii="Arial" w:hAnsi="Arial" w:cs="Arial"/>
                <w:b/>
                <w:bCs/>
                <w:color w:val="000000"/>
                <w:sz w:val="16"/>
                <w:szCs w:val="16"/>
              </w:rPr>
              <w:t>5.367.399</w:t>
            </w:r>
          </w:p>
        </w:tc>
        <w:tc>
          <w:tcPr>
            <w:tcW w:w="1001" w:type="dxa"/>
            <w:tcBorders>
              <w:top w:val="nil"/>
              <w:left w:val="nil"/>
              <w:bottom w:val="single" w:sz="4" w:space="0" w:color="auto"/>
              <w:right w:val="single" w:sz="4" w:space="0" w:color="auto"/>
            </w:tcBorders>
            <w:shd w:val="clear" w:color="auto" w:fill="auto"/>
            <w:vAlign w:val="center"/>
          </w:tcPr>
          <w:p w14:paraId="237065C2" w14:textId="6759E86A" w:rsidR="004D5C01" w:rsidRPr="006E1AF7" w:rsidRDefault="004D5C01" w:rsidP="004D5C01">
            <w:pPr>
              <w:jc w:val="right"/>
              <w:rPr>
                <w:rFonts w:ascii="Arial" w:hAnsi="Arial" w:cs="Arial"/>
                <w:b/>
                <w:bCs/>
                <w:color w:val="000000"/>
                <w:sz w:val="16"/>
                <w:szCs w:val="16"/>
              </w:rPr>
            </w:pPr>
            <w:r w:rsidRPr="006E1AF7">
              <w:rPr>
                <w:rFonts w:ascii="Arial" w:hAnsi="Arial" w:cs="Arial"/>
                <w:b/>
                <w:bCs/>
                <w:color w:val="000000"/>
                <w:sz w:val="16"/>
                <w:szCs w:val="16"/>
              </w:rPr>
              <w:t>6.459.431</w:t>
            </w:r>
          </w:p>
        </w:tc>
        <w:tc>
          <w:tcPr>
            <w:tcW w:w="941" w:type="dxa"/>
            <w:tcBorders>
              <w:top w:val="nil"/>
              <w:left w:val="nil"/>
              <w:bottom w:val="single" w:sz="4" w:space="0" w:color="auto"/>
              <w:right w:val="single" w:sz="4" w:space="0" w:color="auto"/>
            </w:tcBorders>
            <w:shd w:val="clear" w:color="auto" w:fill="auto"/>
            <w:noWrap/>
            <w:vAlign w:val="bottom"/>
          </w:tcPr>
          <w:p w14:paraId="29FC8976" w14:textId="5BDD9C1E" w:rsidR="004D5C01" w:rsidRPr="006E1AF7" w:rsidRDefault="004D5C01" w:rsidP="004D5C01">
            <w:pPr>
              <w:jc w:val="right"/>
              <w:rPr>
                <w:rFonts w:ascii="Arial" w:hAnsi="Arial" w:cs="Arial"/>
                <w:b/>
                <w:bCs/>
                <w:color w:val="000000"/>
                <w:sz w:val="16"/>
                <w:szCs w:val="16"/>
              </w:rPr>
            </w:pPr>
            <w:r w:rsidRPr="006E1AF7">
              <w:rPr>
                <w:rFonts w:ascii="Arial" w:hAnsi="Arial" w:cs="Arial"/>
                <w:b/>
                <w:bCs/>
                <w:color w:val="000000"/>
                <w:sz w:val="16"/>
                <w:szCs w:val="16"/>
              </w:rPr>
              <w:t xml:space="preserve">- </w:t>
            </w:r>
          </w:p>
        </w:tc>
        <w:tc>
          <w:tcPr>
            <w:tcW w:w="1183" w:type="dxa"/>
            <w:tcBorders>
              <w:top w:val="nil"/>
              <w:left w:val="nil"/>
              <w:bottom w:val="single" w:sz="4" w:space="0" w:color="auto"/>
              <w:right w:val="single" w:sz="4" w:space="0" w:color="auto"/>
            </w:tcBorders>
            <w:shd w:val="clear" w:color="auto" w:fill="auto"/>
            <w:vAlign w:val="center"/>
          </w:tcPr>
          <w:p w14:paraId="5832405E" w14:textId="243E9D82" w:rsidR="004D5C01" w:rsidRPr="006E1AF7" w:rsidRDefault="004D5C01" w:rsidP="004D5C01">
            <w:pPr>
              <w:jc w:val="right"/>
              <w:rPr>
                <w:rFonts w:ascii="Arial" w:hAnsi="Arial" w:cs="Arial"/>
                <w:b/>
                <w:bCs/>
                <w:color w:val="000000"/>
                <w:sz w:val="16"/>
                <w:szCs w:val="16"/>
              </w:rPr>
            </w:pPr>
            <w:r w:rsidRPr="006E1AF7">
              <w:rPr>
                <w:rFonts w:ascii="Arial" w:hAnsi="Arial" w:cs="Arial"/>
                <w:b/>
                <w:bCs/>
                <w:color w:val="000000"/>
                <w:sz w:val="16"/>
                <w:szCs w:val="16"/>
              </w:rPr>
              <w:t>119.312.050</w:t>
            </w:r>
          </w:p>
        </w:tc>
      </w:tr>
      <w:tr w:rsidR="004D5C01" w:rsidRPr="00E81452" w14:paraId="1984916F" w14:textId="77777777" w:rsidTr="006E1AF7">
        <w:tc>
          <w:tcPr>
            <w:tcW w:w="2338" w:type="dxa"/>
            <w:tcBorders>
              <w:top w:val="nil"/>
              <w:left w:val="single" w:sz="4" w:space="0" w:color="auto"/>
              <w:bottom w:val="single" w:sz="4" w:space="0" w:color="auto"/>
              <w:right w:val="single" w:sz="4" w:space="0" w:color="auto"/>
            </w:tcBorders>
            <w:shd w:val="clear" w:color="auto" w:fill="auto"/>
            <w:vAlign w:val="center"/>
            <w:hideMark/>
          </w:tcPr>
          <w:p w14:paraId="0EC79074" w14:textId="77777777" w:rsidR="004D5C01" w:rsidRPr="00E446C3" w:rsidRDefault="004D5C01" w:rsidP="004D5C01">
            <w:pPr>
              <w:rPr>
                <w:rFonts w:ascii="Arial" w:hAnsi="Arial" w:cs="Arial"/>
                <w:color w:val="000000"/>
                <w:sz w:val="16"/>
                <w:szCs w:val="16"/>
                <w:lang w:eastAsia="es-AR"/>
              </w:rPr>
            </w:pPr>
            <w:r w:rsidRPr="00E446C3">
              <w:rPr>
                <w:rFonts w:ascii="Arial" w:hAnsi="Arial" w:cs="Arial"/>
                <w:color w:val="000000"/>
                <w:sz w:val="16"/>
                <w:szCs w:val="16"/>
                <w:lang w:eastAsia="es-AR"/>
              </w:rPr>
              <w:t>Depósitos</w:t>
            </w:r>
          </w:p>
        </w:tc>
        <w:tc>
          <w:tcPr>
            <w:tcW w:w="1134" w:type="dxa"/>
            <w:tcBorders>
              <w:top w:val="nil"/>
              <w:left w:val="nil"/>
              <w:bottom w:val="single" w:sz="4" w:space="0" w:color="auto"/>
              <w:right w:val="single" w:sz="4" w:space="0" w:color="auto"/>
            </w:tcBorders>
            <w:shd w:val="clear" w:color="auto" w:fill="auto"/>
            <w:noWrap/>
            <w:vAlign w:val="bottom"/>
          </w:tcPr>
          <w:p w14:paraId="18FD640C" w14:textId="1062732F" w:rsidR="004D5C01" w:rsidRPr="004D5C01" w:rsidRDefault="004D5C01" w:rsidP="004D5C01">
            <w:pPr>
              <w:jc w:val="right"/>
              <w:rPr>
                <w:rFonts w:ascii="Arial" w:hAnsi="Arial" w:cs="Arial"/>
                <w:color w:val="000000"/>
                <w:sz w:val="16"/>
                <w:szCs w:val="16"/>
                <w:lang w:eastAsia="es-AR"/>
              </w:rPr>
            </w:pPr>
            <w:r w:rsidRPr="006E1AF7">
              <w:rPr>
                <w:rFonts w:ascii="Arial" w:hAnsi="Arial" w:cs="Arial"/>
                <w:color w:val="000000"/>
                <w:sz w:val="16"/>
                <w:szCs w:val="16"/>
              </w:rPr>
              <w:t xml:space="preserve">78.367.076 </w:t>
            </w:r>
          </w:p>
        </w:tc>
        <w:tc>
          <w:tcPr>
            <w:tcW w:w="1112" w:type="dxa"/>
            <w:tcBorders>
              <w:top w:val="nil"/>
              <w:left w:val="nil"/>
              <w:bottom w:val="single" w:sz="4" w:space="0" w:color="auto"/>
              <w:right w:val="single" w:sz="4" w:space="0" w:color="auto"/>
            </w:tcBorders>
            <w:shd w:val="clear" w:color="auto" w:fill="auto"/>
            <w:noWrap/>
            <w:vAlign w:val="bottom"/>
          </w:tcPr>
          <w:p w14:paraId="4BF3D2C9" w14:textId="3A75AFB8" w:rsidR="004D5C01" w:rsidRPr="004D5C01" w:rsidRDefault="004D5C01" w:rsidP="004D5C01">
            <w:pPr>
              <w:jc w:val="right"/>
              <w:rPr>
                <w:rFonts w:ascii="Arial" w:hAnsi="Arial" w:cs="Arial"/>
                <w:color w:val="000000"/>
                <w:sz w:val="16"/>
                <w:szCs w:val="16"/>
                <w:lang w:eastAsia="es-AR"/>
              </w:rPr>
            </w:pPr>
            <w:r w:rsidRPr="006E1AF7">
              <w:rPr>
                <w:rFonts w:ascii="Arial" w:hAnsi="Arial" w:cs="Arial"/>
                <w:color w:val="000000"/>
                <w:sz w:val="16"/>
                <w:szCs w:val="16"/>
              </w:rPr>
              <w:t xml:space="preserve">11.629.074 </w:t>
            </w:r>
          </w:p>
        </w:tc>
        <w:tc>
          <w:tcPr>
            <w:tcW w:w="1148" w:type="dxa"/>
            <w:tcBorders>
              <w:top w:val="nil"/>
              <w:left w:val="nil"/>
              <w:bottom w:val="single" w:sz="4" w:space="0" w:color="auto"/>
              <w:right w:val="single" w:sz="4" w:space="0" w:color="auto"/>
            </w:tcBorders>
            <w:shd w:val="clear" w:color="auto" w:fill="auto"/>
            <w:noWrap/>
            <w:vAlign w:val="bottom"/>
          </w:tcPr>
          <w:p w14:paraId="63EA4C39" w14:textId="53CADEFC" w:rsidR="004D5C01" w:rsidRPr="004D5C01" w:rsidRDefault="004D5C01" w:rsidP="004D5C01">
            <w:pPr>
              <w:jc w:val="right"/>
              <w:rPr>
                <w:rFonts w:ascii="Arial" w:hAnsi="Arial" w:cs="Arial"/>
                <w:color w:val="000000"/>
                <w:sz w:val="16"/>
                <w:szCs w:val="16"/>
                <w:lang w:eastAsia="es-AR"/>
              </w:rPr>
            </w:pPr>
            <w:r w:rsidRPr="006E1AF7">
              <w:rPr>
                <w:rFonts w:ascii="Arial" w:hAnsi="Arial" w:cs="Arial"/>
                <w:color w:val="000000"/>
                <w:sz w:val="16"/>
                <w:szCs w:val="16"/>
              </w:rPr>
              <w:t xml:space="preserve">479.308 </w:t>
            </w:r>
          </w:p>
        </w:tc>
        <w:tc>
          <w:tcPr>
            <w:tcW w:w="1001" w:type="dxa"/>
            <w:tcBorders>
              <w:top w:val="nil"/>
              <w:left w:val="nil"/>
              <w:bottom w:val="single" w:sz="4" w:space="0" w:color="auto"/>
              <w:right w:val="single" w:sz="4" w:space="0" w:color="auto"/>
            </w:tcBorders>
            <w:shd w:val="clear" w:color="auto" w:fill="auto"/>
            <w:noWrap/>
            <w:vAlign w:val="bottom"/>
          </w:tcPr>
          <w:p w14:paraId="2E7B136E" w14:textId="33C6E9F2" w:rsidR="004D5C01" w:rsidRPr="004D5C01" w:rsidRDefault="004D5C01" w:rsidP="004D5C01">
            <w:pPr>
              <w:jc w:val="right"/>
              <w:rPr>
                <w:rFonts w:ascii="Arial" w:hAnsi="Arial" w:cs="Arial"/>
                <w:color w:val="000000"/>
                <w:sz w:val="16"/>
                <w:szCs w:val="16"/>
                <w:lang w:eastAsia="es-AR"/>
              </w:rPr>
            </w:pPr>
            <w:r w:rsidRPr="006E1AF7">
              <w:rPr>
                <w:rFonts w:ascii="Arial" w:hAnsi="Arial" w:cs="Arial"/>
                <w:color w:val="000000"/>
                <w:sz w:val="16"/>
                <w:szCs w:val="16"/>
              </w:rPr>
              <w:t xml:space="preserve">2.245 </w:t>
            </w:r>
          </w:p>
        </w:tc>
        <w:tc>
          <w:tcPr>
            <w:tcW w:w="941" w:type="dxa"/>
            <w:tcBorders>
              <w:top w:val="nil"/>
              <w:left w:val="nil"/>
              <w:bottom w:val="single" w:sz="4" w:space="0" w:color="auto"/>
              <w:right w:val="single" w:sz="4" w:space="0" w:color="auto"/>
            </w:tcBorders>
            <w:shd w:val="clear" w:color="auto" w:fill="auto"/>
            <w:noWrap/>
            <w:vAlign w:val="bottom"/>
          </w:tcPr>
          <w:p w14:paraId="42A52BF1" w14:textId="1D5C04FB" w:rsidR="004D5C01" w:rsidRPr="004D5C01" w:rsidRDefault="004D5C01" w:rsidP="004D5C01">
            <w:pPr>
              <w:jc w:val="right"/>
              <w:rPr>
                <w:rFonts w:ascii="Arial" w:hAnsi="Arial" w:cs="Arial"/>
                <w:color w:val="000000"/>
                <w:sz w:val="16"/>
                <w:szCs w:val="16"/>
                <w:lang w:eastAsia="es-AR"/>
              </w:rPr>
            </w:pPr>
            <w:r w:rsidRPr="006E1AF7">
              <w:rPr>
                <w:rFonts w:ascii="Arial" w:hAnsi="Arial" w:cs="Arial"/>
                <w:color w:val="000000"/>
                <w:sz w:val="16"/>
                <w:szCs w:val="16"/>
              </w:rPr>
              <w:t xml:space="preserve">- </w:t>
            </w:r>
          </w:p>
        </w:tc>
        <w:tc>
          <w:tcPr>
            <w:tcW w:w="1183" w:type="dxa"/>
            <w:tcBorders>
              <w:top w:val="nil"/>
              <w:left w:val="nil"/>
              <w:bottom w:val="single" w:sz="4" w:space="0" w:color="auto"/>
              <w:right w:val="single" w:sz="4" w:space="0" w:color="auto"/>
            </w:tcBorders>
            <w:shd w:val="clear" w:color="auto" w:fill="auto"/>
            <w:noWrap/>
            <w:vAlign w:val="bottom"/>
          </w:tcPr>
          <w:p w14:paraId="5593933E" w14:textId="6C2FDCAF" w:rsidR="004D5C01" w:rsidRPr="004D5C01" w:rsidRDefault="004D5C01" w:rsidP="004D5C01">
            <w:pPr>
              <w:jc w:val="right"/>
              <w:rPr>
                <w:rFonts w:ascii="Arial" w:hAnsi="Arial" w:cs="Arial"/>
                <w:color w:val="000000"/>
                <w:sz w:val="16"/>
                <w:szCs w:val="16"/>
                <w:lang w:eastAsia="es-AR"/>
              </w:rPr>
            </w:pPr>
            <w:r w:rsidRPr="006E1AF7">
              <w:rPr>
                <w:rFonts w:ascii="Arial" w:hAnsi="Arial" w:cs="Arial"/>
                <w:color w:val="000000"/>
                <w:sz w:val="16"/>
                <w:szCs w:val="16"/>
              </w:rPr>
              <w:t xml:space="preserve">90.477.703 </w:t>
            </w:r>
          </w:p>
        </w:tc>
      </w:tr>
      <w:tr w:rsidR="004D5C01" w:rsidRPr="00E81452" w14:paraId="3BB6978A" w14:textId="77777777" w:rsidTr="006E1AF7">
        <w:tc>
          <w:tcPr>
            <w:tcW w:w="2338" w:type="dxa"/>
            <w:tcBorders>
              <w:top w:val="nil"/>
              <w:left w:val="single" w:sz="4" w:space="0" w:color="auto"/>
              <w:bottom w:val="single" w:sz="4" w:space="0" w:color="auto"/>
              <w:right w:val="single" w:sz="4" w:space="0" w:color="auto"/>
            </w:tcBorders>
            <w:shd w:val="clear" w:color="auto" w:fill="auto"/>
            <w:vAlign w:val="center"/>
            <w:hideMark/>
          </w:tcPr>
          <w:p w14:paraId="0DCC15FC" w14:textId="77777777" w:rsidR="004D5C01" w:rsidRPr="00E446C3" w:rsidRDefault="004D5C01" w:rsidP="004D5C01">
            <w:pPr>
              <w:rPr>
                <w:rFonts w:ascii="Arial" w:hAnsi="Arial" w:cs="Arial"/>
                <w:color w:val="000000"/>
                <w:sz w:val="16"/>
                <w:szCs w:val="16"/>
                <w:lang w:eastAsia="es-AR"/>
              </w:rPr>
            </w:pPr>
            <w:r w:rsidRPr="00E446C3">
              <w:rPr>
                <w:rFonts w:ascii="Arial" w:hAnsi="Arial" w:cs="Arial"/>
                <w:color w:val="000000"/>
                <w:sz w:val="16"/>
                <w:szCs w:val="16"/>
                <w:lang w:eastAsia="es-AR"/>
              </w:rPr>
              <w:t>Pasivos a valor razonable con cambios en resultado</w:t>
            </w:r>
          </w:p>
        </w:tc>
        <w:tc>
          <w:tcPr>
            <w:tcW w:w="1134" w:type="dxa"/>
            <w:tcBorders>
              <w:top w:val="nil"/>
              <w:left w:val="nil"/>
              <w:bottom w:val="single" w:sz="4" w:space="0" w:color="auto"/>
              <w:right w:val="single" w:sz="4" w:space="0" w:color="auto"/>
            </w:tcBorders>
            <w:shd w:val="clear" w:color="auto" w:fill="auto"/>
            <w:noWrap/>
            <w:vAlign w:val="bottom"/>
          </w:tcPr>
          <w:p w14:paraId="69742309" w14:textId="35E0150A"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133.300 </w:t>
            </w:r>
          </w:p>
        </w:tc>
        <w:tc>
          <w:tcPr>
            <w:tcW w:w="1112" w:type="dxa"/>
            <w:tcBorders>
              <w:top w:val="nil"/>
              <w:left w:val="nil"/>
              <w:bottom w:val="single" w:sz="4" w:space="0" w:color="auto"/>
              <w:right w:val="single" w:sz="4" w:space="0" w:color="auto"/>
            </w:tcBorders>
            <w:shd w:val="clear" w:color="auto" w:fill="auto"/>
            <w:noWrap/>
            <w:vAlign w:val="bottom"/>
          </w:tcPr>
          <w:p w14:paraId="2770FCD8" w14:textId="78F6F161"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148" w:type="dxa"/>
            <w:tcBorders>
              <w:top w:val="nil"/>
              <w:left w:val="nil"/>
              <w:bottom w:val="single" w:sz="4" w:space="0" w:color="auto"/>
              <w:right w:val="single" w:sz="4" w:space="0" w:color="auto"/>
            </w:tcBorders>
            <w:shd w:val="clear" w:color="auto" w:fill="auto"/>
            <w:noWrap/>
            <w:vAlign w:val="bottom"/>
          </w:tcPr>
          <w:p w14:paraId="34A0A583" w14:textId="1FDAE61D"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001" w:type="dxa"/>
            <w:tcBorders>
              <w:top w:val="nil"/>
              <w:left w:val="nil"/>
              <w:bottom w:val="single" w:sz="4" w:space="0" w:color="auto"/>
              <w:right w:val="single" w:sz="4" w:space="0" w:color="auto"/>
            </w:tcBorders>
            <w:shd w:val="clear" w:color="auto" w:fill="auto"/>
            <w:noWrap/>
            <w:vAlign w:val="bottom"/>
          </w:tcPr>
          <w:p w14:paraId="11FA7187" w14:textId="3573200F"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941" w:type="dxa"/>
            <w:tcBorders>
              <w:top w:val="nil"/>
              <w:left w:val="nil"/>
              <w:bottom w:val="single" w:sz="4" w:space="0" w:color="auto"/>
              <w:right w:val="single" w:sz="4" w:space="0" w:color="auto"/>
            </w:tcBorders>
            <w:shd w:val="clear" w:color="auto" w:fill="auto"/>
            <w:noWrap/>
            <w:vAlign w:val="bottom"/>
          </w:tcPr>
          <w:p w14:paraId="4FE200D7" w14:textId="00B61B6F"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183" w:type="dxa"/>
            <w:tcBorders>
              <w:top w:val="nil"/>
              <w:left w:val="nil"/>
              <w:bottom w:val="single" w:sz="4" w:space="0" w:color="auto"/>
              <w:right w:val="single" w:sz="4" w:space="0" w:color="auto"/>
            </w:tcBorders>
            <w:shd w:val="clear" w:color="auto" w:fill="auto"/>
            <w:noWrap/>
            <w:vAlign w:val="bottom"/>
          </w:tcPr>
          <w:p w14:paraId="2C4705CF" w14:textId="74394B34"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133.300 </w:t>
            </w:r>
          </w:p>
        </w:tc>
      </w:tr>
      <w:tr w:rsidR="004D5C01" w:rsidRPr="00E81452" w14:paraId="7AD691E7" w14:textId="77777777" w:rsidTr="00AF7175">
        <w:tc>
          <w:tcPr>
            <w:tcW w:w="2338" w:type="dxa"/>
            <w:tcBorders>
              <w:top w:val="nil"/>
              <w:left w:val="single" w:sz="4" w:space="0" w:color="auto"/>
              <w:bottom w:val="single" w:sz="4" w:space="0" w:color="auto"/>
              <w:right w:val="single" w:sz="4" w:space="0" w:color="auto"/>
            </w:tcBorders>
            <w:shd w:val="clear" w:color="auto" w:fill="auto"/>
            <w:vAlign w:val="center"/>
          </w:tcPr>
          <w:p w14:paraId="04B9DDA6" w14:textId="2FBC340C" w:rsidR="004D5C01" w:rsidRPr="00E446C3" w:rsidRDefault="004D5C01" w:rsidP="004D5C01">
            <w:pPr>
              <w:rPr>
                <w:rFonts w:ascii="Arial" w:hAnsi="Arial" w:cs="Arial"/>
                <w:color w:val="000000"/>
                <w:sz w:val="16"/>
                <w:szCs w:val="16"/>
                <w:lang w:eastAsia="es-AR"/>
              </w:rPr>
            </w:pPr>
            <w:r>
              <w:rPr>
                <w:rFonts w:ascii="Arial" w:hAnsi="Arial" w:cs="Arial"/>
                <w:color w:val="000000"/>
                <w:sz w:val="16"/>
                <w:szCs w:val="16"/>
                <w:lang w:eastAsia="es-AR"/>
              </w:rPr>
              <w:t xml:space="preserve">Operaciones de pases </w:t>
            </w:r>
          </w:p>
        </w:tc>
        <w:tc>
          <w:tcPr>
            <w:tcW w:w="1134" w:type="dxa"/>
            <w:tcBorders>
              <w:top w:val="nil"/>
              <w:left w:val="nil"/>
              <w:bottom w:val="single" w:sz="4" w:space="0" w:color="auto"/>
              <w:right w:val="single" w:sz="4" w:space="0" w:color="auto"/>
            </w:tcBorders>
            <w:shd w:val="clear" w:color="auto" w:fill="auto"/>
            <w:noWrap/>
            <w:vAlign w:val="bottom"/>
          </w:tcPr>
          <w:p w14:paraId="6978D9EE" w14:textId="55070F56"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240.493 </w:t>
            </w:r>
          </w:p>
        </w:tc>
        <w:tc>
          <w:tcPr>
            <w:tcW w:w="1112" w:type="dxa"/>
            <w:tcBorders>
              <w:top w:val="nil"/>
              <w:left w:val="nil"/>
              <w:bottom w:val="single" w:sz="4" w:space="0" w:color="auto"/>
              <w:right w:val="single" w:sz="4" w:space="0" w:color="auto"/>
            </w:tcBorders>
            <w:shd w:val="clear" w:color="auto" w:fill="auto"/>
            <w:noWrap/>
            <w:vAlign w:val="bottom"/>
          </w:tcPr>
          <w:p w14:paraId="5C4D7B3E" w14:textId="0AE4436B"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148" w:type="dxa"/>
            <w:tcBorders>
              <w:top w:val="nil"/>
              <w:left w:val="nil"/>
              <w:bottom w:val="single" w:sz="4" w:space="0" w:color="auto"/>
              <w:right w:val="single" w:sz="4" w:space="0" w:color="auto"/>
            </w:tcBorders>
            <w:shd w:val="clear" w:color="auto" w:fill="auto"/>
            <w:noWrap/>
            <w:vAlign w:val="bottom"/>
          </w:tcPr>
          <w:p w14:paraId="237DD610" w14:textId="71FB05EF"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001" w:type="dxa"/>
            <w:tcBorders>
              <w:top w:val="nil"/>
              <w:left w:val="nil"/>
              <w:bottom w:val="single" w:sz="4" w:space="0" w:color="auto"/>
              <w:right w:val="single" w:sz="4" w:space="0" w:color="auto"/>
            </w:tcBorders>
            <w:shd w:val="clear" w:color="auto" w:fill="auto"/>
            <w:noWrap/>
            <w:vAlign w:val="bottom"/>
          </w:tcPr>
          <w:p w14:paraId="2D89E3CD" w14:textId="461F8627"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941" w:type="dxa"/>
            <w:tcBorders>
              <w:top w:val="nil"/>
              <w:left w:val="nil"/>
              <w:bottom w:val="single" w:sz="4" w:space="0" w:color="auto"/>
              <w:right w:val="single" w:sz="4" w:space="0" w:color="auto"/>
            </w:tcBorders>
            <w:shd w:val="clear" w:color="auto" w:fill="auto"/>
            <w:noWrap/>
            <w:vAlign w:val="bottom"/>
          </w:tcPr>
          <w:p w14:paraId="1DF50DF6" w14:textId="426A6866"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183" w:type="dxa"/>
            <w:tcBorders>
              <w:top w:val="nil"/>
              <w:left w:val="nil"/>
              <w:bottom w:val="single" w:sz="4" w:space="0" w:color="auto"/>
              <w:right w:val="single" w:sz="4" w:space="0" w:color="auto"/>
            </w:tcBorders>
            <w:shd w:val="clear" w:color="auto" w:fill="auto"/>
            <w:noWrap/>
            <w:vAlign w:val="bottom"/>
          </w:tcPr>
          <w:p w14:paraId="5D254BB7" w14:textId="0733EFEB"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240.493 </w:t>
            </w:r>
          </w:p>
        </w:tc>
      </w:tr>
      <w:tr w:rsidR="004D5C01" w:rsidRPr="00E81452" w14:paraId="7C33AC81" w14:textId="77777777" w:rsidTr="006E1AF7">
        <w:tc>
          <w:tcPr>
            <w:tcW w:w="2338" w:type="dxa"/>
            <w:tcBorders>
              <w:top w:val="nil"/>
              <w:left w:val="single" w:sz="4" w:space="0" w:color="auto"/>
              <w:bottom w:val="single" w:sz="4" w:space="0" w:color="auto"/>
              <w:right w:val="single" w:sz="4" w:space="0" w:color="auto"/>
            </w:tcBorders>
            <w:shd w:val="clear" w:color="auto" w:fill="auto"/>
            <w:vAlign w:val="center"/>
            <w:hideMark/>
          </w:tcPr>
          <w:p w14:paraId="53040A19" w14:textId="77777777" w:rsidR="004D5C01" w:rsidRPr="00E446C3" w:rsidRDefault="004D5C01" w:rsidP="004D5C01">
            <w:pPr>
              <w:rPr>
                <w:rFonts w:ascii="Arial" w:hAnsi="Arial" w:cs="Arial"/>
                <w:color w:val="000000"/>
                <w:sz w:val="16"/>
                <w:szCs w:val="16"/>
                <w:lang w:eastAsia="es-AR"/>
              </w:rPr>
            </w:pPr>
            <w:r w:rsidRPr="00E446C3">
              <w:rPr>
                <w:rFonts w:ascii="Arial" w:hAnsi="Arial" w:cs="Arial"/>
                <w:color w:val="000000"/>
                <w:sz w:val="16"/>
                <w:szCs w:val="16"/>
                <w:lang w:eastAsia="es-AR"/>
              </w:rPr>
              <w:t>Otros pasivos financieros</w:t>
            </w:r>
          </w:p>
        </w:tc>
        <w:tc>
          <w:tcPr>
            <w:tcW w:w="1134" w:type="dxa"/>
            <w:tcBorders>
              <w:top w:val="nil"/>
              <w:left w:val="nil"/>
              <w:bottom w:val="single" w:sz="4" w:space="0" w:color="auto"/>
              <w:right w:val="single" w:sz="4" w:space="0" w:color="auto"/>
            </w:tcBorders>
            <w:shd w:val="clear" w:color="auto" w:fill="auto"/>
            <w:noWrap/>
            <w:vAlign w:val="bottom"/>
          </w:tcPr>
          <w:p w14:paraId="5D044C01" w14:textId="684BC259"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5.180.702 </w:t>
            </w:r>
          </w:p>
        </w:tc>
        <w:tc>
          <w:tcPr>
            <w:tcW w:w="1112" w:type="dxa"/>
            <w:tcBorders>
              <w:top w:val="nil"/>
              <w:left w:val="nil"/>
              <w:bottom w:val="single" w:sz="4" w:space="0" w:color="auto"/>
              <w:right w:val="single" w:sz="4" w:space="0" w:color="auto"/>
            </w:tcBorders>
            <w:shd w:val="clear" w:color="auto" w:fill="auto"/>
            <w:noWrap/>
            <w:vAlign w:val="bottom"/>
          </w:tcPr>
          <w:p w14:paraId="08E4A3EC" w14:textId="68719460"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244.789 </w:t>
            </w:r>
          </w:p>
        </w:tc>
        <w:tc>
          <w:tcPr>
            <w:tcW w:w="1148" w:type="dxa"/>
            <w:tcBorders>
              <w:top w:val="nil"/>
              <w:left w:val="nil"/>
              <w:bottom w:val="single" w:sz="4" w:space="0" w:color="auto"/>
              <w:right w:val="single" w:sz="4" w:space="0" w:color="auto"/>
            </w:tcBorders>
            <w:shd w:val="clear" w:color="auto" w:fill="auto"/>
            <w:noWrap/>
            <w:vAlign w:val="bottom"/>
          </w:tcPr>
          <w:p w14:paraId="46715B3E" w14:textId="4A2652F5"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208.698 </w:t>
            </w:r>
          </w:p>
        </w:tc>
        <w:tc>
          <w:tcPr>
            <w:tcW w:w="1001" w:type="dxa"/>
            <w:tcBorders>
              <w:top w:val="nil"/>
              <w:left w:val="nil"/>
              <w:bottom w:val="single" w:sz="4" w:space="0" w:color="auto"/>
              <w:right w:val="single" w:sz="4" w:space="0" w:color="auto"/>
            </w:tcBorders>
            <w:shd w:val="clear" w:color="auto" w:fill="auto"/>
            <w:noWrap/>
            <w:vAlign w:val="bottom"/>
          </w:tcPr>
          <w:p w14:paraId="05C63072" w14:textId="08CFDAE7"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810.366 </w:t>
            </w:r>
          </w:p>
        </w:tc>
        <w:tc>
          <w:tcPr>
            <w:tcW w:w="941" w:type="dxa"/>
            <w:tcBorders>
              <w:top w:val="nil"/>
              <w:left w:val="nil"/>
              <w:bottom w:val="single" w:sz="4" w:space="0" w:color="auto"/>
              <w:right w:val="single" w:sz="4" w:space="0" w:color="auto"/>
            </w:tcBorders>
            <w:shd w:val="clear" w:color="auto" w:fill="auto"/>
            <w:noWrap/>
            <w:vAlign w:val="bottom"/>
          </w:tcPr>
          <w:p w14:paraId="1F3D2D81" w14:textId="064E4D2D"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183" w:type="dxa"/>
            <w:tcBorders>
              <w:top w:val="nil"/>
              <w:left w:val="nil"/>
              <w:bottom w:val="single" w:sz="4" w:space="0" w:color="auto"/>
              <w:right w:val="single" w:sz="4" w:space="0" w:color="auto"/>
            </w:tcBorders>
            <w:shd w:val="clear" w:color="auto" w:fill="auto"/>
            <w:noWrap/>
            <w:vAlign w:val="bottom"/>
          </w:tcPr>
          <w:p w14:paraId="09076829" w14:textId="0C2A51BD"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6.444.555 </w:t>
            </w:r>
          </w:p>
        </w:tc>
      </w:tr>
      <w:tr w:rsidR="004D5C01" w:rsidRPr="00E81452" w14:paraId="46A3336B" w14:textId="77777777" w:rsidTr="006E1AF7">
        <w:tc>
          <w:tcPr>
            <w:tcW w:w="2338" w:type="dxa"/>
            <w:tcBorders>
              <w:top w:val="nil"/>
              <w:left w:val="single" w:sz="4" w:space="0" w:color="auto"/>
              <w:bottom w:val="single" w:sz="4" w:space="0" w:color="auto"/>
              <w:right w:val="single" w:sz="4" w:space="0" w:color="auto"/>
            </w:tcBorders>
            <w:shd w:val="clear" w:color="auto" w:fill="auto"/>
            <w:vAlign w:val="center"/>
            <w:hideMark/>
          </w:tcPr>
          <w:p w14:paraId="656DD93B" w14:textId="77777777" w:rsidR="004D5C01" w:rsidRPr="00E446C3" w:rsidRDefault="004D5C01" w:rsidP="004D5C01">
            <w:pPr>
              <w:rPr>
                <w:rFonts w:ascii="Arial" w:hAnsi="Arial" w:cs="Arial"/>
                <w:color w:val="000000"/>
                <w:sz w:val="16"/>
                <w:szCs w:val="16"/>
                <w:lang w:eastAsia="es-AR"/>
              </w:rPr>
            </w:pPr>
            <w:r w:rsidRPr="00E446C3">
              <w:rPr>
                <w:rFonts w:ascii="Arial" w:hAnsi="Arial" w:cs="Arial"/>
                <w:color w:val="000000"/>
                <w:sz w:val="16"/>
                <w:szCs w:val="16"/>
                <w:lang w:eastAsia="es-AR"/>
              </w:rPr>
              <w:t>Financiaciones recibidas del BCRA y otras instituciones financieras</w:t>
            </w:r>
          </w:p>
        </w:tc>
        <w:tc>
          <w:tcPr>
            <w:tcW w:w="1134" w:type="dxa"/>
            <w:tcBorders>
              <w:top w:val="nil"/>
              <w:left w:val="nil"/>
              <w:bottom w:val="single" w:sz="4" w:space="0" w:color="auto"/>
              <w:right w:val="single" w:sz="4" w:space="0" w:color="auto"/>
            </w:tcBorders>
            <w:shd w:val="clear" w:color="auto" w:fill="auto"/>
            <w:noWrap/>
            <w:vAlign w:val="bottom"/>
          </w:tcPr>
          <w:p w14:paraId="42339CC0" w14:textId="496B1CD1"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7.397.455 </w:t>
            </w:r>
          </w:p>
        </w:tc>
        <w:tc>
          <w:tcPr>
            <w:tcW w:w="1112" w:type="dxa"/>
            <w:tcBorders>
              <w:top w:val="nil"/>
              <w:left w:val="nil"/>
              <w:bottom w:val="single" w:sz="4" w:space="0" w:color="auto"/>
              <w:right w:val="single" w:sz="4" w:space="0" w:color="auto"/>
            </w:tcBorders>
            <w:shd w:val="clear" w:color="auto" w:fill="auto"/>
            <w:noWrap/>
            <w:vAlign w:val="bottom"/>
          </w:tcPr>
          <w:p w14:paraId="5111564E" w14:textId="283CAAC5"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1.169.424 </w:t>
            </w:r>
          </w:p>
        </w:tc>
        <w:tc>
          <w:tcPr>
            <w:tcW w:w="1148" w:type="dxa"/>
            <w:tcBorders>
              <w:top w:val="nil"/>
              <w:left w:val="nil"/>
              <w:bottom w:val="single" w:sz="4" w:space="0" w:color="auto"/>
              <w:right w:val="single" w:sz="4" w:space="0" w:color="auto"/>
            </w:tcBorders>
            <w:shd w:val="clear" w:color="auto" w:fill="auto"/>
            <w:noWrap/>
            <w:vAlign w:val="bottom"/>
          </w:tcPr>
          <w:p w14:paraId="2128BF09" w14:textId="77CD4655"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355.116 </w:t>
            </w:r>
          </w:p>
        </w:tc>
        <w:tc>
          <w:tcPr>
            <w:tcW w:w="1001" w:type="dxa"/>
            <w:tcBorders>
              <w:top w:val="nil"/>
              <w:left w:val="nil"/>
              <w:bottom w:val="single" w:sz="4" w:space="0" w:color="auto"/>
              <w:right w:val="single" w:sz="4" w:space="0" w:color="auto"/>
            </w:tcBorders>
            <w:shd w:val="clear" w:color="auto" w:fill="auto"/>
            <w:noWrap/>
            <w:vAlign w:val="bottom"/>
          </w:tcPr>
          <w:p w14:paraId="333587CC" w14:textId="1D150D95"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912.434 </w:t>
            </w:r>
          </w:p>
        </w:tc>
        <w:tc>
          <w:tcPr>
            <w:tcW w:w="941" w:type="dxa"/>
            <w:tcBorders>
              <w:top w:val="nil"/>
              <w:left w:val="nil"/>
              <w:bottom w:val="single" w:sz="4" w:space="0" w:color="auto"/>
              <w:right w:val="single" w:sz="4" w:space="0" w:color="auto"/>
            </w:tcBorders>
            <w:shd w:val="clear" w:color="auto" w:fill="auto"/>
            <w:noWrap/>
            <w:vAlign w:val="bottom"/>
          </w:tcPr>
          <w:p w14:paraId="27A77A8C" w14:textId="420132B0"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183" w:type="dxa"/>
            <w:tcBorders>
              <w:top w:val="nil"/>
              <w:left w:val="nil"/>
              <w:bottom w:val="single" w:sz="4" w:space="0" w:color="auto"/>
              <w:right w:val="single" w:sz="4" w:space="0" w:color="auto"/>
            </w:tcBorders>
            <w:shd w:val="clear" w:color="auto" w:fill="auto"/>
            <w:noWrap/>
            <w:vAlign w:val="bottom"/>
          </w:tcPr>
          <w:p w14:paraId="5F1513BD" w14:textId="5007E074"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9.834.429 </w:t>
            </w:r>
          </w:p>
        </w:tc>
      </w:tr>
      <w:tr w:rsidR="004D5C01" w:rsidRPr="00E81452" w14:paraId="0D8AB0B6" w14:textId="77777777" w:rsidTr="006E1AF7">
        <w:tc>
          <w:tcPr>
            <w:tcW w:w="2338" w:type="dxa"/>
            <w:tcBorders>
              <w:top w:val="nil"/>
              <w:left w:val="single" w:sz="4" w:space="0" w:color="auto"/>
              <w:bottom w:val="single" w:sz="4" w:space="0" w:color="auto"/>
              <w:right w:val="single" w:sz="4" w:space="0" w:color="auto"/>
            </w:tcBorders>
            <w:shd w:val="clear" w:color="auto" w:fill="auto"/>
            <w:vAlign w:val="center"/>
            <w:hideMark/>
          </w:tcPr>
          <w:p w14:paraId="7DF87013" w14:textId="77777777" w:rsidR="004D5C01" w:rsidRPr="00E446C3" w:rsidRDefault="004D5C01" w:rsidP="004D5C01">
            <w:pPr>
              <w:rPr>
                <w:rFonts w:ascii="Arial" w:hAnsi="Arial" w:cs="Arial"/>
                <w:color w:val="000000"/>
                <w:sz w:val="16"/>
                <w:szCs w:val="16"/>
                <w:lang w:eastAsia="es-AR"/>
              </w:rPr>
            </w:pPr>
            <w:r w:rsidRPr="00E446C3">
              <w:rPr>
                <w:rFonts w:ascii="Arial" w:hAnsi="Arial" w:cs="Arial"/>
                <w:color w:val="000000"/>
                <w:sz w:val="16"/>
                <w:szCs w:val="16"/>
                <w:lang w:eastAsia="es-AR"/>
              </w:rPr>
              <w:t>Obligaciones negociables emitidas</w:t>
            </w:r>
          </w:p>
        </w:tc>
        <w:tc>
          <w:tcPr>
            <w:tcW w:w="1134" w:type="dxa"/>
            <w:tcBorders>
              <w:top w:val="nil"/>
              <w:left w:val="nil"/>
              <w:bottom w:val="single" w:sz="4" w:space="0" w:color="auto"/>
              <w:right w:val="single" w:sz="4" w:space="0" w:color="auto"/>
            </w:tcBorders>
            <w:shd w:val="clear" w:color="auto" w:fill="auto"/>
            <w:noWrap/>
            <w:vAlign w:val="bottom"/>
          </w:tcPr>
          <w:p w14:paraId="3EF091CC" w14:textId="384DE00E"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112" w:type="dxa"/>
            <w:tcBorders>
              <w:top w:val="nil"/>
              <w:left w:val="nil"/>
              <w:bottom w:val="single" w:sz="4" w:space="0" w:color="auto"/>
              <w:right w:val="single" w:sz="4" w:space="0" w:color="auto"/>
            </w:tcBorders>
            <w:shd w:val="clear" w:color="auto" w:fill="auto"/>
            <w:noWrap/>
            <w:vAlign w:val="bottom"/>
          </w:tcPr>
          <w:p w14:paraId="2E16138E" w14:textId="79FE0C0D"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3.074.692 </w:t>
            </w:r>
          </w:p>
        </w:tc>
        <w:tc>
          <w:tcPr>
            <w:tcW w:w="1148" w:type="dxa"/>
            <w:tcBorders>
              <w:top w:val="nil"/>
              <w:left w:val="nil"/>
              <w:bottom w:val="single" w:sz="4" w:space="0" w:color="auto"/>
              <w:right w:val="single" w:sz="4" w:space="0" w:color="auto"/>
            </w:tcBorders>
            <w:shd w:val="clear" w:color="auto" w:fill="auto"/>
            <w:noWrap/>
            <w:vAlign w:val="bottom"/>
          </w:tcPr>
          <w:p w14:paraId="1FF8FD43" w14:textId="73FA3F1D"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2.871.655 </w:t>
            </w:r>
          </w:p>
        </w:tc>
        <w:tc>
          <w:tcPr>
            <w:tcW w:w="1001" w:type="dxa"/>
            <w:tcBorders>
              <w:top w:val="nil"/>
              <w:left w:val="nil"/>
              <w:bottom w:val="single" w:sz="4" w:space="0" w:color="auto"/>
              <w:right w:val="single" w:sz="4" w:space="0" w:color="auto"/>
            </w:tcBorders>
            <w:shd w:val="clear" w:color="auto" w:fill="auto"/>
            <w:noWrap/>
            <w:vAlign w:val="bottom"/>
          </w:tcPr>
          <w:p w14:paraId="2E18C28A" w14:textId="52E3C63C"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3.872.201 </w:t>
            </w:r>
          </w:p>
        </w:tc>
        <w:tc>
          <w:tcPr>
            <w:tcW w:w="941" w:type="dxa"/>
            <w:tcBorders>
              <w:top w:val="nil"/>
              <w:left w:val="nil"/>
              <w:bottom w:val="single" w:sz="4" w:space="0" w:color="auto"/>
              <w:right w:val="single" w:sz="4" w:space="0" w:color="auto"/>
            </w:tcBorders>
            <w:shd w:val="clear" w:color="auto" w:fill="auto"/>
            <w:noWrap/>
            <w:vAlign w:val="bottom"/>
          </w:tcPr>
          <w:p w14:paraId="06EC01C0" w14:textId="279874AC"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183" w:type="dxa"/>
            <w:tcBorders>
              <w:top w:val="nil"/>
              <w:left w:val="nil"/>
              <w:bottom w:val="single" w:sz="4" w:space="0" w:color="auto"/>
              <w:right w:val="single" w:sz="4" w:space="0" w:color="auto"/>
            </w:tcBorders>
            <w:shd w:val="clear" w:color="auto" w:fill="auto"/>
            <w:noWrap/>
            <w:vAlign w:val="bottom"/>
          </w:tcPr>
          <w:p w14:paraId="270BDF85" w14:textId="6401D848"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9.818.548 </w:t>
            </w:r>
          </w:p>
        </w:tc>
      </w:tr>
      <w:tr w:rsidR="004D5C01" w:rsidRPr="00E81452" w14:paraId="6E8D6A05" w14:textId="77777777" w:rsidTr="006E1AF7">
        <w:tc>
          <w:tcPr>
            <w:tcW w:w="2338" w:type="dxa"/>
            <w:tcBorders>
              <w:top w:val="nil"/>
              <w:left w:val="single" w:sz="4" w:space="0" w:color="auto"/>
              <w:bottom w:val="single" w:sz="4" w:space="0" w:color="auto"/>
              <w:right w:val="single" w:sz="4" w:space="0" w:color="auto"/>
            </w:tcBorders>
            <w:shd w:val="clear" w:color="auto" w:fill="auto"/>
            <w:vAlign w:val="center"/>
            <w:hideMark/>
          </w:tcPr>
          <w:p w14:paraId="1CA9DCDC" w14:textId="77777777" w:rsidR="004D5C01" w:rsidRPr="00E446C3" w:rsidRDefault="004D5C01" w:rsidP="004D5C01">
            <w:pPr>
              <w:rPr>
                <w:rFonts w:ascii="Arial" w:hAnsi="Arial" w:cs="Arial"/>
                <w:color w:val="000000"/>
                <w:sz w:val="16"/>
                <w:szCs w:val="16"/>
                <w:lang w:eastAsia="es-AR"/>
              </w:rPr>
            </w:pPr>
            <w:r w:rsidRPr="00E446C3">
              <w:rPr>
                <w:rFonts w:ascii="Arial" w:hAnsi="Arial" w:cs="Arial"/>
                <w:color w:val="000000"/>
                <w:sz w:val="16"/>
                <w:szCs w:val="16"/>
                <w:lang w:eastAsia="es-AR"/>
              </w:rPr>
              <w:t>Obligaciones negociables subordinadas</w:t>
            </w:r>
          </w:p>
        </w:tc>
        <w:tc>
          <w:tcPr>
            <w:tcW w:w="1134" w:type="dxa"/>
            <w:tcBorders>
              <w:top w:val="nil"/>
              <w:left w:val="nil"/>
              <w:bottom w:val="single" w:sz="4" w:space="0" w:color="auto"/>
              <w:right w:val="single" w:sz="4" w:space="0" w:color="auto"/>
            </w:tcBorders>
            <w:shd w:val="clear" w:color="auto" w:fill="auto"/>
            <w:noWrap/>
            <w:vAlign w:val="bottom"/>
          </w:tcPr>
          <w:p w14:paraId="3B8A93E0" w14:textId="7F10F55D"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112" w:type="dxa"/>
            <w:tcBorders>
              <w:top w:val="nil"/>
              <w:left w:val="nil"/>
              <w:bottom w:val="single" w:sz="4" w:space="0" w:color="auto"/>
              <w:right w:val="single" w:sz="4" w:space="0" w:color="auto"/>
            </w:tcBorders>
            <w:shd w:val="clear" w:color="auto" w:fill="auto"/>
            <w:noWrap/>
            <w:vAlign w:val="bottom"/>
          </w:tcPr>
          <w:p w14:paraId="4E57DBCE" w14:textId="09D1B2A0"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48.215 </w:t>
            </w:r>
          </w:p>
        </w:tc>
        <w:tc>
          <w:tcPr>
            <w:tcW w:w="1148" w:type="dxa"/>
            <w:tcBorders>
              <w:top w:val="nil"/>
              <w:left w:val="nil"/>
              <w:bottom w:val="single" w:sz="4" w:space="0" w:color="auto"/>
              <w:right w:val="single" w:sz="4" w:space="0" w:color="auto"/>
            </w:tcBorders>
            <w:shd w:val="clear" w:color="auto" w:fill="auto"/>
            <w:noWrap/>
            <w:vAlign w:val="bottom"/>
          </w:tcPr>
          <w:p w14:paraId="1B98491A" w14:textId="3EAC0FAD"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1.452.622 </w:t>
            </w:r>
          </w:p>
        </w:tc>
        <w:tc>
          <w:tcPr>
            <w:tcW w:w="1001" w:type="dxa"/>
            <w:tcBorders>
              <w:top w:val="nil"/>
              <w:left w:val="nil"/>
              <w:bottom w:val="single" w:sz="4" w:space="0" w:color="auto"/>
              <w:right w:val="single" w:sz="4" w:space="0" w:color="auto"/>
            </w:tcBorders>
            <w:shd w:val="clear" w:color="auto" w:fill="auto"/>
            <w:noWrap/>
            <w:vAlign w:val="bottom"/>
          </w:tcPr>
          <w:p w14:paraId="3C392710" w14:textId="26504C2C"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862.185 </w:t>
            </w:r>
          </w:p>
        </w:tc>
        <w:tc>
          <w:tcPr>
            <w:tcW w:w="941" w:type="dxa"/>
            <w:tcBorders>
              <w:top w:val="nil"/>
              <w:left w:val="nil"/>
              <w:bottom w:val="single" w:sz="4" w:space="0" w:color="auto"/>
              <w:right w:val="single" w:sz="4" w:space="0" w:color="auto"/>
            </w:tcBorders>
            <w:shd w:val="clear" w:color="auto" w:fill="auto"/>
            <w:noWrap/>
            <w:vAlign w:val="bottom"/>
          </w:tcPr>
          <w:p w14:paraId="779C68A0" w14:textId="62E86351"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 </w:t>
            </w:r>
          </w:p>
        </w:tc>
        <w:tc>
          <w:tcPr>
            <w:tcW w:w="1183" w:type="dxa"/>
            <w:tcBorders>
              <w:top w:val="nil"/>
              <w:left w:val="nil"/>
              <w:bottom w:val="single" w:sz="4" w:space="0" w:color="auto"/>
              <w:right w:val="single" w:sz="4" w:space="0" w:color="auto"/>
            </w:tcBorders>
            <w:shd w:val="clear" w:color="auto" w:fill="auto"/>
            <w:noWrap/>
            <w:vAlign w:val="bottom"/>
          </w:tcPr>
          <w:p w14:paraId="4666BDD5" w14:textId="429E3FD6" w:rsidR="004D5C01" w:rsidRPr="004D5C01" w:rsidRDefault="004D5C01" w:rsidP="004D5C01">
            <w:pPr>
              <w:jc w:val="right"/>
              <w:rPr>
                <w:rFonts w:ascii="Arial" w:hAnsi="Arial" w:cs="Arial"/>
                <w:color w:val="000000"/>
                <w:sz w:val="16"/>
                <w:szCs w:val="16"/>
              </w:rPr>
            </w:pPr>
            <w:r w:rsidRPr="006E1AF7">
              <w:rPr>
                <w:rFonts w:ascii="Arial" w:hAnsi="Arial" w:cs="Arial"/>
                <w:color w:val="000000"/>
                <w:sz w:val="16"/>
                <w:szCs w:val="16"/>
              </w:rPr>
              <w:t xml:space="preserve">2.363.022 </w:t>
            </w:r>
          </w:p>
        </w:tc>
      </w:tr>
    </w:tbl>
    <w:p w14:paraId="68EFB7A3" w14:textId="77777777" w:rsidR="00970522" w:rsidRPr="00691D6F" w:rsidRDefault="00970522" w:rsidP="002A4D61">
      <w:pPr>
        <w:pStyle w:val="Style1"/>
        <w:jc w:val="both"/>
        <w:rPr>
          <w:rFonts w:asciiTheme="majorHAnsi" w:hAnsiTheme="majorHAnsi" w:cstheme="minorHAnsi"/>
          <w:szCs w:val="20"/>
          <w:highlight w:val="yellow"/>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1085"/>
        <w:gridCol w:w="1126"/>
        <w:gridCol w:w="1081"/>
        <w:gridCol w:w="1081"/>
        <w:gridCol w:w="1081"/>
        <w:gridCol w:w="1186"/>
      </w:tblGrid>
      <w:tr w:rsidR="002A4D61" w:rsidRPr="00E81452" w14:paraId="70178F7A" w14:textId="77777777" w:rsidTr="00A059FB">
        <w:trPr>
          <w:trHeight w:val="668"/>
          <w:tblHeader/>
        </w:trPr>
        <w:tc>
          <w:tcPr>
            <w:tcW w:w="12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2AC233" w14:textId="77777777" w:rsidR="002A4D61" w:rsidRPr="00E446C3" w:rsidRDefault="002A4D61"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AL 31/12/2018</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0D68EBC8" w14:textId="77777777" w:rsidR="002A4D61" w:rsidRPr="00E446C3" w:rsidRDefault="002A4D61"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Menor a 1 mes</w:t>
            </w:r>
          </w:p>
        </w:tc>
        <w:tc>
          <w:tcPr>
            <w:tcW w:w="631" w:type="pct"/>
            <w:tcBorders>
              <w:top w:val="single" w:sz="4" w:space="0" w:color="auto"/>
              <w:left w:val="nil"/>
              <w:bottom w:val="single" w:sz="4" w:space="0" w:color="auto"/>
              <w:right w:val="single" w:sz="4" w:space="0" w:color="auto"/>
            </w:tcBorders>
            <w:shd w:val="clear" w:color="auto" w:fill="auto"/>
            <w:vAlign w:val="center"/>
            <w:hideMark/>
          </w:tcPr>
          <w:p w14:paraId="0D2A158D" w14:textId="77777777" w:rsidR="002A4D61" w:rsidRPr="00E446C3" w:rsidRDefault="002A4D61"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 a 6 meses</w:t>
            </w:r>
          </w:p>
        </w:tc>
        <w:tc>
          <w:tcPr>
            <w:tcW w:w="606" w:type="pct"/>
            <w:tcBorders>
              <w:top w:val="single" w:sz="4" w:space="0" w:color="auto"/>
              <w:left w:val="nil"/>
              <w:bottom w:val="single" w:sz="4" w:space="0" w:color="auto"/>
              <w:right w:val="single" w:sz="4" w:space="0" w:color="auto"/>
            </w:tcBorders>
            <w:shd w:val="clear" w:color="auto" w:fill="auto"/>
            <w:vAlign w:val="center"/>
            <w:hideMark/>
          </w:tcPr>
          <w:p w14:paraId="2289770D" w14:textId="77777777" w:rsidR="002A4D61" w:rsidRPr="00E446C3" w:rsidRDefault="002A4D61"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6 a 12 meses</w:t>
            </w:r>
          </w:p>
        </w:tc>
        <w:tc>
          <w:tcPr>
            <w:tcW w:w="606" w:type="pct"/>
            <w:tcBorders>
              <w:top w:val="single" w:sz="4" w:space="0" w:color="auto"/>
              <w:left w:val="nil"/>
              <w:bottom w:val="single" w:sz="4" w:space="0" w:color="auto"/>
              <w:right w:val="single" w:sz="4" w:space="0" w:color="auto"/>
            </w:tcBorders>
            <w:shd w:val="clear" w:color="auto" w:fill="auto"/>
            <w:vAlign w:val="center"/>
            <w:hideMark/>
          </w:tcPr>
          <w:p w14:paraId="0EA8E360" w14:textId="77777777" w:rsidR="002A4D61" w:rsidRPr="00E446C3" w:rsidRDefault="002A4D61"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De 12 meses a 5 años</w:t>
            </w:r>
          </w:p>
        </w:tc>
        <w:tc>
          <w:tcPr>
            <w:tcW w:w="606" w:type="pct"/>
            <w:tcBorders>
              <w:top w:val="single" w:sz="4" w:space="0" w:color="auto"/>
              <w:left w:val="nil"/>
              <w:bottom w:val="single" w:sz="4" w:space="0" w:color="auto"/>
              <w:right w:val="single" w:sz="4" w:space="0" w:color="auto"/>
            </w:tcBorders>
            <w:shd w:val="clear" w:color="auto" w:fill="auto"/>
            <w:vAlign w:val="center"/>
            <w:hideMark/>
          </w:tcPr>
          <w:p w14:paraId="00278F74" w14:textId="77777777" w:rsidR="002A4D61" w:rsidRPr="00E446C3" w:rsidRDefault="002A4D61"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Mayor a 5 años</w:t>
            </w:r>
          </w:p>
        </w:tc>
        <w:tc>
          <w:tcPr>
            <w:tcW w:w="665" w:type="pct"/>
            <w:tcBorders>
              <w:top w:val="single" w:sz="4" w:space="0" w:color="auto"/>
              <w:left w:val="nil"/>
              <w:bottom w:val="single" w:sz="4" w:space="0" w:color="auto"/>
              <w:right w:val="single" w:sz="4" w:space="0" w:color="auto"/>
            </w:tcBorders>
            <w:shd w:val="clear" w:color="auto" w:fill="auto"/>
            <w:vAlign w:val="center"/>
            <w:hideMark/>
          </w:tcPr>
          <w:p w14:paraId="08B703C0" w14:textId="77777777" w:rsidR="002A4D61" w:rsidRPr="00E446C3" w:rsidRDefault="002A4D61"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Total</w:t>
            </w:r>
          </w:p>
        </w:tc>
      </w:tr>
      <w:tr w:rsidR="002A4D61" w:rsidRPr="00E81452" w14:paraId="184F7F55" w14:textId="77777777" w:rsidTr="00D34184">
        <w:trPr>
          <w:trHeight w:val="261"/>
        </w:trPr>
        <w:tc>
          <w:tcPr>
            <w:tcW w:w="1278" w:type="pct"/>
            <w:tcBorders>
              <w:top w:val="nil"/>
              <w:left w:val="single" w:sz="4" w:space="0" w:color="auto"/>
              <w:bottom w:val="single" w:sz="4" w:space="0" w:color="auto"/>
              <w:right w:val="single" w:sz="4" w:space="0" w:color="auto"/>
            </w:tcBorders>
            <w:shd w:val="clear" w:color="auto" w:fill="auto"/>
            <w:vAlign w:val="center"/>
            <w:hideMark/>
          </w:tcPr>
          <w:p w14:paraId="154469B4" w14:textId="77777777" w:rsidR="002A4D61" w:rsidRPr="00E446C3" w:rsidRDefault="002A4D61"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Activos</w:t>
            </w:r>
          </w:p>
        </w:tc>
        <w:tc>
          <w:tcPr>
            <w:tcW w:w="608" w:type="pct"/>
            <w:tcBorders>
              <w:top w:val="nil"/>
              <w:left w:val="nil"/>
              <w:bottom w:val="single" w:sz="4" w:space="0" w:color="auto"/>
              <w:right w:val="single" w:sz="4" w:space="0" w:color="auto"/>
            </w:tcBorders>
            <w:shd w:val="clear" w:color="auto" w:fill="auto"/>
            <w:vAlign w:val="bottom"/>
            <w:hideMark/>
          </w:tcPr>
          <w:p w14:paraId="7C97DDB4" w14:textId="77777777" w:rsidR="002A4D61" w:rsidRPr="00E446C3" w:rsidRDefault="002A4D61" w:rsidP="00D34184">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37.667.284 </w:t>
            </w:r>
          </w:p>
        </w:tc>
        <w:tc>
          <w:tcPr>
            <w:tcW w:w="631" w:type="pct"/>
            <w:tcBorders>
              <w:top w:val="nil"/>
              <w:left w:val="nil"/>
              <w:bottom w:val="single" w:sz="4" w:space="0" w:color="auto"/>
              <w:right w:val="single" w:sz="4" w:space="0" w:color="auto"/>
            </w:tcBorders>
            <w:shd w:val="clear" w:color="auto" w:fill="auto"/>
            <w:vAlign w:val="bottom"/>
            <w:hideMark/>
          </w:tcPr>
          <w:p w14:paraId="69212EE2" w14:textId="77777777" w:rsidR="002A4D61" w:rsidRPr="00E446C3" w:rsidRDefault="002A4D61" w:rsidP="00D34184">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34.353.389 </w:t>
            </w:r>
          </w:p>
        </w:tc>
        <w:tc>
          <w:tcPr>
            <w:tcW w:w="606" w:type="pct"/>
            <w:tcBorders>
              <w:top w:val="nil"/>
              <w:left w:val="nil"/>
              <w:bottom w:val="single" w:sz="4" w:space="0" w:color="auto"/>
              <w:right w:val="single" w:sz="4" w:space="0" w:color="auto"/>
            </w:tcBorders>
            <w:shd w:val="clear" w:color="auto" w:fill="auto"/>
            <w:vAlign w:val="bottom"/>
            <w:hideMark/>
          </w:tcPr>
          <w:p w14:paraId="391094E7" w14:textId="77777777" w:rsidR="002A4D61" w:rsidRPr="00E446C3" w:rsidRDefault="002A4D61" w:rsidP="00D34184">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14.742.068 </w:t>
            </w:r>
          </w:p>
        </w:tc>
        <w:tc>
          <w:tcPr>
            <w:tcW w:w="606" w:type="pct"/>
            <w:tcBorders>
              <w:top w:val="nil"/>
              <w:left w:val="nil"/>
              <w:bottom w:val="single" w:sz="4" w:space="0" w:color="auto"/>
              <w:right w:val="single" w:sz="4" w:space="0" w:color="auto"/>
            </w:tcBorders>
            <w:shd w:val="clear" w:color="auto" w:fill="auto"/>
            <w:vAlign w:val="bottom"/>
            <w:hideMark/>
          </w:tcPr>
          <w:p w14:paraId="4C2D44F9" w14:textId="77777777" w:rsidR="002A4D61" w:rsidRPr="00E446C3" w:rsidRDefault="002A4D61" w:rsidP="00D34184">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32.122.554 </w:t>
            </w:r>
          </w:p>
        </w:tc>
        <w:tc>
          <w:tcPr>
            <w:tcW w:w="606" w:type="pct"/>
            <w:tcBorders>
              <w:top w:val="nil"/>
              <w:left w:val="nil"/>
              <w:bottom w:val="single" w:sz="4" w:space="0" w:color="auto"/>
              <w:right w:val="single" w:sz="4" w:space="0" w:color="auto"/>
            </w:tcBorders>
            <w:shd w:val="clear" w:color="auto" w:fill="auto"/>
            <w:vAlign w:val="bottom"/>
            <w:hideMark/>
          </w:tcPr>
          <w:p w14:paraId="7FBBE33D" w14:textId="77777777" w:rsidR="002A4D61" w:rsidRPr="00E446C3" w:rsidRDefault="002A4D61" w:rsidP="00D34184">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13.407.298 </w:t>
            </w:r>
          </w:p>
        </w:tc>
        <w:tc>
          <w:tcPr>
            <w:tcW w:w="665" w:type="pct"/>
            <w:tcBorders>
              <w:top w:val="nil"/>
              <w:left w:val="nil"/>
              <w:bottom w:val="single" w:sz="4" w:space="0" w:color="auto"/>
              <w:right w:val="single" w:sz="4" w:space="0" w:color="auto"/>
            </w:tcBorders>
            <w:shd w:val="clear" w:color="auto" w:fill="auto"/>
            <w:vAlign w:val="bottom"/>
            <w:hideMark/>
          </w:tcPr>
          <w:p w14:paraId="660992BE" w14:textId="77777777" w:rsidR="002A4D61" w:rsidRPr="00E446C3" w:rsidRDefault="002A4D61" w:rsidP="00D34184">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132.292.593 </w:t>
            </w:r>
          </w:p>
        </w:tc>
      </w:tr>
      <w:tr w:rsidR="002A4D61" w:rsidRPr="00E81452" w14:paraId="01136E4A" w14:textId="77777777" w:rsidTr="00970522">
        <w:trPr>
          <w:trHeight w:val="261"/>
        </w:trPr>
        <w:tc>
          <w:tcPr>
            <w:tcW w:w="1278" w:type="pct"/>
            <w:tcBorders>
              <w:top w:val="nil"/>
              <w:left w:val="single" w:sz="4" w:space="0" w:color="auto"/>
              <w:bottom w:val="single" w:sz="4" w:space="0" w:color="auto"/>
              <w:right w:val="single" w:sz="4" w:space="0" w:color="auto"/>
            </w:tcBorders>
            <w:shd w:val="clear" w:color="auto" w:fill="auto"/>
            <w:vAlign w:val="center"/>
            <w:hideMark/>
          </w:tcPr>
          <w:p w14:paraId="3CD4A078" w14:textId="77777777" w:rsidR="002A4D61" w:rsidRPr="00E446C3" w:rsidRDefault="002A4D61" w:rsidP="002A4D61">
            <w:pPr>
              <w:rPr>
                <w:rFonts w:ascii="Arial" w:hAnsi="Arial" w:cs="Arial"/>
                <w:color w:val="000000"/>
                <w:sz w:val="16"/>
                <w:szCs w:val="16"/>
                <w:lang w:eastAsia="es-AR"/>
              </w:rPr>
            </w:pPr>
            <w:r w:rsidRPr="00E446C3">
              <w:rPr>
                <w:rFonts w:ascii="Arial" w:hAnsi="Arial" w:cs="Arial"/>
                <w:color w:val="000000"/>
                <w:sz w:val="16"/>
                <w:szCs w:val="16"/>
                <w:lang w:eastAsia="es-AR"/>
              </w:rPr>
              <w:t>Préstamos y otras financiaciones</w:t>
            </w:r>
          </w:p>
        </w:tc>
        <w:tc>
          <w:tcPr>
            <w:tcW w:w="608" w:type="pct"/>
            <w:tcBorders>
              <w:top w:val="nil"/>
              <w:left w:val="nil"/>
              <w:bottom w:val="single" w:sz="4" w:space="0" w:color="auto"/>
              <w:right w:val="single" w:sz="4" w:space="0" w:color="auto"/>
            </w:tcBorders>
            <w:shd w:val="clear" w:color="auto" w:fill="auto"/>
            <w:noWrap/>
            <w:vAlign w:val="bottom"/>
            <w:hideMark/>
          </w:tcPr>
          <w:p w14:paraId="441CE519"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37.667.284 </w:t>
            </w:r>
          </w:p>
        </w:tc>
        <w:tc>
          <w:tcPr>
            <w:tcW w:w="631" w:type="pct"/>
            <w:tcBorders>
              <w:top w:val="nil"/>
              <w:left w:val="nil"/>
              <w:bottom w:val="single" w:sz="4" w:space="0" w:color="auto"/>
              <w:right w:val="single" w:sz="4" w:space="0" w:color="auto"/>
            </w:tcBorders>
            <w:shd w:val="clear" w:color="auto" w:fill="auto"/>
            <w:noWrap/>
            <w:vAlign w:val="bottom"/>
            <w:hideMark/>
          </w:tcPr>
          <w:p w14:paraId="238DD131"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34.353.389 </w:t>
            </w:r>
          </w:p>
        </w:tc>
        <w:tc>
          <w:tcPr>
            <w:tcW w:w="606" w:type="pct"/>
            <w:tcBorders>
              <w:top w:val="nil"/>
              <w:left w:val="nil"/>
              <w:bottom w:val="single" w:sz="4" w:space="0" w:color="auto"/>
              <w:right w:val="single" w:sz="4" w:space="0" w:color="auto"/>
            </w:tcBorders>
            <w:shd w:val="clear" w:color="auto" w:fill="auto"/>
            <w:noWrap/>
            <w:vAlign w:val="bottom"/>
            <w:hideMark/>
          </w:tcPr>
          <w:p w14:paraId="129F07DD"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14.742.068 </w:t>
            </w:r>
          </w:p>
        </w:tc>
        <w:tc>
          <w:tcPr>
            <w:tcW w:w="606" w:type="pct"/>
            <w:tcBorders>
              <w:top w:val="nil"/>
              <w:left w:val="nil"/>
              <w:bottom w:val="single" w:sz="4" w:space="0" w:color="auto"/>
              <w:right w:val="single" w:sz="4" w:space="0" w:color="auto"/>
            </w:tcBorders>
            <w:shd w:val="clear" w:color="auto" w:fill="auto"/>
            <w:noWrap/>
            <w:vAlign w:val="bottom"/>
            <w:hideMark/>
          </w:tcPr>
          <w:p w14:paraId="79FD7290"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32.122.554 </w:t>
            </w:r>
          </w:p>
        </w:tc>
        <w:tc>
          <w:tcPr>
            <w:tcW w:w="606" w:type="pct"/>
            <w:tcBorders>
              <w:top w:val="nil"/>
              <w:left w:val="nil"/>
              <w:bottom w:val="single" w:sz="4" w:space="0" w:color="auto"/>
              <w:right w:val="single" w:sz="4" w:space="0" w:color="auto"/>
            </w:tcBorders>
            <w:shd w:val="clear" w:color="auto" w:fill="auto"/>
            <w:noWrap/>
            <w:vAlign w:val="bottom"/>
            <w:hideMark/>
          </w:tcPr>
          <w:p w14:paraId="0B20F0E2"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13.407.298 </w:t>
            </w:r>
          </w:p>
        </w:tc>
        <w:tc>
          <w:tcPr>
            <w:tcW w:w="665" w:type="pct"/>
            <w:tcBorders>
              <w:top w:val="nil"/>
              <w:left w:val="nil"/>
              <w:bottom w:val="single" w:sz="4" w:space="0" w:color="auto"/>
              <w:right w:val="single" w:sz="4" w:space="0" w:color="auto"/>
            </w:tcBorders>
            <w:shd w:val="clear" w:color="auto" w:fill="auto"/>
            <w:noWrap/>
            <w:vAlign w:val="bottom"/>
            <w:hideMark/>
          </w:tcPr>
          <w:p w14:paraId="09C5B73E"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132.292.593 </w:t>
            </w:r>
          </w:p>
        </w:tc>
      </w:tr>
      <w:tr w:rsidR="002A4D61" w:rsidRPr="00E81452" w14:paraId="46E7CD39" w14:textId="77777777" w:rsidTr="00343842">
        <w:trPr>
          <w:trHeight w:val="261"/>
        </w:trPr>
        <w:tc>
          <w:tcPr>
            <w:tcW w:w="1278" w:type="pct"/>
            <w:tcBorders>
              <w:top w:val="nil"/>
              <w:left w:val="single" w:sz="4" w:space="0" w:color="auto"/>
              <w:bottom w:val="single" w:sz="4" w:space="0" w:color="auto"/>
              <w:right w:val="single" w:sz="4" w:space="0" w:color="auto"/>
            </w:tcBorders>
            <w:shd w:val="clear" w:color="auto" w:fill="auto"/>
            <w:vAlign w:val="center"/>
            <w:hideMark/>
          </w:tcPr>
          <w:p w14:paraId="617AB92A" w14:textId="77777777" w:rsidR="002A4D61" w:rsidRPr="00E446C3" w:rsidRDefault="002A4D61" w:rsidP="002A4D61">
            <w:pPr>
              <w:jc w:val="center"/>
              <w:rPr>
                <w:rFonts w:ascii="Arial" w:hAnsi="Arial" w:cs="Arial"/>
                <w:b/>
                <w:bCs/>
                <w:color w:val="000000"/>
                <w:sz w:val="16"/>
                <w:szCs w:val="16"/>
                <w:lang w:eastAsia="es-AR"/>
              </w:rPr>
            </w:pPr>
            <w:r w:rsidRPr="00E446C3">
              <w:rPr>
                <w:rFonts w:ascii="Arial" w:hAnsi="Arial" w:cs="Arial"/>
                <w:b/>
                <w:bCs/>
                <w:color w:val="000000"/>
                <w:sz w:val="16"/>
                <w:szCs w:val="16"/>
                <w:lang w:eastAsia="es-AR"/>
              </w:rPr>
              <w:t>Pasivos</w:t>
            </w:r>
          </w:p>
        </w:tc>
        <w:tc>
          <w:tcPr>
            <w:tcW w:w="608" w:type="pct"/>
            <w:tcBorders>
              <w:top w:val="nil"/>
              <w:left w:val="nil"/>
              <w:bottom w:val="single" w:sz="4" w:space="0" w:color="auto"/>
              <w:right w:val="single" w:sz="4" w:space="0" w:color="auto"/>
            </w:tcBorders>
            <w:shd w:val="clear" w:color="auto" w:fill="auto"/>
            <w:vAlign w:val="bottom"/>
            <w:hideMark/>
          </w:tcPr>
          <w:p w14:paraId="3C1E6783" w14:textId="77777777" w:rsidR="002A4D61" w:rsidRPr="00E446C3" w:rsidRDefault="002A4D61" w:rsidP="00343842">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87.348.410</w:t>
            </w:r>
          </w:p>
        </w:tc>
        <w:tc>
          <w:tcPr>
            <w:tcW w:w="631" w:type="pct"/>
            <w:tcBorders>
              <w:top w:val="nil"/>
              <w:left w:val="nil"/>
              <w:bottom w:val="single" w:sz="4" w:space="0" w:color="auto"/>
              <w:right w:val="single" w:sz="4" w:space="0" w:color="auto"/>
            </w:tcBorders>
            <w:shd w:val="clear" w:color="auto" w:fill="auto"/>
            <w:vAlign w:val="bottom"/>
            <w:hideMark/>
          </w:tcPr>
          <w:p w14:paraId="7575D711" w14:textId="77777777" w:rsidR="002A4D61" w:rsidRPr="00E446C3" w:rsidRDefault="002A4D61" w:rsidP="00343842">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20.237.652</w:t>
            </w:r>
          </w:p>
        </w:tc>
        <w:tc>
          <w:tcPr>
            <w:tcW w:w="606" w:type="pct"/>
            <w:tcBorders>
              <w:top w:val="nil"/>
              <w:left w:val="nil"/>
              <w:bottom w:val="single" w:sz="4" w:space="0" w:color="auto"/>
              <w:right w:val="single" w:sz="4" w:space="0" w:color="auto"/>
            </w:tcBorders>
            <w:shd w:val="clear" w:color="auto" w:fill="auto"/>
            <w:vAlign w:val="bottom"/>
            <w:hideMark/>
          </w:tcPr>
          <w:p w14:paraId="44C89625" w14:textId="77777777" w:rsidR="002A4D61" w:rsidRPr="00E446C3" w:rsidRDefault="002A4D61" w:rsidP="00343842">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5.067.269</w:t>
            </w:r>
          </w:p>
        </w:tc>
        <w:tc>
          <w:tcPr>
            <w:tcW w:w="606" w:type="pct"/>
            <w:tcBorders>
              <w:top w:val="nil"/>
              <w:left w:val="nil"/>
              <w:bottom w:val="single" w:sz="4" w:space="0" w:color="auto"/>
              <w:right w:val="single" w:sz="4" w:space="0" w:color="auto"/>
            </w:tcBorders>
            <w:shd w:val="clear" w:color="auto" w:fill="auto"/>
            <w:vAlign w:val="bottom"/>
            <w:hideMark/>
          </w:tcPr>
          <w:p w14:paraId="5E34E3BA" w14:textId="77777777" w:rsidR="002A4D61" w:rsidRPr="00E446C3" w:rsidRDefault="002A4D61" w:rsidP="00343842">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14.906.461</w:t>
            </w:r>
          </w:p>
        </w:tc>
        <w:tc>
          <w:tcPr>
            <w:tcW w:w="606" w:type="pct"/>
            <w:tcBorders>
              <w:top w:val="nil"/>
              <w:left w:val="nil"/>
              <w:bottom w:val="single" w:sz="4" w:space="0" w:color="auto"/>
              <w:right w:val="single" w:sz="4" w:space="0" w:color="auto"/>
            </w:tcBorders>
            <w:shd w:val="clear" w:color="auto" w:fill="auto"/>
            <w:noWrap/>
            <w:vAlign w:val="bottom"/>
            <w:hideMark/>
          </w:tcPr>
          <w:p w14:paraId="2E11520E" w14:textId="77777777" w:rsidR="002A4D61" w:rsidRPr="00E446C3" w:rsidRDefault="002A4D61" w:rsidP="00343842">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 xml:space="preserve">- </w:t>
            </w:r>
          </w:p>
        </w:tc>
        <w:tc>
          <w:tcPr>
            <w:tcW w:w="665" w:type="pct"/>
            <w:tcBorders>
              <w:top w:val="nil"/>
              <w:left w:val="nil"/>
              <w:bottom w:val="single" w:sz="4" w:space="0" w:color="auto"/>
              <w:right w:val="single" w:sz="4" w:space="0" w:color="auto"/>
            </w:tcBorders>
            <w:shd w:val="clear" w:color="auto" w:fill="auto"/>
            <w:vAlign w:val="bottom"/>
            <w:hideMark/>
          </w:tcPr>
          <w:p w14:paraId="6985A3BF" w14:textId="77777777" w:rsidR="002A4D61" w:rsidRPr="00E446C3" w:rsidRDefault="002A4D61" w:rsidP="00343842">
            <w:pPr>
              <w:jc w:val="right"/>
              <w:rPr>
                <w:rFonts w:ascii="Arial" w:hAnsi="Arial" w:cs="Arial"/>
                <w:b/>
                <w:bCs/>
                <w:color w:val="000000"/>
                <w:sz w:val="16"/>
                <w:szCs w:val="16"/>
                <w:lang w:eastAsia="es-AR"/>
              </w:rPr>
            </w:pPr>
            <w:r w:rsidRPr="00E446C3">
              <w:rPr>
                <w:rFonts w:ascii="Arial" w:hAnsi="Arial" w:cs="Arial"/>
                <w:b/>
                <w:bCs/>
                <w:color w:val="000000"/>
                <w:sz w:val="16"/>
                <w:szCs w:val="16"/>
                <w:lang w:eastAsia="es-AR"/>
              </w:rPr>
              <w:t>127.559.792</w:t>
            </w:r>
          </w:p>
        </w:tc>
      </w:tr>
      <w:tr w:rsidR="002A4D61" w:rsidRPr="00E81452" w14:paraId="210AECAA" w14:textId="77777777" w:rsidTr="00970522">
        <w:trPr>
          <w:trHeight w:val="261"/>
        </w:trPr>
        <w:tc>
          <w:tcPr>
            <w:tcW w:w="1278" w:type="pct"/>
            <w:tcBorders>
              <w:top w:val="nil"/>
              <w:left w:val="single" w:sz="4" w:space="0" w:color="auto"/>
              <w:bottom w:val="single" w:sz="4" w:space="0" w:color="auto"/>
              <w:right w:val="single" w:sz="4" w:space="0" w:color="auto"/>
            </w:tcBorders>
            <w:shd w:val="clear" w:color="auto" w:fill="auto"/>
            <w:vAlign w:val="center"/>
            <w:hideMark/>
          </w:tcPr>
          <w:p w14:paraId="45B8E0B1" w14:textId="77777777" w:rsidR="002A4D61" w:rsidRPr="00E446C3" w:rsidRDefault="002A4D61" w:rsidP="002A4D61">
            <w:pPr>
              <w:rPr>
                <w:rFonts w:ascii="Arial" w:hAnsi="Arial" w:cs="Arial"/>
                <w:color w:val="000000"/>
                <w:sz w:val="16"/>
                <w:szCs w:val="16"/>
                <w:lang w:eastAsia="es-AR"/>
              </w:rPr>
            </w:pPr>
            <w:r w:rsidRPr="00E446C3">
              <w:rPr>
                <w:rFonts w:ascii="Arial" w:hAnsi="Arial" w:cs="Arial"/>
                <w:color w:val="000000"/>
                <w:sz w:val="16"/>
                <w:szCs w:val="16"/>
                <w:lang w:eastAsia="es-AR"/>
              </w:rPr>
              <w:t>Depósitos</w:t>
            </w:r>
          </w:p>
        </w:tc>
        <w:tc>
          <w:tcPr>
            <w:tcW w:w="608" w:type="pct"/>
            <w:tcBorders>
              <w:top w:val="nil"/>
              <w:left w:val="nil"/>
              <w:bottom w:val="single" w:sz="4" w:space="0" w:color="auto"/>
              <w:right w:val="single" w:sz="4" w:space="0" w:color="auto"/>
            </w:tcBorders>
            <w:shd w:val="clear" w:color="auto" w:fill="auto"/>
            <w:noWrap/>
            <w:vAlign w:val="bottom"/>
            <w:hideMark/>
          </w:tcPr>
          <w:p w14:paraId="6090D019"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82.967.648 </w:t>
            </w:r>
          </w:p>
        </w:tc>
        <w:tc>
          <w:tcPr>
            <w:tcW w:w="631" w:type="pct"/>
            <w:tcBorders>
              <w:top w:val="nil"/>
              <w:left w:val="nil"/>
              <w:bottom w:val="single" w:sz="4" w:space="0" w:color="auto"/>
              <w:right w:val="single" w:sz="4" w:space="0" w:color="auto"/>
            </w:tcBorders>
            <w:shd w:val="clear" w:color="auto" w:fill="auto"/>
            <w:noWrap/>
            <w:vAlign w:val="bottom"/>
            <w:hideMark/>
          </w:tcPr>
          <w:p w14:paraId="2E8C3B34"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11.001.614 </w:t>
            </w:r>
          </w:p>
        </w:tc>
        <w:tc>
          <w:tcPr>
            <w:tcW w:w="606" w:type="pct"/>
            <w:tcBorders>
              <w:top w:val="nil"/>
              <w:left w:val="nil"/>
              <w:bottom w:val="single" w:sz="4" w:space="0" w:color="auto"/>
              <w:right w:val="single" w:sz="4" w:space="0" w:color="auto"/>
            </w:tcBorders>
            <w:shd w:val="clear" w:color="auto" w:fill="auto"/>
            <w:noWrap/>
            <w:vAlign w:val="bottom"/>
            <w:hideMark/>
          </w:tcPr>
          <w:p w14:paraId="54C817DA"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1.059.041 </w:t>
            </w:r>
          </w:p>
        </w:tc>
        <w:tc>
          <w:tcPr>
            <w:tcW w:w="606" w:type="pct"/>
            <w:tcBorders>
              <w:top w:val="nil"/>
              <w:left w:val="nil"/>
              <w:bottom w:val="single" w:sz="4" w:space="0" w:color="auto"/>
              <w:right w:val="single" w:sz="4" w:space="0" w:color="auto"/>
            </w:tcBorders>
            <w:shd w:val="clear" w:color="auto" w:fill="auto"/>
            <w:noWrap/>
            <w:vAlign w:val="bottom"/>
            <w:hideMark/>
          </w:tcPr>
          <w:p w14:paraId="1B47D77F"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131.515 </w:t>
            </w:r>
          </w:p>
        </w:tc>
        <w:tc>
          <w:tcPr>
            <w:tcW w:w="606" w:type="pct"/>
            <w:tcBorders>
              <w:top w:val="nil"/>
              <w:left w:val="nil"/>
              <w:bottom w:val="single" w:sz="4" w:space="0" w:color="auto"/>
              <w:right w:val="single" w:sz="4" w:space="0" w:color="auto"/>
            </w:tcBorders>
            <w:shd w:val="clear" w:color="auto" w:fill="auto"/>
            <w:noWrap/>
            <w:vAlign w:val="bottom"/>
            <w:hideMark/>
          </w:tcPr>
          <w:p w14:paraId="2E22D9B0"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65" w:type="pct"/>
            <w:tcBorders>
              <w:top w:val="nil"/>
              <w:left w:val="nil"/>
              <w:bottom w:val="single" w:sz="4" w:space="0" w:color="auto"/>
              <w:right w:val="single" w:sz="4" w:space="0" w:color="auto"/>
            </w:tcBorders>
            <w:shd w:val="clear" w:color="auto" w:fill="auto"/>
            <w:noWrap/>
            <w:vAlign w:val="bottom"/>
            <w:hideMark/>
          </w:tcPr>
          <w:p w14:paraId="0A05F169"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95.159.818 </w:t>
            </w:r>
          </w:p>
        </w:tc>
      </w:tr>
      <w:tr w:rsidR="002A4D61" w:rsidRPr="00E81452" w14:paraId="50AE39E3" w14:textId="77777777" w:rsidTr="00970522">
        <w:trPr>
          <w:trHeight w:val="444"/>
        </w:trPr>
        <w:tc>
          <w:tcPr>
            <w:tcW w:w="1278" w:type="pct"/>
            <w:tcBorders>
              <w:top w:val="nil"/>
              <w:left w:val="single" w:sz="4" w:space="0" w:color="auto"/>
              <w:bottom w:val="single" w:sz="4" w:space="0" w:color="auto"/>
              <w:right w:val="single" w:sz="4" w:space="0" w:color="auto"/>
            </w:tcBorders>
            <w:shd w:val="clear" w:color="auto" w:fill="auto"/>
            <w:vAlign w:val="center"/>
            <w:hideMark/>
          </w:tcPr>
          <w:p w14:paraId="3B25ECFB" w14:textId="77777777" w:rsidR="002A4D61" w:rsidRPr="00E446C3" w:rsidRDefault="002A4D61" w:rsidP="002A4D61">
            <w:pPr>
              <w:rPr>
                <w:rFonts w:ascii="Arial" w:hAnsi="Arial" w:cs="Arial"/>
                <w:color w:val="000000"/>
                <w:sz w:val="16"/>
                <w:szCs w:val="16"/>
                <w:lang w:eastAsia="es-AR"/>
              </w:rPr>
            </w:pPr>
            <w:r w:rsidRPr="00E446C3">
              <w:rPr>
                <w:rFonts w:ascii="Arial" w:hAnsi="Arial" w:cs="Arial"/>
                <w:color w:val="000000"/>
                <w:sz w:val="16"/>
                <w:szCs w:val="16"/>
                <w:lang w:eastAsia="es-AR"/>
              </w:rPr>
              <w:t>Pasivos a valor razonable con cambios en resultado</w:t>
            </w:r>
          </w:p>
        </w:tc>
        <w:tc>
          <w:tcPr>
            <w:tcW w:w="608" w:type="pct"/>
            <w:tcBorders>
              <w:top w:val="nil"/>
              <w:left w:val="nil"/>
              <w:bottom w:val="single" w:sz="4" w:space="0" w:color="auto"/>
              <w:right w:val="single" w:sz="4" w:space="0" w:color="auto"/>
            </w:tcBorders>
            <w:shd w:val="clear" w:color="auto" w:fill="auto"/>
            <w:noWrap/>
            <w:vAlign w:val="bottom"/>
            <w:hideMark/>
          </w:tcPr>
          <w:p w14:paraId="39012E01"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717.469 </w:t>
            </w:r>
          </w:p>
        </w:tc>
        <w:tc>
          <w:tcPr>
            <w:tcW w:w="631" w:type="pct"/>
            <w:tcBorders>
              <w:top w:val="nil"/>
              <w:left w:val="nil"/>
              <w:bottom w:val="single" w:sz="4" w:space="0" w:color="auto"/>
              <w:right w:val="single" w:sz="4" w:space="0" w:color="auto"/>
            </w:tcBorders>
            <w:shd w:val="clear" w:color="auto" w:fill="auto"/>
            <w:noWrap/>
            <w:vAlign w:val="bottom"/>
            <w:hideMark/>
          </w:tcPr>
          <w:p w14:paraId="7D4EA783"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06" w:type="pct"/>
            <w:tcBorders>
              <w:top w:val="nil"/>
              <w:left w:val="nil"/>
              <w:bottom w:val="single" w:sz="4" w:space="0" w:color="auto"/>
              <w:right w:val="single" w:sz="4" w:space="0" w:color="auto"/>
            </w:tcBorders>
            <w:shd w:val="clear" w:color="auto" w:fill="auto"/>
            <w:noWrap/>
            <w:vAlign w:val="bottom"/>
            <w:hideMark/>
          </w:tcPr>
          <w:p w14:paraId="4D7D53E9"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06" w:type="pct"/>
            <w:tcBorders>
              <w:top w:val="nil"/>
              <w:left w:val="nil"/>
              <w:bottom w:val="single" w:sz="4" w:space="0" w:color="auto"/>
              <w:right w:val="single" w:sz="4" w:space="0" w:color="auto"/>
            </w:tcBorders>
            <w:shd w:val="clear" w:color="auto" w:fill="auto"/>
            <w:noWrap/>
            <w:vAlign w:val="bottom"/>
            <w:hideMark/>
          </w:tcPr>
          <w:p w14:paraId="5C08ED48"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06" w:type="pct"/>
            <w:tcBorders>
              <w:top w:val="nil"/>
              <w:left w:val="nil"/>
              <w:bottom w:val="single" w:sz="4" w:space="0" w:color="auto"/>
              <w:right w:val="single" w:sz="4" w:space="0" w:color="auto"/>
            </w:tcBorders>
            <w:shd w:val="clear" w:color="auto" w:fill="auto"/>
            <w:noWrap/>
            <w:vAlign w:val="bottom"/>
            <w:hideMark/>
          </w:tcPr>
          <w:p w14:paraId="5D83C29D"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65" w:type="pct"/>
            <w:tcBorders>
              <w:top w:val="nil"/>
              <w:left w:val="nil"/>
              <w:bottom w:val="single" w:sz="4" w:space="0" w:color="auto"/>
              <w:right w:val="single" w:sz="4" w:space="0" w:color="auto"/>
            </w:tcBorders>
            <w:shd w:val="clear" w:color="auto" w:fill="auto"/>
            <w:noWrap/>
            <w:vAlign w:val="bottom"/>
            <w:hideMark/>
          </w:tcPr>
          <w:p w14:paraId="22CDEA9C"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717.469 </w:t>
            </w:r>
          </w:p>
        </w:tc>
      </w:tr>
      <w:tr w:rsidR="002A4D61" w:rsidRPr="00E81452" w14:paraId="4725D2C2" w14:textId="77777777" w:rsidTr="00970522">
        <w:trPr>
          <w:trHeight w:val="261"/>
        </w:trPr>
        <w:tc>
          <w:tcPr>
            <w:tcW w:w="1278" w:type="pct"/>
            <w:tcBorders>
              <w:top w:val="nil"/>
              <w:left w:val="single" w:sz="4" w:space="0" w:color="auto"/>
              <w:bottom w:val="single" w:sz="4" w:space="0" w:color="auto"/>
              <w:right w:val="single" w:sz="4" w:space="0" w:color="auto"/>
            </w:tcBorders>
            <w:shd w:val="clear" w:color="auto" w:fill="auto"/>
            <w:vAlign w:val="center"/>
            <w:hideMark/>
          </w:tcPr>
          <w:p w14:paraId="46EFA3CA" w14:textId="77777777" w:rsidR="002A4D61" w:rsidRPr="00E446C3" w:rsidRDefault="002A4D61" w:rsidP="002A4D61">
            <w:pPr>
              <w:rPr>
                <w:rFonts w:ascii="Arial" w:hAnsi="Arial" w:cs="Arial"/>
                <w:color w:val="000000"/>
                <w:sz w:val="16"/>
                <w:szCs w:val="16"/>
                <w:lang w:eastAsia="es-AR"/>
              </w:rPr>
            </w:pPr>
            <w:r w:rsidRPr="00E446C3">
              <w:rPr>
                <w:rFonts w:ascii="Arial" w:hAnsi="Arial" w:cs="Arial"/>
                <w:color w:val="000000"/>
                <w:sz w:val="16"/>
                <w:szCs w:val="16"/>
                <w:lang w:eastAsia="es-AR"/>
              </w:rPr>
              <w:t>Instrumentos derivados</w:t>
            </w:r>
          </w:p>
        </w:tc>
        <w:tc>
          <w:tcPr>
            <w:tcW w:w="608" w:type="pct"/>
            <w:tcBorders>
              <w:top w:val="nil"/>
              <w:left w:val="nil"/>
              <w:bottom w:val="single" w:sz="4" w:space="0" w:color="auto"/>
              <w:right w:val="single" w:sz="4" w:space="0" w:color="auto"/>
            </w:tcBorders>
            <w:shd w:val="clear" w:color="auto" w:fill="auto"/>
            <w:noWrap/>
            <w:vAlign w:val="bottom"/>
            <w:hideMark/>
          </w:tcPr>
          <w:p w14:paraId="726B4C8E"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94.222 </w:t>
            </w:r>
          </w:p>
        </w:tc>
        <w:tc>
          <w:tcPr>
            <w:tcW w:w="631" w:type="pct"/>
            <w:tcBorders>
              <w:top w:val="nil"/>
              <w:left w:val="nil"/>
              <w:bottom w:val="single" w:sz="4" w:space="0" w:color="auto"/>
              <w:right w:val="single" w:sz="4" w:space="0" w:color="auto"/>
            </w:tcBorders>
            <w:shd w:val="clear" w:color="auto" w:fill="auto"/>
            <w:noWrap/>
            <w:vAlign w:val="bottom"/>
            <w:hideMark/>
          </w:tcPr>
          <w:p w14:paraId="1964CB11"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06" w:type="pct"/>
            <w:tcBorders>
              <w:top w:val="nil"/>
              <w:left w:val="nil"/>
              <w:bottom w:val="single" w:sz="4" w:space="0" w:color="auto"/>
              <w:right w:val="single" w:sz="4" w:space="0" w:color="auto"/>
            </w:tcBorders>
            <w:shd w:val="clear" w:color="auto" w:fill="auto"/>
            <w:noWrap/>
            <w:vAlign w:val="bottom"/>
            <w:hideMark/>
          </w:tcPr>
          <w:p w14:paraId="4ACEF8CF"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06" w:type="pct"/>
            <w:tcBorders>
              <w:top w:val="nil"/>
              <w:left w:val="nil"/>
              <w:bottom w:val="single" w:sz="4" w:space="0" w:color="auto"/>
              <w:right w:val="single" w:sz="4" w:space="0" w:color="auto"/>
            </w:tcBorders>
            <w:shd w:val="clear" w:color="auto" w:fill="auto"/>
            <w:noWrap/>
            <w:vAlign w:val="bottom"/>
            <w:hideMark/>
          </w:tcPr>
          <w:p w14:paraId="012BE86E"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06" w:type="pct"/>
            <w:tcBorders>
              <w:top w:val="nil"/>
              <w:left w:val="nil"/>
              <w:bottom w:val="single" w:sz="4" w:space="0" w:color="auto"/>
              <w:right w:val="single" w:sz="4" w:space="0" w:color="auto"/>
            </w:tcBorders>
            <w:shd w:val="clear" w:color="auto" w:fill="auto"/>
            <w:noWrap/>
            <w:vAlign w:val="bottom"/>
            <w:hideMark/>
          </w:tcPr>
          <w:p w14:paraId="0C808587"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65" w:type="pct"/>
            <w:tcBorders>
              <w:top w:val="nil"/>
              <w:left w:val="nil"/>
              <w:bottom w:val="single" w:sz="4" w:space="0" w:color="auto"/>
              <w:right w:val="single" w:sz="4" w:space="0" w:color="auto"/>
            </w:tcBorders>
            <w:shd w:val="clear" w:color="auto" w:fill="auto"/>
            <w:noWrap/>
            <w:vAlign w:val="bottom"/>
            <w:hideMark/>
          </w:tcPr>
          <w:p w14:paraId="398F3D0C"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94.222 </w:t>
            </w:r>
          </w:p>
        </w:tc>
      </w:tr>
      <w:tr w:rsidR="002A4D61" w:rsidRPr="00E81452" w14:paraId="729591CA" w14:textId="77777777" w:rsidTr="00970522">
        <w:trPr>
          <w:trHeight w:val="261"/>
        </w:trPr>
        <w:tc>
          <w:tcPr>
            <w:tcW w:w="1278" w:type="pct"/>
            <w:tcBorders>
              <w:top w:val="nil"/>
              <w:left w:val="single" w:sz="4" w:space="0" w:color="auto"/>
              <w:bottom w:val="single" w:sz="4" w:space="0" w:color="auto"/>
              <w:right w:val="single" w:sz="4" w:space="0" w:color="auto"/>
            </w:tcBorders>
            <w:shd w:val="clear" w:color="auto" w:fill="auto"/>
            <w:vAlign w:val="center"/>
            <w:hideMark/>
          </w:tcPr>
          <w:p w14:paraId="11133319" w14:textId="77777777" w:rsidR="002A4D61" w:rsidRPr="00E446C3" w:rsidRDefault="002A4D61" w:rsidP="002A4D61">
            <w:pPr>
              <w:rPr>
                <w:rFonts w:ascii="Arial" w:hAnsi="Arial" w:cs="Arial"/>
                <w:color w:val="000000"/>
                <w:sz w:val="16"/>
                <w:szCs w:val="16"/>
                <w:lang w:eastAsia="es-AR"/>
              </w:rPr>
            </w:pPr>
            <w:r w:rsidRPr="00E446C3">
              <w:rPr>
                <w:rFonts w:ascii="Arial" w:hAnsi="Arial" w:cs="Arial"/>
                <w:color w:val="000000"/>
                <w:sz w:val="16"/>
                <w:szCs w:val="16"/>
                <w:lang w:eastAsia="es-AR"/>
              </w:rPr>
              <w:t>Otros pasivos financieros</w:t>
            </w:r>
          </w:p>
        </w:tc>
        <w:tc>
          <w:tcPr>
            <w:tcW w:w="608" w:type="pct"/>
            <w:tcBorders>
              <w:top w:val="nil"/>
              <w:left w:val="nil"/>
              <w:bottom w:val="single" w:sz="4" w:space="0" w:color="auto"/>
              <w:right w:val="single" w:sz="4" w:space="0" w:color="auto"/>
            </w:tcBorders>
            <w:shd w:val="clear" w:color="auto" w:fill="auto"/>
            <w:noWrap/>
            <w:vAlign w:val="bottom"/>
            <w:hideMark/>
          </w:tcPr>
          <w:p w14:paraId="289BF8A9"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3.123.064 </w:t>
            </w:r>
          </w:p>
        </w:tc>
        <w:tc>
          <w:tcPr>
            <w:tcW w:w="631" w:type="pct"/>
            <w:tcBorders>
              <w:top w:val="nil"/>
              <w:left w:val="nil"/>
              <w:bottom w:val="single" w:sz="4" w:space="0" w:color="auto"/>
              <w:right w:val="single" w:sz="4" w:space="0" w:color="auto"/>
            </w:tcBorders>
            <w:shd w:val="clear" w:color="auto" w:fill="auto"/>
            <w:noWrap/>
            <w:vAlign w:val="bottom"/>
            <w:hideMark/>
          </w:tcPr>
          <w:p w14:paraId="029F362D"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6.826 </w:t>
            </w:r>
          </w:p>
        </w:tc>
        <w:tc>
          <w:tcPr>
            <w:tcW w:w="606" w:type="pct"/>
            <w:tcBorders>
              <w:top w:val="nil"/>
              <w:left w:val="nil"/>
              <w:bottom w:val="single" w:sz="4" w:space="0" w:color="auto"/>
              <w:right w:val="single" w:sz="4" w:space="0" w:color="auto"/>
            </w:tcBorders>
            <w:shd w:val="clear" w:color="auto" w:fill="auto"/>
            <w:noWrap/>
            <w:vAlign w:val="bottom"/>
            <w:hideMark/>
          </w:tcPr>
          <w:p w14:paraId="30EE1A77"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4.886 </w:t>
            </w:r>
          </w:p>
        </w:tc>
        <w:tc>
          <w:tcPr>
            <w:tcW w:w="606" w:type="pct"/>
            <w:tcBorders>
              <w:top w:val="nil"/>
              <w:left w:val="nil"/>
              <w:bottom w:val="single" w:sz="4" w:space="0" w:color="auto"/>
              <w:right w:val="single" w:sz="4" w:space="0" w:color="auto"/>
            </w:tcBorders>
            <w:shd w:val="clear" w:color="auto" w:fill="auto"/>
            <w:noWrap/>
            <w:vAlign w:val="bottom"/>
            <w:hideMark/>
          </w:tcPr>
          <w:p w14:paraId="397A10F7"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15.747 </w:t>
            </w:r>
          </w:p>
        </w:tc>
        <w:tc>
          <w:tcPr>
            <w:tcW w:w="606" w:type="pct"/>
            <w:tcBorders>
              <w:top w:val="nil"/>
              <w:left w:val="nil"/>
              <w:bottom w:val="single" w:sz="4" w:space="0" w:color="auto"/>
              <w:right w:val="single" w:sz="4" w:space="0" w:color="auto"/>
            </w:tcBorders>
            <w:shd w:val="clear" w:color="auto" w:fill="auto"/>
            <w:noWrap/>
            <w:vAlign w:val="bottom"/>
            <w:hideMark/>
          </w:tcPr>
          <w:p w14:paraId="1AE99406"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65" w:type="pct"/>
            <w:tcBorders>
              <w:top w:val="nil"/>
              <w:left w:val="nil"/>
              <w:bottom w:val="single" w:sz="4" w:space="0" w:color="auto"/>
              <w:right w:val="single" w:sz="4" w:space="0" w:color="auto"/>
            </w:tcBorders>
            <w:shd w:val="clear" w:color="auto" w:fill="auto"/>
            <w:noWrap/>
            <w:vAlign w:val="bottom"/>
            <w:hideMark/>
          </w:tcPr>
          <w:p w14:paraId="0DE057D0"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3.150.523 </w:t>
            </w:r>
          </w:p>
        </w:tc>
      </w:tr>
      <w:tr w:rsidR="002A4D61" w:rsidRPr="00E81452" w14:paraId="38EFAD42" w14:textId="77777777" w:rsidTr="00970522">
        <w:trPr>
          <w:trHeight w:val="444"/>
        </w:trPr>
        <w:tc>
          <w:tcPr>
            <w:tcW w:w="1278" w:type="pct"/>
            <w:tcBorders>
              <w:top w:val="nil"/>
              <w:left w:val="single" w:sz="4" w:space="0" w:color="auto"/>
              <w:bottom w:val="single" w:sz="4" w:space="0" w:color="auto"/>
              <w:right w:val="single" w:sz="4" w:space="0" w:color="auto"/>
            </w:tcBorders>
            <w:shd w:val="clear" w:color="auto" w:fill="auto"/>
            <w:vAlign w:val="center"/>
            <w:hideMark/>
          </w:tcPr>
          <w:p w14:paraId="6F06DA4E" w14:textId="77777777" w:rsidR="002A4D61" w:rsidRPr="00E446C3" w:rsidRDefault="002A4D61" w:rsidP="002A4D61">
            <w:pPr>
              <w:rPr>
                <w:rFonts w:ascii="Arial" w:hAnsi="Arial" w:cs="Arial"/>
                <w:color w:val="000000"/>
                <w:sz w:val="16"/>
                <w:szCs w:val="16"/>
                <w:lang w:eastAsia="es-AR"/>
              </w:rPr>
            </w:pPr>
            <w:r w:rsidRPr="00E446C3">
              <w:rPr>
                <w:rFonts w:ascii="Arial" w:hAnsi="Arial" w:cs="Arial"/>
                <w:color w:val="000000"/>
                <w:sz w:val="16"/>
                <w:szCs w:val="16"/>
                <w:lang w:eastAsia="es-AR"/>
              </w:rPr>
              <w:t>Financiaciones recibidas del BCRA y otras instituciones financieras</w:t>
            </w:r>
          </w:p>
        </w:tc>
        <w:tc>
          <w:tcPr>
            <w:tcW w:w="608" w:type="pct"/>
            <w:tcBorders>
              <w:top w:val="nil"/>
              <w:left w:val="nil"/>
              <w:bottom w:val="single" w:sz="4" w:space="0" w:color="auto"/>
              <w:right w:val="single" w:sz="4" w:space="0" w:color="auto"/>
            </w:tcBorders>
            <w:shd w:val="clear" w:color="auto" w:fill="auto"/>
            <w:noWrap/>
            <w:vAlign w:val="bottom"/>
            <w:hideMark/>
          </w:tcPr>
          <w:p w14:paraId="74F1E023"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446.007 </w:t>
            </w:r>
          </w:p>
        </w:tc>
        <w:tc>
          <w:tcPr>
            <w:tcW w:w="631" w:type="pct"/>
            <w:tcBorders>
              <w:top w:val="nil"/>
              <w:left w:val="nil"/>
              <w:bottom w:val="single" w:sz="4" w:space="0" w:color="auto"/>
              <w:right w:val="single" w:sz="4" w:space="0" w:color="auto"/>
            </w:tcBorders>
            <w:shd w:val="clear" w:color="auto" w:fill="auto"/>
            <w:noWrap/>
            <w:vAlign w:val="bottom"/>
            <w:hideMark/>
          </w:tcPr>
          <w:p w14:paraId="7E309E04"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6.948.289 </w:t>
            </w:r>
          </w:p>
        </w:tc>
        <w:tc>
          <w:tcPr>
            <w:tcW w:w="606" w:type="pct"/>
            <w:tcBorders>
              <w:top w:val="nil"/>
              <w:left w:val="nil"/>
              <w:bottom w:val="single" w:sz="4" w:space="0" w:color="auto"/>
              <w:right w:val="single" w:sz="4" w:space="0" w:color="auto"/>
            </w:tcBorders>
            <w:shd w:val="clear" w:color="auto" w:fill="auto"/>
            <w:noWrap/>
            <w:vAlign w:val="bottom"/>
            <w:hideMark/>
          </w:tcPr>
          <w:p w14:paraId="2A2AF0AC"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410.617 </w:t>
            </w:r>
          </w:p>
        </w:tc>
        <w:tc>
          <w:tcPr>
            <w:tcW w:w="606" w:type="pct"/>
            <w:tcBorders>
              <w:top w:val="nil"/>
              <w:left w:val="nil"/>
              <w:bottom w:val="single" w:sz="4" w:space="0" w:color="auto"/>
              <w:right w:val="single" w:sz="4" w:space="0" w:color="auto"/>
            </w:tcBorders>
            <w:shd w:val="clear" w:color="auto" w:fill="auto"/>
            <w:noWrap/>
            <w:vAlign w:val="bottom"/>
            <w:hideMark/>
          </w:tcPr>
          <w:p w14:paraId="4C5FBBA5"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1.483.708 </w:t>
            </w:r>
          </w:p>
        </w:tc>
        <w:tc>
          <w:tcPr>
            <w:tcW w:w="606" w:type="pct"/>
            <w:tcBorders>
              <w:top w:val="nil"/>
              <w:left w:val="nil"/>
              <w:bottom w:val="single" w:sz="4" w:space="0" w:color="auto"/>
              <w:right w:val="single" w:sz="4" w:space="0" w:color="auto"/>
            </w:tcBorders>
            <w:shd w:val="clear" w:color="auto" w:fill="auto"/>
            <w:noWrap/>
            <w:vAlign w:val="bottom"/>
            <w:hideMark/>
          </w:tcPr>
          <w:p w14:paraId="0FAE7585"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65" w:type="pct"/>
            <w:tcBorders>
              <w:top w:val="nil"/>
              <w:left w:val="nil"/>
              <w:bottom w:val="single" w:sz="4" w:space="0" w:color="auto"/>
              <w:right w:val="single" w:sz="4" w:space="0" w:color="auto"/>
            </w:tcBorders>
            <w:shd w:val="clear" w:color="auto" w:fill="auto"/>
            <w:noWrap/>
            <w:vAlign w:val="bottom"/>
            <w:hideMark/>
          </w:tcPr>
          <w:p w14:paraId="32DF3B38"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9.288.621 </w:t>
            </w:r>
          </w:p>
        </w:tc>
      </w:tr>
      <w:tr w:rsidR="002A4D61" w:rsidRPr="00E81452" w14:paraId="759A3CC7" w14:textId="77777777" w:rsidTr="00970522">
        <w:trPr>
          <w:trHeight w:val="261"/>
        </w:trPr>
        <w:tc>
          <w:tcPr>
            <w:tcW w:w="1278" w:type="pct"/>
            <w:tcBorders>
              <w:top w:val="nil"/>
              <w:left w:val="single" w:sz="4" w:space="0" w:color="auto"/>
              <w:bottom w:val="single" w:sz="4" w:space="0" w:color="auto"/>
              <w:right w:val="single" w:sz="4" w:space="0" w:color="auto"/>
            </w:tcBorders>
            <w:shd w:val="clear" w:color="auto" w:fill="auto"/>
            <w:vAlign w:val="center"/>
            <w:hideMark/>
          </w:tcPr>
          <w:p w14:paraId="5DD6959E" w14:textId="77777777" w:rsidR="002A4D61" w:rsidRPr="00E446C3" w:rsidRDefault="002A4D61" w:rsidP="002A4D61">
            <w:pPr>
              <w:rPr>
                <w:rFonts w:ascii="Arial" w:hAnsi="Arial" w:cs="Arial"/>
                <w:color w:val="000000"/>
                <w:sz w:val="16"/>
                <w:szCs w:val="16"/>
                <w:lang w:eastAsia="es-AR"/>
              </w:rPr>
            </w:pPr>
            <w:r w:rsidRPr="00E446C3">
              <w:rPr>
                <w:rFonts w:ascii="Arial" w:hAnsi="Arial" w:cs="Arial"/>
                <w:color w:val="000000"/>
                <w:sz w:val="16"/>
                <w:szCs w:val="16"/>
                <w:lang w:eastAsia="es-AR"/>
              </w:rPr>
              <w:t>Obligaciones negociables emitidas</w:t>
            </w:r>
          </w:p>
        </w:tc>
        <w:tc>
          <w:tcPr>
            <w:tcW w:w="608" w:type="pct"/>
            <w:tcBorders>
              <w:top w:val="nil"/>
              <w:left w:val="nil"/>
              <w:bottom w:val="single" w:sz="4" w:space="0" w:color="auto"/>
              <w:right w:val="single" w:sz="4" w:space="0" w:color="auto"/>
            </w:tcBorders>
            <w:shd w:val="clear" w:color="auto" w:fill="auto"/>
            <w:noWrap/>
            <w:vAlign w:val="bottom"/>
            <w:hideMark/>
          </w:tcPr>
          <w:p w14:paraId="0C36A3AC"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31" w:type="pct"/>
            <w:tcBorders>
              <w:top w:val="nil"/>
              <w:left w:val="nil"/>
              <w:bottom w:val="single" w:sz="4" w:space="0" w:color="auto"/>
              <w:right w:val="single" w:sz="4" w:space="0" w:color="auto"/>
            </w:tcBorders>
            <w:shd w:val="clear" w:color="auto" w:fill="auto"/>
            <w:noWrap/>
            <w:vAlign w:val="bottom"/>
            <w:hideMark/>
          </w:tcPr>
          <w:p w14:paraId="2731A5B9"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2.232.602 </w:t>
            </w:r>
          </w:p>
        </w:tc>
        <w:tc>
          <w:tcPr>
            <w:tcW w:w="606" w:type="pct"/>
            <w:tcBorders>
              <w:top w:val="nil"/>
              <w:left w:val="nil"/>
              <w:bottom w:val="single" w:sz="4" w:space="0" w:color="auto"/>
              <w:right w:val="single" w:sz="4" w:space="0" w:color="auto"/>
            </w:tcBorders>
            <w:shd w:val="clear" w:color="auto" w:fill="auto"/>
            <w:noWrap/>
            <w:vAlign w:val="bottom"/>
            <w:hideMark/>
          </w:tcPr>
          <w:p w14:paraId="36AF7270"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3.544.604 </w:t>
            </w:r>
          </w:p>
        </w:tc>
        <w:tc>
          <w:tcPr>
            <w:tcW w:w="606" w:type="pct"/>
            <w:tcBorders>
              <w:top w:val="nil"/>
              <w:left w:val="nil"/>
              <w:bottom w:val="single" w:sz="4" w:space="0" w:color="auto"/>
              <w:right w:val="single" w:sz="4" w:space="0" w:color="auto"/>
            </w:tcBorders>
            <w:shd w:val="clear" w:color="auto" w:fill="auto"/>
            <w:noWrap/>
            <w:vAlign w:val="bottom"/>
            <w:hideMark/>
          </w:tcPr>
          <w:p w14:paraId="03C6106D"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11.783.850 </w:t>
            </w:r>
          </w:p>
        </w:tc>
        <w:tc>
          <w:tcPr>
            <w:tcW w:w="606" w:type="pct"/>
            <w:tcBorders>
              <w:top w:val="nil"/>
              <w:left w:val="nil"/>
              <w:bottom w:val="single" w:sz="4" w:space="0" w:color="auto"/>
              <w:right w:val="single" w:sz="4" w:space="0" w:color="auto"/>
            </w:tcBorders>
            <w:shd w:val="clear" w:color="auto" w:fill="auto"/>
            <w:noWrap/>
            <w:vAlign w:val="bottom"/>
            <w:hideMark/>
          </w:tcPr>
          <w:p w14:paraId="6070E1FD"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65" w:type="pct"/>
            <w:tcBorders>
              <w:top w:val="nil"/>
              <w:left w:val="nil"/>
              <w:bottom w:val="single" w:sz="4" w:space="0" w:color="auto"/>
              <w:right w:val="single" w:sz="4" w:space="0" w:color="auto"/>
            </w:tcBorders>
            <w:shd w:val="clear" w:color="auto" w:fill="auto"/>
            <w:noWrap/>
            <w:vAlign w:val="bottom"/>
            <w:hideMark/>
          </w:tcPr>
          <w:p w14:paraId="659A902F"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17.561.056 </w:t>
            </w:r>
          </w:p>
        </w:tc>
      </w:tr>
      <w:tr w:rsidR="002A4D61" w:rsidRPr="00E81452" w14:paraId="35347C84" w14:textId="77777777" w:rsidTr="00970522">
        <w:trPr>
          <w:trHeight w:val="261"/>
        </w:trPr>
        <w:tc>
          <w:tcPr>
            <w:tcW w:w="1278" w:type="pct"/>
            <w:tcBorders>
              <w:top w:val="nil"/>
              <w:left w:val="single" w:sz="4" w:space="0" w:color="auto"/>
              <w:bottom w:val="single" w:sz="4" w:space="0" w:color="auto"/>
              <w:right w:val="single" w:sz="4" w:space="0" w:color="auto"/>
            </w:tcBorders>
            <w:shd w:val="clear" w:color="auto" w:fill="auto"/>
            <w:vAlign w:val="center"/>
            <w:hideMark/>
          </w:tcPr>
          <w:p w14:paraId="391A991A" w14:textId="77777777" w:rsidR="002A4D61" w:rsidRPr="00E446C3" w:rsidRDefault="002A4D61" w:rsidP="002A4D61">
            <w:pPr>
              <w:rPr>
                <w:rFonts w:ascii="Arial" w:hAnsi="Arial" w:cs="Arial"/>
                <w:color w:val="000000"/>
                <w:sz w:val="16"/>
                <w:szCs w:val="16"/>
                <w:lang w:eastAsia="es-AR"/>
              </w:rPr>
            </w:pPr>
            <w:r w:rsidRPr="00E446C3">
              <w:rPr>
                <w:rFonts w:ascii="Arial" w:hAnsi="Arial" w:cs="Arial"/>
                <w:color w:val="000000"/>
                <w:sz w:val="16"/>
                <w:szCs w:val="16"/>
                <w:lang w:eastAsia="es-AR"/>
              </w:rPr>
              <w:t>Obligaciones negociables subordinadas</w:t>
            </w:r>
          </w:p>
        </w:tc>
        <w:tc>
          <w:tcPr>
            <w:tcW w:w="608" w:type="pct"/>
            <w:tcBorders>
              <w:top w:val="nil"/>
              <w:left w:val="nil"/>
              <w:bottom w:val="single" w:sz="4" w:space="0" w:color="auto"/>
              <w:right w:val="single" w:sz="4" w:space="0" w:color="auto"/>
            </w:tcBorders>
            <w:shd w:val="clear" w:color="auto" w:fill="auto"/>
            <w:noWrap/>
            <w:vAlign w:val="bottom"/>
            <w:hideMark/>
          </w:tcPr>
          <w:p w14:paraId="4C704932"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31" w:type="pct"/>
            <w:tcBorders>
              <w:top w:val="nil"/>
              <w:left w:val="nil"/>
              <w:bottom w:val="single" w:sz="4" w:space="0" w:color="auto"/>
              <w:right w:val="single" w:sz="4" w:space="0" w:color="auto"/>
            </w:tcBorders>
            <w:shd w:val="clear" w:color="auto" w:fill="auto"/>
            <w:noWrap/>
            <w:vAlign w:val="bottom"/>
            <w:hideMark/>
          </w:tcPr>
          <w:p w14:paraId="0AB4D956"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48.321 </w:t>
            </w:r>
          </w:p>
        </w:tc>
        <w:tc>
          <w:tcPr>
            <w:tcW w:w="606" w:type="pct"/>
            <w:tcBorders>
              <w:top w:val="nil"/>
              <w:left w:val="nil"/>
              <w:bottom w:val="single" w:sz="4" w:space="0" w:color="auto"/>
              <w:right w:val="single" w:sz="4" w:space="0" w:color="auto"/>
            </w:tcBorders>
            <w:shd w:val="clear" w:color="auto" w:fill="auto"/>
            <w:noWrap/>
            <w:vAlign w:val="bottom"/>
            <w:hideMark/>
          </w:tcPr>
          <w:p w14:paraId="5702675F"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48.121 </w:t>
            </w:r>
          </w:p>
        </w:tc>
        <w:tc>
          <w:tcPr>
            <w:tcW w:w="606" w:type="pct"/>
            <w:tcBorders>
              <w:top w:val="nil"/>
              <w:left w:val="nil"/>
              <w:bottom w:val="single" w:sz="4" w:space="0" w:color="auto"/>
              <w:right w:val="single" w:sz="4" w:space="0" w:color="auto"/>
            </w:tcBorders>
            <w:shd w:val="clear" w:color="auto" w:fill="auto"/>
            <w:noWrap/>
            <w:vAlign w:val="bottom"/>
            <w:hideMark/>
          </w:tcPr>
          <w:p w14:paraId="12448B05"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1.491.641 </w:t>
            </w:r>
          </w:p>
        </w:tc>
        <w:tc>
          <w:tcPr>
            <w:tcW w:w="606" w:type="pct"/>
            <w:tcBorders>
              <w:top w:val="nil"/>
              <w:left w:val="nil"/>
              <w:bottom w:val="single" w:sz="4" w:space="0" w:color="auto"/>
              <w:right w:val="single" w:sz="4" w:space="0" w:color="auto"/>
            </w:tcBorders>
            <w:shd w:val="clear" w:color="auto" w:fill="auto"/>
            <w:noWrap/>
            <w:vAlign w:val="bottom"/>
            <w:hideMark/>
          </w:tcPr>
          <w:p w14:paraId="6A95FAAF"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 </w:t>
            </w:r>
          </w:p>
        </w:tc>
        <w:tc>
          <w:tcPr>
            <w:tcW w:w="665" w:type="pct"/>
            <w:tcBorders>
              <w:top w:val="nil"/>
              <w:left w:val="nil"/>
              <w:bottom w:val="single" w:sz="4" w:space="0" w:color="auto"/>
              <w:right w:val="single" w:sz="4" w:space="0" w:color="auto"/>
            </w:tcBorders>
            <w:shd w:val="clear" w:color="auto" w:fill="auto"/>
            <w:noWrap/>
            <w:vAlign w:val="bottom"/>
            <w:hideMark/>
          </w:tcPr>
          <w:p w14:paraId="16BEEA70" w14:textId="77777777" w:rsidR="002A4D61" w:rsidRPr="00E446C3" w:rsidRDefault="002A4D61" w:rsidP="002A4D61">
            <w:pPr>
              <w:jc w:val="right"/>
              <w:rPr>
                <w:rFonts w:ascii="Arial" w:hAnsi="Arial" w:cs="Arial"/>
                <w:color w:val="000000"/>
                <w:sz w:val="16"/>
                <w:szCs w:val="16"/>
                <w:lang w:eastAsia="es-AR"/>
              </w:rPr>
            </w:pPr>
            <w:r w:rsidRPr="00E446C3">
              <w:rPr>
                <w:rFonts w:ascii="Arial" w:hAnsi="Arial" w:cs="Arial"/>
                <w:color w:val="000000"/>
                <w:sz w:val="16"/>
                <w:szCs w:val="16"/>
                <w:lang w:eastAsia="es-AR"/>
              </w:rPr>
              <w:t xml:space="preserve">1.588.083 </w:t>
            </w:r>
          </w:p>
        </w:tc>
      </w:tr>
    </w:tbl>
    <w:p w14:paraId="3999A5C7" w14:textId="77777777" w:rsidR="002A4D61" w:rsidRDefault="002A4D61" w:rsidP="002A4D61">
      <w:pPr>
        <w:tabs>
          <w:tab w:val="left" w:pos="142"/>
        </w:tabs>
        <w:jc w:val="both"/>
        <w:rPr>
          <w:rFonts w:ascii="Arial" w:hAnsi="Arial" w:cs="Arial"/>
          <w:b/>
          <w:sz w:val="20"/>
        </w:rPr>
      </w:pPr>
    </w:p>
    <w:p w14:paraId="7E6FD9E6" w14:textId="77777777" w:rsidR="002A4D61" w:rsidRPr="00555D99" w:rsidRDefault="002A4D61" w:rsidP="002A4D61">
      <w:pPr>
        <w:tabs>
          <w:tab w:val="left" w:pos="142"/>
        </w:tabs>
        <w:jc w:val="both"/>
        <w:rPr>
          <w:rFonts w:ascii="Arial" w:hAnsi="Arial" w:cs="Arial"/>
          <w:b/>
          <w:caps/>
          <w:sz w:val="20"/>
        </w:rPr>
      </w:pPr>
      <w:r>
        <w:rPr>
          <w:rFonts w:ascii="Arial" w:hAnsi="Arial" w:cs="Arial"/>
          <w:b/>
          <w:sz w:val="20"/>
        </w:rPr>
        <w:t>24.</w:t>
      </w:r>
      <w:r w:rsidRPr="00555D99">
        <w:rPr>
          <w:rFonts w:ascii="Arial" w:hAnsi="Arial" w:cs="Arial"/>
          <w:b/>
          <w:caps/>
          <w:sz w:val="20"/>
        </w:rPr>
        <w:t xml:space="preserve"> Administración del capital</w:t>
      </w:r>
    </w:p>
    <w:p w14:paraId="24074916" w14:textId="77777777" w:rsidR="002A4D61" w:rsidRPr="00701F32" w:rsidRDefault="002A4D61" w:rsidP="002A4D61">
      <w:pPr>
        <w:tabs>
          <w:tab w:val="left" w:pos="142"/>
        </w:tabs>
        <w:jc w:val="both"/>
        <w:rPr>
          <w:rFonts w:ascii="Arial" w:hAnsi="Arial" w:cs="Arial"/>
          <w:sz w:val="20"/>
        </w:rPr>
      </w:pPr>
    </w:p>
    <w:p w14:paraId="468BA6A3" w14:textId="7F8FE676" w:rsidR="002A4D61" w:rsidRDefault="002A4D61" w:rsidP="002A4D61">
      <w:pPr>
        <w:tabs>
          <w:tab w:val="left" w:pos="142"/>
        </w:tabs>
        <w:jc w:val="both"/>
        <w:rPr>
          <w:rFonts w:ascii="Arial" w:hAnsi="Arial" w:cs="Arial"/>
          <w:sz w:val="20"/>
        </w:rPr>
      </w:pPr>
      <w:r w:rsidRPr="00701F32">
        <w:rPr>
          <w:rFonts w:ascii="Arial" w:hAnsi="Arial" w:cs="Arial"/>
          <w:sz w:val="20"/>
        </w:rPr>
        <w:t>Los objetivos del Banco en cuanto a la administración del capital se establecen a continuación:</w:t>
      </w:r>
    </w:p>
    <w:p w14:paraId="4E8934FA" w14:textId="77777777" w:rsidR="00EB601A" w:rsidRPr="00701F32" w:rsidRDefault="00EB601A" w:rsidP="002A4D61">
      <w:pPr>
        <w:tabs>
          <w:tab w:val="left" w:pos="142"/>
        </w:tabs>
        <w:jc w:val="both"/>
        <w:rPr>
          <w:rFonts w:ascii="Arial" w:hAnsi="Arial" w:cs="Arial"/>
          <w:sz w:val="20"/>
        </w:rPr>
      </w:pPr>
    </w:p>
    <w:p w14:paraId="7684864A" w14:textId="77777777" w:rsidR="002A4D61" w:rsidRPr="00701F32" w:rsidRDefault="002A4D61" w:rsidP="002A4D61">
      <w:pPr>
        <w:pStyle w:val="Prrafodelista"/>
        <w:numPr>
          <w:ilvl w:val="0"/>
          <w:numId w:val="81"/>
        </w:numPr>
        <w:tabs>
          <w:tab w:val="left" w:pos="142"/>
        </w:tabs>
        <w:contextualSpacing/>
        <w:jc w:val="both"/>
        <w:rPr>
          <w:rFonts w:ascii="Arial" w:hAnsi="Arial" w:cs="Arial"/>
          <w:sz w:val="20"/>
        </w:rPr>
      </w:pPr>
      <w:r w:rsidRPr="00701F32">
        <w:rPr>
          <w:rFonts w:ascii="Arial" w:hAnsi="Arial" w:cs="Arial"/>
          <w:sz w:val="20"/>
        </w:rPr>
        <w:t>Cumplimiento de</w:t>
      </w:r>
      <w:r>
        <w:rPr>
          <w:rFonts w:ascii="Arial" w:hAnsi="Arial" w:cs="Arial"/>
          <w:sz w:val="20"/>
        </w:rPr>
        <w:t xml:space="preserve"> </w:t>
      </w:r>
      <w:r w:rsidRPr="00701F32">
        <w:rPr>
          <w:rFonts w:ascii="Arial" w:hAnsi="Arial" w:cs="Arial"/>
          <w:sz w:val="20"/>
        </w:rPr>
        <w:t>los requerimiento</w:t>
      </w:r>
      <w:r>
        <w:rPr>
          <w:rFonts w:ascii="Arial" w:hAnsi="Arial" w:cs="Arial"/>
          <w:sz w:val="20"/>
        </w:rPr>
        <w:t>s</w:t>
      </w:r>
      <w:r w:rsidRPr="00701F32">
        <w:rPr>
          <w:rFonts w:ascii="Arial" w:hAnsi="Arial" w:cs="Arial"/>
          <w:sz w:val="20"/>
        </w:rPr>
        <w:t xml:space="preserve"> establecidos por el BCRA en su comunicación “A” 6260 y modificatorias</w:t>
      </w:r>
    </w:p>
    <w:p w14:paraId="5520C53C" w14:textId="77777777" w:rsidR="002A4D61" w:rsidRPr="00701F32" w:rsidRDefault="002A4D61" w:rsidP="002A4D61">
      <w:pPr>
        <w:pStyle w:val="Prrafodelista"/>
        <w:numPr>
          <w:ilvl w:val="0"/>
          <w:numId w:val="81"/>
        </w:numPr>
        <w:tabs>
          <w:tab w:val="left" w:pos="142"/>
        </w:tabs>
        <w:contextualSpacing/>
        <w:jc w:val="both"/>
        <w:rPr>
          <w:rFonts w:ascii="Arial" w:hAnsi="Arial" w:cs="Arial"/>
          <w:sz w:val="20"/>
        </w:rPr>
      </w:pPr>
      <w:r w:rsidRPr="00701F32">
        <w:rPr>
          <w:rFonts w:ascii="Arial" w:hAnsi="Arial" w:cs="Arial"/>
          <w:sz w:val="20"/>
        </w:rPr>
        <w:t>Respaldar las operaciones del Banco para evita</w:t>
      </w:r>
      <w:r>
        <w:rPr>
          <w:rFonts w:ascii="Arial" w:hAnsi="Arial" w:cs="Arial"/>
          <w:sz w:val="20"/>
        </w:rPr>
        <w:t>r</w:t>
      </w:r>
      <w:r w:rsidRPr="00701F32">
        <w:rPr>
          <w:rFonts w:ascii="Arial" w:hAnsi="Arial" w:cs="Arial"/>
          <w:sz w:val="20"/>
        </w:rPr>
        <w:t xml:space="preserve"> cualquier situación que ponga en riesgo la operatoria de la Entidad</w:t>
      </w:r>
    </w:p>
    <w:p w14:paraId="653B6E7A" w14:textId="77777777" w:rsidR="002A4D61" w:rsidRPr="00701F32" w:rsidRDefault="002A4D61" w:rsidP="002A4D61">
      <w:pPr>
        <w:tabs>
          <w:tab w:val="left" w:pos="142"/>
        </w:tabs>
        <w:jc w:val="both"/>
        <w:rPr>
          <w:rFonts w:ascii="Arial" w:hAnsi="Arial" w:cs="Arial"/>
          <w:color w:val="3333FF"/>
          <w:sz w:val="20"/>
        </w:rPr>
      </w:pPr>
    </w:p>
    <w:p w14:paraId="340A3CCD" w14:textId="31B6C91E" w:rsidR="002A4D61" w:rsidRPr="00701F32" w:rsidRDefault="002A4D61" w:rsidP="002A4D61">
      <w:pPr>
        <w:tabs>
          <w:tab w:val="left" w:pos="142"/>
        </w:tabs>
        <w:jc w:val="both"/>
        <w:rPr>
          <w:rFonts w:ascii="Arial" w:hAnsi="Arial" w:cs="Arial"/>
          <w:sz w:val="20"/>
        </w:rPr>
      </w:pPr>
      <w:r w:rsidRPr="00701F32">
        <w:rPr>
          <w:rFonts w:ascii="Arial" w:hAnsi="Arial" w:cs="Arial"/>
          <w:sz w:val="20"/>
        </w:rPr>
        <w:t xml:space="preserve">El total de capital bajo administración y regulación al 31 de diciembre de </w:t>
      </w:r>
      <w:r>
        <w:rPr>
          <w:rFonts w:ascii="Arial" w:hAnsi="Arial" w:cs="Arial"/>
          <w:sz w:val="20"/>
        </w:rPr>
        <w:t>201</w:t>
      </w:r>
      <w:r w:rsidR="00970522">
        <w:rPr>
          <w:rFonts w:ascii="Arial" w:hAnsi="Arial" w:cs="Arial"/>
          <w:sz w:val="20"/>
        </w:rPr>
        <w:t>9</w:t>
      </w:r>
      <w:r>
        <w:rPr>
          <w:rFonts w:ascii="Arial" w:hAnsi="Arial" w:cs="Arial"/>
          <w:sz w:val="20"/>
        </w:rPr>
        <w:t xml:space="preserve"> y </w:t>
      </w:r>
      <w:r w:rsidRPr="00701F32">
        <w:rPr>
          <w:rFonts w:ascii="Arial" w:hAnsi="Arial" w:cs="Arial"/>
          <w:sz w:val="20"/>
        </w:rPr>
        <w:t>201</w:t>
      </w:r>
      <w:r w:rsidR="00970522">
        <w:rPr>
          <w:rFonts w:ascii="Arial" w:hAnsi="Arial" w:cs="Arial"/>
          <w:sz w:val="20"/>
        </w:rPr>
        <w:t>8</w:t>
      </w:r>
      <w:r w:rsidRPr="00701F32">
        <w:rPr>
          <w:rFonts w:ascii="Arial" w:hAnsi="Arial" w:cs="Arial"/>
          <w:sz w:val="20"/>
        </w:rPr>
        <w:t xml:space="preserve"> está compuesto de la siguiente manera (valor de libros):</w:t>
      </w:r>
    </w:p>
    <w:p w14:paraId="1DAF0E9A" w14:textId="77777777" w:rsidR="002A4D61" w:rsidRPr="00701F32" w:rsidRDefault="002A4D61" w:rsidP="002A4D61">
      <w:pPr>
        <w:tabs>
          <w:tab w:val="left" w:pos="142"/>
        </w:tabs>
        <w:jc w:val="both"/>
        <w:rPr>
          <w:rFonts w:ascii="Arial" w:hAnsi="Arial" w:cs="Arial"/>
          <w:sz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gridCol w:w="1953"/>
        <w:gridCol w:w="2224"/>
      </w:tblGrid>
      <w:tr w:rsidR="002A4D61" w:rsidRPr="00701F32" w14:paraId="4860BFC7" w14:textId="77777777" w:rsidTr="002A4D61">
        <w:trPr>
          <w:trHeight w:val="205"/>
          <w:tblHeader/>
        </w:trPr>
        <w:tc>
          <w:tcPr>
            <w:tcW w:w="4010" w:type="dxa"/>
            <w:vAlign w:val="center"/>
          </w:tcPr>
          <w:p w14:paraId="5FCFEF8D" w14:textId="77777777" w:rsidR="002A4D61" w:rsidRPr="00701F32" w:rsidRDefault="002A4D61" w:rsidP="002A4D61">
            <w:pPr>
              <w:widowControl w:val="0"/>
              <w:autoSpaceDE w:val="0"/>
              <w:autoSpaceDN w:val="0"/>
              <w:adjustRightInd w:val="0"/>
              <w:jc w:val="both"/>
              <w:rPr>
                <w:rFonts w:ascii="Arial" w:hAnsi="Arial" w:cs="Arial"/>
                <w:b/>
                <w:noProof/>
                <w:sz w:val="20"/>
              </w:rPr>
            </w:pPr>
          </w:p>
        </w:tc>
        <w:tc>
          <w:tcPr>
            <w:tcW w:w="1953" w:type="dxa"/>
          </w:tcPr>
          <w:p w14:paraId="4725EA9C" w14:textId="75BB6828" w:rsidR="002A4D61" w:rsidRPr="00701F32" w:rsidRDefault="002A4D61" w:rsidP="002A4D61">
            <w:pPr>
              <w:jc w:val="center"/>
              <w:rPr>
                <w:rFonts w:ascii="Arial" w:hAnsi="Arial" w:cs="Arial"/>
                <w:b/>
                <w:sz w:val="20"/>
              </w:rPr>
            </w:pPr>
            <w:r>
              <w:rPr>
                <w:rFonts w:ascii="Arial" w:hAnsi="Arial" w:cs="Arial"/>
                <w:b/>
                <w:sz w:val="20"/>
              </w:rPr>
              <w:t>31/12/201</w:t>
            </w:r>
            <w:r w:rsidR="00970522">
              <w:rPr>
                <w:rFonts w:ascii="Arial" w:hAnsi="Arial" w:cs="Arial"/>
                <w:b/>
                <w:sz w:val="20"/>
              </w:rPr>
              <w:t>9</w:t>
            </w:r>
          </w:p>
        </w:tc>
        <w:tc>
          <w:tcPr>
            <w:tcW w:w="2224" w:type="dxa"/>
          </w:tcPr>
          <w:p w14:paraId="14A63C37" w14:textId="13BDC4C0" w:rsidR="002A4D61" w:rsidRPr="00701F32" w:rsidRDefault="002A4D61" w:rsidP="002A4D61">
            <w:pPr>
              <w:jc w:val="center"/>
              <w:rPr>
                <w:rFonts w:ascii="Arial" w:hAnsi="Arial" w:cs="Arial"/>
                <w:b/>
                <w:sz w:val="20"/>
              </w:rPr>
            </w:pPr>
            <w:r w:rsidRPr="00701F32">
              <w:rPr>
                <w:rFonts w:ascii="Arial" w:hAnsi="Arial" w:cs="Arial"/>
                <w:b/>
                <w:sz w:val="20"/>
              </w:rPr>
              <w:t>31/12/201</w:t>
            </w:r>
            <w:r w:rsidR="00970522">
              <w:rPr>
                <w:rFonts w:ascii="Arial" w:hAnsi="Arial" w:cs="Arial"/>
                <w:b/>
                <w:sz w:val="20"/>
              </w:rPr>
              <w:t>8</w:t>
            </w:r>
          </w:p>
        </w:tc>
      </w:tr>
      <w:tr w:rsidR="00970522" w:rsidRPr="00701F32" w14:paraId="522322A8" w14:textId="77777777" w:rsidTr="00FF21C0">
        <w:trPr>
          <w:trHeight w:val="205"/>
        </w:trPr>
        <w:tc>
          <w:tcPr>
            <w:tcW w:w="4010" w:type="dxa"/>
            <w:vAlign w:val="center"/>
          </w:tcPr>
          <w:p w14:paraId="42AA1F2B" w14:textId="77777777" w:rsidR="00970522" w:rsidRPr="00701F32" w:rsidRDefault="00970522" w:rsidP="00970522">
            <w:pPr>
              <w:widowControl w:val="0"/>
              <w:autoSpaceDE w:val="0"/>
              <w:autoSpaceDN w:val="0"/>
              <w:adjustRightInd w:val="0"/>
              <w:jc w:val="both"/>
              <w:rPr>
                <w:rFonts w:ascii="Arial" w:hAnsi="Arial" w:cs="Arial"/>
                <w:noProof/>
                <w:sz w:val="20"/>
              </w:rPr>
            </w:pPr>
            <w:r w:rsidRPr="00701F32">
              <w:rPr>
                <w:rFonts w:ascii="Arial" w:hAnsi="Arial" w:cs="Arial"/>
                <w:noProof/>
                <w:sz w:val="20"/>
              </w:rPr>
              <w:t>- Capital social</w:t>
            </w:r>
          </w:p>
        </w:tc>
        <w:tc>
          <w:tcPr>
            <w:tcW w:w="1953" w:type="dxa"/>
          </w:tcPr>
          <w:p w14:paraId="137A815A" w14:textId="7CC0BBA2" w:rsidR="00970522" w:rsidRPr="00701F32" w:rsidRDefault="000A1F75" w:rsidP="00970522">
            <w:pPr>
              <w:jc w:val="right"/>
              <w:rPr>
                <w:rFonts w:ascii="Arial" w:hAnsi="Arial" w:cs="Arial"/>
                <w:sz w:val="20"/>
              </w:rPr>
            </w:pPr>
            <w:r>
              <w:rPr>
                <w:rFonts w:ascii="Arial" w:hAnsi="Arial" w:cs="Arial"/>
                <w:sz w:val="20"/>
              </w:rPr>
              <w:t>829.564</w:t>
            </w:r>
          </w:p>
        </w:tc>
        <w:tc>
          <w:tcPr>
            <w:tcW w:w="2224" w:type="dxa"/>
          </w:tcPr>
          <w:p w14:paraId="5DC10D2B" w14:textId="11532646" w:rsidR="00970522" w:rsidRPr="00701F32" w:rsidRDefault="00970522" w:rsidP="00970522">
            <w:pPr>
              <w:jc w:val="right"/>
              <w:rPr>
                <w:rFonts w:ascii="Arial" w:hAnsi="Arial" w:cs="Arial"/>
                <w:sz w:val="20"/>
              </w:rPr>
            </w:pPr>
            <w:r>
              <w:rPr>
                <w:rFonts w:ascii="Arial" w:hAnsi="Arial" w:cs="Arial"/>
                <w:sz w:val="20"/>
              </w:rPr>
              <w:t>808.852</w:t>
            </w:r>
          </w:p>
        </w:tc>
      </w:tr>
      <w:tr w:rsidR="00970522" w:rsidRPr="00701F32" w14:paraId="0EA976BE" w14:textId="77777777" w:rsidTr="00FF21C0">
        <w:trPr>
          <w:trHeight w:val="205"/>
        </w:trPr>
        <w:tc>
          <w:tcPr>
            <w:tcW w:w="4010" w:type="dxa"/>
            <w:vAlign w:val="center"/>
          </w:tcPr>
          <w:p w14:paraId="28F5606C" w14:textId="77777777" w:rsidR="00970522" w:rsidRPr="00701F32" w:rsidRDefault="00970522" w:rsidP="00970522">
            <w:pPr>
              <w:widowControl w:val="0"/>
              <w:autoSpaceDE w:val="0"/>
              <w:autoSpaceDN w:val="0"/>
              <w:adjustRightInd w:val="0"/>
              <w:jc w:val="both"/>
              <w:rPr>
                <w:rFonts w:ascii="Arial" w:hAnsi="Arial" w:cs="Arial"/>
                <w:noProof/>
                <w:sz w:val="20"/>
              </w:rPr>
            </w:pPr>
            <w:r w:rsidRPr="00701F32">
              <w:rPr>
                <w:rFonts w:ascii="Arial" w:hAnsi="Arial" w:cs="Arial"/>
                <w:noProof/>
                <w:sz w:val="20"/>
              </w:rPr>
              <w:t>- Primas de emisión</w:t>
            </w:r>
          </w:p>
        </w:tc>
        <w:tc>
          <w:tcPr>
            <w:tcW w:w="1953" w:type="dxa"/>
          </w:tcPr>
          <w:p w14:paraId="6880DD75" w14:textId="27665B95" w:rsidR="00970522" w:rsidRPr="00701F32" w:rsidRDefault="000A1F75" w:rsidP="00970522">
            <w:pPr>
              <w:jc w:val="right"/>
              <w:rPr>
                <w:rFonts w:ascii="Arial" w:hAnsi="Arial" w:cs="Arial"/>
                <w:sz w:val="20"/>
              </w:rPr>
            </w:pPr>
            <w:r>
              <w:rPr>
                <w:rFonts w:ascii="Arial" w:hAnsi="Arial" w:cs="Arial"/>
                <w:sz w:val="20"/>
              </w:rPr>
              <w:t>6.898.635</w:t>
            </w:r>
          </w:p>
        </w:tc>
        <w:tc>
          <w:tcPr>
            <w:tcW w:w="2224" w:type="dxa"/>
          </w:tcPr>
          <w:p w14:paraId="32BCC39F" w14:textId="3BA2957D" w:rsidR="00970522" w:rsidRPr="00701F32" w:rsidRDefault="00970522" w:rsidP="00970522">
            <w:pPr>
              <w:jc w:val="right"/>
              <w:rPr>
                <w:rFonts w:ascii="Arial" w:hAnsi="Arial" w:cs="Arial"/>
                <w:sz w:val="20"/>
              </w:rPr>
            </w:pPr>
            <w:r>
              <w:rPr>
                <w:rFonts w:ascii="Arial" w:hAnsi="Arial" w:cs="Arial"/>
                <w:sz w:val="20"/>
              </w:rPr>
              <w:t>6.444.347</w:t>
            </w:r>
          </w:p>
        </w:tc>
      </w:tr>
      <w:tr w:rsidR="00970522" w:rsidRPr="00701F32" w14:paraId="5317E329" w14:textId="77777777" w:rsidTr="00FF21C0">
        <w:trPr>
          <w:trHeight w:val="205"/>
        </w:trPr>
        <w:tc>
          <w:tcPr>
            <w:tcW w:w="4010" w:type="dxa"/>
            <w:vAlign w:val="center"/>
          </w:tcPr>
          <w:p w14:paraId="163D118C" w14:textId="77777777" w:rsidR="00970522" w:rsidRPr="00701F32" w:rsidRDefault="00970522" w:rsidP="00970522">
            <w:pPr>
              <w:widowControl w:val="0"/>
              <w:autoSpaceDE w:val="0"/>
              <w:autoSpaceDN w:val="0"/>
              <w:adjustRightInd w:val="0"/>
              <w:jc w:val="both"/>
              <w:rPr>
                <w:rFonts w:ascii="Arial" w:hAnsi="Arial" w:cs="Arial"/>
                <w:noProof/>
                <w:sz w:val="20"/>
              </w:rPr>
            </w:pPr>
            <w:r w:rsidRPr="00701F32">
              <w:rPr>
                <w:rFonts w:ascii="Arial" w:hAnsi="Arial" w:cs="Arial"/>
                <w:noProof/>
                <w:sz w:val="20"/>
              </w:rPr>
              <w:t>- Reservas</w:t>
            </w:r>
          </w:p>
        </w:tc>
        <w:tc>
          <w:tcPr>
            <w:tcW w:w="1953" w:type="dxa"/>
          </w:tcPr>
          <w:p w14:paraId="3FD6D604" w14:textId="1BCBC6FF" w:rsidR="00970522" w:rsidRPr="00701F32" w:rsidRDefault="000A1F75" w:rsidP="00970522">
            <w:pPr>
              <w:jc w:val="right"/>
              <w:rPr>
                <w:rFonts w:ascii="Arial" w:hAnsi="Arial" w:cs="Arial"/>
                <w:sz w:val="20"/>
              </w:rPr>
            </w:pPr>
            <w:r>
              <w:rPr>
                <w:rFonts w:ascii="Arial" w:hAnsi="Arial" w:cs="Arial"/>
                <w:sz w:val="20"/>
              </w:rPr>
              <w:t>5.342.776</w:t>
            </w:r>
          </w:p>
        </w:tc>
        <w:tc>
          <w:tcPr>
            <w:tcW w:w="2224" w:type="dxa"/>
          </w:tcPr>
          <w:p w14:paraId="2FDD2D19" w14:textId="29222045" w:rsidR="00970522" w:rsidRPr="00701F32" w:rsidRDefault="00970522" w:rsidP="00970522">
            <w:pPr>
              <w:jc w:val="right"/>
              <w:rPr>
                <w:rFonts w:ascii="Arial" w:hAnsi="Arial" w:cs="Arial"/>
                <w:sz w:val="20"/>
              </w:rPr>
            </w:pPr>
            <w:r>
              <w:rPr>
                <w:rFonts w:ascii="Arial" w:hAnsi="Arial" w:cs="Arial"/>
                <w:sz w:val="20"/>
              </w:rPr>
              <w:t>4.602.483</w:t>
            </w:r>
          </w:p>
        </w:tc>
      </w:tr>
      <w:tr w:rsidR="00970522" w:rsidRPr="00701F32" w14:paraId="52F108AE" w14:textId="77777777" w:rsidTr="00FF21C0">
        <w:trPr>
          <w:trHeight w:val="205"/>
        </w:trPr>
        <w:tc>
          <w:tcPr>
            <w:tcW w:w="4010" w:type="dxa"/>
            <w:vAlign w:val="center"/>
          </w:tcPr>
          <w:p w14:paraId="567275E2" w14:textId="77777777" w:rsidR="00970522" w:rsidRPr="00701F32" w:rsidRDefault="00970522" w:rsidP="00970522">
            <w:pPr>
              <w:widowControl w:val="0"/>
              <w:autoSpaceDE w:val="0"/>
              <w:autoSpaceDN w:val="0"/>
              <w:adjustRightInd w:val="0"/>
              <w:jc w:val="both"/>
              <w:rPr>
                <w:rFonts w:ascii="Arial" w:hAnsi="Arial" w:cs="Arial"/>
                <w:noProof/>
                <w:sz w:val="20"/>
              </w:rPr>
            </w:pPr>
            <w:r w:rsidRPr="00701F32">
              <w:rPr>
                <w:rFonts w:ascii="Arial" w:hAnsi="Arial" w:cs="Arial"/>
                <w:noProof/>
                <w:sz w:val="20"/>
              </w:rPr>
              <w:t xml:space="preserve">- Resultados no asignados </w:t>
            </w:r>
          </w:p>
        </w:tc>
        <w:tc>
          <w:tcPr>
            <w:tcW w:w="1953" w:type="dxa"/>
          </w:tcPr>
          <w:p w14:paraId="00213EB7" w14:textId="48F67D5A" w:rsidR="00970522" w:rsidRPr="00701F32" w:rsidRDefault="00AF7176" w:rsidP="00970522">
            <w:pPr>
              <w:jc w:val="right"/>
              <w:rPr>
                <w:rFonts w:ascii="Arial" w:hAnsi="Arial" w:cs="Arial"/>
                <w:sz w:val="20"/>
              </w:rPr>
            </w:pPr>
            <w:r>
              <w:rPr>
                <w:rFonts w:ascii="Arial" w:hAnsi="Arial" w:cs="Arial"/>
                <w:sz w:val="20"/>
              </w:rPr>
              <w:t>3.3</w:t>
            </w:r>
            <w:r w:rsidR="00E14D53">
              <w:rPr>
                <w:rFonts w:ascii="Arial" w:hAnsi="Arial" w:cs="Arial"/>
                <w:sz w:val="20"/>
              </w:rPr>
              <w:t>29</w:t>
            </w:r>
            <w:r>
              <w:rPr>
                <w:rFonts w:ascii="Arial" w:hAnsi="Arial" w:cs="Arial"/>
                <w:sz w:val="20"/>
              </w:rPr>
              <w:t>.</w:t>
            </w:r>
            <w:r w:rsidR="00E14D53">
              <w:rPr>
                <w:rFonts w:ascii="Arial" w:hAnsi="Arial" w:cs="Arial"/>
                <w:sz w:val="20"/>
              </w:rPr>
              <w:t>039</w:t>
            </w:r>
          </w:p>
        </w:tc>
        <w:tc>
          <w:tcPr>
            <w:tcW w:w="2224" w:type="dxa"/>
          </w:tcPr>
          <w:p w14:paraId="166F9D44" w14:textId="379D7B3A" w:rsidR="00970522" w:rsidRPr="00701F32" w:rsidDel="00872814" w:rsidRDefault="00970522" w:rsidP="00970522">
            <w:pPr>
              <w:jc w:val="right"/>
              <w:rPr>
                <w:rFonts w:ascii="Arial" w:hAnsi="Arial" w:cs="Arial"/>
                <w:sz w:val="20"/>
              </w:rPr>
            </w:pPr>
            <w:r>
              <w:rPr>
                <w:rFonts w:ascii="Arial" w:hAnsi="Arial" w:cs="Arial"/>
                <w:sz w:val="20"/>
              </w:rPr>
              <w:t>740.</w:t>
            </w:r>
            <w:r w:rsidR="00583E03">
              <w:rPr>
                <w:rFonts w:ascii="Arial" w:hAnsi="Arial" w:cs="Arial"/>
                <w:sz w:val="20"/>
              </w:rPr>
              <w:t>293</w:t>
            </w:r>
          </w:p>
        </w:tc>
      </w:tr>
      <w:tr w:rsidR="00970522" w:rsidRPr="00701F32" w14:paraId="47C2E107" w14:textId="77777777" w:rsidTr="00FF21C0">
        <w:trPr>
          <w:trHeight w:val="205"/>
        </w:trPr>
        <w:tc>
          <w:tcPr>
            <w:tcW w:w="4010" w:type="dxa"/>
            <w:vAlign w:val="center"/>
          </w:tcPr>
          <w:p w14:paraId="03E6CE4B" w14:textId="77777777" w:rsidR="00970522" w:rsidRPr="00701F32" w:rsidRDefault="00970522" w:rsidP="00970522">
            <w:pPr>
              <w:widowControl w:val="0"/>
              <w:autoSpaceDE w:val="0"/>
              <w:autoSpaceDN w:val="0"/>
              <w:adjustRightInd w:val="0"/>
              <w:jc w:val="both"/>
              <w:rPr>
                <w:rFonts w:ascii="Arial" w:hAnsi="Arial" w:cs="Arial"/>
                <w:noProof/>
                <w:sz w:val="20"/>
              </w:rPr>
            </w:pPr>
            <w:r w:rsidRPr="00701F32">
              <w:rPr>
                <w:rFonts w:ascii="Arial" w:hAnsi="Arial" w:cs="Arial"/>
                <w:noProof/>
                <w:sz w:val="20"/>
              </w:rPr>
              <w:t>- Otros resultados integrales acumulados</w:t>
            </w:r>
          </w:p>
        </w:tc>
        <w:tc>
          <w:tcPr>
            <w:tcW w:w="1953" w:type="dxa"/>
          </w:tcPr>
          <w:p w14:paraId="4884B916" w14:textId="07838276" w:rsidR="00970522" w:rsidRPr="00701F32" w:rsidRDefault="000A1F75" w:rsidP="00970522">
            <w:pPr>
              <w:jc w:val="right"/>
              <w:rPr>
                <w:rFonts w:ascii="Arial" w:hAnsi="Arial" w:cs="Arial"/>
                <w:sz w:val="20"/>
              </w:rPr>
            </w:pPr>
            <w:r>
              <w:rPr>
                <w:rFonts w:ascii="Arial" w:hAnsi="Arial" w:cs="Arial"/>
                <w:sz w:val="20"/>
              </w:rPr>
              <w:t>1.037.113</w:t>
            </w:r>
          </w:p>
        </w:tc>
        <w:tc>
          <w:tcPr>
            <w:tcW w:w="2224" w:type="dxa"/>
          </w:tcPr>
          <w:p w14:paraId="26BD506B" w14:textId="43597498" w:rsidR="00970522" w:rsidRPr="00701F32" w:rsidRDefault="00970522" w:rsidP="00970522">
            <w:pPr>
              <w:jc w:val="right"/>
              <w:rPr>
                <w:rFonts w:ascii="Arial" w:hAnsi="Arial" w:cs="Arial"/>
                <w:sz w:val="20"/>
              </w:rPr>
            </w:pPr>
            <w:r>
              <w:rPr>
                <w:rFonts w:ascii="Arial" w:hAnsi="Arial" w:cs="Arial"/>
                <w:sz w:val="20"/>
              </w:rPr>
              <w:t>589.504</w:t>
            </w:r>
          </w:p>
        </w:tc>
      </w:tr>
      <w:tr w:rsidR="00970522" w:rsidRPr="00701F32" w14:paraId="4B9D2433" w14:textId="77777777" w:rsidTr="002A4D61">
        <w:trPr>
          <w:trHeight w:val="266"/>
        </w:trPr>
        <w:tc>
          <w:tcPr>
            <w:tcW w:w="4010" w:type="dxa"/>
            <w:vAlign w:val="center"/>
          </w:tcPr>
          <w:p w14:paraId="1A3FA050" w14:textId="77777777" w:rsidR="00970522" w:rsidRPr="00701F32" w:rsidRDefault="00970522" w:rsidP="00970522">
            <w:pPr>
              <w:widowControl w:val="0"/>
              <w:autoSpaceDE w:val="0"/>
              <w:autoSpaceDN w:val="0"/>
              <w:adjustRightInd w:val="0"/>
              <w:jc w:val="both"/>
              <w:rPr>
                <w:rFonts w:ascii="Arial" w:hAnsi="Arial" w:cs="Arial"/>
                <w:b/>
                <w:noProof/>
                <w:sz w:val="20"/>
              </w:rPr>
            </w:pPr>
            <w:r w:rsidRPr="00701F32">
              <w:rPr>
                <w:rFonts w:ascii="Arial" w:hAnsi="Arial" w:cs="Arial"/>
                <w:b/>
                <w:noProof/>
                <w:sz w:val="20"/>
              </w:rPr>
              <w:t>Total del patrimonio neto</w:t>
            </w:r>
          </w:p>
        </w:tc>
        <w:tc>
          <w:tcPr>
            <w:tcW w:w="1953" w:type="dxa"/>
            <w:vAlign w:val="center"/>
          </w:tcPr>
          <w:p w14:paraId="15F5DD94" w14:textId="64DFEA13" w:rsidR="00970522" w:rsidRPr="00701F32" w:rsidRDefault="000A1F75" w:rsidP="00970522">
            <w:pPr>
              <w:jc w:val="right"/>
              <w:rPr>
                <w:rFonts w:ascii="Arial" w:hAnsi="Arial" w:cs="Arial"/>
                <w:b/>
                <w:sz w:val="20"/>
              </w:rPr>
            </w:pPr>
            <w:r>
              <w:rPr>
                <w:rFonts w:ascii="Arial" w:hAnsi="Arial" w:cs="Arial"/>
                <w:b/>
                <w:sz w:val="20"/>
              </w:rPr>
              <w:t>17.4</w:t>
            </w:r>
            <w:r w:rsidR="00E14D53">
              <w:rPr>
                <w:rFonts w:ascii="Arial" w:hAnsi="Arial" w:cs="Arial"/>
                <w:b/>
                <w:sz w:val="20"/>
              </w:rPr>
              <w:t>37</w:t>
            </w:r>
            <w:r w:rsidR="00AF7176">
              <w:rPr>
                <w:rFonts w:ascii="Arial" w:hAnsi="Arial" w:cs="Arial"/>
                <w:b/>
                <w:sz w:val="20"/>
              </w:rPr>
              <w:t>.</w:t>
            </w:r>
            <w:r w:rsidR="00E14D53">
              <w:rPr>
                <w:rFonts w:ascii="Arial" w:hAnsi="Arial" w:cs="Arial"/>
                <w:b/>
                <w:sz w:val="20"/>
              </w:rPr>
              <w:t>127</w:t>
            </w:r>
          </w:p>
        </w:tc>
        <w:tc>
          <w:tcPr>
            <w:tcW w:w="2224" w:type="dxa"/>
            <w:vAlign w:val="center"/>
          </w:tcPr>
          <w:p w14:paraId="1442394E" w14:textId="2F8D3125" w:rsidR="00970522" w:rsidRPr="00701F32" w:rsidRDefault="00970522" w:rsidP="00970522">
            <w:pPr>
              <w:jc w:val="right"/>
              <w:rPr>
                <w:rFonts w:ascii="Arial" w:hAnsi="Arial" w:cs="Arial"/>
                <w:b/>
                <w:sz w:val="20"/>
              </w:rPr>
            </w:pPr>
            <w:r>
              <w:rPr>
                <w:rFonts w:ascii="Arial" w:hAnsi="Arial" w:cs="Arial"/>
                <w:b/>
                <w:sz w:val="20"/>
              </w:rPr>
              <w:t>13.185.</w:t>
            </w:r>
            <w:r w:rsidR="00583E03">
              <w:rPr>
                <w:rFonts w:ascii="Arial" w:hAnsi="Arial" w:cs="Arial"/>
                <w:b/>
                <w:sz w:val="20"/>
              </w:rPr>
              <w:t>479</w:t>
            </w:r>
          </w:p>
        </w:tc>
      </w:tr>
    </w:tbl>
    <w:p w14:paraId="6682A193" w14:textId="77777777" w:rsidR="002A4D61" w:rsidRPr="00701F32" w:rsidRDefault="002A4D61" w:rsidP="002A4D61">
      <w:pPr>
        <w:tabs>
          <w:tab w:val="left" w:pos="709"/>
          <w:tab w:val="left" w:pos="851"/>
        </w:tabs>
        <w:ind w:left="284" w:right="51"/>
        <w:contextualSpacing/>
        <w:jc w:val="both"/>
        <w:rPr>
          <w:rFonts w:ascii="Arial" w:hAnsi="Arial" w:cs="Arial"/>
          <w:b/>
          <w:sz w:val="20"/>
        </w:rPr>
      </w:pPr>
    </w:p>
    <w:p w14:paraId="3C7D7791" w14:textId="77777777" w:rsidR="002A4D61" w:rsidRPr="00701F32" w:rsidRDefault="002A4D61" w:rsidP="002A4D61">
      <w:pPr>
        <w:tabs>
          <w:tab w:val="left" w:pos="142"/>
        </w:tabs>
        <w:jc w:val="both"/>
        <w:rPr>
          <w:rFonts w:ascii="Arial" w:hAnsi="Arial" w:cs="Arial"/>
          <w:sz w:val="20"/>
        </w:rPr>
      </w:pPr>
      <w:r w:rsidRPr="00701F32">
        <w:rPr>
          <w:rFonts w:ascii="Arial" w:hAnsi="Arial" w:cs="Arial"/>
          <w:sz w:val="20"/>
        </w:rPr>
        <w:t xml:space="preserve">El Directorio a través de su Comité de Riesgos es el encargado de monitorear, supervisar, adecuar y asegurar el cumplimiento de los objetivos dispuestos para la administración del capital. </w:t>
      </w:r>
    </w:p>
    <w:p w14:paraId="3460D67C" w14:textId="77777777" w:rsidR="002A4D61" w:rsidRPr="00701F32" w:rsidRDefault="002A4D61" w:rsidP="002A4D61">
      <w:pPr>
        <w:tabs>
          <w:tab w:val="left" w:pos="142"/>
        </w:tabs>
        <w:jc w:val="both"/>
        <w:rPr>
          <w:rFonts w:ascii="Arial" w:hAnsi="Arial" w:cs="Arial"/>
          <w:sz w:val="20"/>
        </w:rPr>
      </w:pPr>
    </w:p>
    <w:p w14:paraId="0211209A" w14:textId="584C168F" w:rsidR="002A4D61" w:rsidRPr="0078593A" w:rsidRDefault="002A4D61" w:rsidP="002A4D61">
      <w:pPr>
        <w:widowControl w:val="0"/>
        <w:autoSpaceDE w:val="0"/>
        <w:autoSpaceDN w:val="0"/>
        <w:adjustRightInd w:val="0"/>
        <w:jc w:val="both"/>
        <w:rPr>
          <w:rFonts w:ascii="Arial" w:hAnsi="Arial" w:cs="Arial"/>
          <w:noProof/>
          <w:sz w:val="20"/>
        </w:rPr>
      </w:pPr>
      <w:r w:rsidRPr="00701F32">
        <w:rPr>
          <w:rFonts w:ascii="Arial" w:hAnsi="Arial" w:cs="Arial"/>
          <w:noProof/>
          <w:sz w:val="20"/>
        </w:rPr>
        <w:t xml:space="preserve">Según los lineamientos establecidos por el BCRA, las entidades financieras deben mantener ratios de capital para reducir los riesgos asociados. Cabe destacar que al </w:t>
      </w:r>
      <w:r>
        <w:rPr>
          <w:rFonts w:ascii="Arial" w:hAnsi="Arial" w:cs="Arial"/>
          <w:noProof/>
          <w:sz w:val="20"/>
        </w:rPr>
        <w:t xml:space="preserve">31 de diciembre de </w:t>
      </w:r>
      <w:r w:rsidR="00970522">
        <w:rPr>
          <w:rFonts w:ascii="Arial" w:hAnsi="Arial" w:cs="Arial"/>
          <w:noProof/>
          <w:sz w:val="20"/>
        </w:rPr>
        <w:t xml:space="preserve">2019 y </w:t>
      </w:r>
      <w:r>
        <w:rPr>
          <w:rFonts w:ascii="Arial" w:hAnsi="Arial" w:cs="Arial"/>
          <w:noProof/>
          <w:sz w:val="20"/>
        </w:rPr>
        <w:t xml:space="preserve">2018 </w:t>
      </w:r>
      <w:r w:rsidRPr="00701F32">
        <w:rPr>
          <w:rFonts w:ascii="Arial" w:hAnsi="Arial" w:cs="Arial"/>
          <w:noProof/>
          <w:sz w:val="20"/>
        </w:rPr>
        <w:t>la Entidad cumplió con la exigencia de capitales mínimos determinada de acuerdo con lo dispuesto por las normas del BCRA.</w:t>
      </w:r>
    </w:p>
    <w:p w14:paraId="661C6758" w14:textId="77777777" w:rsidR="002A4D61" w:rsidRDefault="002A4D61" w:rsidP="002A4D61">
      <w:pPr>
        <w:tabs>
          <w:tab w:val="left" w:pos="142"/>
        </w:tabs>
        <w:jc w:val="both"/>
        <w:rPr>
          <w:rFonts w:ascii="Arial" w:hAnsi="Arial" w:cs="Arial"/>
          <w:b/>
          <w:sz w:val="20"/>
        </w:rPr>
      </w:pPr>
    </w:p>
    <w:p w14:paraId="6AB58C09" w14:textId="5D3A11BA" w:rsidR="002A4D61" w:rsidRPr="00AE1B0C" w:rsidRDefault="002A4D61" w:rsidP="002A4D61">
      <w:pPr>
        <w:pStyle w:val="Style1"/>
        <w:jc w:val="both"/>
        <w:rPr>
          <w:rFonts w:ascii="Arial" w:hAnsi="Arial" w:cs="Arial"/>
          <w:szCs w:val="20"/>
        </w:rPr>
      </w:pPr>
      <w:r w:rsidRPr="00AE1B0C">
        <w:rPr>
          <w:rFonts w:ascii="Arial" w:hAnsi="Arial" w:cs="Arial"/>
          <w:szCs w:val="20"/>
        </w:rPr>
        <w:t xml:space="preserve">La Responsabilidad Patrimonial Computable se compone del Patrimonio Neto básico y el Patrimonio Neto complementario. El saldo de dichos conceptos al 31 de diciembre de </w:t>
      </w:r>
      <w:r>
        <w:rPr>
          <w:rFonts w:ascii="Arial" w:hAnsi="Arial" w:cs="Arial"/>
          <w:szCs w:val="20"/>
        </w:rPr>
        <w:t>201</w:t>
      </w:r>
      <w:r w:rsidR="00970522">
        <w:rPr>
          <w:rFonts w:ascii="Arial" w:hAnsi="Arial" w:cs="Arial"/>
          <w:szCs w:val="20"/>
        </w:rPr>
        <w:t>9</w:t>
      </w:r>
      <w:r>
        <w:rPr>
          <w:rFonts w:ascii="Arial" w:hAnsi="Arial" w:cs="Arial"/>
          <w:szCs w:val="20"/>
        </w:rPr>
        <w:t xml:space="preserve"> y </w:t>
      </w:r>
      <w:r w:rsidRPr="00AE1B0C">
        <w:rPr>
          <w:rFonts w:ascii="Arial" w:hAnsi="Arial" w:cs="Arial"/>
          <w:szCs w:val="20"/>
        </w:rPr>
        <w:t>201</w:t>
      </w:r>
      <w:r w:rsidR="00970522">
        <w:rPr>
          <w:rFonts w:ascii="Arial" w:hAnsi="Arial" w:cs="Arial"/>
          <w:szCs w:val="20"/>
        </w:rPr>
        <w:t>8</w:t>
      </w:r>
      <w:r w:rsidRPr="00AE1B0C">
        <w:rPr>
          <w:rFonts w:ascii="Arial" w:hAnsi="Arial" w:cs="Arial"/>
          <w:szCs w:val="20"/>
        </w:rPr>
        <w:t xml:space="preserve"> se detalla a continuación:</w:t>
      </w:r>
    </w:p>
    <w:p w14:paraId="3667FDB0" w14:textId="77777777" w:rsidR="002A4D61" w:rsidRPr="00AE1B0C" w:rsidRDefault="002A4D61" w:rsidP="002A4D61">
      <w:pPr>
        <w:pStyle w:val="Style1"/>
        <w:jc w:val="both"/>
        <w:rPr>
          <w:rFonts w:ascii="Arial"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8"/>
        <w:gridCol w:w="2584"/>
        <w:gridCol w:w="2919"/>
      </w:tblGrid>
      <w:tr w:rsidR="00970522" w:rsidRPr="00AE1B0C" w14:paraId="7B8A67EB" w14:textId="77777777" w:rsidTr="002A4D61">
        <w:trPr>
          <w:trHeight w:val="206"/>
        </w:trPr>
        <w:tc>
          <w:tcPr>
            <w:tcW w:w="3218" w:type="dxa"/>
            <w:vAlign w:val="center"/>
          </w:tcPr>
          <w:p w14:paraId="53B1C8CE" w14:textId="77777777" w:rsidR="00970522" w:rsidRPr="00AE1B0C" w:rsidRDefault="00970522" w:rsidP="00970522">
            <w:pPr>
              <w:pStyle w:val="Style1"/>
              <w:jc w:val="center"/>
              <w:rPr>
                <w:rFonts w:ascii="Arial" w:hAnsi="Arial" w:cs="Arial"/>
                <w:szCs w:val="20"/>
              </w:rPr>
            </w:pPr>
          </w:p>
        </w:tc>
        <w:tc>
          <w:tcPr>
            <w:tcW w:w="2584" w:type="dxa"/>
          </w:tcPr>
          <w:p w14:paraId="667156EF" w14:textId="5E7F430B" w:rsidR="00970522" w:rsidRPr="00AE1B0C" w:rsidRDefault="00970522" w:rsidP="00970522">
            <w:pPr>
              <w:pStyle w:val="Style1"/>
              <w:jc w:val="center"/>
              <w:rPr>
                <w:rFonts w:ascii="Arial" w:hAnsi="Arial" w:cs="Arial"/>
                <w:b/>
                <w:szCs w:val="20"/>
              </w:rPr>
            </w:pPr>
            <w:r>
              <w:rPr>
                <w:rFonts w:ascii="Arial" w:hAnsi="Arial" w:cs="Arial"/>
                <w:b/>
              </w:rPr>
              <w:t>31/12/2019</w:t>
            </w:r>
          </w:p>
        </w:tc>
        <w:tc>
          <w:tcPr>
            <w:tcW w:w="2919" w:type="dxa"/>
          </w:tcPr>
          <w:p w14:paraId="2520EF55" w14:textId="3AAD75E8" w:rsidR="00970522" w:rsidRPr="00AE1B0C" w:rsidRDefault="00970522" w:rsidP="00970522">
            <w:pPr>
              <w:pStyle w:val="Style1"/>
              <w:jc w:val="center"/>
              <w:rPr>
                <w:rFonts w:ascii="Arial" w:hAnsi="Arial" w:cs="Arial"/>
                <w:b/>
                <w:szCs w:val="20"/>
              </w:rPr>
            </w:pPr>
            <w:r w:rsidRPr="00701F32">
              <w:rPr>
                <w:rFonts w:ascii="Arial" w:hAnsi="Arial" w:cs="Arial"/>
                <w:b/>
              </w:rPr>
              <w:t>31/12/201</w:t>
            </w:r>
            <w:r>
              <w:rPr>
                <w:rFonts w:ascii="Arial" w:hAnsi="Arial" w:cs="Arial"/>
                <w:b/>
              </w:rPr>
              <w:t>8</w:t>
            </w:r>
          </w:p>
        </w:tc>
      </w:tr>
      <w:tr w:rsidR="00970522" w:rsidRPr="00AE1B0C" w14:paraId="3D5648D8" w14:textId="77777777" w:rsidTr="002A4D61">
        <w:trPr>
          <w:trHeight w:val="206"/>
        </w:trPr>
        <w:tc>
          <w:tcPr>
            <w:tcW w:w="3218" w:type="dxa"/>
            <w:vAlign w:val="center"/>
          </w:tcPr>
          <w:p w14:paraId="07C18CA0" w14:textId="77777777" w:rsidR="00970522" w:rsidRPr="00AE1B0C" w:rsidRDefault="00970522" w:rsidP="00970522">
            <w:pPr>
              <w:pStyle w:val="Style1"/>
              <w:rPr>
                <w:rFonts w:ascii="Arial" w:hAnsi="Arial" w:cs="Arial"/>
                <w:szCs w:val="20"/>
              </w:rPr>
            </w:pPr>
            <w:r w:rsidRPr="00AE1B0C">
              <w:rPr>
                <w:rFonts w:ascii="Arial" w:hAnsi="Arial" w:cs="Arial"/>
                <w:szCs w:val="20"/>
              </w:rPr>
              <w:t>Patrimonio Neto Básico</w:t>
            </w:r>
          </w:p>
        </w:tc>
        <w:tc>
          <w:tcPr>
            <w:tcW w:w="2584" w:type="dxa"/>
            <w:vAlign w:val="bottom"/>
          </w:tcPr>
          <w:p w14:paraId="273C791E" w14:textId="7D23D0E9" w:rsidR="00970522" w:rsidRPr="00AE1B0C" w:rsidRDefault="008B7729" w:rsidP="00970522">
            <w:pPr>
              <w:pStyle w:val="Style1"/>
              <w:jc w:val="right"/>
              <w:rPr>
                <w:rFonts w:ascii="Arial" w:hAnsi="Arial" w:cs="Arial"/>
                <w:szCs w:val="20"/>
              </w:rPr>
            </w:pPr>
            <w:r w:rsidRPr="008B7729">
              <w:rPr>
                <w:rFonts w:ascii="Arial" w:hAnsi="Arial" w:cs="Arial"/>
                <w:szCs w:val="20"/>
              </w:rPr>
              <w:t>12.476.165</w:t>
            </w:r>
          </w:p>
        </w:tc>
        <w:tc>
          <w:tcPr>
            <w:tcW w:w="2919" w:type="dxa"/>
            <w:vAlign w:val="bottom"/>
          </w:tcPr>
          <w:p w14:paraId="55FF4711" w14:textId="66047528" w:rsidR="00970522" w:rsidRPr="00AE1B0C" w:rsidRDefault="00970522" w:rsidP="00970522">
            <w:pPr>
              <w:pStyle w:val="Style1"/>
              <w:jc w:val="right"/>
              <w:rPr>
                <w:rFonts w:ascii="Arial" w:hAnsi="Arial" w:cs="Arial"/>
                <w:szCs w:val="20"/>
              </w:rPr>
            </w:pPr>
            <w:r>
              <w:rPr>
                <w:rFonts w:ascii="Arial" w:hAnsi="Arial" w:cs="Arial"/>
                <w:color w:val="000000"/>
                <w:szCs w:val="20"/>
              </w:rPr>
              <w:t>10.087.583</w:t>
            </w:r>
          </w:p>
        </w:tc>
      </w:tr>
      <w:tr w:rsidR="00970522" w:rsidRPr="00AE1B0C" w14:paraId="1FB6764E" w14:textId="77777777" w:rsidTr="002A4D61">
        <w:trPr>
          <w:trHeight w:val="206"/>
        </w:trPr>
        <w:tc>
          <w:tcPr>
            <w:tcW w:w="3218" w:type="dxa"/>
            <w:vAlign w:val="center"/>
          </w:tcPr>
          <w:p w14:paraId="32354F00" w14:textId="77777777" w:rsidR="00970522" w:rsidRPr="00AE1B0C" w:rsidRDefault="00970522" w:rsidP="00970522">
            <w:pPr>
              <w:pStyle w:val="Style1"/>
              <w:rPr>
                <w:rFonts w:ascii="Arial" w:hAnsi="Arial" w:cs="Arial"/>
                <w:szCs w:val="20"/>
              </w:rPr>
            </w:pPr>
            <w:r w:rsidRPr="00AE1B0C">
              <w:rPr>
                <w:rFonts w:ascii="Arial" w:hAnsi="Arial" w:cs="Arial"/>
                <w:szCs w:val="20"/>
              </w:rPr>
              <w:t>-Capital Ordinario de nivel uno</w:t>
            </w:r>
          </w:p>
        </w:tc>
        <w:tc>
          <w:tcPr>
            <w:tcW w:w="2584" w:type="dxa"/>
            <w:vAlign w:val="bottom"/>
          </w:tcPr>
          <w:p w14:paraId="4224863F" w14:textId="62127E11" w:rsidR="00970522" w:rsidRPr="00AE1B0C" w:rsidRDefault="008B7729" w:rsidP="00970522">
            <w:pPr>
              <w:pStyle w:val="Style1"/>
              <w:jc w:val="right"/>
              <w:rPr>
                <w:rFonts w:ascii="Arial" w:hAnsi="Arial" w:cs="Arial"/>
                <w:szCs w:val="20"/>
              </w:rPr>
            </w:pPr>
            <w:r w:rsidRPr="008B7729">
              <w:rPr>
                <w:rFonts w:ascii="Arial" w:hAnsi="Arial" w:cs="Arial"/>
                <w:szCs w:val="20"/>
              </w:rPr>
              <w:t>16.865.136</w:t>
            </w:r>
          </w:p>
        </w:tc>
        <w:tc>
          <w:tcPr>
            <w:tcW w:w="2919" w:type="dxa"/>
            <w:vAlign w:val="bottom"/>
          </w:tcPr>
          <w:p w14:paraId="0E3EF129" w14:textId="6C6E5CF9" w:rsidR="00970522" w:rsidRPr="00AE1B0C" w:rsidRDefault="00970522" w:rsidP="00970522">
            <w:pPr>
              <w:pStyle w:val="Style1"/>
              <w:jc w:val="right"/>
              <w:rPr>
                <w:rFonts w:ascii="Arial" w:hAnsi="Arial" w:cs="Arial"/>
                <w:szCs w:val="20"/>
              </w:rPr>
            </w:pPr>
            <w:r>
              <w:rPr>
                <w:rFonts w:ascii="Arial" w:hAnsi="Arial" w:cs="Arial"/>
                <w:color w:val="000000"/>
                <w:szCs w:val="20"/>
              </w:rPr>
              <w:t>11.784.821</w:t>
            </w:r>
          </w:p>
        </w:tc>
      </w:tr>
      <w:tr w:rsidR="00970522" w:rsidRPr="00AE1B0C" w14:paraId="04646BA7" w14:textId="77777777" w:rsidTr="002A4D61">
        <w:trPr>
          <w:trHeight w:val="206"/>
        </w:trPr>
        <w:tc>
          <w:tcPr>
            <w:tcW w:w="3218" w:type="dxa"/>
            <w:vAlign w:val="center"/>
          </w:tcPr>
          <w:p w14:paraId="35E561F5" w14:textId="77777777" w:rsidR="00970522" w:rsidRPr="00AE1B0C" w:rsidRDefault="00970522" w:rsidP="00970522">
            <w:pPr>
              <w:pStyle w:val="Style1"/>
              <w:rPr>
                <w:rFonts w:ascii="Arial" w:hAnsi="Arial" w:cs="Arial"/>
                <w:szCs w:val="20"/>
              </w:rPr>
            </w:pPr>
            <w:r w:rsidRPr="00AE1B0C">
              <w:rPr>
                <w:rFonts w:ascii="Arial" w:hAnsi="Arial" w:cs="Arial"/>
                <w:szCs w:val="20"/>
              </w:rPr>
              <w:t>-(Conceptos deducibles)</w:t>
            </w:r>
          </w:p>
        </w:tc>
        <w:tc>
          <w:tcPr>
            <w:tcW w:w="2584" w:type="dxa"/>
            <w:vAlign w:val="bottom"/>
          </w:tcPr>
          <w:p w14:paraId="3BEBC2C1" w14:textId="519994C4" w:rsidR="00970522" w:rsidRPr="00AE1B0C" w:rsidRDefault="000A1F75" w:rsidP="00970522">
            <w:pPr>
              <w:pStyle w:val="Style1"/>
              <w:jc w:val="right"/>
              <w:rPr>
                <w:rFonts w:ascii="Arial" w:hAnsi="Arial" w:cs="Arial"/>
                <w:szCs w:val="20"/>
              </w:rPr>
            </w:pPr>
            <w:r>
              <w:rPr>
                <w:rFonts w:ascii="Arial" w:hAnsi="Arial" w:cs="Arial"/>
                <w:szCs w:val="20"/>
              </w:rPr>
              <w:t>-</w:t>
            </w:r>
            <w:r w:rsidRPr="000A1F75">
              <w:rPr>
                <w:rFonts w:ascii="Arial" w:hAnsi="Arial" w:cs="Arial"/>
                <w:szCs w:val="20"/>
              </w:rPr>
              <w:t>4.388.971</w:t>
            </w:r>
          </w:p>
        </w:tc>
        <w:tc>
          <w:tcPr>
            <w:tcW w:w="2919" w:type="dxa"/>
            <w:vAlign w:val="bottom"/>
          </w:tcPr>
          <w:p w14:paraId="5E9B3C47" w14:textId="33E83C44" w:rsidR="00970522" w:rsidRPr="00AE1B0C" w:rsidRDefault="00970522" w:rsidP="00970522">
            <w:pPr>
              <w:pStyle w:val="Style1"/>
              <w:jc w:val="right"/>
              <w:rPr>
                <w:rFonts w:ascii="Arial" w:hAnsi="Arial" w:cs="Arial"/>
                <w:szCs w:val="20"/>
              </w:rPr>
            </w:pPr>
            <w:r>
              <w:rPr>
                <w:rFonts w:ascii="Arial" w:hAnsi="Arial" w:cs="Arial"/>
                <w:color w:val="000000"/>
                <w:szCs w:val="20"/>
              </w:rPr>
              <w:t>-1.697.238</w:t>
            </w:r>
          </w:p>
        </w:tc>
      </w:tr>
      <w:tr w:rsidR="00970522" w:rsidRPr="00AE1B0C" w14:paraId="06528BA2" w14:textId="77777777" w:rsidTr="002A4D61">
        <w:trPr>
          <w:trHeight w:val="206"/>
        </w:trPr>
        <w:tc>
          <w:tcPr>
            <w:tcW w:w="3218" w:type="dxa"/>
            <w:vAlign w:val="center"/>
          </w:tcPr>
          <w:p w14:paraId="1B82A2D0" w14:textId="77777777" w:rsidR="00970522" w:rsidRPr="00AE1B0C" w:rsidRDefault="00970522" w:rsidP="00970522">
            <w:pPr>
              <w:pStyle w:val="Style1"/>
              <w:rPr>
                <w:rFonts w:ascii="Arial" w:hAnsi="Arial" w:cs="Arial"/>
                <w:szCs w:val="20"/>
              </w:rPr>
            </w:pPr>
            <w:r w:rsidRPr="00AE1B0C">
              <w:rPr>
                <w:rFonts w:ascii="Arial" w:hAnsi="Arial" w:cs="Arial"/>
                <w:szCs w:val="20"/>
              </w:rPr>
              <w:t>-Capital Adicional de nivel uno</w:t>
            </w:r>
          </w:p>
        </w:tc>
        <w:tc>
          <w:tcPr>
            <w:tcW w:w="2584" w:type="dxa"/>
            <w:vAlign w:val="bottom"/>
          </w:tcPr>
          <w:p w14:paraId="7DACC16D" w14:textId="0BED03CA" w:rsidR="00970522" w:rsidRPr="00AE1B0C" w:rsidRDefault="000A1F75" w:rsidP="00970522">
            <w:pPr>
              <w:pStyle w:val="Style1"/>
              <w:jc w:val="right"/>
              <w:rPr>
                <w:rFonts w:ascii="Arial" w:hAnsi="Arial" w:cs="Arial"/>
                <w:szCs w:val="20"/>
              </w:rPr>
            </w:pPr>
            <w:r>
              <w:rPr>
                <w:rFonts w:ascii="Arial" w:hAnsi="Arial" w:cs="Arial"/>
                <w:szCs w:val="20"/>
              </w:rPr>
              <w:t>-</w:t>
            </w:r>
          </w:p>
        </w:tc>
        <w:tc>
          <w:tcPr>
            <w:tcW w:w="2919" w:type="dxa"/>
            <w:vAlign w:val="bottom"/>
          </w:tcPr>
          <w:p w14:paraId="678577D1" w14:textId="54386B5A" w:rsidR="00970522" w:rsidRPr="00AE1B0C" w:rsidRDefault="00970522" w:rsidP="00970522">
            <w:pPr>
              <w:pStyle w:val="Style1"/>
              <w:jc w:val="right"/>
              <w:rPr>
                <w:rFonts w:ascii="Arial" w:hAnsi="Arial" w:cs="Arial"/>
                <w:szCs w:val="20"/>
              </w:rPr>
            </w:pPr>
            <w:r>
              <w:rPr>
                <w:rFonts w:ascii="Arial" w:hAnsi="Arial" w:cs="Arial"/>
                <w:color w:val="000000"/>
                <w:szCs w:val="20"/>
              </w:rPr>
              <w:t>-</w:t>
            </w:r>
          </w:p>
        </w:tc>
      </w:tr>
      <w:tr w:rsidR="00970522" w:rsidRPr="00AE1B0C" w14:paraId="4890FA42" w14:textId="77777777" w:rsidTr="002A4D61">
        <w:trPr>
          <w:trHeight w:val="414"/>
        </w:trPr>
        <w:tc>
          <w:tcPr>
            <w:tcW w:w="3218" w:type="dxa"/>
            <w:vAlign w:val="center"/>
          </w:tcPr>
          <w:p w14:paraId="27C37F40" w14:textId="77777777" w:rsidR="00970522" w:rsidRPr="00AE1B0C" w:rsidRDefault="00970522" w:rsidP="00970522">
            <w:pPr>
              <w:pStyle w:val="Style1"/>
              <w:rPr>
                <w:rFonts w:ascii="Arial" w:hAnsi="Arial" w:cs="Arial"/>
                <w:szCs w:val="20"/>
              </w:rPr>
            </w:pPr>
            <w:r w:rsidRPr="00AE1B0C">
              <w:rPr>
                <w:rFonts w:ascii="Arial" w:hAnsi="Arial" w:cs="Arial"/>
                <w:szCs w:val="20"/>
              </w:rPr>
              <w:t>Patrimonio Neto Complementario</w:t>
            </w:r>
          </w:p>
        </w:tc>
        <w:tc>
          <w:tcPr>
            <w:tcW w:w="2584" w:type="dxa"/>
            <w:vAlign w:val="bottom"/>
          </w:tcPr>
          <w:p w14:paraId="11F572F9" w14:textId="0480AB05" w:rsidR="00970522" w:rsidRPr="00AE1B0C" w:rsidRDefault="000A1F75" w:rsidP="00970522">
            <w:pPr>
              <w:pStyle w:val="Style1"/>
              <w:jc w:val="right"/>
              <w:rPr>
                <w:rFonts w:ascii="Arial" w:hAnsi="Arial" w:cs="Arial"/>
                <w:szCs w:val="20"/>
              </w:rPr>
            </w:pPr>
            <w:r w:rsidRPr="000A1F75">
              <w:rPr>
                <w:rFonts w:ascii="Arial" w:hAnsi="Arial" w:cs="Arial"/>
                <w:szCs w:val="20"/>
              </w:rPr>
              <w:t>985.128</w:t>
            </w:r>
          </w:p>
        </w:tc>
        <w:tc>
          <w:tcPr>
            <w:tcW w:w="2919" w:type="dxa"/>
            <w:vAlign w:val="bottom"/>
          </w:tcPr>
          <w:p w14:paraId="10488131" w14:textId="7BDAF6BE" w:rsidR="00970522" w:rsidRPr="00AE1B0C" w:rsidRDefault="00970522" w:rsidP="00970522">
            <w:pPr>
              <w:pStyle w:val="Style1"/>
              <w:jc w:val="right"/>
              <w:rPr>
                <w:rFonts w:ascii="Arial" w:hAnsi="Arial" w:cs="Arial"/>
                <w:szCs w:val="20"/>
              </w:rPr>
            </w:pPr>
            <w:r>
              <w:rPr>
                <w:rFonts w:ascii="Arial" w:hAnsi="Arial" w:cs="Arial"/>
                <w:color w:val="000000"/>
                <w:szCs w:val="20"/>
              </w:rPr>
              <w:t>1.106.202</w:t>
            </w:r>
          </w:p>
        </w:tc>
      </w:tr>
      <w:tr w:rsidR="00970522" w:rsidRPr="00AE1B0C" w14:paraId="37434A18" w14:textId="77777777" w:rsidTr="002A4D61">
        <w:trPr>
          <w:trHeight w:val="206"/>
        </w:trPr>
        <w:tc>
          <w:tcPr>
            <w:tcW w:w="3218" w:type="dxa"/>
            <w:vAlign w:val="center"/>
          </w:tcPr>
          <w:p w14:paraId="7CDD9E6C" w14:textId="77777777" w:rsidR="00970522" w:rsidRPr="00AE1B0C" w:rsidRDefault="00970522" w:rsidP="00970522">
            <w:pPr>
              <w:pStyle w:val="Style1"/>
              <w:rPr>
                <w:rFonts w:ascii="Arial" w:hAnsi="Arial" w:cs="Arial"/>
                <w:szCs w:val="20"/>
              </w:rPr>
            </w:pPr>
            <w:r w:rsidRPr="00AE1B0C">
              <w:rPr>
                <w:rFonts w:ascii="Arial" w:hAnsi="Arial" w:cs="Arial"/>
                <w:szCs w:val="20"/>
              </w:rPr>
              <w:t>-Capital de Nivel Dos</w:t>
            </w:r>
          </w:p>
        </w:tc>
        <w:tc>
          <w:tcPr>
            <w:tcW w:w="2584" w:type="dxa"/>
            <w:vAlign w:val="bottom"/>
          </w:tcPr>
          <w:p w14:paraId="5D139D61" w14:textId="3233ED5F" w:rsidR="00970522" w:rsidRPr="00AE1B0C" w:rsidRDefault="000A1F75" w:rsidP="00970522">
            <w:pPr>
              <w:pStyle w:val="Style1"/>
              <w:jc w:val="right"/>
              <w:rPr>
                <w:rFonts w:ascii="Arial" w:hAnsi="Arial" w:cs="Arial"/>
                <w:szCs w:val="20"/>
              </w:rPr>
            </w:pPr>
            <w:r w:rsidRPr="000A1F75">
              <w:rPr>
                <w:rFonts w:ascii="Arial" w:hAnsi="Arial" w:cs="Arial"/>
                <w:szCs w:val="20"/>
              </w:rPr>
              <w:t>985.128</w:t>
            </w:r>
          </w:p>
        </w:tc>
        <w:tc>
          <w:tcPr>
            <w:tcW w:w="2919" w:type="dxa"/>
            <w:vAlign w:val="bottom"/>
          </w:tcPr>
          <w:p w14:paraId="54896DBA" w14:textId="1399C751" w:rsidR="00970522" w:rsidRPr="00AE1B0C" w:rsidRDefault="00970522" w:rsidP="00970522">
            <w:pPr>
              <w:pStyle w:val="Style1"/>
              <w:jc w:val="right"/>
              <w:rPr>
                <w:rFonts w:ascii="Arial" w:hAnsi="Arial" w:cs="Arial"/>
                <w:szCs w:val="20"/>
              </w:rPr>
            </w:pPr>
            <w:r>
              <w:rPr>
                <w:rFonts w:ascii="Arial" w:hAnsi="Arial" w:cs="Arial"/>
                <w:color w:val="000000"/>
                <w:szCs w:val="20"/>
              </w:rPr>
              <w:t>1.106.202</w:t>
            </w:r>
          </w:p>
        </w:tc>
      </w:tr>
      <w:tr w:rsidR="00970522" w:rsidRPr="00AE1B0C" w14:paraId="4E557376" w14:textId="77777777" w:rsidTr="002A4D61">
        <w:trPr>
          <w:trHeight w:val="206"/>
        </w:trPr>
        <w:tc>
          <w:tcPr>
            <w:tcW w:w="3218" w:type="dxa"/>
            <w:vAlign w:val="center"/>
          </w:tcPr>
          <w:p w14:paraId="2B7E462C" w14:textId="77777777" w:rsidR="00970522" w:rsidRPr="00AE1B0C" w:rsidRDefault="00970522" w:rsidP="00970522">
            <w:pPr>
              <w:pStyle w:val="Style1"/>
              <w:rPr>
                <w:rFonts w:ascii="Arial" w:hAnsi="Arial" w:cs="Arial"/>
                <w:szCs w:val="20"/>
              </w:rPr>
            </w:pPr>
            <w:r w:rsidRPr="00AE1B0C">
              <w:rPr>
                <w:rFonts w:ascii="Arial" w:hAnsi="Arial" w:cs="Arial"/>
                <w:szCs w:val="20"/>
              </w:rPr>
              <w:t>-(Conceptos deducibles)</w:t>
            </w:r>
          </w:p>
        </w:tc>
        <w:tc>
          <w:tcPr>
            <w:tcW w:w="2584" w:type="dxa"/>
            <w:vAlign w:val="bottom"/>
          </w:tcPr>
          <w:p w14:paraId="2656DC74" w14:textId="0D2614AE" w:rsidR="00970522" w:rsidRPr="00AE1B0C" w:rsidRDefault="000A1F75" w:rsidP="00970522">
            <w:pPr>
              <w:pStyle w:val="Style1"/>
              <w:jc w:val="right"/>
              <w:rPr>
                <w:rFonts w:ascii="Arial" w:hAnsi="Arial" w:cs="Arial"/>
                <w:szCs w:val="20"/>
              </w:rPr>
            </w:pPr>
            <w:r>
              <w:rPr>
                <w:rFonts w:ascii="Arial" w:hAnsi="Arial" w:cs="Arial"/>
                <w:szCs w:val="20"/>
              </w:rPr>
              <w:t>-</w:t>
            </w:r>
          </w:p>
        </w:tc>
        <w:tc>
          <w:tcPr>
            <w:tcW w:w="2919" w:type="dxa"/>
            <w:vAlign w:val="bottom"/>
          </w:tcPr>
          <w:p w14:paraId="6D541924" w14:textId="0A61ACE9" w:rsidR="00970522" w:rsidRPr="00AE1B0C" w:rsidRDefault="00970522" w:rsidP="00970522">
            <w:pPr>
              <w:pStyle w:val="Style1"/>
              <w:jc w:val="right"/>
              <w:rPr>
                <w:rFonts w:ascii="Arial" w:hAnsi="Arial" w:cs="Arial"/>
                <w:szCs w:val="20"/>
              </w:rPr>
            </w:pPr>
            <w:r>
              <w:rPr>
                <w:rFonts w:ascii="Arial" w:hAnsi="Arial" w:cs="Arial"/>
                <w:color w:val="000000"/>
                <w:szCs w:val="20"/>
              </w:rPr>
              <w:t>-</w:t>
            </w:r>
          </w:p>
        </w:tc>
      </w:tr>
      <w:tr w:rsidR="00970522" w:rsidRPr="00AE1B0C" w14:paraId="4A238CE6" w14:textId="77777777" w:rsidTr="002A4D61">
        <w:trPr>
          <w:trHeight w:val="414"/>
        </w:trPr>
        <w:tc>
          <w:tcPr>
            <w:tcW w:w="3218" w:type="dxa"/>
            <w:vAlign w:val="center"/>
          </w:tcPr>
          <w:p w14:paraId="3F3B5999" w14:textId="77777777" w:rsidR="00970522" w:rsidRPr="00AE1B0C" w:rsidRDefault="00970522" w:rsidP="00970522">
            <w:pPr>
              <w:pStyle w:val="Style1"/>
              <w:rPr>
                <w:rFonts w:ascii="Arial" w:hAnsi="Arial" w:cs="Arial"/>
                <w:szCs w:val="20"/>
              </w:rPr>
            </w:pPr>
            <w:r w:rsidRPr="00AE1B0C">
              <w:rPr>
                <w:rFonts w:ascii="Arial" w:hAnsi="Arial" w:cs="Arial"/>
                <w:szCs w:val="20"/>
              </w:rPr>
              <w:t>Responsabilidad Patrimonial Computable</w:t>
            </w:r>
          </w:p>
        </w:tc>
        <w:tc>
          <w:tcPr>
            <w:tcW w:w="2584" w:type="dxa"/>
            <w:vAlign w:val="bottom"/>
          </w:tcPr>
          <w:p w14:paraId="62E9135A" w14:textId="7A7B4317" w:rsidR="00970522" w:rsidRPr="00AE1B0C" w:rsidRDefault="008B7729" w:rsidP="00970522">
            <w:pPr>
              <w:pStyle w:val="Style1"/>
              <w:jc w:val="right"/>
              <w:rPr>
                <w:rFonts w:ascii="Arial" w:hAnsi="Arial" w:cs="Arial"/>
                <w:szCs w:val="20"/>
              </w:rPr>
            </w:pPr>
            <w:r w:rsidRPr="008B7729">
              <w:rPr>
                <w:rFonts w:ascii="Arial" w:hAnsi="Arial" w:cs="Arial"/>
                <w:szCs w:val="20"/>
              </w:rPr>
              <w:t>13.461.293</w:t>
            </w:r>
          </w:p>
        </w:tc>
        <w:tc>
          <w:tcPr>
            <w:tcW w:w="2919" w:type="dxa"/>
            <w:vAlign w:val="bottom"/>
          </w:tcPr>
          <w:p w14:paraId="22985C8F" w14:textId="21981ECB" w:rsidR="00970522" w:rsidRPr="00AE1B0C" w:rsidRDefault="00970522" w:rsidP="00970522">
            <w:pPr>
              <w:pStyle w:val="Style1"/>
              <w:jc w:val="right"/>
              <w:rPr>
                <w:rFonts w:ascii="Arial" w:hAnsi="Arial" w:cs="Arial"/>
                <w:szCs w:val="20"/>
              </w:rPr>
            </w:pPr>
            <w:r>
              <w:rPr>
                <w:rFonts w:ascii="Arial" w:hAnsi="Arial" w:cs="Arial"/>
                <w:color w:val="000000"/>
                <w:szCs w:val="20"/>
              </w:rPr>
              <w:t>11.193.785</w:t>
            </w:r>
          </w:p>
        </w:tc>
      </w:tr>
    </w:tbl>
    <w:p w14:paraId="50E1412D" w14:textId="77777777" w:rsidR="002A4D61" w:rsidRPr="00AE1B0C" w:rsidRDefault="002A4D61" w:rsidP="002A4D61">
      <w:pPr>
        <w:pStyle w:val="Style1"/>
        <w:jc w:val="both"/>
        <w:rPr>
          <w:rFonts w:ascii="Arial" w:hAnsi="Arial" w:cs="Arial"/>
          <w:szCs w:val="20"/>
        </w:rPr>
      </w:pPr>
    </w:p>
    <w:p w14:paraId="6C8E2B38" w14:textId="77777777" w:rsidR="002A4D61" w:rsidRPr="00AE1B0C" w:rsidRDefault="002A4D61" w:rsidP="002A4D61">
      <w:pPr>
        <w:pStyle w:val="Style1"/>
        <w:jc w:val="both"/>
        <w:rPr>
          <w:rFonts w:ascii="Arial" w:hAnsi="Arial" w:cs="Arial"/>
          <w:szCs w:val="20"/>
        </w:rPr>
      </w:pPr>
      <w:r w:rsidRPr="00AE1B0C">
        <w:rPr>
          <w:rFonts w:ascii="Arial" w:hAnsi="Arial" w:cs="Arial"/>
          <w:szCs w:val="20"/>
        </w:rPr>
        <w:t>A continuación se expone un detalle de la exigencia determinada:</w:t>
      </w:r>
    </w:p>
    <w:p w14:paraId="251CF550" w14:textId="77777777" w:rsidR="002A4D61" w:rsidRPr="00AE1B0C" w:rsidRDefault="002A4D61" w:rsidP="002A4D61">
      <w:pPr>
        <w:pStyle w:val="Style1"/>
        <w:jc w:val="both"/>
        <w:rPr>
          <w:rFonts w:ascii="Arial"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2648"/>
        <w:gridCol w:w="3028"/>
      </w:tblGrid>
      <w:tr w:rsidR="002A4D61" w:rsidRPr="00AE1B0C" w14:paraId="08DE002B" w14:textId="77777777" w:rsidTr="002A4D61">
        <w:trPr>
          <w:trHeight w:val="252"/>
        </w:trPr>
        <w:tc>
          <w:tcPr>
            <w:tcW w:w="3045" w:type="dxa"/>
          </w:tcPr>
          <w:p w14:paraId="62FBBC2D" w14:textId="77777777" w:rsidR="002A4D61" w:rsidRPr="00AE1B0C" w:rsidRDefault="002A4D61" w:rsidP="002A4D61">
            <w:pPr>
              <w:pStyle w:val="Style1"/>
              <w:jc w:val="center"/>
              <w:rPr>
                <w:rFonts w:ascii="Arial" w:hAnsi="Arial" w:cs="Arial"/>
                <w:szCs w:val="20"/>
              </w:rPr>
            </w:pPr>
          </w:p>
        </w:tc>
        <w:tc>
          <w:tcPr>
            <w:tcW w:w="2648" w:type="dxa"/>
          </w:tcPr>
          <w:p w14:paraId="6E6EFA70" w14:textId="0F754C95" w:rsidR="002A4D61" w:rsidRPr="00AE1B0C" w:rsidRDefault="002A4D61" w:rsidP="002A4D61">
            <w:pPr>
              <w:pStyle w:val="Style1"/>
              <w:jc w:val="center"/>
              <w:rPr>
                <w:rFonts w:ascii="Arial" w:hAnsi="Arial" w:cs="Arial"/>
              </w:rPr>
            </w:pPr>
            <w:r w:rsidRPr="00AE1B0C">
              <w:rPr>
                <w:rFonts w:ascii="Arial" w:hAnsi="Arial" w:cs="Arial"/>
                <w:b/>
              </w:rPr>
              <w:t>31/12/201</w:t>
            </w:r>
            <w:r w:rsidR="00970522">
              <w:rPr>
                <w:rFonts w:ascii="Arial" w:hAnsi="Arial" w:cs="Arial"/>
                <w:b/>
              </w:rPr>
              <w:t>9</w:t>
            </w:r>
          </w:p>
        </w:tc>
        <w:tc>
          <w:tcPr>
            <w:tcW w:w="3028" w:type="dxa"/>
          </w:tcPr>
          <w:p w14:paraId="328A90B3" w14:textId="74EDE76B" w:rsidR="002A4D61" w:rsidRPr="00AE1B0C" w:rsidRDefault="002A4D61" w:rsidP="002A4D61">
            <w:pPr>
              <w:pStyle w:val="Style1"/>
              <w:jc w:val="center"/>
              <w:rPr>
                <w:rFonts w:ascii="Arial" w:hAnsi="Arial" w:cs="Arial"/>
                <w:b/>
                <w:szCs w:val="20"/>
              </w:rPr>
            </w:pPr>
            <w:r w:rsidRPr="00AE1B0C">
              <w:rPr>
                <w:rFonts w:ascii="Arial" w:hAnsi="Arial" w:cs="Arial"/>
                <w:b/>
              </w:rPr>
              <w:t>31/12/201</w:t>
            </w:r>
            <w:r w:rsidR="00970522">
              <w:rPr>
                <w:rFonts w:ascii="Arial" w:hAnsi="Arial" w:cs="Arial"/>
                <w:b/>
              </w:rPr>
              <w:t>8</w:t>
            </w:r>
          </w:p>
        </w:tc>
      </w:tr>
      <w:tr w:rsidR="00970522" w:rsidRPr="00AE1B0C" w14:paraId="2CB2162D" w14:textId="77777777" w:rsidTr="002A4D61">
        <w:trPr>
          <w:trHeight w:val="252"/>
        </w:trPr>
        <w:tc>
          <w:tcPr>
            <w:tcW w:w="3045" w:type="dxa"/>
          </w:tcPr>
          <w:p w14:paraId="47B91CA1" w14:textId="77777777" w:rsidR="00970522" w:rsidRPr="00AE1B0C" w:rsidRDefault="00970522" w:rsidP="00970522">
            <w:pPr>
              <w:pStyle w:val="Style1"/>
              <w:jc w:val="both"/>
              <w:rPr>
                <w:rFonts w:ascii="Arial" w:hAnsi="Arial" w:cs="Arial"/>
                <w:szCs w:val="20"/>
              </w:rPr>
            </w:pPr>
            <w:r w:rsidRPr="00AE1B0C">
              <w:rPr>
                <w:rFonts w:ascii="Arial" w:hAnsi="Arial" w:cs="Arial"/>
                <w:szCs w:val="20"/>
              </w:rPr>
              <w:t>Riesgo de crédito</w:t>
            </w:r>
          </w:p>
        </w:tc>
        <w:tc>
          <w:tcPr>
            <w:tcW w:w="2648" w:type="dxa"/>
            <w:vAlign w:val="bottom"/>
          </w:tcPr>
          <w:p w14:paraId="238C305F" w14:textId="65C9BF4A" w:rsidR="00970522" w:rsidRPr="00AE1B0C" w:rsidRDefault="008B7729" w:rsidP="00970522">
            <w:pPr>
              <w:pStyle w:val="Style1"/>
              <w:jc w:val="right"/>
              <w:rPr>
                <w:rFonts w:ascii="Arial" w:hAnsi="Arial" w:cs="Arial"/>
                <w:szCs w:val="20"/>
              </w:rPr>
            </w:pPr>
            <w:r w:rsidRPr="008B7729">
              <w:rPr>
                <w:rFonts w:ascii="Arial" w:hAnsi="Arial" w:cs="Arial"/>
                <w:szCs w:val="20"/>
              </w:rPr>
              <w:t>7.576.141</w:t>
            </w:r>
          </w:p>
        </w:tc>
        <w:tc>
          <w:tcPr>
            <w:tcW w:w="3028" w:type="dxa"/>
            <w:vAlign w:val="bottom"/>
          </w:tcPr>
          <w:p w14:paraId="542864DB" w14:textId="7040719D" w:rsidR="00970522" w:rsidRPr="00AE1B0C" w:rsidRDefault="00970522" w:rsidP="00970522">
            <w:pPr>
              <w:pStyle w:val="Style1"/>
              <w:jc w:val="right"/>
              <w:rPr>
                <w:rFonts w:ascii="Arial" w:hAnsi="Arial" w:cs="Arial"/>
                <w:szCs w:val="20"/>
              </w:rPr>
            </w:pPr>
            <w:r>
              <w:rPr>
                <w:rFonts w:ascii="Arial" w:hAnsi="Arial" w:cs="Arial"/>
                <w:color w:val="000000"/>
                <w:szCs w:val="20"/>
              </w:rPr>
              <w:t>6.164.256</w:t>
            </w:r>
          </w:p>
        </w:tc>
      </w:tr>
      <w:tr w:rsidR="00970522" w:rsidRPr="00AE1B0C" w14:paraId="4A279B25" w14:textId="77777777" w:rsidTr="002A4D61">
        <w:trPr>
          <w:trHeight w:val="252"/>
        </w:trPr>
        <w:tc>
          <w:tcPr>
            <w:tcW w:w="3045" w:type="dxa"/>
          </w:tcPr>
          <w:p w14:paraId="47099669" w14:textId="77777777" w:rsidR="00970522" w:rsidRPr="00AE1B0C" w:rsidRDefault="00970522" w:rsidP="00970522">
            <w:pPr>
              <w:pStyle w:val="Style1"/>
              <w:jc w:val="both"/>
              <w:rPr>
                <w:rFonts w:ascii="Arial" w:hAnsi="Arial" w:cs="Arial"/>
                <w:szCs w:val="20"/>
              </w:rPr>
            </w:pPr>
            <w:r w:rsidRPr="00AE1B0C">
              <w:rPr>
                <w:rFonts w:ascii="Arial" w:hAnsi="Arial" w:cs="Arial"/>
                <w:szCs w:val="20"/>
              </w:rPr>
              <w:t>Riesgo de mercado</w:t>
            </w:r>
          </w:p>
        </w:tc>
        <w:tc>
          <w:tcPr>
            <w:tcW w:w="2648" w:type="dxa"/>
            <w:vAlign w:val="bottom"/>
          </w:tcPr>
          <w:p w14:paraId="55DC20B8" w14:textId="686017D0" w:rsidR="00970522" w:rsidRPr="00AE1B0C" w:rsidRDefault="000A1F75" w:rsidP="00970522">
            <w:pPr>
              <w:pStyle w:val="Style1"/>
              <w:jc w:val="right"/>
              <w:rPr>
                <w:rFonts w:ascii="Arial" w:hAnsi="Arial" w:cs="Arial"/>
                <w:szCs w:val="20"/>
              </w:rPr>
            </w:pPr>
            <w:r w:rsidRPr="000A1F75">
              <w:rPr>
                <w:rFonts w:ascii="Arial" w:hAnsi="Arial" w:cs="Arial"/>
                <w:szCs w:val="20"/>
              </w:rPr>
              <w:t>241.294</w:t>
            </w:r>
          </w:p>
        </w:tc>
        <w:tc>
          <w:tcPr>
            <w:tcW w:w="3028" w:type="dxa"/>
            <w:vAlign w:val="bottom"/>
          </w:tcPr>
          <w:p w14:paraId="78E0263B" w14:textId="663FF2F1" w:rsidR="00970522" w:rsidRPr="00AE1B0C" w:rsidRDefault="00970522" w:rsidP="00970522">
            <w:pPr>
              <w:pStyle w:val="Style1"/>
              <w:jc w:val="right"/>
              <w:rPr>
                <w:rFonts w:ascii="Arial" w:hAnsi="Arial" w:cs="Arial"/>
                <w:szCs w:val="20"/>
              </w:rPr>
            </w:pPr>
            <w:r>
              <w:rPr>
                <w:rFonts w:ascii="Arial" w:hAnsi="Arial" w:cs="Arial"/>
                <w:color w:val="000000"/>
                <w:szCs w:val="20"/>
              </w:rPr>
              <w:t>299.279</w:t>
            </w:r>
          </w:p>
        </w:tc>
      </w:tr>
      <w:tr w:rsidR="00970522" w:rsidRPr="00AE1B0C" w14:paraId="4F93660E" w14:textId="77777777" w:rsidTr="002A4D61">
        <w:trPr>
          <w:trHeight w:val="252"/>
        </w:trPr>
        <w:tc>
          <w:tcPr>
            <w:tcW w:w="3045" w:type="dxa"/>
          </w:tcPr>
          <w:p w14:paraId="6C77C211" w14:textId="77777777" w:rsidR="00970522" w:rsidRPr="00AE1B0C" w:rsidRDefault="00970522" w:rsidP="00970522">
            <w:pPr>
              <w:pStyle w:val="Style1"/>
              <w:jc w:val="both"/>
              <w:rPr>
                <w:rFonts w:ascii="Arial" w:hAnsi="Arial" w:cs="Arial"/>
                <w:szCs w:val="20"/>
              </w:rPr>
            </w:pPr>
            <w:r w:rsidRPr="00AE1B0C">
              <w:rPr>
                <w:rFonts w:ascii="Arial" w:hAnsi="Arial" w:cs="Arial"/>
                <w:szCs w:val="20"/>
              </w:rPr>
              <w:t>Riesgo operacional</w:t>
            </w:r>
          </w:p>
        </w:tc>
        <w:tc>
          <w:tcPr>
            <w:tcW w:w="2648" w:type="dxa"/>
            <w:vAlign w:val="bottom"/>
          </w:tcPr>
          <w:p w14:paraId="495CE808" w14:textId="4FE6E07C" w:rsidR="00970522" w:rsidRPr="00AE1B0C" w:rsidRDefault="000A1F75" w:rsidP="00970522">
            <w:pPr>
              <w:pStyle w:val="Style1"/>
              <w:jc w:val="right"/>
              <w:rPr>
                <w:rFonts w:ascii="Arial" w:hAnsi="Arial" w:cs="Arial"/>
                <w:szCs w:val="20"/>
              </w:rPr>
            </w:pPr>
            <w:r w:rsidRPr="000A1F75">
              <w:rPr>
                <w:rFonts w:ascii="Arial" w:hAnsi="Arial" w:cs="Arial"/>
                <w:szCs w:val="20"/>
              </w:rPr>
              <w:t>2.294.512</w:t>
            </w:r>
          </w:p>
        </w:tc>
        <w:tc>
          <w:tcPr>
            <w:tcW w:w="3028" w:type="dxa"/>
            <w:vAlign w:val="bottom"/>
          </w:tcPr>
          <w:p w14:paraId="0C3E5D71" w14:textId="4CED054F" w:rsidR="00970522" w:rsidRPr="00AE1B0C" w:rsidRDefault="00970522" w:rsidP="00970522">
            <w:pPr>
              <w:pStyle w:val="Style1"/>
              <w:jc w:val="right"/>
              <w:rPr>
                <w:rFonts w:ascii="Arial" w:hAnsi="Arial" w:cs="Arial"/>
                <w:szCs w:val="20"/>
              </w:rPr>
            </w:pPr>
            <w:r>
              <w:rPr>
                <w:rFonts w:ascii="Arial" w:hAnsi="Arial" w:cs="Arial"/>
                <w:color w:val="000000"/>
                <w:szCs w:val="20"/>
              </w:rPr>
              <w:t>1.440.196</w:t>
            </w:r>
          </w:p>
        </w:tc>
      </w:tr>
      <w:tr w:rsidR="00970522" w:rsidRPr="00CA279F" w14:paraId="6074FEF9" w14:textId="77777777" w:rsidTr="002A4D61">
        <w:trPr>
          <w:trHeight w:val="252"/>
        </w:trPr>
        <w:tc>
          <w:tcPr>
            <w:tcW w:w="3045" w:type="dxa"/>
          </w:tcPr>
          <w:p w14:paraId="64BF1527" w14:textId="77777777" w:rsidR="00970522" w:rsidRPr="00A059FB" w:rsidRDefault="00970522" w:rsidP="00970522">
            <w:pPr>
              <w:pStyle w:val="Style1"/>
              <w:jc w:val="both"/>
              <w:rPr>
                <w:rFonts w:ascii="Arial" w:hAnsi="Arial" w:cs="Arial"/>
                <w:b/>
                <w:szCs w:val="20"/>
              </w:rPr>
            </w:pPr>
            <w:r w:rsidRPr="00A059FB">
              <w:rPr>
                <w:rFonts w:ascii="Arial" w:hAnsi="Arial" w:cs="Arial"/>
                <w:b/>
                <w:szCs w:val="20"/>
              </w:rPr>
              <w:t>Exigencia</w:t>
            </w:r>
          </w:p>
        </w:tc>
        <w:tc>
          <w:tcPr>
            <w:tcW w:w="2648" w:type="dxa"/>
            <w:vAlign w:val="bottom"/>
          </w:tcPr>
          <w:p w14:paraId="119B72DB" w14:textId="07BC767E" w:rsidR="00970522" w:rsidRPr="00A059FB" w:rsidRDefault="008B7729" w:rsidP="00970522">
            <w:pPr>
              <w:pStyle w:val="Style1"/>
              <w:jc w:val="right"/>
              <w:rPr>
                <w:rFonts w:ascii="Arial" w:hAnsi="Arial" w:cs="Arial"/>
                <w:b/>
                <w:szCs w:val="20"/>
              </w:rPr>
            </w:pPr>
            <w:r w:rsidRPr="00A059FB">
              <w:rPr>
                <w:rFonts w:ascii="Arial" w:hAnsi="Arial" w:cs="Arial"/>
                <w:b/>
                <w:szCs w:val="20"/>
              </w:rPr>
              <w:t>10.111.947</w:t>
            </w:r>
          </w:p>
        </w:tc>
        <w:tc>
          <w:tcPr>
            <w:tcW w:w="3028" w:type="dxa"/>
            <w:vAlign w:val="bottom"/>
          </w:tcPr>
          <w:p w14:paraId="1391EE70" w14:textId="3C848B7A" w:rsidR="00970522" w:rsidRPr="00A059FB" w:rsidRDefault="00970522" w:rsidP="00970522">
            <w:pPr>
              <w:pStyle w:val="Style1"/>
              <w:jc w:val="right"/>
              <w:rPr>
                <w:rFonts w:ascii="Arial" w:hAnsi="Arial" w:cs="Arial"/>
                <w:b/>
                <w:szCs w:val="20"/>
              </w:rPr>
            </w:pPr>
            <w:r w:rsidRPr="00A059FB">
              <w:rPr>
                <w:rFonts w:ascii="Arial" w:hAnsi="Arial" w:cs="Arial"/>
                <w:b/>
                <w:color w:val="000000"/>
                <w:szCs w:val="20"/>
              </w:rPr>
              <w:t>7.903.731</w:t>
            </w:r>
          </w:p>
        </w:tc>
      </w:tr>
      <w:tr w:rsidR="00970522" w:rsidRPr="00CA279F" w14:paraId="24ECC516" w14:textId="77777777" w:rsidTr="002A4D61">
        <w:trPr>
          <w:trHeight w:val="252"/>
        </w:trPr>
        <w:tc>
          <w:tcPr>
            <w:tcW w:w="3045" w:type="dxa"/>
          </w:tcPr>
          <w:p w14:paraId="036690D2" w14:textId="77777777" w:rsidR="00970522" w:rsidRPr="00A059FB" w:rsidRDefault="00970522" w:rsidP="00970522">
            <w:pPr>
              <w:pStyle w:val="Style1"/>
              <w:jc w:val="both"/>
              <w:rPr>
                <w:rFonts w:ascii="Arial" w:hAnsi="Arial" w:cs="Arial"/>
                <w:b/>
                <w:szCs w:val="20"/>
              </w:rPr>
            </w:pPr>
            <w:r w:rsidRPr="00A059FB">
              <w:rPr>
                <w:rFonts w:ascii="Arial" w:hAnsi="Arial" w:cs="Arial"/>
                <w:b/>
                <w:szCs w:val="20"/>
              </w:rPr>
              <w:t>Integración</w:t>
            </w:r>
          </w:p>
        </w:tc>
        <w:tc>
          <w:tcPr>
            <w:tcW w:w="2648" w:type="dxa"/>
            <w:vAlign w:val="bottom"/>
          </w:tcPr>
          <w:p w14:paraId="10CE6D28" w14:textId="641A75DF" w:rsidR="00970522" w:rsidRPr="00A059FB" w:rsidRDefault="008B7729" w:rsidP="00970522">
            <w:pPr>
              <w:pStyle w:val="Style1"/>
              <w:jc w:val="right"/>
              <w:rPr>
                <w:rFonts w:ascii="Arial" w:hAnsi="Arial" w:cs="Arial"/>
                <w:b/>
                <w:szCs w:val="20"/>
              </w:rPr>
            </w:pPr>
            <w:r w:rsidRPr="00A059FB">
              <w:rPr>
                <w:rFonts w:ascii="Arial" w:hAnsi="Arial" w:cs="Arial"/>
                <w:b/>
                <w:szCs w:val="20"/>
              </w:rPr>
              <w:t>13.461.293</w:t>
            </w:r>
          </w:p>
        </w:tc>
        <w:tc>
          <w:tcPr>
            <w:tcW w:w="3028" w:type="dxa"/>
            <w:vAlign w:val="bottom"/>
          </w:tcPr>
          <w:p w14:paraId="5A3E5918" w14:textId="25C88E78" w:rsidR="00970522" w:rsidRPr="00A059FB" w:rsidRDefault="00970522" w:rsidP="00970522">
            <w:pPr>
              <w:pStyle w:val="Style1"/>
              <w:jc w:val="right"/>
              <w:rPr>
                <w:rFonts w:ascii="Arial" w:hAnsi="Arial" w:cs="Arial"/>
                <w:b/>
                <w:szCs w:val="20"/>
              </w:rPr>
            </w:pPr>
            <w:r w:rsidRPr="00A059FB">
              <w:rPr>
                <w:rFonts w:ascii="Arial" w:hAnsi="Arial" w:cs="Arial"/>
                <w:b/>
                <w:color w:val="000000"/>
                <w:szCs w:val="20"/>
              </w:rPr>
              <w:t>11.193.785</w:t>
            </w:r>
          </w:p>
        </w:tc>
      </w:tr>
      <w:tr w:rsidR="00970522" w:rsidRPr="00CA279F" w14:paraId="50920044" w14:textId="77777777" w:rsidTr="002A4D61">
        <w:trPr>
          <w:trHeight w:val="238"/>
        </w:trPr>
        <w:tc>
          <w:tcPr>
            <w:tcW w:w="3045" w:type="dxa"/>
          </w:tcPr>
          <w:p w14:paraId="2A51AEE4" w14:textId="77777777" w:rsidR="00970522" w:rsidRPr="00A059FB" w:rsidRDefault="00970522" w:rsidP="00970522">
            <w:pPr>
              <w:pStyle w:val="Style1"/>
              <w:jc w:val="both"/>
              <w:rPr>
                <w:rFonts w:ascii="Arial" w:hAnsi="Arial" w:cs="Arial"/>
                <w:b/>
                <w:szCs w:val="20"/>
              </w:rPr>
            </w:pPr>
            <w:r w:rsidRPr="00A059FB">
              <w:rPr>
                <w:rFonts w:ascii="Arial" w:hAnsi="Arial" w:cs="Arial"/>
                <w:b/>
                <w:szCs w:val="20"/>
              </w:rPr>
              <w:t>Exceso</w:t>
            </w:r>
          </w:p>
        </w:tc>
        <w:tc>
          <w:tcPr>
            <w:tcW w:w="2648" w:type="dxa"/>
            <w:vAlign w:val="bottom"/>
          </w:tcPr>
          <w:p w14:paraId="1AAF28C3" w14:textId="6628CB65" w:rsidR="00970522" w:rsidRPr="00A059FB" w:rsidRDefault="008B7729" w:rsidP="00970522">
            <w:pPr>
              <w:pStyle w:val="Style1"/>
              <w:jc w:val="right"/>
              <w:rPr>
                <w:rFonts w:ascii="Arial" w:hAnsi="Arial" w:cs="Arial"/>
                <w:b/>
                <w:szCs w:val="20"/>
              </w:rPr>
            </w:pPr>
            <w:r w:rsidRPr="00A059FB">
              <w:rPr>
                <w:rFonts w:ascii="Arial" w:hAnsi="Arial" w:cs="Arial"/>
                <w:b/>
                <w:szCs w:val="20"/>
              </w:rPr>
              <w:t>3.349.346</w:t>
            </w:r>
          </w:p>
        </w:tc>
        <w:tc>
          <w:tcPr>
            <w:tcW w:w="3028" w:type="dxa"/>
            <w:vAlign w:val="bottom"/>
          </w:tcPr>
          <w:p w14:paraId="4CBB82B4" w14:textId="32653F3A" w:rsidR="00970522" w:rsidRPr="00A059FB" w:rsidRDefault="00970522" w:rsidP="00970522">
            <w:pPr>
              <w:pStyle w:val="Style1"/>
              <w:jc w:val="right"/>
              <w:rPr>
                <w:rFonts w:ascii="Arial" w:hAnsi="Arial" w:cs="Arial"/>
                <w:b/>
                <w:szCs w:val="20"/>
              </w:rPr>
            </w:pPr>
            <w:r w:rsidRPr="00A059FB">
              <w:rPr>
                <w:rFonts w:ascii="Arial" w:hAnsi="Arial" w:cs="Arial"/>
                <w:b/>
                <w:color w:val="000000"/>
                <w:szCs w:val="20"/>
              </w:rPr>
              <w:t>3.290.054</w:t>
            </w:r>
          </w:p>
        </w:tc>
      </w:tr>
    </w:tbl>
    <w:p w14:paraId="0C21187B" w14:textId="77777777" w:rsidR="002A4D61" w:rsidRDefault="002A4D61" w:rsidP="002A4D61">
      <w:pPr>
        <w:tabs>
          <w:tab w:val="left" w:pos="142"/>
        </w:tabs>
        <w:jc w:val="both"/>
        <w:rPr>
          <w:rFonts w:ascii="Arial" w:hAnsi="Arial" w:cs="Arial"/>
          <w:b/>
          <w:sz w:val="20"/>
        </w:rPr>
      </w:pPr>
    </w:p>
    <w:p w14:paraId="746C62AC" w14:textId="77777777" w:rsidR="002A4D61" w:rsidRDefault="002A4D61" w:rsidP="002A4D61">
      <w:pPr>
        <w:tabs>
          <w:tab w:val="left" w:pos="142"/>
        </w:tabs>
        <w:jc w:val="both"/>
        <w:rPr>
          <w:rFonts w:ascii="Arial" w:hAnsi="Arial" w:cs="Arial"/>
          <w:b/>
          <w:sz w:val="20"/>
        </w:rPr>
      </w:pPr>
      <w:r>
        <w:rPr>
          <w:rFonts w:ascii="Arial" w:hAnsi="Arial" w:cs="Arial"/>
          <w:b/>
          <w:sz w:val="20"/>
        </w:rPr>
        <w:t xml:space="preserve">25. </w:t>
      </w:r>
      <w:r w:rsidRPr="00492498">
        <w:rPr>
          <w:rFonts w:ascii="Arial" w:hAnsi="Arial" w:cs="Arial"/>
          <w:b/>
          <w:caps/>
          <w:sz w:val="20"/>
        </w:rPr>
        <w:t>Activos no corrientes mantenidos para la venta</w:t>
      </w:r>
    </w:p>
    <w:p w14:paraId="7D124E1A" w14:textId="77777777" w:rsidR="002A4D61" w:rsidRDefault="002A4D61" w:rsidP="002A4D61">
      <w:pPr>
        <w:tabs>
          <w:tab w:val="left" w:pos="142"/>
        </w:tabs>
        <w:jc w:val="both"/>
        <w:rPr>
          <w:rFonts w:ascii="Arial" w:hAnsi="Arial" w:cs="Arial"/>
          <w:b/>
          <w:sz w:val="20"/>
        </w:rPr>
      </w:pPr>
    </w:p>
    <w:p w14:paraId="424B31C2" w14:textId="17D0CF1F" w:rsidR="002A4D61" w:rsidRDefault="002A4D61" w:rsidP="002A4D61">
      <w:pPr>
        <w:widowControl w:val="0"/>
        <w:autoSpaceDE w:val="0"/>
        <w:autoSpaceDN w:val="0"/>
        <w:adjustRightInd w:val="0"/>
        <w:jc w:val="both"/>
        <w:rPr>
          <w:rFonts w:ascii="Arial" w:hAnsi="Arial" w:cs="Arial"/>
          <w:b/>
          <w:sz w:val="20"/>
        </w:rPr>
      </w:pPr>
      <w:r>
        <w:rPr>
          <w:rFonts w:ascii="Arial" w:hAnsi="Arial" w:cs="Arial"/>
          <w:noProof/>
          <w:sz w:val="20"/>
        </w:rPr>
        <w:t>Al 31 de diciembre de 201</w:t>
      </w:r>
      <w:r w:rsidR="009F78ED">
        <w:rPr>
          <w:rFonts w:ascii="Arial" w:hAnsi="Arial" w:cs="Arial"/>
          <w:noProof/>
          <w:sz w:val="20"/>
        </w:rPr>
        <w:t>8</w:t>
      </w:r>
      <w:r>
        <w:rPr>
          <w:rFonts w:ascii="Arial" w:hAnsi="Arial" w:cs="Arial"/>
          <w:noProof/>
          <w:sz w:val="20"/>
        </w:rPr>
        <w:t>, el Banco ha clasificado como activos no corrientes mantenidos para la venta un camión por la suma de $ 2.800, ya que asume el compromiso irrevocable de efectuar sus mejores esfuerzos comerciales para negociarlo a un precio de venta razonable dentro del plazo de un año.</w:t>
      </w:r>
    </w:p>
    <w:p w14:paraId="59C0B21F" w14:textId="77777777" w:rsidR="002A4D61" w:rsidRPr="00701F32" w:rsidRDefault="002A4D61" w:rsidP="002A4D61">
      <w:pPr>
        <w:tabs>
          <w:tab w:val="left" w:pos="142"/>
        </w:tabs>
        <w:jc w:val="both"/>
        <w:rPr>
          <w:rFonts w:ascii="Arial" w:hAnsi="Arial" w:cs="Arial"/>
          <w:b/>
          <w:sz w:val="20"/>
        </w:rPr>
      </w:pPr>
    </w:p>
    <w:p w14:paraId="507E3683" w14:textId="77777777" w:rsidR="002A4D61" w:rsidRPr="00701F32" w:rsidRDefault="002A4D61" w:rsidP="002A4D61">
      <w:pPr>
        <w:tabs>
          <w:tab w:val="left" w:pos="142"/>
        </w:tabs>
        <w:jc w:val="both"/>
        <w:rPr>
          <w:rFonts w:ascii="Arial" w:hAnsi="Arial" w:cs="Arial"/>
          <w:b/>
          <w:sz w:val="20"/>
        </w:rPr>
      </w:pPr>
      <w:r>
        <w:rPr>
          <w:rFonts w:ascii="Arial" w:hAnsi="Arial" w:cs="Arial"/>
          <w:b/>
          <w:sz w:val="20"/>
        </w:rPr>
        <w:t>26</w:t>
      </w:r>
      <w:r w:rsidRPr="00701F32">
        <w:rPr>
          <w:rFonts w:ascii="Arial" w:hAnsi="Arial" w:cs="Arial"/>
          <w:b/>
          <w:sz w:val="20"/>
        </w:rPr>
        <w:t xml:space="preserve">. </w:t>
      </w:r>
      <w:r w:rsidRPr="00701F32">
        <w:rPr>
          <w:rFonts w:ascii="Arial" w:hAnsi="Arial" w:cs="Arial"/>
          <w:b/>
          <w:caps/>
          <w:sz w:val="20"/>
        </w:rPr>
        <w:t>Programa de Facilitación de Financiamiento al Comercio Exterior</w:t>
      </w:r>
    </w:p>
    <w:p w14:paraId="14FE24F9" w14:textId="77777777" w:rsidR="002A4D61" w:rsidRPr="00701F32" w:rsidRDefault="002A4D61" w:rsidP="002A4D61">
      <w:pPr>
        <w:widowControl w:val="0"/>
        <w:autoSpaceDE w:val="0"/>
        <w:autoSpaceDN w:val="0"/>
        <w:adjustRightInd w:val="0"/>
        <w:jc w:val="both"/>
        <w:rPr>
          <w:rFonts w:ascii="Arial" w:hAnsi="Arial" w:cs="Arial"/>
          <w:noProof/>
          <w:sz w:val="20"/>
        </w:rPr>
      </w:pPr>
    </w:p>
    <w:p w14:paraId="0619FA04" w14:textId="77777777" w:rsidR="005C576C" w:rsidRPr="005C576C" w:rsidRDefault="005C576C" w:rsidP="005C576C">
      <w:pPr>
        <w:autoSpaceDE w:val="0"/>
        <w:autoSpaceDN w:val="0"/>
        <w:jc w:val="both"/>
        <w:rPr>
          <w:rFonts w:ascii="Arial" w:hAnsi="Arial" w:cs="Arial"/>
          <w:sz w:val="20"/>
        </w:rPr>
      </w:pPr>
      <w:r w:rsidRPr="005C576C">
        <w:rPr>
          <w:rFonts w:ascii="Arial" w:hAnsi="Arial" w:cs="Arial"/>
          <w:sz w:val="20"/>
        </w:rPr>
        <w:t xml:space="preserve">El Banco mantiene activos los siguientes convenios: 1) Programa de Facilitación de Financiamiento al Comercio Exterior del Banco Interamericano de Desarrollo (BID), cuya línea asciende a USD 20.000.000 (dólares estadounidenses veinte millones) y 2)  el Global Trade Finance Program de la Corporación Financiera Internacional (IFC), cuya línea asciende a USD 30.000.000 (dólares estadounidenses treinta millones). </w:t>
      </w:r>
    </w:p>
    <w:p w14:paraId="2D9930FD" w14:textId="77777777" w:rsidR="005C576C" w:rsidRPr="005C576C" w:rsidRDefault="005C576C" w:rsidP="005C576C">
      <w:pPr>
        <w:autoSpaceDE w:val="0"/>
        <w:autoSpaceDN w:val="0"/>
        <w:jc w:val="both"/>
        <w:rPr>
          <w:rFonts w:ascii="Arial" w:hAnsi="Arial" w:cs="Arial"/>
          <w:sz w:val="20"/>
        </w:rPr>
      </w:pPr>
    </w:p>
    <w:p w14:paraId="68F922F7" w14:textId="77777777" w:rsidR="005C576C" w:rsidRPr="005C576C" w:rsidRDefault="005C576C" w:rsidP="005C576C">
      <w:pPr>
        <w:jc w:val="both"/>
        <w:rPr>
          <w:rFonts w:ascii="Arial" w:hAnsi="Arial" w:cs="Arial"/>
          <w:sz w:val="20"/>
        </w:rPr>
      </w:pPr>
      <w:r w:rsidRPr="005C576C">
        <w:rPr>
          <w:rFonts w:ascii="Arial" w:hAnsi="Arial" w:cs="Arial"/>
          <w:sz w:val="20"/>
        </w:rPr>
        <w:t>Por otra parte, el Banco recibió durante el mes de septiembre un préstamo sindicado senior no garantizado por USD 80.000.000 (dólares estadounidenses ochenta millones) a un plazo de tres años y con una tasa de interés de Libor + 3,40% a través del  FMO, el banco holandés de desarrollo, como organizador, y de Proparco, una subsidiaria de la Agencia Francesa de Desarrollo (AFD). Los fondos recibidos fueron rápidamente colocados entre los clientes PYMEs de nuestra cartera que se desempeñan en economías regionales exportadoras en varios sectores</w:t>
      </w:r>
    </w:p>
    <w:p w14:paraId="38BF3B64" w14:textId="77777777" w:rsidR="005C576C" w:rsidRPr="005C576C" w:rsidRDefault="005C576C" w:rsidP="005C576C">
      <w:pPr>
        <w:jc w:val="both"/>
        <w:rPr>
          <w:rFonts w:ascii="Arial" w:hAnsi="Arial" w:cs="Arial"/>
          <w:sz w:val="20"/>
        </w:rPr>
      </w:pPr>
    </w:p>
    <w:p w14:paraId="1B56471E" w14:textId="77777777" w:rsidR="005C576C" w:rsidRPr="005C576C" w:rsidRDefault="005C576C" w:rsidP="005C576C">
      <w:pPr>
        <w:autoSpaceDE w:val="0"/>
        <w:autoSpaceDN w:val="0"/>
        <w:jc w:val="both"/>
        <w:rPr>
          <w:rFonts w:ascii="Arial" w:hAnsi="Arial" w:cs="Arial"/>
          <w:sz w:val="20"/>
        </w:rPr>
      </w:pPr>
      <w:r w:rsidRPr="005C576C">
        <w:rPr>
          <w:rFonts w:ascii="Arial" w:hAnsi="Arial" w:cs="Arial"/>
          <w:sz w:val="20"/>
        </w:rPr>
        <w:t>Corresponde señalar que tanto los convenios como el préstamo sindicado se encuentran subordinados al cumplimiento de determinados covenants financieros, ciertas obligaciones de hacer y no hacer, como así también ciertos requerimientos de información.</w:t>
      </w:r>
    </w:p>
    <w:p w14:paraId="57F310EE" w14:textId="77777777" w:rsidR="005C576C" w:rsidRPr="005C576C" w:rsidRDefault="005C576C" w:rsidP="005C576C">
      <w:pPr>
        <w:autoSpaceDE w:val="0"/>
        <w:autoSpaceDN w:val="0"/>
        <w:jc w:val="both"/>
        <w:rPr>
          <w:rFonts w:ascii="Arial" w:hAnsi="Arial" w:cs="Arial"/>
          <w:sz w:val="20"/>
        </w:rPr>
      </w:pPr>
    </w:p>
    <w:p w14:paraId="0621A842" w14:textId="77777777" w:rsidR="00A23FB9" w:rsidRPr="0049419F" w:rsidRDefault="00A23FB9" w:rsidP="00A23FB9">
      <w:pPr>
        <w:widowControl w:val="0"/>
        <w:autoSpaceDE w:val="0"/>
        <w:autoSpaceDN w:val="0"/>
        <w:adjustRightInd w:val="0"/>
        <w:jc w:val="both"/>
        <w:rPr>
          <w:rFonts w:ascii="Arial" w:hAnsi="Arial" w:cs="Arial"/>
          <w:noProof/>
          <w:sz w:val="20"/>
        </w:rPr>
      </w:pPr>
      <w:r w:rsidRPr="0049419F">
        <w:rPr>
          <w:rFonts w:ascii="Arial" w:hAnsi="Arial" w:cs="Arial"/>
          <w:noProof/>
          <w:sz w:val="20"/>
        </w:rPr>
        <w:t xml:space="preserve">Al 31 de diciembre de 2019 la Entidad no cumplía con el ratio de préstamos non-performing ni con el de cobertura, lo cual genera un </w:t>
      </w:r>
      <w:r>
        <w:rPr>
          <w:rFonts w:ascii="Arial" w:hAnsi="Arial" w:cs="Arial"/>
          <w:noProof/>
          <w:sz w:val="20"/>
        </w:rPr>
        <w:t xml:space="preserve">potencial </w:t>
      </w:r>
      <w:r w:rsidRPr="0049419F">
        <w:rPr>
          <w:rFonts w:ascii="Arial" w:hAnsi="Arial" w:cs="Arial"/>
          <w:noProof/>
          <w:sz w:val="20"/>
        </w:rPr>
        <w:t>incumplimiento de los acuerdos de préstamo con el FMO y Proparco por las cláusulas de cross default contenidas en dicho contratos. Este incumplimiento habilita</w:t>
      </w:r>
      <w:r>
        <w:rPr>
          <w:rFonts w:ascii="Arial" w:hAnsi="Arial" w:cs="Arial"/>
          <w:noProof/>
          <w:sz w:val="20"/>
        </w:rPr>
        <w:t>ría</w:t>
      </w:r>
      <w:r w:rsidRPr="0049419F">
        <w:rPr>
          <w:rFonts w:ascii="Arial" w:hAnsi="Arial" w:cs="Arial"/>
          <w:noProof/>
          <w:sz w:val="20"/>
        </w:rPr>
        <w:t xml:space="preserve"> a los organismos mencionados anteriormente a acelerar el pago de los préstamos mencionados anteriormente por un importe de $</w:t>
      </w:r>
      <w:r w:rsidRPr="00C63D0C">
        <w:rPr>
          <w:rFonts w:ascii="Arial" w:hAnsi="Arial" w:cs="Arial"/>
          <w:noProof/>
          <w:sz w:val="20"/>
        </w:rPr>
        <w:t>7.1</w:t>
      </w:r>
      <w:r>
        <w:rPr>
          <w:rFonts w:ascii="Arial" w:hAnsi="Arial" w:cs="Arial"/>
          <w:noProof/>
          <w:sz w:val="20"/>
        </w:rPr>
        <w:t>67</w:t>
      </w:r>
      <w:r w:rsidRPr="00C63D0C">
        <w:rPr>
          <w:rFonts w:ascii="Arial" w:hAnsi="Arial" w:cs="Arial"/>
          <w:noProof/>
          <w:sz w:val="20"/>
        </w:rPr>
        <w:t xml:space="preserve"> millones</w:t>
      </w:r>
      <w:r w:rsidRPr="0049419F">
        <w:rPr>
          <w:rFonts w:ascii="Arial" w:hAnsi="Arial" w:cs="Arial"/>
          <w:noProof/>
          <w:sz w:val="20"/>
        </w:rPr>
        <w:t xml:space="preserve"> al 31 de diciembre de 2019.</w:t>
      </w:r>
    </w:p>
    <w:p w14:paraId="5440A645" w14:textId="77777777" w:rsidR="00A23FB9" w:rsidRPr="0049419F" w:rsidRDefault="00A23FB9" w:rsidP="00A23FB9">
      <w:pPr>
        <w:widowControl w:val="0"/>
        <w:autoSpaceDE w:val="0"/>
        <w:autoSpaceDN w:val="0"/>
        <w:adjustRightInd w:val="0"/>
        <w:jc w:val="both"/>
        <w:rPr>
          <w:rFonts w:ascii="Arial" w:hAnsi="Arial" w:cs="Arial"/>
          <w:noProof/>
          <w:sz w:val="20"/>
        </w:rPr>
      </w:pPr>
    </w:p>
    <w:p w14:paraId="4F378B0B" w14:textId="084319A9" w:rsidR="00A23FB9" w:rsidRPr="002511FE" w:rsidRDefault="00A23FB9" w:rsidP="00A23FB9">
      <w:pPr>
        <w:widowControl w:val="0"/>
        <w:autoSpaceDE w:val="0"/>
        <w:autoSpaceDN w:val="0"/>
        <w:adjustRightInd w:val="0"/>
        <w:jc w:val="both"/>
        <w:rPr>
          <w:rFonts w:ascii="Arial" w:hAnsi="Arial" w:cs="Arial"/>
          <w:noProof/>
          <w:sz w:val="20"/>
        </w:rPr>
      </w:pPr>
      <w:r>
        <w:rPr>
          <w:rFonts w:ascii="Arial" w:hAnsi="Arial" w:cs="Arial"/>
          <w:noProof/>
          <w:sz w:val="20"/>
        </w:rPr>
        <w:t xml:space="preserve">En consecuencia, con fecha 29 de enero de 2020 la entidad inició el trámite para obtener un waiver con el BID, el cual se obtuvo el </w:t>
      </w:r>
      <w:r w:rsidRPr="00A059FB">
        <w:rPr>
          <w:rFonts w:ascii="Arial" w:hAnsi="Arial" w:cs="Arial"/>
          <w:noProof/>
          <w:sz w:val="20"/>
        </w:rPr>
        <w:t>18 de febrero de 2020</w:t>
      </w:r>
      <w:r w:rsidRPr="00CA279F">
        <w:rPr>
          <w:rFonts w:ascii="Arial" w:hAnsi="Arial" w:cs="Arial"/>
          <w:noProof/>
          <w:sz w:val="20"/>
        </w:rPr>
        <w:t>.</w:t>
      </w:r>
      <w:r>
        <w:rPr>
          <w:rFonts w:ascii="Arial" w:hAnsi="Arial" w:cs="Arial"/>
          <w:noProof/>
          <w:sz w:val="20"/>
        </w:rPr>
        <w:t xml:space="preserve"> Por el mismo,</w:t>
      </w:r>
      <w:r w:rsidRPr="004331E5">
        <w:rPr>
          <w:rFonts w:ascii="Arial" w:hAnsi="Arial" w:cs="Arial"/>
          <w:noProof/>
          <w:sz w:val="20"/>
        </w:rPr>
        <w:t xml:space="preserve"> el BID renuncia a su derecho de acelerar la deuda por el incumplimiento de los ratios de préstamos no performing y de cobertura por el periodo que va del 1 de octubre de 2019 al 31 de diciembre de 2019. A la fecha de emisión de los </w:t>
      </w:r>
      <w:r>
        <w:rPr>
          <w:rFonts w:ascii="Arial" w:hAnsi="Arial" w:cs="Arial"/>
          <w:noProof/>
          <w:sz w:val="20"/>
        </w:rPr>
        <w:t xml:space="preserve">presentes </w:t>
      </w:r>
      <w:r w:rsidRPr="004331E5">
        <w:rPr>
          <w:rFonts w:ascii="Arial" w:hAnsi="Arial" w:cs="Arial"/>
          <w:noProof/>
          <w:sz w:val="20"/>
        </w:rPr>
        <w:t xml:space="preserve">estados financieros la Entidad incumplía con los mencionados ratios, </w:t>
      </w:r>
      <w:r>
        <w:rPr>
          <w:rFonts w:ascii="Arial" w:hAnsi="Arial" w:cs="Arial"/>
          <w:noProof/>
          <w:sz w:val="20"/>
        </w:rPr>
        <w:t xml:space="preserve">por lo que con fecha </w:t>
      </w:r>
      <w:r w:rsidRPr="00A059FB">
        <w:rPr>
          <w:rFonts w:ascii="Arial" w:hAnsi="Arial" w:cs="Arial"/>
          <w:noProof/>
          <w:sz w:val="20"/>
        </w:rPr>
        <w:t>1</w:t>
      </w:r>
      <w:r w:rsidR="00CA279F" w:rsidRPr="00A059FB">
        <w:rPr>
          <w:rFonts w:ascii="Arial" w:hAnsi="Arial" w:cs="Arial"/>
          <w:noProof/>
          <w:sz w:val="20"/>
        </w:rPr>
        <w:t>8</w:t>
      </w:r>
      <w:r w:rsidRPr="00A059FB">
        <w:rPr>
          <w:rFonts w:ascii="Arial" w:hAnsi="Arial" w:cs="Arial"/>
          <w:noProof/>
          <w:sz w:val="20"/>
        </w:rPr>
        <w:t xml:space="preserve"> de febrero de 2020</w:t>
      </w:r>
      <w:r w:rsidRPr="004331E5">
        <w:t xml:space="preserve"> </w:t>
      </w:r>
      <w:r w:rsidRPr="004331E5">
        <w:rPr>
          <w:rFonts w:ascii="Arial" w:hAnsi="Arial" w:cs="Arial"/>
          <w:noProof/>
          <w:sz w:val="20"/>
        </w:rPr>
        <w:t>solicitó un nuevo waiver al BID, el cual se encuentra bajo análisis del organismo</w:t>
      </w:r>
      <w:r>
        <w:rPr>
          <w:rFonts w:ascii="Arial" w:hAnsi="Arial" w:cs="Arial"/>
          <w:noProof/>
          <w:sz w:val="20"/>
        </w:rPr>
        <w:t xml:space="preserve"> y</w:t>
      </w:r>
      <w:r w:rsidRPr="004331E5">
        <w:rPr>
          <w:rFonts w:ascii="Arial" w:hAnsi="Arial" w:cs="Arial"/>
          <w:noProof/>
          <w:sz w:val="20"/>
        </w:rPr>
        <w:t xml:space="preserve"> cuya respuesta se espera en los plazos habituales</w:t>
      </w:r>
      <w:r>
        <w:rPr>
          <w:rFonts w:ascii="Arial" w:hAnsi="Arial" w:cs="Arial"/>
          <w:noProof/>
          <w:sz w:val="20"/>
        </w:rPr>
        <w:t>.</w:t>
      </w:r>
      <w:r w:rsidRPr="004331E5">
        <w:rPr>
          <w:rFonts w:ascii="Arial" w:hAnsi="Arial" w:cs="Arial"/>
          <w:noProof/>
          <w:sz w:val="20"/>
        </w:rPr>
        <w:t xml:space="preserve"> </w:t>
      </w:r>
      <w:r>
        <w:rPr>
          <w:rFonts w:ascii="Arial" w:hAnsi="Arial" w:cs="Arial"/>
          <w:noProof/>
          <w:sz w:val="20"/>
        </w:rPr>
        <w:t>L</w:t>
      </w:r>
      <w:r w:rsidRPr="004331E5">
        <w:rPr>
          <w:rFonts w:ascii="Arial" w:hAnsi="Arial" w:cs="Arial"/>
          <w:noProof/>
          <w:sz w:val="20"/>
        </w:rPr>
        <w:t xml:space="preserve">a Gerencia de la Entidad se encuentra trabajando conjuntamente con el BID, el FMO y Proparco en generar un nuevo waiver y modificar los acuerdos de préstamo a fin de que los covenants financieros incluidos en los mismos se adecúen a la actual performance </w:t>
      </w:r>
      <w:r>
        <w:rPr>
          <w:rFonts w:ascii="Arial" w:hAnsi="Arial" w:cs="Arial"/>
          <w:noProof/>
          <w:sz w:val="20"/>
        </w:rPr>
        <w:t>y contexto macroeconómico.</w:t>
      </w:r>
    </w:p>
    <w:p w14:paraId="20D41261" w14:textId="77777777" w:rsidR="002A4D61" w:rsidRDefault="002A4D61" w:rsidP="002A4D61">
      <w:pPr>
        <w:widowControl w:val="0"/>
        <w:autoSpaceDE w:val="0"/>
        <w:autoSpaceDN w:val="0"/>
        <w:adjustRightInd w:val="0"/>
        <w:jc w:val="both"/>
        <w:rPr>
          <w:rFonts w:ascii="Arial" w:hAnsi="Arial" w:cs="Arial"/>
          <w:noProof/>
          <w:sz w:val="20"/>
        </w:rPr>
      </w:pPr>
    </w:p>
    <w:p w14:paraId="02D1D0E9" w14:textId="113C2DEE" w:rsidR="002A4D61" w:rsidRPr="005744AF" w:rsidRDefault="002A4D61" w:rsidP="002A4D61">
      <w:pPr>
        <w:spacing w:line="240" w:lineRule="exact"/>
        <w:jc w:val="both"/>
        <w:outlineLvl w:val="0"/>
        <w:rPr>
          <w:rFonts w:asciiTheme="minorHAnsi" w:hAnsiTheme="minorHAnsi" w:cstheme="minorHAnsi"/>
          <w:b/>
          <w:sz w:val="20"/>
          <w:lang w:val="es-ES_tradnl"/>
        </w:rPr>
      </w:pPr>
      <w:r>
        <w:rPr>
          <w:rFonts w:ascii="Arial" w:hAnsi="Arial" w:cs="Arial"/>
          <w:b/>
          <w:noProof/>
          <w:sz w:val="20"/>
        </w:rPr>
        <w:t>27.</w:t>
      </w:r>
      <w:r w:rsidRPr="005744AF">
        <w:rPr>
          <w:rFonts w:asciiTheme="minorHAnsi" w:hAnsiTheme="minorHAnsi" w:cstheme="minorHAnsi"/>
          <w:b/>
          <w:sz w:val="20"/>
          <w:lang w:val="es-ES_tradnl"/>
        </w:rPr>
        <w:t xml:space="preserve"> </w:t>
      </w:r>
      <w:r w:rsidRPr="00EC349E">
        <w:rPr>
          <w:rFonts w:ascii="Arial" w:hAnsi="Arial" w:cs="Arial"/>
          <w:b/>
          <w:caps/>
          <w:sz w:val="20"/>
          <w:lang w:val="es-ES_tradnl"/>
        </w:rPr>
        <w:t>Compensación de Instrumentos Financieros</w:t>
      </w:r>
    </w:p>
    <w:p w14:paraId="46481A90" w14:textId="77777777" w:rsidR="002A4D61" w:rsidRPr="005744AF" w:rsidRDefault="002A4D61" w:rsidP="002A4D61">
      <w:pPr>
        <w:spacing w:line="240" w:lineRule="exact"/>
        <w:ind w:left="586"/>
        <w:jc w:val="both"/>
        <w:outlineLvl w:val="0"/>
        <w:rPr>
          <w:rFonts w:asciiTheme="minorHAnsi" w:hAnsiTheme="minorHAnsi" w:cstheme="minorHAnsi"/>
          <w:b/>
          <w:sz w:val="20"/>
          <w:u w:val="single"/>
          <w:lang w:val="es-ES_tradnl"/>
        </w:rPr>
      </w:pPr>
    </w:p>
    <w:p w14:paraId="572FEEB0" w14:textId="626ED6D4" w:rsidR="002A4D61" w:rsidRPr="00EC349E" w:rsidRDefault="002A4D61" w:rsidP="002A4D61">
      <w:pPr>
        <w:pStyle w:val="Default"/>
        <w:jc w:val="both"/>
        <w:rPr>
          <w:sz w:val="20"/>
          <w:szCs w:val="20"/>
        </w:rPr>
      </w:pPr>
      <w:r w:rsidRPr="00EC349E">
        <w:rPr>
          <w:sz w:val="20"/>
          <w:szCs w:val="20"/>
        </w:rPr>
        <w:t>Los activos y pasivos financieros pueden ser objeto de compensación, es decir, de presentación por un importe neto en el estado de situación financiera, sólo cuando la Entidad cumple con lo establecido en la NIC 32 párrafo 42, y tienen, por lo tanto, el derecho, exigible legalmente, de compensar importes reconocidos, y la intención de liquidar la cantidad neta o de realizar el activo y proceder al pago del pasivo de forma simultánea. Adicionalmente, el Banco es parte de acuerdos que no cumplen con el criterio de compensación pero que permiten la compensación de los activos y pasivos financieros relacionados en determinadas circunstancia</w:t>
      </w:r>
      <w:r w:rsidR="00970522">
        <w:rPr>
          <w:sz w:val="20"/>
          <w:szCs w:val="20"/>
        </w:rPr>
        <w:t>s</w:t>
      </w:r>
      <w:r w:rsidRPr="00EC349E">
        <w:rPr>
          <w:sz w:val="20"/>
          <w:szCs w:val="20"/>
        </w:rPr>
        <w:t xml:space="preserve"> como por ejemplo un evento de incumplimiento, quiebra o terminación del contrato. </w:t>
      </w:r>
    </w:p>
    <w:p w14:paraId="64E4C7C0" w14:textId="77777777" w:rsidR="002A4D61" w:rsidRPr="00EC349E" w:rsidRDefault="002A4D61" w:rsidP="002A4D61">
      <w:pPr>
        <w:jc w:val="both"/>
        <w:rPr>
          <w:rFonts w:ascii="Arial" w:hAnsi="Arial" w:cs="Arial"/>
          <w:sz w:val="20"/>
        </w:rPr>
      </w:pPr>
    </w:p>
    <w:p w14:paraId="37D00D95" w14:textId="41CFCB69" w:rsidR="002A4D61" w:rsidRPr="00EC349E" w:rsidRDefault="002A4D61" w:rsidP="002A4D61">
      <w:pPr>
        <w:jc w:val="both"/>
        <w:rPr>
          <w:rFonts w:ascii="Arial" w:hAnsi="Arial" w:cs="Arial"/>
          <w:sz w:val="20"/>
        </w:rPr>
      </w:pPr>
      <w:r w:rsidRPr="00EC349E">
        <w:rPr>
          <w:rFonts w:ascii="Arial" w:hAnsi="Arial" w:cs="Arial"/>
          <w:sz w:val="20"/>
        </w:rPr>
        <w:t>A continuación se presenta al 31 de diciembre de 201</w:t>
      </w:r>
      <w:r w:rsidR="00970522">
        <w:rPr>
          <w:rFonts w:ascii="Arial" w:hAnsi="Arial" w:cs="Arial"/>
          <w:sz w:val="20"/>
        </w:rPr>
        <w:t>9 y</w:t>
      </w:r>
      <w:r w:rsidRPr="00EC349E">
        <w:rPr>
          <w:rFonts w:ascii="Arial" w:hAnsi="Arial" w:cs="Arial"/>
          <w:sz w:val="20"/>
        </w:rPr>
        <w:t xml:space="preserve"> 201</w:t>
      </w:r>
      <w:r w:rsidR="00970522">
        <w:rPr>
          <w:rFonts w:ascii="Arial" w:hAnsi="Arial" w:cs="Arial"/>
          <w:sz w:val="20"/>
        </w:rPr>
        <w:t>8</w:t>
      </w:r>
      <w:r w:rsidR="00553573">
        <w:rPr>
          <w:rFonts w:ascii="Arial" w:hAnsi="Arial" w:cs="Arial"/>
          <w:sz w:val="20"/>
        </w:rPr>
        <w:t xml:space="preserve"> </w:t>
      </w:r>
      <w:r w:rsidRPr="00EC349E">
        <w:rPr>
          <w:rFonts w:ascii="Arial" w:hAnsi="Arial" w:cs="Arial"/>
          <w:sz w:val="20"/>
        </w:rPr>
        <w:t>los activos y pasivos sujetos a derechos contractuales de compensación en el momento de su liquidación:</w:t>
      </w:r>
    </w:p>
    <w:p w14:paraId="39F1CF68" w14:textId="77777777" w:rsidR="00EB601A" w:rsidRPr="00EC349E" w:rsidRDefault="00EB601A" w:rsidP="002A4D61">
      <w:pPr>
        <w:jc w:val="both"/>
        <w:rPr>
          <w:rFonts w:ascii="Arial" w:hAnsi="Arial" w:cs="Arial"/>
          <w:sz w:val="20"/>
        </w:rPr>
      </w:pPr>
    </w:p>
    <w:tbl>
      <w:tblPr>
        <w:tblW w:w="52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7"/>
        <w:gridCol w:w="1051"/>
        <w:gridCol w:w="1229"/>
        <w:gridCol w:w="925"/>
        <w:gridCol w:w="1342"/>
        <w:gridCol w:w="991"/>
        <w:gridCol w:w="1135"/>
      </w:tblGrid>
      <w:tr w:rsidR="00EB601A" w:rsidRPr="00970522" w14:paraId="3EB2E8FA" w14:textId="77777777" w:rsidTr="00A60EAC">
        <w:trPr>
          <w:trHeight w:val="604"/>
        </w:trPr>
        <w:tc>
          <w:tcPr>
            <w:tcW w:w="1365" w:type="pct"/>
            <w:vMerge w:val="restart"/>
            <w:shd w:val="clear" w:color="auto" w:fill="auto"/>
            <w:noWrap/>
            <w:vAlign w:val="center"/>
            <w:hideMark/>
          </w:tcPr>
          <w:p w14:paraId="4C61635F" w14:textId="0E05C9BE" w:rsidR="00EB601A" w:rsidRPr="00970522" w:rsidRDefault="00EB601A" w:rsidP="002A4D61">
            <w:pPr>
              <w:jc w:val="center"/>
              <w:rPr>
                <w:rFonts w:ascii="Arial" w:hAnsi="Arial" w:cs="Arial"/>
                <w:b/>
                <w:color w:val="000000"/>
                <w:sz w:val="16"/>
                <w:szCs w:val="16"/>
                <w:lang w:val="en-US" w:eastAsia="es-AR"/>
              </w:rPr>
            </w:pPr>
            <w:r w:rsidRPr="00970522">
              <w:rPr>
                <w:rFonts w:ascii="Arial" w:hAnsi="Arial" w:cs="Arial"/>
                <w:b/>
                <w:color w:val="000000"/>
                <w:sz w:val="16"/>
                <w:szCs w:val="16"/>
                <w:lang w:val="en-US" w:eastAsia="es-AR"/>
              </w:rPr>
              <w:t>31</w:t>
            </w:r>
            <w:r>
              <w:rPr>
                <w:rFonts w:ascii="Arial" w:hAnsi="Arial" w:cs="Arial"/>
                <w:b/>
                <w:color w:val="000000"/>
                <w:sz w:val="16"/>
                <w:szCs w:val="16"/>
                <w:lang w:val="en-US" w:eastAsia="es-AR"/>
              </w:rPr>
              <w:t>/</w:t>
            </w:r>
            <w:r w:rsidRPr="00970522">
              <w:rPr>
                <w:rFonts w:ascii="Arial" w:hAnsi="Arial" w:cs="Arial"/>
                <w:b/>
                <w:color w:val="000000"/>
                <w:sz w:val="16"/>
                <w:szCs w:val="16"/>
                <w:lang w:val="en-US" w:eastAsia="es-AR"/>
              </w:rPr>
              <w:t>12</w:t>
            </w:r>
            <w:r>
              <w:rPr>
                <w:rFonts w:ascii="Arial" w:hAnsi="Arial" w:cs="Arial"/>
                <w:b/>
                <w:color w:val="000000"/>
                <w:sz w:val="16"/>
                <w:szCs w:val="16"/>
                <w:lang w:val="en-US" w:eastAsia="es-AR"/>
              </w:rPr>
              <w:t>/</w:t>
            </w:r>
            <w:r w:rsidRPr="00970522">
              <w:rPr>
                <w:rFonts w:ascii="Arial" w:hAnsi="Arial" w:cs="Arial"/>
                <w:b/>
                <w:color w:val="000000"/>
                <w:sz w:val="16"/>
                <w:szCs w:val="16"/>
                <w:lang w:val="en-US" w:eastAsia="es-AR"/>
              </w:rPr>
              <w:t>201</w:t>
            </w:r>
            <w:r>
              <w:rPr>
                <w:rFonts w:ascii="Arial" w:hAnsi="Arial" w:cs="Arial"/>
                <w:b/>
                <w:color w:val="000000"/>
                <w:sz w:val="16"/>
                <w:szCs w:val="16"/>
                <w:lang w:val="en-US" w:eastAsia="es-AR"/>
              </w:rPr>
              <w:t>9</w:t>
            </w:r>
          </w:p>
        </w:tc>
        <w:tc>
          <w:tcPr>
            <w:tcW w:w="572" w:type="pct"/>
            <w:vMerge w:val="restart"/>
            <w:shd w:val="clear" w:color="auto" w:fill="auto"/>
            <w:vAlign w:val="center"/>
            <w:hideMark/>
          </w:tcPr>
          <w:p w14:paraId="4F2E173E" w14:textId="77777777" w:rsidR="00EB601A" w:rsidRPr="00970522" w:rsidRDefault="00EB601A" w:rsidP="002A4D61">
            <w:pPr>
              <w:jc w:val="center"/>
              <w:rPr>
                <w:rFonts w:ascii="Arial" w:hAnsi="Arial" w:cs="Arial"/>
                <w:b/>
                <w:color w:val="000000"/>
                <w:sz w:val="16"/>
                <w:szCs w:val="16"/>
                <w:lang w:eastAsia="es-AR"/>
              </w:rPr>
            </w:pPr>
            <w:r w:rsidRPr="00970522">
              <w:rPr>
                <w:rFonts w:ascii="Arial" w:hAnsi="Arial" w:cs="Arial"/>
                <w:b/>
                <w:color w:val="000000"/>
                <w:sz w:val="16"/>
                <w:szCs w:val="16"/>
                <w:lang w:eastAsia="es-AR"/>
              </w:rPr>
              <w:t>Monto bruto antes de neteo (a)</w:t>
            </w:r>
          </w:p>
        </w:tc>
        <w:tc>
          <w:tcPr>
            <w:tcW w:w="669" w:type="pct"/>
            <w:vMerge w:val="restart"/>
            <w:shd w:val="clear" w:color="auto" w:fill="auto"/>
            <w:vAlign w:val="center"/>
            <w:hideMark/>
          </w:tcPr>
          <w:p w14:paraId="363E764C" w14:textId="77777777" w:rsidR="00EB601A" w:rsidRPr="00970522" w:rsidRDefault="00EB601A" w:rsidP="002A4D61">
            <w:pPr>
              <w:jc w:val="center"/>
              <w:rPr>
                <w:rFonts w:ascii="Arial" w:hAnsi="Arial" w:cs="Arial"/>
                <w:b/>
                <w:color w:val="000000"/>
                <w:sz w:val="16"/>
                <w:szCs w:val="16"/>
                <w:lang w:val="en-US" w:eastAsia="es-AR"/>
              </w:rPr>
            </w:pPr>
            <w:r w:rsidRPr="00970522">
              <w:rPr>
                <w:rFonts w:ascii="Arial" w:hAnsi="Arial" w:cs="Arial"/>
                <w:b/>
                <w:color w:val="000000"/>
                <w:sz w:val="16"/>
                <w:szCs w:val="16"/>
                <w:lang w:val="en-US" w:eastAsia="es-AR"/>
              </w:rPr>
              <w:t>Monto compensado (b)</w:t>
            </w:r>
          </w:p>
        </w:tc>
        <w:tc>
          <w:tcPr>
            <w:tcW w:w="504" w:type="pct"/>
            <w:vMerge w:val="restart"/>
            <w:shd w:val="clear" w:color="auto" w:fill="auto"/>
            <w:vAlign w:val="center"/>
            <w:hideMark/>
          </w:tcPr>
          <w:p w14:paraId="154D141C" w14:textId="77777777" w:rsidR="00EB601A" w:rsidRPr="00970522" w:rsidRDefault="00EB601A" w:rsidP="002A4D61">
            <w:pPr>
              <w:jc w:val="center"/>
              <w:rPr>
                <w:rFonts w:ascii="Arial" w:hAnsi="Arial" w:cs="Arial"/>
                <w:b/>
                <w:color w:val="000000"/>
                <w:sz w:val="16"/>
                <w:szCs w:val="16"/>
                <w:lang w:eastAsia="es-AR"/>
              </w:rPr>
            </w:pPr>
            <w:r w:rsidRPr="00970522">
              <w:rPr>
                <w:rFonts w:ascii="Arial" w:hAnsi="Arial" w:cs="Arial"/>
                <w:b/>
                <w:color w:val="000000"/>
                <w:sz w:val="16"/>
                <w:szCs w:val="16"/>
                <w:lang w:eastAsia="es-AR"/>
              </w:rPr>
              <w:t>Neto en Estados Financieros (c)=(a)-(b)</w:t>
            </w:r>
          </w:p>
        </w:tc>
        <w:tc>
          <w:tcPr>
            <w:tcW w:w="1271" w:type="pct"/>
            <w:gridSpan w:val="2"/>
            <w:shd w:val="clear" w:color="auto" w:fill="auto"/>
            <w:vAlign w:val="center"/>
            <w:hideMark/>
          </w:tcPr>
          <w:p w14:paraId="4909291F" w14:textId="77777777" w:rsidR="00EB601A" w:rsidRPr="00970522" w:rsidRDefault="00EB601A" w:rsidP="002A4D61">
            <w:pPr>
              <w:jc w:val="center"/>
              <w:rPr>
                <w:rFonts w:ascii="Arial" w:hAnsi="Arial" w:cs="Arial"/>
                <w:b/>
                <w:color w:val="000000"/>
                <w:sz w:val="16"/>
                <w:szCs w:val="16"/>
                <w:lang w:eastAsia="es-AR"/>
              </w:rPr>
            </w:pPr>
            <w:r w:rsidRPr="00970522">
              <w:rPr>
                <w:rFonts w:ascii="Arial" w:hAnsi="Arial" w:cs="Arial"/>
                <w:b/>
                <w:color w:val="000000"/>
                <w:sz w:val="16"/>
                <w:szCs w:val="16"/>
                <w:lang w:eastAsia="es-AR"/>
              </w:rPr>
              <w:t>Montos sujetos a acuerdos de neteo no compensados en los Estados Financieros</w:t>
            </w:r>
          </w:p>
        </w:tc>
        <w:tc>
          <w:tcPr>
            <w:tcW w:w="618" w:type="pct"/>
            <w:vMerge w:val="restart"/>
            <w:shd w:val="clear" w:color="auto" w:fill="auto"/>
            <w:vAlign w:val="center"/>
            <w:hideMark/>
          </w:tcPr>
          <w:p w14:paraId="7F7B77E1" w14:textId="77777777" w:rsidR="00EB601A" w:rsidRPr="00970522" w:rsidRDefault="00EB601A" w:rsidP="002A4D61">
            <w:pPr>
              <w:jc w:val="center"/>
              <w:rPr>
                <w:rFonts w:ascii="Arial" w:hAnsi="Arial" w:cs="Arial"/>
                <w:b/>
                <w:color w:val="000000"/>
                <w:sz w:val="16"/>
                <w:szCs w:val="16"/>
                <w:lang w:eastAsia="es-AR"/>
              </w:rPr>
            </w:pPr>
            <w:r w:rsidRPr="00970522">
              <w:rPr>
                <w:rFonts w:ascii="Arial" w:hAnsi="Arial" w:cs="Arial"/>
                <w:b/>
                <w:color w:val="000000"/>
                <w:sz w:val="16"/>
                <w:szCs w:val="16"/>
                <w:lang w:eastAsia="es-AR"/>
              </w:rPr>
              <w:t xml:space="preserve">Monto neto total </w:t>
            </w:r>
          </w:p>
        </w:tc>
      </w:tr>
      <w:tr w:rsidR="00EB601A" w:rsidRPr="00970522" w14:paraId="7D026289" w14:textId="77777777" w:rsidTr="00A60EAC">
        <w:trPr>
          <w:trHeight w:val="60"/>
        </w:trPr>
        <w:tc>
          <w:tcPr>
            <w:tcW w:w="1365" w:type="pct"/>
            <w:vMerge/>
            <w:shd w:val="clear" w:color="auto" w:fill="auto"/>
            <w:noWrap/>
            <w:vAlign w:val="bottom"/>
          </w:tcPr>
          <w:p w14:paraId="70A08A92" w14:textId="77777777" w:rsidR="00EB601A" w:rsidRPr="00970522" w:rsidRDefault="00EB601A" w:rsidP="002A4D61">
            <w:pPr>
              <w:rPr>
                <w:rFonts w:ascii="Arial" w:hAnsi="Arial" w:cs="Arial"/>
                <w:sz w:val="16"/>
                <w:szCs w:val="16"/>
              </w:rPr>
            </w:pPr>
          </w:p>
        </w:tc>
        <w:tc>
          <w:tcPr>
            <w:tcW w:w="572" w:type="pct"/>
            <w:vMerge/>
            <w:shd w:val="clear" w:color="auto" w:fill="auto"/>
            <w:vAlign w:val="center"/>
          </w:tcPr>
          <w:p w14:paraId="59F0F561" w14:textId="77777777" w:rsidR="00EB601A" w:rsidRPr="00970522" w:rsidRDefault="00EB601A" w:rsidP="002A4D61">
            <w:pPr>
              <w:jc w:val="center"/>
              <w:rPr>
                <w:rFonts w:ascii="Arial" w:hAnsi="Arial" w:cs="Arial"/>
                <w:color w:val="000000"/>
                <w:sz w:val="16"/>
                <w:szCs w:val="16"/>
              </w:rPr>
            </w:pPr>
          </w:p>
        </w:tc>
        <w:tc>
          <w:tcPr>
            <w:tcW w:w="669" w:type="pct"/>
            <w:vMerge/>
            <w:shd w:val="clear" w:color="auto" w:fill="auto"/>
            <w:vAlign w:val="center"/>
          </w:tcPr>
          <w:p w14:paraId="0C026B46" w14:textId="77777777" w:rsidR="00EB601A" w:rsidRPr="00970522" w:rsidRDefault="00EB601A" w:rsidP="002A4D61">
            <w:pPr>
              <w:jc w:val="center"/>
              <w:rPr>
                <w:rFonts w:ascii="Arial" w:hAnsi="Arial" w:cs="Arial"/>
                <w:color w:val="000000"/>
                <w:sz w:val="16"/>
                <w:szCs w:val="16"/>
              </w:rPr>
            </w:pPr>
          </w:p>
        </w:tc>
        <w:tc>
          <w:tcPr>
            <w:tcW w:w="504" w:type="pct"/>
            <w:vMerge/>
            <w:shd w:val="clear" w:color="auto" w:fill="auto"/>
            <w:vAlign w:val="center"/>
          </w:tcPr>
          <w:p w14:paraId="53DA1885" w14:textId="77777777" w:rsidR="00EB601A" w:rsidRPr="00970522" w:rsidRDefault="00EB601A" w:rsidP="002A4D61">
            <w:pPr>
              <w:jc w:val="center"/>
              <w:rPr>
                <w:rFonts w:ascii="Arial" w:hAnsi="Arial" w:cs="Arial"/>
                <w:color w:val="000000"/>
                <w:sz w:val="16"/>
                <w:szCs w:val="16"/>
              </w:rPr>
            </w:pPr>
          </w:p>
        </w:tc>
        <w:tc>
          <w:tcPr>
            <w:tcW w:w="731" w:type="pct"/>
            <w:shd w:val="clear" w:color="auto" w:fill="auto"/>
            <w:vAlign w:val="center"/>
          </w:tcPr>
          <w:p w14:paraId="70EB9A14" w14:textId="77777777" w:rsidR="00EB601A" w:rsidRPr="00970522" w:rsidRDefault="00EB601A" w:rsidP="002A4D61">
            <w:pPr>
              <w:jc w:val="center"/>
              <w:rPr>
                <w:rFonts w:ascii="Arial" w:hAnsi="Arial" w:cs="Arial"/>
                <w:b/>
                <w:color w:val="000000"/>
                <w:sz w:val="16"/>
                <w:szCs w:val="16"/>
              </w:rPr>
            </w:pPr>
            <w:r w:rsidRPr="00970522">
              <w:rPr>
                <w:rFonts w:ascii="Arial" w:hAnsi="Arial" w:cs="Arial"/>
                <w:b/>
                <w:color w:val="000000"/>
                <w:sz w:val="16"/>
                <w:szCs w:val="16"/>
              </w:rPr>
              <w:t>Importe relativo a instrumentos financieros reconocidos</w:t>
            </w:r>
          </w:p>
        </w:tc>
        <w:tc>
          <w:tcPr>
            <w:tcW w:w="540" w:type="pct"/>
            <w:shd w:val="clear" w:color="auto" w:fill="auto"/>
            <w:vAlign w:val="center"/>
          </w:tcPr>
          <w:p w14:paraId="1982E376" w14:textId="77777777" w:rsidR="00EB601A" w:rsidRPr="00970522" w:rsidRDefault="00EB601A" w:rsidP="002A4D61">
            <w:pPr>
              <w:jc w:val="center"/>
              <w:rPr>
                <w:rFonts w:ascii="Arial" w:hAnsi="Arial" w:cs="Arial"/>
                <w:b/>
                <w:color w:val="000000"/>
                <w:sz w:val="16"/>
                <w:szCs w:val="16"/>
                <w:lang w:val="en-US"/>
              </w:rPr>
            </w:pPr>
            <w:r w:rsidRPr="00970522">
              <w:rPr>
                <w:rFonts w:ascii="Arial" w:hAnsi="Arial" w:cs="Arial"/>
                <w:b/>
                <w:color w:val="000000"/>
                <w:sz w:val="16"/>
                <w:szCs w:val="16"/>
                <w:lang w:val="en-US"/>
              </w:rPr>
              <w:t xml:space="preserve">Garantias </w:t>
            </w:r>
          </w:p>
        </w:tc>
        <w:tc>
          <w:tcPr>
            <w:tcW w:w="618" w:type="pct"/>
            <w:vMerge/>
            <w:shd w:val="clear" w:color="auto" w:fill="auto"/>
            <w:vAlign w:val="center"/>
          </w:tcPr>
          <w:p w14:paraId="4D5CD273" w14:textId="77777777" w:rsidR="00EB601A" w:rsidRPr="00970522" w:rsidRDefault="00EB601A" w:rsidP="002A4D61">
            <w:pPr>
              <w:jc w:val="center"/>
              <w:rPr>
                <w:rFonts w:ascii="Arial" w:hAnsi="Arial" w:cs="Arial"/>
                <w:color w:val="000000"/>
                <w:sz w:val="16"/>
                <w:szCs w:val="16"/>
                <w:lang w:val="en-US"/>
              </w:rPr>
            </w:pPr>
          </w:p>
        </w:tc>
      </w:tr>
      <w:tr w:rsidR="002A4D61" w:rsidRPr="00970522" w14:paraId="1E62D8EF" w14:textId="77777777" w:rsidTr="00A059FB">
        <w:trPr>
          <w:trHeight w:val="489"/>
        </w:trPr>
        <w:tc>
          <w:tcPr>
            <w:tcW w:w="1365" w:type="pct"/>
            <w:shd w:val="clear" w:color="auto" w:fill="auto"/>
            <w:noWrap/>
            <w:vAlign w:val="bottom"/>
          </w:tcPr>
          <w:p w14:paraId="5F8B1D06" w14:textId="77777777" w:rsidR="002A4D61" w:rsidRPr="00970522" w:rsidRDefault="002A4D61" w:rsidP="002A4D61">
            <w:pPr>
              <w:rPr>
                <w:rFonts w:ascii="Arial" w:hAnsi="Arial" w:cs="Arial"/>
                <w:color w:val="000000"/>
                <w:sz w:val="16"/>
                <w:szCs w:val="16"/>
              </w:rPr>
            </w:pPr>
            <w:r w:rsidRPr="00970522">
              <w:rPr>
                <w:rFonts w:ascii="Arial" w:hAnsi="Arial" w:cs="Arial"/>
                <w:color w:val="000000"/>
                <w:sz w:val="16"/>
                <w:szCs w:val="16"/>
              </w:rPr>
              <w:t>Deudas con comercios por consumos de nuestros clientes con tarjeta de crédito</w:t>
            </w:r>
          </w:p>
        </w:tc>
        <w:tc>
          <w:tcPr>
            <w:tcW w:w="572" w:type="pct"/>
            <w:shd w:val="clear" w:color="auto" w:fill="auto"/>
            <w:noWrap/>
            <w:vAlign w:val="bottom"/>
          </w:tcPr>
          <w:p w14:paraId="76E567BC" w14:textId="248418DA" w:rsidR="002A4D61" w:rsidRPr="00970522" w:rsidRDefault="00AE3EB3" w:rsidP="002A4D61">
            <w:pPr>
              <w:jc w:val="right"/>
              <w:rPr>
                <w:rFonts w:ascii="Arial" w:hAnsi="Arial" w:cs="Arial"/>
                <w:color w:val="000000"/>
                <w:sz w:val="16"/>
                <w:szCs w:val="16"/>
              </w:rPr>
            </w:pPr>
            <w:r>
              <w:rPr>
                <w:rFonts w:ascii="Arial" w:hAnsi="Arial" w:cs="Arial"/>
                <w:color w:val="000000"/>
                <w:sz w:val="16"/>
                <w:szCs w:val="16"/>
              </w:rPr>
              <w:t>-</w:t>
            </w:r>
          </w:p>
        </w:tc>
        <w:tc>
          <w:tcPr>
            <w:tcW w:w="669" w:type="pct"/>
            <w:shd w:val="clear" w:color="auto" w:fill="auto"/>
            <w:noWrap/>
            <w:vAlign w:val="bottom"/>
          </w:tcPr>
          <w:p w14:paraId="59C9A177" w14:textId="50551289" w:rsidR="002A4D61" w:rsidRPr="00970522" w:rsidRDefault="00AE3EB3" w:rsidP="002A4D61">
            <w:pPr>
              <w:jc w:val="right"/>
              <w:rPr>
                <w:rFonts w:ascii="Arial" w:hAnsi="Arial" w:cs="Arial"/>
                <w:color w:val="000000"/>
                <w:sz w:val="16"/>
                <w:szCs w:val="16"/>
              </w:rPr>
            </w:pPr>
            <w:r>
              <w:rPr>
                <w:rFonts w:ascii="Arial" w:hAnsi="Arial" w:cs="Arial"/>
                <w:color w:val="000000"/>
                <w:sz w:val="16"/>
                <w:szCs w:val="16"/>
              </w:rPr>
              <w:t>-</w:t>
            </w:r>
          </w:p>
        </w:tc>
        <w:tc>
          <w:tcPr>
            <w:tcW w:w="504" w:type="pct"/>
            <w:shd w:val="clear" w:color="auto" w:fill="auto"/>
            <w:noWrap/>
            <w:vAlign w:val="bottom"/>
          </w:tcPr>
          <w:p w14:paraId="274429F9" w14:textId="6AB4EB02" w:rsidR="002A4D61" w:rsidRPr="00970522" w:rsidRDefault="00AE3EB3" w:rsidP="002A4D61">
            <w:pPr>
              <w:jc w:val="right"/>
              <w:rPr>
                <w:rFonts w:ascii="Arial" w:hAnsi="Arial" w:cs="Arial"/>
                <w:color w:val="000000"/>
                <w:sz w:val="16"/>
                <w:szCs w:val="16"/>
              </w:rPr>
            </w:pPr>
            <w:r>
              <w:rPr>
                <w:rFonts w:ascii="Arial" w:hAnsi="Arial" w:cs="Arial"/>
                <w:color w:val="000000"/>
                <w:sz w:val="16"/>
                <w:szCs w:val="16"/>
              </w:rPr>
              <w:t>-</w:t>
            </w:r>
          </w:p>
        </w:tc>
        <w:tc>
          <w:tcPr>
            <w:tcW w:w="731" w:type="pct"/>
            <w:shd w:val="clear" w:color="auto" w:fill="auto"/>
            <w:noWrap/>
            <w:vAlign w:val="bottom"/>
          </w:tcPr>
          <w:p w14:paraId="7D0B03D4" w14:textId="0C40228D" w:rsidR="002A4D61" w:rsidRPr="00970522" w:rsidRDefault="00AE3EB3" w:rsidP="002A4D61">
            <w:pPr>
              <w:jc w:val="right"/>
              <w:rPr>
                <w:rFonts w:ascii="Arial" w:hAnsi="Arial" w:cs="Arial"/>
                <w:color w:val="000000"/>
                <w:sz w:val="16"/>
                <w:szCs w:val="16"/>
              </w:rPr>
            </w:pPr>
            <w:r>
              <w:rPr>
                <w:rFonts w:ascii="Arial" w:hAnsi="Arial" w:cs="Arial"/>
                <w:color w:val="000000"/>
                <w:sz w:val="16"/>
                <w:szCs w:val="16"/>
              </w:rPr>
              <w:t>(</w:t>
            </w:r>
            <w:r w:rsidRPr="00AE3EB3">
              <w:rPr>
                <w:rFonts w:ascii="Arial" w:hAnsi="Arial" w:cs="Arial"/>
                <w:color w:val="000000"/>
                <w:sz w:val="16"/>
                <w:szCs w:val="16"/>
              </w:rPr>
              <w:t>2.128.814</w:t>
            </w:r>
            <w:r>
              <w:rPr>
                <w:rFonts w:ascii="Arial" w:hAnsi="Arial" w:cs="Arial"/>
                <w:color w:val="000000"/>
                <w:sz w:val="16"/>
                <w:szCs w:val="16"/>
              </w:rPr>
              <w:t>)</w:t>
            </w:r>
          </w:p>
        </w:tc>
        <w:tc>
          <w:tcPr>
            <w:tcW w:w="540" w:type="pct"/>
            <w:shd w:val="clear" w:color="auto" w:fill="auto"/>
            <w:noWrap/>
            <w:vAlign w:val="bottom"/>
          </w:tcPr>
          <w:p w14:paraId="2A9EDC12" w14:textId="0683AD3E" w:rsidR="002A4D61" w:rsidRPr="00970522" w:rsidRDefault="00AE3EB3" w:rsidP="002A4D61">
            <w:pPr>
              <w:jc w:val="right"/>
              <w:rPr>
                <w:rFonts w:ascii="Arial" w:hAnsi="Arial" w:cs="Arial"/>
                <w:color w:val="000000"/>
                <w:sz w:val="16"/>
                <w:szCs w:val="16"/>
              </w:rPr>
            </w:pPr>
            <w:r w:rsidRPr="00AE3EB3">
              <w:rPr>
                <w:rFonts w:ascii="Arial" w:hAnsi="Arial" w:cs="Arial"/>
                <w:color w:val="000000"/>
                <w:sz w:val="16"/>
                <w:szCs w:val="16"/>
              </w:rPr>
              <w:t>606.726</w:t>
            </w:r>
          </w:p>
        </w:tc>
        <w:tc>
          <w:tcPr>
            <w:tcW w:w="618" w:type="pct"/>
            <w:shd w:val="clear" w:color="auto" w:fill="auto"/>
            <w:noWrap/>
            <w:vAlign w:val="bottom"/>
          </w:tcPr>
          <w:p w14:paraId="2B6D625A" w14:textId="6E4897DC" w:rsidR="002A4D61" w:rsidRPr="00970522" w:rsidRDefault="00AE3EB3" w:rsidP="002A4D61">
            <w:pPr>
              <w:jc w:val="right"/>
              <w:rPr>
                <w:rFonts w:ascii="Arial" w:hAnsi="Arial" w:cs="Arial"/>
                <w:color w:val="000000"/>
                <w:sz w:val="16"/>
                <w:szCs w:val="16"/>
              </w:rPr>
            </w:pPr>
            <w:r>
              <w:rPr>
                <w:rFonts w:ascii="Arial" w:hAnsi="Arial" w:cs="Arial"/>
                <w:color w:val="000000"/>
                <w:sz w:val="16"/>
                <w:szCs w:val="16"/>
              </w:rPr>
              <w:t>(</w:t>
            </w:r>
            <w:r w:rsidRPr="00AE3EB3">
              <w:rPr>
                <w:rFonts w:ascii="Arial" w:hAnsi="Arial" w:cs="Arial"/>
                <w:color w:val="000000"/>
                <w:sz w:val="16"/>
                <w:szCs w:val="16"/>
              </w:rPr>
              <w:t>1.522.08</w:t>
            </w:r>
            <w:r w:rsidR="00AF7175">
              <w:rPr>
                <w:rFonts w:ascii="Arial" w:hAnsi="Arial" w:cs="Arial"/>
                <w:color w:val="000000"/>
                <w:sz w:val="16"/>
                <w:szCs w:val="16"/>
              </w:rPr>
              <w:t>8</w:t>
            </w:r>
            <w:r>
              <w:rPr>
                <w:rFonts w:ascii="Arial" w:hAnsi="Arial" w:cs="Arial"/>
                <w:color w:val="000000"/>
                <w:sz w:val="16"/>
                <w:szCs w:val="16"/>
              </w:rPr>
              <w:t>)</w:t>
            </w:r>
          </w:p>
        </w:tc>
      </w:tr>
      <w:tr w:rsidR="008B109C" w:rsidRPr="00970522" w14:paraId="23744A6B" w14:textId="77777777" w:rsidTr="00A059FB">
        <w:trPr>
          <w:trHeight w:val="277"/>
        </w:trPr>
        <w:tc>
          <w:tcPr>
            <w:tcW w:w="1365" w:type="pct"/>
            <w:shd w:val="clear" w:color="auto" w:fill="auto"/>
            <w:noWrap/>
            <w:vAlign w:val="bottom"/>
          </w:tcPr>
          <w:p w14:paraId="673E3A9D" w14:textId="09AADC88" w:rsidR="008B109C" w:rsidRPr="00970522" w:rsidRDefault="008B109C">
            <w:pPr>
              <w:rPr>
                <w:rFonts w:ascii="Arial" w:hAnsi="Arial" w:cs="Arial"/>
                <w:color w:val="000000"/>
                <w:sz w:val="16"/>
                <w:szCs w:val="16"/>
              </w:rPr>
            </w:pPr>
            <w:r>
              <w:rPr>
                <w:rFonts w:ascii="Arial" w:hAnsi="Arial" w:cs="Arial"/>
                <w:color w:val="000000"/>
                <w:sz w:val="16"/>
                <w:szCs w:val="16"/>
              </w:rPr>
              <w:t>Instrumentos derivados</w:t>
            </w:r>
          </w:p>
        </w:tc>
        <w:tc>
          <w:tcPr>
            <w:tcW w:w="572" w:type="pct"/>
            <w:shd w:val="clear" w:color="auto" w:fill="auto"/>
            <w:noWrap/>
            <w:vAlign w:val="bottom"/>
          </w:tcPr>
          <w:p w14:paraId="595B96EA" w14:textId="1B7B34D2" w:rsidR="008B109C" w:rsidRDefault="008B109C">
            <w:pPr>
              <w:jc w:val="right"/>
              <w:rPr>
                <w:rFonts w:ascii="Arial" w:hAnsi="Arial" w:cs="Arial"/>
                <w:color w:val="000000"/>
                <w:sz w:val="16"/>
                <w:szCs w:val="16"/>
              </w:rPr>
            </w:pPr>
            <w:r>
              <w:rPr>
                <w:rFonts w:ascii="Arial" w:hAnsi="Arial" w:cs="Arial"/>
                <w:color w:val="000000"/>
                <w:sz w:val="16"/>
                <w:szCs w:val="16"/>
              </w:rPr>
              <w:t>310.969</w:t>
            </w:r>
          </w:p>
        </w:tc>
        <w:tc>
          <w:tcPr>
            <w:tcW w:w="669" w:type="pct"/>
            <w:shd w:val="clear" w:color="auto" w:fill="auto"/>
            <w:noWrap/>
            <w:vAlign w:val="bottom"/>
          </w:tcPr>
          <w:p w14:paraId="29B96ED8" w14:textId="4CBACC84" w:rsidR="008B109C" w:rsidRDefault="008B109C">
            <w:pPr>
              <w:jc w:val="right"/>
              <w:rPr>
                <w:rFonts w:ascii="Arial" w:hAnsi="Arial" w:cs="Arial"/>
                <w:color w:val="000000"/>
                <w:sz w:val="16"/>
                <w:szCs w:val="16"/>
              </w:rPr>
            </w:pPr>
            <w:r>
              <w:rPr>
                <w:rFonts w:ascii="Arial" w:hAnsi="Arial" w:cs="Arial"/>
                <w:color w:val="000000"/>
                <w:sz w:val="16"/>
                <w:szCs w:val="16"/>
              </w:rPr>
              <w:t>-53.38</w:t>
            </w:r>
            <w:r w:rsidR="00407C44">
              <w:rPr>
                <w:rFonts w:ascii="Arial" w:hAnsi="Arial" w:cs="Arial"/>
                <w:color w:val="000000"/>
                <w:sz w:val="16"/>
                <w:szCs w:val="16"/>
              </w:rPr>
              <w:t>2</w:t>
            </w:r>
          </w:p>
        </w:tc>
        <w:tc>
          <w:tcPr>
            <w:tcW w:w="504" w:type="pct"/>
            <w:shd w:val="clear" w:color="auto" w:fill="auto"/>
            <w:noWrap/>
            <w:vAlign w:val="bottom"/>
          </w:tcPr>
          <w:p w14:paraId="49DE1428" w14:textId="294A69B1" w:rsidR="008B109C" w:rsidRDefault="008B109C">
            <w:pPr>
              <w:jc w:val="right"/>
              <w:rPr>
                <w:rFonts w:ascii="Arial" w:hAnsi="Arial" w:cs="Arial"/>
                <w:color w:val="000000"/>
                <w:sz w:val="16"/>
                <w:szCs w:val="16"/>
              </w:rPr>
            </w:pPr>
            <w:r>
              <w:rPr>
                <w:rFonts w:ascii="Arial" w:hAnsi="Arial" w:cs="Arial"/>
                <w:color w:val="000000"/>
                <w:sz w:val="16"/>
                <w:szCs w:val="16"/>
              </w:rPr>
              <w:t>257.587</w:t>
            </w:r>
          </w:p>
        </w:tc>
        <w:tc>
          <w:tcPr>
            <w:tcW w:w="731" w:type="pct"/>
            <w:shd w:val="clear" w:color="auto" w:fill="auto"/>
            <w:noWrap/>
            <w:vAlign w:val="bottom"/>
          </w:tcPr>
          <w:p w14:paraId="67B82B81" w14:textId="02860845" w:rsidR="008B109C" w:rsidRDefault="008B109C">
            <w:pPr>
              <w:jc w:val="right"/>
              <w:rPr>
                <w:rFonts w:ascii="Arial" w:hAnsi="Arial" w:cs="Arial"/>
                <w:color w:val="000000"/>
                <w:sz w:val="16"/>
                <w:szCs w:val="16"/>
              </w:rPr>
            </w:pPr>
            <w:r>
              <w:rPr>
                <w:rFonts w:ascii="Arial" w:hAnsi="Arial" w:cs="Arial"/>
                <w:color w:val="000000"/>
                <w:sz w:val="16"/>
                <w:szCs w:val="16"/>
              </w:rPr>
              <w:t>-</w:t>
            </w:r>
          </w:p>
        </w:tc>
        <w:tc>
          <w:tcPr>
            <w:tcW w:w="540" w:type="pct"/>
            <w:shd w:val="clear" w:color="auto" w:fill="auto"/>
            <w:noWrap/>
            <w:vAlign w:val="bottom"/>
          </w:tcPr>
          <w:p w14:paraId="1F69E010" w14:textId="4787B47F" w:rsidR="008B109C" w:rsidRPr="00AE3EB3" w:rsidRDefault="008B109C">
            <w:pPr>
              <w:jc w:val="right"/>
              <w:rPr>
                <w:rFonts w:ascii="Arial" w:hAnsi="Arial" w:cs="Arial"/>
                <w:color w:val="000000"/>
                <w:sz w:val="16"/>
                <w:szCs w:val="16"/>
              </w:rPr>
            </w:pPr>
            <w:r>
              <w:rPr>
                <w:rFonts w:ascii="Arial" w:hAnsi="Arial" w:cs="Arial"/>
                <w:color w:val="000000"/>
                <w:sz w:val="16"/>
                <w:szCs w:val="16"/>
              </w:rPr>
              <w:t>-</w:t>
            </w:r>
          </w:p>
        </w:tc>
        <w:tc>
          <w:tcPr>
            <w:tcW w:w="618" w:type="pct"/>
            <w:shd w:val="clear" w:color="auto" w:fill="auto"/>
            <w:noWrap/>
            <w:vAlign w:val="bottom"/>
          </w:tcPr>
          <w:p w14:paraId="3BC58461" w14:textId="5452F3E0" w:rsidR="008B109C" w:rsidRDefault="008B109C">
            <w:pPr>
              <w:jc w:val="right"/>
              <w:rPr>
                <w:rFonts w:ascii="Arial" w:hAnsi="Arial" w:cs="Arial"/>
                <w:color w:val="000000"/>
                <w:sz w:val="16"/>
                <w:szCs w:val="16"/>
              </w:rPr>
            </w:pPr>
            <w:r>
              <w:rPr>
                <w:rFonts w:ascii="Arial" w:hAnsi="Arial" w:cs="Arial"/>
                <w:color w:val="000000"/>
                <w:sz w:val="16"/>
                <w:szCs w:val="16"/>
              </w:rPr>
              <w:t>-</w:t>
            </w:r>
          </w:p>
        </w:tc>
      </w:tr>
      <w:tr w:rsidR="008B109C" w:rsidRPr="00970522" w14:paraId="4189E045" w14:textId="77777777" w:rsidTr="00A059FB">
        <w:trPr>
          <w:trHeight w:val="225"/>
        </w:trPr>
        <w:tc>
          <w:tcPr>
            <w:tcW w:w="1365" w:type="pct"/>
            <w:shd w:val="clear" w:color="auto" w:fill="auto"/>
            <w:noWrap/>
            <w:vAlign w:val="center"/>
          </w:tcPr>
          <w:p w14:paraId="5129122E" w14:textId="71F6CCFA" w:rsidR="008B109C" w:rsidRPr="00970522" w:rsidRDefault="008B109C" w:rsidP="008B109C">
            <w:pPr>
              <w:rPr>
                <w:rFonts w:ascii="Arial" w:hAnsi="Arial" w:cs="Arial"/>
                <w:b/>
                <w:color w:val="000000"/>
                <w:sz w:val="16"/>
                <w:szCs w:val="16"/>
              </w:rPr>
            </w:pPr>
            <w:r>
              <w:rPr>
                <w:rFonts w:ascii="Arial" w:hAnsi="Arial" w:cs="Arial"/>
                <w:b/>
                <w:bCs/>
                <w:color w:val="000000"/>
                <w:sz w:val="16"/>
                <w:szCs w:val="16"/>
              </w:rPr>
              <w:t>Total</w:t>
            </w:r>
          </w:p>
        </w:tc>
        <w:tc>
          <w:tcPr>
            <w:tcW w:w="572" w:type="pct"/>
            <w:shd w:val="clear" w:color="auto" w:fill="auto"/>
            <w:noWrap/>
            <w:vAlign w:val="center"/>
          </w:tcPr>
          <w:p w14:paraId="2FAB41E2" w14:textId="24228EFB" w:rsidR="008B109C" w:rsidRPr="00B67651" w:rsidRDefault="008B109C" w:rsidP="008B109C">
            <w:pPr>
              <w:jc w:val="right"/>
              <w:rPr>
                <w:rFonts w:ascii="Arial" w:hAnsi="Arial" w:cs="Arial"/>
                <w:b/>
                <w:color w:val="000000"/>
                <w:sz w:val="16"/>
                <w:szCs w:val="16"/>
              </w:rPr>
            </w:pPr>
            <w:r>
              <w:rPr>
                <w:rFonts w:ascii="Arial" w:hAnsi="Arial" w:cs="Arial"/>
                <w:b/>
                <w:bCs/>
                <w:color w:val="000000"/>
                <w:sz w:val="16"/>
                <w:szCs w:val="16"/>
              </w:rPr>
              <w:t>310.969</w:t>
            </w:r>
          </w:p>
        </w:tc>
        <w:tc>
          <w:tcPr>
            <w:tcW w:w="669" w:type="pct"/>
            <w:shd w:val="clear" w:color="auto" w:fill="auto"/>
            <w:noWrap/>
            <w:vAlign w:val="center"/>
          </w:tcPr>
          <w:p w14:paraId="580B4667" w14:textId="3544C19D" w:rsidR="008B109C" w:rsidRPr="00B67651" w:rsidRDefault="008B109C" w:rsidP="008B109C">
            <w:pPr>
              <w:jc w:val="right"/>
              <w:rPr>
                <w:rFonts w:ascii="Arial" w:hAnsi="Arial" w:cs="Arial"/>
                <w:b/>
                <w:color w:val="000000"/>
                <w:sz w:val="16"/>
                <w:szCs w:val="16"/>
              </w:rPr>
            </w:pPr>
            <w:r>
              <w:rPr>
                <w:rFonts w:ascii="Arial" w:hAnsi="Arial" w:cs="Arial"/>
                <w:b/>
                <w:bCs/>
                <w:color w:val="000000"/>
                <w:sz w:val="16"/>
                <w:szCs w:val="16"/>
              </w:rPr>
              <w:t>-53.38</w:t>
            </w:r>
            <w:r w:rsidR="00407C44">
              <w:rPr>
                <w:rFonts w:ascii="Arial" w:hAnsi="Arial" w:cs="Arial"/>
                <w:b/>
                <w:bCs/>
                <w:color w:val="000000"/>
                <w:sz w:val="16"/>
                <w:szCs w:val="16"/>
              </w:rPr>
              <w:t>2</w:t>
            </w:r>
          </w:p>
        </w:tc>
        <w:tc>
          <w:tcPr>
            <w:tcW w:w="504" w:type="pct"/>
            <w:shd w:val="clear" w:color="auto" w:fill="auto"/>
            <w:noWrap/>
            <w:vAlign w:val="center"/>
          </w:tcPr>
          <w:p w14:paraId="4398CC50" w14:textId="4827F45C" w:rsidR="008B109C" w:rsidRPr="00B67651" w:rsidRDefault="008B109C" w:rsidP="008B109C">
            <w:pPr>
              <w:jc w:val="right"/>
              <w:rPr>
                <w:rFonts w:ascii="Arial" w:hAnsi="Arial" w:cs="Arial"/>
                <w:b/>
                <w:color w:val="000000"/>
                <w:sz w:val="16"/>
                <w:szCs w:val="16"/>
              </w:rPr>
            </w:pPr>
            <w:r>
              <w:rPr>
                <w:rFonts w:ascii="Arial" w:hAnsi="Arial" w:cs="Arial"/>
                <w:b/>
                <w:bCs/>
                <w:color w:val="000000"/>
                <w:sz w:val="16"/>
                <w:szCs w:val="16"/>
              </w:rPr>
              <w:t>257.587</w:t>
            </w:r>
          </w:p>
        </w:tc>
        <w:tc>
          <w:tcPr>
            <w:tcW w:w="731" w:type="pct"/>
            <w:shd w:val="clear" w:color="auto" w:fill="auto"/>
            <w:noWrap/>
            <w:vAlign w:val="center"/>
          </w:tcPr>
          <w:p w14:paraId="57E2EC4F" w14:textId="3FD649A9" w:rsidR="008B109C" w:rsidRPr="00B67651" w:rsidRDefault="008B109C" w:rsidP="008B109C">
            <w:pPr>
              <w:jc w:val="right"/>
              <w:rPr>
                <w:rFonts w:ascii="Arial" w:hAnsi="Arial" w:cs="Arial"/>
                <w:b/>
                <w:color w:val="000000"/>
                <w:sz w:val="16"/>
                <w:szCs w:val="16"/>
              </w:rPr>
            </w:pPr>
            <w:r>
              <w:rPr>
                <w:rFonts w:ascii="Arial" w:hAnsi="Arial" w:cs="Arial"/>
                <w:b/>
                <w:bCs/>
                <w:color w:val="000000"/>
                <w:sz w:val="16"/>
                <w:szCs w:val="16"/>
              </w:rPr>
              <w:t>(2.128.814)</w:t>
            </w:r>
          </w:p>
        </w:tc>
        <w:tc>
          <w:tcPr>
            <w:tcW w:w="540" w:type="pct"/>
            <w:shd w:val="clear" w:color="auto" w:fill="auto"/>
            <w:noWrap/>
            <w:vAlign w:val="center"/>
          </w:tcPr>
          <w:p w14:paraId="379064F9" w14:textId="1AD4A2E0" w:rsidR="008B109C" w:rsidRPr="00B67651" w:rsidRDefault="008B109C" w:rsidP="008B109C">
            <w:pPr>
              <w:jc w:val="right"/>
              <w:rPr>
                <w:rFonts w:ascii="Arial" w:hAnsi="Arial" w:cs="Arial"/>
                <w:b/>
                <w:color w:val="000000"/>
                <w:sz w:val="16"/>
                <w:szCs w:val="16"/>
              </w:rPr>
            </w:pPr>
            <w:r>
              <w:rPr>
                <w:rFonts w:ascii="Arial" w:hAnsi="Arial" w:cs="Arial"/>
                <w:b/>
                <w:bCs/>
                <w:color w:val="000000"/>
                <w:sz w:val="16"/>
                <w:szCs w:val="16"/>
              </w:rPr>
              <w:t>606.726</w:t>
            </w:r>
          </w:p>
        </w:tc>
        <w:tc>
          <w:tcPr>
            <w:tcW w:w="618" w:type="pct"/>
            <w:shd w:val="clear" w:color="auto" w:fill="auto"/>
            <w:noWrap/>
            <w:vAlign w:val="center"/>
          </w:tcPr>
          <w:p w14:paraId="397E68DE" w14:textId="29C47FD3" w:rsidR="008B109C" w:rsidRPr="00B67651" w:rsidRDefault="008B109C" w:rsidP="008B109C">
            <w:pPr>
              <w:jc w:val="right"/>
              <w:rPr>
                <w:rFonts w:ascii="Arial" w:hAnsi="Arial" w:cs="Arial"/>
                <w:b/>
                <w:color w:val="000000"/>
                <w:sz w:val="16"/>
                <w:szCs w:val="16"/>
              </w:rPr>
            </w:pPr>
            <w:r>
              <w:rPr>
                <w:rFonts w:ascii="Arial" w:hAnsi="Arial" w:cs="Arial"/>
                <w:b/>
                <w:bCs/>
                <w:color w:val="000000"/>
                <w:sz w:val="16"/>
                <w:szCs w:val="16"/>
              </w:rPr>
              <w:t>(1.522.08</w:t>
            </w:r>
            <w:r w:rsidR="00407C44">
              <w:rPr>
                <w:rFonts w:ascii="Arial" w:hAnsi="Arial" w:cs="Arial"/>
                <w:b/>
                <w:bCs/>
                <w:color w:val="000000"/>
                <w:sz w:val="16"/>
                <w:szCs w:val="16"/>
              </w:rPr>
              <w:t>8</w:t>
            </w:r>
            <w:r>
              <w:rPr>
                <w:rFonts w:ascii="Arial" w:hAnsi="Arial" w:cs="Arial"/>
                <w:b/>
                <w:color w:val="000000"/>
                <w:sz w:val="16"/>
                <w:szCs w:val="16"/>
              </w:rPr>
              <w:t>)</w:t>
            </w:r>
          </w:p>
        </w:tc>
      </w:tr>
    </w:tbl>
    <w:p w14:paraId="616D85D0" w14:textId="77777777" w:rsidR="002A4D61" w:rsidRDefault="002A4D61" w:rsidP="002A4D61">
      <w:pPr>
        <w:jc w:val="both"/>
        <w:rPr>
          <w:rFonts w:eastAsia="Calibri" w:cstheme="minorHAnsi"/>
          <w:noProof/>
          <w:sz w:val="20"/>
        </w:rPr>
      </w:pPr>
    </w:p>
    <w:tbl>
      <w:tblPr>
        <w:tblW w:w="52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7"/>
        <w:gridCol w:w="1050"/>
        <w:gridCol w:w="1228"/>
        <w:gridCol w:w="925"/>
        <w:gridCol w:w="1342"/>
        <w:gridCol w:w="993"/>
        <w:gridCol w:w="1135"/>
      </w:tblGrid>
      <w:tr w:rsidR="00EB601A" w:rsidRPr="00970522" w14:paraId="5E94AFD1" w14:textId="77777777" w:rsidTr="00A059FB">
        <w:trPr>
          <w:trHeight w:val="713"/>
        </w:trPr>
        <w:tc>
          <w:tcPr>
            <w:tcW w:w="1365" w:type="pct"/>
            <w:vMerge w:val="restart"/>
            <w:shd w:val="clear" w:color="auto" w:fill="auto"/>
            <w:noWrap/>
            <w:vAlign w:val="center"/>
            <w:hideMark/>
          </w:tcPr>
          <w:p w14:paraId="41B37918" w14:textId="6DF46DDF" w:rsidR="00EB601A" w:rsidRPr="00970522" w:rsidRDefault="00EB601A" w:rsidP="002A4D61">
            <w:pPr>
              <w:jc w:val="center"/>
              <w:rPr>
                <w:rFonts w:ascii="Arial" w:hAnsi="Arial" w:cs="Arial"/>
                <w:b/>
                <w:color w:val="000000"/>
                <w:sz w:val="16"/>
                <w:szCs w:val="16"/>
                <w:lang w:val="en-US" w:eastAsia="es-AR"/>
              </w:rPr>
            </w:pPr>
            <w:r w:rsidRPr="00970522">
              <w:rPr>
                <w:rFonts w:ascii="Arial" w:hAnsi="Arial" w:cs="Arial"/>
                <w:b/>
                <w:color w:val="000000"/>
                <w:sz w:val="16"/>
                <w:szCs w:val="16"/>
                <w:lang w:val="en-US" w:eastAsia="es-AR"/>
              </w:rPr>
              <w:t>31</w:t>
            </w:r>
            <w:r>
              <w:rPr>
                <w:rFonts w:ascii="Arial" w:hAnsi="Arial" w:cs="Arial"/>
                <w:b/>
                <w:color w:val="000000"/>
                <w:sz w:val="16"/>
                <w:szCs w:val="16"/>
                <w:lang w:val="en-US" w:eastAsia="es-AR"/>
              </w:rPr>
              <w:t>/</w:t>
            </w:r>
            <w:r w:rsidRPr="00970522">
              <w:rPr>
                <w:rFonts w:ascii="Arial" w:hAnsi="Arial" w:cs="Arial"/>
                <w:b/>
                <w:color w:val="000000"/>
                <w:sz w:val="16"/>
                <w:szCs w:val="16"/>
                <w:lang w:val="en-US" w:eastAsia="es-AR"/>
              </w:rPr>
              <w:t>12</w:t>
            </w:r>
            <w:r>
              <w:rPr>
                <w:rFonts w:ascii="Arial" w:hAnsi="Arial" w:cs="Arial"/>
                <w:b/>
                <w:color w:val="000000"/>
                <w:sz w:val="16"/>
                <w:szCs w:val="16"/>
                <w:lang w:val="en-US" w:eastAsia="es-AR"/>
              </w:rPr>
              <w:t>/</w:t>
            </w:r>
            <w:r w:rsidRPr="00970522">
              <w:rPr>
                <w:rFonts w:ascii="Arial" w:hAnsi="Arial" w:cs="Arial"/>
                <w:b/>
                <w:color w:val="000000"/>
                <w:sz w:val="16"/>
                <w:szCs w:val="16"/>
                <w:lang w:val="en-US" w:eastAsia="es-AR"/>
              </w:rPr>
              <w:t>201</w:t>
            </w:r>
            <w:r>
              <w:rPr>
                <w:rFonts w:ascii="Arial" w:hAnsi="Arial" w:cs="Arial"/>
                <w:b/>
                <w:color w:val="000000"/>
                <w:sz w:val="16"/>
                <w:szCs w:val="16"/>
                <w:lang w:val="en-US" w:eastAsia="es-AR"/>
              </w:rPr>
              <w:t>8</w:t>
            </w:r>
          </w:p>
        </w:tc>
        <w:tc>
          <w:tcPr>
            <w:tcW w:w="572" w:type="pct"/>
            <w:vMerge w:val="restart"/>
            <w:shd w:val="clear" w:color="auto" w:fill="auto"/>
            <w:vAlign w:val="center"/>
            <w:hideMark/>
          </w:tcPr>
          <w:p w14:paraId="1D396337" w14:textId="77777777" w:rsidR="00EB601A" w:rsidRPr="00970522" w:rsidRDefault="00EB601A" w:rsidP="002A4D61">
            <w:pPr>
              <w:jc w:val="center"/>
              <w:rPr>
                <w:rFonts w:ascii="Arial" w:hAnsi="Arial" w:cs="Arial"/>
                <w:b/>
                <w:color w:val="000000"/>
                <w:sz w:val="16"/>
                <w:szCs w:val="16"/>
                <w:lang w:eastAsia="es-AR"/>
              </w:rPr>
            </w:pPr>
            <w:r w:rsidRPr="00970522">
              <w:rPr>
                <w:rFonts w:ascii="Arial" w:hAnsi="Arial" w:cs="Arial"/>
                <w:b/>
                <w:color w:val="000000"/>
                <w:sz w:val="16"/>
                <w:szCs w:val="16"/>
                <w:lang w:eastAsia="es-AR"/>
              </w:rPr>
              <w:t>Monto bruto antes de neteo (a)</w:t>
            </w:r>
          </w:p>
        </w:tc>
        <w:tc>
          <w:tcPr>
            <w:tcW w:w="669" w:type="pct"/>
            <w:vMerge w:val="restart"/>
            <w:shd w:val="clear" w:color="auto" w:fill="auto"/>
            <w:vAlign w:val="center"/>
            <w:hideMark/>
          </w:tcPr>
          <w:p w14:paraId="3D9FF21F" w14:textId="77777777" w:rsidR="00EB601A" w:rsidRPr="00970522" w:rsidRDefault="00EB601A" w:rsidP="002A4D61">
            <w:pPr>
              <w:jc w:val="center"/>
              <w:rPr>
                <w:rFonts w:ascii="Arial" w:hAnsi="Arial" w:cs="Arial"/>
                <w:b/>
                <w:color w:val="000000"/>
                <w:sz w:val="16"/>
                <w:szCs w:val="16"/>
                <w:lang w:val="en-US" w:eastAsia="es-AR"/>
              </w:rPr>
            </w:pPr>
            <w:r w:rsidRPr="00970522">
              <w:rPr>
                <w:rFonts w:ascii="Arial" w:hAnsi="Arial" w:cs="Arial"/>
                <w:b/>
                <w:color w:val="000000"/>
                <w:sz w:val="16"/>
                <w:szCs w:val="16"/>
                <w:lang w:val="en-US" w:eastAsia="es-AR"/>
              </w:rPr>
              <w:t>Monto compensado (b)</w:t>
            </w:r>
          </w:p>
        </w:tc>
        <w:tc>
          <w:tcPr>
            <w:tcW w:w="504" w:type="pct"/>
            <w:vMerge w:val="restart"/>
            <w:shd w:val="clear" w:color="auto" w:fill="auto"/>
            <w:vAlign w:val="center"/>
            <w:hideMark/>
          </w:tcPr>
          <w:p w14:paraId="3C18717E" w14:textId="77777777" w:rsidR="00EB601A" w:rsidRPr="00970522" w:rsidRDefault="00EB601A" w:rsidP="002A4D61">
            <w:pPr>
              <w:jc w:val="center"/>
              <w:rPr>
                <w:rFonts w:ascii="Arial" w:hAnsi="Arial" w:cs="Arial"/>
                <w:b/>
                <w:color w:val="000000"/>
                <w:sz w:val="16"/>
                <w:szCs w:val="16"/>
                <w:lang w:eastAsia="es-AR"/>
              </w:rPr>
            </w:pPr>
            <w:r w:rsidRPr="00970522">
              <w:rPr>
                <w:rFonts w:ascii="Arial" w:hAnsi="Arial" w:cs="Arial"/>
                <w:b/>
                <w:color w:val="000000"/>
                <w:sz w:val="16"/>
                <w:szCs w:val="16"/>
                <w:lang w:eastAsia="es-AR"/>
              </w:rPr>
              <w:t>Neto en Estados Financieros (c)=(a)-(b)</w:t>
            </w:r>
          </w:p>
        </w:tc>
        <w:tc>
          <w:tcPr>
            <w:tcW w:w="1272" w:type="pct"/>
            <w:gridSpan w:val="2"/>
            <w:shd w:val="clear" w:color="auto" w:fill="auto"/>
            <w:vAlign w:val="center"/>
            <w:hideMark/>
          </w:tcPr>
          <w:p w14:paraId="10C6CDA3" w14:textId="77777777" w:rsidR="00EB601A" w:rsidRPr="00970522" w:rsidRDefault="00EB601A" w:rsidP="002A4D61">
            <w:pPr>
              <w:jc w:val="center"/>
              <w:rPr>
                <w:rFonts w:ascii="Arial" w:hAnsi="Arial" w:cs="Arial"/>
                <w:b/>
                <w:color w:val="000000"/>
                <w:sz w:val="16"/>
                <w:szCs w:val="16"/>
                <w:lang w:eastAsia="es-AR"/>
              </w:rPr>
            </w:pPr>
            <w:r w:rsidRPr="00970522">
              <w:rPr>
                <w:rFonts w:ascii="Arial" w:hAnsi="Arial" w:cs="Arial"/>
                <w:b/>
                <w:color w:val="000000"/>
                <w:sz w:val="16"/>
                <w:szCs w:val="16"/>
                <w:lang w:eastAsia="es-AR"/>
              </w:rPr>
              <w:t>Montos sujetos a acuerdos de neteo no compensados en los Estados Financieros</w:t>
            </w:r>
          </w:p>
        </w:tc>
        <w:tc>
          <w:tcPr>
            <w:tcW w:w="618" w:type="pct"/>
            <w:vMerge w:val="restart"/>
            <w:shd w:val="clear" w:color="auto" w:fill="auto"/>
            <w:vAlign w:val="center"/>
            <w:hideMark/>
          </w:tcPr>
          <w:p w14:paraId="35CB980B" w14:textId="77777777" w:rsidR="00EB601A" w:rsidRPr="00970522" w:rsidRDefault="00EB601A" w:rsidP="002A4D61">
            <w:pPr>
              <w:jc w:val="center"/>
              <w:rPr>
                <w:rFonts w:ascii="Arial" w:hAnsi="Arial" w:cs="Arial"/>
                <w:b/>
                <w:color w:val="000000"/>
                <w:sz w:val="16"/>
                <w:szCs w:val="16"/>
                <w:lang w:eastAsia="es-AR"/>
              </w:rPr>
            </w:pPr>
            <w:r w:rsidRPr="00970522">
              <w:rPr>
                <w:rFonts w:ascii="Arial" w:hAnsi="Arial" w:cs="Arial"/>
                <w:b/>
                <w:color w:val="000000"/>
                <w:sz w:val="16"/>
                <w:szCs w:val="16"/>
                <w:lang w:eastAsia="es-AR"/>
              </w:rPr>
              <w:t xml:space="preserve">Monto neto total </w:t>
            </w:r>
          </w:p>
        </w:tc>
      </w:tr>
      <w:tr w:rsidR="00EB601A" w:rsidRPr="00970522" w14:paraId="0940E5A5" w14:textId="77777777" w:rsidTr="00A059FB">
        <w:trPr>
          <w:trHeight w:val="552"/>
        </w:trPr>
        <w:tc>
          <w:tcPr>
            <w:tcW w:w="1365" w:type="pct"/>
            <w:vMerge/>
            <w:shd w:val="clear" w:color="auto" w:fill="auto"/>
            <w:noWrap/>
            <w:vAlign w:val="bottom"/>
          </w:tcPr>
          <w:p w14:paraId="0929CC41" w14:textId="77777777" w:rsidR="00EB601A" w:rsidRPr="00970522" w:rsidRDefault="00EB601A" w:rsidP="002A4D61">
            <w:pPr>
              <w:rPr>
                <w:rFonts w:ascii="Arial" w:hAnsi="Arial" w:cs="Arial"/>
                <w:sz w:val="16"/>
                <w:szCs w:val="16"/>
              </w:rPr>
            </w:pPr>
          </w:p>
        </w:tc>
        <w:tc>
          <w:tcPr>
            <w:tcW w:w="572" w:type="pct"/>
            <w:vMerge/>
            <w:shd w:val="clear" w:color="auto" w:fill="auto"/>
            <w:vAlign w:val="center"/>
          </w:tcPr>
          <w:p w14:paraId="238D9F99" w14:textId="77777777" w:rsidR="00EB601A" w:rsidRPr="00970522" w:rsidRDefault="00EB601A" w:rsidP="002A4D61">
            <w:pPr>
              <w:jc w:val="center"/>
              <w:rPr>
                <w:rFonts w:ascii="Arial" w:hAnsi="Arial" w:cs="Arial"/>
                <w:color w:val="000000"/>
                <w:sz w:val="16"/>
                <w:szCs w:val="16"/>
              </w:rPr>
            </w:pPr>
          </w:p>
        </w:tc>
        <w:tc>
          <w:tcPr>
            <w:tcW w:w="669" w:type="pct"/>
            <w:vMerge/>
            <w:shd w:val="clear" w:color="auto" w:fill="auto"/>
            <w:vAlign w:val="center"/>
          </w:tcPr>
          <w:p w14:paraId="0B307D16" w14:textId="77777777" w:rsidR="00EB601A" w:rsidRPr="00970522" w:rsidRDefault="00EB601A" w:rsidP="002A4D61">
            <w:pPr>
              <w:jc w:val="center"/>
              <w:rPr>
                <w:rFonts w:ascii="Arial" w:hAnsi="Arial" w:cs="Arial"/>
                <w:color w:val="000000"/>
                <w:sz w:val="16"/>
                <w:szCs w:val="16"/>
              </w:rPr>
            </w:pPr>
          </w:p>
        </w:tc>
        <w:tc>
          <w:tcPr>
            <w:tcW w:w="504" w:type="pct"/>
            <w:vMerge/>
            <w:shd w:val="clear" w:color="auto" w:fill="auto"/>
            <w:vAlign w:val="center"/>
          </w:tcPr>
          <w:p w14:paraId="5E3B79ED" w14:textId="77777777" w:rsidR="00EB601A" w:rsidRPr="00970522" w:rsidRDefault="00EB601A" w:rsidP="002A4D61">
            <w:pPr>
              <w:jc w:val="center"/>
              <w:rPr>
                <w:rFonts w:ascii="Arial" w:hAnsi="Arial" w:cs="Arial"/>
                <w:color w:val="000000"/>
                <w:sz w:val="16"/>
                <w:szCs w:val="16"/>
              </w:rPr>
            </w:pPr>
          </w:p>
        </w:tc>
        <w:tc>
          <w:tcPr>
            <w:tcW w:w="731" w:type="pct"/>
            <w:shd w:val="clear" w:color="auto" w:fill="auto"/>
            <w:vAlign w:val="center"/>
          </w:tcPr>
          <w:p w14:paraId="2AC15722" w14:textId="77777777" w:rsidR="00EB601A" w:rsidRPr="00970522" w:rsidRDefault="00EB601A" w:rsidP="002A4D61">
            <w:pPr>
              <w:jc w:val="center"/>
              <w:rPr>
                <w:rFonts w:ascii="Arial" w:hAnsi="Arial" w:cs="Arial"/>
                <w:b/>
                <w:color w:val="000000"/>
                <w:sz w:val="16"/>
                <w:szCs w:val="16"/>
              </w:rPr>
            </w:pPr>
            <w:r w:rsidRPr="00970522">
              <w:rPr>
                <w:rFonts w:ascii="Arial" w:hAnsi="Arial" w:cs="Arial"/>
                <w:b/>
                <w:color w:val="000000"/>
                <w:sz w:val="16"/>
                <w:szCs w:val="16"/>
              </w:rPr>
              <w:t>Importe relativo a instrumentos financieros reconocidos</w:t>
            </w:r>
          </w:p>
        </w:tc>
        <w:tc>
          <w:tcPr>
            <w:tcW w:w="540" w:type="pct"/>
            <w:shd w:val="clear" w:color="auto" w:fill="auto"/>
            <w:vAlign w:val="center"/>
          </w:tcPr>
          <w:p w14:paraId="56388B9E" w14:textId="77777777" w:rsidR="00EB601A" w:rsidRPr="00970522" w:rsidRDefault="00EB601A" w:rsidP="002A4D61">
            <w:pPr>
              <w:jc w:val="center"/>
              <w:rPr>
                <w:rFonts w:ascii="Arial" w:hAnsi="Arial" w:cs="Arial"/>
                <w:b/>
                <w:color w:val="000000"/>
                <w:sz w:val="16"/>
                <w:szCs w:val="16"/>
                <w:lang w:val="en-US"/>
              </w:rPr>
            </w:pPr>
            <w:r w:rsidRPr="00970522">
              <w:rPr>
                <w:rFonts w:ascii="Arial" w:hAnsi="Arial" w:cs="Arial"/>
                <w:b/>
                <w:color w:val="000000"/>
                <w:sz w:val="16"/>
                <w:szCs w:val="16"/>
                <w:lang w:val="en-US"/>
              </w:rPr>
              <w:t>Garantias</w:t>
            </w:r>
          </w:p>
        </w:tc>
        <w:tc>
          <w:tcPr>
            <w:tcW w:w="618" w:type="pct"/>
            <w:vMerge/>
            <w:shd w:val="clear" w:color="auto" w:fill="auto"/>
            <w:vAlign w:val="center"/>
          </w:tcPr>
          <w:p w14:paraId="52510530" w14:textId="77777777" w:rsidR="00EB601A" w:rsidRPr="00970522" w:rsidRDefault="00EB601A" w:rsidP="002A4D61">
            <w:pPr>
              <w:jc w:val="center"/>
              <w:rPr>
                <w:rFonts w:ascii="Arial" w:hAnsi="Arial" w:cs="Arial"/>
                <w:color w:val="000000"/>
                <w:sz w:val="16"/>
                <w:szCs w:val="16"/>
                <w:lang w:val="en-US"/>
              </w:rPr>
            </w:pPr>
          </w:p>
        </w:tc>
      </w:tr>
      <w:tr w:rsidR="00553573" w:rsidRPr="00970522" w14:paraId="0CBC69CF" w14:textId="77777777" w:rsidTr="00A059FB">
        <w:trPr>
          <w:trHeight w:val="347"/>
        </w:trPr>
        <w:tc>
          <w:tcPr>
            <w:tcW w:w="1365" w:type="pct"/>
            <w:shd w:val="clear" w:color="auto" w:fill="auto"/>
            <w:noWrap/>
            <w:vAlign w:val="bottom"/>
          </w:tcPr>
          <w:p w14:paraId="19B6B14D" w14:textId="34820FC7" w:rsidR="00553573" w:rsidRPr="00970522" w:rsidRDefault="00553573" w:rsidP="00553573">
            <w:pPr>
              <w:rPr>
                <w:rFonts w:ascii="Arial" w:hAnsi="Arial" w:cs="Arial"/>
                <w:color w:val="000000"/>
                <w:sz w:val="16"/>
                <w:szCs w:val="16"/>
              </w:rPr>
            </w:pPr>
            <w:r w:rsidRPr="00970522">
              <w:rPr>
                <w:rFonts w:ascii="Arial" w:hAnsi="Arial" w:cs="Arial"/>
                <w:color w:val="000000"/>
                <w:sz w:val="16"/>
                <w:szCs w:val="16"/>
              </w:rPr>
              <w:t>Deudas con comercios por consumos de nuestros clientes con tarjeta de crédito</w:t>
            </w:r>
          </w:p>
        </w:tc>
        <w:tc>
          <w:tcPr>
            <w:tcW w:w="572" w:type="pct"/>
            <w:shd w:val="clear" w:color="auto" w:fill="auto"/>
            <w:noWrap/>
            <w:vAlign w:val="bottom"/>
            <w:hideMark/>
          </w:tcPr>
          <w:p w14:paraId="10BC9FF5" w14:textId="40A13DA2" w:rsidR="00553573" w:rsidRPr="00970522" w:rsidRDefault="00553573" w:rsidP="00553573">
            <w:pPr>
              <w:jc w:val="right"/>
              <w:rPr>
                <w:rFonts w:ascii="Arial" w:hAnsi="Arial" w:cs="Arial"/>
                <w:color w:val="000000"/>
                <w:sz w:val="16"/>
                <w:szCs w:val="16"/>
              </w:rPr>
            </w:pPr>
            <w:r w:rsidRPr="00970522">
              <w:rPr>
                <w:rFonts w:ascii="Arial" w:hAnsi="Arial" w:cs="Arial"/>
                <w:color w:val="000000"/>
                <w:sz w:val="16"/>
                <w:szCs w:val="16"/>
              </w:rPr>
              <w:t>-</w:t>
            </w:r>
          </w:p>
        </w:tc>
        <w:tc>
          <w:tcPr>
            <w:tcW w:w="669" w:type="pct"/>
            <w:shd w:val="clear" w:color="auto" w:fill="auto"/>
            <w:noWrap/>
            <w:vAlign w:val="bottom"/>
            <w:hideMark/>
          </w:tcPr>
          <w:p w14:paraId="2F512A56" w14:textId="47368F44" w:rsidR="00553573" w:rsidRPr="00970522" w:rsidRDefault="00553573" w:rsidP="00553573">
            <w:pPr>
              <w:jc w:val="right"/>
              <w:rPr>
                <w:rFonts w:ascii="Arial" w:hAnsi="Arial" w:cs="Arial"/>
                <w:color w:val="000000"/>
                <w:sz w:val="16"/>
                <w:szCs w:val="16"/>
              </w:rPr>
            </w:pPr>
            <w:r w:rsidRPr="00970522">
              <w:rPr>
                <w:rFonts w:ascii="Arial" w:eastAsiaTheme="minorHAnsi" w:hAnsi="Arial" w:cs="Arial"/>
                <w:color w:val="000000"/>
                <w:sz w:val="16"/>
                <w:szCs w:val="16"/>
              </w:rPr>
              <w:t>-</w:t>
            </w:r>
          </w:p>
        </w:tc>
        <w:tc>
          <w:tcPr>
            <w:tcW w:w="504" w:type="pct"/>
            <w:shd w:val="clear" w:color="auto" w:fill="auto"/>
            <w:noWrap/>
            <w:vAlign w:val="bottom"/>
            <w:hideMark/>
          </w:tcPr>
          <w:p w14:paraId="57D1DEC9" w14:textId="3E1B298D" w:rsidR="00553573" w:rsidRPr="00970522" w:rsidRDefault="00553573" w:rsidP="00553573">
            <w:pPr>
              <w:jc w:val="right"/>
              <w:rPr>
                <w:rFonts w:ascii="Arial" w:hAnsi="Arial" w:cs="Arial"/>
                <w:color w:val="000000"/>
                <w:sz w:val="16"/>
                <w:szCs w:val="16"/>
              </w:rPr>
            </w:pPr>
            <w:r w:rsidRPr="00970522">
              <w:rPr>
                <w:rFonts w:ascii="Arial" w:eastAsiaTheme="minorHAnsi" w:hAnsi="Arial" w:cs="Arial"/>
                <w:color w:val="000000"/>
                <w:sz w:val="16"/>
                <w:szCs w:val="16"/>
              </w:rPr>
              <w:t>-</w:t>
            </w:r>
          </w:p>
        </w:tc>
        <w:tc>
          <w:tcPr>
            <w:tcW w:w="731" w:type="pct"/>
            <w:shd w:val="clear" w:color="auto" w:fill="auto"/>
            <w:noWrap/>
            <w:vAlign w:val="bottom"/>
          </w:tcPr>
          <w:p w14:paraId="295CB20B" w14:textId="68B1DDF3" w:rsidR="00553573" w:rsidRPr="00970522" w:rsidRDefault="00553573" w:rsidP="00553573">
            <w:pPr>
              <w:jc w:val="right"/>
              <w:rPr>
                <w:rFonts w:ascii="Arial" w:hAnsi="Arial" w:cs="Arial"/>
                <w:color w:val="000000"/>
                <w:sz w:val="16"/>
                <w:szCs w:val="16"/>
              </w:rPr>
            </w:pPr>
            <w:r w:rsidRPr="00970522">
              <w:rPr>
                <w:rFonts w:ascii="Arial" w:hAnsi="Arial" w:cs="Arial"/>
                <w:color w:val="000000"/>
                <w:sz w:val="16"/>
                <w:szCs w:val="16"/>
              </w:rPr>
              <w:t>(1.583.912)</w:t>
            </w:r>
          </w:p>
        </w:tc>
        <w:tc>
          <w:tcPr>
            <w:tcW w:w="540" w:type="pct"/>
            <w:shd w:val="clear" w:color="auto" w:fill="auto"/>
            <w:noWrap/>
            <w:vAlign w:val="bottom"/>
            <w:hideMark/>
          </w:tcPr>
          <w:p w14:paraId="64270E7C" w14:textId="34EF71C6" w:rsidR="00553573" w:rsidRPr="00970522" w:rsidRDefault="00553573" w:rsidP="00553573">
            <w:pPr>
              <w:jc w:val="right"/>
              <w:rPr>
                <w:rFonts w:ascii="Arial" w:eastAsiaTheme="minorHAnsi" w:hAnsi="Arial" w:cs="Arial"/>
                <w:color w:val="000000"/>
                <w:sz w:val="16"/>
                <w:szCs w:val="16"/>
              </w:rPr>
            </w:pPr>
            <w:r w:rsidRPr="00970522">
              <w:rPr>
                <w:rFonts w:ascii="Arial" w:hAnsi="Arial" w:cs="Arial"/>
                <w:color w:val="000000"/>
                <w:sz w:val="16"/>
                <w:szCs w:val="16"/>
              </w:rPr>
              <w:t>529.606</w:t>
            </w:r>
          </w:p>
        </w:tc>
        <w:tc>
          <w:tcPr>
            <w:tcW w:w="618" w:type="pct"/>
            <w:shd w:val="clear" w:color="auto" w:fill="auto"/>
            <w:noWrap/>
            <w:vAlign w:val="bottom"/>
            <w:hideMark/>
          </w:tcPr>
          <w:p w14:paraId="4963979E" w14:textId="52637F0A" w:rsidR="00553573" w:rsidRPr="00970522" w:rsidRDefault="00553573" w:rsidP="00553573">
            <w:pPr>
              <w:jc w:val="right"/>
              <w:rPr>
                <w:rFonts w:ascii="Arial" w:eastAsiaTheme="minorHAnsi" w:hAnsi="Arial" w:cs="Arial"/>
                <w:bCs/>
                <w:color w:val="000000"/>
                <w:sz w:val="16"/>
                <w:szCs w:val="16"/>
              </w:rPr>
            </w:pPr>
            <w:r w:rsidRPr="00970522">
              <w:rPr>
                <w:rFonts w:ascii="Arial" w:hAnsi="Arial" w:cs="Arial"/>
                <w:bCs/>
                <w:color w:val="000000"/>
                <w:sz w:val="16"/>
                <w:szCs w:val="16"/>
              </w:rPr>
              <w:t>(1.054.30</w:t>
            </w:r>
            <w:r w:rsidR="00AF7175">
              <w:rPr>
                <w:rFonts w:ascii="Arial" w:hAnsi="Arial" w:cs="Arial"/>
                <w:bCs/>
                <w:color w:val="000000"/>
                <w:sz w:val="16"/>
                <w:szCs w:val="16"/>
              </w:rPr>
              <w:t>6</w:t>
            </w:r>
            <w:r w:rsidRPr="00970522">
              <w:rPr>
                <w:rFonts w:ascii="Arial" w:hAnsi="Arial" w:cs="Arial"/>
                <w:bCs/>
                <w:color w:val="000000"/>
                <w:sz w:val="16"/>
                <w:szCs w:val="16"/>
              </w:rPr>
              <w:t>)</w:t>
            </w:r>
          </w:p>
        </w:tc>
      </w:tr>
      <w:tr w:rsidR="00553573" w:rsidRPr="00970522" w14:paraId="0A43AE5F" w14:textId="77777777" w:rsidTr="00A059FB">
        <w:trPr>
          <w:trHeight w:val="285"/>
        </w:trPr>
        <w:tc>
          <w:tcPr>
            <w:tcW w:w="1365" w:type="pct"/>
            <w:shd w:val="clear" w:color="auto" w:fill="auto"/>
            <w:noWrap/>
            <w:vAlign w:val="bottom"/>
            <w:hideMark/>
          </w:tcPr>
          <w:p w14:paraId="3333E2C5" w14:textId="39D0B8A4" w:rsidR="00553573" w:rsidRPr="00970522" w:rsidRDefault="00553573" w:rsidP="00553573">
            <w:pPr>
              <w:rPr>
                <w:rFonts w:ascii="Arial" w:hAnsi="Arial" w:cs="Arial"/>
                <w:b/>
                <w:color w:val="000000"/>
                <w:sz w:val="16"/>
                <w:szCs w:val="16"/>
              </w:rPr>
            </w:pPr>
            <w:r w:rsidRPr="00970522">
              <w:rPr>
                <w:rFonts w:ascii="Arial" w:hAnsi="Arial" w:cs="Arial"/>
                <w:b/>
                <w:color w:val="000000"/>
                <w:sz w:val="16"/>
                <w:szCs w:val="16"/>
              </w:rPr>
              <w:t>Total</w:t>
            </w:r>
          </w:p>
        </w:tc>
        <w:tc>
          <w:tcPr>
            <w:tcW w:w="572" w:type="pct"/>
            <w:shd w:val="clear" w:color="auto" w:fill="auto"/>
            <w:noWrap/>
            <w:vAlign w:val="bottom"/>
            <w:hideMark/>
          </w:tcPr>
          <w:p w14:paraId="688F7EB9" w14:textId="46DEB69C" w:rsidR="00553573" w:rsidRPr="00970522" w:rsidRDefault="00553573" w:rsidP="00553573">
            <w:pPr>
              <w:jc w:val="right"/>
              <w:rPr>
                <w:rFonts w:ascii="Arial" w:hAnsi="Arial" w:cs="Arial"/>
                <w:b/>
                <w:sz w:val="16"/>
                <w:szCs w:val="16"/>
                <w:lang w:val="en-US"/>
              </w:rPr>
            </w:pPr>
            <w:r w:rsidRPr="00970522">
              <w:rPr>
                <w:rFonts w:ascii="Arial" w:hAnsi="Arial" w:cs="Arial"/>
                <w:b/>
                <w:color w:val="000000"/>
                <w:sz w:val="16"/>
                <w:szCs w:val="16"/>
              </w:rPr>
              <w:t>-</w:t>
            </w:r>
          </w:p>
        </w:tc>
        <w:tc>
          <w:tcPr>
            <w:tcW w:w="669" w:type="pct"/>
            <w:shd w:val="clear" w:color="auto" w:fill="auto"/>
            <w:noWrap/>
            <w:vAlign w:val="bottom"/>
            <w:hideMark/>
          </w:tcPr>
          <w:p w14:paraId="63FD7345" w14:textId="31BEDB2C" w:rsidR="00553573" w:rsidRPr="00970522" w:rsidRDefault="00553573" w:rsidP="00553573">
            <w:pPr>
              <w:jc w:val="right"/>
              <w:rPr>
                <w:rFonts w:ascii="Arial" w:hAnsi="Arial" w:cs="Arial"/>
                <w:b/>
                <w:color w:val="000000"/>
                <w:sz w:val="16"/>
                <w:szCs w:val="16"/>
              </w:rPr>
            </w:pPr>
            <w:r w:rsidRPr="00970522">
              <w:rPr>
                <w:rFonts w:ascii="Arial" w:eastAsiaTheme="minorHAnsi" w:hAnsi="Arial" w:cs="Arial"/>
                <w:b/>
                <w:color w:val="000000"/>
                <w:sz w:val="16"/>
                <w:szCs w:val="16"/>
              </w:rPr>
              <w:t>-</w:t>
            </w:r>
          </w:p>
        </w:tc>
        <w:tc>
          <w:tcPr>
            <w:tcW w:w="504" w:type="pct"/>
            <w:shd w:val="clear" w:color="auto" w:fill="auto"/>
            <w:noWrap/>
            <w:vAlign w:val="bottom"/>
            <w:hideMark/>
          </w:tcPr>
          <w:p w14:paraId="0D3C05C5" w14:textId="2AF3C538" w:rsidR="00553573" w:rsidRPr="00970522" w:rsidRDefault="00553573" w:rsidP="00553573">
            <w:pPr>
              <w:jc w:val="right"/>
              <w:rPr>
                <w:rFonts w:ascii="Arial" w:hAnsi="Arial" w:cs="Arial"/>
                <w:b/>
                <w:color w:val="000000"/>
                <w:sz w:val="16"/>
                <w:szCs w:val="16"/>
              </w:rPr>
            </w:pPr>
            <w:r w:rsidRPr="00970522">
              <w:rPr>
                <w:rFonts w:ascii="Arial" w:eastAsiaTheme="minorHAnsi" w:hAnsi="Arial" w:cs="Arial"/>
                <w:b/>
                <w:color w:val="000000"/>
                <w:sz w:val="16"/>
                <w:szCs w:val="16"/>
              </w:rPr>
              <w:t>-</w:t>
            </w:r>
          </w:p>
        </w:tc>
        <w:tc>
          <w:tcPr>
            <w:tcW w:w="731" w:type="pct"/>
            <w:shd w:val="clear" w:color="auto" w:fill="auto"/>
            <w:noWrap/>
            <w:vAlign w:val="bottom"/>
          </w:tcPr>
          <w:p w14:paraId="52B61907" w14:textId="45660BCB" w:rsidR="00553573" w:rsidRPr="00970522" w:rsidRDefault="00553573" w:rsidP="00553573">
            <w:pPr>
              <w:jc w:val="right"/>
              <w:rPr>
                <w:rFonts w:ascii="Arial" w:hAnsi="Arial" w:cs="Arial"/>
                <w:b/>
                <w:color w:val="000000"/>
                <w:sz w:val="16"/>
                <w:szCs w:val="16"/>
              </w:rPr>
            </w:pPr>
            <w:r w:rsidRPr="00970522">
              <w:rPr>
                <w:rFonts w:ascii="Arial" w:hAnsi="Arial" w:cs="Arial"/>
                <w:b/>
                <w:color w:val="000000"/>
                <w:sz w:val="16"/>
                <w:szCs w:val="16"/>
              </w:rPr>
              <w:t>(1.583.912)</w:t>
            </w:r>
          </w:p>
        </w:tc>
        <w:tc>
          <w:tcPr>
            <w:tcW w:w="540" w:type="pct"/>
            <w:shd w:val="clear" w:color="auto" w:fill="auto"/>
            <w:noWrap/>
            <w:vAlign w:val="bottom"/>
            <w:hideMark/>
          </w:tcPr>
          <w:p w14:paraId="2EEAFFCE" w14:textId="6E00C40B" w:rsidR="00553573" w:rsidRPr="00970522" w:rsidRDefault="00553573" w:rsidP="00553573">
            <w:pPr>
              <w:jc w:val="right"/>
              <w:rPr>
                <w:rFonts w:ascii="Arial" w:eastAsiaTheme="minorHAnsi" w:hAnsi="Arial" w:cs="Arial"/>
                <w:b/>
                <w:color w:val="000000"/>
                <w:sz w:val="16"/>
                <w:szCs w:val="16"/>
              </w:rPr>
            </w:pPr>
            <w:r w:rsidRPr="00970522">
              <w:rPr>
                <w:rFonts w:ascii="Arial" w:hAnsi="Arial" w:cs="Arial"/>
                <w:b/>
                <w:color w:val="000000"/>
                <w:sz w:val="16"/>
                <w:szCs w:val="16"/>
              </w:rPr>
              <w:t>529.606</w:t>
            </w:r>
          </w:p>
        </w:tc>
        <w:tc>
          <w:tcPr>
            <w:tcW w:w="618" w:type="pct"/>
            <w:shd w:val="clear" w:color="auto" w:fill="auto"/>
            <w:noWrap/>
            <w:vAlign w:val="bottom"/>
            <w:hideMark/>
          </w:tcPr>
          <w:p w14:paraId="086448A6" w14:textId="4E0D72BB" w:rsidR="00553573" w:rsidRPr="00970522" w:rsidRDefault="00553573" w:rsidP="00553573">
            <w:pPr>
              <w:jc w:val="right"/>
              <w:rPr>
                <w:rFonts w:ascii="Arial" w:eastAsiaTheme="minorHAnsi" w:hAnsi="Arial" w:cs="Arial"/>
                <w:b/>
                <w:bCs/>
                <w:color w:val="000000"/>
                <w:sz w:val="16"/>
                <w:szCs w:val="16"/>
              </w:rPr>
            </w:pPr>
            <w:r w:rsidRPr="00970522">
              <w:rPr>
                <w:rFonts w:ascii="Arial" w:hAnsi="Arial" w:cs="Arial"/>
                <w:b/>
                <w:bCs/>
                <w:color w:val="000000"/>
                <w:sz w:val="16"/>
                <w:szCs w:val="16"/>
              </w:rPr>
              <w:t>(1.054.30</w:t>
            </w:r>
            <w:r w:rsidR="00AF7175">
              <w:rPr>
                <w:rFonts w:ascii="Arial" w:hAnsi="Arial" w:cs="Arial"/>
                <w:b/>
                <w:bCs/>
                <w:color w:val="000000"/>
                <w:sz w:val="16"/>
                <w:szCs w:val="16"/>
              </w:rPr>
              <w:t>6</w:t>
            </w:r>
            <w:r w:rsidRPr="00970522">
              <w:rPr>
                <w:rFonts w:ascii="Arial" w:hAnsi="Arial" w:cs="Arial"/>
                <w:b/>
                <w:bCs/>
                <w:color w:val="000000"/>
                <w:sz w:val="16"/>
                <w:szCs w:val="16"/>
              </w:rPr>
              <w:t>)</w:t>
            </w:r>
          </w:p>
        </w:tc>
      </w:tr>
    </w:tbl>
    <w:p w14:paraId="4DE90170" w14:textId="77777777" w:rsidR="00431887" w:rsidRDefault="00431887" w:rsidP="002A4D61">
      <w:pPr>
        <w:jc w:val="both"/>
        <w:rPr>
          <w:rFonts w:eastAsia="Calibri" w:cstheme="minorHAnsi"/>
          <w:noProof/>
          <w:sz w:val="20"/>
        </w:rPr>
      </w:pPr>
    </w:p>
    <w:p w14:paraId="49DD4C98" w14:textId="77777777" w:rsidR="002A4D61" w:rsidRPr="002A0B72" w:rsidRDefault="002A4D61" w:rsidP="002A4D61">
      <w:pPr>
        <w:autoSpaceDE w:val="0"/>
        <w:autoSpaceDN w:val="0"/>
        <w:adjustRightInd w:val="0"/>
        <w:rPr>
          <w:rFonts w:ascii="Arial" w:hAnsi="Arial" w:cs="Arial"/>
          <w:b/>
          <w:bCs/>
          <w:sz w:val="20"/>
          <w:lang w:eastAsia="es-AR"/>
        </w:rPr>
      </w:pPr>
      <w:r w:rsidRPr="002A0B72">
        <w:rPr>
          <w:rFonts w:ascii="Arial" w:hAnsi="Arial" w:cs="Arial"/>
          <w:b/>
          <w:noProof/>
          <w:sz w:val="20"/>
        </w:rPr>
        <w:t xml:space="preserve">28. </w:t>
      </w:r>
      <w:r w:rsidRPr="002A0B72">
        <w:rPr>
          <w:rFonts w:ascii="Arial" w:hAnsi="Arial" w:cs="Arial"/>
          <w:b/>
          <w:bCs/>
          <w:sz w:val="20"/>
          <w:lang w:eastAsia="es-AR"/>
        </w:rPr>
        <w:t>SEPARACION ENTRE PARTIDAS CORRIENTES Y NO CORRIENTES</w:t>
      </w:r>
    </w:p>
    <w:p w14:paraId="49D02E26" w14:textId="77777777" w:rsidR="002A4D61" w:rsidRPr="002A0B72" w:rsidRDefault="002A4D61" w:rsidP="002A4D61">
      <w:pPr>
        <w:autoSpaceDE w:val="0"/>
        <w:autoSpaceDN w:val="0"/>
        <w:adjustRightInd w:val="0"/>
        <w:rPr>
          <w:rFonts w:ascii="Arial" w:hAnsi="Arial" w:cs="Arial"/>
          <w:b/>
          <w:bCs/>
          <w:sz w:val="20"/>
          <w:lang w:eastAsia="es-AR"/>
        </w:rPr>
      </w:pPr>
    </w:p>
    <w:p w14:paraId="528733DB" w14:textId="77777777" w:rsidR="002A4D61" w:rsidRDefault="002A4D61" w:rsidP="002A4D61">
      <w:pPr>
        <w:autoSpaceDE w:val="0"/>
        <w:autoSpaceDN w:val="0"/>
        <w:adjustRightInd w:val="0"/>
        <w:jc w:val="both"/>
        <w:rPr>
          <w:rFonts w:ascii="Arial" w:hAnsi="Arial" w:cs="Arial"/>
          <w:sz w:val="20"/>
          <w:lang w:eastAsia="es-AR"/>
        </w:rPr>
      </w:pPr>
      <w:r w:rsidRPr="003C08A0">
        <w:rPr>
          <w:rFonts w:ascii="Arial" w:hAnsi="Arial" w:cs="Arial"/>
          <w:sz w:val="20"/>
          <w:lang w:eastAsia="es-AR"/>
        </w:rPr>
        <w:t xml:space="preserve">La Entidad ha optado por la presentación de sus activos y pasivos basada en el grado de liquidez dado que proporciona información más relevante debido a la naturaleza de las actividades del </w:t>
      </w:r>
      <w:r>
        <w:rPr>
          <w:rFonts w:ascii="Arial" w:hAnsi="Arial" w:cs="Arial"/>
          <w:sz w:val="20"/>
          <w:lang w:eastAsia="es-AR"/>
        </w:rPr>
        <w:t>Banco</w:t>
      </w:r>
      <w:r w:rsidRPr="002A0B72">
        <w:rPr>
          <w:rFonts w:ascii="Arial" w:hAnsi="Arial" w:cs="Arial"/>
          <w:sz w:val="20"/>
          <w:lang w:eastAsia="es-AR"/>
        </w:rPr>
        <w:t>.</w:t>
      </w:r>
    </w:p>
    <w:p w14:paraId="27DD4069" w14:textId="77777777" w:rsidR="002A4D61" w:rsidRPr="002A0B72" w:rsidRDefault="002A4D61" w:rsidP="002A4D61">
      <w:pPr>
        <w:autoSpaceDE w:val="0"/>
        <w:autoSpaceDN w:val="0"/>
        <w:adjustRightInd w:val="0"/>
        <w:rPr>
          <w:rFonts w:ascii="Arial" w:hAnsi="Arial" w:cs="Arial"/>
          <w:sz w:val="20"/>
          <w:lang w:eastAsia="es-AR"/>
        </w:rPr>
      </w:pPr>
    </w:p>
    <w:p w14:paraId="6DFCCC8A" w14:textId="3BF08831" w:rsidR="002A4D61" w:rsidRDefault="002A4D61" w:rsidP="002A4D61">
      <w:pPr>
        <w:autoSpaceDE w:val="0"/>
        <w:autoSpaceDN w:val="0"/>
        <w:adjustRightInd w:val="0"/>
        <w:rPr>
          <w:rFonts w:ascii="Arial" w:hAnsi="Arial" w:cs="Arial"/>
          <w:sz w:val="20"/>
          <w:lang w:eastAsia="es-AR"/>
        </w:rPr>
      </w:pPr>
      <w:r w:rsidRPr="003C08A0">
        <w:rPr>
          <w:rFonts w:ascii="Arial" w:hAnsi="Arial" w:cs="Arial"/>
          <w:sz w:val="20"/>
          <w:lang w:eastAsia="es-AR"/>
        </w:rPr>
        <w:t xml:space="preserve">A continuación se exponen los importes esperados a recuperar o cancelar de activos y pasivos al 31 de diciembre de </w:t>
      </w:r>
      <w:r w:rsidR="00553573">
        <w:rPr>
          <w:rFonts w:ascii="Arial" w:hAnsi="Arial" w:cs="Arial"/>
          <w:sz w:val="20"/>
          <w:lang w:eastAsia="es-AR"/>
        </w:rPr>
        <w:t>2019 y 2018</w:t>
      </w:r>
      <w:r w:rsidRPr="003C08A0">
        <w:rPr>
          <w:rFonts w:ascii="Arial" w:hAnsi="Arial" w:cs="Arial"/>
          <w:sz w:val="20"/>
          <w:lang w:eastAsia="es-AR"/>
        </w:rPr>
        <w:t xml:space="preserve">, considerando: </w:t>
      </w:r>
    </w:p>
    <w:p w14:paraId="163FC684" w14:textId="77777777" w:rsidR="002A4D61" w:rsidRPr="002A0B72" w:rsidRDefault="002A4D61" w:rsidP="002A4D61">
      <w:pPr>
        <w:autoSpaceDE w:val="0"/>
        <w:autoSpaceDN w:val="0"/>
        <w:adjustRightInd w:val="0"/>
        <w:rPr>
          <w:rFonts w:ascii="Arial" w:hAnsi="Arial" w:cs="Arial"/>
          <w:sz w:val="20"/>
          <w:lang w:eastAsia="es-AR"/>
        </w:rPr>
      </w:pPr>
    </w:p>
    <w:p w14:paraId="27AF7D83" w14:textId="77777777" w:rsidR="002A4D61" w:rsidRPr="00EC349E" w:rsidRDefault="002A4D61" w:rsidP="00553573">
      <w:pPr>
        <w:pStyle w:val="Prrafodelista"/>
        <w:numPr>
          <w:ilvl w:val="0"/>
          <w:numId w:val="105"/>
        </w:numPr>
        <w:autoSpaceDE w:val="0"/>
        <w:autoSpaceDN w:val="0"/>
        <w:adjustRightInd w:val="0"/>
        <w:rPr>
          <w:rFonts w:ascii="Arial" w:hAnsi="Arial" w:cs="Arial"/>
          <w:sz w:val="20"/>
          <w:lang w:eastAsia="es-AR"/>
        </w:rPr>
      </w:pPr>
      <w:r w:rsidRPr="00EC349E">
        <w:rPr>
          <w:rFonts w:ascii="Arial" w:hAnsi="Arial" w:cs="Arial"/>
          <w:sz w:val="20"/>
          <w:lang w:eastAsia="es-AR"/>
        </w:rPr>
        <w:t xml:space="preserve">aquellos esperados a recuperar o cancelar dentro de los doce meses siguientes después del período sobre el que se informa, y </w:t>
      </w:r>
    </w:p>
    <w:p w14:paraId="126ECFFA" w14:textId="77777777" w:rsidR="002A4D61" w:rsidRPr="00EC349E" w:rsidRDefault="002A4D61" w:rsidP="00553573">
      <w:pPr>
        <w:pStyle w:val="Prrafodelista"/>
        <w:numPr>
          <w:ilvl w:val="0"/>
          <w:numId w:val="105"/>
        </w:numPr>
        <w:autoSpaceDE w:val="0"/>
        <w:autoSpaceDN w:val="0"/>
        <w:adjustRightInd w:val="0"/>
        <w:rPr>
          <w:rFonts w:ascii="Arial" w:hAnsi="Arial" w:cs="Arial"/>
          <w:sz w:val="20"/>
          <w:lang w:eastAsia="es-AR"/>
        </w:rPr>
      </w:pPr>
      <w:r w:rsidRPr="003C08A0">
        <w:rPr>
          <w:rFonts w:ascii="Arial" w:hAnsi="Arial" w:cs="Arial"/>
          <w:sz w:val="20"/>
          <w:lang w:eastAsia="es-AR"/>
        </w:rPr>
        <w:t xml:space="preserve">aquellos esperados a recuperar o cancelar después de doce meses tras esa fecha. </w:t>
      </w:r>
    </w:p>
    <w:p w14:paraId="402D64F0" w14:textId="77777777" w:rsidR="002A4D61" w:rsidRDefault="002A4D61" w:rsidP="002A4D61">
      <w:pPr>
        <w:widowControl w:val="0"/>
        <w:autoSpaceDE w:val="0"/>
        <w:autoSpaceDN w:val="0"/>
        <w:adjustRightInd w:val="0"/>
        <w:jc w:val="both"/>
        <w:rPr>
          <w:rFonts w:ascii="Arial" w:hAnsi="Arial" w:cs="Arial"/>
          <w:noProof/>
          <w:sz w:val="20"/>
        </w:rPr>
      </w:pPr>
    </w:p>
    <w:p w14:paraId="6B01CD2A" w14:textId="77777777" w:rsidR="002A4D61" w:rsidRDefault="002A4D61" w:rsidP="002A4D61">
      <w:pPr>
        <w:widowControl w:val="0"/>
        <w:autoSpaceDE w:val="0"/>
        <w:autoSpaceDN w:val="0"/>
        <w:adjustRightInd w:val="0"/>
        <w:jc w:val="both"/>
        <w:rPr>
          <w:rFonts w:ascii="Arial" w:hAnsi="Arial" w:cs="Arial"/>
          <w:noProof/>
          <w:sz w:val="20"/>
        </w:rPr>
      </w:pPr>
    </w:p>
    <w:tbl>
      <w:tblPr>
        <w:tblW w:w="10984" w:type="dxa"/>
        <w:jc w:val="center"/>
        <w:tblCellMar>
          <w:left w:w="70" w:type="dxa"/>
          <w:right w:w="70" w:type="dxa"/>
        </w:tblCellMar>
        <w:tblLook w:val="04A0" w:firstRow="1" w:lastRow="0" w:firstColumn="1" w:lastColumn="0" w:noHBand="0" w:noVBand="1"/>
      </w:tblPr>
      <w:tblGrid>
        <w:gridCol w:w="3545"/>
        <w:gridCol w:w="1228"/>
        <w:gridCol w:w="1300"/>
        <w:gridCol w:w="1230"/>
        <w:gridCol w:w="1226"/>
        <w:gridCol w:w="1226"/>
        <w:gridCol w:w="1229"/>
      </w:tblGrid>
      <w:tr w:rsidR="002A4D61" w:rsidRPr="003C08A0" w14:paraId="2645CCD3" w14:textId="77777777" w:rsidTr="00553573">
        <w:trPr>
          <w:trHeight w:val="254"/>
          <w:tblHeader/>
          <w:jc w:val="center"/>
        </w:trPr>
        <w:tc>
          <w:tcPr>
            <w:tcW w:w="3545" w:type="dxa"/>
            <w:tcBorders>
              <w:top w:val="nil"/>
              <w:left w:val="nil"/>
              <w:bottom w:val="nil"/>
              <w:right w:val="nil"/>
            </w:tcBorders>
            <w:shd w:val="clear" w:color="auto" w:fill="auto"/>
            <w:noWrap/>
            <w:vAlign w:val="bottom"/>
            <w:hideMark/>
          </w:tcPr>
          <w:p w14:paraId="3F161A65" w14:textId="77777777" w:rsidR="002A4D61" w:rsidRPr="003C08A0" w:rsidRDefault="002A4D61" w:rsidP="002A4D61">
            <w:pPr>
              <w:ind w:left="-70" w:firstLine="70"/>
              <w:rPr>
                <w:sz w:val="20"/>
                <w:szCs w:val="24"/>
                <w:lang w:eastAsia="es-AR"/>
              </w:rPr>
            </w:pPr>
          </w:p>
        </w:tc>
        <w:tc>
          <w:tcPr>
            <w:tcW w:w="3758"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DFF62C4" w14:textId="1B3EE0E5"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31/12/201</w:t>
            </w:r>
            <w:r w:rsidR="00553573">
              <w:rPr>
                <w:rFonts w:ascii="Arial" w:hAnsi="Arial" w:cs="Arial"/>
                <w:b/>
                <w:bCs/>
                <w:sz w:val="16"/>
                <w:szCs w:val="16"/>
                <w:lang w:eastAsia="es-AR"/>
              </w:rPr>
              <w:t>9</w:t>
            </w:r>
          </w:p>
        </w:tc>
        <w:tc>
          <w:tcPr>
            <w:tcW w:w="3681"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597CDD62" w14:textId="06B94F91"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31/12/201</w:t>
            </w:r>
            <w:r w:rsidR="00553573">
              <w:rPr>
                <w:rFonts w:ascii="Arial" w:hAnsi="Arial" w:cs="Arial"/>
                <w:b/>
                <w:bCs/>
                <w:sz w:val="16"/>
                <w:szCs w:val="16"/>
                <w:lang w:eastAsia="es-AR"/>
              </w:rPr>
              <w:t>8</w:t>
            </w:r>
          </w:p>
        </w:tc>
      </w:tr>
      <w:tr w:rsidR="002A4D61" w:rsidRPr="003C08A0" w14:paraId="1E9522BB" w14:textId="77777777" w:rsidTr="00553573">
        <w:trPr>
          <w:trHeight w:val="254"/>
          <w:tblHeader/>
          <w:jc w:val="center"/>
        </w:trPr>
        <w:tc>
          <w:tcPr>
            <w:tcW w:w="3545" w:type="dxa"/>
            <w:tcBorders>
              <w:top w:val="nil"/>
              <w:left w:val="nil"/>
              <w:bottom w:val="nil"/>
              <w:right w:val="nil"/>
            </w:tcBorders>
            <w:shd w:val="clear" w:color="auto" w:fill="auto"/>
            <w:noWrap/>
            <w:vAlign w:val="bottom"/>
            <w:hideMark/>
          </w:tcPr>
          <w:p w14:paraId="5ECF746C" w14:textId="77777777" w:rsidR="002A4D61" w:rsidRPr="003C08A0" w:rsidRDefault="002A4D61" w:rsidP="002A4D61">
            <w:pPr>
              <w:jc w:val="center"/>
              <w:rPr>
                <w:rFonts w:ascii="Arial" w:hAnsi="Arial" w:cs="Arial"/>
                <w:b/>
                <w:bCs/>
                <w:sz w:val="16"/>
                <w:szCs w:val="16"/>
                <w:lang w:eastAsia="es-AR"/>
              </w:rPr>
            </w:pPr>
          </w:p>
        </w:tc>
        <w:tc>
          <w:tcPr>
            <w:tcW w:w="1228" w:type="dxa"/>
            <w:tcBorders>
              <w:top w:val="nil"/>
              <w:left w:val="single" w:sz="8" w:space="0" w:color="auto"/>
              <w:bottom w:val="single" w:sz="8" w:space="0" w:color="auto"/>
              <w:right w:val="nil"/>
            </w:tcBorders>
            <w:shd w:val="clear" w:color="auto" w:fill="auto"/>
            <w:noWrap/>
            <w:vAlign w:val="bottom"/>
            <w:hideMark/>
          </w:tcPr>
          <w:p w14:paraId="57B22ECC"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12 meses</w:t>
            </w: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14:paraId="69BA2099"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Mas de 12 meses</w:t>
            </w:r>
          </w:p>
        </w:tc>
        <w:tc>
          <w:tcPr>
            <w:tcW w:w="1230" w:type="dxa"/>
            <w:tcBorders>
              <w:top w:val="nil"/>
              <w:left w:val="nil"/>
              <w:bottom w:val="single" w:sz="8" w:space="0" w:color="auto"/>
              <w:right w:val="single" w:sz="8" w:space="0" w:color="auto"/>
            </w:tcBorders>
            <w:shd w:val="clear" w:color="auto" w:fill="auto"/>
            <w:noWrap/>
            <w:vAlign w:val="bottom"/>
            <w:hideMark/>
          </w:tcPr>
          <w:p w14:paraId="24817B47"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Total</w:t>
            </w:r>
          </w:p>
        </w:tc>
        <w:tc>
          <w:tcPr>
            <w:tcW w:w="1226" w:type="dxa"/>
            <w:tcBorders>
              <w:top w:val="nil"/>
              <w:left w:val="nil"/>
              <w:bottom w:val="single" w:sz="8" w:space="0" w:color="auto"/>
              <w:right w:val="nil"/>
            </w:tcBorders>
            <w:shd w:val="clear" w:color="auto" w:fill="auto"/>
            <w:noWrap/>
            <w:vAlign w:val="bottom"/>
            <w:hideMark/>
          </w:tcPr>
          <w:p w14:paraId="166329A3"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12 meses</w:t>
            </w:r>
          </w:p>
        </w:tc>
        <w:tc>
          <w:tcPr>
            <w:tcW w:w="1226" w:type="dxa"/>
            <w:tcBorders>
              <w:top w:val="nil"/>
              <w:left w:val="single" w:sz="8" w:space="0" w:color="auto"/>
              <w:bottom w:val="single" w:sz="8" w:space="0" w:color="auto"/>
              <w:right w:val="single" w:sz="8" w:space="0" w:color="auto"/>
            </w:tcBorders>
            <w:shd w:val="clear" w:color="auto" w:fill="auto"/>
            <w:noWrap/>
            <w:vAlign w:val="bottom"/>
            <w:hideMark/>
          </w:tcPr>
          <w:p w14:paraId="754119B2"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Mas de 12 meses</w:t>
            </w:r>
          </w:p>
        </w:tc>
        <w:tc>
          <w:tcPr>
            <w:tcW w:w="1229" w:type="dxa"/>
            <w:tcBorders>
              <w:top w:val="nil"/>
              <w:left w:val="nil"/>
              <w:bottom w:val="single" w:sz="8" w:space="0" w:color="auto"/>
              <w:right w:val="single" w:sz="8" w:space="0" w:color="auto"/>
            </w:tcBorders>
            <w:shd w:val="clear" w:color="auto" w:fill="auto"/>
            <w:noWrap/>
            <w:vAlign w:val="bottom"/>
            <w:hideMark/>
          </w:tcPr>
          <w:p w14:paraId="5D83A671"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Total</w:t>
            </w:r>
          </w:p>
        </w:tc>
      </w:tr>
      <w:tr w:rsidR="002A4D61" w:rsidRPr="003C08A0" w14:paraId="043C8C20" w14:textId="77777777" w:rsidTr="00553573">
        <w:trPr>
          <w:trHeight w:val="254"/>
          <w:jc w:val="center"/>
        </w:trPr>
        <w:tc>
          <w:tcPr>
            <w:tcW w:w="3545" w:type="dxa"/>
            <w:tcBorders>
              <w:top w:val="single" w:sz="8" w:space="0" w:color="auto"/>
              <w:left w:val="single" w:sz="8" w:space="0" w:color="auto"/>
              <w:bottom w:val="single" w:sz="8" w:space="0" w:color="auto"/>
              <w:right w:val="nil"/>
            </w:tcBorders>
            <w:shd w:val="clear" w:color="000000" w:fill="D0CECE"/>
            <w:noWrap/>
            <w:vAlign w:val="bottom"/>
            <w:hideMark/>
          </w:tcPr>
          <w:p w14:paraId="5A622611" w14:textId="77777777" w:rsidR="002A4D61" w:rsidRPr="003C08A0" w:rsidRDefault="002A4D61" w:rsidP="002A4D61">
            <w:pPr>
              <w:rPr>
                <w:rFonts w:ascii="Arial" w:hAnsi="Arial" w:cs="Arial"/>
                <w:b/>
                <w:bCs/>
                <w:sz w:val="16"/>
                <w:szCs w:val="16"/>
                <w:lang w:eastAsia="es-AR"/>
              </w:rPr>
            </w:pPr>
            <w:r w:rsidRPr="003C08A0">
              <w:rPr>
                <w:rFonts w:ascii="Arial" w:hAnsi="Arial" w:cs="Arial"/>
                <w:b/>
                <w:bCs/>
                <w:sz w:val="16"/>
                <w:szCs w:val="16"/>
                <w:lang w:eastAsia="es-AR"/>
              </w:rPr>
              <w:t>ACTIVO</w:t>
            </w:r>
          </w:p>
        </w:tc>
        <w:tc>
          <w:tcPr>
            <w:tcW w:w="1228" w:type="dxa"/>
            <w:tcBorders>
              <w:top w:val="single" w:sz="8" w:space="0" w:color="auto"/>
              <w:left w:val="single" w:sz="8" w:space="0" w:color="auto"/>
              <w:bottom w:val="single" w:sz="8" w:space="0" w:color="auto"/>
              <w:right w:val="nil"/>
            </w:tcBorders>
            <w:shd w:val="clear" w:color="000000" w:fill="D0CECE"/>
            <w:noWrap/>
            <w:vAlign w:val="bottom"/>
            <w:hideMark/>
          </w:tcPr>
          <w:p w14:paraId="025B349E" w14:textId="77777777" w:rsidR="002A4D61" w:rsidRPr="003C08A0" w:rsidRDefault="002A4D61" w:rsidP="002A4D61">
            <w:pPr>
              <w:jc w:val="center"/>
              <w:rPr>
                <w:rFonts w:ascii="Arial" w:hAnsi="Arial" w:cs="Arial"/>
                <w:sz w:val="16"/>
                <w:szCs w:val="16"/>
                <w:lang w:eastAsia="es-AR"/>
              </w:rPr>
            </w:pPr>
            <w:r w:rsidRPr="003C08A0">
              <w:rPr>
                <w:rFonts w:ascii="Arial" w:hAnsi="Arial" w:cs="Arial"/>
                <w:sz w:val="16"/>
                <w:szCs w:val="16"/>
                <w:lang w:eastAsia="es-AR"/>
              </w:rPr>
              <w:t> </w:t>
            </w:r>
          </w:p>
        </w:tc>
        <w:tc>
          <w:tcPr>
            <w:tcW w:w="1300" w:type="dxa"/>
            <w:tcBorders>
              <w:top w:val="single" w:sz="8" w:space="0" w:color="auto"/>
              <w:left w:val="single" w:sz="8" w:space="0" w:color="auto"/>
              <w:bottom w:val="single" w:sz="8" w:space="0" w:color="auto"/>
              <w:right w:val="single" w:sz="8" w:space="0" w:color="auto"/>
            </w:tcBorders>
            <w:shd w:val="clear" w:color="000000" w:fill="D0CECE"/>
            <w:noWrap/>
            <w:vAlign w:val="bottom"/>
            <w:hideMark/>
          </w:tcPr>
          <w:p w14:paraId="7FFE4E16" w14:textId="77777777" w:rsidR="002A4D61" w:rsidRPr="003C08A0" w:rsidRDefault="002A4D61" w:rsidP="002A4D61">
            <w:pPr>
              <w:jc w:val="center"/>
              <w:rPr>
                <w:rFonts w:ascii="Arial" w:hAnsi="Arial" w:cs="Arial"/>
                <w:sz w:val="16"/>
                <w:szCs w:val="16"/>
                <w:lang w:eastAsia="es-AR"/>
              </w:rPr>
            </w:pPr>
            <w:r w:rsidRPr="003C08A0">
              <w:rPr>
                <w:rFonts w:ascii="Arial" w:hAnsi="Arial" w:cs="Arial"/>
                <w:sz w:val="16"/>
                <w:szCs w:val="16"/>
                <w:lang w:eastAsia="es-AR"/>
              </w:rPr>
              <w:t> </w:t>
            </w:r>
          </w:p>
        </w:tc>
        <w:tc>
          <w:tcPr>
            <w:tcW w:w="1230" w:type="dxa"/>
            <w:tcBorders>
              <w:top w:val="single" w:sz="8" w:space="0" w:color="auto"/>
              <w:left w:val="nil"/>
              <w:bottom w:val="single" w:sz="8" w:space="0" w:color="auto"/>
              <w:right w:val="single" w:sz="8" w:space="0" w:color="auto"/>
            </w:tcBorders>
            <w:shd w:val="clear" w:color="000000" w:fill="D0CECE"/>
            <w:noWrap/>
            <w:vAlign w:val="bottom"/>
            <w:hideMark/>
          </w:tcPr>
          <w:p w14:paraId="5A06A724" w14:textId="77777777" w:rsidR="002A4D61" w:rsidRPr="003C08A0" w:rsidRDefault="002A4D61" w:rsidP="002A4D61">
            <w:pPr>
              <w:jc w:val="center"/>
              <w:rPr>
                <w:rFonts w:ascii="Arial" w:hAnsi="Arial" w:cs="Arial"/>
                <w:sz w:val="16"/>
                <w:szCs w:val="16"/>
                <w:lang w:eastAsia="es-AR"/>
              </w:rPr>
            </w:pPr>
            <w:r w:rsidRPr="003C08A0">
              <w:rPr>
                <w:rFonts w:ascii="Arial" w:hAnsi="Arial" w:cs="Arial"/>
                <w:sz w:val="16"/>
                <w:szCs w:val="16"/>
                <w:lang w:eastAsia="es-AR"/>
              </w:rPr>
              <w:t> </w:t>
            </w:r>
          </w:p>
        </w:tc>
        <w:tc>
          <w:tcPr>
            <w:tcW w:w="1226" w:type="dxa"/>
            <w:tcBorders>
              <w:top w:val="single" w:sz="8" w:space="0" w:color="auto"/>
              <w:left w:val="nil"/>
              <w:bottom w:val="single" w:sz="8" w:space="0" w:color="auto"/>
              <w:right w:val="nil"/>
            </w:tcBorders>
            <w:shd w:val="clear" w:color="000000" w:fill="D0CECE"/>
            <w:noWrap/>
            <w:vAlign w:val="bottom"/>
            <w:hideMark/>
          </w:tcPr>
          <w:p w14:paraId="4C46F84E" w14:textId="77777777" w:rsidR="002A4D61" w:rsidRPr="003C08A0" w:rsidRDefault="002A4D61" w:rsidP="002A4D61">
            <w:pPr>
              <w:rPr>
                <w:rFonts w:ascii="Arial" w:hAnsi="Arial" w:cs="Arial"/>
                <w:sz w:val="16"/>
                <w:szCs w:val="16"/>
                <w:lang w:eastAsia="es-AR"/>
              </w:rPr>
            </w:pPr>
            <w:r w:rsidRPr="003C08A0">
              <w:rPr>
                <w:rFonts w:ascii="Arial" w:hAnsi="Arial" w:cs="Arial"/>
                <w:sz w:val="16"/>
                <w:szCs w:val="16"/>
                <w:lang w:eastAsia="es-AR"/>
              </w:rPr>
              <w:t> </w:t>
            </w:r>
          </w:p>
        </w:tc>
        <w:tc>
          <w:tcPr>
            <w:tcW w:w="1226" w:type="dxa"/>
            <w:tcBorders>
              <w:top w:val="single" w:sz="8" w:space="0" w:color="auto"/>
              <w:left w:val="single" w:sz="8" w:space="0" w:color="auto"/>
              <w:bottom w:val="single" w:sz="8" w:space="0" w:color="auto"/>
              <w:right w:val="single" w:sz="8" w:space="0" w:color="auto"/>
            </w:tcBorders>
            <w:shd w:val="clear" w:color="000000" w:fill="D0CECE"/>
            <w:noWrap/>
            <w:vAlign w:val="bottom"/>
            <w:hideMark/>
          </w:tcPr>
          <w:p w14:paraId="59B09536" w14:textId="77777777" w:rsidR="002A4D61" w:rsidRPr="003C08A0" w:rsidRDefault="002A4D61" w:rsidP="002A4D61">
            <w:pPr>
              <w:rPr>
                <w:rFonts w:ascii="Arial" w:hAnsi="Arial" w:cs="Arial"/>
                <w:sz w:val="16"/>
                <w:szCs w:val="16"/>
                <w:lang w:eastAsia="es-AR"/>
              </w:rPr>
            </w:pPr>
            <w:r w:rsidRPr="003C08A0">
              <w:rPr>
                <w:rFonts w:ascii="Arial" w:hAnsi="Arial" w:cs="Arial"/>
                <w:sz w:val="16"/>
                <w:szCs w:val="16"/>
                <w:lang w:eastAsia="es-AR"/>
              </w:rPr>
              <w:t> </w:t>
            </w:r>
          </w:p>
        </w:tc>
        <w:tc>
          <w:tcPr>
            <w:tcW w:w="1229" w:type="dxa"/>
            <w:tcBorders>
              <w:top w:val="single" w:sz="8" w:space="0" w:color="auto"/>
              <w:left w:val="nil"/>
              <w:bottom w:val="single" w:sz="8" w:space="0" w:color="auto"/>
              <w:right w:val="single" w:sz="8" w:space="0" w:color="auto"/>
            </w:tcBorders>
            <w:shd w:val="clear" w:color="000000" w:fill="D0CECE"/>
            <w:noWrap/>
            <w:vAlign w:val="bottom"/>
            <w:hideMark/>
          </w:tcPr>
          <w:p w14:paraId="66592064" w14:textId="77777777" w:rsidR="002A4D61" w:rsidRPr="003C08A0" w:rsidRDefault="002A4D61" w:rsidP="002A4D61">
            <w:pPr>
              <w:rPr>
                <w:rFonts w:ascii="Arial" w:hAnsi="Arial" w:cs="Arial"/>
                <w:sz w:val="16"/>
                <w:szCs w:val="16"/>
                <w:lang w:eastAsia="es-AR"/>
              </w:rPr>
            </w:pPr>
            <w:r w:rsidRPr="003C08A0">
              <w:rPr>
                <w:rFonts w:ascii="Arial" w:hAnsi="Arial" w:cs="Arial"/>
                <w:sz w:val="16"/>
                <w:szCs w:val="16"/>
                <w:lang w:eastAsia="es-AR"/>
              </w:rPr>
              <w:t> </w:t>
            </w:r>
          </w:p>
        </w:tc>
      </w:tr>
      <w:tr w:rsidR="00553573" w:rsidRPr="003C08A0" w14:paraId="480B603B"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21D85B67"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Efectivo y Depósitos en Bancos</w:t>
            </w:r>
          </w:p>
        </w:tc>
        <w:tc>
          <w:tcPr>
            <w:tcW w:w="1228" w:type="dxa"/>
            <w:tcBorders>
              <w:top w:val="nil"/>
              <w:left w:val="single" w:sz="8" w:space="0" w:color="auto"/>
              <w:bottom w:val="single" w:sz="4" w:space="0" w:color="auto"/>
              <w:right w:val="nil"/>
            </w:tcBorders>
            <w:shd w:val="clear" w:color="auto" w:fill="auto"/>
            <w:noWrap/>
            <w:vAlign w:val="bottom"/>
          </w:tcPr>
          <w:p w14:paraId="0437459B" w14:textId="6CFAF6CF" w:rsidR="00553573" w:rsidRPr="003C08A0" w:rsidRDefault="00345293" w:rsidP="00553573">
            <w:pPr>
              <w:jc w:val="right"/>
              <w:rPr>
                <w:rFonts w:ascii="Arial" w:hAnsi="Arial" w:cs="Arial"/>
                <w:sz w:val="16"/>
                <w:szCs w:val="16"/>
                <w:lang w:val="es-ES_tradnl" w:eastAsia="es-AR"/>
              </w:rPr>
            </w:pPr>
            <w:r>
              <w:rPr>
                <w:rFonts w:ascii="Arial" w:hAnsi="Arial" w:cs="Arial"/>
                <w:sz w:val="16"/>
                <w:szCs w:val="16"/>
                <w:lang w:val="es-ES_tradnl" w:eastAsia="es-AR"/>
              </w:rPr>
              <w:t>25.</w:t>
            </w:r>
            <w:r w:rsidR="00622DC5">
              <w:rPr>
                <w:rFonts w:ascii="Arial" w:hAnsi="Arial" w:cs="Arial"/>
                <w:sz w:val="16"/>
                <w:szCs w:val="16"/>
                <w:lang w:val="es-ES_tradnl" w:eastAsia="es-AR"/>
              </w:rPr>
              <w:t>585.044</w:t>
            </w:r>
          </w:p>
        </w:tc>
        <w:tc>
          <w:tcPr>
            <w:tcW w:w="1300" w:type="dxa"/>
            <w:tcBorders>
              <w:top w:val="nil"/>
              <w:left w:val="single" w:sz="8" w:space="0" w:color="auto"/>
              <w:bottom w:val="single" w:sz="4" w:space="0" w:color="auto"/>
              <w:right w:val="single" w:sz="8" w:space="0" w:color="auto"/>
            </w:tcBorders>
            <w:shd w:val="clear" w:color="auto" w:fill="auto"/>
            <w:noWrap/>
            <w:vAlign w:val="bottom"/>
          </w:tcPr>
          <w:p w14:paraId="5775EDD9" w14:textId="72DB4A13"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623293EB" w14:textId="5BDB537B"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25.585.044</w:t>
            </w:r>
          </w:p>
        </w:tc>
        <w:tc>
          <w:tcPr>
            <w:tcW w:w="1226" w:type="dxa"/>
            <w:tcBorders>
              <w:top w:val="nil"/>
              <w:left w:val="nil"/>
              <w:bottom w:val="single" w:sz="4" w:space="0" w:color="auto"/>
              <w:right w:val="nil"/>
            </w:tcBorders>
            <w:shd w:val="clear" w:color="auto" w:fill="auto"/>
            <w:noWrap/>
            <w:vAlign w:val="bottom"/>
            <w:hideMark/>
          </w:tcPr>
          <w:p w14:paraId="49618266" w14:textId="168D6A74"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33.537.262</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3CD46FB4" w14:textId="1DA2C3C6"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3CCE0E67" w14:textId="2F9F227B"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33.537.262</w:t>
            </w:r>
          </w:p>
        </w:tc>
      </w:tr>
      <w:tr w:rsidR="00553573" w:rsidRPr="003C08A0" w14:paraId="3F078E1E"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noWrap/>
            <w:vAlign w:val="bottom"/>
            <w:hideMark/>
          </w:tcPr>
          <w:p w14:paraId="777796F7" w14:textId="77777777" w:rsidR="00553573" w:rsidRPr="003C08A0" w:rsidRDefault="00553573" w:rsidP="00553573">
            <w:pPr>
              <w:rPr>
                <w:rFonts w:ascii="Arial" w:hAnsi="Arial" w:cs="Arial"/>
                <w:sz w:val="16"/>
                <w:szCs w:val="16"/>
                <w:lang w:eastAsia="es-AR"/>
              </w:rPr>
            </w:pPr>
            <w:r w:rsidRPr="003C08A0">
              <w:rPr>
                <w:rFonts w:ascii="Arial" w:hAnsi="Arial" w:cs="Arial"/>
                <w:sz w:val="16"/>
                <w:szCs w:val="16"/>
                <w:lang w:eastAsia="es-AR"/>
              </w:rPr>
              <w:t xml:space="preserve">   Efectivo</w:t>
            </w:r>
          </w:p>
        </w:tc>
        <w:tc>
          <w:tcPr>
            <w:tcW w:w="1228" w:type="dxa"/>
            <w:tcBorders>
              <w:top w:val="nil"/>
              <w:left w:val="single" w:sz="8" w:space="0" w:color="auto"/>
              <w:bottom w:val="single" w:sz="4" w:space="0" w:color="auto"/>
              <w:right w:val="nil"/>
            </w:tcBorders>
            <w:shd w:val="clear" w:color="auto" w:fill="auto"/>
            <w:noWrap/>
            <w:vAlign w:val="bottom"/>
          </w:tcPr>
          <w:p w14:paraId="41E77246" w14:textId="13017774"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8.695.486</w:t>
            </w:r>
          </w:p>
        </w:tc>
        <w:tc>
          <w:tcPr>
            <w:tcW w:w="1300" w:type="dxa"/>
            <w:tcBorders>
              <w:top w:val="nil"/>
              <w:left w:val="single" w:sz="8" w:space="0" w:color="auto"/>
              <w:bottom w:val="single" w:sz="4" w:space="0" w:color="auto"/>
              <w:right w:val="single" w:sz="8" w:space="0" w:color="auto"/>
            </w:tcBorders>
            <w:shd w:val="clear" w:color="auto" w:fill="auto"/>
            <w:noWrap/>
            <w:vAlign w:val="bottom"/>
          </w:tcPr>
          <w:p w14:paraId="6717BAAC" w14:textId="3A505EC8"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1461511F" w14:textId="232B0B9D"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8.695.486</w:t>
            </w:r>
          </w:p>
        </w:tc>
        <w:tc>
          <w:tcPr>
            <w:tcW w:w="1226" w:type="dxa"/>
            <w:tcBorders>
              <w:top w:val="nil"/>
              <w:left w:val="nil"/>
              <w:bottom w:val="single" w:sz="4" w:space="0" w:color="auto"/>
              <w:right w:val="nil"/>
            </w:tcBorders>
            <w:shd w:val="clear" w:color="auto" w:fill="auto"/>
            <w:noWrap/>
            <w:vAlign w:val="bottom"/>
            <w:hideMark/>
          </w:tcPr>
          <w:p w14:paraId="7471D6AB" w14:textId="5573C04B"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4.739.362</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4E45581B" w14:textId="55DBB622"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5551D28F" w14:textId="0528452C"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4.739.362</w:t>
            </w:r>
          </w:p>
        </w:tc>
      </w:tr>
      <w:tr w:rsidR="00553573" w:rsidRPr="003C08A0" w14:paraId="76DA88C6"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noWrap/>
            <w:vAlign w:val="bottom"/>
            <w:hideMark/>
          </w:tcPr>
          <w:p w14:paraId="1FE3EA65" w14:textId="77777777" w:rsidR="00553573" w:rsidRPr="003C08A0" w:rsidRDefault="00553573" w:rsidP="00553573">
            <w:pPr>
              <w:rPr>
                <w:rFonts w:ascii="Arial" w:hAnsi="Arial" w:cs="Arial"/>
                <w:sz w:val="16"/>
                <w:szCs w:val="16"/>
                <w:lang w:eastAsia="es-AR"/>
              </w:rPr>
            </w:pPr>
            <w:r w:rsidRPr="003C08A0">
              <w:rPr>
                <w:rFonts w:ascii="Arial" w:hAnsi="Arial" w:cs="Arial"/>
                <w:sz w:val="16"/>
                <w:szCs w:val="16"/>
                <w:lang w:eastAsia="es-AR"/>
              </w:rPr>
              <w:t xml:space="preserve">   Entidades Financieras y corresponsales</w:t>
            </w:r>
          </w:p>
        </w:tc>
        <w:tc>
          <w:tcPr>
            <w:tcW w:w="1228" w:type="dxa"/>
            <w:tcBorders>
              <w:top w:val="nil"/>
              <w:left w:val="single" w:sz="8" w:space="0" w:color="auto"/>
              <w:bottom w:val="single" w:sz="4" w:space="0" w:color="auto"/>
              <w:right w:val="nil"/>
            </w:tcBorders>
            <w:shd w:val="clear" w:color="auto" w:fill="auto"/>
            <w:noWrap/>
            <w:vAlign w:val="bottom"/>
          </w:tcPr>
          <w:p w14:paraId="05A3E1D6" w14:textId="456941C1"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300" w:type="dxa"/>
            <w:tcBorders>
              <w:top w:val="nil"/>
              <w:left w:val="single" w:sz="8" w:space="0" w:color="auto"/>
              <w:bottom w:val="single" w:sz="4" w:space="0" w:color="auto"/>
              <w:right w:val="single" w:sz="8" w:space="0" w:color="auto"/>
            </w:tcBorders>
            <w:shd w:val="clear" w:color="auto" w:fill="auto"/>
            <w:noWrap/>
            <w:vAlign w:val="bottom"/>
          </w:tcPr>
          <w:p w14:paraId="7B1B8A9B" w14:textId="720C5A08"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6AA16187" w14:textId="5EE6EBB3"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26" w:type="dxa"/>
            <w:tcBorders>
              <w:top w:val="nil"/>
              <w:left w:val="nil"/>
              <w:bottom w:val="single" w:sz="4" w:space="0" w:color="auto"/>
              <w:right w:val="nil"/>
            </w:tcBorders>
            <w:shd w:val="clear" w:color="auto" w:fill="auto"/>
            <w:noWrap/>
            <w:vAlign w:val="bottom"/>
          </w:tcPr>
          <w:p w14:paraId="4C2776BF" w14:textId="77777777" w:rsidR="00553573" w:rsidRPr="003C08A0" w:rsidRDefault="00553573" w:rsidP="00553573">
            <w:pPr>
              <w:jc w:val="right"/>
              <w:rPr>
                <w:rFonts w:ascii="Arial" w:hAnsi="Arial" w:cs="Arial"/>
                <w:sz w:val="16"/>
                <w:szCs w:val="16"/>
                <w:lang w:val="es-ES_tradnl" w:eastAsia="es-AR"/>
              </w:rPr>
            </w:pPr>
          </w:p>
        </w:tc>
        <w:tc>
          <w:tcPr>
            <w:tcW w:w="1226" w:type="dxa"/>
            <w:tcBorders>
              <w:top w:val="nil"/>
              <w:left w:val="single" w:sz="8" w:space="0" w:color="auto"/>
              <w:bottom w:val="single" w:sz="4" w:space="0" w:color="auto"/>
              <w:right w:val="single" w:sz="8" w:space="0" w:color="auto"/>
            </w:tcBorders>
            <w:shd w:val="clear" w:color="auto" w:fill="auto"/>
            <w:noWrap/>
            <w:vAlign w:val="bottom"/>
          </w:tcPr>
          <w:p w14:paraId="21035D26" w14:textId="77777777" w:rsidR="00553573" w:rsidRPr="003C08A0" w:rsidRDefault="00553573" w:rsidP="00553573">
            <w:pPr>
              <w:jc w:val="right"/>
              <w:rPr>
                <w:rFonts w:ascii="Arial" w:hAnsi="Arial" w:cs="Arial"/>
                <w:sz w:val="16"/>
                <w:szCs w:val="16"/>
                <w:lang w:val="es-ES_tradnl" w:eastAsia="es-AR"/>
              </w:rPr>
            </w:pPr>
          </w:p>
        </w:tc>
        <w:tc>
          <w:tcPr>
            <w:tcW w:w="1229" w:type="dxa"/>
            <w:tcBorders>
              <w:top w:val="nil"/>
              <w:left w:val="nil"/>
              <w:bottom w:val="single" w:sz="4" w:space="0" w:color="auto"/>
              <w:right w:val="single" w:sz="8" w:space="0" w:color="auto"/>
            </w:tcBorders>
            <w:shd w:val="clear" w:color="auto" w:fill="auto"/>
            <w:noWrap/>
            <w:vAlign w:val="bottom"/>
          </w:tcPr>
          <w:p w14:paraId="19193387" w14:textId="77777777" w:rsidR="00553573" w:rsidRPr="003C08A0" w:rsidRDefault="00553573" w:rsidP="00553573">
            <w:pPr>
              <w:jc w:val="right"/>
              <w:rPr>
                <w:rFonts w:ascii="Arial" w:hAnsi="Arial" w:cs="Arial"/>
                <w:sz w:val="16"/>
                <w:szCs w:val="16"/>
                <w:lang w:val="es-ES_tradnl" w:eastAsia="es-AR"/>
              </w:rPr>
            </w:pPr>
          </w:p>
        </w:tc>
      </w:tr>
      <w:tr w:rsidR="00553573" w:rsidRPr="003C08A0" w14:paraId="746D0600"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noWrap/>
            <w:vAlign w:val="bottom"/>
            <w:hideMark/>
          </w:tcPr>
          <w:p w14:paraId="38BDFFC1" w14:textId="77777777" w:rsidR="00553573" w:rsidRPr="003C08A0" w:rsidRDefault="00553573" w:rsidP="00553573">
            <w:pPr>
              <w:rPr>
                <w:rFonts w:ascii="Arial" w:hAnsi="Arial" w:cs="Arial"/>
                <w:sz w:val="16"/>
                <w:szCs w:val="16"/>
                <w:lang w:eastAsia="es-AR"/>
              </w:rPr>
            </w:pPr>
            <w:r w:rsidRPr="003C08A0">
              <w:rPr>
                <w:rFonts w:ascii="Arial" w:hAnsi="Arial" w:cs="Arial"/>
                <w:sz w:val="16"/>
                <w:szCs w:val="16"/>
                <w:lang w:eastAsia="es-AR"/>
              </w:rPr>
              <w:t xml:space="preserve">      BCRA</w:t>
            </w:r>
          </w:p>
        </w:tc>
        <w:tc>
          <w:tcPr>
            <w:tcW w:w="1228" w:type="dxa"/>
            <w:tcBorders>
              <w:top w:val="nil"/>
              <w:left w:val="single" w:sz="8" w:space="0" w:color="auto"/>
              <w:bottom w:val="single" w:sz="4" w:space="0" w:color="auto"/>
              <w:right w:val="nil"/>
            </w:tcBorders>
            <w:shd w:val="clear" w:color="auto" w:fill="auto"/>
            <w:noWrap/>
            <w:vAlign w:val="bottom"/>
          </w:tcPr>
          <w:p w14:paraId="6C095146" w14:textId="719DA550"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15.806.426</w:t>
            </w:r>
          </w:p>
        </w:tc>
        <w:tc>
          <w:tcPr>
            <w:tcW w:w="1300" w:type="dxa"/>
            <w:tcBorders>
              <w:top w:val="nil"/>
              <w:left w:val="single" w:sz="8" w:space="0" w:color="auto"/>
              <w:bottom w:val="single" w:sz="4" w:space="0" w:color="auto"/>
              <w:right w:val="single" w:sz="8" w:space="0" w:color="auto"/>
            </w:tcBorders>
            <w:shd w:val="clear" w:color="auto" w:fill="auto"/>
            <w:noWrap/>
            <w:vAlign w:val="bottom"/>
          </w:tcPr>
          <w:p w14:paraId="3C7FD32E" w14:textId="47DBDC48"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0ED56328" w14:textId="111AEBBB"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15.806.426</w:t>
            </w:r>
          </w:p>
        </w:tc>
        <w:tc>
          <w:tcPr>
            <w:tcW w:w="1226" w:type="dxa"/>
            <w:tcBorders>
              <w:top w:val="nil"/>
              <w:left w:val="nil"/>
              <w:bottom w:val="single" w:sz="4" w:space="0" w:color="auto"/>
              <w:right w:val="nil"/>
            </w:tcBorders>
            <w:shd w:val="clear" w:color="auto" w:fill="auto"/>
            <w:noWrap/>
            <w:vAlign w:val="bottom"/>
            <w:hideMark/>
          </w:tcPr>
          <w:p w14:paraId="2B49A809" w14:textId="11870465"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27.388.784</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43C02514" w14:textId="0431D68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3D5B58DE" w14:textId="404CFD8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27.388.784</w:t>
            </w:r>
          </w:p>
        </w:tc>
      </w:tr>
      <w:tr w:rsidR="00553573" w:rsidRPr="003C08A0" w14:paraId="2FDADE1F"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noWrap/>
            <w:vAlign w:val="bottom"/>
            <w:hideMark/>
          </w:tcPr>
          <w:p w14:paraId="158C2789" w14:textId="77777777" w:rsidR="00553573" w:rsidRPr="003C08A0" w:rsidRDefault="00553573" w:rsidP="00553573">
            <w:pPr>
              <w:rPr>
                <w:rFonts w:ascii="Arial" w:hAnsi="Arial" w:cs="Arial"/>
                <w:sz w:val="16"/>
                <w:szCs w:val="16"/>
                <w:lang w:eastAsia="es-AR"/>
              </w:rPr>
            </w:pPr>
            <w:r w:rsidRPr="003C08A0">
              <w:rPr>
                <w:rFonts w:ascii="Arial" w:hAnsi="Arial" w:cs="Arial"/>
                <w:sz w:val="16"/>
                <w:szCs w:val="16"/>
                <w:lang w:eastAsia="es-AR"/>
              </w:rPr>
              <w:t xml:space="preserve">      Otras del país y del exterior</w:t>
            </w:r>
          </w:p>
        </w:tc>
        <w:tc>
          <w:tcPr>
            <w:tcW w:w="1228" w:type="dxa"/>
            <w:tcBorders>
              <w:top w:val="nil"/>
              <w:left w:val="single" w:sz="8" w:space="0" w:color="auto"/>
              <w:bottom w:val="single" w:sz="4" w:space="0" w:color="auto"/>
              <w:right w:val="nil"/>
            </w:tcBorders>
            <w:shd w:val="clear" w:color="auto" w:fill="auto"/>
            <w:noWrap/>
            <w:vAlign w:val="bottom"/>
          </w:tcPr>
          <w:p w14:paraId="3CD57E39" w14:textId="2CA535B2"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1.053.222</w:t>
            </w:r>
          </w:p>
        </w:tc>
        <w:tc>
          <w:tcPr>
            <w:tcW w:w="1300" w:type="dxa"/>
            <w:tcBorders>
              <w:top w:val="nil"/>
              <w:left w:val="single" w:sz="8" w:space="0" w:color="auto"/>
              <w:bottom w:val="single" w:sz="4" w:space="0" w:color="auto"/>
              <w:right w:val="single" w:sz="8" w:space="0" w:color="auto"/>
            </w:tcBorders>
            <w:shd w:val="clear" w:color="auto" w:fill="auto"/>
            <w:noWrap/>
            <w:vAlign w:val="bottom"/>
          </w:tcPr>
          <w:p w14:paraId="6558272C" w14:textId="5909B3DF"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01E3B45B" w14:textId="407D97EB"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1.053.222</w:t>
            </w:r>
          </w:p>
        </w:tc>
        <w:tc>
          <w:tcPr>
            <w:tcW w:w="1226" w:type="dxa"/>
            <w:tcBorders>
              <w:top w:val="nil"/>
              <w:left w:val="nil"/>
              <w:bottom w:val="single" w:sz="4" w:space="0" w:color="auto"/>
              <w:right w:val="nil"/>
            </w:tcBorders>
            <w:shd w:val="clear" w:color="auto" w:fill="auto"/>
            <w:noWrap/>
            <w:vAlign w:val="bottom"/>
            <w:hideMark/>
          </w:tcPr>
          <w:p w14:paraId="178AB3B8" w14:textId="1E9BFE26"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1.398.717</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3F1D5736" w14:textId="6514892A"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63A79A64" w14:textId="0A0621DF"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1.398.717</w:t>
            </w:r>
          </w:p>
        </w:tc>
      </w:tr>
      <w:tr w:rsidR="00553573" w:rsidRPr="003C08A0" w14:paraId="53788257"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noWrap/>
            <w:vAlign w:val="bottom"/>
            <w:hideMark/>
          </w:tcPr>
          <w:p w14:paraId="7A882566" w14:textId="77777777" w:rsidR="00553573" w:rsidRPr="003C08A0" w:rsidRDefault="00553573" w:rsidP="00553573">
            <w:pPr>
              <w:rPr>
                <w:rFonts w:ascii="Arial" w:hAnsi="Arial" w:cs="Arial"/>
                <w:sz w:val="16"/>
                <w:szCs w:val="16"/>
                <w:lang w:eastAsia="es-AR"/>
              </w:rPr>
            </w:pPr>
            <w:r w:rsidRPr="003C08A0">
              <w:rPr>
                <w:rFonts w:ascii="Arial" w:hAnsi="Arial" w:cs="Arial"/>
                <w:sz w:val="16"/>
                <w:szCs w:val="16"/>
                <w:lang w:eastAsia="es-AR"/>
              </w:rPr>
              <w:t xml:space="preserve">   Otros</w:t>
            </w:r>
          </w:p>
        </w:tc>
        <w:tc>
          <w:tcPr>
            <w:tcW w:w="1228" w:type="dxa"/>
            <w:tcBorders>
              <w:top w:val="nil"/>
              <w:left w:val="single" w:sz="8" w:space="0" w:color="auto"/>
              <w:bottom w:val="single" w:sz="4" w:space="0" w:color="auto"/>
              <w:right w:val="nil"/>
            </w:tcBorders>
            <w:shd w:val="clear" w:color="auto" w:fill="auto"/>
            <w:noWrap/>
            <w:vAlign w:val="bottom"/>
          </w:tcPr>
          <w:p w14:paraId="540FA799" w14:textId="440CF338"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29.910</w:t>
            </w:r>
          </w:p>
        </w:tc>
        <w:tc>
          <w:tcPr>
            <w:tcW w:w="1300" w:type="dxa"/>
            <w:tcBorders>
              <w:top w:val="nil"/>
              <w:left w:val="single" w:sz="8" w:space="0" w:color="auto"/>
              <w:bottom w:val="single" w:sz="4" w:space="0" w:color="auto"/>
              <w:right w:val="single" w:sz="8" w:space="0" w:color="auto"/>
            </w:tcBorders>
            <w:shd w:val="clear" w:color="auto" w:fill="auto"/>
            <w:noWrap/>
            <w:vAlign w:val="bottom"/>
          </w:tcPr>
          <w:p w14:paraId="779D87FF" w14:textId="3FDB96DE"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717745A8" w14:textId="61055E49"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29.910</w:t>
            </w:r>
          </w:p>
        </w:tc>
        <w:tc>
          <w:tcPr>
            <w:tcW w:w="1226" w:type="dxa"/>
            <w:tcBorders>
              <w:top w:val="nil"/>
              <w:left w:val="nil"/>
              <w:bottom w:val="single" w:sz="4" w:space="0" w:color="auto"/>
              <w:right w:val="nil"/>
            </w:tcBorders>
            <w:shd w:val="clear" w:color="auto" w:fill="auto"/>
            <w:noWrap/>
            <w:vAlign w:val="bottom"/>
            <w:hideMark/>
          </w:tcPr>
          <w:p w14:paraId="07B84056" w14:textId="59B4C2BC"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10.399</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4288D1EC" w14:textId="2FA1D4C9"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15EA2ACC" w14:textId="641C6D63"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10.399</w:t>
            </w:r>
          </w:p>
        </w:tc>
      </w:tr>
      <w:tr w:rsidR="00553573" w:rsidRPr="003C08A0" w14:paraId="016EC05A" w14:textId="77777777" w:rsidTr="00553573">
        <w:trPr>
          <w:trHeight w:val="379"/>
          <w:jc w:val="center"/>
        </w:trPr>
        <w:tc>
          <w:tcPr>
            <w:tcW w:w="3545" w:type="dxa"/>
            <w:tcBorders>
              <w:top w:val="nil"/>
              <w:left w:val="single" w:sz="8" w:space="0" w:color="auto"/>
              <w:bottom w:val="single" w:sz="4" w:space="0" w:color="auto"/>
              <w:right w:val="nil"/>
            </w:tcBorders>
            <w:shd w:val="clear" w:color="auto" w:fill="auto"/>
            <w:vAlign w:val="bottom"/>
            <w:hideMark/>
          </w:tcPr>
          <w:p w14:paraId="512D2037"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Títulos de deuda a valor razonable con cambios en resultados</w:t>
            </w:r>
          </w:p>
        </w:tc>
        <w:tc>
          <w:tcPr>
            <w:tcW w:w="1228" w:type="dxa"/>
            <w:tcBorders>
              <w:top w:val="nil"/>
              <w:left w:val="single" w:sz="8" w:space="0" w:color="auto"/>
              <w:bottom w:val="single" w:sz="4" w:space="0" w:color="auto"/>
              <w:right w:val="nil"/>
            </w:tcBorders>
            <w:shd w:val="clear" w:color="auto" w:fill="auto"/>
            <w:noWrap/>
            <w:vAlign w:val="bottom"/>
          </w:tcPr>
          <w:p w14:paraId="4B39CB4D" w14:textId="7EAE3447"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312.306</w:t>
            </w:r>
          </w:p>
        </w:tc>
        <w:tc>
          <w:tcPr>
            <w:tcW w:w="1300" w:type="dxa"/>
            <w:tcBorders>
              <w:top w:val="nil"/>
              <w:left w:val="single" w:sz="8" w:space="0" w:color="auto"/>
              <w:bottom w:val="single" w:sz="4" w:space="0" w:color="auto"/>
              <w:right w:val="single" w:sz="8" w:space="0" w:color="auto"/>
            </w:tcBorders>
            <w:shd w:val="clear" w:color="auto" w:fill="auto"/>
            <w:noWrap/>
            <w:vAlign w:val="bottom"/>
          </w:tcPr>
          <w:p w14:paraId="03392357" w14:textId="7C189148"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420D7654" w14:textId="7DC435BD"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312.306</w:t>
            </w:r>
          </w:p>
        </w:tc>
        <w:tc>
          <w:tcPr>
            <w:tcW w:w="1226" w:type="dxa"/>
            <w:tcBorders>
              <w:top w:val="nil"/>
              <w:left w:val="nil"/>
              <w:bottom w:val="single" w:sz="4" w:space="0" w:color="auto"/>
              <w:right w:val="nil"/>
            </w:tcBorders>
            <w:shd w:val="clear" w:color="auto" w:fill="auto"/>
            <w:noWrap/>
            <w:vAlign w:val="bottom"/>
            <w:hideMark/>
          </w:tcPr>
          <w:p w14:paraId="1981576D" w14:textId="7E5A2653"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14.941.290</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1203B217" w14:textId="5894265F"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32D3C664" w14:textId="40B7754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14.941.290</w:t>
            </w:r>
          </w:p>
        </w:tc>
      </w:tr>
      <w:tr w:rsidR="00553573" w:rsidRPr="003C08A0" w14:paraId="4E38552C"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10D5DDE4"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 xml:space="preserve">Instrumentos derivados </w:t>
            </w:r>
          </w:p>
        </w:tc>
        <w:tc>
          <w:tcPr>
            <w:tcW w:w="1228" w:type="dxa"/>
            <w:tcBorders>
              <w:top w:val="nil"/>
              <w:left w:val="single" w:sz="8" w:space="0" w:color="auto"/>
              <w:bottom w:val="single" w:sz="4" w:space="0" w:color="auto"/>
              <w:right w:val="nil"/>
            </w:tcBorders>
            <w:shd w:val="clear" w:color="auto" w:fill="auto"/>
            <w:noWrap/>
            <w:vAlign w:val="bottom"/>
          </w:tcPr>
          <w:p w14:paraId="77AE3936" w14:textId="182116BB"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257.587</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71D5B999" w14:textId="4871C57F"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2F3E173F" w14:textId="07E09DA4"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257.587</w:t>
            </w:r>
          </w:p>
        </w:tc>
        <w:tc>
          <w:tcPr>
            <w:tcW w:w="1226" w:type="dxa"/>
            <w:tcBorders>
              <w:top w:val="nil"/>
              <w:left w:val="nil"/>
              <w:bottom w:val="single" w:sz="4" w:space="0" w:color="auto"/>
              <w:right w:val="nil"/>
            </w:tcBorders>
            <w:shd w:val="clear" w:color="auto" w:fill="auto"/>
            <w:noWrap/>
            <w:vAlign w:val="bottom"/>
            <w:hideMark/>
          </w:tcPr>
          <w:p w14:paraId="7C0E9EAE" w14:textId="24B1A5D7"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15.924</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57EA6E66" w14:textId="38B5D9E0"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579A1C30" w14:textId="0E79E807"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15.924</w:t>
            </w:r>
          </w:p>
        </w:tc>
      </w:tr>
      <w:tr w:rsidR="00553573" w:rsidRPr="003C08A0" w14:paraId="5782A4E9"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62285CDD"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 xml:space="preserve">Operaciones de pase  </w:t>
            </w:r>
          </w:p>
        </w:tc>
        <w:tc>
          <w:tcPr>
            <w:tcW w:w="1228" w:type="dxa"/>
            <w:tcBorders>
              <w:top w:val="nil"/>
              <w:left w:val="single" w:sz="8" w:space="0" w:color="auto"/>
              <w:bottom w:val="single" w:sz="4" w:space="0" w:color="auto"/>
              <w:right w:val="nil"/>
            </w:tcBorders>
            <w:shd w:val="clear" w:color="auto" w:fill="auto"/>
            <w:noWrap/>
            <w:vAlign w:val="bottom"/>
          </w:tcPr>
          <w:p w14:paraId="417F68FF" w14:textId="4F0C5765"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4FEBC8E4" w14:textId="2781AE16"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2386ACE5" w14:textId="35004727"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26" w:type="dxa"/>
            <w:tcBorders>
              <w:top w:val="nil"/>
              <w:left w:val="nil"/>
              <w:bottom w:val="single" w:sz="4" w:space="0" w:color="auto"/>
              <w:right w:val="nil"/>
            </w:tcBorders>
            <w:shd w:val="clear" w:color="auto" w:fill="auto"/>
            <w:noWrap/>
            <w:vAlign w:val="bottom"/>
            <w:hideMark/>
          </w:tcPr>
          <w:p w14:paraId="00A38D69" w14:textId="6D88F0A3"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1D749BCF" w14:textId="2B1A175A"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1D8A238D" w14:textId="1AF9FF7A"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r>
      <w:tr w:rsidR="00553573" w:rsidRPr="003C08A0" w14:paraId="1EE5170C"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49FD682E"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 xml:space="preserve">Otros activos financieros </w:t>
            </w:r>
          </w:p>
        </w:tc>
        <w:tc>
          <w:tcPr>
            <w:tcW w:w="1228" w:type="dxa"/>
            <w:tcBorders>
              <w:top w:val="nil"/>
              <w:left w:val="single" w:sz="8" w:space="0" w:color="auto"/>
              <w:bottom w:val="single" w:sz="4" w:space="0" w:color="auto"/>
              <w:right w:val="nil"/>
            </w:tcBorders>
            <w:shd w:val="clear" w:color="auto" w:fill="auto"/>
            <w:noWrap/>
            <w:vAlign w:val="bottom"/>
          </w:tcPr>
          <w:p w14:paraId="199293AA" w14:textId="69E8021A"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679.997</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2737AA44" w14:textId="04A57D2F"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1D8BAD73" w14:textId="60A58723"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679.997</w:t>
            </w:r>
          </w:p>
        </w:tc>
        <w:tc>
          <w:tcPr>
            <w:tcW w:w="1226" w:type="dxa"/>
            <w:tcBorders>
              <w:top w:val="nil"/>
              <w:left w:val="nil"/>
              <w:bottom w:val="single" w:sz="4" w:space="0" w:color="auto"/>
              <w:right w:val="nil"/>
            </w:tcBorders>
            <w:shd w:val="clear" w:color="auto" w:fill="auto"/>
            <w:noWrap/>
            <w:vAlign w:val="bottom"/>
            <w:hideMark/>
          </w:tcPr>
          <w:p w14:paraId="1289D7D7" w14:textId="114E91DC"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699.631</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4D2A1C63" w14:textId="097BAB1A"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638FCE2A" w14:textId="391D218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699.631</w:t>
            </w:r>
          </w:p>
        </w:tc>
      </w:tr>
      <w:tr w:rsidR="00553573" w:rsidRPr="003C08A0" w14:paraId="61F599CF"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55B1EF84"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 xml:space="preserve">Préstamos y otras financiaciones </w:t>
            </w:r>
          </w:p>
        </w:tc>
        <w:tc>
          <w:tcPr>
            <w:tcW w:w="1228" w:type="dxa"/>
            <w:tcBorders>
              <w:top w:val="nil"/>
              <w:left w:val="single" w:sz="8" w:space="0" w:color="auto"/>
              <w:bottom w:val="single" w:sz="4" w:space="0" w:color="auto"/>
              <w:right w:val="nil"/>
            </w:tcBorders>
            <w:shd w:val="clear" w:color="auto" w:fill="auto"/>
            <w:noWrap/>
            <w:vAlign w:val="bottom"/>
          </w:tcPr>
          <w:p w14:paraId="263E71B9" w14:textId="24879E90"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57.846.518</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449D86B8" w14:textId="74F75070"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26.182.92</w:t>
            </w:r>
            <w:r w:rsidR="00CE6EC4">
              <w:rPr>
                <w:rFonts w:ascii="Arial" w:hAnsi="Arial" w:cs="Arial"/>
                <w:sz w:val="16"/>
                <w:szCs w:val="16"/>
                <w:lang w:val="es-ES_tradnl" w:eastAsia="es-AR"/>
              </w:rPr>
              <w:t>1</w:t>
            </w:r>
          </w:p>
        </w:tc>
        <w:tc>
          <w:tcPr>
            <w:tcW w:w="1230" w:type="dxa"/>
            <w:tcBorders>
              <w:top w:val="nil"/>
              <w:left w:val="nil"/>
              <w:bottom w:val="single" w:sz="4" w:space="0" w:color="auto"/>
              <w:right w:val="single" w:sz="8" w:space="0" w:color="auto"/>
            </w:tcBorders>
            <w:shd w:val="clear" w:color="auto" w:fill="auto"/>
            <w:noWrap/>
            <w:vAlign w:val="bottom"/>
          </w:tcPr>
          <w:p w14:paraId="6A4629BE" w14:textId="4ED5D717"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84.029.43</w:t>
            </w:r>
            <w:r w:rsidR="00CE6EC4">
              <w:rPr>
                <w:rFonts w:ascii="Arial" w:hAnsi="Arial" w:cs="Arial"/>
                <w:sz w:val="16"/>
                <w:szCs w:val="16"/>
                <w:lang w:val="es-ES_tradnl" w:eastAsia="es-AR"/>
              </w:rPr>
              <w:t>9</w:t>
            </w:r>
          </w:p>
        </w:tc>
        <w:tc>
          <w:tcPr>
            <w:tcW w:w="1226" w:type="dxa"/>
            <w:tcBorders>
              <w:top w:val="nil"/>
              <w:left w:val="nil"/>
              <w:bottom w:val="single" w:sz="4" w:space="0" w:color="auto"/>
              <w:right w:val="nil"/>
            </w:tcBorders>
            <w:shd w:val="clear" w:color="auto" w:fill="auto"/>
            <w:noWrap/>
            <w:vAlign w:val="bottom"/>
            <w:hideMark/>
          </w:tcPr>
          <w:p w14:paraId="20BC4341" w14:textId="00E41EEB"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54.646.265</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716CD74C" w14:textId="17F1C23D"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18.219.389</w:t>
            </w:r>
          </w:p>
        </w:tc>
        <w:tc>
          <w:tcPr>
            <w:tcW w:w="1229" w:type="dxa"/>
            <w:tcBorders>
              <w:top w:val="nil"/>
              <w:left w:val="nil"/>
              <w:bottom w:val="single" w:sz="4" w:space="0" w:color="auto"/>
              <w:right w:val="single" w:sz="8" w:space="0" w:color="auto"/>
            </w:tcBorders>
            <w:shd w:val="clear" w:color="auto" w:fill="auto"/>
            <w:noWrap/>
            <w:vAlign w:val="bottom"/>
            <w:hideMark/>
          </w:tcPr>
          <w:p w14:paraId="778C71C5" w14:textId="3B4DFAB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72.865.654</w:t>
            </w:r>
          </w:p>
        </w:tc>
      </w:tr>
      <w:tr w:rsidR="00553573" w:rsidRPr="003C08A0" w14:paraId="6293F8B7" w14:textId="77777777" w:rsidTr="00553573">
        <w:trPr>
          <w:trHeight w:val="239"/>
          <w:jc w:val="center"/>
        </w:trPr>
        <w:tc>
          <w:tcPr>
            <w:tcW w:w="3545" w:type="dxa"/>
            <w:tcBorders>
              <w:top w:val="single" w:sz="4" w:space="0" w:color="auto"/>
              <w:left w:val="single" w:sz="8" w:space="0" w:color="auto"/>
              <w:bottom w:val="single" w:sz="4" w:space="0" w:color="auto"/>
              <w:right w:val="nil"/>
            </w:tcBorders>
            <w:shd w:val="clear" w:color="auto" w:fill="auto"/>
            <w:noWrap/>
            <w:vAlign w:val="bottom"/>
            <w:hideMark/>
          </w:tcPr>
          <w:p w14:paraId="261A9529" w14:textId="77777777" w:rsidR="00553573" w:rsidRPr="003C08A0" w:rsidRDefault="00553573" w:rsidP="00553573">
            <w:pPr>
              <w:rPr>
                <w:rFonts w:ascii="Arial" w:hAnsi="Arial" w:cs="Arial"/>
                <w:sz w:val="16"/>
                <w:szCs w:val="16"/>
                <w:lang w:eastAsia="es-AR"/>
              </w:rPr>
            </w:pPr>
            <w:r w:rsidRPr="003C08A0">
              <w:rPr>
                <w:rFonts w:ascii="Arial" w:hAnsi="Arial" w:cs="Arial"/>
                <w:sz w:val="16"/>
                <w:szCs w:val="16"/>
                <w:lang w:eastAsia="es-AR"/>
              </w:rPr>
              <w:t xml:space="preserve">   Sector público no financiero</w:t>
            </w:r>
          </w:p>
        </w:tc>
        <w:tc>
          <w:tcPr>
            <w:tcW w:w="1228" w:type="dxa"/>
            <w:tcBorders>
              <w:top w:val="single" w:sz="4" w:space="0" w:color="auto"/>
              <w:left w:val="single" w:sz="8" w:space="0" w:color="auto"/>
              <w:bottom w:val="single" w:sz="4" w:space="0" w:color="auto"/>
              <w:right w:val="nil"/>
            </w:tcBorders>
            <w:shd w:val="clear" w:color="auto" w:fill="auto"/>
            <w:noWrap/>
            <w:vAlign w:val="bottom"/>
          </w:tcPr>
          <w:p w14:paraId="64D8FC24" w14:textId="27BBF5B1"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7.020</w:t>
            </w:r>
          </w:p>
        </w:tc>
        <w:tc>
          <w:tcPr>
            <w:tcW w:w="1300" w:type="dxa"/>
            <w:tcBorders>
              <w:top w:val="single" w:sz="4" w:space="0" w:color="auto"/>
              <w:left w:val="single" w:sz="8" w:space="0" w:color="auto"/>
              <w:bottom w:val="single" w:sz="4" w:space="0" w:color="auto"/>
              <w:right w:val="single" w:sz="8" w:space="0" w:color="auto"/>
            </w:tcBorders>
            <w:shd w:val="clear" w:color="000000" w:fill="FFFFFF"/>
            <w:noWrap/>
            <w:vAlign w:val="bottom"/>
          </w:tcPr>
          <w:p w14:paraId="734DDE65" w14:textId="6DEAECE9"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21.852</w:t>
            </w:r>
          </w:p>
        </w:tc>
        <w:tc>
          <w:tcPr>
            <w:tcW w:w="1230" w:type="dxa"/>
            <w:tcBorders>
              <w:top w:val="nil"/>
              <w:left w:val="nil"/>
              <w:bottom w:val="single" w:sz="4" w:space="0" w:color="auto"/>
              <w:right w:val="single" w:sz="8" w:space="0" w:color="auto"/>
            </w:tcBorders>
            <w:shd w:val="clear" w:color="auto" w:fill="auto"/>
            <w:noWrap/>
            <w:vAlign w:val="bottom"/>
          </w:tcPr>
          <w:p w14:paraId="0D59C96C" w14:textId="0CB75714"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28.872</w:t>
            </w:r>
          </w:p>
        </w:tc>
        <w:tc>
          <w:tcPr>
            <w:tcW w:w="1226" w:type="dxa"/>
            <w:tcBorders>
              <w:top w:val="nil"/>
              <w:left w:val="nil"/>
              <w:bottom w:val="single" w:sz="4" w:space="0" w:color="auto"/>
              <w:right w:val="nil"/>
            </w:tcBorders>
            <w:shd w:val="clear" w:color="auto" w:fill="auto"/>
            <w:noWrap/>
            <w:vAlign w:val="bottom"/>
            <w:hideMark/>
          </w:tcPr>
          <w:p w14:paraId="4890EA1C" w14:textId="441F38D6"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7.526</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7A71FEA6" w14:textId="74C18D5A"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25.276</w:t>
            </w:r>
          </w:p>
        </w:tc>
        <w:tc>
          <w:tcPr>
            <w:tcW w:w="1229" w:type="dxa"/>
            <w:tcBorders>
              <w:top w:val="nil"/>
              <w:left w:val="nil"/>
              <w:bottom w:val="single" w:sz="4" w:space="0" w:color="auto"/>
              <w:right w:val="single" w:sz="8" w:space="0" w:color="auto"/>
            </w:tcBorders>
            <w:shd w:val="clear" w:color="auto" w:fill="auto"/>
            <w:noWrap/>
            <w:vAlign w:val="bottom"/>
            <w:hideMark/>
          </w:tcPr>
          <w:p w14:paraId="02431547" w14:textId="24CB9B60"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32.802</w:t>
            </w:r>
          </w:p>
        </w:tc>
      </w:tr>
      <w:tr w:rsidR="00553573" w:rsidRPr="003C08A0" w14:paraId="1DA0F207"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61B97FF7" w14:textId="77777777" w:rsidR="00553573" w:rsidRPr="003C08A0" w:rsidRDefault="00553573" w:rsidP="00553573">
            <w:pPr>
              <w:rPr>
                <w:rFonts w:ascii="Arial" w:hAnsi="Arial" w:cs="Arial"/>
                <w:sz w:val="16"/>
                <w:szCs w:val="16"/>
                <w:lang w:eastAsia="es-AR"/>
              </w:rPr>
            </w:pPr>
            <w:r w:rsidRPr="003C08A0">
              <w:rPr>
                <w:rFonts w:ascii="Arial" w:hAnsi="Arial" w:cs="Arial"/>
                <w:sz w:val="16"/>
                <w:szCs w:val="16"/>
                <w:lang w:eastAsia="es-AR"/>
              </w:rPr>
              <w:t xml:space="preserve">   Otras entidades financieras </w:t>
            </w:r>
          </w:p>
        </w:tc>
        <w:tc>
          <w:tcPr>
            <w:tcW w:w="1228" w:type="dxa"/>
            <w:tcBorders>
              <w:top w:val="nil"/>
              <w:left w:val="single" w:sz="8" w:space="0" w:color="auto"/>
              <w:bottom w:val="single" w:sz="4" w:space="0" w:color="auto"/>
              <w:right w:val="nil"/>
            </w:tcBorders>
            <w:shd w:val="clear" w:color="auto" w:fill="auto"/>
            <w:noWrap/>
            <w:vAlign w:val="bottom"/>
          </w:tcPr>
          <w:p w14:paraId="246EFE66" w14:textId="335B8E9A"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1.164.113</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51225676" w14:textId="7CA977AD"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31.65</w:t>
            </w:r>
            <w:r w:rsidR="00CE6EC4">
              <w:rPr>
                <w:rFonts w:ascii="Arial" w:hAnsi="Arial" w:cs="Arial"/>
                <w:sz w:val="16"/>
                <w:szCs w:val="16"/>
                <w:lang w:val="es-ES_tradnl" w:eastAsia="es-AR"/>
              </w:rPr>
              <w:t>5</w:t>
            </w:r>
          </w:p>
        </w:tc>
        <w:tc>
          <w:tcPr>
            <w:tcW w:w="1230" w:type="dxa"/>
            <w:tcBorders>
              <w:top w:val="nil"/>
              <w:left w:val="nil"/>
              <w:bottom w:val="single" w:sz="4" w:space="0" w:color="auto"/>
              <w:right w:val="single" w:sz="8" w:space="0" w:color="auto"/>
            </w:tcBorders>
            <w:shd w:val="clear" w:color="auto" w:fill="auto"/>
            <w:noWrap/>
            <w:vAlign w:val="bottom"/>
          </w:tcPr>
          <w:p w14:paraId="2D5BCAAE" w14:textId="0C611E63"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1.195.76</w:t>
            </w:r>
            <w:r w:rsidR="00CE6EC4">
              <w:rPr>
                <w:rFonts w:ascii="Arial" w:hAnsi="Arial" w:cs="Arial"/>
                <w:sz w:val="16"/>
                <w:szCs w:val="16"/>
                <w:lang w:val="es-ES_tradnl" w:eastAsia="es-AR"/>
              </w:rPr>
              <w:t>8</w:t>
            </w:r>
          </w:p>
        </w:tc>
        <w:tc>
          <w:tcPr>
            <w:tcW w:w="1226" w:type="dxa"/>
            <w:tcBorders>
              <w:top w:val="nil"/>
              <w:left w:val="nil"/>
              <w:bottom w:val="single" w:sz="4" w:space="0" w:color="auto"/>
              <w:right w:val="nil"/>
            </w:tcBorders>
            <w:shd w:val="clear" w:color="auto" w:fill="auto"/>
            <w:noWrap/>
            <w:vAlign w:val="bottom"/>
            <w:hideMark/>
          </w:tcPr>
          <w:p w14:paraId="357B3893" w14:textId="55838838"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2.910.549</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53361E31" w14:textId="4F4B9AA7"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40.374</w:t>
            </w:r>
          </w:p>
        </w:tc>
        <w:tc>
          <w:tcPr>
            <w:tcW w:w="1229" w:type="dxa"/>
            <w:tcBorders>
              <w:top w:val="nil"/>
              <w:left w:val="nil"/>
              <w:bottom w:val="single" w:sz="4" w:space="0" w:color="auto"/>
              <w:right w:val="single" w:sz="8" w:space="0" w:color="auto"/>
            </w:tcBorders>
            <w:shd w:val="clear" w:color="auto" w:fill="auto"/>
            <w:noWrap/>
            <w:vAlign w:val="bottom"/>
            <w:hideMark/>
          </w:tcPr>
          <w:p w14:paraId="5E311FE1" w14:textId="1158A995"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2.950.923</w:t>
            </w:r>
          </w:p>
        </w:tc>
      </w:tr>
      <w:tr w:rsidR="00553573" w:rsidRPr="003C08A0" w14:paraId="6BE485F0"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4271B09D" w14:textId="77777777" w:rsidR="00553573" w:rsidRPr="003C08A0" w:rsidRDefault="00553573" w:rsidP="00553573">
            <w:pPr>
              <w:rPr>
                <w:rFonts w:ascii="Arial" w:hAnsi="Arial" w:cs="Arial"/>
                <w:sz w:val="16"/>
                <w:szCs w:val="16"/>
                <w:lang w:eastAsia="es-AR"/>
              </w:rPr>
            </w:pPr>
            <w:r w:rsidRPr="003C08A0">
              <w:rPr>
                <w:rFonts w:ascii="Arial" w:hAnsi="Arial" w:cs="Arial"/>
                <w:sz w:val="16"/>
                <w:szCs w:val="16"/>
                <w:lang w:eastAsia="es-AR"/>
              </w:rPr>
              <w:t xml:space="preserve">   Sector privado no financiero y residentes en el exterior </w:t>
            </w:r>
          </w:p>
        </w:tc>
        <w:tc>
          <w:tcPr>
            <w:tcW w:w="1228" w:type="dxa"/>
            <w:tcBorders>
              <w:top w:val="nil"/>
              <w:left w:val="single" w:sz="8" w:space="0" w:color="auto"/>
              <w:bottom w:val="single" w:sz="4" w:space="0" w:color="auto"/>
              <w:right w:val="nil"/>
            </w:tcBorders>
            <w:shd w:val="clear" w:color="auto" w:fill="auto"/>
            <w:noWrap/>
            <w:vAlign w:val="bottom"/>
          </w:tcPr>
          <w:p w14:paraId="1E91481C" w14:textId="5A61B0E3"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56.675.385</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4688222E" w14:textId="1587674B"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26.129.414</w:t>
            </w:r>
          </w:p>
        </w:tc>
        <w:tc>
          <w:tcPr>
            <w:tcW w:w="1230" w:type="dxa"/>
            <w:tcBorders>
              <w:top w:val="nil"/>
              <w:left w:val="nil"/>
              <w:bottom w:val="single" w:sz="4" w:space="0" w:color="auto"/>
              <w:right w:val="single" w:sz="8" w:space="0" w:color="auto"/>
            </w:tcBorders>
            <w:shd w:val="clear" w:color="auto" w:fill="auto"/>
            <w:noWrap/>
            <w:vAlign w:val="bottom"/>
          </w:tcPr>
          <w:p w14:paraId="6F94078A" w14:textId="761450A4"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82.804.799</w:t>
            </w:r>
          </w:p>
        </w:tc>
        <w:tc>
          <w:tcPr>
            <w:tcW w:w="1226" w:type="dxa"/>
            <w:tcBorders>
              <w:top w:val="nil"/>
              <w:left w:val="nil"/>
              <w:bottom w:val="single" w:sz="4" w:space="0" w:color="auto"/>
              <w:right w:val="nil"/>
            </w:tcBorders>
            <w:shd w:val="clear" w:color="auto" w:fill="auto"/>
            <w:noWrap/>
            <w:vAlign w:val="bottom"/>
            <w:hideMark/>
          </w:tcPr>
          <w:p w14:paraId="1CF22841" w14:textId="53D92D06"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51.728.190</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10FF077A" w14:textId="394F3AB8"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18.153.739</w:t>
            </w:r>
          </w:p>
        </w:tc>
        <w:tc>
          <w:tcPr>
            <w:tcW w:w="1229" w:type="dxa"/>
            <w:tcBorders>
              <w:top w:val="nil"/>
              <w:left w:val="nil"/>
              <w:bottom w:val="single" w:sz="4" w:space="0" w:color="auto"/>
              <w:right w:val="single" w:sz="8" w:space="0" w:color="auto"/>
            </w:tcBorders>
            <w:shd w:val="clear" w:color="auto" w:fill="auto"/>
            <w:noWrap/>
            <w:vAlign w:val="bottom"/>
            <w:hideMark/>
          </w:tcPr>
          <w:p w14:paraId="22CEA033" w14:textId="3D1E2326"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69.881.929</w:t>
            </w:r>
          </w:p>
        </w:tc>
      </w:tr>
      <w:tr w:rsidR="00553573" w:rsidRPr="003C08A0" w14:paraId="18D5EB53"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38F337FB"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Otros títulos de deuda</w:t>
            </w:r>
          </w:p>
        </w:tc>
        <w:tc>
          <w:tcPr>
            <w:tcW w:w="1228" w:type="dxa"/>
            <w:tcBorders>
              <w:top w:val="nil"/>
              <w:left w:val="single" w:sz="8" w:space="0" w:color="auto"/>
              <w:bottom w:val="single" w:sz="4" w:space="0" w:color="auto"/>
              <w:right w:val="nil"/>
            </w:tcBorders>
            <w:shd w:val="clear" w:color="auto" w:fill="auto"/>
            <w:noWrap/>
            <w:vAlign w:val="bottom"/>
          </w:tcPr>
          <w:p w14:paraId="65B77252" w14:textId="78BF56B5"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10.261.307</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49A9A155" w14:textId="5499DE58"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351.958</w:t>
            </w:r>
          </w:p>
        </w:tc>
        <w:tc>
          <w:tcPr>
            <w:tcW w:w="1230" w:type="dxa"/>
            <w:tcBorders>
              <w:top w:val="nil"/>
              <w:left w:val="nil"/>
              <w:bottom w:val="single" w:sz="4" w:space="0" w:color="auto"/>
              <w:right w:val="single" w:sz="8" w:space="0" w:color="auto"/>
            </w:tcBorders>
            <w:shd w:val="clear" w:color="auto" w:fill="auto"/>
            <w:noWrap/>
            <w:vAlign w:val="bottom"/>
          </w:tcPr>
          <w:p w14:paraId="0B9F2927" w14:textId="5603B2F3"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10.613.265</w:t>
            </w:r>
          </w:p>
        </w:tc>
        <w:tc>
          <w:tcPr>
            <w:tcW w:w="1226" w:type="dxa"/>
            <w:tcBorders>
              <w:top w:val="nil"/>
              <w:left w:val="nil"/>
              <w:bottom w:val="single" w:sz="4" w:space="0" w:color="auto"/>
              <w:right w:val="nil"/>
            </w:tcBorders>
            <w:shd w:val="clear" w:color="auto" w:fill="auto"/>
            <w:noWrap/>
            <w:vAlign w:val="bottom"/>
            <w:hideMark/>
          </w:tcPr>
          <w:p w14:paraId="73FA6687" w14:textId="0C9F9320"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1.042.320</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683C2D12" w14:textId="6CF23DD1"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3.092.173</w:t>
            </w:r>
          </w:p>
        </w:tc>
        <w:tc>
          <w:tcPr>
            <w:tcW w:w="1229" w:type="dxa"/>
            <w:tcBorders>
              <w:top w:val="nil"/>
              <w:left w:val="nil"/>
              <w:bottom w:val="single" w:sz="4" w:space="0" w:color="auto"/>
              <w:right w:val="single" w:sz="8" w:space="0" w:color="auto"/>
            </w:tcBorders>
            <w:shd w:val="clear" w:color="auto" w:fill="auto"/>
            <w:noWrap/>
            <w:vAlign w:val="bottom"/>
            <w:hideMark/>
          </w:tcPr>
          <w:p w14:paraId="6799F842" w14:textId="6FBB3387"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4.134.493</w:t>
            </w:r>
          </w:p>
        </w:tc>
      </w:tr>
      <w:tr w:rsidR="00553573" w:rsidRPr="003C08A0" w14:paraId="7460EC14"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61B17F7B"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Activos financieros entregados en garantía</w:t>
            </w:r>
          </w:p>
        </w:tc>
        <w:tc>
          <w:tcPr>
            <w:tcW w:w="1228" w:type="dxa"/>
            <w:tcBorders>
              <w:top w:val="nil"/>
              <w:left w:val="single" w:sz="8" w:space="0" w:color="auto"/>
              <w:bottom w:val="single" w:sz="4" w:space="0" w:color="auto"/>
              <w:right w:val="nil"/>
            </w:tcBorders>
            <w:shd w:val="clear" w:color="auto" w:fill="auto"/>
            <w:noWrap/>
            <w:vAlign w:val="bottom"/>
          </w:tcPr>
          <w:p w14:paraId="71747197" w14:textId="1ACA2A3F"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4.924.540</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1B369AE1" w14:textId="58C37785"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18E0684E" w14:textId="5B3B249B"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4.924.540</w:t>
            </w:r>
          </w:p>
        </w:tc>
        <w:tc>
          <w:tcPr>
            <w:tcW w:w="1226" w:type="dxa"/>
            <w:tcBorders>
              <w:top w:val="nil"/>
              <w:left w:val="nil"/>
              <w:bottom w:val="single" w:sz="4" w:space="0" w:color="auto"/>
              <w:right w:val="nil"/>
            </w:tcBorders>
            <w:shd w:val="clear" w:color="auto" w:fill="auto"/>
            <w:noWrap/>
            <w:vAlign w:val="bottom"/>
            <w:hideMark/>
          </w:tcPr>
          <w:p w14:paraId="740E4582" w14:textId="5DD7FBE0"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1.882.600</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628D8FE0" w14:textId="481B719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6BD563C2" w14:textId="10750FD2"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1.882.600</w:t>
            </w:r>
          </w:p>
        </w:tc>
      </w:tr>
      <w:tr w:rsidR="00553573" w:rsidRPr="003C08A0" w14:paraId="55C52911"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454DBCF7"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Activos por impuestos a las ganancias corriente</w:t>
            </w:r>
          </w:p>
        </w:tc>
        <w:tc>
          <w:tcPr>
            <w:tcW w:w="1228" w:type="dxa"/>
            <w:tcBorders>
              <w:top w:val="nil"/>
              <w:left w:val="single" w:sz="8" w:space="0" w:color="auto"/>
              <w:bottom w:val="single" w:sz="4" w:space="0" w:color="auto"/>
              <w:right w:val="nil"/>
            </w:tcBorders>
            <w:shd w:val="clear" w:color="auto" w:fill="auto"/>
            <w:noWrap/>
            <w:vAlign w:val="bottom"/>
          </w:tcPr>
          <w:p w14:paraId="525739C1" w14:textId="6771C21F"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293.192</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774F7BC6" w14:textId="123114FA"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3F4C52E4" w14:textId="0F539796"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293.192</w:t>
            </w:r>
          </w:p>
        </w:tc>
        <w:tc>
          <w:tcPr>
            <w:tcW w:w="1226" w:type="dxa"/>
            <w:tcBorders>
              <w:top w:val="nil"/>
              <w:left w:val="nil"/>
              <w:bottom w:val="single" w:sz="4" w:space="0" w:color="auto"/>
              <w:right w:val="nil"/>
            </w:tcBorders>
            <w:shd w:val="clear" w:color="auto" w:fill="auto"/>
            <w:noWrap/>
            <w:vAlign w:val="bottom"/>
            <w:hideMark/>
          </w:tcPr>
          <w:p w14:paraId="6E14C752" w14:textId="13038653"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415.251</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2E2F9478" w14:textId="318F4F20"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725F86D9" w14:textId="34F4F4E4"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415.251</w:t>
            </w:r>
          </w:p>
        </w:tc>
      </w:tr>
      <w:tr w:rsidR="00553573" w:rsidRPr="003C08A0" w14:paraId="05222B91"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07C5634C"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Inversiones en instrumentos de patrimonio</w:t>
            </w:r>
          </w:p>
        </w:tc>
        <w:tc>
          <w:tcPr>
            <w:tcW w:w="1228" w:type="dxa"/>
            <w:tcBorders>
              <w:top w:val="nil"/>
              <w:left w:val="single" w:sz="8" w:space="0" w:color="auto"/>
              <w:bottom w:val="single" w:sz="4" w:space="0" w:color="auto"/>
              <w:right w:val="nil"/>
            </w:tcBorders>
            <w:shd w:val="clear" w:color="auto" w:fill="auto"/>
            <w:noWrap/>
            <w:vAlign w:val="bottom"/>
          </w:tcPr>
          <w:p w14:paraId="3A7F0039" w14:textId="14EAFF15"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35386B97" w14:textId="00355415"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14.579</w:t>
            </w:r>
          </w:p>
        </w:tc>
        <w:tc>
          <w:tcPr>
            <w:tcW w:w="1230" w:type="dxa"/>
            <w:tcBorders>
              <w:top w:val="nil"/>
              <w:left w:val="nil"/>
              <w:bottom w:val="single" w:sz="4" w:space="0" w:color="auto"/>
              <w:right w:val="single" w:sz="8" w:space="0" w:color="auto"/>
            </w:tcBorders>
            <w:shd w:val="clear" w:color="auto" w:fill="auto"/>
            <w:noWrap/>
            <w:vAlign w:val="bottom"/>
          </w:tcPr>
          <w:p w14:paraId="50845460" w14:textId="507C1BDF"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14.579</w:t>
            </w:r>
          </w:p>
        </w:tc>
        <w:tc>
          <w:tcPr>
            <w:tcW w:w="1226" w:type="dxa"/>
            <w:tcBorders>
              <w:top w:val="nil"/>
              <w:left w:val="nil"/>
              <w:bottom w:val="single" w:sz="4" w:space="0" w:color="auto"/>
              <w:right w:val="nil"/>
            </w:tcBorders>
            <w:shd w:val="clear" w:color="auto" w:fill="auto"/>
            <w:noWrap/>
            <w:vAlign w:val="bottom"/>
            <w:hideMark/>
          </w:tcPr>
          <w:p w14:paraId="7FA5BC84" w14:textId="69FAAB74"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143E0566" w14:textId="4E5DD114"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10.404</w:t>
            </w:r>
          </w:p>
        </w:tc>
        <w:tc>
          <w:tcPr>
            <w:tcW w:w="1229" w:type="dxa"/>
            <w:tcBorders>
              <w:top w:val="nil"/>
              <w:left w:val="nil"/>
              <w:bottom w:val="single" w:sz="4" w:space="0" w:color="auto"/>
              <w:right w:val="single" w:sz="8" w:space="0" w:color="auto"/>
            </w:tcBorders>
            <w:shd w:val="clear" w:color="auto" w:fill="auto"/>
            <w:noWrap/>
            <w:vAlign w:val="bottom"/>
            <w:hideMark/>
          </w:tcPr>
          <w:p w14:paraId="2A61CDD5" w14:textId="0352533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10.404</w:t>
            </w:r>
          </w:p>
        </w:tc>
      </w:tr>
      <w:tr w:rsidR="00553573" w:rsidRPr="003C08A0" w14:paraId="442FA1FC"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0AEDFC39"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Inversión en subsidiarias, asociadas y negocios conjuntos</w:t>
            </w:r>
          </w:p>
        </w:tc>
        <w:tc>
          <w:tcPr>
            <w:tcW w:w="1228" w:type="dxa"/>
            <w:tcBorders>
              <w:top w:val="nil"/>
              <w:left w:val="single" w:sz="8" w:space="0" w:color="auto"/>
              <w:bottom w:val="single" w:sz="4" w:space="0" w:color="auto"/>
              <w:right w:val="nil"/>
            </w:tcBorders>
            <w:shd w:val="clear" w:color="auto" w:fill="auto"/>
            <w:noWrap/>
            <w:vAlign w:val="bottom"/>
          </w:tcPr>
          <w:p w14:paraId="66F1C011" w14:textId="4446192C"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63623034" w14:textId="59F60BBF"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2.427.461</w:t>
            </w:r>
          </w:p>
        </w:tc>
        <w:tc>
          <w:tcPr>
            <w:tcW w:w="1230" w:type="dxa"/>
            <w:tcBorders>
              <w:top w:val="nil"/>
              <w:left w:val="nil"/>
              <w:bottom w:val="single" w:sz="4" w:space="0" w:color="auto"/>
              <w:right w:val="single" w:sz="8" w:space="0" w:color="auto"/>
            </w:tcBorders>
            <w:shd w:val="clear" w:color="auto" w:fill="auto"/>
            <w:noWrap/>
            <w:vAlign w:val="bottom"/>
          </w:tcPr>
          <w:p w14:paraId="48E02789" w14:textId="61D0904A"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2.427.461</w:t>
            </w:r>
          </w:p>
        </w:tc>
        <w:tc>
          <w:tcPr>
            <w:tcW w:w="1226" w:type="dxa"/>
            <w:tcBorders>
              <w:top w:val="nil"/>
              <w:left w:val="nil"/>
              <w:bottom w:val="single" w:sz="4" w:space="0" w:color="auto"/>
              <w:right w:val="nil"/>
            </w:tcBorders>
            <w:shd w:val="clear" w:color="auto" w:fill="auto"/>
            <w:noWrap/>
            <w:vAlign w:val="bottom"/>
            <w:hideMark/>
          </w:tcPr>
          <w:p w14:paraId="5A599B25" w14:textId="08267457"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3AA1B541" w14:textId="1B680313"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1.236.879</w:t>
            </w:r>
          </w:p>
        </w:tc>
        <w:tc>
          <w:tcPr>
            <w:tcW w:w="1229" w:type="dxa"/>
            <w:tcBorders>
              <w:top w:val="nil"/>
              <w:left w:val="nil"/>
              <w:bottom w:val="single" w:sz="4" w:space="0" w:color="auto"/>
              <w:right w:val="single" w:sz="8" w:space="0" w:color="auto"/>
            </w:tcBorders>
            <w:shd w:val="clear" w:color="auto" w:fill="auto"/>
            <w:noWrap/>
            <w:vAlign w:val="bottom"/>
            <w:hideMark/>
          </w:tcPr>
          <w:p w14:paraId="68B35E25" w14:textId="4D199300"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1.236.879</w:t>
            </w:r>
          </w:p>
        </w:tc>
      </w:tr>
      <w:tr w:rsidR="00553573" w:rsidRPr="003C08A0" w14:paraId="67721972"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726613A4"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Propiedad, planta y equipo</w:t>
            </w:r>
          </w:p>
        </w:tc>
        <w:tc>
          <w:tcPr>
            <w:tcW w:w="1228" w:type="dxa"/>
            <w:tcBorders>
              <w:top w:val="nil"/>
              <w:left w:val="single" w:sz="8" w:space="0" w:color="auto"/>
              <w:bottom w:val="single" w:sz="4" w:space="0" w:color="auto"/>
              <w:right w:val="nil"/>
            </w:tcBorders>
            <w:shd w:val="clear" w:color="auto" w:fill="auto"/>
            <w:noWrap/>
            <w:vAlign w:val="bottom"/>
          </w:tcPr>
          <w:p w14:paraId="510C6546" w14:textId="193C43B9"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300" w:type="dxa"/>
            <w:tcBorders>
              <w:top w:val="nil"/>
              <w:left w:val="single" w:sz="8" w:space="0" w:color="auto"/>
              <w:bottom w:val="single" w:sz="4" w:space="0" w:color="auto"/>
              <w:right w:val="single" w:sz="8" w:space="0" w:color="auto"/>
            </w:tcBorders>
            <w:shd w:val="clear" w:color="000000" w:fill="FFFFFF"/>
            <w:noWrap/>
            <w:vAlign w:val="bottom"/>
          </w:tcPr>
          <w:p w14:paraId="63962171" w14:textId="6BA39164"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2.827.098</w:t>
            </w:r>
          </w:p>
        </w:tc>
        <w:tc>
          <w:tcPr>
            <w:tcW w:w="1230" w:type="dxa"/>
            <w:tcBorders>
              <w:top w:val="nil"/>
              <w:left w:val="nil"/>
              <w:bottom w:val="single" w:sz="4" w:space="0" w:color="auto"/>
              <w:right w:val="single" w:sz="8" w:space="0" w:color="auto"/>
            </w:tcBorders>
            <w:shd w:val="clear" w:color="auto" w:fill="auto"/>
            <w:noWrap/>
            <w:vAlign w:val="bottom"/>
          </w:tcPr>
          <w:p w14:paraId="118DE54A" w14:textId="0DD07403"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2.827.098</w:t>
            </w:r>
          </w:p>
        </w:tc>
        <w:tc>
          <w:tcPr>
            <w:tcW w:w="1226" w:type="dxa"/>
            <w:tcBorders>
              <w:top w:val="nil"/>
              <w:left w:val="nil"/>
              <w:bottom w:val="single" w:sz="4" w:space="0" w:color="auto"/>
              <w:right w:val="nil"/>
            </w:tcBorders>
            <w:shd w:val="clear" w:color="auto" w:fill="auto"/>
            <w:noWrap/>
            <w:vAlign w:val="bottom"/>
            <w:hideMark/>
          </w:tcPr>
          <w:p w14:paraId="0BA1F751" w14:textId="70782357"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5F999113" w14:textId="6BA65399"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1.675.282</w:t>
            </w:r>
          </w:p>
        </w:tc>
        <w:tc>
          <w:tcPr>
            <w:tcW w:w="1229" w:type="dxa"/>
            <w:tcBorders>
              <w:top w:val="nil"/>
              <w:left w:val="nil"/>
              <w:bottom w:val="single" w:sz="4" w:space="0" w:color="auto"/>
              <w:right w:val="single" w:sz="8" w:space="0" w:color="auto"/>
            </w:tcBorders>
            <w:shd w:val="clear" w:color="auto" w:fill="auto"/>
            <w:noWrap/>
            <w:vAlign w:val="bottom"/>
            <w:hideMark/>
          </w:tcPr>
          <w:p w14:paraId="215F7E04" w14:textId="0ACB4EC4"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1.675.282</w:t>
            </w:r>
          </w:p>
        </w:tc>
      </w:tr>
      <w:tr w:rsidR="00553573" w:rsidRPr="003C08A0" w14:paraId="6B119483"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1F471AE2"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Activos intangibles</w:t>
            </w:r>
          </w:p>
        </w:tc>
        <w:tc>
          <w:tcPr>
            <w:tcW w:w="1228" w:type="dxa"/>
            <w:tcBorders>
              <w:top w:val="nil"/>
              <w:left w:val="single" w:sz="8" w:space="0" w:color="auto"/>
              <w:bottom w:val="single" w:sz="4" w:space="0" w:color="auto"/>
              <w:right w:val="nil"/>
            </w:tcBorders>
            <w:shd w:val="clear" w:color="auto" w:fill="auto"/>
            <w:noWrap/>
            <w:vAlign w:val="bottom"/>
          </w:tcPr>
          <w:p w14:paraId="05DF1C3C" w14:textId="10FF5C4A"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300" w:type="dxa"/>
            <w:tcBorders>
              <w:top w:val="nil"/>
              <w:left w:val="single" w:sz="8" w:space="0" w:color="auto"/>
              <w:bottom w:val="single" w:sz="4" w:space="0" w:color="auto"/>
              <w:right w:val="single" w:sz="8" w:space="0" w:color="auto"/>
            </w:tcBorders>
            <w:shd w:val="clear" w:color="auto" w:fill="auto"/>
            <w:noWrap/>
            <w:vAlign w:val="bottom"/>
          </w:tcPr>
          <w:p w14:paraId="5B4ACBE3" w14:textId="6551C2FE"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700.709</w:t>
            </w:r>
          </w:p>
        </w:tc>
        <w:tc>
          <w:tcPr>
            <w:tcW w:w="1230" w:type="dxa"/>
            <w:tcBorders>
              <w:top w:val="nil"/>
              <w:left w:val="nil"/>
              <w:bottom w:val="single" w:sz="4" w:space="0" w:color="auto"/>
              <w:right w:val="single" w:sz="8" w:space="0" w:color="auto"/>
            </w:tcBorders>
            <w:shd w:val="clear" w:color="auto" w:fill="auto"/>
            <w:noWrap/>
            <w:vAlign w:val="bottom"/>
          </w:tcPr>
          <w:p w14:paraId="5F7CB61B" w14:textId="7F37B704"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700.709</w:t>
            </w:r>
          </w:p>
        </w:tc>
        <w:tc>
          <w:tcPr>
            <w:tcW w:w="1226" w:type="dxa"/>
            <w:tcBorders>
              <w:top w:val="nil"/>
              <w:left w:val="nil"/>
              <w:bottom w:val="single" w:sz="4" w:space="0" w:color="auto"/>
              <w:right w:val="nil"/>
            </w:tcBorders>
            <w:shd w:val="clear" w:color="auto" w:fill="auto"/>
            <w:noWrap/>
            <w:vAlign w:val="bottom"/>
            <w:hideMark/>
          </w:tcPr>
          <w:p w14:paraId="4E630033" w14:textId="7E0F38D5"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470B8EED" w14:textId="2592C66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352.581</w:t>
            </w:r>
          </w:p>
        </w:tc>
        <w:tc>
          <w:tcPr>
            <w:tcW w:w="1229" w:type="dxa"/>
            <w:tcBorders>
              <w:top w:val="nil"/>
              <w:left w:val="nil"/>
              <w:bottom w:val="single" w:sz="4" w:space="0" w:color="auto"/>
              <w:right w:val="single" w:sz="8" w:space="0" w:color="auto"/>
            </w:tcBorders>
            <w:shd w:val="clear" w:color="auto" w:fill="auto"/>
            <w:noWrap/>
            <w:vAlign w:val="bottom"/>
            <w:hideMark/>
          </w:tcPr>
          <w:p w14:paraId="2176F13E" w14:textId="62702896"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352.581</w:t>
            </w:r>
          </w:p>
        </w:tc>
      </w:tr>
      <w:tr w:rsidR="00553573" w:rsidRPr="003C08A0" w14:paraId="7585EFE6"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1C7B6040"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Activos por impuesto a las ganancias diferido</w:t>
            </w:r>
          </w:p>
        </w:tc>
        <w:tc>
          <w:tcPr>
            <w:tcW w:w="1228" w:type="dxa"/>
            <w:tcBorders>
              <w:top w:val="nil"/>
              <w:left w:val="single" w:sz="8" w:space="0" w:color="auto"/>
              <w:bottom w:val="single" w:sz="4" w:space="0" w:color="auto"/>
              <w:right w:val="nil"/>
            </w:tcBorders>
            <w:shd w:val="clear" w:color="auto" w:fill="auto"/>
            <w:noWrap/>
            <w:vAlign w:val="bottom"/>
          </w:tcPr>
          <w:p w14:paraId="44283810" w14:textId="3E6F3752"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92.331</w:t>
            </w:r>
          </w:p>
        </w:tc>
        <w:tc>
          <w:tcPr>
            <w:tcW w:w="1300" w:type="dxa"/>
            <w:tcBorders>
              <w:top w:val="nil"/>
              <w:left w:val="single" w:sz="8" w:space="0" w:color="auto"/>
              <w:bottom w:val="single" w:sz="4" w:space="0" w:color="auto"/>
              <w:right w:val="single" w:sz="8" w:space="0" w:color="auto"/>
            </w:tcBorders>
            <w:shd w:val="clear" w:color="auto" w:fill="auto"/>
            <w:noWrap/>
            <w:vAlign w:val="bottom"/>
          </w:tcPr>
          <w:p w14:paraId="55FB9C39" w14:textId="77DDE9F2"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523.207</w:t>
            </w:r>
          </w:p>
        </w:tc>
        <w:tc>
          <w:tcPr>
            <w:tcW w:w="1230" w:type="dxa"/>
            <w:tcBorders>
              <w:top w:val="nil"/>
              <w:left w:val="nil"/>
              <w:bottom w:val="single" w:sz="4" w:space="0" w:color="auto"/>
              <w:right w:val="single" w:sz="8" w:space="0" w:color="auto"/>
            </w:tcBorders>
            <w:shd w:val="clear" w:color="auto" w:fill="auto"/>
            <w:noWrap/>
            <w:vAlign w:val="bottom"/>
          </w:tcPr>
          <w:p w14:paraId="30A50B74" w14:textId="79745522"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615.538</w:t>
            </w:r>
          </w:p>
        </w:tc>
        <w:tc>
          <w:tcPr>
            <w:tcW w:w="1226" w:type="dxa"/>
            <w:tcBorders>
              <w:top w:val="nil"/>
              <w:left w:val="nil"/>
              <w:bottom w:val="single" w:sz="4" w:space="0" w:color="auto"/>
              <w:right w:val="nil"/>
            </w:tcBorders>
            <w:shd w:val="clear" w:color="auto" w:fill="auto"/>
            <w:noWrap/>
            <w:vAlign w:val="bottom"/>
            <w:hideMark/>
          </w:tcPr>
          <w:p w14:paraId="46B52553" w14:textId="295128C3"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1.695</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2E65C63B" w14:textId="693C8F53"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9.603</w:t>
            </w:r>
          </w:p>
        </w:tc>
        <w:tc>
          <w:tcPr>
            <w:tcW w:w="1229" w:type="dxa"/>
            <w:tcBorders>
              <w:top w:val="nil"/>
              <w:left w:val="nil"/>
              <w:bottom w:val="single" w:sz="4" w:space="0" w:color="auto"/>
              <w:right w:val="single" w:sz="8" w:space="0" w:color="auto"/>
            </w:tcBorders>
            <w:shd w:val="clear" w:color="auto" w:fill="auto"/>
            <w:noWrap/>
            <w:vAlign w:val="bottom"/>
            <w:hideMark/>
          </w:tcPr>
          <w:p w14:paraId="1172A08D" w14:textId="3D03FAAD"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11.298</w:t>
            </w:r>
          </w:p>
        </w:tc>
      </w:tr>
      <w:tr w:rsidR="00553573" w:rsidRPr="003C08A0" w14:paraId="7F0AA06C" w14:textId="77777777" w:rsidTr="00553573">
        <w:trPr>
          <w:trHeight w:val="239"/>
          <w:jc w:val="center"/>
        </w:trPr>
        <w:tc>
          <w:tcPr>
            <w:tcW w:w="3545" w:type="dxa"/>
            <w:tcBorders>
              <w:top w:val="nil"/>
              <w:left w:val="single" w:sz="8" w:space="0" w:color="auto"/>
              <w:bottom w:val="single" w:sz="4" w:space="0" w:color="auto"/>
              <w:right w:val="nil"/>
            </w:tcBorders>
            <w:shd w:val="clear" w:color="auto" w:fill="auto"/>
            <w:vAlign w:val="bottom"/>
            <w:hideMark/>
          </w:tcPr>
          <w:p w14:paraId="2E5150FA"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Otros activos no financieros</w:t>
            </w:r>
          </w:p>
        </w:tc>
        <w:tc>
          <w:tcPr>
            <w:tcW w:w="1228" w:type="dxa"/>
            <w:tcBorders>
              <w:top w:val="nil"/>
              <w:left w:val="single" w:sz="8" w:space="0" w:color="auto"/>
              <w:bottom w:val="single" w:sz="4" w:space="0" w:color="auto"/>
              <w:right w:val="nil"/>
            </w:tcBorders>
            <w:shd w:val="clear" w:color="auto" w:fill="auto"/>
            <w:noWrap/>
            <w:vAlign w:val="bottom"/>
          </w:tcPr>
          <w:p w14:paraId="009C5B92" w14:textId="36573046"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490.604</w:t>
            </w:r>
          </w:p>
        </w:tc>
        <w:tc>
          <w:tcPr>
            <w:tcW w:w="1300" w:type="dxa"/>
            <w:tcBorders>
              <w:top w:val="nil"/>
              <w:left w:val="single" w:sz="8" w:space="0" w:color="auto"/>
              <w:bottom w:val="single" w:sz="4" w:space="0" w:color="auto"/>
              <w:right w:val="single" w:sz="8" w:space="0" w:color="auto"/>
            </w:tcBorders>
            <w:shd w:val="clear" w:color="auto" w:fill="auto"/>
            <w:noWrap/>
            <w:vAlign w:val="bottom"/>
          </w:tcPr>
          <w:p w14:paraId="09718DDD" w14:textId="13F275AB"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4.159.009</w:t>
            </w:r>
          </w:p>
        </w:tc>
        <w:tc>
          <w:tcPr>
            <w:tcW w:w="1230" w:type="dxa"/>
            <w:tcBorders>
              <w:top w:val="nil"/>
              <w:left w:val="nil"/>
              <w:bottom w:val="single" w:sz="4" w:space="0" w:color="auto"/>
              <w:right w:val="single" w:sz="8" w:space="0" w:color="auto"/>
            </w:tcBorders>
            <w:shd w:val="clear" w:color="auto" w:fill="auto"/>
            <w:noWrap/>
            <w:vAlign w:val="bottom"/>
          </w:tcPr>
          <w:p w14:paraId="645C1600" w14:textId="66E4FF88"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4.649.613</w:t>
            </w:r>
          </w:p>
        </w:tc>
        <w:tc>
          <w:tcPr>
            <w:tcW w:w="1226" w:type="dxa"/>
            <w:tcBorders>
              <w:top w:val="nil"/>
              <w:left w:val="nil"/>
              <w:bottom w:val="single" w:sz="4" w:space="0" w:color="auto"/>
              <w:right w:val="nil"/>
            </w:tcBorders>
            <w:shd w:val="clear" w:color="auto" w:fill="auto"/>
            <w:noWrap/>
            <w:vAlign w:val="bottom"/>
            <w:hideMark/>
          </w:tcPr>
          <w:p w14:paraId="3BC4E49D" w14:textId="17388AC7"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326.256</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0B833EB1" w14:textId="385EE537"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647.199</w:t>
            </w:r>
          </w:p>
        </w:tc>
        <w:tc>
          <w:tcPr>
            <w:tcW w:w="1229" w:type="dxa"/>
            <w:tcBorders>
              <w:top w:val="nil"/>
              <w:left w:val="nil"/>
              <w:bottom w:val="single" w:sz="4" w:space="0" w:color="auto"/>
              <w:right w:val="single" w:sz="8" w:space="0" w:color="auto"/>
            </w:tcBorders>
            <w:shd w:val="clear" w:color="auto" w:fill="auto"/>
            <w:noWrap/>
            <w:vAlign w:val="bottom"/>
            <w:hideMark/>
          </w:tcPr>
          <w:p w14:paraId="4508D61B" w14:textId="3CB915A8"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973.455</w:t>
            </w:r>
          </w:p>
        </w:tc>
      </w:tr>
      <w:tr w:rsidR="00553573" w:rsidRPr="003C08A0" w14:paraId="2FFFE6AC" w14:textId="77777777" w:rsidTr="00553573">
        <w:trPr>
          <w:trHeight w:val="254"/>
          <w:jc w:val="center"/>
        </w:trPr>
        <w:tc>
          <w:tcPr>
            <w:tcW w:w="3545" w:type="dxa"/>
            <w:tcBorders>
              <w:top w:val="nil"/>
              <w:left w:val="single" w:sz="8" w:space="0" w:color="auto"/>
              <w:bottom w:val="nil"/>
              <w:right w:val="nil"/>
            </w:tcBorders>
            <w:shd w:val="clear" w:color="auto" w:fill="auto"/>
            <w:vAlign w:val="bottom"/>
            <w:hideMark/>
          </w:tcPr>
          <w:p w14:paraId="55B94E89"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Activos no corrientes mantenidos para la venta</w:t>
            </w:r>
          </w:p>
        </w:tc>
        <w:tc>
          <w:tcPr>
            <w:tcW w:w="1228" w:type="dxa"/>
            <w:tcBorders>
              <w:top w:val="nil"/>
              <w:left w:val="single" w:sz="8" w:space="0" w:color="auto"/>
              <w:bottom w:val="nil"/>
              <w:right w:val="nil"/>
            </w:tcBorders>
            <w:shd w:val="clear" w:color="auto" w:fill="auto"/>
            <w:noWrap/>
            <w:vAlign w:val="bottom"/>
          </w:tcPr>
          <w:p w14:paraId="4106CEFD" w14:textId="7A2BE0A4"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300" w:type="dxa"/>
            <w:tcBorders>
              <w:top w:val="nil"/>
              <w:left w:val="single" w:sz="8" w:space="0" w:color="auto"/>
              <w:bottom w:val="nil"/>
              <w:right w:val="single" w:sz="8" w:space="0" w:color="auto"/>
            </w:tcBorders>
            <w:shd w:val="clear" w:color="auto" w:fill="auto"/>
            <w:noWrap/>
            <w:vAlign w:val="bottom"/>
          </w:tcPr>
          <w:p w14:paraId="3D3F84FF" w14:textId="0055E46D"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48DDF03F" w14:textId="7A28CBFD"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26" w:type="dxa"/>
            <w:tcBorders>
              <w:top w:val="single" w:sz="4" w:space="0" w:color="auto"/>
              <w:left w:val="nil"/>
              <w:bottom w:val="nil"/>
              <w:right w:val="nil"/>
            </w:tcBorders>
            <w:shd w:val="clear" w:color="auto" w:fill="auto"/>
            <w:noWrap/>
            <w:vAlign w:val="bottom"/>
            <w:hideMark/>
          </w:tcPr>
          <w:p w14:paraId="055670EA" w14:textId="179E3FB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2.800</w:t>
            </w:r>
          </w:p>
        </w:tc>
        <w:tc>
          <w:tcPr>
            <w:tcW w:w="1226" w:type="dxa"/>
            <w:tcBorders>
              <w:top w:val="nil"/>
              <w:left w:val="single" w:sz="8" w:space="0" w:color="auto"/>
              <w:bottom w:val="nil"/>
              <w:right w:val="single" w:sz="8" w:space="0" w:color="auto"/>
            </w:tcBorders>
            <w:shd w:val="clear" w:color="auto" w:fill="auto"/>
            <w:noWrap/>
            <w:vAlign w:val="bottom"/>
            <w:hideMark/>
          </w:tcPr>
          <w:p w14:paraId="6036742F" w14:textId="7631753D"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9" w:type="dxa"/>
            <w:tcBorders>
              <w:top w:val="nil"/>
              <w:left w:val="nil"/>
              <w:bottom w:val="single" w:sz="4" w:space="0" w:color="auto"/>
              <w:right w:val="single" w:sz="8" w:space="0" w:color="auto"/>
            </w:tcBorders>
            <w:shd w:val="clear" w:color="auto" w:fill="auto"/>
            <w:noWrap/>
            <w:vAlign w:val="bottom"/>
            <w:hideMark/>
          </w:tcPr>
          <w:p w14:paraId="24140B3D" w14:textId="550485E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2.800</w:t>
            </w:r>
          </w:p>
        </w:tc>
      </w:tr>
      <w:tr w:rsidR="00553573" w:rsidRPr="003C08A0" w14:paraId="37A9B1E0" w14:textId="77777777" w:rsidTr="00553573">
        <w:trPr>
          <w:trHeight w:val="254"/>
          <w:jc w:val="center"/>
        </w:trPr>
        <w:tc>
          <w:tcPr>
            <w:tcW w:w="3545" w:type="dxa"/>
            <w:tcBorders>
              <w:top w:val="single" w:sz="8" w:space="0" w:color="auto"/>
              <w:left w:val="single" w:sz="8" w:space="0" w:color="auto"/>
              <w:bottom w:val="single" w:sz="8" w:space="0" w:color="auto"/>
              <w:right w:val="nil"/>
            </w:tcBorders>
            <w:shd w:val="clear" w:color="000000" w:fill="D0CECE"/>
            <w:vAlign w:val="bottom"/>
            <w:hideMark/>
          </w:tcPr>
          <w:p w14:paraId="07412137"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 xml:space="preserve">TOTAL ACTIVO </w:t>
            </w:r>
          </w:p>
        </w:tc>
        <w:tc>
          <w:tcPr>
            <w:tcW w:w="1228" w:type="dxa"/>
            <w:tcBorders>
              <w:top w:val="single" w:sz="8" w:space="0" w:color="auto"/>
              <w:left w:val="single" w:sz="8" w:space="0" w:color="auto"/>
              <w:bottom w:val="single" w:sz="8" w:space="0" w:color="auto"/>
              <w:right w:val="nil"/>
            </w:tcBorders>
            <w:shd w:val="clear" w:color="000000" w:fill="D0CECE"/>
            <w:noWrap/>
            <w:vAlign w:val="bottom"/>
          </w:tcPr>
          <w:p w14:paraId="68A3EE74" w14:textId="1E26397B" w:rsidR="00553573" w:rsidRPr="003C08A0" w:rsidRDefault="00622DC5" w:rsidP="00553573">
            <w:pPr>
              <w:jc w:val="right"/>
              <w:rPr>
                <w:rFonts w:ascii="Arial" w:hAnsi="Arial" w:cs="Arial"/>
                <w:b/>
                <w:bCs/>
                <w:sz w:val="16"/>
                <w:szCs w:val="16"/>
                <w:lang w:val="es-ES_tradnl" w:eastAsia="es-AR"/>
              </w:rPr>
            </w:pPr>
            <w:r>
              <w:rPr>
                <w:rFonts w:ascii="Arial" w:hAnsi="Arial" w:cs="Arial"/>
                <w:b/>
                <w:bCs/>
                <w:sz w:val="16"/>
                <w:szCs w:val="16"/>
                <w:lang w:val="es-ES_tradnl" w:eastAsia="es-AR"/>
              </w:rPr>
              <w:t>100.743.426</w:t>
            </w:r>
          </w:p>
        </w:tc>
        <w:tc>
          <w:tcPr>
            <w:tcW w:w="1300" w:type="dxa"/>
            <w:tcBorders>
              <w:top w:val="single" w:sz="8" w:space="0" w:color="auto"/>
              <w:left w:val="single" w:sz="8" w:space="0" w:color="auto"/>
              <w:bottom w:val="single" w:sz="8" w:space="0" w:color="auto"/>
              <w:right w:val="single" w:sz="8" w:space="0" w:color="auto"/>
            </w:tcBorders>
            <w:shd w:val="clear" w:color="000000" w:fill="D0CECE"/>
            <w:noWrap/>
            <w:vAlign w:val="bottom"/>
          </w:tcPr>
          <w:p w14:paraId="73FFD02C" w14:textId="04D77D3B" w:rsidR="00553573" w:rsidRPr="003C08A0" w:rsidRDefault="00622DC5" w:rsidP="00553573">
            <w:pPr>
              <w:jc w:val="right"/>
              <w:rPr>
                <w:rFonts w:ascii="Arial" w:hAnsi="Arial" w:cs="Arial"/>
                <w:b/>
                <w:bCs/>
                <w:sz w:val="16"/>
                <w:szCs w:val="16"/>
                <w:lang w:val="es-ES_tradnl" w:eastAsia="es-AR"/>
              </w:rPr>
            </w:pPr>
            <w:r>
              <w:rPr>
                <w:rFonts w:ascii="Arial" w:hAnsi="Arial" w:cs="Arial"/>
                <w:b/>
                <w:bCs/>
                <w:sz w:val="16"/>
                <w:szCs w:val="16"/>
                <w:lang w:val="es-ES_tradnl" w:eastAsia="es-AR"/>
              </w:rPr>
              <w:t>37.186.94</w:t>
            </w:r>
            <w:r w:rsidR="00CE6EC4">
              <w:rPr>
                <w:rFonts w:ascii="Arial" w:hAnsi="Arial" w:cs="Arial"/>
                <w:b/>
                <w:bCs/>
                <w:sz w:val="16"/>
                <w:szCs w:val="16"/>
                <w:lang w:val="es-ES_tradnl" w:eastAsia="es-AR"/>
              </w:rPr>
              <w:t>2</w:t>
            </w:r>
          </w:p>
        </w:tc>
        <w:tc>
          <w:tcPr>
            <w:tcW w:w="1230" w:type="dxa"/>
            <w:tcBorders>
              <w:top w:val="single" w:sz="8" w:space="0" w:color="auto"/>
              <w:left w:val="nil"/>
              <w:bottom w:val="single" w:sz="8" w:space="0" w:color="auto"/>
              <w:right w:val="single" w:sz="8" w:space="0" w:color="auto"/>
            </w:tcBorders>
            <w:shd w:val="clear" w:color="000000" w:fill="D0CECE"/>
            <w:noWrap/>
            <w:vAlign w:val="bottom"/>
          </w:tcPr>
          <w:p w14:paraId="37E227BD" w14:textId="59EBFBED" w:rsidR="00553573" w:rsidRPr="003C08A0" w:rsidRDefault="00622DC5" w:rsidP="00553573">
            <w:pPr>
              <w:jc w:val="right"/>
              <w:rPr>
                <w:rFonts w:ascii="Arial" w:hAnsi="Arial" w:cs="Arial"/>
                <w:b/>
                <w:bCs/>
                <w:sz w:val="16"/>
                <w:szCs w:val="16"/>
                <w:lang w:val="es-ES_tradnl" w:eastAsia="es-AR"/>
              </w:rPr>
            </w:pPr>
            <w:r>
              <w:rPr>
                <w:rFonts w:ascii="Arial" w:hAnsi="Arial" w:cs="Arial"/>
                <w:b/>
                <w:bCs/>
                <w:sz w:val="16"/>
                <w:szCs w:val="16"/>
                <w:lang w:val="es-ES_tradnl" w:eastAsia="es-AR"/>
              </w:rPr>
              <w:t>137.930.36</w:t>
            </w:r>
            <w:r w:rsidR="00CE6EC4">
              <w:rPr>
                <w:rFonts w:ascii="Arial" w:hAnsi="Arial" w:cs="Arial"/>
                <w:b/>
                <w:bCs/>
                <w:sz w:val="16"/>
                <w:szCs w:val="16"/>
                <w:lang w:val="es-ES_tradnl" w:eastAsia="es-AR"/>
              </w:rPr>
              <w:t>8</w:t>
            </w:r>
          </w:p>
        </w:tc>
        <w:tc>
          <w:tcPr>
            <w:tcW w:w="1226" w:type="dxa"/>
            <w:tcBorders>
              <w:top w:val="single" w:sz="8" w:space="0" w:color="auto"/>
              <w:left w:val="nil"/>
              <w:bottom w:val="single" w:sz="8" w:space="0" w:color="auto"/>
              <w:right w:val="single" w:sz="8" w:space="0" w:color="auto"/>
            </w:tcBorders>
            <w:shd w:val="clear" w:color="000000" w:fill="D0CECE"/>
            <w:noWrap/>
            <w:vAlign w:val="bottom"/>
            <w:hideMark/>
          </w:tcPr>
          <w:p w14:paraId="7A1B4BF5" w14:textId="02AE89E5" w:rsidR="00553573" w:rsidRPr="003C08A0" w:rsidRDefault="00553573" w:rsidP="00553573">
            <w:pPr>
              <w:jc w:val="right"/>
              <w:rPr>
                <w:rFonts w:ascii="Arial" w:hAnsi="Arial" w:cs="Arial"/>
                <w:b/>
                <w:bCs/>
                <w:sz w:val="16"/>
                <w:szCs w:val="16"/>
                <w:lang w:val="es-ES_tradnl" w:eastAsia="es-AR"/>
              </w:rPr>
            </w:pPr>
            <w:r w:rsidRPr="003C08A0">
              <w:rPr>
                <w:rFonts w:ascii="Arial" w:hAnsi="Arial" w:cs="Arial"/>
                <w:b/>
                <w:bCs/>
                <w:sz w:val="16"/>
                <w:szCs w:val="16"/>
                <w:lang w:eastAsia="es-AR"/>
              </w:rPr>
              <w:t>107.511.294</w:t>
            </w:r>
          </w:p>
        </w:tc>
        <w:tc>
          <w:tcPr>
            <w:tcW w:w="1226" w:type="dxa"/>
            <w:tcBorders>
              <w:top w:val="single" w:sz="8" w:space="0" w:color="auto"/>
              <w:left w:val="nil"/>
              <w:bottom w:val="single" w:sz="8" w:space="0" w:color="auto"/>
              <w:right w:val="single" w:sz="8" w:space="0" w:color="auto"/>
            </w:tcBorders>
            <w:shd w:val="clear" w:color="000000" w:fill="D0CECE"/>
            <w:noWrap/>
            <w:vAlign w:val="bottom"/>
            <w:hideMark/>
          </w:tcPr>
          <w:p w14:paraId="043DEF18" w14:textId="255FFB82" w:rsidR="00553573" w:rsidRPr="003C08A0" w:rsidRDefault="00553573" w:rsidP="00553573">
            <w:pPr>
              <w:jc w:val="right"/>
              <w:rPr>
                <w:rFonts w:ascii="Arial" w:hAnsi="Arial" w:cs="Arial"/>
                <w:b/>
                <w:bCs/>
                <w:sz w:val="16"/>
                <w:szCs w:val="16"/>
                <w:lang w:val="es-ES_tradnl" w:eastAsia="es-AR"/>
              </w:rPr>
            </w:pPr>
            <w:r w:rsidRPr="003C08A0">
              <w:rPr>
                <w:rFonts w:ascii="Arial" w:hAnsi="Arial" w:cs="Arial"/>
                <w:b/>
                <w:bCs/>
                <w:sz w:val="16"/>
                <w:szCs w:val="16"/>
                <w:lang w:eastAsia="es-AR"/>
              </w:rPr>
              <w:t>25.243.510</w:t>
            </w:r>
          </w:p>
        </w:tc>
        <w:tc>
          <w:tcPr>
            <w:tcW w:w="1229" w:type="dxa"/>
            <w:tcBorders>
              <w:top w:val="single" w:sz="8" w:space="0" w:color="auto"/>
              <w:left w:val="nil"/>
              <w:bottom w:val="single" w:sz="8" w:space="0" w:color="auto"/>
              <w:right w:val="single" w:sz="8" w:space="0" w:color="auto"/>
            </w:tcBorders>
            <w:shd w:val="clear" w:color="000000" w:fill="D0CECE"/>
            <w:noWrap/>
            <w:vAlign w:val="bottom"/>
            <w:hideMark/>
          </w:tcPr>
          <w:p w14:paraId="570A0D36" w14:textId="3BA45705" w:rsidR="00553573" w:rsidRPr="003C08A0" w:rsidRDefault="00553573" w:rsidP="00553573">
            <w:pPr>
              <w:jc w:val="right"/>
              <w:rPr>
                <w:rFonts w:ascii="Arial" w:hAnsi="Arial" w:cs="Arial"/>
                <w:b/>
                <w:bCs/>
                <w:sz w:val="16"/>
                <w:szCs w:val="16"/>
                <w:lang w:val="es-ES_tradnl" w:eastAsia="es-AR"/>
              </w:rPr>
            </w:pPr>
            <w:r w:rsidRPr="003C08A0">
              <w:rPr>
                <w:rFonts w:ascii="Arial" w:hAnsi="Arial" w:cs="Arial"/>
                <w:b/>
                <w:bCs/>
                <w:sz w:val="16"/>
                <w:szCs w:val="16"/>
                <w:lang w:eastAsia="es-AR"/>
              </w:rPr>
              <w:t>132.754.804</w:t>
            </w:r>
          </w:p>
        </w:tc>
      </w:tr>
    </w:tbl>
    <w:p w14:paraId="0419AF60" w14:textId="135DBF10" w:rsidR="00EB601A" w:rsidRDefault="00EB601A" w:rsidP="002A4D61">
      <w:pPr>
        <w:widowControl w:val="0"/>
        <w:autoSpaceDE w:val="0"/>
        <w:autoSpaceDN w:val="0"/>
        <w:adjustRightInd w:val="0"/>
        <w:jc w:val="both"/>
        <w:rPr>
          <w:rFonts w:ascii="Arial" w:hAnsi="Arial" w:cs="Arial"/>
          <w:noProof/>
          <w:sz w:val="20"/>
        </w:rPr>
      </w:pPr>
    </w:p>
    <w:p w14:paraId="0E777AF1" w14:textId="77777777" w:rsidR="00EB601A" w:rsidRDefault="00EB601A">
      <w:pPr>
        <w:rPr>
          <w:rFonts w:ascii="Arial" w:hAnsi="Arial" w:cs="Arial"/>
          <w:noProof/>
          <w:sz w:val="20"/>
        </w:rPr>
      </w:pPr>
      <w:r>
        <w:rPr>
          <w:rFonts w:ascii="Arial" w:hAnsi="Arial" w:cs="Arial"/>
          <w:noProof/>
          <w:sz w:val="20"/>
        </w:rPr>
        <w:br w:type="page"/>
      </w:r>
    </w:p>
    <w:p w14:paraId="196D5B8C" w14:textId="77777777" w:rsidR="002A4D61" w:rsidRDefault="002A4D61" w:rsidP="002A4D61">
      <w:pPr>
        <w:widowControl w:val="0"/>
        <w:autoSpaceDE w:val="0"/>
        <w:autoSpaceDN w:val="0"/>
        <w:adjustRightInd w:val="0"/>
        <w:jc w:val="both"/>
        <w:rPr>
          <w:rFonts w:ascii="Arial" w:hAnsi="Arial" w:cs="Arial"/>
          <w:noProof/>
          <w:sz w:val="20"/>
        </w:rPr>
      </w:pPr>
    </w:p>
    <w:tbl>
      <w:tblPr>
        <w:tblW w:w="11127" w:type="dxa"/>
        <w:jc w:val="center"/>
        <w:tblCellMar>
          <w:left w:w="70" w:type="dxa"/>
          <w:right w:w="70" w:type="dxa"/>
        </w:tblCellMar>
        <w:tblLook w:val="04A0" w:firstRow="1" w:lastRow="0" w:firstColumn="1" w:lastColumn="0" w:noHBand="0" w:noVBand="1"/>
      </w:tblPr>
      <w:tblGrid>
        <w:gridCol w:w="3686"/>
        <w:gridCol w:w="1228"/>
        <w:gridCol w:w="1301"/>
        <w:gridCol w:w="1230"/>
        <w:gridCol w:w="1226"/>
        <w:gridCol w:w="1226"/>
        <w:gridCol w:w="1230"/>
      </w:tblGrid>
      <w:tr w:rsidR="002A4D61" w:rsidRPr="003C08A0" w14:paraId="0EAE8F10" w14:textId="77777777" w:rsidTr="00553573">
        <w:trPr>
          <w:trHeight w:val="219"/>
          <w:tblHeader/>
          <w:jc w:val="center"/>
        </w:trPr>
        <w:tc>
          <w:tcPr>
            <w:tcW w:w="3686" w:type="dxa"/>
            <w:tcBorders>
              <w:top w:val="nil"/>
              <w:left w:val="nil"/>
              <w:bottom w:val="nil"/>
              <w:right w:val="nil"/>
            </w:tcBorders>
            <w:shd w:val="clear" w:color="000000" w:fill="FFFFFF"/>
            <w:hideMark/>
          </w:tcPr>
          <w:p w14:paraId="6869B6E9" w14:textId="77777777" w:rsidR="002A4D61" w:rsidRPr="003C08A0" w:rsidRDefault="002A4D61" w:rsidP="002A4D61">
            <w:pPr>
              <w:rPr>
                <w:rFonts w:ascii="Arial" w:hAnsi="Arial" w:cs="Arial"/>
                <w:b/>
                <w:bCs/>
                <w:sz w:val="16"/>
                <w:szCs w:val="16"/>
                <w:lang w:eastAsia="es-AR"/>
              </w:rPr>
            </w:pPr>
            <w:r w:rsidRPr="003C08A0">
              <w:rPr>
                <w:rFonts w:ascii="Arial" w:hAnsi="Arial" w:cs="Arial"/>
                <w:b/>
                <w:bCs/>
                <w:sz w:val="16"/>
                <w:szCs w:val="16"/>
                <w:lang w:eastAsia="es-AR"/>
              </w:rPr>
              <w:t> </w:t>
            </w:r>
          </w:p>
        </w:tc>
        <w:tc>
          <w:tcPr>
            <w:tcW w:w="3759"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9AFBF6" w14:textId="0D91377A"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31/12/201</w:t>
            </w:r>
            <w:r w:rsidR="00553573">
              <w:rPr>
                <w:rFonts w:ascii="Arial" w:hAnsi="Arial" w:cs="Arial"/>
                <w:b/>
                <w:bCs/>
                <w:sz w:val="16"/>
                <w:szCs w:val="16"/>
                <w:lang w:eastAsia="es-AR"/>
              </w:rPr>
              <w:t>9</w:t>
            </w:r>
          </w:p>
        </w:tc>
        <w:tc>
          <w:tcPr>
            <w:tcW w:w="3682"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66C0D4BF" w14:textId="72C19C22"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31/12/201</w:t>
            </w:r>
            <w:r w:rsidR="00553573">
              <w:rPr>
                <w:rFonts w:ascii="Arial" w:hAnsi="Arial" w:cs="Arial"/>
                <w:b/>
                <w:bCs/>
                <w:sz w:val="16"/>
                <w:szCs w:val="16"/>
                <w:lang w:eastAsia="es-AR"/>
              </w:rPr>
              <w:t>8</w:t>
            </w:r>
          </w:p>
        </w:tc>
      </w:tr>
      <w:tr w:rsidR="002A4D61" w:rsidRPr="003C08A0" w14:paraId="1C4469FD" w14:textId="77777777" w:rsidTr="00553573">
        <w:trPr>
          <w:trHeight w:val="219"/>
          <w:tblHeader/>
          <w:jc w:val="center"/>
        </w:trPr>
        <w:tc>
          <w:tcPr>
            <w:tcW w:w="3686" w:type="dxa"/>
            <w:tcBorders>
              <w:top w:val="nil"/>
              <w:left w:val="nil"/>
              <w:bottom w:val="nil"/>
              <w:right w:val="nil"/>
            </w:tcBorders>
            <w:shd w:val="clear" w:color="000000" w:fill="FFFFFF"/>
            <w:hideMark/>
          </w:tcPr>
          <w:p w14:paraId="59B30CF6" w14:textId="77777777" w:rsidR="002A4D61" w:rsidRPr="003C08A0" w:rsidRDefault="002A4D61" w:rsidP="002A4D61">
            <w:pPr>
              <w:rPr>
                <w:rFonts w:ascii="Arial" w:hAnsi="Arial" w:cs="Arial"/>
                <w:b/>
                <w:bCs/>
                <w:sz w:val="16"/>
                <w:szCs w:val="16"/>
                <w:lang w:eastAsia="es-AR"/>
              </w:rPr>
            </w:pPr>
            <w:r w:rsidRPr="003C08A0">
              <w:rPr>
                <w:rFonts w:ascii="Arial" w:hAnsi="Arial" w:cs="Arial"/>
                <w:b/>
                <w:bCs/>
                <w:sz w:val="16"/>
                <w:szCs w:val="16"/>
                <w:lang w:eastAsia="es-AR"/>
              </w:rPr>
              <w:t> </w:t>
            </w:r>
          </w:p>
        </w:tc>
        <w:tc>
          <w:tcPr>
            <w:tcW w:w="1228" w:type="dxa"/>
            <w:tcBorders>
              <w:top w:val="nil"/>
              <w:left w:val="single" w:sz="8" w:space="0" w:color="auto"/>
              <w:bottom w:val="single" w:sz="8" w:space="0" w:color="auto"/>
              <w:right w:val="nil"/>
            </w:tcBorders>
            <w:shd w:val="clear" w:color="auto" w:fill="auto"/>
            <w:noWrap/>
            <w:vAlign w:val="bottom"/>
            <w:hideMark/>
          </w:tcPr>
          <w:p w14:paraId="45052364"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12 meses</w:t>
            </w:r>
          </w:p>
        </w:tc>
        <w:tc>
          <w:tcPr>
            <w:tcW w:w="1301" w:type="dxa"/>
            <w:tcBorders>
              <w:top w:val="nil"/>
              <w:left w:val="single" w:sz="8" w:space="0" w:color="auto"/>
              <w:bottom w:val="single" w:sz="8" w:space="0" w:color="auto"/>
              <w:right w:val="single" w:sz="8" w:space="0" w:color="auto"/>
            </w:tcBorders>
            <w:shd w:val="clear" w:color="auto" w:fill="auto"/>
            <w:noWrap/>
            <w:vAlign w:val="bottom"/>
            <w:hideMark/>
          </w:tcPr>
          <w:p w14:paraId="712B8DFD"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Mas de 12 meses</w:t>
            </w:r>
          </w:p>
        </w:tc>
        <w:tc>
          <w:tcPr>
            <w:tcW w:w="1230" w:type="dxa"/>
            <w:tcBorders>
              <w:top w:val="nil"/>
              <w:left w:val="nil"/>
              <w:bottom w:val="single" w:sz="8" w:space="0" w:color="auto"/>
              <w:right w:val="single" w:sz="8" w:space="0" w:color="auto"/>
            </w:tcBorders>
            <w:shd w:val="clear" w:color="auto" w:fill="auto"/>
            <w:noWrap/>
            <w:vAlign w:val="bottom"/>
            <w:hideMark/>
          </w:tcPr>
          <w:p w14:paraId="2EF31ADF"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Total</w:t>
            </w:r>
          </w:p>
        </w:tc>
        <w:tc>
          <w:tcPr>
            <w:tcW w:w="1226" w:type="dxa"/>
            <w:tcBorders>
              <w:top w:val="nil"/>
              <w:left w:val="nil"/>
              <w:bottom w:val="single" w:sz="8" w:space="0" w:color="auto"/>
              <w:right w:val="nil"/>
            </w:tcBorders>
            <w:shd w:val="clear" w:color="auto" w:fill="auto"/>
            <w:noWrap/>
            <w:vAlign w:val="bottom"/>
            <w:hideMark/>
          </w:tcPr>
          <w:p w14:paraId="3F5AAF82"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12 meses</w:t>
            </w:r>
          </w:p>
        </w:tc>
        <w:tc>
          <w:tcPr>
            <w:tcW w:w="1226" w:type="dxa"/>
            <w:tcBorders>
              <w:top w:val="nil"/>
              <w:left w:val="single" w:sz="8" w:space="0" w:color="auto"/>
              <w:bottom w:val="single" w:sz="8" w:space="0" w:color="auto"/>
              <w:right w:val="single" w:sz="8" w:space="0" w:color="auto"/>
            </w:tcBorders>
            <w:shd w:val="clear" w:color="auto" w:fill="auto"/>
            <w:noWrap/>
            <w:vAlign w:val="bottom"/>
            <w:hideMark/>
          </w:tcPr>
          <w:p w14:paraId="150BE78B"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Mas de 12 meses</w:t>
            </w:r>
          </w:p>
        </w:tc>
        <w:tc>
          <w:tcPr>
            <w:tcW w:w="1230" w:type="dxa"/>
            <w:tcBorders>
              <w:top w:val="nil"/>
              <w:left w:val="nil"/>
              <w:bottom w:val="single" w:sz="8" w:space="0" w:color="auto"/>
              <w:right w:val="single" w:sz="8" w:space="0" w:color="auto"/>
            </w:tcBorders>
            <w:shd w:val="clear" w:color="auto" w:fill="auto"/>
            <w:noWrap/>
            <w:vAlign w:val="bottom"/>
            <w:hideMark/>
          </w:tcPr>
          <w:p w14:paraId="04BE86C2" w14:textId="77777777" w:rsidR="002A4D61" w:rsidRPr="003C08A0" w:rsidRDefault="002A4D61" w:rsidP="002A4D61">
            <w:pPr>
              <w:jc w:val="center"/>
              <w:rPr>
                <w:rFonts w:ascii="Arial" w:hAnsi="Arial" w:cs="Arial"/>
                <w:b/>
                <w:bCs/>
                <w:sz w:val="16"/>
                <w:szCs w:val="16"/>
                <w:lang w:eastAsia="es-AR"/>
              </w:rPr>
            </w:pPr>
            <w:r w:rsidRPr="003C08A0">
              <w:rPr>
                <w:rFonts w:ascii="Arial" w:hAnsi="Arial" w:cs="Arial"/>
                <w:b/>
                <w:bCs/>
                <w:sz w:val="16"/>
                <w:szCs w:val="16"/>
                <w:lang w:eastAsia="es-AR"/>
              </w:rPr>
              <w:t>Total</w:t>
            </w:r>
          </w:p>
        </w:tc>
      </w:tr>
      <w:tr w:rsidR="002A4D61" w:rsidRPr="003C08A0" w14:paraId="2A7E2DC5" w14:textId="77777777" w:rsidTr="00553573">
        <w:trPr>
          <w:trHeight w:val="219"/>
          <w:jc w:val="center"/>
        </w:trPr>
        <w:tc>
          <w:tcPr>
            <w:tcW w:w="3686" w:type="dxa"/>
            <w:tcBorders>
              <w:top w:val="single" w:sz="8" w:space="0" w:color="auto"/>
              <w:left w:val="single" w:sz="8" w:space="0" w:color="auto"/>
              <w:bottom w:val="single" w:sz="8" w:space="0" w:color="auto"/>
              <w:right w:val="nil"/>
            </w:tcBorders>
            <w:shd w:val="clear" w:color="000000" w:fill="D0CECE"/>
            <w:noWrap/>
            <w:vAlign w:val="bottom"/>
            <w:hideMark/>
          </w:tcPr>
          <w:p w14:paraId="07A2DA84" w14:textId="77777777" w:rsidR="002A4D61" w:rsidRPr="003C08A0" w:rsidRDefault="002A4D61" w:rsidP="002A4D61">
            <w:pPr>
              <w:rPr>
                <w:rFonts w:ascii="Arial" w:hAnsi="Arial" w:cs="Arial"/>
                <w:b/>
                <w:bCs/>
                <w:sz w:val="16"/>
                <w:szCs w:val="16"/>
                <w:lang w:eastAsia="es-AR"/>
              </w:rPr>
            </w:pPr>
            <w:r w:rsidRPr="003C08A0">
              <w:rPr>
                <w:rFonts w:ascii="Arial" w:hAnsi="Arial" w:cs="Arial"/>
                <w:b/>
                <w:bCs/>
                <w:sz w:val="16"/>
                <w:szCs w:val="16"/>
                <w:lang w:eastAsia="es-AR"/>
              </w:rPr>
              <w:t>PASIVO</w:t>
            </w:r>
          </w:p>
        </w:tc>
        <w:tc>
          <w:tcPr>
            <w:tcW w:w="1228" w:type="dxa"/>
            <w:tcBorders>
              <w:top w:val="nil"/>
              <w:left w:val="single" w:sz="8" w:space="0" w:color="auto"/>
              <w:bottom w:val="single" w:sz="8" w:space="0" w:color="auto"/>
              <w:right w:val="nil"/>
            </w:tcBorders>
            <w:shd w:val="clear" w:color="000000" w:fill="D0CECE"/>
            <w:noWrap/>
            <w:vAlign w:val="bottom"/>
            <w:hideMark/>
          </w:tcPr>
          <w:p w14:paraId="0DA5B7FF" w14:textId="77777777" w:rsidR="002A4D61" w:rsidRPr="003C08A0" w:rsidRDefault="002A4D61" w:rsidP="002A4D61">
            <w:pPr>
              <w:jc w:val="center"/>
              <w:rPr>
                <w:rFonts w:ascii="Arial" w:hAnsi="Arial" w:cs="Arial"/>
                <w:sz w:val="16"/>
                <w:szCs w:val="16"/>
                <w:lang w:eastAsia="es-AR"/>
              </w:rPr>
            </w:pPr>
            <w:r w:rsidRPr="003C08A0">
              <w:rPr>
                <w:rFonts w:ascii="Arial" w:hAnsi="Arial" w:cs="Arial"/>
                <w:sz w:val="16"/>
                <w:szCs w:val="16"/>
                <w:lang w:eastAsia="es-AR"/>
              </w:rPr>
              <w:t> </w:t>
            </w:r>
          </w:p>
        </w:tc>
        <w:tc>
          <w:tcPr>
            <w:tcW w:w="1301" w:type="dxa"/>
            <w:tcBorders>
              <w:top w:val="nil"/>
              <w:left w:val="single" w:sz="8" w:space="0" w:color="auto"/>
              <w:bottom w:val="single" w:sz="8" w:space="0" w:color="auto"/>
              <w:right w:val="single" w:sz="8" w:space="0" w:color="auto"/>
            </w:tcBorders>
            <w:shd w:val="clear" w:color="000000" w:fill="D0CECE"/>
            <w:noWrap/>
            <w:vAlign w:val="bottom"/>
            <w:hideMark/>
          </w:tcPr>
          <w:p w14:paraId="29907466" w14:textId="77777777" w:rsidR="002A4D61" w:rsidRPr="003C08A0" w:rsidRDefault="002A4D61" w:rsidP="002A4D61">
            <w:pPr>
              <w:jc w:val="center"/>
              <w:rPr>
                <w:rFonts w:ascii="Arial" w:hAnsi="Arial" w:cs="Arial"/>
                <w:sz w:val="16"/>
                <w:szCs w:val="16"/>
                <w:lang w:eastAsia="es-AR"/>
              </w:rPr>
            </w:pPr>
            <w:r w:rsidRPr="003C08A0">
              <w:rPr>
                <w:rFonts w:ascii="Arial" w:hAnsi="Arial" w:cs="Arial"/>
                <w:sz w:val="16"/>
                <w:szCs w:val="16"/>
                <w:lang w:eastAsia="es-AR"/>
              </w:rPr>
              <w:t> </w:t>
            </w:r>
          </w:p>
        </w:tc>
        <w:tc>
          <w:tcPr>
            <w:tcW w:w="1230" w:type="dxa"/>
            <w:tcBorders>
              <w:top w:val="nil"/>
              <w:left w:val="nil"/>
              <w:bottom w:val="single" w:sz="8" w:space="0" w:color="auto"/>
              <w:right w:val="single" w:sz="8" w:space="0" w:color="auto"/>
            </w:tcBorders>
            <w:shd w:val="clear" w:color="000000" w:fill="D0CECE"/>
            <w:noWrap/>
            <w:vAlign w:val="bottom"/>
            <w:hideMark/>
          </w:tcPr>
          <w:p w14:paraId="25CE40D4" w14:textId="77777777" w:rsidR="002A4D61" w:rsidRPr="003C08A0" w:rsidRDefault="002A4D61" w:rsidP="002A4D61">
            <w:pPr>
              <w:jc w:val="center"/>
              <w:rPr>
                <w:rFonts w:ascii="Arial" w:hAnsi="Arial" w:cs="Arial"/>
                <w:sz w:val="16"/>
                <w:szCs w:val="16"/>
                <w:lang w:eastAsia="es-AR"/>
              </w:rPr>
            </w:pPr>
            <w:r w:rsidRPr="003C08A0">
              <w:rPr>
                <w:rFonts w:ascii="Arial" w:hAnsi="Arial" w:cs="Arial"/>
                <w:sz w:val="16"/>
                <w:szCs w:val="16"/>
                <w:lang w:eastAsia="es-AR"/>
              </w:rPr>
              <w:t> </w:t>
            </w:r>
          </w:p>
        </w:tc>
        <w:tc>
          <w:tcPr>
            <w:tcW w:w="1226" w:type="dxa"/>
            <w:tcBorders>
              <w:top w:val="nil"/>
              <w:left w:val="nil"/>
              <w:bottom w:val="single" w:sz="8" w:space="0" w:color="auto"/>
              <w:right w:val="nil"/>
            </w:tcBorders>
            <w:shd w:val="clear" w:color="000000" w:fill="D0CECE"/>
            <w:noWrap/>
            <w:vAlign w:val="bottom"/>
            <w:hideMark/>
          </w:tcPr>
          <w:p w14:paraId="7499BB56" w14:textId="77777777" w:rsidR="002A4D61" w:rsidRPr="003C08A0" w:rsidRDefault="002A4D61" w:rsidP="002A4D61">
            <w:pPr>
              <w:jc w:val="center"/>
              <w:rPr>
                <w:rFonts w:ascii="Arial" w:hAnsi="Arial" w:cs="Arial"/>
                <w:sz w:val="16"/>
                <w:szCs w:val="16"/>
                <w:lang w:eastAsia="es-AR"/>
              </w:rPr>
            </w:pPr>
            <w:r w:rsidRPr="003C08A0">
              <w:rPr>
                <w:rFonts w:ascii="Arial" w:hAnsi="Arial" w:cs="Arial"/>
                <w:sz w:val="16"/>
                <w:szCs w:val="16"/>
                <w:lang w:eastAsia="es-AR"/>
              </w:rPr>
              <w:t> </w:t>
            </w:r>
          </w:p>
        </w:tc>
        <w:tc>
          <w:tcPr>
            <w:tcW w:w="1226" w:type="dxa"/>
            <w:tcBorders>
              <w:top w:val="nil"/>
              <w:left w:val="single" w:sz="8" w:space="0" w:color="auto"/>
              <w:bottom w:val="single" w:sz="8" w:space="0" w:color="auto"/>
              <w:right w:val="single" w:sz="8" w:space="0" w:color="auto"/>
            </w:tcBorders>
            <w:shd w:val="clear" w:color="000000" w:fill="D0CECE"/>
            <w:noWrap/>
            <w:vAlign w:val="bottom"/>
            <w:hideMark/>
          </w:tcPr>
          <w:p w14:paraId="48B4C688" w14:textId="77777777" w:rsidR="002A4D61" w:rsidRPr="003C08A0" w:rsidRDefault="002A4D61" w:rsidP="002A4D61">
            <w:pPr>
              <w:jc w:val="center"/>
              <w:rPr>
                <w:rFonts w:ascii="Arial" w:hAnsi="Arial" w:cs="Arial"/>
                <w:sz w:val="16"/>
                <w:szCs w:val="16"/>
                <w:lang w:eastAsia="es-AR"/>
              </w:rPr>
            </w:pPr>
            <w:r w:rsidRPr="003C08A0">
              <w:rPr>
                <w:rFonts w:ascii="Arial" w:hAnsi="Arial" w:cs="Arial"/>
                <w:sz w:val="16"/>
                <w:szCs w:val="16"/>
                <w:lang w:eastAsia="es-AR"/>
              </w:rPr>
              <w:t> </w:t>
            </w:r>
          </w:p>
        </w:tc>
        <w:tc>
          <w:tcPr>
            <w:tcW w:w="1230" w:type="dxa"/>
            <w:tcBorders>
              <w:top w:val="nil"/>
              <w:left w:val="nil"/>
              <w:bottom w:val="single" w:sz="8" w:space="0" w:color="auto"/>
              <w:right w:val="single" w:sz="8" w:space="0" w:color="auto"/>
            </w:tcBorders>
            <w:shd w:val="clear" w:color="000000" w:fill="D0CECE"/>
            <w:noWrap/>
            <w:vAlign w:val="bottom"/>
            <w:hideMark/>
          </w:tcPr>
          <w:p w14:paraId="5A3125A6" w14:textId="77777777" w:rsidR="002A4D61" w:rsidRPr="003C08A0" w:rsidRDefault="002A4D61" w:rsidP="002A4D61">
            <w:pPr>
              <w:jc w:val="center"/>
              <w:rPr>
                <w:rFonts w:ascii="Arial" w:hAnsi="Arial" w:cs="Arial"/>
                <w:sz w:val="16"/>
                <w:szCs w:val="16"/>
                <w:lang w:eastAsia="es-AR"/>
              </w:rPr>
            </w:pPr>
            <w:r w:rsidRPr="003C08A0">
              <w:rPr>
                <w:rFonts w:ascii="Arial" w:hAnsi="Arial" w:cs="Arial"/>
                <w:sz w:val="16"/>
                <w:szCs w:val="16"/>
                <w:lang w:eastAsia="es-AR"/>
              </w:rPr>
              <w:t> </w:t>
            </w:r>
          </w:p>
        </w:tc>
      </w:tr>
      <w:tr w:rsidR="00553573" w:rsidRPr="003C08A0" w14:paraId="603D73C8" w14:textId="77777777" w:rsidTr="00553573">
        <w:trPr>
          <w:trHeight w:val="206"/>
          <w:jc w:val="center"/>
        </w:trPr>
        <w:tc>
          <w:tcPr>
            <w:tcW w:w="3686" w:type="dxa"/>
            <w:tcBorders>
              <w:top w:val="nil"/>
              <w:left w:val="single" w:sz="8" w:space="0" w:color="auto"/>
              <w:bottom w:val="single" w:sz="4" w:space="0" w:color="auto"/>
              <w:right w:val="nil"/>
            </w:tcBorders>
            <w:shd w:val="clear" w:color="auto" w:fill="auto"/>
            <w:vAlign w:val="bottom"/>
            <w:hideMark/>
          </w:tcPr>
          <w:p w14:paraId="45AE9796"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Depósitos</w:t>
            </w:r>
          </w:p>
        </w:tc>
        <w:tc>
          <w:tcPr>
            <w:tcW w:w="1228" w:type="dxa"/>
            <w:tcBorders>
              <w:top w:val="nil"/>
              <w:left w:val="single" w:sz="8" w:space="0" w:color="auto"/>
              <w:bottom w:val="single" w:sz="4" w:space="0" w:color="auto"/>
              <w:right w:val="nil"/>
            </w:tcBorders>
            <w:shd w:val="clear" w:color="auto" w:fill="auto"/>
            <w:noWrap/>
            <w:vAlign w:val="bottom"/>
          </w:tcPr>
          <w:p w14:paraId="55FA3819" w14:textId="5B4E1E54"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89.735.86</w:t>
            </w:r>
            <w:r w:rsidR="009209EE">
              <w:rPr>
                <w:rFonts w:ascii="Arial" w:hAnsi="Arial" w:cs="Arial"/>
                <w:sz w:val="16"/>
                <w:szCs w:val="16"/>
                <w:lang w:val="es-ES_tradnl" w:eastAsia="es-AR"/>
              </w:rPr>
              <w:t>9</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7B46F26B" w14:textId="798C42FD"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1.200</w:t>
            </w:r>
          </w:p>
        </w:tc>
        <w:tc>
          <w:tcPr>
            <w:tcW w:w="1230" w:type="dxa"/>
            <w:tcBorders>
              <w:top w:val="nil"/>
              <w:left w:val="nil"/>
              <w:bottom w:val="single" w:sz="4" w:space="0" w:color="auto"/>
              <w:right w:val="single" w:sz="8" w:space="0" w:color="auto"/>
            </w:tcBorders>
            <w:shd w:val="clear" w:color="auto" w:fill="auto"/>
            <w:noWrap/>
            <w:vAlign w:val="bottom"/>
          </w:tcPr>
          <w:p w14:paraId="6BCEDCD1" w14:textId="3BA0015A"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89.737.06</w:t>
            </w:r>
            <w:r w:rsidR="00EE0123">
              <w:rPr>
                <w:rFonts w:ascii="Arial" w:hAnsi="Arial" w:cs="Arial"/>
                <w:sz w:val="16"/>
                <w:szCs w:val="16"/>
                <w:lang w:val="es-ES_tradnl" w:eastAsia="es-AR"/>
              </w:rPr>
              <w:t>9</w:t>
            </w:r>
          </w:p>
        </w:tc>
        <w:tc>
          <w:tcPr>
            <w:tcW w:w="1226" w:type="dxa"/>
            <w:tcBorders>
              <w:top w:val="nil"/>
              <w:left w:val="nil"/>
              <w:bottom w:val="single" w:sz="4" w:space="0" w:color="auto"/>
              <w:right w:val="nil"/>
            </w:tcBorders>
            <w:shd w:val="clear" w:color="auto" w:fill="auto"/>
            <w:noWrap/>
            <w:vAlign w:val="bottom"/>
            <w:hideMark/>
          </w:tcPr>
          <w:p w14:paraId="79FA3821" w14:textId="2A875E8D"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93.938.500</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0F485416" w14:textId="7680C9B1"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86.578</w:t>
            </w:r>
          </w:p>
        </w:tc>
        <w:tc>
          <w:tcPr>
            <w:tcW w:w="1230" w:type="dxa"/>
            <w:tcBorders>
              <w:top w:val="nil"/>
              <w:left w:val="nil"/>
              <w:bottom w:val="single" w:sz="4" w:space="0" w:color="auto"/>
              <w:right w:val="single" w:sz="8" w:space="0" w:color="auto"/>
            </w:tcBorders>
            <w:shd w:val="clear" w:color="auto" w:fill="auto"/>
            <w:noWrap/>
            <w:vAlign w:val="bottom"/>
            <w:hideMark/>
          </w:tcPr>
          <w:p w14:paraId="64CE7A7A" w14:textId="6A9DFFBB"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94.025.078</w:t>
            </w:r>
          </w:p>
        </w:tc>
      </w:tr>
      <w:tr w:rsidR="00553573" w:rsidRPr="003C08A0" w14:paraId="2E23ED39" w14:textId="77777777" w:rsidTr="00553573">
        <w:trPr>
          <w:trHeight w:val="206"/>
          <w:jc w:val="center"/>
        </w:trPr>
        <w:tc>
          <w:tcPr>
            <w:tcW w:w="3686" w:type="dxa"/>
            <w:tcBorders>
              <w:top w:val="nil"/>
              <w:left w:val="single" w:sz="8" w:space="0" w:color="auto"/>
              <w:bottom w:val="single" w:sz="4" w:space="0" w:color="auto"/>
              <w:right w:val="nil"/>
            </w:tcBorders>
            <w:shd w:val="clear" w:color="auto" w:fill="auto"/>
            <w:vAlign w:val="bottom"/>
            <w:hideMark/>
          </w:tcPr>
          <w:p w14:paraId="308FBB37" w14:textId="77777777" w:rsidR="00553573" w:rsidRPr="003C08A0" w:rsidRDefault="00553573" w:rsidP="00553573">
            <w:pPr>
              <w:rPr>
                <w:rFonts w:ascii="Arial" w:hAnsi="Arial" w:cs="Arial"/>
                <w:sz w:val="16"/>
                <w:szCs w:val="16"/>
                <w:lang w:eastAsia="es-AR"/>
              </w:rPr>
            </w:pPr>
            <w:r w:rsidRPr="003C08A0">
              <w:rPr>
                <w:rFonts w:ascii="Arial" w:hAnsi="Arial" w:cs="Arial"/>
                <w:sz w:val="16"/>
                <w:szCs w:val="16"/>
                <w:lang w:eastAsia="es-AR"/>
              </w:rPr>
              <w:t xml:space="preserve">   Sector público no financiero</w:t>
            </w:r>
          </w:p>
        </w:tc>
        <w:tc>
          <w:tcPr>
            <w:tcW w:w="1228" w:type="dxa"/>
            <w:tcBorders>
              <w:top w:val="nil"/>
              <w:left w:val="single" w:sz="8" w:space="0" w:color="auto"/>
              <w:bottom w:val="single" w:sz="4" w:space="0" w:color="auto"/>
              <w:right w:val="nil"/>
            </w:tcBorders>
            <w:shd w:val="clear" w:color="auto" w:fill="auto"/>
            <w:noWrap/>
            <w:vAlign w:val="bottom"/>
          </w:tcPr>
          <w:p w14:paraId="150DF49D" w14:textId="7C8723C8"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5.470.17</w:t>
            </w:r>
            <w:r w:rsidR="009209EE">
              <w:rPr>
                <w:rFonts w:ascii="Arial" w:hAnsi="Arial" w:cs="Arial"/>
                <w:sz w:val="16"/>
                <w:szCs w:val="16"/>
                <w:lang w:val="es-ES_tradnl" w:eastAsia="es-AR"/>
              </w:rPr>
              <w:t>7</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536DF763" w14:textId="39D11074"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3CB86E53" w14:textId="0E1EF193"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5.470.17</w:t>
            </w:r>
            <w:r w:rsidR="00EE0123">
              <w:rPr>
                <w:rFonts w:ascii="Arial" w:hAnsi="Arial" w:cs="Arial"/>
                <w:sz w:val="16"/>
                <w:szCs w:val="16"/>
                <w:lang w:val="es-ES_tradnl" w:eastAsia="es-AR"/>
              </w:rPr>
              <w:t>7</w:t>
            </w:r>
          </w:p>
        </w:tc>
        <w:tc>
          <w:tcPr>
            <w:tcW w:w="1226" w:type="dxa"/>
            <w:tcBorders>
              <w:top w:val="nil"/>
              <w:left w:val="nil"/>
              <w:bottom w:val="single" w:sz="4" w:space="0" w:color="auto"/>
              <w:right w:val="nil"/>
            </w:tcBorders>
            <w:shd w:val="clear" w:color="auto" w:fill="auto"/>
            <w:noWrap/>
            <w:vAlign w:val="bottom"/>
            <w:hideMark/>
          </w:tcPr>
          <w:p w14:paraId="0A6D4C6F" w14:textId="2B6CDE0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11.105.477</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1E19EF7B" w14:textId="3D3BE3B3"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30" w:type="dxa"/>
            <w:tcBorders>
              <w:top w:val="nil"/>
              <w:left w:val="nil"/>
              <w:bottom w:val="single" w:sz="4" w:space="0" w:color="auto"/>
              <w:right w:val="single" w:sz="8" w:space="0" w:color="auto"/>
            </w:tcBorders>
            <w:shd w:val="clear" w:color="auto" w:fill="auto"/>
            <w:noWrap/>
            <w:vAlign w:val="bottom"/>
            <w:hideMark/>
          </w:tcPr>
          <w:p w14:paraId="6404FB27" w14:textId="027CBBA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11.105.477</w:t>
            </w:r>
          </w:p>
        </w:tc>
      </w:tr>
      <w:tr w:rsidR="00553573" w:rsidRPr="003C08A0" w14:paraId="39EBA7E0" w14:textId="77777777" w:rsidTr="00553573">
        <w:trPr>
          <w:trHeight w:val="206"/>
          <w:jc w:val="center"/>
        </w:trPr>
        <w:tc>
          <w:tcPr>
            <w:tcW w:w="3686" w:type="dxa"/>
            <w:tcBorders>
              <w:top w:val="nil"/>
              <w:left w:val="single" w:sz="8" w:space="0" w:color="auto"/>
              <w:bottom w:val="single" w:sz="4" w:space="0" w:color="auto"/>
              <w:right w:val="nil"/>
            </w:tcBorders>
            <w:shd w:val="clear" w:color="auto" w:fill="auto"/>
            <w:vAlign w:val="bottom"/>
            <w:hideMark/>
          </w:tcPr>
          <w:p w14:paraId="33506652" w14:textId="77777777" w:rsidR="00553573" w:rsidRPr="003C08A0" w:rsidRDefault="00553573" w:rsidP="00553573">
            <w:pPr>
              <w:rPr>
                <w:rFonts w:ascii="Arial" w:hAnsi="Arial" w:cs="Arial"/>
                <w:sz w:val="16"/>
                <w:szCs w:val="16"/>
                <w:lang w:eastAsia="es-AR"/>
              </w:rPr>
            </w:pPr>
            <w:r w:rsidRPr="003C08A0">
              <w:rPr>
                <w:rFonts w:ascii="Arial" w:hAnsi="Arial" w:cs="Arial"/>
                <w:sz w:val="16"/>
                <w:szCs w:val="16"/>
                <w:lang w:eastAsia="es-AR"/>
              </w:rPr>
              <w:t xml:space="preserve">   Sector financiero</w:t>
            </w:r>
          </w:p>
        </w:tc>
        <w:tc>
          <w:tcPr>
            <w:tcW w:w="1228" w:type="dxa"/>
            <w:tcBorders>
              <w:top w:val="nil"/>
              <w:left w:val="single" w:sz="8" w:space="0" w:color="auto"/>
              <w:bottom w:val="single" w:sz="4" w:space="0" w:color="auto"/>
              <w:right w:val="nil"/>
            </w:tcBorders>
            <w:shd w:val="clear" w:color="auto" w:fill="auto"/>
            <w:noWrap/>
            <w:vAlign w:val="bottom"/>
          </w:tcPr>
          <w:p w14:paraId="2E721DA0" w14:textId="0282BCFC"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37.35</w:t>
            </w:r>
            <w:r w:rsidR="009209EE">
              <w:rPr>
                <w:rFonts w:ascii="Arial" w:hAnsi="Arial" w:cs="Arial"/>
                <w:sz w:val="16"/>
                <w:szCs w:val="16"/>
                <w:lang w:val="es-ES_tradnl" w:eastAsia="es-AR"/>
              </w:rPr>
              <w:t>8</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6AE741B0" w14:textId="23CB3B49"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44CFF07A" w14:textId="5986CC98"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37.35</w:t>
            </w:r>
            <w:r w:rsidR="00EE0123">
              <w:rPr>
                <w:rFonts w:ascii="Arial" w:hAnsi="Arial" w:cs="Arial"/>
                <w:sz w:val="16"/>
                <w:szCs w:val="16"/>
                <w:lang w:val="es-ES_tradnl" w:eastAsia="es-AR"/>
              </w:rPr>
              <w:t>8</w:t>
            </w:r>
          </w:p>
        </w:tc>
        <w:tc>
          <w:tcPr>
            <w:tcW w:w="1226" w:type="dxa"/>
            <w:tcBorders>
              <w:top w:val="nil"/>
              <w:left w:val="nil"/>
              <w:bottom w:val="single" w:sz="4" w:space="0" w:color="auto"/>
              <w:right w:val="nil"/>
            </w:tcBorders>
            <w:shd w:val="clear" w:color="auto" w:fill="auto"/>
            <w:noWrap/>
            <w:vAlign w:val="bottom"/>
            <w:hideMark/>
          </w:tcPr>
          <w:p w14:paraId="784955C1" w14:textId="481D986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33.099</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306BBA5C" w14:textId="32524B33"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30" w:type="dxa"/>
            <w:tcBorders>
              <w:top w:val="nil"/>
              <w:left w:val="nil"/>
              <w:bottom w:val="single" w:sz="4" w:space="0" w:color="auto"/>
              <w:right w:val="single" w:sz="8" w:space="0" w:color="auto"/>
            </w:tcBorders>
            <w:shd w:val="clear" w:color="auto" w:fill="auto"/>
            <w:noWrap/>
            <w:vAlign w:val="bottom"/>
            <w:hideMark/>
          </w:tcPr>
          <w:p w14:paraId="2FD92EF8" w14:textId="33AFE2AB"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33.099</w:t>
            </w:r>
          </w:p>
        </w:tc>
      </w:tr>
      <w:tr w:rsidR="00553573" w:rsidRPr="003C08A0" w14:paraId="6FBC3C7D" w14:textId="77777777" w:rsidTr="00553573">
        <w:trPr>
          <w:trHeight w:val="206"/>
          <w:jc w:val="center"/>
        </w:trPr>
        <w:tc>
          <w:tcPr>
            <w:tcW w:w="3686" w:type="dxa"/>
            <w:tcBorders>
              <w:top w:val="nil"/>
              <w:left w:val="single" w:sz="8" w:space="0" w:color="auto"/>
              <w:bottom w:val="single" w:sz="4" w:space="0" w:color="auto"/>
              <w:right w:val="nil"/>
            </w:tcBorders>
            <w:shd w:val="clear" w:color="auto" w:fill="auto"/>
            <w:vAlign w:val="bottom"/>
            <w:hideMark/>
          </w:tcPr>
          <w:p w14:paraId="209416AA" w14:textId="77777777" w:rsidR="00553573" w:rsidRPr="003C08A0" w:rsidRDefault="00553573" w:rsidP="00553573">
            <w:pPr>
              <w:rPr>
                <w:rFonts w:ascii="Arial" w:hAnsi="Arial" w:cs="Arial"/>
                <w:sz w:val="16"/>
                <w:szCs w:val="16"/>
                <w:lang w:eastAsia="es-AR"/>
              </w:rPr>
            </w:pPr>
            <w:r w:rsidRPr="003C08A0">
              <w:rPr>
                <w:rFonts w:ascii="Arial" w:hAnsi="Arial" w:cs="Arial"/>
                <w:sz w:val="16"/>
                <w:szCs w:val="16"/>
                <w:lang w:eastAsia="es-AR"/>
              </w:rPr>
              <w:t xml:space="preserve">   Sector privado no financiero y residentes en el exterior</w:t>
            </w:r>
          </w:p>
        </w:tc>
        <w:tc>
          <w:tcPr>
            <w:tcW w:w="1228" w:type="dxa"/>
            <w:tcBorders>
              <w:top w:val="nil"/>
              <w:left w:val="single" w:sz="8" w:space="0" w:color="auto"/>
              <w:bottom w:val="single" w:sz="4" w:space="0" w:color="auto"/>
              <w:right w:val="nil"/>
            </w:tcBorders>
            <w:shd w:val="clear" w:color="auto" w:fill="auto"/>
            <w:noWrap/>
            <w:vAlign w:val="bottom"/>
          </w:tcPr>
          <w:p w14:paraId="6C364CE0" w14:textId="3D479A4B"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84.228.33</w:t>
            </w:r>
            <w:r w:rsidR="009209EE">
              <w:rPr>
                <w:rFonts w:ascii="Arial" w:hAnsi="Arial" w:cs="Arial"/>
                <w:sz w:val="16"/>
                <w:szCs w:val="16"/>
                <w:lang w:val="es-ES_tradnl" w:eastAsia="es-AR"/>
              </w:rPr>
              <w:t>4</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7A301466" w14:textId="5B372891"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1.200</w:t>
            </w:r>
          </w:p>
        </w:tc>
        <w:tc>
          <w:tcPr>
            <w:tcW w:w="1230" w:type="dxa"/>
            <w:tcBorders>
              <w:top w:val="nil"/>
              <w:left w:val="nil"/>
              <w:bottom w:val="single" w:sz="4" w:space="0" w:color="auto"/>
              <w:right w:val="single" w:sz="8" w:space="0" w:color="auto"/>
            </w:tcBorders>
            <w:shd w:val="clear" w:color="auto" w:fill="auto"/>
            <w:noWrap/>
            <w:vAlign w:val="bottom"/>
          </w:tcPr>
          <w:p w14:paraId="218B83F8" w14:textId="44C8D514"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84.229.53</w:t>
            </w:r>
            <w:r w:rsidR="00EE0123">
              <w:rPr>
                <w:rFonts w:ascii="Arial" w:hAnsi="Arial" w:cs="Arial"/>
                <w:sz w:val="16"/>
                <w:szCs w:val="16"/>
                <w:lang w:val="es-ES_tradnl" w:eastAsia="es-AR"/>
              </w:rPr>
              <w:t>4</w:t>
            </w:r>
          </w:p>
        </w:tc>
        <w:tc>
          <w:tcPr>
            <w:tcW w:w="1226" w:type="dxa"/>
            <w:tcBorders>
              <w:top w:val="nil"/>
              <w:left w:val="nil"/>
              <w:bottom w:val="single" w:sz="4" w:space="0" w:color="auto"/>
              <w:right w:val="nil"/>
            </w:tcBorders>
            <w:shd w:val="clear" w:color="auto" w:fill="auto"/>
            <w:noWrap/>
            <w:vAlign w:val="bottom"/>
            <w:hideMark/>
          </w:tcPr>
          <w:p w14:paraId="00527EC4" w14:textId="3A002274"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82.799.924</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77D5C51F" w14:textId="74E4FBAD"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86.578</w:t>
            </w:r>
          </w:p>
        </w:tc>
        <w:tc>
          <w:tcPr>
            <w:tcW w:w="1230" w:type="dxa"/>
            <w:tcBorders>
              <w:top w:val="nil"/>
              <w:left w:val="nil"/>
              <w:bottom w:val="single" w:sz="4" w:space="0" w:color="auto"/>
              <w:right w:val="single" w:sz="8" w:space="0" w:color="auto"/>
            </w:tcBorders>
            <w:shd w:val="clear" w:color="auto" w:fill="auto"/>
            <w:noWrap/>
            <w:vAlign w:val="bottom"/>
            <w:hideMark/>
          </w:tcPr>
          <w:p w14:paraId="5EF81EA3" w14:textId="5ACC2135"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82.886.502</w:t>
            </w:r>
          </w:p>
        </w:tc>
      </w:tr>
      <w:tr w:rsidR="00553573" w:rsidRPr="003C08A0" w14:paraId="735224C8" w14:textId="77777777" w:rsidTr="00553573">
        <w:trPr>
          <w:trHeight w:val="206"/>
          <w:jc w:val="center"/>
        </w:trPr>
        <w:tc>
          <w:tcPr>
            <w:tcW w:w="3686" w:type="dxa"/>
            <w:tcBorders>
              <w:top w:val="nil"/>
              <w:left w:val="single" w:sz="8" w:space="0" w:color="auto"/>
              <w:bottom w:val="single" w:sz="4" w:space="0" w:color="auto"/>
              <w:right w:val="nil"/>
            </w:tcBorders>
            <w:shd w:val="clear" w:color="auto" w:fill="auto"/>
            <w:vAlign w:val="bottom"/>
            <w:hideMark/>
          </w:tcPr>
          <w:p w14:paraId="2369691E"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Pasivos a valor razonable con cambios en resultados</w:t>
            </w:r>
          </w:p>
        </w:tc>
        <w:tc>
          <w:tcPr>
            <w:tcW w:w="1228" w:type="dxa"/>
            <w:tcBorders>
              <w:top w:val="nil"/>
              <w:left w:val="single" w:sz="8" w:space="0" w:color="auto"/>
              <w:bottom w:val="single" w:sz="4" w:space="0" w:color="auto"/>
              <w:right w:val="nil"/>
            </w:tcBorders>
            <w:shd w:val="clear" w:color="auto" w:fill="auto"/>
            <w:noWrap/>
            <w:vAlign w:val="bottom"/>
          </w:tcPr>
          <w:p w14:paraId="1DF27858" w14:textId="579E4A5A"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133.</w:t>
            </w:r>
            <w:r w:rsidR="009209EE">
              <w:rPr>
                <w:rFonts w:ascii="Arial" w:hAnsi="Arial" w:cs="Arial"/>
                <w:sz w:val="16"/>
                <w:szCs w:val="16"/>
                <w:lang w:val="es-ES_tradnl" w:eastAsia="es-AR"/>
              </w:rPr>
              <w:t>300</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79FF96A4" w14:textId="64E1DC91"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5D430724" w14:textId="42E67C6B"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133.</w:t>
            </w:r>
            <w:r w:rsidR="00EE0123">
              <w:rPr>
                <w:rFonts w:ascii="Arial" w:hAnsi="Arial" w:cs="Arial"/>
                <w:sz w:val="16"/>
                <w:szCs w:val="16"/>
                <w:lang w:val="es-ES_tradnl" w:eastAsia="es-AR"/>
              </w:rPr>
              <w:t>300</w:t>
            </w:r>
          </w:p>
        </w:tc>
        <w:tc>
          <w:tcPr>
            <w:tcW w:w="1226" w:type="dxa"/>
            <w:tcBorders>
              <w:top w:val="nil"/>
              <w:left w:val="nil"/>
              <w:bottom w:val="single" w:sz="4" w:space="0" w:color="auto"/>
              <w:right w:val="nil"/>
            </w:tcBorders>
            <w:shd w:val="clear" w:color="auto" w:fill="auto"/>
            <w:noWrap/>
            <w:vAlign w:val="bottom"/>
            <w:hideMark/>
          </w:tcPr>
          <w:p w14:paraId="6F75C9C4" w14:textId="283A51AC"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613.686</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14CA4E4E" w14:textId="4561275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30" w:type="dxa"/>
            <w:tcBorders>
              <w:top w:val="nil"/>
              <w:left w:val="nil"/>
              <w:bottom w:val="single" w:sz="4" w:space="0" w:color="auto"/>
              <w:right w:val="single" w:sz="8" w:space="0" w:color="auto"/>
            </w:tcBorders>
            <w:shd w:val="clear" w:color="auto" w:fill="auto"/>
            <w:noWrap/>
            <w:vAlign w:val="bottom"/>
            <w:hideMark/>
          </w:tcPr>
          <w:p w14:paraId="302AC19B" w14:textId="41E0F28E"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613.686</w:t>
            </w:r>
          </w:p>
        </w:tc>
      </w:tr>
      <w:tr w:rsidR="00553573" w:rsidRPr="003C08A0" w14:paraId="48EAB10A" w14:textId="77777777" w:rsidTr="00553573">
        <w:trPr>
          <w:trHeight w:val="206"/>
          <w:jc w:val="center"/>
        </w:trPr>
        <w:tc>
          <w:tcPr>
            <w:tcW w:w="3686" w:type="dxa"/>
            <w:tcBorders>
              <w:top w:val="nil"/>
              <w:left w:val="single" w:sz="8" w:space="0" w:color="auto"/>
              <w:bottom w:val="single" w:sz="4" w:space="0" w:color="auto"/>
              <w:right w:val="nil"/>
            </w:tcBorders>
            <w:shd w:val="clear" w:color="auto" w:fill="auto"/>
            <w:vAlign w:val="bottom"/>
            <w:hideMark/>
          </w:tcPr>
          <w:p w14:paraId="315A05D1" w14:textId="77777777" w:rsidR="00553573" w:rsidRPr="003C08A0" w:rsidRDefault="00553573" w:rsidP="00553573">
            <w:pPr>
              <w:rPr>
                <w:rFonts w:ascii="Arial" w:hAnsi="Arial" w:cs="Arial"/>
                <w:b/>
                <w:bCs/>
                <w:sz w:val="16"/>
                <w:szCs w:val="16"/>
                <w:lang w:eastAsia="es-AR"/>
              </w:rPr>
            </w:pPr>
            <w:r w:rsidRPr="003C08A0">
              <w:rPr>
                <w:rFonts w:ascii="Arial" w:hAnsi="Arial" w:cs="Arial"/>
                <w:b/>
                <w:bCs/>
                <w:sz w:val="16"/>
                <w:szCs w:val="16"/>
                <w:lang w:eastAsia="es-AR"/>
              </w:rPr>
              <w:t>Instrumentos derivados</w:t>
            </w:r>
          </w:p>
        </w:tc>
        <w:tc>
          <w:tcPr>
            <w:tcW w:w="1228" w:type="dxa"/>
            <w:tcBorders>
              <w:top w:val="nil"/>
              <w:left w:val="single" w:sz="8" w:space="0" w:color="auto"/>
              <w:bottom w:val="single" w:sz="4" w:space="0" w:color="auto"/>
              <w:right w:val="nil"/>
            </w:tcBorders>
            <w:shd w:val="clear" w:color="auto" w:fill="auto"/>
            <w:noWrap/>
            <w:vAlign w:val="bottom"/>
          </w:tcPr>
          <w:p w14:paraId="659DF1D3" w14:textId="0FF69781"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77530FC1" w14:textId="021EDBED"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489052BA" w14:textId="74E7BF14" w:rsidR="00553573" w:rsidRPr="003C08A0" w:rsidRDefault="00622DC5"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26" w:type="dxa"/>
            <w:tcBorders>
              <w:top w:val="nil"/>
              <w:left w:val="nil"/>
              <w:bottom w:val="single" w:sz="4" w:space="0" w:color="auto"/>
              <w:right w:val="nil"/>
            </w:tcBorders>
            <w:shd w:val="clear" w:color="auto" w:fill="auto"/>
            <w:noWrap/>
            <w:vAlign w:val="bottom"/>
            <w:hideMark/>
          </w:tcPr>
          <w:p w14:paraId="63C28DE6" w14:textId="5F07E4EB"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94.222</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39CA92B6" w14:textId="2D2C3C8C"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30" w:type="dxa"/>
            <w:tcBorders>
              <w:top w:val="nil"/>
              <w:left w:val="nil"/>
              <w:bottom w:val="single" w:sz="4" w:space="0" w:color="auto"/>
              <w:right w:val="single" w:sz="8" w:space="0" w:color="auto"/>
            </w:tcBorders>
            <w:shd w:val="clear" w:color="auto" w:fill="auto"/>
            <w:noWrap/>
            <w:vAlign w:val="bottom"/>
            <w:hideMark/>
          </w:tcPr>
          <w:p w14:paraId="2B6B2802" w14:textId="5BCEF44A" w:rsidR="00553573" w:rsidRPr="003C08A0" w:rsidRDefault="00553573" w:rsidP="00553573">
            <w:pPr>
              <w:jc w:val="right"/>
              <w:rPr>
                <w:rFonts w:ascii="Arial" w:hAnsi="Arial" w:cs="Arial"/>
                <w:sz w:val="16"/>
                <w:szCs w:val="16"/>
                <w:lang w:val="es-ES_tradnl" w:eastAsia="es-AR"/>
              </w:rPr>
            </w:pPr>
            <w:r w:rsidRPr="003C08A0">
              <w:rPr>
                <w:rFonts w:ascii="Arial" w:hAnsi="Arial" w:cs="Arial"/>
                <w:sz w:val="16"/>
                <w:szCs w:val="16"/>
                <w:lang w:eastAsia="es-AR"/>
              </w:rPr>
              <w:t>94.222</w:t>
            </w:r>
          </w:p>
        </w:tc>
      </w:tr>
      <w:tr w:rsidR="00622DC5" w:rsidRPr="003C08A0" w14:paraId="1D108FE6" w14:textId="77777777" w:rsidTr="00553573">
        <w:trPr>
          <w:trHeight w:val="206"/>
          <w:jc w:val="center"/>
        </w:trPr>
        <w:tc>
          <w:tcPr>
            <w:tcW w:w="3686" w:type="dxa"/>
            <w:tcBorders>
              <w:top w:val="nil"/>
              <w:left w:val="single" w:sz="8" w:space="0" w:color="auto"/>
              <w:bottom w:val="single" w:sz="4" w:space="0" w:color="auto"/>
              <w:right w:val="nil"/>
            </w:tcBorders>
            <w:shd w:val="clear" w:color="auto" w:fill="auto"/>
            <w:vAlign w:val="bottom"/>
          </w:tcPr>
          <w:p w14:paraId="32895D92" w14:textId="488A93D6" w:rsidR="00622DC5" w:rsidRPr="003C08A0" w:rsidRDefault="00622DC5" w:rsidP="00553573">
            <w:pPr>
              <w:rPr>
                <w:rFonts w:ascii="Arial" w:hAnsi="Arial" w:cs="Arial"/>
                <w:b/>
                <w:bCs/>
                <w:sz w:val="16"/>
                <w:szCs w:val="16"/>
                <w:lang w:eastAsia="es-AR"/>
              </w:rPr>
            </w:pPr>
            <w:r>
              <w:rPr>
                <w:rFonts w:ascii="Arial" w:hAnsi="Arial" w:cs="Arial"/>
                <w:b/>
                <w:bCs/>
                <w:sz w:val="16"/>
                <w:szCs w:val="16"/>
                <w:lang w:eastAsia="es-AR"/>
              </w:rPr>
              <w:t>Operaciones de pase</w:t>
            </w:r>
          </w:p>
        </w:tc>
        <w:tc>
          <w:tcPr>
            <w:tcW w:w="1228" w:type="dxa"/>
            <w:tcBorders>
              <w:top w:val="nil"/>
              <w:left w:val="single" w:sz="8" w:space="0" w:color="auto"/>
              <w:bottom w:val="single" w:sz="4" w:space="0" w:color="auto"/>
              <w:right w:val="nil"/>
            </w:tcBorders>
            <w:shd w:val="clear" w:color="auto" w:fill="auto"/>
            <w:noWrap/>
            <w:vAlign w:val="bottom"/>
          </w:tcPr>
          <w:p w14:paraId="5AD77F62" w14:textId="3E600367" w:rsidR="00622DC5" w:rsidRDefault="009209EE" w:rsidP="00553573">
            <w:pPr>
              <w:jc w:val="right"/>
              <w:rPr>
                <w:rFonts w:ascii="Arial" w:hAnsi="Arial" w:cs="Arial"/>
                <w:sz w:val="16"/>
                <w:szCs w:val="16"/>
                <w:lang w:val="es-ES_tradnl" w:eastAsia="es-AR"/>
              </w:rPr>
            </w:pPr>
            <w:r>
              <w:rPr>
                <w:rFonts w:ascii="Arial" w:hAnsi="Arial" w:cs="Arial"/>
                <w:sz w:val="16"/>
                <w:szCs w:val="16"/>
                <w:lang w:val="es-ES_tradnl" w:eastAsia="es-AR"/>
              </w:rPr>
              <w:t>240.493</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183EA82C" w14:textId="790F86D4" w:rsidR="00622DC5" w:rsidRDefault="009209EE" w:rsidP="00553573">
            <w:pPr>
              <w:jc w:val="right"/>
              <w:rPr>
                <w:rFonts w:ascii="Arial" w:hAnsi="Arial" w:cs="Arial"/>
                <w:sz w:val="16"/>
                <w:szCs w:val="16"/>
                <w:lang w:val="es-ES_tradnl" w:eastAsia="es-AR"/>
              </w:rPr>
            </w:pPr>
            <w:r>
              <w:rPr>
                <w:rFonts w:ascii="Arial" w:hAnsi="Arial" w:cs="Arial"/>
                <w:sz w:val="16"/>
                <w:szCs w:val="16"/>
                <w:lang w:val="es-ES_tradnl" w:eastAsia="es-AR"/>
              </w:rPr>
              <w:t>-</w:t>
            </w:r>
          </w:p>
        </w:tc>
        <w:tc>
          <w:tcPr>
            <w:tcW w:w="1230" w:type="dxa"/>
            <w:tcBorders>
              <w:top w:val="nil"/>
              <w:left w:val="nil"/>
              <w:bottom w:val="single" w:sz="4" w:space="0" w:color="auto"/>
              <w:right w:val="single" w:sz="8" w:space="0" w:color="auto"/>
            </w:tcBorders>
            <w:shd w:val="clear" w:color="auto" w:fill="auto"/>
            <w:noWrap/>
            <w:vAlign w:val="bottom"/>
          </w:tcPr>
          <w:p w14:paraId="36C66418" w14:textId="73B56247" w:rsidR="00622DC5" w:rsidRDefault="009209EE" w:rsidP="00553573">
            <w:pPr>
              <w:jc w:val="right"/>
              <w:rPr>
                <w:rFonts w:ascii="Arial" w:hAnsi="Arial" w:cs="Arial"/>
                <w:sz w:val="16"/>
                <w:szCs w:val="16"/>
                <w:lang w:val="es-ES_tradnl" w:eastAsia="es-AR"/>
              </w:rPr>
            </w:pPr>
            <w:r>
              <w:rPr>
                <w:rFonts w:ascii="Arial" w:hAnsi="Arial" w:cs="Arial"/>
                <w:sz w:val="16"/>
                <w:szCs w:val="16"/>
                <w:lang w:val="es-ES_tradnl" w:eastAsia="es-AR"/>
              </w:rPr>
              <w:t>240.49</w:t>
            </w:r>
            <w:r w:rsidR="00EE0123">
              <w:rPr>
                <w:rFonts w:ascii="Arial" w:hAnsi="Arial" w:cs="Arial"/>
                <w:sz w:val="16"/>
                <w:szCs w:val="16"/>
                <w:lang w:val="es-ES_tradnl" w:eastAsia="es-AR"/>
              </w:rPr>
              <w:t>3</w:t>
            </w:r>
          </w:p>
        </w:tc>
        <w:tc>
          <w:tcPr>
            <w:tcW w:w="1226" w:type="dxa"/>
            <w:tcBorders>
              <w:top w:val="nil"/>
              <w:left w:val="nil"/>
              <w:bottom w:val="single" w:sz="4" w:space="0" w:color="auto"/>
              <w:right w:val="nil"/>
            </w:tcBorders>
            <w:shd w:val="clear" w:color="auto" w:fill="auto"/>
            <w:noWrap/>
            <w:vAlign w:val="bottom"/>
          </w:tcPr>
          <w:p w14:paraId="73FACAD3" w14:textId="77777777" w:rsidR="00622DC5" w:rsidRPr="003C08A0" w:rsidRDefault="00622DC5" w:rsidP="00553573">
            <w:pPr>
              <w:jc w:val="right"/>
              <w:rPr>
                <w:rFonts w:ascii="Arial" w:hAnsi="Arial" w:cs="Arial"/>
                <w:sz w:val="16"/>
                <w:szCs w:val="16"/>
                <w:lang w:eastAsia="es-AR"/>
              </w:rPr>
            </w:pPr>
          </w:p>
        </w:tc>
        <w:tc>
          <w:tcPr>
            <w:tcW w:w="1226" w:type="dxa"/>
            <w:tcBorders>
              <w:top w:val="nil"/>
              <w:left w:val="single" w:sz="8" w:space="0" w:color="auto"/>
              <w:bottom w:val="single" w:sz="4" w:space="0" w:color="auto"/>
              <w:right w:val="single" w:sz="8" w:space="0" w:color="auto"/>
            </w:tcBorders>
            <w:shd w:val="clear" w:color="auto" w:fill="auto"/>
            <w:noWrap/>
            <w:vAlign w:val="bottom"/>
          </w:tcPr>
          <w:p w14:paraId="7744063F" w14:textId="77777777" w:rsidR="00622DC5" w:rsidRPr="003C08A0" w:rsidRDefault="00622DC5" w:rsidP="00553573">
            <w:pPr>
              <w:jc w:val="right"/>
              <w:rPr>
                <w:rFonts w:ascii="Arial" w:hAnsi="Arial" w:cs="Arial"/>
                <w:sz w:val="16"/>
                <w:szCs w:val="16"/>
                <w:lang w:eastAsia="es-AR"/>
              </w:rPr>
            </w:pPr>
          </w:p>
        </w:tc>
        <w:tc>
          <w:tcPr>
            <w:tcW w:w="1230" w:type="dxa"/>
            <w:tcBorders>
              <w:top w:val="nil"/>
              <w:left w:val="nil"/>
              <w:bottom w:val="single" w:sz="4" w:space="0" w:color="auto"/>
              <w:right w:val="single" w:sz="8" w:space="0" w:color="auto"/>
            </w:tcBorders>
            <w:shd w:val="clear" w:color="auto" w:fill="auto"/>
            <w:noWrap/>
            <w:vAlign w:val="bottom"/>
          </w:tcPr>
          <w:p w14:paraId="07B099FF" w14:textId="77777777" w:rsidR="00622DC5" w:rsidRPr="003C08A0" w:rsidRDefault="00622DC5" w:rsidP="00553573">
            <w:pPr>
              <w:jc w:val="right"/>
              <w:rPr>
                <w:rFonts w:ascii="Arial" w:hAnsi="Arial" w:cs="Arial"/>
                <w:sz w:val="16"/>
                <w:szCs w:val="16"/>
                <w:lang w:eastAsia="es-AR"/>
              </w:rPr>
            </w:pPr>
          </w:p>
        </w:tc>
      </w:tr>
      <w:tr w:rsidR="004D5C01" w:rsidRPr="003C08A0" w14:paraId="411C0AC2" w14:textId="77777777" w:rsidTr="006E1AF7">
        <w:trPr>
          <w:trHeight w:val="206"/>
          <w:jc w:val="center"/>
        </w:trPr>
        <w:tc>
          <w:tcPr>
            <w:tcW w:w="3686" w:type="dxa"/>
            <w:tcBorders>
              <w:top w:val="nil"/>
              <w:left w:val="single" w:sz="8" w:space="0" w:color="auto"/>
              <w:bottom w:val="single" w:sz="4" w:space="0" w:color="auto"/>
              <w:right w:val="nil"/>
            </w:tcBorders>
            <w:shd w:val="clear" w:color="auto" w:fill="auto"/>
            <w:vAlign w:val="bottom"/>
            <w:hideMark/>
          </w:tcPr>
          <w:p w14:paraId="6E969E14" w14:textId="77777777" w:rsidR="004D5C01" w:rsidRPr="003C08A0" w:rsidRDefault="004D5C01" w:rsidP="004D5C01">
            <w:pPr>
              <w:rPr>
                <w:rFonts w:ascii="Arial" w:hAnsi="Arial" w:cs="Arial"/>
                <w:b/>
                <w:bCs/>
                <w:sz w:val="16"/>
                <w:szCs w:val="16"/>
                <w:lang w:eastAsia="es-AR"/>
              </w:rPr>
            </w:pPr>
            <w:r w:rsidRPr="003C08A0">
              <w:rPr>
                <w:rFonts w:ascii="Arial" w:hAnsi="Arial" w:cs="Arial"/>
                <w:b/>
                <w:bCs/>
                <w:sz w:val="16"/>
                <w:szCs w:val="16"/>
                <w:lang w:eastAsia="es-AR"/>
              </w:rPr>
              <w:t>Otros pasivos financieros</w:t>
            </w:r>
          </w:p>
        </w:tc>
        <w:tc>
          <w:tcPr>
            <w:tcW w:w="1228" w:type="dxa"/>
            <w:tcBorders>
              <w:top w:val="nil"/>
              <w:left w:val="single" w:sz="8" w:space="0" w:color="auto"/>
              <w:bottom w:val="single" w:sz="4" w:space="0" w:color="auto"/>
              <w:right w:val="nil"/>
            </w:tcBorders>
            <w:shd w:val="clear" w:color="auto" w:fill="auto"/>
            <w:noWrap/>
            <w:vAlign w:val="bottom"/>
          </w:tcPr>
          <w:p w14:paraId="233B501E" w14:textId="426F561E"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5.587.385 </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357D4346" w14:textId="44478CD9"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497.377 </w:t>
            </w:r>
          </w:p>
        </w:tc>
        <w:tc>
          <w:tcPr>
            <w:tcW w:w="1230" w:type="dxa"/>
            <w:tcBorders>
              <w:top w:val="nil"/>
              <w:left w:val="nil"/>
              <w:bottom w:val="single" w:sz="4" w:space="0" w:color="auto"/>
              <w:right w:val="single" w:sz="8" w:space="0" w:color="auto"/>
            </w:tcBorders>
            <w:shd w:val="clear" w:color="auto" w:fill="auto"/>
            <w:noWrap/>
            <w:vAlign w:val="bottom"/>
          </w:tcPr>
          <w:p w14:paraId="218AACFF" w14:textId="1807D6B4"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6.084.762 </w:t>
            </w:r>
          </w:p>
        </w:tc>
        <w:tc>
          <w:tcPr>
            <w:tcW w:w="1226" w:type="dxa"/>
            <w:tcBorders>
              <w:top w:val="nil"/>
              <w:left w:val="nil"/>
              <w:bottom w:val="single" w:sz="4" w:space="0" w:color="auto"/>
              <w:right w:val="nil"/>
            </w:tcBorders>
            <w:shd w:val="clear" w:color="auto" w:fill="auto"/>
            <w:noWrap/>
            <w:vAlign w:val="bottom"/>
            <w:hideMark/>
          </w:tcPr>
          <w:p w14:paraId="601B80EF" w14:textId="6F18EC7A"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3.132.180</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1A2E49E9" w14:textId="4B9D0139"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13.539</w:t>
            </w:r>
          </w:p>
        </w:tc>
        <w:tc>
          <w:tcPr>
            <w:tcW w:w="1230" w:type="dxa"/>
            <w:tcBorders>
              <w:top w:val="nil"/>
              <w:left w:val="nil"/>
              <w:bottom w:val="single" w:sz="4" w:space="0" w:color="auto"/>
              <w:right w:val="single" w:sz="8" w:space="0" w:color="auto"/>
            </w:tcBorders>
            <w:shd w:val="clear" w:color="auto" w:fill="auto"/>
            <w:noWrap/>
            <w:vAlign w:val="bottom"/>
            <w:hideMark/>
          </w:tcPr>
          <w:p w14:paraId="7CD6377F" w14:textId="28096F48"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3.145.719</w:t>
            </w:r>
          </w:p>
        </w:tc>
      </w:tr>
      <w:tr w:rsidR="004D5C01" w:rsidRPr="003C08A0" w14:paraId="5284EB2C" w14:textId="77777777" w:rsidTr="006E1AF7">
        <w:trPr>
          <w:trHeight w:val="386"/>
          <w:jc w:val="center"/>
        </w:trPr>
        <w:tc>
          <w:tcPr>
            <w:tcW w:w="3686" w:type="dxa"/>
            <w:tcBorders>
              <w:top w:val="nil"/>
              <w:left w:val="single" w:sz="8" w:space="0" w:color="auto"/>
              <w:bottom w:val="single" w:sz="4" w:space="0" w:color="auto"/>
              <w:right w:val="nil"/>
            </w:tcBorders>
            <w:shd w:val="clear" w:color="auto" w:fill="auto"/>
            <w:vAlign w:val="bottom"/>
            <w:hideMark/>
          </w:tcPr>
          <w:p w14:paraId="6BD5859F" w14:textId="77777777" w:rsidR="004D5C01" w:rsidRPr="003C08A0" w:rsidRDefault="004D5C01" w:rsidP="004D5C01">
            <w:pPr>
              <w:rPr>
                <w:rFonts w:ascii="Arial" w:hAnsi="Arial" w:cs="Arial"/>
                <w:b/>
                <w:bCs/>
                <w:sz w:val="16"/>
                <w:szCs w:val="16"/>
                <w:lang w:eastAsia="es-AR"/>
              </w:rPr>
            </w:pPr>
            <w:r w:rsidRPr="003C08A0">
              <w:rPr>
                <w:rFonts w:ascii="Arial" w:hAnsi="Arial" w:cs="Arial"/>
                <w:b/>
                <w:bCs/>
                <w:sz w:val="16"/>
                <w:szCs w:val="16"/>
                <w:lang w:eastAsia="es-AR"/>
              </w:rPr>
              <w:t>Financiaciones recibidas del BCRA y otras instituciones financieras</w:t>
            </w:r>
          </w:p>
        </w:tc>
        <w:tc>
          <w:tcPr>
            <w:tcW w:w="1228" w:type="dxa"/>
            <w:tcBorders>
              <w:top w:val="nil"/>
              <w:left w:val="single" w:sz="8" w:space="0" w:color="auto"/>
              <w:bottom w:val="single" w:sz="4" w:space="0" w:color="auto"/>
              <w:right w:val="nil"/>
            </w:tcBorders>
            <w:shd w:val="clear" w:color="auto" w:fill="auto"/>
            <w:noWrap/>
            <w:vAlign w:val="bottom"/>
          </w:tcPr>
          <w:p w14:paraId="79741A19" w14:textId="2F9D5D4B"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8.681.799 </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761A1C4D" w14:textId="4310CE67"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329.538 </w:t>
            </w:r>
          </w:p>
        </w:tc>
        <w:tc>
          <w:tcPr>
            <w:tcW w:w="1230" w:type="dxa"/>
            <w:tcBorders>
              <w:top w:val="nil"/>
              <w:left w:val="nil"/>
              <w:bottom w:val="single" w:sz="4" w:space="0" w:color="auto"/>
              <w:right w:val="single" w:sz="8" w:space="0" w:color="auto"/>
            </w:tcBorders>
            <w:shd w:val="clear" w:color="auto" w:fill="auto"/>
            <w:noWrap/>
            <w:vAlign w:val="bottom"/>
          </w:tcPr>
          <w:p w14:paraId="62BCB37A" w14:textId="69051DF3"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9.011.337 </w:t>
            </w:r>
          </w:p>
        </w:tc>
        <w:tc>
          <w:tcPr>
            <w:tcW w:w="1226" w:type="dxa"/>
            <w:tcBorders>
              <w:top w:val="nil"/>
              <w:left w:val="nil"/>
              <w:bottom w:val="single" w:sz="4" w:space="0" w:color="auto"/>
              <w:right w:val="nil"/>
            </w:tcBorders>
            <w:shd w:val="clear" w:color="auto" w:fill="auto"/>
            <w:noWrap/>
            <w:vAlign w:val="bottom"/>
            <w:hideMark/>
          </w:tcPr>
          <w:p w14:paraId="7C3E32BF" w14:textId="27A1FC7F"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7.137.306</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792DCB02" w14:textId="6A65019F"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872.753</w:t>
            </w:r>
          </w:p>
        </w:tc>
        <w:tc>
          <w:tcPr>
            <w:tcW w:w="1230" w:type="dxa"/>
            <w:tcBorders>
              <w:top w:val="nil"/>
              <w:left w:val="nil"/>
              <w:bottom w:val="single" w:sz="4" w:space="0" w:color="auto"/>
              <w:right w:val="single" w:sz="8" w:space="0" w:color="auto"/>
            </w:tcBorders>
            <w:shd w:val="clear" w:color="auto" w:fill="auto"/>
            <w:noWrap/>
            <w:vAlign w:val="bottom"/>
            <w:hideMark/>
          </w:tcPr>
          <w:p w14:paraId="6CD21538" w14:textId="43BC6148"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8.010.059</w:t>
            </w:r>
          </w:p>
        </w:tc>
      </w:tr>
      <w:tr w:rsidR="004D5C01" w:rsidRPr="003C08A0" w14:paraId="40D38DDB" w14:textId="77777777" w:rsidTr="006E1AF7">
        <w:trPr>
          <w:trHeight w:val="206"/>
          <w:jc w:val="center"/>
        </w:trPr>
        <w:tc>
          <w:tcPr>
            <w:tcW w:w="3686" w:type="dxa"/>
            <w:tcBorders>
              <w:top w:val="nil"/>
              <w:left w:val="single" w:sz="8" w:space="0" w:color="auto"/>
              <w:bottom w:val="single" w:sz="4" w:space="0" w:color="auto"/>
              <w:right w:val="nil"/>
            </w:tcBorders>
            <w:shd w:val="clear" w:color="auto" w:fill="auto"/>
            <w:vAlign w:val="bottom"/>
            <w:hideMark/>
          </w:tcPr>
          <w:p w14:paraId="503ECB21" w14:textId="77777777" w:rsidR="004D5C01" w:rsidRPr="003C08A0" w:rsidRDefault="004D5C01" w:rsidP="004D5C01">
            <w:pPr>
              <w:rPr>
                <w:rFonts w:ascii="Arial" w:hAnsi="Arial" w:cs="Arial"/>
                <w:b/>
                <w:bCs/>
                <w:sz w:val="16"/>
                <w:szCs w:val="16"/>
                <w:lang w:eastAsia="es-AR"/>
              </w:rPr>
            </w:pPr>
            <w:r w:rsidRPr="003C08A0">
              <w:rPr>
                <w:rFonts w:ascii="Arial" w:hAnsi="Arial" w:cs="Arial"/>
                <w:b/>
                <w:bCs/>
                <w:sz w:val="16"/>
                <w:szCs w:val="16"/>
                <w:lang w:eastAsia="es-AR"/>
              </w:rPr>
              <w:t>Obligaciones negociables emitidas</w:t>
            </w:r>
          </w:p>
        </w:tc>
        <w:tc>
          <w:tcPr>
            <w:tcW w:w="1228" w:type="dxa"/>
            <w:tcBorders>
              <w:top w:val="nil"/>
              <w:left w:val="single" w:sz="8" w:space="0" w:color="auto"/>
              <w:bottom w:val="single" w:sz="4" w:space="0" w:color="auto"/>
              <w:right w:val="nil"/>
            </w:tcBorders>
            <w:shd w:val="clear" w:color="auto" w:fill="auto"/>
            <w:noWrap/>
            <w:vAlign w:val="bottom"/>
          </w:tcPr>
          <w:p w14:paraId="14038A28" w14:textId="2CC06F73"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4.267.150 </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66D7D9D9" w14:textId="6D804D57"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1.803.767 </w:t>
            </w:r>
          </w:p>
        </w:tc>
        <w:tc>
          <w:tcPr>
            <w:tcW w:w="1230" w:type="dxa"/>
            <w:tcBorders>
              <w:top w:val="nil"/>
              <w:left w:val="nil"/>
              <w:bottom w:val="single" w:sz="4" w:space="0" w:color="auto"/>
              <w:right w:val="single" w:sz="8" w:space="0" w:color="auto"/>
            </w:tcBorders>
            <w:shd w:val="clear" w:color="auto" w:fill="auto"/>
            <w:noWrap/>
            <w:vAlign w:val="bottom"/>
          </w:tcPr>
          <w:p w14:paraId="01CD5851" w14:textId="74A6C6E0"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6.070.917 </w:t>
            </w:r>
          </w:p>
        </w:tc>
        <w:tc>
          <w:tcPr>
            <w:tcW w:w="1226" w:type="dxa"/>
            <w:tcBorders>
              <w:top w:val="nil"/>
              <w:left w:val="nil"/>
              <w:bottom w:val="single" w:sz="4" w:space="0" w:color="auto"/>
              <w:right w:val="nil"/>
            </w:tcBorders>
            <w:shd w:val="clear" w:color="auto" w:fill="auto"/>
            <w:noWrap/>
            <w:vAlign w:val="bottom"/>
            <w:hideMark/>
          </w:tcPr>
          <w:p w14:paraId="3DC1BFEB" w14:textId="14EB1A8C"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781.472</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4CEC5F75" w14:textId="5BB9ABFD"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7.142.556</w:t>
            </w:r>
          </w:p>
        </w:tc>
        <w:tc>
          <w:tcPr>
            <w:tcW w:w="1230" w:type="dxa"/>
            <w:tcBorders>
              <w:top w:val="nil"/>
              <w:left w:val="nil"/>
              <w:bottom w:val="single" w:sz="4" w:space="0" w:color="auto"/>
              <w:right w:val="single" w:sz="8" w:space="0" w:color="auto"/>
            </w:tcBorders>
            <w:shd w:val="clear" w:color="auto" w:fill="auto"/>
            <w:noWrap/>
            <w:vAlign w:val="bottom"/>
            <w:hideMark/>
          </w:tcPr>
          <w:p w14:paraId="2316E81E" w14:textId="35E2AB46"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7.924.029</w:t>
            </w:r>
          </w:p>
        </w:tc>
      </w:tr>
      <w:tr w:rsidR="004D5C01" w:rsidRPr="003C08A0" w14:paraId="0C051E3D" w14:textId="77777777" w:rsidTr="006E1AF7">
        <w:trPr>
          <w:trHeight w:val="206"/>
          <w:jc w:val="center"/>
        </w:trPr>
        <w:tc>
          <w:tcPr>
            <w:tcW w:w="3686" w:type="dxa"/>
            <w:tcBorders>
              <w:top w:val="nil"/>
              <w:left w:val="single" w:sz="8" w:space="0" w:color="auto"/>
              <w:bottom w:val="single" w:sz="4" w:space="0" w:color="auto"/>
              <w:right w:val="nil"/>
            </w:tcBorders>
            <w:shd w:val="clear" w:color="auto" w:fill="auto"/>
            <w:vAlign w:val="bottom"/>
            <w:hideMark/>
          </w:tcPr>
          <w:p w14:paraId="0EF5E4ED" w14:textId="77777777" w:rsidR="004D5C01" w:rsidRPr="003C08A0" w:rsidRDefault="004D5C01" w:rsidP="004D5C01">
            <w:pPr>
              <w:rPr>
                <w:rFonts w:ascii="Arial" w:hAnsi="Arial" w:cs="Arial"/>
                <w:b/>
                <w:bCs/>
                <w:sz w:val="16"/>
                <w:szCs w:val="16"/>
                <w:lang w:eastAsia="es-AR"/>
              </w:rPr>
            </w:pPr>
            <w:r w:rsidRPr="003C08A0">
              <w:rPr>
                <w:rFonts w:ascii="Arial" w:hAnsi="Arial" w:cs="Arial"/>
                <w:b/>
                <w:bCs/>
                <w:sz w:val="16"/>
                <w:szCs w:val="16"/>
                <w:lang w:eastAsia="es-AR"/>
              </w:rPr>
              <w:t>Pasivo por impuestos a las ganancias corriente</w:t>
            </w:r>
          </w:p>
        </w:tc>
        <w:tc>
          <w:tcPr>
            <w:tcW w:w="1228" w:type="dxa"/>
            <w:tcBorders>
              <w:top w:val="nil"/>
              <w:left w:val="single" w:sz="8" w:space="0" w:color="auto"/>
              <w:bottom w:val="single" w:sz="4" w:space="0" w:color="auto"/>
              <w:right w:val="nil"/>
            </w:tcBorders>
            <w:shd w:val="clear" w:color="auto" w:fill="auto"/>
            <w:noWrap/>
            <w:vAlign w:val="bottom"/>
          </w:tcPr>
          <w:p w14:paraId="0A5C0DD3" w14:textId="52DEC31A"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167.618 </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088B1433" w14:textId="46EF9F80"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   </w:t>
            </w:r>
          </w:p>
        </w:tc>
        <w:tc>
          <w:tcPr>
            <w:tcW w:w="1230" w:type="dxa"/>
            <w:tcBorders>
              <w:top w:val="nil"/>
              <w:left w:val="nil"/>
              <w:bottom w:val="single" w:sz="4" w:space="0" w:color="auto"/>
              <w:right w:val="single" w:sz="8" w:space="0" w:color="auto"/>
            </w:tcBorders>
            <w:shd w:val="clear" w:color="auto" w:fill="auto"/>
            <w:noWrap/>
            <w:vAlign w:val="bottom"/>
          </w:tcPr>
          <w:p w14:paraId="5A929303" w14:textId="733151BD"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167.618 </w:t>
            </w:r>
          </w:p>
        </w:tc>
        <w:tc>
          <w:tcPr>
            <w:tcW w:w="1226" w:type="dxa"/>
            <w:tcBorders>
              <w:top w:val="nil"/>
              <w:left w:val="nil"/>
              <w:bottom w:val="single" w:sz="4" w:space="0" w:color="auto"/>
              <w:right w:val="nil"/>
            </w:tcBorders>
            <w:shd w:val="clear" w:color="auto" w:fill="auto"/>
            <w:noWrap/>
            <w:vAlign w:val="bottom"/>
            <w:hideMark/>
          </w:tcPr>
          <w:p w14:paraId="441EB38E" w14:textId="21ADF50A"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330.228</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68DB23C7" w14:textId="37D14A5C"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30" w:type="dxa"/>
            <w:tcBorders>
              <w:top w:val="nil"/>
              <w:left w:val="nil"/>
              <w:bottom w:val="single" w:sz="4" w:space="0" w:color="auto"/>
              <w:right w:val="single" w:sz="8" w:space="0" w:color="auto"/>
            </w:tcBorders>
            <w:shd w:val="clear" w:color="auto" w:fill="auto"/>
            <w:noWrap/>
            <w:vAlign w:val="bottom"/>
            <w:hideMark/>
          </w:tcPr>
          <w:p w14:paraId="39F8774A" w14:textId="72058E60"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330.228</w:t>
            </w:r>
          </w:p>
        </w:tc>
      </w:tr>
      <w:tr w:rsidR="004D5C01" w:rsidRPr="003C08A0" w14:paraId="7A35C1EA" w14:textId="77777777" w:rsidTr="006E1AF7">
        <w:trPr>
          <w:trHeight w:val="206"/>
          <w:jc w:val="center"/>
        </w:trPr>
        <w:tc>
          <w:tcPr>
            <w:tcW w:w="3686" w:type="dxa"/>
            <w:tcBorders>
              <w:top w:val="nil"/>
              <w:left w:val="single" w:sz="8" w:space="0" w:color="auto"/>
              <w:bottom w:val="single" w:sz="4" w:space="0" w:color="auto"/>
              <w:right w:val="nil"/>
            </w:tcBorders>
            <w:shd w:val="clear" w:color="auto" w:fill="auto"/>
            <w:vAlign w:val="bottom"/>
            <w:hideMark/>
          </w:tcPr>
          <w:p w14:paraId="3B65C128" w14:textId="77777777" w:rsidR="004D5C01" w:rsidRPr="003C08A0" w:rsidRDefault="004D5C01" w:rsidP="004D5C01">
            <w:pPr>
              <w:rPr>
                <w:rFonts w:ascii="Arial" w:hAnsi="Arial" w:cs="Arial"/>
                <w:b/>
                <w:bCs/>
                <w:sz w:val="16"/>
                <w:szCs w:val="16"/>
                <w:lang w:eastAsia="es-AR"/>
              </w:rPr>
            </w:pPr>
            <w:r w:rsidRPr="003C08A0">
              <w:rPr>
                <w:rFonts w:ascii="Arial" w:hAnsi="Arial" w:cs="Arial"/>
                <w:b/>
                <w:bCs/>
                <w:sz w:val="16"/>
                <w:szCs w:val="16"/>
                <w:lang w:eastAsia="es-AR"/>
              </w:rPr>
              <w:t>Obligaciones negociables subordinadas</w:t>
            </w:r>
          </w:p>
        </w:tc>
        <w:tc>
          <w:tcPr>
            <w:tcW w:w="1228" w:type="dxa"/>
            <w:tcBorders>
              <w:top w:val="nil"/>
              <w:left w:val="single" w:sz="8" w:space="0" w:color="auto"/>
              <w:bottom w:val="single" w:sz="4" w:space="0" w:color="auto"/>
              <w:right w:val="nil"/>
            </w:tcBorders>
            <w:shd w:val="clear" w:color="auto" w:fill="auto"/>
            <w:noWrap/>
            <w:vAlign w:val="bottom"/>
          </w:tcPr>
          <w:p w14:paraId="49B001CF" w14:textId="644CD9C1"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1.314.985 </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004239B8" w14:textId="734AB7F2"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804.903 </w:t>
            </w:r>
          </w:p>
        </w:tc>
        <w:tc>
          <w:tcPr>
            <w:tcW w:w="1230" w:type="dxa"/>
            <w:tcBorders>
              <w:top w:val="nil"/>
              <w:left w:val="nil"/>
              <w:bottom w:val="single" w:sz="4" w:space="0" w:color="auto"/>
              <w:right w:val="single" w:sz="8" w:space="0" w:color="auto"/>
            </w:tcBorders>
            <w:shd w:val="clear" w:color="auto" w:fill="auto"/>
            <w:noWrap/>
            <w:vAlign w:val="bottom"/>
          </w:tcPr>
          <w:p w14:paraId="07AD0151" w14:textId="044C6E38"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2.119.888 </w:t>
            </w:r>
          </w:p>
        </w:tc>
        <w:tc>
          <w:tcPr>
            <w:tcW w:w="1226" w:type="dxa"/>
            <w:tcBorders>
              <w:top w:val="nil"/>
              <w:left w:val="nil"/>
              <w:bottom w:val="single" w:sz="4" w:space="0" w:color="auto"/>
              <w:right w:val="nil"/>
            </w:tcBorders>
            <w:shd w:val="clear" w:color="auto" w:fill="auto"/>
            <w:noWrap/>
            <w:vAlign w:val="bottom"/>
            <w:hideMark/>
          </w:tcPr>
          <w:p w14:paraId="1318401F" w14:textId="153259AC"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26.150</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24608FE3" w14:textId="683B840F"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1.357.667</w:t>
            </w:r>
          </w:p>
        </w:tc>
        <w:tc>
          <w:tcPr>
            <w:tcW w:w="1230" w:type="dxa"/>
            <w:tcBorders>
              <w:top w:val="nil"/>
              <w:left w:val="nil"/>
              <w:bottom w:val="single" w:sz="4" w:space="0" w:color="auto"/>
              <w:right w:val="single" w:sz="8" w:space="0" w:color="auto"/>
            </w:tcBorders>
            <w:shd w:val="clear" w:color="auto" w:fill="auto"/>
            <w:noWrap/>
            <w:vAlign w:val="bottom"/>
            <w:hideMark/>
          </w:tcPr>
          <w:p w14:paraId="277CCF9F" w14:textId="73E55A1B"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1.383.817</w:t>
            </w:r>
          </w:p>
        </w:tc>
      </w:tr>
      <w:tr w:rsidR="004D5C01" w:rsidRPr="003C08A0" w14:paraId="71AB2C3E" w14:textId="77777777" w:rsidTr="006E1AF7">
        <w:trPr>
          <w:trHeight w:val="206"/>
          <w:jc w:val="center"/>
        </w:trPr>
        <w:tc>
          <w:tcPr>
            <w:tcW w:w="3686" w:type="dxa"/>
            <w:tcBorders>
              <w:top w:val="nil"/>
              <w:left w:val="single" w:sz="8" w:space="0" w:color="auto"/>
              <w:bottom w:val="single" w:sz="4" w:space="0" w:color="auto"/>
              <w:right w:val="nil"/>
            </w:tcBorders>
            <w:shd w:val="clear" w:color="auto" w:fill="auto"/>
            <w:vAlign w:val="bottom"/>
            <w:hideMark/>
          </w:tcPr>
          <w:p w14:paraId="7B5D2A93" w14:textId="77777777" w:rsidR="004D5C01" w:rsidRPr="003C08A0" w:rsidRDefault="004D5C01" w:rsidP="004D5C01">
            <w:pPr>
              <w:rPr>
                <w:rFonts w:ascii="Arial" w:hAnsi="Arial" w:cs="Arial"/>
                <w:b/>
                <w:bCs/>
                <w:sz w:val="16"/>
                <w:szCs w:val="16"/>
                <w:lang w:eastAsia="es-AR"/>
              </w:rPr>
            </w:pPr>
            <w:r w:rsidRPr="003C08A0">
              <w:rPr>
                <w:rFonts w:ascii="Arial" w:hAnsi="Arial" w:cs="Arial"/>
                <w:b/>
                <w:bCs/>
                <w:sz w:val="16"/>
                <w:szCs w:val="16"/>
                <w:lang w:eastAsia="es-AR"/>
              </w:rPr>
              <w:t>Provisiones</w:t>
            </w:r>
          </w:p>
        </w:tc>
        <w:tc>
          <w:tcPr>
            <w:tcW w:w="1228" w:type="dxa"/>
            <w:tcBorders>
              <w:top w:val="nil"/>
              <w:left w:val="single" w:sz="8" w:space="0" w:color="auto"/>
              <w:bottom w:val="single" w:sz="4" w:space="0" w:color="auto"/>
              <w:right w:val="nil"/>
            </w:tcBorders>
            <w:shd w:val="clear" w:color="auto" w:fill="auto"/>
            <w:noWrap/>
            <w:vAlign w:val="bottom"/>
          </w:tcPr>
          <w:p w14:paraId="403735AD" w14:textId="032D00B6"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   </w:t>
            </w:r>
          </w:p>
        </w:tc>
        <w:tc>
          <w:tcPr>
            <w:tcW w:w="1301" w:type="dxa"/>
            <w:tcBorders>
              <w:top w:val="nil"/>
              <w:left w:val="single" w:sz="8" w:space="0" w:color="auto"/>
              <w:bottom w:val="single" w:sz="4" w:space="0" w:color="auto"/>
              <w:right w:val="single" w:sz="8" w:space="0" w:color="auto"/>
            </w:tcBorders>
            <w:shd w:val="clear" w:color="auto" w:fill="auto"/>
            <w:noWrap/>
            <w:vAlign w:val="bottom"/>
          </w:tcPr>
          <w:p w14:paraId="2112F375" w14:textId="7080F997"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553.898 </w:t>
            </w:r>
          </w:p>
        </w:tc>
        <w:tc>
          <w:tcPr>
            <w:tcW w:w="1230" w:type="dxa"/>
            <w:tcBorders>
              <w:top w:val="nil"/>
              <w:left w:val="nil"/>
              <w:bottom w:val="single" w:sz="4" w:space="0" w:color="auto"/>
              <w:right w:val="single" w:sz="8" w:space="0" w:color="auto"/>
            </w:tcBorders>
            <w:shd w:val="clear" w:color="auto" w:fill="auto"/>
            <w:noWrap/>
            <w:vAlign w:val="bottom"/>
          </w:tcPr>
          <w:p w14:paraId="6F129F86" w14:textId="1EF40DE5"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553.898 </w:t>
            </w:r>
          </w:p>
        </w:tc>
        <w:tc>
          <w:tcPr>
            <w:tcW w:w="1226" w:type="dxa"/>
            <w:tcBorders>
              <w:top w:val="nil"/>
              <w:left w:val="nil"/>
              <w:bottom w:val="single" w:sz="4" w:space="0" w:color="auto"/>
              <w:right w:val="nil"/>
            </w:tcBorders>
            <w:shd w:val="clear" w:color="auto" w:fill="auto"/>
            <w:noWrap/>
            <w:vAlign w:val="bottom"/>
            <w:hideMark/>
          </w:tcPr>
          <w:p w14:paraId="387ED795" w14:textId="71D6DC09"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w:t>
            </w:r>
          </w:p>
        </w:tc>
        <w:tc>
          <w:tcPr>
            <w:tcW w:w="1226" w:type="dxa"/>
            <w:tcBorders>
              <w:top w:val="nil"/>
              <w:left w:val="single" w:sz="8" w:space="0" w:color="auto"/>
              <w:bottom w:val="single" w:sz="4" w:space="0" w:color="auto"/>
              <w:right w:val="single" w:sz="8" w:space="0" w:color="auto"/>
            </w:tcBorders>
            <w:shd w:val="clear" w:color="auto" w:fill="auto"/>
            <w:noWrap/>
            <w:vAlign w:val="bottom"/>
            <w:hideMark/>
          </w:tcPr>
          <w:p w14:paraId="75214B5D" w14:textId="36A724E9"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44.259</w:t>
            </w:r>
          </w:p>
        </w:tc>
        <w:tc>
          <w:tcPr>
            <w:tcW w:w="1230" w:type="dxa"/>
            <w:tcBorders>
              <w:top w:val="nil"/>
              <w:left w:val="nil"/>
              <w:bottom w:val="single" w:sz="4" w:space="0" w:color="auto"/>
              <w:right w:val="single" w:sz="8" w:space="0" w:color="auto"/>
            </w:tcBorders>
            <w:shd w:val="clear" w:color="auto" w:fill="auto"/>
            <w:noWrap/>
            <w:vAlign w:val="bottom"/>
            <w:hideMark/>
          </w:tcPr>
          <w:p w14:paraId="19551FA1" w14:textId="3A44A28B"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44.259</w:t>
            </w:r>
          </w:p>
        </w:tc>
      </w:tr>
      <w:tr w:rsidR="004D5C01" w:rsidRPr="003C08A0" w14:paraId="281C0CA8" w14:textId="77777777" w:rsidTr="006E1AF7">
        <w:trPr>
          <w:trHeight w:val="219"/>
          <w:jc w:val="center"/>
        </w:trPr>
        <w:tc>
          <w:tcPr>
            <w:tcW w:w="3686" w:type="dxa"/>
            <w:tcBorders>
              <w:top w:val="nil"/>
              <w:left w:val="single" w:sz="8" w:space="0" w:color="auto"/>
              <w:bottom w:val="nil"/>
              <w:right w:val="nil"/>
            </w:tcBorders>
            <w:shd w:val="clear" w:color="auto" w:fill="auto"/>
            <w:vAlign w:val="bottom"/>
            <w:hideMark/>
          </w:tcPr>
          <w:p w14:paraId="4ECD2EAC" w14:textId="77777777" w:rsidR="004D5C01" w:rsidRPr="003C08A0" w:rsidRDefault="004D5C01" w:rsidP="004D5C01">
            <w:pPr>
              <w:rPr>
                <w:rFonts w:ascii="Arial" w:hAnsi="Arial" w:cs="Arial"/>
                <w:b/>
                <w:bCs/>
                <w:sz w:val="16"/>
                <w:szCs w:val="16"/>
                <w:lang w:eastAsia="es-AR"/>
              </w:rPr>
            </w:pPr>
            <w:r w:rsidRPr="003C08A0">
              <w:rPr>
                <w:rFonts w:ascii="Arial" w:hAnsi="Arial" w:cs="Arial"/>
                <w:b/>
                <w:bCs/>
                <w:sz w:val="16"/>
                <w:szCs w:val="16"/>
                <w:lang w:eastAsia="es-AR"/>
              </w:rPr>
              <w:t>Otros pasivos no financieros</w:t>
            </w:r>
          </w:p>
        </w:tc>
        <w:tc>
          <w:tcPr>
            <w:tcW w:w="1228" w:type="dxa"/>
            <w:tcBorders>
              <w:top w:val="nil"/>
              <w:left w:val="single" w:sz="8" w:space="0" w:color="auto"/>
              <w:bottom w:val="nil"/>
              <w:right w:val="nil"/>
            </w:tcBorders>
            <w:shd w:val="clear" w:color="auto" w:fill="auto"/>
            <w:noWrap/>
            <w:vAlign w:val="bottom"/>
          </w:tcPr>
          <w:p w14:paraId="308468E8" w14:textId="276E33BD"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4.879.915 </w:t>
            </w:r>
          </w:p>
        </w:tc>
        <w:tc>
          <w:tcPr>
            <w:tcW w:w="1301" w:type="dxa"/>
            <w:tcBorders>
              <w:top w:val="nil"/>
              <w:left w:val="single" w:sz="8" w:space="0" w:color="auto"/>
              <w:bottom w:val="nil"/>
              <w:right w:val="single" w:sz="8" w:space="0" w:color="auto"/>
            </w:tcBorders>
            <w:shd w:val="clear" w:color="auto" w:fill="auto"/>
            <w:noWrap/>
            <w:vAlign w:val="bottom"/>
          </w:tcPr>
          <w:p w14:paraId="62B95FC0" w14:textId="49C3A21E"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1.494.044 </w:t>
            </w:r>
          </w:p>
        </w:tc>
        <w:tc>
          <w:tcPr>
            <w:tcW w:w="1230" w:type="dxa"/>
            <w:tcBorders>
              <w:top w:val="nil"/>
              <w:left w:val="nil"/>
              <w:bottom w:val="single" w:sz="4" w:space="0" w:color="auto"/>
              <w:right w:val="single" w:sz="8" w:space="0" w:color="auto"/>
            </w:tcBorders>
            <w:shd w:val="clear" w:color="auto" w:fill="auto"/>
            <w:noWrap/>
            <w:vAlign w:val="bottom"/>
          </w:tcPr>
          <w:p w14:paraId="7C9B2FEC" w14:textId="38B205BE" w:rsidR="004D5C01" w:rsidRPr="004D5C01" w:rsidRDefault="004D5C01">
            <w:pPr>
              <w:jc w:val="right"/>
              <w:rPr>
                <w:rFonts w:ascii="Arial" w:hAnsi="Arial" w:cs="Arial"/>
                <w:sz w:val="16"/>
                <w:szCs w:val="16"/>
                <w:lang w:val="es-ES_tradnl" w:eastAsia="es-AR"/>
              </w:rPr>
            </w:pPr>
            <w:r w:rsidRPr="006E1AF7">
              <w:rPr>
                <w:rFonts w:ascii="Arial" w:hAnsi="Arial" w:cs="Arial"/>
                <w:sz w:val="16"/>
                <w:szCs w:val="16"/>
              </w:rPr>
              <w:t xml:space="preserve">6.373.959 </w:t>
            </w:r>
          </w:p>
        </w:tc>
        <w:tc>
          <w:tcPr>
            <w:tcW w:w="1226" w:type="dxa"/>
            <w:tcBorders>
              <w:top w:val="single" w:sz="4" w:space="0" w:color="auto"/>
              <w:left w:val="nil"/>
              <w:bottom w:val="nil"/>
              <w:right w:val="nil"/>
            </w:tcBorders>
            <w:shd w:val="clear" w:color="auto" w:fill="auto"/>
            <w:noWrap/>
            <w:vAlign w:val="bottom"/>
            <w:hideMark/>
          </w:tcPr>
          <w:p w14:paraId="688A7581" w14:textId="3E2E8DDB"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3.234.317</w:t>
            </w:r>
          </w:p>
        </w:tc>
        <w:tc>
          <w:tcPr>
            <w:tcW w:w="1226" w:type="dxa"/>
            <w:tcBorders>
              <w:top w:val="nil"/>
              <w:left w:val="single" w:sz="8" w:space="0" w:color="auto"/>
              <w:bottom w:val="nil"/>
              <w:right w:val="single" w:sz="8" w:space="0" w:color="auto"/>
            </w:tcBorders>
            <w:shd w:val="clear" w:color="auto" w:fill="auto"/>
            <w:noWrap/>
            <w:vAlign w:val="bottom"/>
            <w:hideMark/>
          </w:tcPr>
          <w:p w14:paraId="22CAD0F9" w14:textId="726888AE" w:rsidR="004D5C01" w:rsidRPr="002849A2"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763.9</w:t>
            </w:r>
            <w:r w:rsidR="000862EE">
              <w:rPr>
                <w:rFonts w:ascii="Arial" w:hAnsi="Arial" w:cs="Arial"/>
                <w:sz w:val="16"/>
                <w:szCs w:val="16"/>
                <w:lang w:eastAsia="es-AR"/>
              </w:rPr>
              <w:t>11</w:t>
            </w:r>
          </w:p>
        </w:tc>
        <w:tc>
          <w:tcPr>
            <w:tcW w:w="1230" w:type="dxa"/>
            <w:tcBorders>
              <w:top w:val="nil"/>
              <w:left w:val="nil"/>
              <w:bottom w:val="single" w:sz="4" w:space="0" w:color="auto"/>
              <w:right w:val="single" w:sz="8" w:space="0" w:color="auto"/>
            </w:tcBorders>
            <w:shd w:val="clear" w:color="auto" w:fill="auto"/>
            <w:noWrap/>
            <w:vAlign w:val="bottom"/>
            <w:hideMark/>
          </w:tcPr>
          <w:p w14:paraId="59BFA4A4" w14:textId="2F5082E8" w:rsidR="004D5C01" w:rsidRPr="003C08A0" w:rsidRDefault="004D5C01" w:rsidP="004D5C01">
            <w:pPr>
              <w:jc w:val="right"/>
              <w:rPr>
                <w:rFonts w:ascii="Arial" w:hAnsi="Arial" w:cs="Arial"/>
                <w:sz w:val="16"/>
                <w:szCs w:val="16"/>
                <w:lang w:val="es-ES_tradnl" w:eastAsia="es-AR"/>
              </w:rPr>
            </w:pPr>
            <w:r w:rsidRPr="003C08A0">
              <w:rPr>
                <w:rFonts w:ascii="Arial" w:hAnsi="Arial" w:cs="Arial"/>
                <w:sz w:val="16"/>
                <w:szCs w:val="16"/>
                <w:lang w:eastAsia="es-AR"/>
              </w:rPr>
              <w:t>3.998.22</w:t>
            </w:r>
            <w:r w:rsidR="000862EE">
              <w:rPr>
                <w:rFonts w:ascii="Arial" w:hAnsi="Arial" w:cs="Arial"/>
                <w:sz w:val="16"/>
                <w:szCs w:val="16"/>
                <w:lang w:eastAsia="es-AR"/>
              </w:rPr>
              <w:t>8</w:t>
            </w:r>
          </w:p>
        </w:tc>
      </w:tr>
      <w:tr w:rsidR="004D5C01" w:rsidRPr="003C08A0" w14:paraId="027B968C" w14:textId="77777777" w:rsidTr="006E1AF7">
        <w:trPr>
          <w:trHeight w:val="219"/>
          <w:jc w:val="center"/>
        </w:trPr>
        <w:tc>
          <w:tcPr>
            <w:tcW w:w="3686" w:type="dxa"/>
            <w:tcBorders>
              <w:top w:val="single" w:sz="8" w:space="0" w:color="auto"/>
              <w:left w:val="single" w:sz="8" w:space="0" w:color="auto"/>
              <w:bottom w:val="single" w:sz="8" w:space="0" w:color="auto"/>
              <w:right w:val="nil"/>
            </w:tcBorders>
            <w:shd w:val="clear" w:color="000000" w:fill="D0CECE"/>
            <w:vAlign w:val="bottom"/>
            <w:hideMark/>
          </w:tcPr>
          <w:p w14:paraId="571E6425" w14:textId="77777777" w:rsidR="004D5C01" w:rsidRPr="003C08A0" w:rsidRDefault="004D5C01" w:rsidP="004D5C01">
            <w:pPr>
              <w:rPr>
                <w:rFonts w:ascii="Arial" w:hAnsi="Arial" w:cs="Arial"/>
                <w:b/>
                <w:bCs/>
                <w:sz w:val="16"/>
                <w:szCs w:val="16"/>
                <w:lang w:eastAsia="es-AR"/>
              </w:rPr>
            </w:pPr>
            <w:r w:rsidRPr="003C08A0">
              <w:rPr>
                <w:rFonts w:ascii="Arial" w:hAnsi="Arial" w:cs="Arial"/>
                <w:b/>
                <w:bCs/>
                <w:sz w:val="16"/>
                <w:szCs w:val="16"/>
                <w:lang w:eastAsia="es-AR"/>
              </w:rPr>
              <w:t xml:space="preserve">TOTAL PASIVO </w:t>
            </w:r>
          </w:p>
        </w:tc>
        <w:tc>
          <w:tcPr>
            <w:tcW w:w="1228" w:type="dxa"/>
            <w:tcBorders>
              <w:top w:val="single" w:sz="8" w:space="0" w:color="auto"/>
              <w:left w:val="single" w:sz="8" w:space="0" w:color="auto"/>
              <w:bottom w:val="single" w:sz="8" w:space="0" w:color="auto"/>
              <w:right w:val="nil"/>
            </w:tcBorders>
            <w:shd w:val="clear" w:color="000000" w:fill="D0CECE"/>
            <w:noWrap/>
            <w:vAlign w:val="bottom"/>
          </w:tcPr>
          <w:p w14:paraId="43F4B47C" w14:textId="3EBAD653" w:rsidR="004D5C01" w:rsidRPr="004D5C01" w:rsidRDefault="004D5C01">
            <w:pPr>
              <w:jc w:val="right"/>
              <w:rPr>
                <w:rFonts w:ascii="Arial" w:hAnsi="Arial" w:cs="Arial"/>
                <w:b/>
                <w:bCs/>
                <w:sz w:val="16"/>
                <w:szCs w:val="16"/>
                <w:lang w:val="es-ES_tradnl" w:eastAsia="es-AR"/>
              </w:rPr>
            </w:pPr>
            <w:r w:rsidRPr="006E1AF7">
              <w:rPr>
                <w:rFonts w:ascii="Arial" w:hAnsi="Arial" w:cs="Arial"/>
                <w:b/>
                <w:bCs/>
                <w:sz w:val="16"/>
                <w:szCs w:val="16"/>
              </w:rPr>
              <w:t>115.008.51</w:t>
            </w:r>
            <w:r w:rsidR="000652C3">
              <w:rPr>
                <w:rFonts w:ascii="Arial" w:hAnsi="Arial" w:cs="Arial"/>
                <w:b/>
                <w:bCs/>
                <w:sz w:val="16"/>
                <w:szCs w:val="16"/>
              </w:rPr>
              <w:t>4</w:t>
            </w:r>
            <w:r w:rsidRPr="006E1AF7">
              <w:rPr>
                <w:rFonts w:ascii="Arial" w:hAnsi="Arial" w:cs="Arial"/>
                <w:b/>
                <w:bCs/>
                <w:sz w:val="16"/>
                <w:szCs w:val="16"/>
              </w:rPr>
              <w:t xml:space="preserve"> </w:t>
            </w:r>
          </w:p>
        </w:tc>
        <w:tc>
          <w:tcPr>
            <w:tcW w:w="1301" w:type="dxa"/>
            <w:tcBorders>
              <w:top w:val="single" w:sz="8" w:space="0" w:color="auto"/>
              <w:left w:val="single" w:sz="8" w:space="0" w:color="auto"/>
              <w:bottom w:val="single" w:sz="8" w:space="0" w:color="auto"/>
              <w:right w:val="nil"/>
            </w:tcBorders>
            <w:shd w:val="clear" w:color="000000" w:fill="D0CECE"/>
            <w:noWrap/>
            <w:vAlign w:val="bottom"/>
          </w:tcPr>
          <w:p w14:paraId="1DBCD91B" w14:textId="44920C76" w:rsidR="004D5C01" w:rsidRPr="004D5C01" w:rsidRDefault="004D5C01">
            <w:pPr>
              <w:jc w:val="right"/>
              <w:rPr>
                <w:rFonts w:ascii="Arial" w:hAnsi="Arial" w:cs="Arial"/>
                <w:b/>
                <w:bCs/>
                <w:sz w:val="16"/>
                <w:szCs w:val="16"/>
                <w:lang w:val="es-ES_tradnl" w:eastAsia="es-AR"/>
              </w:rPr>
            </w:pPr>
            <w:r w:rsidRPr="006E1AF7">
              <w:rPr>
                <w:rFonts w:ascii="Arial" w:hAnsi="Arial" w:cs="Arial"/>
                <w:b/>
                <w:bCs/>
                <w:sz w:val="16"/>
                <w:szCs w:val="16"/>
              </w:rPr>
              <w:t xml:space="preserve">5.484.727 </w:t>
            </w:r>
          </w:p>
        </w:tc>
        <w:tc>
          <w:tcPr>
            <w:tcW w:w="1230" w:type="dxa"/>
            <w:tcBorders>
              <w:top w:val="single" w:sz="8" w:space="0" w:color="auto"/>
              <w:left w:val="single" w:sz="8" w:space="0" w:color="auto"/>
              <w:bottom w:val="single" w:sz="8" w:space="0" w:color="auto"/>
              <w:right w:val="nil"/>
            </w:tcBorders>
            <w:shd w:val="clear" w:color="000000" w:fill="D0CECE"/>
            <w:noWrap/>
            <w:vAlign w:val="bottom"/>
          </w:tcPr>
          <w:p w14:paraId="70E1B566" w14:textId="1BC5BC1E" w:rsidR="004D5C01" w:rsidRPr="004D5C01" w:rsidRDefault="004D5C01">
            <w:pPr>
              <w:jc w:val="right"/>
              <w:rPr>
                <w:rFonts w:ascii="Arial" w:hAnsi="Arial" w:cs="Arial"/>
                <w:b/>
                <w:bCs/>
                <w:sz w:val="16"/>
                <w:szCs w:val="16"/>
                <w:lang w:val="es-ES_tradnl" w:eastAsia="es-AR"/>
              </w:rPr>
            </w:pPr>
            <w:r w:rsidRPr="006E1AF7">
              <w:rPr>
                <w:rFonts w:ascii="Arial" w:hAnsi="Arial" w:cs="Arial"/>
                <w:b/>
                <w:bCs/>
                <w:sz w:val="16"/>
                <w:szCs w:val="16"/>
              </w:rPr>
              <w:t xml:space="preserve">120.493.241 </w:t>
            </w:r>
          </w:p>
        </w:tc>
        <w:tc>
          <w:tcPr>
            <w:tcW w:w="1226" w:type="dxa"/>
            <w:tcBorders>
              <w:top w:val="single" w:sz="8" w:space="0" w:color="auto"/>
              <w:left w:val="single" w:sz="8" w:space="0" w:color="auto"/>
              <w:bottom w:val="single" w:sz="8" w:space="0" w:color="auto"/>
              <w:right w:val="nil"/>
            </w:tcBorders>
            <w:shd w:val="clear" w:color="000000" w:fill="D0CECE"/>
            <w:noWrap/>
            <w:vAlign w:val="bottom"/>
            <w:hideMark/>
          </w:tcPr>
          <w:p w14:paraId="1DF90D08" w14:textId="28BAAC71" w:rsidR="004D5C01" w:rsidRPr="003C08A0" w:rsidRDefault="004D5C01" w:rsidP="004D5C01">
            <w:pPr>
              <w:jc w:val="right"/>
              <w:rPr>
                <w:rFonts w:ascii="Arial" w:hAnsi="Arial" w:cs="Arial"/>
                <w:b/>
                <w:bCs/>
                <w:sz w:val="16"/>
                <w:szCs w:val="16"/>
                <w:lang w:val="es-ES_tradnl" w:eastAsia="es-AR"/>
              </w:rPr>
            </w:pPr>
            <w:r w:rsidRPr="003C08A0">
              <w:rPr>
                <w:rFonts w:ascii="Arial" w:hAnsi="Arial" w:cs="Arial"/>
                <w:b/>
                <w:bCs/>
                <w:sz w:val="16"/>
                <w:szCs w:val="16"/>
                <w:lang w:eastAsia="es-AR"/>
              </w:rPr>
              <w:t>109.288.061</w:t>
            </w:r>
          </w:p>
        </w:tc>
        <w:tc>
          <w:tcPr>
            <w:tcW w:w="1226" w:type="dxa"/>
            <w:tcBorders>
              <w:top w:val="single" w:sz="8" w:space="0" w:color="auto"/>
              <w:left w:val="single" w:sz="8" w:space="0" w:color="auto"/>
              <w:bottom w:val="single" w:sz="8" w:space="0" w:color="auto"/>
              <w:right w:val="nil"/>
            </w:tcBorders>
            <w:shd w:val="clear" w:color="000000" w:fill="D0CECE"/>
            <w:noWrap/>
            <w:vAlign w:val="bottom"/>
            <w:hideMark/>
          </w:tcPr>
          <w:p w14:paraId="7675B2DC" w14:textId="20BCF20A" w:rsidR="004D5C01" w:rsidRPr="002849A2" w:rsidRDefault="004D5C01" w:rsidP="004D5C01">
            <w:pPr>
              <w:jc w:val="right"/>
              <w:rPr>
                <w:rFonts w:ascii="Arial" w:hAnsi="Arial" w:cs="Arial"/>
                <w:b/>
                <w:bCs/>
                <w:sz w:val="16"/>
                <w:szCs w:val="16"/>
                <w:lang w:val="es-ES_tradnl" w:eastAsia="es-AR"/>
              </w:rPr>
            </w:pPr>
            <w:r w:rsidRPr="003C08A0">
              <w:rPr>
                <w:rFonts w:ascii="Arial" w:hAnsi="Arial" w:cs="Arial"/>
                <w:b/>
                <w:bCs/>
                <w:sz w:val="16"/>
                <w:szCs w:val="16"/>
                <w:lang w:eastAsia="es-AR"/>
              </w:rPr>
              <w:t>10.281.</w:t>
            </w:r>
            <w:r w:rsidR="000862EE" w:rsidRPr="003C08A0">
              <w:rPr>
                <w:rFonts w:ascii="Arial" w:hAnsi="Arial" w:cs="Arial"/>
                <w:b/>
                <w:bCs/>
                <w:sz w:val="16"/>
                <w:szCs w:val="16"/>
                <w:lang w:eastAsia="es-AR"/>
              </w:rPr>
              <w:t>26</w:t>
            </w:r>
            <w:r w:rsidR="000652C3">
              <w:rPr>
                <w:rFonts w:ascii="Arial" w:hAnsi="Arial" w:cs="Arial"/>
                <w:b/>
                <w:bCs/>
                <w:sz w:val="16"/>
                <w:szCs w:val="16"/>
                <w:lang w:eastAsia="es-AR"/>
              </w:rPr>
              <w:t>3</w:t>
            </w:r>
          </w:p>
        </w:tc>
        <w:tc>
          <w:tcPr>
            <w:tcW w:w="1230" w:type="dxa"/>
            <w:tcBorders>
              <w:top w:val="single" w:sz="8" w:space="0" w:color="auto"/>
              <w:left w:val="single" w:sz="8" w:space="0" w:color="auto"/>
              <w:bottom w:val="single" w:sz="8" w:space="0" w:color="auto"/>
              <w:right w:val="single" w:sz="8" w:space="0" w:color="auto"/>
            </w:tcBorders>
            <w:shd w:val="clear" w:color="000000" w:fill="D0CECE"/>
            <w:noWrap/>
            <w:vAlign w:val="bottom"/>
            <w:hideMark/>
          </w:tcPr>
          <w:p w14:paraId="1C5BA2A7" w14:textId="0B9E32D7" w:rsidR="004D5C01" w:rsidRPr="003C08A0" w:rsidRDefault="004D5C01" w:rsidP="004D5C01">
            <w:pPr>
              <w:jc w:val="right"/>
              <w:rPr>
                <w:rFonts w:ascii="Arial" w:hAnsi="Arial" w:cs="Arial"/>
                <w:b/>
                <w:bCs/>
                <w:sz w:val="16"/>
                <w:szCs w:val="16"/>
                <w:lang w:val="es-ES_tradnl" w:eastAsia="es-AR"/>
              </w:rPr>
            </w:pPr>
            <w:r w:rsidRPr="003C08A0">
              <w:rPr>
                <w:rFonts w:ascii="Arial" w:hAnsi="Arial" w:cs="Arial"/>
                <w:b/>
                <w:bCs/>
                <w:sz w:val="16"/>
                <w:szCs w:val="16"/>
                <w:lang w:eastAsia="es-AR"/>
              </w:rPr>
              <w:t>119.569.32</w:t>
            </w:r>
            <w:r w:rsidR="000862EE">
              <w:rPr>
                <w:rFonts w:ascii="Arial" w:hAnsi="Arial" w:cs="Arial"/>
                <w:b/>
                <w:bCs/>
                <w:sz w:val="16"/>
                <w:szCs w:val="16"/>
                <w:lang w:eastAsia="es-AR"/>
              </w:rPr>
              <w:t>5</w:t>
            </w:r>
          </w:p>
        </w:tc>
      </w:tr>
    </w:tbl>
    <w:p w14:paraId="5A4B1CF9" w14:textId="77777777" w:rsidR="002A4D61" w:rsidRDefault="002A4D61" w:rsidP="002A4D61">
      <w:pPr>
        <w:widowControl w:val="0"/>
        <w:autoSpaceDE w:val="0"/>
        <w:autoSpaceDN w:val="0"/>
        <w:adjustRightInd w:val="0"/>
        <w:jc w:val="both"/>
        <w:rPr>
          <w:rFonts w:ascii="Arial" w:hAnsi="Arial" w:cs="Arial"/>
          <w:noProof/>
          <w:sz w:val="20"/>
        </w:rPr>
      </w:pPr>
    </w:p>
    <w:p w14:paraId="03BDA704" w14:textId="468CC221" w:rsidR="007C7173" w:rsidRPr="00B03619" w:rsidRDefault="00553573" w:rsidP="007C7173">
      <w:pPr>
        <w:widowControl w:val="0"/>
        <w:autoSpaceDE w:val="0"/>
        <w:autoSpaceDN w:val="0"/>
        <w:adjustRightInd w:val="0"/>
        <w:jc w:val="both"/>
        <w:rPr>
          <w:rFonts w:ascii="Arial" w:hAnsi="Arial" w:cs="Arial"/>
          <w:b/>
          <w:noProof/>
          <w:sz w:val="20"/>
        </w:rPr>
      </w:pPr>
      <w:r>
        <w:rPr>
          <w:rFonts w:ascii="Arial" w:hAnsi="Arial" w:cs="Arial"/>
          <w:b/>
          <w:noProof/>
          <w:sz w:val="20"/>
        </w:rPr>
        <w:t>29.</w:t>
      </w:r>
      <w:r w:rsidR="007C7173" w:rsidRPr="00B03619">
        <w:rPr>
          <w:rFonts w:ascii="Arial" w:hAnsi="Arial" w:cs="Arial"/>
          <w:b/>
          <w:noProof/>
          <w:sz w:val="20"/>
        </w:rPr>
        <w:t xml:space="preserve"> CONTEXTO ECONÓMICO EN QUE OPERA LA ENTIDAD</w:t>
      </w:r>
    </w:p>
    <w:p w14:paraId="1DBCF1CA" w14:textId="77777777" w:rsidR="007C7173" w:rsidRPr="007C7173" w:rsidRDefault="007C7173" w:rsidP="007C7173">
      <w:pPr>
        <w:widowControl w:val="0"/>
        <w:autoSpaceDE w:val="0"/>
        <w:autoSpaceDN w:val="0"/>
        <w:adjustRightInd w:val="0"/>
        <w:jc w:val="both"/>
        <w:rPr>
          <w:rFonts w:ascii="Arial" w:hAnsi="Arial" w:cs="Arial"/>
          <w:noProof/>
          <w:sz w:val="20"/>
        </w:rPr>
      </w:pPr>
    </w:p>
    <w:p w14:paraId="749481BC" w14:textId="77777777" w:rsidR="007C7173" w:rsidRPr="007C7173" w:rsidRDefault="007C7173" w:rsidP="007C7173">
      <w:pPr>
        <w:widowControl w:val="0"/>
        <w:autoSpaceDE w:val="0"/>
        <w:autoSpaceDN w:val="0"/>
        <w:adjustRightInd w:val="0"/>
        <w:jc w:val="both"/>
        <w:rPr>
          <w:rFonts w:ascii="Arial" w:hAnsi="Arial" w:cs="Arial"/>
          <w:noProof/>
          <w:sz w:val="20"/>
        </w:rPr>
      </w:pPr>
      <w:r w:rsidRPr="007C7173">
        <w:rPr>
          <w:rFonts w:ascii="Arial" w:hAnsi="Arial" w:cs="Arial"/>
          <w:noProof/>
          <w:sz w:val="20"/>
        </w:rPr>
        <w:t xml:space="preserve">La Entidad opera en un contexto económico complejo, cuyas variables principales han tenido recientemente una fuerte volatilidad, tanto en el ámbito nacional como internacional. </w:t>
      </w:r>
    </w:p>
    <w:p w14:paraId="540F6B17" w14:textId="77777777" w:rsidR="00D10F7B" w:rsidRDefault="00D10F7B" w:rsidP="007C7173">
      <w:pPr>
        <w:widowControl w:val="0"/>
        <w:autoSpaceDE w:val="0"/>
        <w:autoSpaceDN w:val="0"/>
        <w:adjustRightInd w:val="0"/>
        <w:jc w:val="both"/>
        <w:rPr>
          <w:rFonts w:ascii="Arial" w:hAnsi="Arial" w:cs="Arial"/>
          <w:noProof/>
          <w:sz w:val="20"/>
        </w:rPr>
      </w:pPr>
    </w:p>
    <w:p w14:paraId="004201B6" w14:textId="7EBDD7DE" w:rsidR="007C7173" w:rsidRDefault="007C7173" w:rsidP="007C7173">
      <w:pPr>
        <w:widowControl w:val="0"/>
        <w:autoSpaceDE w:val="0"/>
        <w:autoSpaceDN w:val="0"/>
        <w:adjustRightInd w:val="0"/>
        <w:jc w:val="both"/>
        <w:rPr>
          <w:rFonts w:ascii="Arial" w:hAnsi="Arial" w:cs="Arial"/>
          <w:noProof/>
          <w:sz w:val="20"/>
        </w:rPr>
      </w:pPr>
      <w:r w:rsidRPr="007C7173">
        <w:rPr>
          <w:rFonts w:ascii="Arial" w:hAnsi="Arial" w:cs="Arial"/>
          <w:noProof/>
          <w:sz w:val="20"/>
        </w:rPr>
        <w:t>En el ámbito local se visualizan las siguientes circunstancias:</w:t>
      </w:r>
    </w:p>
    <w:p w14:paraId="7F4852B1" w14:textId="77777777" w:rsidR="007C7173" w:rsidRPr="007C7173" w:rsidRDefault="007C7173" w:rsidP="007C7173">
      <w:pPr>
        <w:widowControl w:val="0"/>
        <w:autoSpaceDE w:val="0"/>
        <w:autoSpaceDN w:val="0"/>
        <w:adjustRightInd w:val="0"/>
        <w:jc w:val="both"/>
        <w:rPr>
          <w:rFonts w:ascii="Arial" w:hAnsi="Arial" w:cs="Arial"/>
          <w:noProof/>
          <w:sz w:val="20"/>
        </w:rPr>
      </w:pPr>
    </w:p>
    <w:p w14:paraId="14995D9F" w14:textId="2373B9B4" w:rsidR="007C7173" w:rsidRPr="006E1AF7" w:rsidRDefault="007C7173" w:rsidP="0023020F">
      <w:pPr>
        <w:pStyle w:val="Prrafodelista"/>
        <w:widowControl w:val="0"/>
        <w:numPr>
          <w:ilvl w:val="0"/>
          <w:numId w:val="39"/>
        </w:numPr>
        <w:autoSpaceDE w:val="0"/>
        <w:autoSpaceDN w:val="0"/>
        <w:adjustRightInd w:val="0"/>
        <w:ind w:left="426" w:hanging="426"/>
        <w:jc w:val="both"/>
        <w:rPr>
          <w:rFonts w:ascii="Arial" w:hAnsi="Arial" w:cs="Arial"/>
          <w:noProof/>
          <w:sz w:val="20"/>
        </w:rPr>
      </w:pPr>
      <w:r w:rsidRPr="006E1AF7">
        <w:rPr>
          <w:rFonts w:ascii="Arial" w:hAnsi="Arial" w:cs="Arial"/>
          <w:noProof/>
          <w:sz w:val="20"/>
        </w:rPr>
        <w:t>El primer semestre del año observó una caída del 2,5% del PIB en términos interanuales.</w:t>
      </w:r>
    </w:p>
    <w:p w14:paraId="5AA94E4A" w14:textId="37A46C09" w:rsidR="007C7173" w:rsidRPr="006E1AF7" w:rsidRDefault="007C7173" w:rsidP="0023020F">
      <w:pPr>
        <w:pStyle w:val="Prrafodelista"/>
        <w:widowControl w:val="0"/>
        <w:numPr>
          <w:ilvl w:val="0"/>
          <w:numId w:val="39"/>
        </w:numPr>
        <w:autoSpaceDE w:val="0"/>
        <w:autoSpaceDN w:val="0"/>
        <w:adjustRightInd w:val="0"/>
        <w:ind w:left="426" w:hanging="426"/>
        <w:jc w:val="both"/>
        <w:rPr>
          <w:rFonts w:ascii="Arial" w:hAnsi="Arial" w:cs="Arial"/>
          <w:noProof/>
          <w:sz w:val="20"/>
        </w:rPr>
      </w:pPr>
      <w:r w:rsidRPr="006E1AF7">
        <w:rPr>
          <w:rFonts w:ascii="Arial" w:hAnsi="Arial" w:cs="Arial"/>
          <w:noProof/>
          <w:sz w:val="20"/>
        </w:rPr>
        <w:t xml:space="preserve">La inflación acumulada entre el 1 de enero 2019 y el 30 de </w:t>
      </w:r>
      <w:r w:rsidR="00087EF8" w:rsidRPr="006E1AF7">
        <w:rPr>
          <w:rFonts w:ascii="Arial" w:hAnsi="Arial" w:cs="Arial"/>
          <w:noProof/>
          <w:sz w:val="20"/>
        </w:rPr>
        <w:t xml:space="preserve">diciembre de </w:t>
      </w:r>
      <w:r w:rsidRPr="006E1AF7">
        <w:rPr>
          <w:rFonts w:ascii="Arial" w:hAnsi="Arial" w:cs="Arial"/>
          <w:noProof/>
          <w:sz w:val="20"/>
        </w:rPr>
        <w:t xml:space="preserve">2019, alcanza el </w:t>
      </w:r>
      <w:r w:rsidR="00087EF8" w:rsidRPr="006E1AF7">
        <w:rPr>
          <w:rFonts w:ascii="Arial" w:hAnsi="Arial" w:cs="Arial"/>
          <w:noProof/>
          <w:sz w:val="20"/>
        </w:rPr>
        <w:t>53</w:t>
      </w:r>
      <w:r w:rsidRPr="006E1AF7">
        <w:rPr>
          <w:rFonts w:ascii="Arial" w:hAnsi="Arial" w:cs="Arial"/>
          <w:noProof/>
          <w:sz w:val="20"/>
        </w:rPr>
        <w:t>,</w:t>
      </w:r>
      <w:r w:rsidR="00087EF8" w:rsidRPr="006E1AF7">
        <w:rPr>
          <w:rFonts w:ascii="Arial" w:hAnsi="Arial" w:cs="Arial"/>
          <w:noProof/>
          <w:sz w:val="20"/>
        </w:rPr>
        <w:t>8</w:t>
      </w:r>
      <w:r w:rsidR="00D10F7B" w:rsidRPr="006E1AF7">
        <w:rPr>
          <w:rFonts w:ascii="Arial" w:hAnsi="Arial" w:cs="Arial"/>
          <w:noProof/>
          <w:sz w:val="20"/>
        </w:rPr>
        <w:t>%</w:t>
      </w:r>
      <w:r w:rsidRPr="006E1AF7">
        <w:rPr>
          <w:rFonts w:ascii="Arial" w:hAnsi="Arial" w:cs="Arial"/>
          <w:noProof/>
          <w:sz w:val="20"/>
        </w:rPr>
        <w:t>.</w:t>
      </w:r>
    </w:p>
    <w:p w14:paraId="2C2D4932" w14:textId="0EC65F6F" w:rsidR="007C7173" w:rsidRPr="00087EF8" w:rsidRDefault="007C7173" w:rsidP="0023020F">
      <w:pPr>
        <w:pStyle w:val="Prrafodelista"/>
        <w:widowControl w:val="0"/>
        <w:numPr>
          <w:ilvl w:val="0"/>
          <w:numId w:val="39"/>
        </w:numPr>
        <w:autoSpaceDE w:val="0"/>
        <w:autoSpaceDN w:val="0"/>
        <w:adjustRightInd w:val="0"/>
        <w:ind w:left="426" w:hanging="426"/>
        <w:jc w:val="both"/>
        <w:rPr>
          <w:rFonts w:ascii="Arial" w:hAnsi="Arial" w:cs="Arial"/>
          <w:noProof/>
          <w:sz w:val="20"/>
        </w:rPr>
      </w:pPr>
      <w:r w:rsidRPr="006E1AF7">
        <w:rPr>
          <w:rFonts w:ascii="Arial" w:hAnsi="Arial" w:cs="Arial"/>
          <w:noProof/>
          <w:sz w:val="20"/>
        </w:rPr>
        <w:t>La devaluación significativa del peso a partir del mes de agosto generó una imprevista salida de depósitos en dólares del sistema financiero (generando consecuentemente una caída de las reservas del Banco Central) y un aumento de la tasa de interés de referencia por encima del 74%.</w:t>
      </w:r>
    </w:p>
    <w:p w14:paraId="4CE91065" w14:textId="77777777" w:rsidR="00D10F7B" w:rsidRDefault="00D10F7B" w:rsidP="007C7173">
      <w:pPr>
        <w:widowControl w:val="0"/>
        <w:autoSpaceDE w:val="0"/>
        <w:autoSpaceDN w:val="0"/>
        <w:adjustRightInd w:val="0"/>
        <w:jc w:val="both"/>
        <w:rPr>
          <w:rFonts w:ascii="Arial" w:hAnsi="Arial" w:cs="Arial"/>
          <w:noProof/>
          <w:sz w:val="20"/>
        </w:rPr>
      </w:pPr>
    </w:p>
    <w:p w14:paraId="605DD49C" w14:textId="467C2B40" w:rsidR="007C7173" w:rsidRDefault="007C7173" w:rsidP="007C7173">
      <w:pPr>
        <w:widowControl w:val="0"/>
        <w:autoSpaceDE w:val="0"/>
        <w:autoSpaceDN w:val="0"/>
        <w:adjustRightInd w:val="0"/>
        <w:jc w:val="both"/>
        <w:rPr>
          <w:rFonts w:ascii="Arial" w:hAnsi="Arial" w:cs="Arial"/>
          <w:noProof/>
          <w:sz w:val="20"/>
        </w:rPr>
      </w:pPr>
      <w:r w:rsidRPr="007C7173">
        <w:rPr>
          <w:rFonts w:ascii="Arial" w:hAnsi="Arial" w:cs="Arial"/>
          <w:noProof/>
          <w:sz w:val="20"/>
        </w:rPr>
        <w:t>Ante estas circunstancias, el gobierno decidió implementar ciertas medidas, entre las que se encuentran:</w:t>
      </w:r>
    </w:p>
    <w:p w14:paraId="0AB24F86" w14:textId="77777777" w:rsidR="007C7173" w:rsidRDefault="007C7173" w:rsidP="007C7173">
      <w:pPr>
        <w:widowControl w:val="0"/>
        <w:autoSpaceDE w:val="0"/>
        <w:autoSpaceDN w:val="0"/>
        <w:adjustRightInd w:val="0"/>
        <w:jc w:val="both"/>
        <w:rPr>
          <w:rFonts w:ascii="Arial" w:hAnsi="Arial" w:cs="Arial"/>
          <w:noProof/>
          <w:sz w:val="20"/>
        </w:rPr>
      </w:pPr>
    </w:p>
    <w:p w14:paraId="75A17BE7" w14:textId="77777777" w:rsidR="007C7173" w:rsidRDefault="007C7173" w:rsidP="007C7173">
      <w:pPr>
        <w:pStyle w:val="Prrafodelista"/>
        <w:widowControl w:val="0"/>
        <w:numPr>
          <w:ilvl w:val="0"/>
          <w:numId w:val="3"/>
        </w:numPr>
        <w:autoSpaceDE w:val="0"/>
        <w:autoSpaceDN w:val="0"/>
        <w:adjustRightInd w:val="0"/>
        <w:jc w:val="both"/>
        <w:rPr>
          <w:rFonts w:ascii="Arial" w:hAnsi="Arial" w:cs="Arial"/>
          <w:noProof/>
          <w:sz w:val="20"/>
        </w:rPr>
      </w:pPr>
      <w:r w:rsidRPr="00B03619">
        <w:rPr>
          <w:rFonts w:ascii="Arial" w:hAnsi="Arial" w:cs="Arial"/>
          <w:noProof/>
          <w:sz w:val="20"/>
        </w:rPr>
        <w:t>Establecer límites en la adquisición de moneda extranjera.</w:t>
      </w:r>
    </w:p>
    <w:p w14:paraId="4F1B3DE9" w14:textId="77777777" w:rsidR="007C7173" w:rsidRDefault="007C7173" w:rsidP="007C7173">
      <w:pPr>
        <w:pStyle w:val="Prrafodelista"/>
        <w:widowControl w:val="0"/>
        <w:numPr>
          <w:ilvl w:val="0"/>
          <w:numId w:val="3"/>
        </w:numPr>
        <w:autoSpaceDE w:val="0"/>
        <w:autoSpaceDN w:val="0"/>
        <w:adjustRightInd w:val="0"/>
        <w:jc w:val="both"/>
        <w:rPr>
          <w:rFonts w:ascii="Arial" w:hAnsi="Arial" w:cs="Arial"/>
          <w:noProof/>
          <w:sz w:val="20"/>
        </w:rPr>
      </w:pPr>
      <w:r w:rsidRPr="00B03619">
        <w:rPr>
          <w:rFonts w:ascii="Arial" w:hAnsi="Arial" w:cs="Arial"/>
          <w:noProof/>
          <w:sz w:val="20"/>
        </w:rPr>
        <w:t>Establecer plazos específicos para ingresar y liquidar exportaciones.</w:t>
      </w:r>
    </w:p>
    <w:p w14:paraId="6322EA2F" w14:textId="77777777" w:rsidR="007C7173" w:rsidRDefault="007C7173" w:rsidP="007C7173">
      <w:pPr>
        <w:pStyle w:val="Prrafodelista"/>
        <w:widowControl w:val="0"/>
        <w:numPr>
          <w:ilvl w:val="0"/>
          <w:numId w:val="3"/>
        </w:numPr>
        <w:autoSpaceDE w:val="0"/>
        <w:autoSpaceDN w:val="0"/>
        <w:adjustRightInd w:val="0"/>
        <w:jc w:val="both"/>
        <w:rPr>
          <w:rFonts w:ascii="Arial" w:hAnsi="Arial" w:cs="Arial"/>
          <w:noProof/>
          <w:sz w:val="20"/>
        </w:rPr>
      </w:pPr>
      <w:r w:rsidRPr="00B03619">
        <w:rPr>
          <w:rFonts w:ascii="Arial" w:hAnsi="Arial" w:cs="Arial"/>
          <w:noProof/>
          <w:sz w:val="20"/>
        </w:rPr>
        <w:t>Autorización previa del BCRA para la formación de activos externos para las empresas.</w:t>
      </w:r>
    </w:p>
    <w:p w14:paraId="4D7F0569" w14:textId="77777777" w:rsidR="007C7173" w:rsidRDefault="007C7173" w:rsidP="007C7173">
      <w:pPr>
        <w:pStyle w:val="Prrafodelista"/>
        <w:widowControl w:val="0"/>
        <w:numPr>
          <w:ilvl w:val="0"/>
          <w:numId w:val="3"/>
        </w:numPr>
        <w:autoSpaceDE w:val="0"/>
        <w:autoSpaceDN w:val="0"/>
        <w:adjustRightInd w:val="0"/>
        <w:jc w:val="both"/>
        <w:rPr>
          <w:rFonts w:ascii="Arial" w:hAnsi="Arial" w:cs="Arial"/>
          <w:noProof/>
          <w:sz w:val="20"/>
        </w:rPr>
      </w:pPr>
      <w:r w:rsidRPr="00B03619">
        <w:rPr>
          <w:rFonts w:ascii="Arial" w:hAnsi="Arial" w:cs="Arial"/>
          <w:noProof/>
          <w:sz w:val="20"/>
        </w:rPr>
        <w:t>Autorización previa del BCRA para el pago de deudas a empresas vinculadas del exterior.</w:t>
      </w:r>
    </w:p>
    <w:p w14:paraId="1CFF5C0C" w14:textId="77777777" w:rsidR="007C7173" w:rsidRDefault="007C7173" w:rsidP="007C7173">
      <w:pPr>
        <w:pStyle w:val="Prrafodelista"/>
        <w:widowControl w:val="0"/>
        <w:numPr>
          <w:ilvl w:val="0"/>
          <w:numId w:val="3"/>
        </w:numPr>
        <w:autoSpaceDE w:val="0"/>
        <w:autoSpaceDN w:val="0"/>
        <w:adjustRightInd w:val="0"/>
        <w:jc w:val="both"/>
        <w:rPr>
          <w:rFonts w:ascii="Arial" w:hAnsi="Arial" w:cs="Arial"/>
          <w:noProof/>
          <w:sz w:val="20"/>
        </w:rPr>
      </w:pPr>
      <w:r w:rsidRPr="00B03619">
        <w:rPr>
          <w:rFonts w:ascii="Arial" w:hAnsi="Arial" w:cs="Arial"/>
          <w:noProof/>
          <w:sz w:val="20"/>
        </w:rPr>
        <w:t>Diferimiento del pago de ciertos instrumentos de deuda pública.</w:t>
      </w:r>
    </w:p>
    <w:p w14:paraId="0B7AF61B" w14:textId="77777777" w:rsidR="007C7173" w:rsidRPr="00B03619" w:rsidRDefault="007C7173" w:rsidP="007C7173">
      <w:pPr>
        <w:pStyle w:val="Prrafodelista"/>
        <w:widowControl w:val="0"/>
        <w:numPr>
          <w:ilvl w:val="0"/>
          <w:numId w:val="3"/>
        </w:numPr>
        <w:autoSpaceDE w:val="0"/>
        <w:autoSpaceDN w:val="0"/>
        <w:adjustRightInd w:val="0"/>
        <w:jc w:val="both"/>
        <w:rPr>
          <w:rFonts w:ascii="Arial" w:hAnsi="Arial" w:cs="Arial"/>
          <w:noProof/>
          <w:sz w:val="20"/>
        </w:rPr>
      </w:pPr>
      <w:r w:rsidRPr="00B03619">
        <w:rPr>
          <w:rFonts w:ascii="Arial" w:hAnsi="Arial" w:cs="Arial"/>
          <w:noProof/>
          <w:sz w:val="20"/>
        </w:rPr>
        <w:t>Control del precio de los combustibles.</w:t>
      </w:r>
    </w:p>
    <w:p w14:paraId="074010B3" w14:textId="77777777" w:rsidR="007C7173" w:rsidRDefault="007C7173" w:rsidP="007C7173">
      <w:pPr>
        <w:widowControl w:val="0"/>
        <w:autoSpaceDE w:val="0"/>
        <w:autoSpaceDN w:val="0"/>
        <w:adjustRightInd w:val="0"/>
        <w:jc w:val="both"/>
        <w:rPr>
          <w:rFonts w:ascii="Arial" w:hAnsi="Arial" w:cs="Arial"/>
          <w:noProof/>
          <w:sz w:val="20"/>
        </w:rPr>
      </w:pPr>
    </w:p>
    <w:p w14:paraId="3FCD60EB" w14:textId="77777777" w:rsidR="007C7173" w:rsidRPr="00B03619" w:rsidRDefault="007C7173" w:rsidP="007C7173">
      <w:pPr>
        <w:widowControl w:val="0"/>
        <w:autoSpaceDE w:val="0"/>
        <w:autoSpaceDN w:val="0"/>
        <w:adjustRightInd w:val="0"/>
        <w:jc w:val="both"/>
        <w:rPr>
          <w:rFonts w:ascii="Arial" w:hAnsi="Arial" w:cs="Arial"/>
          <w:noProof/>
          <w:sz w:val="20"/>
        </w:rPr>
      </w:pPr>
      <w:r w:rsidRPr="00B03619">
        <w:rPr>
          <w:rFonts w:ascii="Arial" w:hAnsi="Arial" w:cs="Arial"/>
          <w:noProof/>
          <w:sz w:val="20"/>
        </w:rPr>
        <w:t xml:space="preserve">Este contexto de volatilidad e incertidumbre continúa a la fecha de emisión de los presentes estados financieros. </w:t>
      </w:r>
    </w:p>
    <w:p w14:paraId="450BF28F" w14:textId="77777777" w:rsidR="007C7173" w:rsidRPr="007C7173" w:rsidRDefault="007C7173" w:rsidP="007C7173">
      <w:pPr>
        <w:widowControl w:val="0"/>
        <w:autoSpaceDE w:val="0"/>
        <w:autoSpaceDN w:val="0"/>
        <w:adjustRightInd w:val="0"/>
        <w:jc w:val="both"/>
        <w:rPr>
          <w:rFonts w:ascii="Arial" w:hAnsi="Arial" w:cs="Arial"/>
          <w:noProof/>
          <w:sz w:val="20"/>
        </w:rPr>
      </w:pPr>
    </w:p>
    <w:p w14:paraId="766533F5" w14:textId="77777777" w:rsidR="007C7173" w:rsidRDefault="007C7173" w:rsidP="007C7173">
      <w:pPr>
        <w:widowControl w:val="0"/>
        <w:autoSpaceDE w:val="0"/>
        <w:autoSpaceDN w:val="0"/>
        <w:adjustRightInd w:val="0"/>
        <w:jc w:val="both"/>
        <w:rPr>
          <w:rFonts w:ascii="Arial" w:hAnsi="Arial" w:cs="Arial"/>
          <w:noProof/>
          <w:sz w:val="20"/>
        </w:rPr>
      </w:pPr>
      <w:r w:rsidRPr="007C7173">
        <w:rPr>
          <w:rFonts w:ascii="Arial" w:hAnsi="Arial" w:cs="Arial"/>
          <w:noProof/>
          <w:sz w:val="20"/>
        </w:rPr>
        <w:t>La Dirección de la Entidad monitorea permanentemente la evolución de las variables que afectan su negocio, para definir su curso de acción e identificar los potenciales impactos sobre su situación patrimonial y financiera. Los estados financieros de la Entidad deben ser leídos a la luz de estas circunstancias.</w:t>
      </w:r>
    </w:p>
    <w:p w14:paraId="1F6BC051" w14:textId="77777777" w:rsidR="007C7173" w:rsidRDefault="007C7173" w:rsidP="003E58B4">
      <w:pPr>
        <w:widowControl w:val="0"/>
        <w:autoSpaceDE w:val="0"/>
        <w:autoSpaceDN w:val="0"/>
        <w:adjustRightInd w:val="0"/>
        <w:jc w:val="both"/>
        <w:rPr>
          <w:rFonts w:ascii="Arial" w:hAnsi="Arial" w:cs="Arial"/>
          <w:noProof/>
          <w:sz w:val="20"/>
        </w:rPr>
      </w:pPr>
    </w:p>
    <w:p w14:paraId="725E288C" w14:textId="77777777" w:rsidR="003E58B4" w:rsidRPr="00701F32" w:rsidRDefault="003E58B4" w:rsidP="007532DD">
      <w:pPr>
        <w:tabs>
          <w:tab w:val="left" w:pos="709"/>
          <w:tab w:val="left" w:pos="851"/>
        </w:tabs>
        <w:ind w:left="284" w:right="51"/>
        <w:contextualSpacing/>
        <w:jc w:val="both"/>
        <w:rPr>
          <w:rFonts w:ascii="Arial" w:hAnsi="Arial" w:cs="Arial"/>
          <w:b/>
          <w:sz w:val="20"/>
        </w:rPr>
      </w:pPr>
    </w:p>
    <w:p w14:paraId="3424262B" w14:textId="4BF56A8F" w:rsidR="00D26299" w:rsidRPr="00701F32" w:rsidRDefault="00D26299" w:rsidP="007532DD">
      <w:pPr>
        <w:tabs>
          <w:tab w:val="left" w:pos="709"/>
          <w:tab w:val="left" w:pos="851"/>
        </w:tabs>
        <w:ind w:left="284" w:right="51"/>
        <w:contextualSpacing/>
        <w:jc w:val="both"/>
        <w:rPr>
          <w:rFonts w:ascii="Arial" w:hAnsi="Arial" w:cs="Arial"/>
          <w:b/>
          <w:sz w:val="20"/>
        </w:rPr>
        <w:sectPr w:rsidR="00D26299" w:rsidRPr="00701F32" w:rsidSect="007045C3">
          <w:headerReference w:type="default" r:id="rId51"/>
          <w:pgSz w:w="11907" w:h="16839" w:code="9"/>
          <w:pgMar w:top="1418" w:right="1701" w:bottom="1418" w:left="1701" w:header="567" w:footer="0" w:gutter="0"/>
          <w:paperSrc w:first="256" w:other="256"/>
          <w:cols w:space="720"/>
          <w:docGrid w:linePitch="326"/>
        </w:sectPr>
      </w:pPr>
    </w:p>
    <w:p w14:paraId="69D91663" w14:textId="46B46BAE" w:rsidR="007532DD" w:rsidRPr="00701F32" w:rsidRDefault="007532DD" w:rsidP="007532DD">
      <w:pPr>
        <w:tabs>
          <w:tab w:val="left" w:pos="709"/>
          <w:tab w:val="left" w:pos="851"/>
        </w:tabs>
        <w:ind w:left="284" w:right="51"/>
        <w:contextualSpacing/>
        <w:jc w:val="both"/>
        <w:rPr>
          <w:rFonts w:ascii="Arial" w:hAnsi="Arial" w:cs="Arial"/>
          <w:sz w:val="20"/>
        </w:rPr>
      </w:pPr>
    </w:p>
    <w:tbl>
      <w:tblPr>
        <w:tblW w:w="9725" w:type="dxa"/>
        <w:tblLayout w:type="fixed"/>
        <w:tblCellMar>
          <w:left w:w="70" w:type="dxa"/>
          <w:right w:w="70" w:type="dxa"/>
        </w:tblCellMar>
        <w:tblLook w:val="04A0" w:firstRow="1" w:lastRow="0" w:firstColumn="1" w:lastColumn="0" w:noHBand="0" w:noVBand="1"/>
      </w:tblPr>
      <w:tblGrid>
        <w:gridCol w:w="3189"/>
        <w:gridCol w:w="709"/>
        <w:gridCol w:w="794"/>
        <w:gridCol w:w="794"/>
        <w:gridCol w:w="841"/>
        <w:gridCol w:w="841"/>
        <w:gridCol w:w="915"/>
        <w:gridCol w:w="778"/>
        <w:gridCol w:w="848"/>
        <w:gridCol w:w="16"/>
      </w:tblGrid>
      <w:tr w:rsidR="00D926FE" w:rsidRPr="00D926FE" w14:paraId="3DF89D23" w14:textId="77777777" w:rsidTr="00066653">
        <w:trPr>
          <w:gridAfter w:val="1"/>
          <w:wAfter w:w="16" w:type="dxa"/>
          <w:trHeight w:val="240"/>
          <w:tblHeader/>
        </w:trPr>
        <w:tc>
          <w:tcPr>
            <w:tcW w:w="3189" w:type="dxa"/>
            <w:vMerge w:val="restart"/>
            <w:tcBorders>
              <w:top w:val="single" w:sz="4" w:space="0" w:color="363639"/>
              <w:left w:val="single" w:sz="4" w:space="0" w:color="363639"/>
              <w:bottom w:val="single" w:sz="4" w:space="0" w:color="363639"/>
              <w:right w:val="single" w:sz="4" w:space="0" w:color="363639"/>
            </w:tcBorders>
            <w:shd w:val="clear" w:color="auto" w:fill="D9D9D9" w:themeFill="background1" w:themeFillShade="D9"/>
            <w:vAlign w:val="center"/>
            <w:hideMark/>
          </w:tcPr>
          <w:p w14:paraId="1A6701CA"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Concepto</w:t>
            </w:r>
          </w:p>
        </w:tc>
        <w:tc>
          <w:tcPr>
            <w:tcW w:w="709" w:type="dxa"/>
            <w:vMerge w:val="restart"/>
            <w:tcBorders>
              <w:top w:val="single" w:sz="4" w:space="0" w:color="363639"/>
              <w:left w:val="single" w:sz="4" w:space="0" w:color="363639"/>
              <w:bottom w:val="single" w:sz="4" w:space="0" w:color="363639"/>
              <w:right w:val="single" w:sz="4" w:space="0" w:color="363639"/>
            </w:tcBorders>
            <w:shd w:val="clear" w:color="auto" w:fill="D9D9D9" w:themeFill="background1" w:themeFillShade="D9"/>
            <w:vAlign w:val="center"/>
            <w:hideMark/>
          </w:tcPr>
          <w:p w14:paraId="592D8FB2" w14:textId="77777777" w:rsid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Identifi</w:t>
            </w:r>
          </w:p>
          <w:p w14:paraId="7CBC5182" w14:textId="124416DB"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cación</w:t>
            </w:r>
          </w:p>
        </w:tc>
        <w:tc>
          <w:tcPr>
            <w:tcW w:w="3270" w:type="dxa"/>
            <w:gridSpan w:val="4"/>
            <w:tcBorders>
              <w:top w:val="single" w:sz="4" w:space="0" w:color="363639"/>
              <w:left w:val="nil"/>
              <w:bottom w:val="single" w:sz="4" w:space="0" w:color="363639"/>
              <w:right w:val="single" w:sz="4" w:space="0" w:color="363639"/>
            </w:tcBorders>
            <w:shd w:val="clear" w:color="auto" w:fill="D9D9D9" w:themeFill="background1" w:themeFillShade="D9"/>
            <w:vAlign w:val="center"/>
            <w:hideMark/>
          </w:tcPr>
          <w:p w14:paraId="5F8FF218"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TENENCIA</w:t>
            </w:r>
          </w:p>
        </w:tc>
        <w:tc>
          <w:tcPr>
            <w:tcW w:w="2541" w:type="dxa"/>
            <w:gridSpan w:val="3"/>
            <w:tcBorders>
              <w:top w:val="single" w:sz="4" w:space="0" w:color="363639"/>
              <w:left w:val="single" w:sz="4" w:space="0" w:color="363639"/>
              <w:bottom w:val="single" w:sz="4" w:space="0" w:color="363639"/>
              <w:right w:val="single" w:sz="4" w:space="0" w:color="363639"/>
            </w:tcBorders>
            <w:shd w:val="clear" w:color="auto" w:fill="D9D9D9" w:themeFill="background1" w:themeFillShade="D9"/>
            <w:vAlign w:val="center"/>
            <w:hideMark/>
          </w:tcPr>
          <w:p w14:paraId="304764F3"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POSICION</w:t>
            </w:r>
          </w:p>
        </w:tc>
      </w:tr>
      <w:tr w:rsidR="00D926FE" w:rsidRPr="00D926FE" w14:paraId="415334B5" w14:textId="77777777" w:rsidTr="00066653">
        <w:trPr>
          <w:gridAfter w:val="1"/>
          <w:wAfter w:w="16" w:type="dxa"/>
          <w:trHeight w:val="855"/>
          <w:tblHeader/>
        </w:trPr>
        <w:tc>
          <w:tcPr>
            <w:tcW w:w="3189" w:type="dxa"/>
            <w:vMerge/>
            <w:tcBorders>
              <w:top w:val="single" w:sz="4" w:space="0" w:color="363639"/>
              <w:left w:val="single" w:sz="4" w:space="0" w:color="363639"/>
              <w:bottom w:val="single" w:sz="4" w:space="0" w:color="363639"/>
              <w:right w:val="single" w:sz="4" w:space="0" w:color="363639"/>
            </w:tcBorders>
            <w:shd w:val="clear" w:color="auto" w:fill="D9D9D9" w:themeFill="background1" w:themeFillShade="D9"/>
            <w:vAlign w:val="center"/>
            <w:hideMark/>
          </w:tcPr>
          <w:p w14:paraId="05B11FE9" w14:textId="77777777" w:rsidR="00D926FE" w:rsidRPr="00D926FE" w:rsidRDefault="00D926FE" w:rsidP="00D926FE">
            <w:pPr>
              <w:rPr>
                <w:rFonts w:ascii="Arial" w:hAnsi="Arial" w:cs="Arial"/>
                <w:b/>
                <w:bCs/>
                <w:sz w:val="14"/>
                <w:szCs w:val="14"/>
                <w:lang w:eastAsia="es-AR"/>
              </w:rPr>
            </w:pPr>
          </w:p>
        </w:tc>
        <w:tc>
          <w:tcPr>
            <w:tcW w:w="709" w:type="dxa"/>
            <w:vMerge/>
            <w:tcBorders>
              <w:top w:val="single" w:sz="4" w:space="0" w:color="363639"/>
              <w:left w:val="single" w:sz="4" w:space="0" w:color="363639"/>
              <w:bottom w:val="single" w:sz="4" w:space="0" w:color="363639"/>
              <w:right w:val="single" w:sz="4" w:space="0" w:color="363639"/>
            </w:tcBorders>
            <w:shd w:val="clear" w:color="auto" w:fill="D9D9D9" w:themeFill="background1" w:themeFillShade="D9"/>
            <w:vAlign w:val="center"/>
            <w:hideMark/>
          </w:tcPr>
          <w:p w14:paraId="7721D91A" w14:textId="77777777" w:rsidR="00D926FE" w:rsidRPr="00D926FE" w:rsidRDefault="00D926FE" w:rsidP="00D926FE">
            <w:pPr>
              <w:jc w:val="center"/>
              <w:rPr>
                <w:rFonts w:ascii="Arial" w:hAnsi="Arial" w:cs="Arial"/>
                <w:b/>
                <w:bCs/>
                <w:sz w:val="14"/>
                <w:szCs w:val="14"/>
                <w:lang w:eastAsia="es-AR"/>
              </w:rPr>
            </w:pPr>
          </w:p>
        </w:tc>
        <w:tc>
          <w:tcPr>
            <w:tcW w:w="794" w:type="dxa"/>
            <w:tcBorders>
              <w:top w:val="nil"/>
              <w:left w:val="nil"/>
              <w:bottom w:val="single" w:sz="4" w:space="0" w:color="363639"/>
              <w:right w:val="single" w:sz="4" w:space="0" w:color="363639"/>
            </w:tcBorders>
            <w:shd w:val="clear" w:color="auto" w:fill="D9D9D9" w:themeFill="background1" w:themeFillShade="D9"/>
            <w:vAlign w:val="center"/>
            <w:hideMark/>
          </w:tcPr>
          <w:p w14:paraId="6892A1C5"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Valor razonable</w:t>
            </w:r>
          </w:p>
        </w:tc>
        <w:tc>
          <w:tcPr>
            <w:tcW w:w="794" w:type="dxa"/>
            <w:tcBorders>
              <w:top w:val="nil"/>
              <w:left w:val="nil"/>
              <w:bottom w:val="single" w:sz="4" w:space="0" w:color="363639"/>
              <w:right w:val="single" w:sz="4" w:space="0" w:color="363639"/>
            </w:tcBorders>
            <w:shd w:val="clear" w:color="auto" w:fill="D9D9D9" w:themeFill="background1" w:themeFillShade="D9"/>
            <w:vAlign w:val="center"/>
            <w:hideMark/>
          </w:tcPr>
          <w:p w14:paraId="5C54EEFC"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Nivel de valor razonable</w:t>
            </w:r>
          </w:p>
        </w:tc>
        <w:tc>
          <w:tcPr>
            <w:tcW w:w="841" w:type="dxa"/>
            <w:tcBorders>
              <w:top w:val="nil"/>
              <w:left w:val="nil"/>
              <w:bottom w:val="single" w:sz="4" w:space="0" w:color="363639"/>
              <w:right w:val="single" w:sz="4" w:space="0" w:color="363639"/>
            </w:tcBorders>
            <w:shd w:val="clear" w:color="auto" w:fill="D9D9D9" w:themeFill="background1" w:themeFillShade="D9"/>
            <w:vAlign w:val="center"/>
            <w:hideMark/>
          </w:tcPr>
          <w:p w14:paraId="41613361" w14:textId="6EAD5D08"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 xml:space="preserve">Saldo de libros </w:t>
            </w:r>
            <w:r w:rsidR="00B9798B">
              <w:rPr>
                <w:rFonts w:ascii="Arial" w:hAnsi="Arial" w:cs="Arial"/>
                <w:b/>
                <w:bCs/>
                <w:sz w:val="14"/>
                <w:szCs w:val="14"/>
                <w:lang w:eastAsia="es-AR"/>
              </w:rPr>
              <w:t>31/12/2019</w:t>
            </w:r>
          </w:p>
        </w:tc>
        <w:tc>
          <w:tcPr>
            <w:tcW w:w="841" w:type="dxa"/>
            <w:tcBorders>
              <w:top w:val="nil"/>
              <w:left w:val="nil"/>
              <w:bottom w:val="single" w:sz="4" w:space="0" w:color="363639"/>
              <w:right w:val="single" w:sz="4" w:space="0" w:color="363639"/>
            </w:tcBorders>
            <w:shd w:val="clear" w:color="auto" w:fill="D9D9D9" w:themeFill="background1" w:themeFillShade="D9"/>
            <w:vAlign w:val="center"/>
            <w:hideMark/>
          </w:tcPr>
          <w:p w14:paraId="48FCF76A" w14:textId="64D5EC08"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Saldo de libros 31/12/</w:t>
            </w:r>
            <w:r w:rsidR="00250D43">
              <w:rPr>
                <w:rFonts w:ascii="Arial" w:hAnsi="Arial" w:cs="Arial"/>
                <w:b/>
                <w:bCs/>
                <w:sz w:val="14"/>
                <w:szCs w:val="14"/>
                <w:lang w:eastAsia="es-AR"/>
              </w:rPr>
              <w:t>20</w:t>
            </w:r>
            <w:r w:rsidRPr="00D926FE">
              <w:rPr>
                <w:rFonts w:ascii="Arial" w:hAnsi="Arial" w:cs="Arial"/>
                <w:b/>
                <w:bCs/>
                <w:sz w:val="14"/>
                <w:szCs w:val="14"/>
                <w:lang w:eastAsia="es-AR"/>
              </w:rPr>
              <w:t>18</w:t>
            </w:r>
          </w:p>
        </w:tc>
        <w:tc>
          <w:tcPr>
            <w:tcW w:w="915" w:type="dxa"/>
            <w:tcBorders>
              <w:top w:val="nil"/>
              <w:left w:val="nil"/>
              <w:bottom w:val="single" w:sz="4" w:space="0" w:color="363639"/>
              <w:right w:val="single" w:sz="4" w:space="0" w:color="363639"/>
            </w:tcBorders>
            <w:shd w:val="clear" w:color="auto" w:fill="D9D9D9" w:themeFill="background1" w:themeFillShade="D9"/>
            <w:vAlign w:val="center"/>
            <w:hideMark/>
          </w:tcPr>
          <w:p w14:paraId="2BAC7BEB"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Posición sin opciones</w:t>
            </w:r>
          </w:p>
        </w:tc>
        <w:tc>
          <w:tcPr>
            <w:tcW w:w="778" w:type="dxa"/>
            <w:tcBorders>
              <w:top w:val="nil"/>
              <w:left w:val="nil"/>
              <w:bottom w:val="single" w:sz="4" w:space="0" w:color="363639"/>
              <w:right w:val="single" w:sz="4" w:space="0" w:color="363639"/>
            </w:tcBorders>
            <w:shd w:val="clear" w:color="auto" w:fill="D9D9D9" w:themeFill="background1" w:themeFillShade="D9"/>
            <w:vAlign w:val="center"/>
            <w:hideMark/>
          </w:tcPr>
          <w:p w14:paraId="131ABB1E"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Opciones</w:t>
            </w:r>
          </w:p>
        </w:tc>
        <w:tc>
          <w:tcPr>
            <w:tcW w:w="848" w:type="dxa"/>
            <w:tcBorders>
              <w:top w:val="nil"/>
              <w:left w:val="nil"/>
              <w:bottom w:val="single" w:sz="4" w:space="0" w:color="363639"/>
              <w:right w:val="single" w:sz="4" w:space="0" w:color="363639"/>
            </w:tcBorders>
            <w:shd w:val="clear" w:color="auto" w:fill="D9D9D9" w:themeFill="background1" w:themeFillShade="D9"/>
            <w:vAlign w:val="center"/>
            <w:hideMark/>
          </w:tcPr>
          <w:p w14:paraId="03893216" w14:textId="77777777" w:rsidR="00D926FE" w:rsidRPr="00D926FE" w:rsidRDefault="00D926FE" w:rsidP="00D926FE">
            <w:pPr>
              <w:jc w:val="center"/>
              <w:rPr>
                <w:rFonts w:ascii="Arial" w:hAnsi="Arial" w:cs="Arial"/>
                <w:b/>
                <w:bCs/>
                <w:sz w:val="14"/>
                <w:szCs w:val="14"/>
                <w:lang w:eastAsia="es-AR"/>
              </w:rPr>
            </w:pPr>
            <w:r w:rsidRPr="00D926FE">
              <w:rPr>
                <w:rFonts w:ascii="Arial" w:hAnsi="Arial" w:cs="Arial"/>
                <w:b/>
                <w:bCs/>
                <w:sz w:val="14"/>
                <w:szCs w:val="14"/>
                <w:lang w:eastAsia="es-AR"/>
              </w:rPr>
              <w:t>Posición Final</w:t>
            </w:r>
          </w:p>
        </w:tc>
      </w:tr>
      <w:tr w:rsidR="00D926FE" w:rsidRPr="00D926FE" w14:paraId="51D1C95C" w14:textId="77777777" w:rsidTr="00066653">
        <w:trPr>
          <w:trHeight w:val="233"/>
        </w:trPr>
        <w:tc>
          <w:tcPr>
            <w:tcW w:w="9725" w:type="dxa"/>
            <w:gridSpan w:val="10"/>
            <w:tcBorders>
              <w:top w:val="nil"/>
              <w:left w:val="nil"/>
              <w:bottom w:val="nil"/>
              <w:right w:val="nil"/>
            </w:tcBorders>
            <w:shd w:val="clear" w:color="auto" w:fill="auto"/>
            <w:hideMark/>
          </w:tcPr>
          <w:p w14:paraId="6B87BFB1" w14:textId="59EC205A" w:rsidR="00D926FE" w:rsidRPr="00D926FE" w:rsidRDefault="00D926FE" w:rsidP="00D926FE">
            <w:pPr>
              <w:rPr>
                <w:rFonts w:ascii="Arial" w:hAnsi="Arial" w:cs="Arial"/>
                <w:b/>
                <w:bCs/>
                <w:sz w:val="14"/>
                <w:szCs w:val="14"/>
                <w:lang w:eastAsia="es-AR"/>
              </w:rPr>
            </w:pPr>
            <w:r w:rsidRPr="00D926FE">
              <w:rPr>
                <w:rFonts w:ascii="Arial" w:hAnsi="Arial" w:cs="Arial"/>
                <w:b/>
                <w:bCs/>
                <w:sz w:val="14"/>
                <w:szCs w:val="14"/>
                <w:lang w:eastAsia="es-AR"/>
              </w:rPr>
              <w:t>TITULOS DE DEUDA A VALOR RAZONABLE CON CAMBIOS EN RESULTADOS</w:t>
            </w:r>
          </w:p>
        </w:tc>
      </w:tr>
      <w:tr w:rsidR="00D926FE" w:rsidRPr="00D926FE" w14:paraId="2FDBEEEF" w14:textId="77777777" w:rsidTr="00B03371">
        <w:trPr>
          <w:gridAfter w:val="1"/>
          <w:wAfter w:w="16" w:type="dxa"/>
          <w:trHeight w:val="240"/>
        </w:trPr>
        <w:tc>
          <w:tcPr>
            <w:tcW w:w="3189" w:type="dxa"/>
            <w:tcBorders>
              <w:top w:val="nil"/>
              <w:left w:val="nil"/>
              <w:bottom w:val="nil"/>
              <w:right w:val="nil"/>
            </w:tcBorders>
            <w:shd w:val="clear" w:color="auto" w:fill="auto"/>
            <w:vAlign w:val="bottom"/>
            <w:hideMark/>
          </w:tcPr>
          <w:p w14:paraId="7826A32A" w14:textId="77777777" w:rsidR="00D926FE" w:rsidRPr="00D926FE" w:rsidRDefault="00D926FE" w:rsidP="00B03371">
            <w:pPr>
              <w:rPr>
                <w:rFonts w:ascii="Arial" w:hAnsi="Arial" w:cs="Arial"/>
                <w:b/>
                <w:bCs/>
                <w:i/>
                <w:iCs/>
                <w:sz w:val="14"/>
                <w:szCs w:val="14"/>
                <w:lang w:eastAsia="es-AR"/>
              </w:rPr>
            </w:pPr>
            <w:r w:rsidRPr="00D926FE">
              <w:rPr>
                <w:rFonts w:ascii="Arial" w:hAnsi="Arial" w:cs="Arial"/>
                <w:b/>
                <w:bCs/>
                <w:i/>
                <w:iCs/>
                <w:sz w:val="14"/>
                <w:szCs w:val="14"/>
                <w:lang w:eastAsia="es-AR"/>
              </w:rPr>
              <w:t>Del País</w:t>
            </w:r>
          </w:p>
        </w:tc>
        <w:tc>
          <w:tcPr>
            <w:tcW w:w="709" w:type="dxa"/>
            <w:tcBorders>
              <w:top w:val="nil"/>
              <w:left w:val="nil"/>
              <w:bottom w:val="nil"/>
              <w:right w:val="nil"/>
            </w:tcBorders>
            <w:shd w:val="clear" w:color="auto" w:fill="auto"/>
            <w:vAlign w:val="center"/>
            <w:hideMark/>
          </w:tcPr>
          <w:p w14:paraId="7D4E6CCD" w14:textId="77777777" w:rsidR="00D926FE" w:rsidRPr="00D926FE" w:rsidRDefault="00D926FE" w:rsidP="00B03371">
            <w:pPr>
              <w:jc w:val="center"/>
              <w:rPr>
                <w:rFonts w:ascii="Arial" w:hAnsi="Arial" w:cs="Arial"/>
                <w:b/>
                <w:bCs/>
                <w:i/>
                <w:iCs/>
                <w:sz w:val="14"/>
                <w:szCs w:val="14"/>
                <w:lang w:eastAsia="es-AR"/>
              </w:rPr>
            </w:pPr>
          </w:p>
        </w:tc>
        <w:tc>
          <w:tcPr>
            <w:tcW w:w="794" w:type="dxa"/>
            <w:tcBorders>
              <w:top w:val="nil"/>
              <w:left w:val="nil"/>
              <w:bottom w:val="nil"/>
              <w:right w:val="nil"/>
            </w:tcBorders>
            <w:shd w:val="clear" w:color="auto" w:fill="auto"/>
            <w:hideMark/>
          </w:tcPr>
          <w:p w14:paraId="44B10010" w14:textId="77777777" w:rsidR="00D926FE" w:rsidRPr="00D926FE" w:rsidRDefault="00D926FE" w:rsidP="00D926FE">
            <w:pPr>
              <w:rPr>
                <w:sz w:val="20"/>
                <w:lang w:eastAsia="es-AR"/>
              </w:rPr>
            </w:pPr>
          </w:p>
        </w:tc>
        <w:tc>
          <w:tcPr>
            <w:tcW w:w="794" w:type="dxa"/>
            <w:tcBorders>
              <w:top w:val="nil"/>
              <w:left w:val="nil"/>
              <w:bottom w:val="nil"/>
              <w:right w:val="nil"/>
            </w:tcBorders>
            <w:shd w:val="clear" w:color="auto" w:fill="auto"/>
            <w:hideMark/>
          </w:tcPr>
          <w:p w14:paraId="555C4EF0" w14:textId="77777777" w:rsidR="00D926FE" w:rsidRPr="00D926FE" w:rsidRDefault="00D926FE" w:rsidP="00D926FE">
            <w:pPr>
              <w:rPr>
                <w:sz w:val="20"/>
                <w:lang w:eastAsia="es-AR"/>
              </w:rPr>
            </w:pPr>
          </w:p>
        </w:tc>
        <w:tc>
          <w:tcPr>
            <w:tcW w:w="841" w:type="dxa"/>
            <w:tcBorders>
              <w:top w:val="nil"/>
              <w:left w:val="nil"/>
              <w:bottom w:val="nil"/>
              <w:right w:val="nil"/>
            </w:tcBorders>
            <w:shd w:val="clear" w:color="auto" w:fill="auto"/>
            <w:hideMark/>
          </w:tcPr>
          <w:p w14:paraId="514D20F5" w14:textId="77777777" w:rsidR="00D926FE" w:rsidRPr="00D926FE" w:rsidRDefault="00D926FE" w:rsidP="00D926FE">
            <w:pPr>
              <w:rPr>
                <w:sz w:val="20"/>
                <w:lang w:eastAsia="es-AR"/>
              </w:rPr>
            </w:pPr>
          </w:p>
        </w:tc>
        <w:tc>
          <w:tcPr>
            <w:tcW w:w="841" w:type="dxa"/>
            <w:tcBorders>
              <w:top w:val="nil"/>
              <w:left w:val="nil"/>
              <w:bottom w:val="nil"/>
              <w:right w:val="nil"/>
            </w:tcBorders>
            <w:shd w:val="clear" w:color="auto" w:fill="auto"/>
            <w:hideMark/>
          </w:tcPr>
          <w:p w14:paraId="16F633B1" w14:textId="77777777" w:rsidR="00D926FE" w:rsidRPr="00D926FE" w:rsidRDefault="00D926FE" w:rsidP="00D926FE">
            <w:pPr>
              <w:rPr>
                <w:sz w:val="20"/>
                <w:lang w:eastAsia="es-AR"/>
              </w:rPr>
            </w:pPr>
          </w:p>
        </w:tc>
        <w:tc>
          <w:tcPr>
            <w:tcW w:w="915" w:type="dxa"/>
            <w:tcBorders>
              <w:top w:val="nil"/>
              <w:left w:val="nil"/>
              <w:bottom w:val="nil"/>
              <w:right w:val="nil"/>
            </w:tcBorders>
            <w:shd w:val="clear" w:color="auto" w:fill="auto"/>
            <w:hideMark/>
          </w:tcPr>
          <w:p w14:paraId="7E29DB39" w14:textId="77777777" w:rsidR="00D926FE" w:rsidRPr="00D926FE" w:rsidRDefault="00D926FE" w:rsidP="00D926FE">
            <w:pPr>
              <w:rPr>
                <w:sz w:val="20"/>
                <w:lang w:eastAsia="es-AR"/>
              </w:rPr>
            </w:pPr>
          </w:p>
        </w:tc>
        <w:tc>
          <w:tcPr>
            <w:tcW w:w="778" w:type="dxa"/>
            <w:tcBorders>
              <w:top w:val="nil"/>
              <w:left w:val="nil"/>
              <w:bottom w:val="nil"/>
              <w:right w:val="nil"/>
            </w:tcBorders>
            <w:shd w:val="clear" w:color="auto" w:fill="auto"/>
            <w:hideMark/>
          </w:tcPr>
          <w:p w14:paraId="26CC1651" w14:textId="77777777" w:rsidR="00D926FE" w:rsidRPr="00D926FE" w:rsidRDefault="00D926FE" w:rsidP="00D926FE">
            <w:pPr>
              <w:rPr>
                <w:sz w:val="20"/>
                <w:lang w:eastAsia="es-AR"/>
              </w:rPr>
            </w:pPr>
          </w:p>
        </w:tc>
        <w:tc>
          <w:tcPr>
            <w:tcW w:w="848" w:type="dxa"/>
            <w:tcBorders>
              <w:top w:val="nil"/>
              <w:left w:val="nil"/>
              <w:bottom w:val="nil"/>
              <w:right w:val="nil"/>
            </w:tcBorders>
            <w:shd w:val="clear" w:color="auto" w:fill="auto"/>
            <w:hideMark/>
          </w:tcPr>
          <w:p w14:paraId="7E80D798" w14:textId="77777777" w:rsidR="00D926FE" w:rsidRPr="00D926FE" w:rsidRDefault="00D926FE" w:rsidP="00D926FE">
            <w:pPr>
              <w:rPr>
                <w:sz w:val="20"/>
                <w:lang w:eastAsia="es-AR"/>
              </w:rPr>
            </w:pPr>
          </w:p>
        </w:tc>
      </w:tr>
      <w:tr w:rsidR="00D926FE" w:rsidRPr="007465F0" w14:paraId="3416561C"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236A2576" w14:textId="77777777" w:rsidR="00D926FE" w:rsidRPr="007465F0" w:rsidRDefault="00D926FE" w:rsidP="00B9798B">
            <w:pPr>
              <w:rPr>
                <w:rFonts w:ascii="Arial" w:hAnsi="Arial" w:cs="Arial"/>
                <w:i/>
                <w:sz w:val="14"/>
                <w:szCs w:val="14"/>
                <w:lang w:eastAsia="es-AR"/>
              </w:rPr>
            </w:pPr>
            <w:r w:rsidRPr="007465F0">
              <w:rPr>
                <w:rFonts w:ascii="Arial" w:hAnsi="Arial" w:cs="Arial"/>
                <w:i/>
                <w:sz w:val="14"/>
                <w:szCs w:val="14"/>
                <w:lang w:eastAsia="es-AR"/>
              </w:rPr>
              <w:t>Títulos públicos</w:t>
            </w:r>
          </w:p>
        </w:tc>
        <w:tc>
          <w:tcPr>
            <w:tcW w:w="709" w:type="dxa"/>
            <w:tcBorders>
              <w:top w:val="nil"/>
              <w:left w:val="nil"/>
              <w:bottom w:val="nil"/>
              <w:right w:val="nil"/>
            </w:tcBorders>
            <w:shd w:val="clear" w:color="auto" w:fill="auto"/>
            <w:vAlign w:val="center"/>
            <w:hideMark/>
          </w:tcPr>
          <w:p w14:paraId="3A2BE327" w14:textId="77777777" w:rsidR="00D926FE" w:rsidRPr="007465F0" w:rsidRDefault="00D926FE" w:rsidP="00B03371">
            <w:pPr>
              <w:ind w:firstLineChars="2000" w:firstLine="2800"/>
              <w:jc w:val="center"/>
              <w:rPr>
                <w:rFonts w:ascii="Arial" w:hAnsi="Arial" w:cs="Arial"/>
                <w:i/>
                <w:sz w:val="14"/>
                <w:szCs w:val="14"/>
                <w:lang w:eastAsia="es-AR"/>
              </w:rPr>
            </w:pPr>
          </w:p>
        </w:tc>
        <w:tc>
          <w:tcPr>
            <w:tcW w:w="794" w:type="dxa"/>
            <w:tcBorders>
              <w:top w:val="nil"/>
              <w:left w:val="nil"/>
              <w:bottom w:val="nil"/>
              <w:right w:val="nil"/>
            </w:tcBorders>
            <w:shd w:val="clear" w:color="auto" w:fill="auto"/>
            <w:vAlign w:val="bottom"/>
            <w:hideMark/>
          </w:tcPr>
          <w:p w14:paraId="40B62D5A" w14:textId="77777777" w:rsidR="00D926FE" w:rsidRPr="007465F0" w:rsidRDefault="00D926FE" w:rsidP="00B9798B">
            <w:pPr>
              <w:jc w:val="center"/>
              <w:rPr>
                <w:i/>
                <w:sz w:val="20"/>
                <w:lang w:eastAsia="es-AR"/>
              </w:rPr>
            </w:pPr>
          </w:p>
        </w:tc>
        <w:tc>
          <w:tcPr>
            <w:tcW w:w="794" w:type="dxa"/>
            <w:tcBorders>
              <w:top w:val="nil"/>
              <w:left w:val="nil"/>
              <w:bottom w:val="nil"/>
              <w:right w:val="nil"/>
            </w:tcBorders>
            <w:shd w:val="clear" w:color="auto" w:fill="auto"/>
            <w:hideMark/>
          </w:tcPr>
          <w:p w14:paraId="27F6BBE6" w14:textId="77777777" w:rsidR="00D926FE" w:rsidRPr="007465F0" w:rsidRDefault="00D926FE" w:rsidP="00D926FE">
            <w:pPr>
              <w:rPr>
                <w:i/>
                <w:sz w:val="20"/>
                <w:lang w:eastAsia="es-AR"/>
              </w:rPr>
            </w:pPr>
          </w:p>
        </w:tc>
        <w:tc>
          <w:tcPr>
            <w:tcW w:w="841" w:type="dxa"/>
            <w:tcBorders>
              <w:top w:val="nil"/>
              <w:left w:val="nil"/>
              <w:bottom w:val="nil"/>
              <w:right w:val="nil"/>
            </w:tcBorders>
            <w:shd w:val="clear" w:color="auto" w:fill="auto"/>
            <w:hideMark/>
          </w:tcPr>
          <w:p w14:paraId="3F93371A" w14:textId="77777777" w:rsidR="00D926FE" w:rsidRPr="007465F0" w:rsidRDefault="00D926FE" w:rsidP="00D926FE">
            <w:pPr>
              <w:rPr>
                <w:i/>
                <w:sz w:val="20"/>
                <w:lang w:eastAsia="es-AR"/>
              </w:rPr>
            </w:pPr>
          </w:p>
        </w:tc>
        <w:tc>
          <w:tcPr>
            <w:tcW w:w="841" w:type="dxa"/>
            <w:tcBorders>
              <w:top w:val="nil"/>
              <w:left w:val="nil"/>
              <w:bottom w:val="nil"/>
              <w:right w:val="nil"/>
            </w:tcBorders>
            <w:shd w:val="clear" w:color="auto" w:fill="auto"/>
            <w:hideMark/>
          </w:tcPr>
          <w:p w14:paraId="0DB5C467" w14:textId="77777777" w:rsidR="00D926FE" w:rsidRPr="007465F0" w:rsidRDefault="00D926FE" w:rsidP="00D926FE">
            <w:pPr>
              <w:rPr>
                <w:i/>
                <w:sz w:val="20"/>
                <w:lang w:eastAsia="es-AR"/>
              </w:rPr>
            </w:pPr>
          </w:p>
        </w:tc>
        <w:tc>
          <w:tcPr>
            <w:tcW w:w="915" w:type="dxa"/>
            <w:tcBorders>
              <w:top w:val="nil"/>
              <w:left w:val="nil"/>
              <w:bottom w:val="nil"/>
              <w:right w:val="nil"/>
            </w:tcBorders>
            <w:shd w:val="clear" w:color="auto" w:fill="auto"/>
            <w:hideMark/>
          </w:tcPr>
          <w:p w14:paraId="113C62BC" w14:textId="77777777" w:rsidR="00D926FE" w:rsidRPr="007465F0" w:rsidRDefault="00D926FE" w:rsidP="00D926FE">
            <w:pPr>
              <w:rPr>
                <w:i/>
                <w:sz w:val="20"/>
                <w:lang w:eastAsia="es-AR"/>
              </w:rPr>
            </w:pPr>
          </w:p>
        </w:tc>
        <w:tc>
          <w:tcPr>
            <w:tcW w:w="778" w:type="dxa"/>
            <w:tcBorders>
              <w:top w:val="nil"/>
              <w:left w:val="nil"/>
              <w:bottom w:val="nil"/>
              <w:right w:val="nil"/>
            </w:tcBorders>
            <w:shd w:val="clear" w:color="auto" w:fill="auto"/>
            <w:hideMark/>
          </w:tcPr>
          <w:p w14:paraId="54A48C6E" w14:textId="77777777" w:rsidR="00D926FE" w:rsidRPr="007465F0" w:rsidRDefault="00D926FE" w:rsidP="00D926FE">
            <w:pPr>
              <w:rPr>
                <w:i/>
                <w:sz w:val="20"/>
                <w:lang w:eastAsia="es-AR"/>
              </w:rPr>
            </w:pPr>
          </w:p>
        </w:tc>
        <w:tc>
          <w:tcPr>
            <w:tcW w:w="848" w:type="dxa"/>
            <w:tcBorders>
              <w:top w:val="nil"/>
              <w:left w:val="nil"/>
              <w:bottom w:val="nil"/>
              <w:right w:val="nil"/>
            </w:tcBorders>
            <w:shd w:val="clear" w:color="auto" w:fill="auto"/>
            <w:hideMark/>
          </w:tcPr>
          <w:p w14:paraId="47AC3266" w14:textId="77777777" w:rsidR="00D926FE" w:rsidRPr="007465F0" w:rsidRDefault="00D926FE" w:rsidP="00D926FE">
            <w:pPr>
              <w:rPr>
                <w:i/>
                <w:sz w:val="20"/>
                <w:lang w:eastAsia="es-AR"/>
              </w:rPr>
            </w:pPr>
          </w:p>
        </w:tc>
      </w:tr>
      <w:tr w:rsidR="00B9798B" w:rsidRPr="00D926FE" w14:paraId="147CE739"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57F24EF4" w14:textId="21FD494D" w:rsidR="00B9798B" w:rsidRPr="00D926FE" w:rsidRDefault="00B9798B" w:rsidP="00B9798B">
            <w:pPr>
              <w:rPr>
                <w:rFonts w:ascii="Arial" w:hAnsi="Arial" w:cs="Arial"/>
                <w:sz w:val="14"/>
                <w:szCs w:val="14"/>
                <w:lang w:eastAsia="es-AR"/>
              </w:rPr>
            </w:pPr>
            <w:r>
              <w:rPr>
                <w:rFonts w:ascii="Arial" w:hAnsi="Arial" w:cs="Arial"/>
                <w:sz w:val="14"/>
                <w:szCs w:val="14"/>
              </w:rPr>
              <w:t>Letra del Tesoro U$S Vto. 13/09/2019</w:t>
            </w:r>
          </w:p>
        </w:tc>
        <w:tc>
          <w:tcPr>
            <w:tcW w:w="709" w:type="dxa"/>
            <w:tcBorders>
              <w:top w:val="nil"/>
              <w:left w:val="nil"/>
              <w:bottom w:val="nil"/>
              <w:right w:val="nil"/>
            </w:tcBorders>
            <w:shd w:val="clear" w:color="auto" w:fill="auto"/>
            <w:vAlign w:val="bottom"/>
            <w:hideMark/>
          </w:tcPr>
          <w:p w14:paraId="05CBDE3B" w14:textId="37048AAB" w:rsidR="00B9798B" w:rsidRPr="00D926FE" w:rsidRDefault="00B9798B" w:rsidP="00B9798B">
            <w:pPr>
              <w:jc w:val="center"/>
              <w:rPr>
                <w:rFonts w:ascii="Arial" w:hAnsi="Arial" w:cs="Arial"/>
                <w:sz w:val="14"/>
                <w:szCs w:val="14"/>
                <w:lang w:eastAsia="es-AR"/>
              </w:rPr>
            </w:pPr>
            <w:r>
              <w:rPr>
                <w:rFonts w:ascii="Arial" w:hAnsi="Arial" w:cs="Arial"/>
                <w:sz w:val="14"/>
                <w:szCs w:val="14"/>
              </w:rPr>
              <w:t>05285</w:t>
            </w:r>
          </w:p>
        </w:tc>
        <w:tc>
          <w:tcPr>
            <w:tcW w:w="794" w:type="dxa"/>
            <w:tcBorders>
              <w:top w:val="nil"/>
              <w:left w:val="nil"/>
              <w:bottom w:val="nil"/>
              <w:right w:val="nil"/>
            </w:tcBorders>
            <w:shd w:val="clear" w:color="auto" w:fill="auto"/>
            <w:vAlign w:val="bottom"/>
            <w:hideMark/>
          </w:tcPr>
          <w:p w14:paraId="79192D03"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55E0B30A" w14:textId="2DB41F26" w:rsidR="00B9798B" w:rsidRPr="00D926FE" w:rsidRDefault="00B9798B" w:rsidP="00B9798B">
            <w:pPr>
              <w:jc w:val="center"/>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284176A7" w14:textId="2CE24380" w:rsidR="00B9798B" w:rsidRPr="00D926FE" w:rsidRDefault="00B9798B" w:rsidP="00B9798B">
            <w:pPr>
              <w:jc w:val="right"/>
              <w:rPr>
                <w:rFonts w:ascii="Arial" w:hAnsi="Arial" w:cs="Arial"/>
                <w:sz w:val="14"/>
                <w:szCs w:val="14"/>
                <w:lang w:eastAsia="es-AR"/>
              </w:rPr>
            </w:pPr>
            <w:r>
              <w:rPr>
                <w:rFonts w:ascii="Arial" w:hAnsi="Arial" w:cs="Arial"/>
                <w:sz w:val="14"/>
                <w:szCs w:val="14"/>
              </w:rPr>
              <w:t>158.290</w:t>
            </w:r>
          </w:p>
        </w:tc>
        <w:tc>
          <w:tcPr>
            <w:tcW w:w="841" w:type="dxa"/>
            <w:tcBorders>
              <w:top w:val="nil"/>
              <w:left w:val="nil"/>
              <w:bottom w:val="nil"/>
              <w:right w:val="nil"/>
            </w:tcBorders>
            <w:shd w:val="clear" w:color="auto" w:fill="auto"/>
            <w:vAlign w:val="bottom"/>
          </w:tcPr>
          <w:p w14:paraId="7271AD58" w14:textId="780E17B2"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0E141084" w14:textId="2D5EB617" w:rsidR="00B9798B" w:rsidRPr="00D926FE" w:rsidRDefault="00B9798B" w:rsidP="00B9798B">
            <w:pPr>
              <w:jc w:val="right"/>
              <w:rPr>
                <w:rFonts w:ascii="Arial" w:hAnsi="Arial" w:cs="Arial"/>
                <w:sz w:val="14"/>
                <w:szCs w:val="14"/>
                <w:lang w:eastAsia="es-AR"/>
              </w:rPr>
            </w:pPr>
            <w:r>
              <w:rPr>
                <w:rFonts w:ascii="Arial" w:hAnsi="Arial" w:cs="Arial"/>
                <w:sz w:val="14"/>
                <w:szCs w:val="14"/>
              </w:rPr>
              <w:t>158.290</w:t>
            </w:r>
          </w:p>
        </w:tc>
        <w:tc>
          <w:tcPr>
            <w:tcW w:w="778" w:type="dxa"/>
            <w:tcBorders>
              <w:top w:val="nil"/>
              <w:left w:val="nil"/>
              <w:bottom w:val="nil"/>
              <w:right w:val="nil"/>
            </w:tcBorders>
            <w:shd w:val="clear" w:color="auto" w:fill="auto"/>
            <w:vAlign w:val="bottom"/>
            <w:hideMark/>
          </w:tcPr>
          <w:p w14:paraId="32CA620F" w14:textId="2D511C63"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1920A594" w14:textId="66B54BDD" w:rsidR="00B9798B" w:rsidRPr="00D926FE" w:rsidRDefault="00B9798B" w:rsidP="00B9798B">
            <w:pPr>
              <w:jc w:val="right"/>
              <w:rPr>
                <w:rFonts w:ascii="Arial" w:hAnsi="Arial" w:cs="Arial"/>
                <w:sz w:val="14"/>
                <w:szCs w:val="14"/>
                <w:lang w:eastAsia="es-AR"/>
              </w:rPr>
            </w:pPr>
            <w:r>
              <w:rPr>
                <w:rFonts w:ascii="Arial" w:hAnsi="Arial" w:cs="Arial"/>
                <w:sz w:val="14"/>
                <w:szCs w:val="14"/>
              </w:rPr>
              <w:t>158.290</w:t>
            </w:r>
          </w:p>
        </w:tc>
      </w:tr>
      <w:tr w:rsidR="00B9798B" w:rsidRPr="00D926FE" w14:paraId="465FB9FC"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16BF41FD" w14:textId="44170113" w:rsidR="00B9798B" w:rsidRPr="00D926FE" w:rsidRDefault="00B9798B" w:rsidP="00B9798B">
            <w:pPr>
              <w:rPr>
                <w:rFonts w:ascii="Arial" w:hAnsi="Arial" w:cs="Arial"/>
                <w:sz w:val="14"/>
                <w:szCs w:val="14"/>
                <w:lang w:eastAsia="es-AR"/>
              </w:rPr>
            </w:pPr>
            <w:r>
              <w:rPr>
                <w:rFonts w:ascii="Arial" w:hAnsi="Arial" w:cs="Arial"/>
                <w:sz w:val="14"/>
                <w:szCs w:val="14"/>
              </w:rPr>
              <w:t>Letra del Tesoro U$S Vto. 15/11/2019</w:t>
            </w:r>
          </w:p>
        </w:tc>
        <w:tc>
          <w:tcPr>
            <w:tcW w:w="709" w:type="dxa"/>
            <w:tcBorders>
              <w:top w:val="nil"/>
              <w:left w:val="nil"/>
              <w:bottom w:val="nil"/>
              <w:right w:val="nil"/>
            </w:tcBorders>
            <w:shd w:val="clear" w:color="auto" w:fill="auto"/>
            <w:vAlign w:val="bottom"/>
            <w:hideMark/>
          </w:tcPr>
          <w:p w14:paraId="425336F0" w14:textId="75C515CE" w:rsidR="00B9798B" w:rsidRPr="00D926FE" w:rsidRDefault="00B9798B" w:rsidP="00B9798B">
            <w:pPr>
              <w:jc w:val="center"/>
              <w:rPr>
                <w:rFonts w:ascii="Arial" w:hAnsi="Arial" w:cs="Arial"/>
                <w:sz w:val="14"/>
                <w:szCs w:val="14"/>
                <w:lang w:eastAsia="es-AR"/>
              </w:rPr>
            </w:pPr>
            <w:r>
              <w:rPr>
                <w:rFonts w:ascii="Arial" w:hAnsi="Arial" w:cs="Arial"/>
                <w:sz w:val="14"/>
                <w:szCs w:val="14"/>
              </w:rPr>
              <w:t>05294</w:t>
            </w:r>
          </w:p>
        </w:tc>
        <w:tc>
          <w:tcPr>
            <w:tcW w:w="794" w:type="dxa"/>
            <w:tcBorders>
              <w:top w:val="nil"/>
              <w:left w:val="nil"/>
              <w:bottom w:val="nil"/>
              <w:right w:val="nil"/>
            </w:tcBorders>
            <w:shd w:val="clear" w:color="auto" w:fill="auto"/>
            <w:vAlign w:val="bottom"/>
            <w:hideMark/>
          </w:tcPr>
          <w:p w14:paraId="0D6F7F97"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097E74A3" w14:textId="1D1816D5" w:rsidR="00B9798B" w:rsidRPr="00D926FE" w:rsidRDefault="00B9798B" w:rsidP="00B9798B">
            <w:pPr>
              <w:jc w:val="center"/>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534D4E35" w14:textId="2645D4FB" w:rsidR="00B9798B" w:rsidRPr="00D926FE" w:rsidRDefault="00B9798B" w:rsidP="00B9798B">
            <w:pPr>
              <w:jc w:val="right"/>
              <w:rPr>
                <w:rFonts w:ascii="Arial" w:hAnsi="Arial" w:cs="Arial"/>
                <w:sz w:val="14"/>
                <w:szCs w:val="14"/>
                <w:lang w:eastAsia="es-AR"/>
              </w:rPr>
            </w:pPr>
            <w:r>
              <w:rPr>
                <w:rFonts w:ascii="Arial" w:hAnsi="Arial" w:cs="Arial"/>
                <w:sz w:val="14"/>
                <w:szCs w:val="14"/>
              </w:rPr>
              <w:t>126.313</w:t>
            </w:r>
          </w:p>
        </w:tc>
        <w:tc>
          <w:tcPr>
            <w:tcW w:w="841" w:type="dxa"/>
            <w:tcBorders>
              <w:top w:val="nil"/>
              <w:left w:val="nil"/>
              <w:bottom w:val="nil"/>
              <w:right w:val="nil"/>
            </w:tcBorders>
            <w:shd w:val="clear" w:color="auto" w:fill="auto"/>
            <w:vAlign w:val="bottom"/>
          </w:tcPr>
          <w:p w14:paraId="57BE1B8C" w14:textId="3BAFFD0A"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3333B0F6" w14:textId="1E7F0DC3" w:rsidR="00B9798B" w:rsidRPr="00D926FE" w:rsidRDefault="00B9798B" w:rsidP="00B9798B">
            <w:pPr>
              <w:jc w:val="right"/>
              <w:rPr>
                <w:rFonts w:ascii="Arial" w:hAnsi="Arial" w:cs="Arial"/>
                <w:sz w:val="14"/>
                <w:szCs w:val="14"/>
                <w:lang w:eastAsia="es-AR"/>
              </w:rPr>
            </w:pPr>
            <w:r>
              <w:rPr>
                <w:rFonts w:ascii="Arial" w:hAnsi="Arial" w:cs="Arial"/>
                <w:sz w:val="14"/>
                <w:szCs w:val="14"/>
              </w:rPr>
              <w:t>264.313</w:t>
            </w:r>
          </w:p>
        </w:tc>
        <w:tc>
          <w:tcPr>
            <w:tcW w:w="778" w:type="dxa"/>
            <w:tcBorders>
              <w:top w:val="nil"/>
              <w:left w:val="nil"/>
              <w:bottom w:val="nil"/>
              <w:right w:val="nil"/>
            </w:tcBorders>
            <w:shd w:val="clear" w:color="auto" w:fill="auto"/>
            <w:vAlign w:val="bottom"/>
            <w:hideMark/>
          </w:tcPr>
          <w:p w14:paraId="6118A4CF" w14:textId="2442BFC3"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09777211" w14:textId="76F1181D" w:rsidR="00B9798B" w:rsidRPr="00D926FE" w:rsidRDefault="00B9798B" w:rsidP="00B9798B">
            <w:pPr>
              <w:jc w:val="right"/>
              <w:rPr>
                <w:rFonts w:ascii="Arial" w:hAnsi="Arial" w:cs="Arial"/>
                <w:sz w:val="14"/>
                <w:szCs w:val="14"/>
                <w:lang w:eastAsia="es-AR"/>
              </w:rPr>
            </w:pPr>
            <w:r>
              <w:rPr>
                <w:rFonts w:ascii="Arial" w:hAnsi="Arial" w:cs="Arial"/>
                <w:sz w:val="14"/>
                <w:szCs w:val="14"/>
              </w:rPr>
              <w:t>264.313</w:t>
            </w:r>
          </w:p>
        </w:tc>
      </w:tr>
      <w:tr w:rsidR="00B9798B" w:rsidRPr="00D926FE" w14:paraId="7BF4B0FA"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616EE125" w14:textId="4E504B68" w:rsidR="00B9798B" w:rsidRPr="00D926FE" w:rsidRDefault="00B9798B" w:rsidP="00B9798B">
            <w:pPr>
              <w:rPr>
                <w:rFonts w:ascii="Arial" w:hAnsi="Arial" w:cs="Arial"/>
                <w:sz w:val="14"/>
                <w:szCs w:val="14"/>
                <w:lang w:eastAsia="es-AR"/>
              </w:rPr>
            </w:pPr>
            <w:r>
              <w:rPr>
                <w:rFonts w:ascii="Arial" w:hAnsi="Arial" w:cs="Arial"/>
                <w:sz w:val="14"/>
                <w:szCs w:val="14"/>
              </w:rPr>
              <w:t>Cupón Lecap S30G9 60% $ Vto.26/02/2020</w:t>
            </w:r>
          </w:p>
        </w:tc>
        <w:tc>
          <w:tcPr>
            <w:tcW w:w="709" w:type="dxa"/>
            <w:tcBorders>
              <w:top w:val="nil"/>
              <w:left w:val="nil"/>
              <w:bottom w:val="nil"/>
              <w:right w:val="nil"/>
            </w:tcBorders>
            <w:shd w:val="clear" w:color="auto" w:fill="auto"/>
            <w:vAlign w:val="bottom"/>
            <w:hideMark/>
          </w:tcPr>
          <w:p w14:paraId="75C03828" w14:textId="69ACD548" w:rsidR="00B9798B" w:rsidRPr="00D926FE" w:rsidRDefault="00B9798B" w:rsidP="00B9798B">
            <w:pPr>
              <w:jc w:val="center"/>
              <w:rPr>
                <w:rFonts w:ascii="Arial" w:hAnsi="Arial" w:cs="Arial"/>
                <w:sz w:val="14"/>
                <w:szCs w:val="14"/>
                <w:lang w:eastAsia="es-AR"/>
              </w:rPr>
            </w:pPr>
            <w:r>
              <w:rPr>
                <w:rFonts w:ascii="Arial" w:hAnsi="Arial" w:cs="Arial"/>
                <w:sz w:val="14"/>
                <w:szCs w:val="14"/>
              </w:rPr>
              <w:t>05349</w:t>
            </w:r>
          </w:p>
        </w:tc>
        <w:tc>
          <w:tcPr>
            <w:tcW w:w="794" w:type="dxa"/>
            <w:tcBorders>
              <w:top w:val="nil"/>
              <w:left w:val="nil"/>
              <w:bottom w:val="nil"/>
              <w:right w:val="nil"/>
            </w:tcBorders>
            <w:shd w:val="clear" w:color="auto" w:fill="auto"/>
            <w:vAlign w:val="bottom"/>
            <w:hideMark/>
          </w:tcPr>
          <w:p w14:paraId="6A375010"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670767A0" w14:textId="73AA2864" w:rsidR="00B9798B" w:rsidRPr="00D926FE" w:rsidRDefault="00B9798B" w:rsidP="00B9798B">
            <w:pPr>
              <w:jc w:val="center"/>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221F61F5" w14:textId="60A4CBE1" w:rsidR="00B9798B" w:rsidRPr="00D926FE" w:rsidRDefault="00B9798B" w:rsidP="00B9798B">
            <w:pPr>
              <w:jc w:val="right"/>
              <w:rPr>
                <w:rFonts w:ascii="Arial" w:hAnsi="Arial" w:cs="Arial"/>
                <w:sz w:val="14"/>
                <w:szCs w:val="14"/>
                <w:lang w:eastAsia="es-AR"/>
              </w:rPr>
            </w:pPr>
            <w:r>
              <w:rPr>
                <w:rFonts w:ascii="Arial" w:hAnsi="Arial" w:cs="Arial"/>
                <w:sz w:val="14"/>
                <w:szCs w:val="14"/>
              </w:rPr>
              <w:t>22.659</w:t>
            </w:r>
          </w:p>
        </w:tc>
        <w:tc>
          <w:tcPr>
            <w:tcW w:w="841" w:type="dxa"/>
            <w:tcBorders>
              <w:top w:val="nil"/>
              <w:left w:val="nil"/>
              <w:bottom w:val="nil"/>
              <w:right w:val="nil"/>
            </w:tcBorders>
            <w:shd w:val="clear" w:color="auto" w:fill="auto"/>
            <w:vAlign w:val="bottom"/>
          </w:tcPr>
          <w:p w14:paraId="28FDBF02" w14:textId="68BB828F"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299582C0" w14:textId="397524DA" w:rsidR="00B9798B" w:rsidRPr="00D926FE" w:rsidRDefault="00B9798B" w:rsidP="00B9798B">
            <w:pPr>
              <w:jc w:val="right"/>
              <w:rPr>
                <w:rFonts w:ascii="Arial" w:hAnsi="Arial" w:cs="Arial"/>
                <w:sz w:val="14"/>
                <w:szCs w:val="14"/>
                <w:lang w:eastAsia="es-AR"/>
              </w:rPr>
            </w:pPr>
            <w:r>
              <w:rPr>
                <w:rFonts w:ascii="Arial" w:hAnsi="Arial" w:cs="Arial"/>
                <w:sz w:val="14"/>
                <w:szCs w:val="14"/>
              </w:rPr>
              <w:t>-110.641</w:t>
            </w:r>
          </w:p>
        </w:tc>
        <w:tc>
          <w:tcPr>
            <w:tcW w:w="778" w:type="dxa"/>
            <w:tcBorders>
              <w:top w:val="nil"/>
              <w:left w:val="nil"/>
              <w:bottom w:val="nil"/>
              <w:right w:val="nil"/>
            </w:tcBorders>
            <w:shd w:val="clear" w:color="auto" w:fill="auto"/>
            <w:vAlign w:val="bottom"/>
            <w:hideMark/>
          </w:tcPr>
          <w:p w14:paraId="67C5BD1D" w14:textId="2FA0CE6D"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27F4F8AC" w14:textId="19262A12" w:rsidR="00B9798B" w:rsidRPr="00D926FE" w:rsidRDefault="00B9798B" w:rsidP="00B9798B">
            <w:pPr>
              <w:jc w:val="right"/>
              <w:rPr>
                <w:rFonts w:ascii="Arial" w:hAnsi="Arial" w:cs="Arial"/>
                <w:sz w:val="14"/>
                <w:szCs w:val="14"/>
                <w:lang w:eastAsia="es-AR"/>
              </w:rPr>
            </w:pPr>
            <w:r>
              <w:rPr>
                <w:rFonts w:ascii="Arial" w:hAnsi="Arial" w:cs="Arial"/>
                <w:sz w:val="14"/>
                <w:szCs w:val="14"/>
              </w:rPr>
              <w:t>-110.641</w:t>
            </w:r>
          </w:p>
        </w:tc>
      </w:tr>
      <w:tr w:rsidR="00B9798B" w:rsidRPr="00D926FE" w14:paraId="1F75CE17"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7536667F" w14:textId="7A43F8D0" w:rsidR="00B9798B" w:rsidRPr="00D926FE" w:rsidRDefault="00B9798B" w:rsidP="00B9798B">
            <w:pPr>
              <w:rPr>
                <w:rFonts w:ascii="Arial" w:hAnsi="Arial" w:cs="Arial"/>
                <w:sz w:val="14"/>
                <w:szCs w:val="14"/>
                <w:lang w:eastAsia="es-AR"/>
              </w:rPr>
            </w:pPr>
            <w:r>
              <w:rPr>
                <w:rFonts w:ascii="Arial" w:hAnsi="Arial" w:cs="Arial"/>
                <w:sz w:val="14"/>
                <w:szCs w:val="14"/>
              </w:rPr>
              <w:t xml:space="preserve">Bono del Tesoro $ TPM Vto.21/06/2020        </w:t>
            </w:r>
          </w:p>
        </w:tc>
        <w:tc>
          <w:tcPr>
            <w:tcW w:w="709" w:type="dxa"/>
            <w:tcBorders>
              <w:top w:val="nil"/>
              <w:left w:val="nil"/>
              <w:bottom w:val="nil"/>
              <w:right w:val="nil"/>
            </w:tcBorders>
            <w:shd w:val="clear" w:color="auto" w:fill="auto"/>
            <w:vAlign w:val="bottom"/>
            <w:hideMark/>
          </w:tcPr>
          <w:p w14:paraId="430703C2" w14:textId="3C69DAD5" w:rsidR="00B9798B" w:rsidRPr="00D926FE" w:rsidRDefault="00B9798B" w:rsidP="00B9798B">
            <w:pPr>
              <w:jc w:val="center"/>
              <w:rPr>
                <w:rFonts w:ascii="Arial" w:hAnsi="Arial" w:cs="Arial"/>
                <w:sz w:val="14"/>
                <w:szCs w:val="14"/>
                <w:lang w:eastAsia="es-AR"/>
              </w:rPr>
            </w:pPr>
            <w:r>
              <w:rPr>
                <w:rFonts w:ascii="Arial" w:hAnsi="Arial" w:cs="Arial"/>
                <w:sz w:val="14"/>
                <w:szCs w:val="14"/>
              </w:rPr>
              <w:t>05327</w:t>
            </w:r>
          </w:p>
        </w:tc>
        <w:tc>
          <w:tcPr>
            <w:tcW w:w="794" w:type="dxa"/>
            <w:tcBorders>
              <w:top w:val="nil"/>
              <w:left w:val="nil"/>
              <w:bottom w:val="nil"/>
              <w:right w:val="nil"/>
            </w:tcBorders>
            <w:shd w:val="clear" w:color="auto" w:fill="auto"/>
            <w:vAlign w:val="bottom"/>
            <w:hideMark/>
          </w:tcPr>
          <w:p w14:paraId="7F27F96C"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3B989D2B" w14:textId="59CD5AB7" w:rsidR="00B9798B" w:rsidRPr="00D926FE" w:rsidRDefault="00B9798B" w:rsidP="00B9798B">
            <w:pPr>
              <w:jc w:val="center"/>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68D25B0D" w14:textId="370E507D" w:rsidR="00B9798B" w:rsidRPr="00D926FE" w:rsidRDefault="00B9798B" w:rsidP="00B9798B">
            <w:pPr>
              <w:jc w:val="right"/>
              <w:rPr>
                <w:rFonts w:ascii="Arial" w:hAnsi="Arial" w:cs="Arial"/>
                <w:sz w:val="14"/>
                <w:szCs w:val="14"/>
                <w:lang w:eastAsia="es-AR"/>
              </w:rPr>
            </w:pPr>
            <w:r>
              <w:rPr>
                <w:rFonts w:ascii="Arial" w:hAnsi="Arial" w:cs="Arial"/>
                <w:sz w:val="14"/>
                <w:szCs w:val="14"/>
              </w:rPr>
              <w:t>1.373</w:t>
            </w:r>
          </w:p>
        </w:tc>
        <w:tc>
          <w:tcPr>
            <w:tcW w:w="841" w:type="dxa"/>
            <w:tcBorders>
              <w:top w:val="nil"/>
              <w:left w:val="nil"/>
              <w:bottom w:val="nil"/>
              <w:right w:val="nil"/>
            </w:tcBorders>
            <w:shd w:val="clear" w:color="auto" w:fill="auto"/>
            <w:vAlign w:val="bottom"/>
          </w:tcPr>
          <w:p w14:paraId="68FBF928" w14:textId="1E3459DE"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259261E7" w14:textId="146313C5" w:rsidR="00B9798B" w:rsidRPr="00D926FE" w:rsidRDefault="00B9798B" w:rsidP="00B9798B">
            <w:pPr>
              <w:jc w:val="right"/>
              <w:rPr>
                <w:rFonts w:ascii="Arial" w:hAnsi="Arial" w:cs="Arial"/>
                <w:sz w:val="14"/>
                <w:szCs w:val="14"/>
                <w:lang w:eastAsia="es-AR"/>
              </w:rPr>
            </w:pPr>
            <w:r>
              <w:rPr>
                <w:rFonts w:ascii="Arial" w:hAnsi="Arial" w:cs="Arial"/>
                <w:sz w:val="14"/>
                <w:szCs w:val="14"/>
              </w:rPr>
              <w:t>1.373</w:t>
            </w:r>
          </w:p>
        </w:tc>
        <w:tc>
          <w:tcPr>
            <w:tcW w:w="778" w:type="dxa"/>
            <w:tcBorders>
              <w:top w:val="nil"/>
              <w:left w:val="nil"/>
              <w:bottom w:val="nil"/>
              <w:right w:val="nil"/>
            </w:tcBorders>
            <w:shd w:val="clear" w:color="auto" w:fill="auto"/>
            <w:vAlign w:val="bottom"/>
            <w:hideMark/>
          </w:tcPr>
          <w:p w14:paraId="7BC2A3BF" w14:textId="136F635E"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7510C581" w14:textId="49F6A3A6" w:rsidR="00B9798B" w:rsidRPr="00D926FE" w:rsidRDefault="00B9798B" w:rsidP="00B9798B">
            <w:pPr>
              <w:jc w:val="right"/>
              <w:rPr>
                <w:rFonts w:ascii="Arial" w:hAnsi="Arial" w:cs="Arial"/>
                <w:sz w:val="14"/>
                <w:szCs w:val="14"/>
                <w:lang w:eastAsia="es-AR"/>
              </w:rPr>
            </w:pPr>
            <w:r>
              <w:rPr>
                <w:rFonts w:ascii="Arial" w:hAnsi="Arial" w:cs="Arial"/>
                <w:sz w:val="14"/>
                <w:szCs w:val="14"/>
              </w:rPr>
              <w:t>1.373</w:t>
            </w:r>
          </w:p>
        </w:tc>
      </w:tr>
      <w:tr w:rsidR="00B9798B" w:rsidRPr="00D926FE" w14:paraId="12255553"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05701550" w14:textId="58A4BB80" w:rsidR="00B9798B" w:rsidRPr="00D926FE" w:rsidRDefault="00B9798B" w:rsidP="00B9798B">
            <w:pPr>
              <w:rPr>
                <w:rFonts w:ascii="Arial" w:hAnsi="Arial" w:cs="Arial"/>
                <w:sz w:val="14"/>
                <w:szCs w:val="14"/>
                <w:lang w:eastAsia="es-AR"/>
              </w:rPr>
            </w:pPr>
            <w:r>
              <w:rPr>
                <w:rFonts w:ascii="Arial" w:hAnsi="Arial" w:cs="Arial"/>
                <w:sz w:val="14"/>
                <w:szCs w:val="14"/>
              </w:rPr>
              <w:t>Letra del Tesoro U$S Vto. 28/02/2020</w:t>
            </w:r>
          </w:p>
        </w:tc>
        <w:tc>
          <w:tcPr>
            <w:tcW w:w="709" w:type="dxa"/>
            <w:tcBorders>
              <w:top w:val="nil"/>
              <w:left w:val="nil"/>
              <w:bottom w:val="nil"/>
              <w:right w:val="nil"/>
            </w:tcBorders>
            <w:shd w:val="clear" w:color="auto" w:fill="auto"/>
            <w:vAlign w:val="bottom"/>
            <w:hideMark/>
          </w:tcPr>
          <w:p w14:paraId="37EE4015" w14:textId="7275403C" w:rsidR="00B9798B" w:rsidRPr="00D926FE" w:rsidRDefault="00B9798B" w:rsidP="00B9798B">
            <w:pPr>
              <w:jc w:val="center"/>
              <w:rPr>
                <w:rFonts w:ascii="Arial" w:hAnsi="Arial" w:cs="Arial"/>
                <w:sz w:val="14"/>
                <w:szCs w:val="14"/>
                <w:lang w:eastAsia="es-AR"/>
              </w:rPr>
            </w:pPr>
            <w:r>
              <w:rPr>
                <w:rFonts w:ascii="Arial" w:hAnsi="Arial" w:cs="Arial"/>
                <w:sz w:val="14"/>
                <w:szCs w:val="14"/>
              </w:rPr>
              <w:t>05342</w:t>
            </w:r>
          </w:p>
        </w:tc>
        <w:tc>
          <w:tcPr>
            <w:tcW w:w="794" w:type="dxa"/>
            <w:tcBorders>
              <w:top w:val="nil"/>
              <w:left w:val="nil"/>
              <w:bottom w:val="nil"/>
              <w:right w:val="nil"/>
            </w:tcBorders>
            <w:shd w:val="clear" w:color="auto" w:fill="auto"/>
            <w:vAlign w:val="bottom"/>
            <w:hideMark/>
          </w:tcPr>
          <w:p w14:paraId="4A1D2AF0"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5C0513B3" w14:textId="39D16DD6" w:rsidR="00B9798B" w:rsidRPr="00D926FE" w:rsidRDefault="00103F35" w:rsidP="00B9798B">
            <w:pPr>
              <w:jc w:val="center"/>
              <w:rPr>
                <w:rFonts w:ascii="Arial" w:hAnsi="Arial" w:cs="Arial"/>
                <w:sz w:val="14"/>
                <w:szCs w:val="14"/>
                <w:lang w:eastAsia="es-AR"/>
              </w:rPr>
            </w:pPr>
            <w:r>
              <w:rPr>
                <w:rFonts w:ascii="Arial" w:hAnsi="Arial" w:cs="Arial"/>
                <w:sz w:val="14"/>
                <w:szCs w:val="14"/>
              </w:rPr>
              <w:t>3</w:t>
            </w:r>
          </w:p>
        </w:tc>
        <w:tc>
          <w:tcPr>
            <w:tcW w:w="841" w:type="dxa"/>
            <w:tcBorders>
              <w:top w:val="nil"/>
              <w:left w:val="nil"/>
              <w:bottom w:val="nil"/>
              <w:right w:val="nil"/>
            </w:tcBorders>
            <w:shd w:val="clear" w:color="auto" w:fill="auto"/>
            <w:vAlign w:val="bottom"/>
            <w:hideMark/>
          </w:tcPr>
          <w:p w14:paraId="49D1A40D" w14:textId="2289B4C1" w:rsidR="00B9798B" w:rsidRPr="00D926FE" w:rsidRDefault="00B9798B" w:rsidP="00B9798B">
            <w:pPr>
              <w:jc w:val="right"/>
              <w:rPr>
                <w:rFonts w:ascii="Arial" w:hAnsi="Arial" w:cs="Arial"/>
                <w:sz w:val="14"/>
                <w:szCs w:val="14"/>
                <w:lang w:eastAsia="es-AR"/>
              </w:rPr>
            </w:pPr>
            <w:r>
              <w:rPr>
                <w:rFonts w:ascii="Arial" w:hAnsi="Arial" w:cs="Arial"/>
                <w:sz w:val="14"/>
                <w:szCs w:val="14"/>
              </w:rPr>
              <w:t>3</w:t>
            </w:r>
          </w:p>
        </w:tc>
        <w:tc>
          <w:tcPr>
            <w:tcW w:w="841" w:type="dxa"/>
            <w:tcBorders>
              <w:top w:val="nil"/>
              <w:left w:val="nil"/>
              <w:bottom w:val="nil"/>
              <w:right w:val="nil"/>
            </w:tcBorders>
            <w:shd w:val="clear" w:color="auto" w:fill="auto"/>
            <w:vAlign w:val="bottom"/>
          </w:tcPr>
          <w:p w14:paraId="0A8F6164" w14:textId="3D4E4D77"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3997E490" w14:textId="65A8418C" w:rsidR="00B9798B" w:rsidRPr="00D926FE" w:rsidRDefault="00B9798B" w:rsidP="00B9798B">
            <w:pPr>
              <w:jc w:val="right"/>
              <w:rPr>
                <w:rFonts w:ascii="Arial" w:hAnsi="Arial" w:cs="Arial"/>
                <w:sz w:val="14"/>
                <w:szCs w:val="14"/>
                <w:lang w:eastAsia="es-AR"/>
              </w:rPr>
            </w:pPr>
            <w:r>
              <w:rPr>
                <w:rFonts w:ascii="Arial" w:hAnsi="Arial" w:cs="Arial"/>
                <w:sz w:val="14"/>
                <w:szCs w:val="14"/>
              </w:rPr>
              <w:t>3</w:t>
            </w:r>
          </w:p>
        </w:tc>
        <w:tc>
          <w:tcPr>
            <w:tcW w:w="778" w:type="dxa"/>
            <w:tcBorders>
              <w:top w:val="nil"/>
              <w:left w:val="nil"/>
              <w:bottom w:val="nil"/>
              <w:right w:val="nil"/>
            </w:tcBorders>
            <w:shd w:val="clear" w:color="auto" w:fill="auto"/>
            <w:vAlign w:val="bottom"/>
            <w:hideMark/>
          </w:tcPr>
          <w:p w14:paraId="13283ABD" w14:textId="081DC25F"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096210A6" w14:textId="072A0D4E" w:rsidR="00B9798B" w:rsidRPr="00D926FE" w:rsidRDefault="00B9798B" w:rsidP="00B9798B">
            <w:pPr>
              <w:jc w:val="right"/>
              <w:rPr>
                <w:rFonts w:ascii="Arial" w:hAnsi="Arial" w:cs="Arial"/>
                <w:sz w:val="14"/>
                <w:szCs w:val="14"/>
                <w:lang w:eastAsia="es-AR"/>
              </w:rPr>
            </w:pPr>
            <w:r>
              <w:rPr>
                <w:rFonts w:ascii="Arial" w:hAnsi="Arial" w:cs="Arial"/>
                <w:sz w:val="14"/>
                <w:szCs w:val="14"/>
              </w:rPr>
              <w:t>3</w:t>
            </w:r>
          </w:p>
        </w:tc>
      </w:tr>
      <w:tr w:rsidR="00B9798B" w:rsidRPr="00D926FE" w14:paraId="74B9F5C1"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3D46FA4A" w14:textId="72A74E97" w:rsidR="00B9798B" w:rsidRPr="00D926FE" w:rsidRDefault="00B9798B" w:rsidP="00B9798B">
            <w:pPr>
              <w:rPr>
                <w:rFonts w:ascii="Arial" w:hAnsi="Arial" w:cs="Arial"/>
                <w:sz w:val="14"/>
                <w:szCs w:val="14"/>
                <w:lang w:eastAsia="es-AR"/>
              </w:rPr>
            </w:pPr>
            <w:r>
              <w:rPr>
                <w:rFonts w:ascii="Arial" w:hAnsi="Arial" w:cs="Arial"/>
                <w:sz w:val="14"/>
                <w:szCs w:val="14"/>
              </w:rPr>
              <w:t>Letra del Tesoro capitalizable $ Vto. 11/10/19</w:t>
            </w:r>
          </w:p>
        </w:tc>
        <w:tc>
          <w:tcPr>
            <w:tcW w:w="709" w:type="dxa"/>
            <w:tcBorders>
              <w:top w:val="nil"/>
              <w:left w:val="nil"/>
              <w:bottom w:val="nil"/>
              <w:right w:val="nil"/>
            </w:tcBorders>
            <w:shd w:val="clear" w:color="auto" w:fill="auto"/>
            <w:vAlign w:val="bottom"/>
            <w:hideMark/>
          </w:tcPr>
          <w:p w14:paraId="66FCB801" w14:textId="7C09D581" w:rsidR="00B9798B" w:rsidRPr="00D926FE" w:rsidRDefault="00B9798B" w:rsidP="00B9798B">
            <w:pPr>
              <w:jc w:val="center"/>
              <w:rPr>
                <w:rFonts w:ascii="Arial" w:hAnsi="Arial" w:cs="Arial"/>
                <w:sz w:val="14"/>
                <w:szCs w:val="14"/>
                <w:lang w:eastAsia="es-AR"/>
              </w:rPr>
            </w:pPr>
            <w:r>
              <w:rPr>
                <w:rFonts w:ascii="Arial" w:hAnsi="Arial" w:cs="Arial"/>
                <w:sz w:val="14"/>
                <w:szCs w:val="14"/>
              </w:rPr>
              <w:t>05340</w:t>
            </w:r>
          </w:p>
        </w:tc>
        <w:tc>
          <w:tcPr>
            <w:tcW w:w="794" w:type="dxa"/>
            <w:tcBorders>
              <w:top w:val="nil"/>
              <w:left w:val="nil"/>
              <w:bottom w:val="nil"/>
              <w:right w:val="nil"/>
            </w:tcBorders>
            <w:shd w:val="clear" w:color="auto" w:fill="auto"/>
            <w:vAlign w:val="bottom"/>
            <w:hideMark/>
          </w:tcPr>
          <w:p w14:paraId="082BF760"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19BDDEC4" w14:textId="52D8A255" w:rsidR="00B9798B" w:rsidRPr="00D926FE" w:rsidRDefault="00B9798B" w:rsidP="00B9798B">
            <w:pPr>
              <w:jc w:val="center"/>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2417C438" w14:textId="1CF28BC8"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tcPr>
          <w:p w14:paraId="3ECF68F8" w14:textId="5005DF11"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35FAB6A7" w14:textId="4267C2E1" w:rsidR="00B9798B" w:rsidRPr="00D926FE" w:rsidRDefault="00B9798B" w:rsidP="00B9798B">
            <w:pPr>
              <w:jc w:val="right"/>
              <w:rPr>
                <w:rFonts w:ascii="Arial" w:hAnsi="Arial" w:cs="Arial"/>
                <w:sz w:val="14"/>
                <w:szCs w:val="14"/>
                <w:lang w:eastAsia="es-AR"/>
              </w:rPr>
            </w:pPr>
            <w:r>
              <w:rPr>
                <w:rFonts w:ascii="Arial" w:hAnsi="Arial" w:cs="Arial"/>
                <w:sz w:val="14"/>
                <w:szCs w:val="14"/>
              </w:rPr>
              <w:t>130.660</w:t>
            </w:r>
          </w:p>
        </w:tc>
        <w:tc>
          <w:tcPr>
            <w:tcW w:w="778" w:type="dxa"/>
            <w:tcBorders>
              <w:top w:val="nil"/>
              <w:left w:val="nil"/>
              <w:bottom w:val="nil"/>
              <w:right w:val="nil"/>
            </w:tcBorders>
            <w:shd w:val="clear" w:color="auto" w:fill="auto"/>
            <w:vAlign w:val="bottom"/>
            <w:hideMark/>
          </w:tcPr>
          <w:p w14:paraId="6E3E0639" w14:textId="5DC3FB47"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5C81A594" w14:textId="03173847" w:rsidR="00B9798B" w:rsidRPr="00D926FE" w:rsidRDefault="00B9798B" w:rsidP="00B9798B">
            <w:pPr>
              <w:jc w:val="right"/>
              <w:rPr>
                <w:rFonts w:ascii="Arial" w:hAnsi="Arial" w:cs="Arial"/>
                <w:sz w:val="14"/>
                <w:szCs w:val="14"/>
                <w:lang w:eastAsia="es-AR"/>
              </w:rPr>
            </w:pPr>
            <w:r>
              <w:rPr>
                <w:rFonts w:ascii="Arial" w:hAnsi="Arial" w:cs="Arial"/>
                <w:sz w:val="14"/>
                <w:szCs w:val="14"/>
              </w:rPr>
              <w:t>130.660</w:t>
            </w:r>
          </w:p>
        </w:tc>
      </w:tr>
      <w:tr w:rsidR="00B9798B" w:rsidRPr="00D926FE" w14:paraId="5177AD7C"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1D15E8E6" w14:textId="43A714E3" w:rsidR="00B9798B" w:rsidRPr="00D926FE" w:rsidRDefault="00B9798B" w:rsidP="00B9798B">
            <w:pPr>
              <w:rPr>
                <w:rFonts w:ascii="Arial" w:hAnsi="Arial" w:cs="Arial"/>
                <w:sz w:val="14"/>
                <w:szCs w:val="14"/>
                <w:lang w:eastAsia="es-AR"/>
              </w:rPr>
            </w:pPr>
            <w:r>
              <w:rPr>
                <w:rFonts w:ascii="Arial" w:hAnsi="Arial" w:cs="Arial"/>
                <w:sz w:val="14"/>
                <w:szCs w:val="14"/>
              </w:rPr>
              <w:t>Cupón Lecap S13S9  60% $ Vto.11/03/20</w:t>
            </w:r>
          </w:p>
        </w:tc>
        <w:tc>
          <w:tcPr>
            <w:tcW w:w="709" w:type="dxa"/>
            <w:tcBorders>
              <w:top w:val="nil"/>
              <w:left w:val="nil"/>
              <w:bottom w:val="nil"/>
              <w:right w:val="nil"/>
            </w:tcBorders>
            <w:shd w:val="clear" w:color="auto" w:fill="auto"/>
            <w:vAlign w:val="bottom"/>
            <w:hideMark/>
          </w:tcPr>
          <w:p w14:paraId="6C9475BA" w14:textId="536AA2FE" w:rsidR="00B9798B" w:rsidRPr="00D926FE" w:rsidRDefault="00B9798B" w:rsidP="00B9798B">
            <w:pPr>
              <w:jc w:val="center"/>
              <w:rPr>
                <w:rFonts w:ascii="Arial" w:hAnsi="Arial" w:cs="Arial"/>
                <w:sz w:val="14"/>
                <w:szCs w:val="14"/>
                <w:lang w:eastAsia="es-AR"/>
              </w:rPr>
            </w:pPr>
            <w:r>
              <w:rPr>
                <w:rFonts w:ascii="Arial" w:hAnsi="Arial" w:cs="Arial"/>
                <w:sz w:val="14"/>
                <w:szCs w:val="14"/>
              </w:rPr>
              <w:t>05351</w:t>
            </w:r>
          </w:p>
        </w:tc>
        <w:tc>
          <w:tcPr>
            <w:tcW w:w="794" w:type="dxa"/>
            <w:tcBorders>
              <w:top w:val="nil"/>
              <w:left w:val="nil"/>
              <w:bottom w:val="nil"/>
              <w:right w:val="nil"/>
            </w:tcBorders>
            <w:shd w:val="clear" w:color="auto" w:fill="auto"/>
            <w:vAlign w:val="bottom"/>
            <w:hideMark/>
          </w:tcPr>
          <w:p w14:paraId="167546ED"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2C2EAA5F" w14:textId="2068EC2D" w:rsidR="00B9798B" w:rsidRPr="00D926FE" w:rsidRDefault="00B9798B" w:rsidP="00B9798B">
            <w:pPr>
              <w:jc w:val="center"/>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154AC1CD" w14:textId="5403E244"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tcPr>
          <w:p w14:paraId="6FF98D4B" w14:textId="540795F5"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53AE5C73" w14:textId="14FF4318" w:rsidR="00B9798B" w:rsidRPr="00D926FE" w:rsidRDefault="00B9798B" w:rsidP="00B9798B">
            <w:pPr>
              <w:jc w:val="right"/>
              <w:rPr>
                <w:rFonts w:ascii="Arial" w:hAnsi="Arial" w:cs="Arial"/>
                <w:sz w:val="14"/>
                <w:szCs w:val="14"/>
                <w:lang w:eastAsia="es-AR"/>
              </w:rPr>
            </w:pPr>
            <w:r>
              <w:rPr>
                <w:rFonts w:ascii="Arial" w:hAnsi="Arial" w:cs="Arial"/>
                <w:sz w:val="14"/>
                <w:szCs w:val="14"/>
              </w:rPr>
              <w:t>87.900</w:t>
            </w:r>
          </w:p>
        </w:tc>
        <w:tc>
          <w:tcPr>
            <w:tcW w:w="778" w:type="dxa"/>
            <w:tcBorders>
              <w:top w:val="nil"/>
              <w:left w:val="nil"/>
              <w:bottom w:val="nil"/>
              <w:right w:val="nil"/>
            </w:tcBorders>
            <w:shd w:val="clear" w:color="auto" w:fill="auto"/>
            <w:vAlign w:val="bottom"/>
            <w:hideMark/>
          </w:tcPr>
          <w:p w14:paraId="631D7853" w14:textId="48C30B7E"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7C9DEC1A" w14:textId="7FDB3446" w:rsidR="00B9798B" w:rsidRPr="00D926FE" w:rsidRDefault="00B9798B" w:rsidP="00B9798B">
            <w:pPr>
              <w:jc w:val="right"/>
              <w:rPr>
                <w:rFonts w:ascii="Arial" w:hAnsi="Arial" w:cs="Arial"/>
                <w:sz w:val="14"/>
                <w:szCs w:val="14"/>
                <w:lang w:eastAsia="es-AR"/>
              </w:rPr>
            </w:pPr>
            <w:r>
              <w:rPr>
                <w:rFonts w:ascii="Arial" w:hAnsi="Arial" w:cs="Arial"/>
                <w:sz w:val="14"/>
                <w:szCs w:val="14"/>
              </w:rPr>
              <w:t>87.900</w:t>
            </w:r>
          </w:p>
        </w:tc>
      </w:tr>
      <w:tr w:rsidR="00B9798B" w:rsidRPr="00D926FE" w14:paraId="55E2BCBC"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77475A9D" w14:textId="735F59BC" w:rsidR="00B9798B" w:rsidRPr="00D926FE" w:rsidRDefault="00B9798B" w:rsidP="00B9798B">
            <w:pPr>
              <w:rPr>
                <w:rFonts w:ascii="Arial" w:hAnsi="Arial" w:cs="Arial"/>
                <w:sz w:val="14"/>
                <w:szCs w:val="14"/>
                <w:lang w:eastAsia="es-AR"/>
              </w:rPr>
            </w:pPr>
            <w:r>
              <w:rPr>
                <w:rFonts w:ascii="Arial" w:hAnsi="Arial" w:cs="Arial"/>
                <w:sz w:val="14"/>
                <w:szCs w:val="14"/>
              </w:rPr>
              <w:t>Letra del Tesoro U$S Vto. 11/10/2019</w:t>
            </w:r>
          </w:p>
        </w:tc>
        <w:tc>
          <w:tcPr>
            <w:tcW w:w="709" w:type="dxa"/>
            <w:tcBorders>
              <w:top w:val="nil"/>
              <w:left w:val="nil"/>
              <w:bottom w:val="nil"/>
              <w:right w:val="nil"/>
            </w:tcBorders>
            <w:shd w:val="clear" w:color="auto" w:fill="auto"/>
            <w:vAlign w:val="bottom"/>
            <w:hideMark/>
          </w:tcPr>
          <w:p w14:paraId="076C40CF" w14:textId="74ED1750" w:rsidR="00B9798B" w:rsidRPr="00D926FE" w:rsidRDefault="00B9798B" w:rsidP="00B9798B">
            <w:pPr>
              <w:jc w:val="center"/>
              <w:rPr>
                <w:rFonts w:ascii="Arial" w:hAnsi="Arial" w:cs="Arial"/>
                <w:sz w:val="14"/>
                <w:szCs w:val="14"/>
                <w:lang w:eastAsia="es-AR"/>
              </w:rPr>
            </w:pPr>
            <w:r>
              <w:rPr>
                <w:rFonts w:ascii="Arial" w:hAnsi="Arial" w:cs="Arial"/>
                <w:sz w:val="14"/>
                <w:szCs w:val="14"/>
              </w:rPr>
              <w:t>05291</w:t>
            </w:r>
          </w:p>
        </w:tc>
        <w:tc>
          <w:tcPr>
            <w:tcW w:w="794" w:type="dxa"/>
            <w:tcBorders>
              <w:top w:val="nil"/>
              <w:left w:val="nil"/>
              <w:bottom w:val="nil"/>
              <w:right w:val="nil"/>
            </w:tcBorders>
            <w:shd w:val="clear" w:color="auto" w:fill="auto"/>
            <w:vAlign w:val="bottom"/>
            <w:hideMark/>
          </w:tcPr>
          <w:p w14:paraId="5EFEFDC5"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775A4DB9" w14:textId="29879E47" w:rsidR="00B9798B" w:rsidRPr="00D926FE" w:rsidRDefault="00B9798B" w:rsidP="00B9798B">
            <w:pPr>
              <w:jc w:val="center"/>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5E64A645" w14:textId="094BD2D5"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tcPr>
          <w:p w14:paraId="564B8CD7" w14:textId="1037B66A"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2B6703E6" w14:textId="580B5086" w:rsidR="00B9798B" w:rsidRPr="00D926FE" w:rsidRDefault="00B9798B" w:rsidP="00B9798B">
            <w:pPr>
              <w:jc w:val="right"/>
              <w:rPr>
                <w:rFonts w:ascii="Arial" w:hAnsi="Arial" w:cs="Arial"/>
                <w:sz w:val="14"/>
                <w:szCs w:val="14"/>
                <w:lang w:eastAsia="es-AR"/>
              </w:rPr>
            </w:pPr>
            <w:r>
              <w:rPr>
                <w:rFonts w:ascii="Arial" w:hAnsi="Arial" w:cs="Arial"/>
                <w:sz w:val="14"/>
                <w:szCs w:val="14"/>
              </w:rPr>
              <w:t>112.200</w:t>
            </w:r>
          </w:p>
        </w:tc>
        <w:tc>
          <w:tcPr>
            <w:tcW w:w="778" w:type="dxa"/>
            <w:tcBorders>
              <w:top w:val="nil"/>
              <w:left w:val="nil"/>
              <w:bottom w:val="nil"/>
              <w:right w:val="nil"/>
            </w:tcBorders>
            <w:shd w:val="clear" w:color="auto" w:fill="auto"/>
            <w:vAlign w:val="bottom"/>
            <w:hideMark/>
          </w:tcPr>
          <w:p w14:paraId="2A0D68B2" w14:textId="03856FB1"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5F763BD8" w14:textId="62D99CFD" w:rsidR="00B9798B" w:rsidRPr="00D926FE" w:rsidRDefault="00B9798B" w:rsidP="00B9798B">
            <w:pPr>
              <w:jc w:val="right"/>
              <w:rPr>
                <w:rFonts w:ascii="Arial" w:hAnsi="Arial" w:cs="Arial"/>
                <w:sz w:val="14"/>
                <w:szCs w:val="14"/>
                <w:lang w:eastAsia="es-AR"/>
              </w:rPr>
            </w:pPr>
            <w:r>
              <w:rPr>
                <w:rFonts w:ascii="Arial" w:hAnsi="Arial" w:cs="Arial"/>
                <w:sz w:val="14"/>
                <w:szCs w:val="14"/>
              </w:rPr>
              <w:t>112.200</w:t>
            </w:r>
          </w:p>
        </w:tc>
      </w:tr>
      <w:tr w:rsidR="00B9798B" w:rsidRPr="00D926FE" w14:paraId="21BF03EC"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766F6E62" w14:textId="318DA827" w:rsidR="00B9798B" w:rsidRPr="00D926FE" w:rsidRDefault="00B9798B" w:rsidP="00B9798B">
            <w:pPr>
              <w:rPr>
                <w:rFonts w:ascii="Arial" w:hAnsi="Arial" w:cs="Arial"/>
                <w:sz w:val="14"/>
                <w:szCs w:val="14"/>
                <w:lang w:eastAsia="es-AR"/>
              </w:rPr>
            </w:pPr>
            <w:r>
              <w:rPr>
                <w:rFonts w:ascii="Arial" w:hAnsi="Arial" w:cs="Arial"/>
                <w:sz w:val="14"/>
                <w:szCs w:val="14"/>
              </w:rPr>
              <w:t>Letra del Tesoro U$S Vto. 25/10/2019</w:t>
            </w:r>
          </w:p>
        </w:tc>
        <w:tc>
          <w:tcPr>
            <w:tcW w:w="709" w:type="dxa"/>
            <w:tcBorders>
              <w:top w:val="nil"/>
              <w:left w:val="nil"/>
              <w:bottom w:val="nil"/>
              <w:right w:val="nil"/>
            </w:tcBorders>
            <w:shd w:val="clear" w:color="auto" w:fill="auto"/>
            <w:vAlign w:val="bottom"/>
            <w:hideMark/>
          </w:tcPr>
          <w:p w14:paraId="2BEA89A2" w14:textId="09C47016" w:rsidR="00B9798B" w:rsidRPr="00D926FE" w:rsidRDefault="00B9798B" w:rsidP="00B9798B">
            <w:pPr>
              <w:jc w:val="center"/>
              <w:rPr>
                <w:rFonts w:ascii="Arial" w:hAnsi="Arial" w:cs="Arial"/>
                <w:sz w:val="14"/>
                <w:szCs w:val="14"/>
                <w:lang w:eastAsia="es-AR"/>
              </w:rPr>
            </w:pPr>
            <w:r>
              <w:rPr>
                <w:rFonts w:ascii="Arial" w:hAnsi="Arial" w:cs="Arial"/>
                <w:sz w:val="14"/>
                <w:szCs w:val="14"/>
              </w:rPr>
              <w:t>05292</w:t>
            </w:r>
          </w:p>
        </w:tc>
        <w:tc>
          <w:tcPr>
            <w:tcW w:w="794" w:type="dxa"/>
            <w:tcBorders>
              <w:top w:val="nil"/>
              <w:left w:val="nil"/>
              <w:bottom w:val="nil"/>
              <w:right w:val="nil"/>
            </w:tcBorders>
            <w:shd w:val="clear" w:color="auto" w:fill="auto"/>
            <w:vAlign w:val="bottom"/>
            <w:hideMark/>
          </w:tcPr>
          <w:p w14:paraId="5FAED235"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50C32A99" w14:textId="1377ABF7" w:rsidR="00B9798B" w:rsidRPr="00D926FE" w:rsidRDefault="00B9798B" w:rsidP="00B9798B">
            <w:pPr>
              <w:jc w:val="center"/>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6A460646" w14:textId="153798C8"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tcPr>
          <w:p w14:paraId="1B6B8B57" w14:textId="6C406F47"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07CD4F44" w14:textId="5509F774" w:rsidR="00B9798B" w:rsidRPr="00D926FE" w:rsidRDefault="00B9798B" w:rsidP="00B9798B">
            <w:pPr>
              <w:jc w:val="right"/>
              <w:rPr>
                <w:rFonts w:ascii="Arial" w:hAnsi="Arial" w:cs="Arial"/>
                <w:sz w:val="14"/>
                <w:szCs w:val="14"/>
                <w:lang w:eastAsia="es-AR"/>
              </w:rPr>
            </w:pPr>
            <w:r>
              <w:rPr>
                <w:rFonts w:ascii="Arial" w:hAnsi="Arial" w:cs="Arial"/>
                <w:sz w:val="14"/>
                <w:szCs w:val="14"/>
              </w:rPr>
              <w:t>108.000</w:t>
            </w:r>
          </w:p>
        </w:tc>
        <w:tc>
          <w:tcPr>
            <w:tcW w:w="778" w:type="dxa"/>
            <w:tcBorders>
              <w:top w:val="nil"/>
              <w:left w:val="nil"/>
              <w:bottom w:val="nil"/>
              <w:right w:val="nil"/>
            </w:tcBorders>
            <w:shd w:val="clear" w:color="auto" w:fill="auto"/>
            <w:vAlign w:val="bottom"/>
            <w:hideMark/>
          </w:tcPr>
          <w:p w14:paraId="6A66A231" w14:textId="5D233593"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7E691E5E" w14:textId="51B34ABE" w:rsidR="00B9798B" w:rsidRPr="00D926FE" w:rsidRDefault="00B9798B" w:rsidP="00B9798B">
            <w:pPr>
              <w:jc w:val="right"/>
              <w:rPr>
                <w:rFonts w:ascii="Arial" w:hAnsi="Arial" w:cs="Arial"/>
                <w:sz w:val="14"/>
                <w:szCs w:val="14"/>
                <w:lang w:eastAsia="es-AR"/>
              </w:rPr>
            </w:pPr>
            <w:r>
              <w:rPr>
                <w:rFonts w:ascii="Arial" w:hAnsi="Arial" w:cs="Arial"/>
                <w:sz w:val="14"/>
                <w:szCs w:val="14"/>
              </w:rPr>
              <w:t>108.000</w:t>
            </w:r>
          </w:p>
        </w:tc>
      </w:tr>
      <w:tr w:rsidR="00B9798B" w:rsidRPr="00D926FE" w14:paraId="20345760"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38062D4E" w14:textId="54289AF1" w:rsidR="00B9798B" w:rsidRPr="00D926FE" w:rsidRDefault="00B9798B" w:rsidP="00B9798B">
            <w:pPr>
              <w:rPr>
                <w:rFonts w:ascii="Arial" w:hAnsi="Arial" w:cs="Arial"/>
                <w:sz w:val="14"/>
                <w:szCs w:val="14"/>
                <w:lang w:eastAsia="es-AR"/>
              </w:rPr>
            </w:pPr>
            <w:r>
              <w:rPr>
                <w:rFonts w:ascii="Arial" w:hAnsi="Arial" w:cs="Arial"/>
                <w:sz w:val="14"/>
                <w:szCs w:val="14"/>
              </w:rPr>
              <w:t>Letra del Tesoro U$S Vto. 10/05/2019</w:t>
            </w:r>
          </w:p>
        </w:tc>
        <w:tc>
          <w:tcPr>
            <w:tcW w:w="709" w:type="dxa"/>
            <w:tcBorders>
              <w:top w:val="nil"/>
              <w:left w:val="nil"/>
              <w:bottom w:val="nil"/>
              <w:right w:val="nil"/>
            </w:tcBorders>
            <w:shd w:val="clear" w:color="auto" w:fill="auto"/>
            <w:vAlign w:val="bottom"/>
            <w:hideMark/>
          </w:tcPr>
          <w:p w14:paraId="6004E87E" w14:textId="32EC00F8" w:rsidR="00B9798B" w:rsidRPr="00D926FE" w:rsidRDefault="00B9798B" w:rsidP="00B9798B">
            <w:pPr>
              <w:jc w:val="center"/>
              <w:rPr>
                <w:rFonts w:ascii="Arial" w:hAnsi="Arial" w:cs="Arial"/>
                <w:sz w:val="14"/>
                <w:szCs w:val="14"/>
                <w:lang w:eastAsia="es-AR"/>
              </w:rPr>
            </w:pPr>
            <w:r>
              <w:rPr>
                <w:rFonts w:ascii="Arial" w:hAnsi="Arial" w:cs="Arial"/>
                <w:sz w:val="14"/>
                <w:szCs w:val="14"/>
              </w:rPr>
              <w:t>05272</w:t>
            </w:r>
          </w:p>
        </w:tc>
        <w:tc>
          <w:tcPr>
            <w:tcW w:w="794" w:type="dxa"/>
            <w:tcBorders>
              <w:top w:val="nil"/>
              <w:left w:val="nil"/>
              <w:bottom w:val="nil"/>
              <w:right w:val="nil"/>
            </w:tcBorders>
            <w:shd w:val="clear" w:color="auto" w:fill="auto"/>
            <w:vAlign w:val="bottom"/>
            <w:hideMark/>
          </w:tcPr>
          <w:p w14:paraId="37581DD7"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4A7D8271" w14:textId="1DBE14A8" w:rsidR="00B9798B" w:rsidRPr="00D926FE" w:rsidRDefault="00B9798B" w:rsidP="00B9798B">
            <w:pPr>
              <w:jc w:val="center"/>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4C0211E0" w14:textId="35493CB0"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tcPr>
          <w:p w14:paraId="06749CA3" w14:textId="76283AE9"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1.238.920 </w:t>
            </w:r>
          </w:p>
        </w:tc>
        <w:tc>
          <w:tcPr>
            <w:tcW w:w="915" w:type="dxa"/>
            <w:tcBorders>
              <w:top w:val="nil"/>
              <w:left w:val="nil"/>
              <w:bottom w:val="nil"/>
              <w:right w:val="nil"/>
            </w:tcBorders>
            <w:shd w:val="clear" w:color="auto" w:fill="auto"/>
            <w:vAlign w:val="bottom"/>
            <w:hideMark/>
          </w:tcPr>
          <w:p w14:paraId="42A9E006" w14:textId="5651673C"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0A04129C" w14:textId="6829E4D0"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594AA8A3" w14:textId="3CED7095" w:rsidR="00B9798B" w:rsidRPr="00D926FE" w:rsidRDefault="00B9798B" w:rsidP="00B9798B">
            <w:pPr>
              <w:jc w:val="right"/>
              <w:rPr>
                <w:rFonts w:ascii="Arial" w:hAnsi="Arial" w:cs="Arial"/>
                <w:sz w:val="14"/>
                <w:szCs w:val="14"/>
                <w:lang w:eastAsia="es-AR"/>
              </w:rPr>
            </w:pPr>
            <w:r>
              <w:rPr>
                <w:rFonts w:ascii="Arial" w:hAnsi="Arial" w:cs="Arial"/>
                <w:sz w:val="14"/>
                <w:szCs w:val="14"/>
              </w:rPr>
              <w:t>-</w:t>
            </w:r>
          </w:p>
        </w:tc>
      </w:tr>
      <w:tr w:rsidR="00D926FE" w:rsidRPr="00D926FE" w14:paraId="2ABB5901" w14:textId="77777777" w:rsidTr="00B9798B">
        <w:trPr>
          <w:gridAfter w:val="1"/>
          <w:wAfter w:w="16" w:type="dxa"/>
          <w:trHeight w:val="89"/>
        </w:trPr>
        <w:tc>
          <w:tcPr>
            <w:tcW w:w="3189" w:type="dxa"/>
            <w:tcBorders>
              <w:top w:val="nil"/>
              <w:left w:val="nil"/>
              <w:bottom w:val="nil"/>
              <w:right w:val="nil"/>
            </w:tcBorders>
            <w:shd w:val="clear" w:color="auto" w:fill="auto"/>
            <w:vAlign w:val="bottom"/>
            <w:hideMark/>
          </w:tcPr>
          <w:p w14:paraId="1308AF68" w14:textId="77777777" w:rsidR="00D926FE" w:rsidRPr="00D926FE" w:rsidRDefault="00D926FE" w:rsidP="00B9798B">
            <w:pPr>
              <w:rPr>
                <w:rFonts w:ascii="Arial" w:hAnsi="Arial" w:cs="Arial"/>
                <w:sz w:val="14"/>
                <w:szCs w:val="14"/>
                <w:lang w:eastAsia="es-AR"/>
              </w:rPr>
            </w:pPr>
          </w:p>
        </w:tc>
        <w:tc>
          <w:tcPr>
            <w:tcW w:w="709" w:type="dxa"/>
            <w:tcBorders>
              <w:top w:val="nil"/>
              <w:left w:val="nil"/>
              <w:bottom w:val="nil"/>
              <w:right w:val="nil"/>
            </w:tcBorders>
            <w:shd w:val="clear" w:color="auto" w:fill="auto"/>
            <w:vAlign w:val="bottom"/>
            <w:hideMark/>
          </w:tcPr>
          <w:p w14:paraId="4F3DDEBB" w14:textId="77777777" w:rsidR="00D926FE" w:rsidRPr="00D926FE" w:rsidRDefault="00D926FE"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13967D62" w14:textId="77777777" w:rsidR="00D926FE" w:rsidRPr="00D926FE" w:rsidRDefault="00D926FE"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0F54DD17" w14:textId="77777777" w:rsidR="00D926FE" w:rsidRPr="00D926FE" w:rsidRDefault="00D926FE"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45B26F95" w14:textId="77777777" w:rsidR="00D926FE" w:rsidRPr="00D926FE" w:rsidRDefault="00D926FE" w:rsidP="00B9798B">
            <w:pPr>
              <w:jc w:val="right"/>
              <w:rPr>
                <w:sz w:val="20"/>
                <w:lang w:eastAsia="es-AR"/>
              </w:rPr>
            </w:pPr>
          </w:p>
        </w:tc>
        <w:tc>
          <w:tcPr>
            <w:tcW w:w="841" w:type="dxa"/>
            <w:tcBorders>
              <w:top w:val="nil"/>
              <w:left w:val="nil"/>
              <w:bottom w:val="nil"/>
              <w:right w:val="nil"/>
            </w:tcBorders>
            <w:shd w:val="clear" w:color="auto" w:fill="auto"/>
            <w:vAlign w:val="bottom"/>
            <w:hideMark/>
          </w:tcPr>
          <w:p w14:paraId="696F71C1" w14:textId="77777777" w:rsidR="00D926FE" w:rsidRPr="00D926FE" w:rsidRDefault="00D926FE" w:rsidP="00B9798B">
            <w:pPr>
              <w:jc w:val="right"/>
              <w:rPr>
                <w:sz w:val="20"/>
                <w:lang w:eastAsia="es-AR"/>
              </w:rPr>
            </w:pPr>
          </w:p>
        </w:tc>
        <w:tc>
          <w:tcPr>
            <w:tcW w:w="915" w:type="dxa"/>
            <w:tcBorders>
              <w:top w:val="nil"/>
              <w:left w:val="nil"/>
              <w:bottom w:val="nil"/>
              <w:right w:val="nil"/>
            </w:tcBorders>
            <w:shd w:val="clear" w:color="auto" w:fill="auto"/>
            <w:vAlign w:val="bottom"/>
            <w:hideMark/>
          </w:tcPr>
          <w:p w14:paraId="736BF604" w14:textId="77777777" w:rsidR="00D926FE" w:rsidRPr="00D926FE" w:rsidRDefault="00D926FE" w:rsidP="00B9798B">
            <w:pPr>
              <w:jc w:val="right"/>
              <w:rPr>
                <w:sz w:val="20"/>
                <w:lang w:eastAsia="es-AR"/>
              </w:rPr>
            </w:pPr>
          </w:p>
        </w:tc>
        <w:tc>
          <w:tcPr>
            <w:tcW w:w="778" w:type="dxa"/>
            <w:tcBorders>
              <w:top w:val="nil"/>
              <w:left w:val="nil"/>
              <w:bottom w:val="nil"/>
              <w:right w:val="nil"/>
            </w:tcBorders>
            <w:shd w:val="clear" w:color="auto" w:fill="auto"/>
            <w:vAlign w:val="bottom"/>
            <w:hideMark/>
          </w:tcPr>
          <w:p w14:paraId="0FC9EFCB" w14:textId="77777777" w:rsidR="00D926FE" w:rsidRPr="00D926FE" w:rsidRDefault="00D926FE" w:rsidP="00B9798B">
            <w:pPr>
              <w:jc w:val="right"/>
              <w:rPr>
                <w:sz w:val="20"/>
                <w:lang w:eastAsia="es-AR"/>
              </w:rPr>
            </w:pPr>
          </w:p>
        </w:tc>
        <w:tc>
          <w:tcPr>
            <w:tcW w:w="848" w:type="dxa"/>
            <w:tcBorders>
              <w:top w:val="nil"/>
              <w:left w:val="nil"/>
              <w:bottom w:val="nil"/>
              <w:right w:val="nil"/>
            </w:tcBorders>
            <w:shd w:val="clear" w:color="auto" w:fill="auto"/>
            <w:vAlign w:val="bottom"/>
            <w:hideMark/>
          </w:tcPr>
          <w:p w14:paraId="5100E76E" w14:textId="77777777" w:rsidR="00D926FE" w:rsidRPr="00D926FE" w:rsidRDefault="00D926FE" w:rsidP="00B9798B">
            <w:pPr>
              <w:jc w:val="right"/>
              <w:rPr>
                <w:sz w:val="20"/>
                <w:lang w:eastAsia="es-AR"/>
              </w:rPr>
            </w:pPr>
          </w:p>
        </w:tc>
      </w:tr>
      <w:tr w:rsidR="007A54A1" w:rsidRPr="00D926FE" w14:paraId="23159A46"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7052405F" w14:textId="77777777" w:rsidR="007A54A1" w:rsidRPr="00D926FE" w:rsidRDefault="007A54A1" w:rsidP="00B9798B">
            <w:pPr>
              <w:rPr>
                <w:rFonts w:ascii="Arial" w:hAnsi="Arial" w:cs="Arial"/>
                <w:sz w:val="14"/>
                <w:szCs w:val="14"/>
                <w:lang w:eastAsia="es-AR"/>
              </w:rPr>
            </w:pPr>
            <w:r w:rsidRPr="00D926FE">
              <w:rPr>
                <w:rFonts w:ascii="Arial" w:hAnsi="Arial" w:cs="Arial"/>
                <w:sz w:val="14"/>
                <w:szCs w:val="14"/>
                <w:lang w:eastAsia="es-AR"/>
              </w:rPr>
              <w:t>Otros</w:t>
            </w:r>
          </w:p>
        </w:tc>
        <w:tc>
          <w:tcPr>
            <w:tcW w:w="709" w:type="dxa"/>
            <w:tcBorders>
              <w:top w:val="nil"/>
              <w:left w:val="nil"/>
              <w:bottom w:val="nil"/>
              <w:right w:val="nil"/>
            </w:tcBorders>
            <w:shd w:val="clear" w:color="auto" w:fill="auto"/>
            <w:vAlign w:val="bottom"/>
            <w:hideMark/>
          </w:tcPr>
          <w:p w14:paraId="1E7C6184" w14:textId="77777777" w:rsidR="007A54A1" w:rsidRPr="00D926FE" w:rsidRDefault="007A54A1" w:rsidP="00B9798B">
            <w:pPr>
              <w:ind w:firstLineChars="300" w:firstLine="420"/>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24B5D919" w14:textId="77777777" w:rsidR="007A54A1" w:rsidRPr="00D926FE" w:rsidRDefault="007A54A1"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6F566D3E" w14:textId="77777777" w:rsidR="007A54A1" w:rsidRPr="00D926FE" w:rsidRDefault="007A54A1"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61A9E992" w14:textId="35B3AC15" w:rsidR="007A54A1" w:rsidRPr="00D926FE" w:rsidRDefault="00B9798B" w:rsidP="00B9798B">
            <w:pPr>
              <w:jc w:val="right"/>
              <w:rPr>
                <w:rFonts w:ascii="Arial" w:hAnsi="Arial" w:cs="Arial"/>
                <w:sz w:val="14"/>
                <w:szCs w:val="14"/>
                <w:lang w:eastAsia="es-AR"/>
              </w:rPr>
            </w:pPr>
            <w:r>
              <w:rPr>
                <w:rFonts w:ascii="Arial" w:hAnsi="Arial" w:cs="Arial"/>
                <w:sz w:val="14"/>
                <w:szCs w:val="14"/>
              </w:rPr>
              <w:t>-</w:t>
            </w:r>
          </w:p>
        </w:tc>
        <w:tc>
          <w:tcPr>
            <w:tcW w:w="841" w:type="dxa"/>
            <w:tcBorders>
              <w:top w:val="nil"/>
              <w:left w:val="nil"/>
              <w:bottom w:val="nil"/>
              <w:right w:val="nil"/>
            </w:tcBorders>
            <w:shd w:val="clear" w:color="auto" w:fill="auto"/>
            <w:vAlign w:val="bottom"/>
            <w:hideMark/>
          </w:tcPr>
          <w:p w14:paraId="4E725E3B" w14:textId="3CC58E59" w:rsidR="007A54A1" w:rsidRPr="00D926FE" w:rsidRDefault="00B9798B" w:rsidP="00B9798B">
            <w:pPr>
              <w:jc w:val="right"/>
              <w:rPr>
                <w:rFonts w:ascii="Arial" w:hAnsi="Arial" w:cs="Arial"/>
                <w:sz w:val="14"/>
                <w:szCs w:val="14"/>
                <w:lang w:eastAsia="es-AR"/>
              </w:rPr>
            </w:pPr>
            <w:r>
              <w:rPr>
                <w:rFonts w:ascii="Arial" w:hAnsi="Arial" w:cs="Arial"/>
                <w:sz w:val="14"/>
                <w:szCs w:val="14"/>
              </w:rPr>
              <w:t>2.334.643</w:t>
            </w:r>
          </w:p>
        </w:tc>
        <w:tc>
          <w:tcPr>
            <w:tcW w:w="915" w:type="dxa"/>
            <w:tcBorders>
              <w:top w:val="nil"/>
              <w:left w:val="nil"/>
              <w:bottom w:val="nil"/>
              <w:right w:val="nil"/>
            </w:tcBorders>
            <w:shd w:val="clear" w:color="auto" w:fill="auto"/>
            <w:vAlign w:val="bottom"/>
            <w:hideMark/>
          </w:tcPr>
          <w:p w14:paraId="1495CF42" w14:textId="2B48D62A" w:rsidR="007A54A1" w:rsidRPr="00D926FE" w:rsidRDefault="00B9798B" w:rsidP="00B9798B">
            <w:pPr>
              <w:jc w:val="right"/>
              <w:rPr>
                <w:rFonts w:ascii="Arial" w:hAnsi="Arial" w:cs="Arial"/>
                <w:sz w:val="14"/>
                <w:szCs w:val="14"/>
                <w:lang w:eastAsia="es-AR"/>
              </w:rPr>
            </w:pPr>
            <w:r>
              <w:rPr>
                <w:rFonts w:ascii="Arial" w:hAnsi="Arial" w:cs="Arial"/>
                <w:sz w:val="14"/>
                <w:szCs w:val="14"/>
              </w:rPr>
              <w:t>-</w:t>
            </w:r>
          </w:p>
        </w:tc>
        <w:tc>
          <w:tcPr>
            <w:tcW w:w="778" w:type="dxa"/>
            <w:tcBorders>
              <w:top w:val="nil"/>
              <w:left w:val="nil"/>
              <w:bottom w:val="nil"/>
              <w:right w:val="nil"/>
            </w:tcBorders>
            <w:shd w:val="clear" w:color="auto" w:fill="auto"/>
            <w:vAlign w:val="bottom"/>
            <w:hideMark/>
          </w:tcPr>
          <w:p w14:paraId="523CD7F0" w14:textId="7A060B1E" w:rsidR="007A54A1" w:rsidRPr="00D926FE" w:rsidRDefault="007A54A1" w:rsidP="00B9798B">
            <w:pPr>
              <w:jc w:val="right"/>
              <w:rPr>
                <w:rFonts w:ascii="Arial" w:hAnsi="Arial" w:cs="Arial"/>
                <w:sz w:val="14"/>
                <w:szCs w:val="14"/>
                <w:lang w:eastAsia="es-AR"/>
              </w:rPr>
            </w:pPr>
            <w:r w:rsidRPr="00DC284D">
              <w:rPr>
                <w:rFonts w:ascii="Arial" w:hAnsi="Arial" w:cs="Arial"/>
                <w:sz w:val="14"/>
                <w:szCs w:val="14"/>
              </w:rPr>
              <w:t>-</w:t>
            </w:r>
          </w:p>
        </w:tc>
        <w:tc>
          <w:tcPr>
            <w:tcW w:w="848" w:type="dxa"/>
            <w:tcBorders>
              <w:top w:val="nil"/>
              <w:left w:val="nil"/>
              <w:bottom w:val="nil"/>
              <w:right w:val="nil"/>
            </w:tcBorders>
            <w:shd w:val="clear" w:color="auto" w:fill="auto"/>
            <w:vAlign w:val="bottom"/>
            <w:hideMark/>
          </w:tcPr>
          <w:p w14:paraId="0334FE8A" w14:textId="3102322D" w:rsidR="007A54A1" w:rsidRPr="00D926FE" w:rsidRDefault="00B9798B" w:rsidP="00B9798B">
            <w:pPr>
              <w:jc w:val="right"/>
              <w:rPr>
                <w:rFonts w:ascii="Arial" w:hAnsi="Arial" w:cs="Arial"/>
                <w:sz w:val="14"/>
                <w:szCs w:val="14"/>
                <w:lang w:eastAsia="es-AR"/>
              </w:rPr>
            </w:pPr>
            <w:r>
              <w:rPr>
                <w:rFonts w:ascii="Arial" w:hAnsi="Arial" w:cs="Arial"/>
                <w:sz w:val="14"/>
                <w:szCs w:val="14"/>
              </w:rPr>
              <w:t>-</w:t>
            </w:r>
          </w:p>
        </w:tc>
      </w:tr>
      <w:tr w:rsidR="007A54A1" w:rsidRPr="007465F0" w14:paraId="301F79D0"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0ECC345F" w14:textId="77777777" w:rsidR="007A54A1" w:rsidRPr="007465F0" w:rsidRDefault="007A54A1" w:rsidP="00B9798B">
            <w:pPr>
              <w:rPr>
                <w:rFonts w:ascii="Arial" w:hAnsi="Arial" w:cs="Arial"/>
                <w:i/>
                <w:sz w:val="14"/>
                <w:szCs w:val="14"/>
                <w:lang w:eastAsia="es-AR"/>
              </w:rPr>
            </w:pPr>
            <w:r w:rsidRPr="007465F0">
              <w:rPr>
                <w:rFonts w:ascii="Arial" w:hAnsi="Arial" w:cs="Arial"/>
                <w:i/>
                <w:sz w:val="14"/>
                <w:szCs w:val="14"/>
                <w:lang w:eastAsia="es-AR"/>
              </w:rPr>
              <w:t>Letras BCRA</w:t>
            </w:r>
          </w:p>
        </w:tc>
        <w:tc>
          <w:tcPr>
            <w:tcW w:w="709" w:type="dxa"/>
            <w:tcBorders>
              <w:top w:val="nil"/>
              <w:left w:val="nil"/>
              <w:bottom w:val="nil"/>
              <w:right w:val="nil"/>
            </w:tcBorders>
            <w:shd w:val="clear" w:color="auto" w:fill="auto"/>
            <w:vAlign w:val="bottom"/>
            <w:hideMark/>
          </w:tcPr>
          <w:p w14:paraId="4B01C8D3" w14:textId="77777777" w:rsidR="007A54A1" w:rsidRPr="007465F0" w:rsidRDefault="007A54A1" w:rsidP="00B9798B">
            <w:pPr>
              <w:ind w:firstLineChars="200" w:firstLine="280"/>
              <w:jc w:val="center"/>
              <w:rPr>
                <w:rFonts w:ascii="Arial" w:hAnsi="Arial" w:cs="Arial"/>
                <w:i/>
                <w:sz w:val="14"/>
                <w:szCs w:val="14"/>
                <w:lang w:eastAsia="es-AR"/>
              </w:rPr>
            </w:pPr>
          </w:p>
        </w:tc>
        <w:tc>
          <w:tcPr>
            <w:tcW w:w="794" w:type="dxa"/>
            <w:tcBorders>
              <w:top w:val="nil"/>
              <w:left w:val="nil"/>
              <w:bottom w:val="nil"/>
              <w:right w:val="nil"/>
            </w:tcBorders>
            <w:shd w:val="clear" w:color="auto" w:fill="auto"/>
            <w:vAlign w:val="bottom"/>
            <w:hideMark/>
          </w:tcPr>
          <w:p w14:paraId="1E8215DB" w14:textId="77777777" w:rsidR="007A54A1" w:rsidRPr="007465F0" w:rsidRDefault="007A54A1" w:rsidP="00B9798B">
            <w:pPr>
              <w:jc w:val="center"/>
              <w:rPr>
                <w:i/>
                <w:sz w:val="20"/>
                <w:lang w:eastAsia="es-AR"/>
              </w:rPr>
            </w:pPr>
          </w:p>
        </w:tc>
        <w:tc>
          <w:tcPr>
            <w:tcW w:w="794" w:type="dxa"/>
            <w:tcBorders>
              <w:top w:val="nil"/>
              <w:left w:val="nil"/>
              <w:bottom w:val="nil"/>
              <w:right w:val="nil"/>
            </w:tcBorders>
            <w:shd w:val="clear" w:color="auto" w:fill="auto"/>
            <w:vAlign w:val="bottom"/>
            <w:hideMark/>
          </w:tcPr>
          <w:p w14:paraId="7F8D25CE" w14:textId="77777777" w:rsidR="007A54A1" w:rsidRPr="007465F0" w:rsidRDefault="007A54A1" w:rsidP="00B9798B">
            <w:pPr>
              <w:jc w:val="center"/>
              <w:rPr>
                <w:i/>
                <w:sz w:val="20"/>
                <w:lang w:eastAsia="es-AR"/>
              </w:rPr>
            </w:pPr>
          </w:p>
        </w:tc>
        <w:tc>
          <w:tcPr>
            <w:tcW w:w="841" w:type="dxa"/>
            <w:tcBorders>
              <w:top w:val="nil"/>
              <w:left w:val="nil"/>
              <w:bottom w:val="nil"/>
              <w:right w:val="nil"/>
            </w:tcBorders>
            <w:shd w:val="clear" w:color="auto" w:fill="auto"/>
            <w:vAlign w:val="bottom"/>
            <w:hideMark/>
          </w:tcPr>
          <w:p w14:paraId="64F05954" w14:textId="77777777" w:rsidR="007A54A1" w:rsidRPr="007465F0" w:rsidRDefault="007A54A1" w:rsidP="00B9798B">
            <w:pPr>
              <w:jc w:val="right"/>
              <w:rPr>
                <w:i/>
                <w:sz w:val="20"/>
                <w:lang w:eastAsia="es-AR"/>
              </w:rPr>
            </w:pPr>
          </w:p>
        </w:tc>
        <w:tc>
          <w:tcPr>
            <w:tcW w:w="841" w:type="dxa"/>
            <w:tcBorders>
              <w:top w:val="nil"/>
              <w:left w:val="nil"/>
              <w:bottom w:val="nil"/>
              <w:right w:val="nil"/>
            </w:tcBorders>
            <w:shd w:val="clear" w:color="auto" w:fill="auto"/>
            <w:vAlign w:val="bottom"/>
            <w:hideMark/>
          </w:tcPr>
          <w:p w14:paraId="739FD157" w14:textId="77777777" w:rsidR="007A54A1" w:rsidRPr="007465F0" w:rsidRDefault="007A54A1" w:rsidP="00B9798B">
            <w:pPr>
              <w:jc w:val="right"/>
              <w:rPr>
                <w:i/>
                <w:sz w:val="20"/>
                <w:lang w:eastAsia="es-AR"/>
              </w:rPr>
            </w:pPr>
          </w:p>
        </w:tc>
        <w:tc>
          <w:tcPr>
            <w:tcW w:w="915" w:type="dxa"/>
            <w:tcBorders>
              <w:top w:val="nil"/>
              <w:left w:val="nil"/>
              <w:bottom w:val="nil"/>
              <w:right w:val="nil"/>
            </w:tcBorders>
            <w:shd w:val="clear" w:color="auto" w:fill="auto"/>
            <w:vAlign w:val="bottom"/>
            <w:hideMark/>
          </w:tcPr>
          <w:p w14:paraId="552EF10A" w14:textId="77777777" w:rsidR="007A54A1" w:rsidRPr="007465F0" w:rsidRDefault="007A54A1" w:rsidP="00B9798B">
            <w:pPr>
              <w:jc w:val="right"/>
              <w:rPr>
                <w:i/>
                <w:sz w:val="20"/>
                <w:lang w:eastAsia="es-AR"/>
              </w:rPr>
            </w:pPr>
          </w:p>
        </w:tc>
        <w:tc>
          <w:tcPr>
            <w:tcW w:w="778" w:type="dxa"/>
            <w:tcBorders>
              <w:top w:val="nil"/>
              <w:left w:val="nil"/>
              <w:bottom w:val="nil"/>
              <w:right w:val="nil"/>
            </w:tcBorders>
            <w:shd w:val="clear" w:color="auto" w:fill="auto"/>
            <w:vAlign w:val="bottom"/>
            <w:hideMark/>
          </w:tcPr>
          <w:p w14:paraId="04E1DEFC" w14:textId="055E36BD" w:rsidR="007A54A1" w:rsidRPr="007465F0" w:rsidRDefault="007A54A1" w:rsidP="00B9798B">
            <w:pPr>
              <w:jc w:val="right"/>
              <w:rPr>
                <w:i/>
                <w:sz w:val="20"/>
                <w:lang w:eastAsia="es-AR"/>
              </w:rPr>
            </w:pPr>
          </w:p>
        </w:tc>
        <w:tc>
          <w:tcPr>
            <w:tcW w:w="848" w:type="dxa"/>
            <w:tcBorders>
              <w:top w:val="nil"/>
              <w:left w:val="nil"/>
              <w:bottom w:val="nil"/>
              <w:right w:val="nil"/>
            </w:tcBorders>
            <w:shd w:val="clear" w:color="auto" w:fill="auto"/>
            <w:vAlign w:val="bottom"/>
            <w:hideMark/>
          </w:tcPr>
          <w:p w14:paraId="68340E8F" w14:textId="77777777" w:rsidR="007A54A1" w:rsidRPr="007465F0" w:rsidRDefault="007A54A1" w:rsidP="00B9798B">
            <w:pPr>
              <w:jc w:val="right"/>
              <w:rPr>
                <w:i/>
                <w:sz w:val="20"/>
                <w:lang w:eastAsia="es-AR"/>
              </w:rPr>
            </w:pPr>
          </w:p>
        </w:tc>
      </w:tr>
      <w:tr w:rsidR="00B9798B" w:rsidRPr="00D926FE" w14:paraId="3A7B88FC"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4290EFB0" w14:textId="6E4191A1" w:rsidR="00B9798B" w:rsidRPr="00D926FE" w:rsidRDefault="00B9798B" w:rsidP="00B9798B">
            <w:pPr>
              <w:rPr>
                <w:rFonts w:ascii="Arial" w:hAnsi="Arial" w:cs="Arial"/>
                <w:sz w:val="14"/>
                <w:szCs w:val="14"/>
                <w:lang w:eastAsia="es-AR"/>
              </w:rPr>
            </w:pPr>
            <w:r>
              <w:rPr>
                <w:rFonts w:ascii="Arial" w:hAnsi="Arial" w:cs="Arial"/>
                <w:sz w:val="14"/>
                <w:szCs w:val="14"/>
              </w:rPr>
              <w:t>Letra de liquidez del BCRA Vto.02/01/19</w:t>
            </w:r>
          </w:p>
        </w:tc>
        <w:tc>
          <w:tcPr>
            <w:tcW w:w="709" w:type="dxa"/>
            <w:tcBorders>
              <w:top w:val="nil"/>
              <w:left w:val="nil"/>
              <w:bottom w:val="nil"/>
              <w:right w:val="nil"/>
            </w:tcBorders>
            <w:shd w:val="clear" w:color="auto" w:fill="auto"/>
            <w:vAlign w:val="bottom"/>
            <w:hideMark/>
          </w:tcPr>
          <w:p w14:paraId="4D480595" w14:textId="1F231CB5" w:rsidR="00B9798B" w:rsidRPr="00D926FE" w:rsidRDefault="00B9798B" w:rsidP="00B9798B">
            <w:pPr>
              <w:jc w:val="center"/>
              <w:rPr>
                <w:rFonts w:ascii="Arial" w:hAnsi="Arial" w:cs="Arial"/>
                <w:sz w:val="14"/>
                <w:szCs w:val="14"/>
                <w:lang w:eastAsia="es-AR"/>
              </w:rPr>
            </w:pPr>
            <w:r>
              <w:rPr>
                <w:rFonts w:ascii="Arial" w:hAnsi="Arial" w:cs="Arial"/>
                <w:sz w:val="14"/>
                <w:szCs w:val="14"/>
              </w:rPr>
              <w:t>80001</w:t>
            </w:r>
          </w:p>
        </w:tc>
        <w:tc>
          <w:tcPr>
            <w:tcW w:w="794" w:type="dxa"/>
            <w:tcBorders>
              <w:top w:val="nil"/>
              <w:left w:val="nil"/>
              <w:bottom w:val="nil"/>
              <w:right w:val="nil"/>
            </w:tcBorders>
            <w:shd w:val="clear" w:color="auto" w:fill="auto"/>
            <w:vAlign w:val="bottom"/>
            <w:hideMark/>
          </w:tcPr>
          <w:p w14:paraId="5F0B0C61"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45E6CA9E" w14:textId="2749C782" w:rsidR="00B9798B" w:rsidRPr="00D926FE" w:rsidRDefault="00B9798B" w:rsidP="00B9798B">
            <w:pPr>
              <w:jc w:val="center"/>
              <w:rPr>
                <w:rFonts w:ascii="Arial" w:hAnsi="Arial" w:cs="Arial"/>
                <w:sz w:val="14"/>
                <w:szCs w:val="14"/>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hideMark/>
          </w:tcPr>
          <w:p w14:paraId="41F7E006" w14:textId="09E5F924"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5D5A0ABD" w14:textId="73AD8925" w:rsidR="00B9798B" w:rsidRPr="00D926FE" w:rsidRDefault="00B9798B" w:rsidP="00B9798B">
            <w:pPr>
              <w:jc w:val="right"/>
              <w:rPr>
                <w:rFonts w:ascii="Arial" w:hAnsi="Arial" w:cs="Arial"/>
                <w:sz w:val="14"/>
                <w:szCs w:val="14"/>
                <w:lang w:eastAsia="es-AR"/>
              </w:rPr>
            </w:pPr>
            <w:r>
              <w:rPr>
                <w:rFonts w:ascii="Arial" w:hAnsi="Arial" w:cs="Arial"/>
                <w:sz w:val="14"/>
                <w:szCs w:val="14"/>
              </w:rPr>
              <w:t>5.990.274</w:t>
            </w:r>
          </w:p>
        </w:tc>
        <w:tc>
          <w:tcPr>
            <w:tcW w:w="915" w:type="dxa"/>
            <w:tcBorders>
              <w:top w:val="nil"/>
              <w:left w:val="nil"/>
              <w:bottom w:val="nil"/>
              <w:right w:val="nil"/>
            </w:tcBorders>
            <w:shd w:val="clear" w:color="auto" w:fill="auto"/>
            <w:vAlign w:val="bottom"/>
            <w:hideMark/>
          </w:tcPr>
          <w:p w14:paraId="625AD637" w14:textId="59EC7B7C"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51D8E8DA" w14:textId="15BA0707"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0969CA1E" w14:textId="1BE30CAB"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r>
      <w:tr w:rsidR="00B9798B" w:rsidRPr="00D926FE" w14:paraId="1CF9BD7C"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30430C35" w14:textId="22D862DE" w:rsidR="00B9798B" w:rsidRPr="00D926FE" w:rsidRDefault="00B9798B" w:rsidP="00B9798B">
            <w:pPr>
              <w:rPr>
                <w:rFonts w:ascii="Arial" w:hAnsi="Arial" w:cs="Arial"/>
                <w:sz w:val="14"/>
                <w:szCs w:val="14"/>
                <w:lang w:eastAsia="es-AR"/>
              </w:rPr>
            </w:pPr>
            <w:r>
              <w:rPr>
                <w:rFonts w:ascii="Arial" w:hAnsi="Arial" w:cs="Arial"/>
                <w:sz w:val="14"/>
                <w:szCs w:val="14"/>
              </w:rPr>
              <w:t>Letra de liquidez del BCRA Vto.04/01/19</w:t>
            </w:r>
          </w:p>
        </w:tc>
        <w:tc>
          <w:tcPr>
            <w:tcW w:w="709" w:type="dxa"/>
            <w:tcBorders>
              <w:top w:val="nil"/>
              <w:left w:val="nil"/>
              <w:bottom w:val="nil"/>
              <w:right w:val="nil"/>
            </w:tcBorders>
            <w:shd w:val="clear" w:color="auto" w:fill="auto"/>
            <w:vAlign w:val="bottom"/>
            <w:hideMark/>
          </w:tcPr>
          <w:p w14:paraId="17380CDF" w14:textId="09045998" w:rsidR="00B9798B" w:rsidRPr="00D926FE" w:rsidRDefault="00B9798B" w:rsidP="00B9798B">
            <w:pPr>
              <w:jc w:val="center"/>
              <w:rPr>
                <w:rFonts w:ascii="Arial" w:hAnsi="Arial" w:cs="Arial"/>
                <w:sz w:val="14"/>
                <w:szCs w:val="14"/>
                <w:lang w:eastAsia="es-AR"/>
              </w:rPr>
            </w:pPr>
            <w:r>
              <w:rPr>
                <w:rFonts w:ascii="Arial" w:hAnsi="Arial" w:cs="Arial"/>
                <w:sz w:val="14"/>
                <w:szCs w:val="14"/>
              </w:rPr>
              <w:t>80002</w:t>
            </w:r>
          </w:p>
        </w:tc>
        <w:tc>
          <w:tcPr>
            <w:tcW w:w="794" w:type="dxa"/>
            <w:tcBorders>
              <w:top w:val="nil"/>
              <w:left w:val="nil"/>
              <w:bottom w:val="nil"/>
              <w:right w:val="nil"/>
            </w:tcBorders>
            <w:shd w:val="clear" w:color="auto" w:fill="auto"/>
            <w:vAlign w:val="bottom"/>
            <w:hideMark/>
          </w:tcPr>
          <w:p w14:paraId="5C5282A7"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646B30FC" w14:textId="69FB4BB7" w:rsidR="00B9798B" w:rsidRPr="00D926FE" w:rsidRDefault="00B9798B" w:rsidP="00B9798B">
            <w:pPr>
              <w:jc w:val="center"/>
              <w:rPr>
                <w:rFonts w:ascii="Arial" w:hAnsi="Arial" w:cs="Arial"/>
                <w:sz w:val="14"/>
                <w:szCs w:val="14"/>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hideMark/>
          </w:tcPr>
          <w:p w14:paraId="7F431819" w14:textId="29FB70B7"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4C006E25" w14:textId="178AA3E2" w:rsidR="00B9798B" w:rsidRPr="00D926FE" w:rsidRDefault="00B9798B" w:rsidP="00B9798B">
            <w:pPr>
              <w:jc w:val="right"/>
              <w:rPr>
                <w:rFonts w:ascii="Arial" w:hAnsi="Arial" w:cs="Arial"/>
                <w:sz w:val="14"/>
                <w:szCs w:val="14"/>
                <w:lang w:eastAsia="es-AR"/>
              </w:rPr>
            </w:pPr>
            <w:r>
              <w:rPr>
                <w:rFonts w:ascii="Arial" w:hAnsi="Arial" w:cs="Arial"/>
                <w:sz w:val="14"/>
                <w:szCs w:val="14"/>
              </w:rPr>
              <w:t>2.985.462</w:t>
            </w:r>
          </w:p>
        </w:tc>
        <w:tc>
          <w:tcPr>
            <w:tcW w:w="915" w:type="dxa"/>
            <w:tcBorders>
              <w:top w:val="nil"/>
              <w:left w:val="nil"/>
              <w:bottom w:val="nil"/>
              <w:right w:val="nil"/>
            </w:tcBorders>
            <w:shd w:val="clear" w:color="auto" w:fill="auto"/>
            <w:vAlign w:val="bottom"/>
            <w:hideMark/>
          </w:tcPr>
          <w:p w14:paraId="478E4D0B" w14:textId="590C58B1"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392E8367" w14:textId="048D7D9C"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4873C92E" w14:textId="1E7D215B"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r>
      <w:tr w:rsidR="00B9798B" w:rsidRPr="00D926FE" w14:paraId="41729710"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33E6F45F" w14:textId="51624EC8" w:rsidR="00B9798B" w:rsidRPr="00D926FE" w:rsidRDefault="00B9798B" w:rsidP="00B9798B">
            <w:pPr>
              <w:rPr>
                <w:rFonts w:ascii="Arial" w:hAnsi="Arial" w:cs="Arial"/>
                <w:sz w:val="14"/>
                <w:szCs w:val="14"/>
                <w:lang w:eastAsia="es-AR"/>
              </w:rPr>
            </w:pPr>
            <w:r>
              <w:rPr>
                <w:rFonts w:ascii="Arial" w:hAnsi="Arial" w:cs="Arial"/>
                <w:sz w:val="14"/>
                <w:szCs w:val="14"/>
              </w:rPr>
              <w:t>Letra de liquidez del BCRA Vto.08/01/19</w:t>
            </w:r>
          </w:p>
        </w:tc>
        <w:tc>
          <w:tcPr>
            <w:tcW w:w="709" w:type="dxa"/>
            <w:tcBorders>
              <w:top w:val="nil"/>
              <w:left w:val="nil"/>
              <w:bottom w:val="nil"/>
              <w:right w:val="nil"/>
            </w:tcBorders>
            <w:shd w:val="clear" w:color="auto" w:fill="auto"/>
            <w:vAlign w:val="bottom"/>
            <w:hideMark/>
          </w:tcPr>
          <w:p w14:paraId="3E39AE70" w14:textId="7F1E3322" w:rsidR="00B9798B" w:rsidRPr="00D926FE" w:rsidRDefault="00B9798B" w:rsidP="00B9798B">
            <w:pPr>
              <w:jc w:val="center"/>
              <w:rPr>
                <w:rFonts w:ascii="Arial" w:hAnsi="Arial" w:cs="Arial"/>
                <w:sz w:val="14"/>
                <w:szCs w:val="14"/>
                <w:lang w:eastAsia="es-AR"/>
              </w:rPr>
            </w:pPr>
            <w:r>
              <w:rPr>
                <w:rFonts w:ascii="Arial" w:hAnsi="Arial" w:cs="Arial"/>
                <w:sz w:val="14"/>
                <w:szCs w:val="14"/>
              </w:rPr>
              <w:t>80003</w:t>
            </w:r>
          </w:p>
        </w:tc>
        <w:tc>
          <w:tcPr>
            <w:tcW w:w="794" w:type="dxa"/>
            <w:tcBorders>
              <w:top w:val="nil"/>
              <w:left w:val="nil"/>
              <w:bottom w:val="nil"/>
              <w:right w:val="nil"/>
            </w:tcBorders>
            <w:shd w:val="clear" w:color="auto" w:fill="auto"/>
            <w:vAlign w:val="bottom"/>
            <w:hideMark/>
          </w:tcPr>
          <w:p w14:paraId="45E5D4EE"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1D268AED" w14:textId="49D542FC" w:rsidR="00B9798B" w:rsidRPr="00D926FE" w:rsidRDefault="00B9798B" w:rsidP="00B9798B">
            <w:pPr>
              <w:jc w:val="center"/>
              <w:rPr>
                <w:rFonts w:ascii="Arial" w:hAnsi="Arial" w:cs="Arial"/>
                <w:sz w:val="14"/>
                <w:szCs w:val="14"/>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hideMark/>
          </w:tcPr>
          <w:p w14:paraId="6AAC5F1E" w14:textId="28A11B02"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71C9E480" w14:textId="5CF8047F" w:rsidR="00B9798B" w:rsidRPr="00D926FE" w:rsidRDefault="00B9798B" w:rsidP="00B9798B">
            <w:pPr>
              <w:jc w:val="right"/>
              <w:rPr>
                <w:rFonts w:ascii="Arial" w:hAnsi="Arial" w:cs="Arial"/>
                <w:sz w:val="14"/>
                <w:szCs w:val="14"/>
                <w:lang w:eastAsia="es-AR"/>
              </w:rPr>
            </w:pPr>
            <w:r>
              <w:rPr>
                <w:rFonts w:ascii="Arial" w:hAnsi="Arial" w:cs="Arial"/>
                <w:sz w:val="14"/>
                <w:szCs w:val="14"/>
              </w:rPr>
              <w:t>988.764</w:t>
            </w:r>
          </w:p>
        </w:tc>
        <w:tc>
          <w:tcPr>
            <w:tcW w:w="915" w:type="dxa"/>
            <w:tcBorders>
              <w:top w:val="nil"/>
              <w:left w:val="nil"/>
              <w:bottom w:val="nil"/>
              <w:right w:val="nil"/>
            </w:tcBorders>
            <w:shd w:val="clear" w:color="auto" w:fill="auto"/>
            <w:vAlign w:val="bottom"/>
            <w:hideMark/>
          </w:tcPr>
          <w:p w14:paraId="69500433" w14:textId="481B3B23"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3DBE028D" w14:textId="5D93FFFD"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3D74B5E3" w14:textId="058F2812"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r>
      <w:tr w:rsidR="00B9798B" w:rsidRPr="00D926FE" w14:paraId="02204D07"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641A133B" w14:textId="1C705B61" w:rsidR="00B9798B" w:rsidRPr="00D926FE" w:rsidRDefault="00B9798B" w:rsidP="00B9798B">
            <w:pPr>
              <w:rPr>
                <w:rFonts w:ascii="Arial" w:hAnsi="Arial" w:cs="Arial"/>
                <w:sz w:val="14"/>
                <w:szCs w:val="14"/>
                <w:lang w:eastAsia="es-AR"/>
              </w:rPr>
            </w:pPr>
            <w:r>
              <w:rPr>
                <w:rFonts w:ascii="Arial" w:hAnsi="Arial" w:cs="Arial"/>
                <w:sz w:val="14"/>
                <w:szCs w:val="14"/>
              </w:rPr>
              <w:t>Letra de liquidez del BCRA Vto.07/01/19</w:t>
            </w:r>
          </w:p>
        </w:tc>
        <w:tc>
          <w:tcPr>
            <w:tcW w:w="709" w:type="dxa"/>
            <w:tcBorders>
              <w:top w:val="nil"/>
              <w:left w:val="nil"/>
              <w:bottom w:val="nil"/>
              <w:right w:val="nil"/>
            </w:tcBorders>
            <w:shd w:val="clear" w:color="auto" w:fill="auto"/>
            <w:vAlign w:val="bottom"/>
            <w:hideMark/>
          </w:tcPr>
          <w:p w14:paraId="5760B724" w14:textId="2FED6885" w:rsidR="00B9798B" w:rsidRPr="00D926FE" w:rsidRDefault="00B9798B" w:rsidP="00B9798B">
            <w:pPr>
              <w:jc w:val="center"/>
              <w:rPr>
                <w:rFonts w:ascii="Arial" w:hAnsi="Arial" w:cs="Arial"/>
                <w:sz w:val="14"/>
                <w:szCs w:val="14"/>
                <w:lang w:eastAsia="es-AR"/>
              </w:rPr>
            </w:pPr>
            <w:r>
              <w:rPr>
                <w:rFonts w:ascii="Arial" w:hAnsi="Arial" w:cs="Arial"/>
                <w:sz w:val="14"/>
                <w:szCs w:val="14"/>
              </w:rPr>
              <w:t>80004</w:t>
            </w:r>
          </w:p>
        </w:tc>
        <w:tc>
          <w:tcPr>
            <w:tcW w:w="794" w:type="dxa"/>
            <w:tcBorders>
              <w:top w:val="nil"/>
              <w:left w:val="nil"/>
              <w:bottom w:val="nil"/>
              <w:right w:val="nil"/>
            </w:tcBorders>
            <w:shd w:val="clear" w:color="auto" w:fill="auto"/>
            <w:vAlign w:val="bottom"/>
            <w:hideMark/>
          </w:tcPr>
          <w:p w14:paraId="345ED1D2"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34A434CA" w14:textId="4EA430B3" w:rsidR="00B9798B" w:rsidRPr="00D926FE" w:rsidRDefault="00B9798B" w:rsidP="00B9798B">
            <w:pPr>
              <w:jc w:val="center"/>
              <w:rPr>
                <w:rFonts w:ascii="Arial" w:hAnsi="Arial" w:cs="Arial"/>
                <w:sz w:val="14"/>
                <w:szCs w:val="14"/>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hideMark/>
          </w:tcPr>
          <w:p w14:paraId="1A89F882" w14:textId="2408D059"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3A0F65E0" w14:textId="4DC5C81F" w:rsidR="00B9798B" w:rsidRPr="00D926FE" w:rsidRDefault="00B9798B" w:rsidP="00B9798B">
            <w:pPr>
              <w:jc w:val="right"/>
              <w:rPr>
                <w:rFonts w:ascii="Arial" w:hAnsi="Arial" w:cs="Arial"/>
                <w:sz w:val="14"/>
                <w:szCs w:val="14"/>
                <w:lang w:eastAsia="es-AR"/>
              </w:rPr>
            </w:pPr>
            <w:r>
              <w:rPr>
                <w:rFonts w:ascii="Arial" w:hAnsi="Arial" w:cs="Arial"/>
                <w:sz w:val="14"/>
                <w:szCs w:val="14"/>
              </w:rPr>
              <w:t>742.766</w:t>
            </w:r>
          </w:p>
        </w:tc>
        <w:tc>
          <w:tcPr>
            <w:tcW w:w="915" w:type="dxa"/>
            <w:tcBorders>
              <w:top w:val="nil"/>
              <w:left w:val="nil"/>
              <w:bottom w:val="nil"/>
              <w:right w:val="nil"/>
            </w:tcBorders>
            <w:shd w:val="clear" w:color="auto" w:fill="auto"/>
            <w:vAlign w:val="bottom"/>
            <w:hideMark/>
          </w:tcPr>
          <w:p w14:paraId="7BC40342" w14:textId="557D15FD"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29BE06B8" w14:textId="26E43B34"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7A14918A" w14:textId="0A8BFA9E"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r>
      <w:tr w:rsidR="00B9798B" w:rsidRPr="00D926FE" w14:paraId="5F0AA09C"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2C37BC9E" w14:textId="0227582C" w:rsidR="00B9798B" w:rsidRPr="00D926FE" w:rsidRDefault="00B9798B" w:rsidP="00B9798B">
            <w:pPr>
              <w:rPr>
                <w:rFonts w:ascii="Arial" w:hAnsi="Arial" w:cs="Arial"/>
                <w:sz w:val="14"/>
                <w:szCs w:val="14"/>
                <w:lang w:eastAsia="es-AR"/>
              </w:rPr>
            </w:pPr>
            <w:r>
              <w:rPr>
                <w:rFonts w:ascii="Arial" w:hAnsi="Arial" w:cs="Arial"/>
                <w:sz w:val="14"/>
                <w:szCs w:val="14"/>
              </w:rPr>
              <w:t>Letra de liquidez del BCRA Vto.03/01/19</w:t>
            </w:r>
          </w:p>
        </w:tc>
        <w:tc>
          <w:tcPr>
            <w:tcW w:w="709" w:type="dxa"/>
            <w:tcBorders>
              <w:top w:val="nil"/>
              <w:left w:val="nil"/>
              <w:bottom w:val="nil"/>
              <w:right w:val="nil"/>
            </w:tcBorders>
            <w:shd w:val="clear" w:color="auto" w:fill="auto"/>
            <w:vAlign w:val="bottom"/>
            <w:hideMark/>
          </w:tcPr>
          <w:p w14:paraId="714BC048" w14:textId="346C488A" w:rsidR="00B9798B" w:rsidRPr="00D926FE" w:rsidRDefault="00B9798B" w:rsidP="00B9798B">
            <w:pPr>
              <w:jc w:val="center"/>
              <w:rPr>
                <w:rFonts w:ascii="Arial" w:hAnsi="Arial" w:cs="Arial"/>
                <w:sz w:val="14"/>
                <w:szCs w:val="14"/>
                <w:lang w:eastAsia="es-AR"/>
              </w:rPr>
            </w:pPr>
            <w:r>
              <w:rPr>
                <w:rFonts w:ascii="Arial" w:hAnsi="Arial" w:cs="Arial"/>
                <w:sz w:val="14"/>
                <w:szCs w:val="14"/>
              </w:rPr>
              <w:t>80005</w:t>
            </w:r>
          </w:p>
        </w:tc>
        <w:tc>
          <w:tcPr>
            <w:tcW w:w="794" w:type="dxa"/>
            <w:tcBorders>
              <w:top w:val="nil"/>
              <w:left w:val="nil"/>
              <w:bottom w:val="nil"/>
              <w:right w:val="nil"/>
            </w:tcBorders>
            <w:shd w:val="clear" w:color="auto" w:fill="auto"/>
            <w:vAlign w:val="bottom"/>
            <w:hideMark/>
          </w:tcPr>
          <w:p w14:paraId="021C748F"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18B042BB" w14:textId="43518CB9" w:rsidR="00B9798B" w:rsidRPr="00D926FE" w:rsidRDefault="00B9798B" w:rsidP="00B9798B">
            <w:pPr>
              <w:jc w:val="center"/>
              <w:rPr>
                <w:rFonts w:ascii="Arial" w:hAnsi="Arial" w:cs="Arial"/>
                <w:sz w:val="14"/>
                <w:szCs w:val="14"/>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hideMark/>
          </w:tcPr>
          <w:p w14:paraId="3CFCBCEE" w14:textId="020990A6"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46E8BB65" w14:textId="2289B773" w:rsidR="00B9798B" w:rsidRPr="00D926FE" w:rsidRDefault="00B9798B" w:rsidP="00B9798B">
            <w:pPr>
              <w:jc w:val="right"/>
              <w:rPr>
                <w:rFonts w:ascii="Arial" w:hAnsi="Arial" w:cs="Arial"/>
                <w:sz w:val="14"/>
                <w:szCs w:val="14"/>
                <w:lang w:eastAsia="es-AR"/>
              </w:rPr>
            </w:pPr>
            <w:r>
              <w:rPr>
                <w:rFonts w:ascii="Arial" w:hAnsi="Arial" w:cs="Arial"/>
                <w:sz w:val="14"/>
                <w:szCs w:val="14"/>
              </w:rPr>
              <w:t>598.058</w:t>
            </w:r>
          </w:p>
        </w:tc>
        <w:tc>
          <w:tcPr>
            <w:tcW w:w="915" w:type="dxa"/>
            <w:tcBorders>
              <w:top w:val="nil"/>
              <w:left w:val="nil"/>
              <w:bottom w:val="nil"/>
              <w:right w:val="nil"/>
            </w:tcBorders>
            <w:shd w:val="clear" w:color="auto" w:fill="auto"/>
            <w:vAlign w:val="bottom"/>
            <w:hideMark/>
          </w:tcPr>
          <w:p w14:paraId="6969EFB9" w14:textId="396CD422"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201E8AD7" w14:textId="31C13269"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4EC10C88" w14:textId="314D4F3D"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r>
      <w:tr w:rsidR="007465F0" w:rsidRPr="00D926FE" w14:paraId="069B5DD8" w14:textId="77777777" w:rsidTr="00B9798B">
        <w:trPr>
          <w:gridAfter w:val="1"/>
          <w:wAfter w:w="16" w:type="dxa"/>
          <w:trHeight w:val="92"/>
        </w:trPr>
        <w:tc>
          <w:tcPr>
            <w:tcW w:w="3189" w:type="dxa"/>
            <w:tcBorders>
              <w:top w:val="nil"/>
              <w:left w:val="nil"/>
              <w:bottom w:val="nil"/>
              <w:right w:val="nil"/>
            </w:tcBorders>
            <w:shd w:val="clear" w:color="auto" w:fill="auto"/>
            <w:vAlign w:val="bottom"/>
            <w:hideMark/>
          </w:tcPr>
          <w:p w14:paraId="4F3D1678" w14:textId="77777777" w:rsidR="007465F0" w:rsidRPr="00D926FE" w:rsidRDefault="007465F0" w:rsidP="00B9798B">
            <w:pPr>
              <w:rPr>
                <w:rFonts w:ascii="Arial" w:hAnsi="Arial" w:cs="Arial"/>
                <w:sz w:val="14"/>
                <w:szCs w:val="14"/>
                <w:lang w:eastAsia="es-AR"/>
              </w:rPr>
            </w:pPr>
          </w:p>
        </w:tc>
        <w:tc>
          <w:tcPr>
            <w:tcW w:w="709" w:type="dxa"/>
            <w:tcBorders>
              <w:top w:val="nil"/>
              <w:left w:val="nil"/>
              <w:bottom w:val="nil"/>
              <w:right w:val="nil"/>
            </w:tcBorders>
            <w:shd w:val="clear" w:color="auto" w:fill="auto"/>
            <w:vAlign w:val="bottom"/>
            <w:hideMark/>
          </w:tcPr>
          <w:p w14:paraId="7593D36E" w14:textId="77777777" w:rsidR="007465F0" w:rsidRPr="00D926FE" w:rsidRDefault="007465F0" w:rsidP="00B9798B">
            <w:pPr>
              <w:ind w:firstLineChars="200" w:firstLine="400"/>
              <w:jc w:val="center"/>
              <w:rPr>
                <w:sz w:val="20"/>
                <w:lang w:eastAsia="es-AR"/>
              </w:rPr>
            </w:pPr>
          </w:p>
        </w:tc>
        <w:tc>
          <w:tcPr>
            <w:tcW w:w="794" w:type="dxa"/>
            <w:tcBorders>
              <w:top w:val="nil"/>
              <w:left w:val="nil"/>
              <w:bottom w:val="nil"/>
              <w:right w:val="nil"/>
            </w:tcBorders>
            <w:shd w:val="clear" w:color="auto" w:fill="auto"/>
            <w:vAlign w:val="bottom"/>
            <w:hideMark/>
          </w:tcPr>
          <w:p w14:paraId="43231AFF"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34CF822D"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17C1D483" w14:textId="77777777" w:rsidR="007465F0" w:rsidRPr="00D926FE" w:rsidRDefault="007465F0" w:rsidP="00B9798B">
            <w:pPr>
              <w:jc w:val="right"/>
              <w:rPr>
                <w:sz w:val="20"/>
                <w:lang w:eastAsia="es-AR"/>
              </w:rPr>
            </w:pPr>
          </w:p>
        </w:tc>
        <w:tc>
          <w:tcPr>
            <w:tcW w:w="841" w:type="dxa"/>
            <w:tcBorders>
              <w:top w:val="nil"/>
              <w:left w:val="nil"/>
              <w:bottom w:val="nil"/>
              <w:right w:val="nil"/>
            </w:tcBorders>
            <w:shd w:val="clear" w:color="auto" w:fill="auto"/>
            <w:vAlign w:val="bottom"/>
            <w:hideMark/>
          </w:tcPr>
          <w:p w14:paraId="0202691B" w14:textId="77777777" w:rsidR="007465F0" w:rsidRPr="00D926FE" w:rsidRDefault="007465F0" w:rsidP="00B9798B">
            <w:pPr>
              <w:jc w:val="right"/>
              <w:rPr>
                <w:sz w:val="20"/>
                <w:lang w:eastAsia="es-AR"/>
              </w:rPr>
            </w:pPr>
          </w:p>
        </w:tc>
        <w:tc>
          <w:tcPr>
            <w:tcW w:w="915" w:type="dxa"/>
            <w:tcBorders>
              <w:top w:val="nil"/>
              <w:left w:val="nil"/>
              <w:bottom w:val="nil"/>
              <w:right w:val="nil"/>
            </w:tcBorders>
            <w:shd w:val="clear" w:color="auto" w:fill="auto"/>
            <w:vAlign w:val="bottom"/>
            <w:hideMark/>
          </w:tcPr>
          <w:p w14:paraId="3186D72C" w14:textId="77777777" w:rsidR="007465F0" w:rsidRPr="00D926FE" w:rsidRDefault="007465F0" w:rsidP="00B9798B">
            <w:pPr>
              <w:jc w:val="right"/>
              <w:rPr>
                <w:sz w:val="20"/>
                <w:lang w:eastAsia="es-AR"/>
              </w:rPr>
            </w:pPr>
          </w:p>
        </w:tc>
        <w:tc>
          <w:tcPr>
            <w:tcW w:w="778" w:type="dxa"/>
            <w:tcBorders>
              <w:top w:val="nil"/>
              <w:left w:val="nil"/>
              <w:bottom w:val="nil"/>
              <w:right w:val="nil"/>
            </w:tcBorders>
            <w:shd w:val="clear" w:color="auto" w:fill="auto"/>
            <w:vAlign w:val="bottom"/>
            <w:hideMark/>
          </w:tcPr>
          <w:p w14:paraId="1CF98CD4" w14:textId="77777777" w:rsidR="007465F0" w:rsidRPr="00D926FE" w:rsidRDefault="007465F0" w:rsidP="00B9798B">
            <w:pPr>
              <w:jc w:val="right"/>
              <w:rPr>
                <w:sz w:val="20"/>
                <w:lang w:eastAsia="es-AR"/>
              </w:rPr>
            </w:pPr>
          </w:p>
        </w:tc>
        <w:tc>
          <w:tcPr>
            <w:tcW w:w="848" w:type="dxa"/>
            <w:tcBorders>
              <w:top w:val="nil"/>
              <w:left w:val="nil"/>
              <w:bottom w:val="nil"/>
              <w:right w:val="nil"/>
            </w:tcBorders>
            <w:shd w:val="clear" w:color="auto" w:fill="auto"/>
            <w:vAlign w:val="bottom"/>
            <w:hideMark/>
          </w:tcPr>
          <w:p w14:paraId="2C9C6354" w14:textId="77777777" w:rsidR="007465F0" w:rsidRPr="00D926FE" w:rsidRDefault="007465F0" w:rsidP="00B9798B">
            <w:pPr>
              <w:jc w:val="right"/>
              <w:rPr>
                <w:sz w:val="20"/>
                <w:lang w:eastAsia="es-AR"/>
              </w:rPr>
            </w:pPr>
          </w:p>
        </w:tc>
      </w:tr>
      <w:tr w:rsidR="007465F0" w:rsidRPr="007465F0" w14:paraId="091FA88A"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116BD028" w14:textId="77777777" w:rsidR="007465F0" w:rsidRPr="007465F0" w:rsidRDefault="007465F0" w:rsidP="00B9798B">
            <w:pPr>
              <w:rPr>
                <w:rFonts w:ascii="Arial" w:hAnsi="Arial" w:cs="Arial"/>
                <w:i/>
                <w:sz w:val="14"/>
                <w:szCs w:val="14"/>
                <w:lang w:eastAsia="es-AR"/>
              </w:rPr>
            </w:pPr>
            <w:r w:rsidRPr="007465F0">
              <w:rPr>
                <w:rFonts w:ascii="Arial" w:hAnsi="Arial" w:cs="Arial"/>
                <w:i/>
                <w:sz w:val="14"/>
                <w:szCs w:val="14"/>
                <w:lang w:eastAsia="es-AR"/>
              </w:rPr>
              <w:t>Títulos privados</w:t>
            </w:r>
          </w:p>
        </w:tc>
        <w:tc>
          <w:tcPr>
            <w:tcW w:w="709" w:type="dxa"/>
            <w:tcBorders>
              <w:top w:val="nil"/>
              <w:left w:val="nil"/>
              <w:bottom w:val="nil"/>
              <w:right w:val="nil"/>
            </w:tcBorders>
            <w:shd w:val="clear" w:color="auto" w:fill="auto"/>
            <w:vAlign w:val="bottom"/>
            <w:hideMark/>
          </w:tcPr>
          <w:p w14:paraId="701D5A35" w14:textId="77777777" w:rsidR="007465F0" w:rsidRPr="007465F0" w:rsidRDefault="007465F0" w:rsidP="00B9798B">
            <w:pPr>
              <w:ind w:firstLineChars="2000" w:firstLine="2800"/>
              <w:jc w:val="center"/>
              <w:rPr>
                <w:rFonts w:ascii="Arial" w:hAnsi="Arial" w:cs="Arial"/>
                <w:i/>
                <w:sz w:val="14"/>
                <w:szCs w:val="14"/>
                <w:lang w:eastAsia="es-AR"/>
              </w:rPr>
            </w:pPr>
          </w:p>
        </w:tc>
        <w:tc>
          <w:tcPr>
            <w:tcW w:w="794" w:type="dxa"/>
            <w:tcBorders>
              <w:top w:val="nil"/>
              <w:left w:val="nil"/>
              <w:bottom w:val="nil"/>
              <w:right w:val="nil"/>
            </w:tcBorders>
            <w:shd w:val="clear" w:color="auto" w:fill="auto"/>
            <w:vAlign w:val="bottom"/>
            <w:hideMark/>
          </w:tcPr>
          <w:p w14:paraId="311A8EA1" w14:textId="77777777" w:rsidR="007465F0" w:rsidRPr="007465F0" w:rsidRDefault="007465F0" w:rsidP="00B9798B">
            <w:pPr>
              <w:jc w:val="center"/>
              <w:rPr>
                <w:i/>
                <w:sz w:val="20"/>
                <w:lang w:eastAsia="es-AR"/>
              </w:rPr>
            </w:pPr>
          </w:p>
        </w:tc>
        <w:tc>
          <w:tcPr>
            <w:tcW w:w="794" w:type="dxa"/>
            <w:tcBorders>
              <w:top w:val="nil"/>
              <w:left w:val="nil"/>
              <w:bottom w:val="nil"/>
              <w:right w:val="nil"/>
            </w:tcBorders>
            <w:shd w:val="clear" w:color="auto" w:fill="auto"/>
            <w:vAlign w:val="bottom"/>
            <w:hideMark/>
          </w:tcPr>
          <w:p w14:paraId="62DE7534" w14:textId="77777777" w:rsidR="007465F0" w:rsidRPr="007465F0" w:rsidRDefault="007465F0" w:rsidP="00B9798B">
            <w:pPr>
              <w:jc w:val="center"/>
              <w:rPr>
                <w:i/>
                <w:sz w:val="20"/>
                <w:lang w:eastAsia="es-AR"/>
              </w:rPr>
            </w:pPr>
          </w:p>
        </w:tc>
        <w:tc>
          <w:tcPr>
            <w:tcW w:w="841" w:type="dxa"/>
            <w:tcBorders>
              <w:top w:val="nil"/>
              <w:left w:val="nil"/>
              <w:bottom w:val="nil"/>
              <w:right w:val="nil"/>
            </w:tcBorders>
            <w:shd w:val="clear" w:color="auto" w:fill="auto"/>
            <w:vAlign w:val="bottom"/>
            <w:hideMark/>
          </w:tcPr>
          <w:p w14:paraId="0B432702" w14:textId="77777777" w:rsidR="007465F0" w:rsidRPr="007465F0" w:rsidRDefault="007465F0" w:rsidP="00B9798B">
            <w:pPr>
              <w:jc w:val="right"/>
              <w:rPr>
                <w:i/>
                <w:sz w:val="20"/>
                <w:lang w:eastAsia="es-AR"/>
              </w:rPr>
            </w:pPr>
          </w:p>
        </w:tc>
        <w:tc>
          <w:tcPr>
            <w:tcW w:w="841" w:type="dxa"/>
            <w:tcBorders>
              <w:top w:val="nil"/>
              <w:left w:val="nil"/>
              <w:bottom w:val="nil"/>
              <w:right w:val="nil"/>
            </w:tcBorders>
            <w:shd w:val="clear" w:color="auto" w:fill="auto"/>
            <w:vAlign w:val="bottom"/>
            <w:hideMark/>
          </w:tcPr>
          <w:p w14:paraId="2A3C2669" w14:textId="77777777" w:rsidR="007465F0" w:rsidRPr="007465F0" w:rsidRDefault="007465F0" w:rsidP="00B9798B">
            <w:pPr>
              <w:jc w:val="right"/>
              <w:rPr>
                <w:i/>
                <w:sz w:val="20"/>
                <w:lang w:eastAsia="es-AR"/>
              </w:rPr>
            </w:pPr>
          </w:p>
        </w:tc>
        <w:tc>
          <w:tcPr>
            <w:tcW w:w="915" w:type="dxa"/>
            <w:tcBorders>
              <w:top w:val="nil"/>
              <w:left w:val="nil"/>
              <w:bottom w:val="nil"/>
              <w:right w:val="nil"/>
            </w:tcBorders>
            <w:shd w:val="clear" w:color="auto" w:fill="auto"/>
            <w:vAlign w:val="bottom"/>
            <w:hideMark/>
          </w:tcPr>
          <w:p w14:paraId="609A43D6" w14:textId="77777777" w:rsidR="007465F0" w:rsidRPr="007465F0" w:rsidRDefault="007465F0" w:rsidP="00B9798B">
            <w:pPr>
              <w:jc w:val="right"/>
              <w:rPr>
                <w:i/>
                <w:sz w:val="20"/>
                <w:lang w:eastAsia="es-AR"/>
              </w:rPr>
            </w:pPr>
          </w:p>
        </w:tc>
        <w:tc>
          <w:tcPr>
            <w:tcW w:w="778" w:type="dxa"/>
            <w:tcBorders>
              <w:top w:val="nil"/>
              <w:left w:val="nil"/>
              <w:bottom w:val="nil"/>
              <w:right w:val="nil"/>
            </w:tcBorders>
            <w:shd w:val="clear" w:color="auto" w:fill="auto"/>
            <w:vAlign w:val="bottom"/>
            <w:hideMark/>
          </w:tcPr>
          <w:p w14:paraId="192963B4" w14:textId="77777777" w:rsidR="007465F0" w:rsidRPr="007465F0" w:rsidRDefault="007465F0" w:rsidP="00B9798B">
            <w:pPr>
              <w:jc w:val="right"/>
              <w:rPr>
                <w:i/>
                <w:sz w:val="20"/>
                <w:lang w:eastAsia="es-AR"/>
              </w:rPr>
            </w:pPr>
          </w:p>
        </w:tc>
        <w:tc>
          <w:tcPr>
            <w:tcW w:w="848" w:type="dxa"/>
            <w:tcBorders>
              <w:top w:val="nil"/>
              <w:left w:val="nil"/>
              <w:bottom w:val="nil"/>
              <w:right w:val="nil"/>
            </w:tcBorders>
            <w:shd w:val="clear" w:color="auto" w:fill="auto"/>
            <w:vAlign w:val="bottom"/>
            <w:hideMark/>
          </w:tcPr>
          <w:p w14:paraId="63E2A6A3" w14:textId="77777777" w:rsidR="007465F0" w:rsidRPr="007465F0" w:rsidRDefault="007465F0" w:rsidP="00B9798B">
            <w:pPr>
              <w:jc w:val="right"/>
              <w:rPr>
                <w:i/>
                <w:sz w:val="20"/>
                <w:lang w:eastAsia="es-AR"/>
              </w:rPr>
            </w:pPr>
          </w:p>
        </w:tc>
      </w:tr>
      <w:tr w:rsidR="00B9798B" w:rsidRPr="00D926FE" w14:paraId="74CBCBE9"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1E916A23" w14:textId="65E1194E" w:rsidR="00B9798B" w:rsidRPr="00D926FE" w:rsidRDefault="00B9798B" w:rsidP="00B9798B">
            <w:pPr>
              <w:rPr>
                <w:rFonts w:ascii="Arial" w:hAnsi="Arial" w:cs="Arial"/>
                <w:sz w:val="14"/>
                <w:szCs w:val="14"/>
                <w:lang w:eastAsia="es-AR"/>
              </w:rPr>
            </w:pPr>
            <w:r>
              <w:rPr>
                <w:rFonts w:ascii="Arial" w:hAnsi="Arial" w:cs="Arial"/>
                <w:sz w:val="14"/>
                <w:szCs w:val="14"/>
              </w:rPr>
              <w:t>Vcp Pyme Catalinas Coop.3 V12/04/20 $ CG</w:t>
            </w:r>
          </w:p>
        </w:tc>
        <w:tc>
          <w:tcPr>
            <w:tcW w:w="709" w:type="dxa"/>
            <w:tcBorders>
              <w:top w:val="nil"/>
              <w:left w:val="nil"/>
              <w:bottom w:val="nil"/>
              <w:right w:val="nil"/>
            </w:tcBorders>
            <w:shd w:val="clear" w:color="auto" w:fill="auto"/>
            <w:vAlign w:val="bottom"/>
            <w:hideMark/>
          </w:tcPr>
          <w:p w14:paraId="4BA17670" w14:textId="6DF5B8A2" w:rsidR="00B9798B" w:rsidRPr="00D926FE" w:rsidRDefault="00B9798B" w:rsidP="00B9798B">
            <w:pPr>
              <w:jc w:val="center"/>
              <w:rPr>
                <w:rFonts w:ascii="Arial" w:hAnsi="Arial" w:cs="Arial"/>
                <w:sz w:val="14"/>
                <w:szCs w:val="14"/>
                <w:lang w:eastAsia="es-AR"/>
              </w:rPr>
            </w:pPr>
            <w:r>
              <w:rPr>
                <w:rFonts w:ascii="Arial" w:hAnsi="Arial" w:cs="Arial"/>
                <w:sz w:val="14"/>
                <w:szCs w:val="14"/>
              </w:rPr>
              <w:t>54165</w:t>
            </w:r>
          </w:p>
        </w:tc>
        <w:tc>
          <w:tcPr>
            <w:tcW w:w="794" w:type="dxa"/>
            <w:tcBorders>
              <w:top w:val="nil"/>
              <w:left w:val="nil"/>
              <w:bottom w:val="nil"/>
              <w:right w:val="nil"/>
            </w:tcBorders>
            <w:shd w:val="clear" w:color="auto" w:fill="auto"/>
            <w:vAlign w:val="bottom"/>
            <w:hideMark/>
          </w:tcPr>
          <w:p w14:paraId="0C498999"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7C305D10" w14:textId="326F790B" w:rsidR="00B9798B" w:rsidRPr="00D926FE" w:rsidRDefault="008D5E79" w:rsidP="00B9798B">
            <w:pPr>
              <w:jc w:val="center"/>
              <w:rPr>
                <w:rFonts w:ascii="Arial" w:hAnsi="Arial" w:cs="Arial"/>
                <w:sz w:val="14"/>
                <w:szCs w:val="14"/>
                <w:lang w:eastAsia="es-AR"/>
              </w:rPr>
            </w:pPr>
            <w:r>
              <w:rPr>
                <w:rFonts w:ascii="Arial" w:hAnsi="Arial" w:cs="Arial"/>
                <w:sz w:val="14"/>
                <w:szCs w:val="14"/>
              </w:rPr>
              <w:t>3</w:t>
            </w:r>
          </w:p>
        </w:tc>
        <w:tc>
          <w:tcPr>
            <w:tcW w:w="841" w:type="dxa"/>
            <w:tcBorders>
              <w:top w:val="nil"/>
              <w:left w:val="nil"/>
              <w:bottom w:val="nil"/>
              <w:right w:val="nil"/>
            </w:tcBorders>
            <w:shd w:val="clear" w:color="auto" w:fill="auto"/>
            <w:vAlign w:val="bottom"/>
            <w:hideMark/>
          </w:tcPr>
          <w:p w14:paraId="666F2EA3" w14:textId="44321878" w:rsidR="00B9798B" w:rsidRPr="00D926FE" w:rsidRDefault="00B9798B" w:rsidP="00B9798B">
            <w:pPr>
              <w:jc w:val="right"/>
              <w:rPr>
                <w:rFonts w:ascii="Arial" w:hAnsi="Arial" w:cs="Arial"/>
                <w:sz w:val="14"/>
                <w:szCs w:val="14"/>
                <w:lang w:eastAsia="es-AR"/>
              </w:rPr>
            </w:pPr>
            <w:r>
              <w:rPr>
                <w:rFonts w:ascii="Arial" w:hAnsi="Arial" w:cs="Arial"/>
                <w:sz w:val="14"/>
                <w:szCs w:val="14"/>
              </w:rPr>
              <w:t>2.593</w:t>
            </w:r>
          </w:p>
        </w:tc>
        <w:tc>
          <w:tcPr>
            <w:tcW w:w="841" w:type="dxa"/>
            <w:tcBorders>
              <w:top w:val="nil"/>
              <w:left w:val="nil"/>
              <w:bottom w:val="nil"/>
              <w:right w:val="nil"/>
            </w:tcBorders>
            <w:shd w:val="clear" w:color="auto" w:fill="auto"/>
            <w:vAlign w:val="bottom"/>
            <w:hideMark/>
          </w:tcPr>
          <w:p w14:paraId="525D1EEC" w14:textId="78DEC2C7"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5978194D" w14:textId="6C1D76C9" w:rsidR="00B9798B" w:rsidRPr="00D926FE" w:rsidRDefault="00B9798B" w:rsidP="00B9798B">
            <w:pPr>
              <w:jc w:val="right"/>
              <w:rPr>
                <w:rFonts w:ascii="Arial" w:hAnsi="Arial" w:cs="Arial"/>
                <w:sz w:val="14"/>
                <w:szCs w:val="14"/>
                <w:lang w:eastAsia="es-AR"/>
              </w:rPr>
            </w:pPr>
            <w:r>
              <w:rPr>
                <w:rFonts w:ascii="Arial" w:hAnsi="Arial" w:cs="Arial"/>
                <w:sz w:val="14"/>
                <w:szCs w:val="14"/>
              </w:rPr>
              <w:t>2.593</w:t>
            </w:r>
          </w:p>
        </w:tc>
        <w:tc>
          <w:tcPr>
            <w:tcW w:w="778" w:type="dxa"/>
            <w:tcBorders>
              <w:top w:val="nil"/>
              <w:left w:val="nil"/>
              <w:bottom w:val="nil"/>
              <w:right w:val="nil"/>
            </w:tcBorders>
            <w:shd w:val="clear" w:color="auto" w:fill="auto"/>
            <w:vAlign w:val="bottom"/>
            <w:hideMark/>
          </w:tcPr>
          <w:p w14:paraId="6F6F8971" w14:textId="0A0A0E87"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24F8B887" w14:textId="1BF93938" w:rsidR="00B9798B" w:rsidRPr="00D926FE" w:rsidRDefault="00B9798B" w:rsidP="00B9798B">
            <w:pPr>
              <w:jc w:val="right"/>
              <w:rPr>
                <w:rFonts w:ascii="Arial" w:hAnsi="Arial" w:cs="Arial"/>
                <w:sz w:val="14"/>
                <w:szCs w:val="14"/>
                <w:lang w:eastAsia="es-AR"/>
              </w:rPr>
            </w:pPr>
            <w:r>
              <w:rPr>
                <w:rFonts w:ascii="Arial" w:hAnsi="Arial" w:cs="Arial"/>
                <w:sz w:val="14"/>
                <w:szCs w:val="14"/>
              </w:rPr>
              <w:t>2.593</w:t>
            </w:r>
          </w:p>
        </w:tc>
      </w:tr>
      <w:tr w:rsidR="00B9798B" w:rsidRPr="00D926FE" w14:paraId="37579E35"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495AA4AD" w14:textId="1455142C" w:rsidR="00B9798B" w:rsidRPr="00B9798B" w:rsidRDefault="00B9798B" w:rsidP="00B9798B">
            <w:pPr>
              <w:rPr>
                <w:rFonts w:ascii="Arial" w:hAnsi="Arial" w:cs="Arial"/>
                <w:sz w:val="14"/>
                <w:szCs w:val="14"/>
                <w:lang w:val="en-US" w:eastAsia="es-AR"/>
              </w:rPr>
            </w:pPr>
            <w:r w:rsidRPr="00B9798B">
              <w:rPr>
                <w:rFonts w:ascii="Arial" w:hAnsi="Arial" w:cs="Arial"/>
                <w:sz w:val="14"/>
                <w:szCs w:val="14"/>
                <w:lang w:val="en-US"/>
              </w:rPr>
              <w:t xml:space="preserve">On Quickfood Clase 9 Vto. 24/11/22 $ C.G.      </w:t>
            </w:r>
          </w:p>
        </w:tc>
        <w:tc>
          <w:tcPr>
            <w:tcW w:w="709" w:type="dxa"/>
            <w:tcBorders>
              <w:top w:val="nil"/>
              <w:left w:val="nil"/>
              <w:bottom w:val="nil"/>
              <w:right w:val="nil"/>
            </w:tcBorders>
            <w:shd w:val="clear" w:color="auto" w:fill="auto"/>
            <w:vAlign w:val="bottom"/>
            <w:hideMark/>
          </w:tcPr>
          <w:p w14:paraId="356C6494" w14:textId="0473E9C5" w:rsidR="00B9798B" w:rsidRPr="00D926FE" w:rsidRDefault="00B9798B" w:rsidP="00B9798B">
            <w:pPr>
              <w:jc w:val="center"/>
              <w:rPr>
                <w:rFonts w:ascii="Arial" w:hAnsi="Arial" w:cs="Arial"/>
                <w:sz w:val="14"/>
                <w:szCs w:val="14"/>
                <w:lang w:eastAsia="es-AR"/>
              </w:rPr>
            </w:pPr>
            <w:r>
              <w:rPr>
                <w:rFonts w:ascii="Arial" w:hAnsi="Arial" w:cs="Arial"/>
                <w:sz w:val="14"/>
                <w:szCs w:val="14"/>
              </w:rPr>
              <w:t>51047</w:t>
            </w:r>
          </w:p>
        </w:tc>
        <w:tc>
          <w:tcPr>
            <w:tcW w:w="794" w:type="dxa"/>
            <w:tcBorders>
              <w:top w:val="nil"/>
              <w:left w:val="nil"/>
              <w:bottom w:val="nil"/>
              <w:right w:val="nil"/>
            </w:tcBorders>
            <w:shd w:val="clear" w:color="auto" w:fill="auto"/>
            <w:vAlign w:val="bottom"/>
            <w:hideMark/>
          </w:tcPr>
          <w:p w14:paraId="1A5B528A"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3C7A4AA1" w14:textId="79836DB7" w:rsidR="00B9798B" w:rsidRPr="00D926FE" w:rsidRDefault="008D5E79" w:rsidP="00B9798B">
            <w:pPr>
              <w:jc w:val="center"/>
              <w:rPr>
                <w:rFonts w:ascii="Arial" w:hAnsi="Arial" w:cs="Arial"/>
                <w:sz w:val="14"/>
                <w:szCs w:val="14"/>
                <w:lang w:eastAsia="es-AR"/>
              </w:rPr>
            </w:pPr>
            <w:r>
              <w:rPr>
                <w:rFonts w:ascii="Arial" w:hAnsi="Arial" w:cs="Arial"/>
                <w:sz w:val="14"/>
                <w:szCs w:val="14"/>
              </w:rPr>
              <w:t>3</w:t>
            </w:r>
          </w:p>
        </w:tc>
        <w:tc>
          <w:tcPr>
            <w:tcW w:w="841" w:type="dxa"/>
            <w:tcBorders>
              <w:top w:val="nil"/>
              <w:left w:val="nil"/>
              <w:bottom w:val="nil"/>
              <w:right w:val="nil"/>
            </w:tcBorders>
            <w:shd w:val="clear" w:color="auto" w:fill="auto"/>
            <w:vAlign w:val="bottom"/>
            <w:hideMark/>
          </w:tcPr>
          <w:p w14:paraId="3A8DDBCE" w14:textId="336FB7E6" w:rsidR="00B9798B" w:rsidRPr="00D926FE" w:rsidRDefault="00B9798B" w:rsidP="00B9798B">
            <w:pPr>
              <w:jc w:val="right"/>
              <w:rPr>
                <w:rFonts w:ascii="Arial" w:hAnsi="Arial" w:cs="Arial"/>
                <w:sz w:val="14"/>
                <w:szCs w:val="14"/>
                <w:lang w:eastAsia="es-AR"/>
              </w:rPr>
            </w:pPr>
            <w:r>
              <w:rPr>
                <w:rFonts w:ascii="Arial" w:hAnsi="Arial" w:cs="Arial"/>
                <w:sz w:val="14"/>
                <w:szCs w:val="14"/>
              </w:rPr>
              <w:t>1.075</w:t>
            </w:r>
          </w:p>
        </w:tc>
        <w:tc>
          <w:tcPr>
            <w:tcW w:w="841" w:type="dxa"/>
            <w:tcBorders>
              <w:top w:val="nil"/>
              <w:left w:val="nil"/>
              <w:bottom w:val="nil"/>
              <w:right w:val="nil"/>
            </w:tcBorders>
            <w:shd w:val="clear" w:color="auto" w:fill="auto"/>
            <w:vAlign w:val="bottom"/>
            <w:hideMark/>
          </w:tcPr>
          <w:p w14:paraId="6F363517" w14:textId="66499A31" w:rsidR="00B9798B" w:rsidRPr="00D926FE" w:rsidRDefault="00B9798B" w:rsidP="00B9798B">
            <w:pPr>
              <w:jc w:val="right"/>
              <w:rPr>
                <w:rFonts w:ascii="Arial" w:hAnsi="Arial" w:cs="Arial"/>
                <w:sz w:val="14"/>
                <w:szCs w:val="14"/>
                <w:lang w:eastAsia="es-AR"/>
              </w:rPr>
            </w:pPr>
            <w:r>
              <w:rPr>
                <w:rFonts w:ascii="Arial" w:hAnsi="Arial" w:cs="Arial"/>
                <w:sz w:val="14"/>
                <w:szCs w:val="14"/>
              </w:rPr>
              <w:t>1.571</w:t>
            </w:r>
          </w:p>
        </w:tc>
        <w:tc>
          <w:tcPr>
            <w:tcW w:w="915" w:type="dxa"/>
            <w:tcBorders>
              <w:top w:val="nil"/>
              <w:left w:val="nil"/>
              <w:bottom w:val="nil"/>
              <w:right w:val="nil"/>
            </w:tcBorders>
            <w:shd w:val="clear" w:color="auto" w:fill="auto"/>
            <w:vAlign w:val="bottom"/>
            <w:hideMark/>
          </w:tcPr>
          <w:p w14:paraId="0D9FA999" w14:textId="7E1D5229" w:rsidR="00B9798B" w:rsidRPr="00D926FE" w:rsidRDefault="00B9798B" w:rsidP="00B9798B">
            <w:pPr>
              <w:jc w:val="right"/>
              <w:rPr>
                <w:rFonts w:ascii="Arial" w:hAnsi="Arial" w:cs="Arial"/>
                <w:sz w:val="14"/>
                <w:szCs w:val="14"/>
                <w:lang w:eastAsia="es-AR"/>
              </w:rPr>
            </w:pPr>
            <w:r>
              <w:rPr>
                <w:rFonts w:ascii="Arial" w:hAnsi="Arial" w:cs="Arial"/>
                <w:sz w:val="14"/>
                <w:szCs w:val="14"/>
              </w:rPr>
              <w:t>1.075</w:t>
            </w:r>
          </w:p>
        </w:tc>
        <w:tc>
          <w:tcPr>
            <w:tcW w:w="778" w:type="dxa"/>
            <w:tcBorders>
              <w:top w:val="nil"/>
              <w:left w:val="nil"/>
              <w:bottom w:val="nil"/>
              <w:right w:val="nil"/>
            </w:tcBorders>
            <w:shd w:val="clear" w:color="auto" w:fill="auto"/>
            <w:vAlign w:val="bottom"/>
            <w:hideMark/>
          </w:tcPr>
          <w:p w14:paraId="4139F7F9" w14:textId="1ED37DB2"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67EAD76F" w14:textId="6EB9306C" w:rsidR="00B9798B" w:rsidRPr="00D926FE" w:rsidRDefault="00B9798B" w:rsidP="00B9798B">
            <w:pPr>
              <w:jc w:val="right"/>
              <w:rPr>
                <w:rFonts w:ascii="Arial" w:hAnsi="Arial" w:cs="Arial"/>
                <w:sz w:val="14"/>
                <w:szCs w:val="14"/>
                <w:lang w:eastAsia="es-AR"/>
              </w:rPr>
            </w:pPr>
            <w:r>
              <w:rPr>
                <w:rFonts w:ascii="Arial" w:hAnsi="Arial" w:cs="Arial"/>
                <w:sz w:val="14"/>
                <w:szCs w:val="14"/>
              </w:rPr>
              <w:t>1.075</w:t>
            </w:r>
          </w:p>
        </w:tc>
      </w:tr>
      <w:tr w:rsidR="00B9798B" w:rsidRPr="00D926FE" w14:paraId="3C64AB6C"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375D2BC6" w14:textId="418B3D3B" w:rsidR="00B9798B" w:rsidRPr="00B9798B" w:rsidRDefault="00B9798B" w:rsidP="00B9798B">
            <w:pPr>
              <w:rPr>
                <w:rFonts w:ascii="Arial" w:hAnsi="Arial" w:cs="Arial"/>
                <w:sz w:val="14"/>
                <w:szCs w:val="14"/>
                <w:lang w:eastAsia="es-AR"/>
              </w:rPr>
            </w:pPr>
            <w:r>
              <w:rPr>
                <w:rFonts w:ascii="Arial" w:hAnsi="Arial" w:cs="Arial"/>
                <w:sz w:val="14"/>
                <w:szCs w:val="14"/>
              </w:rPr>
              <w:t xml:space="preserve">Vdff Credimas 33 Clase A $ C.G.               </w:t>
            </w:r>
          </w:p>
        </w:tc>
        <w:tc>
          <w:tcPr>
            <w:tcW w:w="709" w:type="dxa"/>
            <w:tcBorders>
              <w:top w:val="nil"/>
              <w:left w:val="nil"/>
              <w:bottom w:val="nil"/>
              <w:right w:val="nil"/>
            </w:tcBorders>
            <w:shd w:val="clear" w:color="auto" w:fill="auto"/>
            <w:vAlign w:val="bottom"/>
            <w:hideMark/>
          </w:tcPr>
          <w:p w14:paraId="0C652094" w14:textId="6EEB28FD" w:rsidR="00B9798B" w:rsidRPr="00D926FE" w:rsidRDefault="00B9798B" w:rsidP="00B9798B">
            <w:pPr>
              <w:jc w:val="center"/>
              <w:rPr>
                <w:rFonts w:ascii="Arial" w:hAnsi="Arial" w:cs="Arial"/>
                <w:sz w:val="14"/>
                <w:szCs w:val="14"/>
                <w:lang w:eastAsia="es-AR"/>
              </w:rPr>
            </w:pPr>
            <w:r>
              <w:rPr>
                <w:rFonts w:ascii="Arial" w:hAnsi="Arial" w:cs="Arial"/>
                <w:sz w:val="14"/>
                <w:szCs w:val="14"/>
              </w:rPr>
              <w:t>53685</w:t>
            </w:r>
          </w:p>
        </w:tc>
        <w:tc>
          <w:tcPr>
            <w:tcW w:w="794" w:type="dxa"/>
            <w:tcBorders>
              <w:top w:val="nil"/>
              <w:left w:val="nil"/>
              <w:bottom w:val="nil"/>
              <w:right w:val="nil"/>
            </w:tcBorders>
            <w:shd w:val="clear" w:color="auto" w:fill="auto"/>
            <w:vAlign w:val="bottom"/>
            <w:hideMark/>
          </w:tcPr>
          <w:p w14:paraId="1E9F727C"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65F7B2AC" w14:textId="13D3129A" w:rsidR="00B9798B" w:rsidRPr="00D926FE" w:rsidRDefault="00B9798B" w:rsidP="00B9798B">
            <w:pPr>
              <w:jc w:val="center"/>
              <w:rPr>
                <w:rFonts w:ascii="Arial" w:hAnsi="Arial" w:cs="Arial"/>
                <w:sz w:val="14"/>
                <w:szCs w:val="14"/>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hideMark/>
          </w:tcPr>
          <w:p w14:paraId="6A8E5017" w14:textId="1AFF7E85"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70A379DD" w14:textId="23B97AD7" w:rsidR="00B9798B" w:rsidRPr="00D926FE" w:rsidRDefault="00B9798B" w:rsidP="00B9798B">
            <w:pPr>
              <w:jc w:val="right"/>
              <w:rPr>
                <w:rFonts w:ascii="Arial" w:hAnsi="Arial" w:cs="Arial"/>
                <w:sz w:val="14"/>
                <w:szCs w:val="14"/>
                <w:lang w:eastAsia="es-AR"/>
              </w:rPr>
            </w:pPr>
            <w:r>
              <w:rPr>
                <w:rFonts w:ascii="Arial" w:hAnsi="Arial" w:cs="Arial"/>
                <w:sz w:val="14"/>
                <w:szCs w:val="14"/>
              </w:rPr>
              <w:t>1.603</w:t>
            </w:r>
          </w:p>
        </w:tc>
        <w:tc>
          <w:tcPr>
            <w:tcW w:w="915" w:type="dxa"/>
            <w:tcBorders>
              <w:top w:val="nil"/>
              <w:left w:val="nil"/>
              <w:bottom w:val="nil"/>
              <w:right w:val="nil"/>
            </w:tcBorders>
            <w:shd w:val="clear" w:color="auto" w:fill="auto"/>
            <w:vAlign w:val="bottom"/>
            <w:hideMark/>
          </w:tcPr>
          <w:p w14:paraId="4A87089F" w14:textId="2B1CBFDB"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3962A6FC" w14:textId="55A1911D"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18ACE89E" w14:textId="327742FC"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r>
      <w:tr w:rsidR="00B9798B" w:rsidRPr="00D926FE" w14:paraId="016117BD"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7D1126A5" w14:textId="68A268B6" w:rsidR="00B9798B" w:rsidRPr="00D926FE" w:rsidRDefault="00B9798B" w:rsidP="00B9798B">
            <w:pPr>
              <w:rPr>
                <w:rFonts w:ascii="Arial" w:hAnsi="Arial" w:cs="Arial"/>
                <w:sz w:val="14"/>
                <w:szCs w:val="14"/>
                <w:lang w:eastAsia="es-AR"/>
              </w:rPr>
            </w:pPr>
            <w:r>
              <w:rPr>
                <w:rFonts w:ascii="Arial" w:hAnsi="Arial" w:cs="Arial"/>
                <w:sz w:val="14"/>
                <w:szCs w:val="14"/>
              </w:rPr>
              <w:t>On Ypf  S.A. Clase 41 Vto.24/09/20 $ Esc</w:t>
            </w:r>
          </w:p>
        </w:tc>
        <w:tc>
          <w:tcPr>
            <w:tcW w:w="709" w:type="dxa"/>
            <w:tcBorders>
              <w:top w:val="nil"/>
              <w:left w:val="nil"/>
              <w:bottom w:val="nil"/>
              <w:right w:val="nil"/>
            </w:tcBorders>
            <w:shd w:val="clear" w:color="auto" w:fill="auto"/>
            <w:vAlign w:val="bottom"/>
            <w:hideMark/>
          </w:tcPr>
          <w:p w14:paraId="16049509" w14:textId="19A0CF02" w:rsidR="00B9798B" w:rsidRPr="00D926FE" w:rsidRDefault="00B9798B" w:rsidP="00B9798B">
            <w:pPr>
              <w:jc w:val="center"/>
              <w:rPr>
                <w:rFonts w:ascii="Arial" w:hAnsi="Arial" w:cs="Arial"/>
                <w:sz w:val="14"/>
                <w:szCs w:val="14"/>
                <w:lang w:eastAsia="es-AR"/>
              </w:rPr>
            </w:pPr>
            <w:r>
              <w:rPr>
                <w:rFonts w:ascii="Arial" w:hAnsi="Arial" w:cs="Arial"/>
                <w:sz w:val="14"/>
                <w:szCs w:val="14"/>
              </w:rPr>
              <w:t>50879</w:t>
            </w:r>
          </w:p>
        </w:tc>
        <w:tc>
          <w:tcPr>
            <w:tcW w:w="794" w:type="dxa"/>
            <w:tcBorders>
              <w:top w:val="nil"/>
              <w:left w:val="nil"/>
              <w:bottom w:val="nil"/>
              <w:right w:val="nil"/>
            </w:tcBorders>
            <w:shd w:val="clear" w:color="auto" w:fill="auto"/>
            <w:vAlign w:val="bottom"/>
            <w:hideMark/>
          </w:tcPr>
          <w:p w14:paraId="48D62EF2"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5BD3C7FD" w14:textId="2595870E" w:rsidR="00B9798B" w:rsidRPr="00D926FE" w:rsidRDefault="00B9798B" w:rsidP="00B9798B">
            <w:pPr>
              <w:jc w:val="center"/>
              <w:rPr>
                <w:rFonts w:ascii="Arial" w:hAnsi="Arial" w:cs="Arial"/>
                <w:sz w:val="14"/>
                <w:szCs w:val="14"/>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hideMark/>
          </w:tcPr>
          <w:p w14:paraId="66AC1916" w14:textId="46F86624"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734B5B92" w14:textId="5D015D8A" w:rsidR="00B9798B" w:rsidRPr="00D926FE" w:rsidRDefault="00B9798B" w:rsidP="00B9798B">
            <w:pPr>
              <w:jc w:val="right"/>
              <w:rPr>
                <w:rFonts w:ascii="Arial" w:hAnsi="Arial" w:cs="Arial"/>
                <w:sz w:val="14"/>
                <w:szCs w:val="14"/>
                <w:lang w:eastAsia="es-AR"/>
              </w:rPr>
            </w:pPr>
            <w:r>
              <w:rPr>
                <w:rFonts w:ascii="Arial" w:hAnsi="Arial" w:cs="Arial"/>
                <w:sz w:val="14"/>
                <w:szCs w:val="14"/>
              </w:rPr>
              <w:t>33.104</w:t>
            </w:r>
          </w:p>
        </w:tc>
        <w:tc>
          <w:tcPr>
            <w:tcW w:w="915" w:type="dxa"/>
            <w:tcBorders>
              <w:top w:val="nil"/>
              <w:left w:val="nil"/>
              <w:bottom w:val="nil"/>
              <w:right w:val="nil"/>
            </w:tcBorders>
            <w:shd w:val="clear" w:color="auto" w:fill="auto"/>
            <w:vAlign w:val="bottom"/>
            <w:hideMark/>
          </w:tcPr>
          <w:p w14:paraId="2D04F689" w14:textId="5F807FF3"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3272C168" w14:textId="687BE722"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7772923D" w14:textId="7C2F2F38"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r>
      <w:tr w:rsidR="00B9798B" w:rsidRPr="00D926FE" w14:paraId="374FA77A"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04D85E98" w14:textId="07417ED1" w:rsidR="00B9798B" w:rsidRPr="00D926FE" w:rsidRDefault="00B9798B" w:rsidP="00B9798B">
            <w:pPr>
              <w:rPr>
                <w:rFonts w:ascii="Arial" w:hAnsi="Arial" w:cs="Arial"/>
                <w:sz w:val="14"/>
                <w:szCs w:val="14"/>
                <w:lang w:val="en-US" w:eastAsia="es-AR"/>
              </w:rPr>
            </w:pPr>
            <w:r w:rsidRPr="00B9798B">
              <w:rPr>
                <w:rFonts w:ascii="Arial" w:hAnsi="Arial" w:cs="Arial"/>
                <w:sz w:val="14"/>
                <w:szCs w:val="14"/>
                <w:lang w:val="en-US"/>
              </w:rPr>
              <w:t xml:space="preserve">On Bco Galicia Bs.As. 5 S2 Vto.26/4/21 $CG     </w:t>
            </w:r>
          </w:p>
        </w:tc>
        <w:tc>
          <w:tcPr>
            <w:tcW w:w="709" w:type="dxa"/>
            <w:tcBorders>
              <w:top w:val="nil"/>
              <w:left w:val="nil"/>
              <w:bottom w:val="nil"/>
              <w:right w:val="nil"/>
            </w:tcBorders>
            <w:shd w:val="clear" w:color="auto" w:fill="auto"/>
            <w:vAlign w:val="bottom"/>
            <w:hideMark/>
          </w:tcPr>
          <w:p w14:paraId="7BB191C8" w14:textId="1083A904" w:rsidR="00B9798B" w:rsidRPr="00D926FE" w:rsidRDefault="00B9798B" w:rsidP="00B9798B">
            <w:pPr>
              <w:jc w:val="center"/>
              <w:rPr>
                <w:rFonts w:ascii="Arial" w:hAnsi="Arial" w:cs="Arial"/>
                <w:sz w:val="14"/>
                <w:szCs w:val="14"/>
                <w:lang w:eastAsia="es-AR"/>
              </w:rPr>
            </w:pPr>
            <w:r>
              <w:rPr>
                <w:rFonts w:ascii="Arial" w:hAnsi="Arial" w:cs="Arial"/>
                <w:sz w:val="14"/>
                <w:szCs w:val="14"/>
              </w:rPr>
              <w:t>53478</w:t>
            </w:r>
          </w:p>
        </w:tc>
        <w:tc>
          <w:tcPr>
            <w:tcW w:w="794" w:type="dxa"/>
            <w:tcBorders>
              <w:top w:val="nil"/>
              <w:left w:val="nil"/>
              <w:bottom w:val="nil"/>
              <w:right w:val="nil"/>
            </w:tcBorders>
            <w:shd w:val="clear" w:color="auto" w:fill="auto"/>
            <w:vAlign w:val="bottom"/>
            <w:hideMark/>
          </w:tcPr>
          <w:p w14:paraId="6632A391"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3FB9E0A5" w14:textId="2CC1EE7E" w:rsidR="00B9798B" w:rsidRPr="00D926FE" w:rsidRDefault="00B9798B" w:rsidP="00B9798B">
            <w:pPr>
              <w:jc w:val="center"/>
              <w:rPr>
                <w:rFonts w:ascii="Arial" w:hAnsi="Arial" w:cs="Arial"/>
                <w:sz w:val="14"/>
                <w:szCs w:val="14"/>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hideMark/>
          </w:tcPr>
          <w:p w14:paraId="58EBF427" w14:textId="0D982F06"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6F0270AE" w14:textId="0A644D12" w:rsidR="00B9798B" w:rsidRPr="00D926FE" w:rsidRDefault="00B9798B" w:rsidP="00B9798B">
            <w:pPr>
              <w:jc w:val="right"/>
              <w:rPr>
                <w:rFonts w:ascii="Arial" w:hAnsi="Arial" w:cs="Arial"/>
                <w:sz w:val="14"/>
                <w:szCs w:val="14"/>
                <w:lang w:eastAsia="es-AR"/>
              </w:rPr>
            </w:pPr>
            <w:r>
              <w:rPr>
                <w:rFonts w:ascii="Arial" w:hAnsi="Arial" w:cs="Arial"/>
                <w:sz w:val="14"/>
                <w:szCs w:val="14"/>
              </w:rPr>
              <w:t>25.291</w:t>
            </w:r>
          </w:p>
        </w:tc>
        <w:tc>
          <w:tcPr>
            <w:tcW w:w="915" w:type="dxa"/>
            <w:tcBorders>
              <w:top w:val="nil"/>
              <w:left w:val="nil"/>
              <w:bottom w:val="nil"/>
              <w:right w:val="nil"/>
            </w:tcBorders>
            <w:shd w:val="clear" w:color="auto" w:fill="auto"/>
            <w:vAlign w:val="bottom"/>
            <w:hideMark/>
          </w:tcPr>
          <w:p w14:paraId="4BA9AE5C" w14:textId="62C75E16"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4792CFAC" w14:textId="3A4E0FD2"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6635C190" w14:textId="2924441C"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r>
      <w:tr w:rsidR="00B9798B" w:rsidRPr="00D926FE" w14:paraId="37B91210"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05D8B7F5" w14:textId="4352F733" w:rsidR="00B9798B" w:rsidRPr="007A54A1" w:rsidRDefault="00B9798B" w:rsidP="00B9798B">
            <w:pPr>
              <w:rPr>
                <w:rFonts w:ascii="Arial" w:hAnsi="Arial" w:cs="Arial"/>
                <w:sz w:val="14"/>
                <w:szCs w:val="14"/>
                <w:lang w:val="en-US" w:eastAsia="es-AR"/>
              </w:rPr>
            </w:pPr>
            <w:r>
              <w:rPr>
                <w:rFonts w:ascii="Arial" w:hAnsi="Arial" w:cs="Arial"/>
                <w:sz w:val="14"/>
                <w:szCs w:val="14"/>
              </w:rPr>
              <w:t xml:space="preserve">On Ypf SA Reg. 2 Clase.28 8,75% Vto.04/04/2024      </w:t>
            </w:r>
          </w:p>
        </w:tc>
        <w:tc>
          <w:tcPr>
            <w:tcW w:w="709" w:type="dxa"/>
            <w:tcBorders>
              <w:top w:val="nil"/>
              <w:left w:val="nil"/>
              <w:bottom w:val="nil"/>
              <w:right w:val="nil"/>
            </w:tcBorders>
            <w:shd w:val="clear" w:color="auto" w:fill="auto"/>
            <w:vAlign w:val="bottom"/>
            <w:hideMark/>
          </w:tcPr>
          <w:p w14:paraId="6615F42A" w14:textId="61132494" w:rsidR="00B9798B" w:rsidRPr="00D926FE" w:rsidRDefault="00B9798B" w:rsidP="00B9798B">
            <w:pPr>
              <w:jc w:val="center"/>
              <w:rPr>
                <w:rFonts w:ascii="Arial" w:hAnsi="Arial" w:cs="Arial"/>
                <w:sz w:val="14"/>
                <w:szCs w:val="14"/>
                <w:lang w:eastAsia="es-AR"/>
              </w:rPr>
            </w:pPr>
            <w:r>
              <w:rPr>
                <w:rFonts w:ascii="Arial" w:hAnsi="Arial" w:cs="Arial"/>
                <w:sz w:val="14"/>
                <w:szCs w:val="14"/>
              </w:rPr>
              <w:t>91841</w:t>
            </w:r>
          </w:p>
        </w:tc>
        <w:tc>
          <w:tcPr>
            <w:tcW w:w="794" w:type="dxa"/>
            <w:tcBorders>
              <w:top w:val="nil"/>
              <w:left w:val="nil"/>
              <w:bottom w:val="nil"/>
              <w:right w:val="nil"/>
            </w:tcBorders>
            <w:shd w:val="clear" w:color="auto" w:fill="auto"/>
            <w:vAlign w:val="bottom"/>
            <w:hideMark/>
          </w:tcPr>
          <w:p w14:paraId="7344D801"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331F9C05" w14:textId="6200FE45" w:rsidR="00B9798B" w:rsidRPr="00D926FE" w:rsidRDefault="00B9798B" w:rsidP="00B9798B">
            <w:pPr>
              <w:jc w:val="center"/>
              <w:rPr>
                <w:rFonts w:ascii="Arial" w:hAnsi="Arial" w:cs="Arial"/>
                <w:sz w:val="14"/>
                <w:szCs w:val="14"/>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hideMark/>
          </w:tcPr>
          <w:p w14:paraId="5EB136D1" w14:textId="14D86AA5"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4F90E94F" w14:textId="41865CBB" w:rsidR="00B9798B" w:rsidRPr="00D926FE" w:rsidRDefault="00B9798B" w:rsidP="00B9798B">
            <w:pPr>
              <w:jc w:val="right"/>
              <w:rPr>
                <w:rFonts w:ascii="Arial" w:hAnsi="Arial" w:cs="Arial"/>
                <w:sz w:val="14"/>
                <w:szCs w:val="14"/>
                <w:lang w:eastAsia="es-AR"/>
              </w:rPr>
            </w:pPr>
            <w:r>
              <w:rPr>
                <w:rFonts w:ascii="Arial" w:hAnsi="Arial" w:cs="Arial"/>
                <w:sz w:val="14"/>
                <w:szCs w:val="14"/>
              </w:rPr>
              <w:t>834</w:t>
            </w:r>
          </w:p>
        </w:tc>
        <w:tc>
          <w:tcPr>
            <w:tcW w:w="915" w:type="dxa"/>
            <w:tcBorders>
              <w:top w:val="nil"/>
              <w:left w:val="nil"/>
              <w:bottom w:val="nil"/>
              <w:right w:val="nil"/>
            </w:tcBorders>
            <w:shd w:val="clear" w:color="auto" w:fill="auto"/>
            <w:vAlign w:val="bottom"/>
            <w:hideMark/>
          </w:tcPr>
          <w:p w14:paraId="05535F6F" w14:textId="52AA3B0C"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6A80CFBB" w14:textId="3A4728E7"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6AAE31CA" w14:textId="26C6A630"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r>
      <w:tr w:rsidR="007465F0" w:rsidRPr="00D926FE" w14:paraId="60B377B0" w14:textId="77777777" w:rsidTr="00B9798B">
        <w:trPr>
          <w:gridAfter w:val="1"/>
          <w:wAfter w:w="16" w:type="dxa"/>
          <w:trHeight w:val="240"/>
        </w:trPr>
        <w:tc>
          <w:tcPr>
            <w:tcW w:w="3189" w:type="dxa"/>
            <w:tcBorders>
              <w:top w:val="nil"/>
              <w:left w:val="nil"/>
              <w:bottom w:val="single" w:sz="4" w:space="0" w:color="auto"/>
              <w:right w:val="nil"/>
            </w:tcBorders>
            <w:shd w:val="clear" w:color="auto" w:fill="auto"/>
            <w:vAlign w:val="bottom"/>
          </w:tcPr>
          <w:p w14:paraId="7E1EA5C0" w14:textId="2725D4E8" w:rsidR="007465F0" w:rsidRPr="00D926FE" w:rsidRDefault="007465F0" w:rsidP="00B9798B">
            <w:pPr>
              <w:rPr>
                <w:rFonts w:ascii="Arial" w:hAnsi="Arial" w:cs="Arial"/>
                <w:sz w:val="14"/>
                <w:szCs w:val="14"/>
                <w:lang w:val="en-US" w:eastAsia="es-AR"/>
              </w:rPr>
            </w:pPr>
          </w:p>
        </w:tc>
        <w:tc>
          <w:tcPr>
            <w:tcW w:w="709" w:type="dxa"/>
            <w:tcBorders>
              <w:top w:val="nil"/>
              <w:left w:val="nil"/>
              <w:bottom w:val="single" w:sz="4" w:space="0" w:color="auto"/>
              <w:right w:val="nil"/>
            </w:tcBorders>
            <w:shd w:val="clear" w:color="auto" w:fill="auto"/>
            <w:vAlign w:val="bottom"/>
          </w:tcPr>
          <w:p w14:paraId="78C9A9D6" w14:textId="7A8A4FD7" w:rsidR="007465F0" w:rsidRPr="00D926FE" w:rsidRDefault="007465F0" w:rsidP="00B9798B">
            <w:pPr>
              <w:jc w:val="center"/>
              <w:rPr>
                <w:rFonts w:ascii="Arial" w:hAnsi="Arial" w:cs="Arial"/>
                <w:sz w:val="14"/>
                <w:szCs w:val="14"/>
                <w:lang w:eastAsia="es-AR"/>
              </w:rPr>
            </w:pPr>
          </w:p>
        </w:tc>
        <w:tc>
          <w:tcPr>
            <w:tcW w:w="794" w:type="dxa"/>
            <w:tcBorders>
              <w:top w:val="nil"/>
              <w:left w:val="nil"/>
              <w:bottom w:val="single" w:sz="4" w:space="0" w:color="auto"/>
              <w:right w:val="nil"/>
            </w:tcBorders>
            <w:shd w:val="clear" w:color="auto" w:fill="auto"/>
            <w:vAlign w:val="bottom"/>
          </w:tcPr>
          <w:p w14:paraId="6B8576F1" w14:textId="22B0FA98" w:rsidR="007465F0" w:rsidRPr="00D926FE" w:rsidRDefault="007465F0" w:rsidP="00B9798B">
            <w:pPr>
              <w:jc w:val="center"/>
              <w:rPr>
                <w:rFonts w:ascii="Arial" w:hAnsi="Arial" w:cs="Arial"/>
                <w:sz w:val="14"/>
                <w:szCs w:val="14"/>
                <w:lang w:eastAsia="es-AR"/>
              </w:rPr>
            </w:pPr>
          </w:p>
        </w:tc>
        <w:tc>
          <w:tcPr>
            <w:tcW w:w="794" w:type="dxa"/>
            <w:tcBorders>
              <w:top w:val="nil"/>
              <w:left w:val="nil"/>
              <w:bottom w:val="single" w:sz="4" w:space="0" w:color="auto"/>
              <w:right w:val="nil"/>
            </w:tcBorders>
            <w:shd w:val="clear" w:color="auto" w:fill="auto"/>
            <w:vAlign w:val="bottom"/>
          </w:tcPr>
          <w:p w14:paraId="7A30F3A8" w14:textId="46D634B6" w:rsidR="007465F0" w:rsidRPr="00D926FE" w:rsidRDefault="007465F0" w:rsidP="00B9798B">
            <w:pPr>
              <w:jc w:val="center"/>
              <w:rPr>
                <w:rFonts w:ascii="Arial" w:hAnsi="Arial" w:cs="Arial"/>
                <w:sz w:val="14"/>
                <w:szCs w:val="14"/>
                <w:lang w:eastAsia="es-AR"/>
              </w:rPr>
            </w:pPr>
          </w:p>
        </w:tc>
        <w:tc>
          <w:tcPr>
            <w:tcW w:w="841" w:type="dxa"/>
            <w:tcBorders>
              <w:top w:val="nil"/>
              <w:left w:val="nil"/>
              <w:bottom w:val="single" w:sz="4" w:space="0" w:color="auto"/>
              <w:right w:val="nil"/>
            </w:tcBorders>
            <w:shd w:val="clear" w:color="auto" w:fill="auto"/>
            <w:vAlign w:val="bottom"/>
          </w:tcPr>
          <w:p w14:paraId="43007AD4" w14:textId="33866B7C" w:rsidR="007465F0" w:rsidRPr="00D926FE" w:rsidRDefault="007465F0" w:rsidP="00B9798B">
            <w:pPr>
              <w:jc w:val="right"/>
              <w:rPr>
                <w:rFonts w:ascii="Arial" w:hAnsi="Arial" w:cs="Arial"/>
                <w:sz w:val="14"/>
                <w:szCs w:val="14"/>
                <w:lang w:eastAsia="es-AR"/>
              </w:rPr>
            </w:pPr>
          </w:p>
        </w:tc>
        <w:tc>
          <w:tcPr>
            <w:tcW w:w="841" w:type="dxa"/>
            <w:tcBorders>
              <w:top w:val="nil"/>
              <w:left w:val="nil"/>
              <w:bottom w:val="single" w:sz="4" w:space="0" w:color="auto"/>
              <w:right w:val="nil"/>
            </w:tcBorders>
            <w:shd w:val="clear" w:color="auto" w:fill="auto"/>
            <w:vAlign w:val="bottom"/>
          </w:tcPr>
          <w:p w14:paraId="0474E82B" w14:textId="6B944E22" w:rsidR="007465F0" w:rsidRPr="00D926FE" w:rsidRDefault="007465F0" w:rsidP="00B9798B">
            <w:pPr>
              <w:jc w:val="right"/>
              <w:rPr>
                <w:rFonts w:ascii="Arial" w:hAnsi="Arial" w:cs="Arial"/>
                <w:sz w:val="14"/>
                <w:szCs w:val="14"/>
                <w:lang w:eastAsia="es-AR"/>
              </w:rPr>
            </w:pPr>
          </w:p>
        </w:tc>
        <w:tc>
          <w:tcPr>
            <w:tcW w:w="915" w:type="dxa"/>
            <w:tcBorders>
              <w:top w:val="nil"/>
              <w:left w:val="nil"/>
              <w:bottom w:val="single" w:sz="4" w:space="0" w:color="auto"/>
              <w:right w:val="nil"/>
            </w:tcBorders>
            <w:shd w:val="clear" w:color="auto" w:fill="auto"/>
            <w:vAlign w:val="bottom"/>
          </w:tcPr>
          <w:p w14:paraId="13FB623C" w14:textId="32F7E837" w:rsidR="007465F0" w:rsidRPr="00D926FE" w:rsidRDefault="007465F0" w:rsidP="00B9798B">
            <w:pPr>
              <w:jc w:val="right"/>
              <w:rPr>
                <w:rFonts w:ascii="Arial" w:hAnsi="Arial" w:cs="Arial"/>
                <w:sz w:val="14"/>
                <w:szCs w:val="14"/>
                <w:lang w:eastAsia="es-AR"/>
              </w:rPr>
            </w:pPr>
          </w:p>
        </w:tc>
        <w:tc>
          <w:tcPr>
            <w:tcW w:w="778" w:type="dxa"/>
            <w:tcBorders>
              <w:top w:val="nil"/>
              <w:left w:val="nil"/>
              <w:bottom w:val="single" w:sz="4" w:space="0" w:color="auto"/>
              <w:right w:val="nil"/>
            </w:tcBorders>
            <w:shd w:val="clear" w:color="auto" w:fill="auto"/>
            <w:vAlign w:val="bottom"/>
          </w:tcPr>
          <w:p w14:paraId="2DF45C82" w14:textId="7CC52A62" w:rsidR="007465F0" w:rsidRPr="00D926FE" w:rsidRDefault="007465F0" w:rsidP="00B9798B">
            <w:pPr>
              <w:jc w:val="right"/>
              <w:rPr>
                <w:rFonts w:ascii="Arial" w:hAnsi="Arial" w:cs="Arial"/>
                <w:sz w:val="14"/>
                <w:szCs w:val="14"/>
                <w:lang w:eastAsia="es-AR"/>
              </w:rPr>
            </w:pPr>
          </w:p>
        </w:tc>
        <w:tc>
          <w:tcPr>
            <w:tcW w:w="848" w:type="dxa"/>
            <w:tcBorders>
              <w:top w:val="nil"/>
              <w:left w:val="nil"/>
              <w:bottom w:val="single" w:sz="4" w:space="0" w:color="auto"/>
              <w:right w:val="nil"/>
            </w:tcBorders>
            <w:shd w:val="clear" w:color="auto" w:fill="auto"/>
            <w:vAlign w:val="bottom"/>
          </w:tcPr>
          <w:p w14:paraId="128DB05C" w14:textId="35DD1040" w:rsidR="007465F0" w:rsidRPr="00D926FE" w:rsidRDefault="007465F0" w:rsidP="00B9798B">
            <w:pPr>
              <w:jc w:val="right"/>
              <w:rPr>
                <w:rFonts w:ascii="Arial" w:hAnsi="Arial" w:cs="Arial"/>
                <w:sz w:val="14"/>
                <w:szCs w:val="14"/>
                <w:lang w:eastAsia="es-AR"/>
              </w:rPr>
            </w:pPr>
          </w:p>
        </w:tc>
      </w:tr>
      <w:tr w:rsidR="007465F0" w:rsidRPr="00D926FE" w14:paraId="760B580E" w14:textId="77777777" w:rsidTr="00B9798B">
        <w:trPr>
          <w:gridAfter w:val="1"/>
          <w:wAfter w:w="16" w:type="dxa"/>
          <w:trHeight w:val="144"/>
        </w:trPr>
        <w:tc>
          <w:tcPr>
            <w:tcW w:w="3189" w:type="dxa"/>
            <w:tcBorders>
              <w:top w:val="nil"/>
              <w:left w:val="nil"/>
              <w:bottom w:val="nil"/>
              <w:right w:val="nil"/>
            </w:tcBorders>
            <w:shd w:val="clear" w:color="auto" w:fill="auto"/>
            <w:vAlign w:val="bottom"/>
            <w:hideMark/>
          </w:tcPr>
          <w:p w14:paraId="6003729A" w14:textId="77777777" w:rsidR="007465F0" w:rsidRPr="00D926FE" w:rsidRDefault="007465F0" w:rsidP="00B9798B">
            <w:pPr>
              <w:rPr>
                <w:rFonts w:ascii="Arial" w:hAnsi="Arial" w:cs="Arial"/>
                <w:sz w:val="14"/>
                <w:szCs w:val="14"/>
                <w:lang w:eastAsia="es-AR"/>
              </w:rPr>
            </w:pPr>
          </w:p>
        </w:tc>
        <w:tc>
          <w:tcPr>
            <w:tcW w:w="709" w:type="dxa"/>
            <w:tcBorders>
              <w:top w:val="nil"/>
              <w:left w:val="nil"/>
              <w:bottom w:val="nil"/>
              <w:right w:val="nil"/>
            </w:tcBorders>
            <w:shd w:val="clear" w:color="auto" w:fill="auto"/>
            <w:vAlign w:val="bottom"/>
            <w:hideMark/>
          </w:tcPr>
          <w:p w14:paraId="7F506BB6" w14:textId="77777777" w:rsidR="007465F0" w:rsidRPr="00D926FE" w:rsidRDefault="007465F0" w:rsidP="00B9798B">
            <w:pPr>
              <w:ind w:firstLineChars="2000" w:firstLine="4000"/>
              <w:jc w:val="center"/>
              <w:rPr>
                <w:sz w:val="20"/>
                <w:lang w:eastAsia="es-AR"/>
              </w:rPr>
            </w:pPr>
          </w:p>
        </w:tc>
        <w:tc>
          <w:tcPr>
            <w:tcW w:w="794" w:type="dxa"/>
            <w:tcBorders>
              <w:top w:val="nil"/>
              <w:left w:val="nil"/>
              <w:bottom w:val="nil"/>
              <w:right w:val="nil"/>
            </w:tcBorders>
            <w:shd w:val="clear" w:color="auto" w:fill="auto"/>
            <w:vAlign w:val="bottom"/>
            <w:hideMark/>
          </w:tcPr>
          <w:p w14:paraId="4B41294A"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1DD9E59C"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4B4A5076" w14:textId="77777777" w:rsidR="007465F0" w:rsidRPr="00D926FE" w:rsidRDefault="007465F0" w:rsidP="00B9798B">
            <w:pPr>
              <w:jc w:val="right"/>
              <w:rPr>
                <w:sz w:val="20"/>
                <w:lang w:eastAsia="es-AR"/>
              </w:rPr>
            </w:pPr>
          </w:p>
        </w:tc>
        <w:tc>
          <w:tcPr>
            <w:tcW w:w="841" w:type="dxa"/>
            <w:tcBorders>
              <w:top w:val="nil"/>
              <w:left w:val="nil"/>
              <w:bottom w:val="nil"/>
              <w:right w:val="nil"/>
            </w:tcBorders>
            <w:shd w:val="clear" w:color="auto" w:fill="auto"/>
            <w:vAlign w:val="bottom"/>
            <w:hideMark/>
          </w:tcPr>
          <w:p w14:paraId="7CFDA0F2" w14:textId="77777777" w:rsidR="007465F0" w:rsidRPr="00D926FE" w:rsidRDefault="007465F0" w:rsidP="00B9798B">
            <w:pPr>
              <w:jc w:val="right"/>
              <w:rPr>
                <w:sz w:val="20"/>
                <w:lang w:eastAsia="es-AR"/>
              </w:rPr>
            </w:pPr>
          </w:p>
        </w:tc>
        <w:tc>
          <w:tcPr>
            <w:tcW w:w="915" w:type="dxa"/>
            <w:tcBorders>
              <w:top w:val="nil"/>
              <w:left w:val="nil"/>
              <w:bottom w:val="nil"/>
              <w:right w:val="nil"/>
            </w:tcBorders>
            <w:shd w:val="clear" w:color="auto" w:fill="auto"/>
            <w:vAlign w:val="bottom"/>
            <w:hideMark/>
          </w:tcPr>
          <w:p w14:paraId="29145B34" w14:textId="77777777" w:rsidR="007465F0" w:rsidRPr="00D926FE" w:rsidRDefault="007465F0" w:rsidP="00B9798B">
            <w:pPr>
              <w:jc w:val="right"/>
              <w:rPr>
                <w:sz w:val="20"/>
                <w:lang w:eastAsia="es-AR"/>
              </w:rPr>
            </w:pPr>
          </w:p>
        </w:tc>
        <w:tc>
          <w:tcPr>
            <w:tcW w:w="778" w:type="dxa"/>
            <w:tcBorders>
              <w:top w:val="nil"/>
              <w:left w:val="nil"/>
              <w:bottom w:val="nil"/>
              <w:right w:val="nil"/>
            </w:tcBorders>
            <w:shd w:val="clear" w:color="auto" w:fill="auto"/>
            <w:vAlign w:val="bottom"/>
            <w:hideMark/>
          </w:tcPr>
          <w:p w14:paraId="0CFB93F7" w14:textId="77777777" w:rsidR="007465F0" w:rsidRPr="00D926FE" w:rsidRDefault="007465F0" w:rsidP="00B9798B">
            <w:pPr>
              <w:jc w:val="right"/>
              <w:rPr>
                <w:sz w:val="20"/>
                <w:lang w:eastAsia="es-AR"/>
              </w:rPr>
            </w:pPr>
          </w:p>
        </w:tc>
        <w:tc>
          <w:tcPr>
            <w:tcW w:w="848" w:type="dxa"/>
            <w:tcBorders>
              <w:top w:val="nil"/>
              <w:left w:val="nil"/>
              <w:bottom w:val="nil"/>
              <w:right w:val="nil"/>
            </w:tcBorders>
            <w:shd w:val="clear" w:color="auto" w:fill="auto"/>
            <w:vAlign w:val="bottom"/>
            <w:hideMark/>
          </w:tcPr>
          <w:p w14:paraId="2A681571" w14:textId="77777777" w:rsidR="007465F0" w:rsidRPr="00D926FE" w:rsidRDefault="007465F0" w:rsidP="00B9798B">
            <w:pPr>
              <w:jc w:val="right"/>
              <w:rPr>
                <w:sz w:val="20"/>
                <w:lang w:eastAsia="es-AR"/>
              </w:rPr>
            </w:pPr>
          </w:p>
        </w:tc>
      </w:tr>
      <w:tr w:rsidR="00B9798B" w:rsidRPr="00D926FE" w14:paraId="557F802A" w14:textId="77777777" w:rsidTr="00B9798B">
        <w:trPr>
          <w:gridAfter w:val="1"/>
          <w:wAfter w:w="16" w:type="dxa"/>
          <w:trHeight w:val="180"/>
        </w:trPr>
        <w:tc>
          <w:tcPr>
            <w:tcW w:w="3189" w:type="dxa"/>
            <w:tcBorders>
              <w:top w:val="nil"/>
              <w:left w:val="nil"/>
              <w:bottom w:val="nil"/>
              <w:right w:val="nil"/>
            </w:tcBorders>
            <w:shd w:val="clear" w:color="auto" w:fill="auto"/>
            <w:vAlign w:val="bottom"/>
            <w:hideMark/>
          </w:tcPr>
          <w:p w14:paraId="2C3E0048" w14:textId="42FC3800" w:rsidR="00B9798B" w:rsidRPr="00D926FE" w:rsidRDefault="00B9798B" w:rsidP="00B9798B">
            <w:pPr>
              <w:rPr>
                <w:rFonts w:ascii="Arial" w:hAnsi="Arial" w:cs="Arial"/>
                <w:b/>
                <w:bCs/>
                <w:sz w:val="14"/>
                <w:szCs w:val="14"/>
                <w:lang w:eastAsia="es-AR"/>
              </w:rPr>
            </w:pPr>
            <w:r w:rsidRPr="00D926FE">
              <w:rPr>
                <w:rFonts w:ascii="Arial" w:hAnsi="Arial" w:cs="Arial"/>
                <w:b/>
                <w:bCs/>
                <w:sz w:val="14"/>
                <w:szCs w:val="14"/>
                <w:lang w:eastAsia="es-AR"/>
              </w:rPr>
              <w:t>Total Títulos de deuda a v</w:t>
            </w:r>
            <w:r>
              <w:rPr>
                <w:rFonts w:ascii="Arial" w:hAnsi="Arial" w:cs="Arial"/>
                <w:b/>
                <w:bCs/>
                <w:sz w:val="14"/>
                <w:szCs w:val="14"/>
                <w:lang w:eastAsia="es-AR"/>
              </w:rPr>
              <w:t>alor razonable</w:t>
            </w:r>
            <w:r w:rsidRPr="00D926FE">
              <w:rPr>
                <w:rFonts w:ascii="Arial" w:hAnsi="Arial" w:cs="Arial"/>
                <w:b/>
                <w:bCs/>
                <w:sz w:val="14"/>
                <w:szCs w:val="14"/>
                <w:lang w:eastAsia="es-AR"/>
              </w:rPr>
              <w:t xml:space="preserve"> con cambios en resultados</w:t>
            </w:r>
          </w:p>
        </w:tc>
        <w:tc>
          <w:tcPr>
            <w:tcW w:w="709" w:type="dxa"/>
            <w:tcBorders>
              <w:top w:val="nil"/>
              <w:left w:val="nil"/>
              <w:bottom w:val="nil"/>
              <w:right w:val="nil"/>
            </w:tcBorders>
            <w:shd w:val="clear" w:color="auto" w:fill="auto"/>
            <w:vAlign w:val="bottom"/>
            <w:hideMark/>
          </w:tcPr>
          <w:p w14:paraId="619D92E9" w14:textId="77777777" w:rsidR="00B9798B" w:rsidRPr="00D926FE" w:rsidRDefault="00B9798B" w:rsidP="00B9798B">
            <w:pPr>
              <w:jc w:val="center"/>
              <w:rPr>
                <w:rFonts w:ascii="Arial" w:hAnsi="Arial" w:cs="Arial"/>
                <w:b/>
                <w:bCs/>
                <w:sz w:val="14"/>
                <w:szCs w:val="14"/>
                <w:lang w:eastAsia="es-AR"/>
              </w:rPr>
            </w:pPr>
          </w:p>
        </w:tc>
        <w:tc>
          <w:tcPr>
            <w:tcW w:w="794" w:type="dxa"/>
            <w:tcBorders>
              <w:top w:val="nil"/>
              <w:left w:val="nil"/>
              <w:bottom w:val="nil"/>
              <w:right w:val="nil"/>
            </w:tcBorders>
            <w:shd w:val="clear" w:color="auto" w:fill="auto"/>
            <w:vAlign w:val="bottom"/>
            <w:hideMark/>
          </w:tcPr>
          <w:p w14:paraId="7519DCCB" w14:textId="77777777" w:rsidR="00B9798B" w:rsidRPr="00D926FE" w:rsidRDefault="00B9798B"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7C384404" w14:textId="77777777" w:rsidR="00B9798B" w:rsidRPr="00D926FE" w:rsidRDefault="00B9798B"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1596396D" w14:textId="13678889" w:rsidR="00B9798B" w:rsidRPr="00D926FE" w:rsidRDefault="00B9798B" w:rsidP="00B9798B">
            <w:pPr>
              <w:jc w:val="right"/>
              <w:rPr>
                <w:rFonts w:ascii="Arial" w:hAnsi="Arial" w:cs="Arial"/>
                <w:b/>
                <w:bCs/>
                <w:sz w:val="14"/>
                <w:szCs w:val="14"/>
                <w:lang w:eastAsia="es-AR"/>
              </w:rPr>
            </w:pPr>
            <w:r>
              <w:rPr>
                <w:rFonts w:ascii="Arial" w:hAnsi="Arial" w:cs="Arial"/>
                <w:b/>
                <w:bCs/>
                <w:sz w:val="14"/>
                <w:szCs w:val="14"/>
              </w:rPr>
              <w:t>312.306</w:t>
            </w:r>
          </w:p>
        </w:tc>
        <w:tc>
          <w:tcPr>
            <w:tcW w:w="841" w:type="dxa"/>
            <w:tcBorders>
              <w:top w:val="nil"/>
              <w:left w:val="nil"/>
              <w:bottom w:val="nil"/>
              <w:right w:val="nil"/>
            </w:tcBorders>
            <w:shd w:val="clear" w:color="auto" w:fill="auto"/>
            <w:vAlign w:val="bottom"/>
            <w:hideMark/>
          </w:tcPr>
          <w:p w14:paraId="3F25DAB2" w14:textId="077466E2" w:rsidR="00B9798B" w:rsidRPr="00D926FE" w:rsidRDefault="00B9798B" w:rsidP="00B9798B">
            <w:pPr>
              <w:jc w:val="right"/>
              <w:rPr>
                <w:rFonts w:ascii="Arial" w:hAnsi="Arial" w:cs="Arial"/>
                <w:b/>
                <w:bCs/>
                <w:sz w:val="14"/>
                <w:szCs w:val="14"/>
                <w:lang w:eastAsia="es-AR"/>
              </w:rPr>
            </w:pPr>
            <w:r>
              <w:rPr>
                <w:rFonts w:ascii="Arial" w:hAnsi="Arial" w:cs="Arial"/>
                <w:b/>
                <w:bCs/>
                <w:sz w:val="14"/>
                <w:szCs w:val="14"/>
              </w:rPr>
              <w:t>14.941.290</w:t>
            </w:r>
          </w:p>
        </w:tc>
        <w:tc>
          <w:tcPr>
            <w:tcW w:w="915" w:type="dxa"/>
            <w:tcBorders>
              <w:top w:val="nil"/>
              <w:left w:val="nil"/>
              <w:bottom w:val="nil"/>
              <w:right w:val="nil"/>
            </w:tcBorders>
            <w:shd w:val="clear" w:color="auto" w:fill="auto"/>
            <w:vAlign w:val="bottom"/>
            <w:hideMark/>
          </w:tcPr>
          <w:p w14:paraId="2A43BF2C" w14:textId="48935EF2" w:rsidR="00B9798B" w:rsidRPr="00D926FE" w:rsidRDefault="00B9798B" w:rsidP="00B9798B">
            <w:pPr>
              <w:jc w:val="right"/>
              <w:rPr>
                <w:rFonts w:ascii="Arial" w:hAnsi="Arial" w:cs="Arial"/>
                <w:b/>
                <w:bCs/>
                <w:sz w:val="14"/>
                <w:szCs w:val="14"/>
                <w:lang w:eastAsia="es-AR"/>
              </w:rPr>
            </w:pPr>
            <w:r>
              <w:rPr>
                <w:rFonts w:ascii="Arial" w:hAnsi="Arial" w:cs="Arial"/>
                <w:b/>
                <w:bCs/>
                <w:sz w:val="14"/>
                <w:szCs w:val="14"/>
              </w:rPr>
              <w:t>755.766</w:t>
            </w:r>
          </w:p>
        </w:tc>
        <w:tc>
          <w:tcPr>
            <w:tcW w:w="778" w:type="dxa"/>
            <w:tcBorders>
              <w:top w:val="nil"/>
              <w:left w:val="nil"/>
              <w:bottom w:val="nil"/>
              <w:right w:val="nil"/>
            </w:tcBorders>
            <w:shd w:val="clear" w:color="auto" w:fill="auto"/>
            <w:vAlign w:val="bottom"/>
            <w:hideMark/>
          </w:tcPr>
          <w:p w14:paraId="0409D307" w14:textId="30EB6EF7" w:rsidR="00B9798B" w:rsidRPr="00D926FE" w:rsidRDefault="00B9798B" w:rsidP="00B9798B">
            <w:pPr>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07F1776F" w14:textId="2F006F7F" w:rsidR="00B9798B" w:rsidRPr="00D926FE" w:rsidRDefault="00B9798B" w:rsidP="00B9798B">
            <w:pPr>
              <w:jc w:val="right"/>
              <w:rPr>
                <w:rFonts w:ascii="Arial" w:hAnsi="Arial" w:cs="Arial"/>
                <w:b/>
                <w:bCs/>
                <w:sz w:val="14"/>
                <w:szCs w:val="14"/>
                <w:lang w:eastAsia="es-AR"/>
              </w:rPr>
            </w:pPr>
            <w:r>
              <w:rPr>
                <w:rFonts w:ascii="Arial" w:hAnsi="Arial" w:cs="Arial"/>
                <w:b/>
                <w:bCs/>
                <w:sz w:val="14"/>
                <w:szCs w:val="14"/>
              </w:rPr>
              <w:t>755.766</w:t>
            </w:r>
          </w:p>
        </w:tc>
      </w:tr>
      <w:tr w:rsidR="007465F0" w:rsidRPr="00D926FE" w14:paraId="0A99168F" w14:textId="77777777" w:rsidTr="00B9798B">
        <w:trPr>
          <w:gridAfter w:val="1"/>
          <w:wAfter w:w="16" w:type="dxa"/>
          <w:trHeight w:val="180"/>
        </w:trPr>
        <w:tc>
          <w:tcPr>
            <w:tcW w:w="3189" w:type="dxa"/>
            <w:tcBorders>
              <w:top w:val="nil"/>
              <w:left w:val="nil"/>
              <w:bottom w:val="nil"/>
              <w:right w:val="nil"/>
            </w:tcBorders>
            <w:shd w:val="clear" w:color="auto" w:fill="auto"/>
            <w:vAlign w:val="bottom"/>
            <w:hideMark/>
          </w:tcPr>
          <w:p w14:paraId="1764B6DC" w14:textId="77777777" w:rsidR="007465F0" w:rsidRPr="00D926FE" w:rsidRDefault="007465F0" w:rsidP="00B9798B">
            <w:pPr>
              <w:rPr>
                <w:rFonts w:ascii="Arial" w:hAnsi="Arial" w:cs="Arial"/>
                <w:b/>
                <w:bCs/>
                <w:sz w:val="14"/>
                <w:szCs w:val="14"/>
                <w:lang w:eastAsia="es-AR"/>
              </w:rPr>
            </w:pPr>
          </w:p>
        </w:tc>
        <w:tc>
          <w:tcPr>
            <w:tcW w:w="709" w:type="dxa"/>
            <w:tcBorders>
              <w:top w:val="nil"/>
              <w:left w:val="nil"/>
              <w:bottom w:val="nil"/>
              <w:right w:val="nil"/>
            </w:tcBorders>
            <w:shd w:val="clear" w:color="auto" w:fill="auto"/>
            <w:vAlign w:val="bottom"/>
            <w:hideMark/>
          </w:tcPr>
          <w:p w14:paraId="0DC7C31B"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4394AA97"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39613D25"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6273898F" w14:textId="77777777" w:rsidR="007465F0" w:rsidRPr="00D926FE" w:rsidRDefault="007465F0" w:rsidP="00B9798B">
            <w:pPr>
              <w:jc w:val="right"/>
              <w:rPr>
                <w:sz w:val="20"/>
                <w:lang w:eastAsia="es-AR"/>
              </w:rPr>
            </w:pPr>
          </w:p>
        </w:tc>
        <w:tc>
          <w:tcPr>
            <w:tcW w:w="841" w:type="dxa"/>
            <w:tcBorders>
              <w:top w:val="nil"/>
              <w:left w:val="nil"/>
              <w:bottom w:val="nil"/>
              <w:right w:val="nil"/>
            </w:tcBorders>
            <w:shd w:val="clear" w:color="auto" w:fill="auto"/>
            <w:vAlign w:val="bottom"/>
            <w:hideMark/>
          </w:tcPr>
          <w:p w14:paraId="057119FB" w14:textId="77777777" w:rsidR="007465F0" w:rsidRPr="00D926FE" w:rsidRDefault="007465F0" w:rsidP="00B9798B">
            <w:pPr>
              <w:jc w:val="right"/>
              <w:rPr>
                <w:sz w:val="20"/>
                <w:lang w:eastAsia="es-AR"/>
              </w:rPr>
            </w:pPr>
          </w:p>
        </w:tc>
        <w:tc>
          <w:tcPr>
            <w:tcW w:w="915" w:type="dxa"/>
            <w:tcBorders>
              <w:top w:val="nil"/>
              <w:left w:val="nil"/>
              <w:bottom w:val="nil"/>
              <w:right w:val="nil"/>
            </w:tcBorders>
            <w:shd w:val="clear" w:color="auto" w:fill="auto"/>
            <w:vAlign w:val="bottom"/>
            <w:hideMark/>
          </w:tcPr>
          <w:p w14:paraId="5EFE5C4B" w14:textId="77777777" w:rsidR="007465F0" w:rsidRPr="00D926FE" w:rsidRDefault="007465F0" w:rsidP="00B9798B">
            <w:pPr>
              <w:jc w:val="right"/>
              <w:rPr>
                <w:sz w:val="20"/>
                <w:lang w:eastAsia="es-AR"/>
              </w:rPr>
            </w:pPr>
          </w:p>
        </w:tc>
        <w:tc>
          <w:tcPr>
            <w:tcW w:w="778" w:type="dxa"/>
            <w:tcBorders>
              <w:top w:val="nil"/>
              <w:left w:val="nil"/>
              <w:bottom w:val="nil"/>
              <w:right w:val="nil"/>
            </w:tcBorders>
            <w:shd w:val="clear" w:color="auto" w:fill="auto"/>
            <w:vAlign w:val="bottom"/>
            <w:hideMark/>
          </w:tcPr>
          <w:p w14:paraId="5F27863B" w14:textId="77777777" w:rsidR="007465F0" w:rsidRPr="00D926FE" w:rsidRDefault="007465F0" w:rsidP="00B9798B">
            <w:pPr>
              <w:jc w:val="right"/>
              <w:rPr>
                <w:sz w:val="20"/>
                <w:lang w:eastAsia="es-AR"/>
              </w:rPr>
            </w:pPr>
          </w:p>
        </w:tc>
        <w:tc>
          <w:tcPr>
            <w:tcW w:w="848" w:type="dxa"/>
            <w:tcBorders>
              <w:top w:val="nil"/>
              <w:left w:val="nil"/>
              <w:bottom w:val="nil"/>
              <w:right w:val="nil"/>
            </w:tcBorders>
            <w:shd w:val="clear" w:color="auto" w:fill="auto"/>
            <w:vAlign w:val="bottom"/>
            <w:hideMark/>
          </w:tcPr>
          <w:p w14:paraId="0A556F3C" w14:textId="77777777" w:rsidR="007465F0" w:rsidRPr="00D926FE" w:rsidRDefault="007465F0" w:rsidP="00B9798B">
            <w:pPr>
              <w:jc w:val="right"/>
              <w:rPr>
                <w:sz w:val="20"/>
                <w:lang w:eastAsia="es-AR"/>
              </w:rPr>
            </w:pPr>
          </w:p>
        </w:tc>
      </w:tr>
      <w:tr w:rsidR="007465F0" w:rsidRPr="00D926FE" w14:paraId="65063BE1"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5BCE2AF7" w14:textId="0F532D5C" w:rsidR="00250D43" w:rsidRDefault="00250D43" w:rsidP="00B9798B">
            <w:pPr>
              <w:rPr>
                <w:rFonts w:ascii="Arial" w:hAnsi="Arial" w:cs="Arial"/>
                <w:b/>
                <w:bCs/>
                <w:sz w:val="14"/>
                <w:szCs w:val="14"/>
                <w:lang w:eastAsia="es-AR"/>
              </w:rPr>
            </w:pPr>
          </w:p>
          <w:p w14:paraId="04FFDDEB" w14:textId="66F13C63" w:rsidR="00250D43" w:rsidRDefault="00250D43" w:rsidP="00B9798B">
            <w:pPr>
              <w:rPr>
                <w:rFonts w:ascii="Arial" w:hAnsi="Arial" w:cs="Arial"/>
                <w:b/>
                <w:bCs/>
                <w:sz w:val="14"/>
                <w:szCs w:val="14"/>
                <w:lang w:eastAsia="es-AR"/>
              </w:rPr>
            </w:pPr>
          </w:p>
          <w:p w14:paraId="4FA68EC3" w14:textId="43BF9ECA" w:rsidR="00250D43" w:rsidRDefault="00250D43" w:rsidP="00B9798B">
            <w:pPr>
              <w:rPr>
                <w:rFonts w:ascii="Arial" w:hAnsi="Arial" w:cs="Arial"/>
                <w:b/>
                <w:bCs/>
                <w:sz w:val="14"/>
                <w:szCs w:val="14"/>
                <w:lang w:eastAsia="es-AR"/>
              </w:rPr>
            </w:pPr>
          </w:p>
          <w:p w14:paraId="293B7DF5" w14:textId="6A5BD9EC" w:rsidR="00250D43" w:rsidRDefault="00250D43" w:rsidP="00B9798B">
            <w:pPr>
              <w:rPr>
                <w:rFonts w:ascii="Arial" w:hAnsi="Arial" w:cs="Arial"/>
                <w:b/>
                <w:bCs/>
                <w:sz w:val="14"/>
                <w:szCs w:val="14"/>
                <w:lang w:eastAsia="es-AR"/>
              </w:rPr>
            </w:pPr>
          </w:p>
          <w:p w14:paraId="60C41C3B" w14:textId="5E7BFA0B" w:rsidR="00250D43" w:rsidRDefault="00250D43" w:rsidP="00B9798B">
            <w:pPr>
              <w:rPr>
                <w:rFonts w:ascii="Arial" w:hAnsi="Arial" w:cs="Arial"/>
                <w:b/>
                <w:bCs/>
                <w:sz w:val="14"/>
                <w:szCs w:val="14"/>
                <w:lang w:eastAsia="es-AR"/>
              </w:rPr>
            </w:pPr>
          </w:p>
          <w:p w14:paraId="117F92E3" w14:textId="6632BF64" w:rsidR="00250D43" w:rsidRDefault="00250D43" w:rsidP="00B9798B">
            <w:pPr>
              <w:rPr>
                <w:rFonts w:ascii="Arial" w:hAnsi="Arial" w:cs="Arial"/>
                <w:b/>
                <w:bCs/>
                <w:sz w:val="14"/>
                <w:szCs w:val="14"/>
                <w:lang w:eastAsia="es-AR"/>
              </w:rPr>
            </w:pPr>
          </w:p>
          <w:p w14:paraId="43E5509F" w14:textId="77777777" w:rsidR="00250D43" w:rsidRDefault="00250D43" w:rsidP="00B9798B">
            <w:pPr>
              <w:rPr>
                <w:rFonts w:ascii="Arial" w:hAnsi="Arial" w:cs="Arial"/>
                <w:b/>
                <w:bCs/>
                <w:sz w:val="14"/>
                <w:szCs w:val="14"/>
                <w:lang w:eastAsia="es-AR"/>
              </w:rPr>
            </w:pPr>
          </w:p>
          <w:p w14:paraId="2E03238C" w14:textId="0EABF186" w:rsidR="007465F0" w:rsidRPr="00D926FE" w:rsidRDefault="007465F0" w:rsidP="00B9798B">
            <w:pPr>
              <w:rPr>
                <w:rFonts w:ascii="Arial" w:hAnsi="Arial" w:cs="Arial"/>
                <w:b/>
                <w:bCs/>
                <w:sz w:val="14"/>
                <w:szCs w:val="14"/>
                <w:lang w:eastAsia="es-AR"/>
              </w:rPr>
            </w:pPr>
            <w:r w:rsidRPr="00D926FE">
              <w:rPr>
                <w:rFonts w:ascii="Arial" w:hAnsi="Arial" w:cs="Arial"/>
                <w:b/>
                <w:bCs/>
                <w:sz w:val="14"/>
                <w:szCs w:val="14"/>
                <w:lang w:eastAsia="es-AR"/>
              </w:rPr>
              <w:t>OTROS TITULOS DE DEUDA</w:t>
            </w:r>
          </w:p>
        </w:tc>
        <w:tc>
          <w:tcPr>
            <w:tcW w:w="709" w:type="dxa"/>
            <w:tcBorders>
              <w:top w:val="nil"/>
              <w:left w:val="nil"/>
              <w:bottom w:val="nil"/>
              <w:right w:val="nil"/>
            </w:tcBorders>
            <w:shd w:val="clear" w:color="auto" w:fill="auto"/>
            <w:vAlign w:val="bottom"/>
            <w:hideMark/>
          </w:tcPr>
          <w:p w14:paraId="49778328" w14:textId="77777777" w:rsidR="007465F0" w:rsidRPr="00D926FE" w:rsidRDefault="007465F0" w:rsidP="00B9798B">
            <w:pPr>
              <w:jc w:val="center"/>
              <w:rPr>
                <w:rFonts w:ascii="Arial" w:hAnsi="Arial" w:cs="Arial"/>
                <w:b/>
                <w:bCs/>
                <w:sz w:val="14"/>
                <w:szCs w:val="14"/>
                <w:lang w:eastAsia="es-AR"/>
              </w:rPr>
            </w:pPr>
          </w:p>
        </w:tc>
        <w:tc>
          <w:tcPr>
            <w:tcW w:w="5811" w:type="dxa"/>
            <w:gridSpan w:val="7"/>
            <w:tcBorders>
              <w:top w:val="nil"/>
              <w:left w:val="nil"/>
              <w:bottom w:val="nil"/>
              <w:right w:val="nil"/>
            </w:tcBorders>
            <w:shd w:val="clear" w:color="auto" w:fill="auto"/>
            <w:vAlign w:val="bottom"/>
            <w:hideMark/>
          </w:tcPr>
          <w:p w14:paraId="08EF7272" w14:textId="77777777" w:rsidR="007465F0" w:rsidRPr="00D926FE" w:rsidRDefault="007465F0" w:rsidP="00B9798B">
            <w:pPr>
              <w:jc w:val="center"/>
              <w:rPr>
                <w:sz w:val="20"/>
                <w:lang w:eastAsia="es-AR"/>
              </w:rPr>
            </w:pPr>
          </w:p>
        </w:tc>
      </w:tr>
      <w:tr w:rsidR="007465F0" w:rsidRPr="00D926FE" w14:paraId="41EE4F17" w14:textId="77777777" w:rsidTr="00B9798B">
        <w:trPr>
          <w:gridAfter w:val="1"/>
          <w:wAfter w:w="16" w:type="dxa"/>
          <w:trHeight w:val="180"/>
        </w:trPr>
        <w:tc>
          <w:tcPr>
            <w:tcW w:w="3189" w:type="dxa"/>
            <w:tcBorders>
              <w:top w:val="nil"/>
              <w:left w:val="nil"/>
              <w:bottom w:val="nil"/>
              <w:right w:val="nil"/>
            </w:tcBorders>
            <w:shd w:val="clear" w:color="auto" w:fill="auto"/>
            <w:vAlign w:val="bottom"/>
            <w:hideMark/>
          </w:tcPr>
          <w:p w14:paraId="3B3416FB" w14:textId="77777777" w:rsidR="007465F0" w:rsidRPr="00D926FE" w:rsidRDefault="007465F0" w:rsidP="00B9798B">
            <w:pPr>
              <w:rPr>
                <w:rFonts w:ascii="Arial" w:hAnsi="Arial" w:cs="Arial"/>
                <w:b/>
                <w:bCs/>
                <w:sz w:val="14"/>
                <w:szCs w:val="14"/>
                <w:lang w:eastAsia="es-AR"/>
              </w:rPr>
            </w:pPr>
            <w:r w:rsidRPr="00D926FE">
              <w:rPr>
                <w:rFonts w:ascii="Arial" w:hAnsi="Arial" w:cs="Arial"/>
                <w:b/>
                <w:bCs/>
                <w:sz w:val="14"/>
                <w:szCs w:val="14"/>
                <w:lang w:eastAsia="es-AR"/>
              </w:rPr>
              <w:t>Medidos a valor razonable con cambios en ORI</w:t>
            </w:r>
          </w:p>
        </w:tc>
        <w:tc>
          <w:tcPr>
            <w:tcW w:w="709" w:type="dxa"/>
            <w:tcBorders>
              <w:top w:val="nil"/>
              <w:left w:val="nil"/>
              <w:bottom w:val="nil"/>
              <w:right w:val="nil"/>
            </w:tcBorders>
            <w:shd w:val="clear" w:color="auto" w:fill="auto"/>
            <w:vAlign w:val="bottom"/>
            <w:hideMark/>
          </w:tcPr>
          <w:p w14:paraId="586278C5" w14:textId="77777777" w:rsidR="007465F0" w:rsidRPr="00D926FE" w:rsidRDefault="007465F0" w:rsidP="00B9798B">
            <w:pPr>
              <w:jc w:val="center"/>
              <w:rPr>
                <w:rFonts w:ascii="Arial" w:hAnsi="Arial" w:cs="Arial"/>
                <w:b/>
                <w:bCs/>
                <w:sz w:val="14"/>
                <w:szCs w:val="14"/>
                <w:lang w:eastAsia="es-AR"/>
              </w:rPr>
            </w:pPr>
          </w:p>
        </w:tc>
        <w:tc>
          <w:tcPr>
            <w:tcW w:w="794" w:type="dxa"/>
            <w:tcBorders>
              <w:top w:val="nil"/>
              <w:left w:val="nil"/>
              <w:bottom w:val="nil"/>
              <w:right w:val="nil"/>
            </w:tcBorders>
            <w:shd w:val="clear" w:color="auto" w:fill="auto"/>
            <w:vAlign w:val="bottom"/>
            <w:hideMark/>
          </w:tcPr>
          <w:p w14:paraId="54BFF262"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62C28B1E"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5C5FDEDB" w14:textId="77777777" w:rsidR="007465F0" w:rsidRPr="00D926FE" w:rsidRDefault="007465F0"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hideMark/>
          </w:tcPr>
          <w:p w14:paraId="64F5530B" w14:textId="77777777" w:rsidR="007465F0" w:rsidRPr="00D926FE" w:rsidRDefault="007465F0"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327FC4E2" w14:textId="77777777" w:rsidR="007465F0" w:rsidRPr="00D926FE" w:rsidRDefault="007465F0"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6AB0DD8D" w14:textId="77777777" w:rsidR="007465F0" w:rsidRPr="00D926FE" w:rsidRDefault="007465F0"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1E30670E" w14:textId="77777777" w:rsidR="007465F0" w:rsidRPr="00D926FE" w:rsidRDefault="007465F0" w:rsidP="00B9798B">
            <w:pPr>
              <w:ind w:left="709" w:hanging="709"/>
              <w:jc w:val="right"/>
              <w:rPr>
                <w:sz w:val="20"/>
                <w:lang w:eastAsia="es-AR"/>
              </w:rPr>
            </w:pPr>
          </w:p>
        </w:tc>
      </w:tr>
      <w:tr w:rsidR="007465F0" w:rsidRPr="00D926FE" w14:paraId="4EB55DE8"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7638F509" w14:textId="77777777" w:rsidR="007465F0" w:rsidRDefault="007465F0" w:rsidP="00B9798B">
            <w:pPr>
              <w:rPr>
                <w:rFonts w:ascii="Arial" w:hAnsi="Arial" w:cs="Arial"/>
                <w:b/>
                <w:bCs/>
                <w:i/>
                <w:iCs/>
                <w:sz w:val="14"/>
                <w:szCs w:val="14"/>
                <w:lang w:eastAsia="es-AR"/>
              </w:rPr>
            </w:pPr>
            <w:r w:rsidRPr="00D926FE">
              <w:rPr>
                <w:rFonts w:ascii="Arial" w:hAnsi="Arial" w:cs="Arial"/>
                <w:b/>
                <w:bCs/>
                <w:i/>
                <w:iCs/>
                <w:sz w:val="14"/>
                <w:szCs w:val="14"/>
                <w:lang w:eastAsia="es-AR"/>
              </w:rPr>
              <w:t>Del País</w:t>
            </w:r>
          </w:p>
          <w:p w14:paraId="6E5CF860" w14:textId="41F9B02A" w:rsidR="004E343F" w:rsidRPr="00B9798B" w:rsidRDefault="00B9798B" w:rsidP="00B9798B">
            <w:pPr>
              <w:ind w:firstLineChars="100" w:firstLine="140"/>
              <w:rPr>
                <w:rFonts w:ascii="Arial" w:hAnsi="Arial" w:cs="Arial"/>
                <w:sz w:val="14"/>
                <w:szCs w:val="14"/>
                <w:lang w:eastAsia="es-AR"/>
              </w:rPr>
            </w:pPr>
            <w:r>
              <w:rPr>
                <w:rFonts w:ascii="Arial" w:hAnsi="Arial" w:cs="Arial"/>
                <w:sz w:val="14"/>
                <w:szCs w:val="14"/>
              </w:rPr>
              <w:t>Letras BCRA</w:t>
            </w:r>
          </w:p>
        </w:tc>
        <w:tc>
          <w:tcPr>
            <w:tcW w:w="709" w:type="dxa"/>
            <w:tcBorders>
              <w:top w:val="nil"/>
              <w:left w:val="nil"/>
              <w:bottom w:val="nil"/>
              <w:right w:val="nil"/>
            </w:tcBorders>
            <w:shd w:val="clear" w:color="auto" w:fill="auto"/>
            <w:vAlign w:val="bottom"/>
            <w:hideMark/>
          </w:tcPr>
          <w:p w14:paraId="7FB15E9A" w14:textId="77777777" w:rsidR="007465F0" w:rsidRPr="00D926FE" w:rsidRDefault="007465F0" w:rsidP="00B9798B">
            <w:pPr>
              <w:jc w:val="center"/>
              <w:rPr>
                <w:rFonts w:ascii="Arial" w:hAnsi="Arial" w:cs="Arial"/>
                <w:b/>
                <w:bCs/>
                <w:i/>
                <w:iCs/>
                <w:sz w:val="14"/>
                <w:szCs w:val="14"/>
                <w:lang w:eastAsia="es-AR"/>
              </w:rPr>
            </w:pPr>
          </w:p>
        </w:tc>
        <w:tc>
          <w:tcPr>
            <w:tcW w:w="794" w:type="dxa"/>
            <w:tcBorders>
              <w:top w:val="nil"/>
              <w:left w:val="nil"/>
              <w:bottom w:val="nil"/>
              <w:right w:val="nil"/>
            </w:tcBorders>
            <w:shd w:val="clear" w:color="auto" w:fill="auto"/>
            <w:vAlign w:val="bottom"/>
            <w:hideMark/>
          </w:tcPr>
          <w:p w14:paraId="52873128"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2775A513"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674A7FB3" w14:textId="77777777" w:rsidR="007465F0" w:rsidRPr="00D926FE" w:rsidRDefault="007465F0"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hideMark/>
          </w:tcPr>
          <w:p w14:paraId="3011DFE7" w14:textId="77777777" w:rsidR="007465F0" w:rsidRPr="00D926FE" w:rsidRDefault="007465F0"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38C76DA5" w14:textId="77777777" w:rsidR="007465F0" w:rsidRPr="00D926FE" w:rsidRDefault="007465F0"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55C62CC8" w14:textId="77777777" w:rsidR="007465F0" w:rsidRPr="00D926FE" w:rsidRDefault="007465F0"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2EB0C654" w14:textId="77777777" w:rsidR="007465F0" w:rsidRPr="00D926FE" w:rsidRDefault="007465F0" w:rsidP="00B9798B">
            <w:pPr>
              <w:ind w:left="709" w:hanging="709"/>
              <w:jc w:val="right"/>
              <w:rPr>
                <w:sz w:val="20"/>
                <w:lang w:eastAsia="es-AR"/>
              </w:rPr>
            </w:pPr>
          </w:p>
        </w:tc>
      </w:tr>
      <w:tr w:rsidR="00B9798B" w:rsidRPr="00D926FE" w14:paraId="2672A0A9"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7F064AC1" w14:textId="77777777" w:rsidR="00B9798B" w:rsidRPr="00D926FE" w:rsidRDefault="00B9798B" w:rsidP="00B9798B">
            <w:pPr>
              <w:rPr>
                <w:rFonts w:ascii="Arial" w:hAnsi="Arial" w:cs="Arial"/>
                <w:b/>
                <w:bCs/>
                <w:i/>
                <w:iCs/>
                <w:sz w:val="14"/>
                <w:szCs w:val="14"/>
                <w:lang w:eastAsia="es-AR"/>
              </w:rPr>
            </w:pPr>
          </w:p>
        </w:tc>
        <w:tc>
          <w:tcPr>
            <w:tcW w:w="709" w:type="dxa"/>
            <w:tcBorders>
              <w:top w:val="nil"/>
              <w:left w:val="nil"/>
              <w:bottom w:val="nil"/>
              <w:right w:val="nil"/>
            </w:tcBorders>
            <w:shd w:val="clear" w:color="auto" w:fill="auto"/>
            <w:vAlign w:val="bottom"/>
          </w:tcPr>
          <w:p w14:paraId="2F6ED1EA" w14:textId="77777777" w:rsidR="00B9798B" w:rsidRPr="00D926FE" w:rsidRDefault="00B9798B" w:rsidP="00B9798B">
            <w:pPr>
              <w:jc w:val="center"/>
              <w:rPr>
                <w:rFonts w:ascii="Arial" w:hAnsi="Arial" w:cs="Arial"/>
                <w:b/>
                <w:bCs/>
                <w:i/>
                <w:iCs/>
                <w:sz w:val="14"/>
                <w:szCs w:val="14"/>
                <w:lang w:eastAsia="es-AR"/>
              </w:rPr>
            </w:pPr>
          </w:p>
        </w:tc>
        <w:tc>
          <w:tcPr>
            <w:tcW w:w="794" w:type="dxa"/>
            <w:tcBorders>
              <w:top w:val="nil"/>
              <w:left w:val="nil"/>
              <w:bottom w:val="nil"/>
              <w:right w:val="nil"/>
            </w:tcBorders>
            <w:shd w:val="clear" w:color="auto" w:fill="auto"/>
            <w:vAlign w:val="bottom"/>
          </w:tcPr>
          <w:p w14:paraId="4977C4F7" w14:textId="77777777" w:rsidR="00B9798B" w:rsidRPr="00D926FE" w:rsidRDefault="00B9798B" w:rsidP="00B9798B">
            <w:pPr>
              <w:jc w:val="center"/>
              <w:rPr>
                <w:sz w:val="20"/>
                <w:lang w:eastAsia="es-AR"/>
              </w:rPr>
            </w:pPr>
          </w:p>
        </w:tc>
        <w:tc>
          <w:tcPr>
            <w:tcW w:w="794" w:type="dxa"/>
            <w:tcBorders>
              <w:top w:val="nil"/>
              <w:left w:val="nil"/>
              <w:bottom w:val="nil"/>
              <w:right w:val="nil"/>
            </w:tcBorders>
            <w:shd w:val="clear" w:color="auto" w:fill="auto"/>
            <w:vAlign w:val="bottom"/>
          </w:tcPr>
          <w:p w14:paraId="12CC1219" w14:textId="77777777" w:rsidR="00B9798B" w:rsidRPr="00D926FE" w:rsidRDefault="00B9798B" w:rsidP="00B9798B">
            <w:pPr>
              <w:jc w:val="center"/>
              <w:rPr>
                <w:sz w:val="20"/>
                <w:lang w:eastAsia="es-AR"/>
              </w:rPr>
            </w:pPr>
          </w:p>
        </w:tc>
        <w:tc>
          <w:tcPr>
            <w:tcW w:w="841" w:type="dxa"/>
            <w:tcBorders>
              <w:top w:val="nil"/>
              <w:left w:val="nil"/>
              <w:bottom w:val="nil"/>
              <w:right w:val="nil"/>
            </w:tcBorders>
            <w:shd w:val="clear" w:color="auto" w:fill="auto"/>
            <w:vAlign w:val="bottom"/>
          </w:tcPr>
          <w:p w14:paraId="39DEFECE" w14:textId="77777777" w:rsidR="00B9798B" w:rsidRPr="00D926FE" w:rsidRDefault="00B9798B"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tcPr>
          <w:p w14:paraId="3AE207BE" w14:textId="77777777" w:rsidR="00B9798B" w:rsidRPr="00D926FE" w:rsidRDefault="00B9798B"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tcPr>
          <w:p w14:paraId="0C4FD4E0" w14:textId="77777777" w:rsidR="00B9798B" w:rsidRPr="00D926FE" w:rsidRDefault="00B9798B"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tcPr>
          <w:p w14:paraId="6DA64879" w14:textId="77777777" w:rsidR="00B9798B" w:rsidRPr="00D926FE" w:rsidRDefault="00B9798B"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tcPr>
          <w:p w14:paraId="1F374584" w14:textId="77777777" w:rsidR="00B9798B" w:rsidRPr="00D926FE" w:rsidRDefault="00B9798B" w:rsidP="00B9798B">
            <w:pPr>
              <w:ind w:left="709" w:hanging="709"/>
              <w:jc w:val="right"/>
              <w:rPr>
                <w:sz w:val="20"/>
                <w:lang w:eastAsia="es-AR"/>
              </w:rPr>
            </w:pPr>
          </w:p>
        </w:tc>
      </w:tr>
      <w:tr w:rsidR="00B9798B" w:rsidRPr="00D926FE" w14:paraId="799E1711"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0431EF6F" w14:textId="4BDB13DD" w:rsidR="00B9798B" w:rsidRPr="00D926FE" w:rsidRDefault="00B9798B" w:rsidP="00B9798B">
            <w:pPr>
              <w:rPr>
                <w:rFonts w:ascii="Arial" w:hAnsi="Arial" w:cs="Arial"/>
                <w:b/>
                <w:bCs/>
                <w:i/>
                <w:iCs/>
                <w:sz w:val="14"/>
                <w:szCs w:val="14"/>
                <w:lang w:eastAsia="es-AR"/>
              </w:rPr>
            </w:pPr>
            <w:r>
              <w:rPr>
                <w:rFonts w:ascii="Arial" w:hAnsi="Arial" w:cs="Arial"/>
                <w:sz w:val="14"/>
                <w:szCs w:val="14"/>
              </w:rPr>
              <w:t>Letra de liquidez del BCRA Vto.07/01/20</w:t>
            </w:r>
          </w:p>
        </w:tc>
        <w:tc>
          <w:tcPr>
            <w:tcW w:w="709" w:type="dxa"/>
            <w:tcBorders>
              <w:top w:val="nil"/>
              <w:left w:val="nil"/>
              <w:bottom w:val="nil"/>
              <w:right w:val="nil"/>
            </w:tcBorders>
            <w:shd w:val="clear" w:color="auto" w:fill="auto"/>
            <w:vAlign w:val="bottom"/>
          </w:tcPr>
          <w:p w14:paraId="0ABB328B" w14:textId="2E95E5A5" w:rsidR="00B9798B" w:rsidRPr="00D926FE" w:rsidRDefault="00B9798B" w:rsidP="00B9798B">
            <w:pPr>
              <w:jc w:val="center"/>
              <w:rPr>
                <w:rFonts w:ascii="Arial" w:hAnsi="Arial" w:cs="Arial"/>
                <w:b/>
                <w:bCs/>
                <w:i/>
                <w:iCs/>
                <w:sz w:val="14"/>
                <w:szCs w:val="14"/>
                <w:lang w:eastAsia="es-AR"/>
              </w:rPr>
            </w:pPr>
            <w:r>
              <w:rPr>
                <w:rFonts w:ascii="Arial" w:hAnsi="Arial" w:cs="Arial"/>
                <w:sz w:val="14"/>
                <w:szCs w:val="14"/>
              </w:rPr>
              <w:t>80009</w:t>
            </w:r>
          </w:p>
        </w:tc>
        <w:tc>
          <w:tcPr>
            <w:tcW w:w="794" w:type="dxa"/>
            <w:tcBorders>
              <w:top w:val="nil"/>
              <w:left w:val="nil"/>
              <w:bottom w:val="nil"/>
              <w:right w:val="nil"/>
            </w:tcBorders>
            <w:shd w:val="clear" w:color="auto" w:fill="auto"/>
            <w:vAlign w:val="bottom"/>
          </w:tcPr>
          <w:p w14:paraId="4A8EC155" w14:textId="77777777" w:rsidR="00B9798B" w:rsidRPr="00D926FE" w:rsidRDefault="00B9798B" w:rsidP="00B9798B">
            <w:pPr>
              <w:jc w:val="center"/>
              <w:rPr>
                <w:sz w:val="20"/>
                <w:lang w:eastAsia="es-AR"/>
              </w:rPr>
            </w:pPr>
          </w:p>
        </w:tc>
        <w:tc>
          <w:tcPr>
            <w:tcW w:w="794" w:type="dxa"/>
            <w:tcBorders>
              <w:top w:val="nil"/>
              <w:left w:val="nil"/>
              <w:bottom w:val="nil"/>
              <w:right w:val="nil"/>
            </w:tcBorders>
            <w:shd w:val="clear" w:color="auto" w:fill="auto"/>
            <w:vAlign w:val="bottom"/>
          </w:tcPr>
          <w:p w14:paraId="619BB49E" w14:textId="4797B50C" w:rsidR="00B9798B" w:rsidRPr="00D926FE" w:rsidRDefault="00B9798B" w:rsidP="00B9798B">
            <w:pPr>
              <w:jc w:val="center"/>
              <w:rPr>
                <w:sz w:val="20"/>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tcPr>
          <w:p w14:paraId="2D6CE9F7" w14:textId="2209597D" w:rsidR="00B9798B" w:rsidRPr="00D926FE" w:rsidRDefault="00B9798B" w:rsidP="00B9798B">
            <w:pPr>
              <w:ind w:left="709" w:hanging="709"/>
              <w:jc w:val="right"/>
              <w:rPr>
                <w:sz w:val="20"/>
                <w:lang w:eastAsia="es-AR"/>
              </w:rPr>
            </w:pPr>
            <w:r>
              <w:rPr>
                <w:rFonts w:ascii="Arial" w:hAnsi="Arial" w:cs="Arial"/>
                <w:sz w:val="14"/>
                <w:szCs w:val="14"/>
              </w:rPr>
              <w:t>5.435.852</w:t>
            </w:r>
          </w:p>
        </w:tc>
        <w:tc>
          <w:tcPr>
            <w:tcW w:w="841" w:type="dxa"/>
            <w:tcBorders>
              <w:top w:val="nil"/>
              <w:left w:val="nil"/>
              <w:bottom w:val="nil"/>
              <w:right w:val="nil"/>
            </w:tcBorders>
            <w:shd w:val="clear" w:color="auto" w:fill="auto"/>
            <w:vAlign w:val="bottom"/>
          </w:tcPr>
          <w:p w14:paraId="46587708" w14:textId="5D9480A3" w:rsidR="00B9798B" w:rsidRPr="00D926FE" w:rsidRDefault="00B9798B" w:rsidP="00B9798B">
            <w:pPr>
              <w:ind w:left="709" w:hanging="709"/>
              <w:jc w:val="right"/>
              <w:rPr>
                <w:sz w:val="20"/>
                <w:lang w:eastAsia="es-AR"/>
              </w:rPr>
            </w:pPr>
            <w:r>
              <w:rPr>
                <w:rFonts w:ascii="Arial" w:hAnsi="Arial" w:cs="Arial"/>
                <w:sz w:val="14"/>
                <w:szCs w:val="14"/>
              </w:rPr>
              <w:t>-</w:t>
            </w:r>
          </w:p>
        </w:tc>
        <w:tc>
          <w:tcPr>
            <w:tcW w:w="915" w:type="dxa"/>
            <w:tcBorders>
              <w:top w:val="nil"/>
              <w:left w:val="nil"/>
              <w:bottom w:val="nil"/>
              <w:right w:val="nil"/>
            </w:tcBorders>
            <w:shd w:val="clear" w:color="auto" w:fill="auto"/>
            <w:vAlign w:val="bottom"/>
          </w:tcPr>
          <w:p w14:paraId="4ADB40A0" w14:textId="2A1E88ED" w:rsidR="00B9798B" w:rsidRPr="00D926FE" w:rsidRDefault="00B9798B" w:rsidP="00B9798B">
            <w:pPr>
              <w:ind w:left="709" w:hanging="709"/>
              <w:jc w:val="right"/>
              <w:rPr>
                <w:sz w:val="20"/>
                <w:lang w:eastAsia="es-AR"/>
              </w:rPr>
            </w:pPr>
            <w:r>
              <w:rPr>
                <w:rFonts w:ascii="Arial" w:hAnsi="Arial" w:cs="Arial"/>
                <w:sz w:val="14"/>
                <w:szCs w:val="14"/>
              </w:rPr>
              <w:t>5.435.852</w:t>
            </w:r>
          </w:p>
        </w:tc>
        <w:tc>
          <w:tcPr>
            <w:tcW w:w="778" w:type="dxa"/>
            <w:tcBorders>
              <w:top w:val="nil"/>
              <w:left w:val="nil"/>
              <w:bottom w:val="nil"/>
              <w:right w:val="nil"/>
            </w:tcBorders>
            <w:shd w:val="clear" w:color="auto" w:fill="auto"/>
            <w:vAlign w:val="bottom"/>
          </w:tcPr>
          <w:p w14:paraId="584B2858" w14:textId="086A7A8E" w:rsidR="00B9798B" w:rsidRPr="00D926FE" w:rsidRDefault="00B9798B" w:rsidP="00B9798B">
            <w:pPr>
              <w:ind w:left="709" w:hanging="709"/>
              <w:jc w:val="right"/>
              <w:rPr>
                <w:sz w:val="20"/>
                <w:lang w:eastAsia="es-AR"/>
              </w:rPr>
            </w:pPr>
            <w:r w:rsidRPr="001208B7">
              <w:rPr>
                <w:rFonts w:ascii="Arial" w:hAnsi="Arial" w:cs="Arial"/>
                <w:sz w:val="14"/>
                <w:szCs w:val="14"/>
              </w:rPr>
              <w:t>-</w:t>
            </w:r>
          </w:p>
        </w:tc>
        <w:tc>
          <w:tcPr>
            <w:tcW w:w="848" w:type="dxa"/>
            <w:tcBorders>
              <w:top w:val="nil"/>
              <w:left w:val="nil"/>
              <w:bottom w:val="nil"/>
              <w:right w:val="nil"/>
            </w:tcBorders>
            <w:shd w:val="clear" w:color="auto" w:fill="auto"/>
            <w:vAlign w:val="bottom"/>
          </w:tcPr>
          <w:p w14:paraId="5657993A" w14:textId="3D6D1FCF" w:rsidR="00B9798B" w:rsidRPr="00D926FE" w:rsidRDefault="00B9798B" w:rsidP="00B9798B">
            <w:pPr>
              <w:ind w:left="709" w:hanging="709"/>
              <w:jc w:val="right"/>
              <w:rPr>
                <w:sz w:val="20"/>
                <w:lang w:eastAsia="es-AR"/>
              </w:rPr>
            </w:pPr>
            <w:r>
              <w:rPr>
                <w:rFonts w:ascii="Arial" w:hAnsi="Arial" w:cs="Arial"/>
                <w:sz w:val="14"/>
                <w:szCs w:val="14"/>
              </w:rPr>
              <w:t>5.435.852</w:t>
            </w:r>
          </w:p>
        </w:tc>
      </w:tr>
      <w:tr w:rsidR="00B9798B" w:rsidRPr="00D926FE" w14:paraId="69ED2C52"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0EDBC8AA" w14:textId="1E6A1F58" w:rsidR="00B9798B" w:rsidRPr="00D926FE" w:rsidRDefault="00B9798B" w:rsidP="00B9798B">
            <w:pPr>
              <w:rPr>
                <w:rFonts w:ascii="Arial" w:hAnsi="Arial" w:cs="Arial"/>
                <w:b/>
                <w:bCs/>
                <w:i/>
                <w:iCs/>
                <w:sz w:val="14"/>
                <w:szCs w:val="14"/>
                <w:lang w:eastAsia="es-AR"/>
              </w:rPr>
            </w:pPr>
            <w:r>
              <w:rPr>
                <w:rFonts w:ascii="Arial" w:hAnsi="Arial" w:cs="Arial"/>
                <w:sz w:val="14"/>
                <w:szCs w:val="14"/>
              </w:rPr>
              <w:t>Letra de liquidez del BCRA Vto.08/01/20</w:t>
            </w:r>
          </w:p>
        </w:tc>
        <w:tc>
          <w:tcPr>
            <w:tcW w:w="709" w:type="dxa"/>
            <w:tcBorders>
              <w:top w:val="nil"/>
              <w:left w:val="nil"/>
              <w:bottom w:val="nil"/>
              <w:right w:val="nil"/>
            </w:tcBorders>
            <w:shd w:val="clear" w:color="auto" w:fill="auto"/>
            <w:vAlign w:val="bottom"/>
          </w:tcPr>
          <w:p w14:paraId="20ADCF9E" w14:textId="68412FF5" w:rsidR="00B9798B" w:rsidRPr="00D926FE" w:rsidRDefault="00B9798B" w:rsidP="00B9798B">
            <w:pPr>
              <w:jc w:val="center"/>
              <w:rPr>
                <w:rFonts w:ascii="Arial" w:hAnsi="Arial" w:cs="Arial"/>
                <w:b/>
                <w:bCs/>
                <w:i/>
                <w:iCs/>
                <w:sz w:val="14"/>
                <w:szCs w:val="14"/>
                <w:lang w:eastAsia="es-AR"/>
              </w:rPr>
            </w:pPr>
            <w:r>
              <w:rPr>
                <w:rFonts w:ascii="Arial" w:hAnsi="Arial" w:cs="Arial"/>
                <w:sz w:val="14"/>
                <w:szCs w:val="14"/>
              </w:rPr>
              <w:t>80010</w:t>
            </w:r>
          </w:p>
        </w:tc>
        <w:tc>
          <w:tcPr>
            <w:tcW w:w="794" w:type="dxa"/>
            <w:tcBorders>
              <w:top w:val="nil"/>
              <w:left w:val="nil"/>
              <w:bottom w:val="nil"/>
              <w:right w:val="nil"/>
            </w:tcBorders>
            <w:shd w:val="clear" w:color="auto" w:fill="auto"/>
            <w:vAlign w:val="bottom"/>
          </w:tcPr>
          <w:p w14:paraId="47029A2B" w14:textId="77777777" w:rsidR="00B9798B" w:rsidRPr="00D926FE" w:rsidRDefault="00B9798B" w:rsidP="00B9798B">
            <w:pPr>
              <w:jc w:val="center"/>
              <w:rPr>
                <w:sz w:val="20"/>
                <w:lang w:eastAsia="es-AR"/>
              </w:rPr>
            </w:pPr>
          </w:p>
        </w:tc>
        <w:tc>
          <w:tcPr>
            <w:tcW w:w="794" w:type="dxa"/>
            <w:tcBorders>
              <w:top w:val="nil"/>
              <w:left w:val="nil"/>
              <w:bottom w:val="nil"/>
              <w:right w:val="nil"/>
            </w:tcBorders>
            <w:shd w:val="clear" w:color="auto" w:fill="auto"/>
            <w:vAlign w:val="bottom"/>
          </w:tcPr>
          <w:p w14:paraId="49E13F2F" w14:textId="27D9C4AA" w:rsidR="00B9798B" w:rsidRPr="00D926FE" w:rsidRDefault="00B9798B" w:rsidP="00B9798B">
            <w:pPr>
              <w:jc w:val="center"/>
              <w:rPr>
                <w:sz w:val="20"/>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tcPr>
          <w:p w14:paraId="6141C690" w14:textId="685A6E7E" w:rsidR="00B9798B" w:rsidRPr="00D926FE" w:rsidRDefault="00B9798B" w:rsidP="00B9798B">
            <w:pPr>
              <w:ind w:left="709" w:hanging="709"/>
              <w:jc w:val="right"/>
              <w:rPr>
                <w:sz w:val="20"/>
                <w:lang w:eastAsia="es-AR"/>
              </w:rPr>
            </w:pPr>
            <w:r>
              <w:rPr>
                <w:rFonts w:ascii="Arial" w:hAnsi="Arial" w:cs="Arial"/>
                <w:sz w:val="14"/>
                <w:szCs w:val="14"/>
              </w:rPr>
              <w:t>918.038</w:t>
            </w:r>
          </w:p>
        </w:tc>
        <w:tc>
          <w:tcPr>
            <w:tcW w:w="841" w:type="dxa"/>
            <w:tcBorders>
              <w:top w:val="nil"/>
              <w:left w:val="nil"/>
              <w:bottom w:val="nil"/>
              <w:right w:val="nil"/>
            </w:tcBorders>
            <w:shd w:val="clear" w:color="auto" w:fill="auto"/>
            <w:vAlign w:val="bottom"/>
          </w:tcPr>
          <w:p w14:paraId="336B7002" w14:textId="00738C65" w:rsidR="00B9798B" w:rsidRPr="00D926FE" w:rsidRDefault="00B9798B" w:rsidP="00B9798B">
            <w:pPr>
              <w:ind w:left="709" w:hanging="709"/>
              <w:jc w:val="right"/>
              <w:rPr>
                <w:sz w:val="20"/>
                <w:lang w:eastAsia="es-AR"/>
              </w:rPr>
            </w:pPr>
            <w:r w:rsidRPr="007E748F">
              <w:rPr>
                <w:rFonts w:ascii="Arial" w:hAnsi="Arial" w:cs="Arial"/>
                <w:sz w:val="14"/>
                <w:szCs w:val="14"/>
              </w:rPr>
              <w:t>-</w:t>
            </w:r>
          </w:p>
        </w:tc>
        <w:tc>
          <w:tcPr>
            <w:tcW w:w="915" w:type="dxa"/>
            <w:tcBorders>
              <w:top w:val="nil"/>
              <w:left w:val="nil"/>
              <w:bottom w:val="nil"/>
              <w:right w:val="nil"/>
            </w:tcBorders>
            <w:shd w:val="clear" w:color="auto" w:fill="auto"/>
            <w:vAlign w:val="bottom"/>
          </w:tcPr>
          <w:p w14:paraId="3BB4D392" w14:textId="750767A1" w:rsidR="00B9798B" w:rsidRPr="00D926FE" w:rsidRDefault="00B9798B" w:rsidP="00B9798B">
            <w:pPr>
              <w:ind w:left="709" w:hanging="709"/>
              <w:jc w:val="right"/>
              <w:rPr>
                <w:sz w:val="20"/>
                <w:lang w:eastAsia="es-AR"/>
              </w:rPr>
            </w:pPr>
            <w:r>
              <w:rPr>
                <w:rFonts w:ascii="Arial" w:hAnsi="Arial" w:cs="Arial"/>
                <w:sz w:val="14"/>
                <w:szCs w:val="14"/>
              </w:rPr>
              <w:t>918.038</w:t>
            </w:r>
          </w:p>
        </w:tc>
        <w:tc>
          <w:tcPr>
            <w:tcW w:w="778" w:type="dxa"/>
            <w:tcBorders>
              <w:top w:val="nil"/>
              <w:left w:val="nil"/>
              <w:bottom w:val="nil"/>
              <w:right w:val="nil"/>
            </w:tcBorders>
            <w:shd w:val="clear" w:color="auto" w:fill="auto"/>
            <w:vAlign w:val="bottom"/>
          </w:tcPr>
          <w:p w14:paraId="23254F86" w14:textId="404F453C" w:rsidR="00B9798B" w:rsidRPr="00D926FE" w:rsidRDefault="00B9798B" w:rsidP="00B9798B">
            <w:pPr>
              <w:ind w:left="709" w:hanging="709"/>
              <w:jc w:val="right"/>
              <w:rPr>
                <w:sz w:val="20"/>
                <w:lang w:eastAsia="es-AR"/>
              </w:rPr>
            </w:pPr>
            <w:r w:rsidRPr="001208B7">
              <w:rPr>
                <w:rFonts w:ascii="Arial" w:hAnsi="Arial" w:cs="Arial"/>
                <w:sz w:val="14"/>
                <w:szCs w:val="14"/>
              </w:rPr>
              <w:t>-</w:t>
            </w:r>
          </w:p>
        </w:tc>
        <w:tc>
          <w:tcPr>
            <w:tcW w:w="848" w:type="dxa"/>
            <w:tcBorders>
              <w:top w:val="nil"/>
              <w:left w:val="nil"/>
              <w:bottom w:val="nil"/>
              <w:right w:val="nil"/>
            </w:tcBorders>
            <w:shd w:val="clear" w:color="auto" w:fill="auto"/>
            <w:vAlign w:val="bottom"/>
          </w:tcPr>
          <w:p w14:paraId="69688618" w14:textId="29F77CD0" w:rsidR="00B9798B" w:rsidRPr="00D926FE" w:rsidRDefault="00B9798B" w:rsidP="00B9798B">
            <w:pPr>
              <w:ind w:left="709" w:hanging="709"/>
              <w:jc w:val="right"/>
              <w:rPr>
                <w:sz w:val="20"/>
                <w:lang w:eastAsia="es-AR"/>
              </w:rPr>
            </w:pPr>
            <w:r>
              <w:rPr>
                <w:rFonts w:ascii="Arial" w:hAnsi="Arial" w:cs="Arial"/>
                <w:sz w:val="14"/>
                <w:szCs w:val="14"/>
              </w:rPr>
              <w:t>918.038</w:t>
            </w:r>
          </w:p>
        </w:tc>
      </w:tr>
      <w:tr w:rsidR="00B9798B" w:rsidRPr="00D926FE" w14:paraId="303393BB"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220F8772" w14:textId="167BFFA5" w:rsidR="00B9798B" w:rsidRPr="00D926FE" w:rsidRDefault="00B9798B" w:rsidP="00B9798B">
            <w:pPr>
              <w:rPr>
                <w:rFonts w:ascii="Arial" w:hAnsi="Arial" w:cs="Arial"/>
                <w:b/>
                <w:bCs/>
                <w:i/>
                <w:iCs/>
                <w:sz w:val="14"/>
                <w:szCs w:val="14"/>
                <w:lang w:eastAsia="es-AR"/>
              </w:rPr>
            </w:pPr>
            <w:r>
              <w:rPr>
                <w:rFonts w:ascii="Arial" w:hAnsi="Arial" w:cs="Arial"/>
                <w:sz w:val="14"/>
                <w:szCs w:val="14"/>
              </w:rPr>
              <w:t>Letra de liquidez del BCRA Vto.03/01/20</w:t>
            </w:r>
          </w:p>
        </w:tc>
        <w:tc>
          <w:tcPr>
            <w:tcW w:w="709" w:type="dxa"/>
            <w:tcBorders>
              <w:top w:val="nil"/>
              <w:left w:val="nil"/>
              <w:bottom w:val="nil"/>
              <w:right w:val="nil"/>
            </w:tcBorders>
            <w:shd w:val="clear" w:color="auto" w:fill="auto"/>
            <w:vAlign w:val="bottom"/>
          </w:tcPr>
          <w:p w14:paraId="48CBE499" w14:textId="2E0B2CBE" w:rsidR="00B9798B" w:rsidRPr="00D926FE" w:rsidRDefault="00B9798B" w:rsidP="00B9798B">
            <w:pPr>
              <w:jc w:val="center"/>
              <w:rPr>
                <w:rFonts w:ascii="Arial" w:hAnsi="Arial" w:cs="Arial"/>
                <w:b/>
                <w:bCs/>
                <w:i/>
                <w:iCs/>
                <w:sz w:val="14"/>
                <w:szCs w:val="14"/>
                <w:lang w:eastAsia="es-AR"/>
              </w:rPr>
            </w:pPr>
            <w:r>
              <w:rPr>
                <w:rFonts w:ascii="Arial" w:hAnsi="Arial" w:cs="Arial"/>
                <w:sz w:val="14"/>
                <w:szCs w:val="14"/>
              </w:rPr>
              <w:t>80007</w:t>
            </w:r>
          </w:p>
        </w:tc>
        <w:tc>
          <w:tcPr>
            <w:tcW w:w="794" w:type="dxa"/>
            <w:tcBorders>
              <w:top w:val="nil"/>
              <w:left w:val="nil"/>
              <w:bottom w:val="nil"/>
              <w:right w:val="nil"/>
            </w:tcBorders>
            <w:shd w:val="clear" w:color="auto" w:fill="auto"/>
            <w:vAlign w:val="bottom"/>
          </w:tcPr>
          <w:p w14:paraId="510DA6A9" w14:textId="77777777" w:rsidR="00B9798B" w:rsidRPr="00D926FE" w:rsidRDefault="00B9798B" w:rsidP="00B9798B">
            <w:pPr>
              <w:jc w:val="center"/>
              <w:rPr>
                <w:sz w:val="20"/>
                <w:lang w:eastAsia="es-AR"/>
              </w:rPr>
            </w:pPr>
          </w:p>
        </w:tc>
        <w:tc>
          <w:tcPr>
            <w:tcW w:w="794" w:type="dxa"/>
            <w:tcBorders>
              <w:top w:val="nil"/>
              <w:left w:val="nil"/>
              <w:bottom w:val="nil"/>
              <w:right w:val="nil"/>
            </w:tcBorders>
            <w:shd w:val="clear" w:color="auto" w:fill="auto"/>
            <w:vAlign w:val="bottom"/>
          </w:tcPr>
          <w:p w14:paraId="13BF7C83" w14:textId="7DC039A8" w:rsidR="00B9798B" w:rsidRPr="00D926FE" w:rsidRDefault="00B9798B" w:rsidP="00B9798B">
            <w:pPr>
              <w:jc w:val="center"/>
              <w:rPr>
                <w:sz w:val="20"/>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tcPr>
          <w:p w14:paraId="34185C45" w14:textId="5270CA8E" w:rsidR="00B9798B" w:rsidRPr="00D926FE" w:rsidRDefault="00B9798B" w:rsidP="00B9798B">
            <w:pPr>
              <w:ind w:left="709" w:hanging="709"/>
              <w:jc w:val="right"/>
              <w:rPr>
                <w:sz w:val="20"/>
                <w:lang w:eastAsia="es-AR"/>
              </w:rPr>
            </w:pPr>
            <w:r>
              <w:rPr>
                <w:rFonts w:ascii="Arial" w:hAnsi="Arial" w:cs="Arial"/>
                <w:sz w:val="14"/>
                <w:szCs w:val="14"/>
              </w:rPr>
              <w:t>543.264</w:t>
            </w:r>
          </w:p>
        </w:tc>
        <w:tc>
          <w:tcPr>
            <w:tcW w:w="841" w:type="dxa"/>
            <w:tcBorders>
              <w:top w:val="nil"/>
              <w:left w:val="nil"/>
              <w:bottom w:val="nil"/>
              <w:right w:val="nil"/>
            </w:tcBorders>
            <w:shd w:val="clear" w:color="auto" w:fill="auto"/>
            <w:vAlign w:val="bottom"/>
          </w:tcPr>
          <w:p w14:paraId="2598A320" w14:textId="310C2FAF" w:rsidR="00B9798B" w:rsidRPr="00D926FE" w:rsidRDefault="00B9798B" w:rsidP="00B9798B">
            <w:pPr>
              <w:ind w:left="709" w:hanging="709"/>
              <w:jc w:val="right"/>
              <w:rPr>
                <w:sz w:val="20"/>
                <w:lang w:eastAsia="es-AR"/>
              </w:rPr>
            </w:pPr>
            <w:r w:rsidRPr="007E748F">
              <w:rPr>
                <w:rFonts w:ascii="Arial" w:hAnsi="Arial" w:cs="Arial"/>
                <w:sz w:val="14"/>
                <w:szCs w:val="14"/>
              </w:rPr>
              <w:t>-</w:t>
            </w:r>
          </w:p>
        </w:tc>
        <w:tc>
          <w:tcPr>
            <w:tcW w:w="915" w:type="dxa"/>
            <w:tcBorders>
              <w:top w:val="nil"/>
              <w:left w:val="nil"/>
              <w:bottom w:val="nil"/>
              <w:right w:val="nil"/>
            </w:tcBorders>
            <w:shd w:val="clear" w:color="auto" w:fill="auto"/>
            <w:vAlign w:val="bottom"/>
          </w:tcPr>
          <w:p w14:paraId="6BB6D737" w14:textId="3F58A468" w:rsidR="00B9798B" w:rsidRPr="00D926FE" w:rsidRDefault="00B9798B" w:rsidP="00B9798B">
            <w:pPr>
              <w:ind w:left="709" w:hanging="709"/>
              <w:jc w:val="right"/>
              <w:rPr>
                <w:sz w:val="20"/>
                <w:lang w:eastAsia="es-AR"/>
              </w:rPr>
            </w:pPr>
            <w:r>
              <w:rPr>
                <w:rFonts w:ascii="Arial" w:hAnsi="Arial" w:cs="Arial"/>
                <w:sz w:val="14"/>
                <w:szCs w:val="14"/>
              </w:rPr>
              <w:t>543.264</w:t>
            </w:r>
          </w:p>
        </w:tc>
        <w:tc>
          <w:tcPr>
            <w:tcW w:w="778" w:type="dxa"/>
            <w:tcBorders>
              <w:top w:val="nil"/>
              <w:left w:val="nil"/>
              <w:bottom w:val="nil"/>
              <w:right w:val="nil"/>
            </w:tcBorders>
            <w:shd w:val="clear" w:color="auto" w:fill="auto"/>
            <w:vAlign w:val="bottom"/>
          </w:tcPr>
          <w:p w14:paraId="606B5BF4" w14:textId="2D215E6D" w:rsidR="00B9798B" w:rsidRPr="00D926FE" w:rsidRDefault="00B9798B" w:rsidP="00B9798B">
            <w:pPr>
              <w:ind w:left="709" w:hanging="709"/>
              <w:jc w:val="right"/>
              <w:rPr>
                <w:sz w:val="20"/>
                <w:lang w:eastAsia="es-AR"/>
              </w:rPr>
            </w:pPr>
            <w:r w:rsidRPr="001208B7">
              <w:rPr>
                <w:rFonts w:ascii="Arial" w:hAnsi="Arial" w:cs="Arial"/>
                <w:sz w:val="14"/>
                <w:szCs w:val="14"/>
              </w:rPr>
              <w:t>-</w:t>
            </w:r>
          </w:p>
        </w:tc>
        <w:tc>
          <w:tcPr>
            <w:tcW w:w="848" w:type="dxa"/>
            <w:tcBorders>
              <w:top w:val="nil"/>
              <w:left w:val="nil"/>
              <w:bottom w:val="nil"/>
              <w:right w:val="nil"/>
            </w:tcBorders>
            <w:shd w:val="clear" w:color="auto" w:fill="auto"/>
            <w:vAlign w:val="bottom"/>
          </w:tcPr>
          <w:p w14:paraId="11B38CF7" w14:textId="33C59D49" w:rsidR="00B9798B" w:rsidRPr="00D926FE" w:rsidRDefault="00B9798B" w:rsidP="00B9798B">
            <w:pPr>
              <w:ind w:left="709" w:hanging="709"/>
              <w:jc w:val="right"/>
              <w:rPr>
                <w:sz w:val="20"/>
                <w:lang w:eastAsia="es-AR"/>
              </w:rPr>
            </w:pPr>
            <w:r>
              <w:rPr>
                <w:rFonts w:ascii="Arial" w:hAnsi="Arial" w:cs="Arial"/>
                <w:sz w:val="14"/>
                <w:szCs w:val="14"/>
              </w:rPr>
              <w:t>543.264</w:t>
            </w:r>
          </w:p>
        </w:tc>
      </w:tr>
      <w:tr w:rsidR="00B9798B" w:rsidRPr="00D926FE" w14:paraId="1DFDA17D"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6C13063F" w14:textId="3F2FB77C" w:rsidR="00B9798B" w:rsidRPr="00D926FE" w:rsidRDefault="00B9798B" w:rsidP="00B9798B">
            <w:pPr>
              <w:rPr>
                <w:rFonts w:ascii="Arial" w:hAnsi="Arial" w:cs="Arial"/>
                <w:b/>
                <w:bCs/>
                <w:i/>
                <w:iCs/>
                <w:sz w:val="14"/>
                <w:szCs w:val="14"/>
                <w:lang w:eastAsia="es-AR"/>
              </w:rPr>
            </w:pPr>
            <w:r>
              <w:rPr>
                <w:rFonts w:ascii="Arial" w:hAnsi="Arial" w:cs="Arial"/>
                <w:sz w:val="14"/>
                <w:szCs w:val="14"/>
              </w:rPr>
              <w:t>Letra de liquidez del BCRA Vto.06/01/20</w:t>
            </w:r>
          </w:p>
        </w:tc>
        <w:tc>
          <w:tcPr>
            <w:tcW w:w="709" w:type="dxa"/>
            <w:tcBorders>
              <w:top w:val="nil"/>
              <w:left w:val="nil"/>
              <w:bottom w:val="nil"/>
              <w:right w:val="nil"/>
            </w:tcBorders>
            <w:shd w:val="clear" w:color="auto" w:fill="auto"/>
            <w:vAlign w:val="bottom"/>
          </w:tcPr>
          <w:p w14:paraId="30E387DD" w14:textId="249EF234" w:rsidR="00B9798B" w:rsidRPr="00D926FE" w:rsidRDefault="00B9798B" w:rsidP="00B9798B">
            <w:pPr>
              <w:jc w:val="center"/>
              <w:rPr>
                <w:rFonts w:ascii="Arial" w:hAnsi="Arial" w:cs="Arial"/>
                <w:b/>
                <w:bCs/>
                <w:i/>
                <w:iCs/>
                <w:sz w:val="14"/>
                <w:szCs w:val="14"/>
                <w:lang w:eastAsia="es-AR"/>
              </w:rPr>
            </w:pPr>
            <w:r>
              <w:rPr>
                <w:rFonts w:ascii="Arial" w:hAnsi="Arial" w:cs="Arial"/>
                <w:sz w:val="14"/>
                <w:szCs w:val="14"/>
              </w:rPr>
              <w:t>80008</w:t>
            </w:r>
          </w:p>
        </w:tc>
        <w:tc>
          <w:tcPr>
            <w:tcW w:w="794" w:type="dxa"/>
            <w:tcBorders>
              <w:top w:val="nil"/>
              <w:left w:val="nil"/>
              <w:bottom w:val="nil"/>
              <w:right w:val="nil"/>
            </w:tcBorders>
            <w:shd w:val="clear" w:color="auto" w:fill="auto"/>
            <w:vAlign w:val="bottom"/>
          </w:tcPr>
          <w:p w14:paraId="23DFEF32" w14:textId="77777777" w:rsidR="00B9798B" w:rsidRPr="00D926FE" w:rsidRDefault="00B9798B" w:rsidP="00B9798B">
            <w:pPr>
              <w:jc w:val="center"/>
              <w:rPr>
                <w:sz w:val="20"/>
                <w:lang w:eastAsia="es-AR"/>
              </w:rPr>
            </w:pPr>
          </w:p>
        </w:tc>
        <w:tc>
          <w:tcPr>
            <w:tcW w:w="794" w:type="dxa"/>
            <w:tcBorders>
              <w:top w:val="nil"/>
              <w:left w:val="nil"/>
              <w:bottom w:val="nil"/>
              <w:right w:val="nil"/>
            </w:tcBorders>
            <w:shd w:val="clear" w:color="auto" w:fill="auto"/>
            <w:vAlign w:val="bottom"/>
          </w:tcPr>
          <w:p w14:paraId="60E816B2" w14:textId="00BE8CC9" w:rsidR="00B9798B" w:rsidRPr="00D926FE" w:rsidRDefault="00B9798B" w:rsidP="00B9798B">
            <w:pPr>
              <w:jc w:val="center"/>
              <w:rPr>
                <w:sz w:val="20"/>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tcPr>
          <w:p w14:paraId="42BB9A15" w14:textId="292BB0F8" w:rsidR="00B9798B" w:rsidRPr="00D926FE" w:rsidRDefault="00B9798B" w:rsidP="00B9798B">
            <w:pPr>
              <w:ind w:left="709" w:hanging="709"/>
              <w:jc w:val="right"/>
              <w:rPr>
                <w:sz w:val="20"/>
                <w:lang w:eastAsia="es-AR"/>
              </w:rPr>
            </w:pPr>
            <w:r>
              <w:rPr>
                <w:rFonts w:ascii="Arial" w:hAnsi="Arial" w:cs="Arial"/>
                <w:sz w:val="14"/>
                <w:szCs w:val="14"/>
              </w:rPr>
              <w:t>249.023</w:t>
            </w:r>
          </w:p>
        </w:tc>
        <w:tc>
          <w:tcPr>
            <w:tcW w:w="841" w:type="dxa"/>
            <w:tcBorders>
              <w:top w:val="nil"/>
              <w:left w:val="nil"/>
              <w:bottom w:val="nil"/>
              <w:right w:val="nil"/>
            </w:tcBorders>
            <w:shd w:val="clear" w:color="auto" w:fill="auto"/>
            <w:vAlign w:val="bottom"/>
          </w:tcPr>
          <w:p w14:paraId="3212F54A" w14:textId="56285068" w:rsidR="00B9798B" w:rsidRPr="00D926FE" w:rsidRDefault="00B9798B" w:rsidP="00B9798B">
            <w:pPr>
              <w:ind w:left="709" w:hanging="709"/>
              <w:jc w:val="right"/>
              <w:rPr>
                <w:sz w:val="20"/>
                <w:lang w:eastAsia="es-AR"/>
              </w:rPr>
            </w:pPr>
            <w:r w:rsidRPr="007E748F">
              <w:rPr>
                <w:rFonts w:ascii="Arial" w:hAnsi="Arial" w:cs="Arial"/>
                <w:sz w:val="14"/>
                <w:szCs w:val="14"/>
              </w:rPr>
              <w:t>-</w:t>
            </w:r>
          </w:p>
        </w:tc>
        <w:tc>
          <w:tcPr>
            <w:tcW w:w="915" w:type="dxa"/>
            <w:tcBorders>
              <w:top w:val="nil"/>
              <w:left w:val="nil"/>
              <w:bottom w:val="nil"/>
              <w:right w:val="nil"/>
            </w:tcBorders>
            <w:shd w:val="clear" w:color="auto" w:fill="auto"/>
            <w:vAlign w:val="bottom"/>
          </w:tcPr>
          <w:p w14:paraId="1C58F3AC" w14:textId="4BC9037B" w:rsidR="00B9798B" w:rsidRPr="00D926FE" w:rsidRDefault="00B9798B" w:rsidP="00B9798B">
            <w:pPr>
              <w:ind w:left="709" w:hanging="709"/>
              <w:jc w:val="right"/>
              <w:rPr>
                <w:sz w:val="20"/>
                <w:lang w:eastAsia="es-AR"/>
              </w:rPr>
            </w:pPr>
            <w:r>
              <w:rPr>
                <w:rFonts w:ascii="Arial" w:hAnsi="Arial" w:cs="Arial"/>
                <w:sz w:val="14"/>
                <w:szCs w:val="14"/>
              </w:rPr>
              <w:t>249.023</w:t>
            </w:r>
          </w:p>
        </w:tc>
        <w:tc>
          <w:tcPr>
            <w:tcW w:w="778" w:type="dxa"/>
            <w:tcBorders>
              <w:top w:val="nil"/>
              <w:left w:val="nil"/>
              <w:bottom w:val="nil"/>
              <w:right w:val="nil"/>
            </w:tcBorders>
            <w:shd w:val="clear" w:color="auto" w:fill="auto"/>
            <w:vAlign w:val="bottom"/>
          </w:tcPr>
          <w:p w14:paraId="1B88D485" w14:textId="7AA419E1" w:rsidR="00B9798B" w:rsidRPr="00D926FE" w:rsidRDefault="00B9798B" w:rsidP="00B9798B">
            <w:pPr>
              <w:ind w:left="709" w:hanging="709"/>
              <w:jc w:val="right"/>
              <w:rPr>
                <w:sz w:val="20"/>
                <w:lang w:eastAsia="es-AR"/>
              </w:rPr>
            </w:pPr>
            <w:r w:rsidRPr="001208B7">
              <w:rPr>
                <w:rFonts w:ascii="Arial" w:hAnsi="Arial" w:cs="Arial"/>
                <w:sz w:val="14"/>
                <w:szCs w:val="14"/>
              </w:rPr>
              <w:t>-</w:t>
            </w:r>
          </w:p>
        </w:tc>
        <w:tc>
          <w:tcPr>
            <w:tcW w:w="848" w:type="dxa"/>
            <w:tcBorders>
              <w:top w:val="nil"/>
              <w:left w:val="nil"/>
              <w:bottom w:val="nil"/>
              <w:right w:val="nil"/>
            </w:tcBorders>
            <w:shd w:val="clear" w:color="auto" w:fill="auto"/>
            <w:vAlign w:val="bottom"/>
          </w:tcPr>
          <w:p w14:paraId="6B4DAD48" w14:textId="41871ED0" w:rsidR="00B9798B" w:rsidRPr="00D926FE" w:rsidRDefault="00B9798B" w:rsidP="00B9798B">
            <w:pPr>
              <w:ind w:left="709" w:hanging="709"/>
              <w:jc w:val="right"/>
              <w:rPr>
                <w:sz w:val="20"/>
                <w:lang w:eastAsia="es-AR"/>
              </w:rPr>
            </w:pPr>
            <w:r>
              <w:rPr>
                <w:rFonts w:ascii="Arial" w:hAnsi="Arial" w:cs="Arial"/>
                <w:sz w:val="14"/>
                <w:szCs w:val="14"/>
              </w:rPr>
              <w:t>249.023</w:t>
            </w:r>
          </w:p>
        </w:tc>
      </w:tr>
      <w:tr w:rsidR="00B9798B" w:rsidRPr="00D926FE" w14:paraId="1DD66A3A"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3A53C5A0" w14:textId="77B5EBB3" w:rsidR="00B9798B" w:rsidRPr="00D926FE" w:rsidRDefault="00B9798B" w:rsidP="00B9798B">
            <w:pPr>
              <w:rPr>
                <w:rFonts w:ascii="Arial" w:hAnsi="Arial" w:cs="Arial"/>
                <w:b/>
                <w:bCs/>
                <w:i/>
                <w:iCs/>
                <w:sz w:val="14"/>
                <w:szCs w:val="14"/>
                <w:lang w:eastAsia="es-AR"/>
              </w:rPr>
            </w:pPr>
            <w:r>
              <w:rPr>
                <w:rFonts w:ascii="Arial" w:hAnsi="Arial" w:cs="Arial"/>
                <w:sz w:val="14"/>
                <w:szCs w:val="14"/>
              </w:rPr>
              <w:t>Letra de liquidez del BCRA Vto.02/01/20</w:t>
            </w:r>
          </w:p>
        </w:tc>
        <w:tc>
          <w:tcPr>
            <w:tcW w:w="709" w:type="dxa"/>
            <w:tcBorders>
              <w:top w:val="nil"/>
              <w:left w:val="nil"/>
              <w:bottom w:val="nil"/>
              <w:right w:val="nil"/>
            </w:tcBorders>
            <w:shd w:val="clear" w:color="auto" w:fill="auto"/>
            <w:vAlign w:val="bottom"/>
          </w:tcPr>
          <w:p w14:paraId="3AD150E2" w14:textId="19201F93" w:rsidR="00B9798B" w:rsidRPr="00D926FE" w:rsidRDefault="00B9798B" w:rsidP="00B9798B">
            <w:pPr>
              <w:jc w:val="center"/>
              <w:rPr>
                <w:rFonts w:ascii="Arial" w:hAnsi="Arial" w:cs="Arial"/>
                <w:b/>
                <w:bCs/>
                <w:i/>
                <w:iCs/>
                <w:sz w:val="14"/>
                <w:szCs w:val="14"/>
                <w:lang w:eastAsia="es-AR"/>
              </w:rPr>
            </w:pPr>
            <w:r>
              <w:rPr>
                <w:rFonts w:ascii="Arial" w:hAnsi="Arial" w:cs="Arial"/>
                <w:sz w:val="14"/>
                <w:szCs w:val="14"/>
              </w:rPr>
              <w:t>80006</w:t>
            </w:r>
          </w:p>
        </w:tc>
        <w:tc>
          <w:tcPr>
            <w:tcW w:w="794" w:type="dxa"/>
            <w:tcBorders>
              <w:top w:val="nil"/>
              <w:left w:val="nil"/>
              <w:bottom w:val="nil"/>
              <w:right w:val="nil"/>
            </w:tcBorders>
            <w:shd w:val="clear" w:color="auto" w:fill="auto"/>
            <w:vAlign w:val="bottom"/>
          </w:tcPr>
          <w:p w14:paraId="0B18CC11" w14:textId="77777777" w:rsidR="00B9798B" w:rsidRPr="00D926FE" w:rsidRDefault="00B9798B" w:rsidP="00B9798B">
            <w:pPr>
              <w:jc w:val="center"/>
              <w:rPr>
                <w:sz w:val="20"/>
                <w:lang w:eastAsia="es-AR"/>
              </w:rPr>
            </w:pPr>
          </w:p>
        </w:tc>
        <w:tc>
          <w:tcPr>
            <w:tcW w:w="794" w:type="dxa"/>
            <w:tcBorders>
              <w:top w:val="nil"/>
              <w:left w:val="nil"/>
              <w:bottom w:val="nil"/>
              <w:right w:val="nil"/>
            </w:tcBorders>
            <w:shd w:val="clear" w:color="auto" w:fill="auto"/>
            <w:vAlign w:val="bottom"/>
          </w:tcPr>
          <w:p w14:paraId="5159531C" w14:textId="00681376" w:rsidR="00B9798B" w:rsidRPr="00D926FE" w:rsidRDefault="00B9798B" w:rsidP="00B9798B">
            <w:pPr>
              <w:jc w:val="center"/>
              <w:rPr>
                <w:sz w:val="20"/>
                <w:lang w:eastAsia="es-AR"/>
              </w:rPr>
            </w:pPr>
            <w:r>
              <w:rPr>
                <w:rFonts w:ascii="Arial" w:hAnsi="Arial" w:cs="Arial"/>
                <w:sz w:val="14"/>
                <w:szCs w:val="14"/>
              </w:rPr>
              <w:t>2</w:t>
            </w:r>
          </w:p>
        </w:tc>
        <w:tc>
          <w:tcPr>
            <w:tcW w:w="841" w:type="dxa"/>
            <w:tcBorders>
              <w:top w:val="nil"/>
              <w:left w:val="nil"/>
              <w:bottom w:val="nil"/>
              <w:right w:val="nil"/>
            </w:tcBorders>
            <w:shd w:val="clear" w:color="auto" w:fill="auto"/>
            <w:vAlign w:val="bottom"/>
          </w:tcPr>
          <w:p w14:paraId="6AD63615" w14:textId="33BF4D2A" w:rsidR="00B9798B" w:rsidRPr="00D926FE" w:rsidRDefault="00B9798B" w:rsidP="00B9798B">
            <w:pPr>
              <w:ind w:left="709" w:hanging="709"/>
              <w:jc w:val="right"/>
              <w:rPr>
                <w:sz w:val="20"/>
                <w:lang w:eastAsia="es-AR"/>
              </w:rPr>
            </w:pPr>
            <w:r>
              <w:rPr>
                <w:rFonts w:ascii="Arial" w:hAnsi="Arial" w:cs="Arial"/>
                <w:sz w:val="14"/>
                <w:szCs w:val="14"/>
              </w:rPr>
              <w:t>24.962</w:t>
            </w:r>
          </w:p>
        </w:tc>
        <w:tc>
          <w:tcPr>
            <w:tcW w:w="841" w:type="dxa"/>
            <w:tcBorders>
              <w:top w:val="nil"/>
              <w:left w:val="nil"/>
              <w:bottom w:val="nil"/>
              <w:right w:val="nil"/>
            </w:tcBorders>
            <w:shd w:val="clear" w:color="auto" w:fill="auto"/>
            <w:vAlign w:val="bottom"/>
          </w:tcPr>
          <w:p w14:paraId="36E5A676" w14:textId="448A555E" w:rsidR="00B9798B" w:rsidRPr="00D926FE" w:rsidRDefault="00B9798B" w:rsidP="00B9798B">
            <w:pPr>
              <w:ind w:left="709" w:hanging="709"/>
              <w:jc w:val="right"/>
              <w:rPr>
                <w:sz w:val="20"/>
                <w:lang w:eastAsia="es-AR"/>
              </w:rPr>
            </w:pPr>
            <w:r w:rsidRPr="007E748F">
              <w:rPr>
                <w:rFonts w:ascii="Arial" w:hAnsi="Arial" w:cs="Arial"/>
                <w:sz w:val="14"/>
                <w:szCs w:val="14"/>
              </w:rPr>
              <w:t>-</w:t>
            </w:r>
          </w:p>
        </w:tc>
        <w:tc>
          <w:tcPr>
            <w:tcW w:w="915" w:type="dxa"/>
            <w:tcBorders>
              <w:top w:val="nil"/>
              <w:left w:val="nil"/>
              <w:bottom w:val="nil"/>
              <w:right w:val="nil"/>
            </w:tcBorders>
            <w:shd w:val="clear" w:color="auto" w:fill="auto"/>
            <w:vAlign w:val="bottom"/>
          </w:tcPr>
          <w:p w14:paraId="232FC6D3" w14:textId="18DA41C8" w:rsidR="00B9798B" w:rsidRPr="00D926FE" w:rsidRDefault="00B9798B" w:rsidP="00B9798B">
            <w:pPr>
              <w:ind w:left="709" w:hanging="709"/>
              <w:jc w:val="right"/>
              <w:rPr>
                <w:sz w:val="20"/>
                <w:lang w:eastAsia="es-AR"/>
              </w:rPr>
            </w:pPr>
            <w:r>
              <w:rPr>
                <w:rFonts w:ascii="Arial" w:hAnsi="Arial" w:cs="Arial"/>
                <w:sz w:val="14"/>
                <w:szCs w:val="14"/>
              </w:rPr>
              <w:t>24.962</w:t>
            </w:r>
          </w:p>
        </w:tc>
        <w:tc>
          <w:tcPr>
            <w:tcW w:w="778" w:type="dxa"/>
            <w:tcBorders>
              <w:top w:val="nil"/>
              <w:left w:val="nil"/>
              <w:bottom w:val="nil"/>
              <w:right w:val="nil"/>
            </w:tcBorders>
            <w:shd w:val="clear" w:color="auto" w:fill="auto"/>
            <w:vAlign w:val="bottom"/>
          </w:tcPr>
          <w:p w14:paraId="7AEB4AD7" w14:textId="7EDA36BF" w:rsidR="00B9798B" w:rsidRPr="00D926FE" w:rsidRDefault="00B9798B" w:rsidP="00B9798B">
            <w:pPr>
              <w:ind w:left="709" w:hanging="709"/>
              <w:jc w:val="right"/>
              <w:rPr>
                <w:sz w:val="20"/>
                <w:lang w:eastAsia="es-AR"/>
              </w:rPr>
            </w:pPr>
            <w:r w:rsidRPr="001208B7">
              <w:rPr>
                <w:rFonts w:ascii="Arial" w:hAnsi="Arial" w:cs="Arial"/>
                <w:sz w:val="14"/>
                <w:szCs w:val="14"/>
              </w:rPr>
              <w:t>-</w:t>
            </w:r>
          </w:p>
        </w:tc>
        <w:tc>
          <w:tcPr>
            <w:tcW w:w="848" w:type="dxa"/>
            <w:tcBorders>
              <w:top w:val="nil"/>
              <w:left w:val="nil"/>
              <w:bottom w:val="nil"/>
              <w:right w:val="nil"/>
            </w:tcBorders>
            <w:shd w:val="clear" w:color="auto" w:fill="auto"/>
            <w:vAlign w:val="bottom"/>
          </w:tcPr>
          <w:p w14:paraId="2FA3112B" w14:textId="73DBEA5D" w:rsidR="00B9798B" w:rsidRPr="00D926FE" w:rsidRDefault="00B9798B" w:rsidP="00B9798B">
            <w:pPr>
              <w:ind w:left="709" w:hanging="709"/>
              <w:jc w:val="right"/>
              <w:rPr>
                <w:sz w:val="20"/>
                <w:lang w:eastAsia="es-AR"/>
              </w:rPr>
            </w:pPr>
            <w:r>
              <w:rPr>
                <w:rFonts w:ascii="Arial" w:hAnsi="Arial" w:cs="Arial"/>
                <w:sz w:val="14"/>
                <w:szCs w:val="14"/>
              </w:rPr>
              <w:t>24.962</w:t>
            </w:r>
          </w:p>
        </w:tc>
      </w:tr>
      <w:tr w:rsidR="00B9798B" w:rsidRPr="00D926FE" w14:paraId="3E534ABD"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2A05C54A" w14:textId="77777777" w:rsidR="00B9798B" w:rsidRDefault="00B9798B" w:rsidP="00B9798B">
            <w:pPr>
              <w:rPr>
                <w:rFonts w:ascii="Arial" w:hAnsi="Arial" w:cs="Arial"/>
                <w:sz w:val="14"/>
                <w:szCs w:val="14"/>
              </w:rPr>
            </w:pPr>
          </w:p>
        </w:tc>
        <w:tc>
          <w:tcPr>
            <w:tcW w:w="709" w:type="dxa"/>
            <w:tcBorders>
              <w:top w:val="nil"/>
              <w:left w:val="nil"/>
              <w:bottom w:val="nil"/>
              <w:right w:val="nil"/>
            </w:tcBorders>
            <w:shd w:val="clear" w:color="auto" w:fill="auto"/>
            <w:vAlign w:val="bottom"/>
          </w:tcPr>
          <w:p w14:paraId="3A6E81F3" w14:textId="77777777" w:rsidR="00B9798B" w:rsidRDefault="00B9798B" w:rsidP="00B9798B">
            <w:pPr>
              <w:jc w:val="center"/>
              <w:rPr>
                <w:rFonts w:ascii="Arial" w:hAnsi="Arial" w:cs="Arial"/>
                <w:sz w:val="14"/>
                <w:szCs w:val="14"/>
              </w:rPr>
            </w:pPr>
          </w:p>
        </w:tc>
        <w:tc>
          <w:tcPr>
            <w:tcW w:w="794" w:type="dxa"/>
            <w:tcBorders>
              <w:top w:val="nil"/>
              <w:left w:val="nil"/>
              <w:bottom w:val="nil"/>
              <w:right w:val="nil"/>
            </w:tcBorders>
            <w:shd w:val="clear" w:color="auto" w:fill="auto"/>
            <w:vAlign w:val="bottom"/>
          </w:tcPr>
          <w:p w14:paraId="3C7C077E" w14:textId="77777777" w:rsidR="00B9798B" w:rsidRPr="00D926FE" w:rsidRDefault="00B9798B" w:rsidP="00B9798B">
            <w:pPr>
              <w:jc w:val="center"/>
              <w:rPr>
                <w:sz w:val="20"/>
                <w:lang w:eastAsia="es-AR"/>
              </w:rPr>
            </w:pPr>
          </w:p>
        </w:tc>
        <w:tc>
          <w:tcPr>
            <w:tcW w:w="794" w:type="dxa"/>
            <w:tcBorders>
              <w:top w:val="nil"/>
              <w:left w:val="nil"/>
              <w:bottom w:val="nil"/>
              <w:right w:val="nil"/>
            </w:tcBorders>
            <w:shd w:val="clear" w:color="auto" w:fill="auto"/>
            <w:vAlign w:val="bottom"/>
          </w:tcPr>
          <w:p w14:paraId="7D3839CC" w14:textId="77777777" w:rsidR="00B9798B" w:rsidRDefault="00B9798B" w:rsidP="00B9798B">
            <w:pPr>
              <w:jc w:val="center"/>
              <w:rPr>
                <w:rFonts w:ascii="Arial" w:hAnsi="Arial" w:cs="Arial"/>
                <w:sz w:val="14"/>
                <w:szCs w:val="14"/>
              </w:rPr>
            </w:pPr>
          </w:p>
        </w:tc>
        <w:tc>
          <w:tcPr>
            <w:tcW w:w="841" w:type="dxa"/>
            <w:tcBorders>
              <w:top w:val="nil"/>
              <w:left w:val="nil"/>
              <w:bottom w:val="nil"/>
              <w:right w:val="nil"/>
            </w:tcBorders>
            <w:shd w:val="clear" w:color="auto" w:fill="auto"/>
            <w:vAlign w:val="bottom"/>
          </w:tcPr>
          <w:p w14:paraId="710E3CD2" w14:textId="77777777" w:rsidR="00B9798B" w:rsidRDefault="00B9798B" w:rsidP="00B9798B">
            <w:pPr>
              <w:ind w:left="709" w:hanging="709"/>
              <w:jc w:val="right"/>
              <w:rPr>
                <w:rFonts w:ascii="Arial" w:hAnsi="Arial" w:cs="Arial"/>
                <w:sz w:val="14"/>
                <w:szCs w:val="14"/>
              </w:rPr>
            </w:pPr>
          </w:p>
        </w:tc>
        <w:tc>
          <w:tcPr>
            <w:tcW w:w="841" w:type="dxa"/>
            <w:tcBorders>
              <w:top w:val="nil"/>
              <w:left w:val="nil"/>
              <w:bottom w:val="nil"/>
              <w:right w:val="nil"/>
            </w:tcBorders>
            <w:shd w:val="clear" w:color="auto" w:fill="auto"/>
            <w:vAlign w:val="bottom"/>
          </w:tcPr>
          <w:p w14:paraId="4A402BEA" w14:textId="77777777" w:rsidR="00B9798B" w:rsidRPr="007E748F" w:rsidRDefault="00B9798B" w:rsidP="00B9798B">
            <w:pPr>
              <w:ind w:left="709" w:hanging="709"/>
              <w:jc w:val="right"/>
              <w:rPr>
                <w:rFonts w:ascii="Arial" w:hAnsi="Arial" w:cs="Arial"/>
                <w:sz w:val="14"/>
                <w:szCs w:val="14"/>
              </w:rPr>
            </w:pPr>
          </w:p>
        </w:tc>
        <w:tc>
          <w:tcPr>
            <w:tcW w:w="915" w:type="dxa"/>
            <w:tcBorders>
              <w:top w:val="nil"/>
              <w:left w:val="nil"/>
              <w:bottom w:val="nil"/>
              <w:right w:val="nil"/>
            </w:tcBorders>
            <w:shd w:val="clear" w:color="auto" w:fill="auto"/>
            <w:vAlign w:val="bottom"/>
          </w:tcPr>
          <w:p w14:paraId="1AE191F1" w14:textId="77777777" w:rsidR="00B9798B" w:rsidRDefault="00B9798B" w:rsidP="00B9798B">
            <w:pPr>
              <w:ind w:left="709" w:hanging="709"/>
              <w:jc w:val="right"/>
              <w:rPr>
                <w:rFonts w:ascii="Arial" w:hAnsi="Arial" w:cs="Arial"/>
                <w:sz w:val="14"/>
                <w:szCs w:val="14"/>
              </w:rPr>
            </w:pPr>
          </w:p>
        </w:tc>
        <w:tc>
          <w:tcPr>
            <w:tcW w:w="778" w:type="dxa"/>
            <w:tcBorders>
              <w:top w:val="nil"/>
              <w:left w:val="nil"/>
              <w:bottom w:val="nil"/>
              <w:right w:val="nil"/>
            </w:tcBorders>
            <w:shd w:val="clear" w:color="auto" w:fill="auto"/>
            <w:vAlign w:val="bottom"/>
          </w:tcPr>
          <w:p w14:paraId="5AA88D89" w14:textId="77777777" w:rsidR="00B9798B" w:rsidRPr="001208B7" w:rsidRDefault="00B9798B" w:rsidP="00B9798B">
            <w:pPr>
              <w:ind w:left="709" w:hanging="709"/>
              <w:jc w:val="right"/>
              <w:rPr>
                <w:rFonts w:ascii="Arial" w:hAnsi="Arial" w:cs="Arial"/>
                <w:sz w:val="14"/>
                <w:szCs w:val="14"/>
              </w:rPr>
            </w:pPr>
          </w:p>
        </w:tc>
        <w:tc>
          <w:tcPr>
            <w:tcW w:w="848" w:type="dxa"/>
            <w:tcBorders>
              <w:top w:val="nil"/>
              <w:left w:val="nil"/>
              <w:bottom w:val="nil"/>
              <w:right w:val="nil"/>
            </w:tcBorders>
            <w:shd w:val="clear" w:color="auto" w:fill="auto"/>
            <w:vAlign w:val="bottom"/>
          </w:tcPr>
          <w:p w14:paraId="0F4AA973" w14:textId="77777777" w:rsidR="00B9798B" w:rsidRDefault="00B9798B" w:rsidP="00B9798B">
            <w:pPr>
              <w:ind w:left="709" w:hanging="709"/>
              <w:jc w:val="right"/>
              <w:rPr>
                <w:rFonts w:ascii="Arial" w:hAnsi="Arial" w:cs="Arial"/>
                <w:sz w:val="14"/>
                <w:szCs w:val="14"/>
              </w:rPr>
            </w:pPr>
          </w:p>
        </w:tc>
      </w:tr>
      <w:tr w:rsidR="00B9798B" w:rsidRPr="00D926FE" w14:paraId="6C95855A"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1CA39BF8" w14:textId="1D5384B9" w:rsidR="00B9798B" w:rsidRPr="00D926FE" w:rsidRDefault="00B9798B" w:rsidP="00B9798B">
            <w:pPr>
              <w:rPr>
                <w:rFonts w:ascii="Arial" w:hAnsi="Arial" w:cs="Arial"/>
                <w:b/>
                <w:bCs/>
                <w:i/>
                <w:iCs/>
                <w:sz w:val="14"/>
                <w:szCs w:val="14"/>
                <w:lang w:eastAsia="es-AR"/>
              </w:rPr>
            </w:pPr>
            <w:r w:rsidRPr="00B03371">
              <w:rPr>
                <w:rFonts w:ascii="Arial" w:hAnsi="Arial" w:cs="Arial"/>
                <w:sz w:val="14"/>
                <w:szCs w:val="14"/>
                <w:lang w:eastAsia="es-AR"/>
              </w:rPr>
              <w:t>Títulos privados</w:t>
            </w:r>
          </w:p>
        </w:tc>
        <w:tc>
          <w:tcPr>
            <w:tcW w:w="709" w:type="dxa"/>
            <w:tcBorders>
              <w:top w:val="nil"/>
              <w:left w:val="nil"/>
              <w:bottom w:val="nil"/>
              <w:right w:val="nil"/>
            </w:tcBorders>
            <w:shd w:val="clear" w:color="auto" w:fill="auto"/>
            <w:vAlign w:val="bottom"/>
          </w:tcPr>
          <w:p w14:paraId="4BA32B72" w14:textId="77777777" w:rsidR="00B9798B" w:rsidRPr="00D926FE" w:rsidRDefault="00B9798B" w:rsidP="00B9798B">
            <w:pPr>
              <w:jc w:val="center"/>
              <w:rPr>
                <w:rFonts w:ascii="Arial" w:hAnsi="Arial" w:cs="Arial"/>
                <w:b/>
                <w:bCs/>
                <w:i/>
                <w:iCs/>
                <w:sz w:val="14"/>
                <w:szCs w:val="14"/>
                <w:lang w:eastAsia="es-AR"/>
              </w:rPr>
            </w:pPr>
          </w:p>
        </w:tc>
        <w:tc>
          <w:tcPr>
            <w:tcW w:w="794" w:type="dxa"/>
            <w:tcBorders>
              <w:top w:val="nil"/>
              <w:left w:val="nil"/>
              <w:bottom w:val="nil"/>
              <w:right w:val="nil"/>
            </w:tcBorders>
            <w:shd w:val="clear" w:color="auto" w:fill="auto"/>
            <w:vAlign w:val="bottom"/>
          </w:tcPr>
          <w:p w14:paraId="4DC690A6" w14:textId="77777777" w:rsidR="00B9798B" w:rsidRPr="00D926FE" w:rsidRDefault="00B9798B" w:rsidP="00B9798B">
            <w:pPr>
              <w:jc w:val="center"/>
              <w:rPr>
                <w:sz w:val="20"/>
                <w:lang w:eastAsia="es-AR"/>
              </w:rPr>
            </w:pPr>
          </w:p>
        </w:tc>
        <w:tc>
          <w:tcPr>
            <w:tcW w:w="794" w:type="dxa"/>
            <w:tcBorders>
              <w:top w:val="nil"/>
              <w:left w:val="nil"/>
              <w:bottom w:val="nil"/>
              <w:right w:val="nil"/>
            </w:tcBorders>
            <w:shd w:val="clear" w:color="auto" w:fill="auto"/>
            <w:vAlign w:val="bottom"/>
          </w:tcPr>
          <w:p w14:paraId="55A82125" w14:textId="77777777" w:rsidR="00B9798B" w:rsidRPr="00D926FE" w:rsidRDefault="00B9798B" w:rsidP="00B9798B">
            <w:pPr>
              <w:jc w:val="center"/>
              <w:rPr>
                <w:sz w:val="20"/>
                <w:lang w:eastAsia="es-AR"/>
              </w:rPr>
            </w:pPr>
          </w:p>
        </w:tc>
        <w:tc>
          <w:tcPr>
            <w:tcW w:w="841" w:type="dxa"/>
            <w:tcBorders>
              <w:top w:val="nil"/>
              <w:left w:val="nil"/>
              <w:bottom w:val="nil"/>
              <w:right w:val="nil"/>
            </w:tcBorders>
            <w:shd w:val="clear" w:color="auto" w:fill="auto"/>
            <w:vAlign w:val="bottom"/>
          </w:tcPr>
          <w:p w14:paraId="2E0C7769" w14:textId="77777777" w:rsidR="00B9798B" w:rsidRPr="00D926FE" w:rsidRDefault="00B9798B"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tcPr>
          <w:p w14:paraId="2F4DD15C" w14:textId="77777777" w:rsidR="00B9798B" w:rsidRPr="00D926FE" w:rsidRDefault="00B9798B"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tcPr>
          <w:p w14:paraId="57658492" w14:textId="77777777" w:rsidR="00B9798B" w:rsidRPr="00D926FE" w:rsidRDefault="00B9798B"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tcPr>
          <w:p w14:paraId="6C9BC02F" w14:textId="77777777" w:rsidR="00B9798B" w:rsidRPr="00D926FE" w:rsidRDefault="00B9798B"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tcPr>
          <w:p w14:paraId="2E28C18A" w14:textId="77777777" w:rsidR="00B9798B" w:rsidRPr="00D926FE" w:rsidRDefault="00B9798B" w:rsidP="00B9798B">
            <w:pPr>
              <w:ind w:left="709" w:hanging="709"/>
              <w:jc w:val="right"/>
              <w:rPr>
                <w:sz w:val="20"/>
                <w:lang w:eastAsia="es-AR"/>
              </w:rPr>
            </w:pPr>
          </w:p>
        </w:tc>
      </w:tr>
      <w:tr w:rsidR="007465F0" w:rsidRPr="00D926FE" w14:paraId="78B79953"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1EE05B82" w14:textId="13987F00" w:rsidR="007465F0" w:rsidRPr="00D926FE" w:rsidRDefault="004E343F" w:rsidP="00B9798B">
            <w:pPr>
              <w:rPr>
                <w:rFonts w:ascii="Arial" w:hAnsi="Arial" w:cs="Arial"/>
                <w:sz w:val="14"/>
                <w:szCs w:val="14"/>
                <w:lang w:eastAsia="es-AR"/>
              </w:rPr>
            </w:pPr>
            <w:r w:rsidRPr="00D926FE">
              <w:rPr>
                <w:rFonts w:ascii="Arial" w:hAnsi="Arial" w:cs="Arial"/>
                <w:sz w:val="14"/>
                <w:szCs w:val="14"/>
                <w:lang w:eastAsia="es-AR"/>
              </w:rPr>
              <w:t>Otros</w:t>
            </w:r>
          </w:p>
        </w:tc>
        <w:tc>
          <w:tcPr>
            <w:tcW w:w="709" w:type="dxa"/>
            <w:tcBorders>
              <w:top w:val="nil"/>
              <w:left w:val="nil"/>
              <w:bottom w:val="nil"/>
              <w:right w:val="nil"/>
            </w:tcBorders>
            <w:shd w:val="clear" w:color="auto" w:fill="auto"/>
            <w:vAlign w:val="bottom"/>
            <w:hideMark/>
          </w:tcPr>
          <w:p w14:paraId="202355FB" w14:textId="77777777" w:rsidR="007465F0" w:rsidRPr="00D926FE" w:rsidRDefault="007465F0" w:rsidP="00B9798B">
            <w:pPr>
              <w:ind w:firstLineChars="300" w:firstLine="420"/>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06A64A2A" w14:textId="7DAB5CEF"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3477E7C7" w14:textId="50DA2300"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770391CF" w14:textId="77777777" w:rsidR="007465F0" w:rsidRPr="00D926FE" w:rsidRDefault="007465F0" w:rsidP="00B9798B">
            <w:pPr>
              <w:ind w:left="709" w:hanging="709"/>
              <w:jc w:val="right"/>
              <w:rPr>
                <w:rFonts w:ascii="Arial" w:hAnsi="Arial" w:cs="Arial"/>
                <w:sz w:val="14"/>
                <w:szCs w:val="14"/>
                <w:lang w:eastAsia="es-AR"/>
              </w:rPr>
            </w:pPr>
            <w:r w:rsidRPr="00D926FE">
              <w:rPr>
                <w:rFonts w:ascii="Arial" w:hAnsi="Arial" w:cs="Arial"/>
                <w:sz w:val="14"/>
                <w:szCs w:val="14"/>
                <w:lang w:eastAsia="es-AR"/>
              </w:rPr>
              <w:t>32</w:t>
            </w:r>
          </w:p>
        </w:tc>
        <w:tc>
          <w:tcPr>
            <w:tcW w:w="841" w:type="dxa"/>
            <w:tcBorders>
              <w:top w:val="nil"/>
              <w:left w:val="nil"/>
              <w:bottom w:val="nil"/>
              <w:right w:val="nil"/>
            </w:tcBorders>
            <w:shd w:val="clear" w:color="auto" w:fill="auto"/>
            <w:vAlign w:val="bottom"/>
            <w:hideMark/>
          </w:tcPr>
          <w:p w14:paraId="5EFDAE34" w14:textId="77777777" w:rsidR="007465F0" w:rsidRPr="00D926FE" w:rsidRDefault="007465F0" w:rsidP="00B9798B">
            <w:pPr>
              <w:ind w:left="709" w:hanging="709"/>
              <w:jc w:val="right"/>
              <w:rPr>
                <w:rFonts w:ascii="Arial" w:hAnsi="Arial" w:cs="Arial"/>
                <w:sz w:val="14"/>
                <w:szCs w:val="14"/>
                <w:lang w:eastAsia="es-AR"/>
              </w:rPr>
            </w:pPr>
            <w:r w:rsidRPr="00D926FE">
              <w:rPr>
                <w:rFonts w:ascii="Arial" w:hAnsi="Arial" w:cs="Arial"/>
                <w:sz w:val="14"/>
                <w:szCs w:val="14"/>
                <w:lang w:eastAsia="es-AR"/>
              </w:rPr>
              <w:t>32</w:t>
            </w:r>
          </w:p>
        </w:tc>
        <w:tc>
          <w:tcPr>
            <w:tcW w:w="915" w:type="dxa"/>
            <w:tcBorders>
              <w:top w:val="nil"/>
              <w:left w:val="nil"/>
              <w:bottom w:val="nil"/>
              <w:right w:val="nil"/>
            </w:tcBorders>
            <w:shd w:val="clear" w:color="auto" w:fill="auto"/>
            <w:vAlign w:val="bottom"/>
            <w:hideMark/>
          </w:tcPr>
          <w:p w14:paraId="4510F268" w14:textId="77777777" w:rsidR="007465F0" w:rsidRPr="00D926FE" w:rsidRDefault="007465F0" w:rsidP="00B9798B">
            <w:pPr>
              <w:ind w:left="709" w:hanging="709"/>
              <w:jc w:val="right"/>
              <w:rPr>
                <w:rFonts w:ascii="Arial" w:hAnsi="Arial" w:cs="Arial"/>
                <w:sz w:val="14"/>
                <w:szCs w:val="14"/>
                <w:lang w:eastAsia="es-AR"/>
              </w:rPr>
            </w:pPr>
            <w:r w:rsidRPr="00D926FE">
              <w:rPr>
                <w:rFonts w:ascii="Arial" w:hAnsi="Arial" w:cs="Arial"/>
                <w:sz w:val="14"/>
                <w:szCs w:val="14"/>
                <w:lang w:eastAsia="es-AR"/>
              </w:rPr>
              <w:t>32</w:t>
            </w:r>
          </w:p>
        </w:tc>
        <w:tc>
          <w:tcPr>
            <w:tcW w:w="778" w:type="dxa"/>
            <w:tcBorders>
              <w:top w:val="nil"/>
              <w:left w:val="nil"/>
              <w:bottom w:val="nil"/>
              <w:right w:val="nil"/>
            </w:tcBorders>
            <w:shd w:val="clear" w:color="auto" w:fill="auto"/>
            <w:vAlign w:val="bottom"/>
            <w:hideMark/>
          </w:tcPr>
          <w:p w14:paraId="363060BD" w14:textId="2817A9D4" w:rsidR="007465F0" w:rsidRPr="00D926FE" w:rsidRDefault="007465F0" w:rsidP="00B9798B">
            <w:pPr>
              <w:ind w:left="709" w:hanging="709"/>
              <w:jc w:val="right"/>
              <w:rPr>
                <w:rFonts w:ascii="Arial" w:hAnsi="Arial" w:cs="Arial"/>
                <w:sz w:val="14"/>
                <w:szCs w:val="14"/>
                <w:lang w:eastAsia="es-AR"/>
              </w:rPr>
            </w:pPr>
            <w:r>
              <w:rPr>
                <w:rFonts w:ascii="Arial" w:hAnsi="Arial" w:cs="Arial"/>
                <w:sz w:val="14"/>
                <w:szCs w:val="14"/>
                <w:lang w:eastAsia="es-AR"/>
              </w:rPr>
              <w:t>-</w:t>
            </w:r>
          </w:p>
        </w:tc>
        <w:tc>
          <w:tcPr>
            <w:tcW w:w="848" w:type="dxa"/>
            <w:tcBorders>
              <w:top w:val="nil"/>
              <w:left w:val="nil"/>
              <w:bottom w:val="nil"/>
              <w:right w:val="nil"/>
            </w:tcBorders>
            <w:shd w:val="clear" w:color="auto" w:fill="auto"/>
            <w:vAlign w:val="bottom"/>
            <w:hideMark/>
          </w:tcPr>
          <w:p w14:paraId="78FC0E25" w14:textId="77777777" w:rsidR="007465F0" w:rsidRPr="00D926FE" w:rsidRDefault="007465F0" w:rsidP="00B9798B">
            <w:pPr>
              <w:ind w:left="709" w:hanging="709"/>
              <w:jc w:val="right"/>
              <w:rPr>
                <w:rFonts w:ascii="Arial" w:hAnsi="Arial" w:cs="Arial"/>
                <w:sz w:val="14"/>
                <w:szCs w:val="14"/>
                <w:lang w:eastAsia="es-AR"/>
              </w:rPr>
            </w:pPr>
            <w:r w:rsidRPr="00D926FE">
              <w:rPr>
                <w:rFonts w:ascii="Arial" w:hAnsi="Arial" w:cs="Arial"/>
                <w:sz w:val="14"/>
                <w:szCs w:val="14"/>
                <w:lang w:eastAsia="es-AR"/>
              </w:rPr>
              <w:t>32</w:t>
            </w:r>
          </w:p>
        </w:tc>
      </w:tr>
      <w:tr w:rsidR="007465F0" w:rsidRPr="00D926FE" w14:paraId="347584A1" w14:textId="77777777" w:rsidTr="00B9798B">
        <w:trPr>
          <w:gridAfter w:val="1"/>
          <w:wAfter w:w="16" w:type="dxa"/>
          <w:trHeight w:val="405"/>
        </w:trPr>
        <w:tc>
          <w:tcPr>
            <w:tcW w:w="3189" w:type="dxa"/>
            <w:tcBorders>
              <w:top w:val="nil"/>
              <w:left w:val="nil"/>
              <w:bottom w:val="nil"/>
              <w:right w:val="nil"/>
            </w:tcBorders>
            <w:shd w:val="clear" w:color="auto" w:fill="auto"/>
            <w:vAlign w:val="bottom"/>
            <w:hideMark/>
          </w:tcPr>
          <w:p w14:paraId="3681F6F8" w14:textId="77777777" w:rsidR="007465F0" w:rsidRPr="00D926FE" w:rsidRDefault="007465F0" w:rsidP="00B9798B">
            <w:pPr>
              <w:rPr>
                <w:rFonts w:ascii="Arial" w:hAnsi="Arial" w:cs="Arial"/>
                <w:b/>
                <w:bCs/>
                <w:sz w:val="14"/>
                <w:szCs w:val="14"/>
                <w:lang w:eastAsia="es-AR"/>
              </w:rPr>
            </w:pPr>
            <w:r w:rsidRPr="00D926FE">
              <w:rPr>
                <w:rFonts w:ascii="Arial" w:hAnsi="Arial" w:cs="Arial"/>
                <w:b/>
                <w:bCs/>
                <w:sz w:val="14"/>
                <w:szCs w:val="14"/>
                <w:lang w:eastAsia="es-AR"/>
              </w:rPr>
              <w:t>Medición a costo amortizado</w:t>
            </w:r>
          </w:p>
        </w:tc>
        <w:tc>
          <w:tcPr>
            <w:tcW w:w="709" w:type="dxa"/>
            <w:tcBorders>
              <w:top w:val="nil"/>
              <w:left w:val="nil"/>
              <w:bottom w:val="nil"/>
              <w:right w:val="nil"/>
            </w:tcBorders>
            <w:shd w:val="clear" w:color="auto" w:fill="auto"/>
            <w:vAlign w:val="bottom"/>
            <w:hideMark/>
          </w:tcPr>
          <w:p w14:paraId="32EC5EA3" w14:textId="77777777" w:rsidR="007465F0" w:rsidRPr="00D926FE" w:rsidRDefault="007465F0" w:rsidP="00B9798B">
            <w:pPr>
              <w:jc w:val="center"/>
              <w:rPr>
                <w:rFonts w:ascii="Arial" w:hAnsi="Arial" w:cs="Arial"/>
                <w:b/>
                <w:bCs/>
                <w:sz w:val="14"/>
                <w:szCs w:val="14"/>
                <w:lang w:eastAsia="es-AR"/>
              </w:rPr>
            </w:pPr>
          </w:p>
        </w:tc>
        <w:tc>
          <w:tcPr>
            <w:tcW w:w="794" w:type="dxa"/>
            <w:tcBorders>
              <w:top w:val="nil"/>
              <w:left w:val="nil"/>
              <w:bottom w:val="nil"/>
              <w:right w:val="nil"/>
            </w:tcBorders>
            <w:shd w:val="clear" w:color="auto" w:fill="auto"/>
            <w:vAlign w:val="bottom"/>
            <w:hideMark/>
          </w:tcPr>
          <w:p w14:paraId="30F76530"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1DF1B157"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5C2D1458" w14:textId="77777777" w:rsidR="007465F0" w:rsidRPr="00D926FE" w:rsidRDefault="007465F0"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hideMark/>
          </w:tcPr>
          <w:p w14:paraId="48726795" w14:textId="77777777" w:rsidR="007465F0" w:rsidRPr="00D926FE" w:rsidRDefault="007465F0"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67FCA361" w14:textId="77777777" w:rsidR="007465F0" w:rsidRPr="00D926FE" w:rsidRDefault="007465F0"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6214C1CA" w14:textId="77777777" w:rsidR="007465F0" w:rsidRPr="00D926FE" w:rsidRDefault="007465F0"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515B3E65" w14:textId="77777777" w:rsidR="007465F0" w:rsidRPr="00D926FE" w:rsidRDefault="007465F0" w:rsidP="00B9798B">
            <w:pPr>
              <w:ind w:left="709" w:hanging="709"/>
              <w:jc w:val="right"/>
              <w:rPr>
                <w:sz w:val="20"/>
                <w:lang w:eastAsia="es-AR"/>
              </w:rPr>
            </w:pPr>
          </w:p>
        </w:tc>
      </w:tr>
      <w:tr w:rsidR="007465F0" w:rsidRPr="00D926FE" w14:paraId="24C75597"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1B6DE976" w14:textId="77777777" w:rsidR="007465F0" w:rsidRPr="00D926FE" w:rsidRDefault="007465F0" w:rsidP="00B9798B">
            <w:pPr>
              <w:rPr>
                <w:rFonts w:ascii="Arial" w:hAnsi="Arial" w:cs="Arial"/>
                <w:b/>
                <w:bCs/>
                <w:i/>
                <w:iCs/>
                <w:sz w:val="14"/>
                <w:szCs w:val="14"/>
                <w:lang w:eastAsia="es-AR"/>
              </w:rPr>
            </w:pPr>
            <w:r w:rsidRPr="00D926FE">
              <w:rPr>
                <w:rFonts w:ascii="Arial" w:hAnsi="Arial" w:cs="Arial"/>
                <w:b/>
                <w:bCs/>
                <w:i/>
                <w:iCs/>
                <w:sz w:val="14"/>
                <w:szCs w:val="14"/>
                <w:lang w:eastAsia="es-AR"/>
              </w:rPr>
              <w:t>Del País</w:t>
            </w:r>
          </w:p>
        </w:tc>
        <w:tc>
          <w:tcPr>
            <w:tcW w:w="709" w:type="dxa"/>
            <w:tcBorders>
              <w:top w:val="nil"/>
              <w:left w:val="nil"/>
              <w:bottom w:val="nil"/>
              <w:right w:val="nil"/>
            </w:tcBorders>
            <w:shd w:val="clear" w:color="auto" w:fill="auto"/>
            <w:vAlign w:val="bottom"/>
            <w:hideMark/>
          </w:tcPr>
          <w:p w14:paraId="62A20698" w14:textId="77777777" w:rsidR="007465F0" w:rsidRPr="00D926FE" w:rsidRDefault="007465F0" w:rsidP="00B9798B">
            <w:pPr>
              <w:jc w:val="center"/>
              <w:rPr>
                <w:rFonts w:ascii="Arial" w:hAnsi="Arial" w:cs="Arial"/>
                <w:b/>
                <w:bCs/>
                <w:i/>
                <w:iCs/>
                <w:sz w:val="14"/>
                <w:szCs w:val="14"/>
                <w:lang w:eastAsia="es-AR"/>
              </w:rPr>
            </w:pPr>
          </w:p>
        </w:tc>
        <w:tc>
          <w:tcPr>
            <w:tcW w:w="794" w:type="dxa"/>
            <w:tcBorders>
              <w:top w:val="nil"/>
              <w:left w:val="nil"/>
              <w:bottom w:val="nil"/>
              <w:right w:val="nil"/>
            </w:tcBorders>
            <w:shd w:val="clear" w:color="auto" w:fill="auto"/>
            <w:vAlign w:val="bottom"/>
            <w:hideMark/>
          </w:tcPr>
          <w:p w14:paraId="7CE3CDEE"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4A602610"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65A0FE5D" w14:textId="77777777" w:rsidR="007465F0" w:rsidRPr="00D926FE" w:rsidRDefault="007465F0"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hideMark/>
          </w:tcPr>
          <w:p w14:paraId="6C4B2BB8" w14:textId="77777777" w:rsidR="007465F0" w:rsidRPr="00D926FE" w:rsidRDefault="007465F0"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1AD92E4D" w14:textId="77777777" w:rsidR="007465F0" w:rsidRPr="00D926FE" w:rsidRDefault="007465F0"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18D20E93" w14:textId="77777777" w:rsidR="007465F0" w:rsidRPr="00D926FE" w:rsidRDefault="007465F0"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4D85E5A2" w14:textId="77777777" w:rsidR="007465F0" w:rsidRPr="00D926FE" w:rsidRDefault="007465F0" w:rsidP="00B9798B">
            <w:pPr>
              <w:ind w:left="709" w:hanging="709"/>
              <w:jc w:val="right"/>
              <w:rPr>
                <w:sz w:val="20"/>
                <w:lang w:eastAsia="es-AR"/>
              </w:rPr>
            </w:pPr>
          </w:p>
        </w:tc>
      </w:tr>
      <w:tr w:rsidR="007465F0" w:rsidRPr="00D926FE" w14:paraId="26C133F5"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0E2B3E40" w14:textId="77777777" w:rsidR="007465F0" w:rsidRPr="00D926FE" w:rsidRDefault="007465F0" w:rsidP="00B9798B">
            <w:pPr>
              <w:rPr>
                <w:rFonts w:ascii="Arial" w:hAnsi="Arial" w:cs="Arial"/>
                <w:sz w:val="14"/>
                <w:szCs w:val="14"/>
                <w:lang w:eastAsia="es-AR"/>
              </w:rPr>
            </w:pPr>
            <w:r w:rsidRPr="00D926FE">
              <w:rPr>
                <w:rFonts w:ascii="Arial" w:hAnsi="Arial" w:cs="Arial"/>
                <w:sz w:val="14"/>
                <w:szCs w:val="14"/>
                <w:lang w:eastAsia="es-AR"/>
              </w:rPr>
              <w:t>Títulos públicos</w:t>
            </w:r>
          </w:p>
        </w:tc>
        <w:tc>
          <w:tcPr>
            <w:tcW w:w="709" w:type="dxa"/>
            <w:tcBorders>
              <w:top w:val="nil"/>
              <w:left w:val="nil"/>
              <w:bottom w:val="nil"/>
              <w:right w:val="nil"/>
            </w:tcBorders>
            <w:shd w:val="clear" w:color="auto" w:fill="auto"/>
            <w:vAlign w:val="bottom"/>
            <w:hideMark/>
          </w:tcPr>
          <w:p w14:paraId="2BFFE02A" w14:textId="77777777" w:rsidR="007465F0" w:rsidRPr="00D926FE" w:rsidRDefault="007465F0" w:rsidP="00B9798B">
            <w:pPr>
              <w:ind w:firstLineChars="100" w:firstLine="140"/>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1247669B"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5837F663"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75F42900" w14:textId="77777777" w:rsidR="007465F0" w:rsidRPr="00D926FE" w:rsidRDefault="007465F0"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hideMark/>
          </w:tcPr>
          <w:p w14:paraId="32D5DA90" w14:textId="77777777" w:rsidR="007465F0" w:rsidRPr="00D926FE" w:rsidRDefault="007465F0"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512EA000" w14:textId="77777777" w:rsidR="007465F0" w:rsidRPr="00D926FE" w:rsidRDefault="007465F0"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04BD0A1A" w14:textId="77777777" w:rsidR="007465F0" w:rsidRPr="00D926FE" w:rsidRDefault="007465F0"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633942B6" w14:textId="77777777" w:rsidR="007465F0" w:rsidRPr="00D926FE" w:rsidRDefault="007465F0" w:rsidP="00B9798B">
            <w:pPr>
              <w:ind w:left="709" w:hanging="709"/>
              <w:jc w:val="right"/>
              <w:rPr>
                <w:sz w:val="20"/>
                <w:lang w:eastAsia="es-AR"/>
              </w:rPr>
            </w:pPr>
          </w:p>
        </w:tc>
      </w:tr>
      <w:tr w:rsidR="00B9798B" w:rsidRPr="00D926FE" w14:paraId="5C13C78A"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5E12133C" w14:textId="1165F1E4" w:rsidR="00B9798B" w:rsidRPr="00D926FE" w:rsidRDefault="00B9798B" w:rsidP="00B9798B">
            <w:pPr>
              <w:rPr>
                <w:rFonts w:ascii="Arial" w:hAnsi="Arial" w:cs="Arial"/>
                <w:sz w:val="14"/>
                <w:szCs w:val="14"/>
                <w:lang w:eastAsia="es-AR"/>
              </w:rPr>
            </w:pPr>
            <w:r>
              <w:rPr>
                <w:rFonts w:ascii="Arial" w:hAnsi="Arial" w:cs="Arial"/>
                <w:sz w:val="14"/>
                <w:szCs w:val="14"/>
              </w:rPr>
              <w:t xml:space="preserve">Bono Tesoro Nacional Tf Vto 21/11/2020     </w:t>
            </w:r>
          </w:p>
        </w:tc>
        <w:tc>
          <w:tcPr>
            <w:tcW w:w="709" w:type="dxa"/>
            <w:tcBorders>
              <w:top w:val="nil"/>
              <w:left w:val="nil"/>
              <w:bottom w:val="nil"/>
              <w:right w:val="nil"/>
            </w:tcBorders>
            <w:shd w:val="clear" w:color="auto" w:fill="auto"/>
            <w:vAlign w:val="bottom"/>
          </w:tcPr>
          <w:p w14:paraId="7678C23B" w14:textId="78E4D5F9" w:rsidR="00B9798B" w:rsidRPr="00D926FE" w:rsidRDefault="00B9798B" w:rsidP="00B9798B">
            <w:pPr>
              <w:jc w:val="center"/>
              <w:rPr>
                <w:rFonts w:ascii="Arial" w:hAnsi="Arial" w:cs="Arial"/>
                <w:sz w:val="14"/>
                <w:szCs w:val="14"/>
                <w:lang w:eastAsia="es-AR"/>
              </w:rPr>
            </w:pPr>
            <w:r>
              <w:rPr>
                <w:rFonts w:ascii="Arial" w:hAnsi="Arial" w:cs="Arial"/>
                <w:sz w:val="14"/>
                <w:szCs w:val="14"/>
              </w:rPr>
              <w:t>05330</w:t>
            </w:r>
          </w:p>
        </w:tc>
        <w:tc>
          <w:tcPr>
            <w:tcW w:w="794" w:type="dxa"/>
            <w:tcBorders>
              <w:top w:val="nil"/>
              <w:left w:val="nil"/>
              <w:bottom w:val="nil"/>
              <w:right w:val="nil"/>
            </w:tcBorders>
            <w:shd w:val="clear" w:color="auto" w:fill="auto"/>
            <w:vAlign w:val="bottom"/>
          </w:tcPr>
          <w:p w14:paraId="11C03EAF" w14:textId="6884ED96" w:rsidR="00B9798B" w:rsidRPr="00D926FE" w:rsidRDefault="00B9798B" w:rsidP="00B9798B">
            <w:pPr>
              <w:jc w:val="center"/>
              <w:rPr>
                <w:sz w:val="20"/>
                <w:lang w:eastAsia="es-AR"/>
              </w:rPr>
            </w:pPr>
            <w:r>
              <w:rPr>
                <w:rFonts w:ascii="Arial" w:hAnsi="Arial" w:cs="Arial"/>
                <w:sz w:val="14"/>
                <w:szCs w:val="14"/>
              </w:rPr>
              <w:t>3.090.168</w:t>
            </w:r>
          </w:p>
        </w:tc>
        <w:tc>
          <w:tcPr>
            <w:tcW w:w="794" w:type="dxa"/>
            <w:tcBorders>
              <w:top w:val="nil"/>
              <w:left w:val="nil"/>
              <w:bottom w:val="nil"/>
              <w:right w:val="nil"/>
            </w:tcBorders>
            <w:shd w:val="clear" w:color="auto" w:fill="auto"/>
            <w:vAlign w:val="bottom"/>
          </w:tcPr>
          <w:p w14:paraId="17316CC2" w14:textId="77777777" w:rsidR="00B9798B" w:rsidRPr="00D926FE" w:rsidRDefault="00B9798B" w:rsidP="00B9798B">
            <w:pPr>
              <w:jc w:val="center"/>
              <w:rPr>
                <w:sz w:val="20"/>
                <w:lang w:eastAsia="es-AR"/>
              </w:rPr>
            </w:pPr>
          </w:p>
        </w:tc>
        <w:tc>
          <w:tcPr>
            <w:tcW w:w="841" w:type="dxa"/>
            <w:tcBorders>
              <w:top w:val="nil"/>
              <w:left w:val="nil"/>
              <w:bottom w:val="nil"/>
              <w:right w:val="nil"/>
            </w:tcBorders>
            <w:shd w:val="clear" w:color="auto" w:fill="auto"/>
            <w:vAlign w:val="bottom"/>
          </w:tcPr>
          <w:p w14:paraId="5E261642" w14:textId="3FB4D9E6" w:rsidR="00B9798B" w:rsidRPr="00D926FE" w:rsidRDefault="00B9798B" w:rsidP="00B9798B">
            <w:pPr>
              <w:ind w:left="709" w:hanging="709"/>
              <w:jc w:val="right"/>
              <w:rPr>
                <w:sz w:val="20"/>
                <w:lang w:eastAsia="es-AR"/>
              </w:rPr>
            </w:pPr>
            <w:r>
              <w:rPr>
                <w:rFonts w:ascii="Arial" w:hAnsi="Arial" w:cs="Arial"/>
                <w:sz w:val="14"/>
                <w:szCs w:val="14"/>
              </w:rPr>
              <w:t>3.090.168</w:t>
            </w:r>
          </w:p>
        </w:tc>
        <w:tc>
          <w:tcPr>
            <w:tcW w:w="841" w:type="dxa"/>
            <w:tcBorders>
              <w:top w:val="nil"/>
              <w:left w:val="nil"/>
              <w:bottom w:val="nil"/>
              <w:right w:val="nil"/>
            </w:tcBorders>
            <w:shd w:val="clear" w:color="auto" w:fill="auto"/>
            <w:vAlign w:val="bottom"/>
          </w:tcPr>
          <w:p w14:paraId="7630BC43" w14:textId="71EA5DD6" w:rsidR="00B9798B" w:rsidRPr="00D926FE" w:rsidRDefault="00B9798B" w:rsidP="00B9798B">
            <w:pPr>
              <w:ind w:left="709" w:hanging="709"/>
              <w:jc w:val="right"/>
              <w:rPr>
                <w:sz w:val="20"/>
                <w:lang w:eastAsia="es-AR"/>
              </w:rPr>
            </w:pPr>
            <w:r>
              <w:rPr>
                <w:rFonts w:ascii="Arial" w:hAnsi="Arial" w:cs="Arial"/>
                <w:sz w:val="14"/>
                <w:szCs w:val="14"/>
              </w:rPr>
              <w:t>3.090.930</w:t>
            </w:r>
          </w:p>
        </w:tc>
        <w:tc>
          <w:tcPr>
            <w:tcW w:w="915" w:type="dxa"/>
            <w:tcBorders>
              <w:top w:val="nil"/>
              <w:left w:val="nil"/>
              <w:bottom w:val="nil"/>
              <w:right w:val="nil"/>
            </w:tcBorders>
            <w:shd w:val="clear" w:color="auto" w:fill="auto"/>
            <w:vAlign w:val="bottom"/>
          </w:tcPr>
          <w:p w14:paraId="46B351D2" w14:textId="0152DAAC" w:rsidR="00B9798B" w:rsidRPr="00D926FE" w:rsidRDefault="00B9798B" w:rsidP="00B9798B">
            <w:pPr>
              <w:ind w:left="709" w:hanging="709"/>
              <w:jc w:val="right"/>
              <w:rPr>
                <w:sz w:val="20"/>
                <w:lang w:eastAsia="es-AR"/>
              </w:rPr>
            </w:pPr>
            <w:r>
              <w:rPr>
                <w:rFonts w:ascii="Arial" w:hAnsi="Arial" w:cs="Arial"/>
                <w:sz w:val="14"/>
                <w:szCs w:val="14"/>
              </w:rPr>
              <w:t>3.090.168</w:t>
            </w:r>
          </w:p>
        </w:tc>
        <w:tc>
          <w:tcPr>
            <w:tcW w:w="778" w:type="dxa"/>
            <w:tcBorders>
              <w:top w:val="nil"/>
              <w:left w:val="nil"/>
              <w:bottom w:val="nil"/>
              <w:right w:val="nil"/>
            </w:tcBorders>
            <w:shd w:val="clear" w:color="auto" w:fill="auto"/>
            <w:vAlign w:val="bottom"/>
          </w:tcPr>
          <w:p w14:paraId="6856CC50" w14:textId="0B8AD23D" w:rsidR="00B9798B" w:rsidRPr="00D926FE" w:rsidRDefault="00B9798B" w:rsidP="00B9798B">
            <w:pPr>
              <w:ind w:left="709" w:hanging="709"/>
              <w:jc w:val="right"/>
              <w:rPr>
                <w:sz w:val="20"/>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tcPr>
          <w:p w14:paraId="64E90FE6" w14:textId="6C20EF36" w:rsidR="00B9798B" w:rsidRPr="00D926FE" w:rsidRDefault="00B9798B" w:rsidP="00B9798B">
            <w:pPr>
              <w:ind w:left="709" w:hanging="709"/>
              <w:jc w:val="right"/>
              <w:rPr>
                <w:sz w:val="20"/>
                <w:lang w:eastAsia="es-AR"/>
              </w:rPr>
            </w:pPr>
            <w:r>
              <w:rPr>
                <w:rFonts w:ascii="Arial" w:hAnsi="Arial" w:cs="Arial"/>
                <w:sz w:val="14"/>
                <w:szCs w:val="14"/>
              </w:rPr>
              <w:t>3.090.168</w:t>
            </w:r>
          </w:p>
        </w:tc>
      </w:tr>
      <w:tr w:rsidR="00B9798B" w:rsidRPr="00D926FE" w14:paraId="0A3BB4E9"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77499089" w14:textId="0EFD84EF" w:rsidR="00B9798B" w:rsidRPr="00D926FE" w:rsidRDefault="00B9798B" w:rsidP="00B9798B">
            <w:pPr>
              <w:rPr>
                <w:rFonts w:ascii="Arial" w:hAnsi="Arial" w:cs="Arial"/>
                <w:sz w:val="14"/>
                <w:szCs w:val="14"/>
                <w:lang w:eastAsia="es-AR"/>
              </w:rPr>
            </w:pPr>
            <w:r>
              <w:rPr>
                <w:rFonts w:ascii="Arial" w:hAnsi="Arial" w:cs="Arial"/>
                <w:sz w:val="14"/>
                <w:szCs w:val="14"/>
              </w:rPr>
              <w:t>Letra del Tesoro U$S 203 días Vto.15/03/2019</w:t>
            </w:r>
          </w:p>
        </w:tc>
        <w:tc>
          <w:tcPr>
            <w:tcW w:w="709" w:type="dxa"/>
            <w:tcBorders>
              <w:top w:val="nil"/>
              <w:left w:val="nil"/>
              <w:bottom w:val="nil"/>
              <w:right w:val="nil"/>
            </w:tcBorders>
            <w:shd w:val="clear" w:color="auto" w:fill="auto"/>
            <w:vAlign w:val="bottom"/>
          </w:tcPr>
          <w:p w14:paraId="5C3AC04B" w14:textId="7DF19D76" w:rsidR="00B9798B" w:rsidRPr="00D926FE" w:rsidRDefault="00B9798B" w:rsidP="00B9798B">
            <w:pPr>
              <w:jc w:val="center"/>
              <w:rPr>
                <w:rFonts w:ascii="Arial" w:hAnsi="Arial" w:cs="Arial"/>
                <w:sz w:val="14"/>
                <w:szCs w:val="14"/>
                <w:lang w:eastAsia="es-AR"/>
              </w:rPr>
            </w:pPr>
            <w:r>
              <w:rPr>
                <w:rFonts w:ascii="Arial" w:hAnsi="Arial" w:cs="Arial"/>
                <w:sz w:val="14"/>
                <w:szCs w:val="14"/>
              </w:rPr>
              <w:t>05261</w:t>
            </w:r>
          </w:p>
        </w:tc>
        <w:tc>
          <w:tcPr>
            <w:tcW w:w="794" w:type="dxa"/>
            <w:tcBorders>
              <w:top w:val="nil"/>
              <w:left w:val="nil"/>
              <w:bottom w:val="nil"/>
              <w:right w:val="nil"/>
            </w:tcBorders>
            <w:shd w:val="clear" w:color="auto" w:fill="auto"/>
            <w:vAlign w:val="bottom"/>
          </w:tcPr>
          <w:p w14:paraId="54EFE612" w14:textId="0257DF1F" w:rsidR="00B9798B" w:rsidRPr="00D926FE" w:rsidRDefault="00B9798B" w:rsidP="00B9798B">
            <w:pPr>
              <w:jc w:val="center"/>
              <w:rPr>
                <w:sz w:val="20"/>
                <w:lang w:eastAsia="es-AR"/>
              </w:rPr>
            </w:pPr>
            <w:r>
              <w:rPr>
                <w:rFonts w:ascii="Arial" w:hAnsi="Arial" w:cs="Arial"/>
                <w:sz w:val="14"/>
                <w:szCs w:val="14"/>
              </w:rPr>
              <w:t>-</w:t>
            </w:r>
          </w:p>
        </w:tc>
        <w:tc>
          <w:tcPr>
            <w:tcW w:w="794" w:type="dxa"/>
            <w:tcBorders>
              <w:top w:val="nil"/>
              <w:left w:val="nil"/>
              <w:bottom w:val="nil"/>
              <w:right w:val="nil"/>
            </w:tcBorders>
            <w:shd w:val="clear" w:color="auto" w:fill="auto"/>
            <w:vAlign w:val="bottom"/>
          </w:tcPr>
          <w:p w14:paraId="125A1ECD" w14:textId="77777777" w:rsidR="00B9798B" w:rsidRPr="00D926FE" w:rsidRDefault="00B9798B" w:rsidP="00B9798B">
            <w:pPr>
              <w:jc w:val="center"/>
              <w:rPr>
                <w:sz w:val="20"/>
                <w:lang w:eastAsia="es-AR"/>
              </w:rPr>
            </w:pPr>
          </w:p>
        </w:tc>
        <w:tc>
          <w:tcPr>
            <w:tcW w:w="841" w:type="dxa"/>
            <w:tcBorders>
              <w:top w:val="nil"/>
              <w:left w:val="nil"/>
              <w:bottom w:val="nil"/>
              <w:right w:val="nil"/>
            </w:tcBorders>
            <w:shd w:val="clear" w:color="auto" w:fill="auto"/>
            <w:vAlign w:val="bottom"/>
          </w:tcPr>
          <w:p w14:paraId="265C6548" w14:textId="1954D3A2" w:rsidR="00B9798B" w:rsidRPr="00D926FE" w:rsidRDefault="00B9798B" w:rsidP="00B9798B">
            <w:pPr>
              <w:ind w:left="709" w:hanging="709"/>
              <w:jc w:val="right"/>
              <w:rPr>
                <w:sz w:val="20"/>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tcPr>
          <w:p w14:paraId="41A64795" w14:textId="64E8267B" w:rsidR="00B9798B" w:rsidRPr="00D926FE" w:rsidRDefault="00B9798B" w:rsidP="00B9798B">
            <w:pPr>
              <w:ind w:left="709" w:hanging="709"/>
              <w:jc w:val="right"/>
              <w:rPr>
                <w:sz w:val="20"/>
                <w:lang w:eastAsia="es-AR"/>
              </w:rPr>
            </w:pPr>
            <w:r>
              <w:rPr>
                <w:rFonts w:ascii="Arial" w:hAnsi="Arial" w:cs="Arial"/>
                <w:sz w:val="14"/>
                <w:szCs w:val="14"/>
              </w:rPr>
              <w:t>1.039.760</w:t>
            </w:r>
          </w:p>
        </w:tc>
        <w:tc>
          <w:tcPr>
            <w:tcW w:w="915" w:type="dxa"/>
            <w:tcBorders>
              <w:top w:val="nil"/>
              <w:left w:val="nil"/>
              <w:bottom w:val="nil"/>
              <w:right w:val="nil"/>
            </w:tcBorders>
            <w:shd w:val="clear" w:color="auto" w:fill="auto"/>
            <w:vAlign w:val="bottom"/>
          </w:tcPr>
          <w:p w14:paraId="23150376" w14:textId="12DDE037" w:rsidR="00B9798B" w:rsidRPr="00D926FE" w:rsidRDefault="00B9798B" w:rsidP="00B9798B">
            <w:pPr>
              <w:ind w:left="709" w:hanging="709"/>
              <w:jc w:val="right"/>
              <w:rPr>
                <w:sz w:val="20"/>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tcPr>
          <w:p w14:paraId="783281A8" w14:textId="4F3F62B5" w:rsidR="00B9798B" w:rsidRPr="00D926FE" w:rsidRDefault="00B9798B" w:rsidP="00B9798B">
            <w:pPr>
              <w:ind w:left="709" w:hanging="709"/>
              <w:jc w:val="right"/>
              <w:rPr>
                <w:sz w:val="20"/>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tcPr>
          <w:p w14:paraId="44A50849" w14:textId="07FC9412" w:rsidR="00B9798B" w:rsidRPr="00D926FE" w:rsidRDefault="00B9798B" w:rsidP="00B9798B">
            <w:pPr>
              <w:ind w:left="709" w:hanging="709"/>
              <w:jc w:val="right"/>
              <w:rPr>
                <w:sz w:val="20"/>
                <w:lang w:eastAsia="es-AR"/>
              </w:rPr>
            </w:pPr>
            <w:r>
              <w:rPr>
                <w:rFonts w:ascii="Arial" w:hAnsi="Arial" w:cs="Arial"/>
                <w:sz w:val="14"/>
                <w:szCs w:val="14"/>
              </w:rPr>
              <w:t xml:space="preserve">- </w:t>
            </w:r>
          </w:p>
        </w:tc>
      </w:tr>
      <w:tr w:rsidR="00B03371" w:rsidRPr="00D926FE" w14:paraId="3006B2CB"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723FBA84" w14:textId="77777777" w:rsidR="00B03371" w:rsidRPr="00D926FE" w:rsidRDefault="00B03371" w:rsidP="00B9798B">
            <w:pPr>
              <w:rPr>
                <w:rFonts w:ascii="Arial" w:hAnsi="Arial" w:cs="Arial"/>
                <w:sz w:val="14"/>
                <w:szCs w:val="14"/>
                <w:lang w:eastAsia="es-AR"/>
              </w:rPr>
            </w:pPr>
          </w:p>
        </w:tc>
        <w:tc>
          <w:tcPr>
            <w:tcW w:w="709" w:type="dxa"/>
            <w:tcBorders>
              <w:top w:val="nil"/>
              <w:left w:val="nil"/>
              <w:bottom w:val="nil"/>
              <w:right w:val="nil"/>
            </w:tcBorders>
            <w:shd w:val="clear" w:color="auto" w:fill="auto"/>
            <w:vAlign w:val="bottom"/>
          </w:tcPr>
          <w:p w14:paraId="11E33FB5" w14:textId="77777777" w:rsidR="00B03371" w:rsidRPr="00D926FE" w:rsidRDefault="00B03371" w:rsidP="00B9798B">
            <w:pPr>
              <w:ind w:firstLineChars="100" w:firstLine="140"/>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tcPr>
          <w:p w14:paraId="560FD001" w14:textId="77777777" w:rsidR="00B03371" w:rsidRPr="00D926FE" w:rsidRDefault="00B03371" w:rsidP="00B9798B">
            <w:pPr>
              <w:jc w:val="center"/>
              <w:rPr>
                <w:sz w:val="20"/>
                <w:lang w:eastAsia="es-AR"/>
              </w:rPr>
            </w:pPr>
          </w:p>
        </w:tc>
        <w:tc>
          <w:tcPr>
            <w:tcW w:w="794" w:type="dxa"/>
            <w:tcBorders>
              <w:top w:val="nil"/>
              <w:left w:val="nil"/>
              <w:bottom w:val="nil"/>
              <w:right w:val="nil"/>
            </w:tcBorders>
            <w:shd w:val="clear" w:color="auto" w:fill="auto"/>
            <w:vAlign w:val="bottom"/>
          </w:tcPr>
          <w:p w14:paraId="37AB9A9E" w14:textId="77777777" w:rsidR="00B03371" w:rsidRPr="00D926FE" w:rsidRDefault="00B03371" w:rsidP="00B9798B">
            <w:pPr>
              <w:jc w:val="center"/>
              <w:rPr>
                <w:sz w:val="20"/>
                <w:lang w:eastAsia="es-AR"/>
              </w:rPr>
            </w:pPr>
          </w:p>
        </w:tc>
        <w:tc>
          <w:tcPr>
            <w:tcW w:w="841" w:type="dxa"/>
            <w:tcBorders>
              <w:top w:val="nil"/>
              <w:left w:val="nil"/>
              <w:bottom w:val="nil"/>
              <w:right w:val="nil"/>
            </w:tcBorders>
            <w:shd w:val="clear" w:color="auto" w:fill="auto"/>
            <w:vAlign w:val="bottom"/>
          </w:tcPr>
          <w:p w14:paraId="4D577A96" w14:textId="77777777" w:rsidR="00B03371" w:rsidRPr="00D926FE" w:rsidRDefault="00B03371"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tcPr>
          <w:p w14:paraId="3006A881" w14:textId="77777777" w:rsidR="00B03371" w:rsidRPr="00D926FE" w:rsidRDefault="00B03371"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tcPr>
          <w:p w14:paraId="0A7B38CE" w14:textId="77777777" w:rsidR="00B03371" w:rsidRPr="00D926FE" w:rsidRDefault="00B03371"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tcPr>
          <w:p w14:paraId="343EE571" w14:textId="77777777" w:rsidR="00B03371" w:rsidRPr="00D926FE" w:rsidRDefault="00B03371"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tcPr>
          <w:p w14:paraId="6BF4F923" w14:textId="77777777" w:rsidR="00B03371" w:rsidRPr="00D926FE" w:rsidRDefault="00B03371" w:rsidP="00B9798B">
            <w:pPr>
              <w:ind w:left="709" w:hanging="709"/>
              <w:jc w:val="right"/>
              <w:rPr>
                <w:sz w:val="20"/>
                <w:lang w:eastAsia="es-AR"/>
              </w:rPr>
            </w:pPr>
          </w:p>
        </w:tc>
      </w:tr>
      <w:tr w:rsidR="00B03371" w:rsidRPr="00D926FE" w14:paraId="7CE4736E" w14:textId="77777777" w:rsidTr="00B9798B">
        <w:trPr>
          <w:gridAfter w:val="1"/>
          <w:wAfter w:w="16" w:type="dxa"/>
          <w:trHeight w:val="240"/>
        </w:trPr>
        <w:tc>
          <w:tcPr>
            <w:tcW w:w="3189" w:type="dxa"/>
            <w:tcBorders>
              <w:top w:val="nil"/>
              <w:left w:val="nil"/>
              <w:bottom w:val="nil"/>
              <w:right w:val="nil"/>
            </w:tcBorders>
            <w:shd w:val="clear" w:color="auto" w:fill="auto"/>
            <w:vAlign w:val="bottom"/>
          </w:tcPr>
          <w:p w14:paraId="112C2F9B" w14:textId="4E17D7F0" w:rsidR="00B03371" w:rsidRPr="00D926FE" w:rsidRDefault="00B03371" w:rsidP="00B9798B">
            <w:pPr>
              <w:rPr>
                <w:rFonts w:ascii="Arial" w:hAnsi="Arial" w:cs="Arial"/>
                <w:sz w:val="14"/>
                <w:szCs w:val="14"/>
                <w:lang w:eastAsia="es-AR"/>
              </w:rPr>
            </w:pPr>
            <w:r w:rsidRPr="00B03371">
              <w:rPr>
                <w:rFonts w:ascii="Arial" w:hAnsi="Arial" w:cs="Arial"/>
                <w:sz w:val="14"/>
                <w:szCs w:val="14"/>
                <w:lang w:eastAsia="es-AR"/>
              </w:rPr>
              <w:t>Títulos privados</w:t>
            </w:r>
          </w:p>
        </w:tc>
        <w:tc>
          <w:tcPr>
            <w:tcW w:w="709" w:type="dxa"/>
            <w:tcBorders>
              <w:top w:val="nil"/>
              <w:left w:val="nil"/>
              <w:bottom w:val="nil"/>
              <w:right w:val="nil"/>
            </w:tcBorders>
            <w:shd w:val="clear" w:color="auto" w:fill="auto"/>
            <w:vAlign w:val="bottom"/>
          </w:tcPr>
          <w:p w14:paraId="672B0AE6" w14:textId="77777777" w:rsidR="00B03371" w:rsidRPr="00D926FE" w:rsidRDefault="00B03371" w:rsidP="00B9798B">
            <w:pPr>
              <w:ind w:firstLineChars="100" w:firstLine="140"/>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tcPr>
          <w:p w14:paraId="794DFF3B" w14:textId="77777777" w:rsidR="00B03371" w:rsidRPr="00D926FE" w:rsidRDefault="00B03371" w:rsidP="00B9798B">
            <w:pPr>
              <w:jc w:val="center"/>
              <w:rPr>
                <w:sz w:val="20"/>
                <w:lang w:eastAsia="es-AR"/>
              </w:rPr>
            </w:pPr>
          </w:p>
        </w:tc>
        <w:tc>
          <w:tcPr>
            <w:tcW w:w="794" w:type="dxa"/>
            <w:tcBorders>
              <w:top w:val="nil"/>
              <w:left w:val="nil"/>
              <w:bottom w:val="nil"/>
              <w:right w:val="nil"/>
            </w:tcBorders>
            <w:shd w:val="clear" w:color="auto" w:fill="auto"/>
            <w:vAlign w:val="bottom"/>
          </w:tcPr>
          <w:p w14:paraId="404566EE" w14:textId="77777777" w:rsidR="00B03371" w:rsidRPr="00D926FE" w:rsidRDefault="00B03371" w:rsidP="00B9798B">
            <w:pPr>
              <w:jc w:val="center"/>
              <w:rPr>
                <w:sz w:val="20"/>
                <w:lang w:eastAsia="es-AR"/>
              </w:rPr>
            </w:pPr>
          </w:p>
        </w:tc>
        <w:tc>
          <w:tcPr>
            <w:tcW w:w="841" w:type="dxa"/>
            <w:tcBorders>
              <w:top w:val="nil"/>
              <w:left w:val="nil"/>
              <w:bottom w:val="nil"/>
              <w:right w:val="nil"/>
            </w:tcBorders>
            <w:shd w:val="clear" w:color="auto" w:fill="auto"/>
            <w:vAlign w:val="bottom"/>
          </w:tcPr>
          <w:p w14:paraId="418A92E6" w14:textId="77777777" w:rsidR="00B03371" w:rsidRPr="00D926FE" w:rsidRDefault="00B03371"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tcPr>
          <w:p w14:paraId="7C32649B" w14:textId="77777777" w:rsidR="00B03371" w:rsidRPr="00D926FE" w:rsidRDefault="00B03371"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tcPr>
          <w:p w14:paraId="344A9375" w14:textId="77777777" w:rsidR="00B03371" w:rsidRPr="00D926FE" w:rsidRDefault="00B03371"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tcPr>
          <w:p w14:paraId="2C07C0CD" w14:textId="77777777" w:rsidR="00B03371" w:rsidRPr="00D926FE" w:rsidRDefault="00B03371"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tcPr>
          <w:p w14:paraId="407C5562" w14:textId="77777777" w:rsidR="00B03371" w:rsidRPr="00D926FE" w:rsidRDefault="00B03371" w:rsidP="00B9798B">
            <w:pPr>
              <w:ind w:left="709" w:hanging="709"/>
              <w:jc w:val="right"/>
              <w:rPr>
                <w:sz w:val="20"/>
                <w:lang w:eastAsia="es-AR"/>
              </w:rPr>
            </w:pPr>
          </w:p>
        </w:tc>
      </w:tr>
      <w:tr w:rsidR="00B9798B" w:rsidRPr="00D926FE" w14:paraId="37A0E4C3"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5CF310CC" w14:textId="2765FCAD" w:rsidR="00B9798B" w:rsidRPr="00D926FE" w:rsidRDefault="00B9798B" w:rsidP="00B9798B">
            <w:pPr>
              <w:rPr>
                <w:rFonts w:ascii="Arial" w:hAnsi="Arial" w:cs="Arial"/>
                <w:sz w:val="14"/>
                <w:szCs w:val="14"/>
                <w:lang w:eastAsia="es-AR"/>
              </w:rPr>
            </w:pPr>
            <w:r>
              <w:rPr>
                <w:rFonts w:ascii="Arial" w:hAnsi="Arial" w:cs="Arial"/>
                <w:sz w:val="14"/>
                <w:szCs w:val="14"/>
              </w:rPr>
              <w:t>Vdff CCF Créditos 21 $ C.G.</w:t>
            </w:r>
          </w:p>
        </w:tc>
        <w:tc>
          <w:tcPr>
            <w:tcW w:w="709" w:type="dxa"/>
            <w:tcBorders>
              <w:top w:val="nil"/>
              <w:left w:val="nil"/>
              <w:bottom w:val="nil"/>
              <w:right w:val="nil"/>
            </w:tcBorders>
            <w:shd w:val="clear" w:color="auto" w:fill="auto"/>
            <w:vAlign w:val="bottom"/>
            <w:hideMark/>
          </w:tcPr>
          <w:p w14:paraId="73D8574B" w14:textId="72E91359" w:rsidR="00B9798B" w:rsidRPr="00D926FE" w:rsidRDefault="00B9798B" w:rsidP="00B9798B">
            <w:pPr>
              <w:jc w:val="center"/>
              <w:rPr>
                <w:rFonts w:ascii="Arial" w:hAnsi="Arial" w:cs="Arial"/>
                <w:sz w:val="14"/>
                <w:szCs w:val="14"/>
                <w:lang w:eastAsia="es-AR"/>
              </w:rPr>
            </w:pPr>
            <w:r>
              <w:rPr>
                <w:rFonts w:ascii="Arial" w:hAnsi="Arial" w:cs="Arial"/>
                <w:sz w:val="14"/>
                <w:szCs w:val="14"/>
              </w:rPr>
              <w:t>54279</w:t>
            </w:r>
          </w:p>
        </w:tc>
        <w:tc>
          <w:tcPr>
            <w:tcW w:w="794" w:type="dxa"/>
            <w:tcBorders>
              <w:top w:val="nil"/>
              <w:left w:val="nil"/>
              <w:bottom w:val="nil"/>
              <w:right w:val="nil"/>
            </w:tcBorders>
            <w:shd w:val="clear" w:color="auto" w:fill="auto"/>
            <w:vAlign w:val="bottom"/>
            <w:hideMark/>
          </w:tcPr>
          <w:p w14:paraId="4D99DBBF" w14:textId="516451CB" w:rsidR="00B9798B" w:rsidRPr="00D926FE" w:rsidRDefault="00B9798B" w:rsidP="00B9798B">
            <w:pPr>
              <w:jc w:val="center"/>
              <w:rPr>
                <w:rFonts w:ascii="Arial" w:hAnsi="Arial" w:cs="Arial"/>
                <w:sz w:val="14"/>
                <w:szCs w:val="14"/>
                <w:lang w:eastAsia="es-AR"/>
              </w:rPr>
            </w:pPr>
            <w:r>
              <w:rPr>
                <w:rFonts w:ascii="Arial" w:hAnsi="Arial" w:cs="Arial"/>
                <w:sz w:val="14"/>
                <w:szCs w:val="14"/>
              </w:rPr>
              <w:t>240.862</w:t>
            </w:r>
          </w:p>
        </w:tc>
        <w:tc>
          <w:tcPr>
            <w:tcW w:w="794" w:type="dxa"/>
            <w:tcBorders>
              <w:top w:val="nil"/>
              <w:left w:val="nil"/>
              <w:bottom w:val="nil"/>
              <w:right w:val="nil"/>
            </w:tcBorders>
            <w:shd w:val="clear" w:color="auto" w:fill="auto"/>
            <w:vAlign w:val="bottom"/>
            <w:hideMark/>
          </w:tcPr>
          <w:p w14:paraId="228FFFD6" w14:textId="77777777" w:rsidR="00B9798B" w:rsidRPr="00D926FE" w:rsidRDefault="00B9798B" w:rsidP="00B9798B">
            <w:pPr>
              <w:jc w:val="center"/>
              <w:rPr>
                <w:rFonts w:ascii="Arial" w:hAnsi="Arial" w:cs="Arial"/>
                <w:sz w:val="14"/>
                <w:szCs w:val="14"/>
                <w:lang w:eastAsia="es-AR"/>
              </w:rPr>
            </w:pPr>
          </w:p>
        </w:tc>
        <w:tc>
          <w:tcPr>
            <w:tcW w:w="841" w:type="dxa"/>
            <w:tcBorders>
              <w:top w:val="nil"/>
              <w:left w:val="nil"/>
              <w:bottom w:val="nil"/>
              <w:right w:val="nil"/>
            </w:tcBorders>
            <w:shd w:val="clear" w:color="auto" w:fill="auto"/>
            <w:vAlign w:val="bottom"/>
            <w:hideMark/>
          </w:tcPr>
          <w:p w14:paraId="0956793B" w14:textId="4FE5D0EB"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240.862</w:t>
            </w:r>
          </w:p>
        </w:tc>
        <w:tc>
          <w:tcPr>
            <w:tcW w:w="841" w:type="dxa"/>
            <w:tcBorders>
              <w:top w:val="nil"/>
              <w:left w:val="nil"/>
              <w:bottom w:val="nil"/>
              <w:right w:val="nil"/>
            </w:tcBorders>
            <w:shd w:val="clear" w:color="auto" w:fill="auto"/>
            <w:vAlign w:val="bottom"/>
            <w:hideMark/>
          </w:tcPr>
          <w:p w14:paraId="557580A8" w14:textId="345C22ED"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17D59E07" w14:textId="2A20B6EE"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240.862</w:t>
            </w:r>
          </w:p>
        </w:tc>
        <w:tc>
          <w:tcPr>
            <w:tcW w:w="778" w:type="dxa"/>
            <w:tcBorders>
              <w:top w:val="nil"/>
              <w:left w:val="nil"/>
              <w:bottom w:val="nil"/>
              <w:right w:val="nil"/>
            </w:tcBorders>
            <w:shd w:val="clear" w:color="auto" w:fill="auto"/>
            <w:vAlign w:val="bottom"/>
            <w:hideMark/>
          </w:tcPr>
          <w:p w14:paraId="791C22B8" w14:textId="2F07A791"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476CE52E" w14:textId="41D0A0D6"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240.862</w:t>
            </w:r>
          </w:p>
        </w:tc>
      </w:tr>
      <w:tr w:rsidR="00B9798B" w:rsidRPr="00D926FE" w14:paraId="58594B1A"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3274D885" w14:textId="38A5E068" w:rsidR="00B9798B" w:rsidRPr="00D926FE" w:rsidRDefault="00B9798B" w:rsidP="00B9798B">
            <w:pPr>
              <w:rPr>
                <w:rFonts w:ascii="Arial" w:hAnsi="Arial" w:cs="Arial"/>
                <w:sz w:val="14"/>
                <w:szCs w:val="14"/>
                <w:lang w:eastAsia="es-AR"/>
              </w:rPr>
            </w:pPr>
            <w:r>
              <w:rPr>
                <w:rFonts w:ascii="Arial" w:hAnsi="Arial" w:cs="Arial"/>
                <w:sz w:val="14"/>
                <w:szCs w:val="14"/>
              </w:rPr>
              <w:t>Vdff CCF Créditos 20 $ C.G.</w:t>
            </w:r>
          </w:p>
        </w:tc>
        <w:tc>
          <w:tcPr>
            <w:tcW w:w="709" w:type="dxa"/>
            <w:tcBorders>
              <w:top w:val="nil"/>
              <w:left w:val="nil"/>
              <w:bottom w:val="nil"/>
              <w:right w:val="nil"/>
            </w:tcBorders>
            <w:shd w:val="clear" w:color="auto" w:fill="auto"/>
            <w:vAlign w:val="bottom"/>
            <w:hideMark/>
          </w:tcPr>
          <w:p w14:paraId="47A32B53" w14:textId="39BE8468" w:rsidR="00B9798B" w:rsidRPr="00D926FE" w:rsidRDefault="00B9798B" w:rsidP="00B9798B">
            <w:pPr>
              <w:jc w:val="center"/>
              <w:rPr>
                <w:rFonts w:ascii="Arial" w:hAnsi="Arial" w:cs="Arial"/>
                <w:sz w:val="14"/>
                <w:szCs w:val="14"/>
                <w:lang w:eastAsia="es-AR"/>
              </w:rPr>
            </w:pPr>
            <w:r>
              <w:rPr>
                <w:rFonts w:ascii="Arial" w:hAnsi="Arial" w:cs="Arial"/>
                <w:sz w:val="14"/>
                <w:szCs w:val="14"/>
              </w:rPr>
              <w:t>54158</w:t>
            </w:r>
          </w:p>
        </w:tc>
        <w:tc>
          <w:tcPr>
            <w:tcW w:w="794" w:type="dxa"/>
            <w:tcBorders>
              <w:top w:val="nil"/>
              <w:left w:val="nil"/>
              <w:bottom w:val="nil"/>
              <w:right w:val="nil"/>
            </w:tcBorders>
            <w:shd w:val="clear" w:color="auto" w:fill="auto"/>
            <w:vAlign w:val="bottom"/>
            <w:hideMark/>
          </w:tcPr>
          <w:p w14:paraId="59C1F428" w14:textId="242DFCC4" w:rsidR="00B9798B" w:rsidRPr="00D926FE" w:rsidRDefault="00B9798B" w:rsidP="00B9798B">
            <w:pPr>
              <w:jc w:val="center"/>
              <w:rPr>
                <w:rFonts w:ascii="Arial" w:hAnsi="Arial" w:cs="Arial"/>
                <w:sz w:val="14"/>
                <w:szCs w:val="14"/>
                <w:lang w:eastAsia="es-AR"/>
              </w:rPr>
            </w:pPr>
            <w:r>
              <w:rPr>
                <w:rFonts w:ascii="Arial" w:hAnsi="Arial" w:cs="Arial"/>
                <w:sz w:val="14"/>
                <w:szCs w:val="14"/>
              </w:rPr>
              <w:t>83.321</w:t>
            </w:r>
          </w:p>
        </w:tc>
        <w:tc>
          <w:tcPr>
            <w:tcW w:w="794" w:type="dxa"/>
            <w:tcBorders>
              <w:top w:val="nil"/>
              <w:left w:val="nil"/>
              <w:bottom w:val="nil"/>
              <w:right w:val="nil"/>
            </w:tcBorders>
            <w:shd w:val="clear" w:color="auto" w:fill="auto"/>
            <w:vAlign w:val="bottom"/>
            <w:hideMark/>
          </w:tcPr>
          <w:p w14:paraId="00C076AE" w14:textId="77777777" w:rsidR="00B9798B" w:rsidRPr="00D926FE" w:rsidRDefault="00B9798B" w:rsidP="00B9798B">
            <w:pPr>
              <w:jc w:val="center"/>
              <w:rPr>
                <w:rFonts w:ascii="Arial" w:hAnsi="Arial" w:cs="Arial"/>
                <w:sz w:val="14"/>
                <w:szCs w:val="14"/>
                <w:lang w:eastAsia="es-AR"/>
              </w:rPr>
            </w:pPr>
          </w:p>
        </w:tc>
        <w:tc>
          <w:tcPr>
            <w:tcW w:w="841" w:type="dxa"/>
            <w:tcBorders>
              <w:top w:val="nil"/>
              <w:left w:val="nil"/>
              <w:bottom w:val="nil"/>
              <w:right w:val="nil"/>
            </w:tcBorders>
            <w:shd w:val="clear" w:color="auto" w:fill="auto"/>
            <w:vAlign w:val="bottom"/>
            <w:hideMark/>
          </w:tcPr>
          <w:p w14:paraId="7295A402" w14:textId="1C1C1304"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83.321</w:t>
            </w:r>
          </w:p>
        </w:tc>
        <w:tc>
          <w:tcPr>
            <w:tcW w:w="841" w:type="dxa"/>
            <w:tcBorders>
              <w:top w:val="nil"/>
              <w:left w:val="nil"/>
              <w:bottom w:val="nil"/>
              <w:right w:val="nil"/>
            </w:tcBorders>
            <w:shd w:val="clear" w:color="auto" w:fill="auto"/>
            <w:vAlign w:val="bottom"/>
            <w:hideMark/>
          </w:tcPr>
          <w:p w14:paraId="71C1E6C6" w14:textId="64B79C97"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36BF1DA9" w14:textId="47198BAC"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83.321</w:t>
            </w:r>
          </w:p>
        </w:tc>
        <w:tc>
          <w:tcPr>
            <w:tcW w:w="778" w:type="dxa"/>
            <w:tcBorders>
              <w:top w:val="nil"/>
              <w:left w:val="nil"/>
              <w:bottom w:val="nil"/>
              <w:right w:val="nil"/>
            </w:tcBorders>
            <w:shd w:val="clear" w:color="auto" w:fill="auto"/>
            <w:vAlign w:val="bottom"/>
            <w:hideMark/>
          </w:tcPr>
          <w:p w14:paraId="5CE1AD3E" w14:textId="192C7234"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58BFFCFD" w14:textId="214CCD6C"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83.321</w:t>
            </w:r>
          </w:p>
        </w:tc>
      </w:tr>
      <w:tr w:rsidR="00B9798B" w:rsidRPr="00D926FE" w14:paraId="4F611DAB"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74A31270" w14:textId="0C398B60" w:rsidR="00B9798B" w:rsidRPr="00D926FE" w:rsidRDefault="00B9798B" w:rsidP="00B9798B">
            <w:pPr>
              <w:rPr>
                <w:rFonts w:ascii="Arial" w:hAnsi="Arial" w:cs="Arial"/>
                <w:sz w:val="14"/>
                <w:szCs w:val="14"/>
                <w:lang w:eastAsia="es-AR"/>
              </w:rPr>
            </w:pPr>
            <w:r>
              <w:rPr>
                <w:rFonts w:ascii="Arial" w:hAnsi="Arial" w:cs="Arial"/>
                <w:sz w:val="14"/>
                <w:szCs w:val="14"/>
              </w:rPr>
              <w:t>Vdff CCF Créditos 22 $ CG</w:t>
            </w:r>
          </w:p>
        </w:tc>
        <w:tc>
          <w:tcPr>
            <w:tcW w:w="709" w:type="dxa"/>
            <w:tcBorders>
              <w:top w:val="nil"/>
              <w:left w:val="nil"/>
              <w:bottom w:val="nil"/>
              <w:right w:val="nil"/>
            </w:tcBorders>
            <w:shd w:val="clear" w:color="auto" w:fill="auto"/>
            <w:vAlign w:val="bottom"/>
            <w:hideMark/>
          </w:tcPr>
          <w:p w14:paraId="2F074567" w14:textId="443EA124" w:rsidR="00B9798B" w:rsidRPr="00D926FE" w:rsidRDefault="00B9798B" w:rsidP="00B9798B">
            <w:pPr>
              <w:jc w:val="center"/>
              <w:rPr>
                <w:sz w:val="20"/>
                <w:lang w:eastAsia="es-AR"/>
              </w:rPr>
            </w:pPr>
            <w:r>
              <w:rPr>
                <w:rFonts w:ascii="Arial" w:hAnsi="Arial" w:cs="Arial"/>
                <w:sz w:val="14"/>
                <w:szCs w:val="14"/>
              </w:rPr>
              <w:t>54473</w:t>
            </w:r>
          </w:p>
        </w:tc>
        <w:tc>
          <w:tcPr>
            <w:tcW w:w="794" w:type="dxa"/>
            <w:tcBorders>
              <w:top w:val="nil"/>
              <w:left w:val="nil"/>
              <w:bottom w:val="nil"/>
              <w:right w:val="nil"/>
            </w:tcBorders>
            <w:shd w:val="clear" w:color="auto" w:fill="auto"/>
            <w:vAlign w:val="bottom"/>
            <w:hideMark/>
          </w:tcPr>
          <w:p w14:paraId="44FE5DDB" w14:textId="180AECAA" w:rsidR="00B9798B" w:rsidRPr="00D926FE" w:rsidRDefault="00B9798B" w:rsidP="00B9798B">
            <w:pPr>
              <w:jc w:val="center"/>
              <w:rPr>
                <w:sz w:val="20"/>
                <w:lang w:eastAsia="es-AR"/>
              </w:rPr>
            </w:pPr>
            <w:r>
              <w:rPr>
                <w:rFonts w:ascii="Arial" w:hAnsi="Arial" w:cs="Arial"/>
                <w:sz w:val="14"/>
                <w:szCs w:val="14"/>
              </w:rPr>
              <w:t>27.743</w:t>
            </w:r>
          </w:p>
        </w:tc>
        <w:tc>
          <w:tcPr>
            <w:tcW w:w="794" w:type="dxa"/>
            <w:tcBorders>
              <w:top w:val="nil"/>
              <w:left w:val="nil"/>
              <w:bottom w:val="nil"/>
              <w:right w:val="nil"/>
            </w:tcBorders>
            <w:shd w:val="clear" w:color="auto" w:fill="auto"/>
            <w:vAlign w:val="bottom"/>
            <w:hideMark/>
          </w:tcPr>
          <w:p w14:paraId="6D636170" w14:textId="77777777" w:rsidR="00B9798B" w:rsidRPr="00D926FE" w:rsidRDefault="00B9798B"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189DFF73" w14:textId="2A851109" w:rsidR="00B9798B" w:rsidRPr="00D926FE" w:rsidRDefault="00B9798B" w:rsidP="00B9798B">
            <w:pPr>
              <w:ind w:left="709" w:hanging="709"/>
              <w:jc w:val="right"/>
              <w:rPr>
                <w:sz w:val="20"/>
                <w:lang w:eastAsia="es-AR"/>
              </w:rPr>
            </w:pPr>
            <w:r>
              <w:rPr>
                <w:rFonts w:ascii="Arial" w:hAnsi="Arial" w:cs="Arial"/>
                <w:sz w:val="14"/>
                <w:szCs w:val="14"/>
              </w:rPr>
              <w:t>27.743</w:t>
            </w:r>
          </w:p>
        </w:tc>
        <w:tc>
          <w:tcPr>
            <w:tcW w:w="841" w:type="dxa"/>
            <w:tcBorders>
              <w:top w:val="nil"/>
              <w:left w:val="nil"/>
              <w:bottom w:val="nil"/>
              <w:right w:val="nil"/>
            </w:tcBorders>
            <w:shd w:val="clear" w:color="auto" w:fill="auto"/>
            <w:vAlign w:val="bottom"/>
            <w:hideMark/>
          </w:tcPr>
          <w:p w14:paraId="005D98B3" w14:textId="57438154" w:rsidR="00B9798B" w:rsidRPr="00D926FE" w:rsidRDefault="00B9798B" w:rsidP="00B9798B">
            <w:pPr>
              <w:ind w:left="709" w:hanging="709"/>
              <w:jc w:val="right"/>
              <w:rPr>
                <w:sz w:val="20"/>
                <w:lang w:eastAsia="es-AR"/>
              </w:rPr>
            </w:pPr>
            <w:r>
              <w:rPr>
                <w:rFonts w:ascii="Arial" w:hAnsi="Arial" w:cs="Arial"/>
                <w:sz w:val="14"/>
                <w:szCs w:val="14"/>
              </w:rPr>
              <w:t xml:space="preserve">- </w:t>
            </w:r>
          </w:p>
        </w:tc>
        <w:tc>
          <w:tcPr>
            <w:tcW w:w="915" w:type="dxa"/>
            <w:tcBorders>
              <w:top w:val="nil"/>
              <w:left w:val="nil"/>
              <w:bottom w:val="nil"/>
              <w:right w:val="nil"/>
            </w:tcBorders>
            <w:shd w:val="clear" w:color="auto" w:fill="auto"/>
            <w:vAlign w:val="bottom"/>
            <w:hideMark/>
          </w:tcPr>
          <w:p w14:paraId="21B7CE2A" w14:textId="55F88DEA" w:rsidR="00B9798B" w:rsidRPr="00D926FE" w:rsidRDefault="00B9798B" w:rsidP="00B9798B">
            <w:pPr>
              <w:ind w:left="709" w:hanging="709"/>
              <w:jc w:val="right"/>
              <w:rPr>
                <w:sz w:val="20"/>
                <w:lang w:eastAsia="es-AR"/>
              </w:rPr>
            </w:pPr>
            <w:r>
              <w:rPr>
                <w:rFonts w:ascii="Arial" w:hAnsi="Arial" w:cs="Arial"/>
                <w:sz w:val="14"/>
                <w:szCs w:val="14"/>
              </w:rPr>
              <w:t>27.743</w:t>
            </w:r>
          </w:p>
        </w:tc>
        <w:tc>
          <w:tcPr>
            <w:tcW w:w="778" w:type="dxa"/>
            <w:tcBorders>
              <w:top w:val="nil"/>
              <w:left w:val="nil"/>
              <w:bottom w:val="nil"/>
              <w:right w:val="nil"/>
            </w:tcBorders>
            <w:shd w:val="clear" w:color="auto" w:fill="auto"/>
            <w:vAlign w:val="bottom"/>
            <w:hideMark/>
          </w:tcPr>
          <w:p w14:paraId="236CF182" w14:textId="4ECCE842" w:rsidR="00B9798B" w:rsidRPr="00D926FE" w:rsidRDefault="00B9798B" w:rsidP="00B9798B">
            <w:pPr>
              <w:ind w:left="709" w:hanging="709"/>
              <w:jc w:val="right"/>
              <w:rPr>
                <w:sz w:val="20"/>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2579DEB2" w14:textId="10F1B13D" w:rsidR="00B9798B" w:rsidRPr="00D926FE" w:rsidRDefault="00B9798B" w:rsidP="00B9798B">
            <w:pPr>
              <w:ind w:left="709" w:hanging="709"/>
              <w:jc w:val="right"/>
              <w:rPr>
                <w:sz w:val="20"/>
                <w:lang w:eastAsia="es-AR"/>
              </w:rPr>
            </w:pPr>
            <w:r>
              <w:rPr>
                <w:rFonts w:ascii="Arial" w:hAnsi="Arial" w:cs="Arial"/>
                <w:sz w:val="14"/>
                <w:szCs w:val="14"/>
              </w:rPr>
              <w:t>27.743</w:t>
            </w:r>
          </w:p>
        </w:tc>
      </w:tr>
      <w:tr w:rsidR="00B9798B" w:rsidRPr="00D926FE" w14:paraId="43046A70"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5BBBFC24" w14:textId="7D8EC5F3" w:rsidR="00B9798B" w:rsidRPr="00D926FE" w:rsidRDefault="00B9798B" w:rsidP="00B9798B">
            <w:pPr>
              <w:rPr>
                <w:rFonts w:ascii="Arial" w:hAnsi="Arial" w:cs="Arial"/>
                <w:sz w:val="14"/>
                <w:szCs w:val="14"/>
                <w:lang w:eastAsia="es-AR"/>
              </w:rPr>
            </w:pPr>
            <w:r>
              <w:rPr>
                <w:rFonts w:ascii="Arial" w:hAnsi="Arial" w:cs="Arial"/>
                <w:sz w:val="14"/>
                <w:szCs w:val="14"/>
              </w:rPr>
              <w:t xml:space="preserve">Vdff  Mbt 1 Clase A         </w:t>
            </w:r>
          </w:p>
        </w:tc>
        <w:tc>
          <w:tcPr>
            <w:tcW w:w="709" w:type="dxa"/>
            <w:tcBorders>
              <w:top w:val="nil"/>
              <w:left w:val="nil"/>
              <w:bottom w:val="nil"/>
              <w:right w:val="nil"/>
            </w:tcBorders>
            <w:shd w:val="clear" w:color="auto" w:fill="auto"/>
            <w:vAlign w:val="bottom"/>
            <w:hideMark/>
          </w:tcPr>
          <w:p w14:paraId="55C4D4CF" w14:textId="4AC29F23" w:rsidR="00B9798B" w:rsidRPr="00D926FE" w:rsidRDefault="00B9798B" w:rsidP="00B9798B">
            <w:pPr>
              <w:jc w:val="center"/>
              <w:rPr>
                <w:rFonts w:ascii="Arial" w:hAnsi="Arial" w:cs="Arial"/>
                <w:sz w:val="14"/>
                <w:szCs w:val="14"/>
                <w:lang w:eastAsia="es-AR"/>
              </w:rPr>
            </w:pPr>
            <w:r>
              <w:rPr>
                <w:rFonts w:ascii="Arial" w:hAnsi="Arial" w:cs="Arial"/>
                <w:sz w:val="14"/>
                <w:szCs w:val="14"/>
              </w:rPr>
              <w:t>35692</w:t>
            </w:r>
          </w:p>
        </w:tc>
        <w:tc>
          <w:tcPr>
            <w:tcW w:w="794" w:type="dxa"/>
            <w:tcBorders>
              <w:top w:val="nil"/>
              <w:left w:val="nil"/>
              <w:bottom w:val="nil"/>
              <w:right w:val="nil"/>
            </w:tcBorders>
            <w:shd w:val="clear" w:color="auto" w:fill="auto"/>
            <w:vAlign w:val="bottom"/>
            <w:hideMark/>
          </w:tcPr>
          <w:p w14:paraId="7B24D9F8" w14:textId="001766E8" w:rsidR="00B9798B" w:rsidRPr="00D926FE" w:rsidRDefault="00B9798B" w:rsidP="00B9798B">
            <w:pPr>
              <w:jc w:val="center"/>
              <w:rPr>
                <w:sz w:val="20"/>
                <w:lang w:eastAsia="es-AR"/>
              </w:rPr>
            </w:pPr>
            <w:r>
              <w:rPr>
                <w:rFonts w:ascii="Arial" w:hAnsi="Arial" w:cs="Arial"/>
                <w:sz w:val="14"/>
                <w:szCs w:val="14"/>
              </w:rPr>
              <w:t>-</w:t>
            </w:r>
          </w:p>
        </w:tc>
        <w:tc>
          <w:tcPr>
            <w:tcW w:w="794" w:type="dxa"/>
            <w:tcBorders>
              <w:top w:val="nil"/>
              <w:left w:val="nil"/>
              <w:bottom w:val="nil"/>
              <w:right w:val="nil"/>
            </w:tcBorders>
            <w:shd w:val="clear" w:color="auto" w:fill="auto"/>
            <w:vAlign w:val="bottom"/>
            <w:hideMark/>
          </w:tcPr>
          <w:p w14:paraId="4FCAF7F4" w14:textId="77777777" w:rsidR="00B9798B" w:rsidRPr="00D926FE" w:rsidRDefault="00B9798B"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38972508" w14:textId="33DEDF75" w:rsidR="00B9798B" w:rsidRPr="00D926FE" w:rsidRDefault="00B9798B" w:rsidP="00B9798B">
            <w:pPr>
              <w:ind w:left="709" w:hanging="709"/>
              <w:jc w:val="right"/>
              <w:rPr>
                <w:sz w:val="20"/>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19747222" w14:textId="1C279FF7" w:rsidR="00B9798B" w:rsidRPr="00D926FE" w:rsidRDefault="00B9798B" w:rsidP="00B9798B">
            <w:pPr>
              <w:ind w:left="709" w:hanging="709"/>
              <w:jc w:val="right"/>
              <w:rPr>
                <w:sz w:val="20"/>
                <w:lang w:eastAsia="es-AR"/>
              </w:rPr>
            </w:pPr>
            <w:r>
              <w:rPr>
                <w:rFonts w:ascii="Arial" w:hAnsi="Arial" w:cs="Arial"/>
                <w:sz w:val="14"/>
                <w:szCs w:val="14"/>
              </w:rPr>
              <w:t>1.211</w:t>
            </w:r>
          </w:p>
        </w:tc>
        <w:tc>
          <w:tcPr>
            <w:tcW w:w="915" w:type="dxa"/>
            <w:tcBorders>
              <w:top w:val="nil"/>
              <w:left w:val="nil"/>
              <w:bottom w:val="nil"/>
              <w:right w:val="nil"/>
            </w:tcBorders>
            <w:shd w:val="clear" w:color="auto" w:fill="auto"/>
            <w:vAlign w:val="bottom"/>
            <w:hideMark/>
          </w:tcPr>
          <w:p w14:paraId="234B4E1B" w14:textId="5A1AB16F" w:rsidR="00B9798B" w:rsidRPr="00D926FE" w:rsidRDefault="00B9798B" w:rsidP="00B9798B">
            <w:pPr>
              <w:ind w:left="709" w:hanging="709"/>
              <w:jc w:val="right"/>
              <w:rPr>
                <w:sz w:val="20"/>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1B002DCA" w14:textId="58547C1C" w:rsidR="00B9798B" w:rsidRPr="00D926FE" w:rsidRDefault="00B9798B" w:rsidP="00B9798B">
            <w:pPr>
              <w:ind w:left="709" w:hanging="709"/>
              <w:jc w:val="right"/>
              <w:rPr>
                <w:sz w:val="20"/>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70E958E6" w14:textId="36CB128C" w:rsidR="00B9798B" w:rsidRPr="00D926FE" w:rsidRDefault="00B9798B" w:rsidP="00B9798B">
            <w:pPr>
              <w:ind w:left="709" w:hanging="709"/>
              <w:jc w:val="right"/>
              <w:rPr>
                <w:sz w:val="20"/>
                <w:lang w:eastAsia="es-AR"/>
              </w:rPr>
            </w:pPr>
            <w:r>
              <w:rPr>
                <w:rFonts w:ascii="Arial" w:hAnsi="Arial" w:cs="Arial"/>
                <w:sz w:val="14"/>
                <w:szCs w:val="14"/>
              </w:rPr>
              <w:t xml:space="preserve">- </w:t>
            </w:r>
          </w:p>
        </w:tc>
      </w:tr>
      <w:tr w:rsidR="00B9798B" w:rsidRPr="00D926FE" w14:paraId="397C97F9" w14:textId="77777777" w:rsidTr="00B9798B">
        <w:trPr>
          <w:gridAfter w:val="1"/>
          <w:wAfter w:w="16" w:type="dxa"/>
          <w:trHeight w:val="240"/>
        </w:trPr>
        <w:tc>
          <w:tcPr>
            <w:tcW w:w="3189" w:type="dxa"/>
            <w:tcBorders>
              <w:top w:val="nil"/>
              <w:left w:val="nil"/>
              <w:bottom w:val="nil"/>
              <w:right w:val="nil"/>
            </w:tcBorders>
            <w:shd w:val="clear" w:color="auto" w:fill="auto"/>
            <w:vAlign w:val="bottom"/>
            <w:hideMark/>
          </w:tcPr>
          <w:p w14:paraId="1B742055" w14:textId="58C7CBAD" w:rsidR="00B9798B" w:rsidRPr="007A54A1" w:rsidRDefault="00B9798B" w:rsidP="00B9798B">
            <w:pPr>
              <w:rPr>
                <w:rFonts w:ascii="Arial" w:hAnsi="Arial" w:cs="Arial"/>
                <w:sz w:val="14"/>
                <w:szCs w:val="14"/>
                <w:lang w:val="en-US" w:eastAsia="es-AR"/>
              </w:rPr>
            </w:pPr>
            <w:r w:rsidRPr="00B9798B">
              <w:rPr>
                <w:rFonts w:ascii="Arial" w:hAnsi="Arial" w:cs="Arial"/>
                <w:sz w:val="14"/>
                <w:szCs w:val="14"/>
                <w:lang w:val="en-US"/>
              </w:rPr>
              <w:t>On Prear S.2 Vto.15/02/19 $ Esc</w:t>
            </w:r>
          </w:p>
        </w:tc>
        <w:tc>
          <w:tcPr>
            <w:tcW w:w="709" w:type="dxa"/>
            <w:tcBorders>
              <w:top w:val="nil"/>
              <w:left w:val="nil"/>
              <w:bottom w:val="nil"/>
              <w:right w:val="nil"/>
            </w:tcBorders>
            <w:shd w:val="clear" w:color="auto" w:fill="auto"/>
            <w:vAlign w:val="bottom"/>
            <w:hideMark/>
          </w:tcPr>
          <w:p w14:paraId="510927F5" w14:textId="668F0964" w:rsidR="00B9798B" w:rsidRPr="00D926FE" w:rsidRDefault="00B9798B" w:rsidP="00B9798B">
            <w:pPr>
              <w:jc w:val="center"/>
              <w:rPr>
                <w:rFonts w:ascii="Arial" w:hAnsi="Arial" w:cs="Arial"/>
                <w:sz w:val="14"/>
                <w:szCs w:val="14"/>
                <w:lang w:eastAsia="es-AR"/>
              </w:rPr>
            </w:pPr>
            <w:r>
              <w:rPr>
                <w:rFonts w:ascii="Arial" w:hAnsi="Arial" w:cs="Arial"/>
                <w:sz w:val="14"/>
                <w:szCs w:val="14"/>
              </w:rPr>
              <w:t>52730</w:t>
            </w:r>
          </w:p>
        </w:tc>
        <w:tc>
          <w:tcPr>
            <w:tcW w:w="794" w:type="dxa"/>
            <w:tcBorders>
              <w:top w:val="nil"/>
              <w:left w:val="nil"/>
              <w:bottom w:val="nil"/>
              <w:right w:val="nil"/>
            </w:tcBorders>
            <w:shd w:val="clear" w:color="auto" w:fill="auto"/>
            <w:vAlign w:val="bottom"/>
            <w:hideMark/>
          </w:tcPr>
          <w:p w14:paraId="674EBBFE" w14:textId="1CD38011" w:rsidR="00B9798B" w:rsidRPr="00D926FE" w:rsidRDefault="00B9798B" w:rsidP="00B9798B">
            <w:pPr>
              <w:jc w:val="center"/>
              <w:rPr>
                <w:rFonts w:ascii="Arial" w:hAnsi="Arial" w:cs="Arial"/>
                <w:sz w:val="14"/>
                <w:szCs w:val="14"/>
                <w:lang w:eastAsia="es-AR"/>
              </w:rPr>
            </w:pPr>
            <w:r>
              <w:rPr>
                <w:rFonts w:ascii="Arial" w:hAnsi="Arial" w:cs="Arial"/>
                <w:sz w:val="14"/>
                <w:szCs w:val="14"/>
              </w:rPr>
              <w:t>-</w:t>
            </w:r>
          </w:p>
        </w:tc>
        <w:tc>
          <w:tcPr>
            <w:tcW w:w="794" w:type="dxa"/>
            <w:tcBorders>
              <w:top w:val="nil"/>
              <w:left w:val="nil"/>
              <w:bottom w:val="nil"/>
              <w:right w:val="nil"/>
            </w:tcBorders>
            <w:shd w:val="clear" w:color="auto" w:fill="auto"/>
            <w:vAlign w:val="bottom"/>
            <w:hideMark/>
          </w:tcPr>
          <w:p w14:paraId="528EDEE2" w14:textId="77777777" w:rsidR="00B9798B" w:rsidRPr="00D926FE" w:rsidRDefault="00B9798B" w:rsidP="00B9798B">
            <w:pPr>
              <w:jc w:val="center"/>
              <w:rPr>
                <w:rFonts w:ascii="Arial" w:hAnsi="Arial" w:cs="Arial"/>
                <w:sz w:val="14"/>
                <w:szCs w:val="14"/>
                <w:lang w:eastAsia="es-AR"/>
              </w:rPr>
            </w:pPr>
          </w:p>
        </w:tc>
        <w:tc>
          <w:tcPr>
            <w:tcW w:w="841" w:type="dxa"/>
            <w:tcBorders>
              <w:top w:val="nil"/>
              <w:left w:val="nil"/>
              <w:bottom w:val="nil"/>
              <w:right w:val="nil"/>
            </w:tcBorders>
            <w:shd w:val="clear" w:color="auto" w:fill="auto"/>
            <w:vAlign w:val="bottom"/>
            <w:hideMark/>
          </w:tcPr>
          <w:p w14:paraId="4E095540" w14:textId="5322EFD9"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57184739" w14:textId="18DB00A2"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2.560</w:t>
            </w:r>
          </w:p>
        </w:tc>
        <w:tc>
          <w:tcPr>
            <w:tcW w:w="915" w:type="dxa"/>
            <w:tcBorders>
              <w:top w:val="nil"/>
              <w:left w:val="nil"/>
              <w:bottom w:val="nil"/>
              <w:right w:val="nil"/>
            </w:tcBorders>
            <w:shd w:val="clear" w:color="auto" w:fill="auto"/>
            <w:vAlign w:val="bottom"/>
            <w:hideMark/>
          </w:tcPr>
          <w:p w14:paraId="597140C7" w14:textId="28EA6AEE"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68CF01C9" w14:textId="71ABB72A"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688460A5" w14:textId="5C0B3BCE"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r>
      <w:tr w:rsidR="007465F0" w:rsidRPr="00D926FE" w14:paraId="3F368DD6" w14:textId="77777777" w:rsidTr="006E1AF7">
        <w:trPr>
          <w:gridAfter w:val="1"/>
          <w:wAfter w:w="16" w:type="dxa"/>
          <w:trHeight w:val="80"/>
        </w:trPr>
        <w:tc>
          <w:tcPr>
            <w:tcW w:w="3189" w:type="dxa"/>
            <w:tcBorders>
              <w:top w:val="nil"/>
              <w:left w:val="nil"/>
              <w:bottom w:val="single" w:sz="4" w:space="0" w:color="auto"/>
              <w:right w:val="nil"/>
            </w:tcBorders>
            <w:shd w:val="clear" w:color="auto" w:fill="auto"/>
            <w:vAlign w:val="bottom"/>
          </w:tcPr>
          <w:p w14:paraId="7BDEF2DC" w14:textId="5DE425C4" w:rsidR="007465F0" w:rsidRPr="00D926FE" w:rsidRDefault="007465F0" w:rsidP="00B9798B">
            <w:pPr>
              <w:rPr>
                <w:rFonts w:ascii="Arial" w:hAnsi="Arial" w:cs="Arial"/>
                <w:sz w:val="14"/>
                <w:szCs w:val="14"/>
                <w:lang w:val="en-US" w:eastAsia="es-AR"/>
              </w:rPr>
            </w:pPr>
          </w:p>
        </w:tc>
        <w:tc>
          <w:tcPr>
            <w:tcW w:w="709" w:type="dxa"/>
            <w:tcBorders>
              <w:top w:val="nil"/>
              <w:left w:val="nil"/>
              <w:bottom w:val="single" w:sz="4" w:space="0" w:color="auto"/>
              <w:right w:val="nil"/>
            </w:tcBorders>
            <w:shd w:val="clear" w:color="auto" w:fill="auto"/>
            <w:vAlign w:val="bottom"/>
          </w:tcPr>
          <w:p w14:paraId="3317E619" w14:textId="3B3AE807" w:rsidR="007465F0" w:rsidRPr="00D926FE" w:rsidRDefault="007465F0" w:rsidP="00B9798B">
            <w:pPr>
              <w:jc w:val="center"/>
              <w:rPr>
                <w:rFonts w:ascii="Arial" w:hAnsi="Arial" w:cs="Arial"/>
                <w:sz w:val="14"/>
                <w:szCs w:val="14"/>
                <w:lang w:eastAsia="es-AR"/>
              </w:rPr>
            </w:pPr>
          </w:p>
        </w:tc>
        <w:tc>
          <w:tcPr>
            <w:tcW w:w="794" w:type="dxa"/>
            <w:tcBorders>
              <w:top w:val="nil"/>
              <w:left w:val="nil"/>
              <w:bottom w:val="single" w:sz="4" w:space="0" w:color="auto"/>
              <w:right w:val="nil"/>
            </w:tcBorders>
            <w:shd w:val="clear" w:color="auto" w:fill="auto"/>
            <w:vAlign w:val="bottom"/>
          </w:tcPr>
          <w:p w14:paraId="36E31072" w14:textId="43875E56" w:rsidR="007465F0" w:rsidRPr="00D926FE" w:rsidRDefault="007465F0" w:rsidP="00B9798B">
            <w:pPr>
              <w:jc w:val="center"/>
              <w:rPr>
                <w:rFonts w:ascii="Arial" w:hAnsi="Arial" w:cs="Arial"/>
                <w:sz w:val="14"/>
                <w:szCs w:val="14"/>
                <w:lang w:eastAsia="es-AR"/>
              </w:rPr>
            </w:pPr>
          </w:p>
        </w:tc>
        <w:tc>
          <w:tcPr>
            <w:tcW w:w="794" w:type="dxa"/>
            <w:tcBorders>
              <w:top w:val="nil"/>
              <w:left w:val="nil"/>
              <w:bottom w:val="single" w:sz="4" w:space="0" w:color="auto"/>
              <w:right w:val="nil"/>
            </w:tcBorders>
            <w:shd w:val="clear" w:color="auto" w:fill="auto"/>
            <w:vAlign w:val="bottom"/>
          </w:tcPr>
          <w:p w14:paraId="3FFAA434" w14:textId="2BED23E9" w:rsidR="007465F0" w:rsidRPr="00D926FE" w:rsidRDefault="007465F0" w:rsidP="00B9798B">
            <w:pPr>
              <w:jc w:val="center"/>
              <w:rPr>
                <w:rFonts w:ascii="Arial" w:hAnsi="Arial" w:cs="Arial"/>
                <w:sz w:val="14"/>
                <w:szCs w:val="14"/>
                <w:lang w:eastAsia="es-AR"/>
              </w:rPr>
            </w:pPr>
          </w:p>
        </w:tc>
        <w:tc>
          <w:tcPr>
            <w:tcW w:w="841" w:type="dxa"/>
            <w:tcBorders>
              <w:top w:val="nil"/>
              <w:left w:val="nil"/>
              <w:bottom w:val="single" w:sz="4" w:space="0" w:color="auto"/>
              <w:right w:val="nil"/>
            </w:tcBorders>
            <w:shd w:val="clear" w:color="auto" w:fill="auto"/>
            <w:vAlign w:val="bottom"/>
          </w:tcPr>
          <w:p w14:paraId="0D7A40FA" w14:textId="408AE7D8" w:rsidR="007465F0" w:rsidRPr="00D926FE" w:rsidRDefault="007465F0" w:rsidP="00B9798B">
            <w:pPr>
              <w:ind w:left="709" w:hanging="709"/>
              <w:jc w:val="right"/>
              <w:rPr>
                <w:rFonts w:ascii="Arial" w:hAnsi="Arial" w:cs="Arial"/>
                <w:sz w:val="14"/>
                <w:szCs w:val="14"/>
                <w:lang w:eastAsia="es-AR"/>
              </w:rPr>
            </w:pPr>
          </w:p>
        </w:tc>
        <w:tc>
          <w:tcPr>
            <w:tcW w:w="841" w:type="dxa"/>
            <w:tcBorders>
              <w:top w:val="nil"/>
              <w:left w:val="nil"/>
              <w:bottom w:val="single" w:sz="4" w:space="0" w:color="auto"/>
              <w:right w:val="nil"/>
            </w:tcBorders>
            <w:shd w:val="clear" w:color="auto" w:fill="auto"/>
            <w:vAlign w:val="bottom"/>
          </w:tcPr>
          <w:p w14:paraId="261B6162" w14:textId="67C6612D" w:rsidR="007465F0" w:rsidRPr="00D926FE" w:rsidRDefault="007465F0" w:rsidP="00B9798B">
            <w:pPr>
              <w:ind w:left="709" w:hanging="709"/>
              <w:jc w:val="right"/>
              <w:rPr>
                <w:rFonts w:ascii="Arial" w:hAnsi="Arial" w:cs="Arial"/>
                <w:sz w:val="14"/>
                <w:szCs w:val="14"/>
                <w:lang w:eastAsia="es-AR"/>
              </w:rPr>
            </w:pPr>
          </w:p>
        </w:tc>
        <w:tc>
          <w:tcPr>
            <w:tcW w:w="915" w:type="dxa"/>
            <w:tcBorders>
              <w:top w:val="nil"/>
              <w:left w:val="nil"/>
              <w:bottom w:val="single" w:sz="4" w:space="0" w:color="auto"/>
              <w:right w:val="nil"/>
            </w:tcBorders>
            <w:shd w:val="clear" w:color="auto" w:fill="auto"/>
            <w:vAlign w:val="bottom"/>
          </w:tcPr>
          <w:p w14:paraId="0373A6AD" w14:textId="18A0B181" w:rsidR="007465F0" w:rsidRPr="00D926FE" w:rsidRDefault="007465F0" w:rsidP="00B9798B">
            <w:pPr>
              <w:ind w:left="709" w:hanging="709"/>
              <w:jc w:val="right"/>
              <w:rPr>
                <w:rFonts w:ascii="Arial" w:hAnsi="Arial" w:cs="Arial"/>
                <w:sz w:val="14"/>
                <w:szCs w:val="14"/>
                <w:lang w:eastAsia="es-AR"/>
              </w:rPr>
            </w:pPr>
          </w:p>
        </w:tc>
        <w:tc>
          <w:tcPr>
            <w:tcW w:w="778" w:type="dxa"/>
            <w:tcBorders>
              <w:top w:val="nil"/>
              <w:left w:val="nil"/>
              <w:bottom w:val="single" w:sz="4" w:space="0" w:color="auto"/>
              <w:right w:val="nil"/>
            </w:tcBorders>
            <w:shd w:val="clear" w:color="auto" w:fill="auto"/>
            <w:vAlign w:val="bottom"/>
          </w:tcPr>
          <w:p w14:paraId="06CDE590" w14:textId="52F192FC" w:rsidR="007465F0" w:rsidRPr="00D926FE" w:rsidRDefault="007465F0" w:rsidP="00B9798B">
            <w:pPr>
              <w:ind w:left="709" w:hanging="709"/>
              <w:jc w:val="right"/>
              <w:rPr>
                <w:rFonts w:ascii="Arial" w:hAnsi="Arial" w:cs="Arial"/>
                <w:sz w:val="14"/>
                <w:szCs w:val="14"/>
                <w:lang w:eastAsia="es-AR"/>
              </w:rPr>
            </w:pPr>
          </w:p>
        </w:tc>
        <w:tc>
          <w:tcPr>
            <w:tcW w:w="848" w:type="dxa"/>
            <w:tcBorders>
              <w:top w:val="nil"/>
              <w:left w:val="nil"/>
              <w:bottom w:val="single" w:sz="4" w:space="0" w:color="auto"/>
              <w:right w:val="nil"/>
            </w:tcBorders>
            <w:shd w:val="clear" w:color="auto" w:fill="auto"/>
            <w:vAlign w:val="bottom"/>
          </w:tcPr>
          <w:p w14:paraId="23EC66F5" w14:textId="2E38C530" w:rsidR="007465F0" w:rsidRPr="00D926FE" w:rsidRDefault="007465F0" w:rsidP="00B9798B">
            <w:pPr>
              <w:ind w:left="709" w:hanging="709"/>
              <w:jc w:val="right"/>
              <w:rPr>
                <w:rFonts w:ascii="Arial" w:hAnsi="Arial" w:cs="Arial"/>
                <w:sz w:val="14"/>
                <w:szCs w:val="14"/>
                <w:lang w:eastAsia="es-AR"/>
              </w:rPr>
            </w:pPr>
          </w:p>
        </w:tc>
      </w:tr>
      <w:tr w:rsidR="007465F0" w:rsidRPr="00D926FE" w14:paraId="18898D0A" w14:textId="77777777" w:rsidTr="006E1AF7">
        <w:trPr>
          <w:gridAfter w:val="1"/>
          <w:wAfter w:w="16" w:type="dxa"/>
          <w:trHeight w:val="70"/>
        </w:trPr>
        <w:tc>
          <w:tcPr>
            <w:tcW w:w="3189" w:type="dxa"/>
            <w:tcBorders>
              <w:top w:val="nil"/>
              <w:left w:val="nil"/>
              <w:bottom w:val="nil"/>
              <w:right w:val="nil"/>
            </w:tcBorders>
            <w:shd w:val="clear" w:color="auto" w:fill="auto"/>
            <w:vAlign w:val="bottom"/>
            <w:hideMark/>
          </w:tcPr>
          <w:p w14:paraId="2AEC1380" w14:textId="77777777" w:rsidR="007465F0" w:rsidRPr="00D926FE" w:rsidRDefault="007465F0" w:rsidP="00B9798B">
            <w:pPr>
              <w:rPr>
                <w:rFonts w:ascii="Arial" w:hAnsi="Arial" w:cs="Arial"/>
                <w:sz w:val="14"/>
                <w:szCs w:val="14"/>
                <w:lang w:eastAsia="es-AR"/>
              </w:rPr>
            </w:pPr>
          </w:p>
        </w:tc>
        <w:tc>
          <w:tcPr>
            <w:tcW w:w="709" w:type="dxa"/>
            <w:tcBorders>
              <w:top w:val="nil"/>
              <w:left w:val="nil"/>
              <w:bottom w:val="nil"/>
              <w:right w:val="nil"/>
            </w:tcBorders>
            <w:shd w:val="clear" w:color="auto" w:fill="auto"/>
            <w:vAlign w:val="bottom"/>
            <w:hideMark/>
          </w:tcPr>
          <w:p w14:paraId="3DB4D74A"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5DB3F7CA"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5C35EC47"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1BB64F37" w14:textId="77777777" w:rsidR="007465F0" w:rsidRPr="00D926FE" w:rsidRDefault="007465F0"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hideMark/>
          </w:tcPr>
          <w:p w14:paraId="3C09A847" w14:textId="77777777" w:rsidR="007465F0" w:rsidRPr="00D926FE" w:rsidRDefault="007465F0"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59898794" w14:textId="77777777" w:rsidR="007465F0" w:rsidRPr="00D926FE" w:rsidRDefault="007465F0"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0C23262A" w14:textId="77777777" w:rsidR="007465F0" w:rsidRPr="00D926FE" w:rsidRDefault="007465F0"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3B7BD43A" w14:textId="77777777" w:rsidR="007465F0" w:rsidRPr="00D926FE" w:rsidRDefault="007465F0" w:rsidP="00B9798B">
            <w:pPr>
              <w:ind w:left="709" w:hanging="709"/>
              <w:jc w:val="right"/>
              <w:rPr>
                <w:sz w:val="20"/>
                <w:lang w:eastAsia="es-AR"/>
              </w:rPr>
            </w:pPr>
          </w:p>
        </w:tc>
      </w:tr>
      <w:tr w:rsidR="00B9798B" w:rsidRPr="00D926FE" w14:paraId="150A6254" w14:textId="77777777" w:rsidTr="00940F41">
        <w:trPr>
          <w:gridAfter w:val="1"/>
          <w:wAfter w:w="16" w:type="dxa"/>
          <w:trHeight w:val="80"/>
        </w:trPr>
        <w:tc>
          <w:tcPr>
            <w:tcW w:w="3189" w:type="dxa"/>
            <w:tcBorders>
              <w:top w:val="nil"/>
              <w:left w:val="nil"/>
              <w:bottom w:val="nil"/>
              <w:right w:val="nil"/>
            </w:tcBorders>
            <w:shd w:val="clear" w:color="auto" w:fill="auto"/>
            <w:vAlign w:val="bottom"/>
            <w:hideMark/>
          </w:tcPr>
          <w:p w14:paraId="6FF4758C" w14:textId="77777777" w:rsidR="00B9798B" w:rsidRPr="00D926FE" w:rsidRDefault="00B9798B" w:rsidP="00B9798B">
            <w:pPr>
              <w:rPr>
                <w:rFonts w:ascii="Arial" w:hAnsi="Arial" w:cs="Arial"/>
                <w:b/>
                <w:bCs/>
                <w:sz w:val="14"/>
                <w:szCs w:val="14"/>
                <w:lang w:eastAsia="es-AR"/>
              </w:rPr>
            </w:pPr>
            <w:r w:rsidRPr="00D926FE">
              <w:rPr>
                <w:rFonts w:ascii="Arial" w:hAnsi="Arial" w:cs="Arial"/>
                <w:b/>
                <w:bCs/>
                <w:sz w:val="14"/>
                <w:szCs w:val="14"/>
                <w:lang w:eastAsia="es-AR"/>
              </w:rPr>
              <w:t>Total otros Títulos de deuda</w:t>
            </w:r>
          </w:p>
        </w:tc>
        <w:tc>
          <w:tcPr>
            <w:tcW w:w="709" w:type="dxa"/>
            <w:tcBorders>
              <w:top w:val="nil"/>
              <w:left w:val="nil"/>
              <w:bottom w:val="nil"/>
              <w:right w:val="nil"/>
            </w:tcBorders>
            <w:shd w:val="clear" w:color="auto" w:fill="auto"/>
            <w:vAlign w:val="bottom"/>
            <w:hideMark/>
          </w:tcPr>
          <w:p w14:paraId="104E6F8D" w14:textId="77777777" w:rsidR="00B9798B" w:rsidRPr="00D926FE" w:rsidRDefault="00B9798B" w:rsidP="00B9798B">
            <w:pPr>
              <w:jc w:val="center"/>
              <w:rPr>
                <w:rFonts w:ascii="Arial" w:hAnsi="Arial" w:cs="Arial"/>
                <w:b/>
                <w:bCs/>
                <w:sz w:val="14"/>
                <w:szCs w:val="14"/>
                <w:lang w:eastAsia="es-AR"/>
              </w:rPr>
            </w:pPr>
          </w:p>
        </w:tc>
        <w:tc>
          <w:tcPr>
            <w:tcW w:w="794" w:type="dxa"/>
            <w:tcBorders>
              <w:top w:val="nil"/>
              <w:left w:val="nil"/>
              <w:bottom w:val="nil"/>
              <w:right w:val="nil"/>
            </w:tcBorders>
            <w:shd w:val="clear" w:color="auto" w:fill="auto"/>
            <w:vAlign w:val="bottom"/>
            <w:hideMark/>
          </w:tcPr>
          <w:p w14:paraId="2C1A3915" w14:textId="77777777" w:rsidR="00B9798B" w:rsidRPr="00D926FE" w:rsidRDefault="00B9798B"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050CB1B3" w14:textId="77777777" w:rsidR="00B9798B" w:rsidRPr="00D926FE" w:rsidRDefault="00B9798B"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5309D60D" w14:textId="3F078E2E"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10.613.265</w:t>
            </w:r>
          </w:p>
        </w:tc>
        <w:tc>
          <w:tcPr>
            <w:tcW w:w="841" w:type="dxa"/>
            <w:tcBorders>
              <w:top w:val="nil"/>
              <w:left w:val="nil"/>
              <w:bottom w:val="nil"/>
              <w:right w:val="nil"/>
            </w:tcBorders>
            <w:shd w:val="clear" w:color="auto" w:fill="auto"/>
            <w:vAlign w:val="bottom"/>
            <w:hideMark/>
          </w:tcPr>
          <w:p w14:paraId="3B658923" w14:textId="627474D3"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4.134.493</w:t>
            </w:r>
          </w:p>
        </w:tc>
        <w:tc>
          <w:tcPr>
            <w:tcW w:w="915" w:type="dxa"/>
            <w:tcBorders>
              <w:top w:val="nil"/>
              <w:left w:val="nil"/>
              <w:bottom w:val="nil"/>
              <w:right w:val="nil"/>
            </w:tcBorders>
            <w:shd w:val="clear" w:color="auto" w:fill="auto"/>
            <w:vAlign w:val="bottom"/>
            <w:hideMark/>
          </w:tcPr>
          <w:p w14:paraId="414AEA71" w14:textId="68B70D99"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10.613.265</w:t>
            </w:r>
          </w:p>
        </w:tc>
        <w:tc>
          <w:tcPr>
            <w:tcW w:w="778" w:type="dxa"/>
            <w:tcBorders>
              <w:top w:val="nil"/>
              <w:left w:val="nil"/>
              <w:bottom w:val="nil"/>
              <w:right w:val="nil"/>
            </w:tcBorders>
            <w:shd w:val="clear" w:color="auto" w:fill="auto"/>
            <w:vAlign w:val="bottom"/>
            <w:hideMark/>
          </w:tcPr>
          <w:p w14:paraId="7210CC03" w14:textId="56E9F60B" w:rsidR="00B9798B" w:rsidRPr="00D926FE" w:rsidRDefault="00B9798B" w:rsidP="00B9798B">
            <w:pPr>
              <w:ind w:left="709" w:hanging="709"/>
              <w:jc w:val="right"/>
              <w:rPr>
                <w:rFonts w:ascii="Arial" w:hAnsi="Arial" w:cs="Arial"/>
                <w:b/>
                <w:bCs/>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096F7C90" w14:textId="18676EBF"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10.613.265</w:t>
            </w:r>
          </w:p>
        </w:tc>
      </w:tr>
      <w:tr w:rsidR="007465F0" w:rsidRPr="00D926FE" w14:paraId="78E41627" w14:textId="77777777" w:rsidTr="006E1AF7">
        <w:trPr>
          <w:gridAfter w:val="1"/>
          <w:wAfter w:w="16" w:type="dxa"/>
          <w:trHeight w:val="80"/>
        </w:trPr>
        <w:tc>
          <w:tcPr>
            <w:tcW w:w="3189" w:type="dxa"/>
            <w:tcBorders>
              <w:top w:val="nil"/>
              <w:left w:val="nil"/>
              <w:bottom w:val="nil"/>
              <w:right w:val="nil"/>
            </w:tcBorders>
            <w:shd w:val="clear" w:color="auto" w:fill="auto"/>
            <w:vAlign w:val="bottom"/>
            <w:hideMark/>
          </w:tcPr>
          <w:p w14:paraId="4A6AE4F7" w14:textId="77777777" w:rsidR="007465F0" w:rsidRPr="00D926FE" w:rsidRDefault="007465F0" w:rsidP="00B9798B">
            <w:pPr>
              <w:rPr>
                <w:rFonts w:ascii="Arial" w:hAnsi="Arial" w:cs="Arial"/>
                <w:b/>
                <w:bCs/>
                <w:sz w:val="14"/>
                <w:szCs w:val="14"/>
                <w:lang w:eastAsia="es-AR"/>
              </w:rPr>
            </w:pPr>
          </w:p>
        </w:tc>
        <w:tc>
          <w:tcPr>
            <w:tcW w:w="709" w:type="dxa"/>
            <w:tcBorders>
              <w:top w:val="nil"/>
              <w:left w:val="nil"/>
              <w:bottom w:val="nil"/>
              <w:right w:val="nil"/>
            </w:tcBorders>
            <w:shd w:val="clear" w:color="auto" w:fill="auto"/>
            <w:vAlign w:val="bottom"/>
            <w:hideMark/>
          </w:tcPr>
          <w:p w14:paraId="01DEB745"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582975E2"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499C3233"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083EA9DE" w14:textId="77777777" w:rsidR="007465F0" w:rsidRPr="00D926FE" w:rsidRDefault="007465F0"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hideMark/>
          </w:tcPr>
          <w:p w14:paraId="67076D3B" w14:textId="77777777" w:rsidR="007465F0" w:rsidRPr="00D926FE" w:rsidRDefault="007465F0"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22F66A7E" w14:textId="77777777" w:rsidR="007465F0" w:rsidRPr="00D926FE" w:rsidRDefault="007465F0"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6260397D" w14:textId="77777777" w:rsidR="007465F0" w:rsidRPr="00D926FE" w:rsidRDefault="007465F0"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208A68D2" w14:textId="77777777" w:rsidR="007465F0" w:rsidRPr="00D926FE" w:rsidRDefault="007465F0" w:rsidP="00B9798B">
            <w:pPr>
              <w:ind w:left="709" w:hanging="709"/>
              <w:jc w:val="right"/>
              <w:rPr>
                <w:sz w:val="20"/>
                <w:lang w:eastAsia="es-AR"/>
              </w:rPr>
            </w:pPr>
          </w:p>
        </w:tc>
      </w:tr>
      <w:tr w:rsidR="007465F0" w:rsidRPr="00D926FE" w14:paraId="4D74CB5E" w14:textId="77777777" w:rsidTr="006E1AF7">
        <w:trPr>
          <w:trHeight w:val="169"/>
        </w:trPr>
        <w:tc>
          <w:tcPr>
            <w:tcW w:w="3189" w:type="dxa"/>
            <w:tcBorders>
              <w:top w:val="nil"/>
              <w:left w:val="nil"/>
              <w:bottom w:val="nil"/>
              <w:right w:val="nil"/>
            </w:tcBorders>
            <w:shd w:val="clear" w:color="auto" w:fill="auto"/>
            <w:vAlign w:val="bottom"/>
            <w:hideMark/>
          </w:tcPr>
          <w:p w14:paraId="6132DC83" w14:textId="77777777" w:rsidR="007465F0" w:rsidRPr="00D926FE" w:rsidRDefault="007465F0" w:rsidP="00B9798B">
            <w:pPr>
              <w:rPr>
                <w:rFonts w:ascii="Arial" w:hAnsi="Arial" w:cs="Arial"/>
                <w:b/>
                <w:bCs/>
                <w:sz w:val="14"/>
                <w:szCs w:val="14"/>
                <w:lang w:eastAsia="es-AR"/>
              </w:rPr>
            </w:pPr>
            <w:r w:rsidRPr="00D926FE">
              <w:rPr>
                <w:rFonts w:ascii="Arial" w:hAnsi="Arial" w:cs="Arial"/>
                <w:b/>
                <w:bCs/>
                <w:sz w:val="14"/>
                <w:szCs w:val="14"/>
                <w:lang w:eastAsia="es-AR"/>
              </w:rPr>
              <w:t>INSTRUMENTOS DE PATRIMONIO</w:t>
            </w:r>
          </w:p>
        </w:tc>
        <w:tc>
          <w:tcPr>
            <w:tcW w:w="6536" w:type="dxa"/>
            <w:gridSpan w:val="9"/>
            <w:tcBorders>
              <w:top w:val="nil"/>
              <w:left w:val="nil"/>
              <w:bottom w:val="nil"/>
              <w:right w:val="nil"/>
            </w:tcBorders>
            <w:shd w:val="clear" w:color="auto" w:fill="auto"/>
            <w:vAlign w:val="bottom"/>
            <w:hideMark/>
          </w:tcPr>
          <w:p w14:paraId="774281A7" w14:textId="77777777" w:rsidR="007465F0" w:rsidRPr="00D926FE" w:rsidRDefault="007465F0" w:rsidP="00B9798B">
            <w:pPr>
              <w:jc w:val="center"/>
              <w:rPr>
                <w:rFonts w:ascii="Arial" w:hAnsi="Arial" w:cs="Arial"/>
                <w:b/>
                <w:bCs/>
                <w:sz w:val="14"/>
                <w:szCs w:val="14"/>
                <w:lang w:eastAsia="es-AR"/>
              </w:rPr>
            </w:pPr>
          </w:p>
        </w:tc>
      </w:tr>
      <w:tr w:rsidR="007465F0" w:rsidRPr="00D926FE" w14:paraId="3A8645F3" w14:textId="77777777" w:rsidTr="00940F41">
        <w:trPr>
          <w:gridAfter w:val="1"/>
          <w:wAfter w:w="16" w:type="dxa"/>
          <w:trHeight w:val="80"/>
        </w:trPr>
        <w:tc>
          <w:tcPr>
            <w:tcW w:w="3189" w:type="dxa"/>
            <w:tcBorders>
              <w:top w:val="nil"/>
              <w:left w:val="nil"/>
              <w:bottom w:val="nil"/>
              <w:right w:val="nil"/>
            </w:tcBorders>
            <w:shd w:val="clear" w:color="auto" w:fill="auto"/>
            <w:vAlign w:val="bottom"/>
            <w:hideMark/>
          </w:tcPr>
          <w:p w14:paraId="14AABDFA" w14:textId="77777777" w:rsidR="007465F0" w:rsidRPr="00D926FE" w:rsidRDefault="007465F0" w:rsidP="00B9798B">
            <w:pPr>
              <w:rPr>
                <w:rFonts w:ascii="Arial" w:hAnsi="Arial" w:cs="Arial"/>
                <w:b/>
                <w:bCs/>
                <w:sz w:val="14"/>
                <w:szCs w:val="14"/>
                <w:lang w:eastAsia="es-AR"/>
              </w:rPr>
            </w:pPr>
            <w:r w:rsidRPr="00D926FE">
              <w:rPr>
                <w:rFonts w:ascii="Arial" w:hAnsi="Arial" w:cs="Arial"/>
                <w:b/>
                <w:bCs/>
                <w:sz w:val="14"/>
                <w:szCs w:val="14"/>
                <w:lang w:eastAsia="es-AR"/>
              </w:rPr>
              <w:t>Medidos a valor razonable con cambios en resultados</w:t>
            </w:r>
          </w:p>
        </w:tc>
        <w:tc>
          <w:tcPr>
            <w:tcW w:w="709" w:type="dxa"/>
            <w:tcBorders>
              <w:top w:val="nil"/>
              <w:left w:val="nil"/>
              <w:bottom w:val="nil"/>
              <w:right w:val="nil"/>
            </w:tcBorders>
            <w:shd w:val="clear" w:color="auto" w:fill="auto"/>
            <w:vAlign w:val="bottom"/>
            <w:hideMark/>
          </w:tcPr>
          <w:p w14:paraId="7546D7B7" w14:textId="77777777" w:rsidR="007465F0" w:rsidRPr="00D926FE" w:rsidRDefault="007465F0" w:rsidP="00B9798B">
            <w:pPr>
              <w:jc w:val="center"/>
              <w:rPr>
                <w:rFonts w:ascii="Arial" w:hAnsi="Arial" w:cs="Arial"/>
                <w:b/>
                <w:bCs/>
                <w:sz w:val="14"/>
                <w:szCs w:val="14"/>
                <w:lang w:eastAsia="es-AR"/>
              </w:rPr>
            </w:pPr>
          </w:p>
        </w:tc>
        <w:tc>
          <w:tcPr>
            <w:tcW w:w="794" w:type="dxa"/>
            <w:tcBorders>
              <w:top w:val="nil"/>
              <w:left w:val="nil"/>
              <w:bottom w:val="nil"/>
              <w:right w:val="nil"/>
            </w:tcBorders>
            <w:shd w:val="clear" w:color="auto" w:fill="auto"/>
            <w:vAlign w:val="bottom"/>
            <w:hideMark/>
          </w:tcPr>
          <w:p w14:paraId="39CE74A7"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405DF72C"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6FE017EA" w14:textId="77777777" w:rsidR="007465F0" w:rsidRPr="00D926FE" w:rsidRDefault="007465F0"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hideMark/>
          </w:tcPr>
          <w:p w14:paraId="03027069" w14:textId="77777777" w:rsidR="007465F0" w:rsidRPr="00D926FE" w:rsidRDefault="007465F0"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0F9F1E20" w14:textId="77777777" w:rsidR="007465F0" w:rsidRPr="00D926FE" w:rsidRDefault="007465F0"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66536B05" w14:textId="77777777" w:rsidR="007465F0" w:rsidRPr="00D926FE" w:rsidRDefault="007465F0"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293D94E8" w14:textId="77777777" w:rsidR="007465F0" w:rsidRPr="00D926FE" w:rsidRDefault="007465F0" w:rsidP="00B9798B">
            <w:pPr>
              <w:ind w:left="709" w:hanging="709"/>
              <w:jc w:val="right"/>
              <w:rPr>
                <w:sz w:val="20"/>
                <w:lang w:eastAsia="es-AR"/>
              </w:rPr>
            </w:pPr>
          </w:p>
        </w:tc>
      </w:tr>
      <w:tr w:rsidR="007465F0" w:rsidRPr="00D926FE" w14:paraId="057C109D" w14:textId="77777777" w:rsidTr="00B9798B">
        <w:trPr>
          <w:gridAfter w:val="1"/>
          <w:wAfter w:w="16" w:type="dxa"/>
          <w:trHeight w:val="319"/>
        </w:trPr>
        <w:tc>
          <w:tcPr>
            <w:tcW w:w="3189" w:type="dxa"/>
            <w:tcBorders>
              <w:top w:val="nil"/>
              <w:left w:val="nil"/>
              <w:bottom w:val="nil"/>
              <w:right w:val="nil"/>
            </w:tcBorders>
            <w:shd w:val="clear" w:color="auto" w:fill="auto"/>
            <w:vAlign w:val="bottom"/>
            <w:hideMark/>
          </w:tcPr>
          <w:p w14:paraId="4C36418F" w14:textId="77777777" w:rsidR="007465F0" w:rsidRPr="00D926FE" w:rsidRDefault="007465F0" w:rsidP="00B9798B">
            <w:pPr>
              <w:rPr>
                <w:rFonts w:ascii="Arial" w:hAnsi="Arial" w:cs="Arial"/>
                <w:b/>
                <w:bCs/>
                <w:i/>
                <w:iCs/>
                <w:sz w:val="14"/>
                <w:szCs w:val="14"/>
                <w:lang w:eastAsia="es-AR"/>
              </w:rPr>
            </w:pPr>
            <w:r w:rsidRPr="00D926FE">
              <w:rPr>
                <w:rFonts w:ascii="Arial" w:hAnsi="Arial" w:cs="Arial"/>
                <w:b/>
                <w:bCs/>
                <w:i/>
                <w:iCs/>
                <w:sz w:val="14"/>
                <w:szCs w:val="14"/>
                <w:lang w:eastAsia="es-AR"/>
              </w:rPr>
              <w:t>Del País</w:t>
            </w:r>
          </w:p>
        </w:tc>
        <w:tc>
          <w:tcPr>
            <w:tcW w:w="709" w:type="dxa"/>
            <w:tcBorders>
              <w:top w:val="nil"/>
              <w:left w:val="nil"/>
              <w:bottom w:val="nil"/>
              <w:right w:val="nil"/>
            </w:tcBorders>
            <w:shd w:val="clear" w:color="auto" w:fill="auto"/>
            <w:vAlign w:val="bottom"/>
            <w:hideMark/>
          </w:tcPr>
          <w:p w14:paraId="587DF353" w14:textId="77777777" w:rsidR="007465F0" w:rsidRPr="00D926FE" w:rsidRDefault="007465F0" w:rsidP="00B9798B">
            <w:pPr>
              <w:jc w:val="center"/>
              <w:rPr>
                <w:rFonts w:ascii="Arial" w:hAnsi="Arial" w:cs="Arial"/>
                <w:b/>
                <w:bCs/>
                <w:i/>
                <w:iCs/>
                <w:sz w:val="14"/>
                <w:szCs w:val="14"/>
                <w:lang w:eastAsia="es-AR"/>
              </w:rPr>
            </w:pPr>
          </w:p>
        </w:tc>
        <w:tc>
          <w:tcPr>
            <w:tcW w:w="794" w:type="dxa"/>
            <w:tcBorders>
              <w:top w:val="nil"/>
              <w:left w:val="nil"/>
              <w:bottom w:val="nil"/>
              <w:right w:val="nil"/>
            </w:tcBorders>
            <w:shd w:val="clear" w:color="auto" w:fill="auto"/>
            <w:vAlign w:val="bottom"/>
            <w:hideMark/>
          </w:tcPr>
          <w:p w14:paraId="72EC91F6" w14:textId="77777777" w:rsidR="007465F0" w:rsidRPr="00D926FE" w:rsidRDefault="007465F0" w:rsidP="00B9798B">
            <w:pPr>
              <w:jc w:val="center"/>
              <w:rPr>
                <w:sz w:val="20"/>
                <w:lang w:eastAsia="es-AR"/>
              </w:rPr>
            </w:pPr>
          </w:p>
        </w:tc>
        <w:tc>
          <w:tcPr>
            <w:tcW w:w="794" w:type="dxa"/>
            <w:tcBorders>
              <w:top w:val="nil"/>
              <w:left w:val="nil"/>
              <w:bottom w:val="nil"/>
              <w:right w:val="nil"/>
            </w:tcBorders>
            <w:shd w:val="clear" w:color="auto" w:fill="auto"/>
            <w:vAlign w:val="bottom"/>
            <w:hideMark/>
          </w:tcPr>
          <w:p w14:paraId="78A89043" w14:textId="77777777" w:rsidR="007465F0" w:rsidRPr="00D926FE" w:rsidRDefault="007465F0" w:rsidP="00B9798B">
            <w:pPr>
              <w:jc w:val="center"/>
              <w:rPr>
                <w:sz w:val="20"/>
                <w:lang w:eastAsia="es-AR"/>
              </w:rPr>
            </w:pPr>
          </w:p>
        </w:tc>
        <w:tc>
          <w:tcPr>
            <w:tcW w:w="841" w:type="dxa"/>
            <w:tcBorders>
              <w:top w:val="nil"/>
              <w:left w:val="nil"/>
              <w:bottom w:val="nil"/>
              <w:right w:val="nil"/>
            </w:tcBorders>
            <w:shd w:val="clear" w:color="auto" w:fill="auto"/>
            <w:vAlign w:val="bottom"/>
            <w:hideMark/>
          </w:tcPr>
          <w:p w14:paraId="75B34AF4" w14:textId="77777777" w:rsidR="007465F0" w:rsidRPr="00D926FE" w:rsidRDefault="007465F0" w:rsidP="00B9798B">
            <w:pPr>
              <w:ind w:left="709" w:hanging="709"/>
              <w:jc w:val="right"/>
              <w:rPr>
                <w:sz w:val="20"/>
                <w:lang w:eastAsia="es-AR"/>
              </w:rPr>
            </w:pPr>
          </w:p>
        </w:tc>
        <w:tc>
          <w:tcPr>
            <w:tcW w:w="841" w:type="dxa"/>
            <w:tcBorders>
              <w:top w:val="nil"/>
              <w:left w:val="nil"/>
              <w:bottom w:val="nil"/>
              <w:right w:val="nil"/>
            </w:tcBorders>
            <w:shd w:val="clear" w:color="auto" w:fill="auto"/>
            <w:vAlign w:val="bottom"/>
            <w:hideMark/>
          </w:tcPr>
          <w:p w14:paraId="7A4F7324" w14:textId="77777777" w:rsidR="007465F0" w:rsidRPr="00D926FE" w:rsidRDefault="007465F0" w:rsidP="00B9798B">
            <w:pPr>
              <w:ind w:left="709" w:hanging="709"/>
              <w:jc w:val="right"/>
              <w:rPr>
                <w:sz w:val="20"/>
                <w:lang w:eastAsia="es-AR"/>
              </w:rPr>
            </w:pPr>
          </w:p>
        </w:tc>
        <w:tc>
          <w:tcPr>
            <w:tcW w:w="915" w:type="dxa"/>
            <w:tcBorders>
              <w:top w:val="nil"/>
              <w:left w:val="nil"/>
              <w:bottom w:val="nil"/>
              <w:right w:val="nil"/>
            </w:tcBorders>
            <w:shd w:val="clear" w:color="auto" w:fill="auto"/>
            <w:vAlign w:val="bottom"/>
            <w:hideMark/>
          </w:tcPr>
          <w:p w14:paraId="550119B2" w14:textId="77777777" w:rsidR="007465F0" w:rsidRPr="00D926FE" w:rsidRDefault="007465F0" w:rsidP="00B9798B">
            <w:pPr>
              <w:ind w:left="709" w:hanging="709"/>
              <w:jc w:val="right"/>
              <w:rPr>
                <w:sz w:val="20"/>
                <w:lang w:eastAsia="es-AR"/>
              </w:rPr>
            </w:pPr>
          </w:p>
        </w:tc>
        <w:tc>
          <w:tcPr>
            <w:tcW w:w="778" w:type="dxa"/>
            <w:tcBorders>
              <w:top w:val="nil"/>
              <w:left w:val="nil"/>
              <w:bottom w:val="nil"/>
              <w:right w:val="nil"/>
            </w:tcBorders>
            <w:shd w:val="clear" w:color="auto" w:fill="auto"/>
            <w:vAlign w:val="bottom"/>
            <w:hideMark/>
          </w:tcPr>
          <w:p w14:paraId="2643B7FA" w14:textId="77777777" w:rsidR="007465F0" w:rsidRPr="00D926FE" w:rsidRDefault="007465F0" w:rsidP="00B9798B">
            <w:pPr>
              <w:ind w:left="709" w:hanging="709"/>
              <w:jc w:val="right"/>
              <w:rPr>
                <w:sz w:val="20"/>
                <w:lang w:eastAsia="es-AR"/>
              </w:rPr>
            </w:pPr>
          </w:p>
        </w:tc>
        <w:tc>
          <w:tcPr>
            <w:tcW w:w="848" w:type="dxa"/>
            <w:tcBorders>
              <w:top w:val="nil"/>
              <w:left w:val="nil"/>
              <w:bottom w:val="nil"/>
              <w:right w:val="nil"/>
            </w:tcBorders>
            <w:shd w:val="clear" w:color="auto" w:fill="auto"/>
            <w:vAlign w:val="bottom"/>
            <w:hideMark/>
          </w:tcPr>
          <w:p w14:paraId="0EF5C465" w14:textId="77777777" w:rsidR="007465F0" w:rsidRPr="00D926FE" w:rsidRDefault="007465F0" w:rsidP="00B9798B">
            <w:pPr>
              <w:ind w:left="709" w:hanging="709"/>
              <w:jc w:val="right"/>
              <w:rPr>
                <w:sz w:val="20"/>
                <w:lang w:eastAsia="es-AR"/>
              </w:rPr>
            </w:pPr>
          </w:p>
        </w:tc>
      </w:tr>
      <w:tr w:rsidR="00B9798B" w:rsidRPr="00D926FE" w14:paraId="680BE2C2" w14:textId="77777777" w:rsidTr="00B9798B">
        <w:trPr>
          <w:gridAfter w:val="1"/>
          <w:wAfter w:w="16" w:type="dxa"/>
          <w:trHeight w:val="149"/>
        </w:trPr>
        <w:tc>
          <w:tcPr>
            <w:tcW w:w="3189" w:type="dxa"/>
            <w:tcBorders>
              <w:top w:val="nil"/>
              <w:left w:val="nil"/>
              <w:bottom w:val="nil"/>
              <w:right w:val="nil"/>
            </w:tcBorders>
            <w:shd w:val="clear" w:color="auto" w:fill="auto"/>
            <w:vAlign w:val="bottom"/>
            <w:hideMark/>
          </w:tcPr>
          <w:p w14:paraId="24DB9DDA" w14:textId="65002D1F" w:rsidR="00B9798B" w:rsidRPr="00D926FE" w:rsidRDefault="00B9798B" w:rsidP="00B9798B">
            <w:pPr>
              <w:rPr>
                <w:rFonts w:ascii="Arial" w:hAnsi="Arial" w:cs="Arial"/>
                <w:sz w:val="14"/>
                <w:szCs w:val="14"/>
                <w:lang w:eastAsia="es-AR"/>
              </w:rPr>
            </w:pPr>
            <w:r>
              <w:rPr>
                <w:rFonts w:ascii="Arial" w:hAnsi="Arial" w:cs="Arial"/>
                <w:sz w:val="14"/>
                <w:szCs w:val="14"/>
              </w:rPr>
              <w:t>Grupo Financiero Galicia SA</w:t>
            </w:r>
          </w:p>
        </w:tc>
        <w:tc>
          <w:tcPr>
            <w:tcW w:w="709" w:type="dxa"/>
            <w:tcBorders>
              <w:top w:val="nil"/>
              <w:left w:val="nil"/>
              <w:bottom w:val="nil"/>
              <w:right w:val="nil"/>
            </w:tcBorders>
            <w:shd w:val="clear" w:color="auto" w:fill="auto"/>
            <w:vAlign w:val="bottom"/>
            <w:hideMark/>
          </w:tcPr>
          <w:p w14:paraId="18438499" w14:textId="10566D6C" w:rsidR="00B9798B" w:rsidRPr="00D926FE" w:rsidRDefault="00B9798B" w:rsidP="00B9798B">
            <w:pPr>
              <w:jc w:val="center"/>
              <w:rPr>
                <w:rFonts w:ascii="Arial" w:hAnsi="Arial" w:cs="Arial"/>
                <w:sz w:val="14"/>
                <w:szCs w:val="14"/>
                <w:lang w:eastAsia="es-AR"/>
              </w:rPr>
            </w:pPr>
            <w:r>
              <w:rPr>
                <w:rFonts w:ascii="Arial" w:hAnsi="Arial" w:cs="Arial"/>
                <w:sz w:val="14"/>
                <w:szCs w:val="14"/>
              </w:rPr>
              <w:t>00534</w:t>
            </w:r>
          </w:p>
        </w:tc>
        <w:tc>
          <w:tcPr>
            <w:tcW w:w="794" w:type="dxa"/>
            <w:tcBorders>
              <w:top w:val="nil"/>
              <w:left w:val="nil"/>
              <w:bottom w:val="nil"/>
              <w:right w:val="nil"/>
            </w:tcBorders>
            <w:shd w:val="clear" w:color="auto" w:fill="auto"/>
            <w:vAlign w:val="bottom"/>
            <w:hideMark/>
          </w:tcPr>
          <w:p w14:paraId="7142913C"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21CA98B8" w14:textId="35EDEB1D" w:rsidR="00B9798B" w:rsidRPr="00D926FE" w:rsidRDefault="00B9798B" w:rsidP="00B9798B">
            <w:pPr>
              <w:jc w:val="center"/>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7451904D" w14:textId="5112E18C"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5.796</w:t>
            </w:r>
          </w:p>
        </w:tc>
        <w:tc>
          <w:tcPr>
            <w:tcW w:w="841" w:type="dxa"/>
            <w:tcBorders>
              <w:top w:val="nil"/>
              <w:left w:val="nil"/>
              <w:bottom w:val="nil"/>
              <w:right w:val="nil"/>
            </w:tcBorders>
            <w:shd w:val="clear" w:color="auto" w:fill="auto"/>
            <w:vAlign w:val="bottom"/>
            <w:hideMark/>
          </w:tcPr>
          <w:p w14:paraId="7819C26B" w14:textId="72C81279"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521</w:t>
            </w:r>
          </w:p>
        </w:tc>
        <w:tc>
          <w:tcPr>
            <w:tcW w:w="915" w:type="dxa"/>
            <w:tcBorders>
              <w:top w:val="nil"/>
              <w:left w:val="nil"/>
              <w:bottom w:val="nil"/>
              <w:right w:val="nil"/>
            </w:tcBorders>
            <w:shd w:val="clear" w:color="auto" w:fill="auto"/>
            <w:vAlign w:val="bottom"/>
            <w:hideMark/>
          </w:tcPr>
          <w:p w14:paraId="0F448B2B" w14:textId="54B20AF4"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5.796</w:t>
            </w:r>
          </w:p>
        </w:tc>
        <w:tc>
          <w:tcPr>
            <w:tcW w:w="778" w:type="dxa"/>
            <w:tcBorders>
              <w:top w:val="nil"/>
              <w:left w:val="nil"/>
              <w:bottom w:val="nil"/>
              <w:right w:val="nil"/>
            </w:tcBorders>
            <w:shd w:val="clear" w:color="auto" w:fill="auto"/>
            <w:vAlign w:val="bottom"/>
            <w:hideMark/>
          </w:tcPr>
          <w:p w14:paraId="539BB3AE" w14:textId="3B142FA3"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174909DB" w14:textId="58E97131"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5.796</w:t>
            </w:r>
          </w:p>
        </w:tc>
      </w:tr>
      <w:tr w:rsidR="00B9798B" w:rsidRPr="00D926FE" w14:paraId="26C86F8E" w14:textId="77777777" w:rsidTr="00B9798B">
        <w:trPr>
          <w:gridAfter w:val="1"/>
          <w:wAfter w:w="16" w:type="dxa"/>
          <w:trHeight w:val="319"/>
        </w:trPr>
        <w:tc>
          <w:tcPr>
            <w:tcW w:w="3189" w:type="dxa"/>
            <w:tcBorders>
              <w:top w:val="nil"/>
              <w:left w:val="nil"/>
              <w:bottom w:val="nil"/>
              <w:right w:val="nil"/>
            </w:tcBorders>
            <w:shd w:val="clear" w:color="auto" w:fill="auto"/>
            <w:vAlign w:val="bottom"/>
            <w:hideMark/>
          </w:tcPr>
          <w:p w14:paraId="2B072244" w14:textId="673E6DD6" w:rsidR="00B9798B" w:rsidRPr="00D926FE" w:rsidRDefault="00B9798B" w:rsidP="00B9798B">
            <w:pPr>
              <w:rPr>
                <w:rFonts w:ascii="Arial" w:hAnsi="Arial" w:cs="Arial"/>
                <w:sz w:val="14"/>
                <w:szCs w:val="14"/>
                <w:lang w:eastAsia="es-AR"/>
              </w:rPr>
            </w:pPr>
            <w:r>
              <w:rPr>
                <w:rFonts w:ascii="Arial" w:hAnsi="Arial" w:cs="Arial"/>
                <w:sz w:val="14"/>
                <w:szCs w:val="14"/>
              </w:rPr>
              <w:t>YPF SA</w:t>
            </w:r>
          </w:p>
        </w:tc>
        <w:tc>
          <w:tcPr>
            <w:tcW w:w="709" w:type="dxa"/>
            <w:tcBorders>
              <w:top w:val="nil"/>
              <w:left w:val="nil"/>
              <w:bottom w:val="nil"/>
              <w:right w:val="nil"/>
            </w:tcBorders>
            <w:shd w:val="clear" w:color="auto" w:fill="auto"/>
            <w:vAlign w:val="bottom"/>
            <w:hideMark/>
          </w:tcPr>
          <w:p w14:paraId="4BBA52DC" w14:textId="1F9C50C0" w:rsidR="00B9798B" w:rsidRPr="00D926FE" w:rsidRDefault="00B9798B" w:rsidP="00B9798B">
            <w:pPr>
              <w:jc w:val="center"/>
              <w:rPr>
                <w:rFonts w:ascii="Arial" w:hAnsi="Arial" w:cs="Arial"/>
                <w:sz w:val="14"/>
                <w:szCs w:val="14"/>
                <w:lang w:eastAsia="es-AR"/>
              </w:rPr>
            </w:pPr>
            <w:r>
              <w:rPr>
                <w:rFonts w:ascii="Arial" w:hAnsi="Arial" w:cs="Arial"/>
                <w:sz w:val="14"/>
                <w:szCs w:val="14"/>
              </w:rPr>
              <w:t>00710</w:t>
            </w:r>
          </w:p>
        </w:tc>
        <w:tc>
          <w:tcPr>
            <w:tcW w:w="794" w:type="dxa"/>
            <w:tcBorders>
              <w:top w:val="nil"/>
              <w:left w:val="nil"/>
              <w:bottom w:val="nil"/>
              <w:right w:val="nil"/>
            </w:tcBorders>
            <w:shd w:val="clear" w:color="auto" w:fill="auto"/>
            <w:vAlign w:val="bottom"/>
            <w:hideMark/>
          </w:tcPr>
          <w:p w14:paraId="460998B0" w14:textId="77777777" w:rsidR="00B9798B" w:rsidRPr="00D926FE" w:rsidRDefault="00B9798B" w:rsidP="00B9798B">
            <w:pPr>
              <w:jc w:val="center"/>
              <w:rPr>
                <w:rFonts w:ascii="Arial" w:hAnsi="Arial" w:cs="Arial"/>
                <w:sz w:val="14"/>
                <w:szCs w:val="14"/>
                <w:lang w:eastAsia="es-AR"/>
              </w:rPr>
            </w:pPr>
          </w:p>
        </w:tc>
        <w:tc>
          <w:tcPr>
            <w:tcW w:w="794" w:type="dxa"/>
            <w:tcBorders>
              <w:top w:val="nil"/>
              <w:left w:val="nil"/>
              <w:bottom w:val="nil"/>
              <w:right w:val="nil"/>
            </w:tcBorders>
            <w:shd w:val="clear" w:color="auto" w:fill="auto"/>
            <w:vAlign w:val="bottom"/>
            <w:hideMark/>
          </w:tcPr>
          <w:p w14:paraId="79337ED0" w14:textId="0C9928B5" w:rsidR="00B9798B" w:rsidRPr="00D926FE" w:rsidRDefault="00B9798B" w:rsidP="00B9798B">
            <w:pPr>
              <w:jc w:val="center"/>
              <w:rPr>
                <w:rFonts w:ascii="Arial" w:hAnsi="Arial" w:cs="Arial"/>
                <w:sz w:val="14"/>
                <w:szCs w:val="14"/>
                <w:lang w:eastAsia="es-AR"/>
              </w:rPr>
            </w:pPr>
            <w:r>
              <w:rPr>
                <w:rFonts w:ascii="Arial" w:hAnsi="Arial" w:cs="Arial"/>
                <w:sz w:val="14"/>
                <w:szCs w:val="14"/>
              </w:rPr>
              <w:t>1</w:t>
            </w:r>
          </w:p>
        </w:tc>
        <w:tc>
          <w:tcPr>
            <w:tcW w:w="841" w:type="dxa"/>
            <w:tcBorders>
              <w:top w:val="nil"/>
              <w:left w:val="nil"/>
              <w:bottom w:val="nil"/>
              <w:right w:val="nil"/>
            </w:tcBorders>
            <w:shd w:val="clear" w:color="auto" w:fill="auto"/>
            <w:vAlign w:val="bottom"/>
            <w:hideMark/>
          </w:tcPr>
          <w:p w14:paraId="4794DA76" w14:textId="31D86A66"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c>
          <w:tcPr>
            <w:tcW w:w="841" w:type="dxa"/>
            <w:tcBorders>
              <w:top w:val="nil"/>
              <w:left w:val="nil"/>
              <w:bottom w:val="nil"/>
              <w:right w:val="nil"/>
            </w:tcBorders>
            <w:shd w:val="clear" w:color="auto" w:fill="auto"/>
            <w:vAlign w:val="bottom"/>
            <w:hideMark/>
          </w:tcPr>
          <w:p w14:paraId="348DC619" w14:textId="1E565140"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1.082</w:t>
            </w:r>
          </w:p>
        </w:tc>
        <w:tc>
          <w:tcPr>
            <w:tcW w:w="915" w:type="dxa"/>
            <w:tcBorders>
              <w:top w:val="nil"/>
              <w:left w:val="nil"/>
              <w:bottom w:val="nil"/>
              <w:right w:val="nil"/>
            </w:tcBorders>
            <w:shd w:val="clear" w:color="auto" w:fill="auto"/>
            <w:vAlign w:val="bottom"/>
            <w:hideMark/>
          </w:tcPr>
          <w:p w14:paraId="3DF56FC5" w14:textId="3B4072B6"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c>
          <w:tcPr>
            <w:tcW w:w="778" w:type="dxa"/>
            <w:tcBorders>
              <w:top w:val="nil"/>
              <w:left w:val="nil"/>
              <w:bottom w:val="nil"/>
              <w:right w:val="nil"/>
            </w:tcBorders>
            <w:shd w:val="clear" w:color="auto" w:fill="auto"/>
            <w:vAlign w:val="bottom"/>
            <w:hideMark/>
          </w:tcPr>
          <w:p w14:paraId="0BCDA55F" w14:textId="11737819"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c>
          <w:tcPr>
            <w:tcW w:w="848" w:type="dxa"/>
            <w:tcBorders>
              <w:top w:val="nil"/>
              <w:left w:val="nil"/>
              <w:bottom w:val="nil"/>
              <w:right w:val="nil"/>
            </w:tcBorders>
            <w:shd w:val="clear" w:color="auto" w:fill="auto"/>
            <w:vAlign w:val="bottom"/>
            <w:hideMark/>
          </w:tcPr>
          <w:p w14:paraId="6B4DE7F4" w14:textId="5D9092E0" w:rsidR="00B9798B" w:rsidRPr="00D926FE" w:rsidRDefault="00B9798B" w:rsidP="00B9798B">
            <w:pPr>
              <w:ind w:left="709" w:hanging="709"/>
              <w:jc w:val="right"/>
              <w:rPr>
                <w:rFonts w:ascii="Arial" w:hAnsi="Arial" w:cs="Arial"/>
                <w:sz w:val="14"/>
                <w:szCs w:val="14"/>
                <w:lang w:eastAsia="es-AR"/>
              </w:rPr>
            </w:pPr>
            <w:r>
              <w:rPr>
                <w:rFonts w:ascii="Arial" w:hAnsi="Arial" w:cs="Arial"/>
                <w:sz w:val="14"/>
                <w:szCs w:val="14"/>
              </w:rPr>
              <w:t xml:space="preserve">- </w:t>
            </w:r>
          </w:p>
        </w:tc>
      </w:tr>
      <w:tr w:rsidR="007465F0" w:rsidRPr="00250D43" w14:paraId="1FC23FD2" w14:textId="77777777" w:rsidTr="00B9798B">
        <w:trPr>
          <w:gridAfter w:val="1"/>
          <w:wAfter w:w="16" w:type="dxa"/>
          <w:trHeight w:val="80"/>
        </w:trPr>
        <w:tc>
          <w:tcPr>
            <w:tcW w:w="3189" w:type="dxa"/>
            <w:tcBorders>
              <w:top w:val="nil"/>
              <w:left w:val="nil"/>
              <w:bottom w:val="nil"/>
              <w:right w:val="nil"/>
            </w:tcBorders>
            <w:shd w:val="clear" w:color="auto" w:fill="auto"/>
            <w:vAlign w:val="bottom"/>
            <w:hideMark/>
          </w:tcPr>
          <w:p w14:paraId="726C746C" w14:textId="77777777" w:rsidR="007465F0" w:rsidRPr="00250D43" w:rsidRDefault="007465F0" w:rsidP="00B9798B">
            <w:pPr>
              <w:rPr>
                <w:rFonts w:ascii="Arial" w:hAnsi="Arial" w:cs="Arial"/>
                <w:sz w:val="14"/>
                <w:szCs w:val="14"/>
                <w:lang w:eastAsia="es-AR"/>
              </w:rPr>
            </w:pPr>
          </w:p>
        </w:tc>
        <w:tc>
          <w:tcPr>
            <w:tcW w:w="709" w:type="dxa"/>
            <w:tcBorders>
              <w:top w:val="nil"/>
              <w:left w:val="nil"/>
              <w:bottom w:val="nil"/>
              <w:right w:val="nil"/>
            </w:tcBorders>
            <w:shd w:val="clear" w:color="auto" w:fill="auto"/>
            <w:hideMark/>
          </w:tcPr>
          <w:p w14:paraId="45BB4B45" w14:textId="77777777" w:rsidR="007465F0" w:rsidRPr="006E1AF7" w:rsidRDefault="007465F0" w:rsidP="007465F0">
            <w:pPr>
              <w:rPr>
                <w:sz w:val="14"/>
                <w:szCs w:val="14"/>
                <w:lang w:eastAsia="es-AR"/>
              </w:rPr>
            </w:pPr>
          </w:p>
        </w:tc>
        <w:tc>
          <w:tcPr>
            <w:tcW w:w="794" w:type="dxa"/>
            <w:tcBorders>
              <w:top w:val="nil"/>
              <w:left w:val="nil"/>
              <w:bottom w:val="nil"/>
              <w:right w:val="nil"/>
            </w:tcBorders>
            <w:shd w:val="clear" w:color="auto" w:fill="auto"/>
            <w:vAlign w:val="bottom"/>
            <w:hideMark/>
          </w:tcPr>
          <w:p w14:paraId="3D436F9B" w14:textId="77777777" w:rsidR="007465F0" w:rsidRPr="006E1AF7" w:rsidRDefault="007465F0" w:rsidP="00B03371">
            <w:pPr>
              <w:jc w:val="right"/>
              <w:rPr>
                <w:sz w:val="14"/>
                <w:szCs w:val="14"/>
                <w:lang w:eastAsia="es-AR"/>
              </w:rPr>
            </w:pPr>
          </w:p>
        </w:tc>
        <w:tc>
          <w:tcPr>
            <w:tcW w:w="794" w:type="dxa"/>
            <w:tcBorders>
              <w:top w:val="nil"/>
              <w:left w:val="nil"/>
              <w:bottom w:val="nil"/>
              <w:right w:val="nil"/>
            </w:tcBorders>
            <w:shd w:val="clear" w:color="auto" w:fill="auto"/>
            <w:vAlign w:val="bottom"/>
            <w:hideMark/>
          </w:tcPr>
          <w:p w14:paraId="5F1D6978" w14:textId="77777777" w:rsidR="007465F0" w:rsidRPr="006E1AF7" w:rsidRDefault="007465F0" w:rsidP="00B03371">
            <w:pPr>
              <w:jc w:val="right"/>
              <w:rPr>
                <w:sz w:val="14"/>
                <w:szCs w:val="14"/>
                <w:lang w:eastAsia="es-AR"/>
              </w:rPr>
            </w:pPr>
          </w:p>
        </w:tc>
        <w:tc>
          <w:tcPr>
            <w:tcW w:w="841" w:type="dxa"/>
            <w:tcBorders>
              <w:top w:val="nil"/>
              <w:left w:val="nil"/>
              <w:bottom w:val="nil"/>
              <w:right w:val="nil"/>
            </w:tcBorders>
            <w:shd w:val="clear" w:color="auto" w:fill="auto"/>
            <w:vAlign w:val="bottom"/>
            <w:hideMark/>
          </w:tcPr>
          <w:p w14:paraId="06640A79" w14:textId="77777777" w:rsidR="007465F0" w:rsidRPr="006E1AF7" w:rsidRDefault="007465F0" w:rsidP="00B9798B">
            <w:pPr>
              <w:ind w:left="709" w:hanging="709"/>
              <w:jc w:val="right"/>
              <w:rPr>
                <w:sz w:val="14"/>
                <w:szCs w:val="14"/>
                <w:lang w:eastAsia="es-AR"/>
              </w:rPr>
            </w:pPr>
          </w:p>
        </w:tc>
        <w:tc>
          <w:tcPr>
            <w:tcW w:w="841" w:type="dxa"/>
            <w:tcBorders>
              <w:top w:val="nil"/>
              <w:left w:val="nil"/>
              <w:bottom w:val="nil"/>
              <w:right w:val="nil"/>
            </w:tcBorders>
            <w:shd w:val="clear" w:color="auto" w:fill="auto"/>
            <w:vAlign w:val="bottom"/>
            <w:hideMark/>
          </w:tcPr>
          <w:p w14:paraId="46F26A52" w14:textId="77777777" w:rsidR="007465F0" w:rsidRPr="006E1AF7" w:rsidRDefault="007465F0" w:rsidP="00B9798B">
            <w:pPr>
              <w:ind w:left="709" w:hanging="709"/>
              <w:jc w:val="right"/>
              <w:rPr>
                <w:sz w:val="14"/>
                <w:szCs w:val="14"/>
                <w:lang w:eastAsia="es-AR"/>
              </w:rPr>
            </w:pPr>
          </w:p>
        </w:tc>
        <w:tc>
          <w:tcPr>
            <w:tcW w:w="915" w:type="dxa"/>
            <w:tcBorders>
              <w:top w:val="nil"/>
              <w:left w:val="nil"/>
              <w:bottom w:val="nil"/>
              <w:right w:val="nil"/>
            </w:tcBorders>
            <w:shd w:val="clear" w:color="auto" w:fill="auto"/>
            <w:vAlign w:val="bottom"/>
            <w:hideMark/>
          </w:tcPr>
          <w:p w14:paraId="5CE5A5A0" w14:textId="77777777" w:rsidR="007465F0" w:rsidRPr="006E1AF7" w:rsidRDefault="007465F0" w:rsidP="00B9798B">
            <w:pPr>
              <w:ind w:left="709" w:hanging="709"/>
              <w:jc w:val="right"/>
              <w:rPr>
                <w:sz w:val="14"/>
                <w:szCs w:val="14"/>
                <w:lang w:eastAsia="es-AR"/>
              </w:rPr>
            </w:pPr>
          </w:p>
        </w:tc>
        <w:tc>
          <w:tcPr>
            <w:tcW w:w="778" w:type="dxa"/>
            <w:tcBorders>
              <w:top w:val="nil"/>
              <w:left w:val="nil"/>
              <w:bottom w:val="nil"/>
              <w:right w:val="nil"/>
            </w:tcBorders>
            <w:shd w:val="clear" w:color="auto" w:fill="auto"/>
            <w:vAlign w:val="bottom"/>
            <w:hideMark/>
          </w:tcPr>
          <w:p w14:paraId="710FE328" w14:textId="77777777" w:rsidR="007465F0" w:rsidRPr="006E1AF7" w:rsidRDefault="007465F0" w:rsidP="00B9798B">
            <w:pPr>
              <w:ind w:left="709" w:hanging="709"/>
              <w:jc w:val="right"/>
              <w:rPr>
                <w:sz w:val="14"/>
                <w:szCs w:val="14"/>
                <w:lang w:eastAsia="es-AR"/>
              </w:rPr>
            </w:pPr>
          </w:p>
        </w:tc>
        <w:tc>
          <w:tcPr>
            <w:tcW w:w="848" w:type="dxa"/>
            <w:tcBorders>
              <w:top w:val="nil"/>
              <w:left w:val="nil"/>
              <w:bottom w:val="nil"/>
              <w:right w:val="nil"/>
            </w:tcBorders>
            <w:shd w:val="clear" w:color="auto" w:fill="auto"/>
            <w:vAlign w:val="bottom"/>
            <w:hideMark/>
          </w:tcPr>
          <w:p w14:paraId="098A754A" w14:textId="77777777" w:rsidR="007465F0" w:rsidRPr="006E1AF7" w:rsidRDefault="007465F0" w:rsidP="00B9798B">
            <w:pPr>
              <w:ind w:left="709" w:hanging="709"/>
              <w:jc w:val="right"/>
              <w:rPr>
                <w:sz w:val="14"/>
                <w:szCs w:val="14"/>
                <w:lang w:eastAsia="es-AR"/>
              </w:rPr>
            </w:pPr>
          </w:p>
        </w:tc>
      </w:tr>
      <w:tr w:rsidR="00B9798B" w:rsidRPr="00D926FE" w14:paraId="104980EC" w14:textId="77777777" w:rsidTr="00B9798B">
        <w:trPr>
          <w:gridAfter w:val="1"/>
          <w:wAfter w:w="16" w:type="dxa"/>
          <w:trHeight w:val="319"/>
        </w:trPr>
        <w:tc>
          <w:tcPr>
            <w:tcW w:w="3189" w:type="dxa"/>
            <w:tcBorders>
              <w:top w:val="nil"/>
              <w:left w:val="nil"/>
              <w:bottom w:val="single" w:sz="4" w:space="0" w:color="auto"/>
              <w:right w:val="nil"/>
            </w:tcBorders>
            <w:shd w:val="clear" w:color="auto" w:fill="auto"/>
            <w:vAlign w:val="bottom"/>
            <w:hideMark/>
          </w:tcPr>
          <w:p w14:paraId="7A172E02" w14:textId="77777777" w:rsidR="00B9798B" w:rsidRPr="00D926FE" w:rsidRDefault="00B9798B" w:rsidP="00B9798B">
            <w:pPr>
              <w:rPr>
                <w:rFonts w:ascii="Arial" w:hAnsi="Arial" w:cs="Arial"/>
                <w:sz w:val="14"/>
                <w:szCs w:val="14"/>
                <w:lang w:eastAsia="es-AR"/>
              </w:rPr>
            </w:pPr>
            <w:r w:rsidRPr="00D926FE">
              <w:rPr>
                <w:rFonts w:ascii="Arial" w:hAnsi="Arial" w:cs="Arial"/>
                <w:sz w:val="14"/>
                <w:szCs w:val="14"/>
                <w:lang w:eastAsia="es-AR"/>
              </w:rPr>
              <w:t>Otros</w:t>
            </w:r>
          </w:p>
        </w:tc>
        <w:tc>
          <w:tcPr>
            <w:tcW w:w="709" w:type="dxa"/>
            <w:tcBorders>
              <w:top w:val="nil"/>
              <w:left w:val="nil"/>
              <w:bottom w:val="single" w:sz="4" w:space="0" w:color="auto"/>
              <w:right w:val="nil"/>
            </w:tcBorders>
            <w:shd w:val="clear" w:color="auto" w:fill="auto"/>
            <w:hideMark/>
          </w:tcPr>
          <w:p w14:paraId="664CF0F2" w14:textId="77777777" w:rsidR="00B9798B" w:rsidRPr="00D926FE" w:rsidRDefault="00B9798B" w:rsidP="00B9798B">
            <w:pPr>
              <w:rPr>
                <w:rFonts w:ascii="Arial" w:hAnsi="Arial" w:cs="Arial"/>
                <w:sz w:val="14"/>
                <w:szCs w:val="14"/>
                <w:lang w:eastAsia="es-AR"/>
              </w:rPr>
            </w:pPr>
            <w:r w:rsidRPr="00D926FE">
              <w:rPr>
                <w:rFonts w:ascii="Arial" w:hAnsi="Arial" w:cs="Arial"/>
                <w:sz w:val="14"/>
                <w:szCs w:val="14"/>
                <w:lang w:eastAsia="es-AR"/>
              </w:rPr>
              <w:t> </w:t>
            </w:r>
          </w:p>
        </w:tc>
        <w:tc>
          <w:tcPr>
            <w:tcW w:w="794" w:type="dxa"/>
            <w:tcBorders>
              <w:top w:val="nil"/>
              <w:left w:val="nil"/>
              <w:bottom w:val="single" w:sz="4" w:space="0" w:color="auto"/>
              <w:right w:val="nil"/>
            </w:tcBorders>
            <w:shd w:val="clear" w:color="auto" w:fill="auto"/>
            <w:vAlign w:val="bottom"/>
            <w:hideMark/>
          </w:tcPr>
          <w:p w14:paraId="30C4553F" w14:textId="77777777" w:rsidR="00B9798B" w:rsidRPr="00D926FE" w:rsidRDefault="00B9798B" w:rsidP="00B9798B">
            <w:pPr>
              <w:jc w:val="right"/>
              <w:rPr>
                <w:rFonts w:ascii="Arial" w:hAnsi="Arial" w:cs="Arial"/>
                <w:sz w:val="14"/>
                <w:szCs w:val="14"/>
                <w:lang w:eastAsia="es-AR"/>
              </w:rPr>
            </w:pPr>
            <w:r w:rsidRPr="00D926FE">
              <w:rPr>
                <w:rFonts w:ascii="Arial" w:hAnsi="Arial" w:cs="Arial"/>
                <w:sz w:val="14"/>
                <w:szCs w:val="14"/>
                <w:lang w:eastAsia="es-AR"/>
              </w:rPr>
              <w:t> </w:t>
            </w:r>
          </w:p>
        </w:tc>
        <w:tc>
          <w:tcPr>
            <w:tcW w:w="794" w:type="dxa"/>
            <w:tcBorders>
              <w:top w:val="nil"/>
              <w:left w:val="nil"/>
              <w:bottom w:val="single" w:sz="4" w:space="0" w:color="auto"/>
              <w:right w:val="nil"/>
            </w:tcBorders>
            <w:shd w:val="clear" w:color="auto" w:fill="auto"/>
            <w:vAlign w:val="bottom"/>
            <w:hideMark/>
          </w:tcPr>
          <w:p w14:paraId="770729D9" w14:textId="77777777" w:rsidR="00B9798B" w:rsidRPr="00D926FE" w:rsidRDefault="00B9798B" w:rsidP="00B9798B">
            <w:pPr>
              <w:jc w:val="right"/>
              <w:rPr>
                <w:rFonts w:ascii="Arial" w:hAnsi="Arial" w:cs="Arial"/>
                <w:sz w:val="14"/>
                <w:szCs w:val="14"/>
                <w:lang w:eastAsia="es-AR"/>
              </w:rPr>
            </w:pPr>
            <w:r w:rsidRPr="00D926FE">
              <w:rPr>
                <w:rFonts w:ascii="Arial" w:hAnsi="Arial" w:cs="Arial"/>
                <w:sz w:val="14"/>
                <w:szCs w:val="14"/>
                <w:lang w:eastAsia="es-AR"/>
              </w:rPr>
              <w:t> </w:t>
            </w:r>
          </w:p>
        </w:tc>
        <w:tc>
          <w:tcPr>
            <w:tcW w:w="841" w:type="dxa"/>
            <w:tcBorders>
              <w:top w:val="nil"/>
              <w:left w:val="nil"/>
              <w:bottom w:val="single" w:sz="4" w:space="0" w:color="auto"/>
              <w:right w:val="nil"/>
            </w:tcBorders>
            <w:shd w:val="clear" w:color="auto" w:fill="auto"/>
            <w:vAlign w:val="bottom"/>
            <w:hideMark/>
          </w:tcPr>
          <w:p w14:paraId="68DD7379" w14:textId="74D3BAF2" w:rsidR="00B9798B" w:rsidRPr="00D926FE" w:rsidRDefault="00B9798B" w:rsidP="00B9798B">
            <w:pPr>
              <w:ind w:left="709" w:hanging="709"/>
              <w:jc w:val="right"/>
              <w:rPr>
                <w:rFonts w:ascii="Arial" w:hAnsi="Arial" w:cs="Arial"/>
                <w:sz w:val="14"/>
                <w:szCs w:val="14"/>
              </w:rPr>
            </w:pPr>
            <w:r w:rsidRPr="00B9798B">
              <w:rPr>
                <w:rFonts w:ascii="Arial" w:hAnsi="Arial" w:cs="Arial"/>
                <w:sz w:val="14"/>
                <w:szCs w:val="14"/>
              </w:rPr>
              <w:t>8.783</w:t>
            </w:r>
          </w:p>
        </w:tc>
        <w:tc>
          <w:tcPr>
            <w:tcW w:w="841" w:type="dxa"/>
            <w:tcBorders>
              <w:top w:val="nil"/>
              <w:left w:val="nil"/>
              <w:bottom w:val="single" w:sz="4" w:space="0" w:color="auto"/>
              <w:right w:val="nil"/>
            </w:tcBorders>
            <w:shd w:val="clear" w:color="auto" w:fill="auto"/>
            <w:vAlign w:val="bottom"/>
            <w:hideMark/>
          </w:tcPr>
          <w:p w14:paraId="12A3DCB9" w14:textId="1BFD15E4" w:rsidR="00B9798B" w:rsidRPr="00D926FE" w:rsidRDefault="00B9798B" w:rsidP="00B9798B">
            <w:pPr>
              <w:ind w:left="709" w:hanging="709"/>
              <w:jc w:val="right"/>
              <w:rPr>
                <w:rFonts w:ascii="Arial" w:hAnsi="Arial" w:cs="Arial"/>
                <w:sz w:val="14"/>
                <w:szCs w:val="14"/>
              </w:rPr>
            </w:pPr>
            <w:r w:rsidRPr="00B9798B">
              <w:rPr>
                <w:rFonts w:ascii="Arial" w:hAnsi="Arial" w:cs="Arial"/>
                <w:sz w:val="14"/>
                <w:szCs w:val="14"/>
              </w:rPr>
              <w:t>8.801</w:t>
            </w:r>
          </w:p>
        </w:tc>
        <w:tc>
          <w:tcPr>
            <w:tcW w:w="915" w:type="dxa"/>
            <w:tcBorders>
              <w:top w:val="nil"/>
              <w:left w:val="nil"/>
              <w:bottom w:val="single" w:sz="4" w:space="0" w:color="auto"/>
              <w:right w:val="nil"/>
            </w:tcBorders>
            <w:shd w:val="clear" w:color="auto" w:fill="auto"/>
            <w:vAlign w:val="bottom"/>
            <w:hideMark/>
          </w:tcPr>
          <w:p w14:paraId="33577109" w14:textId="6E5D9897" w:rsidR="00B9798B" w:rsidRPr="00D926FE" w:rsidRDefault="00B9798B" w:rsidP="00B9798B">
            <w:pPr>
              <w:ind w:left="709" w:hanging="709"/>
              <w:jc w:val="right"/>
              <w:rPr>
                <w:rFonts w:ascii="Arial" w:hAnsi="Arial" w:cs="Arial"/>
                <w:sz w:val="14"/>
                <w:szCs w:val="14"/>
              </w:rPr>
            </w:pPr>
            <w:r w:rsidRPr="00B9798B">
              <w:rPr>
                <w:rFonts w:ascii="Arial" w:hAnsi="Arial" w:cs="Arial"/>
                <w:sz w:val="14"/>
                <w:szCs w:val="14"/>
              </w:rPr>
              <w:t>8.783</w:t>
            </w:r>
          </w:p>
        </w:tc>
        <w:tc>
          <w:tcPr>
            <w:tcW w:w="778" w:type="dxa"/>
            <w:tcBorders>
              <w:top w:val="nil"/>
              <w:left w:val="nil"/>
              <w:bottom w:val="single" w:sz="4" w:space="0" w:color="auto"/>
              <w:right w:val="nil"/>
            </w:tcBorders>
            <w:shd w:val="clear" w:color="auto" w:fill="auto"/>
            <w:vAlign w:val="bottom"/>
            <w:hideMark/>
          </w:tcPr>
          <w:p w14:paraId="3C983937" w14:textId="67BDBBA9" w:rsidR="00B9798B" w:rsidRPr="00D926FE" w:rsidRDefault="00B9798B" w:rsidP="00B9798B">
            <w:pPr>
              <w:ind w:left="709" w:hanging="709"/>
              <w:jc w:val="right"/>
              <w:rPr>
                <w:rFonts w:ascii="Arial" w:hAnsi="Arial" w:cs="Arial"/>
                <w:sz w:val="14"/>
                <w:szCs w:val="14"/>
              </w:rPr>
            </w:pPr>
            <w:r w:rsidRPr="00B9798B">
              <w:rPr>
                <w:rFonts w:ascii="Arial" w:hAnsi="Arial" w:cs="Arial"/>
                <w:sz w:val="14"/>
                <w:szCs w:val="14"/>
              </w:rPr>
              <w:t xml:space="preserve">- </w:t>
            </w:r>
          </w:p>
        </w:tc>
        <w:tc>
          <w:tcPr>
            <w:tcW w:w="848" w:type="dxa"/>
            <w:tcBorders>
              <w:top w:val="nil"/>
              <w:left w:val="nil"/>
              <w:bottom w:val="single" w:sz="4" w:space="0" w:color="auto"/>
              <w:right w:val="nil"/>
            </w:tcBorders>
            <w:shd w:val="clear" w:color="auto" w:fill="auto"/>
            <w:vAlign w:val="bottom"/>
            <w:hideMark/>
          </w:tcPr>
          <w:p w14:paraId="36D7CFBE" w14:textId="346B9920" w:rsidR="00B9798B" w:rsidRPr="00D926FE" w:rsidRDefault="00B9798B" w:rsidP="00B9798B">
            <w:pPr>
              <w:ind w:left="709" w:hanging="709"/>
              <w:jc w:val="right"/>
              <w:rPr>
                <w:rFonts w:ascii="Arial" w:hAnsi="Arial" w:cs="Arial"/>
                <w:sz w:val="14"/>
                <w:szCs w:val="14"/>
              </w:rPr>
            </w:pPr>
            <w:r w:rsidRPr="00B9798B">
              <w:rPr>
                <w:rFonts w:ascii="Arial" w:hAnsi="Arial" w:cs="Arial"/>
                <w:sz w:val="14"/>
                <w:szCs w:val="14"/>
              </w:rPr>
              <w:t>8.783</w:t>
            </w:r>
          </w:p>
        </w:tc>
      </w:tr>
      <w:tr w:rsidR="00B9798B" w:rsidRPr="00D926FE" w14:paraId="79F9A3B3" w14:textId="77777777" w:rsidTr="006E1AF7">
        <w:trPr>
          <w:gridAfter w:val="1"/>
          <w:wAfter w:w="16" w:type="dxa"/>
          <w:trHeight w:val="229"/>
        </w:trPr>
        <w:tc>
          <w:tcPr>
            <w:tcW w:w="3189" w:type="dxa"/>
            <w:tcBorders>
              <w:top w:val="nil"/>
              <w:left w:val="nil"/>
              <w:bottom w:val="nil"/>
              <w:right w:val="nil"/>
            </w:tcBorders>
            <w:shd w:val="clear" w:color="auto" w:fill="auto"/>
            <w:vAlign w:val="bottom"/>
            <w:hideMark/>
          </w:tcPr>
          <w:p w14:paraId="6EE3897D" w14:textId="77777777" w:rsidR="00B9798B" w:rsidRPr="00D926FE" w:rsidRDefault="00B9798B" w:rsidP="00B9798B">
            <w:pPr>
              <w:rPr>
                <w:rFonts w:ascii="Arial" w:hAnsi="Arial" w:cs="Arial"/>
                <w:b/>
                <w:bCs/>
                <w:sz w:val="14"/>
                <w:szCs w:val="14"/>
                <w:lang w:eastAsia="es-AR"/>
              </w:rPr>
            </w:pPr>
            <w:r w:rsidRPr="00D926FE">
              <w:rPr>
                <w:rFonts w:ascii="Arial" w:hAnsi="Arial" w:cs="Arial"/>
                <w:b/>
                <w:bCs/>
                <w:sz w:val="14"/>
                <w:szCs w:val="14"/>
                <w:lang w:eastAsia="es-AR"/>
              </w:rPr>
              <w:t>Total instrumentos de patrimonio</w:t>
            </w:r>
          </w:p>
        </w:tc>
        <w:tc>
          <w:tcPr>
            <w:tcW w:w="709" w:type="dxa"/>
            <w:tcBorders>
              <w:top w:val="nil"/>
              <w:left w:val="nil"/>
              <w:bottom w:val="nil"/>
              <w:right w:val="nil"/>
            </w:tcBorders>
            <w:shd w:val="clear" w:color="auto" w:fill="auto"/>
            <w:hideMark/>
          </w:tcPr>
          <w:p w14:paraId="2A1E839C" w14:textId="77777777" w:rsidR="00B9798B" w:rsidRPr="00D926FE" w:rsidRDefault="00B9798B" w:rsidP="00B9798B">
            <w:pPr>
              <w:rPr>
                <w:rFonts w:ascii="Arial" w:hAnsi="Arial" w:cs="Arial"/>
                <w:b/>
                <w:bCs/>
                <w:sz w:val="14"/>
                <w:szCs w:val="14"/>
                <w:lang w:eastAsia="es-AR"/>
              </w:rPr>
            </w:pPr>
          </w:p>
        </w:tc>
        <w:tc>
          <w:tcPr>
            <w:tcW w:w="794" w:type="dxa"/>
            <w:tcBorders>
              <w:top w:val="nil"/>
              <w:left w:val="nil"/>
              <w:bottom w:val="nil"/>
              <w:right w:val="nil"/>
            </w:tcBorders>
            <w:shd w:val="clear" w:color="auto" w:fill="auto"/>
            <w:vAlign w:val="bottom"/>
            <w:hideMark/>
          </w:tcPr>
          <w:p w14:paraId="6FABD39B" w14:textId="77777777" w:rsidR="00B9798B" w:rsidRPr="00D926FE" w:rsidRDefault="00B9798B" w:rsidP="00B9798B">
            <w:pPr>
              <w:jc w:val="right"/>
              <w:rPr>
                <w:sz w:val="20"/>
                <w:lang w:eastAsia="es-AR"/>
              </w:rPr>
            </w:pPr>
          </w:p>
        </w:tc>
        <w:tc>
          <w:tcPr>
            <w:tcW w:w="794" w:type="dxa"/>
            <w:tcBorders>
              <w:top w:val="nil"/>
              <w:left w:val="nil"/>
              <w:bottom w:val="nil"/>
              <w:right w:val="nil"/>
            </w:tcBorders>
            <w:shd w:val="clear" w:color="auto" w:fill="auto"/>
            <w:vAlign w:val="bottom"/>
            <w:hideMark/>
          </w:tcPr>
          <w:p w14:paraId="2DE1DCA4" w14:textId="77777777" w:rsidR="00B9798B" w:rsidRPr="00D926FE" w:rsidRDefault="00B9798B" w:rsidP="00B9798B">
            <w:pPr>
              <w:jc w:val="right"/>
              <w:rPr>
                <w:sz w:val="20"/>
                <w:lang w:eastAsia="es-AR"/>
              </w:rPr>
            </w:pPr>
          </w:p>
        </w:tc>
        <w:tc>
          <w:tcPr>
            <w:tcW w:w="841" w:type="dxa"/>
            <w:tcBorders>
              <w:top w:val="nil"/>
              <w:left w:val="nil"/>
              <w:bottom w:val="nil"/>
              <w:right w:val="nil"/>
            </w:tcBorders>
            <w:shd w:val="clear" w:color="auto" w:fill="auto"/>
            <w:vAlign w:val="bottom"/>
            <w:hideMark/>
          </w:tcPr>
          <w:p w14:paraId="4CDA58D1" w14:textId="16523AEC"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14.579</w:t>
            </w:r>
          </w:p>
        </w:tc>
        <w:tc>
          <w:tcPr>
            <w:tcW w:w="841" w:type="dxa"/>
            <w:tcBorders>
              <w:top w:val="nil"/>
              <w:left w:val="nil"/>
              <w:bottom w:val="nil"/>
              <w:right w:val="nil"/>
            </w:tcBorders>
            <w:shd w:val="clear" w:color="auto" w:fill="auto"/>
            <w:vAlign w:val="bottom"/>
            <w:hideMark/>
          </w:tcPr>
          <w:p w14:paraId="6F8E3093" w14:textId="21D404E0"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10.404</w:t>
            </w:r>
          </w:p>
        </w:tc>
        <w:tc>
          <w:tcPr>
            <w:tcW w:w="915" w:type="dxa"/>
            <w:tcBorders>
              <w:top w:val="nil"/>
              <w:left w:val="nil"/>
              <w:bottom w:val="nil"/>
              <w:right w:val="nil"/>
            </w:tcBorders>
            <w:shd w:val="clear" w:color="auto" w:fill="auto"/>
            <w:vAlign w:val="bottom"/>
            <w:hideMark/>
          </w:tcPr>
          <w:p w14:paraId="3CEA71C3" w14:textId="6CC14661"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14.579</w:t>
            </w:r>
          </w:p>
        </w:tc>
        <w:tc>
          <w:tcPr>
            <w:tcW w:w="778" w:type="dxa"/>
            <w:tcBorders>
              <w:top w:val="nil"/>
              <w:left w:val="nil"/>
              <w:bottom w:val="nil"/>
              <w:right w:val="nil"/>
            </w:tcBorders>
            <w:shd w:val="clear" w:color="auto" w:fill="auto"/>
            <w:vAlign w:val="bottom"/>
            <w:hideMark/>
          </w:tcPr>
          <w:p w14:paraId="091B1125" w14:textId="58A33EA4"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 xml:space="preserve">- </w:t>
            </w:r>
          </w:p>
        </w:tc>
        <w:tc>
          <w:tcPr>
            <w:tcW w:w="848" w:type="dxa"/>
            <w:tcBorders>
              <w:top w:val="nil"/>
              <w:left w:val="nil"/>
              <w:bottom w:val="nil"/>
              <w:right w:val="nil"/>
            </w:tcBorders>
            <w:shd w:val="clear" w:color="auto" w:fill="auto"/>
            <w:vAlign w:val="bottom"/>
            <w:hideMark/>
          </w:tcPr>
          <w:p w14:paraId="6E6D80F8" w14:textId="67E5DE3C"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14.579</w:t>
            </w:r>
          </w:p>
        </w:tc>
      </w:tr>
      <w:tr w:rsidR="00B9798B" w:rsidRPr="00D926FE" w14:paraId="5E84FE5E" w14:textId="77777777" w:rsidTr="00B9798B">
        <w:trPr>
          <w:gridAfter w:val="1"/>
          <w:wAfter w:w="16" w:type="dxa"/>
          <w:trHeight w:val="195"/>
        </w:trPr>
        <w:tc>
          <w:tcPr>
            <w:tcW w:w="3189" w:type="dxa"/>
            <w:tcBorders>
              <w:top w:val="single" w:sz="4" w:space="0" w:color="auto"/>
              <w:left w:val="nil"/>
              <w:bottom w:val="double" w:sz="6" w:space="0" w:color="auto"/>
              <w:right w:val="nil"/>
            </w:tcBorders>
            <w:shd w:val="clear" w:color="auto" w:fill="auto"/>
            <w:vAlign w:val="bottom"/>
            <w:hideMark/>
          </w:tcPr>
          <w:p w14:paraId="790A02BC" w14:textId="77777777" w:rsidR="00B9798B" w:rsidRPr="00D926FE" w:rsidRDefault="00B9798B" w:rsidP="00B9798B">
            <w:pPr>
              <w:rPr>
                <w:rFonts w:ascii="Arial" w:hAnsi="Arial" w:cs="Arial"/>
                <w:b/>
                <w:bCs/>
                <w:sz w:val="14"/>
                <w:szCs w:val="14"/>
                <w:lang w:eastAsia="es-AR"/>
              </w:rPr>
            </w:pPr>
            <w:r w:rsidRPr="00D926FE">
              <w:rPr>
                <w:rFonts w:ascii="Arial" w:hAnsi="Arial" w:cs="Arial"/>
                <w:b/>
                <w:bCs/>
                <w:sz w:val="14"/>
                <w:szCs w:val="14"/>
                <w:lang w:eastAsia="es-AR"/>
              </w:rPr>
              <w:t xml:space="preserve">Total </w:t>
            </w:r>
          </w:p>
        </w:tc>
        <w:tc>
          <w:tcPr>
            <w:tcW w:w="709" w:type="dxa"/>
            <w:tcBorders>
              <w:top w:val="single" w:sz="4" w:space="0" w:color="auto"/>
              <w:left w:val="nil"/>
              <w:bottom w:val="double" w:sz="6" w:space="0" w:color="auto"/>
              <w:right w:val="nil"/>
            </w:tcBorders>
            <w:shd w:val="clear" w:color="auto" w:fill="auto"/>
            <w:hideMark/>
          </w:tcPr>
          <w:p w14:paraId="1017D81E" w14:textId="77777777" w:rsidR="00B9798B" w:rsidRPr="00D926FE" w:rsidRDefault="00B9798B" w:rsidP="00B9798B">
            <w:pPr>
              <w:rPr>
                <w:rFonts w:ascii="Arial" w:hAnsi="Arial" w:cs="Arial"/>
                <w:sz w:val="14"/>
                <w:szCs w:val="14"/>
                <w:lang w:eastAsia="es-AR"/>
              </w:rPr>
            </w:pPr>
            <w:r w:rsidRPr="00D926FE">
              <w:rPr>
                <w:rFonts w:ascii="Arial" w:hAnsi="Arial" w:cs="Arial"/>
                <w:sz w:val="14"/>
                <w:szCs w:val="14"/>
                <w:lang w:eastAsia="es-AR"/>
              </w:rPr>
              <w:t> </w:t>
            </w:r>
          </w:p>
        </w:tc>
        <w:tc>
          <w:tcPr>
            <w:tcW w:w="794" w:type="dxa"/>
            <w:tcBorders>
              <w:top w:val="single" w:sz="4" w:space="0" w:color="auto"/>
              <w:left w:val="nil"/>
              <w:bottom w:val="double" w:sz="6" w:space="0" w:color="auto"/>
              <w:right w:val="nil"/>
            </w:tcBorders>
            <w:shd w:val="clear" w:color="auto" w:fill="auto"/>
            <w:vAlign w:val="bottom"/>
            <w:hideMark/>
          </w:tcPr>
          <w:p w14:paraId="7DCAA713" w14:textId="77777777" w:rsidR="00B9798B" w:rsidRPr="00D926FE" w:rsidRDefault="00B9798B" w:rsidP="00B9798B">
            <w:pPr>
              <w:jc w:val="right"/>
              <w:rPr>
                <w:rFonts w:ascii="Arial" w:hAnsi="Arial" w:cs="Arial"/>
                <w:sz w:val="14"/>
                <w:szCs w:val="14"/>
                <w:lang w:eastAsia="es-AR"/>
              </w:rPr>
            </w:pPr>
            <w:r w:rsidRPr="00D926FE">
              <w:rPr>
                <w:rFonts w:ascii="Arial" w:hAnsi="Arial" w:cs="Arial"/>
                <w:sz w:val="14"/>
                <w:szCs w:val="14"/>
                <w:lang w:eastAsia="es-AR"/>
              </w:rPr>
              <w:t> </w:t>
            </w:r>
          </w:p>
        </w:tc>
        <w:tc>
          <w:tcPr>
            <w:tcW w:w="794" w:type="dxa"/>
            <w:tcBorders>
              <w:top w:val="single" w:sz="4" w:space="0" w:color="auto"/>
              <w:left w:val="nil"/>
              <w:bottom w:val="double" w:sz="6" w:space="0" w:color="auto"/>
              <w:right w:val="nil"/>
            </w:tcBorders>
            <w:shd w:val="clear" w:color="auto" w:fill="auto"/>
            <w:vAlign w:val="bottom"/>
            <w:hideMark/>
          </w:tcPr>
          <w:p w14:paraId="62787C3C" w14:textId="77777777" w:rsidR="00B9798B" w:rsidRPr="00D926FE" w:rsidRDefault="00B9798B" w:rsidP="00B9798B">
            <w:pPr>
              <w:jc w:val="right"/>
              <w:rPr>
                <w:rFonts w:ascii="Arial" w:hAnsi="Arial" w:cs="Arial"/>
                <w:sz w:val="14"/>
                <w:szCs w:val="14"/>
                <w:lang w:eastAsia="es-AR"/>
              </w:rPr>
            </w:pPr>
            <w:r w:rsidRPr="00D926FE">
              <w:rPr>
                <w:rFonts w:ascii="Arial" w:hAnsi="Arial" w:cs="Arial"/>
                <w:sz w:val="14"/>
                <w:szCs w:val="14"/>
                <w:lang w:eastAsia="es-AR"/>
              </w:rPr>
              <w:t> </w:t>
            </w:r>
          </w:p>
        </w:tc>
        <w:tc>
          <w:tcPr>
            <w:tcW w:w="841" w:type="dxa"/>
            <w:tcBorders>
              <w:top w:val="single" w:sz="4" w:space="0" w:color="auto"/>
              <w:left w:val="nil"/>
              <w:bottom w:val="double" w:sz="6" w:space="0" w:color="auto"/>
              <w:right w:val="nil"/>
            </w:tcBorders>
            <w:shd w:val="clear" w:color="auto" w:fill="auto"/>
            <w:vAlign w:val="bottom"/>
            <w:hideMark/>
          </w:tcPr>
          <w:p w14:paraId="4342FF36" w14:textId="1E2E1C0C"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10.940.150</w:t>
            </w:r>
          </w:p>
        </w:tc>
        <w:tc>
          <w:tcPr>
            <w:tcW w:w="841" w:type="dxa"/>
            <w:tcBorders>
              <w:top w:val="single" w:sz="4" w:space="0" w:color="auto"/>
              <w:left w:val="nil"/>
              <w:bottom w:val="double" w:sz="6" w:space="0" w:color="auto"/>
              <w:right w:val="nil"/>
            </w:tcBorders>
            <w:shd w:val="clear" w:color="auto" w:fill="auto"/>
            <w:vAlign w:val="bottom"/>
            <w:hideMark/>
          </w:tcPr>
          <w:p w14:paraId="7C45864B" w14:textId="3A781C65"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19.086.187</w:t>
            </w:r>
          </w:p>
        </w:tc>
        <w:tc>
          <w:tcPr>
            <w:tcW w:w="915" w:type="dxa"/>
            <w:tcBorders>
              <w:top w:val="single" w:sz="4" w:space="0" w:color="auto"/>
              <w:left w:val="nil"/>
              <w:bottom w:val="double" w:sz="6" w:space="0" w:color="auto"/>
              <w:right w:val="nil"/>
            </w:tcBorders>
            <w:shd w:val="clear" w:color="auto" w:fill="auto"/>
            <w:vAlign w:val="bottom"/>
            <w:hideMark/>
          </w:tcPr>
          <w:p w14:paraId="123DD69F" w14:textId="1143E265"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11.383.610</w:t>
            </w:r>
          </w:p>
        </w:tc>
        <w:tc>
          <w:tcPr>
            <w:tcW w:w="778" w:type="dxa"/>
            <w:tcBorders>
              <w:top w:val="single" w:sz="4" w:space="0" w:color="auto"/>
              <w:left w:val="nil"/>
              <w:bottom w:val="double" w:sz="6" w:space="0" w:color="auto"/>
              <w:right w:val="nil"/>
            </w:tcBorders>
            <w:shd w:val="clear" w:color="auto" w:fill="auto"/>
            <w:vAlign w:val="bottom"/>
            <w:hideMark/>
          </w:tcPr>
          <w:p w14:paraId="695F5079" w14:textId="63CF089D"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 xml:space="preserve">- </w:t>
            </w:r>
          </w:p>
        </w:tc>
        <w:tc>
          <w:tcPr>
            <w:tcW w:w="848" w:type="dxa"/>
            <w:tcBorders>
              <w:top w:val="single" w:sz="4" w:space="0" w:color="auto"/>
              <w:left w:val="nil"/>
              <w:bottom w:val="double" w:sz="6" w:space="0" w:color="auto"/>
              <w:right w:val="nil"/>
            </w:tcBorders>
            <w:shd w:val="clear" w:color="auto" w:fill="auto"/>
            <w:vAlign w:val="bottom"/>
            <w:hideMark/>
          </w:tcPr>
          <w:p w14:paraId="089F3370" w14:textId="0F33E75B" w:rsidR="00B9798B" w:rsidRPr="00D926FE" w:rsidRDefault="00B9798B" w:rsidP="00B9798B">
            <w:pPr>
              <w:ind w:left="709" w:hanging="709"/>
              <w:jc w:val="right"/>
              <w:rPr>
                <w:rFonts w:ascii="Arial" w:hAnsi="Arial" w:cs="Arial"/>
                <w:b/>
                <w:bCs/>
                <w:sz w:val="14"/>
                <w:szCs w:val="14"/>
                <w:lang w:eastAsia="es-AR"/>
              </w:rPr>
            </w:pPr>
            <w:r>
              <w:rPr>
                <w:rFonts w:ascii="Arial" w:hAnsi="Arial" w:cs="Arial"/>
                <w:b/>
                <w:bCs/>
                <w:sz w:val="14"/>
                <w:szCs w:val="14"/>
              </w:rPr>
              <w:t>11.383.610</w:t>
            </w:r>
          </w:p>
        </w:tc>
      </w:tr>
    </w:tbl>
    <w:p w14:paraId="37D7B260" w14:textId="77777777" w:rsidR="00871CAF" w:rsidRPr="00701F32" w:rsidRDefault="00871CAF" w:rsidP="00066653">
      <w:pPr>
        <w:tabs>
          <w:tab w:val="left" w:pos="709"/>
          <w:tab w:val="left" w:pos="851"/>
        </w:tabs>
        <w:ind w:right="51"/>
        <w:contextualSpacing/>
        <w:jc w:val="both"/>
        <w:rPr>
          <w:rFonts w:ascii="Arial" w:hAnsi="Arial" w:cs="Arial"/>
          <w:sz w:val="20"/>
        </w:rPr>
      </w:pPr>
    </w:p>
    <w:p w14:paraId="68E2EBCF" w14:textId="77777777" w:rsidR="00871CAF" w:rsidRPr="00701F32" w:rsidRDefault="00871CAF" w:rsidP="007532DD">
      <w:pPr>
        <w:tabs>
          <w:tab w:val="left" w:pos="709"/>
          <w:tab w:val="left" w:pos="851"/>
        </w:tabs>
        <w:ind w:left="284" w:right="51"/>
        <w:contextualSpacing/>
        <w:jc w:val="both"/>
        <w:rPr>
          <w:rFonts w:ascii="Arial" w:hAnsi="Arial" w:cs="Arial"/>
          <w:sz w:val="20"/>
        </w:rPr>
        <w:sectPr w:rsidR="00871CAF" w:rsidRPr="00701F32" w:rsidSect="007045C3">
          <w:headerReference w:type="default" r:id="rId52"/>
          <w:pgSz w:w="11907" w:h="16839" w:code="9"/>
          <w:pgMar w:top="1418" w:right="1701" w:bottom="1418" w:left="1701" w:header="567" w:footer="0" w:gutter="0"/>
          <w:paperSrc w:first="256" w:other="256"/>
          <w:cols w:space="720"/>
          <w:docGrid w:linePitch="326"/>
        </w:sectPr>
      </w:pPr>
    </w:p>
    <w:tbl>
      <w:tblPr>
        <w:tblStyle w:val="Tablaconcuadrcula"/>
        <w:tblW w:w="779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0"/>
        <w:gridCol w:w="1276"/>
        <w:gridCol w:w="1275"/>
      </w:tblGrid>
      <w:tr w:rsidR="007B34B2" w14:paraId="76FDAB46" w14:textId="77777777" w:rsidTr="00BE5A48">
        <w:tc>
          <w:tcPr>
            <w:tcW w:w="5240" w:type="dxa"/>
            <w:tcBorders>
              <w:top w:val="single" w:sz="4" w:space="0" w:color="auto"/>
              <w:left w:val="single" w:sz="4" w:space="0" w:color="auto"/>
              <w:bottom w:val="single" w:sz="4" w:space="0" w:color="auto"/>
            </w:tcBorders>
            <w:shd w:val="clear" w:color="auto" w:fill="BFBFBF" w:themeFill="background1" w:themeFillShade="BF"/>
          </w:tcPr>
          <w:p w14:paraId="378B8AF0" w14:textId="77777777" w:rsidR="007B34B2" w:rsidRPr="0066424E" w:rsidRDefault="007B34B2" w:rsidP="00BE5A48">
            <w:pPr>
              <w:widowControl w:val="0"/>
              <w:autoSpaceDE w:val="0"/>
              <w:autoSpaceDN w:val="0"/>
              <w:adjustRightInd w:val="0"/>
              <w:jc w:val="center"/>
              <w:rPr>
                <w:rFonts w:ascii="Arial" w:hAnsi="Arial" w:cs="Arial"/>
                <w:b/>
                <w:noProof/>
                <w:sz w:val="18"/>
                <w:szCs w:val="18"/>
              </w:rPr>
            </w:pPr>
            <w:r w:rsidRPr="0066424E">
              <w:rPr>
                <w:rFonts w:ascii="Arial" w:hAnsi="Arial" w:cs="Arial"/>
                <w:b/>
                <w:noProof/>
                <w:sz w:val="18"/>
                <w:szCs w:val="18"/>
              </w:rPr>
              <w:t>Concepto</w:t>
            </w:r>
          </w:p>
        </w:tc>
        <w:tc>
          <w:tcPr>
            <w:tcW w:w="1276" w:type="dxa"/>
            <w:tcBorders>
              <w:top w:val="single" w:sz="4" w:space="0" w:color="auto"/>
              <w:bottom w:val="single" w:sz="4" w:space="0" w:color="auto"/>
            </w:tcBorders>
            <w:shd w:val="clear" w:color="auto" w:fill="BFBFBF" w:themeFill="background1" w:themeFillShade="BF"/>
          </w:tcPr>
          <w:p w14:paraId="7F5DF3C6" w14:textId="3E3857FA" w:rsidR="007B34B2" w:rsidRPr="0066424E" w:rsidRDefault="003C2633" w:rsidP="00083AEA">
            <w:pPr>
              <w:widowControl w:val="0"/>
              <w:autoSpaceDE w:val="0"/>
              <w:autoSpaceDN w:val="0"/>
              <w:adjustRightInd w:val="0"/>
              <w:jc w:val="center"/>
              <w:rPr>
                <w:rFonts w:ascii="Arial" w:hAnsi="Arial" w:cs="Arial"/>
                <w:b/>
                <w:noProof/>
                <w:sz w:val="18"/>
                <w:szCs w:val="18"/>
              </w:rPr>
            </w:pPr>
            <w:r>
              <w:rPr>
                <w:rFonts w:ascii="Arial" w:hAnsi="Arial" w:cs="Arial"/>
                <w:b/>
                <w:noProof/>
                <w:sz w:val="18"/>
                <w:szCs w:val="18"/>
              </w:rPr>
              <w:t>3</w:t>
            </w:r>
            <w:r w:rsidR="00FF21C0">
              <w:rPr>
                <w:rFonts w:ascii="Arial" w:hAnsi="Arial" w:cs="Arial"/>
                <w:b/>
                <w:noProof/>
                <w:sz w:val="18"/>
                <w:szCs w:val="18"/>
              </w:rPr>
              <w:t>1</w:t>
            </w:r>
            <w:r>
              <w:rPr>
                <w:rFonts w:ascii="Arial" w:hAnsi="Arial" w:cs="Arial"/>
                <w:b/>
                <w:noProof/>
                <w:sz w:val="18"/>
                <w:szCs w:val="18"/>
              </w:rPr>
              <w:t>/</w:t>
            </w:r>
            <w:r w:rsidR="00FF21C0">
              <w:rPr>
                <w:rFonts w:ascii="Arial" w:hAnsi="Arial" w:cs="Arial"/>
                <w:b/>
                <w:noProof/>
                <w:sz w:val="18"/>
                <w:szCs w:val="18"/>
              </w:rPr>
              <w:t>12</w:t>
            </w:r>
            <w:r>
              <w:rPr>
                <w:rFonts w:ascii="Arial" w:hAnsi="Arial" w:cs="Arial"/>
                <w:b/>
                <w:noProof/>
                <w:sz w:val="18"/>
                <w:szCs w:val="18"/>
              </w:rPr>
              <w:t>/2019</w:t>
            </w:r>
          </w:p>
        </w:tc>
        <w:tc>
          <w:tcPr>
            <w:tcW w:w="1275" w:type="dxa"/>
            <w:tcBorders>
              <w:top w:val="single" w:sz="4" w:space="0" w:color="auto"/>
              <w:bottom w:val="single" w:sz="4" w:space="0" w:color="auto"/>
              <w:right w:val="single" w:sz="4" w:space="0" w:color="auto"/>
            </w:tcBorders>
            <w:shd w:val="clear" w:color="auto" w:fill="BFBFBF" w:themeFill="background1" w:themeFillShade="BF"/>
          </w:tcPr>
          <w:p w14:paraId="525DE3EC" w14:textId="77777777" w:rsidR="007B34B2" w:rsidRPr="0066424E" w:rsidRDefault="007B34B2" w:rsidP="00BE5A48">
            <w:pPr>
              <w:widowControl w:val="0"/>
              <w:autoSpaceDE w:val="0"/>
              <w:autoSpaceDN w:val="0"/>
              <w:adjustRightInd w:val="0"/>
              <w:jc w:val="center"/>
              <w:rPr>
                <w:rFonts w:ascii="Arial" w:hAnsi="Arial" w:cs="Arial"/>
                <w:b/>
                <w:noProof/>
                <w:sz w:val="18"/>
                <w:szCs w:val="18"/>
              </w:rPr>
            </w:pPr>
            <w:r w:rsidRPr="0066424E">
              <w:rPr>
                <w:rFonts w:ascii="Arial" w:hAnsi="Arial" w:cs="Arial"/>
                <w:b/>
                <w:noProof/>
                <w:sz w:val="18"/>
                <w:szCs w:val="18"/>
              </w:rPr>
              <w:t>31/12/2018</w:t>
            </w:r>
          </w:p>
        </w:tc>
      </w:tr>
      <w:tr w:rsidR="007B34B2" w14:paraId="7377A91F" w14:textId="77777777" w:rsidTr="00BE5A48">
        <w:tc>
          <w:tcPr>
            <w:tcW w:w="5240" w:type="dxa"/>
            <w:tcBorders>
              <w:top w:val="single" w:sz="4" w:space="0" w:color="auto"/>
            </w:tcBorders>
          </w:tcPr>
          <w:p w14:paraId="7CA094C3" w14:textId="77777777" w:rsidR="007B34B2" w:rsidRPr="00915F29" w:rsidRDefault="007B34B2" w:rsidP="00BE5A48">
            <w:pPr>
              <w:widowControl w:val="0"/>
              <w:autoSpaceDE w:val="0"/>
              <w:autoSpaceDN w:val="0"/>
              <w:adjustRightInd w:val="0"/>
              <w:jc w:val="both"/>
              <w:rPr>
                <w:rFonts w:ascii="Arial" w:hAnsi="Arial" w:cs="Arial"/>
                <w:b/>
                <w:noProof/>
                <w:sz w:val="20"/>
                <w:szCs w:val="18"/>
              </w:rPr>
            </w:pPr>
            <w:r w:rsidRPr="00915F29">
              <w:rPr>
                <w:rFonts w:ascii="Arial" w:hAnsi="Arial" w:cs="Arial"/>
                <w:b/>
                <w:noProof/>
                <w:sz w:val="20"/>
                <w:szCs w:val="18"/>
              </w:rPr>
              <w:t>CARTERA COMERCIAL</w:t>
            </w:r>
          </w:p>
        </w:tc>
        <w:tc>
          <w:tcPr>
            <w:tcW w:w="1276" w:type="dxa"/>
            <w:tcBorders>
              <w:top w:val="single" w:sz="4" w:space="0" w:color="auto"/>
            </w:tcBorders>
          </w:tcPr>
          <w:p w14:paraId="3777F241" w14:textId="77777777" w:rsidR="007B34B2" w:rsidRPr="000436E1" w:rsidRDefault="007B34B2" w:rsidP="00BE5A48">
            <w:pPr>
              <w:widowControl w:val="0"/>
              <w:autoSpaceDE w:val="0"/>
              <w:autoSpaceDN w:val="0"/>
              <w:adjustRightInd w:val="0"/>
              <w:jc w:val="both"/>
              <w:rPr>
                <w:rFonts w:ascii="Arial" w:hAnsi="Arial" w:cs="Arial"/>
                <w:b/>
                <w:noProof/>
                <w:sz w:val="20"/>
                <w:szCs w:val="18"/>
                <w:highlight w:val="yellow"/>
              </w:rPr>
            </w:pPr>
          </w:p>
        </w:tc>
        <w:tc>
          <w:tcPr>
            <w:tcW w:w="1275" w:type="dxa"/>
            <w:tcBorders>
              <w:top w:val="single" w:sz="4" w:space="0" w:color="auto"/>
            </w:tcBorders>
          </w:tcPr>
          <w:p w14:paraId="0F95735E" w14:textId="77777777" w:rsidR="007B34B2" w:rsidRPr="000436E1" w:rsidRDefault="007B34B2" w:rsidP="00BE5A48">
            <w:pPr>
              <w:widowControl w:val="0"/>
              <w:autoSpaceDE w:val="0"/>
              <w:autoSpaceDN w:val="0"/>
              <w:adjustRightInd w:val="0"/>
              <w:jc w:val="both"/>
              <w:rPr>
                <w:rFonts w:ascii="Arial" w:hAnsi="Arial" w:cs="Arial"/>
                <w:b/>
                <w:noProof/>
                <w:sz w:val="20"/>
                <w:szCs w:val="18"/>
                <w:highlight w:val="yellow"/>
              </w:rPr>
            </w:pPr>
          </w:p>
        </w:tc>
      </w:tr>
      <w:tr w:rsidR="007B34B2" w14:paraId="49DB44E0" w14:textId="77777777" w:rsidTr="00BE5A48">
        <w:tc>
          <w:tcPr>
            <w:tcW w:w="5240" w:type="dxa"/>
          </w:tcPr>
          <w:p w14:paraId="50A01182" w14:textId="77777777" w:rsidR="007B34B2" w:rsidRPr="000436E1" w:rsidRDefault="007B34B2" w:rsidP="00BE5A48">
            <w:pPr>
              <w:widowControl w:val="0"/>
              <w:autoSpaceDE w:val="0"/>
              <w:autoSpaceDN w:val="0"/>
              <w:adjustRightInd w:val="0"/>
              <w:jc w:val="both"/>
              <w:rPr>
                <w:rFonts w:ascii="Arial" w:hAnsi="Arial" w:cs="Arial"/>
                <w:noProof/>
                <w:sz w:val="18"/>
                <w:szCs w:val="18"/>
                <w:highlight w:val="yellow"/>
              </w:rPr>
            </w:pPr>
          </w:p>
        </w:tc>
        <w:tc>
          <w:tcPr>
            <w:tcW w:w="1276" w:type="dxa"/>
          </w:tcPr>
          <w:p w14:paraId="27CC7CD3" w14:textId="77777777" w:rsidR="007B34B2" w:rsidRPr="000436E1" w:rsidRDefault="007B34B2" w:rsidP="00BE5A48">
            <w:pPr>
              <w:widowControl w:val="0"/>
              <w:autoSpaceDE w:val="0"/>
              <w:autoSpaceDN w:val="0"/>
              <w:adjustRightInd w:val="0"/>
              <w:jc w:val="both"/>
              <w:rPr>
                <w:rFonts w:ascii="Arial" w:hAnsi="Arial" w:cs="Arial"/>
                <w:noProof/>
                <w:sz w:val="18"/>
                <w:szCs w:val="18"/>
                <w:highlight w:val="yellow"/>
              </w:rPr>
            </w:pPr>
          </w:p>
        </w:tc>
        <w:tc>
          <w:tcPr>
            <w:tcW w:w="1275" w:type="dxa"/>
          </w:tcPr>
          <w:p w14:paraId="6ADD60E6" w14:textId="77777777" w:rsidR="007B34B2" w:rsidRPr="000436E1" w:rsidRDefault="007B34B2" w:rsidP="00BE5A48">
            <w:pPr>
              <w:widowControl w:val="0"/>
              <w:autoSpaceDE w:val="0"/>
              <w:autoSpaceDN w:val="0"/>
              <w:adjustRightInd w:val="0"/>
              <w:jc w:val="both"/>
              <w:rPr>
                <w:rFonts w:ascii="Arial" w:hAnsi="Arial" w:cs="Arial"/>
                <w:noProof/>
                <w:sz w:val="18"/>
                <w:szCs w:val="18"/>
                <w:highlight w:val="yellow"/>
              </w:rPr>
            </w:pPr>
          </w:p>
        </w:tc>
      </w:tr>
      <w:tr w:rsidR="00732299" w:rsidRPr="006269A3" w14:paraId="32F4111D" w14:textId="77777777" w:rsidTr="006265F5">
        <w:trPr>
          <w:trHeight w:val="170"/>
        </w:trPr>
        <w:tc>
          <w:tcPr>
            <w:tcW w:w="5240" w:type="dxa"/>
          </w:tcPr>
          <w:p w14:paraId="7BEE1FCF" w14:textId="77777777" w:rsidR="00732299" w:rsidRPr="006269A3" w:rsidRDefault="00732299" w:rsidP="00732299">
            <w:pPr>
              <w:jc w:val="both"/>
              <w:rPr>
                <w:rFonts w:ascii="Arial" w:hAnsi="Arial" w:cs="Arial"/>
                <w:b/>
                <w:bCs/>
                <w:sz w:val="18"/>
                <w:szCs w:val="18"/>
                <w:lang w:eastAsia="es-AR"/>
              </w:rPr>
            </w:pPr>
            <w:r w:rsidRPr="006269A3">
              <w:rPr>
                <w:rFonts w:ascii="Arial" w:hAnsi="Arial" w:cs="Arial"/>
                <w:b/>
                <w:bCs/>
                <w:sz w:val="18"/>
                <w:szCs w:val="18"/>
              </w:rPr>
              <w:t>En situación normal</w:t>
            </w:r>
          </w:p>
        </w:tc>
        <w:tc>
          <w:tcPr>
            <w:tcW w:w="1276" w:type="dxa"/>
            <w:tcBorders>
              <w:bottom w:val="single" w:sz="4" w:space="0" w:color="auto"/>
            </w:tcBorders>
            <w:vAlign w:val="bottom"/>
          </w:tcPr>
          <w:p w14:paraId="7947519D" w14:textId="69D4162D"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42.549.473</w:t>
            </w:r>
          </w:p>
        </w:tc>
        <w:tc>
          <w:tcPr>
            <w:tcW w:w="1275" w:type="dxa"/>
            <w:tcBorders>
              <w:bottom w:val="single" w:sz="4" w:space="0" w:color="auto"/>
            </w:tcBorders>
            <w:vAlign w:val="bottom"/>
          </w:tcPr>
          <w:p w14:paraId="4012F955" w14:textId="2F40CE49"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b/>
                <w:bCs/>
                <w:color w:val="000000"/>
                <w:sz w:val="18"/>
                <w:szCs w:val="18"/>
              </w:rPr>
              <w:t xml:space="preserve">42.758.041 </w:t>
            </w:r>
          </w:p>
        </w:tc>
      </w:tr>
      <w:tr w:rsidR="00732299" w:rsidRPr="006269A3" w14:paraId="5A857A7C" w14:textId="77777777" w:rsidTr="006265F5">
        <w:trPr>
          <w:trHeight w:val="170"/>
        </w:trPr>
        <w:tc>
          <w:tcPr>
            <w:tcW w:w="5240" w:type="dxa"/>
          </w:tcPr>
          <w:p w14:paraId="58415A34"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5E2E6078" w14:textId="0863B210"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2.122.022</w:t>
            </w:r>
          </w:p>
        </w:tc>
        <w:tc>
          <w:tcPr>
            <w:tcW w:w="1275" w:type="dxa"/>
            <w:tcBorders>
              <w:top w:val="single" w:sz="4" w:space="0" w:color="auto"/>
            </w:tcBorders>
            <w:vAlign w:val="bottom"/>
          </w:tcPr>
          <w:p w14:paraId="3437C4CB" w14:textId="1DD5650E"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3.131.880 </w:t>
            </w:r>
          </w:p>
        </w:tc>
      </w:tr>
      <w:tr w:rsidR="00732299" w:rsidRPr="006269A3" w14:paraId="18820497" w14:textId="77777777" w:rsidTr="006265F5">
        <w:trPr>
          <w:trHeight w:val="170"/>
        </w:trPr>
        <w:tc>
          <w:tcPr>
            <w:tcW w:w="5240" w:type="dxa"/>
          </w:tcPr>
          <w:p w14:paraId="4DB8BF9D" w14:textId="2C25F491"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439BB856" w14:textId="73B2D0FF"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8.705.776</w:t>
            </w:r>
          </w:p>
        </w:tc>
        <w:tc>
          <w:tcPr>
            <w:tcW w:w="1275" w:type="dxa"/>
            <w:vAlign w:val="bottom"/>
          </w:tcPr>
          <w:p w14:paraId="47FB8DF6" w14:textId="76661DC8"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7.174.967 </w:t>
            </w:r>
          </w:p>
        </w:tc>
      </w:tr>
      <w:tr w:rsidR="00732299" w:rsidRPr="006269A3" w14:paraId="0E139156" w14:textId="77777777" w:rsidTr="006265F5">
        <w:trPr>
          <w:trHeight w:val="170"/>
        </w:trPr>
        <w:tc>
          <w:tcPr>
            <w:tcW w:w="5240" w:type="dxa"/>
          </w:tcPr>
          <w:p w14:paraId="4EF6CFC0"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6D8CC9BF" w14:textId="2E08C7E4"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31.721.675</w:t>
            </w:r>
          </w:p>
        </w:tc>
        <w:tc>
          <w:tcPr>
            <w:tcW w:w="1275" w:type="dxa"/>
            <w:vAlign w:val="bottom"/>
          </w:tcPr>
          <w:p w14:paraId="4D248BCA" w14:textId="5577DA88"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32.451.194 </w:t>
            </w:r>
          </w:p>
        </w:tc>
      </w:tr>
      <w:tr w:rsidR="00962DA2" w:rsidRPr="006269A3" w14:paraId="4A90B6C4" w14:textId="77777777" w:rsidTr="006265F5">
        <w:trPr>
          <w:trHeight w:val="170"/>
        </w:trPr>
        <w:tc>
          <w:tcPr>
            <w:tcW w:w="5240" w:type="dxa"/>
          </w:tcPr>
          <w:p w14:paraId="1FBB58A0" w14:textId="77777777" w:rsidR="00962DA2" w:rsidRPr="006269A3" w:rsidRDefault="00962DA2" w:rsidP="00BE5A48">
            <w:pPr>
              <w:ind w:firstLineChars="200" w:firstLine="360"/>
              <w:jc w:val="both"/>
              <w:rPr>
                <w:rFonts w:ascii="Arial" w:hAnsi="Arial" w:cs="Arial"/>
                <w:sz w:val="18"/>
                <w:szCs w:val="18"/>
              </w:rPr>
            </w:pPr>
          </w:p>
        </w:tc>
        <w:tc>
          <w:tcPr>
            <w:tcW w:w="1276" w:type="dxa"/>
            <w:vAlign w:val="bottom"/>
          </w:tcPr>
          <w:p w14:paraId="7143B76E" w14:textId="68038091"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4DE0F7D6" w14:textId="20BD89A8"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w:t>
            </w:r>
          </w:p>
        </w:tc>
      </w:tr>
      <w:tr w:rsidR="00962DA2" w:rsidRPr="006269A3" w14:paraId="6047F90B" w14:textId="77777777" w:rsidTr="006265F5">
        <w:trPr>
          <w:trHeight w:val="170"/>
        </w:trPr>
        <w:tc>
          <w:tcPr>
            <w:tcW w:w="5240" w:type="dxa"/>
          </w:tcPr>
          <w:p w14:paraId="2CC057DE" w14:textId="77777777" w:rsidR="00962DA2" w:rsidRPr="006269A3" w:rsidRDefault="00962DA2" w:rsidP="00BE5A48">
            <w:pPr>
              <w:jc w:val="both"/>
              <w:rPr>
                <w:rFonts w:ascii="Arial" w:hAnsi="Arial" w:cs="Arial"/>
                <w:b/>
                <w:bCs/>
                <w:sz w:val="18"/>
                <w:szCs w:val="18"/>
                <w:lang w:eastAsia="es-AR"/>
              </w:rPr>
            </w:pPr>
            <w:r w:rsidRPr="006269A3">
              <w:rPr>
                <w:rFonts w:ascii="Arial" w:hAnsi="Arial" w:cs="Arial"/>
                <w:b/>
                <w:bCs/>
                <w:sz w:val="18"/>
                <w:szCs w:val="18"/>
              </w:rPr>
              <w:t>Con seguimiento especial</w:t>
            </w:r>
          </w:p>
        </w:tc>
        <w:tc>
          <w:tcPr>
            <w:tcW w:w="1276" w:type="dxa"/>
            <w:vAlign w:val="bottom"/>
          </w:tcPr>
          <w:p w14:paraId="69F7B13E" w14:textId="6B47E6F6" w:rsidR="00962DA2" w:rsidRPr="00EE63C4"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5E57904E" w14:textId="407449B4"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962DA2" w:rsidRPr="006269A3" w14:paraId="62C02476" w14:textId="77777777" w:rsidTr="006265F5">
        <w:trPr>
          <w:trHeight w:val="170"/>
        </w:trPr>
        <w:tc>
          <w:tcPr>
            <w:tcW w:w="5240" w:type="dxa"/>
          </w:tcPr>
          <w:p w14:paraId="442A0CBD" w14:textId="77777777" w:rsidR="00962DA2" w:rsidRPr="006269A3" w:rsidRDefault="00962DA2" w:rsidP="00BE5A48">
            <w:pPr>
              <w:jc w:val="both"/>
              <w:rPr>
                <w:rFonts w:ascii="Arial" w:hAnsi="Arial" w:cs="Arial"/>
                <w:b/>
                <w:bCs/>
                <w:sz w:val="18"/>
                <w:szCs w:val="18"/>
              </w:rPr>
            </w:pPr>
          </w:p>
        </w:tc>
        <w:tc>
          <w:tcPr>
            <w:tcW w:w="1276" w:type="dxa"/>
            <w:vAlign w:val="bottom"/>
          </w:tcPr>
          <w:p w14:paraId="1C377E29" w14:textId="5B6600EA" w:rsidR="00962DA2" w:rsidRPr="00EE63C4"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17EFBA06" w14:textId="520A2FCE"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b/>
                <w:bCs/>
                <w:color w:val="000000"/>
                <w:sz w:val="18"/>
                <w:szCs w:val="18"/>
              </w:rPr>
              <w:t> </w:t>
            </w:r>
          </w:p>
        </w:tc>
      </w:tr>
      <w:tr w:rsidR="00732299" w:rsidRPr="006269A3" w14:paraId="1D77D5D2" w14:textId="77777777" w:rsidTr="006265F5">
        <w:trPr>
          <w:trHeight w:val="170"/>
        </w:trPr>
        <w:tc>
          <w:tcPr>
            <w:tcW w:w="5240" w:type="dxa"/>
          </w:tcPr>
          <w:p w14:paraId="0043AA1F" w14:textId="77777777" w:rsidR="00732299" w:rsidRPr="006269A3" w:rsidRDefault="00732299" w:rsidP="00732299">
            <w:pPr>
              <w:ind w:firstLineChars="100" w:firstLine="181"/>
              <w:jc w:val="both"/>
              <w:rPr>
                <w:rFonts w:ascii="Arial" w:hAnsi="Arial" w:cs="Arial"/>
                <w:b/>
                <w:bCs/>
                <w:sz w:val="18"/>
                <w:szCs w:val="18"/>
                <w:lang w:eastAsia="es-AR"/>
              </w:rPr>
            </w:pPr>
            <w:r w:rsidRPr="006269A3">
              <w:rPr>
                <w:rFonts w:ascii="Arial" w:hAnsi="Arial" w:cs="Arial"/>
                <w:b/>
                <w:bCs/>
                <w:sz w:val="18"/>
                <w:szCs w:val="18"/>
              </w:rPr>
              <w:t>En observación</w:t>
            </w:r>
          </w:p>
        </w:tc>
        <w:tc>
          <w:tcPr>
            <w:tcW w:w="1276" w:type="dxa"/>
            <w:tcBorders>
              <w:bottom w:val="single" w:sz="4" w:space="0" w:color="auto"/>
            </w:tcBorders>
            <w:vAlign w:val="bottom"/>
          </w:tcPr>
          <w:p w14:paraId="3EE22647" w14:textId="66C24154"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243.293</w:t>
            </w:r>
          </w:p>
        </w:tc>
        <w:tc>
          <w:tcPr>
            <w:tcW w:w="1275" w:type="dxa"/>
            <w:tcBorders>
              <w:bottom w:val="single" w:sz="4" w:space="0" w:color="auto"/>
            </w:tcBorders>
            <w:vAlign w:val="bottom"/>
          </w:tcPr>
          <w:p w14:paraId="04E3426C" w14:textId="76C2AC37"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b/>
                <w:bCs/>
                <w:color w:val="000000"/>
                <w:sz w:val="18"/>
                <w:szCs w:val="18"/>
              </w:rPr>
              <w:t xml:space="preserve">157.615 </w:t>
            </w:r>
          </w:p>
        </w:tc>
      </w:tr>
      <w:tr w:rsidR="00732299" w:rsidRPr="006269A3" w14:paraId="08EF5357" w14:textId="77777777" w:rsidTr="006265F5">
        <w:trPr>
          <w:trHeight w:val="170"/>
        </w:trPr>
        <w:tc>
          <w:tcPr>
            <w:tcW w:w="5240" w:type="dxa"/>
          </w:tcPr>
          <w:p w14:paraId="19528FB1"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0F5F27D6" w14:textId="45512389"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10.680</w:t>
            </w:r>
          </w:p>
        </w:tc>
        <w:tc>
          <w:tcPr>
            <w:tcW w:w="1275" w:type="dxa"/>
            <w:tcBorders>
              <w:top w:val="single" w:sz="4" w:space="0" w:color="auto"/>
            </w:tcBorders>
            <w:vAlign w:val="bottom"/>
          </w:tcPr>
          <w:p w14:paraId="5087E880" w14:textId="61C691FF"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5.397 </w:t>
            </w:r>
          </w:p>
        </w:tc>
      </w:tr>
      <w:tr w:rsidR="00732299" w:rsidRPr="006269A3" w14:paraId="1C898D7D" w14:textId="77777777" w:rsidTr="006265F5">
        <w:trPr>
          <w:trHeight w:val="170"/>
        </w:trPr>
        <w:tc>
          <w:tcPr>
            <w:tcW w:w="5240" w:type="dxa"/>
          </w:tcPr>
          <w:p w14:paraId="605CE61A" w14:textId="4724379E"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66F467CF" w14:textId="54CD0773"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137.628</w:t>
            </w:r>
          </w:p>
        </w:tc>
        <w:tc>
          <w:tcPr>
            <w:tcW w:w="1275" w:type="dxa"/>
            <w:vAlign w:val="bottom"/>
          </w:tcPr>
          <w:p w14:paraId="493F4D69" w14:textId="203CC942"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3.785 </w:t>
            </w:r>
          </w:p>
        </w:tc>
      </w:tr>
      <w:tr w:rsidR="00732299" w:rsidRPr="006269A3" w14:paraId="3E189B0D" w14:textId="77777777" w:rsidTr="006265F5">
        <w:trPr>
          <w:trHeight w:val="170"/>
        </w:trPr>
        <w:tc>
          <w:tcPr>
            <w:tcW w:w="5240" w:type="dxa"/>
          </w:tcPr>
          <w:p w14:paraId="6405ADCE"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48E996EB" w14:textId="58A3A7F5"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94.985</w:t>
            </w:r>
          </w:p>
        </w:tc>
        <w:tc>
          <w:tcPr>
            <w:tcW w:w="1275" w:type="dxa"/>
            <w:vAlign w:val="bottom"/>
          </w:tcPr>
          <w:p w14:paraId="444FA277" w14:textId="775F9755"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148.433 </w:t>
            </w:r>
          </w:p>
        </w:tc>
      </w:tr>
      <w:tr w:rsidR="001B4F5C" w:rsidRPr="006269A3" w14:paraId="1F4E1F6E" w14:textId="77777777" w:rsidTr="006265F5">
        <w:trPr>
          <w:trHeight w:val="170"/>
        </w:trPr>
        <w:tc>
          <w:tcPr>
            <w:tcW w:w="5240" w:type="dxa"/>
          </w:tcPr>
          <w:p w14:paraId="64463281" w14:textId="77777777" w:rsidR="001B4F5C" w:rsidRPr="006269A3" w:rsidRDefault="001B4F5C" w:rsidP="00BE5A48">
            <w:pPr>
              <w:ind w:firstLineChars="200" w:firstLine="360"/>
              <w:jc w:val="both"/>
              <w:rPr>
                <w:rFonts w:ascii="Arial" w:hAnsi="Arial" w:cs="Arial"/>
                <w:sz w:val="18"/>
                <w:szCs w:val="18"/>
              </w:rPr>
            </w:pPr>
          </w:p>
        </w:tc>
        <w:tc>
          <w:tcPr>
            <w:tcW w:w="1276" w:type="dxa"/>
            <w:vAlign w:val="bottom"/>
          </w:tcPr>
          <w:p w14:paraId="740C7360" w14:textId="77777777" w:rsidR="001B4F5C" w:rsidRPr="00EE63C4" w:rsidRDefault="001B4F5C" w:rsidP="00962DA2">
            <w:pPr>
              <w:widowControl w:val="0"/>
              <w:autoSpaceDE w:val="0"/>
              <w:autoSpaceDN w:val="0"/>
              <w:adjustRightInd w:val="0"/>
              <w:jc w:val="right"/>
              <w:rPr>
                <w:rFonts w:ascii="Arial" w:hAnsi="Arial" w:cs="Arial"/>
                <w:color w:val="000000"/>
                <w:sz w:val="18"/>
                <w:szCs w:val="18"/>
              </w:rPr>
            </w:pPr>
          </w:p>
        </w:tc>
        <w:tc>
          <w:tcPr>
            <w:tcW w:w="1275" w:type="dxa"/>
            <w:vAlign w:val="bottom"/>
          </w:tcPr>
          <w:p w14:paraId="1CB322E3" w14:textId="77777777" w:rsidR="001B4F5C" w:rsidRPr="00962DA2" w:rsidRDefault="001B4F5C" w:rsidP="00962DA2">
            <w:pPr>
              <w:widowControl w:val="0"/>
              <w:autoSpaceDE w:val="0"/>
              <w:autoSpaceDN w:val="0"/>
              <w:adjustRightInd w:val="0"/>
              <w:jc w:val="right"/>
              <w:rPr>
                <w:rFonts w:ascii="Arial" w:hAnsi="Arial" w:cs="Arial"/>
                <w:color w:val="000000"/>
                <w:sz w:val="18"/>
                <w:szCs w:val="18"/>
              </w:rPr>
            </w:pPr>
          </w:p>
        </w:tc>
      </w:tr>
      <w:tr w:rsidR="00962DA2" w:rsidRPr="006269A3" w14:paraId="438C5CF4" w14:textId="77777777" w:rsidTr="006265F5">
        <w:trPr>
          <w:trHeight w:val="170"/>
        </w:trPr>
        <w:tc>
          <w:tcPr>
            <w:tcW w:w="5240" w:type="dxa"/>
          </w:tcPr>
          <w:p w14:paraId="51012A2C" w14:textId="77777777" w:rsidR="00962DA2" w:rsidRPr="006269A3" w:rsidRDefault="00962DA2" w:rsidP="00BE5A48">
            <w:pPr>
              <w:ind w:firstLineChars="100" w:firstLine="181"/>
              <w:jc w:val="both"/>
              <w:rPr>
                <w:rFonts w:ascii="Arial" w:hAnsi="Arial" w:cs="Arial"/>
                <w:b/>
                <w:bCs/>
                <w:sz w:val="18"/>
                <w:szCs w:val="18"/>
                <w:lang w:eastAsia="es-AR"/>
              </w:rPr>
            </w:pPr>
            <w:r w:rsidRPr="006269A3">
              <w:rPr>
                <w:rFonts w:ascii="Arial" w:hAnsi="Arial" w:cs="Arial"/>
                <w:b/>
                <w:bCs/>
                <w:sz w:val="18"/>
                <w:szCs w:val="18"/>
              </w:rPr>
              <w:t>En negociación o con acuerdos de refinanciación</w:t>
            </w:r>
          </w:p>
        </w:tc>
        <w:tc>
          <w:tcPr>
            <w:tcW w:w="1276" w:type="dxa"/>
            <w:tcBorders>
              <w:bottom w:val="single" w:sz="4" w:space="0" w:color="auto"/>
            </w:tcBorders>
            <w:vAlign w:val="bottom"/>
          </w:tcPr>
          <w:p w14:paraId="34BBBBC4" w14:textId="3CC3BB4A" w:rsidR="00962DA2" w:rsidRPr="002266D4" w:rsidRDefault="00D22031" w:rsidP="00962DA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tcBorders>
              <w:bottom w:val="single" w:sz="4" w:space="0" w:color="auto"/>
            </w:tcBorders>
            <w:vAlign w:val="bottom"/>
          </w:tcPr>
          <w:p w14:paraId="211F299E" w14:textId="2FB29A1F" w:rsidR="00962DA2" w:rsidRPr="001B4F5C" w:rsidRDefault="00962DA2" w:rsidP="00962DA2">
            <w:pPr>
              <w:widowControl w:val="0"/>
              <w:autoSpaceDE w:val="0"/>
              <w:autoSpaceDN w:val="0"/>
              <w:adjustRightInd w:val="0"/>
              <w:jc w:val="right"/>
              <w:rPr>
                <w:rFonts w:ascii="Arial" w:hAnsi="Arial" w:cs="Arial"/>
                <w:noProof/>
                <w:sz w:val="18"/>
                <w:szCs w:val="18"/>
              </w:rPr>
            </w:pPr>
            <w:r w:rsidRPr="001B4F5C">
              <w:rPr>
                <w:rFonts w:ascii="Arial" w:hAnsi="Arial" w:cs="Arial"/>
                <w:noProof/>
                <w:sz w:val="18"/>
                <w:szCs w:val="18"/>
              </w:rPr>
              <w:t>-</w:t>
            </w:r>
          </w:p>
        </w:tc>
      </w:tr>
      <w:tr w:rsidR="00962DA2" w:rsidRPr="006269A3" w14:paraId="5B7C7818" w14:textId="77777777" w:rsidTr="006265F5">
        <w:trPr>
          <w:trHeight w:val="170"/>
        </w:trPr>
        <w:tc>
          <w:tcPr>
            <w:tcW w:w="5240" w:type="dxa"/>
          </w:tcPr>
          <w:p w14:paraId="7AD6CC36" w14:textId="77777777" w:rsidR="00962DA2" w:rsidRPr="006269A3" w:rsidRDefault="00962DA2" w:rsidP="00BE5A48">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1D653013" w14:textId="3BF4E57E" w:rsidR="00962DA2" w:rsidRPr="002266D4" w:rsidRDefault="00D22031" w:rsidP="00962DA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tcBorders>
              <w:top w:val="single" w:sz="4" w:space="0" w:color="auto"/>
            </w:tcBorders>
            <w:vAlign w:val="bottom"/>
          </w:tcPr>
          <w:p w14:paraId="4DF21780" w14:textId="3759F97B"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b/>
                <w:bCs/>
                <w:sz w:val="18"/>
                <w:szCs w:val="18"/>
              </w:rPr>
              <w:t xml:space="preserve">- </w:t>
            </w:r>
          </w:p>
        </w:tc>
      </w:tr>
      <w:tr w:rsidR="00962DA2" w:rsidRPr="006269A3" w14:paraId="474272F0" w14:textId="77777777" w:rsidTr="006265F5">
        <w:trPr>
          <w:trHeight w:val="170"/>
        </w:trPr>
        <w:tc>
          <w:tcPr>
            <w:tcW w:w="5240" w:type="dxa"/>
          </w:tcPr>
          <w:p w14:paraId="51180E74" w14:textId="5376732D" w:rsidR="00962DA2" w:rsidRPr="006269A3" w:rsidRDefault="00962DA2" w:rsidP="00BE5A48">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22EF5AE6" w14:textId="3D14E3EC" w:rsidR="00962DA2" w:rsidRPr="002266D4" w:rsidRDefault="00D22031" w:rsidP="00962DA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vAlign w:val="bottom"/>
          </w:tcPr>
          <w:p w14:paraId="537EEC77" w14:textId="452B9DE4"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 </w:t>
            </w:r>
          </w:p>
        </w:tc>
      </w:tr>
      <w:tr w:rsidR="00962DA2" w:rsidRPr="006269A3" w14:paraId="59DA4C23" w14:textId="77777777" w:rsidTr="006265F5">
        <w:trPr>
          <w:trHeight w:val="170"/>
        </w:trPr>
        <w:tc>
          <w:tcPr>
            <w:tcW w:w="5240" w:type="dxa"/>
          </w:tcPr>
          <w:p w14:paraId="5B4035A1" w14:textId="77777777" w:rsidR="00962DA2" w:rsidRPr="006269A3" w:rsidRDefault="00962DA2" w:rsidP="00BE5A48">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49565687" w14:textId="6578A3B5" w:rsidR="00962DA2" w:rsidRPr="002266D4" w:rsidRDefault="00D22031" w:rsidP="00962DA2">
            <w:pPr>
              <w:widowControl w:val="0"/>
              <w:autoSpaceDE w:val="0"/>
              <w:autoSpaceDN w:val="0"/>
              <w:adjustRightInd w:val="0"/>
              <w:jc w:val="right"/>
              <w:rPr>
                <w:rFonts w:ascii="Arial" w:hAnsi="Arial" w:cs="Arial"/>
                <w:noProof/>
                <w:sz w:val="18"/>
                <w:szCs w:val="18"/>
              </w:rPr>
            </w:pPr>
            <w:r>
              <w:rPr>
                <w:rFonts w:ascii="Arial" w:hAnsi="Arial" w:cs="Arial"/>
                <w:noProof/>
                <w:sz w:val="18"/>
                <w:szCs w:val="18"/>
              </w:rPr>
              <w:t>-</w:t>
            </w:r>
          </w:p>
        </w:tc>
        <w:tc>
          <w:tcPr>
            <w:tcW w:w="1275" w:type="dxa"/>
            <w:vAlign w:val="bottom"/>
          </w:tcPr>
          <w:p w14:paraId="1042483F" w14:textId="78849846" w:rsidR="00962DA2" w:rsidRPr="001B4F5C" w:rsidRDefault="001B4F5C" w:rsidP="00962DA2">
            <w:pPr>
              <w:widowControl w:val="0"/>
              <w:autoSpaceDE w:val="0"/>
              <w:autoSpaceDN w:val="0"/>
              <w:adjustRightInd w:val="0"/>
              <w:jc w:val="right"/>
              <w:rPr>
                <w:rFonts w:ascii="Arial" w:hAnsi="Arial" w:cs="Arial"/>
                <w:noProof/>
                <w:sz w:val="18"/>
                <w:szCs w:val="18"/>
              </w:rPr>
            </w:pPr>
            <w:r w:rsidRPr="001B4F5C">
              <w:rPr>
                <w:rFonts w:ascii="Arial" w:hAnsi="Arial" w:cs="Arial"/>
                <w:sz w:val="18"/>
                <w:szCs w:val="18"/>
              </w:rPr>
              <w:t>-</w:t>
            </w:r>
            <w:r w:rsidR="00962DA2" w:rsidRPr="001B4F5C">
              <w:rPr>
                <w:rFonts w:ascii="Arial" w:hAnsi="Arial" w:cs="Arial"/>
                <w:sz w:val="18"/>
                <w:szCs w:val="18"/>
              </w:rPr>
              <w:t xml:space="preserve"> </w:t>
            </w:r>
          </w:p>
        </w:tc>
      </w:tr>
      <w:tr w:rsidR="00962DA2" w:rsidRPr="006269A3" w14:paraId="2E838B85" w14:textId="77777777" w:rsidTr="006265F5">
        <w:trPr>
          <w:trHeight w:val="170"/>
        </w:trPr>
        <w:tc>
          <w:tcPr>
            <w:tcW w:w="5240" w:type="dxa"/>
          </w:tcPr>
          <w:p w14:paraId="26A7BDD9" w14:textId="77777777" w:rsidR="00962DA2" w:rsidRPr="006269A3" w:rsidRDefault="00962DA2" w:rsidP="00BE5A48">
            <w:pPr>
              <w:jc w:val="both"/>
              <w:rPr>
                <w:rFonts w:ascii="Arial" w:hAnsi="Arial" w:cs="Arial"/>
                <w:b/>
                <w:bCs/>
                <w:sz w:val="18"/>
                <w:szCs w:val="18"/>
              </w:rPr>
            </w:pPr>
          </w:p>
        </w:tc>
        <w:tc>
          <w:tcPr>
            <w:tcW w:w="1276" w:type="dxa"/>
            <w:vAlign w:val="bottom"/>
          </w:tcPr>
          <w:p w14:paraId="0C2AED3A" w14:textId="793C430E" w:rsidR="00962DA2" w:rsidRPr="00EE63C4" w:rsidRDefault="00962DA2" w:rsidP="00962DA2">
            <w:pPr>
              <w:widowControl w:val="0"/>
              <w:autoSpaceDE w:val="0"/>
              <w:autoSpaceDN w:val="0"/>
              <w:adjustRightInd w:val="0"/>
              <w:jc w:val="right"/>
              <w:rPr>
                <w:rFonts w:ascii="Arial" w:hAnsi="Arial" w:cs="Arial"/>
                <w:noProof/>
                <w:sz w:val="18"/>
                <w:szCs w:val="18"/>
              </w:rPr>
            </w:pPr>
          </w:p>
        </w:tc>
        <w:tc>
          <w:tcPr>
            <w:tcW w:w="1275" w:type="dxa"/>
            <w:vAlign w:val="bottom"/>
          </w:tcPr>
          <w:p w14:paraId="65DB70CE" w14:textId="17E56D12" w:rsidR="00962DA2" w:rsidRPr="001B4F5C" w:rsidRDefault="00962DA2" w:rsidP="00962DA2">
            <w:pPr>
              <w:widowControl w:val="0"/>
              <w:autoSpaceDE w:val="0"/>
              <w:autoSpaceDN w:val="0"/>
              <w:adjustRightInd w:val="0"/>
              <w:jc w:val="right"/>
              <w:rPr>
                <w:rFonts w:ascii="Arial" w:hAnsi="Arial" w:cs="Arial"/>
                <w:noProof/>
                <w:sz w:val="18"/>
                <w:szCs w:val="18"/>
              </w:rPr>
            </w:pPr>
          </w:p>
        </w:tc>
      </w:tr>
      <w:tr w:rsidR="00732299" w:rsidRPr="006269A3" w14:paraId="27019185" w14:textId="77777777" w:rsidTr="006265F5">
        <w:trPr>
          <w:trHeight w:val="170"/>
        </w:trPr>
        <w:tc>
          <w:tcPr>
            <w:tcW w:w="5240" w:type="dxa"/>
          </w:tcPr>
          <w:p w14:paraId="078C2A63" w14:textId="77777777" w:rsidR="00732299" w:rsidRPr="006269A3" w:rsidRDefault="00732299" w:rsidP="00732299">
            <w:pPr>
              <w:jc w:val="both"/>
              <w:rPr>
                <w:rFonts w:ascii="Arial" w:hAnsi="Arial" w:cs="Arial"/>
                <w:b/>
                <w:bCs/>
                <w:sz w:val="18"/>
                <w:szCs w:val="18"/>
                <w:lang w:eastAsia="es-AR"/>
              </w:rPr>
            </w:pPr>
            <w:r w:rsidRPr="006269A3">
              <w:rPr>
                <w:rFonts w:ascii="Arial" w:hAnsi="Arial" w:cs="Arial"/>
                <w:b/>
                <w:bCs/>
                <w:sz w:val="18"/>
                <w:szCs w:val="18"/>
              </w:rPr>
              <w:t>Con problemas</w:t>
            </w:r>
          </w:p>
        </w:tc>
        <w:tc>
          <w:tcPr>
            <w:tcW w:w="1276" w:type="dxa"/>
            <w:tcBorders>
              <w:bottom w:val="single" w:sz="4" w:space="0" w:color="auto"/>
            </w:tcBorders>
            <w:vAlign w:val="bottom"/>
          </w:tcPr>
          <w:p w14:paraId="2742CCDE" w14:textId="510D0865"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99.951</w:t>
            </w:r>
          </w:p>
        </w:tc>
        <w:tc>
          <w:tcPr>
            <w:tcW w:w="1275" w:type="dxa"/>
            <w:tcBorders>
              <w:bottom w:val="single" w:sz="4" w:space="0" w:color="auto"/>
            </w:tcBorders>
            <w:vAlign w:val="bottom"/>
          </w:tcPr>
          <w:p w14:paraId="48BA1D44" w14:textId="2D7F86AA"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b/>
                <w:bCs/>
                <w:color w:val="000000"/>
                <w:sz w:val="18"/>
                <w:szCs w:val="18"/>
              </w:rPr>
              <w:t xml:space="preserve">31.778 </w:t>
            </w:r>
          </w:p>
        </w:tc>
      </w:tr>
      <w:tr w:rsidR="00732299" w:rsidRPr="006269A3" w14:paraId="26E41038" w14:textId="77777777" w:rsidTr="006265F5">
        <w:trPr>
          <w:trHeight w:val="170"/>
        </w:trPr>
        <w:tc>
          <w:tcPr>
            <w:tcW w:w="5240" w:type="dxa"/>
          </w:tcPr>
          <w:p w14:paraId="023870AA"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4A46D8F6" w14:textId="7C07F9E2"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6.132</w:t>
            </w:r>
          </w:p>
        </w:tc>
        <w:tc>
          <w:tcPr>
            <w:tcW w:w="1275" w:type="dxa"/>
            <w:tcBorders>
              <w:top w:val="single" w:sz="4" w:space="0" w:color="auto"/>
            </w:tcBorders>
            <w:vAlign w:val="bottom"/>
          </w:tcPr>
          <w:p w14:paraId="1AFE3FD8" w14:textId="29B2ADB6"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2.387 </w:t>
            </w:r>
          </w:p>
        </w:tc>
      </w:tr>
      <w:tr w:rsidR="00732299" w:rsidRPr="006269A3" w14:paraId="4BEEE095" w14:textId="77777777" w:rsidTr="006265F5">
        <w:trPr>
          <w:trHeight w:val="170"/>
        </w:trPr>
        <w:tc>
          <w:tcPr>
            <w:tcW w:w="5240" w:type="dxa"/>
          </w:tcPr>
          <w:p w14:paraId="164F0A84" w14:textId="059B0918"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"B"</w:t>
            </w:r>
          </w:p>
        </w:tc>
        <w:tc>
          <w:tcPr>
            <w:tcW w:w="1276" w:type="dxa"/>
            <w:vAlign w:val="bottom"/>
          </w:tcPr>
          <w:p w14:paraId="71531915" w14:textId="590A4238"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37.724</w:t>
            </w:r>
          </w:p>
        </w:tc>
        <w:tc>
          <w:tcPr>
            <w:tcW w:w="1275" w:type="dxa"/>
            <w:vAlign w:val="bottom"/>
          </w:tcPr>
          <w:p w14:paraId="1BF61E23" w14:textId="034C2F5B"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10.780 </w:t>
            </w:r>
          </w:p>
        </w:tc>
      </w:tr>
      <w:tr w:rsidR="00732299" w:rsidRPr="006269A3" w14:paraId="544CBF07" w14:textId="77777777" w:rsidTr="006265F5">
        <w:trPr>
          <w:trHeight w:val="170"/>
        </w:trPr>
        <w:tc>
          <w:tcPr>
            <w:tcW w:w="5240" w:type="dxa"/>
          </w:tcPr>
          <w:p w14:paraId="262A92FD"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4A55CC1A" w14:textId="799B4691"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56.095</w:t>
            </w:r>
          </w:p>
        </w:tc>
        <w:tc>
          <w:tcPr>
            <w:tcW w:w="1275" w:type="dxa"/>
            <w:vAlign w:val="bottom"/>
          </w:tcPr>
          <w:p w14:paraId="5883D344" w14:textId="303BEF43"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18.611 </w:t>
            </w:r>
          </w:p>
        </w:tc>
      </w:tr>
      <w:tr w:rsidR="00962DA2" w:rsidRPr="006269A3" w14:paraId="76579C98" w14:textId="77777777" w:rsidTr="006265F5">
        <w:trPr>
          <w:trHeight w:val="170"/>
        </w:trPr>
        <w:tc>
          <w:tcPr>
            <w:tcW w:w="5240" w:type="dxa"/>
          </w:tcPr>
          <w:p w14:paraId="1F495BE4" w14:textId="77777777" w:rsidR="00962DA2" w:rsidRPr="006269A3" w:rsidRDefault="00962DA2" w:rsidP="00BE5A48">
            <w:pPr>
              <w:jc w:val="both"/>
              <w:rPr>
                <w:rFonts w:ascii="Arial" w:hAnsi="Arial" w:cs="Arial"/>
                <w:b/>
                <w:bCs/>
                <w:sz w:val="18"/>
                <w:szCs w:val="18"/>
              </w:rPr>
            </w:pPr>
          </w:p>
        </w:tc>
        <w:tc>
          <w:tcPr>
            <w:tcW w:w="1276" w:type="dxa"/>
            <w:vAlign w:val="bottom"/>
          </w:tcPr>
          <w:p w14:paraId="5C570654" w14:textId="44DE527D" w:rsidR="00962DA2" w:rsidRPr="00EE63C4"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119AAFD1" w14:textId="0656A400"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732299" w:rsidRPr="006269A3" w14:paraId="34451C3C" w14:textId="77777777" w:rsidTr="006265F5">
        <w:trPr>
          <w:trHeight w:val="170"/>
        </w:trPr>
        <w:tc>
          <w:tcPr>
            <w:tcW w:w="5240" w:type="dxa"/>
          </w:tcPr>
          <w:p w14:paraId="1A1F71DA" w14:textId="77777777" w:rsidR="00732299" w:rsidRPr="006269A3" w:rsidRDefault="00732299" w:rsidP="00732299">
            <w:pPr>
              <w:jc w:val="both"/>
              <w:rPr>
                <w:rFonts w:ascii="Arial" w:hAnsi="Arial" w:cs="Arial"/>
                <w:b/>
                <w:bCs/>
                <w:sz w:val="18"/>
                <w:szCs w:val="18"/>
                <w:lang w:eastAsia="es-AR"/>
              </w:rPr>
            </w:pPr>
            <w:r w:rsidRPr="006269A3">
              <w:rPr>
                <w:rFonts w:ascii="Arial" w:hAnsi="Arial" w:cs="Arial"/>
                <w:b/>
                <w:bCs/>
                <w:sz w:val="18"/>
                <w:szCs w:val="18"/>
              </w:rPr>
              <w:t>Con alto riesgo de insolvencia</w:t>
            </w:r>
          </w:p>
        </w:tc>
        <w:tc>
          <w:tcPr>
            <w:tcW w:w="1276" w:type="dxa"/>
            <w:tcBorders>
              <w:bottom w:val="single" w:sz="4" w:space="0" w:color="auto"/>
            </w:tcBorders>
            <w:vAlign w:val="bottom"/>
          </w:tcPr>
          <w:p w14:paraId="435F6AC6" w14:textId="3E6A4996"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3.599.602</w:t>
            </w:r>
          </w:p>
        </w:tc>
        <w:tc>
          <w:tcPr>
            <w:tcW w:w="1275" w:type="dxa"/>
            <w:tcBorders>
              <w:bottom w:val="single" w:sz="4" w:space="0" w:color="auto"/>
            </w:tcBorders>
            <w:vAlign w:val="bottom"/>
          </w:tcPr>
          <w:p w14:paraId="3E8FF8B5" w14:textId="64EC0FD8"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b/>
                <w:bCs/>
                <w:color w:val="000000"/>
                <w:sz w:val="18"/>
                <w:szCs w:val="18"/>
              </w:rPr>
              <w:t xml:space="preserve">368.871 </w:t>
            </w:r>
          </w:p>
        </w:tc>
      </w:tr>
      <w:tr w:rsidR="00732299" w:rsidRPr="006269A3" w14:paraId="03034A31" w14:textId="77777777" w:rsidTr="006265F5">
        <w:trPr>
          <w:trHeight w:val="170"/>
        </w:trPr>
        <w:tc>
          <w:tcPr>
            <w:tcW w:w="5240" w:type="dxa"/>
          </w:tcPr>
          <w:p w14:paraId="5A58F386"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218351B2" w14:textId="0E95DA02"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18.904</w:t>
            </w:r>
          </w:p>
        </w:tc>
        <w:tc>
          <w:tcPr>
            <w:tcW w:w="1275" w:type="dxa"/>
            <w:tcBorders>
              <w:top w:val="single" w:sz="4" w:space="0" w:color="auto"/>
            </w:tcBorders>
            <w:vAlign w:val="bottom"/>
          </w:tcPr>
          <w:p w14:paraId="45E1D05D" w14:textId="605F2136"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3.573 </w:t>
            </w:r>
          </w:p>
        </w:tc>
      </w:tr>
      <w:tr w:rsidR="00732299" w:rsidRPr="006269A3" w14:paraId="212504AF" w14:textId="77777777" w:rsidTr="006265F5">
        <w:trPr>
          <w:trHeight w:val="170"/>
        </w:trPr>
        <w:tc>
          <w:tcPr>
            <w:tcW w:w="5240" w:type="dxa"/>
          </w:tcPr>
          <w:p w14:paraId="3041FB70" w14:textId="2341B3BF"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6E57D606" w14:textId="25D94264"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1.393.979</w:t>
            </w:r>
          </w:p>
        </w:tc>
        <w:tc>
          <w:tcPr>
            <w:tcW w:w="1275" w:type="dxa"/>
            <w:vAlign w:val="bottom"/>
          </w:tcPr>
          <w:p w14:paraId="3ABA88F5" w14:textId="082B7EF8"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45.750 </w:t>
            </w:r>
          </w:p>
        </w:tc>
      </w:tr>
      <w:tr w:rsidR="00732299" w:rsidRPr="006269A3" w14:paraId="6DE74B57" w14:textId="77777777" w:rsidTr="006265F5">
        <w:trPr>
          <w:trHeight w:val="170"/>
        </w:trPr>
        <w:tc>
          <w:tcPr>
            <w:tcW w:w="5240" w:type="dxa"/>
          </w:tcPr>
          <w:p w14:paraId="243173B6"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1830C132" w14:textId="1AD4AAA1"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2.186.719</w:t>
            </w:r>
          </w:p>
        </w:tc>
        <w:tc>
          <w:tcPr>
            <w:tcW w:w="1275" w:type="dxa"/>
            <w:vAlign w:val="bottom"/>
          </w:tcPr>
          <w:p w14:paraId="217057DC" w14:textId="163B03E8"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319.548 </w:t>
            </w:r>
          </w:p>
        </w:tc>
      </w:tr>
      <w:tr w:rsidR="00962DA2" w:rsidRPr="006269A3" w14:paraId="2CAF5854" w14:textId="77777777" w:rsidTr="006265F5">
        <w:trPr>
          <w:trHeight w:val="170"/>
        </w:trPr>
        <w:tc>
          <w:tcPr>
            <w:tcW w:w="5240" w:type="dxa"/>
          </w:tcPr>
          <w:p w14:paraId="5D424031" w14:textId="77777777" w:rsidR="00962DA2" w:rsidRPr="006269A3" w:rsidRDefault="00962DA2" w:rsidP="00BE5A48">
            <w:pPr>
              <w:jc w:val="both"/>
              <w:rPr>
                <w:rFonts w:ascii="Arial" w:hAnsi="Arial" w:cs="Arial"/>
                <w:b/>
                <w:bCs/>
                <w:sz w:val="18"/>
                <w:szCs w:val="18"/>
              </w:rPr>
            </w:pPr>
          </w:p>
        </w:tc>
        <w:tc>
          <w:tcPr>
            <w:tcW w:w="1276" w:type="dxa"/>
            <w:vAlign w:val="bottom"/>
          </w:tcPr>
          <w:p w14:paraId="51A56DBE" w14:textId="7F486A81" w:rsidR="00962DA2" w:rsidRPr="00EE63C4"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526FF8F9" w14:textId="555A8A12"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w:t>
            </w:r>
          </w:p>
        </w:tc>
      </w:tr>
      <w:tr w:rsidR="00732299" w:rsidRPr="006269A3" w14:paraId="4B4D593B" w14:textId="77777777" w:rsidTr="006265F5">
        <w:trPr>
          <w:trHeight w:val="170"/>
        </w:trPr>
        <w:tc>
          <w:tcPr>
            <w:tcW w:w="5240" w:type="dxa"/>
          </w:tcPr>
          <w:p w14:paraId="5DDC4942" w14:textId="77777777" w:rsidR="00732299" w:rsidRPr="006269A3" w:rsidRDefault="00732299" w:rsidP="00732299">
            <w:pPr>
              <w:jc w:val="both"/>
              <w:rPr>
                <w:rFonts w:ascii="Arial" w:hAnsi="Arial" w:cs="Arial"/>
                <w:b/>
                <w:bCs/>
                <w:sz w:val="18"/>
                <w:szCs w:val="18"/>
                <w:lang w:eastAsia="es-AR"/>
              </w:rPr>
            </w:pPr>
            <w:r w:rsidRPr="006269A3">
              <w:rPr>
                <w:rFonts w:ascii="Arial" w:hAnsi="Arial" w:cs="Arial"/>
                <w:b/>
                <w:bCs/>
                <w:sz w:val="18"/>
                <w:szCs w:val="18"/>
              </w:rPr>
              <w:t>Irrecuperable</w:t>
            </w:r>
          </w:p>
        </w:tc>
        <w:tc>
          <w:tcPr>
            <w:tcW w:w="1276" w:type="dxa"/>
            <w:tcBorders>
              <w:bottom w:val="single" w:sz="4" w:space="0" w:color="auto"/>
            </w:tcBorders>
            <w:vAlign w:val="bottom"/>
          </w:tcPr>
          <w:p w14:paraId="66F35266" w14:textId="56DCC09F"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b/>
                <w:bCs/>
                <w:color w:val="000000"/>
                <w:sz w:val="18"/>
                <w:szCs w:val="18"/>
              </w:rPr>
              <w:t>21.331</w:t>
            </w:r>
          </w:p>
        </w:tc>
        <w:tc>
          <w:tcPr>
            <w:tcW w:w="1275" w:type="dxa"/>
            <w:tcBorders>
              <w:bottom w:val="single" w:sz="4" w:space="0" w:color="auto"/>
            </w:tcBorders>
            <w:vAlign w:val="bottom"/>
          </w:tcPr>
          <w:p w14:paraId="1FAD02B3" w14:textId="66ADA779"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b/>
                <w:bCs/>
                <w:color w:val="000000"/>
                <w:sz w:val="18"/>
                <w:szCs w:val="18"/>
              </w:rPr>
              <w:t xml:space="preserve">24.947 </w:t>
            </w:r>
          </w:p>
        </w:tc>
      </w:tr>
      <w:tr w:rsidR="00732299" w:rsidRPr="006269A3" w14:paraId="23525EA8" w14:textId="77777777" w:rsidTr="006265F5">
        <w:trPr>
          <w:trHeight w:val="170"/>
        </w:trPr>
        <w:tc>
          <w:tcPr>
            <w:tcW w:w="5240" w:type="dxa"/>
          </w:tcPr>
          <w:p w14:paraId="7164FBDB"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4A1EEF14" w14:textId="6DD68114"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 xml:space="preserve">- </w:t>
            </w:r>
          </w:p>
        </w:tc>
        <w:tc>
          <w:tcPr>
            <w:tcW w:w="1275" w:type="dxa"/>
            <w:tcBorders>
              <w:top w:val="single" w:sz="4" w:space="0" w:color="auto"/>
            </w:tcBorders>
            <w:vAlign w:val="bottom"/>
          </w:tcPr>
          <w:p w14:paraId="1FC6A91C" w14:textId="1ADCA1D4"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 </w:t>
            </w:r>
          </w:p>
        </w:tc>
      </w:tr>
      <w:tr w:rsidR="00732299" w:rsidRPr="006269A3" w14:paraId="340CA9BF" w14:textId="77777777" w:rsidTr="006265F5">
        <w:trPr>
          <w:trHeight w:val="170"/>
        </w:trPr>
        <w:tc>
          <w:tcPr>
            <w:tcW w:w="5240" w:type="dxa"/>
          </w:tcPr>
          <w:p w14:paraId="2A061173"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45D82804" w14:textId="5922DCFE"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1.551</w:t>
            </w:r>
          </w:p>
        </w:tc>
        <w:tc>
          <w:tcPr>
            <w:tcW w:w="1275" w:type="dxa"/>
            <w:vAlign w:val="bottom"/>
          </w:tcPr>
          <w:p w14:paraId="108406FC" w14:textId="3E79A7BA"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29 </w:t>
            </w:r>
          </w:p>
        </w:tc>
      </w:tr>
      <w:tr w:rsidR="00732299" w:rsidRPr="006269A3" w14:paraId="0A6172D9" w14:textId="77777777" w:rsidTr="006265F5">
        <w:trPr>
          <w:trHeight w:val="170"/>
        </w:trPr>
        <w:tc>
          <w:tcPr>
            <w:tcW w:w="5240" w:type="dxa"/>
          </w:tcPr>
          <w:p w14:paraId="64D8C0B4"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6A659BB2" w14:textId="2984D883" w:rsidR="00732299" w:rsidRPr="00EE63C4"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19.780</w:t>
            </w:r>
          </w:p>
        </w:tc>
        <w:tc>
          <w:tcPr>
            <w:tcW w:w="1275" w:type="dxa"/>
            <w:vAlign w:val="bottom"/>
          </w:tcPr>
          <w:p w14:paraId="5712E17E" w14:textId="1F10505D"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24.918 </w:t>
            </w:r>
          </w:p>
        </w:tc>
      </w:tr>
      <w:tr w:rsidR="00962DA2" w:rsidRPr="006269A3" w14:paraId="6D2E2A75" w14:textId="77777777" w:rsidTr="006265F5">
        <w:trPr>
          <w:trHeight w:val="170"/>
        </w:trPr>
        <w:tc>
          <w:tcPr>
            <w:tcW w:w="5240" w:type="dxa"/>
          </w:tcPr>
          <w:p w14:paraId="577F9AAA" w14:textId="77777777" w:rsidR="00962DA2" w:rsidRPr="006269A3" w:rsidRDefault="00962DA2" w:rsidP="00BE5A48">
            <w:pPr>
              <w:jc w:val="both"/>
              <w:rPr>
                <w:rFonts w:ascii="Arial" w:hAnsi="Arial" w:cs="Arial"/>
                <w:b/>
                <w:bCs/>
                <w:sz w:val="18"/>
                <w:szCs w:val="18"/>
              </w:rPr>
            </w:pPr>
          </w:p>
        </w:tc>
        <w:tc>
          <w:tcPr>
            <w:tcW w:w="1276" w:type="dxa"/>
            <w:vAlign w:val="bottom"/>
          </w:tcPr>
          <w:p w14:paraId="555D4F90" w14:textId="09F11F31" w:rsidR="00962DA2" w:rsidRPr="00EE63C4"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77C21F0D" w14:textId="4FE7C804"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r>
      <w:tr w:rsidR="002266D4" w:rsidRPr="006269A3" w14:paraId="459F0307" w14:textId="77777777" w:rsidTr="006265F5">
        <w:trPr>
          <w:trHeight w:val="170"/>
        </w:trPr>
        <w:tc>
          <w:tcPr>
            <w:tcW w:w="5240" w:type="dxa"/>
          </w:tcPr>
          <w:p w14:paraId="1F1FCAB5" w14:textId="77777777" w:rsidR="002266D4" w:rsidRPr="006269A3" w:rsidRDefault="002266D4" w:rsidP="002266D4">
            <w:pPr>
              <w:jc w:val="both"/>
              <w:rPr>
                <w:rFonts w:ascii="Arial" w:hAnsi="Arial" w:cs="Arial"/>
                <w:b/>
                <w:bCs/>
                <w:sz w:val="18"/>
                <w:szCs w:val="18"/>
                <w:lang w:eastAsia="es-AR"/>
              </w:rPr>
            </w:pPr>
            <w:r w:rsidRPr="006269A3">
              <w:rPr>
                <w:rFonts w:ascii="Arial" w:hAnsi="Arial" w:cs="Arial"/>
                <w:b/>
                <w:bCs/>
                <w:sz w:val="18"/>
                <w:szCs w:val="18"/>
              </w:rPr>
              <w:t>Irrecuperable por disposición técnica</w:t>
            </w:r>
          </w:p>
        </w:tc>
        <w:tc>
          <w:tcPr>
            <w:tcW w:w="1276" w:type="dxa"/>
            <w:tcBorders>
              <w:bottom w:val="single" w:sz="4" w:space="0" w:color="auto"/>
            </w:tcBorders>
            <w:vAlign w:val="bottom"/>
          </w:tcPr>
          <w:p w14:paraId="21B05381" w14:textId="46545A2E" w:rsidR="002266D4" w:rsidRPr="00EE63C4" w:rsidRDefault="002266D4" w:rsidP="002266D4">
            <w:pPr>
              <w:widowControl w:val="0"/>
              <w:autoSpaceDE w:val="0"/>
              <w:autoSpaceDN w:val="0"/>
              <w:adjustRightInd w:val="0"/>
              <w:jc w:val="right"/>
              <w:rPr>
                <w:rFonts w:ascii="Arial" w:hAnsi="Arial" w:cs="Arial"/>
                <w:noProof/>
                <w:sz w:val="18"/>
                <w:szCs w:val="18"/>
                <w:highlight w:val="yellow"/>
              </w:rPr>
            </w:pPr>
          </w:p>
        </w:tc>
        <w:tc>
          <w:tcPr>
            <w:tcW w:w="1275" w:type="dxa"/>
            <w:tcBorders>
              <w:bottom w:val="single" w:sz="4" w:space="0" w:color="auto"/>
            </w:tcBorders>
            <w:vAlign w:val="bottom"/>
          </w:tcPr>
          <w:p w14:paraId="048035DD" w14:textId="5F8BDC13" w:rsidR="002266D4" w:rsidRPr="00962DA2" w:rsidRDefault="002266D4" w:rsidP="002266D4">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w:t>
            </w:r>
            <w:r w:rsidRPr="00962DA2">
              <w:rPr>
                <w:rFonts w:ascii="Arial" w:hAnsi="Arial" w:cs="Arial"/>
                <w:sz w:val="18"/>
                <w:szCs w:val="18"/>
              </w:rPr>
              <w:t> </w:t>
            </w:r>
          </w:p>
        </w:tc>
      </w:tr>
      <w:tr w:rsidR="002266D4" w:rsidRPr="006269A3" w14:paraId="09AE77CC" w14:textId="77777777" w:rsidTr="006265F5">
        <w:trPr>
          <w:trHeight w:val="170"/>
        </w:trPr>
        <w:tc>
          <w:tcPr>
            <w:tcW w:w="5240" w:type="dxa"/>
          </w:tcPr>
          <w:p w14:paraId="0043EFAD" w14:textId="77777777" w:rsidR="002266D4" w:rsidRPr="006269A3" w:rsidRDefault="002266D4" w:rsidP="002266D4">
            <w:pPr>
              <w:ind w:firstLineChars="200" w:firstLine="360"/>
              <w:jc w:val="both"/>
              <w:rPr>
                <w:rFonts w:ascii="Arial" w:hAnsi="Arial" w:cs="Arial"/>
                <w:sz w:val="18"/>
                <w:szCs w:val="18"/>
                <w:lang w:eastAsia="es-AR"/>
              </w:rPr>
            </w:pPr>
            <w:r w:rsidRPr="006269A3">
              <w:rPr>
                <w:rFonts w:ascii="Arial" w:hAnsi="Arial" w:cs="Arial"/>
                <w:sz w:val="18"/>
                <w:szCs w:val="18"/>
              </w:rPr>
              <w:t>Con garantías preferidas y contragarantías "A"</w:t>
            </w:r>
          </w:p>
        </w:tc>
        <w:tc>
          <w:tcPr>
            <w:tcW w:w="1276" w:type="dxa"/>
            <w:tcBorders>
              <w:top w:val="single" w:sz="4" w:space="0" w:color="auto"/>
            </w:tcBorders>
            <w:vAlign w:val="bottom"/>
          </w:tcPr>
          <w:p w14:paraId="494E61F1" w14:textId="060EAC29" w:rsidR="002266D4" w:rsidRPr="00EE63C4" w:rsidRDefault="002266D4" w:rsidP="002266D4">
            <w:pPr>
              <w:widowControl w:val="0"/>
              <w:autoSpaceDE w:val="0"/>
              <w:autoSpaceDN w:val="0"/>
              <w:adjustRightInd w:val="0"/>
              <w:jc w:val="right"/>
              <w:rPr>
                <w:rFonts w:ascii="Arial" w:hAnsi="Arial" w:cs="Arial"/>
                <w:noProof/>
                <w:sz w:val="18"/>
                <w:szCs w:val="18"/>
                <w:highlight w:val="yellow"/>
              </w:rPr>
            </w:pPr>
            <w:r w:rsidRPr="002266D4">
              <w:rPr>
                <w:rFonts w:ascii="Arial" w:hAnsi="Arial" w:cs="Arial"/>
                <w:noProof/>
                <w:sz w:val="18"/>
                <w:szCs w:val="18"/>
              </w:rPr>
              <w:t>-</w:t>
            </w:r>
          </w:p>
        </w:tc>
        <w:tc>
          <w:tcPr>
            <w:tcW w:w="1275" w:type="dxa"/>
            <w:tcBorders>
              <w:top w:val="single" w:sz="4" w:space="0" w:color="auto"/>
            </w:tcBorders>
            <w:vAlign w:val="bottom"/>
          </w:tcPr>
          <w:p w14:paraId="5F1026D4" w14:textId="6D2C88DF" w:rsidR="002266D4" w:rsidRPr="00962DA2" w:rsidRDefault="002266D4" w:rsidP="002266D4">
            <w:pPr>
              <w:widowControl w:val="0"/>
              <w:autoSpaceDE w:val="0"/>
              <w:autoSpaceDN w:val="0"/>
              <w:adjustRightInd w:val="0"/>
              <w:jc w:val="right"/>
              <w:rPr>
                <w:rFonts w:ascii="Arial" w:hAnsi="Arial" w:cs="Arial"/>
                <w:noProof/>
                <w:sz w:val="18"/>
                <w:szCs w:val="18"/>
                <w:highlight w:val="yellow"/>
              </w:rPr>
            </w:pPr>
            <w:r w:rsidRPr="00962DA2">
              <w:rPr>
                <w:rFonts w:ascii="Arial" w:hAnsi="Arial" w:cs="Arial"/>
                <w:b/>
                <w:bCs/>
                <w:sz w:val="18"/>
                <w:szCs w:val="18"/>
              </w:rPr>
              <w:t xml:space="preserve">- </w:t>
            </w:r>
          </w:p>
        </w:tc>
      </w:tr>
      <w:tr w:rsidR="002266D4" w:rsidRPr="006269A3" w14:paraId="0E221E5E" w14:textId="77777777" w:rsidTr="006265F5">
        <w:trPr>
          <w:trHeight w:val="170"/>
        </w:trPr>
        <w:tc>
          <w:tcPr>
            <w:tcW w:w="5240" w:type="dxa"/>
          </w:tcPr>
          <w:p w14:paraId="05368C5A" w14:textId="77777777" w:rsidR="002266D4" w:rsidRPr="006269A3" w:rsidRDefault="002266D4" w:rsidP="002266D4">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18B317DD" w14:textId="7BEF5CE9" w:rsidR="002266D4" w:rsidRPr="00EE63C4" w:rsidRDefault="002266D4" w:rsidP="002266D4">
            <w:pPr>
              <w:widowControl w:val="0"/>
              <w:autoSpaceDE w:val="0"/>
              <w:autoSpaceDN w:val="0"/>
              <w:adjustRightInd w:val="0"/>
              <w:jc w:val="right"/>
              <w:rPr>
                <w:rFonts w:ascii="Arial" w:hAnsi="Arial" w:cs="Arial"/>
                <w:noProof/>
                <w:sz w:val="18"/>
                <w:szCs w:val="18"/>
                <w:highlight w:val="yellow"/>
              </w:rPr>
            </w:pPr>
            <w:r w:rsidRPr="002266D4">
              <w:rPr>
                <w:rFonts w:ascii="Arial" w:hAnsi="Arial" w:cs="Arial"/>
                <w:noProof/>
                <w:sz w:val="18"/>
                <w:szCs w:val="18"/>
              </w:rPr>
              <w:t>-</w:t>
            </w:r>
          </w:p>
        </w:tc>
        <w:tc>
          <w:tcPr>
            <w:tcW w:w="1275" w:type="dxa"/>
            <w:vAlign w:val="bottom"/>
          </w:tcPr>
          <w:p w14:paraId="29A7317C" w14:textId="6D1C0EC8" w:rsidR="002266D4" w:rsidRPr="00962DA2" w:rsidRDefault="002266D4" w:rsidP="002266D4">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 </w:t>
            </w:r>
          </w:p>
        </w:tc>
      </w:tr>
      <w:tr w:rsidR="002266D4" w:rsidRPr="006269A3" w14:paraId="72B410A3" w14:textId="77777777" w:rsidTr="006265F5">
        <w:trPr>
          <w:trHeight w:val="170"/>
        </w:trPr>
        <w:tc>
          <w:tcPr>
            <w:tcW w:w="5240" w:type="dxa"/>
          </w:tcPr>
          <w:p w14:paraId="4DF3B817" w14:textId="77777777" w:rsidR="002266D4" w:rsidRPr="006269A3" w:rsidRDefault="002266D4" w:rsidP="002266D4">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19EA3030" w14:textId="28CC4371" w:rsidR="002266D4" w:rsidRPr="00EE63C4" w:rsidRDefault="002266D4" w:rsidP="002266D4">
            <w:pPr>
              <w:widowControl w:val="0"/>
              <w:autoSpaceDE w:val="0"/>
              <w:autoSpaceDN w:val="0"/>
              <w:adjustRightInd w:val="0"/>
              <w:jc w:val="right"/>
              <w:rPr>
                <w:rFonts w:ascii="Arial" w:hAnsi="Arial" w:cs="Arial"/>
                <w:noProof/>
                <w:sz w:val="18"/>
                <w:szCs w:val="18"/>
                <w:highlight w:val="yellow"/>
              </w:rPr>
            </w:pPr>
            <w:r w:rsidRPr="002266D4">
              <w:rPr>
                <w:rFonts w:ascii="Arial" w:hAnsi="Arial" w:cs="Arial"/>
                <w:noProof/>
                <w:sz w:val="18"/>
                <w:szCs w:val="18"/>
              </w:rPr>
              <w:t>-</w:t>
            </w:r>
          </w:p>
        </w:tc>
        <w:tc>
          <w:tcPr>
            <w:tcW w:w="1275" w:type="dxa"/>
            <w:vAlign w:val="bottom"/>
          </w:tcPr>
          <w:p w14:paraId="48474F25" w14:textId="291477DA" w:rsidR="002266D4" w:rsidRPr="00962DA2" w:rsidRDefault="002266D4" w:rsidP="002266D4">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 </w:t>
            </w:r>
          </w:p>
        </w:tc>
      </w:tr>
      <w:tr w:rsidR="002266D4" w:rsidRPr="006269A3" w14:paraId="040B5562" w14:textId="77777777" w:rsidTr="006265F5">
        <w:trPr>
          <w:trHeight w:val="80"/>
        </w:trPr>
        <w:tc>
          <w:tcPr>
            <w:tcW w:w="5240" w:type="dxa"/>
            <w:tcBorders>
              <w:bottom w:val="single" w:sz="4" w:space="0" w:color="auto"/>
            </w:tcBorders>
          </w:tcPr>
          <w:p w14:paraId="00EF2106" w14:textId="77777777" w:rsidR="002266D4" w:rsidRPr="006269A3" w:rsidRDefault="002266D4" w:rsidP="002266D4">
            <w:pPr>
              <w:ind w:firstLineChars="200" w:firstLine="360"/>
              <w:jc w:val="both"/>
              <w:rPr>
                <w:rFonts w:ascii="Arial" w:hAnsi="Arial" w:cs="Arial"/>
                <w:sz w:val="18"/>
                <w:szCs w:val="18"/>
              </w:rPr>
            </w:pPr>
          </w:p>
        </w:tc>
        <w:tc>
          <w:tcPr>
            <w:tcW w:w="1276" w:type="dxa"/>
            <w:tcBorders>
              <w:bottom w:val="single" w:sz="4" w:space="0" w:color="auto"/>
            </w:tcBorders>
            <w:vAlign w:val="bottom"/>
          </w:tcPr>
          <w:p w14:paraId="70D2948E" w14:textId="34B78AC7" w:rsidR="002266D4" w:rsidRPr="00EE63C4" w:rsidRDefault="002266D4" w:rsidP="002266D4">
            <w:pPr>
              <w:widowControl w:val="0"/>
              <w:autoSpaceDE w:val="0"/>
              <w:autoSpaceDN w:val="0"/>
              <w:adjustRightInd w:val="0"/>
              <w:jc w:val="right"/>
              <w:rPr>
                <w:rFonts w:ascii="Arial" w:hAnsi="Arial" w:cs="Arial"/>
                <w:noProof/>
                <w:sz w:val="18"/>
                <w:szCs w:val="18"/>
                <w:highlight w:val="yellow"/>
              </w:rPr>
            </w:pPr>
          </w:p>
        </w:tc>
        <w:tc>
          <w:tcPr>
            <w:tcW w:w="1275" w:type="dxa"/>
            <w:tcBorders>
              <w:bottom w:val="single" w:sz="4" w:space="0" w:color="auto"/>
            </w:tcBorders>
            <w:vAlign w:val="bottom"/>
          </w:tcPr>
          <w:p w14:paraId="599A0053" w14:textId="4D7C353C" w:rsidR="002266D4" w:rsidRPr="00962DA2" w:rsidRDefault="002266D4" w:rsidP="002266D4">
            <w:pPr>
              <w:widowControl w:val="0"/>
              <w:autoSpaceDE w:val="0"/>
              <w:autoSpaceDN w:val="0"/>
              <w:adjustRightInd w:val="0"/>
              <w:jc w:val="right"/>
              <w:rPr>
                <w:rFonts w:ascii="Arial" w:hAnsi="Arial" w:cs="Arial"/>
                <w:noProof/>
                <w:sz w:val="18"/>
                <w:szCs w:val="18"/>
                <w:highlight w:val="yellow"/>
              </w:rPr>
            </w:pPr>
          </w:p>
        </w:tc>
      </w:tr>
      <w:tr w:rsidR="002266D4" w:rsidRPr="006269A3" w14:paraId="7690C926" w14:textId="77777777" w:rsidTr="006265F5">
        <w:tc>
          <w:tcPr>
            <w:tcW w:w="5240" w:type="dxa"/>
            <w:tcBorders>
              <w:top w:val="single" w:sz="4" w:space="0" w:color="auto"/>
              <w:bottom w:val="single" w:sz="4" w:space="0" w:color="auto"/>
            </w:tcBorders>
          </w:tcPr>
          <w:p w14:paraId="41D7534A" w14:textId="77777777" w:rsidR="002266D4" w:rsidRPr="006269A3" w:rsidRDefault="002266D4" w:rsidP="002266D4">
            <w:pPr>
              <w:jc w:val="both"/>
              <w:rPr>
                <w:rFonts w:ascii="Arial" w:hAnsi="Arial" w:cs="Arial"/>
                <w:b/>
                <w:bCs/>
                <w:sz w:val="18"/>
                <w:szCs w:val="18"/>
                <w:lang w:eastAsia="es-AR"/>
              </w:rPr>
            </w:pPr>
            <w:r w:rsidRPr="006269A3">
              <w:rPr>
                <w:rFonts w:ascii="Arial" w:hAnsi="Arial" w:cs="Arial"/>
                <w:b/>
                <w:bCs/>
                <w:sz w:val="18"/>
                <w:szCs w:val="18"/>
              </w:rPr>
              <w:t>TOTAL</w:t>
            </w:r>
          </w:p>
        </w:tc>
        <w:tc>
          <w:tcPr>
            <w:tcW w:w="1276" w:type="dxa"/>
            <w:tcBorders>
              <w:top w:val="single" w:sz="4" w:space="0" w:color="auto"/>
              <w:bottom w:val="single" w:sz="4" w:space="0" w:color="auto"/>
            </w:tcBorders>
            <w:vAlign w:val="center"/>
          </w:tcPr>
          <w:p w14:paraId="7CA30AAE" w14:textId="36AEA3C0" w:rsidR="002266D4" w:rsidRPr="00EE63C4" w:rsidRDefault="00732299" w:rsidP="00732299">
            <w:pPr>
              <w:jc w:val="right"/>
              <w:rPr>
                <w:rFonts w:ascii="Arial" w:hAnsi="Arial" w:cs="Arial"/>
                <w:b/>
                <w:bCs/>
                <w:color w:val="000000"/>
                <w:sz w:val="18"/>
                <w:szCs w:val="18"/>
                <w:lang w:eastAsia="es-AR"/>
              </w:rPr>
            </w:pPr>
            <w:r>
              <w:rPr>
                <w:rFonts w:ascii="Arial" w:hAnsi="Arial" w:cs="Arial"/>
                <w:b/>
                <w:bCs/>
                <w:color w:val="000000"/>
                <w:sz w:val="18"/>
                <w:szCs w:val="18"/>
              </w:rPr>
              <w:t>46.513.650</w:t>
            </w:r>
          </w:p>
        </w:tc>
        <w:tc>
          <w:tcPr>
            <w:tcW w:w="1275" w:type="dxa"/>
            <w:tcBorders>
              <w:top w:val="single" w:sz="4" w:space="0" w:color="auto"/>
              <w:bottom w:val="single" w:sz="4" w:space="0" w:color="auto"/>
            </w:tcBorders>
            <w:vAlign w:val="center"/>
          </w:tcPr>
          <w:p w14:paraId="15DDBC62" w14:textId="685D63E4" w:rsidR="002266D4" w:rsidRPr="00962DA2" w:rsidRDefault="002266D4" w:rsidP="002266D4">
            <w:pPr>
              <w:widowControl w:val="0"/>
              <w:autoSpaceDE w:val="0"/>
              <w:autoSpaceDN w:val="0"/>
              <w:adjustRightInd w:val="0"/>
              <w:jc w:val="right"/>
              <w:rPr>
                <w:rFonts w:ascii="Arial" w:hAnsi="Arial" w:cs="Arial"/>
                <w:noProof/>
                <w:sz w:val="18"/>
                <w:szCs w:val="18"/>
                <w:highlight w:val="yellow"/>
              </w:rPr>
            </w:pPr>
            <w:r w:rsidRPr="00962DA2">
              <w:rPr>
                <w:rFonts w:ascii="Arial" w:hAnsi="Arial" w:cs="Arial"/>
                <w:b/>
                <w:bCs/>
                <w:color w:val="000000"/>
                <w:sz w:val="18"/>
                <w:szCs w:val="18"/>
              </w:rPr>
              <w:t xml:space="preserve">43.341.252 </w:t>
            </w:r>
          </w:p>
        </w:tc>
      </w:tr>
      <w:tr w:rsidR="002266D4" w14:paraId="4E95E238" w14:textId="77777777" w:rsidTr="00BE5A48">
        <w:tc>
          <w:tcPr>
            <w:tcW w:w="5240" w:type="dxa"/>
            <w:tcBorders>
              <w:top w:val="single" w:sz="4" w:space="0" w:color="auto"/>
            </w:tcBorders>
          </w:tcPr>
          <w:p w14:paraId="2B81B6EF" w14:textId="77777777" w:rsidR="002266D4" w:rsidRPr="000436E1" w:rsidRDefault="002266D4" w:rsidP="002266D4">
            <w:pPr>
              <w:widowControl w:val="0"/>
              <w:autoSpaceDE w:val="0"/>
              <w:autoSpaceDN w:val="0"/>
              <w:adjustRightInd w:val="0"/>
              <w:jc w:val="both"/>
              <w:rPr>
                <w:rFonts w:ascii="Arial" w:hAnsi="Arial" w:cs="Arial"/>
                <w:noProof/>
                <w:sz w:val="18"/>
                <w:szCs w:val="18"/>
                <w:highlight w:val="yellow"/>
              </w:rPr>
            </w:pPr>
          </w:p>
        </w:tc>
        <w:tc>
          <w:tcPr>
            <w:tcW w:w="1276" w:type="dxa"/>
            <w:tcBorders>
              <w:top w:val="single" w:sz="4" w:space="0" w:color="auto"/>
            </w:tcBorders>
          </w:tcPr>
          <w:p w14:paraId="2A53B9AE" w14:textId="77777777" w:rsidR="002266D4" w:rsidRPr="000436E1" w:rsidRDefault="002266D4" w:rsidP="002266D4">
            <w:pPr>
              <w:widowControl w:val="0"/>
              <w:autoSpaceDE w:val="0"/>
              <w:autoSpaceDN w:val="0"/>
              <w:adjustRightInd w:val="0"/>
              <w:jc w:val="both"/>
              <w:rPr>
                <w:rFonts w:ascii="Arial" w:hAnsi="Arial" w:cs="Arial"/>
                <w:noProof/>
                <w:sz w:val="18"/>
                <w:szCs w:val="18"/>
                <w:highlight w:val="yellow"/>
              </w:rPr>
            </w:pPr>
          </w:p>
        </w:tc>
        <w:tc>
          <w:tcPr>
            <w:tcW w:w="1275" w:type="dxa"/>
            <w:tcBorders>
              <w:top w:val="single" w:sz="4" w:space="0" w:color="auto"/>
            </w:tcBorders>
          </w:tcPr>
          <w:p w14:paraId="69070D4B" w14:textId="77777777" w:rsidR="002266D4" w:rsidRPr="000436E1" w:rsidRDefault="002266D4" w:rsidP="002266D4">
            <w:pPr>
              <w:widowControl w:val="0"/>
              <w:autoSpaceDE w:val="0"/>
              <w:autoSpaceDN w:val="0"/>
              <w:adjustRightInd w:val="0"/>
              <w:jc w:val="both"/>
              <w:rPr>
                <w:rFonts w:ascii="Arial" w:hAnsi="Arial" w:cs="Arial"/>
                <w:noProof/>
                <w:sz w:val="18"/>
                <w:szCs w:val="18"/>
                <w:highlight w:val="yellow"/>
              </w:rPr>
            </w:pPr>
          </w:p>
        </w:tc>
      </w:tr>
    </w:tbl>
    <w:p w14:paraId="647D435B" w14:textId="3BA0D1A2" w:rsidR="00D26299" w:rsidRPr="00701F32" w:rsidRDefault="00D26299" w:rsidP="007532DD">
      <w:pPr>
        <w:tabs>
          <w:tab w:val="left" w:pos="709"/>
          <w:tab w:val="left" w:pos="851"/>
        </w:tabs>
        <w:ind w:left="284" w:right="51"/>
        <w:contextualSpacing/>
        <w:jc w:val="both"/>
        <w:rPr>
          <w:rFonts w:ascii="Arial" w:hAnsi="Arial" w:cs="Arial"/>
          <w:sz w:val="20"/>
        </w:rPr>
      </w:pPr>
    </w:p>
    <w:p w14:paraId="0BAF0906" w14:textId="1B57A639" w:rsidR="009F7A13" w:rsidRDefault="009F7A13" w:rsidP="007532DD">
      <w:pPr>
        <w:tabs>
          <w:tab w:val="left" w:pos="709"/>
          <w:tab w:val="left" w:pos="851"/>
        </w:tabs>
        <w:ind w:left="284" w:right="51"/>
        <w:contextualSpacing/>
        <w:jc w:val="both"/>
        <w:rPr>
          <w:rFonts w:ascii="Arial" w:hAnsi="Arial" w:cs="Arial"/>
          <w:sz w:val="20"/>
        </w:rPr>
      </w:pPr>
    </w:p>
    <w:p w14:paraId="635D608A" w14:textId="5766D05E" w:rsidR="006A7073" w:rsidRDefault="006A7073" w:rsidP="007532DD">
      <w:pPr>
        <w:tabs>
          <w:tab w:val="left" w:pos="709"/>
          <w:tab w:val="left" w:pos="851"/>
        </w:tabs>
        <w:ind w:left="284" w:right="51"/>
        <w:contextualSpacing/>
        <w:jc w:val="both"/>
        <w:rPr>
          <w:rFonts w:ascii="Arial" w:hAnsi="Arial" w:cs="Arial"/>
          <w:sz w:val="20"/>
        </w:rPr>
      </w:pPr>
    </w:p>
    <w:p w14:paraId="1E547D24" w14:textId="2A51A37F" w:rsidR="006A7073" w:rsidRDefault="006A7073" w:rsidP="007532DD">
      <w:pPr>
        <w:tabs>
          <w:tab w:val="left" w:pos="709"/>
          <w:tab w:val="left" w:pos="851"/>
        </w:tabs>
        <w:ind w:left="284" w:right="51"/>
        <w:contextualSpacing/>
        <w:jc w:val="both"/>
        <w:rPr>
          <w:rFonts w:ascii="Arial" w:hAnsi="Arial" w:cs="Arial"/>
          <w:sz w:val="20"/>
        </w:rPr>
      </w:pPr>
    </w:p>
    <w:p w14:paraId="18FA1BAD" w14:textId="4E047BD6" w:rsidR="006A7073" w:rsidRDefault="006A7073" w:rsidP="007532DD">
      <w:pPr>
        <w:tabs>
          <w:tab w:val="left" w:pos="709"/>
          <w:tab w:val="left" w:pos="851"/>
        </w:tabs>
        <w:ind w:left="284" w:right="51"/>
        <w:contextualSpacing/>
        <w:jc w:val="both"/>
        <w:rPr>
          <w:rFonts w:ascii="Arial" w:hAnsi="Arial" w:cs="Arial"/>
          <w:sz w:val="20"/>
        </w:rPr>
      </w:pPr>
    </w:p>
    <w:p w14:paraId="1D0F9F3B" w14:textId="7B5C4FC7" w:rsidR="006A7073" w:rsidRDefault="006A7073" w:rsidP="007532DD">
      <w:pPr>
        <w:tabs>
          <w:tab w:val="left" w:pos="709"/>
          <w:tab w:val="left" w:pos="851"/>
        </w:tabs>
        <w:ind w:left="284" w:right="51"/>
        <w:contextualSpacing/>
        <w:jc w:val="both"/>
        <w:rPr>
          <w:rFonts w:ascii="Arial" w:hAnsi="Arial" w:cs="Arial"/>
          <w:sz w:val="20"/>
        </w:rPr>
      </w:pPr>
    </w:p>
    <w:tbl>
      <w:tblPr>
        <w:tblStyle w:val="Tablaconcuadrcula"/>
        <w:tblW w:w="722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7"/>
        <w:gridCol w:w="1276"/>
        <w:gridCol w:w="1275"/>
      </w:tblGrid>
      <w:tr w:rsidR="007B34B2" w14:paraId="3B129687" w14:textId="77777777" w:rsidTr="00BE5A48">
        <w:tc>
          <w:tcPr>
            <w:tcW w:w="4677" w:type="dxa"/>
            <w:tcBorders>
              <w:top w:val="single" w:sz="4" w:space="0" w:color="auto"/>
              <w:left w:val="single" w:sz="4" w:space="0" w:color="auto"/>
              <w:bottom w:val="single" w:sz="4" w:space="0" w:color="auto"/>
            </w:tcBorders>
            <w:shd w:val="clear" w:color="auto" w:fill="BFBFBF" w:themeFill="background1" w:themeFillShade="BF"/>
          </w:tcPr>
          <w:p w14:paraId="5F02C2BC" w14:textId="77777777" w:rsidR="007B34B2" w:rsidRPr="0066424E" w:rsidRDefault="007B34B2" w:rsidP="00BE5A48">
            <w:pPr>
              <w:widowControl w:val="0"/>
              <w:autoSpaceDE w:val="0"/>
              <w:autoSpaceDN w:val="0"/>
              <w:adjustRightInd w:val="0"/>
              <w:jc w:val="center"/>
              <w:rPr>
                <w:rFonts w:ascii="Arial" w:hAnsi="Arial" w:cs="Arial"/>
                <w:b/>
                <w:noProof/>
                <w:sz w:val="18"/>
                <w:szCs w:val="18"/>
              </w:rPr>
            </w:pPr>
            <w:r w:rsidRPr="0066424E">
              <w:rPr>
                <w:rFonts w:ascii="Arial" w:hAnsi="Arial" w:cs="Arial"/>
                <w:b/>
                <w:noProof/>
                <w:sz w:val="18"/>
                <w:szCs w:val="18"/>
              </w:rPr>
              <w:t>Concepto</w:t>
            </w:r>
          </w:p>
        </w:tc>
        <w:tc>
          <w:tcPr>
            <w:tcW w:w="1276" w:type="dxa"/>
            <w:tcBorders>
              <w:top w:val="single" w:sz="4" w:space="0" w:color="auto"/>
              <w:bottom w:val="single" w:sz="4" w:space="0" w:color="auto"/>
            </w:tcBorders>
            <w:shd w:val="clear" w:color="auto" w:fill="BFBFBF" w:themeFill="background1" w:themeFillShade="BF"/>
          </w:tcPr>
          <w:p w14:paraId="07F59EDC" w14:textId="5800F384" w:rsidR="007B34B2" w:rsidRPr="0066424E" w:rsidRDefault="003C2633" w:rsidP="00083AEA">
            <w:pPr>
              <w:widowControl w:val="0"/>
              <w:autoSpaceDE w:val="0"/>
              <w:autoSpaceDN w:val="0"/>
              <w:adjustRightInd w:val="0"/>
              <w:jc w:val="center"/>
              <w:rPr>
                <w:rFonts w:ascii="Arial" w:hAnsi="Arial" w:cs="Arial"/>
                <w:b/>
                <w:noProof/>
                <w:sz w:val="18"/>
                <w:szCs w:val="18"/>
              </w:rPr>
            </w:pPr>
            <w:r>
              <w:rPr>
                <w:rFonts w:ascii="Arial" w:hAnsi="Arial" w:cs="Arial"/>
                <w:b/>
                <w:noProof/>
                <w:sz w:val="18"/>
                <w:szCs w:val="18"/>
              </w:rPr>
              <w:t>3</w:t>
            </w:r>
            <w:r w:rsidR="00FF21C0">
              <w:rPr>
                <w:rFonts w:ascii="Arial" w:hAnsi="Arial" w:cs="Arial"/>
                <w:b/>
                <w:noProof/>
                <w:sz w:val="18"/>
                <w:szCs w:val="18"/>
              </w:rPr>
              <w:t>1</w:t>
            </w:r>
            <w:r>
              <w:rPr>
                <w:rFonts w:ascii="Arial" w:hAnsi="Arial" w:cs="Arial"/>
                <w:b/>
                <w:noProof/>
                <w:sz w:val="18"/>
                <w:szCs w:val="18"/>
              </w:rPr>
              <w:t>/</w:t>
            </w:r>
            <w:r w:rsidR="00FF21C0">
              <w:rPr>
                <w:rFonts w:ascii="Arial" w:hAnsi="Arial" w:cs="Arial"/>
                <w:b/>
                <w:noProof/>
                <w:sz w:val="18"/>
                <w:szCs w:val="18"/>
              </w:rPr>
              <w:t>12</w:t>
            </w:r>
            <w:r>
              <w:rPr>
                <w:rFonts w:ascii="Arial" w:hAnsi="Arial" w:cs="Arial"/>
                <w:b/>
                <w:noProof/>
                <w:sz w:val="18"/>
                <w:szCs w:val="18"/>
              </w:rPr>
              <w:t>/2019</w:t>
            </w:r>
          </w:p>
        </w:tc>
        <w:tc>
          <w:tcPr>
            <w:tcW w:w="1275" w:type="dxa"/>
            <w:tcBorders>
              <w:top w:val="single" w:sz="4" w:space="0" w:color="auto"/>
              <w:bottom w:val="single" w:sz="4" w:space="0" w:color="auto"/>
              <w:right w:val="single" w:sz="4" w:space="0" w:color="auto"/>
            </w:tcBorders>
            <w:shd w:val="clear" w:color="auto" w:fill="BFBFBF" w:themeFill="background1" w:themeFillShade="BF"/>
          </w:tcPr>
          <w:p w14:paraId="74DC1B5C" w14:textId="77777777" w:rsidR="007B34B2" w:rsidRPr="0066424E" w:rsidRDefault="007B34B2" w:rsidP="00BE5A48">
            <w:pPr>
              <w:widowControl w:val="0"/>
              <w:autoSpaceDE w:val="0"/>
              <w:autoSpaceDN w:val="0"/>
              <w:adjustRightInd w:val="0"/>
              <w:jc w:val="center"/>
              <w:rPr>
                <w:rFonts w:ascii="Arial" w:hAnsi="Arial" w:cs="Arial"/>
                <w:b/>
                <w:noProof/>
                <w:sz w:val="18"/>
                <w:szCs w:val="18"/>
              </w:rPr>
            </w:pPr>
            <w:r w:rsidRPr="0066424E">
              <w:rPr>
                <w:rFonts w:ascii="Arial" w:hAnsi="Arial" w:cs="Arial"/>
                <w:b/>
                <w:noProof/>
                <w:sz w:val="18"/>
                <w:szCs w:val="18"/>
              </w:rPr>
              <w:t>31/12/2018</w:t>
            </w:r>
          </w:p>
        </w:tc>
      </w:tr>
      <w:tr w:rsidR="007B34B2" w14:paraId="03A00B33" w14:textId="77777777" w:rsidTr="00BE5A48">
        <w:tc>
          <w:tcPr>
            <w:tcW w:w="4677" w:type="dxa"/>
            <w:tcBorders>
              <w:top w:val="single" w:sz="4" w:space="0" w:color="auto"/>
            </w:tcBorders>
          </w:tcPr>
          <w:p w14:paraId="5325877E" w14:textId="77777777" w:rsidR="007B34B2" w:rsidRPr="006269A3" w:rsidRDefault="007B34B2" w:rsidP="00BE5A48">
            <w:pPr>
              <w:jc w:val="both"/>
              <w:rPr>
                <w:rFonts w:ascii="Arial" w:hAnsi="Arial" w:cs="Arial"/>
                <w:b/>
                <w:bCs/>
                <w:sz w:val="20"/>
                <w:lang w:eastAsia="es-AR"/>
              </w:rPr>
            </w:pPr>
            <w:r w:rsidRPr="006269A3">
              <w:rPr>
                <w:rFonts w:ascii="Arial" w:hAnsi="Arial" w:cs="Arial"/>
                <w:b/>
                <w:bCs/>
                <w:sz w:val="20"/>
              </w:rPr>
              <w:t>CARTERA CONSUMO Y VIVIENDA</w:t>
            </w:r>
          </w:p>
        </w:tc>
        <w:tc>
          <w:tcPr>
            <w:tcW w:w="1276" w:type="dxa"/>
            <w:tcBorders>
              <w:top w:val="single" w:sz="4" w:space="0" w:color="auto"/>
            </w:tcBorders>
          </w:tcPr>
          <w:p w14:paraId="61CBCD6E" w14:textId="77777777" w:rsidR="007B34B2" w:rsidRPr="006269A3" w:rsidRDefault="007B34B2" w:rsidP="00BE5A48">
            <w:pPr>
              <w:widowControl w:val="0"/>
              <w:autoSpaceDE w:val="0"/>
              <w:autoSpaceDN w:val="0"/>
              <w:adjustRightInd w:val="0"/>
              <w:jc w:val="both"/>
              <w:rPr>
                <w:rFonts w:ascii="Arial" w:hAnsi="Arial" w:cs="Arial"/>
                <w:b/>
                <w:noProof/>
                <w:sz w:val="20"/>
                <w:szCs w:val="18"/>
                <w:highlight w:val="yellow"/>
              </w:rPr>
            </w:pPr>
          </w:p>
        </w:tc>
        <w:tc>
          <w:tcPr>
            <w:tcW w:w="1275" w:type="dxa"/>
            <w:tcBorders>
              <w:top w:val="single" w:sz="4" w:space="0" w:color="auto"/>
            </w:tcBorders>
          </w:tcPr>
          <w:p w14:paraId="6294DAF0" w14:textId="77777777" w:rsidR="007B34B2" w:rsidRPr="006269A3" w:rsidRDefault="007B34B2" w:rsidP="00BE5A48">
            <w:pPr>
              <w:widowControl w:val="0"/>
              <w:autoSpaceDE w:val="0"/>
              <w:autoSpaceDN w:val="0"/>
              <w:adjustRightInd w:val="0"/>
              <w:jc w:val="both"/>
              <w:rPr>
                <w:rFonts w:ascii="Arial" w:hAnsi="Arial" w:cs="Arial"/>
                <w:b/>
                <w:noProof/>
                <w:sz w:val="20"/>
                <w:szCs w:val="18"/>
                <w:highlight w:val="yellow"/>
              </w:rPr>
            </w:pPr>
          </w:p>
        </w:tc>
      </w:tr>
      <w:tr w:rsidR="007B34B2" w14:paraId="560A4BA2" w14:textId="77777777" w:rsidTr="00BE5A48">
        <w:tc>
          <w:tcPr>
            <w:tcW w:w="4677" w:type="dxa"/>
          </w:tcPr>
          <w:p w14:paraId="2DDA471F" w14:textId="77777777" w:rsidR="007B34B2" w:rsidRPr="006269A3" w:rsidRDefault="007B34B2" w:rsidP="00BE5A48">
            <w:pPr>
              <w:widowControl w:val="0"/>
              <w:autoSpaceDE w:val="0"/>
              <w:autoSpaceDN w:val="0"/>
              <w:adjustRightInd w:val="0"/>
              <w:jc w:val="both"/>
              <w:rPr>
                <w:rFonts w:ascii="Arial" w:hAnsi="Arial" w:cs="Arial"/>
                <w:noProof/>
                <w:sz w:val="18"/>
                <w:szCs w:val="18"/>
                <w:highlight w:val="yellow"/>
              </w:rPr>
            </w:pPr>
          </w:p>
        </w:tc>
        <w:tc>
          <w:tcPr>
            <w:tcW w:w="1276" w:type="dxa"/>
          </w:tcPr>
          <w:p w14:paraId="29E72E74" w14:textId="77777777" w:rsidR="007B34B2" w:rsidRPr="006269A3" w:rsidRDefault="007B34B2" w:rsidP="00BE5A48">
            <w:pPr>
              <w:widowControl w:val="0"/>
              <w:autoSpaceDE w:val="0"/>
              <w:autoSpaceDN w:val="0"/>
              <w:adjustRightInd w:val="0"/>
              <w:jc w:val="both"/>
              <w:rPr>
                <w:rFonts w:ascii="Arial" w:hAnsi="Arial" w:cs="Arial"/>
                <w:noProof/>
                <w:sz w:val="18"/>
                <w:szCs w:val="18"/>
                <w:highlight w:val="yellow"/>
              </w:rPr>
            </w:pPr>
          </w:p>
        </w:tc>
        <w:tc>
          <w:tcPr>
            <w:tcW w:w="1275" w:type="dxa"/>
          </w:tcPr>
          <w:p w14:paraId="24EDE8D7" w14:textId="77777777" w:rsidR="007B34B2" w:rsidRPr="006269A3" w:rsidRDefault="007B34B2" w:rsidP="00BE5A48">
            <w:pPr>
              <w:widowControl w:val="0"/>
              <w:autoSpaceDE w:val="0"/>
              <w:autoSpaceDN w:val="0"/>
              <w:adjustRightInd w:val="0"/>
              <w:jc w:val="both"/>
              <w:rPr>
                <w:rFonts w:ascii="Arial" w:hAnsi="Arial" w:cs="Arial"/>
                <w:noProof/>
                <w:sz w:val="18"/>
                <w:szCs w:val="18"/>
                <w:highlight w:val="yellow"/>
              </w:rPr>
            </w:pPr>
          </w:p>
        </w:tc>
      </w:tr>
      <w:tr w:rsidR="00732299" w14:paraId="7E376BC9" w14:textId="77777777" w:rsidTr="006265F5">
        <w:trPr>
          <w:trHeight w:val="170"/>
        </w:trPr>
        <w:tc>
          <w:tcPr>
            <w:tcW w:w="4677" w:type="dxa"/>
          </w:tcPr>
          <w:p w14:paraId="64046349" w14:textId="77777777" w:rsidR="00732299" w:rsidRPr="006269A3" w:rsidRDefault="00732299" w:rsidP="00732299">
            <w:pPr>
              <w:jc w:val="both"/>
              <w:rPr>
                <w:rFonts w:ascii="Arial" w:hAnsi="Arial" w:cs="Arial"/>
                <w:b/>
                <w:bCs/>
                <w:sz w:val="18"/>
                <w:szCs w:val="18"/>
                <w:lang w:eastAsia="es-AR"/>
              </w:rPr>
            </w:pPr>
            <w:r w:rsidRPr="006269A3">
              <w:rPr>
                <w:rFonts w:ascii="Arial" w:hAnsi="Arial" w:cs="Arial"/>
                <w:b/>
                <w:bCs/>
                <w:sz w:val="18"/>
                <w:szCs w:val="18"/>
              </w:rPr>
              <w:t>Cumplimiento normal</w:t>
            </w:r>
          </w:p>
        </w:tc>
        <w:tc>
          <w:tcPr>
            <w:tcW w:w="1276" w:type="dxa"/>
            <w:tcBorders>
              <w:bottom w:val="single" w:sz="4" w:space="0" w:color="auto"/>
            </w:tcBorders>
            <w:vAlign w:val="bottom"/>
          </w:tcPr>
          <w:p w14:paraId="1761D4C5" w14:textId="1E1409D3"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40.853.253</w:t>
            </w:r>
          </w:p>
        </w:tc>
        <w:tc>
          <w:tcPr>
            <w:tcW w:w="1275" w:type="dxa"/>
            <w:tcBorders>
              <w:bottom w:val="single" w:sz="4" w:space="0" w:color="auto"/>
            </w:tcBorders>
            <w:vAlign w:val="bottom"/>
          </w:tcPr>
          <w:p w14:paraId="1F2C369A" w14:textId="281EE878"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sidRPr="00962DA2">
              <w:rPr>
                <w:rFonts w:ascii="Arial" w:hAnsi="Arial" w:cs="Arial"/>
                <w:b/>
                <w:bCs/>
                <w:sz w:val="18"/>
                <w:szCs w:val="18"/>
              </w:rPr>
              <w:t xml:space="preserve">30.844.523 </w:t>
            </w:r>
          </w:p>
        </w:tc>
      </w:tr>
      <w:tr w:rsidR="00732299" w14:paraId="1A8A7C21" w14:textId="77777777" w:rsidTr="006265F5">
        <w:trPr>
          <w:trHeight w:val="170"/>
        </w:trPr>
        <w:tc>
          <w:tcPr>
            <w:tcW w:w="4677" w:type="dxa"/>
          </w:tcPr>
          <w:p w14:paraId="2F2F06EA"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3A291374" w14:textId="01C9A059"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695.149</w:t>
            </w:r>
          </w:p>
        </w:tc>
        <w:tc>
          <w:tcPr>
            <w:tcW w:w="1275" w:type="dxa"/>
            <w:tcBorders>
              <w:top w:val="single" w:sz="4" w:space="0" w:color="auto"/>
            </w:tcBorders>
            <w:vAlign w:val="bottom"/>
          </w:tcPr>
          <w:p w14:paraId="54DC17D0" w14:textId="6E7BAB09"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540.550 </w:t>
            </w:r>
          </w:p>
        </w:tc>
      </w:tr>
      <w:tr w:rsidR="00732299" w14:paraId="74EDBA50" w14:textId="77777777" w:rsidTr="006265F5">
        <w:trPr>
          <w:trHeight w:val="170"/>
        </w:trPr>
        <w:tc>
          <w:tcPr>
            <w:tcW w:w="4677" w:type="dxa"/>
          </w:tcPr>
          <w:p w14:paraId="4DC8B13D" w14:textId="2A99760A"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2744544B" w14:textId="2F192EC1"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5.753.531</w:t>
            </w:r>
          </w:p>
        </w:tc>
        <w:tc>
          <w:tcPr>
            <w:tcW w:w="1275" w:type="dxa"/>
            <w:vAlign w:val="bottom"/>
          </w:tcPr>
          <w:p w14:paraId="036280A4" w14:textId="2D76FEA9"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5.057.468 </w:t>
            </w:r>
          </w:p>
        </w:tc>
      </w:tr>
      <w:tr w:rsidR="00732299" w14:paraId="137B6E67" w14:textId="77777777" w:rsidTr="006265F5">
        <w:trPr>
          <w:trHeight w:val="170"/>
        </w:trPr>
        <w:tc>
          <w:tcPr>
            <w:tcW w:w="4677" w:type="dxa"/>
          </w:tcPr>
          <w:p w14:paraId="5F118BBE"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3F2ADB74" w14:textId="74237356"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34.404.573</w:t>
            </w:r>
          </w:p>
        </w:tc>
        <w:tc>
          <w:tcPr>
            <w:tcW w:w="1275" w:type="dxa"/>
            <w:vAlign w:val="bottom"/>
          </w:tcPr>
          <w:p w14:paraId="6A31CC67" w14:textId="2DAD17F7"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25.246.505 </w:t>
            </w:r>
          </w:p>
        </w:tc>
      </w:tr>
      <w:tr w:rsidR="00962DA2" w14:paraId="4FB63619" w14:textId="77777777" w:rsidTr="006265F5">
        <w:trPr>
          <w:trHeight w:val="170"/>
        </w:trPr>
        <w:tc>
          <w:tcPr>
            <w:tcW w:w="4677" w:type="dxa"/>
          </w:tcPr>
          <w:p w14:paraId="014716E0" w14:textId="77777777" w:rsidR="00962DA2" w:rsidRPr="006269A3" w:rsidRDefault="00962DA2" w:rsidP="00BE5A48">
            <w:pPr>
              <w:jc w:val="both"/>
              <w:rPr>
                <w:rFonts w:ascii="Arial" w:hAnsi="Arial" w:cs="Arial"/>
                <w:b/>
                <w:bCs/>
                <w:sz w:val="18"/>
                <w:szCs w:val="18"/>
              </w:rPr>
            </w:pPr>
          </w:p>
        </w:tc>
        <w:tc>
          <w:tcPr>
            <w:tcW w:w="1276" w:type="dxa"/>
            <w:vAlign w:val="bottom"/>
          </w:tcPr>
          <w:p w14:paraId="1F453E5B" w14:textId="120B9BA3"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3E75FEA1" w14:textId="31D93742"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w:t>
            </w:r>
          </w:p>
        </w:tc>
      </w:tr>
      <w:tr w:rsidR="00732299" w14:paraId="5563F182" w14:textId="77777777" w:rsidTr="006265F5">
        <w:trPr>
          <w:trHeight w:val="170"/>
        </w:trPr>
        <w:tc>
          <w:tcPr>
            <w:tcW w:w="4677" w:type="dxa"/>
          </w:tcPr>
          <w:p w14:paraId="1C4649E1" w14:textId="77777777" w:rsidR="00732299" w:rsidRPr="006269A3" w:rsidRDefault="00732299" w:rsidP="00732299">
            <w:pPr>
              <w:jc w:val="both"/>
              <w:rPr>
                <w:rFonts w:ascii="Arial" w:hAnsi="Arial" w:cs="Arial"/>
                <w:b/>
                <w:bCs/>
                <w:sz w:val="18"/>
                <w:szCs w:val="18"/>
                <w:lang w:eastAsia="es-AR"/>
              </w:rPr>
            </w:pPr>
            <w:r w:rsidRPr="006269A3">
              <w:rPr>
                <w:rFonts w:ascii="Arial" w:hAnsi="Arial" w:cs="Arial"/>
                <w:b/>
                <w:bCs/>
                <w:sz w:val="18"/>
                <w:szCs w:val="18"/>
              </w:rPr>
              <w:t>Riesgo bajo</w:t>
            </w:r>
          </w:p>
        </w:tc>
        <w:tc>
          <w:tcPr>
            <w:tcW w:w="1276" w:type="dxa"/>
            <w:tcBorders>
              <w:bottom w:val="single" w:sz="4" w:space="0" w:color="auto"/>
            </w:tcBorders>
            <w:vAlign w:val="bottom"/>
          </w:tcPr>
          <w:p w14:paraId="4F8D0CB0" w14:textId="3CB915E6"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1.108.863</w:t>
            </w:r>
          </w:p>
        </w:tc>
        <w:tc>
          <w:tcPr>
            <w:tcW w:w="1275" w:type="dxa"/>
            <w:tcBorders>
              <w:bottom w:val="single" w:sz="4" w:space="0" w:color="auto"/>
            </w:tcBorders>
            <w:vAlign w:val="bottom"/>
          </w:tcPr>
          <w:p w14:paraId="712C8E81" w14:textId="593D02C8"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sidRPr="00962DA2">
              <w:rPr>
                <w:rFonts w:ascii="Arial" w:hAnsi="Arial" w:cs="Arial"/>
                <w:b/>
                <w:bCs/>
                <w:sz w:val="18"/>
                <w:szCs w:val="18"/>
              </w:rPr>
              <w:t xml:space="preserve">801.829 </w:t>
            </w:r>
          </w:p>
        </w:tc>
      </w:tr>
      <w:tr w:rsidR="00732299" w14:paraId="4A6FB883" w14:textId="77777777" w:rsidTr="006265F5">
        <w:trPr>
          <w:trHeight w:val="170"/>
        </w:trPr>
        <w:tc>
          <w:tcPr>
            <w:tcW w:w="4677" w:type="dxa"/>
          </w:tcPr>
          <w:p w14:paraId="7634F1CC"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682D1CB0" w14:textId="2389F731"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90.781</w:t>
            </w:r>
          </w:p>
        </w:tc>
        <w:tc>
          <w:tcPr>
            <w:tcW w:w="1275" w:type="dxa"/>
            <w:tcBorders>
              <w:top w:val="single" w:sz="4" w:space="0" w:color="auto"/>
            </w:tcBorders>
            <w:vAlign w:val="bottom"/>
          </w:tcPr>
          <w:p w14:paraId="25B27643" w14:textId="7154121D"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26.512 </w:t>
            </w:r>
          </w:p>
        </w:tc>
      </w:tr>
      <w:tr w:rsidR="00732299" w14:paraId="3265D1BA" w14:textId="77777777" w:rsidTr="006265F5">
        <w:trPr>
          <w:trHeight w:val="170"/>
        </w:trPr>
        <w:tc>
          <w:tcPr>
            <w:tcW w:w="4677" w:type="dxa"/>
          </w:tcPr>
          <w:p w14:paraId="3B066111" w14:textId="5C522B55"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7EC69D18" w14:textId="7EDCD615"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161.396</w:t>
            </w:r>
          </w:p>
        </w:tc>
        <w:tc>
          <w:tcPr>
            <w:tcW w:w="1275" w:type="dxa"/>
            <w:vAlign w:val="bottom"/>
          </w:tcPr>
          <w:p w14:paraId="24858C58" w14:textId="7A06AA1E"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121.164 </w:t>
            </w:r>
          </w:p>
        </w:tc>
      </w:tr>
      <w:tr w:rsidR="00732299" w14:paraId="5DF9BECD" w14:textId="77777777" w:rsidTr="006265F5">
        <w:trPr>
          <w:trHeight w:val="170"/>
        </w:trPr>
        <w:tc>
          <w:tcPr>
            <w:tcW w:w="4677" w:type="dxa"/>
          </w:tcPr>
          <w:p w14:paraId="072BAA89"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3139F4B4" w14:textId="790DE82D"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856.686</w:t>
            </w:r>
          </w:p>
        </w:tc>
        <w:tc>
          <w:tcPr>
            <w:tcW w:w="1275" w:type="dxa"/>
            <w:vAlign w:val="bottom"/>
          </w:tcPr>
          <w:p w14:paraId="176D7A4E" w14:textId="1703D6A6"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654.153 </w:t>
            </w:r>
          </w:p>
        </w:tc>
      </w:tr>
      <w:tr w:rsidR="00962DA2" w14:paraId="0EBD61CB" w14:textId="77777777" w:rsidTr="006265F5">
        <w:trPr>
          <w:trHeight w:val="170"/>
        </w:trPr>
        <w:tc>
          <w:tcPr>
            <w:tcW w:w="4677" w:type="dxa"/>
          </w:tcPr>
          <w:p w14:paraId="5119AEB7" w14:textId="77777777" w:rsidR="00962DA2" w:rsidRPr="006269A3" w:rsidRDefault="00962DA2" w:rsidP="00BE5A48">
            <w:pPr>
              <w:jc w:val="both"/>
              <w:rPr>
                <w:rFonts w:ascii="Arial" w:hAnsi="Arial" w:cs="Arial"/>
                <w:b/>
                <w:bCs/>
                <w:sz w:val="18"/>
                <w:szCs w:val="18"/>
              </w:rPr>
            </w:pPr>
          </w:p>
        </w:tc>
        <w:tc>
          <w:tcPr>
            <w:tcW w:w="1276" w:type="dxa"/>
            <w:vAlign w:val="bottom"/>
          </w:tcPr>
          <w:p w14:paraId="61508010" w14:textId="3D1F1C23"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684DE0FE" w14:textId="20810AD8"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w:t>
            </w:r>
          </w:p>
        </w:tc>
      </w:tr>
      <w:tr w:rsidR="00732299" w14:paraId="0A5953FB" w14:textId="77777777" w:rsidTr="006265F5">
        <w:trPr>
          <w:trHeight w:val="170"/>
        </w:trPr>
        <w:tc>
          <w:tcPr>
            <w:tcW w:w="4677" w:type="dxa"/>
          </w:tcPr>
          <w:p w14:paraId="125D6358" w14:textId="77777777" w:rsidR="00732299" w:rsidRPr="006269A3" w:rsidRDefault="00732299" w:rsidP="00732299">
            <w:pPr>
              <w:jc w:val="both"/>
              <w:rPr>
                <w:rFonts w:ascii="Arial" w:hAnsi="Arial" w:cs="Arial"/>
                <w:b/>
                <w:bCs/>
                <w:sz w:val="18"/>
                <w:szCs w:val="18"/>
                <w:lang w:eastAsia="es-AR"/>
              </w:rPr>
            </w:pPr>
            <w:r w:rsidRPr="006269A3">
              <w:rPr>
                <w:rFonts w:ascii="Arial" w:hAnsi="Arial" w:cs="Arial"/>
                <w:b/>
                <w:bCs/>
                <w:sz w:val="18"/>
                <w:szCs w:val="18"/>
              </w:rPr>
              <w:t>Riesgo medio</w:t>
            </w:r>
          </w:p>
        </w:tc>
        <w:tc>
          <w:tcPr>
            <w:tcW w:w="1276" w:type="dxa"/>
            <w:tcBorders>
              <w:bottom w:val="single" w:sz="4" w:space="0" w:color="auto"/>
            </w:tcBorders>
            <w:vAlign w:val="bottom"/>
          </w:tcPr>
          <w:p w14:paraId="23B8DC18" w14:textId="55604D4E"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913.370</w:t>
            </w:r>
          </w:p>
        </w:tc>
        <w:tc>
          <w:tcPr>
            <w:tcW w:w="1275" w:type="dxa"/>
            <w:tcBorders>
              <w:bottom w:val="single" w:sz="4" w:space="0" w:color="auto"/>
            </w:tcBorders>
            <w:vAlign w:val="bottom"/>
          </w:tcPr>
          <w:p w14:paraId="05E0563F" w14:textId="6AFCDA41"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sidRPr="00962DA2">
              <w:rPr>
                <w:rFonts w:ascii="Arial" w:hAnsi="Arial" w:cs="Arial"/>
                <w:b/>
                <w:bCs/>
                <w:sz w:val="18"/>
                <w:szCs w:val="18"/>
              </w:rPr>
              <w:t xml:space="preserve">538.041 </w:t>
            </w:r>
          </w:p>
        </w:tc>
      </w:tr>
      <w:tr w:rsidR="00732299" w14:paraId="435F80C7" w14:textId="77777777" w:rsidTr="006265F5">
        <w:trPr>
          <w:trHeight w:val="170"/>
        </w:trPr>
        <w:tc>
          <w:tcPr>
            <w:tcW w:w="4677" w:type="dxa"/>
          </w:tcPr>
          <w:p w14:paraId="1FF7744A"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733505E2" w14:textId="6A829F45"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46.794</w:t>
            </w:r>
          </w:p>
        </w:tc>
        <w:tc>
          <w:tcPr>
            <w:tcW w:w="1275" w:type="dxa"/>
            <w:tcBorders>
              <w:top w:val="single" w:sz="4" w:space="0" w:color="auto"/>
            </w:tcBorders>
            <w:vAlign w:val="bottom"/>
          </w:tcPr>
          <w:p w14:paraId="542FA87C" w14:textId="2646730E"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11.560 </w:t>
            </w:r>
          </w:p>
        </w:tc>
      </w:tr>
      <w:tr w:rsidR="00732299" w14:paraId="0AE8BFBC" w14:textId="77777777" w:rsidTr="006265F5">
        <w:trPr>
          <w:trHeight w:val="170"/>
        </w:trPr>
        <w:tc>
          <w:tcPr>
            <w:tcW w:w="4677" w:type="dxa"/>
          </w:tcPr>
          <w:p w14:paraId="41DC2311" w14:textId="6C3FD882"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"B"</w:t>
            </w:r>
          </w:p>
        </w:tc>
        <w:tc>
          <w:tcPr>
            <w:tcW w:w="1276" w:type="dxa"/>
            <w:vAlign w:val="bottom"/>
          </w:tcPr>
          <w:p w14:paraId="353A15AC" w14:textId="30251686"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110.107</w:t>
            </w:r>
          </w:p>
        </w:tc>
        <w:tc>
          <w:tcPr>
            <w:tcW w:w="1275" w:type="dxa"/>
            <w:vAlign w:val="bottom"/>
          </w:tcPr>
          <w:p w14:paraId="105E40CD" w14:textId="7FF06DC0"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25.734 </w:t>
            </w:r>
          </w:p>
        </w:tc>
      </w:tr>
      <w:tr w:rsidR="00732299" w14:paraId="3B358E80" w14:textId="77777777" w:rsidTr="006265F5">
        <w:trPr>
          <w:trHeight w:val="170"/>
        </w:trPr>
        <w:tc>
          <w:tcPr>
            <w:tcW w:w="4677" w:type="dxa"/>
          </w:tcPr>
          <w:p w14:paraId="1E1038CF"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6F6028CD" w14:textId="19DDE135"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756.469</w:t>
            </w:r>
          </w:p>
        </w:tc>
        <w:tc>
          <w:tcPr>
            <w:tcW w:w="1275" w:type="dxa"/>
            <w:vAlign w:val="bottom"/>
          </w:tcPr>
          <w:p w14:paraId="570A24E0" w14:textId="70BB6C56"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500.747 </w:t>
            </w:r>
          </w:p>
        </w:tc>
      </w:tr>
      <w:tr w:rsidR="00962DA2" w14:paraId="6FBBEADF" w14:textId="77777777" w:rsidTr="006265F5">
        <w:trPr>
          <w:trHeight w:val="170"/>
        </w:trPr>
        <w:tc>
          <w:tcPr>
            <w:tcW w:w="4677" w:type="dxa"/>
          </w:tcPr>
          <w:p w14:paraId="10A89846" w14:textId="77777777" w:rsidR="00962DA2" w:rsidRPr="006269A3" w:rsidRDefault="00962DA2" w:rsidP="00BE5A48">
            <w:pPr>
              <w:jc w:val="both"/>
              <w:rPr>
                <w:rFonts w:ascii="Arial" w:hAnsi="Arial" w:cs="Arial"/>
                <w:b/>
                <w:bCs/>
                <w:sz w:val="18"/>
                <w:szCs w:val="18"/>
              </w:rPr>
            </w:pPr>
          </w:p>
        </w:tc>
        <w:tc>
          <w:tcPr>
            <w:tcW w:w="1276" w:type="dxa"/>
            <w:vAlign w:val="bottom"/>
          </w:tcPr>
          <w:p w14:paraId="2EE66BC1" w14:textId="608B0367"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58C0990A" w14:textId="414C07E3"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w:t>
            </w:r>
          </w:p>
        </w:tc>
      </w:tr>
      <w:tr w:rsidR="00732299" w14:paraId="77B920B3" w14:textId="77777777" w:rsidTr="006265F5">
        <w:trPr>
          <w:trHeight w:val="170"/>
        </w:trPr>
        <w:tc>
          <w:tcPr>
            <w:tcW w:w="4677" w:type="dxa"/>
          </w:tcPr>
          <w:p w14:paraId="172E6FD7" w14:textId="77777777" w:rsidR="00732299" w:rsidRPr="006269A3" w:rsidRDefault="00732299" w:rsidP="00732299">
            <w:pPr>
              <w:jc w:val="both"/>
              <w:rPr>
                <w:rFonts w:ascii="Arial" w:hAnsi="Arial" w:cs="Arial"/>
                <w:b/>
                <w:bCs/>
                <w:sz w:val="18"/>
                <w:szCs w:val="18"/>
                <w:lang w:eastAsia="es-AR"/>
              </w:rPr>
            </w:pPr>
            <w:r w:rsidRPr="006269A3">
              <w:rPr>
                <w:rFonts w:ascii="Arial" w:hAnsi="Arial" w:cs="Arial"/>
                <w:b/>
                <w:bCs/>
                <w:sz w:val="18"/>
                <w:szCs w:val="18"/>
              </w:rPr>
              <w:t>Riesgo alto</w:t>
            </w:r>
          </w:p>
        </w:tc>
        <w:tc>
          <w:tcPr>
            <w:tcW w:w="1276" w:type="dxa"/>
            <w:tcBorders>
              <w:bottom w:val="single" w:sz="4" w:space="0" w:color="auto"/>
            </w:tcBorders>
            <w:vAlign w:val="bottom"/>
          </w:tcPr>
          <w:p w14:paraId="6B854446" w14:textId="2D5CCBD3"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983.187</w:t>
            </w:r>
          </w:p>
        </w:tc>
        <w:tc>
          <w:tcPr>
            <w:tcW w:w="1275" w:type="dxa"/>
            <w:tcBorders>
              <w:bottom w:val="single" w:sz="4" w:space="0" w:color="auto"/>
            </w:tcBorders>
            <w:vAlign w:val="bottom"/>
          </w:tcPr>
          <w:p w14:paraId="729921F8" w14:textId="0FDE3C47"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sidRPr="00962DA2">
              <w:rPr>
                <w:rFonts w:ascii="Arial" w:hAnsi="Arial" w:cs="Arial"/>
                <w:b/>
                <w:bCs/>
                <w:sz w:val="18"/>
                <w:szCs w:val="18"/>
              </w:rPr>
              <w:t xml:space="preserve">466.837 </w:t>
            </w:r>
          </w:p>
        </w:tc>
      </w:tr>
      <w:tr w:rsidR="00732299" w14:paraId="3715A984" w14:textId="77777777" w:rsidTr="006265F5">
        <w:trPr>
          <w:trHeight w:val="170"/>
        </w:trPr>
        <w:tc>
          <w:tcPr>
            <w:tcW w:w="4677" w:type="dxa"/>
          </w:tcPr>
          <w:p w14:paraId="14286BBD"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6DB9FD1C" w14:textId="5C041699"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23.998</w:t>
            </w:r>
          </w:p>
        </w:tc>
        <w:tc>
          <w:tcPr>
            <w:tcW w:w="1275" w:type="dxa"/>
            <w:tcBorders>
              <w:top w:val="single" w:sz="4" w:space="0" w:color="auto"/>
            </w:tcBorders>
            <w:vAlign w:val="bottom"/>
          </w:tcPr>
          <w:p w14:paraId="13301801" w14:textId="35AF3AF4"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3.148 </w:t>
            </w:r>
          </w:p>
        </w:tc>
      </w:tr>
      <w:tr w:rsidR="00732299" w14:paraId="4387B8D4" w14:textId="77777777" w:rsidTr="006265F5">
        <w:trPr>
          <w:trHeight w:val="170"/>
        </w:trPr>
        <w:tc>
          <w:tcPr>
            <w:tcW w:w="4677" w:type="dxa"/>
          </w:tcPr>
          <w:p w14:paraId="55150DE9" w14:textId="7D0E6D96"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23C37F22" w14:textId="23E3C739"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58.727</w:t>
            </w:r>
          </w:p>
        </w:tc>
        <w:tc>
          <w:tcPr>
            <w:tcW w:w="1275" w:type="dxa"/>
            <w:vAlign w:val="bottom"/>
          </w:tcPr>
          <w:p w14:paraId="1DF10CE0" w14:textId="1C496B74"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8.398 </w:t>
            </w:r>
          </w:p>
        </w:tc>
      </w:tr>
      <w:tr w:rsidR="00732299" w14:paraId="15138CC2" w14:textId="77777777" w:rsidTr="006265F5">
        <w:trPr>
          <w:trHeight w:val="170"/>
        </w:trPr>
        <w:tc>
          <w:tcPr>
            <w:tcW w:w="4677" w:type="dxa"/>
          </w:tcPr>
          <w:p w14:paraId="48CA737C"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19BD270E" w14:textId="745E8ECD"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900.462</w:t>
            </w:r>
          </w:p>
        </w:tc>
        <w:tc>
          <w:tcPr>
            <w:tcW w:w="1275" w:type="dxa"/>
            <w:vAlign w:val="bottom"/>
          </w:tcPr>
          <w:p w14:paraId="088FF0BF" w14:textId="2C2FF36C"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455.291 </w:t>
            </w:r>
          </w:p>
        </w:tc>
      </w:tr>
      <w:tr w:rsidR="00962DA2" w14:paraId="1BF81CD5" w14:textId="77777777" w:rsidTr="006265F5">
        <w:trPr>
          <w:trHeight w:val="170"/>
        </w:trPr>
        <w:tc>
          <w:tcPr>
            <w:tcW w:w="4677" w:type="dxa"/>
          </w:tcPr>
          <w:p w14:paraId="2A0B98E3" w14:textId="77777777" w:rsidR="00962DA2" w:rsidRPr="006269A3" w:rsidRDefault="00962DA2" w:rsidP="00BE5A48">
            <w:pPr>
              <w:jc w:val="both"/>
              <w:rPr>
                <w:rFonts w:ascii="Arial" w:hAnsi="Arial" w:cs="Arial"/>
                <w:b/>
                <w:bCs/>
                <w:sz w:val="18"/>
                <w:szCs w:val="18"/>
              </w:rPr>
            </w:pPr>
          </w:p>
        </w:tc>
        <w:tc>
          <w:tcPr>
            <w:tcW w:w="1276" w:type="dxa"/>
            <w:vAlign w:val="bottom"/>
          </w:tcPr>
          <w:p w14:paraId="19F50EF7" w14:textId="1FCEA031"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694BCCAE" w14:textId="28F05B39"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w:t>
            </w:r>
          </w:p>
        </w:tc>
      </w:tr>
      <w:tr w:rsidR="00732299" w14:paraId="777606B9" w14:textId="77777777" w:rsidTr="006265F5">
        <w:trPr>
          <w:trHeight w:val="170"/>
        </w:trPr>
        <w:tc>
          <w:tcPr>
            <w:tcW w:w="4677" w:type="dxa"/>
          </w:tcPr>
          <w:p w14:paraId="1876E741" w14:textId="77777777" w:rsidR="00732299" w:rsidRPr="006269A3" w:rsidRDefault="00732299" w:rsidP="00732299">
            <w:pPr>
              <w:jc w:val="both"/>
              <w:rPr>
                <w:rFonts w:ascii="Arial" w:hAnsi="Arial" w:cs="Arial"/>
                <w:b/>
                <w:bCs/>
                <w:sz w:val="18"/>
                <w:szCs w:val="18"/>
                <w:lang w:eastAsia="es-AR"/>
              </w:rPr>
            </w:pPr>
            <w:r w:rsidRPr="006269A3">
              <w:rPr>
                <w:rFonts w:ascii="Arial" w:hAnsi="Arial" w:cs="Arial"/>
                <w:b/>
                <w:bCs/>
                <w:sz w:val="18"/>
                <w:szCs w:val="18"/>
              </w:rPr>
              <w:t>Irrecuperable</w:t>
            </w:r>
          </w:p>
        </w:tc>
        <w:tc>
          <w:tcPr>
            <w:tcW w:w="1276" w:type="dxa"/>
            <w:tcBorders>
              <w:bottom w:val="single" w:sz="4" w:space="0" w:color="auto"/>
            </w:tcBorders>
            <w:vAlign w:val="bottom"/>
          </w:tcPr>
          <w:p w14:paraId="24927438" w14:textId="37FF379C"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239.966</w:t>
            </w:r>
          </w:p>
        </w:tc>
        <w:tc>
          <w:tcPr>
            <w:tcW w:w="1275" w:type="dxa"/>
            <w:tcBorders>
              <w:bottom w:val="single" w:sz="4" w:space="0" w:color="auto"/>
            </w:tcBorders>
            <w:vAlign w:val="bottom"/>
          </w:tcPr>
          <w:p w14:paraId="21814663" w14:textId="18EB12F6"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sidRPr="00962DA2">
              <w:rPr>
                <w:rFonts w:ascii="Arial" w:hAnsi="Arial" w:cs="Arial"/>
                <w:b/>
                <w:bCs/>
                <w:sz w:val="18"/>
                <w:szCs w:val="18"/>
              </w:rPr>
              <w:t xml:space="preserve">43.335 </w:t>
            </w:r>
          </w:p>
        </w:tc>
      </w:tr>
      <w:tr w:rsidR="00732299" w14:paraId="018A3C2A" w14:textId="77777777" w:rsidTr="006265F5">
        <w:trPr>
          <w:trHeight w:val="170"/>
        </w:trPr>
        <w:tc>
          <w:tcPr>
            <w:tcW w:w="4677" w:type="dxa"/>
          </w:tcPr>
          <w:p w14:paraId="05ECE158"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"A"</w:t>
            </w:r>
          </w:p>
        </w:tc>
        <w:tc>
          <w:tcPr>
            <w:tcW w:w="1276" w:type="dxa"/>
            <w:tcBorders>
              <w:top w:val="single" w:sz="4" w:space="0" w:color="auto"/>
            </w:tcBorders>
            <w:vAlign w:val="bottom"/>
          </w:tcPr>
          <w:p w14:paraId="6B8DA370" w14:textId="550535CF"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4.990</w:t>
            </w:r>
          </w:p>
        </w:tc>
        <w:tc>
          <w:tcPr>
            <w:tcW w:w="1275" w:type="dxa"/>
            <w:tcBorders>
              <w:top w:val="single" w:sz="4" w:space="0" w:color="auto"/>
            </w:tcBorders>
            <w:vAlign w:val="bottom"/>
          </w:tcPr>
          <w:p w14:paraId="33C401EA" w14:textId="62F0BC0F"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52 </w:t>
            </w:r>
          </w:p>
        </w:tc>
      </w:tr>
      <w:tr w:rsidR="00732299" w14:paraId="3C774468" w14:textId="77777777" w:rsidTr="006265F5">
        <w:trPr>
          <w:trHeight w:val="170"/>
        </w:trPr>
        <w:tc>
          <w:tcPr>
            <w:tcW w:w="4677" w:type="dxa"/>
          </w:tcPr>
          <w:p w14:paraId="2F32B5AE"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4770A44F" w14:textId="43EE33BF"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28.165</w:t>
            </w:r>
          </w:p>
        </w:tc>
        <w:tc>
          <w:tcPr>
            <w:tcW w:w="1275" w:type="dxa"/>
            <w:vAlign w:val="bottom"/>
          </w:tcPr>
          <w:p w14:paraId="475C56B5" w14:textId="60803B59"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1.166 </w:t>
            </w:r>
          </w:p>
        </w:tc>
      </w:tr>
      <w:tr w:rsidR="00732299" w14:paraId="6176B5F7" w14:textId="77777777" w:rsidTr="006265F5">
        <w:trPr>
          <w:trHeight w:val="170"/>
        </w:trPr>
        <w:tc>
          <w:tcPr>
            <w:tcW w:w="4677" w:type="dxa"/>
          </w:tcPr>
          <w:p w14:paraId="46881DC7"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6EEB2685" w14:textId="2443EF4B"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206.811</w:t>
            </w:r>
          </w:p>
        </w:tc>
        <w:tc>
          <w:tcPr>
            <w:tcW w:w="1275" w:type="dxa"/>
            <w:vAlign w:val="bottom"/>
          </w:tcPr>
          <w:p w14:paraId="4E31A43E" w14:textId="4DC8B793"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42.117 </w:t>
            </w:r>
          </w:p>
        </w:tc>
      </w:tr>
      <w:tr w:rsidR="00962DA2" w14:paraId="147351D2" w14:textId="77777777" w:rsidTr="006265F5">
        <w:trPr>
          <w:trHeight w:val="170"/>
        </w:trPr>
        <w:tc>
          <w:tcPr>
            <w:tcW w:w="4677" w:type="dxa"/>
          </w:tcPr>
          <w:p w14:paraId="222F9D99" w14:textId="77777777" w:rsidR="00962DA2" w:rsidRPr="006269A3" w:rsidRDefault="00962DA2" w:rsidP="00BE5A48">
            <w:pPr>
              <w:jc w:val="both"/>
              <w:rPr>
                <w:rFonts w:ascii="Arial" w:hAnsi="Arial" w:cs="Arial"/>
                <w:b/>
                <w:bCs/>
                <w:sz w:val="18"/>
                <w:szCs w:val="18"/>
              </w:rPr>
            </w:pPr>
          </w:p>
        </w:tc>
        <w:tc>
          <w:tcPr>
            <w:tcW w:w="1276" w:type="dxa"/>
            <w:vAlign w:val="bottom"/>
          </w:tcPr>
          <w:p w14:paraId="17BDBA65" w14:textId="53D1D332"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vAlign w:val="bottom"/>
          </w:tcPr>
          <w:p w14:paraId="64A476ED" w14:textId="719AC882"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w:t>
            </w:r>
          </w:p>
        </w:tc>
      </w:tr>
      <w:tr w:rsidR="00732299" w14:paraId="34FB7562" w14:textId="77777777" w:rsidTr="006265F5">
        <w:trPr>
          <w:trHeight w:val="170"/>
        </w:trPr>
        <w:tc>
          <w:tcPr>
            <w:tcW w:w="4677" w:type="dxa"/>
          </w:tcPr>
          <w:p w14:paraId="27169219" w14:textId="77777777" w:rsidR="00732299" w:rsidRPr="006269A3" w:rsidRDefault="00732299" w:rsidP="00732299">
            <w:pPr>
              <w:jc w:val="both"/>
              <w:rPr>
                <w:rFonts w:ascii="Arial" w:hAnsi="Arial" w:cs="Arial"/>
                <w:b/>
                <w:bCs/>
                <w:sz w:val="18"/>
                <w:szCs w:val="18"/>
                <w:lang w:eastAsia="es-AR"/>
              </w:rPr>
            </w:pPr>
            <w:r w:rsidRPr="006269A3">
              <w:rPr>
                <w:rFonts w:ascii="Arial" w:hAnsi="Arial" w:cs="Arial"/>
                <w:b/>
                <w:bCs/>
                <w:sz w:val="18"/>
                <w:szCs w:val="18"/>
              </w:rPr>
              <w:t>Irrecuperable por disposición técnica</w:t>
            </w:r>
          </w:p>
        </w:tc>
        <w:tc>
          <w:tcPr>
            <w:tcW w:w="1276" w:type="dxa"/>
            <w:tcBorders>
              <w:bottom w:val="single" w:sz="4" w:space="0" w:color="auto"/>
            </w:tcBorders>
            <w:vAlign w:val="bottom"/>
          </w:tcPr>
          <w:p w14:paraId="27EF9463" w14:textId="1FB2263B"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1.146</w:t>
            </w:r>
          </w:p>
        </w:tc>
        <w:tc>
          <w:tcPr>
            <w:tcW w:w="1275" w:type="dxa"/>
            <w:tcBorders>
              <w:bottom w:val="single" w:sz="4" w:space="0" w:color="auto"/>
            </w:tcBorders>
            <w:vAlign w:val="bottom"/>
          </w:tcPr>
          <w:p w14:paraId="2D1C627F" w14:textId="76753AA3"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sidRPr="00962DA2">
              <w:rPr>
                <w:rFonts w:ascii="Arial" w:hAnsi="Arial" w:cs="Arial"/>
                <w:b/>
                <w:bCs/>
                <w:sz w:val="18"/>
                <w:szCs w:val="18"/>
              </w:rPr>
              <w:t xml:space="preserve">1.512 </w:t>
            </w:r>
          </w:p>
        </w:tc>
      </w:tr>
      <w:tr w:rsidR="00732299" w14:paraId="357C1354" w14:textId="77777777" w:rsidTr="006265F5">
        <w:trPr>
          <w:trHeight w:val="170"/>
        </w:trPr>
        <w:tc>
          <w:tcPr>
            <w:tcW w:w="4677" w:type="dxa"/>
          </w:tcPr>
          <w:p w14:paraId="2DD302E0"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preferidas y contragarantías "A"</w:t>
            </w:r>
          </w:p>
        </w:tc>
        <w:tc>
          <w:tcPr>
            <w:tcW w:w="1276" w:type="dxa"/>
            <w:tcBorders>
              <w:top w:val="single" w:sz="4" w:space="0" w:color="auto"/>
            </w:tcBorders>
            <w:vAlign w:val="bottom"/>
          </w:tcPr>
          <w:p w14:paraId="13220FCA" w14:textId="10717456" w:rsidR="00732299" w:rsidRPr="001B4F5C" w:rsidRDefault="00732299" w:rsidP="00732299">
            <w:pPr>
              <w:widowControl w:val="0"/>
              <w:autoSpaceDE w:val="0"/>
              <w:autoSpaceDN w:val="0"/>
              <w:adjustRightInd w:val="0"/>
              <w:jc w:val="right"/>
              <w:rPr>
                <w:rFonts w:ascii="Arial" w:hAnsi="Arial" w:cs="Arial"/>
                <w:noProof/>
                <w:sz w:val="18"/>
                <w:szCs w:val="18"/>
              </w:rPr>
            </w:pPr>
            <w:r>
              <w:rPr>
                <w:rFonts w:ascii="Arial" w:hAnsi="Arial" w:cs="Arial"/>
                <w:sz w:val="18"/>
                <w:szCs w:val="18"/>
              </w:rPr>
              <w:t xml:space="preserve">- </w:t>
            </w:r>
          </w:p>
        </w:tc>
        <w:tc>
          <w:tcPr>
            <w:tcW w:w="1275" w:type="dxa"/>
            <w:tcBorders>
              <w:top w:val="single" w:sz="4" w:space="0" w:color="auto"/>
            </w:tcBorders>
            <w:vAlign w:val="bottom"/>
          </w:tcPr>
          <w:p w14:paraId="1CC465A4" w14:textId="56E8BE69" w:rsidR="00732299" w:rsidRPr="001B4F5C" w:rsidRDefault="00732299" w:rsidP="00732299">
            <w:pPr>
              <w:widowControl w:val="0"/>
              <w:autoSpaceDE w:val="0"/>
              <w:autoSpaceDN w:val="0"/>
              <w:adjustRightInd w:val="0"/>
              <w:jc w:val="right"/>
              <w:rPr>
                <w:rFonts w:ascii="Arial" w:hAnsi="Arial" w:cs="Arial"/>
                <w:noProof/>
                <w:sz w:val="18"/>
                <w:szCs w:val="18"/>
              </w:rPr>
            </w:pPr>
            <w:r w:rsidRPr="001B4F5C">
              <w:rPr>
                <w:rFonts w:ascii="Arial" w:hAnsi="Arial" w:cs="Arial"/>
                <w:sz w:val="18"/>
                <w:szCs w:val="18"/>
              </w:rPr>
              <w:t xml:space="preserve">- </w:t>
            </w:r>
          </w:p>
        </w:tc>
      </w:tr>
      <w:tr w:rsidR="00732299" w14:paraId="70CC8E63" w14:textId="77777777" w:rsidTr="006265F5">
        <w:trPr>
          <w:trHeight w:val="170"/>
        </w:trPr>
        <w:tc>
          <w:tcPr>
            <w:tcW w:w="4677" w:type="dxa"/>
          </w:tcPr>
          <w:p w14:paraId="73FE53AE"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Con garantías y contragarantías preferidas "B"</w:t>
            </w:r>
          </w:p>
        </w:tc>
        <w:tc>
          <w:tcPr>
            <w:tcW w:w="1276" w:type="dxa"/>
            <w:vAlign w:val="bottom"/>
          </w:tcPr>
          <w:p w14:paraId="7EDD3610" w14:textId="6B88C4FB"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 xml:space="preserve">- </w:t>
            </w:r>
          </w:p>
        </w:tc>
        <w:tc>
          <w:tcPr>
            <w:tcW w:w="1275" w:type="dxa"/>
            <w:vAlign w:val="bottom"/>
          </w:tcPr>
          <w:p w14:paraId="07700DC2" w14:textId="08C0E12D"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 </w:t>
            </w:r>
          </w:p>
        </w:tc>
      </w:tr>
      <w:tr w:rsidR="00732299" w14:paraId="0C4C4DCA" w14:textId="77777777" w:rsidTr="006265F5">
        <w:trPr>
          <w:trHeight w:val="170"/>
        </w:trPr>
        <w:tc>
          <w:tcPr>
            <w:tcW w:w="4677" w:type="dxa"/>
          </w:tcPr>
          <w:p w14:paraId="727F4DAB" w14:textId="77777777" w:rsidR="00732299" w:rsidRPr="006269A3" w:rsidRDefault="00732299" w:rsidP="00732299">
            <w:pPr>
              <w:ind w:firstLineChars="200" w:firstLine="360"/>
              <w:jc w:val="both"/>
              <w:rPr>
                <w:rFonts w:ascii="Arial" w:hAnsi="Arial" w:cs="Arial"/>
                <w:sz w:val="18"/>
                <w:szCs w:val="18"/>
                <w:lang w:eastAsia="es-AR"/>
              </w:rPr>
            </w:pPr>
            <w:r w:rsidRPr="006269A3">
              <w:rPr>
                <w:rFonts w:ascii="Arial" w:hAnsi="Arial" w:cs="Arial"/>
                <w:sz w:val="18"/>
                <w:szCs w:val="18"/>
              </w:rPr>
              <w:t>Sin garantías ni contragarantías preferidas</w:t>
            </w:r>
          </w:p>
        </w:tc>
        <w:tc>
          <w:tcPr>
            <w:tcW w:w="1276" w:type="dxa"/>
            <w:vAlign w:val="bottom"/>
          </w:tcPr>
          <w:p w14:paraId="18D393EE" w14:textId="78F9C4CB"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sz w:val="18"/>
                <w:szCs w:val="18"/>
              </w:rPr>
              <w:t>1.146</w:t>
            </w:r>
          </w:p>
        </w:tc>
        <w:tc>
          <w:tcPr>
            <w:tcW w:w="1275" w:type="dxa"/>
            <w:vAlign w:val="bottom"/>
          </w:tcPr>
          <w:p w14:paraId="07DEE037" w14:textId="77DB0E78"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xml:space="preserve">1.512 </w:t>
            </w:r>
          </w:p>
        </w:tc>
      </w:tr>
      <w:tr w:rsidR="00962DA2" w14:paraId="7BBFA922" w14:textId="77777777" w:rsidTr="006265F5">
        <w:trPr>
          <w:trHeight w:val="80"/>
        </w:trPr>
        <w:tc>
          <w:tcPr>
            <w:tcW w:w="4677" w:type="dxa"/>
            <w:tcBorders>
              <w:bottom w:val="single" w:sz="4" w:space="0" w:color="auto"/>
            </w:tcBorders>
          </w:tcPr>
          <w:p w14:paraId="6650ED83" w14:textId="77777777" w:rsidR="00962DA2" w:rsidRPr="006269A3" w:rsidRDefault="00962DA2" w:rsidP="00BE5A48">
            <w:pPr>
              <w:ind w:firstLineChars="200" w:firstLine="360"/>
              <w:jc w:val="both"/>
              <w:rPr>
                <w:rFonts w:ascii="Arial" w:hAnsi="Arial" w:cs="Arial"/>
                <w:sz w:val="18"/>
                <w:szCs w:val="18"/>
              </w:rPr>
            </w:pPr>
          </w:p>
        </w:tc>
        <w:tc>
          <w:tcPr>
            <w:tcW w:w="1276" w:type="dxa"/>
            <w:tcBorders>
              <w:bottom w:val="single" w:sz="4" w:space="0" w:color="auto"/>
            </w:tcBorders>
            <w:vAlign w:val="bottom"/>
          </w:tcPr>
          <w:p w14:paraId="49B49E18" w14:textId="62A94836"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tcBorders>
              <w:bottom w:val="single" w:sz="4" w:space="0" w:color="auto"/>
            </w:tcBorders>
            <w:vAlign w:val="bottom"/>
          </w:tcPr>
          <w:p w14:paraId="3121E0F3" w14:textId="539B4119"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sz w:val="18"/>
                <w:szCs w:val="18"/>
              </w:rPr>
              <w:t> </w:t>
            </w:r>
          </w:p>
        </w:tc>
      </w:tr>
      <w:tr w:rsidR="00962DA2" w14:paraId="4FF03BCE" w14:textId="77777777" w:rsidTr="006265F5">
        <w:tc>
          <w:tcPr>
            <w:tcW w:w="4677" w:type="dxa"/>
            <w:tcBorders>
              <w:top w:val="single" w:sz="4" w:space="0" w:color="auto"/>
              <w:bottom w:val="single" w:sz="4" w:space="0" w:color="auto"/>
            </w:tcBorders>
          </w:tcPr>
          <w:p w14:paraId="02C87BE9" w14:textId="77777777" w:rsidR="00962DA2" w:rsidRPr="006269A3" w:rsidRDefault="00962DA2" w:rsidP="00BE5A48">
            <w:pPr>
              <w:jc w:val="both"/>
              <w:rPr>
                <w:rFonts w:ascii="Arial" w:hAnsi="Arial" w:cs="Arial"/>
                <w:b/>
                <w:bCs/>
                <w:sz w:val="18"/>
                <w:szCs w:val="18"/>
                <w:lang w:eastAsia="es-AR"/>
              </w:rPr>
            </w:pPr>
            <w:r w:rsidRPr="006269A3">
              <w:rPr>
                <w:rFonts w:ascii="Arial" w:hAnsi="Arial" w:cs="Arial"/>
                <w:b/>
                <w:bCs/>
                <w:sz w:val="18"/>
                <w:szCs w:val="18"/>
              </w:rPr>
              <w:t>TOTAL</w:t>
            </w:r>
          </w:p>
        </w:tc>
        <w:tc>
          <w:tcPr>
            <w:tcW w:w="1276" w:type="dxa"/>
            <w:tcBorders>
              <w:top w:val="single" w:sz="4" w:space="0" w:color="auto"/>
              <w:bottom w:val="single" w:sz="4" w:space="0" w:color="auto"/>
            </w:tcBorders>
            <w:vAlign w:val="bottom"/>
          </w:tcPr>
          <w:p w14:paraId="6046452D" w14:textId="251315E5" w:rsidR="00962DA2" w:rsidRPr="00EE63C4" w:rsidRDefault="00732299" w:rsidP="00732299">
            <w:pPr>
              <w:jc w:val="right"/>
              <w:rPr>
                <w:rFonts w:ascii="Arial" w:hAnsi="Arial" w:cs="Arial"/>
                <w:b/>
                <w:bCs/>
                <w:sz w:val="18"/>
                <w:szCs w:val="18"/>
                <w:lang w:eastAsia="es-AR"/>
              </w:rPr>
            </w:pPr>
            <w:r>
              <w:rPr>
                <w:rFonts w:ascii="Arial" w:hAnsi="Arial" w:cs="Arial"/>
                <w:b/>
                <w:bCs/>
                <w:sz w:val="18"/>
                <w:szCs w:val="18"/>
              </w:rPr>
              <w:t xml:space="preserve">44.099.785 </w:t>
            </w:r>
          </w:p>
        </w:tc>
        <w:tc>
          <w:tcPr>
            <w:tcW w:w="1275" w:type="dxa"/>
            <w:tcBorders>
              <w:top w:val="single" w:sz="4" w:space="0" w:color="auto"/>
              <w:bottom w:val="single" w:sz="4" w:space="0" w:color="auto"/>
            </w:tcBorders>
            <w:vAlign w:val="bottom"/>
          </w:tcPr>
          <w:p w14:paraId="02D8BDA6" w14:textId="28659F06" w:rsidR="00962DA2" w:rsidRPr="00962DA2" w:rsidRDefault="00962DA2" w:rsidP="00962DA2">
            <w:pPr>
              <w:widowControl w:val="0"/>
              <w:autoSpaceDE w:val="0"/>
              <w:autoSpaceDN w:val="0"/>
              <w:adjustRightInd w:val="0"/>
              <w:jc w:val="right"/>
              <w:rPr>
                <w:rFonts w:ascii="Arial" w:hAnsi="Arial" w:cs="Arial"/>
                <w:b/>
                <w:noProof/>
                <w:sz w:val="18"/>
                <w:szCs w:val="18"/>
                <w:highlight w:val="yellow"/>
              </w:rPr>
            </w:pPr>
            <w:r w:rsidRPr="00962DA2">
              <w:rPr>
                <w:rFonts w:ascii="Arial" w:hAnsi="Arial" w:cs="Arial"/>
                <w:b/>
                <w:bCs/>
                <w:sz w:val="18"/>
                <w:szCs w:val="18"/>
              </w:rPr>
              <w:t xml:space="preserve">32.696.077 </w:t>
            </w:r>
          </w:p>
        </w:tc>
      </w:tr>
      <w:tr w:rsidR="00962DA2" w14:paraId="3130729E" w14:textId="77777777" w:rsidTr="00BE5A48">
        <w:trPr>
          <w:trHeight w:val="20"/>
        </w:trPr>
        <w:tc>
          <w:tcPr>
            <w:tcW w:w="4677" w:type="dxa"/>
            <w:tcBorders>
              <w:top w:val="single" w:sz="4" w:space="0" w:color="auto"/>
              <w:bottom w:val="single" w:sz="4" w:space="0" w:color="auto"/>
            </w:tcBorders>
          </w:tcPr>
          <w:p w14:paraId="4E333803" w14:textId="77777777" w:rsidR="00962DA2" w:rsidRPr="006269A3" w:rsidRDefault="00962DA2" w:rsidP="00BE5A48">
            <w:pPr>
              <w:widowControl w:val="0"/>
              <w:autoSpaceDE w:val="0"/>
              <w:autoSpaceDN w:val="0"/>
              <w:adjustRightInd w:val="0"/>
              <w:jc w:val="both"/>
              <w:rPr>
                <w:rFonts w:ascii="Arial" w:hAnsi="Arial" w:cs="Arial"/>
                <w:noProof/>
                <w:sz w:val="10"/>
                <w:szCs w:val="10"/>
                <w:highlight w:val="yellow"/>
              </w:rPr>
            </w:pPr>
          </w:p>
        </w:tc>
        <w:tc>
          <w:tcPr>
            <w:tcW w:w="1276" w:type="dxa"/>
            <w:tcBorders>
              <w:top w:val="single" w:sz="4" w:space="0" w:color="auto"/>
              <w:bottom w:val="single" w:sz="4" w:space="0" w:color="auto"/>
            </w:tcBorders>
          </w:tcPr>
          <w:p w14:paraId="1DF8A455" w14:textId="397CCD8D"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p>
        </w:tc>
        <w:tc>
          <w:tcPr>
            <w:tcW w:w="1275" w:type="dxa"/>
            <w:tcBorders>
              <w:top w:val="single" w:sz="4" w:space="0" w:color="auto"/>
              <w:bottom w:val="single" w:sz="4" w:space="0" w:color="auto"/>
            </w:tcBorders>
          </w:tcPr>
          <w:p w14:paraId="66C5112A" w14:textId="53B4424C" w:rsidR="00962DA2" w:rsidRPr="00962DA2" w:rsidRDefault="00962DA2" w:rsidP="00962DA2">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w:t>
            </w:r>
          </w:p>
        </w:tc>
      </w:tr>
      <w:tr w:rsidR="00962DA2" w14:paraId="1E1C8241" w14:textId="77777777" w:rsidTr="00BE5A48">
        <w:tc>
          <w:tcPr>
            <w:tcW w:w="4677" w:type="dxa"/>
            <w:tcBorders>
              <w:top w:val="single" w:sz="4" w:space="0" w:color="auto"/>
              <w:bottom w:val="single" w:sz="4" w:space="0" w:color="auto"/>
            </w:tcBorders>
          </w:tcPr>
          <w:p w14:paraId="2AA9E2A1" w14:textId="77777777" w:rsidR="00962DA2" w:rsidRPr="006269A3" w:rsidRDefault="00962DA2" w:rsidP="00BE5A48">
            <w:pPr>
              <w:jc w:val="both"/>
              <w:rPr>
                <w:rFonts w:ascii="Arial" w:hAnsi="Arial" w:cs="Arial"/>
                <w:b/>
                <w:bCs/>
                <w:sz w:val="18"/>
                <w:szCs w:val="18"/>
                <w:lang w:eastAsia="es-AR"/>
              </w:rPr>
            </w:pPr>
            <w:r w:rsidRPr="006269A3">
              <w:rPr>
                <w:rFonts w:ascii="Arial" w:hAnsi="Arial" w:cs="Arial"/>
                <w:b/>
                <w:bCs/>
                <w:sz w:val="18"/>
                <w:szCs w:val="18"/>
              </w:rPr>
              <w:t>TOTAL GENERAL (1)</w:t>
            </w:r>
          </w:p>
        </w:tc>
        <w:tc>
          <w:tcPr>
            <w:tcW w:w="1276" w:type="dxa"/>
            <w:tcBorders>
              <w:top w:val="single" w:sz="4" w:space="0" w:color="auto"/>
              <w:bottom w:val="single" w:sz="4" w:space="0" w:color="auto"/>
            </w:tcBorders>
          </w:tcPr>
          <w:p w14:paraId="5267FC0D" w14:textId="259F2894" w:rsidR="00962DA2" w:rsidRPr="00EE63C4" w:rsidRDefault="00732299" w:rsidP="00EE63C4">
            <w:pPr>
              <w:jc w:val="right"/>
              <w:rPr>
                <w:rFonts w:ascii="Arial" w:hAnsi="Arial" w:cs="Arial"/>
                <w:b/>
                <w:bCs/>
                <w:color w:val="000000"/>
                <w:sz w:val="18"/>
                <w:szCs w:val="18"/>
              </w:rPr>
            </w:pPr>
            <w:r>
              <w:rPr>
                <w:rFonts w:ascii="Arial" w:hAnsi="Arial" w:cs="Arial"/>
                <w:b/>
                <w:bCs/>
                <w:color w:val="000000"/>
                <w:sz w:val="18"/>
                <w:szCs w:val="18"/>
              </w:rPr>
              <w:t>90</w:t>
            </w:r>
            <w:r w:rsidR="00EE63C4">
              <w:rPr>
                <w:rFonts w:ascii="Arial" w:hAnsi="Arial" w:cs="Arial"/>
                <w:b/>
                <w:bCs/>
                <w:color w:val="000000"/>
                <w:sz w:val="18"/>
                <w:szCs w:val="18"/>
              </w:rPr>
              <w:t>.</w:t>
            </w:r>
            <w:r>
              <w:rPr>
                <w:rFonts w:ascii="Arial" w:hAnsi="Arial" w:cs="Arial"/>
                <w:b/>
                <w:bCs/>
                <w:color w:val="000000"/>
                <w:sz w:val="18"/>
                <w:szCs w:val="18"/>
              </w:rPr>
              <w:t>613</w:t>
            </w:r>
            <w:r w:rsidR="00EE63C4">
              <w:rPr>
                <w:rFonts w:ascii="Arial" w:hAnsi="Arial" w:cs="Arial"/>
                <w:b/>
                <w:bCs/>
                <w:color w:val="000000"/>
                <w:sz w:val="18"/>
                <w:szCs w:val="18"/>
              </w:rPr>
              <w:t>.</w:t>
            </w:r>
            <w:r>
              <w:rPr>
                <w:rFonts w:ascii="Arial" w:hAnsi="Arial" w:cs="Arial"/>
                <w:b/>
                <w:bCs/>
                <w:color w:val="000000"/>
                <w:sz w:val="18"/>
                <w:szCs w:val="18"/>
              </w:rPr>
              <w:t>435</w:t>
            </w:r>
            <w:r w:rsidR="00EE63C4">
              <w:rPr>
                <w:rFonts w:ascii="Arial" w:hAnsi="Arial" w:cs="Arial"/>
                <w:b/>
                <w:bCs/>
                <w:color w:val="000000"/>
                <w:sz w:val="18"/>
                <w:szCs w:val="18"/>
              </w:rPr>
              <w:t xml:space="preserve"> </w:t>
            </w:r>
          </w:p>
        </w:tc>
        <w:tc>
          <w:tcPr>
            <w:tcW w:w="1275" w:type="dxa"/>
            <w:tcBorders>
              <w:top w:val="single" w:sz="4" w:space="0" w:color="auto"/>
              <w:bottom w:val="single" w:sz="4" w:space="0" w:color="auto"/>
            </w:tcBorders>
          </w:tcPr>
          <w:p w14:paraId="7A3D5616" w14:textId="1744A810" w:rsidR="00962DA2" w:rsidRPr="00962DA2" w:rsidRDefault="00962DA2" w:rsidP="00962DA2">
            <w:pPr>
              <w:widowControl w:val="0"/>
              <w:autoSpaceDE w:val="0"/>
              <w:autoSpaceDN w:val="0"/>
              <w:adjustRightInd w:val="0"/>
              <w:jc w:val="right"/>
              <w:rPr>
                <w:rFonts w:ascii="Arial" w:hAnsi="Arial" w:cs="Arial"/>
                <w:b/>
                <w:noProof/>
                <w:sz w:val="18"/>
                <w:szCs w:val="18"/>
                <w:highlight w:val="yellow"/>
              </w:rPr>
            </w:pPr>
            <w:r w:rsidRPr="00962DA2">
              <w:rPr>
                <w:rFonts w:ascii="Arial" w:hAnsi="Arial" w:cs="Arial"/>
                <w:b/>
                <w:bCs/>
                <w:color w:val="000000"/>
                <w:sz w:val="18"/>
                <w:szCs w:val="18"/>
              </w:rPr>
              <w:t xml:space="preserve">76.037.329 </w:t>
            </w:r>
          </w:p>
        </w:tc>
      </w:tr>
      <w:tr w:rsidR="007B34B2" w14:paraId="052E62B0" w14:textId="77777777" w:rsidTr="00BE5A48">
        <w:tc>
          <w:tcPr>
            <w:tcW w:w="4677" w:type="dxa"/>
            <w:tcBorders>
              <w:top w:val="single" w:sz="4" w:space="0" w:color="auto"/>
            </w:tcBorders>
          </w:tcPr>
          <w:p w14:paraId="46BDBF9F" w14:textId="77777777" w:rsidR="007B34B2" w:rsidRPr="006269A3" w:rsidRDefault="007B34B2" w:rsidP="00BE5A48">
            <w:pPr>
              <w:widowControl w:val="0"/>
              <w:autoSpaceDE w:val="0"/>
              <w:autoSpaceDN w:val="0"/>
              <w:adjustRightInd w:val="0"/>
              <w:jc w:val="both"/>
              <w:rPr>
                <w:rFonts w:ascii="Arial" w:hAnsi="Arial" w:cs="Arial"/>
                <w:noProof/>
                <w:sz w:val="36"/>
                <w:szCs w:val="18"/>
                <w:highlight w:val="yellow"/>
              </w:rPr>
            </w:pPr>
          </w:p>
        </w:tc>
        <w:tc>
          <w:tcPr>
            <w:tcW w:w="1276" w:type="dxa"/>
            <w:tcBorders>
              <w:top w:val="single" w:sz="4" w:space="0" w:color="auto"/>
            </w:tcBorders>
          </w:tcPr>
          <w:p w14:paraId="786CFF97" w14:textId="77777777" w:rsidR="007B34B2" w:rsidRPr="006269A3" w:rsidRDefault="007B34B2" w:rsidP="00BE5A48">
            <w:pPr>
              <w:widowControl w:val="0"/>
              <w:autoSpaceDE w:val="0"/>
              <w:autoSpaceDN w:val="0"/>
              <w:adjustRightInd w:val="0"/>
              <w:jc w:val="both"/>
              <w:rPr>
                <w:rFonts w:ascii="Arial" w:hAnsi="Arial" w:cs="Arial"/>
                <w:noProof/>
                <w:sz w:val="10"/>
                <w:szCs w:val="10"/>
                <w:highlight w:val="yellow"/>
              </w:rPr>
            </w:pPr>
          </w:p>
        </w:tc>
        <w:tc>
          <w:tcPr>
            <w:tcW w:w="1275" w:type="dxa"/>
            <w:tcBorders>
              <w:top w:val="single" w:sz="4" w:space="0" w:color="auto"/>
            </w:tcBorders>
          </w:tcPr>
          <w:p w14:paraId="089632FA" w14:textId="77777777" w:rsidR="007B34B2" w:rsidRPr="006269A3" w:rsidRDefault="007B34B2" w:rsidP="00BE5A48">
            <w:pPr>
              <w:widowControl w:val="0"/>
              <w:autoSpaceDE w:val="0"/>
              <w:autoSpaceDN w:val="0"/>
              <w:adjustRightInd w:val="0"/>
              <w:jc w:val="both"/>
              <w:rPr>
                <w:rFonts w:ascii="Arial" w:hAnsi="Arial" w:cs="Arial"/>
                <w:noProof/>
                <w:sz w:val="10"/>
                <w:szCs w:val="10"/>
                <w:highlight w:val="yellow"/>
              </w:rPr>
            </w:pPr>
          </w:p>
        </w:tc>
      </w:tr>
      <w:tr w:rsidR="007B34B2" w14:paraId="30F4438E" w14:textId="77777777" w:rsidTr="00BE5A48">
        <w:tc>
          <w:tcPr>
            <w:tcW w:w="7228" w:type="dxa"/>
            <w:gridSpan w:val="3"/>
          </w:tcPr>
          <w:p w14:paraId="5F8CA073" w14:textId="77777777" w:rsidR="007B34B2" w:rsidRPr="00F246A3" w:rsidRDefault="007B34B2" w:rsidP="00BE5A48">
            <w:pPr>
              <w:widowControl w:val="0"/>
              <w:autoSpaceDE w:val="0"/>
              <w:autoSpaceDN w:val="0"/>
              <w:adjustRightInd w:val="0"/>
              <w:jc w:val="both"/>
              <w:rPr>
                <w:rFonts w:ascii="Arial" w:hAnsi="Arial" w:cs="Arial"/>
                <w:b/>
                <w:noProof/>
                <w:sz w:val="18"/>
                <w:szCs w:val="18"/>
                <w:highlight w:val="yellow"/>
              </w:rPr>
            </w:pPr>
            <w:r w:rsidRPr="00F246A3">
              <w:rPr>
                <w:rFonts w:ascii="Arial" w:hAnsi="Arial" w:cs="Arial"/>
                <w:b/>
                <w:noProof/>
                <w:sz w:val="18"/>
                <w:szCs w:val="18"/>
              </w:rPr>
              <w:t>(1) Conciliación entre el Anexo B  y el Estado de Situacion Financiera:</w:t>
            </w:r>
          </w:p>
        </w:tc>
      </w:tr>
      <w:tr w:rsidR="00732299" w14:paraId="7CE32152" w14:textId="77777777" w:rsidTr="006265F5">
        <w:tc>
          <w:tcPr>
            <w:tcW w:w="4677" w:type="dxa"/>
          </w:tcPr>
          <w:p w14:paraId="25D06805" w14:textId="77777777" w:rsidR="00732299" w:rsidRPr="00F246A3" w:rsidRDefault="00732299" w:rsidP="00732299">
            <w:pPr>
              <w:jc w:val="both"/>
              <w:rPr>
                <w:rFonts w:ascii="Arial" w:hAnsi="Arial" w:cs="Arial"/>
                <w:b/>
                <w:bCs/>
                <w:color w:val="000000"/>
                <w:sz w:val="18"/>
                <w:szCs w:val="18"/>
                <w:lang w:eastAsia="es-AR"/>
              </w:rPr>
            </w:pPr>
            <w:r w:rsidRPr="00F246A3">
              <w:rPr>
                <w:rFonts w:ascii="Arial" w:hAnsi="Arial" w:cs="Arial"/>
                <w:b/>
                <w:bCs/>
                <w:color w:val="000000"/>
                <w:sz w:val="18"/>
                <w:szCs w:val="18"/>
              </w:rPr>
              <w:t>Préstamos y otras financiaciones</w:t>
            </w:r>
          </w:p>
        </w:tc>
        <w:tc>
          <w:tcPr>
            <w:tcW w:w="1276" w:type="dxa"/>
            <w:vAlign w:val="bottom"/>
          </w:tcPr>
          <w:p w14:paraId="47333B97" w14:textId="6166A3B5"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 xml:space="preserve">84.029.439 </w:t>
            </w:r>
          </w:p>
        </w:tc>
        <w:tc>
          <w:tcPr>
            <w:tcW w:w="1275" w:type="dxa"/>
            <w:vAlign w:val="bottom"/>
          </w:tcPr>
          <w:p w14:paraId="1381FD67" w14:textId="23CC3052"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sidRPr="00962DA2">
              <w:rPr>
                <w:rFonts w:ascii="Arial" w:hAnsi="Arial" w:cs="Arial"/>
                <w:b/>
                <w:bCs/>
                <w:sz w:val="18"/>
                <w:szCs w:val="18"/>
              </w:rPr>
              <w:t xml:space="preserve">72.865.654 </w:t>
            </w:r>
          </w:p>
        </w:tc>
      </w:tr>
      <w:tr w:rsidR="00732299" w14:paraId="3E4AC330" w14:textId="77777777" w:rsidTr="006265F5">
        <w:tc>
          <w:tcPr>
            <w:tcW w:w="4677" w:type="dxa"/>
          </w:tcPr>
          <w:p w14:paraId="30823CE1" w14:textId="77777777" w:rsidR="00732299" w:rsidRPr="00F246A3" w:rsidRDefault="00732299" w:rsidP="00732299">
            <w:pPr>
              <w:jc w:val="both"/>
              <w:rPr>
                <w:rFonts w:ascii="Arial" w:hAnsi="Arial" w:cs="Arial"/>
                <w:b/>
                <w:bCs/>
                <w:color w:val="000000"/>
                <w:sz w:val="18"/>
                <w:szCs w:val="18"/>
                <w:lang w:eastAsia="es-AR"/>
              </w:rPr>
            </w:pPr>
            <w:r w:rsidRPr="00F246A3">
              <w:rPr>
                <w:rFonts w:ascii="Arial" w:hAnsi="Arial" w:cs="Arial"/>
                <w:b/>
                <w:bCs/>
                <w:color w:val="000000"/>
                <w:sz w:val="18"/>
                <w:szCs w:val="18"/>
              </w:rPr>
              <w:t>Otros títulos de deuda</w:t>
            </w:r>
          </w:p>
        </w:tc>
        <w:tc>
          <w:tcPr>
            <w:tcW w:w="1276" w:type="dxa"/>
            <w:vAlign w:val="bottom"/>
          </w:tcPr>
          <w:p w14:paraId="0F664168" w14:textId="39A330E5"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 xml:space="preserve">10.613.265 </w:t>
            </w:r>
          </w:p>
        </w:tc>
        <w:tc>
          <w:tcPr>
            <w:tcW w:w="1275" w:type="dxa"/>
            <w:vAlign w:val="bottom"/>
          </w:tcPr>
          <w:p w14:paraId="60E7F910" w14:textId="5803E720"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sidRPr="00962DA2">
              <w:rPr>
                <w:rFonts w:ascii="Arial" w:hAnsi="Arial" w:cs="Arial"/>
                <w:b/>
                <w:bCs/>
                <w:sz w:val="18"/>
                <w:szCs w:val="18"/>
              </w:rPr>
              <w:t xml:space="preserve">4.134.493 </w:t>
            </w:r>
          </w:p>
        </w:tc>
      </w:tr>
      <w:tr w:rsidR="00732299" w14:paraId="204431A1" w14:textId="77777777" w:rsidTr="006265F5">
        <w:tc>
          <w:tcPr>
            <w:tcW w:w="4677" w:type="dxa"/>
          </w:tcPr>
          <w:p w14:paraId="552EE340" w14:textId="77777777" w:rsidR="00732299" w:rsidRPr="00F246A3" w:rsidRDefault="00732299" w:rsidP="00732299">
            <w:pPr>
              <w:jc w:val="both"/>
              <w:rPr>
                <w:rFonts w:ascii="Arial" w:hAnsi="Arial" w:cs="Arial"/>
                <w:b/>
                <w:bCs/>
                <w:color w:val="000000"/>
                <w:sz w:val="18"/>
                <w:szCs w:val="18"/>
                <w:lang w:eastAsia="es-AR"/>
              </w:rPr>
            </w:pPr>
            <w:r w:rsidRPr="00F246A3">
              <w:rPr>
                <w:rFonts w:ascii="Arial" w:hAnsi="Arial" w:cs="Arial"/>
                <w:b/>
                <w:bCs/>
                <w:color w:val="000000"/>
                <w:sz w:val="18"/>
                <w:szCs w:val="18"/>
              </w:rPr>
              <w:t>Partidas computables fuera de balance</w:t>
            </w:r>
          </w:p>
        </w:tc>
        <w:tc>
          <w:tcPr>
            <w:tcW w:w="1276" w:type="dxa"/>
            <w:vAlign w:val="bottom"/>
          </w:tcPr>
          <w:p w14:paraId="02D0EDCA" w14:textId="44978860"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 xml:space="preserve">892.962 </w:t>
            </w:r>
          </w:p>
        </w:tc>
        <w:tc>
          <w:tcPr>
            <w:tcW w:w="1275" w:type="dxa"/>
            <w:vAlign w:val="bottom"/>
          </w:tcPr>
          <w:p w14:paraId="243F0233" w14:textId="680ACF96" w:rsidR="00732299" w:rsidRPr="00962DA2" w:rsidRDefault="00732299" w:rsidP="00732299">
            <w:pPr>
              <w:widowControl w:val="0"/>
              <w:autoSpaceDE w:val="0"/>
              <w:autoSpaceDN w:val="0"/>
              <w:adjustRightInd w:val="0"/>
              <w:jc w:val="right"/>
              <w:rPr>
                <w:rFonts w:ascii="Arial" w:hAnsi="Arial" w:cs="Arial"/>
                <w:b/>
                <w:noProof/>
                <w:sz w:val="18"/>
                <w:szCs w:val="18"/>
                <w:highlight w:val="yellow"/>
              </w:rPr>
            </w:pPr>
            <w:r w:rsidRPr="00962DA2">
              <w:rPr>
                <w:rFonts w:ascii="Arial" w:hAnsi="Arial" w:cs="Arial"/>
                <w:b/>
                <w:bCs/>
                <w:sz w:val="18"/>
                <w:szCs w:val="18"/>
              </w:rPr>
              <w:t xml:space="preserve">814.021 </w:t>
            </w:r>
          </w:p>
        </w:tc>
      </w:tr>
      <w:tr w:rsidR="00732299" w14:paraId="15725C39" w14:textId="77777777" w:rsidTr="006265F5">
        <w:tc>
          <w:tcPr>
            <w:tcW w:w="4677" w:type="dxa"/>
          </w:tcPr>
          <w:p w14:paraId="7330A276" w14:textId="77777777" w:rsidR="00732299" w:rsidRPr="00F246A3" w:rsidRDefault="00732299" w:rsidP="00732299">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más previsiones</w:t>
            </w:r>
          </w:p>
        </w:tc>
        <w:tc>
          <w:tcPr>
            <w:tcW w:w="1276" w:type="dxa"/>
            <w:vAlign w:val="bottom"/>
          </w:tcPr>
          <w:p w14:paraId="2BD572D1" w14:textId="4211C535"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5.02</w:t>
            </w:r>
            <w:r w:rsidR="00D22031">
              <w:rPr>
                <w:rFonts w:ascii="Arial" w:hAnsi="Arial" w:cs="Arial"/>
                <w:color w:val="000000"/>
                <w:sz w:val="18"/>
                <w:szCs w:val="18"/>
              </w:rPr>
              <w:t>6</w:t>
            </w:r>
            <w:r>
              <w:rPr>
                <w:rFonts w:ascii="Arial" w:hAnsi="Arial" w:cs="Arial"/>
                <w:color w:val="000000"/>
                <w:sz w:val="18"/>
                <w:szCs w:val="18"/>
              </w:rPr>
              <w:t>.</w:t>
            </w:r>
            <w:r w:rsidR="00D22031">
              <w:rPr>
                <w:rFonts w:ascii="Arial" w:hAnsi="Arial" w:cs="Arial"/>
                <w:color w:val="000000"/>
                <w:sz w:val="18"/>
                <w:szCs w:val="18"/>
              </w:rPr>
              <w:t>627</w:t>
            </w:r>
            <w:r>
              <w:rPr>
                <w:rFonts w:ascii="Arial" w:hAnsi="Arial" w:cs="Arial"/>
                <w:color w:val="000000"/>
                <w:sz w:val="18"/>
                <w:szCs w:val="18"/>
              </w:rPr>
              <w:t xml:space="preserve"> </w:t>
            </w:r>
          </w:p>
        </w:tc>
        <w:tc>
          <w:tcPr>
            <w:tcW w:w="1275" w:type="dxa"/>
            <w:vAlign w:val="bottom"/>
          </w:tcPr>
          <w:p w14:paraId="36A28FC5" w14:textId="539F4391"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2.107.455 </w:t>
            </w:r>
          </w:p>
        </w:tc>
      </w:tr>
      <w:tr w:rsidR="00732299" w14:paraId="471FA2F1" w14:textId="77777777" w:rsidTr="006265F5">
        <w:tc>
          <w:tcPr>
            <w:tcW w:w="4677" w:type="dxa"/>
          </w:tcPr>
          <w:p w14:paraId="5F48C083" w14:textId="77777777" w:rsidR="00732299" w:rsidRPr="00F246A3" w:rsidRDefault="00732299" w:rsidP="00732299">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más ajustes NIIF no computables para el ESD</w:t>
            </w:r>
          </w:p>
        </w:tc>
        <w:tc>
          <w:tcPr>
            <w:tcW w:w="1276" w:type="dxa"/>
            <w:vAlign w:val="bottom"/>
          </w:tcPr>
          <w:p w14:paraId="050E3836" w14:textId="53AA1801"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30</w:t>
            </w:r>
            <w:r w:rsidR="00D22031">
              <w:rPr>
                <w:rFonts w:ascii="Arial" w:hAnsi="Arial" w:cs="Arial"/>
                <w:color w:val="000000"/>
                <w:sz w:val="18"/>
                <w:szCs w:val="18"/>
              </w:rPr>
              <w:t>8.893</w:t>
            </w:r>
            <w:r>
              <w:rPr>
                <w:rFonts w:ascii="Arial" w:hAnsi="Arial" w:cs="Arial"/>
                <w:color w:val="000000"/>
                <w:sz w:val="18"/>
                <w:szCs w:val="18"/>
              </w:rPr>
              <w:t xml:space="preserve"> </w:t>
            </w:r>
          </w:p>
        </w:tc>
        <w:tc>
          <w:tcPr>
            <w:tcW w:w="1275" w:type="dxa"/>
            <w:vAlign w:val="bottom"/>
          </w:tcPr>
          <w:p w14:paraId="0D8F2232" w14:textId="5098A1BC"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 xml:space="preserve">246.395 </w:t>
            </w:r>
          </w:p>
        </w:tc>
      </w:tr>
      <w:tr w:rsidR="00732299" w14:paraId="479321B1" w14:textId="77777777" w:rsidTr="006265F5">
        <w:tc>
          <w:tcPr>
            <w:tcW w:w="4677" w:type="dxa"/>
          </w:tcPr>
          <w:p w14:paraId="61CFF3BC" w14:textId="77777777" w:rsidR="00732299" w:rsidRPr="00F246A3" w:rsidRDefault="00732299" w:rsidP="00732299">
            <w:pPr>
              <w:widowControl w:val="0"/>
              <w:autoSpaceDE w:val="0"/>
              <w:autoSpaceDN w:val="0"/>
              <w:adjustRightInd w:val="0"/>
              <w:jc w:val="both"/>
              <w:rPr>
                <w:rFonts w:ascii="Arial" w:hAnsi="Arial" w:cs="Arial"/>
                <w:noProof/>
                <w:sz w:val="18"/>
                <w:szCs w:val="18"/>
                <w:highlight w:val="yellow"/>
              </w:rPr>
            </w:pPr>
            <w:r w:rsidRPr="00F246A3">
              <w:rPr>
                <w:rFonts w:ascii="Arial" w:hAnsi="Arial" w:cs="Arial"/>
                <w:noProof/>
                <w:sz w:val="18"/>
                <w:szCs w:val="18"/>
              </w:rPr>
              <w:t>Menos Títulos Públicos valuados a Costo Amortizado</w:t>
            </w:r>
          </w:p>
        </w:tc>
        <w:tc>
          <w:tcPr>
            <w:tcW w:w="1276" w:type="dxa"/>
            <w:tcBorders>
              <w:bottom w:val="single" w:sz="4" w:space="0" w:color="auto"/>
            </w:tcBorders>
            <w:vAlign w:val="bottom"/>
          </w:tcPr>
          <w:p w14:paraId="01C65B4D" w14:textId="50E174AB"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Pr>
                <w:rFonts w:ascii="Arial" w:hAnsi="Arial" w:cs="Arial"/>
                <w:color w:val="000000"/>
                <w:sz w:val="18"/>
                <w:szCs w:val="18"/>
              </w:rPr>
              <w:t>(10.257.751)</w:t>
            </w:r>
          </w:p>
        </w:tc>
        <w:tc>
          <w:tcPr>
            <w:tcW w:w="1275" w:type="dxa"/>
            <w:tcBorders>
              <w:bottom w:val="single" w:sz="4" w:space="0" w:color="auto"/>
            </w:tcBorders>
            <w:vAlign w:val="bottom"/>
          </w:tcPr>
          <w:p w14:paraId="31A950F2" w14:textId="082B8715" w:rsidR="00732299" w:rsidRPr="00962DA2" w:rsidRDefault="00732299" w:rsidP="00732299">
            <w:pPr>
              <w:widowControl w:val="0"/>
              <w:autoSpaceDE w:val="0"/>
              <w:autoSpaceDN w:val="0"/>
              <w:adjustRightInd w:val="0"/>
              <w:jc w:val="right"/>
              <w:rPr>
                <w:rFonts w:ascii="Arial" w:hAnsi="Arial" w:cs="Arial"/>
                <w:noProof/>
                <w:sz w:val="18"/>
                <w:szCs w:val="18"/>
                <w:highlight w:val="yellow"/>
              </w:rPr>
            </w:pPr>
            <w:r w:rsidRPr="00962DA2">
              <w:rPr>
                <w:rFonts w:ascii="Arial" w:hAnsi="Arial" w:cs="Arial"/>
                <w:color w:val="000000"/>
                <w:sz w:val="18"/>
                <w:szCs w:val="18"/>
              </w:rPr>
              <w:t>(4.130.689)</w:t>
            </w:r>
          </w:p>
        </w:tc>
      </w:tr>
      <w:tr w:rsidR="00732299" w:rsidRPr="00F246A3" w14:paraId="40E4EBFA" w14:textId="77777777" w:rsidTr="006265F5">
        <w:tc>
          <w:tcPr>
            <w:tcW w:w="4677" w:type="dxa"/>
          </w:tcPr>
          <w:p w14:paraId="7280629B" w14:textId="77777777" w:rsidR="00732299" w:rsidRPr="00F246A3" w:rsidRDefault="00732299" w:rsidP="00732299">
            <w:pPr>
              <w:widowControl w:val="0"/>
              <w:autoSpaceDE w:val="0"/>
              <w:autoSpaceDN w:val="0"/>
              <w:adjustRightInd w:val="0"/>
              <w:jc w:val="both"/>
              <w:rPr>
                <w:rFonts w:ascii="Arial" w:hAnsi="Arial" w:cs="Arial"/>
                <w:b/>
                <w:noProof/>
                <w:sz w:val="20"/>
                <w:szCs w:val="18"/>
                <w:highlight w:val="yellow"/>
              </w:rPr>
            </w:pPr>
            <w:r w:rsidRPr="00F246A3">
              <w:rPr>
                <w:rFonts w:ascii="Arial" w:hAnsi="Arial" w:cs="Arial"/>
                <w:b/>
                <w:noProof/>
                <w:sz w:val="20"/>
                <w:szCs w:val="18"/>
              </w:rPr>
              <w:t>Total</w:t>
            </w:r>
          </w:p>
        </w:tc>
        <w:tc>
          <w:tcPr>
            <w:tcW w:w="1276" w:type="dxa"/>
            <w:tcBorders>
              <w:top w:val="single" w:sz="4" w:space="0" w:color="auto"/>
              <w:bottom w:val="single" w:sz="4" w:space="0" w:color="auto"/>
            </w:tcBorders>
            <w:vAlign w:val="bottom"/>
          </w:tcPr>
          <w:p w14:paraId="4253D64F" w14:textId="0757EF8C" w:rsidR="00732299" w:rsidRPr="005E53F2" w:rsidRDefault="00732299" w:rsidP="00732299">
            <w:pPr>
              <w:widowControl w:val="0"/>
              <w:autoSpaceDE w:val="0"/>
              <w:autoSpaceDN w:val="0"/>
              <w:adjustRightInd w:val="0"/>
              <w:jc w:val="right"/>
              <w:rPr>
                <w:rFonts w:ascii="Arial" w:hAnsi="Arial" w:cs="Arial"/>
                <w:b/>
                <w:noProof/>
                <w:sz w:val="18"/>
                <w:szCs w:val="18"/>
                <w:highlight w:val="yellow"/>
              </w:rPr>
            </w:pPr>
            <w:r>
              <w:rPr>
                <w:rFonts w:ascii="Arial" w:hAnsi="Arial" w:cs="Arial"/>
                <w:b/>
                <w:bCs/>
                <w:sz w:val="18"/>
                <w:szCs w:val="18"/>
              </w:rPr>
              <w:t xml:space="preserve">90.613.435 </w:t>
            </w:r>
          </w:p>
        </w:tc>
        <w:tc>
          <w:tcPr>
            <w:tcW w:w="1275" w:type="dxa"/>
            <w:tcBorders>
              <w:top w:val="single" w:sz="4" w:space="0" w:color="auto"/>
              <w:bottom w:val="single" w:sz="4" w:space="0" w:color="auto"/>
            </w:tcBorders>
            <w:vAlign w:val="bottom"/>
          </w:tcPr>
          <w:p w14:paraId="2551743C" w14:textId="5916DE25" w:rsidR="00732299" w:rsidRPr="005E53F2" w:rsidRDefault="00732299" w:rsidP="00732299">
            <w:pPr>
              <w:widowControl w:val="0"/>
              <w:autoSpaceDE w:val="0"/>
              <w:autoSpaceDN w:val="0"/>
              <w:adjustRightInd w:val="0"/>
              <w:jc w:val="right"/>
              <w:rPr>
                <w:rFonts w:ascii="Arial" w:hAnsi="Arial" w:cs="Arial"/>
                <w:b/>
                <w:noProof/>
                <w:sz w:val="18"/>
                <w:szCs w:val="18"/>
                <w:highlight w:val="yellow"/>
              </w:rPr>
            </w:pPr>
            <w:r w:rsidRPr="005E53F2">
              <w:rPr>
                <w:rFonts w:ascii="Arial" w:hAnsi="Arial" w:cs="Arial"/>
                <w:b/>
                <w:bCs/>
                <w:sz w:val="18"/>
                <w:szCs w:val="18"/>
              </w:rPr>
              <w:t xml:space="preserve">76.037.329 </w:t>
            </w:r>
          </w:p>
        </w:tc>
      </w:tr>
    </w:tbl>
    <w:p w14:paraId="3E073CFE" w14:textId="6B8817B7" w:rsidR="006A7073" w:rsidRDefault="006A7073" w:rsidP="008962C9"/>
    <w:p w14:paraId="7E9DB78F" w14:textId="0483BBAD" w:rsidR="009F7A13" w:rsidRPr="00701F32" w:rsidRDefault="009F7A13" w:rsidP="008962C9">
      <w:pPr>
        <w:sectPr w:rsidR="009F7A13" w:rsidRPr="00701F32" w:rsidSect="007045C3">
          <w:headerReference w:type="default" r:id="rId53"/>
          <w:pgSz w:w="11907" w:h="16839" w:code="9"/>
          <w:pgMar w:top="1418" w:right="1701" w:bottom="1418" w:left="1701" w:header="567" w:footer="0" w:gutter="0"/>
          <w:paperSrc w:first="256" w:other="256"/>
          <w:cols w:space="720"/>
          <w:docGrid w:linePitch="326"/>
        </w:sectPr>
      </w:pPr>
    </w:p>
    <w:p w14:paraId="46927F8E" w14:textId="77777777" w:rsidR="007B34B2" w:rsidRPr="00701F32" w:rsidRDefault="00162495" w:rsidP="008962C9">
      <w:r w:rsidRPr="00701F32">
        <w:t xml:space="preserve"> </w:t>
      </w:r>
    </w:p>
    <w:tbl>
      <w:tblPr>
        <w:tblStyle w:val="Tablaconcuadrcula"/>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417"/>
        <w:gridCol w:w="1418"/>
        <w:gridCol w:w="1276"/>
        <w:gridCol w:w="1417"/>
      </w:tblGrid>
      <w:tr w:rsidR="007B34B2" w:rsidRPr="00C17D08" w14:paraId="184CF2DA" w14:textId="77777777" w:rsidTr="001B4F5C">
        <w:trPr>
          <w:trHeight w:val="248"/>
          <w:jc w:val="center"/>
        </w:trPr>
        <w:tc>
          <w:tcPr>
            <w:tcW w:w="326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34373C"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Número de cliente</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37F208"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FINANCIACIONES</w:t>
            </w:r>
          </w:p>
        </w:tc>
      </w:tr>
      <w:tr w:rsidR="007B34B2" w:rsidRPr="00C17D08" w14:paraId="3524DA72" w14:textId="77777777" w:rsidTr="001B4F5C">
        <w:trPr>
          <w:trHeight w:val="248"/>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0D55C8" w14:textId="77777777" w:rsidR="007B34B2" w:rsidRPr="0066424E" w:rsidRDefault="007B34B2" w:rsidP="00BE5A48">
            <w:pPr>
              <w:jc w:val="center"/>
              <w:rPr>
                <w:rFonts w:ascii="Arial" w:hAnsi="Arial" w:cs="Arial"/>
                <w:b/>
                <w:sz w:val="18"/>
                <w:szCs w:val="18"/>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A0C987" w14:textId="52FD108B" w:rsidR="007B34B2" w:rsidRPr="0066424E" w:rsidRDefault="003C2633" w:rsidP="00083AEA">
            <w:pPr>
              <w:jc w:val="center"/>
              <w:rPr>
                <w:rFonts w:ascii="Arial" w:hAnsi="Arial" w:cs="Arial"/>
                <w:b/>
                <w:sz w:val="18"/>
                <w:szCs w:val="18"/>
              </w:rPr>
            </w:pPr>
            <w:r>
              <w:rPr>
                <w:rFonts w:ascii="Arial" w:hAnsi="Arial" w:cs="Arial"/>
                <w:b/>
                <w:sz w:val="18"/>
                <w:szCs w:val="18"/>
              </w:rPr>
              <w:t>3</w:t>
            </w:r>
            <w:r w:rsidR="00FF21C0">
              <w:rPr>
                <w:rFonts w:ascii="Arial" w:hAnsi="Arial" w:cs="Arial"/>
                <w:b/>
                <w:sz w:val="18"/>
                <w:szCs w:val="18"/>
              </w:rPr>
              <w:t>1</w:t>
            </w:r>
            <w:r>
              <w:rPr>
                <w:rFonts w:ascii="Arial" w:hAnsi="Arial" w:cs="Arial"/>
                <w:b/>
                <w:sz w:val="18"/>
                <w:szCs w:val="18"/>
              </w:rPr>
              <w:t>/</w:t>
            </w:r>
            <w:r w:rsidR="00FF21C0">
              <w:rPr>
                <w:rFonts w:ascii="Arial" w:hAnsi="Arial" w:cs="Arial"/>
                <w:b/>
                <w:sz w:val="18"/>
                <w:szCs w:val="18"/>
              </w:rPr>
              <w:t>12</w:t>
            </w:r>
            <w:r>
              <w:rPr>
                <w:rFonts w:ascii="Arial" w:hAnsi="Arial" w:cs="Arial"/>
                <w:b/>
                <w:sz w:val="18"/>
                <w:szCs w:val="18"/>
              </w:rPr>
              <w:t>/2019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5FFACA"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31/12/2018</w:t>
            </w:r>
          </w:p>
        </w:tc>
      </w:tr>
      <w:tr w:rsidR="007B34B2" w:rsidRPr="00C17D08" w14:paraId="7665B7DB" w14:textId="77777777" w:rsidTr="001B4F5C">
        <w:trPr>
          <w:trHeight w:val="677"/>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DD10B1" w14:textId="77777777" w:rsidR="007B34B2" w:rsidRPr="0066424E" w:rsidRDefault="007B34B2" w:rsidP="00BE5A48">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D648DD"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Saldo de deuda</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B63C12"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 sobre Cartera total</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2B6D10"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Saldo de deuda</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03AF38"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 sobre Cartera total</w:t>
            </w:r>
          </w:p>
        </w:tc>
      </w:tr>
      <w:tr w:rsidR="007B34B2" w:rsidRPr="00C17D08" w14:paraId="15C2D181" w14:textId="77777777" w:rsidTr="001B4F5C">
        <w:trPr>
          <w:trHeight w:val="113"/>
          <w:jc w:val="center"/>
        </w:trPr>
        <w:tc>
          <w:tcPr>
            <w:tcW w:w="3261" w:type="dxa"/>
            <w:tcBorders>
              <w:top w:val="single" w:sz="4" w:space="0" w:color="auto"/>
            </w:tcBorders>
            <w:vAlign w:val="bottom"/>
          </w:tcPr>
          <w:p w14:paraId="374B3576" w14:textId="77777777" w:rsidR="007B34B2" w:rsidRDefault="007B34B2" w:rsidP="00BE5A48">
            <w:pPr>
              <w:rPr>
                <w:rFonts w:ascii="Arial" w:hAnsi="Arial" w:cs="Arial"/>
                <w:sz w:val="18"/>
                <w:szCs w:val="18"/>
              </w:rPr>
            </w:pPr>
          </w:p>
        </w:tc>
        <w:tc>
          <w:tcPr>
            <w:tcW w:w="1417" w:type="dxa"/>
            <w:tcBorders>
              <w:top w:val="single" w:sz="4" w:space="0" w:color="auto"/>
            </w:tcBorders>
          </w:tcPr>
          <w:p w14:paraId="5B4EAEBB" w14:textId="77777777" w:rsidR="007B34B2" w:rsidRPr="00C17D08" w:rsidRDefault="007B34B2" w:rsidP="00BE5A48">
            <w:pPr>
              <w:rPr>
                <w:rFonts w:ascii="Arial" w:hAnsi="Arial" w:cs="Arial"/>
                <w:sz w:val="18"/>
                <w:szCs w:val="18"/>
              </w:rPr>
            </w:pPr>
          </w:p>
        </w:tc>
        <w:tc>
          <w:tcPr>
            <w:tcW w:w="1418" w:type="dxa"/>
            <w:tcBorders>
              <w:top w:val="single" w:sz="4" w:space="0" w:color="auto"/>
            </w:tcBorders>
          </w:tcPr>
          <w:p w14:paraId="749224FB" w14:textId="77777777" w:rsidR="007B34B2" w:rsidRPr="00C17D08" w:rsidRDefault="007B34B2" w:rsidP="00BE5A48">
            <w:pPr>
              <w:rPr>
                <w:rFonts w:ascii="Arial" w:hAnsi="Arial" w:cs="Arial"/>
                <w:sz w:val="18"/>
                <w:szCs w:val="18"/>
              </w:rPr>
            </w:pPr>
          </w:p>
        </w:tc>
        <w:tc>
          <w:tcPr>
            <w:tcW w:w="1276" w:type="dxa"/>
            <w:tcBorders>
              <w:top w:val="single" w:sz="4" w:space="0" w:color="auto"/>
            </w:tcBorders>
          </w:tcPr>
          <w:p w14:paraId="25A1A45A" w14:textId="77777777" w:rsidR="007B34B2" w:rsidRPr="00C17D08" w:rsidRDefault="007B34B2" w:rsidP="00BE5A48">
            <w:pPr>
              <w:rPr>
                <w:rFonts w:ascii="Arial" w:hAnsi="Arial" w:cs="Arial"/>
                <w:sz w:val="18"/>
                <w:szCs w:val="18"/>
              </w:rPr>
            </w:pPr>
          </w:p>
        </w:tc>
        <w:tc>
          <w:tcPr>
            <w:tcW w:w="1417" w:type="dxa"/>
            <w:tcBorders>
              <w:top w:val="single" w:sz="4" w:space="0" w:color="auto"/>
            </w:tcBorders>
          </w:tcPr>
          <w:p w14:paraId="452ACB37" w14:textId="77777777" w:rsidR="007B34B2" w:rsidRPr="00C17D08" w:rsidRDefault="007B34B2" w:rsidP="00BE5A48">
            <w:pPr>
              <w:rPr>
                <w:rFonts w:ascii="Arial" w:hAnsi="Arial" w:cs="Arial"/>
                <w:sz w:val="18"/>
                <w:szCs w:val="18"/>
              </w:rPr>
            </w:pPr>
          </w:p>
        </w:tc>
      </w:tr>
      <w:tr w:rsidR="00DF139A" w:rsidRPr="00C17D08" w14:paraId="715BB7EE" w14:textId="77777777" w:rsidTr="00557382">
        <w:trPr>
          <w:trHeight w:val="454"/>
          <w:jc w:val="center"/>
        </w:trPr>
        <w:tc>
          <w:tcPr>
            <w:tcW w:w="3261" w:type="dxa"/>
            <w:vAlign w:val="center"/>
          </w:tcPr>
          <w:p w14:paraId="6DEBF124" w14:textId="77777777" w:rsidR="00DF139A" w:rsidRDefault="00DF139A" w:rsidP="00DF139A">
            <w:pPr>
              <w:rPr>
                <w:rFonts w:ascii="Arial" w:hAnsi="Arial" w:cs="Arial"/>
                <w:sz w:val="18"/>
                <w:szCs w:val="18"/>
              </w:rPr>
            </w:pPr>
            <w:r>
              <w:rPr>
                <w:rFonts w:ascii="Arial" w:hAnsi="Arial" w:cs="Arial"/>
                <w:sz w:val="18"/>
                <w:szCs w:val="18"/>
              </w:rPr>
              <w:t>10 mayores clientes</w:t>
            </w:r>
          </w:p>
        </w:tc>
        <w:tc>
          <w:tcPr>
            <w:tcW w:w="1417" w:type="dxa"/>
            <w:vAlign w:val="center"/>
          </w:tcPr>
          <w:p w14:paraId="0F8EE386" w14:textId="1DD1AAFB" w:rsidR="00DF139A" w:rsidRPr="005E53F2" w:rsidRDefault="00DF139A" w:rsidP="00DF139A">
            <w:pPr>
              <w:jc w:val="right"/>
              <w:rPr>
                <w:rFonts w:ascii="Arial" w:hAnsi="Arial" w:cs="Arial"/>
                <w:sz w:val="18"/>
                <w:szCs w:val="18"/>
              </w:rPr>
            </w:pPr>
            <w:r>
              <w:rPr>
                <w:rFonts w:ascii="Arial" w:hAnsi="Arial" w:cs="Arial"/>
                <w:sz w:val="18"/>
                <w:szCs w:val="18"/>
              </w:rPr>
              <w:t xml:space="preserve">12.505.360 </w:t>
            </w:r>
          </w:p>
        </w:tc>
        <w:tc>
          <w:tcPr>
            <w:tcW w:w="1418" w:type="dxa"/>
            <w:vAlign w:val="center"/>
          </w:tcPr>
          <w:p w14:paraId="77BB3F74" w14:textId="03449755" w:rsidR="00DF139A" w:rsidRPr="005E53F2" w:rsidRDefault="00DF139A" w:rsidP="00DF139A">
            <w:pPr>
              <w:jc w:val="center"/>
              <w:rPr>
                <w:rFonts w:ascii="Arial" w:hAnsi="Arial" w:cs="Arial"/>
                <w:sz w:val="18"/>
                <w:szCs w:val="18"/>
              </w:rPr>
            </w:pPr>
            <w:r>
              <w:rPr>
                <w:rFonts w:ascii="Arial" w:hAnsi="Arial" w:cs="Arial"/>
                <w:sz w:val="18"/>
                <w:szCs w:val="18"/>
              </w:rPr>
              <w:t>13,80%</w:t>
            </w:r>
          </w:p>
        </w:tc>
        <w:tc>
          <w:tcPr>
            <w:tcW w:w="1276" w:type="dxa"/>
            <w:vAlign w:val="center"/>
          </w:tcPr>
          <w:p w14:paraId="657E32AF" w14:textId="5620DD9E" w:rsidR="00DF139A" w:rsidRPr="005E53F2" w:rsidRDefault="00DF139A" w:rsidP="00DF139A">
            <w:pPr>
              <w:jc w:val="right"/>
              <w:rPr>
                <w:rFonts w:ascii="Arial" w:hAnsi="Arial" w:cs="Arial"/>
                <w:sz w:val="18"/>
                <w:szCs w:val="18"/>
              </w:rPr>
            </w:pPr>
            <w:r w:rsidRPr="005E53F2">
              <w:rPr>
                <w:rFonts w:ascii="Arial" w:hAnsi="Arial" w:cs="Arial"/>
                <w:sz w:val="18"/>
                <w:szCs w:val="18"/>
              </w:rPr>
              <w:t xml:space="preserve">12.676.233 </w:t>
            </w:r>
          </w:p>
        </w:tc>
        <w:tc>
          <w:tcPr>
            <w:tcW w:w="1417" w:type="dxa"/>
            <w:vAlign w:val="center"/>
          </w:tcPr>
          <w:p w14:paraId="356B52FE" w14:textId="45E2D34F" w:rsidR="00DF139A" w:rsidRPr="005E53F2" w:rsidRDefault="00DF139A" w:rsidP="00DF139A">
            <w:pPr>
              <w:jc w:val="center"/>
              <w:rPr>
                <w:rFonts w:ascii="Arial" w:hAnsi="Arial" w:cs="Arial"/>
                <w:sz w:val="18"/>
                <w:szCs w:val="18"/>
              </w:rPr>
            </w:pPr>
            <w:r w:rsidRPr="005E53F2">
              <w:rPr>
                <w:rFonts w:ascii="Arial" w:hAnsi="Arial" w:cs="Arial"/>
                <w:sz w:val="18"/>
                <w:szCs w:val="18"/>
              </w:rPr>
              <w:t>16,67%</w:t>
            </w:r>
          </w:p>
        </w:tc>
      </w:tr>
      <w:tr w:rsidR="007B34B2" w:rsidRPr="00C17D08" w14:paraId="7AF34E52" w14:textId="77777777" w:rsidTr="00557382">
        <w:trPr>
          <w:trHeight w:val="261"/>
          <w:jc w:val="center"/>
        </w:trPr>
        <w:tc>
          <w:tcPr>
            <w:tcW w:w="3261" w:type="dxa"/>
            <w:vAlign w:val="center"/>
          </w:tcPr>
          <w:p w14:paraId="66AC279C" w14:textId="77777777" w:rsidR="007B34B2" w:rsidRPr="00C17D08" w:rsidRDefault="007B34B2" w:rsidP="00557382">
            <w:pPr>
              <w:rPr>
                <w:rFonts w:ascii="Arial" w:hAnsi="Arial" w:cs="Arial"/>
                <w:sz w:val="18"/>
                <w:szCs w:val="18"/>
              </w:rPr>
            </w:pPr>
          </w:p>
        </w:tc>
        <w:tc>
          <w:tcPr>
            <w:tcW w:w="1417" w:type="dxa"/>
            <w:vAlign w:val="center"/>
          </w:tcPr>
          <w:p w14:paraId="75787924" w14:textId="77777777" w:rsidR="007B34B2" w:rsidRPr="00C17D08" w:rsidRDefault="007B34B2" w:rsidP="00557382">
            <w:pPr>
              <w:jc w:val="right"/>
              <w:rPr>
                <w:rFonts w:ascii="Arial" w:hAnsi="Arial" w:cs="Arial"/>
                <w:sz w:val="18"/>
                <w:szCs w:val="18"/>
              </w:rPr>
            </w:pPr>
          </w:p>
        </w:tc>
        <w:tc>
          <w:tcPr>
            <w:tcW w:w="1418" w:type="dxa"/>
            <w:vAlign w:val="center"/>
          </w:tcPr>
          <w:p w14:paraId="29CC4261" w14:textId="77777777" w:rsidR="007B34B2" w:rsidRPr="00C17D08" w:rsidRDefault="007B34B2" w:rsidP="00557382">
            <w:pPr>
              <w:jc w:val="center"/>
              <w:rPr>
                <w:rFonts w:ascii="Arial" w:hAnsi="Arial" w:cs="Arial"/>
                <w:sz w:val="18"/>
                <w:szCs w:val="18"/>
              </w:rPr>
            </w:pPr>
          </w:p>
        </w:tc>
        <w:tc>
          <w:tcPr>
            <w:tcW w:w="1276" w:type="dxa"/>
            <w:vAlign w:val="center"/>
          </w:tcPr>
          <w:p w14:paraId="1C1B5716" w14:textId="77777777" w:rsidR="007B34B2" w:rsidRPr="00C17D08" w:rsidRDefault="007B34B2" w:rsidP="00557382">
            <w:pPr>
              <w:jc w:val="right"/>
              <w:rPr>
                <w:rFonts w:ascii="Arial" w:hAnsi="Arial" w:cs="Arial"/>
                <w:sz w:val="18"/>
                <w:szCs w:val="18"/>
              </w:rPr>
            </w:pPr>
          </w:p>
        </w:tc>
        <w:tc>
          <w:tcPr>
            <w:tcW w:w="1417" w:type="dxa"/>
            <w:vAlign w:val="center"/>
          </w:tcPr>
          <w:p w14:paraId="5FE8A448" w14:textId="77777777" w:rsidR="007B34B2" w:rsidRPr="00C17D08" w:rsidRDefault="007B34B2" w:rsidP="00557382">
            <w:pPr>
              <w:jc w:val="center"/>
              <w:rPr>
                <w:rFonts w:ascii="Arial" w:hAnsi="Arial" w:cs="Arial"/>
                <w:sz w:val="18"/>
                <w:szCs w:val="18"/>
              </w:rPr>
            </w:pPr>
          </w:p>
        </w:tc>
      </w:tr>
      <w:tr w:rsidR="00DF139A" w:rsidRPr="00C17D08" w14:paraId="5CB55E2D" w14:textId="77777777" w:rsidTr="00557382">
        <w:trPr>
          <w:trHeight w:val="454"/>
          <w:jc w:val="center"/>
        </w:trPr>
        <w:tc>
          <w:tcPr>
            <w:tcW w:w="3261" w:type="dxa"/>
            <w:vAlign w:val="center"/>
          </w:tcPr>
          <w:p w14:paraId="63109CC5" w14:textId="77777777" w:rsidR="00DF139A" w:rsidRPr="00C17D08" w:rsidRDefault="00DF139A" w:rsidP="00DF139A">
            <w:pPr>
              <w:rPr>
                <w:rFonts w:ascii="Arial" w:hAnsi="Arial" w:cs="Arial"/>
                <w:sz w:val="18"/>
                <w:szCs w:val="18"/>
              </w:rPr>
            </w:pPr>
            <w:r>
              <w:rPr>
                <w:rFonts w:ascii="Arial" w:hAnsi="Arial" w:cs="Arial"/>
                <w:sz w:val="18"/>
                <w:szCs w:val="18"/>
              </w:rPr>
              <w:t xml:space="preserve">50 siguientes mayores clientes </w:t>
            </w:r>
          </w:p>
        </w:tc>
        <w:tc>
          <w:tcPr>
            <w:tcW w:w="1417" w:type="dxa"/>
            <w:vAlign w:val="center"/>
          </w:tcPr>
          <w:p w14:paraId="0F5B0A82" w14:textId="5565B609" w:rsidR="00DF139A" w:rsidRPr="005E53F2" w:rsidRDefault="00DF139A" w:rsidP="00DF139A">
            <w:pPr>
              <w:jc w:val="right"/>
              <w:rPr>
                <w:rFonts w:ascii="Arial" w:hAnsi="Arial" w:cs="Arial"/>
                <w:sz w:val="18"/>
                <w:szCs w:val="18"/>
              </w:rPr>
            </w:pPr>
            <w:r>
              <w:rPr>
                <w:rFonts w:ascii="Arial" w:hAnsi="Arial" w:cs="Arial"/>
                <w:sz w:val="18"/>
                <w:szCs w:val="18"/>
              </w:rPr>
              <w:t xml:space="preserve">17.518.930 </w:t>
            </w:r>
          </w:p>
        </w:tc>
        <w:tc>
          <w:tcPr>
            <w:tcW w:w="1418" w:type="dxa"/>
            <w:vAlign w:val="center"/>
          </w:tcPr>
          <w:p w14:paraId="32AEE802" w14:textId="7A7B2007" w:rsidR="00DF139A" w:rsidRPr="005E53F2" w:rsidRDefault="00DF139A" w:rsidP="00DF139A">
            <w:pPr>
              <w:jc w:val="center"/>
              <w:rPr>
                <w:rFonts w:ascii="Arial" w:hAnsi="Arial" w:cs="Arial"/>
                <w:sz w:val="18"/>
                <w:szCs w:val="18"/>
              </w:rPr>
            </w:pPr>
            <w:r>
              <w:rPr>
                <w:rFonts w:ascii="Arial" w:hAnsi="Arial" w:cs="Arial"/>
                <w:sz w:val="18"/>
                <w:szCs w:val="18"/>
              </w:rPr>
              <w:t>19,33%</w:t>
            </w:r>
          </w:p>
        </w:tc>
        <w:tc>
          <w:tcPr>
            <w:tcW w:w="1276" w:type="dxa"/>
            <w:vAlign w:val="center"/>
          </w:tcPr>
          <w:p w14:paraId="7B0752D7" w14:textId="0B8C3C9E" w:rsidR="00DF139A" w:rsidRPr="005E53F2" w:rsidRDefault="00DF139A" w:rsidP="00DF139A">
            <w:pPr>
              <w:jc w:val="right"/>
              <w:rPr>
                <w:rFonts w:ascii="Arial" w:hAnsi="Arial" w:cs="Arial"/>
                <w:sz w:val="18"/>
                <w:szCs w:val="18"/>
              </w:rPr>
            </w:pPr>
            <w:r w:rsidRPr="005E53F2">
              <w:rPr>
                <w:rFonts w:ascii="Arial" w:hAnsi="Arial" w:cs="Arial"/>
                <w:sz w:val="18"/>
                <w:szCs w:val="18"/>
              </w:rPr>
              <w:t xml:space="preserve">13.218.847 </w:t>
            </w:r>
          </w:p>
        </w:tc>
        <w:tc>
          <w:tcPr>
            <w:tcW w:w="1417" w:type="dxa"/>
            <w:vAlign w:val="center"/>
          </w:tcPr>
          <w:p w14:paraId="6301F232" w14:textId="1DFE357E" w:rsidR="00DF139A" w:rsidRPr="005E53F2" w:rsidRDefault="00DF139A" w:rsidP="00DF139A">
            <w:pPr>
              <w:jc w:val="center"/>
              <w:rPr>
                <w:rFonts w:ascii="Arial" w:hAnsi="Arial" w:cs="Arial"/>
                <w:sz w:val="18"/>
                <w:szCs w:val="18"/>
              </w:rPr>
            </w:pPr>
            <w:r w:rsidRPr="005E53F2">
              <w:rPr>
                <w:rFonts w:ascii="Arial" w:hAnsi="Arial" w:cs="Arial"/>
                <w:sz w:val="18"/>
                <w:szCs w:val="18"/>
              </w:rPr>
              <w:t>17,38%</w:t>
            </w:r>
          </w:p>
        </w:tc>
      </w:tr>
      <w:tr w:rsidR="007B34B2" w:rsidRPr="00C17D08" w14:paraId="5C26846B" w14:textId="77777777" w:rsidTr="00557382">
        <w:trPr>
          <w:trHeight w:val="257"/>
          <w:jc w:val="center"/>
        </w:trPr>
        <w:tc>
          <w:tcPr>
            <w:tcW w:w="3261" w:type="dxa"/>
            <w:vAlign w:val="center"/>
          </w:tcPr>
          <w:p w14:paraId="34EAC169" w14:textId="77777777" w:rsidR="007B34B2" w:rsidRPr="00C17D08" w:rsidRDefault="007B34B2" w:rsidP="00557382">
            <w:pPr>
              <w:rPr>
                <w:rFonts w:ascii="Arial" w:hAnsi="Arial" w:cs="Arial"/>
                <w:sz w:val="18"/>
                <w:szCs w:val="18"/>
              </w:rPr>
            </w:pPr>
          </w:p>
        </w:tc>
        <w:tc>
          <w:tcPr>
            <w:tcW w:w="1417" w:type="dxa"/>
            <w:vAlign w:val="center"/>
          </w:tcPr>
          <w:p w14:paraId="2D0AA38D" w14:textId="77777777" w:rsidR="007B34B2" w:rsidRPr="00C17D08" w:rsidRDefault="007B34B2" w:rsidP="00557382">
            <w:pPr>
              <w:jc w:val="right"/>
              <w:rPr>
                <w:rFonts w:ascii="Arial" w:hAnsi="Arial" w:cs="Arial"/>
                <w:sz w:val="18"/>
                <w:szCs w:val="18"/>
              </w:rPr>
            </w:pPr>
          </w:p>
        </w:tc>
        <w:tc>
          <w:tcPr>
            <w:tcW w:w="1418" w:type="dxa"/>
            <w:vAlign w:val="center"/>
          </w:tcPr>
          <w:p w14:paraId="0C3119DD" w14:textId="77777777" w:rsidR="007B34B2" w:rsidRPr="00C17D08" w:rsidRDefault="007B34B2" w:rsidP="00557382">
            <w:pPr>
              <w:jc w:val="center"/>
              <w:rPr>
                <w:rFonts w:ascii="Arial" w:hAnsi="Arial" w:cs="Arial"/>
                <w:sz w:val="18"/>
                <w:szCs w:val="18"/>
              </w:rPr>
            </w:pPr>
          </w:p>
        </w:tc>
        <w:tc>
          <w:tcPr>
            <w:tcW w:w="1276" w:type="dxa"/>
            <w:vAlign w:val="center"/>
          </w:tcPr>
          <w:p w14:paraId="52B9EB41" w14:textId="77777777" w:rsidR="007B34B2" w:rsidRPr="00C17D08" w:rsidRDefault="007B34B2" w:rsidP="00557382">
            <w:pPr>
              <w:jc w:val="right"/>
              <w:rPr>
                <w:rFonts w:ascii="Arial" w:hAnsi="Arial" w:cs="Arial"/>
                <w:sz w:val="18"/>
                <w:szCs w:val="18"/>
              </w:rPr>
            </w:pPr>
          </w:p>
        </w:tc>
        <w:tc>
          <w:tcPr>
            <w:tcW w:w="1417" w:type="dxa"/>
            <w:vAlign w:val="center"/>
          </w:tcPr>
          <w:p w14:paraId="418310C1" w14:textId="77777777" w:rsidR="007B34B2" w:rsidRPr="00C17D08" w:rsidRDefault="007B34B2" w:rsidP="00557382">
            <w:pPr>
              <w:jc w:val="center"/>
              <w:rPr>
                <w:rFonts w:ascii="Arial" w:hAnsi="Arial" w:cs="Arial"/>
                <w:sz w:val="18"/>
                <w:szCs w:val="18"/>
              </w:rPr>
            </w:pPr>
          </w:p>
        </w:tc>
      </w:tr>
      <w:tr w:rsidR="00DF139A" w:rsidRPr="00C17D08" w14:paraId="5C3A48EE" w14:textId="77777777" w:rsidTr="00557382">
        <w:trPr>
          <w:trHeight w:val="454"/>
          <w:jc w:val="center"/>
        </w:trPr>
        <w:tc>
          <w:tcPr>
            <w:tcW w:w="3261" w:type="dxa"/>
            <w:vAlign w:val="center"/>
          </w:tcPr>
          <w:p w14:paraId="4CB2E193" w14:textId="77777777" w:rsidR="00DF139A" w:rsidRPr="00C17D08" w:rsidRDefault="00DF139A" w:rsidP="00DF139A">
            <w:pPr>
              <w:rPr>
                <w:rFonts w:ascii="Arial" w:hAnsi="Arial" w:cs="Arial"/>
                <w:sz w:val="18"/>
                <w:szCs w:val="18"/>
              </w:rPr>
            </w:pPr>
            <w:r>
              <w:rPr>
                <w:rFonts w:ascii="Arial" w:hAnsi="Arial" w:cs="Arial"/>
                <w:sz w:val="18"/>
                <w:szCs w:val="18"/>
              </w:rPr>
              <w:t>100 siguientes mayores clientes</w:t>
            </w:r>
          </w:p>
        </w:tc>
        <w:tc>
          <w:tcPr>
            <w:tcW w:w="1417" w:type="dxa"/>
            <w:vAlign w:val="center"/>
          </w:tcPr>
          <w:p w14:paraId="0584A30A" w14:textId="73A15864" w:rsidR="00DF139A" w:rsidRPr="005E53F2" w:rsidRDefault="00DF139A" w:rsidP="00DF139A">
            <w:pPr>
              <w:jc w:val="right"/>
              <w:rPr>
                <w:rFonts w:ascii="Arial" w:hAnsi="Arial" w:cs="Arial"/>
                <w:sz w:val="18"/>
                <w:szCs w:val="18"/>
              </w:rPr>
            </w:pPr>
            <w:r>
              <w:rPr>
                <w:rFonts w:ascii="Arial" w:hAnsi="Arial" w:cs="Arial"/>
                <w:sz w:val="18"/>
                <w:szCs w:val="18"/>
              </w:rPr>
              <w:t xml:space="preserve">9.255.889 </w:t>
            </w:r>
          </w:p>
        </w:tc>
        <w:tc>
          <w:tcPr>
            <w:tcW w:w="1418" w:type="dxa"/>
            <w:vAlign w:val="center"/>
          </w:tcPr>
          <w:p w14:paraId="4C6F79EB" w14:textId="2B7695DD" w:rsidR="00DF139A" w:rsidRPr="005E53F2" w:rsidRDefault="00DF139A" w:rsidP="00DF139A">
            <w:pPr>
              <w:jc w:val="center"/>
              <w:rPr>
                <w:rFonts w:ascii="Arial" w:hAnsi="Arial" w:cs="Arial"/>
                <w:sz w:val="18"/>
                <w:szCs w:val="18"/>
              </w:rPr>
            </w:pPr>
            <w:r>
              <w:rPr>
                <w:rFonts w:ascii="Arial" w:hAnsi="Arial" w:cs="Arial"/>
                <w:sz w:val="18"/>
                <w:szCs w:val="18"/>
              </w:rPr>
              <w:t>10,21%</w:t>
            </w:r>
          </w:p>
        </w:tc>
        <w:tc>
          <w:tcPr>
            <w:tcW w:w="1276" w:type="dxa"/>
            <w:vAlign w:val="center"/>
          </w:tcPr>
          <w:p w14:paraId="6BA50A8E" w14:textId="36661482" w:rsidR="00DF139A" w:rsidRPr="005E53F2" w:rsidRDefault="00DF139A" w:rsidP="00DF139A">
            <w:pPr>
              <w:jc w:val="right"/>
              <w:rPr>
                <w:rFonts w:ascii="Arial" w:hAnsi="Arial" w:cs="Arial"/>
                <w:sz w:val="18"/>
                <w:szCs w:val="18"/>
              </w:rPr>
            </w:pPr>
            <w:r w:rsidRPr="005E53F2">
              <w:rPr>
                <w:rFonts w:ascii="Arial" w:hAnsi="Arial" w:cs="Arial"/>
                <w:sz w:val="18"/>
                <w:szCs w:val="18"/>
              </w:rPr>
              <w:t xml:space="preserve">7.239.902 </w:t>
            </w:r>
          </w:p>
        </w:tc>
        <w:tc>
          <w:tcPr>
            <w:tcW w:w="1417" w:type="dxa"/>
            <w:vAlign w:val="center"/>
          </w:tcPr>
          <w:p w14:paraId="3592CFCA" w14:textId="052D80CB" w:rsidR="00DF139A" w:rsidRPr="005E53F2" w:rsidRDefault="00DF139A" w:rsidP="00DF139A">
            <w:pPr>
              <w:jc w:val="center"/>
              <w:rPr>
                <w:rFonts w:ascii="Arial" w:hAnsi="Arial" w:cs="Arial"/>
                <w:sz w:val="18"/>
                <w:szCs w:val="18"/>
              </w:rPr>
            </w:pPr>
            <w:r w:rsidRPr="005E53F2">
              <w:rPr>
                <w:rFonts w:ascii="Arial" w:hAnsi="Arial" w:cs="Arial"/>
                <w:sz w:val="18"/>
                <w:szCs w:val="18"/>
              </w:rPr>
              <w:t>9,52%</w:t>
            </w:r>
          </w:p>
        </w:tc>
      </w:tr>
      <w:tr w:rsidR="007B34B2" w:rsidRPr="00C17D08" w14:paraId="15E34CAA" w14:textId="77777777" w:rsidTr="00557382">
        <w:trPr>
          <w:trHeight w:val="253"/>
          <w:jc w:val="center"/>
        </w:trPr>
        <w:tc>
          <w:tcPr>
            <w:tcW w:w="3261" w:type="dxa"/>
            <w:vAlign w:val="center"/>
          </w:tcPr>
          <w:p w14:paraId="430CB66A" w14:textId="77777777" w:rsidR="007B34B2" w:rsidRPr="00C17D08" w:rsidRDefault="007B34B2" w:rsidP="00557382">
            <w:pPr>
              <w:rPr>
                <w:rFonts w:ascii="Arial" w:hAnsi="Arial" w:cs="Arial"/>
                <w:sz w:val="18"/>
                <w:szCs w:val="18"/>
              </w:rPr>
            </w:pPr>
          </w:p>
        </w:tc>
        <w:tc>
          <w:tcPr>
            <w:tcW w:w="1417" w:type="dxa"/>
            <w:vAlign w:val="center"/>
          </w:tcPr>
          <w:p w14:paraId="59BEE62F" w14:textId="77777777" w:rsidR="007B34B2" w:rsidRPr="00C17D08" w:rsidRDefault="007B34B2" w:rsidP="00557382">
            <w:pPr>
              <w:jc w:val="right"/>
              <w:rPr>
                <w:rFonts w:ascii="Arial" w:hAnsi="Arial" w:cs="Arial"/>
                <w:sz w:val="18"/>
                <w:szCs w:val="18"/>
              </w:rPr>
            </w:pPr>
          </w:p>
        </w:tc>
        <w:tc>
          <w:tcPr>
            <w:tcW w:w="1418" w:type="dxa"/>
            <w:vAlign w:val="center"/>
          </w:tcPr>
          <w:p w14:paraId="0B918593" w14:textId="77777777" w:rsidR="007B34B2" w:rsidRPr="00C17D08" w:rsidRDefault="007B34B2" w:rsidP="00557382">
            <w:pPr>
              <w:jc w:val="center"/>
              <w:rPr>
                <w:rFonts w:ascii="Arial" w:hAnsi="Arial" w:cs="Arial"/>
                <w:sz w:val="18"/>
                <w:szCs w:val="18"/>
              </w:rPr>
            </w:pPr>
          </w:p>
        </w:tc>
        <w:tc>
          <w:tcPr>
            <w:tcW w:w="1276" w:type="dxa"/>
            <w:vAlign w:val="center"/>
          </w:tcPr>
          <w:p w14:paraId="68BE0C7A" w14:textId="77777777" w:rsidR="007B34B2" w:rsidRPr="00C17D08" w:rsidRDefault="007B34B2" w:rsidP="00557382">
            <w:pPr>
              <w:jc w:val="right"/>
              <w:rPr>
                <w:rFonts w:ascii="Arial" w:hAnsi="Arial" w:cs="Arial"/>
                <w:sz w:val="18"/>
                <w:szCs w:val="18"/>
              </w:rPr>
            </w:pPr>
          </w:p>
        </w:tc>
        <w:tc>
          <w:tcPr>
            <w:tcW w:w="1417" w:type="dxa"/>
            <w:vAlign w:val="center"/>
          </w:tcPr>
          <w:p w14:paraId="5DF18760" w14:textId="77777777" w:rsidR="007B34B2" w:rsidRPr="00C17D08" w:rsidRDefault="007B34B2" w:rsidP="00557382">
            <w:pPr>
              <w:jc w:val="center"/>
              <w:rPr>
                <w:rFonts w:ascii="Arial" w:hAnsi="Arial" w:cs="Arial"/>
                <w:sz w:val="18"/>
                <w:szCs w:val="18"/>
              </w:rPr>
            </w:pPr>
          </w:p>
        </w:tc>
      </w:tr>
      <w:tr w:rsidR="00DF139A" w:rsidRPr="00C17D08" w14:paraId="4AB6434F" w14:textId="77777777" w:rsidTr="00557382">
        <w:trPr>
          <w:trHeight w:val="454"/>
          <w:jc w:val="center"/>
        </w:trPr>
        <w:tc>
          <w:tcPr>
            <w:tcW w:w="3261" w:type="dxa"/>
            <w:vAlign w:val="center"/>
          </w:tcPr>
          <w:p w14:paraId="4C00C09E" w14:textId="77777777" w:rsidR="00DF139A" w:rsidRPr="00C17D08" w:rsidRDefault="00DF139A" w:rsidP="00DF139A">
            <w:pPr>
              <w:rPr>
                <w:rFonts w:ascii="Arial" w:hAnsi="Arial" w:cs="Arial"/>
                <w:sz w:val="18"/>
                <w:szCs w:val="18"/>
              </w:rPr>
            </w:pPr>
            <w:r>
              <w:rPr>
                <w:rFonts w:ascii="Arial" w:hAnsi="Arial" w:cs="Arial"/>
                <w:sz w:val="18"/>
                <w:szCs w:val="18"/>
              </w:rPr>
              <w:t>Resto de clientes</w:t>
            </w:r>
          </w:p>
        </w:tc>
        <w:tc>
          <w:tcPr>
            <w:tcW w:w="1417" w:type="dxa"/>
            <w:vAlign w:val="center"/>
          </w:tcPr>
          <w:p w14:paraId="53EA4357" w14:textId="197741EA" w:rsidR="00DF139A" w:rsidRPr="005E53F2" w:rsidRDefault="00DF139A" w:rsidP="00DF139A">
            <w:pPr>
              <w:jc w:val="right"/>
              <w:rPr>
                <w:rFonts w:ascii="Arial" w:hAnsi="Arial" w:cs="Arial"/>
                <w:sz w:val="18"/>
                <w:szCs w:val="18"/>
              </w:rPr>
            </w:pPr>
            <w:r>
              <w:rPr>
                <w:rFonts w:ascii="Arial" w:hAnsi="Arial" w:cs="Arial"/>
                <w:sz w:val="18"/>
                <w:szCs w:val="18"/>
              </w:rPr>
              <w:t xml:space="preserve">51.333.256 </w:t>
            </w:r>
          </w:p>
        </w:tc>
        <w:tc>
          <w:tcPr>
            <w:tcW w:w="1418" w:type="dxa"/>
            <w:vAlign w:val="center"/>
          </w:tcPr>
          <w:p w14:paraId="5D26478E" w14:textId="1C9DB34C" w:rsidR="00DF139A" w:rsidRPr="005E53F2" w:rsidRDefault="00DF139A" w:rsidP="00DF139A">
            <w:pPr>
              <w:jc w:val="center"/>
              <w:rPr>
                <w:rFonts w:ascii="Arial" w:hAnsi="Arial" w:cs="Arial"/>
                <w:sz w:val="18"/>
                <w:szCs w:val="18"/>
              </w:rPr>
            </w:pPr>
            <w:r>
              <w:rPr>
                <w:rFonts w:ascii="Arial" w:hAnsi="Arial" w:cs="Arial"/>
                <w:sz w:val="18"/>
                <w:szCs w:val="18"/>
              </w:rPr>
              <w:t>56,66%</w:t>
            </w:r>
          </w:p>
        </w:tc>
        <w:tc>
          <w:tcPr>
            <w:tcW w:w="1276" w:type="dxa"/>
            <w:vAlign w:val="center"/>
          </w:tcPr>
          <w:p w14:paraId="20940275" w14:textId="263C8B04" w:rsidR="00DF139A" w:rsidRPr="005E53F2" w:rsidRDefault="00DF139A" w:rsidP="00DF139A">
            <w:pPr>
              <w:jc w:val="right"/>
              <w:rPr>
                <w:rFonts w:ascii="Arial" w:hAnsi="Arial" w:cs="Arial"/>
                <w:sz w:val="18"/>
                <w:szCs w:val="18"/>
              </w:rPr>
            </w:pPr>
            <w:r w:rsidRPr="005E53F2">
              <w:rPr>
                <w:rFonts w:ascii="Arial" w:hAnsi="Arial" w:cs="Arial"/>
                <w:sz w:val="18"/>
                <w:szCs w:val="18"/>
              </w:rPr>
              <w:t xml:space="preserve">42.902.347 </w:t>
            </w:r>
          </w:p>
        </w:tc>
        <w:tc>
          <w:tcPr>
            <w:tcW w:w="1417" w:type="dxa"/>
            <w:vAlign w:val="center"/>
          </w:tcPr>
          <w:p w14:paraId="692EFD3F" w14:textId="7BADD54B" w:rsidR="00DF139A" w:rsidRPr="005E53F2" w:rsidRDefault="00DF139A" w:rsidP="00DF139A">
            <w:pPr>
              <w:jc w:val="center"/>
              <w:rPr>
                <w:rFonts w:ascii="Arial" w:hAnsi="Arial" w:cs="Arial"/>
                <w:sz w:val="18"/>
                <w:szCs w:val="18"/>
              </w:rPr>
            </w:pPr>
            <w:r w:rsidRPr="005E53F2">
              <w:rPr>
                <w:rFonts w:ascii="Arial" w:hAnsi="Arial" w:cs="Arial"/>
                <w:sz w:val="18"/>
                <w:szCs w:val="18"/>
              </w:rPr>
              <w:t>56,43%</w:t>
            </w:r>
          </w:p>
        </w:tc>
      </w:tr>
      <w:tr w:rsidR="00187A94" w:rsidRPr="0014647F" w14:paraId="1A23558A" w14:textId="77777777" w:rsidTr="005C6B88">
        <w:trPr>
          <w:trHeight w:val="340"/>
          <w:jc w:val="center"/>
        </w:trPr>
        <w:tc>
          <w:tcPr>
            <w:tcW w:w="3261" w:type="dxa"/>
            <w:tcBorders>
              <w:top w:val="single" w:sz="4" w:space="0" w:color="auto"/>
              <w:bottom w:val="single" w:sz="4" w:space="0" w:color="auto"/>
            </w:tcBorders>
            <w:vAlign w:val="center"/>
          </w:tcPr>
          <w:p w14:paraId="4D411D58" w14:textId="77777777" w:rsidR="00187A94" w:rsidRPr="0014647F" w:rsidRDefault="00187A94" w:rsidP="00187A94">
            <w:pPr>
              <w:jc w:val="center"/>
              <w:rPr>
                <w:rFonts w:ascii="Arial" w:hAnsi="Arial" w:cs="Arial"/>
                <w:b/>
                <w:sz w:val="18"/>
                <w:szCs w:val="18"/>
              </w:rPr>
            </w:pPr>
            <w:r w:rsidRPr="0014647F">
              <w:rPr>
                <w:rFonts w:ascii="Arial" w:hAnsi="Arial" w:cs="Arial"/>
                <w:b/>
                <w:sz w:val="18"/>
                <w:szCs w:val="18"/>
              </w:rPr>
              <w:t>TOTAL</w:t>
            </w:r>
          </w:p>
        </w:tc>
        <w:tc>
          <w:tcPr>
            <w:tcW w:w="1417" w:type="dxa"/>
            <w:tcBorders>
              <w:top w:val="single" w:sz="4" w:space="0" w:color="auto"/>
              <w:bottom w:val="single" w:sz="4" w:space="0" w:color="auto"/>
            </w:tcBorders>
            <w:vAlign w:val="bottom"/>
          </w:tcPr>
          <w:p w14:paraId="560F852B" w14:textId="159281A3" w:rsidR="00187A94" w:rsidRPr="00187A94" w:rsidRDefault="00187A94" w:rsidP="00DF139A">
            <w:pPr>
              <w:jc w:val="center"/>
              <w:rPr>
                <w:rFonts w:ascii="Arial" w:hAnsi="Arial" w:cs="Arial"/>
                <w:b/>
                <w:bCs/>
                <w:sz w:val="18"/>
                <w:szCs w:val="18"/>
              </w:rPr>
            </w:pPr>
            <w:r>
              <w:rPr>
                <w:rFonts w:ascii="Arial" w:hAnsi="Arial" w:cs="Arial"/>
                <w:b/>
                <w:bCs/>
                <w:sz w:val="18"/>
                <w:szCs w:val="18"/>
              </w:rPr>
              <w:t xml:space="preserve">      </w:t>
            </w:r>
            <w:r w:rsidRPr="00187A94">
              <w:rPr>
                <w:rFonts w:ascii="Arial" w:hAnsi="Arial" w:cs="Arial"/>
                <w:b/>
                <w:bCs/>
                <w:sz w:val="18"/>
                <w:szCs w:val="18"/>
              </w:rPr>
              <w:t>9</w:t>
            </w:r>
            <w:r w:rsidR="00DF139A">
              <w:rPr>
                <w:rFonts w:ascii="Arial" w:hAnsi="Arial" w:cs="Arial"/>
                <w:b/>
                <w:bCs/>
                <w:sz w:val="18"/>
                <w:szCs w:val="18"/>
              </w:rPr>
              <w:t>0</w:t>
            </w:r>
            <w:r w:rsidRPr="00187A94">
              <w:rPr>
                <w:rFonts w:ascii="Arial" w:hAnsi="Arial" w:cs="Arial"/>
                <w:b/>
                <w:bCs/>
                <w:sz w:val="18"/>
                <w:szCs w:val="18"/>
              </w:rPr>
              <w:t>.</w:t>
            </w:r>
            <w:r w:rsidR="00DF139A">
              <w:rPr>
                <w:rFonts w:ascii="Arial" w:hAnsi="Arial" w:cs="Arial"/>
                <w:b/>
                <w:bCs/>
                <w:sz w:val="18"/>
                <w:szCs w:val="18"/>
              </w:rPr>
              <w:t>613</w:t>
            </w:r>
            <w:r w:rsidRPr="00187A94">
              <w:rPr>
                <w:rFonts w:ascii="Arial" w:hAnsi="Arial" w:cs="Arial"/>
                <w:b/>
                <w:bCs/>
                <w:sz w:val="18"/>
                <w:szCs w:val="18"/>
              </w:rPr>
              <w:t>.</w:t>
            </w:r>
            <w:r w:rsidR="00DF139A">
              <w:rPr>
                <w:rFonts w:ascii="Arial" w:hAnsi="Arial" w:cs="Arial"/>
                <w:b/>
                <w:bCs/>
                <w:sz w:val="18"/>
                <w:szCs w:val="18"/>
              </w:rPr>
              <w:t>435</w:t>
            </w:r>
          </w:p>
        </w:tc>
        <w:tc>
          <w:tcPr>
            <w:tcW w:w="1418" w:type="dxa"/>
            <w:tcBorders>
              <w:top w:val="single" w:sz="4" w:space="0" w:color="auto"/>
              <w:bottom w:val="single" w:sz="4" w:space="0" w:color="auto"/>
            </w:tcBorders>
            <w:vAlign w:val="center"/>
          </w:tcPr>
          <w:p w14:paraId="2C74B869" w14:textId="24BCFAC5" w:rsidR="00187A94" w:rsidRPr="00187A94" w:rsidRDefault="00187A94" w:rsidP="00187A94">
            <w:pPr>
              <w:jc w:val="center"/>
              <w:rPr>
                <w:rFonts w:ascii="Arial" w:hAnsi="Arial" w:cs="Arial"/>
                <w:b/>
                <w:bCs/>
                <w:sz w:val="18"/>
                <w:szCs w:val="18"/>
              </w:rPr>
            </w:pPr>
            <w:r w:rsidRPr="00187A94">
              <w:rPr>
                <w:rFonts w:ascii="Arial" w:hAnsi="Arial" w:cs="Arial"/>
                <w:b/>
                <w:bCs/>
                <w:sz w:val="18"/>
                <w:szCs w:val="18"/>
              </w:rPr>
              <w:t>100,00%</w:t>
            </w:r>
          </w:p>
        </w:tc>
        <w:tc>
          <w:tcPr>
            <w:tcW w:w="1276" w:type="dxa"/>
            <w:tcBorders>
              <w:top w:val="single" w:sz="4" w:space="0" w:color="auto"/>
              <w:bottom w:val="single" w:sz="4" w:space="0" w:color="auto"/>
            </w:tcBorders>
            <w:vAlign w:val="center"/>
          </w:tcPr>
          <w:p w14:paraId="14D35C4E" w14:textId="6769C8DA" w:rsidR="00187A94" w:rsidRPr="005E53F2" w:rsidRDefault="00187A94" w:rsidP="00187A94">
            <w:pPr>
              <w:jc w:val="center"/>
              <w:rPr>
                <w:rFonts w:ascii="Arial" w:hAnsi="Arial" w:cs="Arial"/>
                <w:b/>
                <w:sz w:val="18"/>
                <w:szCs w:val="18"/>
              </w:rPr>
            </w:pPr>
            <w:r>
              <w:rPr>
                <w:rFonts w:ascii="Arial" w:hAnsi="Arial" w:cs="Arial"/>
                <w:b/>
                <w:bCs/>
                <w:sz w:val="18"/>
                <w:szCs w:val="18"/>
              </w:rPr>
              <w:t xml:space="preserve">   </w:t>
            </w:r>
            <w:r w:rsidRPr="005E53F2">
              <w:rPr>
                <w:rFonts w:ascii="Arial" w:hAnsi="Arial" w:cs="Arial"/>
                <w:b/>
                <w:bCs/>
                <w:sz w:val="18"/>
                <w:szCs w:val="18"/>
              </w:rPr>
              <w:t>76.037.329</w:t>
            </w:r>
          </w:p>
        </w:tc>
        <w:tc>
          <w:tcPr>
            <w:tcW w:w="1417" w:type="dxa"/>
            <w:tcBorders>
              <w:top w:val="single" w:sz="4" w:space="0" w:color="auto"/>
              <w:bottom w:val="single" w:sz="4" w:space="0" w:color="auto"/>
            </w:tcBorders>
            <w:vAlign w:val="center"/>
          </w:tcPr>
          <w:p w14:paraId="0B88CCBE" w14:textId="3210DDF5" w:rsidR="00187A94" w:rsidRPr="005E53F2" w:rsidRDefault="00187A94" w:rsidP="00187A94">
            <w:pPr>
              <w:jc w:val="center"/>
              <w:rPr>
                <w:rFonts w:ascii="Arial" w:hAnsi="Arial" w:cs="Arial"/>
                <w:b/>
                <w:sz w:val="18"/>
                <w:szCs w:val="18"/>
              </w:rPr>
            </w:pPr>
            <w:r w:rsidRPr="005E53F2">
              <w:rPr>
                <w:rFonts w:ascii="Arial" w:hAnsi="Arial" w:cs="Arial"/>
                <w:b/>
                <w:bCs/>
                <w:sz w:val="18"/>
                <w:szCs w:val="18"/>
              </w:rPr>
              <w:t>100,00%</w:t>
            </w:r>
          </w:p>
        </w:tc>
      </w:tr>
    </w:tbl>
    <w:p w14:paraId="1B65B610" w14:textId="4DD38497" w:rsidR="007C794F" w:rsidRPr="00701F32" w:rsidRDefault="007C794F" w:rsidP="008962C9"/>
    <w:p w14:paraId="28064A9F" w14:textId="77777777" w:rsidR="00425F99" w:rsidRPr="00701F32" w:rsidRDefault="00425F99" w:rsidP="008962C9">
      <w:pPr>
        <w:rPr>
          <w:lang w:val="en-US"/>
        </w:rPr>
      </w:pPr>
    </w:p>
    <w:p w14:paraId="14698231" w14:textId="77777777" w:rsidR="00425F99" w:rsidRPr="00701F32" w:rsidRDefault="00425F99" w:rsidP="008962C9">
      <w:pPr>
        <w:rPr>
          <w:lang w:val="en-US"/>
        </w:rPr>
      </w:pPr>
    </w:p>
    <w:p w14:paraId="2EB44FC5" w14:textId="77777777" w:rsidR="00425F99" w:rsidRPr="00701F32" w:rsidRDefault="00425F99" w:rsidP="008962C9">
      <w:pPr>
        <w:rPr>
          <w:lang w:val="en-US"/>
        </w:rPr>
        <w:sectPr w:rsidR="00425F99" w:rsidRPr="00701F32" w:rsidSect="007045C3">
          <w:headerReference w:type="default" r:id="rId54"/>
          <w:pgSz w:w="11907" w:h="16839" w:code="9"/>
          <w:pgMar w:top="1418" w:right="1701" w:bottom="1418" w:left="1701" w:header="567" w:footer="0" w:gutter="0"/>
          <w:paperSrc w:first="256" w:other="256"/>
          <w:cols w:space="720"/>
          <w:docGrid w:linePitch="326"/>
        </w:sectPr>
      </w:pPr>
    </w:p>
    <w:p w14:paraId="5664F45C" w14:textId="178CF906" w:rsidR="007C794F" w:rsidRPr="00701F32" w:rsidRDefault="007C794F" w:rsidP="008962C9">
      <w:pPr>
        <w:rPr>
          <w:lang w:val="en-US"/>
        </w:rPr>
      </w:pPr>
    </w:p>
    <w:tbl>
      <w:tblPr>
        <w:tblStyle w:val="Tablaconcuadrcula"/>
        <w:tblW w:w="10059" w:type="dxa"/>
        <w:tblInd w:w="-365" w:type="dxa"/>
        <w:tblLook w:val="04A0" w:firstRow="1" w:lastRow="0" w:firstColumn="1" w:lastColumn="0" w:noHBand="0" w:noVBand="1"/>
      </w:tblPr>
      <w:tblGrid>
        <w:gridCol w:w="1859"/>
        <w:gridCol w:w="995"/>
        <w:gridCol w:w="1176"/>
        <w:gridCol w:w="996"/>
        <w:gridCol w:w="945"/>
        <w:gridCol w:w="945"/>
        <w:gridCol w:w="945"/>
        <w:gridCol w:w="1022"/>
        <w:gridCol w:w="1176"/>
      </w:tblGrid>
      <w:tr w:rsidR="00181D23" w:rsidRPr="003D2CC1" w14:paraId="4AD6C937" w14:textId="77777777" w:rsidTr="00CE53C0">
        <w:trPr>
          <w:trHeight w:val="190"/>
        </w:trPr>
        <w:tc>
          <w:tcPr>
            <w:tcW w:w="185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65B7C4"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Concepto</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47AEA6"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Cartera Vencida</w:t>
            </w:r>
          </w:p>
        </w:tc>
        <w:tc>
          <w:tcPr>
            <w:tcW w:w="602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03E4FB"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Plazos que restan para su vencimiento</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744063"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Total</w:t>
            </w:r>
          </w:p>
        </w:tc>
      </w:tr>
      <w:tr w:rsidR="00110D6B" w:rsidRPr="003D2CC1" w14:paraId="74B7A03A" w14:textId="77777777" w:rsidTr="00CE53C0">
        <w:trPr>
          <w:trHeight w:val="631"/>
        </w:trPr>
        <w:tc>
          <w:tcPr>
            <w:tcW w:w="1859" w:type="dxa"/>
            <w:vMerge/>
            <w:tcBorders>
              <w:top w:val="single" w:sz="4" w:space="0" w:color="auto"/>
              <w:bottom w:val="single" w:sz="4" w:space="0" w:color="auto"/>
            </w:tcBorders>
            <w:vAlign w:val="center"/>
          </w:tcPr>
          <w:p w14:paraId="2CF2261D" w14:textId="77777777" w:rsidR="007B34B2" w:rsidRPr="003D2CC1" w:rsidRDefault="007B34B2" w:rsidP="00BE5A48">
            <w:pPr>
              <w:jc w:val="center"/>
              <w:rPr>
                <w:rFonts w:ascii="Arial" w:hAnsi="Arial" w:cs="Arial"/>
                <w:b/>
                <w:sz w:val="14"/>
                <w:szCs w:val="14"/>
                <w:lang w:eastAsia="es-AR"/>
              </w:rPr>
            </w:pPr>
          </w:p>
        </w:tc>
        <w:tc>
          <w:tcPr>
            <w:tcW w:w="995" w:type="dxa"/>
            <w:vMerge/>
            <w:tcBorders>
              <w:top w:val="single" w:sz="4" w:space="0" w:color="auto"/>
              <w:bottom w:val="single" w:sz="4" w:space="0" w:color="auto"/>
            </w:tcBorders>
            <w:vAlign w:val="center"/>
          </w:tcPr>
          <w:p w14:paraId="60ACE5EC" w14:textId="77777777" w:rsidR="007B34B2" w:rsidRPr="003D2CC1" w:rsidRDefault="007B34B2" w:rsidP="00BE5A48">
            <w:pPr>
              <w:jc w:val="center"/>
              <w:rPr>
                <w:rFonts w:ascii="Arial" w:hAnsi="Arial" w:cs="Arial"/>
                <w:b/>
                <w:sz w:val="14"/>
                <w:szCs w:val="14"/>
                <w:lang w:eastAsia="es-AR"/>
              </w:rPr>
            </w:pPr>
          </w:p>
        </w:tc>
        <w:tc>
          <w:tcPr>
            <w:tcW w:w="1176" w:type="dxa"/>
            <w:tcBorders>
              <w:top w:val="single" w:sz="4" w:space="0" w:color="auto"/>
              <w:bottom w:val="single" w:sz="4" w:space="0" w:color="auto"/>
            </w:tcBorders>
            <w:shd w:val="clear" w:color="auto" w:fill="BFBFBF" w:themeFill="background1" w:themeFillShade="BF"/>
            <w:vAlign w:val="center"/>
          </w:tcPr>
          <w:p w14:paraId="63FD8232"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1</w:t>
            </w:r>
          </w:p>
          <w:p w14:paraId="0F78B4D9"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 xml:space="preserve"> mes</w:t>
            </w:r>
          </w:p>
        </w:tc>
        <w:tc>
          <w:tcPr>
            <w:tcW w:w="996" w:type="dxa"/>
            <w:tcBorders>
              <w:top w:val="single" w:sz="4" w:space="0" w:color="auto"/>
              <w:bottom w:val="single" w:sz="4" w:space="0" w:color="auto"/>
            </w:tcBorders>
            <w:shd w:val="clear" w:color="auto" w:fill="BFBFBF" w:themeFill="background1" w:themeFillShade="BF"/>
            <w:vAlign w:val="center"/>
          </w:tcPr>
          <w:p w14:paraId="24BEA5E7" w14:textId="77777777" w:rsidR="007B34B2" w:rsidRPr="003D2CC1" w:rsidRDefault="007B34B2" w:rsidP="00BE5A48">
            <w:pPr>
              <w:ind w:right="-210"/>
              <w:rPr>
                <w:rFonts w:ascii="Arial" w:hAnsi="Arial" w:cs="Arial"/>
                <w:b/>
                <w:sz w:val="14"/>
                <w:szCs w:val="14"/>
                <w:lang w:eastAsia="es-AR"/>
              </w:rPr>
            </w:pPr>
            <w:r w:rsidRPr="003D2CC1">
              <w:rPr>
                <w:rFonts w:ascii="Arial" w:hAnsi="Arial" w:cs="Arial"/>
                <w:b/>
                <w:sz w:val="14"/>
                <w:szCs w:val="14"/>
                <w:lang w:eastAsia="es-AR"/>
              </w:rPr>
              <w:t xml:space="preserve">     3</w:t>
            </w:r>
          </w:p>
          <w:p w14:paraId="40EF43D1" w14:textId="77777777" w:rsidR="007B34B2" w:rsidRPr="003D2CC1" w:rsidRDefault="007B34B2" w:rsidP="00BE5A48">
            <w:pPr>
              <w:ind w:right="-210"/>
              <w:rPr>
                <w:rFonts w:ascii="Arial" w:hAnsi="Arial" w:cs="Arial"/>
                <w:b/>
                <w:sz w:val="14"/>
                <w:szCs w:val="14"/>
                <w:lang w:eastAsia="es-AR"/>
              </w:rPr>
            </w:pPr>
            <w:r w:rsidRPr="003D2CC1">
              <w:rPr>
                <w:rFonts w:ascii="Arial" w:hAnsi="Arial" w:cs="Arial"/>
                <w:b/>
                <w:sz w:val="14"/>
                <w:szCs w:val="14"/>
                <w:lang w:eastAsia="es-AR"/>
              </w:rPr>
              <w:t xml:space="preserve"> meses</w:t>
            </w:r>
          </w:p>
        </w:tc>
        <w:tc>
          <w:tcPr>
            <w:tcW w:w="945" w:type="dxa"/>
            <w:tcBorders>
              <w:top w:val="single" w:sz="4" w:space="0" w:color="auto"/>
              <w:bottom w:val="single" w:sz="4" w:space="0" w:color="auto"/>
            </w:tcBorders>
            <w:shd w:val="clear" w:color="auto" w:fill="BFBFBF" w:themeFill="background1" w:themeFillShade="BF"/>
            <w:vAlign w:val="center"/>
          </w:tcPr>
          <w:p w14:paraId="36098BE8"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 xml:space="preserve">6 </w:t>
            </w:r>
          </w:p>
          <w:p w14:paraId="27491B19"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meses</w:t>
            </w:r>
          </w:p>
        </w:tc>
        <w:tc>
          <w:tcPr>
            <w:tcW w:w="945" w:type="dxa"/>
            <w:tcBorders>
              <w:top w:val="single" w:sz="4" w:space="0" w:color="auto"/>
              <w:bottom w:val="single" w:sz="4" w:space="0" w:color="auto"/>
            </w:tcBorders>
            <w:shd w:val="clear" w:color="auto" w:fill="BFBFBF" w:themeFill="background1" w:themeFillShade="BF"/>
            <w:vAlign w:val="center"/>
          </w:tcPr>
          <w:p w14:paraId="3AA1636D"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12 meses</w:t>
            </w:r>
          </w:p>
        </w:tc>
        <w:tc>
          <w:tcPr>
            <w:tcW w:w="945" w:type="dxa"/>
            <w:tcBorders>
              <w:top w:val="single" w:sz="4" w:space="0" w:color="auto"/>
              <w:bottom w:val="single" w:sz="4" w:space="0" w:color="auto"/>
            </w:tcBorders>
            <w:shd w:val="clear" w:color="auto" w:fill="BFBFBF" w:themeFill="background1" w:themeFillShade="BF"/>
            <w:vAlign w:val="center"/>
          </w:tcPr>
          <w:p w14:paraId="5C70222A"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24 meses</w:t>
            </w:r>
          </w:p>
        </w:tc>
        <w:tc>
          <w:tcPr>
            <w:tcW w:w="1022" w:type="dxa"/>
            <w:tcBorders>
              <w:top w:val="single" w:sz="4" w:space="0" w:color="auto"/>
              <w:bottom w:val="single" w:sz="4" w:space="0" w:color="auto"/>
            </w:tcBorders>
            <w:shd w:val="clear" w:color="auto" w:fill="BFBFBF" w:themeFill="background1" w:themeFillShade="BF"/>
            <w:vAlign w:val="center"/>
          </w:tcPr>
          <w:p w14:paraId="54DB8FBB" w14:textId="77777777" w:rsidR="007B34B2" w:rsidRPr="003D2CC1" w:rsidRDefault="007B34B2" w:rsidP="00BE5A48">
            <w:pPr>
              <w:jc w:val="center"/>
              <w:rPr>
                <w:rFonts w:ascii="Arial" w:hAnsi="Arial" w:cs="Arial"/>
                <w:b/>
                <w:sz w:val="14"/>
                <w:szCs w:val="14"/>
                <w:lang w:eastAsia="es-AR"/>
              </w:rPr>
            </w:pPr>
            <w:r w:rsidRPr="003D2CC1">
              <w:rPr>
                <w:rFonts w:ascii="Arial" w:hAnsi="Arial" w:cs="Arial"/>
                <w:b/>
                <w:sz w:val="14"/>
                <w:szCs w:val="14"/>
                <w:lang w:eastAsia="es-AR"/>
              </w:rPr>
              <w:t>Mas de 24 meses</w:t>
            </w:r>
          </w:p>
        </w:tc>
        <w:tc>
          <w:tcPr>
            <w:tcW w:w="1176" w:type="dxa"/>
            <w:vMerge/>
            <w:tcBorders>
              <w:top w:val="single" w:sz="4" w:space="0" w:color="auto"/>
              <w:bottom w:val="single" w:sz="4" w:space="0" w:color="auto"/>
            </w:tcBorders>
          </w:tcPr>
          <w:p w14:paraId="0625D70C" w14:textId="77777777" w:rsidR="007B34B2" w:rsidRPr="003D2CC1" w:rsidRDefault="007B34B2" w:rsidP="00BE5A48">
            <w:pPr>
              <w:jc w:val="center"/>
              <w:rPr>
                <w:rFonts w:ascii="Arial" w:hAnsi="Arial" w:cs="Arial"/>
                <w:b/>
                <w:sz w:val="14"/>
                <w:szCs w:val="14"/>
                <w:lang w:eastAsia="es-AR"/>
              </w:rPr>
            </w:pPr>
          </w:p>
        </w:tc>
      </w:tr>
      <w:tr w:rsidR="00110D6B" w:rsidRPr="003D2CC1" w14:paraId="2428A285" w14:textId="77777777" w:rsidTr="0023020F">
        <w:trPr>
          <w:trHeight w:val="151"/>
        </w:trPr>
        <w:tc>
          <w:tcPr>
            <w:tcW w:w="1859" w:type="dxa"/>
            <w:tcBorders>
              <w:top w:val="single" w:sz="4" w:space="0" w:color="auto"/>
              <w:left w:val="nil"/>
              <w:bottom w:val="nil"/>
              <w:right w:val="nil"/>
            </w:tcBorders>
          </w:tcPr>
          <w:p w14:paraId="438ACC1A" w14:textId="77777777" w:rsidR="007B34B2" w:rsidRPr="003D2CC1" w:rsidRDefault="007B34B2" w:rsidP="00BE5A48">
            <w:pPr>
              <w:rPr>
                <w:rFonts w:ascii="Arial" w:hAnsi="Arial" w:cs="Arial"/>
                <w:sz w:val="14"/>
                <w:szCs w:val="14"/>
                <w:lang w:eastAsia="es-AR"/>
              </w:rPr>
            </w:pPr>
          </w:p>
        </w:tc>
        <w:tc>
          <w:tcPr>
            <w:tcW w:w="995" w:type="dxa"/>
            <w:tcBorders>
              <w:top w:val="single" w:sz="4" w:space="0" w:color="auto"/>
              <w:left w:val="nil"/>
              <w:bottom w:val="nil"/>
              <w:right w:val="nil"/>
            </w:tcBorders>
          </w:tcPr>
          <w:p w14:paraId="3EC4E52D" w14:textId="77777777" w:rsidR="007B34B2" w:rsidRPr="003D2CC1" w:rsidRDefault="007B34B2" w:rsidP="00BE5A48">
            <w:pPr>
              <w:rPr>
                <w:rFonts w:ascii="Arial" w:hAnsi="Arial" w:cs="Arial"/>
                <w:sz w:val="14"/>
                <w:szCs w:val="14"/>
                <w:lang w:eastAsia="es-AR"/>
              </w:rPr>
            </w:pPr>
          </w:p>
        </w:tc>
        <w:tc>
          <w:tcPr>
            <w:tcW w:w="1176" w:type="dxa"/>
            <w:tcBorders>
              <w:top w:val="single" w:sz="4" w:space="0" w:color="auto"/>
              <w:left w:val="nil"/>
              <w:bottom w:val="nil"/>
              <w:right w:val="nil"/>
            </w:tcBorders>
          </w:tcPr>
          <w:p w14:paraId="2298C01F" w14:textId="77777777" w:rsidR="007B34B2" w:rsidRPr="003D2CC1" w:rsidRDefault="007B34B2" w:rsidP="00BE5A48">
            <w:pPr>
              <w:rPr>
                <w:rFonts w:ascii="Arial" w:hAnsi="Arial" w:cs="Arial"/>
                <w:sz w:val="14"/>
                <w:szCs w:val="14"/>
                <w:lang w:eastAsia="es-AR"/>
              </w:rPr>
            </w:pPr>
          </w:p>
        </w:tc>
        <w:tc>
          <w:tcPr>
            <w:tcW w:w="996" w:type="dxa"/>
            <w:tcBorders>
              <w:top w:val="single" w:sz="4" w:space="0" w:color="auto"/>
              <w:left w:val="nil"/>
              <w:bottom w:val="nil"/>
              <w:right w:val="nil"/>
            </w:tcBorders>
          </w:tcPr>
          <w:p w14:paraId="590F37C2" w14:textId="77777777" w:rsidR="007B34B2" w:rsidRPr="003D2CC1" w:rsidRDefault="007B34B2" w:rsidP="00BE5A48">
            <w:pPr>
              <w:rPr>
                <w:rFonts w:ascii="Arial" w:hAnsi="Arial" w:cs="Arial"/>
                <w:sz w:val="14"/>
                <w:szCs w:val="14"/>
                <w:lang w:eastAsia="es-AR"/>
              </w:rPr>
            </w:pPr>
          </w:p>
        </w:tc>
        <w:tc>
          <w:tcPr>
            <w:tcW w:w="945" w:type="dxa"/>
            <w:tcBorders>
              <w:top w:val="single" w:sz="4" w:space="0" w:color="auto"/>
              <w:left w:val="nil"/>
              <w:bottom w:val="nil"/>
              <w:right w:val="nil"/>
            </w:tcBorders>
          </w:tcPr>
          <w:p w14:paraId="37DAE6CB" w14:textId="77777777" w:rsidR="007B34B2" w:rsidRPr="003D2CC1" w:rsidRDefault="007B34B2" w:rsidP="00BE5A48">
            <w:pPr>
              <w:rPr>
                <w:rFonts w:ascii="Arial" w:hAnsi="Arial" w:cs="Arial"/>
                <w:sz w:val="14"/>
                <w:szCs w:val="14"/>
                <w:lang w:eastAsia="es-AR"/>
              </w:rPr>
            </w:pPr>
          </w:p>
        </w:tc>
        <w:tc>
          <w:tcPr>
            <w:tcW w:w="945" w:type="dxa"/>
            <w:tcBorders>
              <w:top w:val="single" w:sz="4" w:space="0" w:color="auto"/>
              <w:left w:val="nil"/>
              <w:bottom w:val="nil"/>
              <w:right w:val="nil"/>
            </w:tcBorders>
          </w:tcPr>
          <w:p w14:paraId="63D4C100" w14:textId="77777777" w:rsidR="007B34B2" w:rsidRPr="003D2CC1" w:rsidRDefault="007B34B2" w:rsidP="00BE5A48">
            <w:pPr>
              <w:rPr>
                <w:rFonts w:ascii="Arial" w:hAnsi="Arial" w:cs="Arial"/>
                <w:sz w:val="14"/>
                <w:szCs w:val="14"/>
                <w:lang w:eastAsia="es-AR"/>
              </w:rPr>
            </w:pPr>
          </w:p>
        </w:tc>
        <w:tc>
          <w:tcPr>
            <w:tcW w:w="945" w:type="dxa"/>
            <w:tcBorders>
              <w:top w:val="single" w:sz="4" w:space="0" w:color="auto"/>
              <w:left w:val="nil"/>
              <w:bottom w:val="nil"/>
              <w:right w:val="nil"/>
            </w:tcBorders>
          </w:tcPr>
          <w:p w14:paraId="73FD133C" w14:textId="77777777" w:rsidR="007B34B2" w:rsidRPr="003D2CC1" w:rsidRDefault="007B34B2" w:rsidP="00BE5A48">
            <w:pPr>
              <w:rPr>
                <w:rFonts w:ascii="Arial" w:hAnsi="Arial" w:cs="Arial"/>
                <w:sz w:val="14"/>
                <w:szCs w:val="14"/>
                <w:lang w:eastAsia="es-AR"/>
              </w:rPr>
            </w:pPr>
          </w:p>
        </w:tc>
        <w:tc>
          <w:tcPr>
            <w:tcW w:w="1022" w:type="dxa"/>
            <w:tcBorders>
              <w:top w:val="single" w:sz="4" w:space="0" w:color="auto"/>
              <w:left w:val="nil"/>
              <w:bottom w:val="nil"/>
              <w:right w:val="nil"/>
            </w:tcBorders>
          </w:tcPr>
          <w:p w14:paraId="4ED7D6C3" w14:textId="77777777" w:rsidR="007B34B2" w:rsidRPr="003D2CC1" w:rsidRDefault="007B34B2" w:rsidP="00BE5A48">
            <w:pPr>
              <w:rPr>
                <w:rFonts w:ascii="Arial" w:hAnsi="Arial" w:cs="Arial"/>
                <w:sz w:val="14"/>
                <w:szCs w:val="14"/>
                <w:lang w:eastAsia="es-AR"/>
              </w:rPr>
            </w:pPr>
          </w:p>
        </w:tc>
        <w:tc>
          <w:tcPr>
            <w:tcW w:w="1176" w:type="dxa"/>
            <w:tcBorders>
              <w:top w:val="single" w:sz="4" w:space="0" w:color="auto"/>
              <w:left w:val="nil"/>
              <w:bottom w:val="nil"/>
              <w:right w:val="nil"/>
            </w:tcBorders>
          </w:tcPr>
          <w:p w14:paraId="4956DB52" w14:textId="77777777" w:rsidR="007B34B2" w:rsidRPr="003D2CC1" w:rsidRDefault="007B34B2" w:rsidP="00BE5A48">
            <w:pPr>
              <w:rPr>
                <w:rFonts w:ascii="Arial" w:hAnsi="Arial" w:cs="Arial"/>
                <w:sz w:val="14"/>
                <w:szCs w:val="14"/>
                <w:lang w:eastAsia="es-AR"/>
              </w:rPr>
            </w:pPr>
          </w:p>
        </w:tc>
      </w:tr>
      <w:tr w:rsidR="00110D6B" w:rsidRPr="003D2CC1" w14:paraId="0F8388B9" w14:textId="77777777" w:rsidTr="0023020F">
        <w:trPr>
          <w:trHeight w:val="454"/>
        </w:trPr>
        <w:tc>
          <w:tcPr>
            <w:tcW w:w="1859" w:type="dxa"/>
            <w:tcBorders>
              <w:top w:val="nil"/>
              <w:left w:val="nil"/>
              <w:bottom w:val="nil"/>
              <w:right w:val="nil"/>
            </w:tcBorders>
            <w:vAlign w:val="bottom"/>
          </w:tcPr>
          <w:p w14:paraId="45EF97F7" w14:textId="77777777" w:rsidR="007B34B2" w:rsidRPr="003D2CC1" w:rsidRDefault="007B34B2">
            <w:pPr>
              <w:rPr>
                <w:rFonts w:ascii="Arial" w:hAnsi="Arial" w:cs="Arial"/>
                <w:sz w:val="14"/>
                <w:szCs w:val="14"/>
                <w:lang w:eastAsia="es-AR"/>
              </w:rPr>
            </w:pPr>
            <w:r w:rsidRPr="003D2CC1">
              <w:rPr>
                <w:rFonts w:ascii="Arial" w:hAnsi="Arial" w:cs="Arial"/>
                <w:sz w:val="14"/>
                <w:szCs w:val="14"/>
                <w:lang w:eastAsia="es-AR"/>
              </w:rPr>
              <w:t>Sector Público no financiero</w:t>
            </w:r>
          </w:p>
        </w:tc>
        <w:tc>
          <w:tcPr>
            <w:tcW w:w="995" w:type="dxa"/>
            <w:tcBorders>
              <w:top w:val="nil"/>
              <w:left w:val="nil"/>
              <w:bottom w:val="nil"/>
              <w:right w:val="nil"/>
            </w:tcBorders>
            <w:vAlign w:val="bottom"/>
          </w:tcPr>
          <w:p w14:paraId="13A5BBCB" w14:textId="59B55975" w:rsidR="007B34B2" w:rsidRPr="003D2CC1" w:rsidRDefault="002141EA">
            <w:pPr>
              <w:jc w:val="right"/>
              <w:rPr>
                <w:rFonts w:ascii="Arial" w:hAnsi="Arial" w:cs="Arial"/>
                <w:sz w:val="14"/>
                <w:szCs w:val="14"/>
                <w:lang w:eastAsia="es-AR"/>
              </w:rPr>
            </w:pPr>
            <w:r>
              <w:rPr>
                <w:rFonts w:ascii="Arial" w:hAnsi="Arial" w:cs="Arial"/>
                <w:sz w:val="14"/>
                <w:szCs w:val="14"/>
                <w:lang w:eastAsia="es-AR"/>
              </w:rPr>
              <w:t>-</w:t>
            </w:r>
          </w:p>
        </w:tc>
        <w:tc>
          <w:tcPr>
            <w:tcW w:w="1176" w:type="dxa"/>
            <w:tcBorders>
              <w:top w:val="nil"/>
              <w:left w:val="nil"/>
              <w:bottom w:val="nil"/>
              <w:right w:val="nil"/>
            </w:tcBorders>
            <w:vAlign w:val="bottom"/>
          </w:tcPr>
          <w:p w14:paraId="58222526" w14:textId="079AB80A" w:rsidR="007B34B2" w:rsidRPr="003D2CC1" w:rsidRDefault="002141EA">
            <w:pPr>
              <w:jc w:val="right"/>
              <w:rPr>
                <w:rFonts w:ascii="Arial" w:hAnsi="Arial" w:cs="Arial"/>
                <w:sz w:val="14"/>
                <w:szCs w:val="14"/>
                <w:lang w:eastAsia="es-AR"/>
              </w:rPr>
            </w:pPr>
            <w:r>
              <w:rPr>
                <w:rFonts w:ascii="Arial" w:hAnsi="Arial" w:cs="Arial"/>
                <w:sz w:val="14"/>
                <w:szCs w:val="14"/>
                <w:lang w:eastAsia="es-AR"/>
              </w:rPr>
              <w:t>3.980</w:t>
            </w:r>
          </w:p>
        </w:tc>
        <w:tc>
          <w:tcPr>
            <w:tcW w:w="996" w:type="dxa"/>
            <w:tcBorders>
              <w:top w:val="nil"/>
              <w:left w:val="nil"/>
              <w:bottom w:val="nil"/>
              <w:right w:val="nil"/>
            </w:tcBorders>
            <w:vAlign w:val="bottom"/>
          </w:tcPr>
          <w:p w14:paraId="30F80ACE" w14:textId="28BA1B73" w:rsidR="007B34B2" w:rsidRPr="003D2CC1" w:rsidRDefault="002141EA">
            <w:pPr>
              <w:jc w:val="right"/>
              <w:rPr>
                <w:rFonts w:ascii="Arial" w:hAnsi="Arial" w:cs="Arial"/>
                <w:sz w:val="14"/>
                <w:szCs w:val="14"/>
                <w:lang w:eastAsia="es-AR"/>
              </w:rPr>
            </w:pPr>
            <w:r>
              <w:rPr>
                <w:rFonts w:ascii="Arial" w:hAnsi="Arial" w:cs="Arial"/>
                <w:sz w:val="14"/>
                <w:szCs w:val="14"/>
                <w:lang w:eastAsia="es-AR"/>
              </w:rPr>
              <w:t>4.351</w:t>
            </w:r>
          </w:p>
        </w:tc>
        <w:tc>
          <w:tcPr>
            <w:tcW w:w="945" w:type="dxa"/>
            <w:tcBorders>
              <w:top w:val="nil"/>
              <w:left w:val="nil"/>
              <w:bottom w:val="nil"/>
              <w:right w:val="nil"/>
            </w:tcBorders>
            <w:vAlign w:val="bottom"/>
          </w:tcPr>
          <w:p w14:paraId="36C35F2C" w14:textId="5AD170C2" w:rsidR="007B34B2" w:rsidRPr="003D2CC1" w:rsidRDefault="002141EA">
            <w:pPr>
              <w:jc w:val="right"/>
              <w:rPr>
                <w:rFonts w:ascii="Arial" w:hAnsi="Arial" w:cs="Arial"/>
                <w:sz w:val="14"/>
                <w:szCs w:val="14"/>
                <w:lang w:eastAsia="es-AR"/>
              </w:rPr>
            </w:pPr>
            <w:r>
              <w:rPr>
                <w:rFonts w:ascii="Arial" w:hAnsi="Arial" w:cs="Arial"/>
                <w:sz w:val="14"/>
                <w:szCs w:val="14"/>
                <w:lang w:eastAsia="es-AR"/>
              </w:rPr>
              <w:t>6.717</w:t>
            </w:r>
          </w:p>
        </w:tc>
        <w:tc>
          <w:tcPr>
            <w:tcW w:w="945" w:type="dxa"/>
            <w:tcBorders>
              <w:top w:val="nil"/>
              <w:left w:val="nil"/>
              <w:bottom w:val="nil"/>
              <w:right w:val="nil"/>
            </w:tcBorders>
            <w:vAlign w:val="bottom"/>
          </w:tcPr>
          <w:p w14:paraId="0026E8C4" w14:textId="1F0E336C" w:rsidR="007B34B2" w:rsidRPr="003D2CC1" w:rsidRDefault="002141EA">
            <w:pPr>
              <w:jc w:val="right"/>
              <w:rPr>
                <w:rFonts w:ascii="Arial" w:hAnsi="Arial" w:cs="Arial"/>
                <w:sz w:val="14"/>
                <w:szCs w:val="14"/>
                <w:lang w:eastAsia="es-AR"/>
              </w:rPr>
            </w:pPr>
            <w:r>
              <w:rPr>
                <w:rFonts w:ascii="Arial" w:hAnsi="Arial" w:cs="Arial"/>
                <w:sz w:val="14"/>
                <w:szCs w:val="14"/>
                <w:lang w:eastAsia="es-AR"/>
              </w:rPr>
              <w:t>14.050</w:t>
            </w:r>
          </w:p>
        </w:tc>
        <w:tc>
          <w:tcPr>
            <w:tcW w:w="945" w:type="dxa"/>
            <w:tcBorders>
              <w:top w:val="nil"/>
              <w:left w:val="nil"/>
              <w:bottom w:val="nil"/>
              <w:right w:val="nil"/>
            </w:tcBorders>
            <w:vAlign w:val="bottom"/>
          </w:tcPr>
          <w:p w14:paraId="6FBC4925" w14:textId="4995CB83" w:rsidR="007B34B2" w:rsidRPr="003D2CC1" w:rsidRDefault="002141EA">
            <w:pPr>
              <w:jc w:val="right"/>
              <w:rPr>
                <w:rFonts w:ascii="Arial" w:hAnsi="Arial" w:cs="Arial"/>
                <w:sz w:val="14"/>
                <w:szCs w:val="14"/>
                <w:lang w:eastAsia="es-AR"/>
              </w:rPr>
            </w:pPr>
            <w:r>
              <w:rPr>
                <w:rFonts w:ascii="Arial" w:hAnsi="Arial" w:cs="Arial"/>
                <w:sz w:val="14"/>
                <w:szCs w:val="14"/>
                <w:lang w:eastAsia="es-AR"/>
              </w:rPr>
              <w:t>32.159</w:t>
            </w:r>
          </w:p>
        </w:tc>
        <w:tc>
          <w:tcPr>
            <w:tcW w:w="1022" w:type="dxa"/>
            <w:tcBorders>
              <w:top w:val="nil"/>
              <w:left w:val="nil"/>
              <w:bottom w:val="nil"/>
              <w:right w:val="nil"/>
            </w:tcBorders>
            <w:vAlign w:val="bottom"/>
          </w:tcPr>
          <w:p w14:paraId="254EF526" w14:textId="5D82DE15" w:rsidR="007B34B2" w:rsidRPr="003D2CC1" w:rsidRDefault="002141EA">
            <w:pPr>
              <w:jc w:val="right"/>
              <w:rPr>
                <w:rFonts w:ascii="Arial" w:hAnsi="Arial" w:cs="Arial"/>
                <w:sz w:val="14"/>
                <w:szCs w:val="14"/>
                <w:lang w:eastAsia="es-AR"/>
              </w:rPr>
            </w:pPr>
            <w:r>
              <w:rPr>
                <w:rFonts w:ascii="Arial" w:hAnsi="Arial" w:cs="Arial"/>
                <w:sz w:val="14"/>
                <w:szCs w:val="14"/>
                <w:lang w:eastAsia="es-AR"/>
              </w:rPr>
              <w:t>26.157</w:t>
            </w:r>
          </w:p>
        </w:tc>
        <w:tc>
          <w:tcPr>
            <w:tcW w:w="1176" w:type="dxa"/>
            <w:tcBorders>
              <w:top w:val="nil"/>
              <w:left w:val="nil"/>
              <w:bottom w:val="nil"/>
              <w:right w:val="nil"/>
            </w:tcBorders>
            <w:vAlign w:val="bottom"/>
          </w:tcPr>
          <w:p w14:paraId="611F7976" w14:textId="4845918B" w:rsidR="007B34B2" w:rsidRPr="003D2CC1" w:rsidRDefault="002141EA">
            <w:pPr>
              <w:jc w:val="right"/>
              <w:rPr>
                <w:rFonts w:ascii="Arial" w:hAnsi="Arial" w:cs="Arial"/>
                <w:sz w:val="14"/>
                <w:szCs w:val="14"/>
                <w:lang w:eastAsia="es-AR"/>
              </w:rPr>
            </w:pPr>
            <w:r>
              <w:rPr>
                <w:rFonts w:ascii="Arial" w:hAnsi="Arial" w:cs="Arial"/>
                <w:sz w:val="14"/>
                <w:szCs w:val="14"/>
                <w:lang w:eastAsia="es-AR"/>
              </w:rPr>
              <w:t>87.414</w:t>
            </w:r>
          </w:p>
        </w:tc>
      </w:tr>
      <w:tr w:rsidR="00CE53C0" w:rsidRPr="00CE53C0" w14:paraId="12D8C4FB" w14:textId="77777777" w:rsidTr="0023020F">
        <w:trPr>
          <w:trHeight w:val="454"/>
        </w:trPr>
        <w:tc>
          <w:tcPr>
            <w:tcW w:w="1859" w:type="dxa"/>
            <w:tcBorders>
              <w:top w:val="nil"/>
              <w:left w:val="nil"/>
              <w:bottom w:val="nil"/>
              <w:right w:val="nil"/>
            </w:tcBorders>
            <w:vAlign w:val="bottom"/>
          </w:tcPr>
          <w:p w14:paraId="4420E76A" w14:textId="02959DE2" w:rsidR="00CE53C0" w:rsidRPr="003D2CC1" w:rsidRDefault="00CE53C0">
            <w:pPr>
              <w:rPr>
                <w:rFonts w:ascii="Arial" w:hAnsi="Arial" w:cs="Arial"/>
                <w:sz w:val="14"/>
                <w:szCs w:val="14"/>
                <w:lang w:eastAsia="es-AR"/>
              </w:rPr>
            </w:pPr>
            <w:r w:rsidRPr="003D2CC1">
              <w:rPr>
                <w:rFonts w:ascii="Arial" w:hAnsi="Arial" w:cs="Arial"/>
                <w:sz w:val="14"/>
                <w:szCs w:val="14"/>
                <w:lang w:eastAsia="es-AR"/>
              </w:rPr>
              <w:t>Sector Financiero</w:t>
            </w:r>
          </w:p>
        </w:tc>
        <w:tc>
          <w:tcPr>
            <w:tcW w:w="995" w:type="dxa"/>
            <w:tcBorders>
              <w:top w:val="nil"/>
              <w:left w:val="nil"/>
              <w:bottom w:val="nil"/>
              <w:right w:val="nil"/>
            </w:tcBorders>
            <w:vAlign w:val="bottom"/>
          </w:tcPr>
          <w:p w14:paraId="3D5AAEEA" w14:textId="2FED64A1" w:rsidR="00CE53C0" w:rsidRPr="003D2CC1" w:rsidRDefault="002141EA">
            <w:pPr>
              <w:jc w:val="right"/>
              <w:rPr>
                <w:rFonts w:ascii="Arial" w:hAnsi="Arial" w:cs="Arial"/>
                <w:sz w:val="14"/>
                <w:szCs w:val="14"/>
                <w:lang w:eastAsia="es-AR"/>
              </w:rPr>
            </w:pPr>
            <w:r>
              <w:rPr>
                <w:rFonts w:ascii="Arial" w:hAnsi="Arial" w:cs="Arial"/>
                <w:sz w:val="14"/>
                <w:szCs w:val="14"/>
                <w:lang w:eastAsia="es-AR"/>
              </w:rPr>
              <w:t>-</w:t>
            </w:r>
          </w:p>
        </w:tc>
        <w:tc>
          <w:tcPr>
            <w:tcW w:w="1176" w:type="dxa"/>
            <w:tcBorders>
              <w:top w:val="nil"/>
              <w:left w:val="nil"/>
              <w:bottom w:val="nil"/>
              <w:right w:val="nil"/>
            </w:tcBorders>
            <w:vAlign w:val="bottom"/>
          </w:tcPr>
          <w:p w14:paraId="5AF525F1" w14:textId="74E8089E" w:rsidR="00CE53C0" w:rsidRPr="00CE53C0" w:rsidRDefault="002141EA">
            <w:pPr>
              <w:jc w:val="right"/>
              <w:rPr>
                <w:rFonts w:ascii="Arial" w:hAnsi="Arial" w:cs="Arial"/>
                <w:sz w:val="14"/>
                <w:szCs w:val="14"/>
                <w:lang w:eastAsia="es-AR"/>
              </w:rPr>
            </w:pPr>
            <w:r>
              <w:rPr>
                <w:rFonts w:ascii="Arial" w:hAnsi="Arial" w:cs="Arial"/>
                <w:sz w:val="14"/>
                <w:szCs w:val="14"/>
                <w:lang w:eastAsia="es-AR"/>
              </w:rPr>
              <w:t>1.170.621</w:t>
            </w:r>
          </w:p>
        </w:tc>
        <w:tc>
          <w:tcPr>
            <w:tcW w:w="996" w:type="dxa"/>
            <w:tcBorders>
              <w:top w:val="nil"/>
              <w:left w:val="nil"/>
              <w:bottom w:val="nil"/>
              <w:right w:val="nil"/>
            </w:tcBorders>
            <w:vAlign w:val="bottom"/>
          </w:tcPr>
          <w:p w14:paraId="09BD6DB7" w14:textId="226E78F3" w:rsidR="00CE53C0" w:rsidRPr="00CE53C0" w:rsidRDefault="002141EA">
            <w:pPr>
              <w:jc w:val="right"/>
              <w:rPr>
                <w:rFonts w:ascii="Arial" w:hAnsi="Arial" w:cs="Arial"/>
                <w:sz w:val="14"/>
                <w:szCs w:val="14"/>
                <w:lang w:eastAsia="es-AR"/>
              </w:rPr>
            </w:pPr>
            <w:r>
              <w:rPr>
                <w:rFonts w:ascii="Arial" w:hAnsi="Arial" w:cs="Arial"/>
                <w:sz w:val="14"/>
                <w:szCs w:val="14"/>
                <w:lang w:eastAsia="es-AR"/>
              </w:rPr>
              <w:t>11.268</w:t>
            </w:r>
          </w:p>
        </w:tc>
        <w:tc>
          <w:tcPr>
            <w:tcW w:w="945" w:type="dxa"/>
            <w:tcBorders>
              <w:top w:val="nil"/>
              <w:left w:val="nil"/>
              <w:bottom w:val="nil"/>
              <w:right w:val="nil"/>
            </w:tcBorders>
            <w:vAlign w:val="bottom"/>
          </w:tcPr>
          <w:p w14:paraId="4326ACD1" w14:textId="6815A4F6" w:rsidR="00CE53C0" w:rsidRPr="00CE53C0" w:rsidRDefault="002141EA">
            <w:pPr>
              <w:jc w:val="right"/>
              <w:rPr>
                <w:rFonts w:ascii="Arial" w:hAnsi="Arial" w:cs="Arial"/>
                <w:sz w:val="14"/>
                <w:szCs w:val="14"/>
                <w:lang w:eastAsia="es-AR"/>
              </w:rPr>
            </w:pPr>
            <w:r>
              <w:rPr>
                <w:rFonts w:ascii="Arial" w:hAnsi="Arial" w:cs="Arial"/>
                <w:sz w:val="14"/>
                <w:szCs w:val="14"/>
                <w:lang w:eastAsia="es-AR"/>
              </w:rPr>
              <w:t>13.164</w:t>
            </w:r>
          </w:p>
        </w:tc>
        <w:tc>
          <w:tcPr>
            <w:tcW w:w="945" w:type="dxa"/>
            <w:tcBorders>
              <w:top w:val="nil"/>
              <w:left w:val="nil"/>
              <w:bottom w:val="nil"/>
              <w:right w:val="nil"/>
            </w:tcBorders>
            <w:vAlign w:val="bottom"/>
          </w:tcPr>
          <w:p w14:paraId="3DC0B5A1" w14:textId="39220EBB" w:rsidR="00CE53C0" w:rsidRPr="00CE53C0" w:rsidRDefault="002141EA">
            <w:pPr>
              <w:jc w:val="right"/>
              <w:rPr>
                <w:rFonts w:ascii="Arial" w:hAnsi="Arial" w:cs="Arial"/>
                <w:sz w:val="14"/>
                <w:szCs w:val="14"/>
                <w:lang w:eastAsia="es-AR"/>
              </w:rPr>
            </w:pPr>
            <w:r>
              <w:rPr>
                <w:rFonts w:ascii="Arial" w:hAnsi="Arial" w:cs="Arial"/>
                <w:sz w:val="14"/>
                <w:szCs w:val="14"/>
                <w:lang w:eastAsia="es-AR"/>
              </w:rPr>
              <w:t>15.491</w:t>
            </w:r>
          </w:p>
        </w:tc>
        <w:tc>
          <w:tcPr>
            <w:tcW w:w="945" w:type="dxa"/>
            <w:tcBorders>
              <w:top w:val="nil"/>
              <w:left w:val="nil"/>
              <w:bottom w:val="nil"/>
              <w:right w:val="nil"/>
            </w:tcBorders>
            <w:vAlign w:val="bottom"/>
          </w:tcPr>
          <w:p w14:paraId="2504A3F4" w14:textId="517D4E14" w:rsidR="00CE53C0" w:rsidRPr="00CE53C0" w:rsidRDefault="002141EA">
            <w:pPr>
              <w:jc w:val="right"/>
              <w:rPr>
                <w:rFonts w:ascii="Arial" w:hAnsi="Arial" w:cs="Arial"/>
                <w:sz w:val="14"/>
                <w:szCs w:val="14"/>
                <w:lang w:eastAsia="es-AR"/>
              </w:rPr>
            </w:pPr>
            <w:r>
              <w:rPr>
                <w:rFonts w:ascii="Arial" w:hAnsi="Arial" w:cs="Arial"/>
                <w:sz w:val="14"/>
                <w:szCs w:val="14"/>
                <w:lang w:eastAsia="es-AR"/>
              </w:rPr>
              <w:t>43.490</w:t>
            </w:r>
          </w:p>
        </w:tc>
        <w:tc>
          <w:tcPr>
            <w:tcW w:w="1022" w:type="dxa"/>
            <w:tcBorders>
              <w:top w:val="nil"/>
              <w:left w:val="nil"/>
              <w:bottom w:val="nil"/>
              <w:right w:val="nil"/>
            </w:tcBorders>
            <w:vAlign w:val="bottom"/>
          </w:tcPr>
          <w:p w14:paraId="3E127F8A" w14:textId="4F2924C4" w:rsidR="00CE53C0" w:rsidRPr="00CE53C0" w:rsidRDefault="002141EA">
            <w:pPr>
              <w:jc w:val="right"/>
              <w:rPr>
                <w:rFonts w:ascii="Arial" w:hAnsi="Arial" w:cs="Arial"/>
                <w:sz w:val="14"/>
                <w:szCs w:val="14"/>
                <w:lang w:eastAsia="es-AR"/>
              </w:rPr>
            </w:pPr>
            <w:r>
              <w:rPr>
                <w:rFonts w:ascii="Arial" w:hAnsi="Arial" w:cs="Arial"/>
                <w:sz w:val="14"/>
                <w:szCs w:val="14"/>
                <w:lang w:eastAsia="es-AR"/>
              </w:rPr>
              <w:t>-</w:t>
            </w:r>
          </w:p>
        </w:tc>
        <w:tc>
          <w:tcPr>
            <w:tcW w:w="1176" w:type="dxa"/>
            <w:tcBorders>
              <w:top w:val="nil"/>
              <w:left w:val="nil"/>
              <w:bottom w:val="nil"/>
              <w:right w:val="nil"/>
            </w:tcBorders>
            <w:vAlign w:val="bottom"/>
          </w:tcPr>
          <w:p w14:paraId="66B397F0" w14:textId="4D33E38E" w:rsidR="00CE53C0" w:rsidRPr="00CE53C0" w:rsidRDefault="002141EA">
            <w:pPr>
              <w:jc w:val="right"/>
              <w:rPr>
                <w:rFonts w:ascii="Arial" w:hAnsi="Arial" w:cs="Arial"/>
                <w:sz w:val="14"/>
                <w:szCs w:val="14"/>
                <w:lang w:eastAsia="es-AR"/>
              </w:rPr>
            </w:pPr>
            <w:r>
              <w:rPr>
                <w:rFonts w:ascii="Arial" w:hAnsi="Arial" w:cs="Arial"/>
                <w:sz w:val="14"/>
                <w:szCs w:val="14"/>
                <w:lang w:eastAsia="es-AR"/>
              </w:rPr>
              <w:t>1.254.034</w:t>
            </w:r>
          </w:p>
        </w:tc>
      </w:tr>
      <w:tr w:rsidR="00C5517A" w:rsidRPr="00CE53C0" w14:paraId="40B6AAB9" w14:textId="77777777" w:rsidTr="0023020F">
        <w:trPr>
          <w:trHeight w:val="80"/>
        </w:trPr>
        <w:tc>
          <w:tcPr>
            <w:tcW w:w="1859" w:type="dxa"/>
            <w:tcBorders>
              <w:top w:val="nil"/>
              <w:left w:val="nil"/>
              <w:bottom w:val="nil"/>
              <w:right w:val="nil"/>
            </w:tcBorders>
            <w:vAlign w:val="bottom"/>
          </w:tcPr>
          <w:p w14:paraId="2BFA194D" w14:textId="77777777" w:rsidR="00C5517A" w:rsidRPr="003D2CC1" w:rsidRDefault="00C5517A">
            <w:pPr>
              <w:rPr>
                <w:rFonts w:ascii="Arial" w:hAnsi="Arial" w:cs="Arial"/>
                <w:sz w:val="14"/>
                <w:szCs w:val="14"/>
                <w:lang w:eastAsia="es-AR"/>
              </w:rPr>
            </w:pPr>
          </w:p>
        </w:tc>
        <w:tc>
          <w:tcPr>
            <w:tcW w:w="995" w:type="dxa"/>
            <w:tcBorders>
              <w:top w:val="nil"/>
              <w:left w:val="nil"/>
              <w:bottom w:val="nil"/>
              <w:right w:val="nil"/>
            </w:tcBorders>
            <w:vAlign w:val="bottom"/>
          </w:tcPr>
          <w:p w14:paraId="34A974FE" w14:textId="77777777" w:rsidR="00C5517A" w:rsidRPr="003D2CC1" w:rsidRDefault="00C5517A">
            <w:pPr>
              <w:jc w:val="right"/>
              <w:rPr>
                <w:rFonts w:ascii="Arial" w:hAnsi="Arial" w:cs="Arial"/>
                <w:sz w:val="14"/>
                <w:szCs w:val="14"/>
                <w:lang w:eastAsia="es-AR"/>
              </w:rPr>
            </w:pPr>
          </w:p>
        </w:tc>
        <w:tc>
          <w:tcPr>
            <w:tcW w:w="1176" w:type="dxa"/>
            <w:tcBorders>
              <w:top w:val="nil"/>
              <w:left w:val="nil"/>
              <w:bottom w:val="nil"/>
              <w:right w:val="nil"/>
            </w:tcBorders>
            <w:vAlign w:val="bottom"/>
          </w:tcPr>
          <w:p w14:paraId="63FA12D5" w14:textId="77777777" w:rsidR="00C5517A" w:rsidRPr="00CE53C0" w:rsidRDefault="00C5517A">
            <w:pPr>
              <w:jc w:val="right"/>
              <w:rPr>
                <w:rFonts w:ascii="Arial" w:hAnsi="Arial" w:cs="Arial"/>
                <w:sz w:val="14"/>
                <w:szCs w:val="14"/>
              </w:rPr>
            </w:pPr>
          </w:p>
        </w:tc>
        <w:tc>
          <w:tcPr>
            <w:tcW w:w="996" w:type="dxa"/>
            <w:tcBorders>
              <w:top w:val="nil"/>
              <w:left w:val="nil"/>
              <w:bottom w:val="nil"/>
              <w:right w:val="nil"/>
            </w:tcBorders>
            <w:vAlign w:val="bottom"/>
          </w:tcPr>
          <w:p w14:paraId="0BB15810" w14:textId="77777777" w:rsidR="00C5517A" w:rsidRPr="00CE53C0" w:rsidRDefault="00C5517A">
            <w:pPr>
              <w:jc w:val="right"/>
              <w:rPr>
                <w:rFonts w:ascii="Arial" w:hAnsi="Arial" w:cs="Arial"/>
                <w:sz w:val="14"/>
                <w:szCs w:val="14"/>
              </w:rPr>
            </w:pPr>
          </w:p>
        </w:tc>
        <w:tc>
          <w:tcPr>
            <w:tcW w:w="945" w:type="dxa"/>
            <w:tcBorders>
              <w:top w:val="nil"/>
              <w:left w:val="nil"/>
              <w:bottom w:val="nil"/>
              <w:right w:val="nil"/>
            </w:tcBorders>
            <w:vAlign w:val="bottom"/>
          </w:tcPr>
          <w:p w14:paraId="2D8C19C2" w14:textId="77777777" w:rsidR="00C5517A" w:rsidRPr="00CE53C0" w:rsidRDefault="00C5517A">
            <w:pPr>
              <w:jc w:val="right"/>
              <w:rPr>
                <w:rFonts w:ascii="Arial" w:hAnsi="Arial" w:cs="Arial"/>
                <w:sz w:val="14"/>
                <w:szCs w:val="14"/>
              </w:rPr>
            </w:pPr>
          </w:p>
        </w:tc>
        <w:tc>
          <w:tcPr>
            <w:tcW w:w="945" w:type="dxa"/>
            <w:tcBorders>
              <w:top w:val="nil"/>
              <w:left w:val="nil"/>
              <w:bottom w:val="nil"/>
              <w:right w:val="nil"/>
            </w:tcBorders>
            <w:vAlign w:val="bottom"/>
          </w:tcPr>
          <w:p w14:paraId="72C4E6F0" w14:textId="77777777" w:rsidR="00C5517A" w:rsidRPr="00CE53C0" w:rsidRDefault="00C5517A">
            <w:pPr>
              <w:jc w:val="right"/>
              <w:rPr>
                <w:rFonts w:ascii="Arial" w:hAnsi="Arial" w:cs="Arial"/>
                <w:sz w:val="14"/>
                <w:szCs w:val="14"/>
              </w:rPr>
            </w:pPr>
          </w:p>
        </w:tc>
        <w:tc>
          <w:tcPr>
            <w:tcW w:w="945" w:type="dxa"/>
            <w:tcBorders>
              <w:top w:val="nil"/>
              <w:left w:val="nil"/>
              <w:bottom w:val="nil"/>
              <w:right w:val="nil"/>
            </w:tcBorders>
            <w:vAlign w:val="bottom"/>
          </w:tcPr>
          <w:p w14:paraId="06DC7FA0" w14:textId="77777777" w:rsidR="00C5517A" w:rsidRPr="00CE53C0" w:rsidRDefault="00C5517A">
            <w:pPr>
              <w:jc w:val="right"/>
              <w:rPr>
                <w:rFonts w:ascii="Arial" w:hAnsi="Arial" w:cs="Arial"/>
                <w:sz w:val="14"/>
                <w:szCs w:val="14"/>
              </w:rPr>
            </w:pPr>
          </w:p>
        </w:tc>
        <w:tc>
          <w:tcPr>
            <w:tcW w:w="1022" w:type="dxa"/>
            <w:tcBorders>
              <w:top w:val="nil"/>
              <w:left w:val="nil"/>
              <w:bottom w:val="nil"/>
              <w:right w:val="nil"/>
            </w:tcBorders>
            <w:vAlign w:val="bottom"/>
          </w:tcPr>
          <w:p w14:paraId="5418C91B" w14:textId="77777777" w:rsidR="00C5517A" w:rsidRPr="00CE53C0" w:rsidRDefault="00C5517A">
            <w:pPr>
              <w:jc w:val="right"/>
              <w:rPr>
                <w:rFonts w:ascii="Arial" w:hAnsi="Arial" w:cs="Arial"/>
                <w:sz w:val="14"/>
                <w:szCs w:val="14"/>
              </w:rPr>
            </w:pPr>
          </w:p>
        </w:tc>
        <w:tc>
          <w:tcPr>
            <w:tcW w:w="1176" w:type="dxa"/>
            <w:tcBorders>
              <w:top w:val="nil"/>
              <w:left w:val="nil"/>
              <w:bottom w:val="nil"/>
              <w:right w:val="nil"/>
            </w:tcBorders>
            <w:vAlign w:val="bottom"/>
          </w:tcPr>
          <w:p w14:paraId="55E8028C" w14:textId="77777777" w:rsidR="00C5517A" w:rsidRPr="00CE53C0" w:rsidRDefault="00C5517A">
            <w:pPr>
              <w:jc w:val="right"/>
              <w:rPr>
                <w:rFonts w:ascii="Arial" w:hAnsi="Arial" w:cs="Arial"/>
                <w:sz w:val="14"/>
                <w:szCs w:val="14"/>
              </w:rPr>
            </w:pPr>
          </w:p>
        </w:tc>
      </w:tr>
      <w:tr w:rsidR="00CE53C0" w:rsidRPr="00CE53C0" w14:paraId="6C601D1F" w14:textId="77777777" w:rsidTr="00AC543A">
        <w:trPr>
          <w:trHeight w:val="454"/>
        </w:trPr>
        <w:tc>
          <w:tcPr>
            <w:tcW w:w="1859" w:type="dxa"/>
            <w:tcBorders>
              <w:top w:val="nil"/>
              <w:left w:val="nil"/>
              <w:bottom w:val="nil"/>
              <w:right w:val="nil"/>
            </w:tcBorders>
            <w:vAlign w:val="bottom"/>
          </w:tcPr>
          <w:p w14:paraId="21098F27" w14:textId="77777777" w:rsidR="00CE53C0" w:rsidRPr="003D2CC1" w:rsidRDefault="00CE53C0">
            <w:pPr>
              <w:rPr>
                <w:rFonts w:ascii="Arial" w:hAnsi="Arial" w:cs="Arial"/>
                <w:sz w:val="14"/>
                <w:szCs w:val="14"/>
                <w:lang w:eastAsia="es-AR"/>
              </w:rPr>
            </w:pPr>
            <w:r w:rsidRPr="003D2CC1">
              <w:rPr>
                <w:rFonts w:ascii="Arial" w:hAnsi="Arial" w:cs="Arial"/>
                <w:sz w:val="14"/>
                <w:szCs w:val="14"/>
                <w:lang w:eastAsia="es-AR"/>
              </w:rPr>
              <w:t>Sector privado no financiero y residentes en el exterior</w:t>
            </w:r>
          </w:p>
        </w:tc>
        <w:tc>
          <w:tcPr>
            <w:tcW w:w="995" w:type="dxa"/>
            <w:tcBorders>
              <w:top w:val="nil"/>
              <w:left w:val="nil"/>
              <w:bottom w:val="nil"/>
              <w:right w:val="nil"/>
            </w:tcBorders>
            <w:vAlign w:val="center"/>
          </w:tcPr>
          <w:p w14:paraId="06C586F7" w14:textId="716BED44" w:rsidR="00CE53C0" w:rsidRPr="003D2CC1" w:rsidRDefault="00AC543A" w:rsidP="00AC543A">
            <w:pPr>
              <w:jc w:val="right"/>
              <w:rPr>
                <w:rFonts w:ascii="Arial" w:hAnsi="Arial" w:cs="Arial"/>
                <w:sz w:val="14"/>
                <w:szCs w:val="14"/>
                <w:lang w:eastAsia="es-AR"/>
              </w:rPr>
            </w:pPr>
            <w:r>
              <w:rPr>
                <w:rFonts w:ascii="Arial" w:hAnsi="Arial" w:cs="Arial"/>
                <w:sz w:val="14"/>
                <w:szCs w:val="14"/>
                <w:lang w:eastAsia="es-AR"/>
              </w:rPr>
              <w:t>6.579.347</w:t>
            </w:r>
          </w:p>
        </w:tc>
        <w:tc>
          <w:tcPr>
            <w:tcW w:w="1176" w:type="dxa"/>
            <w:tcBorders>
              <w:top w:val="nil"/>
              <w:left w:val="nil"/>
              <w:bottom w:val="nil"/>
              <w:right w:val="nil"/>
            </w:tcBorders>
            <w:vAlign w:val="center"/>
          </w:tcPr>
          <w:p w14:paraId="62D76342" w14:textId="16E8C582" w:rsidR="00CE53C0" w:rsidRPr="00CE53C0" w:rsidRDefault="00AC543A" w:rsidP="00AC543A">
            <w:pPr>
              <w:jc w:val="right"/>
              <w:rPr>
                <w:rFonts w:ascii="Arial" w:hAnsi="Arial" w:cs="Arial"/>
                <w:sz w:val="14"/>
                <w:szCs w:val="14"/>
                <w:lang w:eastAsia="es-AR"/>
              </w:rPr>
            </w:pPr>
            <w:r>
              <w:rPr>
                <w:rFonts w:ascii="Arial" w:hAnsi="Arial" w:cs="Arial"/>
                <w:sz w:val="14"/>
                <w:szCs w:val="14"/>
                <w:lang w:eastAsia="es-AR"/>
              </w:rPr>
              <w:t>59.832.224</w:t>
            </w:r>
          </w:p>
        </w:tc>
        <w:tc>
          <w:tcPr>
            <w:tcW w:w="996" w:type="dxa"/>
            <w:tcBorders>
              <w:top w:val="nil"/>
              <w:left w:val="nil"/>
              <w:bottom w:val="nil"/>
              <w:right w:val="nil"/>
            </w:tcBorders>
            <w:vAlign w:val="center"/>
          </w:tcPr>
          <w:p w14:paraId="7C07B749" w14:textId="6C3613E7" w:rsidR="00CE53C0" w:rsidRPr="00CE53C0" w:rsidRDefault="00AC543A" w:rsidP="00AC543A">
            <w:pPr>
              <w:jc w:val="right"/>
              <w:rPr>
                <w:rFonts w:ascii="Arial" w:hAnsi="Arial" w:cs="Arial"/>
                <w:sz w:val="14"/>
                <w:szCs w:val="14"/>
                <w:lang w:eastAsia="es-AR"/>
              </w:rPr>
            </w:pPr>
            <w:r>
              <w:rPr>
                <w:rFonts w:ascii="Arial" w:hAnsi="Arial" w:cs="Arial"/>
                <w:sz w:val="14"/>
                <w:szCs w:val="14"/>
                <w:lang w:eastAsia="es-AR"/>
              </w:rPr>
              <w:t>20.589.075</w:t>
            </w:r>
          </w:p>
        </w:tc>
        <w:tc>
          <w:tcPr>
            <w:tcW w:w="945" w:type="dxa"/>
            <w:tcBorders>
              <w:top w:val="nil"/>
              <w:left w:val="nil"/>
              <w:bottom w:val="nil"/>
              <w:right w:val="nil"/>
            </w:tcBorders>
            <w:vAlign w:val="center"/>
          </w:tcPr>
          <w:p w14:paraId="4F0F6354" w14:textId="1B394E2F" w:rsidR="00CE53C0" w:rsidRPr="00CE53C0" w:rsidRDefault="00AC543A" w:rsidP="00AC543A">
            <w:pPr>
              <w:jc w:val="right"/>
              <w:rPr>
                <w:rFonts w:ascii="Arial" w:hAnsi="Arial" w:cs="Arial"/>
                <w:sz w:val="14"/>
                <w:szCs w:val="14"/>
                <w:lang w:eastAsia="es-AR"/>
              </w:rPr>
            </w:pPr>
            <w:r>
              <w:rPr>
                <w:rFonts w:ascii="Arial" w:hAnsi="Arial" w:cs="Arial"/>
                <w:sz w:val="14"/>
                <w:szCs w:val="14"/>
                <w:lang w:eastAsia="es-AR"/>
              </w:rPr>
              <w:t>24.748.364</w:t>
            </w:r>
          </w:p>
        </w:tc>
        <w:tc>
          <w:tcPr>
            <w:tcW w:w="945" w:type="dxa"/>
            <w:tcBorders>
              <w:top w:val="nil"/>
              <w:left w:val="nil"/>
              <w:bottom w:val="nil"/>
              <w:right w:val="nil"/>
            </w:tcBorders>
            <w:vAlign w:val="center"/>
          </w:tcPr>
          <w:p w14:paraId="1C627871" w14:textId="7BAC6812" w:rsidR="00CE53C0" w:rsidRPr="00CE53C0" w:rsidRDefault="00AC543A" w:rsidP="00AC543A">
            <w:pPr>
              <w:jc w:val="right"/>
              <w:rPr>
                <w:rFonts w:ascii="Arial" w:hAnsi="Arial" w:cs="Arial"/>
                <w:sz w:val="14"/>
                <w:szCs w:val="14"/>
                <w:lang w:eastAsia="es-AR"/>
              </w:rPr>
            </w:pPr>
            <w:r>
              <w:rPr>
                <w:rFonts w:ascii="Arial" w:hAnsi="Arial" w:cs="Arial"/>
                <w:sz w:val="14"/>
                <w:szCs w:val="14"/>
                <w:lang w:eastAsia="es-AR"/>
              </w:rPr>
              <w:t>27.705.900</w:t>
            </w:r>
          </w:p>
        </w:tc>
        <w:tc>
          <w:tcPr>
            <w:tcW w:w="945" w:type="dxa"/>
            <w:tcBorders>
              <w:top w:val="nil"/>
              <w:left w:val="nil"/>
              <w:bottom w:val="nil"/>
              <w:right w:val="nil"/>
            </w:tcBorders>
            <w:vAlign w:val="center"/>
          </w:tcPr>
          <w:p w14:paraId="08B3423F" w14:textId="38786058" w:rsidR="00CE53C0" w:rsidRPr="00CE53C0" w:rsidRDefault="00AC543A" w:rsidP="00AC543A">
            <w:pPr>
              <w:jc w:val="right"/>
              <w:rPr>
                <w:rFonts w:ascii="Arial" w:hAnsi="Arial" w:cs="Arial"/>
                <w:sz w:val="14"/>
                <w:szCs w:val="14"/>
                <w:lang w:eastAsia="es-AR"/>
              </w:rPr>
            </w:pPr>
            <w:r>
              <w:rPr>
                <w:rFonts w:ascii="Arial" w:hAnsi="Arial" w:cs="Arial"/>
                <w:sz w:val="14"/>
                <w:szCs w:val="14"/>
                <w:lang w:eastAsia="es-AR"/>
              </w:rPr>
              <w:t>37.416.451</w:t>
            </w:r>
          </w:p>
        </w:tc>
        <w:tc>
          <w:tcPr>
            <w:tcW w:w="1022" w:type="dxa"/>
            <w:tcBorders>
              <w:top w:val="nil"/>
              <w:left w:val="nil"/>
              <w:bottom w:val="nil"/>
              <w:right w:val="nil"/>
            </w:tcBorders>
            <w:vAlign w:val="center"/>
          </w:tcPr>
          <w:p w14:paraId="60013165" w14:textId="3271184C" w:rsidR="00CE53C0" w:rsidRPr="00CE53C0" w:rsidRDefault="00AC543A" w:rsidP="00AC543A">
            <w:pPr>
              <w:jc w:val="right"/>
              <w:rPr>
                <w:rFonts w:ascii="Arial" w:hAnsi="Arial" w:cs="Arial"/>
                <w:sz w:val="14"/>
                <w:szCs w:val="14"/>
                <w:lang w:eastAsia="es-AR"/>
              </w:rPr>
            </w:pPr>
            <w:r>
              <w:rPr>
                <w:rFonts w:ascii="Arial" w:hAnsi="Arial" w:cs="Arial"/>
                <w:sz w:val="14"/>
                <w:szCs w:val="14"/>
                <w:lang w:eastAsia="es-AR"/>
              </w:rPr>
              <w:t>82.394.380</w:t>
            </w:r>
          </w:p>
        </w:tc>
        <w:tc>
          <w:tcPr>
            <w:tcW w:w="1176" w:type="dxa"/>
            <w:tcBorders>
              <w:top w:val="nil"/>
              <w:left w:val="nil"/>
              <w:bottom w:val="nil"/>
              <w:right w:val="nil"/>
            </w:tcBorders>
            <w:vAlign w:val="center"/>
          </w:tcPr>
          <w:p w14:paraId="28D0C69C" w14:textId="18CAF3EF" w:rsidR="00CE53C0" w:rsidRPr="00CE53C0" w:rsidRDefault="00AC543A" w:rsidP="00AC543A">
            <w:pPr>
              <w:jc w:val="right"/>
              <w:rPr>
                <w:rFonts w:ascii="Arial" w:hAnsi="Arial" w:cs="Arial"/>
                <w:sz w:val="14"/>
                <w:szCs w:val="14"/>
                <w:lang w:eastAsia="es-AR"/>
              </w:rPr>
            </w:pPr>
            <w:r>
              <w:rPr>
                <w:rFonts w:ascii="Arial" w:hAnsi="Arial" w:cs="Arial"/>
                <w:sz w:val="14"/>
                <w:szCs w:val="14"/>
                <w:lang w:eastAsia="es-AR"/>
              </w:rPr>
              <w:t>259.265.741</w:t>
            </w:r>
          </w:p>
        </w:tc>
      </w:tr>
      <w:tr w:rsidR="006B3790" w:rsidRPr="00CE53C0" w14:paraId="338D343B" w14:textId="77777777" w:rsidTr="00AC543A">
        <w:trPr>
          <w:trHeight w:val="340"/>
        </w:trPr>
        <w:tc>
          <w:tcPr>
            <w:tcW w:w="1859" w:type="dxa"/>
            <w:tcBorders>
              <w:top w:val="single" w:sz="4" w:space="0" w:color="auto"/>
              <w:left w:val="nil"/>
              <w:right w:val="nil"/>
            </w:tcBorders>
            <w:vAlign w:val="center"/>
          </w:tcPr>
          <w:p w14:paraId="3E4A0EEB" w14:textId="77777777" w:rsidR="006B3790" w:rsidRPr="003D2CC1" w:rsidRDefault="006B3790" w:rsidP="006B3790">
            <w:pPr>
              <w:jc w:val="center"/>
              <w:rPr>
                <w:rFonts w:ascii="Arial" w:hAnsi="Arial" w:cs="Arial"/>
                <w:b/>
                <w:sz w:val="14"/>
                <w:szCs w:val="14"/>
                <w:lang w:eastAsia="es-AR"/>
              </w:rPr>
            </w:pPr>
            <w:r w:rsidRPr="003D2CC1">
              <w:rPr>
                <w:rFonts w:ascii="Arial" w:hAnsi="Arial" w:cs="Arial"/>
                <w:b/>
                <w:sz w:val="14"/>
                <w:szCs w:val="14"/>
                <w:lang w:eastAsia="es-AR"/>
              </w:rPr>
              <w:t>TOTAL</w:t>
            </w:r>
          </w:p>
        </w:tc>
        <w:tc>
          <w:tcPr>
            <w:tcW w:w="995" w:type="dxa"/>
            <w:tcBorders>
              <w:top w:val="single" w:sz="4" w:space="0" w:color="auto"/>
              <w:left w:val="nil"/>
              <w:right w:val="nil"/>
            </w:tcBorders>
            <w:vAlign w:val="center"/>
          </w:tcPr>
          <w:p w14:paraId="3A2B3380" w14:textId="5BD5E3F4" w:rsidR="006B3790" w:rsidRPr="006B3790" w:rsidRDefault="00AC543A" w:rsidP="00AC543A">
            <w:pPr>
              <w:jc w:val="right"/>
              <w:rPr>
                <w:rFonts w:ascii="Arial" w:hAnsi="Arial" w:cs="Arial"/>
                <w:b/>
                <w:sz w:val="14"/>
                <w:szCs w:val="14"/>
                <w:lang w:eastAsia="es-AR"/>
              </w:rPr>
            </w:pPr>
            <w:r>
              <w:rPr>
                <w:rFonts w:ascii="Arial" w:hAnsi="Arial" w:cs="Arial"/>
                <w:b/>
                <w:sz w:val="14"/>
                <w:szCs w:val="14"/>
                <w:lang w:eastAsia="es-AR"/>
              </w:rPr>
              <w:t>6.579.347</w:t>
            </w:r>
          </w:p>
        </w:tc>
        <w:tc>
          <w:tcPr>
            <w:tcW w:w="1176" w:type="dxa"/>
            <w:tcBorders>
              <w:top w:val="single" w:sz="4" w:space="0" w:color="auto"/>
              <w:left w:val="nil"/>
              <w:right w:val="nil"/>
            </w:tcBorders>
            <w:vAlign w:val="center"/>
          </w:tcPr>
          <w:p w14:paraId="26637F15" w14:textId="0C16F178" w:rsidR="006B3790" w:rsidRPr="00CE53C0" w:rsidRDefault="00AC543A" w:rsidP="00AC543A">
            <w:pPr>
              <w:jc w:val="right"/>
              <w:rPr>
                <w:rFonts w:ascii="Arial" w:hAnsi="Arial" w:cs="Arial"/>
                <w:b/>
                <w:sz w:val="14"/>
                <w:szCs w:val="14"/>
                <w:lang w:eastAsia="es-AR"/>
              </w:rPr>
            </w:pPr>
            <w:r>
              <w:rPr>
                <w:rFonts w:ascii="Arial" w:hAnsi="Arial" w:cs="Arial"/>
                <w:b/>
                <w:sz w:val="14"/>
                <w:szCs w:val="14"/>
                <w:lang w:eastAsia="es-AR"/>
              </w:rPr>
              <w:t>61.006.825</w:t>
            </w:r>
          </w:p>
        </w:tc>
        <w:tc>
          <w:tcPr>
            <w:tcW w:w="996" w:type="dxa"/>
            <w:tcBorders>
              <w:top w:val="single" w:sz="4" w:space="0" w:color="auto"/>
              <w:left w:val="nil"/>
              <w:right w:val="nil"/>
            </w:tcBorders>
            <w:vAlign w:val="center"/>
          </w:tcPr>
          <w:p w14:paraId="520F0A57" w14:textId="67795680" w:rsidR="006B3790" w:rsidRPr="00CE53C0" w:rsidRDefault="00AC543A" w:rsidP="00AC543A">
            <w:pPr>
              <w:jc w:val="right"/>
              <w:rPr>
                <w:rFonts w:ascii="Arial" w:hAnsi="Arial" w:cs="Arial"/>
                <w:b/>
                <w:sz w:val="14"/>
                <w:szCs w:val="14"/>
                <w:lang w:eastAsia="es-AR"/>
              </w:rPr>
            </w:pPr>
            <w:r>
              <w:rPr>
                <w:rFonts w:ascii="Arial" w:hAnsi="Arial" w:cs="Arial"/>
                <w:b/>
                <w:sz w:val="14"/>
                <w:szCs w:val="14"/>
                <w:lang w:eastAsia="es-AR"/>
              </w:rPr>
              <w:t>20.604.694</w:t>
            </w:r>
          </w:p>
        </w:tc>
        <w:tc>
          <w:tcPr>
            <w:tcW w:w="945" w:type="dxa"/>
            <w:tcBorders>
              <w:top w:val="single" w:sz="4" w:space="0" w:color="auto"/>
              <w:left w:val="nil"/>
              <w:right w:val="nil"/>
            </w:tcBorders>
            <w:vAlign w:val="center"/>
          </w:tcPr>
          <w:p w14:paraId="260C90E9" w14:textId="2B9F771F" w:rsidR="006B3790" w:rsidRPr="00CE53C0" w:rsidRDefault="00AC543A" w:rsidP="00AC543A">
            <w:pPr>
              <w:jc w:val="right"/>
              <w:rPr>
                <w:rFonts w:ascii="Arial" w:hAnsi="Arial" w:cs="Arial"/>
                <w:b/>
                <w:sz w:val="14"/>
                <w:szCs w:val="14"/>
                <w:lang w:eastAsia="es-AR"/>
              </w:rPr>
            </w:pPr>
            <w:r>
              <w:rPr>
                <w:rFonts w:ascii="Arial" w:hAnsi="Arial" w:cs="Arial"/>
                <w:b/>
                <w:sz w:val="14"/>
                <w:szCs w:val="14"/>
                <w:lang w:eastAsia="es-AR"/>
              </w:rPr>
              <w:t>24.768.245</w:t>
            </w:r>
          </w:p>
        </w:tc>
        <w:tc>
          <w:tcPr>
            <w:tcW w:w="945" w:type="dxa"/>
            <w:tcBorders>
              <w:top w:val="single" w:sz="4" w:space="0" w:color="auto"/>
              <w:left w:val="nil"/>
              <w:right w:val="nil"/>
            </w:tcBorders>
            <w:vAlign w:val="center"/>
          </w:tcPr>
          <w:p w14:paraId="4B20044C" w14:textId="053024CD" w:rsidR="006B3790" w:rsidRPr="00CE53C0" w:rsidRDefault="00AC543A" w:rsidP="00AC543A">
            <w:pPr>
              <w:jc w:val="right"/>
              <w:rPr>
                <w:rFonts w:ascii="Arial" w:hAnsi="Arial" w:cs="Arial"/>
                <w:b/>
                <w:sz w:val="14"/>
                <w:szCs w:val="14"/>
                <w:lang w:eastAsia="es-AR"/>
              </w:rPr>
            </w:pPr>
            <w:r>
              <w:rPr>
                <w:rFonts w:ascii="Arial" w:hAnsi="Arial" w:cs="Arial"/>
                <w:b/>
                <w:sz w:val="14"/>
                <w:szCs w:val="14"/>
                <w:lang w:eastAsia="es-AR"/>
              </w:rPr>
              <w:t>27.735.441</w:t>
            </w:r>
          </w:p>
        </w:tc>
        <w:tc>
          <w:tcPr>
            <w:tcW w:w="945" w:type="dxa"/>
            <w:tcBorders>
              <w:top w:val="single" w:sz="4" w:space="0" w:color="auto"/>
              <w:left w:val="nil"/>
              <w:right w:val="nil"/>
            </w:tcBorders>
            <w:vAlign w:val="center"/>
          </w:tcPr>
          <w:p w14:paraId="2651C6A8" w14:textId="14E2281C" w:rsidR="006B3790" w:rsidRPr="00CE53C0" w:rsidRDefault="00AC543A" w:rsidP="00AC543A">
            <w:pPr>
              <w:jc w:val="right"/>
              <w:rPr>
                <w:rFonts w:ascii="Arial" w:hAnsi="Arial" w:cs="Arial"/>
                <w:b/>
                <w:sz w:val="14"/>
                <w:szCs w:val="14"/>
                <w:lang w:eastAsia="es-AR"/>
              </w:rPr>
            </w:pPr>
            <w:r>
              <w:rPr>
                <w:rFonts w:ascii="Arial" w:hAnsi="Arial" w:cs="Arial"/>
                <w:b/>
                <w:sz w:val="14"/>
                <w:szCs w:val="14"/>
                <w:lang w:eastAsia="es-AR"/>
              </w:rPr>
              <w:t>37.492.100</w:t>
            </w:r>
          </w:p>
        </w:tc>
        <w:tc>
          <w:tcPr>
            <w:tcW w:w="1022" w:type="dxa"/>
            <w:tcBorders>
              <w:top w:val="single" w:sz="4" w:space="0" w:color="auto"/>
              <w:left w:val="nil"/>
              <w:right w:val="nil"/>
            </w:tcBorders>
            <w:vAlign w:val="center"/>
          </w:tcPr>
          <w:p w14:paraId="2A3ED5DA" w14:textId="3F53C4BB" w:rsidR="006B3790" w:rsidRPr="00CE53C0" w:rsidRDefault="00AC543A" w:rsidP="00AC543A">
            <w:pPr>
              <w:jc w:val="right"/>
              <w:rPr>
                <w:rFonts w:ascii="Arial" w:hAnsi="Arial" w:cs="Arial"/>
                <w:b/>
                <w:sz w:val="14"/>
                <w:szCs w:val="14"/>
                <w:lang w:eastAsia="es-AR"/>
              </w:rPr>
            </w:pPr>
            <w:r>
              <w:rPr>
                <w:rFonts w:ascii="Arial" w:hAnsi="Arial" w:cs="Arial"/>
                <w:b/>
                <w:sz w:val="14"/>
                <w:szCs w:val="14"/>
                <w:lang w:eastAsia="es-AR"/>
              </w:rPr>
              <w:t>82.420.537</w:t>
            </w:r>
          </w:p>
        </w:tc>
        <w:tc>
          <w:tcPr>
            <w:tcW w:w="1176" w:type="dxa"/>
            <w:tcBorders>
              <w:top w:val="single" w:sz="4" w:space="0" w:color="auto"/>
              <w:left w:val="nil"/>
              <w:right w:val="nil"/>
            </w:tcBorders>
            <w:vAlign w:val="center"/>
          </w:tcPr>
          <w:p w14:paraId="479ED639" w14:textId="526940AB" w:rsidR="006B3790" w:rsidRPr="00CE53C0" w:rsidRDefault="00AC543A" w:rsidP="00AC543A">
            <w:pPr>
              <w:jc w:val="right"/>
              <w:rPr>
                <w:rFonts w:ascii="Arial" w:hAnsi="Arial" w:cs="Arial"/>
                <w:b/>
                <w:sz w:val="14"/>
                <w:szCs w:val="14"/>
                <w:lang w:eastAsia="es-AR"/>
              </w:rPr>
            </w:pPr>
            <w:r>
              <w:rPr>
                <w:rFonts w:ascii="Arial" w:hAnsi="Arial" w:cs="Arial"/>
                <w:b/>
                <w:sz w:val="14"/>
                <w:szCs w:val="14"/>
                <w:lang w:eastAsia="es-AR"/>
              </w:rPr>
              <w:t>260.607.189</w:t>
            </w:r>
          </w:p>
        </w:tc>
      </w:tr>
    </w:tbl>
    <w:p w14:paraId="79FF454F" w14:textId="68E02961" w:rsidR="00425F99" w:rsidRPr="00701F32" w:rsidRDefault="00425F99" w:rsidP="008962C9">
      <w:pPr>
        <w:rPr>
          <w:lang w:val="en-US"/>
        </w:rPr>
      </w:pPr>
    </w:p>
    <w:p w14:paraId="01F794F5" w14:textId="77777777" w:rsidR="00FF21C0" w:rsidRDefault="007251AB" w:rsidP="008962C9">
      <w:pPr>
        <w:rPr>
          <w:lang w:val="en-US"/>
        </w:rPr>
        <w:sectPr w:rsidR="00FF21C0" w:rsidSect="007045C3">
          <w:headerReference w:type="default" r:id="rId55"/>
          <w:pgSz w:w="11907" w:h="16839" w:code="9"/>
          <w:pgMar w:top="1418" w:right="1701" w:bottom="1418" w:left="1701" w:header="567" w:footer="0" w:gutter="0"/>
          <w:paperSrc w:first="256" w:other="256"/>
          <w:cols w:space="720"/>
          <w:docGrid w:linePitch="326"/>
        </w:sectPr>
      </w:pPr>
      <w:r w:rsidRPr="00701F32">
        <w:rPr>
          <w:lang w:val="en-US"/>
        </w:rPr>
        <w:t xml:space="preserve"> </w:t>
      </w:r>
    </w:p>
    <w:tbl>
      <w:tblPr>
        <w:tblW w:w="14882" w:type="dxa"/>
        <w:tblInd w:w="75" w:type="dxa"/>
        <w:tblCellMar>
          <w:left w:w="70" w:type="dxa"/>
          <w:right w:w="70" w:type="dxa"/>
        </w:tblCellMar>
        <w:tblLook w:val="04A0" w:firstRow="1" w:lastRow="0" w:firstColumn="1" w:lastColumn="0" w:noHBand="0" w:noVBand="1"/>
      </w:tblPr>
      <w:tblGrid>
        <w:gridCol w:w="1413"/>
        <w:gridCol w:w="3260"/>
        <w:gridCol w:w="1033"/>
        <w:gridCol w:w="851"/>
        <w:gridCol w:w="708"/>
        <w:gridCol w:w="1097"/>
        <w:gridCol w:w="992"/>
        <w:gridCol w:w="992"/>
        <w:gridCol w:w="993"/>
        <w:gridCol w:w="941"/>
        <w:gridCol w:w="760"/>
        <w:gridCol w:w="992"/>
        <w:gridCol w:w="850"/>
      </w:tblGrid>
      <w:tr w:rsidR="00872A66" w:rsidRPr="00872A66" w14:paraId="3EBDCAC9" w14:textId="77777777" w:rsidTr="006E1AF7">
        <w:trPr>
          <w:trHeight w:val="255"/>
        </w:trPr>
        <w:tc>
          <w:tcPr>
            <w:tcW w:w="4673" w:type="dxa"/>
            <w:gridSpan w:val="2"/>
            <w:tcBorders>
              <w:top w:val="single" w:sz="4" w:space="0" w:color="auto"/>
              <w:left w:val="single" w:sz="4" w:space="0" w:color="363639"/>
              <w:bottom w:val="single" w:sz="4" w:space="0" w:color="363639"/>
              <w:right w:val="single" w:sz="4" w:space="0" w:color="363639"/>
            </w:tcBorders>
            <w:shd w:val="clear" w:color="auto" w:fill="BFBFBF" w:themeFill="background1" w:themeFillShade="BF"/>
            <w:vAlign w:val="center"/>
          </w:tcPr>
          <w:p w14:paraId="0CE39603" w14:textId="1FD319B9"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Concepto</w:t>
            </w:r>
          </w:p>
        </w:tc>
        <w:tc>
          <w:tcPr>
            <w:tcW w:w="3686" w:type="dxa"/>
            <w:gridSpan w:val="4"/>
            <w:tcBorders>
              <w:top w:val="single" w:sz="4" w:space="0" w:color="auto"/>
              <w:left w:val="single" w:sz="4" w:space="0" w:color="363639"/>
              <w:bottom w:val="single" w:sz="4" w:space="0" w:color="363639"/>
              <w:right w:val="single" w:sz="4" w:space="0" w:color="363639"/>
            </w:tcBorders>
            <w:shd w:val="clear" w:color="auto" w:fill="BFBFBF" w:themeFill="background1" w:themeFillShade="BF"/>
            <w:vAlign w:val="center"/>
          </w:tcPr>
          <w:p w14:paraId="6BC80F89" w14:textId="42A8501B" w:rsidR="00872A66" w:rsidRPr="00872A66" w:rsidRDefault="00872A66" w:rsidP="00872A66">
            <w:pPr>
              <w:jc w:val="center"/>
              <w:rPr>
                <w:rFonts w:ascii="Arial" w:hAnsi="Arial" w:cs="Arial"/>
                <w:b/>
                <w:bCs/>
                <w:sz w:val="16"/>
                <w:szCs w:val="16"/>
                <w:lang w:eastAsia="es-AR"/>
              </w:rPr>
            </w:pPr>
            <w:r w:rsidRPr="00872A66">
              <w:rPr>
                <w:rFonts w:ascii="Arial" w:hAnsi="Arial" w:cs="Arial"/>
                <w:b/>
                <w:bCs/>
                <w:sz w:val="16"/>
                <w:szCs w:val="16"/>
              </w:rPr>
              <w:t>Acciones y/o Cuotas partes</w:t>
            </w:r>
          </w:p>
        </w:tc>
        <w:tc>
          <w:tcPr>
            <w:tcW w:w="992" w:type="dxa"/>
            <w:vMerge w:val="restart"/>
            <w:tcBorders>
              <w:top w:val="single" w:sz="4" w:space="0" w:color="auto"/>
              <w:left w:val="single" w:sz="4" w:space="0" w:color="363639"/>
              <w:right w:val="single" w:sz="4" w:space="0" w:color="363639"/>
            </w:tcBorders>
            <w:shd w:val="clear" w:color="auto" w:fill="BFBFBF" w:themeFill="background1" w:themeFillShade="BF"/>
            <w:vAlign w:val="center"/>
          </w:tcPr>
          <w:p w14:paraId="7508F49A" w14:textId="197320FB" w:rsidR="00872A66" w:rsidRPr="00872A66" w:rsidRDefault="00872A66" w:rsidP="00872A66">
            <w:pPr>
              <w:jc w:val="center"/>
              <w:rPr>
                <w:rFonts w:ascii="Arial" w:hAnsi="Arial" w:cs="Arial"/>
                <w:b/>
                <w:bCs/>
                <w:sz w:val="16"/>
                <w:szCs w:val="16"/>
                <w:lang w:eastAsia="es-AR"/>
              </w:rPr>
            </w:pPr>
            <w:r w:rsidRPr="00872A66">
              <w:rPr>
                <w:rFonts w:ascii="Arial" w:hAnsi="Arial" w:cs="Arial"/>
                <w:b/>
                <w:bCs/>
                <w:sz w:val="16"/>
                <w:szCs w:val="16"/>
                <w:lang w:eastAsia="es-AR"/>
              </w:rPr>
              <w:t>Importe 31/12/2019</w:t>
            </w:r>
          </w:p>
        </w:tc>
        <w:tc>
          <w:tcPr>
            <w:tcW w:w="992" w:type="dxa"/>
            <w:vMerge w:val="restart"/>
            <w:tcBorders>
              <w:top w:val="single" w:sz="4" w:space="0" w:color="auto"/>
              <w:left w:val="single" w:sz="4" w:space="0" w:color="363639"/>
              <w:right w:val="single" w:sz="4" w:space="0" w:color="363639"/>
            </w:tcBorders>
            <w:shd w:val="clear" w:color="auto" w:fill="BFBFBF" w:themeFill="background1" w:themeFillShade="BF"/>
            <w:vAlign w:val="center"/>
          </w:tcPr>
          <w:p w14:paraId="739C9F45" w14:textId="240C0951" w:rsidR="00872A66" w:rsidRPr="00872A66" w:rsidRDefault="00872A66" w:rsidP="00872A66">
            <w:pPr>
              <w:jc w:val="center"/>
              <w:rPr>
                <w:rFonts w:ascii="Arial" w:hAnsi="Arial" w:cs="Arial"/>
                <w:b/>
                <w:bCs/>
                <w:sz w:val="16"/>
                <w:szCs w:val="16"/>
                <w:lang w:eastAsia="es-AR"/>
              </w:rPr>
            </w:pPr>
            <w:r w:rsidRPr="00872A66">
              <w:rPr>
                <w:rFonts w:ascii="Arial" w:hAnsi="Arial" w:cs="Arial"/>
                <w:b/>
                <w:bCs/>
                <w:sz w:val="16"/>
                <w:szCs w:val="16"/>
                <w:lang w:eastAsia="es-AR"/>
              </w:rPr>
              <w:t>Importe 31/12/2018</w:t>
            </w:r>
          </w:p>
        </w:tc>
        <w:tc>
          <w:tcPr>
            <w:tcW w:w="4536" w:type="dxa"/>
            <w:gridSpan w:val="5"/>
            <w:tcBorders>
              <w:top w:val="single" w:sz="4" w:space="0" w:color="auto"/>
              <w:left w:val="single" w:sz="4" w:space="0" w:color="363639"/>
              <w:bottom w:val="single" w:sz="4" w:space="0" w:color="363639"/>
              <w:right w:val="single" w:sz="4" w:space="0" w:color="363639"/>
            </w:tcBorders>
            <w:shd w:val="clear" w:color="auto" w:fill="BFBFBF" w:themeFill="background1" w:themeFillShade="BF"/>
            <w:vAlign w:val="center"/>
          </w:tcPr>
          <w:p w14:paraId="6EE0BCF4" w14:textId="7FB9F957" w:rsidR="00872A66" w:rsidRPr="00872A66" w:rsidRDefault="00872A66" w:rsidP="00872A66">
            <w:pPr>
              <w:jc w:val="center"/>
              <w:rPr>
                <w:rFonts w:ascii="Arial" w:hAnsi="Arial" w:cs="Arial"/>
                <w:b/>
                <w:bCs/>
                <w:sz w:val="16"/>
                <w:szCs w:val="16"/>
                <w:lang w:eastAsia="es-AR"/>
              </w:rPr>
            </w:pPr>
            <w:r w:rsidRPr="00872A66">
              <w:rPr>
                <w:rFonts w:ascii="Arial" w:hAnsi="Arial" w:cs="Arial"/>
                <w:b/>
                <w:bCs/>
                <w:sz w:val="16"/>
                <w:szCs w:val="16"/>
              </w:rPr>
              <w:t>Información sobre el emiso</w:t>
            </w:r>
            <w:r>
              <w:rPr>
                <w:rFonts w:ascii="Arial" w:hAnsi="Arial" w:cs="Arial"/>
                <w:b/>
                <w:bCs/>
                <w:sz w:val="16"/>
                <w:szCs w:val="16"/>
              </w:rPr>
              <w:t>r</w:t>
            </w:r>
          </w:p>
        </w:tc>
      </w:tr>
      <w:tr w:rsidR="00872A66" w:rsidRPr="00872A66" w14:paraId="1D69ED93" w14:textId="77777777" w:rsidTr="006E1AF7">
        <w:trPr>
          <w:trHeight w:val="255"/>
        </w:trPr>
        <w:tc>
          <w:tcPr>
            <w:tcW w:w="1413"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35EB209A"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Identi ficación</w:t>
            </w:r>
          </w:p>
        </w:tc>
        <w:tc>
          <w:tcPr>
            <w:tcW w:w="3260"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184E9162"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Denominación</w:t>
            </w:r>
          </w:p>
        </w:tc>
        <w:tc>
          <w:tcPr>
            <w:tcW w:w="1030"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192C237D"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Clase</w:t>
            </w:r>
          </w:p>
        </w:tc>
        <w:tc>
          <w:tcPr>
            <w:tcW w:w="851"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4D5A1F71"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Valor Nominal unitario</w:t>
            </w:r>
          </w:p>
        </w:tc>
        <w:tc>
          <w:tcPr>
            <w:tcW w:w="708"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15751243"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Votos por acción</w:t>
            </w:r>
          </w:p>
        </w:tc>
        <w:tc>
          <w:tcPr>
            <w:tcW w:w="1097"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474A5082"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Cantidad</w:t>
            </w:r>
          </w:p>
        </w:tc>
        <w:tc>
          <w:tcPr>
            <w:tcW w:w="992" w:type="dxa"/>
            <w:vMerge/>
            <w:tcBorders>
              <w:left w:val="single" w:sz="4" w:space="0" w:color="363639"/>
              <w:right w:val="single" w:sz="4" w:space="0" w:color="363639"/>
            </w:tcBorders>
            <w:shd w:val="clear" w:color="auto" w:fill="BFBFBF" w:themeFill="background1" w:themeFillShade="BF"/>
            <w:vAlign w:val="center"/>
            <w:hideMark/>
          </w:tcPr>
          <w:p w14:paraId="08FF5F99" w14:textId="3154B366" w:rsidR="00872A66" w:rsidRPr="00872A66" w:rsidRDefault="00872A66" w:rsidP="00FF21C0">
            <w:pPr>
              <w:rPr>
                <w:rFonts w:ascii="Arial" w:hAnsi="Arial" w:cs="Arial"/>
                <w:b/>
                <w:bCs/>
                <w:sz w:val="16"/>
                <w:szCs w:val="16"/>
                <w:lang w:eastAsia="es-AR"/>
              </w:rPr>
            </w:pPr>
          </w:p>
        </w:tc>
        <w:tc>
          <w:tcPr>
            <w:tcW w:w="992" w:type="dxa"/>
            <w:vMerge/>
            <w:tcBorders>
              <w:left w:val="single" w:sz="4" w:space="0" w:color="363639"/>
              <w:right w:val="single" w:sz="4" w:space="0" w:color="363639"/>
            </w:tcBorders>
            <w:shd w:val="clear" w:color="auto" w:fill="BFBFBF" w:themeFill="background1" w:themeFillShade="BF"/>
            <w:vAlign w:val="center"/>
            <w:hideMark/>
          </w:tcPr>
          <w:p w14:paraId="4803384A" w14:textId="42C89514" w:rsidR="00872A66" w:rsidRPr="00872A66" w:rsidRDefault="00872A66" w:rsidP="00FF21C0">
            <w:pPr>
              <w:rPr>
                <w:rFonts w:ascii="Arial" w:hAnsi="Arial" w:cs="Arial"/>
                <w:b/>
                <w:bCs/>
                <w:sz w:val="16"/>
                <w:szCs w:val="16"/>
                <w:lang w:eastAsia="es-AR"/>
              </w:rPr>
            </w:pPr>
          </w:p>
        </w:tc>
        <w:tc>
          <w:tcPr>
            <w:tcW w:w="993"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325F9E22"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Actividad principal</w:t>
            </w:r>
          </w:p>
        </w:tc>
        <w:tc>
          <w:tcPr>
            <w:tcW w:w="3543" w:type="dxa"/>
            <w:gridSpan w:val="4"/>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hideMark/>
          </w:tcPr>
          <w:p w14:paraId="19423EA5"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Datos del último Estado Financiero</w:t>
            </w:r>
          </w:p>
        </w:tc>
      </w:tr>
      <w:tr w:rsidR="00872A66" w:rsidRPr="00872A66" w14:paraId="0027C294" w14:textId="77777777" w:rsidTr="006E1AF7">
        <w:trPr>
          <w:trHeight w:val="498"/>
        </w:trPr>
        <w:tc>
          <w:tcPr>
            <w:tcW w:w="1413"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03CBEBA2" w14:textId="77777777" w:rsidR="00872A66" w:rsidRPr="00872A66" w:rsidRDefault="00872A66" w:rsidP="00FF21C0">
            <w:pPr>
              <w:rPr>
                <w:rFonts w:ascii="Arial" w:hAnsi="Arial" w:cs="Arial"/>
                <w:b/>
                <w:bCs/>
                <w:sz w:val="16"/>
                <w:szCs w:val="16"/>
                <w:lang w:eastAsia="es-AR"/>
              </w:rPr>
            </w:pPr>
          </w:p>
        </w:tc>
        <w:tc>
          <w:tcPr>
            <w:tcW w:w="3260"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411B676A" w14:textId="77777777" w:rsidR="00872A66" w:rsidRPr="00872A66" w:rsidRDefault="00872A66" w:rsidP="00FF21C0">
            <w:pPr>
              <w:rPr>
                <w:rFonts w:ascii="Arial" w:hAnsi="Arial" w:cs="Arial"/>
                <w:b/>
                <w:bCs/>
                <w:sz w:val="16"/>
                <w:szCs w:val="16"/>
                <w:lang w:eastAsia="es-AR"/>
              </w:rPr>
            </w:pPr>
          </w:p>
        </w:tc>
        <w:tc>
          <w:tcPr>
            <w:tcW w:w="1030"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535B24E0" w14:textId="77777777" w:rsidR="00872A66" w:rsidRPr="00872A66" w:rsidRDefault="00872A66" w:rsidP="00FF21C0">
            <w:pPr>
              <w:rPr>
                <w:rFonts w:ascii="Arial" w:hAnsi="Arial" w:cs="Arial"/>
                <w:b/>
                <w:bCs/>
                <w:sz w:val="16"/>
                <w:szCs w:val="16"/>
                <w:lang w:eastAsia="es-AR"/>
              </w:rPr>
            </w:pPr>
          </w:p>
        </w:tc>
        <w:tc>
          <w:tcPr>
            <w:tcW w:w="851"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6AA27745" w14:textId="77777777" w:rsidR="00872A66" w:rsidRPr="00872A66" w:rsidRDefault="00872A66" w:rsidP="00FF21C0">
            <w:pPr>
              <w:rPr>
                <w:rFonts w:ascii="Arial" w:hAnsi="Arial" w:cs="Arial"/>
                <w:b/>
                <w:bCs/>
                <w:sz w:val="16"/>
                <w:szCs w:val="16"/>
                <w:lang w:eastAsia="es-AR"/>
              </w:rPr>
            </w:pPr>
          </w:p>
        </w:tc>
        <w:tc>
          <w:tcPr>
            <w:tcW w:w="708"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75C6805C" w14:textId="77777777" w:rsidR="00872A66" w:rsidRPr="00872A66" w:rsidRDefault="00872A66" w:rsidP="00FF21C0">
            <w:pPr>
              <w:rPr>
                <w:rFonts w:ascii="Arial" w:hAnsi="Arial" w:cs="Arial"/>
                <w:b/>
                <w:bCs/>
                <w:sz w:val="16"/>
                <w:szCs w:val="16"/>
                <w:lang w:eastAsia="es-AR"/>
              </w:rPr>
            </w:pPr>
          </w:p>
        </w:tc>
        <w:tc>
          <w:tcPr>
            <w:tcW w:w="1097"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5B3731A5" w14:textId="77777777" w:rsidR="00872A66" w:rsidRPr="00872A66" w:rsidRDefault="00872A66" w:rsidP="00FF21C0">
            <w:pPr>
              <w:rPr>
                <w:rFonts w:ascii="Arial" w:hAnsi="Arial" w:cs="Arial"/>
                <w:b/>
                <w:bCs/>
                <w:sz w:val="16"/>
                <w:szCs w:val="16"/>
                <w:lang w:eastAsia="es-AR"/>
              </w:rPr>
            </w:pPr>
          </w:p>
        </w:tc>
        <w:tc>
          <w:tcPr>
            <w:tcW w:w="992" w:type="dxa"/>
            <w:vMerge/>
            <w:tcBorders>
              <w:left w:val="single" w:sz="4" w:space="0" w:color="363639"/>
              <w:bottom w:val="single" w:sz="4" w:space="0" w:color="363639"/>
              <w:right w:val="single" w:sz="4" w:space="0" w:color="363639"/>
            </w:tcBorders>
            <w:shd w:val="clear" w:color="auto" w:fill="BFBFBF" w:themeFill="background1" w:themeFillShade="BF"/>
            <w:vAlign w:val="center"/>
            <w:hideMark/>
          </w:tcPr>
          <w:p w14:paraId="6F787A41" w14:textId="77777777" w:rsidR="00872A66" w:rsidRPr="00872A66" w:rsidRDefault="00872A66" w:rsidP="00FF21C0">
            <w:pPr>
              <w:rPr>
                <w:rFonts w:ascii="Arial" w:hAnsi="Arial" w:cs="Arial"/>
                <w:b/>
                <w:bCs/>
                <w:sz w:val="16"/>
                <w:szCs w:val="16"/>
                <w:lang w:eastAsia="es-AR"/>
              </w:rPr>
            </w:pPr>
          </w:p>
        </w:tc>
        <w:tc>
          <w:tcPr>
            <w:tcW w:w="992" w:type="dxa"/>
            <w:vMerge/>
            <w:tcBorders>
              <w:left w:val="single" w:sz="4" w:space="0" w:color="363639"/>
              <w:bottom w:val="single" w:sz="4" w:space="0" w:color="363639"/>
              <w:right w:val="single" w:sz="4" w:space="0" w:color="363639"/>
            </w:tcBorders>
            <w:shd w:val="clear" w:color="auto" w:fill="BFBFBF" w:themeFill="background1" w:themeFillShade="BF"/>
            <w:vAlign w:val="center"/>
            <w:hideMark/>
          </w:tcPr>
          <w:p w14:paraId="7BF6FE5B" w14:textId="77777777" w:rsidR="00872A66" w:rsidRPr="00872A66" w:rsidRDefault="00872A66" w:rsidP="00FF21C0">
            <w:pPr>
              <w:rPr>
                <w:rFonts w:ascii="Arial" w:hAnsi="Arial" w:cs="Arial"/>
                <w:b/>
                <w:bCs/>
                <w:sz w:val="16"/>
                <w:szCs w:val="16"/>
                <w:lang w:eastAsia="es-AR"/>
              </w:rPr>
            </w:pPr>
          </w:p>
        </w:tc>
        <w:tc>
          <w:tcPr>
            <w:tcW w:w="993"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155BA444" w14:textId="77777777" w:rsidR="00872A66" w:rsidRPr="00872A66" w:rsidRDefault="00872A66" w:rsidP="00FF21C0">
            <w:pPr>
              <w:rPr>
                <w:rFonts w:ascii="Arial" w:hAnsi="Arial" w:cs="Arial"/>
                <w:b/>
                <w:bCs/>
                <w:sz w:val="16"/>
                <w:szCs w:val="16"/>
                <w:lang w:eastAsia="es-AR"/>
              </w:rPr>
            </w:pPr>
          </w:p>
        </w:tc>
        <w:tc>
          <w:tcPr>
            <w:tcW w:w="941" w:type="dxa"/>
            <w:tcBorders>
              <w:top w:val="nil"/>
              <w:left w:val="nil"/>
              <w:bottom w:val="single" w:sz="4" w:space="0" w:color="363639"/>
              <w:right w:val="single" w:sz="4" w:space="0" w:color="363639"/>
            </w:tcBorders>
            <w:shd w:val="clear" w:color="auto" w:fill="BFBFBF" w:themeFill="background1" w:themeFillShade="BF"/>
            <w:vAlign w:val="center"/>
            <w:hideMark/>
          </w:tcPr>
          <w:p w14:paraId="77B98716"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Fecha cierre ejerc.</w:t>
            </w:r>
          </w:p>
        </w:tc>
        <w:tc>
          <w:tcPr>
            <w:tcW w:w="760" w:type="dxa"/>
            <w:tcBorders>
              <w:top w:val="nil"/>
              <w:left w:val="nil"/>
              <w:bottom w:val="single" w:sz="4" w:space="0" w:color="363639"/>
              <w:right w:val="single" w:sz="4" w:space="0" w:color="363639"/>
            </w:tcBorders>
            <w:shd w:val="clear" w:color="auto" w:fill="BFBFBF" w:themeFill="background1" w:themeFillShade="BF"/>
            <w:vAlign w:val="center"/>
            <w:hideMark/>
          </w:tcPr>
          <w:p w14:paraId="238054A6"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Capital</w:t>
            </w:r>
          </w:p>
        </w:tc>
        <w:tc>
          <w:tcPr>
            <w:tcW w:w="992" w:type="dxa"/>
            <w:tcBorders>
              <w:top w:val="nil"/>
              <w:left w:val="nil"/>
              <w:bottom w:val="single" w:sz="4" w:space="0" w:color="363639"/>
              <w:right w:val="single" w:sz="4" w:space="0" w:color="363639"/>
            </w:tcBorders>
            <w:shd w:val="clear" w:color="auto" w:fill="BFBFBF" w:themeFill="background1" w:themeFillShade="BF"/>
            <w:vAlign w:val="center"/>
            <w:hideMark/>
          </w:tcPr>
          <w:p w14:paraId="0D3C2F50"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Patrimonio neto</w:t>
            </w:r>
          </w:p>
        </w:tc>
        <w:tc>
          <w:tcPr>
            <w:tcW w:w="850" w:type="dxa"/>
            <w:tcBorders>
              <w:top w:val="nil"/>
              <w:left w:val="nil"/>
              <w:bottom w:val="single" w:sz="4" w:space="0" w:color="363639"/>
              <w:right w:val="single" w:sz="4" w:space="0" w:color="363639"/>
            </w:tcBorders>
            <w:shd w:val="clear" w:color="auto" w:fill="BFBFBF" w:themeFill="background1" w:themeFillShade="BF"/>
            <w:vAlign w:val="center"/>
            <w:hideMark/>
          </w:tcPr>
          <w:p w14:paraId="58EFBCB8" w14:textId="77777777" w:rsidR="00872A66" w:rsidRPr="00872A66" w:rsidRDefault="00872A66" w:rsidP="00FF21C0">
            <w:pPr>
              <w:jc w:val="center"/>
              <w:rPr>
                <w:rFonts w:ascii="Arial" w:hAnsi="Arial" w:cs="Arial"/>
                <w:b/>
                <w:bCs/>
                <w:sz w:val="16"/>
                <w:szCs w:val="16"/>
                <w:lang w:eastAsia="es-AR"/>
              </w:rPr>
            </w:pPr>
            <w:r w:rsidRPr="00872A66">
              <w:rPr>
                <w:rFonts w:ascii="Arial" w:hAnsi="Arial" w:cs="Arial"/>
                <w:b/>
                <w:bCs/>
                <w:sz w:val="16"/>
                <w:szCs w:val="16"/>
                <w:lang w:eastAsia="es-AR"/>
              </w:rPr>
              <w:t>Rdo. del ejercicio</w:t>
            </w:r>
          </w:p>
        </w:tc>
      </w:tr>
      <w:tr w:rsidR="00872A66" w:rsidRPr="00872A66" w14:paraId="2B6B5784" w14:textId="77777777" w:rsidTr="006E1AF7">
        <w:trPr>
          <w:trHeight w:val="255"/>
        </w:trPr>
        <w:tc>
          <w:tcPr>
            <w:tcW w:w="1413" w:type="dxa"/>
            <w:tcBorders>
              <w:top w:val="nil"/>
              <w:left w:val="nil"/>
              <w:bottom w:val="nil"/>
              <w:right w:val="nil"/>
            </w:tcBorders>
            <w:shd w:val="clear" w:color="auto" w:fill="auto"/>
            <w:hideMark/>
          </w:tcPr>
          <w:p w14:paraId="1060522E" w14:textId="77777777" w:rsidR="00872A66" w:rsidRPr="00872A66" w:rsidRDefault="00872A66" w:rsidP="00FF21C0">
            <w:pPr>
              <w:rPr>
                <w:rFonts w:ascii="Arial" w:hAnsi="Arial" w:cs="Arial"/>
                <w:sz w:val="16"/>
                <w:szCs w:val="16"/>
                <w:lang w:eastAsia="es-AR"/>
              </w:rPr>
            </w:pPr>
            <w:r w:rsidRPr="00872A66">
              <w:rPr>
                <w:rFonts w:ascii="Arial" w:hAnsi="Arial" w:cs="Arial"/>
                <w:sz w:val="16"/>
                <w:szCs w:val="16"/>
                <w:lang w:eastAsia="es-AR"/>
              </w:rPr>
              <w:t> </w:t>
            </w:r>
          </w:p>
        </w:tc>
        <w:tc>
          <w:tcPr>
            <w:tcW w:w="4293" w:type="dxa"/>
            <w:gridSpan w:val="2"/>
            <w:tcBorders>
              <w:top w:val="nil"/>
              <w:left w:val="nil"/>
              <w:bottom w:val="nil"/>
              <w:right w:val="nil"/>
            </w:tcBorders>
            <w:shd w:val="clear" w:color="auto" w:fill="auto"/>
            <w:noWrap/>
            <w:hideMark/>
          </w:tcPr>
          <w:p w14:paraId="7ED2F826" w14:textId="1AB7EBBC" w:rsidR="00872A66" w:rsidRPr="00872A66" w:rsidRDefault="00872A66" w:rsidP="00FF21C0">
            <w:pPr>
              <w:rPr>
                <w:rFonts w:ascii="Arial" w:hAnsi="Arial" w:cs="Arial"/>
                <w:b/>
                <w:bCs/>
                <w:sz w:val="16"/>
                <w:szCs w:val="16"/>
                <w:lang w:eastAsia="es-AR"/>
              </w:rPr>
            </w:pPr>
            <w:r w:rsidRPr="00872A66">
              <w:rPr>
                <w:rFonts w:ascii="Arial" w:hAnsi="Arial" w:cs="Arial"/>
                <w:b/>
                <w:bCs/>
                <w:sz w:val="16"/>
                <w:szCs w:val="16"/>
                <w:lang w:eastAsia="es-AR"/>
              </w:rPr>
              <w:t>PARTICIPACIONES EN ENTIDADES FINANCIERAS</w:t>
            </w:r>
          </w:p>
        </w:tc>
        <w:tc>
          <w:tcPr>
            <w:tcW w:w="851" w:type="dxa"/>
            <w:tcBorders>
              <w:top w:val="nil"/>
              <w:left w:val="nil"/>
              <w:bottom w:val="nil"/>
              <w:right w:val="nil"/>
            </w:tcBorders>
            <w:shd w:val="clear" w:color="auto" w:fill="auto"/>
            <w:noWrap/>
            <w:vAlign w:val="center"/>
            <w:hideMark/>
          </w:tcPr>
          <w:p w14:paraId="7E86BA7E" w14:textId="77777777" w:rsidR="00872A66" w:rsidRPr="00872A66" w:rsidRDefault="00872A66" w:rsidP="00FF21C0">
            <w:pPr>
              <w:jc w:val="center"/>
              <w:rPr>
                <w:rFonts w:ascii="Arial" w:hAnsi="Arial" w:cs="Arial"/>
                <w:sz w:val="16"/>
                <w:szCs w:val="16"/>
                <w:lang w:eastAsia="es-AR"/>
              </w:rPr>
            </w:pPr>
            <w:r w:rsidRPr="00872A66">
              <w:rPr>
                <w:rFonts w:ascii="Arial" w:hAnsi="Arial" w:cs="Arial"/>
                <w:sz w:val="16"/>
                <w:szCs w:val="16"/>
                <w:lang w:eastAsia="es-AR"/>
              </w:rPr>
              <w:t> </w:t>
            </w:r>
          </w:p>
        </w:tc>
        <w:tc>
          <w:tcPr>
            <w:tcW w:w="708" w:type="dxa"/>
            <w:tcBorders>
              <w:top w:val="nil"/>
              <w:left w:val="nil"/>
              <w:bottom w:val="nil"/>
              <w:right w:val="nil"/>
            </w:tcBorders>
            <w:shd w:val="clear" w:color="auto" w:fill="auto"/>
            <w:noWrap/>
            <w:vAlign w:val="center"/>
            <w:hideMark/>
          </w:tcPr>
          <w:p w14:paraId="11AD7B2C" w14:textId="77777777" w:rsidR="00872A66" w:rsidRPr="00872A66" w:rsidRDefault="00872A66" w:rsidP="00FF21C0">
            <w:pPr>
              <w:jc w:val="center"/>
              <w:rPr>
                <w:rFonts w:ascii="Arial" w:hAnsi="Arial" w:cs="Arial"/>
                <w:sz w:val="16"/>
                <w:szCs w:val="16"/>
                <w:lang w:eastAsia="es-AR"/>
              </w:rPr>
            </w:pPr>
            <w:r w:rsidRPr="00872A66">
              <w:rPr>
                <w:rFonts w:ascii="Arial" w:hAnsi="Arial" w:cs="Arial"/>
                <w:sz w:val="16"/>
                <w:szCs w:val="16"/>
                <w:lang w:eastAsia="es-AR"/>
              </w:rPr>
              <w:t> </w:t>
            </w:r>
          </w:p>
        </w:tc>
        <w:tc>
          <w:tcPr>
            <w:tcW w:w="1097" w:type="dxa"/>
            <w:tcBorders>
              <w:top w:val="nil"/>
              <w:left w:val="nil"/>
              <w:bottom w:val="nil"/>
              <w:right w:val="nil"/>
            </w:tcBorders>
            <w:shd w:val="clear" w:color="auto" w:fill="auto"/>
            <w:noWrap/>
            <w:hideMark/>
          </w:tcPr>
          <w:p w14:paraId="475B0327" w14:textId="77777777" w:rsidR="00872A66" w:rsidRPr="00872A66" w:rsidRDefault="00872A66" w:rsidP="00FF21C0">
            <w:pPr>
              <w:rPr>
                <w:rFonts w:ascii="Arial" w:hAnsi="Arial" w:cs="Arial"/>
                <w:sz w:val="16"/>
                <w:szCs w:val="16"/>
                <w:lang w:eastAsia="es-AR"/>
              </w:rPr>
            </w:pPr>
            <w:r w:rsidRPr="00872A66">
              <w:rPr>
                <w:rFonts w:ascii="Arial" w:hAnsi="Arial" w:cs="Arial"/>
                <w:sz w:val="16"/>
                <w:szCs w:val="16"/>
                <w:lang w:eastAsia="es-AR"/>
              </w:rPr>
              <w:t> </w:t>
            </w:r>
          </w:p>
        </w:tc>
        <w:tc>
          <w:tcPr>
            <w:tcW w:w="992" w:type="dxa"/>
            <w:tcBorders>
              <w:top w:val="nil"/>
              <w:left w:val="nil"/>
              <w:bottom w:val="nil"/>
              <w:right w:val="nil"/>
            </w:tcBorders>
            <w:shd w:val="clear" w:color="auto" w:fill="auto"/>
            <w:noWrap/>
            <w:hideMark/>
          </w:tcPr>
          <w:p w14:paraId="0994C38A" w14:textId="77777777" w:rsidR="00872A66" w:rsidRPr="00872A66" w:rsidRDefault="00872A66" w:rsidP="00FF21C0">
            <w:pPr>
              <w:rPr>
                <w:rFonts w:ascii="Arial" w:hAnsi="Arial" w:cs="Arial"/>
                <w:sz w:val="16"/>
                <w:szCs w:val="16"/>
                <w:lang w:eastAsia="es-AR"/>
              </w:rPr>
            </w:pPr>
            <w:r w:rsidRPr="00872A66">
              <w:rPr>
                <w:rFonts w:ascii="Arial" w:hAnsi="Arial" w:cs="Arial"/>
                <w:sz w:val="16"/>
                <w:szCs w:val="16"/>
                <w:lang w:eastAsia="es-AR"/>
              </w:rPr>
              <w:t> </w:t>
            </w:r>
          </w:p>
        </w:tc>
        <w:tc>
          <w:tcPr>
            <w:tcW w:w="992" w:type="dxa"/>
            <w:tcBorders>
              <w:top w:val="nil"/>
              <w:left w:val="nil"/>
              <w:bottom w:val="nil"/>
              <w:right w:val="nil"/>
            </w:tcBorders>
            <w:shd w:val="clear" w:color="auto" w:fill="auto"/>
            <w:noWrap/>
            <w:hideMark/>
          </w:tcPr>
          <w:p w14:paraId="2B1E4CD7" w14:textId="77777777" w:rsidR="00872A66" w:rsidRPr="00872A66" w:rsidRDefault="00872A66" w:rsidP="00FF21C0">
            <w:pPr>
              <w:rPr>
                <w:rFonts w:ascii="Arial" w:hAnsi="Arial" w:cs="Arial"/>
                <w:sz w:val="16"/>
                <w:szCs w:val="16"/>
                <w:lang w:eastAsia="es-AR"/>
              </w:rPr>
            </w:pPr>
            <w:r w:rsidRPr="00872A66">
              <w:rPr>
                <w:rFonts w:ascii="Arial" w:hAnsi="Arial" w:cs="Arial"/>
                <w:sz w:val="16"/>
                <w:szCs w:val="16"/>
                <w:lang w:eastAsia="es-AR"/>
              </w:rPr>
              <w:t> </w:t>
            </w:r>
          </w:p>
        </w:tc>
        <w:tc>
          <w:tcPr>
            <w:tcW w:w="993" w:type="dxa"/>
            <w:tcBorders>
              <w:top w:val="nil"/>
              <w:left w:val="nil"/>
              <w:bottom w:val="nil"/>
              <w:right w:val="nil"/>
            </w:tcBorders>
            <w:shd w:val="clear" w:color="auto" w:fill="auto"/>
            <w:noWrap/>
            <w:hideMark/>
          </w:tcPr>
          <w:p w14:paraId="1701D9D7" w14:textId="77777777" w:rsidR="00872A66" w:rsidRPr="00872A66" w:rsidRDefault="00872A66" w:rsidP="00FF21C0">
            <w:pPr>
              <w:rPr>
                <w:rFonts w:ascii="Arial" w:hAnsi="Arial" w:cs="Arial"/>
                <w:sz w:val="16"/>
                <w:szCs w:val="16"/>
                <w:lang w:eastAsia="es-AR"/>
              </w:rPr>
            </w:pPr>
            <w:r w:rsidRPr="00872A66">
              <w:rPr>
                <w:rFonts w:ascii="Arial" w:hAnsi="Arial" w:cs="Arial"/>
                <w:sz w:val="16"/>
                <w:szCs w:val="16"/>
                <w:lang w:eastAsia="es-AR"/>
              </w:rPr>
              <w:t> </w:t>
            </w:r>
          </w:p>
        </w:tc>
        <w:tc>
          <w:tcPr>
            <w:tcW w:w="941" w:type="dxa"/>
            <w:tcBorders>
              <w:top w:val="nil"/>
              <w:left w:val="nil"/>
              <w:bottom w:val="nil"/>
              <w:right w:val="nil"/>
            </w:tcBorders>
            <w:shd w:val="clear" w:color="auto" w:fill="auto"/>
            <w:noWrap/>
            <w:hideMark/>
          </w:tcPr>
          <w:p w14:paraId="3D0ECD65" w14:textId="77777777" w:rsidR="00872A66" w:rsidRPr="00872A66" w:rsidRDefault="00872A66" w:rsidP="00FF21C0">
            <w:pPr>
              <w:rPr>
                <w:rFonts w:ascii="Arial" w:hAnsi="Arial" w:cs="Arial"/>
                <w:sz w:val="16"/>
                <w:szCs w:val="16"/>
                <w:lang w:eastAsia="es-AR"/>
              </w:rPr>
            </w:pPr>
            <w:r w:rsidRPr="00872A66">
              <w:rPr>
                <w:rFonts w:ascii="Arial" w:hAnsi="Arial" w:cs="Arial"/>
                <w:sz w:val="16"/>
                <w:szCs w:val="16"/>
                <w:lang w:eastAsia="es-AR"/>
              </w:rPr>
              <w:t> </w:t>
            </w:r>
          </w:p>
        </w:tc>
        <w:tc>
          <w:tcPr>
            <w:tcW w:w="760" w:type="dxa"/>
            <w:tcBorders>
              <w:top w:val="nil"/>
              <w:left w:val="nil"/>
              <w:bottom w:val="nil"/>
              <w:right w:val="nil"/>
            </w:tcBorders>
            <w:shd w:val="clear" w:color="auto" w:fill="auto"/>
            <w:noWrap/>
            <w:hideMark/>
          </w:tcPr>
          <w:p w14:paraId="7BEA6FAF" w14:textId="77777777" w:rsidR="00872A66" w:rsidRPr="00872A66" w:rsidRDefault="00872A66" w:rsidP="00FF21C0">
            <w:pPr>
              <w:rPr>
                <w:rFonts w:ascii="Arial" w:hAnsi="Arial" w:cs="Arial"/>
                <w:sz w:val="16"/>
                <w:szCs w:val="16"/>
                <w:lang w:eastAsia="es-AR"/>
              </w:rPr>
            </w:pPr>
            <w:r w:rsidRPr="00872A66">
              <w:rPr>
                <w:rFonts w:ascii="Arial" w:hAnsi="Arial" w:cs="Arial"/>
                <w:sz w:val="16"/>
                <w:szCs w:val="16"/>
                <w:lang w:eastAsia="es-AR"/>
              </w:rPr>
              <w:t> </w:t>
            </w:r>
          </w:p>
        </w:tc>
        <w:tc>
          <w:tcPr>
            <w:tcW w:w="992" w:type="dxa"/>
            <w:tcBorders>
              <w:top w:val="nil"/>
              <w:left w:val="nil"/>
              <w:bottom w:val="nil"/>
              <w:right w:val="nil"/>
            </w:tcBorders>
            <w:shd w:val="clear" w:color="auto" w:fill="auto"/>
            <w:noWrap/>
            <w:hideMark/>
          </w:tcPr>
          <w:p w14:paraId="6BCB7E2A" w14:textId="77777777" w:rsidR="00872A66" w:rsidRPr="00872A66" w:rsidRDefault="00872A66" w:rsidP="00FF21C0">
            <w:pPr>
              <w:rPr>
                <w:rFonts w:ascii="Arial" w:hAnsi="Arial" w:cs="Arial"/>
                <w:sz w:val="16"/>
                <w:szCs w:val="16"/>
                <w:lang w:eastAsia="es-AR"/>
              </w:rPr>
            </w:pPr>
            <w:r w:rsidRPr="00872A66">
              <w:rPr>
                <w:rFonts w:ascii="Arial" w:hAnsi="Arial" w:cs="Arial"/>
                <w:sz w:val="16"/>
                <w:szCs w:val="16"/>
                <w:lang w:eastAsia="es-AR"/>
              </w:rPr>
              <w:t> </w:t>
            </w:r>
          </w:p>
        </w:tc>
        <w:tc>
          <w:tcPr>
            <w:tcW w:w="850" w:type="dxa"/>
            <w:tcBorders>
              <w:top w:val="nil"/>
              <w:left w:val="nil"/>
              <w:bottom w:val="nil"/>
              <w:right w:val="nil"/>
            </w:tcBorders>
            <w:shd w:val="clear" w:color="auto" w:fill="auto"/>
            <w:noWrap/>
            <w:hideMark/>
          </w:tcPr>
          <w:p w14:paraId="78B3F92E" w14:textId="77777777" w:rsidR="00872A66" w:rsidRPr="00872A66" w:rsidRDefault="00872A66" w:rsidP="00FF21C0">
            <w:pPr>
              <w:rPr>
                <w:rFonts w:ascii="Arial" w:hAnsi="Arial" w:cs="Arial"/>
                <w:sz w:val="16"/>
                <w:szCs w:val="16"/>
                <w:lang w:eastAsia="es-AR"/>
              </w:rPr>
            </w:pPr>
            <w:r w:rsidRPr="00872A66">
              <w:rPr>
                <w:rFonts w:ascii="Arial" w:hAnsi="Arial" w:cs="Arial"/>
                <w:sz w:val="16"/>
                <w:szCs w:val="16"/>
                <w:lang w:eastAsia="es-AR"/>
              </w:rPr>
              <w:t> </w:t>
            </w:r>
          </w:p>
        </w:tc>
      </w:tr>
      <w:tr w:rsidR="00FF21C0" w:rsidRPr="00872A66" w14:paraId="1AA0904E" w14:textId="77777777" w:rsidTr="006E1AF7">
        <w:trPr>
          <w:trHeight w:val="255"/>
        </w:trPr>
        <w:tc>
          <w:tcPr>
            <w:tcW w:w="1413" w:type="dxa"/>
            <w:tcBorders>
              <w:top w:val="nil"/>
              <w:left w:val="nil"/>
              <w:bottom w:val="nil"/>
              <w:right w:val="nil"/>
            </w:tcBorders>
            <w:shd w:val="clear" w:color="auto" w:fill="auto"/>
            <w:hideMark/>
          </w:tcPr>
          <w:p w14:paraId="50093BE4" w14:textId="77777777" w:rsidR="00FF21C0" w:rsidRPr="00872A66" w:rsidRDefault="00FF21C0" w:rsidP="00FF21C0">
            <w:pPr>
              <w:rPr>
                <w:rFonts w:ascii="Arial" w:hAnsi="Arial" w:cs="Arial"/>
                <w:sz w:val="16"/>
                <w:szCs w:val="16"/>
                <w:lang w:eastAsia="es-AR"/>
              </w:rPr>
            </w:pPr>
          </w:p>
        </w:tc>
        <w:tc>
          <w:tcPr>
            <w:tcW w:w="3260" w:type="dxa"/>
            <w:tcBorders>
              <w:top w:val="nil"/>
              <w:left w:val="nil"/>
              <w:bottom w:val="nil"/>
              <w:right w:val="nil"/>
            </w:tcBorders>
            <w:shd w:val="clear" w:color="auto" w:fill="auto"/>
            <w:noWrap/>
            <w:hideMark/>
          </w:tcPr>
          <w:p w14:paraId="0D4B8AF9" w14:textId="77777777" w:rsidR="00FF21C0" w:rsidRPr="00872A66" w:rsidRDefault="00FF21C0" w:rsidP="00FF21C0">
            <w:pPr>
              <w:rPr>
                <w:rFonts w:ascii="Arial" w:hAnsi="Arial" w:cs="Arial"/>
                <w:sz w:val="16"/>
                <w:szCs w:val="16"/>
                <w:lang w:eastAsia="es-AR"/>
              </w:rPr>
            </w:pPr>
          </w:p>
        </w:tc>
        <w:tc>
          <w:tcPr>
            <w:tcW w:w="1030" w:type="dxa"/>
            <w:tcBorders>
              <w:top w:val="nil"/>
              <w:left w:val="nil"/>
              <w:bottom w:val="nil"/>
              <w:right w:val="nil"/>
            </w:tcBorders>
            <w:shd w:val="clear" w:color="auto" w:fill="auto"/>
            <w:noWrap/>
            <w:hideMark/>
          </w:tcPr>
          <w:p w14:paraId="261F3093" w14:textId="77777777" w:rsidR="00FF21C0" w:rsidRPr="00872A66" w:rsidRDefault="00FF21C0" w:rsidP="00FF21C0">
            <w:pPr>
              <w:rPr>
                <w:rFonts w:ascii="Arial" w:hAnsi="Arial" w:cs="Arial"/>
                <w:sz w:val="16"/>
                <w:szCs w:val="16"/>
                <w:lang w:eastAsia="es-AR"/>
              </w:rPr>
            </w:pPr>
          </w:p>
        </w:tc>
        <w:tc>
          <w:tcPr>
            <w:tcW w:w="851" w:type="dxa"/>
            <w:tcBorders>
              <w:top w:val="nil"/>
              <w:left w:val="nil"/>
              <w:bottom w:val="nil"/>
              <w:right w:val="nil"/>
            </w:tcBorders>
            <w:shd w:val="clear" w:color="auto" w:fill="auto"/>
            <w:noWrap/>
            <w:vAlign w:val="center"/>
            <w:hideMark/>
          </w:tcPr>
          <w:p w14:paraId="15974122" w14:textId="77777777" w:rsidR="00FF21C0" w:rsidRPr="00872A66" w:rsidRDefault="00FF21C0" w:rsidP="00FF21C0">
            <w:pPr>
              <w:rPr>
                <w:rFonts w:ascii="Arial" w:hAnsi="Arial" w:cs="Arial"/>
                <w:sz w:val="16"/>
                <w:szCs w:val="16"/>
                <w:lang w:eastAsia="es-AR"/>
              </w:rPr>
            </w:pPr>
          </w:p>
        </w:tc>
        <w:tc>
          <w:tcPr>
            <w:tcW w:w="708" w:type="dxa"/>
            <w:tcBorders>
              <w:top w:val="nil"/>
              <w:left w:val="nil"/>
              <w:bottom w:val="nil"/>
              <w:right w:val="nil"/>
            </w:tcBorders>
            <w:shd w:val="clear" w:color="auto" w:fill="auto"/>
            <w:noWrap/>
            <w:vAlign w:val="center"/>
            <w:hideMark/>
          </w:tcPr>
          <w:p w14:paraId="66AA8500" w14:textId="77777777" w:rsidR="00FF21C0" w:rsidRPr="00872A66" w:rsidRDefault="00FF21C0" w:rsidP="00FF21C0">
            <w:pPr>
              <w:jc w:val="center"/>
              <w:rPr>
                <w:rFonts w:ascii="Arial" w:hAnsi="Arial" w:cs="Arial"/>
                <w:sz w:val="16"/>
                <w:szCs w:val="16"/>
                <w:lang w:eastAsia="es-AR"/>
              </w:rPr>
            </w:pPr>
          </w:p>
        </w:tc>
        <w:tc>
          <w:tcPr>
            <w:tcW w:w="1097" w:type="dxa"/>
            <w:tcBorders>
              <w:top w:val="nil"/>
              <w:left w:val="nil"/>
              <w:bottom w:val="nil"/>
              <w:right w:val="nil"/>
            </w:tcBorders>
            <w:shd w:val="clear" w:color="auto" w:fill="auto"/>
            <w:noWrap/>
            <w:hideMark/>
          </w:tcPr>
          <w:p w14:paraId="36BD2E10" w14:textId="77777777" w:rsidR="00FF21C0" w:rsidRPr="00872A66" w:rsidRDefault="00FF21C0" w:rsidP="00FF21C0">
            <w:pPr>
              <w:jc w:val="center"/>
              <w:rPr>
                <w:rFonts w:ascii="Arial" w:hAnsi="Arial" w:cs="Arial"/>
                <w:sz w:val="16"/>
                <w:szCs w:val="16"/>
                <w:lang w:eastAsia="es-AR"/>
              </w:rPr>
            </w:pPr>
          </w:p>
        </w:tc>
        <w:tc>
          <w:tcPr>
            <w:tcW w:w="992" w:type="dxa"/>
            <w:tcBorders>
              <w:top w:val="nil"/>
              <w:left w:val="nil"/>
              <w:bottom w:val="nil"/>
              <w:right w:val="nil"/>
            </w:tcBorders>
            <w:shd w:val="clear" w:color="auto" w:fill="auto"/>
            <w:noWrap/>
            <w:hideMark/>
          </w:tcPr>
          <w:p w14:paraId="129CE638"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noWrap/>
            <w:hideMark/>
          </w:tcPr>
          <w:p w14:paraId="2838B3FC" w14:textId="77777777" w:rsidR="00FF21C0" w:rsidRPr="00872A66" w:rsidRDefault="00FF21C0" w:rsidP="00FF21C0">
            <w:pPr>
              <w:rPr>
                <w:rFonts w:ascii="Arial" w:hAnsi="Arial" w:cs="Arial"/>
                <w:sz w:val="16"/>
                <w:szCs w:val="16"/>
                <w:lang w:eastAsia="es-AR"/>
              </w:rPr>
            </w:pPr>
          </w:p>
        </w:tc>
        <w:tc>
          <w:tcPr>
            <w:tcW w:w="993" w:type="dxa"/>
            <w:tcBorders>
              <w:top w:val="nil"/>
              <w:left w:val="nil"/>
              <w:bottom w:val="nil"/>
              <w:right w:val="nil"/>
            </w:tcBorders>
            <w:shd w:val="clear" w:color="auto" w:fill="auto"/>
            <w:noWrap/>
            <w:hideMark/>
          </w:tcPr>
          <w:p w14:paraId="7864F617" w14:textId="77777777" w:rsidR="00FF21C0" w:rsidRPr="00872A66" w:rsidRDefault="00FF21C0" w:rsidP="00FF21C0">
            <w:pPr>
              <w:rPr>
                <w:rFonts w:ascii="Arial" w:hAnsi="Arial" w:cs="Arial"/>
                <w:sz w:val="16"/>
                <w:szCs w:val="16"/>
                <w:lang w:eastAsia="es-AR"/>
              </w:rPr>
            </w:pPr>
          </w:p>
        </w:tc>
        <w:tc>
          <w:tcPr>
            <w:tcW w:w="941" w:type="dxa"/>
            <w:tcBorders>
              <w:top w:val="nil"/>
              <w:left w:val="nil"/>
              <w:bottom w:val="nil"/>
              <w:right w:val="nil"/>
            </w:tcBorders>
            <w:shd w:val="clear" w:color="auto" w:fill="auto"/>
            <w:noWrap/>
            <w:hideMark/>
          </w:tcPr>
          <w:p w14:paraId="5441BF06" w14:textId="77777777" w:rsidR="00FF21C0" w:rsidRPr="00872A66" w:rsidRDefault="00FF21C0" w:rsidP="00FF21C0">
            <w:pPr>
              <w:rPr>
                <w:rFonts w:ascii="Arial" w:hAnsi="Arial" w:cs="Arial"/>
                <w:sz w:val="16"/>
                <w:szCs w:val="16"/>
                <w:lang w:eastAsia="es-AR"/>
              </w:rPr>
            </w:pPr>
          </w:p>
        </w:tc>
        <w:tc>
          <w:tcPr>
            <w:tcW w:w="760" w:type="dxa"/>
            <w:tcBorders>
              <w:top w:val="nil"/>
              <w:left w:val="nil"/>
              <w:bottom w:val="nil"/>
              <w:right w:val="nil"/>
            </w:tcBorders>
            <w:shd w:val="clear" w:color="auto" w:fill="auto"/>
            <w:noWrap/>
            <w:hideMark/>
          </w:tcPr>
          <w:p w14:paraId="794A2DF4"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noWrap/>
            <w:hideMark/>
          </w:tcPr>
          <w:p w14:paraId="2DD1F59C" w14:textId="77777777" w:rsidR="00FF21C0" w:rsidRPr="00872A66" w:rsidRDefault="00FF21C0" w:rsidP="00FF21C0">
            <w:pPr>
              <w:rPr>
                <w:rFonts w:ascii="Arial" w:hAnsi="Arial" w:cs="Arial"/>
                <w:sz w:val="16"/>
                <w:szCs w:val="16"/>
                <w:lang w:eastAsia="es-AR"/>
              </w:rPr>
            </w:pPr>
          </w:p>
        </w:tc>
        <w:tc>
          <w:tcPr>
            <w:tcW w:w="850" w:type="dxa"/>
            <w:tcBorders>
              <w:top w:val="nil"/>
              <w:left w:val="nil"/>
              <w:bottom w:val="nil"/>
              <w:right w:val="nil"/>
            </w:tcBorders>
            <w:shd w:val="clear" w:color="auto" w:fill="auto"/>
            <w:noWrap/>
            <w:hideMark/>
          </w:tcPr>
          <w:p w14:paraId="6AC820D6" w14:textId="77777777" w:rsidR="00FF21C0" w:rsidRPr="00872A66" w:rsidRDefault="00FF21C0" w:rsidP="00FF21C0">
            <w:pPr>
              <w:rPr>
                <w:rFonts w:ascii="Arial" w:hAnsi="Arial" w:cs="Arial"/>
                <w:sz w:val="16"/>
                <w:szCs w:val="16"/>
                <w:lang w:eastAsia="es-AR"/>
              </w:rPr>
            </w:pPr>
          </w:p>
        </w:tc>
      </w:tr>
      <w:tr w:rsidR="00FF21C0" w:rsidRPr="00872A66" w14:paraId="58D68DFE" w14:textId="77777777" w:rsidTr="006E1AF7">
        <w:trPr>
          <w:trHeight w:val="240"/>
        </w:trPr>
        <w:tc>
          <w:tcPr>
            <w:tcW w:w="1413" w:type="dxa"/>
            <w:tcBorders>
              <w:top w:val="nil"/>
              <w:left w:val="nil"/>
              <w:bottom w:val="nil"/>
              <w:right w:val="nil"/>
            </w:tcBorders>
            <w:shd w:val="clear" w:color="auto" w:fill="auto"/>
            <w:hideMark/>
          </w:tcPr>
          <w:p w14:paraId="1CCCBCCE" w14:textId="77777777" w:rsidR="00FF21C0" w:rsidRPr="00872A66" w:rsidRDefault="00FF21C0" w:rsidP="00FF21C0">
            <w:pPr>
              <w:rPr>
                <w:rFonts w:ascii="Arial" w:hAnsi="Arial" w:cs="Arial"/>
                <w:sz w:val="16"/>
                <w:szCs w:val="16"/>
                <w:lang w:eastAsia="es-AR"/>
              </w:rPr>
            </w:pPr>
          </w:p>
        </w:tc>
        <w:tc>
          <w:tcPr>
            <w:tcW w:w="3260" w:type="dxa"/>
            <w:tcBorders>
              <w:top w:val="nil"/>
              <w:left w:val="nil"/>
              <w:bottom w:val="nil"/>
              <w:right w:val="nil"/>
            </w:tcBorders>
            <w:shd w:val="clear" w:color="auto" w:fill="auto"/>
            <w:hideMark/>
          </w:tcPr>
          <w:p w14:paraId="7573F4B6" w14:textId="77777777" w:rsidR="00FF21C0" w:rsidRPr="00872A66" w:rsidRDefault="00FF21C0" w:rsidP="00FF21C0">
            <w:pPr>
              <w:rPr>
                <w:rFonts w:ascii="Arial" w:hAnsi="Arial" w:cs="Arial"/>
                <w:b/>
                <w:bCs/>
                <w:sz w:val="16"/>
                <w:szCs w:val="16"/>
                <w:lang w:eastAsia="es-AR"/>
              </w:rPr>
            </w:pPr>
            <w:r w:rsidRPr="00872A66">
              <w:rPr>
                <w:rFonts w:ascii="Arial" w:hAnsi="Arial" w:cs="Arial"/>
                <w:b/>
                <w:bCs/>
                <w:sz w:val="16"/>
                <w:szCs w:val="16"/>
                <w:lang w:eastAsia="es-AR"/>
              </w:rPr>
              <w:t>Controladas</w:t>
            </w:r>
          </w:p>
        </w:tc>
        <w:tc>
          <w:tcPr>
            <w:tcW w:w="1030" w:type="dxa"/>
            <w:tcBorders>
              <w:top w:val="nil"/>
              <w:left w:val="nil"/>
              <w:bottom w:val="nil"/>
              <w:right w:val="nil"/>
            </w:tcBorders>
            <w:shd w:val="clear" w:color="auto" w:fill="auto"/>
            <w:hideMark/>
          </w:tcPr>
          <w:p w14:paraId="7C7FEE10" w14:textId="77777777" w:rsidR="00FF21C0" w:rsidRPr="00872A66" w:rsidRDefault="00FF21C0" w:rsidP="00FF21C0">
            <w:pPr>
              <w:rPr>
                <w:rFonts w:ascii="Arial" w:hAnsi="Arial" w:cs="Arial"/>
                <w:b/>
                <w:bCs/>
                <w:sz w:val="16"/>
                <w:szCs w:val="16"/>
                <w:lang w:eastAsia="es-AR"/>
              </w:rPr>
            </w:pPr>
          </w:p>
        </w:tc>
        <w:tc>
          <w:tcPr>
            <w:tcW w:w="851" w:type="dxa"/>
            <w:tcBorders>
              <w:top w:val="nil"/>
              <w:left w:val="nil"/>
              <w:bottom w:val="nil"/>
              <w:right w:val="nil"/>
            </w:tcBorders>
            <w:shd w:val="clear" w:color="auto" w:fill="auto"/>
            <w:vAlign w:val="center"/>
            <w:hideMark/>
          </w:tcPr>
          <w:p w14:paraId="52DCD712" w14:textId="77777777" w:rsidR="00FF21C0" w:rsidRPr="00872A66" w:rsidRDefault="00FF21C0" w:rsidP="00FF21C0">
            <w:pPr>
              <w:rPr>
                <w:rFonts w:ascii="Arial" w:hAnsi="Arial" w:cs="Arial"/>
                <w:sz w:val="16"/>
                <w:szCs w:val="16"/>
                <w:lang w:eastAsia="es-AR"/>
              </w:rPr>
            </w:pPr>
          </w:p>
        </w:tc>
        <w:tc>
          <w:tcPr>
            <w:tcW w:w="708" w:type="dxa"/>
            <w:tcBorders>
              <w:top w:val="nil"/>
              <w:left w:val="nil"/>
              <w:bottom w:val="nil"/>
              <w:right w:val="nil"/>
            </w:tcBorders>
            <w:shd w:val="clear" w:color="auto" w:fill="auto"/>
            <w:vAlign w:val="center"/>
            <w:hideMark/>
          </w:tcPr>
          <w:p w14:paraId="7D339FBB" w14:textId="77777777" w:rsidR="00FF21C0" w:rsidRPr="00872A66" w:rsidRDefault="00FF21C0" w:rsidP="00FF21C0">
            <w:pPr>
              <w:jc w:val="center"/>
              <w:rPr>
                <w:rFonts w:ascii="Arial" w:hAnsi="Arial" w:cs="Arial"/>
                <w:sz w:val="16"/>
                <w:szCs w:val="16"/>
                <w:lang w:eastAsia="es-AR"/>
              </w:rPr>
            </w:pPr>
          </w:p>
        </w:tc>
        <w:tc>
          <w:tcPr>
            <w:tcW w:w="1097" w:type="dxa"/>
            <w:tcBorders>
              <w:top w:val="nil"/>
              <w:left w:val="nil"/>
              <w:bottom w:val="nil"/>
              <w:right w:val="nil"/>
            </w:tcBorders>
            <w:shd w:val="clear" w:color="auto" w:fill="auto"/>
            <w:hideMark/>
          </w:tcPr>
          <w:p w14:paraId="4083D31A" w14:textId="77777777" w:rsidR="00FF21C0" w:rsidRPr="00872A66" w:rsidRDefault="00FF21C0" w:rsidP="00FF21C0">
            <w:pPr>
              <w:jc w:val="cente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1C466430"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537E53D0" w14:textId="77777777" w:rsidR="00FF21C0" w:rsidRPr="00872A66" w:rsidRDefault="00FF21C0" w:rsidP="00FF21C0">
            <w:pPr>
              <w:rPr>
                <w:rFonts w:ascii="Arial" w:hAnsi="Arial" w:cs="Arial"/>
                <w:sz w:val="16"/>
                <w:szCs w:val="16"/>
                <w:lang w:eastAsia="es-AR"/>
              </w:rPr>
            </w:pPr>
          </w:p>
        </w:tc>
        <w:tc>
          <w:tcPr>
            <w:tcW w:w="993" w:type="dxa"/>
            <w:tcBorders>
              <w:top w:val="nil"/>
              <w:left w:val="nil"/>
              <w:bottom w:val="nil"/>
              <w:right w:val="nil"/>
            </w:tcBorders>
            <w:shd w:val="clear" w:color="auto" w:fill="auto"/>
            <w:hideMark/>
          </w:tcPr>
          <w:p w14:paraId="41487D59" w14:textId="77777777" w:rsidR="00FF21C0" w:rsidRPr="00872A66" w:rsidRDefault="00FF21C0" w:rsidP="00FF21C0">
            <w:pPr>
              <w:rPr>
                <w:rFonts w:ascii="Arial" w:hAnsi="Arial" w:cs="Arial"/>
                <w:sz w:val="16"/>
                <w:szCs w:val="16"/>
                <w:lang w:eastAsia="es-AR"/>
              </w:rPr>
            </w:pPr>
          </w:p>
        </w:tc>
        <w:tc>
          <w:tcPr>
            <w:tcW w:w="941" w:type="dxa"/>
            <w:tcBorders>
              <w:top w:val="nil"/>
              <w:left w:val="nil"/>
              <w:bottom w:val="nil"/>
              <w:right w:val="nil"/>
            </w:tcBorders>
            <w:shd w:val="clear" w:color="auto" w:fill="auto"/>
            <w:hideMark/>
          </w:tcPr>
          <w:p w14:paraId="14FDA0F7" w14:textId="77777777" w:rsidR="00FF21C0" w:rsidRPr="00872A66" w:rsidRDefault="00FF21C0" w:rsidP="00FF21C0">
            <w:pPr>
              <w:rPr>
                <w:rFonts w:ascii="Arial" w:hAnsi="Arial" w:cs="Arial"/>
                <w:sz w:val="16"/>
                <w:szCs w:val="16"/>
                <w:lang w:eastAsia="es-AR"/>
              </w:rPr>
            </w:pPr>
          </w:p>
        </w:tc>
        <w:tc>
          <w:tcPr>
            <w:tcW w:w="760" w:type="dxa"/>
            <w:tcBorders>
              <w:top w:val="nil"/>
              <w:left w:val="nil"/>
              <w:bottom w:val="nil"/>
              <w:right w:val="nil"/>
            </w:tcBorders>
            <w:shd w:val="clear" w:color="auto" w:fill="auto"/>
            <w:hideMark/>
          </w:tcPr>
          <w:p w14:paraId="6114F134"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7B76510C" w14:textId="77777777" w:rsidR="00FF21C0" w:rsidRPr="00872A66" w:rsidRDefault="00FF21C0" w:rsidP="00FF21C0">
            <w:pPr>
              <w:rPr>
                <w:rFonts w:ascii="Arial" w:hAnsi="Arial" w:cs="Arial"/>
                <w:sz w:val="16"/>
                <w:szCs w:val="16"/>
                <w:lang w:eastAsia="es-AR"/>
              </w:rPr>
            </w:pPr>
          </w:p>
        </w:tc>
        <w:tc>
          <w:tcPr>
            <w:tcW w:w="850" w:type="dxa"/>
            <w:tcBorders>
              <w:top w:val="nil"/>
              <w:left w:val="nil"/>
              <w:bottom w:val="nil"/>
              <w:right w:val="nil"/>
            </w:tcBorders>
            <w:shd w:val="clear" w:color="auto" w:fill="auto"/>
            <w:hideMark/>
          </w:tcPr>
          <w:p w14:paraId="05102E8D" w14:textId="77777777" w:rsidR="00FF21C0" w:rsidRPr="00872A66" w:rsidRDefault="00FF21C0" w:rsidP="00FF21C0">
            <w:pPr>
              <w:rPr>
                <w:rFonts w:ascii="Arial" w:hAnsi="Arial" w:cs="Arial"/>
                <w:sz w:val="16"/>
                <w:szCs w:val="16"/>
                <w:lang w:eastAsia="es-AR"/>
              </w:rPr>
            </w:pPr>
          </w:p>
        </w:tc>
      </w:tr>
      <w:tr w:rsidR="00FF21C0" w:rsidRPr="00872A66" w14:paraId="68826862" w14:textId="77777777" w:rsidTr="006E1AF7">
        <w:trPr>
          <w:trHeight w:val="240"/>
        </w:trPr>
        <w:tc>
          <w:tcPr>
            <w:tcW w:w="1413" w:type="dxa"/>
            <w:tcBorders>
              <w:top w:val="nil"/>
              <w:left w:val="nil"/>
              <w:bottom w:val="nil"/>
              <w:right w:val="nil"/>
            </w:tcBorders>
            <w:shd w:val="clear" w:color="auto" w:fill="auto"/>
            <w:hideMark/>
          </w:tcPr>
          <w:p w14:paraId="3A124102" w14:textId="77777777" w:rsidR="00FF21C0" w:rsidRPr="00872A66" w:rsidRDefault="00FF21C0" w:rsidP="00FF21C0">
            <w:pPr>
              <w:rPr>
                <w:rFonts w:ascii="Arial" w:hAnsi="Arial" w:cs="Arial"/>
                <w:sz w:val="16"/>
                <w:szCs w:val="16"/>
                <w:lang w:eastAsia="es-AR"/>
              </w:rPr>
            </w:pPr>
          </w:p>
        </w:tc>
        <w:tc>
          <w:tcPr>
            <w:tcW w:w="3260" w:type="dxa"/>
            <w:tcBorders>
              <w:top w:val="nil"/>
              <w:left w:val="nil"/>
              <w:bottom w:val="nil"/>
              <w:right w:val="nil"/>
            </w:tcBorders>
            <w:shd w:val="clear" w:color="auto" w:fill="auto"/>
            <w:hideMark/>
          </w:tcPr>
          <w:p w14:paraId="6954CD9B" w14:textId="77777777"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 En el país</w:t>
            </w:r>
          </w:p>
        </w:tc>
        <w:tc>
          <w:tcPr>
            <w:tcW w:w="1030" w:type="dxa"/>
            <w:tcBorders>
              <w:top w:val="nil"/>
              <w:left w:val="nil"/>
              <w:bottom w:val="nil"/>
              <w:right w:val="nil"/>
            </w:tcBorders>
            <w:shd w:val="clear" w:color="auto" w:fill="auto"/>
            <w:hideMark/>
          </w:tcPr>
          <w:p w14:paraId="75609204" w14:textId="77777777" w:rsidR="00FF21C0" w:rsidRPr="00872A66" w:rsidRDefault="00FF21C0" w:rsidP="00FF21C0">
            <w:pPr>
              <w:rPr>
                <w:rFonts w:ascii="Arial" w:hAnsi="Arial" w:cs="Arial"/>
                <w:sz w:val="16"/>
                <w:szCs w:val="16"/>
                <w:lang w:eastAsia="es-AR"/>
              </w:rPr>
            </w:pPr>
          </w:p>
        </w:tc>
        <w:tc>
          <w:tcPr>
            <w:tcW w:w="851" w:type="dxa"/>
            <w:tcBorders>
              <w:top w:val="nil"/>
              <w:left w:val="nil"/>
              <w:bottom w:val="nil"/>
              <w:right w:val="nil"/>
            </w:tcBorders>
            <w:shd w:val="clear" w:color="auto" w:fill="auto"/>
            <w:vAlign w:val="center"/>
            <w:hideMark/>
          </w:tcPr>
          <w:p w14:paraId="14CE9413" w14:textId="77777777" w:rsidR="00FF21C0" w:rsidRPr="00872A66" w:rsidRDefault="00FF21C0" w:rsidP="00FF21C0">
            <w:pPr>
              <w:rPr>
                <w:rFonts w:ascii="Arial" w:hAnsi="Arial" w:cs="Arial"/>
                <w:sz w:val="16"/>
                <w:szCs w:val="16"/>
                <w:lang w:eastAsia="es-AR"/>
              </w:rPr>
            </w:pPr>
          </w:p>
        </w:tc>
        <w:tc>
          <w:tcPr>
            <w:tcW w:w="708" w:type="dxa"/>
            <w:tcBorders>
              <w:top w:val="nil"/>
              <w:left w:val="nil"/>
              <w:bottom w:val="nil"/>
              <w:right w:val="nil"/>
            </w:tcBorders>
            <w:shd w:val="clear" w:color="auto" w:fill="auto"/>
            <w:vAlign w:val="center"/>
            <w:hideMark/>
          </w:tcPr>
          <w:p w14:paraId="541350AD" w14:textId="77777777" w:rsidR="00FF21C0" w:rsidRPr="00872A66" w:rsidRDefault="00FF21C0" w:rsidP="00FF21C0">
            <w:pPr>
              <w:jc w:val="center"/>
              <w:rPr>
                <w:rFonts w:ascii="Arial" w:hAnsi="Arial" w:cs="Arial"/>
                <w:sz w:val="16"/>
                <w:szCs w:val="16"/>
                <w:lang w:eastAsia="es-AR"/>
              </w:rPr>
            </w:pPr>
          </w:p>
        </w:tc>
        <w:tc>
          <w:tcPr>
            <w:tcW w:w="1097" w:type="dxa"/>
            <w:tcBorders>
              <w:top w:val="nil"/>
              <w:left w:val="nil"/>
              <w:bottom w:val="nil"/>
              <w:right w:val="nil"/>
            </w:tcBorders>
            <w:shd w:val="clear" w:color="auto" w:fill="auto"/>
            <w:hideMark/>
          </w:tcPr>
          <w:p w14:paraId="040AEA66" w14:textId="77777777" w:rsidR="00FF21C0" w:rsidRPr="00872A66" w:rsidRDefault="00FF21C0" w:rsidP="00FF21C0">
            <w:pPr>
              <w:jc w:val="cente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31CEED99"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6A7DD64E" w14:textId="77777777" w:rsidR="00FF21C0" w:rsidRPr="00872A66" w:rsidRDefault="00FF21C0" w:rsidP="00FF21C0">
            <w:pPr>
              <w:rPr>
                <w:rFonts w:ascii="Arial" w:hAnsi="Arial" w:cs="Arial"/>
                <w:sz w:val="16"/>
                <w:szCs w:val="16"/>
                <w:lang w:eastAsia="es-AR"/>
              </w:rPr>
            </w:pPr>
          </w:p>
        </w:tc>
        <w:tc>
          <w:tcPr>
            <w:tcW w:w="993" w:type="dxa"/>
            <w:tcBorders>
              <w:top w:val="nil"/>
              <w:left w:val="nil"/>
              <w:bottom w:val="nil"/>
              <w:right w:val="nil"/>
            </w:tcBorders>
            <w:shd w:val="clear" w:color="auto" w:fill="auto"/>
            <w:hideMark/>
          </w:tcPr>
          <w:p w14:paraId="46CBA66E" w14:textId="77777777" w:rsidR="00FF21C0" w:rsidRPr="00872A66" w:rsidRDefault="00FF21C0" w:rsidP="00FF21C0">
            <w:pPr>
              <w:rPr>
                <w:rFonts w:ascii="Arial" w:hAnsi="Arial" w:cs="Arial"/>
                <w:sz w:val="16"/>
                <w:szCs w:val="16"/>
                <w:lang w:eastAsia="es-AR"/>
              </w:rPr>
            </w:pPr>
          </w:p>
        </w:tc>
        <w:tc>
          <w:tcPr>
            <w:tcW w:w="941" w:type="dxa"/>
            <w:tcBorders>
              <w:top w:val="nil"/>
              <w:left w:val="nil"/>
              <w:bottom w:val="nil"/>
              <w:right w:val="nil"/>
            </w:tcBorders>
            <w:shd w:val="clear" w:color="auto" w:fill="auto"/>
            <w:hideMark/>
          </w:tcPr>
          <w:p w14:paraId="0DBCB27D" w14:textId="77777777" w:rsidR="00FF21C0" w:rsidRPr="00872A66" w:rsidRDefault="00FF21C0" w:rsidP="00FF21C0">
            <w:pPr>
              <w:rPr>
                <w:rFonts w:ascii="Arial" w:hAnsi="Arial" w:cs="Arial"/>
                <w:sz w:val="16"/>
                <w:szCs w:val="16"/>
                <w:lang w:eastAsia="es-AR"/>
              </w:rPr>
            </w:pPr>
          </w:p>
        </w:tc>
        <w:tc>
          <w:tcPr>
            <w:tcW w:w="760" w:type="dxa"/>
            <w:tcBorders>
              <w:top w:val="nil"/>
              <w:left w:val="nil"/>
              <w:bottom w:val="nil"/>
              <w:right w:val="nil"/>
            </w:tcBorders>
            <w:shd w:val="clear" w:color="auto" w:fill="auto"/>
            <w:hideMark/>
          </w:tcPr>
          <w:p w14:paraId="1B1827CD"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08BB9468" w14:textId="77777777" w:rsidR="00FF21C0" w:rsidRPr="00872A66" w:rsidRDefault="00FF21C0" w:rsidP="00FF21C0">
            <w:pPr>
              <w:rPr>
                <w:rFonts w:ascii="Arial" w:hAnsi="Arial" w:cs="Arial"/>
                <w:sz w:val="16"/>
                <w:szCs w:val="16"/>
                <w:lang w:eastAsia="es-AR"/>
              </w:rPr>
            </w:pPr>
          </w:p>
        </w:tc>
        <w:tc>
          <w:tcPr>
            <w:tcW w:w="850" w:type="dxa"/>
            <w:tcBorders>
              <w:top w:val="nil"/>
              <w:left w:val="nil"/>
              <w:bottom w:val="nil"/>
              <w:right w:val="nil"/>
            </w:tcBorders>
            <w:shd w:val="clear" w:color="auto" w:fill="auto"/>
            <w:hideMark/>
          </w:tcPr>
          <w:p w14:paraId="1F38FE59" w14:textId="77777777" w:rsidR="00FF21C0" w:rsidRPr="00872A66" w:rsidRDefault="00FF21C0" w:rsidP="00FF21C0">
            <w:pPr>
              <w:rPr>
                <w:rFonts w:ascii="Arial" w:hAnsi="Arial" w:cs="Arial"/>
                <w:sz w:val="16"/>
                <w:szCs w:val="16"/>
                <w:lang w:eastAsia="es-AR"/>
              </w:rPr>
            </w:pPr>
          </w:p>
        </w:tc>
      </w:tr>
      <w:tr w:rsidR="00FF21C0" w:rsidRPr="00872A66" w14:paraId="748C5B53" w14:textId="77777777" w:rsidTr="006E1AF7">
        <w:trPr>
          <w:trHeight w:val="510"/>
        </w:trPr>
        <w:tc>
          <w:tcPr>
            <w:tcW w:w="1413" w:type="dxa"/>
            <w:tcBorders>
              <w:top w:val="nil"/>
              <w:left w:val="nil"/>
              <w:bottom w:val="nil"/>
              <w:right w:val="nil"/>
            </w:tcBorders>
            <w:shd w:val="clear" w:color="auto" w:fill="auto"/>
            <w:hideMark/>
          </w:tcPr>
          <w:p w14:paraId="6DEB5F73" w14:textId="77777777"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11-30701810852</w:t>
            </w:r>
          </w:p>
        </w:tc>
        <w:tc>
          <w:tcPr>
            <w:tcW w:w="3260" w:type="dxa"/>
            <w:tcBorders>
              <w:top w:val="nil"/>
              <w:left w:val="nil"/>
              <w:bottom w:val="nil"/>
              <w:right w:val="nil"/>
            </w:tcBorders>
            <w:shd w:val="clear" w:color="auto" w:fill="auto"/>
            <w:hideMark/>
          </w:tcPr>
          <w:p w14:paraId="79B9B589" w14:textId="77777777"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Cordial Compañía Financiera S.A.</w:t>
            </w:r>
          </w:p>
        </w:tc>
        <w:tc>
          <w:tcPr>
            <w:tcW w:w="1030" w:type="dxa"/>
            <w:tcBorders>
              <w:top w:val="nil"/>
              <w:left w:val="nil"/>
              <w:bottom w:val="nil"/>
              <w:right w:val="nil"/>
            </w:tcBorders>
            <w:shd w:val="clear" w:color="auto" w:fill="auto"/>
            <w:hideMark/>
          </w:tcPr>
          <w:p w14:paraId="64764539" w14:textId="77777777"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Ordinarias</w:t>
            </w:r>
          </w:p>
        </w:tc>
        <w:tc>
          <w:tcPr>
            <w:tcW w:w="851" w:type="dxa"/>
            <w:tcBorders>
              <w:top w:val="nil"/>
              <w:left w:val="nil"/>
              <w:bottom w:val="nil"/>
              <w:right w:val="nil"/>
            </w:tcBorders>
            <w:shd w:val="clear" w:color="auto" w:fill="auto"/>
            <w:hideMark/>
          </w:tcPr>
          <w:p w14:paraId="284A90AC" w14:textId="77777777" w:rsidR="00FF21C0" w:rsidRPr="00872A66" w:rsidRDefault="00FF21C0" w:rsidP="00FF21C0">
            <w:pPr>
              <w:jc w:val="center"/>
              <w:rPr>
                <w:rFonts w:ascii="Arial" w:hAnsi="Arial" w:cs="Arial"/>
                <w:sz w:val="16"/>
                <w:szCs w:val="16"/>
                <w:lang w:eastAsia="es-AR"/>
              </w:rPr>
            </w:pPr>
            <w:r w:rsidRPr="00872A66">
              <w:rPr>
                <w:rFonts w:ascii="Arial" w:hAnsi="Arial" w:cs="Arial"/>
                <w:sz w:val="16"/>
                <w:szCs w:val="16"/>
                <w:lang w:eastAsia="es-AR"/>
              </w:rPr>
              <w:t xml:space="preserve">            1 </w:t>
            </w:r>
          </w:p>
        </w:tc>
        <w:tc>
          <w:tcPr>
            <w:tcW w:w="708" w:type="dxa"/>
            <w:tcBorders>
              <w:top w:val="nil"/>
              <w:left w:val="nil"/>
              <w:bottom w:val="nil"/>
              <w:right w:val="nil"/>
            </w:tcBorders>
            <w:shd w:val="clear" w:color="auto" w:fill="auto"/>
            <w:hideMark/>
          </w:tcPr>
          <w:p w14:paraId="4F9CDEB7" w14:textId="77777777" w:rsidR="00FF21C0" w:rsidRPr="00872A66" w:rsidRDefault="00FF21C0" w:rsidP="00FF21C0">
            <w:pPr>
              <w:jc w:val="center"/>
              <w:rPr>
                <w:rFonts w:ascii="Arial" w:hAnsi="Arial" w:cs="Arial"/>
                <w:sz w:val="16"/>
                <w:szCs w:val="16"/>
                <w:lang w:eastAsia="es-AR"/>
              </w:rPr>
            </w:pPr>
            <w:r w:rsidRPr="00872A66">
              <w:rPr>
                <w:rFonts w:ascii="Arial" w:hAnsi="Arial" w:cs="Arial"/>
                <w:sz w:val="16"/>
                <w:szCs w:val="16"/>
                <w:lang w:eastAsia="es-AR"/>
              </w:rPr>
              <w:t xml:space="preserve">         1 </w:t>
            </w:r>
          </w:p>
        </w:tc>
        <w:tc>
          <w:tcPr>
            <w:tcW w:w="1097" w:type="dxa"/>
            <w:tcBorders>
              <w:top w:val="nil"/>
              <w:left w:val="nil"/>
              <w:bottom w:val="nil"/>
              <w:right w:val="nil"/>
            </w:tcBorders>
            <w:shd w:val="clear" w:color="auto" w:fill="auto"/>
            <w:hideMark/>
          </w:tcPr>
          <w:p w14:paraId="5018F037" w14:textId="5A5A1EF5"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 xml:space="preserve"> </w:t>
            </w:r>
            <w:r w:rsidR="009F2187">
              <w:rPr>
                <w:rFonts w:ascii="Arial" w:hAnsi="Arial" w:cs="Arial"/>
                <w:sz w:val="16"/>
                <w:szCs w:val="16"/>
                <w:lang w:eastAsia="es-AR"/>
              </w:rPr>
              <w:t>244</w:t>
            </w:r>
            <w:r w:rsidRPr="00872A66">
              <w:rPr>
                <w:rFonts w:ascii="Arial" w:hAnsi="Arial" w:cs="Arial"/>
                <w:sz w:val="16"/>
                <w:szCs w:val="16"/>
                <w:lang w:eastAsia="es-AR"/>
              </w:rPr>
              <w:t>.</w:t>
            </w:r>
            <w:r w:rsidR="009F2187">
              <w:rPr>
                <w:rFonts w:ascii="Arial" w:hAnsi="Arial" w:cs="Arial"/>
                <w:sz w:val="16"/>
                <w:szCs w:val="16"/>
                <w:lang w:eastAsia="es-AR"/>
              </w:rPr>
              <w:t>109</w:t>
            </w:r>
            <w:r w:rsidRPr="00872A66">
              <w:rPr>
                <w:rFonts w:ascii="Arial" w:hAnsi="Arial" w:cs="Arial"/>
                <w:sz w:val="16"/>
                <w:szCs w:val="16"/>
                <w:lang w:eastAsia="es-AR"/>
              </w:rPr>
              <w:t>.</w:t>
            </w:r>
            <w:r w:rsidR="009F2187">
              <w:rPr>
                <w:rFonts w:ascii="Arial" w:hAnsi="Arial" w:cs="Arial"/>
                <w:sz w:val="16"/>
                <w:szCs w:val="16"/>
                <w:lang w:eastAsia="es-AR"/>
              </w:rPr>
              <w:t>6</w:t>
            </w:r>
            <w:r w:rsidRPr="00872A66">
              <w:rPr>
                <w:rFonts w:ascii="Arial" w:hAnsi="Arial" w:cs="Arial"/>
                <w:sz w:val="16"/>
                <w:szCs w:val="16"/>
                <w:lang w:eastAsia="es-AR"/>
              </w:rPr>
              <w:t>7</w:t>
            </w:r>
            <w:r w:rsidR="009F2187">
              <w:rPr>
                <w:rFonts w:ascii="Arial" w:hAnsi="Arial" w:cs="Arial"/>
                <w:sz w:val="16"/>
                <w:szCs w:val="16"/>
                <w:lang w:eastAsia="es-AR"/>
              </w:rPr>
              <w:t>5</w:t>
            </w:r>
            <w:r w:rsidRPr="00872A66">
              <w:rPr>
                <w:rFonts w:ascii="Arial" w:hAnsi="Arial" w:cs="Arial"/>
                <w:sz w:val="16"/>
                <w:szCs w:val="16"/>
                <w:lang w:eastAsia="es-AR"/>
              </w:rPr>
              <w:t xml:space="preserve"> </w:t>
            </w:r>
          </w:p>
        </w:tc>
        <w:tc>
          <w:tcPr>
            <w:tcW w:w="992" w:type="dxa"/>
            <w:tcBorders>
              <w:top w:val="nil"/>
              <w:left w:val="nil"/>
              <w:bottom w:val="nil"/>
              <w:right w:val="nil"/>
            </w:tcBorders>
            <w:shd w:val="clear" w:color="auto" w:fill="auto"/>
          </w:tcPr>
          <w:p w14:paraId="67C450BC" w14:textId="217663B7" w:rsidR="00FF21C0" w:rsidRPr="00872A66" w:rsidRDefault="009F2187" w:rsidP="002122B7">
            <w:pPr>
              <w:jc w:val="right"/>
              <w:rPr>
                <w:rFonts w:ascii="Arial" w:hAnsi="Arial" w:cs="Arial"/>
                <w:sz w:val="16"/>
                <w:szCs w:val="16"/>
                <w:lang w:eastAsia="es-AR"/>
              </w:rPr>
            </w:pPr>
            <w:r>
              <w:rPr>
                <w:rFonts w:ascii="Arial" w:hAnsi="Arial" w:cs="Arial"/>
                <w:sz w:val="16"/>
                <w:szCs w:val="16"/>
                <w:lang w:eastAsia="es-AR"/>
              </w:rPr>
              <w:t>2.393.978</w:t>
            </w:r>
          </w:p>
        </w:tc>
        <w:tc>
          <w:tcPr>
            <w:tcW w:w="992" w:type="dxa"/>
            <w:tcBorders>
              <w:top w:val="nil"/>
              <w:left w:val="nil"/>
              <w:bottom w:val="nil"/>
              <w:right w:val="nil"/>
            </w:tcBorders>
            <w:shd w:val="clear" w:color="auto" w:fill="auto"/>
          </w:tcPr>
          <w:p w14:paraId="715A2592" w14:textId="32EDCA7E" w:rsidR="00FF21C0" w:rsidRPr="00872A66" w:rsidRDefault="009F2187" w:rsidP="002122B7">
            <w:pPr>
              <w:jc w:val="right"/>
              <w:rPr>
                <w:rFonts w:ascii="Arial" w:hAnsi="Arial" w:cs="Arial"/>
                <w:sz w:val="16"/>
                <w:szCs w:val="16"/>
                <w:lang w:eastAsia="es-AR"/>
              </w:rPr>
            </w:pPr>
            <w:r>
              <w:rPr>
                <w:rFonts w:ascii="Arial" w:hAnsi="Arial" w:cs="Arial"/>
                <w:sz w:val="16"/>
                <w:szCs w:val="16"/>
                <w:lang w:eastAsia="es-AR"/>
              </w:rPr>
              <w:t>1.197.833</w:t>
            </w:r>
          </w:p>
        </w:tc>
        <w:tc>
          <w:tcPr>
            <w:tcW w:w="993" w:type="dxa"/>
            <w:tcBorders>
              <w:top w:val="nil"/>
              <w:left w:val="nil"/>
              <w:bottom w:val="nil"/>
              <w:right w:val="nil"/>
            </w:tcBorders>
            <w:shd w:val="clear" w:color="auto" w:fill="auto"/>
            <w:hideMark/>
          </w:tcPr>
          <w:p w14:paraId="47ADFAD5" w14:textId="77777777"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Intermed. Financiera</w:t>
            </w:r>
          </w:p>
        </w:tc>
        <w:tc>
          <w:tcPr>
            <w:tcW w:w="941" w:type="dxa"/>
            <w:tcBorders>
              <w:top w:val="nil"/>
              <w:left w:val="nil"/>
              <w:bottom w:val="nil"/>
              <w:right w:val="nil"/>
            </w:tcBorders>
            <w:shd w:val="clear" w:color="auto" w:fill="auto"/>
            <w:vAlign w:val="center"/>
            <w:hideMark/>
          </w:tcPr>
          <w:p w14:paraId="787C8C0D" w14:textId="43C88581" w:rsidR="00FF21C0" w:rsidRPr="009F2187" w:rsidRDefault="009F2187" w:rsidP="00872A66">
            <w:pPr>
              <w:jc w:val="center"/>
              <w:rPr>
                <w:rFonts w:ascii="Arial" w:hAnsi="Arial" w:cs="Arial"/>
                <w:sz w:val="16"/>
                <w:szCs w:val="16"/>
                <w:lang w:eastAsia="es-AR"/>
              </w:rPr>
            </w:pPr>
            <w:r w:rsidRPr="009F2187">
              <w:rPr>
                <w:rFonts w:ascii="Arial" w:hAnsi="Arial" w:cs="Arial"/>
                <w:sz w:val="16"/>
                <w:szCs w:val="16"/>
                <w:lang w:eastAsia="es-AR"/>
              </w:rPr>
              <w:t>31/12/2019</w:t>
            </w:r>
          </w:p>
        </w:tc>
        <w:tc>
          <w:tcPr>
            <w:tcW w:w="760" w:type="dxa"/>
            <w:tcBorders>
              <w:top w:val="nil"/>
              <w:left w:val="nil"/>
              <w:bottom w:val="nil"/>
              <w:right w:val="nil"/>
            </w:tcBorders>
            <w:shd w:val="clear" w:color="auto" w:fill="auto"/>
            <w:vAlign w:val="center"/>
            <w:hideMark/>
          </w:tcPr>
          <w:p w14:paraId="5D15C449" w14:textId="5F9C0C01" w:rsidR="00FF21C0" w:rsidRPr="009F2187" w:rsidRDefault="009F2187" w:rsidP="00872A66">
            <w:pPr>
              <w:jc w:val="center"/>
              <w:rPr>
                <w:rFonts w:ascii="Arial" w:hAnsi="Arial" w:cs="Arial"/>
                <w:sz w:val="16"/>
                <w:szCs w:val="16"/>
                <w:lang w:eastAsia="es-AR"/>
              </w:rPr>
            </w:pPr>
            <w:r w:rsidRPr="009F2187">
              <w:rPr>
                <w:rFonts w:ascii="Arial" w:hAnsi="Arial" w:cs="Arial"/>
                <w:sz w:val="16"/>
                <w:szCs w:val="16"/>
                <w:lang w:eastAsia="es-AR"/>
              </w:rPr>
              <w:t>256</w:t>
            </w:r>
            <w:r w:rsidR="00FF21C0" w:rsidRPr="009F2187">
              <w:rPr>
                <w:rFonts w:ascii="Arial" w:hAnsi="Arial" w:cs="Arial"/>
                <w:sz w:val="16"/>
                <w:szCs w:val="16"/>
                <w:lang w:eastAsia="es-AR"/>
              </w:rPr>
              <w:t>.</w:t>
            </w:r>
            <w:r w:rsidRPr="009F2187">
              <w:rPr>
                <w:rFonts w:ascii="Arial" w:hAnsi="Arial" w:cs="Arial"/>
                <w:sz w:val="16"/>
                <w:szCs w:val="16"/>
                <w:lang w:eastAsia="es-AR"/>
              </w:rPr>
              <w:t>958</w:t>
            </w:r>
          </w:p>
        </w:tc>
        <w:tc>
          <w:tcPr>
            <w:tcW w:w="992" w:type="dxa"/>
            <w:tcBorders>
              <w:top w:val="nil"/>
              <w:left w:val="nil"/>
              <w:bottom w:val="nil"/>
              <w:right w:val="nil"/>
            </w:tcBorders>
            <w:shd w:val="clear" w:color="auto" w:fill="auto"/>
            <w:vAlign w:val="center"/>
            <w:hideMark/>
          </w:tcPr>
          <w:p w14:paraId="2717FE36" w14:textId="619EA90C" w:rsidR="00FF21C0" w:rsidRPr="009F2187" w:rsidRDefault="009F2187" w:rsidP="00872A66">
            <w:pPr>
              <w:jc w:val="center"/>
              <w:rPr>
                <w:rFonts w:ascii="Arial" w:hAnsi="Arial" w:cs="Arial"/>
                <w:sz w:val="16"/>
                <w:szCs w:val="16"/>
                <w:lang w:eastAsia="es-AR"/>
              </w:rPr>
            </w:pPr>
            <w:r w:rsidRPr="009F2187">
              <w:rPr>
                <w:rFonts w:ascii="Arial" w:hAnsi="Arial" w:cs="Arial"/>
                <w:sz w:val="16"/>
                <w:szCs w:val="16"/>
                <w:lang w:eastAsia="es-AR"/>
              </w:rPr>
              <w:t>2</w:t>
            </w:r>
            <w:r w:rsidR="00FF21C0" w:rsidRPr="009F2187">
              <w:rPr>
                <w:rFonts w:ascii="Arial" w:hAnsi="Arial" w:cs="Arial"/>
                <w:sz w:val="16"/>
                <w:szCs w:val="16"/>
                <w:lang w:eastAsia="es-AR"/>
              </w:rPr>
              <w:t>.</w:t>
            </w:r>
            <w:r w:rsidRPr="009F2187">
              <w:rPr>
                <w:rFonts w:ascii="Arial" w:hAnsi="Arial" w:cs="Arial"/>
                <w:sz w:val="16"/>
                <w:szCs w:val="16"/>
                <w:lang w:eastAsia="es-AR"/>
              </w:rPr>
              <w:t>519</w:t>
            </w:r>
            <w:r w:rsidR="00FF21C0" w:rsidRPr="009F2187">
              <w:rPr>
                <w:rFonts w:ascii="Arial" w:hAnsi="Arial" w:cs="Arial"/>
                <w:sz w:val="16"/>
                <w:szCs w:val="16"/>
                <w:lang w:eastAsia="es-AR"/>
              </w:rPr>
              <w:t>.</w:t>
            </w:r>
            <w:r w:rsidRPr="009F2187">
              <w:rPr>
                <w:rFonts w:ascii="Arial" w:hAnsi="Arial" w:cs="Arial"/>
                <w:sz w:val="16"/>
                <w:szCs w:val="16"/>
                <w:lang w:eastAsia="es-AR"/>
              </w:rPr>
              <w:t>094</w:t>
            </w:r>
          </w:p>
        </w:tc>
        <w:tc>
          <w:tcPr>
            <w:tcW w:w="850" w:type="dxa"/>
            <w:tcBorders>
              <w:top w:val="nil"/>
              <w:left w:val="nil"/>
              <w:bottom w:val="nil"/>
              <w:right w:val="nil"/>
            </w:tcBorders>
            <w:shd w:val="clear" w:color="auto" w:fill="auto"/>
            <w:vAlign w:val="center"/>
            <w:hideMark/>
          </w:tcPr>
          <w:p w14:paraId="5E80215A" w14:textId="66887525" w:rsidR="00FF21C0" w:rsidRPr="009F2187" w:rsidRDefault="00FF21C0" w:rsidP="00872A66">
            <w:pPr>
              <w:jc w:val="center"/>
              <w:rPr>
                <w:rFonts w:ascii="Arial" w:hAnsi="Arial" w:cs="Arial"/>
                <w:sz w:val="16"/>
                <w:szCs w:val="16"/>
                <w:lang w:eastAsia="es-AR"/>
              </w:rPr>
            </w:pPr>
            <w:r w:rsidRPr="009F2187">
              <w:rPr>
                <w:rFonts w:ascii="Arial" w:hAnsi="Arial" w:cs="Arial"/>
                <w:sz w:val="16"/>
                <w:szCs w:val="16"/>
                <w:lang w:eastAsia="es-AR"/>
              </w:rPr>
              <w:t>-</w:t>
            </w:r>
            <w:r w:rsidR="009F2187" w:rsidRPr="009F2187">
              <w:rPr>
                <w:rFonts w:ascii="Arial" w:hAnsi="Arial" w:cs="Arial"/>
                <w:sz w:val="16"/>
                <w:szCs w:val="16"/>
                <w:lang w:eastAsia="es-AR"/>
              </w:rPr>
              <w:t>2</w:t>
            </w:r>
            <w:r w:rsidRPr="009F2187">
              <w:rPr>
                <w:rFonts w:ascii="Arial" w:hAnsi="Arial" w:cs="Arial"/>
                <w:sz w:val="16"/>
                <w:szCs w:val="16"/>
                <w:lang w:eastAsia="es-AR"/>
              </w:rPr>
              <w:t>4</w:t>
            </w:r>
            <w:r w:rsidR="009F2187" w:rsidRPr="009F2187">
              <w:rPr>
                <w:rFonts w:ascii="Arial" w:hAnsi="Arial" w:cs="Arial"/>
                <w:sz w:val="16"/>
                <w:szCs w:val="16"/>
                <w:lang w:eastAsia="es-AR"/>
              </w:rPr>
              <w:t>1</w:t>
            </w:r>
            <w:r w:rsidRPr="009F2187">
              <w:rPr>
                <w:rFonts w:ascii="Arial" w:hAnsi="Arial" w:cs="Arial"/>
                <w:sz w:val="16"/>
                <w:szCs w:val="16"/>
                <w:lang w:eastAsia="es-AR"/>
              </w:rPr>
              <w:t>.7</w:t>
            </w:r>
            <w:r w:rsidR="009F2187" w:rsidRPr="009F2187">
              <w:rPr>
                <w:rFonts w:ascii="Arial" w:hAnsi="Arial" w:cs="Arial"/>
                <w:sz w:val="16"/>
                <w:szCs w:val="16"/>
                <w:lang w:eastAsia="es-AR"/>
              </w:rPr>
              <w:t>83</w:t>
            </w:r>
          </w:p>
        </w:tc>
      </w:tr>
      <w:tr w:rsidR="00FF21C0" w:rsidRPr="00872A66" w14:paraId="56577943" w14:textId="77777777" w:rsidTr="006E1AF7">
        <w:trPr>
          <w:trHeight w:val="240"/>
        </w:trPr>
        <w:tc>
          <w:tcPr>
            <w:tcW w:w="1413" w:type="dxa"/>
            <w:tcBorders>
              <w:top w:val="nil"/>
              <w:left w:val="nil"/>
              <w:bottom w:val="nil"/>
              <w:right w:val="nil"/>
            </w:tcBorders>
            <w:shd w:val="clear" w:color="auto" w:fill="auto"/>
            <w:hideMark/>
          </w:tcPr>
          <w:p w14:paraId="51F9131F" w14:textId="77777777" w:rsidR="00FF21C0" w:rsidRPr="00872A66" w:rsidRDefault="00FF21C0" w:rsidP="00FF21C0">
            <w:pPr>
              <w:rPr>
                <w:rFonts w:ascii="Arial" w:hAnsi="Arial" w:cs="Arial"/>
                <w:sz w:val="16"/>
                <w:szCs w:val="16"/>
                <w:lang w:eastAsia="es-AR"/>
              </w:rPr>
            </w:pPr>
          </w:p>
        </w:tc>
        <w:tc>
          <w:tcPr>
            <w:tcW w:w="4293" w:type="dxa"/>
            <w:gridSpan w:val="2"/>
            <w:tcBorders>
              <w:top w:val="nil"/>
              <w:left w:val="nil"/>
              <w:bottom w:val="nil"/>
              <w:right w:val="nil"/>
            </w:tcBorders>
            <w:shd w:val="clear" w:color="auto" w:fill="auto"/>
            <w:noWrap/>
            <w:hideMark/>
          </w:tcPr>
          <w:p w14:paraId="5B5F73BD" w14:textId="77777777" w:rsidR="00FF21C0" w:rsidRPr="00872A66" w:rsidRDefault="00FF21C0" w:rsidP="00FF21C0">
            <w:pPr>
              <w:rPr>
                <w:rFonts w:ascii="Arial" w:hAnsi="Arial" w:cs="Arial"/>
                <w:b/>
                <w:bCs/>
                <w:sz w:val="16"/>
                <w:szCs w:val="16"/>
                <w:lang w:eastAsia="es-AR"/>
              </w:rPr>
            </w:pPr>
            <w:r w:rsidRPr="00872A66">
              <w:rPr>
                <w:rFonts w:ascii="Arial" w:hAnsi="Arial" w:cs="Arial"/>
                <w:b/>
                <w:bCs/>
                <w:sz w:val="16"/>
                <w:szCs w:val="16"/>
                <w:lang w:eastAsia="es-AR"/>
              </w:rPr>
              <w:t>TOTAL PARTICIPACIONES EN ENTIDADES FIANCIERAS</w:t>
            </w:r>
          </w:p>
        </w:tc>
        <w:tc>
          <w:tcPr>
            <w:tcW w:w="851" w:type="dxa"/>
            <w:tcBorders>
              <w:top w:val="nil"/>
              <w:left w:val="nil"/>
              <w:bottom w:val="nil"/>
              <w:right w:val="nil"/>
            </w:tcBorders>
            <w:shd w:val="clear" w:color="auto" w:fill="auto"/>
            <w:vAlign w:val="center"/>
            <w:hideMark/>
          </w:tcPr>
          <w:p w14:paraId="77E7ED94" w14:textId="77777777" w:rsidR="00FF21C0" w:rsidRPr="00872A66" w:rsidRDefault="00FF21C0" w:rsidP="00FF21C0">
            <w:pPr>
              <w:rPr>
                <w:rFonts w:ascii="Arial" w:hAnsi="Arial" w:cs="Arial"/>
                <w:b/>
                <w:bCs/>
                <w:sz w:val="16"/>
                <w:szCs w:val="16"/>
                <w:lang w:eastAsia="es-AR"/>
              </w:rPr>
            </w:pPr>
          </w:p>
        </w:tc>
        <w:tc>
          <w:tcPr>
            <w:tcW w:w="708" w:type="dxa"/>
            <w:tcBorders>
              <w:top w:val="nil"/>
              <w:left w:val="nil"/>
              <w:bottom w:val="nil"/>
              <w:right w:val="nil"/>
            </w:tcBorders>
            <w:shd w:val="clear" w:color="auto" w:fill="auto"/>
            <w:vAlign w:val="center"/>
            <w:hideMark/>
          </w:tcPr>
          <w:p w14:paraId="17923164" w14:textId="77777777" w:rsidR="00FF21C0" w:rsidRPr="00872A66" w:rsidRDefault="00FF21C0" w:rsidP="00FF21C0">
            <w:pPr>
              <w:jc w:val="center"/>
              <w:rPr>
                <w:rFonts w:ascii="Arial" w:hAnsi="Arial" w:cs="Arial"/>
                <w:sz w:val="16"/>
                <w:szCs w:val="16"/>
                <w:lang w:eastAsia="es-AR"/>
              </w:rPr>
            </w:pPr>
          </w:p>
        </w:tc>
        <w:tc>
          <w:tcPr>
            <w:tcW w:w="1097" w:type="dxa"/>
            <w:tcBorders>
              <w:top w:val="nil"/>
              <w:left w:val="nil"/>
              <w:bottom w:val="nil"/>
              <w:right w:val="nil"/>
            </w:tcBorders>
            <w:shd w:val="clear" w:color="auto" w:fill="auto"/>
            <w:hideMark/>
          </w:tcPr>
          <w:p w14:paraId="5E7D8F16" w14:textId="77777777" w:rsidR="00FF21C0" w:rsidRPr="00872A66" w:rsidRDefault="00FF21C0" w:rsidP="00FF21C0">
            <w:pPr>
              <w:jc w:val="center"/>
              <w:rPr>
                <w:rFonts w:ascii="Arial" w:hAnsi="Arial" w:cs="Arial"/>
                <w:sz w:val="16"/>
                <w:szCs w:val="16"/>
                <w:lang w:eastAsia="es-AR"/>
              </w:rPr>
            </w:pPr>
          </w:p>
        </w:tc>
        <w:tc>
          <w:tcPr>
            <w:tcW w:w="992" w:type="dxa"/>
            <w:tcBorders>
              <w:top w:val="single" w:sz="4" w:space="0" w:color="auto"/>
              <w:left w:val="nil"/>
              <w:bottom w:val="single" w:sz="4" w:space="0" w:color="auto"/>
              <w:right w:val="nil"/>
            </w:tcBorders>
            <w:shd w:val="clear" w:color="auto" w:fill="auto"/>
          </w:tcPr>
          <w:p w14:paraId="11E71CF5" w14:textId="068AAFEC" w:rsidR="00FF21C0" w:rsidRPr="00872A66" w:rsidRDefault="009F2187" w:rsidP="002122B7">
            <w:pPr>
              <w:jc w:val="right"/>
              <w:rPr>
                <w:rFonts w:ascii="Arial" w:hAnsi="Arial" w:cs="Arial"/>
                <w:b/>
                <w:bCs/>
                <w:sz w:val="16"/>
                <w:szCs w:val="16"/>
                <w:lang w:eastAsia="es-AR"/>
              </w:rPr>
            </w:pPr>
            <w:r>
              <w:rPr>
                <w:rFonts w:ascii="Arial" w:hAnsi="Arial" w:cs="Arial"/>
                <w:b/>
                <w:bCs/>
                <w:sz w:val="16"/>
                <w:szCs w:val="16"/>
                <w:lang w:eastAsia="es-AR"/>
              </w:rPr>
              <w:t>2.393.978</w:t>
            </w:r>
          </w:p>
        </w:tc>
        <w:tc>
          <w:tcPr>
            <w:tcW w:w="992" w:type="dxa"/>
            <w:tcBorders>
              <w:top w:val="single" w:sz="4" w:space="0" w:color="auto"/>
              <w:left w:val="nil"/>
              <w:bottom w:val="single" w:sz="4" w:space="0" w:color="auto"/>
              <w:right w:val="nil"/>
            </w:tcBorders>
            <w:shd w:val="clear" w:color="auto" w:fill="auto"/>
          </w:tcPr>
          <w:p w14:paraId="6A4E8DF0" w14:textId="4E083622" w:rsidR="00FF21C0" w:rsidRPr="00872A66" w:rsidRDefault="009F2187" w:rsidP="002122B7">
            <w:pPr>
              <w:jc w:val="right"/>
              <w:rPr>
                <w:rFonts w:ascii="Arial" w:hAnsi="Arial" w:cs="Arial"/>
                <w:b/>
                <w:bCs/>
                <w:sz w:val="16"/>
                <w:szCs w:val="16"/>
                <w:lang w:eastAsia="es-AR"/>
              </w:rPr>
            </w:pPr>
            <w:r>
              <w:rPr>
                <w:rFonts w:ascii="Arial" w:hAnsi="Arial" w:cs="Arial"/>
                <w:b/>
                <w:bCs/>
                <w:sz w:val="16"/>
                <w:szCs w:val="16"/>
                <w:lang w:eastAsia="es-AR"/>
              </w:rPr>
              <w:t>1.197.833</w:t>
            </w:r>
          </w:p>
        </w:tc>
        <w:tc>
          <w:tcPr>
            <w:tcW w:w="993" w:type="dxa"/>
            <w:tcBorders>
              <w:top w:val="nil"/>
              <w:left w:val="nil"/>
              <w:bottom w:val="nil"/>
              <w:right w:val="nil"/>
            </w:tcBorders>
            <w:shd w:val="clear" w:color="auto" w:fill="auto"/>
            <w:hideMark/>
          </w:tcPr>
          <w:p w14:paraId="640B5AE9" w14:textId="77777777" w:rsidR="00FF21C0" w:rsidRPr="00872A66" w:rsidRDefault="00FF21C0" w:rsidP="00FF21C0">
            <w:pPr>
              <w:rPr>
                <w:rFonts w:ascii="Arial" w:hAnsi="Arial" w:cs="Arial"/>
                <w:b/>
                <w:bCs/>
                <w:sz w:val="16"/>
                <w:szCs w:val="16"/>
                <w:lang w:eastAsia="es-AR"/>
              </w:rPr>
            </w:pPr>
          </w:p>
        </w:tc>
        <w:tc>
          <w:tcPr>
            <w:tcW w:w="941" w:type="dxa"/>
            <w:tcBorders>
              <w:top w:val="nil"/>
              <w:left w:val="nil"/>
              <w:bottom w:val="nil"/>
              <w:right w:val="nil"/>
            </w:tcBorders>
            <w:shd w:val="clear" w:color="auto" w:fill="auto"/>
            <w:vAlign w:val="center"/>
            <w:hideMark/>
          </w:tcPr>
          <w:p w14:paraId="22AB8CE4" w14:textId="77777777" w:rsidR="00FF21C0" w:rsidRPr="00872A66" w:rsidRDefault="00FF21C0" w:rsidP="00872A66">
            <w:pPr>
              <w:jc w:val="center"/>
              <w:rPr>
                <w:rFonts w:ascii="Arial" w:hAnsi="Arial" w:cs="Arial"/>
                <w:sz w:val="16"/>
                <w:szCs w:val="16"/>
                <w:highlight w:val="yellow"/>
                <w:lang w:eastAsia="es-AR"/>
              </w:rPr>
            </w:pPr>
          </w:p>
        </w:tc>
        <w:tc>
          <w:tcPr>
            <w:tcW w:w="760" w:type="dxa"/>
            <w:tcBorders>
              <w:top w:val="nil"/>
              <w:left w:val="nil"/>
              <w:bottom w:val="nil"/>
              <w:right w:val="nil"/>
            </w:tcBorders>
            <w:shd w:val="clear" w:color="auto" w:fill="auto"/>
            <w:vAlign w:val="center"/>
            <w:hideMark/>
          </w:tcPr>
          <w:p w14:paraId="2A48BE0D" w14:textId="77777777" w:rsidR="00FF21C0" w:rsidRPr="00872A66" w:rsidRDefault="00FF21C0" w:rsidP="00872A66">
            <w:pPr>
              <w:jc w:val="center"/>
              <w:rPr>
                <w:rFonts w:ascii="Arial" w:hAnsi="Arial" w:cs="Arial"/>
                <w:sz w:val="16"/>
                <w:szCs w:val="16"/>
                <w:highlight w:val="yellow"/>
                <w:lang w:eastAsia="es-AR"/>
              </w:rPr>
            </w:pPr>
          </w:p>
        </w:tc>
        <w:tc>
          <w:tcPr>
            <w:tcW w:w="992" w:type="dxa"/>
            <w:tcBorders>
              <w:top w:val="nil"/>
              <w:left w:val="nil"/>
              <w:bottom w:val="nil"/>
              <w:right w:val="nil"/>
            </w:tcBorders>
            <w:shd w:val="clear" w:color="auto" w:fill="auto"/>
            <w:vAlign w:val="center"/>
            <w:hideMark/>
          </w:tcPr>
          <w:p w14:paraId="43AFCD8B" w14:textId="77777777" w:rsidR="00FF21C0" w:rsidRPr="00872A66" w:rsidRDefault="00FF21C0" w:rsidP="00872A66">
            <w:pPr>
              <w:jc w:val="center"/>
              <w:rPr>
                <w:rFonts w:ascii="Arial" w:hAnsi="Arial" w:cs="Arial"/>
                <w:sz w:val="16"/>
                <w:szCs w:val="16"/>
                <w:highlight w:val="yellow"/>
                <w:lang w:eastAsia="es-AR"/>
              </w:rPr>
            </w:pPr>
          </w:p>
        </w:tc>
        <w:tc>
          <w:tcPr>
            <w:tcW w:w="850" w:type="dxa"/>
            <w:tcBorders>
              <w:top w:val="nil"/>
              <w:left w:val="nil"/>
              <w:bottom w:val="nil"/>
              <w:right w:val="nil"/>
            </w:tcBorders>
            <w:shd w:val="clear" w:color="auto" w:fill="auto"/>
            <w:vAlign w:val="center"/>
            <w:hideMark/>
          </w:tcPr>
          <w:p w14:paraId="4A6D18A6" w14:textId="77777777" w:rsidR="00FF21C0" w:rsidRPr="00872A66" w:rsidRDefault="00FF21C0" w:rsidP="00872A66">
            <w:pPr>
              <w:jc w:val="center"/>
              <w:rPr>
                <w:rFonts w:ascii="Arial" w:hAnsi="Arial" w:cs="Arial"/>
                <w:sz w:val="16"/>
                <w:szCs w:val="16"/>
                <w:highlight w:val="yellow"/>
                <w:lang w:eastAsia="es-AR"/>
              </w:rPr>
            </w:pPr>
          </w:p>
        </w:tc>
      </w:tr>
      <w:tr w:rsidR="00FF21C0" w:rsidRPr="00872A66" w14:paraId="5A6899AD" w14:textId="77777777" w:rsidTr="006E1AF7">
        <w:trPr>
          <w:trHeight w:val="163"/>
        </w:trPr>
        <w:tc>
          <w:tcPr>
            <w:tcW w:w="1413" w:type="dxa"/>
            <w:tcBorders>
              <w:top w:val="nil"/>
              <w:left w:val="nil"/>
              <w:bottom w:val="nil"/>
              <w:right w:val="nil"/>
            </w:tcBorders>
            <w:shd w:val="clear" w:color="auto" w:fill="auto"/>
            <w:hideMark/>
          </w:tcPr>
          <w:p w14:paraId="74D3DAD3" w14:textId="77777777" w:rsidR="00FF21C0" w:rsidRPr="00872A66" w:rsidRDefault="00FF21C0" w:rsidP="00FF21C0">
            <w:pPr>
              <w:rPr>
                <w:rFonts w:ascii="Arial" w:hAnsi="Arial" w:cs="Arial"/>
                <w:sz w:val="16"/>
                <w:szCs w:val="16"/>
                <w:lang w:eastAsia="es-AR"/>
              </w:rPr>
            </w:pPr>
          </w:p>
        </w:tc>
        <w:tc>
          <w:tcPr>
            <w:tcW w:w="3260" w:type="dxa"/>
            <w:tcBorders>
              <w:top w:val="nil"/>
              <w:left w:val="nil"/>
              <w:bottom w:val="nil"/>
              <w:right w:val="nil"/>
            </w:tcBorders>
            <w:shd w:val="clear" w:color="auto" w:fill="auto"/>
            <w:hideMark/>
          </w:tcPr>
          <w:p w14:paraId="7E7EC889" w14:textId="77777777" w:rsidR="00FF21C0" w:rsidRPr="00872A66" w:rsidRDefault="00FF21C0" w:rsidP="00FF21C0">
            <w:pPr>
              <w:rPr>
                <w:rFonts w:ascii="Arial" w:hAnsi="Arial" w:cs="Arial"/>
                <w:sz w:val="16"/>
                <w:szCs w:val="16"/>
                <w:lang w:eastAsia="es-AR"/>
              </w:rPr>
            </w:pPr>
          </w:p>
        </w:tc>
        <w:tc>
          <w:tcPr>
            <w:tcW w:w="1030" w:type="dxa"/>
            <w:tcBorders>
              <w:top w:val="nil"/>
              <w:left w:val="nil"/>
              <w:bottom w:val="nil"/>
              <w:right w:val="nil"/>
            </w:tcBorders>
            <w:shd w:val="clear" w:color="auto" w:fill="auto"/>
            <w:hideMark/>
          </w:tcPr>
          <w:p w14:paraId="60E02195" w14:textId="77777777" w:rsidR="00FF21C0" w:rsidRPr="00872A66" w:rsidRDefault="00FF21C0" w:rsidP="00FF21C0">
            <w:pPr>
              <w:ind w:firstLineChars="200" w:firstLine="320"/>
              <w:rPr>
                <w:rFonts w:ascii="Arial" w:hAnsi="Arial" w:cs="Arial"/>
                <w:sz w:val="16"/>
                <w:szCs w:val="16"/>
                <w:lang w:eastAsia="es-AR"/>
              </w:rPr>
            </w:pPr>
          </w:p>
        </w:tc>
        <w:tc>
          <w:tcPr>
            <w:tcW w:w="851" w:type="dxa"/>
            <w:tcBorders>
              <w:top w:val="nil"/>
              <w:left w:val="nil"/>
              <w:bottom w:val="nil"/>
              <w:right w:val="nil"/>
            </w:tcBorders>
            <w:shd w:val="clear" w:color="auto" w:fill="auto"/>
            <w:vAlign w:val="center"/>
            <w:hideMark/>
          </w:tcPr>
          <w:p w14:paraId="11754E0A" w14:textId="77777777" w:rsidR="00FF21C0" w:rsidRPr="00872A66" w:rsidRDefault="00FF21C0" w:rsidP="00FF21C0">
            <w:pPr>
              <w:rPr>
                <w:rFonts w:ascii="Arial" w:hAnsi="Arial" w:cs="Arial"/>
                <w:sz w:val="16"/>
                <w:szCs w:val="16"/>
                <w:lang w:eastAsia="es-AR"/>
              </w:rPr>
            </w:pPr>
          </w:p>
        </w:tc>
        <w:tc>
          <w:tcPr>
            <w:tcW w:w="708" w:type="dxa"/>
            <w:tcBorders>
              <w:top w:val="nil"/>
              <w:left w:val="nil"/>
              <w:bottom w:val="nil"/>
              <w:right w:val="nil"/>
            </w:tcBorders>
            <w:shd w:val="clear" w:color="auto" w:fill="auto"/>
            <w:vAlign w:val="center"/>
            <w:hideMark/>
          </w:tcPr>
          <w:p w14:paraId="5C3F813D" w14:textId="77777777" w:rsidR="00FF21C0" w:rsidRPr="00872A66" w:rsidRDefault="00FF21C0" w:rsidP="00FF21C0">
            <w:pPr>
              <w:jc w:val="center"/>
              <w:rPr>
                <w:rFonts w:ascii="Arial" w:hAnsi="Arial" w:cs="Arial"/>
                <w:sz w:val="16"/>
                <w:szCs w:val="16"/>
                <w:lang w:eastAsia="es-AR"/>
              </w:rPr>
            </w:pPr>
          </w:p>
        </w:tc>
        <w:tc>
          <w:tcPr>
            <w:tcW w:w="1097" w:type="dxa"/>
            <w:tcBorders>
              <w:top w:val="nil"/>
              <w:left w:val="nil"/>
              <w:bottom w:val="nil"/>
              <w:right w:val="nil"/>
            </w:tcBorders>
            <w:shd w:val="clear" w:color="auto" w:fill="auto"/>
            <w:hideMark/>
          </w:tcPr>
          <w:p w14:paraId="0B4DF66D" w14:textId="77777777" w:rsidR="00FF21C0" w:rsidRPr="00872A66" w:rsidRDefault="00FF21C0" w:rsidP="00FF21C0">
            <w:pPr>
              <w:jc w:val="cente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48F37157"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3E4FE3DB" w14:textId="77777777" w:rsidR="00FF21C0" w:rsidRPr="00872A66" w:rsidRDefault="00FF21C0" w:rsidP="00FF21C0">
            <w:pPr>
              <w:rPr>
                <w:rFonts w:ascii="Arial" w:hAnsi="Arial" w:cs="Arial"/>
                <w:sz w:val="16"/>
                <w:szCs w:val="16"/>
                <w:lang w:eastAsia="es-AR"/>
              </w:rPr>
            </w:pPr>
          </w:p>
        </w:tc>
        <w:tc>
          <w:tcPr>
            <w:tcW w:w="993" w:type="dxa"/>
            <w:tcBorders>
              <w:top w:val="nil"/>
              <w:left w:val="nil"/>
              <w:bottom w:val="nil"/>
              <w:right w:val="nil"/>
            </w:tcBorders>
            <w:shd w:val="clear" w:color="auto" w:fill="auto"/>
            <w:hideMark/>
          </w:tcPr>
          <w:p w14:paraId="07F502C1" w14:textId="77777777" w:rsidR="00FF21C0" w:rsidRPr="00872A66" w:rsidRDefault="00FF21C0" w:rsidP="00FF21C0">
            <w:pPr>
              <w:rPr>
                <w:rFonts w:ascii="Arial" w:hAnsi="Arial" w:cs="Arial"/>
                <w:sz w:val="16"/>
                <w:szCs w:val="16"/>
                <w:lang w:eastAsia="es-AR"/>
              </w:rPr>
            </w:pPr>
          </w:p>
        </w:tc>
        <w:tc>
          <w:tcPr>
            <w:tcW w:w="941" w:type="dxa"/>
            <w:tcBorders>
              <w:top w:val="nil"/>
              <w:left w:val="nil"/>
              <w:bottom w:val="nil"/>
              <w:right w:val="nil"/>
            </w:tcBorders>
            <w:shd w:val="clear" w:color="auto" w:fill="auto"/>
            <w:vAlign w:val="center"/>
            <w:hideMark/>
          </w:tcPr>
          <w:p w14:paraId="5D775BC3" w14:textId="77777777" w:rsidR="00FF21C0" w:rsidRPr="00872A66" w:rsidRDefault="00FF21C0" w:rsidP="00872A66">
            <w:pPr>
              <w:jc w:val="center"/>
              <w:rPr>
                <w:rFonts w:ascii="Arial" w:hAnsi="Arial" w:cs="Arial"/>
                <w:sz w:val="16"/>
                <w:szCs w:val="16"/>
                <w:highlight w:val="yellow"/>
                <w:lang w:eastAsia="es-AR"/>
              </w:rPr>
            </w:pPr>
          </w:p>
        </w:tc>
        <w:tc>
          <w:tcPr>
            <w:tcW w:w="760" w:type="dxa"/>
            <w:tcBorders>
              <w:top w:val="nil"/>
              <w:left w:val="nil"/>
              <w:bottom w:val="nil"/>
              <w:right w:val="nil"/>
            </w:tcBorders>
            <w:shd w:val="clear" w:color="auto" w:fill="auto"/>
            <w:vAlign w:val="center"/>
            <w:hideMark/>
          </w:tcPr>
          <w:p w14:paraId="470823C7" w14:textId="77777777" w:rsidR="00FF21C0" w:rsidRPr="00872A66" w:rsidRDefault="00FF21C0" w:rsidP="00872A66">
            <w:pPr>
              <w:jc w:val="center"/>
              <w:rPr>
                <w:rFonts w:ascii="Arial" w:hAnsi="Arial" w:cs="Arial"/>
                <w:sz w:val="16"/>
                <w:szCs w:val="16"/>
                <w:highlight w:val="yellow"/>
                <w:lang w:eastAsia="es-AR"/>
              </w:rPr>
            </w:pPr>
          </w:p>
        </w:tc>
        <w:tc>
          <w:tcPr>
            <w:tcW w:w="992" w:type="dxa"/>
            <w:tcBorders>
              <w:top w:val="nil"/>
              <w:left w:val="nil"/>
              <w:bottom w:val="nil"/>
              <w:right w:val="nil"/>
            </w:tcBorders>
            <w:shd w:val="clear" w:color="auto" w:fill="auto"/>
            <w:vAlign w:val="center"/>
            <w:hideMark/>
          </w:tcPr>
          <w:p w14:paraId="1E515E44" w14:textId="77777777" w:rsidR="00FF21C0" w:rsidRPr="00872A66" w:rsidRDefault="00FF21C0" w:rsidP="00872A66">
            <w:pPr>
              <w:jc w:val="center"/>
              <w:rPr>
                <w:rFonts w:ascii="Arial" w:hAnsi="Arial" w:cs="Arial"/>
                <w:sz w:val="16"/>
                <w:szCs w:val="16"/>
                <w:highlight w:val="yellow"/>
                <w:lang w:eastAsia="es-AR"/>
              </w:rPr>
            </w:pPr>
          </w:p>
        </w:tc>
        <w:tc>
          <w:tcPr>
            <w:tcW w:w="850" w:type="dxa"/>
            <w:tcBorders>
              <w:top w:val="nil"/>
              <w:left w:val="nil"/>
              <w:bottom w:val="nil"/>
              <w:right w:val="nil"/>
            </w:tcBorders>
            <w:shd w:val="clear" w:color="auto" w:fill="auto"/>
            <w:vAlign w:val="center"/>
            <w:hideMark/>
          </w:tcPr>
          <w:p w14:paraId="329A096E" w14:textId="77777777" w:rsidR="00FF21C0" w:rsidRPr="00872A66" w:rsidRDefault="00FF21C0" w:rsidP="00872A66">
            <w:pPr>
              <w:jc w:val="center"/>
              <w:rPr>
                <w:rFonts w:ascii="Arial" w:hAnsi="Arial" w:cs="Arial"/>
                <w:sz w:val="16"/>
                <w:szCs w:val="16"/>
                <w:highlight w:val="yellow"/>
                <w:lang w:eastAsia="es-AR"/>
              </w:rPr>
            </w:pPr>
          </w:p>
        </w:tc>
      </w:tr>
      <w:tr w:rsidR="00872A66" w:rsidRPr="00872A66" w14:paraId="7D5B2AB7" w14:textId="77777777" w:rsidTr="006E1AF7">
        <w:trPr>
          <w:trHeight w:val="255"/>
        </w:trPr>
        <w:tc>
          <w:tcPr>
            <w:tcW w:w="1413" w:type="dxa"/>
            <w:tcBorders>
              <w:top w:val="nil"/>
              <w:left w:val="nil"/>
              <w:bottom w:val="nil"/>
              <w:right w:val="nil"/>
            </w:tcBorders>
            <w:shd w:val="clear" w:color="auto" w:fill="auto"/>
            <w:hideMark/>
          </w:tcPr>
          <w:p w14:paraId="79DC5E15" w14:textId="77777777" w:rsidR="00872A66" w:rsidRPr="00872A66" w:rsidRDefault="00872A66" w:rsidP="00FF21C0">
            <w:pPr>
              <w:rPr>
                <w:rFonts w:ascii="Arial" w:hAnsi="Arial" w:cs="Arial"/>
                <w:sz w:val="16"/>
                <w:szCs w:val="16"/>
                <w:lang w:eastAsia="es-AR"/>
              </w:rPr>
            </w:pPr>
          </w:p>
        </w:tc>
        <w:tc>
          <w:tcPr>
            <w:tcW w:w="6949" w:type="dxa"/>
            <w:gridSpan w:val="5"/>
            <w:tcBorders>
              <w:top w:val="nil"/>
              <w:left w:val="nil"/>
              <w:bottom w:val="nil"/>
              <w:right w:val="nil"/>
            </w:tcBorders>
            <w:shd w:val="clear" w:color="auto" w:fill="auto"/>
            <w:noWrap/>
            <w:vAlign w:val="center"/>
            <w:hideMark/>
          </w:tcPr>
          <w:p w14:paraId="1ABC4C45" w14:textId="28E57A5B" w:rsidR="00872A66" w:rsidRPr="00872A66" w:rsidRDefault="00872A66" w:rsidP="00872A66">
            <w:pPr>
              <w:rPr>
                <w:rFonts w:ascii="Arial" w:hAnsi="Arial" w:cs="Arial"/>
                <w:sz w:val="16"/>
                <w:szCs w:val="16"/>
                <w:lang w:eastAsia="es-AR"/>
              </w:rPr>
            </w:pPr>
            <w:r w:rsidRPr="00872A66">
              <w:rPr>
                <w:rFonts w:ascii="Arial" w:hAnsi="Arial" w:cs="Arial"/>
                <w:b/>
                <w:bCs/>
                <w:sz w:val="16"/>
                <w:szCs w:val="16"/>
                <w:lang w:eastAsia="es-AR"/>
              </w:rPr>
              <w:t>PARTICIPACIONES EN EMPRESAS DE SERVICIOS COMPLEMENTARIOS</w:t>
            </w:r>
          </w:p>
        </w:tc>
        <w:tc>
          <w:tcPr>
            <w:tcW w:w="992" w:type="dxa"/>
            <w:tcBorders>
              <w:top w:val="nil"/>
              <w:left w:val="nil"/>
              <w:bottom w:val="nil"/>
              <w:right w:val="nil"/>
            </w:tcBorders>
            <w:shd w:val="clear" w:color="auto" w:fill="auto"/>
            <w:noWrap/>
            <w:hideMark/>
          </w:tcPr>
          <w:p w14:paraId="44C6B8F9" w14:textId="77777777" w:rsidR="00872A66" w:rsidRPr="00872A66" w:rsidRDefault="00872A66" w:rsidP="00FF21C0">
            <w:pPr>
              <w:rPr>
                <w:rFonts w:ascii="Arial" w:hAnsi="Arial" w:cs="Arial"/>
                <w:sz w:val="16"/>
                <w:szCs w:val="16"/>
                <w:lang w:eastAsia="es-AR"/>
              </w:rPr>
            </w:pPr>
          </w:p>
        </w:tc>
        <w:tc>
          <w:tcPr>
            <w:tcW w:w="992" w:type="dxa"/>
            <w:tcBorders>
              <w:top w:val="nil"/>
              <w:left w:val="nil"/>
              <w:bottom w:val="nil"/>
              <w:right w:val="nil"/>
            </w:tcBorders>
            <w:shd w:val="clear" w:color="auto" w:fill="auto"/>
            <w:noWrap/>
            <w:hideMark/>
          </w:tcPr>
          <w:p w14:paraId="16B3145B" w14:textId="77777777" w:rsidR="00872A66" w:rsidRPr="00872A66" w:rsidRDefault="00872A66" w:rsidP="00FF21C0">
            <w:pPr>
              <w:rPr>
                <w:rFonts w:ascii="Arial" w:hAnsi="Arial" w:cs="Arial"/>
                <w:sz w:val="16"/>
                <w:szCs w:val="16"/>
                <w:lang w:eastAsia="es-AR"/>
              </w:rPr>
            </w:pPr>
          </w:p>
        </w:tc>
        <w:tc>
          <w:tcPr>
            <w:tcW w:w="993" w:type="dxa"/>
            <w:tcBorders>
              <w:top w:val="nil"/>
              <w:left w:val="nil"/>
              <w:bottom w:val="nil"/>
              <w:right w:val="nil"/>
            </w:tcBorders>
            <w:shd w:val="clear" w:color="auto" w:fill="auto"/>
            <w:noWrap/>
            <w:hideMark/>
          </w:tcPr>
          <w:p w14:paraId="54112632" w14:textId="77777777" w:rsidR="00872A66" w:rsidRPr="00872A66" w:rsidRDefault="00872A66" w:rsidP="00FF21C0">
            <w:pPr>
              <w:rPr>
                <w:rFonts w:ascii="Arial" w:hAnsi="Arial" w:cs="Arial"/>
                <w:sz w:val="16"/>
                <w:szCs w:val="16"/>
                <w:lang w:eastAsia="es-AR"/>
              </w:rPr>
            </w:pPr>
          </w:p>
        </w:tc>
        <w:tc>
          <w:tcPr>
            <w:tcW w:w="941" w:type="dxa"/>
            <w:tcBorders>
              <w:top w:val="nil"/>
              <w:left w:val="nil"/>
              <w:bottom w:val="nil"/>
              <w:right w:val="nil"/>
            </w:tcBorders>
            <w:shd w:val="clear" w:color="auto" w:fill="auto"/>
            <w:noWrap/>
            <w:vAlign w:val="center"/>
            <w:hideMark/>
          </w:tcPr>
          <w:p w14:paraId="30F3281A" w14:textId="77777777" w:rsidR="00872A66" w:rsidRPr="00872A66" w:rsidRDefault="00872A66" w:rsidP="00872A66">
            <w:pPr>
              <w:jc w:val="center"/>
              <w:rPr>
                <w:rFonts w:ascii="Arial" w:hAnsi="Arial" w:cs="Arial"/>
                <w:sz w:val="16"/>
                <w:szCs w:val="16"/>
                <w:highlight w:val="yellow"/>
                <w:lang w:eastAsia="es-AR"/>
              </w:rPr>
            </w:pPr>
          </w:p>
        </w:tc>
        <w:tc>
          <w:tcPr>
            <w:tcW w:w="760" w:type="dxa"/>
            <w:tcBorders>
              <w:top w:val="nil"/>
              <w:left w:val="nil"/>
              <w:bottom w:val="nil"/>
              <w:right w:val="nil"/>
            </w:tcBorders>
            <w:shd w:val="clear" w:color="auto" w:fill="auto"/>
            <w:noWrap/>
            <w:vAlign w:val="center"/>
            <w:hideMark/>
          </w:tcPr>
          <w:p w14:paraId="7B564269" w14:textId="77777777" w:rsidR="00872A66" w:rsidRPr="00872A66" w:rsidRDefault="00872A66" w:rsidP="00872A66">
            <w:pPr>
              <w:jc w:val="center"/>
              <w:rPr>
                <w:rFonts w:ascii="Arial" w:hAnsi="Arial" w:cs="Arial"/>
                <w:sz w:val="16"/>
                <w:szCs w:val="16"/>
                <w:highlight w:val="yellow"/>
                <w:lang w:eastAsia="es-AR"/>
              </w:rPr>
            </w:pPr>
          </w:p>
        </w:tc>
        <w:tc>
          <w:tcPr>
            <w:tcW w:w="992" w:type="dxa"/>
            <w:tcBorders>
              <w:top w:val="nil"/>
              <w:left w:val="nil"/>
              <w:bottom w:val="nil"/>
              <w:right w:val="nil"/>
            </w:tcBorders>
            <w:shd w:val="clear" w:color="auto" w:fill="auto"/>
            <w:noWrap/>
            <w:vAlign w:val="center"/>
            <w:hideMark/>
          </w:tcPr>
          <w:p w14:paraId="373EB599" w14:textId="77777777" w:rsidR="00872A66" w:rsidRPr="00872A66" w:rsidRDefault="00872A66" w:rsidP="00872A66">
            <w:pPr>
              <w:jc w:val="center"/>
              <w:rPr>
                <w:rFonts w:ascii="Arial" w:hAnsi="Arial" w:cs="Arial"/>
                <w:sz w:val="16"/>
                <w:szCs w:val="16"/>
                <w:highlight w:val="yellow"/>
                <w:lang w:eastAsia="es-AR"/>
              </w:rPr>
            </w:pPr>
          </w:p>
        </w:tc>
        <w:tc>
          <w:tcPr>
            <w:tcW w:w="850" w:type="dxa"/>
            <w:tcBorders>
              <w:top w:val="nil"/>
              <w:left w:val="nil"/>
              <w:bottom w:val="nil"/>
              <w:right w:val="nil"/>
            </w:tcBorders>
            <w:shd w:val="clear" w:color="auto" w:fill="auto"/>
            <w:noWrap/>
            <w:vAlign w:val="center"/>
            <w:hideMark/>
          </w:tcPr>
          <w:p w14:paraId="7BC9875E" w14:textId="77777777" w:rsidR="00872A66" w:rsidRPr="00872A66" w:rsidRDefault="00872A66" w:rsidP="00872A66">
            <w:pPr>
              <w:jc w:val="center"/>
              <w:rPr>
                <w:rFonts w:ascii="Arial" w:hAnsi="Arial" w:cs="Arial"/>
                <w:sz w:val="16"/>
                <w:szCs w:val="16"/>
                <w:highlight w:val="yellow"/>
                <w:lang w:eastAsia="es-AR"/>
              </w:rPr>
            </w:pPr>
          </w:p>
        </w:tc>
      </w:tr>
      <w:tr w:rsidR="00FF21C0" w:rsidRPr="00872A66" w14:paraId="1DBCE890" w14:textId="77777777" w:rsidTr="006E1AF7">
        <w:trPr>
          <w:trHeight w:val="95"/>
        </w:trPr>
        <w:tc>
          <w:tcPr>
            <w:tcW w:w="1413" w:type="dxa"/>
            <w:tcBorders>
              <w:top w:val="nil"/>
              <w:left w:val="nil"/>
              <w:bottom w:val="nil"/>
              <w:right w:val="nil"/>
            </w:tcBorders>
            <w:shd w:val="clear" w:color="auto" w:fill="auto"/>
            <w:hideMark/>
          </w:tcPr>
          <w:p w14:paraId="2D829B34" w14:textId="77777777" w:rsidR="00FF21C0" w:rsidRPr="00872A66" w:rsidRDefault="00FF21C0" w:rsidP="00FF21C0">
            <w:pPr>
              <w:rPr>
                <w:rFonts w:ascii="Arial" w:hAnsi="Arial" w:cs="Arial"/>
                <w:sz w:val="16"/>
                <w:szCs w:val="16"/>
                <w:lang w:eastAsia="es-AR"/>
              </w:rPr>
            </w:pPr>
          </w:p>
        </w:tc>
        <w:tc>
          <w:tcPr>
            <w:tcW w:w="3260" w:type="dxa"/>
            <w:tcBorders>
              <w:top w:val="nil"/>
              <w:left w:val="nil"/>
              <w:bottom w:val="nil"/>
              <w:right w:val="nil"/>
            </w:tcBorders>
            <w:shd w:val="clear" w:color="auto" w:fill="auto"/>
            <w:hideMark/>
          </w:tcPr>
          <w:p w14:paraId="0688E2F3" w14:textId="77777777" w:rsidR="00FF21C0" w:rsidRPr="00872A66" w:rsidRDefault="00FF21C0" w:rsidP="00FF21C0">
            <w:pPr>
              <w:rPr>
                <w:rFonts w:ascii="Arial" w:hAnsi="Arial" w:cs="Arial"/>
                <w:sz w:val="16"/>
                <w:szCs w:val="16"/>
                <w:lang w:eastAsia="es-AR"/>
              </w:rPr>
            </w:pPr>
          </w:p>
        </w:tc>
        <w:tc>
          <w:tcPr>
            <w:tcW w:w="1030" w:type="dxa"/>
            <w:tcBorders>
              <w:top w:val="nil"/>
              <w:left w:val="nil"/>
              <w:bottom w:val="nil"/>
              <w:right w:val="nil"/>
            </w:tcBorders>
            <w:shd w:val="clear" w:color="auto" w:fill="auto"/>
            <w:hideMark/>
          </w:tcPr>
          <w:p w14:paraId="4C773B93" w14:textId="77777777" w:rsidR="00FF21C0" w:rsidRPr="00872A66" w:rsidRDefault="00FF21C0" w:rsidP="00FF21C0">
            <w:pPr>
              <w:ind w:firstLineChars="200" w:firstLine="320"/>
              <w:rPr>
                <w:rFonts w:ascii="Arial" w:hAnsi="Arial" w:cs="Arial"/>
                <w:sz w:val="16"/>
                <w:szCs w:val="16"/>
                <w:lang w:eastAsia="es-AR"/>
              </w:rPr>
            </w:pPr>
          </w:p>
        </w:tc>
        <w:tc>
          <w:tcPr>
            <w:tcW w:w="851" w:type="dxa"/>
            <w:tcBorders>
              <w:top w:val="nil"/>
              <w:left w:val="nil"/>
              <w:bottom w:val="nil"/>
              <w:right w:val="nil"/>
            </w:tcBorders>
            <w:shd w:val="clear" w:color="auto" w:fill="auto"/>
            <w:vAlign w:val="center"/>
            <w:hideMark/>
          </w:tcPr>
          <w:p w14:paraId="15355231" w14:textId="77777777" w:rsidR="00FF21C0" w:rsidRPr="00872A66" w:rsidRDefault="00FF21C0" w:rsidP="00FF21C0">
            <w:pPr>
              <w:rPr>
                <w:rFonts w:ascii="Arial" w:hAnsi="Arial" w:cs="Arial"/>
                <w:sz w:val="16"/>
                <w:szCs w:val="16"/>
                <w:lang w:eastAsia="es-AR"/>
              </w:rPr>
            </w:pPr>
          </w:p>
        </w:tc>
        <w:tc>
          <w:tcPr>
            <w:tcW w:w="708" w:type="dxa"/>
            <w:tcBorders>
              <w:top w:val="nil"/>
              <w:left w:val="nil"/>
              <w:bottom w:val="nil"/>
              <w:right w:val="nil"/>
            </w:tcBorders>
            <w:shd w:val="clear" w:color="auto" w:fill="auto"/>
            <w:vAlign w:val="center"/>
            <w:hideMark/>
          </w:tcPr>
          <w:p w14:paraId="399EE8D5" w14:textId="77777777" w:rsidR="00FF21C0" w:rsidRPr="00872A66" w:rsidRDefault="00FF21C0" w:rsidP="00FF21C0">
            <w:pPr>
              <w:jc w:val="center"/>
              <w:rPr>
                <w:rFonts w:ascii="Arial" w:hAnsi="Arial" w:cs="Arial"/>
                <w:sz w:val="16"/>
                <w:szCs w:val="16"/>
                <w:lang w:eastAsia="es-AR"/>
              </w:rPr>
            </w:pPr>
          </w:p>
        </w:tc>
        <w:tc>
          <w:tcPr>
            <w:tcW w:w="1097" w:type="dxa"/>
            <w:tcBorders>
              <w:top w:val="nil"/>
              <w:left w:val="nil"/>
              <w:bottom w:val="nil"/>
              <w:right w:val="nil"/>
            </w:tcBorders>
            <w:shd w:val="clear" w:color="auto" w:fill="auto"/>
            <w:hideMark/>
          </w:tcPr>
          <w:p w14:paraId="205714B7" w14:textId="77777777" w:rsidR="00FF21C0" w:rsidRPr="00872A66" w:rsidRDefault="00FF21C0" w:rsidP="00FF21C0">
            <w:pPr>
              <w:jc w:val="cente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47C26215"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0739A2EA" w14:textId="77777777" w:rsidR="00FF21C0" w:rsidRPr="00872A66" w:rsidRDefault="00FF21C0" w:rsidP="00FF21C0">
            <w:pPr>
              <w:rPr>
                <w:rFonts w:ascii="Arial" w:hAnsi="Arial" w:cs="Arial"/>
                <w:sz w:val="16"/>
                <w:szCs w:val="16"/>
                <w:lang w:eastAsia="es-AR"/>
              </w:rPr>
            </w:pPr>
          </w:p>
        </w:tc>
        <w:tc>
          <w:tcPr>
            <w:tcW w:w="993" w:type="dxa"/>
            <w:tcBorders>
              <w:top w:val="nil"/>
              <w:left w:val="nil"/>
              <w:bottom w:val="nil"/>
              <w:right w:val="nil"/>
            </w:tcBorders>
            <w:shd w:val="clear" w:color="auto" w:fill="auto"/>
            <w:hideMark/>
          </w:tcPr>
          <w:p w14:paraId="278BC251" w14:textId="77777777" w:rsidR="00FF21C0" w:rsidRPr="00872A66" w:rsidRDefault="00FF21C0" w:rsidP="00FF21C0">
            <w:pPr>
              <w:rPr>
                <w:rFonts w:ascii="Arial" w:hAnsi="Arial" w:cs="Arial"/>
                <w:sz w:val="16"/>
                <w:szCs w:val="16"/>
                <w:lang w:eastAsia="es-AR"/>
              </w:rPr>
            </w:pPr>
          </w:p>
        </w:tc>
        <w:tc>
          <w:tcPr>
            <w:tcW w:w="941" w:type="dxa"/>
            <w:tcBorders>
              <w:top w:val="nil"/>
              <w:left w:val="nil"/>
              <w:bottom w:val="nil"/>
              <w:right w:val="nil"/>
            </w:tcBorders>
            <w:shd w:val="clear" w:color="auto" w:fill="auto"/>
            <w:vAlign w:val="center"/>
            <w:hideMark/>
          </w:tcPr>
          <w:p w14:paraId="37AA747E" w14:textId="77777777" w:rsidR="00FF21C0" w:rsidRPr="00872A66" w:rsidRDefault="00FF21C0" w:rsidP="00872A66">
            <w:pPr>
              <w:jc w:val="center"/>
              <w:rPr>
                <w:rFonts w:ascii="Arial" w:hAnsi="Arial" w:cs="Arial"/>
                <w:sz w:val="16"/>
                <w:szCs w:val="16"/>
                <w:highlight w:val="yellow"/>
                <w:lang w:eastAsia="es-AR"/>
              </w:rPr>
            </w:pPr>
          </w:p>
        </w:tc>
        <w:tc>
          <w:tcPr>
            <w:tcW w:w="760" w:type="dxa"/>
            <w:tcBorders>
              <w:top w:val="nil"/>
              <w:left w:val="nil"/>
              <w:bottom w:val="nil"/>
              <w:right w:val="nil"/>
            </w:tcBorders>
            <w:shd w:val="clear" w:color="auto" w:fill="auto"/>
            <w:vAlign w:val="center"/>
            <w:hideMark/>
          </w:tcPr>
          <w:p w14:paraId="2143E22A" w14:textId="77777777" w:rsidR="00FF21C0" w:rsidRPr="00872A66" w:rsidRDefault="00FF21C0" w:rsidP="00872A66">
            <w:pPr>
              <w:jc w:val="center"/>
              <w:rPr>
                <w:rFonts w:ascii="Arial" w:hAnsi="Arial" w:cs="Arial"/>
                <w:sz w:val="16"/>
                <w:szCs w:val="16"/>
                <w:highlight w:val="yellow"/>
                <w:lang w:eastAsia="es-AR"/>
              </w:rPr>
            </w:pPr>
          </w:p>
        </w:tc>
        <w:tc>
          <w:tcPr>
            <w:tcW w:w="992" w:type="dxa"/>
            <w:tcBorders>
              <w:top w:val="nil"/>
              <w:left w:val="nil"/>
              <w:bottom w:val="nil"/>
              <w:right w:val="nil"/>
            </w:tcBorders>
            <w:shd w:val="clear" w:color="auto" w:fill="auto"/>
            <w:vAlign w:val="center"/>
            <w:hideMark/>
          </w:tcPr>
          <w:p w14:paraId="4448174F" w14:textId="77777777" w:rsidR="00FF21C0" w:rsidRPr="00872A66" w:rsidRDefault="00FF21C0" w:rsidP="00872A66">
            <w:pPr>
              <w:jc w:val="center"/>
              <w:rPr>
                <w:rFonts w:ascii="Arial" w:hAnsi="Arial" w:cs="Arial"/>
                <w:sz w:val="16"/>
                <w:szCs w:val="16"/>
                <w:highlight w:val="yellow"/>
                <w:lang w:eastAsia="es-AR"/>
              </w:rPr>
            </w:pPr>
          </w:p>
        </w:tc>
        <w:tc>
          <w:tcPr>
            <w:tcW w:w="850" w:type="dxa"/>
            <w:tcBorders>
              <w:top w:val="nil"/>
              <w:left w:val="nil"/>
              <w:bottom w:val="nil"/>
              <w:right w:val="nil"/>
            </w:tcBorders>
            <w:shd w:val="clear" w:color="auto" w:fill="auto"/>
            <w:vAlign w:val="center"/>
            <w:hideMark/>
          </w:tcPr>
          <w:p w14:paraId="1CB3186E" w14:textId="77777777" w:rsidR="00FF21C0" w:rsidRPr="00872A66" w:rsidRDefault="00FF21C0" w:rsidP="00872A66">
            <w:pPr>
              <w:jc w:val="center"/>
              <w:rPr>
                <w:rFonts w:ascii="Arial" w:hAnsi="Arial" w:cs="Arial"/>
                <w:sz w:val="16"/>
                <w:szCs w:val="16"/>
                <w:highlight w:val="yellow"/>
                <w:lang w:eastAsia="es-AR"/>
              </w:rPr>
            </w:pPr>
          </w:p>
        </w:tc>
      </w:tr>
      <w:tr w:rsidR="00FF21C0" w:rsidRPr="00872A66" w14:paraId="02DD23D6" w14:textId="77777777" w:rsidTr="006E1AF7">
        <w:trPr>
          <w:trHeight w:val="240"/>
        </w:trPr>
        <w:tc>
          <w:tcPr>
            <w:tcW w:w="1413" w:type="dxa"/>
            <w:tcBorders>
              <w:top w:val="nil"/>
              <w:left w:val="nil"/>
              <w:bottom w:val="nil"/>
              <w:right w:val="nil"/>
            </w:tcBorders>
            <w:shd w:val="clear" w:color="auto" w:fill="auto"/>
            <w:hideMark/>
          </w:tcPr>
          <w:p w14:paraId="7332A36B" w14:textId="77777777" w:rsidR="00FF21C0" w:rsidRPr="00872A66" w:rsidRDefault="00FF21C0" w:rsidP="00FF21C0">
            <w:pPr>
              <w:rPr>
                <w:rFonts w:ascii="Arial" w:hAnsi="Arial" w:cs="Arial"/>
                <w:sz w:val="16"/>
                <w:szCs w:val="16"/>
                <w:lang w:eastAsia="es-AR"/>
              </w:rPr>
            </w:pPr>
          </w:p>
        </w:tc>
        <w:tc>
          <w:tcPr>
            <w:tcW w:w="3260" w:type="dxa"/>
            <w:tcBorders>
              <w:top w:val="nil"/>
              <w:left w:val="nil"/>
              <w:bottom w:val="nil"/>
              <w:right w:val="nil"/>
            </w:tcBorders>
            <w:shd w:val="clear" w:color="auto" w:fill="auto"/>
            <w:hideMark/>
          </w:tcPr>
          <w:p w14:paraId="78B4282B" w14:textId="77777777" w:rsidR="00FF21C0" w:rsidRPr="00872A66" w:rsidRDefault="00FF21C0" w:rsidP="00FF21C0">
            <w:pPr>
              <w:rPr>
                <w:rFonts w:ascii="Arial" w:hAnsi="Arial" w:cs="Arial"/>
                <w:b/>
                <w:bCs/>
                <w:sz w:val="16"/>
                <w:szCs w:val="16"/>
                <w:lang w:eastAsia="es-AR"/>
              </w:rPr>
            </w:pPr>
            <w:r w:rsidRPr="00872A66">
              <w:rPr>
                <w:rFonts w:ascii="Arial" w:hAnsi="Arial" w:cs="Arial"/>
                <w:b/>
                <w:bCs/>
                <w:sz w:val="16"/>
                <w:szCs w:val="16"/>
                <w:lang w:eastAsia="es-AR"/>
              </w:rPr>
              <w:t>Asociadas y negocios conjuntos</w:t>
            </w:r>
          </w:p>
        </w:tc>
        <w:tc>
          <w:tcPr>
            <w:tcW w:w="1030" w:type="dxa"/>
            <w:tcBorders>
              <w:top w:val="nil"/>
              <w:left w:val="nil"/>
              <w:bottom w:val="nil"/>
              <w:right w:val="nil"/>
            </w:tcBorders>
            <w:shd w:val="clear" w:color="auto" w:fill="auto"/>
            <w:hideMark/>
          </w:tcPr>
          <w:p w14:paraId="3275F3D5" w14:textId="77777777" w:rsidR="00FF21C0" w:rsidRPr="00872A66" w:rsidRDefault="00FF21C0" w:rsidP="00FF21C0">
            <w:pPr>
              <w:rPr>
                <w:rFonts w:ascii="Arial" w:hAnsi="Arial" w:cs="Arial"/>
                <w:b/>
                <w:bCs/>
                <w:sz w:val="16"/>
                <w:szCs w:val="16"/>
                <w:lang w:eastAsia="es-AR"/>
              </w:rPr>
            </w:pPr>
          </w:p>
        </w:tc>
        <w:tc>
          <w:tcPr>
            <w:tcW w:w="851" w:type="dxa"/>
            <w:tcBorders>
              <w:top w:val="nil"/>
              <w:left w:val="nil"/>
              <w:bottom w:val="nil"/>
              <w:right w:val="nil"/>
            </w:tcBorders>
            <w:shd w:val="clear" w:color="auto" w:fill="auto"/>
            <w:vAlign w:val="center"/>
            <w:hideMark/>
          </w:tcPr>
          <w:p w14:paraId="7217EFBE" w14:textId="77777777" w:rsidR="00FF21C0" w:rsidRPr="00872A66" w:rsidRDefault="00FF21C0" w:rsidP="00FF21C0">
            <w:pPr>
              <w:rPr>
                <w:rFonts w:ascii="Arial" w:hAnsi="Arial" w:cs="Arial"/>
                <w:sz w:val="16"/>
                <w:szCs w:val="16"/>
                <w:lang w:eastAsia="es-AR"/>
              </w:rPr>
            </w:pPr>
          </w:p>
        </w:tc>
        <w:tc>
          <w:tcPr>
            <w:tcW w:w="708" w:type="dxa"/>
            <w:tcBorders>
              <w:top w:val="nil"/>
              <w:left w:val="nil"/>
              <w:bottom w:val="nil"/>
              <w:right w:val="nil"/>
            </w:tcBorders>
            <w:shd w:val="clear" w:color="auto" w:fill="auto"/>
            <w:vAlign w:val="center"/>
            <w:hideMark/>
          </w:tcPr>
          <w:p w14:paraId="1B554329" w14:textId="77777777" w:rsidR="00FF21C0" w:rsidRPr="00872A66" w:rsidRDefault="00FF21C0" w:rsidP="00FF21C0">
            <w:pPr>
              <w:jc w:val="center"/>
              <w:rPr>
                <w:rFonts w:ascii="Arial" w:hAnsi="Arial" w:cs="Arial"/>
                <w:sz w:val="16"/>
                <w:szCs w:val="16"/>
                <w:lang w:eastAsia="es-AR"/>
              </w:rPr>
            </w:pPr>
          </w:p>
        </w:tc>
        <w:tc>
          <w:tcPr>
            <w:tcW w:w="1097" w:type="dxa"/>
            <w:tcBorders>
              <w:top w:val="nil"/>
              <w:left w:val="nil"/>
              <w:bottom w:val="nil"/>
              <w:right w:val="nil"/>
            </w:tcBorders>
            <w:shd w:val="clear" w:color="auto" w:fill="auto"/>
            <w:hideMark/>
          </w:tcPr>
          <w:p w14:paraId="30FE4E8B" w14:textId="77777777" w:rsidR="00FF21C0" w:rsidRPr="00872A66" w:rsidRDefault="00FF21C0" w:rsidP="00FF21C0">
            <w:pPr>
              <w:jc w:val="cente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2717EB63"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5BADF3FA" w14:textId="77777777" w:rsidR="00FF21C0" w:rsidRPr="00872A66" w:rsidRDefault="00FF21C0" w:rsidP="00FF21C0">
            <w:pPr>
              <w:rPr>
                <w:rFonts w:ascii="Arial" w:hAnsi="Arial" w:cs="Arial"/>
                <w:sz w:val="16"/>
                <w:szCs w:val="16"/>
                <w:lang w:eastAsia="es-AR"/>
              </w:rPr>
            </w:pPr>
          </w:p>
        </w:tc>
        <w:tc>
          <w:tcPr>
            <w:tcW w:w="993" w:type="dxa"/>
            <w:tcBorders>
              <w:top w:val="nil"/>
              <w:left w:val="nil"/>
              <w:bottom w:val="nil"/>
              <w:right w:val="nil"/>
            </w:tcBorders>
            <w:shd w:val="clear" w:color="auto" w:fill="auto"/>
            <w:hideMark/>
          </w:tcPr>
          <w:p w14:paraId="2DA62DC3" w14:textId="77777777" w:rsidR="00FF21C0" w:rsidRPr="00872A66" w:rsidRDefault="00FF21C0" w:rsidP="00FF21C0">
            <w:pPr>
              <w:rPr>
                <w:rFonts w:ascii="Arial" w:hAnsi="Arial" w:cs="Arial"/>
                <w:sz w:val="16"/>
                <w:szCs w:val="16"/>
                <w:lang w:eastAsia="es-AR"/>
              </w:rPr>
            </w:pPr>
          </w:p>
        </w:tc>
        <w:tc>
          <w:tcPr>
            <w:tcW w:w="941" w:type="dxa"/>
            <w:tcBorders>
              <w:top w:val="nil"/>
              <w:left w:val="nil"/>
              <w:bottom w:val="nil"/>
              <w:right w:val="nil"/>
            </w:tcBorders>
            <w:shd w:val="clear" w:color="auto" w:fill="auto"/>
            <w:vAlign w:val="center"/>
            <w:hideMark/>
          </w:tcPr>
          <w:p w14:paraId="5B364D08" w14:textId="77777777" w:rsidR="00FF21C0" w:rsidRPr="00872A66" w:rsidRDefault="00FF21C0" w:rsidP="00872A66">
            <w:pPr>
              <w:jc w:val="center"/>
              <w:rPr>
                <w:rFonts w:ascii="Arial" w:hAnsi="Arial" w:cs="Arial"/>
                <w:sz w:val="16"/>
                <w:szCs w:val="16"/>
                <w:highlight w:val="yellow"/>
                <w:lang w:eastAsia="es-AR"/>
              </w:rPr>
            </w:pPr>
          </w:p>
        </w:tc>
        <w:tc>
          <w:tcPr>
            <w:tcW w:w="760" w:type="dxa"/>
            <w:tcBorders>
              <w:top w:val="nil"/>
              <w:left w:val="nil"/>
              <w:bottom w:val="nil"/>
              <w:right w:val="nil"/>
            </w:tcBorders>
            <w:shd w:val="clear" w:color="auto" w:fill="auto"/>
            <w:vAlign w:val="center"/>
            <w:hideMark/>
          </w:tcPr>
          <w:p w14:paraId="4D3618C7" w14:textId="77777777" w:rsidR="00FF21C0" w:rsidRPr="00872A66" w:rsidRDefault="00FF21C0" w:rsidP="00872A66">
            <w:pPr>
              <w:jc w:val="center"/>
              <w:rPr>
                <w:rFonts w:ascii="Arial" w:hAnsi="Arial" w:cs="Arial"/>
                <w:sz w:val="16"/>
                <w:szCs w:val="16"/>
                <w:highlight w:val="yellow"/>
                <w:lang w:eastAsia="es-AR"/>
              </w:rPr>
            </w:pPr>
          </w:p>
        </w:tc>
        <w:tc>
          <w:tcPr>
            <w:tcW w:w="992" w:type="dxa"/>
            <w:tcBorders>
              <w:top w:val="nil"/>
              <w:left w:val="nil"/>
              <w:bottom w:val="nil"/>
              <w:right w:val="nil"/>
            </w:tcBorders>
            <w:shd w:val="clear" w:color="auto" w:fill="auto"/>
            <w:vAlign w:val="center"/>
            <w:hideMark/>
          </w:tcPr>
          <w:p w14:paraId="2F616136" w14:textId="77777777" w:rsidR="00FF21C0" w:rsidRPr="00872A66" w:rsidRDefault="00FF21C0" w:rsidP="00872A66">
            <w:pPr>
              <w:jc w:val="center"/>
              <w:rPr>
                <w:rFonts w:ascii="Arial" w:hAnsi="Arial" w:cs="Arial"/>
                <w:sz w:val="16"/>
                <w:szCs w:val="16"/>
                <w:highlight w:val="yellow"/>
                <w:lang w:eastAsia="es-AR"/>
              </w:rPr>
            </w:pPr>
          </w:p>
        </w:tc>
        <w:tc>
          <w:tcPr>
            <w:tcW w:w="850" w:type="dxa"/>
            <w:tcBorders>
              <w:top w:val="nil"/>
              <w:left w:val="nil"/>
              <w:bottom w:val="nil"/>
              <w:right w:val="nil"/>
            </w:tcBorders>
            <w:shd w:val="clear" w:color="auto" w:fill="auto"/>
            <w:vAlign w:val="center"/>
            <w:hideMark/>
          </w:tcPr>
          <w:p w14:paraId="45DB2311" w14:textId="77777777" w:rsidR="00FF21C0" w:rsidRPr="00872A66" w:rsidRDefault="00FF21C0" w:rsidP="00872A66">
            <w:pPr>
              <w:jc w:val="center"/>
              <w:rPr>
                <w:rFonts w:ascii="Arial" w:hAnsi="Arial" w:cs="Arial"/>
                <w:sz w:val="16"/>
                <w:szCs w:val="16"/>
                <w:highlight w:val="yellow"/>
                <w:lang w:eastAsia="es-AR"/>
              </w:rPr>
            </w:pPr>
          </w:p>
        </w:tc>
      </w:tr>
      <w:tr w:rsidR="00FF21C0" w:rsidRPr="00872A66" w14:paraId="4E52E34E" w14:textId="77777777" w:rsidTr="006E1AF7">
        <w:trPr>
          <w:trHeight w:val="240"/>
        </w:trPr>
        <w:tc>
          <w:tcPr>
            <w:tcW w:w="1413" w:type="dxa"/>
            <w:tcBorders>
              <w:top w:val="nil"/>
              <w:left w:val="nil"/>
              <w:bottom w:val="nil"/>
              <w:right w:val="nil"/>
            </w:tcBorders>
            <w:shd w:val="clear" w:color="auto" w:fill="auto"/>
            <w:hideMark/>
          </w:tcPr>
          <w:p w14:paraId="78B4885A" w14:textId="77777777" w:rsidR="00FF21C0" w:rsidRPr="00872A66" w:rsidRDefault="00FF21C0" w:rsidP="00FF21C0">
            <w:pPr>
              <w:rPr>
                <w:rFonts w:ascii="Arial" w:hAnsi="Arial" w:cs="Arial"/>
                <w:sz w:val="16"/>
                <w:szCs w:val="16"/>
                <w:lang w:eastAsia="es-AR"/>
              </w:rPr>
            </w:pPr>
          </w:p>
        </w:tc>
        <w:tc>
          <w:tcPr>
            <w:tcW w:w="3260" w:type="dxa"/>
            <w:tcBorders>
              <w:top w:val="nil"/>
              <w:left w:val="nil"/>
              <w:bottom w:val="nil"/>
              <w:right w:val="nil"/>
            </w:tcBorders>
            <w:shd w:val="clear" w:color="auto" w:fill="auto"/>
            <w:hideMark/>
          </w:tcPr>
          <w:p w14:paraId="40DFED11" w14:textId="77777777"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 En el país</w:t>
            </w:r>
          </w:p>
        </w:tc>
        <w:tc>
          <w:tcPr>
            <w:tcW w:w="1030" w:type="dxa"/>
            <w:tcBorders>
              <w:top w:val="nil"/>
              <w:left w:val="nil"/>
              <w:bottom w:val="nil"/>
              <w:right w:val="nil"/>
            </w:tcBorders>
            <w:shd w:val="clear" w:color="auto" w:fill="auto"/>
            <w:hideMark/>
          </w:tcPr>
          <w:p w14:paraId="69968635" w14:textId="77777777" w:rsidR="00FF21C0" w:rsidRPr="00872A66" w:rsidRDefault="00FF21C0" w:rsidP="00FF21C0">
            <w:pPr>
              <w:rPr>
                <w:rFonts w:ascii="Arial" w:hAnsi="Arial" w:cs="Arial"/>
                <w:sz w:val="16"/>
                <w:szCs w:val="16"/>
                <w:lang w:eastAsia="es-AR"/>
              </w:rPr>
            </w:pPr>
          </w:p>
        </w:tc>
        <w:tc>
          <w:tcPr>
            <w:tcW w:w="851" w:type="dxa"/>
            <w:tcBorders>
              <w:top w:val="nil"/>
              <w:left w:val="nil"/>
              <w:bottom w:val="nil"/>
              <w:right w:val="nil"/>
            </w:tcBorders>
            <w:shd w:val="clear" w:color="auto" w:fill="auto"/>
            <w:vAlign w:val="center"/>
            <w:hideMark/>
          </w:tcPr>
          <w:p w14:paraId="4EA781B6" w14:textId="77777777" w:rsidR="00FF21C0" w:rsidRPr="00872A66" w:rsidRDefault="00FF21C0" w:rsidP="00FF21C0">
            <w:pPr>
              <w:rPr>
                <w:rFonts w:ascii="Arial" w:hAnsi="Arial" w:cs="Arial"/>
                <w:sz w:val="16"/>
                <w:szCs w:val="16"/>
                <w:lang w:eastAsia="es-AR"/>
              </w:rPr>
            </w:pPr>
          </w:p>
        </w:tc>
        <w:tc>
          <w:tcPr>
            <w:tcW w:w="708" w:type="dxa"/>
            <w:tcBorders>
              <w:top w:val="nil"/>
              <w:left w:val="nil"/>
              <w:bottom w:val="nil"/>
              <w:right w:val="nil"/>
            </w:tcBorders>
            <w:shd w:val="clear" w:color="auto" w:fill="auto"/>
            <w:vAlign w:val="center"/>
            <w:hideMark/>
          </w:tcPr>
          <w:p w14:paraId="0B27F086" w14:textId="77777777" w:rsidR="00FF21C0" w:rsidRPr="00872A66" w:rsidRDefault="00FF21C0" w:rsidP="00FF21C0">
            <w:pPr>
              <w:jc w:val="center"/>
              <w:rPr>
                <w:rFonts w:ascii="Arial" w:hAnsi="Arial" w:cs="Arial"/>
                <w:sz w:val="16"/>
                <w:szCs w:val="16"/>
                <w:lang w:eastAsia="es-AR"/>
              </w:rPr>
            </w:pPr>
          </w:p>
        </w:tc>
        <w:tc>
          <w:tcPr>
            <w:tcW w:w="1097" w:type="dxa"/>
            <w:tcBorders>
              <w:top w:val="nil"/>
              <w:left w:val="nil"/>
              <w:bottom w:val="nil"/>
              <w:right w:val="nil"/>
            </w:tcBorders>
            <w:shd w:val="clear" w:color="auto" w:fill="auto"/>
            <w:hideMark/>
          </w:tcPr>
          <w:p w14:paraId="1642EA26" w14:textId="77777777" w:rsidR="00FF21C0" w:rsidRPr="00872A66" w:rsidRDefault="00FF21C0" w:rsidP="00FF21C0">
            <w:pPr>
              <w:jc w:val="cente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201D6064"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hideMark/>
          </w:tcPr>
          <w:p w14:paraId="220792BA" w14:textId="77777777" w:rsidR="00FF21C0" w:rsidRPr="00872A66" w:rsidRDefault="00FF21C0" w:rsidP="00FF21C0">
            <w:pPr>
              <w:rPr>
                <w:rFonts w:ascii="Arial" w:hAnsi="Arial" w:cs="Arial"/>
                <w:sz w:val="16"/>
                <w:szCs w:val="16"/>
                <w:lang w:eastAsia="es-AR"/>
              </w:rPr>
            </w:pPr>
          </w:p>
        </w:tc>
        <w:tc>
          <w:tcPr>
            <w:tcW w:w="993" w:type="dxa"/>
            <w:tcBorders>
              <w:top w:val="nil"/>
              <w:left w:val="nil"/>
              <w:bottom w:val="nil"/>
              <w:right w:val="nil"/>
            </w:tcBorders>
            <w:shd w:val="clear" w:color="auto" w:fill="auto"/>
            <w:hideMark/>
          </w:tcPr>
          <w:p w14:paraId="405BAD5A" w14:textId="77777777" w:rsidR="00FF21C0" w:rsidRPr="00872A66" w:rsidRDefault="00FF21C0" w:rsidP="00FF21C0">
            <w:pPr>
              <w:rPr>
                <w:rFonts w:ascii="Arial" w:hAnsi="Arial" w:cs="Arial"/>
                <w:sz w:val="16"/>
                <w:szCs w:val="16"/>
                <w:lang w:eastAsia="es-AR"/>
              </w:rPr>
            </w:pPr>
          </w:p>
        </w:tc>
        <w:tc>
          <w:tcPr>
            <w:tcW w:w="941" w:type="dxa"/>
            <w:tcBorders>
              <w:top w:val="nil"/>
              <w:left w:val="nil"/>
              <w:bottom w:val="nil"/>
              <w:right w:val="nil"/>
            </w:tcBorders>
            <w:shd w:val="clear" w:color="auto" w:fill="auto"/>
            <w:vAlign w:val="center"/>
            <w:hideMark/>
          </w:tcPr>
          <w:p w14:paraId="18163289" w14:textId="77777777" w:rsidR="00FF21C0" w:rsidRPr="00872A66" w:rsidRDefault="00FF21C0" w:rsidP="00872A66">
            <w:pPr>
              <w:jc w:val="center"/>
              <w:rPr>
                <w:rFonts w:ascii="Arial" w:hAnsi="Arial" w:cs="Arial"/>
                <w:sz w:val="16"/>
                <w:szCs w:val="16"/>
                <w:highlight w:val="yellow"/>
                <w:lang w:eastAsia="es-AR"/>
              </w:rPr>
            </w:pPr>
          </w:p>
        </w:tc>
        <w:tc>
          <w:tcPr>
            <w:tcW w:w="760" w:type="dxa"/>
            <w:tcBorders>
              <w:top w:val="nil"/>
              <w:left w:val="nil"/>
              <w:bottom w:val="nil"/>
              <w:right w:val="nil"/>
            </w:tcBorders>
            <w:shd w:val="clear" w:color="auto" w:fill="auto"/>
            <w:vAlign w:val="center"/>
            <w:hideMark/>
          </w:tcPr>
          <w:p w14:paraId="269D6745" w14:textId="77777777" w:rsidR="00FF21C0" w:rsidRPr="00872A66" w:rsidRDefault="00FF21C0" w:rsidP="00872A66">
            <w:pPr>
              <w:jc w:val="center"/>
              <w:rPr>
                <w:rFonts w:ascii="Arial" w:hAnsi="Arial" w:cs="Arial"/>
                <w:sz w:val="16"/>
                <w:szCs w:val="16"/>
                <w:highlight w:val="yellow"/>
                <w:lang w:eastAsia="es-AR"/>
              </w:rPr>
            </w:pPr>
          </w:p>
        </w:tc>
        <w:tc>
          <w:tcPr>
            <w:tcW w:w="992" w:type="dxa"/>
            <w:tcBorders>
              <w:top w:val="nil"/>
              <w:left w:val="nil"/>
              <w:bottom w:val="nil"/>
              <w:right w:val="nil"/>
            </w:tcBorders>
            <w:shd w:val="clear" w:color="auto" w:fill="auto"/>
            <w:vAlign w:val="center"/>
            <w:hideMark/>
          </w:tcPr>
          <w:p w14:paraId="7F8F9010" w14:textId="77777777" w:rsidR="00FF21C0" w:rsidRPr="00872A66" w:rsidRDefault="00FF21C0" w:rsidP="00872A66">
            <w:pPr>
              <w:jc w:val="center"/>
              <w:rPr>
                <w:rFonts w:ascii="Arial" w:hAnsi="Arial" w:cs="Arial"/>
                <w:sz w:val="16"/>
                <w:szCs w:val="16"/>
                <w:highlight w:val="yellow"/>
                <w:lang w:eastAsia="es-AR"/>
              </w:rPr>
            </w:pPr>
          </w:p>
        </w:tc>
        <w:tc>
          <w:tcPr>
            <w:tcW w:w="850" w:type="dxa"/>
            <w:tcBorders>
              <w:top w:val="nil"/>
              <w:left w:val="nil"/>
              <w:bottom w:val="nil"/>
              <w:right w:val="nil"/>
            </w:tcBorders>
            <w:shd w:val="clear" w:color="auto" w:fill="auto"/>
            <w:vAlign w:val="center"/>
            <w:hideMark/>
          </w:tcPr>
          <w:p w14:paraId="4196B963" w14:textId="77777777" w:rsidR="00FF21C0" w:rsidRPr="00872A66" w:rsidRDefault="00FF21C0" w:rsidP="00872A66">
            <w:pPr>
              <w:jc w:val="center"/>
              <w:rPr>
                <w:rFonts w:ascii="Arial" w:hAnsi="Arial" w:cs="Arial"/>
                <w:sz w:val="16"/>
                <w:szCs w:val="16"/>
                <w:highlight w:val="yellow"/>
                <w:lang w:eastAsia="es-AR"/>
              </w:rPr>
            </w:pPr>
          </w:p>
        </w:tc>
      </w:tr>
      <w:tr w:rsidR="00FF21C0" w:rsidRPr="00872A66" w14:paraId="7B292044" w14:textId="77777777" w:rsidTr="006E1AF7">
        <w:trPr>
          <w:trHeight w:val="376"/>
        </w:trPr>
        <w:tc>
          <w:tcPr>
            <w:tcW w:w="1413" w:type="dxa"/>
            <w:tcBorders>
              <w:top w:val="nil"/>
              <w:left w:val="nil"/>
              <w:bottom w:val="nil"/>
              <w:right w:val="nil"/>
            </w:tcBorders>
            <w:shd w:val="clear" w:color="auto" w:fill="auto"/>
            <w:hideMark/>
          </w:tcPr>
          <w:p w14:paraId="0129345B" w14:textId="77777777"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11-30707914692</w:t>
            </w:r>
          </w:p>
        </w:tc>
        <w:tc>
          <w:tcPr>
            <w:tcW w:w="3260" w:type="dxa"/>
            <w:tcBorders>
              <w:top w:val="nil"/>
              <w:left w:val="nil"/>
              <w:bottom w:val="nil"/>
              <w:right w:val="nil"/>
            </w:tcBorders>
            <w:shd w:val="clear" w:color="auto" w:fill="auto"/>
            <w:hideMark/>
          </w:tcPr>
          <w:p w14:paraId="24CA3345" w14:textId="77777777"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Tarjeta Automática S.A.</w:t>
            </w:r>
          </w:p>
        </w:tc>
        <w:tc>
          <w:tcPr>
            <w:tcW w:w="1030" w:type="dxa"/>
            <w:tcBorders>
              <w:top w:val="nil"/>
              <w:left w:val="nil"/>
              <w:bottom w:val="nil"/>
              <w:right w:val="nil"/>
            </w:tcBorders>
            <w:shd w:val="clear" w:color="auto" w:fill="auto"/>
            <w:hideMark/>
          </w:tcPr>
          <w:p w14:paraId="7C1D97FC" w14:textId="77777777"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 xml:space="preserve"> Ordinarias </w:t>
            </w:r>
          </w:p>
        </w:tc>
        <w:tc>
          <w:tcPr>
            <w:tcW w:w="851" w:type="dxa"/>
            <w:tcBorders>
              <w:top w:val="nil"/>
              <w:left w:val="nil"/>
              <w:bottom w:val="nil"/>
              <w:right w:val="nil"/>
            </w:tcBorders>
            <w:shd w:val="clear" w:color="auto" w:fill="auto"/>
            <w:hideMark/>
          </w:tcPr>
          <w:p w14:paraId="165C938D" w14:textId="77777777" w:rsidR="00FF21C0" w:rsidRPr="00872A66" w:rsidRDefault="00FF21C0" w:rsidP="00FF21C0">
            <w:pPr>
              <w:jc w:val="center"/>
              <w:rPr>
                <w:rFonts w:ascii="Arial" w:hAnsi="Arial" w:cs="Arial"/>
                <w:sz w:val="16"/>
                <w:szCs w:val="16"/>
                <w:lang w:eastAsia="es-AR"/>
              </w:rPr>
            </w:pPr>
            <w:r w:rsidRPr="00872A66">
              <w:rPr>
                <w:rFonts w:ascii="Arial" w:hAnsi="Arial" w:cs="Arial"/>
                <w:sz w:val="16"/>
                <w:szCs w:val="16"/>
                <w:lang w:eastAsia="es-AR"/>
              </w:rPr>
              <w:t xml:space="preserve">            1 </w:t>
            </w:r>
          </w:p>
        </w:tc>
        <w:tc>
          <w:tcPr>
            <w:tcW w:w="708" w:type="dxa"/>
            <w:tcBorders>
              <w:top w:val="nil"/>
              <w:left w:val="nil"/>
              <w:bottom w:val="nil"/>
              <w:right w:val="nil"/>
            </w:tcBorders>
            <w:shd w:val="clear" w:color="auto" w:fill="auto"/>
            <w:hideMark/>
          </w:tcPr>
          <w:p w14:paraId="789540CA" w14:textId="77777777" w:rsidR="00FF21C0" w:rsidRPr="00872A66" w:rsidRDefault="00FF21C0" w:rsidP="00FF21C0">
            <w:pPr>
              <w:jc w:val="center"/>
              <w:rPr>
                <w:rFonts w:ascii="Arial" w:hAnsi="Arial" w:cs="Arial"/>
                <w:sz w:val="16"/>
                <w:szCs w:val="16"/>
                <w:lang w:eastAsia="es-AR"/>
              </w:rPr>
            </w:pPr>
            <w:r w:rsidRPr="00872A66">
              <w:rPr>
                <w:rFonts w:ascii="Arial" w:hAnsi="Arial" w:cs="Arial"/>
                <w:sz w:val="16"/>
                <w:szCs w:val="16"/>
                <w:lang w:eastAsia="es-AR"/>
              </w:rPr>
              <w:t xml:space="preserve">         1 </w:t>
            </w:r>
          </w:p>
        </w:tc>
        <w:tc>
          <w:tcPr>
            <w:tcW w:w="1097" w:type="dxa"/>
            <w:tcBorders>
              <w:top w:val="nil"/>
              <w:left w:val="nil"/>
              <w:bottom w:val="nil"/>
              <w:right w:val="nil"/>
            </w:tcBorders>
            <w:shd w:val="clear" w:color="auto" w:fill="auto"/>
            <w:hideMark/>
          </w:tcPr>
          <w:p w14:paraId="10E38AE9" w14:textId="77777777"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 xml:space="preserve">   45.381.900 </w:t>
            </w:r>
          </w:p>
        </w:tc>
        <w:tc>
          <w:tcPr>
            <w:tcW w:w="992" w:type="dxa"/>
            <w:tcBorders>
              <w:top w:val="nil"/>
              <w:left w:val="nil"/>
              <w:bottom w:val="nil"/>
              <w:right w:val="nil"/>
            </w:tcBorders>
            <w:shd w:val="clear" w:color="auto" w:fill="auto"/>
          </w:tcPr>
          <w:p w14:paraId="0454B423" w14:textId="78505794" w:rsidR="00FF21C0" w:rsidRPr="00872A66" w:rsidRDefault="009F2187" w:rsidP="002122B7">
            <w:pPr>
              <w:jc w:val="right"/>
              <w:rPr>
                <w:rFonts w:ascii="Arial" w:hAnsi="Arial" w:cs="Arial"/>
                <w:sz w:val="16"/>
                <w:szCs w:val="16"/>
                <w:lang w:eastAsia="es-AR"/>
              </w:rPr>
            </w:pPr>
            <w:r>
              <w:rPr>
                <w:rFonts w:ascii="Arial" w:hAnsi="Arial" w:cs="Arial"/>
                <w:sz w:val="16"/>
                <w:szCs w:val="16"/>
                <w:lang w:eastAsia="es-AR"/>
              </w:rPr>
              <w:t>33.483</w:t>
            </w:r>
          </w:p>
        </w:tc>
        <w:tc>
          <w:tcPr>
            <w:tcW w:w="992" w:type="dxa"/>
            <w:tcBorders>
              <w:top w:val="nil"/>
              <w:left w:val="nil"/>
              <w:bottom w:val="nil"/>
              <w:right w:val="nil"/>
            </w:tcBorders>
            <w:shd w:val="clear" w:color="auto" w:fill="auto"/>
          </w:tcPr>
          <w:p w14:paraId="408F4BA0" w14:textId="2227A26D" w:rsidR="00FF21C0" w:rsidRPr="00872A66" w:rsidRDefault="009F2187" w:rsidP="002122B7">
            <w:pPr>
              <w:jc w:val="right"/>
              <w:rPr>
                <w:rFonts w:ascii="Arial" w:hAnsi="Arial" w:cs="Arial"/>
                <w:sz w:val="16"/>
                <w:szCs w:val="16"/>
                <w:lang w:eastAsia="es-AR"/>
              </w:rPr>
            </w:pPr>
            <w:r>
              <w:rPr>
                <w:rFonts w:ascii="Arial" w:hAnsi="Arial" w:cs="Arial"/>
                <w:sz w:val="16"/>
                <w:szCs w:val="16"/>
                <w:lang w:eastAsia="es-AR"/>
              </w:rPr>
              <w:t>39.046</w:t>
            </w:r>
          </w:p>
        </w:tc>
        <w:tc>
          <w:tcPr>
            <w:tcW w:w="993" w:type="dxa"/>
            <w:tcBorders>
              <w:top w:val="nil"/>
              <w:left w:val="nil"/>
              <w:bottom w:val="nil"/>
              <w:right w:val="nil"/>
            </w:tcBorders>
            <w:shd w:val="clear" w:color="auto" w:fill="auto"/>
            <w:hideMark/>
          </w:tcPr>
          <w:p w14:paraId="5FC813C3" w14:textId="77777777" w:rsidR="00FF21C0" w:rsidRPr="00872A66" w:rsidRDefault="00FF21C0" w:rsidP="00FF21C0">
            <w:pPr>
              <w:rPr>
                <w:rFonts w:ascii="Arial" w:hAnsi="Arial" w:cs="Arial"/>
                <w:sz w:val="16"/>
                <w:szCs w:val="16"/>
                <w:lang w:eastAsia="es-AR"/>
              </w:rPr>
            </w:pPr>
            <w:r w:rsidRPr="00872A66">
              <w:rPr>
                <w:rFonts w:ascii="Arial" w:hAnsi="Arial" w:cs="Arial"/>
                <w:sz w:val="16"/>
                <w:szCs w:val="16"/>
                <w:lang w:eastAsia="es-AR"/>
              </w:rPr>
              <w:t xml:space="preserve"> Serv. financieros </w:t>
            </w:r>
          </w:p>
        </w:tc>
        <w:tc>
          <w:tcPr>
            <w:tcW w:w="941" w:type="dxa"/>
            <w:tcBorders>
              <w:top w:val="nil"/>
              <w:left w:val="nil"/>
              <w:bottom w:val="nil"/>
              <w:right w:val="nil"/>
            </w:tcBorders>
            <w:shd w:val="clear" w:color="auto" w:fill="auto"/>
            <w:vAlign w:val="center"/>
            <w:hideMark/>
          </w:tcPr>
          <w:p w14:paraId="19AB05F8" w14:textId="438A0690" w:rsidR="00FF21C0" w:rsidRPr="002122B7" w:rsidRDefault="00FF21C0" w:rsidP="00872A66">
            <w:pPr>
              <w:jc w:val="center"/>
              <w:rPr>
                <w:rFonts w:ascii="Arial" w:hAnsi="Arial" w:cs="Arial"/>
                <w:sz w:val="16"/>
                <w:szCs w:val="16"/>
                <w:lang w:eastAsia="es-AR"/>
              </w:rPr>
            </w:pPr>
            <w:r w:rsidRPr="002122B7">
              <w:rPr>
                <w:rFonts w:ascii="Arial" w:hAnsi="Arial" w:cs="Arial"/>
                <w:sz w:val="16"/>
                <w:szCs w:val="16"/>
                <w:lang w:eastAsia="es-AR"/>
              </w:rPr>
              <w:t>31/12/201</w:t>
            </w:r>
            <w:r w:rsidR="002122B7" w:rsidRPr="002122B7">
              <w:rPr>
                <w:rFonts w:ascii="Arial" w:hAnsi="Arial" w:cs="Arial"/>
                <w:sz w:val="16"/>
                <w:szCs w:val="16"/>
                <w:lang w:eastAsia="es-AR"/>
              </w:rPr>
              <w:t>9</w:t>
            </w:r>
          </w:p>
        </w:tc>
        <w:tc>
          <w:tcPr>
            <w:tcW w:w="760" w:type="dxa"/>
            <w:tcBorders>
              <w:top w:val="nil"/>
              <w:left w:val="nil"/>
              <w:bottom w:val="nil"/>
              <w:right w:val="nil"/>
            </w:tcBorders>
            <w:shd w:val="clear" w:color="auto" w:fill="auto"/>
            <w:vAlign w:val="center"/>
            <w:hideMark/>
          </w:tcPr>
          <w:p w14:paraId="5110C4AC" w14:textId="74E36D03" w:rsidR="00FF21C0" w:rsidRPr="002122B7" w:rsidRDefault="002122B7" w:rsidP="00872A66">
            <w:pPr>
              <w:jc w:val="center"/>
              <w:rPr>
                <w:rFonts w:ascii="Arial" w:hAnsi="Arial" w:cs="Arial"/>
                <w:sz w:val="16"/>
                <w:szCs w:val="16"/>
                <w:lang w:eastAsia="es-AR"/>
              </w:rPr>
            </w:pPr>
            <w:r w:rsidRPr="002122B7">
              <w:rPr>
                <w:rFonts w:ascii="Arial" w:hAnsi="Arial" w:cs="Arial"/>
                <w:sz w:val="16"/>
                <w:szCs w:val="16"/>
                <w:lang w:eastAsia="es-AR"/>
              </w:rPr>
              <w:t>453</w:t>
            </w:r>
            <w:r w:rsidR="00FF21C0" w:rsidRPr="002122B7">
              <w:rPr>
                <w:rFonts w:ascii="Arial" w:hAnsi="Arial" w:cs="Arial"/>
                <w:sz w:val="16"/>
                <w:szCs w:val="16"/>
                <w:lang w:eastAsia="es-AR"/>
              </w:rPr>
              <w:t>.</w:t>
            </w:r>
            <w:r w:rsidRPr="002122B7">
              <w:rPr>
                <w:rFonts w:ascii="Arial" w:hAnsi="Arial" w:cs="Arial"/>
                <w:sz w:val="16"/>
                <w:szCs w:val="16"/>
                <w:lang w:eastAsia="es-AR"/>
              </w:rPr>
              <w:t>8</w:t>
            </w:r>
            <w:r w:rsidR="00FF21C0" w:rsidRPr="002122B7">
              <w:rPr>
                <w:rFonts w:ascii="Arial" w:hAnsi="Arial" w:cs="Arial"/>
                <w:sz w:val="16"/>
                <w:szCs w:val="16"/>
                <w:lang w:eastAsia="es-AR"/>
              </w:rPr>
              <w:t>1</w:t>
            </w:r>
            <w:r w:rsidRPr="002122B7">
              <w:rPr>
                <w:rFonts w:ascii="Arial" w:hAnsi="Arial" w:cs="Arial"/>
                <w:sz w:val="16"/>
                <w:szCs w:val="16"/>
                <w:lang w:eastAsia="es-AR"/>
              </w:rPr>
              <w:t>9</w:t>
            </w:r>
          </w:p>
        </w:tc>
        <w:tc>
          <w:tcPr>
            <w:tcW w:w="992" w:type="dxa"/>
            <w:tcBorders>
              <w:top w:val="nil"/>
              <w:left w:val="nil"/>
              <w:bottom w:val="nil"/>
              <w:right w:val="nil"/>
            </w:tcBorders>
            <w:shd w:val="clear" w:color="auto" w:fill="auto"/>
            <w:vAlign w:val="center"/>
            <w:hideMark/>
          </w:tcPr>
          <w:p w14:paraId="0B55E290" w14:textId="4A4EC794" w:rsidR="00FF21C0" w:rsidRPr="002122B7" w:rsidRDefault="002122B7" w:rsidP="00872A66">
            <w:pPr>
              <w:jc w:val="center"/>
              <w:rPr>
                <w:rFonts w:ascii="Arial" w:hAnsi="Arial" w:cs="Arial"/>
                <w:sz w:val="16"/>
                <w:szCs w:val="16"/>
                <w:lang w:eastAsia="es-AR"/>
              </w:rPr>
            </w:pPr>
            <w:r w:rsidRPr="002122B7">
              <w:rPr>
                <w:rFonts w:ascii="Arial" w:hAnsi="Arial" w:cs="Arial"/>
                <w:sz w:val="16"/>
                <w:szCs w:val="16"/>
                <w:lang w:eastAsia="es-AR"/>
              </w:rPr>
              <w:t>33</w:t>
            </w:r>
            <w:r w:rsidR="00FF21C0" w:rsidRPr="002122B7">
              <w:rPr>
                <w:rFonts w:ascii="Arial" w:hAnsi="Arial" w:cs="Arial"/>
                <w:sz w:val="16"/>
                <w:szCs w:val="16"/>
                <w:lang w:eastAsia="es-AR"/>
              </w:rPr>
              <w:t>4.</w:t>
            </w:r>
            <w:r w:rsidRPr="002122B7">
              <w:rPr>
                <w:rFonts w:ascii="Arial" w:hAnsi="Arial" w:cs="Arial"/>
                <w:sz w:val="16"/>
                <w:szCs w:val="16"/>
                <w:lang w:eastAsia="es-AR"/>
              </w:rPr>
              <w:t>8</w:t>
            </w:r>
            <w:r w:rsidR="00FF21C0" w:rsidRPr="002122B7">
              <w:rPr>
                <w:rFonts w:ascii="Arial" w:hAnsi="Arial" w:cs="Arial"/>
                <w:sz w:val="16"/>
                <w:szCs w:val="16"/>
                <w:lang w:eastAsia="es-AR"/>
              </w:rPr>
              <w:t>30</w:t>
            </w:r>
          </w:p>
        </w:tc>
        <w:tc>
          <w:tcPr>
            <w:tcW w:w="850" w:type="dxa"/>
            <w:tcBorders>
              <w:top w:val="nil"/>
              <w:left w:val="nil"/>
              <w:bottom w:val="nil"/>
              <w:right w:val="nil"/>
            </w:tcBorders>
            <w:shd w:val="clear" w:color="auto" w:fill="auto"/>
            <w:vAlign w:val="center"/>
            <w:hideMark/>
          </w:tcPr>
          <w:p w14:paraId="78E16D40" w14:textId="7D638C84" w:rsidR="00FF21C0" w:rsidRPr="002122B7" w:rsidRDefault="00FF21C0" w:rsidP="00872A66">
            <w:pPr>
              <w:jc w:val="center"/>
              <w:rPr>
                <w:rFonts w:ascii="Arial" w:hAnsi="Arial" w:cs="Arial"/>
                <w:sz w:val="16"/>
                <w:szCs w:val="16"/>
                <w:lang w:eastAsia="es-AR"/>
              </w:rPr>
            </w:pPr>
            <w:r w:rsidRPr="002122B7">
              <w:rPr>
                <w:rFonts w:ascii="Arial" w:hAnsi="Arial" w:cs="Arial"/>
                <w:sz w:val="16"/>
                <w:szCs w:val="16"/>
                <w:lang w:eastAsia="es-AR"/>
              </w:rPr>
              <w:t>-</w:t>
            </w:r>
            <w:r w:rsidR="002122B7" w:rsidRPr="002122B7">
              <w:rPr>
                <w:rFonts w:ascii="Arial" w:hAnsi="Arial" w:cs="Arial"/>
                <w:sz w:val="16"/>
                <w:szCs w:val="16"/>
                <w:lang w:eastAsia="es-AR"/>
              </w:rPr>
              <w:t>55</w:t>
            </w:r>
            <w:r w:rsidRPr="002122B7">
              <w:rPr>
                <w:rFonts w:ascii="Arial" w:hAnsi="Arial" w:cs="Arial"/>
                <w:sz w:val="16"/>
                <w:szCs w:val="16"/>
                <w:lang w:eastAsia="es-AR"/>
              </w:rPr>
              <w:t>.</w:t>
            </w:r>
            <w:r w:rsidR="002122B7" w:rsidRPr="002122B7">
              <w:rPr>
                <w:rFonts w:ascii="Arial" w:hAnsi="Arial" w:cs="Arial"/>
                <w:sz w:val="16"/>
                <w:szCs w:val="16"/>
                <w:lang w:eastAsia="es-AR"/>
              </w:rPr>
              <w:t>635</w:t>
            </w:r>
          </w:p>
        </w:tc>
      </w:tr>
      <w:tr w:rsidR="00872A66" w:rsidRPr="00872A66" w14:paraId="751DC4B4" w14:textId="77777777" w:rsidTr="006E1AF7">
        <w:trPr>
          <w:trHeight w:val="240"/>
        </w:trPr>
        <w:tc>
          <w:tcPr>
            <w:tcW w:w="1413" w:type="dxa"/>
            <w:tcBorders>
              <w:top w:val="nil"/>
              <w:left w:val="nil"/>
              <w:bottom w:val="nil"/>
              <w:right w:val="nil"/>
            </w:tcBorders>
            <w:shd w:val="clear" w:color="auto" w:fill="auto"/>
            <w:hideMark/>
          </w:tcPr>
          <w:p w14:paraId="4645F20F" w14:textId="77777777" w:rsidR="00872A66" w:rsidRPr="00872A66" w:rsidRDefault="00872A66" w:rsidP="00FF21C0">
            <w:pPr>
              <w:rPr>
                <w:rFonts w:ascii="Arial" w:hAnsi="Arial" w:cs="Arial"/>
                <w:sz w:val="16"/>
                <w:szCs w:val="16"/>
                <w:lang w:eastAsia="es-AR"/>
              </w:rPr>
            </w:pPr>
          </w:p>
        </w:tc>
        <w:tc>
          <w:tcPr>
            <w:tcW w:w="6949" w:type="dxa"/>
            <w:gridSpan w:val="5"/>
            <w:tcBorders>
              <w:top w:val="nil"/>
              <w:left w:val="nil"/>
              <w:bottom w:val="nil"/>
              <w:right w:val="nil"/>
            </w:tcBorders>
            <w:shd w:val="clear" w:color="auto" w:fill="auto"/>
            <w:noWrap/>
            <w:hideMark/>
          </w:tcPr>
          <w:p w14:paraId="0A71EFFC" w14:textId="0FD7D812" w:rsidR="00872A66" w:rsidRPr="00872A66" w:rsidRDefault="00872A66" w:rsidP="00FF21C0">
            <w:pPr>
              <w:rPr>
                <w:rFonts w:ascii="Arial" w:hAnsi="Arial" w:cs="Arial"/>
                <w:b/>
                <w:bCs/>
                <w:sz w:val="16"/>
                <w:szCs w:val="16"/>
                <w:lang w:eastAsia="es-AR"/>
              </w:rPr>
            </w:pPr>
            <w:r w:rsidRPr="00872A66">
              <w:rPr>
                <w:rFonts w:ascii="Arial" w:hAnsi="Arial" w:cs="Arial"/>
                <w:b/>
                <w:bCs/>
                <w:sz w:val="16"/>
                <w:szCs w:val="16"/>
                <w:lang w:eastAsia="es-AR"/>
              </w:rPr>
              <w:t>TOTAL PARTICIPACIONES EN EMPRESAS DE SERVICIOS COMPLEMENTARIOS</w:t>
            </w:r>
          </w:p>
        </w:tc>
        <w:tc>
          <w:tcPr>
            <w:tcW w:w="992" w:type="dxa"/>
            <w:tcBorders>
              <w:top w:val="single" w:sz="4" w:space="0" w:color="auto"/>
              <w:left w:val="nil"/>
              <w:bottom w:val="single" w:sz="4" w:space="0" w:color="auto"/>
              <w:right w:val="nil"/>
            </w:tcBorders>
            <w:shd w:val="clear" w:color="auto" w:fill="auto"/>
          </w:tcPr>
          <w:p w14:paraId="50103BDC" w14:textId="096ECF4D" w:rsidR="00872A66" w:rsidRPr="00872A66" w:rsidRDefault="006E50BD" w:rsidP="006E50BD">
            <w:pPr>
              <w:jc w:val="right"/>
              <w:rPr>
                <w:rFonts w:ascii="Arial" w:hAnsi="Arial" w:cs="Arial"/>
                <w:b/>
                <w:bCs/>
                <w:sz w:val="16"/>
                <w:szCs w:val="16"/>
                <w:lang w:eastAsia="es-AR"/>
              </w:rPr>
            </w:pPr>
            <w:r>
              <w:rPr>
                <w:rFonts w:ascii="Arial" w:hAnsi="Arial" w:cs="Arial"/>
                <w:b/>
                <w:bCs/>
                <w:sz w:val="16"/>
                <w:szCs w:val="16"/>
                <w:lang w:eastAsia="es-AR"/>
              </w:rPr>
              <w:t>33.483</w:t>
            </w:r>
          </w:p>
        </w:tc>
        <w:tc>
          <w:tcPr>
            <w:tcW w:w="992" w:type="dxa"/>
            <w:tcBorders>
              <w:top w:val="single" w:sz="4" w:space="0" w:color="auto"/>
              <w:left w:val="nil"/>
              <w:bottom w:val="single" w:sz="4" w:space="0" w:color="auto"/>
              <w:right w:val="nil"/>
            </w:tcBorders>
            <w:shd w:val="clear" w:color="auto" w:fill="auto"/>
          </w:tcPr>
          <w:p w14:paraId="19D5524C" w14:textId="0553CB41" w:rsidR="00872A66" w:rsidRPr="00872A66" w:rsidRDefault="006E50BD" w:rsidP="006E50BD">
            <w:pPr>
              <w:jc w:val="right"/>
              <w:rPr>
                <w:rFonts w:ascii="Arial" w:hAnsi="Arial" w:cs="Arial"/>
                <w:b/>
                <w:bCs/>
                <w:sz w:val="16"/>
                <w:szCs w:val="16"/>
                <w:lang w:eastAsia="es-AR"/>
              </w:rPr>
            </w:pPr>
            <w:r>
              <w:rPr>
                <w:rFonts w:ascii="Arial" w:hAnsi="Arial" w:cs="Arial"/>
                <w:b/>
                <w:bCs/>
                <w:sz w:val="16"/>
                <w:szCs w:val="16"/>
                <w:lang w:eastAsia="es-AR"/>
              </w:rPr>
              <w:t>39.046</w:t>
            </w:r>
          </w:p>
        </w:tc>
        <w:tc>
          <w:tcPr>
            <w:tcW w:w="993" w:type="dxa"/>
            <w:tcBorders>
              <w:top w:val="nil"/>
              <w:left w:val="nil"/>
              <w:bottom w:val="nil"/>
              <w:right w:val="nil"/>
            </w:tcBorders>
            <w:shd w:val="clear" w:color="auto" w:fill="auto"/>
            <w:hideMark/>
          </w:tcPr>
          <w:p w14:paraId="7BEE2764" w14:textId="77777777" w:rsidR="00872A66" w:rsidRPr="00872A66" w:rsidRDefault="00872A66" w:rsidP="00FF21C0">
            <w:pPr>
              <w:rPr>
                <w:rFonts w:ascii="Arial" w:hAnsi="Arial" w:cs="Arial"/>
                <w:b/>
                <w:bCs/>
                <w:sz w:val="16"/>
                <w:szCs w:val="16"/>
                <w:lang w:eastAsia="es-AR"/>
              </w:rPr>
            </w:pPr>
          </w:p>
        </w:tc>
        <w:tc>
          <w:tcPr>
            <w:tcW w:w="941" w:type="dxa"/>
            <w:tcBorders>
              <w:top w:val="nil"/>
              <w:left w:val="nil"/>
              <w:bottom w:val="nil"/>
              <w:right w:val="nil"/>
            </w:tcBorders>
            <w:shd w:val="clear" w:color="auto" w:fill="auto"/>
            <w:vAlign w:val="center"/>
            <w:hideMark/>
          </w:tcPr>
          <w:p w14:paraId="7A6A26DA" w14:textId="77777777" w:rsidR="00872A66" w:rsidRPr="00872A66" w:rsidRDefault="00872A66" w:rsidP="00872A66">
            <w:pPr>
              <w:jc w:val="center"/>
              <w:rPr>
                <w:rFonts w:ascii="Arial" w:hAnsi="Arial" w:cs="Arial"/>
                <w:sz w:val="16"/>
                <w:szCs w:val="16"/>
                <w:lang w:eastAsia="es-AR"/>
              </w:rPr>
            </w:pPr>
          </w:p>
        </w:tc>
        <w:tc>
          <w:tcPr>
            <w:tcW w:w="760" w:type="dxa"/>
            <w:tcBorders>
              <w:top w:val="nil"/>
              <w:left w:val="nil"/>
              <w:bottom w:val="nil"/>
              <w:right w:val="nil"/>
            </w:tcBorders>
            <w:shd w:val="clear" w:color="auto" w:fill="auto"/>
            <w:vAlign w:val="center"/>
            <w:hideMark/>
          </w:tcPr>
          <w:p w14:paraId="55617F64" w14:textId="77777777" w:rsidR="00872A66" w:rsidRPr="00872A66" w:rsidRDefault="00872A66" w:rsidP="00872A66">
            <w:pPr>
              <w:jc w:val="center"/>
              <w:rPr>
                <w:rFonts w:ascii="Arial" w:hAnsi="Arial" w:cs="Arial"/>
                <w:sz w:val="16"/>
                <w:szCs w:val="16"/>
                <w:lang w:eastAsia="es-AR"/>
              </w:rPr>
            </w:pPr>
          </w:p>
        </w:tc>
        <w:tc>
          <w:tcPr>
            <w:tcW w:w="992" w:type="dxa"/>
            <w:tcBorders>
              <w:top w:val="nil"/>
              <w:left w:val="nil"/>
              <w:bottom w:val="nil"/>
              <w:right w:val="nil"/>
            </w:tcBorders>
            <w:shd w:val="clear" w:color="auto" w:fill="auto"/>
            <w:vAlign w:val="center"/>
            <w:hideMark/>
          </w:tcPr>
          <w:p w14:paraId="18610575" w14:textId="77777777" w:rsidR="00872A66" w:rsidRPr="00872A66" w:rsidRDefault="00872A66" w:rsidP="00872A66">
            <w:pPr>
              <w:jc w:val="center"/>
              <w:rPr>
                <w:rFonts w:ascii="Arial" w:hAnsi="Arial" w:cs="Arial"/>
                <w:sz w:val="16"/>
                <w:szCs w:val="16"/>
                <w:lang w:eastAsia="es-AR"/>
              </w:rPr>
            </w:pPr>
          </w:p>
        </w:tc>
        <w:tc>
          <w:tcPr>
            <w:tcW w:w="850" w:type="dxa"/>
            <w:tcBorders>
              <w:top w:val="nil"/>
              <w:left w:val="nil"/>
              <w:bottom w:val="nil"/>
              <w:right w:val="nil"/>
            </w:tcBorders>
            <w:shd w:val="clear" w:color="auto" w:fill="auto"/>
            <w:vAlign w:val="center"/>
            <w:hideMark/>
          </w:tcPr>
          <w:p w14:paraId="5D1B2315" w14:textId="77777777" w:rsidR="00872A66" w:rsidRPr="00872A66" w:rsidRDefault="00872A66" w:rsidP="00872A66">
            <w:pPr>
              <w:jc w:val="center"/>
              <w:rPr>
                <w:rFonts w:ascii="Arial" w:hAnsi="Arial" w:cs="Arial"/>
                <w:sz w:val="16"/>
                <w:szCs w:val="16"/>
                <w:lang w:eastAsia="es-AR"/>
              </w:rPr>
            </w:pPr>
          </w:p>
        </w:tc>
      </w:tr>
      <w:tr w:rsidR="00FF21C0" w:rsidRPr="00872A66" w14:paraId="58868C8F" w14:textId="77777777" w:rsidTr="006E1AF7">
        <w:trPr>
          <w:trHeight w:val="70"/>
        </w:trPr>
        <w:tc>
          <w:tcPr>
            <w:tcW w:w="1413" w:type="dxa"/>
            <w:tcBorders>
              <w:top w:val="nil"/>
              <w:left w:val="nil"/>
              <w:bottom w:val="nil"/>
              <w:right w:val="nil"/>
            </w:tcBorders>
            <w:shd w:val="clear" w:color="auto" w:fill="auto"/>
            <w:noWrap/>
            <w:hideMark/>
          </w:tcPr>
          <w:p w14:paraId="121012B2" w14:textId="77777777" w:rsidR="00FF21C0" w:rsidRPr="00872A66" w:rsidRDefault="00FF21C0" w:rsidP="00FF21C0">
            <w:pPr>
              <w:rPr>
                <w:rFonts w:ascii="Arial" w:hAnsi="Arial" w:cs="Arial"/>
                <w:sz w:val="16"/>
                <w:szCs w:val="16"/>
                <w:lang w:eastAsia="es-AR"/>
              </w:rPr>
            </w:pPr>
          </w:p>
        </w:tc>
        <w:tc>
          <w:tcPr>
            <w:tcW w:w="3260" w:type="dxa"/>
            <w:tcBorders>
              <w:top w:val="nil"/>
              <w:left w:val="nil"/>
              <w:bottom w:val="nil"/>
              <w:right w:val="nil"/>
            </w:tcBorders>
            <w:shd w:val="clear" w:color="auto" w:fill="auto"/>
            <w:noWrap/>
            <w:hideMark/>
          </w:tcPr>
          <w:p w14:paraId="0DAA0052" w14:textId="77777777" w:rsidR="00FF21C0" w:rsidRPr="00872A66" w:rsidRDefault="00FF21C0" w:rsidP="00FF21C0">
            <w:pPr>
              <w:rPr>
                <w:rFonts w:ascii="Arial" w:hAnsi="Arial" w:cs="Arial"/>
                <w:sz w:val="16"/>
                <w:szCs w:val="16"/>
                <w:lang w:eastAsia="es-AR"/>
              </w:rPr>
            </w:pPr>
          </w:p>
        </w:tc>
        <w:tc>
          <w:tcPr>
            <w:tcW w:w="1030" w:type="dxa"/>
            <w:tcBorders>
              <w:top w:val="nil"/>
              <w:left w:val="nil"/>
              <w:bottom w:val="nil"/>
              <w:right w:val="nil"/>
            </w:tcBorders>
            <w:shd w:val="clear" w:color="auto" w:fill="auto"/>
            <w:noWrap/>
            <w:hideMark/>
          </w:tcPr>
          <w:p w14:paraId="4DDB1278" w14:textId="77777777" w:rsidR="00FF21C0" w:rsidRPr="00872A66" w:rsidRDefault="00FF21C0" w:rsidP="00FF21C0">
            <w:pPr>
              <w:rPr>
                <w:rFonts w:ascii="Arial" w:hAnsi="Arial" w:cs="Arial"/>
                <w:sz w:val="16"/>
                <w:szCs w:val="16"/>
                <w:lang w:eastAsia="es-AR"/>
              </w:rPr>
            </w:pPr>
          </w:p>
        </w:tc>
        <w:tc>
          <w:tcPr>
            <w:tcW w:w="851" w:type="dxa"/>
            <w:tcBorders>
              <w:top w:val="nil"/>
              <w:left w:val="nil"/>
              <w:bottom w:val="nil"/>
              <w:right w:val="nil"/>
            </w:tcBorders>
            <w:shd w:val="clear" w:color="auto" w:fill="auto"/>
            <w:noWrap/>
            <w:vAlign w:val="center"/>
            <w:hideMark/>
          </w:tcPr>
          <w:p w14:paraId="686066C6" w14:textId="77777777" w:rsidR="00FF21C0" w:rsidRPr="00872A66" w:rsidRDefault="00FF21C0" w:rsidP="00FF21C0">
            <w:pPr>
              <w:rPr>
                <w:rFonts w:ascii="Arial" w:hAnsi="Arial" w:cs="Arial"/>
                <w:sz w:val="16"/>
                <w:szCs w:val="16"/>
                <w:lang w:eastAsia="es-AR"/>
              </w:rPr>
            </w:pPr>
          </w:p>
        </w:tc>
        <w:tc>
          <w:tcPr>
            <w:tcW w:w="708" w:type="dxa"/>
            <w:tcBorders>
              <w:top w:val="nil"/>
              <w:left w:val="nil"/>
              <w:bottom w:val="nil"/>
              <w:right w:val="nil"/>
            </w:tcBorders>
            <w:shd w:val="clear" w:color="auto" w:fill="auto"/>
            <w:noWrap/>
            <w:vAlign w:val="center"/>
            <w:hideMark/>
          </w:tcPr>
          <w:p w14:paraId="5553AA52" w14:textId="77777777" w:rsidR="00FF21C0" w:rsidRPr="00872A66" w:rsidRDefault="00FF21C0" w:rsidP="00FF21C0">
            <w:pPr>
              <w:jc w:val="center"/>
              <w:rPr>
                <w:rFonts w:ascii="Arial" w:hAnsi="Arial" w:cs="Arial"/>
                <w:sz w:val="16"/>
                <w:szCs w:val="16"/>
                <w:lang w:eastAsia="es-AR"/>
              </w:rPr>
            </w:pPr>
          </w:p>
        </w:tc>
        <w:tc>
          <w:tcPr>
            <w:tcW w:w="1097" w:type="dxa"/>
            <w:tcBorders>
              <w:top w:val="nil"/>
              <w:left w:val="nil"/>
              <w:bottom w:val="nil"/>
              <w:right w:val="nil"/>
            </w:tcBorders>
            <w:shd w:val="clear" w:color="auto" w:fill="auto"/>
            <w:noWrap/>
            <w:hideMark/>
          </w:tcPr>
          <w:p w14:paraId="05B9F751" w14:textId="77777777" w:rsidR="00FF21C0" w:rsidRPr="00872A66" w:rsidRDefault="00FF21C0" w:rsidP="00FF21C0">
            <w:pPr>
              <w:jc w:val="center"/>
              <w:rPr>
                <w:rFonts w:ascii="Arial" w:hAnsi="Arial" w:cs="Arial"/>
                <w:sz w:val="16"/>
                <w:szCs w:val="16"/>
                <w:lang w:eastAsia="es-AR"/>
              </w:rPr>
            </w:pPr>
          </w:p>
        </w:tc>
        <w:tc>
          <w:tcPr>
            <w:tcW w:w="992" w:type="dxa"/>
            <w:tcBorders>
              <w:top w:val="nil"/>
              <w:left w:val="nil"/>
              <w:bottom w:val="nil"/>
              <w:right w:val="nil"/>
            </w:tcBorders>
            <w:shd w:val="clear" w:color="auto" w:fill="auto"/>
            <w:noWrap/>
            <w:hideMark/>
          </w:tcPr>
          <w:p w14:paraId="4A5184A4"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noWrap/>
            <w:hideMark/>
          </w:tcPr>
          <w:p w14:paraId="345A537B" w14:textId="77777777" w:rsidR="00FF21C0" w:rsidRPr="00872A66" w:rsidRDefault="00FF21C0" w:rsidP="00FF21C0">
            <w:pPr>
              <w:rPr>
                <w:rFonts w:ascii="Arial" w:hAnsi="Arial" w:cs="Arial"/>
                <w:sz w:val="16"/>
                <w:szCs w:val="16"/>
                <w:lang w:eastAsia="es-AR"/>
              </w:rPr>
            </w:pPr>
          </w:p>
        </w:tc>
        <w:tc>
          <w:tcPr>
            <w:tcW w:w="993" w:type="dxa"/>
            <w:tcBorders>
              <w:top w:val="nil"/>
              <w:left w:val="nil"/>
              <w:bottom w:val="nil"/>
              <w:right w:val="nil"/>
            </w:tcBorders>
            <w:shd w:val="clear" w:color="auto" w:fill="auto"/>
            <w:noWrap/>
            <w:hideMark/>
          </w:tcPr>
          <w:p w14:paraId="51631939" w14:textId="77777777" w:rsidR="00FF21C0" w:rsidRPr="00872A66" w:rsidRDefault="00FF21C0" w:rsidP="00FF21C0">
            <w:pPr>
              <w:rPr>
                <w:rFonts w:ascii="Arial" w:hAnsi="Arial" w:cs="Arial"/>
                <w:sz w:val="16"/>
                <w:szCs w:val="16"/>
                <w:lang w:eastAsia="es-AR"/>
              </w:rPr>
            </w:pPr>
          </w:p>
        </w:tc>
        <w:tc>
          <w:tcPr>
            <w:tcW w:w="941" w:type="dxa"/>
            <w:tcBorders>
              <w:top w:val="nil"/>
              <w:left w:val="nil"/>
              <w:bottom w:val="nil"/>
              <w:right w:val="nil"/>
            </w:tcBorders>
            <w:shd w:val="clear" w:color="auto" w:fill="auto"/>
            <w:noWrap/>
            <w:hideMark/>
          </w:tcPr>
          <w:p w14:paraId="61CB74F9" w14:textId="77777777" w:rsidR="00FF21C0" w:rsidRPr="00872A66" w:rsidRDefault="00FF21C0" w:rsidP="00FF21C0">
            <w:pPr>
              <w:rPr>
                <w:rFonts w:ascii="Arial" w:hAnsi="Arial" w:cs="Arial"/>
                <w:sz w:val="16"/>
                <w:szCs w:val="16"/>
                <w:lang w:eastAsia="es-AR"/>
              </w:rPr>
            </w:pPr>
          </w:p>
        </w:tc>
        <w:tc>
          <w:tcPr>
            <w:tcW w:w="760" w:type="dxa"/>
            <w:tcBorders>
              <w:top w:val="nil"/>
              <w:left w:val="nil"/>
              <w:bottom w:val="nil"/>
              <w:right w:val="nil"/>
            </w:tcBorders>
            <w:shd w:val="clear" w:color="auto" w:fill="auto"/>
            <w:noWrap/>
            <w:hideMark/>
          </w:tcPr>
          <w:p w14:paraId="5553696B"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noWrap/>
            <w:hideMark/>
          </w:tcPr>
          <w:p w14:paraId="7C001C76" w14:textId="77777777" w:rsidR="00FF21C0" w:rsidRPr="00872A66" w:rsidRDefault="00FF21C0" w:rsidP="00FF21C0">
            <w:pPr>
              <w:rPr>
                <w:rFonts w:ascii="Arial" w:hAnsi="Arial" w:cs="Arial"/>
                <w:sz w:val="16"/>
                <w:szCs w:val="16"/>
                <w:lang w:eastAsia="es-AR"/>
              </w:rPr>
            </w:pPr>
          </w:p>
        </w:tc>
        <w:tc>
          <w:tcPr>
            <w:tcW w:w="850" w:type="dxa"/>
            <w:tcBorders>
              <w:top w:val="nil"/>
              <w:left w:val="nil"/>
              <w:bottom w:val="nil"/>
              <w:right w:val="nil"/>
            </w:tcBorders>
            <w:shd w:val="clear" w:color="auto" w:fill="auto"/>
            <w:noWrap/>
            <w:hideMark/>
          </w:tcPr>
          <w:p w14:paraId="2B50DEF8" w14:textId="77777777" w:rsidR="00FF21C0" w:rsidRPr="00872A66" w:rsidRDefault="00FF21C0" w:rsidP="00FF21C0">
            <w:pPr>
              <w:rPr>
                <w:rFonts w:ascii="Arial" w:hAnsi="Arial" w:cs="Arial"/>
                <w:sz w:val="16"/>
                <w:szCs w:val="16"/>
                <w:lang w:eastAsia="es-AR"/>
              </w:rPr>
            </w:pPr>
          </w:p>
        </w:tc>
      </w:tr>
      <w:tr w:rsidR="00FF21C0" w:rsidRPr="00872A66" w14:paraId="371BBA51" w14:textId="77777777" w:rsidTr="006E1AF7">
        <w:trPr>
          <w:trHeight w:val="255"/>
        </w:trPr>
        <w:tc>
          <w:tcPr>
            <w:tcW w:w="1413" w:type="dxa"/>
            <w:tcBorders>
              <w:top w:val="nil"/>
              <w:left w:val="nil"/>
              <w:bottom w:val="nil"/>
              <w:right w:val="nil"/>
            </w:tcBorders>
            <w:shd w:val="clear" w:color="auto" w:fill="auto"/>
            <w:noWrap/>
            <w:hideMark/>
          </w:tcPr>
          <w:p w14:paraId="3CCB3A31" w14:textId="77777777" w:rsidR="00FF21C0" w:rsidRPr="00872A66" w:rsidRDefault="00FF21C0" w:rsidP="00FF21C0">
            <w:pPr>
              <w:rPr>
                <w:rFonts w:ascii="Arial" w:hAnsi="Arial" w:cs="Arial"/>
                <w:sz w:val="16"/>
                <w:szCs w:val="16"/>
                <w:lang w:eastAsia="es-AR"/>
              </w:rPr>
            </w:pPr>
          </w:p>
        </w:tc>
        <w:tc>
          <w:tcPr>
            <w:tcW w:w="4293" w:type="dxa"/>
            <w:gridSpan w:val="2"/>
            <w:tcBorders>
              <w:top w:val="nil"/>
              <w:left w:val="nil"/>
              <w:bottom w:val="nil"/>
              <w:right w:val="nil"/>
            </w:tcBorders>
            <w:shd w:val="clear" w:color="auto" w:fill="auto"/>
            <w:noWrap/>
            <w:hideMark/>
          </w:tcPr>
          <w:p w14:paraId="5B844763" w14:textId="77777777" w:rsidR="00FF21C0" w:rsidRPr="00872A66" w:rsidRDefault="00FF21C0" w:rsidP="00FF21C0">
            <w:pPr>
              <w:rPr>
                <w:rFonts w:ascii="Arial" w:hAnsi="Arial" w:cs="Arial"/>
                <w:b/>
                <w:bCs/>
                <w:sz w:val="16"/>
                <w:szCs w:val="16"/>
                <w:lang w:eastAsia="es-AR"/>
              </w:rPr>
            </w:pPr>
            <w:r w:rsidRPr="00872A66">
              <w:rPr>
                <w:rFonts w:ascii="Arial" w:hAnsi="Arial" w:cs="Arial"/>
                <w:b/>
                <w:bCs/>
                <w:sz w:val="16"/>
                <w:szCs w:val="16"/>
                <w:lang w:eastAsia="es-AR"/>
              </w:rPr>
              <w:t>TOTAL PARTICIPACIONES EN  OTRAS SOCIEDADES</w:t>
            </w:r>
          </w:p>
        </w:tc>
        <w:tc>
          <w:tcPr>
            <w:tcW w:w="851" w:type="dxa"/>
            <w:tcBorders>
              <w:top w:val="nil"/>
              <w:left w:val="nil"/>
              <w:bottom w:val="nil"/>
              <w:right w:val="nil"/>
            </w:tcBorders>
            <w:shd w:val="clear" w:color="auto" w:fill="auto"/>
            <w:noWrap/>
            <w:vAlign w:val="center"/>
            <w:hideMark/>
          </w:tcPr>
          <w:p w14:paraId="7CB375C8" w14:textId="77777777" w:rsidR="00FF21C0" w:rsidRPr="00872A66" w:rsidRDefault="00FF21C0" w:rsidP="00FF21C0">
            <w:pPr>
              <w:rPr>
                <w:rFonts w:ascii="Arial" w:hAnsi="Arial" w:cs="Arial"/>
                <w:b/>
                <w:bCs/>
                <w:sz w:val="16"/>
                <w:szCs w:val="16"/>
                <w:lang w:eastAsia="es-AR"/>
              </w:rPr>
            </w:pPr>
          </w:p>
        </w:tc>
        <w:tc>
          <w:tcPr>
            <w:tcW w:w="708" w:type="dxa"/>
            <w:tcBorders>
              <w:top w:val="nil"/>
              <w:left w:val="nil"/>
              <w:bottom w:val="nil"/>
              <w:right w:val="nil"/>
            </w:tcBorders>
            <w:shd w:val="clear" w:color="auto" w:fill="auto"/>
            <w:noWrap/>
            <w:vAlign w:val="center"/>
            <w:hideMark/>
          </w:tcPr>
          <w:p w14:paraId="0BBA6B2D" w14:textId="77777777" w:rsidR="00FF21C0" w:rsidRPr="00872A66" w:rsidRDefault="00FF21C0" w:rsidP="00FF21C0">
            <w:pPr>
              <w:jc w:val="center"/>
              <w:rPr>
                <w:rFonts w:ascii="Arial" w:hAnsi="Arial" w:cs="Arial"/>
                <w:sz w:val="16"/>
                <w:szCs w:val="16"/>
                <w:lang w:eastAsia="es-AR"/>
              </w:rPr>
            </w:pPr>
          </w:p>
        </w:tc>
        <w:tc>
          <w:tcPr>
            <w:tcW w:w="1097" w:type="dxa"/>
            <w:tcBorders>
              <w:top w:val="nil"/>
              <w:left w:val="nil"/>
              <w:bottom w:val="nil"/>
              <w:right w:val="nil"/>
            </w:tcBorders>
            <w:shd w:val="clear" w:color="auto" w:fill="auto"/>
            <w:noWrap/>
            <w:vAlign w:val="center"/>
            <w:hideMark/>
          </w:tcPr>
          <w:p w14:paraId="09AE5805" w14:textId="77777777" w:rsidR="00FF21C0" w:rsidRPr="00872A66" w:rsidRDefault="00FF21C0" w:rsidP="00FF21C0">
            <w:pPr>
              <w:jc w:val="center"/>
              <w:rPr>
                <w:rFonts w:ascii="Arial" w:hAnsi="Arial" w:cs="Arial"/>
                <w:sz w:val="16"/>
                <w:szCs w:val="16"/>
                <w:lang w:eastAsia="es-AR"/>
              </w:rPr>
            </w:pPr>
          </w:p>
        </w:tc>
        <w:tc>
          <w:tcPr>
            <w:tcW w:w="992" w:type="dxa"/>
            <w:tcBorders>
              <w:top w:val="single" w:sz="4" w:space="0" w:color="auto"/>
              <w:left w:val="nil"/>
              <w:bottom w:val="single" w:sz="4" w:space="0" w:color="auto"/>
              <w:right w:val="nil"/>
            </w:tcBorders>
            <w:shd w:val="clear" w:color="auto" w:fill="auto"/>
            <w:noWrap/>
          </w:tcPr>
          <w:p w14:paraId="007373EA" w14:textId="23D27665" w:rsidR="00FF21C0" w:rsidRPr="00872A66" w:rsidRDefault="006E50BD" w:rsidP="006E50BD">
            <w:pPr>
              <w:jc w:val="right"/>
              <w:rPr>
                <w:rFonts w:ascii="Arial" w:hAnsi="Arial" w:cs="Arial"/>
                <w:b/>
                <w:bCs/>
                <w:sz w:val="16"/>
                <w:szCs w:val="16"/>
                <w:lang w:eastAsia="es-AR"/>
              </w:rPr>
            </w:pPr>
            <w:r>
              <w:rPr>
                <w:rFonts w:ascii="Arial" w:hAnsi="Arial" w:cs="Arial"/>
                <w:b/>
                <w:bCs/>
                <w:sz w:val="16"/>
                <w:szCs w:val="16"/>
                <w:lang w:eastAsia="es-AR"/>
              </w:rPr>
              <w:t>2.427.461</w:t>
            </w:r>
          </w:p>
        </w:tc>
        <w:tc>
          <w:tcPr>
            <w:tcW w:w="992" w:type="dxa"/>
            <w:tcBorders>
              <w:top w:val="single" w:sz="4" w:space="0" w:color="auto"/>
              <w:left w:val="nil"/>
              <w:bottom w:val="single" w:sz="4" w:space="0" w:color="auto"/>
              <w:right w:val="nil"/>
            </w:tcBorders>
            <w:shd w:val="clear" w:color="auto" w:fill="auto"/>
            <w:noWrap/>
          </w:tcPr>
          <w:p w14:paraId="68327F0B" w14:textId="56AB6B37" w:rsidR="00FF21C0" w:rsidRPr="00872A66" w:rsidRDefault="006E50BD" w:rsidP="006E50BD">
            <w:pPr>
              <w:jc w:val="right"/>
              <w:rPr>
                <w:rFonts w:ascii="Arial" w:hAnsi="Arial" w:cs="Arial"/>
                <w:b/>
                <w:bCs/>
                <w:sz w:val="16"/>
                <w:szCs w:val="16"/>
                <w:lang w:eastAsia="es-AR"/>
              </w:rPr>
            </w:pPr>
            <w:r>
              <w:rPr>
                <w:rFonts w:ascii="Arial" w:hAnsi="Arial" w:cs="Arial"/>
                <w:b/>
                <w:bCs/>
                <w:sz w:val="16"/>
                <w:szCs w:val="16"/>
                <w:lang w:eastAsia="es-AR"/>
              </w:rPr>
              <w:t>1.236.879</w:t>
            </w:r>
          </w:p>
        </w:tc>
        <w:tc>
          <w:tcPr>
            <w:tcW w:w="993" w:type="dxa"/>
            <w:tcBorders>
              <w:top w:val="nil"/>
              <w:left w:val="nil"/>
              <w:bottom w:val="nil"/>
              <w:right w:val="nil"/>
            </w:tcBorders>
            <w:shd w:val="clear" w:color="auto" w:fill="auto"/>
            <w:noWrap/>
            <w:hideMark/>
          </w:tcPr>
          <w:p w14:paraId="7259FED8" w14:textId="77777777" w:rsidR="00FF21C0" w:rsidRPr="00872A66" w:rsidRDefault="00FF21C0" w:rsidP="00FF21C0">
            <w:pPr>
              <w:rPr>
                <w:rFonts w:ascii="Arial" w:hAnsi="Arial" w:cs="Arial"/>
                <w:b/>
                <w:bCs/>
                <w:sz w:val="16"/>
                <w:szCs w:val="16"/>
                <w:lang w:eastAsia="es-AR"/>
              </w:rPr>
            </w:pPr>
          </w:p>
        </w:tc>
        <w:tc>
          <w:tcPr>
            <w:tcW w:w="941" w:type="dxa"/>
            <w:tcBorders>
              <w:top w:val="nil"/>
              <w:left w:val="nil"/>
              <w:bottom w:val="nil"/>
              <w:right w:val="nil"/>
            </w:tcBorders>
            <w:shd w:val="clear" w:color="auto" w:fill="auto"/>
            <w:noWrap/>
            <w:hideMark/>
          </w:tcPr>
          <w:p w14:paraId="01929F94" w14:textId="77777777" w:rsidR="00FF21C0" w:rsidRPr="00872A66" w:rsidRDefault="00FF21C0" w:rsidP="00FF21C0">
            <w:pPr>
              <w:rPr>
                <w:rFonts w:ascii="Arial" w:hAnsi="Arial" w:cs="Arial"/>
                <w:sz w:val="16"/>
                <w:szCs w:val="16"/>
                <w:lang w:eastAsia="es-AR"/>
              </w:rPr>
            </w:pPr>
          </w:p>
        </w:tc>
        <w:tc>
          <w:tcPr>
            <w:tcW w:w="760" w:type="dxa"/>
            <w:tcBorders>
              <w:top w:val="nil"/>
              <w:left w:val="nil"/>
              <w:bottom w:val="nil"/>
              <w:right w:val="nil"/>
            </w:tcBorders>
            <w:shd w:val="clear" w:color="auto" w:fill="auto"/>
            <w:noWrap/>
            <w:hideMark/>
          </w:tcPr>
          <w:p w14:paraId="7100B506" w14:textId="77777777" w:rsidR="00FF21C0" w:rsidRPr="00872A66" w:rsidRDefault="00FF21C0" w:rsidP="00FF21C0">
            <w:pPr>
              <w:rPr>
                <w:rFonts w:ascii="Arial" w:hAnsi="Arial" w:cs="Arial"/>
                <w:sz w:val="16"/>
                <w:szCs w:val="16"/>
                <w:lang w:eastAsia="es-AR"/>
              </w:rPr>
            </w:pPr>
          </w:p>
        </w:tc>
        <w:tc>
          <w:tcPr>
            <w:tcW w:w="992" w:type="dxa"/>
            <w:tcBorders>
              <w:top w:val="nil"/>
              <w:left w:val="nil"/>
              <w:bottom w:val="nil"/>
              <w:right w:val="nil"/>
            </w:tcBorders>
            <w:shd w:val="clear" w:color="auto" w:fill="auto"/>
            <w:noWrap/>
            <w:hideMark/>
          </w:tcPr>
          <w:p w14:paraId="432D933A" w14:textId="77777777" w:rsidR="00FF21C0" w:rsidRPr="00872A66" w:rsidRDefault="00FF21C0" w:rsidP="00FF21C0">
            <w:pPr>
              <w:rPr>
                <w:rFonts w:ascii="Arial" w:hAnsi="Arial" w:cs="Arial"/>
                <w:sz w:val="16"/>
                <w:szCs w:val="16"/>
                <w:lang w:eastAsia="es-AR"/>
              </w:rPr>
            </w:pPr>
          </w:p>
        </w:tc>
        <w:tc>
          <w:tcPr>
            <w:tcW w:w="850" w:type="dxa"/>
            <w:tcBorders>
              <w:top w:val="nil"/>
              <w:left w:val="nil"/>
              <w:bottom w:val="nil"/>
              <w:right w:val="nil"/>
            </w:tcBorders>
            <w:shd w:val="clear" w:color="auto" w:fill="auto"/>
            <w:noWrap/>
            <w:hideMark/>
          </w:tcPr>
          <w:p w14:paraId="4675FA9A" w14:textId="77777777" w:rsidR="00FF21C0" w:rsidRPr="00872A66" w:rsidRDefault="00FF21C0" w:rsidP="00FF21C0">
            <w:pPr>
              <w:rPr>
                <w:rFonts w:ascii="Arial" w:hAnsi="Arial" w:cs="Arial"/>
                <w:sz w:val="16"/>
                <w:szCs w:val="16"/>
                <w:lang w:eastAsia="es-AR"/>
              </w:rPr>
            </w:pPr>
          </w:p>
        </w:tc>
      </w:tr>
    </w:tbl>
    <w:p w14:paraId="5112EA60" w14:textId="69C692B8" w:rsidR="00425F99" w:rsidRPr="00C7765D" w:rsidRDefault="00425F99" w:rsidP="008962C9"/>
    <w:p w14:paraId="569A313B" w14:textId="77777777" w:rsidR="00875C00" w:rsidRPr="00C7765D" w:rsidRDefault="00875C00" w:rsidP="008962C9">
      <w:pPr>
        <w:sectPr w:rsidR="00875C00" w:rsidRPr="00C7765D" w:rsidSect="00FF21C0">
          <w:headerReference w:type="default" r:id="rId56"/>
          <w:pgSz w:w="16839" w:h="11907" w:orient="landscape" w:code="9"/>
          <w:pgMar w:top="1701" w:right="1418" w:bottom="1701" w:left="1418" w:header="567" w:footer="0" w:gutter="0"/>
          <w:paperSrc w:first="256" w:other="256"/>
          <w:cols w:space="720"/>
          <w:docGrid w:linePitch="326"/>
        </w:sectPr>
      </w:pPr>
    </w:p>
    <w:p w14:paraId="24047A8B" w14:textId="77777777" w:rsidR="00875C00" w:rsidRPr="00C7765D" w:rsidRDefault="00875C00"/>
    <w:tbl>
      <w:tblPr>
        <w:tblW w:w="14786" w:type="dxa"/>
        <w:tblInd w:w="75" w:type="dxa"/>
        <w:tblLayout w:type="fixed"/>
        <w:tblCellMar>
          <w:left w:w="70" w:type="dxa"/>
          <w:right w:w="70" w:type="dxa"/>
        </w:tblCellMar>
        <w:tblLook w:val="04A0" w:firstRow="1" w:lastRow="0" w:firstColumn="1" w:lastColumn="0" w:noHBand="0" w:noVBand="1"/>
      </w:tblPr>
      <w:tblGrid>
        <w:gridCol w:w="2830"/>
        <w:gridCol w:w="991"/>
        <w:gridCol w:w="941"/>
        <w:gridCol w:w="1003"/>
        <w:gridCol w:w="1102"/>
        <w:gridCol w:w="1119"/>
        <w:gridCol w:w="883"/>
        <w:gridCol w:w="1003"/>
        <w:gridCol w:w="727"/>
        <w:gridCol w:w="1075"/>
        <w:gridCol w:w="937"/>
        <w:gridCol w:w="1134"/>
        <w:gridCol w:w="1041"/>
      </w:tblGrid>
      <w:tr w:rsidR="00277685" w:rsidRPr="00277685" w14:paraId="75714764" w14:textId="77777777" w:rsidTr="006E1AF7">
        <w:trPr>
          <w:trHeight w:val="300"/>
        </w:trPr>
        <w:tc>
          <w:tcPr>
            <w:tcW w:w="2830" w:type="dxa"/>
            <w:vMerge w:val="restart"/>
            <w:tcBorders>
              <w:top w:val="single" w:sz="4" w:space="0" w:color="363639"/>
              <w:left w:val="single" w:sz="4" w:space="0" w:color="363639"/>
              <w:bottom w:val="single" w:sz="4" w:space="0" w:color="auto"/>
              <w:right w:val="single" w:sz="4" w:space="0" w:color="363639"/>
            </w:tcBorders>
            <w:shd w:val="clear" w:color="auto" w:fill="BFBFBF" w:themeFill="background1" w:themeFillShade="BF"/>
            <w:noWrap/>
            <w:vAlign w:val="center"/>
            <w:hideMark/>
          </w:tcPr>
          <w:p w14:paraId="5B86DB19"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Concepto</w:t>
            </w:r>
          </w:p>
        </w:tc>
        <w:tc>
          <w:tcPr>
            <w:tcW w:w="991" w:type="dxa"/>
            <w:vMerge w:val="restart"/>
            <w:tcBorders>
              <w:top w:val="single" w:sz="4" w:space="0" w:color="363639"/>
              <w:left w:val="single" w:sz="4" w:space="0" w:color="363639"/>
              <w:bottom w:val="single" w:sz="4" w:space="0" w:color="auto"/>
              <w:right w:val="single" w:sz="4" w:space="0" w:color="363639"/>
            </w:tcBorders>
            <w:shd w:val="clear" w:color="auto" w:fill="BFBFBF" w:themeFill="background1" w:themeFillShade="BF"/>
            <w:vAlign w:val="center"/>
            <w:hideMark/>
          </w:tcPr>
          <w:p w14:paraId="5F90230D"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Valor de origen al inicio del ejercicio</w:t>
            </w:r>
          </w:p>
        </w:tc>
        <w:tc>
          <w:tcPr>
            <w:tcW w:w="941" w:type="dxa"/>
            <w:vMerge w:val="restart"/>
            <w:tcBorders>
              <w:top w:val="single" w:sz="4" w:space="0" w:color="363639"/>
              <w:left w:val="single" w:sz="4" w:space="0" w:color="363639"/>
              <w:bottom w:val="single" w:sz="4" w:space="0" w:color="auto"/>
              <w:right w:val="single" w:sz="4" w:space="0" w:color="363639"/>
            </w:tcBorders>
            <w:shd w:val="clear" w:color="auto" w:fill="BFBFBF" w:themeFill="background1" w:themeFillShade="BF"/>
            <w:vAlign w:val="center"/>
            <w:hideMark/>
          </w:tcPr>
          <w:p w14:paraId="379D82D0"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Vida Útil total estimada en años</w:t>
            </w:r>
          </w:p>
        </w:tc>
        <w:tc>
          <w:tcPr>
            <w:tcW w:w="2105" w:type="dxa"/>
            <w:gridSpan w:val="2"/>
            <w:tcBorders>
              <w:top w:val="single" w:sz="4" w:space="0" w:color="363639"/>
              <w:left w:val="single" w:sz="4" w:space="0" w:color="363639"/>
              <w:bottom w:val="single" w:sz="4" w:space="0" w:color="auto"/>
              <w:right w:val="single" w:sz="4" w:space="0" w:color="363639"/>
            </w:tcBorders>
            <w:shd w:val="clear" w:color="auto" w:fill="BFBFBF" w:themeFill="background1" w:themeFillShade="BF"/>
            <w:noWrap/>
            <w:hideMark/>
          </w:tcPr>
          <w:p w14:paraId="30B03E47"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Revaluación</w:t>
            </w:r>
          </w:p>
        </w:tc>
        <w:tc>
          <w:tcPr>
            <w:tcW w:w="1119" w:type="dxa"/>
            <w:vMerge w:val="restart"/>
            <w:tcBorders>
              <w:top w:val="single" w:sz="4" w:space="0" w:color="363639"/>
              <w:left w:val="single" w:sz="4" w:space="0" w:color="363639"/>
              <w:bottom w:val="single" w:sz="4" w:space="0" w:color="auto"/>
              <w:right w:val="single" w:sz="4" w:space="0" w:color="363639"/>
            </w:tcBorders>
            <w:shd w:val="clear" w:color="auto" w:fill="BFBFBF" w:themeFill="background1" w:themeFillShade="BF"/>
            <w:noWrap/>
            <w:vAlign w:val="center"/>
            <w:hideMark/>
          </w:tcPr>
          <w:p w14:paraId="74520607"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Altas</w:t>
            </w:r>
          </w:p>
        </w:tc>
        <w:tc>
          <w:tcPr>
            <w:tcW w:w="883" w:type="dxa"/>
            <w:vMerge w:val="restart"/>
            <w:tcBorders>
              <w:top w:val="single" w:sz="4" w:space="0" w:color="363639"/>
              <w:left w:val="single" w:sz="4" w:space="0" w:color="363639"/>
              <w:bottom w:val="single" w:sz="4" w:space="0" w:color="auto"/>
              <w:right w:val="single" w:sz="4" w:space="0" w:color="363639"/>
            </w:tcBorders>
            <w:shd w:val="clear" w:color="auto" w:fill="BFBFBF" w:themeFill="background1" w:themeFillShade="BF"/>
            <w:noWrap/>
            <w:vAlign w:val="center"/>
            <w:hideMark/>
          </w:tcPr>
          <w:p w14:paraId="09BE2B63"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Bajas</w:t>
            </w:r>
          </w:p>
        </w:tc>
        <w:tc>
          <w:tcPr>
            <w:tcW w:w="3742" w:type="dxa"/>
            <w:gridSpan w:val="4"/>
            <w:tcBorders>
              <w:top w:val="single" w:sz="4" w:space="0" w:color="363639"/>
              <w:left w:val="single" w:sz="4" w:space="0" w:color="363639"/>
              <w:bottom w:val="single" w:sz="4" w:space="0" w:color="auto"/>
              <w:right w:val="single" w:sz="4" w:space="0" w:color="363639"/>
            </w:tcBorders>
            <w:shd w:val="clear" w:color="auto" w:fill="BFBFBF" w:themeFill="background1" w:themeFillShade="BF"/>
          </w:tcPr>
          <w:p w14:paraId="329BB281" w14:textId="287EDF51"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Depreciación</w:t>
            </w:r>
          </w:p>
        </w:tc>
        <w:tc>
          <w:tcPr>
            <w:tcW w:w="1134" w:type="dxa"/>
            <w:vMerge w:val="restart"/>
            <w:tcBorders>
              <w:top w:val="single" w:sz="4" w:space="0" w:color="363639"/>
              <w:left w:val="single" w:sz="4" w:space="0" w:color="363639"/>
              <w:bottom w:val="single" w:sz="4" w:space="0" w:color="auto"/>
              <w:right w:val="single" w:sz="4" w:space="0" w:color="363639"/>
            </w:tcBorders>
            <w:shd w:val="clear" w:color="auto" w:fill="BFBFBF" w:themeFill="background1" w:themeFillShade="BF"/>
            <w:vAlign w:val="center"/>
          </w:tcPr>
          <w:p w14:paraId="5F933DB8" w14:textId="368F792C"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Valor residual al 31/12/2019</w:t>
            </w:r>
          </w:p>
        </w:tc>
        <w:tc>
          <w:tcPr>
            <w:tcW w:w="1041" w:type="dxa"/>
            <w:vMerge w:val="restart"/>
            <w:tcBorders>
              <w:top w:val="single" w:sz="4" w:space="0" w:color="363639"/>
              <w:left w:val="single" w:sz="4" w:space="0" w:color="363639"/>
              <w:bottom w:val="single" w:sz="4" w:space="0" w:color="auto"/>
              <w:right w:val="single" w:sz="4" w:space="0" w:color="363639"/>
            </w:tcBorders>
            <w:shd w:val="clear" w:color="auto" w:fill="BFBFBF" w:themeFill="background1" w:themeFillShade="BF"/>
            <w:vAlign w:val="center"/>
          </w:tcPr>
          <w:p w14:paraId="2EB3A3FF" w14:textId="1A1AB481"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Valor residual al 31/12/2018</w:t>
            </w:r>
          </w:p>
        </w:tc>
      </w:tr>
      <w:tr w:rsidR="000966C6" w:rsidRPr="00277685" w14:paraId="545724C9" w14:textId="77777777" w:rsidTr="00AA49C7">
        <w:trPr>
          <w:trHeight w:val="939"/>
        </w:trPr>
        <w:tc>
          <w:tcPr>
            <w:tcW w:w="2830" w:type="dxa"/>
            <w:vMerge/>
            <w:tcBorders>
              <w:top w:val="single" w:sz="4" w:space="0" w:color="auto"/>
              <w:left w:val="single" w:sz="4" w:space="0" w:color="363639"/>
              <w:bottom w:val="single" w:sz="4" w:space="0" w:color="363639"/>
              <w:right w:val="single" w:sz="4" w:space="0" w:color="363639"/>
            </w:tcBorders>
            <w:vAlign w:val="center"/>
            <w:hideMark/>
          </w:tcPr>
          <w:p w14:paraId="15CCB6C0" w14:textId="77777777" w:rsidR="00277685" w:rsidRPr="00277685" w:rsidRDefault="00277685" w:rsidP="00875C00">
            <w:pPr>
              <w:rPr>
                <w:rFonts w:ascii="Arial" w:hAnsi="Arial" w:cs="Arial"/>
                <w:b/>
                <w:bCs/>
                <w:sz w:val="16"/>
                <w:szCs w:val="16"/>
                <w:lang w:eastAsia="es-AR"/>
              </w:rPr>
            </w:pPr>
          </w:p>
        </w:tc>
        <w:tc>
          <w:tcPr>
            <w:tcW w:w="991" w:type="dxa"/>
            <w:vMerge/>
            <w:tcBorders>
              <w:top w:val="single" w:sz="4" w:space="0" w:color="auto"/>
              <w:left w:val="single" w:sz="4" w:space="0" w:color="363639"/>
              <w:bottom w:val="single" w:sz="4" w:space="0" w:color="363639"/>
              <w:right w:val="single" w:sz="4" w:space="0" w:color="363639"/>
            </w:tcBorders>
            <w:vAlign w:val="center"/>
            <w:hideMark/>
          </w:tcPr>
          <w:p w14:paraId="698B9B1F" w14:textId="77777777" w:rsidR="00277685" w:rsidRPr="00277685" w:rsidRDefault="00277685" w:rsidP="00875C00">
            <w:pPr>
              <w:rPr>
                <w:rFonts w:ascii="Arial" w:hAnsi="Arial" w:cs="Arial"/>
                <w:b/>
                <w:bCs/>
                <w:sz w:val="16"/>
                <w:szCs w:val="16"/>
                <w:lang w:eastAsia="es-AR"/>
              </w:rPr>
            </w:pPr>
          </w:p>
        </w:tc>
        <w:tc>
          <w:tcPr>
            <w:tcW w:w="941" w:type="dxa"/>
            <w:vMerge/>
            <w:tcBorders>
              <w:top w:val="single" w:sz="4" w:space="0" w:color="auto"/>
              <w:left w:val="single" w:sz="4" w:space="0" w:color="363639"/>
              <w:bottom w:val="single" w:sz="4" w:space="0" w:color="363639"/>
              <w:right w:val="single" w:sz="4" w:space="0" w:color="363639"/>
            </w:tcBorders>
            <w:vAlign w:val="center"/>
            <w:hideMark/>
          </w:tcPr>
          <w:p w14:paraId="2BCAD705" w14:textId="77777777" w:rsidR="00277685" w:rsidRPr="00277685" w:rsidRDefault="00277685" w:rsidP="00875C00">
            <w:pPr>
              <w:rPr>
                <w:rFonts w:ascii="Arial" w:hAnsi="Arial" w:cs="Arial"/>
                <w:b/>
                <w:bCs/>
                <w:sz w:val="16"/>
                <w:szCs w:val="16"/>
                <w:lang w:eastAsia="es-AR"/>
              </w:rPr>
            </w:pPr>
          </w:p>
        </w:tc>
        <w:tc>
          <w:tcPr>
            <w:tcW w:w="1003" w:type="dxa"/>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1FA79DBB"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Incremento</w:t>
            </w:r>
          </w:p>
        </w:tc>
        <w:tc>
          <w:tcPr>
            <w:tcW w:w="1102" w:type="dxa"/>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7C5ACA46" w14:textId="5C3A0E0B"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Disminución</w:t>
            </w:r>
          </w:p>
        </w:tc>
        <w:tc>
          <w:tcPr>
            <w:tcW w:w="1119" w:type="dxa"/>
            <w:vMerge/>
            <w:tcBorders>
              <w:top w:val="single" w:sz="4" w:space="0" w:color="auto"/>
              <w:left w:val="single" w:sz="4" w:space="0" w:color="363639"/>
              <w:bottom w:val="single" w:sz="4" w:space="0" w:color="363639"/>
              <w:right w:val="single" w:sz="4" w:space="0" w:color="363639"/>
            </w:tcBorders>
            <w:vAlign w:val="center"/>
            <w:hideMark/>
          </w:tcPr>
          <w:p w14:paraId="420EDA3D" w14:textId="77777777" w:rsidR="00277685" w:rsidRPr="00277685" w:rsidRDefault="00277685" w:rsidP="00875C00">
            <w:pPr>
              <w:rPr>
                <w:rFonts w:ascii="Arial" w:hAnsi="Arial" w:cs="Arial"/>
                <w:b/>
                <w:bCs/>
                <w:sz w:val="16"/>
                <w:szCs w:val="16"/>
                <w:lang w:eastAsia="es-AR"/>
              </w:rPr>
            </w:pPr>
          </w:p>
        </w:tc>
        <w:tc>
          <w:tcPr>
            <w:tcW w:w="883" w:type="dxa"/>
            <w:vMerge/>
            <w:tcBorders>
              <w:top w:val="single" w:sz="4" w:space="0" w:color="auto"/>
              <w:left w:val="single" w:sz="4" w:space="0" w:color="363639"/>
              <w:bottom w:val="single" w:sz="4" w:space="0" w:color="363639"/>
              <w:right w:val="single" w:sz="4" w:space="0" w:color="363639"/>
            </w:tcBorders>
            <w:vAlign w:val="center"/>
            <w:hideMark/>
          </w:tcPr>
          <w:p w14:paraId="4ED724E9" w14:textId="77777777" w:rsidR="00277685" w:rsidRPr="00277685" w:rsidRDefault="00277685" w:rsidP="00875C00">
            <w:pPr>
              <w:rPr>
                <w:rFonts w:ascii="Arial" w:hAnsi="Arial" w:cs="Arial"/>
                <w:b/>
                <w:bCs/>
                <w:sz w:val="16"/>
                <w:szCs w:val="16"/>
                <w:lang w:eastAsia="es-AR"/>
              </w:rPr>
            </w:pPr>
          </w:p>
        </w:tc>
        <w:tc>
          <w:tcPr>
            <w:tcW w:w="1003" w:type="dxa"/>
            <w:tcBorders>
              <w:top w:val="single" w:sz="4" w:space="0" w:color="auto"/>
              <w:left w:val="nil"/>
              <w:bottom w:val="single" w:sz="4" w:space="0" w:color="363639"/>
              <w:right w:val="single" w:sz="4" w:space="0" w:color="auto"/>
            </w:tcBorders>
            <w:shd w:val="clear" w:color="auto" w:fill="BFBFBF" w:themeFill="background1" w:themeFillShade="BF"/>
            <w:vAlign w:val="center"/>
          </w:tcPr>
          <w:p w14:paraId="3EB263B9" w14:textId="558D334B" w:rsidR="00277685" w:rsidRPr="00277685" w:rsidRDefault="00277685" w:rsidP="00277685">
            <w:pPr>
              <w:jc w:val="center"/>
              <w:rPr>
                <w:rFonts w:ascii="Arial" w:hAnsi="Arial" w:cs="Arial"/>
                <w:b/>
                <w:bCs/>
                <w:sz w:val="16"/>
                <w:szCs w:val="16"/>
                <w:lang w:eastAsia="es-AR"/>
              </w:rPr>
            </w:pPr>
            <w:r w:rsidRPr="00277685">
              <w:rPr>
                <w:rFonts w:ascii="Arial" w:hAnsi="Arial" w:cs="Arial"/>
                <w:b/>
                <w:bCs/>
                <w:sz w:val="16"/>
                <w:szCs w:val="16"/>
                <w:lang w:eastAsia="es-AR"/>
              </w:rPr>
              <w:t>Acumulada</w:t>
            </w:r>
          </w:p>
        </w:tc>
        <w:tc>
          <w:tcPr>
            <w:tcW w:w="727" w:type="dxa"/>
            <w:tcBorders>
              <w:top w:val="single" w:sz="4" w:space="0" w:color="auto"/>
              <w:left w:val="single" w:sz="4" w:space="0" w:color="auto"/>
              <w:bottom w:val="single" w:sz="4" w:space="0" w:color="363639"/>
              <w:right w:val="single" w:sz="4" w:space="0" w:color="363639"/>
            </w:tcBorders>
            <w:shd w:val="clear" w:color="auto" w:fill="BFBFBF" w:themeFill="background1" w:themeFillShade="BF"/>
            <w:noWrap/>
            <w:vAlign w:val="center"/>
            <w:hideMark/>
          </w:tcPr>
          <w:p w14:paraId="2EAFD4D0" w14:textId="7C8969F2"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Baja</w:t>
            </w:r>
          </w:p>
        </w:tc>
        <w:tc>
          <w:tcPr>
            <w:tcW w:w="1075" w:type="dxa"/>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2A84050F"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Del ejercicio</w:t>
            </w:r>
          </w:p>
        </w:tc>
        <w:tc>
          <w:tcPr>
            <w:tcW w:w="937" w:type="dxa"/>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25C2CD98"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Al cierre</w:t>
            </w:r>
          </w:p>
        </w:tc>
        <w:tc>
          <w:tcPr>
            <w:tcW w:w="1134" w:type="dxa"/>
            <w:vMerge/>
            <w:tcBorders>
              <w:top w:val="single" w:sz="4" w:space="0" w:color="auto"/>
              <w:left w:val="single" w:sz="4" w:space="0" w:color="363639"/>
              <w:bottom w:val="single" w:sz="4" w:space="0" w:color="auto"/>
              <w:right w:val="single" w:sz="4" w:space="0" w:color="363639"/>
            </w:tcBorders>
            <w:vAlign w:val="center"/>
            <w:hideMark/>
          </w:tcPr>
          <w:p w14:paraId="3D55FC16" w14:textId="55163E2B" w:rsidR="00277685" w:rsidRPr="00277685" w:rsidRDefault="00277685" w:rsidP="00875C00">
            <w:pPr>
              <w:rPr>
                <w:sz w:val="16"/>
                <w:szCs w:val="16"/>
                <w:lang w:eastAsia="es-AR"/>
              </w:rPr>
            </w:pPr>
          </w:p>
        </w:tc>
        <w:tc>
          <w:tcPr>
            <w:tcW w:w="1041" w:type="dxa"/>
            <w:vMerge/>
            <w:tcBorders>
              <w:top w:val="single" w:sz="4" w:space="0" w:color="auto"/>
              <w:left w:val="single" w:sz="4" w:space="0" w:color="363639"/>
              <w:bottom w:val="single" w:sz="4" w:space="0" w:color="363639"/>
              <w:right w:val="single" w:sz="4" w:space="0" w:color="363639"/>
            </w:tcBorders>
            <w:vAlign w:val="center"/>
            <w:hideMark/>
          </w:tcPr>
          <w:p w14:paraId="26B4B6DA" w14:textId="77777777" w:rsidR="00277685" w:rsidRPr="00277685" w:rsidRDefault="00277685" w:rsidP="00875C00">
            <w:pPr>
              <w:rPr>
                <w:rFonts w:ascii="Arial" w:hAnsi="Arial" w:cs="Arial"/>
                <w:b/>
                <w:bCs/>
                <w:sz w:val="16"/>
                <w:szCs w:val="16"/>
                <w:lang w:eastAsia="es-AR"/>
              </w:rPr>
            </w:pPr>
          </w:p>
        </w:tc>
      </w:tr>
      <w:tr w:rsidR="00277685" w:rsidRPr="00277685" w14:paraId="4840378D" w14:textId="77777777" w:rsidTr="006E1AF7">
        <w:trPr>
          <w:trHeight w:val="255"/>
        </w:trPr>
        <w:tc>
          <w:tcPr>
            <w:tcW w:w="2830" w:type="dxa"/>
            <w:tcBorders>
              <w:top w:val="nil"/>
              <w:left w:val="nil"/>
              <w:bottom w:val="nil"/>
              <w:right w:val="nil"/>
            </w:tcBorders>
            <w:shd w:val="clear" w:color="auto" w:fill="auto"/>
            <w:noWrap/>
            <w:vAlign w:val="bottom"/>
            <w:hideMark/>
          </w:tcPr>
          <w:p w14:paraId="2E2B1A59" w14:textId="77777777" w:rsidR="00277685" w:rsidRPr="00277685" w:rsidRDefault="00277685" w:rsidP="00875C00">
            <w:pPr>
              <w:jc w:val="center"/>
              <w:rPr>
                <w:rFonts w:ascii="Arial" w:hAnsi="Arial" w:cs="Arial"/>
                <w:b/>
                <w:bCs/>
                <w:sz w:val="16"/>
                <w:szCs w:val="16"/>
                <w:lang w:eastAsia="es-AR"/>
              </w:rPr>
            </w:pPr>
          </w:p>
        </w:tc>
        <w:tc>
          <w:tcPr>
            <w:tcW w:w="991" w:type="dxa"/>
            <w:tcBorders>
              <w:top w:val="nil"/>
              <w:left w:val="nil"/>
              <w:bottom w:val="nil"/>
              <w:right w:val="nil"/>
            </w:tcBorders>
            <w:shd w:val="clear" w:color="auto" w:fill="auto"/>
            <w:vAlign w:val="bottom"/>
            <w:hideMark/>
          </w:tcPr>
          <w:p w14:paraId="469E8E51" w14:textId="77777777" w:rsidR="00277685" w:rsidRPr="00277685" w:rsidRDefault="00277685" w:rsidP="00875C00">
            <w:pPr>
              <w:jc w:val="center"/>
              <w:rPr>
                <w:sz w:val="16"/>
                <w:szCs w:val="16"/>
                <w:lang w:eastAsia="es-AR"/>
              </w:rPr>
            </w:pPr>
          </w:p>
        </w:tc>
        <w:tc>
          <w:tcPr>
            <w:tcW w:w="941" w:type="dxa"/>
            <w:tcBorders>
              <w:top w:val="nil"/>
              <w:left w:val="nil"/>
              <w:bottom w:val="nil"/>
              <w:right w:val="nil"/>
            </w:tcBorders>
            <w:shd w:val="clear" w:color="auto" w:fill="auto"/>
            <w:vAlign w:val="bottom"/>
            <w:hideMark/>
          </w:tcPr>
          <w:p w14:paraId="4BC685ED" w14:textId="77777777" w:rsidR="00277685" w:rsidRPr="00277685" w:rsidRDefault="00277685" w:rsidP="00875C00">
            <w:pPr>
              <w:rPr>
                <w:sz w:val="16"/>
                <w:szCs w:val="16"/>
                <w:lang w:eastAsia="es-AR"/>
              </w:rPr>
            </w:pPr>
          </w:p>
        </w:tc>
        <w:tc>
          <w:tcPr>
            <w:tcW w:w="1003" w:type="dxa"/>
            <w:tcBorders>
              <w:top w:val="nil"/>
              <w:left w:val="nil"/>
              <w:bottom w:val="nil"/>
              <w:right w:val="nil"/>
            </w:tcBorders>
            <w:shd w:val="clear" w:color="auto" w:fill="auto"/>
            <w:vAlign w:val="center"/>
            <w:hideMark/>
          </w:tcPr>
          <w:p w14:paraId="1A0CC066"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 </w:t>
            </w:r>
          </w:p>
        </w:tc>
        <w:tc>
          <w:tcPr>
            <w:tcW w:w="1102" w:type="dxa"/>
            <w:tcBorders>
              <w:top w:val="nil"/>
              <w:left w:val="nil"/>
              <w:bottom w:val="nil"/>
              <w:right w:val="nil"/>
            </w:tcBorders>
            <w:shd w:val="clear" w:color="auto" w:fill="auto"/>
            <w:noWrap/>
            <w:vAlign w:val="center"/>
            <w:hideMark/>
          </w:tcPr>
          <w:p w14:paraId="763DC0B9" w14:textId="77777777" w:rsidR="00277685" w:rsidRPr="00277685" w:rsidRDefault="00277685" w:rsidP="00875C00">
            <w:pPr>
              <w:jc w:val="center"/>
              <w:rPr>
                <w:rFonts w:ascii="Arial" w:hAnsi="Arial" w:cs="Arial"/>
                <w:b/>
                <w:bCs/>
                <w:sz w:val="16"/>
                <w:szCs w:val="16"/>
                <w:lang w:eastAsia="es-AR"/>
              </w:rPr>
            </w:pPr>
          </w:p>
        </w:tc>
        <w:tc>
          <w:tcPr>
            <w:tcW w:w="1119" w:type="dxa"/>
            <w:tcBorders>
              <w:top w:val="nil"/>
              <w:left w:val="nil"/>
              <w:bottom w:val="nil"/>
              <w:right w:val="nil"/>
            </w:tcBorders>
            <w:shd w:val="clear" w:color="auto" w:fill="auto"/>
            <w:noWrap/>
            <w:vAlign w:val="center"/>
            <w:hideMark/>
          </w:tcPr>
          <w:p w14:paraId="3A1777D6" w14:textId="77777777" w:rsidR="00277685" w:rsidRPr="00277685" w:rsidRDefault="00277685" w:rsidP="00875C00">
            <w:pPr>
              <w:jc w:val="center"/>
              <w:rPr>
                <w:sz w:val="16"/>
                <w:szCs w:val="16"/>
                <w:lang w:eastAsia="es-AR"/>
              </w:rPr>
            </w:pPr>
          </w:p>
        </w:tc>
        <w:tc>
          <w:tcPr>
            <w:tcW w:w="883" w:type="dxa"/>
            <w:tcBorders>
              <w:top w:val="nil"/>
              <w:left w:val="nil"/>
              <w:bottom w:val="nil"/>
              <w:right w:val="nil"/>
            </w:tcBorders>
            <w:shd w:val="clear" w:color="auto" w:fill="auto"/>
            <w:vAlign w:val="center"/>
            <w:hideMark/>
          </w:tcPr>
          <w:p w14:paraId="315D25AF"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 </w:t>
            </w:r>
          </w:p>
        </w:tc>
        <w:tc>
          <w:tcPr>
            <w:tcW w:w="1003" w:type="dxa"/>
            <w:tcBorders>
              <w:top w:val="nil"/>
              <w:left w:val="nil"/>
              <w:bottom w:val="nil"/>
              <w:right w:val="nil"/>
            </w:tcBorders>
          </w:tcPr>
          <w:p w14:paraId="471B532C" w14:textId="77777777" w:rsidR="00277685" w:rsidRPr="00277685" w:rsidRDefault="00277685" w:rsidP="00875C00">
            <w:pPr>
              <w:jc w:val="center"/>
              <w:rPr>
                <w:rFonts w:ascii="Arial" w:hAnsi="Arial" w:cs="Arial"/>
                <w:b/>
                <w:bCs/>
                <w:sz w:val="16"/>
                <w:szCs w:val="16"/>
                <w:lang w:eastAsia="es-AR"/>
              </w:rPr>
            </w:pPr>
          </w:p>
        </w:tc>
        <w:tc>
          <w:tcPr>
            <w:tcW w:w="727" w:type="dxa"/>
            <w:tcBorders>
              <w:top w:val="nil"/>
              <w:left w:val="nil"/>
              <w:bottom w:val="nil"/>
              <w:right w:val="nil"/>
            </w:tcBorders>
            <w:shd w:val="clear" w:color="auto" w:fill="auto"/>
            <w:noWrap/>
            <w:vAlign w:val="center"/>
            <w:hideMark/>
          </w:tcPr>
          <w:p w14:paraId="5D7B755A" w14:textId="5CA87EF5"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 </w:t>
            </w:r>
          </w:p>
        </w:tc>
        <w:tc>
          <w:tcPr>
            <w:tcW w:w="1075" w:type="dxa"/>
            <w:tcBorders>
              <w:top w:val="nil"/>
              <w:left w:val="nil"/>
              <w:bottom w:val="nil"/>
              <w:right w:val="nil"/>
            </w:tcBorders>
            <w:shd w:val="clear" w:color="auto" w:fill="auto"/>
            <w:vAlign w:val="center"/>
            <w:hideMark/>
          </w:tcPr>
          <w:p w14:paraId="6451E22C"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 </w:t>
            </w:r>
          </w:p>
        </w:tc>
        <w:tc>
          <w:tcPr>
            <w:tcW w:w="937" w:type="dxa"/>
            <w:tcBorders>
              <w:top w:val="nil"/>
              <w:left w:val="nil"/>
              <w:bottom w:val="nil"/>
              <w:right w:val="nil"/>
            </w:tcBorders>
            <w:shd w:val="clear" w:color="auto" w:fill="auto"/>
            <w:vAlign w:val="center"/>
            <w:hideMark/>
          </w:tcPr>
          <w:p w14:paraId="345EA214" w14:textId="77777777" w:rsidR="00277685" w:rsidRPr="00277685" w:rsidRDefault="00277685" w:rsidP="00875C00">
            <w:pPr>
              <w:jc w:val="center"/>
              <w:rPr>
                <w:rFonts w:ascii="Arial" w:hAnsi="Arial" w:cs="Arial"/>
                <w:b/>
                <w:bCs/>
                <w:sz w:val="16"/>
                <w:szCs w:val="16"/>
                <w:lang w:eastAsia="es-AR"/>
              </w:rPr>
            </w:pPr>
            <w:r w:rsidRPr="00277685">
              <w:rPr>
                <w:rFonts w:ascii="Arial" w:hAnsi="Arial" w:cs="Arial"/>
                <w:b/>
                <w:bCs/>
                <w:sz w:val="16"/>
                <w:szCs w:val="16"/>
                <w:lang w:eastAsia="es-AR"/>
              </w:rPr>
              <w:t> </w:t>
            </w:r>
          </w:p>
        </w:tc>
        <w:tc>
          <w:tcPr>
            <w:tcW w:w="1134" w:type="dxa"/>
            <w:tcBorders>
              <w:top w:val="single" w:sz="4" w:space="0" w:color="auto"/>
              <w:left w:val="nil"/>
              <w:bottom w:val="nil"/>
              <w:right w:val="nil"/>
            </w:tcBorders>
            <w:shd w:val="clear" w:color="auto" w:fill="auto"/>
            <w:vAlign w:val="center"/>
            <w:hideMark/>
          </w:tcPr>
          <w:p w14:paraId="2D7CA8EA" w14:textId="77777777" w:rsidR="00277685" w:rsidRPr="00277685" w:rsidRDefault="00277685" w:rsidP="00875C00">
            <w:pPr>
              <w:jc w:val="center"/>
              <w:rPr>
                <w:rFonts w:ascii="Arial" w:hAnsi="Arial" w:cs="Arial"/>
                <w:b/>
                <w:bCs/>
                <w:sz w:val="16"/>
                <w:szCs w:val="16"/>
                <w:lang w:eastAsia="es-AR"/>
              </w:rPr>
            </w:pPr>
          </w:p>
        </w:tc>
        <w:tc>
          <w:tcPr>
            <w:tcW w:w="1041" w:type="dxa"/>
            <w:tcBorders>
              <w:top w:val="nil"/>
              <w:left w:val="nil"/>
              <w:bottom w:val="nil"/>
              <w:right w:val="nil"/>
            </w:tcBorders>
            <w:shd w:val="clear" w:color="auto" w:fill="auto"/>
            <w:vAlign w:val="center"/>
            <w:hideMark/>
          </w:tcPr>
          <w:p w14:paraId="2268F612" w14:textId="77777777" w:rsidR="00277685" w:rsidRPr="00277685" w:rsidRDefault="00277685" w:rsidP="00875C00">
            <w:pPr>
              <w:jc w:val="center"/>
              <w:rPr>
                <w:sz w:val="16"/>
                <w:szCs w:val="16"/>
                <w:lang w:eastAsia="es-AR"/>
              </w:rPr>
            </w:pPr>
          </w:p>
        </w:tc>
      </w:tr>
      <w:tr w:rsidR="00277685" w:rsidRPr="00277685" w14:paraId="30F58371" w14:textId="77777777" w:rsidTr="006E1AF7">
        <w:trPr>
          <w:trHeight w:val="255"/>
        </w:trPr>
        <w:tc>
          <w:tcPr>
            <w:tcW w:w="2830" w:type="dxa"/>
            <w:tcBorders>
              <w:top w:val="nil"/>
              <w:left w:val="nil"/>
              <w:bottom w:val="nil"/>
              <w:right w:val="nil"/>
            </w:tcBorders>
            <w:shd w:val="clear" w:color="auto" w:fill="auto"/>
            <w:hideMark/>
          </w:tcPr>
          <w:p w14:paraId="629FFA8E" w14:textId="77777777" w:rsidR="00277685" w:rsidRPr="00277685" w:rsidRDefault="00277685" w:rsidP="00875C00">
            <w:pPr>
              <w:rPr>
                <w:rFonts w:ascii="Arial" w:hAnsi="Arial" w:cs="Arial"/>
                <w:b/>
                <w:bCs/>
                <w:sz w:val="16"/>
                <w:szCs w:val="16"/>
                <w:lang w:eastAsia="es-AR"/>
              </w:rPr>
            </w:pPr>
            <w:r w:rsidRPr="00277685">
              <w:rPr>
                <w:rFonts w:ascii="Arial" w:hAnsi="Arial" w:cs="Arial"/>
                <w:b/>
                <w:bCs/>
                <w:sz w:val="16"/>
                <w:szCs w:val="16"/>
                <w:lang w:eastAsia="es-AR"/>
              </w:rPr>
              <w:t>Medición al costo</w:t>
            </w:r>
          </w:p>
        </w:tc>
        <w:tc>
          <w:tcPr>
            <w:tcW w:w="991" w:type="dxa"/>
            <w:tcBorders>
              <w:top w:val="nil"/>
              <w:left w:val="nil"/>
              <w:bottom w:val="nil"/>
              <w:right w:val="nil"/>
            </w:tcBorders>
            <w:shd w:val="clear" w:color="auto" w:fill="auto"/>
            <w:noWrap/>
            <w:vAlign w:val="bottom"/>
            <w:hideMark/>
          </w:tcPr>
          <w:p w14:paraId="2E5C0DBA" w14:textId="77777777" w:rsidR="00277685" w:rsidRPr="00277685" w:rsidRDefault="00277685" w:rsidP="00875C00">
            <w:pPr>
              <w:rPr>
                <w:rFonts w:ascii="Arial" w:hAnsi="Arial" w:cs="Arial"/>
                <w:b/>
                <w:bCs/>
                <w:sz w:val="16"/>
                <w:szCs w:val="16"/>
                <w:lang w:eastAsia="es-AR"/>
              </w:rPr>
            </w:pPr>
          </w:p>
        </w:tc>
        <w:tc>
          <w:tcPr>
            <w:tcW w:w="941" w:type="dxa"/>
            <w:tcBorders>
              <w:top w:val="nil"/>
              <w:left w:val="nil"/>
              <w:bottom w:val="nil"/>
              <w:right w:val="nil"/>
            </w:tcBorders>
            <w:shd w:val="clear" w:color="auto" w:fill="auto"/>
            <w:noWrap/>
            <w:vAlign w:val="bottom"/>
            <w:hideMark/>
          </w:tcPr>
          <w:p w14:paraId="1C8760E1" w14:textId="77777777" w:rsidR="00277685" w:rsidRPr="00277685" w:rsidRDefault="00277685" w:rsidP="00875C00">
            <w:pPr>
              <w:rPr>
                <w:sz w:val="16"/>
                <w:szCs w:val="16"/>
                <w:lang w:eastAsia="es-AR"/>
              </w:rPr>
            </w:pPr>
          </w:p>
        </w:tc>
        <w:tc>
          <w:tcPr>
            <w:tcW w:w="1003" w:type="dxa"/>
            <w:tcBorders>
              <w:top w:val="nil"/>
              <w:left w:val="nil"/>
              <w:bottom w:val="nil"/>
              <w:right w:val="nil"/>
            </w:tcBorders>
            <w:shd w:val="clear" w:color="auto" w:fill="auto"/>
            <w:noWrap/>
            <w:vAlign w:val="bottom"/>
            <w:hideMark/>
          </w:tcPr>
          <w:p w14:paraId="109C5615" w14:textId="77777777" w:rsidR="00277685" w:rsidRPr="00277685" w:rsidRDefault="00277685" w:rsidP="00875C00">
            <w:pPr>
              <w:jc w:val="center"/>
              <w:rPr>
                <w:sz w:val="16"/>
                <w:szCs w:val="16"/>
                <w:lang w:eastAsia="es-AR"/>
              </w:rPr>
            </w:pPr>
          </w:p>
        </w:tc>
        <w:tc>
          <w:tcPr>
            <w:tcW w:w="1102" w:type="dxa"/>
            <w:tcBorders>
              <w:top w:val="nil"/>
              <w:left w:val="nil"/>
              <w:bottom w:val="nil"/>
              <w:right w:val="nil"/>
            </w:tcBorders>
            <w:shd w:val="clear" w:color="auto" w:fill="auto"/>
            <w:noWrap/>
            <w:vAlign w:val="bottom"/>
            <w:hideMark/>
          </w:tcPr>
          <w:p w14:paraId="589F1BE6" w14:textId="77777777" w:rsidR="00277685" w:rsidRPr="00277685" w:rsidRDefault="00277685" w:rsidP="00875C00">
            <w:pPr>
              <w:rPr>
                <w:sz w:val="16"/>
                <w:szCs w:val="16"/>
                <w:lang w:eastAsia="es-AR"/>
              </w:rPr>
            </w:pPr>
          </w:p>
        </w:tc>
        <w:tc>
          <w:tcPr>
            <w:tcW w:w="1119" w:type="dxa"/>
            <w:tcBorders>
              <w:top w:val="nil"/>
              <w:left w:val="nil"/>
              <w:bottom w:val="nil"/>
              <w:right w:val="nil"/>
            </w:tcBorders>
            <w:shd w:val="clear" w:color="auto" w:fill="auto"/>
            <w:noWrap/>
            <w:vAlign w:val="bottom"/>
            <w:hideMark/>
          </w:tcPr>
          <w:p w14:paraId="6AFE3034" w14:textId="77777777" w:rsidR="00277685" w:rsidRPr="00277685" w:rsidRDefault="00277685" w:rsidP="00875C00">
            <w:pPr>
              <w:rPr>
                <w:sz w:val="16"/>
                <w:szCs w:val="16"/>
                <w:lang w:eastAsia="es-AR"/>
              </w:rPr>
            </w:pPr>
          </w:p>
        </w:tc>
        <w:tc>
          <w:tcPr>
            <w:tcW w:w="883" w:type="dxa"/>
            <w:tcBorders>
              <w:top w:val="nil"/>
              <w:left w:val="nil"/>
              <w:bottom w:val="nil"/>
              <w:right w:val="nil"/>
            </w:tcBorders>
            <w:shd w:val="clear" w:color="auto" w:fill="auto"/>
            <w:noWrap/>
            <w:vAlign w:val="bottom"/>
            <w:hideMark/>
          </w:tcPr>
          <w:p w14:paraId="348C1914" w14:textId="77777777" w:rsidR="00277685" w:rsidRPr="00277685" w:rsidRDefault="00277685" w:rsidP="00875C00">
            <w:pPr>
              <w:rPr>
                <w:sz w:val="16"/>
                <w:szCs w:val="16"/>
                <w:lang w:eastAsia="es-AR"/>
              </w:rPr>
            </w:pPr>
          </w:p>
        </w:tc>
        <w:tc>
          <w:tcPr>
            <w:tcW w:w="1003" w:type="dxa"/>
            <w:tcBorders>
              <w:top w:val="nil"/>
              <w:left w:val="nil"/>
              <w:bottom w:val="nil"/>
              <w:right w:val="nil"/>
            </w:tcBorders>
          </w:tcPr>
          <w:p w14:paraId="4116EFD3" w14:textId="77777777" w:rsidR="00277685" w:rsidRPr="00277685" w:rsidRDefault="00277685" w:rsidP="00875C00">
            <w:pPr>
              <w:rPr>
                <w:sz w:val="16"/>
                <w:szCs w:val="16"/>
                <w:lang w:eastAsia="es-AR"/>
              </w:rPr>
            </w:pPr>
          </w:p>
        </w:tc>
        <w:tc>
          <w:tcPr>
            <w:tcW w:w="727" w:type="dxa"/>
            <w:tcBorders>
              <w:top w:val="nil"/>
              <w:left w:val="nil"/>
              <w:bottom w:val="nil"/>
              <w:right w:val="nil"/>
            </w:tcBorders>
            <w:shd w:val="clear" w:color="auto" w:fill="auto"/>
            <w:noWrap/>
            <w:vAlign w:val="bottom"/>
            <w:hideMark/>
          </w:tcPr>
          <w:p w14:paraId="7DAAD42D" w14:textId="7E529479" w:rsidR="00277685" w:rsidRPr="00277685" w:rsidRDefault="00277685" w:rsidP="00875C00">
            <w:pPr>
              <w:rPr>
                <w:sz w:val="16"/>
                <w:szCs w:val="16"/>
                <w:lang w:eastAsia="es-AR"/>
              </w:rPr>
            </w:pPr>
          </w:p>
        </w:tc>
        <w:tc>
          <w:tcPr>
            <w:tcW w:w="1075" w:type="dxa"/>
            <w:tcBorders>
              <w:top w:val="nil"/>
              <w:left w:val="nil"/>
              <w:bottom w:val="nil"/>
              <w:right w:val="nil"/>
            </w:tcBorders>
            <w:shd w:val="clear" w:color="auto" w:fill="auto"/>
            <w:noWrap/>
            <w:vAlign w:val="bottom"/>
            <w:hideMark/>
          </w:tcPr>
          <w:p w14:paraId="1D9AC03B" w14:textId="77777777" w:rsidR="00277685" w:rsidRPr="00277685" w:rsidRDefault="00277685" w:rsidP="00875C00">
            <w:pPr>
              <w:rPr>
                <w:sz w:val="16"/>
                <w:szCs w:val="16"/>
                <w:lang w:eastAsia="es-AR"/>
              </w:rPr>
            </w:pPr>
          </w:p>
        </w:tc>
        <w:tc>
          <w:tcPr>
            <w:tcW w:w="937" w:type="dxa"/>
            <w:tcBorders>
              <w:top w:val="nil"/>
              <w:left w:val="nil"/>
              <w:bottom w:val="nil"/>
              <w:right w:val="nil"/>
            </w:tcBorders>
            <w:shd w:val="clear" w:color="auto" w:fill="auto"/>
            <w:noWrap/>
            <w:vAlign w:val="bottom"/>
            <w:hideMark/>
          </w:tcPr>
          <w:p w14:paraId="54CD50E7" w14:textId="77777777" w:rsidR="00277685" w:rsidRPr="00277685" w:rsidRDefault="00277685" w:rsidP="00875C00">
            <w:pPr>
              <w:rPr>
                <w:sz w:val="16"/>
                <w:szCs w:val="16"/>
                <w:lang w:eastAsia="es-AR"/>
              </w:rPr>
            </w:pPr>
          </w:p>
        </w:tc>
        <w:tc>
          <w:tcPr>
            <w:tcW w:w="1134" w:type="dxa"/>
            <w:tcBorders>
              <w:top w:val="nil"/>
              <w:left w:val="nil"/>
              <w:bottom w:val="nil"/>
              <w:right w:val="nil"/>
            </w:tcBorders>
            <w:shd w:val="clear" w:color="auto" w:fill="auto"/>
            <w:noWrap/>
            <w:vAlign w:val="bottom"/>
            <w:hideMark/>
          </w:tcPr>
          <w:p w14:paraId="63A593F8" w14:textId="77777777" w:rsidR="00277685" w:rsidRPr="00277685" w:rsidRDefault="00277685" w:rsidP="00875C00">
            <w:pPr>
              <w:rPr>
                <w:sz w:val="16"/>
                <w:szCs w:val="16"/>
                <w:lang w:eastAsia="es-AR"/>
              </w:rPr>
            </w:pPr>
          </w:p>
        </w:tc>
        <w:tc>
          <w:tcPr>
            <w:tcW w:w="1041" w:type="dxa"/>
            <w:tcBorders>
              <w:top w:val="nil"/>
              <w:left w:val="nil"/>
              <w:bottom w:val="nil"/>
              <w:right w:val="nil"/>
            </w:tcBorders>
            <w:shd w:val="clear" w:color="auto" w:fill="auto"/>
            <w:noWrap/>
            <w:vAlign w:val="bottom"/>
            <w:hideMark/>
          </w:tcPr>
          <w:p w14:paraId="622A7A11" w14:textId="77777777" w:rsidR="00277685" w:rsidRPr="00277685" w:rsidRDefault="00277685" w:rsidP="00875C00">
            <w:pPr>
              <w:rPr>
                <w:sz w:val="16"/>
                <w:szCs w:val="16"/>
                <w:lang w:eastAsia="es-AR"/>
              </w:rPr>
            </w:pPr>
          </w:p>
        </w:tc>
      </w:tr>
      <w:tr w:rsidR="00277685" w:rsidRPr="00277685" w14:paraId="5AC8A84F" w14:textId="77777777" w:rsidTr="006E1AF7">
        <w:trPr>
          <w:trHeight w:val="255"/>
        </w:trPr>
        <w:tc>
          <w:tcPr>
            <w:tcW w:w="2830" w:type="dxa"/>
            <w:tcBorders>
              <w:top w:val="nil"/>
              <w:left w:val="nil"/>
              <w:bottom w:val="nil"/>
              <w:right w:val="nil"/>
            </w:tcBorders>
            <w:shd w:val="clear" w:color="auto" w:fill="auto"/>
            <w:hideMark/>
          </w:tcPr>
          <w:p w14:paraId="1F689146" w14:textId="77777777" w:rsidR="00277685" w:rsidRPr="00277685" w:rsidRDefault="00277685" w:rsidP="00277685">
            <w:pPr>
              <w:rPr>
                <w:rFonts w:ascii="Arial" w:hAnsi="Arial" w:cs="Arial"/>
                <w:sz w:val="16"/>
                <w:szCs w:val="16"/>
                <w:lang w:eastAsia="es-AR"/>
              </w:rPr>
            </w:pPr>
            <w:r w:rsidRPr="00277685">
              <w:rPr>
                <w:rFonts w:ascii="Arial" w:hAnsi="Arial" w:cs="Arial"/>
                <w:sz w:val="16"/>
                <w:szCs w:val="16"/>
                <w:lang w:eastAsia="es-AR"/>
              </w:rPr>
              <w:t>- Mobiliario e Instalaciones</w:t>
            </w:r>
          </w:p>
        </w:tc>
        <w:tc>
          <w:tcPr>
            <w:tcW w:w="991" w:type="dxa"/>
            <w:tcBorders>
              <w:top w:val="nil"/>
              <w:left w:val="nil"/>
              <w:bottom w:val="nil"/>
              <w:right w:val="nil"/>
            </w:tcBorders>
            <w:shd w:val="clear" w:color="auto" w:fill="auto"/>
            <w:noWrap/>
            <w:vAlign w:val="center"/>
          </w:tcPr>
          <w:p w14:paraId="0999E39B" w14:textId="24FC8A6A" w:rsidR="00277685" w:rsidRPr="00277685" w:rsidRDefault="00277685" w:rsidP="00277685">
            <w:pPr>
              <w:jc w:val="right"/>
              <w:rPr>
                <w:rFonts w:ascii="Arial" w:hAnsi="Arial" w:cs="Arial"/>
                <w:sz w:val="16"/>
                <w:szCs w:val="16"/>
                <w:lang w:eastAsia="es-AR"/>
              </w:rPr>
            </w:pPr>
            <w:r w:rsidRPr="00277685">
              <w:rPr>
                <w:rFonts w:ascii="Arial" w:hAnsi="Arial" w:cs="Arial"/>
                <w:bCs/>
                <w:color w:val="000000"/>
                <w:sz w:val="16"/>
                <w:szCs w:val="16"/>
              </w:rPr>
              <w:t>122.342</w:t>
            </w:r>
          </w:p>
        </w:tc>
        <w:tc>
          <w:tcPr>
            <w:tcW w:w="941" w:type="dxa"/>
            <w:tcBorders>
              <w:top w:val="nil"/>
              <w:left w:val="nil"/>
              <w:bottom w:val="nil"/>
              <w:right w:val="nil"/>
            </w:tcBorders>
            <w:shd w:val="clear" w:color="auto" w:fill="auto"/>
            <w:noWrap/>
            <w:vAlign w:val="center"/>
          </w:tcPr>
          <w:p w14:paraId="6FBD551F" w14:textId="0756CDF1"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10</w:t>
            </w:r>
          </w:p>
        </w:tc>
        <w:tc>
          <w:tcPr>
            <w:tcW w:w="1003" w:type="dxa"/>
            <w:tcBorders>
              <w:top w:val="nil"/>
              <w:left w:val="nil"/>
              <w:bottom w:val="nil"/>
              <w:right w:val="nil"/>
            </w:tcBorders>
            <w:shd w:val="clear" w:color="auto" w:fill="auto"/>
            <w:noWrap/>
            <w:vAlign w:val="center"/>
          </w:tcPr>
          <w:p w14:paraId="4D777FB8" w14:textId="52F8CD94"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w:t>
            </w:r>
          </w:p>
        </w:tc>
        <w:tc>
          <w:tcPr>
            <w:tcW w:w="1102" w:type="dxa"/>
            <w:tcBorders>
              <w:top w:val="nil"/>
              <w:left w:val="nil"/>
              <w:bottom w:val="nil"/>
              <w:right w:val="nil"/>
            </w:tcBorders>
            <w:shd w:val="clear" w:color="auto" w:fill="auto"/>
            <w:noWrap/>
            <w:vAlign w:val="center"/>
          </w:tcPr>
          <w:p w14:paraId="7C6BA09D" w14:textId="74232EC0" w:rsidR="00277685" w:rsidRPr="00277685" w:rsidRDefault="00277685" w:rsidP="00277685">
            <w:pPr>
              <w:jc w:val="right"/>
              <w:rPr>
                <w:rFonts w:ascii="Arial" w:hAnsi="Arial" w:cs="Arial"/>
                <w:sz w:val="16"/>
                <w:szCs w:val="16"/>
                <w:lang w:eastAsia="es-AR"/>
              </w:rPr>
            </w:pPr>
            <w:r w:rsidRPr="00277685">
              <w:rPr>
                <w:color w:val="000000"/>
                <w:sz w:val="16"/>
                <w:szCs w:val="16"/>
              </w:rPr>
              <w:t>-</w:t>
            </w:r>
          </w:p>
        </w:tc>
        <w:tc>
          <w:tcPr>
            <w:tcW w:w="1119" w:type="dxa"/>
            <w:tcBorders>
              <w:top w:val="nil"/>
              <w:left w:val="nil"/>
              <w:bottom w:val="nil"/>
              <w:right w:val="nil"/>
            </w:tcBorders>
            <w:shd w:val="clear" w:color="auto" w:fill="auto"/>
            <w:noWrap/>
            <w:vAlign w:val="center"/>
          </w:tcPr>
          <w:p w14:paraId="47FDA105" w14:textId="75A77EEE"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17.696</w:t>
            </w:r>
          </w:p>
        </w:tc>
        <w:tc>
          <w:tcPr>
            <w:tcW w:w="883" w:type="dxa"/>
            <w:tcBorders>
              <w:top w:val="nil"/>
              <w:left w:val="nil"/>
              <w:bottom w:val="nil"/>
              <w:right w:val="nil"/>
            </w:tcBorders>
            <w:shd w:val="clear" w:color="auto" w:fill="auto"/>
            <w:noWrap/>
            <w:vAlign w:val="center"/>
          </w:tcPr>
          <w:p w14:paraId="68170B90" w14:textId="35BD668D"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-1.322</w:t>
            </w:r>
          </w:p>
        </w:tc>
        <w:tc>
          <w:tcPr>
            <w:tcW w:w="1003" w:type="dxa"/>
            <w:tcBorders>
              <w:top w:val="nil"/>
              <w:left w:val="nil"/>
              <w:bottom w:val="nil"/>
              <w:right w:val="nil"/>
            </w:tcBorders>
            <w:vAlign w:val="center"/>
          </w:tcPr>
          <w:p w14:paraId="6FCDE3F5" w14:textId="7F27FF26" w:rsidR="00277685" w:rsidRPr="00277685" w:rsidRDefault="00277685" w:rsidP="00277685">
            <w:pPr>
              <w:jc w:val="right"/>
              <w:rPr>
                <w:rFonts w:ascii="Arial" w:hAnsi="Arial" w:cs="Arial"/>
                <w:color w:val="000000"/>
                <w:sz w:val="16"/>
                <w:szCs w:val="16"/>
              </w:rPr>
            </w:pPr>
            <w:r w:rsidRPr="00277685">
              <w:rPr>
                <w:rFonts w:ascii="Arial" w:hAnsi="Arial" w:cs="Arial"/>
                <w:color w:val="000000"/>
                <w:sz w:val="16"/>
                <w:szCs w:val="16"/>
              </w:rPr>
              <w:t>-62.374</w:t>
            </w:r>
          </w:p>
        </w:tc>
        <w:tc>
          <w:tcPr>
            <w:tcW w:w="727" w:type="dxa"/>
            <w:tcBorders>
              <w:top w:val="nil"/>
              <w:left w:val="nil"/>
              <w:bottom w:val="nil"/>
              <w:right w:val="nil"/>
            </w:tcBorders>
            <w:shd w:val="clear" w:color="auto" w:fill="auto"/>
            <w:noWrap/>
            <w:vAlign w:val="center"/>
          </w:tcPr>
          <w:p w14:paraId="57238FD8" w14:textId="4214F3B3" w:rsidR="00277685" w:rsidRPr="00277685" w:rsidRDefault="001A18F8" w:rsidP="00277685">
            <w:pPr>
              <w:jc w:val="right"/>
              <w:rPr>
                <w:rFonts w:ascii="Arial" w:hAnsi="Arial" w:cs="Arial"/>
                <w:sz w:val="16"/>
                <w:szCs w:val="16"/>
                <w:lang w:eastAsia="es-AR"/>
              </w:rPr>
            </w:pPr>
            <w:r>
              <w:rPr>
                <w:rFonts w:ascii="Arial" w:hAnsi="Arial" w:cs="Arial"/>
                <w:color w:val="000000"/>
                <w:sz w:val="16"/>
                <w:szCs w:val="16"/>
              </w:rPr>
              <w:t>-</w:t>
            </w:r>
          </w:p>
        </w:tc>
        <w:tc>
          <w:tcPr>
            <w:tcW w:w="1075" w:type="dxa"/>
            <w:tcBorders>
              <w:top w:val="nil"/>
              <w:left w:val="nil"/>
              <w:bottom w:val="nil"/>
              <w:right w:val="nil"/>
            </w:tcBorders>
            <w:shd w:val="clear" w:color="auto" w:fill="auto"/>
            <w:noWrap/>
            <w:vAlign w:val="center"/>
          </w:tcPr>
          <w:p w14:paraId="0A5226F7" w14:textId="5E69085D"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-11.067</w:t>
            </w:r>
          </w:p>
        </w:tc>
        <w:tc>
          <w:tcPr>
            <w:tcW w:w="937" w:type="dxa"/>
            <w:tcBorders>
              <w:top w:val="nil"/>
              <w:left w:val="nil"/>
              <w:bottom w:val="nil"/>
              <w:right w:val="nil"/>
            </w:tcBorders>
            <w:shd w:val="clear" w:color="auto" w:fill="auto"/>
            <w:noWrap/>
            <w:vAlign w:val="center"/>
          </w:tcPr>
          <w:p w14:paraId="0CAD8EE0" w14:textId="136DDDC5" w:rsidR="00277685" w:rsidRPr="00277685" w:rsidRDefault="00277685">
            <w:pPr>
              <w:jc w:val="right"/>
              <w:rPr>
                <w:rFonts w:ascii="Arial" w:hAnsi="Arial" w:cs="Arial"/>
                <w:sz w:val="16"/>
                <w:szCs w:val="16"/>
                <w:lang w:eastAsia="es-AR"/>
              </w:rPr>
            </w:pPr>
            <w:r w:rsidRPr="00277685">
              <w:rPr>
                <w:rFonts w:ascii="Arial" w:hAnsi="Arial" w:cs="Arial"/>
                <w:color w:val="000000"/>
                <w:sz w:val="16"/>
                <w:szCs w:val="16"/>
              </w:rPr>
              <w:t>-73.441</w:t>
            </w:r>
          </w:p>
        </w:tc>
        <w:tc>
          <w:tcPr>
            <w:tcW w:w="1134" w:type="dxa"/>
            <w:tcBorders>
              <w:top w:val="nil"/>
              <w:left w:val="nil"/>
              <w:bottom w:val="nil"/>
              <w:right w:val="nil"/>
            </w:tcBorders>
            <w:shd w:val="clear" w:color="auto" w:fill="auto"/>
            <w:noWrap/>
            <w:vAlign w:val="center"/>
          </w:tcPr>
          <w:p w14:paraId="794EE33D" w14:textId="01600DFA" w:rsidR="00277685" w:rsidRPr="00277685" w:rsidRDefault="00277685" w:rsidP="00277685">
            <w:pPr>
              <w:jc w:val="right"/>
              <w:rPr>
                <w:rFonts w:ascii="Arial" w:hAnsi="Arial" w:cs="Arial"/>
                <w:sz w:val="16"/>
                <w:szCs w:val="16"/>
                <w:lang w:eastAsia="es-AR"/>
              </w:rPr>
            </w:pPr>
            <w:r w:rsidRPr="00277685">
              <w:rPr>
                <w:rFonts w:ascii="Arial" w:hAnsi="Arial" w:cs="Arial"/>
                <w:bCs/>
                <w:color w:val="000000"/>
                <w:sz w:val="16"/>
                <w:szCs w:val="16"/>
              </w:rPr>
              <w:t>65.275</w:t>
            </w:r>
          </w:p>
        </w:tc>
        <w:tc>
          <w:tcPr>
            <w:tcW w:w="1041" w:type="dxa"/>
            <w:tcBorders>
              <w:top w:val="nil"/>
              <w:left w:val="nil"/>
              <w:bottom w:val="nil"/>
              <w:right w:val="nil"/>
            </w:tcBorders>
            <w:shd w:val="clear" w:color="auto" w:fill="auto"/>
            <w:noWrap/>
            <w:vAlign w:val="center"/>
          </w:tcPr>
          <w:p w14:paraId="6270A062" w14:textId="03E542F5" w:rsidR="00277685" w:rsidRPr="00277685" w:rsidRDefault="00277685" w:rsidP="00277685">
            <w:pPr>
              <w:jc w:val="right"/>
              <w:rPr>
                <w:rFonts w:ascii="Arial" w:hAnsi="Arial" w:cs="Arial"/>
                <w:sz w:val="16"/>
                <w:szCs w:val="16"/>
                <w:lang w:eastAsia="es-AR"/>
              </w:rPr>
            </w:pPr>
            <w:r w:rsidRPr="00277685">
              <w:rPr>
                <w:rFonts w:ascii="Arial" w:hAnsi="Arial" w:cs="Arial"/>
                <w:sz w:val="16"/>
                <w:szCs w:val="16"/>
              </w:rPr>
              <w:t>59.968</w:t>
            </w:r>
          </w:p>
        </w:tc>
      </w:tr>
      <w:tr w:rsidR="00277685" w:rsidRPr="00277685" w14:paraId="4F649352" w14:textId="77777777" w:rsidTr="006E1AF7">
        <w:trPr>
          <w:trHeight w:val="255"/>
        </w:trPr>
        <w:tc>
          <w:tcPr>
            <w:tcW w:w="2830" w:type="dxa"/>
            <w:tcBorders>
              <w:top w:val="nil"/>
              <w:left w:val="nil"/>
              <w:bottom w:val="nil"/>
              <w:right w:val="nil"/>
            </w:tcBorders>
            <w:shd w:val="clear" w:color="auto" w:fill="auto"/>
            <w:hideMark/>
          </w:tcPr>
          <w:p w14:paraId="5EEDBDC8" w14:textId="77777777" w:rsidR="00277685" w:rsidRPr="00277685" w:rsidRDefault="00277685" w:rsidP="00277685">
            <w:pPr>
              <w:rPr>
                <w:rFonts w:ascii="Arial" w:hAnsi="Arial" w:cs="Arial"/>
                <w:sz w:val="16"/>
                <w:szCs w:val="16"/>
                <w:lang w:eastAsia="es-AR"/>
              </w:rPr>
            </w:pPr>
            <w:r w:rsidRPr="00277685">
              <w:rPr>
                <w:rFonts w:ascii="Arial" w:hAnsi="Arial" w:cs="Arial"/>
                <w:sz w:val="16"/>
                <w:szCs w:val="16"/>
                <w:lang w:eastAsia="es-AR"/>
              </w:rPr>
              <w:t>- Máquinas y equipos</w:t>
            </w:r>
          </w:p>
        </w:tc>
        <w:tc>
          <w:tcPr>
            <w:tcW w:w="991" w:type="dxa"/>
            <w:tcBorders>
              <w:top w:val="nil"/>
              <w:left w:val="nil"/>
              <w:bottom w:val="nil"/>
              <w:right w:val="nil"/>
            </w:tcBorders>
            <w:shd w:val="clear" w:color="auto" w:fill="auto"/>
            <w:noWrap/>
            <w:vAlign w:val="center"/>
          </w:tcPr>
          <w:p w14:paraId="61968EC0" w14:textId="4C18D204" w:rsidR="00277685" w:rsidRPr="00277685" w:rsidRDefault="00277685" w:rsidP="00277685">
            <w:pPr>
              <w:jc w:val="right"/>
              <w:rPr>
                <w:rFonts w:ascii="Arial" w:hAnsi="Arial" w:cs="Arial"/>
                <w:sz w:val="16"/>
                <w:szCs w:val="16"/>
                <w:lang w:eastAsia="es-AR"/>
              </w:rPr>
            </w:pPr>
            <w:r w:rsidRPr="00277685">
              <w:rPr>
                <w:rFonts w:ascii="Arial" w:hAnsi="Arial" w:cs="Arial"/>
                <w:bCs/>
                <w:color w:val="000000"/>
                <w:sz w:val="16"/>
                <w:szCs w:val="16"/>
              </w:rPr>
              <w:t>614.268</w:t>
            </w:r>
          </w:p>
        </w:tc>
        <w:tc>
          <w:tcPr>
            <w:tcW w:w="941" w:type="dxa"/>
            <w:tcBorders>
              <w:top w:val="nil"/>
              <w:left w:val="nil"/>
              <w:bottom w:val="nil"/>
              <w:right w:val="nil"/>
            </w:tcBorders>
            <w:shd w:val="clear" w:color="auto" w:fill="auto"/>
            <w:noWrap/>
            <w:vAlign w:val="center"/>
          </w:tcPr>
          <w:p w14:paraId="67EF4792" w14:textId="6F3DD3FE"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5</w:t>
            </w:r>
          </w:p>
        </w:tc>
        <w:tc>
          <w:tcPr>
            <w:tcW w:w="1003" w:type="dxa"/>
            <w:tcBorders>
              <w:top w:val="nil"/>
              <w:left w:val="nil"/>
              <w:bottom w:val="nil"/>
              <w:right w:val="nil"/>
            </w:tcBorders>
            <w:shd w:val="clear" w:color="auto" w:fill="auto"/>
            <w:noWrap/>
            <w:vAlign w:val="center"/>
          </w:tcPr>
          <w:p w14:paraId="6199947D" w14:textId="2587A488"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w:t>
            </w:r>
          </w:p>
        </w:tc>
        <w:tc>
          <w:tcPr>
            <w:tcW w:w="1102" w:type="dxa"/>
            <w:tcBorders>
              <w:top w:val="nil"/>
              <w:left w:val="nil"/>
              <w:bottom w:val="nil"/>
              <w:right w:val="nil"/>
            </w:tcBorders>
            <w:shd w:val="clear" w:color="auto" w:fill="auto"/>
            <w:noWrap/>
            <w:vAlign w:val="center"/>
          </w:tcPr>
          <w:p w14:paraId="5BE26131" w14:textId="5723533F" w:rsidR="00277685" w:rsidRPr="00277685" w:rsidRDefault="00277685" w:rsidP="00277685">
            <w:pPr>
              <w:jc w:val="right"/>
              <w:rPr>
                <w:rFonts w:ascii="Arial" w:hAnsi="Arial" w:cs="Arial"/>
                <w:sz w:val="16"/>
                <w:szCs w:val="16"/>
                <w:lang w:eastAsia="es-AR"/>
              </w:rPr>
            </w:pPr>
            <w:r w:rsidRPr="00277685">
              <w:rPr>
                <w:color w:val="000000"/>
                <w:sz w:val="16"/>
                <w:szCs w:val="16"/>
              </w:rPr>
              <w:t>-</w:t>
            </w:r>
          </w:p>
        </w:tc>
        <w:tc>
          <w:tcPr>
            <w:tcW w:w="1119" w:type="dxa"/>
            <w:tcBorders>
              <w:top w:val="nil"/>
              <w:left w:val="nil"/>
              <w:bottom w:val="nil"/>
              <w:right w:val="nil"/>
            </w:tcBorders>
            <w:shd w:val="clear" w:color="auto" w:fill="auto"/>
            <w:noWrap/>
            <w:vAlign w:val="center"/>
          </w:tcPr>
          <w:p w14:paraId="16B77037" w14:textId="2E6B5360"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98.645</w:t>
            </w:r>
          </w:p>
        </w:tc>
        <w:tc>
          <w:tcPr>
            <w:tcW w:w="883" w:type="dxa"/>
            <w:tcBorders>
              <w:top w:val="nil"/>
              <w:left w:val="nil"/>
              <w:bottom w:val="nil"/>
              <w:right w:val="nil"/>
            </w:tcBorders>
            <w:shd w:val="clear" w:color="auto" w:fill="auto"/>
            <w:noWrap/>
            <w:vAlign w:val="center"/>
          </w:tcPr>
          <w:p w14:paraId="1658B889" w14:textId="666A589F"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-5.263</w:t>
            </w:r>
          </w:p>
        </w:tc>
        <w:tc>
          <w:tcPr>
            <w:tcW w:w="1003" w:type="dxa"/>
            <w:tcBorders>
              <w:top w:val="nil"/>
              <w:left w:val="nil"/>
              <w:bottom w:val="nil"/>
              <w:right w:val="nil"/>
            </w:tcBorders>
            <w:vAlign w:val="center"/>
          </w:tcPr>
          <w:p w14:paraId="034D3BDA" w14:textId="5D04F07B" w:rsidR="00277685" w:rsidRPr="00277685" w:rsidRDefault="00277685" w:rsidP="00277685">
            <w:pPr>
              <w:jc w:val="right"/>
              <w:rPr>
                <w:rFonts w:ascii="Arial" w:hAnsi="Arial" w:cs="Arial"/>
                <w:color w:val="000000"/>
                <w:sz w:val="16"/>
                <w:szCs w:val="16"/>
              </w:rPr>
            </w:pPr>
            <w:r w:rsidRPr="00277685">
              <w:rPr>
                <w:rFonts w:ascii="Arial" w:hAnsi="Arial" w:cs="Arial"/>
                <w:color w:val="000000"/>
                <w:sz w:val="16"/>
                <w:szCs w:val="16"/>
              </w:rPr>
              <w:t>-377.343</w:t>
            </w:r>
          </w:p>
        </w:tc>
        <w:tc>
          <w:tcPr>
            <w:tcW w:w="727" w:type="dxa"/>
            <w:tcBorders>
              <w:top w:val="nil"/>
              <w:left w:val="nil"/>
              <w:bottom w:val="nil"/>
              <w:right w:val="nil"/>
            </w:tcBorders>
            <w:shd w:val="clear" w:color="auto" w:fill="auto"/>
            <w:noWrap/>
            <w:vAlign w:val="center"/>
          </w:tcPr>
          <w:p w14:paraId="64AC2F57" w14:textId="5C96F7C4"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700</w:t>
            </w:r>
          </w:p>
        </w:tc>
        <w:tc>
          <w:tcPr>
            <w:tcW w:w="1075" w:type="dxa"/>
            <w:tcBorders>
              <w:top w:val="nil"/>
              <w:left w:val="nil"/>
              <w:bottom w:val="nil"/>
              <w:right w:val="nil"/>
            </w:tcBorders>
            <w:shd w:val="clear" w:color="auto" w:fill="auto"/>
            <w:noWrap/>
            <w:vAlign w:val="center"/>
          </w:tcPr>
          <w:p w14:paraId="3CA11910" w14:textId="2EEECDF6"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-121.653</w:t>
            </w:r>
          </w:p>
        </w:tc>
        <w:tc>
          <w:tcPr>
            <w:tcW w:w="937" w:type="dxa"/>
            <w:tcBorders>
              <w:top w:val="nil"/>
              <w:left w:val="nil"/>
              <w:bottom w:val="nil"/>
              <w:right w:val="nil"/>
            </w:tcBorders>
            <w:shd w:val="clear" w:color="auto" w:fill="auto"/>
            <w:noWrap/>
            <w:vAlign w:val="center"/>
          </w:tcPr>
          <w:p w14:paraId="0B4B4957" w14:textId="74DBCD4E" w:rsidR="00277685" w:rsidRPr="00277685" w:rsidRDefault="00277685">
            <w:pPr>
              <w:jc w:val="right"/>
              <w:rPr>
                <w:rFonts w:ascii="Arial" w:hAnsi="Arial" w:cs="Arial"/>
                <w:sz w:val="16"/>
                <w:szCs w:val="16"/>
                <w:lang w:eastAsia="es-AR"/>
              </w:rPr>
            </w:pPr>
            <w:r w:rsidRPr="00277685">
              <w:rPr>
                <w:rFonts w:ascii="Arial" w:hAnsi="Arial" w:cs="Arial"/>
                <w:color w:val="000000"/>
                <w:sz w:val="16"/>
                <w:szCs w:val="16"/>
              </w:rPr>
              <w:t>-498.296</w:t>
            </w:r>
          </w:p>
        </w:tc>
        <w:tc>
          <w:tcPr>
            <w:tcW w:w="1134" w:type="dxa"/>
            <w:tcBorders>
              <w:top w:val="nil"/>
              <w:left w:val="nil"/>
              <w:bottom w:val="nil"/>
              <w:right w:val="nil"/>
            </w:tcBorders>
            <w:shd w:val="clear" w:color="auto" w:fill="auto"/>
            <w:noWrap/>
            <w:vAlign w:val="center"/>
          </w:tcPr>
          <w:p w14:paraId="62494FDE" w14:textId="1696AB59" w:rsidR="00277685" w:rsidRPr="00277685" w:rsidRDefault="00277685" w:rsidP="00277685">
            <w:pPr>
              <w:jc w:val="right"/>
              <w:rPr>
                <w:rFonts w:ascii="Arial" w:hAnsi="Arial" w:cs="Arial"/>
                <w:sz w:val="16"/>
                <w:szCs w:val="16"/>
                <w:lang w:eastAsia="es-AR"/>
              </w:rPr>
            </w:pPr>
            <w:r w:rsidRPr="00277685">
              <w:rPr>
                <w:rFonts w:ascii="Arial" w:hAnsi="Arial" w:cs="Arial"/>
                <w:bCs/>
                <w:color w:val="000000"/>
                <w:sz w:val="16"/>
                <w:szCs w:val="16"/>
              </w:rPr>
              <w:t>209.354</w:t>
            </w:r>
          </w:p>
        </w:tc>
        <w:tc>
          <w:tcPr>
            <w:tcW w:w="1041" w:type="dxa"/>
            <w:tcBorders>
              <w:top w:val="nil"/>
              <w:left w:val="nil"/>
              <w:bottom w:val="nil"/>
              <w:right w:val="nil"/>
            </w:tcBorders>
            <w:shd w:val="clear" w:color="auto" w:fill="auto"/>
            <w:noWrap/>
            <w:vAlign w:val="center"/>
          </w:tcPr>
          <w:p w14:paraId="3189D982" w14:textId="0D467664" w:rsidR="00277685" w:rsidRPr="00277685" w:rsidRDefault="00277685" w:rsidP="00277685">
            <w:pPr>
              <w:jc w:val="right"/>
              <w:rPr>
                <w:rFonts w:ascii="Arial" w:hAnsi="Arial" w:cs="Arial"/>
                <w:sz w:val="16"/>
                <w:szCs w:val="16"/>
                <w:lang w:eastAsia="es-AR"/>
              </w:rPr>
            </w:pPr>
            <w:r w:rsidRPr="00277685">
              <w:rPr>
                <w:rFonts w:ascii="Arial" w:hAnsi="Arial" w:cs="Arial"/>
                <w:sz w:val="16"/>
                <w:szCs w:val="16"/>
              </w:rPr>
              <w:t>236.925</w:t>
            </w:r>
          </w:p>
        </w:tc>
      </w:tr>
      <w:tr w:rsidR="00277685" w:rsidRPr="00277685" w14:paraId="7026C411" w14:textId="77777777" w:rsidTr="006E1AF7">
        <w:trPr>
          <w:trHeight w:val="255"/>
        </w:trPr>
        <w:tc>
          <w:tcPr>
            <w:tcW w:w="2830" w:type="dxa"/>
            <w:tcBorders>
              <w:top w:val="nil"/>
              <w:left w:val="nil"/>
              <w:bottom w:val="nil"/>
              <w:right w:val="nil"/>
            </w:tcBorders>
            <w:shd w:val="clear" w:color="auto" w:fill="auto"/>
            <w:hideMark/>
          </w:tcPr>
          <w:p w14:paraId="607480BC" w14:textId="77777777" w:rsidR="00277685" w:rsidRPr="00277685" w:rsidRDefault="00277685" w:rsidP="00277685">
            <w:pPr>
              <w:rPr>
                <w:rFonts w:ascii="Arial" w:hAnsi="Arial" w:cs="Arial"/>
                <w:sz w:val="16"/>
                <w:szCs w:val="16"/>
                <w:lang w:eastAsia="es-AR"/>
              </w:rPr>
            </w:pPr>
            <w:r w:rsidRPr="00277685">
              <w:rPr>
                <w:rFonts w:ascii="Arial" w:hAnsi="Arial" w:cs="Arial"/>
                <w:sz w:val="16"/>
                <w:szCs w:val="16"/>
                <w:lang w:eastAsia="es-AR"/>
              </w:rPr>
              <w:t>- Vehículos</w:t>
            </w:r>
          </w:p>
        </w:tc>
        <w:tc>
          <w:tcPr>
            <w:tcW w:w="991" w:type="dxa"/>
            <w:tcBorders>
              <w:top w:val="nil"/>
              <w:left w:val="nil"/>
              <w:bottom w:val="nil"/>
              <w:right w:val="nil"/>
            </w:tcBorders>
            <w:shd w:val="clear" w:color="auto" w:fill="auto"/>
            <w:noWrap/>
            <w:vAlign w:val="center"/>
          </w:tcPr>
          <w:p w14:paraId="707BA53A" w14:textId="31581246" w:rsidR="00277685" w:rsidRPr="00277685" w:rsidRDefault="00277685" w:rsidP="00277685">
            <w:pPr>
              <w:jc w:val="right"/>
              <w:rPr>
                <w:rFonts w:ascii="Arial" w:hAnsi="Arial" w:cs="Arial"/>
                <w:sz w:val="16"/>
                <w:szCs w:val="16"/>
                <w:lang w:eastAsia="es-AR"/>
              </w:rPr>
            </w:pPr>
            <w:r w:rsidRPr="00277685">
              <w:rPr>
                <w:rFonts w:ascii="Arial" w:hAnsi="Arial" w:cs="Arial"/>
                <w:bCs/>
                <w:color w:val="000000"/>
                <w:sz w:val="16"/>
                <w:szCs w:val="16"/>
              </w:rPr>
              <w:t>56.229</w:t>
            </w:r>
          </w:p>
        </w:tc>
        <w:tc>
          <w:tcPr>
            <w:tcW w:w="941" w:type="dxa"/>
            <w:tcBorders>
              <w:top w:val="nil"/>
              <w:left w:val="nil"/>
              <w:bottom w:val="nil"/>
              <w:right w:val="nil"/>
            </w:tcBorders>
            <w:shd w:val="clear" w:color="auto" w:fill="auto"/>
            <w:noWrap/>
            <w:vAlign w:val="center"/>
          </w:tcPr>
          <w:p w14:paraId="527EA8B7" w14:textId="1AC1D68E"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5</w:t>
            </w:r>
          </w:p>
        </w:tc>
        <w:tc>
          <w:tcPr>
            <w:tcW w:w="1003" w:type="dxa"/>
            <w:tcBorders>
              <w:top w:val="nil"/>
              <w:left w:val="nil"/>
              <w:bottom w:val="nil"/>
              <w:right w:val="nil"/>
            </w:tcBorders>
            <w:shd w:val="clear" w:color="auto" w:fill="auto"/>
            <w:noWrap/>
            <w:vAlign w:val="center"/>
          </w:tcPr>
          <w:p w14:paraId="601B5E0E" w14:textId="2E910F1D"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w:t>
            </w:r>
          </w:p>
        </w:tc>
        <w:tc>
          <w:tcPr>
            <w:tcW w:w="1102" w:type="dxa"/>
            <w:tcBorders>
              <w:top w:val="nil"/>
              <w:left w:val="nil"/>
              <w:bottom w:val="nil"/>
              <w:right w:val="nil"/>
            </w:tcBorders>
            <w:shd w:val="clear" w:color="auto" w:fill="auto"/>
            <w:noWrap/>
            <w:vAlign w:val="center"/>
          </w:tcPr>
          <w:p w14:paraId="14F4164E" w14:textId="53687775" w:rsidR="00277685" w:rsidRPr="00277685" w:rsidRDefault="00277685" w:rsidP="00277685">
            <w:pPr>
              <w:jc w:val="right"/>
              <w:rPr>
                <w:rFonts w:ascii="Arial" w:hAnsi="Arial" w:cs="Arial"/>
                <w:sz w:val="16"/>
                <w:szCs w:val="16"/>
                <w:lang w:eastAsia="es-AR"/>
              </w:rPr>
            </w:pPr>
            <w:r w:rsidRPr="00277685">
              <w:rPr>
                <w:color w:val="000000"/>
                <w:sz w:val="16"/>
                <w:szCs w:val="16"/>
              </w:rPr>
              <w:t>-</w:t>
            </w:r>
          </w:p>
        </w:tc>
        <w:tc>
          <w:tcPr>
            <w:tcW w:w="1119" w:type="dxa"/>
            <w:tcBorders>
              <w:top w:val="nil"/>
              <w:left w:val="nil"/>
              <w:bottom w:val="nil"/>
              <w:right w:val="nil"/>
            </w:tcBorders>
            <w:shd w:val="clear" w:color="auto" w:fill="auto"/>
            <w:noWrap/>
            <w:vAlign w:val="center"/>
          </w:tcPr>
          <w:p w14:paraId="7308724B" w14:textId="6432BCF3"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27.400</w:t>
            </w:r>
          </w:p>
        </w:tc>
        <w:tc>
          <w:tcPr>
            <w:tcW w:w="883" w:type="dxa"/>
            <w:tcBorders>
              <w:top w:val="nil"/>
              <w:left w:val="nil"/>
              <w:bottom w:val="nil"/>
              <w:right w:val="nil"/>
            </w:tcBorders>
            <w:shd w:val="clear" w:color="auto" w:fill="auto"/>
            <w:noWrap/>
            <w:vAlign w:val="center"/>
          </w:tcPr>
          <w:p w14:paraId="26159DC9" w14:textId="0987AD44"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-10.521</w:t>
            </w:r>
          </w:p>
        </w:tc>
        <w:tc>
          <w:tcPr>
            <w:tcW w:w="1003" w:type="dxa"/>
            <w:tcBorders>
              <w:top w:val="nil"/>
              <w:left w:val="nil"/>
              <w:bottom w:val="nil"/>
              <w:right w:val="nil"/>
            </w:tcBorders>
            <w:vAlign w:val="center"/>
          </w:tcPr>
          <w:p w14:paraId="55191011" w14:textId="2D383D90" w:rsidR="00277685" w:rsidRPr="00277685" w:rsidRDefault="00277685" w:rsidP="00277685">
            <w:pPr>
              <w:jc w:val="right"/>
              <w:rPr>
                <w:rFonts w:ascii="Arial" w:hAnsi="Arial" w:cs="Arial"/>
                <w:color w:val="000000"/>
                <w:sz w:val="16"/>
                <w:szCs w:val="16"/>
              </w:rPr>
            </w:pPr>
            <w:r w:rsidRPr="00277685">
              <w:rPr>
                <w:rFonts w:ascii="Arial" w:hAnsi="Arial" w:cs="Arial"/>
                <w:color w:val="000000"/>
                <w:sz w:val="16"/>
                <w:szCs w:val="16"/>
              </w:rPr>
              <w:t>-16.605</w:t>
            </w:r>
          </w:p>
        </w:tc>
        <w:tc>
          <w:tcPr>
            <w:tcW w:w="727" w:type="dxa"/>
            <w:tcBorders>
              <w:top w:val="nil"/>
              <w:left w:val="nil"/>
              <w:bottom w:val="nil"/>
              <w:right w:val="nil"/>
            </w:tcBorders>
            <w:shd w:val="clear" w:color="auto" w:fill="auto"/>
            <w:noWrap/>
            <w:vAlign w:val="center"/>
          </w:tcPr>
          <w:p w14:paraId="2652E949" w14:textId="1CAEFE1E"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4.898</w:t>
            </w:r>
          </w:p>
        </w:tc>
        <w:tc>
          <w:tcPr>
            <w:tcW w:w="1075" w:type="dxa"/>
            <w:tcBorders>
              <w:top w:val="nil"/>
              <w:left w:val="nil"/>
              <w:bottom w:val="nil"/>
              <w:right w:val="nil"/>
            </w:tcBorders>
            <w:shd w:val="clear" w:color="auto" w:fill="auto"/>
            <w:noWrap/>
            <w:vAlign w:val="center"/>
          </w:tcPr>
          <w:p w14:paraId="55CC5103" w14:textId="3901F1E8"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-12.119</w:t>
            </w:r>
          </w:p>
        </w:tc>
        <w:tc>
          <w:tcPr>
            <w:tcW w:w="937" w:type="dxa"/>
            <w:tcBorders>
              <w:top w:val="nil"/>
              <w:left w:val="nil"/>
              <w:bottom w:val="nil"/>
              <w:right w:val="nil"/>
            </w:tcBorders>
            <w:shd w:val="clear" w:color="auto" w:fill="auto"/>
            <w:noWrap/>
            <w:vAlign w:val="center"/>
          </w:tcPr>
          <w:p w14:paraId="1A4CC279" w14:textId="0C762DA2" w:rsidR="00277685" w:rsidRPr="00277685" w:rsidRDefault="00277685">
            <w:pPr>
              <w:jc w:val="right"/>
              <w:rPr>
                <w:rFonts w:ascii="Arial" w:hAnsi="Arial" w:cs="Arial"/>
                <w:sz w:val="16"/>
                <w:szCs w:val="16"/>
                <w:lang w:eastAsia="es-AR"/>
              </w:rPr>
            </w:pPr>
            <w:r w:rsidRPr="00277685">
              <w:rPr>
                <w:rFonts w:ascii="Arial" w:hAnsi="Arial" w:cs="Arial"/>
                <w:color w:val="000000"/>
                <w:sz w:val="16"/>
                <w:szCs w:val="16"/>
              </w:rPr>
              <w:t>-23.826</w:t>
            </w:r>
          </w:p>
        </w:tc>
        <w:tc>
          <w:tcPr>
            <w:tcW w:w="1134" w:type="dxa"/>
            <w:tcBorders>
              <w:top w:val="nil"/>
              <w:left w:val="nil"/>
              <w:bottom w:val="nil"/>
              <w:right w:val="nil"/>
            </w:tcBorders>
            <w:shd w:val="clear" w:color="auto" w:fill="auto"/>
            <w:noWrap/>
            <w:vAlign w:val="center"/>
          </w:tcPr>
          <w:p w14:paraId="0DCD6265" w14:textId="1316279E" w:rsidR="00277685" w:rsidRPr="00277685" w:rsidRDefault="00277685" w:rsidP="00277685">
            <w:pPr>
              <w:jc w:val="right"/>
              <w:rPr>
                <w:rFonts w:ascii="Arial" w:hAnsi="Arial" w:cs="Arial"/>
                <w:sz w:val="16"/>
                <w:szCs w:val="16"/>
                <w:lang w:eastAsia="es-AR"/>
              </w:rPr>
            </w:pPr>
            <w:r w:rsidRPr="00277685">
              <w:rPr>
                <w:rFonts w:ascii="Arial" w:hAnsi="Arial" w:cs="Arial"/>
                <w:bCs/>
                <w:color w:val="000000"/>
                <w:sz w:val="16"/>
                <w:szCs w:val="16"/>
              </w:rPr>
              <w:t>49.282</w:t>
            </w:r>
          </w:p>
        </w:tc>
        <w:tc>
          <w:tcPr>
            <w:tcW w:w="1041" w:type="dxa"/>
            <w:tcBorders>
              <w:top w:val="nil"/>
              <w:left w:val="nil"/>
              <w:bottom w:val="nil"/>
              <w:right w:val="nil"/>
            </w:tcBorders>
            <w:shd w:val="clear" w:color="auto" w:fill="auto"/>
            <w:noWrap/>
            <w:vAlign w:val="center"/>
          </w:tcPr>
          <w:p w14:paraId="1B446647" w14:textId="63389572" w:rsidR="00277685" w:rsidRPr="00277685" w:rsidRDefault="00277685" w:rsidP="00277685">
            <w:pPr>
              <w:jc w:val="right"/>
              <w:rPr>
                <w:rFonts w:ascii="Arial" w:hAnsi="Arial" w:cs="Arial"/>
                <w:sz w:val="16"/>
                <w:szCs w:val="16"/>
                <w:lang w:eastAsia="es-AR"/>
              </w:rPr>
            </w:pPr>
            <w:r w:rsidRPr="00277685">
              <w:rPr>
                <w:rFonts w:ascii="Arial" w:hAnsi="Arial" w:cs="Arial"/>
                <w:sz w:val="16"/>
                <w:szCs w:val="16"/>
              </w:rPr>
              <w:t>39.624</w:t>
            </w:r>
          </w:p>
        </w:tc>
      </w:tr>
      <w:tr w:rsidR="0093466A" w:rsidRPr="00277685" w14:paraId="65A0BBCD" w14:textId="77777777" w:rsidTr="006E1AF7">
        <w:trPr>
          <w:trHeight w:val="255"/>
        </w:trPr>
        <w:tc>
          <w:tcPr>
            <w:tcW w:w="2830" w:type="dxa"/>
            <w:tcBorders>
              <w:top w:val="nil"/>
              <w:left w:val="nil"/>
              <w:bottom w:val="nil"/>
              <w:right w:val="nil"/>
            </w:tcBorders>
            <w:shd w:val="clear" w:color="auto" w:fill="auto"/>
          </w:tcPr>
          <w:p w14:paraId="53B118CF" w14:textId="2C6EC1BB" w:rsidR="0093466A" w:rsidRPr="00E20EB9" w:rsidRDefault="00E20EB9" w:rsidP="00E20EB9">
            <w:pPr>
              <w:rPr>
                <w:rFonts w:ascii="Arial" w:hAnsi="Arial" w:cs="Arial"/>
                <w:sz w:val="16"/>
                <w:szCs w:val="16"/>
                <w:lang w:eastAsia="es-AR"/>
              </w:rPr>
            </w:pPr>
            <w:r>
              <w:rPr>
                <w:rFonts w:ascii="Arial" w:hAnsi="Arial" w:cs="Arial"/>
                <w:sz w:val="16"/>
                <w:szCs w:val="16"/>
                <w:lang w:eastAsia="es-AR"/>
              </w:rPr>
              <w:t>-</w:t>
            </w:r>
            <w:r w:rsidR="0093466A" w:rsidRPr="00E20EB9">
              <w:rPr>
                <w:rFonts w:ascii="Arial" w:hAnsi="Arial" w:cs="Arial"/>
                <w:sz w:val="16"/>
                <w:szCs w:val="16"/>
                <w:lang w:eastAsia="es-AR"/>
              </w:rPr>
              <w:t>Derecho de uso de Inmuebles arrendados</w:t>
            </w:r>
          </w:p>
        </w:tc>
        <w:tc>
          <w:tcPr>
            <w:tcW w:w="991" w:type="dxa"/>
            <w:tcBorders>
              <w:top w:val="nil"/>
              <w:left w:val="nil"/>
              <w:bottom w:val="nil"/>
              <w:right w:val="nil"/>
            </w:tcBorders>
            <w:shd w:val="clear" w:color="auto" w:fill="auto"/>
            <w:noWrap/>
            <w:vAlign w:val="center"/>
          </w:tcPr>
          <w:p w14:paraId="4C119FCE" w14:textId="38D5FB5C" w:rsidR="0093466A" w:rsidRPr="00277685" w:rsidRDefault="001A18F8" w:rsidP="00277685">
            <w:pPr>
              <w:jc w:val="right"/>
              <w:rPr>
                <w:rFonts w:ascii="Arial" w:hAnsi="Arial" w:cs="Arial"/>
                <w:bCs/>
                <w:color w:val="000000"/>
                <w:sz w:val="16"/>
                <w:szCs w:val="16"/>
              </w:rPr>
            </w:pPr>
            <w:r>
              <w:rPr>
                <w:rFonts w:ascii="Arial" w:hAnsi="Arial" w:cs="Arial"/>
                <w:bCs/>
                <w:color w:val="000000"/>
                <w:sz w:val="16"/>
                <w:szCs w:val="16"/>
              </w:rPr>
              <w:t>-</w:t>
            </w:r>
          </w:p>
        </w:tc>
        <w:tc>
          <w:tcPr>
            <w:tcW w:w="941" w:type="dxa"/>
            <w:tcBorders>
              <w:top w:val="nil"/>
              <w:left w:val="nil"/>
              <w:bottom w:val="nil"/>
              <w:right w:val="nil"/>
            </w:tcBorders>
            <w:shd w:val="clear" w:color="auto" w:fill="auto"/>
            <w:noWrap/>
            <w:vAlign w:val="center"/>
          </w:tcPr>
          <w:p w14:paraId="5B2C7D2C" w14:textId="3E963063" w:rsidR="0093466A" w:rsidRPr="00277685" w:rsidRDefault="0093466A" w:rsidP="00277685">
            <w:pPr>
              <w:jc w:val="right"/>
              <w:rPr>
                <w:rFonts w:ascii="Arial" w:hAnsi="Arial" w:cs="Arial"/>
                <w:color w:val="000000"/>
                <w:sz w:val="16"/>
                <w:szCs w:val="16"/>
              </w:rPr>
            </w:pPr>
            <w:r>
              <w:rPr>
                <w:rFonts w:ascii="Arial" w:hAnsi="Arial" w:cs="Arial"/>
                <w:color w:val="000000"/>
                <w:sz w:val="16"/>
                <w:szCs w:val="16"/>
              </w:rPr>
              <w:t>50</w:t>
            </w:r>
          </w:p>
        </w:tc>
        <w:tc>
          <w:tcPr>
            <w:tcW w:w="1003" w:type="dxa"/>
            <w:tcBorders>
              <w:top w:val="nil"/>
              <w:left w:val="nil"/>
              <w:bottom w:val="nil"/>
              <w:right w:val="nil"/>
            </w:tcBorders>
            <w:shd w:val="clear" w:color="auto" w:fill="auto"/>
            <w:noWrap/>
            <w:vAlign w:val="center"/>
          </w:tcPr>
          <w:p w14:paraId="54CAEAEF" w14:textId="22CB0A87" w:rsidR="0093466A" w:rsidRPr="00277685" w:rsidRDefault="0093466A" w:rsidP="00277685">
            <w:pPr>
              <w:jc w:val="right"/>
              <w:rPr>
                <w:rFonts w:ascii="Arial" w:hAnsi="Arial" w:cs="Arial"/>
                <w:color w:val="000000"/>
                <w:sz w:val="16"/>
                <w:szCs w:val="16"/>
              </w:rPr>
            </w:pPr>
            <w:r>
              <w:rPr>
                <w:rFonts w:ascii="Arial" w:hAnsi="Arial" w:cs="Arial"/>
                <w:color w:val="000000"/>
                <w:sz w:val="16"/>
                <w:szCs w:val="16"/>
              </w:rPr>
              <w:t>-</w:t>
            </w:r>
          </w:p>
        </w:tc>
        <w:tc>
          <w:tcPr>
            <w:tcW w:w="1102" w:type="dxa"/>
            <w:tcBorders>
              <w:top w:val="nil"/>
              <w:left w:val="nil"/>
              <w:bottom w:val="nil"/>
              <w:right w:val="nil"/>
            </w:tcBorders>
            <w:shd w:val="clear" w:color="auto" w:fill="auto"/>
            <w:noWrap/>
            <w:vAlign w:val="center"/>
          </w:tcPr>
          <w:p w14:paraId="07A3A686" w14:textId="625F983C" w:rsidR="0093466A" w:rsidRPr="00277685" w:rsidRDefault="0093466A" w:rsidP="00277685">
            <w:pPr>
              <w:jc w:val="right"/>
              <w:rPr>
                <w:color w:val="000000"/>
                <w:sz w:val="16"/>
                <w:szCs w:val="16"/>
              </w:rPr>
            </w:pPr>
            <w:r>
              <w:rPr>
                <w:color w:val="000000"/>
                <w:sz w:val="16"/>
                <w:szCs w:val="16"/>
              </w:rPr>
              <w:t>-</w:t>
            </w:r>
          </w:p>
        </w:tc>
        <w:tc>
          <w:tcPr>
            <w:tcW w:w="1119" w:type="dxa"/>
            <w:tcBorders>
              <w:top w:val="nil"/>
              <w:left w:val="nil"/>
              <w:bottom w:val="nil"/>
              <w:right w:val="nil"/>
            </w:tcBorders>
            <w:shd w:val="clear" w:color="auto" w:fill="auto"/>
            <w:noWrap/>
            <w:vAlign w:val="center"/>
          </w:tcPr>
          <w:p w14:paraId="2C381209" w14:textId="46FF493F" w:rsidR="0093466A" w:rsidRPr="00277685" w:rsidRDefault="0093466A" w:rsidP="00277685">
            <w:pPr>
              <w:jc w:val="right"/>
              <w:rPr>
                <w:rFonts w:ascii="Arial" w:hAnsi="Arial" w:cs="Arial"/>
                <w:color w:val="000000"/>
                <w:sz w:val="16"/>
                <w:szCs w:val="16"/>
              </w:rPr>
            </w:pPr>
            <w:r>
              <w:rPr>
                <w:rFonts w:ascii="Arial" w:hAnsi="Arial" w:cs="Arial"/>
                <w:color w:val="000000"/>
                <w:sz w:val="16"/>
                <w:szCs w:val="16"/>
              </w:rPr>
              <w:t>9</w:t>
            </w:r>
            <w:r w:rsidR="00076DF4">
              <w:rPr>
                <w:rFonts w:ascii="Arial" w:hAnsi="Arial" w:cs="Arial"/>
                <w:color w:val="000000"/>
                <w:sz w:val="16"/>
                <w:szCs w:val="16"/>
              </w:rPr>
              <w:t>88</w:t>
            </w:r>
            <w:r>
              <w:rPr>
                <w:rFonts w:ascii="Arial" w:hAnsi="Arial" w:cs="Arial"/>
                <w:color w:val="000000"/>
                <w:sz w:val="16"/>
                <w:szCs w:val="16"/>
              </w:rPr>
              <w:t>.3</w:t>
            </w:r>
            <w:r w:rsidR="00076DF4">
              <w:rPr>
                <w:rFonts w:ascii="Arial" w:hAnsi="Arial" w:cs="Arial"/>
                <w:color w:val="000000"/>
                <w:sz w:val="16"/>
                <w:szCs w:val="16"/>
              </w:rPr>
              <w:t>86</w:t>
            </w:r>
          </w:p>
        </w:tc>
        <w:tc>
          <w:tcPr>
            <w:tcW w:w="883" w:type="dxa"/>
            <w:tcBorders>
              <w:top w:val="nil"/>
              <w:left w:val="nil"/>
              <w:bottom w:val="nil"/>
              <w:right w:val="nil"/>
            </w:tcBorders>
            <w:shd w:val="clear" w:color="auto" w:fill="auto"/>
            <w:noWrap/>
            <w:vAlign w:val="center"/>
          </w:tcPr>
          <w:p w14:paraId="7E18B550" w14:textId="1B532C9E" w:rsidR="0093466A" w:rsidRPr="00277685" w:rsidRDefault="0093466A" w:rsidP="00277685">
            <w:pPr>
              <w:jc w:val="right"/>
              <w:rPr>
                <w:rFonts w:ascii="Arial" w:hAnsi="Arial" w:cs="Arial"/>
                <w:color w:val="000000"/>
                <w:sz w:val="16"/>
                <w:szCs w:val="16"/>
              </w:rPr>
            </w:pPr>
            <w:r>
              <w:rPr>
                <w:rFonts w:ascii="Arial" w:hAnsi="Arial" w:cs="Arial"/>
                <w:color w:val="000000"/>
                <w:sz w:val="16"/>
                <w:szCs w:val="16"/>
              </w:rPr>
              <w:t>-</w:t>
            </w:r>
          </w:p>
        </w:tc>
        <w:tc>
          <w:tcPr>
            <w:tcW w:w="1003" w:type="dxa"/>
            <w:tcBorders>
              <w:top w:val="nil"/>
              <w:left w:val="nil"/>
              <w:bottom w:val="nil"/>
              <w:right w:val="nil"/>
            </w:tcBorders>
            <w:vAlign w:val="center"/>
          </w:tcPr>
          <w:p w14:paraId="14F0BA4C" w14:textId="78AB6A2C" w:rsidR="0093466A" w:rsidRPr="00277685" w:rsidRDefault="00E20EB9" w:rsidP="00277685">
            <w:pPr>
              <w:jc w:val="right"/>
              <w:rPr>
                <w:rFonts w:ascii="Arial" w:hAnsi="Arial" w:cs="Arial"/>
                <w:color w:val="000000"/>
                <w:sz w:val="16"/>
                <w:szCs w:val="16"/>
              </w:rPr>
            </w:pPr>
            <w:r>
              <w:rPr>
                <w:rFonts w:ascii="Arial" w:hAnsi="Arial" w:cs="Arial"/>
                <w:color w:val="000000"/>
                <w:sz w:val="16"/>
                <w:szCs w:val="16"/>
              </w:rPr>
              <w:t>-</w:t>
            </w:r>
          </w:p>
        </w:tc>
        <w:tc>
          <w:tcPr>
            <w:tcW w:w="727" w:type="dxa"/>
            <w:tcBorders>
              <w:top w:val="nil"/>
              <w:left w:val="nil"/>
              <w:bottom w:val="nil"/>
              <w:right w:val="nil"/>
            </w:tcBorders>
            <w:shd w:val="clear" w:color="auto" w:fill="auto"/>
            <w:noWrap/>
            <w:vAlign w:val="center"/>
          </w:tcPr>
          <w:p w14:paraId="7227AF60" w14:textId="0E405E7F" w:rsidR="0093466A" w:rsidRPr="00277685" w:rsidRDefault="00E20EB9" w:rsidP="00277685">
            <w:pPr>
              <w:jc w:val="right"/>
              <w:rPr>
                <w:rFonts w:ascii="Arial" w:hAnsi="Arial" w:cs="Arial"/>
                <w:sz w:val="16"/>
                <w:szCs w:val="16"/>
              </w:rPr>
            </w:pPr>
            <w:r>
              <w:rPr>
                <w:rFonts w:ascii="Arial" w:hAnsi="Arial" w:cs="Arial"/>
                <w:sz w:val="16"/>
                <w:szCs w:val="16"/>
              </w:rPr>
              <w:t>483</w:t>
            </w:r>
          </w:p>
        </w:tc>
        <w:tc>
          <w:tcPr>
            <w:tcW w:w="1075" w:type="dxa"/>
            <w:tcBorders>
              <w:top w:val="nil"/>
              <w:left w:val="nil"/>
              <w:bottom w:val="nil"/>
              <w:right w:val="nil"/>
            </w:tcBorders>
            <w:shd w:val="clear" w:color="auto" w:fill="auto"/>
            <w:noWrap/>
            <w:vAlign w:val="center"/>
          </w:tcPr>
          <w:p w14:paraId="777FF7CC" w14:textId="6DB2D9D6" w:rsidR="0093466A" w:rsidRPr="00277685" w:rsidRDefault="00E20EB9" w:rsidP="00277685">
            <w:pPr>
              <w:jc w:val="right"/>
              <w:rPr>
                <w:rFonts w:ascii="Arial" w:hAnsi="Arial" w:cs="Arial"/>
                <w:color w:val="000000"/>
                <w:sz w:val="16"/>
                <w:szCs w:val="16"/>
              </w:rPr>
            </w:pPr>
            <w:r>
              <w:rPr>
                <w:rFonts w:ascii="Arial" w:hAnsi="Arial" w:cs="Arial"/>
                <w:color w:val="000000"/>
                <w:sz w:val="16"/>
                <w:szCs w:val="16"/>
              </w:rPr>
              <w:t>-36</w:t>
            </w:r>
            <w:r w:rsidR="00076DF4">
              <w:rPr>
                <w:rFonts w:ascii="Arial" w:hAnsi="Arial" w:cs="Arial"/>
                <w:color w:val="000000"/>
                <w:sz w:val="16"/>
                <w:szCs w:val="16"/>
              </w:rPr>
              <w:t>8</w:t>
            </w:r>
            <w:r>
              <w:rPr>
                <w:rFonts w:ascii="Arial" w:hAnsi="Arial" w:cs="Arial"/>
                <w:color w:val="000000"/>
                <w:sz w:val="16"/>
                <w:szCs w:val="16"/>
              </w:rPr>
              <w:t>.</w:t>
            </w:r>
            <w:r w:rsidR="00076DF4">
              <w:rPr>
                <w:rFonts w:ascii="Arial" w:hAnsi="Arial" w:cs="Arial"/>
                <w:color w:val="000000"/>
                <w:sz w:val="16"/>
                <w:szCs w:val="16"/>
              </w:rPr>
              <w:t>301</w:t>
            </w:r>
          </w:p>
        </w:tc>
        <w:tc>
          <w:tcPr>
            <w:tcW w:w="937" w:type="dxa"/>
            <w:tcBorders>
              <w:top w:val="nil"/>
              <w:left w:val="nil"/>
              <w:bottom w:val="nil"/>
              <w:right w:val="nil"/>
            </w:tcBorders>
            <w:shd w:val="clear" w:color="auto" w:fill="auto"/>
            <w:noWrap/>
            <w:vAlign w:val="center"/>
          </w:tcPr>
          <w:p w14:paraId="03524C1E" w14:textId="3D4D4885" w:rsidR="0093466A" w:rsidRPr="00277685" w:rsidRDefault="00E20EB9">
            <w:pPr>
              <w:jc w:val="right"/>
              <w:rPr>
                <w:rFonts w:ascii="Arial" w:hAnsi="Arial" w:cs="Arial"/>
                <w:color w:val="000000"/>
                <w:sz w:val="16"/>
                <w:szCs w:val="16"/>
              </w:rPr>
            </w:pPr>
            <w:r>
              <w:rPr>
                <w:rFonts w:ascii="Arial" w:hAnsi="Arial" w:cs="Arial"/>
                <w:color w:val="000000"/>
                <w:sz w:val="16"/>
                <w:szCs w:val="16"/>
              </w:rPr>
              <w:t>-36</w:t>
            </w:r>
            <w:r w:rsidR="00076DF4">
              <w:rPr>
                <w:rFonts w:ascii="Arial" w:hAnsi="Arial" w:cs="Arial"/>
                <w:color w:val="000000"/>
                <w:sz w:val="16"/>
                <w:szCs w:val="16"/>
              </w:rPr>
              <w:t>7</w:t>
            </w:r>
            <w:r>
              <w:rPr>
                <w:rFonts w:ascii="Arial" w:hAnsi="Arial" w:cs="Arial"/>
                <w:color w:val="000000"/>
                <w:sz w:val="16"/>
                <w:szCs w:val="16"/>
              </w:rPr>
              <w:t>.</w:t>
            </w:r>
            <w:r w:rsidR="00076DF4">
              <w:rPr>
                <w:rFonts w:ascii="Arial" w:hAnsi="Arial" w:cs="Arial"/>
                <w:color w:val="000000"/>
                <w:sz w:val="16"/>
                <w:szCs w:val="16"/>
              </w:rPr>
              <w:t>818</w:t>
            </w:r>
          </w:p>
        </w:tc>
        <w:tc>
          <w:tcPr>
            <w:tcW w:w="1134" w:type="dxa"/>
            <w:tcBorders>
              <w:top w:val="nil"/>
              <w:left w:val="nil"/>
              <w:bottom w:val="nil"/>
              <w:right w:val="nil"/>
            </w:tcBorders>
            <w:shd w:val="clear" w:color="auto" w:fill="auto"/>
            <w:noWrap/>
            <w:vAlign w:val="center"/>
          </w:tcPr>
          <w:p w14:paraId="073EC9E2" w14:textId="3D611612" w:rsidR="0093466A" w:rsidRPr="00277685" w:rsidRDefault="00076DF4" w:rsidP="00277685">
            <w:pPr>
              <w:jc w:val="right"/>
              <w:rPr>
                <w:rFonts w:ascii="Arial" w:hAnsi="Arial" w:cs="Arial"/>
                <w:bCs/>
                <w:color w:val="000000"/>
                <w:sz w:val="16"/>
                <w:szCs w:val="16"/>
              </w:rPr>
            </w:pPr>
            <w:r>
              <w:rPr>
                <w:rFonts w:ascii="Arial" w:hAnsi="Arial" w:cs="Arial"/>
                <w:bCs/>
                <w:color w:val="000000"/>
                <w:sz w:val="16"/>
                <w:szCs w:val="16"/>
              </w:rPr>
              <w:t>620</w:t>
            </w:r>
            <w:r w:rsidR="00E20EB9">
              <w:rPr>
                <w:rFonts w:ascii="Arial" w:hAnsi="Arial" w:cs="Arial"/>
                <w:bCs/>
                <w:color w:val="000000"/>
                <w:sz w:val="16"/>
                <w:szCs w:val="16"/>
              </w:rPr>
              <w:t>.</w:t>
            </w:r>
            <w:r>
              <w:rPr>
                <w:rFonts w:ascii="Arial" w:hAnsi="Arial" w:cs="Arial"/>
                <w:bCs/>
                <w:color w:val="000000"/>
                <w:sz w:val="16"/>
                <w:szCs w:val="16"/>
              </w:rPr>
              <w:t>568</w:t>
            </w:r>
          </w:p>
        </w:tc>
        <w:tc>
          <w:tcPr>
            <w:tcW w:w="1041" w:type="dxa"/>
            <w:tcBorders>
              <w:top w:val="nil"/>
              <w:left w:val="nil"/>
              <w:bottom w:val="nil"/>
              <w:right w:val="nil"/>
            </w:tcBorders>
            <w:shd w:val="clear" w:color="auto" w:fill="auto"/>
            <w:noWrap/>
            <w:vAlign w:val="center"/>
          </w:tcPr>
          <w:p w14:paraId="0ED39250" w14:textId="5098843C" w:rsidR="0093466A" w:rsidRPr="00277685" w:rsidRDefault="001A18F8" w:rsidP="00277685">
            <w:pPr>
              <w:jc w:val="right"/>
              <w:rPr>
                <w:rFonts w:ascii="Arial" w:hAnsi="Arial" w:cs="Arial"/>
                <w:sz w:val="16"/>
                <w:szCs w:val="16"/>
              </w:rPr>
            </w:pPr>
            <w:r>
              <w:rPr>
                <w:rFonts w:ascii="Arial" w:hAnsi="Arial" w:cs="Arial"/>
                <w:sz w:val="16"/>
                <w:szCs w:val="16"/>
              </w:rPr>
              <w:t>-</w:t>
            </w:r>
          </w:p>
        </w:tc>
      </w:tr>
      <w:tr w:rsidR="00277685" w:rsidRPr="00277685" w14:paraId="2C447838" w14:textId="77777777" w:rsidTr="006E1AF7">
        <w:trPr>
          <w:trHeight w:val="255"/>
        </w:trPr>
        <w:tc>
          <w:tcPr>
            <w:tcW w:w="2830" w:type="dxa"/>
            <w:tcBorders>
              <w:top w:val="nil"/>
              <w:left w:val="nil"/>
              <w:bottom w:val="nil"/>
              <w:right w:val="nil"/>
            </w:tcBorders>
            <w:shd w:val="clear" w:color="auto" w:fill="auto"/>
            <w:hideMark/>
          </w:tcPr>
          <w:p w14:paraId="1A3CA9AD" w14:textId="77777777" w:rsidR="00277685" w:rsidRPr="00277685" w:rsidRDefault="00277685" w:rsidP="00277685">
            <w:pPr>
              <w:rPr>
                <w:rFonts w:ascii="Arial" w:hAnsi="Arial" w:cs="Arial"/>
                <w:sz w:val="16"/>
                <w:szCs w:val="16"/>
                <w:lang w:eastAsia="es-AR"/>
              </w:rPr>
            </w:pPr>
            <w:r w:rsidRPr="00277685">
              <w:rPr>
                <w:rFonts w:ascii="Arial" w:hAnsi="Arial" w:cs="Arial"/>
                <w:sz w:val="16"/>
                <w:szCs w:val="16"/>
                <w:lang w:eastAsia="es-AR"/>
              </w:rPr>
              <w:t>- Obras en curso</w:t>
            </w:r>
          </w:p>
        </w:tc>
        <w:tc>
          <w:tcPr>
            <w:tcW w:w="991" w:type="dxa"/>
            <w:tcBorders>
              <w:top w:val="nil"/>
              <w:left w:val="nil"/>
              <w:bottom w:val="nil"/>
              <w:right w:val="nil"/>
            </w:tcBorders>
            <w:shd w:val="clear" w:color="auto" w:fill="auto"/>
            <w:noWrap/>
            <w:vAlign w:val="center"/>
          </w:tcPr>
          <w:p w14:paraId="24462219" w14:textId="537A1362" w:rsidR="00277685" w:rsidRPr="00277685" w:rsidRDefault="00277685" w:rsidP="00277685">
            <w:pPr>
              <w:jc w:val="right"/>
              <w:rPr>
                <w:rFonts w:ascii="Arial" w:hAnsi="Arial" w:cs="Arial"/>
                <w:sz w:val="16"/>
                <w:szCs w:val="16"/>
                <w:lang w:eastAsia="es-AR"/>
              </w:rPr>
            </w:pPr>
            <w:r w:rsidRPr="00277685">
              <w:rPr>
                <w:rFonts w:ascii="Arial" w:hAnsi="Arial" w:cs="Arial"/>
                <w:bCs/>
                <w:color w:val="000000"/>
                <w:sz w:val="16"/>
                <w:szCs w:val="16"/>
              </w:rPr>
              <w:t>251.263</w:t>
            </w:r>
          </w:p>
        </w:tc>
        <w:tc>
          <w:tcPr>
            <w:tcW w:w="941" w:type="dxa"/>
            <w:tcBorders>
              <w:top w:val="nil"/>
              <w:left w:val="nil"/>
              <w:bottom w:val="nil"/>
              <w:right w:val="nil"/>
            </w:tcBorders>
            <w:shd w:val="clear" w:color="auto" w:fill="auto"/>
            <w:noWrap/>
            <w:vAlign w:val="center"/>
          </w:tcPr>
          <w:p w14:paraId="3196E12A" w14:textId="0D467743"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w:t>
            </w:r>
          </w:p>
        </w:tc>
        <w:tc>
          <w:tcPr>
            <w:tcW w:w="1003" w:type="dxa"/>
            <w:tcBorders>
              <w:top w:val="nil"/>
              <w:left w:val="nil"/>
              <w:bottom w:val="nil"/>
              <w:right w:val="nil"/>
            </w:tcBorders>
            <w:shd w:val="clear" w:color="auto" w:fill="auto"/>
            <w:noWrap/>
            <w:vAlign w:val="center"/>
          </w:tcPr>
          <w:p w14:paraId="0448D80F" w14:textId="5F23E86E"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w:t>
            </w:r>
          </w:p>
        </w:tc>
        <w:tc>
          <w:tcPr>
            <w:tcW w:w="1102" w:type="dxa"/>
            <w:tcBorders>
              <w:top w:val="nil"/>
              <w:left w:val="nil"/>
              <w:bottom w:val="nil"/>
              <w:right w:val="nil"/>
            </w:tcBorders>
            <w:shd w:val="clear" w:color="auto" w:fill="auto"/>
            <w:noWrap/>
            <w:vAlign w:val="center"/>
          </w:tcPr>
          <w:p w14:paraId="79957C15" w14:textId="218ADDDD" w:rsidR="00277685" w:rsidRPr="00277685" w:rsidRDefault="00277685" w:rsidP="00277685">
            <w:pPr>
              <w:jc w:val="right"/>
              <w:rPr>
                <w:rFonts w:ascii="Arial" w:hAnsi="Arial" w:cs="Arial"/>
                <w:sz w:val="16"/>
                <w:szCs w:val="16"/>
                <w:lang w:eastAsia="es-AR"/>
              </w:rPr>
            </w:pPr>
            <w:r w:rsidRPr="00277685">
              <w:rPr>
                <w:color w:val="000000"/>
                <w:sz w:val="16"/>
                <w:szCs w:val="16"/>
              </w:rPr>
              <w:t>-</w:t>
            </w:r>
          </w:p>
        </w:tc>
        <w:tc>
          <w:tcPr>
            <w:tcW w:w="1119" w:type="dxa"/>
            <w:tcBorders>
              <w:top w:val="nil"/>
              <w:left w:val="nil"/>
              <w:bottom w:val="nil"/>
              <w:right w:val="nil"/>
            </w:tcBorders>
            <w:shd w:val="clear" w:color="auto" w:fill="auto"/>
            <w:noWrap/>
            <w:vAlign w:val="center"/>
          </w:tcPr>
          <w:p w14:paraId="76C61A27" w14:textId="45A93842"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98.518</w:t>
            </w:r>
          </w:p>
        </w:tc>
        <w:tc>
          <w:tcPr>
            <w:tcW w:w="883" w:type="dxa"/>
            <w:tcBorders>
              <w:top w:val="nil"/>
              <w:left w:val="nil"/>
              <w:bottom w:val="nil"/>
              <w:right w:val="nil"/>
            </w:tcBorders>
            <w:shd w:val="clear" w:color="auto" w:fill="auto"/>
            <w:noWrap/>
            <w:vAlign w:val="center"/>
          </w:tcPr>
          <w:p w14:paraId="28E632FF" w14:textId="07E02089"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-105.115</w:t>
            </w:r>
          </w:p>
        </w:tc>
        <w:tc>
          <w:tcPr>
            <w:tcW w:w="1003" w:type="dxa"/>
            <w:tcBorders>
              <w:top w:val="nil"/>
              <w:left w:val="nil"/>
              <w:bottom w:val="nil"/>
              <w:right w:val="nil"/>
            </w:tcBorders>
            <w:vAlign w:val="center"/>
          </w:tcPr>
          <w:p w14:paraId="7BC837CB" w14:textId="6806888B"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w:t>
            </w:r>
          </w:p>
        </w:tc>
        <w:tc>
          <w:tcPr>
            <w:tcW w:w="727" w:type="dxa"/>
            <w:tcBorders>
              <w:top w:val="nil"/>
              <w:left w:val="nil"/>
              <w:bottom w:val="nil"/>
              <w:right w:val="nil"/>
            </w:tcBorders>
            <w:shd w:val="clear" w:color="auto" w:fill="auto"/>
            <w:noWrap/>
            <w:vAlign w:val="center"/>
          </w:tcPr>
          <w:p w14:paraId="223F189C" w14:textId="4B2CFFCC" w:rsidR="00277685" w:rsidRPr="00277685" w:rsidRDefault="00277685" w:rsidP="00277685">
            <w:pPr>
              <w:jc w:val="right"/>
              <w:rPr>
                <w:rFonts w:ascii="Arial" w:hAnsi="Arial" w:cs="Arial"/>
                <w:sz w:val="16"/>
                <w:szCs w:val="16"/>
                <w:lang w:eastAsia="es-AR"/>
              </w:rPr>
            </w:pPr>
            <w:r w:rsidRPr="00277685">
              <w:rPr>
                <w:rFonts w:ascii="Arial" w:hAnsi="Arial" w:cs="Arial"/>
                <w:sz w:val="16"/>
                <w:szCs w:val="16"/>
              </w:rPr>
              <w:t>-</w:t>
            </w:r>
          </w:p>
        </w:tc>
        <w:tc>
          <w:tcPr>
            <w:tcW w:w="1075" w:type="dxa"/>
            <w:tcBorders>
              <w:top w:val="nil"/>
              <w:left w:val="nil"/>
              <w:bottom w:val="nil"/>
              <w:right w:val="nil"/>
            </w:tcBorders>
            <w:shd w:val="clear" w:color="auto" w:fill="auto"/>
            <w:noWrap/>
            <w:vAlign w:val="center"/>
          </w:tcPr>
          <w:p w14:paraId="699FE672" w14:textId="6A9E7B63"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w:t>
            </w:r>
          </w:p>
        </w:tc>
        <w:tc>
          <w:tcPr>
            <w:tcW w:w="937" w:type="dxa"/>
            <w:tcBorders>
              <w:top w:val="nil"/>
              <w:left w:val="nil"/>
              <w:bottom w:val="nil"/>
              <w:right w:val="nil"/>
            </w:tcBorders>
            <w:shd w:val="clear" w:color="auto" w:fill="auto"/>
            <w:noWrap/>
            <w:vAlign w:val="center"/>
          </w:tcPr>
          <w:p w14:paraId="36589216" w14:textId="11377F8C" w:rsidR="00277685" w:rsidRPr="00277685" w:rsidRDefault="00277685">
            <w:pPr>
              <w:jc w:val="right"/>
              <w:rPr>
                <w:rFonts w:ascii="Arial" w:hAnsi="Arial" w:cs="Arial"/>
                <w:sz w:val="16"/>
                <w:szCs w:val="16"/>
                <w:lang w:eastAsia="es-AR"/>
              </w:rPr>
            </w:pPr>
            <w:r w:rsidRPr="00277685">
              <w:rPr>
                <w:rFonts w:ascii="Arial" w:hAnsi="Arial" w:cs="Arial"/>
                <w:color w:val="000000"/>
                <w:sz w:val="16"/>
                <w:szCs w:val="16"/>
              </w:rPr>
              <w:t>-</w:t>
            </w:r>
          </w:p>
        </w:tc>
        <w:tc>
          <w:tcPr>
            <w:tcW w:w="1134" w:type="dxa"/>
            <w:tcBorders>
              <w:top w:val="nil"/>
              <w:left w:val="nil"/>
              <w:bottom w:val="nil"/>
              <w:right w:val="nil"/>
            </w:tcBorders>
            <w:shd w:val="clear" w:color="auto" w:fill="auto"/>
            <w:noWrap/>
            <w:vAlign w:val="center"/>
          </w:tcPr>
          <w:p w14:paraId="7EE91454" w14:textId="77D46C19" w:rsidR="00277685" w:rsidRPr="00277685" w:rsidRDefault="00277685" w:rsidP="00277685">
            <w:pPr>
              <w:jc w:val="right"/>
              <w:rPr>
                <w:rFonts w:ascii="Arial" w:hAnsi="Arial" w:cs="Arial"/>
                <w:sz w:val="16"/>
                <w:szCs w:val="16"/>
                <w:lang w:eastAsia="es-AR"/>
              </w:rPr>
            </w:pPr>
            <w:r w:rsidRPr="00277685">
              <w:rPr>
                <w:rFonts w:ascii="Arial" w:hAnsi="Arial" w:cs="Arial"/>
                <w:bCs/>
                <w:color w:val="000000"/>
                <w:sz w:val="16"/>
                <w:szCs w:val="16"/>
              </w:rPr>
              <w:t>244.666</w:t>
            </w:r>
          </w:p>
        </w:tc>
        <w:tc>
          <w:tcPr>
            <w:tcW w:w="1041" w:type="dxa"/>
            <w:tcBorders>
              <w:top w:val="nil"/>
              <w:left w:val="nil"/>
              <w:bottom w:val="nil"/>
              <w:right w:val="nil"/>
            </w:tcBorders>
            <w:shd w:val="clear" w:color="auto" w:fill="auto"/>
            <w:noWrap/>
            <w:vAlign w:val="center"/>
          </w:tcPr>
          <w:p w14:paraId="4EBDDF83" w14:textId="7B6467E7" w:rsidR="00277685" w:rsidRPr="00277685" w:rsidRDefault="00277685" w:rsidP="00277685">
            <w:pPr>
              <w:jc w:val="right"/>
              <w:rPr>
                <w:rFonts w:ascii="Arial" w:hAnsi="Arial" w:cs="Arial"/>
                <w:sz w:val="16"/>
                <w:szCs w:val="16"/>
                <w:lang w:eastAsia="es-AR"/>
              </w:rPr>
            </w:pPr>
            <w:r w:rsidRPr="00277685">
              <w:rPr>
                <w:rFonts w:ascii="Arial" w:hAnsi="Arial" w:cs="Arial"/>
                <w:sz w:val="16"/>
                <w:szCs w:val="16"/>
              </w:rPr>
              <w:t>251.263</w:t>
            </w:r>
          </w:p>
        </w:tc>
      </w:tr>
      <w:tr w:rsidR="00277685" w:rsidRPr="00277685" w14:paraId="14967CE6" w14:textId="77777777" w:rsidTr="006E1AF7">
        <w:trPr>
          <w:trHeight w:val="255"/>
        </w:trPr>
        <w:tc>
          <w:tcPr>
            <w:tcW w:w="2830" w:type="dxa"/>
            <w:tcBorders>
              <w:top w:val="nil"/>
              <w:left w:val="nil"/>
              <w:bottom w:val="nil"/>
              <w:right w:val="nil"/>
            </w:tcBorders>
            <w:shd w:val="clear" w:color="auto" w:fill="auto"/>
            <w:hideMark/>
          </w:tcPr>
          <w:p w14:paraId="59C4B80F" w14:textId="77777777" w:rsidR="00277685" w:rsidRPr="00277685" w:rsidRDefault="00277685" w:rsidP="00875C00">
            <w:pPr>
              <w:rPr>
                <w:rFonts w:ascii="Arial" w:hAnsi="Arial" w:cs="Arial"/>
                <w:sz w:val="16"/>
                <w:szCs w:val="16"/>
                <w:lang w:eastAsia="es-AR"/>
              </w:rPr>
            </w:pPr>
          </w:p>
        </w:tc>
        <w:tc>
          <w:tcPr>
            <w:tcW w:w="991" w:type="dxa"/>
            <w:tcBorders>
              <w:top w:val="nil"/>
              <w:left w:val="nil"/>
              <w:bottom w:val="nil"/>
              <w:right w:val="nil"/>
            </w:tcBorders>
            <w:shd w:val="clear" w:color="auto" w:fill="auto"/>
            <w:noWrap/>
            <w:vAlign w:val="center"/>
          </w:tcPr>
          <w:p w14:paraId="6AD60EBC" w14:textId="77777777" w:rsidR="00277685" w:rsidRPr="00277685" w:rsidRDefault="00277685" w:rsidP="00277685">
            <w:pPr>
              <w:jc w:val="right"/>
              <w:rPr>
                <w:sz w:val="16"/>
                <w:szCs w:val="16"/>
                <w:lang w:eastAsia="es-AR"/>
              </w:rPr>
            </w:pPr>
          </w:p>
        </w:tc>
        <w:tc>
          <w:tcPr>
            <w:tcW w:w="941" w:type="dxa"/>
            <w:tcBorders>
              <w:top w:val="nil"/>
              <w:left w:val="nil"/>
              <w:bottom w:val="nil"/>
              <w:right w:val="nil"/>
            </w:tcBorders>
            <w:shd w:val="clear" w:color="auto" w:fill="auto"/>
            <w:noWrap/>
            <w:vAlign w:val="center"/>
          </w:tcPr>
          <w:p w14:paraId="310022BB" w14:textId="77777777" w:rsidR="00277685" w:rsidRPr="00277685" w:rsidRDefault="00277685" w:rsidP="00277685">
            <w:pPr>
              <w:jc w:val="right"/>
              <w:rPr>
                <w:sz w:val="16"/>
                <w:szCs w:val="16"/>
                <w:lang w:eastAsia="es-AR"/>
              </w:rPr>
            </w:pPr>
          </w:p>
        </w:tc>
        <w:tc>
          <w:tcPr>
            <w:tcW w:w="1003" w:type="dxa"/>
            <w:tcBorders>
              <w:top w:val="nil"/>
              <w:left w:val="nil"/>
              <w:bottom w:val="nil"/>
              <w:right w:val="nil"/>
            </w:tcBorders>
            <w:shd w:val="clear" w:color="auto" w:fill="auto"/>
            <w:noWrap/>
            <w:vAlign w:val="center"/>
          </w:tcPr>
          <w:p w14:paraId="6D413114" w14:textId="77777777" w:rsidR="00277685" w:rsidRPr="00277685" w:rsidRDefault="00277685" w:rsidP="00277685">
            <w:pPr>
              <w:jc w:val="right"/>
              <w:rPr>
                <w:sz w:val="16"/>
                <w:szCs w:val="16"/>
                <w:lang w:eastAsia="es-AR"/>
              </w:rPr>
            </w:pPr>
          </w:p>
        </w:tc>
        <w:tc>
          <w:tcPr>
            <w:tcW w:w="1102" w:type="dxa"/>
            <w:tcBorders>
              <w:top w:val="nil"/>
              <w:left w:val="nil"/>
              <w:bottom w:val="nil"/>
              <w:right w:val="nil"/>
            </w:tcBorders>
            <w:shd w:val="clear" w:color="auto" w:fill="auto"/>
            <w:noWrap/>
            <w:vAlign w:val="center"/>
          </w:tcPr>
          <w:p w14:paraId="7904C19A" w14:textId="77777777" w:rsidR="00277685" w:rsidRPr="00277685" w:rsidRDefault="00277685" w:rsidP="00277685">
            <w:pPr>
              <w:jc w:val="right"/>
              <w:rPr>
                <w:sz w:val="16"/>
                <w:szCs w:val="16"/>
                <w:lang w:eastAsia="es-AR"/>
              </w:rPr>
            </w:pPr>
          </w:p>
        </w:tc>
        <w:tc>
          <w:tcPr>
            <w:tcW w:w="1119" w:type="dxa"/>
            <w:tcBorders>
              <w:top w:val="nil"/>
              <w:left w:val="nil"/>
              <w:bottom w:val="nil"/>
              <w:right w:val="nil"/>
            </w:tcBorders>
            <w:shd w:val="clear" w:color="auto" w:fill="auto"/>
            <w:noWrap/>
            <w:vAlign w:val="center"/>
          </w:tcPr>
          <w:p w14:paraId="46841C2B" w14:textId="77777777" w:rsidR="00277685" w:rsidRPr="00277685" w:rsidRDefault="00277685" w:rsidP="00277685">
            <w:pPr>
              <w:jc w:val="right"/>
              <w:rPr>
                <w:sz w:val="16"/>
                <w:szCs w:val="16"/>
                <w:lang w:eastAsia="es-AR"/>
              </w:rPr>
            </w:pPr>
          </w:p>
        </w:tc>
        <w:tc>
          <w:tcPr>
            <w:tcW w:w="883" w:type="dxa"/>
            <w:tcBorders>
              <w:top w:val="nil"/>
              <w:left w:val="nil"/>
              <w:bottom w:val="nil"/>
              <w:right w:val="nil"/>
            </w:tcBorders>
            <w:shd w:val="clear" w:color="auto" w:fill="auto"/>
            <w:noWrap/>
            <w:vAlign w:val="center"/>
          </w:tcPr>
          <w:p w14:paraId="553974C3" w14:textId="77777777" w:rsidR="00277685" w:rsidRPr="00277685" w:rsidRDefault="00277685" w:rsidP="00277685">
            <w:pPr>
              <w:jc w:val="right"/>
              <w:rPr>
                <w:sz w:val="16"/>
                <w:szCs w:val="16"/>
                <w:lang w:eastAsia="es-AR"/>
              </w:rPr>
            </w:pPr>
          </w:p>
        </w:tc>
        <w:tc>
          <w:tcPr>
            <w:tcW w:w="1003" w:type="dxa"/>
            <w:tcBorders>
              <w:top w:val="nil"/>
              <w:left w:val="nil"/>
              <w:bottom w:val="nil"/>
              <w:right w:val="nil"/>
            </w:tcBorders>
            <w:vAlign w:val="center"/>
          </w:tcPr>
          <w:p w14:paraId="735164EC" w14:textId="77777777" w:rsidR="00277685" w:rsidRPr="00277685" w:rsidRDefault="00277685" w:rsidP="00277685">
            <w:pPr>
              <w:jc w:val="right"/>
              <w:rPr>
                <w:sz w:val="16"/>
                <w:szCs w:val="16"/>
                <w:lang w:eastAsia="es-AR"/>
              </w:rPr>
            </w:pPr>
          </w:p>
        </w:tc>
        <w:tc>
          <w:tcPr>
            <w:tcW w:w="727" w:type="dxa"/>
            <w:tcBorders>
              <w:top w:val="nil"/>
              <w:left w:val="nil"/>
              <w:bottom w:val="nil"/>
              <w:right w:val="nil"/>
            </w:tcBorders>
            <w:shd w:val="clear" w:color="auto" w:fill="auto"/>
            <w:noWrap/>
            <w:vAlign w:val="center"/>
          </w:tcPr>
          <w:p w14:paraId="18414033" w14:textId="4B11575D" w:rsidR="00277685" w:rsidRPr="00277685" w:rsidRDefault="00277685" w:rsidP="00277685">
            <w:pPr>
              <w:jc w:val="right"/>
              <w:rPr>
                <w:sz w:val="16"/>
                <w:szCs w:val="16"/>
                <w:lang w:eastAsia="es-AR"/>
              </w:rPr>
            </w:pPr>
          </w:p>
        </w:tc>
        <w:tc>
          <w:tcPr>
            <w:tcW w:w="1075" w:type="dxa"/>
            <w:tcBorders>
              <w:top w:val="nil"/>
              <w:left w:val="nil"/>
              <w:bottom w:val="nil"/>
              <w:right w:val="nil"/>
            </w:tcBorders>
            <w:shd w:val="clear" w:color="auto" w:fill="auto"/>
            <w:noWrap/>
            <w:vAlign w:val="center"/>
          </w:tcPr>
          <w:p w14:paraId="1A489276" w14:textId="77777777" w:rsidR="00277685" w:rsidRPr="00277685" w:rsidRDefault="00277685" w:rsidP="00277685">
            <w:pPr>
              <w:jc w:val="right"/>
              <w:rPr>
                <w:sz w:val="16"/>
                <w:szCs w:val="16"/>
                <w:lang w:eastAsia="es-AR"/>
              </w:rPr>
            </w:pPr>
          </w:p>
        </w:tc>
        <w:tc>
          <w:tcPr>
            <w:tcW w:w="937" w:type="dxa"/>
            <w:tcBorders>
              <w:top w:val="nil"/>
              <w:left w:val="nil"/>
              <w:bottom w:val="nil"/>
              <w:right w:val="nil"/>
            </w:tcBorders>
            <w:shd w:val="clear" w:color="auto" w:fill="auto"/>
            <w:noWrap/>
            <w:vAlign w:val="center"/>
          </w:tcPr>
          <w:p w14:paraId="6D27799A" w14:textId="77777777" w:rsidR="00277685" w:rsidRPr="00277685" w:rsidRDefault="00277685">
            <w:pPr>
              <w:jc w:val="right"/>
              <w:rPr>
                <w:sz w:val="16"/>
                <w:szCs w:val="16"/>
                <w:lang w:eastAsia="es-AR"/>
              </w:rPr>
            </w:pPr>
          </w:p>
        </w:tc>
        <w:tc>
          <w:tcPr>
            <w:tcW w:w="1134" w:type="dxa"/>
            <w:tcBorders>
              <w:top w:val="nil"/>
              <w:left w:val="nil"/>
              <w:bottom w:val="nil"/>
              <w:right w:val="nil"/>
            </w:tcBorders>
            <w:shd w:val="clear" w:color="auto" w:fill="auto"/>
            <w:noWrap/>
            <w:vAlign w:val="center"/>
          </w:tcPr>
          <w:p w14:paraId="1E7106C1" w14:textId="77777777" w:rsidR="00277685" w:rsidRPr="00277685" w:rsidRDefault="00277685" w:rsidP="00277685">
            <w:pPr>
              <w:jc w:val="right"/>
              <w:rPr>
                <w:sz w:val="16"/>
                <w:szCs w:val="16"/>
                <w:lang w:eastAsia="es-AR"/>
              </w:rPr>
            </w:pPr>
          </w:p>
        </w:tc>
        <w:tc>
          <w:tcPr>
            <w:tcW w:w="1041" w:type="dxa"/>
            <w:tcBorders>
              <w:top w:val="nil"/>
              <w:left w:val="nil"/>
              <w:bottom w:val="nil"/>
              <w:right w:val="nil"/>
            </w:tcBorders>
            <w:shd w:val="clear" w:color="auto" w:fill="auto"/>
            <w:noWrap/>
            <w:vAlign w:val="center"/>
          </w:tcPr>
          <w:p w14:paraId="711CCCB0" w14:textId="77777777" w:rsidR="00277685" w:rsidRPr="00277685" w:rsidRDefault="00277685" w:rsidP="00277685">
            <w:pPr>
              <w:jc w:val="right"/>
              <w:rPr>
                <w:sz w:val="16"/>
                <w:szCs w:val="16"/>
                <w:lang w:eastAsia="es-AR"/>
              </w:rPr>
            </w:pPr>
          </w:p>
        </w:tc>
      </w:tr>
      <w:tr w:rsidR="00277685" w:rsidRPr="00277685" w14:paraId="37D36DFA" w14:textId="77777777" w:rsidTr="006E1AF7">
        <w:trPr>
          <w:trHeight w:val="255"/>
        </w:trPr>
        <w:tc>
          <w:tcPr>
            <w:tcW w:w="2830" w:type="dxa"/>
            <w:tcBorders>
              <w:top w:val="nil"/>
              <w:left w:val="nil"/>
              <w:bottom w:val="nil"/>
              <w:right w:val="nil"/>
            </w:tcBorders>
            <w:shd w:val="clear" w:color="auto" w:fill="auto"/>
            <w:hideMark/>
          </w:tcPr>
          <w:p w14:paraId="6C4234EE" w14:textId="77777777" w:rsidR="00277685" w:rsidRPr="00277685" w:rsidRDefault="00277685" w:rsidP="00875C00">
            <w:pPr>
              <w:rPr>
                <w:rFonts w:ascii="Arial" w:hAnsi="Arial" w:cs="Arial"/>
                <w:b/>
                <w:bCs/>
                <w:sz w:val="16"/>
                <w:szCs w:val="16"/>
                <w:lang w:eastAsia="es-AR"/>
              </w:rPr>
            </w:pPr>
            <w:r w:rsidRPr="00277685">
              <w:rPr>
                <w:rFonts w:ascii="Arial" w:hAnsi="Arial" w:cs="Arial"/>
                <w:b/>
                <w:bCs/>
                <w:sz w:val="16"/>
                <w:szCs w:val="16"/>
                <w:lang w:eastAsia="es-AR"/>
              </w:rPr>
              <w:t>Modelo de revaluación</w:t>
            </w:r>
          </w:p>
        </w:tc>
        <w:tc>
          <w:tcPr>
            <w:tcW w:w="991" w:type="dxa"/>
            <w:tcBorders>
              <w:top w:val="nil"/>
              <w:left w:val="nil"/>
              <w:bottom w:val="nil"/>
              <w:right w:val="nil"/>
            </w:tcBorders>
            <w:shd w:val="clear" w:color="auto" w:fill="auto"/>
            <w:noWrap/>
            <w:vAlign w:val="center"/>
          </w:tcPr>
          <w:p w14:paraId="42F58333" w14:textId="77777777" w:rsidR="00277685" w:rsidRPr="00277685" w:rsidRDefault="00277685" w:rsidP="00277685">
            <w:pPr>
              <w:jc w:val="right"/>
              <w:rPr>
                <w:rFonts w:ascii="Arial" w:hAnsi="Arial" w:cs="Arial"/>
                <w:bCs/>
                <w:sz w:val="16"/>
                <w:szCs w:val="16"/>
                <w:lang w:eastAsia="es-AR"/>
              </w:rPr>
            </w:pPr>
          </w:p>
        </w:tc>
        <w:tc>
          <w:tcPr>
            <w:tcW w:w="941" w:type="dxa"/>
            <w:tcBorders>
              <w:top w:val="nil"/>
              <w:left w:val="nil"/>
              <w:bottom w:val="nil"/>
              <w:right w:val="nil"/>
            </w:tcBorders>
            <w:shd w:val="clear" w:color="auto" w:fill="auto"/>
            <w:noWrap/>
            <w:vAlign w:val="center"/>
          </w:tcPr>
          <w:p w14:paraId="5FB7155D" w14:textId="77777777" w:rsidR="00277685" w:rsidRPr="00277685" w:rsidRDefault="00277685" w:rsidP="00277685">
            <w:pPr>
              <w:jc w:val="right"/>
              <w:rPr>
                <w:sz w:val="16"/>
                <w:szCs w:val="16"/>
                <w:lang w:eastAsia="es-AR"/>
              </w:rPr>
            </w:pPr>
          </w:p>
        </w:tc>
        <w:tc>
          <w:tcPr>
            <w:tcW w:w="1003" w:type="dxa"/>
            <w:tcBorders>
              <w:top w:val="nil"/>
              <w:left w:val="nil"/>
              <w:bottom w:val="nil"/>
              <w:right w:val="nil"/>
            </w:tcBorders>
            <w:shd w:val="clear" w:color="auto" w:fill="auto"/>
            <w:noWrap/>
            <w:vAlign w:val="center"/>
          </w:tcPr>
          <w:p w14:paraId="0DBB88D3" w14:textId="77777777" w:rsidR="00277685" w:rsidRPr="00277685" w:rsidRDefault="00277685" w:rsidP="00277685">
            <w:pPr>
              <w:jc w:val="right"/>
              <w:rPr>
                <w:sz w:val="16"/>
                <w:szCs w:val="16"/>
                <w:lang w:eastAsia="es-AR"/>
              </w:rPr>
            </w:pPr>
          </w:p>
        </w:tc>
        <w:tc>
          <w:tcPr>
            <w:tcW w:w="1102" w:type="dxa"/>
            <w:tcBorders>
              <w:top w:val="nil"/>
              <w:left w:val="nil"/>
              <w:bottom w:val="nil"/>
              <w:right w:val="nil"/>
            </w:tcBorders>
            <w:shd w:val="clear" w:color="auto" w:fill="auto"/>
            <w:noWrap/>
            <w:vAlign w:val="center"/>
          </w:tcPr>
          <w:p w14:paraId="6E7CB9AD" w14:textId="77777777" w:rsidR="00277685" w:rsidRPr="00277685" w:rsidRDefault="00277685" w:rsidP="00277685">
            <w:pPr>
              <w:jc w:val="right"/>
              <w:rPr>
                <w:sz w:val="16"/>
                <w:szCs w:val="16"/>
                <w:lang w:eastAsia="es-AR"/>
              </w:rPr>
            </w:pPr>
          </w:p>
        </w:tc>
        <w:tc>
          <w:tcPr>
            <w:tcW w:w="1119" w:type="dxa"/>
            <w:tcBorders>
              <w:top w:val="nil"/>
              <w:left w:val="nil"/>
              <w:bottom w:val="nil"/>
              <w:right w:val="nil"/>
            </w:tcBorders>
            <w:shd w:val="clear" w:color="auto" w:fill="auto"/>
            <w:noWrap/>
            <w:vAlign w:val="center"/>
          </w:tcPr>
          <w:p w14:paraId="41EC1670" w14:textId="77777777" w:rsidR="00277685" w:rsidRPr="00277685" w:rsidRDefault="00277685" w:rsidP="00277685">
            <w:pPr>
              <w:jc w:val="right"/>
              <w:rPr>
                <w:sz w:val="16"/>
                <w:szCs w:val="16"/>
                <w:lang w:eastAsia="es-AR"/>
              </w:rPr>
            </w:pPr>
          </w:p>
        </w:tc>
        <w:tc>
          <w:tcPr>
            <w:tcW w:w="883" w:type="dxa"/>
            <w:tcBorders>
              <w:top w:val="nil"/>
              <w:left w:val="nil"/>
              <w:bottom w:val="nil"/>
              <w:right w:val="nil"/>
            </w:tcBorders>
            <w:shd w:val="clear" w:color="auto" w:fill="auto"/>
            <w:noWrap/>
            <w:vAlign w:val="center"/>
          </w:tcPr>
          <w:p w14:paraId="19259271" w14:textId="77777777" w:rsidR="00277685" w:rsidRPr="00277685" w:rsidRDefault="00277685" w:rsidP="00277685">
            <w:pPr>
              <w:jc w:val="right"/>
              <w:rPr>
                <w:sz w:val="16"/>
                <w:szCs w:val="16"/>
                <w:lang w:eastAsia="es-AR"/>
              </w:rPr>
            </w:pPr>
          </w:p>
        </w:tc>
        <w:tc>
          <w:tcPr>
            <w:tcW w:w="1003" w:type="dxa"/>
            <w:tcBorders>
              <w:top w:val="nil"/>
              <w:left w:val="nil"/>
              <w:bottom w:val="nil"/>
              <w:right w:val="nil"/>
            </w:tcBorders>
            <w:vAlign w:val="center"/>
          </w:tcPr>
          <w:p w14:paraId="64805636" w14:textId="77777777" w:rsidR="00277685" w:rsidRPr="00277685" w:rsidRDefault="00277685" w:rsidP="00277685">
            <w:pPr>
              <w:jc w:val="right"/>
              <w:rPr>
                <w:sz w:val="16"/>
                <w:szCs w:val="16"/>
                <w:lang w:eastAsia="es-AR"/>
              </w:rPr>
            </w:pPr>
          </w:p>
        </w:tc>
        <w:tc>
          <w:tcPr>
            <w:tcW w:w="727" w:type="dxa"/>
            <w:tcBorders>
              <w:top w:val="nil"/>
              <w:left w:val="nil"/>
              <w:bottom w:val="nil"/>
              <w:right w:val="nil"/>
            </w:tcBorders>
            <w:shd w:val="clear" w:color="auto" w:fill="auto"/>
            <w:noWrap/>
            <w:vAlign w:val="center"/>
          </w:tcPr>
          <w:p w14:paraId="516FC507" w14:textId="14999F48" w:rsidR="00277685" w:rsidRPr="00277685" w:rsidRDefault="00277685" w:rsidP="00277685">
            <w:pPr>
              <w:jc w:val="right"/>
              <w:rPr>
                <w:sz w:val="16"/>
                <w:szCs w:val="16"/>
                <w:lang w:eastAsia="es-AR"/>
              </w:rPr>
            </w:pPr>
          </w:p>
        </w:tc>
        <w:tc>
          <w:tcPr>
            <w:tcW w:w="1075" w:type="dxa"/>
            <w:tcBorders>
              <w:top w:val="nil"/>
              <w:left w:val="nil"/>
              <w:bottom w:val="nil"/>
              <w:right w:val="nil"/>
            </w:tcBorders>
            <w:shd w:val="clear" w:color="auto" w:fill="auto"/>
            <w:noWrap/>
            <w:vAlign w:val="center"/>
          </w:tcPr>
          <w:p w14:paraId="47E67E6D" w14:textId="77777777" w:rsidR="00277685" w:rsidRPr="00277685" w:rsidRDefault="00277685" w:rsidP="00277685">
            <w:pPr>
              <w:jc w:val="right"/>
              <w:rPr>
                <w:sz w:val="16"/>
                <w:szCs w:val="16"/>
                <w:lang w:eastAsia="es-AR"/>
              </w:rPr>
            </w:pPr>
          </w:p>
        </w:tc>
        <w:tc>
          <w:tcPr>
            <w:tcW w:w="937" w:type="dxa"/>
            <w:tcBorders>
              <w:top w:val="nil"/>
              <w:left w:val="nil"/>
              <w:bottom w:val="nil"/>
              <w:right w:val="nil"/>
            </w:tcBorders>
            <w:shd w:val="clear" w:color="auto" w:fill="auto"/>
            <w:noWrap/>
            <w:vAlign w:val="center"/>
          </w:tcPr>
          <w:p w14:paraId="708CF01D" w14:textId="77777777" w:rsidR="00277685" w:rsidRPr="00277685" w:rsidRDefault="00277685">
            <w:pPr>
              <w:jc w:val="right"/>
              <w:rPr>
                <w:sz w:val="16"/>
                <w:szCs w:val="16"/>
                <w:lang w:eastAsia="es-AR"/>
              </w:rPr>
            </w:pPr>
          </w:p>
        </w:tc>
        <w:tc>
          <w:tcPr>
            <w:tcW w:w="1134" w:type="dxa"/>
            <w:tcBorders>
              <w:top w:val="nil"/>
              <w:left w:val="nil"/>
              <w:bottom w:val="nil"/>
              <w:right w:val="nil"/>
            </w:tcBorders>
            <w:shd w:val="clear" w:color="auto" w:fill="auto"/>
            <w:noWrap/>
            <w:vAlign w:val="center"/>
          </w:tcPr>
          <w:p w14:paraId="69E4848A" w14:textId="77777777" w:rsidR="00277685" w:rsidRPr="00277685" w:rsidRDefault="00277685" w:rsidP="00277685">
            <w:pPr>
              <w:jc w:val="right"/>
              <w:rPr>
                <w:sz w:val="16"/>
                <w:szCs w:val="16"/>
                <w:lang w:eastAsia="es-AR"/>
              </w:rPr>
            </w:pPr>
          </w:p>
        </w:tc>
        <w:tc>
          <w:tcPr>
            <w:tcW w:w="1041" w:type="dxa"/>
            <w:tcBorders>
              <w:top w:val="nil"/>
              <w:left w:val="nil"/>
              <w:bottom w:val="nil"/>
              <w:right w:val="nil"/>
            </w:tcBorders>
            <w:shd w:val="clear" w:color="auto" w:fill="auto"/>
            <w:noWrap/>
            <w:vAlign w:val="center"/>
          </w:tcPr>
          <w:p w14:paraId="7EBD93A5" w14:textId="77777777" w:rsidR="00277685" w:rsidRPr="00277685" w:rsidRDefault="00277685" w:rsidP="00277685">
            <w:pPr>
              <w:jc w:val="right"/>
              <w:rPr>
                <w:sz w:val="16"/>
                <w:szCs w:val="16"/>
                <w:lang w:eastAsia="es-AR"/>
              </w:rPr>
            </w:pPr>
          </w:p>
        </w:tc>
      </w:tr>
      <w:tr w:rsidR="00277685" w:rsidRPr="00277685" w14:paraId="6776FBD0" w14:textId="77777777" w:rsidTr="006E1AF7">
        <w:trPr>
          <w:trHeight w:val="255"/>
        </w:trPr>
        <w:tc>
          <w:tcPr>
            <w:tcW w:w="2830" w:type="dxa"/>
            <w:tcBorders>
              <w:top w:val="nil"/>
              <w:left w:val="nil"/>
              <w:bottom w:val="nil"/>
              <w:right w:val="nil"/>
            </w:tcBorders>
            <w:shd w:val="clear" w:color="auto" w:fill="auto"/>
            <w:hideMark/>
          </w:tcPr>
          <w:p w14:paraId="452EEF47" w14:textId="77777777" w:rsidR="00277685" w:rsidRPr="00277685" w:rsidRDefault="00277685" w:rsidP="00277685">
            <w:pPr>
              <w:rPr>
                <w:rFonts w:ascii="Arial" w:hAnsi="Arial" w:cs="Arial"/>
                <w:sz w:val="16"/>
                <w:szCs w:val="16"/>
                <w:lang w:eastAsia="es-AR"/>
              </w:rPr>
            </w:pPr>
            <w:r w:rsidRPr="00277685">
              <w:rPr>
                <w:rFonts w:ascii="Arial" w:hAnsi="Arial" w:cs="Arial"/>
                <w:sz w:val="16"/>
                <w:szCs w:val="16"/>
                <w:lang w:eastAsia="es-AR"/>
              </w:rPr>
              <w:t>- Inmuebles</w:t>
            </w:r>
          </w:p>
        </w:tc>
        <w:tc>
          <w:tcPr>
            <w:tcW w:w="991" w:type="dxa"/>
            <w:tcBorders>
              <w:top w:val="nil"/>
              <w:left w:val="nil"/>
              <w:bottom w:val="nil"/>
              <w:right w:val="nil"/>
            </w:tcBorders>
            <w:shd w:val="clear" w:color="auto" w:fill="auto"/>
            <w:noWrap/>
            <w:vAlign w:val="center"/>
          </w:tcPr>
          <w:p w14:paraId="349E605E" w14:textId="27CF9134" w:rsidR="00277685" w:rsidRPr="00277685" w:rsidRDefault="00277685" w:rsidP="00277685">
            <w:pPr>
              <w:jc w:val="right"/>
              <w:rPr>
                <w:rFonts w:ascii="Arial" w:hAnsi="Arial" w:cs="Arial"/>
                <w:sz w:val="16"/>
                <w:szCs w:val="16"/>
                <w:lang w:eastAsia="es-AR"/>
              </w:rPr>
            </w:pPr>
            <w:r w:rsidRPr="00277685">
              <w:rPr>
                <w:rFonts w:ascii="Arial" w:hAnsi="Arial" w:cs="Arial"/>
                <w:bCs/>
                <w:color w:val="000000"/>
                <w:sz w:val="16"/>
                <w:szCs w:val="16"/>
              </w:rPr>
              <w:t>1.146.045</w:t>
            </w:r>
          </w:p>
        </w:tc>
        <w:tc>
          <w:tcPr>
            <w:tcW w:w="941" w:type="dxa"/>
            <w:tcBorders>
              <w:top w:val="nil"/>
              <w:left w:val="nil"/>
              <w:bottom w:val="nil"/>
              <w:right w:val="nil"/>
            </w:tcBorders>
            <w:shd w:val="clear" w:color="auto" w:fill="auto"/>
            <w:noWrap/>
            <w:vAlign w:val="center"/>
          </w:tcPr>
          <w:p w14:paraId="3AE3CD5E" w14:textId="61024A3C"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50</w:t>
            </w:r>
          </w:p>
        </w:tc>
        <w:tc>
          <w:tcPr>
            <w:tcW w:w="1003" w:type="dxa"/>
            <w:tcBorders>
              <w:top w:val="nil"/>
              <w:left w:val="nil"/>
              <w:bottom w:val="nil"/>
              <w:right w:val="nil"/>
            </w:tcBorders>
            <w:shd w:val="clear" w:color="auto" w:fill="auto"/>
            <w:noWrap/>
            <w:vAlign w:val="center"/>
          </w:tcPr>
          <w:p w14:paraId="504A531C" w14:textId="2FE6D18A"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585.993</w:t>
            </w:r>
          </w:p>
        </w:tc>
        <w:tc>
          <w:tcPr>
            <w:tcW w:w="1102" w:type="dxa"/>
            <w:tcBorders>
              <w:top w:val="nil"/>
              <w:left w:val="nil"/>
              <w:bottom w:val="nil"/>
              <w:right w:val="nil"/>
            </w:tcBorders>
            <w:shd w:val="clear" w:color="auto" w:fill="auto"/>
            <w:noWrap/>
            <w:vAlign w:val="center"/>
          </w:tcPr>
          <w:p w14:paraId="4E632958" w14:textId="45016AA2"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-11.498</w:t>
            </w:r>
          </w:p>
        </w:tc>
        <w:tc>
          <w:tcPr>
            <w:tcW w:w="1119" w:type="dxa"/>
            <w:tcBorders>
              <w:top w:val="nil"/>
              <w:left w:val="nil"/>
              <w:bottom w:val="nil"/>
              <w:right w:val="nil"/>
            </w:tcBorders>
            <w:shd w:val="clear" w:color="auto" w:fill="auto"/>
            <w:noWrap/>
            <w:vAlign w:val="center"/>
          </w:tcPr>
          <w:p w14:paraId="4D35FC72" w14:textId="3E248D12"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w:t>
            </w:r>
          </w:p>
        </w:tc>
        <w:tc>
          <w:tcPr>
            <w:tcW w:w="883" w:type="dxa"/>
            <w:tcBorders>
              <w:top w:val="nil"/>
              <w:left w:val="nil"/>
              <w:bottom w:val="nil"/>
              <w:right w:val="nil"/>
            </w:tcBorders>
            <w:shd w:val="clear" w:color="auto" w:fill="auto"/>
            <w:noWrap/>
            <w:vAlign w:val="center"/>
          </w:tcPr>
          <w:p w14:paraId="2B227556" w14:textId="48272477"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-92</w:t>
            </w:r>
          </w:p>
        </w:tc>
        <w:tc>
          <w:tcPr>
            <w:tcW w:w="1003" w:type="dxa"/>
            <w:tcBorders>
              <w:top w:val="nil"/>
              <w:left w:val="nil"/>
              <w:bottom w:val="nil"/>
              <w:right w:val="nil"/>
            </w:tcBorders>
            <w:vAlign w:val="center"/>
          </w:tcPr>
          <w:p w14:paraId="60540694" w14:textId="795426FE" w:rsidR="00277685" w:rsidRPr="00277685" w:rsidRDefault="00277685" w:rsidP="00277685">
            <w:pPr>
              <w:jc w:val="right"/>
              <w:rPr>
                <w:rFonts w:ascii="Arial" w:hAnsi="Arial" w:cs="Arial"/>
                <w:color w:val="000000"/>
                <w:sz w:val="16"/>
                <w:szCs w:val="16"/>
              </w:rPr>
            </w:pPr>
            <w:r w:rsidRPr="00277685">
              <w:rPr>
                <w:rFonts w:ascii="Arial" w:hAnsi="Arial" w:cs="Arial"/>
                <w:color w:val="000000"/>
                <w:sz w:val="16"/>
                <w:szCs w:val="16"/>
              </w:rPr>
              <w:t>-58.543</w:t>
            </w:r>
          </w:p>
        </w:tc>
        <w:tc>
          <w:tcPr>
            <w:tcW w:w="727" w:type="dxa"/>
            <w:tcBorders>
              <w:top w:val="nil"/>
              <w:left w:val="nil"/>
              <w:bottom w:val="nil"/>
              <w:right w:val="nil"/>
            </w:tcBorders>
            <w:shd w:val="clear" w:color="auto" w:fill="auto"/>
            <w:noWrap/>
            <w:vAlign w:val="center"/>
          </w:tcPr>
          <w:p w14:paraId="63FC2880" w14:textId="3B4DAFE8" w:rsidR="00277685" w:rsidRPr="00277685" w:rsidRDefault="0029517F" w:rsidP="00277685">
            <w:pPr>
              <w:jc w:val="right"/>
              <w:rPr>
                <w:rFonts w:ascii="Arial" w:hAnsi="Arial" w:cs="Arial"/>
                <w:sz w:val="16"/>
                <w:szCs w:val="16"/>
                <w:lang w:eastAsia="es-AR"/>
              </w:rPr>
            </w:pPr>
            <w:r>
              <w:rPr>
                <w:rFonts w:ascii="Arial" w:hAnsi="Arial" w:cs="Arial"/>
                <w:sz w:val="16"/>
                <w:szCs w:val="16"/>
                <w:lang w:eastAsia="es-AR"/>
              </w:rPr>
              <w:t>-</w:t>
            </w:r>
          </w:p>
        </w:tc>
        <w:tc>
          <w:tcPr>
            <w:tcW w:w="1075" w:type="dxa"/>
            <w:tcBorders>
              <w:top w:val="nil"/>
              <w:left w:val="nil"/>
              <w:bottom w:val="nil"/>
              <w:right w:val="nil"/>
            </w:tcBorders>
            <w:shd w:val="clear" w:color="auto" w:fill="auto"/>
            <w:noWrap/>
            <w:vAlign w:val="center"/>
          </w:tcPr>
          <w:p w14:paraId="5BAAA28C" w14:textId="2F180A31" w:rsidR="00277685" w:rsidRPr="00277685" w:rsidRDefault="00277685" w:rsidP="00277685">
            <w:pPr>
              <w:jc w:val="right"/>
              <w:rPr>
                <w:rFonts w:ascii="Arial" w:hAnsi="Arial" w:cs="Arial"/>
                <w:sz w:val="16"/>
                <w:szCs w:val="16"/>
                <w:lang w:eastAsia="es-AR"/>
              </w:rPr>
            </w:pPr>
            <w:r w:rsidRPr="00277685">
              <w:rPr>
                <w:rFonts w:ascii="Arial" w:hAnsi="Arial" w:cs="Arial"/>
                <w:color w:val="000000"/>
                <w:sz w:val="16"/>
                <w:szCs w:val="16"/>
              </w:rPr>
              <w:t>-23.952</w:t>
            </w:r>
          </w:p>
        </w:tc>
        <w:tc>
          <w:tcPr>
            <w:tcW w:w="937" w:type="dxa"/>
            <w:tcBorders>
              <w:top w:val="nil"/>
              <w:left w:val="nil"/>
              <w:bottom w:val="nil"/>
              <w:right w:val="nil"/>
            </w:tcBorders>
            <w:shd w:val="clear" w:color="auto" w:fill="auto"/>
            <w:noWrap/>
            <w:vAlign w:val="center"/>
          </w:tcPr>
          <w:p w14:paraId="3C2AABDA" w14:textId="1D9EC7CC" w:rsidR="00277685" w:rsidRPr="00277685" w:rsidRDefault="00277685">
            <w:pPr>
              <w:jc w:val="right"/>
              <w:rPr>
                <w:rFonts w:ascii="Arial" w:hAnsi="Arial" w:cs="Arial"/>
                <w:sz w:val="16"/>
                <w:szCs w:val="16"/>
                <w:lang w:eastAsia="es-AR"/>
              </w:rPr>
            </w:pPr>
            <w:r w:rsidRPr="00277685">
              <w:rPr>
                <w:rFonts w:ascii="Arial" w:hAnsi="Arial" w:cs="Arial"/>
                <w:color w:val="000000"/>
                <w:sz w:val="16"/>
                <w:szCs w:val="16"/>
              </w:rPr>
              <w:t>-82.495</w:t>
            </w:r>
          </w:p>
        </w:tc>
        <w:tc>
          <w:tcPr>
            <w:tcW w:w="1134" w:type="dxa"/>
            <w:tcBorders>
              <w:top w:val="nil"/>
              <w:left w:val="nil"/>
              <w:bottom w:val="nil"/>
              <w:right w:val="nil"/>
            </w:tcBorders>
            <w:shd w:val="clear" w:color="auto" w:fill="auto"/>
            <w:noWrap/>
            <w:vAlign w:val="center"/>
          </w:tcPr>
          <w:p w14:paraId="4C0F9F9D" w14:textId="5EADC29D" w:rsidR="00277685" w:rsidRPr="00277685" w:rsidRDefault="00277685" w:rsidP="00277685">
            <w:pPr>
              <w:jc w:val="right"/>
              <w:rPr>
                <w:rFonts w:ascii="Arial" w:hAnsi="Arial" w:cs="Arial"/>
                <w:sz w:val="16"/>
                <w:szCs w:val="16"/>
                <w:lang w:eastAsia="es-AR"/>
              </w:rPr>
            </w:pPr>
            <w:r w:rsidRPr="00277685">
              <w:rPr>
                <w:rFonts w:ascii="Arial" w:hAnsi="Arial" w:cs="Arial"/>
                <w:bCs/>
                <w:color w:val="000000"/>
                <w:sz w:val="16"/>
                <w:szCs w:val="16"/>
              </w:rPr>
              <w:t>1.637.953</w:t>
            </w:r>
          </w:p>
        </w:tc>
        <w:tc>
          <w:tcPr>
            <w:tcW w:w="1041" w:type="dxa"/>
            <w:tcBorders>
              <w:top w:val="nil"/>
              <w:left w:val="nil"/>
              <w:bottom w:val="nil"/>
              <w:right w:val="nil"/>
            </w:tcBorders>
            <w:shd w:val="clear" w:color="auto" w:fill="auto"/>
            <w:noWrap/>
            <w:vAlign w:val="bottom"/>
          </w:tcPr>
          <w:p w14:paraId="0E6B2693" w14:textId="249CF93C" w:rsidR="00277685" w:rsidRPr="00277685" w:rsidRDefault="00277685" w:rsidP="00277685">
            <w:pPr>
              <w:jc w:val="right"/>
              <w:rPr>
                <w:rFonts w:ascii="Arial" w:hAnsi="Arial" w:cs="Arial"/>
                <w:sz w:val="16"/>
                <w:szCs w:val="16"/>
                <w:lang w:eastAsia="es-AR"/>
              </w:rPr>
            </w:pPr>
            <w:r w:rsidRPr="00277685">
              <w:rPr>
                <w:rFonts w:ascii="Arial" w:hAnsi="Arial" w:cs="Arial"/>
                <w:bCs/>
                <w:color w:val="000000"/>
                <w:sz w:val="16"/>
                <w:szCs w:val="16"/>
              </w:rPr>
              <w:t>1.087.502</w:t>
            </w:r>
          </w:p>
        </w:tc>
      </w:tr>
      <w:tr w:rsidR="00277685" w:rsidRPr="00277685" w14:paraId="692AA558" w14:textId="77777777" w:rsidTr="006E1AF7">
        <w:trPr>
          <w:trHeight w:val="255"/>
        </w:trPr>
        <w:tc>
          <w:tcPr>
            <w:tcW w:w="2830" w:type="dxa"/>
            <w:tcBorders>
              <w:top w:val="nil"/>
              <w:left w:val="nil"/>
              <w:bottom w:val="nil"/>
              <w:right w:val="nil"/>
            </w:tcBorders>
            <w:shd w:val="clear" w:color="auto" w:fill="auto"/>
            <w:hideMark/>
          </w:tcPr>
          <w:p w14:paraId="5AA73646" w14:textId="77777777" w:rsidR="00277685" w:rsidRPr="00277685" w:rsidRDefault="00277685" w:rsidP="00277685">
            <w:pPr>
              <w:rPr>
                <w:rFonts w:ascii="Arial" w:hAnsi="Arial" w:cs="Arial"/>
                <w:sz w:val="16"/>
                <w:szCs w:val="16"/>
                <w:lang w:eastAsia="es-AR"/>
              </w:rPr>
            </w:pPr>
          </w:p>
        </w:tc>
        <w:tc>
          <w:tcPr>
            <w:tcW w:w="991" w:type="dxa"/>
            <w:tcBorders>
              <w:top w:val="nil"/>
              <w:left w:val="nil"/>
              <w:bottom w:val="nil"/>
              <w:right w:val="nil"/>
            </w:tcBorders>
            <w:shd w:val="clear" w:color="auto" w:fill="auto"/>
            <w:noWrap/>
            <w:vAlign w:val="center"/>
          </w:tcPr>
          <w:p w14:paraId="5BDA01DB" w14:textId="77777777" w:rsidR="00277685" w:rsidRPr="00277685" w:rsidRDefault="00277685" w:rsidP="00277685">
            <w:pPr>
              <w:jc w:val="right"/>
              <w:rPr>
                <w:sz w:val="16"/>
                <w:szCs w:val="16"/>
                <w:lang w:eastAsia="es-AR"/>
              </w:rPr>
            </w:pPr>
          </w:p>
        </w:tc>
        <w:tc>
          <w:tcPr>
            <w:tcW w:w="941" w:type="dxa"/>
            <w:tcBorders>
              <w:top w:val="nil"/>
              <w:left w:val="nil"/>
              <w:bottom w:val="nil"/>
              <w:right w:val="nil"/>
            </w:tcBorders>
            <w:shd w:val="clear" w:color="auto" w:fill="auto"/>
            <w:noWrap/>
            <w:vAlign w:val="center"/>
          </w:tcPr>
          <w:p w14:paraId="55861403" w14:textId="77777777" w:rsidR="00277685" w:rsidRPr="00277685" w:rsidRDefault="00277685" w:rsidP="00277685">
            <w:pPr>
              <w:jc w:val="right"/>
              <w:rPr>
                <w:sz w:val="16"/>
                <w:szCs w:val="16"/>
                <w:lang w:eastAsia="es-AR"/>
              </w:rPr>
            </w:pPr>
          </w:p>
        </w:tc>
        <w:tc>
          <w:tcPr>
            <w:tcW w:w="1003" w:type="dxa"/>
            <w:tcBorders>
              <w:top w:val="nil"/>
              <w:left w:val="nil"/>
              <w:bottom w:val="nil"/>
              <w:right w:val="nil"/>
            </w:tcBorders>
            <w:shd w:val="clear" w:color="auto" w:fill="auto"/>
            <w:noWrap/>
            <w:vAlign w:val="center"/>
          </w:tcPr>
          <w:p w14:paraId="13BA8EAF" w14:textId="77777777" w:rsidR="00277685" w:rsidRPr="00277685" w:rsidRDefault="00277685" w:rsidP="00277685">
            <w:pPr>
              <w:jc w:val="right"/>
              <w:rPr>
                <w:sz w:val="16"/>
                <w:szCs w:val="16"/>
                <w:lang w:eastAsia="es-AR"/>
              </w:rPr>
            </w:pPr>
          </w:p>
        </w:tc>
        <w:tc>
          <w:tcPr>
            <w:tcW w:w="1102" w:type="dxa"/>
            <w:tcBorders>
              <w:top w:val="nil"/>
              <w:left w:val="nil"/>
              <w:bottom w:val="nil"/>
              <w:right w:val="nil"/>
            </w:tcBorders>
            <w:shd w:val="clear" w:color="auto" w:fill="auto"/>
            <w:noWrap/>
            <w:vAlign w:val="center"/>
          </w:tcPr>
          <w:p w14:paraId="77009002" w14:textId="77777777" w:rsidR="00277685" w:rsidRPr="00277685" w:rsidRDefault="00277685" w:rsidP="00277685">
            <w:pPr>
              <w:jc w:val="right"/>
              <w:rPr>
                <w:sz w:val="16"/>
                <w:szCs w:val="16"/>
                <w:lang w:eastAsia="es-AR"/>
              </w:rPr>
            </w:pPr>
          </w:p>
        </w:tc>
        <w:tc>
          <w:tcPr>
            <w:tcW w:w="1119" w:type="dxa"/>
            <w:tcBorders>
              <w:top w:val="nil"/>
              <w:left w:val="nil"/>
              <w:bottom w:val="nil"/>
              <w:right w:val="nil"/>
            </w:tcBorders>
            <w:shd w:val="clear" w:color="auto" w:fill="auto"/>
            <w:noWrap/>
            <w:vAlign w:val="center"/>
          </w:tcPr>
          <w:p w14:paraId="6BA1A505" w14:textId="77777777" w:rsidR="00277685" w:rsidRPr="00277685" w:rsidRDefault="00277685" w:rsidP="00277685">
            <w:pPr>
              <w:jc w:val="right"/>
              <w:rPr>
                <w:sz w:val="16"/>
                <w:szCs w:val="16"/>
                <w:lang w:eastAsia="es-AR"/>
              </w:rPr>
            </w:pPr>
          </w:p>
        </w:tc>
        <w:tc>
          <w:tcPr>
            <w:tcW w:w="883" w:type="dxa"/>
            <w:tcBorders>
              <w:top w:val="nil"/>
              <w:left w:val="nil"/>
              <w:bottom w:val="nil"/>
              <w:right w:val="nil"/>
            </w:tcBorders>
            <w:shd w:val="clear" w:color="auto" w:fill="auto"/>
            <w:noWrap/>
            <w:vAlign w:val="center"/>
          </w:tcPr>
          <w:p w14:paraId="33449A3E" w14:textId="77777777" w:rsidR="00277685" w:rsidRPr="00277685" w:rsidRDefault="00277685" w:rsidP="00277685">
            <w:pPr>
              <w:jc w:val="right"/>
              <w:rPr>
                <w:sz w:val="16"/>
                <w:szCs w:val="16"/>
                <w:lang w:eastAsia="es-AR"/>
              </w:rPr>
            </w:pPr>
          </w:p>
        </w:tc>
        <w:tc>
          <w:tcPr>
            <w:tcW w:w="1003" w:type="dxa"/>
            <w:tcBorders>
              <w:top w:val="nil"/>
              <w:left w:val="nil"/>
              <w:bottom w:val="nil"/>
              <w:right w:val="nil"/>
            </w:tcBorders>
            <w:vAlign w:val="center"/>
          </w:tcPr>
          <w:p w14:paraId="513C8B3A" w14:textId="77777777" w:rsidR="00277685" w:rsidRPr="00277685" w:rsidRDefault="00277685" w:rsidP="00277685">
            <w:pPr>
              <w:jc w:val="right"/>
              <w:rPr>
                <w:sz w:val="16"/>
                <w:szCs w:val="16"/>
                <w:lang w:eastAsia="es-AR"/>
              </w:rPr>
            </w:pPr>
          </w:p>
        </w:tc>
        <w:tc>
          <w:tcPr>
            <w:tcW w:w="727" w:type="dxa"/>
            <w:tcBorders>
              <w:top w:val="nil"/>
              <w:left w:val="nil"/>
              <w:bottom w:val="nil"/>
              <w:right w:val="nil"/>
            </w:tcBorders>
            <w:shd w:val="clear" w:color="auto" w:fill="auto"/>
            <w:noWrap/>
            <w:vAlign w:val="center"/>
          </w:tcPr>
          <w:p w14:paraId="69DE05E0" w14:textId="128D492A" w:rsidR="00277685" w:rsidRPr="00277685" w:rsidRDefault="00277685" w:rsidP="00277685">
            <w:pPr>
              <w:jc w:val="right"/>
              <w:rPr>
                <w:sz w:val="16"/>
                <w:szCs w:val="16"/>
                <w:lang w:eastAsia="es-AR"/>
              </w:rPr>
            </w:pPr>
          </w:p>
        </w:tc>
        <w:tc>
          <w:tcPr>
            <w:tcW w:w="1075" w:type="dxa"/>
            <w:tcBorders>
              <w:top w:val="nil"/>
              <w:left w:val="nil"/>
              <w:bottom w:val="nil"/>
              <w:right w:val="nil"/>
            </w:tcBorders>
            <w:shd w:val="clear" w:color="auto" w:fill="auto"/>
            <w:noWrap/>
            <w:vAlign w:val="center"/>
          </w:tcPr>
          <w:p w14:paraId="05945BEA" w14:textId="77777777" w:rsidR="00277685" w:rsidRPr="00277685" w:rsidRDefault="00277685" w:rsidP="00277685">
            <w:pPr>
              <w:jc w:val="right"/>
              <w:rPr>
                <w:sz w:val="16"/>
                <w:szCs w:val="16"/>
                <w:lang w:eastAsia="es-AR"/>
              </w:rPr>
            </w:pPr>
          </w:p>
        </w:tc>
        <w:tc>
          <w:tcPr>
            <w:tcW w:w="937" w:type="dxa"/>
            <w:tcBorders>
              <w:top w:val="nil"/>
              <w:left w:val="nil"/>
              <w:bottom w:val="nil"/>
              <w:right w:val="nil"/>
            </w:tcBorders>
            <w:shd w:val="clear" w:color="auto" w:fill="auto"/>
            <w:noWrap/>
            <w:vAlign w:val="center"/>
          </w:tcPr>
          <w:p w14:paraId="2796C4F3" w14:textId="77777777" w:rsidR="00277685" w:rsidRPr="00277685" w:rsidRDefault="00277685">
            <w:pPr>
              <w:jc w:val="right"/>
              <w:rPr>
                <w:sz w:val="16"/>
                <w:szCs w:val="16"/>
                <w:lang w:eastAsia="es-AR"/>
              </w:rPr>
            </w:pPr>
          </w:p>
        </w:tc>
        <w:tc>
          <w:tcPr>
            <w:tcW w:w="1134" w:type="dxa"/>
            <w:tcBorders>
              <w:top w:val="nil"/>
              <w:left w:val="nil"/>
              <w:bottom w:val="nil"/>
              <w:right w:val="nil"/>
            </w:tcBorders>
            <w:shd w:val="clear" w:color="auto" w:fill="auto"/>
            <w:noWrap/>
            <w:vAlign w:val="center"/>
          </w:tcPr>
          <w:p w14:paraId="5E0E66CE" w14:textId="77777777" w:rsidR="00277685" w:rsidRPr="00277685" w:rsidRDefault="00277685" w:rsidP="00277685">
            <w:pPr>
              <w:jc w:val="right"/>
              <w:rPr>
                <w:sz w:val="16"/>
                <w:szCs w:val="16"/>
                <w:lang w:eastAsia="es-AR"/>
              </w:rPr>
            </w:pPr>
          </w:p>
        </w:tc>
        <w:tc>
          <w:tcPr>
            <w:tcW w:w="1041" w:type="dxa"/>
            <w:tcBorders>
              <w:top w:val="nil"/>
              <w:left w:val="nil"/>
              <w:bottom w:val="nil"/>
              <w:right w:val="nil"/>
            </w:tcBorders>
            <w:shd w:val="clear" w:color="auto" w:fill="auto"/>
            <w:noWrap/>
            <w:vAlign w:val="bottom"/>
          </w:tcPr>
          <w:p w14:paraId="698AE671" w14:textId="212921C9" w:rsidR="00277685" w:rsidRPr="00277685" w:rsidRDefault="00277685" w:rsidP="00277685">
            <w:pPr>
              <w:jc w:val="right"/>
              <w:rPr>
                <w:sz w:val="16"/>
                <w:szCs w:val="16"/>
                <w:lang w:eastAsia="es-AR"/>
              </w:rPr>
            </w:pPr>
          </w:p>
        </w:tc>
      </w:tr>
      <w:tr w:rsidR="00277685" w:rsidRPr="00277685" w14:paraId="659B19C5" w14:textId="77777777" w:rsidTr="006E1AF7">
        <w:trPr>
          <w:trHeight w:val="255"/>
        </w:trPr>
        <w:tc>
          <w:tcPr>
            <w:tcW w:w="2830" w:type="dxa"/>
            <w:tcBorders>
              <w:top w:val="nil"/>
              <w:left w:val="nil"/>
              <w:bottom w:val="nil"/>
              <w:right w:val="nil"/>
            </w:tcBorders>
            <w:shd w:val="clear" w:color="auto" w:fill="auto"/>
            <w:hideMark/>
          </w:tcPr>
          <w:p w14:paraId="24161AF4" w14:textId="77777777" w:rsidR="00277685" w:rsidRPr="00277685" w:rsidRDefault="00277685" w:rsidP="00277685">
            <w:pPr>
              <w:rPr>
                <w:rFonts w:ascii="Arial" w:hAnsi="Arial" w:cs="Arial"/>
                <w:b/>
                <w:bCs/>
                <w:sz w:val="16"/>
                <w:szCs w:val="16"/>
                <w:lang w:eastAsia="es-AR"/>
              </w:rPr>
            </w:pPr>
            <w:r w:rsidRPr="00277685">
              <w:rPr>
                <w:rFonts w:ascii="Arial" w:hAnsi="Arial" w:cs="Arial"/>
                <w:b/>
                <w:bCs/>
                <w:sz w:val="16"/>
                <w:szCs w:val="16"/>
                <w:lang w:eastAsia="es-AR"/>
              </w:rPr>
              <w:t>TOTAL PROPIEDAD PLANTA Y EQUIPO</w:t>
            </w:r>
          </w:p>
        </w:tc>
        <w:tc>
          <w:tcPr>
            <w:tcW w:w="991" w:type="dxa"/>
            <w:tcBorders>
              <w:top w:val="single" w:sz="4" w:space="0" w:color="auto"/>
              <w:left w:val="nil"/>
              <w:bottom w:val="single" w:sz="4" w:space="0" w:color="auto"/>
              <w:right w:val="nil"/>
            </w:tcBorders>
            <w:shd w:val="clear" w:color="auto" w:fill="auto"/>
            <w:noWrap/>
            <w:vAlign w:val="center"/>
          </w:tcPr>
          <w:p w14:paraId="7F14D163" w14:textId="3AF05E63" w:rsidR="00277685" w:rsidRPr="00277685" w:rsidRDefault="00277685" w:rsidP="00277685">
            <w:pPr>
              <w:jc w:val="right"/>
              <w:rPr>
                <w:rFonts w:ascii="Arial" w:hAnsi="Arial" w:cs="Arial"/>
                <w:b/>
                <w:bCs/>
                <w:sz w:val="16"/>
                <w:szCs w:val="16"/>
                <w:lang w:eastAsia="es-AR"/>
              </w:rPr>
            </w:pPr>
            <w:r w:rsidRPr="00277685">
              <w:rPr>
                <w:rFonts w:ascii="Arial" w:hAnsi="Arial" w:cs="Arial"/>
                <w:b/>
                <w:bCs/>
                <w:color w:val="000000"/>
                <w:sz w:val="16"/>
                <w:szCs w:val="16"/>
              </w:rPr>
              <w:t>2.190.147</w:t>
            </w:r>
          </w:p>
        </w:tc>
        <w:tc>
          <w:tcPr>
            <w:tcW w:w="941" w:type="dxa"/>
            <w:tcBorders>
              <w:top w:val="single" w:sz="4" w:space="0" w:color="auto"/>
              <w:left w:val="nil"/>
              <w:bottom w:val="single" w:sz="4" w:space="0" w:color="auto"/>
              <w:right w:val="nil"/>
            </w:tcBorders>
            <w:shd w:val="clear" w:color="auto" w:fill="auto"/>
            <w:noWrap/>
            <w:vAlign w:val="center"/>
          </w:tcPr>
          <w:p w14:paraId="5CB1BF7F" w14:textId="3261BFA0" w:rsidR="00277685" w:rsidRPr="00277685" w:rsidRDefault="00277685" w:rsidP="00277685">
            <w:pPr>
              <w:jc w:val="right"/>
              <w:rPr>
                <w:rFonts w:ascii="Arial" w:hAnsi="Arial" w:cs="Arial"/>
                <w:b/>
                <w:bCs/>
                <w:sz w:val="16"/>
                <w:szCs w:val="16"/>
                <w:lang w:eastAsia="es-AR"/>
              </w:rPr>
            </w:pPr>
            <w:r w:rsidRPr="00277685">
              <w:rPr>
                <w:color w:val="000000"/>
                <w:sz w:val="16"/>
                <w:szCs w:val="16"/>
              </w:rPr>
              <w:t> </w:t>
            </w:r>
          </w:p>
        </w:tc>
        <w:tc>
          <w:tcPr>
            <w:tcW w:w="1003" w:type="dxa"/>
            <w:tcBorders>
              <w:top w:val="single" w:sz="4" w:space="0" w:color="auto"/>
              <w:left w:val="nil"/>
              <w:bottom w:val="single" w:sz="4" w:space="0" w:color="auto"/>
              <w:right w:val="nil"/>
            </w:tcBorders>
            <w:shd w:val="clear" w:color="auto" w:fill="auto"/>
            <w:noWrap/>
            <w:vAlign w:val="center"/>
          </w:tcPr>
          <w:p w14:paraId="2A0C40C8" w14:textId="6B0137C9" w:rsidR="00277685" w:rsidRPr="00277685" w:rsidRDefault="00277685" w:rsidP="00277685">
            <w:pPr>
              <w:jc w:val="right"/>
              <w:rPr>
                <w:rFonts w:ascii="Arial" w:hAnsi="Arial" w:cs="Arial"/>
                <w:b/>
                <w:bCs/>
                <w:sz w:val="16"/>
                <w:szCs w:val="16"/>
                <w:lang w:eastAsia="es-AR"/>
              </w:rPr>
            </w:pPr>
            <w:r w:rsidRPr="00277685">
              <w:rPr>
                <w:rFonts w:ascii="Arial" w:hAnsi="Arial" w:cs="Arial"/>
                <w:b/>
                <w:bCs/>
                <w:color w:val="000000"/>
                <w:sz w:val="16"/>
                <w:szCs w:val="16"/>
              </w:rPr>
              <w:t>585.993</w:t>
            </w:r>
          </w:p>
        </w:tc>
        <w:tc>
          <w:tcPr>
            <w:tcW w:w="1102" w:type="dxa"/>
            <w:tcBorders>
              <w:top w:val="single" w:sz="4" w:space="0" w:color="auto"/>
              <w:left w:val="nil"/>
              <w:bottom w:val="single" w:sz="4" w:space="0" w:color="auto"/>
              <w:right w:val="nil"/>
            </w:tcBorders>
            <w:shd w:val="clear" w:color="auto" w:fill="auto"/>
            <w:noWrap/>
            <w:vAlign w:val="center"/>
          </w:tcPr>
          <w:p w14:paraId="331E03BC" w14:textId="28C611FB" w:rsidR="00277685" w:rsidRPr="00277685" w:rsidRDefault="00277685" w:rsidP="00277685">
            <w:pPr>
              <w:jc w:val="right"/>
              <w:rPr>
                <w:rFonts w:ascii="Arial" w:hAnsi="Arial" w:cs="Arial"/>
                <w:b/>
                <w:bCs/>
                <w:sz w:val="16"/>
                <w:szCs w:val="16"/>
                <w:lang w:eastAsia="es-AR"/>
              </w:rPr>
            </w:pPr>
            <w:r w:rsidRPr="00277685">
              <w:rPr>
                <w:rFonts w:ascii="Arial" w:hAnsi="Arial" w:cs="Arial"/>
                <w:b/>
                <w:bCs/>
                <w:color w:val="000000"/>
                <w:sz w:val="16"/>
                <w:szCs w:val="16"/>
              </w:rPr>
              <w:t>-11.498</w:t>
            </w:r>
          </w:p>
        </w:tc>
        <w:tc>
          <w:tcPr>
            <w:tcW w:w="1119" w:type="dxa"/>
            <w:tcBorders>
              <w:top w:val="single" w:sz="4" w:space="0" w:color="auto"/>
              <w:left w:val="nil"/>
              <w:bottom w:val="single" w:sz="4" w:space="0" w:color="auto"/>
              <w:right w:val="nil"/>
            </w:tcBorders>
            <w:shd w:val="clear" w:color="auto" w:fill="auto"/>
            <w:noWrap/>
            <w:vAlign w:val="center"/>
          </w:tcPr>
          <w:p w14:paraId="21821D4A" w14:textId="0C93E501" w:rsidR="00277685" w:rsidRPr="00277685" w:rsidRDefault="00E20EB9" w:rsidP="00277685">
            <w:pPr>
              <w:jc w:val="right"/>
              <w:rPr>
                <w:rFonts w:ascii="Arial" w:hAnsi="Arial" w:cs="Arial"/>
                <w:b/>
                <w:bCs/>
                <w:sz w:val="16"/>
                <w:szCs w:val="16"/>
                <w:lang w:eastAsia="es-AR"/>
              </w:rPr>
            </w:pPr>
            <w:r>
              <w:rPr>
                <w:rFonts w:ascii="Arial" w:hAnsi="Arial" w:cs="Arial"/>
                <w:b/>
                <w:bCs/>
                <w:sz w:val="16"/>
                <w:szCs w:val="16"/>
              </w:rPr>
              <w:t>1.2</w:t>
            </w:r>
            <w:r w:rsidR="00076DF4">
              <w:rPr>
                <w:rFonts w:ascii="Arial" w:hAnsi="Arial" w:cs="Arial"/>
                <w:b/>
                <w:bCs/>
                <w:sz w:val="16"/>
                <w:szCs w:val="16"/>
              </w:rPr>
              <w:t>30</w:t>
            </w:r>
            <w:r>
              <w:rPr>
                <w:rFonts w:ascii="Arial" w:hAnsi="Arial" w:cs="Arial"/>
                <w:b/>
                <w:bCs/>
                <w:sz w:val="16"/>
                <w:szCs w:val="16"/>
              </w:rPr>
              <w:t>.64</w:t>
            </w:r>
            <w:r w:rsidR="00076DF4">
              <w:rPr>
                <w:rFonts w:ascii="Arial" w:hAnsi="Arial" w:cs="Arial"/>
                <w:b/>
                <w:bCs/>
                <w:sz w:val="16"/>
                <w:szCs w:val="16"/>
              </w:rPr>
              <w:t>5</w:t>
            </w:r>
          </w:p>
        </w:tc>
        <w:tc>
          <w:tcPr>
            <w:tcW w:w="883" w:type="dxa"/>
            <w:tcBorders>
              <w:top w:val="single" w:sz="4" w:space="0" w:color="auto"/>
              <w:left w:val="nil"/>
              <w:bottom w:val="single" w:sz="4" w:space="0" w:color="auto"/>
              <w:right w:val="nil"/>
            </w:tcBorders>
            <w:shd w:val="clear" w:color="auto" w:fill="auto"/>
            <w:noWrap/>
            <w:vAlign w:val="center"/>
          </w:tcPr>
          <w:p w14:paraId="17AA5921" w14:textId="66039886" w:rsidR="00277685" w:rsidRPr="00277685" w:rsidRDefault="00277685" w:rsidP="00277685">
            <w:pPr>
              <w:jc w:val="right"/>
              <w:rPr>
                <w:rFonts w:ascii="Arial" w:hAnsi="Arial" w:cs="Arial"/>
                <w:b/>
                <w:bCs/>
                <w:sz w:val="16"/>
                <w:szCs w:val="16"/>
                <w:lang w:eastAsia="es-AR"/>
              </w:rPr>
            </w:pPr>
            <w:r w:rsidRPr="00277685">
              <w:rPr>
                <w:rFonts w:ascii="Arial" w:hAnsi="Arial" w:cs="Arial"/>
                <w:b/>
                <w:bCs/>
                <w:color w:val="000000"/>
                <w:sz w:val="16"/>
                <w:szCs w:val="16"/>
              </w:rPr>
              <w:t>-122.313</w:t>
            </w:r>
          </w:p>
        </w:tc>
        <w:tc>
          <w:tcPr>
            <w:tcW w:w="1003" w:type="dxa"/>
            <w:tcBorders>
              <w:top w:val="single" w:sz="4" w:space="0" w:color="auto"/>
              <w:left w:val="nil"/>
              <w:bottom w:val="single" w:sz="4" w:space="0" w:color="auto"/>
              <w:right w:val="nil"/>
            </w:tcBorders>
            <w:vAlign w:val="center"/>
          </w:tcPr>
          <w:p w14:paraId="545F248C" w14:textId="32FF3A4D" w:rsidR="00277685" w:rsidRPr="00277685" w:rsidRDefault="00277685" w:rsidP="00277685">
            <w:pPr>
              <w:jc w:val="right"/>
              <w:rPr>
                <w:rFonts w:ascii="Arial" w:hAnsi="Arial" w:cs="Arial"/>
                <w:b/>
                <w:bCs/>
                <w:sz w:val="16"/>
                <w:szCs w:val="16"/>
                <w:lang w:eastAsia="es-AR"/>
              </w:rPr>
            </w:pPr>
            <w:r w:rsidRPr="00277685">
              <w:rPr>
                <w:rFonts w:ascii="Arial" w:hAnsi="Arial" w:cs="Arial"/>
                <w:b/>
                <w:bCs/>
                <w:color w:val="000000"/>
                <w:sz w:val="16"/>
                <w:szCs w:val="16"/>
              </w:rPr>
              <w:t>-514.865</w:t>
            </w:r>
          </w:p>
        </w:tc>
        <w:tc>
          <w:tcPr>
            <w:tcW w:w="727" w:type="dxa"/>
            <w:tcBorders>
              <w:top w:val="single" w:sz="4" w:space="0" w:color="auto"/>
              <w:left w:val="nil"/>
              <w:bottom w:val="single" w:sz="4" w:space="0" w:color="auto"/>
              <w:right w:val="nil"/>
            </w:tcBorders>
            <w:shd w:val="clear" w:color="auto" w:fill="auto"/>
            <w:noWrap/>
            <w:vAlign w:val="center"/>
          </w:tcPr>
          <w:p w14:paraId="7D2A1822" w14:textId="695A5B58" w:rsidR="00277685" w:rsidRPr="00277685" w:rsidRDefault="00E20EB9" w:rsidP="00277685">
            <w:pPr>
              <w:jc w:val="right"/>
              <w:rPr>
                <w:rFonts w:ascii="Arial" w:hAnsi="Arial" w:cs="Arial"/>
                <w:b/>
                <w:bCs/>
                <w:sz w:val="16"/>
                <w:szCs w:val="16"/>
                <w:lang w:eastAsia="es-AR"/>
              </w:rPr>
            </w:pPr>
            <w:r>
              <w:rPr>
                <w:rFonts w:ascii="Arial" w:hAnsi="Arial" w:cs="Arial"/>
                <w:b/>
                <w:bCs/>
                <w:sz w:val="16"/>
                <w:szCs w:val="16"/>
              </w:rPr>
              <w:t>6.081</w:t>
            </w:r>
          </w:p>
        </w:tc>
        <w:tc>
          <w:tcPr>
            <w:tcW w:w="1075" w:type="dxa"/>
            <w:tcBorders>
              <w:top w:val="single" w:sz="4" w:space="0" w:color="auto"/>
              <w:left w:val="nil"/>
              <w:bottom w:val="single" w:sz="4" w:space="0" w:color="auto"/>
              <w:right w:val="nil"/>
            </w:tcBorders>
            <w:shd w:val="clear" w:color="auto" w:fill="auto"/>
            <w:noWrap/>
            <w:vAlign w:val="center"/>
          </w:tcPr>
          <w:p w14:paraId="52ECC5B0" w14:textId="41A552A2" w:rsidR="00277685" w:rsidRPr="00277685" w:rsidRDefault="00277685" w:rsidP="00277685">
            <w:pPr>
              <w:jc w:val="right"/>
              <w:rPr>
                <w:rFonts w:ascii="Arial" w:hAnsi="Arial" w:cs="Arial"/>
                <w:b/>
                <w:bCs/>
                <w:sz w:val="16"/>
                <w:szCs w:val="16"/>
                <w:lang w:eastAsia="es-AR"/>
              </w:rPr>
            </w:pPr>
            <w:r w:rsidRPr="00277685">
              <w:rPr>
                <w:rFonts w:ascii="Arial" w:hAnsi="Arial" w:cs="Arial"/>
                <w:b/>
                <w:bCs/>
                <w:color w:val="000000"/>
                <w:sz w:val="16"/>
                <w:szCs w:val="16"/>
              </w:rPr>
              <w:t>-</w:t>
            </w:r>
            <w:r w:rsidR="00E20EB9">
              <w:rPr>
                <w:rFonts w:ascii="Arial" w:hAnsi="Arial" w:cs="Arial"/>
                <w:b/>
                <w:bCs/>
                <w:color w:val="000000"/>
                <w:sz w:val="16"/>
                <w:szCs w:val="16"/>
              </w:rPr>
              <w:t>53</w:t>
            </w:r>
            <w:r w:rsidR="00076DF4">
              <w:rPr>
                <w:rFonts w:ascii="Arial" w:hAnsi="Arial" w:cs="Arial"/>
                <w:b/>
                <w:bCs/>
                <w:color w:val="000000"/>
                <w:sz w:val="16"/>
                <w:szCs w:val="16"/>
              </w:rPr>
              <w:t>7</w:t>
            </w:r>
            <w:r w:rsidR="00E20EB9">
              <w:rPr>
                <w:rFonts w:ascii="Arial" w:hAnsi="Arial" w:cs="Arial"/>
                <w:b/>
                <w:bCs/>
                <w:color w:val="000000"/>
                <w:sz w:val="16"/>
                <w:szCs w:val="16"/>
              </w:rPr>
              <w:t>.</w:t>
            </w:r>
            <w:r w:rsidR="00076DF4">
              <w:rPr>
                <w:rFonts w:ascii="Arial" w:hAnsi="Arial" w:cs="Arial"/>
                <w:b/>
                <w:bCs/>
                <w:color w:val="000000"/>
                <w:sz w:val="16"/>
                <w:szCs w:val="16"/>
              </w:rPr>
              <w:t>092</w:t>
            </w:r>
          </w:p>
        </w:tc>
        <w:tc>
          <w:tcPr>
            <w:tcW w:w="937" w:type="dxa"/>
            <w:tcBorders>
              <w:top w:val="single" w:sz="4" w:space="0" w:color="auto"/>
              <w:left w:val="nil"/>
              <w:bottom w:val="single" w:sz="4" w:space="0" w:color="auto"/>
              <w:right w:val="nil"/>
            </w:tcBorders>
            <w:shd w:val="clear" w:color="auto" w:fill="auto"/>
            <w:noWrap/>
            <w:vAlign w:val="center"/>
          </w:tcPr>
          <w:p w14:paraId="6068DC29" w14:textId="3EE6CF0E" w:rsidR="00277685" w:rsidRPr="00277685" w:rsidRDefault="00277685">
            <w:pPr>
              <w:jc w:val="right"/>
              <w:rPr>
                <w:rFonts w:ascii="Arial" w:hAnsi="Arial" w:cs="Arial"/>
                <w:b/>
                <w:bCs/>
                <w:sz w:val="16"/>
                <w:szCs w:val="16"/>
                <w:lang w:eastAsia="es-AR"/>
              </w:rPr>
            </w:pPr>
            <w:r w:rsidRPr="00277685">
              <w:rPr>
                <w:rFonts w:ascii="Arial" w:hAnsi="Arial" w:cs="Arial"/>
                <w:b/>
                <w:bCs/>
                <w:color w:val="000000"/>
                <w:sz w:val="16"/>
                <w:szCs w:val="16"/>
              </w:rPr>
              <w:t>-</w:t>
            </w:r>
            <w:r w:rsidR="00E20EB9">
              <w:rPr>
                <w:rFonts w:ascii="Arial" w:hAnsi="Arial" w:cs="Arial"/>
                <w:b/>
                <w:bCs/>
                <w:color w:val="000000"/>
                <w:sz w:val="16"/>
                <w:szCs w:val="16"/>
              </w:rPr>
              <w:t>1.04</w:t>
            </w:r>
            <w:r w:rsidR="00076DF4">
              <w:rPr>
                <w:rFonts w:ascii="Arial" w:hAnsi="Arial" w:cs="Arial"/>
                <w:b/>
                <w:bCs/>
                <w:color w:val="000000"/>
                <w:sz w:val="16"/>
                <w:szCs w:val="16"/>
              </w:rPr>
              <w:t>5</w:t>
            </w:r>
            <w:r w:rsidR="00E20EB9">
              <w:rPr>
                <w:rFonts w:ascii="Arial" w:hAnsi="Arial" w:cs="Arial"/>
                <w:b/>
                <w:bCs/>
                <w:color w:val="000000"/>
                <w:sz w:val="16"/>
                <w:szCs w:val="16"/>
              </w:rPr>
              <w:t>.</w:t>
            </w:r>
            <w:r w:rsidR="00076DF4">
              <w:rPr>
                <w:rFonts w:ascii="Arial" w:hAnsi="Arial" w:cs="Arial"/>
                <w:b/>
                <w:bCs/>
                <w:color w:val="000000"/>
                <w:sz w:val="16"/>
                <w:szCs w:val="16"/>
              </w:rPr>
              <w:t>876</w:t>
            </w:r>
          </w:p>
        </w:tc>
        <w:tc>
          <w:tcPr>
            <w:tcW w:w="1134" w:type="dxa"/>
            <w:tcBorders>
              <w:top w:val="single" w:sz="4" w:space="0" w:color="auto"/>
              <w:left w:val="nil"/>
              <w:bottom w:val="single" w:sz="4" w:space="0" w:color="auto"/>
              <w:right w:val="nil"/>
            </w:tcBorders>
            <w:shd w:val="clear" w:color="auto" w:fill="auto"/>
            <w:noWrap/>
            <w:vAlign w:val="center"/>
          </w:tcPr>
          <w:p w14:paraId="31D2E7F6" w14:textId="2BFFED53" w:rsidR="00277685" w:rsidRPr="00277685" w:rsidRDefault="00277685" w:rsidP="00277685">
            <w:pPr>
              <w:jc w:val="right"/>
              <w:rPr>
                <w:rFonts w:ascii="Arial" w:hAnsi="Arial" w:cs="Arial"/>
                <w:b/>
                <w:bCs/>
                <w:sz w:val="16"/>
                <w:szCs w:val="16"/>
                <w:lang w:eastAsia="es-AR"/>
              </w:rPr>
            </w:pPr>
            <w:r w:rsidRPr="00277685">
              <w:rPr>
                <w:rFonts w:ascii="Arial" w:hAnsi="Arial" w:cs="Arial"/>
                <w:b/>
                <w:bCs/>
                <w:color w:val="000000"/>
                <w:sz w:val="16"/>
                <w:szCs w:val="16"/>
              </w:rPr>
              <w:t>2.</w:t>
            </w:r>
            <w:r w:rsidR="00E20EB9">
              <w:rPr>
                <w:rFonts w:ascii="Arial" w:hAnsi="Arial" w:cs="Arial"/>
                <w:b/>
                <w:bCs/>
                <w:color w:val="000000"/>
                <w:sz w:val="16"/>
                <w:szCs w:val="16"/>
              </w:rPr>
              <w:t>8</w:t>
            </w:r>
            <w:r w:rsidR="00076DF4">
              <w:rPr>
                <w:rFonts w:ascii="Arial" w:hAnsi="Arial" w:cs="Arial"/>
                <w:b/>
                <w:bCs/>
                <w:color w:val="000000"/>
                <w:sz w:val="16"/>
                <w:szCs w:val="16"/>
              </w:rPr>
              <w:t>27</w:t>
            </w:r>
            <w:r w:rsidR="00E20EB9">
              <w:rPr>
                <w:rFonts w:ascii="Arial" w:hAnsi="Arial" w:cs="Arial"/>
                <w:b/>
                <w:bCs/>
                <w:color w:val="000000"/>
                <w:sz w:val="16"/>
                <w:szCs w:val="16"/>
              </w:rPr>
              <w:t>.</w:t>
            </w:r>
            <w:r w:rsidR="00076DF4">
              <w:rPr>
                <w:rFonts w:ascii="Arial" w:hAnsi="Arial" w:cs="Arial"/>
                <w:b/>
                <w:bCs/>
                <w:color w:val="000000"/>
                <w:sz w:val="16"/>
                <w:szCs w:val="16"/>
              </w:rPr>
              <w:t>098</w:t>
            </w:r>
          </w:p>
        </w:tc>
        <w:tc>
          <w:tcPr>
            <w:tcW w:w="1041" w:type="dxa"/>
            <w:tcBorders>
              <w:top w:val="single" w:sz="4" w:space="0" w:color="auto"/>
              <w:left w:val="nil"/>
              <w:bottom w:val="single" w:sz="4" w:space="0" w:color="auto"/>
              <w:right w:val="nil"/>
            </w:tcBorders>
            <w:shd w:val="clear" w:color="auto" w:fill="auto"/>
            <w:noWrap/>
            <w:vAlign w:val="center"/>
          </w:tcPr>
          <w:p w14:paraId="0319A4C2" w14:textId="07E3E390" w:rsidR="00277685" w:rsidRPr="00277685" w:rsidRDefault="00277685" w:rsidP="00277685">
            <w:pPr>
              <w:jc w:val="right"/>
              <w:rPr>
                <w:rFonts w:ascii="Arial" w:hAnsi="Arial" w:cs="Arial"/>
                <w:b/>
                <w:bCs/>
                <w:sz w:val="16"/>
                <w:szCs w:val="16"/>
                <w:lang w:eastAsia="es-AR"/>
              </w:rPr>
            </w:pPr>
            <w:r w:rsidRPr="00277685">
              <w:rPr>
                <w:rFonts w:ascii="Arial" w:hAnsi="Arial" w:cs="Arial"/>
                <w:b/>
                <w:sz w:val="16"/>
                <w:szCs w:val="16"/>
              </w:rPr>
              <w:t>1.675.282</w:t>
            </w:r>
          </w:p>
        </w:tc>
      </w:tr>
    </w:tbl>
    <w:p w14:paraId="0D926507" w14:textId="77777777" w:rsidR="00875C00" w:rsidRPr="00C7765D" w:rsidRDefault="00875C00"/>
    <w:p w14:paraId="5F17AA7A" w14:textId="5ADDE476" w:rsidR="00875C00" w:rsidRPr="00C7765D" w:rsidRDefault="00875C00">
      <w:r w:rsidRPr="00C7765D">
        <w:br w:type="page"/>
      </w:r>
    </w:p>
    <w:p w14:paraId="35BF4760" w14:textId="77777777" w:rsidR="00875C00" w:rsidRPr="00C7765D" w:rsidRDefault="00875C00"/>
    <w:tbl>
      <w:tblPr>
        <w:tblW w:w="11180" w:type="dxa"/>
        <w:jc w:val="center"/>
        <w:tblCellMar>
          <w:left w:w="70" w:type="dxa"/>
          <w:right w:w="70" w:type="dxa"/>
        </w:tblCellMar>
        <w:tblLook w:val="04A0" w:firstRow="1" w:lastRow="0" w:firstColumn="1" w:lastColumn="0" w:noHBand="0" w:noVBand="1"/>
      </w:tblPr>
      <w:tblGrid>
        <w:gridCol w:w="1380"/>
        <w:gridCol w:w="3160"/>
        <w:gridCol w:w="1260"/>
        <w:gridCol w:w="1380"/>
        <w:gridCol w:w="1380"/>
        <w:gridCol w:w="1380"/>
        <w:gridCol w:w="1240"/>
      </w:tblGrid>
      <w:tr w:rsidR="00875C00" w:rsidRPr="00875C00" w14:paraId="28E1FA88" w14:textId="77777777" w:rsidTr="00875C00">
        <w:trPr>
          <w:trHeight w:val="450"/>
          <w:jc w:val="center"/>
        </w:trPr>
        <w:tc>
          <w:tcPr>
            <w:tcW w:w="138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6469B785" w14:textId="77777777" w:rsidR="00875C00" w:rsidRPr="00875C00" w:rsidRDefault="00875C00" w:rsidP="00875C00">
            <w:pPr>
              <w:jc w:val="center"/>
              <w:rPr>
                <w:rFonts w:ascii="Arial" w:hAnsi="Arial" w:cs="Arial"/>
                <w:b/>
                <w:bCs/>
                <w:sz w:val="18"/>
                <w:szCs w:val="18"/>
                <w:lang w:eastAsia="es-AR"/>
              </w:rPr>
            </w:pPr>
            <w:r w:rsidRPr="00875C00">
              <w:rPr>
                <w:rFonts w:ascii="Arial" w:hAnsi="Arial" w:cs="Arial"/>
                <w:b/>
                <w:bCs/>
                <w:sz w:val="18"/>
                <w:szCs w:val="18"/>
                <w:lang w:eastAsia="es-AR"/>
              </w:rPr>
              <w:t>Detalle de Clases</w:t>
            </w:r>
          </w:p>
        </w:tc>
        <w:tc>
          <w:tcPr>
            <w:tcW w:w="316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46B259EF" w14:textId="77777777" w:rsidR="00875C00" w:rsidRPr="00875C00" w:rsidRDefault="00875C00" w:rsidP="00875C00">
            <w:pPr>
              <w:jc w:val="center"/>
              <w:rPr>
                <w:rFonts w:ascii="Arial" w:hAnsi="Arial" w:cs="Arial"/>
                <w:b/>
                <w:bCs/>
                <w:sz w:val="18"/>
                <w:szCs w:val="18"/>
                <w:lang w:eastAsia="es-AR"/>
              </w:rPr>
            </w:pPr>
            <w:r w:rsidRPr="00875C00">
              <w:rPr>
                <w:rFonts w:ascii="Arial" w:hAnsi="Arial" w:cs="Arial"/>
                <w:b/>
                <w:bCs/>
                <w:sz w:val="18"/>
                <w:szCs w:val="18"/>
                <w:lang w:eastAsia="es-AR"/>
              </w:rPr>
              <w:t>Tasador</w:t>
            </w:r>
          </w:p>
        </w:tc>
        <w:tc>
          <w:tcPr>
            <w:tcW w:w="126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4330FFE3" w14:textId="77777777" w:rsidR="00875C00" w:rsidRPr="00875C00" w:rsidRDefault="00875C00" w:rsidP="00875C00">
            <w:pPr>
              <w:jc w:val="center"/>
              <w:rPr>
                <w:rFonts w:ascii="Arial" w:hAnsi="Arial" w:cs="Arial"/>
                <w:b/>
                <w:bCs/>
                <w:sz w:val="18"/>
                <w:szCs w:val="18"/>
                <w:lang w:eastAsia="es-AR"/>
              </w:rPr>
            </w:pPr>
            <w:r w:rsidRPr="00875C00">
              <w:rPr>
                <w:rFonts w:ascii="Arial" w:hAnsi="Arial" w:cs="Arial"/>
                <w:b/>
                <w:bCs/>
                <w:sz w:val="18"/>
                <w:szCs w:val="18"/>
                <w:lang w:eastAsia="es-AR"/>
              </w:rPr>
              <w:t>Fecha de Revaluación</w:t>
            </w:r>
          </w:p>
        </w:tc>
        <w:tc>
          <w:tcPr>
            <w:tcW w:w="4140" w:type="dxa"/>
            <w:gridSpan w:val="3"/>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vAlign w:val="center"/>
            <w:hideMark/>
          </w:tcPr>
          <w:p w14:paraId="49D58E0B" w14:textId="77777777" w:rsidR="00875C00" w:rsidRPr="00875C00" w:rsidRDefault="00875C00" w:rsidP="00875C00">
            <w:pPr>
              <w:jc w:val="center"/>
              <w:rPr>
                <w:rFonts w:ascii="Arial" w:hAnsi="Arial" w:cs="Arial"/>
                <w:b/>
                <w:bCs/>
                <w:sz w:val="18"/>
                <w:szCs w:val="18"/>
                <w:lang w:eastAsia="es-AR"/>
              </w:rPr>
            </w:pPr>
            <w:r w:rsidRPr="00875C00">
              <w:rPr>
                <w:rFonts w:ascii="Arial" w:hAnsi="Arial" w:cs="Arial"/>
                <w:b/>
                <w:bCs/>
                <w:sz w:val="18"/>
                <w:szCs w:val="18"/>
                <w:lang w:eastAsia="es-AR"/>
              </w:rPr>
              <w:t>Ajuste por Revaluación - ORI acumulado</w:t>
            </w:r>
          </w:p>
        </w:tc>
        <w:tc>
          <w:tcPr>
            <w:tcW w:w="124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hideMark/>
          </w:tcPr>
          <w:p w14:paraId="20B70906" w14:textId="77777777" w:rsidR="00875C00" w:rsidRPr="00875C00" w:rsidRDefault="00875C00" w:rsidP="00875C00">
            <w:pPr>
              <w:jc w:val="center"/>
              <w:rPr>
                <w:rFonts w:ascii="Arial" w:hAnsi="Arial" w:cs="Arial"/>
                <w:b/>
                <w:bCs/>
                <w:sz w:val="18"/>
                <w:szCs w:val="18"/>
                <w:lang w:eastAsia="es-AR"/>
              </w:rPr>
            </w:pPr>
            <w:r w:rsidRPr="00875C00">
              <w:rPr>
                <w:rFonts w:ascii="Arial" w:hAnsi="Arial" w:cs="Arial"/>
                <w:b/>
                <w:bCs/>
                <w:sz w:val="18"/>
                <w:szCs w:val="18"/>
                <w:lang w:eastAsia="es-AR"/>
              </w:rPr>
              <w:t>Importe en libros s/ Modelo de costo</w:t>
            </w:r>
          </w:p>
        </w:tc>
      </w:tr>
      <w:tr w:rsidR="00875C00" w:rsidRPr="00875C00" w14:paraId="3489D381" w14:textId="77777777" w:rsidTr="00875C00">
        <w:trPr>
          <w:trHeight w:val="615"/>
          <w:jc w:val="center"/>
        </w:trPr>
        <w:tc>
          <w:tcPr>
            <w:tcW w:w="1380" w:type="dxa"/>
            <w:vMerge/>
            <w:tcBorders>
              <w:top w:val="single" w:sz="4" w:space="0" w:color="363639"/>
              <w:left w:val="single" w:sz="4" w:space="0" w:color="363639"/>
              <w:bottom w:val="single" w:sz="4" w:space="0" w:color="363639"/>
              <w:right w:val="single" w:sz="4" w:space="0" w:color="363639"/>
            </w:tcBorders>
            <w:vAlign w:val="center"/>
            <w:hideMark/>
          </w:tcPr>
          <w:p w14:paraId="0054F499" w14:textId="77777777" w:rsidR="00875C00" w:rsidRPr="00875C00" w:rsidRDefault="00875C00" w:rsidP="00875C00">
            <w:pPr>
              <w:rPr>
                <w:rFonts w:ascii="Arial" w:hAnsi="Arial" w:cs="Arial"/>
                <w:b/>
                <w:bCs/>
                <w:sz w:val="18"/>
                <w:szCs w:val="18"/>
                <w:lang w:eastAsia="es-AR"/>
              </w:rPr>
            </w:pPr>
          </w:p>
        </w:tc>
        <w:tc>
          <w:tcPr>
            <w:tcW w:w="3160" w:type="dxa"/>
            <w:vMerge/>
            <w:tcBorders>
              <w:top w:val="single" w:sz="4" w:space="0" w:color="363639"/>
              <w:left w:val="single" w:sz="4" w:space="0" w:color="363639"/>
              <w:bottom w:val="single" w:sz="4" w:space="0" w:color="363639"/>
              <w:right w:val="single" w:sz="4" w:space="0" w:color="363639"/>
            </w:tcBorders>
            <w:vAlign w:val="center"/>
            <w:hideMark/>
          </w:tcPr>
          <w:p w14:paraId="5638461B" w14:textId="77777777" w:rsidR="00875C00" w:rsidRPr="00875C00" w:rsidRDefault="00875C00" w:rsidP="00875C00">
            <w:pPr>
              <w:rPr>
                <w:rFonts w:ascii="Arial" w:hAnsi="Arial" w:cs="Arial"/>
                <w:b/>
                <w:bCs/>
                <w:sz w:val="18"/>
                <w:szCs w:val="18"/>
                <w:lang w:eastAsia="es-AR"/>
              </w:rPr>
            </w:pPr>
          </w:p>
        </w:tc>
        <w:tc>
          <w:tcPr>
            <w:tcW w:w="1260" w:type="dxa"/>
            <w:vMerge/>
            <w:tcBorders>
              <w:top w:val="single" w:sz="4" w:space="0" w:color="363639"/>
              <w:left w:val="single" w:sz="4" w:space="0" w:color="363639"/>
              <w:bottom w:val="single" w:sz="4" w:space="0" w:color="363639"/>
              <w:right w:val="single" w:sz="4" w:space="0" w:color="363639"/>
            </w:tcBorders>
            <w:vAlign w:val="center"/>
            <w:hideMark/>
          </w:tcPr>
          <w:p w14:paraId="47E66050" w14:textId="77777777" w:rsidR="00875C00" w:rsidRPr="00875C00" w:rsidRDefault="00875C00" w:rsidP="00875C00">
            <w:pPr>
              <w:rPr>
                <w:rFonts w:ascii="Arial" w:hAnsi="Arial" w:cs="Arial"/>
                <w:b/>
                <w:bCs/>
                <w:sz w:val="18"/>
                <w:szCs w:val="18"/>
                <w:lang w:eastAsia="es-AR"/>
              </w:rPr>
            </w:pPr>
          </w:p>
        </w:tc>
        <w:tc>
          <w:tcPr>
            <w:tcW w:w="1380" w:type="dxa"/>
            <w:tcBorders>
              <w:top w:val="nil"/>
              <w:left w:val="nil"/>
              <w:bottom w:val="single" w:sz="4" w:space="0" w:color="363639"/>
              <w:right w:val="single" w:sz="4" w:space="0" w:color="363639"/>
            </w:tcBorders>
            <w:shd w:val="clear" w:color="auto" w:fill="BFBFBF" w:themeFill="background1" w:themeFillShade="BF"/>
            <w:hideMark/>
          </w:tcPr>
          <w:p w14:paraId="6C09B181" w14:textId="77777777" w:rsidR="00875C00" w:rsidRPr="00875C00" w:rsidRDefault="00875C00" w:rsidP="00875C00">
            <w:pPr>
              <w:jc w:val="center"/>
              <w:rPr>
                <w:rFonts w:ascii="Arial" w:hAnsi="Arial" w:cs="Arial"/>
                <w:b/>
                <w:bCs/>
                <w:sz w:val="18"/>
                <w:szCs w:val="18"/>
                <w:lang w:eastAsia="es-AR"/>
              </w:rPr>
            </w:pPr>
            <w:r w:rsidRPr="00875C00">
              <w:rPr>
                <w:rFonts w:ascii="Arial" w:hAnsi="Arial" w:cs="Arial"/>
                <w:b/>
                <w:bCs/>
                <w:sz w:val="18"/>
                <w:szCs w:val="18"/>
                <w:lang w:eastAsia="es-AR"/>
              </w:rPr>
              <w:t>Saldo al inicio del ejercicio</w:t>
            </w:r>
          </w:p>
        </w:tc>
        <w:tc>
          <w:tcPr>
            <w:tcW w:w="1380" w:type="dxa"/>
            <w:tcBorders>
              <w:top w:val="nil"/>
              <w:left w:val="nil"/>
              <w:bottom w:val="single" w:sz="4" w:space="0" w:color="363639"/>
              <w:right w:val="single" w:sz="4" w:space="0" w:color="363639"/>
            </w:tcBorders>
            <w:shd w:val="clear" w:color="auto" w:fill="BFBFBF" w:themeFill="background1" w:themeFillShade="BF"/>
            <w:hideMark/>
          </w:tcPr>
          <w:p w14:paraId="4AEB96E7" w14:textId="77777777" w:rsidR="00875C00" w:rsidRPr="00875C00" w:rsidRDefault="00875C00" w:rsidP="00875C00">
            <w:pPr>
              <w:jc w:val="center"/>
              <w:rPr>
                <w:rFonts w:ascii="Arial" w:hAnsi="Arial" w:cs="Arial"/>
                <w:b/>
                <w:bCs/>
                <w:sz w:val="18"/>
                <w:szCs w:val="18"/>
                <w:lang w:eastAsia="es-AR"/>
              </w:rPr>
            </w:pPr>
            <w:r w:rsidRPr="00875C00">
              <w:rPr>
                <w:rFonts w:ascii="Arial" w:hAnsi="Arial" w:cs="Arial"/>
                <w:b/>
                <w:bCs/>
                <w:sz w:val="18"/>
                <w:szCs w:val="18"/>
                <w:lang w:eastAsia="es-AR"/>
              </w:rPr>
              <w:t>Cambio del ejercicio</w:t>
            </w:r>
          </w:p>
        </w:tc>
        <w:tc>
          <w:tcPr>
            <w:tcW w:w="1380" w:type="dxa"/>
            <w:tcBorders>
              <w:top w:val="nil"/>
              <w:left w:val="nil"/>
              <w:bottom w:val="single" w:sz="4" w:space="0" w:color="363639"/>
              <w:right w:val="single" w:sz="4" w:space="0" w:color="363639"/>
            </w:tcBorders>
            <w:shd w:val="clear" w:color="auto" w:fill="BFBFBF" w:themeFill="background1" w:themeFillShade="BF"/>
            <w:hideMark/>
          </w:tcPr>
          <w:p w14:paraId="4B08EB44" w14:textId="77777777" w:rsidR="00875C00" w:rsidRPr="00875C00" w:rsidRDefault="00875C00" w:rsidP="00875C00">
            <w:pPr>
              <w:jc w:val="center"/>
              <w:rPr>
                <w:rFonts w:ascii="Arial" w:hAnsi="Arial" w:cs="Arial"/>
                <w:b/>
                <w:bCs/>
                <w:sz w:val="18"/>
                <w:szCs w:val="18"/>
                <w:lang w:eastAsia="es-AR"/>
              </w:rPr>
            </w:pPr>
            <w:r w:rsidRPr="00875C00">
              <w:rPr>
                <w:rFonts w:ascii="Arial" w:hAnsi="Arial" w:cs="Arial"/>
                <w:b/>
                <w:bCs/>
                <w:sz w:val="18"/>
                <w:szCs w:val="18"/>
                <w:lang w:eastAsia="es-AR"/>
              </w:rPr>
              <w:t>Saldo al cierre del ejercicio</w:t>
            </w:r>
          </w:p>
        </w:tc>
        <w:tc>
          <w:tcPr>
            <w:tcW w:w="1240" w:type="dxa"/>
            <w:vMerge/>
            <w:tcBorders>
              <w:top w:val="single" w:sz="4" w:space="0" w:color="363639"/>
              <w:left w:val="single" w:sz="4" w:space="0" w:color="363639"/>
              <w:bottom w:val="single" w:sz="4" w:space="0" w:color="363639"/>
              <w:right w:val="single" w:sz="4" w:space="0" w:color="363639"/>
            </w:tcBorders>
            <w:vAlign w:val="center"/>
            <w:hideMark/>
          </w:tcPr>
          <w:p w14:paraId="30367741" w14:textId="77777777" w:rsidR="00875C00" w:rsidRPr="00875C00" w:rsidRDefault="00875C00" w:rsidP="00875C00">
            <w:pPr>
              <w:rPr>
                <w:rFonts w:ascii="Arial" w:hAnsi="Arial" w:cs="Arial"/>
                <w:b/>
                <w:bCs/>
                <w:sz w:val="18"/>
                <w:szCs w:val="18"/>
                <w:lang w:eastAsia="es-AR"/>
              </w:rPr>
            </w:pPr>
          </w:p>
        </w:tc>
      </w:tr>
      <w:tr w:rsidR="00875C00" w:rsidRPr="00875C00" w14:paraId="4DB2908C" w14:textId="77777777" w:rsidTr="00875C00">
        <w:trPr>
          <w:trHeight w:val="259"/>
          <w:jc w:val="center"/>
        </w:trPr>
        <w:tc>
          <w:tcPr>
            <w:tcW w:w="1380" w:type="dxa"/>
            <w:tcBorders>
              <w:top w:val="nil"/>
              <w:left w:val="nil"/>
              <w:bottom w:val="nil"/>
              <w:right w:val="nil"/>
            </w:tcBorders>
            <w:shd w:val="clear" w:color="auto" w:fill="auto"/>
            <w:noWrap/>
            <w:hideMark/>
          </w:tcPr>
          <w:p w14:paraId="2683BC01" w14:textId="77777777" w:rsidR="00875C00" w:rsidRPr="00875C00" w:rsidRDefault="00875C00" w:rsidP="00875C00">
            <w:pPr>
              <w:jc w:val="center"/>
              <w:rPr>
                <w:rFonts w:ascii="Arial" w:hAnsi="Arial" w:cs="Arial"/>
                <w:b/>
                <w:bCs/>
                <w:sz w:val="18"/>
                <w:szCs w:val="18"/>
                <w:lang w:eastAsia="es-AR"/>
              </w:rPr>
            </w:pPr>
          </w:p>
        </w:tc>
        <w:tc>
          <w:tcPr>
            <w:tcW w:w="3160" w:type="dxa"/>
            <w:tcBorders>
              <w:top w:val="nil"/>
              <w:left w:val="nil"/>
              <w:bottom w:val="nil"/>
              <w:right w:val="nil"/>
            </w:tcBorders>
            <w:shd w:val="clear" w:color="auto" w:fill="auto"/>
            <w:noWrap/>
            <w:hideMark/>
          </w:tcPr>
          <w:p w14:paraId="26D0386C" w14:textId="77777777" w:rsidR="00875C00" w:rsidRPr="00875C00" w:rsidRDefault="00875C00" w:rsidP="00875C00">
            <w:pPr>
              <w:rPr>
                <w:sz w:val="20"/>
                <w:lang w:eastAsia="es-AR"/>
              </w:rPr>
            </w:pPr>
          </w:p>
        </w:tc>
        <w:tc>
          <w:tcPr>
            <w:tcW w:w="1260" w:type="dxa"/>
            <w:tcBorders>
              <w:top w:val="nil"/>
              <w:left w:val="nil"/>
              <w:bottom w:val="nil"/>
              <w:right w:val="nil"/>
            </w:tcBorders>
            <w:shd w:val="clear" w:color="auto" w:fill="auto"/>
            <w:noWrap/>
            <w:hideMark/>
          </w:tcPr>
          <w:p w14:paraId="1D115AB5" w14:textId="77777777" w:rsidR="00875C00" w:rsidRPr="00875C00" w:rsidRDefault="00875C00" w:rsidP="00875C00">
            <w:pPr>
              <w:jc w:val="center"/>
              <w:rPr>
                <w:sz w:val="20"/>
                <w:lang w:eastAsia="es-AR"/>
              </w:rPr>
            </w:pPr>
          </w:p>
        </w:tc>
        <w:tc>
          <w:tcPr>
            <w:tcW w:w="1380" w:type="dxa"/>
            <w:tcBorders>
              <w:top w:val="nil"/>
              <w:left w:val="nil"/>
              <w:bottom w:val="nil"/>
              <w:right w:val="nil"/>
            </w:tcBorders>
            <w:shd w:val="clear" w:color="auto" w:fill="auto"/>
            <w:noWrap/>
            <w:hideMark/>
          </w:tcPr>
          <w:p w14:paraId="3DD19291" w14:textId="77777777" w:rsidR="00875C00" w:rsidRPr="00875C00" w:rsidRDefault="00875C00" w:rsidP="00875C00">
            <w:pPr>
              <w:rPr>
                <w:sz w:val="20"/>
                <w:lang w:eastAsia="es-AR"/>
              </w:rPr>
            </w:pPr>
          </w:p>
        </w:tc>
        <w:tc>
          <w:tcPr>
            <w:tcW w:w="1380" w:type="dxa"/>
            <w:tcBorders>
              <w:top w:val="nil"/>
              <w:left w:val="nil"/>
              <w:bottom w:val="nil"/>
              <w:right w:val="nil"/>
            </w:tcBorders>
            <w:shd w:val="clear" w:color="auto" w:fill="auto"/>
            <w:noWrap/>
            <w:hideMark/>
          </w:tcPr>
          <w:p w14:paraId="2BF0A316" w14:textId="77777777" w:rsidR="00875C00" w:rsidRPr="00875C00" w:rsidRDefault="00875C00" w:rsidP="00875C00">
            <w:pPr>
              <w:rPr>
                <w:sz w:val="20"/>
                <w:lang w:eastAsia="es-AR"/>
              </w:rPr>
            </w:pPr>
          </w:p>
        </w:tc>
        <w:tc>
          <w:tcPr>
            <w:tcW w:w="1380" w:type="dxa"/>
            <w:tcBorders>
              <w:top w:val="nil"/>
              <w:left w:val="nil"/>
              <w:bottom w:val="nil"/>
              <w:right w:val="nil"/>
            </w:tcBorders>
            <w:shd w:val="clear" w:color="auto" w:fill="auto"/>
            <w:noWrap/>
            <w:hideMark/>
          </w:tcPr>
          <w:p w14:paraId="49AD57BC" w14:textId="77777777" w:rsidR="00875C00" w:rsidRPr="00875C00" w:rsidRDefault="00875C00" w:rsidP="00875C00">
            <w:pPr>
              <w:rPr>
                <w:sz w:val="20"/>
                <w:lang w:eastAsia="es-AR"/>
              </w:rPr>
            </w:pPr>
          </w:p>
        </w:tc>
        <w:tc>
          <w:tcPr>
            <w:tcW w:w="1240" w:type="dxa"/>
            <w:tcBorders>
              <w:top w:val="nil"/>
              <w:left w:val="nil"/>
              <w:bottom w:val="nil"/>
              <w:right w:val="nil"/>
            </w:tcBorders>
            <w:shd w:val="clear" w:color="auto" w:fill="auto"/>
            <w:noWrap/>
            <w:hideMark/>
          </w:tcPr>
          <w:p w14:paraId="1A0BB1D9" w14:textId="77777777" w:rsidR="00875C00" w:rsidRPr="00875C00" w:rsidRDefault="00875C00" w:rsidP="00875C00">
            <w:pPr>
              <w:rPr>
                <w:sz w:val="20"/>
                <w:lang w:eastAsia="es-AR"/>
              </w:rPr>
            </w:pPr>
          </w:p>
        </w:tc>
      </w:tr>
      <w:tr w:rsidR="00277685" w:rsidRPr="00875C00" w14:paraId="1BB3C8A8" w14:textId="77777777" w:rsidTr="00277685">
        <w:trPr>
          <w:trHeight w:val="259"/>
          <w:jc w:val="center"/>
        </w:trPr>
        <w:tc>
          <w:tcPr>
            <w:tcW w:w="1380" w:type="dxa"/>
            <w:tcBorders>
              <w:top w:val="nil"/>
              <w:left w:val="nil"/>
              <w:bottom w:val="nil"/>
              <w:right w:val="nil"/>
            </w:tcBorders>
            <w:shd w:val="clear" w:color="auto" w:fill="auto"/>
            <w:noWrap/>
            <w:hideMark/>
          </w:tcPr>
          <w:p w14:paraId="566025F9" w14:textId="77777777" w:rsidR="00277685" w:rsidRPr="00875C00" w:rsidRDefault="00277685" w:rsidP="00875C00">
            <w:pPr>
              <w:rPr>
                <w:sz w:val="20"/>
                <w:lang w:eastAsia="es-AR"/>
              </w:rPr>
            </w:pPr>
          </w:p>
        </w:tc>
        <w:tc>
          <w:tcPr>
            <w:tcW w:w="3160" w:type="dxa"/>
            <w:tcBorders>
              <w:top w:val="nil"/>
              <w:left w:val="nil"/>
              <w:bottom w:val="nil"/>
              <w:right w:val="nil"/>
            </w:tcBorders>
            <w:shd w:val="clear" w:color="auto" w:fill="auto"/>
            <w:noWrap/>
            <w:hideMark/>
          </w:tcPr>
          <w:p w14:paraId="419D9680" w14:textId="77777777" w:rsidR="00277685" w:rsidRPr="00875C00" w:rsidRDefault="00277685" w:rsidP="00875C00">
            <w:pPr>
              <w:jc w:val="center"/>
              <w:rPr>
                <w:rFonts w:ascii="Arial" w:hAnsi="Arial" w:cs="Arial"/>
                <w:sz w:val="18"/>
                <w:szCs w:val="18"/>
                <w:lang w:eastAsia="es-AR"/>
              </w:rPr>
            </w:pPr>
            <w:r w:rsidRPr="00875C00">
              <w:rPr>
                <w:rFonts w:ascii="Arial" w:hAnsi="Arial" w:cs="Arial"/>
                <w:sz w:val="18"/>
                <w:szCs w:val="18"/>
                <w:lang w:eastAsia="es-AR"/>
              </w:rPr>
              <w:t>Tribunal de Tasaciones de la Nación</w:t>
            </w:r>
          </w:p>
        </w:tc>
        <w:tc>
          <w:tcPr>
            <w:tcW w:w="1260" w:type="dxa"/>
            <w:vMerge w:val="restart"/>
            <w:tcBorders>
              <w:top w:val="nil"/>
              <w:left w:val="nil"/>
              <w:right w:val="nil"/>
            </w:tcBorders>
            <w:shd w:val="clear" w:color="auto" w:fill="auto"/>
            <w:noWrap/>
            <w:vAlign w:val="center"/>
            <w:hideMark/>
          </w:tcPr>
          <w:p w14:paraId="55A38C8F" w14:textId="64B4BD56" w:rsidR="00277685" w:rsidRPr="00875C00" w:rsidRDefault="00277685" w:rsidP="00277685">
            <w:pPr>
              <w:jc w:val="center"/>
              <w:rPr>
                <w:rFonts w:ascii="Arial" w:hAnsi="Arial" w:cs="Arial"/>
                <w:sz w:val="18"/>
                <w:szCs w:val="18"/>
                <w:lang w:eastAsia="es-AR"/>
              </w:rPr>
            </w:pPr>
            <w:r w:rsidRPr="00875C00">
              <w:rPr>
                <w:rFonts w:ascii="Arial" w:hAnsi="Arial" w:cs="Arial"/>
                <w:sz w:val="18"/>
                <w:szCs w:val="18"/>
                <w:lang w:eastAsia="es-AR"/>
              </w:rPr>
              <w:t>31/12/201</w:t>
            </w:r>
            <w:r>
              <w:rPr>
                <w:rFonts w:ascii="Arial" w:hAnsi="Arial" w:cs="Arial"/>
                <w:sz w:val="18"/>
                <w:szCs w:val="18"/>
                <w:lang w:eastAsia="es-AR"/>
              </w:rPr>
              <w:t>9</w:t>
            </w:r>
          </w:p>
        </w:tc>
        <w:tc>
          <w:tcPr>
            <w:tcW w:w="1380" w:type="dxa"/>
            <w:vMerge w:val="restart"/>
            <w:tcBorders>
              <w:top w:val="nil"/>
              <w:left w:val="nil"/>
              <w:right w:val="nil"/>
            </w:tcBorders>
            <w:shd w:val="clear" w:color="auto" w:fill="auto"/>
            <w:noWrap/>
            <w:vAlign w:val="center"/>
          </w:tcPr>
          <w:p w14:paraId="7E541E8A" w14:textId="31DD0095" w:rsidR="00277685" w:rsidRPr="00277685" w:rsidRDefault="00277685" w:rsidP="00277685">
            <w:pPr>
              <w:jc w:val="right"/>
              <w:rPr>
                <w:rFonts w:ascii="Arial" w:hAnsi="Arial" w:cs="Arial"/>
                <w:sz w:val="18"/>
                <w:szCs w:val="18"/>
                <w:lang w:eastAsia="es-AR"/>
              </w:rPr>
            </w:pPr>
            <w:r w:rsidRPr="00277685">
              <w:rPr>
                <w:rFonts w:ascii="Arial" w:hAnsi="Arial" w:cs="Arial"/>
                <w:sz w:val="18"/>
                <w:szCs w:val="18"/>
              </w:rPr>
              <w:t>756.736</w:t>
            </w:r>
          </w:p>
        </w:tc>
        <w:tc>
          <w:tcPr>
            <w:tcW w:w="1380" w:type="dxa"/>
            <w:vMerge w:val="restart"/>
            <w:tcBorders>
              <w:top w:val="nil"/>
              <w:left w:val="nil"/>
              <w:right w:val="nil"/>
            </w:tcBorders>
            <w:shd w:val="clear" w:color="auto" w:fill="auto"/>
            <w:noWrap/>
            <w:vAlign w:val="center"/>
          </w:tcPr>
          <w:p w14:paraId="7C24971B" w14:textId="139C7197" w:rsidR="00277685" w:rsidRPr="00277685" w:rsidRDefault="00277685" w:rsidP="00277685">
            <w:pPr>
              <w:jc w:val="right"/>
              <w:rPr>
                <w:rFonts w:ascii="Arial" w:hAnsi="Arial" w:cs="Arial"/>
                <w:sz w:val="18"/>
                <w:szCs w:val="18"/>
                <w:lang w:eastAsia="es-AR"/>
              </w:rPr>
            </w:pPr>
            <w:r w:rsidRPr="00277685">
              <w:rPr>
                <w:rFonts w:ascii="Arial" w:hAnsi="Arial" w:cs="Arial"/>
                <w:sz w:val="18"/>
                <w:szCs w:val="18"/>
              </w:rPr>
              <w:t>574.495</w:t>
            </w:r>
          </w:p>
        </w:tc>
        <w:tc>
          <w:tcPr>
            <w:tcW w:w="1380" w:type="dxa"/>
            <w:vMerge w:val="restart"/>
            <w:tcBorders>
              <w:top w:val="nil"/>
              <w:left w:val="nil"/>
              <w:right w:val="nil"/>
            </w:tcBorders>
            <w:shd w:val="clear" w:color="auto" w:fill="auto"/>
            <w:noWrap/>
            <w:vAlign w:val="center"/>
          </w:tcPr>
          <w:p w14:paraId="22C5D422" w14:textId="1B704BC9" w:rsidR="00277685" w:rsidRPr="00277685" w:rsidRDefault="00277685" w:rsidP="00277685">
            <w:pPr>
              <w:jc w:val="right"/>
              <w:rPr>
                <w:rFonts w:ascii="Arial" w:hAnsi="Arial" w:cs="Arial"/>
                <w:sz w:val="18"/>
                <w:szCs w:val="18"/>
                <w:lang w:eastAsia="es-AR"/>
              </w:rPr>
            </w:pPr>
            <w:r w:rsidRPr="00277685">
              <w:rPr>
                <w:rFonts w:ascii="Arial" w:hAnsi="Arial" w:cs="Arial"/>
                <w:sz w:val="18"/>
                <w:szCs w:val="18"/>
              </w:rPr>
              <w:t>1.331.231</w:t>
            </w:r>
          </w:p>
        </w:tc>
        <w:tc>
          <w:tcPr>
            <w:tcW w:w="1240" w:type="dxa"/>
            <w:vMerge w:val="restart"/>
            <w:tcBorders>
              <w:top w:val="nil"/>
              <w:left w:val="nil"/>
              <w:right w:val="nil"/>
            </w:tcBorders>
            <w:shd w:val="clear" w:color="auto" w:fill="auto"/>
            <w:noWrap/>
            <w:vAlign w:val="center"/>
          </w:tcPr>
          <w:p w14:paraId="1A67D06E" w14:textId="1B9C13FD" w:rsidR="00277685" w:rsidRPr="00277685" w:rsidRDefault="00277685" w:rsidP="00277685">
            <w:pPr>
              <w:jc w:val="right"/>
              <w:rPr>
                <w:rFonts w:ascii="Arial" w:hAnsi="Arial" w:cs="Arial"/>
                <w:sz w:val="18"/>
                <w:szCs w:val="18"/>
                <w:lang w:eastAsia="es-AR"/>
              </w:rPr>
            </w:pPr>
            <w:r w:rsidRPr="00277685">
              <w:rPr>
                <w:rFonts w:ascii="Arial" w:hAnsi="Arial" w:cs="Arial"/>
                <w:sz w:val="18"/>
                <w:szCs w:val="18"/>
              </w:rPr>
              <w:t>329.719</w:t>
            </w:r>
          </w:p>
        </w:tc>
      </w:tr>
      <w:tr w:rsidR="00277685" w:rsidRPr="00875C00" w14:paraId="5CC7B366" w14:textId="77777777" w:rsidTr="00277685">
        <w:trPr>
          <w:trHeight w:val="259"/>
          <w:jc w:val="center"/>
        </w:trPr>
        <w:tc>
          <w:tcPr>
            <w:tcW w:w="1380" w:type="dxa"/>
            <w:tcBorders>
              <w:top w:val="nil"/>
              <w:left w:val="nil"/>
              <w:bottom w:val="nil"/>
              <w:right w:val="nil"/>
            </w:tcBorders>
            <w:shd w:val="clear" w:color="auto" w:fill="auto"/>
            <w:noWrap/>
            <w:hideMark/>
          </w:tcPr>
          <w:p w14:paraId="5B258D73" w14:textId="77777777" w:rsidR="00277685" w:rsidRPr="00875C00" w:rsidRDefault="00277685" w:rsidP="00277685">
            <w:pPr>
              <w:rPr>
                <w:rFonts w:ascii="Arial" w:hAnsi="Arial" w:cs="Arial"/>
                <w:sz w:val="18"/>
                <w:szCs w:val="18"/>
                <w:lang w:eastAsia="es-AR"/>
              </w:rPr>
            </w:pPr>
            <w:r w:rsidRPr="00875C00">
              <w:rPr>
                <w:rFonts w:ascii="Arial" w:hAnsi="Arial" w:cs="Arial"/>
                <w:sz w:val="18"/>
                <w:szCs w:val="18"/>
                <w:lang w:eastAsia="es-AR"/>
              </w:rPr>
              <w:t>Inmuebles</w:t>
            </w:r>
          </w:p>
        </w:tc>
        <w:tc>
          <w:tcPr>
            <w:tcW w:w="3160" w:type="dxa"/>
            <w:tcBorders>
              <w:top w:val="nil"/>
              <w:left w:val="nil"/>
              <w:bottom w:val="nil"/>
              <w:right w:val="nil"/>
            </w:tcBorders>
            <w:shd w:val="clear" w:color="auto" w:fill="auto"/>
            <w:noWrap/>
            <w:hideMark/>
          </w:tcPr>
          <w:p w14:paraId="4AB06C5D" w14:textId="77777777" w:rsidR="00277685" w:rsidRPr="00875C00" w:rsidRDefault="00277685" w:rsidP="00277685">
            <w:pPr>
              <w:jc w:val="center"/>
              <w:rPr>
                <w:rFonts w:ascii="Arial" w:hAnsi="Arial" w:cs="Arial"/>
                <w:sz w:val="18"/>
                <w:szCs w:val="18"/>
                <w:lang w:eastAsia="es-AR"/>
              </w:rPr>
            </w:pPr>
            <w:r w:rsidRPr="00875C00">
              <w:rPr>
                <w:rFonts w:ascii="Arial" w:hAnsi="Arial" w:cs="Arial"/>
                <w:sz w:val="18"/>
                <w:szCs w:val="18"/>
                <w:lang w:eastAsia="es-AR"/>
              </w:rPr>
              <w:t>CM Ingeniería en Valuaciones</w:t>
            </w:r>
          </w:p>
        </w:tc>
        <w:tc>
          <w:tcPr>
            <w:tcW w:w="1260" w:type="dxa"/>
            <w:vMerge/>
            <w:tcBorders>
              <w:left w:val="nil"/>
              <w:right w:val="nil"/>
            </w:tcBorders>
            <w:shd w:val="clear" w:color="auto" w:fill="auto"/>
            <w:noWrap/>
            <w:hideMark/>
          </w:tcPr>
          <w:p w14:paraId="6D3A01BA" w14:textId="77777777" w:rsidR="00277685" w:rsidRPr="00875C00" w:rsidRDefault="00277685" w:rsidP="00277685">
            <w:pPr>
              <w:jc w:val="center"/>
              <w:rPr>
                <w:rFonts w:ascii="Arial" w:hAnsi="Arial" w:cs="Arial"/>
                <w:sz w:val="18"/>
                <w:szCs w:val="18"/>
                <w:lang w:eastAsia="es-AR"/>
              </w:rPr>
            </w:pPr>
          </w:p>
        </w:tc>
        <w:tc>
          <w:tcPr>
            <w:tcW w:w="1380" w:type="dxa"/>
            <w:vMerge/>
            <w:tcBorders>
              <w:left w:val="nil"/>
              <w:right w:val="nil"/>
            </w:tcBorders>
            <w:shd w:val="clear" w:color="auto" w:fill="auto"/>
            <w:noWrap/>
            <w:vAlign w:val="center"/>
          </w:tcPr>
          <w:p w14:paraId="65612385" w14:textId="37C59474" w:rsidR="00277685" w:rsidRPr="00277685" w:rsidRDefault="00277685" w:rsidP="00277685">
            <w:pPr>
              <w:jc w:val="right"/>
              <w:rPr>
                <w:sz w:val="18"/>
                <w:szCs w:val="18"/>
                <w:lang w:eastAsia="es-AR"/>
              </w:rPr>
            </w:pPr>
          </w:p>
        </w:tc>
        <w:tc>
          <w:tcPr>
            <w:tcW w:w="1380" w:type="dxa"/>
            <w:vMerge/>
            <w:tcBorders>
              <w:left w:val="nil"/>
              <w:right w:val="nil"/>
            </w:tcBorders>
            <w:shd w:val="clear" w:color="auto" w:fill="auto"/>
            <w:noWrap/>
            <w:vAlign w:val="center"/>
          </w:tcPr>
          <w:p w14:paraId="5A9C9555" w14:textId="1A9CFCD7" w:rsidR="00277685" w:rsidRPr="00277685" w:rsidRDefault="00277685" w:rsidP="00277685">
            <w:pPr>
              <w:jc w:val="right"/>
              <w:rPr>
                <w:sz w:val="18"/>
                <w:szCs w:val="18"/>
                <w:lang w:eastAsia="es-AR"/>
              </w:rPr>
            </w:pPr>
          </w:p>
        </w:tc>
        <w:tc>
          <w:tcPr>
            <w:tcW w:w="1380" w:type="dxa"/>
            <w:vMerge/>
            <w:tcBorders>
              <w:left w:val="nil"/>
              <w:right w:val="nil"/>
            </w:tcBorders>
            <w:shd w:val="clear" w:color="auto" w:fill="auto"/>
            <w:noWrap/>
            <w:vAlign w:val="center"/>
          </w:tcPr>
          <w:p w14:paraId="4419CCEC" w14:textId="697A7F3E" w:rsidR="00277685" w:rsidRPr="00277685" w:rsidRDefault="00277685" w:rsidP="00277685">
            <w:pPr>
              <w:jc w:val="right"/>
              <w:rPr>
                <w:sz w:val="18"/>
                <w:szCs w:val="18"/>
                <w:lang w:eastAsia="es-AR"/>
              </w:rPr>
            </w:pPr>
          </w:p>
        </w:tc>
        <w:tc>
          <w:tcPr>
            <w:tcW w:w="1240" w:type="dxa"/>
            <w:vMerge/>
            <w:tcBorders>
              <w:left w:val="nil"/>
              <w:right w:val="nil"/>
            </w:tcBorders>
            <w:shd w:val="clear" w:color="auto" w:fill="auto"/>
            <w:noWrap/>
            <w:vAlign w:val="center"/>
          </w:tcPr>
          <w:p w14:paraId="2CD75AEB" w14:textId="20489580" w:rsidR="00277685" w:rsidRPr="00277685" w:rsidRDefault="00277685" w:rsidP="00277685">
            <w:pPr>
              <w:jc w:val="right"/>
              <w:rPr>
                <w:sz w:val="18"/>
                <w:szCs w:val="18"/>
                <w:lang w:eastAsia="es-AR"/>
              </w:rPr>
            </w:pPr>
          </w:p>
        </w:tc>
      </w:tr>
      <w:tr w:rsidR="00277685" w:rsidRPr="00875C00" w14:paraId="42505F81" w14:textId="77777777" w:rsidTr="00277685">
        <w:trPr>
          <w:trHeight w:val="259"/>
          <w:jc w:val="center"/>
        </w:trPr>
        <w:tc>
          <w:tcPr>
            <w:tcW w:w="1380" w:type="dxa"/>
            <w:tcBorders>
              <w:top w:val="nil"/>
              <w:left w:val="nil"/>
              <w:bottom w:val="nil"/>
              <w:right w:val="nil"/>
            </w:tcBorders>
            <w:shd w:val="clear" w:color="auto" w:fill="auto"/>
            <w:noWrap/>
            <w:hideMark/>
          </w:tcPr>
          <w:p w14:paraId="743A3B93" w14:textId="77777777" w:rsidR="00277685" w:rsidRPr="00875C00" w:rsidRDefault="00277685" w:rsidP="00875C00">
            <w:pPr>
              <w:rPr>
                <w:sz w:val="20"/>
                <w:lang w:eastAsia="es-AR"/>
              </w:rPr>
            </w:pPr>
          </w:p>
        </w:tc>
        <w:tc>
          <w:tcPr>
            <w:tcW w:w="3160" w:type="dxa"/>
            <w:tcBorders>
              <w:top w:val="nil"/>
              <w:left w:val="nil"/>
              <w:bottom w:val="nil"/>
              <w:right w:val="nil"/>
            </w:tcBorders>
            <w:shd w:val="clear" w:color="auto" w:fill="auto"/>
            <w:noWrap/>
            <w:hideMark/>
          </w:tcPr>
          <w:p w14:paraId="790C6957" w14:textId="77777777" w:rsidR="00277685" w:rsidRPr="00875C00" w:rsidRDefault="00277685" w:rsidP="00875C00">
            <w:pPr>
              <w:jc w:val="center"/>
              <w:rPr>
                <w:rFonts w:ascii="Arial" w:hAnsi="Arial" w:cs="Arial"/>
                <w:sz w:val="18"/>
                <w:szCs w:val="18"/>
                <w:lang w:eastAsia="es-AR"/>
              </w:rPr>
            </w:pPr>
            <w:r w:rsidRPr="00875C00">
              <w:rPr>
                <w:rFonts w:ascii="Arial" w:hAnsi="Arial" w:cs="Arial"/>
                <w:sz w:val="18"/>
                <w:szCs w:val="18"/>
                <w:lang w:eastAsia="es-AR"/>
              </w:rPr>
              <w:t>Serinco</w:t>
            </w:r>
          </w:p>
        </w:tc>
        <w:tc>
          <w:tcPr>
            <w:tcW w:w="1260" w:type="dxa"/>
            <w:vMerge/>
            <w:tcBorders>
              <w:left w:val="nil"/>
              <w:right w:val="nil"/>
            </w:tcBorders>
            <w:shd w:val="clear" w:color="auto" w:fill="auto"/>
            <w:noWrap/>
            <w:hideMark/>
          </w:tcPr>
          <w:p w14:paraId="6C322105" w14:textId="77777777" w:rsidR="00277685" w:rsidRPr="00875C00" w:rsidRDefault="00277685" w:rsidP="00875C00">
            <w:pPr>
              <w:jc w:val="center"/>
              <w:rPr>
                <w:rFonts w:ascii="Arial" w:hAnsi="Arial" w:cs="Arial"/>
                <w:sz w:val="18"/>
                <w:szCs w:val="18"/>
                <w:lang w:eastAsia="es-AR"/>
              </w:rPr>
            </w:pPr>
          </w:p>
        </w:tc>
        <w:tc>
          <w:tcPr>
            <w:tcW w:w="1380" w:type="dxa"/>
            <w:vMerge/>
            <w:tcBorders>
              <w:left w:val="nil"/>
              <w:right w:val="nil"/>
            </w:tcBorders>
            <w:shd w:val="clear" w:color="auto" w:fill="auto"/>
            <w:noWrap/>
            <w:vAlign w:val="center"/>
          </w:tcPr>
          <w:p w14:paraId="5A29A4BE" w14:textId="77777777" w:rsidR="00277685" w:rsidRPr="00277685" w:rsidRDefault="00277685" w:rsidP="00277685">
            <w:pPr>
              <w:jc w:val="right"/>
              <w:rPr>
                <w:sz w:val="18"/>
                <w:szCs w:val="18"/>
                <w:lang w:eastAsia="es-AR"/>
              </w:rPr>
            </w:pPr>
          </w:p>
        </w:tc>
        <w:tc>
          <w:tcPr>
            <w:tcW w:w="1380" w:type="dxa"/>
            <w:vMerge/>
            <w:tcBorders>
              <w:left w:val="nil"/>
              <w:right w:val="nil"/>
            </w:tcBorders>
            <w:shd w:val="clear" w:color="auto" w:fill="auto"/>
            <w:noWrap/>
            <w:vAlign w:val="center"/>
          </w:tcPr>
          <w:p w14:paraId="0AA1E478" w14:textId="77777777" w:rsidR="00277685" w:rsidRPr="00277685" w:rsidRDefault="00277685" w:rsidP="00277685">
            <w:pPr>
              <w:jc w:val="right"/>
              <w:rPr>
                <w:sz w:val="18"/>
                <w:szCs w:val="18"/>
                <w:lang w:eastAsia="es-AR"/>
              </w:rPr>
            </w:pPr>
          </w:p>
        </w:tc>
        <w:tc>
          <w:tcPr>
            <w:tcW w:w="1380" w:type="dxa"/>
            <w:vMerge/>
            <w:tcBorders>
              <w:left w:val="nil"/>
              <w:right w:val="nil"/>
            </w:tcBorders>
            <w:shd w:val="clear" w:color="auto" w:fill="auto"/>
            <w:noWrap/>
            <w:vAlign w:val="center"/>
          </w:tcPr>
          <w:p w14:paraId="7FC68218" w14:textId="77777777" w:rsidR="00277685" w:rsidRPr="00277685" w:rsidRDefault="00277685" w:rsidP="00277685">
            <w:pPr>
              <w:jc w:val="right"/>
              <w:rPr>
                <w:sz w:val="18"/>
                <w:szCs w:val="18"/>
                <w:lang w:eastAsia="es-AR"/>
              </w:rPr>
            </w:pPr>
          </w:p>
        </w:tc>
        <w:tc>
          <w:tcPr>
            <w:tcW w:w="1240" w:type="dxa"/>
            <w:vMerge/>
            <w:tcBorders>
              <w:left w:val="nil"/>
              <w:right w:val="nil"/>
            </w:tcBorders>
            <w:shd w:val="clear" w:color="auto" w:fill="auto"/>
            <w:noWrap/>
            <w:vAlign w:val="center"/>
          </w:tcPr>
          <w:p w14:paraId="7D79BCE4" w14:textId="77777777" w:rsidR="00277685" w:rsidRPr="00277685" w:rsidRDefault="00277685" w:rsidP="00277685">
            <w:pPr>
              <w:jc w:val="right"/>
              <w:rPr>
                <w:sz w:val="18"/>
                <w:szCs w:val="18"/>
                <w:lang w:eastAsia="es-AR"/>
              </w:rPr>
            </w:pPr>
          </w:p>
        </w:tc>
      </w:tr>
      <w:tr w:rsidR="00277685" w:rsidRPr="00875C00" w14:paraId="49FA47DD" w14:textId="77777777" w:rsidTr="00277685">
        <w:trPr>
          <w:trHeight w:val="342"/>
          <w:jc w:val="center"/>
        </w:trPr>
        <w:tc>
          <w:tcPr>
            <w:tcW w:w="1380" w:type="dxa"/>
            <w:tcBorders>
              <w:top w:val="nil"/>
              <w:left w:val="nil"/>
              <w:bottom w:val="nil"/>
              <w:right w:val="nil"/>
            </w:tcBorders>
            <w:shd w:val="clear" w:color="auto" w:fill="auto"/>
            <w:noWrap/>
            <w:hideMark/>
          </w:tcPr>
          <w:p w14:paraId="206CA843" w14:textId="77777777" w:rsidR="00277685" w:rsidRPr="00875C00" w:rsidRDefault="00277685" w:rsidP="00875C00">
            <w:pPr>
              <w:rPr>
                <w:sz w:val="20"/>
                <w:lang w:eastAsia="es-AR"/>
              </w:rPr>
            </w:pPr>
          </w:p>
        </w:tc>
        <w:tc>
          <w:tcPr>
            <w:tcW w:w="3160" w:type="dxa"/>
            <w:tcBorders>
              <w:top w:val="nil"/>
              <w:left w:val="nil"/>
              <w:bottom w:val="nil"/>
              <w:right w:val="nil"/>
            </w:tcBorders>
            <w:shd w:val="clear" w:color="auto" w:fill="auto"/>
            <w:noWrap/>
            <w:hideMark/>
          </w:tcPr>
          <w:p w14:paraId="037FE85D" w14:textId="77777777" w:rsidR="00277685" w:rsidRPr="00875C00" w:rsidRDefault="00277685" w:rsidP="00875C00">
            <w:pPr>
              <w:jc w:val="center"/>
              <w:rPr>
                <w:rFonts w:ascii="Arial" w:hAnsi="Arial" w:cs="Arial"/>
                <w:sz w:val="18"/>
                <w:szCs w:val="18"/>
                <w:lang w:eastAsia="es-AR"/>
              </w:rPr>
            </w:pPr>
            <w:r w:rsidRPr="00875C00">
              <w:rPr>
                <w:rFonts w:ascii="Arial" w:hAnsi="Arial" w:cs="Arial"/>
                <w:sz w:val="18"/>
                <w:szCs w:val="18"/>
                <w:lang w:eastAsia="es-AR"/>
              </w:rPr>
              <w:t>Reporte Inmobiliario</w:t>
            </w:r>
          </w:p>
        </w:tc>
        <w:tc>
          <w:tcPr>
            <w:tcW w:w="1260" w:type="dxa"/>
            <w:vMerge/>
            <w:tcBorders>
              <w:left w:val="nil"/>
              <w:bottom w:val="nil"/>
              <w:right w:val="nil"/>
            </w:tcBorders>
            <w:shd w:val="clear" w:color="auto" w:fill="auto"/>
            <w:noWrap/>
            <w:hideMark/>
          </w:tcPr>
          <w:p w14:paraId="5D01D8FA" w14:textId="77777777" w:rsidR="00277685" w:rsidRPr="00875C00" w:rsidRDefault="00277685" w:rsidP="00875C00">
            <w:pPr>
              <w:jc w:val="center"/>
              <w:rPr>
                <w:rFonts w:ascii="Arial" w:hAnsi="Arial" w:cs="Arial"/>
                <w:sz w:val="18"/>
                <w:szCs w:val="18"/>
                <w:lang w:eastAsia="es-AR"/>
              </w:rPr>
            </w:pPr>
          </w:p>
        </w:tc>
        <w:tc>
          <w:tcPr>
            <w:tcW w:w="1380" w:type="dxa"/>
            <w:vMerge/>
            <w:tcBorders>
              <w:left w:val="nil"/>
              <w:bottom w:val="nil"/>
              <w:right w:val="nil"/>
            </w:tcBorders>
            <w:shd w:val="clear" w:color="auto" w:fill="auto"/>
            <w:noWrap/>
            <w:vAlign w:val="center"/>
          </w:tcPr>
          <w:p w14:paraId="2AEDDA92" w14:textId="77777777" w:rsidR="00277685" w:rsidRPr="00277685" w:rsidRDefault="00277685" w:rsidP="00277685">
            <w:pPr>
              <w:jc w:val="right"/>
              <w:rPr>
                <w:sz w:val="18"/>
                <w:szCs w:val="18"/>
                <w:lang w:eastAsia="es-AR"/>
              </w:rPr>
            </w:pPr>
          </w:p>
        </w:tc>
        <w:tc>
          <w:tcPr>
            <w:tcW w:w="1380" w:type="dxa"/>
            <w:vMerge/>
            <w:tcBorders>
              <w:left w:val="nil"/>
              <w:bottom w:val="nil"/>
              <w:right w:val="nil"/>
            </w:tcBorders>
            <w:shd w:val="clear" w:color="auto" w:fill="auto"/>
            <w:noWrap/>
            <w:vAlign w:val="center"/>
          </w:tcPr>
          <w:p w14:paraId="01E6CE29" w14:textId="77777777" w:rsidR="00277685" w:rsidRPr="00277685" w:rsidRDefault="00277685" w:rsidP="00277685">
            <w:pPr>
              <w:jc w:val="right"/>
              <w:rPr>
                <w:sz w:val="18"/>
                <w:szCs w:val="18"/>
                <w:lang w:eastAsia="es-AR"/>
              </w:rPr>
            </w:pPr>
          </w:p>
        </w:tc>
        <w:tc>
          <w:tcPr>
            <w:tcW w:w="1380" w:type="dxa"/>
            <w:vMerge/>
            <w:tcBorders>
              <w:left w:val="nil"/>
              <w:bottom w:val="nil"/>
              <w:right w:val="nil"/>
            </w:tcBorders>
            <w:shd w:val="clear" w:color="auto" w:fill="auto"/>
            <w:noWrap/>
            <w:vAlign w:val="center"/>
          </w:tcPr>
          <w:p w14:paraId="0E7FBA70" w14:textId="77777777" w:rsidR="00277685" w:rsidRPr="00277685" w:rsidRDefault="00277685" w:rsidP="00277685">
            <w:pPr>
              <w:jc w:val="right"/>
              <w:rPr>
                <w:sz w:val="18"/>
                <w:szCs w:val="18"/>
                <w:lang w:eastAsia="es-AR"/>
              </w:rPr>
            </w:pPr>
          </w:p>
        </w:tc>
        <w:tc>
          <w:tcPr>
            <w:tcW w:w="1240" w:type="dxa"/>
            <w:vMerge/>
            <w:tcBorders>
              <w:left w:val="nil"/>
              <w:bottom w:val="nil"/>
              <w:right w:val="nil"/>
            </w:tcBorders>
            <w:shd w:val="clear" w:color="auto" w:fill="auto"/>
            <w:noWrap/>
            <w:vAlign w:val="center"/>
          </w:tcPr>
          <w:p w14:paraId="55200F5D" w14:textId="77777777" w:rsidR="00277685" w:rsidRPr="00277685" w:rsidRDefault="00277685" w:rsidP="00277685">
            <w:pPr>
              <w:jc w:val="right"/>
              <w:rPr>
                <w:sz w:val="18"/>
                <w:szCs w:val="18"/>
                <w:lang w:eastAsia="es-AR"/>
              </w:rPr>
            </w:pPr>
          </w:p>
        </w:tc>
      </w:tr>
      <w:tr w:rsidR="00875C00" w:rsidRPr="00875C00" w14:paraId="51A08AB9" w14:textId="77777777" w:rsidTr="00277685">
        <w:trPr>
          <w:trHeight w:val="342"/>
          <w:jc w:val="center"/>
        </w:trPr>
        <w:tc>
          <w:tcPr>
            <w:tcW w:w="1380" w:type="dxa"/>
            <w:tcBorders>
              <w:top w:val="nil"/>
              <w:left w:val="nil"/>
              <w:bottom w:val="nil"/>
              <w:right w:val="nil"/>
            </w:tcBorders>
            <w:shd w:val="clear" w:color="auto" w:fill="auto"/>
            <w:noWrap/>
            <w:hideMark/>
          </w:tcPr>
          <w:p w14:paraId="21A3C466" w14:textId="77777777" w:rsidR="00875C00" w:rsidRPr="00875C00" w:rsidRDefault="00875C00" w:rsidP="00875C00">
            <w:pPr>
              <w:rPr>
                <w:sz w:val="20"/>
                <w:lang w:eastAsia="es-AR"/>
              </w:rPr>
            </w:pPr>
          </w:p>
        </w:tc>
        <w:tc>
          <w:tcPr>
            <w:tcW w:w="3160" w:type="dxa"/>
            <w:tcBorders>
              <w:top w:val="nil"/>
              <w:left w:val="nil"/>
              <w:bottom w:val="nil"/>
              <w:right w:val="nil"/>
            </w:tcBorders>
            <w:shd w:val="clear" w:color="auto" w:fill="auto"/>
            <w:noWrap/>
            <w:hideMark/>
          </w:tcPr>
          <w:p w14:paraId="22B2521A" w14:textId="77777777" w:rsidR="00875C00" w:rsidRPr="00875C00" w:rsidRDefault="00875C00" w:rsidP="00875C00">
            <w:pPr>
              <w:rPr>
                <w:sz w:val="20"/>
                <w:lang w:eastAsia="es-AR"/>
              </w:rPr>
            </w:pPr>
          </w:p>
        </w:tc>
        <w:tc>
          <w:tcPr>
            <w:tcW w:w="1260" w:type="dxa"/>
            <w:tcBorders>
              <w:top w:val="nil"/>
              <w:left w:val="nil"/>
              <w:bottom w:val="nil"/>
              <w:right w:val="nil"/>
            </w:tcBorders>
            <w:shd w:val="clear" w:color="auto" w:fill="auto"/>
            <w:noWrap/>
            <w:hideMark/>
          </w:tcPr>
          <w:p w14:paraId="2E046924" w14:textId="77777777" w:rsidR="00875C00" w:rsidRPr="00875C00" w:rsidRDefault="00875C00" w:rsidP="00875C00">
            <w:pPr>
              <w:jc w:val="center"/>
              <w:rPr>
                <w:sz w:val="20"/>
                <w:lang w:eastAsia="es-AR"/>
              </w:rPr>
            </w:pPr>
          </w:p>
        </w:tc>
        <w:tc>
          <w:tcPr>
            <w:tcW w:w="1380" w:type="dxa"/>
            <w:tcBorders>
              <w:top w:val="nil"/>
              <w:left w:val="nil"/>
              <w:bottom w:val="nil"/>
              <w:right w:val="nil"/>
            </w:tcBorders>
            <w:shd w:val="clear" w:color="auto" w:fill="auto"/>
            <w:noWrap/>
            <w:vAlign w:val="center"/>
          </w:tcPr>
          <w:p w14:paraId="7A425EAB" w14:textId="77777777" w:rsidR="00875C00" w:rsidRPr="00277685" w:rsidRDefault="00875C00" w:rsidP="00277685">
            <w:pPr>
              <w:jc w:val="right"/>
              <w:rPr>
                <w:sz w:val="18"/>
                <w:szCs w:val="18"/>
                <w:lang w:eastAsia="es-AR"/>
              </w:rPr>
            </w:pPr>
          </w:p>
        </w:tc>
        <w:tc>
          <w:tcPr>
            <w:tcW w:w="1380" w:type="dxa"/>
            <w:tcBorders>
              <w:top w:val="nil"/>
              <w:left w:val="nil"/>
              <w:bottom w:val="nil"/>
              <w:right w:val="nil"/>
            </w:tcBorders>
            <w:shd w:val="clear" w:color="auto" w:fill="auto"/>
            <w:noWrap/>
            <w:vAlign w:val="center"/>
          </w:tcPr>
          <w:p w14:paraId="5F36C918" w14:textId="77777777" w:rsidR="00875C00" w:rsidRPr="00277685" w:rsidRDefault="00875C00" w:rsidP="00277685">
            <w:pPr>
              <w:jc w:val="right"/>
              <w:rPr>
                <w:sz w:val="18"/>
                <w:szCs w:val="18"/>
                <w:lang w:eastAsia="es-AR"/>
              </w:rPr>
            </w:pPr>
          </w:p>
        </w:tc>
        <w:tc>
          <w:tcPr>
            <w:tcW w:w="1380" w:type="dxa"/>
            <w:tcBorders>
              <w:top w:val="nil"/>
              <w:left w:val="nil"/>
              <w:bottom w:val="nil"/>
              <w:right w:val="nil"/>
            </w:tcBorders>
            <w:shd w:val="clear" w:color="auto" w:fill="auto"/>
            <w:noWrap/>
            <w:vAlign w:val="center"/>
          </w:tcPr>
          <w:p w14:paraId="53CD8B0A" w14:textId="77777777" w:rsidR="00875C00" w:rsidRPr="00277685" w:rsidRDefault="00875C00" w:rsidP="00277685">
            <w:pPr>
              <w:jc w:val="right"/>
              <w:rPr>
                <w:sz w:val="18"/>
                <w:szCs w:val="18"/>
                <w:lang w:eastAsia="es-AR"/>
              </w:rPr>
            </w:pPr>
          </w:p>
        </w:tc>
        <w:tc>
          <w:tcPr>
            <w:tcW w:w="1240" w:type="dxa"/>
            <w:tcBorders>
              <w:top w:val="nil"/>
              <w:left w:val="nil"/>
              <w:bottom w:val="nil"/>
              <w:right w:val="nil"/>
            </w:tcBorders>
            <w:shd w:val="clear" w:color="auto" w:fill="auto"/>
            <w:noWrap/>
            <w:vAlign w:val="center"/>
          </w:tcPr>
          <w:p w14:paraId="0F5BD900" w14:textId="77777777" w:rsidR="00875C00" w:rsidRPr="00277685" w:rsidRDefault="00875C00" w:rsidP="00277685">
            <w:pPr>
              <w:jc w:val="right"/>
              <w:rPr>
                <w:sz w:val="18"/>
                <w:szCs w:val="18"/>
                <w:lang w:eastAsia="es-AR"/>
              </w:rPr>
            </w:pPr>
          </w:p>
        </w:tc>
      </w:tr>
      <w:tr w:rsidR="00277685" w:rsidRPr="00875C00" w14:paraId="4DC0C74A" w14:textId="77777777" w:rsidTr="00277685">
        <w:trPr>
          <w:trHeight w:val="259"/>
          <w:jc w:val="center"/>
        </w:trPr>
        <w:tc>
          <w:tcPr>
            <w:tcW w:w="1380" w:type="dxa"/>
            <w:tcBorders>
              <w:top w:val="nil"/>
              <w:left w:val="nil"/>
              <w:bottom w:val="nil"/>
              <w:right w:val="nil"/>
            </w:tcBorders>
            <w:shd w:val="clear" w:color="auto" w:fill="auto"/>
            <w:noWrap/>
            <w:hideMark/>
          </w:tcPr>
          <w:p w14:paraId="16F6BE1D" w14:textId="77777777" w:rsidR="00277685" w:rsidRPr="00875C00" w:rsidRDefault="00277685" w:rsidP="00277685">
            <w:pPr>
              <w:rPr>
                <w:rFonts w:ascii="Arial" w:hAnsi="Arial" w:cs="Arial"/>
                <w:b/>
                <w:bCs/>
                <w:sz w:val="18"/>
                <w:szCs w:val="18"/>
                <w:lang w:eastAsia="es-AR"/>
              </w:rPr>
            </w:pPr>
            <w:r w:rsidRPr="00875C00">
              <w:rPr>
                <w:rFonts w:ascii="Arial" w:hAnsi="Arial" w:cs="Arial"/>
                <w:b/>
                <w:bCs/>
                <w:sz w:val="18"/>
                <w:szCs w:val="18"/>
                <w:lang w:eastAsia="es-AR"/>
              </w:rPr>
              <w:t>TOTALES</w:t>
            </w:r>
          </w:p>
        </w:tc>
        <w:tc>
          <w:tcPr>
            <w:tcW w:w="3160" w:type="dxa"/>
            <w:tcBorders>
              <w:top w:val="nil"/>
              <w:left w:val="nil"/>
              <w:bottom w:val="nil"/>
              <w:right w:val="nil"/>
            </w:tcBorders>
            <w:shd w:val="clear" w:color="auto" w:fill="auto"/>
            <w:noWrap/>
            <w:hideMark/>
          </w:tcPr>
          <w:p w14:paraId="12E82F63" w14:textId="77777777" w:rsidR="00277685" w:rsidRPr="00875C00" w:rsidRDefault="00277685" w:rsidP="00277685">
            <w:pPr>
              <w:rPr>
                <w:rFonts w:ascii="Arial" w:hAnsi="Arial" w:cs="Arial"/>
                <w:b/>
                <w:bCs/>
                <w:sz w:val="18"/>
                <w:szCs w:val="18"/>
                <w:lang w:eastAsia="es-AR"/>
              </w:rPr>
            </w:pPr>
          </w:p>
        </w:tc>
        <w:tc>
          <w:tcPr>
            <w:tcW w:w="1260" w:type="dxa"/>
            <w:tcBorders>
              <w:top w:val="nil"/>
              <w:left w:val="nil"/>
              <w:bottom w:val="nil"/>
              <w:right w:val="nil"/>
            </w:tcBorders>
            <w:shd w:val="clear" w:color="auto" w:fill="auto"/>
            <w:noWrap/>
            <w:hideMark/>
          </w:tcPr>
          <w:p w14:paraId="706E9C10" w14:textId="77777777" w:rsidR="00277685" w:rsidRPr="00875C00" w:rsidRDefault="00277685" w:rsidP="00277685">
            <w:pPr>
              <w:rPr>
                <w:sz w:val="20"/>
                <w:lang w:eastAsia="es-AR"/>
              </w:rPr>
            </w:pPr>
          </w:p>
        </w:tc>
        <w:tc>
          <w:tcPr>
            <w:tcW w:w="1380" w:type="dxa"/>
            <w:tcBorders>
              <w:top w:val="single" w:sz="4" w:space="0" w:color="auto"/>
              <w:left w:val="nil"/>
              <w:bottom w:val="single" w:sz="4" w:space="0" w:color="auto"/>
              <w:right w:val="nil"/>
            </w:tcBorders>
            <w:shd w:val="clear" w:color="auto" w:fill="auto"/>
            <w:noWrap/>
            <w:vAlign w:val="center"/>
          </w:tcPr>
          <w:p w14:paraId="5E660D5E" w14:textId="61C8089D" w:rsidR="00277685" w:rsidRPr="00277685" w:rsidRDefault="00277685" w:rsidP="00277685">
            <w:pPr>
              <w:jc w:val="right"/>
              <w:rPr>
                <w:rFonts w:ascii="Arial" w:hAnsi="Arial" w:cs="Arial"/>
                <w:b/>
                <w:bCs/>
                <w:sz w:val="18"/>
                <w:szCs w:val="18"/>
                <w:lang w:eastAsia="es-AR"/>
              </w:rPr>
            </w:pPr>
            <w:r w:rsidRPr="00277685">
              <w:rPr>
                <w:rFonts w:ascii="Arial" w:hAnsi="Arial" w:cs="Arial"/>
                <w:b/>
                <w:sz w:val="18"/>
                <w:szCs w:val="18"/>
              </w:rPr>
              <w:t>756.736</w:t>
            </w:r>
          </w:p>
        </w:tc>
        <w:tc>
          <w:tcPr>
            <w:tcW w:w="1380" w:type="dxa"/>
            <w:tcBorders>
              <w:top w:val="single" w:sz="4" w:space="0" w:color="auto"/>
              <w:left w:val="nil"/>
              <w:bottom w:val="single" w:sz="4" w:space="0" w:color="auto"/>
              <w:right w:val="nil"/>
            </w:tcBorders>
            <w:shd w:val="clear" w:color="auto" w:fill="auto"/>
            <w:noWrap/>
            <w:vAlign w:val="center"/>
          </w:tcPr>
          <w:p w14:paraId="0C1BBD39" w14:textId="51FF5995" w:rsidR="00277685" w:rsidRPr="00277685" w:rsidRDefault="00277685" w:rsidP="00277685">
            <w:pPr>
              <w:jc w:val="right"/>
              <w:rPr>
                <w:rFonts w:ascii="Arial" w:hAnsi="Arial" w:cs="Arial"/>
                <w:b/>
                <w:bCs/>
                <w:sz w:val="18"/>
                <w:szCs w:val="18"/>
                <w:lang w:eastAsia="es-AR"/>
              </w:rPr>
            </w:pPr>
            <w:r w:rsidRPr="00277685">
              <w:rPr>
                <w:rFonts w:ascii="Arial" w:hAnsi="Arial" w:cs="Arial"/>
                <w:b/>
                <w:sz w:val="18"/>
                <w:szCs w:val="18"/>
              </w:rPr>
              <w:t>574.495</w:t>
            </w:r>
          </w:p>
        </w:tc>
        <w:tc>
          <w:tcPr>
            <w:tcW w:w="1380" w:type="dxa"/>
            <w:tcBorders>
              <w:top w:val="single" w:sz="4" w:space="0" w:color="auto"/>
              <w:left w:val="nil"/>
              <w:bottom w:val="single" w:sz="4" w:space="0" w:color="auto"/>
              <w:right w:val="nil"/>
            </w:tcBorders>
            <w:shd w:val="clear" w:color="auto" w:fill="auto"/>
            <w:noWrap/>
            <w:vAlign w:val="center"/>
          </w:tcPr>
          <w:p w14:paraId="1F36E0AB" w14:textId="4C1C8E35" w:rsidR="00277685" w:rsidRPr="00277685" w:rsidRDefault="00277685" w:rsidP="00277685">
            <w:pPr>
              <w:jc w:val="right"/>
              <w:rPr>
                <w:rFonts w:ascii="Arial" w:hAnsi="Arial" w:cs="Arial"/>
                <w:b/>
                <w:bCs/>
                <w:sz w:val="18"/>
                <w:szCs w:val="18"/>
                <w:lang w:eastAsia="es-AR"/>
              </w:rPr>
            </w:pPr>
            <w:r w:rsidRPr="00277685">
              <w:rPr>
                <w:rFonts w:ascii="Arial" w:hAnsi="Arial" w:cs="Arial"/>
                <w:b/>
                <w:sz w:val="18"/>
                <w:szCs w:val="18"/>
              </w:rPr>
              <w:t>1.331.231</w:t>
            </w:r>
          </w:p>
        </w:tc>
        <w:tc>
          <w:tcPr>
            <w:tcW w:w="1240" w:type="dxa"/>
            <w:tcBorders>
              <w:top w:val="single" w:sz="4" w:space="0" w:color="auto"/>
              <w:left w:val="nil"/>
              <w:bottom w:val="single" w:sz="4" w:space="0" w:color="auto"/>
              <w:right w:val="nil"/>
            </w:tcBorders>
            <w:shd w:val="clear" w:color="auto" w:fill="auto"/>
            <w:noWrap/>
            <w:vAlign w:val="center"/>
          </w:tcPr>
          <w:p w14:paraId="1755B300" w14:textId="7E88625D" w:rsidR="00277685" w:rsidRPr="00277685" w:rsidRDefault="00277685" w:rsidP="00277685">
            <w:pPr>
              <w:jc w:val="right"/>
              <w:rPr>
                <w:rFonts w:ascii="Arial" w:hAnsi="Arial" w:cs="Arial"/>
                <w:b/>
                <w:bCs/>
                <w:sz w:val="18"/>
                <w:szCs w:val="18"/>
                <w:lang w:eastAsia="es-AR"/>
              </w:rPr>
            </w:pPr>
            <w:r w:rsidRPr="00277685">
              <w:rPr>
                <w:rFonts w:ascii="Arial" w:hAnsi="Arial" w:cs="Arial"/>
                <w:b/>
                <w:sz w:val="18"/>
                <w:szCs w:val="18"/>
              </w:rPr>
              <w:t>329.719</w:t>
            </w:r>
          </w:p>
        </w:tc>
      </w:tr>
    </w:tbl>
    <w:p w14:paraId="62B9E736" w14:textId="77777777" w:rsidR="00875C00" w:rsidRDefault="00875C00">
      <w:pPr>
        <w:rPr>
          <w:lang w:val="en-US"/>
        </w:rPr>
      </w:pPr>
    </w:p>
    <w:p w14:paraId="0C410631" w14:textId="062208D8" w:rsidR="00875C00" w:rsidRDefault="00875C00">
      <w:pPr>
        <w:rPr>
          <w:lang w:val="en-US"/>
        </w:rPr>
      </w:pPr>
      <w:r>
        <w:rPr>
          <w:lang w:val="en-US"/>
        </w:rPr>
        <w:br w:type="page"/>
      </w:r>
    </w:p>
    <w:tbl>
      <w:tblPr>
        <w:tblW w:w="14068" w:type="dxa"/>
        <w:tblInd w:w="75" w:type="dxa"/>
        <w:tblCellMar>
          <w:left w:w="70" w:type="dxa"/>
          <w:right w:w="70" w:type="dxa"/>
        </w:tblCellMar>
        <w:tblLook w:val="04A0" w:firstRow="1" w:lastRow="0" w:firstColumn="1" w:lastColumn="0" w:noHBand="0" w:noVBand="1"/>
      </w:tblPr>
      <w:tblGrid>
        <w:gridCol w:w="2725"/>
        <w:gridCol w:w="1180"/>
        <w:gridCol w:w="1120"/>
        <w:gridCol w:w="1300"/>
        <w:gridCol w:w="1030"/>
        <w:gridCol w:w="720"/>
        <w:gridCol w:w="1333"/>
        <w:gridCol w:w="600"/>
        <w:gridCol w:w="960"/>
        <w:gridCol w:w="740"/>
        <w:gridCol w:w="1180"/>
        <w:gridCol w:w="1180"/>
      </w:tblGrid>
      <w:tr w:rsidR="00965ACE" w:rsidRPr="00965ACE" w14:paraId="638AA1AC" w14:textId="77777777" w:rsidTr="00965ACE">
        <w:trPr>
          <w:trHeight w:val="300"/>
        </w:trPr>
        <w:tc>
          <w:tcPr>
            <w:tcW w:w="2725" w:type="dxa"/>
            <w:vMerge w:val="restart"/>
            <w:tcBorders>
              <w:top w:val="single" w:sz="4" w:space="0" w:color="auto"/>
              <w:left w:val="single" w:sz="4" w:space="0" w:color="363639"/>
              <w:bottom w:val="single" w:sz="4" w:space="0" w:color="363639"/>
              <w:right w:val="single" w:sz="4" w:space="0" w:color="363639"/>
            </w:tcBorders>
            <w:shd w:val="clear" w:color="auto" w:fill="BFBFBF" w:themeFill="background1" w:themeFillShade="BF"/>
            <w:vAlign w:val="center"/>
            <w:hideMark/>
          </w:tcPr>
          <w:p w14:paraId="7268E30D" w14:textId="77777777"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Concepto</w:t>
            </w:r>
          </w:p>
        </w:tc>
        <w:tc>
          <w:tcPr>
            <w:tcW w:w="1180" w:type="dxa"/>
            <w:vMerge w:val="restart"/>
            <w:tcBorders>
              <w:top w:val="single" w:sz="4" w:space="0" w:color="auto"/>
              <w:left w:val="single" w:sz="4" w:space="0" w:color="363639"/>
              <w:bottom w:val="single" w:sz="4" w:space="0" w:color="363639"/>
              <w:right w:val="single" w:sz="4" w:space="0" w:color="363639"/>
            </w:tcBorders>
            <w:shd w:val="clear" w:color="auto" w:fill="BFBFBF" w:themeFill="background1" w:themeFillShade="BF"/>
            <w:vAlign w:val="center"/>
            <w:hideMark/>
          </w:tcPr>
          <w:p w14:paraId="3CDB540C" w14:textId="77777777"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Valor de origen al inicio del ejercicio</w:t>
            </w:r>
          </w:p>
        </w:tc>
        <w:tc>
          <w:tcPr>
            <w:tcW w:w="1120" w:type="dxa"/>
            <w:vMerge w:val="restart"/>
            <w:tcBorders>
              <w:top w:val="single" w:sz="4" w:space="0" w:color="auto"/>
              <w:left w:val="single" w:sz="4" w:space="0" w:color="363639"/>
              <w:bottom w:val="single" w:sz="4" w:space="0" w:color="363639"/>
              <w:right w:val="single" w:sz="4" w:space="0" w:color="363639"/>
            </w:tcBorders>
            <w:shd w:val="clear" w:color="auto" w:fill="BFBFBF" w:themeFill="background1" w:themeFillShade="BF"/>
            <w:vAlign w:val="center"/>
            <w:hideMark/>
          </w:tcPr>
          <w:p w14:paraId="4534209C" w14:textId="77777777"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Vida Útil total estimada en años</w:t>
            </w:r>
          </w:p>
        </w:tc>
        <w:tc>
          <w:tcPr>
            <w:tcW w:w="1300" w:type="dxa"/>
            <w:vMerge w:val="restart"/>
            <w:tcBorders>
              <w:top w:val="single" w:sz="4" w:space="0" w:color="auto"/>
              <w:left w:val="single" w:sz="4" w:space="0" w:color="363639"/>
              <w:bottom w:val="single" w:sz="4" w:space="0" w:color="363639"/>
              <w:right w:val="single" w:sz="4" w:space="0" w:color="363639"/>
            </w:tcBorders>
            <w:shd w:val="clear" w:color="auto" w:fill="BFBFBF" w:themeFill="background1" w:themeFillShade="BF"/>
            <w:vAlign w:val="center"/>
            <w:hideMark/>
          </w:tcPr>
          <w:p w14:paraId="7BD3C8C0" w14:textId="77777777"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Pérdida/ Ganancia Neta por medición a VR</w:t>
            </w:r>
          </w:p>
        </w:tc>
        <w:tc>
          <w:tcPr>
            <w:tcW w:w="1030" w:type="dxa"/>
            <w:vMerge w:val="restart"/>
            <w:tcBorders>
              <w:top w:val="single" w:sz="4" w:space="0" w:color="auto"/>
              <w:left w:val="single" w:sz="4" w:space="0" w:color="363639"/>
              <w:bottom w:val="single" w:sz="4" w:space="0" w:color="363639"/>
              <w:right w:val="single" w:sz="4" w:space="0" w:color="363639"/>
            </w:tcBorders>
            <w:shd w:val="clear" w:color="auto" w:fill="BFBFBF" w:themeFill="background1" w:themeFillShade="BF"/>
            <w:vAlign w:val="center"/>
            <w:hideMark/>
          </w:tcPr>
          <w:p w14:paraId="06C963EA" w14:textId="77777777"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Altas</w:t>
            </w:r>
          </w:p>
        </w:tc>
        <w:tc>
          <w:tcPr>
            <w:tcW w:w="720" w:type="dxa"/>
            <w:vMerge w:val="restart"/>
            <w:tcBorders>
              <w:top w:val="single" w:sz="4" w:space="0" w:color="auto"/>
              <w:left w:val="single" w:sz="4" w:space="0" w:color="363639"/>
              <w:bottom w:val="single" w:sz="4" w:space="0" w:color="363639"/>
              <w:right w:val="single" w:sz="4" w:space="0" w:color="363639"/>
            </w:tcBorders>
            <w:shd w:val="clear" w:color="auto" w:fill="BFBFBF" w:themeFill="background1" w:themeFillShade="BF"/>
            <w:vAlign w:val="center"/>
            <w:hideMark/>
          </w:tcPr>
          <w:p w14:paraId="770ACCB7" w14:textId="77777777"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Bajas</w:t>
            </w:r>
          </w:p>
        </w:tc>
        <w:tc>
          <w:tcPr>
            <w:tcW w:w="3633" w:type="dxa"/>
            <w:gridSpan w:val="4"/>
            <w:tcBorders>
              <w:top w:val="single" w:sz="4" w:space="0" w:color="auto"/>
              <w:left w:val="nil"/>
              <w:bottom w:val="single" w:sz="4" w:space="0" w:color="363639"/>
              <w:right w:val="nil"/>
            </w:tcBorders>
            <w:shd w:val="clear" w:color="auto" w:fill="BFBFBF" w:themeFill="background1" w:themeFillShade="BF"/>
          </w:tcPr>
          <w:p w14:paraId="745C77F9" w14:textId="68FBA627"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Depreciación</w:t>
            </w:r>
          </w:p>
        </w:tc>
        <w:tc>
          <w:tcPr>
            <w:tcW w:w="1180" w:type="dxa"/>
            <w:vMerge w:val="restart"/>
            <w:tcBorders>
              <w:top w:val="single" w:sz="4" w:space="0" w:color="auto"/>
              <w:left w:val="single" w:sz="4" w:space="0" w:color="363639"/>
              <w:bottom w:val="single" w:sz="4" w:space="0" w:color="363639"/>
              <w:right w:val="single" w:sz="4" w:space="0" w:color="363639"/>
            </w:tcBorders>
            <w:shd w:val="clear" w:color="auto" w:fill="BFBFBF" w:themeFill="background1" w:themeFillShade="BF"/>
            <w:vAlign w:val="center"/>
            <w:hideMark/>
          </w:tcPr>
          <w:p w14:paraId="1A737017" w14:textId="0DD8C4AE"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Valor residual al 31/12/2019</w:t>
            </w:r>
          </w:p>
        </w:tc>
        <w:tc>
          <w:tcPr>
            <w:tcW w:w="1180" w:type="dxa"/>
            <w:vMerge w:val="restart"/>
            <w:tcBorders>
              <w:top w:val="single" w:sz="4" w:space="0" w:color="auto"/>
              <w:left w:val="single" w:sz="4" w:space="0" w:color="363639"/>
              <w:bottom w:val="single" w:sz="4" w:space="0" w:color="363639"/>
              <w:right w:val="single" w:sz="4" w:space="0" w:color="363639"/>
            </w:tcBorders>
            <w:shd w:val="clear" w:color="auto" w:fill="BFBFBF" w:themeFill="background1" w:themeFillShade="BF"/>
            <w:vAlign w:val="center"/>
            <w:hideMark/>
          </w:tcPr>
          <w:p w14:paraId="599FD3BB" w14:textId="601C25DD"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Valor residual al 31/12/2018</w:t>
            </w:r>
          </w:p>
        </w:tc>
      </w:tr>
      <w:tr w:rsidR="00965ACE" w:rsidRPr="00965ACE" w14:paraId="4264AA73" w14:textId="77777777" w:rsidTr="00965ACE">
        <w:trPr>
          <w:trHeight w:val="1095"/>
        </w:trPr>
        <w:tc>
          <w:tcPr>
            <w:tcW w:w="2725" w:type="dxa"/>
            <w:vMerge/>
            <w:tcBorders>
              <w:top w:val="nil"/>
              <w:left w:val="single" w:sz="4" w:space="0" w:color="363639"/>
              <w:bottom w:val="single" w:sz="4" w:space="0" w:color="363639"/>
              <w:right w:val="single" w:sz="4" w:space="0" w:color="363639"/>
            </w:tcBorders>
            <w:vAlign w:val="center"/>
            <w:hideMark/>
          </w:tcPr>
          <w:p w14:paraId="58691D2C" w14:textId="77777777" w:rsidR="00965ACE" w:rsidRPr="00965ACE" w:rsidRDefault="00965ACE" w:rsidP="0063175C">
            <w:pPr>
              <w:rPr>
                <w:rFonts w:ascii="Arial" w:hAnsi="Arial" w:cs="Arial"/>
                <w:b/>
                <w:bCs/>
                <w:sz w:val="18"/>
                <w:szCs w:val="18"/>
                <w:lang w:eastAsia="es-AR"/>
              </w:rPr>
            </w:pPr>
          </w:p>
        </w:tc>
        <w:tc>
          <w:tcPr>
            <w:tcW w:w="1180" w:type="dxa"/>
            <w:vMerge/>
            <w:tcBorders>
              <w:top w:val="nil"/>
              <w:left w:val="single" w:sz="4" w:space="0" w:color="363639"/>
              <w:bottom w:val="single" w:sz="4" w:space="0" w:color="363639"/>
              <w:right w:val="single" w:sz="4" w:space="0" w:color="363639"/>
            </w:tcBorders>
            <w:vAlign w:val="center"/>
            <w:hideMark/>
          </w:tcPr>
          <w:p w14:paraId="53910B15" w14:textId="77777777" w:rsidR="00965ACE" w:rsidRPr="00965ACE" w:rsidRDefault="00965ACE" w:rsidP="0063175C">
            <w:pPr>
              <w:rPr>
                <w:rFonts w:ascii="Arial" w:hAnsi="Arial" w:cs="Arial"/>
                <w:b/>
                <w:bCs/>
                <w:sz w:val="18"/>
                <w:szCs w:val="18"/>
                <w:lang w:eastAsia="es-AR"/>
              </w:rPr>
            </w:pPr>
          </w:p>
        </w:tc>
        <w:tc>
          <w:tcPr>
            <w:tcW w:w="1120" w:type="dxa"/>
            <w:vMerge/>
            <w:tcBorders>
              <w:top w:val="nil"/>
              <w:left w:val="single" w:sz="4" w:space="0" w:color="363639"/>
              <w:bottom w:val="single" w:sz="4" w:space="0" w:color="363639"/>
              <w:right w:val="single" w:sz="4" w:space="0" w:color="363639"/>
            </w:tcBorders>
            <w:vAlign w:val="center"/>
            <w:hideMark/>
          </w:tcPr>
          <w:p w14:paraId="7E630642" w14:textId="77777777" w:rsidR="00965ACE" w:rsidRPr="00965ACE" w:rsidRDefault="00965ACE" w:rsidP="0063175C">
            <w:pPr>
              <w:rPr>
                <w:rFonts w:ascii="Arial" w:hAnsi="Arial" w:cs="Arial"/>
                <w:b/>
                <w:bCs/>
                <w:sz w:val="18"/>
                <w:szCs w:val="18"/>
                <w:lang w:eastAsia="es-AR"/>
              </w:rPr>
            </w:pPr>
          </w:p>
        </w:tc>
        <w:tc>
          <w:tcPr>
            <w:tcW w:w="1300" w:type="dxa"/>
            <w:vMerge/>
            <w:tcBorders>
              <w:top w:val="nil"/>
              <w:left w:val="single" w:sz="4" w:space="0" w:color="363639"/>
              <w:bottom w:val="single" w:sz="4" w:space="0" w:color="363639"/>
              <w:right w:val="single" w:sz="4" w:space="0" w:color="363639"/>
            </w:tcBorders>
            <w:vAlign w:val="center"/>
            <w:hideMark/>
          </w:tcPr>
          <w:p w14:paraId="37F405D1" w14:textId="77777777" w:rsidR="00965ACE" w:rsidRPr="00965ACE" w:rsidRDefault="00965ACE" w:rsidP="0063175C">
            <w:pPr>
              <w:rPr>
                <w:rFonts w:ascii="Arial" w:hAnsi="Arial" w:cs="Arial"/>
                <w:b/>
                <w:bCs/>
                <w:sz w:val="18"/>
                <w:szCs w:val="18"/>
                <w:lang w:eastAsia="es-AR"/>
              </w:rPr>
            </w:pPr>
          </w:p>
        </w:tc>
        <w:tc>
          <w:tcPr>
            <w:tcW w:w="1030" w:type="dxa"/>
            <w:vMerge/>
            <w:tcBorders>
              <w:top w:val="nil"/>
              <w:left w:val="single" w:sz="4" w:space="0" w:color="363639"/>
              <w:bottom w:val="single" w:sz="4" w:space="0" w:color="363639"/>
              <w:right w:val="single" w:sz="4" w:space="0" w:color="363639"/>
            </w:tcBorders>
            <w:vAlign w:val="center"/>
            <w:hideMark/>
          </w:tcPr>
          <w:p w14:paraId="278FF5E0" w14:textId="77777777" w:rsidR="00965ACE" w:rsidRPr="00965ACE" w:rsidRDefault="00965ACE" w:rsidP="0063175C">
            <w:pPr>
              <w:rPr>
                <w:rFonts w:ascii="Arial" w:hAnsi="Arial" w:cs="Arial"/>
                <w:b/>
                <w:bCs/>
                <w:sz w:val="18"/>
                <w:szCs w:val="18"/>
                <w:lang w:eastAsia="es-AR"/>
              </w:rPr>
            </w:pPr>
          </w:p>
        </w:tc>
        <w:tc>
          <w:tcPr>
            <w:tcW w:w="720" w:type="dxa"/>
            <w:vMerge/>
            <w:tcBorders>
              <w:top w:val="nil"/>
              <w:left w:val="single" w:sz="4" w:space="0" w:color="363639"/>
              <w:bottom w:val="single" w:sz="4" w:space="0" w:color="363639"/>
              <w:right w:val="single" w:sz="4" w:space="0" w:color="363639"/>
            </w:tcBorders>
            <w:vAlign w:val="center"/>
            <w:hideMark/>
          </w:tcPr>
          <w:p w14:paraId="58D848C6" w14:textId="77777777" w:rsidR="00965ACE" w:rsidRPr="00965ACE" w:rsidRDefault="00965ACE" w:rsidP="0063175C">
            <w:pPr>
              <w:rPr>
                <w:rFonts w:ascii="Arial" w:hAnsi="Arial" w:cs="Arial"/>
                <w:b/>
                <w:bCs/>
                <w:sz w:val="18"/>
                <w:szCs w:val="18"/>
                <w:lang w:eastAsia="es-AR"/>
              </w:rPr>
            </w:pPr>
          </w:p>
        </w:tc>
        <w:tc>
          <w:tcPr>
            <w:tcW w:w="1333" w:type="dxa"/>
            <w:tcBorders>
              <w:top w:val="nil"/>
              <w:left w:val="nil"/>
              <w:bottom w:val="single" w:sz="4" w:space="0" w:color="363639"/>
              <w:right w:val="single" w:sz="4" w:space="0" w:color="auto"/>
            </w:tcBorders>
            <w:shd w:val="clear" w:color="auto" w:fill="BFBFBF" w:themeFill="background1" w:themeFillShade="BF"/>
            <w:vAlign w:val="center"/>
          </w:tcPr>
          <w:p w14:paraId="4DF7D651" w14:textId="35ADB6D9" w:rsidR="00965ACE" w:rsidRPr="00965ACE" w:rsidRDefault="00965ACE" w:rsidP="00965ACE">
            <w:pPr>
              <w:jc w:val="center"/>
              <w:rPr>
                <w:rFonts w:ascii="Arial" w:hAnsi="Arial" w:cs="Arial"/>
                <w:b/>
                <w:bCs/>
                <w:sz w:val="18"/>
                <w:szCs w:val="18"/>
                <w:lang w:eastAsia="es-AR"/>
              </w:rPr>
            </w:pPr>
            <w:r>
              <w:rPr>
                <w:rFonts w:ascii="Arial" w:hAnsi="Arial" w:cs="Arial"/>
                <w:b/>
                <w:bCs/>
                <w:sz w:val="18"/>
                <w:szCs w:val="18"/>
                <w:lang w:eastAsia="es-AR"/>
              </w:rPr>
              <w:t>Acumuladas</w:t>
            </w:r>
          </w:p>
        </w:tc>
        <w:tc>
          <w:tcPr>
            <w:tcW w:w="600" w:type="dxa"/>
            <w:tcBorders>
              <w:top w:val="nil"/>
              <w:left w:val="single" w:sz="4" w:space="0" w:color="auto"/>
              <w:bottom w:val="single" w:sz="4" w:space="0" w:color="363639"/>
              <w:right w:val="single" w:sz="4" w:space="0" w:color="363639"/>
            </w:tcBorders>
            <w:shd w:val="clear" w:color="auto" w:fill="BFBFBF" w:themeFill="background1" w:themeFillShade="BF"/>
            <w:vAlign w:val="center"/>
            <w:hideMark/>
          </w:tcPr>
          <w:p w14:paraId="7C6CA8D2" w14:textId="4C860EEF"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Baja</w:t>
            </w:r>
          </w:p>
        </w:tc>
        <w:tc>
          <w:tcPr>
            <w:tcW w:w="960" w:type="dxa"/>
            <w:tcBorders>
              <w:top w:val="nil"/>
              <w:left w:val="nil"/>
              <w:bottom w:val="single" w:sz="4" w:space="0" w:color="363639"/>
              <w:right w:val="single" w:sz="4" w:space="0" w:color="363639"/>
            </w:tcBorders>
            <w:shd w:val="clear" w:color="auto" w:fill="BFBFBF" w:themeFill="background1" w:themeFillShade="BF"/>
            <w:vAlign w:val="center"/>
            <w:hideMark/>
          </w:tcPr>
          <w:p w14:paraId="6F9578C5" w14:textId="303714E2"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Del ejercicio</w:t>
            </w:r>
          </w:p>
        </w:tc>
        <w:tc>
          <w:tcPr>
            <w:tcW w:w="740" w:type="dxa"/>
            <w:tcBorders>
              <w:top w:val="nil"/>
              <w:left w:val="nil"/>
              <w:bottom w:val="single" w:sz="4" w:space="0" w:color="363639"/>
              <w:right w:val="single" w:sz="4" w:space="0" w:color="363639"/>
            </w:tcBorders>
            <w:shd w:val="clear" w:color="auto" w:fill="BFBFBF" w:themeFill="background1" w:themeFillShade="BF"/>
            <w:vAlign w:val="center"/>
            <w:hideMark/>
          </w:tcPr>
          <w:p w14:paraId="544720C4" w14:textId="77777777"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Al cierre</w:t>
            </w:r>
          </w:p>
        </w:tc>
        <w:tc>
          <w:tcPr>
            <w:tcW w:w="1180" w:type="dxa"/>
            <w:vMerge/>
            <w:tcBorders>
              <w:top w:val="nil"/>
              <w:left w:val="single" w:sz="4" w:space="0" w:color="363639"/>
              <w:bottom w:val="single" w:sz="4" w:space="0" w:color="363639"/>
              <w:right w:val="single" w:sz="4" w:space="0" w:color="363639"/>
            </w:tcBorders>
            <w:vAlign w:val="center"/>
            <w:hideMark/>
          </w:tcPr>
          <w:p w14:paraId="47C0DB24" w14:textId="77777777" w:rsidR="00965ACE" w:rsidRPr="00965ACE" w:rsidRDefault="00965ACE" w:rsidP="0063175C">
            <w:pPr>
              <w:rPr>
                <w:rFonts w:ascii="Arial" w:hAnsi="Arial" w:cs="Arial"/>
                <w:b/>
                <w:bCs/>
                <w:sz w:val="18"/>
                <w:szCs w:val="18"/>
                <w:lang w:eastAsia="es-AR"/>
              </w:rPr>
            </w:pPr>
          </w:p>
        </w:tc>
        <w:tc>
          <w:tcPr>
            <w:tcW w:w="1180" w:type="dxa"/>
            <w:vMerge/>
            <w:tcBorders>
              <w:top w:val="nil"/>
              <w:left w:val="single" w:sz="4" w:space="0" w:color="363639"/>
              <w:bottom w:val="single" w:sz="4" w:space="0" w:color="363639"/>
              <w:right w:val="single" w:sz="4" w:space="0" w:color="363639"/>
            </w:tcBorders>
            <w:vAlign w:val="center"/>
            <w:hideMark/>
          </w:tcPr>
          <w:p w14:paraId="4CA3C90C" w14:textId="77777777" w:rsidR="00965ACE" w:rsidRPr="00965ACE" w:rsidRDefault="00965ACE" w:rsidP="0063175C">
            <w:pPr>
              <w:rPr>
                <w:rFonts w:ascii="Arial" w:hAnsi="Arial" w:cs="Arial"/>
                <w:b/>
                <w:bCs/>
                <w:sz w:val="18"/>
                <w:szCs w:val="18"/>
                <w:lang w:eastAsia="es-AR"/>
              </w:rPr>
            </w:pPr>
          </w:p>
        </w:tc>
      </w:tr>
      <w:tr w:rsidR="00965ACE" w:rsidRPr="00965ACE" w14:paraId="65F8536D" w14:textId="77777777" w:rsidTr="00965ACE">
        <w:trPr>
          <w:trHeight w:val="285"/>
        </w:trPr>
        <w:tc>
          <w:tcPr>
            <w:tcW w:w="2725" w:type="dxa"/>
            <w:tcBorders>
              <w:top w:val="nil"/>
              <w:left w:val="nil"/>
              <w:bottom w:val="nil"/>
              <w:right w:val="nil"/>
            </w:tcBorders>
            <w:shd w:val="clear" w:color="auto" w:fill="auto"/>
            <w:vAlign w:val="bottom"/>
            <w:hideMark/>
          </w:tcPr>
          <w:p w14:paraId="2AEBD67E" w14:textId="77777777" w:rsidR="00965ACE" w:rsidRPr="00965ACE" w:rsidRDefault="00965ACE" w:rsidP="0063175C">
            <w:pPr>
              <w:ind w:firstLineChars="700" w:firstLine="1265"/>
              <w:rPr>
                <w:rFonts w:ascii="Arial" w:hAnsi="Arial" w:cs="Arial"/>
                <w:b/>
                <w:bCs/>
                <w:sz w:val="18"/>
                <w:szCs w:val="18"/>
                <w:lang w:eastAsia="es-AR"/>
              </w:rPr>
            </w:pPr>
            <w:r w:rsidRPr="00965ACE">
              <w:rPr>
                <w:rFonts w:ascii="Arial" w:hAnsi="Arial" w:cs="Arial"/>
                <w:b/>
                <w:bCs/>
                <w:sz w:val="18"/>
                <w:szCs w:val="18"/>
                <w:lang w:eastAsia="es-AR"/>
              </w:rPr>
              <w:t> </w:t>
            </w:r>
          </w:p>
        </w:tc>
        <w:tc>
          <w:tcPr>
            <w:tcW w:w="1180" w:type="dxa"/>
            <w:tcBorders>
              <w:top w:val="nil"/>
              <w:left w:val="nil"/>
              <w:bottom w:val="nil"/>
              <w:right w:val="nil"/>
            </w:tcBorders>
            <w:shd w:val="clear" w:color="auto" w:fill="auto"/>
            <w:vAlign w:val="center"/>
            <w:hideMark/>
          </w:tcPr>
          <w:p w14:paraId="34907C03" w14:textId="77777777" w:rsidR="00965ACE" w:rsidRPr="00965ACE" w:rsidRDefault="00965ACE" w:rsidP="0063175C">
            <w:pPr>
              <w:ind w:firstLineChars="700" w:firstLine="1265"/>
              <w:rPr>
                <w:rFonts w:ascii="Arial" w:hAnsi="Arial" w:cs="Arial"/>
                <w:b/>
                <w:bCs/>
                <w:sz w:val="18"/>
                <w:szCs w:val="18"/>
                <w:lang w:eastAsia="es-AR"/>
              </w:rPr>
            </w:pPr>
          </w:p>
        </w:tc>
        <w:tc>
          <w:tcPr>
            <w:tcW w:w="1120" w:type="dxa"/>
            <w:tcBorders>
              <w:top w:val="nil"/>
              <w:left w:val="nil"/>
              <w:bottom w:val="nil"/>
              <w:right w:val="nil"/>
            </w:tcBorders>
            <w:shd w:val="clear" w:color="auto" w:fill="auto"/>
            <w:vAlign w:val="center"/>
            <w:hideMark/>
          </w:tcPr>
          <w:p w14:paraId="25F24992" w14:textId="77777777" w:rsidR="00965ACE" w:rsidRPr="00965ACE" w:rsidRDefault="00965ACE" w:rsidP="0063175C">
            <w:pPr>
              <w:jc w:val="center"/>
              <w:rPr>
                <w:sz w:val="18"/>
                <w:szCs w:val="18"/>
                <w:lang w:eastAsia="es-AR"/>
              </w:rPr>
            </w:pPr>
          </w:p>
        </w:tc>
        <w:tc>
          <w:tcPr>
            <w:tcW w:w="1300" w:type="dxa"/>
            <w:tcBorders>
              <w:top w:val="nil"/>
              <w:left w:val="nil"/>
              <w:bottom w:val="nil"/>
              <w:right w:val="nil"/>
            </w:tcBorders>
            <w:shd w:val="clear" w:color="auto" w:fill="auto"/>
            <w:hideMark/>
          </w:tcPr>
          <w:p w14:paraId="5AFD2EA5" w14:textId="77777777" w:rsidR="00965ACE" w:rsidRPr="00965ACE" w:rsidRDefault="00965ACE" w:rsidP="0063175C">
            <w:pPr>
              <w:jc w:val="center"/>
              <w:rPr>
                <w:sz w:val="18"/>
                <w:szCs w:val="18"/>
                <w:lang w:eastAsia="es-AR"/>
              </w:rPr>
            </w:pPr>
          </w:p>
        </w:tc>
        <w:tc>
          <w:tcPr>
            <w:tcW w:w="1030" w:type="dxa"/>
            <w:tcBorders>
              <w:top w:val="nil"/>
              <w:left w:val="nil"/>
              <w:bottom w:val="nil"/>
              <w:right w:val="nil"/>
            </w:tcBorders>
            <w:shd w:val="clear" w:color="auto" w:fill="auto"/>
            <w:vAlign w:val="center"/>
            <w:hideMark/>
          </w:tcPr>
          <w:p w14:paraId="3DF34A28" w14:textId="77777777" w:rsidR="00965ACE" w:rsidRPr="00965ACE" w:rsidRDefault="00965ACE" w:rsidP="0063175C">
            <w:pPr>
              <w:jc w:val="center"/>
              <w:rPr>
                <w:sz w:val="18"/>
                <w:szCs w:val="18"/>
                <w:lang w:eastAsia="es-AR"/>
              </w:rPr>
            </w:pPr>
          </w:p>
        </w:tc>
        <w:tc>
          <w:tcPr>
            <w:tcW w:w="720" w:type="dxa"/>
            <w:tcBorders>
              <w:top w:val="nil"/>
              <w:left w:val="nil"/>
              <w:bottom w:val="nil"/>
              <w:right w:val="nil"/>
            </w:tcBorders>
            <w:shd w:val="clear" w:color="auto" w:fill="auto"/>
            <w:vAlign w:val="center"/>
            <w:hideMark/>
          </w:tcPr>
          <w:p w14:paraId="3970AEAF" w14:textId="77777777" w:rsidR="00965ACE" w:rsidRPr="00965ACE" w:rsidRDefault="00965ACE" w:rsidP="0063175C">
            <w:pPr>
              <w:jc w:val="center"/>
              <w:rPr>
                <w:sz w:val="18"/>
                <w:szCs w:val="18"/>
                <w:lang w:eastAsia="es-AR"/>
              </w:rPr>
            </w:pPr>
          </w:p>
        </w:tc>
        <w:tc>
          <w:tcPr>
            <w:tcW w:w="1333" w:type="dxa"/>
            <w:tcBorders>
              <w:top w:val="nil"/>
              <w:left w:val="nil"/>
              <w:bottom w:val="nil"/>
              <w:right w:val="nil"/>
            </w:tcBorders>
          </w:tcPr>
          <w:p w14:paraId="04EBDEC2" w14:textId="77777777" w:rsidR="00965ACE" w:rsidRPr="00965ACE" w:rsidRDefault="00965ACE" w:rsidP="0063175C">
            <w:pPr>
              <w:jc w:val="center"/>
              <w:rPr>
                <w:rFonts w:ascii="Arial" w:hAnsi="Arial" w:cs="Arial"/>
                <w:b/>
                <w:bCs/>
                <w:sz w:val="18"/>
                <w:szCs w:val="18"/>
                <w:lang w:eastAsia="es-AR"/>
              </w:rPr>
            </w:pPr>
          </w:p>
        </w:tc>
        <w:tc>
          <w:tcPr>
            <w:tcW w:w="600" w:type="dxa"/>
            <w:tcBorders>
              <w:top w:val="nil"/>
              <w:left w:val="nil"/>
              <w:bottom w:val="nil"/>
              <w:right w:val="nil"/>
            </w:tcBorders>
            <w:shd w:val="clear" w:color="auto" w:fill="auto"/>
            <w:vAlign w:val="center"/>
            <w:hideMark/>
          </w:tcPr>
          <w:p w14:paraId="32EA345C" w14:textId="37E5C60E"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 </w:t>
            </w:r>
          </w:p>
        </w:tc>
        <w:tc>
          <w:tcPr>
            <w:tcW w:w="960" w:type="dxa"/>
            <w:tcBorders>
              <w:top w:val="nil"/>
              <w:left w:val="nil"/>
              <w:bottom w:val="nil"/>
              <w:right w:val="nil"/>
            </w:tcBorders>
            <w:shd w:val="clear" w:color="auto" w:fill="auto"/>
            <w:hideMark/>
          </w:tcPr>
          <w:p w14:paraId="5DE77D85" w14:textId="77777777"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 </w:t>
            </w:r>
          </w:p>
        </w:tc>
        <w:tc>
          <w:tcPr>
            <w:tcW w:w="740" w:type="dxa"/>
            <w:tcBorders>
              <w:top w:val="nil"/>
              <w:left w:val="nil"/>
              <w:bottom w:val="nil"/>
              <w:right w:val="nil"/>
            </w:tcBorders>
            <w:shd w:val="clear" w:color="auto" w:fill="auto"/>
            <w:hideMark/>
          </w:tcPr>
          <w:p w14:paraId="14C737D4" w14:textId="77777777" w:rsidR="00965ACE" w:rsidRPr="00965ACE" w:rsidRDefault="00965ACE" w:rsidP="0063175C">
            <w:pPr>
              <w:jc w:val="center"/>
              <w:rPr>
                <w:rFonts w:ascii="Arial" w:hAnsi="Arial" w:cs="Arial"/>
                <w:b/>
                <w:bCs/>
                <w:sz w:val="18"/>
                <w:szCs w:val="18"/>
                <w:lang w:eastAsia="es-AR"/>
              </w:rPr>
            </w:pPr>
            <w:r w:rsidRPr="00965ACE">
              <w:rPr>
                <w:rFonts w:ascii="Arial" w:hAnsi="Arial" w:cs="Arial"/>
                <w:b/>
                <w:bCs/>
                <w:sz w:val="18"/>
                <w:szCs w:val="18"/>
                <w:lang w:eastAsia="es-AR"/>
              </w:rPr>
              <w:t> </w:t>
            </w:r>
          </w:p>
        </w:tc>
        <w:tc>
          <w:tcPr>
            <w:tcW w:w="1180" w:type="dxa"/>
            <w:tcBorders>
              <w:top w:val="nil"/>
              <w:left w:val="nil"/>
              <w:bottom w:val="nil"/>
              <w:right w:val="nil"/>
            </w:tcBorders>
            <w:shd w:val="clear" w:color="auto" w:fill="auto"/>
            <w:hideMark/>
          </w:tcPr>
          <w:p w14:paraId="39B571B2" w14:textId="77777777" w:rsidR="00965ACE" w:rsidRPr="00965ACE" w:rsidRDefault="00965ACE" w:rsidP="0063175C">
            <w:pPr>
              <w:jc w:val="center"/>
              <w:rPr>
                <w:rFonts w:ascii="Arial" w:hAnsi="Arial" w:cs="Arial"/>
                <w:b/>
                <w:bCs/>
                <w:sz w:val="18"/>
                <w:szCs w:val="18"/>
                <w:lang w:eastAsia="es-AR"/>
              </w:rPr>
            </w:pPr>
          </w:p>
        </w:tc>
        <w:tc>
          <w:tcPr>
            <w:tcW w:w="1180" w:type="dxa"/>
            <w:tcBorders>
              <w:top w:val="nil"/>
              <w:left w:val="nil"/>
              <w:bottom w:val="nil"/>
              <w:right w:val="nil"/>
            </w:tcBorders>
            <w:shd w:val="clear" w:color="auto" w:fill="auto"/>
            <w:hideMark/>
          </w:tcPr>
          <w:p w14:paraId="00D77D8E" w14:textId="77777777" w:rsidR="00965ACE" w:rsidRPr="00965ACE" w:rsidRDefault="00965ACE" w:rsidP="0063175C">
            <w:pPr>
              <w:jc w:val="center"/>
              <w:rPr>
                <w:sz w:val="18"/>
                <w:szCs w:val="18"/>
                <w:lang w:eastAsia="es-AR"/>
              </w:rPr>
            </w:pPr>
          </w:p>
        </w:tc>
      </w:tr>
      <w:tr w:rsidR="00965ACE" w:rsidRPr="00965ACE" w14:paraId="7C1D2BF4" w14:textId="77777777" w:rsidTr="00965ACE">
        <w:trPr>
          <w:trHeight w:val="300"/>
        </w:trPr>
        <w:tc>
          <w:tcPr>
            <w:tcW w:w="2725" w:type="dxa"/>
            <w:tcBorders>
              <w:top w:val="nil"/>
              <w:left w:val="nil"/>
              <w:bottom w:val="nil"/>
              <w:right w:val="nil"/>
            </w:tcBorders>
            <w:shd w:val="clear" w:color="auto" w:fill="auto"/>
            <w:hideMark/>
          </w:tcPr>
          <w:p w14:paraId="02A56833" w14:textId="77777777" w:rsidR="00965ACE" w:rsidRPr="00965ACE" w:rsidRDefault="00965ACE" w:rsidP="0063175C">
            <w:pPr>
              <w:rPr>
                <w:rFonts w:ascii="Arial" w:hAnsi="Arial" w:cs="Arial"/>
                <w:b/>
                <w:bCs/>
                <w:sz w:val="18"/>
                <w:szCs w:val="18"/>
                <w:lang w:eastAsia="es-AR"/>
              </w:rPr>
            </w:pPr>
            <w:r w:rsidRPr="00965ACE">
              <w:rPr>
                <w:rFonts w:ascii="Arial" w:hAnsi="Arial" w:cs="Arial"/>
                <w:b/>
                <w:bCs/>
                <w:sz w:val="18"/>
                <w:szCs w:val="18"/>
                <w:lang w:eastAsia="es-AR"/>
              </w:rPr>
              <w:t>Medición al costo</w:t>
            </w:r>
          </w:p>
        </w:tc>
        <w:tc>
          <w:tcPr>
            <w:tcW w:w="1180" w:type="dxa"/>
            <w:tcBorders>
              <w:top w:val="nil"/>
              <w:left w:val="nil"/>
              <w:bottom w:val="nil"/>
              <w:right w:val="nil"/>
            </w:tcBorders>
            <w:shd w:val="clear" w:color="auto" w:fill="auto"/>
            <w:noWrap/>
            <w:hideMark/>
          </w:tcPr>
          <w:p w14:paraId="1E9B252D" w14:textId="77777777" w:rsidR="00965ACE" w:rsidRPr="00965ACE" w:rsidRDefault="00965ACE" w:rsidP="0063175C">
            <w:pPr>
              <w:rPr>
                <w:rFonts w:ascii="Arial" w:hAnsi="Arial" w:cs="Arial"/>
                <w:b/>
                <w:bCs/>
                <w:sz w:val="18"/>
                <w:szCs w:val="18"/>
                <w:lang w:eastAsia="es-AR"/>
              </w:rPr>
            </w:pPr>
          </w:p>
        </w:tc>
        <w:tc>
          <w:tcPr>
            <w:tcW w:w="1120" w:type="dxa"/>
            <w:tcBorders>
              <w:top w:val="nil"/>
              <w:left w:val="nil"/>
              <w:bottom w:val="nil"/>
              <w:right w:val="nil"/>
            </w:tcBorders>
            <w:shd w:val="clear" w:color="auto" w:fill="auto"/>
            <w:noWrap/>
            <w:hideMark/>
          </w:tcPr>
          <w:p w14:paraId="40EDEF1D" w14:textId="77777777" w:rsidR="00965ACE" w:rsidRPr="00965ACE" w:rsidRDefault="00965ACE" w:rsidP="0063175C">
            <w:pPr>
              <w:rPr>
                <w:sz w:val="18"/>
                <w:szCs w:val="18"/>
                <w:lang w:eastAsia="es-AR"/>
              </w:rPr>
            </w:pPr>
          </w:p>
        </w:tc>
        <w:tc>
          <w:tcPr>
            <w:tcW w:w="1300" w:type="dxa"/>
            <w:tcBorders>
              <w:top w:val="nil"/>
              <w:left w:val="nil"/>
              <w:bottom w:val="nil"/>
              <w:right w:val="nil"/>
            </w:tcBorders>
            <w:shd w:val="clear" w:color="auto" w:fill="auto"/>
            <w:noWrap/>
            <w:hideMark/>
          </w:tcPr>
          <w:p w14:paraId="02FB0C1F" w14:textId="77777777" w:rsidR="00965ACE" w:rsidRPr="00965ACE" w:rsidRDefault="00965ACE" w:rsidP="0063175C">
            <w:pPr>
              <w:rPr>
                <w:sz w:val="18"/>
                <w:szCs w:val="18"/>
                <w:lang w:eastAsia="es-AR"/>
              </w:rPr>
            </w:pPr>
          </w:p>
        </w:tc>
        <w:tc>
          <w:tcPr>
            <w:tcW w:w="1030" w:type="dxa"/>
            <w:tcBorders>
              <w:top w:val="nil"/>
              <w:left w:val="nil"/>
              <w:bottom w:val="nil"/>
              <w:right w:val="nil"/>
            </w:tcBorders>
            <w:shd w:val="clear" w:color="auto" w:fill="auto"/>
            <w:noWrap/>
            <w:hideMark/>
          </w:tcPr>
          <w:p w14:paraId="740CB9E8" w14:textId="77777777" w:rsidR="00965ACE" w:rsidRPr="00965ACE" w:rsidRDefault="00965ACE" w:rsidP="0063175C">
            <w:pPr>
              <w:rPr>
                <w:sz w:val="18"/>
                <w:szCs w:val="18"/>
                <w:lang w:eastAsia="es-AR"/>
              </w:rPr>
            </w:pPr>
          </w:p>
        </w:tc>
        <w:tc>
          <w:tcPr>
            <w:tcW w:w="720" w:type="dxa"/>
            <w:tcBorders>
              <w:top w:val="nil"/>
              <w:left w:val="nil"/>
              <w:bottom w:val="nil"/>
              <w:right w:val="nil"/>
            </w:tcBorders>
            <w:shd w:val="clear" w:color="auto" w:fill="auto"/>
            <w:noWrap/>
            <w:hideMark/>
          </w:tcPr>
          <w:p w14:paraId="2744DF6A" w14:textId="77777777" w:rsidR="00965ACE" w:rsidRPr="00965ACE" w:rsidRDefault="00965ACE" w:rsidP="0063175C">
            <w:pPr>
              <w:rPr>
                <w:sz w:val="18"/>
                <w:szCs w:val="18"/>
                <w:lang w:eastAsia="es-AR"/>
              </w:rPr>
            </w:pPr>
          </w:p>
        </w:tc>
        <w:tc>
          <w:tcPr>
            <w:tcW w:w="1333" w:type="dxa"/>
            <w:tcBorders>
              <w:top w:val="nil"/>
              <w:left w:val="nil"/>
              <w:bottom w:val="nil"/>
              <w:right w:val="nil"/>
            </w:tcBorders>
          </w:tcPr>
          <w:p w14:paraId="4BF02120" w14:textId="77777777" w:rsidR="00965ACE" w:rsidRPr="00965ACE" w:rsidRDefault="00965ACE" w:rsidP="0063175C">
            <w:pPr>
              <w:rPr>
                <w:sz w:val="18"/>
                <w:szCs w:val="18"/>
                <w:lang w:eastAsia="es-AR"/>
              </w:rPr>
            </w:pPr>
          </w:p>
        </w:tc>
        <w:tc>
          <w:tcPr>
            <w:tcW w:w="600" w:type="dxa"/>
            <w:tcBorders>
              <w:top w:val="nil"/>
              <w:left w:val="nil"/>
              <w:bottom w:val="nil"/>
              <w:right w:val="nil"/>
            </w:tcBorders>
            <w:shd w:val="clear" w:color="auto" w:fill="auto"/>
            <w:noWrap/>
            <w:hideMark/>
          </w:tcPr>
          <w:p w14:paraId="183B9FBB" w14:textId="67CD5985" w:rsidR="00965ACE" w:rsidRPr="00965ACE" w:rsidRDefault="00965ACE" w:rsidP="0063175C">
            <w:pPr>
              <w:rPr>
                <w:sz w:val="18"/>
                <w:szCs w:val="18"/>
                <w:lang w:eastAsia="es-AR"/>
              </w:rPr>
            </w:pPr>
          </w:p>
        </w:tc>
        <w:tc>
          <w:tcPr>
            <w:tcW w:w="960" w:type="dxa"/>
            <w:tcBorders>
              <w:top w:val="nil"/>
              <w:left w:val="nil"/>
              <w:bottom w:val="nil"/>
              <w:right w:val="nil"/>
            </w:tcBorders>
            <w:shd w:val="clear" w:color="auto" w:fill="auto"/>
            <w:noWrap/>
            <w:hideMark/>
          </w:tcPr>
          <w:p w14:paraId="426B8194" w14:textId="77777777" w:rsidR="00965ACE" w:rsidRPr="00965ACE" w:rsidRDefault="00965ACE" w:rsidP="0063175C">
            <w:pPr>
              <w:rPr>
                <w:sz w:val="18"/>
                <w:szCs w:val="18"/>
                <w:lang w:eastAsia="es-AR"/>
              </w:rPr>
            </w:pPr>
          </w:p>
        </w:tc>
        <w:tc>
          <w:tcPr>
            <w:tcW w:w="740" w:type="dxa"/>
            <w:tcBorders>
              <w:top w:val="nil"/>
              <w:left w:val="nil"/>
              <w:bottom w:val="nil"/>
              <w:right w:val="nil"/>
            </w:tcBorders>
            <w:shd w:val="clear" w:color="auto" w:fill="auto"/>
            <w:noWrap/>
            <w:hideMark/>
          </w:tcPr>
          <w:p w14:paraId="3156F0E5" w14:textId="77777777" w:rsidR="00965ACE" w:rsidRPr="00965ACE" w:rsidRDefault="00965ACE" w:rsidP="0063175C">
            <w:pPr>
              <w:rPr>
                <w:sz w:val="18"/>
                <w:szCs w:val="18"/>
                <w:lang w:eastAsia="es-AR"/>
              </w:rPr>
            </w:pPr>
          </w:p>
        </w:tc>
        <w:tc>
          <w:tcPr>
            <w:tcW w:w="1180" w:type="dxa"/>
            <w:tcBorders>
              <w:top w:val="nil"/>
              <w:left w:val="nil"/>
              <w:bottom w:val="nil"/>
              <w:right w:val="nil"/>
            </w:tcBorders>
            <w:shd w:val="clear" w:color="auto" w:fill="auto"/>
            <w:noWrap/>
            <w:hideMark/>
          </w:tcPr>
          <w:p w14:paraId="6F644AC5" w14:textId="77777777" w:rsidR="00965ACE" w:rsidRPr="00965ACE" w:rsidRDefault="00965ACE" w:rsidP="0063175C">
            <w:pPr>
              <w:rPr>
                <w:sz w:val="18"/>
                <w:szCs w:val="18"/>
                <w:lang w:eastAsia="es-AR"/>
              </w:rPr>
            </w:pPr>
          </w:p>
        </w:tc>
        <w:tc>
          <w:tcPr>
            <w:tcW w:w="1180" w:type="dxa"/>
            <w:tcBorders>
              <w:top w:val="nil"/>
              <w:left w:val="nil"/>
              <w:bottom w:val="nil"/>
              <w:right w:val="nil"/>
            </w:tcBorders>
            <w:shd w:val="clear" w:color="auto" w:fill="auto"/>
            <w:noWrap/>
            <w:hideMark/>
          </w:tcPr>
          <w:p w14:paraId="75954FA4" w14:textId="77777777" w:rsidR="00965ACE" w:rsidRPr="00965ACE" w:rsidRDefault="00965ACE" w:rsidP="0063175C">
            <w:pPr>
              <w:rPr>
                <w:sz w:val="18"/>
                <w:szCs w:val="18"/>
                <w:lang w:eastAsia="es-AR"/>
              </w:rPr>
            </w:pPr>
          </w:p>
        </w:tc>
      </w:tr>
      <w:tr w:rsidR="00965ACE" w:rsidRPr="00965ACE" w14:paraId="6AA56097" w14:textId="77777777" w:rsidTr="00965ACE">
        <w:trPr>
          <w:trHeight w:val="300"/>
        </w:trPr>
        <w:tc>
          <w:tcPr>
            <w:tcW w:w="2725" w:type="dxa"/>
            <w:tcBorders>
              <w:top w:val="nil"/>
              <w:left w:val="nil"/>
              <w:bottom w:val="nil"/>
              <w:right w:val="nil"/>
            </w:tcBorders>
            <w:shd w:val="clear" w:color="auto" w:fill="auto"/>
            <w:hideMark/>
          </w:tcPr>
          <w:p w14:paraId="062C26B5" w14:textId="6FF28DD8" w:rsidR="00965ACE" w:rsidRPr="00965ACE" w:rsidRDefault="00965ACE" w:rsidP="00965ACE">
            <w:pPr>
              <w:rPr>
                <w:rFonts w:ascii="Arial" w:hAnsi="Arial" w:cs="Arial"/>
                <w:sz w:val="18"/>
                <w:szCs w:val="18"/>
                <w:lang w:eastAsia="es-AR"/>
              </w:rPr>
            </w:pPr>
            <w:r w:rsidRPr="00965ACE">
              <w:rPr>
                <w:rFonts w:ascii="Arial" w:hAnsi="Arial" w:cs="Arial"/>
                <w:sz w:val="18"/>
                <w:szCs w:val="18"/>
                <w:lang w:eastAsia="es-AR"/>
              </w:rPr>
              <w:t>Inmuebles alquilados</w:t>
            </w:r>
          </w:p>
        </w:tc>
        <w:tc>
          <w:tcPr>
            <w:tcW w:w="1180" w:type="dxa"/>
            <w:tcBorders>
              <w:top w:val="nil"/>
              <w:left w:val="nil"/>
              <w:bottom w:val="nil"/>
              <w:right w:val="nil"/>
            </w:tcBorders>
            <w:shd w:val="clear" w:color="auto" w:fill="auto"/>
            <w:vAlign w:val="center"/>
          </w:tcPr>
          <w:p w14:paraId="66D592FE" w14:textId="084282C0"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5.995</w:t>
            </w:r>
          </w:p>
        </w:tc>
        <w:tc>
          <w:tcPr>
            <w:tcW w:w="1120" w:type="dxa"/>
            <w:tcBorders>
              <w:top w:val="nil"/>
              <w:left w:val="nil"/>
              <w:bottom w:val="nil"/>
              <w:right w:val="nil"/>
            </w:tcBorders>
            <w:shd w:val="clear" w:color="auto" w:fill="auto"/>
            <w:vAlign w:val="center"/>
          </w:tcPr>
          <w:p w14:paraId="2A74FEAE" w14:textId="7A9EB3F9" w:rsidR="00965ACE" w:rsidRPr="00965ACE" w:rsidRDefault="00965ACE" w:rsidP="00965ACE">
            <w:pPr>
              <w:jc w:val="center"/>
              <w:rPr>
                <w:rFonts w:ascii="Arial" w:hAnsi="Arial" w:cs="Arial"/>
                <w:sz w:val="18"/>
                <w:szCs w:val="18"/>
                <w:lang w:eastAsia="es-AR"/>
              </w:rPr>
            </w:pPr>
            <w:r w:rsidRPr="00965ACE">
              <w:rPr>
                <w:rFonts w:ascii="Arial" w:hAnsi="Arial" w:cs="Arial"/>
                <w:sz w:val="18"/>
                <w:szCs w:val="18"/>
              </w:rPr>
              <w:t>5</w:t>
            </w:r>
          </w:p>
        </w:tc>
        <w:tc>
          <w:tcPr>
            <w:tcW w:w="1300" w:type="dxa"/>
            <w:tcBorders>
              <w:top w:val="nil"/>
              <w:left w:val="nil"/>
              <w:bottom w:val="nil"/>
              <w:right w:val="nil"/>
            </w:tcBorders>
            <w:shd w:val="clear" w:color="auto" w:fill="auto"/>
            <w:vAlign w:val="center"/>
          </w:tcPr>
          <w:p w14:paraId="655B1BF8" w14:textId="19B6FFFB" w:rsidR="00965ACE" w:rsidRPr="00965ACE" w:rsidRDefault="007C5B29" w:rsidP="00965ACE">
            <w:pPr>
              <w:jc w:val="right"/>
              <w:rPr>
                <w:rFonts w:ascii="Arial" w:hAnsi="Arial" w:cs="Arial"/>
                <w:sz w:val="18"/>
                <w:szCs w:val="18"/>
                <w:lang w:eastAsia="es-AR"/>
              </w:rPr>
            </w:pPr>
            <w:r>
              <w:rPr>
                <w:rFonts w:ascii="Arial" w:hAnsi="Arial" w:cs="Arial"/>
                <w:sz w:val="18"/>
                <w:szCs w:val="18"/>
                <w:lang w:eastAsia="es-AR"/>
              </w:rPr>
              <w:t>-</w:t>
            </w:r>
          </w:p>
        </w:tc>
        <w:tc>
          <w:tcPr>
            <w:tcW w:w="1030" w:type="dxa"/>
            <w:tcBorders>
              <w:top w:val="nil"/>
              <w:left w:val="nil"/>
              <w:bottom w:val="nil"/>
              <w:right w:val="nil"/>
            </w:tcBorders>
            <w:shd w:val="clear" w:color="auto" w:fill="auto"/>
            <w:vAlign w:val="center"/>
          </w:tcPr>
          <w:p w14:paraId="734CF339" w14:textId="5602C329"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19.203</w:t>
            </w:r>
          </w:p>
        </w:tc>
        <w:tc>
          <w:tcPr>
            <w:tcW w:w="720" w:type="dxa"/>
            <w:tcBorders>
              <w:top w:val="nil"/>
              <w:left w:val="nil"/>
              <w:bottom w:val="nil"/>
              <w:right w:val="nil"/>
            </w:tcBorders>
            <w:shd w:val="clear" w:color="auto" w:fill="auto"/>
            <w:vAlign w:val="center"/>
          </w:tcPr>
          <w:p w14:paraId="6A1BD4C1" w14:textId="05B8B2FB" w:rsidR="00965ACE" w:rsidRPr="00965ACE" w:rsidRDefault="007C5B29" w:rsidP="00965ACE">
            <w:pPr>
              <w:jc w:val="right"/>
              <w:rPr>
                <w:rFonts w:ascii="Arial" w:hAnsi="Arial" w:cs="Arial"/>
                <w:sz w:val="18"/>
                <w:szCs w:val="18"/>
                <w:lang w:eastAsia="es-AR"/>
              </w:rPr>
            </w:pPr>
            <w:r>
              <w:rPr>
                <w:rFonts w:ascii="Arial" w:hAnsi="Arial" w:cs="Arial"/>
                <w:sz w:val="18"/>
                <w:szCs w:val="18"/>
                <w:lang w:eastAsia="es-AR"/>
              </w:rPr>
              <w:t>-</w:t>
            </w:r>
          </w:p>
        </w:tc>
        <w:tc>
          <w:tcPr>
            <w:tcW w:w="1333" w:type="dxa"/>
            <w:tcBorders>
              <w:top w:val="nil"/>
              <w:left w:val="nil"/>
              <w:bottom w:val="nil"/>
              <w:right w:val="nil"/>
            </w:tcBorders>
            <w:vAlign w:val="center"/>
          </w:tcPr>
          <w:p w14:paraId="184DE57D" w14:textId="31A99626"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-473</w:t>
            </w:r>
          </w:p>
        </w:tc>
        <w:tc>
          <w:tcPr>
            <w:tcW w:w="600" w:type="dxa"/>
            <w:tcBorders>
              <w:top w:val="nil"/>
              <w:left w:val="nil"/>
              <w:bottom w:val="nil"/>
              <w:right w:val="nil"/>
            </w:tcBorders>
            <w:shd w:val="clear" w:color="auto" w:fill="auto"/>
            <w:vAlign w:val="center"/>
          </w:tcPr>
          <w:p w14:paraId="48BDE47A" w14:textId="10AE7904" w:rsidR="00965ACE" w:rsidRPr="00965ACE" w:rsidRDefault="00965ACE" w:rsidP="00965ACE">
            <w:pPr>
              <w:jc w:val="right"/>
              <w:rPr>
                <w:rFonts w:ascii="Arial" w:hAnsi="Arial" w:cs="Arial"/>
                <w:sz w:val="18"/>
                <w:szCs w:val="18"/>
                <w:lang w:eastAsia="es-AR"/>
              </w:rPr>
            </w:pPr>
            <w:r>
              <w:rPr>
                <w:rFonts w:ascii="Arial" w:hAnsi="Arial" w:cs="Arial"/>
                <w:sz w:val="18"/>
                <w:szCs w:val="18"/>
              </w:rPr>
              <w:t>-</w:t>
            </w:r>
          </w:p>
        </w:tc>
        <w:tc>
          <w:tcPr>
            <w:tcW w:w="960" w:type="dxa"/>
            <w:tcBorders>
              <w:top w:val="nil"/>
              <w:left w:val="nil"/>
              <w:bottom w:val="nil"/>
              <w:right w:val="nil"/>
            </w:tcBorders>
            <w:shd w:val="clear" w:color="auto" w:fill="auto"/>
            <w:vAlign w:val="center"/>
          </w:tcPr>
          <w:p w14:paraId="37F2F988" w14:textId="4B6927A2"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-2.087</w:t>
            </w:r>
          </w:p>
        </w:tc>
        <w:tc>
          <w:tcPr>
            <w:tcW w:w="740" w:type="dxa"/>
            <w:tcBorders>
              <w:top w:val="nil"/>
              <w:left w:val="nil"/>
              <w:bottom w:val="nil"/>
              <w:right w:val="nil"/>
            </w:tcBorders>
            <w:shd w:val="clear" w:color="auto" w:fill="auto"/>
            <w:vAlign w:val="center"/>
          </w:tcPr>
          <w:p w14:paraId="7F5BAEBE" w14:textId="1C224FE4"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-2.560</w:t>
            </w:r>
          </w:p>
        </w:tc>
        <w:tc>
          <w:tcPr>
            <w:tcW w:w="1180" w:type="dxa"/>
            <w:tcBorders>
              <w:top w:val="nil"/>
              <w:left w:val="nil"/>
              <w:bottom w:val="nil"/>
              <w:right w:val="nil"/>
            </w:tcBorders>
            <w:shd w:val="clear" w:color="auto" w:fill="auto"/>
            <w:vAlign w:val="center"/>
          </w:tcPr>
          <w:p w14:paraId="7B4BB524" w14:textId="6B5F8FBA"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22.638</w:t>
            </w:r>
          </w:p>
        </w:tc>
        <w:tc>
          <w:tcPr>
            <w:tcW w:w="1180" w:type="dxa"/>
            <w:tcBorders>
              <w:top w:val="nil"/>
              <w:left w:val="nil"/>
              <w:bottom w:val="nil"/>
              <w:right w:val="nil"/>
            </w:tcBorders>
            <w:shd w:val="clear" w:color="auto" w:fill="auto"/>
            <w:vAlign w:val="center"/>
          </w:tcPr>
          <w:p w14:paraId="22712BAD" w14:textId="4C19D1B9"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5.522</w:t>
            </w:r>
          </w:p>
        </w:tc>
      </w:tr>
      <w:tr w:rsidR="00965ACE" w:rsidRPr="00965ACE" w14:paraId="70909AD3" w14:textId="77777777" w:rsidTr="00965ACE">
        <w:trPr>
          <w:trHeight w:val="300"/>
        </w:trPr>
        <w:tc>
          <w:tcPr>
            <w:tcW w:w="2725" w:type="dxa"/>
            <w:tcBorders>
              <w:top w:val="nil"/>
              <w:left w:val="nil"/>
              <w:bottom w:val="nil"/>
              <w:right w:val="nil"/>
            </w:tcBorders>
            <w:shd w:val="clear" w:color="auto" w:fill="auto"/>
            <w:hideMark/>
          </w:tcPr>
          <w:p w14:paraId="65776B67" w14:textId="77777777" w:rsidR="00965ACE" w:rsidRPr="00965ACE" w:rsidRDefault="00965ACE" w:rsidP="0063175C">
            <w:pPr>
              <w:rPr>
                <w:rFonts w:ascii="Arial" w:hAnsi="Arial" w:cs="Arial"/>
                <w:b/>
                <w:bCs/>
                <w:sz w:val="18"/>
                <w:szCs w:val="18"/>
                <w:lang w:eastAsia="es-AR"/>
              </w:rPr>
            </w:pPr>
            <w:r w:rsidRPr="00965ACE">
              <w:rPr>
                <w:rFonts w:ascii="Arial" w:hAnsi="Arial" w:cs="Arial"/>
                <w:b/>
                <w:bCs/>
                <w:sz w:val="18"/>
                <w:szCs w:val="18"/>
                <w:lang w:eastAsia="es-AR"/>
              </w:rPr>
              <w:t>Medición al valor razonable</w:t>
            </w:r>
          </w:p>
        </w:tc>
        <w:tc>
          <w:tcPr>
            <w:tcW w:w="1180" w:type="dxa"/>
            <w:tcBorders>
              <w:top w:val="nil"/>
              <w:left w:val="nil"/>
              <w:bottom w:val="nil"/>
              <w:right w:val="nil"/>
            </w:tcBorders>
            <w:shd w:val="clear" w:color="auto" w:fill="auto"/>
            <w:noWrap/>
            <w:vAlign w:val="center"/>
          </w:tcPr>
          <w:p w14:paraId="3160337F" w14:textId="77777777" w:rsidR="00965ACE" w:rsidRPr="00965ACE" w:rsidRDefault="00965ACE" w:rsidP="00965ACE">
            <w:pPr>
              <w:jc w:val="right"/>
              <w:rPr>
                <w:rFonts w:ascii="Arial" w:hAnsi="Arial" w:cs="Arial"/>
                <w:b/>
                <w:bCs/>
                <w:sz w:val="18"/>
                <w:szCs w:val="18"/>
                <w:lang w:eastAsia="es-AR"/>
              </w:rPr>
            </w:pPr>
          </w:p>
        </w:tc>
        <w:tc>
          <w:tcPr>
            <w:tcW w:w="1120" w:type="dxa"/>
            <w:tcBorders>
              <w:top w:val="nil"/>
              <w:left w:val="nil"/>
              <w:bottom w:val="nil"/>
              <w:right w:val="nil"/>
            </w:tcBorders>
            <w:shd w:val="clear" w:color="auto" w:fill="auto"/>
            <w:noWrap/>
            <w:vAlign w:val="center"/>
          </w:tcPr>
          <w:p w14:paraId="52A46A40" w14:textId="77777777" w:rsidR="00965ACE" w:rsidRPr="00965ACE" w:rsidRDefault="00965ACE" w:rsidP="00965ACE">
            <w:pPr>
              <w:jc w:val="center"/>
              <w:rPr>
                <w:sz w:val="18"/>
                <w:szCs w:val="18"/>
                <w:lang w:eastAsia="es-AR"/>
              </w:rPr>
            </w:pPr>
          </w:p>
        </w:tc>
        <w:tc>
          <w:tcPr>
            <w:tcW w:w="1300" w:type="dxa"/>
            <w:tcBorders>
              <w:top w:val="nil"/>
              <w:left w:val="nil"/>
              <w:bottom w:val="nil"/>
              <w:right w:val="nil"/>
            </w:tcBorders>
            <w:shd w:val="clear" w:color="auto" w:fill="auto"/>
            <w:noWrap/>
            <w:vAlign w:val="center"/>
          </w:tcPr>
          <w:p w14:paraId="088CEE4C" w14:textId="77777777" w:rsidR="00965ACE" w:rsidRPr="00965ACE" w:rsidRDefault="00965ACE" w:rsidP="00965ACE">
            <w:pPr>
              <w:jc w:val="right"/>
              <w:rPr>
                <w:sz w:val="18"/>
                <w:szCs w:val="18"/>
                <w:lang w:eastAsia="es-AR"/>
              </w:rPr>
            </w:pPr>
          </w:p>
        </w:tc>
        <w:tc>
          <w:tcPr>
            <w:tcW w:w="1030" w:type="dxa"/>
            <w:tcBorders>
              <w:top w:val="nil"/>
              <w:left w:val="nil"/>
              <w:bottom w:val="nil"/>
              <w:right w:val="nil"/>
            </w:tcBorders>
            <w:shd w:val="clear" w:color="auto" w:fill="auto"/>
            <w:noWrap/>
            <w:vAlign w:val="center"/>
          </w:tcPr>
          <w:p w14:paraId="219E934E" w14:textId="77777777" w:rsidR="00965ACE" w:rsidRPr="00965ACE" w:rsidRDefault="00965ACE" w:rsidP="00965ACE">
            <w:pPr>
              <w:jc w:val="right"/>
              <w:rPr>
                <w:sz w:val="18"/>
                <w:szCs w:val="18"/>
                <w:lang w:eastAsia="es-AR"/>
              </w:rPr>
            </w:pPr>
          </w:p>
        </w:tc>
        <w:tc>
          <w:tcPr>
            <w:tcW w:w="720" w:type="dxa"/>
            <w:tcBorders>
              <w:top w:val="nil"/>
              <w:left w:val="nil"/>
              <w:bottom w:val="nil"/>
              <w:right w:val="nil"/>
            </w:tcBorders>
            <w:shd w:val="clear" w:color="auto" w:fill="auto"/>
            <w:noWrap/>
            <w:vAlign w:val="center"/>
          </w:tcPr>
          <w:p w14:paraId="5B85EBEE" w14:textId="77777777" w:rsidR="00965ACE" w:rsidRPr="00965ACE" w:rsidRDefault="00965ACE" w:rsidP="00965ACE">
            <w:pPr>
              <w:jc w:val="right"/>
              <w:rPr>
                <w:sz w:val="18"/>
                <w:szCs w:val="18"/>
                <w:lang w:eastAsia="es-AR"/>
              </w:rPr>
            </w:pPr>
          </w:p>
        </w:tc>
        <w:tc>
          <w:tcPr>
            <w:tcW w:w="1333" w:type="dxa"/>
            <w:tcBorders>
              <w:top w:val="nil"/>
              <w:left w:val="nil"/>
              <w:bottom w:val="nil"/>
              <w:right w:val="nil"/>
            </w:tcBorders>
            <w:vAlign w:val="center"/>
          </w:tcPr>
          <w:p w14:paraId="1363CAEA" w14:textId="77777777" w:rsidR="00965ACE" w:rsidRPr="00965ACE" w:rsidRDefault="00965ACE" w:rsidP="00965ACE">
            <w:pPr>
              <w:jc w:val="right"/>
              <w:rPr>
                <w:sz w:val="18"/>
                <w:szCs w:val="18"/>
                <w:lang w:eastAsia="es-AR"/>
              </w:rPr>
            </w:pPr>
          </w:p>
        </w:tc>
        <w:tc>
          <w:tcPr>
            <w:tcW w:w="600" w:type="dxa"/>
            <w:tcBorders>
              <w:top w:val="nil"/>
              <w:left w:val="nil"/>
              <w:bottom w:val="nil"/>
              <w:right w:val="nil"/>
            </w:tcBorders>
            <w:shd w:val="clear" w:color="auto" w:fill="auto"/>
            <w:noWrap/>
            <w:vAlign w:val="center"/>
          </w:tcPr>
          <w:p w14:paraId="3BB8E613" w14:textId="7F69A820" w:rsidR="00965ACE" w:rsidRPr="00965ACE" w:rsidRDefault="00965ACE" w:rsidP="00965ACE">
            <w:pPr>
              <w:jc w:val="right"/>
              <w:rPr>
                <w:sz w:val="18"/>
                <w:szCs w:val="18"/>
                <w:lang w:eastAsia="es-AR"/>
              </w:rPr>
            </w:pPr>
          </w:p>
        </w:tc>
        <w:tc>
          <w:tcPr>
            <w:tcW w:w="960" w:type="dxa"/>
            <w:tcBorders>
              <w:top w:val="nil"/>
              <w:left w:val="nil"/>
              <w:bottom w:val="nil"/>
              <w:right w:val="nil"/>
            </w:tcBorders>
            <w:shd w:val="clear" w:color="auto" w:fill="auto"/>
            <w:noWrap/>
            <w:vAlign w:val="center"/>
          </w:tcPr>
          <w:p w14:paraId="3F5F2DDC" w14:textId="77777777" w:rsidR="00965ACE" w:rsidRPr="00965ACE" w:rsidRDefault="00965ACE" w:rsidP="00965ACE">
            <w:pPr>
              <w:jc w:val="right"/>
              <w:rPr>
                <w:sz w:val="18"/>
                <w:szCs w:val="18"/>
                <w:lang w:eastAsia="es-AR"/>
              </w:rPr>
            </w:pPr>
          </w:p>
        </w:tc>
        <w:tc>
          <w:tcPr>
            <w:tcW w:w="740" w:type="dxa"/>
            <w:tcBorders>
              <w:top w:val="nil"/>
              <w:left w:val="nil"/>
              <w:bottom w:val="nil"/>
              <w:right w:val="nil"/>
            </w:tcBorders>
            <w:shd w:val="clear" w:color="auto" w:fill="auto"/>
            <w:noWrap/>
            <w:vAlign w:val="center"/>
          </w:tcPr>
          <w:p w14:paraId="416F2B49" w14:textId="77777777" w:rsidR="00965ACE" w:rsidRPr="00965ACE" w:rsidRDefault="00965ACE" w:rsidP="00965ACE">
            <w:pPr>
              <w:jc w:val="right"/>
              <w:rPr>
                <w:sz w:val="18"/>
                <w:szCs w:val="18"/>
                <w:lang w:eastAsia="es-AR"/>
              </w:rPr>
            </w:pPr>
          </w:p>
        </w:tc>
        <w:tc>
          <w:tcPr>
            <w:tcW w:w="1180" w:type="dxa"/>
            <w:tcBorders>
              <w:top w:val="nil"/>
              <w:left w:val="nil"/>
              <w:bottom w:val="nil"/>
              <w:right w:val="nil"/>
            </w:tcBorders>
            <w:shd w:val="clear" w:color="auto" w:fill="auto"/>
            <w:noWrap/>
            <w:vAlign w:val="center"/>
          </w:tcPr>
          <w:p w14:paraId="60DC6B9B" w14:textId="77777777" w:rsidR="00965ACE" w:rsidRPr="00965ACE" w:rsidRDefault="00965ACE" w:rsidP="00965ACE">
            <w:pPr>
              <w:jc w:val="right"/>
              <w:rPr>
                <w:sz w:val="18"/>
                <w:szCs w:val="18"/>
                <w:lang w:eastAsia="es-AR"/>
              </w:rPr>
            </w:pPr>
          </w:p>
        </w:tc>
        <w:tc>
          <w:tcPr>
            <w:tcW w:w="1180" w:type="dxa"/>
            <w:tcBorders>
              <w:top w:val="nil"/>
              <w:left w:val="nil"/>
              <w:bottom w:val="nil"/>
              <w:right w:val="nil"/>
            </w:tcBorders>
            <w:shd w:val="clear" w:color="auto" w:fill="auto"/>
            <w:noWrap/>
            <w:vAlign w:val="center"/>
          </w:tcPr>
          <w:p w14:paraId="0318FC38" w14:textId="77777777" w:rsidR="00965ACE" w:rsidRPr="00965ACE" w:rsidRDefault="00965ACE" w:rsidP="00965ACE">
            <w:pPr>
              <w:jc w:val="right"/>
              <w:rPr>
                <w:sz w:val="18"/>
                <w:szCs w:val="18"/>
                <w:lang w:eastAsia="es-AR"/>
              </w:rPr>
            </w:pPr>
          </w:p>
        </w:tc>
      </w:tr>
      <w:tr w:rsidR="00965ACE" w:rsidRPr="00965ACE" w14:paraId="6314BCF7" w14:textId="77777777" w:rsidTr="00965ACE">
        <w:trPr>
          <w:trHeight w:val="319"/>
        </w:trPr>
        <w:tc>
          <w:tcPr>
            <w:tcW w:w="2725" w:type="dxa"/>
            <w:tcBorders>
              <w:top w:val="nil"/>
              <w:left w:val="nil"/>
              <w:bottom w:val="nil"/>
              <w:right w:val="nil"/>
            </w:tcBorders>
            <w:shd w:val="clear" w:color="auto" w:fill="auto"/>
            <w:hideMark/>
          </w:tcPr>
          <w:p w14:paraId="7690907B" w14:textId="7B8F9626" w:rsidR="00965ACE" w:rsidRPr="00965ACE" w:rsidRDefault="00965ACE" w:rsidP="00965ACE">
            <w:pPr>
              <w:rPr>
                <w:rFonts w:ascii="Arial" w:hAnsi="Arial" w:cs="Arial"/>
                <w:sz w:val="18"/>
                <w:szCs w:val="18"/>
                <w:lang w:eastAsia="es-AR"/>
              </w:rPr>
            </w:pPr>
            <w:r w:rsidRPr="00965ACE">
              <w:rPr>
                <w:rFonts w:ascii="Arial" w:hAnsi="Arial" w:cs="Arial"/>
                <w:sz w:val="18"/>
                <w:szCs w:val="18"/>
                <w:lang w:eastAsia="es-AR"/>
              </w:rPr>
              <w:t>Inmuebles alquilados</w:t>
            </w:r>
          </w:p>
        </w:tc>
        <w:tc>
          <w:tcPr>
            <w:tcW w:w="1180" w:type="dxa"/>
            <w:tcBorders>
              <w:top w:val="nil"/>
              <w:left w:val="nil"/>
              <w:bottom w:val="nil"/>
              <w:right w:val="nil"/>
            </w:tcBorders>
            <w:shd w:val="clear" w:color="auto" w:fill="auto"/>
            <w:vAlign w:val="center"/>
          </w:tcPr>
          <w:p w14:paraId="2303AAF5" w14:textId="1380FB45"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407.300</w:t>
            </w:r>
          </w:p>
        </w:tc>
        <w:tc>
          <w:tcPr>
            <w:tcW w:w="1120" w:type="dxa"/>
            <w:tcBorders>
              <w:top w:val="nil"/>
              <w:left w:val="nil"/>
              <w:bottom w:val="nil"/>
              <w:right w:val="nil"/>
            </w:tcBorders>
            <w:shd w:val="clear" w:color="auto" w:fill="auto"/>
            <w:vAlign w:val="center"/>
          </w:tcPr>
          <w:p w14:paraId="5EC23E9C" w14:textId="56344D8C" w:rsidR="00965ACE" w:rsidRPr="00965ACE" w:rsidRDefault="00965ACE" w:rsidP="00965ACE">
            <w:pPr>
              <w:jc w:val="center"/>
              <w:rPr>
                <w:rFonts w:ascii="Arial" w:hAnsi="Arial" w:cs="Arial"/>
                <w:sz w:val="18"/>
                <w:szCs w:val="18"/>
                <w:lang w:eastAsia="es-AR"/>
              </w:rPr>
            </w:pPr>
            <w:r w:rsidRPr="00965ACE">
              <w:rPr>
                <w:rFonts w:ascii="Arial" w:hAnsi="Arial" w:cs="Arial"/>
                <w:sz w:val="18"/>
                <w:szCs w:val="18"/>
              </w:rPr>
              <w:t>50</w:t>
            </w:r>
          </w:p>
        </w:tc>
        <w:tc>
          <w:tcPr>
            <w:tcW w:w="1300" w:type="dxa"/>
            <w:tcBorders>
              <w:top w:val="nil"/>
              <w:left w:val="nil"/>
              <w:bottom w:val="nil"/>
              <w:right w:val="nil"/>
            </w:tcBorders>
            <w:shd w:val="clear" w:color="auto" w:fill="auto"/>
            <w:vAlign w:val="center"/>
          </w:tcPr>
          <w:p w14:paraId="5CE8DD0F" w14:textId="2F8FD8A4"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428.468</w:t>
            </w:r>
          </w:p>
        </w:tc>
        <w:tc>
          <w:tcPr>
            <w:tcW w:w="1030" w:type="dxa"/>
            <w:tcBorders>
              <w:top w:val="nil"/>
              <w:left w:val="nil"/>
              <w:bottom w:val="nil"/>
              <w:right w:val="nil"/>
            </w:tcBorders>
            <w:shd w:val="clear" w:color="auto" w:fill="auto"/>
            <w:vAlign w:val="center"/>
          </w:tcPr>
          <w:p w14:paraId="6C7561FC" w14:textId="3C76CAD1"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3.019.693</w:t>
            </w:r>
          </w:p>
        </w:tc>
        <w:tc>
          <w:tcPr>
            <w:tcW w:w="720" w:type="dxa"/>
            <w:tcBorders>
              <w:top w:val="nil"/>
              <w:left w:val="nil"/>
              <w:bottom w:val="nil"/>
              <w:right w:val="nil"/>
            </w:tcBorders>
            <w:shd w:val="clear" w:color="auto" w:fill="auto"/>
            <w:vAlign w:val="center"/>
          </w:tcPr>
          <w:p w14:paraId="6E3D0312" w14:textId="344F9974"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-457</w:t>
            </w:r>
          </w:p>
        </w:tc>
        <w:tc>
          <w:tcPr>
            <w:tcW w:w="1333" w:type="dxa"/>
            <w:tcBorders>
              <w:top w:val="nil"/>
              <w:left w:val="nil"/>
              <w:bottom w:val="nil"/>
              <w:right w:val="nil"/>
            </w:tcBorders>
            <w:vAlign w:val="center"/>
          </w:tcPr>
          <w:p w14:paraId="2F0A2957" w14:textId="5A4A9605"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lang w:eastAsia="es-AR"/>
              </w:rPr>
              <w:t>-</w:t>
            </w:r>
          </w:p>
        </w:tc>
        <w:tc>
          <w:tcPr>
            <w:tcW w:w="600" w:type="dxa"/>
            <w:tcBorders>
              <w:top w:val="nil"/>
              <w:left w:val="nil"/>
              <w:bottom w:val="nil"/>
              <w:right w:val="nil"/>
            </w:tcBorders>
            <w:shd w:val="clear" w:color="auto" w:fill="auto"/>
            <w:vAlign w:val="center"/>
          </w:tcPr>
          <w:p w14:paraId="35ABB390" w14:textId="7A6A1135"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lang w:eastAsia="es-AR"/>
              </w:rPr>
              <w:t>-</w:t>
            </w:r>
          </w:p>
        </w:tc>
        <w:tc>
          <w:tcPr>
            <w:tcW w:w="960" w:type="dxa"/>
            <w:tcBorders>
              <w:top w:val="nil"/>
              <w:left w:val="nil"/>
              <w:bottom w:val="nil"/>
              <w:right w:val="nil"/>
            </w:tcBorders>
            <w:shd w:val="clear" w:color="auto" w:fill="auto"/>
            <w:vAlign w:val="center"/>
          </w:tcPr>
          <w:p w14:paraId="1714760E" w14:textId="522324D3"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lang w:eastAsia="es-AR"/>
              </w:rPr>
              <w:t>-</w:t>
            </w:r>
          </w:p>
        </w:tc>
        <w:tc>
          <w:tcPr>
            <w:tcW w:w="740" w:type="dxa"/>
            <w:tcBorders>
              <w:top w:val="nil"/>
              <w:left w:val="nil"/>
              <w:bottom w:val="nil"/>
              <w:right w:val="nil"/>
            </w:tcBorders>
            <w:shd w:val="clear" w:color="auto" w:fill="auto"/>
            <w:vAlign w:val="center"/>
          </w:tcPr>
          <w:p w14:paraId="0701A94B" w14:textId="2948952F"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lang w:eastAsia="es-AR"/>
              </w:rPr>
              <w:t>-</w:t>
            </w:r>
          </w:p>
        </w:tc>
        <w:tc>
          <w:tcPr>
            <w:tcW w:w="1180" w:type="dxa"/>
            <w:tcBorders>
              <w:top w:val="nil"/>
              <w:left w:val="nil"/>
              <w:bottom w:val="nil"/>
              <w:right w:val="nil"/>
            </w:tcBorders>
            <w:shd w:val="clear" w:color="auto" w:fill="auto"/>
            <w:vAlign w:val="center"/>
          </w:tcPr>
          <w:p w14:paraId="65C84A2E" w14:textId="2FCF8F5B"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3.855.004</w:t>
            </w:r>
          </w:p>
        </w:tc>
        <w:tc>
          <w:tcPr>
            <w:tcW w:w="1180" w:type="dxa"/>
            <w:tcBorders>
              <w:top w:val="nil"/>
              <w:left w:val="nil"/>
              <w:bottom w:val="nil"/>
              <w:right w:val="nil"/>
            </w:tcBorders>
            <w:shd w:val="clear" w:color="auto" w:fill="auto"/>
            <w:vAlign w:val="center"/>
          </w:tcPr>
          <w:p w14:paraId="4FD2BFCB" w14:textId="48BB737E" w:rsidR="00965ACE" w:rsidRPr="00965ACE" w:rsidRDefault="00965ACE" w:rsidP="00965ACE">
            <w:pPr>
              <w:jc w:val="right"/>
              <w:rPr>
                <w:rFonts w:ascii="Arial" w:hAnsi="Arial" w:cs="Arial"/>
                <w:sz w:val="18"/>
                <w:szCs w:val="18"/>
                <w:lang w:eastAsia="es-AR"/>
              </w:rPr>
            </w:pPr>
            <w:r w:rsidRPr="00965ACE">
              <w:rPr>
                <w:rFonts w:ascii="Arial" w:hAnsi="Arial" w:cs="Arial"/>
                <w:sz w:val="18"/>
                <w:szCs w:val="18"/>
              </w:rPr>
              <w:t>407.300</w:t>
            </w:r>
          </w:p>
        </w:tc>
      </w:tr>
      <w:tr w:rsidR="00965ACE" w:rsidRPr="00965ACE" w14:paraId="7EE72510" w14:textId="77777777" w:rsidTr="00965ACE">
        <w:trPr>
          <w:trHeight w:val="319"/>
        </w:trPr>
        <w:tc>
          <w:tcPr>
            <w:tcW w:w="2725" w:type="dxa"/>
            <w:tcBorders>
              <w:top w:val="nil"/>
              <w:left w:val="nil"/>
              <w:bottom w:val="nil"/>
              <w:right w:val="nil"/>
            </w:tcBorders>
            <w:shd w:val="clear" w:color="auto" w:fill="auto"/>
            <w:hideMark/>
          </w:tcPr>
          <w:p w14:paraId="2DA230FD" w14:textId="77777777" w:rsidR="00965ACE" w:rsidRPr="00965ACE" w:rsidRDefault="00965ACE" w:rsidP="0063175C">
            <w:pPr>
              <w:rPr>
                <w:rFonts w:ascii="Arial" w:hAnsi="Arial" w:cs="Arial"/>
                <w:sz w:val="18"/>
                <w:szCs w:val="18"/>
                <w:lang w:eastAsia="es-AR"/>
              </w:rPr>
            </w:pPr>
          </w:p>
        </w:tc>
        <w:tc>
          <w:tcPr>
            <w:tcW w:w="1180" w:type="dxa"/>
            <w:tcBorders>
              <w:top w:val="nil"/>
              <w:left w:val="nil"/>
              <w:bottom w:val="nil"/>
              <w:right w:val="nil"/>
            </w:tcBorders>
            <w:shd w:val="clear" w:color="auto" w:fill="auto"/>
            <w:vAlign w:val="center"/>
          </w:tcPr>
          <w:p w14:paraId="423E2AE8" w14:textId="77777777" w:rsidR="00965ACE" w:rsidRPr="00965ACE" w:rsidRDefault="00965ACE" w:rsidP="00965ACE">
            <w:pPr>
              <w:jc w:val="right"/>
              <w:rPr>
                <w:sz w:val="18"/>
                <w:szCs w:val="18"/>
                <w:lang w:eastAsia="es-AR"/>
              </w:rPr>
            </w:pPr>
          </w:p>
        </w:tc>
        <w:tc>
          <w:tcPr>
            <w:tcW w:w="1120" w:type="dxa"/>
            <w:tcBorders>
              <w:top w:val="nil"/>
              <w:left w:val="nil"/>
              <w:bottom w:val="nil"/>
              <w:right w:val="nil"/>
            </w:tcBorders>
            <w:shd w:val="clear" w:color="auto" w:fill="auto"/>
            <w:vAlign w:val="center"/>
          </w:tcPr>
          <w:p w14:paraId="6600EDAE" w14:textId="77777777" w:rsidR="00965ACE" w:rsidRPr="00965ACE" w:rsidRDefault="00965ACE" w:rsidP="00965ACE">
            <w:pPr>
              <w:jc w:val="right"/>
              <w:rPr>
                <w:sz w:val="18"/>
                <w:szCs w:val="18"/>
                <w:lang w:eastAsia="es-AR"/>
              </w:rPr>
            </w:pPr>
          </w:p>
        </w:tc>
        <w:tc>
          <w:tcPr>
            <w:tcW w:w="1300" w:type="dxa"/>
            <w:tcBorders>
              <w:top w:val="nil"/>
              <w:left w:val="nil"/>
              <w:bottom w:val="nil"/>
              <w:right w:val="nil"/>
            </w:tcBorders>
            <w:shd w:val="clear" w:color="auto" w:fill="auto"/>
            <w:vAlign w:val="center"/>
          </w:tcPr>
          <w:p w14:paraId="4CAB1F86" w14:textId="77777777" w:rsidR="00965ACE" w:rsidRPr="00965ACE" w:rsidRDefault="00965ACE" w:rsidP="00965ACE">
            <w:pPr>
              <w:jc w:val="right"/>
              <w:rPr>
                <w:sz w:val="18"/>
                <w:szCs w:val="18"/>
                <w:lang w:eastAsia="es-AR"/>
              </w:rPr>
            </w:pPr>
          </w:p>
        </w:tc>
        <w:tc>
          <w:tcPr>
            <w:tcW w:w="1030" w:type="dxa"/>
            <w:tcBorders>
              <w:top w:val="nil"/>
              <w:left w:val="nil"/>
              <w:bottom w:val="nil"/>
              <w:right w:val="nil"/>
            </w:tcBorders>
            <w:shd w:val="clear" w:color="auto" w:fill="auto"/>
            <w:vAlign w:val="center"/>
          </w:tcPr>
          <w:p w14:paraId="5BE5466C" w14:textId="77777777" w:rsidR="00965ACE" w:rsidRPr="00965ACE" w:rsidRDefault="00965ACE" w:rsidP="00965ACE">
            <w:pPr>
              <w:jc w:val="right"/>
              <w:rPr>
                <w:sz w:val="18"/>
                <w:szCs w:val="18"/>
                <w:lang w:eastAsia="es-AR"/>
              </w:rPr>
            </w:pPr>
          </w:p>
        </w:tc>
        <w:tc>
          <w:tcPr>
            <w:tcW w:w="720" w:type="dxa"/>
            <w:tcBorders>
              <w:top w:val="nil"/>
              <w:left w:val="nil"/>
              <w:bottom w:val="nil"/>
              <w:right w:val="nil"/>
            </w:tcBorders>
            <w:shd w:val="clear" w:color="auto" w:fill="auto"/>
            <w:vAlign w:val="center"/>
          </w:tcPr>
          <w:p w14:paraId="05CB88E9" w14:textId="77777777" w:rsidR="00965ACE" w:rsidRPr="00965ACE" w:rsidRDefault="00965ACE" w:rsidP="00965ACE">
            <w:pPr>
              <w:jc w:val="right"/>
              <w:rPr>
                <w:sz w:val="18"/>
                <w:szCs w:val="18"/>
                <w:lang w:eastAsia="es-AR"/>
              </w:rPr>
            </w:pPr>
          </w:p>
        </w:tc>
        <w:tc>
          <w:tcPr>
            <w:tcW w:w="1333" w:type="dxa"/>
            <w:tcBorders>
              <w:top w:val="nil"/>
              <w:left w:val="nil"/>
              <w:bottom w:val="nil"/>
              <w:right w:val="nil"/>
            </w:tcBorders>
            <w:vAlign w:val="center"/>
          </w:tcPr>
          <w:p w14:paraId="4ED02D9B" w14:textId="77777777" w:rsidR="00965ACE" w:rsidRPr="00965ACE" w:rsidRDefault="00965ACE" w:rsidP="00965ACE">
            <w:pPr>
              <w:jc w:val="right"/>
              <w:rPr>
                <w:sz w:val="18"/>
                <w:szCs w:val="18"/>
                <w:lang w:eastAsia="es-AR"/>
              </w:rPr>
            </w:pPr>
          </w:p>
        </w:tc>
        <w:tc>
          <w:tcPr>
            <w:tcW w:w="600" w:type="dxa"/>
            <w:tcBorders>
              <w:top w:val="nil"/>
              <w:left w:val="nil"/>
              <w:bottom w:val="nil"/>
              <w:right w:val="nil"/>
            </w:tcBorders>
            <w:shd w:val="clear" w:color="auto" w:fill="auto"/>
            <w:vAlign w:val="center"/>
          </w:tcPr>
          <w:p w14:paraId="6C5006CB" w14:textId="33E0B6C3" w:rsidR="00965ACE" w:rsidRPr="00965ACE" w:rsidRDefault="00965ACE" w:rsidP="00965ACE">
            <w:pPr>
              <w:jc w:val="right"/>
              <w:rPr>
                <w:sz w:val="18"/>
                <w:szCs w:val="18"/>
                <w:lang w:eastAsia="es-AR"/>
              </w:rPr>
            </w:pPr>
          </w:p>
        </w:tc>
        <w:tc>
          <w:tcPr>
            <w:tcW w:w="960" w:type="dxa"/>
            <w:tcBorders>
              <w:top w:val="nil"/>
              <w:left w:val="nil"/>
              <w:bottom w:val="nil"/>
              <w:right w:val="nil"/>
            </w:tcBorders>
            <w:shd w:val="clear" w:color="auto" w:fill="auto"/>
            <w:vAlign w:val="center"/>
          </w:tcPr>
          <w:p w14:paraId="552183C5" w14:textId="77777777" w:rsidR="00965ACE" w:rsidRPr="00965ACE" w:rsidRDefault="00965ACE" w:rsidP="00965ACE">
            <w:pPr>
              <w:jc w:val="right"/>
              <w:rPr>
                <w:sz w:val="18"/>
                <w:szCs w:val="18"/>
                <w:lang w:eastAsia="es-AR"/>
              </w:rPr>
            </w:pPr>
          </w:p>
        </w:tc>
        <w:tc>
          <w:tcPr>
            <w:tcW w:w="740" w:type="dxa"/>
            <w:tcBorders>
              <w:top w:val="nil"/>
              <w:left w:val="nil"/>
              <w:bottom w:val="nil"/>
              <w:right w:val="nil"/>
            </w:tcBorders>
            <w:shd w:val="clear" w:color="auto" w:fill="auto"/>
            <w:vAlign w:val="center"/>
          </w:tcPr>
          <w:p w14:paraId="01C8F74F" w14:textId="77777777" w:rsidR="00965ACE" w:rsidRPr="00965ACE" w:rsidRDefault="00965ACE" w:rsidP="00965ACE">
            <w:pPr>
              <w:jc w:val="right"/>
              <w:rPr>
                <w:sz w:val="18"/>
                <w:szCs w:val="18"/>
                <w:lang w:eastAsia="es-AR"/>
              </w:rPr>
            </w:pPr>
          </w:p>
        </w:tc>
        <w:tc>
          <w:tcPr>
            <w:tcW w:w="1180" w:type="dxa"/>
            <w:tcBorders>
              <w:top w:val="nil"/>
              <w:left w:val="nil"/>
              <w:bottom w:val="nil"/>
              <w:right w:val="nil"/>
            </w:tcBorders>
            <w:shd w:val="clear" w:color="auto" w:fill="auto"/>
            <w:vAlign w:val="center"/>
          </w:tcPr>
          <w:p w14:paraId="15C443E7" w14:textId="77777777" w:rsidR="00965ACE" w:rsidRPr="00965ACE" w:rsidRDefault="00965ACE" w:rsidP="00965ACE">
            <w:pPr>
              <w:jc w:val="right"/>
              <w:rPr>
                <w:sz w:val="18"/>
                <w:szCs w:val="18"/>
                <w:lang w:eastAsia="es-AR"/>
              </w:rPr>
            </w:pPr>
          </w:p>
        </w:tc>
        <w:tc>
          <w:tcPr>
            <w:tcW w:w="1180" w:type="dxa"/>
            <w:tcBorders>
              <w:top w:val="nil"/>
              <w:left w:val="nil"/>
              <w:bottom w:val="nil"/>
              <w:right w:val="nil"/>
            </w:tcBorders>
            <w:shd w:val="clear" w:color="auto" w:fill="auto"/>
            <w:vAlign w:val="center"/>
          </w:tcPr>
          <w:p w14:paraId="256DC339" w14:textId="77777777" w:rsidR="00965ACE" w:rsidRPr="00965ACE" w:rsidRDefault="00965ACE" w:rsidP="00965ACE">
            <w:pPr>
              <w:jc w:val="right"/>
              <w:rPr>
                <w:sz w:val="18"/>
                <w:szCs w:val="18"/>
                <w:lang w:eastAsia="es-AR"/>
              </w:rPr>
            </w:pPr>
          </w:p>
        </w:tc>
      </w:tr>
      <w:tr w:rsidR="00965ACE" w:rsidRPr="00965ACE" w14:paraId="66375BD9" w14:textId="77777777" w:rsidTr="00965ACE">
        <w:trPr>
          <w:trHeight w:val="285"/>
        </w:trPr>
        <w:tc>
          <w:tcPr>
            <w:tcW w:w="2725" w:type="dxa"/>
            <w:tcBorders>
              <w:top w:val="nil"/>
              <w:left w:val="nil"/>
              <w:bottom w:val="nil"/>
              <w:right w:val="nil"/>
            </w:tcBorders>
            <w:shd w:val="clear" w:color="auto" w:fill="auto"/>
            <w:hideMark/>
          </w:tcPr>
          <w:p w14:paraId="0485E255" w14:textId="77777777" w:rsidR="00965ACE" w:rsidRPr="00965ACE" w:rsidRDefault="00965ACE" w:rsidP="00965ACE">
            <w:pPr>
              <w:rPr>
                <w:rFonts w:ascii="Arial" w:hAnsi="Arial" w:cs="Arial"/>
                <w:b/>
                <w:bCs/>
                <w:sz w:val="18"/>
                <w:szCs w:val="18"/>
                <w:lang w:eastAsia="es-AR"/>
              </w:rPr>
            </w:pPr>
            <w:r w:rsidRPr="00965ACE">
              <w:rPr>
                <w:rFonts w:ascii="Arial" w:hAnsi="Arial" w:cs="Arial"/>
                <w:b/>
                <w:bCs/>
                <w:sz w:val="18"/>
                <w:szCs w:val="18"/>
                <w:lang w:eastAsia="es-AR"/>
              </w:rPr>
              <w:t>TOTAL PROPIEDADES DE INVERSIÓN</w:t>
            </w:r>
          </w:p>
        </w:tc>
        <w:tc>
          <w:tcPr>
            <w:tcW w:w="1180" w:type="dxa"/>
            <w:tcBorders>
              <w:top w:val="single" w:sz="4" w:space="0" w:color="auto"/>
              <w:left w:val="nil"/>
              <w:bottom w:val="single" w:sz="4" w:space="0" w:color="auto"/>
              <w:right w:val="nil"/>
            </w:tcBorders>
            <w:shd w:val="clear" w:color="auto" w:fill="auto"/>
            <w:vAlign w:val="center"/>
          </w:tcPr>
          <w:p w14:paraId="1F4892C0" w14:textId="4E866312" w:rsidR="00965ACE" w:rsidRPr="00965ACE" w:rsidRDefault="00965ACE" w:rsidP="00965ACE">
            <w:pPr>
              <w:jc w:val="right"/>
              <w:rPr>
                <w:rFonts w:ascii="Arial" w:hAnsi="Arial" w:cs="Arial"/>
                <w:b/>
                <w:bCs/>
                <w:sz w:val="18"/>
                <w:szCs w:val="18"/>
                <w:lang w:eastAsia="es-AR"/>
              </w:rPr>
            </w:pPr>
            <w:r w:rsidRPr="00965ACE">
              <w:rPr>
                <w:rFonts w:ascii="Arial" w:hAnsi="Arial" w:cs="Arial"/>
                <w:b/>
                <w:sz w:val="18"/>
                <w:szCs w:val="18"/>
              </w:rPr>
              <w:t>413.295</w:t>
            </w:r>
          </w:p>
        </w:tc>
        <w:tc>
          <w:tcPr>
            <w:tcW w:w="1120" w:type="dxa"/>
            <w:tcBorders>
              <w:top w:val="single" w:sz="4" w:space="0" w:color="auto"/>
              <w:left w:val="nil"/>
              <w:bottom w:val="single" w:sz="4" w:space="0" w:color="auto"/>
              <w:right w:val="nil"/>
            </w:tcBorders>
            <w:shd w:val="clear" w:color="auto" w:fill="auto"/>
            <w:vAlign w:val="center"/>
          </w:tcPr>
          <w:p w14:paraId="3E32883F" w14:textId="14937A2B" w:rsidR="00965ACE" w:rsidRPr="00965ACE" w:rsidRDefault="00965ACE" w:rsidP="00965ACE">
            <w:pPr>
              <w:jc w:val="right"/>
              <w:rPr>
                <w:rFonts w:ascii="Arial" w:hAnsi="Arial" w:cs="Arial"/>
                <w:b/>
                <w:bCs/>
                <w:sz w:val="18"/>
                <w:szCs w:val="18"/>
                <w:lang w:eastAsia="es-AR"/>
              </w:rPr>
            </w:pPr>
            <w:r w:rsidRPr="00965ACE">
              <w:rPr>
                <w:rFonts w:ascii="Calibri" w:hAnsi="Calibri" w:cs="Calibri"/>
                <w:b/>
                <w:sz w:val="18"/>
                <w:szCs w:val="18"/>
              </w:rPr>
              <w:t> </w:t>
            </w:r>
          </w:p>
        </w:tc>
        <w:tc>
          <w:tcPr>
            <w:tcW w:w="1300" w:type="dxa"/>
            <w:tcBorders>
              <w:top w:val="single" w:sz="4" w:space="0" w:color="auto"/>
              <w:left w:val="nil"/>
              <w:bottom w:val="single" w:sz="4" w:space="0" w:color="auto"/>
              <w:right w:val="nil"/>
            </w:tcBorders>
            <w:shd w:val="clear" w:color="auto" w:fill="auto"/>
            <w:vAlign w:val="center"/>
          </w:tcPr>
          <w:p w14:paraId="33A1B114" w14:textId="78C27033" w:rsidR="00965ACE" w:rsidRPr="00965ACE" w:rsidRDefault="00965ACE" w:rsidP="00965ACE">
            <w:pPr>
              <w:jc w:val="right"/>
              <w:rPr>
                <w:rFonts w:ascii="Arial" w:hAnsi="Arial" w:cs="Arial"/>
                <w:b/>
                <w:bCs/>
                <w:sz w:val="18"/>
                <w:szCs w:val="18"/>
                <w:lang w:eastAsia="es-AR"/>
              </w:rPr>
            </w:pPr>
            <w:r w:rsidRPr="00965ACE">
              <w:rPr>
                <w:rFonts w:ascii="Arial" w:hAnsi="Arial" w:cs="Arial"/>
                <w:b/>
                <w:sz w:val="18"/>
                <w:szCs w:val="18"/>
              </w:rPr>
              <w:t>428.468</w:t>
            </w:r>
          </w:p>
        </w:tc>
        <w:tc>
          <w:tcPr>
            <w:tcW w:w="1030" w:type="dxa"/>
            <w:tcBorders>
              <w:top w:val="single" w:sz="4" w:space="0" w:color="auto"/>
              <w:left w:val="nil"/>
              <w:bottom w:val="single" w:sz="4" w:space="0" w:color="auto"/>
              <w:right w:val="nil"/>
            </w:tcBorders>
            <w:shd w:val="clear" w:color="auto" w:fill="auto"/>
            <w:vAlign w:val="center"/>
          </w:tcPr>
          <w:p w14:paraId="5D131E16" w14:textId="565757A7" w:rsidR="00965ACE" w:rsidRPr="00965ACE" w:rsidRDefault="00965ACE" w:rsidP="00965ACE">
            <w:pPr>
              <w:jc w:val="right"/>
              <w:rPr>
                <w:rFonts w:ascii="Arial" w:hAnsi="Arial" w:cs="Arial"/>
                <w:b/>
                <w:bCs/>
                <w:sz w:val="18"/>
                <w:szCs w:val="18"/>
                <w:lang w:eastAsia="es-AR"/>
              </w:rPr>
            </w:pPr>
            <w:r w:rsidRPr="00965ACE">
              <w:rPr>
                <w:rFonts w:ascii="Arial" w:hAnsi="Arial" w:cs="Arial"/>
                <w:b/>
                <w:sz w:val="18"/>
                <w:szCs w:val="18"/>
              </w:rPr>
              <w:t>3.038.896</w:t>
            </w:r>
          </w:p>
        </w:tc>
        <w:tc>
          <w:tcPr>
            <w:tcW w:w="720" w:type="dxa"/>
            <w:tcBorders>
              <w:top w:val="single" w:sz="4" w:space="0" w:color="auto"/>
              <w:left w:val="nil"/>
              <w:bottom w:val="single" w:sz="4" w:space="0" w:color="auto"/>
              <w:right w:val="nil"/>
            </w:tcBorders>
            <w:shd w:val="clear" w:color="auto" w:fill="auto"/>
            <w:vAlign w:val="center"/>
          </w:tcPr>
          <w:p w14:paraId="41761952" w14:textId="6FCA76B6" w:rsidR="00965ACE" w:rsidRPr="00965ACE" w:rsidRDefault="00965ACE" w:rsidP="00965ACE">
            <w:pPr>
              <w:jc w:val="right"/>
              <w:rPr>
                <w:rFonts w:ascii="Arial" w:hAnsi="Arial" w:cs="Arial"/>
                <w:b/>
                <w:bCs/>
                <w:sz w:val="18"/>
                <w:szCs w:val="18"/>
                <w:lang w:eastAsia="es-AR"/>
              </w:rPr>
            </w:pPr>
            <w:r w:rsidRPr="00965ACE">
              <w:rPr>
                <w:rFonts w:ascii="Arial" w:hAnsi="Arial" w:cs="Arial"/>
                <w:b/>
                <w:sz w:val="18"/>
                <w:szCs w:val="18"/>
              </w:rPr>
              <w:t>-457</w:t>
            </w:r>
          </w:p>
        </w:tc>
        <w:tc>
          <w:tcPr>
            <w:tcW w:w="1333" w:type="dxa"/>
            <w:tcBorders>
              <w:top w:val="single" w:sz="4" w:space="0" w:color="auto"/>
              <w:left w:val="nil"/>
              <w:bottom w:val="single" w:sz="4" w:space="0" w:color="auto"/>
              <w:right w:val="nil"/>
            </w:tcBorders>
            <w:vAlign w:val="center"/>
          </w:tcPr>
          <w:p w14:paraId="79C645F8" w14:textId="4539042D" w:rsidR="00965ACE" w:rsidRPr="00965ACE" w:rsidRDefault="00965ACE" w:rsidP="00965ACE">
            <w:pPr>
              <w:jc w:val="right"/>
              <w:rPr>
                <w:rFonts w:ascii="Arial" w:hAnsi="Arial" w:cs="Arial"/>
                <w:b/>
                <w:bCs/>
                <w:sz w:val="18"/>
                <w:szCs w:val="18"/>
                <w:lang w:eastAsia="es-AR"/>
              </w:rPr>
            </w:pPr>
            <w:r w:rsidRPr="00965ACE">
              <w:rPr>
                <w:rFonts w:ascii="Arial" w:hAnsi="Arial" w:cs="Arial"/>
                <w:b/>
                <w:sz w:val="18"/>
                <w:szCs w:val="18"/>
              </w:rPr>
              <w:t>-473</w:t>
            </w:r>
          </w:p>
        </w:tc>
        <w:tc>
          <w:tcPr>
            <w:tcW w:w="600" w:type="dxa"/>
            <w:tcBorders>
              <w:top w:val="single" w:sz="4" w:space="0" w:color="auto"/>
              <w:left w:val="nil"/>
              <w:bottom w:val="single" w:sz="4" w:space="0" w:color="auto"/>
              <w:right w:val="nil"/>
            </w:tcBorders>
            <w:shd w:val="clear" w:color="auto" w:fill="auto"/>
            <w:vAlign w:val="center"/>
          </w:tcPr>
          <w:p w14:paraId="6AB624C5" w14:textId="1942C641" w:rsidR="00965ACE" w:rsidRPr="00965ACE" w:rsidRDefault="00965ACE" w:rsidP="00965ACE">
            <w:pPr>
              <w:jc w:val="right"/>
              <w:rPr>
                <w:rFonts w:ascii="Arial" w:hAnsi="Arial" w:cs="Arial"/>
                <w:b/>
                <w:bCs/>
                <w:sz w:val="18"/>
                <w:szCs w:val="18"/>
                <w:lang w:eastAsia="es-AR"/>
              </w:rPr>
            </w:pPr>
            <w:r>
              <w:rPr>
                <w:rFonts w:ascii="Arial" w:hAnsi="Arial" w:cs="Arial"/>
                <w:b/>
                <w:bCs/>
                <w:sz w:val="18"/>
                <w:szCs w:val="18"/>
              </w:rPr>
              <w:t>-</w:t>
            </w:r>
          </w:p>
        </w:tc>
        <w:tc>
          <w:tcPr>
            <w:tcW w:w="960" w:type="dxa"/>
            <w:tcBorders>
              <w:top w:val="single" w:sz="4" w:space="0" w:color="auto"/>
              <w:left w:val="nil"/>
              <w:bottom w:val="single" w:sz="4" w:space="0" w:color="auto"/>
              <w:right w:val="nil"/>
            </w:tcBorders>
            <w:shd w:val="clear" w:color="auto" w:fill="auto"/>
            <w:vAlign w:val="center"/>
          </w:tcPr>
          <w:p w14:paraId="68AD8C6E" w14:textId="46B6E7E7" w:rsidR="00965ACE" w:rsidRPr="00965ACE" w:rsidRDefault="00965ACE" w:rsidP="00965ACE">
            <w:pPr>
              <w:jc w:val="right"/>
              <w:rPr>
                <w:rFonts w:ascii="Arial" w:hAnsi="Arial" w:cs="Arial"/>
                <w:b/>
                <w:bCs/>
                <w:sz w:val="18"/>
                <w:szCs w:val="18"/>
                <w:lang w:eastAsia="es-AR"/>
              </w:rPr>
            </w:pPr>
            <w:r w:rsidRPr="00965ACE">
              <w:rPr>
                <w:rFonts w:ascii="Arial" w:hAnsi="Arial" w:cs="Arial"/>
                <w:b/>
                <w:sz w:val="18"/>
                <w:szCs w:val="18"/>
              </w:rPr>
              <w:t>-2.087</w:t>
            </w:r>
          </w:p>
        </w:tc>
        <w:tc>
          <w:tcPr>
            <w:tcW w:w="740" w:type="dxa"/>
            <w:tcBorders>
              <w:top w:val="single" w:sz="4" w:space="0" w:color="auto"/>
              <w:left w:val="nil"/>
              <w:bottom w:val="single" w:sz="4" w:space="0" w:color="auto"/>
              <w:right w:val="nil"/>
            </w:tcBorders>
            <w:shd w:val="clear" w:color="auto" w:fill="auto"/>
            <w:vAlign w:val="center"/>
          </w:tcPr>
          <w:p w14:paraId="64F14342" w14:textId="71EB6DFE" w:rsidR="00965ACE" w:rsidRPr="00965ACE" w:rsidRDefault="00965ACE" w:rsidP="00965ACE">
            <w:pPr>
              <w:jc w:val="right"/>
              <w:rPr>
                <w:rFonts w:ascii="Arial" w:hAnsi="Arial" w:cs="Arial"/>
                <w:b/>
                <w:bCs/>
                <w:sz w:val="18"/>
                <w:szCs w:val="18"/>
                <w:lang w:eastAsia="es-AR"/>
              </w:rPr>
            </w:pPr>
            <w:r w:rsidRPr="00965ACE">
              <w:rPr>
                <w:rFonts w:ascii="Arial" w:hAnsi="Arial" w:cs="Arial"/>
                <w:b/>
                <w:sz w:val="18"/>
                <w:szCs w:val="18"/>
              </w:rPr>
              <w:t>-2.560</w:t>
            </w:r>
          </w:p>
        </w:tc>
        <w:tc>
          <w:tcPr>
            <w:tcW w:w="1180" w:type="dxa"/>
            <w:tcBorders>
              <w:top w:val="single" w:sz="4" w:space="0" w:color="auto"/>
              <w:left w:val="nil"/>
              <w:bottom w:val="single" w:sz="4" w:space="0" w:color="auto"/>
              <w:right w:val="nil"/>
            </w:tcBorders>
            <w:shd w:val="clear" w:color="auto" w:fill="auto"/>
            <w:vAlign w:val="center"/>
          </w:tcPr>
          <w:p w14:paraId="16AE1904" w14:textId="6FE7AABF" w:rsidR="00965ACE" w:rsidRPr="00965ACE" w:rsidRDefault="00965ACE" w:rsidP="00965ACE">
            <w:pPr>
              <w:jc w:val="right"/>
              <w:rPr>
                <w:rFonts w:ascii="Arial" w:hAnsi="Arial" w:cs="Arial"/>
                <w:b/>
                <w:bCs/>
                <w:sz w:val="18"/>
                <w:szCs w:val="18"/>
                <w:lang w:eastAsia="es-AR"/>
              </w:rPr>
            </w:pPr>
            <w:r w:rsidRPr="00965ACE">
              <w:rPr>
                <w:rFonts w:ascii="Arial" w:hAnsi="Arial" w:cs="Arial"/>
                <w:b/>
                <w:sz w:val="18"/>
                <w:szCs w:val="18"/>
              </w:rPr>
              <w:t>3.877.642</w:t>
            </w:r>
          </w:p>
        </w:tc>
        <w:tc>
          <w:tcPr>
            <w:tcW w:w="1180" w:type="dxa"/>
            <w:tcBorders>
              <w:top w:val="single" w:sz="4" w:space="0" w:color="auto"/>
              <w:left w:val="nil"/>
              <w:bottom w:val="single" w:sz="4" w:space="0" w:color="auto"/>
              <w:right w:val="nil"/>
            </w:tcBorders>
            <w:shd w:val="clear" w:color="auto" w:fill="auto"/>
            <w:vAlign w:val="center"/>
          </w:tcPr>
          <w:p w14:paraId="3002605B" w14:textId="258E5CCC" w:rsidR="00965ACE" w:rsidRPr="00965ACE" w:rsidRDefault="00965ACE" w:rsidP="00965ACE">
            <w:pPr>
              <w:jc w:val="right"/>
              <w:rPr>
                <w:rFonts w:ascii="Arial" w:hAnsi="Arial" w:cs="Arial"/>
                <w:b/>
                <w:bCs/>
                <w:sz w:val="18"/>
                <w:szCs w:val="18"/>
                <w:lang w:eastAsia="es-AR"/>
              </w:rPr>
            </w:pPr>
            <w:r w:rsidRPr="00965ACE">
              <w:rPr>
                <w:rFonts w:ascii="Arial" w:hAnsi="Arial" w:cs="Arial"/>
                <w:b/>
                <w:sz w:val="18"/>
                <w:szCs w:val="18"/>
              </w:rPr>
              <w:t>412.822</w:t>
            </w:r>
          </w:p>
        </w:tc>
      </w:tr>
    </w:tbl>
    <w:p w14:paraId="07BC109A" w14:textId="77777777" w:rsidR="00425F99" w:rsidRDefault="00425F99" w:rsidP="008962C9">
      <w:pPr>
        <w:rPr>
          <w:lang w:val="en-US"/>
        </w:rPr>
      </w:pPr>
    </w:p>
    <w:p w14:paraId="0D4841C7" w14:textId="77777777" w:rsidR="00875C00" w:rsidRDefault="00875C00" w:rsidP="008962C9">
      <w:pPr>
        <w:rPr>
          <w:lang w:val="en-US"/>
        </w:rPr>
      </w:pPr>
    </w:p>
    <w:p w14:paraId="584CF060" w14:textId="77777777" w:rsidR="0063175C" w:rsidRDefault="0063175C" w:rsidP="008962C9">
      <w:pPr>
        <w:rPr>
          <w:lang w:val="en-US"/>
        </w:rPr>
        <w:sectPr w:rsidR="0063175C" w:rsidSect="00FF21C0">
          <w:headerReference w:type="default" r:id="rId57"/>
          <w:pgSz w:w="16839" w:h="11907" w:orient="landscape" w:code="9"/>
          <w:pgMar w:top="1701" w:right="1418" w:bottom="1701" w:left="1418" w:header="567" w:footer="0" w:gutter="0"/>
          <w:paperSrc w:first="256" w:other="256"/>
          <w:cols w:space="720"/>
          <w:docGrid w:linePitch="326"/>
        </w:sectPr>
      </w:pPr>
    </w:p>
    <w:tbl>
      <w:tblPr>
        <w:tblW w:w="12300" w:type="dxa"/>
        <w:jc w:val="center"/>
        <w:tblCellMar>
          <w:left w:w="70" w:type="dxa"/>
          <w:right w:w="70" w:type="dxa"/>
        </w:tblCellMar>
        <w:tblLook w:val="04A0" w:firstRow="1" w:lastRow="0" w:firstColumn="1" w:lastColumn="0" w:noHBand="0" w:noVBand="1"/>
      </w:tblPr>
      <w:tblGrid>
        <w:gridCol w:w="2717"/>
        <w:gridCol w:w="1014"/>
        <w:gridCol w:w="1038"/>
        <w:gridCol w:w="898"/>
        <w:gridCol w:w="864"/>
        <w:gridCol w:w="1019"/>
        <w:gridCol w:w="591"/>
        <w:gridCol w:w="910"/>
        <w:gridCol w:w="967"/>
        <w:gridCol w:w="1141"/>
        <w:gridCol w:w="1141"/>
      </w:tblGrid>
      <w:tr w:rsidR="0063175C" w:rsidRPr="0063175C" w14:paraId="11B6ED93" w14:textId="77777777" w:rsidTr="00A4365C">
        <w:trPr>
          <w:trHeight w:val="315"/>
          <w:jc w:val="center"/>
        </w:trPr>
        <w:tc>
          <w:tcPr>
            <w:tcW w:w="2717"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7FC100A3"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Concepto</w:t>
            </w:r>
          </w:p>
        </w:tc>
        <w:tc>
          <w:tcPr>
            <w:tcW w:w="1014"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2A4275F6"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Valor de origen al inicio del ejercicio</w:t>
            </w:r>
          </w:p>
        </w:tc>
        <w:tc>
          <w:tcPr>
            <w:tcW w:w="1038"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52B424E0"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Vida Útil total estimada en años</w:t>
            </w:r>
          </w:p>
        </w:tc>
        <w:tc>
          <w:tcPr>
            <w:tcW w:w="898"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63F77C4A"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Altas</w:t>
            </w:r>
          </w:p>
        </w:tc>
        <w:tc>
          <w:tcPr>
            <w:tcW w:w="864"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286817B3"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Bajas</w:t>
            </w:r>
          </w:p>
        </w:tc>
        <w:tc>
          <w:tcPr>
            <w:tcW w:w="3487" w:type="dxa"/>
            <w:gridSpan w:val="4"/>
            <w:tcBorders>
              <w:top w:val="single" w:sz="4" w:space="0" w:color="363639"/>
              <w:left w:val="single" w:sz="4" w:space="0" w:color="363639"/>
              <w:bottom w:val="single" w:sz="4" w:space="0" w:color="363639"/>
              <w:right w:val="single" w:sz="4" w:space="0" w:color="363639"/>
            </w:tcBorders>
            <w:shd w:val="clear" w:color="auto" w:fill="BFBFBF" w:themeFill="background1" w:themeFillShade="BF"/>
            <w:hideMark/>
          </w:tcPr>
          <w:p w14:paraId="3C61E852"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Depreciación</w:t>
            </w:r>
          </w:p>
        </w:tc>
        <w:tc>
          <w:tcPr>
            <w:tcW w:w="1141"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131A77C5" w14:textId="1E88206C"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Valor residual al 31/12/201</w:t>
            </w:r>
            <w:r>
              <w:rPr>
                <w:rFonts w:ascii="Arial" w:hAnsi="Arial" w:cs="Arial"/>
                <w:b/>
                <w:bCs/>
                <w:sz w:val="20"/>
                <w:lang w:eastAsia="es-AR"/>
              </w:rPr>
              <w:t>9</w:t>
            </w:r>
          </w:p>
        </w:tc>
        <w:tc>
          <w:tcPr>
            <w:tcW w:w="1141"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79717C35" w14:textId="1984D155"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Valor residual al 31/12/201</w:t>
            </w:r>
            <w:r>
              <w:rPr>
                <w:rFonts w:ascii="Arial" w:hAnsi="Arial" w:cs="Arial"/>
                <w:b/>
                <w:bCs/>
                <w:sz w:val="20"/>
                <w:lang w:eastAsia="es-AR"/>
              </w:rPr>
              <w:t>8</w:t>
            </w:r>
          </w:p>
        </w:tc>
      </w:tr>
      <w:tr w:rsidR="0063175C" w:rsidRPr="0063175C" w14:paraId="347CD38F" w14:textId="77777777" w:rsidTr="00A4365C">
        <w:trPr>
          <w:trHeight w:val="1242"/>
          <w:jc w:val="center"/>
        </w:trPr>
        <w:tc>
          <w:tcPr>
            <w:tcW w:w="2717" w:type="dxa"/>
            <w:vMerge/>
            <w:tcBorders>
              <w:top w:val="single" w:sz="4" w:space="0" w:color="363639"/>
              <w:left w:val="single" w:sz="4" w:space="0" w:color="363639"/>
              <w:bottom w:val="single" w:sz="4" w:space="0" w:color="000000"/>
              <w:right w:val="single" w:sz="4" w:space="0" w:color="363639"/>
            </w:tcBorders>
            <w:vAlign w:val="center"/>
            <w:hideMark/>
          </w:tcPr>
          <w:p w14:paraId="31C4DEAB" w14:textId="77777777" w:rsidR="0063175C" w:rsidRPr="0063175C" w:rsidRDefault="0063175C" w:rsidP="0063175C">
            <w:pPr>
              <w:rPr>
                <w:rFonts w:ascii="Arial" w:hAnsi="Arial" w:cs="Arial"/>
                <w:b/>
                <w:bCs/>
                <w:sz w:val="20"/>
                <w:lang w:eastAsia="es-AR"/>
              </w:rPr>
            </w:pPr>
          </w:p>
        </w:tc>
        <w:tc>
          <w:tcPr>
            <w:tcW w:w="1014" w:type="dxa"/>
            <w:vMerge/>
            <w:tcBorders>
              <w:top w:val="single" w:sz="4" w:space="0" w:color="363639"/>
              <w:left w:val="single" w:sz="4" w:space="0" w:color="363639"/>
              <w:bottom w:val="single" w:sz="4" w:space="0" w:color="000000"/>
              <w:right w:val="single" w:sz="4" w:space="0" w:color="363639"/>
            </w:tcBorders>
            <w:vAlign w:val="center"/>
            <w:hideMark/>
          </w:tcPr>
          <w:p w14:paraId="689F1DC9" w14:textId="77777777" w:rsidR="0063175C" w:rsidRPr="0063175C" w:rsidRDefault="0063175C" w:rsidP="0063175C">
            <w:pPr>
              <w:rPr>
                <w:rFonts w:ascii="Arial" w:hAnsi="Arial" w:cs="Arial"/>
                <w:b/>
                <w:bCs/>
                <w:sz w:val="20"/>
                <w:lang w:eastAsia="es-AR"/>
              </w:rPr>
            </w:pPr>
          </w:p>
        </w:tc>
        <w:tc>
          <w:tcPr>
            <w:tcW w:w="1038" w:type="dxa"/>
            <w:vMerge/>
            <w:tcBorders>
              <w:top w:val="single" w:sz="4" w:space="0" w:color="363639"/>
              <w:left w:val="single" w:sz="4" w:space="0" w:color="363639"/>
              <w:bottom w:val="single" w:sz="4" w:space="0" w:color="000000"/>
              <w:right w:val="single" w:sz="4" w:space="0" w:color="363639"/>
            </w:tcBorders>
            <w:vAlign w:val="center"/>
            <w:hideMark/>
          </w:tcPr>
          <w:p w14:paraId="3B4695CA" w14:textId="77777777" w:rsidR="0063175C" w:rsidRPr="0063175C" w:rsidRDefault="0063175C" w:rsidP="0063175C">
            <w:pPr>
              <w:rPr>
                <w:rFonts w:ascii="Arial" w:hAnsi="Arial" w:cs="Arial"/>
                <w:b/>
                <w:bCs/>
                <w:sz w:val="20"/>
                <w:lang w:eastAsia="es-AR"/>
              </w:rPr>
            </w:pPr>
          </w:p>
        </w:tc>
        <w:tc>
          <w:tcPr>
            <w:tcW w:w="898" w:type="dxa"/>
            <w:vMerge/>
            <w:tcBorders>
              <w:top w:val="single" w:sz="4" w:space="0" w:color="363639"/>
              <w:left w:val="single" w:sz="4" w:space="0" w:color="363639"/>
              <w:bottom w:val="single" w:sz="4" w:space="0" w:color="000000"/>
              <w:right w:val="single" w:sz="4" w:space="0" w:color="363639"/>
            </w:tcBorders>
            <w:vAlign w:val="center"/>
            <w:hideMark/>
          </w:tcPr>
          <w:p w14:paraId="1DED4432" w14:textId="77777777" w:rsidR="0063175C" w:rsidRPr="0063175C" w:rsidRDefault="0063175C" w:rsidP="0063175C">
            <w:pPr>
              <w:rPr>
                <w:rFonts w:ascii="Arial" w:hAnsi="Arial" w:cs="Arial"/>
                <w:b/>
                <w:bCs/>
                <w:sz w:val="20"/>
                <w:lang w:eastAsia="es-AR"/>
              </w:rPr>
            </w:pPr>
          </w:p>
        </w:tc>
        <w:tc>
          <w:tcPr>
            <w:tcW w:w="864" w:type="dxa"/>
            <w:vMerge/>
            <w:tcBorders>
              <w:top w:val="single" w:sz="4" w:space="0" w:color="363639"/>
              <w:left w:val="single" w:sz="4" w:space="0" w:color="363639"/>
              <w:bottom w:val="single" w:sz="4" w:space="0" w:color="000000"/>
              <w:right w:val="single" w:sz="4" w:space="0" w:color="363639"/>
            </w:tcBorders>
            <w:vAlign w:val="center"/>
            <w:hideMark/>
          </w:tcPr>
          <w:p w14:paraId="325DF587" w14:textId="77777777" w:rsidR="0063175C" w:rsidRPr="0063175C" w:rsidRDefault="0063175C" w:rsidP="0063175C">
            <w:pPr>
              <w:rPr>
                <w:rFonts w:ascii="Arial" w:hAnsi="Arial" w:cs="Arial"/>
                <w:b/>
                <w:bCs/>
                <w:sz w:val="20"/>
                <w:lang w:eastAsia="es-AR"/>
              </w:rPr>
            </w:pPr>
          </w:p>
        </w:tc>
        <w:tc>
          <w:tcPr>
            <w:tcW w:w="1019" w:type="dxa"/>
            <w:tcBorders>
              <w:top w:val="nil"/>
              <w:left w:val="nil"/>
              <w:bottom w:val="single" w:sz="4" w:space="0" w:color="auto"/>
              <w:right w:val="single" w:sz="4" w:space="0" w:color="363639"/>
            </w:tcBorders>
            <w:shd w:val="clear" w:color="auto" w:fill="BFBFBF" w:themeFill="background1" w:themeFillShade="BF"/>
            <w:vAlign w:val="center"/>
            <w:hideMark/>
          </w:tcPr>
          <w:p w14:paraId="59A0FAD5" w14:textId="77777777" w:rsidR="0063175C" w:rsidRPr="0063175C" w:rsidRDefault="0063175C" w:rsidP="0063175C">
            <w:pPr>
              <w:jc w:val="center"/>
              <w:rPr>
                <w:rFonts w:ascii="Arial" w:hAnsi="Arial" w:cs="Arial"/>
                <w:b/>
                <w:bCs/>
                <w:sz w:val="16"/>
                <w:szCs w:val="16"/>
                <w:lang w:eastAsia="es-AR"/>
              </w:rPr>
            </w:pPr>
            <w:r w:rsidRPr="0063175C">
              <w:rPr>
                <w:rFonts w:ascii="Arial" w:hAnsi="Arial" w:cs="Arial"/>
                <w:b/>
                <w:bCs/>
                <w:sz w:val="16"/>
                <w:szCs w:val="16"/>
                <w:lang w:eastAsia="es-AR"/>
              </w:rPr>
              <w:t>Acumulada</w:t>
            </w:r>
          </w:p>
        </w:tc>
        <w:tc>
          <w:tcPr>
            <w:tcW w:w="591" w:type="dxa"/>
            <w:tcBorders>
              <w:top w:val="nil"/>
              <w:left w:val="nil"/>
              <w:bottom w:val="single" w:sz="4" w:space="0" w:color="auto"/>
              <w:right w:val="single" w:sz="4" w:space="0" w:color="363639"/>
            </w:tcBorders>
            <w:shd w:val="clear" w:color="auto" w:fill="BFBFBF" w:themeFill="background1" w:themeFillShade="BF"/>
            <w:vAlign w:val="center"/>
            <w:hideMark/>
          </w:tcPr>
          <w:p w14:paraId="0FC39F77" w14:textId="77777777" w:rsidR="0063175C" w:rsidRPr="0063175C" w:rsidRDefault="0063175C" w:rsidP="0063175C">
            <w:pPr>
              <w:jc w:val="center"/>
              <w:rPr>
                <w:rFonts w:ascii="Arial" w:hAnsi="Arial" w:cs="Arial"/>
                <w:b/>
                <w:bCs/>
                <w:sz w:val="16"/>
                <w:szCs w:val="16"/>
                <w:lang w:eastAsia="es-AR"/>
              </w:rPr>
            </w:pPr>
            <w:r w:rsidRPr="0063175C">
              <w:rPr>
                <w:rFonts w:ascii="Arial" w:hAnsi="Arial" w:cs="Arial"/>
                <w:b/>
                <w:bCs/>
                <w:sz w:val="16"/>
                <w:szCs w:val="16"/>
                <w:lang w:eastAsia="es-AR"/>
              </w:rPr>
              <w:t>Baja</w:t>
            </w:r>
          </w:p>
        </w:tc>
        <w:tc>
          <w:tcPr>
            <w:tcW w:w="910" w:type="dxa"/>
            <w:tcBorders>
              <w:top w:val="nil"/>
              <w:left w:val="nil"/>
              <w:bottom w:val="single" w:sz="4" w:space="0" w:color="auto"/>
              <w:right w:val="single" w:sz="4" w:space="0" w:color="363639"/>
            </w:tcBorders>
            <w:shd w:val="clear" w:color="auto" w:fill="BFBFBF" w:themeFill="background1" w:themeFillShade="BF"/>
            <w:vAlign w:val="center"/>
            <w:hideMark/>
          </w:tcPr>
          <w:p w14:paraId="5EC942CA" w14:textId="77777777" w:rsidR="0063175C" w:rsidRPr="0063175C" w:rsidRDefault="0063175C" w:rsidP="0063175C">
            <w:pPr>
              <w:jc w:val="center"/>
              <w:rPr>
                <w:rFonts w:ascii="Arial" w:hAnsi="Arial" w:cs="Arial"/>
                <w:b/>
                <w:bCs/>
                <w:sz w:val="16"/>
                <w:szCs w:val="16"/>
                <w:lang w:eastAsia="es-AR"/>
              </w:rPr>
            </w:pPr>
            <w:r w:rsidRPr="0063175C">
              <w:rPr>
                <w:rFonts w:ascii="Arial" w:hAnsi="Arial" w:cs="Arial"/>
                <w:b/>
                <w:bCs/>
                <w:sz w:val="16"/>
                <w:szCs w:val="16"/>
                <w:lang w:eastAsia="es-AR"/>
              </w:rPr>
              <w:t>Del ejercicio</w:t>
            </w:r>
          </w:p>
        </w:tc>
        <w:tc>
          <w:tcPr>
            <w:tcW w:w="967" w:type="dxa"/>
            <w:tcBorders>
              <w:top w:val="nil"/>
              <w:left w:val="nil"/>
              <w:bottom w:val="single" w:sz="4" w:space="0" w:color="auto"/>
              <w:right w:val="single" w:sz="4" w:space="0" w:color="363639"/>
            </w:tcBorders>
            <w:shd w:val="clear" w:color="auto" w:fill="BFBFBF" w:themeFill="background1" w:themeFillShade="BF"/>
            <w:vAlign w:val="center"/>
            <w:hideMark/>
          </w:tcPr>
          <w:p w14:paraId="6A141FD0" w14:textId="77777777" w:rsidR="0063175C" w:rsidRPr="0063175C" w:rsidRDefault="0063175C" w:rsidP="0063175C">
            <w:pPr>
              <w:jc w:val="center"/>
              <w:rPr>
                <w:rFonts w:ascii="Arial" w:hAnsi="Arial" w:cs="Arial"/>
                <w:b/>
                <w:bCs/>
                <w:sz w:val="16"/>
                <w:szCs w:val="16"/>
                <w:lang w:eastAsia="es-AR"/>
              </w:rPr>
            </w:pPr>
            <w:r w:rsidRPr="0063175C">
              <w:rPr>
                <w:rFonts w:ascii="Arial" w:hAnsi="Arial" w:cs="Arial"/>
                <w:b/>
                <w:bCs/>
                <w:sz w:val="16"/>
                <w:szCs w:val="16"/>
                <w:lang w:eastAsia="es-AR"/>
              </w:rPr>
              <w:t>Al cierre</w:t>
            </w:r>
          </w:p>
        </w:tc>
        <w:tc>
          <w:tcPr>
            <w:tcW w:w="1141" w:type="dxa"/>
            <w:vMerge/>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21156600" w14:textId="77777777" w:rsidR="0063175C" w:rsidRPr="0063175C" w:rsidRDefault="0063175C" w:rsidP="0063175C">
            <w:pPr>
              <w:rPr>
                <w:rFonts w:ascii="Arial" w:hAnsi="Arial" w:cs="Arial"/>
                <w:b/>
                <w:bCs/>
                <w:sz w:val="20"/>
                <w:lang w:eastAsia="es-AR"/>
              </w:rPr>
            </w:pPr>
          </w:p>
        </w:tc>
        <w:tc>
          <w:tcPr>
            <w:tcW w:w="1141" w:type="dxa"/>
            <w:vMerge/>
            <w:tcBorders>
              <w:top w:val="single" w:sz="4" w:space="0" w:color="363639"/>
              <w:left w:val="single" w:sz="4" w:space="0" w:color="363639"/>
              <w:bottom w:val="single" w:sz="4" w:space="0" w:color="000000"/>
              <w:right w:val="single" w:sz="4" w:space="0" w:color="363639"/>
            </w:tcBorders>
            <w:vAlign w:val="center"/>
            <w:hideMark/>
          </w:tcPr>
          <w:p w14:paraId="4CF6D601" w14:textId="77777777" w:rsidR="0063175C" w:rsidRPr="0063175C" w:rsidRDefault="0063175C" w:rsidP="0063175C">
            <w:pPr>
              <w:rPr>
                <w:rFonts w:ascii="Arial" w:hAnsi="Arial" w:cs="Arial"/>
                <w:b/>
                <w:bCs/>
                <w:sz w:val="20"/>
                <w:lang w:eastAsia="es-AR"/>
              </w:rPr>
            </w:pPr>
          </w:p>
        </w:tc>
      </w:tr>
      <w:tr w:rsidR="0063175C" w:rsidRPr="0063175C" w14:paraId="38A51FBA" w14:textId="77777777" w:rsidTr="00A4365C">
        <w:trPr>
          <w:trHeight w:val="255"/>
          <w:jc w:val="center"/>
        </w:trPr>
        <w:tc>
          <w:tcPr>
            <w:tcW w:w="2717" w:type="dxa"/>
            <w:tcBorders>
              <w:top w:val="nil"/>
              <w:left w:val="nil"/>
              <w:bottom w:val="nil"/>
              <w:right w:val="nil"/>
            </w:tcBorders>
            <w:shd w:val="clear" w:color="auto" w:fill="auto"/>
            <w:vAlign w:val="center"/>
            <w:hideMark/>
          </w:tcPr>
          <w:p w14:paraId="33CCDDB5"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 </w:t>
            </w:r>
          </w:p>
        </w:tc>
        <w:tc>
          <w:tcPr>
            <w:tcW w:w="1014" w:type="dxa"/>
            <w:tcBorders>
              <w:top w:val="nil"/>
              <w:left w:val="nil"/>
              <w:bottom w:val="nil"/>
              <w:right w:val="nil"/>
            </w:tcBorders>
            <w:shd w:val="clear" w:color="auto" w:fill="auto"/>
            <w:vAlign w:val="center"/>
            <w:hideMark/>
          </w:tcPr>
          <w:p w14:paraId="55622A8A" w14:textId="77777777" w:rsidR="0063175C" w:rsidRPr="0063175C" w:rsidRDefault="0063175C" w:rsidP="0063175C">
            <w:pPr>
              <w:rPr>
                <w:rFonts w:ascii="Arial" w:hAnsi="Arial" w:cs="Arial"/>
                <w:b/>
                <w:bCs/>
                <w:sz w:val="20"/>
                <w:lang w:eastAsia="es-AR"/>
              </w:rPr>
            </w:pPr>
            <w:r w:rsidRPr="0063175C">
              <w:rPr>
                <w:rFonts w:ascii="Arial" w:hAnsi="Arial" w:cs="Arial"/>
                <w:b/>
                <w:bCs/>
                <w:sz w:val="20"/>
                <w:lang w:eastAsia="es-AR"/>
              </w:rPr>
              <w:t> </w:t>
            </w:r>
          </w:p>
        </w:tc>
        <w:tc>
          <w:tcPr>
            <w:tcW w:w="1038" w:type="dxa"/>
            <w:tcBorders>
              <w:top w:val="nil"/>
              <w:left w:val="nil"/>
              <w:bottom w:val="nil"/>
              <w:right w:val="nil"/>
            </w:tcBorders>
            <w:shd w:val="clear" w:color="auto" w:fill="auto"/>
            <w:vAlign w:val="center"/>
            <w:hideMark/>
          </w:tcPr>
          <w:p w14:paraId="3206DC68"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 </w:t>
            </w:r>
          </w:p>
        </w:tc>
        <w:tc>
          <w:tcPr>
            <w:tcW w:w="898" w:type="dxa"/>
            <w:tcBorders>
              <w:top w:val="nil"/>
              <w:left w:val="nil"/>
              <w:bottom w:val="nil"/>
              <w:right w:val="nil"/>
            </w:tcBorders>
            <w:shd w:val="clear" w:color="auto" w:fill="auto"/>
            <w:vAlign w:val="center"/>
            <w:hideMark/>
          </w:tcPr>
          <w:p w14:paraId="4C424750"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 </w:t>
            </w:r>
          </w:p>
        </w:tc>
        <w:tc>
          <w:tcPr>
            <w:tcW w:w="864" w:type="dxa"/>
            <w:tcBorders>
              <w:top w:val="nil"/>
              <w:left w:val="nil"/>
              <w:bottom w:val="nil"/>
              <w:right w:val="nil"/>
            </w:tcBorders>
            <w:shd w:val="clear" w:color="auto" w:fill="auto"/>
            <w:vAlign w:val="bottom"/>
            <w:hideMark/>
          </w:tcPr>
          <w:p w14:paraId="25B6B77C"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 </w:t>
            </w:r>
          </w:p>
        </w:tc>
        <w:tc>
          <w:tcPr>
            <w:tcW w:w="1019" w:type="dxa"/>
            <w:tcBorders>
              <w:top w:val="nil"/>
              <w:left w:val="nil"/>
              <w:bottom w:val="nil"/>
              <w:right w:val="nil"/>
            </w:tcBorders>
            <w:shd w:val="clear" w:color="auto" w:fill="auto"/>
            <w:vAlign w:val="center"/>
            <w:hideMark/>
          </w:tcPr>
          <w:p w14:paraId="6DA9C757"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 </w:t>
            </w:r>
          </w:p>
        </w:tc>
        <w:tc>
          <w:tcPr>
            <w:tcW w:w="591" w:type="dxa"/>
            <w:tcBorders>
              <w:top w:val="nil"/>
              <w:left w:val="nil"/>
              <w:bottom w:val="nil"/>
              <w:right w:val="nil"/>
            </w:tcBorders>
            <w:shd w:val="clear" w:color="auto" w:fill="auto"/>
            <w:vAlign w:val="center"/>
            <w:hideMark/>
          </w:tcPr>
          <w:p w14:paraId="255156C2"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 </w:t>
            </w:r>
          </w:p>
        </w:tc>
        <w:tc>
          <w:tcPr>
            <w:tcW w:w="910" w:type="dxa"/>
            <w:tcBorders>
              <w:top w:val="nil"/>
              <w:left w:val="nil"/>
              <w:bottom w:val="nil"/>
              <w:right w:val="nil"/>
            </w:tcBorders>
            <w:shd w:val="clear" w:color="auto" w:fill="auto"/>
            <w:hideMark/>
          </w:tcPr>
          <w:p w14:paraId="3C7A1796"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 </w:t>
            </w:r>
          </w:p>
        </w:tc>
        <w:tc>
          <w:tcPr>
            <w:tcW w:w="967" w:type="dxa"/>
            <w:tcBorders>
              <w:top w:val="nil"/>
              <w:left w:val="nil"/>
              <w:bottom w:val="nil"/>
              <w:right w:val="nil"/>
            </w:tcBorders>
            <w:shd w:val="clear" w:color="auto" w:fill="auto"/>
            <w:hideMark/>
          </w:tcPr>
          <w:p w14:paraId="32E7976E"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 </w:t>
            </w:r>
          </w:p>
        </w:tc>
        <w:tc>
          <w:tcPr>
            <w:tcW w:w="1141" w:type="dxa"/>
            <w:tcBorders>
              <w:top w:val="nil"/>
              <w:left w:val="nil"/>
              <w:bottom w:val="nil"/>
              <w:right w:val="nil"/>
            </w:tcBorders>
            <w:shd w:val="clear" w:color="auto" w:fill="auto"/>
            <w:vAlign w:val="center"/>
            <w:hideMark/>
          </w:tcPr>
          <w:p w14:paraId="79A92ACD"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 </w:t>
            </w:r>
          </w:p>
        </w:tc>
        <w:tc>
          <w:tcPr>
            <w:tcW w:w="1141" w:type="dxa"/>
            <w:tcBorders>
              <w:top w:val="nil"/>
              <w:left w:val="nil"/>
              <w:bottom w:val="nil"/>
              <w:right w:val="nil"/>
            </w:tcBorders>
            <w:shd w:val="clear" w:color="auto" w:fill="auto"/>
            <w:vAlign w:val="center"/>
            <w:hideMark/>
          </w:tcPr>
          <w:p w14:paraId="69DC047D" w14:textId="77777777" w:rsidR="0063175C" w:rsidRPr="0063175C" w:rsidRDefault="0063175C" w:rsidP="0063175C">
            <w:pPr>
              <w:jc w:val="center"/>
              <w:rPr>
                <w:rFonts w:ascii="Arial" w:hAnsi="Arial" w:cs="Arial"/>
                <w:b/>
                <w:bCs/>
                <w:sz w:val="20"/>
                <w:lang w:eastAsia="es-AR"/>
              </w:rPr>
            </w:pPr>
            <w:r w:rsidRPr="0063175C">
              <w:rPr>
                <w:rFonts w:ascii="Arial" w:hAnsi="Arial" w:cs="Arial"/>
                <w:b/>
                <w:bCs/>
                <w:sz w:val="20"/>
                <w:lang w:eastAsia="es-AR"/>
              </w:rPr>
              <w:t> </w:t>
            </w:r>
          </w:p>
        </w:tc>
      </w:tr>
      <w:tr w:rsidR="0063175C" w:rsidRPr="0063175C" w14:paraId="23D395D8" w14:textId="77777777" w:rsidTr="00A4365C">
        <w:trPr>
          <w:trHeight w:val="255"/>
          <w:jc w:val="center"/>
        </w:trPr>
        <w:tc>
          <w:tcPr>
            <w:tcW w:w="2717" w:type="dxa"/>
            <w:tcBorders>
              <w:top w:val="nil"/>
              <w:left w:val="nil"/>
              <w:bottom w:val="nil"/>
              <w:right w:val="nil"/>
            </w:tcBorders>
            <w:shd w:val="clear" w:color="auto" w:fill="auto"/>
            <w:hideMark/>
          </w:tcPr>
          <w:p w14:paraId="31BF0720" w14:textId="77777777" w:rsidR="0063175C" w:rsidRPr="0063175C" w:rsidRDefault="0063175C" w:rsidP="0063175C">
            <w:pPr>
              <w:rPr>
                <w:rFonts w:ascii="Arial" w:hAnsi="Arial" w:cs="Arial"/>
                <w:b/>
                <w:bCs/>
                <w:sz w:val="20"/>
                <w:lang w:eastAsia="es-AR"/>
              </w:rPr>
            </w:pPr>
            <w:r w:rsidRPr="0063175C">
              <w:rPr>
                <w:rFonts w:ascii="Arial" w:hAnsi="Arial" w:cs="Arial"/>
                <w:b/>
                <w:bCs/>
                <w:sz w:val="20"/>
                <w:lang w:eastAsia="es-AR"/>
              </w:rPr>
              <w:t>Medición al costo</w:t>
            </w:r>
          </w:p>
        </w:tc>
        <w:tc>
          <w:tcPr>
            <w:tcW w:w="1014" w:type="dxa"/>
            <w:tcBorders>
              <w:top w:val="nil"/>
              <w:left w:val="nil"/>
              <w:bottom w:val="nil"/>
              <w:right w:val="nil"/>
            </w:tcBorders>
            <w:shd w:val="clear" w:color="auto" w:fill="auto"/>
            <w:vAlign w:val="bottom"/>
            <w:hideMark/>
          </w:tcPr>
          <w:p w14:paraId="08812754" w14:textId="77777777" w:rsidR="0063175C" w:rsidRPr="0063175C" w:rsidRDefault="0063175C" w:rsidP="0063175C">
            <w:pPr>
              <w:rPr>
                <w:rFonts w:ascii="Arial" w:hAnsi="Arial" w:cs="Arial"/>
                <w:b/>
                <w:bCs/>
                <w:sz w:val="20"/>
                <w:lang w:eastAsia="es-AR"/>
              </w:rPr>
            </w:pPr>
          </w:p>
        </w:tc>
        <w:tc>
          <w:tcPr>
            <w:tcW w:w="1038" w:type="dxa"/>
            <w:tcBorders>
              <w:top w:val="nil"/>
              <w:left w:val="nil"/>
              <w:bottom w:val="nil"/>
              <w:right w:val="nil"/>
            </w:tcBorders>
            <w:shd w:val="clear" w:color="auto" w:fill="auto"/>
            <w:vAlign w:val="bottom"/>
            <w:hideMark/>
          </w:tcPr>
          <w:p w14:paraId="5DCE66AE" w14:textId="77777777" w:rsidR="0063175C" w:rsidRPr="0063175C" w:rsidRDefault="0063175C" w:rsidP="0063175C">
            <w:pPr>
              <w:rPr>
                <w:sz w:val="20"/>
                <w:lang w:eastAsia="es-AR"/>
              </w:rPr>
            </w:pPr>
          </w:p>
        </w:tc>
        <w:tc>
          <w:tcPr>
            <w:tcW w:w="898" w:type="dxa"/>
            <w:tcBorders>
              <w:top w:val="nil"/>
              <w:left w:val="nil"/>
              <w:bottom w:val="nil"/>
              <w:right w:val="nil"/>
            </w:tcBorders>
            <w:shd w:val="clear" w:color="auto" w:fill="auto"/>
            <w:vAlign w:val="bottom"/>
            <w:hideMark/>
          </w:tcPr>
          <w:p w14:paraId="5245FEA5" w14:textId="77777777" w:rsidR="0063175C" w:rsidRPr="0063175C" w:rsidRDefault="0063175C" w:rsidP="0063175C">
            <w:pPr>
              <w:jc w:val="center"/>
              <w:rPr>
                <w:sz w:val="20"/>
                <w:lang w:eastAsia="es-AR"/>
              </w:rPr>
            </w:pPr>
          </w:p>
        </w:tc>
        <w:tc>
          <w:tcPr>
            <w:tcW w:w="864" w:type="dxa"/>
            <w:tcBorders>
              <w:top w:val="nil"/>
              <w:left w:val="nil"/>
              <w:bottom w:val="nil"/>
              <w:right w:val="nil"/>
            </w:tcBorders>
            <w:shd w:val="clear" w:color="auto" w:fill="auto"/>
            <w:vAlign w:val="bottom"/>
            <w:hideMark/>
          </w:tcPr>
          <w:p w14:paraId="6246ED2F" w14:textId="77777777" w:rsidR="0063175C" w:rsidRPr="0063175C" w:rsidRDefault="0063175C" w:rsidP="0063175C">
            <w:pPr>
              <w:rPr>
                <w:sz w:val="20"/>
                <w:lang w:eastAsia="es-AR"/>
              </w:rPr>
            </w:pPr>
          </w:p>
        </w:tc>
        <w:tc>
          <w:tcPr>
            <w:tcW w:w="1019" w:type="dxa"/>
            <w:tcBorders>
              <w:top w:val="nil"/>
              <w:left w:val="nil"/>
              <w:bottom w:val="nil"/>
              <w:right w:val="nil"/>
            </w:tcBorders>
            <w:shd w:val="clear" w:color="auto" w:fill="auto"/>
            <w:vAlign w:val="bottom"/>
            <w:hideMark/>
          </w:tcPr>
          <w:p w14:paraId="56061DD5" w14:textId="77777777" w:rsidR="0063175C" w:rsidRPr="0063175C" w:rsidRDefault="0063175C" w:rsidP="0063175C">
            <w:pPr>
              <w:rPr>
                <w:sz w:val="20"/>
                <w:lang w:eastAsia="es-AR"/>
              </w:rPr>
            </w:pPr>
          </w:p>
        </w:tc>
        <w:tc>
          <w:tcPr>
            <w:tcW w:w="591" w:type="dxa"/>
            <w:tcBorders>
              <w:top w:val="nil"/>
              <w:left w:val="nil"/>
              <w:bottom w:val="nil"/>
              <w:right w:val="nil"/>
            </w:tcBorders>
            <w:shd w:val="clear" w:color="auto" w:fill="auto"/>
            <w:vAlign w:val="bottom"/>
            <w:hideMark/>
          </w:tcPr>
          <w:p w14:paraId="43B35496" w14:textId="77777777" w:rsidR="0063175C" w:rsidRPr="0063175C" w:rsidRDefault="0063175C" w:rsidP="0063175C">
            <w:pPr>
              <w:rPr>
                <w:sz w:val="20"/>
                <w:lang w:eastAsia="es-AR"/>
              </w:rPr>
            </w:pPr>
          </w:p>
        </w:tc>
        <w:tc>
          <w:tcPr>
            <w:tcW w:w="910" w:type="dxa"/>
            <w:tcBorders>
              <w:top w:val="nil"/>
              <w:left w:val="nil"/>
              <w:bottom w:val="nil"/>
              <w:right w:val="nil"/>
            </w:tcBorders>
            <w:shd w:val="clear" w:color="auto" w:fill="auto"/>
            <w:vAlign w:val="bottom"/>
            <w:hideMark/>
          </w:tcPr>
          <w:p w14:paraId="51C0E106" w14:textId="77777777" w:rsidR="0063175C" w:rsidRPr="0063175C" w:rsidRDefault="0063175C" w:rsidP="0063175C">
            <w:pPr>
              <w:rPr>
                <w:sz w:val="20"/>
                <w:lang w:eastAsia="es-AR"/>
              </w:rPr>
            </w:pPr>
          </w:p>
        </w:tc>
        <w:tc>
          <w:tcPr>
            <w:tcW w:w="967" w:type="dxa"/>
            <w:tcBorders>
              <w:top w:val="nil"/>
              <w:left w:val="nil"/>
              <w:bottom w:val="nil"/>
              <w:right w:val="nil"/>
            </w:tcBorders>
            <w:shd w:val="clear" w:color="auto" w:fill="auto"/>
            <w:vAlign w:val="bottom"/>
            <w:hideMark/>
          </w:tcPr>
          <w:p w14:paraId="6F85778C" w14:textId="77777777" w:rsidR="0063175C" w:rsidRPr="0063175C" w:rsidRDefault="0063175C" w:rsidP="0063175C">
            <w:pPr>
              <w:rPr>
                <w:sz w:val="20"/>
                <w:lang w:eastAsia="es-AR"/>
              </w:rPr>
            </w:pPr>
          </w:p>
        </w:tc>
        <w:tc>
          <w:tcPr>
            <w:tcW w:w="1141" w:type="dxa"/>
            <w:tcBorders>
              <w:top w:val="nil"/>
              <w:left w:val="nil"/>
              <w:bottom w:val="nil"/>
              <w:right w:val="nil"/>
            </w:tcBorders>
            <w:shd w:val="clear" w:color="auto" w:fill="auto"/>
            <w:vAlign w:val="bottom"/>
            <w:hideMark/>
          </w:tcPr>
          <w:p w14:paraId="6E4823ED" w14:textId="77777777" w:rsidR="0063175C" w:rsidRPr="0063175C" w:rsidRDefault="0063175C" w:rsidP="0063175C">
            <w:pPr>
              <w:rPr>
                <w:sz w:val="20"/>
                <w:lang w:eastAsia="es-AR"/>
              </w:rPr>
            </w:pPr>
          </w:p>
        </w:tc>
        <w:tc>
          <w:tcPr>
            <w:tcW w:w="1141" w:type="dxa"/>
            <w:tcBorders>
              <w:top w:val="nil"/>
              <w:left w:val="nil"/>
              <w:bottom w:val="nil"/>
              <w:right w:val="nil"/>
            </w:tcBorders>
            <w:shd w:val="clear" w:color="auto" w:fill="auto"/>
            <w:noWrap/>
            <w:vAlign w:val="bottom"/>
            <w:hideMark/>
          </w:tcPr>
          <w:p w14:paraId="609734DB" w14:textId="77777777" w:rsidR="0063175C" w:rsidRPr="0063175C" w:rsidRDefault="0063175C" w:rsidP="0063175C">
            <w:pPr>
              <w:rPr>
                <w:sz w:val="20"/>
                <w:lang w:eastAsia="es-AR"/>
              </w:rPr>
            </w:pPr>
          </w:p>
        </w:tc>
      </w:tr>
      <w:tr w:rsidR="00A4365C" w:rsidRPr="0063175C" w14:paraId="2A0AA9A3" w14:textId="77777777" w:rsidTr="00A4365C">
        <w:trPr>
          <w:trHeight w:val="510"/>
          <w:jc w:val="center"/>
        </w:trPr>
        <w:tc>
          <w:tcPr>
            <w:tcW w:w="2717" w:type="dxa"/>
            <w:tcBorders>
              <w:top w:val="nil"/>
              <w:left w:val="nil"/>
              <w:bottom w:val="nil"/>
              <w:right w:val="nil"/>
            </w:tcBorders>
            <w:shd w:val="clear" w:color="auto" w:fill="auto"/>
            <w:hideMark/>
          </w:tcPr>
          <w:p w14:paraId="0728429C" w14:textId="77777777" w:rsidR="00A4365C" w:rsidRPr="0063175C" w:rsidRDefault="00A4365C" w:rsidP="00A4365C">
            <w:pPr>
              <w:rPr>
                <w:rFonts w:ascii="Arial" w:hAnsi="Arial" w:cs="Arial"/>
                <w:sz w:val="20"/>
                <w:lang w:eastAsia="es-AR"/>
              </w:rPr>
            </w:pPr>
            <w:r w:rsidRPr="0063175C">
              <w:rPr>
                <w:rFonts w:ascii="Arial" w:hAnsi="Arial" w:cs="Arial"/>
                <w:sz w:val="20"/>
                <w:lang w:eastAsia="es-AR"/>
              </w:rPr>
              <w:t>Llave de negocio- Combinación de negocios</w:t>
            </w:r>
          </w:p>
        </w:tc>
        <w:tc>
          <w:tcPr>
            <w:tcW w:w="1014" w:type="dxa"/>
            <w:tcBorders>
              <w:top w:val="nil"/>
              <w:left w:val="nil"/>
              <w:bottom w:val="nil"/>
              <w:right w:val="nil"/>
            </w:tcBorders>
            <w:shd w:val="clear" w:color="auto" w:fill="auto"/>
            <w:vAlign w:val="center"/>
          </w:tcPr>
          <w:p w14:paraId="2E90048F" w14:textId="720604A9"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30.704</w:t>
            </w:r>
          </w:p>
        </w:tc>
        <w:tc>
          <w:tcPr>
            <w:tcW w:w="1038" w:type="dxa"/>
            <w:tcBorders>
              <w:top w:val="nil"/>
              <w:left w:val="nil"/>
              <w:bottom w:val="nil"/>
              <w:right w:val="nil"/>
            </w:tcBorders>
            <w:shd w:val="clear" w:color="auto" w:fill="auto"/>
            <w:vAlign w:val="center"/>
          </w:tcPr>
          <w:p w14:paraId="660BAA07" w14:textId="20644C57" w:rsidR="00A4365C" w:rsidRPr="00A4365C" w:rsidRDefault="00A4365C" w:rsidP="00A4365C">
            <w:pPr>
              <w:jc w:val="right"/>
              <w:rPr>
                <w:rFonts w:ascii="Arial" w:hAnsi="Arial" w:cs="Arial"/>
                <w:sz w:val="18"/>
                <w:szCs w:val="18"/>
                <w:lang w:eastAsia="es-AR"/>
              </w:rPr>
            </w:pPr>
          </w:p>
        </w:tc>
        <w:tc>
          <w:tcPr>
            <w:tcW w:w="898" w:type="dxa"/>
            <w:tcBorders>
              <w:top w:val="nil"/>
              <w:left w:val="nil"/>
              <w:bottom w:val="nil"/>
              <w:right w:val="nil"/>
            </w:tcBorders>
            <w:shd w:val="clear" w:color="auto" w:fill="auto"/>
            <w:vAlign w:val="center"/>
          </w:tcPr>
          <w:p w14:paraId="6886C4B4" w14:textId="42D16CB6" w:rsidR="00A4365C" w:rsidRPr="00A4365C" w:rsidRDefault="00A4365C" w:rsidP="00A4365C">
            <w:pPr>
              <w:jc w:val="right"/>
              <w:rPr>
                <w:rFonts w:ascii="Arial" w:hAnsi="Arial" w:cs="Arial"/>
                <w:sz w:val="18"/>
                <w:szCs w:val="18"/>
                <w:lang w:eastAsia="es-AR"/>
              </w:rPr>
            </w:pPr>
            <w:r>
              <w:rPr>
                <w:rFonts w:ascii="Arial" w:hAnsi="Arial" w:cs="Arial"/>
                <w:sz w:val="18"/>
                <w:szCs w:val="18"/>
                <w:lang w:eastAsia="es-AR"/>
              </w:rPr>
              <w:t>-</w:t>
            </w:r>
          </w:p>
        </w:tc>
        <w:tc>
          <w:tcPr>
            <w:tcW w:w="864" w:type="dxa"/>
            <w:tcBorders>
              <w:top w:val="nil"/>
              <w:left w:val="nil"/>
              <w:bottom w:val="nil"/>
              <w:right w:val="nil"/>
            </w:tcBorders>
            <w:shd w:val="clear" w:color="auto" w:fill="auto"/>
            <w:vAlign w:val="center"/>
          </w:tcPr>
          <w:p w14:paraId="15351864" w14:textId="77446A6A" w:rsidR="00A4365C" w:rsidRPr="00A4365C" w:rsidRDefault="00A4365C" w:rsidP="00A4365C">
            <w:pPr>
              <w:jc w:val="right"/>
              <w:rPr>
                <w:rFonts w:ascii="Arial" w:hAnsi="Arial" w:cs="Arial"/>
                <w:sz w:val="18"/>
                <w:szCs w:val="18"/>
                <w:lang w:eastAsia="es-AR"/>
              </w:rPr>
            </w:pPr>
            <w:r>
              <w:rPr>
                <w:rFonts w:ascii="Arial" w:hAnsi="Arial" w:cs="Arial"/>
                <w:sz w:val="18"/>
                <w:szCs w:val="18"/>
                <w:lang w:eastAsia="es-AR"/>
              </w:rPr>
              <w:t>-</w:t>
            </w:r>
          </w:p>
        </w:tc>
        <w:tc>
          <w:tcPr>
            <w:tcW w:w="1019" w:type="dxa"/>
            <w:tcBorders>
              <w:top w:val="nil"/>
              <w:left w:val="nil"/>
              <w:bottom w:val="nil"/>
              <w:right w:val="nil"/>
            </w:tcBorders>
            <w:shd w:val="clear" w:color="auto" w:fill="auto"/>
            <w:vAlign w:val="center"/>
          </w:tcPr>
          <w:p w14:paraId="30F5767E" w14:textId="16B35EB8" w:rsidR="00A4365C" w:rsidRPr="00A4365C" w:rsidRDefault="00A4365C" w:rsidP="00A4365C">
            <w:pPr>
              <w:jc w:val="right"/>
              <w:rPr>
                <w:rFonts w:ascii="Arial" w:hAnsi="Arial" w:cs="Arial"/>
                <w:sz w:val="18"/>
                <w:szCs w:val="18"/>
                <w:lang w:eastAsia="es-AR"/>
              </w:rPr>
            </w:pPr>
            <w:r>
              <w:rPr>
                <w:rFonts w:ascii="Arial" w:hAnsi="Arial" w:cs="Arial"/>
                <w:sz w:val="18"/>
                <w:szCs w:val="18"/>
                <w:lang w:eastAsia="es-AR"/>
              </w:rPr>
              <w:t>-</w:t>
            </w:r>
          </w:p>
        </w:tc>
        <w:tc>
          <w:tcPr>
            <w:tcW w:w="591" w:type="dxa"/>
            <w:tcBorders>
              <w:top w:val="nil"/>
              <w:left w:val="nil"/>
              <w:bottom w:val="nil"/>
              <w:right w:val="nil"/>
            </w:tcBorders>
            <w:shd w:val="clear" w:color="auto" w:fill="auto"/>
            <w:vAlign w:val="center"/>
          </w:tcPr>
          <w:p w14:paraId="53CF8229" w14:textId="7A457635" w:rsidR="00A4365C" w:rsidRPr="00A4365C" w:rsidRDefault="00A4365C" w:rsidP="00A4365C">
            <w:pPr>
              <w:jc w:val="right"/>
              <w:rPr>
                <w:rFonts w:ascii="Arial" w:hAnsi="Arial" w:cs="Arial"/>
                <w:sz w:val="18"/>
                <w:szCs w:val="18"/>
                <w:lang w:eastAsia="es-AR"/>
              </w:rPr>
            </w:pPr>
            <w:r>
              <w:rPr>
                <w:rFonts w:ascii="Arial" w:hAnsi="Arial" w:cs="Arial"/>
                <w:sz w:val="18"/>
                <w:szCs w:val="18"/>
                <w:lang w:eastAsia="es-AR"/>
              </w:rPr>
              <w:t>-</w:t>
            </w:r>
          </w:p>
        </w:tc>
        <w:tc>
          <w:tcPr>
            <w:tcW w:w="910" w:type="dxa"/>
            <w:tcBorders>
              <w:top w:val="nil"/>
              <w:left w:val="nil"/>
              <w:bottom w:val="nil"/>
              <w:right w:val="nil"/>
            </w:tcBorders>
            <w:shd w:val="clear" w:color="auto" w:fill="auto"/>
            <w:vAlign w:val="center"/>
          </w:tcPr>
          <w:p w14:paraId="5AC1362F" w14:textId="55D4C664" w:rsidR="00A4365C" w:rsidRPr="00A4365C" w:rsidRDefault="00A4365C" w:rsidP="00A4365C">
            <w:pPr>
              <w:jc w:val="right"/>
              <w:rPr>
                <w:rFonts w:ascii="Arial" w:hAnsi="Arial" w:cs="Arial"/>
                <w:sz w:val="18"/>
                <w:szCs w:val="18"/>
                <w:lang w:eastAsia="es-AR"/>
              </w:rPr>
            </w:pPr>
            <w:r>
              <w:rPr>
                <w:rFonts w:ascii="Arial" w:hAnsi="Arial" w:cs="Arial"/>
                <w:sz w:val="18"/>
                <w:szCs w:val="18"/>
                <w:lang w:eastAsia="es-AR"/>
              </w:rPr>
              <w:t>-</w:t>
            </w:r>
          </w:p>
        </w:tc>
        <w:tc>
          <w:tcPr>
            <w:tcW w:w="967" w:type="dxa"/>
            <w:tcBorders>
              <w:top w:val="nil"/>
              <w:left w:val="nil"/>
              <w:bottom w:val="nil"/>
              <w:right w:val="nil"/>
            </w:tcBorders>
            <w:shd w:val="clear" w:color="auto" w:fill="auto"/>
            <w:vAlign w:val="center"/>
          </w:tcPr>
          <w:p w14:paraId="41489A5E" w14:textId="5ECBBCF9" w:rsidR="00A4365C" w:rsidRPr="00A4365C" w:rsidRDefault="00A4365C" w:rsidP="00A4365C">
            <w:pPr>
              <w:jc w:val="right"/>
              <w:rPr>
                <w:rFonts w:ascii="Arial" w:hAnsi="Arial" w:cs="Arial"/>
                <w:sz w:val="18"/>
                <w:szCs w:val="18"/>
                <w:lang w:eastAsia="es-AR"/>
              </w:rPr>
            </w:pPr>
            <w:r>
              <w:rPr>
                <w:rFonts w:ascii="Arial" w:hAnsi="Arial" w:cs="Arial"/>
                <w:sz w:val="18"/>
                <w:szCs w:val="18"/>
                <w:lang w:eastAsia="es-AR"/>
              </w:rPr>
              <w:t>-</w:t>
            </w:r>
          </w:p>
        </w:tc>
        <w:tc>
          <w:tcPr>
            <w:tcW w:w="1141" w:type="dxa"/>
            <w:tcBorders>
              <w:top w:val="nil"/>
              <w:left w:val="nil"/>
              <w:bottom w:val="nil"/>
              <w:right w:val="nil"/>
            </w:tcBorders>
            <w:shd w:val="clear" w:color="auto" w:fill="auto"/>
            <w:vAlign w:val="center"/>
          </w:tcPr>
          <w:p w14:paraId="1956D434" w14:textId="1FE4A351"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30.704</w:t>
            </w:r>
          </w:p>
        </w:tc>
        <w:tc>
          <w:tcPr>
            <w:tcW w:w="1141" w:type="dxa"/>
            <w:tcBorders>
              <w:top w:val="nil"/>
              <w:left w:val="nil"/>
              <w:bottom w:val="nil"/>
              <w:right w:val="nil"/>
            </w:tcBorders>
            <w:shd w:val="clear" w:color="auto" w:fill="auto"/>
            <w:vAlign w:val="center"/>
          </w:tcPr>
          <w:p w14:paraId="33179061" w14:textId="215A2462"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30.704</w:t>
            </w:r>
          </w:p>
        </w:tc>
      </w:tr>
      <w:tr w:rsidR="00A4365C" w:rsidRPr="0063175C" w14:paraId="1E3A4764" w14:textId="77777777" w:rsidTr="00A4365C">
        <w:trPr>
          <w:trHeight w:val="255"/>
          <w:jc w:val="center"/>
        </w:trPr>
        <w:tc>
          <w:tcPr>
            <w:tcW w:w="2717" w:type="dxa"/>
            <w:tcBorders>
              <w:top w:val="nil"/>
              <w:left w:val="nil"/>
              <w:bottom w:val="nil"/>
              <w:right w:val="nil"/>
            </w:tcBorders>
            <w:shd w:val="clear" w:color="auto" w:fill="auto"/>
            <w:hideMark/>
          </w:tcPr>
          <w:p w14:paraId="761AA83B" w14:textId="77777777" w:rsidR="00A4365C" w:rsidRPr="0063175C" w:rsidRDefault="00A4365C" w:rsidP="00A4365C">
            <w:pPr>
              <w:rPr>
                <w:rFonts w:ascii="Arial" w:hAnsi="Arial" w:cs="Arial"/>
                <w:sz w:val="20"/>
                <w:lang w:eastAsia="es-AR"/>
              </w:rPr>
            </w:pPr>
            <w:r w:rsidRPr="0063175C">
              <w:rPr>
                <w:rFonts w:ascii="Arial" w:hAnsi="Arial" w:cs="Arial"/>
                <w:sz w:val="20"/>
                <w:lang w:eastAsia="es-AR"/>
              </w:rPr>
              <w:t>Otros activos intangibles</w:t>
            </w:r>
          </w:p>
        </w:tc>
        <w:tc>
          <w:tcPr>
            <w:tcW w:w="1014" w:type="dxa"/>
            <w:tcBorders>
              <w:top w:val="nil"/>
              <w:left w:val="nil"/>
              <w:bottom w:val="nil"/>
              <w:right w:val="nil"/>
            </w:tcBorders>
            <w:shd w:val="clear" w:color="auto" w:fill="auto"/>
            <w:vAlign w:val="center"/>
          </w:tcPr>
          <w:p w14:paraId="77B4CD5A" w14:textId="1A3281CB"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489.306</w:t>
            </w:r>
          </w:p>
        </w:tc>
        <w:tc>
          <w:tcPr>
            <w:tcW w:w="1038" w:type="dxa"/>
            <w:tcBorders>
              <w:top w:val="nil"/>
              <w:left w:val="nil"/>
              <w:bottom w:val="nil"/>
              <w:right w:val="nil"/>
            </w:tcBorders>
            <w:shd w:val="clear" w:color="auto" w:fill="auto"/>
            <w:vAlign w:val="center"/>
          </w:tcPr>
          <w:p w14:paraId="6E36E184" w14:textId="1EAA1972" w:rsidR="00A4365C" w:rsidRPr="00A4365C" w:rsidRDefault="00A4365C" w:rsidP="00A4365C">
            <w:pPr>
              <w:jc w:val="center"/>
              <w:rPr>
                <w:rFonts w:ascii="Arial" w:hAnsi="Arial" w:cs="Arial"/>
                <w:sz w:val="18"/>
                <w:szCs w:val="18"/>
                <w:lang w:eastAsia="es-AR"/>
              </w:rPr>
            </w:pPr>
            <w:r w:rsidRPr="00A4365C">
              <w:rPr>
                <w:rFonts w:ascii="Arial" w:hAnsi="Arial" w:cs="Arial"/>
                <w:sz w:val="18"/>
                <w:szCs w:val="18"/>
              </w:rPr>
              <w:t>3</w:t>
            </w:r>
          </w:p>
        </w:tc>
        <w:tc>
          <w:tcPr>
            <w:tcW w:w="898" w:type="dxa"/>
            <w:tcBorders>
              <w:top w:val="nil"/>
              <w:left w:val="nil"/>
              <w:bottom w:val="nil"/>
              <w:right w:val="nil"/>
            </w:tcBorders>
            <w:shd w:val="clear" w:color="auto" w:fill="auto"/>
            <w:vAlign w:val="center"/>
          </w:tcPr>
          <w:p w14:paraId="4A766D7A" w14:textId="7E9EF5F0"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550.359</w:t>
            </w:r>
          </w:p>
        </w:tc>
        <w:tc>
          <w:tcPr>
            <w:tcW w:w="864" w:type="dxa"/>
            <w:tcBorders>
              <w:top w:val="nil"/>
              <w:left w:val="nil"/>
              <w:bottom w:val="nil"/>
              <w:right w:val="nil"/>
            </w:tcBorders>
            <w:shd w:val="clear" w:color="auto" w:fill="auto"/>
            <w:vAlign w:val="center"/>
          </w:tcPr>
          <w:p w14:paraId="3C52CA25" w14:textId="334DFBFD"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-3.426</w:t>
            </w:r>
          </w:p>
        </w:tc>
        <w:tc>
          <w:tcPr>
            <w:tcW w:w="1019" w:type="dxa"/>
            <w:tcBorders>
              <w:top w:val="nil"/>
              <w:left w:val="nil"/>
              <w:bottom w:val="nil"/>
              <w:right w:val="nil"/>
            </w:tcBorders>
            <w:shd w:val="clear" w:color="auto" w:fill="auto"/>
            <w:vAlign w:val="center"/>
          </w:tcPr>
          <w:p w14:paraId="4F21CBB3" w14:textId="51C8DFDE"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-167.429</w:t>
            </w:r>
          </w:p>
        </w:tc>
        <w:tc>
          <w:tcPr>
            <w:tcW w:w="591" w:type="dxa"/>
            <w:tcBorders>
              <w:top w:val="nil"/>
              <w:left w:val="nil"/>
              <w:bottom w:val="nil"/>
              <w:right w:val="nil"/>
            </w:tcBorders>
            <w:shd w:val="clear" w:color="auto" w:fill="auto"/>
            <w:vAlign w:val="center"/>
          </w:tcPr>
          <w:p w14:paraId="5E907F32" w14:textId="22412204"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92</w:t>
            </w:r>
          </w:p>
        </w:tc>
        <w:tc>
          <w:tcPr>
            <w:tcW w:w="910" w:type="dxa"/>
            <w:tcBorders>
              <w:top w:val="nil"/>
              <w:left w:val="nil"/>
              <w:bottom w:val="nil"/>
              <w:right w:val="nil"/>
            </w:tcBorders>
            <w:shd w:val="clear" w:color="auto" w:fill="auto"/>
            <w:vAlign w:val="center"/>
          </w:tcPr>
          <w:p w14:paraId="686C93F4" w14:textId="37C2A92D"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-198.897</w:t>
            </w:r>
          </w:p>
        </w:tc>
        <w:tc>
          <w:tcPr>
            <w:tcW w:w="967" w:type="dxa"/>
            <w:tcBorders>
              <w:top w:val="nil"/>
              <w:left w:val="nil"/>
              <w:bottom w:val="nil"/>
              <w:right w:val="nil"/>
            </w:tcBorders>
            <w:shd w:val="clear" w:color="auto" w:fill="auto"/>
            <w:vAlign w:val="center"/>
          </w:tcPr>
          <w:p w14:paraId="2874DBF9" w14:textId="41E10641"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-366.234</w:t>
            </w:r>
          </w:p>
        </w:tc>
        <w:tc>
          <w:tcPr>
            <w:tcW w:w="1141" w:type="dxa"/>
            <w:tcBorders>
              <w:top w:val="nil"/>
              <w:left w:val="nil"/>
              <w:bottom w:val="nil"/>
              <w:right w:val="nil"/>
            </w:tcBorders>
            <w:shd w:val="clear" w:color="auto" w:fill="auto"/>
            <w:vAlign w:val="center"/>
          </w:tcPr>
          <w:p w14:paraId="26279B40" w14:textId="70B9BC75"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670.005</w:t>
            </w:r>
          </w:p>
        </w:tc>
        <w:tc>
          <w:tcPr>
            <w:tcW w:w="1141" w:type="dxa"/>
            <w:tcBorders>
              <w:top w:val="nil"/>
              <w:left w:val="nil"/>
              <w:bottom w:val="nil"/>
              <w:right w:val="nil"/>
            </w:tcBorders>
            <w:shd w:val="clear" w:color="auto" w:fill="auto"/>
            <w:vAlign w:val="center"/>
          </w:tcPr>
          <w:p w14:paraId="587BBE24" w14:textId="207FD455" w:rsidR="00A4365C" w:rsidRPr="00A4365C" w:rsidRDefault="00A4365C" w:rsidP="00A4365C">
            <w:pPr>
              <w:jc w:val="right"/>
              <w:rPr>
                <w:rFonts w:ascii="Arial" w:hAnsi="Arial" w:cs="Arial"/>
                <w:sz w:val="18"/>
                <w:szCs w:val="18"/>
                <w:lang w:eastAsia="es-AR"/>
              </w:rPr>
            </w:pPr>
            <w:r w:rsidRPr="00A4365C">
              <w:rPr>
                <w:rFonts w:ascii="Arial" w:hAnsi="Arial" w:cs="Arial"/>
                <w:sz w:val="18"/>
                <w:szCs w:val="18"/>
              </w:rPr>
              <w:t>321.877</w:t>
            </w:r>
          </w:p>
        </w:tc>
      </w:tr>
      <w:tr w:rsidR="00A4365C" w:rsidRPr="0063175C" w14:paraId="606D91D8" w14:textId="77777777" w:rsidTr="00A4365C">
        <w:trPr>
          <w:trHeight w:val="255"/>
          <w:jc w:val="center"/>
        </w:trPr>
        <w:tc>
          <w:tcPr>
            <w:tcW w:w="2717" w:type="dxa"/>
            <w:tcBorders>
              <w:top w:val="nil"/>
              <w:left w:val="nil"/>
              <w:bottom w:val="nil"/>
              <w:right w:val="nil"/>
            </w:tcBorders>
            <w:shd w:val="clear" w:color="auto" w:fill="auto"/>
            <w:hideMark/>
          </w:tcPr>
          <w:p w14:paraId="3CD198C7" w14:textId="77777777" w:rsidR="00A4365C" w:rsidRPr="0063175C" w:rsidRDefault="00A4365C" w:rsidP="00A4365C">
            <w:pPr>
              <w:rPr>
                <w:rFonts w:ascii="Arial" w:hAnsi="Arial" w:cs="Arial"/>
                <w:sz w:val="20"/>
                <w:lang w:eastAsia="es-AR"/>
              </w:rPr>
            </w:pPr>
          </w:p>
        </w:tc>
        <w:tc>
          <w:tcPr>
            <w:tcW w:w="1014" w:type="dxa"/>
            <w:tcBorders>
              <w:top w:val="nil"/>
              <w:left w:val="nil"/>
              <w:bottom w:val="nil"/>
              <w:right w:val="nil"/>
            </w:tcBorders>
            <w:shd w:val="clear" w:color="auto" w:fill="auto"/>
            <w:vAlign w:val="center"/>
          </w:tcPr>
          <w:p w14:paraId="4FDECEC7" w14:textId="47F7BCF3" w:rsidR="00A4365C" w:rsidRPr="00A4365C" w:rsidRDefault="00A4365C" w:rsidP="00A4365C">
            <w:pPr>
              <w:jc w:val="right"/>
              <w:rPr>
                <w:sz w:val="18"/>
                <w:szCs w:val="18"/>
                <w:lang w:eastAsia="es-AR"/>
              </w:rPr>
            </w:pPr>
          </w:p>
        </w:tc>
        <w:tc>
          <w:tcPr>
            <w:tcW w:w="1038" w:type="dxa"/>
            <w:tcBorders>
              <w:top w:val="nil"/>
              <w:left w:val="nil"/>
              <w:bottom w:val="nil"/>
              <w:right w:val="nil"/>
            </w:tcBorders>
            <w:shd w:val="clear" w:color="auto" w:fill="auto"/>
            <w:vAlign w:val="center"/>
          </w:tcPr>
          <w:p w14:paraId="31AF82E2" w14:textId="06188960" w:rsidR="00A4365C" w:rsidRPr="00A4365C" w:rsidRDefault="00A4365C" w:rsidP="00A4365C">
            <w:pPr>
              <w:jc w:val="right"/>
              <w:rPr>
                <w:sz w:val="18"/>
                <w:szCs w:val="18"/>
                <w:lang w:eastAsia="es-AR"/>
              </w:rPr>
            </w:pPr>
          </w:p>
        </w:tc>
        <w:tc>
          <w:tcPr>
            <w:tcW w:w="898" w:type="dxa"/>
            <w:tcBorders>
              <w:top w:val="nil"/>
              <w:left w:val="nil"/>
              <w:bottom w:val="nil"/>
              <w:right w:val="nil"/>
            </w:tcBorders>
            <w:shd w:val="clear" w:color="auto" w:fill="auto"/>
            <w:vAlign w:val="center"/>
          </w:tcPr>
          <w:p w14:paraId="353CE2BB" w14:textId="765AEC35" w:rsidR="00A4365C" w:rsidRPr="00A4365C" w:rsidRDefault="00A4365C" w:rsidP="00A4365C">
            <w:pPr>
              <w:jc w:val="right"/>
              <w:rPr>
                <w:sz w:val="18"/>
                <w:szCs w:val="18"/>
                <w:lang w:eastAsia="es-AR"/>
              </w:rPr>
            </w:pPr>
          </w:p>
        </w:tc>
        <w:tc>
          <w:tcPr>
            <w:tcW w:w="864" w:type="dxa"/>
            <w:tcBorders>
              <w:top w:val="nil"/>
              <w:left w:val="nil"/>
              <w:bottom w:val="nil"/>
              <w:right w:val="nil"/>
            </w:tcBorders>
            <w:shd w:val="clear" w:color="auto" w:fill="auto"/>
            <w:vAlign w:val="center"/>
          </w:tcPr>
          <w:p w14:paraId="7BD2F679" w14:textId="1924A046" w:rsidR="00A4365C" w:rsidRPr="00A4365C" w:rsidRDefault="00A4365C" w:rsidP="00A4365C">
            <w:pPr>
              <w:jc w:val="right"/>
              <w:rPr>
                <w:sz w:val="18"/>
                <w:szCs w:val="18"/>
                <w:lang w:eastAsia="es-AR"/>
              </w:rPr>
            </w:pPr>
          </w:p>
        </w:tc>
        <w:tc>
          <w:tcPr>
            <w:tcW w:w="1019" w:type="dxa"/>
            <w:tcBorders>
              <w:top w:val="nil"/>
              <w:left w:val="nil"/>
              <w:bottom w:val="nil"/>
              <w:right w:val="nil"/>
            </w:tcBorders>
            <w:shd w:val="clear" w:color="auto" w:fill="auto"/>
            <w:vAlign w:val="center"/>
          </w:tcPr>
          <w:p w14:paraId="6746784A" w14:textId="2D254A03" w:rsidR="00A4365C" w:rsidRPr="00A4365C" w:rsidRDefault="00A4365C" w:rsidP="00A4365C">
            <w:pPr>
              <w:jc w:val="right"/>
              <w:rPr>
                <w:sz w:val="18"/>
                <w:szCs w:val="18"/>
                <w:lang w:eastAsia="es-AR"/>
              </w:rPr>
            </w:pPr>
          </w:p>
        </w:tc>
        <w:tc>
          <w:tcPr>
            <w:tcW w:w="591" w:type="dxa"/>
            <w:tcBorders>
              <w:top w:val="nil"/>
              <w:left w:val="nil"/>
              <w:bottom w:val="nil"/>
              <w:right w:val="nil"/>
            </w:tcBorders>
            <w:shd w:val="clear" w:color="auto" w:fill="auto"/>
            <w:vAlign w:val="center"/>
          </w:tcPr>
          <w:p w14:paraId="1581A44C" w14:textId="0A9531DB" w:rsidR="00A4365C" w:rsidRPr="00A4365C" w:rsidRDefault="00A4365C" w:rsidP="00A4365C">
            <w:pPr>
              <w:jc w:val="right"/>
              <w:rPr>
                <w:sz w:val="18"/>
                <w:szCs w:val="18"/>
                <w:lang w:eastAsia="es-AR"/>
              </w:rPr>
            </w:pPr>
          </w:p>
        </w:tc>
        <w:tc>
          <w:tcPr>
            <w:tcW w:w="910" w:type="dxa"/>
            <w:tcBorders>
              <w:top w:val="nil"/>
              <w:left w:val="nil"/>
              <w:bottom w:val="nil"/>
              <w:right w:val="nil"/>
            </w:tcBorders>
            <w:shd w:val="clear" w:color="auto" w:fill="auto"/>
            <w:vAlign w:val="center"/>
          </w:tcPr>
          <w:p w14:paraId="2988C34A" w14:textId="18A64D17" w:rsidR="00A4365C" w:rsidRPr="00A4365C" w:rsidRDefault="00A4365C" w:rsidP="00A4365C">
            <w:pPr>
              <w:jc w:val="right"/>
              <w:rPr>
                <w:sz w:val="18"/>
                <w:szCs w:val="18"/>
                <w:lang w:eastAsia="es-AR"/>
              </w:rPr>
            </w:pPr>
          </w:p>
        </w:tc>
        <w:tc>
          <w:tcPr>
            <w:tcW w:w="967" w:type="dxa"/>
            <w:tcBorders>
              <w:top w:val="nil"/>
              <w:left w:val="nil"/>
              <w:bottom w:val="nil"/>
              <w:right w:val="nil"/>
            </w:tcBorders>
            <w:shd w:val="clear" w:color="auto" w:fill="auto"/>
            <w:vAlign w:val="center"/>
          </w:tcPr>
          <w:p w14:paraId="7EB8B2E3" w14:textId="3EE83D7A" w:rsidR="00A4365C" w:rsidRPr="00A4365C" w:rsidRDefault="00A4365C" w:rsidP="00A4365C">
            <w:pPr>
              <w:jc w:val="right"/>
              <w:rPr>
                <w:sz w:val="18"/>
                <w:szCs w:val="18"/>
                <w:lang w:eastAsia="es-AR"/>
              </w:rPr>
            </w:pPr>
          </w:p>
        </w:tc>
        <w:tc>
          <w:tcPr>
            <w:tcW w:w="1141" w:type="dxa"/>
            <w:tcBorders>
              <w:top w:val="nil"/>
              <w:left w:val="nil"/>
              <w:bottom w:val="nil"/>
              <w:right w:val="nil"/>
            </w:tcBorders>
            <w:shd w:val="clear" w:color="auto" w:fill="auto"/>
            <w:vAlign w:val="center"/>
          </w:tcPr>
          <w:p w14:paraId="0EB3B9D6" w14:textId="6E8B4E27" w:rsidR="00A4365C" w:rsidRPr="00A4365C" w:rsidRDefault="00A4365C" w:rsidP="00A4365C">
            <w:pPr>
              <w:jc w:val="right"/>
              <w:rPr>
                <w:sz w:val="18"/>
                <w:szCs w:val="18"/>
                <w:lang w:eastAsia="es-AR"/>
              </w:rPr>
            </w:pPr>
          </w:p>
        </w:tc>
        <w:tc>
          <w:tcPr>
            <w:tcW w:w="1141" w:type="dxa"/>
            <w:tcBorders>
              <w:top w:val="nil"/>
              <w:left w:val="nil"/>
              <w:bottom w:val="nil"/>
              <w:right w:val="nil"/>
            </w:tcBorders>
            <w:shd w:val="clear" w:color="auto" w:fill="auto"/>
            <w:vAlign w:val="center"/>
          </w:tcPr>
          <w:p w14:paraId="1FECF487" w14:textId="71423064" w:rsidR="00A4365C" w:rsidRPr="00A4365C" w:rsidRDefault="00A4365C" w:rsidP="00A4365C">
            <w:pPr>
              <w:jc w:val="right"/>
              <w:rPr>
                <w:sz w:val="18"/>
                <w:szCs w:val="18"/>
                <w:lang w:eastAsia="es-AR"/>
              </w:rPr>
            </w:pPr>
          </w:p>
        </w:tc>
      </w:tr>
      <w:tr w:rsidR="00A4365C" w:rsidRPr="0063175C" w14:paraId="600A0DBF" w14:textId="77777777" w:rsidTr="00A4365C">
        <w:trPr>
          <w:trHeight w:val="510"/>
          <w:jc w:val="center"/>
        </w:trPr>
        <w:tc>
          <w:tcPr>
            <w:tcW w:w="2717" w:type="dxa"/>
            <w:tcBorders>
              <w:top w:val="nil"/>
              <w:left w:val="nil"/>
              <w:bottom w:val="nil"/>
              <w:right w:val="nil"/>
            </w:tcBorders>
            <w:shd w:val="clear" w:color="auto" w:fill="auto"/>
            <w:hideMark/>
          </w:tcPr>
          <w:p w14:paraId="6680EB26" w14:textId="77777777" w:rsidR="00A4365C" w:rsidRPr="0063175C" w:rsidRDefault="00A4365C" w:rsidP="00A4365C">
            <w:pPr>
              <w:rPr>
                <w:rFonts w:ascii="Arial" w:hAnsi="Arial" w:cs="Arial"/>
                <w:b/>
                <w:bCs/>
                <w:sz w:val="20"/>
                <w:lang w:eastAsia="es-AR"/>
              </w:rPr>
            </w:pPr>
            <w:r w:rsidRPr="0063175C">
              <w:rPr>
                <w:rFonts w:ascii="Arial" w:hAnsi="Arial" w:cs="Arial"/>
                <w:b/>
                <w:bCs/>
                <w:sz w:val="20"/>
                <w:lang w:eastAsia="es-AR"/>
              </w:rPr>
              <w:t>TOTAL ACTIVOS INTANGIBLES</w:t>
            </w:r>
          </w:p>
        </w:tc>
        <w:tc>
          <w:tcPr>
            <w:tcW w:w="1014" w:type="dxa"/>
            <w:tcBorders>
              <w:top w:val="single" w:sz="4" w:space="0" w:color="auto"/>
              <w:left w:val="nil"/>
              <w:bottom w:val="single" w:sz="4" w:space="0" w:color="auto"/>
              <w:right w:val="nil"/>
            </w:tcBorders>
            <w:shd w:val="clear" w:color="auto" w:fill="auto"/>
            <w:vAlign w:val="center"/>
          </w:tcPr>
          <w:p w14:paraId="7ACA0F48" w14:textId="40A13AAD" w:rsidR="00A4365C" w:rsidRPr="00A4365C" w:rsidRDefault="00A4365C" w:rsidP="00A4365C">
            <w:pPr>
              <w:jc w:val="right"/>
              <w:rPr>
                <w:rFonts w:ascii="Arial" w:hAnsi="Arial" w:cs="Arial"/>
                <w:b/>
                <w:bCs/>
                <w:sz w:val="18"/>
                <w:szCs w:val="18"/>
                <w:lang w:eastAsia="es-AR"/>
              </w:rPr>
            </w:pPr>
            <w:r w:rsidRPr="00A4365C">
              <w:rPr>
                <w:rFonts w:ascii="Arial" w:hAnsi="Arial" w:cs="Arial"/>
                <w:b/>
                <w:sz w:val="18"/>
                <w:szCs w:val="18"/>
              </w:rPr>
              <w:t>520.010</w:t>
            </w:r>
          </w:p>
        </w:tc>
        <w:tc>
          <w:tcPr>
            <w:tcW w:w="1038" w:type="dxa"/>
            <w:tcBorders>
              <w:top w:val="single" w:sz="4" w:space="0" w:color="auto"/>
              <w:left w:val="nil"/>
              <w:bottom w:val="single" w:sz="4" w:space="0" w:color="auto"/>
              <w:right w:val="nil"/>
            </w:tcBorders>
            <w:shd w:val="clear" w:color="auto" w:fill="auto"/>
            <w:vAlign w:val="center"/>
          </w:tcPr>
          <w:p w14:paraId="34B92E60" w14:textId="134760D8" w:rsidR="00A4365C" w:rsidRPr="00A4365C" w:rsidRDefault="00A4365C" w:rsidP="00A4365C">
            <w:pPr>
              <w:jc w:val="right"/>
              <w:rPr>
                <w:rFonts w:ascii="Arial" w:hAnsi="Arial" w:cs="Arial"/>
                <w:b/>
                <w:bCs/>
                <w:sz w:val="18"/>
                <w:szCs w:val="18"/>
                <w:lang w:eastAsia="es-AR"/>
              </w:rPr>
            </w:pPr>
          </w:p>
        </w:tc>
        <w:tc>
          <w:tcPr>
            <w:tcW w:w="898" w:type="dxa"/>
            <w:tcBorders>
              <w:top w:val="single" w:sz="4" w:space="0" w:color="auto"/>
              <w:left w:val="nil"/>
              <w:bottom w:val="single" w:sz="4" w:space="0" w:color="auto"/>
              <w:right w:val="nil"/>
            </w:tcBorders>
            <w:shd w:val="clear" w:color="auto" w:fill="auto"/>
            <w:vAlign w:val="center"/>
          </w:tcPr>
          <w:p w14:paraId="3F34DE09" w14:textId="448B5ACF" w:rsidR="00A4365C" w:rsidRPr="00A4365C" w:rsidRDefault="00A4365C" w:rsidP="00A4365C">
            <w:pPr>
              <w:jc w:val="right"/>
              <w:rPr>
                <w:rFonts w:ascii="Arial" w:hAnsi="Arial" w:cs="Arial"/>
                <w:b/>
                <w:bCs/>
                <w:sz w:val="18"/>
                <w:szCs w:val="18"/>
                <w:lang w:eastAsia="es-AR"/>
              </w:rPr>
            </w:pPr>
            <w:r w:rsidRPr="00A4365C">
              <w:rPr>
                <w:rFonts w:ascii="Arial" w:hAnsi="Arial" w:cs="Arial"/>
                <w:b/>
                <w:sz w:val="18"/>
                <w:szCs w:val="18"/>
              </w:rPr>
              <w:t>550.359</w:t>
            </w:r>
          </w:p>
        </w:tc>
        <w:tc>
          <w:tcPr>
            <w:tcW w:w="864" w:type="dxa"/>
            <w:tcBorders>
              <w:top w:val="single" w:sz="4" w:space="0" w:color="auto"/>
              <w:left w:val="nil"/>
              <w:bottom w:val="single" w:sz="4" w:space="0" w:color="auto"/>
              <w:right w:val="nil"/>
            </w:tcBorders>
            <w:shd w:val="clear" w:color="auto" w:fill="auto"/>
            <w:vAlign w:val="center"/>
          </w:tcPr>
          <w:p w14:paraId="6A36CBD8" w14:textId="31279B9B" w:rsidR="00A4365C" w:rsidRPr="00A4365C" w:rsidRDefault="00A4365C" w:rsidP="00A4365C">
            <w:pPr>
              <w:jc w:val="right"/>
              <w:rPr>
                <w:rFonts w:ascii="Arial" w:hAnsi="Arial" w:cs="Arial"/>
                <w:b/>
                <w:bCs/>
                <w:sz w:val="18"/>
                <w:szCs w:val="18"/>
                <w:lang w:eastAsia="es-AR"/>
              </w:rPr>
            </w:pPr>
            <w:r w:rsidRPr="00A4365C">
              <w:rPr>
                <w:rFonts w:ascii="Arial" w:hAnsi="Arial" w:cs="Arial"/>
                <w:b/>
                <w:sz w:val="18"/>
                <w:szCs w:val="18"/>
              </w:rPr>
              <w:t>-3.426</w:t>
            </w:r>
          </w:p>
        </w:tc>
        <w:tc>
          <w:tcPr>
            <w:tcW w:w="1019" w:type="dxa"/>
            <w:tcBorders>
              <w:top w:val="single" w:sz="4" w:space="0" w:color="auto"/>
              <w:left w:val="nil"/>
              <w:bottom w:val="single" w:sz="4" w:space="0" w:color="auto"/>
              <w:right w:val="nil"/>
            </w:tcBorders>
            <w:shd w:val="clear" w:color="auto" w:fill="auto"/>
            <w:vAlign w:val="center"/>
          </w:tcPr>
          <w:p w14:paraId="53370FBC" w14:textId="57894C12" w:rsidR="00A4365C" w:rsidRPr="00A4365C" w:rsidRDefault="00A4365C" w:rsidP="00A4365C">
            <w:pPr>
              <w:jc w:val="right"/>
              <w:rPr>
                <w:rFonts w:ascii="Arial" w:hAnsi="Arial" w:cs="Arial"/>
                <w:b/>
                <w:bCs/>
                <w:sz w:val="18"/>
                <w:szCs w:val="18"/>
                <w:lang w:eastAsia="es-AR"/>
              </w:rPr>
            </w:pPr>
            <w:r w:rsidRPr="00A4365C">
              <w:rPr>
                <w:rFonts w:ascii="Arial" w:hAnsi="Arial" w:cs="Arial"/>
                <w:b/>
                <w:sz w:val="18"/>
                <w:szCs w:val="18"/>
              </w:rPr>
              <w:t>-167.429</w:t>
            </w:r>
          </w:p>
        </w:tc>
        <w:tc>
          <w:tcPr>
            <w:tcW w:w="591" w:type="dxa"/>
            <w:tcBorders>
              <w:top w:val="single" w:sz="4" w:space="0" w:color="auto"/>
              <w:left w:val="nil"/>
              <w:bottom w:val="single" w:sz="4" w:space="0" w:color="auto"/>
              <w:right w:val="nil"/>
            </w:tcBorders>
            <w:shd w:val="clear" w:color="auto" w:fill="auto"/>
            <w:vAlign w:val="center"/>
          </w:tcPr>
          <w:p w14:paraId="02637937" w14:textId="4938224F" w:rsidR="00A4365C" w:rsidRPr="00A4365C" w:rsidRDefault="00A4365C" w:rsidP="00A4365C">
            <w:pPr>
              <w:jc w:val="right"/>
              <w:rPr>
                <w:rFonts w:ascii="Arial" w:hAnsi="Arial" w:cs="Arial"/>
                <w:b/>
                <w:bCs/>
                <w:sz w:val="18"/>
                <w:szCs w:val="18"/>
                <w:lang w:eastAsia="es-AR"/>
              </w:rPr>
            </w:pPr>
            <w:r w:rsidRPr="00A4365C">
              <w:rPr>
                <w:rFonts w:ascii="Arial" w:hAnsi="Arial" w:cs="Arial"/>
                <w:b/>
                <w:sz w:val="18"/>
                <w:szCs w:val="18"/>
              </w:rPr>
              <w:t>92</w:t>
            </w:r>
          </w:p>
        </w:tc>
        <w:tc>
          <w:tcPr>
            <w:tcW w:w="910" w:type="dxa"/>
            <w:tcBorders>
              <w:top w:val="single" w:sz="4" w:space="0" w:color="auto"/>
              <w:left w:val="nil"/>
              <w:bottom w:val="single" w:sz="4" w:space="0" w:color="auto"/>
              <w:right w:val="nil"/>
            </w:tcBorders>
            <w:shd w:val="clear" w:color="auto" w:fill="auto"/>
            <w:vAlign w:val="center"/>
          </w:tcPr>
          <w:p w14:paraId="3D2DE542" w14:textId="09890D64" w:rsidR="00A4365C" w:rsidRPr="00A4365C" w:rsidRDefault="00A4365C" w:rsidP="00A4365C">
            <w:pPr>
              <w:jc w:val="right"/>
              <w:rPr>
                <w:rFonts w:ascii="Arial" w:hAnsi="Arial" w:cs="Arial"/>
                <w:b/>
                <w:bCs/>
                <w:sz w:val="18"/>
                <w:szCs w:val="18"/>
                <w:lang w:eastAsia="es-AR"/>
              </w:rPr>
            </w:pPr>
            <w:r w:rsidRPr="00A4365C">
              <w:rPr>
                <w:rFonts w:ascii="Arial" w:hAnsi="Arial" w:cs="Arial"/>
                <w:b/>
                <w:sz w:val="18"/>
                <w:szCs w:val="18"/>
              </w:rPr>
              <w:t>-198.897</w:t>
            </w:r>
          </w:p>
        </w:tc>
        <w:tc>
          <w:tcPr>
            <w:tcW w:w="967" w:type="dxa"/>
            <w:tcBorders>
              <w:top w:val="single" w:sz="4" w:space="0" w:color="auto"/>
              <w:left w:val="nil"/>
              <w:bottom w:val="single" w:sz="4" w:space="0" w:color="auto"/>
              <w:right w:val="nil"/>
            </w:tcBorders>
            <w:shd w:val="clear" w:color="auto" w:fill="auto"/>
            <w:vAlign w:val="center"/>
          </w:tcPr>
          <w:p w14:paraId="24C0EA40" w14:textId="69D35CE3" w:rsidR="00A4365C" w:rsidRPr="00A4365C" w:rsidRDefault="00A4365C" w:rsidP="00A4365C">
            <w:pPr>
              <w:jc w:val="right"/>
              <w:rPr>
                <w:rFonts w:ascii="Arial" w:hAnsi="Arial" w:cs="Arial"/>
                <w:b/>
                <w:bCs/>
                <w:sz w:val="18"/>
                <w:szCs w:val="18"/>
                <w:lang w:eastAsia="es-AR"/>
              </w:rPr>
            </w:pPr>
            <w:r w:rsidRPr="00A4365C">
              <w:rPr>
                <w:rFonts w:ascii="Arial" w:hAnsi="Arial" w:cs="Arial"/>
                <w:b/>
                <w:sz w:val="18"/>
                <w:szCs w:val="18"/>
              </w:rPr>
              <w:t>-366.234</w:t>
            </w:r>
          </w:p>
        </w:tc>
        <w:tc>
          <w:tcPr>
            <w:tcW w:w="1141" w:type="dxa"/>
            <w:tcBorders>
              <w:top w:val="single" w:sz="4" w:space="0" w:color="auto"/>
              <w:left w:val="nil"/>
              <w:bottom w:val="single" w:sz="4" w:space="0" w:color="auto"/>
              <w:right w:val="nil"/>
            </w:tcBorders>
            <w:shd w:val="clear" w:color="auto" w:fill="auto"/>
            <w:vAlign w:val="center"/>
          </w:tcPr>
          <w:p w14:paraId="17E7587E" w14:textId="6C9F6D11" w:rsidR="00A4365C" w:rsidRPr="00A4365C" w:rsidRDefault="00A4365C" w:rsidP="00A4365C">
            <w:pPr>
              <w:jc w:val="right"/>
              <w:rPr>
                <w:rFonts w:ascii="Arial" w:hAnsi="Arial" w:cs="Arial"/>
                <w:b/>
                <w:bCs/>
                <w:sz w:val="18"/>
                <w:szCs w:val="18"/>
                <w:lang w:eastAsia="es-AR"/>
              </w:rPr>
            </w:pPr>
            <w:r w:rsidRPr="00A4365C">
              <w:rPr>
                <w:rFonts w:ascii="Arial" w:hAnsi="Arial" w:cs="Arial"/>
                <w:b/>
                <w:sz w:val="18"/>
                <w:szCs w:val="18"/>
              </w:rPr>
              <w:t>700.709</w:t>
            </w:r>
          </w:p>
        </w:tc>
        <w:tc>
          <w:tcPr>
            <w:tcW w:w="1141" w:type="dxa"/>
            <w:tcBorders>
              <w:top w:val="single" w:sz="4" w:space="0" w:color="auto"/>
              <w:left w:val="nil"/>
              <w:bottom w:val="single" w:sz="4" w:space="0" w:color="auto"/>
              <w:right w:val="nil"/>
            </w:tcBorders>
            <w:shd w:val="clear" w:color="auto" w:fill="auto"/>
            <w:vAlign w:val="center"/>
          </w:tcPr>
          <w:p w14:paraId="213A98F1" w14:textId="3B282800" w:rsidR="00A4365C" w:rsidRPr="00A4365C" w:rsidRDefault="00A4365C" w:rsidP="00A4365C">
            <w:pPr>
              <w:jc w:val="right"/>
              <w:rPr>
                <w:rFonts w:ascii="Arial" w:hAnsi="Arial" w:cs="Arial"/>
                <w:b/>
                <w:bCs/>
                <w:sz w:val="18"/>
                <w:szCs w:val="18"/>
                <w:lang w:eastAsia="es-AR"/>
              </w:rPr>
            </w:pPr>
            <w:r w:rsidRPr="00A4365C">
              <w:rPr>
                <w:rFonts w:ascii="Arial" w:hAnsi="Arial" w:cs="Arial"/>
                <w:b/>
                <w:sz w:val="18"/>
                <w:szCs w:val="18"/>
              </w:rPr>
              <w:t>352.581</w:t>
            </w:r>
          </w:p>
        </w:tc>
      </w:tr>
    </w:tbl>
    <w:p w14:paraId="5A5BBD62" w14:textId="77777777" w:rsidR="00875C00" w:rsidRDefault="00875C00" w:rsidP="008962C9">
      <w:pPr>
        <w:rPr>
          <w:lang w:val="en-US"/>
        </w:rPr>
      </w:pPr>
    </w:p>
    <w:p w14:paraId="3CD38A64" w14:textId="77777777" w:rsidR="0063175C" w:rsidRDefault="0063175C" w:rsidP="008962C9">
      <w:pPr>
        <w:rPr>
          <w:lang w:val="en-US"/>
        </w:rPr>
      </w:pPr>
    </w:p>
    <w:p w14:paraId="365F2FC9" w14:textId="0C7D452D" w:rsidR="0063175C" w:rsidRPr="00701F32" w:rsidRDefault="0063175C" w:rsidP="008962C9">
      <w:pPr>
        <w:rPr>
          <w:lang w:val="en-US"/>
        </w:rPr>
        <w:sectPr w:rsidR="0063175C" w:rsidRPr="00701F32" w:rsidSect="00FF21C0">
          <w:headerReference w:type="default" r:id="rId58"/>
          <w:pgSz w:w="16839" w:h="11907" w:orient="landscape" w:code="9"/>
          <w:pgMar w:top="1701" w:right="1418" w:bottom="1701" w:left="1418" w:header="567" w:footer="0" w:gutter="0"/>
          <w:paperSrc w:first="256" w:other="256"/>
          <w:cols w:space="720"/>
          <w:docGrid w:linePitch="326"/>
        </w:sectPr>
      </w:pPr>
    </w:p>
    <w:p w14:paraId="324ED2A3" w14:textId="23E8F525" w:rsidR="00425F99" w:rsidRPr="00701F32" w:rsidRDefault="00425F99" w:rsidP="00EC349E">
      <w:pPr>
        <w:jc w:val="center"/>
        <w:rPr>
          <w:lang w:val="en-US"/>
        </w:rPr>
      </w:pPr>
    </w:p>
    <w:p w14:paraId="10F86E03" w14:textId="749FBED9" w:rsidR="009E3BEB" w:rsidRPr="00701F32" w:rsidRDefault="000614BA" w:rsidP="008962C9">
      <w:pPr>
        <w:rPr>
          <w:lang w:val="en-US"/>
        </w:rPr>
      </w:pPr>
      <w:r w:rsidRPr="00701F32">
        <w:rPr>
          <w:noProof/>
          <w:lang w:eastAsia="es-AR"/>
        </w:rPr>
        <w:tab/>
      </w:r>
    </w:p>
    <w:tbl>
      <w:tblPr>
        <w:tblStyle w:val="Tablaconcuadrcula"/>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417"/>
        <w:gridCol w:w="1418"/>
        <w:gridCol w:w="1276"/>
        <w:gridCol w:w="1417"/>
      </w:tblGrid>
      <w:tr w:rsidR="007B34B2" w:rsidRPr="00C17D08" w14:paraId="0D0CAD30" w14:textId="77777777" w:rsidTr="00066653">
        <w:trPr>
          <w:trHeight w:val="248"/>
          <w:jc w:val="center"/>
        </w:trPr>
        <w:tc>
          <w:tcPr>
            <w:tcW w:w="326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D604D0"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Número de cliente</w:t>
            </w:r>
          </w:p>
        </w:tc>
        <w:tc>
          <w:tcPr>
            <w:tcW w:w="552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83597C"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DEPÓSITOS</w:t>
            </w:r>
          </w:p>
        </w:tc>
      </w:tr>
      <w:tr w:rsidR="007B34B2" w:rsidRPr="00C17D08" w14:paraId="4811A737" w14:textId="77777777" w:rsidTr="00066653">
        <w:trPr>
          <w:trHeight w:val="248"/>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5CB453" w14:textId="77777777" w:rsidR="007B34B2" w:rsidRPr="0066424E" w:rsidRDefault="007B34B2" w:rsidP="00BE5A48">
            <w:pPr>
              <w:jc w:val="center"/>
              <w:rPr>
                <w:rFonts w:ascii="Arial" w:hAnsi="Arial" w:cs="Arial"/>
                <w:b/>
                <w:sz w:val="18"/>
                <w:szCs w:val="18"/>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7E9C3D" w14:textId="730AA3B9" w:rsidR="007B34B2" w:rsidRPr="0066424E" w:rsidRDefault="003C2633" w:rsidP="00083AEA">
            <w:pPr>
              <w:jc w:val="center"/>
              <w:rPr>
                <w:rFonts w:ascii="Arial" w:hAnsi="Arial" w:cs="Arial"/>
                <w:b/>
                <w:sz w:val="18"/>
                <w:szCs w:val="18"/>
              </w:rPr>
            </w:pPr>
            <w:r>
              <w:rPr>
                <w:rFonts w:ascii="Arial" w:hAnsi="Arial" w:cs="Arial"/>
                <w:b/>
                <w:sz w:val="18"/>
                <w:szCs w:val="18"/>
              </w:rPr>
              <w:t>3</w:t>
            </w:r>
            <w:r w:rsidR="0023536E">
              <w:rPr>
                <w:rFonts w:ascii="Arial" w:hAnsi="Arial" w:cs="Arial"/>
                <w:b/>
                <w:sz w:val="18"/>
                <w:szCs w:val="18"/>
              </w:rPr>
              <w:t>1</w:t>
            </w:r>
            <w:r>
              <w:rPr>
                <w:rFonts w:ascii="Arial" w:hAnsi="Arial" w:cs="Arial"/>
                <w:b/>
                <w:sz w:val="18"/>
                <w:szCs w:val="18"/>
              </w:rPr>
              <w:t>/</w:t>
            </w:r>
            <w:r w:rsidR="0023536E">
              <w:rPr>
                <w:rFonts w:ascii="Arial" w:hAnsi="Arial" w:cs="Arial"/>
                <w:b/>
                <w:sz w:val="18"/>
                <w:szCs w:val="18"/>
              </w:rPr>
              <w:t>12</w:t>
            </w:r>
            <w:r>
              <w:rPr>
                <w:rFonts w:ascii="Arial" w:hAnsi="Arial" w:cs="Arial"/>
                <w:b/>
                <w:sz w:val="18"/>
                <w:szCs w:val="18"/>
              </w:rPr>
              <w:t>/2019</w:t>
            </w:r>
          </w:p>
        </w:tc>
        <w:tc>
          <w:tcPr>
            <w:tcW w:w="269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3C7999"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31/12/2018</w:t>
            </w:r>
          </w:p>
        </w:tc>
      </w:tr>
      <w:tr w:rsidR="007B34B2" w:rsidRPr="00C17D08" w14:paraId="02D1C316" w14:textId="77777777" w:rsidTr="00066653">
        <w:trPr>
          <w:trHeight w:val="677"/>
          <w:jc w:val="center"/>
        </w:trPr>
        <w:tc>
          <w:tcPr>
            <w:tcW w:w="326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48D181" w14:textId="77777777" w:rsidR="007B34B2" w:rsidRPr="0066424E" w:rsidRDefault="007B34B2" w:rsidP="00BE5A48">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9A2A9D"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Saldo de colocación</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61A053"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 sobre Cartera total</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508172"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Saldo de colocación</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82BE78" w14:textId="77777777" w:rsidR="007B34B2" w:rsidRPr="0066424E" w:rsidRDefault="007B34B2" w:rsidP="00BE5A48">
            <w:pPr>
              <w:jc w:val="center"/>
              <w:rPr>
                <w:rFonts w:ascii="Arial" w:hAnsi="Arial" w:cs="Arial"/>
                <w:b/>
                <w:sz w:val="18"/>
                <w:szCs w:val="18"/>
              </w:rPr>
            </w:pPr>
            <w:r w:rsidRPr="0066424E">
              <w:rPr>
                <w:rFonts w:ascii="Arial" w:hAnsi="Arial" w:cs="Arial"/>
                <w:b/>
                <w:sz w:val="18"/>
                <w:szCs w:val="18"/>
              </w:rPr>
              <w:t>% sobre Cartera total</w:t>
            </w:r>
          </w:p>
        </w:tc>
      </w:tr>
      <w:tr w:rsidR="007B34B2" w:rsidRPr="00C17D08" w14:paraId="1C72E223" w14:textId="77777777" w:rsidTr="00066653">
        <w:trPr>
          <w:trHeight w:val="113"/>
          <w:jc w:val="center"/>
        </w:trPr>
        <w:tc>
          <w:tcPr>
            <w:tcW w:w="3261" w:type="dxa"/>
            <w:tcBorders>
              <w:top w:val="single" w:sz="4" w:space="0" w:color="auto"/>
            </w:tcBorders>
            <w:vAlign w:val="bottom"/>
          </w:tcPr>
          <w:p w14:paraId="4435CD07" w14:textId="77777777" w:rsidR="007B34B2" w:rsidRDefault="007B34B2" w:rsidP="00BE5A48">
            <w:pPr>
              <w:rPr>
                <w:rFonts w:ascii="Arial" w:hAnsi="Arial" w:cs="Arial"/>
                <w:sz w:val="18"/>
                <w:szCs w:val="18"/>
              </w:rPr>
            </w:pPr>
          </w:p>
        </w:tc>
        <w:tc>
          <w:tcPr>
            <w:tcW w:w="1417" w:type="dxa"/>
            <w:tcBorders>
              <w:top w:val="single" w:sz="4" w:space="0" w:color="auto"/>
            </w:tcBorders>
          </w:tcPr>
          <w:p w14:paraId="5F075B90" w14:textId="77777777" w:rsidR="007B34B2" w:rsidRPr="00C17D08" w:rsidRDefault="007B34B2" w:rsidP="006459D0">
            <w:pPr>
              <w:jc w:val="right"/>
              <w:rPr>
                <w:rFonts w:ascii="Arial" w:hAnsi="Arial" w:cs="Arial"/>
                <w:sz w:val="18"/>
                <w:szCs w:val="18"/>
              </w:rPr>
            </w:pPr>
          </w:p>
        </w:tc>
        <w:tc>
          <w:tcPr>
            <w:tcW w:w="1418" w:type="dxa"/>
            <w:tcBorders>
              <w:top w:val="single" w:sz="4" w:space="0" w:color="auto"/>
            </w:tcBorders>
          </w:tcPr>
          <w:p w14:paraId="385081DF" w14:textId="77777777" w:rsidR="007B34B2" w:rsidRPr="00C17D08" w:rsidRDefault="007B34B2" w:rsidP="006459D0">
            <w:pPr>
              <w:jc w:val="right"/>
              <w:rPr>
                <w:rFonts w:ascii="Arial" w:hAnsi="Arial" w:cs="Arial"/>
                <w:sz w:val="18"/>
                <w:szCs w:val="18"/>
              </w:rPr>
            </w:pPr>
          </w:p>
        </w:tc>
        <w:tc>
          <w:tcPr>
            <w:tcW w:w="1276" w:type="dxa"/>
            <w:tcBorders>
              <w:top w:val="single" w:sz="4" w:space="0" w:color="auto"/>
            </w:tcBorders>
          </w:tcPr>
          <w:p w14:paraId="03932AB2" w14:textId="77777777" w:rsidR="007B34B2" w:rsidRPr="00C17D08" w:rsidRDefault="007B34B2" w:rsidP="006459D0">
            <w:pPr>
              <w:jc w:val="right"/>
              <w:rPr>
                <w:rFonts w:ascii="Arial" w:hAnsi="Arial" w:cs="Arial"/>
                <w:sz w:val="18"/>
                <w:szCs w:val="18"/>
              </w:rPr>
            </w:pPr>
          </w:p>
        </w:tc>
        <w:tc>
          <w:tcPr>
            <w:tcW w:w="1417" w:type="dxa"/>
            <w:tcBorders>
              <w:top w:val="single" w:sz="4" w:space="0" w:color="auto"/>
            </w:tcBorders>
          </w:tcPr>
          <w:p w14:paraId="3FD9AA9B" w14:textId="77777777" w:rsidR="007B34B2" w:rsidRPr="00C17D08" w:rsidRDefault="007B34B2" w:rsidP="006459D0">
            <w:pPr>
              <w:jc w:val="right"/>
              <w:rPr>
                <w:rFonts w:ascii="Arial" w:hAnsi="Arial" w:cs="Arial"/>
                <w:sz w:val="18"/>
                <w:szCs w:val="18"/>
              </w:rPr>
            </w:pPr>
          </w:p>
        </w:tc>
      </w:tr>
      <w:tr w:rsidR="007B34B2" w:rsidRPr="00C17D08" w14:paraId="3B0B3ADF" w14:textId="77777777" w:rsidTr="00066653">
        <w:trPr>
          <w:trHeight w:val="454"/>
          <w:jc w:val="center"/>
        </w:trPr>
        <w:tc>
          <w:tcPr>
            <w:tcW w:w="3261" w:type="dxa"/>
            <w:vAlign w:val="center"/>
          </w:tcPr>
          <w:p w14:paraId="7E5A2CC8" w14:textId="77777777" w:rsidR="007B34B2" w:rsidRDefault="007B34B2" w:rsidP="00557382">
            <w:pPr>
              <w:rPr>
                <w:rFonts w:ascii="Arial" w:hAnsi="Arial" w:cs="Arial"/>
                <w:sz w:val="18"/>
                <w:szCs w:val="18"/>
              </w:rPr>
            </w:pPr>
            <w:r>
              <w:rPr>
                <w:rFonts w:ascii="Arial" w:hAnsi="Arial" w:cs="Arial"/>
                <w:sz w:val="18"/>
                <w:szCs w:val="18"/>
              </w:rPr>
              <w:t>10 mayores clientes</w:t>
            </w:r>
          </w:p>
        </w:tc>
        <w:tc>
          <w:tcPr>
            <w:tcW w:w="1417" w:type="dxa"/>
            <w:vAlign w:val="center"/>
          </w:tcPr>
          <w:p w14:paraId="6474ED37" w14:textId="5F9E79FA" w:rsidR="007B34B2" w:rsidRPr="00C17D08" w:rsidRDefault="00D36250" w:rsidP="00557382">
            <w:pPr>
              <w:jc w:val="right"/>
              <w:rPr>
                <w:rFonts w:ascii="Arial" w:hAnsi="Arial" w:cs="Arial"/>
                <w:sz w:val="18"/>
                <w:szCs w:val="18"/>
              </w:rPr>
            </w:pPr>
            <w:r>
              <w:rPr>
                <w:rFonts w:ascii="Arial" w:hAnsi="Arial" w:cs="Arial"/>
                <w:sz w:val="18"/>
                <w:szCs w:val="18"/>
              </w:rPr>
              <w:t>11.502.484</w:t>
            </w:r>
          </w:p>
        </w:tc>
        <w:tc>
          <w:tcPr>
            <w:tcW w:w="1418" w:type="dxa"/>
            <w:vAlign w:val="center"/>
          </w:tcPr>
          <w:p w14:paraId="74BD3ADB" w14:textId="628E3C2B" w:rsidR="007B34B2" w:rsidRPr="00C17D08" w:rsidRDefault="00D36250" w:rsidP="00557382">
            <w:pPr>
              <w:jc w:val="center"/>
              <w:rPr>
                <w:rFonts w:ascii="Arial" w:hAnsi="Arial" w:cs="Arial"/>
                <w:sz w:val="18"/>
                <w:szCs w:val="18"/>
              </w:rPr>
            </w:pPr>
            <w:r>
              <w:rPr>
                <w:rFonts w:ascii="Arial" w:hAnsi="Arial" w:cs="Arial"/>
                <w:sz w:val="18"/>
                <w:szCs w:val="18"/>
              </w:rPr>
              <w:t>12,82%</w:t>
            </w:r>
          </w:p>
        </w:tc>
        <w:tc>
          <w:tcPr>
            <w:tcW w:w="1276" w:type="dxa"/>
            <w:vAlign w:val="center"/>
          </w:tcPr>
          <w:p w14:paraId="1A87E8A2" w14:textId="562A89F6" w:rsidR="007B34B2" w:rsidRPr="00C17D08" w:rsidRDefault="00A30CC7" w:rsidP="00557382">
            <w:pPr>
              <w:jc w:val="right"/>
              <w:rPr>
                <w:rFonts w:ascii="Arial" w:hAnsi="Arial" w:cs="Arial"/>
                <w:sz w:val="18"/>
                <w:szCs w:val="18"/>
              </w:rPr>
            </w:pPr>
            <w:r>
              <w:rPr>
                <w:rFonts w:ascii="Arial" w:hAnsi="Arial" w:cs="Arial"/>
                <w:sz w:val="18"/>
                <w:szCs w:val="18"/>
              </w:rPr>
              <w:t>21.388.613</w:t>
            </w:r>
          </w:p>
        </w:tc>
        <w:tc>
          <w:tcPr>
            <w:tcW w:w="1417" w:type="dxa"/>
            <w:vAlign w:val="center"/>
          </w:tcPr>
          <w:p w14:paraId="6AF4591A" w14:textId="5B89F3B9" w:rsidR="007B34B2" w:rsidRPr="00C17D08" w:rsidRDefault="00A30CC7" w:rsidP="00557382">
            <w:pPr>
              <w:jc w:val="center"/>
              <w:rPr>
                <w:rFonts w:ascii="Arial" w:hAnsi="Arial" w:cs="Arial"/>
                <w:sz w:val="18"/>
                <w:szCs w:val="18"/>
              </w:rPr>
            </w:pPr>
            <w:r>
              <w:rPr>
                <w:rFonts w:ascii="Arial" w:hAnsi="Arial" w:cs="Arial"/>
                <w:sz w:val="18"/>
                <w:szCs w:val="18"/>
              </w:rPr>
              <w:t>22</w:t>
            </w:r>
            <w:r w:rsidR="00300DD6">
              <w:rPr>
                <w:rFonts w:ascii="Arial" w:hAnsi="Arial" w:cs="Arial"/>
                <w:sz w:val="18"/>
                <w:szCs w:val="18"/>
              </w:rPr>
              <w:t>,</w:t>
            </w:r>
            <w:r>
              <w:rPr>
                <w:rFonts w:ascii="Arial" w:hAnsi="Arial" w:cs="Arial"/>
                <w:sz w:val="18"/>
                <w:szCs w:val="18"/>
              </w:rPr>
              <w:t>75%</w:t>
            </w:r>
          </w:p>
        </w:tc>
      </w:tr>
      <w:tr w:rsidR="007B34B2" w:rsidRPr="00C17D08" w14:paraId="51DB68BB" w14:textId="77777777" w:rsidTr="00066653">
        <w:trPr>
          <w:trHeight w:val="123"/>
          <w:jc w:val="center"/>
        </w:trPr>
        <w:tc>
          <w:tcPr>
            <w:tcW w:w="3261" w:type="dxa"/>
            <w:vAlign w:val="center"/>
          </w:tcPr>
          <w:p w14:paraId="38DE63BD" w14:textId="77777777" w:rsidR="007B34B2" w:rsidRPr="00C17D08" w:rsidRDefault="007B34B2" w:rsidP="00557382">
            <w:pPr>
              <w:rPr>
                <w:rFonts w:ascii="Arial" w:hAnsi="Arial" w:cs="Arial"/>
                <w:sz w:val="18"/>
                <w:szCs w:val="18"/>
              </w:rPr>
            </w:pPr>
          </w:p>
        </w:tc>
        <w:tc>
          <w:tcPr>
            <w:tcW w:w="1417" w:type="dxa"/>
            <w:vAlign w:val="center"/>
          </w:tcPr>
          <w:p w14:paraId="46A5249F" w14:textId="77777777" w:rsidR="007B34B2" w:rsidRPr="00C17D08" w:rsidRDefault="007B34B2" w:rsidP="00557382">
            <w:pPr>
              <w:jc w:val="right"/>
              <w:rPr>
                <w:rFonts w:ascii="Arial" w:hAnsi="Arial" w:cs="Arial"/>
                <w:sz w:val="18"/>
                <w:szCs w:val="18"/>
              </w:rPr>
            </w:pPr>
          </w:p>
        </w:tc>
        <w:tc>
          <w:tcPr>
            <w:tcW w:w="1418" w:type="dxa"/>
            <w:vAlign w:val="center"/>
          </w:tcPr>
          <w:p w14:paraId="487AD53B" w14:textId="77777777" w:rsidR="007B34B2" w:rsidRPr="00C17D08" w:rsidRDefault="007B34B2" w:rsidP="00557382">
            <w:pPr>
              <w:jc w:val="center"/>
              <w:rPr>
                <w:rFonts w:ascii="Arial" w:hAnsi="Arial" w:cs="Arial"/>
                <w:sz w:val="18"/>
                <w:szCs w:val="18"/>
              </w:rPr>
            </w:pPr>
          </w:p>
        </w:tc>
        <w:tc>
          <w:tcPr>
            <w:tcW w:w="1276" w:type="dxa"/>
            <w:vAlign w:val="center"/>
          </w:tcPr>
          <w:p w14:paraId="2B5320BC" w14:textId="77777777" w:rsidR="007B34B2" w:rsidRPr="00C17D08" w:rsidRDefault="007B34B2" w:rsidP="00557382">
            <w:pPr>
              <w:jc w:val="right"/>
              <w:rPr>
                <w:rFonts w:ascii="Arial" w:hAnsi="Arial" w:cs="Arial"/>
                <w:sz w:val="18"/>
                <w:szCs w:val="18"/>
              </w:rPr>
            </w:pPr>
          </w:p>
        </w:tc>
        <w:tc>
          <w:tcPr>
            <w:tcW w:w="1417" w:type="dxa"/>
            <w:vAlign w:val="center"/>
          </w:tcPr>
          <w:p w14:paraId="2F1BA025" w14:textId="77777777" w:rsidR="007B34B2" w:rsidRPr="00C17D08" w:rsidRDefault="007B34B2" w:rsidP="00557382">
            <w:pPr>
              <w:jc w:val="center"/>
              <w:rPr>
                <w:rFonts w:ascii="Arial" w:hAnsi="Arial" w:cs="Arial"/>
                <w:sz w:val="18"/>
                <w:szCs w:val="18"/>
              </w:rPr>
            </w:pPr>
          </w:p>
        </w:tc>
      </w:tr>
      <w:tr w:rsidR="007B34B2" w:rsidRPr="00C17D08" w14:paraId="77139180" w14:textId="77777777" w:rsidTr="00066653">
        <w:trPr>
          <w:trHeight w:val="454"/>
          <w:jc w:val="center"/>
        </w:trPr>
        <w:tc>
          <w:tcPr>
            <w:tcW w:w="3261" w:type="dxa"/>
            <w:vAlign w:val="center"/>
          </w:tcPr>
          <w:p w14:paraId="694DBE19" w14:textId="77777777" w:rsidR="007B34B2" w:rsidRPr="00C17D08" w:rsidRDefault="007B34B2" w:rsidP="00557382">
            <w:pPr>
              <w:rPr>
                <w:rFonts w:ascii="Arial" w:hAnsi="Arial" w:cs="Arial"/>
                <w:sz w:val="18"/>
                <w:szCs w:val="18"/>
              </w:rPr>
            </w:pPr>
            <w:r>
              <w:rPr>
                <w:rFonts w:ascii="Arial" w:hAnsi="Arial" w:cs="Arial"/>
                <w:sz w:val="18"/>
                <w:szCs w:val="18"/>
              </w:rPr>
              <w:t xml:space="preserve">50 siguientes mayores clientes </w:t>
            </w:r>
          </w:p>
        </w:tc>
        <w:tc>
          <w:tcPr>
            <w:tcW w:w="1417" w:type="dxa"/>
            <w:vAlign w:val="center"/>
          </w:tcPr>
          <w:p w14:paraId="6682C20F" w14:textId="162D1350" w:rsidR="007B34B2" w:rsidRPr="00C17D08" w:rsidRDefault="00D36250" w:rsidP="00557382">
            <w:pPr>
              <w:jc w:val="right"/>
              <w:rPr>
                <w:rFonts w:ascii="Arial" w:hAnsi="Arial" w:cs="Arial"/>
                <w:sz w:val="18"/>
                <w:szCs w:val="18"/>
              </w:rPr>
            </w:pPr>
            <w:r>
              <w:rPr>
                <w:rFonts w:ascii="Arial" w:hAnsi="Arial" w:cs="Arial"/>
                <w:sz w:val="18"/>
                <w:szCs w:val="18"/>
              </w:rPr>
              <w:t>11.123.994</w:t>
            </w:r>
          </w:p>
        </w:tc>
        <w:tc>
          <w:tcPr>
            <w:tcW w:w="1418" w:type="dxa"/>
            <w:vAlign w:val="center"/>
          </w:tcPr>
          <w:p w14:paraId="415BB8C1" w14:textId="7A1CC0D4" w:rsidR="007B34B2" w:rsidRPr="00C17D08" w:rsidRDefault="00D36250" w:rsidP="00557382">
            <w:pPr>
              <w:jc w:val="center"/>
              <w:rPr>
                <w:rFonts w:ascii="Arial" w:hAnsi="Arial" w:cs="Arial"/>
                <w:sz w:val="18"/>
                <w:szCs w:val="18"/>
              </w:rPr>
            </w:pPr>
            <w:r>
              <w:rPr>
                <w:rFonts w:ascii="Arial" w:hAnsi="Arial" w:cs="Arial"/>
                <w:sz w:val="18"/>
                <w:szCs w:val="18"/>
              </w:rPr>
              <w:t>12,40%</w:t>
            </w:r>
          </w:p>
        </w:tc>
        <w:tc>
          <w:tcPr>
            <w:tcW w:w="1276" w:type="dxa"/>
            <w:vAlign w:val="center"/>
          </w:tcPr>
          <w:p w14:paraId="76CB8EE4" w14:textId="1A7BD58E" w:rsidR="007B34B2" w:rsidRPr="00C17D08" w:rsidRDefault="00A30CC7" w:rsidP="00557382">
            <w:pPr>
              <w:jc w:val="right"/>
              <w:rPr>
                <w:rFonts w:ascii="Arial" w:hAnsi="Arial" w:cs="Arial"/>
                <w:sz w:val="18"/>
                <w:szCs w:val="18"/>
              </w:rPr>
            </w:pPr>
            <w:r>
              <w:rPr>
                <w:rFonts w:ascii="Arial" w:hAnsi="Arial" w:cs="Arial"/>
                <w:sz w:val="18"/>
                <w:szCs w:val="18"/>
              </w:rPr>
              <w:t>14.584.009</w:t>
            </w:r>
          </w:p>
        </w:tc>
        <w:tc>
          <w:tcPr>
            <w:tcW w:w="1417" w:type="dxa"/>
            <w:vAlign w:val="center"/>
          </w:tcPr>
          <w:p w14:paraId="7A35A54E" w14:textId="06C74855" w:rsidR="007B34B2" w:rsidRPr="00C17D08" w:rsidRDefault="00A30CC7" w:rsidP="00557382">
            <w:pPr>
              <w:spacing w:line="360" w:lineRule="auto"/>
              <w:jc w:val="center"/>
              <w:rPr>
                <w:rFonts w:ascii="Arial" w:hAnsi="Arial" w:cs="Arial"/>
                <w:sz w:val="18"/>
                <w:szCs w:val="18"/>
              </w:rPr>
            </w:pPr>
            <w:r>
              <w:rPr>
                <w:rFonts w:ascii="Arial" w:hAnsi="Arial" w:cs="Arial"/>
                <w:sz w:val="18"/>
                <w:szCs w:val="18"/>
              </w:rPr>
              <w:t>15</w:t>
            </w:r>
            <w:r w:rsidR="00300DD6">
              <w:rPr>
                <w:rFonts w:ascii="Arial" w:hAnsi="Arial" w:cs="Arial"/>
                <w:sz w:val="18"/>
                <w:szCs w:val="18"/>
              </w:rPr>
              <w:t>,</w:t>
            </w:r>
            <w:r>
              <w:rPr>
                <w:rFonts w:ascii="Arial" w:hAnsi="Arial" w:cs="Arial"/>
                <w:sz w:val="18"/>
                <w:szCs w:val="18"/>
              </w:rPr>
              <w:t>51%</w:t>
            </w:r>
          </w:p>
        </w:tc>
      </w:tr>
      <w:tr w:rsidR="007B34B2" w:rsidRPr="00C17D08" w14:paraId="105E67F2" w14:textId="77777777" w:rsidTr="00066653">
        <w:trPr>
          <w:trHeight w:val="207"/>
          <w:jc w:val="center"/>
        </w:trPr>
        <w:tc>
          <w:tcPr>
            <w:tcW w:w="3261" w:type="dxa"/>
            <w:vAlign w:val="center"/>
          </w:tcPr>
          <w:p w14:paraId="44C1D88E" w14:textId="77777777" w:rsidR="007B34B2" w:rsidRPr="00C17D08" w:rsidRDefault="007B34B2" w:rsidP="00557382">
            <w:pPr>
              <w:rPr>
                <w:rFonts w:ascii="Arial" w:hAnsi="Arial" w:cs="Arial"/>
                <w:sz w:val="18"/>
                <w:szCs w:val="18"/>
              </w:rPr>
            </w:pPr>
          </w:p>
        </w:tc>
        <w:tc>
          <w:tcPr>
            <w:tcW w:w="1417" w:type="dxa"/>
            <w:vAlign w:val="center"/>
          </w:tcPr>
          <w:p w14:paraId="5B9D9F91" w14:textId="77777777" w:rsidR="007B34B2" w:rsidRPr="00C17D08" w:rsidRDefault="007B34B2" w:rsidP="00557382">
            <w:pPr>
              <w:jc w:val="right"/>
              <w:rPr>
                <w:rFonts w:ascii="Arial" w:hAnsi="Arial" w:cs="Arial"/>
                <w:sz w:val="18"/>
                <w:szCs w:val="18"/>
              </w:rPr>
            </w:pPr>
          </w:p>
        </w:tc>
        <w:tc>
          <w:tcPr>
            <w:tcW w:w="1418" w:type="dxa"/>
            <w:vAlign w:val="center"/>
          </w:tcPr>
          <w:p w14:paraId="48FF71AA" w14:textId="77777777" w:rsidR="007B34B2" w:rsidRPr="00C17D08" w:rsidRDefault="007B34B2" w:rsidP="00557382">
            <w:pPr>
              <w:jc w:val="center"/>
              <w:rPr>
                <w:rFonts w:ascii="Arial" w:hAnsi="Arial" w:cs="Arial"/>
                <w:sz w:val="18"/>
                <w:szCs w:val="18"/>
              </w:rPr>
            </w:pPr>
          </w:p>
        </w:tc>
        <w:tc>
          <w:tcPr>
            <w:tcW w:w="1276" w:type="dxa"/>
            <w:vAlign w:val="center"/>
          </w:tcPr>
          <w:p w14:paraId="0AB8677E" w14:textId="77777777" w:rsidR="007B34B2" w:rsidRPr="00C17D08" w:rsidRDefault="007B34B2" w:rsidP="00557382">
            <w:pPr>
              <w:jc w:val="right"/>
              <w:rPr>
                <w:rFonts w:ascii="Arial" w:hAnsi="Arial" w:cs="Arial"/>
                <w:sz w:val="18"/>
                <w:szCs w:val="18"/>
              </w:rPr>
            </w:pPr>
          </w:p>
        </w:tc>
        <w:tc>
          <w:tcPr>
            <w:tcW w:w="1417" w:type="dxa"/>
            <w:vAlign w:val="center"/>
          </w:tcPr>
          <w:p w14:paraId="5F67135B" w14:textId="77777777" w:rsidR="007B34B2" w:rsidRPr="00C17D08" w:rsidRDefault="007B34B2" w:rsidP="00557382">
            <w:pPr>
              <w:jc w:val="center"/>
              <w:rPr>
                <w:rFonts w:ascii="Arial" w:hAnsi="Arial" w:cs="Arial"/>
                <w:sz w:val="18"/>
                <w:szCs w:val="18"/>
              </w:rPr>
            </w:pPr>
          </w:p>
        </w:tc>
      </w:tr>
      <w:tr w:rsidR="007B34B2" w:rsidRPr="00C17D08" w14:paraId="1B14320D" w14:textId="77777777" w:rsidTr="00066653">
        <w:trPr>
          <w:trHeight w:val="454"/>
          <w:jc w:val="center"/>
        </w:trPr>
        <w:tc>
          <w:tcPr>
            <w:tcW w:w="3261" w:type="dxa"/>
            <w:vAlign w:val="center"/>
          </w:tcPr>
          <w:p w14:paraId="10C6793F" w14:textId="77777777" w:rsidR="007B34B2" w:rsidRPr="00C17D08" w:rsidRDefault="007B34B2" w:rsidP="00557382">
            <w:pPr>
              <w:rPr>
                <w:rFonts w:ascii="Arial" w:hAnsi="Arial" w:cs="Arial"/>
                <w:sz w:val="18"/>
                <w:szCs w:val="18"/>
              </w:rPr>
            </w:pPr>
            <w:r>
              <w:rPr>
                <w:rFonts w:ascii="Arial" w:hAnsi="Arial" w:cs="Arial"/>
                <w:sz w:val="18"/>
                <w:szCs w:val="18"/>
              </w:rPr>
              <w:t>100 siguientes mayores clientes</w:t>
            </w:r>
          </w:p>
        </w:tc>
        <w:tc>
          <w:tcPr>
            <w:tcW w:w="1417" w:type="dxa"/>
            <w:vAlign w:val="center"/>
          </w:tcPr>
          <w:p w14:paraId="2926208F" w14:textId="1256EB1E" w:rsidR="007B34B2" w:rsidRPr="00C17D08" w:rsidRDefault="00D36250" w:rsidP="00557382">
            <w:pPr>
              <w:jc w:val="right"/>
              <w:rPr>
                <w:rFonts w:ascii="Arial" w:hAnsi="Arial" w:cs="Arial"/>
                <w:sz w:val="18"/>
                <w:szCs w:val="18"/>
              </w:rPr>
            </w:pPr>
            <w:r>
              <w:rPr>
                <w:rFonts w:ascii="Arial" w:hAnsi="Arial" w:cs="Arial"/>
                <w:sz w:val="18"/>
                <w:szCs w:val="18"/>
              </w:rPr>
              <w:t>5.582.733</w:t>
            </w:r>
          </w:p>
        </w:tc>
        <w:tc>
          <w:tcPr>
            <w:tcW w:w="1418" w:type="dxa"/>
            <w:vAlign w:val="center"/>
          </w:tcPr>
          <w:p w14:paraId="36BBCA0B" w14:textId="5B061C72" w:rsidR="007B34B2" w:rsidRPr="00C17D08" w:rsidRDefault="00D36250" w:rsidP="00557382">
            <w:pPr>
              <w:jc w:val="center"/>
              <w:rPr>
                <w:rFonts w:ascii="Arial" w:hAnsi="Arial" w:cs="Arial"/>
                <w:sz w:val="18"/>
                <w:szCs w:val="18"/>
              </w:rPr>
            </w:pPr>
            <w:r>
              <w:rPr>
                <w:rFonts w:ascii="Arial" w:hAnsi="Arial" w:cs="Arial"/>
                <w:sz w:val="18"/>
                <w:szCs w:val="18"/>
              </w:rPr>
              <w:t>6,22%</w:t>
            </w:r>
          </w:p>
        </w:tc>
        <w:tc>
          <w:tcPr>
            <w:tcW w:w="1276" w:type="dxa"/>
            <w:vAlign w:val="center"/>
          </w:tcPr>
          <w:p w14:paraId="5D42D565" w14:textId="7550CECE" w:rsidR="007B34B2" w:rsidRPr="00C17D08" w:rsidRDefault="00A30CC7" w:rsidP="00557382">
            <w:pPr>
              <w:jc w:val="right"/>
              <w:rPr>
                <w:rFonts w:ascii="Arial" w:hAnsi="Arial" w:cs="Arial"/>
                <w:sz w:val="18"/>
                <w:szCs w:val="18"/>
              </w:rPr>
            </w:pPr>
            <w:r>
              <w:rPr>
                <w:rFonts w:ascii="Arial" w:hAnsi="Arial" w:cs="Arial"/>
                <w:sz w:val="18"/>
                <w:szCs w:val="18"/>
              </w:rPr>
              <w:t>5.351.947</w:t>
            </w:r>
          </w:p>
        </w:tc>
        <w:tc>
          <w:tcPr>
            <w:tcW w:w="1417" w:type="dxa"/>
            <w:vAlign w:val="center"/>
          </w:tcPr>
          <w:p w14:paraId="680175E1" w14:textId="64A60C15" w:rsidR="007B34B2" w:rsidRPr="00C17D08" w:rsidRDefault="00A30CC7" w:rsidP="00557382">
            <w:pPr>
              <w:jc w:val="center"/>
              <w:rPr>
                <w:rFonts w:ascii="Arial" w:hAnsi="Arial" w:cs="Arial"/>
                <w:sz w:val="18"/>
                <w:szCs w:val="18"/>
              </w:rPr>
            </w:pPr>
            <w:r>
              <w:rPr>
                <w:rFonts w:ascii="Arial" w:hAnsi="Arial" w:cs="Arial"/>
                <w:sz w:val="18"/>
                <w:szCs w:val="18"/>
              </w:rPr>
              <w:t>5</w:t>
            </w:r>
            <w:r w:rsidR="00300DD6">
              <w:rPr>
                <w:rFonts w:ascii="Arial" w:hAnsi="Arial" w:cs="Arial"/>
                <w:sz w:val="18"/>
                <w:szCs w:val="18"/>
              </w:rPr>
              <w:t>,</w:t>
            </w:r>
            <w:r>
              <w:rPr>
                <w:rFonts w:ascii="Arial" w:hAnsi="Arial" w:cs="Arial"/>
                <w:sz w:val="18"/>
                <w:szCs w:val="18"/>
              </w:rPr>
              <w:t>69%</w:t>
            </w:r>
          </w:p>
        </w:tc>
      </w:tr>
      <w:tr w:rsidR="007B34B2" w:rsidRPr="00C17D08" w14:paraId="281CA9C6" w14:textId="77777777" w:rsidTr="00066653">
        <w:trPr>
          <w:trHeight w:val="149"/>
          <w:jc w:val="center"/>
        </w:trPr>
        <w:tc>
          <w:tcPr>
            <w:tcW w:w="3261" w:type="dxa"/>
            <w:vAlign w:val="center"/>
          </w:tcPr>
          <w:p w14:paraId="70D0D31E" w14:textId="77777777" w:rsidR="007B34B2" w:rsidRPr="00C17D08" w:rsidRDefault="007B34B2" w:rsidP="00557382">
            <w:pPr>
              <w:rPr>
                <w:rFonts w:ascii="Arial" w:hAnsi="Arial" w:cs="Arial"/>
                <w:sz w:val="18"/>
                <w:szCs w:val="18"/>
              </w:rPr>
            </w:pPr>
          </w:p>
        </w:tc>
        <w:tc>
          <w:tcPr>
            <w:tcW w:w="1417" w:type="dxa"/>
            <w:vAlign w:val="center"/>
          </w:tcPr>
          <w:p w14:paraId="16402129" w14:textId="77777777" w:rsidR="007B34B2" w:rsidRPr="00C17D08" w:rsidRDefault="007B34B2" w:rsidP="00557382">
            <w:pPr>
              <w:jc w:val="right"/>
              <w:rPr>
                <w:rFonts w:ascii="Arial" w:hAnsi="Arial" w:cs="Arial"/>
                <w:sz w:val="18"/>
                <w:szCs w:val="18"/>
              </w:rPr>
            </w:pPr>
          </w:p>
        </w:tc>
        <w:tc>
          <w:tcPr>
            <w:tcW w:w="1418" w:type="dxa"/>
            <w:vAlign w:val="center"/>
          </w:tcPr>
          <w:p w14:paraId="3544CDBB" w14:textId="77777777" w:rsidR="007B34B2" w:rsidRPr="00C17D08" w:rsidRDefault="007B34B2" w:rsidP="00557382">
            <w:pPr>
              <w:jc w:val="center"/>
              <w:rPr>
                <w:rFonts w:ascii="Arial" w:hAnsi="Arial" w:cs="Arial"/>
                <w:sz w:val="18"/>
                <w:szCs w:val="18"/>
              </w:rPr>
            </w:pPr>
          </w:p>
        </w:tc>
        <w:tc>
          <w:tcPr>
            <w:tcW w:w="1276" w:type="dxa"/>
            <w:vAlign w:val="center"/>
          </w:tcPr>
          <w:p w14:paraId="2B953C60" w14:textId="77777777" w:rsidR="007B34B2" w:rsidRPr="00C17D08" w:rsidRDefault="007B34B2" w:rsidP="00557382">
            <w:pPr>
              <w:jc w:val="right"/>
              <w:rPr>
                <w:rFonts w:ascii="Arial" w:hAnsi="Arial" w:cs="Arial"/>
                <w:sz w:val="18"/>
                <w:szCs w:val="18"/>
              </w:rPr>
            </w:pPr>
          </w:p>
        </w:tc>
        <w:tc>
          <w:tcPr>
            <w:tcW w:w="1417" w:type="dxa"/>
            <w:vAlign w:val="center"/>
          </w:tcPr>
          <w:p w14:paraId="173A069E" w14:textId="77777777" w:rsidR="007B34B2" w:rsidRPr="00C17D08" w:rsidRDefault="007B34B2" w:rsidP="00557382">
            <w:pPr>
              <w:jc w:val="center"/>
              <w:rPr>
                <w:rFonts w:ascii="Arial" w:hAnsi="Arial" w:cs="Arial"/>
                <w:sz w:val="18"/>
                <w:szCs w:val="18"/>
              </w:rPr>
            </w:pPr>
          </w:p>
        </w:tc>
      </w:tr>
      <w:tr w:rsidR="007B34B2" w:rsidRPr="00C17D08" w14:paraId="1F2C73A6" w14:textId="77777777" w:rsidTr="00066653">
        <w:trPr>
          <w:trHeight w:val="454"/>
          <w:jc w:val="center"/>
        </w:trPr>
        <w:tc>
          <w:tcPr>
            <w:tcW w:w="3261" w:type="dxa"/>
            <w:vAlign w:val="center"/>
          </w:tcPr>
          <w:p w14:paraId="6EA9EA9E" w14:textId="77777777" w:rsidR="007B34B2" w:rsidRPr="00C17D08" w:rsidRDefault="007B34B2" w:rsidP="00557382">
            <w:pPr>
              <w:rPr>
                <w:rFonts w:ascii="Arial" w:hAnsi="Arial" w:cs="Arial"/>
                <w:sz w:val="18"/>
                <w:szCs w:val="18"/>
              </w:rPr>
            </w:pPr>
            <w:r>
              <w:rPr>
                <w:rFonts w:ascii="Arial" w:hAnsi="Arial" w:cs="Arial"/>
                <w:sz w:val="18"/>
                <w:szCs w:val="18"/>
              </w:rPr>
              <w:t>Resto de clientes</w:t>
            </w:r>
          </w:p>
        </w:tc>
        <w:tc>
          <w:tcPr>
            <w:tcW w:w="1417" w:type="dxa"/>
            <w:vAlign w:val="center"/>
          </w:tcPr>
          <w:p w14:paraId="079A9980" w14:textId="337B90F3" w:rsidR="007B34B2" w:rsidRPr="00C17D08" w:rsidRDefault="00D36250" w:rsidP="00557382">
            <w:pPr>
              <w:jc w:val="right"/>
              <w:rPr>
                <w:rFonts w:ascii="Arial" w:hAnsi="Arial" w:cs="Arial"/>
                <w:sz w:val="18"/>
                <w:szCs w:val="18"/>
              </w:rPr>
            </w:pPr>
            <w:r>
              <w:rPr>
                <w:rFonts w:ascii="Arial" w:hAnsi="Arial" w:cs="Arial"/>
                <w:sz w:val="18"/>
                <w:szCs w:val="18"/>
              </w:rPr>
              <w:t>61.527.858</w:t>
            </w:r>
          </w:p>
        </w:tc>
        <w:tc>
          <w:tcPr>
            <w:tcW w:w="1418" w:type="dxa"/>
            <w:vAlign w:val="center"/>
          </w:tcPr>
          <w:p w14:paraId="50FF7EC4" w14:textId="2FCCD1B2" w:rsidR="007B34B2" w:rsidRPr="00C17D08" w:rsidRDefault="00D36250" w:rsidP="00557382">
            <w:pPr>
              <w:jc w:val="center"/>
              <w:rPr>
                <w:rFonts w:ascii="Arial" w:hAnsi="Arial" w:cs="Arial"/>
                <w:sz w:val="18"/>
                <w:szCs w:val="18"/>
              </w:rPr>
            </w:pPr>
            <w:r>
              <w:rPr>
                <w:rFonts w:ascii="Arial" w:hAnsi="Arial" w:cs="Arial"/>
                <w:sz w:val="18"/>
                <w:szCs w:val="18"/>
              </w:rPr>
              <w:t>68,56%</w:t>
            </w:r>
          </w:p>
        </w:tc>
        <w:tc>
          <w:tcPr>
            <w:tcW w:w="1276" w:type="dxa"/>
            <w:vAlign w:val="center"/>
          </w:tcPr>
          <w:p w14:paraId="74AF190A" w14:textId="735D970D" w:rsidR="007B34B2" w:rsidRPr="00C17D08" w:rsidRDefault="00A30CC7" w:rsidP="00557382">
            <w:pPr>
              <w:jc w:val="right"/>
              <w:rPr>
                <w:rFonts w:ascii="Arial" w:hAnsi="Arial" w:cs="Arial"/>
                <w:sz w:val="18"/>
                <w:szCs w:val="18"/>
              </w:rPr>
            </w:pPr>
            <w:r>
              <w:rPr>
                <w:rFonts w:ascii="Arial" w:hAnsi="Arial" w:cs="Arial"/>
                <w:sz w:val="18"/>
                <w:szCs w:val="18"/>
              </w:rPr>
              <w:t>52.700.509</w:t>
            </w:r>
          </w:p>
        </w:tc>
        <w:tc>
          <w:tcPr>
            <w:tcW w:w="1417" w:type="dxa"/>
            <w:vAlign w:val="center"/>
          </w:tcPr>
          <w:p w14:paraId="7C608DCA" w14:textId="639BDE64" w:rsidR="007B34B2" w:rsidRPr="00C17D08" w:rsidRDefault="00A30CC7" w:rsidP="00557382">
            <w:pPr>
              <w:jc w:val="center"/>
              <w:rPr>
                <w:rFonts w:ascii="Arial" w:hAnsi="Arial" w:cs="Arial"/>
                <w:sz w:val="18"/>
                <w:szCs w:val="18"/>
              </w:rPr>
            </w:pPr>
            <w:r>
              <w:rPr>
                <w:rFonts w:ascii="Arial" w:hAnsi="Arial" w:cs="Arial"/>
                <w:sz w:val="18"/>
                <w:szCs w:val="18"/>
              </w:rPr>
              <w:t>56</w:t>
            </w:r>
            <w:r w:rsidR="00300DD6">
              <w:rPr>
                <w:rFonts w:ascii="Arial" w:hAnsi="Arial" w:cs="Arial"/>
                <w:sz w:val="18"/>
                <w:szCs w:val="18"/>
              </w:rPr>
              <w:t>,</w:t>
            </w:r>
            <w:r>
              <w:rPr>
                <w:rFonts w:ascii="Arial" w:hAnsi="Arial" w:cs="Arial"/>
                <w:sz w:val="18"/>
                <w:szCs w:val="18"/>
              </w:rPr>
              <w:t>05%</w:t>
            </w:r>
          </w:p>
        </w:tc>
      </w:tr>
      <w:tr w:rsidR="007B34B2" w:rsidRPr="0014647F" w14:paraId="4083F140" w14:textId="77777777" w:rsidTr="00066653">
        <w:trPr>
          <w:trHeight w:val="340"/>
          <w:jc w:val="center"/>
        </w:trPr>
        <w:tc>
          <w:tcPr>
            <w:tcW w:w="3261" w:type="dxa"/>
            <w:tcBorders>
              <w:top w:val="single" w:sz="4" w:space="0" w:color="auto"/>
              <w:bottom w:val="single" w:sz="4" w:space="0" w:color="auto"/>
            </w:tcBorders>
            <w:vAlign w:val="center"/>
          </w:tcPr>
          <w:p w14:paraId="075D6520" w14:textId="77777777" w:rsidR="007B34B2" w:rsidRPr="0014647F" w:rsidRDefault="007B34B2" w:rsidP="00557382">
            <w:pPr>
              <w:rPr>
                <w:rFonts w:ascii="Arial" w:hAnsi="Arial" w:cs="Arial"/>
                <w:b/>
                <w:sz w:val="18"/>
                <w:szCs w:val="18"/>
              </w:rPr>
            </w:pPr>
            <w:r w:rsidRPr="0014647F">
              <w:rPr>
                <w:rFonts w:ascii="Arial" w:hAnsi="Arial" w:cs="Arial"/>
                <w:b/>
                <w:sz w:val="18"/>
                <w:szCs w:val="18"/>
              </w:rPr>
              <w:t>TOTAL</w:t>
            </w:r>
          </w:p>
        </w:tc>
        <w:tc>
          <w:tcPr>
            <w:tcW w:w="1417" w:type="dxa"/>
            <w:tcBorders>
              <w:top w:val="single" w:sz="4" w:space="0" w:color="auto"/>
              <w:bottom w:val="single" w:sz="4" w:space="0" w:color="auto"/>
            </w:tcBorders>
            <w:vAlign w:val="center"/>
          </w:tcPr>
          <w:p w14:paraId="24FD2A7C" w14:textId="28DB14BB" w:rsidR="007B34B2" w:rsidRPr="0014647F" w:rsidRDefault="00D36250" w:rsidP="00557382">
            <w:pPr>
              <w:jc w:val="right"/>
              <w:rPr>
                <w:rFonts w:ascii="Arial" w:hAnsi="Arial" w:cs="Arial"/>
                <w:b/>
                <w:sz w:val="18"/>
                <w:szCs w:val="18"/>
              </w:rPr>
            </w:pPr>
            <w:r>
              <w:rPr>
                <w:rFonts w:ascii="Arial" w:hAnsi="Arial" w:cs="Arial"/>
                <w:b/>
                <w:sz w:val="18"/>
                <w:szCs w:val="18"/>
              </w:rPr>
              <w:t>89.737.069</w:t>
            </w:r>
          </w:p>
        </w:tc>
        <w:tc>
          <w:tcPr>
            <w:tcW w:w="1418" w:type="dxa"/>
            <w:tcBorders>
              <w:top w:val="single" w:sz="4" w:space="0" w:color="auto"/>
              <w:bottom w:val="single" w:sz="4" w:space="0" w:color="auto"/>
            </w:tcBorders>
            <w:vAlign w:val="center"/>
          </w:tcPr>
          <w:p w14:paraId="1F5390D2" w14:textId="0F50A574" w:rsidR="007B34B2" w:rsidRPr="0014647F" w:rsidRDefault="00D36250" w:rsidP="00557382">
            <w:pPr>
              <w:jc w:val="center"/>
              <w:rPr>
                <w:rFonts w:ascii="Arial" w:hAnsi="Arial" w:cs="Arial"/>
                <w:b/>
                <w:sz w:val="18"/>
                <w:szCs w:val="18"/>
              </w:rPr>
            </w:pPr>
            <w:r>
              <w:rPr>
                <w:rFonts w:ascii="Arial" w:hAnsi="Arial" w:cs="Arial"/>
                <w:b/>
                <w:sz w:val="18"/>
                <w:szCs w:val="18"/>
              </w:rPr>
              <w:t>100,00%</w:t>
            </w:r>
          </w:p>
        </w:tc>
        <w:tc>
          <w:tcPr>
            <w:tcW w:w="1276" w:type="dxa"/>
            <w:tcBorders>
              <w:top w:val="single" w:sz="4" w:space="0" w:color="auto"/>
              <w:bottom w:val="single" w:sz="4" w:space="0" w:color="auto"/>
            </w:tcBorders>
            <w:vAlign w:val="center"/>
          </w:tcPr>
          <w:p w14:paraId="63E77D7C" w14:textId="3611CF47" w:rsidR="007B34B2" w:rsidRPr="0014647F" w:rsidRDefault="00A30CC7" w:rsidP="00557382">
            <w:pPr>
              <w:jc w:val="right"/>
              <w:rPr>
                <w:rFonts w:ascii="Arial" w:hAnsi="Arial" w:cs="Arial"/>
                <w:b/>
                <w:sz w:val="18"/>
                <w:szCs w:val="18"/>
              </w:rPr>
            </w:pPr>
            <w:r>
              <w:rPr>
                <w:rFonts w:ascii="Arial" w:hAnsi="Arial" w:cs="Arial"/>
                <w:b/>
                <w:sz w:val="18"/>
                <w:szCs w:val="18"/>
              </w:rPr>
              <w:t>94.025.078</w:t>
            </w:r>
          </w:p>
        </w:tc>
        <w:tc>
          <w:tcPr>
            <w:tcW w:w="1417" w:type="dxa"/>
            <w:tcBorders>
              <w:top w:val="single" w:sz="4" w:space="0" w:color="auto"/>
              <w:bottom w:val="single" w:sz="4" w:space="0" w:color="auto"/>
            </w:tcBorders>
            <w:vAlign w:val="center"/>
          </w:tcPr>
          <w:p w14:paraId="42C5FCE7" w14:textId="39DBFABB" w:rsidR="007B34B2" w:rsidRPr="0014647F" w:rsidRDefault="00A30CC7" w:rsidP="00557382">
            <w:pPr>
              <w:jc w:val="center"/>
              <w:rPr>
                <w:rFonts w:ascii="Arial" w:hAnsi="Arial" w:cs="Arial"/>
                <w:b/>
                <w:sz w:val="18"/>
                <w:szCs w:val="18"/>
              </w:rPr>
            </w:pPr>
            <w:r>
              <w:rPr>
                <w:rFonts w:ascii="Arial" w:hAnsi="Arial" w:cs="Arial"/>
                <w:b/>
                <w:sz w:val="18"/>
                <w:szCs w:val="18"/>
              </w:rPr>
              <w:t>100</w:t>
            </w:r>
            <w:r w:rsidR="00300DD6">
              <w:rPr>
                <w:rFonts w:ascii="Arial" w:hAnsi="Arial" w:cs="Arial"/>
                <w:b/>
                <w:sz w:val="18"/>
                <w:szCs w:val="18"/>
              </w:rPr>
              <w:t>,00</w:t>
            </w:r>
            <w:r>
              <w:rPr>
                <w:rFonts w:ascii="Arial" w:hAnsi="Arial" w:cs="Arial"/>
                <w:b/>
                <w:sz w:val="18"/>
                <w:szCs w:val="18"/>
              </w:rPr>
              <w:t>%</w:t>
            </w:r>
          </w:p>
        </w:tc>
      </w:tr>
    </w:tbl>
    <w:p w14:paraId="391FD568" w14:textId="57527251" w:rsidR="00860C48" w:rsidRPr="00701F32" w:rsidRDefault="00860C48" w:rsidP="008962C9">
      <w:pPr>
        <w:rPr>
          <w:lang w:val="en-US"/>
        </w:rPr>
      </w:pPr>
    </w:p>
    <w:p w14:paraId="154AC156" w14:textId="77777777" w:rsidR="00860C48" w:rsidRPr="00701F32" w:rsidRDefault="00860C48" w:rsidP="008962C9">
      <w:pPr>
        <w:rPr>
          <w:lang w:val="en-US"/>
        </w:rPr>
      </w:pPr>
    </w:p>
    <w:p w14:paraId="6FE7CFD0" w14:textId="77777777" w:rsidR="00860C48" w:rsidRPr="00701F32" w:rsidRDefault="00860C48" w:rsidP="008962C9">
      <w:pPr>
        <w:rPr>
          <w:lang w:val="en-US"/>
        </w:rPr>
        <w:sectPr w:rsidR="00860C48" w:rsidRPr="00701F32" w:rsidSect="00425F99">
          <w:headerReference w:type="default" r:id="rId59"/>
          <w:pgSz w:w="11907" w:h="16839" w:code="9"/>
          <w:pgMar w:top="1418" w:right="1701" w:bottom="1418" w:left="1701" w:header="567" w:footer="0" w:gutter="0"/>
          <w:paperSrc w:first="256" w:other="256"/>
          <w:cols w:space="720"/>
          <w:docGrid w:linePitch="326"/>
        </w:sectPr>
      </w:pPr>
    </w:p>
    <w:p w14:paraId="755A3011" w14:textId="77777777" w:rsidR="007B34B2" w:rsidRPr="00701F32" w:rsidRDefault="000D4C17" w:rsidP="008962C9">
      <w:pPr>
        <w:rPr>
          <w:lang w:val="en-US"/>
        </w:rPr>
      </w:pPr>
      <w:r w:rsidRPr="00701F32">
        <w:rPr>
          <w:lang w:val="en-US"/>
        </w:rPr>
        <w:t xml:space="preserve"> </w:t>
      </w:r>
    </w:p>
    <w:tbl>
      <w:tblPr>
        <w:tblStyle w:val="Tablaconcuadrcula"/>
        <w:tblW w:w="10254" w:type="dxa"/>
        <w:tblInd w:w="-365" w:type="dxa"/>
        <w:tblLayout w:type="fixed"/>
        <w:tblLook w:val="04A0" w:firstRow="1" w:lastRow="0" w:firstColumn="1" w:lastColumn="0" w:noHBand="0" w:noVBand="1"/>
      </w:tblPr>
      <w:tblGrid>
        <w:gridCol w:w="2316"/>
        <w:gridCol w:w="1228"/>
        <w:gridCol w:w="1130"/>
        <w:gridCol w:w="1134"/>
        <w:gridCol w:w="1044"/>
        <w:gridCol w:w="1134"/>
        <w:gridCol w:w="1137"/>
        <w:gridCol w:w="1131"/>
      </w:tblGrid>
      <w:tr w:rsidR="00A968C4" w:rsidRPr="00EA7AC7" w14:paraId="3C52BD88" w14:textId="77777777" w:rsidTr="006E1AF7">
        <w:trPr>
          <w:trHeight w:val="106"/>
        </w:trPr>
        <w:tc>
          <w:tcPr>
            <w:tcW w:w="231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F2FF61"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Concepto</w:t>
            </w:r>
          </w:p>
        </w:tc>
        <w:tc>
          <w:tcPr>
            <w:tcW w:w="7938"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3BE1D0"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Plazos que restan para su vencimiento</w:t>
            </w:r>
          </w:p>
        </w:tc>
      </w:tr>
      <w:tr w:rsidR="00A4769B" w:rsidRPr="00EA7AC7" w14:paraId="16D880B1" w14:textId="77777777" w:rsidTr="006E1AF7">
        <w:trPr>
          <w:trHeight w:val="356"/>
        </w:trPr>
        <w:tc>
          <w:tcPr>
            <w:tcW w:w="2316" w:type="dxa"/>
            <w:vMerge/>
            <w:tcBorders>
              <w:top w:val="single" w:sz="4" w:space="0" w:color="auto"/>
              <w:bottom w:val="single" w:sz="4" w:space="0" w:color="auto"/>
            </w:tcBorders>
            <w:shd w:val="clear" w:color="auto" w:fill="BFBFBF" w:themeFill="background1" w:themeFillShade="BF"/>
            <w:vAlign w:val="center"/>
          </w:tcPr>
          <w:p w14:paraId="4D3DE37F" w14:textId="77777777" w:rsidR="007B34B2" w:rsidRPr="00066653" w:rsidRDefault="007B34B2" w:rsidP="00BE5A48">
            <w:pPr>
              <w:jc w:val="center"/>
              <w:rPr>
                <w:rFonts w:ascii="Arial" w:hAnsi="Arial" w:cs="Arial"/>
                <w:b/>
                <w:sz w:val="16"/>
                <w:szCs w:val="16"/>
                <w:lang w:eastAsia="es-AR"/>
              </w:rPr>
            </w:pPr>
          </w:p>
        </w:tc>
        <w:tc>
          <w:tcPr>
            <w:tcW w:w="1228" w:type="dxa"/>
            <w:tcBorders>
              <w:top w:val="single" w:sz="4" w:space="0" w:color="auto"/>
              <w:bottom w:val="single" w:sz="4" w:space="0" w:color="auto"/>
            </w:tcBorders>
            <w:shd w:val="clear" w:color="auto" w:fill="BFBFBF" w:themeFill="background1" w:themeFillShade="BF"/>
            <w:vAlign w:val="center"/>
          </w:tcPr>
          <w:p w14:paraId="5A4D57DA"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1</w:t>
            </w:r>
          </w:p>
          <w:p w14:paraId="6430226E"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 xml:space="preserve"> mes</w:t>
            </w:r>
          </w:p>
        </w:tc>
        <w:tc>
          <w:tcPr>
            <w:tcW w:w="1130" w:type="dxa"/>
            <w:tcBorders>
              <w:top w:val="single" w:sz="4" w:space="0" w:color="auto"/>
              <w:bottom w:val="single" w:sz="4" w:space="0" w:color="auto"/>
            </w:tcBorders>
            <w:shd w:val="clear" w:color="auto" w:fill="BFBFBF" w:themeFill="background1" w:themeFillShade="BF"/>
            <w:vAlign w:val="center"/>
          </w:tcPr>
          <w:p w14:paraId="25A5C6CE" w14:textId="77777777" w:rsidR="007B34B2" w:rsidRPr="00066653" w:rsidRDefault="007B34B2" w:rsidP="00BE5A48">
            <w:pPr>
              <w:ind w:right="-210"/>
              <w:rPr>
                <w:rFonts w:ascii="Arial" w:hAnsi="Arial" w:cs="Arial"/>
                <w:b/>
                <w:sz w:val="16"/>
                <w:szCs w:val="16"/>
                <w:lang w:eastAsia="es-AR"/>
              </w:rPr>
            </w:pPr>
            <w:r w:rsidRPr="00066653">
              <w:rPr>
                <w:rFonts w:ascii="Arial" w:hAnsi="Arial" w:cs="Arial"/>
                <w:b/>
                <w:sz w:val="16"/>
                <w:szCs w:val="16"/>
                <w:lang w:eastAsia="es-AR"/>
              </w:rPr>
              <w:t xml:space="preserve">     3</w:t>
            </w:r>
          </w:p>
          <w:p w14:paraId="63C89571" w14:textId="77777777" w:rsidR="007B34B2" w:rsidRPr="00066653" w:rsidRDefault="007B34B2" w:rsidP="00BE5A48">
            <w:pPr>
              <w:ind w:right="-210"/>
              <w:rPr>
                <w:rFonts w:ascii="Arial" w:hAnsi="Arial" w:cs="Arial"/>
                <w:b/>
                <w:sz w:val="16"/>
                <w:szCs w:val="16"/>
                <w:lang w:eastAsia="es-AR"/>
              </w:rPr>
            </w:pPr>
            <w:r w:rsidRPr="00066653">
              <w:rPr>
                <w:rFonts w:ascii="Arial" w:hAnsi="Arial" w:cs="Arial"/>
                <w:b/>
                <w:sz w:val="16"/>
                <w:szCs w:val="16"/>
                <w:lang w:eastAsia="es-AR"/>
              </w:rPr>
              <w:t xml:space="preserve"> meses</w:t>
            </w:r>
          </w:p>
        </w:tc>
        <w:tc>
          <w:tcPr>
            <w:tcW w:w="1134" w:type="dxa"/>
            <w:tcBorders>
              <w:top w:val="single" w:sz="4" w:space="0" w:color="auto"/>
              <w:bottom w:val="single" w:sz="4" w:space="0" w:color="auto"/>
            </w:tcBorders>
            <w:shd w:val="clear" w:color="auto" w:fill="BFBFBF" w:themeFill="background1" w:themeFillShade="BF"/>
            <w:vAlign w:val="center"/>
          </w:tcPr>
          <w:p w14:paraId="2119EA44"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 xml:space="preserve">6 </w:t>
            </w:r>
          </w:p>
          <w:p w14:paraId="7A3D00DA"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meses</w:t>
            </w:r>
          </w:p>
        </w:tc>
        <w:tc>
          <w:tcPr>
            <w:tcW w:w="1044" w:type="dxa"/>
            <w:tcBorders>
              <w:top w:val="single" w:sz="4" w:space="0" w:color="auto"/>
              <w:bottom w:val="single" w:sz="4" w:space="0" w:color="auto"/>
            </w:tcBorders>
            <w:shd w:val="clear" w:color="auto" w:fill="BFBFBF" w:themeFill="background1" w:themeFillShade="BF"/>
            <w:vAlign w:val="center"/>
          </w:tcPr>
          <w:p w14:paraId="11569659"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12 meses</w:t>
            </w:r>
          </w:p>
        </w:tc>
        <w:tc>
          <w:tcPr>
            <w:tcW w:w="1134" w:type="dxa"/>
            <w:tcBorders>
              <w:top w:val="single" w:sz="4" w:space="0" w:color="auto"/>
              <w:bottom w:val="single" w:sz="4" w:space="0" w:color="auto"/>
            </w:tcBorders>
            <w:shd w:val="clear" w:color="auto" w:fill="BFBFBF" w:themeFill="background1" w:themeFillShade="BF"/>
            <w:vAlign w:val="center"/>
          </w:tcPr>
          <w:p w14:paraId="41D27E38"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24 meses</w:t>
            </w:r>
          </w:p>
        </w:tc>
        <w:tc>
          <w:tcPr>
            <w:tcW w:w="1137" w:type="dxa"/>
            <w:tcBorders>
              <w:top w:val="single" w:sz="4" w:space="0" w:color="auto"/>
              <w:bottom w:val="single" w:sz="4" w:space="0" w:color="auto"/>
            </w:tcBorders>
            <w:shd w:val="clear" w:color="auto" w:fill="BFBFBF" w:themeFill="background1" w:themeFillShade="BF"/>
            <w:vAlign w:val="center"/>
          </w:tcPr>
          <w:p w14:paraId="4340F26D"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Mas de 24 meses</w:t>
            </w:r>
          </w:p>
        </w:tc>
        <w:tc>
          <w:tcPr>
            <w:tcW w:w="1131" w:type="dxa"/>
            <w:tcBorders>
              <w:top w:val="single" w:sz="4" w:space="0" w:color="auto"/>
              <w:bottom w:val="single" w:sz="4" w:space="0" w:color="auto"/>
            </w:tcBorders>
            <w:shd w:val="clear" w:color="auto" w:fill="BFBFBF" w:themeFill="background1" w:themeFillShade="BF"/>
            <w:vAlign w:val="center"/>
          </w:tcPr>
          <w:p w14:paraId="2DA10F66" w14:textId="77777777" w:rsidR="007B34B2" w:rsidRPr="00066653" w:rsidRDefault="007B34B2" w:rsidP="00BE5A48">
            <w:pPr>
              <w:jc w:val="center"/>
              <w:rPr>
                <w:rFonts w:ascii="Arial" w:hAnsi="Arial" w:cs="Arial"/>
                <w:b/>
                <w:sz w:val="16"/>
                <w:szCs w:val="16"/>
                <w:lang w:eastAsia="es-AR"/>
              </w:rPr>
            </w:pPr>
            <w:r w:rsidRPr="00066653">
              <w:rPr>
                <w:rFonts w:ascii="Arial" w:hAnsi="Arial" w:cs="Arial"/>
                <w:b/>
                <w:sz w:val="16"/>
                <w:szCs w:val="16"/>
                <w:lang w:eastAsia="es-AR"/>
              </w:rPr>
              <w:t>Total</w:t>
            </w:r>
          </w:p>
        </w:tc>
      </w:tr>
      <w:tr w:rsidR="00A4769B" w:rsidRPr="00EA7AC7" w14:paraId="247B72F4" w14:textId="77777777" w:rsidTr="006E1AF7">
        <w:trPr>
          <w:trHeight w:val="62"/>
        </w:trPr>
        <w:tc>
          <w:tcPr>
            <w:tcW w:w="2316" w:type="dxa"/>
            <w:tcBorders>
              <w:top w:val="single" w:sz="4" w:space="0" w:color="auto"/>
              <w:left w:val="nil"/>
              <w:bottom w:val="nil"/>
              <w:right w:val="nil"/>
            </w:tcBorders>
          </w:tcPr>
          <w:p w14:paraId="0ACDC877" w14:textId="77777777" w:rsidR="007B34B2" w:rsidRPr="001A10B5" w:rsidRDefault="007B34B2" w:rsidP="00BE5A48">
            <w:pPr>
              <w:rPr>
                <w:rFonts w:ascii="Arial" w:hAnsi="Arial" w:cs="Arial"/>
                <w:sz w:val="16"/>
                <w:szCs w:val="16"/>
                <w:lang w:eastAsia="es-AR"/>
              </w:rPr>
            </w:pPr>
          </w:p>
        </w:tc>
        <w:tc>
          <w:tcPr>
            <w:tcW w:w="1228" w:type="dxa"/>
            <w:tcBorders>
              <w:top w:val="single" w:sz="4" w:space="0" w:color="auto"/>
              <w:left w:val="nil"/>
              <w:bottom w:val="nil"/>
              <w:right w:val="nil"/>
            </w:tcBorders>
          </w:tcPr>
          <w:p w14:paraId="13903F9F" w14:textId="77777777" w:rsidR="007B34B2" w:rsidRPr="004708CB" w:rsidRDefault="007B34B2" w:rsidP="00BE5A48">
            <w:pPr>
              <w:rPr>
                <w:rFonts w:ascii="Arial" w:hAnsi="Arial" w:cs="Arial"/>
                <w:sz w:val="16"/>
                <w:szCs w:val="16"/>
                <w:lang w:eastAsia="es-AR"/>
              </w:rPr>
            </w:pPr>
          </w:p>
        </w:tc>
        <w:tc>
          <w:tcPr>
            <w:tcW w:w="1130" w:type="dxa"/>
            <w:tcBorders>
              <w:top w:val="single" w:sz="4" w:space="0" w:color="auto"/>
              <w:left w:val="nil"/>
              <w:bottom w:val="nil"/>
              <w:right w:val="nil"/>
            </w:tcBorders>
          </w:tcPr>
          <w:p w14:paraId="1FE567B1" w14:textId="77777777" w:rsidR="007B34B2" w:rsidRPr="0012241E" w:rsidRDefault="007B34B2" w:rsidP="00BE5A48">
            <w:pPr>
              <w:rPr>
                <w:rFonts w:ascii="Arial" w:hAnsi="Arial" w:cs="Arial"/>
                <w:sz w:val="16"/>
                <w:szCs w:val="16"/>
                <w:lang w:eastAsia="es-AR"/>
              </w:rPr>
            </w:pPr>
          </w:p>
        </w:tc>
        <w:tc>
          <w:tcPr>
            <w:tcW w:w="1134" w:type="dxa"/>
            <w:tcBorders>
              <w:top w:val="single" w:sz="4" w:space="0" w:color="auto"/>
              <w:left w:val="nil"/>
              <w:bottom w:val="nil"/>
              <w:right w:val="nil"/>
            </w:tcBorders>
          </w:tcPr>
          <w:p w14:paraId="3EC7BC3B" w14:textId="77777777" w:rsidR="007B34B2" w:rsidRPr="00B85009" w:rsidRDefault="007B34B2" w:rsidP="00BE5A48">
            <w:pPr>
              <w:rPr>
                <w:rFonts w:ascii="Arial" w:hAnsi="Arial" w:cs="Arial"/>
                <w:sz w:val="16"/>
                <w:szCs w:val="16"/>
                <w:lang w:eastAsia="es-AR"/>
              </w:rPr>
            </w:pPr>
          </w:p>
        </w:tc>
        <w:tc>
          <w:tcPr>
            <w:tcW w:w="1044" w:type="dxa"/>
            <w:tcBorders>
              <w:top w:val="single" w:sz="4" w:space="0" w:color="auto"/>
              <w:left w:val="nil"/>
              <w:bottom w:val="nil"/>
              <w:right w:val="nil"/>
            </w:tcBorders>
          </w:tcPr>
          <w:p w14:paraId="0F8CEF7D" w14:textId="77777777" w:rsidR="007B34B2" w:rsidRPr="003D4ED0" w:rsidRDefault="007B34B2" w:rsidP="00BE5A48">
            <w:pPr>
              <w:rPr>
                <w:rFonts w:ascii="Arial" w:hAnsi="Arial" w:cs="Arial"/>
                <w:sz w:val="16"/>
                <w:szCs w:val="16"/>
                <w:lang w:eastAsia="es-AR"/>
              </w:rPr>
            </w:pPr>
          </w:p>
        </w:tc>
        <w:tc>
          <w:tcPr>
            <w:tcW w:w="1134" w:type="dxa"/>
            <w:tcBorders>
              <w:top w:val="single" w:sz="4" w:space="0" w:color="auto"/>
              <w:left w:val="nil"/>
              <w:bottom w:val="nil"/>
              <w:right w:val="nil"/>
            </w:tcBorders>
          </w:tcPr>
          <w:p w14:paraId="2CCC4FE6" w14:textId="77777777" w:rsidR="007B34B2" w:rsidRPr="00066653" w:rsidRDefault="007B34B2" w:rsidP="00BE5A48">
            <w:pPr>
              <w:rPr>
                <w:rFonts w:ascii="Arial" w:hAnsi="Arial" w:cs="Arial"/>
                <w:sz w:val="16"/>
                <w:szCs w:val="16"/>
                <w:lang w:eastAsia="es-AR"/>
              </w:rPr>
            </w:pPr>
          </w:p>
        </w:tc>
        <w:tc>
          <w:tcPr>
            <w:tcW w:w="1137" w:type="dxa"/>
            <w:tcBorders>
              <w:top w:val="single" w:sz="4" w:space="0" w:color="auto"/>
              <w:left w:val="nil"/>
              <w:bottom w:val="nil"/>
              <w:right w:val="nil"/>
            </w:tcBorders>
          </w:tcPr>
          <w:p w14:paraId="3521FAF4" w14:textId="77777777" w:rsidR="007B34B2" w:rsidRPr="00066653" w:rsidRDefault="007B34B2" w:rsidP="00BE5A48">
            <w:pPr>
              <w:rPr>
                <w:rFonts w:ascii="Arial" w:hAnsi="Arial" w:cs="Arial"/>
                <w:sz w:val="16"/>
                <w:szCs w:val="16"/>
                <w:lang w:eastAsia="es-AR"/>
              </w:rPr>
            </w:pPr>
          </w:p>
        </w:tc>
        <w:tc>
          <w:tcPr>
            <w:tcW w:w="1131" w:type="dxa"/>
            <w:tcBorders>
              <w:top w:val="single" w:sz="4" w:space="0" w:color="auto"/>
              <w:left w:val="nil"/>
              <w:bottom w:val="nil"/>
              <w:right w:val="nil"/>
            </w:tcBorders>
          </w:tcPr>
          <w:p w14:paraId="73A538A8" w14:textId="77777777" w:rsidR="007B34B2" w:rsidRPr="00066653" w:rsidRDefault="007B34B2" w:rsidP="00BE5A48">
            <w:pPr>
              <w:rPr>
                <w:rFonts w:ascii="Arial" w:hAnsi="Arial" w:cs="Arial"/>
                <w:sz w:val="16"/>
                <w:szCs w:val="16"/>
                <w:lang w:eastAsia="es-AR"/>
              </w:rPr>
            </w:pPr>
          </w:p>
        </w:tc>
      </w:tr>
      <w:tr w:rsidR="00A4769B" w:rsidRPr="00EA7AC7" w14:paraId="42FC04C5" w14:textId="77777777" w:rsidTr="006E1AF7">
        <w:trPr>
          <w:trHeight w:val="256"/>
        </w:trPr>
        <w:tc>
          <w:tcPr>
            <w:tcW w:w="2316" w:type="dxa"/>
            <w:tcBorders>
              <w:top w:val="nil"/>
              <w:left w:val="nil"/>
              <w:bottom w:val="nil"/>
              <w:right w:val="nil"/>
            </w:tcBorders>
            <w:vAlign w:val="bottom"/>
          </w:tcPr>
          <w:p w14:paraId="2EF5C01A" w14:textId="77777777" w:rsidR="007B34B2" w:rsidRPr="001A10B5" w:rsidRDefault="007B34B2" w:rsidP="00BE5A48">
            <w:pPr>
              <w:rPr>
                <w:rFonts w:ascii="Arial" w:hAnsi="Arial" w:cs="Arial"/>
                <w:b/>
                <w:sz w:val="16"/>
                <w:szCs w:val="16"/>
                <w:lang w:eastAsia="es-AR"/>
              </w:rPr>
            </w:pPr>
            <w:r w:rsidRPr="00066653">
              <w:rPr>
                <w:rFonts w:ascii="Arial" w:hAnsi="Arial" w:cs="Arial"/>
                <w:b/>
                <w:sz w:val="16"/>
                <w:szCs w:val="16"/>
                <w:lang w:eastAsia="es-AR"/>
              </w:rPr>
              <w:t>Depósitos</w:t>
            </w:r>
          </w:p>
        </w:tc>
        <w:tc>
          <w:tcPr>
            <w:tcW w:w="1228" w:type="dxa"/>
            <w:tcBorders>
              <w:top w:val="nil"/>
              <w:left w:val="nil"/>
              <w:bottom w:val="nil"/>
              <w:right w:val="nil"/>
            </w:tcBorders>
            <w:vAlign w:val="bottom"/>
          </w:tcPr>
          <w:p w14:paraId="24D76789" w14:textId="3922D1CF" w:rsidR="007B34B2" w:rsidRPr="004708CB" w:rsidRDefault="007B34B2" w:rsidP="006E1AF7">
            <w:pPr>
              <w:jc w:val="right"/>
              <w:rPr>
                <w:rFonts w:ascii="Arial" w:hAnsi="Arial" w:cs="Arial"/>
                <w:sz w:val="16"/>
                <w:szCs w:val="16"/>
                <w:lang w:eastAsia="es-AR"/>
              </w:rPr>
            </w:pPr>
          </w:p>
        </w:tc>
        <w:tc>
          <w:tcPr>
            <w:tcW w:w="1130" w:type="dxa"/>
            <w:tcBorders>
              <w:top w:val="nil"/>
              <w:left w:val="nil"/>
              <w:bottom w:val="nil"/>
              <w:right w:val="nil"/>
            </w:tcBorders>
            <w:vAlign w:val="bottom"/>
          </w:tcPr>
          <w:p w14:paraId="76ABAE2F" w14:textId="07D7C812" w:rsidR="007B34B2" w:rsidRPr="0012241E" w:rsidRDefault="007B34B2" w:rsidP="006E1AF7">
            <w:pPr>
              <w:jc w:val="right"/>
              <w:rPr>
                <w:rFonts w:ascii="Arial" w:hAnsi="Arial" w:cs="Arial"/>
                <w:sz w:val="16"/>
                <w:szCs w:val="16"/>
                <w:lang w:eastAsia="es-AR"/>
              </w:rPr>
            </w:pPr>
          </w:p>
        </w:tc>
        <w:tc>
          <w:tcPr>
            <w:tcW w:w="1134" w:type="dxa"/>
            <w:tcBorders>
              <w:top w:val="nil"/>
              <w:left w:val="nil"/>
              <w:bottom w:val="nil"/>
              <w:right w:val="nil"/>
            </w:tcBorders>
            <w:vAlign w:val="bottom"/>
          </w:tcPr>
          <w:p w14:paraId="334642DA" w14:textId="7C231428" w:rsidR="007B34B2" w:rsidRPr="00B85009" w:rsidRDefault="007B34B2" w:rsidP="006E1AF7">
            <w:pPr>
              <w:jc w:val="right"/>
              <w:rPr>
                <w:rFonts w:ascii="Arial" w:hAnsi="Arial" w:cs="Arial"/>
                <w:sz w:val="16"/>
                <w:szCs w:val="16"/>
                <w:lang w:eastAsia="es-AR"/>
              </w:rPr>
            </w:pPr>
          </w:p>
        </w:tc>
        <w:tc>
          <w:tcPr>
            <w:tcW w:w="1044" w:type="dxa"/>
            <w:tcBorders>
              <w:top w:val="nil"/>
              <w:left w:val="nil"/>
              <w:bottom w:val="nil"/>
              <w:right w:val="nil"/>
            </w:tcBorders>
            <w:vAlign w:val="bottom"/>
          </w:tcPr>
          <w:p w14:paraId="297F6FC0" w14:textId="77777777" w:rsidR="007B34B2" w:rsidRPr="003D4ED0" w:rsidRDefault="007B34B2" w:rsidP="006E1AF7">
            <w:pPr>
              <w:jc w:val="right"/>
              <w:rPr>
                <w:rFonts w:ascii="Arial" w:hAnsi="Arial" w:cs="Arial"/>
                <w:sz w:val="16"/>
                <w:szCs w:val="16"/>
                <w:lang w:eastAsia="es-AR"/>
              </w:rPr>
            </w:pPr>
          </w:p>
        </w:tc>
        <w:tc>
          <w:tcPr>
            <w:tcW w:w="1134" w:type="dxa"/>
            <w:tcBorders>
              <w:top w:val="nil"/>
              <w:left w:val="nil"/>
              <w:bottom w:val="nil"/>
              <w:right w:val="nil"/>
            </w:tcBorders>
            <w:vAlign w:val="bottom"/>
          </w:tcPr>
          <w:p w14:paraId="18EEE854" w14:textId="77777777" w:rsidR="007B34B2" w:rsidRPr="00066653" w:rsidRDefault="007B34B2" w:rsidP="006E1AF7">
            <w:pPr>
              <w:jc w:val="right"/>
              <w:rPr>
                <w:rFonts w:ascii="Arial" w:hAnsi="Arial" w:cs="Arial"/>
                <w:sz w:val="16"/>
                <w:szCs w:val="16"/>
                <w:lang w:eastAsia="es-AR"/>
              </w:rPr>
            </w:pPr>
          </w:p>
        </w:tc>
        <w:tc>
          <w:tcPr>
            <w:tcW w:w="1137" w:type="dxa"/>
            <w:tcBorders>
              <w:top w:val="nil"/>
              <w:left w:val="nil"/>
              <w:bottom w:val="nil"/>
              <w:right w:val="nil"/>
            </w:tcBorders>
            <w:vAlign w:val="bottom"/>
          </w:tcPr>
          <w:p w14:paraId="20538E3F" w14:textId="77777777" w:rsidR="007B34B2" w:rsidRPr="00066653" w:rsidRDefault="007B34B2" w:rsidP="006E1AF7">
            <w:pPr>
              <w:jc w:val="right"/>
              <w:rPr>
                <w:rFonts w:ascii="Arial" w:hAnsi="Arial" w:cs="Arial"/>
                <w:sz w:val="16"/>
                <w:szCs w:val="16"/>
                <w:lang w:eastAsia="es-AR"/>
              </w:rPr>
            </w:pPr>
          </w:p>
        </w:tc>
        <w:tc>
          <w:tcPr>
            <w:tcW w:w="1131" w:type="dxa"/>
            <w:tcBorders>
              <w:top w:val="nil"/>
              <w:left w:val="nil"/>
              <w:bottom w:val="nil"/>
              <w:right w:val="nil"/>
            </w:tcBorders>
            <w:vAlign w:val="bottom"/>
          </w:tcPr>
          <w:p w14:paraId="4084D569" w14:textId="68C93685" w:rsidR="007B34B2" w:rsidRPr="00066653" w:rsidRDefault="007B34B2" w:rsidP="006E1AF7">
            <w:pPr>
              <w:jc w:val="right"/>
              <w:rPr>
                <w:rFonts w:ascii="Arial" w:hAnsi="Arial" w:cs="Arial"/>
                <w:sz w:val="16"/>
                <w:szCs w:val="16"/>
                <w:lang w:eastAsia="es-AR"/>
              </w:rPr>
            </w:pPr>
          </w:p>
        </w:tc>
      </w:tr>
      <w:tr w:rsidR="00A4769B" w:rsidRPr="00EA7AC7" w14:paraId="4033259B" w14:textId="77777777" w:rsidTr="006E1AF7">
        <w:trPr>
          <w:trHeight w:val="256"/>
        </w:trPr>
        <w:tc>
          <w:tcPr>
            <w:tcW w:w="2316" w:type="dxa"/>
            <w:tcBorders>
              <w:top w:val="nil"/>
              <w:left w:val="nil"/>
              <w:bottom w:val="nil"/>
              <w:right w:val="nil"/>
            </w:tcBorders>
            <w:vAlign w:val="bottom"/>
          </w:tcPr>
          <w:p w14:paraId="594FDB6C" w14:textId="77777777" w:rsidR="007B34B2" w:rsidRPr="001A10B5" w:rsidRDefault="007B34B2" w:rsidP="00BE5A48">
            <w:pPr>
              <w:rPr>
                <w:rFonts w:ascii="Arial" w:hAnsi="Arial" w:cs="Arial"/>
                <w:sz w:val="16"/>
                <w:szCs w:val="16"/>
                <w:lang w:eastAsia="es-AR"/>
              </w:rPr>
            </w:pPr>
            <w:r w:rsidRPr="001A10B5">
              <w:rPr>
                <w:rFonts w:ascii="Arial" w:hAnsi="Arial" w:cs="Arial"/>
                <w:sz w:val="16"/>
                <w:szCs w:val="16"/>
                <w:lang w:eastAsia="es-AR"/>
              </w:rPr>
              <w:t>Sector Público no financiero</w:t>
            </w:r>
          </w:p>
        </w:tc>
        <w:tc>
          <w:tcPr>
            <w:tcW w:w="1228" w:type="dxa"/>
            <w:tcBorders>
              <w:top w:val="nil"/>
              <w:left w:val="nil"/>
              <w:bottom w:val="nil"/>
              <w:right w:val="nil"/>
            </w:tcBorders>
            <w:vAlign w:val="bottom"/>
          </w:tcPr>
          <w:p w14:paraId="67A1A09D" w14:textId="083869E2" w:rsidR="007B34B2" w:rsidRPr="0012241E" w:rsidRDefault="00DC7E16">
            <w:pPr>
              <w:jc w:val="right"/>
              <w:rPr>
                <w:rFonts w:ascii="Arial" w:hAnsi="Arial" w:cs="Arial"/>
                <w:sz w:val="16"/>
                <w:szCs w:val="16"/>
                <w:lang w:eastAsia="es-AR"/>
              </w:rPr>
            </w:pPr>
            <w:r>
              <w:rPr>
                <w:rFonts w:ascii="Arial" w:hAnsi="Arial" w:cs="Arial"/>
                <w:sz w:val="16"/>
                <w:szCs w:val="16"/>
                <w:lang w:eastAsia="es-AR"/>
              </w:rPr>
              <w:t>4.991.453</w:t>
            </w:r>
          </w:p>
        </w:tc>
        <w:tc>
          <w:tcPr>
            <w:tcW w:w="1130" w:type="dxa"/>
            <w:tcBorders>
              <w:top w:val="nil"/>
              <w:left w:val="nil"/>
              <w:bottom w:val="nil"/>
              <w:right w:val="nil"/>
            </w:tcBorders>
            <w:vAlign w:val="bottom"/>
          </w:tcPr>
          <w:p w14:paraId="3E9B93D5" w14:textId="045589F3" w:rsidR="007B34B2" w:rsidRPr="00B85009" w:rsidRDefault="00DC7E16">
            <w:pPr>
              <w:jc w:val="right"/>
              <w:rPr>
                <w:rFonts w:ascii="Arial" w:hAnsi="Arial" w:cs="Arial"/>
                <w:sz w:val="16"/>
                <w:szCs w:val="16"/>
                <w:lang w:eastAsia="es-AR"/>
              </w:rPr>
            </w:pPr>
            <w:r>
              <w:rPr>
                <w:rFonts w:ascii="Arial" w:hAnsi="Arial" w:cs="Arial"/>
                <w:sz w:val="16"/>
                <w:szCs w:val="16"/>
                <w:lang w:eastAsia="es-AR"/>
              </w:rPr>
              <w:t>505.296</w:t>
            </w:r>
          </w:p>
        </w:tc>
        <w:tc>
          <w:tcPr>
            <w:tcW w:w="1134" w:type="dxa"/>
            <w:tcBorders>
              <w:top w:val="nil"/>
              <w:left w:val="nil"/>
              <w:bottom w:val="nil"/>
              <w:right w:val="nil"/>
            </w:tcBorders>
            <w:vAlign w:val="bottom"/>
          </w:tcPr>
          <w:p w14:paraId="71832253" w14:textId="69C69249" w:rsidR="007B34B2" w:rsidRPr="003D4ED0" w:rsidRDefault="00DC7E16">
            <w:pPr>
              <w:jc w:val="right"/>
              <w:rPr>
                <w:rFonts w:ascii="Arial" w:hAnsi="Arial" w:cs="Arial"/>
                <w:sz w:val="16"/>
                <w:szCs w:val="16"/>
                <w:lang w:eastAsia="es-AR"/>
              </w:rPr>
            </w:pPr>
            <w:r>
              <w:rPr>
                <w:rFonts w:ascii="Arial" w:hAnsi="Arial" w:cs="Arial"/>
                <w:sz w:val="16"/>
                <w:szCs w:val="16"/>
                <w:lang w:eastAsia="es-AR"/>
              </w:rPr>
              <w:t>17.116</w:t>
            </w:r>
          </w:p>
        </w:tc>
        <w:tc>
          <w:tcPr>
            <w:tcW w:w="1044" w:type="dxa"/>
            <w:tcBorders>
              <w:top w:val="nil"/>
              <w:left w:val="nil"/>
              <w:bottom w:val="nil"/>
              <w:right w:val="nil"/>
            </w:tcBorders>
            <w:vAlign w:val="bottom"/>
          </w:tcPr>
          <w:p w14:paraId="4EC8C316" w14:textId="01E6EEE3" w:rsidR="007B34B2"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06F1036E" w14:textId="13673151" w:rsidR="007B34B2"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7" w:type="dxa"/>
            <w:tcBorders>
              <w:top w:val="nil"/>
              <w:left w:val="nil"/>
              <w:bottom w:val="nil"/>
              <w:right w:val="nil"/>
            </w:tcBorders>
            <w:vAlign w:val="bottom"/>
          </w:tcPr>
          <w:p w14:paraId="671D3DAB" w14:textId="78DBA267" w:rsidR="007B34B2"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1" w:type="dxa"/>
            <w:tcBorders>
              <w:top w:val="nil"/>
              <w:left w:val="nil"/>
              <w:bottom w:val="nil"/>
              <w:right w:val="nil"/>
            </w:tcBorders>
            <w:vAlign w:val="bottom"/>
          </w:tcPr>
          <w:p w14:paraId="67D3B77D" w14:textId="7355E00C" w:rsidR="007B34B2" w:rsidRPr="00066653" w:rsidRDefault="00DC7E16">
            <w:pPr>
              <w:jc w:val="right"/>
              <w:rPr>
                <w:rFonts w:ascii="Arial" w:hAnsi="Arial" w:cs="Arial"/>
                <w:sz w:val="16"/>
                <w:szCs w:val="16"/>
                <w:lang w:eastAsia="es-AR"/>
              </w:rPr>
            </w:pPr>
            <w:r>
              <w:rPr>
                <w:rFonts w:ascii="Arial" w:hAnsi="Arial" w:cs="Arial"/>
                <w:sz w:val="16"/>
                <w:szCs w:val="16"/>
                <w:lang w:eastAsia="es-AR"/>
              </w:rPr>
              <w:t>5.513.865</w:t>
            </w:r>
          </w:p>
        </w:tc>
      </w:tr>
      <w:tr w:rsidR="00A4769B" w:rsidRPr="00EA7AC7" w14:paraId="6725E76A" w14:textId="77777777" w:rsidTr="006E1AF7">
        <w:trPr>
          <w:trHeight w:val="256"/>
        </w:trPr>
        <w:tc>
          <w:tcPr>
            <w:tcW w:w="2316" w:type="dxa"/>
            <w:tcBorders>
              <w:top w:val="nil"/>
              <w:left w:val="nil"/>
              <w:bottom w:val="nil"/>
              <w:right w:val="nil"/>
            </w:tcBorders>
            <w:vAlign w:val="bottom"/>
          </w:tcPr>
          <w:p w14:paraId="05367411" w14:textId="52315C76" w:rsidR="007B34B2" w:rsidRPr="004708CB" w:rsidRDefault="007B34B2" w:rsidP="00BE5A48">
            <w:pPr>
              <w:rPr>
                <w:rFonts w:ascii="Arial" w:hAnsi="Arial" w:cs="Arial"/>
                <w:sz w:val="16"/>
                <w:szCs w:val="16"/>
                <w:lang w:eastAsia="es-AR"/>
              </w:rPr>
            </w:pPr>
            <w:r w:rsidRPr="001A10B5">
              <w:rPr>
                <w:rFonts w:ascii="Arial" w:hAnsi="Arial" w:cs="Arial"/>
                <w:sz w:val="16"/>
                <w:szCs w:val="16"/>
                <w:lang w:eastAsia="es-AR"/>
              </w:rPr>
              <w:t>Sector Fi</w:t>
            </w:r>
            <w:r w:rsidR="00A10D21" w:rsidRPr="001A10B5">
              <w:rPr>
                <w:rFonts w:ascii="Arial" w:hAnsi="Arial" w:cs="Arial"/>
                <w:sz w:val="16"/>
                <w:szCs w:val="16"/>
                <w:lang w:eastAsia="es-AR"/>
              </w:rPr>
              <w:t>n</w:t>
            </w:r>
            <w:r w:rsidRPr="001A10B5">
              <w:rPr>
                <w:rFonts w:ascii="Arial" w:hAnsi="Arial" w:cs="Arial"/>
                <w:sz w:val="16"/>
                <w:szCs w:val="16"/>
                <w:lang w:eastAsia="es-AR"/>
              </w:rPr>
              <w:t>anciero</w:t>
            </w:r>
          </w:p>
        </w:tc>
        <w:tc>
          <w:tcPr>
            <w:tcW w:w="1228" w:type="dxa"/>
            <w:tcBorders>
              <w:top w:val="nil"/>
              <w:left w:val="nil"/>
              <w:bottom w:val="nil"/>
              <w:right w:val="nil"/>
            </w:tcBorders>
            <w:vAlign w:val="bottom"/>
          </w:tcPr>
          <w:p w14:paraId="150F71F7" w14:textId="42112801" w:rsidR="007B34B2" w:rsidRPr="0012241E" w:rsidRDefault="00DC7E16">
            <w:pPr>
              <w:jc w:val="right"/>
              <w:rPr>
                <w:rFonts w:ascii="Arial" w:hAnsi="Arial" w:cs="Arial"/>
                <w:sz w:val="16"/>
                <w:szCs w:val="16"/>
                <w:lang w:eastAsia="es-AR"/>
              </w:rPr>
            </w:pPr>
            <w:r>
              <w:rPr>
                <w:rFonts w:ascii="Arial" w:hAnsi="Arial" w:cs="Arial"/>
                <w:sz w:val="16"/>
                <w:szCs w:val="16"/>
                <w:lang w:eastAsia="es-AR"/>
              </w:rPr>
              <w:t>37.358</w:t>
            </w:r>
          </w:p>
        </w:tc>
        <w:tc>
          <w:tcPr>
            <w:tcW w:w="1130" w:type="dxa"/>
            <w:tcBorders>
              <w:top w:val="nil"/>
              <w:left w:val="nil"/>
              <w:bottom w:val="nil"/>
              <w:right w:val="nil"/>
            </w:tcBorders>
            <w:vAlign w:val="bottom"/>
          </w:tcPr>
          <w:p w14:paraId="0C93D6A4" w14:textId="27388E59" w:rsidR="007B34B2" w:rsidRPr="00B85009" w:rsidRDefault="00DC7E16">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1E9E171D" w14:textId="3FB9B9F5" w:rsidR="007B34B2" w:rsidRPr="003D4ED0" w:rsidRDefault="00DC7E16">
            <w:pPr>
              <w:jc w:val="right"/>
              <w:rPr>
                <w:rFonts w:ascii="Arial" w:hAnsi="Arial" w:cs="Arial"/>
                <w:sz w:val="16"/>
                <w:szCs w:val="16"/>
                <w:lang w:eastAsia="es-AR"/>
              </w:rPr>
            </w:pPr>
            <w:r>
              <w:rPr>
                <w:rFonts w:ascii="Arial" w:hAnsi="Arial" w:cs="Arial"/>
                <w:sz w:val="16"/>
                <w:szCs w:val="16"/>
                <w:lang w:eastAsia="es-AR"/>
              </w:rPr>
              <w:t>-</w:t>
            </w:r>
          </w:p>
        </w:tc>
        <w:tc>
          <w:tcPr>
            <w:tcW w:w="1044" w:type="dxa"/>
            <w:tcBorders>
              <w:top w:val="nil"/>
              <w:left w:val="nil"/>
              <w:bottom w:val="nil"/>
              <w:right w:val="nil"/>
            </w:tcBorders>
            <w:vAlign w:val="bottom"/>
          </w:tcPr>
          <w:p w14:paraId="31E97C97" w14:textId="531FCCBC" w:rsidR="007B34B2"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655D8A84" w14:textId="05FE353F" w:rsidR="007B34B2"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7" w:type="dxa"/>
            <w:tcBorders>
              <w:top w:val="nil"/>
              <w:left w:val="nil"/>
              <w:bottom w:val="nil"/>
              <w:right w:val="nil"/>
            </w:tcBorders>
            <w:vAlign w:val="bottom"/>
          </w:tcPr>
          <w:p w14:paraId="5097C5BD" w14:textId="044D696A" w:rsidR="007B34B2"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1" w:type="dxa"/>
            <w:tcBorders>
              <w:top w:val="nil"/>
              <w:left w:val="nil"/>
              <w:bottom w:val="nil"/>
              <w:right w:val="nil"/>
            </w:tcBorders>
            <w:vAlign w:val="bottom"/>
          </w:tcPr>
          <w:p w14:paraId="6989D10E" w14:textId="3571E68A" w:rsidR="007B34B2" w:rsidRPr="00066653" w:rsidRDefault="00DC7E16">
            <w:pPr>
              <w:jc w:val="right"/>
              <w:rPr>
                <w:rFonts w:ascii="Arial" w:hAnsi="Arial" w:cs="Arial"/>
                <w:sz w:val="16"/>
                <w:szCs w:val="16"/>
                <w:lang w:eastAsia="es-AR"/>
              </w:rPr>
            </w:pPr>
            <w:r>
              <w:rPr>
                <w:rFonts w:ascii="Arial" w:hAnsi="Arial" w:cs="Arial"/>
                <w:sz w:val="16"/>
                <w:szCs w:val="16"/>
                <w:lang w:eastAsia="es-AR"/>
              </w:rPr>
              <w:t>37.358</w:t>
            </w:r>
          </w:p>
        </w:tc>
      </w:tr>
      <w:tr w:rsidR="00A4769B" w:rsidRPr="00EA7AC7" w14:paraId="605C42F0" w14:textId="77777777" w:rsidTr="006E1AF7">
        <w:trPr>
          <w:trHeight w:val="256"/>
        </w:trPr>
        <w:tc>
          <w:tcPr>
            <w:tcW w:w="2316" w:type="dxa"/>
            <w:tcBorders>
              <w:top w:val="nil"/>
              <w:left w:val="nil"/>
              <w:bottom w:val="nil"/>
              <w:right w:val="nil"/>
            </w:tcBorders>
            <w:vAlign w:val="bottom"/>
          </w:tcPr>
          <w:p w14:paraId="342BCBD7" w14:textId="77777777" w:rsidR="007B34B2" w:rsidRPr="004708CB" w:rsidRDefault="007B34B2" w:rsidP="00BE5A48">
            <w:pPr>
              <w:rPr>
                <w:rFonts w:ascii="Arial" w:hAnsi="Arial" w:cs="Arial"/>
                <w:sz w:val="16"/>
                <w:szCs w:val="16"/>
                <w:lang w:eastAsia="es-AR"/>
              </w:rPr>
            </w:pPr>
            <w:r w:rsidRPr="001A10B5">
              <w:rPr>
                <w:rFonts w:ascii="Arial" w:hAnsi="Arial" w:cs="Arial"/>
                <w:sz w:val="16"/>
                <w:szCs w:val="16"/>
                <w:lang w:eastAsia="es-AR"/>
              </w:rPr>
              <w:t>Sector privado no financiero y residentes en el exterior</w:t>
            </w:r>
          </w:p>
        </w:tc>
        <w:tc>
          <w:tcPr>
            <w:tcW w:w="1228" w:type="dxa"/>
            <w:tcBorders>
              <w:top w:val="nil"/>
              <w:left w:val="nil"/>
              <w:bottom w:val="nil"/>
              <w:right w:val="nil"/>
            </w:tcBorders>
            <w:vAlign w:val="bottom"/>
          </w:tcPr>
          <w:p w14:paraId="0F37B407" w14:textId="0CD187AE" w:rsidR="007B34B2" w:rsidRPr="0012241E" w:rsidRDefault="00DC7E16">
            <w:pPr>
              <w:jc w:val="right"/>
              <w:rPr>
                <w:rFonts w:ascii="Arial" w:hAnsi="Arial" w:cs="Arial"/>
                <w:sz w:val="16"/>
                <w:szCs w:val="16"/>
                <w:lang w:eastAsia="es-AR"/>
              </w:rPr>
            </w:pPr>
            <w:r>
              <w:rPr>
                <w:rFonts w:ascii="Arial" w:hAnsi="Arial" w:cs="Arial"/>
                <w:sz w:val="16"/>
                <w:szCs w:val="16"/>
                <w:lang w:eastAsia="es-AR"/>
              </w:rPr>
              <w:t>73.338.265</w:t>
            </w:r>
          </w:p>
        </w:tc>
        <w:tc>
          <w:tcPr>
            <w:tcW w:w="1130" w:type="dxa"/>
            <w:tcBorders>
              <w:top w:val="nil"/>
              <w:left w:val="nil"/>
              <w:bottom w:val="nil"/>
              <w:right w:val="nil"/>
            </w:tcBorders>
            <w:vAlign w:val="bottom"/>
          </w:tcPr>
          <w:p w14:paraId="67021781" w14:textId="12D7B3EA" w:rsidR="007B34B2" w:rsidRPr="00B85009" w:rsidRDefault="00DC7E16">
            <w:pPr>
              <w:jc w:val="right"/>
              <w:rPr>
                <w:rFonts w:ascii="Arial" w:hAnsi="Arial" w:cs="Arial"/>
                <w:sz w:val="16"/>
                <w:szCs w:val="16"/>
                <w:lang w:eastAsia="es-AR"/>
              </w:rPr>
            </w:pPr>
            <w:r>
              <w:rPr>
                <w:rFonts w:ascii="Arial" w:hAnsi="Arial" w:cs="Arial"/>
                <w:sz w:val="16"/>
                <w:szCs w:val="16"/>
                <w:lang w:eastAsia="es-AR"/>
              </w:rPr>
              <w:t>6.712.966</w:t>
            </w:r>
          </w:p>
        </w:tc>
        <w:tc>
          <w:tcPr>
            <w:tcW w:w="1134" w:type="dxa"/>
            <w:tcBorders>
              <w:top w:val="nil"/>
              <w:left w:val="nil"/>
              <w:bottom w:val="nil"/>
              <w:right w:val="nil"/>
            </w:tcBorders>
            <w:vAlign w:val="bottom"/>
          </w:tcPr>
          <w:p w14:paraId="564C9B16" w14:textId="49C22C0C" w:rsidR="007B34B2" w:rsidRPr="003D4ED0" w:rsidRDefault="00DC7E16">
            <w:pPr>
              <w:jc w:val="right"/>
              <w:rPr>
                <w:rFonts w:ascii="Arial" w:hAnsi="Arial" w:cs="Arial"/>
                <w:sz w:val="16"/>
                <w:szCs w:val="16"/>
                <w:lang w:eastAsia="es-AR"/>
              </w:rPr>
            </w:pPr>
            <w:r>
              <w:rPr>
                <w:rFonts w:ascii="Arial" w:hAnsi="Arial" w:cs="Arial"/>
                <w:sz w:val="16"/>
                <w:szCs w:val="16"/>
                <w:lang w:eastAsia="es-AR"/>
              </w:rPr>
              <w:t>4.393.696</w:t>
            </w:r>
          </w:p>
        </w:tc>
        <w:tc>
          <w:tcPr>
            <w:tcW w:w="1044" w:type="dxa"/>
            <w:tcBorders>
              <w:top w:val="nil"/>
              <w:left w:val="nil"/>
              <w:bottom w:val="nil"/>
              <w:right w:val="nil"/>
            </w:tcBorders>
            <w:vAlign w:val="bottom"/>
          </w:tcPr>
          <w:p w14:paraId="53E6720F" w14:textId="270D8356" w:rsidR="007B34B2" w:rsidRPr="00066653" w:rsidRDefault="00DC7E16">
            <w:pPr>
              <w:jc w:val="right"/>
              <w:rPr>
                <w:rFonts w:ascii="Arial" w:hAnsi="Arial" w:cs="Arial"/>
                <w:sz w:val="16"/>
                <w:szCs w:val="16"/>
                <w:lang w:eastAsia="es-AR"/>
              </w:rPr>
            </w:pPr>
            <w:r>
              <w:rPr>
                <w:rFonts w:ascii="Arial" w:hAnsi="Arial" w:cs="Arial"/>
                <w:sz w:val="16"/>
                <w:szCs w:val="16"/>
                <w:lang w:eastAsia="es-AR"/>
              </w:rPr>
              <w:t>479.308</w:t>
            </w:r>
          </w:p>
        </w:tc>
        <w:tc>
          <w:tcPr>
            <w:tcW w:w="1134" w:type="dxa"/>
            <w:tcBorders>
              <w:top w:val="nil"/>
              <w:left w:val="nil"/>
              <w:bottom w:val="nil"/>
              <w:right w:val="nil"/>
            </w:tcBorders>
            <w:vAlign w:val="bottom"/>
          </w:tcPr>
          <w:p w14:paraId="4AB285D6" w14:textId="4DEA284B" w:rsidR="007B34B2" w:rsidRPr="00066653" w:rsidRDefault="00DC7E16">
            <w:pPr>
              <w:jc w:val="right"/>
              <w:rPr>
                <w:rFonts w:ascii="Arial" w:hAnsi="Arial" w:cs="Arial"/>
                <w:sz w:val="16"/>
                <w:szCs w:val="16"/>
                <w:lang w:eastAsia="es-AR"/>
              </w:rPr>
            </w:pPr>
            <w:r>
              <w:rPr>
                <w:rFonts w:ascii="Arial" w:hAnsi="Arial" w:cs="Arial"/>
                <w:sz w:val="16"/>
                <w:szCs w:val="16"/>
                <w:lang w:eastAsia="es-AR"/>
              </w:rPr>
              <w:t>2.245</w:t>
            </w:r>
          </w:p>
        </w:tc>
        <w:tc>
          <w:tcPr>
            <w:tcW w:w="1137" w:type="dxa"/>
            <w:tcBorders>
              <w:top w:val="nil"/>
              <w:left w:val="nil"/>
              <w:bottom w:val="nil"/>
              <w:right w:val="nil"/>
            </w:tcBorders>
            <w:vAlign w:val="bottom"/>
          </w:tcPr>
          <w:p w14:paraId="3DC53B28" w14:textId="2B18969F" w:rsidR="007B34B2"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1" w:type="dxa"/>
            <w:tcBorders>
              <w:top w:val="nil"/>
              <w:left w:val="nil"/>
              <w:bottom w:val="nil"/>
              <w:right w:val="nil"/>
            </w:tcBorders>
            <w:vAlign w:val="bottom"/>
          </w:tcPr>
          <w:p w14:paraId="527B5442" w14:textId="4A29E2E8" w:rsidR="007B34B2" w:rsidRPr="00066653" w:rsidRDefault="00DC7E16">
            <w:pPr>
              <w:jc w:val="right"/>
              <w:rPr>
                <w:rFonts w:ascii="Arial" w:hAnsi="Arial" w:cs="Arial"/>
                <w:sz w:val="16"/>
                <w:szCs w:val="16"/>
                <w:lang w:eastAsia="es-AR"/>
              </w:rPr>
            </w:pPr>
            <w:r>
              <w:rPr>
                <w:rFonts w:ascii="Arial" w:hAnsi="Arial" w:cs="Arial"/>
                <w:sz w:val="16"/>
                <w:szCs w:val="16"/>
                <w:lang w:eastAsia="es-AR"/>
              </w:rPr>
              <w:t>84.926.480</w:t>
            </w:r>
          </w:p>
        </w:tc>
      </w:tr>
      <w:tr w:rsidR="00A4769B" w:rsidRPr="00EA7AC7" w14:paraId="55DD6ABB" w14:textId="77777777" w:rsidTr="006E1AF7">
        <w:trPr>
          <w:trHeight w:val="63"/>
        </w:trPr>
        <w:tc>
          <w:tcPr>
            <w:tcW w:w="2316" w:type="dxa"/>
            <w:tcBorders>
              <w:top w:val="nil"/>
              <w:left w:val="nil"/>
              <w:bottom w:val="nil"/>
              <w:right w:val="nil"/>
            </w:tcBorders>
            <w:vAlign w:val="bottom"/>
          </w:tcPr>
          <w:p w14:paraId="4E80DEA8" w14:textId="77777777" w:rsidR="007B34B2" w:rsidRPr="001A10B5" w:rsidRDefault="007B34B2" w:rsidP="00BE5A48">
            <w:pPr>
              <w:rPr>
                <w:rFonts w:ascii="Arial" w:hAnsi="Arial" w:cs="Arial"/>
                <w:sz w:val="16"/>
                <w:szCs w:val="16"/>
                <w:lang w:eastAsia="es-AR"/>
              </w:rPr>
            </w:pPr>
          </w:p>
        </w:tc>
        <w:tc>
          <w:tcPr>
            <w:tcW w:w="1228" w:type="dxa"/>
            <w:tcBorders>
              <w:top w:val="nil"/>
              <w:left w:val="nil"/>
              <w:bottom w:val="nil"/>
              <w:right w:val="nil"/>
            </w:tcBorders>
            <w:vAlign w:val="bottom"/>
          </w:tcPr>
          <w:p w14:paraId="40EABB55" w14:textId="77777777" w:rsidR="007B34B2" w:rsidRPr="004708CB" w:rsidRDefault="007B34B2">
            <w:pPr>
              <w:jc w:val="right"/>
              <w:rPr>
                <w:rFonts w:ascii="Arial" w:hAnsi="Arial" w:cs="Arial"/>
                <w:sz w:val="16"/>
                <w:szCs w:val="16"/>
                <w:lang w:eastAsia="es-AR"/>
              </w:rPr>
            </w:pPr>
          </w:p>
        </w:tc>
        <w:tc>
          <w:tcPr>
            <w:tcW w:w="1130" w:type="dxa"/>
            <w:tcBorders>
              <w:top w:val="nil"/>
              <w:left w:val="nil"/>
              <w:bottom w:val="nil"/>
              <w:right w:val="nil"/>
            </w:tcBorders>
            <w:vAlign w:val="bottom"/>
          </w:tcPr>
          <w:p w14:paraId="08217FBA" w14:textId="77777777" w:rsidR="007B34B2" w:rsidRPr="0012241E" w:rsidRDefault="007B34B2">
            <w:pPr>
              <w:jc w:val="right"/>
              <w:rPr>
                <w:rFonts w:ascii="Arial" w:hAnsi="Arial" w:cs="Arial"/>
                <w:sz w:val="16"/>
                <w:szCs w:val="16"/>
                <w:lang w:eastAsia="es-AR"/>
              </w:rPr>
            </w:pPr>
          </w:p>
        </w:tc>
        <w:tc>
          <w:tcPr>
            <w:tcW w:w="1134" w:type="dxa"/>
            <w:tcBorders>
              <w:top w:val="nil"/>
              <w:left w:val="nil"/>
              <w:bottom w:val="nil"/>
              <w:right w:val="nil"/>
            </w:tcBorders>
            <w:vAlign w:val="bottom"/>
          </w:tcPr>
          <w:p w14:paraId="082DBFDE" w14:textId="77777777" w:rsidR="007B34B2" w:rsidRPr="00B85009" w:rsidRDefault="007B34B2">
            <w:pPr>
              <w:jc w:val="right"/>
              <w:rPr>
                <w:rFonts w:ascii="Arial" w:hAnsi="Arial" w:cs="Arial"/>
                <w:sz w:val="16"/>
                <w:szCs w:val="16"/>
                <w:lang w:eastAsia="es-AR"/>
              </w:rPr>
            </w:pPr>
          </w:p>
        </w:tc>
        <w:tc>
          <w:tcPr>
            <w:tcW w:w="1044" w:type="dxa"/>
            <w:tcBorders>
              <w:top w:val="nil"/>
              <w:left w:val="nil"/>
              <w:bottom w:val="nil"/>
              <w:right w:val="nil"/>
            </w:tcBorders>
            <w:vAlign w:val="bottom"/>
          </w:tcPr>
          <w:p w14:paraId="5E264B17" w14:textId="77777777" w:rsidR="007B34B2" w:rsidRPr="003D4ED0" w:rsidRDefault="007B34B2">
            <w:pPr>
              <w:jc w:val="right"/>
              <w:rPr>
                <w:rFonts w:ascii="Arial" w:hAnsi="Arial" w:cs="Arial"/>
                <w:sz w:val="16"/>
                <w:szCs w:val="16"/>
                <w:lang w:eastAsia="es-AR"/>
              </w:rPr>
            </w:pPr>
          </w:p>
        </w:tc>
        <w:tc>
          <w:tcPr>
            <w:tcW w:w="1134" w:type="dxa"/>
            <w:tcBorders>
              <w:top w:val="nil"/>
              <w:left w:val="nil"/>
              <w:bottom w:val="nil"/>
              <w:right w:val="nil"/>
            </w:tcBorders>
            <w:vAlign w:val="bottom"/>
          </w:tcPr>
          <w:p w14:paraId="7E1B87F8" w14:textId="77777777" w:rsidR="007B34B2" w:rsidRPr="00066653" w:rsidRDefault="007B34B2">
            <w:pPr>
              <w:jc w:val="right"/>
              <w:rPr>
                <w:rFonts w:ascii="Arial" w:hAnsi="Arial" w:cs="Arial"/>
                <w:sz w:val="16"/>
                <w:szCs w:val="16"/>
                <w:lang w:eastAsia="es-AR"/>
              </w:rPr>
            </w:pPr>
          </w:p>
        </w:tc>
        <w:tc>
          <w:tcPr>
            <w:tcW w:w="1137" w:type="dxa"/>
            <w:tcBorders>
              <w:top w:val="nil"/>
              <w:left w:val="nil"/>
              <w:bottom w:val="nil"/>
              <w:right w:val="nil"/>
            </w:tcBorders>
            <w:vAlign w:val="bottom"/>
          </w:tcPr>
          <w:p w14:paraId="013C3467" w14:textId="77777777" w:rsidR="007B34B2" w:rsidRPr="00066653" w:rsidRDefault="007B34B2">
            <w:pPr>
              <w:jc w:val="right"/>
              <w:rPr>
                <w:rFonts w:ascii="Arial" w:hAnsi="Arial" w:cs="Arial"/>
                <w:sz w:val="16"/>
                <w:szCs w:val="16"/>
                <w:lang w:eastAsia="es-AR"/>
              </w:rPr>
            </w:pPr>
          </w:p>
        </w:tc>
        <w:tc>
          <w:tcPr>
            <w:tcW w:w="1131" w:type="dxa"/>
            <w:tcBorders>
              <w:top w:val="nil"/>
              <w:left w:val="nil"/>
              <w:bottom w:val="nil"/>
              <w:right w:val="nil"/>
            </w:tcBorders>
            <w:vAlign w:val="bottom"/>
          </w:tcPr>
          <w:p w14:paraId="7DB2F7E8" w14:textId="77777777" w:rsidR="007B34B2" w:rsidRPr="00066653" w:rsidRDefault="007B34B2">
            <w:pPr>
              <w:jc w:val="right"/>
              <w:rPr>
                <w:rFonts w:ascii="Arial" w:hAnsi="Arial" w:cs="Arial"/>
                <w:sz w:val="16"/>
                <w:szCs w:val="16"/>
                <w:lang w:eastAsia="es-AR"/>
              </w:rPr>
            </w:pPr>
          </w:p>
        </w:tc>
      </w:tr>
      <w:tr w:rsidR="00A4769B" w:rsidRPr="00EA7AC7" w14:paraId="43BA451D" w14:textId="77777777" w:rsidTr="006E1AF7">
        <w:trPr>
          <w:trHeight w:val="63"/>
        </w:trPr>
        <w:tc>
          <w:tcPr>
            <w:tcW w:w="2316" w:type="dxa"/>
            <w:tcBorders>
              <w:top w:val="nil"/>
              <w:left w:val="nil"/>
              <w:bottom w:val="nil"/>
              <w:right w:val="nil"/>
            </w:tcBorders>
            <w:vAlign w:val="bottom"/>
          </w:tcPr>
          <w:p w14:paraId="5AE59805" w14:textId="57029023" w:rsidR="00DC7E16" w:rsidRPr="001A10B5" w:rsidRDefault="00DC7E16" w:rsidP="00BE5A48">
            <w:pPr>
              <w:rPr>
                <w:rFonts w:ascii="Arial" w:hAnsi="Arial" w:cs="Arial"/>
                <w:sz w:val="16"/>
                <w:szCs w:val="16"/>
                <w:lang w:eastAsia="es-AR"/>
              </w:rPr>
            </w:pPr>
            <w:r>
              <w:rPr>
                <w:rFonts w:ascii="Arial" w:hAnsi="Arial" w:cs="Arial"/>
                <w:sz w:val="16"/>
                <w:szCs w:val="16"/>
                <w:lang w:eastAsia="es-AR"/>
              </w:rPr>
              <w:t>Pasivos a valor razonable con cambios en resultados</w:t>
            </w:r>
          </w:p>
        </w:tc>
        <w:tc>
          <w:tcPr>
            <w:tcW w:w="1228" w:type="dxa"/>
            <w:tcBorders>
              <w:top w:val="nil"/>
              <w:left w:val="nil"/>
              <w:bottom w:val="nil"/>
              <w:right w:val="nil"/>
            </w:tcBorders>
            <w:vAlign w:val="bottom"/>
          </w:tcPr>
          <w:p w14:paraId="3505DD6C" w14:textId="526E5687" w:rsidR="00DC7E16" w:rsidRPr="004708CB" w:rsidRDefault="00DC7E16">
            <w:pPr>
              <w:jc w:val="right"/>
              <w:rPr>
                <w:rFonts w:ascii="Arial" w:hAnsi="Arial" w:cs="Arial"/>
                <w:sz w:val="16"/>
                <w:szCs w:val="16"/>
                <w:lang w:eastAsia="es-AR"/>
              </w:rPr>
            </w:pPr>
            <w:r>
              <w:rPr>
                <w:rFonts w:ascii="Arial" w:hAnsi="Arial" w:cs="Arial"/>
                <w:sz w:val="16"/>
                <w:szCs w:val="16"/>
                <w:lang w:eastAsia="es-AR"/>
              </w:rPr>
              <w:t>133.300</w:t>
            </w:r>
          </w:p>
        </w:tc>
        <w:tc>
          <w:tcPr>
            <w:tcW w:w="1130" w:type="dxa"/>
            <w:tcBorders>
              <w:top w:val="nil"/>
              <w:left w:val="nil"/>
              <w:bottom w:val="nil"/>
              <w:right w:val="nil"/>
            </w:tcBorders>
            <w:vAlign w:val="bottom"/>
          </w:tcPr>
          <w:p w14:paraId="3D0C3766" w14:textId="6DFA5281" w:rsidR="00DC7E16" w:rsidRPr="0012241E" w:rsidRDefault="00DC7E16">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18B6229E" w14:textId="373C1A6C" w:rsidR="00DC7E16" w:rsidRPr="00B85009" w:rsidRDefault="00DC7E16">
            <w:pPr>
              <w:jc w:val="right"/>
              <w:rPr>
                <w:rFonts w:ascii="Arial" w:hAnsi="Arial" w:cs="Arial"/>
                <w:sz w:val="16"/>
                <w:szCs w:val="16"/>
                <w:lang w:eastAsia="es-AR"/>
              </w:rPr>
            </w:pPr>
            <w:r>
              <w:rPr>
                <w:rFonts w:ascii="Arial" w:hAnsi="Arial" w:cs="Arial"/>
                <w:sz w:val="16"/>
                <w:szCs w:val="16"/>
                <w:lang w:eastAsia="es-AR"/>
              </w:rPr>
              <w:t>-</w:t>
            </w:r>
          </w:p>
        </w:tc>
        <w:tc>
          <w:tcPr>
            <w:tcW w:w="1044" w:type="dxa"/>
            <w:tcBorders>
              <w:top w:val="nil"/>
              <w:left w:val="nil"/>
              <w:bottom w:val="nil"/>
              <w:right w:val="nil"/>
            </w:tcBorders>
            <w:vAlign w:val="bottom"/>
          </w:tcPr>
          <w:p w14:paraId="1E5AC3B8" w14:textId="17CE68F2" w:rsidR="00DC7E16" w:rsidRPr="003D4ED0" w:rsidRDefault="00DC7E16">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1B1325CA" w14:textId="649CB8DE" w:rsidR="00DC7E16"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7" w:type="dxa"/>
            <w:tcBorders>
              <w:top w:val="nil"/>
              <w:left w:val="nil"/>
              <w:bottom w:val="nil"/>
              <w:right w:val="nil"/>
            </w:tcBorders>
            <w:vAlign w:val="bottom"/>
          </w:tcPr>
          <w:p w14:paraId="489D75D9" w14:textId="6B6D1C40" w:rsidR="00DC7E16"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1" w:type="dxa"/>
            <w:tcBorders>
              <w:top w:val="nil"/>
              <w:left w:val="nil"/>
              <w:bottom w:val="nil"/>
              <w:right w:val="nil"/>
            </w:tcBorders>
            <w:vAlign w:val="bottom"/>
          </w:tcPr>
          <w:p w14:paraId="5BBED9E6" w14:textId="6519EFB7" w:rsidR="00DC7E16" w:rsidRPr="00066653" w:rsidRDefault="00DC7E16">
            <w:pPr>
              <w:jc w:val="right"/>
              <w:rPr>
                <w:rFonts w:ascii="Arial" w:hAnsi="Arial" w:cs="Arial"/>
                <w:sz w:val="16"/>
                <w:szCs w:val="16"/>
                <w:lang w:eastAsia="es-AR"/>
              </w:rPr>
            </w:pPr>
            <w:r>
              <w:rPr>
                <w:rFonts w:ascii="Arial" w:hAnsi="Arial" w:cs="Arial"/>
                <w:sz w:val="16"/>
                <w:szCs w:val="16"/>
                <w:lang w:eastAsia="es-AR"/>
              </w:rPr>
              <w:t>133.300</w:t>
            </w:r>
          </w:p>
        </w:tc>
      </w:tr>
      <w:tr w:rsidR="00A4769B" w:rsidRPr="00EA7AC7" w14:paraId="047B88A4" w14:textId="77777777" w:rsidTr="006E1AF7">
        <w:trPr>
          <w:trHeight w:val="256"/>
        </w:trPr>
        <w:tc>
          <w:tcPr>
            <w:tcW w:w="2316" w:type="dxa"/>
            <w:tcBorders>
              <w:top w:val="nil"/>
              <w:left w:val="nil"/>
              <w:bottom w:val="nil"/>
              <w:right w:val="nil"/>
            </w:tcBorders>
            <w:vAlign w:val="bottom"/>
          </w:tcPr>
          <w:p w14:paraId="2405D697" w14:textId="32FD70F0" w:rsidR="000D2FC0" w:rsidRPr="00066653" w:rsidRDefault="000D2FC0" w:rsidP="000D2FC0">
            <w:pPr>
              <w:rPr>
                <w:rFonts w:ascii="Arial" w:hAnsi="Arial" w:cs="Arial"/>
                <w:b/>
                <w:sz w:val="16"/>
                <w:szCs w:val="16"/>
                <w:lang w:eastAsia="es-AR"/>
              </w:rPr>
            </w:pPr>
            <w:r w:rsidRPr="00066653">
              <w:rPr>
                <w:rFonts w:ascii="Arial" w:hAnsi="Arial" w:cs="Arial"/>
                <w:b/>
                <w:sz w:val="16"/>
                <w:szCs w:val="16"/>
                <w:lang w:eastAsia="es-AR"/>
              </w:rPr>
              <w:t>Operaciones de pase</w:t>
            </w:r>
          </w:p>
        </w:tc>
        <w:tc>
          <w:tcPr>
            <w:tcW w:w="1228" w:type="dxa"/>
            <w:tcBorders>
              <w:top w:val="nil"/>
              <w:left w:val="nil"/>
              <w:bottom w:val="nil"/>
              <w:right w:val="nil"/>
            </w:tcBorders>
            <w:vAlign w:val="bottom"/>
          </w:tcPr>
          <w:p w14:paraId="0F0615DB" w14:textId="5528B580" w:rsidR="000D2FC0" w:rsidRPr="004708CB" w:rsidRDefault="000D2FC0">
            <w:pPr>
              <w:jc w:val="right"/>
              <w:rPr>
                <w:rFonts w:ascii="Arial" w:hAnsi="Arial" w:cs="Arial"/>
                <w:sz w:val="16"/>
                <w:szCs w:val="16"/>
                <w:lang w:eastAsia="es-AR"/>
              </w:rPr>
            </w:pPr>
          </w:p>
        </w:tc>
        <w:tc>
          <w:tcPr>
            <w:tcW w:w="1130" w:type="dxa"/>
            <w:tcBorders>
              <w:top w:val="nil"/>
              <w:left w:val="nil"/>
              <w:bottom w:val="nil"/>
              <w:right w:val="nil"/>
            </w:tcBorders>
            <w:vAlign w:val="bottom"/>
          </w:tcPr>
          <w:p w14:paraId="77813278" w14:textId="5248FD42" w:rsidR="000D2FC0" w:rsidRPr="00B85009" w:rsidRDefault="000D2FC0">
            <w:pPr>
              <w:jc w:val="right"/>
              <w:rPr>
                <w:rFonts w:ascii="Arial" w:hAnsi="Arial" w:cs="Arial"/>
                <w:sz w:val="16"/>
                <w:szCs w:val="16"/>
                <w:lang w:eastAsia="es-AR"/>
              </w:rPr>
            </w:pPr>
          </w:p>
        </w:tc>
        <w:tc>
          <w:tcPr>
            <w:tcW w:w="1134" w:type="dxa"/>
            <w:tcBorders>
              <w:top w:val="nil"/>
              <w:left w:val="nil"/>
              <w:bottom w:val="nil"/>
              <w:right w:val="nil"/>
            </w:tcBorders>
            <w:vAlign w:val="bottom"/>
          </w:tcPr>
          <w:p w14:paraId="327A2379" w14:textId="7E24511F" w:rsidR="000D2FC0" w:rsidRPr="00EA7AC7" w:rsidRDefault="000D2FC0">
            <w:pPr>
              <w:jc w:val="right"/>
              <w:rPr>
                <w:rFonts w:ascii="Arial" w:hAnsi="Arial" w:cs="Arial"/>
                <w:sz w:val="16"/>
                <w:szCs w:val="16"/>
                <w:lang w:eastAsia="es-AR"/>
              </w:rPr>
            </w:pPr>
          </w:p>
        </w:tc>
        <w:tc>
          <w:tcPr>
            <w:tcW w:w="1044" w:type="dxa"/>
            <w:tcBorders>
              <w:top w:val="nil"/>
              <w:left w:val="nil"/>
              <w:bottom w:val="nil"/>
              <w:right w:val="nil"/>
            </w:tcBorders>
            <w:vAlign w:val="bottom"/>
          </w:tcPr>
          <w:p w14:paraId="12AFB8CB" w14:textId="33166B6F" w:rsidR="000D2FC0" w:rsidRPr="00EA7AC7" w:rsidRDefault="000D2FC0">
            <w:pPr>
              <w:jc w:val="right"/>
              <w:rPr>
                <w:rFonts w:ascii="Arial" w:hAnsi="Arial" w:cs="Arial"/>
                <w:sz w:val="16"/>
                <w:szCs w:val="16"/>
                <w:lang w:eastAsia="es-AR"/>
              </w:rPr>
            </w:pPr>
          </w:p>
        </w:tc>
        <w:tc>
          <w:tcPr>
            <w:tcW w:w="1134" w:type="dxa"/>
            <w:tcBorders>
              <w:top w:val="nil"/>
              <w:left w:val="nil"/>
              <w:bottom w:val="nil"/>
              <w:right w:val="nil"/>
            </w:tcBorders>
            <w:vAlign w:val="bottom"/>
          </w:tcPr>
          <w:p w14:paraId="7A51036F" w14:textId="13580722" w:rsidR="000D2FC0" w:rsidRPr="00EA7AC7" w:rsidRDefault="000D2FC0">
            <w:pPr>
              <w:jc w:val="right"/>
              <w:rPr>
                <w:rFonts w:ascii="Arial" w:hAnsi="Arial" w:cs="Arial"/>
                <w:sz w:val="16"/>
                <w:szCs w:val="16"/>
                <w:lang w:eastAsia="es-AR"/>
              </w:rPr>
            </w:pPr>
          </w:p>
        </w:tc>
        <w:tc>
          <w:tcPr>
            <w:tcW w:w="1137" w:type="dxa"/>
            <w:tcBorders>
              <w:top w:val="nil"/>
              <w:left w:val="nil"/>
              <w:bottom w:val="nil"/>
              <w:right w:val="nil"/>
            </w:tcBorders>
            <w:vAlign w:val="bottom"/>
          </w:tcPr>
          <w:p w14:paraId="10FDA24D" w14:textId="10FEA04B" w:rsidR="000D2FC0" w:rsidRPr="00EA7AC7" w:rsidRDefault="000D2FC0">
            <w:pPr>
              <w:jc w:val="right"/>
              <w:rPr>
                <w:rFonts w:ascii="Arial" w:hAnsi="Arial" w:cs="Arial"/>
                <w:sz w:val="16"/>
                <w:szCs w:val="16"/>
                <w:lang w:eastAsia="es-AR"/>
              </w:rPr>
            </w:pPr>
          </w:p>
        </w:tc>
        <w:tc>
          <w:tcPr>
            <w:tcW w:w="1131" w:type="dxa"/>
            <w:tcBorders>
              <w:top w:val="nil"/>
              <w:left w:val="nil"/>
              <w:bottom w:val="nil"/>
              <w:right w:val="nil"/>
            </w:tcBorders>
            <w:vAlign w:val="bottom"/>
          </w:tcPr>
          <w:p w14:paraId="6D4829E1" w14:textId="30AA5153" w:rsidR="000D2FC0" w:rsidRPr="00EA7AC7" w:rsidRDefault="000D2FC0">
            <w:pPr>
              <w:jc w:val="right"/>
              <w:rPr>
                <w:rFonts w:ascii="Arial" w:hAnsi="Arial" w:cs="Arial"/>
                <w:sz w:val="16"/>
                <w:szCs w:val="16"/>
                <w:lang w:eastAsia="es-AR"/>
              </w:rPr>
            </w:pPr>
          </w:p>
        </w:tc>
      </w:tr>
      <w:tr w:rsidR="00A4769B" w:rsidRPr="00EA7AC7" w14:paraId="597A1190" w14:textId="77777777" w:rsidTr="006E1AF7">
        <w:trPr>
          <w:trHeight w:val="256"/>
        </w:trPr>
        <w:tc>
          <w:tcPr>
            <w:tcW w:w="2316" w:type="dxa"/>
            <w:tcBorders>
              <w:top w:val="nil"/>
              <w:left w:val="nil"/>
              <w:bottom w:val="nil"/>
              <w:right w:val="nil"/>
            </w:tcBorders>
            <w:vAlign w:val="bottom"/>
          </w:tcPr>
          <w:p w14:paraId="7373CBD2" w14:textId="77777777" w:rsidR="007B34B2" w:rsidRPr="00066653" w:rsidRDefault="007B34B2" w:rsidP="00BE5A48">
            <w:pPr>
              <w:rPr>
                <w:rFonts w:ascii="Arial" w:hAnsi="Arial" w:cs="Arial"/>
                <w:sz w:val="16"/>
                <w:szCs w:val="16"/>
                <w:lang w:eastAsia="es-AR"/>
              </w:rPr>
            </w:pPr>
            <w:r w:rsidRPr="00066653">
              <w:rPr>
                <w:rFonts w:ascii="Arial" w:hAnsi="Arial" w:cs="Arial"/>
                <w:sz w:val="16"/>
                <w:szCs w:val="16"/>
                <w:lang w:eastAsia="es-AR"/>
              </w:rPr>
              <w:t>Otras Entidades Financieras</w:t>
            </w:r>
          </w:p>
        </w:tc>
        <w:tc>
          <w:tcPr>
            <w:tcW w:w="1228" w:type="dxa"/>
            <w:tcBorders>
              <w:top w:val="nil"/>
              <w:left w:val="nil"/>
              <w:bottom w:val="nil"/>
              <w:right w:val="nil"/>
            </w:tcBorders>
            <w:vAlign w:val="bottom"/>
          </w:tcPr>
          <w:p w14:paraId="3C5F3A1D" w14:textId="6E8A9A90" w:rsidR="007B34B2" w:rsidRPr="0012241E" w:rsidRDefault="00DC7E16">
            <w:pPr>
              <w:jc w:val="right"/>
              <w:rPr>
                <w:rFonts w:ascii="Arial" w:hAnsi="Arial" w:cs="Arial"/>
                <w:sz w:val="16"/>
                <w:szCs w:val="16"/>
                <w:lang w:eastAsia="es-AR"/>
              </w:rPr>
            </w:pPr>
            <w:r>
              <w:rPr>
                <w:rFonts w:ascii="Arial" w:hAnsi="Arial" w:cs="Arial"/>
                <w:sz w:val="16"/>
                <w:szCs w:val="16"/>
                <w:lang w:eastAsia="es-AR"/>
              </w:rPr>
              <w:t>240.493</w:t>
            </w:r>
          </w:p>
        </w:tc>
        <w:tc>
          <w:tcPr>
            <w:tcW w:w="1130" w:type="dxa"/>
            <w:tcBorders>
              <w:top w:val="nil"/>
              <w:left w:val="nil"/>
              <w:bottom w:val="nil"/>
              <w:right w:val="nil"/>
            </w:tcBorders>
            <w:vAlign w:val="bottom"/>
          </w:tcPr>
          <w:p w14:paraId="2C454A12" w14:textId="565866AB" w:rsidR="007B34B2" w:rsidRPr="00B85009" w:rsidRDefault="00DC7E16">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79375EB7" w14:textId="18679EBE" w:rsidR="007B34B2" w:rsidRPr="003D4ED0" w:rsidRDefault="00DC7E16">
            <w:pPr>
              <w:jc w:val="right"/>
              <w:rPr>
                <w:rFonts w:ascii="Arial" w:hAnsi="Arial" w:cs="Arial"/>
                <w:sz w:val="16"/>
                <w:szCs w:val="16"/>
                <w:lang w:eastAsia="es-AR"/>
              </w:rPr>
            </w:pPr>
            <w:r>
              <w:rPr>
                <w:rFonts w:ascii="Arial" w:hAnsi="Arial" w:cs="Arial"/>
                <w:sz w:val="16"/>
                <w:szCs w:val="16"/>
                <w:lang w:eastAsia="es-AR"/>
              </w:rPr>
              <w:t>-</w:t>
            </w:r>
          </w:p>
        </w:tc>
        <w:tc>
          <w:tcPr>
            <w:tcW w:w="1044" w:type="dxa"/>
            <w:tcBorders>
              <w:top w:val="nil"/>
              <w:left w:val="nil"/>
              <w:bottom w:val="nil"/>
              <w:right w:val="nil"/>
            </w:tcBorders>
            <w:vAlign w:val="bottom"/>
          </w:tcPr>
          <w:p w14:paraId="5C398BF0" w14:textId="5A4192B9" w:rsidR="007B34B2"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vAlign w:val="bottom"/>
          </w:tcPr>
          <w:p w14:paraId="26BA60F6" w14:textId="20A6A9C9" w:rsidR="007B34B2"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7" w:type="dxa"/>
            <w:tcBorders>
              <w:top w:val="nil"/>
              <w:left w:val="nil"/>
              <w:bottom w:val="nil"/>
              <w:right w:val="nil"/>
            </w:tcBorders>
            <w:vAlign w:val="bottom"/>
          </w:tcPr>
          <w:p w14:paraId="572690FC" w14:textId="34CC510C" w:rsidR="007B34B2"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1" w:type="dxa"/>
            <w:tcBorders>
              <w:top w:val="nil"/>
              <w:left w:val="nil"/>
              <w:bottom w:val="nil"/>
              <w:right w:val="nil"/>
            </w:tcBorders>
            <w:vAlign w:val="bottom"/>
          </w:tcPr>
          <w:p w14:paraId="7D9508A8" w14:textId="4632429A" w:rsidR="007B34B2" w:rsidRPr="00066653" w:rsidRDefault="00DC7E16">
            <w:pPr>
              <w:jc w:val="right"/>
              <w:rPr>
                <w:rFonts w:ascii="Arial" w:hAnsi="Arial" w:cs="Arial"/>
                <w:sz w:val="16"/>
                <w:szCs w:val="16"/>
                <w:lang w:eastAsia="es-AR"/>
              </w:rPr>
            </w:pPr>
            <w:r>
              <w:rPr>
                <w:rFonts w:ascii="Arial" w:hAnsi="Arial" w:cs="Arial"/>
                <w:sz w:val="16"/>
                <w:szCs w:val="16"/>
                <w:lang w:eastAsia="es-AR"/>
              </w:rPr>
              <w:t>240.493</w:t>
            </w:r>
          </w:p>
        </w:tc>
      </w:tr>
      <w:tr w:rsidR="00A4769B" w:rsidRPr="00EA7AC7" w14:paraId="60C68AB3" w14:textId="77777777" w:rsidTr="006E1AF7">
        <w:trPr>
          <w:trHeight w:val="63"/>
        </w:trPr>
        <w:tc>
          <w:tcPr>
            <w:tcW w:w="2316" w:type="dxa"/>
            <w:tcBorders>
              <w:top w:val="nil"/>
              <w:left w:val="nil"/>
              <w:bottom w:val="nil"/>
              <w:right w:val="nil"/>
            </w:tcBorders>
            <w:vAlign w:val="bottom"/>
          </w:tcPr>
          <w:p w14:paraId="3B0096F5" w14:textId="77777777" w:rsidR="007B34B2" w:rsidRPr="001A10B5" w:rsidRDefault="007B34B2" w:rsidP="00BE5A48">
            <w:pPr>
              <w:rPr>
                <w:rFonts w:ascii="Arial" w:hAnsi="Arial" w:cs="Arial"/>
                <w:b/>
                <w:sz w:val="16"/>
                <w:szCs w:val="16"/>
                <w:lang w:eastAsia="es-AR"/>
              </w:rPr>
            </w:pPr>
          </w:p>
        </w:tc>
        <w:tc>
          <w:tcPr>
            <w:tcW w:w="1228" w:type="dxa"/>
            <w:tcBorders>
              <w:top w:val="nil"/>
              <w:left w:val="nil"/>
              <w:bottom w:val="nil"/>
              <w:right w:val="nil"/>
            </w:tcBorders>
            <w:vAlign w:val="bottom"/>
          </w:tcPr>
          <w:p w14:paraId="20AC0016" w14:textId="77777777" w:rsidR="007B34B2" w:rsidRPr="004708CB" w:rsidRDefault="007B34B2">
            <w:pPr>
              <w:jc w:val="right"/>
              <w:rPr>
                <w:rFonts w:ascii="Arial" w:hAnsi="Arial" w:cs="Arial"/>
                <w:sz w:val="16"/>
                <w:szCs w:val="16"/>
                <w:lang w:eastAsia="es-AR"/>
              </w:rPr>
            </w:pPr>
          </w:p>
        </w:tc>
        <w:tc>
          <w:tcPr>
            <w:tcW w:w="1130" w:type="dxa"/>
            <w:tcBorders>
              <w:top w:val="nil"/>
              <w:left w:val="nil"/>
              <w:bottom w:val="nil"/>
              <w:right w:val="nil"/>
            </w:tcBorders>
            <w:vAlign w:val="bottom"/>
          </w:tcPr>
          <w:p w14:paraId="018BFF9F" w14:textId="77777777" w:rsidR="007B34B2" w:rsidRPr="0012241E" w:rsidRDefault="007B34B2">
            <w:pPr>
              <w:jc w:val="right"/>
              <w:rPr>
                <w:rFonts w:ascii="Arial" w:hAnsi="Arial" w:cs="Arial"/>
                <w:sz w:val="16"/>
                <w:szCs w:val="16"/>
                <w:lang w:eastAsia="es-AR"/>
              </w:rPr>
            </w:pPr>
          </w:p>
        </w:tc>
        <w:tc>
          <w:tcPr>
            <w:tcW w:w="1134" w:type="dxa"/>
            <w:tcBorders>
              <w:top w:val="nil"/>
              <w:left w:val="nil"/>
              <w:bottom w:val="nil"/>
              <w:right w:val="nil"/>
            </w:tcBorders>
            <w:vAlign w:val="bottom"/>
          </w:tcPr>
          <w:p w14:paraId="72DA3001" w14:textId="77777777" w:rsidR="007B34B2" w:rsidRPr="00B85009" w:rsidRDefault="007B34B2">
            <w:pPr>
              <w:jc w:val="right"/>
              <w:rPr>
                <w:rFonts w:ascii="Arial" w:hAnsi="Arial" w:cs="Arial"/>
                <w:sz w:val="16"/>
                <w:szCs w:val="16"/>
                <w:lang w:eastAsia="es-AR"/>
              </w:rPr>
            </w:pPr>
          </w:p>
        </w:tc>
        <w:tc>
          <w:tcPr>
            <w:tcW w:w="1044" w:type="dxa"/>
            <w:tcBorders>
              <w:top w:val="nil"/>
              <w:left w:val="nil"/>
              <w:bottom w:val="nil"/>
              <w:right w:val="nil"/>
            </w:tcBorders>
            <w:vAlign w:val="bottom"/>
          </w:tcPr>
          <w:p w14:paraId="37708DE0" w14:textId="77777777" w:rsidR="007B34B2" w:rsidRPr="003D4ED0" w:rsidRDefault="007B34B2">
            <w:pPr>
              <w:jc w:val="right"/>
              <w:rPr>
                <w:rFonts w:ascii="Arial" w:hAnsi="Arial" w:cs="Arial"/>
                <w:sz w:val="16"/>
                <w:szCs w:val="16"/>
                <w:lang w:eastAsia="es-AR"/>
              </w:rPr>
            </w:pPr>
          </w:p>
        </w:tc>
        <w:tc>
          <w:tcPr>
            <w:tcW w:w="1134" w:type="dxa"/>
            <w:tcBorders>
              <w:top w:val="nil"/>
              <w:left w:val="nil"/>
              <w:bottom w:val="nil"/>
              <w:right w:val="nil"/>
            </w:tcBorders>
            <w:vAlign w:val="bottom"/>
          </w:tcPr>
          <w:p w14:paraId="73FFA4F6" w14:textId="77777777" w:rsidR="007B34B2" w:rsidRPr="00066653" w:rsidRDefault="007B34B2">
            <w:pPr>
              <w:jc w:val="right"/>
              <w:rPr>
                <w:rFonts w:ascii="Arial" w:hAnsi="Arial" w:cs="Arial"/>
                <w:sz w:val="16"/>
                <w:szCs w:val="16"/>
                <w:lang w:eastAsia="es-AR"/>
              </w:rPr>
            </w:pPr>
          </w:p>
        </w:tc>
        <w:tc>
          <w:tcPr>
            <w:tcW w:w="1137" w:type="dxa"/>
            <w:tcBorders>
              <w:top w:val="nil"/>
              <w:left w:val="nil"/>
              <w:bottom w:val="nil"/>
              <w:right w:val="nil"/>
            </w:tcBorders>
            <w:vAlign w:val="bottom"/>
          </w:tcPr>
          <w:p w14:paraId="3168625C" w14:textId="77777777" w:rsidR="007B34B2" w:rsidRPr="00066653" w:rsidRDefault="007B34B2">
            <w:pPr>
              <w:jc w:val="right"/>
              <w:rPr>
                <w:rFonts w:ascii="Arial" w:hAnsi="Arial" w:cs="Arial"/>
                <w:sz w:val="16"/>
                <w:szCs w:val="16"/>
                <w:lang w:eastAsia="es-AR"/>
              </w:rPr>
            </w:pPr>
          </w:p>
        </w:tc>
        <w:tc>
          <w:tcPr>
            <w:tcW w:w="1131" w:type="dxa"/>
            <w:tcBorders>
              <w:top w:val="nil"/>
              <w:left w:val="nil"/>
              <w:bottom w:val="nil"/>
              <w:right w:val="nil"/>
            </w:tcBorders>
            <w:vAlign w:val="bottom"/>
          </w:tcPr>
          <w:p w14:paraId="0C9239F8" w14:textId="77777777" w:rsidR="007B34B2" w:rsidRPr="00066653" w:rsidRDefault="007B34B2">
            <w:pPr>
              <w:jc w:val="right"/>
              <w:rPr>
                <w:rFonts w:ascii="Arial" w:hAnsi="Arial" w:cs="Arial"/>
                <w:sz w:val="16"/>
                <w:szCs w:val="16"/>
                <w:lang w:eastAsia="es-AR"/>
              </w:rPr>
            </w:pPr>
          </w:p>
        </w:tc>
      </w:tr>
      <w:tr w:rsidR="00A4769B" w:rsidRPr="00EA7AC7" w14:paraId="00FAF79B" w14:textId="77777777" w:rsidTr="006E1AF7">
        <w:trPr>
          <w:trHeight w:val="220"/>
        </w:trPr>
        <w:tc>
          <w:tcPr>
            <w:tcW w:w="2316" w:type="dxa"/>
            <w:tcBorders>
              <w:top w:val="nil"/>
              <w:left w:val="nil"/>
              <w:bottom w:val="nil"/>
              <w:right w:val="nil"/>
            </w:tcBorders>
            <w:vAlign w:val="bottom"/>
          </w:tcPr>
          <w:p w14:paraId="1153C22B" w14:textId="0E5B222B" w:rsidR="0012645F" w:rsidRPr="001A10B5" w:rsidRDefault="0012645F" w:rsidP="00BE5A48">
            <w:pPr>
              <w:rPr>
                <w:rFonts w:ascii="Arial" w:hAnsi="Arial" w:cs="Arial"/>
                <w:b/>
                <w:sz w:val="16"/>
                <w:szCs w:val="16"/>
                <w:lang w:eastAsia="es-AR"/>
              </w:rPr>
            </w:pPr>
            <w:r w:rsidRPr="001A10B5">
              <w:rPr>
                <w:rFonts w:ascii="Arial" w:hAnsi="Arial" w:cs="Arial"/>
                <w:b/>
                <w:sz w:val="16"/>
                <w:szCs w:val="16"/>
                <w:lang w:eastAsia="es-AR"/>
              </w:rPr>
              <w:t>Otros pasivos financieros</w:t>
            </w:r>
          </w:p>
        </w:tc>
        <w:tc>
          <w:tcPr>
            <w:tcW w:w="1228" w:type="dxa"/>
            <w:tcBorders>
              <w:top w:val="nil"/>
              <w:left w:val="nil"/>
              <w:bottom w:val="nil"/>
              <w:right w:val="nil"/>
            </w:tcBorders>
            <w:vAlign w:val="bottom"/>
          </w:tcPr>
          <w:p w14:paraId="554CABFC" w14:textId="0026355F" w:rsidR="0012645F" w:rsidRPr="0012241E" w:rsidRDefault="00DC7E16">
            <w:pPr>
              <w:jc w:val="right"/>
              <w:rPr>
                <w:rFonts w:ascii="Arial" w:hAnsi="Arial" w:cs="Arial"/>
                <w:sz w:val="16"/>
                <w:szCs w:val="16"/>
                <w:lang w:eastAsia="es-AR"/>
              </w:rPr>
            </w:pPr>
            <w:r>
              <w:rPr>
                <w:rFonts w:ascii="Arial" w:hAnsi="Arial" w:cs="Arial"/>
                <w:sz w:val="16"/>
                <w:szCs w:val="16"/>
                <w:lang w:eastAsia="es-AR"/>
              </w:rPr>
              <w:t>5.1</w:t>
            </w:r>
            <w:r w:rsidR="00206F2F">
              <w:rPr>
                <w:rFonts w:ascii="Arial" w:hAnsi="Arial" w:cs="Arial"/>
                <w:sz w:val="16"/>
                <w:szCs w:val="16"/>
                <w:lang w:eastAsia="es-AR"/>
              </w:rPr>
              <w:t>80</w:t>
            </w:r>
            <w:r>
              <w:rPr>
                <w:rFonts w:ascii="Arial" w:hAnsi="Arial" w:cs="Arial"/>
                <w:sz w:val="16"/>
                <w:szCs w:val="16"/>
                <w:lang w:eastAsia="es-AR"/>
              </w:rPr>
              <w:t>.</w:t>
            </w:r>
            <w:r w:rsidR="00206F2F">
              <w:rPr>
                <w:rFonts w:ascii="Arial" w:hAnsi="Arial" w:cs="Arial"/>
                <w:sz w:val="16"/>
                <w:szCs w:val="16"/>
                <w:lang w:eastAsia="es-AR"/>
              </w:rPr>
              <w:t>702</w:t>
            </w:r>
          </w:p>
        </w:tc>
        <w:tc>
          <w:tcPr>
            <w:tcW w:w="1130" w:type="dxa"/>
            <w:tcBorders>
              <w:top w:val="nil"/>
              <w:left w:val="nil"/>
              <w:bottom w:val="nil"/>
              <w:right w:val="nil"/>
            </w:tcBorders>
            <w:vAlign w:val="bottom"/>
          </w:tcPr>
          <w:p w14:paraId="796EBD82" w14:textId="4FC48089" w:rsidR="0012645F" w:rsidRPr="00B85009" w:rsidRDefault="00DC7E16">
            <w:pPr>
              <w:jc w:val="right"/>
              <w:rPr>
                <w:rFonts w:ascii="Arial" w:hAnsi="Arial" w:cs="Arial"/>
                <w:sz w:val="16"/>
                <w:szCs w:val="16"/>
                <w:lang w:eastAsia="es-AR"/>
              </w:rPr>
            </w:pPr>
            <w:r>
              <w:rPr>
                <w:rFonts w:ascii="Arial" w:hAnsi="Arial" w:cs="Arial"/>
                <w:sz w:val="16"/>
                <w:szCs w:val="16"/>
                <w:lang w:eastAsia="es-AR"/>
              </w:rPr>
              <w:t>1</w:t>
            </w:r>
            <w:r w:rsidR="00206F2F">
              <w:rPr>
                <w:rFonts w:ascii="Arial" w:hAnsi="Arial" w:cs="Arial"/>
                <w:sz w:val="16"/>
                <w:szCs w:val="16"/>
                <w:lang w:eastAsia="es-AR"/>
              </w:rPr>
              <w:t>11</w:t>
            </w:r>
            <w:r>
              <w:rPr>
                <w:rFonts w:ascii="Arial" w:hAnsi="Arial" w:cs="Arial"/>
                <w:sz w:val="16"/>
                <w:szCs w:val="16"/>
                <w:lang w:eastAsia="es-AR"/>
              </w:rPr>
              <w:t>.</w:t>
            </w:r>
            <w:r w:rsidR="00206F2F">
              <w:rPr>
                <w:rFonts w:ascii="Arial" w:hAnsi="Arial" w:cs="Arial"/>
                <w:sz w:val="16"/>
                <w:szCs w:val="16"/>
                <w:lang w:eastAsia="es-AR"/>
              </w:rPr>
              <w:t>422</w:t>
            </w:r>
          </w:p>
        </w:tc>
        <w:tc>
          <w:tcPr>
            <w:tcW w:w="1134" w:type="dxa"/>
            <w:tcBorders>
              <w:top w:val="nil"/>
              <w:left w:val="nil"/>
              <w:bottom w:val="nil"/>
              <w:right w:val="nil"/>
            </w:tcBorders>
            <w:vAlign w:val="bottom"/>
          </w:tcPr>
          <w:p w14:paraId="286911B3" w14:textId="1D19FEDE" w:rsidR="0012645F" w:rsidRPr="003D4ED0" w:rsidRDefault="00DC7E16">
            <w:pPr>
              <w:jc w:val="right"/>
              <w:rPr>
                <w:rFonts w:ascii="Arial" w:hAnsi="Arial" w:cs="Arial"/>
                <w:sz w:val="16"/>
                <w:szCs w:val="16"/>
                <w:lang w:eastAsia="es-AR"/>
              </w:rPr>
            </w:pPr>
            <w:r>
              <w:rPr>
                <w:rFonts w:ascii="Arial" w:hAnsi="Arial" w:cs="Arial"/>
                <w:sz w:val="16"/>
                <w:szCs w:val="16"/>
                <w:lang w:eastAsia="es-AR"/>
              </w:rPr>
              <w:t>1</w:t>
            </w:r>
            <w:r w:rsidR="00206F2F">
              <w:rPr>
                <w:rFonts w:ascii="Arial" w:hAnsi="Arial" w:cs="Arial"/>
                <w:sz w:val="16"/>
                <w:szCs w:val="16"/>
                <w:lang w:eastAsia="es-AR"/>
              </w:rPr>
              <w:t>33</w:t>
            </w:r>
            <w:r>
              <w:rPr>
                <w:rFonts w:ascii="Arial" w:hAnsi="Arial" w:cs="Arial"/>
                <w:sz w:val="16"/>
                <w:szCs w:val="16"/>
                <w:lang w:eastAsia="es-AR"/>
              </w:rPr>
              <w:t>.</w:t>
            </w:r>
            <w:r w:rsidR="00206F2F">
              <w:rPr>
                <w:rFonts w:ascii="Arial" w:hAnsi="Arial" w:cs="Arial"/>
                <w:sz w:val="16"/>
                <w:szCs w:val="16"/>
                <w:lang w:eastAsia="es-AR"/>
              </w:rPr>
              <w:t>367</w:t>
            </w:r>
          </w:p>
        </w:tc>
        <w:tc>
          <w:tcPr>
            <w:tcW w:w="1044" w:type="dxa"/>
            <w:tcBorders>
              <w:top w:val="nil"/>
              <w:left w:val="nil"/>
              <w:bottom w:val="nil"/>
              <w:right w:val="nil"/>
            </w:tcBorders>
            <w:vAlign w:val="bottom"/>
          </w:tcPr>
          <w:p w14:paraId="61D8C20A" w14:textId="58D0EB50" w:rsidR="0012645F" w:rsidRPr="00066653" w:rsidRDefault="00206F2F">
            <w:pPr>
              <w:jc w:val="right"/>
              <w:rPr>
                <w:rFonts w:ascii="Arial" w:hAnsi="Arial" w:cs="Arial"/>
                <w:sz w:val="16"/>
                <w:szCs w:val="16"/>
                <w:lang w:eastAsia="es-AR"/>
              </w:rPr>
            </w:pPr>
            <w:r>
              <w:rPr>
                <w:rFonts w:ascii="Arial" w:hAnsi="Arial" w:cs="Arial"/>
                <w:sz w:val="16"/>
                <w:szCs w:val="16"/>
                <w:lang w:eastAsia="es-AR"/>
              </w:rPr>
              <w:t>208</w:t>
            </w:r>
            <w:r w:rsidR="00DC7E16">
              <w:rPr>
                <w:rFonts w:ascii="Arial" w:hAnsi="Arial" w:cs="Arial"/>
                <w:sz w:val="16"/>
                <w:szCs w:val="16"/>
                <w:lang w:eastAsia="es-AR"/>
              </w:rPr>
              <w:t>.</w:t>
            </w:r>
            <w:r>
              <w:rPr>
                <w:rFonts w:ascii="Arial" w:hAnsi="Arial" w:cs="Arial"/>
                <w:sz w:val="16"/>
                <w:szCs w:val="16"/>
                <w:lang w:eastAsia="es-AR"/>
              </w:rPr>
              <w:t>698</w:t>
            </w:r>
          </w:p>
        </w:tc>
        <w:tc>
          <w:tcPr>
            <w:tcW w:w="1134" w:type="dxa"/>
            <w:tcBorders>
              <w:top w:val="nil"/>
              <w:left w:val="nil"/>
              <w:bottom w:val="nil"/>
              <w:right w:val="nil"/>
            </w:tcBorders>
            <w:vAlign w:val="bottom"/>
          </w:tcPr>
          <w:p w14:paraId="5398D472" w14:textId="753B05A7" w:rsidR="0012645F" w:rsidRPr="00066653" w:rsidRDefault="00A4769B">
            <w:pPr>
              <w:jc w:val="right"/>
              <w:rPr>
                <w:rFonts w:ascii="Arial" w:hAnsi="Arial" w:cs="Arial"/>
                <w:sz w:val="16"/>
                <w:szCs w:val="16"/>
                <w:lang w:eastAsia="es-AR"/>
              </w:rPr>
            </w:pPr>
            <w:r>
              <w:rPr>
                <w:rFonts w:ascii="Arial" w:hAnsi="Arial" w:cs="Arial"/>
                <w:sz w:val="16"/>
                <w:szCs w:val="16"/>
                <w:lang w:eastAsia="es-AR"/>
              </w:rPr>
              <w:t>308</w:t>
            </w:r>
            <w:r w:rsidR="00DC7E16">
              <w:rPr>
                <w:rFonts w:ascii="Arial" w:hAnsi="Arial" w:cs="Arial"/>
                <w:sz w:val="16"/>
                <w:szCs w:val="16"/>
                <w:lang w:eastAsia="es-AR"/>
              </w:rPr>
              <w:t>.</w:t>
            </w:r>
            <w:r>
              <w:rPr>
                <w:rFonts w:ascii="Arial" w:hAnsi="Arial" w:cs="Arial"/>
                <w:sz w:val="16"/>
                <w:szCs w:val="16"/>
                <w:lang w:eastAsia="es-AR"/>
              </w:rPr>
              <w:t>625</w:t>
            </w:r>
          </w:p>
        </w:tc>
        <w:tc>
          <w:tcPr>
            <w:tcW w:w="1137" w:type="dxa"/>
            <w:tcBorders>
              <w:top w:val="nil"/>
              <w:left w:val="nil"/>
              <w:bottom w:val="nil"/>
              <w:right w:val="nil"/>
            </w:tcBorders>
            <w:vAlign w:val="bottom"/>
          </w:tcPr>
          <w:p w14:paraId="291AF8F3" w14:textId="7207C481" w:rsidR="0012645F" w:rsidRPr="00066653" w:rsidRDefault="00A4769B">
            <w:pPr>
              <w:jc w:val="right"/>
              <w:rPr>
                <w:rFonts w:ascii="Arial" w:hAnsi="Arial" w:cs="Arial"/>
                <w:sz w:val="16"/>
                <w:szCs w:val="16"/>
                <w:lang w:eastAsia="es-AR"/>
              </w:rPr>
            </w:pPr>
            <w:r>
              <w:rPr>
                <w:rFonts w:ascii="Arial" w:hAnsi="Arial" w:cs="Arial"/>
                <w:sz w:val="16"/>
                <w:szCs w:val="16"/>
                <w:lang w:eastAsia="es-AR"/>
              </w:rPr>
              <w:t>501</w:t>
            </w:r>
            <w:r w:rsidR="00DC7E16">
              <w:rPr>
                <w:rFonts w:ascii="Arial" w:hAnsi="Arial" w:cs="Arial"/>
                <w:sz w:val="16"/>
                <w:szCs w:val="16"/>
                <w:lang w:eastAsia="es-AR"/>
              </w:rPr>
              <w:t>.</w:t>
            </w:r>
            <w:r>
              <w:rPr>
                <w:rFonts w:ascii="Arial" w:hAnsi="Arial" w:cs="Arial"/>
                <w:sz w:val="16"/>
                <w:szCs w:val="16"/>
                <w:lang w:eastAsia="es-AR"/>
              </w:rPr>
              <w:t>741</w:t>
            </w:r>
          </w:p>
        </w:tc>
        <w:tc>
          <w:tcPr>
            <w:tcW w:w="1131" w:type="dxa"/>
            <w:tcBorders>
              <w:top w:val="nil"/>
              <w:left w:val="nil"/>
              <w:bottom w:val="nil"/>
              <w:right w:val="nil"/>
            </w:tcBorders>
            <w:vAlign w:val="bottom"/>
          </w:tcPr>
          <w:p w14:paraId="0ACD4C76" w14:textId="3E6D8EA3" w:rsidR="0012645F" w:rsidRPr="00066653" w:rsidRDefault="00DC7E16">
            <w:pPr>
              <w:jc w:val="right"/>
              <w:rPr>
                <w:rFonts w:ascii="Arial" w:hAnsi="Arial" w:cs="Arial"/>
                <w:sz w:val="16"/>
                <w:szCs w:val="16"/>
                <w:lang w:eastAsia="es-AR"/>
              </w:rPr>
            </w:pPr>
            <w:r>
              <w:rPr>
                <w:rFonts w:ascii="Arial" w:hAnsi="Arial" w:cs="Arial"/>
                <w:sz w:val="16"/>
                <w:szCs w:val="16"/>
                <w:lang w:eastAsia="es-AR"/>
              </w:rPr>
              <w:t>6.</w:t>
            </w:r>
            <w:r w:rsidR="00A4769B">
              <w:rPr>
                <w:rFonts w:ascii="Arial" w:hAnsi="Arial" w:cs="Arial"/>
                <w:sz w:val="16"/>
                <w:szCs w:val="16"/>
                <w:lang w:eastAsia="es-AR"/>
              </w:rPr>
              <w:t>444</w:t>
            </w:r>
            <w:r>
              <w:rPr>
                <w:rFonts w:ascii="Arial" w:hAnsi="Arial" w:cs="Arial"/>
                <w:sz w:val="16"/>
                <w:szCs w:val="16"/>
                <w:lang w:eastAsia="es-AR"/>
              </w:rPr>
              <w:t>.</w:t>
            </w:r>
            <w:r w:rsidR="00A4769B">
              <w:rPr>
                <w:rFonts w:ascii="Arial" w:hAnsi="Arial" w:cs="Arial"/>
                <w:sz w:val="16"/>
                <w:szCs w:val="16"/>
                <w:lang w:eastAsia="es-AR"/>
              </w:rPr>
              <w:t>55</w:t>
            </w:r>
            <w:r>
              <w:rPr>
                <w:rFonts w:ascii="Arial" w:hAnsi="Arial" w:cs="Arial"/>
                <w:sz w:val="16"/>
                <w:szCs w:val="16"/>
                <w:lang w:eastAsia="es-AR"/>
              </w:rPr>
              <w:t>5</w:t>
            </w:r>
          </w:p>
        </w:tc>
      </w:tr>
      <w:tr w:rsidR="00A4769B" w:rsidRPr="00EA7AC7" w14:paraId="75E612BF" w14:textId="77777777" w:rsidTr="006E1AF7">
        <w:trPr>
          <w:trHeight w:val="63"/>
        </w:trPr>
        <w:tc>
          <w:tcPr>
            <w:tcW w:w="2316" w:type="dxa"/>
            <w:tcBorders>
              <w:top w:val="nil"/>
              <w:left w:val="nil"/>
              <w:bottom w:val="nil"/>
              <w:right w:val="nil"/>
            </w:tcBorders>
            <w:vAlign w:val="bottom"/>
          </w:tcPr>
          <w:p w14:paraId="096048EE" w14:textId="77777777" w:rsidR="0012645F" w:rsidRPr="001A10B5" w:rsidRDefault="0012645F" w:rsidP="00BE5A48">
            <w:pPr>
              <w:rPr>
                <w:rFonts w:ascii="Arial" w:hAnsi="Arial" w:cs="Arial"/>
                <w:b/>
                <w:sz w:val="16"/>
                <w:szCs w:val="16"/>
                <w:lang w:eastAsia="es-AR"/>
              </w:rPr>
            </w:pPr>
          </w:p>
        </w:tc>
        <w:tc>
          <w:tcPr>
            <w:tcW w:w="1228" w:type="dxa"/>
            <w:tcBorders>
              <w:top w:val="nil"/>
              <w:left w:val="nil"/>
              <w:bottom w:val="nil"/>
              <w:right w:val="nil"/>
            </w:tcBorders>
            <w:vAlign w:val="bottom"/>
          </w:tcPr>
          <w:p w14:paraId="4DDA7B72" w14:textId="77777777" w:rsidR="0012645F" w:rsidRPr="004708CB" w:rsidRDefault="0012645F">
            <w:pPr>
              <w:jc w:val="right"/>
              <w:rPr>
                <w:rFonts w:ascii="Arial" w:hAnsi="Arial" w:cs="Arial"/>
                <w:sz w:val="16"/>
                <w:szCs w:val="16"/>
                <w:lang w:eastAsia="es-AR"/>
              </w:rPr>
            </w:pPr>
          </w:p>
        </w:tc>
        <w:tc>
          <w:tcPr>
            <w:tcW w:w="1130" w:type="dxa"/>
            <w:tcBorders>
              <w:top w:val="nil"/>
              <w:left w:val="nil"/>
              <w:bottom w:val="nil"/>
              <w:right w:val="nil"/>
            </w:tcBorders>
            <w:vAlign w:val="bottom"/>
          </w:tcPr>
          <w:p w14:paraId="51BEABF7" w14:textId="77777777" w:rsidR="0012645F" w:rsidRPr="0012241E" w:rsidRDefault="0012645F">
            <w:pPr>
              <w:jc w:val="right"/>
              <w:rPr>
                <w:rFonts w:ascii="Arial" w:hAnsi="Arial" w:cs="Arial"/>
                <w:sz w:val="16"/>
                <w:szCs w:val="16"/>
                <w:lang w:eastAsia="es-AR"/>
              </w:rPr>
            </w:pPr>
          </w:p>
        </w:tc>
        <w:tc>
          <w:tcPr>
            <w:tcW w:w="1134" w:type="dxa"/>
            <w:tcBorders>
              <w:top w:val="nil"/>
              <w:left w:val="nil"/>
              <w:bottom w:val="nil"/>
              <w:right w:val="nil"/>
            </w:tcBorders>
            <w:vAlign w:val="bottom"/>
          </w:tcPr>
          <w:p w14:paraId="1AD7FD9F" w14:textId="77777777" w:rsidR="0012645F" w:rsidRPr="00B85009" w:rsidRDefault="0012645F">
            <w:pPr>
              <w:jc w:val="right"/>
              <w:rPr>
                <w:rFonts w:ascii="Arial" w:hAnsi="Arial" w:cs="Arial"/>
                <w:sz w:val="16"/>
                <w:szCs w:val="16"/>
                <w:lang w:eastAsia="es-AR"/>
              </w:rPr>
            </w:pPr>
          </w:p>
        </w:tc>
        <w:tc>
          <w:tcPr>
            <w:tcW w:w="1044" w:type="dxa"/>
            <w:tcBorders>
              <w:top w:val="nil"/>
              <w:left w:val="nil"/>
              <w:bottom w:val="nil"/>
              <w:right w:val="nil"/>
            </w:tcBorders>
            <w:vAlign w:val="bottom"/>
          </w:tcPr>
          <w:p w14:paraId="6B297CE6" w14:textId="77777777" w:rsidR="0012645F" w:rsidRPr="003D4ED0" w:rsidRDefault="0012645F">
            <w:pPr>
              <w:jc w:val="right"/>
              <w:rPr>
                <w:rFonts w:ascii="Arial" w:hAnsi="Arial" w:cs="Arial"/>
                <w:sz w:val="16"/>
                <w:szCs w:val="16"/>
                <w:lang w:eastAsia="es-AR"/>
              </w:rPr>
            </w:pPr>
          </w:p>
        </w:tc>
        <w:tc>
          <w:tcPr>
            <w:tcW w:w="1134" w:type="dxa"/>
            <w:tcBorders>
              <w:top w:val="nil"/>
              <w:left w:val="nil"/>
              <w:bottom w:val="nil"/>
              <w:right w:val="nil"/>
            </w:tcBorders>
            <w:vAlign w:val="bottom"/>
          </w:tcPr>
          <w:p w14:paraId="31A96FFA" w14:textId="77777777" w:rsidR="0012645F" w:rsidRPr="00066653" w:rsidRDefault="0012645F">
            <w:pPr>
              <w:jc w:val="right"/>
              <w:rPr>
                <w:rFonts w:ascii="Arial" w:hAnsi="Arial" w:cs="Arial"/>
                <w:sz w:val="16"/>
                <w:szCs w:val="16"/>
                <w:lang w:eastAsia="es-AR"/>
              </w:rPr>
            </w:pPr>
          </w:p>
        </w:tc>
        <w:tc>
          <w:tcPr>
            <w:tcW w:w="1137" w:type="dxa"/>
            <w:tcBorders>
              <w:top w:val="nil"/>
              <w:left w:val="nil"/>
              <w:bottom w:val="nil"/>
              <w:right w:val="nil"/>
            </w:tcBorders>
            <w:vAlign w:val="bottom"/>
          </w:tcPr>
          <w:p w14:paraId="4C399D5D" w14:textId="77777777" w:rsidR="0012645F" w:rsidRPr="00066653" w:rsidRDefault="0012645F">
            <w:pPr>
              <w:jc w:val="right"/>
              <w:rPr>
                <w:rFonts w:ascii="Arial" w:hAnsi="Arial" w:cs="Arial"/>
                <w:sz w:val="16"/>
                <w:szCs w:val="16"/>
                <w:lang w:eastAsia="es-AR"/>
              </w:rPr>
            </w:pPr>
          </w:p>
        </w:tc>
        <w:tc>
          <w:tcPr>
            <w:tcW w:w="1131" w:type="dxa"/>
            <w:tcBorders>
              <w:top w:val="nil"/>
              <w:left w:val="nil"/>
              <w:bottom w:val="nil"/>
              <w:right w:val="nil"/>
            </w:tcBorders>
            <w:vAlign w:val="bottom"/>
          </w:tcPr>
          <w:p w14:paraId="5956E6EE" w14:textId="77777777" w:rsidR="0012645F" w:rsidRPr="00066653" w:rsidRDefault="0012645F">
            <w:pPr>
              <w:jc w:val="right"/>
              <w:rPr>
                <w:rFonts w:ascii="Arial" w:hAnsi="Arial" w:cs="Arial"/>
                <w:sz w:val="16"/>
                <w:szCs w:val="16"/>
                <w:lang w:eastAsia="es-AR"/>
              </w:rPr>
            </w:pPr>
          </w:p>
        </w:tc>
      </w:tr>
      <w:tr w:rsidR="004D5C01" w:rsidRPr="00EA7AC7" w14:paraId="5CBC97FE" w14:textId="77777777" w:rsidTr="006E1AF7">
        <w:trPr>
          <w:trHeight w:val="256"/>
        </w:trPr>
        <w:tc>
          <w:tcPr>
            <w:tcW w:w="2316" w:type="dxa"/>
            <w:tcBorders>
              <w:top w:val="nil"/>
              <w:left w:val="nil"/>
              <w:bottom w:val="nil"/>
              <w:right w:val="nil"/>
            </w:tcBorders>
            <w:vAlign w:val="bottom"/>
          </w:tcPr>
          <w:p w14:paraId="3BC3EA4A" w14:textId="77777777" w:rsidR="004D5C01" w:rsidRPr="0012241E" w:rsidRDefault="004D5C01" w:rsidP="004D5C01">
            <w:pPr>
              <w:rPr>
                <w:rFonts w:ascii="Arial" w:hAnsi="Arial" w:cs="Arial"/>
                <w:b/>
                <w:sz w:val="16"/>
                <w:szCs w:val="16"/>
                <w:lang w:eastAsia="es-AR"/>
              </w:rPr>
            </w:pPr>
            <w:r w:rsidRPr="001A10B5">
              <w:rPr>
                <w:rFonts w:ascii="Arial" w:hAnsi="Arial" w:cs="Arial"/>
                <w:b/>
                <w:sz w:val="16"/>
                <w:szCs w:val="16"/>
                <w:lang w:eastAsia="es-AR"/>
              </w:rPr>
              <w:t xml:space="preserve">Financiaciones recibidas del BCRA y otras </w:t>
            </w:r>
            <w:r w:rsidRPr="004708CB">
              <w:rPr>
                <w:rFonts w:ascii="Arial" w:hAnsi="Arial" w:cs="Arial"/>
                <w:b/>
                <w:sz w:val="16"/>
                <w:szCs w:val="16"/>
                <w:lang w:eastAsia="es-AR"/>
              </w:rPr>
              <w:t>instituciones financieras</w:t>
            </w:r>
          </w:p>
        </w:tc>
        <w:tc>
          <w:tcPr>
            <w:tcW w:w="1228" w:type="dxa"/>
            <w:tcBorders>
              <w:top w:val="nil"/>
              <w:left w:val="nil"/>
              <w:bottom w:val="nil"/>
              <w:right w:val="nil"/>
            </w:tcBorders>
            <w:vAlign w:val="bottom"/>
          </w:tcPr>
          <w:p w14:paraId="65FFFCFC" w14:textId="0C05C90D" w:rsidR="004D5C01" w:rsidRPr="00B85009" w:rsidRDefault="004D5C01" w:rsidP="004D5C01">
            <w:pPr>
              <w:jc w:val="right"/>
              <w:rPr>
                <w:rFonts w:ascii="Arial" w:hAnsi="Arial" w:cs="Arial"/>
                <w:sz w:val="16"/>
                <w:szCs w:val="16"/>
                <w:lang w:eastAsia="es-AR"/>
              </w:rPr>
            </w:pPr>
            <w:r>
              <w:rPr>
                <w:rFonts w:ascii="Arial" w:hAnsi="Arial" w:cs="Arial"/>
                <w:sz w:val="16"/>
                <w:szCs w:val="16"/>
              </w:rPr>
              <w:t xml:space="preserve">                 7.397.455 </w:t>
            </w:r>
          </w:p>
        </w:tc>
        <w:tc>
          <w:tcPr>
            <w:tcW w:w="1130" w:type="dxa"/>
            <w:tcBorders>
              <w:top w:val="nil"/>
              <w:left w:val="nil"/>
              <w:bottom w:val="nil"/>
              <w:right w:val="nil"/>
            </w:tcBorders>
            <w:vAlign w:val="bottom"/>
          </w:tcPr>
          <w:p w14:paraId="2899432A" w14:textId="54FEB649" w:rsidR="004D5C01" w:rsidRPr="003D4ED0" w:rsidRDefault="004D5C01" w:rsidP="004D5C01">
            <w:pPr>
              <w:jc w:val="right"/>
              <w:rPr>
                <w:rFonts w:ascii="Arial" w:hAnsi="Arial" w:cs="Arial"/>
                <w:sz w:val="16"/>
                <w:szCs w:val="16"/>
                <w:lang w:eastAsia="es-AR"/>
              </w:rPr>
            </w:pPr>
            <w:r>
              <w:rPr>
                <w:rFonts w:ascii="Arial" w:hAnsi="Arial" w:cs="Arial"/>
                <w:sz w:val="16"/>
                <w:szCs w:val="16"/>
              </w:rPr>
              <w:t xml:space="preserve">                 966.831 </w:t>
            </w:r>
          </w:p>
        </w:tc>
        <w:tc>
          <w:tcPr>
            <w:tcW w:w="1134" w:type="dxa"/>
            <w:tcBorders>
              <w:top w:val="nil"/>
              <w:left w:val="nil"/>
              <w:bottom w:val="nil"/>
              <w:right w:val="nil"/>
            </w:tcBorders>
            <w:vAlign w:val="bottom"/>
          </w:tcPr>
          <w:p w14:paraId="1AB26027" w14:textId="4AA4020F" w:rsidR="004D5C01" w:rsidRPr="00066653" w:rsidRDefault="004D5C01" w:rsidP="004D5C01">
            <w:pPr>
              <w:jc w:val="right"/>
              <w:rPr>
                <w:rFonts w:ascii="Arial" w:hAnsi="Arial" w:cs="Arial"/>
                <w:sz w:val="16"/>
                <w:szCs w:val="16"/>
                <w:lang w:eastAsia="es-AR"/>
              </w:rPr>
            </w:pPr>
            <w:r>
              <w:rPr>
                <w:rFonts w:ascii="Arial" w:hAnsi="Arial" w:cs="Arial"/>
                <w:sz w:val="16"/>
                <w:szCs w:val="16"/>
              </w:rPr>
              <w:t xml:space="preserve">              202.593 </w:t>
            </w:r>
          </w:p>
        </w:tc>
        <w:tc>
          <w:tcPr>
            <w:tcW w:w="1044" w:type="dxa"/>
            <w:tcBorders>
              <w:top w:val="nil"/>
              <w:left w:val="nil"/>
              <w:bottom w:val="nil"/>
              <w:right w:val="nil"/>
            </w:tcBorders>
            <w:vAlign w:val="bottom"/>
          </w:tcPr>
          <w:p w14:paraId="481F6CFE" w14:textId="10EFD6BD" w:rsidR="004D5C01" w:rsidRPr="00066653" w:rsidRDefault="004D5C01" w:rsidP="004D5C01">
            <w:pPr>
              <w:jc w:val="right"/>
              <w:rPr>
                <w:rFonts w:ascii="Arial" w:hAnsi="Arial" w:cs="Arial"/>
                <w:sz w:val="16"/>
                <w:szCs w:val="16"/>
                <w:lang w:eastAsia="es-AR"/>
              </w:rPr>
            </w:pPr>
            <w:r>
              <w:rPr>
                <w:rFonts w:ascii="Arial" w:hAnsi="Arial" w:cs="Arial"/>
                <w:sz w:val="16"/>
                <w:szCs w:val="16"/>
              </w:rPr>
              <w:t xml:space="preserve">              355.116 </w:t>
            </w:r>
          </w:p>
        </w:tc>
        <w:tc>
          <w:tcPr>
            <w:tcW w:w="1134" w:type="dxa"/>
            <w:tcBorders>
              <w:top w:val="nil"/>
              <w:left w:val="nil"/>
              <w:bottom w:val="nil"/>
              <w:right w:val="nil"/>
            </w:tcBorders>
            <w:vAlign w:val="bottom"/>
          </w:tcPr>
          <w:p w14:paraId="78A52848" w14:textId="5C0DC99B" w:rsidR="004D5C01" w:rsidRPr="00066653" w:rsidRDefault="004D5C01" w:rsidP="004D5C01">
            <w:pPr>
              <w:jc w:val="right"/>
              <w:rPr>
                <w:rFonts w:ascii="Arial" w:hAnsi="Arial" w:cs="Arial"/>
                <w:sz w:val="16"/>
                <w:szCs w:val="16"/>
                <w:lang w:eastAsia="es-AR"/>
              </w:rPr>
            </w:pPr>
            <w:r>
              <w:rPr>
                <w:rFonts w:ascii="Arial" w:hAnsi="Arial" w:cs="Arial"/>
                <w:sz w:val="16"/>
                <w:szCs w:val="16"/>
              </w:rPr>
              <w:t xml:space="preserve">                 572.505 </w:t>
            </w:r>
          </w:p>
        </w:tc>
        <w:tc>
          <w:tcPr>
            <w:tcW w:w="1137" w:type="dxa"/>
            <w:tcBorders>
              <w:top w:val="nil"/>
              <w:left w:val="nil"/>
              <w:bottom w:val="nil"/>
              <w:right w:val="nil"/>
            </w:tcBorders>
            <w:vAlign w:val="bottom"/>
          </w:tcPr>
          <w:p w14:paraId="73075474" w14:textId="17FC1AF3" w:rsidR="004D5C01" w:rsidRPr="00066653" w:rsidRDefault="004D5C01" w:rsidP="004D5C01">
            <w:pPr>
              <w:jc w:val="right"/>
              <w:rPr>
                <w:rFonts w:ascii="Arial" w:hAnsi="Arial" w:cs="Arial"/>
                <w:sz w:val="16"/>
                <w:szCs w:val="16"/>
                <w:lang w:eastAsia="es-AR"/>
              </w:rPr>
            </w:pPr>
            <w:r>
              <w:rPr>
                <w:rFonts w:ascii="Arial" w:hAnsi="Arial" w:cs="Arial"/>
                <w:sz w:val="16"/>
                <w:szCs w:val="16"/>
              </w:rPr>
              <w:t xml:space="preserve">                 339.929 </w:t>
            </w:r>
          </w:p>
        </w:tc>
        <w:tc>
          <w:tcPr>
            <w:tcW w:w="1131" w:type="dxa"/>
            <w:tcBorders>
              <w:top w:val="nil"/>
              <w:left w:val="nil"/>
              <w:bottom w:val="nil"/>
              <w:right w:val="nil"/>
            </w:tcBorders>
            <w:vAlign w:val="bottom"/>
          </w:tcPr>
          <w:p w14:paraId="7B3FE18B" w14:textId="3DA29560" w:rsidR="004D5C01" w:rsidRPr="004D5C01" w:rsidRDefault="004D5C01" w:rsidP="004D5C01">
            <w:pPr>
              <w:jc w:val="right"/>
              <w:rPr>
                <w:rFonts w:ascii="Arial" w:hAnsi="Arial" w:cs="Arial"/>
                <w:sz w:val="16"/>
                <w:szCs w:val="16"/>
                <w:lang w:eastAsia="es-AR"/>
              </w:rPr>
            </w:pPr>
            <w:r>
              <w:rPr>
                <w:rFonts w:ascii="Arial" w:hAnsi="Arial" w:cs="Arial"/>
                <w:b/>
                <w:bCs/>
                <w:sz w:val="16"/>
                <w:szCs w:val="16"/>
              </w:rPr>
              <w:t xml:space="preserve">                  </w:t>
            </w:r>
            <w:r w:rsidRPr="006E1AF7">
              <w:rPr>
                <w:rFonts w:ascii="Arial" w:hAnsi="Arial" w:cs="Arial"/>
                <w:bCs/>
                <w:sz w:val="16"/>
                <w:szCs w:val="16"/>
              </w:rPr>
              <w:t xml:space="preserve">9.834.429 </w:t>
            </w:r>
          </w:p>
        </w:tc>
      </w:tr>
      <w:tr w:rsidR="00A4769B" w:rsidRPr="00EA7AC7" w14:paraId="09B07277" w14:textId="77777777" w:rsidTr="006E1AF7">
        <w:trPr>
          <w:trHeight w:val="63"/>
        </w:trPr>
        <w:tc>
          <w:tcPr>
            <w:tcW w:w="2316" w:type="dxa"/>
            <w:tcBorders>
              <w:top w:val="nil"/>
              <w:left w:val="nil"/>
              <w:bottom w:val="nil"/>
              <w:right w:val="nil"/>
            </w:tcBorders>
            <w:vAlign w:val="bottom"/>
          </w:tcPr>
          <w:p w14:paraId="4A1FC6E9" w14:textId="77777777" w:rsidR="007B34B2" w:rsidRPr="001A10B5" w:rsidRDefault="007B34B2" w:rsidP="00BE5A48">
            <w:pPr>
              <w:rPr>
                <w:rFonts w:ascii="Arial" w:hAnsi="Arial" w:cs="Arial"/>
                <w:b/>
                <w:sz w:val="16"/>
                <w:szCs w:val="16"/>
                <w:lang w:eastAsia="es-AR"/>
              </w:rPr>
            </w:pPr>
          </w:p>
        </w:tc>
        <w:tc>
          <w:tcPr>
            <w:tcW w:w="1228" w:type="dxa"/>
            <w:tcBorders>
              <w:top w:val="nil"/>
              <w:left w:val="nil"/>
              <w:bottom w:val="nil"/>
              <w:right w:val="nil"/>
            </w:tcBorders>
            <w:vAlign w:val="bottom"/>
          </w:tcPr>
          <w:p w14:paraId="401EB81A" w14:textId="77777777" w:rsidR="007B34B2" w:rsidRPr="004708CB" w:rsidRDefault="007B34B2">
            <w:pPr>
              <w:jc w:val="right"/>
              <w:rPr>
                <w:rFonts w:ascii="Arial" w:hAnsi="Arial" w:cs="Arial"/>
                <w:sz w:val="16"/>
                <w:szCs w:val="16"/>
                <w:lang w:eastAsia="es-AR"/>
              </w:rPr>
            </w:pPr>
          </w:p>
        </w:tc>
        <w:tc>
          <w:tcPr>
            <w:tcW w:w="1130" w:type="dxa"/>
            <w:tcBorders>
              <w:top w:val="nil"/>
              <w:left w:val="nil"/>
              <w:bottom w:val="nil"/>
              <w:right w:val="nil"/>
            </w:tcBorders>
            <w:vAlign w:val="bottom"/>
          </w:tcPr>
          <w:p w14:paraId="7589A704" w14:textId="77777777" w:rsidR="007B34B2" w:rsidRPr="0012241E" w:rsidRDefault="007B34B2">
            <w:pPr>
              <w:jc w:val="right"/>
              <w:rPr>
                <w:rFonts w:ascii="Arial" w:hAnsi="Arial" w:cs="Arial"/>
                <w:sz w:val="16"/>
                <w:szCs w:val="16"/>
                <w:lang w:eastAsia="es-AR"/>
              </w:rPr>
            </w:pPr>
          </w:p>
        </w:tc>
        <w:tc>
          <w:tcPr>
            <w:tcW w:w="1134" w:type="dxa"/>
            <w:tcBorders>
              <w:top w:val="nil"/>
              <w:left w:val="nil"/>
              <w:bottom w:val="nil"/>
              <w:right w:val="nil"/>
            </w:tcBorders>
            <w:vAlign w:val="bottom"/>
          </w:tcPr>
          <w:p w14:paraId="3CD94209" w14:textId="77777777" w:rsidR="007B34B2" w:rsidRPr="00B85009" w:rsidRDefault="007B34B2">
            <w:pPr>
              <w:jc w:val="right"/>
              <w:rPr>
                <w:rFonts w:ascii="Arial" w:hAnsi="Arial" w:cs="Arial"/>
                <w:sz w:val="16"/>
                <w:szCs w:val="16"/>
                <w:lang w:eastAsia="es-AR"/>
              </w:rPr>
            </w:pPr>
          </w:p>
        </w:tc>
        <w:tc>
          <w:tcPr>
            <w:tcW w:w="1044" w:type="dxa"/>
            <w:tcBorders>
              <w:top w:val="nil"/>
              <w:left w:val="nil"/>
              <w:bottom w:val="nil"/>
              <w:right w:val="nil"/>
            </w:tcBorders>
            <w:vAlign w:val="bottom"/>
          </w:tcPr>
          <w:p w14:paraId="75C7173A" w14:textId="77777777" w:rsidR="007B34B2" w:rsidRPr="003D4ED0" w:rsidRDefault="007B34B2">
            <w:pPr>
              <w:jc w:val="right"/>
              <w:rPr>
                <w:rFonts w:ascii="Arial" w:hAnsi="Arial" w:cs="Arial"/>
                <w:sz w:val="16"/>
                <w:szCs w:val="16"/>
                <w:lang w:eastAsia="es-AR"/>
              </w:rPr>
            </w:pPr>
          </w:p>
        </w:tc>
        <w:tc>
          <w:tcPr>
            <w:tcW w:w="1134" w:type="dxa"/>
            <w:tcBorders>
              <w:top w:val="nil"/>
              <w:left w:val="nil"/>
              <w:bottom w:val="nil"/>
              <w:right w:val="nil"/>
            </w:tcBorders>
            <w:vAlign w:val="bottom"/>
          </w:tcPr>
          <w:p w14:paraId="71D3029B" w14:textId="77777777" w:rsidR="007B34B2" w:rsidRPr="00066653" w:rsidRDefault="007B34B2">
            <w:pPr>
              <w:jc w:val="right"/>
              <w:rPr>
                <w:rFonts w:ascii="Arial" w:hAnsi="Arial" w:cs="Arial"/>
                <w:sz w:val="16"/>
                <w:szCs w:val="16"/>
                <w:lang w:eastAsia="es-AR"/>
              </w:rPr>
            </w:pPr>
          </w:p>
        </w:tc>
        <w:tc>
          <w:tcPr>
            <w:tcW w:w="1137" w:type="dxa"/>
            <w:tcBorders>
              <w:top w:val="nil"/>
              <w:left w:val="nil"/>
              <w:bottom w:val="nil"/>
              <w:right w:val="nil"/>
            </w:tcBorders>
            <w:vAlign w:val="bottom"/>
          </w:tcPr>
          <w:p w14:paraId="4717DBEF" w14:textId="77777777" w:rsidR="007B34B2" w:rsidRPr="00066653" w:rsidRDefault="007B34B2">
            <w:pPr>
              <w:jc w:val="right"/>
              <w:rPr>
                <w:rFonts w:ascii="Arial" w:hAnsi="Arial" w:cs="Arial"/>
                <w:sz w:val="16"/>
                <w:szCs w:val="16"/>
                <w:lang w:eastAsia="es-AR"/>
              </w:rPr>
            </w:pPr>
          </w:p>
        </w:tc>
        <w:tc>
          <w:tcPr>
            <w:tcW w:w="1131" w:type="dxa"/>
            <w:tcBorders>
              <w:top w:val="nil"/>
              <w:left w:val="nil"/>
              <w:bottom w:val="nil"/>
              <w:right w:val="nil"/>
            </w:tcBorders>
            <w:vAlign w:val="bottom"/>
          </w:tcPr>
          <w:p w14:paraId="795D41C1" w14:textId="77777777" w:rsidR="007B34B2" w:rsidRPr="00066653" w:rsidRDefault="007B34B2">
            <w:pPr>
              <w:jc w:val="right"/>
              <w:rPr>
                <w:rFonts w:ascii="Arial" w:hAnsi="Arial" w:cs="Arial"/>
                <w:sz w:val="16"/>
                <w:szCs w:val="16"/>
                <w:lang w:eastAsia="es-AR"/>
              </w:rPr>
            </w:pPr>
          </w:p>
        </w:tc>
      </w:tr>
      <w:tr w:rsidR="00A4769B" w:rsidRPr="00EA7AC7" w14:paraId="6755EABA" w14:textId="77777777" w:rsidTr="006E1AF7">
        <w:trPr>
          <w:trHeight w:val="256"/>
        </w:trPr>
        <w:tc>
          <w:tcPr>
            <w:tcW w:w="2316" w:type="dxa"/>
            <w:tcBorders>
              <w:top w:val="nil"/>
              <w:left w:val="nil"/>
              <w:bottom w:val="nil"/>
              <w:right w:val="nil"/>
            </w:tcBorders>
            <w:vAlign w:val="bottom"/>
          </w:tcPr>
          <w:p w14:paraId="512401B1" w14:textId="77777777" w:rsidR="007B34B2" w:rsidRPr="001A10B5" w:rsidRDefault="007B34B2" w:rsidP="00BE5A48">
            <w:pPr>
              <w:rPr>
                <w:rFonts w:ascii="Arial" w:hAnsi="Arial" w:cs="Arial"/>
                <w:b/>
                <w:sz w:val="16"/>
                <w:szCs w:val="16"/>
                <w:lang w:eastAsia="es-AR"/>
              </w:rPr>
            </w:pPr>
            <w:r w:rsidRPr="001A10B5">
              <w:rPr>
                <w:rFonts w:ascii="Arial" w:hAnsi="Arial" w:cs="Arial"/>
                <w:b/>
                <w:sz w:val="16"/>
                <w:szCs w:val="16"/>
                <w:lang w:eastAsia="es-AR"/>
              </w:rPr>
              <w:t>Obligaciones negociables emitidas</w:t>
            </w:r>
          </w:p>
        </w:tc>
        <w:tc>
          <w:tcPr>
            <w:tcW w:w="1228" w:type="dxa"/>
            <w:tcBorders>
              <w:top w:val="nil"/>
              <w:left w:val="nil"/>
              <w:bottom w:val="nil"/>
              <w:right w:val="nil"/>
            </w:tcBorders>
            <w:vAlign w:val="bottom"/>
          </w:tcPr>
          <w:p w14:paraId="6D61C18F" w14:textId="4043298C" w:rsidR="007B34B2" w:rsidRPr="0012241E" w:rsidRDefault="00DC7E16">
            <w:pPr>
              <w:jc w:val="right"/>
              <w:rPr>
                <w:rFonts w:ascii="Arial" w:hAnsi="Arial" w:cs="Arial"/>
                <w:sz w:val="16"/>
                <w:szCs w:val="16"/>
                <w:lang w:eastAsia="es-AR"/>
              </w:rPr>
            </w:pPr>
            <w:r>
              <w:rPr>
                <w:rFonts w:ascii="Arial" w:hAnsi="Arial" w:cs="Arial"/>
                <w:sz w:val="16"/>
                <w:szCs w:val="16"/>
                <w:lang w:eastAsia="es-AR"/>
              </w:rPr>
              <w:t>-</w:t>
            </w:r>
          </w:p>
        </w:tc>
        <w:tc>
          <w:tcPr>
            <w:tcW w:w="1130" w:type="dxa"/>
            <w:tcBorders>
              <w:top w:val="nil"/>
              <w:left w:val="nil"/>
              <w:bottom w:val="nil"/>
              <w:right w:val="nil"/>
            </w:tcBorders>
            <w:vAlign w:val="bottom"/>
          </w:tcPr>
          <w:p w14:paraId="5A4B781E" w14:textId="77C45E91" w:rsidR="007B34B2" w:rsidRPr="00B85009" w:rsidRDefault="00DC7E16">
            <w:pPr>
              <w:jc w:val="right"/>
              <w:rPr>
                <w:rFonts w:ascii="Arial" w:hAnsi="Arial" w:cs="Arial"/>
                <w:sz w:val="16"/>
                <w:szCs w:val="16"/>
                <w:lang w:eastAsia="es-AR"/>
              </w:rPr>
            </w:pPr>
            <w:r>
              <w:rPr>
                <w:rFonts w:ascii="Arial" w:hAnsi="Arial" w:cs="Arial"/>
                <w:sz w:val="16"/>
                <w:szCs w:val="16"/>
                <w:lang w:eastAsia="es-AR"/>
              </w:rPr>
              <w:t>2.622.814</w:t>
            </w:r>
          </w:p>
        </w:tc>
        <w:tc>
          <w:tcPr>
            <w:tcW w:w="1134" w:type="dxa"/>
            <w:tcBorders>
              <w:top w:val="nil"/>
              <w:left w:val="nil"/>
              <w:bottom w:val="nil"/>
              <w:right w:val="nil"/>
            </w:tcBorders>
            <w:vAlign w:val="bottom"/>
          </w:tcPr>
          <w:p w14:paraId="1C4C09C4" w14:textId="3F2E5ECD" w:rsidR="007B34B2" w:rsidRPr="003D4ED0" w:rsidRDefault="00DC7E16">
            <w:pPr>
              <w:jc w:val="right"/>
              <w:rPr>
                <w:rFonts w:ascii="Arial" w:hAnsi="Arial" w:cs="Arial"/>
                <w:sz w:val="16"/>
                <w:szCs w:val="16"/>
                <w:lang w:eastAsia="es-AR"/>
              </w:rPr>
            </w:pPr>
            <w:r>
              <w:rPr>
                <w:rFonts w:ascii="Arial" w:hAnsi="Arial" w:cs="Arial"/>
                <w:sz w:val="16"/>
                <w:szCs w:val="16"/>
                <w:lang w:eastAsia="es-AR"/>
              </w:rPr>
              <w:t>451.878</w:t>
            </w:r>
          </w:p>
        </w:tc>
        <w:tc>
          <w:tcPr>
            <w:tcW w:w="1044" w:type="dxa"/>
            <w:tcBorders>
              <w:top w:val="nil"/>
              <w:left w:val="nil"/>
              <w:bottom w:val="nil"/>
              <w:right w:val="nil"/>
            </w:tcBorders>
            <w:vAlign w:val="bottom"/>
          </w:tcPr>
          <w:p w14:paraId="2C1F6924" w14:textId="06574299" w:rsidR="007B34B2" w:rsidRPr="00066653" w:rsidRDefault="00DC7E16">
            <w:pPr>
              <w:jc w:val="right"/>
              <w:rPr>
                <w:rFonts w:ascii="Arial" w:hAnsi="Arial" w:cs="Arial"/>
                <w:sz w:val="16"/>
                <w:szCs w:val="16"/>
                <w:lang w:eastAsia="es-AR"/>
              </w:rPr>
            </w:pPr>
            <w:r>
              <w:rPr>
                <w:rFonts w:ascii="Arial" w:hAnsi="Arial" w:cs="Arial"/>
                <w:sz w:val="16"/>
                <w:szCs w:val="16"/>
                <w:lang w:eastAsia="es-AR"/>
              </w:rPr>
              <w:t>2.871.655</w:t>
            </w:r>
          </w:p>
        </w:tc>
        <w:tc>
          <w:tcPr>
            <w:tcW w:w="1134" w:type="dxa"/>
            <w:tcBorders>
              <w:top w:val="nil"/>
              <w:left w:val="nil"/>
              <w:bottom w:val="nil"/>
              <w:right w:val="nil"/>
            </w:tcBorders>
            <w:vAlign w:val="bottom"/>
          </w:tcPr>
          <w:p w14:paraId="4C1141C0" w14:textId="3A5CB2C4" w:rsidR="007B34B2" w:rsidRPr="00066653" w:rsidRDefault="00DC7E16">
            <w:pPr>
              <w:jc w:val="right"/>
              <w:rPr>
                <w:rFonts w:ascii="Arial" w:hAnsi="Arial" w:cs="Arial"/>
                <w:sz w:val="16"/>
                <w:szCs w:val="16"/>
                <w:lang w:eastAsia="es-AR"/>
              </w:rPr>
            </w:pPr>
            <w:r>
              <w:rPr>
                <w:rFonts w:ascii="Arial" w:hAnsi="Arial" w:cs="Arial"/>
                <w:sz w:val="16"/>
                <w:szCs w:val="16"/>
                <w:lang w:eastAsia="es-AR"/>
              </w:rPr>
              <w:t>1.946.204</w:t>
            </w:r>
          </w:p>
        </w:tc>
        <w:tc>
          <w:tcPr>
            <w:tcW w:w="1137" w:type="dxa"/>
            <w:tcBorders>
              <w:top w:val="nil"/>
              <w:left w:val="nil"/>
              <w:bottom w:val="nil"/>
              <w:right w:val="nil"/>
            </w:tcBorders>
            <w:vAlign w:val="bottom"/>
          </w:tcPr>
          <w:p w14:paraId="4D143B04" w14:textId="3262311E" w:rsidR="007B34B2" w:rsidRPr="00066653" w:rsidRDefault="00DC7E16">
            <w:pPr>
              <w:jc w:val="right"/>
              <w:rPr>
                <w:rFonts w:ascii="Arial" w:hAnsi="Arial" w:cs="Arial"/>
                <w:sz w:val="16"/>
                <w:szCs w:val="16"/>
                <w:lang w:eastAsia="es-AR"/>
              </w:rPr>
            </w:pPr>
            <w:r>
              <w:rPr>
                <w:rFonts w:ascii="Arial" w:hAnsi="Arial" w:cs="Arial"/>
                <w:sz w:val="16"/>
                <w:szCs w:val="16"/>
                <w:lang w:eastAsia="es-AR"/>
              </w:rPr>
              <w:t>1.925.997</w:t>
            </w:r>
          </w:p>
        </w:tc>
        <w:tc>
          <w:tcPr>
            <w:tcW w:w="1131" w:type="dxa"/>
            <w:tcBorders>
              <w:top w:val="nil"/>
              <w:left w:val="nil"/>
              <w:bottom w:val="nil"/>
              <w:right w:val="nil"/>
            </w:tcBorders>
            <w:vAlign w:val="bottom"/>
          </w:tcPr>
          <w:p w14:paraId="1C28E13F" w14:textId="7F214B7B" w:rsidR="007B34B2" w:rsidRPr="00066653" w:rsidRDefault="00DC7E16">
            <w:pPr>
              <w:jc w:val="right"/>
              <w:rPr>
                <w:rFonts w:ascii="Arial" w:hAnsi="Arial" w:cs="Arial"/>
                <w:sz w:val="16"/>
                <w:szCs w:val="16"/>
                <w:lang w:eastAsia="es-AR"/>
              </w:rPr>
            </w:pPr>
            <w:r>
              <w:rPr>
                <w:rFonts w:ascii="Arial" w:hAnsi="Arial" w:cs="Arial"/>
                <w:sz w:val="16"/>
                <w:szCs w:val="16"/>
                <w:lang w:eastAsia="es-AR"/>
              </w:rPr>
              <w:t>9.818.548</w:t>
            </w:r>
          </w:p>
        </w:tc>
      </w:tr>
      <w:tr w:rsidR="00A4769B" w:rsidRPr="00EA7AC7" w14:paraId="0CEE6E84" w14:textId="77777777" w:rsidTr="006E1AF7">
        <w:trPr>
          <w:trHeight w:val="63"/>
        </w:trPr>
        <w:tc>
          <w:tcPr>
            <w:tcW w:w="2316" w:type="dxa"/>
            <w:tcBorders>
              <w:top w:val="nil"/>
              <w:left w:val="nil"/>
              <w:bottom w:val="nil"/>
              <w:right w:val="nil"/>
            </w:tcBorders>
            <w:vAlign w:val="bottom"/>
          </w:tcPr>
          <w:p w14:paraId="661ACE4A" w14:textId="77777777" w:rsidR="007B34B2" w:rsidRPr="001A10B5" w:rsidRDefault="007B34B2" w:rsidP="00BE5A48">
            <w:pPr>
              <w:rPr>
                <w:rFonts w:ascii="Arial" w:hAnsi="Arial" w:cs="Arial"/>
                <w:b/>
                <w:sz w:val="16"/>
                <w:szCs w:val="16"/>
                <w:lang w:eastAsia="es-AR"/>
              </w:rPr>
            </w:pPr>
          </w:p>
        </w:tc>
        <w:tc>
          <w:tcPr>
            <w:tcW w:w="1228" w:type="dxa"/>
            <w:tcBorders>
              <w:top w:val="nil"/>
              <w:left w:val="nil"/>
              <w:bottom w:val="nil"/>
              <w:right w:val="nil"/>
            </w:tcBorders>
            <w:vAlign w:val="bottom"/>
          </w:tcPr>
          <w:p w14:paraId="2D68DC3A" w14:textId="77777777" w:rsidR="007B34B2" w:rsidRPr="004708CB" w:rsidRDefault="007B34B2">
            <w:pPr>
              <w:jc w:val="right"/>
              <w:rPr>
                <w:rFonts w:ascii="Arial" w:hAnsi="Arial" w:cs="Arial"/>
                <w:sz w:val="16"/>
                <w:szCs w:val="16"/>
                <w:lang w:eastAsia="es-AR"/>
              </w:rPr>
            </w:pPr>
          </w:p>
        </w:tc>
        <w:tc>
          <w:tcPr>
            <w:tcW w:w="1130" w:type="dxa"/>
            <w:tcBorders>
              <w:top w:val="nil"/>
              <w:left w:val="nil"/>
              <w:bottom w:val="nil"/>
              <w:right w:val="nil"/>
            </w:tcBorders>
            <w:vAlign w:val="bottom"/>
          </w:tcPr>
          <w:p w14:paraId="2AD573C4" w14:textId="77777777" w:rsidR="007B34B2" w:rsidRPr="0012241E" w:rsidRDefault="007B34B2">
            <w:pPr>
              <w:jc w:val="right"/>
              <w:rPr>
                <w:rFonts w:ascii="Arial" w:hAnsi="Arial" w:cs="Arial"/>
                <w:sz w:val="16"/>
                <w:szCs w:val="16"/>
                <w:lang w:eastAsia="es-AR"/>
              </w:rPr>
            </w:pPr>
          </w:p>
        </w:tc>
        <w:tc>
          <w:tcPr>
            <w:tcW w:w="1134" w:type="dxa"/>
            <w:tcBorders>
              <w:top w:val="nil"/>
              <w:left w:val="nil"/>
              <w:bottom w:val="nil"/>
              <w:right w:val="nil"/>
            </w:tcBorders>
            <w:vAlign w:val="bottom"/>
          </w:tcPr>
          <w:p w14:paraId="59C6DFBF" w14:textId="77777777" w:rsidR="007B34B2" w:rsidRPr="00B85009" w:rsidRDefault="007B34B2">
            <w:pPr>
              <w:jc w:val="right"/>
              <w:rPr>
                <w:rFonts w:ascii="Arial" w:hAnsi="Arial" w:cs="Arial"/>
                <w:sz w:val="16"/>
                <w:szCs w:val="16"/>
                <w:lang w:eastAsia="es-AR"/>
              </w:rPr>
            </w:pPr>
          </w:p>
        </w:tc>
        <w:tc>
          <w:tcPr>
            <w:tcW w:w="1044" w:type="dxa"/>
            <w:tcBorders>
              <w:top w:val="nil"/>
              <w:left w:val="nil"/>
              <w:bottom w:val="nil"/>
              <w:right w:val="nil"/>
            </w:tcBorders>
            <w:vAlign w:val="bottom"/>
          </w:tcPr>
          <w:p w14:paraId="3D828F68" w14:textId="77777777" w:rsidR="007B34B2" w:rsidRPr="003D4ED0" w:rsidRDefault="007B34B2">
            <w:pPr>
              <w:jc w:val="right"/>
              <w:rPr>
                <w:rFonts w:ascii="Arial" w:hAnsi="Arial" w:cs="Arial"/>
                <w:sz w:val="16"/>
                <w:szCs w:val="16"/>
                <w:lang w:eastAsia="es-AR"/>
              </w:rPr>
            </w:pPr>
          </w:p>
        </w:tc>
        <w:tc>
          <w:tcPr>
            <w:tcW w:w="1134" w:type="dxa"/>
            <w:tcBorders>
              <w:top w:val="nil"/>
              <w:left w:val="nil"/>
              <w:bottom w:val="nil"/>
              <w:right w:val="nil"/>
            </w:tcBorders>
            <w:vAlign w:val="bottom"/>
          </w:tcPr>
          <w:p w14:paraId="54C46DA2" w14:textId="77777777" w:rsidR="007B34B2" w:rsidRPr="00066653" w:rsidRDefault="007B34B2">
            <w:pPr>
              <w:jc w:val="right"/>
              <w:rPr>
                <w:rFonts w:ascii="Arial" w:hAnsi="Arial" w:cs="Arial"/>
                <w:sz w:val="16"/>
                <w:szCs w:val="16"/>
                <w:lang w:eastAsia="es-AR"/>
              </w:rPr>
            </w:pPr>
          </w:p>
        </w:tc>
        <w:tc>
          <w:tcPr>
            <w:tcW w:w="1137" w:type="dxa"/>
            <w:tcBorders>
              <w:top w:val="nil"/>
              <w:left w:val="nil"/>
              <w:bottom w:val="nil"/>
              <w:right w:val="nil"/>
            </w:tcBorders>
            <w:vAlign w:val="bottom"/>
          </w:tcPr>
          <w:p w14:paraId="0EAECC6D" w14:textId="77777777" w:rsidR="007B34B2" w:rsidRPr="00066653" w:rsidRDefault="007B34B2">
            <w:pPr>
              <w:jc w:val="right"/>
              <w:rPr>
                <w:rFonts w:ascii="Arial" w:hAnsi="Arial" w:cs="Arial"/>
                <w:sz w:val="16"/>
                <w:szCs w:val="16"/>
                <w:lang w:eastAsia="es-AR"/>
              </w:rPr>
            </w:pPr>
          </w:p>
        </w:tc>
        <w:tc>
          <w:tcPr>
            <w:tcW w:w="1131" w:type="dxa"/>
            <w:tcBorders>
              <w:top w:val="nil"/>
              <w:left w:val="nil"/>
              <w:bottom w:val="nil"/>
              <w:right w:val="nil"/>
            </w:tcBorders>
            <w:vAlign w:val="bottom"/>
          </w:tcPr>
          <w:p w14:paraId="62E52CA4" w14:textId="77777777" w:rsidR="007B34B2" w:rsidRPr="00066653" w:rsidRDefault="007B34B2">
            <w:pPr>
              <w:jc w:val="right"/>
              <w:rPr>
                <w:rFonts w:ascii="Arial" w:hAnsi="Arial" w:cs="Arial"/>
                <w:sz w:val="16"/>
                <w:szCs w:val="16"/>
                <w:lang w:eastAsia="es-AR"/>
              </w:rPr>
            </w:pPr>
          </w:p>
        </w:tc>
      </w:tr>
      <w:tr w:rsidR="00A4769B" w:rsidRPr="00EA7AC7" w14:paraId="6CA11023" w14:textId="77777777" w:rsidTr="006E1AF7">
        <w:trPr>
          <w:trHeight w:val="256"/>
        </w:trPr>
        <w:tc>
          <w:tcPr>
            <w:tcW w:w="2316" w:type="dxa"/>
            <w:tcBorders>
              <w:top w:val="nil"/>
              <w:left w:val="nil"/>
              <w:bottom w:val="nil"/>
              <w:right w:val="nil"/>
            </w:tcBorders>
            <w:vAlign w:val="bottom"/>
          </w:tcPr>
          <w:p w14:paraId="321276C0" w14:textId="77777777" w:rsidR="007B34B2" w:rsidRPr="004708CB" w:rsidRDefault="007B34B2" w:rsidP="00BE5A48">
            <w:pPr>
              <w:rPr>
                <w:rFonts w:ascii="Arial" w:hAnsi="Arial" w:cs="Arial"/>
                <w:b/>
                <w:sz w:val="16"/>
                <w:szCs w:val="16"/>
                <w:lang w:eastAsia="es-AR"/>
              </w:rPr>
            </w:pPr>
            <w:r w:rsidRPr="001A10B5">
              <w:rPr>
                <w:rFonts w:ascii="Arial" w:hAnsi="Arial" w:cs="Arial"/>
                <w:b/>
                <w:sz w:val="16"/>
                <w:szCs w:val="16"/>
                <w:lang w:eastAsia="es-AR"/>
              </w:rPr>
              <w:t>Obligaciones negociables subordinadas</w:t>
            </w:r>
          </w:p>
        </w:tc>
        <w:tc>
          <w:tcPr>
            <w:tcW w:w="1228" w:type="dxa"/>
            <w:tcBorders>
              <w:top w:val="nil"/>
              <w:left w:val="nil"/>
              <w:bottom w:val="nil"/>
              <w:right w:val="nil"/>
            </w:tcBorders>
            <w:vAlign w:val="bottom"/>
          </w:tcPr>
          <w:p w14:paraId="09627174" w14:textId="3B59BC93" w:rsidR="007B34B2" w:rsidRPr="0012241E" w:rsidRDefault="00DC7E16">
            <w:pPr>
              <w:jc w:val="right"/>
              <w:rPr>
                <w:rFonts w:ascii="Arial" w:hAnsi="Arial" w:cs="Arial"/>
                <w:sz w:val="16"/>
                <w:szCs w:val="16"/>
                <w:lang w:eastAsia="es-AR"/>
              </w:rPr>
            </w:pPr>
            <w:r>
              <w:rPr>
                <w:rFonts w:ascii="Arial" w:hAnsi="Arial" w:cs="Arial"/>
                <w:sz w:val="16"/>
                <w:szCs w:val="16"/>
                <w:lang w:eastAsia="es-AR"/>
              </w:rPr>
              <w:t>-</w:t>
            </w:r>
          </w:p>
        </w:tc>
        <w:tc>
          <w:tcPr>
            <w:tcW w:w="1130" w:type="dxa"/>
            <w:tcBorders>
              <w:top w:val="nil"/>
              <w:left w:val="nil"/>
              <w:bottom w:val="nil"/>
              <w:right w:val="nil"/>
            </w:tcBorders>
            <w:vAlign w:val="bottom"/>
          </w:tcPr>
          <w:p w14:paraId="20A7307B" w14:textId="1AB434BE" w:rsidR="007B34B2" w:rsidRPr="00B85009" w:rsidRDefault="00DC7E16">
            <w:pPr>
              <w:jc w:val="right"/>
              <w:rPr>
                <w:rFonts w:ascii="Arial" w:hAnsi="Arial" w:cs="Arial"/>
                <w:sz w:val="16"/>
                <w:szCs w:val="16"/>
                <w:lang w:eastAsia="es-AR"/>
              </w:rPr>
            </w:pPr>
            <w:r>
              <w:rPr>
                <w:rFonts w:ascii="Arial" w:hAnsi="Arial" w:cs="Arial"/>
                <w:sz w:val="16"/>
                <w:szCs w:val="16"/>
                <w:lang w:eastAsia="es-AR"/>
              </w:rPr>
              <w:t>48.215</w:t>
            </w:r>
          </w:p>
        </w:tc>
        <w:tc>
          <w:tcPr>
            <w:tcW w:w="1134" w:type="dxa"/>
            <w:tcBorders>
              <w:top w:val="nil"/>
              <w:left w:val="nil"/>
              <w:bottom w:val="nil"/>
              <w:right w:val="nil"/>
            </w:tcBorders>
            <w:vAlign w:val="bottom"/>
          </w:tcPr>
          <w:p w14:paraId="48FBA125" w14:textId="0E89A13F" w:rsidR="007B34B2" w:rsidRPr="003D4ED0" w:rsidRDefault="00DC7E16">
            <w:pPr>
              <w:jc w:val="right"/>
              <w:rPr>
                <w:rFonts w:ascii="Arial" w:hAnsi="Arial" w:cs="Arial"/>
                <w:sz w:val="16"/>
                <w:szCs w:val="16"/>
                <w:lang w:eastAsia="es-AR"/>
              </w:rPr>
            </w:pPr>
            <w:r>
              <w:rPr>
                <w:rFonts w:ascii="Arial" w:hAnsi="Arial" w:cs="Arial"/>
                <w:sz w:val="16"/>
                <w:szCs w:val="16"/>
                <w:lang w:eastAsia="es-AR"/>
              </w:rPr>
              <w:t>28.490</w:t>
            </w:r>
          </w:p>
        </w:tc>
        <w:tc>
          <w:tcPr>
            <w:tcW w:w="1044" w:type="dxa"/>
            <w:tcBorders>
              <w:top w:val="nil"/>
              <w:left w:val="nil"/>
              <w:bottom w:val="nil"/>
              <w:right w:val="nil"/>
            </w:tcBorders>
            <w:vAlign w:val="bottom"/>
          </w:tcPr>
          <w:p w14:paraId="7861E6B3" w14:textId="0A4B50E6" w:rsidR="007B34B2" w:rsidRPr="00066653" w:rsidRDefault="00DC7E16">
            <w:pPr>
              <w:jc w:val="right"/>
              <w:rPr>
                <w:rFonts w:ascii="Arial" w:hAnsi="Arial" w:cs="Arial"/>
                <w:sz w:val="16"/>
                <w:szCs w:val="16"/>
                <w:lang w:eastAsia="es-AR"/>
              </w:rPr>
            </w:pPr>
            <w:r>
              <w:rPr>
                <w:rFonts w:ascii="Arial" w:hAnsi="Arial" w:cs="Arial"/>
                <w:sz w:val="16"/>
                <w:szCs w:val="16"/>
                <w:lang w:eastAsia="es-AR"/>
              </w:rPr>
              <w:t>1.424.132</w:t>
            </w:r>
          </w:p>
        </w:tc>
        <w:tc>
          <w:tcPr>
            <w:tcW w:w="1134" w:type="dxa"/>
            <w:tcBorders>
              <w:top w:val="nil"/>
              <w:left w:val="nil"/>
              <w:bottom w:val="nil"/>
              <w:right w:val="nil"/>
            </w:tcBorders>
            <w:vAlign w:val="bottom"/>
          </w:tcPr>
          <w:p w14:paraId="5EDC4E32" w14:textId="5728DE48" w:rsidR="007B34B2" w:rsidRPr="00066653" w:rsidRDefault="00DC7E16">
            <w:pPr>
              <w:jc w:val="right"/>
              <w:rPr>
                <w:rFonts w:ascii="Arial" w:hAnsi="Arial" w:cs="Arial"/>
                <w:sz w:val="16"/>
                <w:szCs w:val="16"/>
                <w:lang w:eastAsia="es-AR"/>
              </w:rPr>
            </w:pPr>
            <w:r>
              <w:rPr>
                <w:rFonts w:ascii="Arial" w:hAnsi="Arial" w:cs="Arial"/>
                <w:sz w:val="16"/>
                <w:szCs w:val="16"/>
                <w:lang w:eastAsia="es-AR"/>
              </w:rPr>
              <w:t>862.185</w:t>
            </w:r>
          </w:p>
        </w:tc>
        <w:tc>
          <w:tcPr>
            <w:tcW w:w="1137" w:type="dxa"/>
            <w:tcBorders>
              <w:top w:val="nil"/>
              <w:left w:val="nil"/>
              <w:bottom w:val="nil"/>
              <w:right w:val="nil"/>
            </w:tcBorders>
            <w:vAlign w:val="bottom"/>
          </w:tcPr>
          <w:p w14:paraId="44B0C707" w14:textId="161EF002" w:rsidR="007B34B2" w:rsidRPr="00066653" w:rsidRDefault="00DC7E16">
            <w:pPr>
              <w:jc w:val="right"/>
              <w:rPr>
                <w:rFonts w:ascii="Arial" w:hAnsi="Arial" w:cs="Arial"/>
                <w:sz w:val="16"/>
                <w:szCs w:val="16"/>
                <w:lang w:eastAsia="es-AR"/>
              </w:rPr>
            </w:pPr>
            <w:r>
              <w:rPr>
                <w:rFonts w:ascii="Arial" w:hAnsi="Arial" w:cs="Arial"/>
                <w:sz w:val="16"/>
                <w:szCs w:val="16"/>
                <w:lang w:eastAsia="es-AR"/>
              </w:rPr>
              <w:t>-</w:t>
            </w:r>
          </w:p>
        </w:tc>
        <w:tc>
          <w:tcPr>
            <w:tcW w:w="1131" w:type="dxa"/>
            <w:tcBorders>
              <w:top w:val="nil"/>
              <w:left w:val="nil"/>
              <w:bottom w:val="nil"/>
              <w:right w:val="nil"/>
            </w:tcBorders>
            <w:vAlign w:val="bottom"/>
          </w:tcPr>
          <w:p w14:paraId="4CD042D7" w14:textId="6455AEF9" w:rsidR="007B34B2" w:rsidRPr="00066653" w:rsidRDefault="00DC7E16">
            <w:pPr>
              <w:jc w:val="right"/>
              <w:rPr>
                <w:rFonts w:ascii="Arial" w:hAnsi="Arial" w:cs="Arial"/>
                <w:sz w:val="16"/>
                <w:szCs w:val="16"/>
                <w:lang w:eastAsia="es-AR"/>
              </w:rPr>
            </w:pPr>
            <w:r>
              <w:rPr>
                <w:rFonts w:ascii="Arial" w:hAnsi="Arial" w:cs="Arial"/>
                <w:sz w:val="16"/>
                <w:szCs w:val="16"/>
                <w:lang w:eastAsia="es-AR"/>
              </w:rPr>
              <w:t>2.363.022</w:t>
            </w:r>
          </w:p>
        </w:tc>
      </w:tr>
      <w:tr w:rsidR="00A4769B" w:rsidRPr="00EA7AC7" w14:paraId="1C07AE77" w14:textId="77777777" w:rsidTr="006E1AF7">
        <w:trPr>
          <w:trHeight w:val="63"/>
        </w:trPr>
        <w:tc>
          <w:tcPr>
            <w:tcW w:w="2316" w:type="dxa"/>
            <w:tcBorders>
              <w:top w:val="nil"/>
              <w:left w:val="nil"/>
              <w:bottom w:val="single" w:sz="4" w:space="0" w:color="auto"/>
              <w:right w:val="nil"/>
            </w:tcBorders>
            <w:vAlign w:val="bottom"/>
          </w:tcPr>
          <w:p w14:paraId="79F50D57" w14:textId="77777777" w:rsidR="007B34B2" w:rsidRPr="001A10B5" w:rsidRDefault="007B34B2" w:rsidP="00BE5A48">
            <w:pPr>
              <w:rPr>
                <w:rFonts w:ascii="Arial" w:hAnsi="Arial" w:cs="Arial"/>
                <w:sz w:val="16"/>
                <w:szCs w:val="16"/>
                <w:lang w:eastAsia="es-AR"/>
              </w:rPr>
            </w:pPr>
          </w:p>
        </w:tc>
        <w:tc>
          <w:tcPr>
            <w:tcW w:w="1228" w:type="dxa"/>
            <w:tcBorders>
              <w:top w:val="nil"/>
              <w:left w:val="nil"/>
              <w:bottom w:val="single" w:sz="4" w:space="0" w:color="auto"/>
              <w:right w:val="nil"/>
            </w:tcBorders>
            <w:vAlign w:val="bottom"/>
          </w:tcPr>
          <w:p w14:paraId="490DC1E9" w14:textId="77777777" w:rsidR="007B34B2" w:rsidRPr="004708CB" w:rsidRDefault="007B34B2" w:rsidP="006E1AF7">
            <w:pPr>
              <w:jc w:val="right"/>
              <w:rPr>
                <w:rFonts w:ascii="Arial" w:hAnsi="Arial" w:cs="Arial"/>
                <w:sz w:val="16"/>
                <w:szCs w:val="16"/>
                <w:lang w:eastAsia="es-AR"/>
              </w:rPr>
            </w:pPr>
          </w:p>
        </w:tc>
        <w:tc>
          <w:tcPr>
            <w:tcW w:w="1130" w:type="dxa"/>
            <w:tcBorders>
              <w:top w:val="nil"/>
              <w:left w:val="nil"/>
              <w:bottom w:val="single" w:sz="4" w:space="0" w:color="auto"/>
              <w:right w:val="nil"/>
            </w:tcBorders>
            <w:vAlign w:val="bottom"/>
          </w:tcPr>
          <w:p w14:paraId="2FD4D280" w14:textId="77777777" w:rsidR="007B34B2" w:rsidRPr="0012241E" w:rsidRDefault="007B34B2" w:rsidP="006E1AF7">
            <w:pPr>
              <w:jc w:val="right"/>
              <w:rPr>
                <w:rFonts w:ascii="Arial" w:hAnsi="Arial" w:cs="Arial"/>
                <w:sz w:val="16"/>
                <w:szCs w:val="16"/>
                <w:lang w:eastAsia="es-AR"/>
              </w:rPr>
            </w:pPr>
          </w:p>
        </w:tc>
        <w:tc>
          <w:tcPr>
            <w:tcW w:w="1134" w:type="dxa"/>
            <w:tcBorders>
              <w:top w:val="nil"/>
              <w:left w:val="nil"/>
              <w:bottom w:val="single" w:sz="4" w:space="0" w:color="auto"/>
              <w:right w:val="nil"/>
            </w:tcBorders>
            <w:vAlign w:val="bottom"/>
          </w:tcPr>
          <w:p w14:paraId="129C3D96" w14:textId="77777777" w:rsidR="007B34B2" w:rsidRPr="00B85009" w:rsidRDefault="007B34B2" w:rsidP="006E1AF7">
            <w:pPr>
              <w:jc w:val="right"/>
              <w:rPr>
                <w:rFonts w:ascii="Arial" w:hAnsi="Arial" w:cs="Arial"/>
                <w:sz w:val="16"/>
                <w:szCs w:val="16"/>
                <w:lang w:eastAsia="es-AR"/>
              </w:rPr>
            </w:pPr>
          </w:p>
        </w:tc>
        <w:tc>
          <w:tcPr>
            <w:tcW w:w="1044" w:type="dxa"/>
            <w:tcBorders>
              <w:top w:val="nil"/>
              <w:left w:val="nil"/>
              <w:bottom w:val="single" w:sz="4" w:space="0" w:color="auto"/>
              <w:right w:val="nil"/>
            </w:tcBorders>
            <w:vAlign w:val="bottom"/>
          </w:tcPr>
          <w:p w14:paraId="0EF3691B" w14:textId="77777777" w:rsidR="007B34B2" w:rsidRPr="003D4ED0" w:rsidRDefault="007B34B2" w:rsidP="006E1AF7">
            <w:pPr>
              <w:jc w:val="right"/>
              <w:rPr>
                <w:rFonts w:ascii="Arial" w:hAnsi="Arial" w:cs="Arial"/>
                <w:sz w:val="16"/>
                <w:szCs w:val="16"/>
                <w:lang w:eastAsia="es-AR"/>
              </w:rPr>
            </w:pPr>
          </w:p>
        </w:tc>
        <w:tc>
          <w:tcPr>
            <w:tcW w:w="1134" w:type="dxa"/>
            <w:tcBorders>
              <w:top w:val="nil"/>
              <w:left w:val="nil"/>
              <w:bottom w:val="single" w:sz="4" w:space="0" w:color="auto"/>
              <w:right w:val="nil"/>
            </w:tcBorders>
            <w:vAlign w:val="bottom"/>
          </w:tcPr>
          <w:p w14:paraId="2B13DA78" w14:textId="77777777" w:rsidR="007B34B2" w:rsidRPr="00066653" w:rsidRDefault="007B34B2" w:rsidP="006E1AF7">
            <w:pPr>
              <w:jc w:val="right"/>
              <w:rPr>
                <w:rFonts w:ascii="Arial" w:hAnsi="Arial" w:cs="Arial"/>
                <w:sz w:val="16"/>
                <w:szCs w:val="16"/>
                <w:lang w:eastAsia="es-AR"/>
              </w:rPr>
            </w:pPr>
          </w:p>
        </w:tc>
        <w:tc>
          <w:tcPr>
            <w:tcW w:w="1137" w:type="dxa"/>
            <w:tcBorders>
              <w:top w:val="nil"/>
              <w:left w:val="nil"/>
              <w:bottom w:val="single" w:sz="4" w:space="0" w:color="auto"/>
              <w:right w:val="nil"/>
            </w:tcBorders>
            <w:vAlign w:val="bottom"/>
          </w:tcPr>
          <w:p w14:paraId="33B10722" w14:textId="77777777" w:rsidR="007B34B2" w:rsidRPr="00066653" w:rsidRDefault="007B34B2" w:rsidP="006E1AF7">
            <w:pPr>
              <w:jc w:val="right"/>
              <w:rPr>
                <w:rFonts w:ascii="Arial" w:hAnsi="Arial" w:cs="Arial"/>
                <w:sz w:val="16"/>
                <w:szCs w:val="16"/>
                <w:lang w:eastAsia="es-AR"/>
              </w:rPr>
            </w:pPr>
          </w:p>
        </w:tc>
        <w:tc>
          <w:tcPr>
            <w:tcW w:w="1131" w:type="dxa"/>
            <w:tcBorders>
              <w:top w:val="nil"/>
              <w:left w:val="nil"/>
              <w:bottom w:val="single" w:sz="4" w:space="0" w:color="auto"/>
              <w:right w:val="nil"/>
            </w:tcBorders>
            <w:vAlign w:val="bottom"/>
          </w:tcPr>
          <w:p w14:paraId="296B7F84" w14:textId="77777777" w:rsidR="007B34B2" w:rsidRPr="00066653" w:rsidRDefault="007B34B2" w:rsidP="006E1AF7">
            <w:pPr>
              <w:jc w:val="right"/>
              <w:rPr>
                <w:rFonts w:ascii="Arial" w:hAnsi="Arial" w:cs="Arial"/>
                <w:sz w:val="16"/>
                <w:szCs w:val="16"/>
                <w:lang w:eastAsia="es-AR"/>
              </w:rPr>
            </w:pPr>
          </w:p>
        </w:tc>
      </w:tr>
      <w:tr w:rsidR="004D5C01" w:rsidRPr="00EA7AC7" w14:paraId="62F64FE7" w14:textId="77777777" w:rsidTr="006E1AF7">
        <w:trPr>
          <w:trHeight w:val="191"/>
        </w:trPr>
        <w:tc>
          <w:tcPr>
            <w:tcW w:w="2316" w:type="dxa"/>
            <w:tcBorders>
              <w:top w:val="single" w:sz="4" w:space="0" w:color="auto"/>
              <w:left w:val="nil"/>
              <w:right w:val="nil"/>
            </w:tcBorders>
            <w:vAlign w:val="center"/>
          </w:tcPr>
          <w:p w14:paraId="6DBCD7F4" w14:textId="77777777" w:rsidR="004D5C01" w:rsidRPr="00EA7AC7" w:rsidRDefault="004D5C01" w:rsidP="004D5C01">
            <w:pPr>
              <w:jc w:val="center"/>
              <w:rPr>
                <w:rFonts w:ascii="Arial" w:hAnsi="Arial" w:cs="Arial"/>
                <w:b/>
                <w:sz w:val="16"/>
                <w:szCs w:val="16"/>
                <w:lang w:eastAsia="es-AR"/>
              </w:rPr>
            </w:pPr>
            <w:r w:rsidRPr="00EA7AC7">
              <w:rPr>
                <w:rFonts w:ascii="Arial" w:hAnsi="Arial" w:cs="Arial"/>
                <w:b/>
                <w:sz w:val="16"/>
                <w:szCs w:val="16"/>
                <w:lang w:eastAsia="es-AR"/>
              </w:rPr>
              <w:t>TOTAL</w:t>
            </w:r>
          </w:p>
        </w:tc>
        <w:tc>
          <w:tcPr>
            <w:tcW w:w="1228" w:type="dxa"/>
            <w:tcBorders>
              <w:top w:val="single" w:sz="4" w:space="0" w:color="auto"/>
              <w:left w:val="nil"/>
              <w:right w:val="nil"/>
            </w:tcBorders>
            <w:vAlign w:val="bottom"/>
          </w:tcPr>
          <w:p w14:paraId="00B5ABD9" w14:textId="3A9060AA" w:rsidR="004D5C01" w:rsidRPr="00EA7AC7" w:rsidRDefault="004D5C01" w:rsidP="006E1AF7">
            <w:pPr>
              <w:jc w:val="right"/>
              <w:rPr>
                <w:rFonts w:ascii="Arial" w:hAnsi="Arial" w:cs="Arial"/>
                <w:b/>
                <w:sz w:val="16"/>
                <w:szCs w:val="16"/>
                <w:lang w:eastAsia="es-AR"/>
              </w:rPr>
            </w:pPr>
            <w:r>
              <w:rPr>
                <w:rFonts w:ascii="Arial" w:hAnsi="Arial" w:cs="Arial"/>
                <w:b/>
                <w:bCs/>
                <w:sz w:val="16"/>
                <w:szCs w:val="16"/>
              </w:rPr>
              <w:t xml:space="preserve">91.319.026 </w:t>
            </w:r>
          </w:p>
        </w:tc>
        <w:tc>
          <w:tcPr>
            <w:tcW w:w="1130" w:type="dxa"/>
            <w:tcBorders>
              <w:top w:val="single" w:sz="4" w:space="0" w:color="auto"/>
              <w:left w:val="nil"/>
              <w:right w:val="nil"/>
            </w:tcBorders>
            <w:vAlign w:val="bottom"/>
          </w:tcPr>
          <w:p w14:paraId="548E4F37" w14:textId="40678775" w:rsidR="004D5C01" w:rsidRPr="00EA7AC7" w:rsidRDefault="004D5C01" w:rsidP="006E1AF7">
            <w:pPr>
              <w:jc w:val="right"/>
              <w:rPr>
                <w:rFonts w:ascii="Arial" w:hAnsi="Arial" w:cs="Arial"/>
                <w:b/>
                <w:sz w:val="16"/>
                <w:szCs w:val="16"/>
                <w:lang w:eastAsia="es-AR"/>
              </w:rPr>
            </w:pPr>
            <w:r>
              <w:rPr>
                <w:rFonts w:ascii="Arial" w:hAnsi="Arial" w:cs="Arial"/>
                <w:b/>
                <w:bCs/>
                <w:sz w:val="16"/>
                <w:szCs w:val="16"/>
              </w:rPr>
              <w:t xml:space="preserve">10.967.544 </w:t>
            </w:r>
          </w:p>
        </w:tc>
        <w:tc>
          <w:tcPr>
            <w:tcW w:w="1134" w:type="dxa"/>
            <w:tcBorders>
              <w:top w:val="single" w:sz="4" w:space="0" w:color="auto"/>
              <w:left w:val="nil"/>
              <w:right w:val="nil"/>
            </w:tcBorders>
            <w:vAlign w:val="bottom"/>
          </w:tcPr>
          <w:p w14:paraId="7281D156" w14:textId="0C4E44D4" w:rsidR="004D5C01" w:rsidRPr="00EA7AC7" w:rsidRDefault="004D5C01" w:rsidP="006E1AF7">
            <w:pPr>
              <w:jc w:val="right"/>
              <w:rPr>
                <w:rFonts w:ascii="Arial" w:hAnsi="Arial" w:cs="Arial"/>
                <w:b/>
                <w:sz w:val="16"/>
                <w:szCs w:val="16"/>
                <w:lang w:eastAsia="es-AR"/>
              </w:rPr>
            </w:pPr>
            <w:r>
              <w:rPr>
                <w:rFonts w:ascii="Arial" w:hAnsi="Arial" w:cs="Arial"/>
                <w:b/>
                <w:bCs/>
                <w:sz w:val="16"/>
                <w:szCs w:val="16"/>
              </w:rPr>
              <w:t xml:space="preserve">5.227.140 </w:t>
            </w:r>
          </w:p>
        </w:tc>
        <w:tc>
          <w:tcPr>
            <w:tcW w:w="1044" w:type="dxa"/>
            <w:tcBorders>
              <w:top w:val="single" w:sz="4" w:space="0" w:color="auto"/>
              <w:left w:val="nil"/>
              <w:right w:val="nil"/>
            </w:tcBorders>
            <w:vAlign w:val="bottom"/>
          </w:tcPr>
          <w:p w14:paraId="7948CC2C" w14:textId="257F1891" w:rsidR="004D5C01" w:rsidRPr="00EA7AC7" w:rsidRDefault="004D5C01" w:rsidP="006E1AF7">
            <w:pPr>
              <w:jc w:val="right"/>
              <w:rPr>
                <w:rFonts w:ascii="Arial" w:hAnsi="Arial" w:cs="Arial"/>
                <w:b/>
                <w:sz w:val="16"/>
                <w:szCs w:val="16"/>
                <w:lang w:eastAsia="es-AR"/>
              </w:rPr>
            </w:pPr>
            <w:r>
              <w:rPr>
                <w:rFonts w:ascii="Arial" w:hAnsi="Arial" w:cs="Arial"/>
                <w:b/>
                <w:bCs/>
                <w:sz w:val="16"/>
                <w:szCs w:val="16"/>
              </w:rPr>
              <w:t xml:space="preserve">5.338.909 </w:t>
            </w:r>
          </w:p>
        </w:tc>
        <w:tc>
          <w:tcPr>
            <w:tcW w:w="1134" w:type="dxa"/>
            <w:tcBorders>
              <w:top w:val="single" w:sz="4" w:space="0" w:color="auto"/>
              <w:left w:val="nil"/>
              <w:right w:val="nil"/>
            </w:tcBorders>
            <w:vAlign w:val="bottom"/>
          </w:tcPr>
          <w:p w14:paraId="78CD9E9B" w14:textId="6E0EFAA4" w:rsidR="004D5C01" w:rsidRPr="00EA7AC7" w:rsidRDefault="004D5C01" w:rsidP="006E1AF7">
            <w:pPr>
              <w:jc w:val="right"/>
              <w:rPr>
                <w:rFonts w:ascii="Arial" w:hAnsi="Arial" w:cs="Arial"/>
                <w:b/>
                <w:sz w:val="16"/>
                <w:szCs w:val="16"/>
                <w:lang w:eastAsia="es-AR"/>
              </w:rPr>
            </w:pPr>
            <w:r>
              <w:rPr>
                <w:rFonts w:ascii="Arial" w:hAnsi="Arial" w:cs="Arial"/>
                <w:b/>
                <w:bCs/>
                <w:sz w:val="16"/>
                <w:szCs w:val="16"/>
              </w:rPr>
              <w:t xml:space="preserve">3.691.764 </w:t>
            </w:r>
          </w:p>
        </w:tc>
        <w:tc>
          <w:tcPr>
            <w:tcW w:w="1137" w:type="dxa"/>
            <w:tcBorders>
              <w:top w:val="single" w:sz="4" w:space="0" w:color="auto"/>
              <w:left w:val="nil"/>
              <w:right w:val="nil"/>
            </w:tcBorders>
            <w:vAlign w:val="bottom"/>
          </w:tcPr>
          <w:p w14:paraId="034A8C6F" w14:textId="4246A516" w:rsidR="004D5C01" w:rsidRPr="00EA7AC7" w:rsidRDefault="004D5C01" w:rsidP="006E1AF7">
            <w:pPr>
              <w:jc w:val="right"/>
              <w:rPr>
                <w:rFonts w:ascii="Arial" w:hAnsi="Arial" w:cs="Arial"/>
                <w:b/>
                <w:sz w:val="16"/>
                <w:szCs w:val="16"/>
                <w:lang w:eastAsia="es-AR"/>
              </w:rPr>
            </w:pPr>
            <w:r>
              <w:rPr>
                <w:rFonts w:ascii="Arial" w:hAnsi="Arial" w:cs="Arial"/>
                <w:b/>
                <w:bCs/>
                <w:sz w:val="16"/>
                <w:szCs w:val="16"/>
              </w:rPr>
              <w:t xml:space="preserve">2.767.667 </w:t>
            </w:r>
          </w:p>
        </w:tc>
        <w:tc>
          <w:tcPr>
            <w:tcW w:w="1131" w:type="dxa"/>
            <w:tcBorders>
              <w:top w:val="single" w:sz="4" w:space="0" w:color="auto"/>
              <w:left w:val="nil"/>
              <w:right w:val="nil"/>
            </w:tcBorders>
            <w:vAlign w:val="bottom"/>
          </w:tcPr>
          <w:p w14:paraId="5DFA35FF" w14:textId="7E8390E4" w:rsidR="004D5C01" w:rsidRPr="00EA7AC7" w:rsidRDefault="004D5C01" w:rsidP="006E1AF7">
            <w:pPr>
              <w:jc w:val="right"/>
              <w:rPr>
                <w:rFonts w:ascii="Arial" w:hAnsi="Arial" w:cs="Arial"/>
                <w:b/>
                <w:sz w:val="16"/>
                <w:szCs w:val="16"/>
                <w:lang w:eastAsia="es-AR"/>
              </w:rPr>
            </w:pPr>
            <w:r>
              <w:rPr>
                <w:rFonts w:ascii="Arial" w:hAnsi="Arial" w:cs="Arial"/>
                <w:b/>
                <w:bCs/>
                <w:sz w:val="16"/>
                <w:szCs w:val="16"/>
              </w:rPr>
              <w:t xml:space="preserve">119.312.050 </w:t>
            </w:r>
          </w:p>
        </w:tc>
      </w:tr>
    </w:tbl>
    <w:p w14:paraId="2B1C5B05" w14:textId="6E8EBF9F" w:rsidR="00860C48" w:rsidRPr="00701F32" w:rsidRDefault="00860C48" w:rsidP="008962C9">
      <w:pPr>
        <w:rPr>
          <w:lang w:val="en-US"/>
        </w:rPr>
      </w:pPr>
    </w:p>
    <w:p w14:paraId="79DC9D6A" w14:textId="77777777" w:rsidR="00860C48" w:rsidRPr="00701F32" w:rsidRDefault="00860C48" w:rsidP="008962C9">
      <w:pPr>
        <w:rPr>
          <w:lang w:val="en-US"/>
        </w:rPr>
      </w:pPr>
    </w:p>
    <w:p w14:paraId="1F8FDA1B" w14:textId="77777777" w:rsidR="007A7EC4" w:rsidRPr="00701F32" w:rsidRDefault="007A7EC4" w:rsidP="008962C9">
      <w:pPr>
        <w:rPr>
          <w:lang w:val="en-US"/>
        </w:rPr>
        <w:sectPr w:rsidR="007A7EC4" w:rsidRPr="00701F32" w:rsidSect="00425F99">
          <w:headerReference w:type="default" r:id="rId60"/>
          <w:pgSz w:w="11907" w:h="16839" w:code="9"/>
          <w:pgMar w:top="1418" w:right="1701" w:bottom="1418" w:left="1701" w:header="567" w:footer="0" w:gutter="0"/>
          <w:paperSrc w:first="256" w:other="256"/>
          <w:cols w:space="720"/>
          <w:docGrid w:linePitch="326"/>
        </w:sectPr>
      </w:pPr>
    </w:p>
    <w:tbl>
      <w:tblPr>
        <w:tblStyle w:val="Tablaconcuadrcula"/>
        <w:tblW w:w="10356" w:type="dxa"/>
        <w:tblInd w:w="-431" w:type="dxa"/>
        <w:tblLayout w:type="fixed"/>
        <w:tblLook w:val="04A0" w:firstRow="1" w:lastRow="0" w:firstColumn="1" w:lastColumn="0" w:noHBand="0" w:noVBand="1"/>
      </w:tblPr>
      <w:tblGrid>
        <w:gridCol w:w="3545"/>
        <w:gridCol w:w="1047"/>
        <w:gridCol w:w="1079"/>
        <w:gridCol w:w="1122"/>
        <w:gridCol w:w="1275"/>
        <w:gridCol w:w="1147"/>
        <w:gridCol w:w="1134"/>
        <w:gridCol w:w="7"/>
      </w:tblGrid>
      <w:tr w:rsidR="00A179F3" w:rsidRPr="007B34B2" w14:paraId="6A3710BE" w14:textId="77777777" w:rsidTr="00083AEA">
        <w:trPr>
          <w:gridAfter w:val="1"/>
          <w:wAfter w:w="7" w:type="dxa"/>
        </w:trPr>
        <w:tc>
          <w:tcPr>
            <w:tcW w:w="3545" w:type="dxa"/>
            <w:vMerge w:val="restart"/>
            <w:tcBorders>
              <w:top w:val="single" w:sz="4" w:space="0" w:color="auto"/>
              <w:left w:val="single" w:sz="4" w:space="0" w:color="auto"/>
              <w:bottom w:val="single" w:sz="4" w:space="0" w:color="auto"/>
            </w:tcBorders>
            <w:shd w:val="clear" w:color="auto" w:fill="BFBFBF" w:themeFill="background1" w:themeFillShade="BF"/>
            <w:vAlign w:val="center"/>
          </w:tcPr>
          <w:p w14:paraId="54403B9C" w14:textId="71494E3E" w:rsidR="007B34B2" w:rsidRPr="00A179F3" w:rsidRDefault="007B34B2" w:rsidP="00A179F3">
            <w:pPr>
              <w:jc w:val="center"/>
              <w:rPr>
                <w:rFonts w:ascii="Arial" w:hAnsi="Arial" w:cs="Arial"/>
                <w:b/>
                <w:sz w:val="16"/>
                <w:szCs w:val="18"/>
                <w:lang w:val="en-US"/>
              </w:rPr>
            </w:pPr>
            <w:r w:rsidRPr="00A179F3">
              <w:rPr>
                <w:rFonts w:ascii="Arial" w:hAnsi="Arial" w:cs="Arial"/>
                <w:b/>
                <w:sz w:val="16"/>
                <w:szCs w:val="18"/>
                <w:lang w:val="en-US"/>
              </w:rPr>
              <w:t>Concepto</w:t>
            </w:r>
          </w:p>
        </w:tc>
        <w:tc>
          <w:tcPr>
            <w:tcW w:w="1047" w:type="dxa"/>
            <w:vMerge w:val="restart"/>
            <w:tcBorders>
              <w:top w:val="single" w:sz="4" w:space="0" w:color="auto"/>
              <w:bottom w:val="single" w:sz="4" w:space="0" w:color="auto"/>
            </w:tcBorders>
            <w:shd w:val="clear" w:color="auto" w:fill="BFBFBF" w:themeFill="background1" w:themeFillShade="BF"/>
            <w:vAlign w:val="center"/>
          </w:tcPr>
          <w:p w14:paraId="3F3BAED5" w14:textId="102F30BB" w:rsidR="007B34B2" w:rsidRPr="00A179F3" w:rsidRDefault="007B34B2" w:rsidP="00A179F3">
            <w:pPr>
              <w:jc w:val="center"/>
              <w:rPr>
                <w:rFonts w:ascii="Arial" w:hAnsi="Arial" w:cs="Arial"/>
                <w:b/>
                <w:sz w:val="16"/>
                <w:szCs w:val="18"/>
              </w:rPr>
            </w:pPr>
            <w:r w:rsidRPr="00A179F3">
              <w:rPr>
                <w:rFonts w:ascii="Arial" w:hAnsi="Arial" w:cs="Arial"/>
                <w:b/>
                <w:sz w:val="16"/>
                <w:szCs w:val="18"/>
              </w:rPr>
              <w:t>Saldo al comienzo del ejercicio</w:t>
            </w:r>
          </w:p>
        </w:tc>
        <w:tc>
          <w:tcPr>
            <w:tcW w:w="1079" w:type="dxa"/>
            <w:vMerge w:val="restart"/>
            <w:tcBorders>
              <w:top w:val="single" w:sz="4" w:space="0" w:color="auto"/>
              <w:bottom w:val="single" w:sz="4" w:space="0" w:color="auto"/>
            </w:tcBorders>
            <w:shd w:val="clear" w:color="auto" w:fill="BFBFBF" w:themeFill="background1" w:themeFillShade="BF"/>
            <w:vAlign w:val="center"/>
          </w:tcPr>
          <w:p w14:paraId="6FAEEF14" w14:textId="2A637D91" w:rsidR="007B34B2" w:rsidRPr="00A179F3" w:rsidRDefault="007B34B2" w:rsidP="00A179F3">
            <w:pPr>
              <w:jc w:val="center"/>
              <w:rPr>
                <w:rFonts w:ascii="Arial" w:hAnsi="Arial" w:cs="Arial"/>
                <w:b/>
                <w:sz w:val="16"/>
                <w:szCs w:val="18"/>
              </w:rPr>
            </w:pPr>
            <w:r w:rsidRPr="00A179F3">
              <w:rPr>
                <w:rFonts w:ascii="Arial" w:hAnsi="Arial" w:cs="Arial"/>
                <w:b/>
                <w:sz w:val="16"/>
                <w:szCs w:val="18"/>
              </w:rPr>
              <w:t>Aumentos</w:t>
            </w:r>
          </w:p>
        </w:tc>
        <w:tc>
          <w:tcPr>
            <w:tcW w:w="2397" w:type="dxa"/>
            <w:gridSpan w:val="2"/>
            <w:tcBorders>
              <w:top w:val="single" w:sz="4" w:space="0" w:color="auto"/>
              <w:bottom w:val="single" w:sz="4" w:space="0" w:color="auto"/>
            </w:tcBorders>
            <w:shd w:val="clear" w:color="auto" w:fill="BFBFBF" w:themeFill="background1" w:themeFillShade="BF"/>
            <w:vAlign w:val="center"/>
          </w:tcPr>
          <w:p w14:paraId="73E9218D" w14:textId="2092E354" w:rsidR="007B34B2" w:rsidRPr="00A179F3" w:rsidRDefault="007B34B2" w:rsidP="00A179F3">
            <w:pPr>
              <w:jc w:val="center"/>
              <w:rPr>
                <w:rFonts w:ascii="Arial" w:hAnsi="Arial" w:cs="Arial"/>
                <w:b/>
                <w:sz w:val="16"/>
                <w:szCs w:val="18"/>
              </w:rPr>
            </w:pPr>
            <w:r w:rsidRPr="00A179F3">
              <w:rPr>
                <w:rFonts w:ascii="Arial" w:hAnsi="Arial" w:cs="Arial"/>
                <w:b/>
                <w:sz w:val="16"/>
                <w:szCs w:val="18"/>
              </w:rPr>
              <w:t>Disminuciones</w:t>
            </w:r>
          </w:p>
        </w:tc>
        <w:tc>
          <w:tcPr>
            <w:tcW w:w="1147" w:type="dxa"/>
            <w:vMerge w:val="restart"/>
            <w:tcBorders>
              <w:top w:val="single" w:sz="4" w:space="0" w:color="auto"/>
              <w:bottom w:val="single" w:sz="4" w:space="0" w:color="auto"/>
            </w:tcBorders>
            <w:shd w:val="clear" w:color="auto" w:fill="BFBFBF" w:themeFill="background1" w:themeFillShade="BF"/>
            <w:vAlign w:val="center"/>
          </w:tcPr>
          <w:p w14:paraId="51B922D8" w14:textId="7EA5BFF0" w:rsidR="007B34B2" w:rsidRPr="00A179F3" w:rsidRDefault="00083AEA" w:rsidP="00083AEA">
            <w:pPr>
              <w:jc w:val="center"/>
              <w:rPr>
                <w:rFonts w:ascii="Arial" w:hAnsi="Arial" w:cs="Arial"/>
                <w:b/>
                <w:sz w:val="16"/>
                <w:szCs w:val="18"/>
              </w:rPr>
            </w:pPr>
            <w:r>
              <w:rPr>
                <w:rFonts w:ascii="Arial" w:hAnsi="Arial" w:cs="Arial"/>
                <w:b/>
                <w:sz w:val="16"/>
                <w:szCs w:val="18"/>
              </w:rPr>
              <w:t xml:space="preserve">Saldo al </w:t>
            </w:r>
            <w:r w:rsidR="003C2633">
              <w:rPr>
                <w:rFonts w:ascii="Arial" w:hAnsi="Arial" w:cs="Arial"/>
                <w:b/>
                <w:sz w:val="16"/>
                <w:szCs w:val="18"/>
              </w:rPr>
              <w:t>3</w:t>
            </w:r>
            <w:r w:rsidR="0023536E">
              <w:rPr>
                <w:rFonts w:ascii="Arial" w:hAnsi="Arial" w:cs="Arial"/>
                <w:b/>
                <w:sz w:val="16"/>
                <w:szCs w:val="18"/>
              </w:rPr>
              <w:t>1</w:t>
            </w:r>
            <w:r w:rsidR="003C2633">
              <w:rPr>
                <w:rFonts w:ascii="Arial" w:hAnsi="Arial" w:cs="Arial"/>
                <w:b/>
                <w:sz w:val="16"/>
                <w:szCs w:val="18"/>
              </w:rPr>
              <w:t>/</w:t>
            </w:r>
            <w:r w:rsidR="0023536E">
              <w:rPr>
                <w:rFonts w:ascii="Arial" w:hAnsi="Arial" w:cs="Arial"/>
                <w:b/>
                <w:sz w:val="16"/>
                <w:szCs w:val="18"/>
              </w:rPr>
              <w:t>12</w:t>
            </w:r>
            <w:r w:rsidR="003C2633">
              <w:rPr>
                <w:rFonts w:ascii="Arial" w:hAnsi="Arial" w:cs="Arial"/>
                <w:b/>
                <w:sz w:val="16"/>
                <w:szCs w:val="18"/>
              </w:rPr>
              <w:t>/2019</w:t>
            </w:r>
            <w:r w:rsidR="00211162">
              <w:rPr>
                <w:rFonts w:ascii="Arial" w:hAnsi="Arial" w:cs="Arial"/>
                <w:b/>
                <w:sz w:val="16"/>
                <w:szCs w:val="18"/>
              </w:rPr>
              <w:t xml:space="preserve"> (*)</w:t>
            </w:r>
          </w:p>
        </w:tc>
        <w:tc>
          <w:tcPr>
            <w:tcW w:w="1134" w:type="dxa"/>
            <w:vMerge w:val="restart"/>
            <w:tcBorders>
              <w:top w:val="single" w:sz="4" w:space="0" w:color="auto"/>
              <w:bottom w:val="single" w:sz="4" w:space="0" w:color="auto"/>
              <w:right w:val="single" w:sz="4" w:space="0" w:color="auto"/>
            </w:tcBorders>
            <w:shd w:val="clear" w:color="auto" w:fill="BFBFBF" w:themeFill="background1" w:themeFillShade="BF"/>
            <w:vAlign w:val="center"/>
          </w:tcPr>
          <w:p w14:paraId="467AA5CA" w14:textId="474168DC" w:rsidR="007B34B2" w:rsidRPr="00A179F3" w:rsidRDefault="007B34B2" w:rsidP="00A179F3">
            <w:pPr>
              <w:jc w:val="center"/>
              <w:rPr>
                <w:rFonts w:ascii="Arial" w:hAnsi="Arial" w:cs="Arial"/>
                <w:b/>
                <w:sz w:val="16"/>
                <w:szCs w:val="18"/>
              </w:rPr>
            </w:pPr>
            <w:r w:rsidRPr="00A179F3">
              <w:rPr>
                <w:rFonts w:ascii="Arial" w:hAnsi="Arial" w:cs="Arial"/>
                <w:b/>
                <w:sz w:val="16"/>
                <w:szCs w:val="18"/>
              </w:rPr>
              <w:t>Saldo al 31/12/2018</w:t>
            </w:r>
          </w:p>
        </w:tc>
      </w:tr>
      <w:tr w:rsidR="00A179F3" w:rsidRPr="007B34B2" w14:paraId="65B758EE" w14:textId="77777777" w:rsidTr="00083AEA">
        <w:trPr>
          <w:gridAfter w:val="1"/>
          <w:wAfter w:w="7" w:type="dxa"/>
        </w:trPr>
        <w:tc>
          <w:tcPr>
            <w:tcW w:w="3545" w:type="dxa"/>
            <w:vMerge/>
            <w:tcBorders>
              <w:top w:val="single" w:sz="4" w:space="0" w:color="auto"/>
              <w:bottom w:val="single" w:sz="4" w:space="0" w:color="auto"/>
            </w:tcBorders>
            <w:shd w:val="clear" w:color="auto" w:fill="BFBFBF" w:themeFill="background1" w:themeFillShade="BF"/>
          </w:tcPr>
          <w:p w14:paraId="5D8A4B79" w14:textId="77777777" w:rsidR="007B34B2" w:rsidRPr="007B34B2" w:rsidRDefault="007B34B2" w:rsidP="008962C9">
            <w:pPr>
              <w:rPr>
                <w:rFonts w:ascii="Arial" w:hAnsi="Arial" w:cs="Arial"/>
                <w:sz w:val="18"/>
                <w:szCs w:val="18"/>
              </w:rPr>
            </w:pPr>
          </w:p>
        </w:tc>
        <w:tc>
          <w:tcPr>
            <w:tcW w:w="1047" w:type="dxa"/>
            <w:vMerge/>
            <w:tcBorders>
              <w:top w:val="single" w:sz="4" w:space="0" w:color="auto"/>
              <w:bottom w:val="single" w:sz="4" w:space="0" w:color="auto"/>
            </w:tcBorders>
            <w:shd w:val="clear" w:color="auto" w:fill="BFBFBF" w:themeFill="background1" w:themeFillShade="BF"/>
          </w:tcPr>
          <w:p w14:paraId="1D7E43DD" w14:textId="77777777" w:rsidR="007B34B2" w:rsidRPr="007B34B2" w:rsidRDefault="007B34B2" w:rsidP="008962C9">
            <w:pPr>
              <w:rPr>
                <w:rFonts w:ascii="Arial" w:hAnsi="Arial" w:cs="Arial"/>
                <w:sz w:val="18"/>
                <w:szCs w:val="18"/>
              </w:rPr>
            </w:pPr>
          </w:p>
        </w:tc>
        <w:tc>
          <w:tcPr>
            <w:tcW w:w="1079" w:type="dxa"/>
            <w:vMerge/>
            <w:tcBorders>
              <w:top w:val="single" w:sz="4" w:space="0" w:color="auto"/>
              <w:bottom w:val="single" w:sz="4" w:space="0" w:color="auto"/>
            </w:tcBorders>
            <w:shd w:val="clear" w:color="auto" w:fill="BFBFBF" w:themeFill="background1" w:themeFillShade="BF"/>
          </w:tcPr>
          <w:p w14:paraId="0FFE4623" w14:textId="77777777" w:rsidR="007B34B2" w:rsidRPr="007B34B2" w:rsidRDefault="007B34B2" w:rsidP="008962C9">
            <w:pPr>
              <w:rPr>
                <w:rFonts w:ascii="Arial" w:hAnsi="Arial" w:cs="Arial"/>
                <w:sz w:val="18"/>
                <w:szCs w:val="18"/>
              </w:rPr>
            </w:pPr>
          </w:p>
        </w:tc>
        <w:tc>
          <w:tcPr>
            <w:tcW w:w="1122" w:type="dxa"/>
            <w:tcBorders>
              <w:top w:val="single" w:sz="4" w:space="0" w:color="auto"/>
              <w:bottom w:val="single" w:sz="4" w:space="0" w:color="auto"/>
              <w:right w:val="single" w:sz="4" w:space="0" w:color="auto"/>
            </w:tcBorders>
            <w:shd w:val="clear" w:color="auto" w:fill="BFBFBF" w:themeFill="background1" w:themeFillShade="BF"/>
            <w:vAlign w:val="center"/>
          </w:tcPr>
          <w:p w14:paraId="28D55FD1" w14:textId="3F76F3AC" w:rsidR="007B34B2" w:rsidRPr="00A179F3" w:rsidRDefault="007B34B2" w:rsidP="00A179F3">
            <w:pPr>
              <w:jc w:val="center"/>
              <w:rPr>
                <w:rFonts w:ascii="Arial" w:hAnsi="Arial" w:cs="Arial"/>
                <w:b/>
                <w:sz w:val="16"/>
                <w:szCs w:val="18"/>
              </w:rPr>
            </w:pPr>
            <w:r w:rsidRPr="00A179F3">
              <w:rPr>
                <w:rFonts w:ascii="Arial" w:hAnsi="Arial" w:cs="Arial"/>
                <w:b/>
                <w:sz w:val="16"/>
                <w:szCs w:val="18"/>
              </w:rPr>
              <w:t>Desafectaciones</w:t>
            </w:r>
          </w:p>
        </w:tc>
        <w:tc>
          <w:tcPr>
            <w:tcW w:w="1275" w:type="dxa"/>
            <w:tcBorders>
              <w:top w:val="single" w:sz="4" w:space="0" w:color="auto"/>
              <w:left w:val="single" w:sz="4" w:space="0" w:color="auto"/>
              <w:bottom w:val="single" w:sz="4" w:space="0" w:color="auto"/>
            </w:tcBorders>
            <w:shd w:val="clear" w:color="auto" w:fill="BFBFBF" w:themeFill="background1" w:themeFillShade="BF"/>
            <w:vAlign w:val="center"/>
          </w:tcPr>
          <w:p w14:paraId="1CC9AA1F" w14:textId="7ACA482A" w:rsidR="007B34B2" w:rsidRPr="00A179F3" w:rsidRDefault="007B34B2" w:rsidP="00A179F3">
            <w:pPr>
              <w:jc w:val="center"/>
              <w:rPr>
                <w:rFonts w:ascii="Arial" w:hAnsi="Arial" w:cs="Arial"/>
                <w:b/>
                <w:sz w:val="16"/>
                <w:szCs w:val="18"/>
              </w:rPr>
            </w:pPr>
            <w:r w:rsidRPr="00A179F3">
              <w:rPr>
                <w:rFonts w:ascii="Arial" w:hAnsi="Arial" w:cs="Arial"/>
                <w:b/>
                <w:sz w:val="16"/>
                <w:szCs w:val="18"/>
              </w:rPr>
              <w:t>Aplicaciones</w:t>
            </w:r>
          </w:p>
        </w:tc>
        <w:tc>
          <w:tcPr>
            <w:tcW w:w="1147" w:type="dxa"/>
            <w:vMerge/>
            <w:tcBorders>
              <w:top w:val="single" w:sz="4" w:space="0" w:color="auto"/>
              <w:bottom w:val="single" w:sz="4" w:space="0" w:color="auto"/>
            </w:tcBorders>
            <w:shd w:val="clear" w:color="auto" w:fill="BFBFBF" w:themeFill="background1" w:themeFillShade="BF"/>
          </w:tcPr>
          <w:p w14:paraId="7F902EE4" w14:textId="77777777" w:rsidR="007B34B2" w:rsidRPr="007B34B2" w:rsidRDefault="007B34B2" w:rsidP="008962C9">
            <w:pPr>
              <w:rPr>
                <w:rFonts w:ascii="Arial" w:hAnsi="Arial" w:cs="Arial"/>
                <w:sz w:val="18"/>
                <w:szCs w:val="18"/>
              </w:rPr>
            </w:pPr>
          </w:p>
        </w:tc>
        <w:tc>
          <w:tcPr>
            <w:tcW w:w="1134" w:type="dxa"/>
            <w:vMerge/>
            <w:tcBorders>
              <w:top w:val="single" w:sz="4" w:space="0" w:color="auto"/>
              <w:bottom w:val="single" w:sz="4" w:space="0" w:color="auto"/>
            </w:tcBorders>
            <w:shd w:val="clear" w:color="auto" w:fill="BFBFBF" w:themeFill="background1" w:themeFillShade="BF"/>
          </w:tcPr>
          <w:p w14:paraId="5963D38B" w14:textId="77777777" w:rsidR="007B34B2" w:rsidRPr="007B34B2" w:rsidRDefault="007B34B2" w:rsidP="008962C9">
            <w:pPr>
              <w:rPr>
                <w:rFonts w:ascii="Arial" w:hAnsi="Arial" w:cs="Arial"/>
                <w:sz w:val="18"/>
                <w:szCs w:val="18"/>
              </w:rPr>
            </w:pPr>
          </w:p>
        </w:tc>
      </w:tr>
      <w:tr w:rsidR="00A179F3" w:rsidRPr="007B34B2" w14:paraId="3CA915CF" w14:textId="77777777" w:rsidTr="00083AEA">
        <w:tc>
          <w:tcPr>
            <w:tcW w:w="10356" w:type="dxa"/>
            <w:gridSpan w:val="8"/>
            <w:tcBorders>
              <w:top w:val="single" w:sz="4" w:space="0" w:color="auto"/>
              <w:left w:val="nil"/>
              <w:bottom w:val="nil"/>
              <w:right w:val="nil"/>
            </w:tcBorders>
          </w:tcPr>
          <w:p w14:paraId="494023C5" w14:textId="3E6D769F" w:rsidR="00A179F3" w:rsidRPr="00A004CE" w:rsidRDefault="00A179F3" w:rsidP="008962C9">
            <w:pPr>
              <w:rPr>
                <w:rFonts w:ascii="Arial" w:hAnsi="Arial" w:cs="Arial"/>
                <w:b/>
                <w:sz w:val="16"/>
                <w:szCs w:val="18"/>
                <w:u w:val="single"/>
              </w:rPr>
            </w:pPr>
            <w:r w:rsidRPr="00A004CE">
              <w:rPr>
                <w:rFonts w:ascii="Arial" w:hAnsi="Arial" w:cs="Arial"/>
                <w:b/>
                <w:sz w:val="16"/>
                <w:szCs w:val="18"/>
                <w:u w:val="single"/>
              </w:rPr>
              <w:t>DEL PASIVO</w:t>
            </w:r>
          </w:p>
        </w:tc>
      </w:tr>
      <w:tr w:rsidR="00A179F3" w:rsidRPr="007B34B2" w14:paraId="3AE8C6C2" w14:textId="77777777" w:rsidTr="00083AEA">
        <w:trPr>
          <w:gridAfter w:val="1"/>
          <w:wAfter w:w="7" w:type="dxa"/>
        </w:trPr>
        <w:tc>
          <w:tcPr>
            <w:tcW w:w="3545" w:type="dxa"/>
            <w:tcBorders>
              <w:top w:val="nil"/>
              <w:left w:val="nil"/>
              <w:bottom w:val="nil"/>
              <w:right w:val="nil"/>
            </w:tcBorders>
          </w:tcPr>
          <w:p w14:paraId="3DB671F4" w14:textId="77777777" w:rsidR="007B34B2" w:rsidRPr="00A004CE" w:rsidRDefault="007B34B2" w:rsidP="008962C9">
            <w:pPr>
              <w:rPr>
                <w:rFonts w:ascii="Arial" w:hAnsi="Arial" w:cs="Arial"/>
                <w:b/>
                <w:sz w:val="16"/>
                <w:szCs w:val="18"/>
              </w:rPr>
            </w:pPr>
          </w:p>
        </w:tc>
        <w:tc>
          <w:tcPr>
            <w:tcW w:w="1047" w:type="dxa"/>
            <w:tcBorders>
              <w:top w:val="nil"/>
              <w:left w:val="nil"/>
              <w:bottom w:val="nil"/>
              <w:right w:val="nil"/>
            </w:tcBorders>
          </w:tcPr>
          <w:p w14:paraId="1B3E699F" w14:textId="77777777" w:rsidR="007B34B2" w:rsidRPr="00A179F3" w:rsidRDefault="007B34B2" w:rsidP="008962C9">
            <w:pPr>
              <w:rPr>
                <w:rFonts w:ascii="Arial" w:hAnsi="Arial" w:cs="Arial"/>
                <w:sz w:val="16"/>
                <w:szCs w:val="18"/>
              </w:rPr>
            </w:pPr>
          </w:p>
        </w:tc>
        <w:tc>
          <w:tcPr>
            <w:tcW w:w="1079" w:type="dxa"/>
            <w:tcBorders>
              <w:top w:val="nil"/>
              <w:left w:val="nil"/>
              <w:bottom w:val="nil"/>
              <w:right w:val="nil"/>
            </w:tcBorders>
          </w:tcPr>
          <w:p w14:paraId="4466B348" w14:textId="77777777" w:rsidR="007B34B2" w:rsidRPr="00A179F3" w:rsidRDefault="007B34B2" w:rsidP="008962C9">
            <w:pPr>
              <w:rPr>
                <w:rFonts w:ascii="Arial" w:hAnsi="Arial" w:cs="Arial"/>
                <w:sz w:val="16"/>
                <w:szCs w:val="18"/>
              </w:rPr>
            </w:pPr>
          </w:p>
        </w:tc>
        <w:tc>
          <w:tcPr>
            <w:tcW w:w="1122" w:type="dxa"/>
            <w:tcBorders>
              <w:top w:val="nil"/>
              <w:left w:val="nil"/>
              <w:bottom w:val="nil"/>
              <w:right w:val="nil"/>
            </w:tcBorders>
          </w:tcPr>
          <w:p w14:paraId="32F8A5AD" w14:textId="77777777" w:rsidR="007B34B2" w:rsidRPr="00A179F3" w:rsidRDefault="007B34B2" w:rsidP="008962C9">
            <w:pPr>
              <w:rPr>
                <w:rFonts w:ascii="Arial" w:hAnsi="Arial" w:cs="Arial"/>
                <w:sz w:val="16"/>
                <w:szCs w:val="18"/>
              </w:rPr>
            </w:pPr>
          </w:p>
        </w:tc>
        <w:tc>
          <w:tcPr>
            <w:tcW w:w="1275" w:type="dxa"/>
            <w:tcBorders>
              <w:top w:val="nil"/>
              <w:left w:val="nil"/>
              <w:bottom w:val="nil"/>
              <w:right w:val="nil"/>
            </w:tcBorders>
          </w:tcPr>
          <w:p w14:paraId="07F8B37F" w14:textId="77777777" w:rsidR="007B34B2" w:rsidRPr="00A179F3" w:rsidRDefault="007B34B2" w:rsidP="008962C9">
            <w:pPr>
              <w:rPr>
                <w:rFonts w:ascii="Arial" w:hAnsi="Arial" w:cs="Arial"/>
                <w:sz w:val="16"/>
                <w:szCs w:val="18"/>
              </w:rPr>
            </w:pPr>
          </w:p>
        </w:tc>
        <w:tc>
          <w:tcPr>
            <w:tcW w:w="1147" w:type="dxa"/>
            <w:tcBorders>
              <w:top w:val="nil"/>
              <w:left w:val="nil"/>
              <w:bottom w:val="nil"/>
              <w:right w:val="nil"/>
            </w:tcBorders>
          </w:tcPr>
          <w:p w14:paraId="6B0AB3D9" w14:textId="77777777" w:rsidR="007B34B2" w:rsidRPr="00A179F3" w:rsidRDefault="007B34B2" w:rsidP="008962C9">
            <w:pPr>
              <w:rPr>
                <w:rFonts w:ascii="Arial" w:hAnsi="Arial" w:cs="Arial"/>
                <w:sz w:val="16"/>
                <w:szCs w:val="18"/>
              </w:rPr>
            </w:pPr>
          </w:p>
        </w:tc>
        <w:tc>
          <w:tcPr>
            <w:tcW w:w="1134" w:type="dxa"/>
            <w:tcBorders>
              <w:top w:val="nil"/>
              <w:left w:val="nil"/>
              <w:bottom w:val="nil"/>
              <w:right w:val="nil"/>
            </w:tcBorders>
          </w:tcPr>
          <w:p w14:paraId="14A28C30" w14:textId="77777777" w:rsidR="007B34B2" w:rsidRPr="00A179F3" w:rsidRDefault="007B34B2" w:rsidP="008962C9">
            <w:pPr>
              <w:rPr>
                <w:rFonts w:ascii="Arial" w:hAnsi="Arial" w:cs="Arial"/>
                <w:sz w:val="16"/>
                <w:szCs w:val="18"/>
              </w:rPr>
            </w:pPr>
          </w:p>
        </w:tc>
      </w:tr>
      <w:tr w:rsidR="006878B8" w:rsidRPr="007B34B2" w14:paraId="7541A874" w14:textId="77777777" w:rsidTr="005C11BF">
        <w:trPr>
          <w:gridAfter w:val="1"/>
          <w:wAfter w:w="7" w:type="dxa"/>
          <w:trHeight w:val="230"/>
        </w:trPr>
        <w:tc>
          <w:tcPr>
            <w:tcW w:w="3545" w:type="dxa"/>
            <w:tcBorders>
              <w:top w:val="nil"/>
              <w:left w:val="nil"/>
              <w:bottom w:val="nil"/>
              <w:right w:val="nil"/>
            </w:tcBorders>
            <w:vAlign w:val="center"/>
          </w:tcPr>
          <w:p w14:paraId="628027B2" w14:textId="701B836B" w:rsidR="006878B8" w:rsidRPr="00A179F3" w:rsidRDefault="006878B8" w:rsidP="006878B8">
            <w:pPr>
              <w:rPr>
                <w:rFonts w:ascii="Arial" w:hAnsi="Arial" w:cs="Arial"/>
                <w:sz w:val="16"/>
                <w:szCs w:val="18"/>
              </w:rPr>
            </w:pPr>
            <w:r w:rsidRPr="00A179F3">
              <w:rPr>
                <w:rFonts w:ascii="Arial" w:hAnsi="Arial" w:cs="Arial"/>
                <w:sz w:val="16"/>
                <w:szCs w:val="18"/>
              </w:rPr>
              <w:t>Provisiones por compromisos eventuales</w:t>
            </w:r>
          </w:p>
        </w:tc>
        <w:tc>
          <w:tcPr>
            <w:tcW w:w="1047" w:type="dxa"/>
            <w:tcBorders>
              <w:top w:val="nil"/>
              <w:left w:val="nil"/>
              <w:bottom w:val="nil"/>
              <w:right w:val="nil"/>
            </w:tcBorders>
            <w:vAlign w:val="bottom"/>
          </w:tcPr>
          <w:p w14:paraId="697FCDE6" w14:textId="7EB4D4C4" w:rsidR="006878B8" w:rsidRPr="00A179F3" w:rsidRDefault="006878B8" w:rsidP="006878B8">
            <w:pPr>
              <w:jc w:val="right"/>
              <w:rPr>
                <w:rFonts w:ascii="Arial" w:hAnsi="Arial" w:cs="Arial"/>
                <w:sz w:val="16"/>
                <w:szCs w:val="18"/>
              </w:rPr>
            </w:pPr>
            <w:r>
              <w:rPr>
                <w:rFonts w:ascii="Arial" w:hAnsi="Arial" w:cs="Arial"/>
                <w:color w:val="000000"/>
                <w:sz w:val="16"/>
                <w:szCs w:val="18"/>
              </w:rPr>
              <w:t>1.196</w:t>
            </w:r>
          </w:p>
        </w:tc>
        <w:tc>
          <w:tcPr>
            <w:tcW w:w="1079" w:type="dxa"/>
            <w:tcBorders>
              <w:top w:val="nil"/>
              <w:left w:val="nil"/>
              <w:bottom w:val="nil"/>
              <w:right w:val="nil"/>
            </w:tcBorders>
            <w:vAlign w:val="bottom"/>
          </w:tcPr>
          <w:p w14:paraId="670AE285" w14:textId="2CD40109" w:rsidR="006878B8" w:rsidRPr="00A179F3" w:rsidRDefault="008E0A39" w:rsidP="005C11BF">
            <w:pPr>
              <w:jc w:val="right"/>
              <w:rPr>
                <w:rFonts w:ascii="Arial" w:hAnsi="Arial" w:cs="Arial"/>
                <w:sz w:val="16"/>
                <w:szCs w:val="18"/>
              </w:rPr>
            </w:pPr>
            <w:r w:rsidRPr="008E0A39">
              <w:rPr>
                <w:rFonts w:ascii="Arial" w:hAnsi="Arial" w:cs="Arial"/>
                <w:sz w:val="16"/>
                <w:szCs w:val="18"/>
              </w:rPr>
              <w:t>169</w:t>
            </w:r>
          </w:p>
        </w:tc>
        <w:tc>
          <w:tcPr>
            <w:tcW w:w="1122" w:type="dxa"/>
            <w:tcBorders>
              <w:top w:val="nil"/>
              <w:left w:val="nil"/>
              <w:bottom w:val="nil"/>
              <w:right w:val="nil"/>
            </w:tcBorders>
            <w:vAlign w:val="bottom"/>
          </w:tcPr>
          <w:p w14:paraId="27A0ECB9" w14:textId="0FFB3AB9" w:rsidR="006878B8" w:rsidRPr="00A179F3" w:rsidRDefault="008E0A39" w:rsidP="005C11BF">
            <w:pPr>
              <w:jc w:val="right"/>
              <w:rPr>
                <w:rFonts w:ascii="Arial" w:hAnsi="Arial" w:cs="Arial"/>
                <w:sz w:val="16"/>
                <w:szCs w:val="18"/>
              </w:rPr>
            </w:pPr>
            <w:r>
              <w:rPr>
                <w:rFonts w:ascii="Arial" w:hAnsi="Arial" w:cs="Arial"/>
                <w:sz w:val="16"/>
                <w:szCs w:val="18"/>
              </w:rPr>
              <w:t>-</w:t>
            </w:r>
          </w:p>
        </w:tc>
        <w:tc>
          <w:tcPr>
            <w:tcW w:w="1275" w:type="dxa"/>
            <w:tcBorders>
              <w:top w:val="nil"/>
              <w:left w:val="nil"/>
              <w:bottom w:val="nil"/>
              <w:right w:val="nil"/>
            </w:tcBorders>
            <w:vAlign w:val="bottom"/>
          </w:tcPr>
          <w:p w14:paraId="63A637F7" w14:textId="359AB811" w:rsidR="006878B8" w:rsidRPr="00A179F3" w:rsidRDefault="008E0A39" w:rsidP="005C11BF">
            <w:pPr>
              <w:jc w:val="right"/>
              <w:rPr>
                <w:rFonts w:ascii="Arial" w:hAnsi="Arial" w:cs="Arial"/>
                <w:sz w:val="16"/>
                <w:szCs w:val="18"/>
              </w:rPr>
            </w:pPr>
            <w:r w:rsidRPr="008E0A39">
              <w:rPr>
                <w:rFonts w:ascii="Arial" w:hAnsi="Arial" w:cs="Arial"/>
                <w:sz w:val="16"/>
                <w:szCs w:val="18"/>
              </w:rPr>
              <w:t>-999</w:t>
            </w:r>
          </w:p>
        </w:tc>
        <w:tc>
          <w:tcPr>
            <w:tcW w:w="1147" w:type="dxa"/>
            <w:tcBorders>
              <w:top w:val="nil"/>
              <w:left w:val="nil"/>
              <w:bottom w:val="nil"/>
              <w:right w:val="nil"/>
            </w:tcBorders>
            <w:vAlign w:val="bottom"/>
          </w:tcPr>
          <w:p w14:paraId="7ABDF8DC" w14:textId="185A74BD" w:rsidR="006878B8" w:rsidRPr="00A179F3" w:rsidRDefault="008E0A39" w:rsidP="005C11BF">
            <w:pPr>
              <w:jc w:val="right"/>
              <w:rPr>
                <w:rFonts w:ascii="Arial" w:hAnsi="Arial" w:cs="Arial"/>
                <w:sz w:val="16"/>
                <w:szCs w:val="18"/>
              </w:rPr>
            </w:pPr>
            <w:r w:rsidRPr="008E0A39">
              <w:rPr>
                <w:rFonts w:ascii="Arial" w:hAnsi="Arial" w:cs="Arial"/>
                <w:sz w:val="16"/>
                <w:szCs w:val="18"/>
              </w:rPr>
              <w:t>36</w:t>
            </w:r>
            <w:r w:rsidR="00C679F7">
              <w:rPr>
                <w:rFonts w:ascii="Arial" w:hAnsi="Arial" w:cs="Arial"/>
                <w:sz w:val="16"/>
                <w:szCs w:val="18"/>
              </w:rPr>
              <w:t>6</w:t>
            </w:r>
          </w:p>
        </w:tc>
        <w:tc>
          <w:tcPr>
            <w:tcW w:w="1134" w:type="dxa"/>
            <w:tcBorders>
              <w:top w:val="nil"/>
              <w:left w:val="nil"/>
              <w:bottom w:val="nil"/>
              <w:right w:val="nil"/>
            </w:tcBorders>
            <w:vAlign w:val="bottom"/>
          </w:tcPr>
          <w:p w14:paraId="650112F8" w14:textId="68E9C767" w:rsidR="006878B8" w:rsidRPr="00A179F3" w:rsidRDefault="006878B8" w:rsidP="005C11BF">
            <w:pPr>
              <w:jc w:val="right"/>
              <w:rPr>
                <w:rFonts w:ascii="Arial" w:hAnsi="Arial" w:cs="Arial"/>
                <w:sz w:val="16"/>
                <w:szCs w:val="18"/>
              </w:rPr>
            </w:pPr>
            <w:r>
              <w:rPr>
                <w:rFonts w:ascii="Arial" w:hAnsi="Arial" w:cs="Arial"/>
                <w:color w:val="000000"/>
                <w:sz w:val="16"/>
                <w:szCs w:val="18"/>
              </w:rPr>
              <w:t>1.196</w:t>
            </w:r>
          </w:p>
        </w:tc>
      </w:tr>
      <w:tr w:rsidR="006878B8" w:rsidRPr="007B34B2" w14:paraId="14FF60F3" w14:textId="77777777" w:rsidTr="005C11BF">
        <w:trPr>
          <w:gridAfter w:val="1"/>
          <w:wAfter w:w="7" w:type="dxa"/>
        </w:trPr>
        <w:tc>
          <w:tcPr>
            <w:tcW w:w="3545" w:type="dxa"/>
            <w:tcBorders>
              <w:top w:val="nil"/>
              <w:left w:val="nil"/>
              <w:bottom w:val="nil"/>
              <w:right w:val="nil"/>
            </w:tcBorders>
            <w:vAlign w:val="center"/>
          </w:tcPr>
          <w:p w14:paraId="517E85CF" w14:textId="584CDAB5" w:rsidR="006878B8" w:rsidRPr="00A179F3" w:rsidRDefault="006878B8" w:rsidP="006878B8">
            <w:pPr>
              <w:rPr>
                <w:rFonts w:ascii="Arial" w:hAnsi="Arial" w:cs="Arial"/>
                <w:sz w:val="16"/>
                <w:szCs w:val="18"/>
              </w:rPr>
            </w:pPr>
            <w:r w:rsidRPr="00A179F3">
              <w:rPr>
                <w:rFonts w:ascii="Arial" w:hAnsi="Arial" w:cs="Arial"/>
                <w:sz w:val="16"/>
                <w:szCs w:val="18"/>
              </w:rPr>
              <w:t>Por sanciones administrativas,</w:t>
            </w:r>
            <w:r>
              <w:rPr>
                <w:rFonts w:ascii="Arial" w:hAnsi="Arial" w:cs="Arial"/>
                <w:sz w:val="16"/>
                <w:szCs w:val="18"/>
              </w:rPr>
              <w:t xml:space="preserve"> </w:t>
            </w:r>
            <w:r w:rsidRPr="00A179F3">
              <w:rPr>
                <w:rFonts w:ascii="Arial" w:hAnsi="Arial" w:cs="Arial"/>
                <w:sz w:val="16"/>
                <w:szCs w:val="18"/>
              </w:rPr>
              <w:t>Disciplinarias y penales</w:t>
            </w:r>
          </w:p>
        </w:tc>
        <w:tc>
          <w:tcPr>
            <w:tcW w:w="1047" w:type="dxa"/>
            <w:tcBorders>
              <w:top w:val="nil"/>
              <w:left w:val="nil"/>
              <w:bottom w:val="nil"/>
              <w:right w:val="nil"/>
            </w:tcBorders>
            <w:vAlign w:val="bottom"/>
          </w:tcPr>
          <w:p w14:paraId="7DE033C8" w14:textId="1D76B6EB" w:rsidR="006878B8" w:rsidRPr="00A179F3" w:rsidRDefault="006878B8" w:rsidP="006878B8">
            <w:pPr>
              <w:jc w:val="right"/>
              <w:rPr>
                <w:rFonts w:ascii="Arial" w:hAnsi="Arial" w:cs="Arial"/>
                <w:sz w:val="16"/>
                <w:szCs w:val="18"/>
              </w:rPr>
            </w:pPr>
            <w:r>
              <w:rPr>
                <w:rFonts w:ascii="Arial" w:hAnsi="Arial" w:cs="Arial"/>
                <w:color w:val="000000"/>
                <w:sz w:val="16"/>
                <w:szCs w:val="18"/>
              </w:rPr>
              <w:t>9.909</w:t>
            </w:r>
          </w:p>
        </w:tc>
        <w:tc>
          <w:tcPr>
            <w:tcW w:w="1079" w:type="dxa"/>
            <w:tcBorders>
              <w:top w:val="nil"/>
              <w:left w:val="nil"/>
              <w:bottom w:val="nil"/>
              <w:right w:val="nil"/>
            </w:tcBorders>
            <w:vAlign w:val="bottom"/>
          </w:tcPr>
          <w:p w14:paraId="1D2F7AD7" w14:textId="01CB9134" w:rsidR="006878B8" w:rsidRPr="00A179F3" w:rsidRDefault="008E0A39" w:rsidP="005C11BF">
            <w:pPr>
              <w:jc w:val="right"/>
              <w:rPr>
                <w:rFonts w:ascii="Arial" w:hAnsi="Arial" w:cs="Arial"/>
                <w:sz w:val="16"/>
                <w:szCs w:val="18"/>
              </w:rPr>
            </w:pPr>
            <w:r w:rsidRPr="008E0A39">
              <w:rPr>
                <w:rFonts w:ascii="Arial" w:hAnsi="Arial" w:cs="Arial"/>
                <w:sz w:val="16"/>
                <w:szCs w:val="18"/>
              </w:rPr>
              <w:t>11.930</w:t>
            </w:r>
          </w:p>
        </w:tc>
        <w:tc>
          <w:tcPr>
            <w:tcW w:w="1122" w:type="dxa"/>
            <w:tcBorders>
              <w:top w:val="nil"/>
              <w:left w:val="nil"/>
              <w:bottom w:val="nil"/>
              <w:right w:val="nil"/>
            </w:tcBorders>
            <w:vAlign w:val="bottom"/>
          </w:tcPr>
          <w:p w14:paraId="41885542" w14:textId="7F145391" w:rsidR="006878B8" w:rsidRPr="00A179F3" w:rsidRDefault="008E0A39" w:rsidP="005C11BF">
            <w:pPr>
              <w:jc w:val="right"/>
              <w:rPr>
                <w:rFonts w:ascii="Arial" w:hAnsi="Arial" w:cs="Arial"/>
                <w:sz w:val="16"/>
                <w:szCs w:val="18"/>
              </w:rPr>
            </w:pPr>
            <w:r w:rsidRPr="008E0A39">
              <w:rPr>
                <w:rFonts w:ascii="Arial" w:hAnsi="Arial" w:cs="Arial"/>
                <w:sz w:val="16"/>
                <w:szCs w:val="18"/>
              </w:rPr>
              <w:t>-3.250</w:t>
            </w:r>
          </w:p>
        </w:tc>
        <w:tc>
          <w:tcPr>
            <w:tcW w:w="1275" w:type="dxa"/>
            <w:tcBorders>
              <w:top w:val="nil"/>
              <w:left w:val="nil"/>
              <w:bottom w:val="nil"/>
              <w:right w:val="nil"/>
            </w:tcBorders>
            <w:vAlign w:val="bottom"/>
          </w:tcPr>
          <w:p w14:paraId="263BA5F0" w14:textId="4C462AA3" w:rsidR="006878B8" w:rsidRPr="00A179F3" w:rsidRDefault="008E0A39" w:rsidP="005C11BF">
            <w:pPr>
              <w:jc w:val="right"/>
              <w:rPr>
                <w:rFonts w:ascii="Arial" w:hAnsi="Arial" w:cs="Arial"/>
                <w:sz w:val="16"/>
                <w:szCs w:val="18"/>
              </w:rPr>
            </w:pPr>
            <w:r w:rsidRPr="008E0A39">
              <w:rPr>
                <w:rFonts w:ascii="Arial" w:hAnsi="Arial" w:cs="Arial"/>
                <w:sz w:val="16"/>
                <w:szCs w:val="18"/>
              </w:rPr>
              <w:t>-6.548</w:t>
            </w:r>
          </w:p>
        </w:tc>
        <w:tc>
          <w:tcPr>
            <w:tcW w:w="1147" w:type="dxa"/>
            <w:tcBorders>
              <w:top w:val="nil"/>
              <w:left w:val="nil"/>
              <w:bottom w:val="nil"/>
              <w:right w:val="nil"/>
            </w:tcBorders>
            <w:vAlign w:val="bottom"/>
          </w:tcPr>
          <w:p w14:paraId="59599D4F" w14:textId="1DB547BA" w:rsidR="006878B8" w:rsidRPr="00A179F3" w:rsidRDefault="00D22031" w:rsidP="005C11BF">
            <w:pPr>
              <w:jc w:val="right"/>
              <w:rPr>
                <w:rFonts w:ascii="Arial" w:hAnsi="Arial" w:cs="Arial"/>
                <w:sz w:val="16"/>
                <w:szCs w:val="18"/>
              </w:rPr>
            </w:pPr>
            <w:r>
              <w:rPr>
                <w:rFonts w:ascii="Arial" w:hAnsi="Arial" w:cs="Arial"/>
                <w:sz w:val="16"/>
                <w:szCs w:val="18"/>
              </w:rPr>
              <w:t>12.041</w:t>
            </w:r>
          </w:p>
        </w:tc>
        <w:tc>
          <w:tcPr>
            <w:tcW w:w="1134" w:type="dxa"/>
            <w:tcBorders>
              <w:top w:val="nil"/>
              <w:left w:val="nil"/>
              <w:bottom w:val="nil"/>
              <w:right w:val="nil"/>
            </w:tcBorders>
            <w:vAlign w:val="bottom"/>
          </w:tcPr>
          <w:p w14:paraId="5DF4D795" w14:textId="4DC9675C" w:rsidR="006878B8" w:rsidRPr="00A179F3" w:rsidRDefault="006878B8" w:rsidP="005C11BF">
            <w:pPr>
              <w:jc w:val="right"/>
              <w:rPr>
                <w:rFonts w:ascii="Arial" w:hAnsi="Arial" w:cs="Arial"/>
                <w:sz w:val="16"/>
                <w:szCs w:val="18"/>
              </w:rPr>
            </w:pPr>
            <w:r>
              <w:rPr>
                <w:rFonts w:ascii="Arial" w:hAnsi="Arial" w:cs="Arial"/>
                <w:color w:val="000000"/>
                <w:sz w:val="16"/>
                <w:szCs w:val="18"/>
              </w:rPr>
              <w:t>9.909</w:t>
            </w:r>
          </w:p>
        </w:tc>
      </w:tr>
      <w:tr w:rsidR="008E0A39" w:rsidRPr="007B34B2" w14:paraId="72F87DAA" w14:textId="77777777" w:rsidTr="005C11BF">
        <w:trPr>
          <w:gridAfter w:val="1"/>
          <w:wAfter w:w="7" w:type="dxa"/>
        </w:trPr>
        <w:tc>
          <w:tcPr>
            <w:tcW w:w="3545" w:type="dxa"/>
            <w:tcBorders>
              <w:top w:val="nil"/>
              <w:left w:val="nil"/>
              <w:bottom w:val="nil"/>
              <w:right w:val="nil"/>
            </w:tcBorders>
            <w:vAlign w:val="center"/>
          </w:tcPr>
          <w:p w14:paraId="29873AD8" w14:textId="4F112757" w:rsidR="008E0A39" w:rsidRPr="00A179F3" w:rsidRDefault="008A6827" w:rsidP="00A059FB">
            <w:pPr>
              <w:ind w:left="709" w:hanging="709"/>
              <w:rPr>
                <w:rFonts w:ascii="Arial" w:hAnsi="Arial" w:cs="Arial"/>
                <w:sz w:val="16"/>
                <w:szCs w:val="18"/>
              </w:rPr>
            </w:pPr>
            <w:r w:rsidRPr="008A6827">
              <w:rPr>
                <w:rFonts w:ascii="Arial" w:hAnsi="Arial" w:cs="Arial"/>
                <w:sz w:val="16"/>
                <w:szCs w:val="18"/>
              </w:rPr>
              <w:t xml:space="preserve">Provisiones por </w:t>
            </w:r>
            <w:r w:rsidR="00F85A85">
              <w:rPr>
                <w:rFonts w:ascii="Arial" w:hAnsi="Arial" w:cs="Arial"/>
                <w:sz w:val="16"/>
                <w:szCs w:val="18"/>
              </w:rPr>
              <w:t>gastos de reorganización</w:t>
            </w:r>
          </w:p>
        </w:tc>
        <w:tc>
          <w:tcPr>
            <w:tcW w:w="1047" w:type="dxa"/>
            <w:tcBorders>
              <w:top w:val="nil"/>
              <w:left w:val="nil"/>
              <w:bottom w:val="nil"/>
              <w:right w:val="nil"/>
            </w:tcBorders>
            <w:vAlign w:val="bottom"/>
          </w:tcPr>
          <w:p w14:paraId="43E94C1B" w14:textId="72221D3C" w:rsidR="008E0A39" w:rsidRDefault="008E0A39" w:rsidP="006878B8">
            <w:pPr>
              <w:jc w:val="right"/>
              <w:rPr>
                <w:rFonts w:ascii="Arial" w:hAnsi="Arial" w:cs="Arial"/>
                <w:color w:val="000000"/>
                <w:sz w:val="16"/>
                <w:szCs w:val="18"/>
              </w:rPr>
            </w:pPr>
            <w:r>
              <w:rPr>
                <w:rFonts w:ascii="Arial" w:hAnsi="Arial" w:cs="Arial"/>
                <w:color w:val="000000"/>
                <w:sz w:val="16"/>
                <w:szCs w:val="18"/>
              </w:rPr>
              <w:t>-</w:t>
            </w:r>
          </w:p>
        </w:tc>
        <w:tc>
          <w:tcPr>
            <w:tcW w:w="1079" w:type="dxa"/>
            <w:tcBorders>
              <w:top w:val="nil"/>
              <w:left w:val="nil"/>
              <w:bottom w:val="nil"/>
              <w:right w:val="nil"/>
            </w:tcBorders>
            <w:vAlign w:val="bottom"/>
          </w:tcPr>
          <w:p w14:paraId="68198744" w14:textId="708D271B" w:rsidR="008E0A39" w:rsidRPr="008E0A39" w:rsidRDefault="008E0A39" w:rsidP="005C11BF">
            <w:pPr>
              <w:jc w:val="right"/>
              <w:rPr>
                <w:rFonts w:ascii="Arial" w:hAnsi="Arial" w:cs="Arial"/>
                <w:sz w:val="16"/>
                <w:szCs w:val="18"/>
              </w:rPr>
            </w:pPr>
            <w:r w:rsidRPr="008E0A39">
              <w:rPr>
                <w:rFonts w:ascii="Arial" w:hAnsi="Arial" w:cs="Arial"/>
                <w:sz w:val="16"/>
                <w:szCs w:val="18"/>
              </w:rPr>
              <w:t>500.000</w:t>
            </w:r>
          </w:p>
        </w:tc>
        <w:tc>
          <w:tcPr>
            <w:tcW w:w="1122" w:type="dxa"/>
            <w:tcBorders>
              <w:top w:val="nil"/>
              <w:left w:val="nil"/>
              <w:bottom w:val="nil"/>
              <w:right w:val="nil"/>
            </w:tcBorders>
            <w:vAlign w:val="bottom"/>
          </w:tcPr>
          <w:p w14:paraId="36672547" w14:textId="4352E3DE" w:rsidR="008E0A39" w:rsidRPr="00A179F3" w:rsidRDefault="008E0A39" w:rsidP="005C11BF">
            <w:pPr>
              <w:jc w:val="right"/>
              <w:rPr>
                <w:rFonts w:ascii="Arial" w:hAnsi="Arial" w:cs="Arial"/>
                <w:sz w:val="16"/>
                <w:szCs w:val="18"/>
              </w:rPr>
            </w:pPr>
            <w:r>
              <w:rPr>
                <w:rFonts w:ascii="Arial" w:hAnsi="Arial" w:cs="Arial"/>
                <w:sz w:val="16"/>
                <w:szCs w:val="18"/>
              </w:rPr>
              <w:t>-</w:t>
            </w:r>
          </w:p>
        </w:tc>
        <w:tc>
          <w:tcPr>
            <w:tcW w:w="1275" w:type="dxa"/>
            <w:tcBorders>
              <w:top w:val="nil"/>
              <w:left w:val="nil"/>
              <w:bottom w:val="nil"/>
              <w:right w:val="nil"/>
            </w:tcBorders>
            <w:vAlign w:val="bottom"/>
          </w:tcPr>
          <w:p w14:paraId="2E0DEC03" w14:textId="5DFCA705" w:rsidR="008E0A39" w:rsidRPr="00A179F3" w:rsidRDefault="008E0A39" w:rsidP="005C11BF">
            <w:pPr>
              <w:jc w:val="right"/>
              <w:rPr>
                <w:rFonts w:ascii="Arial" w:hAnsi="Arial" w:cs="Arial"/>
                <w:sz w:val="16"/>
                <w:szCs w:val="18"/>
              </w:rPr>
            </w:pPr>
            <w:r>
              <w:rPr>
                <w:rFonts w:ascii="Arial" w:hAnsi="Arial" w:cs="Arial"/>
                <w:sz w:val="16"/>
                <w:szCs w:val="18"/>
              </w:rPr>
              <w:t>-</w:t>
            </w:r>
          </w:p>
        </w:tc>
        <w:tc>
          <w:tcPr>
            <w:tcW w:w="1147" w:type="dxa"/>
            <w:tcBorders>
              <w:top w:val="nil"/>
              <w:left w:val="nil"/>
              <w:bottom w:val="nil"/>
              <w:right w:val="nil"/>
            </w:tcBorders>
            <w:vAlign w:val="bottom"/>
          </w:tcPr>
          <w:p w14:paraId="6723F30C" w14:textId="619E13AA" w:rsidR="008E0A39" w:rsidRPr="00A179F3" w:rsidRDefault="008E0A39" w:rsidP="005C11BF">
            <w:pPr>
              <w:jc w:val="right"/>
              <w:rPr>
                <w:rFonts w:ascii="Arial" w:hAnsi="Arial" w:cs="Arial"/>
                <w:sz w:val="16"/>
                <w:szCs w:val="18"/>
              </w:rPr>
            </w:pPr>
            <w:r>
              <w:rPr>
                <w:rFonts w:ascii="Arial" w:hAnsi="Arial" w:cs="Arial"/>
                <w:sz w:val="16"/>
                <w:szCs w:val="18"/>
              </w:rPr>
              <w:t>500.000</w:t>
            </w:r>
          </w:p>
        </w:tc>
        <w:tc>
          <w:tcPr>
            <w:tcW w:w="1134" w:type="dxa"/>
            <w:tcBorders>
              <w:top w:val="nil"/>
              <w:left w:val="nil"/>
              <w:bottom w:val="nil"/>
              <w:right w:val="nil"/>
            </w:tcBorders>
            <w:vAlign w:val="bottom"/>
          </w:tcPr>
          <w:p w14:paraId="693009E5" w14:textId="340873E5" w:rsidR="008E0A39" w:rsidRDefault="008E0A39" w:rsidP="005C11BF">
            <w:pPr>
              <w:jc w:val="right"/>
              <w:rPr>
                <w:rFonts w:ascii="Arial" w:hAnsi="Arial" w:cs="Arial"/>
                <w:color w:val="000000"/>
                <w:sz w:val="16"/>
                <w:szCs w:val="18"/>
              </w:rPr>
            </w:pPr>
            <w:r>
              <w:rPr>
                <w:rFonts w:ascii="Arial" w:hAnsi="Arial" w:cs="Arial"/>
                <w:color w:val="000000"/>
                <w:sz w:val="16"/>
                <w:szCs w:val="18"/>
              </w:rPr>
              <w:t>-</w:t>
            </w:r>
          </w:p>
        </w:tc>
      </w:tr>
      <w:tr w:rsidR="006878B8" w:rsidRPr="007B34B2" w14:paraId="30DC6BB1" w14:textId="77777777" w:rsidTr="005C11BF">
        <w:trPr>
          <w:gridAfter w:val="1"/>
          <w:wAfter w:w="7" w:type="dxa"/>
        </w:trPr>
        <w:tc>
          <w:tcPr>
            <w:tcW w:w="3545" w:type="dxa"/>
            <w:tcBorders>
              <w:top w:val="nil"/>
              <w:left w:val="nil"/>
              <w:bottom w:val="nil"/>
              <w:right w:val="nil"/>
            </w:tcBorders>
            <w:vAlign w:val="center"/>
          </w:tcPr>
          <w:p w14:paraId="0F1DD898" w14:textId="7253EA7C" w:rsidR="006878B8" w:rsidRPr="00A179F3" w:rsidRDefault="006878B8" w:rsidP="006878B8">
            <w:pPr>
              <w:rPr>
                <w:rFonts w:ascii="Arial" w:hAnsi="Arial" w:cs="Arial"/>
                <w:sz w:val="16"/>
                <w:szCs w:val="18"/>
              </w:rPr>
            </w:pPr>
            <w:r w:rsidRPr="00A179F3">
              <w:rPr>
                <w:rFonts w:ascii="Arial" w:hAnsi="Arial" w:cs="Arial"/>
                <w:sz w:val="16"/>
                <w:szCs w:val="18"/>
              </w:rPr>
              <w:t>Provisiones por beneficios por terminación</w:t>
            </w:r>
          </w:p>
        </w:tc>
        <w:tc>
          <w:tcPr>
            <w:tcW w:w="1047" w:type="dxa"/>
            <w:tcBorders>
              <w:top w:val="nil"/>
              <w:left w:val="nil"/>
              <w:bottom w:val="nil"/>
              <w:right w:val="nil"/>
            </w:tcBorders>
            <w:vAlign w:val="bottom"/>
          </w:tcPr>
          <w:p w14:paraId="070B0A13" w14:textId="057EEDE1" w:rsidR="006878B8" w:rsidRPr="00A179F3" w:rsidRDefault="006878B8" w:rsidP="006878B8">
            <w:pPr>
              <w:jc w:val="right"/>
              <w:rPr>
                <w:rFonts w:ascii="Arial" w:hAnsi="Arial" w:cs="Arial"/>
                <w:sz w:val="16"/>
                <w:szCs w:val="18"/>
              </w:rPr>
            </w:pPr>
            <w:r>
              <w:rPr>
                <w:rFonts w:ascii="Arial" w:hAnsi="Arial" w:cs="Arial"/>
                <w:color w:val="000000"/>
                <w:sz w:val="16"/>
                <w:szCs w:val="18"/>
              </w:rPr>
              <w:t>396.082</w:t>
            </w:r>
          </w:p>
        </w:tc>
        <w:tc>
          <w:tcPr>
            <w:tcW w:w="1079" w:type="dxa"/>
            <w:tcBorders>
              <w:top w:val="nil"/>
              <w:left w:val="nil"/>
              <w:bottom w:val="nil"/>
              <w:right w:val="nil"/>
            </w:tcBorders>
            <w:vAlign w:val="bottom"/>
          </w:tcPr>
          <w:p w14:paraId="4D8E3FFC" w14:textId="37EFD3D3" w:rsidR="006878B8" w:rsidRPr="00A179F3" w:rsidRDefault="008E0A39" w:rsidP="005C11BF">
            <w:pPr>
              <w:jc w:val="right"/>
              <w:rPr>
                <w:rFonts w:ascii="Arial" w:hAnsi="Arial" w:cs="Arial"/>
                <w:sz w:val="16"/>
                <w:szCs w:val="18"/>
              </w:rPr>
            </w:pPr>
            <w:r w:rsidRPr="008E0A39">
              <w:rPr>
                <w:rFonts w:ascii="Arial" w:hAnsi="Arial" w:cs="Arial"/>
                <w:sz w:val="16"/>
                <w:szCs w:val="18"/>
              </w:rPr>
              <w:t>741.121</w:t>
            </w:r>
          </w:p>
        </w:tc>
        <w:tc>
          <w:tcPr>
            <w:tcW w:w="1122" w:type="dxa"/>
            <w:tcBorders>
              <w:top w:val="nil"/>
              <w:left w:val="nil"/>
              <w:bottom w:val="nil"/>
              <w:right w:val="nil"/>
            </w:tcBorders>
            <w:vAlign w:val="bottom"/>
          </w:tcPr>
          <w:p w14:paraId="65399284" w14:textId="2B0BD826" w:rsidR="006878B8" w:rsidRPr="00A179F3" w:rsidRDefault="008E0A39" w:rsidP="005C11BF">
            <w:pPr>
              <w:jc w:val="right"/>
              <w:rPr>
                <w:rFonts w:ascii="Arial" w:hAnsi="Arial" w:cs="Arial"/>
                <w:sz w:val="16"/>
                <w:szCs w:val="18"/>
              </w:rPr>
            </w:pPr>
            <w:r>
              <w:rPr>
                <w:rFonts w:ascii="Arial" w:hAnsi="Arial" w:cs="Arial"/>
                <w:sz w:val="16"/>
                <w:szCs w:val="18"/>
              </w:rPr>
              <w:t>-</w:t>
            </w:r>
          </w:p>
        </w:tc>
        <w:tc>
          <w:tcPr>
            <w:tcW w:w="1275" w:type="dxa"/>
            <w:tcBorders>
              <w:top w:val="nil"/>
              <w:left w:val="nil"/>
              <w:bottom w:val="nil"/>
              <w:right w:val="nil"/>
            </w:tcBorders>
            <w:vAlign w:val="bottom"/>
          </w:tcPr>
          <w:p w14:paraId="6CB6C856" w14:textId="0B67E012" w:rsidR="006878B8" w:rsidRPr="00A179F3" w:rsidRDefault="008E0A39" w:rsidP="005C11BF">
            <w:pPr>
              <w:jc w:val="right"/>
              <w:rPr>
                <w:rFonts w:ascii="Arial" w:hAnsi="Arial" w:cs="Arial"/>
                <w:sz w:val="16"/>
                <w:szCs w:val="18"/>
              </w:rPr>
            </w:pPr>
            <w:r w:rsidRPr="008E0A39">
              <w:rPr>
                <w:rFonts w:ascii="Arial" w:hAnsi="Arial" w:cs="Arial"/>
                <w:sz w:val="16"/>
                <w:szCs w:val="18"/>
              </w:rPr>
              <w:t>-189.667</w:t>
            </w:r>
          </w:p>
        </w:tc>
        <w:tc>
          <w:tcPr>
            <w:tcW w:w="1147" w:type="dxa"/>
            <w:tcBorders>
              <w:top w:val="nil"/>
              <w:left w:val="nil"/>
              <w:bottom w:val="nil"/>
              <w:right w:val="nil"/>
            </w:tcBorders>
            <w:vAlign w:val="bottom"/>
          </w:tcPr>
          <w:p w14:paraId="3B308B25" w14:textId="0D27F1E0" w:rsidR="006878B8" w:rsidRPr="00A179F3" w:rsidRDefault="008E0A39" w:rsidP="005C11BF">
            <w:pPr>
              <w:jc w:val="right"/>
              <w:rPr>
                <w:rFonts w:ascii="Arial" w:hAnsi="Arial" w:cs="Arial"/>
                <w:sz w:val="16"/>
                <w:szCs w:val="18"/>
              </w:rPr>
            </w:pPr>
            <w:r w:rsidRPr="008E0A39">
              <w:rPr>
                <w:rFonts w:ascii="Arial" w:hAnsi="Arial" w:cs="Arial"/>
                <w:sz w:val="16"/>
                <w:szCs w:val="18"/>
              </w:rPr>
              <w:t>947.536</w:t>
            </w:r>
          </w:p>
        </w:tc>
        <w:tc>
          <w:tcPr>
            <w:tcW w:w="1134" w:type="dxa"/>
            <w:tcBorders>
              <w:top w:val="nil"/>
              <w:left w:val="nil"/>
              <w:bottom w:val="nil"/>
              <w:right w:val="nil"/>
            </w:tcBorders>
            <w:vAlign w:val="bottom"/>
          </w:tcPr>
          <w:p w14:paraId="5056E6AD" w14:textId="3388A371" w:rsidR="006878B8" w:rsidRPr="00A179F3" w:rsidRDefault="006878B8" w:rsidP="005C11BF">
            <w:pPr>
              <w:jc w:val="right"/>
              <w:rPr>
                <w:rFonts w:ascii="Arial" w:hAnsi="Arial" w:cs="Arial"/>
                <w:sz w:val="16"/>
                <w:szCs w:val="18"/>
              </w:rPr>
            </w:pPr>
            <w:r>
              <w:rPr>
                <w:rFonts w:ascii="Arial" w:hAnsi="Arial" w:cs="Arial"/>
                <w:color w:val="000000"/>
                <w:sz w:val="16"/>
                <w:szCs w:val="18"/>
              </w:rPr>
              <w:t>396.082</w:t>
            </w:r>
          </w:p>
        </w:tc>
      </w:tr>
      <w:tr w:rsidR="006878B8" w:rsidRPr="007B34B2" w14:paraId="666DE6BA" w14:textId="77777777" w:rsidTr="005C11BF">
        <w:trPr>
          <w:gridAfter w:val="1"/>
          <w:wAfter w:w="7" w:type="dxa"/>
        </w:trPr>
        <w:tc>
          <w:tcPr>
            <w:tcW w:w="3545" w:type="dxa"/>
            <w:tcBorders>
              <w:top w:val="nil"/>
              <w:left w:val="nil"/>
              <w:bottom w:val="nil"/>
              <w:right w:val="nil"/>
            </w:tcBorders>
            <w:vAlign w:val="center"/>
          </w:tcPr>
          <w:p w14:paraId="1C7B02FD" w14:textId="52D87E2E" w:rsidR="006878B8" w:rsidRPr="00A179F3" w:rsidRDefault="006878B8" w:rsidP="006878B8">
            <w:pPr>
              <w:rPr>
                <w:rFonts w:ascii="Arial" w:hAnsi="Arial" w:cs="Arial"/>
                <w:sz w:val="16"/>
                <w:szCs w:val="18"/>
              </w:rPr>
            </w:pPr>
            <w:r w:rsidRPr="00A179F3">
              <w:rPr>
                <w:rFonts w:ascii="Arial" w:hAnsi="Arial" w:cs="Arial"/>
                <w:sz w:val="16"/>
                <w:szCs w:val="18"/>
              </w:rPr>
              <w:t>Otras</w:t>
            </w:r>
          </w:p>
        </w:tc>
        <w:tc>
          <w:tcPr>
            <w:tcW w:w="1047" w:type="dxa"/>
            <w:tcBorders>
              <w:top w:val="nil"/>
              <w:left w:val="nil"/>
              <w:bottom w:val="nil"/>
              <w:right w:val="nil"/>
            </w:tcBorders>
            <w:vAlign w:val="bottom"/>
          </w:tcPr>
          <w:p w14:paraId="362E7462" w14:textId="540AA29A" w:rsidR="006878B8" w:rsidRPr="00A179F3" w:rsidRDefault="006878B8" w:rsidP="006878B8">
            <w:pPr>
              <w:jc w:val="right"/>
              <w:rPr>
                <w:rFonts w:ascii="Arial" w:hAnsi="Arial" w:cs="Arial"/>
                <w:sz w:val="16"/>
                <w:szCs w:val="18"/>
              </w:rPr>
            </w:pPr>
            <w:r>
              <w:rPr>
                <w:rFonts w:ascii="Arial" w:hAnsi="Arial" w:cs="Arial"/>
                <w:color w:val="000000"/>
                <w:sz w:val="16"/>
                <w:szCs w:val="18"/>
              </w:rPr>
              <w:t>263.189</w:t>
            </w:r>
          </w:p>
        </w:tc>
        <w:tc>
          <w:tcPr>
            <w:tcW w:w="1079" w:type="dxa"/>
            <w:tcBorders>
              <w:top w:val="nil"/>
              <w:left w:val="nil"/>
              <w:bottom w:val="nil"/>
              <w:right w:val="nil"/>
            </w:tcBorders>
            <w:vAlign w:val="bottom"/>
          </w:tcPr>
          <w:p w14:paraId="2F33B097" w14:textId="08D80F68" w:rsidR="006878B8" w:rsidRPr="00A179F3" w:rsidRDefault="008E0A39" w:rsidP="005C11BF">
            <w:pPr>
              <w:jc w:val="right"/>
              <w:rPr>
                <w:rFonts w:ascii="Arial" w:hAnsi="Arial" w:cs="Arial"/>
                <w:sz w:val="16"/>
                <w:szCs w:val="18"/>
              </w:rPr>
            </w:pPr>
            <w:r w:rsidRPr="008E0A39">
              <w:rPr>
                <w:rFonts w:ascii="Arial" w:hAnsi="Arial" w:cs="Arial"/>
                <w:sz w:val="16"/>
                <w:szCs w:val="18"/>
              </w:rPr>
              <w:t>139.298</w:t>
            </w:r>
          </w:p>
        </w:tc>
        <w:tc>
          <w:tcPr>
            <w:tcW w:w="1122" w:type="dxa"/>
            <w:tcBorders>
              <w:top w:val="nil"/>
              <w:left w:val="nil"/>
              <w:bottom w:val="nil"/>
              <w:right w:val="nil"/>
            </w:tcBorders>
            <w:vAlign w:val="bottom"/>
          </w:tcPr>
          <w:p w14:paraId="6D0A544A" w14:textId="79C793F2" w:rsidR="006878B8" w:rsidRPr="00A179F3" w:rsidRDefault="008E0A39" w:rsidP="005C11BF">
            <w:pPr>
              <w:jc w:val="right"/>
              <w:rPr>
                <w:rFonts w:ascii="Arial" w:hAnsi="Arial" w:cs="Arial"/>
                <w:sz w:val="16"/>
                <w:szCs w:val="18"/>
              </w:rPr>
            </w:pPr>
            <w:r w:rsidRPr="008E0A39">
              <w:rPr>
                <w:rFonts w:ascii="Arial" w:hAnsi="Arial" w:cs="Arial"/>
                <w:sz w:val="16"/>
                <w:szCs w:val="18"/>
              </w:rPr>
              <w:t>-9.934</w:t>
            </w:r>
          </w:p>
        </w:tc>
        <w:tc>
          <w:tcPr>
            <w:tcW w:w="1275" w:type="dxa"/>
            <w:tcBorders>
              <w:top w:val="nil"/>
              <w:left w:val="nil"/>
              <w:bottom w:val="nil"/>
              <w:right w:val="nil"/>
            </w:tcBorders>
            <w:vAlign w:val="bottom"/>
          </w:tcPr>
          <w:p w14:paraId="40508701" w14:textId="402F4C05" w:rsidR="006878B8" w:rsidRPr="00A179F3" w:rsidRDefault="008E0A39" w:rsidP="005C11BF">
            <w:pPr>
              <w:jc w:val="right"/>
              <w:rPr>
                <w:rFonts w:ascii="Arial" w:hAnsi="Arial" w:cs="Arial"/>
                <w:sz w:val="16"/>
                <w:szCs w:val="18"/>
              </w:rPr>
            </w:pPr>
            <w:r w:rsidRPr="008E0A39">
              <w:rPr>
                <w:rFonts w:ascii="Arial" w:hAnsi="Arial" w:cs="Arial"/>
                <w:sz w:val="16"/>
                <w:szCs w:val="18"/>
              </w:rPr>
              <w:t>-13.204</w:t>
            </w:r>
          </w:p>
        </w:tc>
        <w:tc>
          <w:tcPr>
            <w:tcW w:w="1147" w:type="dxa"/>
            <w:tcBorders>
              <w:top w:val="nil"/>
              <w:left w:val="nil"/>
              <w:bottom w:val="nil"/>
              <w:right w:val="nil"/>
            </w:tcBorders>
            <w:vAlign w:val="bottom"/>
          </w:tcPr>
          <w:p w14:paraId="6C580F65" w14:textId="17DE8243" w:rsidR="006878B8" w:rsidRPr="00A179F3" w:rsidRDefault="008E0A39" w:rsidP="005C11BF">
            <w:pPr>
              <w:jc w:val="right"/>
              <w:rPr>
                <w:rFonts w:ascii="Arial" w:hAnsi="Arial" w:cs="Arial"/>
                <w:sz w:val="16"/>
                <w:szCs w:val="18"/>
              </w:rPr>
            </w:pPr>
            <w:r w:rsidRPr="008E0A39">
              <w:rPr>
                <w:rFonts w:ascii="Arial" w:hAnsi="Arial" w:cs="Arial"/>
                <w:sz w:val="16"/>
                <w:szCs w:val="18"/>
              </w:rPr>
              <w:t>379.349</w:t>
            </w:r>
          </w:p>
        </w:tc>
        <w:tc>
          <w:tcPr>
            <w:tcW w:w="1134" w:type="dxa"/>
            <w:tcBorders>
              <w:top w:val="nil"/>
              <w:left w:val="nil"/>
              <w:bottom w:val="nil"/>
              <w:right w:val="nil"/>
            </w:tcBorders>
            <w:vAlign w:val="bottom"/>
          </w:tcPr>
          <w:p w14:paraId="09539453" w14:textId="0E5E50F5" w:rsidR="006878B8" w:rsidRPr="00A179F3" w:rsidRDefault="006878B8" w:rsidP="005C11BF">
            <w:pPr>
              <w:jc w:val="right"/>
              <w:rPr>
                <w:rFonts w:ascii="Arial" w:hAnsi="Arial" w:cs="Arial"/>
                <w:sz w:val="16"/>
                <w:szCs w:val="18"/>
              </w:rPr>
            </w:pPr>
            <w:r>
              <w:rPr>
                <w:rFonts w:ascii="Arial" w:hAnsi="Arial" w:cs="Arial"/>
                <w:color w:val="000000"/>
                <w:sz w:val="16"/>
                <w:szCs w:val="18"/>
              </w:rPr>
              <w:t>263.189</w:t>
            </w:r>
          </w:p>
        </w:tc>
      </w:tr>
      <w:tr w:rsidR="006878B8" w:rsidRPr="00A179F3" w14:paraId="0F467B32" w14:textId="77777777" w:rsidTr="005C11BF">
        <w:trPr>
          <w:gridAfter w:val="1"/>
          <w:wAfter w:w="7" w:type="dxa"/>
          <w:trHeight w:val="108"/>
        </w:trPr>
        <w:tc>
          <w:tcPr>
            <w:tcW w:w="3545" w:type="dxa"/>
            <w:tcBorders>
              <w:top w:val="nil"/>
              <w:left w:val="nil"/>
              <w:bottom w:val="nil"/>
              <w:right w:val="nil"/>
            </w:tcBorders>
            <w:vAlign w:val="bottom"/>
          </w:tcPr>
          <w:p w14:paraId="131C2DE9" w14:textId="1D702E69" w:rsidR="006878B8" w:rsidRPr="00A179F3" w:rsidRDefault="006878B8" w:rsidP="006878B8">
            <w:pPr>
              <w:rPr>
                <w:rFonts w:ascii="Arial" w:hAnsi="Arial" w:cs="Arial"/>
                <w:b/>
                <w:sz w:val="16"/>
                <w:szCs w:val="18"/>
              </w:rPr>
            </w:pPr>
            <w:r>
              <w:rPr>
                <w:rFonts w:ascii="Arial" w:hAnsi="Arial" w:cs="Arial"/>
                <w:b/>
                <w:sz w:val="16"/>
                <w:szCs w:val="18"/>
              </w:rPr>
              <w:t>TOTAL PROVISIONES</w:t>
            </w:r>
          </w:p>
        </w:tc>
        <w:tc>
          <w:tcPr>
            <w:tcW w:w="1047" w:type="dxa"/>
            <w:tcBorders>
              <w:top w:val="single" w:sz="4" w:space="0" w:color="auto"/>
              <w:left w:val="nil"/>
              <w:bottom w:val="single" w:sz="4" w:space="0" w:color="auto"/>
              <w:right w:val="nil"/>
            </w:tcBorders>
            <w:vAlign w:val="center"/>
          </w:tcPr>
          <w:p w14:paraId="3B19F77F" w14:textId="1001F488" w:rsidR="006878B8" w:rsidRPr="00A179F3" w:rsidRDefault="006878B8" w:rsidP="006878B8">
            <w:pPr>
              <w:jc w:val="right"/>
              <w:rPr>
                <w:rFonts w:ascii="Arial" w:hAnsi="Arial" w:cs="Arial"/>
                <w:b/>
                <w:sz w:val="16"/>
                <w:szCs w:val="18"/>
              </w:rPr>
            </w:pPr>
            <w:r>
              <w:rPr>
                <w:rFonts w:ascii="Arial" w:hAnsi="Arial" w:cs="Arial"/>
                <w:b/>
                <w:bCs/>
                <w:color w:val="000000"/>
                <w:sz w:val="16"/>
                <w:szCs w:val="18"/>
              </w:rPr>
              <w:t>670.376</w:t>
            </w:r>
          </w:p>
        </w:tc>
        <w:tc>
          <w:tcPr>
            <w:tcW w:w="1079" w:type="dxa"/>
            <w:tcBorders>
              <w:top w:val="single" w:sz="4" w:space="0" w:color="auto"/>
              <w:left w:val="nil"/>
              <w:bottom w:val="single" w:sz="4" w:space="0" w:color="auto"/>
              <w:right w:val="nil"/>
            </w:tcBorders>
            <w:vAlign w:val="bottom"/>
          </w:tcPr>
          <w:p w14:paraId="6E389149" w14:textId="3A93AC01" w:rsidR="006878B8" w:rsidRPr="00A179F3" w:rsidRDefault="008E0A39" w:rsidP="005C11BF">
            <w:pPr>
              <w:jc w:val="right"/>
              <w:rPr>
                <w:rFonts w:ascii="Arial" w:hAnsi="Arial" w:cs="Arial"/>
                <w:b/>
                <w:sz w:val="16"/>
                <w:szCs w:val="18"/>
              </w:rPr>
            </w:pPr>
            <w:r w:rsidRPr="008E0A39">
              <w:rPr>
                <w:rFonts w:ascii="Arial" w:hAnsi="Arial" w:cs="Arial"/>
                <w:b/>
                <w:sz w:val="16"/>
                <w:szCs w:val="18"/>
              </w:rPr>
              <w:t>1.392.518</w:t>
            </w:r>
          </w:p>
        </w:tc>
        <w:tc>
          <w:tcPr>
            <w:tcW w:w="1122" w:type="dxa"/>
            <w:tcBorders>
              <w:top w:val="single" w:sz="4" w:space="0" w:color="auto"/>
              <w:left w:val="nil"/>
              <w:bottom w:val="single" w:sz="4" w:space="0" w:color="auto"/>
              <w:right w:val="nil"/>
            </w:tcBorders>
            <w:vAlign w:val="bottom"/>
          </w:tcPr>
          <w:p w14:paraId="0B2A88AC" w14:textId="69E30A3C" w:rsidR="006878B8" w:rsidRPr="00A179F3" w:rsidRDefault="008E0A39" w:rsidP="005C11BF">
            <w:pPr>
              <w:jc w:val="right"/>
              <w:rPr>
                <w:rFonts w:ascii="Arial" w:hAnsi="Arial" w:cs="Arial"/>
                <w:b/>
                <w:sz w:val="16"/>
                <w:szCs w:val="18"/>
              </w:rPr>
            </w:pPr>
            <w:r w:rsidRPr="008E0A39">
              <w:rPr>
                <w:rFonts w:ascii="Arial" w:hAnsi="Arial" w:cs="Arial"/>
                <w:b/>
                <w:sz w:val="16"/>
                <w:szCs w:val="18"/>
              </w:rPr>
              <w:t>-13.184</w:t>
            </w:r>
          </w:p>
        </w:tc>
        <w:tc>
          <w:tcPr>
            <w:tcW w:w="1275" w:type="dxa"/>
            <w:tcBorders>
              <w:top w:val="single" w:sz="4" w:space="0" w:color="auto"/>
              <w:left w:val="nil"/>
              <w:bottom w:val="single" w:sz="4" w:space="0" w:color="auto"/>
              <w:right w:val="nil"/>
            </w:tcBorders>
            <w:vAlign w:val="bottom"/>
          </w:tcPr>
          <w:p w14:paraId="79C9D85E" w14:textId="59B9057F" w:rsidR="006878B8" w:rsidRPr="00A179F3" w:rsidRDefault="008E0A39" w:rsidP="005C11BF">
            <w:pPr>
              <w:jc w:val="right"/>
              <w:rPr>
                <w:rFonts w:ascii="Arial" w:hAnsi="Arial" w:cs="Arial"/>
                <w:b/>
                <w:sz w:val="16"/>
                <w:szCs w:val="18"/>
              </w:rPr>
            </w:pPr>
            <w:r w:rsidRPr="008E0A39">
              <w:rPr>
                <w:rFonts w:ascii="Arial" w:hAnsi="Arial" w:cs="Arial"/>
                <w:b/>
                <w:sz w:val="16"/>
                <w:szCs w:val="18"/>
              </w:rPr>
              <w:t>-210.418</w:t>
            </w:r>
          </w:p>
        </w:tc>
        <w:tc>
          <w:tcPr>
            <w:tcW w:w="1147" w:type="dxa"/>
            <w:tcBorders>
              <w:top w:val="single" w:sz="4" w:space="0" w:color="auto"/>
              <w:left w:val="nil"/>
              <w:bottom w:val="single" w:sz="4" w:space="0" w:color="auto"/>
              <w:right w:val="nil"/>
            </w:tcBorders>
            <w:vAlign w:val="bottom"/>
          </w:tcPr>
          <w:p w14:paraId="4F7E7C98" w14:textId="613D3E84" w:rsidR="006878B8" w:rsidRPr="00A179F3" w:rsidRDefault="008E0A39" w:rsidP="005C11BF">
            <w:pPr>
              <w:jc w:val="right"/>
              <w:rPr>
                <w:rFonts w:ascii="Arial" w:hAnsi="Arial" w:cs="Arial"/>
                <w:b/>
                <w:sz w:val="16"/>
                <w:szCs w:val="18"/>
              </w:rPr>
            </w:pPr>
            <w:r w:rsidRPr="008E0A39">
              <w:rPr>
                <w:rFonts w:ascii="Arial" w:hAnsi="Arial" w:cs="Arial"/>
                <w:b/>
                <w:sz w:val="16"/>
                <w:szCs w:val="18"/>
              </w:rPr>
              <w:t>1.839.29</w:t>
            </w:r>
            <w:r w:rsidR="00C679F7">
              <w:rPr>
                <w:rFonts w:ascii="Arial" w:hAnsi="Arial" w:cs="Arial"/>
                <w:b/>
                <w:sz w:val="16"/>
                <w:szCs w:val="18"/>
              </w:rPr>
              <w:t>2</w:t>
            </w:r>
          </w:p>
        </w:tc>
        <w:tc>
          <w:tcPr>
            <w:tcW w:w="1134" w:type="dxa"/>
            <w:tcBorders>
              <w:top w:val="single" w:sz="4" w:space="0" w:color="auto"/>
              <w:left w:val="nil"/>
              <w:bottom w:val="single" w:sz="4" w:space="0" w:color="auto"/>
              <w:right w:val="nil"/>
            </w:tcBorders>
            <w:vAlign w:val="bottom"/>
          </w:tcPr>
          <w:p w14:paraId="427EA32B" w14:textId="7B7FE34A" w:rsidR="006878B8" w:rsidRPr="00A179F3" w:rsidRDefault="006878B8" w:rsidP="005C11BF">
            <w:pPr>
              <w:jc w:val="right"/>
              <w:rPr>
                <w:rFonts w:ascii="Arial" w:hAnsi="Arial" w:cs="Arial"/>
                <w:b/>
                <w:sz w:val="16"/>
                <w:szCs w:val="18"/>
              </w:rPr>
            </w:pPr>
            <w:r>
              <w:rPr>
                <w:rFonts w:ascii="Arial" w:hAnsi="Arial" w:cs="Arial"/>
                <w:b/>
                <w:bCs/>
                <w:color w:val="000000"/>
                <w:sz w:val="16"/>
                <w:szCs w:val="18"/>
              </w:rPr>
              <w:t>670.376</w:t>
            </w:r>
          </w:p>
        </w:tc>
      </w:tr>
    </w:tbl>
    <w:p w14:paraId="6CAEF52E" w14:textId="6C38F69B" w:rsidR="00860C48" w:rsidRPr="00211162" w:rsidRDefault="00860C48" w:rsidP="00211162">
      <w:pPr>
        <w:rPr>
          <w:rFonts w:ascii="Arial" w:hAnsi="Arial" w:cs="Arial"/>
          <w:sz w:val="16"/>
          <w:szCs w:val="16"/>
        </w:rPr>
      </w:pPr>
    </w:p>
    <w:p w14:paraId="0F00C878" w14:textId="0393D1F1" w:rsidR="007A7EC4" w:rsidRPr="00211162" w:rsidRDefault="00211162" w:rsidP="00211162">
      <w:pPr>
        <w:ind w:left="-284"/>
        <w:rPr>
          <w:rFonts w:ascii="Arial" w:hAnsi="Arial" w:cs="Arial"/>
          <w:sz w:val="16"/>
          <w:szCs w:val="16"/>
        </w:rPr>
      </w:pPr>
      <w:r>
        <w:rPr>
          <w:rFonts w:ascii="Arial" w:hAnsi="Arial" w:cs="Arial"/>
          <w:sz w:val="16"/>
          <w:szCs w:val="16"/>
        </w:rPr>
        <w:t>(*)</w:t>
      </w:r>
      <w:r w:rsidRPr="00211162">
        <w:rPr>
          <w:rFonts w:ascii="Arial" w:hAnsi="Arial" w:cs="Arial"/>
          <w:sz w:val="16"/>
          <w:szCs w:val="16"/>
        </w:rPr>
        <w:t xml:space="preserve"> </w:t>
      </w:r>
      <w:r>
        <w:rPr>
          <w:rFonts w:ascii="Arial" w:hAnsi="Arial" w:cs="Arial"/>
          <w:sz w:val="16"/>
          <w:szCs w:val="16"/>
        </w:rPr>
        <w:t>En el total se incluyen</w:t>
      </w:r>
      <w:r w:rsidRPr="00211162">
        <w:rPr>
          <w:rFonts w:ascii="Arial" w:hAnsi="Arial" w:cs="Arial"/>
          <w:sz w:val="16"/>
          <w:szCs w:val="16"/>
        </w:rPr>
        <w:t xml:space="preserve"> Prejubilaciones</w:t>
      </w:r>
      <w:r>
        <w:rPr>
          <w:rFonts w:ascii="Arial" w:hAnsi="Arial" w:cs="Arial"/>
          <w:sz w:val="16"/>
          <w:szCs w:val="16"/>
        </w:rPr>
        <w:t xml:space="preserve"> por</w:t>
      </w:r>
      <w:r w:rsidRPr="00211162">
        <w:rPr>
          <w:rFonts w:ascii="Arial" w:hAnsi="Arial" w:cs="Arial"/>
          <w:sz w:val="16"/>
          <w:szCs w:val="16"/>
        </w:rPr>
        <w:t xml:space="preserve"> </w:t>
      </w:r>
      <w:r w:rsidR="008A6827">
        <w:rPr>
          <w:rFonts w:ascii="Arial" w:hAnsi="Arial" w:cs="Arial"/>
          <w:sz w:val="16"/>
          <w:szCs w:val="16"/>
        </w:rPr>
        <w:t>947.535</w:t>
      </w:r>
      <w:r w:rsidRPr="00211162">
        <w:rPr>
          <w:rFonts w:ascii="Arial" w:hAnsi="Arial" w:cs="Arial"/>
          <w:sz w:val="16"/>
          <w:szCs w:val="16"/>
        </w:rPr>
        <w:t xml:space="preserve"> y </w:t>
      </w:r>
      <w:r w:rsidR="00BE29BE">
        <w:rPr>
          <w:rFonts w:ascii="Arial" w:hAnsi="Arial" w:cs="Arial"/>
          <w:sz w:val="16"/>
          <w:szCs w:val="16"/>
        </w:rPr>
        <w:t>provisión</w:t>
      </w:r>
      <w:r>
        <w:rPr>
          <w:rFonts w:ascii="Arial" w:hAnsi="Arial" w:cs="Arial"/>
          <w:sz w:val="16"/>
          <w:szCs w:val="16"/>
        </w:rPr>
        <w:t xml:space="preserve"> </w:t>
      </w:r>
      <w:r w:rsidRPr="00211162">
        <w:rPr>
          <w:rFonts w:ascii="Arial" w:hAnsi="Arial" w:cs="Arial"/>
          <w:sz w:val="16"/>
          <w:szCs w:val="16"/>
        </w:rPr>
        <w:t xml:space="preserve">Premios a la trayectoria </w:t>
      </w:r>
      <w:r>
        <w:rPr>
          <w:rFonts w:ascii="Arial" w:hAnsi="Arial" w:cs="Arial"/>
          <w:sz w:val="16"/>
          <w:szCs w:val="16"/>
        </w:rPr>
        <w:t xml:space="preserve">por </w:t>
      </w:r>
      <w:r w:rsidR="008A6827">
        <w:rPr>
          <w:rFonts w:ascii="Arial" w:hAnsi="Arial" w:cs="Arial"/>
          <w:sz w:val="16"/>
          <w:szCs w:val="16"/>
        </w:rPr>
        <w:t>337.860</w:t>
      </w:r>
      <w:r w:rsidRPr="00211162">
        <w:rPr>
          <w:rFonts w:ascii="Arial" w:hAnsi="Arial" w:cs="Arial"/>
          <w:sz w:val="16"/>
          <w:szCs w:val="16"/>
        </w:rPr>
        <w:t>.</w:t>
      </w:r>
    </w:p>
    <w:p w14:paraId="60F09959" w14:textId="0937D609" w:rsidR="007B34B2" w:rsidRPr="007B34B2" w:rsidRDefault="007B34B2" w:rsidP="003233E9">
      <w:pPr>
        <w:jc w:val="center"/>
      </w:pPr>
    </w:p>
    <w:p w14:paraId="6C22E9B6" w14:textId="126CDD9C" w:rsidR="007B34B2" w:rsidRPr="007B34B2" w:rsidRDefault="007B34B2" w:rsidP="00940F41"/>
    <w:p w14:paraId="757E7220" w14:textId="0EED2845" w:rsidR="007B34B2" w:rsidRPr="007B34B2" w:rsidRDefault="007B34B2" w:rsidP="003233E9">
      <w:pPr>
        <w:jc w:val="center"/>
      </w:pPr>
    </w:p>
    <w:p w14:paraId="63236E7C" w14:textId="77777777" w:rsidR="0023536E" w:rsidRDefault="0023536E" w:rsidP="003233E9">
      <w:pPr>
        <w:jc w:val="center"/>
        <w:sectPr w:rsidR="0023536E" w:rsidSect="00425F99">
          <w:headerReference w:type="default" r:id="rId61"/>
          <w:pgSz w:w="11907" w:h="16839" w:code="9"/>
          <w:pgMar w:top="1418" w:right="1701" w:bottom="1418" w:left="1701" w:header="567" w:footer="0" w:gutter="0"/>
          <w:paperSrc w:first="256" w:other="256"/>
          <w:cols w:space="720"/>
          <w:docGrid w:linePitch="326"/>
        </w:sectPr>
      </w:pPr>
    </w:p>
    <w:tbl>
      <w:tblPr>
        <w:tblW w:w="9707" w:type="dxa"/>
        <w:tblInd w:w="-72" w:type="dxa"/>
        <w:tblCellMar>
          <w:left w:w="70" w:type="dxa"/>
          <w:right w:w="70" w:type="dxa"/>
        </w:tblCellMar>
        <w:tblLook w:val="04A0" w:firstRow="1" w:lastRow="0" w:firstColumn="1" w:lastColumn="0" w:noHBand="0" w:noVBand="1"/>
      </w:tblPr>
      <w:tblGrid>
        <w:gridCol w:w="2975"/>
        <w:gridCol w:w="1253"/>
        <w:gridCol w:w="1054"/>
        <w:gridCol w:w="1538"/>
        <w:gridCol w:w="1440"/>
        <w:gridCol w:w="1300"/>
        <w:gridCol w:w="147"/>
      </w:tblGrid>
      <w:tr w:rsidR="0023536E" w:rsidRPr="0023536E" w14:paraId="2CDF30EC" w14:textId="77777777" w:rsidTr="00F7109C">
        <w:trPr>
          <w:gridAfter w:val="1"/>
          <w:wAfter w:w="147" w:type="dxa"/>
          <w:trHeight w:val="319"/>
        </w:trPr>
        <w:tc>
          <w:tcPr>
            <w:tcW w:w="6820" w:type="dxa"/>
            <w:gridSpan w:val="4"/>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hideMark/>
          </w:tcPr>
          <w:p w14:paraId="397AA75C" w14:textId="77777777" w:rsidR="0023536E" w:rsidRPr="0023536E" w:rsidRDefault="0023536E" w:rsidP="0023536E">
            <w:pPr>
              <w:jc w:val="center"/>
              <w:rPr>
                <w:rFonts w:ascii="Arial" w:hAnsi="Arial" w:cs="Arial"/>
                <w:b/>
                <w:bCs/>
                <w:sz w:val="20"/>
                <w:lang w:eastAsia="es-AR"/>
              </w:rPr>
            </w:pPr>
            <w:r w:rsidRPr="0023536E">
              <w:rPr>
                <w:rFonts w:ascii="Arial" w:hAnsi="Arial" w:cs="Arial"/>
                <w:b/>
                <w:bCs/>
                <w:sz w:val="20"/>
                <w:lang w:eastAsia="es-AR"/>
              </w:rPr>
              <w:t>Acciones</w:t>
            </w:r>
          </w:p>
        </w:tc>
        <w:tc>
          <w:tcPr>
            <w:tcW w:w="2740" w:type="dxa"/>
            <w:gridSpan w:val="2"/>
            <w:tcBorders>
              <w:top w:val="single" w:sz="4" w:space="0" w:color="363639"/>
              <w:left w:val="nil"/>
              <w:bottom w:val="single" w:sz="4" w:space="0" w:color="363639"/>
              <w:right w:val="nil"/>
            </w:tcBorders>
            <w:shd w:val="clear" w:color="auto" w:fill="BFBFBF" w:themeFill="background1" w:themeFillShade="BF"/>
            <w:noWrap/>
            <w:hideMark/>
          </w:tcPr>
          <w:p w14:paraId="31733C5B" w14:textId="77777777" w:rsidR="0023536E" w:rsidRPr="0023536E" w:rsidRDefault="0023536E" w:rsidP="0023536E">
            <w:pPr>
              <w:jc w:val="center"/>
              <w:rPr>
                <w:rFonts w:ascii="Arial" w:hAnsi="Arial" w:cs="Arial"/>
                <w:b/>
                <w:bCs/>
                <w:sz w:val="20"/>
                <w:lang w:eastAsia="es-AR"/>
              </w:rPr>
            </w:pPr>
            <w:r w:rsidRPr="0023536E">
              <w:rPr>
                <w:rFonts w:ascii="Arial" w:hAnsi="Arial" w:cs="Arial"/>
                <w:b/>
                <w:bCs/>
                <w:sz w:val="20"/>
                <w:lang w:eastAsia="es-AR"/>
              </w:rPr>
              <w:t>Capital social</w:t>
            </w:r>
          </w:p>
        </w:tc>
      </w:tr>
      <w:tr w:rsidR="0023536E" w:rsidRPr="0023536E" w14:paraId="652DBA9F" w14:textId="77777777" w:rsidTr="00F7109C">
        <w:trPr>
          <w:trHeight w:val="225"/>
        </w:trPr>
        <w:tc>
          <w:tcPr>
            <w:tcW w:w="2975"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09649A9D" w14:textId="77777777" w:rsidR="0023536E" w:rsidRPr="0023536E" w:rsidRDefault="0023536E" w:rsidP="0023536E">
            <w:pPr>
              <w:jc w:val="center"/>
              <w:rPr>
                <w:rFonts w:ascii="Arial" w:hAnsi="Arial" w:cs="Arial"/>
                <w:b/>
                <w:bCs/>
                <w:sz w:val="20"/>
                <w:lang w:eastAsia="es-AR"/>
              </w:rPr>
            </w:pPr>
            <w:r w:rsidRPr="0023536E">
              <w:rPr>
                <w:rFonts w:ascii="Arial" w:hAnsi="Arial" w:cs="Arial"/>
                <w:b/>
                <w:bCs/>
                <w:sz w:val="20"/>
                <w:lang w:eastAsia="es-AR"/>
              </w:rPr>
              <w:t>Clase</w:t>
            </w:r>
          </w:p>
        </w:tc>
        <w:tc>
          <w:tcPr>
            <w:tcW w:w="1253"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738C3A72" w14:textId="77777777" w:rsidR="0023536E" w:rsidRPr="0023536E" w:rsidRDefault="0023536E" w:rsidP="0023536E">
            <w:pPr>
              <w:jc w:val="center"/>
              <w:rPr>
                <w:rFonts w:ascii="Arial" w:hAnsi="Arial" w:cs="Arial"/>
                <w:b/>
                <w:bCs/>
                <w:sz w:val="20"/>
                <w:lang w:eastAsia="es-AR"/>
              </w:rPr>
            </w:pPr>
            <w:r w:rsidRPr="0023536E">
              <w:rPr>
                <w:rFonts w:ascii="Arial" w:hAnsi="Arial" w:cs="Arial"/>
                <w:b/>
                <w:bCs/>
                <w:sz w:val="20"/>
                <w:lang w:eastAsia="es-AR"/>
              </w:rPr>
              <w:t>Cantidad</w:t>
            </w:r>
          </w:p>
        </w:tc>
        <w:tc>
          <w:tcPr>
            <w:tcW w:w="1054"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65AB1735" w14:textId="77777777" w:rsidR="0023536E" w:rsidRPr="0023536E" w:rsidRDefault="0023536E" w:rsidP="0023536E">
            <w:pPr>
              <w:jc w:val="center"/>
              <w:rPr>
                <w:rFonts w:ascii="Arial" w:hAnsi="Arial" w:cs="Arial"/>
                <w:b/>
                <w:bCs/>
                <w:sz w:val="20"/>
                <w:lang w:eastAsia="es-AR"/>
              </w:rPr>
            </w:pPr>
            <w:r w:rsidRPr="0023536E">
              <w:rPr>
                <w:rFonts w:ascii="Arial" w:hAnsi="Arial" w:cs="Arial"/>
                <w:b/>
                <w:bCs/>
                <w:sz w:val="20"/>
                <w:lang w:eastAsia="es-AR"/>
              </w:rPr>
              <w:t>Votos por acción</w:t>
            </w:r>
          </w:p>
        </w:tc>
        <w:tc>
          <w:tcPr>
            <w:tcW w:w="2978"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hideMark/>
          </w:tcPr>
          <w:p w14:paraId="6FA62664" w14:textId="77777777" w:rsidR="0023536E" w:rsidRPr="0023536E" w:rsidRDefault="0023536E" w:rsidP="0023536E">
            <w:pPr>
              <w:jc w:val="center"/>
              <w:rPr>
                <w:rFonts w:ascii="Arial" w:hAnsi="Arial" w:cs="Arial"/>
                <w:b/>
                <w:bCs/>
                <w:sz w:val="20"/>
                <w:lang w:eastAsia="es-AR"/>
              </w:rPr>
            </w:pPr>
            <w:r w:rsidRPr="0023536E">
              <w:rPr>
                <w:rFonts w:ascii="Arial" w:hAnsi="Arial" w:cs="Arial"/>
                <w:b/>
                <w:bCs/>
                <w:sz w:val="20"/>
                <w:lang w:eastAsia="es-AR"/>
              </w:rPr>
              <w:t>Emitido</w:t>
            </w:r>
          </w:p>
        </w:tc>
        <w:tc>
          <w:tcPr>
            <w:tcW w:w="1300"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541BB7DF" w14:textId="77777777" w:rsidR="0023536E" w:rsidRPr="0023536E" w:rsidRDefault="0023536E" w:rsidP="0023536E">
            <w:pPr>
              <w:jc w:val="center"/>
              <w:rPr>
                <w:rFonts w:ascii="Arial" w:hAnsi="Arial" w:cs="Arial"/>
                <w:b/>
                <w:bCs/>
                <w:sz w:val="20"/>
                <w:lang w:eastAsia="es-AR"/>
              </w:rPr>
            </w:pPr>
            <w:r w:rsidRPr="0023536E">
              <w:rPr>
                <w:rFonts w:ascii="Arial" w:hAnsi="Arial" w:cs="Arial"/>
                <w:b/>
                <w:bCs/>
                <w:sz w:val="20"/>
                <w:lang w:eastAsia="es-AR"/>
              </w:rPr>
              <w:t>Integrado</w:t>
            </w:r>
          </w:p>
        </w:tc>
        <w:tc>
          <w:tcPr>
            <w:tcW w:w="147" w:type="dxa"/>
            <w:vAlign w:val="center"/>
            <w:hideMark/>
          </w:tcPr>
          <w:p w14:paraId="4669D56E" w14:textId="77777777" w:rsidR="0023536E" w:rsidRPr="0023536E" w:rsidRDefault="0023536E" w:rsidP="0023536E">
            <w:pPr>
              <w:rPr>
                <w:sz w:val="20"/>
                <w:lang w:eastAsia="es-AR"/>
              </w:rPr>
            </w:pPr>
          </w:p>
        </w:tc>
      </w:tr>
      <w:tr w:rsidR="0023536E" w:rsidRPr="0023536E" w14:paraId="63671B71" w14:textId="77777777" w:rsidTr="00F7109C">
        <w:trPr>
          <w:trHeight w:val="619"/>
        </w:trPr>
        <w:tc>
          <w:tcPr>
            <w:tcW w:w="2975" w:type="dxa"/>
            <w:vMerge/>
            <w:tcBorders>
              <w:top w:val="nil"/>
              <w:left w:val="single" w:sz="4" w:space="0" w:color="363639"/>
              <w:bottom w:val="single" w:sz="4" w:space="0" w:color="363639"/>
              <w:right w:val="single" w:sz="4" w:space="0" w:color="363639"/>
            </w:tcBorders>
            <w:vAlign w:val="center"/>
            <w:hideMark/>
          </w:tcPr>
          <w:p w14:paraId="265D418D" w14:textId="77777777" w:rsidR="0023536E" w:rsidRPr="0023536E" w:rsidRDefault="0023536E" w:rsidP="0023536E">
            <w:pPr>
              <w:rPr>
                <w:rFonts w:ascii="Arial" w:hAnsi="Arial" w:cs="Arial"/>
                <w:b/>
                <w:bCs/>
                <w:sz w:val="20"/>
                <w:lang w:eastAsia="es-AR"/>
              </w:rPr>
            </w:pPr>
          </w:p>
        </w:tc>
        <w:tc>
          <w:tcPr>
            <w:tcW w:w="1253" w:type="dxa"/>
            <w:vMerge/>
            <w:tcBorders>
              <w:top w:val="nil"/>
              <w:left w:val="single" w:sz="4" w:space="0" w:color="363639"/>
              <w:bottom w:val="single" w:sz="4" w:space="0" w:color="363639"/>
              <w:right w:val="single" w:sz="4" w:space="0" w:color="363639"/>
            </w:tcBorders>
            <w:vAlign w:val="center"/>
            <w:hideMark/>
          </w:tcPr>
          <w:p w14:paraId="62A88541" w14:textId="77777777" w:rsidR="0023536E" w:rsidRPr="0023536E" w:rsidRDefault="0023536E" w:rsidP="0023536E">
            <w:pPr>
              <w:rPr>
                <w:rFonts w:ascii="Arial" w:hAnsi="Arial" w:cs="Arial"/>
                <w:b/>
                <w:bCs/>
                <w:sz w:val="20"/>
                <w:lang w:eastAsia="es-AR"/>
              </w:rPr>
            </w:pPr>
          </w:p>
        </w:tc>
        <w:tc>
          <w:tcPr>
            <w:tcW w:w="1054" w:type="dxa"/>
            <w:vMerge/>
            <w:tcBorders>
              <w:top w:val="nil"/>
              <w:left w:val="single" w:sz="4" w:space="0" w:color="363639"/>
              <w:bottom w:val="single" w:sz="4" w:space="0" w:color="363639"/>
              <w:right w:val="single" w:sz="4" w:space="0" w:color="363639"/>
            </w:tcBorders>
            <w:vAlign w:val="center"/>
            <w:hideMark/>
          </w:tcPr>
          <w:p w14:paraId="760CEFF1" w14:textId="77777777" w:rsidR="0023536E" w:rsidRPr="0023536E" w:rsidRDefault="0023536E" w:rsidP="0023536E">
            <w:pPr>
              <w:rPr>
                <w:rFonts w:ascii="Arial" w:hAnsi="Arial" w:cs="Arial"/>
                <w:b/>
                <w:bCs/>
                <w:sz w:val="20"/>
                <w:lang w:eastAsia="es-AR"/>
              </w:rPr>
            </w:pPr>
          </w:p>
        </w:tc>
        <w:tc>
          <w:tcPr>
            <w:tcW w:w="1538" w:type="dxa"/>
            <w:tcBorders>
              <w:top w:val="nil"/>
              <w:left w:val="nil"/>
              <w:bottom w:val="single" w:sz="4" w:space="0" w:color="363639"/>
              <w:right w:val="single" w:sz="4" w:space="0" w:color="363639"/>
            </w:tcBorders>
            <w:shd w:val="clear" w:color="auto" w:fill="BFBFBF" w:themeFill="background1" w:themeFillShade="BF"/>
            <w:vAlign w:val="center"/>
            <w:hideMark/>
          </w:tcPr>
          <w:p w14:paraId="695DEEE1" w14:textId="77777777" w:rsidR="0023536E" w:rsidRPr="0023536E" w:rsidRDefault="0023536E" w:rsidP="0023536E">
            <w:pPr>
              <w:jc w:val="center"/>
              <w:rPr>
                <w:rFonts w:ascii="Arial" w:hAnsi="Arial" w:cs="Arial"/>
                <w:b/>
                <w:bCs/>
                <w:sz w:val="20"/>
                <w:lang w:eastAsia="es-AR"/>
              </w:rPr>
            </w:pPr>
            <w:r w:rsidRPr="0023536E">
              <w:rPr>
                <w:rFonts w:ascii="Arial" w:hAnsi="Arial" w:cs="Arial"/>
                <w:b/>
                <w:bCs/>
                <w:sz w:val="20"/>
                <w:lang w:eastAsia="es-AR"/>
              </w:rPr>
              <w:t>En circulación</w:t>
            </w:r>
          </w:p>
        </w:tc>
        <w:tc>
          <w:tcPr>
            <w:tcW w:w="1440" w:type="dxa"/>
            <w:tcBorders>
              <w:top w:val="nil"/>
              <w:left w:val="nil"/>
              <w:bottom w:val="single" w:sz="4" w:space="0" w:color="363639"/>
              <w:right w:val="single" w:sz="4" w:space="0" w:color="363639"/>
            </w:tcBorders>
            <w:shd w:val="clear" w:color="auto" w:fill="BFBFBF" w:themeFill="background1" w:themeFillShade="BF"/>
            <w:vAlign w:val="center"/>
            <w:hideMark/>
          </w:tcPr>
          <w:p w14:paraId="53A2112B" w14:textId="77777777" w:rsidR="0023536E" w:rsidRPr="0023536E" w:rsidRDefault="0023536E" w:rsidP="0023536E">
            <w:pPr>
              <w:jc w:val="center"/>
              <w:rPr>
                <w:rFonts w:ascii="Arial" w:hAnsi="Arial" w:cs="Arial"/>
                <w:b/>
                <w:bCs/>
                <w:sz w:val="20"/>
                <w:lang w:eastAsia="es-AR"/>
              </w:rPr>
            </w:pPr>
            <w:r w:rsidRPr="0023536E">
              <w:rPr>
                <w:rFonts w:ascii="Arial" w:hAnsi="Arial" w:cs="Arial"/>
                <w:b/>
                <w:bCs/>
                <w:sz w:val="20"/>
                <w:lang w:eastAsia="es-AR"/>
              </w:rPr>
              <w:t>En cartera</w:t>
            </w:r>
          </w:p>
        </w:tc>
        <w:tc>
          <w:tcPr>
            <w:tcW w:w="1300" w:type="dxa"/>
            <w:vMerge/>
            <w:tcBorders>
              <w:top w:val="nil"/>
              <w:left w:val="single" w:sz="4" w:space="0" w:color="363639"/>
              <w:bottom w:val="single" w:sz="4" w:space="0" w:color="363639"/>
              <w:right w:val="single" w:sz="4" w:space="0" w:color="363639"/>
            </w:tcBorders>
            <w:vAlign w:val="center"/>
            <w:hideMark/>
          </w:tcPr>
          <w:p w14:paraId="0B7979E3" w14:textId="77777777" w:rsidR="0023536E" w:rsidRPr="0023536E" w:rsidRDefault="0023536E" w:rsidP="0023536E">
            <w:pPr>
              <w:rPr>
                <w:rFonts w:ascii="Arial" w:hAnsi="Arial" w:cs="Arial"/>
                <w:b/>
                <w:bCs/>
                <w:sz w:val="20"/>
                <w:lang w:eastAsia="es-AR"/>
              </w:rPr>
            </w:pPr>
          </w:p>
        </w:tc>
        <w:tc>
          <w:tcPr>
            <w:tcW w:w="147" w:type="dxa"/>
            <w:vAlign w:val="center"/>
            <w:hideMark/>
          </w:tcPr>
          <w:p w14:paraId="4E45B615" w14:textId="77777777" w:rsidR="0023536E" w:rsidRPr="0023536E" w:rsidRDefault="0023536E" w:rsidP="0023536E">
            <w:pPr>
              <w:rPr>
                <w:sz w:val="20"/>
                <w:lang w:eastAsia="es-AR"/>
              </w:rPr>
            </w:pPr>
          </w:p>
        </w:tc>
      </w:tr>
      <w:tr w:rsidR="0023536E" w:rsidRPr="0023536E" w14:paraId="27B31018" w14:textId="77777777" w:rsidTr="00F7109C">
        <w:trPr>
          <w:trHeight w:val="300"/>
        </w:trPr>
        <w:tc>
          <w:tcPr>
            <w:tcW w:w="2975" w:type="dxa"/>
            <w:tcBorders>
              <w:top w:val="nil"/>
              <w:left w:val="nil"/>
              <w:bottom w:val="nil"/>
              <w:right w:val="nil"/>
            </w:tcBorders>
            <w:shd w:val="clear" w:color="auto" w:fill="auto"/>
            <w:hideMark/>
          </w:tcPr>
          <w:p w14:paraId="0594B9C3" w14:textId="77777777" w:rsidR="0023536E" w:rsidRPr="0023536E" w:rsidRDefault="0023536E" w:rsidP="0023536E">
            <w:pPr>
              <w:rPr>
                <w:rFonts w:ascii="Arial" w:hAnsi="Arial" w:cs="Arial"/>
                <w:sz w:val="20"/>
                <w:lang w:eastAsia="es-AR"/>
              </w:rPr>
            </w:pPr>
            <w:r w:rsidRPr="0023536E">
              <w:rPr>
                <w:rFonts w:ascii="Arial" w:hAnsi="Arial" w:cs="Arial"/>
                <w:sz w:val="20"/>
                <w:lang w:eastAsia="es-AR"/>
              </w:rPr>
              <w:t> </w:t>
            </w:r>
          </w:p>
        </w:tc>
        <w:tc>
          <w:tcPr>
            <w:tcW w:w="1253" w:type="dxa"/>
            <w:tcBorders>
              <w:top w:val="nil"/>
              <w:left w:val="nil"/>
              <w:bottom w:val="nil"/>
              <w:right w:val="nil"/>
            </w:tcBorders>
            <w:shd w:val="clear" w:color="auto" w:fill="auto"/>
            <w:hideMark/>
          </w:tcPr>
          <w:p w14:paraId="35A71D0C" w14:textId="77777777" w:rsidR="0023536E" w:rsidRPr="0023536E" w:rsidRDefault="0023536E" w:rsidP="0023536E">
            <w:pPr>
              <w:rPr>
                <w:rFonts w:ascii="Arial" w:hAnsi="Arial" w:cs="Arial"/>
                <w:sz w:val="20"/>
                <w:lang w:eastAsia="es-AR"/>
              </w:rPr>
            </w:pPr>
            <w:r w:rsidRPr="0023536E">
              <w:rPr>
                <w:rFonts w:ascii="Arial" w:hAnsi="Arial" w:cs="Arial"/>
                <w:sz w:val="20"/>
                <w:lang w:eastAsia="es-AR"/>
              </w:rPr>
              <w:t> </w:t>
            </w:r>
          </w:p>
        </w:tc>
        <w:tc>
          <w:tcPr>
            <w:tcW w:w="1054" w:type="dxa"/>
            <w:tcBorders>
              <w:top w:val="nil"/>
              <w:left w:val="nil"/>
              <w:bottom w:val="nil"/>
              <w:right w:val="nil"/>
            </w:tcBorders>
            <w:shd w:val="clear" w:color="auto" w:fill="auto"/>
            <w:hideMark/>
          </w:tcPr>
          <w:p w14:paraId="67121978" w14:textId="77777777" w:rsidR="0023536E" w:rsidRPr="0023536E" w:rsidRDefault="0023536E" w:rsidP="0023536E">
            <w:pPr>
              <w:jc w:val="center"/>
              <w:rPr>
                <w:rFonts w:ascii="Arial" w:hAnsi="Arial" w:cs="Arial"/>
                <w:sz w:val="20"/>
                <w:lang w:eastAsia="es-AR"/>
              </w:rPr>
            </w:pPr>
            <w:r w:rsidRPr="0023536E">
              <w:rPr>
                <w:rFonts w:ascii="Arial" w:hAnsi="Arial" w:cs="Arial"/>
                <w:sz w:val="20"/>
                <w:lang w:eastAsia="es-AR"/>
              </w:rPr>
              <w:t> </w:t>
            </w:r>
          </w:p>
        </w:tc>
        <w:tc>
          <w:tcPr>
            <w:tcW w:w="1538" w:type="dxa"/>
            <w:tcBorders>
              <w:top w:val="nil"/>
              <w:left w:val="nil"/>
              <w:bottom w:val="nil"/>
              <w:right w:val="nil"/>
            </w:tcBorders>
            <w:shd w:val="clear" w:color="auto" w:fill="auto"/>
            <w:hideMark/>
          </w:tcPr>
          <w:p w14:paraId="3C67EEB4" w14:textId="77777777" w:rsidR="0023536E" w:rsidRPr="0023536E" w:rsidRDefault="0023536E" w:rsidP="0023536E">
            <w:pPr>
              <w:rPr>
                <w:rFonts w:ascii="Arial" w:hAnsi="Arial" w:cs="Arial"/>
                <w:sz w:val="20"/>
                <w:lang w:eastAsia="es-AR"/>
              </w:rPr>
            </w:pPr>
            <w:r w:rsidRPr="0023536E">
              <w:rPr>
                <w:rFonts w:ascii="Arial" w:hAnsi="Arial" w:cs="Arial"/>
                <w:sz w:val="20"/>
                <w:lang w:eastAsia="es-AR"/>
              </w:rPr>
              <w:t> </w:t>
            </w:r>
          </w:p>
        </w:tc>
        <w:tc>
          <w:tcPr>
            <w:tcW w:w="1440" w:type="dxa"/>
            <w:tcBorders>
              <w:top w:val="nil"/>
              <w:left w:val="nil"/>
              <w:bottom w:val="nil"/>
              <w:right w:val="nil"/>
            </w:tcBorders>
            <w:shd w:val="clear" w:color="auto" w:fill="auto"/>
            <w:hideMark/>
          </w:tcPr>
          <w:p w14:paraId="7A3D4E9F" w14:textId="77777777" w:rsidR="0023536E" w:rsidRPr="0023536E" w:rsidRDefault="0023536E" w:rsidP="0023536E">
            <w:pPr>
              <w:rPr>
                <w:rFonts w:ascii="Arial" w:hAnsi="Arial" w:cs="Arial"/>
                <w:sz w:val="20"/>
                <w:lang w:eastAsia="es-AR"/>
              </w:rPr>
            </w:pPr>
            <w:r w:rsidRPr="0023536E">
              <w:rPr>
                <w:rFonts w:ascii="Arial" w:hAnsi="Arial" w:cs="Arial"/>
                <w:sz w:val="20"/>
                <w:lang w:eastAsia="es-AR"/>
              </w:rPr>
              <w:t> </w:t>
            </w:r>
          </w:p>
        </w:tc>
        <w:tc>
          <w:tcPr>
            <w:tcW w:w="1300" w:type="dxa"/>
            <w:tcBorders>
              <w:top w:val="nil"/>
              <w:left w:val="nil"/>
              <w:bottom w:val="nil"/>
              <w:right w:val="nil"/>
            </w:tcBorders>
            <w:shd w:val="clear" w:color="auto" w:fill="auto"/>
            <w:hideMark/>
          </w:tcPr>
          <w:p w14:paraId="1CFE24CC" w14:textId="77777777" w:rsidR="0023536E" w:rsidRPr="0023536E" w:rsidRDefault="0023536E" w:rsidP="0023536E">
            <w:pPr>
              <w:rPr>
                <w:rFonts w:ascii="Arial" w:hAnsi="Arial" w:cs="Arial"/>
                <w:sz w:val="20"/>
                <w:lang w:eastAsia="es-AR"/>
              </w:rPr>
            </w:pPr>
            <w:r w:rsidRPr="0023536E">
              <w:rPr>
                <w:rFonts w:ascii="Arial" w:hAnsi="Arial" w:cs="Arial"/>
                <w:sz w:val="20"/>
                <w:lang w:eastAsia="es-AR"/>
              </w:rPr>
              <w:t> </w:t>
            </w:r>
          </w:p>
        </w:tc>
        <w:tc>
          <w:tcPr>
            <w:tcW w:w="147" w:type="dxa"/>
            <w:vAlign w:val="center"/>
            <w:hideMark/>
          </w:tcPr>
          <w:p w14:paraId="5CD66379" w14:textId="77777777" w:rsidR="0023536E" w:rsidRPr="0023536E" w:rsidRDefault="0023536E" w:rsidP="0023536E">
            <w:pPr>
              <w:rPr>
                <w:sz w:val="20"/>
                <w:lang w:eastAsia="es-AR"/>
              </w:rPr>
            </w:pPr>
          </w:p>
        </w:tc>
      </w:tr>
      <w:tr w:rsidR="0023536E" w:rsidRPr="0023536E" w14:paraId="354091AC" w14:textId="77777777" w:rsidTr="00F7109C">
        <w:trPr>
          <w:trHeight w:val="300"/>
        </w:trPr>
        <w:tc>
          <w:tcPr>
            <w:tcW w:w="2975" w:type="dxa"/>
            <w:tcBorders>
              <w:top w:val="nil"/>
              <w:left w:val="nil"/>
              <w:bottom w:val="nil"/>
              <w:right w:val="nil"/>
            </w:tcBorders>
            <w:shd w:val="clear" w:color="auto" w:fill="auto"/>
            <w:hideMark/>
          </w:tcPr>
          <w:p w14:paraId="1B7D3B38" w14:textId="77777777" w:rsidR="0023536E" w:rsidRPr="0023536E" w:rsidRDefault="0023536E" w:rsidP="0023536E">
            <w:pPr>
              <w:rPr>
                <w:rFonts w:ascii="Arial" w:hAnsi="Arial" w:cs="Arial"/>
                <w:sz w:val="20"/>
                <w:lang w:eastAsia="es-AR"/>
              </w:rPr>
            </w:pPr>
          </w:p>
        </w:tc>
        <w:tc>
          <w:tcPr>
            <w:tcW w:w="1253" w:type="dxa"/>
            <w:tcBorders>
              <w:top w:val="nil"/>
              <w:left w:val="nil"/>
              <w:bottom w:val="nil"/>
              <w:right w:val="nil"/>
            </w:tcBorders>
            <w:shd w:val="clear" w:color="auto" w:fill="auto"/>
            <w:hideMark/>
          </w:tcPr>
          <w:p w14:paraId="2E55864C" w14:textId="77777777" w:rsidR="0023536E" w:rsidRPr="0023536E" w:rsidRDefault="0023536E" w:rsidP="0023536E">
            <w:pPr>
              <w:rPr>
                <w:sz w:val="20"/>
                <w:lang w:eastAsia="es-AR"/>
              </w:rPr>
            </w:pPr>
          </w:p>
        </w:tc>
        <w:tc>
          <w:tcPr>
            <w:tcW w:w="1054" w:type="dxa"/>
            <w:tcBorders>
              <w:top w:val="nil"/>
              <w:left w:val="nil"/>
              <w:bottom w:val="nil"/>
              <w:right w:val="nil"/>
            </w:tcBorders>
            <w:shd w:val="clear" w:color="auto" w:fill="auto"/>
            <w:hideMark/>
          </w:tcPr>
          <w:p w14:paraId="220DD8DE" w14:textId="77777777" w:rsidR="0023536E" w:rsidRPr="0023536E" w:rsidRDefault="0023536E" w:rsidP="0023536E">
            <w:pPr>
              <w:rPr>
                <w:sz w:val="20"/>
                <w:lang w:eastAsia="es-AR"/>
              </w:rPr>
            </w:pPr>
          </w:p>
        </w:tc>
        <w:tc>
          <w:tcPr>
            <w:tcW w:w="1538" w:type="dxa"/>
            <w:tcBorders>
              <w:top w:val="nil"/>
              <w:left w:val="nil"/>
              <w:bottom w:val="nil"/>
              <w:right w:val="nil"/>
            </w:tcBorders>
            <w:shd w:val="clear" w:color="auto" w:fill="auto"/>
            <w:hideMark/>
          </w:tcPr>
          <w:p w14:paraId="08458C87" w14:textId="77777777" w:rsidR="0023536E" w:rsidRPr="0023536E" w:rsidRDefault="0023536E" w:rsidP="0023536E">
            <w:pPr>
              <w:jc w:val="center"/>
              <w:rPr>
                <w:sz w:val="20"/>
                <w:lang w:eastAsia="es-AR"/>
              </w:rPr>
            </w:pPr>
          </w:p>
        </w:tc>
        <w:tc>
          <w:tcPr>
            <w:tcW w:w="1440" w:type="dxa"/>
            <w:tcBorders>
              <w:top w:val="nil"/>
              <w:left w:val="nil"/>
              <w:bottom w:val="nil"/>
              <w:right w:val="nil"/>
            </w:tcBorders>
            <w:shd w:val="clear" w:color="auto" w:fill="auto"/>
            <w:hideMark/>
          </w:tcPr>
          <w:p w14:paraId="6F2CBC48" w14:textId="77777777" w:rsidR="0023536E" w:rsidRPr="0023536E" w:rsidRDefault="0023536E" w:rsidP="0023536E">
            <w:pPr>
              <w:rPr>
                <w:sz w:val="20"/>
                <w:lang w:eastAsia="es-AR"/>
              </w:rPr>
            </w:pPr>
          </w:p>
        </w:tc>
        <w:tc>
          <w:tcPr>
            <w:tcW w:w="1300" w:type="dxa"/>
            <w:tcBorders>
              <w:top w:val="nil"/>
              <w:left w:val="nil"/>
              <w:bottom w:val="nil"/>
              <w:right w:val="nil"/>
            </w:tcBorders>
            <w:shd w:val="clear" w:color="auto" w:fill="auto"/>
            <w:hideMark/>
          </w:tcPr>
          <w:p w14:paraId="223FFA90" w14:textId="77777777" w:rsidR="0023536E" w:rsidRPr="0023536E" w:rsidRDefault="0023536E" w:rsidP="0023536E">
            <w:pPr>
              <w:rPr>
                <w:sz w:val="20"/>
                <w:lang w:eastAsia="es-AR"/>
              </w:rPr>
            </w:pPr>
          </w:p>
        </w:tc>
        <w:tc>
          <w:tcPr>
            <w:tcW w:w="147" w:type="dxa"/>
            <w:vAlign w:val="center"/>
            <w:hideMark/>
          </w:tcPr>
          <w:p w14:paraId="0B7C2914" w14:textId="77777777" w:rsidR="0023536E" w:rsidRPr="0023536E" w:rsidRDefault="0023536E" w:rsidP="0023536E">
            <w:pPr>
              <w:rPr>
                <w:sz w:val="20"/>
                <w:lang w:eastAsia="es-AR"/>
              </w:rPr>
            </w:pPr>
          </w:p>
        </w:tc>
      </w:tr>
      <w:tr w:rsidR="0023536E" w:rsidRPr="0023536E" w14:paraId="795BCD4A" w14:textId="77777777" w:rsidTr="00F7109C">
        <w:trPr>
          <w:trHeight w:val="300"/>
        </w:trPr>
        <w:tc>
          <w:tcPr>
            <w:tcW w:w="2975" w:type="dxa"/>
            <w:tcBorders>
              <w:top w:val="nil"/>
              <w:left w:val="nil"/>
              <w:bottom w:val="nil"/>
              <w:right w:val="nil"/>
            </w:tcBorders>
            <w:shd w:val="clear" w:color="auto" w:fill="auto"/>
            <w:hideMark/>
          </w:tcPr>
          <w:p w14:paraId="0921502D" w14:textId="77777777" w:rsidR="0023536E" w:rsidRPr="0023536E" w:rsidRDefault="0023536E" w:rsidP="0023536E">
            <w:pPr>
              <w:rPr>
                <w:sz w:val="20"/>
                <w:lang w:eastAsia="es-AR"/>
              </w:rPr>
            </w:pPr>
          </w:p>
        </w:tc>
        <w:tc>
          <w:tcPr>
            <w:tcW w:w="1253" w:type="dxa"/>
            <w:tcBorders>
              <w:top w:val="nil"/>
              <w:left w:val="nil"/>
              <w:bottom w:val="nil"/>
              <w:right w:val="nil"/>
            </w:tcBorders>
            <w:shd w:val="clear" w:color="auto" w:fill="auto"/>
            <w:hideMark/>
          </w:tcPr>
          <w:p w14:paraId="5E0D75E9" w14:textId="77777777" w:rsidR="0023536E" w:rsidRPr="0023536E" w:rsidRDefault="0023536E" w:rsidP="0023536E">
            <w:pPr>
              <w:rPr>
                <w:sz w:val="20"/>
                <w:lang w:eastAsia="es-AR"/>
              </w:rPr>
            </w:pPr>
          </w:p>
        </w:tc>
        <w:tc>
          <w:tcPr>
            <w:tcW w:w="1054" w:type="dxa"/>
            <w:tcBorders>
              <w:top w:val="nil"/>
              <w:left w:val="nil"/>
              <w:bottom w:val="nil"/>
              <w:right w:val="nil"/>
            </w:tcBorders>
            <w:shd w:val="clear" w:color="auto" w:fill="auto"/>
            <w:hideMark/>
          </w:tcPr>
          <w:p w14:paraId="457141E3" w14:textId="77777777" w:rsidR="0023536E" w:rsidRPr="0023536E" w:rsidRDefault="0023536E" w:rsidP="0023536E">
            <w:pPr>
              <w:rPr>
                <w:sz w:val="20"/>
                <w:lang w:eastAsia="es-AR"/>
              </w:rPr>
            </w:pPr>
          </w:p>
        </w:tc>
        <w:tc>
          <w:tcPr>
            <w:tcW w:w="1538" w:type="dxa"/>
            <w:tcBorders>
              <w:top w:val="nil"/>
              <w:left w:val="nil"/>
              <w:bottom w:val="nil"/>
              <w:right w:val="nil"/>
            </w:tcBorders>
            <w:shd w:val="clear" w:color="auto" w:fill="auto"/>
            <w:hideMark/>
          </w:tcPr>
          <w:p w14:paraId="24F97DEE" w14:textId="77777777" w:rsidR="0023536E" w:rsidRPr="0023536E" w:rsidRDefault="0023536E" w:rsidP="0023536E">
            <w:pPr>
              <w:jc w:val="center"/>
              <w:rPr>
                <w:sz w:val="20"/>
                <w:lang w:eastAsia="es-AR"/>
              </w:rPr>
            </w:pPr>
          </w:p>
        </w:tc>
        <w:tc>
          <w:tcPr>
            <w:tcW w:w="1440" w:type="dxa"/>
            <w:tcBorders>
              <w:top w:val="nil"/>
              <w:left w:val="nil"/>
              <w:bottom w:val="nil"/>
              <w:right w:val="nil"/>
            </w:tcBorders>
            <w:shd w:val="clear" w:color="auto" w:fill="auto"/>
            <w:hideMark/>
          </w:tcPr>
          <w:p w14:paraId="1260CC7C" w14:textId="77777777" w:rsidR="0023536E" w:rsidRPr="0023536E" w:rsidRDefault="0023536E" w:rsidP="0023536E">
            <w:pPr>
              <w:rPr>
                <w:sz w:val="20"/>
                <w:lang w:eastAsia="es-AR"/>
              </w:rPr>
            </w:pPr>
          </w:p>
        </w:tc>
        <w:tc>
          <w:tcPr>
            <w:tcW w:w="1300" w:type="dxa"/>
            <w:tcBorders>
              <w:top w:val="nil"/>
              <w:left w:val="nil"/>
              <w:bottom w:val="nil"/>
              <w:right w:val="nil"/>
            </w:tcBorders>
            <w:shd w:val="clear" w:color="auto" w:fill="auto"/>
            <w:hideMark/>
          </w:tcPr>
          <w:p w14:paraId="26916D4B" w14:textId="77777777" w:rsidR="0023536E" w:rsidRPr="0023536E" w:rsidRDefault="0023536E" w:rsidP="0023536E">
            <w:pPr>
              <w:rPr>
                <w:sz w:val="20"/>
                <w:lang w:eastAsia="es-AR"/>
              </w:rPr>
            </w:pPr>
          </w:p>
        </w:tc>
        <w:tc>
          <w:tcPr>
            <w:tcW w:w="147" w:type="dxa"/>
            <w:vAlign w:val="center"/>
            <w:hideMark/>
          </w:tcPr>
          <w:p w14:paraId="341A8B39" w14:textId="77777777" w:rsidR="0023536E" w:rsidRPr="0023536E" w:rsidRDefault="0023536E" w:rsidP="0023536E">
            <w:pPr>
              <w:rPr>
                <w:sz w:val="20"/>
                <w:lang w:eastAsia="es-AR"/>
              </w:rPr>
            </w:pPr>
          </w:p>
        </w:tc>
      </w:tr>
      <w:tr w:rsidR="0023536E" w:rsidRPr="0023536E" w14:paraId="0FD0058B" w14:textId="77777777" w:rsidTr="00F7109C">
        <w:trPr>
          <w:trHeight w:val="300"/>
        </w:trPr>
        <w:tc>
          <w:tcPr>
            <w:tcW w:w="2975" w:type="dxa"/>
            <w:tcBorders>
              <w:top w:val="nil"/>
              <w:left w:val="nil"/>
              <w:bottom w:val="nil"/>
              <w:right w:val="nil"/>
            </w:tcBorders>
            <w:shd w:val="clear" w:color="auto" w:fill="auto"/>
            <w:hideMark/>
          </w:tcPr>
          <w:p w14:paraId="51DF89F1" w14:textId="77777777" w:rsidR="0023536E" w:rsidRPr="0023536E" w:rsidRDefault="0023536E" w:rsidP="0023536E">
            <w:pPr>
              <w:rPr>
                <w:rFonts w:ascii="Arial" w:hAnsi="Arial" w:cs="Arial"/>
                <w:sz w:val="20"/>
                <w:lang w:eastAsia="es-AR"/>
              </w:rPr>
            </w:pPr>
            <w:r w:rsidRPr="0023536E">
              <w:rPr>
                <w:rFonts w:ascii="Arial" w:hAnsi="Arial" w:cs="Arial"/>
                <w:sz w:val="20"/>
                <w:lang w:eastAsia="es-AR"/>
              </w:rPr>
              <w:t>Ordinarias escriturales clase A</w:t>
            </w:r>
          </w:p>
        </w:tc>
        <w:tc>
          <w:tcPr>
            <w:tcW w:w="1253" w:type="dxa"/>
            <w:tcBorders>
              <w:top w:val="nil"/>
              <w:left w:val="nil"/>
              <w:bottom w:val="nil"/>
              <w:right w:val="nil"/>
            </w:tcBorders>
            <w:shd w:val="clear" w:color="auto" w:fill="auto"/>
            <w:noWrap/>
          </w:tcPr>
          <w:p w14:paraId="07BBB859" w14:textId="4621643C" w:rsidR="0023536E" w:rsidRPr="0023536E" w:rsidRDefault="00962EA8" w:rsidP="0023536E">
            <w:pPr>
              <w:jc w:val="right"/>
              <w:rPr>
                <w:rFonts w:ascii="Arial" w:hAnsi="Arial" w:cs="Arial"/>
                <w:sz w:val="20"/>
                <w:lang w:eastAsia="es-AR"/>
              </w:rPr>
            </w:pPr>
            <w:r>
              <w:rPr>
                <w:rFonts w:ascii="Arial" w:hAnsi="Arial" w:cs="Arial"/>
                <w:sz w:val="20"/>
                <w:lang w:eastAsia="es-AR"/>
              </w:rPr>
              <w:t>930.371</w:t>
            </w:r>
          </w:p>
        </w:tc>
        <w:tc>
          <w:tcPr>
            <w:tcW w:w="1054" w:type="dxa"/>
            <w:tcBorders>
              <w:top w:val="nil"/>
              <w:left w:val="nil"/>
              <w:bottom w:val="nil"/>
              <w:right w:val="nil"/>
            </w:tcBorders>
            <w:shd w:val="clear" w:color="auto" w:fill="auto"/>
            <w:noWrap/>
          </w:tcPr>
          <w:p w14:paraId="479BE0FC" w14:textId="0A0F38DD" w:rsidR="0023536E" w:rsidRPr="0023536E" w:rsidRDefault="00962EA8" w:rsidP="0023536E">
            <w:pPr>
              <w:jc w:val="right"/>
              <w:rPr>
                <w:rFonts w:ascii="Arial" w:hAnsi="Arial" w:cs="Arial"/>
                <w:sz w:val="20"/>
                <w:lang w:eastAsia="es-AR"/>
              </w:rPr>
            </w:pPr>
            <w:r>
              <w:rPr>
                <w:rFonts w:ascii="Arial" w:hAnsi="Arial" w:cs="Arial"/>
                <w:sz w:val="20"/>
                <w:lang w:eastAsia="es-AR"/>
              </w:rPr>
              <w:t>5</w:t>
            </w:r>
          </w:p>
        </w:tc>
        <w:tc>
          <w:tcPr>
            <w:tcW w:w="1538" w:type="dxa"/>
            <w:tcBorders>
              <w:top w:val="nil"/>
              <w:left w:val="nil"/>
              <w:bottom w:val="nil"/>
              <w:right w:val="nil"/>
            </w:tcBorders>
            <w:shd w:val="clear" w:color="auto" w:fill="auto"/>
            <w:noWrap/>
          </w:tcPr>
          <w:p w14:paraId="4212F54B" w14:textId="4CE384A0" w:rsidR="0023536E" w:rsidRPr="0023536E" w:rsidRDefault="00962EA8" w:rsidP="0023536E">
            <w:pPr>
              <w:jc w:val="right"/>
              <w:rPr>
                <w:rFonts w:ascii="Arial" w:hAnsi="Arial" w:cs="Arial"/>
                <w:sz w:val="20"/>
                <w:lang w:eastAsia="es-AR"/>
              </w:rPr>
            </w:pPr>
            <w:r>
              <w:rPr>
                <w:rFonts w:ascii="Arial" w:hAnsi="Arial" w:cs="Arial"/>
                <w:sz w:val="20"/>
                <w:lang w:eastAsia="es-AR"/>
              </w:rPr>
              <w:t>930</w:t>
            </w:r>
          </w:p>
        </w:tc>
        <w:tc>
          <w:tcPr>
            <w:tcW w:w="1440" w:type="dxa"/>
            <w:tcBorders>
              <w:top w:val="nil"/>
              <w:left w:val="nil"/>
              <w:bottom w:val="nil"/>
              <w:right w:val="nil"/>
            </w:tcBorders>
            <w:shd w:val="clear" w:color="auto" w:fill="auto"/>
            <w:noWrap/>
          </w:tcPr>
          <w:p w14:paraId="6C591E9A" w14:textId="140511DA" w:rsidR="0023536E" w:rsidRPr="0023536E" w:rsidRDefault="00940F41" w:rsidP="0023536E">
            <w:pPr>
              <w:jc w:val="right"/>
              <w:rPr>
                <w:rFonts w:ascii="Arial" w:hAnsi="Arial" w:cs="Arial"/>
                <w:sz w:val="20"/>
                <w:lang w:eastAsia="es-AR"/>
              </w:rPr>
            </w:pPr>
            <w:r>
              <w:rPr>
                <w:rFonts w:ascii="Arial" w:hAnsi="Arial" w:cs="Arial"/>
                <w:sz w:val="20"/>
                <w:lang w:eastAsia="es-AR"/>
              </w:rPr>
              <w:t>-</w:t>
            </w:r>
          </w:p>
        </w:tc>
        <w:tc>
          <w:tcPr>
            <w:tcW w:w="1300" w:type="dxa"/>
            <w:tcBorders>
              <w:top w:val="nil"/>
              <w:left w:val="nil"/>
              <w:bottom w:val="nil"/>
              <w:right w:val="nil"/>
            </w:tcBorders>
            <w:shd w:val="clear" w:color="auto" w:fill="auto"/>
            <w:noWrap/>
          </w:tcPr>
          <w:p w14:paraId="31F7EA6A" w14:textId="420D14F9" w:rsidR="0023536E" w:rsidRPr="0023536E" w:rsidRDefault="00962EA8" w:rsidP="0023536E">
            <w:pPr>
              <w:jc w:val="right"/>
              <w:rPr>
                <w:rFonts w:ascii="Arial" w:hAnsi="Arial" w:cs="Arial"/>
                <w:sz w:val="20"/>
                <w:lang w:eastAsia="es-AR"/>
              </w:rPr>
            </w:pPr>
            <w:r>
              <w:rPr>
                <w:rFonts w:ascii="Arial" w:hAnsi="Arial" w:cs="Arial"/>
                <w:sz w:val="20"/>
                <w:lang w:eastAsia="es-AR"/>
              </w:rPr>
              <w:t>930</w:t>
            </w:r>
          </w:p>
        </w:tc>
        <w:tc>
          <w:tcPr>
            <w:tcW w:w="147" w:type="dxa"/>
            <w:vAlign w:val="center"/>
            <w:hideMark/>
          </w:tcPr>
          <w:p w14:paraId="0EE8B0B7" w14:textId="77777777" w:rsidR="0023536E" w:rsidRPr="0023536E" w:rsidRDefault="0023536E" w:rsidP="0023536E">
            <w:pPr>
              <w:rPr>
                <w:sz w:val="20"/>
                <w:lang w:eastAsia="es-AR"/>
              </w:rPr>
            </w:pPr>
          </w:p>
        </w:tc>
      </w:tr>
      <w:tr w:rsidR="0023536E" w:rsidRPr="0023536E" w14:paraId="6A17BFAE" w14:textId="77777777" w:rsidTr="00F7109C">
        <w:trPr>
          <w:trHeight w:val="300"/>
        </w:trPr>
        <w:tc>
          <w:tcPr>
            <w:tcW w:w="2975" w:type="dxa"/>
            <w:tcBorders>
              <w:top w:val="nil"/>
              <w:left w:val="nil"/>
              <w:bottom w:val="nil"/>
              <w:right w:val="nil"/>
            </w:tcBorders>
            <w:shd w:val="clear" w:color="auto" w:fill="auto"/>
            <w:hideMark/>
          </w:tcPr>
          <w:p w14:paraId="3A716DA7" w14:textId="77777777" w:rsidR="0023536E" w:rsidRPr="0023536E" w:rsidRDefault="0023536E" w:rsidP="0023536E">
            <w:pPr>
              <w:rPr>
                <w:rFonts w:ascii="Arial" w:hAnsi="Arial" w:cs="Arial"/>
                <w:sz w:val="20"/>
                <w:lang w:eastAsia="es-AR"/>
              </w:rPr>
            </w:pPr>
          </w:p>
        </w:tc>
        <w:tc>
          <w:tcPr>
            <w:tcW w:w="1253" w:type="dxa"/>
            <w:tcBorders>
              <w:top w:val="nil"/>
              <w:left w:val="nil"/>
              <w:bottom w:val="nil"/>
              <w:right w:val="nil"/>
            </w:tcBorders>
            <w:shd w:val="clear" w:color="auto" w:fill="auto"/>
          </w:tcPr>
          <w:p w14:paraId="2C887670" w14:textId="77777777" w:rsidR="0023536E" w:rsidRPr="0023536E" w:rsidRDefault="0023536E" w:rsidP="0023536E">
            <w:pPr>
              <w:jc w:val="right"/>
              <w:rPr>
                <w:sz w:val="20"/>
                <w:lang w:eastAsia="es-AR"/>
              </w:rPr>
            </w:pPr>
          </w:p>
        </w:tc>
        <w:tc>
          <w:tcPr>
            <w:tcW w:w="1054" w:type="dxa"/>
            <w:tcBorders>
              <w:top w:val="nil"/>
              <w:left w:val="nil"/>
              <w:bottom w:val="nil"/>
              <w:right w:val="nil"/>
            </w:tcBorders>
            <w:shd w:val="clear" w:color="auto" w:fill="auto"/>
          </w:tcPr>
          <w:p w14:paraId="0A346734" w14:textId="77777777" w:rsidR="0023536E" w:rsidRPr="0023536E" w:rsidRDefault="0023536E" w:rsidP="0023536E">
            <w:pPr>
              <w:jc w:val="right"/>
              <w:rPr>
                <w:sz w:val="20"/>
                <w:lang w:eastAsia="es-AR"/>
              </w:rPr>
            </w:pPr>
          </w:p>
        </w:tc>
        <w:tc>
          <w:tcPr>
            <w:tcW w:w="1538" w:type="dxa"/>
            <w:tcBorders>
              <w:top w:val="nil"/>
              <w:left w:val="nil"/>
              <w:bottom w:val="nil"/>
              <w:right w:val="nil"/>
            </w:tcBorders>
            <w:shd w:val="clear" w:color="auto" w:fill="auto"/>
          </w:tcPr>
          <w:p w14:paraId="1767F86E" w14:textId="77777777" w:rsidR="0023536E" w:rsidRPr="0023536E" w:rsidRDefault="0023536E" w:rsidP="0023536E">
            <w:pPr>
              <w:jc w:val="right"/>
              <w:rPr>
                <w:sz w:val="20"/>
                <w:lang w:eastAsia="es-AR"/>
              </w:rPr>
            </w:pPr>
          </w:p>
        </w:tc>
        <w:tc>
          <w:tcPr>
            <w:tcW w:w="1440" w:type="dxa"/>
            <w:tcBorders>
              <w:top w:val="nil"/>
              <w:left w:val="nil"/>
              <w:bottom w:val="nil"/>
              <w:right w:val="nil"/>
            </w:tcBorders>
            <w:shd w:val="clear" w:color="auto" w:fill="auto"/>
          </w:tcPr>
          <w:p w14:paraId="0AB252D4" w14:textId="77777777" w:rsidR="0023536E" w:rsidRPr="0023536E" w:rsidRDefault="0023536E" w:rsidP="0023536E">
            <w:pPr>
              <w:jc w:val="right"/>
              <w:rPr>
                <w:sz w:val="20"/>
                <w:lang w:eastAsia="es-AR"/>
              </w:rPr>
            </w:pPr>
          </w:p>
        </w:tc>
        <w:tc>
          <w:tcPr>
            <w:tcW w:w="1300" w:type="dxa"/>
            <w:tcBorders>
              <w:top w:val="nil"/>
              <w:left w:val="nil"/>
              <w:bottom w:val="nil"/>
              <w:right w:val="nil"/>
            </w:tcBorders>
            <w:shd w:val="clear" w:color="auto" w:fill="auto"/>
          </w:tcPr>
          <w:p w14:paraId="762051B3" w14:textId="77777777" w:rsidR="0023536E" w:rsidRPr="0023536E" w:rsidRDefault="0023536E" w:rsidP="0023536E">
            <w:pPr>
              <w:jc w:val="right"/>
              <w:rPr>
                <w:sz w:val="20"/>
                <w:lang w:eastAsia="es-AR"/>
              </w:rPr>
            </w:pPr>
          </w:p>
        </w:tc>
        <w:tc>
          <w:tcPr>
            <w:tcW w:w="147" w:type="dxa"/>
            <w:vAlign w:val="center"/>
            <w:hideMark/>
          </w:tcPr>
          <w:p w14:paraId="50EB3331" w14:textId="77777777" w:rsidR="0023536E" w:rsidRPr="0023536E" w:rsidRDefault="0023536E" w:rsidP="0023536E">
            <w:pPr>
              <w:rPr>
                <w:sz w:val="20"/>
                <w:lang w:eastAsia="es-AR"/>
              </w:rPr>
            </w:pPr>
          </w:p>
        </w:tc>
      </w:tr>
      <w:tr w:rsidR="0023536E" w:rsidRPr="0023536E" w14:paraId="29E0A490" w14:textId="77777777" w:rsidTr="00F7109C">
        <w:trPr>
          <w:trHeight w:val="300"/>
        </w:trPr>
        <w:tc>
          <w:tcPr>
            <w:tcW w:w="2975" w:type="dxa"/>
            <w:tcBorders>
              <w:top w:val="nil"/>
              <w:left w:val="nil"/>
              <w:bottom w:val="nil"/>
              <w:right w:val="nil"/>
            </w:tcBorders>
            <w:shd w:val="clear" w:color="auto" w:fill="auto"/>
            <w:hideMark/>
          </w:tcPr>
          <w:p w14:paraId="2C217118" w14:textId="77777777" w:rsidR="0023536E" w:rsidRPr="0023536E" w:rsidRDefault="0023536E" w:rsidP="0023536E">
            <w:pPr>
              <w:rPr>
                <w:sz w:val="20"/>
                <w:lang w:eastAsia="es-AR"/>
              </w:rPr>
            </w:pPr>
          </w:p>
        </w:tc>
        <w:tc>
          <w:tcPr>
            <w:tcW w:w="1253" w:type="dxa"/>
            <w:tcBorders>
              <w:top w:val="nil"/>
              <w:left w:val="nil"/>
              <w:bottom w:val="nil"/>
              <w:right w:val="nil"/>
            </w:tcBorders>
            <w:shd w:val="clear" w:color="auto" w:fill="auto"/>
          </w:tcPr>
          <w:p w14:paraId="19FC7B5D" w14:textId="77777777" w:rsidR="0023536E" w:rsidRPr="0023536E" w:rsidRDefault="0023536E" w:rsidP="0023536E">
            <w:pPr>
              <w:jc w:val="right"/>
              <w:rPr>
                <w:sz w:val="20"/>
                <w:lang w:eastAsia="es-AR"/>
              </w:rPr>
            </w:pPr>
          </w:p>
        </w:tc>
        <w:tc>
          <w:tcPr>
            <w:tcW w:w="1054" w:type="dxa"/>
            <w:tcBorders>
              <w:top w:val="nil"/>
              <w:left w:val="nil"/>
              <w:bottom w:val="nil"/>
              <w:right w:val="nil"/>
            </w:tcBorders>
            <w:shd w:val="clear" w:color="auto" w:fill="auto"/>
          </w:tcPr>
          <w:p w14:paraId="061569DE" w14:textId="77777777" w:rsidR="0023536E" w:rsidRPr="0023536E" w:rsidRDefault="0023536E" w:rsidP="0023536E">
            <w:pPr>
              <w:jc w:val="right"/>
              <w:rPr>
                <w:sz w:val="20"/>
                <w:lang w:eastAsia="es-AR"/>
              </w:rPr>
            </w:pPr>
          </w:p>
        </w:tc>
        <w:tc>
          <w:tcPr>
            <w:tcW w:w="1538" w:type="dxa"/>
            <w:tcBorders>
              <w:top w:val="nil"/>
              <w:left w:val="nil"/>
              <w:bottom w:val="nil"/>
              <w:right w:val="nil"/>
            </w:tcBorders>
            <w:shd w:val="clear" w:color="auto" w:fill="auto"/>
          </w:tcPr>
          <w:p w14:paraId="7E8B1D45" w14:textId="77777777" w:rsidR="0023536E" w:rsidRPr="0023536E" w:rsidRDefault="0023536E" w:rsidP="0023536E">
            <w:pPr>
              <w:jc w:val="right"/>
              <w:rPr>
                <w:sz w:val="20"/>
                <w:lang w:eastAsia="es-AR"/>
              </w:rPr>
            </w:pPr>
          </w:p>
        </w:tc>
        <w:tc>
          <w:tcPr>
            <w:tcW w:w="1440" w:type="dxa"/>
            <w:tcBorders>
              <w:top w:val="nil"/>
              <w:left w:val="nil"/>
              <w:bottom w:val="nil"/>
              <w:right w:val="nil"/>
            </w:tcBorders>
            <w:shd w:val="clear" w:color="auto" w:fill="auto"/>
          </w:tcPr>
          <w:p w14:paraId="39EEE60A" w14:textId="77777777" w:rsidR="0023536E" w:rsidRPr="0023536E" w:rsidRDefault="0023536E" w:rsidP="0023536E">
            <w:pPr>
              <w:jc w:val="right"/>
              <w:rPr>
                <w:sz w:val="20"/>
                <w:lang w:eastAsia="es-AR"/>
              </w:rPr>
            </w:pPr>
          </w:p>
        </w:tc>
        <w:tc>
          <w:tcPr>
            <w:tcW w:w="1300" w:type="dxa"/>
            <w:tcBorders>
              <w:top w:val="nil"/>
              <w:left w:val="nil"/>
              <w:bottom w:val="nil"/>
              <w:right w:val="nil"/>
            </w:tcBorders>
            <w:shd w:val="clear" w:color="auto" w:fill="auto"/>
          </w:tcPr>
          <w:p w14:paraId="1CFBDEC8" w14:textId="77777777" w:rsidR="0023536E" w:rsidRPr="0023536E" w:rsidRDefault="0023536E" w:rsidP="0023536E">
            <w:pPr>
              <w:jc w:val="right"/>
              <w:rPr>
                <w:sz w:val="20"/>
                <w:lang w:eastAsia="es-AR"/>
              </w:rPr>
            </w:pPr>
          </w:p>
        </w:tc>
        <w:tc>
          <w:tcPr>
            <w:tcW w:w="147" w:type="dxa"/>
            <w:vAlign w:val="center"/>
            <w:hideMark/>
          </w:tcPr>
          <w:p w14:paraId="059E6DA2" w14:textId="77777777" w:rsidR="0023536E" w:rsidRPr="0023536E" w:rsidRDefault="0023536E" w:rsidP="0023536E">
            <w:pPr>
              <w:rPr>
                <w:sz w:val="20"/>
                <w:lang w:eastAsia="es-AR"/>
              </w:rPr>
            </w:pPr>
          </w:p>
        </w:tc>
      </w:tr>
      <w:tr w:rsidR="0023536E" w:rsidRPr="0023536E" w14:paraId="0B8D11F6" w14:textId="77777777" w:rsidTr="00F7109C">
        <w:trPr>
          <w:trHeight w:val="300"/>
        </w:trPr>
        <w:tc>
          <w:tcPr>
            <w:tcW w:w="2975" w:type="dxa"/>
            <w:tcBorders>
              <w:top w:val="nil"/>
              <w:left w:val="nil"/>
              <w:bottom w:val="nil"/>
              <w:right w:val="nil"/>
            </w:tcBorders>
            <w:shd w:val="clear" w:color="auto" w:fill="auto"/>
            <w:hideMark/>
          </w:tcPr>
          <w:p w14:paraId="2A15F172" w14:textId="77777777" w:rsidR="0023536E" w:rsidRPr="0023536E" w:rsidRDefault="0023536E" w:rsidP="0023536E">
            <w:pPr>
              <w:rPr>
                <w:sz w:val="20"/>
                <w:lang w:eastAsia="es-AR"/>
              </w:rPr>
            </w:pPr>
          </w:p>
        </w:tc>
        <w:tc>
          <w:tcPr>
            <w:tcW w:w="1253" w:type="dxa"/>
            <w:tcBorders>
              <w:top w:val="nil"/>
              <w:left w:val="nil"/>
              <w:bottom w:val="nil"/>
              <w:right w:val="nil"/>
            </w:tcBorders>
            <w:shd w:val="clear" w:color="auto" w:fill="auto"/>
          </w:tcPr>
          <w:p w14:paraId="26DC60AE" w14:textId="77777777" w:rsidR="0023536E" w:rsidRPr="0023536E" w:rsidRDefault="0023536E" w:rsidP="0023536E">
            <w:pPr>
              <w:jc w:val="right"/>
              <w:rPr>
                <w:sz w:val="20"/>
                <w:lang w:eastAsia="es-AR"/>
              </w:rPr>
            </w:pPr>
          </w:p>
        </w:tc>
        <w:tc>
          <w:tcPr>
            <w:tcW w:w="1054" w:type="dxa"/>
            <w:tcBorders>
              <w:top w:val="nil"/>
              <w:left w:val="nil"/>
              <w:bottom w:val="nil"/>
              <w:right w:val="nil"/>
            </w:tcBorders>
            <w:shd w:val="clear" w:color="auto" w:fill="auto"/>
          </w:tcPr>
          <w:p w14:paraId="6F75CAE0" w14:textId="77777777" w:rsidR="0023536E" w:rsidRPr="0023536E" w:rsidRDefault="0023536E" w:rsidP="0023536E">
            <w:pPr>
              <w:jc w:val="right"/>
              <w:rPr>
                <w:sz w:val="20"/>
                <w:lang w:eastAsia="es-AR"/>
              </w:rPr>
            </w:pPr>
          </w:p>
        </w:tc>
        <w:tc>
          <w:tcPr>
            <w:tcW w:w="1538" w:type="dxa"/>
            <w:tcBorders>
              <w:top w:val="nil"/>
              <w:left w:val="nil"/>
              <w:bottom w:val="nil"/>
              <w:right w:val="nil"/>
            </w:tcBorders>
            <w:shd w:val="clear" w:color="auto" w:fill="auto"/>
          </w:tcPr>
          <w:p w14:paraId="14F4E126" w14:textId="77777777" w:rsidR="0023536E" w:rsidRPr="0023536E" w:rsidRDefault="0023536E" w:rsidP="0023536E">
            <w:pPr>
              <w:jc w:val="right"/>
              <w:rPr>
                <w:sz w:val="20"/>
                <w:lang w:eastAsia="es-AR"/>
              </w:rPr>
            </w:pPr>
          </w:p>
        </w:tc>
        <w:tc>
          <w:tcPr>
            <w:tcW w:w="1440" w:type="dxa"/>
            <w:tcBorders>
              <w:top w:val="nil"/>
              <w:left w:val="nil"/>
              <w:bottom w:val="nil"/>
              <w:right w:val="nil"/>
            </w:tcBorders>
            <w:shd w:val="clear" w:color="auto" w:fill="auto"/>
          </w:tcPr>
          <w:p w14:paraId="116E2654" w14:textId="77777777" w:rsidR="0023536E" w:rsidRPr="0023536E" w:rsidRDefault="0023536E" w:rsidP="0023536E">
            <w:pPr>
              <w:jc w:val="right"/>
              <w:rPr>
                <w:sz w:val="20"/>
                <w:lang w:eastAsia="es-AR"/>
              </w:rPr>
            </w:pPr>
          </w:p>
        </w:tc>
        <w:tc>
          <w:tcPr>
            <w:tcW w:w="1300" w:type="dxa"/>
            <w:tcBorders>
              <w:top w:val="nil"/>
              <w:left w:val="nil"/>
              <w:bottom w:val="nil"/>
              <w:right w:val="nil"/>
            </w:tcBorders>
            <w:shd w:val="clear" w:color="auto" w:fill="auto"/>
          </w:tcPr>
          <w:p w14:paraId="49C12ED8" w14:textId="77777777" w:rsidR="0023536E" w:rsidRPr="0023536E" w:rsidRDefault="0023536E" w:rsidP="0023536E">
            <w:pPr>
              <w:jc w:val="right"/>
              <w:rPr>
                <w:sz w:val="20"/>
                <w:lang w:eastAsia="es-AR"/>
              </w:rPr>
            </w:pPr>
          </w:p>
        </w:tc>
        <w:tc>
          <w:tcPr>
            <w:tcW w:w="147" w:type="dxa"/>
            <w:vAlign w:val="center"/>
            <w:hideMark/>
          </w:tcPr>
          <w:p w14:paraId="132EF581" w14:textId="77777777" w:rsidR="0023536E" w:rsidRPr="0023536E" w:rsidRDefault="0023536E" w:rsidP="0023536E">
            <w:pPr>
              <w:rPr>
                <w:sz w:val="20"/>
                <w:lang w:eastAsia="es-AR"/>
              </w:rPr>
            </w:pPr>
          </w:p>
        </w:tc>
      </w:tr>
      <w:tr w:rsidR="0023536E" w:rsidRPr="0023536E" w14:paraId="53AE9029" w14:textId="77777777" w:rsidTr="00F7109C">
        <w:trPr>
          <w:trHeight w:val="300"/>
        </w:trPr>
        <w:tc>
          <w:tcPr>
            <w:tcW w:w="2975" w:type="dxa"/>
            <w:tcBorders>
              <w:top w:val="nil"/>
              <w:left w:val="nil"/>
              <w:bottom w:val="nil"/>
              <w:right w:val="nil"/>
            </w:tcBorders>
            <w:shd w:val="clear" w:color="auto" w:fill="auto"/>
            <w:hideMark/>
          </w:tcPr>
          <w:p w14:paraId="3DF6B168" w14:textId="6A38DA4E" w:rsidR="0023536E" w:rsidRPr="0023536E" w:rsidRDefault="0023536E" w:rsidP="0023536E">
            <w:pPr>
              <w:rPr>
                <w:rFonts w:ascii="Arial" w:hAnsi="Arial" w:cs="Arial"/>
                <w:sz w:val="20"/>
                <w:lang w:eastAsia="es-AR"/>
              </w:rPr>
            </w:pPr>
            <w:r w:rsidRPr="0023536E">
              <w:rPr>
                <w:rFonts w:ascii="Arial" w:hAnsi="Arial" w:cs="Arial"/>
                <w:sz w:val="20"/>
                <w:lang w:eastAsia="es-AR"/>
              </w:rPr>
              <w:t>Ordinarias escriturales clas</w:t>
            </w:r>
            <w:r w:rsidR="00007A5A">
              <w:rPr>
                <w:rFonts w:ascii="Arial" w:hAnsi="Arial" w:cs="Arial"/>
                <w:sz w:val="20"/>
                <w:lang w:eastAsia="es-AR"/>
              </w:rPr>
              <w:t>e</w:t>
            </w:r>
            <w:r w:rsidRPr="0023536E">
              <w:rPr>
                <w:rFonts w:ascii="Arial" w:hAnsi="Arial" w:cs="Arial"/>
                <w:sz w:val="20"/>
                <w:lang w:eastAsia="es-AR"/>
              </w:rPr>
              <w:t xml:space="preserve"> B</w:t>
            </w:r>
          </w:p>
        </w:tc>
        <w:tc>
          <w:tcPr>
            <w:tcW w:w="1253" w:type="dxa"/>
            <w:tcBorders>
              <w:top w:val="nil"/>
              <w:left w:val="nil"/>
              <w:bottom w:val="nil"/>
              <w:right w:val="nil"/>
            </w:tcBorders>
            <w:shd w:val="clear" w:color="auto" w:fill="auto"/>
            <w:noWrap/>
          </w:tcPr>
          <w:p w14:paraId="3C00AE9C" w14:textId="08D77A9F" w:rsidR="0023536E" w:rsidRPr="0023536E" w:rsidRDefault="00962EA8" w:rsidP="0023536E">
            <w:pPr>
              <w:jc w:val="right"/>
              <w:rPr>
                <w:rFonts w:ascii="Arial" w:hAnsi="Arial" w:cs="Arial"/>
                <w:sz w:val="20"/>
                <w:lang w:eastAsia="es-AR"/>
              </w:rPr>
            </w:pPr>
            <w:r>
              <w:rPr>
                <w:rFonts w:ascii="Arial" w:hAnsi="Arial" w:cs="Arial"/>
                <w:sz w:val="20"/>
                <w:lang w:eastAsia="es-AR"/>
              </w:rPr>
              <w:t>828.633.500</w:t>
            </w:r>
          </w:p>
        </w:tc>
        <w:tc>
          <w:tcPr>
            <w:tcW w:w="1054" w:type="dxa"/>
            <w:tcBorders>
              <w:top w:val="nil"/>
              <w:left w:val="nil"/>
              <w:bottom w:val="nil"/>
              <w:right w:val="nil"/>
            </w:tcBorders>
            <w:shd w:val="clear" w:color="auto" w:fill="auto"/>
            <w:noWrap/>
          </w:tcPr>
          <w:p w14:paraId="0137699F" w14:textId="4D87D005" w:rsidR="0023536E" w:rsidRPr="0023536E" w:rsidRDefault="00962EA8" w:rsidP="0023536E">
            <w:pPr>
              <w:jc w:val="right"/>
              <w:rPr>
                <w:rFonts w:ascii="Arial" w:hAnsi="Arial" w:cs="Arial"/>
                <w:sz w:val="20"/>
                <w:lang w:eastAsia="es-AR"/>
              </w:rPr>
            </w:pPr>
            <w:r>
              <w:rPr>
                <w:rFonts w:ascii="Arial" w:hAnsi="Arial" w:cs="Arial"/>
                <w:sz w:val="20"/>
                <w:lang w:eastAsia="es-AR"/>
              </w:rPr>
              <w:t>1</w:t>
            </w:r>
          </w:p>
        </w:tc>
        <w:tc>
          <w:tcPr>
            <w:tcW w:w="1538" w:type="dxa"/>
            <w:tcBorders>
              <w:top w:val="nil"/>
              <w:left w:val="nil"/>
              <w:bottom w:val="nil"/>
              <w:right w:val="nil"/>
            </w:tcBorders>
            <w:shd w:val="clear" w:color="auto" w:fill="auto"/>
            <w:noWrap/>
          </w:tcPr>
          <w:p w14:paraId="45DBAF29" w14:textId="02586B9C" w:rsidR="0023536E" w:rsidRPr="0023536E" w:rsidRDefault="00962EA8" w:rsidP="0023536E">
            <w:pPr>
              <w:jc w:val="right"/>
              <w:rPr>
                <w:rFonts w:ascii="Arial" w:hAnsi="Arial" w:cs="Arial"/>
                <w:sz w:val="20"/>
                <w:lang w:eastAsia="es-AR"/>
              </w:rPr>
            </w:pPr>
            <w:r>
              <w:rPr>
                <w:rFonts w:ascii="Arial" w:hAnsi="Arial" w:cs="Arial"/>
                <w:sz w:val="20"/>
                <w:lang w:eastAsia="es-AR"/>
              </w:rPr>
              <w:t>828.634</w:t>
            </w:r>
          </w:p>
        </w:tc>
        <w:tc>
          <w:tcPr>
            <w:tcW w:w="1440" w:type="dxa"/>
            <w:tcBorders>
              <w:top w:val="nil"/>
              <w:left w:val="nil"/>
              <w:bottom w:val="nil"/>
              <w:right w:val="nil"/>
            </w:tcBorders>
            <w:shd w:val="clear" w:color="auto" w:fill="auto"/>
            <w:noWrap/>
          </w:tcPr>
          <w:p w14:paraId="17DB8CCB" w14:textId="218AA48D" w:rsidR="0023536E" w:rsidRPr="0023536E" w:rsidRDefault="00940F41" w:rsidP="0023536E">
            <w:pPr>
              <w:jc w:val="right"/>
              <w:rPr>
                <w:rFonts w:ascii="Arial" w:hAnsi="Arial" w:cs="Arial"/>
                <w:sz w:val="20"/>
                <w:lang w:eastAsia="es-AR"/>
              </w:rPr>
            </w:pPr>
            <w:r>
              <w:rPr>
                <w:rFonts w:ascii="Arial" w:hAnsi="Arial" w:cs="Arial"/>
                <w:sz w:val="20"/>
                <w:lang w:eastAsia="es-AR"/>
              </w:rPr>
              <w:t>-</w:t>
            </w:r>
          </w:p>
        </w:tc>
        <w:tc>
          <w:tcPr>
            <w:tcW w:w="1300" w:type="dxa"/>
            <w:tcBorders>
              <w:top w:val="nil"/>
              <w:left w:val="nil"/>
              <w:bottom w:val="nil"/>
              <w:right w:val="nil"/>
            </w:tcBorders>
            <w:shd w:val="clear" w:color="auto" w:fill="auto"/>
            <w:noWrap/>
          </w:tcPr>
          <w:p w14:paraId="5CB4FEF8" w14:textId="6D73F85B" w:rsidR="0023536E" w:rsidRPr="0023536E" w:rsidRDefault="00962EA8" w:rsidP="0023536E">
            <w:pPr>
              <w:jc w:val="right"/>
              <w:rPr>
                <w:rFonts w:ascii="Arial" w:hAnsi="Arial" w:cs="Arial"/>
                <w:sz w:val="20"/>
                <w:lang w:eastAsia="es-AR"/>
              </w:rPr>
            </w:pPr>
            <w:r>
              <w:rPr>
                <w:rFonts w:ascii="Arial" w:hAnsi="Arial" w:cs="Arial"/>
                <w:sz w:val="20"/>
                <w:lang w:eastAsia="es-AR"/>
              </w:rPr>
              <w:t>828.634</w:t>
            </w:r>
          </w:p>
        </w:tc>
        <w:tc>
          <w:tcPr>
            <w:tcW w:w="147" w:type="dxa"/>
            <w:vAlign w:val="center"/>
            <w:hideMark/>
          </w:tcPr>
          <w:p w14:paraId="26A644EA" w14:textId="77777777" w:rsidR="0023536E" w:rsidRPr="0023536E" w:rsidRDefault="0023536E" w:rsidP="0023536E">
            <w:pPr>
              <w:rPr>
                <w:sz w:val="20"/>
                <w:lang w:eastAsia="es-AR"/>
              </w:rPr>
            </w:pPr>
          </w:p>
        </w:tc>
      </w:tr>
      <w:tr w:rsidR="0023536E" w:rsidRPr="0023536E" w14:paraId="069B1582" w14:textId="77777777" w:rsidTr="00F7109C">
        <w:trPr>
          <w:trHeight w:val="300"/>
        </w:trPr>
        <w:tc>
          <w:tcPr>
            <w:tcW w:w="2975" w:type="dxa"/>
            <w:tcBorders>
              <w:top w:val="nil"/>
              <w:left w:val="nil"/>
              <w:bottom w:val="nil"/>
              <w:right w:val="nil"/>
            </w:tcBorders>
            <w:shd w:val="clear" w:color="auto" w:fill="auto"/>
            <w:hideMark/>
          </w:tcPr>
          <w:p w14:paraId="6ADD55D9" w14:textId="77777777" w:rsidR="0023536E" w:rsidRPr="0023536E" w:rsidRDefault="0023536E" w:rsidP="0023536E">
            <w:pPr>
              <w:rPr>
                <w:rFonts w:ascii="Arial" w:hAnsi="Arial" w:cs="Arial"/>
                <w:sz w:val="20"/>
                <w:lang w:eastAsia="es-AR"/>
              </w:rPr>
            </w:pPr>
          </w:p>
        </w:tc>
        <w:tc>
          <w:tcPr>
            <w:tcW w:w="1253" w:type="dxa"/>
            <w:tcBorders>
              <w:top w:val="nil"/>
              <w:left w:val="nil"/>
              <w:bottom w:val="nil"/>
              <w:right w:val="nil"/>
            </w:tcBorders>
            <w:shd w:val="clear" w:color="auto" w:fill="auto"/>
          </w:tcPr>
          <w:p w14:paraId="483367AF" w14:textId="77777777" w:rsidR="0023536E" w:rsidRPr="0023536E" w:rsidRDefault="0023536E" w:rsidP="0023536E">
            <w:pPr>
              <w:jc w:val="right"/>
              <w:rPr>
                <w:sz w:val="20"/>
                <w:lang w:eastAsia="es-AR"/>
              </w:rPr>
            </w:pPr>
          </w:p>
        </w:tc>
        <w:tc>
          <w:tcPr>
            <w:tcW w:w="1054" w:type="dxa"/>
            <w:tcBorders>
              <w:top w:val="nil"/>
              <w:left w:val="nil"/>
              <w:bottom w:val="nil"/>
              <w:right w:val="nil"/>
            </w:tcBorders>
            <w:shd w:val="clear" w:color="auto" w:fill="auto"/>
          </w:tcPr>
          <w:p w14:paraId="771D762B" w14:textId="77777777" w:rsidR="0023536E" w:rsidRPr="0023536E" w:rsidRDefault="0023536E" w:rsidP="0023536E">
            <w:pPr>
              <w:jc w:val="right"/>
              <w:rPr>
                <w:sz w:val="20"/>
                <w:lang w:eastAsia="es-AR"/>
              </w:rPr>
            </w:pPr>
          </w:p>
        </w:tc>
        <w:tc>
          <w:tcPr>
            <w:tcW w:w="1538" w:type="dxa"/>
            <w:tcBorders>
              <w:top w:val="nil"/>
              <w:left w:val="nil"/>
              <w:bottom w:val="nil"/>
              <w:right w:val="nil"/>
            </w:tcBorders>
            <w:shd w:val="clear" w:color="auto" w:fill="auto"/>
          </w:tcPr>
          <w:p w14:paraId="404B4868" w14:textId="77777777" w:rsidR="0023536E" w:rsidRPr="0023536E" w:rsidRDefault="0023536E" w:rsidP="0023536E">
            <w:pPr>
              <w:jc w:val="right"/>
              <w:rPr>
                <w:sz w:val="20"/>
                <w:lang w:eastAsia="es-AR"/>
              </w:rPr>
            </w:pPr>
          </w:p>
        </w:tc>
        <w:tc>
          <w:tcPr>
            <w:tcW w:w="1440" w:type="dxa"/>
            <w:tcBorders>
              <w:top w:val="nil"/>
              <w:left w:val="nil"/>
              <w:bottom w:val="nil"/>
              <w:right w:val="nil"/>
            </w:tcBorders>
            <w:shd w:val="clear" w:color="auto" w:fill="auto"/>
          </w:tcPr>
          <w:p w14:paraId="23259021" w14:textId="77777777" w:rsidR="0023536E" w:rsidRPr="0023536E" w:rsidRDefault="0023536E" w:rsidP="0023536E">
            <w:pPr>
              <w:jc w:val="right"/>
              <w:rPr>
                <w:sz w:val="20"/>
                <w:lang w:eastAsia="es-AR"/>
              </w:rPr>
            </w:pPr>
          </w:p>
        </w:tc>
        <w:tc>
          <w:tcPr>
            <w:tcW w:w="1300" w:type="dxa"/>
            <w:tcBorders>
              <w:top w:val="nil"/>
              <w:left w:val="nil"/>
              <w:bottom w:val="nil"/>
              <w:right w:val="nil"/>
            </w:tcBorders>
            <w:shd w:val="clear" w:color="auto" w:fill="auto"/>
          </w:tcPr>
          <w:p w14:paraId="73170D5D" w14:textId="77777777" w:rsidR="0023536E" w:rsidRPr="0023536E" w:rsidRDefault="0023536E" w:rsidP="0023536E">
            <w:pPr>
              <w:jc w:val="right"/>
              <w:rPr>
                <w:sz w:val="20"/>
                <w:lang w:eastAsia="es-AR"/>
              </w:rPr>
            </w:pPr>
          </w:p>
        </w:tc>
        <w:tc>
          <w:tcPr>
            <w:tcW w:w="147" w:type="dxa"/>
            <w:vAlign w:val="center"/>
            <w:hideMark/>
          </w:tcPr>
          <w:p w14:paraId="56689EA5" w14:textId="77777777" w:rsidR="0023536E" w:rsidRPr="0023536E" w:rsidRDefault="0023536E" w:rsidP="0023536E">
            <w:pPr>
              <w:rPr>
                <w:sz w:val="20"/>
                <w:lang w:eastAsia="es-AR"/>
              </w:rPr>
            </w:pPr>
          </w:p>
        </w:tc>
      </w:tr>
      <w:tr w:rsidR="0023536E" w:rsidRPr="0023536E" w14:paraId="1D119C46" w14:textId="77777777" w:rsidTr="00F7109C">
        <w:trPr>
          <w:trHeight w:val="300"/>
        </w:trPr>
        <w:tc>
          <w:tcPr>
            <w:tcW w:w="2975" w:type="dxa"/>
            <w:tcBorders>
              <w:top w:val="nil"/>
              <w:left w:val="nil"/>
              <w:bottom w:val="nil"/>
              <w:right w:val="nil"/>
            </w:tcBorders>
            <w:shd w:val="clear" w:color="auto" w:fill="auto"/>
            <w:hideMark/>
          </w:tcPr>
          <w:p w14:paraId="0694CF7B" w14:textId="77777777" w:rsidR="0023536E" w:rsidRPr="0023536E" w:rsidRDefault="0023536E" w:rsidP="0023536E">
            <w:pPr>
              <w:rPr>
                <w:sz w:val="20"/>
                <w:lang w:eastAsia="es-AR"/>
              </w:rPr>
            </w:pPr>
          </w:p>
        </w:tc>
        <w:tc>
          <w:tcPr>
            <w:tcW w:w="1253" w:type="dxa"/>
            <w:tcBorders>
              <w:top w:val="nil"/>
              <w:left w:val="nil"/>
              <w:bottom w:val="nil"/>
              <w:right w:val="nil"/>
            </w:tcBorders>
            <w:shd w:val="clear" w:color="auto" w:fill="auto"/>
          </w:tcPr>
          <w:p w14:paraId="15E85E74" w14:textId="77777777" w:rsidR="0023536E" w:rsidRPr="0023536E" w:rsidRDefault="0023536E" w:rsidP="0023536E">
            <w:pPr>
              <w:jc w:val="right"/>
              <w:rPr>
                <w:sz w:val="20"/>
                <w:lang w:eastAsia="es-AR"/>
              </w:rPr>
            </w:pPr>
          </w:p>
        </w:tc>
        <w:tc>
          <w:tcPr>
            <w:tcW w:w="1054" w:type="dxa"/>
            <w:tcBorders>
              <w:top w:val="nil"/>
              <w:left w:val="nil"/>
              <w:bottom w:val="nil"/>
              <w:right w:val="nil"/>
            </w:tcBorders>
            <w:shd w:val="clear" w:color="auto" w:fill="auto"/>
          </w:tcPr>
          <w:p w14:paraId="0E7C4789" w14:textId="77777777" w:rsidR="0023536E" w:rsidRPr="0023536E" w:rsidRDefault="0023536E" w:rsidP="0023536E">
            <w:pPr>
              <w:jc w:val="right"/>
              <w:rPr>
                <w:sz w:val="20"/>
                <w:lang w:eastAsia="es-AR"/>
              </w:rPr>
            </w:pPr>
          </w:p>
        </w:tc>
        <w:tc>
          <w:tcPr>
            <w:tcW w:w="1538" w:type="dxa"/>
            <w:tcBorders>
              <w:top w:val="nil"/>
              <w:left w:val="nil"/>
              <w:bottom w:val="nil"/>
              <w:right w:val="nil"/>
            </w:tcBorders>
            <w:shd w:val="clear" w:color="auto" w:fill="auto"/>
          </w:tcPr>
          <w:p w14:paraId="50D0F982" w14:textId="77777777" w:rsidR="0023536E" w:rsidRPr="0023536E" w:rsidRDefault="0023536E" w:rsidP="0023536E">
            <w:pPr>
              <w:jc w:val="right"/>
              <w:rPr>
                <w:sz w:val="20"/>
                <w:lang w:eastAsia="es-AR"/>
              </w:rPr>
            </w:pPr>
          </w:p>
        </w:tc>
        <w:tc>
          <w:tcPr>
            <w:tcW w:w="1440" w:type="dxa"/>
            <w:tcBorders>
              <w:top w:val="nil"/>
              <w:left w:val="nil"/>
              <w:bottom w:val="nil"/>
              <w:right w:val="nil"/>
            </w:tcBorders>
            <w:shd w:val="clear" w:color="auto" w:fill="auto"/>
          </w:tcPr>
          <w:p w14:paraId="7C00C68A" w14:textId="77777777" w:rsidR="0023536E" w:rsidRPr="0023536E" w:rsidRDefault="0023536E" w:rsidP="0023536E">
            <w:pPr>
              <w:jc w:val="right"/>
              <w:rPr>
                <w:sz w:val="20"/>
                <w:lang w:eastAsia="es-AR"/>
              </w:rPr>
            </w:pPr>
          </w:p>
        </w:tc>
        <w:tc>
          <w:tcPr>
            <w:tcW w:w="1300" w:type="dxa"/>
            <w:tcBorders>
              <w:top w:val="nil"/>
              <w:left w:val="nil"/>
              <w:bottom w:val="nil"/>
              <w:right w:val="nil"/>
            </w:tcBorders>
            <w:shd w:val="clear" w:color="auto" w:fill="auto"/>
          </w:tcPr>
          <w:p w14:paraId="44CDA5ED" w14:textId="77777777" w:rsidR="0023536E" w:rsidRPr="0023536E" w:rsidRDefault="0023536E" w:rsidP="0023536E">
            <w:pPr>
              <w:jc w:val="right"/>
              <w:rPr>
                <w:sz w:val="20"/>
                <w:lang w:eastAsia="es-AR"/>
              </w:rPr>
            </w:pPr>
          </w:p>
        </w:tc>
        <w:tc>
          <w:tcPr>
            <w:tcW w:w="147" w:type="dxa"/>
            <w:vAlign w:val="center"/>
            <w:hideMark/>
          </w:tcPr>
          <w:p w14:paraId="20635070" w14:textId="77777777" w:rsidR="0023536E" w:rsidRPr="0023536E" w:rsidRDefault="0023536E" w:rsidP="0023536E">
            <w:pPr>
              <w:rPr>
                <w:sz w:val="20"/>
                <w:lang w:eastAsia="es-AR"/>
              </w:rPr>
            </w:pPr>
          </w:p>
        </w:tc>
      </w:tr>
      <w:tr w:rsidR="0023536E" w:rsidRPr="0023536E" w14:paraId="4AF65972" w14:textId="77777777" w:rsidTr="00F7109C">
        <w:trPr>
          <w:trHeight w:val="300"/>
        </w:trPr>
        <w:tc>
          <w:tcPr>
            <w:tcW w:w="2975" w:type="dxa"/>
            <w:tcBorders>
              <w:top w:val="nil"/>
              <w:left w:val="nil"/>
              <w:bottom w:val="nil"/>
              <w:right w:val="nil"/>
            </w:tcBorders>
            <w:shd w:val="clear" w:color="auto" w:fill="auto"/>
            <w:hideMark/>
          </w:tcPr>
          <w:p w14:paraId="47A4FD20" w14:textId="77777777" w:rsidR="0023536E" w:rsidRPr="0023536E" w:rsidRDefault="0023536E" w:rsidP="0023536E">
            <w:pPr>
              <w:rPr>
                <w:sz w:val="20"/>
                <w:lang w:eastAsia="es-AR"/>
              </w:rPr>
            </w:pPr>
          </w:p>
        </w:tc>
        <w:tc>
          <w:tcPr>
            <w:tcW w:w="1253" w:type="dxa"/>
            <w:tcBorders>
              <w:top w:val="nil"/>
              <w:left w:val="nil"/>
              <w:bottom w:val="nil"/>
              <w:right w:val="nil"/>
            </w:tcBorders>
            <w:shd w:val="clear" w:color="auto" w:fill="auto"/>
          </w:tcPr>
          <w:p w14:paraId="1F8F8A58" w14:textId="77777777" w:rsidR="0023536E" w:rsidRPr="0023536E" w:rsidRDefault="0023536E" w:rsidP="0023536E">
            <w:pPr>
              <w:jc w:val="right"/>
              <w:rPr>
                <w:sz w:val="20"/>
                <w:lang w:eastAsia="es-AR"/>
              </w:rPr>
            </w:pPr>
          </w:p>
        </w:tc>
        <w:tc>
          <w:tcPr>
            <w:tcW w:w="1054" w:type="dxa"/>
            <w:tcBorders>
              <w:top w:val="nil"/>
              <w:left w:val="nil"/>
              <w:bottom w:val="nil"/>
              <w:right w:val="nil"/>
            </w:tcBorders>
            <w:shd w:val="clear" w:color="auto" w:fill="auto"/>
          </w:tcPr>
          <w:p w14:paraId="60BB2403" w14:textId="77777777" w:rsidR="0023536E" w:rsidRPr="0023536E" w:rsidRDefault="0023536E" w:rsidP="0023536E">
            <w:pPr>
              <w:jc w:val="right"/>
              <w:rPr>
                <w:sz w:val="20"/>
                <w:lang w:eastAsia="es-AR"/>
              </w:rPr>
            </w:pPr>
          </w:p>
        </w:tc>
        <w:tc>
          <w:tcPr>
            <w:tcW w:w="1538" w:type="dxa"/>
            <w:tcBorders>
              <w:top w:val="nil"/>
              <w:left w:val="nil"/>
              <w:bottom w:val="nil"/>
              <w:right w:val="nil"/>
            </w:tcBorders>
            <w:shd w:val="clear" w:color="auto" w:fill="auto"/>
          </w:tcPr>
          <w:p w14:paraId="06618353" w14:textId="77777777" w:rsidR="0023536E" w:rsidRPr="0023536E" w:rsidRDefault="0023536E" w:rsidP="0023536E">
            <w:pPr>
              <w:jc w:val="right"/>
              <w:rPr>
                <w:sz w:val="20"/>
                <w:lang w:eastAsia="es-AR"/>
              </w:rPr>
            </w:pPr>
          </w:p>
        </w:tc>
        <w:tc>
          <w:tcPr>
            <w:tcW w:w="1440" w:type="dxa"/>
            <w:tcBorders>
              <w:top w:val="nil"/>
              <w:left w:val="nil"/>
              <w:bottom w:val="nil"/>
              <w:right w:val="nil"/>
            </w:tcBorders>
            <w:shd w:val="clear" w:color="auto" w:fill="auto"/>
          </w:tcPr>
          <w:p w14:paraId="65F7C0C5" w14:textId="77777777" w:rsidR="0023536E" w:rsidRPr="0023536E" w:rsidRDefault="0023536E" w:rsidP="0023536E">
            <w:pPr>
              <w:jc w:val="right"/>
              <w:rPr>
                <w:sz w:val="20"/>
                <w:lang w:eastAsia="es-AR"/>
              </w:rPr>
            </w:pPr>
          </w:p>
        </w:tc>
        <w:tc>
          <w:tcPr>
            <w:tcW w:w="1300" w:type="dxa"/>
            <w:tcBorders>
              <w:top w:val="nil"/>
              <w:left w:val="nil"/>
              <w:bottom w:val="nil"/>
              <w:right w:val="nil"/>
            </w:tcBorders>
            <w:shd w:val="clear" w:color="auto" w:fill="auto"/>
          </w:tcPr>
          <w:p w14:paraId="6CAB398E" w14:textId="77777777" w:rsidR="0023536E" w:rsidRPr="0023536E" w:rsidRDefault="0023536E" w:rsidP="0023536E">
            <w:pPr>
              <w:jc w:val="right"/>
              <w:rPr>
                <w:sz w:val="20"/>
                <w:lang w:eastAsia="es-AR"/>
              </w:rPr>
            </w:pPr>
          </w:p>
        </w:tc>
        <w:tc>
          <w:tcPr>
            <w:tcW w:w="147" w:type="dxa"/>
            <w:vAlign w:val="center"/>
            <w:hideMark/>
          </w:tcPr>
          <w:p w14:paraId="7FCBDD51" w14:textId="77777777" w:rsidR="0023536E" w:rsidRPr="0023536E" w:rsidRDefault="0023536E" w:rsidP="0023536E">
            <w:pPr>
              <w:rPr>
                <w:sz w:val="20"/>
                <w:lang w:eastAsia="es-AR"/>
              </w:rPr>
            </w:pPr>
          </w:p>
        </w:tc>
      </w:tr>
      <w:tr w:rsidR="0023536E" w:rsidRPr="0023536E" w14:paraId="2FCFCE5C" w14:textId="77777777" w:rsidTr="00F7109C">
        <w:trPr>
          <w:trHeight w:val="319"/>
        </w:trPr>
        <w:tc>
          <w:tcPr>
            <w:tcW w:w="2975" w:type="dxa"/>
            <w:tcBorders>
              <w:top w:val="nil"/>
              <w:left w:val="nil"/>
              <w:bottom w:val="nil"/>
              <w:right w:val="nil"/>
            </w:tcBorders>
            <w:shd w:val="clear" w:color="auto" w:fill="auto"/>
            <w:hideMark/>
          </w:tcPr>
          <w:p w14:paraId="67D24F57" w14:textId="77777777" w:rsidR="0023536E" w:rsidRPr="0023536E" w:rsidRDefault="0023536E" w:rsidP="0023536E">
            <w:pPr>
              <w:rPr>
                <w:rFonts w:ascii="Arial" w:hAnsi="Arial" w:cs="Arial"/>
                <w:b/>
                <w:bCs/>
                <w:sz w:val="20"/>
                <w:lang w:eastAsia="es-AR"/>
              </w:rPr>
            </w:pPr>
            <w:r w:rsidRPr="0023536E">
              <w:rPr>
                <w:rFonts w:ascii="Arial" w:hAnsi="Arial" w:cs="Arial"/>
                <w:b/>
                <w:bCs/>
                <w:sz w:val="20"/>
                <w:lang w:eastAsia="es-AR"/>
              </w:rPr>
              <w:t>TOTAL</w:t>
            </w:r>
          </w:p>
        </w:tc>
        <w:tc>
          <w:tcPr>
            <w:tcW w:w="1253" w:type="dxa"/>
            <w:tcBorders>
              <w:top w:val="single" w:sz="4" w:space="0" w:color="auto"/>
              <w:left w:val="nil"/>
              <w:bottom w:val="single" w:sz="4" w:space="0" w:color="auto"/>
              <w:right w:val="nil"/>
            </w:tcBorders>
            <w:shd w:val="clear" w:color="auto" w:fill="auto"/>
          </w:tcPr>
          <w:p w14:paraId="0A3AB026" w14:textId="4FF0F064" w:rsidR="0023536E" w:rsidRPr="0023536E" w:rsidRDefault="00962EA8" w:rsidP="0023536E">
            <w:pPr>
              <w:jc w:val="right"/>
              <w:rPr>
                <w:rFonts w:ascii="Arial" w:hAnsi="Arial" w:cs="Arial"/>
                <w:b/>
                <w:bCs/>
                <w:sz w:val="20"/>
                <w:lang w:eastAsia="es-AR"/>
              </w:rPr>
            </w:pPr>
            <w:r>
              <w:rPr>
                <w:rFonts w:ascii="Arial" w:hAnsi="Arial" w:cs="Arial"/>
                <w:b/>
                <w:bCs/>
                <w:sz w:val="20"/>
                <w:lang w:eastAsia="es-AR"/>
              </w:rPr>
              <w:t>829.563.871</w:t>
            </w:r>
          </w:p>
        </w:tc>
        <w:tc>
          <w:tcPr>
            <w:tcW w:w="1054" w:type="dxa"/>
            <w:tcBorders>
              <w:top w:val="single" w:sz="4" w:space="0" w:color="auto"/>
              <w:left w:val="nil"/>
              <w:bottom w:val="single" w:sz="4" w:space="0" w:color="auto"/>
              <w:right w:val="nil"/>
            </w:tcBorders>
            <w:shd w:val="clear" w:color="auto" w:fill="auto"/>
          </w:tcPr>
          <w:p w14:paraId="088458BB" w14:textId="06D254E0" w:rsidR="0023536E" w:rsidRPr="0023536E" w:rsidRDefault="0023536E" w:rsidP="0023536E">
            <w:pPr>
              <w:jc w:val="right"/>
              <w:rPr>
                <w:rFonts w:ascii="Arial" w:hAnsi="Arial" w:cs="Arial"/>
                <w:b/>
                <w:bCs/>
                <w:sz w:val="20"/>
                <w:lang w:eastAsia="es-AR"/>
              </w:rPr>
            </w:pPr>
          </w:p>
        </w:tc>
        <w:tc>
          <w:tcPr>
            <w:tcW w:w="1538" w:type="dxa"/>
            <w:tcBorders>
              <w:top w:val="single" w:sz="4" w:space="0" w:color="auto"/>
              <w:left w:val="nil"/>
              <w:bottom w:val="single" w:sz="4" w:space="0" w:color="auto"/>
              <w:right w:val="nil"/>
            </w:tcBorders>
            <w:shd w:val="clear" w:color="auto" w:fill="auto"/>
          </w:tcPr>
          <w:p w14:paraId="584CB6E1" w14:textId="095CC167" w:rsidR="0023536E" w:rsidRPr="0023536E" w:rsidRDefault="00962EA8" w:rsidP="0023536E">
            <w:pPr>
              <w:jc w:val="right"/>
              <w:rPr>
                <w:rFonts w:ascii="Arial" w:hAnsi="Arial" w:cs="Arial"/>
                <w:b/>
                <w:bCs/>
                <w:sz w:val="20"/>
                <w:lang w:eastAsia="es-AR"/>
              </w:rPr>
            </w:pPr>
            <w:r>
              <w:rPr>
                <w:rFonts w:ascii="Arial" w:hAnsi="Arial" w:cs="Arial"/>
                <w:b/>
                <w:bCs/>
                <w:sz w:val="20"/>
                <w:lang w:eastAsia="es-AR"/>
              </w:rPr>
              <w:t>829.564</w:t>
            </w:r>
          </w:p>
        </w:tc>
        <w:tc>
          <w:tcPr>
            <w:tcW w:w="1440" w:type="dxa"/>
            <w:tcBorders>
              <w:top w:val="single" w:sz="4" w:space="0" w:color="auto"/>
              <w:left w:val="nil"/>
              <w:bottom w:val="single" w:sz="4" w:space="0" w:color="auto"/>
              <w:right w:val="nil"/>
            </w:tcBorders>
            <w:shd w:val="clear" w:color="auto" w:fill="auto"/>
          </w:tcPr>
          <w:p w14:paraId="1210B161" w14:textId="5ED777B8" w:rsidR="0023536E" w:rsidRPr="0023536E" w:rsidRDefault="00940F41" w:rsidP="0023536E">
            <w:pPr>
              <w:jc w:val="right"/>
              <w:rPr>
                <w:rFonts w:ascii="Arial" w:hAnsi="Arial" w:cs="Arial"/>
                <w:b/>
                <w:bCs/>
                <w:sz w:val="20"/>
                <w:lang w:eastAsia="es-AR"/>
              </w:rPr>
            </w:pPr>
            <w:r>
              <w:rPr>
                <w:rFonts w:ascii="Arial" w:hAnsi="Arial" w:cs="Arial"/>
                <w:b/>
                <w:bCs/>
                <w:sz w:val="20"/>
                <w:lang w:eastAsia="es-AR"/>
              </w:rPr>
              <w:t>-</w:t>
            </w:r>
          </w:p>
        </w:tc>
        <w:tc>
          <w:tcPr>
            <w:tcW w:w="1300" w:type="dxa"/>
            <w:tcBorders>
              <w:top w:val="single" w:sz="4" w:space="0" w:color="auto"/>
              <w:left w:val="nil"/>
              <w:bottom w:val="single" w:sz="4" w:space="0" w:color="auto"/>
              <w:right w:val="nil"/>
            </w:tcBorders>
            <w:shd w:val="clear" w:color="auto" w:fill="auto"/>
          </w:tcPr>
          <w:p w14:paraId="25718F56" w14:textId="64A23A02" w:rsidR="0023536E" w:rsidRPr="0023536E" w:rsidRDefault="00962EA8" w:rsidP="0023536E">
            <w:pPr>
              <w:jc w:val="right"/>
              <w:rPr>
                <w:rFonts w:ascii="Arial" w:hAnsi="Arial" w:cs="Arial"/>
                <w:b/>
                <w:bCs/>
                <w:sz w:val="20"/>
                <w:lang w:eastAsia="es-AR"/>
              </w:rPr>
            </w:pPr>
            <w:r>
              <w:rPr>
                <w:rFonts w:ascii="Arial" w:hAnsi="Arial" w:cs="Arial"/>
                <w:b/>
                <w:bCs/>
                <w:sz w:val="20"/>
                <w:lang w:eastAsia="es-AR"/>
              </w:rPr>
              <w:t>829.564</w:t>
            </w:r>
          </w:p>
        </w:tc>
        <w:tc>
          <w:tcPr>
            <w:tcW w:w="147" w:type="dxa"/>
            <w:vAlign w:val="center"/>
            <w:hideMark/>
          </w:tcPr>
          <w:p w14:paraId="10949975" w14:textId="77777777" w:rsidR="0023536E" w:rsidRPr="0023536E" w:rsidRDefault="0023536E" w:rsidP="0023536E">
            <w:pPr>
              <w:rPr>
                <w:sz w:val="20"/>
                <w:lang w:eastAsia="es-AR"/>
              </w:rPr>
            </w:pPr>
          </w:p>
        </w:tc>
      </w:tr>
    </w:tbl>
    <w:p w14:paraId="3B2E8F3F" w14:textId="3FC42746" w:rsidR="007B34B2" w:rsidRPr="007B34B2" w:rsidRDefault="007B34B2" w:rsidP="003233E9">
      <w:pPr>
        <w:jc w:val="center"/>
      </w:pPr>
    </w:p>
    <w:p w14:paraId="483107D2" w14:textId="1C05E765" w:rsidR="007B34B2" w:rsidRPr="007B34B2" w:rsidRDefault="007B34B2" w:rsidP="003233E9">
      <w:pPr>
        <w:jc w:val="center"/>
      </w:pPr>
    </w:p>
    <w:p w14:paraId="18CA0450" w14:textId="06AFC94E" w:rsidR="007A7EC4" w:rsidRPr="007B34B2" w:rsidRDefault="007A7EC4" w:rsidP="008962C9">
      <w:pPr>
        <w:sectPr w:rsidR="007A7EC4" w:rsidRPr="007B34B2" w:rsidSect="00425F99">
          <w:headerReference w:type="default" r:id="rId62"/>
          <w:pgSz w:w="11907" w:h="16839" w:code="9"/>
          <w:pgMar w:top="1418" w:right="1701" w:bottom="1418" w:left="1701" w:header="567" w:footer="0" w:gutter="0"/>
          <w:paperSrc w:first="256" w:other="256"/>
          <w:cols w:space="720"/>
          <w:docGrid w:linePitch="326"/>
        </w:sectPr>
      </w:pPr>
    </w:p>
    <w:tbl>
      <w:tblPr>
        <w:tblW w:w="10140" w:type="dxa"/>
        <w:tblInd w:w="-431" w:type="dxa"/>
        <w:tblCellMar>
          <w:left w:w="70" w:type="dxa"/>
          <w:right w:w="70" w:type="dxa"/>
        </w:tblCellMar>
        <w:tblLook w:val="04A0" w:firstRow="1" w:lastRow="0" w:firstColumn="1" w:lastColumn="0" w:noHBand="0" w:noVBand="1"/>
      </w:tblPr>
      <w:tblGrid>
        <w:gridCol w:w="3829"/>
        <w:gridCol w:w="1418"/>
        <w:gridCol w:w="1133"/>
        <w:gridCol w:w="841"/>
        <w:gridCol w:w="647"/>
        <w:gridCol w:w="569"/>
        <w:gridCol w:w="647"/>
        <w:gridCol w:w="1056"/>
      </w:tblGrid>
      <w:tr w:rsidR="0023536E" w:rsidRPr="00083AEA" w14:paraId="1B762E0B" w14:textId="77777777" w:rsidTr="009B2446">
        <w:trPr>
          <w:trHeight w:val="259"/>
        </w:trPr>
        <w:tc>
          <w:tcPr>
            <w:tcW w:w="382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0A00EB" w14:textId="77777777" w:rsidR="0023536E" w:rsidRPr="00083AEA" w:rsidRDefault="0023536E" w:rsidP="0023536E">
            <w:pPr>
              <w:jc w:val="center"/>
              <w:rPr>
                <w:rFonts w:ascii="Arial" w:hAnsi="Arial" w:cs="Arial"/>
                <w:b/>
                <w:bCs/>
                <w:sz w:val="14"/>
                <w:szCs w:val="18"/>
                <w:lang w:eastAsia="es-AR"/>
              </w:rPr>
            </w:pPr>
            <w:r w:rsidRPr="00083AEA">
              <w:rPr>
                <w:rFonts w:ascii="Arial" w:hAnsi="Arial" w:cs="Arial"/>
                <w:b/>
                <w:bCs/>
                <w:sz w:val="14"/>
                <w:szCs w:val="18"/>
                <w:lang w:eastAsia="es-AR"/>
              </w:rPr>
              <w:t>Conceptos</w:t>
            </w:r>
          </w:p>
        </w:tc>
        <w:tc>
          <w:tcPr>
            <w:tcW w:w="1418" w:type="dxa"/>
            <w:vMerge w:val="restart"/>
            <w:tcBorders>
              <w:top w:val="single" w:sz="4" w:space="0" w:color="auto"/>
              <w:left w:val="single" w:sz="4" w:space="0" w:color="auto"/>
              <w:bottom w:val="single" w:sz="4" w:space="0" w:color="auto"/>
              <w:right w:val="single" w:sz="4" w:space="0" w:color="363639"/>
            </w:tcBorders>
            <w:shd w:val="clear" w:color="auto" w:fill="BFBFBF" w:themeFill="background1" w:themeFillShade="BF"/>
            <w:vAlign w:val="center"/>
            <w:hideMark/>
          </w:tcPr>
          <w:p w14:paraId="5BD20D63" w14:textId="77777777" w:rsidR="0023536E" w:rsidRPr="00083AEA" w:rsidRDefault="0023536E" w:rsidP="0023536E">
            <w:pPr>
              <w:jc w:val="center"/>
              <w:rPr>
                <w:rFonts w:ascii="Arial" w:hAnsi="Arial" w:cs="Arial"/>
                <w:b/>
                <w:bCs/>
                <w:sz w:val="14"/>
                <w:szCs w:val="18"/>
                <w:lang w:eastAsia="es-AR"/>
              </w:rPr>
            </w:pPr>
            <w:r w:rsidRPr="00083AEA">
              <w:rPr>
                <w:rFonts w:ascii="Arial" w:hAnsi="Arial" w:cs="Arial"/>
                <w:b/>
                <w:bCs/>
                <w:sz w:val="14"/>
                <w:szCs w:val="18"/>
                <w:lang w:eastAsia="es-AR"/>
              </w:rPr>
              <w:t>Casa matriz y sucursales en el país</w:t>
            </w:r>
          </w:p>
        </w:tc>
        <w:tc>
          <w:tcPr>
            <w:tcW w:w="1133" w:type="dxa"/>
            <w:vMerge w:val="restart"/>
            <w:tcBorders>
              <w:top w:val="single" w:sz="4" w:space="0" w:color="auto"/>
              <w:left w:val="single" w:sz="4" w:space="0" w:color="363639"/>
              <w:bottom w:val="single" w:sz="4" w:space="0" w:color="auto"/>
              <w:right w:val="single" w:sz="4" w:space="0" w:color="363639"/>
            </w:tcBorders>
            <w:shd w:val="clear" w:color="auto" w:fill="BFBFBF" w:themeFill="background1" w:themeFillShade="BF"/>
            <w:vAlign w:val="center"/>
            <w:hideMark/>
          </w:tcPr>
          <w:p w14:paraId="24587CE3" w14:textId="77777777" w:rsidR="0023536E" w:rsidRPr="00083AEA" w:rsidRDefault="0023536E" w:rsidP="0023536E">
            <w:pPr>
              <w:jc w:val="center"/>
              <w:rPr>
                <w:rFonts w:ascii="Arial" w:hAnsi="Arial" w:cs="Arial"/>
                <w:b/>
                <w:bCs/>
                <w:sz w:val="14"/>
                <w:szCs w:val="18"/>
                <w:lang w:eastAsia="es-AR"/>
              </w:rPr>
            </w:pPr>
            <w:r w:rsidRPr="00083AEA">
              <w:rPr>
                <w:rFonts w:ascii="Arial" w:hAnsi="Arial" w:cs="Arial"/>
                <w:b/>
                <w:bCs/>
                <w:sz w:val="14"/>
                <w:szCs w:val="18"/>
                <w:lang w:eastAsia="es-AR"/>
              </w:rPr>
              <w:t xml:space="preserve">Total al </w:t>
            </w:r>
            <w:r>
              <w:rPr>
                <w:rFonts w:ascii="Arial" w:hAnsi="Arial" w:cs="Arial"/>
                <w:b/>
                <w:bCs/>
                <w:sz w:val="14"/>
                <w:szCs w:val="18"/>
                <w:lang w:eastAsia="es-AR"/>
              </w:rPr>
              <w:t>31/12/2019</w:t>
            </w:r>
          </w:p>
        </w:tc>
        <w:tc>
          <w:tcPr>
            <w:tcW w:w="0" w:type="auto"/>
            <w:gridSpan w:val="4"/>
            <w:tcBorders>
              <w:top w:val="single" w:sz="4" w:space="0" w:color="auto"/>
              <w:left w:val="nil"/>
              <w:bottom w:val="single" w:sz="4" w:space="0" w:color="auto"/>
              <w:right w:val="single" w:sz="4" w:space="0" w:color="363639"/>
            </w:tcBorders>
            <w:shd w:val="clear" w:color="auto" w:fill="BFBFBF" w:themeFill="background1" w:themeFillShade="BF"/>
            <w:vAlign w:val="center"/>
            <w:hideMark/>
          </w:tcPr>
          <w:p w14:paraId="71BBD5D9" w14:textId="77777777" w:rsidR="0023536E" w:rsidRPr="00083AEA" w:rsidRDefault="0023536E" w:rsidP="0023536E">
            <w:pPr>
              <w:jc w:val="center"/>
              <w:rPr>
                <w:rFonts w:ascii="Arial" w:hAnsi="Arial" w:cs="Arial"/>
                <w:b/>
                <w:bCs/>
                <w:sz w:val="14"/>
                <w:szCs w:val="18"/>
                <w:lang w:eastAsia="es-AR"/>
              </w:rPr>
            </w:pPr>
            <w:r w:rsidRPr="00083AEA">
              <w:rPr>
                <w:rFonts w:ascii="Arial" w:hAnsi="Arial" w:cs="Arial"/>
                <w:b/>
                <w:bCs/>
                <w:sz w:val="14"/>
                <w:szCs w:val="18"/>
                <w:lang w:eastAsia="es-AR"/>
              </w:rPr>
              <w:t>Período 2 (por moneda)</w:t>
            </w:r>
          </w:p>
        </w:tc>
        <w:tc>
          <w:tcPr>
            <w:tcW w:w="1056" w:type="dxa"/>
            <w:vMerge w:val="restart"/>
            <w:tcBorders>
              <w:top w:val="single" w:sz="4" w:space="0" w:color="auto"/>
              <w:left w:val="single" w:sz="4" w:space="0" w:color="363639"/>
              <w:bottom w:val="single" w:sz="4" w:space="0" w:color="auto"/>
              <w:right w:val="single" w:sz="4" w:space="0" w:color="auto"/>
            </w:tcBorders>
            <w:shd w:val="clear" w:color="auto" w:fill="BFBFBF" w:themeFill="background1" w:themeFillShade="BF"/>
            <w:vAlign w:val="center"/>
            <w:hideMark/>
          </w:tcPr>
          <w:p w14:paraId="4E07C750" w14:textId="77777777" w:rsidR="0023536E" w:rsidRPr="00083AEA" w:rsidRDefault="0023536E" w:rsidP="0023536E">
            <w:pPr>
              <w:jc w:val="center"/>
              <w:rPr>
                <w:rFonts w:ascii="Arial" w:hAnsi="Arial" w:cs="Arial"/>
                <w:b/>
                <w:bCs/>
                <w:sz w:val="14"/>
                <w:szCs w:val="18"/>
                <w:lang w:eastAsia="es-AR"/>
              </w:rPr>
            </w:pPr>
            <w:r w:rsidRPr="00083AEA">
              <w:rPr>
                <w:rFonts w:ascii="Arial" w:hAnsi="Arial" w:cs="Arial"/>
                <w:b/>
                <w:bCs/>
                <w:sz w:val="14"/>
                <w:szCs w:val="18"/>
                <w:lang w:eastAsia="es-AR"/>
              </w:rPr>
              <w:t>Total al 31/12/2018</w:t>
            </w:r>
          </w:p>
        </w:tc>
      </w:tr>
      <w:tr w:rsidR="0023536E" w:rsidRPr="00083AEA" w14:paraId="3D326F7D" w14:textId="77777777" w:rsidTr="009B2446">
        <w:trPr>
          <w:trHeight w:val="197"/>
        </w:trPr>
        <w:tc>
          <w:tcPr>
            <w:tcW w:w="3829" w:type="dxa"/>
            <w:vMerge/>
            <w:tcBorders>
              <w:top w:val="single" w:sz="4" w:space="0" w:color="auto"/>
              <w:left w:val="single" w:sz="4" w:space="0" w:color="auto"/>
              <w:bottom w:val="single" w:sz="4" w:space="0" w:color="auto"/>
              <w:right w:val="single" w:sz="4" w:space="0" w:color="auto"/>
            </w:tcBorders>
            <w:vAlign w:val="center"/>
            <w:hideMark/>
          </w:tcPr>
          <w:p w14:paraId="1FD117A4" w14:textId="77777777" w:rsidR="0023536E" w:rsidRPr="00083AEA" w:rsidRDefault="0023536E" w:rsidP="0023536E">
            <w:pPr>
              <w:rPr>
                <w:rFonts w:ascii="Arial" w:hAnsi="Arial" w:cs="Arial"/>
                <w:b/>
                <w:bCs/>
                <w:sz w:val="14"/>
                <w:szCs w:val="18"/>
                <w:lang w:eastAsia="es-AR"/>
              </w:rPr>
            </w:pPr>
          </w:p>
        </w:tc>
        <w:tc>
          <w:tcPr>
            <w:tcW w:w="1418" w:type="dxa"/>
            <w:vMerge/>
            <w:tcBorders>
              <w:top w:val="single" w:sz="4" w:space="0" w:color="auto"/>
              <w:left w:val="single" w:sz="4" w:space="0" w:color="auto"/>
              <w:bottom w:val="single" w:sz="4" w:space="0" w:color="363639"/>
              <w:right w:val="single" w:sz="4" w:space="0" w:color="363639"/>
            </w:tcBorders>
            <w:vAlign w:val="center"/>
            <w:hideMark/>
          </w:tcPr>
          <w:p w14:paraId="3384B889" w14:textId="77777777" w:rsidR="0023536E" w:rsidRPr="00083AEA" w:rsidRDefault="0023536E" w:rsidP="0023536E">
            <w:pPr>
              <w:jc w:val="center"/>
              <w:rPr>
                <w:rFonts w:ascii="Arial" w:hAnsi="Arial" w:cs="Arial"/>
                <w:b/>
                <w:bCs/>
                <w:sz w:val="14"/>
                <w:szCs w:val="18"/>
                <w:lang w:eastAsia="es-AR"/>
              </w:rPr>
            </w:pPr>
          </w:p>
        </w:tc>
        <w:tc>
          <w:tcPr>
            <w:tcW w:w="1133" w:type="dxa"/>
            <w:vMerge/>
            <w:tcBorders>
              <w:top w:val="single" w:sz="4" w:space="0" w:color="auto"/>
              <w:left w:val="single" w:sz="4" w:space="0" w:color="363639"/>
              <w:bottom w:val="single" w:sz="4" w:space="0" w:color="363639"/>
              <w:right w:val="single" w:sz="4" w:space="0" w:color="363639"/>
            </w:tcBorders>
            <w:vAlign w:val="center"/>
            <w:hideMark/>
          </w:tcPr>
          <w:p w14:paraId="05A81DF7" w14:textId="77777777" w:rsidR="0023536E" w:rsidRPr="00083AEA" w:rsidRDefault="0023536E" w:rsidP="0023536E">
            <w:pPr>
              <w:jc w:val="center"/>
              <w:rPr>
                <w:rFonts w:ascii="Arial" w:hAnsi="Arial" w:cs="Arial"/>
                <w:b/>
                <w:bCs/>
                <w:sz w:val="14"/>
                <w:szCs w:val="18"/>
                <w:lang w:eastAsia="es-AR"/>
              </w:rPr>
            </w:pPr>
          </w:p>
        </w:tc>
        <w:tc>
          <w:tcPr>
            <w:tcW w:w="0" w:type="auto"/>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1D923711" w14:textId="77777777" w:rsidR="0023536E" w:rsidRPr="00083AEA" w:rsidRDefault="0023536E" w:rsidP="0023536E">
            <w:pPr>
              <w:jc w:val="center"/>
              <w:rPr>
                <w:rFonts w:ascii="Arial" w:hAnsi="Arial" w:cs="Arial"/>
                <w:b/>
                <w:bCs/>
                <w:sz w:val="14"/>
                <w:szCs w:val="18"/>
                <w:lang w:eastAsia="es-AR"/>
              </w:rPr>
            </w:pPr>
            <w:r w:rsidRPr="00083AEA">
              <w:rPr>
                <w:rFonts w:ascii="Arial" w:hAnsi="Arial" w:cs="Arial"/>
                <w:b/>
                <w:bCs/>
                <w:sz w:val="14"/>
                <w:szCs w:val="18"/>
                <w:lang w:eastAsia="es-AR"/>
              </w:rPr>
              <w:t>Dólar</w:t>
            </w:r>
          </w:p>
        </w:tc>
        <w:tc>
          <w:tcPr>
            <w:tcW w:w="0" w:type="auto"/>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0D5752B5" w14:textId="77777777" w:rsidR="0023536E" w:rsidRPr="00083AEA" w:rsidRDefault="0023536E" w:rsidP="0023536E">
            <w:pPr>
              <w:jc w:val="center"/>
              <w:rPr>
                <w:rFonts w:ascii="Arial" w:hAnsi="Arial" w:cs="Arial"/>
                <w:b/>
                <w:bCs/>
                <w:sz w:val="14"/>
                <w:szCs w:val="18"/>
                <w:lang w:eastAsia="es-AR"/>
              </w:rPr>
            </w:pPr>
            <w:r w:rsidRPr="00083AEA">
              <w:rPr>
                <w:rFonts w:ascii="Arial" w:hAnsi="Arial" w:cs="Arial"/>
                <w:b/>
                <w:bCs/>
                <w:sz w:val="14"/>
                <w:szCs w:val="18"/>
                <w:lang w:eastAsia="es-AR"/>
              </w:rPr>
              <w:t>Euro</w:t>
            </w:r>
          </w:p>
        </w:tc>
        <w:tc>
          <w:tcPr>
            <w:tcW w:w="0" w:type="auto"/>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6A0CA0D3" w14:textId="77777777" w:rsidR="0023536E" w:rsidRPr="00083AEA" w:rsidRDefault="0023536E" w:rsidP="0023536E">
            <w:pPr>
              <w:jc w:val="center"/>
              <w:rPr>
                <w:rFonts w:ascii="Arial" w:hAnsi="Arial" w:cs="Arial"/>
                <w:b/>
                <w:bCs/>
                <w:sz w:val="14"/>
                <w:szCs w:val="18"/>
                <w:lang w:eastAsia="es-AR"/>
              </w:rPr>
            </w:pPr>
            <w:r w:rsidRPr="00083AEA">
              <w:rPr>
                <w:rFonts w:ascii="Arial" w:hAnsi="Arial" w:cs="Arial"/>
                <w:b/>
                <w:bCs/>
                <w:sz w:val="14"/>
                <w:szCs w:val="18"/>
                <w:lang w:eastAsia="es-AR"/>
              </w:rPr>
              <w:t>Real</w:t>
            </w:r>
          </w:p>
        </w:tc>
        <w:tc>
          <w:tcPr>
            <w:tcW w:w="0" w:type="auto"/>
            <w:tcBorders>
              <w:top w:val="single" w:sz="4" w:space="0" w:color="auto"/>
              <w:left w:val="nil"/>
              <w:bottom w:val="single" w:sz="4" w:space="0" w:color="363639"/>
              <w:right w:val="single" w:sz="4" w:space="0" w:color="363639"/>
            </w:tcBorders>
            <w:shd w:val="clear" w:color="auto" w:fill="BFBFBF" w:themeFill="background1" w:themeFillShade="BF"/>
            <w:vAlign w:val="center"/>
            <w:hideMark/>
          </w:tcPr>
          <w:p w14:paraId="0182ABE7" w14:textId="77777777" w:rsidR="0023536E" w:rsidRPr="00083AEA" w:rsidRDefault="0023536E" w:rsidP="0023536E">
            <w:pPr>
              <w:jc w:val="center"/>
              <w:rPr>
                <w:rFonts w:ascii="Arial" w:hAnsi="Arial" w:cs="Arial"/>
                <w:b/>
                <w:bCs/>
                <w:sz w:val="14"/>
                <w:szCs w:val="18"/>
                <w:lang w:eastAsia="es-AR"/>
              </w:rPr>
            </w:pPr>
            <w:r w:rsidRPr="00083AEA">
              <w:rPr>
                <w:rFonts w:ascii="Arial" w:hAnsi="Arial" w:cs="Arial"/>
                <w:b/>
                <w:bCs/>
                <w:sz w:val="14"/>
                <w:szCs w:val="18"/>
                <w:lang w:eastAsia="es-AR"/>
              </w:rPr>
              <w:t>Otras</w:t>
            </w:r>
          </w:p>
        </w:tc>
        <w:tc>
          <w:tcPr>
            <w:tcW w:w="1056" w:type="dxa"/>
            <w:vMerge/>
            <w:tcBorders>
              <w:top w:val="single" w:sz="4" w:space="0" w:color="auto"/>
              <w:left w:val="single" w:sz="4" w:space="0" w:color="363639"/>
              <w:bottom w:val="single" w:sz="4" w:space="0" w:color="363639"/>
              <w:right w:val="single" w:sz="4" w:space="0" w:color="363639"/>
            </w:tcBorders>
            <w:vAlign w:val="center"/>
            <w:hideMark/>
          </w:tcPr>
          <w:p w14:paraId="0D0969F4" w14:textId="77777777" w:rsidR="0023536E" w:rsidRPr="00083AEA" w:rsidRDefault="0023536E" w:rsidP="0023536E">
            <w:pPr>
              <w:jc w:val="center"/>
              <w:rPr>
                <w:rFonts w:ascii="Arial" w:hAnsi="Arial" w:cs="Arial"/>
                <w:b/>
                <w:bCs/>
                <w:sz w:val="14"/>
                <w:szCs w:val="18"/>
                <w:lang w:eastAsia="es-AR"/>
              </w:rPr>
            </w:pPr>
          </w:p>
        </w:tc>
      </w:tr>
      <w:tr w:rsidR="0023536E" w:rsidRPr="00083AEA" w14:paraId="3C80A052" w14:textId="77777777" w:rsidTr="009B2446">
        <w:trPr>
          <w:gridAfter w:val="7"/>
          <w:wAfter w:w="6311" w:type="dxa"/>
          <w:trHeight w:val="115"/>
        </w:trPr>
        <w:tc>
          <w:tcPr>
            <w:tcW w:w="3829" w:type="dxa"/>
            <w:tcBorders>
              <w:top w:val="single" w:sz="4" w:space="0" w:color="auto"/>
            </w:tcBorders>
            <w:shd w:val="clear" w:color="auto" w:fill="FFFFFF" w:themeFill="background1"/>
            <w:vAlign w:val="bottom"/>
            <w:hideMark/>
          </w:tcPr>
          <w:p w14:paraId="52EBD614" w14:textId="77777777" w:rsidR="0023536E" w:rsidRPr="00083AEA" w:rsidRDefault="0023536E" w:rsidP="0023536E">
            <w:pPr>
              <w:rPr>
                <w:rFonts w:ascii="Arial" w:hAnsi="Arial" w:cs="Arial"/>
                <w:b/>
                <w:bCs/>
                <w:sz w:val="14"/>
                <w:szCs w:val="18"/>
                <w:lang w:eastAsia="es-AR"/>
              </w:rPr>
            </w:pPr>
            <w:r w:rsidRPr="00083AEA">
              <w:rPr>
                <w:rFonts w:ascii="Arial" w:hAnsi="Arial" w:cs="Arial"/>
                <w:b/>
                <w:bCs/>
                <w:sz w:val="14"/>
                <w:szCs w:val="18"/>
                <w:lang w:eastAsia="es-AR"/>
              </w:rPr>
              <w:t>ACTIVO</w:t>
            </w:r>
          </w:p>
        </w:tc>
      </w:tr>
      <w:tr w:rsidR="0023536E" w:rsidRPr="00083AEA" w14:paraId="22A4637D" w14:textId="77777777" w:rsidTr="009B2446">
        <w:trPr>
          <w:trHeight w:val="259"/>
        </w:trPr>
        <w:tc>
          <w:tcPr>
            <w:tcW w:w="3829" w:type="dxa"/>
            <w:shd w:val="clear" w:color="auto" w:fill="auto"/>
            <w:vAlign w:val="bottom"/>
            <w:hideMark/>
          </w:tcPr>
          <w:p w14:paraId="2D934893"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Efectivo y Depósitos en Bancos</w:t>
            </w:r>
          </w:p>
        </w:tc>
        <w:tc>
          <w:tcPr>
            <w:tcW w:w="1418" w:type="dxa"/>
            <w:shd w:val="clear" w:color="auto" w:fill="auto"/>
            <w:vAlign w:val="bottom"/>
          </w:tcPr>
          <w:p w14:paraId="065400A1" w14:textId="5CF752E5" w:rsidR="0023536E" w:rsidRPr="00083AEA" w:rsidRDefault="00033092" w:rsidP="0023536E">
            <w:pPr>
              <w:jc w:val="right"/>
              <w:rPr>
                <w:rFonts w:ascii="Arial" w:hAnsi="Arial" w:cs="Arial"/>
                <w:sz w:val="14"/>
                <w:szCs w:val="18"/>
                <w:lang w:eastAsia="es-AR"/>
              </w:rPr>
            </w:pPr>
            <w:r>
              <w:rPr>
                <w:rFonts w:ascii="Arial" w:hAnsi="Arial" w:cs="Arial"/>
                <w:sz w:val="14"/>
                <w:szCs w:val="18"/>
                <w:lang w:eastAsia="es-AR"/>
              </w:rPr>
              <w:t>13.325.217</w:t>
            </w:r>
          </w:p>
        </w:tc>
        <w:tc>
          <w:tcPr>
            <w:tcW w:w="1133" w:type="dxa"/>
            <w:shd w:val="clear" w:color="auto" w:fill="auto"/>
            <w:vAlign w:val="bottom"/>
          </w:tcPr>
          <w:p w14:paraId="5FA8D011" w14:textId="5028F192" w:rsidR="0023536E" w:rsidRPr="00083AEA" w:rsidRDefault="00033092" w:rsidP="0023536E">
            <w:pPr>
              <w:jc w:val="right"/>
              <w:rPr>
                <w:rFonts w:ascii="Arial" w:hAnsi="Arial" w:cs="Arial"/>
                <w:sz w:val="14"/>
                <w:szCs w:val="18"/>
                <w:lang w:eastAsia="es-AR"/>
              </w:rPr>
            </w:pPr>
            <w:r>
              <w:rPr>
                <w:rFonts w:ascii="Arial" w:hAnsi="Arial" w:cs="Arial"/>
                <w:sz w:val="14"/>
                <w:szCs w:val="18"/>
                <w:lang w:eastAsia="es-AR"/>
              </w:rPr>
              <w:t>13.325.217</w:t>
            </w:r>
          </w:p>
        </w:tc>
        <w:tc>
          <w:tcPr>
            <w:tcW w:w="0" w:type="auto"/>
            <w:shd w:val="clear" w:color="auto" w:fill="auto"/>
            <w:vAlign w:val="bottom"/>
          </w:tcPr>
          <w:p w14:paraId="6A430320" w14:textId="40AEC567" w:rsidR="0023536E" w:rsidRPr="00083AEA" w:rsidRDefault="00033092" w:rsidP="0023536E">
            <w:pPr>
              <w:jc w:val="right"/>
              <w:rPr>
                <w:rFonts w:ascii="Arial" w:hAnsi="Arial" w:cs="Arial"/>
                <w:sz w:val="14"/>
                <w:szCs w:val="18"/>
                <w:lang w:eastAsia="es-AR"/>
              </w:rPr>
            </w:pPr>
            <w:r>
              <w:rPr>
                <w:rFonts w:ascii="Arial" w:hAnsi="Arial" w:cs="Arial"/>
                <w:sz w:val="14"/>
                <w:szCs w:val="18"/>
                <w:lang w:eastAsia="es-AR"/>
              </w:rPr>
              <w:t>12.589.572</w:t>
            </w:r>
          </w:p>
        </w:tc>
        <w:tc>
          <w:tcPr>
            <w:tcW w:w="0" w:type="auto"/>
            <w:shd w:val="clear" w:color="auto" w:fill="auto"/>
            <w:vAlign w:val="bottom"/>
          </w:tcPr>
          <w:p w14:paraId="27DBD27F" w14:textId="04EF2E1D" w:rsidR="0023536E" w:rsidRPr="00083AEA" w:rsidRDefault="00033092" w:rsidP="0023536E">
            <w:pPr>
              <w:jc w:val="right"/>
              <w:rPr>
                <w:rFonts w:ascii="Arial" w:hAnsi="Arial" w:cs="Arial"/>
                <w:sz w:val="14"/>
                <w:szCs w:val="18"/>
                <w:lang w:eastAsia="es-AR"/>
              </w:rPr>
            </w:pPr>
            <w:r>
              <w:rPr>
                <w:rFonts w:ascii="Arial" w:hAnsi="Arial" w:cs="Arial"/>
                <w:sz w:val="14"/>
                <w:szCs w:val="18"/>
                <w:lang w:eastAsia="es-AR"/>
              </w:rPr>
              <w:t>589.529</w:t>
            </w:r>
          </w:p>
        </w:tc>
        <w:tc>
          <w:tcPr>
            <w:tcW w:w="0" w:type="auto"/>
            <w:shd w:val="clear" w:color="auto" w:fill="auto"/>
            <w:vAlign w:val="bottom"/>
          </w:tcPr>
          <w:p w14:paraId="37270CE2" w14:textId="4A699D71" w:rsidR="0023536E" w:rsidRPr="00083AEA" w:rsidRDefault="00033092" w:rsidP="0023536E">
            <w:pPr>
              <w:jc w:val="right"/>
              <w:rPr>
                <w:rFonts w:ascii="Arial" w:hAnsi="Arial" w:cs="Arial"/>
                <w:sz w:val="14"/>
                <w:szCs w:val="18"/>
                <w:lang w:eastAsia="es-AR"/>
              </w:rPr>
            </w:pPr>
            <w:r>
              <w:rPr>
                <w:rFonts w:ascii="Arial" w:hAnsi="Arial" w:cs="Arial"/>
                <w:sz w:val="14"/>
                <w:szCs w:val="18"/>
                <w:lang w:eastAsia="es-AR"/>
              </w:rPr>
              <w:t>15.285</w:t>
            </w:r>
          </w:p>
        </w:tc>
        <w:tc>
          <w:tcPr>
            <w:tcW w:w="0" w:type="auto"/>
            <w:shd w:val="clear" w:color="auto" w:fill="auto"/>
            <w:vAlign w:val="bottom"/>
          </w:tcPr>
          <w:p w14:paraId="7025FD29" w14:textId="3BCACBD6" w:rsidR="0023536E" w:rsidRPr="00083AEA" w:rsidRDefault="00033092" w:rsidP="0023536E">
            <w:pPr>
              <w:jc w:val="right"/>
              <w:rPr>
                <w:rFonts w:ascii="Arial" w:hAnsi="Arial" w:cs="Arial"/>
                <w:sz w:val="14"/>
                <w:szCs w:val="18"/>
                <w:lang w:eastAsia="es-AR"/>
              </w:rPr>
            </w:pPr>
            <w:r>
              <w:rPr>
                <w:rFonts w:ascii="Arial" w:hAnsi="Arial" w:cs="Arial"/>
                <w:sz w:val="14"/>
                <w:szCs w:val="18"/>
                <w:lang w:eastAsia="es-AR"/>
              </w:rPr>
              <w:t>130.831</w:t>
            </w:r>
          </w:p>
        </w:tc>
        <w:tc>
          <w:tcPr>
            <w:tcW w:w="1056" w:type="dxa"/>
            <w:shd w:val="clear" w:color="auto" w:fill="auto"/>
            <w:vAlign w:val="bottom"/>
            <w:hideMark/>
          </w:tcPr>
          <w:p w14:paraId="7C6DFD89"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16.122.282</w:t>
            </w:r>
          </w:p>
        </w:tc>
      </w:tr>
      <w:tr w:rsidR="0023536E" w:rsidRPr="00083AEA" w14:paraId="23C1767C" w14:textId="77777777" w:rsidTr="009B2446">
        <w:trPr>
          <w:trHeight w:val="391"/>
        </w:trPr>
        <w:tc>
          <w:tcPr>
            <w:tcW w:w="3829" w:type="dxa"/>
            <w:tcBorders>
              <w:top w:val="nil"/>
            </w:tcBorders>
            <w:shd w:val="clear" w:color="auto" w:fill="auto"/>
            <w:vAlign w:val="bottom"/>
            <w:hideMark/>
          </w:tcPr>
          <w:p w14:paraId="1789697C"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Títulos de deuda a valor razonable con cambios en resultados</w:t>
            </w:r>
          </w:p>
        </w:tc>
        <w:tc>
          <w:tcPr>
            <w:tcW w:w="1418" w:type="dxa"/>
            <w:tcBorders>
              <w:top w:val="nil"/>
            </w:tcBorders>
            <w:shd w:val="clear" w:color="auto" w:fill="auto"/>
            <w:vAlign w:val="bottom"/>
          </w:tcPr>
          <w:p w14:paraId="0DA080EF" w14:textId="589A96AF"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284.606</w:t>
            </w:r>
          </w:p>
        </w:tc>
        <w:tc>
          <w:tcPr>
            <w:tcW w:w="1133" w:type="dxa"/>
            <w:tcBorders>
              <w:top w:val="nil"/>
            </w:tcBorders>
            <w:shd w:val="clear" w:color="auto" w:fill="auto"/>
            <w:vAlign w:val="bottom"/>
          </w:tcPr>
          <w:p w14:paraId="617EFDDB" w14:textId="1A1973B2"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284.606</w:t>
            </w:r>
          </w:p>
        </w:tc>
        <w:tc>
          <w:tcPr>
            <w:tcW w:w="0" w:type="auto"/>
            <w:tcBorders>
              <w:top w:val="nil"/>
            </w:tcBorders>
            <w:shd w:val="clear" w:color="auto" w:fill="auto"/>
            <w:vAlign w:val="bottom"/>
          </w:tcPr>
          <w:p w14:paraId="5FDD9AC4" w14:textId="2F41D8AE"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284.606</w:t>
            </w:r>
          </w:p>
        </w:tc>
        <w:tc>
          <w:tcPr>
            <w:tcW w:w="0" w:type="auto"/>
            <w:tcBorders>
              <w:top w:val="nil"/>
            </w:tcBorders>
            <w:shd w:val="clear" w:color="auto" w:fill="auto"/>
            <w:vAlign w:val="bottom"/>
          </w:tcPr>
          <w:p w14:paraId="538733BC" w14:textId="2E656BEE"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04D887AC" w14:textId="03EA59B7"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01D972D5" w14:textId="50806333"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0E170257"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2.682.336</w:t>
            </w:r>
          </w:p>
        </w:tc>
      </w:tr>
      <w:tr w:rsidR="0023536E" w:rsidRPr="00083AEA" w14:paraId="1F4B8474" w14:textId="77777777" w:rsidTr="009B2446">
        <w:trPr>
          <w:trHeight w:val="259"/>
        </w:trPr>
        <w:tc>
          <w:tcPr>
            <w:tcW w:w="3829" w:type="dxa"/>
            <w:tcBorders>
              <w:top w:val="nil"/>
            </w:tcBorders>
            <w:shd w:val="clear" w:color="auto" w:fill="auto"/>
            <w:vAlign w:val="bottom"/>
            <w:hideMark/>
          </w:tcPr>
          <w:p w14:paraId="4FEB4A56"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Instrumentos derivados</w:t>
            </w:r>
          </w:p>
        </w:tc>
        <w:tc>
          <w:tcPr>
            <w:tcW w:w="1418" w:type="dxa"/>
            <w:tcBorders>
              <w:top w:val="nil"/>
            </w:tcBorders>
            <w:shd w:val="clear" w:color="auto" w:fill="auto"/>
            <w:vAlign w:val="bottom"/>
          </w:tcPr>
          <w:p w14:paraId="108FB689" w14:textId="686A6B53"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133" w:type="dxa"/>
            <w:tcBorders>
              <w:top w:val="nil"/>
            </w:tcBorders>
            <w:shd w:val="clear" w:color="auto" w:fill="auto"/>
            <w:vAlign w:val="bottom"/>
          </w:tcPr>
          <w:p w14:paraId="745A71D2" w14:textId="55A43A26"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4CCD6D24" w14:textId="1857AC55"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7FE0CE9F" w14:textId="767AFB43"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6E63B414" w14:textId="670636FE"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02004919" w14:textId="74789FA3"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6000F1DD"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13.405</w:t>
            </w:r>
          </w:p>
        </w:tc>
      </w:tr>
      <w:tr w:rsidR="0023536E" w:rsidRPr="00083AEA" w14:paraId="7216B8F4" w14:textId="77777777" w:rsidTr="009B2446">
        <w:trPr>
          <w:trHeight w:val="259"/>
        </w:trPr>
        <w:tc>
          <w:tcPr>
            <w:tcW w:w="3829" w:type="dxa"/>
            <w:tcBorders>
              <w:top w:val="nil"/>
            </w:tcBorders>
            <w:shd w:val="clear" w:color="auto" w:fill="auto"/>
            <w:vAlign w:val="bottom"/>
            <w:hideMark/>
          </w:tcPr>
          <w:p w14:paraId="2F252677"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Otros activos financieros</w:t>
            </w:r>
          </w:p>
        </w:tc>
        <w:tc>
          <w:tcPr>
            <w:tcW w:w="1418" w:type="dxa"/>
            <w:tcBorders>
              <w:top w:val="nil"/>
            </w:tcBorders>
            <w:shd w:val="clear" w:color="auto" w:fill="auto"/>
            <w:vAlign w:val="bottom"/>
          </w:tcPr>
          <w:p w14:paraId="3F417248" w14:textId="009D4F99"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912.553</w:t>
            </w:r>
          </w:p>
        </w:tc>
        <w:tc>
          <w:tcPr>
            <w:tcW w:w="1133" w:type="dxa"/>
            <w:tcBorders>
              <w:top w:val="nil"/>
            </w:tcBorders>
            <w:shd w:val="clear" w:color="auto" w:fill="auto"/>
            <w:vAlign w:val="bottom"/>
          </w:tcPr>
          <w:p w14:paraId="4CC9FFD5" w14:textId="61560337"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912.553</w:t>
            </w:r>
          </w:p>
        </w:tc>
        <w:tc>
          <w:tcPr>
            <w:tcW w:w="0" w:type="auto"/>
            <w:tcBorders>
              <w:top w:val="nil"/>
            </w:tcBorders>
            <w:shd w:val="clear" w:color="auto" w:fill="auto"/>
            <w:vAlign w:val="bottom"/>
          </w:tcPr>
          <w:p w14:paraId="7C6879BF" w14:textId="56D421D4"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912.305</w:t>
            </w:r>
          </w:p>
        </w:tc>
        <w:tc>
          <w:tcPr>
            <w:tcW w:w="0" w:type="auto"/>
            <w:tcBorders>
              <w:top w:val="nil"/>
            </w:tcBorders>
            <w:shd w:val="clear" w:color="auto" w:fill="auto"/>
            <w:vAlign w:val="bottom"/>
          </w:tcPr>
          <w:p w14:paraId="4F139FC1" w14:textId="38FBC947"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248</w:t>
            </w:r>
          </w:p>
        </w:tc>
        <w:tc>
          <w:tcPr>
            <w:tcW w:w="0" w:type="auto"/>
            <w:tcBorders>
              <w:top w:val="nil"/>
            </w:tcBorders>
            <w:shd w:val="clear" w:color="auto" w:fill="auto"/>
            <w:vAlign w:val="bottom"/>
          </w:tcPr>
          <w:p w14:paraId="3EE48342" w14:textId="52912999"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5F8C5424" w14:textId="25F5B650"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2584C8C3"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595.143</w:t>
            </w:r>
          </w:p>
        </w:tc>
      </w:tr>
      <w:tr w:rsidR="0023536E" w:rsidRPr="00083AEA" w14:paraId="7DD41CAF" w14:textId="77777777" w:rsidTr="009B2446">
        <w:trPr>
          <w:trHeight w:val="259"/>
        </w:trPr>
        <w:tc>
          <w:tcPr>
            <w:tcW w:w="3829" w:type="dxa"/>
            <w:tcBorders>
              <w:top w:val="nil"/>
            </w:tcBorders>
            <w:shd w:val="clear" w:color="auto" w:fill="auto"/>
            <w:vAlign w:val="bottom"/>
            <w:hideMark/>
          </w:tcPr>
          <w:p w14:paraId="6CC259DB" w14:textId="77777777" w:rsidR="0023536E" w:rsidRPr="00083AEA" w:rsidRDefault="0023536E" w:rsidP="0023536E">
            <w:pPr>
              <w:rPr>
                <w:rFonts w:ascii="Arial" w:hAnsi="Arial" w:cs="Arial"/>
                <w:b/>
                <w:bCs/>
                <w:sz w:val="14"/>
                <w:szCs w:val="18"/>
                <w:lang w:eastAsia="es-AR"/>
              </w:rPr>
            </w:pPr>
            <w:r w:rsidRPr="00083AEA">
              <w:rPr>
                <w:rFonts w:ascii="Arial" w:hAnsi="Arial" w:cs="Arial"/>
                <w:b/>
                <w:bCs/>
                <w:sz w:val="14"/>
                <w:szCs w:val="18"/>
                <w:lang w:eastAsia="es-AR"/>
              </w:rPr>
              <w:t>Préstamos y otras financiaciones</w:t>
            </w:r>
          </w:p>
        </w:tc>
        <w:tc>
          <w:tcPr>
            <w:tcW w:w="1418" w:type="dxa"/>
            <w:tcBorders>
              <w:top w:val="nil"/>
            </w:tcBorders>
            <w:shd w:val="clear" w:color="auto" w:fill="auto"/>
            <w:vAlign w:val="bottom"/>
          </w:tcPr>
          <w:p w14:paraId="76FE1214" w14:textId="34688EA0" w:rsidR="0023536E" w:rsidRPr="00083AEA" w:rsidRDefault="0023536E" w:rsidP="0023536E">
            <w:pPr>
              <w:jc w:val="right"/>
              <w:rPr>
                <w:rFonts w:ascii="Arial" w:hAnsi="Arial" w:cs="Arial"/>
                <w:sz w:val="14"/>
                <w:szCs w:val="18"/>
                <w:lang w:eastAsia="es-AR"/>
              </w:rPr>
            </w:pPr>
          </w:p>
        </w:tc>
        <w:tc>
          <w:tcPr>
            <w:tcW w:w="1133" w:type="dxa"/>
            <w:tcBorders>
              <w:top w:val="nil"/>
            </w:tcBorders>
            <w:shd w:val="clear" w:color="auto" w:fill="auto"/>
            <w:vAlign w:val="bottom"/>
          </w:tcPr>
          <w:p w14:paraId="0C087C49" w14:textId="77777777" w:rsidR="0023536E" w:rsidRPr="00083AEA" w:rsidRDefault="0023536E" w:rsidP="0023536E">
            <w:pPr>
              <w:jc w:val="right"/>
              <w:rPr>
                <w:rFonts w:ascii="Arial" w:hAnsi="Arial" w:cs="Arial"/>
                <w:sz w:val="14"/>
                <w:szCs w:val="18"/>
                <w:lang w:eastAsia="es-AR"/>
              </w:rPr>
            </w:pPr>
          </w:p>
        </w:tc>
        <w:tc>
          <w:tcPr>
            <w:tcW w:w="0" w:type="auto"/>
            <w:tcBorders>
              <w:top w:val="nil"/>
            </w:tcBorders>
            <w:shd w:val="clear" w:color="auto" w:fill="auto"/>
            <w:vAlign w:val="bottom"/>
          </w:tcPr>
          <w:p w14:paraId="3C94A91A" w14:textId="77777777" w:rsidR="0023536E" w:rsidRPr="00083AEA" w:rsidRDefault="0023536E" w:rsidP="0023536E">
            <w:pPr>
              <w:jc w:val="right"/>
              <w:rPr>
                <w:rFonts w:ascii="Arial" w:hAnsi="Arial" w:cs="Arial"/>
                <w:b/>
                <w:bCs/>
                <w:sz w:val="14"/>
                <w:szCs w:val="18"/>
                <w:lang w:eastAsia="es-AR"/>
              </w:rPr>
            </w:pPr>
          </w:p>
        </w:tc>
        <w:tc>
          <w:tcPr>
            <w:tcW w:w="0" w:type="auto"/>
            <w:tcBorders>
              <w:top w:val="nil"/>
            </w:tcBorders>
            <w:shd w:val="clear" w:color="auto" w:fill="auto"/>
            <w:vAlign w:val="bottom"/>
          </w:tcPr>
          <w:p w14:paraId="2E282735" w14:textId="77777777" w:rsidR="0023536E" w:rsidRPr="00083AEA" w:rsidRDefault="0023536E" w:rsidP="0023536E">
            <w:pPr>
              <w:jc w:val="right"/>
              <w:rPr>
                <w:rFonts w:ascii="Arial" w:hAnsi="Arial" w:cs="Arial"/>
                <w:b/>
                <w:bCs/>
                <w:sz w:val="14"/>
                <w:szCs w:val="18"/>
                <w:lang w:eastAsia="es-AR"/>
              </w:rPr>
            </w:pPr>
          </w:p>
        </w:tc>
        <w:tc>
          <w:tcPr>
            <w:tcW w:w="0" w:type="auto"/>
            <w:tcBorders>
              <w:top w:val="nil"/>
            </w:tcBorders>
            <w:shd w:val="clear" w:color="auto" w:fill="auto"/>
            <w:vAlign w:val="bottom"/>
          </w:tcPr>
          <w:p w14:paraId="5574F126" w14:textId="77777777" w:rsidR="0023536E" w:rsidRPr="00083AEA" w:rsidRDefault="0023536E" w:rsidP="0023536E">
            <w:pPr>
              <w:jc w:val="right"/>
              <w:rPr>
                <w:rFonts w:ascii="Arial" w:hAnsi="Arial" w:cs="Arial"/>
                <w:b/>
                <w:bCs/>
                <w:sz w:val="14"/>
                <w:szCs w:val="18"/>
                <w:lang w:eastAsia="es-AR"/>
              </w:rPr>
            </w:pPr>
          </w:p>
        </w:tc>
        <w:tc>
          <w:tcPr>
            <w:tcW w:w="0" w:type="auto"/>
            <w:tcBorders>
              <w:top w:val="nil"/>
            </w:tcBorders>
            <w:shd w:val="clear" w:color="auto" w:fill="auto"/>
            <w:vAlign w:val="bottom"/>
          </w:tcPr>
          <w:p w14:paraId="025410EE" w14:textId="77777777" w:rsidR="0023536E" w:rsidRPr="00083AEA" w:rsidRDefault="0023536E" w:rsidP="0023536E">
            <w:pPr>
              <w:jc w:val="right"/>
              <w:rPr>
                <w:rFonts w:ascii="Arial" w:hAnsi="Arial" w:cs="Arial"/>
                <w:b/>
                <w:bCs/>
                <w:sz w:val="14"/>
                <w:szCs w:val="18"/>
                <w:lang w:eastAsia="es-AR"/>
              </w:rPr>
            </w:pPr>
          </w:p>
        </w:tc>
        <w:tc>
          <w:tcPr>
            <w:tcW w:w="1056" w:type="dxa"/>
            <w:tcBorders>
              <w:top w:val="nil"/>
            </w:tcBorders>
            <w:shd w:val="clear" w:color="auto" w:fill="auto"/>
            <w:vAlign w:val="bottom"/>
            <w:hideMark/>
          </w:tcPr>
          <w:p w14:paraId="6E1A30EE"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 </w:t>
            </w:r>
          </w:p>
        </w:tc>
      </w:tr>
      <w:tr w:rsidR="0023536E" w:rsidRPr="00083AEA" w14:paraId="062C12F2" w14:textId="77777777" w:rsidTr="009B2446">
        <w:trPr>
          <w:trHeight w:val="259"/>
        </w:trPr>
        <w:tc>
          <w:tcPr>
            <w:tcW w:w="3829" w:type="dxa"/>
            <w:tcBorders>
              <w:top w:val="nil"/>
            </w:tcBorders>
            <w:shd w:val="clear" w:color="auto" w:fill="auto"/>
            <w:vAlign w:val="bottom"/>
            <w:hideMark/>
          </w:tcPr>
          <w:p w14:paraId="508126DC" w14:textId="77777777" w:rsidR="0023536E" w:rsidRPr="00083AEA" w:rsidRDefault="0023536E" w:rsidP="0023536E">
            <w:pPr>
              <w:ind w:firstLineChars="100" w:firstLine="140"/>
              <w:rPr>
                <w:rFonts w:ascii="Arial" w:hAnsi="Arial" w:cs="Arial"/>
                <w:sz w:val="14"/>
                <w:szCs w:val="18"/>
                <w:lang w:eastAsia="es-AR"/>
              </w:rPr>
            </w:pPr>
            <w:r w:rsidRPr="00083AEA">
              <w:rPr>
                <w:rFonts w:ascii="Arial" w:hAnsi="Arial" w:cs="Arial"/>
                <w:sz w:val="14"/>
                <w:szCs w:val="18"/>
                <w:lang w:eastAsia="es-AR"/>
              </w:rPr>
              <w:t>Préstamos - Sector Privado no Financiero y Residentes en el exterior</w:t>
            </w:r>
          </w:p>
        </w:tc>
        <w:tc>
          <w:tcPr>
            <w:tcW w:w="1418" w:type="dxa"/>
            <w:tcBorders>
              <w:top w:val="nil"/>
            </w:tcBorders>
            <w:shd w:val="clear" w:color="auto" w:fill="auto"/>
            <w:vAlign w:val="bottom"/>
          </w:tcPr>
          <w:p w14:paraId="05BCA22A" w14:textId="0F6FAFB3"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21.482.922</w:t>
            </w:r>
          </w:p>
        </w:tc>
        <w:tc>
          <w:tcPr>
            <w:tcW w:w="1133" w:type="dxa"/>
            <w:tcBorders>
              <w:top w:val="nil"/>
            </w:tcBorders>
            <w:shd w:val="clear" w:color="auto" w:fill="auto"/>
            <w:vAlign w:val="bottom"/>
          </w:tcPr>
          <w:p w14:paraId="30A5C960" w14:textId="48B238C1"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21.482.922</w:t>
            </w:r>
          </w:p>
        </w:tc>
        <w:tc>
          <w:tcPr>
            <w:tcW w:w="0" w:type="auto"/>
            <w:tcBorders>
              <w:top w:val="nil"/>
            </w:tcBorders>
            <w:shd w:val="clear" w:color="auto" w:fill="auto"/>
            <w:vAlign w:val="bottom"/>
          </w:tcPr>
          <w:p w14:paraId="632B307B" w14:textId="2F650E1E"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21.479.286</w:t>
            </w:r>
          </w:p>
        </w:tc>
        <w:tc>
          <w:tcPr>
            <w:tcW w:w="0" w:type="auto"/>
            <w:tcBorders>
              <w:top w:val="nil"/>
            </w:tcBorders>
            <w:shd w:val="clear" w:color="auto" w:fill="auto"/>
            <w:vAlign w:val="bottom"/>
          </w:tcPr>
          <w:p w14:paraId="0AEFB8E7" w14:textId="289C0AF1"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3.313</w:t>
            </w:r>
          </w:p>
        </w:tc>
        <w:tc>
          <w:tcPr>
            <w:tcW w:w="0" w:type="auto"/>
            <w:tcBorders>
              <w:top w:val="nil"/>
            </w:tcBorders>
            <w:shd w:val="clear" w:color="auto" w:fill="auto"/>
            <w:vAlign w:val="bottom"/>
          </w:tcPr>
          <w:p w14:paraId="29951DB5" w14:textId="055C8025"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58A16D89" w14:textId="0EC8C639"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323</w:t>
            </w:r>
          </w:p>
        </w:tc>
        <w:tc>
          <w:tcPr>
            <w:tcW w:w="1056" w:type="dxa"/>
            <w:tcBorders>
              <w:top w:val="nil"/>
            </w:tcBorders>
            <w:shd w:val="clear" w:color="auto" w:fill="auto"/>
            <w:vAlign w:val="bottom"/>
            <w:hideMark/>
          </w:tcPr>
          <w:p w14:paraId="43F4173B"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21.130.585</w:t>
            </w:r>
          </w:p>
        </w:tc>
      </w:tr>
      <w:tr w:rsidR="0023536E" w:rsidRPr="00083AEA" w14:paraId="25226060" w14:textId="77777777" w:rsidTr="009B2446">
        <w:trPr>
          <w:trHeight w:val="259"/>
        </w:trPr>
        <w:tc>
          <w:tcPr>
            <w:tcW w:w="3829" w:type="dxa"/>
            <w:tcBorders>
              <w:top w:val="nil"/>
            </w:tcBorders>
            <w:shd w:val="clear" w:color="auto" w:fill="auto"/>
            <w:vAlign w:val="bottom"/>
            <w:hideMark/>
          </w:tcPr>
          <w:p w14:paraId="63DF7F97"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Otros Títulos de Deuda</w:t>
            </w:r>
          </w:p>
        </w:tc>
        <w:tc>
          <w:tcPr>
            <w:tcW w:w="1418" w:type="dxa"/>
            <w:tcBorders>
              <w:top w:val="nil"/>
            </w:tcBorders>
            <w:shd w:val="clear" w:color="auto" w:fill="auto"/>
            <w:vAlign w:val="bottom"/>
          </w:tcPr>
          <w:p w14:paraId="102EAE1B" w14:textId="2C15531D"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65</w:t>
            </w:r>
          </w:p>
        </w:tc>
        <w:tc>
          <w:tcPr>
            <w:tcW w:w="1133" w:type="dxa"/>
            <w:tcBorders>
              <w:top w:val="nil"/>
            </w:tcBorders>
            <w:shd w:val="clear" w:color="auto" w:fill="auto"/>
            <w:vAlign w:val="bottom"/>
          </w:tcPr>
          <w:p w14:paraId="69DA0B03" w14:textId="443BFB86"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65</w:t>
            </w:r>
          </w:p>
        </w:tc>
        <w:tc>
          <w:tcPr>
            <w:tcW w:w="0" w:type="auto"/>
            <w:tcBorders>
              <w:top w:val="nil"/>
            </w:tcBorders>
            <w:shd w:val="clear" w:color="auto" w:fill="auto"/>
            <w:vAlign w:val="bottom"/>
          </w:tcPr>
          <w:p w14:paraId="6CE55DAF" w14:textId="795C6E4A"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65</w:t>
            </w:r>
          </w:p>
        </w:tc>
        <w:tc>
          <w:tcPr>
            <w:tcW w:w="0" w:type="auto"/>
            <w:tcBorders>
              <w:top w:val="nil"/>
            </w:tcBorders>
            <w:shd w:val="clear" w:color="auto" w:fill="auto"/>
            <w:vAlign w:val="bottom"/>
          </w:tcPr>
          <w:p w14:paraId="3647FC7C" w14:textId="69FFF5C8"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02ADE8E8" w14:textId="1B84DEE3"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64CCC72C" w14:textId="53676D26"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1F01DA5A"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1.039.824</w:t>
            </w:r>
          </w:p>
        </w:tc>
      </w:tr>
      <w:tr w:rsidR="0023536E" w:rsidRPr="00083AEA" w14:paraId="027B38C1" w14:textId="77777777" w:rsidTr="009B2446">
        <w:trPr>
          <w:trHeight w:val="259"/>
        </w:trPr>
        <w:tc>
          <w:tcPr>
            <w:tcW w:w="3829" w:type="dxa"/>
            <w:tcBorders>
              <w:top w:val="nil"/>
            </w:tcBorders>
            <w:shd w:val="clear" w:color="auto" w:fill="auto"/>
            <w:vAlign w:val="bottom"/>
            <w:hideMark/>
          </w:tcPr>
          <w:p w14:paraId="32D806C3"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Activos financieros entregados en garantía</w:t>
            </w:r>
          </w:p>
        </w:tc>
        <w:tc>
          <w:tcPr>
            <w:tcW w:w="1418" w:type="dxa"/>
            <w:tcBorders>
              <w:top w:val="nil"/>
            </w:tcBorders>
            <w:shd w:val="clear" w:color="auto" w:fill="auto"/>
            <w:vAlign w:val="bottom"/>
          </w:tcPr>
          <w:p w14:paraId="2488300C" w14:textId="5DC46FDC"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1.687.942</w:t>
            </w:r>
          </w:p>
        </w:tc>
        <w:tc>
          <w:tcPr>
            <w:tcW w:w="1133" w:type="dxa"/>
            <w:tcBorders>
              <w:top w:val="nil"/>
            </w:tcBorders>
            <w:shd w:val="clear" w:color="auto" w:fill="auto"/>
            <w:vAlign w:val="bottom"/>
          </w:tcPr>
          <w:p w14:paraId="17A80199" w14:textId="117B4C9D"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1.687.942</w:t>
            </w:r>
          </w:p>
        </w:tc>
        <w:tc>
          <w:tcPr>
            <w:tcW w:w="0" w:type="auto"/>
            <w:tcBorders>
              <w:top w:val="nil"/>
            </w:tcBorders>
            <w:shd w:val="clear" w:color="auto" w:fill="auto"/>
            <w:vAlign w:val="bottom"/>
          </w:tcPr>
          <w:p w14:paraId="2351F7C4" w14:textId="10DC4644"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1.687.942</w:t>
            </w:r>
          </w:p>
        </w:tc>
        <w:tc>
          <w:tcPr>
            <w:tcW w:w="0" w:type="auto"/>
            <w:tcBorders>
              <w:top w:val="nil"/>
            </w:tcBorders>
            <w:shd w:val="clear" w:color="auto" w:fill="auto"/>
            <w:vAlign w:val="bottom"/>
          </w:tcPr>
          <w:p w14:paraId="1A9AE1FD" w14:textId="6D8050FA"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42DC5AD6" w14:textId="6EAF8273"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1A9598DD" w14:textId="5E2C6AE4"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781616F2"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461.973</w:t>
            </w:r>
          </w:p>
        </w:tc>
      </w:tr>
      <w:tr w:rsidR="0023536E" w:rsidRPr="00083AEA" w14:paraId="0E61AA5C" w14:textId="77777777" w:rsidTr="009B2446">
        <w:trPr>
          <w:trHeight w:val="259"/>
        </w:trPr>
        <w:tc>
          <w:tcPr>
            <w:tcW w:w="3829" w:type="dxa"/>
            <w:tcBorders>
              <w:top w:val="nil"/>
            </w:tcBorders>
            <w:shd w:val="clear" w:color="auto" w:fill="auto"/>
            <w:vAlign w:val="bottom"/>
            <w:hideMark/>
          </w:tcPr>
          <w:p w14:paraId="3C3565B8"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Otros activos no financieros</w:t>
            </w:r>
          </w:p>
        </w:tc>
        <w:tc>
          <w:tcPr>
            <w:tcW w:w="1418" w:type="dxa"/>
            <w:tcBorders>
              <w:top w:val="nil"/>
            </w:tcBorders>
            <w:shd w:val="clear" w:color="auto" w:fill="auto"/>
            <w:vAlign w:val="bottom"/>
          </w:tcPr>
          <w:p w14:paraId="678C0D0C" w14:textId="263777E2"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6.420</w:t>
            </w:r>
          </w:p>
        </w:tc>
        <w:tc>
          <w:tcPr>
            <w:tcW w:w="1133" w:type="dxa"/>
            <w:tcBorders>
              <w:top w:val="nil"/>
            </w:tcBorders>
            <w:shd w:val="clear" w:color="auto" w:fill="auto"/>
            <w:vAlign w:val="bottom"/>
          </w:tcPr>
          <w:p w14:paraId="02DD70F6" w14:textId="3AE6F0F7"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6.420</w:t>
            </w:r>
          </w:p>
        </w:tc>
        <w:tc>
          <w:tcPr>
            <w:tcW w:w="0" w:type="auto"/>
            <w:tcBorders>
              <w:top w:val="nil"/>
            </w:tcBorders>
            <w:shd w:val="clear" w:color="auto" w:fill="auto"/>
            <w:vAlign w:val="bottom"/>
          </w:tcPr>
          <w:p w14:paraId="04433A8E" w14:textId="78124EB5"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6.420</w:t>
            </w:r>
          </w:p>
        </w:tc>
        <w:tc>
          <w:tcPr>
            <w:tcW w:w="0" w:type="auto"/>
            <w:tcBorders>
              <w:top w:val="nil"/>
            </w:tcBorders>
            <w:shd w:val="clear" w:color="auto" w:fill="auto"/>
            <w:vAlign w:val="bottom"/>
          </w:tcPr>
          <w:p w14:paraId="2229FB02" w14:textId="716274AE"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3F8F46A5" w14:textId="69232C06"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76960B1B" w14:textId="055CC2EB"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75350730"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970</w:t>
            </w:r>
          </w:p>
        </w:tc>
      </w:tr>
      <w:tr w:rsidR="0023536E" w:rsidRPr="00083AEA" w14:paraId="40C2D28D" w14:textId="77777777" w:rsidTr="009B2446">
        <w:trPr>
          <w:trHeight w:val="259"/>
        </w:trPr>
        <w:tc>
          <w:tcPr>
            <w:tcW w:w="3829" w:type="dxa"/>
            <w:tcBorders>
              <w:top w:val="nil"/>
            </w:tcBorders>
            <w:shd w:val="clear" w:color="auto" w:fill="auto"/>
            <w:vAlign w:val="bottom"/>
            <w:hideMark/>
          </w:tcPr>
          <w:p w14:paraId="53D150E1" w14:textId="77777777" w:rsidR="0023536E" w:rsidRPr="00083AEA" w:rsidRDefault="0023536E" w:rsidP="0023536E">
            <w:pPr>
              <w:rPr>
                <w:rFonts w:ascii="Arial" w:hAnsi="Arial" w:cs="Arial"/>
                <w:b/>
                <w:bCs/>
                <w:sz w:val="14"/>
                <w:szCs w:val="18"/>
                <w:lang w:eastAsia="es-AR"/>
              </w:rPr>
            </w:pPr>
            <w:r w:rsidRPr="00083AEA">
              <w:rPr>
                <w:rFonts w:ascii="Arial" w:hAnsi="Arial" w:cs="Arial"/>
                <w:b/>
                <w:bCs/>
                <w:sz w:val="14"/>
                <w:szCs w:val="18"/>
                <w:lang w:eastAsia="es-AR"/>
              </w:rPr>
              <w:t>TOTAL ACTIVO</w:t>
            </w:r>
          </w:p>
        </w:tc>
        <w:tc>
          <w:tcPr>
            <w:tcW w:w="1418" w:type="dxa"/>
            <w:tcBorders>
              <w:top w:val="single" w:sz="4" w:space="0" w:color="auto"/>
              <w:bottom w:val="single" w:sz="4" w:space="0" w:color="auto"/>
            </w:tcBorders>
            <w:shd w:val="clear" w:color="auto" w:fill="auto"/>
            <w:vAlign w:val="bottom"/>
          </w:tcPr>
          <w:p w14:paraId="2018B031" w14:textId="14ADABEC"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37.699.725</w:t>
            </w:r>
          </w:p>
        </w:tc>
        <w:tc>
          <w:tcPr>
            <w:tcW w:w="1133" w:type="dxa"/>
            <w:tcBorders>
              <w:top w:val="single" w:sz="4" w:space="0" w:color="auto"/>
              <w:bottom w:val="single" w:sz="4" w:space="0" w:color="auto"/>
            </w:tcBorders>
            <w:shd w:val="clear" w:color="auto" w:fill="auto"/>
            <w:vAlign w:val="bottom"/>
          </w:tcPr>
          <w:p w14:paraId="6E2C0337" w14:textId="1878007D"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37.699.725</w:t>
            </w:r>
          </w:p>
        </w:tc>
        <w:tc>
          <w:tcPr>
            <w:tcW w:w="0" w:type="auto"/>
            <w:tcBorders>
              <w:top w:val="single" w:sz="4" w:space="0" w:color="auto"/>
              <w:bottom w:val="single" w:sz="4" w:space="0" w:color="auto"/>
            </w:tcBorders>
            <w:shd w:val="clear" w:color="auto" w:fill="auto"/>
            <w:vAlign w:val="bottom"/>
          </w:tcPr>
          <w:p w14:paraId="298456C2" w14:textId="023E774B"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36.960.196</w:t>
            </w:r>
          </w:p>
        </w:tc>
        <w:tc>
          <w:tcPr>
            <w:tcW w:w="0" w:type="auto"/>
            <w:tcBorders>
              <w:top w:val="single" w:sz="4" w:space="0" w:color="auto"/>
              <w:bottom w:val="single" w:sz="4" w:space="0" w:color="auto"/>
            </w:tcBorders>
            <w:shd w:val="clear" w:color="auto" w:fill="auto"/>
            <w:vAlign w:val="bottom"/>
          </w:tcPr>
          <w:p w14:paraId="55011B07" w14:textId="5E44C0F4"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593.090</w:t>
            </w:r>
          </w:p>
        </w:tc>
        <w:tc>
          <w:tcPr>
            <w:tcW w:w="0" w:type="auto"/>
            <w:tcBorders>
              <w:top w:val="single" w:sz="4" w:space="0" w:color="auto"/>
              <w:bottom w:val="single" w:sz="4" w:space="0" w:color="auto"/>
            </w:tcBorders>
            <w:shd w:val="clear" w:color="auto" w:fill="auto"/>
            <w:vAlign w:val="bottom"/>
          </w:tcPr>
          <w:p w14:paraId="2676D17B" w14:textId="3CCA76EB"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15.285</w:t>
            </w:r>
          </w:p>
        </w:tc>
        <w:tc>
          <w:tcPr>
            <w:tcW w:w="0" w:type="auto"/>
            <w:tcBorders>
              <w:top w:val="single" w:sz="4" w:space="0" w:color="auto"/>
              <w:bottom w:val="single" w:sz="4" w:space="0" w:color="auto"/>
            </w:tcBorders>
            <w:shd w:val="clear" w:color="auto" w:fill="auto"/>
            <w:vAlign w:val="bottom"/>
          </w:tcPr>
          <w:p w14:paraId="374F31C7" w14:textId="0C30127A"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131.154</w:t>
            </w:r>
          </w:p>
        </w:tc>
        <w:tc>
          <w:tcPr>
            <w:tcW w:w="1056" w:type="dxa"/>
            <w:tcBorders>
              <w:top w:val="single" w:sz="4" w:space="0" w:color="auto"/>
              <w:bottom w:val="single" w:sz="4" w:space="0" w:color="auto"/>
            </w:tcBorders>
            <w:shd w:val="clear" w:color="auto" w:fill="auto"/>
            <w:vAlign w:val="bottom"/>
            <w:hideMark/>
          </w:tcPr>
          <w:p w14:paraId="74356DD1" w14:textId="77777777" w:rsidR="0023536E" w:rsidRPr="00083AEA" w:rsidRDefault="0023536E" w:rsidP="0023536E">
            <w:pPr>
              <w:jc w:val="right"/>
              <w:rPr>
                <w:rFonts w:ascii="Arial" w:hAnsi="Arial" w:cs="Arial"/>
                <w:b/>
                <w:bCs/>
                <w:sz w:val="14"/>
                <w:szCs w:val="18"/>
                <w:lang w:eastAsia="es-AR"/>
              </w:rPr>
            </w:pPr>
            <w:r w:rsidRPr="00083AEA">
              <w:rPr>
                <w:rFonts w:ascii="Arial" w:hAnsi="Arial" w:cs="Arial"/>
                <w:b/>
                <w:bCs/>
                <w:sz w:val="14"/>
                <w:szCs w:val="18"/>
                <w:lang w:eastAsia="es-AR"/>
              </w:rPr>
              <w:t>42.046.518</w:t>
            </w:r>
          </w:p>
        </w:tc>
      </w:tr>
      <w:tr w:rsidR="0023536E" w:rsidRPr="00083AEA" w14:paraId="6D635FE5" w14:textId="77777777" w:rsidTr="009B2446">
        <w:trPr>
          <w:trHeight w:val="70"/>
        </w:trPr>
        <w:tc>
          <w:tcPr>
            <w:tcW w:w="3829" w:type="dxa"/>
            <w:tcBorders>
              <w:top w:val="nil"/>
              <w:left w:val="nil"/>
              <w:bottom w:val="nil"/>
              <w:right w:val="nil"/>
            </w:tcBorders>
            <w:shd w:val="clear" w:color="auto" w:fill="auto"/>
            <w:noWrap/>
            <w:hideMark/>
          </w:tcPr>
          <w:p w14:paraId="0D144D28" w14:textId="77777777" w:rsidR="0023536E" w:rsidRPr="00083AEA" w:rsidRDefault="0023536E" w:rsidP="0023536E">
            <w:pPr>
              <w:jc w:val="right"/>
              <w:rPr>
                <w:rFonts w:ascii="Arial" w:hAnsi="Arial" w:cs="Arial"/>
                <w:b/>
                <w:bCs/>
                <w:sz w:val="14"/>
                <w:szCs w:val="18"/>
                <w:lang w:eastAsia="es-AR"/>
              </w:rPr>
            </w:pPr>
          </w:p>
        </w:tc>
        <w:tc>
          <w:tcPr>
            <w:tcW w:w="1418" w:type="dxa"/>
            <w:tcBorders>
              <w:top w:val="single" w:sz="4" w:space="0" w:color="auto"/>
              <w:left w:val="nil"/>
              <w:bottom w:val="nil"/>
              <w:right w:val="nil"/>
            </w:tcBorders>
            <w:shd w:val="clear" w:color="auto" w:fill="auto"/>
            <w:noWrap/>
          </w:tcPr>
          <w:p w14:paraId="5EE0BA84" w14:textId="77777777" w:rsidR="0023536E" w:rsidRPr="00083AEA" w:rsidRDefault="0023536E" w:rsidP="0023536E">
            <w:pPr>
              <w:rPr>
                <w:sz w:val="14"/>
                <w:lang w:eastAsia="es-AR"/>
              </w:rPr>
            </w:pPr>
          </w:p>
        </w:tc>
        <w:tc>
          <w:tcPr>
            <w:tcW w:w="1133" w:type="dxa"/>
            <w:tcBorders>
              <w:top w:val="single" w:sz="4" w:space="0" w:color="auto"/>
              <w:left w:val="nil"/>
              <w:bottom w:val="nil"/>
              <w:right w:val="nil"/>
            </w:tcBorders>
            <w:shd w:val="clear" w:color="auto" w:fill="auto"/>
            <w:noWrap/>
          </w:tcPr>
          <w:p w14:paraId="6E6042A0" w14:textId="77777777" w:rsidR="0023536E" w:rsidRPr="00083AEA" w:rsidRDefault="0023536E" w:rsidP="0023536E">
            <w:pPr>
              <w:rPr>
                <w:sz w:val="14"/>
                <w:lang w:eastAsia="es-AR"/>
              </w:rPr>
            </w:pPr>
          </w:p>
        </w:tc>
        <w:tc>
          <w:tcPr>
            <w:tcW w:w="0" w:type="auto"/>
            <w:tcBorders>
              <w:top w:val="single" w:sz="4" w:space="0" w:color="auto"/>
              <w:left w:val="nil"/>
              <w:bottom w:val="nil"/>
              <w:right w:val="nil"/>
            </w:tcBorders>
            <w:shd w:val="clear" w:color="auto" w:fill="auto"/>
            <w:noWrap/>
          </w:tcPr>
          <w:p w14:paraId="7DE8EACF" w14:textId="77777777" w:rsidR="0023536E" w:rsidRPr="00083AEA" w:rsidRDefault="0023536E" w:rsidP="0023536E">
            <w:pPr>
              <w:rPr>
                <w:sz w:val="14"/>
                <w:lang w:eastAsia="es-AR"/>
              </w:rPr>
            </w:pPr>
          </w:p>
        </w:tc>
        <w:tc>
          <w:tcPr>
            <w:tcW w:w="0" w:type="auto"/>
            <w:tcBorders>
              <w:top w:val="single" w:sz="4" w:space="0" w:color="auto"/>
              <w:left w:val="nil"/>
              <w:bottom w:val="nil"/>
              <w:right w:val="nil"/>
            </w:tcBorders>
            <w:shd w:val="clear" w:color="auto" w:fill="auto"/>
            <w:noWrap/>
          </w:tcPr>
          <w:p w14:paraId="6B84FC9C" w14:textId="77777777" w:rsidR="0023536E" w:rsidRPr="00083AEA" w:rsidRDefault="0023536E" w:rsidP="0023536E">
            <w:pPr>
              <w:rPr>
                <w:sz w:val="14"/>
                <w:lang w:eastAsia="es-AR"/>
              </w:rPr>
            </w:pPr>
          </w:p>
        </w:tc>
        <w:tc>
          <w:tcPr>
            <w:tcW w:w="0" w:type="auto"/>
            <w:tcBorders>
              <w:top w:val="single" w:sz="4" w:space="0" w:color="auto"/>
              <w:left w:val="nil"/>
              <w:bottom w:val="nil"/>
              <w:right w:val="nil"/>
            </w:tcBorders>
            <w:shd w:val="clear" w:color="auto" w:fill="auto"/>
            <w:noWrap/>
          </w:tcPr>
          <w:p w14:paraId="67DBDEC9" w14:textId="77777777" w:rsidR="0023536E" w:rsidRPr="00083AEA" w:rsidRDefault="0023536E" w:rsidP="0023536E">
            <w:pPr>
              <w:rPr>
                <w:sz w:val="14"/>
                <w:lang w:eastAsia="es-AR"/>
              </w:rPr>
            </w:pPr>
          </w:p>
        </w:tc>
        <w:tc>
          <w:tcPr>
            <w:tcW w:w="0" w:type="auto"/>
            <w:tcBorders>
              <w:top w:val="single" w:sz="4" w:space="0" w:color="auto"/>
              <w:left w:val="nil"/>
              <w:bottom w:val="nil"/>
              <w:right w:val="nil"/>
            </w:tcBorders>
            <w:shd w:val="clear" w:color="auto" w:fill="auto"/>
            <w:noWrap/>
          </w:tcPr>
          <w:p w14:paraId="78FEB76F" w14:textId="77777777" w:rsidR="0023536E" w:rsidRPr="00083AEA" w:rsidRDefault="0023536E" w:rsidP="0023536E">
            <w:pPr>
              <w:rPr>
                <w:sz w:val="14"/>
                <w:lang w:eastAsia="es-AR"/>
              </w:rPr>
            </w:pPr>
          </w:p>
        </w:tc>
        <w:tc>
          <w:tcPr>
            <w:tcW w:w="1056" w:type="dxa"/>
            <w:tcBorders>
              <w:top w:val="single" w:sz="4" w:space="0" w:color="auto"/>
              <w:left w:val="nil"/>
              <w:bottom w:val="nil"/>
              <w:right w:val="nil"/>
            </w:tcBorders>
            <w:shd w:val="clear" w:color="auto" w:fill="auto"/>
            <w:noWrap/>
            <w:hideMark/>
          </w:tcPr>
          <w:p w14:paraId="5ED0052C" w14:textId="77777777" w:rsidR="0023536E" w:rsidRPr="00083AEA" w:rsidRDefault="0023536E" w:rsidP="0023536E">
            <w:pPr>
              <w:rPr>
                <w:sz w:val="14"/>
                <w:lang w:eastAsia="es-AR"/>
              </w:rPr>
            </w:pPr>
          </w:p>
        </w:tc>
      </w:tr>
      <w:tr w:rsidR="0023536E" w:rsidRPr="00083AEA" w14:paraId="1E3F4945" w14:textId="77777777" w:rsidTr="009B2446">
        <w:trPr>
          <w:gridAfter w:val="7"/>
          <w:wAfter w:w="6311" w:type="dxa"/>
          <w:trHeight w:val="97"/>
        </w:trPr>
        <w:tc>
          <w:tcPr>
            <w:tcW w:w="3829" w:type="dxa"/>
            <w:shd w:val="clear" w:color="auto" w:fill="FFFFFF" w:themeFill="background1"/>
            <w:vAlign w:val="bottom"/>
            <w:hideMark/>
          </w:tcPr>
          <w:p w14:paraId="1862B826" w14:textId="77777777" w:rsidR="0023536E" w:rsidRPr="00083AEA" w:rsidRDefault="0023536E" w:rsidP="0023536E">
            <w:pPr>
              <w:rPr>
                <w:rFonts w:ascii="Arial" w:hAnsi="Arial" w:cs="Arial"/>
                <w:b/>
                <w:bCs/>
                <w:sz w:val="14"/>
                <w:szCs w:val="18"/>
                <w:lang w:eastAsia="es-AR"/>
              </w:rPr>
            </w:pPr>
            <w:r w:rsidRPr="00083AEA">
              <w:rPr>
                <w:rFonts w:ascii="Arial" w:hAnsi="Arial" w:cs="Arial"/>
                <w:b/>
                <w:bCs/>
                <w:sz w:val="14"/>
                <w:szCs w:val="18"/>
                <w:lang w:eastAsia="es-AR"/>
              </w:rPr>
              <w:t>P</w:t>
            </w:r>
            <w:r w:rsidRPr="00083AEA">
              <w:rPr>
                <w:rFonts w:ascii="Arial" w:hAnsi="Arial" w:cs="Arial"/>
                <w:b/>
                <w:bCs/>
                <w:sz w:val="14"/>
                <w:szCs w:val="18"/>
                <w:shd w:val="clear" w:color="auto" w:fill="FFFFFF" w:themeFill="background1"/>
                <w:lang w:eastAsia="es-AR"/>
              </w:rPr>
              <w:t>ASIVO</w:t>
            </w:r>
          </w:p>
        </w:tc>
      </w:tr>
      <w:tr w:rsidR="0023536E" w:rsidRPr="00083AEA" w14:paraId="7581474B" w14:textId="77777777" w:rsidTr="009B2446">
        <w:trPr>
          <w:trHeight w:val="259"/>
        </w:trPr>
        <w:tc>
          <w:tcPr>
            <w:tcW w:w="3829" w:type="dxa"/>
            <w:tcBorders>
              <w:top w:val="nil"/>
            </w:tcBorders>
            <w:shd w:val="clear" w:color="auto" w:fill="auto"/>
            <w:vAlign w:val="bottom"/>
            <w:hideMark/>
          </w:tcPr>
          <w:p w14:paraId="7CEAB022"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Depósitos</w:t>
            </w:r>
          </w:p>
        </w:tc>
        <w:tc>
          <w:tcPr>
            <w:tcW w:w="1418" w:type="dxa"/>
            <w:tcBorders>
              <w:top w:val="nil"/>
            </w:tcBorders>
            <w:shd w:val="clear" w:color="auto" w:fill="auto"/>
          </w:tcPr>
          <w:p w14:paraId="527400E9" w14:textId="77777777" w:rsidR="0023536E" w:rsidRPr="00083AEA" w:rsidRDefault="0023536E" w:rsidP="0023536E">
            <w:pPr>
              <w:rPr>
                <w:rFonts w:ascii="Arial" w:hAnsi="Arial" w:cs="Arial"/>
                <w:sz w:val="14"/>
                <w:szCs w:val="18"/>
                <w:lang w:eastAsia="es-AR"/>
              </w:rPr>
            </w:pPr>
          </w:p>
        </w:tc>
        <w:tc>
          <w:tcPr>
            <w:tcW w:w="1133" w:type="dxa"/>
            <w:tcBorders>
              <w:top w:val="nil"/>
            </w:tcBorders>
            <w:shd w:val="clear" w:color="auto" w:fill="auto"/>
          </w:tcPr>
          <w:p w14:paraId="4753CE86" w14:textId="77777777" w:rsidR="0023536E" w:rsidRPr="00083AEA" w:rsidRDefault="0023536E" w:rsidP="0023536E">
            <w:pPr>
              <w:rPr>
                <w:rFonts w:ascii="Arial" w:hAnsi="Arial" w:cs="Arial"/>
                <w:sz w:val="14"/>
                <w:szCs w:val="18"/>
                <w:lang w:eastAsia="es-AR"/>
              </w:rPr>
            </w:pPr>
          </w:p>
        </w:tc>
        <w:tc>
          <w:tcPr>
            <w:tcW w:w="0" w:type="auto"/>
            <w:tcBorders>
              <w:top w:val="nil"/>
            </w:tcBorders>
            <w:shd w:val="clear" w:color="auto" w:fill="auto"/>
          </w:tcPr>
          <w:p w14:paraId="7526C963" w14:textId="77777777" w:rsidR="0023536E" w:rsidRPr="00083AEA" w:rsidRDefault="0023536E" w:rsidP="0023536E">
            <w:pPr>
              <w:jc w:val="right"/>
              <w:rPr>
                <w:rFonts w:ascii="Arial" w:hAnsi="Arial" w:cs="Arial"/>
                <w:sz w:val="14"/>
                <w:szCs w:val="18"/>
                <w:lang w:eastAsia="es-AR"/>
              </w:rPr>
            </w:pPr>
          </w:p>
        </w:tc>
        <w:tc>
          <w:tcPr>
            <w:tcW w:w="0" w:type="auto"/>
            <w:tcBorders>
              <w:top w:val="nil"/>
            </w:tcBorders>
            <w:shd w:val="clear" w:color="auto" w:fill="auto"/>
          </w:tcPr>
          <w:p w14:paraId="6C08CB94" w14:textId="77777777" w:rsidR="0023536E" w:rsidRPr="00083AEA" w:rsidRDefault="0023536E" w:rsidP="0023536E">
            <w:pPr>
              <w:jc w:val="right"/>
              <w:rPr>
                <w:rFonts w:ascii="Arial" w:hAnsi="Arial" w:cs="Arial"/>
                <w:sz w:val="14"/>
                <w:szCs w:val="18"/>
                <w:lang w:eastAsia="es-AR"/>
              </w:rPr>
            </w:pPr>
          </w:p>
        </w:tc>
        <w:tc>
          <w:tcPr>
            <w:tcW w:w="0" w:type="auto"/>
            <w:tcBorders>
              <w:top w:val="nil"/>
            </w:tcBorders>
            <w:shd w:val="clear" w:color="auto" w:fill="auto"/>
          </w:tcPr>
          <w:p w14:paraId="2876ED45" w14:textId="77777777" w:rsidR="0023536E" w:rsidRPr="00083AEA" w:rsidRDefault="0023536E" w:rsidP="0023536E">
            <w:pPr>
              <w:jc w:val="right"/>
              <w:rPr>
                <w:rFonts w:ascii="Arial" w:hAnsi="Arial" w:cs="Arial"/>
                <w:sz w:val="14"/>
                <w:szCs w:val="18"/>
                <w:lang w:eastAsia="es-AR"/>
              </w:rPr>
            </w:pPr>
          </w:p>
        </w:tc>
        <w:tc>
          <w:tcPr>
            <w:tcW w:w="0" w:type="auto"/>
            <w:tcBorders>
              <w:top w:val="nil"/>
            </w:tcBorders>
            <w:shd w:val="clear" w:color="auto" w:fill="auto"/>
          </w:tcPr>
          <w:p w14:paraId="75793752" w14:textId="77777777" w:rsidR="0023536E" w:rsidRPr="00083AEA" w:rsidRDefault="0023536E" w:rsidP="0023536E">
            <w:pPr>
              <w:jc w:val="right"/>
              <w:rPr>
                <w:rFonts w:ascii="Arial" w:hAnsi="Arial" w:cs="Arial"/>
                <w:sz w:val="14"/>
                <w:szCs w:val="18"/>
                <w:lang w:eastAsia="es-AR"/>
              </w:rPr>
            </w:pPr>
          </w:p>
        </w:tc>
        <w:tc>
          <w:tcPr>
            <w:tcW w:w="1056" w:type="dxa"/>
            <w:tcBorders>
              <w:top w:val="nil"/>
            </w:tcBorders>
            <w:shd w:val="clear" w:color="auto" w:fill="auto"/>
            <w:hideMark/>
          </w:tcPr>
          <w:p w14:paraId="464C3B07"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 </w:t>
            </w:r>
          </w:p>
        </w:tc>
      </w:tr>
      <w:tr w:rsidR="0023536E" w:rsidRPr="00083AEA" w14:paraId="1B772627" w14:textId="77777777" w:rsidTr="009B2446">
        <w:trPr>
          <w:trHeight w:val="259"/>
        </w:trPr>
        <w:tc>
          <w:tcPr>
            <w:tcW w:w="3829" w:type="dxa"/>
            <w:tcBorders>
              <w:top w:val="nil"/>
            </w:tcBorders>
            <w:shd w:val="clear" w:color="auto" w:fill="auto"/>
            <w:vAlign w:val="bottom"/>
            <w:hideMark/>
          </w:tcPr>
          <w:p w14:paraId="7B98FA95" w14:textId="77777777" w:rsidR="0023536E" w:rsidRPr="00083AEA" w:rsidRDefault="0023536E" w:rsidP="0023536E">
            <w:pPr>
              <w:ind w:firstLineChars="100" w:firstLine="140"/>
              <w:rPr>
                <w:rFonts w:ascii="Arial" w:hAnsi="Arial" w:cs="Arial"/>
                <w:sz w:val="14"/>
                <w:szCs w:val="18"/>
                <w:lang w:eastAsia="es-AR"/>
              </w:rPr>
            </w:pPr>
            <w:r w:rsidRPr="00083AEA">
              <w:rPr>
                <w:rFonts w:ascii="Arial" w:hAnsi="Arial" w:cs="Arial"/>
                <w:sz w:val="14"/>
                <w:szCs w:val="18"/>
                <w:lang w:eastAsia="es-AR"/>
              </w:rPr>
              <w:t>Sector Público no Financiero</w:t>
            </w:r>
          </w:p>
        </w:tc>
        <w:tc>
          <w:tcPr>
            <w:tcW w:w="1418" w:type="dxa"/>
            <w:tcBorders>
              <w:top w:val="nil"/>
            </w:tcBorders>
            <w:shd w:val="clear" w:color="auto" w:fill="auto"/>
            <w:vAlign w:val="bottom"/>
          </w:tcPr>
          <w:p w14:paraId="36D22D86" w14:textId="72563E1F"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2.171.358</w:t>
            </w:r>
          </w:p>
        </w:tc>
        <w:tc>
          <w:tcPr>
            <w:tcW w:w="1133" w:type="dxa"/>
            <w:tcBorders>
              <w:top w:val="nil"/>
            </w:tcBorders>
            <w:shd w:val="clear" w:color="auto" w:fill="auto"/>
            <w:vAlign w:val="bottom"/>
          </w:tcPr>
          <w:p w14:paraId="38295036" w14:textId="24B69B48"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2.171.358</w:t>
            </w:r>
          </w:p>
        </w:tc>
        <w:tc>
          <w:tcPr>
            <w:tcW w:w="0" w:type="auto"/>
            <w:tcBorders>
              <w:top w:val="nil"/>
            </w:tcBorders>
            <w:shd w:val="clear" w:color="auto" w:fill="auto"/>
            <w:vAlign w:val="bottom"/>
          </w:tcPr>
          <w:p w14:paraId="23F6FBFD" w14:textId="140CD1AF"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2.171.272</w:t>
            </w:r>
          </w:p>
        </w:tc>
        <w:tc>
          <w:tcPr>
            <w:tcW w:w="0" w:type="auto"/>
            <w:tcBorders>
              <w:top w:val="nil"/>
            </w:tcBorders>
            <w:shd w:val="clear" w:color="auto" w:fill="auto"/>
            <w:vAlign w:val="bottom"/>
          </w:tcPr>
          <w:p w14:paraId="552DE09E" w14:textId="6187845C"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86</w:t>
            </w:r>
          </w:p>
        </w:tc>
        <w:tc>
          <w:tcPr>
            <w:tcW w:w="0" w:type="auto"/>
            <w:tcBorders>
              <w:top w:val="nil"/>
            </w:tcBorders>
            <w:shd w:val="clear" w:color="auto" w:fill="auto"/>
            <w:vAlign w:val="bottom"/>
          </w:tcPr>
          <w:p w14:paraId="5C0EE0B8" w14:textId="26EDADE4"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41CFCC15" w14:textId="0734CFF6"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5BD52847"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7.899.762</w:t>
            </w:r>
          </w:p>
        </w:tc>
      </w:tr>
      <w:tr w:rsidR="0023536E" w:rsidRPr="00083AEA" w14:paraId="16AAEB1C" w14:textId="77777777" w:rsidTr="009B2446">
        <w:trPr>
          <w:trHeight w:val="259"/>
        </w:trPr>
        <w:tc>
          <w:tcPr>
            <w:tcW w:w="3829" w:type="dxa"/>
            <w:tcBorders>
              <w:top w:val="nil"/>
            </w:tcBorders>
            <w:shd w:val="clear" w:color="auto" w:fill="auto"/>
            <w:vAlign w:val="bottom"/>
            <w:hideMark/>
          </w:tcPr>
          <w:p w14:paraId="44FF7165" w14:textId="77777777" w:rsidR="0023536E" w:rsidRPr="00083AEA" w:rsidRDefault="0023536E" w:rsidP="0023536E">
            <w:pPr>
              <w:ind w:firstLineChars="100" w:firstLine="140"/>
              <w:rPr>
                <w:rFonts w:ascii="Arial" w:hAnsi="Arial" w:cs="Arial"/>
                <w:sz w:val="14"/>
                <w:szCs w:val="18"/>
                <w:lang w:eastAsia="es-AR"/>
              </w:rPr>
            </w:pPr>
            <w:r w:rsidRPr="00083AEA">
              <w:rPr>
                <w:rFonts w:ascii="Arial" w:hAnsi="Arial" w:cs="Arial"/>
                <w:sz w:val="14"/>
                <w:szCs w:val="18"/>
                <w:lang w:eastAsia="es-AR"/>
              </w:rPr>
              <w:t>Sector Financiero</w:t>
            </w:r>
          </w:p>
        </w:tc>
        <w:tc>
          <w:tcPr>
            <w:tcW w:w="1418" w:type="dxa"/>
            <w:tcBorders>
              <w:top w:val="nil"/>
            </w:tcBorders>
            <w:shd w:val="clear" w:color="auto" w:fill="auto"/>
            <w:vAlign w:val="bottom"/>
          </w:tcPr>
          <w:p w14:paraId="16AE179F" w14:textId="3039CC4E"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9.062</w:t>
            </w:r>
          </w:p>
        </w:tc>
        <w:tc>
          <w:tcPr>
            <w:tcW w:w="1133" w:type="dxa"/>
            <w:tcBorders>
              <w:top w:val="nil"/>
            </w:tcBorders>
            <w:shd w:val="clear" w:color="auto" w:fill="auto"/>
            <w:vAlign w:val="bottom"/>
          </w:tcPr>
          <w:p w14:paraId="2FCCDFC4" w14:textId="4FA3A701"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9.062</w:t>
            </w:r>
          </w:p>
        </w:tc>
        <w:tc>
          <w:tcPr>
            <w:tcW w:w="0" w:type="auto"/>
            <w:tcBorders>
              <w:top w:val="nil"/>
            </w:tcBorders>
            <w:shd w:val="clear" w:color="auto" w:fill="auto"/>
            <w:vAlign w:val="bottom"/>
          </w:tcPr>
          <w:p w14:paraId="61B13419" w14:textId="6BFDB2E0"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9.062</w:t>
            </w:r>
          </w:p>
        </w:tc>
        <w:tc>
          <w:tcPr>
            <w:tcW w:w="0" w:type="auto"/>
            <w:tcBorders>
              <w:top w:val="nil"/>
            </w:tcBorders>
            <w:shd w:val="clear" w:color="auto" w:fill="auto"/>
            <w:vAlign w:val="bottom"/>
          </w:tcPr>
          <w:p w14:paraId="66289160" w14:textId="7EC432BB"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3D5DF81A" w14:textId="47DB3DC6"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5903CA52" w14:textId="40DDA8ED"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01759392"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2.978</w:t>
            </w:r>
          </w:p>
        </w:tc>
      </w:tr>
      <w:tr w:rsidR="0023536E" w:rsidRPr="00083AEA" w14:paraId="66D071ED" w14:textId="77777777" w:rsidTr="009B2446">
        <w:trPr>
          <w:trHeight w:val="259"/>
        </w:trPr>
        <w:tc>
          <w:tcPr>
            <w:tcW w:w="3829" w:type="dxa"/>
            <w:tcBorders>
              <w:top w:val="nil"/>
            </w:tcBorders>
            <w:shd w:val="clear" w:color="auto" w:fill="auto"/>
            <w:vAlign w:val="bottom"/>
            <w:hideMark/>
          </w:tcPr>
          <w:p w14:paraId="360A44F3" w14:textId="77777777" w:rsidR="0023536E" w:rsidRPr="00083AEA" w:rsidRDefault="0023536E" w:rsidP="0023536E">
            <w:pPr>
              <w:ind w:firstLineChars="100" w:firstLine="140"/>
              <w:rPr>
                <w:rFonts w:ascii="Arial" w:hAnsi="Arial" w:cs="Arial"/>
                <w:sz w:val="14"/>
                <w:szCs w:val="18"/>
                <w:lang w:eastAsia="es-AR"/>
              </w:rPr>
            </w:pPr>
            <w:r w:rsidRPr="00083AEA">
              <w:rPr>
                <w:rFonts w:ascii="Arial" w:hAnsi="Arial" w:cs="Arial"/>
                <w:sz w:val="14"/>
                <w:szCs w:val="18"/>
                <w:lang w:eastAsia="es-AR"/>
              </w:rPr>
              <w:t>Sector Privado no Financiero y Residentes en el exterior</w:t>
            </w:r>
          </w:p>
        </w:tc>
        <w:tc>
          <w:tcPr>
            <w:tcW w:w="1418" w:type="dxa"/>
            <w:tcBorders>
              <w:top w:val="nil"/>
            </w:tcBorders>
            <w:shd w:val="clear" w:color="auto" w:fill="auto"/>
            <w:vAlign w:val="bottom"/>
          </w:tcPr>
          <w:p w14:paraId="4303F0F6" w14:textId="0E142A70"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22.547.227</w:t>
            </w:r>
          </w:p>
        </w:tc>
        <w:tc>
          <w:tcPr>
            <w:tcW w:w="1133" w:type="dxa"/>
            <w:tcBorders>
              <w:top w:val="nil"/>
            </w:tcBorders>
            <w:shd w:val="clear" w:color="auto" w:fill="auto"/>
            <w:vAlign w:val="bottom"/>
          </w:tcPr>
          <w:p w14:paraId="093FE4E3" w14:textId="711E2473"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22.547.227</w:t>
            </w:r>
          </w:p>
        </w:tc>
        <w:tc>
          <w:tcPr>
            <w:tcW w:w="0" w:type="auto"/>
            <w:tcBorders>
              <w:top w:val="nil"/>
            </w:tcBorders>
            <w:shd w:val="clear" w:color="auto" w:fill="auto"/>
            <w:vAlign w:val="bottom"/>
          </w:tcPr>
          <w:p w14:paraId="733C91EF" w14:textId="25E6E1ED"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22.065.732</w:t>
            </w:r>
          </w:p>
        </w:tc>
        <w:tc>
          <w:tcPr>
            <w:tcW w:w="0" w:type="auto"/>
            <w:tcBorders>
              <w:top w:val="nil"/>
            </w:tcBorders>
            <w:shd w:val="clear" w:color="auto" w:fill="auto"/>
            <w:vAlign w:val="bottom"/>
          </w:tcPr>
          <w:p w14:paraId="75B763E0" w14:textId="045A16E0"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481.495</w:t>
            </w:r>
          </w:p>
        </w:tc>
        <w:tc>
          <w:tcPr>
            <w:tcW w:w="0" w:type="auto"/>
            <w:tcBorders>
              <w:top w:val="nil"/>
            </w:tcBorders>
            <w:shd w:val="clear" w:color="auto" w:fill="auto"/>
            <w:vAlign w:val="bottom"/>
          </w:tcPr>
          <w:p w14:paraId="177F7181" w14:textId="0F2C4C85"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0F320F59" w14:textId="3180462F"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0E8386A0"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23.730.930</w:t>
            </w:r>
          </w:p>
        </w:tc>
      </w:tr>
      <w:tr w:rsidR="0023536E" w:rsidRPr="00083AEA" w14:paraId="4338849E" w14:textId="77777777" w:rsidTr="009B2446">
        <w:trPr>
          <w:trHeight w:val="259"/>
        </w:trPr>
        <w:tc>
          <w:tcPr>
            <w:tcW w:w="3829" w:type="dxa"/>
            <w:tcBorders>
              <w:top w:val="nil"/>
            </w:tcBorders>
            <w:shd w:val="clear" w:color="auto" w:fill="auto"/>
            <w:vAlign w:val="bottom"/>
            <w:hideMark/>
          </w:tcPr>
          <w:p w14:paraId="65AF8E13"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Pasivos a valor razonable con cambios en resultados</w:t>
            </w:r>
          </w:p>
        </w:tc>
        <w:tc>
          <w:tcPr>
            <w:tcW w:w="1418" w:type="dxa"/>
            <w:tcBorders>
              <w:top w:val="nil"/>
            </w:tcBorders>
            <w:shd w:val="clear" w:color="auto" w:fill="auto"/>
            <w:vAlign w:val="bottom"/>
          </w:tcPr>
          <w:p w14:paraId="1AEA6E35" w14:textId="211157F0"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133" w:type="dxa"/>
            <w:tcBorders>
              <w:top w:val="nil"/>
            </w:tcBorders>
            <w:shd w:val="clear" w:color="auto" w:fill="auto"/>
            <w:vAlign w:val="bottom"/>
          </w:tcPr>
          <w:p w14:paraId="2E92B209" w14:textId="31674404"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4CC4C162" w14:textId="61A91F46"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333BBCB2" w14:textId="3021A7C2"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15C2C851" w14:textId="162D8376"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6C8B821F" w14:textId="6B19125E"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3F0BD007"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152.886</w:t>
            </w:r>
          </w:p>
        </w:tc>
      </w:tr>
      <w:tr w:rsidR="0023536E" w:rsidRPr="00083AEA" w14:paraId="55D214DB" w14:textId="77777777" w:rsidTr="009B2446">
        <w:trPr>
          <w:trHeight w:val="259"/>
        </w:trPr>
        <w:tc>
          <w:tcPr>
            <w:tcW w:w="3829" w:type="dxa"/>
            <w:tcBorders>
              <w:top w:val="nil"/>
            </w:tcBorders>
            <w:shd w:val="clear" w:color="auto" w:fill="auto"/>
            <w:vAlign w:val="bottom"/>
            <w:hideMark/>
          </w:tcPr>
          <w:p w14:paraId="6A4486B3"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Otros pasivos financieros</w:t>
            </w:r>
          </w:p>
        </w:tc>
        <w:tc>
          <w:tcPr>
            <w:tcW w:w="1418" w:type="dxa"/>
            <w:tcBorders>
              <w:top w:val="nil"/>
            </w:tcBorders>
            <w:shd w:val="clear" w:color="auto" w:fill="auto"/>
            <w:vAlign w:val="bottom"/>
          </w:tcPr>
          <w:p w14:paraId="61F0710B" w14:textId="77B5A13E"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2.037.738</w:t>
            </w:r>
          </w:p>
        </w:tc>
        <w:tc>
          <w:tcPr>
            <w:tcW w:w="1133" w:type="dxa"/>
            <w:tcBorders>
              <w:top w:val="nil"/>
            </w:tcBorders>
            <w:shd w:val="clear" w:color="auto" w:fill="auto"/>
            <w:vAlign w:val="bottom"/>
          </w:tcPr>
          <w:p w14:paraId="602DA20A" w14:textId="6D5D1E78"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2.037.738</w:t>
            </w:r>
          </w:p>
        </w:tc>
        <w:tc>
          <w:tcPr>
            <w:tcW w:w="0" w:type="auto"/>
            <w:tcBorders>
              <w:top w:val="nil"/>
            </w:tcBorders>
            <w:shd w:val="clear" w:color="auto" w:fill="auto"/>
            <w:vAlign w:val="bottom"/>
          </w:tcPr>
          <w:p w14:paraId="51AE3AD0" w14:textId="7138F02F"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1.940.479</w:t>
            </w:r>
          </w:p>
        </w:tc>
        <w:tc>
          <w:tcPr>
            <w:tcW w:w="0" w:type="auto"/>
            <w:tcBorders>
              <w:top w:val="nil"/>
            </w:tcBorders>
            <w:shd w:val="clear" w:color="auto" w:fill="auto"/>
            <w:vAlign w:val="bottom"/>
          </w:tcPr>
          <w:p w14:paraId="24132DF5" w14:textId="67355D8C"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93.566</w:t>
            </w:r>
          </w:p>
        </w:tc>
        <w:tc>
          <w:tcPr>
            <w:tcW w:w="0" w:type="auto"/>
            <w:tcBorders>
              <w:top w:val="nil"/>
            </w:tcBorders>
            <w:shd w:val="clear" w:color="auto" w:fill="auto"/>
            <w:vAlign w:val="bottom"/>
          </w:tcPr>
          <w:p w14:paraId="0ED6D52B" w14:textId="0552A199"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62BC78D5" w14:textId="4E16FEDB"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3.693</w:t>
            </w:r>
          </w:p>
        </w:tc>
        <w:tc>
          <w:tcPr>
            <w:tcW w:w="1056" w:type="dxa"/>
            <w:tcBorders>
              <w:top w:val="nil"/>
            </w:tcBorders>
            <w:shd w:val="clear" w:color="auto" w:fill="auto"/>
            <w:vAlign w:val="bottom"/>
            <w:hideMark/>
          </w:tcPr>
          <w:p w14:paraId="737475A4"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845.185</w:t>
            </w:r>
          </w:p>
        </w:tc>
      </w:tr>
      <w:tr w:rsidR="0023536E" w:rsidRPr="00083AEA" w14:paraId="71F2D764" w14:textId="77777777" w:rsidTr="009B2446">
        <w:trPr>
          <w:trHeight w:val="313"/>
        </w:trPr>
        <w:tc>
          <w:tcPr>
            <w:tcW w:w="3829" w:type="dxa"/>
            <w:tcBorders>
              <w:top w:val="nil"/>
            </w:tcBorders>
            <w:shd w:val="clear" w:color="auto" w:fill="auto"/>
            <w:vAlign w:val="bottom"/>
            <w:hideMark/>
          </w:tcPr>
          <w:p w14:paraId="7776EE32"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Financiaciones recibidas del BCRA y otras instituciones financieras</w:t>
            </w:r>
          </w:p>
        </w:tc>
        <w:tc>
          <w:tcPr>
            <w:tcW w:w="1418" w:type="dxa"/>
            <w:tcBorders>
              <w:top w:val="nil"/>
            </w:tcBorders>
            <w:shd w:val="clear" w:color="auto" w:fill="auto"/>
            <w:vAlign w:val="bottom"/>
          </w:tcPr>
          <w:p w14:paraId="289CEFCC" w14:textId="3A9BDD05"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8.075.471</w:t>
            </w:r>
          </w:p>
        </w:tc>
        <w:tc>
          <w:tcPr>
            <w:tcW w:w="1133" w:type="dxa"/>
            <w:tcBorders>
              <w:top w:val="nil"/>
            </w:tcBorders>
            <w:shd w:val="clear" w:color="auto" w:fill="auto"/>
            <w:vAlign w:val="bottom"/>
          </w:tcPr>
          <w:p w14:paraId="27A833DC" w14:textId="6762B738"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8.075.471</w:t>
            </w:r>
          </w:p>
        </w:tc>
        <w:tc>
          <w:tcPr>
            <w:tcW w:w="0" w:type="auto"/>
            <w:tcBorders>
              <w:top w:val="nil"/>
            </w:tcBorders>
            <w:shd w:val="clear" w:color="auto" w:fill="auto"/>
            <w:vAlign w:val="bottom"/>
          </w:tcPr>
          <w:p w14:paraId="7ADA5516" w14:textId="59DD803D"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8.075.471</w:t>
            </w:r>
          </w:p>
        </w:tc>
        <w:tc>
          <w:tcPr>
            <w:tcW w:w="0" w:type="auto"/>
            <w:tcBorders>
              <w:top w:val="nil"/>
            </w:tcBorders>
            <w:shd w:val="clear" w:color="auto" w:fill="auto"/>
            <w:vAlign w:val="bottom"/>
          </w:tcPr>
          <w:p w14:paraId="24FF28DA" w14:textId="218D9BBF"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6BCEF069" w14:textId="509CC454"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7CE9D557" w14:textId="2924B178"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31AA6BB5"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6.789.700</w:t>
            </w:r>
          </w:p>
        </w:tc>
      </w:tr>
      <w:tr w:rsidR="0023536E" w:rsidRPr="00083AEA" w14:paraId="76A9616E" w14:textId="77777777" w:rsidTr="009B2446">
        <w:trPr>
          <w:trHeight w:val="259"/>
        </w:trPr>
        <w:tc>
          <w:tcPr>
            <w:tcW w:w="3829" w:type="dxa"/>
            <w:tcBorders>
              <w:top w:val="nil"/>
            </w:tcBorders>
            <w:shd w:val="clear" w:color="auto" w:fill="auto"/>
            <w:vAlign w:val="bottom"/>
            <w:hideMark/>
          </w:tcPr>
          <w:p w14:paraId="0C3E12F7"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Obligaciones negociables subordinadas</w:t>
            </w:r>
          </w:p>
        </w:tc>
        <w:tc>
          <w:tcPr>
            <w:tcW w:w="1418" w:type="dxa"/>
            <w:tcBorders>
              <w:top w:val="nil"/>
            </w:tcBorders>
            <w:shd w:val="clear" w:color="auto" w:fill="auto"/>
            <w:vAlign w:val="bottom"/>
          </w:tcPr>
          <w:p w14:paraId="446A361E" w14:textId="6968A736"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2.119.888</w:t>
            </w:r>
          </w:p>
        </w:tc>
        <w:tc>
          <w:tcPr>
            <w:tcW w:w="1133" w:type="dxa"/>
            <w:tcBorders>
              <w:top w:val="nil"/>
            </w:tcBorders>
            <w:shd w:val="clear" w:color="auto" w:fill="auto"/>
            <w:vAlign w:val="bottom"/>
          </w:tcPr>
          <w:p w14:paraId="39AAF311" w14:textId="48E2C051"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2.119.888</w:t>
            </w:r>
          </w:p>
        </w:tc>
        <w:tc>
          <w:tcPr>
            <w:tcW w:w="0" w:type="auto"/>
            <w:tcBorders>
              <w:top w:val="nil"/>
            </w:tcBorders>
            <w:shd w:val="clear" w:color="auto" w:fill="auto"/>
            <w:vAlign w:val="bottom"/>
          </w:tcPr>
          <w:p w14:paraId="6E3BA8AB" w14:textId="2DDC33DF"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2.119.888</w:t>
            </w:r>
          </w:p>
        </w:tc>
        <w:tc>
          <w:tcPr>
            <w:tcW w:w="0" w:type="auto"/>
            <w:tcBorders>
              <w:top w:val="nil"/>
            </w:tcBorders>
            <w:shd w:val="clear" w:color="auto" w:fill="auto"/>
            <w:vAlign w:val="bottom"/>
          </w:tcPr>
          <w:p w14:paraId="01C28BA1" w14:textId="73BEBAC4"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1F735B5C" w14:textId="770FD95A"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tcBorders>
            <w:shd w:val="clear" w:color="auto" w:fill="auto"/>
            <w:vAlign w:val="bottom"/>
          </w:tcPr>
          <w:p w14:paraId="278490EC" w14:textId="36123E1E"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tcBorders>
            <w:shd w:val="clear" w:color="auto" w:fill="auto"/>
            <w:vAlign w:val="bottom"/>
            <w:hideMark/>
          </w:tcPr>
          <w:p w14:paraId="23B87691"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1.383.817</w:t>
            </w:r>
          </w:p>
        </w:tc>
      </w:tr>
      <w:tr w:rsidR="0023536E" w:rsidRPr="00083AEA" w14:paraId="13E2DCA9" w14:textId="77777777" w:rsidTr="009B2446">
        <w:trPr>
          <w:trHeight w:val="259"/>
        </w:trPr>
        <w:tc>
          <w:tcPr>
            <w:tcW w:w="3829" w:type="dxa"/>
            <w:tcBorders>
              <w:top w:val="nil"/>
            </w:tcBorders>
            <w:shd w:val="clear" w:color="auto" w:fill="auto"/>
            <w:vAlign w:val="bottom"/>
            <w:hideMark/>
          </w:tcPr>
          <w:p w14:paraId="5B0BA11C" w14:textId="77777777" w:rsidR="0023536E" w:rsidRPr="00083AEA" w:rsidRDefault="0023536E" w:rsidP="0023536E">
            <w:pPr>
              <w:rPr>
                <w:rFonts w:ascii="Arial" w:hAnsi="Arial" w:cs="Arial"/>
                <w:sz w:val="14"/>
                <w:szCs w:val="18"/>
                <w:lang w:eastAsia="es-AR"/>
              </w:rPr>
            </w:pPr>
            <w:r w:rsidRPr="00083AEA">
              <w:rPr>
                <w:rFonts w:ascii="Arial" w:hAnsi="Arial" w:cs="Arial"/>
                <w:sz w:val="14"/>
                <w:szCs w:val="18"/>
                <w:lang w:eastAsia="es-AR"/>
              </w:rPr>
              <w:t>Otros pasivos no financieros</w:t>
            </w:r>
          </w:p>
        </w:tc>
        <w:tc>
          <w:tcPr>
            <w:tcW w:w="1418" w:type="dxa"/>
            <w:tcBorders>
              <w:top w:val="nil"/>
              <w:bottom w:val="single" w:sz="4" w:space="0" w:color="363639"/>
            </w:tcBorders>
            <w:shd w:val="clear" w:color="auto" w:fill="auto"/>
            <w:vAlign w:val="bottom"/>
          </w:tcPr>
          <w:p w14:paraId="68309B97" w14:textId="0C3EA23F"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85.881</w:t>
            </w:r>
          </w:p>
        </w:tc>
        <w:tc>
          <w:tcPr>
            <w:tcW w:w="1133" w:type="dxa"/>
            <w:tcBorders>
              <w:top w:val="nil"/>
              <w:bottom w:val="single" w:sz="4" w:space="0" w:color="363639"/>
            </w:tcBorders>
            <w:shd w:val="clear" w:color="auto" w:fill="auto"/>
            <w:vAlign w:val="bottom"/>
          </w:tcPr>
          <w:p w14:paraId="2BCDE9B1" w14:textId="01048FDD"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85.881</w:t>
            </w:r>
          </w:p>
        </w:tc>
        <w:tc>
          <w:tcPr>
            <w:tcW w:w="0" w:type="auto"/>
            <w:tcBorders>
              <w:top w:val="nil"/>
              <w:bottom w:val="single" w:sz="4" w:space="0" w:color="363639"/>
            </w:tcBorders>
            <w:shd w:val="clear" w:color="auto" w:fill="auto"/>
            <w:vAlign w:val="bottom"/>
          </w:tcPr>
          <w:p w14:paraId="158AEC1E" w14:textId="068C3D56"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85.881</w:t>
            </w:r>
          </w:p>
        </w:tc>
        <w:tc>
          <w:tcPr>
            <w:tcW w:w="0" w:type="auto"/>
            <w:tcBorders>
              <w:top w:val="nil"/>
              <w:bottom w:val="single" w:sz="4" w:space="0" w:color="363639"/>
            </w:tcBorders>
            <w:shd w:val="clear" w:color="auto" w:fill="auto"/>
            <w:vAlign w:val="bottom"/>
          </w:tcPr>
          <w:p w14:paraId="0D90F2F3" w14:textId="4D19BF31"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bottom w:val="single" w:sz="4" w:space="0" w:color="363639"/>
            </w:tcBorders>
            <w:shd w:val="clear" w:color="auto" w:fill="auto"/>
            <w:vAlign w:val="bottom"/>
          </w:tcPr>
          <w:p w14:paraId="0CC502A9" w14:textId="6FC8A86B"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0" w:type="auto"/>
            <w:tcBorders>
              <w:top w:val="nil"/>
              <w:bottom w:val="single" w:sz="4" w:space="0" w:color="363639"/>
            </w:tcBorders>
            <w:shd w:val="clear" w:color="auto" w:fill="auto"/>
            <w:vAlign w:val="bottom"/>
          </w:tcPr>
          <w:p w14:paraId="7D03D193" w14:textId="7FF2071B" w:rsidR="0023536E" w:rsidRPr="00083AEA" w:rsidRDefault="001F76A5" w:rsidP="0023536E">
            <w:pPr>
              <w:jc w:val="right"/>
              <w:rPr>
                <w:rFonts w:ascii="Arial" w:hAnsi="Arial" w:cs="Arial"/>
                <w:sz w:val="14"/>
                <w:szCs w:val="18"/>
                <w:lang w:eastAsia="es-AR"/>
              </w:rPr>
            </w:pPr>
            <w:r>
              <w:rPr>
                <w:rFonts w:ascii="Arial" w:hAnsi="Arial" w:cs="Arial"/>
                <w:sz w:val="14"/>
                <w:szCs w:val="18"/>
                <w:lang w:eastAsia="es-AR"/>
              </w:rPr>
              <w:t>-</w:t>
            </w:r>
          </w:p>
        </w:tc>
        <w:tc>
          <w:tcPr>
            <w:tcW w:w="1056" w:type="dxa"/>
            <w:tcBorders>
              <w:top w:val="nil"/>
              <w:bottom w:val="single" w:sz="4" w:space="0" w:color="363639"/>
            </w:tcBorders>
            <w:shd w:val="clear" w:color="auto" w:fill="auto"/>
            <w:vAlign w:val="bottom"/>
            <w:hideMark/>
          </w:tcPr>
          <w:p w14:paraId="168BFFD9" w14:textId="77777777" w:rsidR="0023536E" w:rsidRPr="00083AEA" w:rsidRDefault="0023536E" w:rsidP="0023536E">
            <w:pPr>
              <w:jc w:val="right"/>
              <w:rPr>
                <w:rFonts w:ascii="Arial" w:hAnsi="Arial" w:cs="Arial"/>
                <w:sz w:val="14"/>
                <w:szCs w:val="18"/>
                <w:lang w:eastAsia="es-AR"/>
              </w:rPr>
            </w:pPr>
            <w:r w:rsidRPr="00083AEA">
              <w:rPr>
                <w:rFonts w:ascii="Arial" w:hAnsi="Arial" w:cs="Arial"/>
                <w:sz w:val="14"/>
                <w:szCs w:val="18"/>
                <w:lang w:eastAsia="es-AR"/>
              </w:rPr>
              <w:t>157.567</w:t>
            </w:r>
          </w:p>
        </w:tc>
      </w:tr>
      <w:tr w:rsidR="0023536E" w:rsidRPr="00083AEA" w14:paraId="5F51AF7E" w14:textId="77777777" w:rsidTr="009B2446">
        <w:trPr>
          <w:trHeight w:val="259"/>
        </w:trPr>
        <w:tc>
          <w:tcPr>
            <w:tcW w:w="3829" w:type="dxa"/>
            <w:shd w:val="clear" w:color="auto" w:fill="auto"/>
            <w:vAlign w:val="bottom"/>
            <w:hideMark/>
          </w:tcPr>
          <w:p w14:paraId="0137F50C" w14:textId="77777777" w:rsidR="0023536E" w:rsidRPr="00083AEA" w:rsidRDefault="0023536E" w:rsidP="0023536E">
            <w:pPr>
              <w:rPr>
                <w:rFonts w:ascii="Arial" w:hAnsi="Arial" w:cs="Arial"/>
                <w:b/>
                <w:bCs/>
                <w:sz w:val="14"/>
                <w:szCs w:val="18"/>
                <w:lang w:eastAsia="es-AR"/>
              </w:rPr>
            </w:pPr>
            <w:r w:rsidRPr="00083AEA">
              <w:rPr>
                <w:rFonts w:ascii="Arial" w:hAnsi="Arial" w:cs="Arial"/>
                <w:b/>
                <w:bCs/>
                <w:sz w:val="14"/>
                <w:szCs w:val="18"/>
                <w:lang w:eastAsia="es-AR"/>
              </w:rPr>
              <w:t>TOTAL PASIVO</w:t>
            </w:r>
          </w:p>
        </w:tc>
        <w:tc>
          <w:tcPr>
            <w:tcW w:w="1418" w:type="dxa"/>
            <w:tcBorders>
              <w:top w:val="single" w:sz="4" w:space="0" w:color="363639"/>
              <w:left w:val="nil"/>
              <w:bottom w:val="single" w:sz="4" w:space="0" w:color="363639"/>
            </w:tcBorders>
            <w:shd w:val="clear" w:color="auto" w:fill="auto"/>
            <w:vAlign w:val="bottom"/>
          </w:tcPr>
          <w:p w14:paraId="5AC082EF" w14:textId="7BA02C8C"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37.046.625</w:t>
            </w:r>
          </w:p>
        </w:tc>
        <w:tc>
          <w:tcPr>
            <w:tcW w:w="1133" w:type="dxa"/>
            <w:tcBorders>
              <w:top w:val="single" w:sz="4" w:space="0" w:color="363639"/>
              <w:bottom w:val="single" w:sz="4" w:space="0" w:color="363639"/>
            </w:tcBorders>
            <w:shd w:val="clear" w:color="auto" w:fill="auto"/>
            <w:vAlign w:val="bottom"/>
          </w:tcPr>
          <w:p w14:paraId="266BDFCC" w14:textId="6F4C5343"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37.046.625</w:t>
            </w:r>
          </w:p>
        </w:tc>
        <w:tc>
          <w:tcPr>
            <w:tcW w:w="0" w:type="auto"/>
            <w:tcBorders>
              <w:top w:val="single" w:sz="4" w:space="0" w:color="363639"/>
              <w:bottom w:val="single" w:sz="4" w:space="0" w:color="363639"/>
            </w:tcBorders>
            <w:shd w:val="clear" w:color="auto" w:fill="auto"/>
            <w:vAlign w:val="bottom"/>
          </w:tcPr>
          <w:p w14:paraId="1375534E" w14:textId="4B589791"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36.467.785</w:t>
            </w:r>
          </w:p>
        </w:tc>
        <w:tc>
          <w:tcPr>
            <w:tcW w:w="0" w:type="auto"/>
            <w:tcBorders>
              <w:top w:val="single" w:sz="4" w:space="0" w:color="363639"/>
              <w:bottom w:val="single" w:sz="4" w:space="0" w:color="363639"/>
            </w:tcBorders>
            <w:shd w:val="clear" w:color="auto" w:fill="auto"/>
            <w:vAlign w:val="bottom"/>
          </w:tcPr>
          <w:p w14:paraId="170981AC" w14:textId="621B3886"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575.147</w:t>
            </w:r>
          </w:p>
        </w:tc>
        <w:tc>
          <w:tcPr>
            <w:tcW w:w="0" w:type="auto"/>
            <w:tcBorders>
              <w:top w:val="single" w:sz="4" w:space="0" w:color="363639"/>
              <w:bottom w:val="single" w:sz="4" w:space="0" w:color="363639"/>
            </w:tcBorders>
            <w:shd w:val="clear" w:color="auto" w:fill="auto"/>
            <w:vAlign w:val="bottom"/>
          </w:tcPr>
          <w:p w14:paraId="62C06F03" w14:textId="49545B20"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w:t>
            </w:r>
          </w:p>
        </w:tc>
        <w:tc>
          <w:tcPr>
            <w:tcW w:w="0" w:type="auto"/>
            <w:tcBorders>
              <w:top w:val="single" w:sz="4" w:space="0" w:color="363639"/>
              <w:bottom w:val="single" w:sz="4" w:space="0" w:color="363639"/>
            </w:tcBorders>
            <w:shd w:val="clear" w:color="auto" w:fill="auto"/>
            <w:vAlign w:val="bottom"/>
          </w:tcPr>
          <w:p w14:paraId="0B6FA387" w14:textId="1D6AC969" w:rsidR="0023536E" w:rsidRPr="00083AEA" w:rsidRDefault="001F76A5" w:rsidP="0023536E">
            <w:pPr>
              <w:jc w:val="right"/>
              <w:rPr>
                <w:rFonts w:ascii="Arial" w:hAnsi="Arial" w:cs="Arial"/>
                <w:b/>
                <w:bCs/>
                <w:sz w:val="14"/>
                <w:szCs w:val="18"/>
                <w:lang w:eastAsia="es-AR"/>
              </w:rPr>
            </w:pPr>
            <w:r>
              <w:rPr>
                <w:rFonts w:ascii="Arial" w:hAnsi="Arial" w:cs="Arial"/>
                <w:b/>
                <w:bCs/>
                <w:sz w:val="14"/>
                <w:szCs w:val="18"/>
                <w:lang w:eastAsia="es-AR"/>
              </w:rPr>
              <w:t>3.693</w:t>
            </w:r>
          </w:p>
        </w:tc>
        <w:tc>
          <w:tcPr>
            <w:tcW w:w="1056" w:type="dxa"/>
            <w:tcBorders>
              <w:top w:val="single" w:sz="4" w:space="0" w:color="363639"/>
              <w:bottom w:val="single" w:sz="4" w:space="0" w:color="363639"/>
            </w:tcBorders>
            <w:shd w:val="clear" w:color="auto" w:fill="auto"/>
            <w:vAlign w:val="bottom"/>
            <w:hideMark/>
          </w:tcPr>
          <w:p w14:paraId="54E138ED" w14:textId="77777777" w:rsidR="0023536E" w:rsidRPr="00083AEA" w:rsidRDefault="0023536E" w:rsidP="0023536E">
            <w:pPr>
              <w:jc w:val="right"/>
              <w:rPr>
                <w:rFonts w:ascii="Arial" w:hAnsi="Arial" w:cs="Arial"/>
                <w:b/>
                <w:bCs/>
                <w:sz w:val="14"/>
                <w:szCs w:val="18"/>
                <w:lang w:eastAsia="es-AR"/>
              </w:rPr>
            </w:pPr>
            <w:r w:rsidRPr="00083AEA">
              <w:rPr>
                <w:rFonts w:ascii="Arial" w:hAnsi="Arial" w:cs="Arial"/>
                <w:b/>
                <w:bCs/>
                <w:sz w:val="14"/>
                <w:szCs w:val="18"/>
                <w:lang w:eastAsia="es-AR"/>
              </w:rPr>
              <w:t>40.962.825</w:t>
            </w:r>
          </w:p>
        </w:tc>
      </w:tr>
    </w:tbl>
    <w:p w14:paraId="13756B5B" w14:textId="4249E04D" w:rsidR="007A7EC4" w:rsidRPr="007B34B2" w:rsidRDefault="007A7EC4" w:rsidP="008962C9"/>
    <w:p w14:paraId="1AA438E9" w14:textId="18AA1BB1" w:rsidR="007A7EC4" w:rsidRPr="007B34B2" w:rsidRDefault="007A7EC4" w:rsidP="008962C9"/>
    <w:p w14:paraId="2030A9D3" w14:textId="77777777" w:rsidR="0023536E" w:rsidRDefault="0023536E" w:rsidP="008962C9">
      <w:pPr>
        <w:sectPr w:rsidR="0023536E" w:rsidSect="00425F99">
          <w:headerReference w:type="default" r:id="rId63"/>
          <w:pgSz w:w="11907" w:h="16839" w:code="9"/>
          <w:pgMar w:top="1418" w:right="1701" w:bottom="1418" w:left="1701" w:header="567" w:footer="0" w:gutter="0"/>
          <w:paperSrc w:first="256" w:other="256"/>
          <w:cols w:space="720"/>
          <w:docGrid w:linePitch="326"/>
        </w:sectPr>
      </w:pPr>
    </w:p>
    <w:tbl>
      <w:tblPr>
        <w:tblW w:w="8700" w:type="dxa"/>
        <w:tblInd w:w="75" w:type="dxa"/>
        <w:tblCellMar>
          <w:left w:w="70" w:type="dxa"/>
          <w:right w:w="70" w:type="dxa"/>
        </w:tblCellMar>
        <w:tblLook w:val="04A0" w:firstRow="1" w:lastRow="0" w:firstColumn="1" w:lastColumn="0" w:noHBand="0" w:noVBand="1"/>
      </w:tblPr>
      <w:tblGrid>
        <w:gridCol w:w="5000"/>
        <w:gridCol w:w="1220"/>
        <w:gridCol w:w="1160"/>
        <w:gridCol w:w="1320"/>
      </w:tblGrid>
      <w:tr w:rsidR="0023536E" w:rsidRPr="0023536E" w14:paraId="76878FEA" w14:textId="77777777" w:rsidTr="0023536E">
        <w:trPr>
          <w:trHeight w:val="300"/>
        </w:trPr>
        <w:tc>
          <w:tcPr>
            <w:tcW w:w="500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6F76F0F" w14:textId="77777777" w:rsidR="0023536E" w:rsidRPr="0023536E" w:rsidRDefault="0023536E" w:rsidP="0023536E">
            <w:pPr>
              <w:jc w:val="center"/>
              <w:rPr>
                <w:rFonts w:ascii="Arial" w:hAnsi="Arial" w:cs="Arial"/>
                <w:sz w:val="18"/>
                <w:szCs w:val="18"/>
                <w:lang w:eastAsia="es-AR"/>
              </w:rPr>
            </w:pPr>
            <w:r w:rsidRPr="0023536E">
              <w:rPr>
                <w:rFonts w:ascii="Arial" w:hAnsi="Arial" w:cs="Arial"/>
                <w:b/>
                <w:bCs/>
                <w:sz w:val="18"/>
                <w:szCs w:val="18"/>
                <w:lang w:eastAsia="es-AR"/>
              </w:rPr>
              <w:t>Situación</w:t>
            </w:r>
            <w:r w:rsidRPr="0023536E">
              <w:rPr>
                <w:rFonts w:ascii="Arial" w:hAnsi="Arial" w:cs="Arial"/>
                <w:b/>
                <w:bCs/>
                <w:sz w:val="18"/>
                <w:szCs w:val="18"/>
                <w:lang w:eastAsia="es-AR"/>
              </w:rPr>
              <w:br/>
              <w:t>Conceptos</w:t>
            </w:r>
          </w:p>
        </w:tc>
        <w:tc>
          <w:tcPr>
            <w:tcW w:w="1220"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5D6C3630" w14:textId="77777777" w:rsidR="0023536E" w:rsidRPr="0023536E" w:rsidRDefault="0023536E" w:rsidP="0023536E">
            <w:pPr>
              <w:jc w:val="center"/>
              <w:rPr>
                <w:rFonts w:ascii="Arial" w:hAnsi="Arial" w:cs="Arial"/>
                <w:b/>
                <w:bCs/>
                <w:sz w:val="18"/>
                <w:szCs w:val="18"/>
                <w:lang w:eastAsia="es-AR"/>
              </w:rPr>
            </w:pPr>
            <w:r w:rsidRPr="0023536E">
              <w:rPr>
                <w:rFonts w:ascii="Arial" w:hAnsi="Arial" w:cs="Arial"/>
                <w:b/>
                <w:bCs/>
                <w:sz w:val="18"/>
                <w:szCs w:val="18"/>
                <w:lang w:eastAsia="es-AR"/>
              </w:rPr>
              <w:t>Normal</w:t>
            </w:r>
          </w:p>
        </w:tc>
        <w:tc>
          <w:tcPr>
            <w:tcW w:w="2480" w:type="dxa"/>
            <w:gridSpan w:val="2"/>
            <w:tcBorders>
              <w:top w:val="single" w:sz="4" w:space="0" w:color="363639"/>
              <w:left w:val="nil"/>
              <w:bottom w:val="single" w:sz="4" w:space="0" w:color="363639"/>
              <w:right w:val="nil"/>
            </w:tcBorders>
            <w:shd w:val="clear" w:color="auto" w:fill="BFBFBF" w:themeFill="background1" w:themeFillShade="BF"/>
            <w:hideMark/>
          </w:tcPr>
          <w:p w14:paraId="1B67C1EE" w14:textId="77777777" w:rsidR="0023536E" w:rsidRPr="0023536E" w:rsidRDefault="0023536E" w:rsidP="0023536E">
            <w:pPr>
              <w:jc w:val="center"/>
              <w:rPr>
                <w:rFonts w:ascii="Arial" w:hAnsi="Arial" w:cs="Arial"/>
                <w:b/>
                <w:bCs/>
                <w:sz w:val="18"/>
                <w:szCs w:val="18"/>
                <w:lang w:eastAsia="es-AR"/>
              </w:rPr>
            </w:pPr>
            <w:r w:rsidRPr="0023536E">
              <w:rPr>
                <w:rFonts w:ascii="Arial" w:hAnsi="Arial" w:cs="Arial"/>
                <w:b/>
                <w:bCs/>
                <w:sz w:val="18"/>
                <w:szCs w:val="18"/>
                <w:lang w:eastAsia="es-AR"/>
              </w:rPr>
              <w:t>Total</w:t>
            </w:r>
          </w:p>
        </w:tc>
      </w:tr>
      <w:tr w:rsidR="0023536E" w:rsidRPr="0023536E" w14:paraId="4CA89324" w14:textId="77777777" w:rsidTr="0023536E">
        <w:trPr>
          <w:trHeight w:val="279"/>
        </w:trPr>
        <w:tc>
          <w:tcPr>
            <w:tcW w:w="500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49A8F6A6" w14:textId="77777777" w:rsidR="0023536E" w:rsidRPr="0023536E" w:rsidRDefault="0023536E" w:rsidP="0023536E">
            <w:pPr>
              <w:rPr>
                <w:rFonts w:ascii="Arial" w:hAnsi="Arial" w:cs="Arial"/>
                <w:sz w:val="18"/>
                <w:szCs w:val="18"/>
                <w:lang w:eastAsia="es-AR"/>
              </w:rPr>
            </w:pPr>
          </w:p>
        </w:tc>
        <w:tc>
          <w:tcPr>
            <w:tcW w:w="1220"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20B14D8" w14:textId="77777777" w:rsidR="0023536E" w:rsidRPr="0023536E" w:rsidRDefault="0023536E" w:rsidP="0023536E">
            <w:pPr>
              <w:rPr>
                <w:rFonts w:ascii="Arial" w:hAnsi="Arial" w:cs="Arial"/>
                <w:b/>
                <w:bCs/>
                <w:sz w:val="18"/>
                <w:szCs w:val="18"/>
                <w:lang w:eastAsia="es-AR"/>
              </w:rPr>
            </w:pPr>
          </w:p>
        </w:tc>
        <w:tc>
          <w:tcPr>
            <w:tcW w:w="1160" w:type="dxa"/>
            <w:tcBorders>
              <w:top w:val="nil"/>
              <w:left w:val="nil"/>
              <w:bottom w:val="single" w:sz="4" w:space="0" w:color="363639"/>
              <w:right w:val="single" w:sz="4" w:space="0" w:color="363639"/>
            </w:tcBorders>
            <w:shd w:val="clear" w:color="auto" w:fill="BFBFBF" w:themeFill="background1" w:themeFillShade="BF"/>
            <w:vAlign w:val="center"/>
            <w:hideMark/>
          </w:tcPr>
          <w:p w14:paraId="2E2B9ACE" w14:textId="10C10994" w:rsidR="0023536E" w:rsidRPr="0023536E" w:rsidRDefault="0023536E" w:rsidP="0023536E">
            <w:pPr>
              <w:jc w:val="center"/>
              <w:rPr>
                <w:rFonts w:ascii="Arial" w:hAnsi="Arial" w:cs="Arial"/>
                <w:b/>
                <w:bCs/>
                <w:sz w:val="18"/>
                <w:szCs w:val="18"/>
                <w:lang w:eastAsia="es-AR"/>
              </w:rPr>
            </w:pPr>
            <w:r w:rsidRPr="0023536E">
              <w:rPr>
                <w:rFonts w:ascii="Arial" w:hAnsi="Arial" w:cs="Arial"/>
                <w:b/>
                <w:bCs/>
                <w:sz w:val="18"/>
                <w:szCs w:val="18"/>
                <w:lang w:eastAsia="es-AR"/>
              </w:rPr>
              <w:t>31/12/201</w:t>
            </w:r>
            <w:r>
              <w:rPr>
                <w:rFonts w:ascii="Arial" w:hAnsi="Arial" w:cs="Arial"/>
                <w:b/>
                <w:bCs/>
                <w:sz w:val="18"/>
                <w:szCs w:val="18"/>
                <w:lang w:eastAsia="es-AR"/>
              </w:rPr>
              <w:t>9</w:t>
            </w:r>
          </w:p>
        </w:tc>
        <w:tc>
          <w:tcPr>
            <w:tcW w:w="1320" w:type="dxa"/>
            <w:tcBorders>
              <w:top w:val="nil"/>
              <w:left w:val="nil"/>
              <w:bottom w:val="single" w:sz="4" w:space="0" w:color="363639"/>
              <w:right w:val="single" w:sz="4" w:space="0" w:color="363639"/>
            </w:tcBorders>
            <w:shd w:val="clear" w:color="auto" w:fill="BFBFBF" w:themeFill="background1" w:themeFillShade="BF"/>
            <w:vAlign w:val="center"/>
            <w:hideMark/>
          </w:tcPr>
          <w:p w14:paraId="59DE9FE2" w14:textId="078D9C7E" w:rsidR="0023536E" w:rsidRPr="0023536E" w:rsidRDefault="0023536E" w:rsidP="0023536E">
            <w:pPr>
              <w:jc w:val="center"/>
              <w:rPr>
                <w:rFonts w:ascii="Arial" w:hAnsi="Arial" w:cs="Arial"/>
                <w:b/>
                <w:bCs/>
                <w:sz w:val="18"/>
                <w:szCs w:val="18"/>
                <w:lang w:eastAsia="es-AR"/>
              </w:rPr>
            </w:pPr>
            <w:r w:rsidRPr="0023536E">
              <w:rPr>
                <w:rFonts w:ascii="Arial" w:hAnsi="Arial" w:cs="Arial"/>
                <w:b/>
                <w:bCs/>
                <w:sz w:val="18"/>
                <w:szCs w:val="18"/>
                <w:lang w:eastAsia="es-AR"/>
              </w:rPr>
              <w:t>31/12/201</w:t>
            </w:r>
            <w:r>
              <w:rPr>
                <w:rFonts w:ascii="Arial" w:hAnsi="Arial" w:cs="Arial"/>
                <w:b/>
                <w:bCs/>
                <w:sz w:val="18"/>
                <w:szCs w:val="18"/>
                <w:lang w:eastAsia="es-AR"/>
              </w:rPr>
              <w:t>8</w:t>
            </w:r>
          </w:p>
        </w:tc>
      </w:tr>
      <w:tr w:rsidR="0023536E" w:rsidRPr="0023536E" w14:paraId="29760CC5" w14:textId="77777777" w:rsidTr="0023536E">
        <w:trPr>
          <w:trHeight w:val="201"/>
        </w:trPr>
        <w:tc>
          <w:tcPr>
            <w:tcW w:w="5000" w:type="dxa"/>
            <w:tcBorders>
              <w:top w:val="nil"/>
              <w:left w:val="nil"/>
              <w:bottom w:val="nil"/>
              <w:right w:val="nil"/>
            </w:tcBorders>
            <w:shd w:val="clear" w:color="auto" w:fill="auto"/>
            <w:hideMark/>
          </w:tcPr>
          <w:p w14:paraId="7A21B772" w14:textId="77777777" w:rsidR="0023536E" w:rsidRPr="0023536E" w:rsidRDefault="0023536E" w:rsidP="0023536E">
            <w:pPr>
              <w:jc w:val="center"/>
              <w:rPr>
                <w:rFonts w:ascii="Arial" w:hAnsi="Arial" w:cs="Arial"/>
                <w:b/>
                <w:bCs/>
                <w:sz w:val="18"/>
                <w:szCs w:val="18"/>
                <w:lang w:eastAsia="es-AR"/>
              </w:rPr>
            </w:pPr>
          </w:p>
        </w:tc>
        <w:tc>
          <w:tcPr>
            <w:tcW w:w="1220" w:type="dxa"/>
            <w:tcBorders>
              <w:top w:val="nil"/>
              <w:left w:val="nil"/>
              <w:bottom w:val="nil"/>
              <w:right w:val="nil"/>
            </w:tcBorders>
            <w:shd w:val="clear" w:color="auto" w:fill="auto"/>
            <w:vAlign w:val="center"/>
            <w:hideMark/>
          </w:tcPr>
          <w:p w14:paraId="7A879BC7" w14:textId="77777777" w:rsidR="0023536E" w:rsidRPr="0023536E" w:rsidRDefault="0023536E" w:rsidP="0023536E">
            <w:pPr>
              <w:jc w:val="center"/>
              <w:rPr>
                <w:sz w:val="18"/>
                <w:szCs w:val="18"/>
                <w:lang w:eastAsia="es-AR"/>
              </w:rPr>
            </w:pPr>
          </w:p>
        </w:tc>
        <w:tc>
          <w:tcPr>
            <w:tcW w:w="1160" w:type="dxa"/>
            <w:tcBorders>
              <w:top w:val="nil"/>
              <w:left w:val="nil"/>
              <w:bottom w:val="nil"/>
              <w:right w:val="nil"/>
            </w:tcBorders>
            <w:shd w:val="clear" w:color="auto" w:fill="auto"/>
            <w:hideMark/>
          </w:tcPr>
          <w:p w14:paraId="3F701BCD" w14:textId="77777777" w:rsidR="0023536E" w:rsidRPr="0023536E" w:rsidRDefault="0023536E" w:rsidP="0023536E">
            <w:pPr>
              <w:rPr>
                <w:sz w:val="18"/>
                <w:szCs w:val="18"/>
                <w:lang w:eastAsia="es-AR"/>
              </w:rPr>
            </w:pPr>
          </w:p>
        </w:tc>
        <w:tc>
          <w:tcPr>
            <w:tcW w:w="1320" w:type="dxa"/>
            <w:tcBorders>
              <w:top w:val="nil"/>
              <w:left w:val="nil"/>
              <w:bottom w:val="nil"/>
              <w:right w:val="nil"/>
            </w:tcBorders>
            <w:shd w:val="clear" w:color="auto" w:fill="auto"/>
            <w:hideMark/>
          </w:tcPr>
          <w:p w14:paraId="4AE760B6" w14:textId="77777777" w:rsidR="0023536E" w:rsidRPr="0023536E" w:rsidRDefault="0023536E" w:rsidP="0023536E">
            <w:pPr>
              <w:rPr>
                <w:sz w:val="18"/>
                <w:szCs w:val="18"/>
                <w:lang w:eastAsia="es-AR"/>
              </w:rPr>
            </w:pPr>
          </w:p>
        </w:tc>
      </w:tr>
      <w:tr w:rsidR="00A30C77" w:rsidRPr="0023536E" w14:paraId="716967C4" w14:textId="77777777" w:rsidTr="0023536E">
        <w:trPr>
          <w:trHeight w:val="282"/>
        </w:trPr>
        <w:tc>
          <w:tcPr>
            <w:tcW w:w="5000" w:type="dxa"/>
            <w:tcBorders>
              <w:top w:val="nil"/>
              <w:left w:val="nil"/>
              <w:bottom w:val="nil"/>
              <w:right w:val="nil"/>
            </w:tcBorders>
            <w:shd w:val="clear" w:color="auto" w:fill="auto"/>
            <w:hideMark/>
          </w:tcPr>
          <w:p w14:paraId="30D4B590" w14:textId="77777777" w:rsidR="00A30C77" w:rsidRPr="0023536E" w:rsidRDefault="00A30C77" w:rsidP="00A30C77">
            <w:pPr>
              <w:rPr>
                <w:rFonts w:ascii="Arial" w:hAnsi="Arial" w:cs="Arial"/>
                <w:b/>
                <w:bCs/>
                <w:sz w:val="18"/>
                <w:szCs w:val="18"/>
                <w:lang w:eastAsia="es-AR"/>
              </w:rPr>
            </w:pPr>
            <w:r w:rsidRPr="0023536E">
              <w:rPr>
                <w:rFonts w:ascii="Arial" w:hAnsi="Arial" w:cs="Arial"/>
                <w:b/>
                <w:bCs/>
                <w:sz w:val="18"/>
                <w:szCs w:val="18"/>
                <w:lang w:eastAsia="es-AR"/>
              </w:rPr>
              <w:t>1. Préstamos y otras financiaciones</w:t>
            </w:r>
          </w:p>
        </w:tc>
        <w:tc>
          <w:tcPr>
            <w:tcW w:w="1220" w:type="dxa"/>
            <w:tcBorders>
              <w:top w:val="nil"/>
              <w:left w:val="nil"/>
              <w:bottom w:val="nil"/>
              <w:right w:val="nil"/>
            </w:tcBorders>
            <w:shd w:val="clear" w:color="auto" w:fill="auto"/>
          </w:tcPr>
          <w:p w14:paraId="6B46208A" w14:textId="240DC037"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7C5B360E" w14:textId="0E8588E1"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2.068.460</w:t>
            </w:r>
          </w:p>
        </w:tc>
        <w:tc>
          <w:tcPr>
            <w:tcW w:w="1320" w:type="dxa"/>
            <w:tcBorders>
              <w:top w:val="nil"/>
              <w:left w:val="nil"/>
              <w:bottom w:val="nil"/>
              <w:right w:val="nil"/>
            </w:tcBorders>
            <w:shd w:val="clear" w:color="auto" w:fill="auto"/>
          </w:tcPr>
          <w:p w14:paraId="5235B4E4" w14:textId="0D42A2CC"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3.249.111</w:t>
            </w:r>
          </w:p>
        </w:tc>
      </w:tr>
      <w:tr w:rsidR="00A30C77" w:rsidRPr="0023536E" w14:paraId="6420369A" w14:textId="77777777" w:rsidTr="0023536E">
        <w:trPr>
          <w:trHeight w:val="259"/>
        </w:trPr>
        <w:tc>
          <w:tcPr>
            <w:tcW w:w="5000" w:type="dxa"/>
            <w:tcBorders>
              <w:top w:val="nil"/>
              <w:left w:val="nil"/>
              <w:bottom w:val="nil"/>
              <w:right w:val="nil"/>
            </w:tcBorders>
            <w:shd w:val="clear" w:color="auto" w:fill="auto"/>
            <w:hideMark/>
          </w:tcPr>
          <w:p w14:paraId="73BEBB58" w14:textId="77777777" w:rsidR="00A30C77" w:rsidRPr="0023536E" w:rsidRDefault="00A30C77" w:rsidP="00A30C77">
            <w:pPr>
              <w:ind w:firstLineChars="200" w:firstLine="360"/>
              <w:rPr>
                <w:rFonts w:ascii="Arial" w:hAnsi="Arial" w:cs="Arial"/>
                <w:sz w:val="18"/>
                <w:szCs w:val="18"/>
                <w:lang w:eastAsia="es-AR"/>
              </w:rPr>
            </w:pPr>
            <w:r w:rsidRPr="0023536E">
              <w:rPr>
                <w:rFonts w:ascii="Arial" w:hAnsi="Arial" w:cs="Arial"/>
                <w:sz w:val="18"/>
                <w:szCs w:val="18"/>
                <w:lang w:eastAsia="es-AR"/>
              </w:rPr>
              <w:t>-Adelantos</w:t>
            </w:r>
          </w:p>
        </w:tc>
        <w:tc>
          <w:tcPr>
            <w:tcW w:w="1220" w:type="dxa"/>
            <w:tcBorders>
              <w:top w:val="nil"/>
              <w:left w:val="nil"/>
              <w:bottom w:val="nil"/>
              <w:right w:val="nil"/>
            </w:tcBorders>
            <w:shd w:val="clear" w:color="auto" w:fill="auto"/>
          </w:tcPr>
          <w:p w14:paraId="77260398" w14:textId="77777777" w:rsidR="00A30C77" w:rsidRPr="0023536E" w:rsidRDefault="00A30C77" w:rsidP="00A30C77">
            <w:pPr>
              <w:ind w:firstLineChars="200" w:firstLine="360"/>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0864DC54" w14:textId="77777777" w:rsidR="00A30C77" w:rsidRPr="0023536E" w:rsidRDefault="00A30C77" w:rsidP="00A30C77">
            <w:pPr>
              <w:jc w:val="right"/>
              <w:rPr>
                <w:sz w:val="18"/>
                <w:szCs w:val="18"/>
                <w:lang w:eastAsia="es-AR"/>
              </w:rPr>
            </w:pPr>
          </w:p>
        </w:tc>
        <w:tc>
          <w:tcPr>
            <w:tcW w:w="1320" w:type="dxa"/>
            <w:tcBorders>
              <w:top w:val="nil"/>
              <w:left w:val="nil"/>
              <w:bottom w:val="nil"/>
              <w:right w:val="nil"/>
            </w:tcBorders>
            <w:shd w:val="clear" w:color="auto" w:fill="auto"/>
          </w:tcPr>
          <w:p w14:paraId="20652A9B" w14:textId="77777777" w:rsidR="00A30C77" w:rsidRPr="00A30C77" w:rsidRDefault="00A30C77" w:rsidP="00A30C77">
            <w:pPr>
              <w:jc w:val="right"/>
              <w:rPr>
                <w:sz w:val="18"/>
                <w:szCs w:val="18"/>
                <w:lang w:eastAsia="es-AR"/>
              </w:rPr>
            </w:pPr>
          </w:p>
        </w:tc>
      </w:tr>
      <w:tr w:rsidR="00A30C77" w:rsidRPr="0023536E" w14:paraId="723A7684" w14:textId="77777777" w:rsidTr="0023536E">
        <w:trPr>
          <w:trHeight w:val="259"/>
        </w:trPr>
        <w:tc>
          <w:tcPr>
            <w:tcW w:w="5000" w:type="dxa"/>
            <w:tcBorders>
              <w:top w:val="nil"/>
              <w:left w:val="nil"/>
              <w:bottom w:val="nil"/>
              <w:right w:val="nil"/>
            </w:tcBorders>
            <w:shd w:val="clear" w:color="auto" w:fill="auto"/>
            <w:hideMark/>
          </w:tcPr>
          <w:p w14:paraId="42DB97EC"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"A"</w:t>
            </w:r>
          </w:p>
        </w:tc>
        <w:tc>
          <w:tcPr>
            <w:tcW w:w="1220" w:type="dxa"/>
            <w:tcBorders>
              <w:top w:val="nil"/>
              <w:left w:val="nil"/>
              <w:bottom w:val="nil"/>
              <w:right w:val="nil"/>
            </w:tcBorders>
            <w:shd w:val="clear" w:color="auto" w:fill="auto"/>
          </w:tcPr>
          <w:p w14:paraId="7D601ABD" w14:textId="6420E6C9"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6AEEB4FA" w14:textId="33E0DED4"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62A1BF72" w14:textId="5EFECF6C"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42DEF64E" w14:textId="77777777" w:rsidTr="0023536E">
        <w:trPr>
          <w:trHeight w:val="259"/>
        </w:trPr>
        <w:tc>
          <w:tcPr>
            <w:tcW w:w="5000" w:type="dxa"/>
            <w:tcBorders>
              <w:top w:val="nil"/>
              <w:left w:val="nil"/>
              <w:bottom w:val="nil"/>
              <w:right w:val="nil"/>
            </w:tcBorders>
            <w:shd w:val="clear" w:color="auto" w:fill="auto"/>
            <w:hideMark/>
          </w:tcPr>
          <w:p w14:paraId="47E19AB1"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“B”</w:t>
            </w:r>
          </w:p>
        </w:tc>
        <w:tc>
          <w:tcPr>
            <w:tcW w:w="1220" w:type="dxa"/>
            <w:tcBorders>
              <w:top w:val="nil"/>
              <w:left w:val="nil"/>
              <w:bottom w:val="nil"/>
              <w:right w:val="nil"/>
            </w:tcBorders>
            <w:shd w:val="clear" w:color="auto" w:fill="auto"/>
          </w:tcPr>
          <w:p w14:paraId="34F85224" w14:textId="5148F2CE"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357400C0" w14:textId="54D1429B"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3E4D9F24" w14:textId="6B00691F"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0A95A100" w14:textId="77777777" w:rsidTr="0023536E">
        <w:trPr>
          <w:trHeight w:val="259"/>
        </w:trPr>
        <w:tc>
          <w:tcPr>
            <w:tcW w:w="5000" w:type="dxa"/>
            <w:tcBorders>
              <w:top w:val="nil"/>
              <w:left w:val="nil"/>
              <w:bottom w:val="nil"/>
              <w:right w:val="nil"/>
            </w:tcBorders>
            <w:shd w:val="clear" w:color="auto" w:fill="auto"/>
            <w:hideMark/>
          </w:tcPr>
          <w:p w14:paraId="7E9BDA16"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Sin garantías  ni contragarantías preferidas</w:t>
            </w:r>
          </w:p>
        </w:tc>
        <w:tc>
          <w:tcPr>
            <w:tcW w:w="1220" w:type="dxa"/>
            <w:tcBorders>
              <w:top w:val="nil"/>
              <w:left w:val="nil"/>
              <w:bottom w:val="nil"/>
              <w:right w:val="nil"/>
            </w:tcBorders>
            <w:shd w:val="clear" w:color="auto" w:fill="auto"/>
          </w:tcPr>
          <w:p w14:paraId="3C0A7055" w14:textId="6C5AC6AE"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77844DE8" w14:textId="539D5145" w:rsidR="00A30C77" w:rsidRPr="0023536E" w:rsidRDefault="00D02B08" w:rsidP="00A30C77">
            <w:pPr>
              <w:jc w:val="right"/>
              <w:rPr>
                <w:rFonts w:ascii="Arial" w:hAnsi="Arial" w:cs="Arial"/>
                <w:sz w:val="18"/>
                <w:szCs w:val="18"/>
                <w:lang w:eastAsia="es-AR"/>
              </w:rPr>
            </w:pPr>
            <w:r>
              <w:rPr>
                <w:rFonts w:ascii="Arial" w:hAnsi="Arial" w:cs="Arial"/>
                <w:sz w:val="18"/>
                <w:szCs w:val="18"/>
                <w:lang w:eastAsia="es-AR"/>
              </w:rPr>
              <w:t>5.198</w:t>
            </w:r>
          </w:p>
        </w:tc>
        <w:tc>
          <w:tcPr>
            <w:tcW w:w="1320" w:type="dxa"/>
            <w:tcBorders>
              <w:top w:val="nil"/>
              <w:left w:val="nil"/>
              <w:bottom w:val="nil"/>
              <w:right w:val="nil"/>
            </w:tcBorders>
            <w:shd w:val="clear" w:color="auto" w:fill="auto"/>
          </w:tcPr>
          <w:p w14:paraId="29ADC61A" w14:textId="35D494E0"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62.761</w:t>
            </w:r>
          </w:p>
        </w:tc>
      </w:tr>
      <w:tr w:rsidR="00A30C77" w:rsidRPr="0023536E" w14:paraId="044A20EF" w14:textId="77777777" w:rsidTr="0023536E">
        <w:trPr>
          <w:trHeight w:val="259"/>
        </w:trPr>
        <w:tc>
          <w:tcPr>
            <w:tcW w:w="5000" w:type="dxa"/>
            <w:tcBorders>
              <w:top w:val="nil"/>
              <w:left w:val="nil"/>
              <w:bottom w:val="nil"/>
              <w:right w:val="nil"/>
            </w:tcBorders>
            <w:shd w:val="clear" w:color="auto" w:fill="auto"/>
            <w:hideMark/>
          </w:tcPr>
          <w:p w14:paraId="294E3067" w14:textId="77777777" w:rsidR="00A30C77" w:rsidRPr="0023536E" w:rsidRDefault="00A30C77" w:rsidP="00A30C77">
            <w:pPr>
              <w:ind w:firstLineChars="200" w:firstLine="360"/>
              <w:rPr>
                <w:rFonts w:ascii="Arial" w:hAnsi="Arial" w:cs="Arial"/>
                <w:sz w:val="18"/>
                <w:szCs w:val="18"/>
                <w:lang w:eastAsia="es-AR"/>
              </w:rPr>
            </w:pPr>
            <w:r w:rsidRPr="0023536E">
              <w:rPr>
                <w:rFonts w:ascii="Arial" w:hAnsi="Arial" w:cs="Arial"/>
                <w:sz w:val="18"/>
                <w:szCs w:val="18"/>
                <w:lang w:eastAsia="es-AR"/>
              </w:rPr>
              <w:t>-Documentos</w:t>
            </w:r>
          </w:p>
        </w:tc>
        <w:tc>
          <w:tcPr>
            <w:tcW w:w="1220" w:type="dxa"/>
            <w:tcBorders>
              <w:top w:val="nil"/>
              <w:left w:val="nil"/>
              <w:bottom w:val="nil"/>
              <w:right w:val="nil"/>
            </w:tcBorders>
            <w:shd w:val="clear" w:color="auto" w:fill="auto"/>
          </w:tcPr>
          <w:p w14:paraId="37A3AA1F" w14:textId="77777777" w:rsidR="00A30C77" w:rsidRPr="0023536E" w:rsidRDefault="00A30C77" w:rsidP="00A30C77">
            <w:pPr>
              <w:ind w:firstLineChars="200" w:firstLine="360"/>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1CC244C6" w14:textId="77777777" w:rsidR="00A30C77" w:rsidRPr="0023536E" w:rsidRDefault="00A30C77" w:rsidP="00A30C77">
            <w:pPr>
              <w:jc w:val="right"/>
              <w:rPr>
                <w:sz w:val="18"/>
                <w:szCs w:val="18"/>
                <w:lang w:eastAsia="es-AR"/>
              </w:rPr>
            </w:pPr>
          </w:p>
        </w:tc>
        <w:tc>
          <w:tcPr>
            <w:tcW w:w="1320" w:type="dxa"/>
            <w:tcBorders>
              <w:top w:val="nil"/>
              <w:left w:val="nil"/>
              <w:bottom w:val="nil"/>
              <w:right w:val="nil"/>
            </w:tcBorders>
            <w:shd w:val="clear" w:color="auto" w:fill="auto"/>
          </w:tcPr>
          <w:p w14:paraId="63D52DC7" w14:textId="77777777" w:rsidR="00A30C77" w:rsidRPr="00A30C77" w:rsidRDefault="00A30C77" w:rsidP="00A30C77">
            <w:pPr>
              <w:jc w:val="right"/>
              <w:rPr>
                <w:sz w:val="18"/>
                <w:szCs w:val="18"/>
                <w:lang w:eastAsia="es-AR"/>
              </w:rPr>
            </w:pPr>
          </w:p>
        </w:tc>
      </w:tr>
      <w:tr w:rsidR="00A30C77" w:rsidRPr="0023536E" w14:paraId="3CF6A3C5" w14:textId="77777777" w:rsidTr="0023536E">
        <w:trPr>
          <w:trHeight w:val="259"/>
        </w:trPr>
        <w:tc>
          <w:tcPr>
            <w:tcW w:w="5000" w:type="dxa"/>
            <w:tcBorders>
              <w:top w:val="nil"/>
              <w:left w:val="nil"/>
              <w:bottom w:val="nil"/>
              <w:right w:val="nil"/>
            </w:tcBorders>
            <w:shd w:val="clear" w:color="auto" w:fill="auto"/>
            <w:hideMark/>
          </w:tcPr>
          <w:p w14:paraId="2ADE2B0C"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"A"</w:t>
            </w:r>
          </w:p>
        </w:tc>
        <w:tc>
          <w:tcPr>
            <w:tcW w:w="1220" w:type="dxa"/>
            <w:tcBorders>
              <w:top w:val="nil"/>
              <w:left w:val="nil"/>
              <w:bottom w:val="nil"/>
              <w:right w:val="nil"/>
            </w:tcBorders>
            <w:shd w:val="clear" w:color="auto" w:fill="auto"/>
          </w:tcPr>
          <w:p w14:paraId="28262402" w14:textId="4D569027"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5A40207D" w14:textId="7AF51B1B"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692B4B5A" w14:textId="004DBF2A"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0B78A910" w14:textId="77777777" w:rsidTr="0023536E">
        <w:trPr>
          <w:trHeight w:val="259"/>
        </w:trPr>
        <w:tc>
          <w:tcPr>
            <w:tcW w:w="5000" w:type="dxa"/>
            <w:tcBorders>
              <w:top w:val="nil"/>
              <w:left w:val="nil"/>
              <w:bottom w:val="nil"/>
              <w:right w:val="nil"/>
            </w:tcBorders>
            <w:shd w:val="clear" w:color="auto" w:fill="auto"/>
            <w:hideMark/>
          </w:tcPr>
          <w:p w14:paraId="5CF5A1DE"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“B”</w:t>
            </w:r>
          </w:p>
        </w:tc>
        <w:tc>
          <w:tcPr>
            <w:tcW w:w="1220" w:type="dxa"/>
            <w:tcBorders>
              <w:top w:val="nil"/>
              <w:left w:val="nil"/>
              <w:bottom w:val="nil"/>
              <w:right w:val="nil"/>
            </w:tcBorders>
            <w:shd w:val="clear" w:color="auto" w:fill="auto"/>
          </w:tcPr>
          <w:p w14:paraId="564FB1AA" w14:textId="0DEDEF6D"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4A5FB5CD" w14:textId="281DE31B"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54CE5AA7" w14:textId="67529526"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3E2BBA32" w14:textId="77777777" w:rsidTr="0023536E">
        <w:trPr>
          <w:trHeight w:val="259"/>
        </w:trPr>
        <w:tc>
          <w:tcPr>
            <w:tcW w:w="5000" w:type="dxa"/>
            <w:tcBorders>
              <w:top w:val="nil"/>
              <w:left w:val="nil"/>
              <w:bottom w:val="nil"/>
              <w:right w:val="nil"/>
            </w:tcBorders>
            <w:shd w:val="clear" w:color="auto" w:fill="auto"/>
            <w:hideMark/>
          </w:tcPr>
          <w:p w14:paraId="2EFA8FF9"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Sin garantías  ni contragarantías preferidas</w:t>
            </w:r>
          </w:p>
        </w:tc>
        <w:tc>
          <w:tcPr>
            <w:tcW w:w="1220" w:type="dxa"/>
            <w:tcBorders>
              <w:top w:val="nil"/>
              <w:left w:val="nil"/>
              <w:bottom w:val="nil"/>
              <w:right w:val="nil"/>
            </w:tcBorders>
            <w:shd w:val="clear" w:color="auto" w:fill="auto"/>
          </w:tcPr>
          <w:p w14:paraId="5D721008" w14:textId="1B7A7AD4"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7BDDF52B" w14:textId="6010901B" w:rsidR="00A30C77" w:rsidRPr="0023536E" w:rsidRDefault="00D02B08" w:rsidP="00A30C77">
            <w:pPr>
              <w:jc w:val="right"/>
              <w:rPr>
                <w:rFonts w:ascii="Arial" w:hAnsi="Arial" w:cs="Arial"/>
                <w:sz w:val="18"/>
                <w:szCs w:val="18"/>
                <w:lang w:eastAsia="es-AR"/>
              </w:rPr>
            </w:pPr>
            <w:r>
              <w:rPr>
                <w:rFonts w:ascii="Arial" w:hAnsi="Arial" w:cs="Arial"/>
                <w:sz w:val="18"/>
                <w:szCs w:val="18"/>
                <w:lang w:eastAsia="es-AR"/>
              </w:rPr>
              <w:t>113</w:t>
            </w:r>
          </w:p>
        </w:tc>
        <w:tc>
          <w:tcPr>
            <w:tcW w:w="1320" w:type="dxa"/>
            <w:tcBorders>
              <w:top w:val="nil"/>
              <w:left w:val="nil"/>
              <w:bottom w:val="nil"/>
              <w:right w:val="nil"/>
            </w:tcBorders>
            <w:shd w:val="clear" w:color="auto" w:fill="auto"/>
          </w:tcPr>
          <w:p w14:paraId="0D1372E7" w14:textId="77670490"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18.238</w:t>
            </w:r>
          </w:p>
        </w:tc>
      </w:tr>
      <w:tr w:rsidR="00A30C77" w:rsidRPr="0023536E" w14:paraId="06B86F02" w14:textId="77777777" w:rsidTr="0023536E">
        <w:trPr>
          <w:trHeight w:val="259"/>
        </w:trPr>
        <w:tc>
          <w:tcPr>
            <w:tcW w:w="5000" w:type="dxa"/>
            <w:tcBorders>
              <w:top w:val="nil"/>
              <w:left w:val="nil"/>
              <w:bottom w:val="nil"/>
              <w:right w:val="nil"/>
            </w:tcBorders>
            <w:shd w:val="clear" w:color="auto" w:fill="auto"/>
            <w:hideMark/>
          </w:tcPr>
          <w:p w14:paraId="2E92E56F" w14:textId="77777777" w:rsidR="00A30C77" w:rsidRPr="0023536E" w:rsidRDefault="00A30C77" w:rsidP="00A30C77">
            <w:pPr>
              <w:ind w:firstLineChars="200" w:firstLine="360"/>
              <w:rPr>
                <w:rFonts w:ascii="Arial" w:hAnsi="Arial" w:cs="Arial"/>
                <w:sz w:val="18"/>
                <w:szCs w:val="18"/>
                <w:lang w:eastAsia="es-AR"/>
              </w:rPr>
            </w:pPr>
            <w:r w:rsidRPr="0023536E">
              <w:rPr>
                <w:rFonts w:ascii="Arial" w:hAnsi="Arial" w:cs="Arial"/>
                <w:sz w:val="18"/>
                <w:szCs w:val="18"/>
                <w:lang w:eastAsia="es-AR"/>
              </w:rPr>
              <w:t>-Hipotecarios y prendarios</w:t>
            </w:r>
          </w:p>
        </w:tc>
        <w:tc>
          <w:tcPr>
            <w:tcW w:w="1220" w:type="dxa"/>
            <w:tcBorders>
              <w:top w:val="nil"/>
              <w:left w:val="nil"/>
              <w:bottom w:val="nil"/>
              <w:right w:val="nil"/>
            </w:tcBorders>
            <w:shd w:val="clear" w:color="auto" w:fill="auto"/>
          </w:tcPr>
          <w:p w14:paraId="5478A1EC" w14:textId="77777777" w:rsidR="00A30C77" w:rsidRPr="0023536E" w:rsidRDefault="00A30C77" w:rsidP="00A30C77">
            <w:pPr>
              <w:ind w:firstLineChars="200" w:firstLine="360"/>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32E8C954" w14:textId="77777777" w:rsidR="00A30C77" w:rsidRPr="0023536E" w:rsidRDefault="00A30C77" w:rsidP="00A30C77">
            <w:pPr>
              <w:jc w:val="right"/>
              <w:rPr>
                <w:sz w:val="18"/>
                <w:szCs w:val="18"/>
                <w:lang w:eastAsia="es-AR"/>
              </w:rPr>
            </w:pPr>
          </w:p>
        </w:tc>
        <w:tc>
          <w:tcPr>
            <w:tcW w:w="1320" w:type="dxa"/>
            <w:tcBorders>
              <w:top w:val="nil"/>
              <w:left w:val="nil"/>
              <w:bottom w:val="nil"/>
              <w:right w:val="nil"/>
            </w:tcBorders>
            <w:shd w:val="clear" w:color="auto" w:fill="auto"/>
          </w:tcPr>
          <w:p w14:paraId="27807941" w14:textId="77777777" w:rsidR="00A30C77" w:rsidRPr="00A30C77" w:rsidRDefault="00A30C77" w:rsidP="00A30C77">
            <w:pPr>
              <w:jc w:val="right"/>
              <w:rPr>
                <w:sz w:val="18"/>
                <w:szCs w:val="18"/>
                <w:lang w:eastAsia="es-AR"/>
              </w:rPr>
            </w:pPr>
          </w:p>
        </w:tc>
      </w:tr>
      <w:tr w:rsidR="00A30C77" w:rsidRPr="0023536E" w14:paraId="6336762A" w14:textId="77777777" w:rsidTr="0023536E">
        <w:trPr>
          <w:trHeight w:val="259"/>
        </w:trPr>
        <w:tc>
          <w:tcPr>
            <w:tcW w:w="5000" w:type="dxa"/>
            <w:tcBorders>
              <w:top w:val="nil"/>
              <w:left w:val="nil"/>
              <w:bottom w:val="nil"/>
              <w:right w:val="nil"/>
            </w:tcBorders>
            <w:shd w:val="clear" w:color="auto" w:fill="auto"/>
            <w:hideMark/>
          </w:tcPr>
          <w:p w14:paraId="6C8762A3"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"A"</w:t>
            </w:r>
          </w:p>
        </w:tc>
        <w:tc>
          <w:tcPr>
            <w:tcW w:w="1220" w:type="dxa"/>
            <w:tcBorders>
              <w:top w:val="nil"/>
              <w:left w:val="nil"/>
              <w:bottom w:val="nil"/>
              <w:right w:val="nil"/>
            </w:tcBorders>
            <w:shd w:val="clear" w:color="auto" w:fill="auto"/>
          </w:tcPr>
          <w:p w14:paraId="20DFE8EC" w14:textId="31565DC9"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48F77A2E" w14:textId="31E90624" w:rsidR="00A30C77" w:rsidRPr="0023536E" w:rsidRDefault="00D02B08" w:rsidP="00A30C77">
            <w:pPr>
              <w:jc w:val="right"/>
              <w:rPr>
                <w:rFonts w:ascii="Arial" w:hAnsi="Arial" w:cs="Arial"/>
                <w:sz w:val="18"/>
                <w:szCs w:val="18"/>
                <w:lang w:eastAsia="es-AR"/>
              </w:rPr>
            </w:pPr>
            <w:r>
              <w:rPr>
                <w:rFonts w:ascii="Arial" w:hAnsi="Arial" w:cs="Arial"/>
                <w:sz w:val="18"/>
                <w:szCs w:val="18"/>
                <w:lang w:eastAsia="es-AR"/>
              </w:rPr>
              <w:t>29.366</w:t>
            </w:r>
          </w:p>
        </w:tc>
        <w:tc>
          <w:tcPr>
            <w:tcW w:w="1320" w:type="dxa"/>
            <w:tcBorders>
              <w:top w:val="nil"/>
              <w:left w:val="nil"/>
              <w:bottom w:val="nil"/>
              <w:right w:val="nil"/>
            </w:tcBorders>
            <w:shd w:val="clear" w:color="auto" w:fill="auto"/>
          </w:tcPr>
          <w:p w14:paraId="59170562" w14:textId="61C969C5"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25.461</w:t>
            </w:r>
          </w:p>
        </w:tc>
      </w:tr>
      <w:tr w:rsidR="00A30C77" w:rsidRPr="0023536E" w14:paraId="6EB91EBD" w14:textId="77777777" w:rsidTr="0023536E">
        <w:trPr>
          <w:trHeight w:val="259"/>
        </w:trPr>
        <w:tc>
          <w:tcPr>
            <w:tcW w:w="5000" w:type="dxa"/>
            <w:tcBorders>
              <w:top w:val="nil"/>
              <w:left w:val="nil"/>
              <w:bottom w:val="nil"/>
              <w:right w:val="nil"/>
            </w:tcBorders>
            <w:shd w:val="clear" w:color="auto" w:fill="auto"/>
            <w:hideMark/>
          </w:tcPr>
          <w:p w14:paraId="3B6002DF"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“B”</w:t>
            </w:r>
          </w:p>
        </w:tc>
        <w:tc>
          <w:tcPr>
            <w:tcW w:w="1220" w:type="dxa"/>
            <w:tcBorders>
              <w:top w:val="nil"/>
              <w:left w:val="nil"/>
              <w:bottom w:val="nil"/>
              <w:right w:val="nil"/>
            </w:tcBorders>
            <w:shd w:val="clear" w:color="auto" w:fill="auto"/>
          </w:tcPr>
          <w:p w14:paraId="6D5B0824" w14:textId="0094DF7D"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585432D4" w14:textId="1D9E45DF"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312EE2A2" w14:textId="189BC968"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418C1AF8" w14:textId="77777777" w:rsidTr="0023536E">
        <w:trPr>
          <w:trHeight w:val="259"/>
        </w:trPr>
        <w:tc>
          <w:tcPr>
            <w:tcW w:w="5000" w:type="dxa"/>
            <w:tcBorders>
              <w:top w:val="nil"/>
              <w:left w:val="nil"/>
              <w:bottom w:val="nil"/>
              <w:right w:val="nil"/>
            </w:tcBorders>
            <w:shd w:val="clear" w:color="auto" w:fill="auto"/>
            <w:hideMark/>
          </w:tcPr>
          <w:p w14:paraId="4EDD3A36"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Sin garantías  ni contragarantías preferidas</w:t>
            </w:r>
          </w:p>
        </w:tc>
        <w:tc>
          <w:tcPr>
            <w:tcW w:w="1220" w:type="dxa"/>
            <w:tcBorders>
              <w:top w:val="nil"/>
              <w:left w:val="nil"/>
              <w:bottom w:val="nil"/>
              <w:right w:val="nil"/>
            </w:tcBorders>
            <w:shd w:val="clear" w:color="auto" w:fill="auto"/>
          </w:tcPr>
          <w:p w14:paraId="180F05B5" w14:textId="1F3AF1E4"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135AAD4D" w14:textId="5BEB454A"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18B70D76" w14:textId="764D5019"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73F696F0" w14:textId="77777777" w:rsidTr="0023536E">
        <w:trPr>
          <w:trHeight w:val="259"/>
        </w:trPr>
        <w:tc>
          <w:tcPr>
            <w:tcW w:w="5000" w:type="dxa"/>
            <w:tcBorders>
              <w:top w:val="nil"/>
              <w:left w:val="nil"/>
              <w:bottom w:val="nil"/>
              <w:right w:val="nil"/>
            </w:tcBorders>
            <w:shd w:val="clear" w:color="auto" w:fill="auto"/>
            <w:hideMark/>
          </w:tcPr>
          <w:p w14:paraId="36F3714A" w14:textId="77777777" w:rsidR="00A30C77" w:rsidRPr="0023536E" w:rsidRDefault="00A30C77" w:rsidP="00A30C77">
            <w:pPr>
              <w:ind w:firstLineChars="200" w:firstLine="360"/>
              <w:rPr>
                <w:rFonts w:ascii="Arial" w:hAnsi="Arial" w:cs="Arial"/>
                <w:sz w:val="18"/>
                <w:szCs w:val="18"/>
                <w:lang w:eastAsia="es-AR"/>
              </w:rPr>
            </w:pPr>
            <w:r w:rsidRPr="0023536E">
              <w:rPr>
                <w:rFonts w:ascii="Arial" w:hAnsi="Arial" w:cs="Arial"/>
                <w:sz w:val="18"/>
                <w:szCs w:val="18"/>
                <w:lang w:eastAsia="es-AR"/>
              </w:rPr>
              <w:t>-Personales</w:t>
            </w:r>
          </w:p>
        </w:tc>
        <w:tc>
          <w:tcPr>
            <w:tcW w:w="1220" w:type="dxa"/>
            <w:tcBorders>
              <w:top w:val="nil"/>
              <w:left w:val="nil"/>
              <w:bottom w:val="nil"/>
              <w:right w:val="nil"/>
            </w:tcBorders>
            <w:shd w:val="clear" w:color="auto" w:fill="auto"/>
          </w:tcPr>
          <w:p w14:paraId="344DEB84" w14:textId="77777777" w:rsidR="00A30C77" w:rsidRPr="0023536E" w:rsidRDefault="00A30C77" w:rsidP="00A30C77">
            <w:pPr>
              <w:ind w:firstLineChars="200" w:firstLine="360"/>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2C50F34E" w14:textId="77777777" w:rsidR="00A30C77" w:rsidRPr="0023536E" w:rsidRDefault="00A30C77" w:rsidP="00A30C77">
            <w:pPr>
              <w:jc w:val="right"/>
              <w:rPr>
                <w:sz w:val="18"/>
                <w:szCs w:val="18"/>
                <w:lang w:eastAsia="es-AR"/>
              </w:rPr>
            </w:pPr>
          </w:p>
        </w:tc>
        <w:tc>
          <w:tcPr>
            <w:tcW w:w="1320" w:type="dxa"/>
            <w:tcBorders>
              <w:top w:val="nil"/>
              <w:left w:val="nil"/>
              <w:bottom w:val="nil"/>
              <w:right w:val="nil"/>
            </w:tcBorders>
            <w:shd w:val="clear" w:color="auto" w:fill="auto"/>
          </w:tcPr>
          <w:p w14:paraId="3892D4B3" w14:textId="77777777" w:rsidR="00A30C77" w:rsidRPr="00A30C77" w:rsidRDefault="00A30C77" w:rsidP="00A30C77">
            <w:pPr>
              <w:jc w:val="right"/>
              <w:rPr>
                <w:sz w:val="18"/>
                <w:szCs w:val="18"/>
                <w:lang w:eastAsia="es-AR"/>
              </w:rPr>
            </w:pPr>
          </w:p>
        </w:tc>
      </w:tr>
      <w:tr w:rsidR="00A30C77" w:rsidRPr="0023536E" w14:paraId="1D4E4CE7" w14:textId="77777777" w:rsidTr="0023536E">
        <w:trPr>
          <w:trHeight w:val="259"/>
        </w:trPr>
        <w:tc>
          <w:tcPr>
            <w:tcW w:w="5000" w:type="dxa"/>
            <w:tcBorders>
              <w:top w:val="nil"/>
              <w:left w:val="nil"/>
              <w:bottom w:val="nil"/>
              <w:right w:val="nil"/>
            </w:tcBorders>
            <w:shd w:val="clear" w:color="auto" w:fill="auto"/>
            <w:hideMark/>
          </w:tcPr>
          <w:p w14:paraId="56097311"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"A"</w:t>
            </w:r>
          </w:p>
        </w:tc>
        <w:tc>
          <w:tcPr>
            <w:tcW w:w="1220" w:type="dxa"/>
            <w:tcBorders>
              <w:top w:val="nil"/>
              <w:left w:val="nil"/>
              <w:bottom w:val="nil"/>
              <w:right w:val="nil"/>
            </w:tcBorders>
            <w:shd w:val="clear" w:color="auto" w:fill="auto"/>
          </w:tcPr>
          <w:p w14:paraId="43903302" w14:textId="419F106D"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0E01B9C8" w14:textId="6BCE1A72"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7340F044" w14:textId="13E90E3B"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511E43C4" w14:textId="77777777" w:rsidTr="0023536E">
        <w:trPr>
          <w:trHeight w:val="259"/>
        </w:trPr>
        <w:tc>
          <w:tcPr>
            <w:tcW w:w="5000" w:type="dxa"/>
            <w:tcBorders>
              <w:top w:val="nil"/>
              <w:left w:val="nil"/>
              <w:bottom w:val="nil"/>
              <w:right w:val="nil"/>
            </w:tcBorders>
            <w:shd w:val="clear" w:color="auto" w:fill="auto"/>
            <w:hideMark/>
          </w:tcPr>
          <w:p w14:paraId="5FE8F87B"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“B”</w:t>
            </w:r>
          </w:p>
        </w:tc>
        <w:tc>
          <w:tcPr>
            <w:tcW w:w="1220" w:type="dxa"/>
            <w:tcBorders>
              <w:top w:val="nil"/>
              <w:left w:val="nil"/>
              <w:bottom w:val="nil"/>
              <w:right w:val="nil"/>
            </w:tcBorders>
            <w:shd w:val="clear" w:color="auto" w:fill="auto"/>
          </w:tcPr>
          <w:p w14:paraId="07917A3A" w14:textId="0F06B93F"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730AB9FD" w14:textId="5CD97D33"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7D8E2494" w14:textId="4A5D5EF6"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4D9844B9" w14:textId="77777777" w:rsidTr="0023536E">
        <w:trPr>
          <w:trHeight w:val="259"/>
        </w:trPr>
        <w:tc>
          <w:tcPr>
            <w:tcW w:w="5000" w:type="dxa"/>
            <w:tcBorders>
              <w:top w:val="nil"/>
              <w:left w:val="nil"/>
              <w:bottom w:val="nil"/>
              <w:right w:val="nil"/>
            </w:tcBorders>
            <w:shd w:val="clear" w:color="auto" w:fill="auto"/>
            <w:hideMark/>
          </w:tcPr>
          <w:p w14:paraId="111A95BD"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Sin garantías  ni contragarantías preferidas</w:t>
            </w:r>
          </w:p>
        </w:tc>
        <w:tc>
          <w:tcPr>
            <w:tcW w:w="1220" w:type="dxa"/>
            <w:tcBorders>
              <w:top w:val="nil"/>
              <w:left w:val="nil"/>
              <w:bottom w:val="nil"/>
              <w:right w:val="nil"/>
            </w:tcBorders>
            <w:shd w:val="clear" w:color="auto" w:fill="auto"/>
          </w:tcPr>
          <w:p w14:paraId="43EF3DD7" w14:textId="1B947608"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4C243433" w14:textId="23092BFB" w:rsidR="00A30C77" w:rsidRPr="0023536E" w:rsidRDefault="00D02B08" w:rsidP="00A30C77">
            <w:pPr>
              <w:jc w:val="right"/>
              <w:rPr>
                <w:rFonts w:ascii="Arial" w:hAnsi="Arial" w:cs="Arial"/>
                <w:sz w:val="18"/>
                <w:szCs w:val="18"/>
                <w:lang w:eastAsia="es-AR"/>
              </w:rPr>
            </w:pPr>
            <w:r>
              <w:rPr>
                <w:rFonts w:ascii="Arial" w:hAnsi="Arial" w:cs="Arial"/>
                <w:sz w:val="18"/>
                <w:szCs w:val="18"/>
                <w:lang w:eastAsia="es-AR"/>
              </w:rPr>
              <w:t>3.120</w:t>
            </w:r>
          </w:p>
        </w:tc>
        <w:tc>
          <w:tcPr>
            <w:tcW w:w="1320" w:type="dxa"/>
            <w:tcBorders>
              <w:top w:val="nil"/>
              <w:left w:val="nil"/>
              <w:bottom w:val="nil"/>
              <w:right w:val="nil"/>
            </w:tcBorders>
            <w:shd w:val="clear" w:color="auto" w:fill="auto"/>
          </w:tcPr>
          <w:p w14:paraId="23F3733A" w14:textId="4EBE660D"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8.852</w:t>
            </w:r>
          </w:p>
        </w:tc>
      </w:tr>
      <w:tr w:rsidR="00A30C77" w:rsidRPr="0023536E" w14:paraId="1E96E62E" w14:textId="77777777" w:rsidTr="0023536E">
        <w:trPr>
          <w:trHeight w:val="259"/>
        </w:trPr>
        <w:tc>
          <w:tcPr>
            <w:tcW w:w="5000" w:type="dxa"/>
            <w:tcBorders>
              <w:top w:val="nil"/>
              <w:left w:val="nil"/>
              <w:bottom w:val="nil"/>
              <w:right w:val="nil"/>
            </w:tcBorders>
            <w:shd w:val="clear" w:color="auto" w:fill="auto"/>
            <w:hideMark/>
          </w:tcPr>
          <w:p w14:paraId="65914013" w14:textId="77777777" w:rsidR="00A30C77" w:rsidRPr="0023536E" w:rsidRDefault="00A30C77" w:rsidP="00A30C77">
            <w:pPr>
              <w:ind w:firstLineChars="200" w:firstLine="360"/>
              <w:rPr>
                <w:rFonts w:ascii="Arial" w:hAnsi="Arial" w:cs="Arial"/>
                <w:sz w:val="18"/>
                <w:szCs w:val="18"/>
                <w:lang w:eastAsia="es-AR"/>
              </w:rPr>
            </w:pPr>
            <w:r w:rsidRPr="0023536E">
              <w:rPr>
                <w:rFonts w:ascii="Arial" w:hAnsi="Arial" w:cs="Arial"/>
                <w:sz w:val="18"/>
                <w:szCs w:val="18"/>
                <w:lang w:eastAsia="es-AR"/>
              </w:rPr>
              <w:t>-Tarjetas</w:t>
            </w:r>
          </w:p>
        </w:tc>
        <w:tc>
          <w:tcPr>
            <w:tcW w:w="1220" w:type="dxa"/>
            <w:tcBorders>
              <w:top w:val="nil"/>
              <w:left w:val="nil"/>
              <w:bottom w:val="nil"/>
              <w:right w:val="nil"/>
            </w:tcBorders>
            <w:shd w:val="clear" w:color="auto" w:fill="auto"/>
          </w:tcPr>
          <w:p w14:paraId="10541510" w14:textId="77777777" w:rsidR="00A30C77" w:rsidRPr="0023536E" w:rsidRDefault="00A30C77" w:rsidP="00A30C77">
            <w:pPr>
              <w:ind w:firstLineChars="200" w:firstLine="360"/>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04B8B978" w14:textId="77777777" w:rsidR="00A30C77" w:rsidRPr="0023536E" w:rsidRDefault="00A30C77" w:rsidP="00A30C77">
            <w:pPr>
              <w:jc w:val="right"/>
              <w:rPr>
                <w:sz w:val="18"/>
                <w:szCs w:val="18"/>
                <w:lang w:eastAsia="es-AR"/>
              </w:rPr>
            </w:pPr>
          </w:p>
        </w:tc>
        <w:tc>
          <w:tcPr>
            <w:tcW w:w="1320" w:type="dxa"/>
            <w:tcBorders>
              <w:top w:val="nil"/>
              <w:left w:val="nil"/>
              <w:bottom w:val="nil"/>
              <w:right w:val="nil"/>
            </w:tcBorders>
            <w:shd w:val="clear" w:color="auto" w:fill="auto"/>
          </w:tcPr>
          <w:p w14:paraId="3DAFDBFA" w14:textId="77777777" w:rsidR="00A30C77" w:rsidRPr="00A30C77" w:rsidRDefault="00A30C77" w:rsidP="00A30C77">
            <w:pPr>
              <w:jc w:val="right"/>
              <w:rPr>
                <w:sz w:val="18"/>
                <w:szCs w:val="18"/>
                <w:lang w:eastAsia="es-AR"/>
              </w:rPr>
            </w:pPr>
          </w:p>
        </w:tc>
      </w:tr>
      <w:tr w:rsidR="00A30C77" w:rsidRPr="0023536E" w14:paraId="03E7DD53" w14:textId="77777777" w:rsidTr="0023536E">
        <w:trPr>
          <w:trHeight w:val="259"/>
        </w:trPr>
        <w:tc>
          <w:tcPr>
            <w:tcW w:w="5000" w:type="dxa"/>
            <w:tcBorders>
              <w:top w:val="nil"/>
              <w:left w:val="nil"/>
              <w:bottom w:val="nil"/>
              <w:right w:val="nil"/>
            </w:tcBorders>
            <w:shd w:val="clear" w:color="auto" w:fill="auto"/>
            <w:hideMark/>
          </w:tcPr>
          <w:p w14:paraId="1E093CD1"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"A"</w:t>
            </w:r>
          </w:p>
        </w:tc>
        <w:tc>
          <w:tcPr>
            <w:tcW w:w="1220" w:type="dxa"/>
            <w:tcBorders>
              <w:top w:val="nil"/>
              <w:left w:val="nil"/>
              <w:bottom w:val="nil"/>
              <w:right w:val="nil"/>
            </w:tcBorders>
            <w:shd w:val="clear" w:color="auto" w:fill="auto"/>
          </w:tcPr>
          <w:p w14:paraId="636EEA0D" w14:textId="2E66F97D"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3115E38B" w14:textId="1EA4FC0D"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2FC717C6" w14:textId="1ECAACAE"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7AE41BB9" w14:textId="77777777" w:rsidTr="0023536E">
        <w:trPr>
          <w:trHeight w:val="259"/>
        </w:trPr>
        <w:tc>
          <w:tcPr>
            <w:tcW w:w="5000" w:type="dxa"/>
            <w:tcBorders>
              <w:top w:val="nil"/>
              <w:left w:val="nil"/>
              <w:bottom w:val="nil"/>
              <w:right w:val="nil"/>
            </w:tcBorders>
            <w:shd w:val="clear" w:color="auto" w:fill="auto"/>
            <w:hideMark/>
          </w:tcPr>
          <w:p w14:paraId="71227D2F"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“B”</w:t>
            </w:r>
          </w:p>
        </w:tc>
        <w:tc>
          <w:tcPr>
            <w:tcW w:w="1220" w:type="dxa"/>
            <w:tcBorders>
              <w:top w:val="nil"/>
              <w:left w:val="nil"/>
              <w:bottom w:val="nil"/>
              <w:right w:val="nil"/>
            </w:tcBorders>
            <w:shd w:val="clear" w:color="auto" w:fill="auto"/>
          </w:tcPr>
          <w:p w14:paraId="53297194" w14:textId="03D3CC5C"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77F71E31" w14:textId="3A662F21"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5E4E3F6D" w14:textId="5CC69FB6"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304C4F93" w14:textId="77777777" w:rsidTr="0023536E">
        <w:trPr>
          <w:trHeight w:val="259"/>
        </w:trPr>
        <w:tc>
          <w:tcPr>
            <w:tcW w:w="5000" w:type="dxa"/>
            <w:tcBorders>
              <w:top w:val="nil"/>
              <w:left w:val="nil"/>
              <w:bottom w:val="nil"/>
              <w:right w:val="nil"/>
            </w:tcBorders>
            <w:shd w:val="clear" w:color="auto" w:fill="auto"/>
            <w:hideMark/>
          </w:tcPr>
          <w:p w14:paraId="1C089453"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Sin garantías  ni contragarantías preferidas</w:t>
            </w:r>
          </w:p>
        </w:tc>
        <w:tc>
          <w:tcPr>
            <w:tcW w:w="1220" w:type="dxa"/>
            <w:tcBorders>
              <w:top w:val="nil"/>
              <w:left w:val="nil"/>
              <w:bottom w:val="nil"/>
              <w:right w:val="nil"/>
            </w:tcBorders>
            <w:shd w:val="clear" w:color="auto" w:fill="auto"/>
          </w:tcPr>
          <w:p w14:paraId="102F0168" w14:textId="33BCD2BA"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7655B0AB" w14:textId="2F27C04E" w:rsidR="00A30C77" w:rsidRPr="0023536E" w:rsidRDefault="00D02B08" w:rsidP="00A30C77">
            <w:pPr>
              <w:jc w:val="right"/>
              <w:rPr>
                <w:rFonts w:ascii="Arial" w:hAnsi="Arial" w:cs="Arial"/>
                <w:sz w:val="18"/>
                <w:szCs w:val="18"/>
                <w:lang w:eastAsia="es-AR"/>
              </w:rPr>
            </w:pPr>
            <w:r>
              <w:rPr>
                <w:rFonts w:ascii="Arial" w:hAnsi="Arial" w:cs="Arial"/>
                <w:sz w:val="18"/>
                <w:szCs w:val="18"/>
                <w:lang w:eastAsia="es-AR"/>
              </w:rPr>
              <w:t>15.675</w:t>
            </w:r>
          </w:p>
        </w:tc>
        <w:tc>
          <w:tcPr>
            <w:tcW w:w="1320" w:type="dxa"/>
            <w:tcBorders>
              <w:top w:val="nil"/>
              <w:left w:val="nil"/>
              <w:bottom w:val="nil"/>
              <w:right w:val="nil"/>
            </w:tcBorders>
            <w:shd w:val="clear" w:color="auto" w:fill="auto"/>
          </w:tcPr>
          <w:p w14:paraId="506791AC" w14:textId="0A4FDBB2"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9.856</w:t>
            </w:r>
          </w:p>
        </w:tc>
      </w:tr>
      <w:tr w:rsidR="00A30C77" w:rsidRPr="0023536E" w14:paraId="2874BFEE" w14:textId="77777777" w:rsidTr="0023536E">
        <w:trPr>
          <w:trHeight w:val="259"/>
        </w:trPr>
        <w:tc>
          <w:tcPr>
            <w:tcW w:w="5000" w:type="dxa"/>
            <w:tcBorders>
              <w:top w:val="nil"/>
              <w:left w:val="nil"/>
              <w:bottom w:val="nil"/>
              <w:right w:val="nil"/>
            </w:tcBorders>
            <w:shd w:val="clear" w:color="auto" w:fill="auto"/>
            <w:hideMark/>
          </w:tcPr>
          <w:p w14:paraId="7A9576F1" w14:textId="77777777" w:rsidR="00A30C77" w:rsidRPr="0023536E" w:rsidRDefault="00A30C77" w:rsidP="00A30C77">
            <w:pPr>
              <w:ind w:firstLineChars="200" w:firstLine="360"/>
              <w:rPr>
                <w:rFonts w:ascii="Arial" w:hAnsi="Arial" w:cs="Arial"/>
                <w:sz w:val="18"/>
                <w:szCs w:val="18"/>
                <w:lang w:eastAsia="es-AR"/>
              </w:rPr>
            </w:pPr>
            <w:r w:rsidRPr="0023536E">
              <w:rPr>
                <w:rFonts w:ascii="Arial" w:hAnsi="Arial" w:cs="Arial"/>
                <w:sz w:val="18"/>
                <w:szCs w:val="18"/>
                <w:lang w:eastAsia="es-AR"/>
              </w:rPr>
              <w:t>-Otros</w:t>
            </w:r>
          </w:p>
        </w:tc>
        <w:tc>
          <w:tcPr>
            <w:tcW w:w="1220" w:type="dxa"/>
            <w:tcBorders>
              <w:top w:val="nil"/>
              <w:left w:val="nil"/>
              <w:bottom w:val="nil"/>
              <w:right w:val="nil"/>
            </w:tcBorders>
            <w:shd w:val="clear" w:color="auto" w:fill="auto"/>
          </w:tcPr>
          <w:p w14:paraId="5300F2C3" w14:textId="77777777" w:rsidR="00A30C77" w:rsidRPr="0023536E" w:rsidRDefault="00A30C77" w:rsidP="00A30C77">
            <w:pPr>
              <w:ind w:firstLineChars="200" w:firstLine="360"/>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666DFC61" w14:textId="77777777" w:rsidR="00A30C77" w:rsidRPr="0023536E" w:rsidRDefault="00A30C77" w:rsidP="00A30C77">
            <w:pPr>
              <w:jc w:val="right"/>
              <w:rPr>
                <w:sz w:val="18"/>
                <w:szCs w:val="18"/>
                <w:lang w:eastAsia="es-AR"/>
              </w:rPr>
            </w:pPr>
          </w:p>
        </w:tc>
        <w:tc>
          <w:tcPr>
            <w:tcW w:w="1320" w:type="dxa"/>
            <w:tcBorders>
              <w:top w:val="nil"/>
              <w:left w:val="nil"/>
              <w:bottom w:val="nil"/>
              <w:right w:val="nil"/>
            </w:tcBorders>
            <w:shd w:val="clear" w:color="auto" w:fill="auto"/>
          </w:tcPr>
          <w:p w14:paraId="2477F167" w14:textId="77777777" w:rsidR="00A30C77" w:rsidRPr="00A30C77" w:rsidRDefault="00A30C77" w:rsidP="00A30C77">
            <w:pPr>
              <w:jc w:val="right"/>
              <w:rPr>
                <w:sz w:val="18"/>
                <w:szCs w:val="18"/>
                <w:lang w:eastAsia="es-AR"/>
              </w:rPr>
            </w:pPr>
          </w:p>
        </w:tc>
      </w:tr>
      <w:tr w:rsidR="00A30C77" w:rsidRPr="0023536E" w14:paraId="3AB0E5FD" w14:textId="77777777" w:rsidTr="0023536E">
        <w:trPr>
          <w:trHeight w:val="259"/>
        </w:trPr>
        <w:tc>
          <w:tcPr>
            <w:tcW w:w="5000" w:type="dxa"/>
            <w:tcBorders>
              <w:top w:val="nil"/>
              <w:left w:val="nil"/>
              <w:bottom w:val="nil"/>
              <w:right w:val="nil"/>
            </w:tcBorders>
            <w:shd w:val="clear" w:color="auto" w:fill="auto"/>
            <w:hideMark/>
          </w:tcPr>
          <w:p w14:paraId="21F3DA31"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"A"</w:t>
            </w:r>
          </w:p>
        </w:tc>
        <w:tc>
          <w:tcPr>
            <w:tcW w:w="1220" w:type="dxa"/>
            <w:tcBorders>
              <w:top w:val="nil"/>
              <w:left w:val="nil"/>
              <w:bottom w:val="nil"/>
              <w:right w:val="nil"/>
            </w:tcBorders>
            <w:shd w:val="clear" w:color="auto" w:fill="auto"/>
          </w:tcPr>
          <w:p w14:paraId="23063D47" w14:textId="762BA395"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41699E77" w14:textId="7D2AC580"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0BF114A0" w14:textId="4415FD56"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1F5A3614" w14:textId="77777777" w:rsidTr="0023536E">
        <w:trPr>
          <w:trHeight w:val="259"/>
        </w:trPr>
        <w:tc>
          <w:tcPr>
            <w:tcW w:w="5000" w:type="dxa"/>
            <w:tcBorders>
              <w:top w:val="nil"/>
              <w:left w:val="nil"/>
              <w:bottom w:val="nil"/>
              <w:right w:val="nil"/>
            </w:tcBorders>
            <w:shd w:val="clear" w:color="auto" w:fill="auto"/>
            <w:hideMark/>
          </w:tcPr>
          <w:p w14:paraId="2F73E6AA"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Con garantías y contragarantías preferidas “B”</w:t>
            </w:r>
          </w:p>
        </w:tc>
        <w:tc>
          <w:tcPr>
            <w:tcW w:w="1220" w:type="dxa"/>
            <w:tcBorders>
              <w:top w:val="nil"/>
              <w:left w:val="nil"/>
              <w:bottom w:val="nil"/>
              <w:right w:val="nil"/>
            </w:tcBorders>
            <w:shd w:val="clear" w:color="auto" w:fill="auto"/>
          </w:tcPr>
          <w:p w14:paraId="0C64D3BD" w14:textId="27C58294"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131BB42F" w14:textId="6CE7A866" w:rsidR="00A30C77" w:rsidRPr="0023536E" w:rsidRDefault="00D22031"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28DC1D3B" w14:textId="37A71AC5"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31E4AD0D" w14:textId="77777777" w:rsidTr="0023536E">
        <w:trPr>
          <w:trHeight w:val="259"/>
        </w:trPr>
        <w:tc>
          <w:tcPr>
            <w:tcW w:w="5000" w:type="dxa"/>
            <w:tcBorders>
              <w:top w:val="nil"/>
              <w:left w:val="nil"/>
              <w:bottom w:val="nil"/>
              <w:right w:val="nil"/>
            </w:tcBorders>
            <w:shd w:val="clear" w:color="auto" w:fill="auto"/>
            <w:hideMark/>
          </w:tcPr>
          <w:p w14:paraId="62D96858" w14:textId="77777777" w:rsidR="00A30C77" w:rsidRPr="0023536E" w:rsidRDefault="00A30C77" w:rsidP="00A30C77">
            <w:pPr>
              <w:rPr>
                <w:rFonts w:ascii="Arial" w:hAnsi="Arial" w:cs="Arial"/>
                <w:sz w:val="18"/>
                <w:szCs w:val="18"/>
                <w:lang w:eastAsia="es-AR"/>
              </w:rPr>
            </w:pPr>
            <w:r w:rsidRPr="0023536E">
              <w:rPr>
                <w:rFonts w:ascii="Arial" w:hAnsi="Arial" w:cs="Arial"/>
                <w:sz w:val="18"/>
                <w:szCs w:val="18"/>
                <w:lang w:eastAsia="es-AR"/>
              </w:rPr>
              <w:t xml:space="preserve">          Sin garantías ni contragarantías preferidas</w:t>
            </w:r>
          </w:p>
        </w:tc>
        <w:tc>
          <w:tcPr>
            <w:tcW w:w="1220" w:type="dxa"/>
            <w:tcBorders>
              <w:top w:val="nil"/>
              <w:left w:val="nil"/>
              <w:bottom w:val="nil"/>
              <w:right w:val="nil"/>
            </w:tcBorders>
            <w:shd w:val="clear" w:color="auto" w:fill="auto"/>
          </w:tcPr>
          <w:p w14:paraId="4984D1F5" w14:textId="30928224"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0777839E" w14:textId="2CEC7600" w:rsidR="00A30C77" w:rsidRPr="0023536E" w:rsidRDefault="00D02B08" w:rsidP="00A30C77">
            <w:pPr>
              <w:jc w:val="right"/>
              <w:rPr>
                <w:rFonts w:ascii="Arial" w:hAnsi="Arial" w:cs="Arial"/>
                <w:sz w:val="18"/>
                <w:szCs w:val="18"/>
                <w:lang w:eastAsia="es-AR"/>
              </w:rPr>
            </w:pPr>
            <w:r>
              <w:rPr>
                <w:rFonts w:ascii="Arial" w:hAnsi="Arial" w:cs="Arial"/>
                <w:sz w:val="18"/>
                <w:szCs w:val="18"/>
                <w:lang w:eastAsia="es-AR"/>
              </w:rPr>
              <w:t>2.014.988</w:t>
            </w:r>
          </w:p>
        </w:tc>
        <w:tc>
          <w:tcPr>
            <w:tcW w:w="1320" w:type="dxa"/>
            <w:tcBorders>
              <w:top w:val="nil"/>
              <w:left w:val="nil"/>
              <w:bottom w:val="nil"/>
              <w:right w:val="nil"/>
            </w:tcBorders>
            <w:shd w:val="clear" w:color="auto" w:fill="auto"/>
          </w:tcPr>
          <w:p w14:paraId="0F00EF30" w14:textId="38F7E05A"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3.123.943</w:t>
            </w:r>
          </w:p>
        </w:tc>
      </w:tr>
      <w:tr w:rsidR="00A30C77" w:rsidRPr="0023536E" w14:paraId="6E4A2B33" w14:textId="77777777" w:rsidTr="0023536E">
        <w:trPr>
          <w:trHeight w:val="259"/>
        </w:trPr>
        <w:tc>
          <w:tcPr>
            <w:tcW w:w="5000" w:type="dxa"/>
            <w:tcBorders>
              <w:top w:val="nil"/>
              <w:left w:val="nil"/>
              <w:bottom w:val="nil"/>
              <w:right w:val="nil"/>
            </w:tcBorders>
            <w:shd w:val="clear" w:color="auto" w:fill="auto"/>
            <w:hideMark/>
          </w:tcPr>
          <w:p w14:paraId="2CCF906F" w14:textId="77777777" w:rsidR="00A30C77" w:rsidRPr="0023536E" w:rsidRDefault="00A30C77" w:rsidP="00A30C77">
            <w:pPr>
              <w:rPr>
                <w:rFonts w:ascii="Arial" w:hAnsi="Arial" w:cs="Arial"/>
                <w:sz w:val="18"/>
                <w:szCs w:val="18"/>
                <w:lang w:eastAsia="es-AR"/>
              </w:rPr>
            </w:pPr>
          </w:p>
        </w:tc>
        <w:tc>
          <w:tcPr>
            <w:tcW w:w="1220" w:type="dxa"/>
            <w:tcBorders>
              <w:top w:val="nil"/>
              <w:left w:val="nil"/>
              <w:bottom w:val="nil"/>
              <w:right w:val="nil"/>
            </w:tcBorders>
            <w:shd w:val="clear" w:color="auto" w:fill="auto"/>
          </w:tcPr>
          <w:p w14:paraId="31E4BB75" w14:textId="77777777" w:rsidR="00A30C77" w:rsidRPr="0023536E" w:rsidRDefault="00A30C77" w:rsidP="00A30C77">
            <w:pPr>
              <w:ind w:firstLineChars="300" w:firstLine="540"/>
              <w:jc w:val="right"/>
              <w:rPr>
                <w:sz w:val="18"/>
                <w:szCs w:val="18"/>
                <w:lang w:eastAsia="es-AR"/>
              </w:rPr>
            </w:pPr>
          </w:p>
        </w:tc>
        <w:tc>
          <w:tcPr>
            <w:tcW w:w="1160" w:type="dxa"/>
            <w:tcBorders>
              <w:top w:val="nil"/>
              <w:left w:val="nil"/>
              <w:bottom w:val="nil"/>
              <w:right w:val="nil"/>
            </w:tcBorders>
            <w:shd w:val="clear" w:color="auto" w:fill="auto"/>
          </w:tcPr>
          <w:p w14:paraId="2EF835C5" w14:textId="77777777" w:rsidR="00A30C77" w:rsidRPr="0023536E" w:rsidRDefault="00A30C77" w:rsidP="00A30C77">
            <w:pPr>
              <w:jc w:val="right"/>
              <w:rPr>
                <w:sz w:val="18"/>
                <w:szCs w:val="18"/>
                <w:lang w:eastAsia="es-AR"/>
              </w:rPr>
            </w:pPr>
          </w:p>
        </w:tc>
        <w:tc>
          <w:tcPr>
            <w:tcW w:w="1320" w:type="dxa"/>
            <w:tcBorders>
              <w:top w:val="nil"/>
              <w:left w:val="nil"/>
              <w:bottom w:val="nil"/>
              <w:right w:val="nil"/>
            </w:tcBorders>
            <w:shd w:val="clear" w:color="auto" w:fill="auto"/>
          </w:tcPr>
          <w:p w14:paraId="03339E3D" w14:textId="77777777" w:rsidR="00A30C77" w:rsidRPr="00A30C77" w:rsidRDefault="00A30C77" w:rsidP="00A30C77">
            <w:pPr>
              <w:jc w:val="right"/>
              <w:rPr>
                <w:sz w:val="18"/>
                <w:szCs w:val="18"/>
                <w:lang w:eastAsia="es-AR"/>
              </w:rPr>
            </w:pPr>
          </w:p>
        </w:tc>
      </w:tr>
      <w:tr w:rsidR="00A30C77" w:rsidRPr="0023536E" w14:paraId="2AB6AC1E" w14:textId="77777777" w:rsidTr="0023536E">
        <w:trPr>
          <w:trHeight w:val="259"/>
        </w:trPr>
        <w:tc>
          <w:tcPr>
            <w:tcW w:w="5000" w:type="dxa"/>
            <w:tcBorders>
              <w:top w:val="nil"/>
              <w:left w:val="nil"/>
              <w:bottom w:val="nil"/>
              <w:right w:val="nil"/>
            </w:tcBorders>
            <w:shd w:val="clear" w:color="auto" w:fill="auto"/>
            <w:hideMark/>
          </w:tcPr>
          <w:p w14:paraId="2E6847B4" w14:textId="77777777" w:rsidR="00A30C77" w:rsidRPr="0023536E" w:rsidRDefault="00A30C77" w:rsidP="00A30C77">
            <w:pPr>
              <w:rPr>
                <w:rFonts w:ascii="Arial" w:hAnsi="Arial" w:cs="Arial"/>
                <w:b/>
                <w:bCs/>
                <w:sz w:val="18"/>
                <w:szCs w:val="18"/>
                <w:lang w:eastAsia="es-AR"/>
              </w:rPr>
            </w:pPr>
            <w:r w:rsidRPr="0023536E">
              <w:rPr>
                <w:rFonts w:ascii="Arial" w:hAnsi="Arial" w:cs="Arial"/>
                <w:b/>
                <w:bCs/>
                <w:sz w:val="18"/>
                <w:szCs w:val="18"/>
                <w:lang w:eastAsia="es-AR"/>
              </w:rPr>
              <w:t>2. Títulos de deuda</w:t>
            </w:r>
          </w:p>
        </w:tc>
        <w:tc>
          <w:tcPr>
            <w:tcW w:w="1220" w:type="dxa"/>
            <w:tcBorders>
              <w:top w:val="nil"/>
              <w:left w:val="nil"/>
              <w:bottom w:val="nil"/>
              <w:right w:val="nil"/>
            </w:tcBorders>
            <w:shd w:val="clear" w:color="auto" w:fill="auto"/>
          </w:tcPr>
          <w:p w14:paraId="71939ED4" w14:textId="50014939"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47410E12" w14:textId="0DEB34D8" w:rsidR="00A30C77" w:rsidRPr="0023536E" w:rsidRDefault="00D02B08" w:rsidP="00A30C77">
            <w:pPr>
              <w:jc w:val="right"/>
              <w:rPr>
                <w:rFonts w:ascii="Arial" w:hAnsi="Arial" w:cs="Arial"/>
                <w:sz w:val="18"/>
                <w:szCs w:val="18"/>
                <w:lang w:eastAsia="es-AR"/>
              </w:rPr>
            </w:pPr>
            <w:r>
              <w:rPr>
                <w:rFonts w:ascii="Arial" w:hAnsi="Arial" w:cs="Arial"/>
                <w:sz w:val="18"/>
                <w:szCs w:val="18"/>
                <w:lang w:eastAsia="es-AR"/>
              </w:rPr>
              <w:t>351.926</w:t>
            </w:r>
          </w:p>
        </w:tc>
        <w:tc>
          <w:tcPr>
            <w:tcW w:w="1320" w:type="dxa"/>
            <w:tcBorders>
              <w:top w:val="nil"/>
              <w:left w:val="nil"/>
              <w:bottom w:val="nil"/>
              <w:right w:val="nil"/>
            </w:tcBorders>
            <w:shd w:val="clear" w:color="auto" w:fill="auto"/>
          </w:tcPr>
          <w:p w14:paraId="25C5A77A" w14:textId="36B7BFFA"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49F6BE39" w14:textId="77777777" w:rsidTr="0023536E">
        <w:trPr>
          <w:trHeight w:val="259"/>
        </w:trPr>
        <w:tc>
          <w:tcPr>
            <w:tcW w:w="5000" w:type="dxa"/>
            <w:tcBorders>
              <w:top w:val="nil"/>
              <w:left w:val="nil"/>
              <w:bottom w:val="nil"/>
              <w:right w:val="nil"/>
            </w:tcBorders>
            <w:shd w:val="clear" w:color="auto" w:fill="auto"/>
            <w:hideMark/>
          </w:tcPr>
          <w:p w14:paraId="3CF5C899" w14:textId="77777777" w:rsidR="00A30C77" w:rsidRPr="0023536E" w:rsidRDefault="00A30C77" w:rsidP="00A30C77">
            <w:pPr>
              <w:rPr>
                <w:rFonts w:ascii="Arial" w:hAnsi="Arial" w:cs="Arial"/>
                <w:sz w:val="18"/>
                <w:szCs w:val="18"/>
                <w:lang w:eastAsia="es-AR"/>
              </w:rPr>
            </w:pPr>
          </w:p>
        </w:tc>
        <w:tc>
          <w:tcPr>
            <w:tcW w:w="1220" w:type="dxa"/>
            <w:tcBorders>
              <w:top w:val="nil"/>
              <w:left w:val="nil"/>
              <w:bottom w:val="nil"/>
              <w:right w:val="nil"/>
            </w:tcBorders>
            <w:shd w:val="clear" w:color="auto" w:fill="auto"/>
          </w:tcPr>
          <w:p w14:paraId="3C1D7D49" w14:textId="77777777" w:rsidR="00A30C77" w:rsidRPr="0023536E" w:rsidRDefault="00A30C77" w:rsidP="00A30C77">
            <w:pPr>
              <w:jc w:val="right"/>
              <w:rPr>
                <w:sz w:val="18"/>
                <w:szCs w:val="18"/>
                <w:lang w:eastAsia="es-AR"/>
              </w:rPr>
            </w:pPr>
          </w:p>
        </w:tc>
        <w:tc>
          <w:tcPr>
            <w:tcW w:w="1160" w:type="dxa"/>
            <w:tcBorders>
              <w:top w:val="nil"/>
              <w:left w:val="nil"/>
              <w:bottom w:val="nil"/>
              <w:right w:val="nil"/>
            </w:tcBorders>
            <w:shd w:val="clear" w:color="auto" w:fill="auto"/>
          </w:tcPr>
          <w:p w14:paraId="525C1BFB" w14:textId="77777777" w:rsidR="00A30C77" w:rsidRPr="0023536E" w:rsidRDefault="00A30C77" w:rsidP="00A30C77">
            <w:pPr>
              <w:jc w:val="right"/>
              <w:rPr>
                <w:sz w:val="18"/>
                <w:szCs w:val="18"/>
                <w:lang w:eastAsia="es-AR"/>
              </w:rPr>
            </w:pPr>
          </w:p>
        </w:tc>
        <w:tc>
          <w:tcPr>
            <w:tcW w:w="1320" w:type="dxa"/>
            <w:tcBorders>
              <w:top w:val="nil"/>
              <w:left w:val="nil"/>
              <w:bottom w:val="nil"/>
              <w:right w:val="nil"/>
            </w:tcBorders>
            <w:shd w:val="clear" w:color="auto" w:fill="auto"/>
          </w:tcPr>
          <w:p w14:paraId="32AA4A72" w14:textId="77777777" w:rsidR="00A30C77" w:rsidRPr="00A30C77" w:rsidRDefault="00A30C77" w:rsidP="00A30C77">
            <w:pPr>
              <w:jc w:val="right"/>
              <w:rPr>
                <w:sz w:val="18"/>
                <w:szCs w:val="18"/>
                <w:lang w:eastAsia="es-AR"/>
              </w:rPr>
            </w:pPr>
          </w:p>
        </w:tc>
      </w:tr>
      <w:tr w:rsidR="00A30C77" w:rsidRPr="0023536E" w14:paraId="7E3F07F1" w14:textId="77777777" w:rsidTr="0023536E">
        <w:trPr>
          <w:trHeight w:val="259"/>
        </w:trPr>
        <w:tc>
          <w:tcPr>
            <w:tcW w:w="5000" w:type="dxa"/>
            <w:tcBorders>
              <w:top w:val="nil"/>
              <w:left w:val="nil"/>
              <w:bottom w:val="nil"/>
              <w:right w:val="nil"/>
            </w:tcBorders>
            <w:shd w:val="clear" w:color="auto" w:fill="auto"/>
            <w:hideMark/>
          </w:tcPr>
          <w:p w14:paraId="19EC5D23" w14:textId="77777777" w:rsidR="00A30C77" w:rsidRPr="0023536E" w:rsidRDefault="00A30C77" w:rsidP="00A30C77">
            <w:pPr>
              <w:rPr>
                <w:rFonts w:ascii="Arial" w:hAnsi="Arial" w:cs="Arial"/>
                <w:b/>
                <w:bCs/>
                <w:sz w:val="18"/>
                <w:szCs w:val="18"/>
                <w:lang w:eastAsia="es-AR"/>
              </w:rPr>
            </w:pPr>
            <w:r w:rsidRPr="0023536E">
              <w:rPr>
                <w:rFonts w:ascii="Arial" w:hAnsi="Arial" w:cs="Arial"/>
                <w:b/>
                <w:bCs/>
                <w:sz w:val="18"/>
                <w:szCs w:val="18"/>
                <w:lang w:eastAsia="es-AR"/>
              </w:rPr>
              <w:t>3. Instrumentos de patrimonio</w:t>
            </w:r>
          </w:p>
        </w:tc>
        <w:tc>
          <w:tcPr>
            <w:tcW w:w="1220" w:type="dxa"/>
            <w:tcBorders>
              <w:top w:val="nil"/>
              <w:left w:val="nil"/>
              <w:bottom w:val="nil"/>
              <w:right w:val="nil"/>
            </w:tcBorders>
            <w:shd w:val="clear" w:color="auto" w:fill="auto"/>
          </w:tcPr>
          <w:p w14:paraId="1BBDC5AF" w14:textId="74DFA4DC"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5A55865E" w14:textId="478AD419" w:rsidR="00A30C77" w:rsidRPr="0023536E" w:rsidRDefault="00D02B08" w:rsidP="00A30C77">
            <w:pPr>
              <w:jc w:val="right"/>
              <w:rPr>
                <w:rFonts w:ascii="Arial" w:hAnsi="Arial" w:cs="Arial"/>
                <w:sz w:val="18"/>
                <w:szCs w:val="18"/>
                <w:lang w:eastAsia="es-AR"/>
              </w:rPr>
            </w:pPr>
            <w:r>
              <w:rPr>
                <w:rFonts w:ascii="Arial" w:hAnsi="Arial" w:cs="Arial"/>
                <w:sz w:val="18"/>
                <w:szCs w:val="18"/>
                <w:lang w:eastAsia="es-AR"/>
              </w:rPr>
              <w:t>2.427.461</w:t>
            </w:r>
          </w:p>
        </w:tc>
        <w:tc>
          <w:tcPr>
            <w:tcW w:w="1320" w:type="dxa"/>
            <w:tcBorders>
              <w:top w:val="nil"/>
              <w:left w:val="nil"/>
              <w:bottom w:val="nil"/>
              <w:right w:val="nil"/>
            </w:tcBorders>
            <w:shd w:val="clear" w:color="auto" w:fill="auto"/>
          </w:tcPr>
          <w:p w14:paraId="1E109C0B" w14:textId="140826E5"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1.236.879</w:t>
            </w:r>
          </w:p>
        </w:tc>
      </w:tr>
      <w:tr w:rsidR="00A30C77" w:rsidRPr="0023536E" w14:paraId="4F71D224" w14:textId="77777777" w:rsidTr="0023536E">
        <w:trPr>
          <w:trHeight w:val="259"/>
        </w:trPr>
        <w:tc>
          <w:tcPr>
            <w:tcW w:w="5000" w:type="dxa"/>
            <w:tcBorders>
              <w:top w:val="nil"/>
              <w:left w:val="nil"/>
              <w:bottom w:val="nil"/>
              <w:right w:val="nil"/>
            </w:tcBorders>
            <w:shd w:val="clear" w:color="auto" w:fill="auto"/>
            <w:hideMark/>
          </w:tcPr>
          <w:p w14:paraId="5320A05C" w14:textId="77777777" w:rsidR="00A30C77" w:rsidRPr="0023536E" w:rsidRDefault="00A30C77" w:rsidP="00A30C77">
            <w:pPr>
              <w:rPr>
                <w:rFonts w:ascii="Arial" w:hAnsi="Arial" w:cs="Arial"/>
                <w:sz w:val="18"/>
                <w:szCs w:val="18"/>
                <w:lang w:eastAsia="es-AR"/>
              </w:rPr>
            </w:pPr>
          </w:p>
        </w:tc>
        <w:tc>
          <w:tcPr>
            <w:tcW w:w="1220" w:type="dxa"/>
            <w:tcBorders>
              <w:top w:val="nil"/>
              <w:left w:val="nil"/>
              <w:bottom w:val="nil"/>
              <w:right w:val="nil"/>
            </w:tcBorders>
            <w:shd w:val="clear" w:color="auto" w:fill="auto"/>
          </w:tcPr>
          <w:p w14:paraId="25B4D459" w14:textId="77777777" w:rsidR="00A30C77" w:rsidRPr="0023536E" w:rsidRDefault="00A30C77" w:rsidP="00A30C77">
            <w:pPr>
              <w:jc w:val="right"/>
              <w:rPr>
                <w:sz w:val="18"/>
                <w:szCs w:val="18"/>
                <w:lang w:eastAsia="es-AR"/>
              </w:rPr>
            </w:pPr>
          </w:p>
        </w:tc>
        <w:tc>
          <w:tcPr>
            <w:tcW w:w="1160" w:type="dxa"/>
            <w:tcBorders>
              <w:top w:val="nil"/>
              <w:left w:val="nil"/>
              <w:bottom w:val="nil"/>
              <w:right w:val="nil"/>
            </w:tcBorders>
            <w:shd w:val="clear" w:color="auto" w:fill="auto"/>
          </w:tcPr>
          <w:p w14:paraId="25431587" w14:textId="77777777" w:rsidR="00A30C77" w:rsidRPr="0023536E" w:rsidRDefault="00A30C77" w:rsidP="00A30C77">
            <w:pPr>
              <w:jc w:val="right"/>
              <w:rPr>
                <w:sz w:val="18"/>
                <w:szCs w:val="18"/>
                <w:lang w:eastAsia="es-AR"/>
              </w:rPr>
            </w:pPr>
          </w:p>
        </w:tc>
        <w:tc>
          <w:tcPr>
            <w:tcW w:w="1320" w:type="dxa"/>
            <w:tcBorders>
              <w:top w:val="nil"/>
              <w:left w:val="nil"/>
              <w:bottom w:val="nil"/>
              <w:right w:val="nil"/>
            </w:tcBorders>
            <w:shd w:val="clear" w:color="auto" w:fill="auto"/>
          </w:tcPr>
          <w:p w14:paraId="199DA28E" w14:textId="77777777" w:rsidR="00A30C77" w:rsidRPr="00A30C77" w:rsidRDefault="00A30C77" w:rsidP="00A30C77">
            <w:pPr>
              <w:jc w:val="right"/>
              <w:rPr>
                <w:sz w:val="18"/>
                <w:szCs w:val="18"/>
                <w:lang w:eastAsia="es-AR"/>
              </w:rPr>
            </w:pPr>
          </w:p>
        </w:tc>
      </w:tr>
      <w:tr w:rsidR="00A30C77" w:rsidRPr="0023536E" w14:paraId="5B81C377" w14:textId="77777777" w:rsidTr="0023536E">
        <w:trPr>
          <w:trHeight w:val="259"/>
        </w:trPr>
        <w:tc>
          <w:tcPr>
            <w:tcW w:w="5000" w:type="dxa"/>
            <w:tcBorders>
              <w:top w:val="nil"/>
              <w:left w:val="nil"/>
              <w:bottom w:val="nil"/>
              <w:right w:val="nil"/>
            </w:tcBorders>
            <w:shd w:val="clear" w:color="auto" w:fill="auto"/>
            <w:hideMark/>
          </w:tcPr>
          <w:p w14:paraId="5C977D87" w14:textId="77777777" w:rsidR="00A30C77" w:rsidRPr="0023536E" w:rsidRDefault="00A30C77" w:rsidP="00A30C77">
            <w:pPr>
              <w:rPr>
                <w:rFonts w:ascii="Arial" w:hAnsi="Arial" w:cs="Arial"/>
                <w:b/>
                <w:bCs/>
                <w:sz w:val="18"/>
                <w:szCs w:val="18"/>
                <w:lang w:eastAsia="es-AR"/>
              </w:rPr>
            </w:pPr>
            <w:r w:rsidRPr="0023536E">
              <w:rPr>
                <w:rFonts w:ascii="Arial" w:hAnsi="Arial" w:cs="Arial"/>
                <w:b/>
                <w:bCs/>
                <w:sz w:val="18"/>
                <w:szCs w:val="18"/>
                <w:lang w:eastAsia="es-AR"/>
              </w:rPr>
              <w:t>4. Compromisos eventuales</w:t>
            </w:r>
          </w:p>
        </w:tc>
        <w:tc>
          <w:tcPr>
            <w:tcW w:w="1220" w:type="dxa"/>
            <w:tcBorders>
              <w:top w:val="nil"/>
              <w:left w:val="nil"/>
              <w:bottom w:val="nil"/>
              <w:right w:val="nil"/>
            </w:tcBorders>
            <w:shd w:val="clear" w:color="auto" w:fill="auto"/>
          </w:tcPr>
          <w:p w14:paraId="3AB784B3" w14:textId="198B1E43" w:rsidR="00A30C77" w:rsidRPr="0023536E" w:rsidRDefault="00A30C77" w:rsidP="00A30C77">
            <w:pPr>
              <w:jc w:val="right"/>
              <w:rPr>
                <w:rFonts w:ascii="Arial" w:hAnsi="Arial" w:cs="Arial"/>
                <w:sz w:val="18"/>
                <w:szCs w:val="18"/>
                <w:lang w:eastAsia="es-AR"/>
              </w:rPr>
            </w:pPr>
          </w:p>
        </w:tc>
        <w:tc>
          <w:tcPr>
            <w:tcW w:w="1160" w:type="dxa"/>
            <w:tcBorders>
              <w:top w:val="nil"/>
              <w:left w:val="nil"/>
              <w:bottom w:val="nil"/>
              <w:right w:val="nil"/>
            </w:tcBorders>
            <w:shd w:val="clear" w:color="auto" w:fill="auto"/>
          </w:tcPr>
          <w:p w14:paraId="2D6AAD02" w14:textId="33F79DAC" w:rsidR="00A30C77" w:rsidRPr="0023536E" w:rsidRDefault="00D02B08" w:rsidP="00A30C77">
            <w:pPr>
              <w:jc w:val="right"/>
              <w:rPr>
                <w:rFonts w:ascii="Arial" w:hAnsi="Arial" w:cs="Arial"/>
                <w:sz w:val="18"/>
                <w:szCs w:val="18"/>
                <w:lang w:eastAsia="es-AR"/>
              </w:rPr>
            </w:pPr>
            <w:r>
              <w:rPr>
                <w:rFonts w:ascii="Arial" w:hAnsi="Arial" w:cs="Arial"/>
                <w:sz w:val="18"/>
                <w:szCs w:val="18"/>
                <w:lang w:eastAsia="es-AR"/>
              </w:rPr>
              <w:t>-</w:t>
            </w:r>
          </w:p>
        </w:tc>
        <w:tc>
          <w:tcPr>
            <w:tcW w:w="1320" w:type="dxa"/>
            <w:tcBorders>
              <w:top w:val="nil"/>
              <w:left w:val="nil"/>
              <w:bottom w:val="nil"/>
              <w:right w:val="nil"/>
            </w:tcBorders>
            <w:shd w:val="clear" w:color="auto" w:fill="auto"/>
          </w:tcPr>
          <w:p w14:paraId="707BE15E" w14:textId="12404E04" w:rsidR="00A30C77" w:rsidRPr="00A30C77" w:rsidRDefault="00A30C77" w:rsidP="00A30C77">
            <w:pPr>
              <w:jc w:val="right"/>
              <w:rPr>
                <w:rFonts w:ascii="Arial" w:hAnsi="Arial" w:cs="Arial"/>
                <w:sz w:val="18"/>
                <w:szCs w:val="18"/>
                <w:lang w:eastAsia="es-AR"/>
              </w:rPr>
            </w:pPr>
            <w:r w:rsidRPr="00A30C77">
              <w:rPr>
                <w:rFonts w:ascii="Arial" w:hAnsi="Arial" w:cs="Arial"/>
                <w:sz w:val="18"/>
                <w:szCs w:val="18"/>
              </w:rPr>
              <w:t>-</w:t>
            </w:r>
          </w:p>
        </w:tc>
      </w:tr>
      <w:tr w:rsidR="00A30C77" w:rsidRPr="0023536E" w14:paraId="7EE02686" w14:textId="77777777" w:rsidTr="0023536E">
        <w:trPr>
          <w:trHeight w:val="259"/>
        </w:trPr>
        <w:tc>
          <w:tcPr>
            <w:tcW w:w="5000" w:type="dxa"/>
            <w:tcBorders>
              <w:top w:val="nil"/>
              <w:left w:val="nil"/>
              <w:bottom w:val="nil"/>
              <w:right w:val="nil"/>
            </w:tcBorders>
            <w:shd w:val="clear" w:color="auto" w:fill="auto"/>
            <w:hideMark/>
          </w:tcPr>
          <w:p w14:paraId="1C3490DD" w14:textId="77777777" w:rsidR="00A30C77" w:rsidRPr="0023536E" w:rsidRDefault="00A30C77" w:rsidP="00A30C77">
            <w:pPr>
              <w:rPr>
                <w:rFonts w:ascii="Arial" w:hAnsi="Arial" w:cs="Arial"/>
                <w:sz w:val="18"/>
                <w:szCs w:val="18"/>
                <w:lang w:eastAsia="es-AR"/>
              </w:rPr>
            </w:pPr>
          </w:p>
        </w:tc>
        <w:tc>
          <w:tcPr>
            <w:tcW w:w="1220" w:type="dxa"/>
            <w:tcBorders>
              <w:top w:val="nil"/>
              <w:left w:val="nil"/>
              <w:bottom w:val="nil"/>
              <w:right w:val="nil"/>
            </w:tcBorders>
            <w:shd w:val="clear" w:color="auto" w:fill="auto"/>
          </w:tcPr>
          <w:p w14:paraId="27A61F97" w14:textId="77777777" w:rsidR="00A30C77" w:rsidRPr="0023536E" w:rsidRDefault="00A30C77" w:rsidP="00A30C77">
            <w:pPr>
              <w:jc w:val="right"/>
              <w:rPr>
                <w:sz w:val="18"/>
                <w:szCs w:val="18"/>
                <w:lang w:eastAsia="es-AR"/>
              </w:rPr>
            </w:pPr>
          </w:p>
        </w:tc>
        <w:tc>
          <w:tcPr>
            <w:tcW w:w="1160" w:type="dxa"/>
            <w:tcBorders>
              <w:top w:val="nil"/>
              <w:left w:val="nil"/>
              <w:bottom w:val="nil"/>
              <w:right w:val="nil"/>
            </w:tcBorders>
            <w:shd w:val="clear" w:color="auto" w:fill="auto"/>
          </w:tcPr>
          <w:p w14:paraId="2B16AB44" w14:textId="77777777" w:rsidR="00A30C77" w:rsidRPr="0023536E" w:rsidRDefault="00A30C77" w:rsidP="00A30C77">
            <w:pPr>
              <w:jc w:val="right"/>
              <w:rPr>
                <w:sz w:val="18"/>
                <w:szCs w:val="18"/>
                <w:lang w:eastAsia="es-AR"/>
              </w:rPr>
            </w:pPr>
          </w:p>
        </w:tc>
        <w:tc>
          <w:tcPr>
            <w:tcW w:w="1320" w:type="dxa"/>
            <w:tcBorders>
              <w:top w:val="nil"/>
              <w:left w:val="nil"/>
              <w:bottom w:val="nil"/>
              <w:right w:val="nil"/>
            </w:tcBorders>
            <w:shd w:val="clear" w:color="auto" w:fill="auto"/>
          </w:tcPr>
          <w:p w14:paraId="1FB50727" w14:textId="77777777" w:rsidR="00A30C77" w:rsidRPr="00A30C77" w:rsidRDefault="00A30C77" w:rsidP="00A30C77">
            <w:pPr>
              <w:jc w:val="right"/>
              <w:rPr>
                <w:sz w:val="18"/>
                <w:szCs w:val="18"/>
                <w:lang w:eastAsia="es-AR"/>
              </w:rPr>
            </w:pPr>
          </w:p>
        </w:tc>
      </w:tr>
      <w:tr w:rsidR="00A30C77" w:rsidRPr="0023536E" w14:paraId="16268A39" w14:textId="77777777" w:rsidTr="0023536E">
        <w:trPr>
          <w:trHeight w:val="282"/>
        </w:trPr>
        <w:tc>
          <w:tcPr>
            <w:tcW w:w="5000" w:type="dxa"/>
            <w:tcBorders>
              <w:top w:val="nil"/>
              <w:left w:val="nil"/>
              <w:bottom w:val="nil"/>
              <w:right w:val="nil"/>
            </w:tcBorders>
            <w:shd w:val="clear" w:color="auto" w:fill="auto"/>
            <w:hideMark/>
          </w:tcPr>
          <w:p w14:paraId="7832EE31" w14:textId="77777777" w:rsidR="00A30C77" w:rsidRPr="0023536E" w:rsidRDefault="00A30C77" w:rsidP="00A30C77">
            <w:pPr>
              <w:rPr>
                <w:rFonts w:ascii="Arial" w:hAnsi="Arial" w:cs="Arial"/>
                <w:b/>
                <w:bCs/>
                <w:sz w:val="18"/>
                <w:szCs w:val="18"/>
                <w:lang w:eastAsia="es-AR"/>
              </w:rPr>
            </w:pPr>
            <w:r w:rsidRPr="0023536E">
              <w:rPr>
                <w:rFonts w:ascii="Arial" w:hAnsi="Arial" w:cs="Arial"/>
                <w:b/>
                <w:bCs/>
                <w:sz w:val="18"/>
                <w:szCs w:val="18"/>
                <w:lang w:eastAsia="es-AR"/>
              </w:rPr>
              <w:t>TOTAL</w:t>
            </w:r>
          </w:p>
        </w:tc>
        <w:tc>
          <w:tcPr>
            <w:tcW w:w="1220" w:type="dxa"/>
            <w:tcBorders>
              <w:top w:val="single" w:sz="4" w:space="0" w:color="auto"/>
              <w:left w:val="nil"/>
              <w:bottom w:val="single" w:sz="4" w:space="0" w:color="auto"/>
              <w:right w:val="nil"/>
            </w:tcBorders>
            <w:shd w:val="clear" w:color="auto" w:fill="auto"/>
          </w:tcPr>
          <w:p w14:paraId="54E8D665" w14:textId="27438942" w:rsidR="00A30C77" w:rsidRPr="0023536E" w:rsidRDefault="00A30C77" w:rsidP="00A30C77">
            <w:pPr>
              <w:jc w:val="right"/>
              <w:rPr>
                <w:rFonts w:ascii="Arial" w:hAnsi="Arial" w:cs="Arial"/>
                <w:b/>
                <w:bCs/>
                <w:sz w:val="18"/>
                <w:szCs w:val="18"/>
                <w:lang w:eastAsia="es-AR"/>
              </w:rPr>
            </w:pPr>
          </w:p>
        </w:tc>
        <w:tc>
          <w:tcPr>
            <w:tcW w:w="1160" w:type="dxa"/>
            <w:tcBorders>
              <w:top w:val="single" w:sz="4" w:space="0" w:color="auto"/>
              <w:left w:val="nil"/>
              <w:bottom w:val="single" w:sz="4" w:space="0" w:color="auto"/>
              <w:right w:val="nil"/>
            </w:tcBorders>
            <w:shd w:val="clear" w:color="auto" w:fill="auto"/>
          </w:tcPr>
          <w:p w14:paraId="0375BFA1" w14:textId="05B8967B" w:rsidR="00A30C77" w:rsidRPr="0023536E" w:rsidRDefault="00D02B08" w:rsidP="00A30C77">
            <w:pPr>
              <w:jc w:val="right"/>
              <w:rPr>
                <w:rFonts w:ascii="Arial" w:hAnsi="Arial" w:cs="Arial"/>
                <w:b/>
                <w:bCs/>
                <w:sz w:val="18"/>
                <w:szCs w:val="18"/>
                <w:lang w:eastAsia="es-AR"/>
              </w:rPr>
            </w:pPr>
            <w:r>
              <w:rPr>
                <w:rFonts w:ascii="Arial" w:hAnsi="Arial" w:cs="Arial"/>
                <w:b/>
                <w:bCs/>
                <w:sz w:val="18"/>
                <w:szCs w:val="18"/>
                <w:lang w:eastAsia="es-AR"/>
              </w:rPr>
              <w:t>4.847.847</w:t>
            </w:r>
          </w:p>
        </w:tc>
        <w:tc>
          <w:tcPr>
            <w:tcW w:w="1320" w:type="dxa"/>
            <w:tcBorders>
              <w:top w:val="single" w:sz="4" w:space="0" w:color="auto"/>
              <w:left w:val="nil"/>
              <w:bottom w:val="single" w:sz="4" w:space="0" w:color="auto"/>
              <w:right w:val="nil"/>
            </w:tcBorders>
            <w:shd w:val="clear" w:color="auto" w:fill="auto"/>
          </w:tcPr>
          <w:p w14:paraId="57453C48" w14:textId="6826D8B8" w:rsidR="00A30C77" w:rsidRPr="00A30C77" w:rsidRDefault="00A30C77" w:rsidP="00A30C77">
            <w:pPr>
              <w:jc w:val="right"/>
              <w:rPr>
                <w:rFonts w:ascii="Arial" w:hAnsi="Arial" w:cs="Arial"/>
                <w:b/>
                <w:bCs/>
                <w:sz w:val="18"/>
                <w:szCs w:val="18"/>
                <w:lang w:eastAsia="es-AR"/>
              </w:rPr>
            </w:pPr>
            <w:r w:rsidRPr="00A30C77">
              <w:rPr>
                <w:rFonts w:ascii="Arial" w:hAnsi="Arial" w:cs="Arial"/>
                <w:b/>
                <w:bCs/>
                <w:sz w:val="18"/>
                <w:szCs w:val="18"/>
              </w:rPr>
              <w:t>4.485.990</w:t>
            </w:r>
          </w:p>
        </w:tc>
      </w:tr>
      <w:tr w:rsidR="00A30C77" w:rsidRPr="0023536E" w14:paraId="73526155" w14:textId="77777777" w:rsidTr="0023536E">
        <w:trPr>
          <w:trHeight w:val="282"/>
        </w:trPr>
        <w:tc>
          <w:tcPr>
            <w:tcW w:w="5000" w:type="dxa"/>
            <w:tcBorders>
              <w:top w:val="nil"/>
              <w:left w:val="nil"/>
              <w:bottom w:val="nil"/>
              <w:right w:val="nil"/>
            </w:tcBorders>
            <w:shd w:val="clear" w:color="auto" w:fill="auto"/>
            <w:hideMark/>
          </w:tcPr>
          <w:p w14:paraId="5F916E0B" w14:textId="77777777" w:rsidR="00A30C77" w:rsidRPr="0023536E" w:rsidRDefault="00A30C77" w:rsidP="00A30C77">
            <w:pPr>
              <w:rPr>
                <w:rFonts w:ascii="Arial" w:hAnsi="Arial" w:cs="Arial"/>
                <w:b/>
                <w:bCs/>
                <w:sz w:val="18"/>
                <w:szCs w:val="18"/>
                <w:lang w:eastAsia="es-AR"/>
              </w:rPr>
            </w:pPr>
          </w:p>
        </w:tc>
        <w:tc>
          <w:tcPr>
            <w:tcW w:w="1220" w:type="dxa"/>
            <w:tcBorders>
              <w:top w:val="nil"/>
              <w:left w:val="nil"/>
              <w:bottom w:val="nil"/>
              <w:right w:val="nil"/>
            </w:tcBorders>
            <w:shd w:val="clear" w:color="auto" w:fill="auto"/>
          </w:tcPr>
          <w:p w14:paraId="693784D2" w14:textId="77777777" w:rsidR="00A30C77" w:rsidRPr="0023536E" w:rsidRDefault="00A30C77" w:rsidP="00A30C77">
            <w:pPr>
              <w:jc w:val="right"/>
              <w:rPr>
                <w:sz w:val="18"/>
                <w:szCs w:val="18"/>
                <w:lang w:eastAsia="es-AR"/>
              </w:rPr>
            </w:pPr>
          </w:p>
        </w:tc>
        <w:tc>
          <w:tcPr>
            <w:tcW w:w="1160" w:type="dxa"/>
            <w:tcBorders>
              <w:top w:val="nil"/>
              <w:left w:val="nil"/>
              <w:bottom w:val="nil"/>
              <w:right w:val="nil"/>
            </w:tcBorders>
            <w:shd w:val="clear" w:color="auto" w:fill="auto"/>
          </w:tcPr>
          <w:p w14:paraId="11EF4A8D" w14:textId="77777777" w:rsidR="00A30C77" w:rsidRPr="0023536E" w:rsidRDefault="00A30C77" w:rsidP="00A30C77">
            <w:pPr>
              <w:jc w:val="right"/>
              <w:rPr>
                <w:sz w:val="18"/>
                <w:szCs w:val="18"/>
                <w:lang w:eastAsia="es-AR"/>
              </w:rPr>
            </w:pPr>
          </w:p>
        </w:tc>
        <w:tc>
          <w:tcPr>
            <w:tcW w:w="1320" w:type="dxa"/>
            <w:tcBorders>
              <w:top w:val="nil"/>
              <w:left w:val="nil"/>
              <w:bottom w:val="nil"/>
              <w:right w:val="nil"/>
            </w:tcBorders>
            <w:shd w:val="clear" w:color="auto" w:fill="auto"/>
          </w:tcPr>
          <w:p w14:paraId="240BCA08" w14:textId="77777777" w:rsidR="00A30C77" w:rsidRPr="00A30C77" w:rsidRDefault="00A30C77" w:rsidP="00A30C77">
            <w:pPr>
              <w:jc w:val="right"/>
              <w:rPr>
                <w:sz w:val="18"/>
                <w:szCs w:val="18"/>
                <w:lang w:eastAsia="es-AR"/>
              </w:rPr>
            </w:pPr>
          </w:p>
        </w:tc>
      </w:tr>
      <w:tr w:rsidR="00A30C77" w:rsidRPr="0023536E" w14:paraId="52A40785" w14:textId="77777777" w:rsidTr="0023536E">
        <w:trPr>
          <w:trHeight w:val="282"/>
        </w:trPr>
        <w:tc>
          <w:tcPr>
            <w:tcW w:w="5000" w:type="dxa"/>
            <w:tcBorders>
              <w:top w:val="nil"/>
              <w:left w:val="nil"/>
              <w:bottom w:val="nil"/>
              <w:right w:val="nil"/>
            </w:tcBorders>
            <w:shd w:val="clear" w:color="auto" w:fill="auto"/>
            <w:hideMark/>
          </w:tcPr>
          <w:p w14:paraId="3A6CDE35" w14:textId="77777777" w:rsidR="00A30C77" w:rsidRPr="0023536E" w:rsidRDefault="00A30C77" w:rsidP="00A30C77">
            <w:pPr>
              <w:rPr>
                <w:rFonts w:ascii="Arial" w:hAnsi="Arial" w:cs="Arial"/>
                <w:b/>
                <w:bCs/>
                <w:sz w:val="18"/>
                <w:szCs w:val="18"/>
                <w:lang w:eastAsia="es-AR"/>
              </w:rPr>
            </w:pPr>
            <w:r w:rsidRPr="0023536E">
              <w:rPr>
                <w:rFonts w:ascii="Arial" w:hAnsi="Arial" w:cs="Arial"/>
                <w:b/>
                <w:bCs/>
                <w:sz w:val="18"/>
                <w:szCs w:val="18"/>
                <w:lang w:eastAsia="es-AR"/>
              </w:rPr>
              <w:t>PREVISIONES</w:t>
            </w:r>
          </w:p>
        </w:tc>
        <w:tc>
          <w:tcPr>
            <w:tcW w:w="1220" w:type="dxa"/>
            <w:tcBorders>
              <w:top w:val="single" w:sz="4" w:space="0" w:color="auto"/>
              <w:left w:val="nil"/>
              <w:bottom w:val="single" w:sz="4" w:space="0" w:color="auto"/>
              <w:right w:val="nil"/>
            </w:tcBorders>
            <w:shd w:val="clear" w:color="auto" w:fill="auto"/>
          </w:tcPr>
          <w:p w14:paraId="7D95797B" w14:textId="62AE6633" w:rsidR="00A30C77" w:rsidRPr="0023536E" w:rsidRDefault="00A30C77" w:rsidP="00A30C77">
            <w:pPr>
              <w:jc w:val="right"/>
              <w:rPr>
                <w:rFonts w:ascii="Arial" w:hAnsi="Arial" w:cs="Arial"/>
                <w:b/>
                <w:bCs/>
                <w:sz w:val="18"/>
                <w:szCs w:val="18"/>
                <w:lang w:eastAsia="es-AR"/>
              </w:rPr>
            </w:pPr>
          </w:p>
        </w:tc>
        <w:tc>
          <w:tcPr>
            <w:tcW w:w="1160" w:type="dxa"/>
            <w:tcBorders>
              <w:top w:val="single" w:sz="4" w:space="0" w:color="auto"/>
              <w:left w:val="nil"/>
              <w:bottom w:val="single" w:sz="4" w:space="0" w:color="auto"/>
              <w:right w:val="nil"/>
            </w:tcBorders>
            <w:shd w:val="clear" w:color="auto" w:fill="auto"/>
          </w:tcPr>
          <w:p w14:paraId="6A6268E7" w14:textId="25D4B238" w:rsidR="00A30C77" w:rsidRPr="0023536E" w:rsidRDefault="00D02B08" w:rsidP="00A30C77">
            <w:pPr>
              <w:jc w:val="right"/>
              <w:rPr>
                <w:rFonts w:ascii="Arial" w:hAnsi="Arial" w:cs="Arial"/>
                <w:b/>
                <w:bCs/>
                <w:sz w:val="18"/>
                <w:szCs w:val="18"/>
                <w:lang w:eastAsia="es-AR"/>
              </w:rPr>
            </w:pPr>
            <w:r>
              <w:rPr>
                <w:rFonts w:ascii="Arial" w:hAnsi="Arial" w:cs="Arial"/>
                <w:b/>
                <w:bCs/>
                <w:sz w:val="18"/>
                <w:szCs w:val="18"/>
                <w:lang w:eastAsia="es-AR"/>
              </w:rPr>
              <w:t>24.</w:t>
            </w:r>
            <w:r w:rsidR="008F5029">
              <w:rPr>
                <w:rFonts w:ascii="Arial" w:hAnsi="Arial" w:cs="Arial"/>
                <w:b/>
                <w:bCs/>
                <w:sz w:val="18"/>
                <w:szCs w:val="18"/>
                <w:lang w:eastAsia="es-AR"/>
              </w:rPr>
              <w:t>204</w:t>
            </w:r>
          </w:p>
        </w:tc>
        <w:tc>
          <w:tcPr>
            <w:tcW w:w="1320" w:type="dxa"/>
            <w:tcBorders>
              <w:top w:val="single" w:sz="4" w:space="0" w:color="auto"/>
              <w:left w:val="nil"/>
              <w:bottom w:val="single" w:sz="4" w:space="0" w:color="auto"/>
              <w:right w:val="nil"/>
            </w:tcBorders>
            <w:shd w:val="clear" w:color="auto" w:fill="auto"/>
          </w:tcPr>
          <w:p w14:paraId="5C5F649F" w14:textId="159F1632" w:rsidR="00A30C77" w:rsidRPr="00A30C77" w:rsidRDefault="00A30C77" w:rsidP="00A30C77">
            <w:pPr>
              <w:jc w:val="right"/>
              <w:rPr>
                <w:rFonts w:ascii="Arial" w:hAnsi="Arial" w:cs="Arial"/>
                <w:b/>
                <w:bCs/>
                <w:sz w:val="18"/>
                <w:szCs w:val="18"/>
                <w:lang w:eastAsia="es-AR"/>
              </w:rPr>
            </w:pPr>
            <w:r w:rsidRPr="00A30C77">
              <w:rPr>
                <w:rFonts w:ascii="Arial" w:hAnsi="Arial" w:cs="Arial"/>
                <w:b/>
                <w:bCs/>
                <w:sz w:val="18"/>
                <w:szCs w:val="18"/>
              </w:rPr>
              <w:t>32.491</w:t>
            </w:r>
          </w:p>
        </w:tc>
      </w:tr>
    </w:tbl>
    <w:p w14:paraId="36174049" w14:textId="77777777" w:rsidR="0023536E" w:rsidRDefault="0023536E" w:rsidP="008962C9"/>
    <w:p w14:paraId="2927F4A0" w14:textId="05CD753C" w:rsidR="0023536E" w:rsidRPr="007B34B2" w:rsidRDefault="0023536E" w:rsidP="008962C9">
      <w:pPr>
        <w:sectPr w:rsidR="0023536E" w:rsidRPr="007B34B2" w:rsidSect="00425F99">
          <w:headerReference w:type="default" r:id="rId64"/>
          <w:pgSz w:w="11907" w:h="16839" w:code="9"/>
          <w:pgMar w:top="1418" w:right="1701" w:bottom="1418" w:left="1701" w:header="567" w:footer="0" w:gutter="0"/>
          <w:paperSrc w:first="256" w:other="256"/>
          <w:cols w:space="720"/>
          <w:docGrid w:linePitch="326"/>
        </w:sectPr>
      </w:pPr>
    </w:p>
    <w:p w14:paraId="7CE05784" w14:textId="5C222E98" w:rsidR="007C794F" w:rsidRDefault="007C794F" w:rsidP="008962C9"/>
    <w:tbl>
      <w:tblPr>
        <w:tblStyle w:val="Tablaconcuadrcula"/>
        <w:tblW w:w="14444" w:type="dxa"/>
        <w:tblLook w:val="04A0" w:firstRow="1" w:lastRow="0" w:firstColumn="1" w:lastColumn="0" w:noHBand="0" w:noVBand="1"/>
      </w:tblPr>
      <w:tblGrid>
        <w:gridCol w:w="883"/>
        <w:gridCol w:w="2491"/>
        <w:gridCol w:w="2215"/>
        <w:gridCol w:w="2344"/>
        <w:gridCol w:w="2182"/>
        <w:gridCol w:w="1276"/>
        <w:gridCol w:w="1043"/>
        <w:gridCol w:w="1082"/>
        <w:gridCol w:w="928"/>
      </w:tblGrid>
      <w:tr w:rsidR="00BE5A48" w14:paraId="611CEE03" w14:textId="77777777" w:rsidTr="009D53E3">
        <w:tc>
          <w:tcPr>
            <w:tcW w:w="883" w:type="dxa"/>
            <w:tcBorders>
              <w:bottom w:val="single" w:sz="4" w:space="0" w:color="auto"/>
            </w:tcBorders>
            <w:shd w:val="clear" w:color="auto" w:fill="BFBFBF" w:themeFill="background1" w:themeFillShade="BF"/>
            <w:vAlign w:val="center"/>
          </w:tcPr>
          <w:p w14:paraId="35FBDAAA" w14:textId="3762244B" w:rsidR="00BE5A48" w:rsidRPr="00BE5A48" w:rsidRDefault="00BE5A48" w:rsidP="00BE5A48">
            <w:pPr>
              <w:jc w:val="center"/>
              <w:rPr>
                <w:rFonts w:ascii="Arial" w:hAnsi="Arial" w:cs="Arial"/>
                <w:b/>
                <w:sz w:val="16"/>
                <w:szCs w:val="18"/>
              </w:rPr>
            </w:pPr>
            <w:r w:rsidRPr="00BE5A48">
              <w:rPr>
                <w:rFonts w:ascii="Arial" w:hAnsi="Arial" w:cs="Arial"/>
                <w:b/>
                <w:sz w:val="16"/>
                <w:szCs w:val="18"/>
              </w:rPr>
              <w:t>Tipo de Contrato</w:t>
            </w:r>
          </w:p>
        </w:tc>
        <w:tc>
          <w:tcPr>
            <w:tcW w:w="2491" w:type="dxa"/>
            <w:tcBorders>
              <w:bottom w:val="single" w:sz="4" w:space="0" w:color="auto"/>
            </w:tcBorders>
            <w:shd w:val="clear" w:color="auto" w:fill="BFBFBF" w:themeFill="background1" w:themeFillShade="BF"/>
            <w:vAlign w:val="center"/>
          </w:tcPr>
          <w:p w14:paraId="78039A46" w14:textId="77777777" w:rsidR="00BE5A48" w:rsidRPr="00BE5A48" w:rsidRDefault="00BE5A48" w:rsidP="00BE5A48">
            <w:pPr>
              <w:jc w:val="center"/>
              <w:rPr>
                <w:rFonts w:ascii="Arial" w:hAnsi="Arial" w:cs="Arial"/>
                <w:b/>
                <w:bCs/>
                <w:sz w:val="16"/>
                <w:szCs w:val="18"/>
                <w:lang w:eastAsia="es-AR"/>
              </w:rPr>
            </w:pPr>
            <w:r w:rsidRPr="00BE5A48">
              <w:rPr>
                <w:rFonts w:ascii="Arial" w:hAnsi="Arial" w:cs="Arial"/>
                <w:b/>
                <w:bCs/>
                <w:sz w:val="16"/>
                <w:szCs w:val="18"/>
              </w:rPr>
              <w:t>Objetivo de las</w:t>
            </w:r>
          </w:p>
          <w:p w14:paraId="1A008D9E" w14:textId="13EF13DB" w:rsidR="00BE5A48" w:rsidRPr="00BE5A48" w:rsidRDefault="00BE5A48" w:rsidP="00BE5A48">
            <w:pPr>
              <w:jc w:val="center"/>
              <w:rPr>
                <w:rFonts w:ascii="Arial" w:hAnsi="Arial" w:cs="Arial"/>
                <w:b/>
                <w:sz w:val="16"/>
                <w:szCs w:val="18"/>
              </w:rPr>
            </w:pPr>
            <w:r w:rsidRPr="00BE5A48">
              <w:rPr>
                <w:rFonts w:ascii="Arial" w:hAnsi="Arial" w:cs="Arial"/>
                <w:b/>
                <w:sz w:val="16"/>
                <w:szCs w:val="18"/>
              </w:rPr>
              <w:t>Operaciones</w:t>
            </w:r>
          </w:p>
        </w:tc>
        <w:tc>
          <w:tcPr>
            <w:tcW w:w="2215" w:type="dxa"/>
            <w:tcBorders>
              <w:bottom w:val="single" w:sz="4" w:space="0" w:color="auto"/>
            </w:tcBorders>
            <w:shd w:val="clear" w:color="auto" w:fill="BFBFBF" w:themeFill="background1" w:themeFillShade="BF"/>
            <w:vAlign w:val="center"/>
          </w:tcPr>
          <w:p w14:paraId="2245A26B" w14:textId="7BCF88E9" w:rsidR="00BE5A48" w:rsidRPr="00BE5A48" w:rsidRDefault="00BE5A48" w:rsidP="00BE5A48">
            <w:pPr>
              <w:jc w:val="center"/>
              <w:rPr>
                <w:rFonts w:ascii="Arial" w:hAnsi="Arial" w:cs="Arial"/>
                <w:b/>
                <w:sz w:val="16"/>
                <w:szCs w:val="18"/>
              </w:rPr>
            </w:pPr>
            <w:r w:rsidRPr="00BE5A48">
              <w:rPr>
                <w:rFonts w:ascii="Arial" w:hAnsi="Arial" w:cs="Arial"/>
                <w:b/>
                <w:sz w:val="16"/>
                <w:szCs w:val="18"/>
              </w:rPr>
              <w:t>Activo Subyacente</w:t>
            </w:r>
          </w:p>
        </w:tc>
        <w:tc>
          <w:tcPr>
            <w:tcW w:w="2344" w:type="dxa"/>
            <w:tcBorders>
              <w:bottom w:val="single" w:sz="4" w:space="0" w:color="auto"/>
            </w:tcBorders>
            <w:shd w:val="clear" w:color="auto" w:fill="BFBFBF" w:themeFill="background1" w:themeFillShade="BF"/>
            <w:vAlign w:val="center"/>
          </w:tcPr>
          <w:p w14:paraId="6474A94D" w14:textId="10FE27AD" w:rsidR="00BE5A48" w:rsidRPr="00BE5A48" w:rsidRDefault="00BE5A48" w:rsidP="00BE5A48">
            <w:pPr>
              <w:jc w:val="center"/>
              <w:rPr>
                <w:rFonts w:ascii="Arial" w:hAnsi="Arial" w:cs="Arial"/>
                <w:b/>
                <w:sz w:val="16"/>
                <w:szCs w:val="18"/>
              </w:rPr>
            </w:pPr>
            <w:r w:rsidRPr="00BE5A48">
              <w:rPr>
                <w:rFonts w:ascii="Arial" w:hAnsi="Arial" w:cs="Arial"/>
                <w:b/>
                <w:sz w:val="16"/>
                <w:szCs w:val="18"/>
              </w:rPr>
              <w:t>Tipo de liquidación</w:t>
            </w:r>
          </w:p>
        </w:tc>
        <w:tc>
          <w:tcPr>
            <w:tcW w:w="2182" w:type="dxa"/>
            <w:tcBorders>
              <w:bottom w:val="single" w:sz="4" w:space="0" w:color="auto"/>
            </w:tcBorders>
            <w:shd w:val="clear" w:color="auto" w:fill="BFBFBF" w:themeFill="background1" w:themeFillShade="BF"/>
            <w:vAlign w:val="center"/>
          </w:tcPr>
          <w:p w14:paraId="6A8FE548" w14:textId="3FAED47C" w:rsidR="00BE5A48" w:rsidRPr="00BE5A48" w:rsidRDefault="00BE29BE" w:rsidP="00BE5A48">
            <w:pPr>
              <w:jc w:val="center"/>
              <w:rPr>
                <w:rFonts w:ascii="Arial" w:hAnsi="Arial" w:cs="Arial"/>
                <w:b/>
                <w:sz w:val="16"/>
                <w:szCs w:val="18"/>
              </w:rPr>
            </w:pPr>
            <w:r w:rsidRPr="00BE5A48">
              <w:rPr>
                <w:rFonts w:ascii="Arial" w:hAnsi="Arial" w:cs="Arial"/>
                <w:b/>
                <w:sz w:val="16"/>
                <w:szCs w:val="18"/>
              </w:rPr>
              <w:t>Ámbito</w:t>
            </w:r>
            <w:r w:rsidR="00BE5A48" w:rsidRPr="00BE5A48">
              <w:rPr>
                <w:rFonts w:ascii="Arial" w:hAnsi="Arial" w:cs="Arial"/>
                <w:b/>
                <w:sz w:val="16"/>
                <w:szCs w:val="18"/>
              </w:rPr>
              <w:t xml:space="preserve"> de Negociación o contraparte</w:t>
            </w:r>
          </w:p>
        </w:tc>
        <w:tc>
          <w:tcPr>
            <w:tcW w:w="1276" w:type="dxa"/>
            <w:tcBorders>
              <w:bottom w:val="single" w:sz="4" w:space="0" w:color="auto"/>
            </w:tcBorders>
            <w:shd w:val="clear" w:color="auto" w:fill="BFBFBF" w:themeFill="background1" w:themeFillShade="BF"/>
            <w:vAlign w:val="center"/>
          </w:tcPr>
          <w:p w14:paraId="2D5BF418" w14:textId="4D7DDC02" w:rsidR="00BE5A48" w:rsidRPr="00BE5A48" w:rsidRDefault="00BE5A48" w:rsidP="00BE5A48">
            <w:pPr>
              <w:jc w:val="center"/>
              <w:rPr>
                <w:rFonts w:ascii="Arial" w:hAnsi="Arial" w:cs="Arial"/>
                <w:b/>
                <w:sz w:val="16"/>
                <w:szCs w:val="18"/>
              </w:rPr>
            </w:pPr>
            <w:r w:rsidRPr="00BE5A48">
              <w:rPr>
                <w:rFonts w:ascii="Arial" w:hAnsi="Arial" w:cs="Arial"/>
                <w:b/>
                <w:sz w:val="16"/>
                <w:szCs w:val="18"/>
              </w:rPr>
              <w:t>Plazo Promedio Ponderado originalmente pactado</w:t>
            </w:r>
          </w:p>
        </w:tc>
        <w:tc>
          <w:tcPr>
            <w:tcW w:w="1043" w:type="dxa"/>
            <w:tcBorders>
              <w:bottom w:val="single" w:sz="4" w:space="0" w:color="auto"/>
            </w:tcBorders>
            <w:shd w:val="clear" w:color="auto" w:fill="BFBFBF" w:themeFill="background1" w:themeFillShade="BF"/>
            <w:vAlign w:val="center"/>
          </w:tcPr>
          <w:p w14:paraId="3BAFF6A4" w14:textId="39B4EB63" w:rsidR="00BE5A48" w:rsidRPr="00BE5A48" w:rsidRDefault="00BE5A48" w:rsidP="00BE5A48">
            <w:pPr>
              <w:jc w:val="center"/>
              <w:rPr>
                <w:rFonts w:ascii="Arial" w:hAnsi="Arial" w:cs="Arial"/>
                <w:b/>
                <w:sz w:val="16"/>
                <w:szCs w:val="18"/>
              </w:rPr>
            </w:pPr>
            <w:r w:rsidRPr="00BE5A48">
              <w:rPr>
                <w:rFonts w:ascii="Arial" w:hAnsi="Arial" w:cs="Arial"/>
                <w:b/>
                <w:sz w:val="16"/>
                <w:szCs w:val="18"/>
              </w:rPr>
              <w:t>Plazo promedio ponderado residual</w:t>
            </w:r>
          </w:p>
        </w:tc>
        <w:tc>
          <w:tcPr>
            <w:tcW w:w="1082" w:type="dxa"/>
            <w:tcBorders>
              <w:bottom w:val="single" w:sz="4" w:space="0" w:color="auto"/>
            </w:tcBorders>
            <w:shd w:val="clear" w:color="auto" w:fill="BFBFBF" w:themeFill="background1" w:themeFillShade="BF"/>
            <w:vAlign w:val="center"/>
          </w:tcPr>
          <w:p w14:paraId="6895B4B6" w14:textId="64021ED7" w:rsidR="00BE5A48" w:rsidRPr="00BE5A48" w:rsidRDefault="00BE5A48" w:rsidP="00BE5A48">
            <w:pPr>
              <w:jc w:val="center"/>
              <w:rPr>
                <w:rFonts w:ascii="Arial" w:hAnsi="Arial" w:cs="Arial"/>
                <w:b/>
                <w:sz w:val="16"/>
                <w:szCs w:val="18"/>
              </w:rPr>
            </w:pPr>
            <w:r w:rsidRPr="00BE5A48">
              <w:rPr>
                <w:rFonts w:ascii="Arial" w:hAnsi="Arial" w:cs="Arial"/>
                <w:b/>
                <w:sz w:val="16"/>
                <w:szCs w:val="18"/>
              </w:rPr>
              <w:t>Plazo Promedio Ponderado de liquid. de diferencias</w:t>
            </w:r>
          </w:p>
        </w:tc>
        <w:tc>
          <w:tcPr>
            <w:tcW w:w="0" w:type="auto"/>
            <w:tcBorders>
              <w:bottom w:val="single" w:sz="4" w:space="0" w:color="auto"/>
            </w:tcBorders>
            <w:shd w:val="clear" w:color="auto" w:fill="BFBFBF" w:themeFill="background1" w:themeFillShade="BF"/>
            <w:vAlign w:val="center"/>
          </w:tcPr>
          <w:p w14:paraId="5242A0BA" w14:textId="2A8EEA8B" w:rsidR="00BE5A48" w:rsidRPr="00BE5A48" w:rsidRDefault="00BE5A48" w:rsidP="00BE5A48">
            <w:pPr>
              <w:jc w:val="center"/>
              <w:rPr>
                <w:rFonts w:ascii="Arial" w:hAnsi="Arial" w:cs="Arial"/>
                <w:b/>
                <w:sz w:val="16"/>
                <w:szCs w:val="18"/>
              </w:rPr>
            </w:pPr>
            <w:r w:rsidRPr="00BE5A48">
              <w:rPr>
                <w:rFonts w:ascii="Arial" w:hAnsi="Arial" w:cs="Arial"/>
                <w:b/>
                <w:sz w:val="16"/>
                <w:szCs w:val="18"/>
              </w:rPr>
              <w:t>Monto</w:t>
            </w:r>
          </w:p>
        </w:tc>
      </w:tr>
      <w:tr w:rsidR="00BE5A48" w:rsidRPr="00BE5A48" w14:paraId="546AAE4B" w14:textId="77777777" w:rsidTr="00BE5A48">
        <w:trPr>
          <w:trHeight w:val="20"/>
        </w:trPr>
        <w:tc>
          <w:tcPr>
            <w:tcW w:w="883" w:type="dxa"/>
            <w:tcBorders>
              <w:top w:val="single" w:sz="4" w:space="0" w:color="auto"/>
              <w:left w:val="nil"/>
              <w:bottom w:val="nil"/>
              <w:right w:val="nil"/>
            </w:tcBorders>
          </w:tcPr>
          <w:p w14:paraId="2DE3DF41" w14:textId="77777777" w:rsidR="00BE5A48" w:rsidRPr="00BE5A48" w:rsidRDefault="00BE5A48" w:rsidP="00BE5A48">
            <w:pPr>
              <w:rPr>
                <w:rFonts w:ascii="Arial" w:hAnsi="Arial" w:cs="Arial"/>
                <w:sz w:val="16"/>
                <w:szCs w:val="18"/>
              </w:rPr>
            </w:pPr>
          </w:p>
        </w:tc>
        <w:tc>
          <w:tcPr>
            <w:tcW w:w="2491" w:type="dxa"/>
            <w:tcBorders>
              <w:top w:val="single" w:sz="4" w:space="0" w:color="auto"/>
              <w:left w:val="nil"/>
              <w:bottom w:val="nil"/>
              <w:right w:val="nil"/>
            </w:tcBorders>
          </w:tcPr>
          <w:p w14:paraId="19F88540" w14:textId="77777777" w:rsidR="00BE5A48" w:rsidRPr="00BE5A48" w:rsidRDefault="00BE5A48" w:rsidP="00BE5A48">
            <w:pPr>
              <w:rPr>
                <w:rFonts w:ascii="Arial" w:hAnsi="Arial" w:cs="Arial"/>
                <w:sz w:val="16"/>
                <w:szCs w:val="18"/>
              </w:rPr>
            </w:pPr>
          </w:p>
        </w:tc>
        <w:tc>
          <w:tcPr>
            <w:tcW w:w="2215" w:type="dxa"/>
            <w:tcBorders>
              <w:top w:val="single" w:sz="4" w:space="0" w:color="auto"/>
              <w:left w:val="nil"/>
              <w:bottom w:val="nil"/>
              <w:right w:val="nil"/>
            </w:tcBorders>
          </w:tcPr>
          <w:p w14:paraId="6E1CAA69" w14:textId="77777777" w:rsidR="00BE5A48" w:rsidRPr="00BE5A48" w:rsidRDefault="00BE5A48" w:rsidP="00BE5A48">
            <w:pPr>
              <w:rPr>
                <w:rFonts w:ascii="Arial" w:hAnsi="Arial" w:cs="Arial"/>
                <w:sz w:val="16"/>
                <w:szCs w:val="18"/>
              </w:rPr>
            </w:pPr>
          </w:p>
        </w:tc>
        <w:tc>
          <w:tcPr>
            <w:tcW w:w="2344" w:type="dxa"/>
            <w:tcBorders>
              <w:top w:val="single" w:sz="4" w:space="0" w:color="auto"/>
              <w:left w:val="nil"/>
              <w:bottom w:val="nil"/>
              <w:right w:val="nil"/>
            </w:tcBorders>
          </w:tcPr>
          <w:p w14:paraId="5CC266E5" w14:textId="77777777" w:rsidR="00BE5A48" w:rsidRPr="00BE5A48" w:rsidRDefault="00BE5A48" w:rsidP="00BE5A48">
            <w:pPr>
              <w:rPr>
                <w:rFonts w:ascii="Arial" w:hAnsi="Arial" w:cs="Arial"/>
                <w:sz w:val="16"/>
                <w:szCs w:val="18"/>
              </w:rPr>
            </w:pPr>
          </w:p>
        </w:tc>
        <w:tc>
          <w:tcPr>
            <w:tcW w:w="2182" w:type="dxa"/>
            <w:tcBorders>
              <w:top w:val="single" w:sz="4" w:space="0" w:color="auto"/>
              <w:left w:val="nil"/>
              <w:bottom w:val="nil"/>
              <w:right w:val="nil"/>
            </w:tcBorders>
          </w:tcPr>
          <w:p w14:paraId="28F236A2" w14:textId="77777777" w:rsidR="00BE5A48" w:rsidRPr="00BE5A48" w:rsidRDefault="00BE5A48" w:rsidP="00BE5A48">
            <w:pPr>
              <w:rPr>
                <w:rFonts w:ascii="Arial" w:hAnsi="Arial" w:cs="Arial"/>
                <w:sz w:val="16"/>
                <w:szCs w:val="18"/>
              </w:rPr>
            </w:pPr>
          </w:p>
        </w:tc>
        <w:tc>
          <w:tcPr>
            <w:tcW w:w="1276" w:type="dxa"/>
            <w:tcBorders>
              <w:top w:val="single" w:sz="4" w:space="0" w:color="auto"/>
              <w:left w:val="nil"/>
              <w:bottom w:val="nil"/>
              <w:right w:val="nil"/>
            </w:tcBorders>
          </w:tcPr>
          <w:p w14:paraId="6F26BDB7" w14:textId="77777777" w:rsidR="00BE5A48" w:rsidRPr="00BE5A48" w:rsidRDefault="00BE5A48" w:rsidP="00BE5A48">
            <w:pPr>
              <w:rPr>
                <w:rFonts w:ascii="Arial" w:hAnsi="Arial" w:cs="Arial"/>
                <w:sz w:val="16"/>
                <w:szCs w:val="18"/>
              </w:rPr>
            </w:pPr>
          </w:p>
        </w:tc>
        <w:tc>
          <w:tcPr>
            <w:tcW w:w="1043" w:type="dxa"/>
            <w:tcBorders>
              <w:top w:val="single" w:sz="4" w:space="0" w:color="auto"/>
              <w:left w:val="nil"/>
              <w:bottom w:val="nil"/>
              <w:right w:val="nil"/>
            </w:tcBorders>
          </w:tcPr>
          <w:p w14:paraId="3C48FFA8" w14:textId="77777777" w:rsidR="00BE5A48" w:rsidRPr="00BE5A48" w:rsidRDefault="00BE5A48" w:rsidP="00BE5A48">
            <w:pPr>
              <w:rPr>
                <w:rFonts w:ascii="Arial" w:hAnsi="Arial" w:cs="Arial"/>
                <w:sz w:val="16"/>
                <w:szCs w:val="18"/>
              </w:rPr>
            </w:pPr>
          </w:p>
        </w:tc>
        <w:tc>
          <w:tcPr>
            <w:tcW w:w="1082" w:type="dxa"/>
            <w:tcBorders>
              <w:top w:val="single" w:sz="4" w:space="0" w:color="auto"/>
              <w:left w:val="nil"/>
              <w:bottom w:val="nil"/>
              <w:right w:val="nil"/>
            </w:tcBorders>
          </w:tcPr>
          <w:p w14:paraId="57849257" w14:textId="77777777" w:rsidR="00BE5A48" w:rsidRPr="00BE5A48" w:rsidRDefault="00BE5A48" w:rsidP="00BE5A48">
            <w:pPr>
              <w:rPr>
                <w:rFonts w:ascii="Arial" w:hAnsi="Arial" w:cs="Arial"/>
                <w:sz w:val="16"/>
                <w:szCs w:val="18"/>
              </w:rPr>
            </w:pPr>
          </w:p>
        </w:tc>
        <w:tc>
          <w:tcPr>
            <w:tcW w:w="0" w:type="auto"/>
            <w:tcBorders>
              <w:top w:val="single" w:sz="4" w:space="0" w:color="auto"/>
              <w:left w:val="nil"/>
              <w:bottom w:val="nil"/>
              <w:right w:val="nil"/>
            </w:tcBorders>
          </w:tcPr>
          <w:p w14:paraId="13EF0A4B" w14:textId="77777777" w:rsidR="00BE5A48" w:rsidRPr="00BE5A48" w:rsidRDefault="00BE5A48" w:rsidP="00BE5A48">
            <w:pPr>
              <w:rPr>
                <w:rFonts w:ascii="Arial" w:hAnsi="Arial" w:cs="Arial"/>
                <w:sz w:val="16"/>
                <w:szCs w:val="18"/>
              </w:rPr>
            </w:pPr>
          </w:p>
        </w:tc>
      </w:tr>
      <w:tr w:rsidR="00BE5A48" w:rsidRPr="00BE5A48" w14:paraId="6988B4B6" w14:textId="77777777" w:rsidTr="003C1373">
        <w:tc>
          <w:tcPr>
            <w:tcW w:w="883" w:type="dxa"/>
            <w:tcBorders>
              <w:top w:val="nil"/>
              <w:left w:val="nil"/>
              <w:bottom w:val="nil"/>
              <w:right w:val="nil"/>
            </w:tcBorders>
            <w:vAlign w:val="bottom"/>
          </w:tcPr>
          <w:p w14:paraId="1BAD654A" w14:textId="4EA11D23" w:rsidR="00BE5A48" w:rsidRPr="00BE5A48" w:rsidRDefault="00BE5A48" w:rsidP="003C1373">
            <w:pPr>
              <w:jc w:val="center"/>
              <w:rPr>
                <w:rFonts w:ascii="Arial" w:hAnsi="Arial" w:cs="Arial"/>
                <w:sz w:val="16"/>
                <w:szCs w:val="18"/>
              </w:rPr>
            </w:pPr>
            <w:r w:rsidRPr="00BE5A48">
              <w:rPr>
                <w:rFonts w:ascii="Arial" w:hAnsi="Arial" w:cs="Arial"/>
                <w:sz w:val="16"/>
                <w:szCs w:val="18"/>
              </w:rPr>
              <w:t>Futuros</w:t>
            </w:r>
          </w:p>
        </w:tc>
        <w:tc>
          <w:tcPr>
            <w:tcW w:w="2491" w:type="dxa"/>
            <w:tcBorders>
              <w:top w:val="nil"/>
              <w:left w:val="nil"/>
              <w:bottom w:val="nil"/>
              <w:right w:val="nil"/>
            </w:tcBorders>
            <w:vAlign w:val="bottom"/>
          </w:tcPr>
          <w:p w14:paraId="66138CE4" w14:textId="37F2E472" w:rsidR="00BE5A48" w:rsidRPr="00BE5A48" w:rsidRDefault="00BE5A48" w:rsidP="003C1373">
            <w:pPr>
              <w:jc w:val="center"/>
              <w:rPr>
                <w:rFonts w:ascii="Arial" w:hAnsi="Arial" w:cs="Arial"/>
                <w:sz w:val="16"/>
                <w:szCs w:val="18"/>
              </w:rPr>
            </w:pPr>
            <w:r w:rsidRPr="00BE5A48">
              <w:rPr>
                <w:rFonts w:ascii="Arial" w:hAnsi="Arial" w:cs="Arial"/>
                <w:sz w:val="16"/>
                <w:szCs w:val="18"/>
              </w:rPr>
              <w:t>Cobertura de moneda extranjera</w:t>
            </w:r>
          </w:p>
        </w:tc>
        <w:tc>
          <w:tcPr>
            <w:tcW w:w="2215" w:type="dxa"/>
            <w:tcBorders>
              <w:top w:val="nil"/>
              <w:left w:val="nil"/>
              <w:bottom w:val="nil"/>
              <w:right w:val="nil"/>
            </w:tcBorders>
            <w:vAlign w:val="bottom"/>
          </w:tcPr>
          <w:p w14:paraId="1710EBD6" w14:textId="0E758941" w:rsidR="00BE5A48" w:rsidRPr="00BE5A48" w:rsidRDefault="00BE5A48" w:rsidP="003C1373">
            <w:pPr>
              <w:jc w:val="center"/>
              <w:rPr>
                <w:rFonts w:ascii="Arial" w:hAnsi="Arial" w:cs="Arial"/>
                <w:sz w:val="16"/>
                <w:szCs w:val="18"/>
              </w:rPr>
            </w:pPr>
            <w:r w:rsidRPr="00BE5A48">
              <w:rPr>
                <w:rFonts w:ascii="Arial" w:hAnsi="Arial" w:cs="Arial"/>
                <w:sz w:val="16"/>
                <w:szCs w:val="18"/>
              </w:rPr>
              <w:t>Moneda extranjera</w:t>
            </w:r>
          </w:p>
        </w:tc>
        <w:tc>
          <w:tcPr>
            <w:tcW w:w="2344" w:type="dxa"/>
            <w:tcBorders>
              <w:top w:val="nil"/>
              <w:left w:val="nil"/>
              <w:bottom w:val="nil"/>
              <w:right w:val="nil"/>
            </w:tcBorders>
            <w:vAlign w:val="bottom"/>
          </w:tcPr>
          <w:p w14:paraId="7F341E85" w14:textId="0D44B9CE" w:rsidR="00BE5A48" w:rsidRPr="00BE5A48" w:rsidRDefault="00BE5A48" w:rsidP="003C1373">
            <w:pPr>
              <w:jc w:val="center"/>
              <w:rPr>
                <w:rFonts w:ascii="Arial" w:hAnsi="Arial" w:cs="Arial"/>
                <w:sz w:val="16"/>
                <w:szCs w:val="18"/>
              </w:rPr>
            </w:pPr>
            <w:r w:rsidRPr="00BE5A48">
              <w:rPr>
                <w:rFonts w:ascii="Arial" w:hAnsi="Arial" w:cs="Arial"/>
                <w:sz w:val="16"/>
                <w:szCs w:val="18"/>
              </w:rPr>
              <w:t>Diaria de diferencias</w:t>
            </w:r>
          </w:p>
        </w:tc>
        <w:tc>
          <w:tcPr>
            <w:tcW w:w="2182" w:type="dxa"/>
            <w:tcBorders>
              <w:top w:val="nil"/>
              <w:left w:val="nil"/>
              <w:bottom w:val="nil"/>
              <w:right w:val="nil"/>
            </w:tcBorders>
            <w:vAlign w:val="bottom"/>
          </w:tcPr>
          <w:p w14:paraId="0D83D3D9" w14:textId="77B03320" w:rsidR="00BE5A48" w:rsidRPr="00BE5A48" w:rsidRDefault="00BE5A48" w:rsidP="003C1373">
            <w:pPr>
              <w:jc w:val="center"/>
              <w:rPr>
                <w:rFonts w:ascii="Arial" w:hAnsi="Arial" w:cs="Arial"/>
                <w:sz w:val="16"/>
                <w:szCs w:val="18"/>
              </w:rPr>
            </w:pPr>
            <w:r w:rsidRPr="00BE5A48">
              <w:rPr>
                <w:rFonts w:ascii="Arial" w:hAnsi="Arial" w:cs="Arial"/>
                <w:sz w:val="16"/>
                <w:szCs w:val="18"/>
              </w:rPr>
              <w:t>ROFEX</w:t>
            </w:r>
          </w:p>
        </w:tc>
        <w:tc>
          <w:tcPr>
            <w:tcW w:w="1276" w:type="dxa"/>
            <w:tcBorders>
              <w:top w:val="nil"/>
              <w:left w:val="nil"/>
              <w:bottom w:val="nil"/>
              <w:right w:val="nil"/>
            </w:tcBorders>
            <w:vAlign w:val="bottom"/>
          </w:tcPr>
          <w:p w14:paraId="1562E54E" w14:textId="335B3F04" w:rsidR="00BE5A48" w:rsidRPr="00BE5A48" w:rsidRDefault="00C0777A" w:rsidP="003C1373">
            <w:pPr>
              <w:jc w:val="center"/>
              <w:rPr>
                <w:rFonts w:ascii="Arial" w:hAnsi="Arial" w:cs="Arial"/>
                <w:sz w:val="16"/>
                <w:szCs w:val="18"/>
              </w:rPr>
            </w:pPr>
            <w:r>
              <w:rPr>
                <w:rFonts w:ascii="Arial" w:hAnsi="Arial" w:cs="Arial"/>
                <w:sz w:val="16"/>
                <w:szCs w:val="18"/>
              </w:rPr>
              <w:t>4</w:t>
            </w:r>
          </w:p>
        </w:tc>
        <w:tc>
          <w:tcPr>
            <w:tcW w:w="1043" w:type="dxa"/>
            <w:tcBorders>
              <w:top w:val="nil"/>
              <w:left w:val="nil"/>
              <w:bottom w:val="nil"/>
              <w:right w:val="nil"/>
            </w:tcBorders>
            <w:vAlign w:val="bottom"/>
          </w:tcPr>
          <w:p w14:paraId="0E03A107" w14:textId="4875AAB7" w:rsidR="00BE5A48" w:rsidRPr="00BE5A48" w:rsidRDefault="006E50BD" w:rsidP="003C1373">
            <w:pPr>
              <w:jc w:val="center"/>
              <w:rPr>
                <w:rFonts w:ascii="Arial" w:hAnsi="Arial" w:cs="Arial"/>
                <w:sz w:val="16"/>
                <w:szCs w:val="18"/>
              </w:rPr>
            </w:pPr>
            <w:r>
              <w:rPr>
                <w:rFonts w:ascii="Arial" w:hAnsi="Arial" w:cs="Arial"/>
                <w:sz w:val="16"/>
                <w:szCs w:val="18"/>
              </w:rPr>
              <w:t>2</w:t>
            </w:r>
          </w:p>
        </w:tc>
        <w:tc>
          <w:tcPr>
            <w:tcW w:w="1082" w:type="dxa"/>
            <w:tcBorders>
              <w:top w:val="nil"/>
              <w:left w:val="nil"/>
              <w:bottom w:val="nil"/>
              <w:right w:val="nil"/>
            </w:tcBorders>
            <w:vAlign w:val="bottom"/>
          </w:tcPr>
          <w:p w14:paraId="3C454C28" w14:textId="55D3111B" w:rsidR="00BE5A48" w:rsidRPr="00BE5A48" w:rsidRDefault="00BE5A48" w:rsidP="003C1373">
            <w:pPr>
              <w:jc w:val="center"/>
              <w:rPr>
                <w:rFonts w:ascii="Arial" w:hAnsi="Arial" w:cs="Arial"/>
                <w:sz w:val="16"/>
                <w:szCs w:val="18"/>
              </w:rPr>
            </w:pPr>
            <w:r>
              <w:rPr>
                <w:rFonts w:ascii="Arial" w:hAnsi="Arial" w:cs="Arial"/>
                <w:sz w:val="16"/>
                <w:szCs w:val="18"/>
              </w:rPr>
              <w:t>1</w:t>
            </w:r>
          </w:p>
        </w:tc>
        <w:tc>
          <w:tcPr>
            <w:tcW w:w="0" w:type="auto"/>
            <w:tcBorders>
              <w:top w:val="nil"/>
              <w:left w:val="nil"/>
              <w:bottom w:val="nil"/>
              <w:right w:val="nil"/>
            </w:tcBorders>
            <w:vAlign w:val="bottom"/>
          </w:tcPr>
          <w:p w14:paraId="4987605D" w14:textId="244E8CA5" w:rsidR="002F13E0" w:rsidRPr="00BE5A48" w:rsidRDefault="006E50BD" w:rsidP="002F13E0">
            <w:pPr>
              <w:jc w:val="center"/>
              <w:rPr>
                <w:rFonts w:ascii="Arial" w:hAnsi="Arial" w:cs="Arial"/>
                <w:sz w:val="16"/>
                <w:szCs w:val="18"/>
              </w:rPr>
            </w:pPr>
            <w:r>
              <w:rPr>
                <w:rFonts w:ascii="Arial" w:hAnsi="Arial" w:cs="Arial"/>
                <w:sz w:val="16"/>
                <w:szCs w:val="18"/>
              </w:rPr>
              <w:t>261.861</w:t>
            </w:r>
          </w:p>
        </w:tc>
      </w:tr>
      <w:tr w:rsidR="00C0777A" w:rsidRPr="00BE5A48" w14:paraId="33622EFC" w14:textId="77777777" w:rsidTr="003C1373">
        <w:tc>
          <w:tcPr>
            <w:tcW w:w="883" w:type="dxa"/>
            <w:tcBorders>
              <w:top w:val="nil"/>
              <w:left w:val="nil"/>
              <w:bottom w:val="nil"/>
              <w:right w:val="nil"/>
            </w:tcBorders>
            <w:vAlign w:val="bottom"/>
          </w:tcPr>
          <w:p w14:paraId="66420C37" w14:textId="77777777" w:rsidR="00C0777A" w:rsidRPr="00BE5A48" w:rsidRDefault="00C0777A" w:rsidP="003C1373">
            <w:pPr>
              <w:jc w:val="center"/>
              <w:rPr>
                <w:rFonts w:ascii="Arial" w:hAnsi="Arial" w:cs="Arial"/>
                <w:sz w:val="16"/>
                <w:szCs w:val="18"/>
              </w:rPr>
            </w:pPr>
          </w:p>
        </w:tc>
        <w:tc>
          <w:tcPr>
            <w:tcW w:w="2491" w:type="dxa"/>
            <w:tcBorders>
              <w:top w:val="nil"/>
              <w:left w:val="nil"/>
              <w:bottom w:val="nil"/>
              <w:right w:val="nil"/>
            </w:tcBorders>
            <w:vAlign w:val="bottom"/>
          </w:tcPr>
          <w:p w14:paraId="0EDB922B" w14:textId="77777777" w:rsidR="00C0777A" w:rsidRPr="00BE5A48" w:rsidRDefault="00C0777A" w:rsidP="003C1373">
            <w:pPr>
              <w:jc w:val="center"/>
              <w:rPr>
                <w:rFonts w:ascii="Arial" w:hAnsi="Arial" w:cs="Arial"/>
                <w:sz w:val="16"/>
                <w:szCs w:val="18"/>
              </w:rPr>
            </w:pPr>
          </w:p>
        </w:tc>
        <w:tc>
          <w:tcPr>
            <w:tcW w:w="2215" w:type="dxa"/>
            <w:tcBorders>
              <w:top w:val="nil"/>
              <w:left w:val="nil"/>
              <w:bottom w:val="nil"/>
              <w:right w:val="nil"/>
            </w:tcBorders>
            <w:vAlign w:val="bottom"/>
          </w:tcPr>
          <w:p w14:paraId="18833C96" w14:textId="77777777" w:rsidR="00C0777A" w:rsidRPr="00BE5A48" w:rsidRDefault="00C0777A" w:rsidP="003C1373">
            <w:pPr>
              <w:jc w:val="center"/>
              <w:rPr>
                <w:rFonts w:ascii="Arial" w:hAnsi="Arial" w:cs="Arial"/>
                <w:sz w:val="16"/>
                <w:szCs w:val="18"/>
              </w:rPr>
            </w:pPr>
          </w:p>
        </w:tc>
        <w:tc>
          <w:tcPr>
            <w:tcW w:w="2344" w:type="dxa"/>
            <w:tcBorders>
              <w:top w:val="nil"/>
              <w:left w:val="nil"/>
              <w:bottom w:val="nil"/>
              <w:right w:val="nil"/>
            </w:tcBorders>
            <w:vAlign w:val="bottom"/>
          </w:tcPr>
          <w:p w14:paraId="7DB80C79" w14:textId="77777777" w:rsidR="00C0777A" w:rsidRPr="00BE5A48" w:rsidRDefault="00C0777A" w:rsidP="003C1373">
            <w:pPr>
              <w:jc w:val="center"/>
              <w:rPr>
                <w:rFonts w:ascii="Arial" w:hAnsi="Arial" w:cs="Arial"/>
                <w:sz w:val="16"/>
                <w:szCs w:val="18"/>
              </w:rPr>
            </w:pPr>
          </w:p>
        </w:tc>
        <w:tc>
          <w:tcPr>
            <w:tcW w:w="2182" w:type="dxa"/>
            <w:tcBorders>
              <w:top w:val="nil"/>
              <w:left w:val="nil"/>
              <w:bottom w:val="nil"/>
              <w:right w:val="nil"/>
            </w:tcBorders>
            <w:vAlign w:val="bottom"/>
          </w:tcPr>
          <w:p w14:paraId="18C370D3" w14:textId="77777777" w:rsidR="00C0777A" w:rsidRDefault="00C0777A" w:rsidP="003C1373">
            <w:pPr>
              <w:jc w:val="center"/>
              <w:rPr>
                <w:rFonts w:ascii="Arial" w:hAnsi="Arial" w:cs="Arial"/>
                <w:sz w:val="16"/>
                <w:szCs w:val="18"/>
              </w:rPr>
            </w:pPr>
          </w:p>
        </w:tc>
        <w:tc>
          <w:tcPr>
            <w:tcW w:w="1276" w:type="dxa"/>
            <w:tcBorders>
              <w:top w:val="nil"/>
              <w:left w:val="nil"/>
              <w:bottom w:val="nil"/>
              <w:right w:val="nil"/>
            </w:tcBorders>
            <w:vAlign w:val="bottom"/>
          </w:tcPr>
          <w:p w14:paraId="1CCC13AA" w14:textId="77777777" w:rsidR="00C0777A" w:rsidRDefault="00C0777A" w:rsidP="003C1373">
            <w:pPr>
              <w:jc w:val="center"/>
              <w:rPr>
                <w:rFonts w:ascii="Arial" w:hAnsi="Arial" w:cs="Arial"/>
                <w:sz w:val="16"/>
                <w:szCs w:val="18"/>
              </w:rPr>
            </w:pPr>
          </w:p>
        </w:tc>
        <w:tc>
          <w:tcPr>
            <w:tcW w:w="1043" w:type="dxa"/>
            <w:tcBorders>
              <w:top w:val="nil"/>
              <w:left w:val="nil"/>
              <w:bottom w:val="nil"/>
              <w:right w:val="nil"/>
            </w:tcBorders>
            <w:vAlign w:val="bottom"/>
          </w:tcPr>
          <w:p w14:paraId="5C1B1F65" w14:textId="77777777" w:rsidR="00C0777A" w:rsidRDefault="00C0777A" w:rsidP="003C1373">
            <w:pPr>
              <w:jc w:val="center"/>
              <w:rPr>
                <w:rFonts w:ascii="Arial" w:hAnsi="Arial" w:cs="Arial"/>
                <w:sz w:val="16"/>
                <w:szCs w:val="18"/>
              </w:rPr>
            </w:pPr>
          </w:p>
        </w:tc>
        <w:tc>
          <w:tcPr>
            <w:tcW w:w="1082" w:type="dxa"/>
            <w:tcBorders>
              <w:top w:val="nil"/>
              <w:left w:val="nil"/>
              <w:bottom w:val="nil"/>
              <w:right w:val="nil"/>
            </w:tcBorders>
            <w:vAlign w:val="bottom"/>
          </w:tcPr>
          <w:p w14:paraId="17906034" w14:textId="77777777" w:rsidR="00C0777A" w:rsidRDefault="00C0777A" w:rsidP="003C1373">
            <w:pPr>
              <w:jc w:val="center"/>
              <w:rPr>
                <w:rFonts w:ascii="Arial" w:hAnsi="Arial" w:cs="Arial"/>
                <w:sz w:val="16"/>
                <w:szCs w:val="18"/>
              </w:rPr>
            </w:pPr>
          </w:p>
        </w:tc>
        <w:tc>
          <w:tcPr>
            <w:tcW w:w="0" w:type="auto"/>
            <w:tcBorders>
              <w:top w:val="nil"/>
              <w:left w:val="nil"/>
              <w:bottom w:val="nil"/>
              <w:right w:val="nil"/>
            </w:tcBorders>
            <w:vAlign w:val="bottom"/>
          </w:tcPr>
          <w:p w14:paraId="18C75DB2" w14:textId="77777777" w:rsidR="00C0777A" w:rsidRDefault="00C0777A" w:rsidP="002F13E0">
            <w:pPr>
              <w:jc w:val="center"/>
              <w:rPr>
                <w:rFonts w:ascii="Arial" w:hAnsi="Arial" w:cs="Arial"/>
                <w:sz w:val="16"/>
                <w:szCs w:val="18"/>
              </w:rPr>
            </w:pPr>
          </w:p>
        </w:tc>
      </w:tr>
      <w:tr w:rsidR="00C0777A" w:rsidRPr="00BE5A48" w14:paraId="79C03BFE" w14:textId="77777777" w:rsidTr="003C1373">
        <w:tc>
          <w:tcPr>
            <w:tcW w:w="883" w:type="dxa"/>
            <w:tcBorders>
              <w:top w:val="nil"/>
              <w:left w:val="nil"/>
              <w:bottom w:val="nil"/>
              <w:right w:val="nil"/>
            </w:tcBorders>
            <w:vAlign w:val="bottom"/>
          </w:tcPr>
          <w:p w14:paraId="52866056" w14:textId="6775909D" w:rsidR="00C0777A" w:rsidRPr="00BE5A48" w:rsidRDefault="00C0777A" w:rsidP="006E50BD">
            <w:pPr>
              <w:rPr>
                <w:rFonts w:ascii="Arial" w:hAnsi="Arial" w:cs="Arial"/>
                <w:sz w:val="16"/>
                <w:szCs w:val="18"/>
              </w:rPr>
            </w:pPr>
          </w:p>
        </w:tc>
        <w:tc>
          <w:tcPr>
            <w:tcW w:w="2491" w:type="dxa"/>
            <w:tcBorders>
              <w:top w:val="nil"/>
              <w:left w:val="nil"/>
              <w:bottom w:val="nil"/>
              <w:right w:val="nil"/>
            </w:tcBorders>
            <w:vAlign w:val="bottom"/>
          </w:tcPr>
          <w:p w14:paraId="082AA866" w14:textId="63F9210B" w:rsidR="00C0777A" w:rsidRPr="00BE5A48" w:rsidRDefault="00C0777A" w:rsidP="003C1373">
            <w:pPr>
              <w:jc w:val="center"/>
              <w:rPr>
                <w:rFonts w:ascii="Arial" w:hAnsi="Arial" w:cs="Arial"/>
                <w:sz w:val="16"/>
                <w:szCs w:val="18"/>
              </w:rPr>
            </w:pPr>
          </w:p>
        </w:tc>
        <w:tc>
          <w:tcPr>
            <w:tcW w:w="2215" w:type="dxa"/>
            <w:tcBorders>
              <w:top w:val="nil"/>
              <w:left w:val="nil"/>
              <w:bottom w:val="nil"/>
              <w:right w:val="nil"/>
            </w:tcBorders>
            <w:vAlign w:val="bottom"/>
          </w:tcPr>
          <w:p w14:paraId="678B0CC5" w14:textId="706814F6" w:rsidR="00C0777A" w:rsidRPr="00BE5A48" w:rsidRDefault="00C0777A" w:rsidP="003C1373">
            <w:pPr>
              <w:jc w:val="center"/>
              <w:rPr>
                <w:rFonts w:ascii="Arial" w:hAnsi="Arial" w:cs="Arial"/>
                <w:sz w:val="16"/>
                <w:szCs w:val="18"/>
              </w:rPr>
            </w:pPr>
          </w:p>
        </w:tc>
        <w:tc>
          <w:tcPr>
            <w:tcW w:w="2344" w:type="dxa"/>
            <w:tcBorders>
              <w:top w:val="nil"/>
              <w:left w:val="nil"/>
              <w:bottom w:val="nil"/>
              <w:right w:val="nil"/>
            </w:tcBorders>
            <w:vAlign w:val="bottom"/>
          </w:tcPr>
          <w:p w14:paraId="5C75D8DA" w14:textId="4C3034D8" w:rsidR="00C0777A" w:rsidRPr="00BE5A48" w:rsidRDefault="00C0777A" w:rsidP="003C1373">
            <w:pPr>
              <w:jc w:val="center"/>
              <w:rPr>
                <w:rFonts w:ascii="Arial" w:hAnsi="Arial" w:cs="Arial"/>
                <w:sz w:val="16"/>
                <w:szCs w:val="18"/>
              </w:rPr>
            </w:pPr>
          </w:p>
        </w:tc>
        <w:tc>
          <w:tcPr>
            <w:tcW w:w="2182" w:type="dxa"/>
            <w:tcBorders>
              <w:top w:val="nil"/>
              <w:left w:val="nil"/>
              <w:bottom w:val="nil"/>
              <w:right w:val="nil"/>
            </w:tcBorders>
            <w:vAlign w:val="bottom"/>
          </w:tcPr>
          <w:p w14:paraId="300D03A1" w14:textId="5E144F39" w:rsidR="00C0777A" w:rsidRPr="00BE5A48" w:rsidRDefault="00C0777A" w:rsidP="003C1373">
            <w:pPr>
              <w:jc w:val="center"/>
              <w:rPr>
                <w:rFonts w:ascii="Arial" w:hAnsi="Arial" w:cs="Arial"/>
                <w:sz w:val="16"/>
                <w:szCs w:val="18"/>
              </w:rPr>
            </w:pPr>
          </w:p>
        </w:tc>
        <w:tc>
          <w:tcPr>
            <w:tcW w:w="1276" w:type="dxa"/>
            <w:tcBorders>
              <w:top w:val="nil"/>
              <w:left w:val="nil"/>
              <w:bottom w:val="nil"/>
              <w:right w:val="nil"/>
            </w:tcBorders>
            <w:vAlign w:val="bottom"/>
          </w:tcPr>
          <w:p w14:paraId="7E51088F" w14:textId="3585838C" w:rsidR="00C0777A" w:rsidRDefault="00C0777A" w:rsidP="003C1373">
            <w:pPr>
              <w:jc w:val="center"/>
              <w:rPr>
                <w:rFonts w:ascii="Arial" w:hAnsi="Arial" w:cs="Arial"/>
                <w:sz w:val="16"/>
                <w:szCs w:val="18"/>
              </w:rPr>
            </w:pPr>
          </w:p>
        </w:tc>
        <w:tc>
          <w:tcPr>
            <w:tcW w:w="1043" w:type="dxa"/>
            <w:tcBorders>
              <w:top w:val="nil"/>
              <w:left w:val="nil"/>
              <w:bottom w:val="nil"/>
              <w:right w:val="nil"/>
            </w:tcBorders>
            <w:vAlign w:val="bottom"/>
          </w:tcPr>
          <w:p w14:paraId="05C24453" w14:textId="7A80AD4E" w:rsidR="00C0777A" w:rsidRDefault="00C0777A" w:rsidP="003C1373">
            <w:pPr>
              <w:jc w:val="center"/>
              <w:rPr>
                <w:rFonts w:ascii="Arial" w:hAnsi="Arial" w:cs="Arial"/>
                <w:sz w:val="16"/>
                <w:szCs w:val="18"/>
              </w:rPr>
            </w:pPr>
          </w:p>
        </w:tc>
        <w:tc>
          <w:tcPr>
            <w:tcW w:w="1082" w:type="dxa"/>
            <w:tcBorders>
              <w:top w:val="nil"/>
              <w:left w:val="nil"/>
              <w:bottom w:val="nil"/>
              <w:right w:val="nil"/>
            </w:tcBorders>
            <w:vAlign w:val="bottom"/>
          </w:tcPr>
          <w:p w14:paraId="08C3C6B3" w14:textId="747653FB" w:rsidR="00C0777A" w:rsidRDefault="00C0777A" w:rsidP="003C1373">
            <w:pPr>
              <w:jc w:val="center"/>
              <w:rPr>
                <w:rFonts w:ascii="Arial" w:hAnsi="Arial" w:cs="Arial"/>
                <w:sz w:val="16"/>
                <w:szCs w:val="18"/>
              </w:rPr>
            </w:pPr>
          </w:p>
        </w:tc>
        <w:tc>
          <w:tcPr>
            <w:tcW w:w="0" w:type="auto"/>
            <w:tcBorders>
              <w:top w:val="nil"/>
              <w:left w:val="nil"/>
              <w:bottom w:val="nil"/>
              <w:right w:val="nil"/>
            </w:tcBorders>
            <w:vAlign w:val="bottom"/>
          </w:tcPr>
          <w:p w14:paraId="59AA6A63" w14:textId="3ECC7A78" w:rsidR="00C0777A" w:rsidRDefault="00C0777A" w:rsidP="002F13E0">
            <w:pPr>
              <w:jc w:val="center"/>
              <w:rPr>
                <w:rFonts w:ascii="Arial" w:hAnsi="Arial" w:cs="Arial"/>
                <w:sz w:val="16"/>
                <w:szCs w:val="18"/>
              </w:rPr>
            </w:pPr>
          </w:p>
        </w:tc>
      </w:tr>
      <w:tr w:rsidR="00BE5A48" w:rsidRPr="00BE5A48" w14:paraId="1F63325F" w14:textId="77777777" w:rsidTr="003C1373">
        <w:trPr>
          <w:trHeight w:val="80"/>
        </w:trPr>
        <w:tc>
          <w:tcPr>
            <w:tcW w:w="883" w:type="dxa"/>
            <w:tcBorders>
              <w:top w:val="nil"/>
              <w:left w:val="nil"/>
              <w:bottom w:val="nil"/>
              <w:right w:val="nil"/>
            </w:tcBorders>
            <w:vAlign w:val="bottom"/>
          </w:tcPr>
          <w:p w14:paraId="3C899DA8" w14:textId="77777777" w:rsidR="00BE5A48" w:rsidRPr="00BE5A48" w:rsidRDefault="00BE5A48" w:rsidP="006E50BD">
            <w:pPr>
              <w:rPr>
                <w:rFonts w:ascii="Arial" w:hAnsi="Arial" w:cs="Arial"/>
                <w:sz w:val="16"/>
                <w:szCs w:val="18"/>
              </w:rPr>
            </w:pPr>
          </w:p>
        </w:tc>
        <w:tc>
          <w:tcPr>
            <w:tcW w:w="2491" w:type="dxa"/>
            <w:tcBorders>
              <w:top w:val="nil"/>
              <w:left w:val="nil"/>
              <w:bottom w:val="nil"/>
              <w:right w:val="nil"/>
            </w:tcBorders>
            <w:vAlign w:val="bottom"/>
          </w:tcPr>
          <w:p w14:paraId="06721352" w14:textId="77777777" w:rsidR="00BE5A48" w:rsidRPr="00BE5A48" w:rsidRDefault="00BE5A48" w:rsidP="003C1373">
            <w:pPr>
              <w:jc w:val="center"/>
              <w:rPr>
                <w:rFonts w:ascii="Arial" w:hAnsi="Arial" w:cs="Arial"/>
                <w:sz w:val="16"/>
                <w:szCs w:val="18"/>
              </w:rPr>
            </w:pPr>
          </w:p>
        </w:tc>
        <w:tc>
          <w:tcPr>
            <w:tcW w:w="2215" w:type="dxa"/>
            <w:tcBorders>
              <w:top w:val="nil"/>
              <w:left w:val="nil"/>
              <w:bottom w:val="nil"/>
              <w:right w:val="nil"/>
            </w:tcBorders>
            <w:vAlign w:val="bottom"/>
          </w:tcPr>
          <w:p w14:paraId="615BE9BC" w14:textId="77777777" w:rsidR="00BE5A48" w:rsidRPr="00BE5A48" w:rsidRDefault="00BE5A48" w:rsidP="003C1373">
            <w:pPr>
              <w:jc w:val="center"/>
              <w:rPr>
                <w:rFonts w:ascii="Arial" w:hAnsi="Arial" w:cs="Arial"/>
                <w:sz w:val="16"/>
                <w:szCs w:val="18"/>
              </w:rPr>
            </w:pPr>
          </w:p>
        </w:tc>
        <w:tc>
          <w:tcPr>
            <w:tcW w:w="2344" w:type="dxa"/>
            <w:tcBorders>
              <w:top w:val="nil"/>
              <w:left w:val="nil"/>
              <w:bottom w:val="nil"/>
              <w:right w:val="nil"/>
            </w:tcBorders>
            <w:vAlign w:val="bottom"/>
          </w:tcPr>
          <w:p w14:paraId="1E22ACF0" w14:textId="77777777" w:rsidR="00BE5A48" w:rsidRPr="00BE5A48" w:rsidRDefault="00BE5A48" w:rsidP="003C1373">
            <w:pPr>
              <w:jc w:val="center"/>
              <w:rPr>
                <w:rFonts w:ascii="Arial" w:hAnsi="Arial" w:cs="Arial"/>
                <w:sz w:val="16"/>
                <w:szCs w:val="18"/>
              </w:rPr>
            </w:pPr>
          </w:p>
        </w:tc>
        <w:tc>
          <w:tcPr>
            <w:tcW w:w="2182" w:type="dxa"/>
            <w:tcBorders>
              <w:top w:val="nil"/>
              <w:left w:val="nil"/>
              <w:bottom w:val="nil"/>
              <w:right w:val="nil"/>
            </w:tcBorders>
            <w:vAlign w:val="bottom"/>
          </w:tcPr>
          <w:p w14:paraId="33512C49" w14:textId="77777777" w:rsidR="00BE5A48" w:rsidRPr="00BE5A48" w:rsidRDefault="00BE5A48" w:rsidP="003C1373">
            <w:pPr>
              <w:jc w:val="center"/>
              <w:rPr>
                <w:rFonts w:ascii="Arial" w:hAnsi="Arial" w:cs="Arial"/>
                <w:sz w:val="16"/>
                <w:szCs w:val="18"/>
              </w:rPr>
            </w:pPr>
          </w:p>
        </w:tc>
        <w:tc>
          <w:tcPr>
            <w:tcW w:w="1276" w:type="dxa"/>
            <w:tcBorders>
              <w:top w:val="nil"/>
              <w:left w:val="nil"/>
              <w:bottom w:val="nil"/>
              <w:right w:val="nil"/>
            </w:tcBorders>
            <w:vAlign w:val="bottom"/>
          </w:tcPr>
          <w:p w14:paraId="4C1CAFBB" w14:textId="77777777" w:rsidR="00BE5A48" w:rsidRPr="00BE5A48" w:rsidRDefault="00BE5A48" w:rsidP="003C1373">
            <w:pPr>
              <w:jc w:val="center"/>
              <w:rPr>
                <w:rFonts w:ascii="Arial" w:hAnsi="Arial" w:cs="Arial"/>
                <w:sz w:val="16"/>
                <w:szCs w:val="18"/>
              </w:rPr>
            </w:pPr>
          </w:p>
        </w:tc>
        <w:tc>
          <w:tcPr>
            <w:tcW w:w="1043" w:type="dxa"/>
            <w:tcBorders>
              <w:top w:val="nil"/>
              <w:left w:val="nil"/>
              <w:bottom w:val="nil"/>
              <w:right w:val="nil"/>
            </w:tcBorders>
            <w:vAlign w:val="bottom"/>
          </w:tcPr>
          <w:p w14:paraId="038E7027" w14:textId="77777777" w:rsidR="00BE5A48" w:rsidRPr="00BE5A48" w:rsidRDefault="00BE5A48" w:rsidP="003C1373">
            <w:pPr>
              <w:jc w:val="center"/>
              <w:rPr>
                <w:rFonts w:ascii="Arial" w:hAnsi="Arial" w:cs="Arial"/>
                <w:sz w:val="16"/>
                <w:szCs w:val="18"/>
              </w:rPr>
            </w:pPr>
          </w:p>
        </w:tc>
        <w:tc>
          <w:tcPr>
            <w:tcW w:w="1082" w:type="dxa"/>
            <w:tcBorders>
              <w:top w:val="nil"/>
              <w:left w:val="nil"/>
              <w:bottom w:val="nil"/>
              <w:right w:val="nil"/>
            </w:tcBorders>
            <w:vAlign w:val="bottom"/>
          </w:tcPr>
          <w:p w14:paraId="0A714C22" w14:textId="77777777" w:rsidR="00BE5A48" w:rsidRPr="00BE5A48" w:rsidRDefault="00BE5A48" w:rsidP="003C1373">
            <w:pPr>
              <w:jc w:val="center"/>
              <w:rPr>
                <w:rFonts w:ascii="Arial" w:hAnsi="Arial" w:cs="Arial"/>
                <w:sz w:val="16"/>
                <w:szCs w:val="18"/>
              </w:rPr>
            </w:pPr>
          </w:p>
        </w:tc>
        <w:tc>
          <w:tcPr>
            <w:tcW w:w="0" w:type="auto"/>
            <w:tcBorders>
              <w:top w:val="nil"/>
              <w:left w:val="nil"/>
              <w:bottom w:val="nil"/>
              <w:right w:val="nil"/>
            </w:tcBorders>
            <w:vAlign w:val="bottom"/>
          </w:tcPr>
          <w:p w14:paraId="37825E2A" w14:textId="77777777" w:rsidR="00BE5A48" w:rsidRPr="00BE5A48" w:rsidRDefault="00BE5A48" w:rsidP="003C1373">
            <w:pPr>
              <w:jc w:val="center"/>
              <w:rPr>
                <w:rFonts w:ascii="Arial" w:hAnsi="Arial" w:cs="Arial"/>
                <w:sz w:val="16"/>
                <w:szCs w:val="18"/>
              </w:rPr>
            </w:pPr>
          </w:p>
        </w:tc>
      </w:tr>
      <w:tr w:rsidR="00BE5A48" w:rsidRPr="00BE5A48" w14:paraId="6A4D1710" w14:textId="77777777" w:rsidTr="003C1373">
        <w:trPr>
          <w:trHeight w:val="98"/>
        </w:trPr>
        <w:tc>
          <w:tcPr>
            <w:tcW w:w="883" w:type="dxa"/>
            <w:tcBorders>
              <w:top w:val="nil"/>
              <w:left w:val="nil"/>
              <w:bottom w:val="nil"/>
              <w:right w:val="nil"/>
            </w:tcBorders>
            <w:vAlign w:val="bottom"/>
          </w:tcPr>
          <w:p w14:paraId="3B903A6F" w14:textId="21A52D9C" w:rsidR="00BE5A48" w:rsidRPr="00BE5A48" w:rsidRDefault="00BE5A48" w:rsidP="003C1373">
            <w:pPr>
              <w:jc w:val="center"/>
              <w:rPr>
                <w:rFonts w:ascii="Arial" w:hAnsi="Arial" w:cs="Arial"/>
                <w:sz w:val="16"/>
                <w:szCs w:val="18"/>
              </w:rPr>
            </w:pPr>
            <w:r w:rsidRPr="00BE5A48">
              <w:rPr>
                <w:rFonts w:ascii="Arial" w:hAnsi="Arial" w:cs="Arial"/>
                <w:sz w:val="16"/>
                <w:szCs w:val="18"/>
              </w:rPr>
              <w:t>Forwards</w:t>
            </w:r>
          </w:p>
        </w:tc>
        <w:tc>
          <w:tcPr>
            <w:tcW w:w="2491" w:type="dxa"/>
            <w:tcBorders>
              <w:top w:val="nil"/>
              <w:left w:val="nil"/>
              <w:bottom w:val="nil"/>
              <w:right w:val="nil"/>
            </w:tcBorders>
            <w:vAlign w:val="bottom"/>
          </w:tcPr>
          <w:p w14:paraId="271E7896" w14:textId="2D1486B3" w:rsidR="00BE5A48" w:rsidRPr="00BE5A48" w:rsidRDefault="00BE5A48" w:rsidP="003C1373">
            <w:pPr>
              <w:jc w:val="center"/>
              <w:rPr>
                <w:rFonts w:ascii="Arial" w:hAnsi="Arial" w:cs="Arial"/>
                <w:sz w:val="16"/>
                <w:szCs w:val="18"/>
              </w:rPr>
            </w:pPr>
            <w:r w:rsidRPr="00BE5A48">
              <w:rPr>
                <w:rFonts w:ascii="Arial" w:hAnsi="Arial" w:cs="Arial"/>
                <w:sz w:val="16"/>
                <w:szCs w:val="18"/>
              </w:rPr>
              <w:t>Cobertura de moneda extranjera</w:t>
            </w:r>
          </w:p>
        </w:tc>
        <w:tc>
          <w:tcPr>
            <w:tcW w:w="2215" w:type="dxa"/>
            <w:tcBorders>
              <w:top w:val="nil"/>
              <w:left w:val="nil"/>
              <w:bottom w:val="nil"/>
              <w:right w:val="nil"/>
            </w:tcBorders>
            <w:vAlign w:val="bottom"/>
          </w:tcPr>
          <w:p w14:paraId="5704D82D" w14:textId="31047B63" w:rsidR="00BE5A48" w:rsidRPr="00BE5A48" w:rsidRDefault="00BE5A48" w:rsidP="003C1373">
            <w:pPr>
              <w:jc w:val="center"/>
              <w:rPr>
                <w:rFonts w:ascii="Arial" w:hAnsi="Arial" w:cs="Arial"/>
                <w:sz w:val="16"/>
                <w:szCs w:val="18"/>
              </w:rPr>
            </w:pPr>
            <w:r w:rsidRPr="00BE5A48">
              <w:rPr>
                <w:rFonts w:ascii="Arial" w:hAnsi="Arial" w:cs="Arial"/>
                <w:sz w:val="16"/>
                <w:szCs w:val="18"/>
              </w:rPr>
              <w:t>Moneda extranjera</w:t>
            </w:r>
          </w:p>
        </w:tc>
        <w:tc>
          <w:tcPr>
            <w:tcW w:w="2344" w:type="dxa"/>
            <w:tcBorders>
              <w:top w:val="nil"/>
              <w:left w:val="nil"/>
              <w:bottom w:val="nil"/>
              <w:right w:val="nil"/>
            </w:tcBorders>
            <w:vAlign w:val="bottom"/>
          </w:tcPr>
          <w:p w14:paraId="6FE60D56" w14:textId="74DA4B6F" w:rsidR="00BE5A48" w:rsidRPr="00BE5A48" w:rsidRDefault="00BE5A48" w:rsidP="003C1373">
            <w:pPr>
              <w:jc w:val="center"/>
              <w:rPr>
                <w:rFonts w:ascii="Arial" w:hAnsi="Arial" w:cs="Arial"/>
                <w:sz w:val="16"/>
                <w:szCs w:val="18"/>
              </w:rPr>
            </w:pPr>
            <w:r w:rsidRPr="00BE5A48">
              <w:rPr>
                <w:rFonts w:ascii="Arial" w:hAnsi="Arial" w:cs="Arial"/>
                <w:sz w:val="16"/>
                <w:szCs w:val="18"/>
              </w:rPr>
              <w:t>Al vencimiento de diferencias</w:t>
            </w:r>
          </w:p>
        </w:tc>
        <w:tc>
          <w:tcPr>
            <w:tcW w:w="2182" w:type="dxa"/>
            <w:tcBorders>
              <w:top w:val="nil"/>
              <w:left w:val="nil"/>
              <w:bottom w:val="nil"/>
              <w:right w:val="nil"/>
            </w:tcBorders>
            <w:vAlign w:val="bottom"/>
          </w:tcPr>
          <w:p w14:paraId="679A9806" w14:textId="48CCDBE7" w:rsidR="00BE5A48" w:rsidRPr="00BE5A48" w:rsidRDefault="00BE5A48" w:rsidP="003C1373">
            <w:pPr>
              <w:jc w:val="center"/>
              <w:rPr>
                <w:rFonts w:ascii="Arial" w:hAnsi="Arial" w:cs="Arial"/>
                <w:sz w:val="16"/>
                <w:szCs w:val="18"/>
              </w:rPr>
            </w:pPr>
            <w:r w:rsidRPr="00BE5A48">
              <w:rPr>
                <w:rFonts w:ascii="Arial" w:hAnsi="Arial" w:cs="Arial"/>
                <w:sz w:val="16"/>
                <w:szCs w:val="18"/>
              </w:rPr>
              <w:t>OTC – residentes en el país - sector no financiero</w:t>
            </w:r>
          </w:p>
        </w:tc>
        <w:tc>
          <w:tcPr>
            <w:tcW w:w="1276" w:type="dxa"/>
            <w:tcBorders>
              <w:top w:val="nil"/>
              <w:left w:val="nil"/>
              <w:bottom w:val="nil"/>
              <w:right w:val="nil"/>
            </w:tcBorders>
            <w:vAlign w:val="bottom"/>
          </w:tcPr>
          <w:p w14:paraId="30C6FAB8" w14:textId="0C5121CB" w:rsidR="00BE5A48" w:rsidRPr="00BE5A48" w:rsidRDefault="006E50BD" w:rsidP="003C1373">
            <w:pPr>
              <w:jc w:val="center"/>
              <w:rPr>
                <w:rFonts w:ascii="Arial" w:hAnsi="Arial" w:cs="Arial"/>
                <w:sz w:val="16"/>
                <w:szCs w:val="18"/>
              </w:rPr>
            </w:pPr>
            <w:r>
              <w:rPr>
                <w:rFonts w:ascii="Arial" w:hAnsi="Arial" w:cs="Arial"/>
                <w:sz w:val="16"/>
                <w:szCs w:val="18"/>
              </w:rPr>
              <w:t>5</w:t>
            </w:r>
          </w:p>
        </w:tc>
        <w:tc>
          <w:tcPr>
            <w:tcW w:w="1043" w:type="dxa"/>
            <w:tcBorders>
              <w:top w:val="nil"/>
              <w:left w:val="nil"/>
              <w:bottom w:val="nil"/>
              <w:right w:val="nil"/>
            </w:tcBorders>
            <w:vAlign w:val="bottom"/>
          </w:tcPr>
          <w:p w14:paraId="5C8D24D5" w14:textId="13C221D8" w:rsidR="00BE5A48" w:rsidRPr="00BE5A48" w:rsidRDefault="006E50BD" w:rsidP="003C1373">
            <w:pPr>
              <w:jc w:val="center"/>
              <w:rPr>
                <w:rFonts w:ascii="Arial" w:hAnsi="Arial" w:cs="Arial"/>
                <w:sz w:val="16"/>
                <w:szCs w:val="18"/>
              </w:rPr>
            </w:pPr>
            <w:r>
              <w:rPr>
                <w:rFonts w:ascii="Arial" w:hAnsi="Arial" w:cs="Arial"/>
                <w:sz w:val="16"/>
                <w:szCs w:val="18"/>
              </w:rPr>
              <w:t>2</w:t>
            </w:r>
          </w:p>
        </w:tc>
        <w:tc>
          <w:tcPr>
            <w:tcW w:w="1082" w:type="dxa"/>
            <w:tcBorders>
              <w:top w:val="nil"/>
              <w:left w:val="nil"/>
              <w:bottom w:val="nil"/>
              <w:right w:val="nil"/>
            </w:tcBorders>
            <w:vAlign w:val="bottom"/>
          </w:tcPr>
          <w:p w14:paraId="2DCADDDD" w14:textId="6BB9D3E4" w:rsidR="00BE5A48" w:rsidRPr="00BE5A48" w:rsidRDefault="006E50BD" w:rsidP="003C1373">
            <w:pPr>
              <w:jc w:val="center"/>
              <w:rPr>
                <w:rFonts w:ascii="Arial" w:hAnsi="Arial" w:cs="Arial"/>
                <w:sz w:val="16"/>
                <w:szCs w:val="18"/>
              </w:rPr>
            </w:pPr>
            <w:r>
              <w:rPr>
                <w:rFonts w:ascii="Arial" w:hAnsi="Arial" w:cs="Arial"/>
                <w:sz w:val="16"/>
                <w:szCs w:val="18"/>
              </w:rPr>
              <w:t>137</w:t>
            </w:r>
          </w:p>
        </w:tc>
        <w:tc>
          <w:tcPr>
            <w:tcW w:w="0" w:type="auto"/>
            <w:tcBorders>
              <w:top w:val="nil"/>
              <w:left w:val="nil"/>
              <w:bottom w:val="nil"/>
              <w:right w:val="nil"/>
            </w:tcBorders>
            <w:vAlign w:val="bottom"/>
          </w:tcPr>
          <w:p w14:paraId="5AAE42FF" w14:textId="754838ED" w:rsidR="00BE5A48" w:rsidRPr="00BE5A48" w:rsidRDefault="006E50BD" w:rsidP="003C1373">
            <w:pPr>
              <w:jc w:val="center"/>
              <w:rPr>
                <w:rFonts w:ascii="Arial" w:hAnsi="Arial" w:cs="Arial"/>
                <w:sz w:val="16"/>
                <w:szCs w:val="18"/>
              </w:rPr>
            </w:pPr>
            <w:r>
              <w:rPr>
                <w:rFonts w:ascii="Arial" w:hAnsi="Arial" w:cs="Arial"/>
                <w:sz w:val="16"/>
                <w:szCs w:val="18"/>
              </w:rPr>
              <w:t>492.044</w:t>
            </w:r>
          </w:p>
        </w:tc>
      </w:tr>
      <w:tr w:rsidR="00BE5A48" w:rsidRPr="00BE5A48" w14:paraId="2E11D4E4" w14:textId="77777777" w:rsidTr="003C1373">
        <w:tc>
          <w:tcPr>
            <w:tcW w:w="883" w:type="dxa"/>
            <w:tcBorders>
              <w:top w:val="nil"/>
              <w:left w:val="nil"/>
              <w:bottom w:val="nil"/>
              <w:right w:val="nil"/>
            </w:tcBorders>
            <w:vAlign w:val="bottom"/>
          </w:tcPr>
          <w:p w14:paraId="5884C208" w14:textId="77777777" w:rsidR="00BE5A48" w:rsidRDefault="00BE5A48" w:rsidP="003C1373">
            <w:pPr>
              <w:jc w:val="center"/>
              <w:rPr>
                <w:rFonts w:ascii="Arial" w:hAnsi="Arial" w:cs="Arial"/>
                <w:sz w:val="16"/>
                <w:szCs w:val="18"/>
              </w:rPr>
            </w:pPr>
          </w:p>
          <w:p w14:paraId="48176CD3" w14:textId="77777777" w:rsidR="006E50BD" w:rsidRDefault="006E50BD" w:rsidP="003C1373">
            <w:pPr>
              <w:jc w:val="center"/>
              <w:rPr>
                <w:rFonts w:ascii="Arial" w:hAnsi="Arial" w:cs="Arial"/>
                <w:sz w:val="16"/>
                <w:szCs w:val="18"/>
              </w:rPr>
            </w:pPr>
          </w:p>
          <w:p w14:paraId="0BF79DF4" w14:textId="7814914F" w:rsidR="006E50BD" w:rsidRPr="00BE5A48" w:rsidRDefault="006E50BD" w:rsidP="003C1373">
            <w:pPr>
              <w:jc w:val="center"/>
              <w:rPr>
                <w:rFonts w:ascii="Arial" w:hAnsi="Arial" w:cs="Arial"/>
                <w:sz w:val="16"/>
                <w:szCs w:val="18"/>
              </w:rPr>
            </w:pPr>
          </w:p>
        </w:tc>
        <w:tc>
          <w:tcPr>
            <w:tcW w:w="2491" w:type="dxa"/>
            <w:tcBorders>
              <w:top w:val="nil"/>
              <w:left w:val="nil"/>
              <w:bottom w:val="nil"/>
              <w:right w:val="nil"/>
            </w:tcBorders>
            <w:vAlign w:val="bottom"/>
          </w:tcPr>
          <w:p w14:paraId="35734B78" w14:textId="77777777" w:rsidR="00BE5A48" w:rsidRPr="00BE5A48" w:rsidRDefault="00BE5A48" w:rsidP="003C1373">
            <w:pPr>
              <w:jc w:val="center"/>
              <w:rPr>
                <w:rFonts w:ascii="Arial" w:hAnsi="Arial" w:cs="Arial"/>
                <w:sz w:val="16"/>
                <w:szCs w:val="18"/>
              </w:rPr>
            </w:pPr>
          </w:p>
        </w:tc>
        <w:tc>
          <w:tcPr>
            <w:tcW w:w="2215" w:type="dxa"/>
            <w:tcBorders>
              <w:top w:val="nil"/>
              <w:left w:val="nil"/>
              <w:bottom w:val="nil"/>
              <w:right w:val="nil"/>
            </w:tcBorders>
            <w:vAlign w:val="bottom"/>
          </w:tcPr>
          <w:p w14:paraId="23230C6B" w14:textId="77777777" w:rsidR="00BE5A48" w:rsidRPr="00BE5A48" w:rsidRDefault="00BE5A48" w:rsidP="003C1373">
            <w:pPr>
              <w:jc w:val="center"/>
              <w:rPr>
                <w:rFonts w:ascii="Arial" w:hAnsi="Arial" w:cs="Arial"/>
                <w:sz w:val="16"/>
                <w:szCs w:val="18"/>
              </w:rPr>
            </w:pPr>
          </w:p>
        </w:tc>
        <w:tc>
          <w:tcPr>
            <w:tcW w:w="2344" w:type="dxa"/>
            <w:tcBorders>
              <w:top w:val="nil"/>
              <w:left w:val="nil"/>
              <w:bottom w:val="nil"/>
              <w:right w:val="nil"/>
            </w:tcBorders>
            <w:vAlign w:val="bottom"/>
          </w:tcPr>
          <w:p w14:paraId="12A025D6" w14:textId="77777777" w:rsidR="00BE5A48" w:rsidRPr="00BE5A48" w:rsidRDefault="00BE5A48" w:rsidP="003C1373">
            <w:pPr>
              <w:jc w:val="center"/>
              <w:rPr>
                <w:rFonts w:ascii="Arial" w:hAnsi="Arial" w:cs="Arial"/>
                <w:sz w:val="16"/>
                <w:szCs w:val="18"/>
              </w:rPr>
            </w:pPr>
          </w:p>
        </w:tc>
        <w:tc>
          <w:tcPr>
            <w:tcW w:w="2182" w:type="dxa"/>
            <w:tcBorders>
              <w:top w:val="nil"/>
              <w:left w:val="nil"/>
              <w:bottom w:val="nil"/>
              <w:right w:val="nil"/>
            </w:tcBorders>
            <w:vAlign w:val="bottom"/>
          </w:tcPr>
          <w:p w14:paraId="24D848BA" w14:textId="77777777" w:rsidR="00BE5A48" w:rsidRPr="00BE5A48" w:rsidRDefault="00BE5A48" w:rsidP="003C1373">
            <w:pPr>
              <w:jc w:val="center"/>
              <w:rPr>
                <w:rFonts w:ascii="Arial" w:hAnsi="Arial" w:cs="Arial"/>
                <w:sz w:val="16"/>
                <w:szCs w:val="18"/>
              </w:rPr>
            </w:pPr>
          </w:p>
        </w:tc>
        <w:tc>
          <w:tcPr>
            <w:tcW w:w="1276" w:type="dxa"/>
            <w:tcBorders>
              <w:top w:val="nil"/>
              <w:left w:val="nil"/>
              <w:bottom w:val="nil"/>
              <w:right w:val="nil"/>
            </w:tcBorders>
            <w:vAlign w:val="bottom"/>
          </w:tcPr>
          <w:p w14:paraId="186AD413" w14:textId="77777777" w:rsidR="00BE5A48" w:rsidRPr="00BE5A48" w:rsidRDefault="00BE5A48" w:rsidP="003C1373">
            <w:pPr>
              <w:jc w:val="center"/>
              <w:rPr>
                <w:rFonts w:ascii="Arial" w:hAnsi="Arial" w:cs="Arial"/>
                <w:sz w:val="16"/>
                <w:szCs w:val="18"/>
              </w:rPr>
            </w:pPr>
          </w:p>
        </w:tc>
        <w:tc>
          <w:tcPr>
            <w:tcW w:w="1043" w:type="dxa"/>
            <w:tcBorders>
              <w:top w:val="nil"/>
              <w:left w:val="nil"/>
              <w:bottom w:val="nil"/>
              <w:right w:val="nil"/>
            </w:tcBorders>
            <w:vAlign w:val="bottom"/>
          </w:tcPr>
          <w:p w14:paraId="5556A1D6" w14:textId="77777777" w:rsidR="00BE5A48" w:rsidRPr="00BE5A48" w:rsidRDefault="00BE5A48" w:rsidP="003C1373">
            <w:pPr>
              <w:jc w:val="center"/>
              <w:rPr>
                <w:rFonts w:ascii="Arial" w:hAnsi="Arial" w:cs="Arial"/>
                <w:sz w:val="16"/>
                <w:szCs w:val="18"/>
              </w:rPr>
            </w:pPr>
          </w:p>
        </w:tc>
        <w:tc>
          <w:tcPr>
            <w:tcW w:w="1082" w:type="dxa"/>
            <w:tcBorders>
              <w:top w:val="nil"/>
              <w:left w:val="nil"/>
              <w:bottom w:val="nil"/>
              <w:right w:val="nil"/>
            </w:tcBorders>
            <w:vAlign w:val="bottom"/>
          </w:tcPr>
          <w:p w14:paraId="778B6CC6" w14:textId="77777777" w:rsidR="00BE5A48" w:rsidRPr="00BE5A48" w:rsidRDefault="00BE5A48" w:rsidP="003C1373">
            <w:pPr>
              <w:jc w:val="center"/>
              <w:rPr>
                <w:rFonts w:ascii="Arial" w:hAnsi="Arial" w:cs="Arial"/>
                <w:sz w:val="16"/>
                <w:szCs w:val="18"/>
              </w:rPr>
            </w:pPr>
          </w:p>
        </w:tc>
        <w:tc>
          <w:tcPr>
            <w:tcW w:w="0" w:type="auto"/>
            <w:tcBorders>
              <w:top w:val="nil"/>
              <w:left w:val="nil"/>
              <w:bottom w:val="nil"/>
              <w:right w:val="nil"/>
            </w:tcBorders>
            <w:vAlign w:val="bottom"/>
          </w:tcPr>
          <w:p w14:paraId="3AD8E68F" w14:textId="77777777" w:rsidR="00BE5A48" w:rsidRPr="00BE5A48" w:rsidRDefault="00BE5A48" w:rsidP="003C1373">
            <w:pPr>
              <w:jc w:val="center"/>
              <w:rPr>
                <w:rFonts w:ascii="Arial" w:hAnsi="Arial" w:cs="Arial"/>
                <w:sz w:val="16"/>
                <w:szCs w:val="18"/>
              </w:rPr>
            </w:pPr>
          </w:p>
        </w:tc>
      </w:tr>
      <w:tr w:rsidR="00BE5A48" w:rsidRPr="00BE5A48" w14:paraId="09BC3AB4" w14:textId="77777777" w:rsidTr="003C1373">
        <w:tc>
          <w:tcPr>
            <w:tcW w:w="883" w:type="dxa"/>
            <w:tcBorders>
              <w:top w:val="nil"/>
              <w:left w:val="nil"/>
              <w:bottom w:val="nil"/>
              <w:right w:val="nil"/>
            </w:tcBorders>
            <w:vAlign w:val="bottom"/>
          </w:tcPr>
          <w:p w14:paraId="64331FD7" w14:textId="6C0A44EB" w:rsidR="00BE5A48" w:rsidRPr="00BE5A48" w:rsidRDefault="00BE5A48" w:rsidP="003C1373">
            <w:pPr>
              <w:jc w:val="center"/>
              <w:rPr>
                <w:rFonts w:ascii="Arial" w:hAnsi="Arial" w:cs="Arial"/>
                <w:sz w:val="16"/>
                <w:szCs w:val="18"/>
              </w:rPr>
            </w:pPr>
            <w:r w:rsidRPr="00BE5A48">
              <w:rPr>
                <w:rFonts w:ascii="Arial" w:hAnsi="Arial" w:cs="Arial"/>
                <w:sz w:val="16"/>
                <w:szCs w:val="18"/>
              </w:rPr>
              <w:t>Pases</w:t>
            </w:r>
          </w:p>
        </w:tc>
        <w:tc>
          <w:tcPr>
            <w:tcW w:w="2491" w:type="dxa"/>
            <w:tcBorders>
              <w:top w:val="nil"/>
              <w:left w:val="nil"/>
              <w:bottom w:val="nil"/>
              <w:right w:val="nil"/>
            </w:tcBorders>
            <w:vAlign w:val="bottom"/>
          </w:tcPr>
          <w:p w14:paraId="18596009" w14:textId="58EC5866" w:rsidR="00BE5A48" w:rsidRPr="00BE5A48" w:rsidRDefault="00BE5A48" w:rsidP="003C1373">
            <w:pPr>
              <w:jc w:val="center"/>
              <w:rPr>
                <w:rFonts w:ascii="Arial" w:hAnsi="Arial" w:cs="Arial"/>
                <w:sz w:val="16"/>
                <w:szCs w:val="18"/>
              </w:rPr>
            </w:pPr>
            <w:r w:rsidRPr="00BE5A48">
              <w:rPr>
                <w:rFonts w:ascii="Arial" w:hAnsi="Arial" w:cs="Arial"/>
                <w:sz w:val="16"/>
                <w:szCs w:val="18"/>
              </w:rPr>
              <w:t xml:space="preserve">Intermediación – cuenta propia </w:t>
            </w:r>
          </w:p>
        </w:tc>
        <w:tc>
          <w:tcPr>
            <w:tcW w:w="2215" w:type="dxa"/>
            <w:tcBorders>
              <w:top w:val="nil"/>
              <w:left w:val="nil"/>
              <w:bottom w:val="nil"/>
              <w:right w:val="nil"/>
            </w:tcBorders>
            <w:vAlign w:val="bottom"/>
          </w:tcPr>
          <w:p w14:paraId="37C60672" w14:textId="16058DA9" w:rsidR="00BE5A48" w:rsidRPr="00BE5A48" w:rsidRDefault="00BE5A48" w:rsidP="003C1373">
            <w:pPr>
              <w:jc w:val="center"/>
              <w:rPr>
                <w:rFonts w:ascii="Arial" w:hAnsi="Arial" w:cs="Arial"/>
                <w:sz w:val="16"/>
                <w:szCs w:val="18"/>
              </w:rPr>
            </w:pPr>
            <w:r w:rsidRPr="00BE5A48">
              <w:rPr>
                <w:rFonts w:ascii="Arial" w:hAnsi="Arial" w:cs="Arial"/>
                <w:sz w:val="16"/>
                <w:szCs w:val="18"/>
              </w:rPr>
              <w:t>Títulos públicos nacionales</w:t>
            </w:r>
          </w:p>
        </w:tc>
        <w:tc>
          <w:tcPr>
            <w:tcW w:w="2344" w:type="dxa"/>
            <w:tcBorders>
              <w:top w:val="nil"/>
              <w:left w:val="nil"/>
              <w:bottom w:val="nil"/>
              <w:right w:val="nil"/>
            </w:tcBorders>
            <w:vAlign w:val="bottom"/>
          </w:tcPr>
          <w:p w14:paraId="42F220B3" w14:textId="074039B3" w:rsidR="00BE5A48" w:rsidRPr="00BE5A48" w:rsidRDefault="00BE5A48" w:rsidP="003C1373">
            <w:pPr>
              <w:jc w:val="center"/>
              <w:rPr>
                <w:rFonts w:ascii="Arial" w:hAnsi="Arial" w:cs="Arial"/>
                <w:sz w:val="16"/>
                <w:szCs w:val="18"/>
              </w:rPr>
            </w:pPr>
            <w:r w:rsidRPr="00BE5A48">
              <w:rPr>
                <w:rFonts w:ascii="Arial" w:hAnsi="Arial" w:cs="Arial"/>
                <w:sz w:val="16"/>
                <w:szCs w:val="18"/>
              </w:rPr>
              <w:t>Otras</w:t>
            </w:r>
          </w:p>
        </w:tc>
        <w:tc>
          <w:tcPr>
            <w:tcW w:w="2182" w:type="dxa"/>
            <w:tcBorders>
              <w:top w:val="nil"/>
              <w:left w:val="nil"/>
              <w:bottom w:val="nil"/>
              <w:right w:val="nil"/>
            </w:tcBorders>
            <w:vAlign w:val="bottom"/>
          </w:tcPr>
          <w:p w14:paraId="5DDD5256" w14:textId="2134DD8C" w:rsidR="00BE5A48" w:rsidRPr="00BE5A48" w:rsidRDefault="00BE5A48" w:rsidP="003C1373">
            <w:pPr>
              <w:jc w:val="center"/>
              <w:rPr>
                <w:rFonts w:ascii="Arial" w:hAnsi="Arial" w:cs="Arial"/>
                <w:sz w:val="16"/>
                <w:szCs w:val="18"/>
              </w:rPr>
            </w:pPr>
            <w:r w:rsidRPr="00BE5A48">
              <w:rPr>
                <w:rFonts w:ascii="Arial" w:hAnsi="Arial" w:cs="Arial"/>
                <w:sz w:val="16"/>
                <w:szCs w:val="18"/>
              </w:rPr>
              <w:t>BCBA</w:t>
            </w:r>
          </w:p>
        </w:tc>
        <w:tc>
          <w:tcPr>
            <w:tcW w:w="1276" w:type="dxa"/>
            <w:tcBorders>
              <w:top w:val="nil"/>
              <w:left w:val="nil"/>
              <w:bottom w:val="nil"/>
              <w:right w:val="nil"/>
            </w:tcBorders>
            <w:vAlign w:val="bottom"/>
          </w:tcPr>
          <w:p w14:paraId="0EAC88E2" w14:textId="5A8533F3" w:rsidR="00BE5A48" w:rsidRPr="00BE5A48" w:rsidRDefault="006E50BD" w:rsidP="003C1373">
            <w:pPr>
              <w:jc w:val="center"/>
              <w:rPr>
                <w:rFonts w:ascii="Arial" w:hAnsi="Arial" w:cs="Arial"/>
                <w:sz w:val="16"/>
                <w:szCs w:val="18"/>
              </w:rPr>
            </w:pPr>
            <w:r>
              <w:rPr>
                <w:rFonts w:ascii="Arial" w:hAnsi="Arial" w:cs="Arial"/>
                <w:sz w:val="16"/>
                <w:szCs w:val="18"/>
              </w:rPr>
              <w:t>7</w:t>
            </w:r>
          </w:p>
        </w:tc>
        <w:tc>
          <w:tcPr>
            <w:tcW w:w="1043" w:type="dxa"/>
            <w:tcBorders>
              <w:top w:val="nil"/>
              <w:left w:val="nil"/>
              <w:bottom w:val="nil"/>
              <w:right w:val="nil"/>
            </w:tcBorders>
            <w:vAlign w:val="bottom"/>
          </w:tcPr>
          <w:p w14:paraId="0C0BFF33" w14:textId="2C773BD3" w:rsidR="00BE5A48" w:rsidRPr="00BE5A48" w:rsidRDefault="00BE5A48" w:rsidP="003C1373">
            <w:pPr>
              <w:jc w:val="center"/>
              <w:rPr>
                <w:rFonts w:ascii="Arial" w:hAnsi="Arial" w:cs="Arial"/>
                <w:sz w:val="16"/>
                <w:szCs w:val="18"/>
              </w:rPr>
            </w:pPr>
            <w:r>
              <w:rPr>
                <w:rFonts w:ascii="Arial" w:hAnsi="Arial" w:cs="Arial"/>
                <w:sz w:val="16"/>
                <w:szCs w:val="18"/>
              </w:rPr>
              <w:t>3</w:t>
            </w:r>
          </w:p>
        </w:tc>
        <w:tc>
          <w:tcPr>
            <w:tcW w:w="1082" w:type="dxa"/>
            <w:tcBorders>
              <w:top w:val="nil"/>
              <w:left w:val="nil"/>
              <w:bottom w:val="nil"/>
              <w:right w:val="nil"/>
            </w:tcBorders>
            <w:vAlign w:val="bottom"/>
          </w:tcPr>
          <w:p w14:paraId="434A0ABD" w14:textId="74B62C78" w:rsidR="00BE5A48" w:rsidRPr="00BE5A48" w:rsidRDefault="00BE5A48" w:rsidP="003C1373">
            <w:pPr>
              <w:jc w:val="center"/>
              <w:rPr>
                <w:rFonts w:ascii="Arial" w:hAnsi="Arial" w:cs="Arial"/>
                <w:sz w:val="16"/>
                <w:szCs w:val="18"/>
              </w:rPr>
            </w:pPr>
            <w:r>
              <w:rPr>
                <w:rFonts w:ascii="Arial" w:hAnsi="Arial" w:cs="Arial"/>
                <w:sz w:val="16"/>
                <w:szCs w:val="18"/>
              </w:rPr>
              <w:t>-</w:t>
            </w:r>
          </w:p>
        </w:tc>
        <w:tc>
          <w:tcPr>
            <w:tcW w:w="0" w:type="auto"/>
            <w:tcBorders>
              <w:top w:val="nil"/>
              <w:left w:val="nil"/>
              <w:bottom w:val="nil"/>
              <w:right w:val="nil"/>
            </w:tcBorders>
            <w:vAlign w:val="bottom"/>
          </w:tcPr>
          <w:p w14:paraId="0A8ACBE1" w14:textId="1080B713" w:rsidR="00BE5A48" w:rsidRPr="00BE5A48" w:rsidRDefault="006E50BD" w:rsidP="003C1373">
            <w:pPr>
              <w:jc w:val="center"/>
              <w:rPr>
                <w:rFonts w:ascii="Arial" w:hAnsi="Arial" w:cs="Arial"/>
                <w:sz w:val="16"/>
                <w:szCs w:val="18"/>
              </w:rPr>
            </w:pPr>
            <w:r>
              <w:rPr>
                <w:rFonts w:ascii="Arial" w:hAnsi="Arial" w:cs="Arial"/>
                <w:sz w:val="16"/>
                <w:szCs w:val="18"/>
              </w:rPr>
              <w:t>358.200</w:t>
            </w:r>
          </w:p>
        </w:tc>
      </w:tr>
    </w:tbl>
    <w:p w14:paraId="2662563C" w14:textId="25930D8C" w:rsidR="00A179F3" w:rsidRPr="00BE5A48" w:rsidRDefault="00A179F3" w:rsidP="008962C9">
      <w:pPr>
        <w:rPr>
          <w:rFonts w:ascii="Arial" w:hAnsi="Arial" w:cs="Arial"/>
          <w:sz w:val="18"/>
          <w:szCs w:val="18"/>
        </w:rPr>
      </w:pPr>
    </w:p>
    <w:p w14:paraId="157B6DDB" w14:textId="3B3234AA" w:rsidR="00A179F3" w:rsidRPr="00BE5A48" w:rsidRDefault="00A179F3" w:rsidP="008962C9">
      <w:pPr>
        <w:rPr>
          <w:rFonts w:ascii="Arial" w:hAnsi="Arial" w:cs="Arial"/>
          <w:sz w:val="18"/>
          <w:szCs w:val="18"/>
        </w:rPr>
      </w:pPr>
    </w:p>
    <w:p w14:paraId="101B29E3" w14:textId="7D22B1EB" w:rsidR="00A179F3" w:rsidRPr="00BE5A48" w:rsidRDefault="00A179F3" w:rsidP="008962C9">
      <w:pPr>
        <w:rPr>
          <w:rFonts w:ascii="Arial" w:hAnsi="Arial" w:cs="Arial"/>
          <w:sz w:val="18"/>
          <w:szCs w:val="18"/>
        </w:rPr>
      </w:pPr>
    </w:p>
    <w:p w14:paraId="4A995936" w14:textId="77777777" w:rsidR="00A30C77" w:rsidRDefault="00A30C77" w:rsidP="008962C9">
      <w:pPr>
        <w:sectPr w:rsidR="00A30C77" w:rsidSect="00AF16A0">
          <w:headerReference w:type="default" r:id="rId65"/>
          <w:pgSz w:w="16839" w:h="11907" w:orient="landscape" w:code="9"/>
          <w:pgMar w:top="1701" w:right="1418" w:bottom="1701" w:left="1418" w:header="567" w:footer="0" w:gutter="0"/>
          <w:paperSrc w:first="256" w:other="256"/>
          <w:cols w:space="720"/>
          <w:docGrid w:linePitch="326"/>
        </w:sectPr>
      </w:pPr>
    </w:p>
    <w:tbl>
      <w:tblPr>
        <w:tblW w:w="9491" w:type="dxa"/>
        <w:tblInd w:w="75" w:type="dxa"/>
        <w:tblCellMar>
          <w:left w:w="70" w:type="dxa"/>
          <w:right w:w="70" w:type="dxa"/>
        </w:tblCellMar>
        <w:tblLook w:val="04A0" w:firstRow="1" w:lastRow="0" w:firstColumn="1" w:lastColumn="0" w:noHBand="0" w:noVBand="1"/>
      </w:tblPr>
      <w:tblGrid>
        <w:gridCol w:w="2147"/>
        <w:gridCol w:w="993"/>
        <w:gridCol w:w="763"/>
        <w:gridCol w:w="1360"/>
        <w:gridCol w:w="856"/>
        <w:gridCol w:w="1659"/>
        <w:gridCol w:w="997"/>
        <w:gridCol w:w="716"/>
      </w:tblGrid>
      <w:tr w:rsidR="00C7765D" w:rsidRPr="00122C95" w14:paraId="17C2C799" w14:textId="77777777" w:rsidTr="006E1AF7">
        <w:trPr>
          <w:trHeight w:val="177"/>
        </w:trPr>
        <w:tc>
          <w:tcPr>
            <w:tcW w:w="2147"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44451FDC"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Conceptos</w:t>
            </w:r>
          </w:p>
        </w:tc>
        <w:tc>
          <w:tcPr>
            <w:tcW w:w="993"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AE41D3B"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Costo Amortizado</w:t>
            </w:r>
          </w:p>
        </w:tc>
        <w:tc>
          <w:tcPr>
            <w:tcW w:w="763"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C421FE7"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VR con cambios en ORI</w:t>
            </w:r>
          </w:p>
        </w:tc>
        <w:tc>
          <w:tcPr>
            <w:tcW w:w="2216"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hideMark/>
          </w:tcPr>
          <w:p w14:paraId="5FCE8E9F"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VR con cambios en resultados</w:t>
            </w:r>
          </w:p>
        </w:tc>
        <w:tc>
          <w:tcPr>
            <w:tcW w:w="3372" w:type="dxa"/>
            <w:gridSpan w:val="3"/>
            <w:tcBorders>
              <w:top w:val="single" w:sz="4" w:space="0" w:color="363639"/>
              <w:left w:val="single" w:sz="4" w:space="0" w:color="363639"/>
              <w:bottom w:val="nil"/>
              <w:right w:val="single" w:sz="4" w:space="0" w:color="363639"/>
            </w:tcBorders>
            <w:shd w:val="clear" w:color="auto" w:fill="BFBFBF" w:themeFill="background1" w:themeFillShade="BF"/>
            <w:vAlign w:val="bottom"/>
            <w:hideMark/>
          </w:tcPr>
          <w:p w14:paraId="12426253"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Jerarquía de valor razonable</w:t>
            </w:r>
          </w:p>
        </w:tc>
      </w:tr>
      <w:tr w:rsidR="00C7765D" w:rsidRPr="00122C95" w14:paraId="44FACF8A" w14:textId="77777777" w:rsidTr="006E1AF7">
        <w:trPr>
          <w:trHeight w:val="559"/>
        </w:trPr>
        <w:tc>
          <w:tcPr>
            <w:tcW w:w="2147"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66FE9F6" w14:textId="77777777" w:rsidR="00C7765D" w:rsidRPr="00122C95" w:rsidRDefault="00C7765D" w:rsidP="00257726">
            <w:pPr>
              <w:rPr>
                <w:rFonts w:ascii="Arial" w:hAnsi="Arial" w:cs="Arial"/>
                <w:b/>
                <w:bCs/>
                <w:sz w:val="14"/>
                <w:szCs w:val="14"/>
                <w:lang w:eastAsia="es-AR"/>
              </w:rPr>
            </w:pPr>
          </w:p>
        </w:tc>
        <w:tc>
          <w:tcPr>
            <w:tcW w:w="993"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E6F50BE" w14:textId="77777777" w:rsidR="00C7765D" w:rsidRPr="00122C95" w:rsidRDefault="00C7765D" w:rsidP="00257726">
            <w:pPr>
              <w:rPr>
                <w:rFonts w:ascii="Arial" w:hAnsi="Arial" w:cs="Arial"/>
                <w:b/>
                <w:bCs/>
                <w:sz w:val="14"/>
                <w:szCs w:val="14"/>
                <w:lang w:eastAsia="es-AR"/>
              </w:rPr>
            </w:pPr>
          </w:p>
        </w:tc>
        <w:tc>
          <w:tcPr>
            <w:tcW w:w="763"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F7962B6" w14:textId="77777777" w:rsidR="00C7765D" w:rsidRPr="00122C95" w:rsidRDefault="00C7765D" w:rsidP="00257726">
            <w:pPr>
              <w:rPr>
                <w:rFonts w:ascii="Arial" w:hAnsi="Arial" w:cs="Arial"/>
                <w:b/>
                <w:bCs/>
                <w:sz w:val="14"/>
                <w:szCs w:val="14"/>
                <w:lang w:eastAsia="es-AR"/>
              </w:rPr>
            </w:pPr>
          </w:p>
        </w:tc>
        <w:tc>
          <w:tcPr>
            <w:tcW w:w="1360" w:type="dxa"/>
            <w:vMerge w:val="restart"/>
            <w:tcBorders>
              <w:top w:val="nil"/>
              <w:left w:val="single" w:sz="4" w:space="0" w:color="363639"/>
              <w:bottom w:val="single" w:sz="4" w:space="0" w:color="363639"/>
              <w:right w:val="single" w:sz="4" w:space="0" w:color="363639"/>
            </w:tcBorders>
            <w:shd w:val="clear" w:color="auto" w:fill="BFBFBF" w:themeFill="background1" w:themeFillShade="BF"/>
            <w:hideMark/>
          </w:tcPr>
          <w:p w14:paraId="6ECCCA37"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Designados inicialmente o de acuerdo con el 6.7.1. de la NIIF 9</w:t>
            </w:r>
          </w:p>
        </w:tc>
        <w:tc>
          <w:tcPr>
            <w:tcW w:w="856"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4176819D"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Medición obligatoria</w:t>
            </w:r>
          </w:p>
        </w:tc>
        <w:tc>
          <w:tcPr>
            <w:tcW w:w="1659" w:type="dxa"/>
            <w:tcBorders>
              <w:top w:val="nil"/>
              <w:left w:val="nil"/>
              <w:bottom w:val="single" w:sz="4" w:space="0" w:color="363639"/>
              <w:right w:val="nil"/>
            </w:tcBorders>
            <w:shd w:val="clear" w:color="auto" w:fill="BFBFBF" w:themeFill="background1" w:themeFillShade="BF"/>
            <w:vAlign w:val="center"/>
            <w:hideMark/>
          </w:tcPr>
          <w:p w14:paraId="7A573195"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 </w:t>
            </w:r>
          </w:p>
        </w:tc>
        <w:tc>
          <w:tcPr>
            <w:tcW w:w="997" w:type="dxa"/>
            <w:tcBorders>
              <w:top w:val="nil"/>
              <w:left w:val="nil"/>
              <w:bottom w:val="single" w:sz="4" w:space="0" w:color="363639"/>
              <w:right w:val="nil"/>
            </w:tcBorders>
            <w:shd w:val="clear" w:color="auto" w:fill="BFBFBF" w:themeFill="background1" w:themeFillShade="BF"/>
            <w:vAlign w:val="center"/>
            <w:hideMark/>
          </w:tcPr>
          <w:p w14:paraId="7E162141"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 </w:t>
            </w:r>
          </w:p>
        </w:tc>
        <w:tc>
          <w:tcPr>
            <w:tcW w:w="716" w:type="dxa"/>
            <w:tcBorders>
              <w:top w:val="nil"/>
              <w:left w:val="nil"/>
              <w:bottom w:val="single" w:sz="4" w:space="0" w:color="363639"/>
              <w:right w:val="single" w:sz="4" w:space="0" w:color="363639"/>
            </w:tcBorders>
            <w:shd w:val="clear" w:color="auto" w:fill="BFBFBF" w:themeFill="background1" w:themeFillShade="BF"/>
            <w:vAlign w:val="center"/>
            <w:hideMark/>
          </w:tcPr>
          <w:p w14:paraId="3206ABD5"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 </w:t>
            </w:r>
          </w:p>
        </w:tc>
      </w:tr>
      <w:tr w:rsidR="00C7765D" w:rsidRPr="00122C95" w14:paraId="1B9090CF" w14:textId="77777777" w:rsidTr="006E1AF7">
        <w:trPr>
          <w:trHeight w:val="221"/>
        </w:trPr>
        <w:tc>
          <w:tcPr>
            <w:tcW w:w="2147"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64F8ADB5" w14:textId="77777777" w:rsidR="00C7765D" w:rsidRPr="00122C95" w:rsidRDefault="00C7765D" w:rsidP="00257726">
            <w:pPr>
              <w:rPr>
                <w:rFonts w:ascii="Arial" w:hAnsi="Arial" w:cs="Arial"/>
                <w:b/>
                <w:bCs/>
                <w:sz w:val="14"/>
                <w:szCs w:val="14"/>
                <w:lang w:eastAsia="es-AR"/>
              </w:rPr>
            </w:pPr>
          </w:p>
        </w:tc>
        <w:tc>
          <w:tcPr>
            <w:tcW w:w="993"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332CEB05" w14:textId="77777777" w:rsidR="00C7765D" w:rsidRPr="00122C95" w:rsidRDefault="00C7765D" w:rsidP="00257726">
            <w:pPr>
              <w:rPr>
                <w:rFonts w:ascii="Arial" w:hAnsi="Arial" w:cs="Arial"/>
                <w:b/>
                <w:bCs/>
                <w:sz w:val="14"/>
                <w:szCs w:val="14"/>
                <w:lang w:eastAsia="es-AR"/>
              </w:rPr>
            </w:pPr>
          </w:p>
        </w:tc>
        <w:tc>
          <w:tcPr>
            <w:tcW w:w="763"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5D40F8BB" w14:textId="77777777" w:rsidR="00C7765D" w:rsidRPr="00122C95" w:rsidRDefault="00C7765D" w:rsidP="00257726">
            <w:pPr>
              <w:rPr>
                <w:rFonts w:ascii="Arial" w:hAnsi="Arial" w:cs="Arial"/>
                <w:b/>
                <w:bCs/>
                <w:sz w:val="14"/>
                <w:szCs w:val="14"/>
                <w:lang w:eastAsia="es-AR"/>
              </w:rPr>
            </w:pPr>
          </w:p>
        </w:tc>
        <w:tc>
          <w:tcPr>
            <w:tcW w:w="1360"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2092F693" w14:textId="77777777" w:rsidR="00C7765D" w:rsidRPr="00122C95" w:rsidRDefault="00C7765D" w:rsidP="00257726">
            <w:pPr>
              <w:rPr>
                <w:rFonts w:ascii="Arial" w:hAnsi="Arial" w:cs="Arial"/>
                <w:b/>
                <w:bCs/>
                <w:sz w:val="14"/>
                <w:szCs w:val="14"/>
                <w:lang w:eastAsia="es-AR"/>
              </w:rPr>
            </w:pPr>
          </w:p>
        </w:tc>
        <w:tc>
          <w:tcPr>
            <w:tcW w:w="856"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410A3AAC" w14:textId="77777777" w:rsidR="00C7765D" w:rsidRPr="00122C95" w:rsidRDefault="00C7765D" w:rsidP="00257726">
            <w:pPr>
              <w:rPr>
                <w:rFonts w:ascii="Arial" w:hAnsi="Arial" w:cs="Arial"/>
                <w:b/>
                <w:bCs/>
                <w:sz w:val="14"/>
                <w:szCs w:val="14"/>
                <w:lang w:eastAsia="es-AR"/>
              </w:rPr>
            </w:pPr>
          </w:p>
        </w:tc>
        <w:tc>
          <w:tcPr>
            <w:tcW w:w="1659" w:type="dxa"/>
            <w:tcBorders>
              <w:top w:val="nil"/>
              <w:left w:val="nil"/>
              <w:bottom w:val="single" w:sz="4" w:space="0" w:color="363639"/>
              <w:right w:val="single" w:sz="4" w:space="0" w:color="363639"/>
            </w:tcBorders>
            <w:shd w:val="clear" w:color="auto" w:fill="BFBFBF" w:themeFill="background1" w:themeFillShade="BF"/>
            <w:vAlign w:val="center"/>
            <w:hideMark/>
          </w:tcPr>
          <w:p w14:paraId="4079A716"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Nivel 1</w:t>
            </w:r>
          </w:p>
        </w:tc>
        <w:tc>
          <w:tcPr>
            <w:tcW w:w="997" w:type="dxa"/>
            <w:tcBorders>
              <w:top w:val="nil"/>
              <w:left w:val="nil"/>
              <w:bottom w:val="single" w:sz="4" w:space="0" w:color="363639"/>
              <w:right w:val="single" w:sz="4" w:space="0" w:color="363639"/>
            </w:tcBorders>
            <w:shd w:val="clear" w:color="auto" w:fill="BFBFBF" w:themeFill="background1" w:themeFillShade="BF"/>
            <w:vAlign w:val="center"/>
            <w:hideMark/>
          </w:tcPr>
          <w:p w14:paraId="160BBF3A"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Nivel 2</w:t>
            </w:r>
          </w:p>
        </w:tc>
        <w:tc>
          <w:tcPr>
            <w:tcW w:w="716" w:type="dxa"/>
            <w:tcBorders>
              <w:top w:val="nil"/>
              <w:left w:val="nil"/>
              <w:bottom w:val="single" w:sz="4" w:space="0" w:color="363639"/>
              <w:right w:val="single" w:sz="4" w:space="0" w:color="363639"/>
            </w:tcBorders>
            <w:shd w:val="clear" w:color="auto" w:fill="BFBFBF" w:themeFill="background1" w:themeFillShade="BF"/>
            <w:vAlign w:val="center"/>
            <w:hideMark/>
          </w:tcPr>
          <w:p w14:paraId="5BB3CB71"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Nivel 3</w:t>
            </w:r>
          </w:p>
        </w:tc>
      </w:tr>
      <w:tr w:rsidR="00C7765D" w:rsidRPr="00122C95" w14:paraId="25581B94" w14:textId="77777777" w:rsidTr="006E1AF7">
        <w:trPr>
          <w:trHeight w:val="178"/>
        </w:trPr>
        <w:tc>
          <w:tcPr>
            <w:tcW w:w="2147" w:type="dxa"/>
            <w:tcBorders>
              <w:top w:val="nil"/>
              <w:left w:val="nil"/>
              <w:bottom w:val="nil"/>
              <w:right w:val="nil"/>
            </w:tcBorders>
            <w:shd w:val="clear" w:color="auto" w:fill="auto"/>
            <w:hideMark/>
          </w:tcPr>
          <w:p w14:paraId="1410181D"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ACTIVOS FINANCIEROS</w:t>
            </w:r>
          </w:p>
        </w:tc>
        <w:tc>
          <w:tcPr>
            <w:tcW w:w="993" w:type="dxa"/>
            <w:tcBorders>
              <w:top w:val="nil"/>
              <w:left w:val="nil"/>
              <w:bottom w:val="nil"/>
              <w:right w:val="nil"/>
            </w:tcBorders>
            <w:shd w:val="clear" w:color="auto" w:fill="auto"/>
            <w:noWrap/>
            <w:hideMark/>
          </w:tcPr>
          <w:p w14:paraId="4879CBE1"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763" w:type="dxa"/>
            <w:tcBorders>
              <w:top w:val="nil"/>
              <w:left w:val="nil"/>
              <w:bottom w:val="nil"/>
              <w:right w:val="nil"/>
            </w:tcBorders>
            <w:shd w:val="clear" w:color="auto" w:fill="auto"/>
            <w:noWrap/>
            <w:hideMark/>
          </w:tcPr>
          <w:p w14:paraId="038F4B30"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1360" w:type="dxa"/>
            <w:tcBorders>
              <w:top w:val="nil"/>
              <w:left w:val="nil"/>
              <w:bottom w:val="nil"/>
              <w:right w:val="nil"/>
            </w:tcBorders>
            <w:shd w:val="clear" w:color="auto" w:fill="auto"/>
            <w:noWrap/>
            <w:hideMark/>
          </w:tcPr>
          <w:p w14:paraId="2B4418C0"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856" w:type="dxa"/>
            <w:tcBorders>
              <w:top w:val="nil"/>
              <w:left w:val="nil"/>
              <w:bottom w:val="nil"/>
              <w:right w:val="nil"/>
            </w:tcBorders>
            <w:shd w:val="clear" w:color="auto" w:fill="auto"/>
            <w:noWrap/>
            <w:hideMark/>
          </w:tcPr>
          <w:p w14:paraId="6E764CF2"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1659" w:type="dxa"/>
            <w:tcBorders>
              <w:top w:val="nil"/>
              <w:left w:val="nil"/>
              <w:bottom w:val="nil"/>
              <w:right w:val="nil"/>
            </w:tcBorders>
            <w:shd w:val="clear" w:color="auto" w:fill="auto"/>
            <w:noWrap/>
            <w:hideMark/>
          </w:tcPr>
          <w:p w14:paraId="4B72DFE4"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997" w:type="dxa"/>
            <w:tcBorders>
              <w:top w:val="nil"/>
              <w:left w:val="nil"/>
              <w:bottom w:val="nil"/>
              <w:right w:val="nil"/>
            </w:tcBorders>
            <w:shd w:val="clear" w:color="auto" w:fill="auto"/>
            <w:noWrap/>
            <w:hideMark/>
          </w:tcPr>
          <w:p w14:paraId="110410F6"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716" w:type="dxa"/>
            <w:tcBorders>
              <w:top w:val="nil"/>
              <w:left w:val="nil"/>
              <w:bottom w:val="nil"/>
              <w:right w:val="nil"/>
            </w:tcBorders>
            <w:shd w:val="clear" w:color="auto" w:fill="auto"/>
            <w:noWrap/>
            <w:hideMark/>
          </w:tcPr>
          <w:p w14:paraId="640B6CC1"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r>
      <w:tr w:rsidR="00C7765D" w:rsidRPr="00122C95" w14:paraId="735F5367" w14:textId="77777777" w:rsidTr="006E1AF7">
        <w:trPr>
          <w:trHeight w:val="80"/>
        </w:trPr>
        <w:tc>
          <w:tcPr>
            <w:tcW w:w="2147" w:type="dxa"/>
            <w:tcBorders>
              <w:top w:val="nil"/>
              <w:left w:val="nil"/>
              <w:bottom w:val="nil"/>
              <w:right w:val="nil"/>
            </w:tcBorders>
            <w:shd w:val="clear" w:color="auto" w:fill="auto"/>
            <w:hideMark/>
          </w:tcPr>
          <w:p w14:paraId="4026D315" w14:textId="77777777" w:rsidR="00C7765D" w:rsidRPr="00122C95" w:rsidRDefault="00C7765D" w:rsidP="00257726">
            <w:pPr>
              <w:rPr>
                <w:rFonts w:ascii="Arial" w:hAnsi="Arial" w:cs="Arial"/>
                <w:sz w:val="14"/>
                <w:szCs w:val="14"/>
                <w:lang w:eastAsia="es-AR"/>
              </w:rPr>
            </w:pPr>
          </w:p>
        </w:tc>
        <w:tc>
          <w:tcPr>
            <w:tcW w:w="993" w:type="dxa"/>
            <w:tcBorders>
              <w:top w:val="nil"/>
              <w:left w:val="nil"/>
              <w:bottom w:val="nil"/>
              <w:right w:val="nil"/>
            </w:tcBorders>
            <w:shd w:val="clear" w:color="auto" w:fill="auto"/>
            <w:noWrap/>
            <w:hideMark/>
          </w:tcPr>
          <w:p w14:paraId="2C7CB00F" w14:textId="77777777" w:rsidR="00C7765D" w:rsidRPr="00122C95" w:rsidRDefault="00C7765D" w:rsidP="00257726">
            <w:pPr>
              <w:rPr>
                <w:sz w:val="14"/>
                <w:szCs w:val="14"/>
                <w:lang w:eastAsia="es-AR"/>
              </w:rPr>
            </w:pPr>
          </w:p>
        </w:tc>
        <w:tc>
          <w:tcPr>
            <w:tcW w:w="763" w:type="dxa"/>
            <w:tcBorders>
              <w:top w:val="nil"/>
              <w:left w:val="nil"/>
              <w:bottom w:val="nil"/>
              <w:right w:val="nil"/>
            </w:tcBorders>
            <w:shd w:val="clear" w:color="auto" w:fill="auto"/>
            <w:noWrap/>
            <w:hideMark/>
          </w:tcPr>
          <w:p w14:paraId="467B0AB6" w14:textId="77777777" w:rsidR="00C7765D" w:rsidRPr="00122C95" w:rsidRDefault="00C7765D" w:rsidP="00257726">
            <w:pPr>
              <w:rPr>
                <w:sz w:val="14"/>
                <w:szCs w:val="14"/>
                <w:lang w:eastAsia="es-AR"/>
              </w:rPr>
            </w:pPr>
          </w:p>
        </w:tc>
        <w:tc>
          <w:tcPr>
            <w:tcW w:w="1360" w:type="dxa"/>
            <w:tcBorders>
              <w:top w:val="nil"/>
              <w:left w:val="nil"/>
              <w:bottom w:val="nil"/>
              <w:right w:val="nil"/>
            </w:tcBorders>
            <w:shd w:val="clear" w:color="auto" w:fill="auto"/>
            <w:noWrap/>
            <w:hideMark/>
          </w:tcPr>
          <w:p w14:paraId="7956CB18" w14:textId="77777777" w:rsidR="00C7765D" w:rsidRPr="00122C95" w:rsidRDefault="00C7765D" w:rsidP="00257726">
            <w:pPr>
              <w:rPr>
                <w:sz w:val="14"/>
                <w:szCs w:val="14"/>
                <w:lang w:eastAsia="es-AR"/>
              </w:rPr>
            </w:pPr>
          </w:p>
        </w:tc>
        <w:tc>
          <w:tcPr>
            <w:tcW w:w="856" w:type="dxa"/>
            <w:tcBorders>
              <w:top w:val="nil"/>
              <w:left w:val="nil"/>
              <w:bottom w:val="nil"/>
              <w:right w:val="nil"/>
            </w:tcBorders>
            <w:shd w:val="clear" w:color="auto" w:fill="auto"/>
            <w:noWrap/>
            <w:hideMark/>
          </w:tcPr>
          <w:p w14:paraId="11BA55E7" w14:textId="77777777" w:rsidR="00C7765D" w:rsidRPr="00122C95" w:rsidRDefault="00C7765D" w:rsidP="00257726">
            <w:pPr>
              <w:rPr>
                <w:sz w:val="14"/>
                <w:szCs w:val="14"/>
                <w:lang w:eastAsia="es-AR"/>
              </w:rPr>
            </w:pPr>
          </w:p>
        </w:tc>
        <w:tc>
          <w:tcPr>
            <w:tcW w:w="1659" w:type="dxa"/>
            <w:tcBorders>
              <w:top w:val="nil"/>
              <w:left w:val="nil"/>
              <w:bottom w:val="nil"/>
              <w:right w:val="nil"/>
            </w:tcBorders>
            <w:shd w:val="clear" w:color="auto" w:fill="auto"/>
            <w:noWrap/>
            <w:hideMark/>
          </w:tcPr>
          <w:p w14:paraId="347E2DE6" w14:textId="77777777" w:rsidR="00C7765D" w:rsidRPr="00122C95" w:rsidRDefault="00C7765D" w:rsidP="00257726">
            <w:pPr>
              <w:rPr>
                <w:sz w:val="14"/>
                <w:szCs w:val="14"/>
                <w:lang w:eastAsia="es-AR"/>
              </w:rPr>
            </w:pPr>
          </w:p>
        </w:tc>
        <w:tc>
          <w:tcPr>
            <w:tcW w:w="997" w:type="dxa"/>
            <w:tcBorders>
              <w:top w:val="nil"/>
              <w:left w:val="nil"/>
              <w:bottom w:val="nil"/>
              <w:right w:val="nil"/>
            </w:tcBorders>
            <w:shd w:val="clear" w:color="auto" w:fill="auto"/>
            <w:noWrap/>
            <w:hideMark/>
          </w:tcPr>
          <w:p w14:paraId="67B3A61F" w14:textId="77777777" w:rsidR="00C7765D" w:rsidRPr="00122C95" w:rsidRDefault="00C7765D" w:rsidP="00257726">
            <w:pPr>
              <w:rPr>
                <w:sz w:val="14"/>
                <w:szCs w:val="14"/>
                <w:lang w:eastAsia="es-AR"/>
              </w:rPr>
            </w:pPr>
          </w:p>
        </w:tc>
        <w:tc>
          <w:tcPr>
            <w:tcW w:w="716" w:type="dxa"/>
            <w:tcBorders>
              <w:top w:val="nil"/>
              <w:left w:val="nil"/>
              <w:bottom w:val="nil"/>
              <w:right w:val="nil"/>
            </w:tcBorders>
            <w:shd w:val="clear" w:color="auto" w:fill="auto"/>
            <w:noWrap/>
            <w:hideMark/>
          </w:tcPr>
          <w:p w14:paraId="71F8DDBB" w14:textId="77777777" w:rsidR="00C7765D" w:rsidRPr="00122C95" w:rsidRDefault="00C7765D" w:rsidP="00257726">
            <w:pPr>
              <w:rPr>
                <w:sz w:val="14"/>
                <w:szCs w:val="14"/>
                <w:lang w:eastAsia="es-AR"/>
              </w:rPr>
            </w:pPr>
          </w:p>
        </w:tc>
      </w:tr>
      <w:tr w:rsidR="00C7765D" w:rsidRPr="00122C95" w14:paraId="5BAC5EAD" w14:textId="77777777" w:rsidTr="006E1AF7">
        <w:trPr>
          <w:trHeight w:val="255"/>
        </w:trPr>
        <w:tc>
          <w:tcPr>
            <w:tcW w:w="2147" w:type="dxa"/>
            <w:tcBorders>
              <w:top w:val="nil"/>
              <w:left w:val="nil"/>
              <w:bottom w:val="nil"/>
              <w:right w:val="nil"/>
            </w:tcBorders>
            <w:shd w:val="clear" w:color="auto" w:fill="auto"/>
            <w:hideMark/>
          </w:tcPr>
          <w:p w14:paraId="2B0F9C04"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Efectivo y depósitos en Bancos</w:t>
            </w:r>
          </w:p>
        </w:tc>
        <w:tc>
          <w:tcPr>
            <w:tcW w:w="993" w:type="dxa"/>
            <w:tcBorders>
              <w:top w:val="nil"/>
              <w:left w:val="nil"/>
              <w:bottom w:val="nil"/>
              <w:right w:val="nil"/>
            </w:tcBorders>
            <w:shd w:val="clear" w:color="auto" w:fill="auto"/>
            <w:vAlign w:val="bottom"/>
            <w:hideMark/>
          </w:tcPr>
          <w:p w14:paraId="10E11A33" w14:textId="77777777" w:rsidR="00C7765D" w:rsidRPr="00122C95" w:rsidRDefault="00C7765D" w:rsidP="00DF1E18">
            <w:pPr>
              <w:jc w:val="right"/>
              <w:rPr>
                <w:rFonts w:ascii="Arial" w:hAnsi="Arial" w:cs="Arial"/>
                <w:b/>
                <w:bCs/>
                <w:sz w:val="14"/>
                <w:szCs w:val="14"/>
                <w:lang w:eastAsia="es-AR"/>
              </w:rPr>
            </w:pPr>
          </w:p>
        </w:tc>
        <w:tc>
          <w:tcPr>
            <w:tcW w:w="763" w:type="dxa"/>
            <w:tcBorders>
              <w:top w:val="nil"/>
              <w:left w:val="nil"/>
              <w:bottom w:val="nil"/>
              <w:right w:val="nil"/>
            </w:tcBorders>
            <w:shd w:val="clear" w:color="auto" w:fill="auto"/>
            <w:vAlign w:val="bottom"/>
            <w:hideMark/>
          </w:tcPr>
          <w:p w14:paraId="26B6DAB7" w14:textId="77777777" w:rsidR="00C7765D" w:rsidRPr="00122C95" w:rsidRDefault="00C7765D" w:rsidP="00DF1E18">
            <w:pPr>
              <w:jc w:val="right"/>
              <w:rPr>
                <w:sz w:val="14"/>
                <w:szCs w:val="14"/>
                <w:lang w:eastAsia="es-AR"/>
              </w:rPr>
            </w:pPr>
          </w:p>
        </w:tc>
        <w:tc>
          <w:tcPr>
            <w:tcW w:w="1360" w:type="dxa"/>
            <w:tcBorders>
              <w:top w:val="nil"/>
              <w:left w:val="nil"/>
              <w:bottom w:val="nil"/>
              <w:right w:val="nil"/>
            </w:tcBorders>
            <w:shd w:val="clear" w:color="auto" w:fill="auto"/>
            <w:vAlign w:val="bottom"/>
            <w:hideMark/>
          </w:tcPr>
          <w:p w14:paraId="4FF15D32" w14:textId="77777777" w:rsidR="00C7765D" w:rsidRPr="00122C95" w:rsidRDefault="00C7765D" w:rsidP="00DF1E18">
            <w:pPr>
              <w:jc w:val="right"/>
              <w:rPr>
                <w:sz w:val="14"/>
                <w:szCs w:val="14"/>
                <w:lang w:eastAsia="es-AR"/>
              </w:rPr>
            </w:pPr>
          </w:p>
        </w:tc>
        <w:tc>
          <w:tcPr>
            <w:tcW w:w="856" w:type="dxa"/>
            <w:tcBorders>
              <w:top w:val="nil"/>
              <w:left w:val="nil"/>
              <w:bottom w:val="nil"/>
              <w:right w:val="nil"/>
            </w:tcBorders>
            <w:shd w:val="clear" w:color="auto" w:fill="auto"/>
            <w:vAlign w:val="bottom"/>
            <w:hideMark/>
          </w:tcPr>
          <w:p w14:paraId="79912246" w14:textId="77777777" w:rsidR="00C7765D" w:rsidRPr="00122C95" w:rsidRDefault="00C7765D" w:rsidP="00DF1E18">
            <w:pPr>
              <w:jc w:val="right"/>
              <w:rPr>
                <w:sz w:val="14"/>
                <w:szCs w:val="14"/>
                <w:lang w:eastAsia="es-AR"/>
              </w:rPr>
            </w:pPr>
          </w:p>
        </w:tc>
        <w:tc>
          <w:tcPr>
            <w:tcW w:w="1659" w:type="dxa"/>
            <w:tcBorders>
              <w:top w:val="nil"/>
              <w:left w:val="nil"/>
              <w:bottom w:val="nil"/>
              <w:right w:val="nil"/>
            </w:tcBorders>
            <w:shd w:val="clear" w:color="auto" w:fill="auto"/>
            <w:vAlign w:val="bottom"/>
            <w:hideMark/>
          </w:tcPr>
          <w:p w14:paraId="4FDCD2D6" w14:textId="77777777" w:rsidR="00C7765D" w:rsidRPr="00122C95" w:rsidRDefault="00C7765D" w:rsidP="00DF1E18">
            <w:pPr>
              <w:jc w:val="right"/>
              <w:rPr>
                <w:sz w:val="14"/>
                <w:szCs w:val="14"/>
                <w:lang w:eastAsia="es-AR"/>
              </w:rPr>
            </w:pPr>
          </w:p>
        </w:tc>
        <w:tc>
          <w:tcPr>
            <w:tcW w:w="997" w:type="dxa"/>
            <w:tcBorders>
              <w:top w:val="nil"/>
              <w:left w:val="nil"/>
              <w:bottom w:val="nil"/>
              <w:right w:val="nil"/>
            </w:tcBorders>
            <w:shd w:val="clear" w:color="auto" w:fill="auto"/>
            <w:vAlign w:val="bottom"/>
            <w:hideMark/>
          </w:tcPr>
          <w:p w14:paraId="65913BE0" w14:textId="77777777" w:rsidR="00C7765D" w:rsidRPr="00122C95" w:rsidRDefault="00C7765D" w:rsidP="00DF1E18">
            <w:pPr>
              <w:jc w:val="right"/>
              <w:rPr>
                <w:sz w:val="14"/>
                <w:szCs w:val="14"/>
                <w:lang w:eastAsia="es-AR"/>
              </w:rPr>
            </w:pPr>
          </w:p>
        </w:tc>
        <w:tc>
          <w:tcPr>
            <w:tcW w:w="716" w:type="dxa"/>
            <w:tcBorders>
              <w:top w:val="nil"/>
              <w:left w:val="nil"/>
              <w:bottom w:val="nil"/>
              <w:right w:val="nil"/>
            </w:tcBorders>
            <w:shd w:val="clear" w:color="auto" w:fill="auto"/>
            <w:vAlign w:val="bottom"/>
            <w:hideMark/>
          </w:tcPr>
          <w:p w14:paraId="0FB2DBF1" w14:textId="77777777" w:rsidR="00C7765D" w:rsidRPr="00122C95" w:rsidRDefault="00C7765D" w:rsidP="00DF1E18">
            <w:pPr>
              <w:jc w:val="right"/>
              <w:rPr>
                <w:sz w:val="14"/>
                <w:szCs w:val="14"/>
                <w:lang w:eastAsia="es-AR"/>
              </w:rPr>
            </w:pPr>
          </w:p>
        </w:tc>
      </w:tr>
      <w:tr w:rsidR="00C7765D" w:rsidRPr="00122C95" w14:paraId="747ACB3A" w14:textId="77777777" w:rsidTr="006E1AF7">
        <w:trPr>
          <w:trHeight w:val="255"/>
        </w:trPr>
        <w:tc>
          <w:tcPr>
            <w:tcW w:w="2147" w:type="dxa"/>
            <w:tcBorders>
              <w:top w:val="nil"/>
              <w:left w:val="nil"/>
              <w:bottom w:val="nil"/>
              <w:right w:val="nil"/>
            </w:tcBorders>
            <w:shd w:val="clear" w:color="auto" w:fill="auto"/>
            <w:hideMark/>
          </w:tcPr>
          <w:p w14:paraId="7EB9008A" w14:textId="77777777" w:rsidR="00C7765D" w:rsidRPr="00122C95" w:rsidRDefault="00C7765D" w:rsidP="00257726">
            <w:pPr>
              <w:ind w:firstLineChars="100" w:firstLine="140"/>
              <w:rPr>
                <w:rFonts w:ascii="Arial" w:hAnsi="Arial" w:cs="Arial"/>
                <w:sz w:val="14"/>
                <w:szCs w:val="14"/>
                <w:lang w:eastAsia="es-AR"/>
              </w:rPr>
            </w:pPr>
            <w:r w:rsidRPr="00122C95">
              <w:rPr>
                <w:rFonts w:ascii="Arial" w:hAnsi="Arial" w:cs="Arial"/>
                <w:sz w:val="14"/>
                <w:szCs w:val="14"/>
                <w:lang w:eastAsia="es-AR"/>
              </w:rPr>
              <w:t>Efectivo</w:t>
            </w:r>
          </w:p>
        </w:tc>
        <w:tc>
          <w:tcPr>
            <w:tcW w:w="993" w:type="dxa"/>
            <w:tcBorders>
              <w:top w:val="nil"/>
              <w:left w:val="nil"/>
              <w:bottom w:val="nil"/>
              <w:right w:val="nil"/>
            </w:tcBorders>
            <w:shd w:val="clear" w:color="auto" w:fill="auto"/>
            <w:vAlign w:val="bottom"/>
          </w:tcPr>
          <w:p w14:paraId="1A56AB57" w14:textId="05942F37" w:rsidR="00C7765D" w:rsidRPr="00122C95" w:rsidRDefault="007A446B" w:rsidP="00DF1E18">
            <w:pPr>
              <w:jc w:val="right"/>
              <w:rPr>
                <w:rFonts w:ascii="Arial" w:hAnsi="Arial" w:cs="Arial"/>
                <w:sz w:val="14"/>
                <w:szCs w:val="14"/>
                <w:lang w:eastAsia="es-AR"/>
              </w:rPr>
            </w:pPr>
            <w:r w:rsidRPr="007A446B">
              <w:rPr>
                <w:rFonts w:ascii="Arial" w:hAnsi="Arial" w:cs="Arial"/>
                <w:sz w:val="14"/>
                <w:szCs w:val="14"/>
                <w:lang w:eastAsia="es-AR"/>
              </w:rPr>
              <w:t>8.695.4</w:t>
            </w:r>
            <w:r w:rsidR="00004D2F">
              <w:rPr>
                <w:rFonts w:ascii="Arial" w:hAnsi="Arial" w:cs="Arial"/>
                <w:sz w:val="14"/>
                <w:szCs w:val="14"/>
                <w:lang w:eastAsia="es-AR"/>
              </w:rPr>
              <w:t>8</w:t>
            </w:r>
            <w:r w:rsidRPr="007A446B">
              <w:rPr>
                <w:rFonts w:ascii="Arial" w:hAnsi="Arial" w:cs="Arial"/>
                <w:sz w:val="14"/>
                <w:szCs w:val="14"/>
                <w:lang w:eastAsia="es-AR"/>
              </w:rPr>
              <w:t>6</w:t>
            </w:r>
          </w:p>
        </w:tc>
        <w:tc>
          <w:tcPr>
            <w:tcW w:w="763" w:type="dxa"/>
            <w:tcBorders>
              <w:top w:val="nil"/>
              <w:left w:val="nil"/>
              <w:bottom w:val="nil"/>
              <w:right w:val="nil"/>
            </w:tcBorders>
            <w:shd w:val="clear" w:color="auto" w:fill="auto"/>
            <w:vAlign w:val="bottom"/>
          </w:tcPr>
          <w:p w14:paraId="09F7F02A" w14:textId="19D7478C" w:rsidR="00C7765D"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07C540A5" w14:textId="2BF16381" w:rsidR="00C7765D" w:rsidRPr="00122C95" w:rsidRDefault="00A72601" w:rsidP="00DF1E18">
            <w:pPr>
              <w:jc w:val="right"/>
              <w:rPr>
                <w:sz w:val="14"/>
                <w:szCs w:val="14"/>
                <w:lang w:eastAsia="es-AR"/>
              </w:rPr>
            </w:pPr>
            <w:r>
              <w:rPr>
                <w:sz w:val="14"/>
                <w:szCs w:val="14"/>
                <w:lang w:eastAsia="es-AR"/>
              </w:rPr>
              <w:t>-</w:t>
            </w:r>
          </w:p>
        </w:tc>
        <w:tc>
          <w:tcPr>
            <w:tcW w:w="856" w:type="dxa"/>
            <w:tcBorders>
              <w:top w:val="nil"/>
              <w:left w:val="nil"/>
              <w:bottom w:val="nil"/>
              <w:right w:val="nil"/>
            </w:tcBorders>
            <w:shd w:val="clear" w:color="auto" w:fill="auto"/>
            <w:vAlign w:val="bottom"/>
          </w:tcPr>
          <w:p w14:paraId="354DB510" w14:textId="50C8B65F" w:rsidR="00C7765D" w:rsidRPr="00122C95" w:rsidRDefault="00A72601" w:rsidP="00DF1E18">
            <w:pPr>
              <w:jc w:val="right"/>
              <w:rPr>
                <w:sz w:val="14"/>
                <w:szCs w:val="14"/>
                <w:lang w:eastAsia="es-AR"/>
              </w:rPr>
            </w:pPr>
            <w:r>
              <w:rPr>
                <w:sz w:val="14"/>
                <w:szCs w:val="14"/>
                <w:lang w:eastAsia="es-AR"/>
              </w:rPr>
              <w:t>-</w:t>
            </w:r>
          </w:p>
        </w:tc>
        <w:tc>
          <w:tcPr>
            <w:tcW w:w="1659" w:type="dxa"/>
            <w:tcBorders>
              <w:top w:val="nil"/>
              <w:left w:val="nil"/>
              <w:bottom w:val="nil"/>
              <w:right w:val="nil"/>
            </w:tcBorders>
            <w:shd w:val="clear" w:color="auto" w:fill="auto"/>
            <w:vAlign w:val="bottom"/>
          </w:tcPr>
          <w:p w14:paraId="0127E65B" w14:textId="29B686E3" w:rsidR="00C7765D" w:rsidRPr="00122C95" w:rsidRDefault="00A72601" w:rsidP="00DF1E18">
            <w:pPr>
              <w:jc w:val="right"/>
              <w:rPr>
                <w:sz w:val="14"/>
                <w:szCs w:val="14"/>
                <w:lang w:eastAsia="es-AR"/>
              </w:rPr>
            </w:pPr>
            <w:r>
              <w:rPr>
                <w:sz w:val="14"/>
                <w:szCs w:val="14"/>
                <w:lang w:eastAsia="es-AR"/>
              </w:rPr>
              <w:t>-</w:t>
            </w:r>
          </w:p>
        </w:tc>
        <w:tc>
          <w:tcPr>
            <w:tcW w:w="997" w:type="dxa"/>
            <w:tcBorders>
              <w:top w:val="nil"/>
              <w:left w:val="nil"/>
              <w:bottom w:val="nil"/>
              <w:right w:val="nil"/>
            </w:tcBorders>
            <w:shd w:val="clear" w:color="auto" w:fill="auto"/>
            <w:vAlign w:val="bottom"/>
          </w:tcPr>
          <w:p w14:paraId="72BCE5BB" w14:textId="5A618C87" w:rsidR="00C7765D" w:rsidRPr="00122C95" w:rsidRDefault="00A72601" w:rsidP="00DF1E18">
            <w:pPr>
              <w:jc w:val="right"/>
              <w:rPr>
                <w:sz w:val="14"/>
                <w:szCs w:val="14"/>
                <w:lang w:eastAsia="es-AR"/>
              </w:rPr>
            </w:pPr>
            <w:r>
              <w:rPr>
                <w:sz w:val="14"/>
                <w:szCs w:val="14"/>
                <w:lang w:eastAsia="es-AR"/>
              </w:rPr>
              <w:t>-</w:t>
            </w:r>
          </w:p>
        </w:tc>
        <w:tc>
          <w:tcPr>
            <w:tcW w:w="716" w:type="dxa"/>
            <w:tcBorders>
              <w:top w:val="nil"/>
              <w:left w:val="nil"/>
              <w:bottom w:val="nil"/>
              <w:right w:val="nil"/>
            </w:tcBorders>
            <w:shd w:val="clear" w:color="auto" w:fill="auto"/>
            <w:vAlign w:val="bottom"/>
          </w:tcPr>
          <w:p w14:paraId="53C62B5F" w14:textId="500689CA" w:rsidR="00C7765D" w:rsidRPr="00122C95" w:rsidRDefault="00A72601" w:rsidP="00DF1E18">
            <w:pPr>
              <w:jc w:val="right"/>
              <w:rPr>
                <w:sz w:val="14"/>
                <w:szCs w:val="14"/>
                <w:lang w:eastAsia="es-AR"/>
              </w:rPr>
            </w:pPr>
            <w:r>
              <w:rPr>
                <w:sz w:val="14"/>
                <w:szCs w:val="14"/>
                <w:lang w:eastAsia="es-AR"/>
              </w:rPr>
              <w:t>-</w:t>
            </w:r>
          </w:p>
        </w:tc>
      </w:tr>
      <w:tr w:rsidR="00C7765D" w:rsidRPr="00122C95" w14:paraId="4589BDCE" w14:textId="77777777" w:rsidTr="006E1AF7">
        <w:trPr>
          <w:trHeight w:val="255"/>
        </w:trPr>
        <w:tc>
          <w:tcPr>
            <w:tcW w:w="2147" w:type="dxa"/>
            <w:tcBorders>
              <w:top w:val="nil"/>
              <w:left w:val="nil"/>
              <w:bottom w:val="nil"/>
              <w:right w:val="nil"/>
            </w:tcBorders>
            <w:shd w:val="clear" w:color="auto" w:fill="auto"/>
            <w:hideMark/>
          </w:tcPr>
          <w:p w14:paraId="25D3699B"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Entidades Financieras y corresponsales</w:t>
            </w:r>
          </w:p>
        </w:tc>
        <w:tc>
          <w:tcPr>
            <w:tcW w:w="993" w:type="dxa"/>
            <w:tcBorders>
              <w:top w:val="nil"/>
              <w:left w:val="nil"/>
              <w:bottom w:val="nil"/>
              <w:right w:val="nil"/>
            </w:tcBorders>
            <w:shd w:val="clear" w:color="auto" w:fill="auto"/>
            <w:vAlign w:val="bottom"/>
          </w:tcPr>
          <w:p w14:paraId="3A872AC3" w14:textId="625ACC92" w:rsidR="00C7765D"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16.859.648</w:t>
            </w:r>
          </w:p>
        </w:tc>
        <w:tc>
          <w:tcPr>
            <w:tcW w:w="763" w:type="dxa"/>
            <w:tcBorders>
              <w:top w:val="nil"/>
              <w:left w:val="nil"/>
              <w:bottom w:val="nil"/>
              <w:right w:val="nil"/>
            </w:tcBorders>
            <w:shd w:val="clear" w:color="auto" w:fill="auto"/>
            <w:vAlign w:val="bottom"/>
          </w:tcPr>
          <w:p w14:paraId="6E80514E" w14:textId="72E08F96" w:rsidR="00C7765D"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4BBC0EB4" w14:textId="668328FF" w:rsidR="00C7765D" w:rsidRPr="00122C95" w:rsidRDefault="00A72601" w:rsidP="00DF1E18">
            <w:pPr>
              <w:jc w:val="right"/>
              <w:rPr>
                <w:sz w:val="14"/>
                <w:szCs w:val="14"/>
                <w:lang w:eastAsia="es-AR"/>
              </w:rPr>
            </w:pPr>
            <w:r>
              <w:rPr>
                <w:sz w:val="14"/>
                <w:szCs w:val="14"/>
                <w:lang w:eastAsia="es-AR"/>
              </w:rPr>
              <w:t>-</w:t>
            </w:r>
          </w:p>
        </w:tc>
        <w:tc>
          <w:tcPr>
            <w:tcW w:w="856" w:type="dxa"/>
            <w:tcBorders>
              <w:top w:val="nil"/>
              <w:left w:val="nil"/>
              <w:bottom w:val="nil"/>
              <w:right w:val="nil"/>
            </w:tcBorders>
            <w:shd w:val="clear" w:color="auto" w:fill="auto"/>
            <w:vAlign w:val="bottom"/>
          </w:tcPr>
          <w:p w14:paraId="088CE27D" w14:textId="3F093E64" w:rsidR="00C7765D" w:rsidRPr="00122C95" w:rsidRDefault="00A72601" w:rsidP="00DF1E18">
            <w:pPr>
              <w:jc w:val="right"/>
              <w:rPr>
                <w:sz w:val="14"/>
                <w:szCs w:val="14"/>
                <w:lang w:eastAsia="es-AR"/>
              </w:rPr>
            </w:pPr>
            <w:r>
              <w:rPr>
                <w:sz w:val="14"/>
                <w:szCs w:val="14"/>
                <w:lang w:eastAsia="es-AR"/>
              </w:rPr>
              <w:t>-</w:t>
            </w:r>
          </w:p>
        </w:tc>
        <w:tc>
          <w:tcPr>
            <w:tcW w:w="1659" w:type="dxa"/>
            <w:tcBorders>
              <w:top w:val="nil"/>
              <w:left w:val="nil"/>
              <w:bottom w:val="nil"/>
              <w:right w:val="nil"/>
            </w:tcBorders>
            <w:shd w:val="clear" w:color="auto" w:fill="auto"/>
            <w:vAlign w:val="bottom"/>
          </w:tcPr>
          <w:p w14:paraId="1FD999BF" w14:textId="60AB6109" w:rsidR="00C7765D" w:rsidRPr="00122C95" w:rsidRDefault="00A72601" w:rsidP="00DF1E18">
            <w:pPr>
              <w:jc w:val="right"/>
              <w:rPr>
                <w:sz w:val="14"/>
                <w:szCs w:val="14"/>
                <w:lang w:eastAsia="es-AR"/>
              </w:rPr>
            </w:pPr>
            <w:r>
              <w:rPr>
                <w:sz w:val="14"/>
                <w:szCs w:val="14"/>
                <w:lang w:eastAsia="es-AR"/>
              </w:rPr>
              <w:t>-</w:t>
            </w:r>
          </w:p>
        </w:tc>
        <w:tc>
          <w:tcPr>
            <w:tcW w:w="997" w:type="dxa"/>
            <w:tcBorders>
              <w:top w:val="nil"/>
              <w:left w:val="nil"/>
              <w:bottom w:val="nil"/>
              <w:right w:val="nil"/>
            </w:tcBorders>
            <w:shd w:val="clear" w:color="auto" w:fill="auto"/>
            <w:vAlign w:val="bottom"/>
          </w:tcPr>
          <w:p w14:paraId="79EC0109" w14:textId="6B58FD9E" w:rsidR="00C7765D" w:rsidRPr="00122C95" w:rsidRDefault="00A72601" w:rsidP="00DF1E18">
            <w:pPr>
              <w:jc w:val="right"/>
              <w:rPr>
                <w:sz w:val="14"/>
                <w:szCs w:val="14"/>
                <w:lang w:eastAsia="es-AR"/>
              </w:rPr>
            </w:pPr>
            <w:r>
              <w:rPr>
                <w:sz w:val="14"/>
                <w:szCs w:val="14"/>
                <w:lang w:eastAsia="es-AR"/>
              </w:rPr>
              <w:t>-</w:t>
            </w:r>
          </w:p>
        </w:tc>
        <w:tc>
          <w:tcPr>
            <w:tcW w:w="716" w:type="dxa"/>
            <w:tcBorders>
              <w:top w:val="nil"/>
              <w:left w:val="nil"/>
              <w:bottom w:val="nil"/>
              <w:right w:val="nil"/>
            </w:tcBorders>
            <w:shd w:val="clear" w:color="auto" w:fill="auto"/>
            <w:vAlign w:val="bottom"/>
          </w:tcPr>
          <w:p w14:paraId="6DF0AF80" w14:textId="25E0D9BC" w:rsidR="00C7765D" w:rsidRPr="00122C95" w:rsidRDefault="00A72601" w:rsidP="00DF1E18">
            <w:pPr>
              <w:jc w:val="right"/>
              <w:rPr>
                <w:sz w:val="14"/>
                <w:szCs w:val="14"/>
                <w:lang w:eastAsia="es-AR"/>
              </w:rPr>
            </w:pPr>
            <w:r>
              <w:rPr>
                <w:sz w:val="14"/>
                <w:szCs w:val="14"/>
                <w:lang w:eastAsia="es-AR"/>
              </w:rPr>
              <w:t>-</w:t>
            </w:r>
          </w:p>
        </w:tc>
      </w:tr>
      <w:tr w:rsidR="00C7765D" w:rsidRPr="00122C95" w14:paraId="6E2476EB" w14:textId="77777777" w:rsidTr="006E1AF7">
        <w:trPr>
          <w:trHeight w:val="261"/>
        </w:trPr>
        <w:tc>
          <w:tcPr>
            <w:tcW w:w="2147" w:type="dxa"/>
            <w:tcBorders>
              <w:top w:val="nil"/>
              <w:left w:val="nil"/>
              <w:bottom w:val="nil"/>
              <w:right w:val="nil"/>
            </w:tcBorders>
            <w:shd w:val="clear" w:color="auto" w:fill="auto"/>
            <w:hideMark/>
          </w:tcPr>
          <w:p w14:paraId="50436EDD" w14:textId="77777777" w:rsidR="00C7765D" w:rsidRPr="00122C95" w:rsidRDefault="00C7765D" w:rsidP="00257726">
            <w:pPr>
              <w:ind w:firstLineChars="100" w:firstLine="140"/>
              <w:rPr>
                <w:rFonts w:ascii="Arial" w:hAnsi="Arial" w:cs="Arial"/>
                <w:sz w:val="14"/>
                <w:szCs w:val="14"/>
                <w:lang w:eastAsia="es-AR"/>
              </w:rPr>
            </w:pPr>
            <w:r w:rsidRPr="00122C95">
              <w:rPr>
                <w:rFonts w:ascii="Arial" w:hAnsi="Arial" w:cs="Arial"/>
                <w:sz w:val="14"/>
                <w:szCs w:val="14"/>
                <w:lang w:eastAsia="es-AR"/>
              </w:rPr>
              <w:t>Otros</w:t>
            </w:r>
          </w:p>
        </w:tc>
        <w:tc>
          <w:tcPr>
            <w:tcW w:w="993" w:type="dxa"/>
            <w:tcBorders>
              <w:top w:val="nil"/>
              <w:left w:val="nil"/>
              <w:bottom w:val="nil"/>
              <w:right w:val="nil"/>
            </w:tcBorders>
            <w:shd w:val="clear" w:color="auto" w:fill="auto"/>
            <w:vAlign w:val="bottom"/>
          </w:tcPr>
          <w:p w14:paraId="4600E4C2" w14:textId="15FA82E0" w:rsidR="00C7765D" w:rsidRPr="00122C95" w:rsidRDefault="00A72601" w:rsidP="00DF1E18">
            <w:pPr>
              <w:ind w:firstLineChars="100" w:firstLine="140"/>
              <w:jc w:val="right"/>
              <w:rPr>
                <w:rFonts w:ascii="Arial" w:hAnsi="Arial" w:cs="Arial"/>
                <w:sz w:val="14"/>
                <w:szCs w:val="14"/>
                <w:lang w:eastAsia="es-AR"/>
              </w:rPr>
            </w:pPr>
            <w:r>
              <w:rPr>
                <w:rFonts w:ascii="Arial" w:hAnsi="Arial" w:cs="Arial"/>
                <w:sz w:val="14"/>
                <w:szCs w:val="14"/>
                <w:lang w:eastAsia="es-AR"/>
              </w:rPr>
              <w:t>-</w:t>
            </w:r>
          </w:p>
        </w:tc>
        <w:tc>
          <w:tcPr>
            <w:tcW w:w="763" w:type="dxa"/>
            <w:tcBorders>
              <w:top w:val="nil"/>
              <w:left w:val="nil"/>
              <w:bottom w:val="nil"/>
              <w:right w:val="nil"/>
            </w:tcBorders>
            <w:shd w:val="clear" w:color="auto" w:fill="auto"/>
            <w:vAlign w:val="bottom"/>
          </w:tcPr>
          <w:p w14:paraId="2B54C377" w14:textId="646BC892" w:rsidR="00C7765D" w:rsidRPr="00122C95" w:rsidRDefault="00A72601" w:rsidP="00DF1E18">
            <w:pPr>
              <w:jc w:val="right"/>
              <w:rPr>
                <w:sz w:val="14"/>
                <w:szCs w:val="14"/>
                <w:lang w:eastAsia="es-AR"/>
              </w:rPr>
            </w:pPr>
            <w:r>
              <w:rPr>
                <w:sz w:val="14"/>
                <w:szCs w:val="14"/>
                <w:lang w:eastAsia="es-AR"/>
              </w:rPr>
              <w:t>-</w:t>
            </w:r>
          </w:p>
        </w:tc>
        <w:tc>
          <w:tcPr>
            <w:tcW w:w="1360" w:type="dxa"/>
            <w:tcBorders>
              <w:top w:val="nil"/>
              <w:left w:val="nil"/>
              <w:bottom w:val="nil"/>
              <w:right w:val="nil"/>
            </w:tcBorders>
            <w:shd w:val="clear" w:color="auto" w:fill="auto"/>
            <w:vAlign w:val="bottom"/>
          </w:tcPr>
          <w:p w14:paraId="6DDB6FAA" w14:textId="3F1D5C54" w:rsidR="00C7765D" w:rsidRPr="00122C95" w:rsidRDefault="00A72601" w:rsidP="00DF1E18">
            <w:pPr>
              <w:jc w:val="right"/>
              <w:rPr>
                <w:sz w:val="14"/>
                <w:szCs w:val="14"/>
                <w:lang w:eastAsia="es-AR"/>
              </w:rPr>
            </w:pPr>
            <w:r>
              <w:rPr>
                <w:sz w:val="14"/>
                <w:szCs w:val="14"/>
                <w:lang w:eastAsia="es-AR"/>
              </w:rPr>
              <w:t>-</w:t>
            </w:r>
          </w:p>
        </w:tc>
        <w:tc>
          <w:tcPr>
            <w:tcW w:w="856" w:type="dxa"/>
            <w:tcBorders>
              <w:top w:val="nil"/>
              <w:left w:val="nil"/>
              <w:bottom w:val="nil"/>
              <w:right w:val="nil"/>
            </w:tcBorders>
            <w:shd w:val="clear" w:color="auto" w:fill="auto"/>
            <w:vAlign w:val="bottom"/>
          </w:tcPr>
          <w:p w14:paraId="1657B8E2" w14:textId="3F7139C3" w:rsidR="00C7765D" w:rsidRPr="00122C95" w:rsidRDefault="007A446B" w:rsidP="00DF1E18">
            <w:pPr>
              <w:jc w:val="right"/>
              <w:rPr>
                <w:rFonts w:ascii="Arial" w:hAnsi="Arial" w:cs="Arial"/>
                <w:sz w:val="14"/>
                <w:szCs w:val="14"/>
                <w:lang w:eastAsia="es-AR"/>
              </w:rPr>
            </w:pPr>
            <w:r w:rsidRPr="007A446B">
              <w:rPr>
                <w:rFonts w:ascii="Arial" w:hAnsi="Arial" w:cs="Arial"/>
                <w:sz w:val="14"/>
                <w:szCs w:val="14"/>
                <w:lang w:eastAsia="es-AR"/>
              </w:rPr>
              <w:t xml:space="preserve">29.910 </w:t>
            </w:r>
          </w:p>
        </w:tc>
        <w:tc>
          <w:tcPr>
            <w:tcW w:w="1659" w:type="dxa"/>
            <w:tcBorders>
              <w:top w:val="nil"/>
              <w:left w:val="nil"/>
              <w:bottom w:val="nil"/>
              <w:right w:val="nil"/>
            </w:tcBorders>
            <w:shd w:val="clear" w:color="auto" w:fill="auto"/>
            <w:vAlign w:val="bottom"/>
          </w:tcPr>
          <w:p w14:paraId="3E5C6DC6" w14:textId="3BB2F45B" w:rsidR="00C7765D" w:rsidRPr="00122C95" w:rsidRDefault="007A446B" w:rsidP="00DF1E18">
            <w:pPr>
              <w:jc w:val="right"/>
              <w:rPr>
                <w:rFonts w:ascii="Arial" w:hAnsi="Arial" w:cs="Arial"/>
                <w:sz w:val="14"/>
                <w:szCs w:val="14"/>
                <w:lang w:eastAsia="es-AR"/>
              </w:rPr>
            </w:pPr>
            <w:r w:rsidRPr="007A446B">
              <w:rPr>
                <w:rFonts w:ascii="Arial" w:hAnsi="Arial" w:cs="Arial"/>
                <w:sz w:val="14"/>
                <w:szCs w:val="14"/>
                <w:lang w:eastAsia="es-AR"/>
              </w:rPr>
              <w:t>29.910</w:t>
            </w:r>
          </w:p>
        </w:tc>
        <w:tc>
          <w:tcPr>
            <w:tcW w:w="997" w:type="dxa"/>
            <w:tcBorders>
              <w:top w:val="nil"/>
              <w:left w:val="nil"/>
              <w:bottom w:val="nil"/>
              <w:right w:val="nil"/>
            </w:tcBorders>
            <w:shd w:val="clear" w:color="auto" w:fill="auto"/>
            <w:vAlign w:val="bottom"/>
          </w:tcPr>
          <w:p w14:paraId="7AEC1D31" w14:textId="30EAE9F0" w:rsidR="00C7765D"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4F28DFF4" w14:textId="3E0DC27C" w:rsidR="00C7765D" w:rsidRPr="00122C95" w:rsidRDefault="00A72601" w:rsidP="00DF1E18">
            <w:pPr>
              <w:jc w:val="right"/>
              <w:rPr>
                <w:sz w:val="14"/>
                <w:szCs w:val="14"/>
                <w:lang w:eastAsia="es-AR"/>
              </w:rPr>
            </w:pPr>
            <w:r>
              <w:rPr>
                <w:sz w:val="14"/>
                <w:szCs w:val="14"/>
                <w:lang w:eastAsia="es-AR"/>
              </w:rPr>
              <w:t>-</w:t>
            </w:r>
          </w:p>
        </w:tc>
      </w:tr>
      <w:tr w:rsidR="00C7765D" w:rsidRPr="00122C95" w14:paraId="70A63561" w14:textId="77777777" w:rsidTr="006E1AF7">
        <w:trPr>
          <w:trHeight w:val="137"/>
        </w:trPr>
        <w:tc>
          <w:tcPr>
            <w:tcW w:w="2147" w:type="dxa"/>
            <w:tcBorders>
              <w:top w:val="nil"/>
              <w:left w:val="nil"/>
              <w:bottom w:val="nil"/>
              <w:right w:val="nil"/>
            </w:tcBorders>
            <w:shd w:val="clear" w:color="auto" w:fill="auto"/>
            <w:hideMark/>
          </w:tcPr>
          <w:p w14:paraId="07F30910" w14:textId="77777777" w:rsidR="00C7765D" w:rsidRPr="00122C95" w:rsidRDefault="00C7765D" w:rsidP="00257726">
            <w:pPr>
              <w:rPr>
                <w:sz w:val="14"/>
                <w:szCs w:val="14"/>
                <w:lang w:eastAsia="es-AR"/>
              </w:rPr>
            </w:pPr>
          </w:p>
        </w:tc>
        <w:tc>
          <w:tcPr>
            <w:tcW w:w="993" w:type="dxa"/>
            <w:tcBorders>
              <w:top w:val="nil"/>
              <w:left w:val="nil"/>
              <w:bottom w:val="nil"/>
              <w:right w:val="nil"/>
            </w:tcBorders>
            <w:shd w:val="clear" w:color="auto" w:fill="auto"/>
            <w:vAlign w:val="bottom"/>
          </w:tcPr>
          <w:p w14:paraId="11AF6FAD" w14:textId="77777777" w:rsidR="00C7765D" w:rsidRPr="00122C95" w:rsidRDefault="00C7765D" w:rsidP="00DF1E18">
            <w:pPr>
              <w:ind w:firstLineChars="100" w:firstLine="140"/>
              <w:jc w:val="right"/>
              <w:rPr>
                <w:sz w:val="14"/>
                <w:szCs w:val="14"/>
                <w:lang w:eastAsia="es-AR"/>
              </w:rPr>
            </w:pPr>
          </w:p>
        </w:tc>
        <w:tc>
          <w:tcPr>
            <w:tcW w:w="763" w:type="dxa"/>
            <w:tcBorders>
              <w:top w:val="nil"/>
              <w:left w:val="nil"/>
              <w:bottom w:val="nil"/>
              <w:right w:val="nil"/>
            </w:tcBorders>
            <w:shd w:val="clear" w:color="auto" w:fill="auto"/>
            <w:vAlign w:val="bottom"/>
          </w:tcPr>
          <w:p w14:paraId="125BF08E" w14:textId="77777777" w:rsidR="00C7765D" w:rsidRPr="00122C95" w:rsidRDefault="00C7765D" w:rsidP="00DF1E18">
            <w:pPr>
              <w:jc w:val="right"/>
              <w:rPr>
                <w:sz w:val="14"/>
                <w:szCs w:val="14"/>
                <w:lang w:eastAsia="es-AR"/>
              </w:rPr>
            </w:pPr>
          </w:p>
        </w:tc>
        <w:tc>
          <w:tcPr>
            <w:tcW w:w="1360" w:type="dxa"/>
            <w:tcBorders>
              <w:top w:val="nil"/>
              <w:left w:val="nil"/>
              <w:bottom w:val="nil"/>
              <w:right w:val="nil"/>
            </w:tcBorders>
            <w:shd w:val="clear" w:color="auto" w:fill="auto"/>
            <w:vAlign w:val="bottom"/>
          </w:tcPr>
          <w:p w14:paraId="6C282D9B" w14:textId="77777777" w:rsidR="00C7765D" w:rsidRPr="00122C95" w:rsidRDefault="00C7765D" w:rsidP="00DF1E18">
            <w:pPr>
              <w:jc w:val="right"/>
              <w:rPr>
                <w:sz w:val="14"/>
                <w:szCs w:val="14"/>
                <w:lang w:eastAsia="es-AR"/>
              </w:rPr>
            </w:pPr>
          </w:p>
        </w:tc>
        <w:tc>
          <w:tcPr>
            <w:tcW w:w="856" w:type="dxa"/>
            <w:tcBorders>
              <w:top w:val="nil"/>
              <w:left w:val="nil"/>
              <w:bottom w:val="nil"/>
              <w:right w:val="nil"/>
            </w:tcBorders>
            <w:shd w:val="clear" w:color="auto" w:fill="auto"/>
            <w:vAlign w:val="bottom"/>
          </w:tcPr>
          <w:p w14:paraId="5C6A9216" w14:textId="77777777" w:rsidR="00C7765D" w:rsidRPr="00122C95" w:rsidRDefault="00C7765D" w:rsidP="00DF1E18">
            <w:pPr>
              <w:jc w:val="right"/>
              <w:rPr>
                <w:sz w:val="14"/>
                <w:szCs w:val="14"/>
                <w:lang w:eastAsia="es-AR"/>
              </w:rPr>
            </w:pPr>
          </w:p>
        </w:tc>
        <w:tc>
          <w:tcPr>
            <w:tcW w:w="1659" w:type="dxa"/>
            <w:tcBorders>
              <w:top w:val="nil"/>
              <w:left w:val="nil"/>
              <w:bottom w:val="nil"/>
              <w:right w:val="nil"/>
            </w:tcBorders>
            <w:shd w:val="clear" w:color="auto" w:fill="auto"/>
            <w:vAlign w:val="bottom"/>
          </w:tcPr>
          <w:p w14:paraId="7F733CB7" w14:textId="77777777" w:rsidR="00C7765D" w:rsidRPr="00122C95" w:rsidRDefault="00C7765D" w:rsidP="00DF1E18">
            <w:pPr>
              <w:jc w:val="right"/>
              <w:rPr>
                <w:sz w:val="14"/>
                <w:szCs w:val="14"/>
                <w:lang w:eastAsia="es-AR"/>
              </w:rPr>
            </w:pPr>
          </w:p>
        </w:tc>
        <w:tc>
          <w:tcPr>
            <w:tcW w:w="997" w:type="dxa"/>
            <w:tcBorders>
              <w:top w:val="nil"/>
              <w:left w:val="nil"/>
              <w:bottom w:val="nil"/>
              <w:right w:val="nil"/>
            </w:tcBorders>
            <w:shd w:val="clear" w:color="auto" w:fill="auto"/>
            <w:vAlign w:val="bottom"/>
          </w:tcPr>
          <w:p w14:paraId="02ED39D0" w14:textId="77777777" w:rsidR="00C7765D" w:rsidRPr="00122C95" w:rsidRDefault="00C7765D" w:rsidP="00DF1E18">
            <w:pPr>
              <w:jc w:val="right"/>
              <w:rPr>
                <w:sz w:val="14"/>
                <w:szCs w:val="14"/>
                <w:lang w:eastAsia="es-AR"/>
              </w:rPr>
            </w:pPr>
          </w:p>
        </w:tc>
        <w:tc>
          <w:tcPr>
            <w:tcW w:w="716" w:type="dxa"/>
            <w:tcBorders>
              <w:top w:val="nil"/>
              <w:left w:val="nil"/>
              <w:bottom w:val="nil"/>
              <w:right w:val="nil"/>
            </w:tcBorders>
            <w:shd w:val="clear" w:color="auto" w:fill="auto"/>
            <w:vAlign w:val="bottom"/>
          </w:tcPr>
          <w:p w14:paraId="61CF8174" w14:textId="77777777" w:rsidR="00C7765D" w:rsidRPr="00122C95" w:rsidRDefault="00C7765D" w:rsidP="00DF1E18">
            <w:pPr>
              <w:jc w:val="right"/>
              <w:rPr>
                <w:sz w:val="14"/>
                <w:szCs w:val="14"/>
                <w:lang w:eastAsia="es-AR"/>
              </w:rPr>
            </w:pPr>
          </w:p>
        </w:tc>
      </w:tr>
      <w:tr w:rsidR="007A446B" w:rsidRPr="00122C95" w14:paraId="3C2C453D" w14:textId="77777777" w:rsidTr="006E1AF7">
        <w:trPr>
          <w:trHeight w:val="268"/>
        </w:trPr>
        <w:tc>
          <w:tcPr>
            <w:tcW w:w="2147" w:type="dxa"/>
            <w:tcBorders>
              <w:top w:val="nil"/>
              <w:left w:val="nil"/>
              <w:bottom w:val="nil"/>
              <w:right w:val="nil"/>
            </w:tcBorders>
            <w:shd w:val="clear" w:color="auto" w:fill="auto"/>
            <w:hideMark/>
          </w:tcPr>
          <w:p w14:paraId="335AACD8" w14:textId="77777777" w:rsidR="007A446B" w:rsidRPr="00122C95" w:rsidRDefault="007A446B" w:rsidP="007A446B">
            <w:pPr>
              <w:rPr>
                <w:rFonts w:ascii="Arial" w:hAnsi="Arial" w:cs="Arial"/>
                <w:b/>
                <w:bCs/>
                <w:sz w:val="14"/>
                <w:szCs w:val="14"/>
                <w:lang w:eastAsia="es-AR"/>
              </w:rPr>
            </w:pPr>
            <w:r w:rsidRPr="00122C95">
              <w:rPr>
                <w:rFonts w:ascii="Arial" w:hAnsi="Arial" w:cs="Arial"/>
                <w:b/>
                <w:bCs/>
                <w:sz w:val="14"/>
                <w:szCs w:val="14"/>
                <w:lang w:eastAsia="es-AR"/>
              </w:rPr>
              <w:t>Títulos de deuda a valor razonable con cambios en resultados</w:t>
            </w:r>
          </w:p>
        </w:tc>
        <w:tc>
          <w:tcPr>
            <w:tcW w:w="993" w:type="dxa"/>
            <w:tcBorders>
              <w:top w:val="nil"/>
              <w:left w:val="nil"/>
              <w:bottom w:val="nil"/>
              <w:right w:val="nil"/>
            </w:tcBorders>
            <w:shd w:val="clear" w:color="auto" w:fill="auto"/>
            <w:vAlign w:val="bottom"/>
          </w:tcPr>
          <w:p w14:paraId="38A5B5CF" w14:textId="467B8C30" w:rsidR="007A446B"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763" w:type="dxa"/>
            <w:tcBorders>
              <w:top w:val="nil"/>
              <w:left w:val="nil"/>
              <w:bottom w:val="nil"/>
              <w:right w:val="nil"/>
            </w:tcBorders>
            <w:shd w:val="clear" w:color="auto" w:fill="auto"/>
            <w:vAlign w:val="bottom"/>
          </w:tcPr>
          <w:p w14:paraId="483C89C9" w14:textId="6D0DB893" w:rsidR="007A446B"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557EB7B7" w14:textId="0CBDEBDA" w:rsidR="007A446B"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795ABD32" w14:textId="11C87E67" w:rsidR="007A446B"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312.306</w:t>
            </w:r>
          </w:p>
        </w:tc>
        <w:tc>
          <w:tcPr>
            <w:tcW w:w="1659" w:type="dxa"/>
            <w:tcBorders>
              <w:top w:val="nil"/>
              <w:left w:val="nil"/>
              <w:bottom w:val="nil"/>
              <w:right w:val="nil"/>
            </w:tcBorders>
            <w:shd w:val="clear" w:color="auto" w:fill="auto"/>
            <w:vAlign w:val="bottom"/>
          </w:tcPr>
          <w:p w14:paraId="29191F93" w14:textId="65389D6F" w:rsidR="007A446B" w:rsidRPr="00122C95" w:rsidRDefault="00B4140A" w:rsidP="00DF1E18">
            <w:pPr>
              <w:jc w:val="right"/>
              <w:rPr>
                <w:rFonts w:ascii="Arial" w:hAnsi="Arial" w:cs="Arial"/>
                <w:sz w:val="14"/>
                <w:szCs w:val="14"/>
                <w:lang w:eastAsia="es-AR"/>
              </w:rPr>
            </w:pPr>
            <w:r>
              <w:rPr>
                <w:rFonts w:ascii="Arial" w:hAnsi="Arial" w:cs="Arial"/>
                <w:sz w:val="14"/>
                <w:szCs w:val="14"/>
                <w:lang w:eastAsia="es-AR"/>
              </w:rPr>
              <w:t>308.</w:t>
            </w:r>
            <w:r w:rsidR="001C1BCF">
              <w:rPr>
                <w:rFonts w:ascii="Arial" w:hAnsi="Arial" w:cs="Arial"/>
                <w:sz w:val="14"/>
                <w:szCs w:val="14"/>
                <w:lang w:eastAsia="es-AR"/>
              </w:rPr>
              <w:t>6</w:t>
            </w:r>
            <w:r>
              <w:rPr>
                <w:rFonts w:ascii="Arial" w:hAnsi="Arial" w:cs="Arial"/>
                <w:sz w:val="14"/>
                <w:szCs w:val="14"/>
                <w:lang w:eastAsia="es-AR"/>
              </w:rPr>
              <w:t>3</w:t>
            </w:r>
            <w:r w:rsidR="00103F35">
              <w:rPr>
                <w:rFonts w:ascii="Arial" w:hAnsi="Arial" w:cs="Arial"/>
                <w:sz w:val="14"/>
                <w:szCs w:val="14"/>
                <w:lang w:eastAsia="es-AR"/>
              </w:rPr>
              <w:t>5</w:t>
            </w:r>
          </w:p>
        </w:tc>
        <w:tc>
          <w:tcPr>
            <w:tcW w:w="997" w:type="dxa"/>
            <w:tcBorders>
              <w:top w:val="nil"/>
              <w:left w:val="nil"/>
              <w:bottom w:val="nil"/>
              <w:right w:val="nil"/>
            </w:tcBorders>
            <w:shd w:val="clear" w:color="auto" w:fill="auto"/>
            <w:vAlign w:val="bottom"/>
          </w:tcPr>
          <w:p w14:paraId="43DD2058" w14:textId="6B43BFAC" w:rsidR="007A446B" w:rsidRPr="00122C95" w:rsidRDefault="007A6CC7" w:rsidP="00DF1E18">
            <w:pPr>
              <w:jc w:val="right"/>
              <w:rPr>
                <w:rFonts w:ascii="Arial" w:hAnsi="Arial" w:cs="Arial"/>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152EB6EC" w14:textId="76EEF571" w:rsidR="007A446B" w:rsidRPr="00122C95" w:rsidRDefault="007A6CC7" w:rsidP="00DF1E18">
            <w:pPr>
              <w:jc w:val="right"/>
              <w:rPr>
                <w:rFonts w:ascii="Arial" w:hAnsi="Arial" w:cs="Arial"/>
                <w:sz w:val="14"/>
                <w:szCs w:val="14"/>
                <w:lang w:eastAsia="es-AR"/>
              </w:rPr>
            </w:pPr>
            <w:r w:rsidRPr="004378F9">
              <w:rPr>
                <w:rFonts w:ascii="Arial" w:hAnsi="Arial" w:cs="Arial"/>
                <w:sz w:val="14"/>
                <w:szCs w:val="14"/>
                <w:lang w:eastAsia="es-AR"/>
              </w:rPr>
              <w:t>3.67</w:t>
            </w:r>
            <w:r w:rsidR="00103F35">
              <w:rPr>
                <w:rFonts w:ascii="Arial" w:hAnsi="Arial" w:cs="Arial"/>
                <w:sz w:val="14"/>
                <w:szCs w:val="14"/>
                <w:lang w:eastAsia="es-AR"/>
              </w:rPr>
              <w:t>1</w:t>
            </w:r>
          </w:p>
        </w:tc>
      </w:tr>
      <w:tr w:rsidR="00C7765D" w:rsidRPr="00122C95" w14:paraId="5E3EAFB4" w14:textId="77777777" w:rsidTr="006E1AF7">
        <w:trPr>
          <w:trHeight w:val="255"/>
        </w:trPr>
        <w:tc>
          <w:tcPr>
            <w:tcW w:w="2147" w:type="dxa"/>
            <w:tcBorders>
              <w:top w:val="nil"/>
              <w:left w:val="nil"/>
              <w:bottom w:val="nil"/>
              <w:right w:val="nil"/>
            </w:tcBorders>
            <w:shd w:val="clear" w:color="auto" w:fill="auto"/>
            <w:hideMark/>
          </w:tcPr>
          <w:p w14:paraId="09691645" w14:textId="77777777" w:rsidR="00C7765D" w:rsidRPr="00122C95" w:rsidRDefault="00C7765D" w:rsidP="00257726">
            <w:pPr>
              <w:rPr>
                <w:sz w:val="14"/>
                <w:szCs w:val="14"/>
                <w:lang w:eastAsia="es-AR"/>
              </w:rPr>
            </w:pPr>
          </w:p>
        </w:tc>
        <w:tc>
          <w:tcPr>
            <w:tcW w:w="993" w:type="dxa"/>
            <w:tcBorders>
              <w:top w:val="nil"/>
              <w:left w:val="nil"/>
              <w:bottom w:val="nil"/>
              <w:right w:val="nil"/>
            </w:tcBorders>
            <w:shd w:val="clear" w:color="auto" w:fill="auto"/>
            <w:vAlign w:val="bottom"/>
          </w:tcPr>
          <w:p w14:paraId="1F881821" w14:textId="77777777" w:rsidR="00C7765D" w:rsidRPr="00122C95" w:rsidRDefault="00C7765D" w:rsidP="00DF1E18">
            <w:pPr>
              <w:jc w:val="right"/>
              <w:rPr>
                <w:sz w:val="14"/>
                <w:szCs w:val="14"/>
                <w:lang w:eastAsia="es-AR"/>
              </w:rPr>
            </w:pPr>
          </w:p>
        </w:tc>
        <w:tc>
          <w:tcPr>
            <w:tcW w:w="763" w:type="dxa"/>
            <w:tcBorders>
              <w:top w:val="nil"/>
              <w:left w:val="nil"/>
              <w:bottom w:val="nil"/>
              <w:right w:val="nil"/>
            </w:tcBorders>
            <w:shd w:val="clear" w:color="auto" w:fill="auto"/>
            <w:vAlign w:val="bottom"/>
          </w:tcPr>
          <w:p w14:paraId="43127345" w14:textId="77777777" w:rsidR="00C7765D" w:rsidRPr="00122C95" w:rsidRDefault="00C7765D" w:rsidP="00DF1E18">
            <w:pPr>
              <w:jc w:val="right"/>
              <w:rPr>
                <w:sz w:val="14"/>
                <w:szCs w:val="14"/>
                <w:lang w:eastAsia="es-AR"/>
              </w:rPr>
            </w:pPr>
          </w:p>
        </w:tc>
        <w:tc>
          <w:tcPr>
            <w:tcW w:w="1360" w:type="dxa"/>
            <w:tcBorders>
              <w:top w:val="nil"/>
              <w:left w:val="nil"/>
              <w:bottom w:val="nil"/>
              <w:right w:val="nil"/>
            </w:tcBorders>
            <w:shd w:val="clear" w:color="auto" w:fill="auto"/>
            <w:vAlign w:val="bottom"/>
          </w:tcPr>
          <w:p w14:paraId="35DCEA45" w14:textId="77777777" w:rsidR="00C7765D" w:rsidRPr="00122C95" w:rsidRDefault="00C7765D" w:rsidP="00DF1E18">
            <w:pPr>
              <w:jc w:val="right"/>
              <w:rPr>
                <w:sz w:val="14"/>
                <w:szCs w:val="14"/>
                <w:lang w:eastAsia="es-AR"/>
              </w:rPr>
            </w:pPr>
          </w:p>
        </w:tc>
        <w:tc>
          <w:tcPr>
            <w:tcW w:w="856" w:type="dxa"/>
            <w:tcBorders>
              <w:top w:val="nil"/>
              <w:left w:val="nil"/>
              <w:bottom w:val="nil"/>
              <w:right w:val="nil"/>
            </w:tcBorders>
            <w:shd w:val="clear" w:color="auto" w:fill="auto"/>
            <w:vAlign w:val="bottom"/>
          </w:tcPr>
          <w:p w14:paraId="7714287D" w14:textId="77777777" w:rsidR="00C7765D" w:rsidRPr="00122C95" w:rsidRDefault="00C7765D" w:rsidP="00DF1E18">
            <w:pPr>
              <w:jc w:val="right"/>
              <w:rPr>
                <w:sz w:val="14"/>
                <w:szCs w:val="14"/>
                <w:lang w:eastAsia="es-AR"/>
              </w:rPr>
            </w:pPr>
          </w:p>
        </w:tc>
        <w:tc>
          <w:tcPr>
            <w:tcW w:w="1659" w:type="dxa"/>
            <w:tcBorders>
              <w:top w:val="nil"/>
              <w:left w:val="nil"/>
              <w:bottom w:val="nil"/>
              <w:right w:val="nil"/>
            </w:tcBorders>
            <w:shd w:val="clear" w:color="auto" w:fill="auto"/>
            <w:vAlign w:val="bottom"/>
          </w:tcPr>
          <w:p w14:paraId="5B6231EE" w14:textId="77777777" w:rsidR="00C7765D" w:rsidRPr="00122C95" w:rsidRDefault="00C7765D" w:rsidP="00DF1E18">
            <w:pPr>
              <w:jc w:val="right"/>
              <w:rPr>
                <w:sz w:val="14"/>
                <w:szCs w:val="14"/>
                <w:lang w:eastAsia="es-AR"/>
              </w:rPr>
            </w:pPr>
          </w:p>
        </w:tc>
        <w:tc>
          <w:tcPr>
            <w:tcW w:w="997" w:type="dxa"/>
            <w:tcBorders>
              <w:top w:val="nil"/>
              <w:left w:val="nil"/>
              <w:bottom w:val="nil"/>
              <w:right w:val="nil"/>
            </w:tcBorders>
            <w:shd w:val="clear" w:color="auto" w:fill="auto"/>
            <w:vAlign w:val="bottom"/>
          </w:tcPr>
          <w:p w14:paraId="61224E4D" w14:textId="77777777" w:rsidR="00C7765D" w:rsidRPr="00122C95" w:rsidRDefault="00C7765D" w:rsidP="00DF1E18">
            <w:pPr>
              <w:jc w:val="right"/>
              <w:rPr>
                <w:sz w:val="14"/>
                <w:szCs w:val="14"/>
                <w:lang w:eastAsia="es-AR"/>
              </w:rPr>
            </w:pPr>
          </w:p>
        </w:tc>
        <w:tc>
          <w:tcPr>
            <w:tcW w:w="716" w:type="dxa"/>
            <w:tcBorders>
              <w:top w:val="nil"/>
              <w:left w:val="nil"/>
              <w:bottom w:val="nil"/>
              <w:right w:val="nil"/>
            </w:tcBorders>
            <w:shd w:val="clear" w:color="auto" w:fill="auto"/>
            <w:vAlign w:val="bottom"/>
          </w:tcPr>
          <w:p w14:paraId="7C22CDD0" w14:textId="77777777" w:rsidR="00C7765D" w:rsidRPr="00122C95" w:rsidRDefault="00C7765D" w:rsidP="00DF1E18">
            <w:pPr>
              <w:jc w:val="right"/>
              <w:rPr>
                <w:sz w:val="14"/>
                <w:szCs w:val="14"/>
                <w:lang w:eastAsia="es-AR"/>
              </w:rPr>
            </w:pPr>
          </w:p>
        </w:tc>
      </w:tr>
      <w:tr w:rsidR="007A446B" w:rsidRPr="00122C95" w14:paraId="4C3AAA87" w14:textId="77777777" w:rsidTr="006E1AF7">
        <w:trPr>
          <w:trHeight w:val="106"/>
        </w:trPr>
        <w:tc>
          <w:tcPr>
            <w:tcW w:w="2147" w:type="dxa"/>
            <w:tcBorders>
              <w:top w:val="nil"/>
              <w:left w:val="nil"/>
              <w:bottom w:val="nil"/>
              <w:right w:val="nil"/>
            </w:tcBorders>
            <w:shd w:val="clear" w:color="auto" w:fill="auto"/>
            <w:hideMark/>
          </w:tcPr>
          <w:p w14:paraId="25E77212" w14:textId="77777777" w:rsidR="007A446B" w:rsidRPr="00122C95" w:rsidRDefault="007A446B" w:rsidP="007A446B">
            <w:pPr>
              <w:rPr>
                <w:rFonts w:ascii="Arial" w:hAnsi="Arial" w:cs="Arial"/>
                <w:b/>
                <w:bCs/>
                <w:sz w:val="14"/>
                <w:szCs w:val="14"/>
                <w:lang w:eastAsia="es-AR"/>
              </w:rPr>
            </w:pPr>
            <w:r w:rsidRPr="00122C95">
              <w:rPr>
                <w:rFonts w:ascii="Arial" w:hAnsi="Arial" w:cs="Arial"/>
                <w:b/>
                <w:bCs/>
                <w:sz w:val="14"/>
                <w:szCs w:val="14"/>
                <w:lang w:eastAsia="es-AR"/>
              </w:rPr>
              <w:t>Instrumentos derivados</w:t>
            </w:r>
          </w:p>
        </w:tc>
        <w:tc>
          <w:tcPr>
            <w:tcW w:w="993" w:type="dxa"/>
            <w:tcBorders>
              <w:top w:val="nil"/>
              <w:left w:val="nil"/>
              <w:bottom w:val="nil"/>
              <w:right w:val="nil"/>
            </w:tcBorders>
            <w:shd w:val="clear" w:color="auto" w:fill="auto"/>
            <w:vAlign w:val="bottom"/>
          </w:tcPr>
          <w:p w14:paraId="3B0FE2AC" w14:textId="3824C1EA" w:rsidR="007A446B"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763" w:type="dxa"/>
            <w:tcBorders>
              <w:top w:val="nil"/>
              <w:left w:val="nil"/>
              <w:bottom w:val="nil"/>
              <w:right w:val="nil"/>
            </w:tcBorders>
            <w:shd w:val="clear" w:color="auto" w:fill="auto"/>
            <w:vAlign w:val="bottom"/>
          </w:tcPr>
          <w:p w14:paraId="6B77BAEC" w14:textId="752FFACE" w:rsidR="007A446B"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6B4AD2CA" w14:textId="4CB5B802" w:rsidR="007A446B"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30856E51" w14:textId="38769F65" w:rsidR="007A446B" w:rsidRPr="00122C95" w:rsidRDefault="007A446B" w:rsidP="00DF1E18">
            <w:pPr>
              <w:jc w:val="right"/>
              <w:rPr>
                <w:rFonts w:ascii="Arial" w:hAnsi="Arial" w:cs="Arial"/>
                <w:sz w:val="14"/>
                <w:szCs w:val="14"/>
                <w:lang w:eastAsia="es-AR"/>
              </w:rPr>
            </w:pPr>
            <w:r w:rsidRPr="00A72601">
              <w:rPr>
                <w:rFonts w:ascii="Arial" w:hAnsi="Arial" w:cs="Arial"/>
                <w:sz w:val="14"/>
                <w:szCs w:val="14"/>
                <w:lang w:eastAsia="es-AR"/>
              </w:rPr>
              <w:t xml:space="preserve">         257.587 </w:t>
            </w:r>
          </w:p>
        </w:tc>
        <w:tc>
          <w:tcPr>
            <w:tcW w:w="1659" w:type="dxa"/>
            <w:tcBorders>
              <w:top w:val="nil"/>
              <w:left w:val="nil"/>
              <w:bottom w:val="nil"/>
              <w:right w:val="nil"/>
            </w:tcBorders>
            <w:shd w:val="clear" w:color="auto" w:fill="auto"/>
            <w:vAlign w:val="bottom"/>
          </w:tcPr>
          <w:p w14:paraId="09E5F8AA" w14:textId="39CDA8E7" w:rsidR="007A446B" w:rsidRPr="00122C95" w:rsidRDefault="007A446B" w:rsidP="00DF1E18">
            <w:pPr>
              <w:jc w:val="right"/>
              <w:rPr>
                <w:rFonts w:ascii="Arial" w:hAnsi="Arial" w:cs="Arial"/>
                <w:sz w:val="14"/>
                <w:szCs w:val="14"/>
                <w:lang w:eastAsia="es-AR"/>
              </w:rPr>
            </w:pPr>
            <w:r w:rsidRPr="00A72601">
              <w:rPr>
                <w:rFonts w:ascii="Arial" w:hAnsi="Arial" w:cs="Arial"/>
                <w:sz w:val="14"/>
                <w:szCs w:val="14"/>
                <w:lang w:eastAsia="es-AR"/>
              </w:rPr>
              <w:t xml:space="preserve">       257.587 </w:t>
            </w:r>
          </w:p>
        </w:tc>
        <w:tc>
          <w:tcPr>
            <w:tcW w:w="997" w:type="dxa"/>
            <w:tcBorders>
              <w:top w:val="nil"/>
              <w:left w:val="nil"/>
              <w:bottom w:val="nil"/>
              <w:right w:val="nil"/>
            </w:tcBorders>
            <w:shd w:val="clear" w:color="auto" w:fill="auto"/>
            <w:vAlign w:val="bottom"/>
          </w:tcPr>
          <w:p w14:paraId="56814010" w14:textId="21D57D23" w:rsidR="007A446B" w:rsidRPr="00122C95" w:rsidRDefault="007A446B" w:rsidP="00DF1E18">
            <w:pPr>
              <w:jc w:val="right"/>
              <w:rPr>
                <w:rFonts w:ascii="Arial" w:hAnsi="Arial" w:cs="Arial"/>
                <w:sz w:val="14"/>
                <w:szCs w:val="14"/>
                <w:lang w:eastAsia="es-AR"/>
              </w:rPr>
            </w:pPr>
            <w:r w:rsidRPr="00A72601">
              <w:rPr>
                <w:rFonts w:ascii="Arial" w:hAnsi="Arial" w:cs="Arial"/>
                <w:sz w:val="14"/>
                <w:szCs w:val="14"/>
                <w:lang w:eastAsia="es-AR"/>
              </w:rPr>
              <w:t xml:space="preserve">                      -   </w:t>
            </w:r>
          </w:p>
        </w:tc>
        <w:tc>
          <w:tcPr>
            <w:tcW w:w="716" w:type="dxa"/>
            <w:tcBorders>
              <w:top w:val="nil"/>
              <w:left w:val="nil"/>
              <w:bottom w:val="nil"/>
              <w:right w:val="nil"/>
            </w:tcBorders>
            <w:shd w:val="clear" w:color="auto" w:fill="auto"/>
            <w:vAlign w:val="bottom"/>
          </w:tcPr>
          <w:p w14:paraId="37838965" w14:textId="162E6BAD" w:rsidR="007A446B" w:rsidRPr="00A72601" w:rsidRDefault="007A446B" w:rsidP="00DF1E18">
            <w:pPr>
              <w:jc w:val="right"/>
              <w:rPr>
                <w:rFonts w:ascii="Arial" w:hAnsi="Arial" w:cs="Arial"/>
                <w:sz w:val="14"/>
                <w:szCs w:val="14"/>
                <w:lang w:eastAsia="es-AR"/>
              </w:rPr>
            </w:pPr>
            <w:r w:rsidRPr="00A72601">
              <w:rPr>
                <w:rFonts w:ascii="Arial" w:hAnsi="Arial" w:cs="Arial"/>
                <w:sz w:val="14"/>
                <w:szCs w:val="14"/>
                <w:lang w:eastAsia="es-AR"/>
              </w:rPr>
              <w:t xml:space="preserve">                 -   </w:t>
            </w:r>
          </w:p>
        </w:tc>
      </w:tr>
      <w:tr w:rsidR="00C7765D" w:rsidRPr="00122C95" w14:paraId="5A9B9A68" w14:textId="77777777" w:rsidTr="006E1AF7">
        <w:trPr>
          <w:trHeight w:val="255"/>
        </w:trPr>
        <w:tc>
          <w:tcPr>
            <w:tcW w:w="2147" w:type="dxa"/>
            <w:tcBorders>
              <w:top w:val="nil"/>
              <w:left w:val="nil"/>
              <w:bottom w:val="nil"/>
              <w:right w:val="nil"/>
            </w:tcBorders>
            <w:shd w:val="clear" w:color="auto" w:fill="auto"/>
            <w:hideMark/>
          </w:tcPr>
          <w:p w14:paraId="01ACD7C9" w14:textId="77777777" w:rsidR="00C7765D" w:rsidRPr="00122C95" w:rsidRDefault="00C7765D" w:rsidP="00257726">
            <w:pPr>
              <w:rPr>
                <w:sz w:val="14"/>
                <w:szCs w:val="14"/>
                <w:lang w:eastAsia="es-AR"/>
              </w:rPr>
            </w:pPr>
          </w:p>
        </w:tc>
        <w:tc>
          <w:tcPr>
            <w:tcW w:w="993" w:type="dxa"/>
            <w:tcBorders>
              <w:top w:val="nil"/>
              <w:left w:val="nil"/>
              <w:bottom w:val="nil"/>
              <w:right w:val="nil"/>
            </w:tcBorders>
            <w:shd w:val="clear" w:color="auto" w:fill="auto"/>
            <w:vAlign w:val="bottom"/>
          </w:tcPr>
          <w:p w14:paraId="5EDEEC38" w14:textId="77777777" w:rsidR="00C7765D" w:rsidRPr="00122C95" w:rsidRDefault="00C7765D" w:rsidP="00DF1E18">
            <w:pPr>
              <w:jc w:val="right"/>
              <w:rPr>
                <w:sz w:val="14"/>
                <w:szCs w:val="14"/>
                <w:lang w:eastAsia="es-AR"/>
              </w:rPr>
            </w:pPr>
          </w:p>
        </w:tc>
        <w:tc>
          <w:tcPr>
            <w:tcW w:w="763" w:type="dxa"/>
            <w:tcBorders>
              <w:top w:val="nil"/>
              <w:left w:val="nil"/>
              <w:bottom w:val="nil"/>
              <w:right w:val="nil"/>
            </w:tcBorders>
            <w:shd w:val="clear" w:color="auto" w:fill="auto"/>
            <w:vAlign w:val="bottom"/>
          </w:tcPr>
          <w:p w14:paraId="29191503" w14:textId="77777777" w:rsidR="00C7765D" w:rsidRPr="00122C95" w:rsidRDefault="00C7765D" w:rsidP="00DF1E18">
            <w:pPr>
              <w:jc w:val="right"/>
              <w:rPr>
                <w:sz w:val="14"/>
                <w:szCs w:val="14"/>
                <w:lang w:eastAsia="es-AR"/>
              </w:rPr>
            </w:pPr>
          </w:p>
        </w:tc>
        <w:tc>
          <w:tcPr>
            <w:tcW w:w="1360" w:type="dxa"/>
            <w:tcBorders>
              <w:top w:val="nil"/>
              <w:left w:val="nil"/>
              <w:bottom w:val="nil"/>
              <w:right w:val="nil"/>
            </w:tcBorders>
            <w:shd w:val="clear" w:color="auto" w:fill="auto"/>
            <w:vAlign w:val="bottom"/>
          </w:tcPr>
          <w:p w14:paraId="4247D773" w14:textId="77777777" w:rsidR="00C7765D" w:rsidRPr="00122C95" w:rsidRDefault="00C7765D" w:rsidP="00DF1E18">
            <w:pPr>
              <w:jc w:val="right"/>
              <w:rPr>
                <w:sz w:val="14"/>
                <w:szCs w:val="14"/>
                <w:lang w:eastAsia="es-AR"/>
              </w:rPr>
            </w:pPr>
          </w:p>
        </w:tc>
        <w:tc>
          <w:tcPr>
            <w:tcW w:w="856" w:type="dxa"/>
            <w:tcBorders>
              <w:top w:val="nil"/>
              <w:left w:val="nil"/>
              <w:bottom w:val="nil"/>
              <w:right w:val="nil"/>
            </w:tcBorders>
            <w:shd w:val="clear" w:color="auto" w:fill="auto"/>
            <w:vAlign w:val="bottom"/>
          </w:tcPr>
          <w:p w14:paraId="59213BEE" w14:textId="77777777" w:rsidR="00C7765D" w:rsidRPr="00122C95" w:rsidRDefault="00C7765D" w:rsidP="00DF1E18">
            <w:pPr>
              <w:jc w:val="right"/>
              <w:rPr>
                <w:sz w:val="14"/>
                <w:szCs w:val="14"/>
                <w:lang w:eastAsia="es-AR"/>
              </w:rPr>
            </w:pPr>
          </w:p>
        </w:tc>
        <w:tc>
          <w:tcPr>
            <w:tcW w:w="1659" w:type="dxa"/>
            <w:tcBorders>
              <w:top w:val="nil"/>
              <w:left w:val="nil"/>
              <w:bottom w:val="nil"/>
              <w:right w:val="nil"/>
            </w:tcBorders>
            <w:shd w:val="clear" w:color="auto" w:fill="auto"/>
            <w:vAlign w:val="bottom"/>
          </w:tcPr>
          <w:p w14:paraId="6B04FB8A" w14:textId="77777777" w:rsidR="00C7765D" w:rsidRPr="00122C95" w:rsidRDefault="00C7765D" w:rsidP="00DF1E18">
            <w:pPr>
              <w:jc w:val="right"/>
              <w:rPr>
                <w:sz w:val="14"/>
                <w:szCs w:val="14"/>
                <w:lang w:eastAsia="es-AR"/>
              </w:rPr>
            </w:pPr>
          </w:p>
        </w:tc>
        <w:tc>
          <w:tcPr>
            <w:tcW w:w="997" w:type="dxa"/>
            <w:tcBorders>
              <w:top w:val="nil"/>
              <w:left w:val="nil"/>
              <w:bottom w:val="nil"/>
              <w:right w:val="nil"/>
            </w:tcBorders>
            <w:shd w:val="clear" w:color="auto" w:fill="auto"/>
            <w:vAlign w:val="bottom"/>
          </w:tcPr>
          <w:p w14:paraId="3932D46B" w14:textId="77777777" w:rsidR="00C7765D" w:rsidRPr="00122C95" w:rsidRDefault="00C7765D" w:rsidP="00DF1E18">
            <w:pPr>
              <w:jc w:val="right"/>
              <w:rPr>
                <w:sz w:val="14"/>
                <w:szCs w:val="14"/>
                <w:lang w:eastAsia="es-AR"/>
              </w:rPr>
            </w:pPr>
          </w:p>
        </w:tc>
        <w:tc>
          <w:tcPr>
            <w:tcW w:w="716" w:type="dxa"/>
            <w:tcBorders>
              <w:top w:val="nil"/>
              <w:left w:val="nil"/>
              <w:bottom w:val="nil"/>
              <w:right w:val="nil"/>
            </w:tcBorders>
            <w:shd w:val="clear" w:color="auto" w:fill="auto"/>
            <w:vAlign w:val="bottom"/>
          </w:tcPr>
          <w:p w14:paraId="6E0BED4D" w14:textId="77777777" w:rsidR="00C7765D" w:rsidRPr="00122C95" w:rsidRDefault="00C7765D" w:rsidP="00DF1E18">
            <w:pPr>
              <w:jc w:val="right"/>
              <w:rPr>
                <w:sz w:val="14"/>
                <w:szCs w:val="14"/>
                <w:lang w:eastAsia="es-AR"/>
              </w:rPr>
            </w:pPr>
          </w:p>
        </w:tc>
      </w:tr>
      <w:tr w:rsidR="00A72601" w:rsidRPr="00122C95" w14:paraId="6488451C" w14:textId="77777777" w:rsidTr="006E1AF7">
        <w:trPr>
          <w:trHeight w:val="80"/>
        </w:trPr>
        <w:tc>
          <w:tcPr>
            <w:tcW w:w="2147" w:type="dxa"/>
            <w:tcBorders>
              <w:top w:val="nil"/>
              <w:left w:val="nil"/>
              <w:bottom w:val="nil"/>
              <w:right w:val="nil"/>
            </w:tcBorders>
            <w:shd w:val="clear" w:color="auto" w:fill="auto"/>
            <w:hideMark/>
          </w:tcPr>
          <w:p w14:paraId="1BCBFDF1" w14:textId="77777777" w:rsidR="00A72601" w:rsidRPr="00122C95" w:rsidRDefault="00A72601" w:rsidP="00A72601">
            <w:pPr>
              <w:rPr>
                <w:rFonts w:ascii="Arial" w:hAnsi="Arial" w:cs="Arial"/>
                <w:b/>
                <w:bCs/>
                <w:sz w:val="14"/>
                <w:szCs w:val="14"/>
                <w:lang w:eastAsia="es-AR"/>
              </w:rPr>
            </w:pPr>
            <w:r w:rsidRPr="00122C95">
              <w:rPr>
                <w:rFonts w:ascii="Arial" w:hAnsi="Arial" w:cs="Arial"/>
                <w:b/>
                <w:bCs/>
                <w:sz w:val="14"/>
                <w:szCs w:val="14"/>
                <w:lang w:eastAsia="es-AR"/>
              </w:rPr>
              <w:t>Otros activos financieros</w:t>
            </w:r>
          </w:p>
        </w:tc>
        <w:tc>
          <w:tcPr>
            <w:tcW w:w="993" w:type="dxa"/>
            <w:tcBorders>
              <w:top w:val="nil"/>
              <w:left w:val="nil"/>
              <w:bottom w:val="nil"/>
              <w:right w:val="nil"/>
            </w:tcBorders>
            <w:shd w:val="clear" w:color="auto" w:fill="auto"/>
            <w:vAlign w:val="bottom"/>
          </w:tcPr>
          <w:p w14:paraId="7BD9D85F" w14:textId="0D0FCE83" w:rsidR="00A72601"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512.325</w:t>
            </w:r>
          </w:p>
        </w:tc>
        <w:tc>
          <w:tcPr>
            <w:tcW w:w="763" w:type="dxa"/>
            <w:tcBorders>
              <w:top w:val="nil"/>
              <w:left w:val="nil"/>
              <w:bottom w:val="nil"/>
              <w:right w:val="nil"/>
            </w:tcBorders>
            <w:shd w:val="clear" w:color="auto" w:fill="auto"/>
            <w:vAlign w:val="bottom"/>
          </w:tcPr>
          <w:p w14:paraId="6F4E9BD6" w14:textId="2F7CBC3E"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35BD4D2A" w14:textId="002F3E7C"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3A4617CE" w14:textId="78537773" w:rsidR="00A72601" w:rsidRPr="00122C95" w:rsidRDefault="00A72601" w:rsidP="00DF1E18">
            <w:pPr>
              <w:jc w:val="right"/>
              <w:rPr>
                <w:rFonts w:ascii="Arial" w:hAnsi="Arial" w:cs="Arial"/>
                <w:sz w:val="14"/>
                <w:szCs w:val="14"/>
                <w:lang w:eastAsia="es-AR"/>
              </w:rPr>
            </w:pPr>
            <w:r w:rsidRPr="00A72601">
              <w:rPr>
                <w:rFonts w:ascii="Arial" w:hAnsi="Arial" w:cs="Arial"/>
                <w:sz w:val="14"/>
                <w:szCs w:val="14"/>
                <w:lang w:eastAsia="es-AR"/>
              </w:rPr>
              <w:t>167.672</w:t>
            </w:r>
          </w:p>
        </w:tc>
        <w:tc>
          <w:tcPr>
            <w:tcW w:w="1659" w:type="dxa"/>
            <w:tcBorders>
              <w:top w:val="nil"/>
              <w:left w:val="nil"/>
              <w:bottom w:val="nil"/>
              <w:right w:val="nil"/>
            </w:tcBorders>
            <w:shd w:val="clear" w:color="auto" w:fill="auto"/>
            <w:vAlign w:val="bottom"/>
          </w:tcPr>
          <w:p w14:paraId="2E0C019E" w14:textId="3AEC3FC4" w:rsidR="00A72601" w:rsidRPr="00122C95" w:rsidRDefault="00A72601" w:rsidP="00DF1E18">
            <w:pPr>
              <w:jc w:val="right"/>
              <w:rPr>
                <w:rFonts w:ascii="Arial" w:hAnsi="Arial" w:cs="Arial"/>
                <w:sz w:val="14"/>
                <w:szCs w:val="14"/>
                <w:lang w:eastAsia="es-AR"/>
              </w:rPr>
            </w:pPr>
            <w:r w:rsidRPr="00A72601">
              <w:rPr>
                <w:rFonts w:ascii="Arial" w:hAnsi="Arial" w:cs="Arial"/>
                <w:sz w:val="14"/>
                <w:szCs w:val="14"/>
                <w:lang w:eastAsia="es-AR"/>
              </w:rPr>
              <w:t>167.672</w:t>
            </w:r>
          </w:p>
        </w:tc>
        <w:tc>
          <w:tcPr>
            <w:tcW w:w="997" w:type="dxa"/>
            <w:tcBorders>
              <w:top w:val="nil"/>
              <w:left w:val="nil"/>
              <w:bottom w:val="nil"/>
              <w:right w:val="nil"/>
            </w:tcBorders>
            <w:shd w:val="clear" w:color="auto" w:fill="auto"/>
            <w:vAlign w:val="bottom"/>
          </w:tcPr>
          <w:p w14:paraId="1DA6E4B0" w14:textId="14571AB2"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26A0090F" w14:textId="6CA7E5FE"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r>
      <w:tr w:rsidR="00C7765D" w:rsidRPr="00122C95" w14:paraId="22ACEA1D" w14:textId="77777777" w:rsidTr="006E1AF7">
        <w:trPr>
          <w:trHeight w:val="255"/>
        </w:trPr>
        <w:tc>
          <w:tcPr>
            <w:tcW w:w="2147" w:type="dxa"/>
            <w:tcBorders>
              <w:top w:val="nil"/>
              <w:left w:val="nil"/>
              <w:bottom w:val="nil"/>
              <w:right w:val="nil"/>
            </w:tcBorders>
            <w:shd w:val="clear" w:color="auto" w:fill="auto"/>
            <w:hideMark/>
          </w:tcPr>
          <w:p w14:paraId="5AD03A02" w14:textId="77777777" w:rsidR="00C7765D" w:rsidRPr="00122C95" w:rsidRDefault="00C7765D" w:rsidP="00257726">
            <w:pPr>
              <w:rPr>
                <w:sz w:val="14"/>
                <w:szCs w:val="14"/>
                <w:lang w:eastAsia="es-AR"/>
              </w:rPr>
            </w:pPr>
          </w:p>
        </w:tc>
        <w:tc>
          <w:tcPr>
            <w:tcW w:w="993" w:type="dxa"/>
            <w:tcBorders>
              <w:top w:val="nil"/>
              <w:left w:val="nil"/>
              <w:bottom w:val="nil"/>
              <w:right w:val="nil"/>
            </w:tcBorders>
            <w:shd w:val="clear" w:color="auto" w:fill="auto"/>
            <w:vAlign w:val="bottom"/>
          </w:tcPr>
          <w:p w14:paraId="014E3BB7" w14:textId="77777777" w:rsidR="00C7765D" w:rsidRPr="00A72601" w:rsidRDefault="00C7765D" w:rsidP="00DF1E18">
            <w:pPr>
              <w:jc w:val="right"/>
              <w:rPr>
                <w:rFonts w:ascii="Arial" w:hAnsi="Arial" w:cs="Arial"/>
                <w:sz w:val="14"/>
                <w:szCs w:val="14"/>
                <w:lang w:eastAsia="es-AR"/>
              </w:rPr>
            </w:pPr>
          </w:p>
        </w:tc>
        <w:tc>
          <w:tcPr>
            <w:tcW w:w="763" w:type="dxa"/>
            <w:tcBorders>
              <w:top w:val="nil"/>
              <w:left w:val="nil"/>
              <w:bottom w:val="nil"/>
              <w:right w:val="nil"/>
            </w:tcBorders>
            <w:shd w:val="clear" w:color="auto" w:fill="auto"/>
            <w:vAlign w:val="bottom"/>
          </w:tcPr>
          <w:p w14:paraId="31559EEB" w14:textId="77777777" w:rsidR="00C7765D" w:rsidRPr="00A72601" w:rsidRDefault="00C7765D" w:rsidP="00DF1E18">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3CBE6322" w14:textId="77777777" w:rsidR="00C7765D" w:rsidRPr="00A72601" w:rsidRDefault="00C7765D" w:rsidP="00DF1E18">
            <w:pPr>
              <w:jc w:val="right"/>
              <w:rPr>
                <w:rFonts w:ascii="Arial" w:hAnsi="Arial" w:cs="Arial"/>
                <w:sz w:val="14"/>
                <w:szCs w:val="14"/>
                <w:lang w:eastAsia="es-AR"/>
              </w:rPr>
            </w:pPr>
          </w:p>
        </w:tc>
        <w:tc>
          <w:tcPr>
            <w:tcW w:w="856" w:type="dxa"/>
            <w:tcBorders>
              <w:top w:val="nil"/>
              <w:left w:val="nil"/>
              <w:bottom w:val="nil"/>
              <w:right w:val="nil"/>
            </w:tcBorders>
            <w:shd w:val="clear" w:color="auto" w:fill="auto"/>
            <w:vAlign w:val="bottom"/>
          </w:tcPr>
          <w:p w14:paraId="6EEDD273" w14:textId="77777777" w:rsidR="00C7765D" w:rsidRPr="00A72601" w:rsidRDefault="00C7765D" w:rsidP="00DF1E18">
            <w:pPr>
              <w:jc w:val="right"/>
              <w:rPr>
                <w:rFonts w:ascii="Arial" w:hAnsi="Arial" w:cs="Arial"/>
                <w:sz w:val="14"/>
                <w:szCs w:val="14"/>
                <w:lang w:eastAsia="es-AR"/>
              </w:rPr>
            </w:pPr>
          </w:p>
        </w:tc>
        <w:tc>
          <w:tcPr>
            <w:tcW w:w="1659" w:type="dxa"/>
            <w:tcBorders>
              <w:top w:val="nil"/>
              <w:left w:val="nil"/>
              <w:bottom w:val="nil"/>
              <w:right w:val="nil"/>
            </w:tcBorders>
            <w:shd w:val="clear" w:color="auto" w:fill="auto"/>
            <w:vAlign w:val="bottom"/>
          </w:tcPr>
          <w:p w14:paraId="34AF65B0" w14:textId="77777777" w:rsidR="00C7765D" w:rsidRPr="00A72601" w:rsidRDefault="00C7765D" w:rsidP="00DF1E18">
            <w:pPr>
              <w:jc w:val="right"/>
              <w:rPr>
                <w:rFonts w:ascii="Arial" w:hAnsi="Arial" w:cs="Arial"/>
                <w:sz w:val="14"/>
                <w:szCs w:val="14"/>
                <w:lang w:eastAsia="es-AR"/>
              </w:rPr>
            </w:pPr>
          </w:p>
        </w:tc>
        <w:tc>
          <w:tcPr>
            <w:tcW w:w="997" w:type="dxa"/>
            <w:tcBorders>
              <w:top w:val="nil"/>
              <w:left w:val="nil"/>
              <w:bottom w:val="nil"/>
              <w:right w:val="nil"/>
            </w:tcBorders>
            <w:shd w:val="clear" w:color="auto" w:fill="auto"/>
            <w:vAlign w:val="bottom"/>
          </w:tcPr>
          <w:p w14:paraId="47DCD798" w14:textId="77777777" w:rsidR="00C7765D" w:rsidRPr="00A72601" w:rsidRDefault="00C7765D" w:rsidP="00DF1E18">
            <w:pPr>
              <w:jc w:val="right"/>
              <w:rPr>
                <w:rFonts w:ascii="Arial" w:hAnsi="Arial" w:cs="Arial"/>
                <w:sz w:val="14"/>
                <w:szCs w:val="14"/>
                <w:lang w:eastAsia="es-AR"/>
              </w:rPr>
            </w:pPr>
          </w:p>
        </w:tc>
        <w:tc>
          <w:tcPr>
            <w:tcW w:w="716" w:type="dxa"/>
            <w:tcBorders>
              <w:top w:val="nil"/>
              <w:left w:val="nil"/>
              <w:bottom w:val="nil"/>
              <w:right w:val="nil"/>
            </w:tcBorders>
            <w:shd w:val="clear" w:color="auto" w:fill="auto"/>
            <w:vAlign w:val="bottom"/>
          </w:tcPr>
          <w:p w14:paraId="7E47C712" w14:textId="77777777" w:rsidR="00C7765D" w:rsidRPr="00A72601" w:rsidRDefault="00C7765D" w:rsidP="00DF1E18">
            <w:pPr>
              <w:jc w:val="right"/>
              <w:rPr>
                <w:rFonts w:ascii="Arial" w:hAnsi="Arial" w:cs="Arial"/>
                <w:sz w:val="14"/>
                <w:szCs w:val="14"/>
                <w:lang w:eastAsia="es-AR"/>
              </w:rPr>
            </w:pPr>
          </w:p>
        </w:tc>
      </w:tr>
      <w:tr w:rsidR="00C7765D" w:rsidRPr="00122C95" w14:paraId="04B8EE9A" w14:textId="77777777" w:rsidTr="006E1AF7">
        <w:trPr>
          <w:trHeight w:val="255"/>
        </w:trPr>
        <w:tc>
          <w:tcPr>
            <w:tcW w:w="2147" w:type="dxa"/>
            <w:tcBorders>
              <w:top w:val="nil"/>
              <w:left w:val="nil"/>
              <w:bottom w:val="nil"/>
              <w:right w:val="nil"/>
            </w:tcBorders>
            <w:shd w:val="clear" w:color="auto" w:fill="auto"/>
            <w:hideMark/>
          </w:tcPr>
          <w:p w14:paraId="5E9E15A7"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Préstamos y otras financiaciones</w:t>
            </w:r>
          </w:p>
        </w:tc>
        <w:tc>
          <w:tcPr>
            <w:tcW w:w="993" w:type="dxa"/>
            <w:tcBorders>
              <w:top w:val="nil"/>
              <w:left w:val="nil"/>
              <w:bottom w:val="nil"/>
              <w:right w:val="nil"/>
            </w:tcBorders>
            <w:shd w:val="clear" w:color="auto" w:fill="auto"/>
            <w:vAlign w:val="bottom"/>
          </w:tcPr>
          <w:p w14:paraId="71B18D91" w14:textId="77777777" w:rsidR="00C7765D" w:rsidRPr="00A72601" w:rsidRDefault="00C7765D" w:rsidP="00DF1E18">
            <w:pPr>
              <w:jc w:val="right"/>
              <w:rPr>
                <w:rFonts w:ascii="Arial" w:hAnsi="Arial" w:cs="Arial"/>
                <w:sz w:val="14"/>
                <w:szCs w:val="14"/>
                <w:lang w:eastAsia="es-AR"/>
              </w:rPr>
            </w:pPr>
          </w:p>
        </w:tc>
        <w:tc>
          <w:tcPr>
            <w:tcW w:w="763" w:type="dxa"/>
            <w:tcBorders>
              <w:top w:val="nil"/>
              <w:left w:val="nil"/>
              <w:bottom w:val="nil"/>
              <w:right w:val="nil"/>
            </w:tcBorders>
            <w:shd w:val="clear" w:color="auto" w:fill="auto"/>
            <w:vAlign w:val="bottom"/>
          </w:tcPr>
          <w:p w14:paraId="4390F514" w14:textId="77777777" w:rsidR="00C7765D" w:rsidRPr="00A72601" w:rsidRDefault="00C7765D" w:rsidP="00DF1E18">
            <w:pPr>
              <w:jc w:val="right"/>
              <w:rPr>
                <w:rFonts w:ascii="Arial" w:hAnsi="Arial" w:cs="Arial"/>
                <w:sz w:val="14"/>
                <w:szCs w:val="14"/>
                <w:lang w:eastAsia="es-AR"/>
              </w:rPr>
            </w:pPr>
          </w:p>
        </w:tc>
        <w:tc>
          <w:tcPr>
            <w:tcW w:w="1360" w:type="dxa"/>
            <w:tcBorders>
              <w:top w:val="nil"/>
              <w:left w:val="nil"/>
              <w:bottom w:val="nil"/>
              <w:right w:val="nil"/>
            </w:tcBorders>
            <w:shd w:val="clear" w:color="auto" w:fill="auto"/>
            <w:vAlign w:val="bottom"/>
          </w:tcPr>
          <w:p w14:paraId="2B16CE6B" w14:textId="77777777" w:rsidR="00C7765D" w:rsidRPr="00A72601" w:rsidRDefault="00C7765D" w:rsidP="00DF1E18">
            <w:pPr>
              <w:jc w:val="right"/>
              <w:rPr>
                <w:rFonts w:ascii="Arial" w:hAnsi="Arial" w:cs="Arial"/>
                <w:sz w:val="14"/>
                <w:szCs w:val="14"/>
                <w:lang w:eastAsia="es-AR"/>
              </w:rPr>
            </w:pPr>
          </w:p>
        </w:tc>
        <w:tc>
          <w:tcPr>
            <w:tcW w:w="856" w:type="dxa"/>
            <w:tcBorders>
              <w:top w:val="nil"/>
              <w:left w:val="nil"/>
              <w:bottom w:val="nil"/>
              <w:right w:val="nil"/>
            </w:tcBorders>
            <w:shd w:val="clear" w:color="auto" w:fill="auto"/>
            <w:vAlign w:val="bottom"/>
          </w:tcPr>
          <w:p w14:paraId="24F9A3A8" w14:textId="77777777" w:rsidR="00C7765D" w:rsidRPr="00A72601" w:rsidRDefault="00C7765D" w:rsidP="00DF1E18">
            <w:pPr>
              <w:jc w:val="right"/>
              <w:rPr>
                <w:rFonts w:ascii="Arial" w:hAnsi="Arial" w:cs="Arial"/>
                <w:sz w:val="14"/>
                <w:szCs w:val="14"/>
                <w:lang w:eastAsia="es-AR"/>
              </w:rPr>
            </w:pPr>
          </w:p>
        </w:tc>
        <w:tc>
          <w:tcPr>
            <w:tcW w:w="1659" w:type="dxa"/>
            <w:tcBorders>
              <w:top w:val="nil"/>
              <w:left w:val="nil"/>
              <w:bottom w:val="nil"/>
              <w:right w:val="nil"/>
            </w:tcBorders>
            <w:shd w:val="clear" w:color="auto" w:fill="auto"/>
            <w:vAlign w:val="bottom"/>
          </w:tcPr>
          <w:p w14:paraId="18083422" w14:textId="77777777" w:rsidR="00C7765D" w:rsidRPr="00A72601" w:rsidRDefault="00C7765D" w:rsidP="00DF1E18">
            <w:pPr>
              <w:jc w:val="right"/>
              <w:rPr>
                <w:rFonts w:ascii="Arial" w:hAnsi="Arial" w:cs="Arial"/>
                <w:sz w:val="14"/>
                <w:szCs w:val="14"/>
                <w:lang w:eastAsia="es-AR"/>
              </w:rPr>
            </w:pPr>
          </w:p>
        </w:tc>
        <w:tc>
          <w:tcPr>
            <w:tcW w:w="997" w:type="dxa"/>
            <w:tcBorders>
              <w:top w:val="nil"/>
              <w:left w:val="nil"/>
              <w:bottom w:val="nil"/>
              <w:right w:val="nil"/>
            </w:tcBorders>
            <w:shd w:val="clear" w:color="auto" w:fill="auto"/>
            <w:vAlign w:val="bottom"/>
          </w:tcPr>
          <w:p w14:paraId="0DC4B680" w14:textId="77777777" w:rsidR="00C7765D" w:rsidRPr="00A72601" w:rsidRDefault="00C7765D" w:rsidP="00DF1E18">
            <w:pPr>
              <w:jc w:val="right"/>
              <w:rPr>
                <w:rFonts w:ascii="Arial" w:hAnsi="Arial" w:cs="Arial"/>
                <w:sz w:val="14"/>
                <w:szCs w:val="14"/>
                <w:lang w:eastAsia="es-AR"/>
              </w:rPr>
            </w:pPr>
          </w:p>
        </w:tc>
        <w:tc>
          <w:tcPr>
            <w:tcW w:w="716" w:type="dxa"/>
            <w:tcBorders>
              <w:top w:val="nil"/>
              <w:left w:val="nil"/>
              <w:bottom w:val="nil"/>
              <w:right w:val="nil"/>
            </w:tcBorders>
            <w:shd w:val="clear" w:color="auto" w:fill="auto"/>
            <w:vAlign w:val="bottom"/>
          </w:tcPr>
          <w:p w14:paraId="4E99FE2D" w14:textId="77777777" w:rsidR="00C7765D" w:rsidRPr="00A72601" w:rsidRDefault="00C7765D" w:rsidP="00DF1E18">
            <w:pPr>
              <w:jc w:val="right"/>
              <w:rPr>
                <w:rFonts w:ascii="Arial" w:hAnsi="Arial" w:cs="Arial"/>
                <w:sz w:val="14"/>
                <w:szCs w:val="14"/>
                <w:lang w:eastAsia="es-AR"/>
              </w:rPr>
            </w:pPr>
          </w:p>
        </w:tc>
      </w:tr>
      <w:tr w:rsidR="00A72601" w:rsidRPr="00122C95" w14:paraId="4D673E3A" w14:textId="77777777" w:rsidTr="006E1AF7">
        <w:trPr>
          <w:trHeight w:val="163"/>
        </w:trPr>
        <w:tc>
          <w:tcPr>
            <w:tcW w:w="2147" w:type="dxa"/>
            <w:tcBorders>
              <w:top w:val="nil"/>
              <w:left w:val="nil"/>
              <w:bottom w:val="nil"/>
              <w:right w:val="nil"/>
            </w:tcBorders>
            <w:shd w:val="clear" w:color="auto" w:fill="auto"/>
            <w:hideMark/>
          </w:tcPr>
          <w:p w14:paraId="45A62CC9" w14:textId="77777777" w:rsidR="00A72601" w:rsidRPr="00122C95" w:rsidRDefault="00A72601" w:rsidP="00A72601">
            <w:pPr>
              <w:ind w:firstLineChars="100" w:firstLine="140"/>
              <w:rPr>
                <w:rFonts w:ascii="Arial" w:hAnsi="Arial" w:cs="Arial"/>
                <w:sz w:val="14"/>
                <w:szCs w:val="14"/>
                <w:lang w:eastAsia="es-AR"/>
              </w:rPr>
            </w:pPr>
            <w:r w:rsidRPr="00122C95">
              <w:rPr>
                <w:rFonts w:ascii="Arial" w:hAnsi="Arial" w:cs="Arial"/>
                <w:sz w:val="14"/>
                <w:szCs w:val="14"/>
                <w:lang w:eastAsia="es-AR"/>
              </w:rPr>
              <w:t>Sector Público no Financiero</w:t>
            </w:r>
          </w:p>
        </w:tc>
        <w:tc>
          <w:tcPr>
            <w:tcW w:w="993" w:type="dxa"/>
            <w:tcBorders>
              <w:top w:val="nil"/>
              <w:left w:val="nil"/>
              <w:bottom w:val="nil"/>
              <w:right w:val="nil"/>
            </w:tcBorders>
            <w:shd w:val="clear" w:color="auto" w:fill="auto"/>
            <w:vAlign w:val="bottom"/>
          </w:tcPr>
          <w:p w14:paraId="1311069F" w14:textId="6D493749" w:rsidR="00A72601" w:rsidRPr="00122C95" w:rsidRDefault="00A72601" w:rsidP="00DF1E18">
            <w:pPr>
              <w:jc w:val="right"/>
              <w:rPr>
                <w:rFonts w:ascii="Arial" w:hAnsi="Arial" w:cs="Arial"/>
                <w:sz w:val="14"/>
                <w:szCs w:val="14"/>
                <w:lang w:eastAsia="es-AR"/>
              </w:rPr>
            </w:pPr>
            <w:r w:rsidRPr="00A72601">
              <w:rPr>
                <w:rFonts w:ascii="Arial" w:hAnsi="Arial" w:cs="Arial"/>
                <w:sz w:val="14"/>
                <w:szCs w:val="14"/>
                <w:lang w:eastAsia="es-AR"/>
              </w:rPr>
              <w:t>28.872</w:t>
            </w:r>
          </w:p>
        </w:tc>
        <w:tc>
          <w:tcPr>
            <w:tcW w:w="763" w:type="dxa"/>
            <w:tcBorders>
              <w:top w:val="nil"/>
              <w:left w:val="nil"/>
              <w:bottom w:val="nil"/>
              <w:right w:val="nil"/>
            </w:tcBorders>
            <w:shd w:val="clear" w:color="auto" w:fill="auto"/>
            <w:vAlign w:val="bottom"/>
          </w:tcPr>
          <w:p w14:paraId="0F37AEF2" w14:textId="3656E076"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663F41B2" w14:textId="118E42EA"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23C823F4" w14:textId="19A9B8A4"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50181CC2" w14:textId="1F1D36CF"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48142581" w14:textId="080B1727"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47EF9656" w14:textId="2C83FB1A"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r>
      <w:tr w:rsidR="00A72601" w:rsidRPr="00122C95" w14:paraId="2D5131E6" w14:textId="77777777" w:rsidTr="006E1AF7">
        <w:trPr>
          <w:trHeight w:val="74"/>
        </w:trPr>
        <w:tc>
          <w:tcPr>
            <w:tcW w:w="2147" w:type="dxa"/>
            <w:tcBorders>
              <w:top w:val="nil"/>
              <w:left w:val="nil"/>
              <w:bottom w:val="nil"/>
              <w:right w:val="nil"/>
            </w:tcBorders>
            <w:shd w:val="clear" w:color="auto" w:fill="auto"/>
            <w:hideMark/>
          </w:tcPr>
          <w:p w14:paraId="0CCB20DF" w14:textId="77777777" w:rsidR="00A72601" w:rsidRPr="00122C95" w:rsidRDefault="00A72601" w:rsidP="00A72601">
            <w:pPr>
              <w:ind w:firstLineChars="100" w:firstLine="140"/>
              <w:rPr>
                <w:rFonts w:ascii="Arial" w:hAnsi="Arial" w:cs="Arial"/>
                <w:sz w:val="14"/>
                <w:szCs w:val="14"/>
                <w:lang w:eastAsia="es-AR"/>
              </w:rPr>
            </w:pPr>
            <w:r w:rsidRPr="00122C95">
              <w:rPr>
                <w:rFonts w:ascii="Arial" w:hAnsi="Arial" w:cs="Arial"/>
                <w:sz w:val="14"/>
                <w:szCs w:val="14"/>
                <w:lang w:eastAsia="es-AR"/>
              </w:rPr>
              <w:t>B.C.R.A.</w:t>
            </w:r>
          </w:p>
        </w:tc>
        <w:tc>
          <w:tcPr>
            <w:tcW w:w="993" w:type="dxa"/>
            <w:tcBorders>
              <w:top w:val="nil"/>
              <w:left w:val="nil"/>
              <w:bottom w:val="nil"/>
              <w:right w:val="nil"/>
            </w:tcBorders>
            <w:shd w:val="clear" w:color="auto" w:fill="auto"/>
            <w:vAlign w:val="bottom"/>
          </w:tcPr>
          <w:p w14:paraId="67B8D0C5" w14:textId="58EA79FE"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763" w:type="dxa"/>
            <w:tcBorders>
              <w:top w:val="nil"/>
              <w:left w:val="nil"/>
              <w:bottom w:val="nil"/>
              <w:right w:val="nil"/>
            </w:tcBorders>
            <w:shd w:val="clear" w:color="auto" w:fill="auto"/>
            <w:vAlign w:val="bottom"/>
          </w:tcPr>
          <w:p w14:paraId="382DF387" w14:textId="3DEDEAE1"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55E45357" w14:textId="1274452B"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335E0D85" w14:textId="5D081900"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3A3963C9" w14:textId="4F0D0137"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46B5DFE6" w14:textId="3A75AA24"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4A5B5824" w14:textId="5E44D64E"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r>
      <w:tr w:rsidR="00A72601" w:rsidRPr="00122C95" w14:paraId="0AF2F213" w14:textId="77777777" w:rsidTr="006E1AF7">
        <w:trPr>
          <w:trHeight w:val="255"/>
        </w:trPr>
        <w:tc>
          <w:tcPr>
            <w:tcW w:w="2147" w:type="dxa"/>
            <w:tcBorders>
              <w:top w:val="nil"/>
              <w:left w:val="nil"/>
              <w:bottom w:val="nil"/>
              <w:right w:val="nil"/>
            </w:tcBorders>
            <w:shd w:val="clear" w:color="auto" w:fill="auto"/>
            <w:hideMark/>
          </w:tcPr>
          <w:p w14:paraId="1EF40FB6" w14:textId="77777777" w:rsidR="00A72601" w:rsidRPr="00122C95" w:rsidRDefault="00A72601" w:rsidP="00A72601">
            <w:pPr>
              <w:ind w:firstLineChars="100" w:firstLine="140"/>
              <w:rPr>
                <w:rFonts w:ascii="Arial" w:hAnsi="Arial" w:cs="Arial"/>
                <w:sz w:val="14"/>
                <w:szCs w:val="14"/>
                <w:lang w:eastAsia="es-AR"/>
              </w:rPr>
            </w:pPr>
            <w:r w:rsidRPr="00122C95">
              <w:rPr>
                <w:rFonts w:ascii="Arial" w:hAnsi="Arial" w:cs="Arial"/>
                <w:sz w:val="14"/>
                <w:szCs w:val="14"/>
                <w:lang w:eastAsia="es-AR"/>
              </w:rPr>
              <w:t>Otras Entidades financieras</w:t>
            </w:r>
          </w:p>
        </w:tc>
        <w:tc>
          <w:tcPr>
            <w:tcW w:w="993" w:type="dxa"/>
            <w:tcBorders>
              <w:top w:val="nil"/>
              <w:left w:val="nil"/>
              <w:bottom w:val="nil"/>
              <w:right w:val="nil"/>
            </w:tcBorders>
            <w:shd w:val="clear" w:color="auto" w:fill="auto"/>
            <w:vAlign w:val="bottom"/>
          </w:tcPr>
          <w:p w14:paraId="140B73B7" w14:textId="643FF5CB" w:rsidR="00A72601"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1.195.768</w:t>
            </w:r>
          </w:p>
        </w:tc>
        <w:tc>
          <w:tcPr>
            <w:tcW w:w="763" w:type="dxa"/>
            <w:tcBorders>
              <w:top w:val="nil"/>
              <w:left w:val="nil"/>
              <w:bottom w:val="nil"/>
              <w:right w:val="nil"/>
            </w:tcBorders>
            <w:shd w:val="clear" w:color="auto" w:fill="auto"/>
            <w:vAlign w:val="bottom"/>
          </w:tcPr>
          <w:p w14:paraId="1662E89C" w14:textId="6B5895AC"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6B8253D4" w14:textId="4072E2D1"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01D6DDD6" w14:textId="00266BF4"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2B090AEC" w14:textId="40F48887"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14F4D1B6" w14:textId="1B522C2E"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0F1DF2A9" w14:textId="11DE6194" w:rsidR="00A72601" w:rsidRPr="00A72601" w:rsidRDefault="00A72601" w:rsidP="00DF1E18">
            <w:pPr>
              <w:jc w:val="right"/>
              <w:rPr>
                <w:rFonts w:ascii="Arial" w:hAnsi="Arial" w:cs="Arial"/>
                <w:sz w:val="14"/>
                <w:szCs w:val="14"/>
                <w:lang w:eastAsia="es-AR"/>
              </w:rPr>
            </w:pPr>
            <w:r>
              <w:rPr>
                <w:rFonts w:ascii="Arial" w:hAnsi="Arial" w:cs="Arial"/>
                <w:sz w:val="14"/>
                <w:szCs w:val="14"/>
                <w:lang w:eastAsia="es-AR"/>
              </w:rPr>
              <w:t>-</w:t>
            </w:r>
          </w:p>
        </w:tc>
      </w:tr>
      <w:tr w:rsidR="00A72601" w:rsidRPr="00122C95" w14:paraId="2B54212C" w14:textId="77777777" w:rsidTr="006E1AF7">
        <w:trPr>
          <w:trHeight w:val="283"/>
        </w:trPr>
        <w:tc>
          <w:tcPr>
            <w:tcW w:w="2147" w:type="dxa"/>
            <w:tcBorders>
              <w:top w:val="nil"/>
              <w:left w:val="nil"/>
              <w:bottom w:val="nil"/>
              <w:right w:val="nil"/>
            </w:tcBorders>
            <w:shd w:val="clear" w:color="auto" w:fill="auto"/>
            <w:hideMark/>
          </w:tcPr>
          <w:p w14:paraId="253D6A9E" w14:textId="77777777" w:rsidR="00A72601" w:rsidRPr="00122C95" w:rsidRDefault="00A72601" w:rsidP="00A72601">
            <w:pPr>
              <w:rPr>
                <w:rFonts w:ascii="Arial" w:hAnsi="Arial" w:cs="Arial"/>
                <w:sz w:val="14"/>
                <w:szCs w:val="14"/>
                <w:lang w:eastAsia="es-AR"/>
              </w:rPr>
            </w:pPr>
            <w:r w:rsidRPr="00122C95">
              <w:rPr>
                <w:rFonts w:ascii="Arial" w:hAnsi="Arial" w:cs="Arial"/>
                <w:sz w:val="14"/>
                <w:szCs w:val="14"/>
                <w:lang w:eastAsia="es-AR"/>
              </w:rPr>
              <w:t>Sector Privado no Financiero y Residentes en el exterior</w:t>
            </w:r>
          </w:p>
        </w:tc>
        <w:tc>
          <w:tcPr>
            <w:tcW w:w="993" w:type="dxa"/>
            <w:tcBorders>
              <w:top w:val="nil"/>
              <w:left w:val="nil"/>
              <w:bottom w:val="nil"/>
              <w:right w:val="nil"/>
            </w:tcBorders>
            <w:shd w:val="clear" w:color="auto" w:fill="auto"/>
            <w:vAlign w:val="bottom"/>
          </w:tcPr>
          <w:p w14:paraId="402FED37" w14:textId="79F3939C" w:rsidR="00A72601"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82.804.799</w:t>
            </w:r>
          </w:p>
        </w:tc>
        <w:tc>
          <w:tcPr>
            <w:tcW w:w="763" w:type="dxa"/>
            <w:tcBorders>
              <w:top w:val="nil"/>
              <w:left w:val="nil"/>
              <w:bottom w:val="nil"/>
              <w:right w:val="nil"/>
            </w:tcBorders>
            <w:shd w:val="clear" w:color="auto" w:fill="auto"/>
            <w:vAlign w:val="bottom"/>
          </w:tcPr>
          <w:p w14:paraId="09AC2B34" w14:textId="3A6D255C" w:rsidR="00A72601" w:rsidRPr="00122C95" w:rsidRDefault="00A72601" w:rsidP="00DF1E18">
            <w:pPr>
              <w:jc w:val="right"/>
              <w:rPr>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2D0223A9" w14:textId="083F02F5" w:rsidR="00A72601" w:rsidRPr="00122C95" w:rsidRDefault="00A72601" w:rsidP="00DF1E18">
            <w:pPr>
              <w:jc w:val="right"/>
              <w:rPr>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461EE5F5" w14:textId="74611DE2" w:rsidR="00A72601" w:rsidRPr="00122C95" w:rsidRDefault="00A72601" w:rsidP="00DF1E18">
            <w:pPr>
              <w:jc w:val="right"/>
              <w:rPr>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2A68C07F" w14:textId="4CC45FBC" w:rsidR="00A72601" w:rsidRPr="00122C95" w:rsidRDefault="00A72601" w:rsidP="00DF1E18">
            <w:pPr>
              <w:jc w:val="right"/>
              <w:rPr>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0FAD8F79" w14:textId="24999A39" w:rsidR="00A72601" w:rsidRPr="00122C95" w:rsidRDefault="00A72601" w:rsidP="00DF1E18">
            <w:pPr>
              <w:jc w:val="right"/>
              <w:rPr>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1065C570" w14:textId="33BE37E7" w:rsidR="00A72601" w:rsidRPr="00122C95" w:rsidRDefault="00A72601" w:rsidP="00DF1E18">
            <w:pPr>
              <w:jc w:val="right"/>
              <w:rPr>
                <w:sz w:val="14"/>
                <w:szCs w:val="14"/>
                <w:lang w:eastAsia="es-AR"/>
              </w:rPr>
            </w:pPr>
            <w:r>
              <w:rPr>
                <w:rFonts w:ascii="Arial" w:hAnsi="Arial" w:cs="Arial"/>
                <w:sz w:val="14"/>
                <w:szCs w:val="14"/>
                <w:lang w:eastAsia="es-AR"/>
              </w:rPr>
              <w:t>-</w:t>
            </w:r>
          </w:p>
        </w:tc>
      </w:tr>
      <w:tr w:rsidR="00A72601" w:rsidRPr="00122C95" w14:paraId="6E85F544" w14:textId="77777777" w:rsidTr="006E1AF7">
        <w:trPr>
          <w:trHeight w:val="255"/>
        </w:trPr>
        <w:tc>
          <w:tcPr>
            <w:tcW w:w="2147" w:type="dxa"/>
            <w:tcBorders>
              <w:top w:val="nil"/>
              <w:left w:val="nil"/>
              <w:bottom w:val="nil"/>
              <w:right w:val="nil"/>
            </w:tcBorders>
            <w:shd w:val="clear" w:color="auto" w:fill="auto"/>
            <w:hideMark/>
          </w:tcPr>
          <w:p w14:paraId="55895366"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Adelantos</w:t>
            </w:r>
          </w:p>
        </w:tc>
        <w:tc>
          <w:tcPr>
            <w:tcW w:w="993" w:type="dxa"/>
            <w:tcBorders>
              <w:top w:val="nil"/>
              <w:left w:val="nil"/>
              <w:bottom w:val="nil"/>
              <w:right w:val="nil"/>
            </w:tcBorders>
            <w:shd w:val="clear" w:color="auto" w:fill="auto"/>
            <w:vAlign w:val="bottom"/>
          </w:tcPr>
          <w:p w14:paraId="105155A9" w14:textId="74B06E94" w:rsidR="00A72601" w:rsidRPr="00122C95" w:rsidRDefault="00A72601" w:rsidP="00DF1E18">
            <w:pPr>
              <w:jc w:val="right"/>
              <w:rPr>
                <w:rFonts w:ascii="Arial" w:hAnsi="Arial" w:cs="Arial"/>
                <w:sz w:val="14"/>
                <w:szCs w:val="14"/>
                <w:lang w:eastAsia="es-AR"/>
              </w:rPr>
            </w:pPr>
            <w:r w:rsidRPr="00A72601">
              <w:rPr>
                <w:rFonts w:ascii="Arial" w:hAnsi="Arial" w:cs="Arial"/>
                <w:sz w:val="14"/>
                <w:szCs w:val="14"/>
                <w:lang w:eastAsia="es-AR"/>
              </w:rPr>
              <w:t>5.602.801</w:t>
            </w:r>
          </w:p>
        </w:tc>
        <w:tc>
          <w:tcPr>
            <w:tcW w:w="763" w:type="dxa"/>
            <w:tcBorders>
              <w:top w:val="nil"/>
              <w:left w:val="nil"/>
              <w:bottom w:val="nil"/>
              <w:right w:val="nil"/>
            </w:tcBorders>
            <w:shd w:val="clear" w:color="auto" w:fill="auto"/>
            <w:vAlign w:val="bottom"/>
          </w:tcPr>
          <w:p w14:paraId="1B4FF390" w14:textId="23735F6D"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653F9382" w14:textId="1C20AF84" w:rsidR="00A72601" w:rsidRPr="00122C95" w:rsidRDefault="00A72601" w:rsidP="00DF1E18">
            <w:pPr>
              <w:jc w:val="right"/>
              <w:rPr>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530AC4E8" w14:textId="2CFA2968" w:rsidR="00A72601" w:rsidRPr="00122C95" w:rsidRDefault="00A72601" w:rsidP="00DF1E18">
            <w:pPr>
              <w:jc w:val="right"/>
              <w:rPr>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5F30DA96" w14:textId="14133514" w:rsidR="00A72601" w:rsidRPr="00122C95" w:rsidRDefault="00A72601" w:rsidP="00DF1E18">
            <w:pPr>
              <w:jc w:val="right"/>
              <w:rPr>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703E9251" w14:textId="3FE7FFE1" w:rsidR="00A72601" w:rsidRPr="00122C95" w:rsidRDefault="00A72601" w:rsidP="00DF1E18">
            <w:pPr>
              <w:jc w:val="right"/>
              <w:rPr>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2B8027DC" w14:textId="42503CBF" w:rsidR="00A72601" w:rsidRPr="00122C95" w:rsidRDefault="00A72601" w:rsidP="00DF1E18">
            <w:pPr>
              <w:jc w:val="right"/>
              <w:rPr>
                <w:sz w:val="14"/>
                <w:szCs w:val="14"/>
                <w:lang w:eastAsia="es-AR"/>
              </w:rPr>
            </w:pPr>
            <w:r>
              <w:rPr>
                <w:rFonts w:ascii="Arial" w:hAnsi="Arial" w:cs="Arial"/>
                <w:sz w:val="14"/>
                <w:szCs w:val="14"/>
                <w:lang w:eastAsia="es-AR"/>
              </w:rPr>
              <w:t>-</w:t>
            </w:r>
          </w:p>
        </w:tc>
      </w:tr>
      <w:tr w:rsidR="00A72601" w:rsidRPr="00122C95" w14:paraId="21831933" w14:textId="77777777" w:rsidTr="006E1AF7">
        <w:trPr>
          <w:trHeight w:val="255"/>
        </w:trPr>
        <w:tc>
          <w:tcPr>
            <w:tcW w:w="2147" w:type="dxa"/>
            <w:tcBorders>
              <w:top w:val="nil"/>
              <w:left w:val="nil"/>
              <w:bottom w:val="nil"/>
              <w:right w:val="nil"/>
            </w:tcBorders>
            <w:shd w:val="clear" w:color="auto" w:fill="auto"/>
            <w:hideMark/>
          </w:tcPr>
          <w:p w14:paraId="241F2372"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Documentos</w:t>
            </w:r>
          </w:p>
        </w:tc>
        <w:tc>
          <w:tcPr>
            <w:tcW w:w="993" w:type="dxa"/>
            <w:tcBorders>
              <w:top w:val="nil"/>
              <w:left w:val="nil"/>
              <w:bottom w:val="nil"/>
              <w:right w:val="nil"/>
            </w:tcBorders>
            <w:shd w:val="clear" w:color="auto" w:fill="auto"/>
            <w:vAlign w:val="bottom"/>
          </w:tcPr>
          <w:p w14:paraId="599F9C10" w14:textId="0DF81971" w:rsidR="00A72601"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19.620.906</w:t>
            </w:r>
          </w:p>
        </w:tc>
        <w:tc>
          <w:tcPr>
            <w:tcW w:w="763" w:type="dxa"/>
            <w:tcBorders>
              <w:top w:val="nil"/>
              <w:left w:val="nil"/>
              <w:bottom w:val="nil"/>
              <w:right w:val="nil"/>
            </w:tcBorders>
            <w:shd w:val="clear" w:color="auto" w:fill="auto"/>
            <w:vAlign w:val="bottom"/>
          </w:tcPr>
          <w:p w14:paraId="5B32EEDF" w14:textId="1B373558"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4C02D1C7" w14:textId="30062F29" w:rsidR="00A72601" w:rsidRPr="00122C95" w:rsidRDefault="00A72601" w:rsidP="00DF1E18">
            <w:pPr>
              <w:jc w:val="right"/>
              <w:rPr>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2336A74C" w14:textId="784C0897" w:rsidR="00A72601" w:rsidRPr="00122C95" w:rsidRDefault="00A72601" w:rsidP="00DF1E18">
            <w:pPr>
              <w:jc w:val="right"/>
              <w:rPr>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02BCC696" w14:textId="17F27AC0" w:rsidR="00A72601" w:rsidRPr="00122C95" w:rsidRDefault="00A72601" w:rsidP="00DF1E18">
            <w:pPr>
              <w:jc w:val="right"/>
              <w:rPr>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1F1B0FE8" w14:textId="4C5BCED2" w:rsidR="00A72601" w:rsidRPr="00122C95" w:rsidRDefault="00A72601" w:rsidP="00DF1E18">
            <w:pPr>
              <w:jc w:val="right"/>
              <w:rPr>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6C3DFF96" w14:textId="791A3B88" w:rsidR="00A72601" w:rsidRPr="00122C95" w:rsidRDefault="00A72601" w:rsidP="00DF1E18">
            <w:pPr>
              <w:jc w:val="right"/>
              <w:rPr>
                <w:sz w:val="14"/>
                <w:szCs w:val="14"/>
                <w:lang w:eastAsia="es-AR"/>
              </w:rPr>
            </w:pPr>
            <w:r>
              <w:rPr>
                <w:rFonts w:ascii="Arial" w:hAnsi="Arial" w:cs="Arial"/>
                <w:sz w:val="14"/>
                <w:szCs w:val="14"/>
                <w:lang w:eastAsia="es-AR"/>
              </w:rPr>
              <w:t>-</w:t>
            </w:r>
          </w:p>
        </w:tc>
      </w:tr>
      <w:tr w:rsidR="00A72601" w:rsidRPr="00122C95" w14:paraId="4710CE11" w14:textId="77777777" w:rsidTr="006E1AF7">
        <w:trPr>
          <w:trHeight w:val="255"/>
        </w:trPr>
        <w:tc>
          <w:tcPr>
            <w:tcW w:w="2147" w:type="dxa"/>
            <w:tcBorders>
              <w:top w:val="nil"/>
              <w:left w:val="nil"/>
              <w:bottom w:val="nil"/>
              <w:right w:val="nil"/>
            </w:tcBorders>
            <w:shd w:val="clear" w:color="auto" w:fill="auto"/>
            <w:hideMark/>
          </w:tcPr>
          <w:p w14:paraId="3D6A8F2C"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Hipotecarios</w:t>
            </w:r>
          </w:p>
        </w:tc>
        <w:tc>
          <w:tcPr>
            <w:tcW w:w="993" w:type="dxa"/>
            <w:tcBorders>
              <w:top w:val="nil"/>
              <w:left w:val="nil"/>
              <w:bottom w:val="nil"/>
              <w:right w:val="nil"/>
            </w:tcBorders>
            <w:shd w:val="clear" w:color="auto" w:fill="auto"/>
            <w:vAlign w:val="bottom"/>
          </w:tcPr>
          <w:p w14:paraId="3C035610" w14:textId="721CC087" w:rsidR="00A72601"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7.917.020</w:t>
            </w:r>
          </w:p>
        </w:tc>
        <w:tc>
          <w:tcPr>
            <w:tcW w:w="763" w:type="dxa"/>
            <w:tcBorders>
              <w:top w:val="nil"/>
              <w:left w:val="nil"/>
              <w:bottom w:val="nil"/>
              <w:right w:val="nil"/>
            </w:tcBorders>
            <w:shd w:val="clear" w:color="auto" w:fill="auto"/>
            <w:vAlign w:val="bottom"/>
          </w:tcPr>
          <w:p w14:paraId="67097DCD" w14:textId="7E6ACA29"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722C0114" w14:textId="61DA8D8A" w:rsidR="00A72601" w:rsidRPr="00122C95" w:rsidRDefault="00A72601" w:rsidP="00DF1E18">
            <w:pPr>
              <w:jc w:val="right"/>
              <w:rPr>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1D3253C7" w14:textId="1874D0B6" w:rsidR="00A72601" w:rsidRPr="00122C95" w:rsidRDefault="00A72601" w:rsidP="00DF1E18">
            <w:pPr>
              <w:jc w:val="right"/>
              <w:rPr>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2EC4C858" w14:textId="547786F8" w:rsidR="00A72601" w:rsidRPr="00122C95" w:rsidRDefault="00A72601" w:rsidP="00DF1E18">
            <w:pPr>
              <w:jc w:val="right"/>
              <w:rPr>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4E46A3A5" w14:textId="0881C26C" w:rsidR="00A72601" w:rsidRPr="00122C95" w:rsidRDefault="00A72601" w:rsidP="00DF1E18">
            <w:pPr>
              <w:jc w:val="right"/>
              <w:rPr>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0700DC51" w14:textId="750C530B" w:rsidR="00A72601" w:rsidRPr="00122C95" w:rsidRDefault="00A72601" w:rsidP="00DF1E18">
            <w:pPr>
              <w:jc w:val="right"/>
              <w:rPr>
                <w:sz w:val="14"/>
                <w:szCs w:val="14"/>
                <w:lang w:eastAsia="es-AR"/>
              </w:rPr>
            </w:pPr>
            <w:r>
              <w:rPr>
                <w:rFonts w:ascii="Arial" w:hAnsi="Arial" w:cs="Arial"/>
                <w:sz w:val="14"/>
                <w:szCs w:val="14"/>
                <w:lang w:eastAsia="es-AR"/>
              </w:rPr>
              <w:t>-</w:t>
            </w:r>
          </w:p>
        </w:tc>
      </w:tr>
      <w:tr w:rsidR="00A72601" w:rsidRPr="00122C95" w14:paraId="3021AA4E" w14:textId="77777777" w:rsidTr="006E1AF7">
        <w:trPr>
          <w:trHeight w:val="255"/>
        </w:trPr>
        <w:tc>
          <w:tcPr>
            <w:tcW w:w="2147" w:type="dxa"/>
            <w:tcBorders>
              <w:top w:val="nil"/>
              <w:left w:val="nil"/>
              <w:bottom w:val="nil"/>
              <w:right w:val="nil"/>
            </w:tcBorders>
            <w:shd w:val="clear" w:color="auto" w:fill="auto"/>
            <w:hideMark/>
          </w:tcPr>
          <w:p w14:paraId="6ABE3651"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Prendarios</w:t>
            </w:r>
          </w:p>
        </w:tc>
        <w:tc>
          <w:tcPr>
            <w:tcW w:w="993" w:type="dxa"/>
            <w:tcBorders>
              <w:top w:val="nil"/>
              <w:left w:val="nil"/>
              <w:bottom w:val="nil"/>
              <w:right w:val="nil"/>
            </w:tcBorders>
            <w:shd w:val="clear" w:color="auto" w:fill="auto"/>
            <w:vAlign w:val="bottom"/>
          </w:tcPr>
          <w:p w14:paraId="1E36C0F5" w14:textId="5F6DD49C" w:rsidR="00A72601"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732.667</w:t>
            </w:r>
          </w:p>
        </w:tc>
        <w:tc>
          <w:tcPr>
            <w:tcW w:w="763" w:type="dxa"/>
            <w:tcBorders>
              <w:top w:val="nil"/>
              <w:left w:val="nil"/>
              <w:bottom w:val="nil"/>
              <w:right w:val="nil"/>
            </w:tcBorders>
            <w:shd w:val="clear" w:color="auto" w:fill="auto"/>
            <w:vAlign w:val="bottom"/>
          </w:tcPr>
          <w:p w14:paraId="35953053" w14:textId="74DAB478"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376BB845" w14:textId="054A59F5" w:rsidR="00A72601" w:rsidRPr="00122C95" w:rsidRDefault="00A72601" w:rsidP="00DF1E18">
            <w:pPr>
              <w:jc w:val="right"/>
              <w:rPr>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3A88F9EC" w14:textId="1069B0F2" w:rsidR="00A72601" w:rsidRPr="00122C95" w:rsidRDefault="00A72601" w:rsidP="00DF1E18">
            <w:pPr>
              <w:jc w:val="right"/>
              <w:rPr>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33E897D2" w14:textId="41B5FC72" w:rsidR="00A72601" w:rsidRPr="00122C95" w:rsidRDefault="00A72601" w:rsidP="00DF1E18">
            <w:pPr>
              <w:jc w:val="right"/>
              <w:rPr>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7D1518E5" w14:textId="7DA274A8" w:rsidR="00A72601" w:rsidRPr="00122C95" w:rsidRDefault="00A72601" w:rsidP="00DF1E18">
            <w:pPr>
              <w:jc w:val="right"/>
              <w:rPr>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2D68FF94" w14:textId="5C6249AA" w:rsidR="00A72601" w:rsidRPr="00122C95" w:rsidRDefault="00A72601" w:rsidP="00DF1E18">
            <w:pPr>
              <w:jc w:val="right"/>
              <w:rPr>
                <w:sz w:val="14"/>
                <w:szCs w:val="14"/>
                <w:lang w:eastAsia="es-AR"/>
              </w:rPr>
            </w:pPr>
            <w:r>
              <w:rPr>
                <w:rFonts w:ascii="Arial" w:hAnsi="Arial" w:cs="Arial"/>
                <w:sz w:val="14"/>
                <w:szCs w:val="14"/>
                <w:lang w:eastAsia="es-AR"/>
              </w:rPr>
              <w:t>-</w:t>
            </w:r>
          </w:p>
        </w:tc>
      </w:tr>
      <w:tr w:rsidR="00A72601" w:rsidRPr="00122C95" w14:paraId="68547875" w14:textId="77777777" w:rsidTr="006E1AF7">
        <w:trPr>
          <w:trHeight w:val="255"/>
        </w:trPr>
        <w:tc>
          <w:tcPr>
            <w:tcW w:w="2147" w:type="dxa"/>
            <w:tcBorders>
              <w:top w:val="nil"/>
              <w:left w:val="nil"/>
              <w:bottom w:val="nil"/>
              <w:right w:val="nil"/>
            </w:tcBorders>
            <w:shd w:val="clear" w:color="auto" w:fill="auto"/>
            <w:hideMark/>
          </w:tcPr>
          <w:p w14:paraId="168F4E80"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Personales</w:t>
            </w:r>
          </w:p>
        </w:tc>
        <w:tc>
          <w:tcPr>
            <w:tcW w:w="993" w:type="dxa"/>
            <w:tcBorders>
              <w:top w:val="nil"/>
              <w:left w:val="nil"/>
              <w:bottom w:val="nil"/>
              <w:right w:val="nil"/>
            </w:tcBorders>
            <w:shd w:val="clear" w:color="auto" w:fill="auto"/>
            <w:vAlign w:val="bottom"/>
          </w:tcPr>
          <w:p w14:paraId="12C34803" w14:textId="782D34B1" w:rsidR="00A72601"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14.462.784</w:t>
            </w:r>
          </w:p>
        </w:tc>
        <w:tc>
          <w:tcPr>
            <w:tcW w:w="763" w:type="dxa"/>
            <w:tcBorders>
              <w:top w:val="nil"/>
              <w:left w:val="nil"/>
              <w:bottom w:val="nil"/>
              <w:right w:val="nil"/>
            </w:tcBorders>
            <w:shd w:val="clear" w:color="auto" w:fill="auto"/>
            <w:vAlign w:val="bottom"/>
          </w:tcPr>
          <w:p w14:paraId="68AE67D0" w14:textId="41B0E9AE"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05D196C5" w14:textId="3B0199C5" w:rsidR="00A72601" w:rsidRPr="00122C95" w:rsidRDefault="00A72601" w:rsidP="00DF1E18">
            <w:pPr>
              <w:jc w:val="right"/>
              <w:rPr>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5491AEE0" w14:textId="4774E113" w:rsidR="00A72601" w:rsidRPr="00122C95" w:rsidRDefault="00A72601" w:rsidP="00DF1E18">
            <w:pPr>
              <w:jc w:val="right"/>
              <w:rPr>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73EEA0C3" w14:textId="69EB6CD1" w:rsidR="00A72601" w:rsidRPr="00122C95" w:rsidRDefault="00A72601" w:rsidP="00DF1E18">
            <w:pPr>
              <w:jc w:val="right"/>
              <w:rPr>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249A4D6E" w14:textId="07BA82BE" w:rsidR="00A72601" w:rsidRPr="00122C95" w:rsidRDefault="00A72601" w:rsidP="00DF1E18">
            <w:pPr>
              <w:jc w:val="right"/>
              <w:rPr>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4E9940B6" w14:textId="19366D52" w:rsidR="00A72601" w:rsidRPr="00122C95" w:rsidRDefault="00A72601" w:rsidP="00DF1E18">
            <w:pPr>
              <w:jc w:val="right"/>
              <w:rPr>
                <w:sz w:val="14"/>
                <w:szCs w:val="14"/>
                <w:lang w:eastAsia="es-AR"/>
              </w:rPr>
            </w:pPr>
            <w:r>
              <w:rPr>
                <w:rFonts w:ascii="Arial" w:hAnsi="Arial" w:cs="Arial"/>
                <w:sz w:val="14"/>
                <w:szCs w:val="14"/>
                <w:lang w:eastAsia="es-AR"/>
              </w:rPr>
              <w:t>-</w:t>
            </w:r>
          </w:p>
        </w:tc>
      </w:tr>
      <w:tr w:rsidR="00A72601" w:rsidRPr="00122C95" w14:paraId="2A53D6C4" w14:textId="77777777" w:rsidTr="006E1AF7">
        <w:trPr>
          <w:trHeight w:val="255"/>
        </w:trPr>
        <w:tc>
          <w:tcPr>
            <w:tcW w:w="2147" w:type="dxa"/>
            <w:tcBorders>
              <w:top w:val="nil"/>
              <w:left w:val="nil"/>
              <w:bottom w:val="nil"/>
              <w:right w:val="nil"/>
            </w:tcBorders>
            <w:shd w:val="clear" w:color="auto" w:fill="auto"/>
            <w:hideMark/>
          </w:tcPr>
          <w:p w14:paraId="0B9E0164"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Tarjetas de Crédito</w:t>
            </w:r>
          </w:p>
        </w:tc>
        <w:tc>
          <w:tcPr>
            <w:tcW w:w="993" w:type="dxa"/>
            <w:tcBorders>
              <w:top w:val="nil"/>
              <w:left w:val="nil"/>
              <w:bottom w:val="nil"/>
              <w:right w:val="nil"/>
            </w:tcBorders>
            <w:shd w:val="clear" w:color="auto" w:fill="auto"/>
            <w:vAlign w:val="bottom"/>
          </w:tcPr>
          <w:p w14:paraId="47A8077C" w14:textId="7A436846" w:rsidR="00A72601"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10.664.624</w:t>
            </w:r>
          </w:p>
        </w:tc>
        <w:tc>
          <w:tcPr>
            <w:tcW w:w="763" w:type="dxa"/>
            <w:tcBorders>
              <w:top w:val="nil"/>
              <w:left w:val="nil"/>
              <w:bottom w:val="nil"/>
              <w:right w:val="nil"/>
            </w:tcBorders>
            <w:shd w:val="clear" w:color="auto" w:fill="auto"/>
            <w:vAlign w:val="bottom"/>
          </w:tcPr>
          <w:p w14:paraId="1433F5B1" w14:textId="580CA267"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28655261" w14:textId="77BF2B6C" w:rsidR="00A72601" w:rsidRPr="00122C95" w:rsidRDefault="00A72601" w:rsidP="00DF1E18">
            <w:pPr>
              <w:jc w:val="right"/>
              <w:rPr>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52162D3A" w14:textId="7BF1BE8C" w:rsidR="00A72601" w:rsidRPr="00122C95" w:rsidRDefault="00A72601" w:rsidP="00DF1E18">
            <w:pPr>
              <w:jc w:val="right"/>
              <w:rPr>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37D1E9AE" w14:textId="04280BDB" w:rsidR="00A72601" w:rsidRPr="00122C95" w:rsidRDefault="00A72601" w:rsidP="00DF1E18">
            <w:pPr>
              <w:jc w:val="right"/>
              <w:rPr>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0AFE895D" w14:textId="0F5B81F1" w:rsidR="00A72601" w:rsidRPr="00122C95" w:rsidRDefault="00A72601" w:rsidP="00DF1E18">
            <w:pPr>
              <w:jc w:val="right"/>
              <w:rPr>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61E85D65" w14:textId="4494A290" w:rsidR="00A72601" w:rsidRPr="00122C95" w:rsidRDefault="00A72601" w:rsidP="00DF1E18">
            <w:pPr>
              <w:jc w:val="right"/>
              <w:rPr>
                <w:sz w:val="14"/>
                <w:szCs w:val="14"/>
                <w:lang w:eastAsia="es-AR"/>
              </w:rPr>
            </w:pPr>
            <w:r>
              <w:rPr>
                <w:rFonts w:ascii="Arial" w:hAnsi="Arial" w:cs="Arial"/>
                <w:sz w:val="14"/>
                <w:szCs w:val="14"/>
                <w:lang w:eastAsia="es-AR"/>
              </w:rPr>
              <w:t>-</w:t>
            </w:r>
          </w:p>
        </w:tc>
      </w:tr>
      <w:tr w:rsidR="00A72601" w:rsidRPr="00122C95" w14:paraId="33B7DD74" w14:textId="77777777" w:rsidTr="006E1AF7">
        <w:trPr>
          <w:trHeight w:val="255"/>
        </w:trPr>
        <w:tc>
          <w:tcPr>
            <w:tcW w:w="2147" w:type="dxa"/>
            <w:tcBorders>
              <w:top w:val="nil"/>
              <w:left w:val="nil"/>
              <w:bottom w:val="nil"/>
              <w:right w:val="nil"/>
            </w:tcBorders>
            <w:shd w:val="clear" w:color="auto" w:fill="auto"/>
            <w:hideMark/>
          </w:tcPr>
          <w:p w14:paraId="6D62E655"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Préstamos Comex</w:t>
            </w:r>
          </w:p>
        </w:tc>
        <w:tc>
          <w:tcPr>
            <w:tcW w:w="993" w:type="dxa"/>
            <w:tcBorders>
              <w:top w:val="nil"/>
              <w:left w:val="nil"/>
              <w:bottom w:val="nil"/>
              <w:right w:val="nil"/>
            </w:tcBorders>
            <w:shd w:val="clear" w:color="auto" w:fill="auto"/>
            <w:vAlign w:val="bottom"/>
          </w:tcPr>
          <w:p w14:paraId="062B2F83" w14:textId="7CD43AE8" w:rsidR="00A72601"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14.786.934</w:t>
            </w:r>
          </w:p>
        </w:tc>
        <w:tc>
          <w:tcPr>
            <w:tcW w:w="763" w:type="dxa"/>
            <w:tcBorders>
              <w:top w:val="nil"/>
              <w:left w:val="nil"/>
              <w:bottom w:val="nil"/>
              <w:right w:val="nil"/>
            </w:tcBorders>
            <w:shd w:val="clear" w:color="auto" w:fill="auto"/>
            <w:vAlign w:val="bottom"/>
          </w:tcPr>
          <w:p w14:paraId="41CA65F8" w14:textId="152D4801"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0CB6A979" w14:textId="0530121A" w:rsidR="00A72601" w:rsidRPr="00122C95" w:rsidRDefault="00A72601" w:rsidP="00DF1E18">
            <w:pPr>
              <w:jc w:val="right"/>
              <w:rPr>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56903A48" w14:textId="20332AB7" w:rsidR="00A72601" w:rsidRPr="00122C95" w:rsidRDefault="00A72601" w:rsidP="00DF1E18">
            <w:pPr>
              <w:jc w:val="right"/>
              <w:rPr>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7618C640" w14:textId="65FA7BF4" w:rsidR="00A72601" w:rsidRPr="00122C95" w:rsidRDefault="00A72601" w:rsidP="00DF1E18">
            <w:pPr>
              <w:jc w:val="right"/>
              <w:rPr>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2F7A8D3F" w14:textId="557238CC" w:rsidR="00A72601" w:rsidRPr="00122C95" w:rsidRDefault="00A72601" w:rsidP="00DF1E18">
            <w:pPr>
              <w:jc w:val="right"/>
              <w:rPr>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0B897771" w14:textId="19F9DF4D" w:rsidR="00A72601" w:rsidRPr="00122C95" w:rsidRDefault="00A72601" w:rsidP="00DF1E18">
            <w:pPr>
              <w:jc w:val="right"/>
              <w:rPr>
                <w:sz w:val="14"/>
                <w:szCs w:val="14"/>
                <w:lang w:eastAsia="es-AR"/>
              </w:rPr>
            </w:pPr>
            <w:r>
              <w:rPr>
                <w:rFonts w:ascii="Arial" w:hAnsi="Arial" w:cs="Arial"/>
                <w:sz w:val="14"/>
                <w:szCs w:val="14"/>
                <w:lang w:eastAsia="es-AR"/>
              </w:rPr>
              <w:t>-</w:t>
            </w:r>
          </w:p>
        </w:tc>
      </w:tr>
      <w:tr w:rsidR="00A72601" w:rsidRPr="00122C95" w14:paraId="2F9EDB45" w14:textId="77777777" w:rsidTr="006E1AF7">
        <w:trPr>
          <w:trHeight w:val="255"/>
        </w:trPr>
        <w:tc>
          <w:tcPr>
            <w:tcW w:w="2147" w:type="dxa"/>
            <w:tcBorders>
              <w:top w:val="nil"/>
              <w:left w:val="nil"/>
              <w:bottom w:val="nil"/>
              <w:right w:val="nil"/>
            </w:tcBorders>
            <w:shd w:val="clear" w:color="auto" w:fill="auto"/>
            <w:hideMark/>
          </w:tcPr>
          <w:p w14:paraId="2FB775D8"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Arrendamientos Financieros</w:t>
            </w:r>
          </w:p>
        </w:tc>
        <w:tc>
          <w:tcPr>
            <w:tcW w:w="993" w:type="dxa"/>
            <w:tcBorders>
              <w:top w:val="nil"/>
              <w:left w:val="nil"/>
              <w:bottom w:val="nil"/>
              <w:right w:val="nil"/>
            </w:tcBorders>
            <w:shd w:val="clear" w:color="auto" w:fill="auto"/>
            <w:vAlign w:val="bottom"/>
          </w:tcPr>
          <w:p w14:paraId="2C30BCFB" w14:textId="3E984915" w:rsidR="00A72601"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3.186.689</w:t>
            </w:r>
          </w:p>
        </w:tc>
        <w:tc>
          <w:tcPr>
            <w:tcW w:w="763" w:type="dxa"/>
            <w:tcBorders>
              <w:top w:val="nil"/>
              <w:left w:val="nil"/>
              <w:bottom w:val="nil"/>
              <w:right w:val="nil"/>
            </w:tcBorders>
            <w:shd w:val="clear" w:color="auto" w:fill="auto"/>
            <w:vAlign w:val="bottom"/>
          </w:tcPr>
          <w:p w14:paraId="64CEB708" w14:textId="21F843BF"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6950A38B" w14:textId="4C4BC7C2" w:rsidR="00A72601" w:rsidRPr="00122C95" w:rsidRDefault="00A72601" w:rsidP="00DF1E18">
            <w:pPr>
              <w:jc w:val="right"/>
              <w:rPr>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559EEC14" w14:textId="123B415C" w:rsidR="00A72601" w:rsidRPr="00122C95" w:rsidRDefault="00A72601" w:rsidP="00DF1E18">
            <w:pPr>
              <w:jc w:val="right"/>
              <w:rPr>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4CD39A46" w14:textId="06471EC6" w:rsidR="00A72601" w:rsidRPr="00122C95" w:rsidRDefault="00A72601" w:rsidP="00DF1E18">
            <w:pPr>
              <w:jc w:val="right"/>
              <w:rPr>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6CD2558E" w14:textId="717435D1" w:rsidR="00A72601" w:rsidRPr="00122C95" w:rsidRDefault="00A72601" w:rsidP="00DF1E18">
            <w:pPr>
              <w:jc w:val="right"/>
              <w:rPr>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5C291887" w14:textId="1241935B" w:rsidR="00A72601" w:rsidRPr="00122C95" w:rsidRDefault="00A72601" w:rsidP="00DF1E18">
            <w:pPr>
              <w:jc w:val="right"/>
              <w:rPr>
                <w:sz w:val="14"/>
                <w:szCs w:val="14"/>
                <w:lang w:eastAsia="es-AR"/>
              </w:rPr>
            </w:pPr>
            <w:r>
              <w:rPr>
                <w:rFonts w:ascii="Arial" w:hAnsi="Arial" w:cs="Arial"/>
                <w:sz w:val="14"/>
                <w:szCs w:val="14"/>
                <w:lang w:eastAsia="es-AR"/>
              </w:rPr>
              <w:t>-</w:t>
            </w:r>
          </w:p>
        </w:tc>
      </w:tr>
      <w:tr w:rsidR="00A72601" w:rsidRPr="00122C95" w14:paraId="181F5743" w14:textId="77777777" w:rsidTr="006E1AF7">
        <w:trPr>
          <w:trHeight w:val="80"/>
        </w:trPr>
        <w:tc>
          <w:tcPr>
            <w:tcW w:w="2147" w:type="dxa"/>
            <w:tcBorders>
              <w:top w:val="nil"/>
              <w:left w:val="nil"/>
              <w:bottom w:val="nil"/>
              <w:right w:val="nil"/>
            </w:tcBorders>
            <w:shd w:val="clear" w:color="auto" w:fill="auto"/>
            <w:hideMark/>
          </w:tcPr>
          <w:p w14:paraId="7C4EB2F1"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Otros</w:t>
            </w:r>
          </w:p>
        </w:tc>
        <w:tc>
          <w:tcPr>
            <w:tcW w:w="993" w:type="dxa"/>
            <w:tcBorders>
              <w:top w:val="nil"/>
              <w:left w:val="nil"/>
              <w:bottom w:val="nil"/>
              <w:right w:val="nil"/>
            </w:tcBorders>
            <w:shd w:val="clear" w:color="auto" w:fill="auto"/>
            <w:vAlign w:val="bottom"/>
          </w:tcPr>
          <w:p w14:paraId="7233AF53" w14:textId="09FDF11C" w:rsidR="00A72601" w:rsidRPr="00122C95" w:rsidRDefault="007D0A66" w:rsidP="00DF1E18">
            <w:pPr>
              <w:jc w:val="right"/>
              <w:rPr>
                <w:rFonts w:ascii="Arial" w:hAnsi="Arial" w:cs="Arial"/>
                <w:sz w:val="14"/>
                <w:szCs w:val="14"/>
                <w:lang w:eastAsia="es-AR"/>
              </w:rPr>
            </w:pPr>
            <w:r w:rsidRPr="007D0A66">
              <w:rPr>
                <w:rFonts w:ascii="Arial" w:hAnsi="Arial" w:cs="Arial"/>
                <w:sz w:val="14"/>
                <w:szCs w:val="14"/>
                <w:lang w:eastAsia="es-AR"/>
              </w:rPr>
              <w:t>5.830.374</w:t>
            </w:r>
          </w:p>
        </w:tc>
        <w:tc>
          <w:tcPr>
            <w:tcW w:w="763" w:type="dxa"/>
            <w:tcBorders>
              <w:top w:val="nil"/>
              <w:left w:val="nil"/>
              <w:bottom w:val="nil"/>
              <w:right w:val="nil"/>
            </w:tcBorders>
            <w:shd w:val="clear" w:color="auto" w:fill="auto"/>
            <w:vAlign w:val="bottom"/>
          </w:tcPr>
          <w:p w14:paraId="43D9F305" w14:textId="78BECA6B" w:rsidR="00A72601"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1B4CE800" w14:textId="4A686C32" w:rsidR="00A72601" w:rsidRPr="00122C95" w:rsidRDefault="00A72601" w:rsidP="00DF1E18">
            <w:pPr>
              <w:jc w:val="right"/>
              <w:rPr>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706D1207" w14:textId="230BA7C9" w:rsidR="00A72601" w:rsidRPr="00122C95" w:rsidRDefault="00A72601" w:rsidP="00DF1E18">
            <w:pPr>
              <w:jc w:val="right"/>
              <w:rPr>
                <w:sz w:val="14"/>
                <w:szCs w:val="14"/>
                <w:lang w:eastAsia="es-AR"/>
              </w:rPr>
            </w:pPr>
            <w:r>
              <w:rPr>
                <w:rFonts w:ascii="Arial" w:hAnsi="Arial" w:cs="Arial"/>
                <w:sz w:val="14"/>
                <w:szCs w:val="14"/>
                <w:lang w:eastAsia="es-AR"/>
              </w:rPr>
              <w:t>-</w:t>
            </w:r>
          </w:p>
        </w:tc>
        <w:tc>
          <w:tcPr>
            <w:tcW w:w="1659" w:type="dxa"/>
            <w:tcBorders>
              <w:top w:val="nil"/>
              <w:left w:val="nil"/>
              <w:bottom w:val="nil"/>
              <w:right w:val="nil"/>
            </w:tcBorders>
            <w:shd w:val="clear" w:color="auto" w:fill="auto"/>
            <w:vAlign w:val="bottom"/>
          </w:tcPr>
          <w:p w14:paraId="23598211" w14:textId="113099E5" w:rsidR="00A72601" w:rsidRPr="00122C95" w:rsidRDefault="00A72601" w:rsidP="00DF1E18">
            <w:pPr>
              <w:jc w:val="right"/>
              <w:rPr>
                <w:sz w:val="14"/>
                <w:szCs w:val="14"/>
                <w:lang w:eastAsia="es-AR"/>
              </w:rPr>
            </w:pPr>
            <w:r>
              <w:rPr>
                <w:rFonts w:ascii="Arial" w:hAnsi="Arial" w:cs="Arial"/>
                <w:sz w:val="14"/>
                <w:szCs w:val="14"/>
                <w:lang w:eastAsia="es-AR"/>
              </w:rPr>
              <w:t>-</w:t>
            </w:r>
          </w:p>
        </w:tc>
        <w:tc>
          <w:tcPr>
            <w:tcW w:w="997" w:type="dxa"/>
            <w:tcBorders>
              <w:top w:val="nil"/>
              <w:left w:val="nil"/>
              <w:bottom w:val="nil"/>
              <w:right w:val="nil"/>
            </w:tcBorders>
            <w:shd w:val="clear" w:color="auto" w:fill="auto"/>
            <w:vAlign w:val="bottom"/>
          </w:tcPr>
          <w:p w14:paraId="3BDF92D4" w14:textId="108CB1CC" w:rsidR="00A72601" w:rsidRPr="00122C95" w:rsidRDefault="00A72601" w:rsidP="00DF1E18">
            <w:pPr>
              <w:jc w:val="right"/>
              <w:rPr>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0B10A1E4" w14:textId="008D9D27" w:rsidR="00A72601" w:rsidRPr="00122C95" w:rsidRDefault="00A72601" w:rsidP="00DF1E18">
            <w:pPr>
              <w:jc w:val="right"/>
              <w:rPr>
                <w:sz w:val="14"/>
                <w:szCs w:val="14"/>
                <w:lang w:eastAsia="es-AR"/>
              </w:rPr>
            </w:pPr>
            <w:r>
              <w:rPr>
                <w:rFonts w:ascii="Arial" w:hAnsi="Arial" w:cs="Arial"/>
                <w:sz w:val="14"/>
                <w:szCs w:val="14"/>
                <w:lang w:eastAsia="es-AR"/>
              </w:rPr>
              <w:t>-</w:t>
            </w:r>
          </w:p>
        </w:tc>
      </w:tr>
      <w:tr w:rsidR="00C7765D" w:rsidRPr="00122C95" w14:paraId="48211817" w14:textId="77777777" w:rsidTr="006E1AF7">
        <w:trPr>
          <w:trHeight w:val="177"/>
        </w:trPr>
        <w:tc>
          <w:tcPr>
            <w:tcW w:w="2147" w:type="dxa"/>
            <w:tcBorders>
              <w:top w:val="nil"/>
              <w:left w:val="nil"/>
              <w:bottom w:val="nil"/>
              <w:right w:val="nil"/>
            </w:tcBorders>
            <w:shd w:val="clear" w:color="auto" w:fill="auto"/>
            <w:hideMark/>
          </w:tcPr>
          <w:p w14:paraId="056357FF" w14:textId="77777777" w:rsidR="00C7765D" w:rsidRPr="00122C95" w:rsidRDefault="00C7765D" w:rsidP="00257726">
            <w:pPr>
              <w:rPr>
                <w:sz w:val="14"/>
                <w:szCs w:val="14"/>
                <w:lang w:eastAsia="es-AR"/>
              </w:rPr>
            </w:pPr>
          </w:p>
        </w:tc>
        <w:tc>
          <w:tcPr>
            <w:tcW w:w="993" w:type="dxa"/>
            <w:tcBorders>
              <w:top w:val="nil"/>
              <w:left w:val="nil"/>
              <w:bottom w:val="nil"/>
              <w:right w:val="nil"/>
            </w:tcBorders>
            <w:shd w:val="clear" w:color="auto" w:fill="auto"/>
            <w:vAlign w:val="bottom"/>
          </w:tcPr>
          <w:p w14:paraId="4F337D05" w14:textId="77777777" w:rsidR="00C7765D" w:rsidRPr="00122C95" w:rsidRDefault="00C7765D" w:rsidP="00DF1E18">
            <w:pPr>
              <w:ind w:firstLineChars="200" w:firstLine="280"/>
              <w:jc w:val="right"/>
              <w:rPr>
                <w:sz w:val="14"/>
                <w:szCs w:val="14"/>
                <w:lang w:eastAsia="es-AR"/>
              </w:rPr>
            </w:pPr>
          </w:p>
        </w:tc>
        <w:tc>
          <w:tcPr>
            <w:tcW w:w="763" w:type="dxa"/>
            <w:tcBorders>
              <w:top w:val="nil"/>
              <w:left w:val="nil"/>
              <w:bottom w:val="nil"/>
              <w:right w:val="nil"/>
            </w:tcBorders>
            <w:shd w:val="clear" w:color="auto" w:fill="auto"/>
            <w:vAlign w:val="bottom"/>
          </w:tcPr>
          <w:p w14:paraId="0550092E" w14:textId="77777777" w:rsidR="00C7765D" w:rsidRPr="00122C95" w:rsidRDefault="00C7765D" w:rsidP="00DF1E18">
            <w:pPr>
              <w:jc w:val="right"/>
              <w:rPr>
                <w:sz w:val="14"/>
                <w:szCs w:val="14"/>
                <w:lang w:eastAsia="es-AR"/>
              </w:rPr>
            </w:pPr>
          </w:p>
        </w:tc>
        <w:tc>
          <w:tcPr>
            <w:tcW w:w="1360" w:type="dxa"/>
            <w:tcBorders>
              <w:top w:val="nil"/>
              <w:left w:val="nil"/>
              <w:bottom w:val="nil"/>
              <w:right w:val="nil"/>
            </w:tcBorders>
            <w:shd w:val="clear" w:color="auto" w:fill="auto"/>
            <w:vAlign w:val="bottom"/>
          </w:tcPr>
          <w:p w14:paraId="6A7CCD73" w14:textId="77777777" w:rsidR="00C7765D" w:rsidRPr="00122C95" w:rsidRDefault="00C7765D" w:rsidP="00DF1E18">
            <w:pPr>
              <w:jc w:val="right"/>
              <w:rPr>
                <w:sz w:val="14"/>
                <w:szCs w:val="14"/>
                <w:lang w:eastAsia="es-AR"/>
              </w:rPr>
            </w:pPr>
          </w:p>
        </w:tc>
        <w:tc>
          <w:tcPr>
            <w:tcW w:w="856" w:type="dxa"/>
            <w:tcBorders>
              <w:top w:val="nil"/>
              <w:left w:val="nil"/>
              <w:bottom w:val="nil"/>
              <w:right w:val="nil"/>
            </w:tcBorders>
            <w:shd w:val="clear" w:color="auto" w:fill="auto"/>
            <w:vAlign w:val="bottom"/>
          </w:tcPr>
          <w:p w14:paraId="50E2A744" w14:textId="77777777" w:rsidR="00C7765D" w:rsidRPr="00122C95" w:rsidRDefault="00C7765D" w:rsidP="00DF1E18">
            <w:pPr>
              <w:jc w:val="right"/>
              <w:rPr>
                <w:sz w:val="14"/>
                <w:szCs w:val="14"/>
                <w:lang w:eastAsia="es-AR"/>
              </w:rPr>
            </w:pPr>
          </w:p>
        </w:tc>
        <w:tc>
          <w:tcPr>
            <w:tcW w:w="1659" w:type="dxa"/>
            <w:tcBorders>
              <w:top w:val="nil"/>
              <w:left w:val="nil"/>
              <w:bottom w:val="nil"/>
              <w:right w:val="nil"/>
            </w:tcBorders>
            <w:shd w:val="clear" w:color="auto" w:fill="auto"/>
            <w:vAlign w:val="bottom"/>
          </w:tcPr>
          <w:p w14:paraId="2237CA86" w14:textId="77777777" w:rsidR="00C7765D" w:rsidRPr="00122C95" w:rsidRDefault="00C7765D" w:rsidP="00DF1E18">
            <w:pPr>
              <w:jc w:val="right"/>
              <w:rPr>
                <w:sz w:val="14"/>
                <w:szCs w:val="14"/>
                <w:lang w:eastAsia="es-AR"/>
              </w:rPr>
            </w:pPr>
          </w:p>
        </w:tc>
        <w:tc>
          <w:tcPr>
            <w:tcW w:w="997" w:type="dxa"/>
            <w:tcBorders>
              <w:top w:val="nil"/>
              <w:left w:val="nil"/>
              <w:bottom w:val="nil"/>
              <w:right w:val="nil"/>
            </w:tcBorders>
            <w:shd w:val="clear" w:color="auto" w:fill="auto"/>
            <w:vAlign w:val="bottom"/>
          </w:tcPr>
          <w:p w14:paraId="516142F5" w14:textId="77777777" w:rsidR="00C7765D" w:rsidRPr="00122C95" w:rsidRDefault="00C7765D" w:rsidP="00DF1E18">
            <w:pPr>
              <w:jc w:val="right"/>
              <w:rPr>
                <w:sz w:val="14"/>
                <w:szCs w:val="14"/>
                <w:lang w:eastAsia="es-AR"/>
              </w:rPr>
            </w:pPr>
          </w:p>
        </w:tc>
        <w:tc>
          <w:tcPr>
            <w:tcW w:w="716" w:type="dxa"/>
            <w:tcBorders>
              <w:top w:val="nil"/>
              <w:left w:val="nil"/>
              <w:bottom w:val="nil"/>
              <w:right w:val="nil"/>
            </w:tcBorders>
            <w:shd w:val="clear" w:color="auto" w:fill="auto"/>
            <w:vAlign w:val="bottom"/>
          </w:tcPr>
          <w:p w14:paraId="1B528766" w14:textId="77777777" w:rsidR="00C7765D" w:rsidRPr="00122C95" w:rsidRDefault="00C7765D" w:rsidP="00DF1E18">
            <w:pPr>
              <w:jc w:val="right"/>
              <w:rPr>
                <w:sz w:val="14"/>
                <w:szCs w:val="14"/>
                <w:lang w:eastAsia="es-AR"/>
              </w:rPr>
            </w:pPr>
          </w:p>
        </w:tc>
      </w:tr>
      <w:tr w:rsidR="00C7765D" w:rsidRPr="00122C95" w14:paraId="3B9B975A" w14:textId="77777777" w:rsidTr="006E1AF7">
        <w:trPr>
          <w:trHeight w:val="80"/>
        </w:trPr>
        <w:tc>
          <w:tcPr>
            <w:tcW w:w="2147" w:type="dxa"/>
            <w:tcBorders>
              <w:top w:val="nil"/>
              <w:left w:val="nil"/>
              <w:bottom w:val="nil"/>
              <w:right w:val="nil"/>
            </w:tcBorders>
            <w:shd w:val="clear" w:color="auto" w:fill="auto"/>
            <w:hideMark/>
          </w:tcPr>
          <w:p w14:paraId="38A6017F"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Otros Títulos de Deuda</w:t>
            </w:r>
          </w:p>
        </w:tc>
        <w:tc>
          <w:tcPr>
            <w:tcW w:w="993" w:type="dxa"/>
            <w:tcBorders>
              <w:top w:val="nil"/>
              <w:left w:val="nil"/>
              <w:bottom w:val="nil"/>
              <w:right w:val="nil"/>
            </w:tcBorders>
            <w:shd w:val="clear" w:color="auto" w:fill="auto"/>
            <w:vAlign w:val="bottom"/>
          </w:tcPr>
          <w:p w14:paraId="5394487E" w14:textId="1A4F0CAA" w:rsidR="00C7765D" w:rsidRPr="00122C95" w:rsidRDefault="00F7060A" w:rsidP="00DF1E18">
            <w:pPr>
              <w:jc w:val="right"/>
              <w:rPr>
                <w:rFonts w:ascii="Arial" w:hAnsi="Arial" w:cs="Arial"/>
                <w:sz w:val="14"/>
                <w:szCs w:val="14"/>
                <w:lang w:eastAsia="es-AR"/>
              </w:rPr>
            </w:pPr>
            <w:r w:rsidRPr="00F7060A">
              <w:rPr>
                <w:rFonts w:ascii="Arial" w:hAnsi="Arial" w:cs="Arial"/>
                <w:sz w:val="14"/>
                <w:szCs w:val="14"/>
                <w:lang w:eastAsia="es-AR"/>
              </w:rPr>
              <w:t>3.442.094</w:t>
            </w:r>
          </w:p>
        </w:tc>
        <w:tc>
          <w:tcPr>
            <w:tcW w:w="763" w:type="dxa"/>
            <w:tcBorders>
              <w:top w:val="nil"/>
              <w:left w:val="nil"/>
              <w:bottom w:val="nil"/>
              <w:right w:val="nil"/>
            </w:tcBorders>
            <w:shd w:val="clear" w:color="auto" w:fill="auto"/>
            <w:vAlign w:val="bottom"/>
          </w:tcPr>
          <w:p w14:paraId="7AADDE11" w14:textId="35E58029" w:rsidR="00C7765D" w:rsidRPr="00122C95" w:rsidRDefault="00F7060A" w:rsidP="00DF1E18">
            <w:pPr>
              <w:jc w:val="right"/>
              <w:rPr>
                <w:rFonts w:ascii="Arial" w:hAnsi="Arial" w:cs="Arial"/>
                <w:sz w:val="14"/>
                <w:szCs w:val="14"/>
                <w:lang w:eastAsia="es-AR"/>
              </w:rPr>
            </w:pPr>
            <w:r w:rsidRPr="00F7060A">
              <w:rPr>
                <w:rFonts w:ascii="Arial" w:hAnsi="Arial" w:cs="Arial"/>
                <w:sz w:val="14"/>
                <w:szCs w:val="14"/>
                <w:lang w:eastAsia="es-AR"/>
              </w:rPr>
              <w:t>7.171.171</w:t>
            </w:r>
          </w:p>
        </w:tc>
        <w:tc>
          <w:tcPr>
            <w:tcW w:w="1360" w:type="dxa"/>
            <w:tcBorders>
              <w:top w:val="nil"/>
              <w:left w:val="nil"/>
              <w:bottom w:val="nil"/>
              <w:right w:val="nil"/>
            </w:tcBorders>
            <w:shd w:val="clear" w:color="auto" w:fill="auto"/>
            <w:vAlign w:val="bottom"/>
          </w:tcPr>
          <w:p w14:paraId="7B2D1946" w14:textId="56CDB4DD" w:rsidR="00C7765D"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0C2F903D" w14:textId="08238C65" w:rsidR="00C7765D" w:rsidRPr="00122C95" w:rsidRDefault="00A72601" w:rsidP="00DF1E18">
            <w:pPr>
              <w:jc w:val="right"/>
              <w:rPr>
                <w:sz w:val="14"/>
                <w:szCs w:val="14"/>
                <w:lang w:eastAsia="es-AR"/>
              </w:rPr>
            </w:pPr>
            <w:r>
              <w:rPr>
                <w:sz w:val="14"/>
                <w:szCs w:val="14"/>
                <w:lang w:eastAsia="es-AR"/>
              </w:rPr>
              <w:t>-</w:t>
            </w:r>
          </w:p>
        </w:tc>
        <w:tc>
          <w:tcPr>
            <w:tcW w:w="1659" w:type="dxa"/>
            <w:tcBorders>
              <w:top w:val="nil"/>
              <w:left w:val="nil"/>
              <w:bottom w:val="nil"/>
              <w:right w:val="nil"/>
            </w:tcBorders>
            <w:shd w:val="clear" w:color="auto" w:fill="auto"/>
            <w:vAlign w:val="bottom"/>
          </w:tcPr>
          <w:p w14:paraId="17BD26BD" w14:textId="2C446813" w:rsidR="00C7765D" w:rsidRPr="00122C95" w:rsidRDefault="00F7060A" w:rsidP="00DF1E18">
            <w:pPr>
              <w:jc w:val="right"/>
              <w:rPr>
                <w:rFonts w:ascii="Arial" w:hAnsi="Arial" w:cs="Arial"/>
                <w:sz w:val="14"/>
                <w:szCs w:val="14"/>
                <w:lang w:eastAsia="es-AR"/>
              </w:rPr>
            </w:pPr>
            <w:r w:rsidRPr="00F7060A">
              <w:rPr>
                <w:rFonts w:ascii="Arial" w:hAnsi="Arial" w:cs="Arial"/>
                <w:sz w:val="14"/>
                <w:szCs w:val="14"/>
                <w:lang w:eastAsia="es-AR"/>
              </w:rPr>
              <w:t>7.171.171</w:t>
            </w:r>
          </w:p>
        </w:tc>
        <w:tc>
          <w:tcPr>
            <w:tcW w:w="997" w:type="dxa"/>
            <w:tcBorders>
              <w:top w:val="nil"/>
              <w:left w:val="nil"/>
              <w:bottom w:val="nil"/>
              <w:right w:val="nil"/>
            </w:tcBorders>
            <w:shd w:val="clear" w:color="auto" w:fill="auto"/>
            <w:vAlign w:val="bottom"/>
          </w:tcPr>
          <w:p w14:paraId="4E83EB70" w14:textId="2CA068A4" w:rsidR="00C7765D"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35EC0C2B" w14:textId="20DB13B4" w:rsidR="00C7765D" w:rsidRPr="00122C95" w:rsidRDefault="00A72601" w:rsidP="00DF1E18">
            <w:pPr>
              <w:jc w:val="right"/>
              <w:rPr>
                <w:sz w:val="14"/>
                <w:szCs w:val="14"/>
                <w:lang w:eastAsia="es-AR"/>
              </w:rPr>
            </w:pPr>
            <w:r>
              <w:rPr>
                <w:sz w:val="14"/>
                <w:szCs w:val="14"/>
                <w:lang w:eastAsia="es-AR"/>
              </w:rPr>
              <w:t>-</w:t>
            </w:r>
          </w:p>
        </w:tc>
      </w:tr>
      <w:tr w:rsidR="00C7765D" w:rsidRPr="00122C95" w14:paraId="27866F15" w14:textId="77777777" w:rsidTr="006E1AF7">
        <w:trPr>
          <w:trHeight w:val="125"/>
        </w:trPr>
        <w:tc>
          <w:tcPr>
            <w:tcW w:w="2147" w:type="dxa"/>
            <w:tcBorders>
              <w:top w:val="nil"/>
              <w:left w:val="nil"/>
              <w:bottom w:val="nil"/>
              <w:right w:val="nil"/>
            </w:tcBorders>
            <w:shd w:val="clear" w:color="auto" w:fill="auto"/>
            <w:hideMark/>
          </w:tcPr>
          <w:p w14:paraId="5B0A2758" w14:textId="77777777" w:rsidR="00C7765D" w:rsidRPr="00122C95" w:rsidRDefault="00C7765D" w:rsidP="00257726">
            <w:pPr>
              <w:rPr>
                <w:sz w:val="14"/>
                <w:szCs w:val="14"/>
                <w:lang w:eastAsia="es-AR"/>
              </w:rPr>
            </w:pPr>
          </w:p>
        </w:tc>
        <w:tc>
          <w:tcPr>
            <w:tcW w:w="993" w:type="dxa"/>
            <w:tcBorders>
              <w:top w:val="nil"/>
              <w:left w:val="nil"/>
              <w:bottom w:val="nil"/>
              <w:right w:val="nil"/>
            </w:tcBorders>
            <w:shd w:val="clear" w:color="auto" w:fill="auto"/>
            <w:vAlign w:val="bottom"/>
          </w:tcPr>
          <w:p w14:paraId="2F943808" w14:textId="77777777" w:rsidR="00C7765D" w:rsidRPr="00122C95" w:rsidRDefault="00C7765D" w:rsidP="00DF1E18">
            <w:pPr>
              <w:jc w:val="right"/>
              <w:rPr>
                <w:sz w:val="14"/>
                <w:szCs w:val="14"/>
                <w:lang w:eastAsia="es-AR"/>
              </w:rPr>
            </w:pPr>
          </w:p>
        </w:tc>
        <w:tc>
          <w:tcPr>
            <w:tcW w:w="763" w:type="dxa"/>
            <w:tcBorders>
              <w:top w:val="nil"/>
              <w:left w:val="nil"/>
              <w:bottom w:val="nil"/>
              <w:right w:val="nil"/>
            </w:tcBorders>
            <w:shd w:val="clear" w:color="auto" w:fill="auto"/>
            <w:vAlign w:val="bottom"/>
          </w:tcPr>
          <w:p w14:paraId="6436554F" w14:textId="77777777" w:rsidR="00C7765D" w:rsidRPr="00122C95" w:rsidRDefault="00C7765D" w:rsidP="00DF1E18">
            <w:pPr>
              <w:jc w:val="right"/>
              <w:rPr>
                <w:sz w:val="14"/>
                <w:szCs w:val="14"/>
                <w:lang w:eastAsia="es-AR"/>
              </w:rPr>
            </w:pPr>
          </w:p>
        </w:tc>
        <w:tc>
          <w:tcPr>
            <w:tcW w:w="1360" w:type="dxa"/>
            <w:tcBorders>
              <w:top w:val="nil"/>
              <w:left w:val="nil"/>
              <w:bottom w:val="nil"/>
              <w:right w:val="nil"/>
            </w:tcBorders>
            <w:shd w:val="clear" w:color="auto" w:fill="auto"/>
            <w:vAlign w:val="bottom"/>
          </w:tcPr>
          <w:p w14:paraId="13739FB4" w14:textId="77777777" w:rsidR="00C7765D" w:rsidRPr="00122C95" w:rsidRDefault="00C7765D" w:rsidP="00DF1E18">
            <w:pPr>
              <w:jc w:val="right"/>
              <w:rPr>
                <w:sz w:val="14"/>
                <w:szCs w:val="14"/>
                <w:lang w:eastAsia="es-AR"/>
              </w:rPr>
            </w:pPr>
          </w:p>
        </w:tc>
        <w:tc>
          <w:tcPr>
            <w:tcW w:w="856" w:type="dxa"/>
            <w:tcBorders>
              <w:top w:val="nil"/>
              <w:left w:val="nil"/>
              <w:bottom w:val="nil"/>
              <w:right w:val="nil"/>
            </w:tcBorders>
            <w:shd w:val="clear" w:color="auto" w:fill="auto"/>
            <w:vAlign w:val="bottom"/>
          </w:tcPr>
          <w:p w14:paraId="55C2745C" w14:textId="77777777" w:rsidR="00C7765D" w:rsidRPr="00122C95" w:rsidRDefault="00C7765D" w:rsidP="00DF1E18">
            <w:pPr>
              <w:jc w:val="right"/>
              <w:rPr>
                <w:sz w:val="14"/>
                <w:szCs w:val="14"/>
                <w:lang w:eastAsia="es-AR"/>
              </w:rPr>
            </w:pPr>
          </w:p>
        </w:tc>
        <w:tc>
          <w:tcPr>
            <w:tcW w:w="1659" w:type="dxa"/>
            <w:tcBorders>
              <w:top w:val="nil"/>
              <w:left w:val="nil"/>
              <w:bottom w:val="nil"/>
              <w:right w:val="nil"/>
            </w:tcBorders>
            <w:shd w:val="clear" w:color="auto" w:fill="auto"/>
            <w:vAlign w:val="bottom"/>
          </w:tcPr>
          <w:p w14:paraId="1FF6E190" w14:textId="77777777" w:rsidR="00C7765D" w:rsidRPr="00122C95" w:rsidRDefault="00C7765D" w:rsidP="00DF1E18">
            <w:pPr>
              <w:jc w:val="right"/>
              <w:rPr>
                <w:sz w:val="14"/>
                <w:szCs w:val="14"/>
                <w:lang w:eastAsia="es-AR"/>
              </w:rPr>
            </w:pPr>
          </w:p>
        </w:tc>
        <w:tc>
          <w:tcPr>
            <w:tcW w:w="997" w:type="dxa"/>
            <w:tcBorders>
              <w:top w:val="nil"/>
              <w:left w:val="nil"/>
              <w:bottom w:val="nil"/>
              <w:right w:val="nil"/>
            </w:tcBorders>
            <w:shd w:val="clear" w:color="auto" w:fill="auto"/>
            <w:vAlign w:val="bottom"/>
          </w:tcPr>
          <w:p w14:paraId="5D38199E" w14:textId="77777777" w:rsidR="00C7765D" w:rsidRPr="00122C95" w:rsidRDefault="00C7765D" w:rsidP="00DF1E18">
            <w:pPr>
              <w:jc w:val="right"/>
              <w:rPr>
                <w:sz w:val="14"/>
                <w:szCs w:val="14"/>
                <w:lang w:eastAsia="es-AR"/>
              </w:rPr>
            </w:pPr>
          </w:p>
        </w:tc>
        <w:tc>
          <w:tcPr>
            <w:tcW w:w="716" w:type="dxa"/>
            <w:tcBorders>
              <w:top w:val="nil"/>
              <w:left w:val="nil"/>
              <w:bottom w:val="nil"/>
              <w:right w:val="nil"/>
            </w:tcBorders>
            <w:shd w:val="clear" w:color="auto" w:fill="auto"/>
            <w:vAlign w:val="bottom"/>
          </w:tcPr>
          <w:p w14:paraId="4C3BA71A" w14:textId="77777777" w:rsidR="00C7765D" w:rsidRPr="00122C95" w:rsidRDefault="00C7765D" w:rsidP="00DF1E18">
            <w:pPr>
              <w:jc w:val="right"/>
              <w:rPr>
                <w:sz w:val="14"/>
                <w:szCs w:val="14"/>
                <w:lang w:eastAsia="es-AR"/>
              </w:rPr>
            </w:pPr>
          </w:p>
        </w:tc>
      </w:tr>
      <w:tr w:rsidR="00C7765D" w:rsidRPr="00122C95" w14:paraId="215344AF" w14:textId="77777777" w:rsidTr="006E1AF7">
        <w:trPr>
          <w:trHeight w:val="80"/>
        </w:trPr>
        <w:tc>
          <w:tcPr>
            <w:tcW w:w="2147" w:type="dxa"/>
            <w:tcBorders>
              <w:top w:val="nil"/>
              <w:left w:val="nil"/>
              <w:bottom w:val="nil"/>
              <w:right w:val="nil"/>
            </w:tcBorders>
            <w:shd w:val="clear" w:color="auto" w:fill="auto"/>
            <w:hideMark/>
          </w:tcPr>
          <w:p w14:paraId="6B603BEA"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Activos financieros entregados en garantía</w:t>
            </w:r>
          </w:p>
        </w:tc>
        <w:tc>
          <w:tcPr>
            <w:tcW w:w="993" w:type="dxa"/>
            <w:tcBorders>
              <w:top w:val="nil"/>
              <w:left w:val="nil"/>
              <w:bottom w:val="nil"/>
              <w:right w:val="nil"/>
            </w:tcBorders>
            <w:shd w:val="clear" w:color="auto" w:fill="auto"/>
            <w:vAlign w:val="bottom"/>
          </w:tcPr>
          <w:p w14:paraId="65E75E31" w14:textId="7104C214" w:rsidR="00C7765D" w:rsidRPr="00122C95" w:rsidRDefault="007D0A66" w:rsidP="00DF1E18">
            <w:pPr>
              <w:jc w:val="right"/>
              <w:rPr>
                <w:rFonts w:ascii="Arial" w:hAnsi="Arial" w:cs="Arial"/>
                <w:sz w:val="14"/>
                <w:szCs w:val="14"/>
                <w:lang w:eastAsia="es-AR"/>
              </w:rPr>
            </w:pPr>
            <w:r>
              <w:rPr>
                <w:rFonts w:ascii="Arial" w:hAnsi="Arial" w:cs="Arial"/>
                <w:sz w:val="14"/>
                <w:szCs w:val="14"/>
                <w:lang w:eastAsia="es-AR"/>
              </w:rPr>
              <w:t>-</w:t>
            </w:r>
          </w:p>
        </w:tc>
        <w:tc>
          <w:tcPr>
            <w:tcW w:w="763" w:type="dxa"/>
            <w:tcBorders>
              <w:top w:val="nil"/>
              <w:left w:val="nil"/>
              <w:bottom w:val="nil"/>
              <w:right w:val="nil"/>
            </w:tcBorders>
            <w:shd w:val="clear" w:color="auto" w:fill="auto"/>
            <w:vAlign w:val="bottom"/>
          </w:tcPr>
          <w:p w14:paraId="78156413" w14:textId="3ACAEAB9" w:rsidR="00C7765D" w:rsidRPr="00122C95" w:rsidRDefault="00A72601" w:rsidP="00DF1E18">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67AD2AC8" w14:textId="1C870DE3" w:rsidR="00C7765D" w:rsidRPr="00122C95" w:rsidRDefault="007C5B29" w:rsidP="00DF1E18">
            <w:pPr>
              <w:jc w:val="right"/>
              <w:rPr>
                <w:sz w:val="14"/>
                <w:szCs w:val="14"/>
                <w:lang w:eastAsia="es-AR"/>
              </w:rPr>
            </w:pPr>
            <w:r>
              <w:rPr>
                <w:sz w:val="14"/>
                <w:szCs w:val="14"/>
                <w:lang w:eastAsia="es-AR"/>
              </w:rPr>
              <w:t>-</w:t>
            </w:r>
          </w:p>
        </w:tc>
        <w:tc>
          <w:tcPr>
            <w:tcW w:w="856" w:type="dxa"/>
            <w:tcBorders>
              <w:top w:val="nil"/>
              <w:left w:val="nil"/>
              <w:bottom w:val="nil"/>
              <w:right w:val="nil"/>
            </w:tcBorders>
            <w:shd w:val="clear" w:color="auto" w:fill="auto"/>
            <w:vAlign w:val="bottom"/>
          </w:tcPr>
          <w:p w14:paraId="794F1A7D" w14:textId="21950D53" w:rsidR="00C7765D" w:rsidRPr="00122C95" w:rsidRDefault="00A72601" w:rsidP="00DF1E18">
            <w:pPr>
              <w:jc w:val="right"/>
              <w:rPr>
                <w:rFonts w:ascii="Arial" w:hAnsi="Arial" w:cs="Arial"/>
                <w:sz w:val="14"/>
                <w:szCs w:val="14"/>
                <w:lang w:eastAsia="es-AR"/>
              </w:rPr>
            </w:pPr>
            <w:r w:rsidRPr="00A72601">
              <w:rPr>
                <w:rFonts w:ascii="Arial" w:hAnsi="Arial" w:cs="Arial"/>
                <w:sz w:val="14"/>
                <w:szCs w:val="14"/>
                <w:lang w:eastAsia="es-AR"/>
              </w:rPr>
              <w:t>4.924.540</w:t>
            </w:r>
          </w:p>
        </w:tc>
        <w:tc>
          <w:tcPr>
            <w:tcW w:w="1659" w:type="dxa"/>
            <w:tcBorders>
              <w:top w:val="nil"/>
              <w:left w:val="nil"/>
              <w:bottom w:val="nil"/>
              <w:right w:val="nil"/>
            </w:tcBorders>
            <w:shd w:val="clear" w:color="auto" w:fill="auto"/>
            <w:vAlign w:val="bottom"/>
          </w:tcPr>
          <w:p w14:paraId="6AB81376" w14:textId="2E66DA21" w:rsidR="00C7765D" w:rsidRPr="00122C95" w:rsidRDefault="00A72601" w:rsidP="00DF1E18">
            <w:pPr>
              <w:jc w:val="right"/>
              <w:rPr>
                <w:rFonts w:ascii="Arial" w:hAnsi="Arial" w:cs="Arial"/>
                <w:sz w:val="14"/>
                <w:szCs w:val="14"/>
                <w:lang w:eastAsia="es-AR"/>
              </w:rPr>
            </w:pPr>
            <w:r w:rsidRPr="00A72601">
              <w:rPr>
                <w:rFonts w:ascii="Arial" w:hAnsi="Arial" w:cs="Arial"/>
                <w:sz w:val="14"/>
                <w:szCs w:val="14"/>
                <w:lang w:eastAsia="es-AR"/>
              </w:rPr>
              <w:t>4.924.540</w:t>
            </w:r>
          </w:p>
        </w:tc>
        <w:tc>
          <w:tcPr>
            <w:tcW w:w="997" w:type="dxa"/>
            <w:tcBorders>
              <w:top w:val="nil"/>
              <w:left w:val="nil"/>
              <w:bottom w:val="nil"/>
              <w:right w:val="nil"/>
            </w:tcBorders>
            <w:shd w:val="clear" w:color="auto" w:fill="auto"/>
            <w:vAlign w:val="bottom"/>
          </w:tcPr>
          <w:p w14:paraId="32CF7EFE" w14:textId="47E7FBA9" w:rsidR="00C7765D" w:rsidRPr="00122C95" w:rsidRDefault="00004D2F" w:rsidP="00DF1E18">
            <w:pPr>
              <w:jc w:val="right"/>
              <w:rPr>
                <w:rFonts w:ascii="Arial" w:hAnsi="Arial" w:cs="Arial"/>
                <w:sz w:val="14"/>
                <w:szCs w:val="14"/>
                <w:lang w:eastAsia="es-AR"/>
              </w:rPr>
            </w:pPr>
            <w:r>
              <w:rPr>
                <w:rFonts w:ascii="Arial" w:hAnsi="Arial" w:cs="Arial"/>
                <w:sz w:val="14"/>
                <w:szCs w:val="14"/>
                <w:lang w:eastAsia="es-AR"/>
              </w:rPr>
              <w:t>-</w:t>
            </w:r>
          </w:p>
        </w:tc>
        <w:tc>
          <w:tcPr>
            <w:tcW w:w="716" w:type="dxa"/>
            <w:tcBorders>
              <w:top w:val="nil"/>
              <w:left w:val="nil"/>
              <w:bottom w:val="nil"/>
              <w:right w:val="nil"/>
            </w:tcBorders>
            <w:shd w:val="clear" w:color="auto" w:fill="auto"/>
            <w:vAlign w:val="bottom"/>
          </w:tcPr>
          <w:p w14:paraId="5D47AA0B" w14:textId="29AE6048" w:rsidR="00C7765D" w:rsidRPr="00122C95" w:rsidRDefault="00004D2F" w:rsidP="00DF1E18">
            <w:pPr>
              <w:jc w:val="right"/>
              <w:rPr>
                <w:sz w:val="14"/>
                <w:szCs w:val="14"/>
                <w:lang w:eastAsia="es-AR"/>
              </w:rPr>
            </w:pPr>
            <w:r>
              <w:rPr>
                <w:sz w:val="14"/>
                <w:szCs w:val="14"/>
                <w:lang w:eastAsia="es-AR"/>
              </w:rPr>
              <w:t>-</w:t>
            </w:r>
          </w:p>
        </w:tc>
      </w:tr>
      <w:tr w:rsidR="00C7765D" w:rsidRPr="00122C95" w14:paraId="102EE43D" w14:textId="77777777" w:rsidTr="006E1AF7">
        <w:trPr>
          <w:trHeight w:val="80"/>
        </w:trPr>
        <w:tc>
          <w:tcPr>
            <w:tcW w:w="2147" w:type="dxa"/>
            <w:tcBorders>
              <w:top w:val="nil"/>
              <w:left w:val="nil"/>
              <w:bottom w:val="nil"/>
              <w:right w:val="nil"/>
            </w:tcBorders>
            <w:shd w:val="clear" w:color="auto" w:fill="auto"/>
            <w:hideMark/>
          </w:tcPr>
          <w:p w14:paraId="127EBB81" w14:textId="77777777" w:rsidR="00C7765D" w:rsidRPr="00122C95" w:rsidRDefault="00C7765D" w:rsidP="00257726">
            <w:pPr>
              <w:rPr>
                <w:sz w:val="14"/>
                <w:szCs w:val="14"/>
                <w:lang w:eastAsia="es-AR"/>
              </w:rPr>
            </w:pPr>
          </w:p>
        </w:tc>
        <w:tc>
          <w:tcPr>
            <w:tcW w:w="993" w:type="dxa"/>
            <w:tcBorders>
              <w:top w:val="nil"/>
              <w:left w:val="nil"/>
              <w:bottom w:val="nil"/>
              <w:right w:val="nil"/>
            </w:tcBorders>
            <w:shd w:val="clear" w:color="auto" w:fill="auto"/>
            <w:vAlign w:val="bottom"/>
          </w:tcPr>
          <w:p w14:paraId="22EBF3BF" w14:textId="77777777" w:rsidR="00C7765D" w:rsidRPr="00122C95" w:rsidRDefault="00C7765D" w:rsidP="00DF1E18">
            <w:pPr>
              <w:jc w:val="right"/>
              <w:rPr>
                <w:sz w:val="14"/>
                <w:szCs w:val="14"/>
                <w:lang w:eastAsia="es-AR"/>
              </w:rPr>
            </w:pPr>
          </w:p>
        </w:tc>
        <w:tc>
          <w:tcPr>
            <w:tcW w:w="763" w:type="dxa"/>
            <w:tcBorders>
              <w:top w:val="nil"/>
              <w:left w:val="nil"/>
              <w:bottom w:val="nil"/>
              <w:right w:val="nil"/>
            </w:tcBorders>
            <w:shd w:val="clear" w:color="auto" w:fill="auto"/>
            <w:vAlign w:val="bottom"/>
          </w:tcPr>
          <w:p w14:paraId="50F29C7C" w14:textId="77777777" w:rsidR="00C7765D" w:rsidRPr="00122C95" w:rsidRDefault="00C7765D" w:rsidP="00DF1E18">
            <w:pPr>
              <w:jc w:val="right"/>
              <w:rPr>
                <w:sz w:val="14"/>
                <w:szCs w:val="14"/>
                <w:lang w:eastAsia="es-AR"/>
              </w:rPr>
            </w:pPr>
          </w:p>
        </w:tc>
        <w:tc>
          <w:tcPr>
            <w:tcW w:w="1360" w:type="dxa"/>
            <w:tcBorders>
              <w:top w:val="nil"/>
              <w:left w:val="nil"/>
              <w:bottom w:val="nil"/>
              <w:right w:val="nil"/>
            </w:tcBorders>
            <w:shd w:val="clear" w:color="auto" w:fill="auto"/>
            <w:vAlign w:val="bottom"/>
          </w:tcPr>
          <w:p w14:paraId="066A206F" w14:textId="77777777" w:rsidR="00C7765D" w:rsidRPr="00122C95" w:rsidRDefault="00C7765D" w:rsidP="00DF1E18">
            <w:pPr>
              <w:jc w:val="right"/>
              <w:rPr>
                <w:sz w:val="14"/>
                <w:szCs w:val="14"/>
                <w:lang w:eastAsia="es-AR"/>
              </w:rPr>
            </w:pPr>
          </w:p>
        </w:tc>
        <w:tc>
          <w:tcPr>
            <w:tcW w:w="856" w:type="dxa"/>
            <w:tcBorders>
              <w:top w:val="nil"/>
              <w:left w:val="nil"/>
              <w:bottom w:val="nil"/>
              <w:right w:val="nil"/>
            </w:tcBorders>
            <w:shd w:val="clear" w:color="auto" w:fill="auto"/>
            <w:vAlign w:val="bottom"/>
          </w:tcPr>
          <w:p w14:paraId="306AFE91" w14:textId="77777777" w:rsidR="00C7765D" w:rsidRPr="00122C95" w:rsidRDefault="00C7765D" w:rsidP="00DF1E18">
            <w:pPr>
              <w:jc w:val="right"/>
              <w:rPr>
                <w:sz w:val="14"/>
                <w:szCs w:val="14"/>
                <w:lang w:eastAsia="es-AR"/>
              </w:rPr>
            </w:pPr>
          </w:p>
        </w:tc>
        <w:tc>
          <w:tcPr>
            <w:tcW w:w="1659" w:type="dxa"/>
            <w:tcBorders>
              <w:top w:val="nil"/>
              <w:left w:val="nil"/>
              <w:bottom w:val="nil"/>
              <w:right w:val="nil"/>
            </w:tcBorders>
            <w:shd w:val="clear" w:color="auto" w:fill="auto"/>
            <w:vAlign w:val="bottom"/>
          </w:tcPr>
          <w:p w14:paraId="13B4DC04" w14:textId="77777777" w:rsidR="00C7765D" w:rsidRPr="00122C95" w:rsidRDefault="00C7765D" w:rsidP="00DF1E18">
            <w:pPr>
              <w:jc w:val="right"/>
              <w:rPr>
                <w:sz w:val="14"/>
                <w:szCs w:val="14"/>
                <w:lang w:eastAsia="es-AR"/>
              </w:rPr>
            </w:pPr>
          </w:p>
        </w:tc>
        <w:tc>
          <w:tcPr>
            <w:tcW w:w="997" w:type="dxa"/>
            <w:tcBorders>
              <w:top w:val="nil"/>
              <w:left w:val="nil"/>
              <w:bottom w:val="nil"/>
              <w:right w:val="nil"/>
            </w:tcBorders>
            <w:shd w:val="clear" w:color="auto" w:fill="auto"/>
            <w:vAlign w:val="bottom"/>
          </w:tcPr>
          <w:p w14:paraId="1C69490A" w14:textId="77777777" w:rsidR="00C7765D" w:rsidRPr="00122C95" w:rsidRDefault="00C7765D" w:rsidP="00DF1E18">
            <w:pPr>
              <w:jc w:val="right"/>
              <w:rPr>
                <w:sz w:val="14"/>
                <w:szCs w:val="14"/>
                <w:lang w:eastAsia="es-AR"/>
              </w:rPr>
            </w:pPr>
          </w:p>
        </w:tc>
        <w:tc>
          <w:tcPr>
            <w:tcW w:w="716" w:type="dxa"/>
            <w:tcBorders>
              <w:top w:val="nil"/>
              <w:left w:val="nil"/>
              <w:bottom w:val="nil"/>
              <w:right w:val="nil"/>
            </w:tcBorders>
            <w:shd w:val="clear" w:color="auto" w:fill="auto"/>
            <w:vAlign w:val="bottom"/>
          </w:tcPr>
          <w:p w14:paraId="0E23D855" w14:textId="77777777" w:rsidR="00C7765D" w:rsidRPr="00122C95" w:rsidRDefault="00C7765D" w:rsidP="00DF1E18">
            <w:pPr>
              <w:jc w:val="right"/>
              <w:rPr>
                <w:sz w:val="14"/>
                <w:szCs w:val="14"/>
                <w:lang w:eastAsia="es-AR"/>
              </w:rPr>
            </w:pPr>
          </w:p>
        </w:tc>
      </w:tr>
      <w:tr w:rsidR="00A72601" w:rsidRPr="00122C95" w14:paraId="34156346" w14:textId="77777777" w:rsidTr="006E1AF7">
        <w:trPr>
          <w:trHeight w:val="80"/>
        </w:trPr>
        <w:tc>
          <w:tcPr>
            <w:tcW w:w="2147" w:type="dxa"/>
            <w:tcBorders>
              <w:top w:val="nil"/>
              <w:left w:val="nil"/>
              <w:bottom w:val="nil"/>
              <w:right w:val="nil"/>
            </w:tcBorders>
            <w:shd w:val="clear" w:color="auto" w:fill="auto"/>
            <w:hideMark/>
          </w:tcPr>
          <w:p w14:paraId="71F6A3D7" w14:textId="77777777" w:rsidR="00A72601" w:rsidRPr="00122C95" w:rsidRDefault="00A72601" w:rsidP="00A72601">
            <w:pPr>
              <w:rPr>
                <w:rFonts w:ascii="Arial" w:hAnsi="Arial" w:cs="Arial"/>
                <w:b/>
                <w:bCs/>
                <w:sz w:val="14"/>
                <w:szCs w:val="14"/>
                <w:lang w:eastAsia="es-AR"/>
              </w:rPr>
            </w:pPr>
            <w:r w:rsidRPr="00122C95">
              <w:rPr>
                <w:rFonts w:ascii="Arial" w:hAnsi="Arial" w:cs="Arial"/>
                <w:b/>
                <w:bCs/>
                <w:sz w:val="14"/>
                <w:szCs w:val="14"/>
                <w:lang w:eastAsia="es-AR"/>
              </w:rPr>
              <w:t>Inversiones en Instrumentos de Patrimonio</w:t>
            </w:r>
          </w:p>
        </w:tc>
        <w:tc>
          <w:tcPr>
            <w:tcW w:w="993" w:type="dxa"/>
            <w:tcBorders>
              <w:top w:val="nil"/>
              <w:left w:val="nil"/>
              <w:bottom w:val="nil"/>
              <w:right w:val="nil"/>
            </w:tcBorders>
            <w:shd w:val="clear" w:color="auto" w:fill="auto"/>
            <w:vAlign w:val="bottom"/>
          </w:tcPr>
          <w:p w14:paraId="1DF86B57" w14:textId="5E8FFA39" w:rsidR="00A72601" w:rsidRPr="00122C95" w:rsidRDefault="00A72601" w:rsidP="00DF1E18">
            <w:pPr>
              <w:jc w:val="right"/>
              <w:rPr>
                <w:rFonts w:ascii="Arial" w:hAnsi="Arial" w:cs="Arial"/>
                <w:b/>
                <w:bCs/>
                <w:sz w:val="14"/>
                <w:szCs w:val="14"/>
                <w:lang w:eastAsia="es-AR"/>
              </w:rPr>
            </w:pPr>
            <w:r>
              <w:rPr>
                <w:rFonts w:ascii="Arial" w:hAnsi="Arial" w:cs="Arial"/>
                <w:b/>
                <w:bCs/>
                <w:sz w:val="14"/>
                <w:szCs w:val="14"/>
                <w:lang w:eastAsia="es-AR"/>
              </w:rPr>
              <w:t>-</w:t>
            </w:r>
          </w:p>
        </w:tc>
        <w:tc>
          <w:tcPr>
            <w:tcW w:w="763" w:type="dxa"/>
            <w:tcBorders>
              <w:top w:val="nil"/>
              <w:left w:val="nil"/>
              <w:bottom w:val="nil"/>
              <w:right w:val="nil"/>
            </w:tcBorders>
            <w:shd w:val="clear" w:color="auto" w:fill="auto"/>
            <w:vAlign w:val="bottom"/>
          </w:tcPr>
          <w:p w14:paraId="5E3AA260" w14:textId="2D1D77F7" w:rsidR="00A72601" w:rsidRPr="00122C95" w:rsidRDefault="00A72601" w:rsidP="00DF1E18">
            <w:pPr>
              <w:jc w:val="right"/>
              <w:rPr>
                <w:rFonts w:ascii="Arial" w:hAnsi="Arial" w:cs="Arial"/>
                <w:sz w:val="14"/>
                <w:szCs w:val="14"/>
                <w:lang w:eastAsia="es-AR"/>
              </w:rPr>
            </w:pPr>
            <w:r w:rsidRPr="00A72601">
              <w:rPr>
                <w:rFonts w:ascii="Arial" w:hAnsi="Arial" w:cs="Arial"/>
                <w:sz w:val="14"/>
                <w:szCs w:val="14"/>
                <w:lang w:eastAsia="es-AR"/>
              </w:rPr>
              <w:t>8.783</w:t>
            </w:r>
          </w:p>
        </w:tc>
        <w:tc>
          <w:tcPr>
            <w:tcW w:w="1360" w:type="dxa"/>
            <w:tcBorders>
              <w:top w:val="nil"/>
              <w:left w:val="nil"/>
              <w:bottom w:val="nil"/>
              <w:right w:val="nil"/>
            </w:tcBorders>
            <w:shd w:val="clear" w:color="auto" w:fill="auto"/>
            <w:vAlign w:val="bottom"/>
          </w:tcPr>
          <w:p w14:paraId="0A741871" w14:textId="042C7ECE" w:rsidR="00A72601" w:rsidRPr="00122C95" w:rsidRDefault="007C5B29" w:rsidP="00DF1E18">
            <w:pPr>
              <w:jc w:val="right"/>
              <w:rPr>
                <w:rFonts w:ascii="Arial" w:hAnsi="Arial" w:cs="Arial"/>
                <w:sz w:val="14"/>
                <w:szCs w:val="14"/>
                <w:lang w:eastAsia="es-AR"/>
              </w:rPr>
            </w:pPr>
            <w:r>
              <w:rPr>
                <w:rFonts w:ascii="Arial" w:hAnsi="Arial" w:cs="Arial"/>
                <w:sz w:val="14"/>
                <w:szCs w:val="14"/>
                <w:lang w:eastAsia="es-AR"/>
              </w:rPr>
              <w:t>-</w:t>
            </w:r>
          </w:p>
        </w:tc>
        <w:tc>
          <w:tcPr>
            <w:tcW w:w="856" w:type="dxa"/>
            <w:tcBorders>
              <w:top w:val="nil"/>
              <w:left w:val="nil"/>
              <w:bottom w:val="nil"/>
              <w:right w:val="nil"/>
            </w:tcBorders>
            <w:shd w:val="clear" w:color="auto" w:fill="auto"/>
            <w:vAlign w:val="bottom"/>
          </w:tcPr>
          <w:p w14:paraId="22DA592E" w14:textId="7E0F5E02" w:rsidR="00A72601" w:rsidRPr="00122C95" w:rsidRDefault="007A6CC7" w:rsidP="00DF1E18">
            <w:pPr>
              <w:jc w:val="right"/>
              <w:rPr>
                <w:rFonts w:ascii="Arial" w:hAnsi="Arial" w:cs="Arial"/>
                <w:sz w:val="14"/>
                <w:szCs w:val="14"/>
                <w:lang w:eastAsia="es-AR"/>
              </w:rPr>
            </w:pPr>
            <w:r w:rsidRPr="007A6CC7">
              <w:rPr>
                <w:rFonts w:ascii="Arial" w:hAnsi="Arial" w:cs="Arial"/>
                <w:sz w:val="14"/>
                <w:szCs w:val="14"/>
                <w:lang w:eastAsia="es-AR"/>
              </w:rPr>
              <w:t>5.796</w:t>
            </w:r>
          </w:p>
        </w:tc>
        <w:tc>
          <w:tcPr>
            <w:tcW w:w="1659" w:type="dxa"/>
            <w:tcBorders>
              <w:top w:val="nil"/>
              <w:left w:val="nil"/>
              <w:bottom w:val="nil"/>
              <w:right w:val="nil"/>
            </w:tcBorders>
            <w:shd w:val="clear" w:color="auto" w:fill="auto"/>
            <w:vAlign w:val="bottom"/>
          </w:tcPr>
          <w:p w14:paraId="2D9C010B" w14:textId="107E7BBA" w:rsidR="00A72601" w:rsidRPr="00122C95" w:rsidRDefault="00A72601" w:rsidP="00DF1E18">
            <w:pPr>
              <w:jc w:val="right"/>
              <w:rPr>
                <w:rFonts w:ascii="Arial" w:hAnsi="Arial" w:cs="Arial"/>
                <w:sz w:val="14"/>
                <w:szCs w:val="14"/>
                <w:lang w:eastAsia="es-AR"/>
              </w:rPr>
            </w:pPr>
            <w:r w:rsidRPr="00A72601">
              <w:rPr>
                <w:rFonts w:ascii="Arial" w:hAnsi="Arial" w:cs="Arial"/>
                <w:sz w:val="14"/>
                <w:szCs w:val="14"/>
                <w:lang w:eastAsia="es-AR"/>
              </w:rPr>
              <w:t xml:space="preserve"> 5.796 </w:t>
            </w:r>
          </w:p>
        </w:tc>
        <w:tc>
          <w:tcPr>
            <w:tcW w:w="997" w:type="dxa"/>
            <w:tcBorders>
              <w:top w:val="nil"/>
              <w:left w:val="nil"/>
              <w:bottom w:val="nil"/>
              <w:right w:val="nil"/>
            </w:tcBorders>
            <w:shd w:val="clear" w:color="auto" w:fill="auto"/>
            <w:vAlign w:val="bottom"/>
          </w:tcPr>
          <w:p w14:paraId="54E0D9D6" w14:textId="5F5D3FA6" w:rsidR="00A72601" w:rsidRPr="00122C95" w:rsidRDefault="00A72601" w:rsidP="00DF1E18">
            <w:pPr>
              <w:jc w:val="right"/>
              <w:rPr>
                <w:rFonts w:ascii="Arial" w:hAnsi="Arial" w:cs="Arial"/>
                <w:sz w:val="14"/>
                <w:szCs w:val="14"/>
                <w:lang w:eastAsia="es-AR"/>
              </w:rPr>
            </w:pPr>
            <w:r w:rsidRPr="00A72601">
              <w:rPr>
                <w:rFonts w:ascii="Arial" w:hAnsi="Arial" w:cs="Arial"/>
                <w:sz w:val="14"/>
                <w:szCs w:val="14"/>
                <w:lang w:eastAsia="es-AR"/>
              </w:rPr>
              <w:t xml:space="preserve"> 8.783 </w:t>
            </w:r>
          </w:p>
        </w:tc>
        <w:tc>
          <w:tcPr>
            <w:tcW w:w="716" w:type="dxa"/>
            <w:tcBorders>
              <w:top w:val="nil"/>
              <w:left w:val="nil"/>
              <w:bottom w:val="nil"/>
              <w:right w:val="nil"/>
            </w:tcBorders>
            <w:shd w:val="clear" w:color="auto" w:fill="auto"/>
            <w:vAlign w:val="bottom"/>
          </w:tcPr>
          <w:p w14:paraId="5111D496" w14:textId="21B0747D" w:rsidR="00A72601" w:rsidRPr="00122C95" w:rsidRDefault="00004D2F" w:rsidP="00DF1E18">
            <w:pPr>
              <w:jc w:val="right"/>
              <w:rPr>
                <w:rFonts w:ascii="Arial" w:hAnsi="Arial" w:cs="Arial"/>
                <w:sz w:val="14"/>
                <w:szCs w:val="14"/>
                <w:lang w:eastAsia="es-AR"/>
              </w:rPr>
            </w:pPr>
            <w:r>
              <w:rPr>
                <w:rFonts w:ascii="Arial" w:hAnsi="Arial" w:cs="Arial"/>
                <w:sz w:val="14"/>
                <w:szCs w:val="14"/>
                <w:lang w:eastAsia="es-AR"/>
              </w:rPr>
              <w:t>-</w:t>
            </w:r>
          </w:p>
        </w:tc>
      </w:tr>
      <w:tr w:rsidR="00C7765D" w:rsidRPr="00122C95" w14:paraId="458B1167" w14:textId="77777777" w:rsidTr="006E1AF7">
        <w:trPr>
          <w:trHeight w:val="80"/>
        </w:trPr>
        <w:tc>
          <w:tcPr>
            <w:tcW w:w="2147" w:type="dxa"/>
            <w:tcBorders>
              <w:top w:val="nil"/>
              <w:left w:val="nil"/>
              <w:bottom w:val="nil"/>
              <w:right w:val="nil"/>
            </w:tcBorders>
            <w:shd w:val="clear" w:color="auto" w:fill="auto"/>
            <w:hideMark/>
          </w:tcPr>
          <w:p w14:paraId="338E33AC" w14:textId="77777777" w:rsidR="00C7765D" w:rsidRPr="00122C95" w:rsidRDefault="00C7765D" w:rsidP="00257726">
            <w:pPr>
              <w:rPr>
                <w:sz w:val="14"/>
                <w:szCs w:val="14"/>
                <w:lang w:eastAsia="es-AR"/>
              </w:rPr>
            </w:pPr>
          </w:p>
        </w:tc>
        <w:tc>
          <w:tcPr>
            <w:tcW w:w="993" w:type="dxa"/>
            <w:tcBorders>
              <w:top w:val="nil"/>
              <w:left w:val="nil"/>
              <w:bottom w:val="nil"/>
              <w:right w:val="nil"/>
            </w:tcBorders>
            <w:shd w:val="clear" w:color="auto" w:fill="auto"/>
            <w:vAlign w:val="bottom"/>
          </w:tcPr>
          <w:p w14:paraId="71610CA5" w14:textId="77777777" w:rsidR="00C7765D" w:rsidRPr="00122C95" w:rsidRDefault="00C7765D" w:rsidP="00DF1E18">
            <w:pPr>
              <w:jc w:val="right"/>
              <w:rPr>
                <w:sz w:val="14"/>
                <w:szCs w:val="14"/>
                <w:lang w:eastAsia="es-AR"/>
              </w:rPr>
            </w:pPr>
          </w:p>
        </w:tc>
        <w:tc>
          <w:tcPr>
            <w:tcW w:w="763" w:type="dxa"/>
            <w:tcBorders>
              <w:top w:val="nil"/>
              <w:left w:val="nil"/>
              <w:bottom w:val="nil"/>
              <w:right w:val="nil"/>
            </w:tcBorders>
            <w:shd w:val="clear" w:color="auto" w:fill="auto"/>
            <w:vAlign w:val="bottom"/>
          </w:tcPr>
          <w:p w14:paraId="332F1ADE" w14:textId="77777777" w:rsidR="00C7765D" w:rsidRPr="00122C95" w:rsidRDefault="00C7765D" w:rsidP="00DF1E18">
            <w:pPr>
              <w:jc w:val="right"/>
              <w:rPr>
                <w:sz w:val="14"/>
                <w:szCs w:val="14"/>
                <w:lang w:eastAsia="es-AR"/>
              </w:rPr>
            </w:pPr>
          </w:p>
        </w:tc>
        <w:tc>
          <w:tcPr>
            <w:tcW w:w="1360" w:type="dxa"/>
            <w:tcBorders>
              <w:top w:val="nil"/>
              <w:left w:val="nil"/>
              <w:bottom w:val="nil"/>
              <w:right w:val="nil"/>
            </w:tcBorders>
            <w:shd w:val="clear" w:color="auto" w:fill="auto"/>
            <w:vAlign w:val="bottom"/>
          </w:tcPr>
          <w:p w14:paraId="3126731E" w14:textId="77777777" w:rsidR="00C7765D" w:rsidRPr="00122C95" w:rsidRDefault="00C7765D" w:rsidP="00DF1E18">
            <w:pPr>
              <w:jc w:val="right"/>
              <w:rPr>
                <w:sz w:val="14"/>
                <w:szCs w:val="14"/>
                <w:lang w:eastAsia="es-AR"/>
              </w:rPr>
            </w:pPr>
          </w:p>
        </w:tc>
        <w:tc>
          <w:tcPr>
            <w:tcW w:w="856" w:type="dxa"/>
            <w:tcBorders>
              <w:top w:val="nil"/>
              <w:left w:val="nil"/>
              <w:bottom w:val="nil"/>
              <w:right w:val="nil"/>
            </w:tcBorders>
            <w:shd w:val="clear" w:color="auto" w:fill="auto"/>
            <w:vAlign w:val="bottom"/>
          </w:tcPr>
          <w:p w14:paraId="2B1B0FC8" w14:textId="77777777" w:rsidR="00C7765D" w:rsidRPr="00122C95" w:rsidRDefault="00C7765D" w:rsidP="00DF1E18">
            <w:pPr>
              <w:jc w:val="right"/>
              <w:rPr>
                <w:sz w:val="14"/>
                <w:szCs w:val="14"/>
                <w:lang w:eastAsia="es-AR"/>
              </w:rPr>
            </w:pPr>
          </w:p>
        </w:tc>
        <w:tc>
          <w:tcPr>
            <w:tcW w:w="1659" w:type="dxa"/>
            <w:tcBorders>
              <w:top w:val="nil"/>
              <w:left w:val="nil"/>
              <w:bottom w:val="nil"/>
              <w:right w:val="nil"/>
            </w:tcBorders>
            <w:shd w:val="clear" w:color="auto" w:fill="auto"/>
            <w:vAlign w:val="bottom"/>
          </w:tcPr>
          <w:p w14:paraId="483922E1" w14:textId="77777777" w:rsidR="00C7765D" w:rsidRPr="00122C95" w:rsidRDefault="00C7765D" w:rsidP="00DF1E18">
            <w:pPr>
              <w:jc w:val="right"/>
              <w:rPr>
                <w:sz w:val="14"/>
                <w:szCs w:val="14"/>
                <w:lang w:eastAsia="es-AR"/>
              </w:rPr>
            </w:pPr>
          </w:p>
        </w:tc>
        <w:tc>
          <w:tcPr>
            <w:tcW w:w="997" w:type="dxa"/>
            <w:tcBorders>
              <w:top w:val="nil"/>
              <w:left w:val="nil"/>
              <w:bottom w:val="nil"/>
              <w:right w:val="nil"/>
            </w:tcBorders>
            <w:shd w:val="clear" w:color="auto" w:fill="auto"/>
            <w:vAlign w:val="bottom"/>
          </w:tcPr>
          <w:p w14:paraId="52FBE68E" w14:textId="77777777" w:rsidR="00C7765D" w:rsidRPr="00122C95" w:rsidRDefault="00C7765D" w:rsidP="00DF1E18">
            <w:pPr>
              <w:jc w:val="right"/>
              <w:rPr>
                <w:sz w:val="14"/>
                <w:szCs w:val="14"/>
                <w:lang w:eastAsia="es-AR"/>
              </w:rPr>
            </w:pPr>
          </w:p>
        </w:tc>
        <w:tc>
          <w:tcPr>
            <w:tcW w:w="716" w:type="dxa"/>
            <w:tcBorders>
              <w:top w:val="nil"/>
              <w:left w:val="nil"/>
              <w:bottom w:val="nil"/>
              <w:right w:val="nil"/>
            </w:tcBorders>
            <w:shd w:val="clear" w:color="auto" w:fill="auto"/>
            <w:vAlign w:val="bottom"/>
          </w:tcPr>
          <w:p w14:paraId="24C8C71B" w14:textId="77777777" w:rsidR="00C7765D" w:rsidRPr="00122C95" w:rsidRDefault="00C7765D" w:rsidP="00DF1E18">
            <w:pPr>
              <w:jc w:val="right"/>
              <w:rPr>
                <w:sz w:val="14"/>
                <w:szCs w:val="14"/>
                <w:lang w:eastAsia="es-AR"/>
              </w:rPr>
            </w:pPr>
          </w:p>
        </w:tc>
      </w:tr>
      <w:tr w:rsidR="001C1BCF" w:rsidRPr="00122C95" w14:paraId="41D4A721" w14:textId="77777777" w:rsidTr="006E1AF7">
        <w:trPr>
          <w:trHeight w:val="255"/>
        </w:trPr>
        <w:tc>
          <w:tcPr>
            <w:tcW w:w="2147" w:type="dxa"/>
            <w:tcBorders>
              <w:top w:val="nil"/>
              <w:left w:val="nil"/>
              <w:bottom w:val="nil"/>
              <w:right w:val="nil"/>
            </w:tcBorders>
            <w:shd w:val="clear" w:color="auto" w:fill="auto"/>
            <w:hideMark/>
          </w:tcPr>
          <w:p w14:paraId="032777E9" w14:textId="77777777" w:rsidR="001C1BCF" w:rsidRPr="00122C95" w:rsidRDefault="001C1BCF" w:rsidP="001C1BCF">
            <w:pPr>
              <w:rPr>
                <w:rFonts w:ascii="Arial" w:hAnsi="Arial" w:cs="Arial"/>
                <w:b/>
                <w:bCs/>
                <w:sz w:val="14"/>
                <w:szCs w:val="14"/>
                <w:lang w:eastAsia="es-AR"/>
              </w:rPr>
            </w:pPr>
            <w:r w:rsidRPr="00122C95">
              <w:rPr>
                <w:rFonts w:ascii="Arial" w:hAnsi="Arial" w:cs="Arial"/>
                <w:b/>
                <w:bCs/>
                <w:sz w:val="14"/>
                <w:szCs w:val="14"/>
                <w:lang w:eastAsia="es-AR"/>
              </w:rPr>
              <w:t>TOTAL ACTIVOS FINANCIEROS</w:t>
            </w:r>
          </w:p>
        </w:tc>
        <w:tc>
          <w:tcPr>
            <w:tcW w:w="993" w:type="dxa"/>
            <w:tcBorders>
              <w:top w:val="single" w:sz="4" w:space="0" w:color="auto"/>
              <w:left w:val="nil"/>
              <w:bottom w:val="single" w:sz="4" w:space="0" w:color="auto"/>
              <w:right w:val="nil"/>
            </w:tcBorders>
            <w:shd w:val="clear" w:color="auto" w:fill="auto"/>
            <w:vAlign w:val="bottom"/>
          </w:tcPr>
          <w:p w14:paraId="1C2FD0CE" w14:textId="1318D66A" w:rsidR="001C1BCF" w:rsidRPr="00122C95" w:rsidRDefault="001C1BCF">
            <w:pPr>
              <w:jc w:val="right"/>
              <w:rPr>
                <w:rFonts w:ascii="Arial" w:hAnsi="Arial" w:cs="Arial"/>
                <w:b/>
                <w:bCs/>
                <w:sz w:val="14"/>
                <w:szCs w:val="14"/>
                <w:lang w:eastAsia="es-AR"/>
              </w:rPr>
            </w:pPr>
            <w:r w:rsidRPr="00F7060A">
              <w:rPr>
                <w:rFonts w:ascii="Arial" w:hAnsi="Arial" w:cs="Arial"/>
                <w:b/>
                <w:bCs/>
                <w:sz w:val="14"/>
                <w:szCs w:val="14"/>
                <w:lang w:eastAsia="es-AR"/>
              </w:rPr>
              <w:t>113.538.992</w:t>
            </w:r>
          </w:p>
        </w:tc>
        <w:tc>
          <w:tcPr>
            <w:tcW w:w="763" w:type="dxa"/>
            <w:tcBorders>
              <w:top w:val="single" w:sz="4" w:space="0" w:color="auto"/>
              <w:left w:val="nil"/>
              <w:bottom w:val="single" w:sz="4" w:space="0" w:color="auto"/>
              <w:right w:val="nil"/>
            </w:tcBorders>
            <w:shd w:val="clear" w:color="auto" w:fill="auto"/>
            <w:vAlign w:val="bottom"/>
          </w:tcPr>
          <w:p w14:paraId="716A3A4A" w14:textId="60E7CBB5" w:rsidR="001C1BCF" w:rsidRPr="00122C95" w:rsidRDefault="001C1BCF">
            <w:pPr>
              <w:jc w:val="right"/>
              <w:rPr>
                <w:rFonts w:ascii="Arial" w:hAnsi="Arial" w:cs="Arial"/>
                <w:b/>
                <w:bCs/>
                <w:sz w:val="14"/>
                <w:szCs w:val="14"/>
                <w:lang w:eastAsia="es-AR"/>
              </w:rPr>
            </w:pPr>
            <w:r w:rsidRPr="00F7060A">
              <w:rPr>
                <w:rFonts w:ascii="Arial" w:hAnsi="Arial" w:cs="Arial"/>
                <w:b/>
                <w:bCs/>
                <w:sz w:val="14"/>
                <w:szCs w:val="14"/>
                <w:lang w:eastAsia="es-AR"/>
              </w:rPr>
              <w:t>7.179.954</w:t>
            </w:r>
          </w:p>
        </w:tc>
        <w:tc>
          <w:tcPr>
            <w:tcW w:w="1360" w:type="dxa"/>
            <w:tcBorders>
              <w:top w:val="single" w:sz="4" w:space="0" w:color="auto"/>
              <w:left w:val="nil"/>
              <w:bottom w:val="single" w:sz="4" w:space="0" w:color="auto"/>
              <w:right w:val="nil"/>
            </w:tcBorders>
            <w:shd w:val="clear" w:color="auto" w:fill="auto"/>
            <w:vAlign w:val="bottom"/>
          </w:tcPr>
          <w:p w14:paraId="134B165B" w14:textId="3A09674C" w:rsidR="001C1BCF" w:rsidRPr="00122C95" w:rsidRDefault="001C1BCF">
            <w:pPr>
              <w:jc w:val="right"/>
              <w:rPr>
                <w:rFonts w:ascii="Arial" w:hAnsi="Arial" w:cs="Arial"/>
                <w:b/>
                <w:bCs/>
                <w:sz w:val="14"/>
                <w:szCs w:val="14"/>
                <w:lang w:eastAsia="es-AR"/>
              </w:rPr>
            </w:pPr>
            <w:r>
              <w:rPr>
                <w:rFonts w:ascii="Arial" w:hAnsi="Arial" w:cs="Arial"/>
                <w:b/>
                <w:bCs/>
                <w:sz w:val="14"/>
                <w:szCs w:val="14"/>
                <w:lang w:eastAsia="es-AR"/>
              </w:rPr>
              <w:t>-</w:t>
            </w:r>
          </w:p>
        </w:tc>
        <w:tc>
          <w:tcPr>
            <w:tcW w:w="856" w:type="dxa"/>
            <w:tcBorders>
              <w:top w:val="single" w:sz="4" w:space="0" w:color="auto"/>
              <w:left w:val="nil"/>
              <w:bottom w:val="single" w:sz="4" w:space="0" w:color="auto"/>
              <w:right w:val="nil"/>
            </w:tcBorders>
            <w:shd w:val="clear" w:color="auto" w:fill="auto"/>
            <w:vAlign w:val="bottom"/>
          </w:tcPr>
          <w:p w14:paraId="42A56312" w14:textId="5DBDFB08" w:rsidR="001C1BCF" w:rsidRPr="00122C95" w:rsidRDefault="007A6CC7">
            <w:pPr>
              <w:jc w:val="right"/>
              <w:rPr>
                <w:rFonts w:ascii="Arial" w:hAnsi="Arial" w:cs="Arial"/>
                <w:b/>
                <w:bCs/>
                <w:sz w:val="14"/>
                <w:szCs w:val="14"/>
                <w:lang w:eastAsia="es-AR"/>
              </w:rPr>
            </w:pPr>
            <w:r w:rsidRPr="007A6CC7">
              <w:rPr>
                <w:rFonts w:ascii="Arial" w:hAnsi="Arial" w:cs="Arial"/>
                <w:b/>
                <w:bCs/>
                <w:sz w:val="14"/>
                <w:szCs w:val="14"/>
                <w:lang w:eastAsia="es-AR"/>
              </w:rPr>
              <w:t xml:space="preserve">5.697.811 </w:t>
            </w:r>
          </w:p>
        </w:tc>
        <w:tc>
          <w:tcPr>
            <w:tcW w:w="1659" w:type="dxa"/>
            <w:tcBorders>
              <w:top w:val="single" w:sz="4" w:space="0" w:color="auto"/>
              <w:left w:val="nil"/>
              <w:bottom w:val="single" w:sz="4" w:space="0" w:color="auto"/>
              <w:right w:val="nil"/>
            </w:tcBorders>
            <w:shd w:val="clear" w:color="auto" w:fill="auto"/>
            <w:vAlign w:val="bottom"/>
          </w:tcPr>
          <w:p w14:paraId="5DD6845A" w14:textId="2ED18EF1" w:rsidR="001C1BCF" w:rsidRPr="00122C95" w:rsidRDefault="007A6CC7">
            <w:pPr>
              <w:jc w:val="right"/>
              <w:rPr>
                <w:rFonts w:ascii="Arial" w:hAnsi="Arial" w:cs="Arial"/>
                <w:b/>
                <w:bCs/>
                <w:sz w:val="14"/>
                <w:szCs w:val="14"/>
                <w:lang w:eastAsia="es-AR"/>
              </w:rPr>
            </w:pPr>
            <w:r w:rsidRPr="007A6CC7">
              <w:rPr>
                <w:rFonts w:ascii="Arial" w:hAnsi="Arial" w:cs="Arial"/>
                <w:b/>
                <w:bCs/>
                <w:sz w:val="14"/>
                <w:szCs w:val="14"/>
                <w:lang w:eastAsia="es-AR"/>
              </w:rPr>
              <w:t>12.865.31</w:t>
            </w:r>
            <w:r w:rsidR="00103F35">
              <w:rPr>
                <w:rFonts w:ascii="Arial" w:hAnsi="Arial" w:cs="Arial"/>
                <w:b/>
                <w:bCs/>
                <w:sz w:val="14"/>
                <w:szCs w:val="14"/>
                <w:lang w:eastAsia="es-AR"/>
              </w:rPr>
              <w:t>1</w:t>
            </w:r>
            <w:r w:rsidRPr="007A6CC7">
              <w:rPr>
                <w:rFonts w:ascii="Arial" w:hAnsi="Arial" w:cs="Arial"/>
                <w:b/>
                <w:bCs/>
                <w:sz w:val="14"/>
                <w:szCs w:val="14"/>
                <w:lang w:eastAsia="es-AR"/>
              </w:rPr>
              <w:t xml:space="preserve"> </w:t>
            </w:r>
          </w:p>
        </w:tc>
        <w:tc>
          <w:tcPr>
            <w:tcW w:w="997" w:type="dxa"/>
            <w:tcBorders>
              <w:top w:val="single" w:sz="4" w:space="0" w:color="auto"/>
              <w:left w:val="nil"/>
              <w:bottom w:val="single" w:sz="4" w:space="0" w:color="auto"/>
              <w:right w:val="nil"/>
            </w:tcBorders>
            <w:shd w:val="clear" w:color="auto" w:fill="auto"/>
            <w:vAlign w:val="bottom"/>
          </w:tcPr>
          <w:p w14:paraId="09A0503C" w14:textId="386574BD" w:rsidR="001C1BCF" w:rsidRPr="00122C95" w:rsidRDefault="007A6CC7">
            <w:pPr>
              <w:jc w:val="right"/>
              <w:rPr>
                <w:rFonts w:ascii="Arial" w:hAnsi="Arial" w:cs="Arial"/>
                <w:b/>
                <w:bCs/>
                <w:sz w:val="14"/>
                <w:szCs w:val="14"/>
                <w:lang w:eastAsia="es-AR"/>
              </w:rPr>
            </w:pPr>
            <w:r>
              <w:rPr>
                <w:rFonts w:ascii="Arial" w:hAnsi="Arial" w:cs="Arial"/>
                <w:b/>
                <w:bCs/>
                <w:sz w:val="14"/>
                <w:szCs w:val="14"/>
                <w:lang w:eastAsia="es-AR"/>
              </w:rPr>
              <w:t>8.783</w:t>
            </w:r>
          </w:p>
        </w:tc>
        <w:tc>
          <w:tcPr>
            <w:tcW w:w="716" w:type="dxa"/>
            <w:tcBorders>
              <w:top w:val="single" w:sz="4" w:space="0" w:color="auto"/>
              <w:left w:val="nil"/>
              <w:bottom w:val="single" w:sz="4" w:space="0" w:color="auto"/>
              <w:right w:val="nil"/>
            </w:tcBorders>
            <w:shd w:val="clear" w:color="auto" w:fill="auto"/>
            <w:vAlign w:val="bottom"/>
          </w:tcPr>
          <w:p w14:paraId="6632B19C" w14:textId="50114E5C" w:rsidR="001C1BCF" w:rsidRPr="00122C95" w:rsidRDefault="007A6CC7">
            <w:pPr>
              <w:jc w:val="right"/>
              <w:rPr>
                <w:rFonts w:ascii="Arial" w:hAnsi="Arial" w:cs="Arial"/>
                <w:b/>
                <w:bCs/>
                <w:sz w:val="14"/>
                <w:szCs w:val="14"/>
                <w:lang w:eastAsia="es-AR"/>
              </w:rPr>
            </w:pPr>
            <w:r>
              <w:rPr>
                <w:rFonts w:ascii="Arial" w:hAnsi="Arial" w:cs="Arial"/>
                <w:b/>
                <w:bCs/>
                <w:sz w:val="14"/>
                <w:szCs w:val="14"/>
                <w:lang w:eastAsia="es-AR"/>
              </w:rPr>
              <w:t>3.67</w:t>
            </w:r>
            <w:r w:rsidR="00103F35">
              <w:rPr>
                <w:rFonts w:ascii="Arial" w:hAnsi="Arial" w:cs="Arial"/>
                <w:b/>
                <w:bCs/>
                <w:sz w:val="14"/>
                <w:szCs w:val="14"/>
                <w:lang w:eastAsia="es-AR"/>
              </w:rPr>
              <w:t>1</w:t>
            </w:r>
          </w:p>
        </w:tc>
      </w:tr>
    </w:tbl>
    <w:p w14:paraId="63BC9113" w14:textId="77777777" w:rsidR="00A30C77" w:rsidRDefault="00A30C77"/>
    <w:p w14:paraId="37107703" w14:textId="01CE55C1" w:rsidR="00A30C77" w:rsidRDefault="00A30C77">
      <w:r>
        <w:br w:type="page"/>
      </w:r>
    </w:p>
    <w:tbl>
      <w:tblPr>
        <w:tblW w:w="9814" w:type="dxa"/>
        <w:tblInd w:w="75" w:type="dxa"/>
        <w:tblCellMar>
          <w:left w:w="70" w:type="dxa"/>
          <w:right w:w="70" w:type="dxa"/>
        </w:tblCellMar>
        <w:tblLook w:val="04A0" w:firstRow="1" w:lastRow="0" w:firstColumn="1" w:lastColumn="0" w:noHBand="0" w:noVBand="1"/>
      </w:tblPr>
      <w:tblGrid>
        <w:gridCol w:w="2689"/>
        <w:gridCol w:w="919"/>
        <w:gridCol w:w="851"/>
        <w:gridCol w:w="1360"/>
        <w:gridCol w:w="1269"/>
        <w:gridCol w:w="1308"/>
        <w:gridCol w:w="708"/>
        <w:gridCol w:w="710"/>
      </w:tblGrid>
      <w:tr w:rsidR="00C7765D" w:rsidRPr="00122C95" w14:paraId="11DE849F" w14:textId="77777777" w:rsidTr="006E1AF7">
        <w:trPr>
          <w:trHeight w:val="177"/>
        </w:trPr>
        <w:tc>
          <w:tcPr>
            <w:tcW w:w="2689"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051DB30"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Conceptos</w:t>
            </w:r>
          </w:p>
        </w:tc>
        <w:tc>
          <w:tcPr>
            <w:tcW w:w="919"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7F52727C"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Costo Amort</w:t>
            </w:r>
            <w:r>
              <w:rPr>
                <w:rFonts w:ascii="Arial" w:hAnsi="Arial" w:cs="Arial"/>
                <w:b/>
                <w:bCs/>
                <w:sz w:val="14"/>
                <w:szCs w:val="14"/>
                <w:lang w:eastAsia="es-AR"/>
              </w:rPr>
              <w:t>I</w:t>
            </w:r>
            <w:r w:rsidRPr="00122C95">
              <w:rPr>
                <w:rFonts w:ascii="Arial" w:hAnsi="Arial" w:cs="Arial"/>
                <w:b/>
                <w:bCs/>
                <w:sz w:val="14"/>
                <w:szCs w:val="14"/>
                <w:lang w:eastAsia="es-AR"/>
              </w:rPr>
              <w:t>zado</w:t>
            </w:r>
          </w:p>
        </w:tc>
        <w:tc>
          <w:tcPr>
            <w:tcW w:w="851" w:type="dxa"/>
            <w:vMerge w:val="restart"/>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18FF0C24"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VR con cambios en ORI</w:t>
            </w:r>
          </w:p>
        </w:tc>
        <w:tc>
          <w:tcPr>
            <w:tcW w:w="2629"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hideMark/>
          </w:tcPr>
          <w:p w14:paraId="0B8175C2"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VR con cambios en resultados</w:t>
            </w:r>
          </w:p>
        </w:tc>
        <w:tc>
          <w:tcPr>
            <w:tcW w:w="2726" w:type="dxa"/>
            <w:gridSpan w:val="3"/>
            <w:tcBorders>
              <w:top w:val="single" w:sz="4" w:space="0" w:color="363639"/>
              <w:left w:val="single" w:sz="4" w:space="0" w:color="363639"/>
              <w:bottom w:val="nil"/>
              <w:right w:val="single" w:sz="4" w:space="0" w:color="363639"/>
            </w:tcBorders>
            <w:shd w:val="clear" w:color="auto" w:fill="BFBFBF" w:themeFill="background1" w:themeFillShade="BF"/>
            <w:vAlign w:val="bottom"/>
            <w:hideMark/>
          </w:tcPr>
          <w:p w14:paraId="008F3B31"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Jerarquía de valor razonable</w:t>
            </w:r>
          </w:p>
        </w:tc>
      </w:tr>
      <w:tr w:rsidR="00C7765D" w:rsidRPr="00122C95" w14:paraId="7E92848B" w14:textId="77777777" w:rsidTr="006E1AF7">
        <w:trPr>
          <w:trHeight w:val="405"/>
        </w:trPr>
        <w:tc>
          <w:tcPr>
            <w:tcW w:w="2689"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092759F" w14:textId="77777777" w:rsidR="00C7765D" w:rsidRPr="00122C95" w:rsidRDefault="00C7765D" w:rsidP="00257726">
            <w:pPr>
              <w:rPr>
                <w:rFonts w:ascii="Arial" w:hAnsi="Arial" w:cs="Arial"/>
                <w:b/>
                <w:bCs/>
                <w:sz w:val="14"/>
                <w:szCs w:val="14"/>
                <w:lang w:eastAsia="es-AR"/>
              </w:rPr>
            </w:pPr>
          </w:p>
        </w:tc>
        <w:tc>
          <w:tcPr>
            <w:tcW w:w="919"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2DB71A09" w14:textId="77777777" w:rsidR="00C7765D" w:rsidRPr="00122C95" w:rsidRDefault="00C7765D" w:rsidP="00257726">
            <w:pPr>
              <w:rPr>
                <w:rFonts w:ascii="Arial" w:hAnsi="Arial" w:cs="Arial"/>
                <w:b/>
                <w:bCs/>
                <w:sz w:val="14"/>
                <w:szCs w:val="14"/>
                <w:lang w:eastAsia="es-AR"/>
              </w:rPr>
            </w:pPr>
          </w:p>
        </w:tc>
        <w:tc>
          <w:tcPr>
            <w:tcW w:w="851"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646E8F1D" w14:textId="77777777" w:rsidR="00C7765D" w:rsidRPr="00122C95" w:rsidRDefault="00C7765D" w:rsidP="00257726">
            <w:pPr>
              <w:rPr>
                <w:rFonts w:ascii="Arial" w:hAnsi="Arial" w:cs="Arial"/>
                <w:b/>
                <w:bCs/>
                <w:sz w:val="14"/>
                <w:szCs w:val="14"/>
                <w:lang w:eastAsia="es-AR"/>
              </w:rPr>
            </w:pPr>
          </w:p>
        </w:tc>
        <w:tc>
          <w:tcPr>
            <w:tcW w:w="1360" w:type="dxa"/>
            <w:vMerge w:val="restart"/>
            <w:tcBorders>
              <w:top w:val="nil"/>
              <w:left w:val="single" w:sz="4" w:space="0" w:color="363639"/>
              <w:bottom w:val="single" w:sz="4" w:space="0" w:color="363639"/>
              <w:right w:val="single" w:sz="4" w:space="0" w:color="363639"/>
            </w:tcBorders>
            <w:shd w:val="clear" w:color="auto" w:fill="BFBFBF" w:themeFill="background1" w:themeFillShade="BF"/>
            <w:hideMark/>
          </w:tcPr>
          <w:p w14:paraId="00754ACE"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Designados inicialmente o de acuerdo con el 6.7.1. de la NIIF 9</w:t>
            </w:r>
          </w:p>
        </w:tc>
        <w:tc>
          <w:tcPr>
            <w:tcW w:w="1269" w:type="dxa"/>
            <w:vMerge w:val="restart"/>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2EC374FD"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Medición obligatoria</w:t>
            </w:r>
          </w:p>
        </w:tc>
        <w:tc>
          <w:tcPr>
            <w:tcW w:w="1308" w:type="dxa"/>
            <w:tcBorders>
              <w:top w:val="nil"/>
              <w:left w:val="nil"/>
              <w:bottom w:val="single" w:sz="4" w:space="0" w:color="363639"/>
              <w:right w:val="nil"/>
            </w:tcBorders>
            <w:shd w:val="clear" w:color="auto" w:fill="BFBFBF" w:themeFill="background1" w:themeFillShade="BF"/>
            <w:vAlign w:val="center"/>
            <w:hideMark/>
          </w:tcPr>
          <w:p w14:paraId="1B6BD193"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 </w:t>
            </w:r>
          </w:p>
        </w:tc>
        <w:tc>
          <w:tcPr>
            <w:tcW w:w="708" w:type="dxa"/>
            <w:tcBorders>
              <w:top w:val="nil"/>
              <w:left w:val="nil"/>
              <w:bottom w:val="single" w:sz="4" w:space="0" w:color="363639"/>
              <w:right w:val="nil"/>
            </w:tcBorders>
            <w:shd w:val="clear" w:color="auto" w:fill="BFBFBF" w:themeFill="background1" w:themeFillShade="BF"/>
            <w:vAlign w:val="center"/>
            <w:hideMark/>
          </w:tcPr>
          <w:p w14:paraId="1253B435"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 </w:t>
            </w:r>
          </w:p>
        </w:tc>
        <w:tc>
          <w:tcPr>
            <w:tcW w:w="710" w:type="dxa"/>
            <w:tcBorders>
              <w:top w:val="nil"/>
              <w:left w:val="nil"/>
              <w:bottom w:val="single" w:sz="4" w:space="0" w:color="363639"/>
              <w:right w:val="single" w:sz="4" w:space="0" w:color="363639"/>
            </w:tcBorders>
            <w:shd w:val="clear" w:color="auto" w:fill="BFBFBF" w:themeFill="background1" w:themeFillShade="BF"/>
            <w:vAlign w:val="center"/>
            <w:hideMark/>
          </w:tcPr>
          <w:p w14:paraId="30350F23"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 </w:t>
            </w:r>
          </w:p>
        </w:tc>
      </w:tr>
      <w:tr w:rsidR="00C7765D" w:rsidRPr="00122C95" w14:paraId="1DF31DF3" w14:textId="77777777" w:rsidTr="006E1AF7">
        <w:trPr>
          <w:trHeight w:val="375"/>
        </w:trPr>
        <w:tc>
          <w:tcPr>
            <w:tcW w:w="2689"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55F3D459" w14:textId="77777777" w:rsidR="00C7765D" w:rsidRPr="00122C95" w:rsidRDefault="00C7765D" w:rsidP="00257726">
            <w:pPr>
              <w:rPr>
                <w:rFonts w:ascii="Arial" w:hAnsi="Arial" w:cs="Arial"/>
                <w:b/>
                <w:bCs/>
                <w:sz w:val="14"/>
                <w:szCs w:val="14"/>
                <w:lang w:eastAsia="es-AR"/>
              </w:rPr>
            </w:pPr>
          </w:p>
        </w:tc>
        <w:tc>
          <w:tcPr>
            <w:tcW w:w="919"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62648B5" w14:textId="77777777" w:rsidR="00C7765D" w:rsidRPr="00122C95" w:rsidRDefault="00C7765D" w:rsidP="00257726">
            <w:pPr>
              <w:rPr>
                <w:rFonts w:ascii="Arial" w:hAnsi="Arial" w:cs="Arial"/>
                <w:b/>
                <w:bCs/>
                <w:sz w:val="14"/>
                <w:szCs w:val="14"/>
                <w:lang w:eastAsia="es-AR"/>
              </w:rPr>
            </w:pPr>
          </w:p>
        </w:tc>
        <w:tc>
          <w:tcPr>
            <w:tcW w:w="851" w:type="dxa"/>
            <w:vMerge/>
            <w:tcBorders>
              <w:top w:val="single" w:sz="4" w:space="0" w:color="363639"/>
              <w:left w:val="single" w:sz="4" w:space="0" w:color="363639"/>
              <w:bottom w:val="single" w:sz="4" w:space="0" w:color="363639"/>
              <w:right w:val="single" w:sz="4" w:space="0" w:color="363639"/>
            </w:tcBorders>
            <w:shd w:val="clear" w:color="auto" w:fill="BFBFBF" w:themeFill="background1" w:themeFillShade="BF"/>
            <w:vAlign w:val="center"/>
            <w:hideMark/>
          </w:tcPr>
          <w:p w14:paraId="05BFEA3A" w14:textId="77777777" w:rsidR="00C7765D" w:rsidRPr="00122C95" w:rsidRDefault="00C7765D" w:rsidP="00257726">
            <w:pPr>
              <w:rPr>
                <w:rFonts w:ascii="Arial" w:hAnsi="Arial" w:cs="Arial"/>
                <w:b/>
                <w:bCs/>
                <w:sz w:val="14"/>
                <w:szCs w:val="14"/>
                <w:lang w:eastAsia="es-AR"/>
              </w:rPr>
            </w:pPr>
          </w:p>
        </w:tc>
        <w:tc>
          <w:tcPr>
            <w:tcW w:w="1360"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2E895577" w14:textId="77777777" w:rsidR="00C7765D" w:rsidRPr="00122C95" w:rsidRDefault="00C7765D" w:rsidP="00257726">
            <w:pPr>
              <w:rPr>
                <w:rFonts w:ascii="Arial" w:hAnsi="Arial" w:cs="Arial"/>
                <w:b/>
                <w:bCs/>
                <w:sz w:val="14"/>
                <w:szCs w:val="14"/>
                <w:lang w:eastAsia="es-AR"/>
              </w:rPr>
            </w:pPr>
          </w:p>
        </w:tc>
        <w:tc>
          <w:tcPr>
            <w:tcW w:w="1269" w:type="dxa"/>
            <w:vMerge/>
            <w:tcBorders>
              <w:top w:val="nil"/>
              <w:left w:val="single" w:sz="4" w:space="0" w:color="363639"/>
              <w:bottom w:val="single" w:sz="4" w:space="0" w:color="363639"/>
              <w:right w:val="single" w:sz="4" w:space="0" w:color="363639"/>
            </w:tcBorders>
            <w:shd w:val="clear" w:color="auto" w:fill="BFBFBF" w:themeFill="background1" w:themeFillShade="BF"/>
            <w:vAlign w:val="center"/>
            <w:hideMark/>
          </w:tcPr>
          <w:p w14:paraId="65A07804" w14:textId="77777777" w:rsidR="00C7765D" w:rsidRPr="00122C95" w:rsidRDefault="00C7765D" w:rsidP="00257726">
            <w:pPr>
              <w:rPr>
                <w:rFonts w:ascii="Arial" w:hAnsi="Arial" w:cs="Arial"/>
                <w:b/>
                <w:bCs/>
                <w:sz w:val="14"/>
                <w:szCs w:val="14"/>
                <w:lang w:eastAsia="es-AR"/>
              </w:rPr>
            </w:pPr>
          </w:p>
        </w:tc>
        <w:tc>
          <w:tcPr>
            <w:tcW w:w="1308" w:type="dxa"/>
            <w:tcBorders>
              <w:top w:val="nil"/>
              <w:left w:val="nil"/>
              <w:bottom w:val="single" w:sz="4" w:space="0" w:color="363639"/>
              <w:right w:val="single" w:sz="4" w:space="0" w:color="363639"/>
            </w:tcBorders>
            <w:shd w:val="clear" w:color="auto" w:fill="BFBFBF" w:themeFill="background1" w:themeFillShade="BF"/>
            <w:hideMark/>
          </w:tcPr>
          <w:p w14:paraId="58291DB9"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Nivel 1</w:t>
            </w:r>
          </w:p>
        </w:tc>
        <w:tc>
          <w:tcPr>
            <w:tcW w:w="708" w:type="dxa"/>
            <w:tcBorders>
              <w:top w:val="nil"/>
              <w:left w:val="nil"/>
              <w:bottom w:val="single" w:sz="4" w:space="0" w:color="363639"/>
              <w:right w:val="single" w:sz="4" w:space="0" w:color="363639"/>
            </w:tcBorders>
            <w:shd w:val="clear" w:color="auto" w:fill="BFBFBF" w:themeFill="background1" w:themeFillShade="BF"/>
            <w:hideMark/>
          </w:tcPr>
          <w:p w14:paraId="3C662E1B"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Nivel 2</w:t>
            </w:r>
          </w:p>
        </w:tc>
        <w:tc>
          <w:tcPr>
            <w:tcW w:w="710" w:type="dxa"/>
            <w:tcBorders>
              <w:top w:val="nil"/>
              <w:left w:val="nil"/>
              <w:bottom w:val="single" w:sz="4" w:space="0" w:color="363639"/>
              <w:right w:val="single" w:sz="4" w:space="0" w:color="363639"/>
            </w:tcBorders>
            <w:shd w:val="clear" w:color="auto" w:fill="BFBFBF" w:themeFill="background1" w:themeFillShade="BF"/>
            <w:hideMark/>
          </w:tcPr>
          <w:p w14:paraId="37038ADD" w14:textId="77777777" w:rsidR="00C7765D" w:rsidRPr="00122C95" w:rsidRDefault="00C7765D" w:rsidP="00257726">
            <w:pPr>
              <w:jc w:val="center"/>
              <w:rPr>
                <w:rFonts w:ascii="Arial" w:hAnsi="Arial" w:cs="Arial"/>
                <w:b/>
                <w:bCs/>
                <w:sz w:val="14"/>
                <w:szCs w:val="14"/>
                <w:lang w:eastAsia="es-AR"/>
              </w:rPr>
            </w:pPr>
            <w:r w:rsidRPr="00122C95">
              <w:rPr>
                <w:rFonts w:ascii="Arial" w:hAnsi="Arial" w:cs="Arial"/>
                <w:b/>
                <w:bCs/>
                <w:sz w:val="14"/>
                <w:szCs w:val="14"/>
                <w:lang w:eastAsia="es-AR"/>
              </w:rPr>
              <w:t>Nivel 3</w:t>
            </w:r>
          </w:p>
        </w:tc>
      </w:tr>
      <w:tr w:rsidR="00C7765D" w:rsidRPr="00122C95" w14:paraId="217ED2B3" w14:textId="77777777" w:rsidTr="006E1AF7">
        <w:trPr>
          <w:trHeight w:val="255"/>
        </w:trPr>
        <w:tc>
          <w:tcPr>
            <w:tcW w:w="2689" w:type="dxa"/>
            <w:tcBorders>
              <w:top w:val="nil"/>
              <w:left w:val="nil"/>
              <w:bottom w:val="nil"/>
              <w:right w:val="nil"/>
            </w:tcBorders>
            <w:shd w:val="clear" w:color="auto" w:fill="auto"/>
            <w:hideMark/>
          </w:tcPr>
          <w:p w14:paraId="12D0A8B4"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PASIVOS FINANCIEROS</w:t>
            </w:r>
          </w:p>
        </w:tc>
        <w:tc>
          <w:tcPr>
            <w:tcW w:w="919" w:type="dxa"/>
            <w:tcBorders>
              <w:top w:val="nil"/>
              <w:left w:val="nil"/>
              <w:bottom w:val="nil"/>
              <w:right w:val="nil"/>
            </w:tcBorders>
            <w:shd w:val="clear" w:color="auto" w:fill="auto"/>
            <w:noWrap/>
            <w:hideMark/>
          </w:tcPr>
          <w:p w14:paraId="69E4C86C"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851" w:type="dxa"/>
            <w:tcBorders>
              <w:top w:val="nil"/>
              <w:left w:val="nil"/>
              <w:bottom w:val="nil"/>
              <w:right w:val="nil"/>
            </w:tcBorders>
            <w:shd w:val="clear" w:color="auto" w:fill="auto"/>
            <w:noWrap/>
            <w:hideMark/>
          </w:tcPr>
          <w:p w14:paraId="08E9B892"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1360" w:type="dxa"/>
            <w:tcBorders>
              <w:top w:val="nil"/>
              <w:left w:val="nil"/>
              <w:bottom w:val="nil"/>
              <w:right w:val="nil"/>
            </w:tcBorders>
            <w:shd w:val="clear" w:color="auto" w:fill="auto"/>
            <w:noWrap/>
            <w:hideMark/>
          </w:tcPr>
          <w:p w14:paraId="095A6AA5"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1269" w:type="dxa"/>
            <w:tcBorders>
              <w:top w:val="nil"/>
              <w:left w:val="nil"/>
              <w:bottom w:val="nil"/>
              <w:right w:val="nil"/>
            </w:tcBorders>
            <w:shd w:val="clear" w:color="auto" w:fill="auto"/>
            <w:noWrap/>
            <w:hideMark/>
          </w:tcPr>
          <w:p w14:paraId="6CB9F8DB"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1308" w:type="dxa"/>
            <w:tcBorders>
              <w:top w:val="nil"/>
              <w:left w:val="nil"/>
              <w:bottom w:val="nil"/>
              <w:right w:val="nil"/>
            </w:tcBorders>
            <w:shd w:val="clear" w:color="auto" w:fill="auto"/>
            <w:noWrap/>
            <w:hideMark/>
          </w:tcPr>
          <w:p w14:paraId="358CDD40"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708" w:type="dxa"/>
            <w:tcBorders>
              <w:top w:val="nil"/>
              <w:left w:val="nil"/>
              <w:bottom w:val="nil"/>
              <w:right w:val="nil"/>
            </w:tcBorders>
            <w:shd w:val="clear" w:color="auto" w:fill="auto"/>
            <w:noWrap/>
            <w:hideMark/>
          </w:tcPr>
          <w:p w14:paraId="7810A51B"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c>
          <w:tcPr>
            <w:tcW w:w="710" w:type="dxa"/>
            <w:tcBorders>
              <w:top w:val="nil"/>
              <w:left w:val="nil"/>
              <w:bottom w:val="nil"/>
              <w:right w:val="nil"/>
            </w:tcBorders>
            <w:shd w:val="clear" w:color="auto" w:fill="auto"/>
            <w:noWrap/>
            <w:hideMark/>
          </w:tcPr>
          <w:p w14:paraId="319AFA3D" w14:textId="77777777" w:rsidR="00C7765D" w:rsidRPr="00122C95" w:rsidRDefault="00C7765D" w:rsidP="00257726">
            <w:pPr>
              <w:rPr>
                <w:rFonts w:ascii="Arial" w:hAnsi="Arial" w:cs="Arial"/>
                <w:sz w:val="14"/>
                <w:szCs w:val="14"/>
                <w:lang w:eastAsia="es-AR"/>
              </w:rPr>
            </w:pPr>
            <w:r w:rsidRPr="00122C95">
              <w:rPr>
                <w:rFonts w:ascii="Arial" w:hAnsi="Arial" w:cs="Arial"/>
                <w:sz w:val="14"/>
                <w:szCs w:val="14"/>
                <w:lang w:eastAsia="es-AR"/>
              </w:rPr>
              <w:t> </w:t>
            </w:r>
          </w:p>
        </w:tc>
      </w:tr>
      <w:tr w:rsidR="00C7765D" w:rsidRPr="00122C95" w14:paraId="595FCD5C" w14:textId="77777777" w:rsidTr="006E1AF7">
        <w:trPr>
          <w:trHeight w:val="255"/>
        </w:trPr>
        <w:tc>
          <w:tcPr>
            <w:tcW w:w="2689" w:type="dxa"/>
            <w:tcBorders>
              <w:top w:val="nil"/>
              <w:left w:val="nil"/>
              <w:bottom w:val="nil"/>
              <w:right w:val="nil"/>
            </w:tcBorders>
            <w:shd w:val="clear" w:color="auto" w:fill="auto"/>
            <w:hideMark/>
          </w:tcPr>
          <w:p w14:paraId="1965DD05" w14:textId="77777777" w:rsidR="00C7765D" w:rsidRPr="00122C95" w:rsidRDefault="00C7765D" w:rsidP="00257726">
            <w:pPr>
              <w:rPr>
                <w:rFonts w:ascii="Arial" w:hAnsi="Arial" w:cs="Arial"/>
                <w:sz w:val="14"/>
                <w:szCs w:val="14"/>
                <w:lang w:eastAsia="es-AR"/>
              </w:rPr>
            </w:pPr>
          </w:p>
        </w:tc>
        <w:tc>
          <w:tcPr>
            <w:tcW w:w="919" w:type="dxa"/>
            <w:tcBorders>
              <w:top w:val="nil"/>
              <w:left w:val="nil"/>
              <w:bottom w:val="nil"/>
              <w:right w:val="nil"/>
            </w:tcBorders>
            <w:shd w:val="clear" w:color="auto" w:fill="auto"/>
            <w:noWrap/>
            <w:vAlign w:val="bottom"/>
            <w:hideMark/>
          </w:tcPr>
          <w:p w14:paraId="73DCC0EF" w14:textId="77777777" w:rsidR="00C7765D" w:rsidRPr="00122C95" w:rsidRDefault="00C7765D" w:rsidP="00A72601">
            <w:pPr>
              <w:jc w:val="right"/>
              <w:rPr>
                <w:sz w:val="14"/>
                <w:szCs w:val="14"/>
                <w:lang w:eastAsia="es-AR"/>
              </w:rPr>
            </w:pPr>
          </w:p>
        </w:tc>
        <w:tc>
          <w:tcPr>
            <w:tcW w:w="851" w:type="dxa"/>
            <w:tcBorders>
              <w:top w:val="nil"/>
              <w:left w:val="nil"/>
              <w:bottom w:val="nil"/>
              <w:right w:val="nil"/>
            </w:tcBorders>
            <w:shd w:val="clear" w:color="auto" w:fill="auto"/>
            <w:noWrap/>
            <w:vAlign w:val="bottom"/>
            <w:hideMark/>
          </w:tcPr>
          <w:p w14:paraId="76E292E6" w14:textId="77777777" w:rsidR="00C7765D" w:rsidRPr="00122C95" w:rsidRDefault="00C7765D" w:rsidP="00A72601">
            <w:pPr>
              <w:jc w:val="right"/>
              <w:rPr>
                <w:sz w:val="14"/>
                <w:szCs w:val="14"/>
                <w:lang w:eastAsia="es-AR"/>
              </w:rPr>
            </w:pPr>
          </w:p>
        </w:tc>
        <w:tc>
          <w:tcPr>
            <w:tcW w:w="1360" w:type="dxa"/>
            <w:tcBorders>
              <w:top w:val="nil"/>
              <w:left w:val="nil"/>
              <w:bottom w:val="nil"/>
              <w:right w:val="nil"/>
            </w:tcBorders>
            <w:shd w:val="clear" w:color="auto" w:fill="auto"/>
            <w:noWrap/>
            <w:vAlign w:val="bottom"/>
            <w:hideMark/>
          </w:tcPr>
          <w:p w14:paraId="6D2A67FB" w14:textId="77777777" w:rsidR="00C7765D" w:rsidRPr="00122C95" w:rsidRDefault="00C7765D" w:rsidP="00A72601">
            <w:pPr>
              <w:jc w:val="right"/>
              <w:rPr>
                <w:sz w:val="14"/>
                <w:szCs w:val="14"/>
                <w:lang w:eastAsia="es-AR"/>
              </w:rPr>
            </w:pPr>
          </w:p>
        </w:tc>
        <w:tc>
          <w:tcPr>
            <w:tcW w:w="1269" w:type="dxa"/>
            <w:tcBorders>
              <w:top w:val="nil"/>
              <w:left w:val="nil"/>
              <w:bottom w:val="nil"/>
              <w:right w:val="nil"/>
            </w:tcBorders>
            <w:shd w:val="clear" w:color="auto" w:fill="auto"/>
            <w:noWrap/>
            <w:vAlign w:val="bottom"/>
            <w:hideMark/>
          </w:tcPr>
          <w:p w14:paraId="0EE3EDB7" w14:textId="77777777" w:rsidR="00C7765D" w:rsidRPr="00122C95" w:rsidRDefault="00C7765D" w:rsidP="00A72601">
            <w:pPr>
              <w:jc w:val="right"/>
              <w:rPr>
                <w:sz w:val="14"/>
                <w:szCs w:val="14"/>
                <w:lang w:eastAsia="es-AR"/>
              </w:rPr>
            </w:pPr>
          </w:p>
        </w:tc>
        <w:tc>
          <w:tcPr>
            <w:tcW w:w="1308" w:type="dxa"/>
            <w:tcBorders>
              <w:top w:val="nil"/>
              <w:left w:val="nil"/>
              <w:bottom w:val="nil"/>
              <w:right w:val="nil"/>
            </w:tcBorders>
            <w:shd w:val="clear" w:color="auto" w:fill="auto"/>
            <w:noWrap/>
            <w:vAlign w:val="bottom"/>
            <w:hideMark/>
          </w:tcPr>
          <w:p w14:paraId="59233DC0" w14:textId="77777777" w:rsidR="00C7765D" w:rsidRPr="00122C95" w:rsidRDefault="00C7765D" w:rsidP="00A72601">
            <w:pPr>
              <w:jc w:val="right"/>
              <w:rPr>
                <w:sz w:val="14"/>
                <w:szCs w:val="14"/>
                <w:lang w:eastAsia="es-AR"/>
              </w:rPr>
            </w:pPr>
          </w:p>
        </w:tc>
        <w:tc>
          <w:tcPr>
            <w:tcW w:w="708" w:type="dxa"/>
            <w:tcBorders>
              <w:top w:val="nil"/>
              <w:left w:val="nil"/>
              <w:bottom w:val="nil"/>
              <w:right w:val="nil"/>
            </w:tcBorders>
            <w:shd w:val="clear" w:color="auto" w:fill="auto"/>
            <w:noWrap/>
            <w:vAlign w:val="bottom"/>
            <w:hideMark/>
          </w:tcPr>
          <w:p w14:paraId="3804D866" w14:textId="77777777" w:rsidR="00C7765D" w:rsidRPr="00122C95" w:rsidRDefault="00C7765D" w:rsidP="00A72601">
            <w:pPr>
              <w:jc w:val="right"/>
              <w:rPr>
                <w:sz w:val="14"/>
                <w:szCs w:val="14"/>
                <w:lang w:eastAsia="es-AR"/>
              </w:rPr>
            </w:pPr>
          </w:p>
        </w:tc>
        <w:tc>
          <w:tcPr>
            <w:tcW w:w="710" w:type="dxa"/>
            <w:tcBorders>
              <w:top w:val="nil"/>
              <w:left w:val="nil"/>
              <w:bottom w:val="nil"/>
              <w:right w:val="nil"/>
            </w:tcBorders>
            <w:shd w:val="clear" w:color="auto" w:fill="auto"/>
            <w:noWrap/>
            <w:vAlign w:val="bottom"/>
            <w:hideMark/>
          </w:tcPr>
          <w:p w14:paraId="2CEE9F3E" w14:textId="77777777" w:rsidR="00C7765D" w:rsidRPr="00122C95" w:rsidRDefault="00C7765D" w:rsidP="00A72601">
            <w:pPr>
              <w:jc w:val="right"/>
              <w:rPr>
                <w:sz w:val="14"/>
                <w:szCs w:val="14"/>
                <w:lang w:eastAsia="es-AR"/>
              </w:rPr>
            </w:pPr>
          </w:p>
        </w:tc>
      </w:tr>
      <w:tr w:rsidR="00C7765D" w:rsidRPr="00122C95" w14:paraId="54225C1E" w14:textId="77777777" w:rsidTr="006E1AF7">
        <w:trPr>
          <w:trHeight w:val="255"/>
        </w:trPr>
        <w:tc>
          <w:tcPr>
            <w:tcW w:w="2689" w:type="dxa"/>
            <w:tcBorders>
              <w:top w:val="nil"/>
              <w:left w:val="nil"/>
              <w:bottom w:val="nil"/>
              <w:right w:val="nil"/>
            </w:tcBorders>
            <w:shd w:val="clear" w:color="auto" w:fill="auto"/>
            <w:hideMark/>
          </w:tcPr>
          <w:p w14:paraId="4B563955"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Depósitos</w:t>
            </w:r>
          </w:p>
        </w:tc>
        <w:tc>
          <w:tcPr>
            <w:tcW w:w="919" w:type="dxa"/>
            <w:tcBorders>
              <w:top w:val="nil"/>
              <w:left w:val="nil"/>
              <w:bottom w:val="nil"/>
              <w:right w:val="nil"/>
            </w:tcBorders>
            <w:shd w:val="clear" w:color="auto" w:fill="auto"/>
            <w:vAlign w:val="bottom"/>
            <w:hideMark/>
          </w:tcPr>
          <w:p w14:paraId="45E255D5" w14:textId="77777777" w:rsidR="00C7765D" w:rsidRPr="00122C95" w:rsidRDefault="00C7765D" w:rsidP="00A72601">
            <w:pPr>
              <w:jc w:val="right"/>
              <w:rPr>
                <w:rFonts w:ascii="Arial" w:hAnsi="Arial" w:cs="Arial"/>
                <w:b/>
                <w:bCs/>
                <w:sz w:val="14"/>
                <w:szCs w:val="14"/>
                <w:lang w:eastAsia="es-AR"/>
              </w:rPr>
            </w:pPr>
          </w:p>
        </w:tc>
        <w:tc>
          <w:tcPr>
            <w:tcW w:w="851" w:type="dxa"/>
            <w:tcBorders>
              <w:top w:val="nil"/>
              <w:left w:val="nil"/>
              <w:bottom w:val="nil"/>
              <w:right w:val="nil"/>
            </w:tcBorders>
            <w:shd w:val="clear" w:color="auto" w:fill="auto"/>
            <w:vAlign w:val="bottom"/>
            <w:hideMark/>
          </w:tcPr>
          <w:p w14:paraId="1703B20F" w14:textId="77777777" w:rsidR="00C7765D" w:rsidRPr="00122C95" w:rsidRDefault="00C7765D" w:rsidP="00A72601">
            <w:pPr>
              <w:jc w:val="right"/>
              <w:rPr>
                <w:sz w:val="14"/>
                <w:szCs w:val="14"/>
                <w:lang w:eastAsia="es-AR"/>
              </w:rPr>
            </w:pPr>
          </w:p>
        </w:tc>
        <w:tc>
          <w:tcPr>
            <w:tcW w:w="1360" w:type="dxa"/>
            <w:tcBorders>
              <w:top w:val="nil"/>
              <w:left w:val="nil"/>
              <w:bottom w:val="nil"/>
              <w:right w:val="nil"/>
            </w:tcBorders>
            <w:shd w:val="clear" w:color="auto" w:fill="auto"/>
            <w:vAlign w:val="bottom"/>
            <w:hideMark/>
          </w:tcPr>
          <w:p w14:paraId="03D2AF96" w14:textId="77777777" w:rsidR="00C7765D" w:rsidRPr="00122C95" w:rsidRDefault="00C7765D" w:rsidP="00A72601">
            <w:pPr>
              <w:jc w:val="right"/>
              <w:rPr>
                <w:sz w:val="14"/>
                <w:szCs w:val="14"/>
                <w:lang w:eastAsia="es-AR"/>
              </w:rPr>
            </w:pPr>
          </w:p>
        </w:tc>
        <w:tc>
          <w:tcPr>
            <w:tcW w:w="1269" w:type="dxa"/>
            <w:tcBorders>
              <w:top w:val="nil"/>
              <w:left w:val="nil"/>
              <w:bottom w:val="nil"/>
              <w:right w:val="nil"/>
            </w:tcBorders>
            <w:shd w:val="clear" w:color="auto" w:fill="auto"/>
            <w:vAlign w:val="bottom"/>
            <w:hideMark/>
          </w:tcPr>
          <w:p w14:paraId="44A6C191" w14:textId="77777777" w:rsidR="00C7765D" w:rsidRPr="00122C95" w:rsidRDefault="00C7765D" w:rsidP="00A72601">
            <w:pPr>
              <w:jc w:val="right"/>
              <w:rPr>
                <w:sz w:val="14"/>
                <w:szCs w:val="14"/>
                <w:lang w:eastAsia="es-AR"/>
              </w:rPr>
            </w:pPr>
          </w:p>
        </w:tc>
        <w:tc>
          <w:tcPr>
            <w:tcW w:w="1308" w:type="dxa"/>
            <w:tcBorders>
              <w:top w:val="nil"/>
              <w:left w:val="nil"/>
              <w:bottom w:val="nil"/>
              <w:right w:val="nil"/>
            </w:tcBorders>
            <w:shd w:val="clear" w:color="auto" w:fill="auto"/>
            <w:vAlign w:val="bottom"/>
            <w:hideMark/>
          </w:tcPr>
          <w:p w14:paraId="4C5CBABB" w14:textId="77777777" w:rsidR="00C7765D" w:rsidRPr="00122C95" w:rsidRDefault="00C7765D" w:rsidP="00A72601">
            <w:pPr>
              <w:jc w:val="right"/>
              <w:rPr>
                <w:sz w:val="14"/>
                <w:szCs w:val="14"/>
                <w:lang w:eastAsia="es-AR"/>
              </w:rPr>
            </w:pPr>
          </w:p>
        </w:tc>
        <w:tc>
          <w:tcPr>
            <w:tcW w:w="708" w:type="dxa"/>
            <w:tcBorders>
              <w:top w:val="nil"/>
              <w:left w:val="nil"/>
              <w:bottom w:val="nil"/>
              <w:right w:val="nil"/>
            </w:tcBorders>
            <w:shd w:val="clear" w:color="auto" w:fill="auto"/>
            <w:vAlign w:val="bottom"/>
            <w:hideMark/>
          </w:tcPr>
          <w:p w14:paraId="1C7476B8" w14:textId="77777777" w:rsidR="00C7765D" w:rsidRPr="00122C95" w:rsidRDefault="00C7765D" w:rsidP="00A72601">
            <w:pPr>
              <w:jc w:val="right"/>
              <w:rPr>
                <w:sz w:val="14"/>
                <w:szCs w:val="14"/>
                <w:lang w:eastAsia="es-AR"/>
              </w:rPr>
            </w:pPr>
          </w:p>
        </w:tc>
        <w:tc>
          <w:tcPr>
            <w:tcW w:w="710" w:type="dxa"/>
            <w:tcBorders>
              <w:top w:val="nil"/>
              <w:left w:val="nil"/>
              <w:bottom w:val="nil"/>
              <w:right w:val="nil"/>
            </w:tcBorders>
            <w:shd w:val="clear" w:color="auto" w:fill="auto"/>
            <w:vAlign w:val="bottom"/>
            <w:hideMark/>
          </w:tcPr>
          <w:p w14:paraId="3AFB4211" w14:textId="77777777" w:rsidR="00C7765D" w:rsidRPr="00122C95" w:rsidRDefault="00C7765D" w:rsidP="00A72601">
            <w:pPr>
              <w:jc w:val="right"/>
              <w:rPr>
                <w:sz w:val="14"/>
                <w:szCs w:val="14"/>
                <w:lang w:eastAsia="es-AR"/>
              </w:rPr>
            </w:pPr>
          </w:p>
        </w:tc>
      </w:tr>
      <w:tr w:rsidR="00A72601" w:rsidRPr="00122C95" w14:paraId="7110E546" w14:textId="77777777" w:rsidTr="006E1AF7">
        <w:trPr>
          <w:trHeight w:val="255"/>
        </w:trPr>
        <w:tc>
          <w:tcPr>
            <w:tcW w:w="2689" w:type="dxa"/>
            <w:tcBorders>
              <w:top w:val="nil"/>
              <w:left w:val="nil"/>
              <w:bottom w:val="nil"/>
              <w:right w:val="nil"/>
            </w:tcBorders>
            <w:shd w:val="clear" w:color="auto" w:fill="auto"/>
            <w:hideMark/>
          </w:tcPr>
          <w:p w14:paraId="4534D1DA" w14:textId="77777777" w:rsidR="00A72601" w:rsidRPr="00122C95" w:rsidRDefault="00A72601" w:rsidP="00A72601">
            <w:pPr>
              <w:ind w:firstLineChars="100" w:firstLine="140"/>
              <w:rPr>
                <w:rFonts w:ascii="Arial" w:hAnsi="Arial" w:cs="Arial"/>
                <w:sz w:val="14"/>
                <w:szCs w:val="14"/>
                <w:lang w:eastAsia="es-AR"/>
              </w:rPr>
            </w:pPr>
            <w:r w:rsidRPr="00122C95">
              <w:rPr>
                <w:rFonts w:ascii="Arial" w:hAnsi="Arial" w:cs="Arial"/>
                <w:sz w:val="14"/>
                <w:szCs w:val="14"/>
                <w:lang w:eastAsia="es-AR"/>
              </w:rPr>
              <w:t>Sector Público no Financiero</w:t>
            </w:r>
          </w:p>
        </w:tc>
        <w:tc>
          <w:tcPr>
            <w:tcW w:w="919" w:type="dxa"/>
            <w:tcBorders>
              <w:top w:val="nil"/>
              <w:left w:val="nil"/>
              <w:bottom w:val="nil"/>
              <w:right w:val="nil"/>
            </w:tcBorders>
            <w:shd w:val="clear" w:color="auto" w:fill="auto"/>
            <w:vAlign w:val="bottom"/>
          </w:tcPr>
          <w:p w14:paraId="166361B4" w14:textId="1DE8B561" w:rsidR="00A72601" w:rsidRPr="00122C95" w:rsidRDefault="00A72601" w:rsidP="00A72601">
            <w:pPr>
              <w:jc w:val="right"/>
              <w:rPr>
                <w:rFonts w:ascii="Arial" w:hAnsi="Arial" w:cs="Arial"/>
                <w:sz w:val="14"/>
                <w:szCs w:val="14"/>
                <w:lang w:eastAsia="es-AR"/>
              </w:rPr>
            </w:pPr>
            <w:r w:rsidRPr="00A72601">
              <w:rPr>
                <w:rFonts w:ascii="Arial" w:hAnsi="Arial" w:cs="Arial"/>
                <w:sz w:val="14"/>
                <w:szCs w:val="14"/>
                <w:lang w:eastAsia="es-AR"/>
              </w:rPr>
              <w:t>5.470.177</w:t>
            </w:r>
          </w:p>
        </w:tc>
        <w:tc>
          <w:tcPr>
            <w:tcW w:w="851" w:type="dxa"/>
            <w:tcBorders>
              <w:top w:val="nil"/>
              <w:left w:val="nil"/>
              <w:bottom w:val="nil"/>
              <w:right w:val="nil"/>
            </w:tcBorders>
            <w:shd w:val="clear" w:color="auto" w:fill="auto"/>
            <w:vAlign w:val="bottom"/>
          </w:tcPr>
          <w:p w14:paraId="7DA7F122" w14:textId="2C0E6B7B"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2EDA8EC7" w14:textId="22068ABA" w:rsidR="00A72601" w:rsidRPr="00122C95" w:rsidRDefault="00A72601" w:rsidP="00A72601">
            <w:pPr>
              <w:jc w:val="right"/>
              <w:rPr>
                <w:sz w:val="14"/>
                <w:szCs w:val="14"/>
                <w:lang w:eastAsia="es-AR"/>
              </w:rPr>
            </w:pPr>
            <w:r>
              <w:rPr>
                <w:rFonts w:ascii="Arial" w:hAnsi="Arial" w:cs="Arial"/>
                <w:sz w:val="14"/>
                <w:szCs w:val="14"/>
                <w:lang w:eastAsia="es-AR"/>
              </w:rPr>
              <w:t>-</w:t>
            </w:r>
          </w:p>
        </w:tc>
        <w:tc>
          <w:tcPr>
            <w:tcW w:w="1269" w:type="dxa"/>
            <w:tcBorders>
              <w:top w:val="nil"/>
              <w:left w:val="nil"/>
              <w:bottom w:val="nil"/>
              <w:right w:val="nil"/>
            </w:tcBorders>
            <w:shd w:val="clear" w:color="auto" w:fill="auto"/>
            <w:vAlign w:val="bottom"/>
          </w:tcPr>
          <w:p w14:paraId="11A431A7" w14:textId="5F33F107" w:rsidR="00A72601" w:rsidRPr="00122C95" w:rsidRDefault="00A72601" w:rsidP="00A72601">
            <w:pPr>
              <w:jc w:val="right"/>
              <w:rPr>
                <w:sz w:val="14"/>
                <w:szCs w:val="14"/>
                <w:lang w:eastAsia="es-AR"/>
              </w:rPr>
            </w:pPr>
            <w:r>
              <w:rPr>
                <w:rFonts w:ascii="Arial" w:hAnsi="Arial" w:cs="Arial"/>
                <w:sz w:val="14"/>
                <w:szCs w:val="14"/>
                <w:lang w:eastAsia="es-AR"/>
              </w:rPr>
              <w:t>-</w:t>
            </w:r>
          </w:p>
        </w:tc>
        <w:tc>
          <w:tcPr>
            <w:tcW w:w="1308" w:type="dxa"/>
            <w:tcBorders>
              <w:top w:val="nil"/>
              <w:left w:val="nil"/>
              <w:bottom w:val="nil"/>
              <w:right w:val="nil"/>
            </w:tcBorders>
            <w:shd w:val="clear" w:color="auto" w:fill="auto"/>
            <w:vAlign w:val="bottom"/>
          </w:tcPr>
          <w:p w14:paraId="63118079" w14:textId="4A34FA9C" w:rsidR="00A72601" w:rsidRPr="00122C95" w:rsidRDefault="00A72601" w:rsidP="00A72601">
            <w:pPr>
              <w:jc w:val="right"/>
              <w:rPr>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317A93A0" w14:textId="69B73114" w:rsidR="00A72601" w:rsidRPr="00122C95" w:rsidRDefault="00A72601" w:rsidP="00A72601">
            <w:pPr>
              <w:jc w:val="right"/>
              <w:rPr>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467E29A8" w14:textId="53B7844A" w:rsidR="00A72601" w:rsidRPr="00122C95" w:rsidRDefault="00A72601" w:rsidP="00A72601">
            <w:pPr>
              <w:jc w:val="right"/>
              <w:rPr>
                <w:sz w:val="14"/>
                <w:szCs w:val="14"/>
                <w:lang w:eastAsia="es-AR"/>
              </w:rPr>
            </w:pPr>
            <w:r>
              <w:rPr>
                <w:rFonts w:ascii="Arial" w:hAnsi="Arial" w:cs="Arial"/>
                <w:sz w:val="14"/>
                <w:szCs w:val="14"/>
                <w:lang w:eastAsia="es-AR"/>
              </w:rPr>
              <w:t>-</w:t>
            </w:r>
          </w:p>
        </w:tc>
      </w:tr>
      <w:tr w:rsidR="00A72601" w:rsidRPr="00122C95" w14:paraId="6977AFCF" w14:textId="77777777" w:rsidTr="006E1AF7">
        <w:trPr>
          <w:trHeight w:val="255"/>
        </w:trPr>
        <w:tc>
          <w:tcPr>
            <w:tcW w:w="2689" w:type="dxa"/>
            <w:tcBorders>
              <w:top w:val="nil"/>
              <w:left w:val="nil"/>
              <w:bottom w:val="nil"/>
              <w:right w:val="nil"/>
            </w:tcBorders>
            <w:shd w:val="clear" w:color="auto" w:fill="auto"/>
            <w:hideMark/>
          </w:tcPr>
          <w:p w14:paraId="3038A711" w14:textId="77777777" w:rsidR="00A72601" w:rsidRPr="00122C95" w:rsidRDefault="00A72601" w:rsidP="00A72601">
            <w:pPr>
              <w:ind w:firstLineChars="100" w:firstLine="140"/>
              <w:rPr>
                <w:rFonts w:ascii="Arial" w:hAnsi="Arial" w:cs="Arial"/>
                <w:sz w:val="14"/>
                <w:szCs w:val="14"/>
                <w:lang w:eastAsia="es-AR"/>
              </w:rPr>
            </w:pPr>
            <w:r w:rsidRPr="00122C95">
              <w:rPr>
                <w:rFonts w:ascii="Arial" w:hAnsi="Arial" w:cs="Arial"/>
                <w:sz w:val="14"/>
                <w:szCs w:val="14"/>
                <w:lang w:eastAsia="es-AR"/>
              </w:rPr>
              <w:t>Sector Financiero</w:t>
            </w:r>
          </w:p>
        </w:tc>
        <w:tc>
          <w:tcPr>
            <w:tcW w:w="919" w:type="dxa"/>
            <w:tcBorders>
              <w:top w:val="nil"/>
              <w:left w:val="nil"/>
              <w:bottom w:val="nil"/>
              <w:right w:val="nil"/>
            </w:tcBorders>
            <w:shd w:val="clear" w:color="auto" w:fill="auto"/>
            <w:vAlign w:val="bottom"/>
          </w:tcPr>
          <w:p w14:paraId="086DFBBD" w14:textId="14C70959" w:rsidR="00A72601"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37.358</w:t>
            </w:r>
          </w:p>
        </w:tc>
        <w:tc>
          <w:tcPr>
            <w:tcW w:w="851" w:type="dxa"/>
            <w:tcBorders>
              <w:top w:val="nil"/>
              <w:left w:val="nil"/>
              <w:bottom w:val="nil"/>
              <w:right w:val="nil"/>
            </w:tcBorders>
            <w:shd w:val="clear" w:color="auto" w:fill="auto"/>
            <w:vAlign w:val="bottom"/>
          </w:tcPr>
          <w:p w14:paraId="7E5F3CDA" w14:textId="403E068E"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26AE6411" w14:textId="7004C108" w:rsidR="00A72601" w:rsidRPr="00122C95" w:rsidRDefault="00A72601" w:rsidP="00A72601">
            <w:pPr>
              <w:jc w:val="right"/>
              <w:rPr>
                <w:sz w:val="14"/>
                <w:szCs w:val="14"/>
                <w:lang w:eastAsia="es-AR"/>
              </w:rPr>
            </w:pPr>
            <w:r>
              <w:rPr>
                <w:rFonts w:ascii="Arial" w:hAnsi="Arial" w:cs="Arial"/>
                <w:sz w:val="14"/>
                <w:szCs w:val="14"/>
                <w:lang w:eastAsia="es-AR"/>
              </w:rPr>
              <w:t>-</w:t>
            </w:r>
          </w:p>
        </w:tc>
        <w:tc>
          <w:tcPr>
            <w:tcW w:w="1269" w:type="dxa"/>
            <w:tcBorders>
              <w:top w:val="nil"/>
              <w:left w:val="nil"/>
              <w:bottom w:val="nil"/>
              <w:right w:val="nil"/>
            </w:tcBorders>
            <w:shd w:val="clear" w:color="auto" w:fill="auto"/>
            <w:vAlign w:val="bottom"/>
          </w:tcPr>
          <w:p w14:paraId="0B41B72C" w14:textId="66B29420" w:rsidR="00A72601" w:rsidRPr="00122C95" w:rsidRDefault="00A72601" w:rsidP="00A72601">
            <w:pPr>
              <w:jc w:val="right"/>
              <w:rPr>
                <w:sz w:val="14"/>
                <w:szCs w:val="14"/>
                <w:lang w:eastAsia="es-AR"/>
              </w:rPr>
            </w:pPr>
            <w:r>
              <w:rPr>
                <w:rFonts w:ascii="Arial" w:hAnsi="Arial" w:cs="Arial"/>
                <w:sz w:val="14"/>
                <w:szCs w:val="14"/>
                <w:lang w:eastAsia="es-AR"/>
              </w:rPr>
              <w:t>-</w:t>
            </w:r>
          </w:p>
        </w:tc>
        <w:tc>
          <w:tcPr>
            <w:tcW w:w="1308" w:type="dxa"/>
            <w:tcBorders>
              <w:top w:val="nil"/>
              <w:left w:val="nil"/>
              <w:bottom w:val="nil"/>
              <w:right w:val="nil"/>
            </w:tcBorders>
            <w:shd w:val="clear" w:color="auto" w:fill="auto"/>
            <w:vAlign w:val="bottom"/>
          </w:tcPr>
          <w:p w14:paraId="731CC209" w14:textId="6D7F10C8" w:rsidR="00A72601" w:rsidRPr="00122C95" w:rsidRDefault="00A72601" w:rsidP="00A72601">
            <w:pPr>
              <w:jc w:val="right"/>
              <w:rPr>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314CD62C" w14:textId="33E2CE91" w:rsidR="00A72601" w:rsidRPr="00122C95" w:rsidRDefault="00A72601" w:rsidP="00A72601">
            <w:pPr>
              <w:jc w:val="right"/>
              <w:rPr>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6BC1160C" w14:textId="425AF090" w:rsidR="00A72601" w:rsidRPr="00122C95" w:rsidRDefault="00A72601" w:rsidP="00A72601">
            <w:pPr>
              <w:jc w:val="right"/>
              <w:rPr>
                <w:sz w:val="14"/>
                <w:szCs w:val="14"/>
                <w:lang w:eastAsia="es-AR"/>
              </w:rPr>
            </w:pPr>
            <w:r>
              <w:rPr>
                <w:rFonts w:ascii="Arial" w:hAnsi="Arial" w:cs="Arial"/>
                <w:sz w:val="14"/>
                <w:szCs w:val="14"/>
                <w:lang w:eastAsia="es-AR"/>
              </w:rPr>
              <w:t>-</w:t>
            </w:r>
          </w:p>
        </w:tc>
      </w:tr>
      <w:tr w:rsidR="00A72601" w:rsidRPr="00122C95" w14:paraId="2D4762DD" w14:textId="77777777" w:rsidTr="006E1AF7">
        <w:trPr>
          <w:trHeight w:val="510"/>
        </w:trPr>
        <w:tc>
          <w:tcPr>
            <w:tcW w:w="2689" w:type="dxa"/>
            <w:tcBorders>
              <w:top w:val="nil"/>
              <w:left w:val="nil"/>
              <w:bottom w:val="nil"/>
              <w:right w:val="nil"/>
            </w:tcBorders>
            <w:shd w:val="clear" w:color="auto" w:fill="auto"/>
            <w:hideMark/>
          </w:tcPr>
          <w:p w14:paraId="2FA0964E" w14:textId="77777777" w:rsidR="00A72601" w:rsidRPr="00122C95" w:rsidRDefault="00A72601" w:rsidP="00A72601">
            <w:pPr>
              <w:rPr>
                <w:rFonts w:ascii="Arial" w:hAnsi="Arial" w:cs="Arial"/>
                <w:sz w:val="14"/>
                <w:szCs w:val="14"/>
                <w:lang w:eastAsia="es-AR"/>
              </w:rPr>
            </w:pPr>
            <w:r w:rsidRPr="00122C95">
              <w:rPr>
                <w:rFonts w:ascii="Arial" w:hAnsi="Arial" w:cs="Arial"/>
                <w:sz w:val="14"/>
                <w:szCs w:val="14"/>
                <w:lang w:eastAsia="es-AR"/>
              </w:rPr>
              <w:t>Sector Privado no Financiero y Residentes en el exterior</w:t>
            </w:r>
          </w:p>
        </w:tc>
        <w:tc>
          <w:tcPr>
            <w:tcW w:w="919" w:type="dxa"/>
            <w:tcBorders>
              <w:top w:val="nil"/>
              <w:left w:val="nil"/>
              <w:bottom w:val="nil"/>
              <w:right w:val="nil"/>
            </w:tcBorders>
            <w:shd w:val="clear" w:color="auto" w:fill="auto"/>
            <w:vAlign w:val="bottom"/>
          </w:tcPr>
          <w:p w14:paraId="3EB2FCB6" w14:textId="440CEE1C" w:rsidR="00A72601"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84.229.534</w:t>
            </w:r>
          </w:p>
        </w:tc>
        <w:tc>
          <w:tcPr>
            <w:tcW w:w="851" w:type="dxa"/>
            <w:tcBorders>
              <w:top w:val="nil"/>
              <w:left w:val="nil"/>
              <w:bottom w:val="nil"/>
              <w:right w:val="nil"/>
            </w:tcBorders>
            <w:shd w:val="clear" w:color="auto" w:fill="auto"/>
            <w:vAlign w:val="bottom"/>
          </w:tcPr>
          <w:p w14:paraId="7395ABCE" w14:textId="268E4A42" w:rsidR="00A72601" w:rsidRPr="00122C95" w:rsidRDefault="00A72601" w:rsidP="00A72601">
            <w:pPr>
              <w:jc w:val="right"/>
              <w:rPr>
                <w:sz w:val="14"/>
                <w:szCs w:val="14"/>
                <w:lang w:eastAsia="es-AR"/>
              </w:rPr>
            </w:pPr>
            <w:r>
              <w:rPr>
                <w:sz w:val="14"/>
                <w:szCs w:val="14"/>
                <w:lang w:eastAsia="es-AR"/>
              </w:rPr>
              <w:t>-</w:t>
            </w:r>
          </w:p>
        </w:tc>
        <w:tc>
          <w:tcPr>
            <w:tcW w:w="1360" w:type="dxa"/>
            <w:tcBorders>
              <w:top w:val="nil"/>
              <w:left w:val="nil"/>
              <w:bottom w:val="nil"/>
              <w:right w:val="nil"/>
            </w:tcBorders>
            <w:shd w:val="clear" w:color="auto" w:fill="auto"/>
            <w:vAlign w:val="bottom"/>
          </w:tcPr>
          <w:p w14:paraId="4FECE7EF" w14:textId="016E4A58" w:rsidR="00A72601" w:rsidRPr="00122C95" w:rsidRDefault="00A72601" w:rsidP="00A72601">
            <w:pPr>
              <w:jc w:val="right"/>
              <w:rPr>
                <w:sz w:val="14"/>
                <w:szCs w:val="14"/>
                <w:lang w:eastAsia="es-AR"/>
              </w:rPr>
            </w:pPr>
            <w:r>
              <w:rPr>
                <w:sz w:val="14"/>
                <w:szCs w:val="14"/>
                <w:lang w:eastAsia="es-AR"/>
              </w:rPr>
              <w:t>-</w:t>
            </w:r>
          </w:p>
        </w:tc>
        <w:tc>
          <w:tcPr>
            <w:tcW w:w="1269" w:type="dxa"/>
            <w:tcBorders>
              <w:top w:val="nil"/>
              <w:left w:val="nil"/>
              <w:bottom w:val="nil"/>
              <w:right w:val="nil"/>
            </w:tcBorders>
            <w:shd w:val="clear" w:color="auto" w:fill="auto"/>
            <w:vAlign w:val="bottom"/>
          </w:tcPr>
          <w:p w14:paraId="4E8A9D75" w14:textId="6BE96FC1" w:rsidR="00A72601" w:rsidRPr="00122C95" w:rsidRDefault="00A72601" w:rsidP="00A72601">
            <w:pPr>
              <w:jc w:val="right"/>
              <w:rPr>
                <w:sz w:val="14"/>
                <w:szCs w:val="14"/>
                <w:lang w:eastAsia="es-AR"/>
              </w:rPr>
            </w:pPr>
            <w:r>
              <w:rPr>
                <w:sz w:val="14"/>
                <w:szCs w:val="14"/>
                <w:lang w:eastAsia="es-AR"/>
              </w:rPr>
              <w:t>-</w:t>
            </w:r>
          </w:p>
        </w:tc>
        <w:tc>
          <w:tcPr>
            <w:tcW w:w="1308" w:type="dxa"/>
            <w:tcBorders>
              <w:top w:val="nil"/>
              <w:left w:val="nil"/>
              <w:bottom w:val="nil"/>
              <w:right w:val="nil"/>
            </w:tcBorders>
            <w:shd w:val="clear" w:color="auto" w:fill="auto"/>
            <w:vAlign w:val="bottom"/>
          </w:tcPr>
          <w:p w14:paraId="36C75EFB" w14:textId="3EB3A7E4" w:rsidR="00A72601" w:rsidRPr="00122C95" w:rsidRDefault="00A72601" w:rsidP="00A72601">
            <w:pPr>
              <w:jc w:val="right"/>
              <w:rPr>
                <w:sz w:val="14"/>
                <w:szCs w:val="14"/>
                <w:lang w:eastAsia="es-AR"/>
              </w:rPr>
            </w:pPr>
            <w:r>
              <w:rPr>
                <w:sz w:val="14"/>
                <w:szCs w:val="14"/>
                <w:lang w:eastAsia="es-AR"/>
              </w:rPr>
              <w:t>-</w:t>
            </w:r>
          </w:p>
        </w:tc>
        <w:tc>
          <w:tcPr>
            <w:tcW w:w="708" w:type="dxa"/>
            <w:tcBorders>
              <w:top w:val="nil"/>
              <w:left w:val="nil"/>
              <w:bottom w:val="nil"/>
              <w:right w:val="nil"/>
            </w:tcBorders>
            <w:shd w:val="clear" w:color="auto" w:fill="auto"/>
            <w:vAlign w:val="bottom"/>
          </w:tcPr>
          <w:p w14:paraId="199395FB" w14:textId="1F1B65A6" w:rsidR="00A72601" w:rsidRPr="00122C95" w:rsidRDefault="00A72601" w:rsidP="00A72601">
            <w:pPr>
              <w:jc w:val="right"/>
              <w:rPr>
                <w:sz w:val="14"/>
                <w:szCs w:val="14"/>
                <w:lang w:eastAsia="es-AR"/>
              </w:rPr>
            </w:pPr>
            <w:r>
              <w:rPr>
                <w:sz w:val="14"/>
                <w:szCs w:val="14"/>
                <w:lang w:eastAsia="es-AR"/>
              </w:rPr>
              <w:t>-</w:t>
            </w:r>
          </w:p>
        </w:tc>
        <w:tc>
          <w:tcPr>
            <w:tcW w:w="710" w:type="dxa"/>
            <w:tcBorders>
              <w:top w:val="nil"/>
              <w:left w:val="nil"/>
              <w:bottom w:val="nil"/>
              <w:right w:val="nil"/>
            </w:tcBorders>
            <w:shd w:val="clear" w:color="auto" w:fill="auto"/>
            <w:vAlign w:val="bottom"/>
          </w:tcPr>
          <w:p w14:paraId="4DED8D02" w14:textId="35CB8A72" w:rsidR="00A72601" w:rsidRPr="00122C95" w:rsidRDefault="00A72601" w:rsidP="00A72601">
            <w:pPr>
              <w:jc w:val="right"/>
              <w:rPr>
                <w:sz w:val="14"/>
                <w:szCs w:val="14"/>
                <w:lang w:eastAsia="es-AR"/>
              </w:rPr>
            </w:pPr>
            <w:r>
              <w:rPr>
                <w:sz w:val="14"/>
                <w:szCs w:val="14"/>
                <w:lang w:eastAsia="es-AR"/>
              </w:rPr>
              <w:t>-</w:t>
            </w:r>
          </w:p>
        </w:tc>
      </w:tr>
      <w:tr w:rsidR="00A72601" w:rsidRPr="00122C95" w14:paraId="65783B78" w14:textId="77777777" w:rsidTr="006E1AF7">
        <w:trPr>
          <w:trHeight w:val="255"/>
        </w:trPr>
        <w:tc>
          <w:tcPr>
            <w:tcW w:w="2689" w:type="dxa"/>
            <w:tcBorders>
              <w:top w:val="nil"/>
              <w:left w:val="nil"/>
              <w:bottom w:val="nil"/>
              <w:right w:val="nil"/>
            </w:tcBorders>
            <w:shd w:val="clear" w:color="auto" w:fill="auto"/>
            <w:hideMark/>
          </w:tcPr>
          <w:p w14:paraId="26A889A9"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Cuentas corrientes</w:t>
            </w:r>
          </w:p>
        </w:tc>
        <w:tc>
          <w:tcPr>
            <w:tcW w:w="919" w:type="dxa"/>
            <w:tcBorders>
              <w:top w:val="nil"/>
              <w:left w:val="nil"/>
              <w:bottom w:val="nil"/>
              <w:right w:val="nil"/>
            </w:tcBorders>
            <w:shd w:val="clear" w:color="auto" w:fill="auto"/>
            <w:vAlign w:val="bottom"/>
          </w:tcPr>
          <w:p w14:paraId="2AB5D5EA" w14:textId="7B268F9D" w:rsidR="00A72601"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12.127.032</w:t>
            </w:r>
          </w:p>
        </w:tc>
        <w:tc>
          <w:tcPr>
            <w:tcW w:w="851" w:type="dxa"/>
            <w:tcBorders>
              <w:top w:val="nil"/>
              <w:left w:val="nil"/>
              <w:bottom w:val="nil"/>
              <w:right w:val="nil"/>
            </w:tcBorders>
            <w:shd w:val="clear" w:color="auto" w:fill="auto"/>
            <w:vAlign w:val="bottom"/>
          </w:tcPr>
          <w:p w14:paraId="1CDC2A5B" w14:textId="3BC38332"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4551AF50" w14:textId="7F26BDF3" w:rsidR="00A72601" w:rsidRPr="00122C95" w:rsidRDefault="00A72601" w:rsidP="00A72601">
            <w:pPr>
              <w:jc w:val="right"/>
              <w:rPr>
                <w:sz w:val="14"/>
                <w:szCs w:val="14"/>
                <w:lang w:eastAsia="es-AR"/>
              </w:rPr>
            </w:pPr>
            <w:r>
              <w:rPr>
                <w:rFonts w:ascii="Arial" w:hAnsi="Arial" w:cs="Arial"/>
                <w:sz w:val="14"/>
                <w:szCs w:val="14"/>
                <w:lang w:eastAsia="es-AR"/>
              </w:rPr>
              <w:t>-</w:t>
            </w:r>
          </w:p>
        </w:tc>
        <w:tc>
          <w:tcPr>
            <w:tcW w:w="1269" w:type="dxa"/>
            <w:tcBorders>
              <w:top w:val="nil"/>
              <w:left w:val="nil"/>
              <w:bottom w:val="nil"/>
              <w:right w:val="nil"/>
            </w:tcBorders>
            <w:shd w:val="clear" w:color="auto" w:fill="auto"/>
            <w:vAlign w:val="bottom"/>
          </w:tcPr>
          <w:p w14:paraId="69BF6A20" w14:textId="75714109" w:rsidR="00A72601" w:rsidRPr="00122C95" w:rsidRDefault="00A72601" w:rsidP="00A72601">
            <w:pPr>
              <w:jc w:val="right"/>
              <w:rPr>
                <w:sz w:val="14"/>
                <w:szCs w:val="14"/>
                <w:lang w:eastAsia="es-AR"/>
              </w:rPr>
            </w:pPr>
            <w:r>
              <w:rPr>
                <w:rFonts w:ascii="Arial" w:hAnsi="Arial" w:cs="Arial"/>
                <w:sz w:val="14"/>
                <w:szCs w:val="14"/>
                <w:lang w:eastAsia="es-AR"/>
              </w:rPr>
              <w:t>-</w:t>
            </w:r>
          </w:p>
        </w:tc>
        <w:tc>
          <w:tcPr>
            <w:tcW w:w="1308" w:type="dxa"/>
            <w:tcBorders>
              <w:top w:val="nil"/>
              <w:left w:val="nil"/>
              <w:bottom w:val="nil"/>
              <w:right w:val="nil"/>
            </w:tcBorders>
            <w:shd w:val="clear" w:color="auto" w:fill="auto"/>
            <w:vAlign w:val="bottom"/>
          </w:tcPr>
          <w:p w14:paraId="6F573433" w14:textId="0D3CAA93" w:rsidR="00A72601" w:rsidRPr="00122C95" w:rsidRDefault="00A72601" w:rsidP="00A72601">
            <w:pPr>
              <w:jc w:val="right"/>
              <w:rPr>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7F7A7BEA" w14:textId="79174407" w:rsidR="00A72601" w:rsidRPr="00122C95" w:rsidRDefault="00A72601" w:rsidP="00A72601">
            <w:pPr>
              <w:jc w:val="right"/>
              <w:rPr>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18F0B5B9" w14:textId="5C8B11DA" w:rsidR="00A72601" w:rsidRPr="00122C95" w:rsidRDefault="00A72601" w:rsidP="00A72601">
            <w:pPr>
              <w:jc w:val="right"/>
              <w:rPr>
                <w:sz w:val="14"/>
                <w:szCs w:val="14"/>
                <w:lang w:eastAsia="es-AR"/>
              </w:rPr>
            </w:pPr>
            <w:r>
              <w:rPr>
                <w:rFonts w:ascii="Arial" w:hAnsi="Arial" w:cs="Arial"/>
                <w:sz w:val="14"/>
                <w:szCs w:val="14"/>
                <w:lang w:eastAsia="es-AR"/>
              </w:rPr>
              <w:t>-</w:t>
            </w:r>
          </w:p>
        </w:tc>
      </w:tr>
      <w:tr w:rsidR="00A72601" w:rsidRPr="00122C95" w14:paraId="124D59FA" w14:textId="77777777" w:rsidTr="006E1AF7">
        <w:trPr>
          <w:trHeight w:val="255"/>
        </w:trPr>
        <w:tc>
          <w:tcPr>
            <w:tcW w:w="2689" w:type="dxa"/>
            <w:tcBorders>
              <w:top w:val="nil"/>
              <w:left w:val="nil"/>
              <w:bottom w:val="nil"/>
              <w:right w:val="nil"/>
            </w:tcBorders>
            <w:shd w:val="clear" w:color="auto" w:fill="auto"/>
            <w:hideMark/>
          </w:tcPr>
          <w:p w14:paraId="508E4C73"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Caja de ahorros</w:t>
            </w:r>
          </w:p>
        </w:tc>
        <w:tc>
          <w:tcPr>
            <w:tcW w:w="919" w:type="dxa"/>
            <w:tcBorders>
              <w:top w:val="nil"/>
              <w:left w:val="nil"/>
              <w:bottom w:val="nil"/>
              <w:right w:val="nil"/>
            </w:tcBorders>
            <w:shd w:val="clear" w:color="auto" w:fill="auto"/>
            <w:vAlign w:val="bottom"/>
          </w:tcPr>
          <w:p w14:paraId="7E17BA28" w14:textId="4B34E6C4" w:rsidR="00A72601"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39.992.352</w:t>
            </w:r>
          </w:p>
        </w:tc>
        <w:tc>
          <w:tcPr>
            <w:tcW w:w="851" w:type="dxa"/>
            <w:tcBorders>
              <w:top w:val="nil"/>
              <w:left w:val="nil"/>
              <w:bottom w:val="nil"/>
              <w:right w:val="nil"/>
            </w:tcBorders>
            <w:shd w:val="clear" w:color="auto" w:fill="auto"/>
            <w:vAlign w:val="bottom"/>
          </w:tcPr>
          <w:p w14:paraId="6F4D7D53" w14:textId="568CD800"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0ACDCF78" w14:textId="0C520506" w:rsidR="00A72601" w:rsidRPr="00122C95" w:rsidRDefault="00A72601" w:rsidP="00A72601">
            <w:pPr>
              <w:jc w:val="right"/>
              <w:rPr>
                <w:sz w:val="14"/>
                <w:szCs w:val="14"/>
                <w:lang w:eastAsia="es-AR"/>
              </w:rPr>
            </w:pPr>
            <w:r>
              <w:rPr>
                <w:rFonts w:ascii="Arial" w:hAnsi="Arial" w:cs="Arial"/>
                <w:sz w:val="14"/>
                <w:szCs w:val="14"/>
                <w:lang w:eastAsia="es-AR"/>
              </w:rPr>
              <w:t>-</w:t>
            </w:r>
          </w:p>
        </w:tc>
        <w:tc>
          <w:tcPr>
            <w:tcW w:w="1269" w:type="dxa"/>
            <w:tcBorders>
              <w:top w:val="nil"/>
              <w:left w:val="nil"/>
              <w:bottom w:val="nil"/>
              <w:right w:val="nil"/>
            </w:tcBorders>
            <w:shd w:val="clear" w:color="auto" w:fill="auto"/>
            <w:vAlign w:val="bottom"/>
          </w:tcPr>
          <w:p w14:paraId="149CDAE1" w14:textId="14D8F547" w:rsidR="00A72601" w:rsidRPr="00122C95" w:rsidRDefault="00A72601" w:rsidP="00A72601">
            <w:pPr>
              <w:jc w:val="right"/>
              <w:rPr>
                <w:sz w:val="14"/>
                <w:szCs w:val="14"/>
                <w:lang w:eastAsia="es-AR"/>
              </w:rPr>
            </w:pPr>
            <w:r>
              <w:rPr>
                <w:rFonts w:ascii="Arial" w:hAnsi="Arial" w:cs="Arial"/>
                <w:sz w:val="14"/>
                <w:szCs w:val="14"/>
                <w:lang w:eastAsia="es-AR"/>
              </w:rPr>
              <w:t>-</w:t>
            </w:r>
          </w:p>
        </w:tc>
        <w:tc>
          <w:tcPr>
            <w:tcW w:w="1308" w:type="dxa"/>
            <w:tcBorders>
              <w:top w:val="nil"/>
              <w:left w:val="nil"/>
              <w:bottom w:val="nil"/>
              <w:right w:val="nil"/>
            </w:tcBorders>
            <w:shd w:val="clear" w:color="auto" w:fill="auto"/>
            <w:vAlign w:val="bottom"/>
          </w:tcPr>
          <w:p w14:paraId="6085AAA0" w14:textId="6B688D96" w:rsidR="00A72601" w:rsidRPr="00122C95" w:rsidRDefault="00A72601" w:rsidP="00A72601">
            <w:pPr>
              <w:jc w:val="right"/>
              <w:rPr>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02EFA182" w14:textId="0C99BFA0" w:rsidR="00A72601" w:rsidRPr="00122C95" w:rsidRDefault="00A72601" w:rsidP="00A72601">
            <w:pPr>
              <w:jc w:val="right"/>
              <w:rPr>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3E13A27D" w14:textId="5E38BB40" w:rsidR="00A72601" w:rsidRPr="00122C95" w:rsidRDefault="00A72601" w:rsidP="00A72601">
            <w:pPr>
              <w:jc w:val="right"/>
              <w:rPr>
                <w:sz w:val="14"/>
                <w:szCs w:val="14"/>
                <w:lang w:eastAsia="es-AR"/>
              </w:rPr>
            </w:pPr>
            <w:r>
              <w:rPr>
                <w:rFonts w:ascii="Arial" w:hAnsi="Arial" w:cs="Arial"/>
                <w:sz w:val="14"/>
                <w:szCs w:val="14"/>
                <w:lang w:eastAsia="es-AR"/>
              </w:rPr>
              <w:t>-</w:t>
            </w:r>
          </w:p>
        </w:tc>
      </w:tr>
      <w:tr w:rsidR="00A72601" w:rsidRPr="00122C95" w14:paraId="0C90F274" w14:textId="77777777" w:rsidTr="006E1AF7">
        <w:trPr>
          <w:trHeight w:val="255"/>
        </w:trPr>
        <w:tc>
          <w:tcPr>
            <w:tcW w:w="2689" w:type="dxa"/>
            <w:tcBorders>
              <w:top w:val="nil"/>
              <w:left w:val="nil"/>
              <w:bottom w:val="nil"/>
              <w:right w:val="nil"/>
            </w:tcBorders>
            <w:shd w:val="clear" w:color="auto" w:fill="auto"/>
            <w:hideMark/>
          </w:tcPr>
          <w:p w14:paraId="3C8177A7"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Plazo fijo e inversiones a plazo</w:t>
            </w:r>
          </w:p>
        </w:tc>
        <w:tc>
          <w:tcPr>
            <w:tcW w:w="919" w:type="dxa"/>
            <w:tcBorders>
              <w:top w:val="nil"/>
              <w:left w:val="nil"/>
              <w:bottom w:val="nil"/>
              <w:right w:val="nil"/>
            </w:tcBorders>
            <w:shd w:val="clear" w:color="auto" w:fill="auto"/>
            <w:vAlign w:val="bottom"/>
          </w:tcPr>
          <w:p w14:paraId="4DD82579" w14:textId="10E6C446" w:rsidR="00A72601"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29.133.072</w:t>
            </w:r>
          </w:p>
        </w:tc>
        <w:tc>
          <w:tcPr>
            <w:tcW w:w="851" w:type="dxa"/>
            <w:tcBorders>
              <w:top w:val="nil"/>
              <w:left w:val="nil"/>
              <w:bottom w:val="nil"/>
              <w:right w:val="nil"/>
            </w:tcBorders>
            <w:shd w:val="clear" w:color="auto" w:fill="auto"/>
            <w:vAlign w:val="bottom"/>
          </w:tcPr>
          <w:p w14:paraId="78226AB2" w14:textId="744752BC"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5B642367" w14:textId="41976BDB" w:rsidR="00A72601" w:rsidRPr="00122C95" w:rsidRDefault="00A72601" w:rsidP="00A72601">
            <w:pPr>
              <w:jc w:val="right"/>
              <w:rPr>
                <w:sz w:val="14"/>
                <w:szCs w:val="14"/>
                <w:lang w:eastAsia="es-AR"/>
              </w:rPr>
            </w:pPr>
            <w:r>
              <w:rPr>
                <w:rFonts w:ascii="Arial" w:hAnsi="Arial" w:cs="Arial"/>
                <w:sz w:val="14"/>
                <w:szCs w:val="14"/>
                <w:lang w:eastAsia="es-AR"/>
              </w:rPr>
              <w:t>-</w:t>
            </w:r>
          </w:p>
        </w:tc>
        <w:tc>
          <w:tcPr>
            <w:tcW w:w="1269" w:type="dxa"/>
            <w:tcBorders>
              <w:top w:val="nil"/>
              <w:left w:val="nil"/>
              <w:bottom w:val="nil"/>
              <w:right w:val="nil"/>
            </w:tcBorders>
            <w:shd w:val="clear" w:color="auto" w:fill="auto"/>
            <w:vAlign w:val="bottom"/>
          </w:tcPr>
          <w:p w14:paraId="2BAF0042" w14:textId="624653C5" w:rsidR="00A72601" w:rsidRPr="00122C95" w:rsidRDefault="00A72601" w:rsidP="00A72601">
            <w:pPr>
              <w:jc w:val="right"/>
              <w:rPr>
                <w:sz w:val="14"/>
                <w:szCs w:val="14"/>
                <w:lang w:eastAsia="es-AR"/>
              </w:rPr>
            </w:pPr>
            <w:r>
              <w:rPr>
                <w:rFonts w:ascii="Arial" w:hAnsi="Arial" w:cs="Arial"/>
                <w:sz w:val="14"/>
                <w:szCs w:val="14"/>
                <w:lang w:eastAsia="es-AR"/>
              </w:rPr>
              <w:t>-</w:t>
            </w:r>
          </w:p>
        </w:tc>
        <w:tc>
          <w:tcPr>
            <w:tcW w:w="1308" w:type="dxa"/>
            <w:tcBorders>
              <w:top w:val="nil"/>
              <w:left w:val="nil"/>
              <w:bottom w:val="nil"/>
              <w:right w:val="nil"/>
            </w:tcBorders>
            <w:shd w:val="clear" w:color="auto" w:fill="auto"/>
            <w:vAlign w:val="bottom"/>
          </w:tcPr>
          <w:p w14:paraId="73A9B5A5" w14:textId="250C9893" w:rsidR="00A72601" w:rsidRPr="00122C95" w:rsidRDefault="00A72601" w:rsidP="00A72601">
            <w:pPr>
              <w:jc w:val="right"/>
              <w:rPr>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50AA7AB2" w14:textId="01591301" w:rsidR="00A72601" w:rsidRPr="00122C95" w:rsidRDefault="00A72601" w:rsidP="00A72601">
            <w:pPr>
              <w:jc w:val="right"/>
              <w:rPr>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3731CCF7" w14:textId="41746509" w:rsidR="00A72601" w:rsidRPr="00122C95" w:rsidRDefault="00A72601" w:rsidP="00A72601">
            <w:pPr>
              <w:jc w:val="right"/>
              <w:rPr>
                <w:sz w:val="14"/>
                <w:szCs w:val="14"/>
                <w:lang w:eastAsia="es-AR"/>
              </w:rPr>
            </w:pPr>
            <w:r>
              <w:rPr>
                <w:rFonts w:ascii="Arial" w:hAnsi="Arial" w:cs="Arial"/>
                <w:sz w:val="14"/>
                <w:szCs w:val="14"/>
                <w:lang w:eastAsia="es-AR"/>
              </w:rPr>
              <w:t>-</w:t>
            </w:r>
          </w:p>
        </w:tc>
      </w:tr>
      <w:tr w:rsidR="00A72601" w:rsidRPr="00122C95" w14:paraId="02985015" w14:textId="77777777" w:rsidTr="006E1AF7">
        <w:trPr>
          <w:trHeight w:val="255"/>
        </w:trPr>
        <w:tc>
          <w:tcPr>
            <w:tcW w:w="2689" w:type="dxa"/>
            <w:tcBorders>
              <w:top w:val="nil"/>
              <w:left w:val="nil"/>
              <w:bottom w:val="nil"/>
              <w:right w:val="nil"/>
            </w:tcBorders>
            <w:shd w:val="clear" w:color="auto" w:fill="auto"/>
            <w:hideMark/>
          </w:tcPr>
          <w:p w14:paraId="2FB21400" w14:textId="77777777" w:rsidR="00A72601" w:rsidRPr="00122C95" w:rsidRDefault="00A72601" w:rsidP="00A72601">
            <w:pPr>
              <w:ind w:firstLineChars="200" w:firstLine="280"/>
              <w:rPr>
                <w:rFonts w:ascii="Arial" w:hAnsi="Arial" w:cs="Arial"/>
                <w:sz w:val="14"/>
                <w:szCs w:val="14"/>
                <w:lang w:eastAsia="es-AR"/>
              </w:rPr>
            </w:pPr>
            <w:r w:rsidRPr="00122C95">
              <w:rPr>
                <w:rFonts w:ascii="Arial" w:hAnsi="Arial" w:cs="Arial"/>
                <w:sz w:val="14"/>
                <w:szCs w:val="14"/>
                <w:lang w:eastAsia="es-AR"/>
              </w:rPr>
              <w:t>Otros</w:t>
            </w:r>
          </w:p>
        </w:tc>
        <w:tc>
          <w:tcPr>
            <w:tcW w:w="919" w:type="dxa"/>
            <w:tcBorders>
              <w:top w:val="nil"/>
              <w:left w:val="nil"/>
              <w:bottom w:val="nil"/>
              <w:right w:val="nil"/>
            </w:tcBorders>
            <w:shd w:val="clear" w:color="auto" w:fill="auto"/>
            <w:vAlign w:val="bottom"/>
          </w:tcPr>
          <w:p w14:paraId="5DB5FEE4" w14:textId="29BCDDAE" w:rsidR="00A72601"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2.977.078</w:t>
            </w:r>
          </w:p>
        </w:tc>
        <w:tc>
          <w:tcPr>
            <w:tcW w:w="851" w:type="dxa"/>
            <w:tcBorders>
              <w:top w:val="nil"/>
              <w:left w:val="nil"/>
              <w:bottom w:val="nil"/>
              <w:right w:val="nil"/>
            </w:tcBorders>
            <w:shd w:val="clear" w:color="auto" w:fill="auto"/>
            <w:vAlign w:val="bottom"/>
          </w:tcPr>
          <w:p w14:paraId="2A006831" w14:textId="6F3DF539"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6CA9E0D6" w14:textId="69117EA2" w:rsidR="00A72601" w:rsidRPr="00122C95" w:rsidRDefault="00A72601" w:rsidP="00A72601">
            <w:pPr>
              <w:jc w:val="right"/>
              <w:rPr>
                <w:sz w:val="14"/>
                <w:szCs w:val="14"/>
                <w:lang w:eastAsia="es-AR"/>
              </w:rPr>
            </w:pPr>
            <w:r>
              <w:rPr>
                <w:rFonts w:ascii="Arial" w:hAnsi="Arial" w:cs="Arial"/>
                <w:sz w:val="14"/>
                <w:szCs w:val="14"/>
                <w:lang w:eastAsia="es-AR"/>
              </w:rPr>
              <w:t>-</w:t>
            </w:r>
          </w:p>
        </w:tc>
        <w:tc>
          <w:tcPr>
            <w:tcW w:w="1269" w:type="dxa"/>
            <w:tcBorders>
              <w:top w:val="nil"/>
              <w:left w:val="nil"/>
              <w:bottom w:val="nil"/>
              <w:right w:val="nil"/>
            </w:tcBorders>
            <w:shd w:val="clear" w:color="auto" w:fill="auto"/>
            <w:vAlign w:val="bottom"/>
          </w:tcPr>
          <w:p w14:paraId="4C23650E" w14:textId="3F08A880" w:rsidR="00A72601" w:rsidRPr="00122C95" w:rsidRDefault="00A72601" w:rsidP="00A72601">
            <w:pPr>
              <w:jc w:val="right"/>
              <w:rPr>
                <w:sz w:val="14"/>
                <w:szCs w:val="14"/>
                <w:lang w:eastAsia="es-AR"/>
              </w:rPr>
            </w:pPr>
            <w:r>
              <w:rPr>
                <w:rFonts w:ascii="Arial" w:hAnsi="Arial" w:cs="Arial"/>
                <w:sz w:val="14"/>
                <w:szCs w:val="14"/>
                <w:lang w:eastAsia="es-AR"/>
              </w:rPr>
              <w:t>-</w:t>
            </w:r>
          </w:p>
        </w:tc>
        <w:tc>
          <w:tcPr>
            <w:tcW w:w="1308" w:type="dxa"/>
            <w:tcBorders>
              <w:top w:val="nil"/>
              <w:left w:val="nil"/>
              <w:bottom w:val="nil"/>
              <w:right w:val="nil"/>
            </w:tcBorders>
            <w:shd w:val="clear" w:color="auto" w:fill="auto"/>
            <w:vAlign w:val="bottom"/>
          </w:tcPr>
          <w:p w14:paraId="04E8B8E9" w14:textId="6F45F439" w:rsidR="00A72601" w:rsidRPr="00122C95" w:rsidRDefault="00A72601" w:rsidP="00A72601">
            <w:pPr>
              <w:jc w:val="right"/>
              <w:rPr>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6F0A688E" w14:textId="513AB17A" w:rsidR="00A72601" w:rsidRPr="00122C95" w:rsidRDefault="00A72601" w:rsidP="00A72601">
            <w:pPr>
              <w:jc w:val="right"/>
              <w:rPr>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7D5A0C57" w14:textId="2954DB7E" w:rsidR="00A72601" w:rsidRPr="00122C95" w:rsidRDefault="00A72601" w:rsidP="00A72601">
            <w:pPr>
              <w:jc w:val="right"/>
              <w:rPr>
                <w:sz w:val="14"/>
                <w:szCs w:val="14"/>
                <w:lang w:eastAsia="es-AR"/>
              </w:rPr>
            </w:pPr>
            <w:r>
              <w:rPr>
                <w:rFonts w:ascii="Arial" w:hAnsi="Arial" w:cs="Arial"/>
                <w:sz w:val="14"/>
                <w:szCs w:val="14"/>
                <w:lang w:eastAsia="es-AR"/>
              </w:rPr>
              <w:t>-</w:t>
            </w:r>
          </w:p>
        </w:tc>
      </w:tr>
      <w:tr w:rsidR="00C7765D" w:rsidRPr="00122C95" w14:paraId="652E2BE8" w14:textId="77777777" w:rsidTr="006E1AF7">
        <w:trPr>
          <w:trHeight w:val="255"/>
        </w:trPr>
        <w:tc>
          <w:tcPr>
            <w:tcW w:w="2689" w:type="dxa"/>
            <w:tcBorders>
              <w:top w:val="nil"/>
              <w:left w:val="nil"/>
              <w:bottom w:val="nil"/>
              <w:right w:val="nil"/>
            </w:tcBorders>
            <w:shd w:val="clear" w:color="auto" w:fill="auto"/>
            <w:hideMark/>
          </w:tcPr>
          <w:p w14:paraId="2844ED74" w14:textId="77777777" w:rsidR="00C7765D" w:rsidRPr="00122C95" w:rsidRDefault="00C7765D" w:rsidP="00257726">
            <w:pPr>
              <w:rPr>
                <w:sz w:val="14"/>
                <w:szCs w:val="14"/>
                <w:lang w:eastAsia="es-AR"/>
              </w:rPr>
            </w:pPr>
          </w:p>
        </w:tc>
        <w:tc>
          <w:tcPr>
            <w:tcW w:w="919" w:type="dxa"/>
            <w:tcBorders>
              <w:top w:val="nil"/>
              <w:left w:val="nil"/>
              <w:bottom w:val="nil"/>
              <w:right w:val="nil"/>
            </w:tcBorders>
            <w:shd w:val="clear" w:color="auto" w:fill="auto"/>
            <w:vAlign w:val="bottom"/>
          </w:tcPr>
          <w:p w14:paraId="77563AFB" w14:textId="77777777" w:rsidR="00C7765D" w:rsidRPr="00122C95" w:rsidRDefault="00C7765D" w:rsidP="00A72601">
            <w:pPr>
              <w:ind w:firstLineChars="200" w:firstLine="280"/>
              <w:jc w:val="right"/>
              <w:rPr>
                <w:sz w:val="14"/>
                <w:szCs w:val="14"/>
                <w:lang w:eastAsia="es-AR"/>
              </w:rPr>
            </w:pPr>
          </w:p>
        </w:tc>
        <w:tc>
          <w:tcPr>
            <w:tcW w:w="851" w:type="dxa"/>
            <w:tcBorders>
              <w:top w:val="nil"/>
              <w:left w:val="nil"/>
              <w:bottom w:val="nil"/>
              <w:right w:val="nil"/>
            </w:tcBorders>
            <w:shd w:val="clear" w:color="auto" w:fill="auto"/>
            <w:vAlign w:val="bottom"/>
          </w:tcPr>
          <w:p w14:paraId="422196BC" w14:textId="77777777" w:rsidR="00C7765D" w:rsidRPr="00122C95" w:rsidRDefault="00C7765D" w:rsidP="00A72601">
            <w:pPr>
              <w:jc w:val="right"/>
              <w:rPr>
                <w:sz w:val="14"/>
                <w:szCs w:val="14"/>
                <w:lang w:eastAsia="es-AR"/>
              </w:rPr>
            </w:pPr>
          </w:p>
        </w:tc>
        <w:tc>
          <w:tcPr>
            <w:tcW w:w="1360" w:type="dxa"/>
            <w:tcBorders>
              <w:top w:val="nil"/>
              <w:left w:val="nil"/>
              <w:bottom w:val="nil"/>
              <w:right w:val="nil"/>
            </w:tcBorders>
            <w:shd w:val="clear" w:color="auto" w:fill="auto"/>
            <w:vAlign w:val="bottom"/>
          </w:tcPr>
          <w:p w14:paraId="1DA08556" w14:textId="77777777" w:rsidR="00C7765D" w:rsidRPr="00122C95" w:rsidRDefault="00C7765D" w:rsidP="00A72601">
            <w:pPr>
              <w:jc w:val="right"/>
              <w:rPr>
                <w:sz w:val="14"/>
                <w:szCs w:val="14"/>
                <w:lang w:eastAsia="es-AR"/>
              </w:rPr>
            </w:pPr>
          </w:p>
        </w:tc>
        <w:tc>
          <w:tcPr>
            <w:tcW w:w="1269" w:type="dxa"/>
            <w:tcBorders>
              <w:top w:val="nil"/>
              <w:left w:val="nil"/>
              <w:bottom w:val="nil"/>
              <w:right w:val="nil"/>
            </w:tcBorders>
            <w:shd w:val="clear" w:color="auto" w:fill="auto"/>
            <w:vAlign w:val="bottom"/>
          </w:tcPr>
          <w:p w14:paraId="32280252" w14:textId="77777777" w:rsidR="00C7765D" w:rsidRPr="00122C95" w:rsidRDefault="00C7765D" w:rsidP="00A72601">
            <w:pPr>
              <w:jc w:val="right"/>
              <w:rPr>
                <w:sz w:val="14"/>
                <w:szCs w:val="14"/>
                <w:lang w:eastAsia="es-AR"/>
              </w:rPr>
            </w:pPr>
          </w:p>
        </w:tc>
        <w:tc>
          <w:tcPr>
            <w:tcW w:w="1308" w:type="dxa"/>
            <w:tcBorders>
              <w:top w:val="nil"/>
              <w:left w:val="nil"/>
              <w:bottom w:val="nil"/>
              <w:right w:val="nil"/>
            </w:tcBorders>
            <w:shd w:val="clear" w:color="auto" w:fill="auto"/>
            <w:vAlign w:val="bottom"/>
          </w:tcPr>
          <w:p w14:paraId="43EDC19B" w14:textId="77777777" w:rsidR="00C7765D" w:rsidRPr="00122C95" w:rsidRDefault="00C7765D" w:rsidP="00A72601">
            <w:pPr>
              <w:jc w:val="right"/>
              <w:rPr>
                <w:sz w:val="14"/>
                <w:szCs w:val="14"/>
                <w:lang w:eastAsia="es-AR"/>
              </w:rPr>
            </w:pPr>
          </w:p>
        </w:tc>
        <w:tc>
          <w:tcPr>
            <w:tcW w:w="708" w:type="dxa"/>
            <w:tcBorders>
              <w:top w:val="nil"/>
              <w:left w:val="nil"/>
              <w:bottom w:val="nil"/>
              <w:right w:val="nil"/>
            </w:tcBorders>
            <w:shd w:val="clear" w:color="auto" w:fill="auto"/>
            <w:vAlign w:val="bottom"/>
          </w:tcPr>
          <w:p w14:paraId="13292B88" w14:textId="77777777" w:rsidR="00C7765D" w:rsidRPr="00122C95" w:rsidRDefault="00C7765D" w:rsidP="00A72601">
            <w:pPr>
              <w:jc w:val="right"/>
              <w:rPr>
                <w:sz w:val="14"/>
                <w:szCs w:val="14"/>
                <w:lang w:eastAsia="es-AR"/>
              </w:rPr>
            </w:pPr>
          </w:p>
        </w:tc>
        <w:tc>
          <w:tcPr>
            <w:tcW w:w="710" w:type="dxa"/>
            <w:tcBorders>
              <w:top w:val="nil"/>
              <w:left w:val="nil"/>
              <w:bottom w:val="nil"/>
              <w:right w:val="nil"/>
            </w:tcBorders>
            <w:shd w:val="clear" w:color="auto" w:fill="auto"/>
            <w:vAlign w:val="bottom"/>
          </w:tcPr>
          <w:p w14:paraId="2D77BA2D" w14:textId="77777777" w:rsidR="00C7765D" w:rsidRPr="00122C95" w:rsidRDefault="00C7765D" w:rsidP="00A72601">
            <w:pPr>
              <w:jc w:val="right"/>
              <w:rPr>
                <w:sz w:val="14"/>
                <w:szCs w:val="14"/>
                <w:lang w:eastAsia="es-AR"/>
              </w:rPr>
            </w:pPr>
          </w:p>
        </w:tc>
      </w:tr>
      <w:tr w:rsidR="00C7765D" w:rsidRPr="00122C95" w14:paraId="5B84CD32" w14:textId="77777777" w:rsidTr="006E1AF7">
        <w:trPr>
          <w:trHeight w:val="245"/>
        </w:trPr>
        <w:tc>
          <w:tcPr>
            <w:tcW w:w="2689" w:type="dxa"/>
            <w:tcBorders>
              <w:top w:val="nil"/>
              <w:left w:val="nil"/>
              <w:bottom w:val="nil"/>
              <w:right w:val="nil"/>
            </w:tcBorders>
            <w:shd w:val="clear" w:color="auto" w:fill="auto"/>
            <w:hideMark/>
          </w:tcPr>
          <w:p w14:paraId="37576223"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Pasivos a valor razonable con cambios en resultados</w:t>
            </w:r>
          </w:p>
        </w:tc>
        <w:tc>
          <w:tcPr>
            <w:tcW w:w="919" w:type="dxa"/>
            <w:tcBorders>
              <w:top w:val="nil"/>
              <w:left w:val="nil"/>
              <w:bottom w:val="nil"/>
              <w:right w:val="nil"/>
            </w:tcBorders>
            <w:shd w:val="clear" w:color="auto" w:fill="auto"/>
            <w:vAlign w:val="bottom"/>
          </w:tcPr>
          <w:p w14:paraId="2E5CA00C" w14:textId="5D091CD0" w:rsidR="00C7765D" w:rsidRPr="00122C95" w:rsidRDefault="00A72601" w:rsidP="00A72601">
            <w:pPr>
              <w:jc w:val="right"/>
              <w:rPr>
                <w:rFonts w:ascii="Arial" w:hAnsi="Arial" w:cs="Arial"/>
                <w:b/>
                <w:bCs/>
                <w:sz w:val="14"/>
                <w:szCs w:val="14"/>
                <w:lang w:eastAsia="es-AR"/>
              </w:rPr>
            </w:pPr>
            <w:r>
              <w:rPr>
                <w:rFonts w:ascii="Arial" w:hAnsi="Arial" w:cs="Arial"/>
                <w:b/>
                <w:bCs/>
                <w:sz w:val="14"/>
                <w:szCs w:val="14"/>
                <w:lang w:eastAsia="es-AR"/>
              </w:rPr>
              <w:t>-</w:t>
            </w:r>
          </w:p>
        </w:tc>
        <w:tc>
          <w:tcPr>
            <w:tcW w:w="851" w:type="dxa"/>
            <w:tcBorders>
              <w:top w:val="nil"/>
              <w:left w:val="nil"/>
              <w:bottom w:val="nil"/>
              <w:right w:val="nil"/>
            </w:tcBorders>
            <w:shd w:val="clear" w:color="auto" w:fill="auto"/>
            <w:vAlign w:val="bottom"/>
          </w:tcPr>
          <w:p w14:paraId="3274C334" w14:textId="72E8837C" w:rsidR="00C7765D" w:rsidRPr="00122C95" w:rsidRDefault="00A72601" w:rsidP="00A72601">
            <w:pPr>
              <w:jc w:val="right"/>
              <w:rPr>
                <w:sz w:val="14"/>
                <w:szCs w:val="14"/>
                <w:lang w:eastAsia="es-AR"/>
              </w:rPr>
            </w:pPr>
            <w:r>
              <w:rPr>
                <w:sz w:val="14"/>
                <w:szCs w:val="14"/>
                <w:lang w:eastAsia="es-AR"/>
              </w:rPr>
              <w:t>-</w:t>
            </w:r>
          </w:p>
        </w:tc>
        <w:tc>
          <w:tcPr>
            <w:tcW w:w="1360" w:type="dxa"/>
            <w:tcBorders>
              <w:top w:val="nil"/>
              <w:left w:val="nil"/>
              <w:bottom w:val="nil"/>
              <w:right w:val="nil"/>
            </w:tcBorders>
            <w:shd w:val="clear" w:color="auto" w:fill="auto"/>
            <w:vAlign w:val="bottom"/>
          </w:tcPr>
          <w:p w14:paraId="4471695F" w14:textId="50AF5F51" w:rsidR="00C7765D" w:rsidRPr="00122C95" w:rsidRDefault="00A72601" w:rsidP="00A72601">
            <w:pPr>
              <w:jc w:val="right"/>
              <w:rPr>
                <w:sz w:val="14"/>
                <w:szCs w:val="14"/>
                <w:lang w:eastAsia="es-AR"/>
              </w:rPr>
            </w:pPr>
            <w:r>
              <w:rPr>
                <w:sz w:val="14"/>
                <w:szCs w:val="14"/>
                <w:lang w:eastAsia="es-AR"/>
              </w:rPr>
              <w:t>-</w:t>
            </w:r>
          </w:p>
        </w:tc>
        <w:tc>
          <w:tcPr>
            <w:tcW w:w="1269" w:type="dxa"/>
            <w:tcBorders>
              <w:top w:val="nil"/>
              <w:left w:val="nil"/>
              <w:bottom w:val="nil"/>
              <w:right w:val="nil"/>
            </w:tcBorders>
            <w:shd w:val="clear" w:color="auto" w:fill="auto"/>
            <w:vAlign w:val="bottom"/>
          </w:tcPr>
          <w:p w14:paraId="4DE4464A" w14:textId="7C0CB805" w:rsidR="00C7765D"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133.300</w:t>
            </w:r>
          </w:p>
        </w:tc>
        <w:tc>
          <w:tcPr>
            <w:tcW w:w="1308" w:type="dxa"/>
            <w:tcBorders>
              <w:top w:val="nil"/>
              <w:left w:val="nil"/>
              <w:bottom w:val="nil"/>
              <w:right w:val="nil"/>
            </w:tcBorders>
            <w:shd w:val="clear" w:color="auto" w:fill="auto"/>
            <w:vAlign w:val="bottom"/>
          </w:tcPr>
          <w:p w14:paraId="49696A7C" w14:textId="13A7F5A0" w:rsidR="00C7765D"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133.300</w:t>
            </w:r>
          </w:p>
        </w:tc>
        <w:tc>
          <w:tcPr>
            <w:tcW w:w="708" w:type="dxa"/>
            <w:tcBorders>
              <w:top w:val="nil"/>
              <w:left w:val="nil"/>
              <w:bottom w:val="nil"/>
              <w:right w:val="nil"/>
            </w:tcBorders>
            <w:shd w:val="clear" w:color="auto" w:fill="auto"/>
            <w:vAlign w:val="bottom"/>
          </w:tcPr>
          <w:p w14:paraId="6C26FC93" w14:textId="03FDA667" w:rsidR="00C7765D"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2EB471F7" w14:textId="34E561D6" w:rsidR="00C7765D" w:rsidRPr="00122C95" w:rsidRDefault="00A72601" w:rsidP="00A72601">
            <w:pPr>
              <w:jc w:val="right"/>
              <w:rPr>
                <w:sz w:val="14"/>
                <w:szCs w:val="14"/>
                <w:lang w:eastAsia="es-AR"/>
              </w:rPr>
            </w:pPr>
            <w:r>
              <w:rPr>
                <w:sz w:val="14"/>
                <w:szCs w:val="14"/>
                <w:lang w:eastAsia="es-AR"/>
              </w:rPr>
              <w:t>-</w:t>
            </w:r>
          </w:p>
        </w:tc>
      </w:tr>
      <w:tr w:rsidR="00C7765D" w:rsidRPr="00122C95" w14:paraId="6B191402" w14:textId="77777777" w:rsidTr="006E1AF7">
        <w:trPr>
          <w:trHeight w:val="255"/>
        </w:trPr>
        <w:tc>
          <w:tcPr>
            <w:tcW w:w="2689" w:type="dxa"/>
            <w:tcBorders>
              <w:top w:val="nil"/>
              <w:left w:val="nil"/>
              <w:bottom w:val="nil"/>
              <w:right w:val="nil"/>
            </w:tcBorders>
            <w:shd w:val="clear" w:color="auto" w:fill="auto"/>
            <w:hideMark/>
          </w:tcPr>
          <w:p w14:paraId="10C0E769" w14:textId="77777777" w:rsidR="00C7765D" w:rsidRPr="00122C95" w:rsidRDefault="00C7765D" w:rsidP="00257726">
            <w:pPr>
              <w:rPr>
                <w:sz w:val="14"/>
                <w:szCs w:val="14"/>
                <w:lang w:eastAsia="es-AR"/>
              </w:rPr>
            </w:pPr>
          </w:p>
        </w:tc>
        <w:tc>
          <w:tcPr>
            <w:tcW w:w="919" w:type="dxa"/>
            <w:tcBorders>
              <w:top w:val="nil"/>
              <w:left w:val="nil"/>
              <w:bottom w:val="nil"/>
              <w:right w:val="nil"/>
            </w:tcBorders>
            <w:shd w:val="clear" w:color="auto" w:fill="auto"/>
            <w:vAlign w:val="bottom"/>
          </w:tcPr>
          <w:p w14:paraId="537A5E5E" w14:textId="77777777" w:rsidR="00C7765D" w:rsidRPr="00122C95" w:rsidRDefault="00C7765D" w:rsidP="00A72601">
            <w:pPr>
              <w:jc w:val="right"/>
              <w:rPr>
                <w:sz w:val="14"/>
                <w:szCs w:val="14"/>
                <w:lang w:eastAsia="es-AR"/>
              </w:rPr>
            </w:pPr>
          </w:p>
        </w:tc>
        <w:tc>
          <w:tcPr>
            <w:tcW w:w="851" w:type="dxa"/>
            <w:tcBorders>
              <w:top w:val="nil"/>
              <w:left w:val="nil"/>
              <w:bottom w:val="nil"/>
              <w:right w:val="nil"/>
            </w:tcBorders>
            <w:shd w:val="clear" w:color="auto" w:fill="auto"/>
            <w:vAlign w:val="bottom"/>
          </w:tcPr>
          <w:p w14:paraId="188310F8" w14:textId="77777777" w:rsidR="00C7765D" w:rsidRPr="00122C95" w:rsidRDefault="00C7765D" w:rsidP="00A72601">
            <w:pPr>
              <w:jc w:val="right"/>
              <w:rPr>
                <w:sz w:val="14"/>
                <w:szCs w:val="14"/>
                <w:lang w:eastAsia="es-AR"/>
              </w:rPr>
            </w:pPr>
          </w:p>
        </w:tc>
        <w:tc>
          <w:tcPr>
            <w:tcW w:w="1360" w:type="dxa"/>
            <w:tcBorders>
              <w:top w:val="nil"/>
              <w:left w:val="nil"/>
              <w:bottom w:val="nil"/>
              <w:right w:val="nil"/>
            </w:tcBorders>
            <w:shd w:val="clear" w:color="auto" w:fill="auto"/>
            <w:vAlign w:val="bottom"/>
          </w:tcPr>
          <w:p w14:paraId="772EC53E" w14:textId="77777777" w:rsidR="00C7765D" w:rsidRPr="00122C95" w:rsidRDefault="00C7765D" w:rsidP="00A72601">
            <w:pPr>
              <w:jc w:val="right"/>
              <w:rPr>
                <w:sz w:val="14"/>
                <w:szCs w:val="14"/>
                <w:lang w:eastAsia="es-AR"/>
              </w:rPr>
            </w:pPr>
          </w:p>
        </w:tc>
        <w:tc>
          <w:tcPr>
            <w:tcW w:w="1269" w:type="dxa"/>
            <w:tcBorders>
              <w:top w:val="nil"/>
              <w:left w:val="nil"/>
              <w:bottom w:val="nil"/>
              <w:right w:val="nil"/>
            </w:tcBorders>
            <w:shd w:val="clear" w:color="auto" w:fill="auto"/>
            <w:vAlign w:val="bottom"/>
          </w:tcPr>
          <w:p w14:paraId="5851E2D8" w14:textId="77777777" w:rsidR="00C7765D" w:rsidRPr="00122C95" w:rsidRDefault="00C7765D" w:rsidP="00A72601">
            <w:pPr>
              <w:jc w:val="right"/>
              <w:rPr>
                <w:sz w:val="14"/>
                <w:szCs w:val="14"/>
                <w:lang w:eastAsia="es-AR"/>
              </w:rPr>
            </w:pPr>
          </w:p>
        </w:tc>
        <w:tc>
          <w:tcPr>
            <w:tcW w:w="1308" w:type="dxa"/>
            <w:tcBorders>
              <w:top w:val="nil"/>
              <w:left w:val="nil"/>
              <w:bottom w:val="nil"/>
              <w:right w:val="nil"/>
            </w:tcBorders>
            <w:shd w:val="clear" w:color="auto" w:fill="auto"/>
            <w:vAlign w:val="bottom"/>
          </w:tcPr>
          <w:p w14:paraId="5878541B" w14:textId="77777777" w:rsidR="00C7765D" w:rsidRPr="00122C95" w:rsidRDefault="00C7765D" w:rsidP="00A72601">
            <w:pPr>
              <w:jc w:val="right"/>
              <w:rPr>
                <w:sz w:val="14"/>
                <w:szCs w:val="14"/>
                <w:lang w:eastAsia="es-AR"/>
              </w:rPr>
            </w:pPr>
          </w:p>
        </w:tc>
        <w:tc>
          <w:tcPr>
            <w:tcW w:w="708" w:type="dxa"/>
            <w:tcBorders>
              <w:top w:val="nil"/>
              <w:left w:val="nil"/>
              <w:bottom w:val="nil"/>
              <w:right w:val="nil"/>
            </w:tcBorders>
            <w:shd w:val="clear" w:color="auto" w:fill="auto"/>
            <w:vAlign w:val="bottom"/>
          </w:tcPr>
          <w:p w14:paraId="1B3F6F45" w14:textId="77777777" w:rsidR="00C7765D" w:rsidRPr="00122C95" w:rsidRDefault="00C7765D" w:rsidP="00A72601">
            <w:pPr>
              <w:jc w:val="right"/>
              <w:rPr>
                <w:sz w:val="14"/>
                <w:szCs w:val="14"/>
                <w:lang w:eastAsia="es-AR"/>
              </w:rPr>
            </w:pPr>
          </w:p>
        </w:tc>
        <w:tc>
          <w:tcPr>
            <w:tcW w:w="710" w:type="dxa"/>
            <w:tcBorders>
              <w:top w:val="nil"/>
              <w:left w:val="nil"/>
              <w:bottom w:val="nil"/>
              <w:right w:val="nil"/>
            </w:tcBorders>
            <w:shd w:val="clear" w:color="auto" w:fill="auto"/>
            <w:vAlign w:val="bottom"/>
          </w:tcPr>
          <w:p w14:paraId="6B9C6D46" w14:textId="77777777" w:rsidR="00C7765D" w:rsidRPr="00122C95" w:rsidRDefault="00C7765D" w:rsidP="00A72601">
            <w:pPr>
              <w:jc w:val="right"/>
              <w:rPr>
                <w:sz w:val="14"/>
                <w:szCs w:val="14"/>
                <w:lang w:eastAsia="es-AR"/>
              </w:rPr>
            </w:pPr>
          </w:p>
        </w:tc>
      </w:tr>
      <w:tr w:rsidR="00C7765D" w:rsidRPr="00122C95" w14:paraId="1B1CE716" w14:textId="77777777" w:rsidTr="006E1AF7">
        <w:trPr>
          <w:trHeight w:val="255"/>
        </w:trPr>
        <w:tc>
          <w:tcPr>
            <w:tcW w:w="2689" w:type="dxa"/>
            <w:tcBorders>
              <w:top w:val="nil"/>
              <w:left w:val="nil"/>
              <w:bottom w:val="nil"/>
              <w:right w:val="nil"/>
            </w:tcBorders>
            <w:shd w:val="clear" w:color="auto" w:fill="auto"/>
            <w:hideMark/>
          </w:tcPr>
          <w:p w14:paraId="57A3F591"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Operaciones de pase</w:t>
            </w:r>
          </w:p>
        </w:tc>
        <w:tc>
          <w:tcPr>
            <w:tcW w:w="919" w:type="dxa"/>
            <w:tcBorders>
              <w:top w:val="nil"/>
              <w:left w:val="nil"/>
              <w:bottom w:val="nil"/>
              <w:right w:val="nil"/>
            </w:tcBorders>
            <w:shd w:val="clear" w:color="auto" w:fill="auto"/>
            <w:vAlign w:val="bottom"/>
          </w:tcPr>
          <w:p w14:paraId="4810A15A" w14:textId="77777777" w:rsidR="00C7765D" w:rsidRPr="00122C95" w:rsidRDefault="00C7765D" w:rsidP="00A72601">
            <w:pPr>
              <w:jc w:val="right"/>
              <w:rPr>
                <w:rFonts w:ascii="Arial" w:hAnsi="Arial" w:cs="Arial"/>
                <w:b/>
                <w:bCs/>
                <w:sz w:val="14"/>
                <w:szCs w:val="14"/>
                <w:lang w:eastAsia="es-AR"/>
              </w:rPr>
            </w:pPr>
          </w:p>
        </w:tc>
        <w:tc>
          <w:tcPr>
            <w:tcW w:w="851" w:type="dxa"/>
            <w:tcBorders>
              <w:top w:val="nil"/>
              <w:left w:val="nil"/>
              <w:bottom w:val="nil"/>
              <w:right w:val="nil"/>
            </w:tcBorders>
            <w:shd w:val="clear" w:color="auto" w:fill="auto"/>
            <w:vAlign w:val="bottom"/>
          </w:tcPr>
          <w:p w14:paraId="410AE631" w14:textId="77777777" w:rsidR="00C7765D" w:rsidRPr="00122C95" w:rsidRDefault="00C7765D" w:rsidP="00A72601">
            <w:pPr>
              <w:jc w:val="right"/>
              <w:rPr>
                <w:sz w:val="14"/>
                <w:szCs w:val="14"/>
                <w:lang w:eastAsia="es-AR"/>
              </w:rPr>
            </w:pPr>
          </w:p>
        </w:tc>
        <w:tc>
          <w:tcPr>
            <w:tcW w:w="1360" w:type="dxa"/>
            <w:tcBorders>
              <w:top w:val="nil"/>
              <w:left w:val="nil"/>
              <w:bottom w:val="nil"/>
              <w:right w:val="nil"/>
            </w:tcBorders>
            <w:shd w:val="clear" w:color="auto" w:fill="auto"/>
            <w:vAlign w:val="bottom"/>
          </w:tcPr>
          <w:p w14:paraId="5A2DC03D" w14:textId="77777777" w:rsidR="00C7765D" w:rsidRPr="00122C95" w:rsidRDefault="00C7765D" w:rsidP="00A72601">
            <w:pPr>
              <w:jc w:val="right"/>
              <w:rPr>
                <w:sz w:val="14"/>
                <w:szCs w:val="14"/>
                <w:lang w:eastAsia="es-AR"/>
              </w:rPr>
            </w:pPr>
          </w:p>
        </w:tc>
        <w:tc>
          <w:tcPr>
            <w:tcW w:w="1269" w:type="dxa"/>
            <w:tcBorders>
              <w:top w:val="nil"/>
              <w:left w:val="nil"/>
              <w:bottom w:val="nil"/>
              <w:right w:val="nil"/>
            </w:tcBorders>
            <w:shd w:val="clear" w:color="auto" w:fill="auto"/>
            <w:vAlign w:val="bottom"/>
          </w:tcPr>
          <w:p w14:paraId="2834C738" w14:textId="77777777" w:rsidR="00C7765D" w:rsidRPr="00122C95" w:rsidRDefault="00C7765D" w:rsidP="00A72601">
            <w:pPr>
              <w:jc w:val="right"/>
              <w:rPr>
                <w:sz w:val="14"/>
                <w:szCs w:val="14"/>
                <w:lang w:eastAsia="es-AR"/>
              </w:rPr>
            </w:pPr>
          </w:p>
        </w:tc>
        <w:tc>
          <w:tcPr>
            <w:tcW w:w="1308" w:type="dxa"/>
            <w:tcBorders>
              <w:top w:val="nil"/>
              <w:left w:val="nil"/>
              <w:bottom w:val="nil"/>
              <w:right w:val="nil"/>
            </w:tcBorders>
            <w:shd w:val="clear" w:color="auto" w:fill="auto"/>
            <w:vAlign w:val="bottom"/>
          </w:tcPr>
          <w:p w14:paraId="0BCB67C5" w14:textId="77777777" w:rsidR="00C7765D" w:rsidRPr="00122C95" w:rsidRDefault="00C7765D" w:rsidP="00A72601">
            <w:pPr>
              <w:jc w:val="right"/>
              <w:rPr>
                <w:sz w:val="14"/>
                <w:szCs w:val="14"/>
                <w:lang w:eastAsia="es-AR"/>
              </w:rPr>
            </w:pPr>
          </w:p>
        </w:tc>
        <w:tc>
          <w:tcPr>
            <w:tcW w:w="708" w:type="dxa"/>
            <w:tcBorders>
              <w:top w:val="nil"/>
              <w:left w:val="nil"/>
              <w:bottom w:val="nil"/>
              <w:right w:val="nil"/>
            </w:tcBorders>
            <w:shd w:val="clear" w:color="auto" w:fill="auto"/>
            <w:vAlign w:val="bottom"/>
          </w:tcPr>
          <w:p w14:paraId="15589B6E" w14:textId="77777777" w:rsidR="00C7765D" w:rsidRPr="00122C95" w:rsidRDefault="00C7765D" w:rsidP="00A72601">
            <w:pPr>
              <w:jc w:val="right"/>
              <w:rPr>
                <w:sz w:val="14"/>
                <w:szCs w:val="14"/>
                <w:lang w:eastAsia="es-AR"/>
              </w:rPr>
            </w:pPr>
          </w:p>
        </w:tc>
        <w:tc>
          <w:tcPr>
            <w:tcW w:w="710" w:type="dxa"/>
            <w:tcBorders>
              <w:top w:val="nil"/>
              <w:left w:val="nil"/>
              <w:bottom w:val="nil"/>
              <w:right w:val="nil"/>
            </w:tcBorders>
            <w:shd w:val="clear" w:color="auto" w:fill="auto"/>
            <w:vAlign w:val="bottom"/>
          </w:tcPr>
          <w:p w14:paraId="034F7A8B" w14:textId="77777777" w:rsidR="00C7765D" w:rsidRPr="00122C95" w:rsidRDefault="00C7765D" w:rsidP="00A72601">
            <w:pPr>
              <w:jc w:val="right"/>
              <w:rPr>
                <w:sz w:val="14"/>
                <w:szCs w:val="14"/>
                <w:lang w:eastAsia="es-AR"/>
              </w:rPr>
            </w:pPr>
          </w:p>
        </w:tc>
      </w:tr>
      <w:tr w:rsidR="00A72601" w:rsidRPr="00122C95" w14:paraId="43742696" w14:textId="77777777" w:rsidTr="006E1AF7">
        <w:trPr>
          <w:trHeight w:val="255"/>
        </w:trPr>
        <w:tc>
          <w:tcPr>
            <w:tcW w:w="2689" w:type="dxa"/>
            <w:tcBorders>
              <w:top w:val="nil"/>
              <w:left w:val="nil"/>
              <w:bottom w:val="nil"/>
              <w:right w:val="nil"/>
            </w:tcBorders>
            <w:shd w:val="clear" w:color="auto" w:fill="auto"/>
            <w:hideMark/>
          </w:tcPr>
          <w:p w14:paraId="464F88AC" w14:textId="77777777" w:rsidR="00A72601" w:rsidRPr="00122C95" w:rsidRDefault="00A72601" w:rsidP="00A72601">
            <w:pPr>
              <w:rPr>
                <w:rFonts w:ascii="Arial" w:hAnsi="Arial" w:cs="Arial"/>
                <w:sz w:val="14"/>
                <w:szCs w:val="14"/>
                <w:lang w:eastAsia="es-AR"/>
              </w:rPr>
            </w:pPr>
            <w:r w:rsidRPr="00122C95">
              <w:rPr>
                <w:rFonts w:ascii="Arial" w:hAnsi="Arial" w:cs="Arial"/>
                <w:sz w:val="14"/>
                <w:szCs w:val="14"/>
                <w:lang w:eastAsia="es-AR"/>
              </w:rPr>
              <w:t xml:space="preserve">     Otras Entidades financieras</w:t>
            </w:r>
          </w:p>
        </w:tc>
        <w:tc>
          <w:tcPr>
            <w:tcW w:w="919" w:type="dxa"/>
            <w:tcBorders>
              <w:top w:val="nil"/>
              <w:left w:val="nil"/>
              <w:bottom w:val="nil"/>
              <w:right w:val="nil"/>
            </w:tcBorders>
            <w:shd w:val="clear" w:color="auto" w:fill="auto"/>
            <w:vAlign w:val="bottom"/>
          </w:tcPr>
          <w:p w14:paraId="743B0EB0" w14:textId="18BAD82B" w:rsidR="00A72601"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240.493</w:t>
            </w:r>
          </w:p>
        </w:tc>
        <w:tc>
          <w:tcPr>
            <w:tcW w:w="851" w:type="dxa"/>
            <w:tcBorders>
              <w:top w:val="nil"/>
              <w:left w:val="nil"/>
              <w:bottom w:val="nil"/>
              <w:right w:val="nil"/>
            </w:tcBorders>
            <w:shd w:val="clear" w:color="auto" w:fill="auto"/>
            <w:vAlign w:val="bottom"/>
          </w:tcPr>
          <w:p w14:paraId="18AF7ED6" w14:textId="3D038AC6" w:rsidR="00A72601" w:rsidRPr="00122C95" w:rsidRDefault="00A72601" w:rsidP="00A72601">
            <w:pPr>
              <w:jc w:val="right"/>
              <w:rPr>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1FA185D3" w14:textId="4BEF988F" w:rsidR="00A72601" w:rsidRPr="00122C95" w:rsidRDefault="00A72601" w:rsidP="00A72601">
            <w:pPr>
              <w:jc w:val="right"/>
              <w:rPr>
                <w:sz w:val="14"/>
                <w:szCs w:val="14"/>
                <w:lang w:eastAsia="es-AR"/>
              </w:rPr>
            </w:pPr>
            <w:r>
              <w:rPr>
                <w:rFonts w:ascii="Arial" w:hAnsi="Arial" w:cs="Arial"/>
                <w:sz w:val="14"/>
                <w:szCs w:val="14"/>
                <w:lang w:eastAsia="es-AR"/>
              </w:rPr>
              <w:t>-</w:t>
            </w:r>
          </w:p>
        </w:tc>
        <w:tc>
          <w:tcPr>
            <w:tcW w:w="1269" w:type="dxa"/>
            <w:tcBorders>
              <w:top w:val="nil"/>
              <w:left w:val="nil"/>
              <w:bottom w:val="nil"/>
              <w:right w:val="nil"/>
            </w:tcBorders>
            <w:shd w:val="clear" w:color="auto" w:fill="auto"/>
            <w:vAlign w:val="bottom"/>
          </w:tcPr>
          <w:p w14:paraId="1297BE55" w14:textId="41BC7C7E" w:rsidR="00A72601" w:rsidRPr="00122C95" w:rsidRDefault="00A72601" w:rsidP="00A72601">
            <w:pPr>
              <w:jc w:val="right"/>
              <w:rPr>
                <w:sz w:val="14"/>
                <w:szCs w:val="14"/>
                <w:lang w:eastAsia="es-AR"/>
              </w:rPr>
            </w:pPr>
            <w:r>
              <w:rPr>
                <w:rFonts w:ascii="Arial" w:hAnsi="Arial" w:cs="Arial"/>
                <w:sz w:val="14"/>
                <w:szCs w:val="14"/>
                <w:lang w:eastAsia="es-AR"/>
              </w:rPr>
              <w:t>-</w:t>
            </w:r>
          </w:p>
        </w:tc>
        <w:tc>
          <w:tcPr>
            <w:tcW w:w="1308" w:type="dxa"/>
            <w:tcBorders>
              <w:top w:val="nil"/>
              <w:left w:val="nil"/>
              <w:bottom w:val="nil"/>
              <w:right w:val="nil"/>
            </w:tcBorders>
            <w:shd w:val="clear" w:color="auto" w:fill="auto"/>
            <w:vAlign w:val="bottom"/>
          </w:tcPr>
          <w:p w14:paraId="626D6BB7" w14:textId="7700BFBE" w:rsidR="00A72601" w:rsidRPr="00122C95" w:rsidRDefault="00A72601" w:rsidP="00A72601">
            <w:pPr>
              <w:jc w:val="right"/>
              <w:rPr>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1ACA2519" w14:textId="72C8D149" w:rsidR="00A72601" w:rsidRPr="00122C95" w:rsidRDefault="00A72601" w:rsidP="00A72601">
            <w:pPr>
              <w:jc w:val="right"/>
              <w:rPr>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57FDECD9" w14:textId="1D11C1B3" w:rsidR="00A72601" w:rsidRPr="00122C95" w:rsidRDefault="00A72601" w:rsidP="00A72601">
            <w:pPr>
              <w:jc w:val="right"/>
              <w:rPr>
                <w:sz w:val="14"/>
                <w:szCs w:val="14"/>
                <w:lang w:eastAsia="es-AR"/>
              </w:rPr>
            </w:pPr>
            <w:r>
              <w:rPr>
                <w:rFonts w:ascii="Arial" w:hAnsi="Arial" w:cs="Arial"/>
                <w:sz w:val="14"/>
                <w:szCs w:val="14"/>
                <w:lang w:eastAsia="es-AR"/>
              </w:rPr>
              <w:t>-</w:t>
            </w:r>
          </w:p>
        </w:tc>
      </w:tr>
      <w:tr w:rsidR="00C7765D" w:rsidRPr="00122C95" w14:paraId="52D208DC" w14:textId="77777777" w:rsidTr="006E1AF7">
        <w:trPr>
          <w:trHeight w:val="255"/>
        </w:trPr>
        <w:tc>
          <w:tcPr>
            <w:tcW w:w="2689" w:type="dxa"/>
            <w:tcBorders>
              <w:top w:val="nil"/>
              <w:left w:val="nil"/>
              <w:bottom w:val="nil"/>
              <w:right w:val="nil"/>
            </w:tcBorders>
            <w:shd w:val="clear" w:color="auto" w:fill="auto"/>
            <w:hideMark/>
          </w:tcPr>
          <w:p w14:paraId="59F91598" w14:textId="77777777" w:rsidR="00C7765D" w:rsidRPr="00122C95" w:rsidRDefault="00C7765D" w:rsidP="00257726">
            <w:pPr>
              <w:rPr>
                <w:sz w:val="14"/>
                <w:szCs w:val="14"/>
                <w:lang w:eastAsia="es-AR"/>
              </w:rPr>
            </w:pPr>
          </w:p>
        </w:tc>
        <w:tc>
          <w:tcPr>
            <w:tcW w:w="919" w:type="dxa"/>
            <w:tcBorders>
              <w:top w:val="nil"/>
              <w:left w:val="nil"/>
              <w:bottom w:val="nil"/>
              <w:right w:val="nil"/>
            </w:tcBorders>
            <w:shd w:val="clear" w:color="auto" w:fill="auto"/>
            <w:vAlign w:val="bottom"/>
          </w:tcPr>
          <w:p w14:paraId="43BE3E89" w14:textId="77777777" w:rsidR="00C7765D" w:rsidRPr="00122C95" w:rsidRDefault="00C7765D" w:rsidP="00A72601">
            <w:pPr>
              <w:jc w:val="right"/>
              <w:rPr>
                <w:sz w:val="14"/>
                <w:szCs w:val="14"/>
                <w:lang w:eastAsia="es-AR"/>
              </w:rPr>
            </w:pPr>
          </w:p>
        </w:tc>
        <w:tc>
          <w:tcPr>
            <w:tcW w:w="851" w:type="dxa"/>
            <w:tcBorders>
              <w:top w:val="nil"/>
              <w:left w:val="nil"/>
              <w:bottom w:val="nil"/>
              <w:right w:val="nil"/>
            </w:tcBorders>
            <w:shd w:val="clear" w:color="auto" w:fill="auto"/>
            <w:vAlign w:val="bottom"/>
          </w:tcPr>
          <w:p w14:paraId="7471F132" w14:textId="77777777" w:rsidR="00C7765D" w:rsidRPr="00122C95" w:rsidRDefault="00C7765D" w:rsidP="00A72601">
            <w:pPr>
              <w:jc w:val="right"/>
              <w:rPr>
                <w:sz w:val="14"/>
                <w:szCs w:val="14"/>
                <w:lang w:eastAsia="es-AR"/>
              </w:rPr>
            </w:pPr>
          </w:p>
        </w:tc>
        <w:tc>
          <w:tcPr>
            <w:tcW w:w="1360" w:type="dxa"/>
            <w:tcBorders>
              <w:top w:val="nil"/>
              <w:left w:val="nil"/>
              <w:bottom w:val="nil"/>
              <w:right w:val="nil"/>
            </w:tcBorders>
            <w:shd w:val="clear" w:color="auto" w:fill="auto"/>
            <w:vAlign w:val="bottom"/>
          </w:tcPr>
          <w:p w14:paraId="523F0CCA" w14:textId="77777777" w:rsidR="00C7765D" w:rsidRPr="00122C95" w:rsidRDefault="00C7765D" w:rsidP="00A72601">
            <w:pPr>
              <w:jc w:val="right"/>
              <w:rPr>
                <w:sz w:val="14"/>
                <w:szCs w:val="14"/>
                <w:lang w:eastAsia="es-AR"/>
              </w:rPr>
            </w:pPr>
          </w:p>
        </w:tc>
        <w:tc>
          <w:tcPr>
            <w:tcW w:w="1269" w:type="dxa"/>
            <w:tcBorders>
              <w:top w:val="nil"/>
              <w:left w:val="nil"/>
              <w:bottom w:val="nil"/>
              <w:right w:val="nil"/>
            </w:tcBorders>
            <w:shd w:val="clear" w:color="auto" w:fill="auto"/>
            <w:vAlign w:val="bottom"/>
          </w:tcPr>
          <w:p w14:paraId="57DA8483" w14:textId="77777777" w:rsidR="00C7765D" w:rsidRPr="00122C95" w:rsidRDefault="00C7765D" w:rsidP="00A72601">
            <w:pPr>
              <w:jc w:val="right"/>
              <w:rPr>
                <w:sz w:val="14"/>
                <w:szCs w:val="14"/>
                <w:lang w:eastAsia="es-AR"/>
              </w:rPr>
            </w:pPr>
          </w:p>
        </w:tc>
        <w:tc>
          <w:tcPr>
            <w:tcW w:w="1308" w:type="dxa"/>
            <w:tcBorders>
              <w:top w:val="nil"/>
              <w:left w:val="nil"/>
              <w:bottom w:val="nil"/>
              <w:right w:val="nil"/>
            </w:tcBorders>
            <w:shd w:val="clear" w:color="auto" w:fill="auto"/>
            <w:vAlign w:val="bottom"/>
          </w:tcPr>
          <w:p w14:paraId="751A7B57" w14:textId="77777777" w:rsidR="00C7765D" w:rsidRPr="00122C95" w:rsidRDefault="00C7765D" w:rsidP="00A72601">
            <w:pPr>
              <w:jc w:val="right"/>
              <w:rPr>
                <w:sz w:val="14"/>
                <w:szCs w:val="14"/>
                <w:lang w:eastAsia="es-AR"/>
              </w:rPr>
            </w:pPr>
          </w:p>
        </w:tc>
        <w:tc>
          <w:tcPr>
            <w:tcW w:w="708" w:type="dxa"/>
            <w:tcBorders>
              <w:top w:val="nil"/>
              <w:left w:val="nil"/>
              <w:bottom w:val="nil"/>
              <w:right w:val="nil"/>
            </w:tcBorders>
            <w:shd w:val="clear" w:color="auto" w:fill="auto"/>
            <w:vAlign w:val="bottom"/>
          </w:tcPr>
          <w:p w14:paraId="13FAAC13" w14:textId="77777777" w:rsidR="00C7765D" w:rsidRPr="00122C95" w:rsidRDefault="00C7765D" w:rsidP="00A72601">
            <w:pPr>
              <w:jc w:val="right"/>
              <w:rPr>
                <w:sz w:val="14"/>
                <w:szCs w:val="14"/>
                <w:lang w:eastAsia="es-AR"/>
              </w:rPr>
            </w:pPr>
          </w:p>
        </w:tc>
        <w:tc>
          <w:tcPr>
            <w:tcW w:w="710" w:type="dxa"/>
            <w:tcBorders>
              <w:top w:val="nil"/>
              <w:left w:val="nil"/>
              <w:bottom w:val="nil"/>
              <w:right w:val="nil"/>
            </w:tcBorders>
            <w:shd w:val="clear" w:color="auto" w:fill="auto"/>
            <w:vAlign w:val="bottom"/>
          </w:tcPr>
          <w:p w14:paraId="12A804EF" w14:textId="77777777" w:rsidR="00C7765D" w:rsidRPr="00122C95" w:rsidRDefault="00C7765D" w:rsidP="00A72601">
            <w:pPr>
              <w:jc w:val="right"/>
              <w:rPr>
                <w:sz w:val="14"/>
                <w:szCs w:val="14"/>
                <w:lang w:eastAsia="es-AR"/>
              </w:rPr>
            </w:pPr>
          </w:p>
        </w:tc>
      </w:tr>
      <w:tr w:rsidR="00C7765D" w:rsidRPr="00122C95" w14:paraId="48E3AF36" w14:textId="77777777" w:rsidTr="006E1AF7">
        <w:trPr>
          <w:trHeight w:val="255"/>
        </w:trPr>
        <w:tc>
          <w:tcPr>
            <w:tcW w:w="2689" w:type="dxa"/>
            <w:tcBorders>
              <w:top w:val="nil"/>
              <w:left w:val="nil"/>
              <w:bottom w:val="nil"/>
              <w:right w:val="nil"/>
            </w:tcBorders>
            <w:shd w:val="clear" w:color="auto" w:fill="auto"/>
            <w:hideMark/>
          </w:tcPr>
          <w:p w14:paraId="5EAAB710"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Otros pasivos financieros</w:t>
            </w:r>
          </w:p>
        </w:tc>
        <w:tc>
          <w:tcPr>
            <w:tcW w:w="919" w:type="dxa"/>
            <w:tcBorders>
              <w:top w:val="nil"/>
              <w:left w:val="nil"/>
              <w:bottom w:val="nil"/>
              <w:right w:val="nil"/>
            </w:tcBorders>
            <w:shd w:val="clear" w:color="auto" w:fill="auto"/>
            <w:vAlign w:val="bottom"/>
          </w:tcPr>
          <w:p w14:paraId="563DC42B" w14:textId="2E68B5A8" w:rsidR="00C7765D"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124.740</w:t>
            </w:r>
          </w:p>
        </w:tc>
        <w:tc>
          <w:tcPr>
            <w:tcW w:w="851" w:type="dxa"/>
            <w:tcBorders>
              <w:top w:val="nil"/>
              <w:left w:val="nil"/>
              <w:bottom w:val="nil"/>
              <w:right w:val="nil"/>
            </w:tcBorders>
            <w:shd w:val="clear" w:color="auto" w:fill="auto"/>
            <w:vAlign w:val="bottom"/>
          </w:tcPr>
          <w:p w14:paraId="1A9B79EB" w14:textId="71B2C0EE" w:rsidR="00C7765D"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59A0ED1C" w14:textId="0DD64F74" w:rsidR="00C7765D" w:rsidRPr="00122C95" w:rsidRDefault="00A72601" w:rsidP="00A72601">
            <w:pPr>
              <w:jc w:val="right"/>
              <w:rPr>
                <w:sz w:val="14"/>
                <w:szCs w:val="14"/>
                <w:lang w:eastAsia="es-AR"/>
              </w:rPr>
            </w:pPr>
            <w:r>
              <w:rPr>
                <w:sz w:val="14"/>
                <w:szCs w:val="14"/>
                <w:lang w:eastAsia="es-AR"/>
              </w:rPr>
              <w:t>-</w:t>
            </w:r>
          </w:p>
        </w:tc>
        <w:tc>
          <w:tcPr>
            <w:tcW w:w="1269" w:type="dxa"/>
            <w:tcBorders>
              <w:top w:val="nil"/>
              <w:left w:val="nil"/>
              <w:bottom w:val="nil"/>
              <w:right w:val="nil"/>
            </w:tcBorders>
            <w:shd w:val="clear" w:color="auto" w:fill="auto"/>
            <w:vAlign w:val="bottom"/>
          </w:tcPr>
          <w:p w14:paraId="0DB5229E" w14:textId="42F80BD8" w:rsidR="00C7765D"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5.</w:t>
            </w:r>
            <w:r w:rsidR="007A6CC7">
              <w:rPr>
                <w:rFonts w:ascii="Arial" w:hAnsi="Arial" w:cs="Arial"/>
                <w:sz w:val="14"/>
                <w:szCs w:val="14"/>
                <w:lang w:eastAsia="es-AR"/>
              </w:rPr>
              <w:t>960.022</w:t>
            </w:r>
          </w:p>
        </w:tc>
        <w:tc>
          <w:tcPr>
            <w:tcW w:w="1308" w:type="dxa"/>
            <w:tcBorders>
              <w:top w:val="nil"/>
              <w:left w:val="nil"/>
              <w:bottom w:val="nil"/>
              <w:right w:val="nil"/>
            </w:tcBorders>
            <w:shd w:val="clear" w:color="auto" w:fill="auto"/>
            <w:vAlign w:val="bottom"/>
          </w:tcPr>
          <w:p w14:paraId="78FDB9E6" w14:textId="40EB30F0" w:rsidR="00C7765D"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5</w:t>
            </w:r>
            <w:r w:rsidR="007A6CC7">
              <w:rPr>
                <w:rFonts w:ascii="Arial" w:hAnsi="Arial" w:cs="Arial"/>
                <w:sz w:val="14"/>
                <w:szCs w:val="14"/>
                <w:lang w:eastAsia="es-AR"/>
              </w:rPr>
              <w:t>.960.022</w:t>
            </w:r>
          </w:p>
        </w:tc>
        <w:tc>
          <w:tcPr>
            <w:tcW w:w="708" w:type="dxa"/>
            <w:tcBorders>
              <w:top w:val="nil"/>
              <w:left w:val="nil"/>
              <w:bottom w:val="nil"/>
              <w:right w:val="nil"/>
            </w:tcBorders>
            <w:shd w:val="clear" w:color="auto" w:fill="auto"/>
            <w:vAlign w:val="bottom"/>
          </w:tcPr>
          <w:p w14:paraId="38D196BB" w14:textId="71A05656" w:rsidR="00C7765D"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5B90463E" w14:textId="2F1D189B" w:rsidR="00C7765D" w:rsidRPr="00122C95" w:rsidRDefault="00A72601" w:rsidP="00A72601">
            <w:pPr>
              <w:jc w:val="right"/>
              <w:rPr>
                <w:sz w:val="14"/>
                <w:szCs w:val="14"/>
                <w:lang w:eastAsia="es-AR"/>
              </w:rPr>
            </w:pPr>
            <w:r>
              <w:rPr>
                <w:sz w:val="14"/>
                <w:szCs w:val="14"/>
                <w:lang w:eastAsia="es-AR"/>
              </w:rPr>
              <w:t>-</w:t>
            </w:r>
          </w:p>
        </w:tc>
      </w:tr>
      <w:tr w:rsidR="00C7765D" w:rsidRPr="00122C95" w14:paraId="5773B90C" w14:textId="77777777" w:rsidTr="006E1AF7">
        <w:trPr>
          <w:trHeight w:val="255"/>
        </w:trPr>
        <w:tc>
          <w:tcPr>
            <w:tcW w:w="2689" w:type="dxa"/>
            <w:tcBorders>
              <w:top w:val="nil"/>
              <w:left w:val="nil"/>
              <w:bottom w:val="nil"/>
              <w:right w:val="nil"/>
            </w:tcBorders>
            <w:shd w:val="clear" w:color="auto" w:fill="auto"/>
            <w:hideMark/>
          </w:tcPr>
          <w:p w14:paraId="61C579AA" w14:textId="77777777" w:rsidR="00C7765D" w:rsidRPr="00122C95" w:rsidRDefault="00C7765D" w:rsidP="00257726">
            <w:pPr>
              <w:rPr>
                <w:sz w:val="14"/>
                <w:szCs w:val="14"/>
                <w:lang w:eastAsia="es-AR"/>
              </w:rPr>
            </w:pPr>
          </w:p>
        </w:tc>
        <w:tc>
          <w:tcPr>
            <w:tcW w:w="919" w:type="dxa"/>
            <w:tcBorders>
              <w:top w:val="nil"/>
              <w:left w:val="nil"/>
              <w:bottom w:val="nil"/>
              <w:right w:val="nil"/>
            </w:tcBorders>
            <w:shd w:val="clear" w:color="auto" w:fill="auto"/>
            <w:vAlign w:val="bottom"/>
          </w:tcPr>
          <w:p w14:paraId="6FD960CC" w14:textId="77777777" w:rsidR="00C7765D" w:rsidRPr="00122C95" w:rsidRDefault="00C7765D" w:rsidP="00A72601">
            <w:pPr>
              <w:jc w:val="right"/>
              <w:rPr>
                <w:sz w:val="14"/>
                <w:szCs w:val="14"/>
                <w:lang w:eastAsia="es-AR"/>
              </w:rPr>
            </w:pPr>
          </w:p>
        </w:tc>
        <w:tc>
          <w:tcPr>
            <w:tcW w:w="851" w:type="dxa"/>
            <w:tcBorders>
              <w:top w:val="nil"/>
              <w:left w:val="nil"/>
              <w:bottom w:val="nil"/>
              <w:right w:val="nil"/>
            </w:tcBorders>
            <w:shd w:val="clear" w:color="auto" w:fill="auto"/>
            <w:vAlign w:val="bottom"/>
          </w:tcPr>
          <w:p w14:paraId="01635D7C" w14:textId="77777777" w:rsidR="00C7765D" w:rsidRPr="00122C95" w:rsidRDefault="00C7765D" w:rsidP="00A72601">
            <w:pPr>
              <w:jc w:val="right"/>
              <w:rPr>
                <w:sz w:val="14"/>
                <w:szCs w:val="14"/>
                <w:lang w:eastAsia="es-AR"/>
              </w:rPr>
            </w:pPr>
          </w:p>
        </w:tc>
        <w:tc>
          <w:tcPr>
            <w:tcW w:w="1360" w:type="dxa"/>
            <w:tcBorders>
              <w:top w:val="nil"/>
              <w:left w:val="nil"/>
              <w:bottom w:val="nil"/>
              <w:right w:val="nil"/>
            </w:tcBorders>
            <w:shd w:val="clear" w:color="auto" w:fill="auto"/>
            <w:vAlign w:val="bottom"/>
          </w:tcPr>
          <w:p w14:paraId="5C061CC3" w14:textId="77777777" w:rsidR="00C7765D" w:rsidRPr="00122C95" w:rsidRDefault="00C7765D" w:rsidP="00A72601">
            <w:pPr>
              <w:jc w:val="right"/>
              <w:rPr>
                <w:sz w:val="14"/>
                <w:szCs w:val="14"/>
                <w:lang w:eastAsia="es-AR"/>
              </w:rPr>
            </w:pPr>
          </w:p>
        </w:tc>
        <w:tc>
          <w:tcPr>
            <w:tcW w:w="1269" w:type="dxa"/>
            <w:tcBorders>
              <w:top w:val="nil"/>
              <w:left w:val="nil"/>
              <w:bottom w:val="nil"/>
              <w:right w:val="nil"/>
            </w:tcBorders>
            <w:shd w:val="clear" w:color="auto" w:fill="auto"/>
            <w:vAlign w:val="bottom"/>
          </w:tcPr>
          <w:p w14:paraId="718A3FF3" w14:textId="77777777" w:rsidR="00C7765D" w:rsidRPr="00122C95" w:rsidRDefault="00C7765D" w:rsidP="00A72601">
            <w:pPr>
              <w:jc w:val="right"/>
              <w:rPr>
                <w:sz w:val="14"/>
                <w:szCs w:val="14"/>
                <w:lang w:eastAsia="es-AR"/>
              </w:rPr>
            </w:pPr>
          </w:p>
        </w:tc>
        <w:tc>
          <w:tcPr>
            <w:tcW w:w="1308" w:type="dxa"/>
            <w:tcBorders>
              <w:top w:val="nil"/>
              <w:left w:val="nil"/>
              <w:bottom w:val="nil"/>
              <w:right w:val="nil"/>
            </w:tcBorders>
            <w:shd w:val="clear" w:color="auto" w:fill="auto"/>
            <w:vAlign w:val="bottom"/>
          </w:tcPr>
          <w:p w14:paraId="5FC45426" w14:textId="77777777" w:rsidR="00C7765D" w:rsidRPr="00122C95" w:rsidRDefault="00C7765D" w:rsidP="00A72601">
            <w:pPr>
              <w:jc w:val="right"/>
              <w:rPr>
                <w:sz w:val="14"/>
                <w:szCs w:val="14"/>
                <w:lang w:eastAsia="es-AR"/>
              </w:rPr>
            </w:pPr>
          </w:p>
        </w:tc>
        <w:tc>
          <w:tcPr>
            <w:tcW w:w="708" w:type="dxa"/>
            <w:tcBorders>
              <w:top w:val="nil"/>
              <w:left w:val="nil"/>
              <w:bottom w:val="nil"/>
              <w:right w:val="nil"/>
            </w:tcBorders>
            <w:shd w:val="clear" w:color="auto" w:fill="auto"/>
            <w:vAlign w:val="bottom"/>
          </w:tcPr>
          <w:p w14:paraId="09DD0DD9" w14:textId="77777777" w:rsidR="00C7765D" w:rsidRPr="00122C95" w:rsidRDefault="00C7765D" w:rsidP="00A72601">
            <w:pPr>
              <w:jc w:val="right"/>
              <w:rPr>
                <w:sz w:val="14"/>
                <w:szCs w:val="14"/>
                <w:lang w:eastAsia="es-AR"/>
              </w:rPr>
            </w:pPr>
          </w:p>
        </w:tc>
        <w:tc>
          <w:tcPr>
            <w:tcW w:w="710" w:type="dxa"/>
            <w:tcBorders>
              <w:top w:val="nil"/>
              <w:left w:val="nil"/>
              <w:bottom w:val="nil"/>
              <w:right w:val="nil"/>
            </w:tcBorders>
            <w:shd w:val="clear" w:color="auto" w:fill="auto"/>
            <w:vAlign w:val="bottom"/>
          </w:tcPr>
          <w:p w14:paraId="006901B9" w14:textId="77777777" w:rsidR="00C7765D" w:rsidRPr="00122C95" w:rsidRDefault="00C7765D" w:rsidP="00A72601">
            <w:pPr>
              <w:jc w:val="right"/>
              <w:rPr>
                <w:sz w:val="14"/>
                <w:szCs w:val="14"/>
                <w:lang w:eastAsia="es-AR"/>
              </w:rPr>
            </w:pPr>
          </w:p>
        </w:tc>
      </w:tr>
      <w:tr w:rsidR="00A72601" w:rsidRPr="00122C95" w14:paraId="395316D2" w14:textId="77777777" w:rsidTr="006E1AF7">
        <w:trPr>
          <w:trHeight w:val="510"/>
        </w:trPr>
        <w:tc>
          <w:tcPr>
            <w:tcW w:w="2689" w:type="dxa"/>
            <w:tcBorders>
              <w:top w:val="nil"/>
              <w:left w:val="nil"/>
              <w:bottom w:val="nil"/>
              <w:right w:val="nil"/>
            </w:tcBorders>
            <w:shd w:val="clear" w:color="auto" w:fill="auto"/>
            <w:hideMark/>
          </w:tcPr>
          <w:p w14:paraId="0D8EECF6" w14:textId="77777777" w:rsidR="00A72601" w:rsidRPr="00122C95" w:rsidRDefault="00A72601" w:rsidP="00A72601">
            <w:pPr>
              <w:rPr>
                <w:rFonts w:ascii="Arial" w:hAnsi="Arial" w:cs="Arial"/>
                <w:b/>
                <w:bCs/>
                <w:sz w:val="14"/>
                <w:szCs w:val="14"/>
                <w:lang w:eastAsia="es-AR"/>
              </w:rPr>
            </w:pPr>
            <w:r w:rsidRPr="00122C95">
              <w:rPr>
                <w:rFonts w:ascii="Arial" w:hAnsi="Arial" w:cs="Arial"/>
                <w:b/>
                <w:bCs/>
                <w:sz w:val="14"/>
                <w:szCs w:val="14"/>
                <w:lang w:eastAsia="es-AR"/>
              </w:rPr>
              <w:t>Financiaciones recibidas del BCRA y otras instituciones financieras</w:t>
            </w:r>
          </w:p>
        </w:tc>
        <w:tc>
          <w:tcPr>
            <w:tcW w:w="919" w:type="dxa"/>
            <w:tcBorders>
              <w:top w:val="nil"/>
              <w:left w:val="nil"/>
              <w:bottom w:val="nil"/>
              <w:right w:val="nil"/>
            </w:tcBorders>
            <w:shd w:val="clear" w:color="auto" w:fill="auto"/>
            <w:vAlign w:val="bottom"/>
          </w:tcPr>
          <w:p w14:paraId="3F2554F0" w14:textId="7B5FAA31" w:rsidR="00A72601"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9.011.337</w:t>
            </w:r>
          </w:p>
        </w:tc>
        <w:tc>
          <w:tcPr>
            <w:tcW w:w="851" w:type="dxa"/>
            <w:tcBorders>
              <w:top w:val="nil"/>
              <w:left w:val="nil"/>
              <w:bottom w:val="nil"/>
              <w:right w:val="nil"/>
            </w:tcBorders>
            <w:shd w:val="clear" w:color="auto" w:fill="auto"/>
            <w:vAlign w:val="bottom"/>
          </w:tcPr>
          <w:p w14:paraId="16383E2D" w14:textId="53B32DA2"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06B606AA" w14:textId="1BEA8874" w:rsidR="00A72601" w:rsidRPr="00122C95" w:rsidRDefault="00A72601" w:rsidP="00A72601">
            <w:pPr>
              <w:jc w:val="right"/>
              <w:rPr>
                <w:sz w:val="14"/>
                <w:szCs w:val="14"/>
                <w:lang w:eastAsia="es-AR"/>
              </w:rPr>
            </w:pPr>
            <w:r>
              <w:rPr>
                <w:rFonts w:ascii="Arial" w:hAnsi="Arial" w:cs="Arial"/>
                <w:sz w:val="14"/>
                <w:szCs w:val="14"/>
                <w:lang w:eastAsia="es-AR"/>
              </w:rPr>
              <w:t>-</w:t>
            </w:r>
          </w:p>
        </w:tc>
        <w:tc>
          <w:tcPr>
            <w:tcW w:w="1269" w:type="dxa"/>
            <w:tcBorders>
              <w:top w:val="nil"/>
              <w:left w:val="nil"/>
              <w:bottom w:val="nil"/>
              <w:right w:val="nil"/>
            </w:tcBorders>
            <w:shd w:val="clear" w:color="auto" w:fill="auto"/>
            <w:vAlign w:val="bottom"/>
          </w:tcPr>
          <w:p w14:paraId="102A51B9" w14:textId="0F819380"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1308" w:type="dxa"/>
            <w:tcBorders>
              <w:top w:val="nil"/>
              <w:left w:val="nil"/>
              <w:bottom w:val="nil"/>
              <w:right w:val="nil"/>
            </w:tcBorders>
            <w:shd w:val="clear" w:color="auto" w:fill="auto"/>
            <w:vAlign w:val="bottom"/>
          </w:tcPr>
          <w:p w14:paraId="428DCEE5" w14:textId="7904424E"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5546F2DE" w14:textId="33709C01"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1DE01A06" w14:textId="021D9AF9" w:rsidR="00A72601" w:rsidRPr="00122C95" w:rsidRDefault="00A72601" w:rsidP="00A72601">
            <w:pPr>
              <w:jc w:val="right"/>
              <w:rPr>
                <w:sz w:val="14"/>
                <w:szCs w:val="14"/>
                <w:lang w:eastAsia="es-AR"/>
              </w:rPr>
            </w:pPr>
            <w:r>
              <w:rPr>
                <w:rFonts w:ascii="Arial" w:hAnsi="Arial" w:cs="Arial"/>
                <w:sz w:val="14"/>
                <w:szCs w:val="14"/>
                <w:lang w:eastAsia="es-AR"/>
              </w:rPr>
              <w:t>-</w:t>
            </w:r>
          </w:p>
        </w:tc>
      </w:tr>
      <w:tr w:rsidR="00C7765D" w:rsidRPr="00122C95" w14:paraId="7FBCC88A" w14:textId="77777777" w:rsidTr="006E1AF7">
        <w:trPr>
          <w:trHeight w:val="255"/>
        </w:trPr>
        <w:tc>
          <w:tcPr>
            <w:tcW w:w="2689" w:type="dxa"/>
            <w:tcBorders>
              <w:top w:val="nil"/>
              <w:left w:val="nil"/>
              <w:bottom w:val="nil"/>
              <w:right w:val="nil"/>
            </w:tcBorders>
            <w:shd w:val="clear" w:color="auto" w:fill="auto"/>
            <w:hideMark/>
          </w:tcPr>
          <w:p w14:paraId="439F4A6F" w14:textId="77777777" w:rsidR="00C7765D" w:rsidRPr="00122C95" w:rsidRDefault="00C7765D" w:rsidP="00257726">
            <w:pPr>
              <w:rPr>
                <w:sz w:val="14"/>
                <w:szCs w:val="14"/>
                <w:lang w:eastAsia="es-AR"/>
              </w:rPr>
            </w:pPr>
          </w:p>
        </w:tc>
        <w:tc>
          <w:tcPr>
            <w:tcW w:w="919" w:type="dxa"/>
            <w:tcBorders>
              <w:top w:val="nil"/>
              <w:left w:val="nil"/>
              <w:bottom w:val="nil"/>
              <w:right w:val="nil"/>
            </w:tcBorders>
            <w:shd w:val="clear" w:color="auto" w:fill="auto"/>
            <w:vAlign w:val="bottom"/>
          </w:tcPr>
          <w:p w14:paraId="50F75D7D" w14:textId="77777777" w:rsidR="00C7765D" w:rsidRPr="00122C95" w:rsidRDefault="00C7765D" w:rsidP="00A72601">
            <w:pPr>
              <w:jc w:val="right"/>
              <w:rPr>
                <w:sz w:val="14"/>
                <w:szCs w:val="14"/>
                <w:lang w:eastAsia="es-AR"/>
              </w:rPr>
            </w:pPr>
          </w:p>
        </w:tc>
        <w:tc>
          <w:tcPr>
            <w:tcW w:w="851" w:type="dxa"/>
            <w:tcBorders>
              <w:top w:val="nil"/>
              <w:left w:val="nil"/>
              <w:bottom w:val="nil"/>
              <w:right w:val="nil"/>
            </w:tcBorders>
            <w:shd w:val="clear" w:color="auto" w:fill="auto"/>
            <w:vAlign w:val="bottom"/>
          </w:tcPr>
          <w:p w14:paraId="3CCA6418" w14:textId="77777777" w:rsidR="00C7765D" w:rsidRPr="00122C95" w:rsidRDefault="00C7765D" w:rsidP="00A72601">
            <w:pPr>
              <w:jc w:val="right"/>
              <w:rPr>
                <w:sz w:val="14"/>
                <w:szCs w:val="14"/>
                <w:lang w:eastAsia="es-AR"/>
              </w:rPr>
            </w:pPr>
          </w:p>
        </w:tc>
        <w:tc>
          <w:tcPr>
            <w:tcW w:w="1360" w:type="dxa"/>
            <w:tcBorders>
              <w:top w:val="nil"/>
              <w:left w:val="nil"/>
              <w:bottom w:val="nil"/>
              <w:right w:val="nil"/>
            </w:tcBorders>
            <w:shd w:val="clear" w:color="auto" w:fill="auto"/>
            <w:vAlign w:val="bottom"/>
          </w:tcPr>
          <w:p w14:paraId="3B6EC4D6" w14:textId="77777777" w:rsidR="00C7765D" w:rsidRPr="00122C95" w:rsidRDefault="00C7765D" w:rsidP="00A72601">
            <w:pPr>
              <w:jc w:val="right"/>
              <w:rPr>
                <w:sz w:val="14"/>
                <w:szCs w:val="14"/>
                <w:lang w:eastAsia="es-AR"/>
              </w:rPr>
            </w:pPr>
          </w:p>
        </w:tc>
        <w:tc>
          <w:tcPr>
            <w:tcW w:w="1269" w:type="dxa"/>
            <w:tcBorders>
              <w:top w:val="nil"/>
              <w:left w:val="nil"/>
              <w:bottom w:val="nil"/>
              <w:right w:val="nil"/>
            </w:tcBorders>
            <w:shd w:val="clear" w:color="auto" w:fill="auto"/>
            <w:vAlign w:val="bottom"/>
          </w:tcPr>
          <w:p w14:paraId="23821099" w14:textId="77777777" w:rsidR="00C7765D" w:rsidRPr="00122C95" w:rsidRDefault="00C7765D" w:rsidP="00A72601">
            <w:pPr>
              <w:jc w:val="right"/>
              <w:rPr>
                <w:sz w:val="14"/>
                <w:szCs w:val="14"/>
                <w:lang w:eastAsia="es-AR"/>
              </w:rPr>
            </w:pPr>
          </w:p>
        </w:tc>
        <w:tc>
          <w:tcPr>
            <w:tcW w:w="1308" w:type="dxa"/>
            <w:tcBorders>
              <w:top w:val="nil"/>
              <w:left w:val="nil"/>
              <w:bottom w:val="nil"/>
              <w:right w:val="nil"/>
            </w:tcBorders>
            <w:shd w:val="clear" w:color="auto" w:fill="auto"/>
            <w:vAlign w:val="bottom"/>
          </w:tcPr>
          <w:p w14:paraId="4FC382AA" w14:textId="77777777" w:rsidR="00C7765D" w:rsidRPr="00122C95" w:rsidRDefault="00C7765D" w:rsidP="00A72601">
            <w:pPr>
              <w:jc w:val="right"/>
              <w:rPr>
                <w:sz w:val="14"/>
                <w:szCs w:val="14"/>
                <w:lang w:eastAsia="es-AR"/>
              </w:rPr>
            </w:pPr>
          </w:p>
        </w:tc>
        <w:tc>
          <w:tcPr>
            <w:tcW w:w="708" w:type="dxa"/>
            <w:tcBorders>
              <w:top w:val="nil"/>
              <w:left w:val="nil"/>
              <w:bottom w:val="nil"/>
              <w:right w:val="nil"/>
            </w:tcBorders>
            <w:shd w:val="clear" w:color="auto" w:fill="auto"/>
            <w:vAlign w:val="bottom"/>
          </w:tcPr>
          <w:p w14:paraId="1A789FBB" w14:textId="77777777" w:rsidR="00C7765D" w:rsidRPr="00122C95" w:rsidRDefault="00C7765D" w:rsidP="00A72601">
            <w:pPr>
              <w:jc w:val="right"/>
              <w:rPr>
                <w:sz w:val="14"/>
                <w:szCs w:val="14"/>
                <w:lang w:eastAsia="es-AR"/>
              </w:rPr>
            </w:pPr>
          </w:p>
        </w:tc>
        <w:tc>
          <w:tcPr>
            <w:tcW w:w="710" w:type="dxa"/>
            <w:tcBorders>
              <w:top w:val="nil"/>
              <w:left w:val="nil"/>
              <w:bottom w:val="nil"/>
              <w:right w:val="nil"/>
            </w:tcBorders>
            <w:shd w:val="clear" w:color="auto" w:fill="auto"/>
            <w:vAlign w:val="bottom"/>
          </w:tcPr>
          <w:p w14:paraId="209498F6" w14:textId="77777777" w:rsidR="00C7765D" w:rsidRPr="00122C95" w:rsidRDefault="00C7765D" w:rsidP="00A72601">
            <w:pPr>
              <w:jc w:val="right"/>
              <w:rPr>
                <w:sz w:val="14"/>
                <w:szCs w:val="14"/>
                <w:lang w:eastAsia="es-AR"/>
              </w:rPr>
            </w:pPr>
          </w:p>
        </w:tc>
      </w:tr>
      <w:tr w:rsidR="00A72601" w:rsidRPr="00122C95" w14:paraId="10981DD5" w14:textId="77777777" w:rsidTr="006E1AF7">
        <w:trPr>
          <w:trHeight w:val="255"/>
        </w:trPr>
        <w:tc>
          <w:tcPr>
            <w:tcW w:w="2689" w:type="dxa"/>
            <w:tcBorders>
              <w:top w:val="nil"/>
              <w:left w:val="nil"/>
              <w:bottom w:val="nil"/>
              <w:right w:val="nil"/>
            </w:tcBorders>
            <w:shd w:val="clear" w:color="auto" w:fill="auto"/>
            <w:hideMark/>
          </w:tcPr>
          <w:p w14:paraId="086658A9" w14:textId="77777777" w:rsidR="00A72601" w:rsidRPr="00122C95" w:rsidRDefault="00A72601" w:rsidP="00A72601">
            <w:pPr>
              <w:rPr>
                <w:rFonts w:ascii="Arial" w:hAnsi="Arial" w:cs="Arial"/>
                <w:b/>
                <w:bCs/>
                <w:sz w:val="14"/>
                <w:szCs w:val="14"/>
                <w:lang w:eastAsia="es-AR"/>
              </w:rPr>
            </w:pPr>
            <w:r w:rsidRPr="00122C95">
              <w:rPr>
                <w:rFonts w:ascii="Arial" w:hAnsi="Arial" w:cs="Arial"/>
                <w:b/>
                <w:bCs/>
                <w:sz w:val="14"/>
                <w:szCs w:val="14"/>
                <w:lang w:eastAsia="es-AR"/>
              </w:rPr>
              <w:t>Obligaciones negociables emitidas</w:t>
            </w:r>
          </w:p>
        </w:tc>
        <w:tc>
          <w:tcPr>
            <w:tcW w:w="919" w:type="dxa"/>
            <w:tcBorders>
              <w:top w:val="nil"/>
              <w:left w:val="nil"/>
              <w:bottom w:val="nil"/>
              <w:right w:val="nil"/>
            </w:tcBorders>
            <w:shd w:val="clear" w:color="auto" w:fill="auto"/>
            <w:vAlign w:val="bottom"/>
          </w:tcPr>
          <w:p w14:paraId="59640F0E" w14:textId="4BF16A5A" w:rsidR="00A72601"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6.070.917</w:t>
            </w:r>
          </w:p>
        </w:tc>
        <w:tc>
          <w:tcPr>
            <w:tcW w:w="851" w:type="dxa"/>
            <w:tcBorders>
              <w:top w:val="nil"/>
              <w:left w:val="nil"/>
              <w:bottom w:val="nil"/>
              <w:right w:val="nil"/>
            </w:tcBorders>
            <w:shd w:val="clear" w:color="auto" w:fill="auto"/>
            <w:vAlign w:val="bottom"/>
          </w:tcPr>
          <w:p w14:paraId="6EA266BF" w14:textId="0F33711A"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674CA558" w14:textId="4386A40C" w:rsidR="00A72601" w:rsidRPr="00122C95" w:rsidRDefault="00A72601" w:rsidP="00A72601">
            <w:pPr>
              <w:jc w:val="right"/>
              <w:rPr>
                <w:sz w:val="14"/>
                <w:szCs w:val="14"/>
                <w:lang w:eastAsia="es-AR"/>
              </w:rPr>
            </w:pPr>
            <w:r>
              <w:rPr>
                <w:rFonts w:ascii="Arial" w:hAnsi="Arial" w:cs="Arial"/>
                <w:sz w:val="14"/>
                <w:szCs w:val="14"/>
                <w:lang w:eastAsia="es-AR"/>
              </w:rPr>
              <w:t>-</w:t>
            </w:r>
          </w:p>
        </w:tc>
        <w:tc>
          <w:tcPr>
            <w:tcW w:w="1269" w:type="dxa"/>
            <w:tcBorders>
              <w:top w:val="nil"/>
              <w:left w:val="nil"/>
              <w:bottom w:val="nil"/>
              <w:right w:val="nil"/>
            </w:tcBorders>
            <w:shd w:val="clear" w:color="auto" w:fill="auto"/>
            <w:vAlign w:val="bottom"/>
          </w:tcPr>
          <w:p w14:paraId="027019D5" w14:textId="1F5043A4" w:rsidR="00A72601" w:rsidRPr="00122C95" w:rsidRDefault="00A72601" w:rsidP="00A72601">
            <w:pPr>
              <w:jc w:val="right"/>
              <w:rPr>
                <w:sz w:val="14"/>
                <w:szCs w:val="14"/>
                <w:lang w:eastAsia="es-AR"/>
              </w:rPr>
            </w:pPr>
            <w:r>
              <w:rPr>
                <w:rFonts w:ascii="Arial" w:hAnsi="Arial" w:cs="Arial"/>
                <w:sz w:val="14"/>
                <w:szCs w:val="14"/>
                <w:lang w:eastAsia="es-AR"/>
              </w:rPr>
              <w:t>-</w:t>
            </w:r>
          </w:p>
        </w:tc>
        <w:tc>
          <w:tcPr>
            <w:tcW w:w="1308" w:type="dxa"/>
            <w:tcBorders>
              <w:top w:val="nil"/>
              <w:left w:val="nil"/>
              <w:bottom w:val="nil"/>
              <w:right w:val="nil"/>
            </w:tcBorders>
            <w:shd w:val="clear" w:color="auto" w:fill="auto"/>
            <w:vAlign w:val="bottom"/>
          </w:tcPr>
          <w:p w14:paraId="219BB355" w14:textId="653FB7E7" w:rsidR="00A72601" w:rsidRPr="00122C95" w:rsidRDefault="00A72601" w:rsidP="00A72601">
            <w:pPr>
              <w:jc w:val="right"/>
              <w:rPr>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6D3B8B23" w14:textId="587F0424" w:rsidR="00A72601" w:rsidRPr="00122C95" w:rsidRDefault="00A72601" w:rsidP="00A72601">
            <w:pPr>
              <w:jc w:val="right"/>
              <w:rPr>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2055A498" w14:textId="1BCEB026" w:rsidR="00A72601" w:rsidRPr="00122C95" w:rsidRDefault="00A72601" w:rsidP="00A72601">
            <w:pPr>
              <w:jc w:val="right"/>
              <w:rPr>
                <w:sz w:val="14"/>
                <w:szCs w:val="14"/>
                <w:lang w:eastAsia="es-AR"/>
              </w:rPr>
            </w:pPr>
            <w:r>
              <w:rPr>
                <w:rFonts w:ascii="Arial" w:hAnsi="Arial" w:cs="Arial"/>
                <w:sz w:val="14"/>
                <w:szCs w:val="14"/>
                <w:lang w:eastAsia="es-AR"/>
              </w:rPr>
              <w:t>-</w:t>
            </w:r>
          </w:p>
        </w:tc>
      </w:tr>
      <w:tr w:rsidR="00C7765D" w:rsidRPr="00122C95" w14:paraId="25B2495E" w14:textId="77777777" w:rsidTr="006E1AF7">
        <w:trPr>
          <w:trHeight w:val="255"/>
        </w:trPr>
        <w:tc>
          <w:tcPr>
            <w:tcW w:w="2689" w:type="dxa"/>
            <w:tcBorders>
              <w:top w:val="nil"/>
              <w:left w:val="nil"/>
              <w:bottom w:val="nil"/>
              <w:right w:val="nil"/>
            </w:tcBorders>
            <w:shd w:val="clear" w:color="auto" w:fill="auto"/>
            <w:hideMark/>
          </w:tcPr>
          <w:p w14:paraId="36BD3A37" w14:textId="77777777" w:rsidR="00C7765D" w:rsidRPr="00122C95" w:rsidRDefault="00C7765D" w:rsidP="00257726">
            <w:pPr>
              <w:rPr>
                <w:sz w:val="14"/>
                <w:szCs w:val="14"/>
                <w:lang w:eastAsia="es-AR"/>
              </w:rPr>
            </w:pPr>
          </w:p>
        </w:tc>
        <w:tc>
          <w:tcPr>
            <w:tcW w:w="919" w:type="dxa"/>
            <w:tcBorders>
              <w:top w:val="nil"/>
              <w:left w:val="nil"/>
              <w:bottom w:val="nil"/>
              <w:right w:val="nil"/>
            </w:tcBorders>
            <w:shd w:val="clear" w:color="auto" w:fill="auto"/>
            <w:vAlign w:val="bottom"/>
          </w:tcPr>
          <w:p w14:paraId="146F0E8C" w14:textId="77777777" w:rsidR="00C7765D" w:rsidRPr="00122C95" w:rsidRDefault="00C7765D" w:rsidP="00A72601">
            <w:pPr>
              <w:jc w:val="right"/>
              <w:rPr>
                <w:sz w:val="14"/>
                <w:szCs w:val="14"/>
                <w:lang w:eastAsia="es-AR"/>
              </w:rPr>
            </w:pPr>
          </w:p>
        </w:tc>
        <w:tc>
          <w:tcPr>
            <w:tcW w:w="851" w:type="dxa"/>
            <w:tcBorders>
              <w:top w:val="nil"/>
              <w:left w:val="nil"/>
              <w:bottom w:val="nil"/>
              <w:right w:val="nil"/>
            </w:tcBorders>
            <w:shd w:val="clear" w:color="auto" w:fill="auto"/>
            <w:vAlign w:val="bottom"/>
          </w:tcPr>
          <w:p w14:paraId="038DDE0A" w14:textId="77777777" w:rsidR="00C7765D" w:rsidRPr="00122C95" w:rsidRDefault="00C7765D" w:rsidP="00A72601">
            <w:pPr>
              <w:jc w:val="right"/>
              <w:rPr>
                <w:sz w:val="14"/>
                <w:szCs w:val="14"/>
                <w:lang w:eastAsia="es-AR"/>
              </w:rPr>
            </w:pPr>
          </w:p>
        </w:tc>
        <w:tc>
          <w:tcPr>
            <w:tcW w:w="1360" w:type="dxa"/>
            <w:tcBorders>
              <w:top w:val="nil"/>
              <w:left w:val="nil"/>
              <w:bottom w:val="nil"/>
              <w:right w:val="nil"/>
            </w:tcBorders>
            <w:shd w:val="clear" w:color="auto" w:fill="auto"/>
            <w:vAlign w:val="bottom"/>
          </w:tcPr>
          <w:p w14:paraId="748BDC8D" w14:textId="77777777" w:rsidR="00C7765D" w:rsidRPr="00122C95" w:rsidRDefault="00C7765D" w:rsidP="00A72601">
            <w:pPr>
              <w:jc w:val="right"/>
              <w:rPr>
                <w:sz w:val="14"/>
                <w:szCs w:val="14"/>
                <w:lang w:eastAsia="es-AR"/>
              </w:rPr>
            </w:pPr>
          </w:p>
        </w:tc>
        <w:tc>
          <w:tcPr>
            <w:tcW w:w="1269" w:type="dxa"/>
            <w:tcBorders>
              <w:top w:val="nil"/>
              <w:left w:val="nil"/>
              <w:bottom w:val="nil"/>
              <w:right w:val="nil"/>
            </w:tcBorders>
            <w:shd w:val="clear" w:color="auto" w:fill="auto"/>
            <w:vAlign w:val="bottom"/>
          </w:tcPr>
          <w:p w14:paraId="349912E5" w14:textId="77777777" w:rsidR="00C7765D" w:rsidRPr="00122C95" w:rsidRDefault="00C7765D" w:rsidP="00A72601">
            <w:pPr>
              <w:jc w:val="right"/>
              <w:rPr>
                <w:sz w:val="14"/>
                <w:szCs w:val="14"/>
                <w:lang w:eastAsia="es-AR"/>
              </w:rPr>
            </w:pPr>
          </w:p>
        </w:tc>
        <w:tc>
          <w:tcPr>
            <w:tcW w:w="1308" w:type="dxa"/>
            <w:tcBorders>
              <w:top w:val="nil"/>
              <w:left w:val="nil"/>
              <w:bottom w:val="nil"/>
              <w:right w:val="nil"/>
            </w:tcBorders>
            <w:shd w:val="clear" w:color="auto" w:fill="auto"/>
            <w:vAlign w:val="bottom"/>
          </w:tcPr>
          <w:p w14:paraId="6F76B6D3" w14:textId="77777777" w:rsidR="00C7765D" w:rsidRPr="00122C95" w:rsidRDefault="00C7765D" w:rsidP="00A72601">
            <w:pPr>
              <w:jc w:val="right"/>
              <w:rPr>
                <w:sz w:val="14"/>
                <w:szCs w:val="14"/>
                <w:lang w:eastAsia="es-AR"/>
              </w:rPr>
            </w:pPr>
          </w:p>
        </w:tc>
        <w:tc>
          <w:tcPr>
            <w:tcW w:w="708" w:type="dxa"/>
            <w:tcBorders>
              <w:top w:val="nil"/>
              <w:left w:val="nil"/>
              <w:bottom w:val="nil"/>
              <w:right w:val="nil"/>
            </w:tcBorders>
            <w:shd w:val="clear" w:color="auto" w:fill="auto"/>
            <w:vAlign w:val="bottom"/>
          </w:tcPr>
          <w:p w14:paraId="3850C27A" w14:textId="77777777" w:rsidR="00C7765D" w:rsidRPr="00122C95" w:rsidRDefault="00C7765D" w:rsidP="00A72601">
            <w:pPr>
              <w:jc w:val="right"/>
              <w:rPr>
                <w:sz w:val="14"/>
                <w:szCs w:val="14"/>
                <w:lang w:eastAsia="es-AR"/>
              </w:rPr>
            </w:pPr>
          </w:p>
        </w:tc>
        <w:tc>
          <w:tcPr>
            <w:tcW w:w="710" w:type="dxa"/>
            <w:tcBorders>
              <w:top w:val="nil"/>
              <w:left w:val="nil"/>
              <w:bottom w:val="nil"/>
              <w:right w:val="nil"/>
            </w:tcBorders>
            <w:shd w:val="clear" w:color="auto" w:fill="auto"/>
            <w:vAlign w:val="bottom"/>
          </w:tcPr>
          <w:p w14:paraId="0D4185AF" w14:textId="77777777" w:rsidR="00C7765D" w:rsidRPr="00122C95" w:rsidRDefault="00C7765D" w:rsidP="00A72601">
            <w:pPr>
              <w:jc w:val="right"/>
              <w:rPr>
                <w:sz w:val="14"/>
                <w:szCs w:val="14"/>
                <w:lang w:eastAsia="es-AR"/>
              </w:rPr>
            </w:pPr>
          </w:p>
        </w:tc>
      </w:tr>
      <w:tr w:rsidR="00A72601" w:rsidRPr="00122C95" w14:paraId="2AF2F4D0" w14:textId="77777777" w:rsidTr="006E1AF7">
        <w:trPr>
          <w:trHeight w:val="255"/>
        </w:trPr>
        <w:tc>
          <w:tcPr>
            <w:tcW w:w="2689" w:type="dxa"/>
            <w:tcBorders>
              <w:top w:val="nil"/>
              <w:left w:val="nil"/>
              <w:bottom w:val="nil"/>
              <w:right w:val="nil"/>
            </w:tcBorders>
            <w:shd w:val="clear" w:color="auto" w:fill="auto"/>
            <w:hideMark/>
          </w:tcPr>
          <w:p w14:paraId="43B556DE" w14:textId="77777777" w:rsidR="00A72601" w:rsidRPr="00122C95" w:rsidRDefault="00A72601" w:rsidP="00A72601">
            <w:pPr>
              <w:rPr>
                <w:rFonts w:ascii="Arial" w:hAnsi="Arial" w:cs="Arial"/>
                <w:b/>
                <w:bCs/>
                <w:sz w:val="14"/>
                <w:szCs w:val="14"/>
                <w:lang w:eastAsia="es-AR"/>
              </w:rPr>
            </w:pPr>
            <w:r w:rsidRPr="00122C95">
              <w:rPr>
                <w:rFonts w:ascii="Arial" w:hAnsi="Arial" w:cs="Arial"/>
                <w:b/>
                <w:bCs/>
                <w:sz w:val="14"/>
                <w:szCs w:val="14"/>
                <w:lang w:eastAsia="es-AR"/>
              </w:rPr>
              <w:t>Obligaciones negociables subordinadas</w:t>
            </w:r>
          </w:p>
        </w:tc>
        <w:tc>
          <w:tcPr>
            <w:tcW w:w="919" w:type="dxa"/>
            <w:tcBorders>
              <w:top w:val="nil"/>
              <w:left w:val="nil"/>
              <w:bottom w:val="nil"/>
              <w:right w:val="nil"/>
            </w:tcBorders>
            <w:shd w:val="clear" w:color="auto" w:fill="auto"/>
            <w:vAlign w:val="bottom"/>
          </w:tcPr>
          <w:p w14:paraId="1ED25393" w14:textId="21FBDEED" w:rsidR="00A72601" w:rsidRPr="00122C95" w:rsidRDefault="00CB1678" w:rsidP="00A72601">
            <w:pPr>
              <w:jc w:val="right"/>
              <w:rPr>
                <w:rFonts w:ascii="Arial" w:hAnsi="Arial" w:cs="Arial"/>
                <w:sz w:val="14"/>
                <w:szCs w:val="14"/>
                <w:lang w:eastAsia="es-AR"/>
              </w:rPr>
            </w:pPr>
            <w:r w:rsidRPr="00CB1678">
              <w:rPr>
                <w:rFonts w:ascii="Arial" w:hAnsi="Arial" w:cs="Arial"/>
                <w:sz w:val="14"/>
                <w:szCs w:val="14"/>
                <w:lang w:eastAsia="es-AR"/>
              </w:rPr>
              <w:t>2.119.888</w:t>
            </w:r>
          </w:p>
        </w:tc>
        <w:tc>
          <w:tcPr>
            <w:tcW w:w="851" w:type="dxa"/>
            <w:tcBorders>
              <w:top w:val="nil"/>
              <w:left w:val="nil"/>
              <w:bottom w:val="nil"/>
              <w:right w:val="nil"/>
            </w:tcBorders>
            <w:shd w:val="clear" w:color="auto" w:fill="auto"/>
            <w:vAlign w:val="bottom"/>
          </w:tcPr>
          <w:p w14:paraId="05DCE87A" w14:textId="370E8107" w:rsidR="00A72601" w:rsidRPr="00122C95" w:rsidRDefault="00A72601" w:rsidP="00A72601">
            <w:pPr>
              <w:jc w:val="right"/>
              <w:rPr>
                <w:rFonts w:ascii="Arial" w:hAnsi="Arial" w:cs="Arial"/>
                <w:sz w:val="14"/>
                <w:szCs w:val="14"/>
                <w:lang w:eastAsia="es-AR"/>
              </w:rPr>
            </w:pPr>
            <w:r>
              <w:rPr>
                <w:rFonts w:ascii="Arial" w:hAnsi="Arial" w:cs="Arial"/>
                <w:sz w:val="14"/>
                <w:szCs w:val="14"/>
                <w:lang w:eastAsia="es-AR"/>
              </w:rPr>
              <w:t>-</w:t>
            </w:r>
          </w:p>
        </w:tc>
        <w:tc>
          <w:tcPr>
            <w:tcW w:w="1360" w:type="dxa"/>
            <w:tcBorders>
              <w:top w:val="nil"/>
              <w:left w:val="nil"/>
              <w:bottom w:val="nil"/>
              <w:right w:val="nil"/>
            </w:tcBorders>
            <w:shd w:val="clear" w:color="auto" w:fill="auto"/>
            <w:vAlign w:val="bottom"/>
          </w:tcPr>
          <w:p w14:paraId="06CF3B09" w14:textId="4278AB7B" w:rsidR="00A72601" w:rsidRPr="00122C95" w:rsidRDefault="00A72601" w:rsidP="00A72601">
            <w:pPr>
              <w:jc w:val="right"/>
              <w:rPr>
                <w:sz w:val="14"/>
                <w:szCs w:val="14"/>
                <w:lang w:eastAsia="es-AR"/>
              </w:rPr>
            </w:pPr>
            <w:r>
              <w:rPr>
                <w:rFonts w:ascii="Arial" w:hAnsi="Arial" w:cs="Arial"/>
                <w:sz w:val="14"/>
                <w:szCs w:val="14"/>
                <w:lang w:eastAsia="es-AR"/>
              </w:rPr>
              <w:t>-</w:t>
            </w:r>
          </w:p>
        </w:tc>
        <w:tc>
          <w:tcPr>
            <w:tcW w:w="1269" w:type="dxa"/>
            <w:tcBorders>
              <w:top w:val="nil"/>
              <w:left w:val="nil"/>
              <w:bottom w:val="nil"/>
              <w:right w:val="nil"/>
            </w:tcBorders>
            <w:shd w:val="clear" w:color="auto" w:fill="auto"/>
            <w:vAlign w:val="bottom"/>
          </w:tcPr>
          <w:p w14:paraId="571869E9" w14:textId="2A576188" w:rsidR="00A72601" w:rsidRPr="00122C95" w:rsidRDefault="00A72601" w:rsidP="00A72601">
            <w:pPr>
              <w:jc w:val="right"/>
              <w:rPr>
                <w:sz w:val="14"/>
                <w:szCs w:val="14"/>
                <w:lang w:eastAsia="es-AR"/>
              </w:rPr>
            </w:pPr>
            <w:r>
              <w:rPr>
                <w:rFonts w:ascii="Arial" w:hAnsi="Arial" w:cs="Arial"/>
                <w:sz w:val="14"/>
                <w:szCs w:val="14"/>
                <w:lang w:eastAsia="es-AR"/>
              </w:rPr>
              <w:t>-</w:t>
            </w:r>
          </w:p>
        </w:tc>
        <w:tc>
          <w:tcPr>
            <w:tcW w:w="1308" w:type="dxa"/>
            <w:tcBorders>
              <w:top w:val="nil"/>
              <w:left w:val="nil"/>
              <w:bottom w:val="nil"/>
              <w:right w:val="nil"/>
            </w:tcBorders>
            <w:shd w:val="clear" w:color="auto" w:fill="auto"/>
            <w:vAlign w:val="bottom"/>
          </w:tcPr>
          <w:p w14:paraId="5EA3FED6" w14:textId="75455BB2" w:rsidR="00A72601" w:rsidRPr="00122C95" w:rsidRDefault="00A72601" w:rsidP="00A72601">
            <w:pPr>
              <w:jc w:val="right"/>
              <w:rPr>
                <w:sz w:val="14"/>
                <w:szCs w:val="14"/>
                <w:lang w:eastAsia="es-AR"/>
              </w:rPr>
            </w:pPr>
            <w:r>
              <w:rPr>
                <w:rFonts w:ascii="Arial" w:hAnsi="Arial" w:cs="Arial"/>
                <w:sz w:val="14"/>
                <w:szCs w:val="14"/>
                <w:lang w:eastAsia="es-AR"/>
              </w:rPr>
              <w:t>-</w:t>
            </w:r>
          </w:p>
        </w:tc>
        <w:tc>
          <w:tcPr>
            <w:tcW w:w="708" w:type="dxa"/>
            <w:tcBorders>
              <w:top w:val="nil"/>
              <w:left w:val="nil"/>
              <w:bottom w:val="nil"/>
              <w:right w:val="nil"/>
            </w:tcBorders>
            <w:shd w:val="clear" w:color="auto" w:fill="auto"/>
            <w:vAlign w:val="bottom"/>
          </w:tcPr>
          <w:p w14:paraId="547446DC" w14:textId="00DBABD6" w:rsidR="00A72601" w:rsidRPr="00122C95" w:rsidRDefault="00A72601" w:rsidP="00A72601">
            <w:pPr>
              <w:jc w:val="right"/>
              <w:rPr>
                <w:sz w:val="14"/>
                <w:szCs w:val="14"/>
                <w:lang w:eastAsia="es-AR"/>
              </w:rPr>
            </w:pPr>
            <w:r>
              <w:rPr>
                <w:rFonts w:ascii="Arial" w:hAnsi="Arial" w:cs="Arial"/>
                <w:sz w:val="14"/>
                <w:szCs w:val="14"/>
                <w:lang w:eastAsia="es-AR"/>
              </w:rPr>
              <w:t>-</w:t>
            </w:r>
          </w:p>
        </w:tc>
        <w:tc>
          <w:tcPr>
            <w:tcW w:w="710" w:type="dxa"/>
            <w:tcBorders>
              <w:top w:val="nil"/>
              <w:left w:val="nil"/>
              <w:bottom w:val="nil"/>
              <w:right w:val="nil"/>
            </w:tcBorders>
            <w:shd w:val="clear" w:color="auto" w:fill="auto"/>
            <w:vAlign w:val="bottom"/>
          </w:tcPr>
          <w:p w14:paraId="0BCF4E13" w14:textId="065BE113" w:rsidR="00A72601" w:rsidRPr="00122C95" w:rsidRDefault="00A72601" w:rsidP="00A72601">
            <w:pPr>
              <w:jc w:val="right"/>
              <w:rPr>
                <w:sz w:val="14"/>
                <w:szCs w:val="14"/>
                <w:lang w:eastAsia="es-AR"/>
              </w:rPr>
            </w:pPr>
            <w:r>
              <w:rPr>
                <w:rFonts w:ascii="Arial" w:hAnsi="Arial" w:cs="Arial"/>
                <w:sz w:val="14"/>
                <w:szCs w:val="14"/>
                <w:lang w:eastAsia="es-AR"/>
              </w:rPr>
              <w:t>-</w:t>
            </w:r>
          </w:p>
        </w:tc>
      </w:tr>
      <w:tr w:rsidR="00C7765D" w:rsidRPr="00122C95" w14:paraId="6E41F2FD" w14:textId="77777777" w:rsidTr="006E1AF7">
        <w:trPr>
          <w:trHeight w:val="255"/>
        </w:trPr>
        <w:tc>
          <w:tcPr>
            <w:tcW w:w="2689" w:type="dxa"/>
            <w:tcBorders>
              <w:top w:val="nil"/>
              <w:left w:val="nil"/>
              <w:bottom w:val="nil"/>
              <w:right w:val="nil"/>
            </w:tcBorders>
            <w:shd w:val="clear" w:color="auto" w:fill="auto"/>
            <w:hideMark/>
          </w:tcPr>
          <w:p w14:paraId="45A69519" w14:textId="77777777" w:rsidR="00C7765D" w:rsidRPr="00122C95" w:rsidRDefault="00C7765D" w:rsidP="00257726">
            <w:pPr>
              <w:rPr>
                <w:sz w:val="14"/>
                <w:szCs w:val="14"/>
                <w:lang w:eastAsia="es-AR"/>
              </w:rPr>
            </w:pPr>
          </w:p>
        </w:tc>
        <w:tc>
          <w:tcPr>
            <w:tcW w:w="919" w:type="dxa"/>
            <w:tcBorders>
              <w:top w:val="nil"/>
              <w:left w:val="nil"/>
              <w:bottom w:val="nil"/>
              <w:right w:val="nil"/>
            </w:tcBorders>
            <w:shd w:val="clear" w:color="auto" w:fill="auto"/>
            <w:vAlign w:val="bottom"/>
          </w:tcPr>
          <w:p w14:paraId="22B2A924" w14:textId="77777777" w:rsidR="00C7765D" w:rsidRPr="00122C95" w:rsidRDefault="00C7765D" w:rsidP="00A72601">
            <w:pPr>
              <w:jc w:val="right"/>
              <w:rPr>
                <w:sz w:val="14"/>
                <w:szCs w:val="14"/>
                <w:lang w:eastAsia="es-AR"/>
              </w:rPr>
            </w:pPr>
          </w:p>
        </w:tc>
        <w:tc>
          <w:tcPr>
            <w:tcW w:w="851" w:type="dxa"/>
            <w:tcBorders>
              <w:top w:val="nil"/>
              <w:left w:val="nil"/>
              <w:bottom w:val="nil"/>
              <w:right w:val="nil"/>
            </w:tcBorders>
            <w:shd w:val="clear" w:color="auto" w:fill="auto"/>
            <w:vAlign w:val="bottom"/>
          </w:tcPr>
          <w:p w14:paraId="3B0F8160" w14:textId="77777777" w:rsidR="00C7765D" w:rsidRPr="00122C95" w:rsidRDefault="00C7765D" w:rsidP="00A72601">
            <w:pPr>
              <w:jc w:val="right"/>
              <w:rPr>
                <w:sz w:val="14"/>
                <w:szCs w:val="14"/>
                <w:lang w:eastAsia="es-AR"/>
              </w:rPr>
            </w:pPr>
          </w:p>
        </w:tc>
        <w:tc>
          <w:tcPr>
            <w:tcW w:w="1360" w:type="dxa"/>
            <w:tcBorders>
              <w:top w:val="nil"/>
              <w:left w:val="nil"/>
              <w:bottom w:val="nil"/>
              <w:right w:val="nil"/>
            </w:tcBorders>
            <w:shd w:val="clear" w:color="auto" w:fill="auto"/>
            <w:vAlign w:val="bottom"/>
          </w:tcPr>
          <w:p w14:paraId="5CE31BA9" w14:textId="77777777" w:rsidR="00C7765D" w:rsidRPr="00122C95" w:rsidRDefault="00C7765D" w:rsidP="00A72601">
            <w:pPr>
              <w:jc w:val="right"/>
              <w:rPr>
                <w:sz w:val="14"/>
                <w:szCs w:val="14"/>
                <w:lang w:eastAsia="es-AR"/>
              </w:rPr>
            </w:pPr>
          </w:p>
        </w:tc>
        <w:tc>
          <w:tcPr>
            <w:tcW w:w="1269" w:type="dxa"/>
            <w:tcBorders>
              <w:top w:val="nil"/>
              <w:left w:val="nil"/>
              <w:bottom w:val="nil"/>
              <w:right w:val="nil"/>
            </w:tcBorders>
            <w:shd w:val="clear" w:color="auto" w:fill="auto"/>
            <w:vAlign w:val="bottom"/>
          </w:tcPr>
          <w:p w14:paraId="0FA90FCB" w14:textId="77777777" w:rsidR="00C7765D" w:rsidRPr="00122C95" w:rsidRDefault="00C7765D" w:rsidP="00A72601">
            <w:pPr>
              <w:jc w:val="right"/>
              <w:rPr>
                <w:sz w:val="14"/>
                <w:szCs w:val="14"/>
                <w:lang w:eastAsia="es-AR"/>
              </w:rPr>
            </w:pPr>
          </w:p>
        </w:tc>
        <w:tc>
          <w:tcPr>
            <w:tcW w:w="1308" w:type="dxa"/>
            <w:tcBorders>
              <w:top w:val="nil"/>
              <w:left w:val="nil"/>
              <w:bottom w:val="nil"/>
              <w:right w:val="nil"/>
            </w:tcBorders>
            <w:shd w:val="clear" w:color="auto" w:fill="auto"/>
            <w:vAlign w:val="bottom"/>
          </w:tcPr>
          <w:p w14:paraId="63CF99B6" w14:textId="77777777" w:rsidR="00C7765D" w:rsidRPr="00122C95" w:rsidRDefault="00C7765D" w:rsidP="00A72601">
            <w:pPr>
              <w:jc w:val="right"/>
              <w:rPr>
                <w:sz w:val="14"/>
                <w:szCs w:val="14"/>
                <w:lang w:eastAsia="es-AR"/>
              </w:rPr>
            </w:pPr>
          </w:p>
        </w:tc>
        <w:tc>
          <w:tcPr>
            <w:tcW w:w="708" w:type="dxa"/>
            <w:tcBorders>
              <w:top w:val="nil"/>
              <w:left w:val="nil"/>
              <w:bottom w:val="nil"/>
              <w:right w:val="nil"/>
            </w:tcBorders>
            <w:shd w:val="clear" w:color="auto" w:fill="auto"/>
            <w:vAlign w:val="bottom"/>
          </w:tcPr>
          <w:p w14:paraId="2E48D973" w14:textId="77777777" w:rsidR="00C7765D" w:rsidRPr="00122C95" w:rsidRDefault="00C7765D" w:rsidP="00A72601">
            <w:pPr>
              <w:jc w:val="right"/>
              <w:rPr>
                <w:sz w:val="14"/>
                <w:szCs w:val="14"/>
                <w:lang w:eastAsia="es-AR"/>
              </w:rPr>
            </w:pPr>
          </w:p>
        </w:tc>
        <w:tc>
          <w:tcPr>
            <w:tcW w:w="710" w:type="dxa"/>
            <w:tcBorders>
              <w:top w:val="nil"/>
              <w:left w:val="nil"/>
              <w:bottom w:val="nil"/>
              <w:right w:val="nil"/>
            </w:tcBorders>
            <w:shd w:val="clear" w:color="auto" w:fill="auto"/>
            <w:vAlign w:val="bottom"/>
          </w:tcPr>
          <w:p w14:paraId="3BCACDB2" w14:textId="77777777" w:rsidR="00C7765D" w:rsidRPr="00122C95" w:rsidRDefault="00C7765D" w:rsidP="00A72601">
            <w:pPr>
              <w:jc w:val="right"/>
              <w:rPr>
                <w:sz w:val="14"/>
                <w:szCs w:val="14"/>
                <w:lang w:eastAsia="es-AR"/>
              </w:rPr>
            </w:pPr>
          </w:p>
        </w:tc>
      </w:tr>
      <w:tr w:rsidR="00C7765D" w:rsidRPr="00122C95" w14:paraId="6A19B859" w14:textId="77777777" w:rsidTr="006E1AF7">
        <w:trPr>
          <w:trHeight w:val="255"/>
        </w:trPr>
        <w:tc>
          <w:tcPr>
            <w:tcW w:w="2689" w:type="dxa"/>
            <w:tcBorders>
              <w:top w:val="nil"/>
              <w:left w:val="nil"/>
              <w:bottom w:val="nil"/>
              <w:right w:val="nil"/>
            </w:tcBorders>
            <w:shd w:val="clear" w:color="auto" w:fill="auto"/>
            <w:hideMark/>
          </w:tcPr>
          <w:p w14:paraId="7313BF21" w14:textId="77777777" w:rsidR="00C7765D" w:rsidRPr="00122C95" w:rsidRDefault="00C7765D" w:rsidP="00257726">
            <w:pPr>
              <w:rPr>
                <w:rFonts w:ascii="Arial" w:hAnsi="Arial" w:cs="Arial"/>
                <w:b/>
                <w:bCs/>
                <w:sz w:val="14"/>
                <w:szCs w:val="14"/>
                <w:lang w:eastAsia="es-AR"/>
              </w:rPr>
            </w:pPr>
            <w:r w:rsidRPr="00122C95">
              <w:rPr>
                <w:rFonts w:ascii="Arial" w:hAnsi="Arial" w:cs="Arial"/>
                <w:b/>
                <w:bCs/>
                <w:sz w:val="14"/>
                <w:szCs w:val="14"/>
                <w:lang w:eastAsia="es-AR"/>
              </w:rPr>
              <w:t>TOTAL PASIVOS FINANCIEROS</w:t>
            </w:r>
          </w:p>
        </w:tc>
        <w:tc>
          <w:tcPr>
            <w:tcW w:w="919" w:type="dxa"/>
            <w:tcBorders>
              <w:top w:val="single" w:sz="4" w:space="0" w:color="auto"/>
              <w:left w:val="nil"/>
              <w:bottom w:val="single" w:sz="4" w:space="0" w:color="auto"/>
              <w:right w:val="nil"/>
            </w:tcBorders>
            <w:shd w:val="clear" w:color="auto" w:fill="auto"/>
            <w:vAlign w:val="bottom"/>
          </w:tcPr>
          <w:p w14:paraId="5798527E" w14:textId="1BB49FD2" w:rsidR="00C7765D" w:rsidRPr="00122C95" w:rsidRDefault="00CB1678" w:rsidP="00A72601">
            <w:pPr>
              <w:jc w:val="right"/>
              <w:rPr>
                <w:rFonts w:ascii="Arial" w:hAnsi="Arial" w:cs="Arial"/>
                <w:b/>
                <w:bCs/>
                <w:sz w:val="14"/>
                <w:szCs w:val="14"/>
                <w:lang w:eastAsia="es-AR"/>
              </w:rPr>
            </w:pPr>
            <w:r w:rsidRPr="00CB1678">
              <w:rPr>
                <w:rFonts w:ascii="Arial" w:hAnsi="Arial" w:cs="Arial"/>
                <w:b/>
                <w:bCs/>
                <w:sz w:val="14"/>
                <w:szCs w:val="14"/>
                <w:lang w:eastAsia="es-AR"/>
              </w:rPr>
              <w:t>107.304.444</w:t>
            </w:r>
          </w:p>
        </w:tc>
        <w:tc>
          <w:tcPr>
            <w:tcW w:w="851" w:type="dxa"/>
            <w:tcBorders>
              <w:top w:val="single" w:sz="4" w:space="0" w:color="auto"/>
              <w:left w:val="nil"/>
              <w:bottom w:val="single" w:sz="4" w:space="0" w:color="auto"/>
              <w:right w:val="nil"/>
            </w:tcBorders>
            <w:shd w:val="clear" w:color="auto" w:fill="auto"/>
            <w:vAlign w:val="bottom"/>
          </w:tcPr>
          <w:p w14:paraId="09A18F35" w14:textId="77777777" w:rsidR="00C7765D" w:rsidRPr="00122C95" w:rsidRDefault="00C7765D" w:rsidP="00A72601">
            <w:pPr>
              <w:jc w:val="right"/>
              <w:rPr>
                <w:rFonts w:ascii="Arial" w:hAnsi="Arial" w:cs="Arial"/>
                <w:b/>
                <w:bCs/>
                <w:sz w:val="14"/>
                <w:szCs w:val="14"/>
                <w:lang w:eastAsia="es-AR"/>
              </w:rPr>
            </w:pPr>
          </w:p>
        </w:tc>
        <w:tc>
          <w:tcPr>
            <w:tcW w:w="1360" w:type="dxa"/>
            <w:tcBorders>
              <w:top w:val="single" w:sz="4" w:space="0" w:color="auto"/>
              <w:left w:val="nil"/>
              <w:bottom w:val="single" w:sz="4" w:space="0" w:color="auto"/>
              <w:right w:val="nil"/>
            </w:tcBorders>
            <w:shd w:val="clear" w:color="auto" w:fill="auto"/>
            <w:vAlign w:val="bottom"/>
          </w:tcPr>
          <w:p w14:paraId="15FF9928" w14:textId="77777777" w:rsidR="00C7765D" w:rsidRPr="00122C95" w:rsidRDefault="00C7765D" w:rsidP="00A72601">
            <w:pPr>
              <w:jc w:val="right"/>
              <w:rPr>
                <w:rFonts w:ascii="Arial" w:hAnsi="Arial" w:cs="Arial"/>
                <w:b/>
                <w:bCs/>
                <w:sz w:val="14"/>
                <w:szCs w:val="14"/>
                <w:lang w:eastAsia="es-AR"/>
              </w:rPr>
            </w:pPr>
          </w:p>
        </w:tc>
        <w:tc>
          <w:tcPr>
            <w:tcW w:w="1269" w:type="dxa"/>
            <w:tcBorders>
              <w:top w:val="single" w:sz="4" w:space="0" w:color="auto"/>
              <w:left w:val="nil"/>
              <w:bottom w:val="single" w:sz="4" w:space="0" w:color="auto"/>
              <w:right w:val="nil"/>
            </w:tcBorders>
            <w:shd w:val="clear" w:color="auto" w:fill="auto"/>
            <w:vAlign w:val="bottom"/>
          </w:tcPr>
          <w:p w14:paraId="09A35027" w14:textId="19C14E5E" w:rsidR="00C7765D" w:rsidRPr="00122C95" w:rsidRDefault="007A6CC7" w:rsidP="00A72601">
            <w:pPr>
              <w:jc w:val="right"/>
              <w:rPr>
                <w:rFonts w:ascii="Arial" w:hAnsi="Arial" w:cs="Arial"/>
                <w:b/>
                <w:bCs/>
                <w:sz w:val="14"/>
                <w:szCs w:val="14"/>
                <w:lang w:eastAsia="es-AR"/>
              </w:rPr>
            </w:pPr>
            <w:r w:rsidRPr="007A6CC7">
              <w:rPr>
                <w:rFonts w:ascii="Arial" w:hAnsi="Arial" w:cs="Arial"/>
                <w:b/>
                <w:bCs/>
                <w:sz w:val="14"/>
                <w:szCs w:val="14"/>
                <w:lang w:eastAsia="es-AR"/>
              </w:rPr>
              <w:t>6.093.322</w:t>
            </w:r>
          </w:p>
        </w:tc>
        <w:tc>
          <w:tcPr>
            <w:tcW w:w="1308" w:type="dxa"/>
            <w:tcBorders>
              <w:top w:val="single" w:sz="4" w:space="0" w:color="auto"/>
              <w:left w:val="nil"/>
              <w:bottom w:val="single" w:sz="4" w:space="0" w:color="auto"/>
              <w:right w:val="nil"/>
            </w:tcBorders>
            <w:shd w:val="clear" w:color="auto" w:fill="auto"/>
            <w:vAlign w:val="bottom"/>
          </w:tcPr>
          <w:p w14:paraId="5946999F" w14:textId="27E82432" w:rsidR="00C7765D" w:rsidRPr="00122C95" w:rsidRDefault="007A6CC7" w:rsidP="00A72601">
            <w:pPr>
              <w:jc w:val="right"/>
              <w:rPr>
                <w:rFonts w:ascii="Arial" w:hAnsi="Arial" w:cs="Arial"/>
                <w:b/>
                <w:bCs/>
                <w:sz w:val="14"/>
                <w:szCs w:val="14"/>
                <w:lang w:eastAsia="es-AR"/>
              </w:rPr>
            </w:pPr>
            <w:r w:rsidRPr="007A6CC7">
              <w:rPr>
                <w:rFonts w:ascii="Arial" w:hAnsi="Arial" w:cs="Arial"/>
                <w:b/>
                <w:bCs/>
                <w:sz w:val="14"/>
                <w:szCs w:val="14"/>
                <w:lang w:eastAsia="es-AR"/>
              </w:rPr>
              <w:t>6.093.322</w:t>
            </w:r>
          </w:p>
        </w:tc>
        <w:tc>
          <w:tcPr>
            <w:tcW w:w="708" w:type="dxa"/>
            <w:tcBorders>
              <w:top w:val="single" w:sz="4" w:space="0" w:color="auto"/>
              <w:left w:val="nil"/>
              <w:bottom w:val="single" w:sz="4" w:space="0" w:color="auto"/>
              <w:right w:val="nil"/>
            </w:tcBorders>
            <w:shd w:val="clear" w:color="auto" w:fill="auto"/>
            <w:vAlign w:val="bottom"/>
          </w:tcPr>
          <w:p w14:paraId="04803E1C" w14:textId="77777777" w:rsidR="00C7765D" w:rsidRPr="00122C95" w:rsidRDefault="00C7765D" w:rsidP="00A72601">
            <w:pPr>
              <w:jc w:val="right"/>
              <w:rPr>
                <w:rFonts w:ascii="Arial" w:hAnsi="Arial" w:cs="Arial"/>
                <w:b/>
                <w:bCs/>
                <w:sz w:val="14"/>
                <w:szCs w:val="14"/>
                <w:lang w:eastAsia="es-AR"/>
              </w:rPr>
            </w:pPr>
          </w:p>
        </w:tc>
        <w:tc>
          <w:tcPr>
            <w:tcW w:w="710" w:type="dxa"/>
            <w:tcBorders>
              <w:top w:val="single" w:sz="4" w:space="0" w:color="auto"/>
              <w:left w:val="nil"/>
              <w:bottom w:val="single" w:sz="4" w:space="0" w:color="auto"/>
              <w:right w:val="nil"/>
            </w:tcBorders>
            <w:shd w:val="clear" w:color="auto" w:fill="auto"/>
            <w:vAlign w:val="bottom"/>
          </w:tcPr>
          <w:p w14:paraId="46DB6760" w14:textId="77777777" w:rsidR="00C7765D" w:rsidRPr="00122C95" w:rsidRDefault="00C7765D" w:rsidP="00A72601">
            <w:pPr>
              <w:jc w:val="right"/>
              <w:rPr>
                <w:rFonts w:ascii="Arial" w:hAnsi="Arial" w:cs="Arial"/>
                <w:b/>
                <w:bCs/>
                <w:sz w:val="14"/>
                <w:szCs w:val="14"/>
                <w:lang w:eastAsia="es-AR"/>
              </w:rPr>
            </w:pPr>
          </w:p>
        </w:tc>
      </w:tr>
    </w:tbl>
    <w:p w14:paraId="02D35E1E" w14:textId="77777777" w:rsidR="00A179F3" w:rsidRDefault="00A179F3" w:rsidP="008962C9"/>
    <w:p w14:paraId="14970CD3" w14:textId="77777777" w:rsidR="00A179F3" w:rsidRPr="007B34B2" w:rsidRDefault="00A179F3" w:rsidP="008962C9"/>
    <w:p w14:paraId="2FF9F18A" w14:textId="77777777" w:rsidR="00C7765D" w:rsidRDefault="00C7765D" w:rsidP="008962C9">
      <w:pPr>
        <w:sectPr w:rsidR="00C7765D" w:rsidSect="00A30C77">
          <w:headerReference w:type="default" r:id="rId66"/>
          <w:pgSz w:w="11907" w:h="16839" w:code="9"/>
          <w:pgMar w:top="1418" w:right="1701" w:bottom="1418" w:left="1701" w:header="567" w:footer="0" w:gutter="0"/>
          <w:paperSrc w:first="256" w:other="256"/>
          <w:cols w:space="720"/>
          <w:docGrid w:linePitch="326"/>
        </w:sectPr>
      </w:pPr>
    </w:p>
    <w:tbl>
      <w:tblPr>
        <w:tblW w:w="9520" w:type="dxa"/>
        <w:tblInd w:w="75" w:type="dxa"/>
        <w:tblCellMar>
          <w:left w:w="70" w:type="dxa"/>
          <w:right w:w="70" w:type="dxa"/>
        </w:tblCellMar>
        <w:tblLook w:val="04A0" w:firstRow="1" w:lastRow="0" w:firstColumn="1" w:lastColumn="0" w:noHBand="0" w:noVBand="1"/>
      </w:tblPr>
      <w:tblGrid>
        <w:gridCol w:w="5665"/>
        <w:gridCol w:w="1478"/>
        <w:gridCol w:w="117"/>
        <w:gridCol w:w="1099"/>
        <w:gridCol w:w="889"/>
        <w:gridCol w:w="272"/>
      </w:tblGrid>
      <w:tr w:rsidR="00C7765D" w:rsidRPr="006A451F" w14:paraId="2D450933" w14:textId="77777777" w:rsidTr="00C7765D">
        <w:trPr>
          <w:gridAfter w:val="1"/>
          <w:wAfter w:w="272" w:type="dxa"/>
          <w:trHeight w:val="259"/>
        </w:trPr>
        <w:tc>
          <w:tcPr>
            <w:tcW w:w="5665" w:type="dxa"/>
            <w:vMerge w:val="restart"/>
            <w:tcBorders>
              <w:top w:val="single" w:sz="4" w:space="0" w:color="363639"/>
              <w:left w:val="single" w:sz="4" w:space="0" w:color="363639"/>
              <w:bottom w:val="single" w:sz="4" w:space="0" w:color="363639"/>
              <w:right w:val="single" w:sz="4" w:space="0" w:color="363639"/>
            </w:tcBorders>
            <w:shd w:val="clear" w:color="000000" w:fill="B2B2B2"/>
            <w:vAlign w:val="center"/>
            <w:hideMark/>
          </w:tcPr>
          <w:p w14:paraId="4FA17239" w14:textId="77777777" w:rsidR="00C7765D" w:rsidRPr="006A451F" w:rsidRDefault="00C7765D" w:rsidP="00257726">
            <w:pPr>
              <w:jc w:val="center"/>
              <w:rPr>
                <w:rFonts w:ascii="Arial" w:hAnsi="Arial" w:cs="Arial"/>
                <w:b/>
                <w:bCs/>
                <w:sz w:val="16"/>
                <w:szCs w:val="16"/>
                <w:lang w:eastAsia="es-AR"/>
              </w:rPr>
            </w:pPr>
            <w:r w:rsidRPr="006A451F">
              <w:rPr>
                <w:rFonts w:ascii="Arial" w:hAnsi="Arial" w:cs="Arial"/>
                <w:b/>
                <w:bCs/>
                <w:sz w:val="16"/>
                <w:szCs w:val="16"/>
                <w:lang w:eastAsia="es-AR"/>
              </w:rPr>
              <w:t>Conceptos</w:t>
            </w:r>
          </w:p>
        </w:tc>
        <w:tc>
          <w:tcPr>
            <w:tcW w:w="2694" w:type="dxa"/>
            <w:gridSpan w:val="3"/>
            <w:tcBorders>
              <w:top w:val="single" w:sz="4" w:space="0" w:color="363639"/>
              <w:left w:val="single" w:sz="4" w:space="0" w:color="363639"/>
              <w:bottom w:val="single" w:sz="4" w:space="0" w:color="363639"/>
              <w:right w:val="single" w:sz="4" w:space="0" w:color="363639"/>
            </w:tcBorders>
            <w:shd w:val="clear" w:color="000000" w:fill="B2B2B2"/>
            <w:hideMark/>
          </w:tcPr>
          <w:p w14:paraId="7FA7C34E" w14:textId="77777777" w:rsidR="00C7765D" w:rsidRPr="006A451F" w:rsidRDefault="00C7765D" w:rsidP="00257726">
            <w:pPr>
              <w:jc w:val="center"/>
              <w:rPr>
                <w:rFonts w:ascii="Arial" w:hAnsi="Arial" w:cs="Arial"/>
                <w:b/>
                <w:bCs/>
                <w:sz w:val="16"/>
                <w:szCs w:val="16"/>
                <w:lang w:eastAsia="es-AR"/>
              </w:rPr>
            </w:pPr>
            <w:r w:rsidRPr="006A451F">
              <w:rPr>
                <w:rFonts w:ascii="Arial" w:hAnsi="Arial" w:cs="Arial"/>
                <w:b/>
                <w:bCs/>
                <w:sz w:val="16"/>
                <w:szCs w:val="16"/>
                <w:lang w:eastAsia="es-AR"/>
              </w:rPr>
              <w:t>Ingreso/(Egreso) Financiero Neto</w:t>
            </w:r>
          </w:p>
        </w:tc>
        <w:tc>
          <w:tcPr>
            <w:tcW w:w="889" w:type="dxa"/>
            <w:vMerge w:val="restart"/>
            <w:tcBorders>
              <w:top w:val="single" w:sz="4" w:space="0" w:color="363639"/>
              <w:left w:val="single" w:sz="4" w:space="0" w:color="363639"/>
              <w:bottom w:val="single" w:sz="4" w:space="0" w:color="363639"/>
              <w:right w:val="single" w:sz="4" w:space="0" w:color="363639"/>
            </w:tcBorders>
            <w:shd w:val="clear" w:color="000000" w:fill="B2B2B2"/>
            <w:vAlign w:val="center"/>
            <w:hideMark/>
          </w:tcPr>
          <w:p w14:paraId="61FC75EE" w14:textId="77777777" w:rsidR="00C7765D" w:rsidRPr="006A451F" w:rsidRDefault="00C7765D" w:rsidP="00257726">
            <w:pPr>
              <w:ind w:firstLineChars="200" w:firstLine="321"/>
              <w:rPr>
                <w:rFonts w:ascii="Arial" w:hAnsi="Arial" w:cs="Arial"/>
                <w:b/>
                <w:bCs/>
                <w:sz w:val="16"/>
                <w:szCs w:val="16"/>
                <w:lang w:eastAsia="es-AR"/>
              </w:rPr>
            </w:pPr>
            <w:r w:rsidRPr="006A451F">
              <w:rPr>
                <w:rFonts w:ascii="Arial" w:hAnsi="Arial" w:cs="Arial"/>
                <w:b/>
                <w:bCs/>
                <w:sz w:val="16"/>
                <w:szCs w:val="16"/>
                <w:lang w:eastAsia="es-AR"/>
              </w:rPr>
              <w:t>ORI</w:t>
            </w:r>
          </w:p>
        </w:tc>
      </w:tr>
      <w:tr w:rsidR="00C7765D" w:rsidRPr="006A451F" w14:paraId="5242006D" w14:textId="77777777" w:rsidTr="00C7765D">
        <w:trPr>
          <w:gridAfter w:val="1"/>
          <w:wAfter w:w="272" w:type="dxa"/>
          <w:trHeight w:val="702"/>
        </w:trPr>
        <w:tc>
          <w:tcPr>
            <w:tcW w:w="5665" w:type="dxa"/>
            <w:vMerge/>
            <w:tcBorders>
              <w:top w:val="single" w:sz="4" w:space="0" w:color="363639"/>
              <w:left w:val="single" w:sz="4" w:space="0" w:color="363639"/>
              <w:bottom w:val="single" w:sz="4" w:space="0" w:color="363639"/>
              <w:right w:val="single" w:sz="4" w:space="0" w:color="363639"/>
            </w:tcBorders>
            <w:vAlign w:val="center"/>
            <w:hideMark/>
          </w:tcPr>
          <w:p w14:paraId="4C7EA5EB" w14:textId="77777777" w:rsidR="00C7765D" w:rsidRPr="006A451F" w:rsidRDefault="00C7765D" w:rsidP="00257726">
            <w:pPr>
              <w:rPr>
                <w:rFonts w:ascii="Arial" w:hAnsi="Arial" w:cs="Arial"/>
                <w:b/>
                <w:bCs/>
                <w:sz w:val="16"/>
                <w:szCs w:val="16"/>
                <w:lang w:eastAsia="es-AR"/>
              </w:rPr>
            </w:pPr>
          </w:p>
        </w:tc>
        <w:tc>
          <w:tcPr>
            <w:tcW w:w="1478" w:type="dxa"/>
            <w:tcBorders>
              <w:top w:val="nil"/>
              <w:left w:val="nil"/>
              <w:bottom w:val="single" w:sz="4" w:space="0" w:color="363639"/>
              <w:right w:val="single" w:sz="4" w:space="0" w:color="363639"/>
            </w:tcBorders>
            <w:shd w:val="clear" w:color="000000" w:fill="B2B2B2"/>
            <w:hideMark/>
          </w:tcPr>
          <w:p w14:paraId="31B011A6" w14:textId="77777777" w:rsidR="00C7765D" w:rsidRPr="006A451F" w:rsidRDefault="00C7765D" w:rsidP="00257726">
            <w:pPr>
              <w:jc w:val="center"/>
              <w:rPr>
                <w:rFonts w:ascii="Arial" w:hAnsi="Arial" w:cs="Arial"/>
                <w:sz w:val="16"/>
                <w:szCs w:val="16"/>
                <w:lang w:eastAsia="es-AR"/>
              </w:rPr>
            </w:pPr>
            <w:r w:rsidRPr="006A451F">
              <w:rPr>
                <w:rFonts w:ascii="Arial" w:hAnsi="Arial" w:cs="Arial"/>
                <w:b/>
                <w:bCs/>
                <w:sz w:val="16"/>
                <w:szCs w:val="16"/>
                <w:lang w:eastAsia="es-AR"/>
              </w:rPr>
              <w:t>Designados inicialmente o de acuerdo con el</w:t>
            </w:r>
            <w:r w:rsidRPr="006A451F">
              <w:rPr>
                <w:rFonts w:ascii="Arial" w:hAnsi="Arial" w:cs="Arial"/>
                <w:b/>
                <w:bCs/>
                <w:sz w:val="16"/>
                <w:szCs w:val="16"/>
                <w:lang w:eastAsia="es-AR"/>
              </w:rPr>
              <w:br/>
              <w:t>6.7.1. de la NIIF 9</w:t>
            </w:r>
          </w:p>
        </w:tc>
        <w:tc>
          <w:tcPr>
            <w:tcW w:w="1216" w:type="dxa"/>
            <w:gridSpan w:val="2"/>
            <w:tcBorders>
              <w:top w:val="nil"/>
              <w:left w:val="nil"/>
              <w:bottom w:val="single" w:sz="4" w:space="0" w:color="363639"/>
              <w:right w:val="single" w:sz="4" w:space="0" w:color="363639"/>
            </w:tcBorders>
            <w:shd w:val="clear" w:color="000000" w:fill="B2B2B2"/>
            <w:vAlign w:val="center"/>
            <w:hideMark/>
          </w:tcPr>
          <w:p w14:paraId="4AA1C8A6" w14:textId="77777777" w:rsidR="00C7765D" w:rsidRPr="006A451F" w:rsidRDefault="00C7765D" w:rsidP="00257726">
            <w:pPr>
              <w:jc w:val="center"/>
              <w:rPr>
                <w:rFonts w:ascii="Arial" w:hAnsi="Arial" w:cs="Arial"/>
                <w:b/>
                <w:bCs/>
                <w:sz w:val="16"/>
                <w:szCs w:val="16"/>
                <w:lang w:eastAsia="es-AR"/>
              </w:rPr>
            </w:pPr>
            <w:r w:rsidRPr="006A451F">
              <w:rPr>
                <w:rFonts w:ascii="Arial" w:hAnsi="Arial" w:cs="Arial"/>
                <w:b/>
                <w:bCs/>
                <w:sz w:val="16"/>
                <w:szCs w:val="16"/>
                <w:lang w:eastAsia="es-AR"/>
              </w:rPr>
              <w:t>Medición obligatoria</w:t>
            </w:r>
          </w:p>
        </w:tc>
        <w:tc>
          <w:tcPr>
            <w:tcW w:w="889" w:type="dxa"/>
            <w:vMerge/>
            <w:tcBorders>
              <w:top w:val="single" w:sz="4" w:space="0" w:color="363639"/>
              <w:left w:val="single" w:sz="4" w:space="0" w:color="363639"/>
              <w:bottom w:val="single" w:sz="4" w:space="0" w:color="363639"/>
              <w:right w:val="single" w:sz="4" w:space="0" w:color="363639"/>
            </w:tcBorders>
            <w:vAlign w:val="center"/>
            <w:hideMark/>
          </w:tcPr>
          <w:p w14:paraId="3B9B5CC0" w14:textId="77777777" w:rsidR="00C7765D" w:rsidRPr="006A451F" w:rsidRDefault="00C7765D" w:rsidP="00257726">
            <w:pPr>
              <w:rPr>
                <w:rFonts w:ascii="Arial" w:hAnsi="Arial" w:cs="Arial"/>
                <w:b/>
                <w:bCs/>
                <w:sz w:val="16"/>
                <w:szCs w:val="16"/>
                <w:lang w:eastAsia="es-AR"/>
              </w:rPr>
            </w:pPr>
          </w:p>
        </w:tc>
      </w:tr>
      <w:tr w:rsidR="00C7765D" w:rsidRPr="006A451F" w14:paraId="1920A2BE" w14:textId="77777777" w:rsidTr="00C7765D">
        <w:trPr>
          <w:gridAfter w:val="1"/>
          <w:wAfter w:w="272" w:type="dxa"/>
          <w:trHeight w:val="137"/>
        </w:trPr>
        <w:tc>
          <w:tcPr>
            <w:tcW w:w="5665" w:type="dxa"/>
            <w:tcBorders>
              <w:top w:val="nil"/>
              <w:left w:val="nil"/>
              <w:bottom w:val="nil"/>
              <w:right w:val="nil"/>
            </w:tcBorders>
            <w:shd w:val="clear" w:color="auto" w:fill="auto"/>
            <w:vAlign w:val="bottom"/>
            <w:hideMark/>
          </w:tcPr>
          <w:p w14:paraId="491724CC" w14:textId="77777777" w:rsidR="00C7765D" w:rsidRPr="006A451F" w:rsidRDefault="00C7765D" w:rsidP="00257726">
            <w:pPr>
              <w:jc w:val="center"/>
              <w:rPr>
                <w:rFonts w:ascii="Arial" w:hAnsi="Arial" w:cs="Arial"/>
                <w:b/>
                <w:bCs/>
                <w:sz w:val="16"/>
                <w:szCs w:val="16"/>
                <w:lang w:eastAsia="es-AR"/>
              </w:rPr>
            </w:pPr>
            <w:r w:rsidRPr="006A451F">
              <w:rPr>
                <w:rFonts w:ascii="Arial" w:hAnsi="Arial" w:cs="Arial"/>
                <w:b/>
                <w:bCs/>
                <w:sz w:val="16"/>
                <w:szCs w:val="16"/>
                <w:lang w:eastAsia="es-AR"/>
              </w:rPr>
              <w:t> </w:t>
            </w:r>
          </w:p>
        </w:tc>
        <w:tc>
          <w:tcPr>
            <w:tcW w:w="1478" w:type="dxa"/>
            <w:tcBorders>
              <w:top w:val="nil"/>
              <w:left w:val="nil"/>
              <w:bottom w:val="nil"/>
              <w:right w:val="nil"/>
            </w:tcBorders>
            <w:shd w:val="clear" w:color="auto" w:fill="auto"/>
            <w:hideMark/>
          </w:tcPr>
          <w:p w14:paraId="17EB7FBA" w14:textId="77777777" w:rsidR="00C7765D" w:rsidRPr="006A451F" w:rsidRDefault="00C7765D" w:rsidP="00257726">
            <w:pPr>
              <w:jc w:val="center"/>
              <w:rPr>
                <w:rFonts w:ascii="Arial" w:hAnsi="Arial" w:cs="Arial"/>
                <w:sz w:val="16"/>
                <w:szCs w:val="16"/>
                <w:lang w:eastAsia="es-AR"/>
              </w:rPr>
            </w:pPr>
            <w:r w:rsidRPr="006A451F">
              <w:rPr>
                <w:rFonts w:ascii="Arial" w:hAnsi="Arial" w:cs="Arial"/>
                <w:sz w:val="16"/>
                <w:szCs w:val="16"/>
                <w:lang w:eastAsia="es-AR"/>
              </w:rPr>
              <w:t> </w:t>
            </w:r>
          </w:p>
        </w:tc>
        <w:tc>
          <w:tcPr>
            <w:tcW w:w="1216" w:type="dxa"/>
            <w:gridSpan w:val="2"/>
            <w:tcBorders>
              <w:top w:val="nil"/>
              <w:left w:val="nil"/>
              <w:bottom w:val="nil"/>
              <w:right w:val="nil"/>
            </w:tcBorders>
            <w:shd w:val="clear" w:color="auto" w:fill="auto"/>
            <w:hideMark/>
          </w:tcPr>
          <w:p w14:paraId="408FBF56" w14:textId="77777777" w:rsidR="00C7765D" w:rsidRPr="006A451F" w:rsidRDefault="00C7765D" w:rsidP="00257726">
            <w:pPr>
              <w:jc w:val="center"/>
              <w:rPr>
                <w:rFonts w:ascii="Arial" w:hAnsi="Arial" w:cs="Arial"/>
                <w:b/>
                <w:bCs/>
                <w:sz w:val="16"/>
                <w:szCs w:val="16"/>
                <w:lang w:eastAsia="es-AR"/>
              </w:rPr>
            </w:pPr>
            <w:r w:rsidRPr="006A451F">
              <w:rPr>
                <w:rFonts w:ascii="Arial" w:hAnsi="Arial" w:cs="Arial"/>
                <w:b/>
                <w:bCs/>
                <w:sz w:val="16"/>
                <w:szCs w:val="16"/>
                <w:lang w:eastAsia="es-AR"/>
              </w:rPr>
              <w:t> </w:t>
            </w:r>
          </w:p>
        </w:tc>
        <w:tc>
          <w:tcPr>
            <w:tcW w:w="889" w:type="dxa"/>
            <w:tcBorders>
              <w:top w:val="nil"/>
              <w:left w:val="nil"/>
              <w:bottom w:val="nil"/>
              <w:right w:val="nil"/>
            </w:tcBorders>
            <w:shd w:val="clear" w:color="auto" w:fill="auto"/>
            <w:vAlign w:val="center"/>
            <w:hideMark/>
          </w:tcPr>
          <w:p w14:paraId="65AC2BFE" w14:textId="77777777" w:rsidR="00C7765D" w:rsidRPr="006A451F" w:rsidRDefault="00C7765D" w:rsidP="00257726">
            <w:pPr>
              <w:jc w:val="center"/>
              <w:rPr>
                <w:rFonts w:ascii="Arial" w:hAnsi="Arial" w:cs="Arial"/>
                <w:b/>
                <w:bCs/>
                <w:sz w:val="16"/>
                <w:szCs w:val="16"/>
                <w:lang w:eastAsia="es-AR"/>
              </w:rPr>
            </w:pPr>
          </w:p>
        </w:tc>
      </w:tr>
      <w:tr w:rsidR="00FC0C1E" w:rsidRPr="006A451F" w14:paraId="4C7F92DB" w14:textId="77777777" w:rsidTr="00C7765D">
        <w:trPr>
          <w:gridAfter w:val="1"/>
          <w:wAfter w:w="272" w:type="dxa"/>
          <w:trHeight w:val="510"/>
        </w:trPr>
        <w:tc>
          <w:tcPr>
            <w:tcW w:w="5665" w:type="dxa"/>
            <w:tcBorders>
              <w:top w:val="nil"/>
              <w:left w:val="nil"/>
              <w:bottom w:val="nil"/>
              <w:right w:val="nil"/>
            </w:tcBorders>
            <w:shd w:val="clear" w:color="auto" w:fill="auto"/>
            <w:hideMark/>
          </w:tcPr>
          <w:p w14:paraId="141002FB" w14:textId="77777777" w:rsidR="00FC0C1E" w:rsidRPr="006A451F" w:rsidRDefault="00FC0C1E" w:rsidP="00FC0C1E">
            <w:pPr>
              <w:rPr>
                <w:rFonts w:ascii="Arial" w:hAnsi="Arial" w:cs="Arial"/>
                <w:b/>
                <w:bCs/>
                <w:sz w:val="16"/>
                <w:szCs w:val="16"/>
                <w:lang w:eastAsia="es-AR"/>
              </w:rPr>
            </w:pPr>
            <w:r w:rsidRPr="006A451F">
              <w:rPr>
                <w:rFonts w:ascii="Arial" w:hAnsi="Arial" w:cs="Arial"/>
                <w:b/>
                <w:bCs/>
                <w:sz w:val="16"/>
                <w:szCs w:val="16"/>
                <w:lang w:eastAsia="es-AR"/>
              </w:rPr>
              <w:t>Por medición de activos financieros a valor razonable con cambios en resultados</w:t>
            </w:r>
          </w:p>
        </w:tc>
        <w:tc>
          <w:tcPr>
            <w:tcW w:w="1478" w:type="dxa"/>
            <w:tcBorders>
              <w:top w:val="nil"/>
              <w:left w:val="nil"/>
              <w:bottom w:val="nil"/>
              <w:right w:val="nil"/>
            </w:tcBorders>
            <w:shd w:val="clear" w:color="auto" w:fill="auto"/>
            <w:noWrap/>
          </w:tcPr>
          <w:p w14:paraId="454F1440" w14:textId="77777777" w:rsidR="00FC0C1E" w:rsidRPr="006A451F" w:rsidRDefault="00FC0C1E" w:rsidP="00FC0C1E">
            <w:pPr>
              <w:jc w:val="right"/>
              <w:rPr>
                <w:rFonts w:ascii="Arial" w:hAnsi="Arial" w:cs="Arial"/>
                <w:b/>
                <w:bCs/>
                <w:sz w:val="16"/>
                <w:szCs w:val="16"/>
                <w:lang w:eastAsia="es-AR"/>
              </w:rPr>
            </w:pPr>
          </w:p>
        </w:tc>
        <w:tc>
          <w:tcPr>
            <w:tcW w:w="1216" w:type="dxa"/>
            <w:gridSpan w:val="2"/>
            <w:tcBorders>
              <w:top w:val="nil"/>
              <w:left w:val="nil"/>
              <w:bottom w:val="nil"/>
              <w:right w:val="nil"/>
            </w:tcBorders>
            <w:shd w:val="clear" w:color="auto" w:fill="auto"/>
            <w:noWrap/>
          </w:tcPr>
          <w:p w14:paraId="05C8B684" w14:textId="409DB3A5" w:rsidR="00FC0C1E" w:rsidRPr="009C1CE7" w:rsidRDefault="00FC0C1E" w:rsidP="00FC0C1E">
            <w:pPr>
              <w:jc w:val="right"/>
              <w:rPr>
                <w:rFonts w:ascii="Arial" w:hAnsi="Arial" w:cs="Arial"/>
                <w:b/>
                <w:bCs/>
                <w:sz w:val="16"/>
                <w:szCs w:val="16"/>
                <w:lang w:eastAsia="es-AR"/>
              </w:rPr>
            </w:pPr>
            <w:r w:rsidRPr="006E1AF7">
              <w:rPr>
                <w:rFonts w:ascii="Arial" w:hAnsi="Arial" w:cs="Arial"/>
                <w:sz w:val="16"/>
                <w:szCs w:val="16"/>
              </w:rPr>
              <w:t>15.920.233</w:t>
            </w:r>
          </w:p>
        </w:tc>
        <w:tc>
          <w:tcPr>
            <w:tcW w:w="889" w:type="dxa"/>
            <w:tcBorders>
              <w:top w:val="nil"/>
              <w:left w:val="nil"/>
              <w:bottom w:val="nil"/>
              <w:right w:val="nil"/>
            </w:tcBorders>
            <w:shd w:val="clear" w:color="auto" w:fill="auto"/>
            <w:noWrap/>
          </w:tcPr>
          <w:p w14:paraId="000EA293" w14:textId="601F0826" w:rsidR="00FC0C1E" w:rsidRPr="009C1CE7" w:rsidRDefault="00FC0C1E" w:rsidP="00FC0C1E">
            <w:pPr>
              <w:jc w:val="right"/>
              <w:rPr>
                <w:rFonts w:ascii="Arial" w:hAnsi="Arial" w:cs="Arial"/>
                <w:b/>
                <w:bCs/>
                <w:sz w:val="16"/>
                <w:szCs w:val="16"/>
                <w:lang w:eastAsia="es-AR"/>
              </w:rPr>
            </w:pPr>
            <w:r w:rsidRPr="006E1AF7">
              <w:rPr>
                <w:rFonts w:ascii="Arial" w:hAnsi="Arial" w:cs="Arial"/>
                <w:sz w:val="16"/>
                <w:szCs w:val="16"/>
              </w:rPr>
              <w:t>10.32</w:t>
            </w:r>
            <w:r w:rsidR="0042374A">
              <w:rPr>
                <w:rFonts w:ascii="Arial" w:hAnsi="Arial" w:cs="Arial"/>
                <w:sz w:val="16"/>
                <w:szCs w:val="16"/>
              </w:rPr>
              <w:t>2</w:t>
            </w:r>
          </w:p>
        </w:tc>
      </w:tr>
      <w:tr w:rsidR="00FC0C1E" w:rsidRPr="006A451F" w14:paraId="6836DBAE"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5531B0E7" w14:textId="77777777" w:rsidR="00FC0C1E" w:rsidRPr="006A451F" w:rsidRDefault="00FC0C1E" w:rsidP="00FC0C1E">
            <w:pPr>
              <w:ind w:firstLineChars="100" w:firstLine="160"/>
              <w:rPr>
                <w:rFonts w:ascii="Arial" w:hAnsi="Arial" w:cs="Arial"/>
                <w:sz w:val="16"/>
                <w:szCs w:val="16"/>
                <w:lang w:eastAsia="es-AR"/>
              </w:rPr>
            </w:pPr>
            <w:r w:rsidRPr="006A451F">
              <w:rPr>
                <w:rFonts w:ascii="Arial" w:hAnsi="Arial" w:cs="Arial"/>
                <w:sz w:val="16"/>
                <w:szCs w:val="16"/>
                <w:lang w:eastAsia="es-AR"/>
              </w:rPr>
              <w:t>Resultado de títulos públicos</w:t>
            </w:r>
          </w:p>
        </w:tc>
        <w:tc>
          <w:tcPr>
            <w:tcW w:w="1478" w:type="dxa"/>
            <w:tcBorders>
              <w:top w:val="nil"/>
              <w:left w:val="nil"/>
              <w:bottom w:val="nil"/>
              <w:right w:val="nil"/>
            </w:tcBorders>
            <w:shd w:val="clear" w:color="auto" w:fill="auto"/>
          </w:tcPr>
          <w:p w14:paraId="6E5C711F" w14:textId="77777777" w:rsidR="00FC0C1E" w:rsidRPr="006A451F" w:rsidRDefault="00FC0C1E" w:rsidP="00FC0C1E">
            <w:pPr>
              <w:ind w:firstLineChars="100" w:firstLine="16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6B6C9EFB" w14:textId="3ECD8436" w:rsidR="00FC0C1E" w:rsidRPr="009C1CE7" w:rsidRDefault="00FC0C1E" w:rsidP="00FC0C1E">
            <w:pPr>
              <w:jc w:val="right"/>
              <w:rPr>
                <w:rFonts w:ascii="Arial" w:hAnsi="Arial" w:cs="Arial"/>
                <w:sz w:val="16"/>
                <w:szCs w:val="16"/>
                <w:lang w:eastAsia="es-AR"/>
              </w:rPr>
            </w:pPr>
            <w:r w:rsidRPr="006E1AF7">
              <w:rPr>
                <w:rFonts w:ascii="Arial" w:hAnsi="Arial" w:cs="Arial"/>
                <w:sz w:val="16"/>
                <w:szCs w:val="16"/>
              </w:rPr>
              <w:t>15.295.292</w:t>
            </w:r>
          </w:p>
        </w:tc>
        <w:tc>
          <w:tcPr>
            <w:tcW w:w="889" w:type="dxa"/>
            <w:tcBorders>
              <w:top w:val="nil"/>
              <w:left w:val="nil"/>
              <w:bottom w:val="nil"/>
              <w:right w:val="nil"/>
            </w:tcBorders>
            <w:shd w:val="clear" w:color="auto" w:fill="auto"/>
          </w:tcPr>
          <w:p w14:paraId="411BF29A" w14:textId="218887F4" w:rsidR="00FC0C1E" w:rsidRPr="009C1CE7" w:rsidRDefault="00FC0C1E" w:rsidP="00FC0C1E">
            <w:pPr>
              <w:jc w:val="right"/>
              <w:rPr>
                <w:rFonts w:ascii="Arial" w:hAnsi="Arial" w:cs="Arial"/>
                <w:sz w:val="16"/>
                <w:szCs w:val="16"/>
                <w:lang w:eastAsia="es-AR"/>
              </w:rPr>
            </w:pPr>
            <w:r w:rsidRPr="006E1AF7">
              <w:rPr>
                <w:rFonts w:ascii="Arial" w:hAnsi="Arial" w:cs="Arial"/>
                <w:sz w:val="16"/>
                <w:szCs w:val="16"/>
              </w:rPr>
              <w:t>10.3</w:t>
            </w:r>
            <w:r w:rsidR="0042374A">
              <w:rPr>
                <w:rFonts w:ascii="Arial" w:hAnsi="Arial" w:cs="Arial"/>
                <w:sz w:val="16"/>
                <w:szCs w:val="16"/>
              </w:rPr>
              <w:t>40</w:t>
            </w:r>
          </w:p>
        </w:tc>
      </w:tr>
      <w:tr w:rsidR="00FC0C1E" w:rsidRPr="006A451F" w14:paraId="06FCED3A"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1B9684F8" w14:textId="77777777" w:rsidR="00FC0C1E" w:rsidRPr="006A451F" w:rsidRDefault="00FC0C1E" w:rsidP="00FC0C1E">
            <w:pPr>
              <w:ind w:firstLineChars="100" w:firstLine="160"/>
              <w:rPr>
                <w:rFonts w:ascii="Arial" w:hAnsi="Arial" w:cs="Arial"/>
                <w:sz w:val="16"/>
                <w:szCs w:val="16"/>
                <w:lang w:eastAsia="es-AR"/>
              </w:rPr>
            </w:pPr>
            <w:r w:rsidRPr="006A451F">
              <w:rPr>
                <w:rFonts w:ascii="Arial" w:hAnsi="Arial" w:cs="Arial"/>
                <w:sz w:val="16"/>
                <w:szCs w:val="16"/>
                <w:lang w:eastAsia="es-AR"/>
              </w:rPr>
              <w:t>Resultado de títulos privados</w:t>
            </w:r>
          </w:p>
        </w:tc>
        <w:tc>
          <w:tcPr>
            <w:tcW w:w="1478" w:type="dxa"/>
            <w:tcBorders>
              <w:top w:val="nil"/>
              <w:left w:val="nil"/>
              <w:bottom w:val="nil"/>
              <w:right w:val="nil"/>
            </w:tcBorders>
            <w:shd w:val="clear" w:color="auto" w:fill="auto"/>
          </w:tcPr>
          <w:p w14:paraId="7877E100" w14:textId="77777777" w:rsidR="00FC0C1E" w:rsidRPr="006A451F" w:rsidRDefault="00FC0C1E" w:rsidP="00FC0C1E">
            <w:pPr>
              <w:ind w:firstLineChars="100" w:firstLine="16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04D2449E" w14:textId="77777777" w:rsidR="00FC0C1E" w:rsidRPr="006E1AF7" w:rsidRDefault="00FC0C1E" w:rsidP="00FC0C1E">
            <w:pPr>
              <w:jc w:val="right"/>
              <w:rPr>
                <w:rFonts w:ascii="Arial" w:hAnsi="Arial" w:cs="Arial"/>
                <w:sz w:val="16"/>
                <w:szCs w:val="16"/>
                <w:lang w:eastAsia="es-AR"/>
              </w:rPr>
            </w:pPr>
            <w:r w:rsidRPr="006E1AF7">
              <w:rPr>
                <w:rFonts w:ascii="Arial" w:hAnsi="Arial" w:cs="Arial"/>
                <w:sz w:val="16"/>
                <w:szCs w:val="16"/>
              </w:rPr>
              <w:t>10.598</w:t>
            </w:r>
          </w:p>
          <w:p w14:paraId="29FFC512" w14:textId="6D55D412" w:rsidR="00FC0C1E" w:rsidRPr="009C1CE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543817FB" w14:textId="3F494BE8" w:rsidR="00FC0C1E" w:rsidRPr="009C1CE7" w:rsidRDefault="00386077" w:rsidP="00FC0C1E">
            <w:pPr>
              <w:jc w:val="right"/>
              <w:rPr>
                <w:rFonts w:ascii="Arial" w:hAnsi="Arial" w:cs="Arial"/>
                <w:sz w:val="16"/>
                <w:szCs w:val="16"/>
                <w:lang w:eastAsia="es-AR"/>
              </w:rPr>
            </w:pPr>
            <w:r w:rsidRPr="009C1CE7">
              <w:rPr>
                <w:rFonts w:ascii="Arial" w:hAnsi="Arial" w:cs="Arial"/>
                <w:sz w:val="16"/>
                <w:szCs w:val="16"/>
                <w:lang w:eastAsia="es-AR"/>
              </w:rPr>
              <w:t>-</w:t>
            </w:r>
          </w:p>
        </w:tc>
      </w:tr>
      <w:tr w:rsidR="00FC0C1E" w:rsidRPr="006A451F" w14:paraId="6EBBAB98"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302572E8" w14:textId="77777777" w:rsidR="00FC0C1E" w:rsidRPr="006A451F" w:rsidRDefault="00FC0C1E" w:rsidP="00FC0C1E">
            <w:pPr>
              <w:rPr>
                <w:rFonts w:ascii="Arial" w:hAnsi="Arial" w:cs="Arial"/>
                <w:sz w:val="16"/>
                <w:szCs w:val="16"/>
                <w:lang w:eastAsia="es-AR"/>
              </w:rPr>
            </w:pPr>
            <w:r w:rsidRPr="006A451F">
              <w:rPr>
                <w:rFonts w:ascii="Arial" w:hAnsi="Arial" w:cs="Arial"/>
                <w:sz w:val="16"/>
                <w:szCs w:val="16"/>
                <w:lang w:eastAsia="es-AR"/>
              </w:rPr>
              <w:t xml:space="preserve">           Resultado de Instrumentos financieros derivados</w:t>
            </w:r>
          </w:p>
        </w:tc>
        <w:tc>
          <w:tcPr>
            <w:tcW w:w="1478" w:type="dxa"/>
            <w:tcBorders>
              <w:top w:val="nil"/>
              <w:left w:val="nil"/>
              <w:bottom w:val="nil"/>
              <w:right w:val="nil"/>
            </w:tcBorders>
            <w:shd w:val="clear" w:color="auto" w:fill="auto"/>
          </w:tcPr>
          <w:p w14:paraId="27B607E6" w14:textId="77777777" w:rsidR="00FC0C1E" w:rsidRPr="006A451F" w:rsidRDefault="00FC0C1E" w:rsidP="00FC0C1E">
            <w:pPr>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0D59BF53" w14:textId="77777777" w:rsidR="00FC0C1E" w:rsidRPr="009C1CE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470D928B" w14:textId="77777777" w:rsidR="00FC0C1E" w:rsidRPr="009C1CE7" w:rsidRDefault="00FC0C1E" w:rsidP="00FC0C1E">
            <w:pPr>
              <w:jc w:val="right"/>
              <w:rPr>
                <w:rFonts w:ascii="Arial" w:hAnsi="Arial" w:cs="Arial"/>
                <w:sz w:val="16"/>
                <w:szCs w:val="16"/>
                <w:lang w:eastAsia="es-AR"/>
              </w:rPr>
            </w:pPr>
          </w:p>
        </w:tc>
      </w:tr>
      <w:tr w:rsidR="00FC0C1E" w:rsidRPr="006A451F" w14:paraId="4910569A"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30B2E2E7" w14:textId="77777777" w:rsidR="00FC0C1E" w:rsidRPr="006A451F" w:rsidRDefault="00FC0C1E" w:rsidP="00FC0C1E">
            <w:pPr>
              <w:rPr>
                <w:rFonts w:ascii="Arial" w:hAnsi="Arial" w:cs="Arial"/>
                <w:sz w:val="16"/>
                <w:szCs w:val="16"/>
                <w:lang w:eastAsia="es-AR"/>
              </w:rPr>
            </w:pPr>
            <w:r w:rsidRPr="006A451F">
              <w:rPr>
                <w:rFonts w:ascii="Arial" w:hAnsi="Arial" w:cs="Arial"/>
                <w:sz w:val="16"/>
                <w:szCs w:val="16"/>
                <w:lang w:eastAsia="es-AR"/>
              </w:rPr>
              <w:t xml:space="preserve">           Operaciones a término</w:t>
            </w:r>
          </w:p>
        </w:tc>
        <w:tc>
          <w:tcPr>
            <w:tcW w:w="1478" w:type="dxa"/>
            <w:tcBorders>
              <w:top w:val="nil"/>
              <w:left w:val="nil"/>
              <w:bottom w:val="nil"/>
              <w:right w:val="nil"/>
            </w:tcBorders>
            <w:shd w:val="clear" w:color="auto" w:fill="auto"/>
          </w:tcPr>
          <w:p w14:paraId="59B774FC" w14:textId="77777777" w:rsidR="00FC0C1E" w:rsidRPr="006A451F" w:rsidRDefault="00FC0C1E" w:rsidP="00FC0C1E">
            <w:pPr>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6E0FC2CF" w14:textId="5D08B318" w:rsidR="00FC0C1E" w:rsidRPr="006E1AF7" w:rsidRDefault="00FC0C1E" w:rsidP="00FC0C1E">
            <w:pPr>
              <w:jc w:val="right"/>
              <w:rPr>
                <w:rFonts w:ascii="Arial" w:hAnsi="Arial" w:cs="Arial"/>
                <w:sz w:val="16"/>
                <w:szCs w:val="16"/>
                <w:lang w:eastAsia="es-AR"/>
              </w:rPr>
            </w:pPr>
            <w:r w:rsidRPr="006E1AF7">
              <w:rPr>
                <w:rFonts w:ascii="Arial" w:hAnsi="Arial" w:cs="Arial"/>
                <w:sz w:val="16"/>
                <w:szCs w:val="16"/>
              </w:rPr>
              <w:t>614.343</w:t>
            </w:r>
          </w:p>
        </w:tc>
        <w:tc>
          <w:tcPr>
            <w:tcW w:w="889" w:type="dxa"/>
            <w:tcBorders>
              <w:top w:val="nil"/>
              <w:left w:val="nil"/>
              <w:bottom w:val="nil"/>
              <w:right w:val="nil"/>
            </w:tcBorders>
            <w:shd w:val="clear" w:color="auto" w:fill="auto"/>
          </w:tcPr>
          <w:p w14:paraId="6DB1622D" w14:textId="6696B922" w:rsidR="00FC0C1E" w:rsidRPr="006E1AF7" w:rsidRDefault="00386077" w:rsidP="00FC0C1E">
            <w:pPr>
              <w:jc w:val="right"/>
              <w:rPr>
                <w:rFonts w:ascii="Arial" w:hAnsi="Arial" w:cs="Arial"/>
                <w:sz w:val="16"/>
                <w:szCs w:val="16"/>
                <w:lang w:eastAsia="es-AR"/>
              </w:rPr>
            </w:pPr>
            <w:r w:rsidRPr="006E1AF7">
              <w:rPr>
                <w:rFonts w:ascii="Arial" w:hAnsi="Arial" w:cs="Arial"/>
                <w:sz w:val="16"/>
                <w:szCs w:val="16"/>
                <w:lang w:eastAsia="es-AR"/>
              </w:rPr>
              <w:t>-</w:t>
            </w:r>
          </w:p>
        </w:tc>
      </w:tr>
      <w:tr w:rsidR="00FC0C1E" w:rsidRPr="006A451F" w14:paraId="2B998758"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12D72E56" w14:textId="77777777" w:rsidR="00FC0C1E" w:rsidRPr="006A451F" w:rsidRDefault="00FC0C1E" w:rsidP="00FC0C1E">
            <w:pPr>
              <w:rPr>
                <w:rFonts w:ascii="Arial" w:hAnsi="Arial" w:cs="Arial"/>
                <w:sz w:val="16"/>
                <w:szCs w:val="16"/>
                <w:lang w:eastAsia="es-AR"/>
              </w:rPr>
            </w:pPr>
            <w:r w:rsidRPr="006A451F">
              <w:rPr>
                <w:rFonts w:ascii="Arial" w:hAnsi="Arial" w:cs="Arial"/>
                <w:sz w:val="16"/>
                <w:szCs w:val="16"/>
                <w:lang w:eastAsia="es-AR"/>
              </w:rPr>
              <w:t xml:space="preserve">           Permutas de tasa</w:t>
            </w:r>
          </w:p>
        </w:tc>
        <w:tc>
          <w:tcPr>
            <w:tcW w:w="1478" w:type="dxa"/>
            <w:tcBorders>
              <w:top w:val="nil"/>
              <w:left w:val="nil"/>
              <w:bottom w:val="nil"/>
              <w:right w:val="nil"/>
            </w:tcBorders>
            <w:shd w:val="clear" w:color="auto" w:fill="auto"/>
          </w:tcPr>
          <w:p w14:paraId="64194B4B" w14:textId="77777777" w:rsidR="00FC0C1E" w:rsidRPr="006A451F" w:rsidRDefault="00FC0C1E" w:rsidP="00FC0C1E">
            <w:pPr>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396A62F9"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4163C56C" w14:textId="77777777" w:rsidR="00FC0C1E" w:rsidRPr="006E1AF7" w:rsidRDefault="00FC0C1E" w:rsidP="00FC0C1E">
            <w:pPr>
              <w:jc w:val="right"/>
              <w:rPr>
                <w:rFonts w:ascii="Arial" w:hAnsi="Arial" w:cs="Arial"/>
                <w:sz w:val="16"/>
                <w:szCs w:val="16"/>
                <w:lang w:eastAsia="es-AR"/>
              </w:rPr>
            </w:pPr>
          </w:p>
        </w:tc>
      </w:tr>
      <w:tr w:rsidR="00FC0C1E" w:rsidRPr="006A451F" w14:paraId="5FC235FC"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3BE9FCE8" w14:textId="77777777" w:rsidR="00FC0C1E" w:rsidRPr="006A451F" w:rsidRDefault="00FC0C1E" w:rsidP="00FC0C1E">
            <w:pPr>
              <w:rPr>
                <w:rFonts w:ascii="Arial" w:hAnsi="Arial" w:cs="Arial"/>
                <w:sz w:val="16"/>
                <w:szCs w:val="16"/>
                <w:lang w:eastAsia="es-AR"/>
              </w:rPr>
            </w:pPr>
            <w:r w:rsidRPr="006A451F">
              <w:rPr>
                <w:rFonts w:ascii="Arial" w:hAnsi="Arial" w:cs="Arial"/>
                <w:sz w:val="16"/>
                <w:szCs w:val="16"/>
                <w:lang w:eastAsia="es-AR"/>
              </w:rPr>
              <w:t xml:space="preserve">           Opciones</w:t>
            </w:r>
          </w:p>
        </w:tc>
        <w:tc>
          <w:tcPr>
            <w:tcW w:w="1478" w:type="dxa"/>
            <w:tcBorders>
              <w:top w:val="nil"/>
              <w:left w:val="nil"/>
              <w:bottom w:val="nil"/>
              <w:right w:val="nil"/>
            </w:tcBorders>
            <w:shd w:val="clear" w:color="auto" w:fill="auto"/>
          </w:tcPr>
          <w:p w14:paraId="1A982421" w14:textId="77777777" w:rsidR="00FC0C1E" w:rsidRPr="006A451F" w:rsidRDefault="00FC0C1E" w:rsidP="00FC0C1E">
            <w:pPr>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59AEC347"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20866AF6" w14:textId="77777777" w:rsidR="00FC0C1E" w:rsidRPr="006E1AF7" w:rsidRDefault="00FC0C1E" w:rsidP="00FC0C1E">
            <w:pPr>
              <w:jc w:val="right"/>
              <w:rPr>
                <w:rFonts w:ascii="Arial" w:hAnsi="Arial" w:cs="Arial"/>
                <w:sz w:val="16"/>
                <w:szCs w:val="16"/>
                <w:lang w:eastAsia="es-AR"/>
              </w:rPr>
            </w:pPr>
          </w:p>
        </w:tc>
      </w:tr>
      <w:tr w:rsidR="00FC0C1E" w:rsidRPr="006A451F" w14:paraId="54069A18"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389DDD7D" w14:textId="77777777" w:rsidR="00FC0C1E" w:rsidRPr="006A451F" w:rsidRDefault="00FC0C1E" w:rsidP="00FC0C1E">
            <w:pPr>
              <w:ind w:firstLineChars="100" w:firstLine="160"/>
              <w:rPr>
                <w:rFonts w:ascii="Arial" w:hAnsi="Arial" w:cs="Arial"/>
                <w:sz w:val="16"/>
                <w:szCs w:val="16"/>
                <w:lang w:eastAsia="es-AR"/>
              </w:rPr>
            </w:pPr>
            <w:r w:rsidRPr="006A451F">
              <w:rPr>
                <w:rFonts w:ascii="Arial" w:hAnsi="Arial" w:cs="Arial"/>
                <w:sz w:val="16"/>
                <w:szCs w:val="16"/>
                <w:lang w:eastAsia="es-AR"/>
              </w:rPr>
              <w:t>Resultado de otros activos financieros</w:t>
            </w:r>
          </w:p>
        </w:tc>
        <w:tc>
          <w:tcPr>
            <w:tcW w:w="1478" w:type="dxa"/>
            <w:tcBorders>
              <w:top w:val="nil"/>
              <w:left w:val="nil"/>
              <w:bottom w:val="nil"/>
              <w:right w:val="nil"/>
            </w:tcBorders>
            <w:shd w:val="clear" w:color="auto" w:fill="auto"/>
          </w:tcPr>
          <w:p w14:paraId="1B46CF31" w14:textId="77777777" w:rsidR="00FC0C1E" w:rsidRPr="006A451F" w:rsidRDefault="00FC0C1E" w:rsidP="00FC0C1E">
            <w:pPr>
              <w:ind w:firstLineChars="100" w:firstLine="16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068748EC"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0F05291B" w14:textId="77777777" w:rsidR="00FC0C1E" w:rsidRPr="006E1AF7" w:rsidRDefault="00FC0C1E" w:rsidP="00FC0C1E">
            <w:pPr>
              <w:jc w:val="right"/>
              <w:rPr>
                <w:rFonts w:ascii="Arial" w:hAnsi="Arial" w:cs="Arial"/>
                <w:sz w:val="16"/>
                <w:szCs w:val="16"/>
                <w:lang w:eastAsia="es-AR"/>
              </w:rPr>
            </w:pPr>
          </w:p>
        </w:tc>
      </w:tr>
      <w:tr w:rsidR="00FC0C1E" w:rsidRPr="006A451F" w14:paraId="44721D50"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1C5267C8" w14:textId="77777777" w:rsidR="00FC0C1E" w:rsidRPr="006A451F" w:rsidRDefault="00FC0C1E" w:rsidP="00FC0C1E">
            <w:pPr>
              <w:ind w:firstLineChars="100" w:firstLine="160"/>
              <w:rPr>
                <w:rFonts w:ascii="Arial" w:hAnsi="Arial" w:cs="Arial"/>
                <w:sz w:val="16"/>
                <w:szCs w:val="16"/>
                <w:lang w:eastAsia="es-AR"/>
              </w:rPr>
            </w:pPr>
            <w:r w:rsidRPr="006A451F">
              <w:rPr>
                <w:rFonts w:ascii="Arial" w:hAnsi="Arial" w:cs="Arial"/>
                <w:sz w:val="16"/>
                <w:szCs w:val="16"/>
                <w:lang w:eastAsia="es-AR"/>
              </w:rPr>
              <w:t>Resultado de préstamos y otras financiaciones</w:t>
            </w:r>
          </w:p>
        </w:tc>
        <w:tc>
          <w:tcPr>
            <w:tcW w:w="1478" w:type="dxa"/>
            <w:tcBorders>
              <w:top w:val="nil"/>
              <w:left w:val="nil"/>
              <w:bottom w:val="nil"/>
              <w:right w:val="nil"/>
            </w:tcBorders>
            <w:shd w:val="clear" w:color="auto" w:fill="auto"/>
          </w:tcPr>
          <w:p w14:paraId="20642E10" w14:textId="77777777" w:rsidR="00FC0C1E" w:rsidRPr="006A451F" w:rsidRDefault="00FC0C1E" w:rsidP="00FC0C1E">
            <w:pPr>
              <w:ind w:firstLineChars="100" w:firstLine="16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3E47DD73"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6607631C" w14:textId="77777777" w:rsidR="00FC0C1E" w:rsidRPr="006E1AF7" w:rsidRDefault="00FC0C1E" w:rsidP="00FC0C1E">
            <w:pPr>
              <w:jc w:val="right"/>
              <w:rPr>
                <w:rFonts w:ascii="Arial" w:hAnsi="Arial" w:cs="Arial"/>
                <w:sz w:val="16"/>
                <w:szCs w:val="16"/>
                <w:lang w:eastAsia="es-AR"/>
              </w:rPr>
            </w:pPr>
          </w:p>
        </w:tc>
      </w:tr>
      <w:tr w:rsidR="00FC0C1E" w:rsidRPr="006A451F" w14:paraId="085EAEF2"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68DB4E5E" w14:textId="77777777" w:rsidR="00FC0C1E" w:rsidRPr="006A451F" w:rsidRDefault="00FC0C1E" w:rsidP="00FC0C1E">
            <w:pPr>
              <w:ind w:firstLineChars="200" w:firstLine="320"/>
              <w:rPr>
                <w:rFonts w:ascii="Arial" w:hAnsi="Arial" w:cs="Arial"/>
                <w:sz w:val="16"/>
                <w:szCs w:val="16"/>
                <w:lang w:eastAsia="es-AR"/>
              </w:rPr>
            </w:pPr>
            <w:r w:rsidRPr="006A451F">
              <w:rPr>
                <w:rFonts w:ascii="Arial" w:hAnsi="Arial" w:cs="Arial"/>
                <w:sz w:val="16"/>
                <w:szCs w:val="16"/>
                <w:lang w:eastAsia="es-AR"/>
              </w:rPr>
              <w:t>Sector Público no Financiero</w:t>
            </w:r>
          </w:p>
        </w:tc>
        <w:tc>
          <w:tcPr>
            <w:tcW w:w="1478" w:type="dxa"/>
            <w:tcBorders>
              <w:top w:val="nil"/>
              <w:left w:val="nil"/>
              <w:bottom w:val="nil"/>
              <w:right w:val="nil"/>
            </w:tcBorders>
            <w:shd w:val="clear" w:color="auto" w:fill="auto"/>
          </w:tcPr>
          <w:p w14:paraId="405A50DA" w14:textId="77777777" w:rsidR="00FC0C1E" w:rsidRPr="006A451F" w:rsidRDefault="00FC0C1E" w:rsidP="00FC0C1E">
            <w:pPr>
              <w:ind w:firstLineChars="200" w:firstLine="32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63DC99D4"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210643AB" w14:textId="77777777" w:rsidR="00FC0C1E" w:rsidRPr="006E1AF7" w:rsidRDefault="00FC0C1E" w:rsidP="00FC0C1E">
            <w:pPr>
              <w:jc w:val="right"/>
              <w:rPr>
                <w:rFonts w:ascii="Arial" w:hAnsi="Arial" w:cs="Arial"/>
                <w:sz w:val="16"/>
                <w:szCs w:val="16"/>
                <w:lang w:eastAsia="es-AR"/>
              </w:rPr>
            </w:pPr>
          </w:p>
        </w:tc>
      </w:tr>
      <w:tr w:rsidR="00FC0C1E" w:rsidRPr="006A451F" w14:paraId="5671694C"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336A39C1" w14:textId="77777777" w:rsidR="00FC0C1E" w:rsidRPr="006A451F" w:rsidRDefault="00FC0C1E" w:rsidP="00FC0C1E">
            <w:pPr>
              <w:ind w:firstLineChars="200" w:firstLine="320"/>
              <w:rPr>
                <w:rFonts w:ascii="Arial" w:hAnsi="Arial" w:cs="Arial"/>
                <w:sz w:val="16"/>
                <w:szCs w:val="16"/>
                <w:lang w:eastAsia="es-AR"/>
              </w:rPr>
            </w:pPr>
            <w:r w:rsidRPr="006A451F">
              <w:rPr>
                <w:rFonts w:ascii="Arial" w:hAnsi="Arial" w:cs="Arial"/>
                <w:sz w:val="16"/>
                <w:szCs w:val="16"/>
                <w:lang w:eastAsia="es-AR"/>
              </w:rPr>
              <w:t>B.C.R.A.</w:t>
            </w:r>
          </w:p>
        </w:tc>
        <w:tc>
          <w:tcPr>
            <w:tcW w:w="1478" w:type="dxa"/>
            <w:tcBorders>
              <w:top w:val="nil"/>
              <w:left w:val="nil"/>
              <w:bottom w:val="nil"/>
              <w:right w:val="nil"/>
            </w:tcBorders>
            <w:shd w:val="clear" w:color="auto" w:fill="auto"/>
          </w:tcPr>
          <w:p w14:paraId="0D3671AA" w14:textId="77777777" w:rsidR="00FC0C1E" w:rsidRPr="006A451F" w:rsidRDefault="00FC0C1E" w:rsidP="00FC0C1E">
            <w:pPr>
              <w:ind w:firstLineChars="200" w:firstLine="32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7CB34458"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0451F004" w14:textId="77777777" w:rsidR="00FC0C1E" w:rsidRPr="006E1AF7" w:rsidRDefault="00FC0C1E" w:rsidP="00FC0C1E">
            <w:pPr>
              <w:jc w:val="right"/>
              <w:rPr>
                <w:rFonts w:ascii="Arial" w:hAnsi="Arial" w:cs="Arial"/>
                <w:sz w:val="16"/>
                <w:szCs w:val="16"/>
                <w:lang w:eastAsia="es-AR"/>
              </w:rPr>
            </w:pPr>
          </w:p>
        </w:tc>
      </w:tr>
      <w:tr w:rsidR="00FC0C1E" w:rsidRPr="006A451F" w14:paraId="7B4CABAB"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57E16A04" w14:textId="77777777" w:rsidR="00FC0C1E" w:rsidRPr="006A451F" w:rsidRDefault="00FC0C1E" w:rsidP="00FC0C1E">
            <w:pPr>
              <w:ind w:firstLineChars="200" w:firstLine="320"/>
              <w:rPr>
                <w:rFonts w:ascii="Arial" w:hAnsi="Arial" w:cs="Arial"/>
                <w:sz w:val="16"/>
                <w:szCs w:val="16"/>
                <w:lang w:eastAsia="es-AR"/>
              </w:rPr>
            </w:pPr>
            <w:r w:rsidRPr="006A451F">
              <w:rPr>
                <w:rFonts w:ascii="Arial" w:hAnsi="Arial" w:cs="Arial"/>
                <w:sz w:val="16"/>
                <w:szCs w:val="16"/>
                <w:lang w:eastAsia="es-AR"/>
              </w:rPr>
              <w:t>Sector Financiero</w:t>
            </w:r>
          </w:p>
        </w:tc>
        <w:tc>
          <w:tcPr>
            <w:tcW w:w="1478" w:type="dxa"/>
            <w:tcBorders>
              <w:top w:val="nil"/>
              <w:left w:val="nil"/>
              <w:bottom w:val="nil"/>
              <w:right w:val="nil"/>
            </w:tcBorders>
            <w:shd w:val="clear" w:color="auto" w:fill="auto"/>
          </w:tcPr>
          <w:p w14:paraId="7DACFA62" w14:textId="77777777" w:rsidR="00FC0C1E" w:rsidRPr="006A451F" w:rsidRDefault="00FC0C1E" w:rsidP="00FC0C1E">
            <w:pPr>
              <w:ind w:firstLineChars="200" w:firstLine="32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700E871F"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7862A479" w14:textId="77777777" w:rsidR="00FC0C1E" w:rsidRPr="006E1AF7" w:rsidRDefault="00FC0C1E" w:rsidP="00FC0C1E">
            <w:pPr>
              <w:jc w:val="right"/>
              <w:rPr>
                <w:rFonts w:ascii="Arial" w:hAnsi="Arial" w:cs="Arial"/>
                <w:sz w:val="16"/>
                <w:szCs w:val="16"/>
                <w:lang w:eastAsia="es-AR"/>
              </w:rPr>
            </w:pPr>
          </w:p>
        </w:tc>
      </w:tr>
      <w:tr w:rsidR="00FC0C1E" w:rsidRPr="006A451F" w14:paraId="040545A3"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4762A6BF" w14:textId="77777777" w:rsidR="00FC0C1E" w:rsidRPr="006A451F" w:rsidRDefault="00FC0C1E" w:rsidP="00FC0C1E">
            <w:pPr>
              <w:ind w:firstLineChars="200" w:firstLine="320"/>
              <w:rPr>
                <w:rFonts w:ascii="Arial" w:hAnsi="Arial" w:cs="Arial"/>
                <w:sz w:val="16"/>
                <w:szCs w:val="16"/>
                <w:lang w:eastAsia="es-AR"/>
              </w:rPr>
            </w:pPr>
            <w:r w:rsidRPr="006A451F">
              <w:rPr>
                <w:rFonts w:ascii="Arial" w:hAnsi="Arial" w:cs="Arial"/>
                <w:sz w:val="16"/>
                <w:szCs w:val="16"/>
                <w:lang w:eastAsia="es-AR"/>
              </w:rPr>
              <w:t>Sector Privado no Financiero</w:t>
            </w:r>
          </w:p>
        </w:tc>
        <w:tc>
          <w:tcPr>
            <w:tcW w:w="1478" w:type="dxa"/>
            <w:tcBorders>
              <w:top w:val="nil"/>
              <w:left w:val="nil"/>
              <w:bottom w:val="nil"/>
              <w:right w:val="nil"/>
            </w:tcBorders>
            <w:shd w:val="clear" w:color="auto" w:fill="auto"/>
          </w:tcPr>
          <w:p w14:paraId="2EA3CF52" w14:textId="77777777" w:rsidR="00FC0C1E" w:rsidRPr="006A451F" w:rsidRDefault="00FC0C1E" w:rsidP="00FC0C1E">
            <w:pPr>
              <w:ind w:firstLineChars="200" w:firstLine="32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5D553FC6"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2A7C779B" w14:textId="77777777" w:rsidR="00FC0C1E" w:rsidRPr="006E1AF7" w:rsidRDefault="00FC0C1E" w:rsidP="00FC0C1E">
            <w:pPr>
              <w:jc w:val="right"/>
              <w:rPr>
                <w:rFonts w:ascii="Arial" w:hAnsi="Arial" w:cs="Arial"/>
                <w:sz w:val="16"/>
                <w:szCs w:val="16"/>
                <w:lang w:eastAsia="es-AR"/>
              </w:rPr>
            </w:pPr>
          </w:p>
        </w:tc>
      </w:tr>
      <w:tr w:rsidR="00FC0C1E" w:rsidRPr="006A451F" w14:paraId="0381D204"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594D26E6" w14:textId="77777777" w:rsidR="00FC0C1E" w:rsidRPr="006A451F" w:rsidRDefault="00FC0C1E" w:rsidP="00FC0C1E">
            <w:pPr>
              <w:ind w:firstLineChars="400" w:firstLine="640"/>
              <w:rPr>
                <w:rFonts w:ascii="Arial" w:hAnsi="Arial" w:cs="Arial"/>
                <w:sz w:val="16"/>
                <w:szCs w:val="16"/>
                <w:lang w:eastAsia="es-AR"/>
              </w:rPr>
            </w:pPr>
            <w:r w:rsidRPr="006A451F">
              <w:rPr>
                <w:rFonts w:ascii="Arial" w:hAnsi="Arial" w:cs="Arial"/>
                <w:sz w:val="16"/>
                <w:szCs w:val="16"/>
                <w:lang w:eastAsia="es-AR"/>
              </w:rPr>
              <w:t>Adelantos</w:t>
            </w:r>
          </w:p>
        </w:tc>
        <w:tc>
          <w:tcPr>
            <w:tcW w:w="1478" w:type="dxa"/>
            <w:tcBorders>
              <w:top w:val="nil"/>
              <w:left w:val="nil"/>
              <w:bottom w:val="nil"/>
              <w:right w:val="nil"/>
            </w:tcBorders>
            <w:shd w:val="clear" w:color="auto" w:fill="auto"/>
          </w:tcPr>
          <w:p w14:paraId="7FDA3798" w14:textId="77777777" w:rsidR="00FC0C1E" w:rsidRPr="006A451F" w:rsidRDefault="00FC0C1E" w:rsidP="00FC0C1E">
            <w:pPr>
              <w:ind w:firstLineChars="400" w:firstLine="64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7193AD97"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49775EEF" w14:textId="77777777" w:rsidR="00FC0C1E" w:rsidRPr="006E1AF7" w:rsidRDefault="00FC0C1E" w:rsidP="00FC0C1E">
            <w:pPr>
              <w:jc w:val="right"/>
              <w:rPr>
                <w:rFonts w:ascii="Arial" w:hAnsi="Arial" w:cs="Arial"/>
                <w:sz w:val="16"/>
                <w:szCs w:val="16"/>
                <w:lang w:eastAsia="es-AR"/>
              </w:rPr>
            </w:pPr>
          </w:p>
        </w:tc>
      </w:tr>
      <w:tr w:rsidR="00FC0C1E" w:rsidRPr="006A451F" w14:paraId="0683AEB6"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2662991B" w14:textId="77777777" w:rsidR="00FC0C1E" w:rsidRPr="006A451F" w:rsidRDefault="00FC0C1E" w:rsidP="00FC0C1E">
            <w:pPr>
              <w:ind w:firstLineChars="400" w:firstLine="640"/>
              <w:rPr>
                <w:rFonts w:ascii="Arial" w:hAnsi="Arial" w:cs="Arial"/>
                <w:sz w:val="16"/>
                <w:szCs w:val="16"/>
                <w:lang w:eastAsia="es-AR"/>
              </w:rPr>
            </w:pPr>
            <w:r w:rsidRPr="006A451F">
              <w:rPr>
                <w:rFonts w:ascii="Arial" w:hAnsi="Arial" w:cs="Arial"/>
                <w:sz w:val="16"/>
                <w:szCs w:val="16"/>
                <w:lang w:eastAsia="es-AR"/>
              </w:rPr>
              <w:t>Documentos</w:t>
            </w:r>
          </w:p>
        </w:tc>
        <w:tc>
          <w:tcPr>
            <w:tcW w:w="1478" w:type="dxa"/>
            <w:tcBorders>
              <w:top w:val="nil"/>
              <w:left w:val="nil"/>
              <w:bottom w:val="nil"/>
              <w:right w:val="nil"/>
            </w:tcBorders>
            <w:shd w:val="clear" w:color="auto" w:fill="auto"/>
          </w:tcPr>
          <w:p w14:paraId="2F985662" w14:textId="77777777" w:rsidR="00FC0C1E" w:rsidRPr="006A451F" w:rsidRDefault="00FC0C1E" w:rsidP="00FC0C1E">
            <w:pPr>
              <w:ind w:firstLineChars="400" w:firstLine="64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0236C293"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09D33422" w14:textId="77777777" w:rsidR="00FC0C1E" w:rsidRPr="006E1AF7" w:rsidRDefault="00FC0C1E" w:rsidP="00FC0C1E">
            <w:pPr>
              <w:jc w:val="right"/>
              <w:rPr>
                <w:rFonts w:ascii="Arial" w:hAnsi="Arial" w:cs="Arial"/>
                <w:sz w:val="16"/>
                <w:szCs w:val="16"/>
                <w:lang w:eastAsia="es-AR"/>
              </w:rPr>
            </w:pPr>
          </w:p>
        </w:tc>
      </w:tr>
      <w:tr w:rsidR="00FC0C1E" w:rsidRPr="006A451F" w14:paraId="448DAC0B"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04D222A0" w14:textId="77777777" w:rsidR="00FC0C1E" w:rsidRPr="006A451F" w:rsidRDefault="00FC0C1E" w:rsidP="00FC0C1E">
            <w:pPr>
              <w:ind w:firstLineChars="400" w:firstLine="640"/>
              <w:rPr>
                <w:rFonts w:ascii="Arial" w:hAnsi="Arial" w:cs="Arial"/>
                <w:sz w:val="16"/>
                <w:szCs w:val="16"/>
                <w:lang w:eastAsia="es-AR"/>
              </w:rPr>
            </w:pPr>
            <w:r w:rsidRPr="006A451F">
              <w:rPr>
                <w:rFonts w:ascii="Arial" w:hAnsi="Arial" w:cs="Arial"/>
                <w:sz w:val="16"/>
                <w:szCs w:val="16"/>
                <w:lang w:eastAsia="es-AR"/>
              </w:rPr>
              <w:t>Hipotecarios</w:t>
            </w:r>
          </w:p>
        </w:tc>
        <w:tc>
          <w:tcPr>
            <w:tcW w:w="1478" w:type="dxa"/>
            <w:tcBorders>
              <w:top w:val="nil"/>
              <w:left w:val="nil"/>
              <w:bottom w:val="nil"/>
              <w:right w:val="nil"/>
            </w:tcBorders>
            <w:shd w:val="clear" w:color="auto" w:fill="auto"/>
          </w:tcPr>
          <w:p w14:paraId="0C870649" w14:textId="77777777" w:rsidR="00FC0C1E" w:rsidRPr="006A451F" w:rsidRDefault="00FC0C1E" w:rsidP="00FC0C1E">
            <w:pPr>
              <w:ind w:firstLineChars="400" w:firstLine="64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3308C6E6"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72C32C76" w14:textId="77777777" w:rsidR="00FC0C1E" w:rsidRPr="006E1AF7" w:rsidRDefault="00FC0C1E" w:rsidP="00FC0C1E">
            <w:pPr>
              <w:jc w:val="right"/>
              <w:rPr>
                <w:rFonts w:ascii="Arial" w:hAnsi="Arial" w:cs="Arial"/>
                <w:sz w:val="16"/>
                <w:szCs w:val="16"/>
                <w:lang w:eastAsia="es-AR"/>
              </w:rPr>
            </w:pPr>
          </w:p>
        </w:tc>
      </w:tr>
      <w:tr w:rsidR="00FC0C1E" w:rsidRPr="006A451F" w14:paraId="6391F273"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0A0E0189" w14:textId="77777777" w:rsidR="00FC0C1E" w:rsidRPr="006A451F" w:rsidRDefault="00FC0C1E" w:rsidP="00FC0C1E">
            <w:pPr>
              <w:ind w:firstLineChars="400" w:firstLine="640"/>
              <w:rPr>
                <w:rFonts w:ascii="Arial" w:hAnsi="Arial" w:cs="Arial"/>
                <w:sz w:val="16"/>
                <w:szCs w:val="16"/>
                <w:lang w:eastAsia="es-AR"/>
              </w:rPr>
            </w:pPr>
            <w:r w:rsidRPr="006A451F">
              <w:rPr>
                <w:rFonts w:ascii="Arial" w:hAnsi="Arial" w:cs="Arial"/>
                <w:sz w:val="16"/>
                <w:szCs w:val="16"/>
                <w:lang w:eastAsia="es-AR"/>
              </w:rPr>
              <w:t>Prendarios</w:t>
            </w:r>
          </w:p>
        </w:tc>
        <w:tc>
          <w:tcPr>
            <w:tcW w:w="1478" w:type="dxa"/>
            <w:tcBorders>
              <w:top w:val="nil"/>
              <w:left w:val="nil"/>
              <w:bottom w:val="nil"/>
              <w:right w:val="nil"/>
            </w:tcBorders>
            <w:shd w:val="clear" w:color="auto" w:fill="auto"/>
          </w:tcPr>
          <w:p w14:paraId="565D8896" w14:textId="77777777" w:rsidR="00FC0C1E" w:rsidRPr="006A451F" w:rsidRDefault="00FC0C1E" w:rsidP="00FC0C1E">
            <w:pPr>
              <w:ind w:firstLineChars="400" w:firstLine="64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5D4DB596"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093C2632" w14:textId="77777777" w:rsidR="00FC0C1E" w:rsidRPr="006E1AF7" w:rsidRDefault="00FC0C1E" w:rsidP="00FC0C1E">
            <w:pPr>
              <w:jc w:val="right"/>
              <w:rPr>
                <w:rFonts w:ascii="Arial" w:hAnsi="Arial" w:cs="Arial"/>
                <w:sz w:val="16"/>
                <w:szCs w:val="16"/>
                <w:lang w:eastAsia="es-AR"/>
              </w:rPr>
            </w:pPr>
          </w:p>
        </w:tc>
      </w:tr>
      <w:tr w:rsidR="00FC0C1E" w:rsidRPr="006A451F" w14:paraId="50B55A22"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710F1F02" w14:textId="77777777" w:rsidR="00FC0C1E" w:rsidRPr="006A451F" w:rsidRDefault="00FC0C1E" w:rsidP="00FC0C1E">
            <w:pPr>
              <w:ind w:firstLineChars="400" w:firstLine="640"/>
              <w:rPr>
                <w:rFonts w:ascii="Arial" w:hAnsi="Arial" w:cs="Arial"/>
                <w:sz w:val="16"/>
                <w:szCs w:val="16"/>
                <w:lang w:eastAsia="es-AR"/>
              </w:rPr>
            </w:pPr>
            <w:r w:rsidRPr="006A451F">
              <w:rPr>
                <w:rFonts w:ascii="Arial" w:hAnsi="Arial" w:cs="Arial"/>
                <w:sz w:val="16"/>
                <w:szCs w:val="16"/>
                <w:lang w:eastAsia="es-AR"/>
              </w:rPr>
              <w:t>Personales</w:t>
            </w:r>
          </w:p>
        </w:tc>
        <w:tc>
          <w:tcPr>
            <w:tcW w:w="1478" w:type="dxa"/>
            <w:tcBorders>
              <w:top w:val="nil"/>
              <w:left w:val="nil"/>
              <w:bottom w:val="nil"/>
              <w:right w:val="nil"/>
            </w:tcBorders>
            <w:shd w:val="clear" w:color="auto" w:fill="auto"/>
          </w:tcPr>
          <w:p w14:paraId="6C258BE1" w14:textId="77777777" w:rsidR="00FC0C1E" w:rsidRPr="006A451F" w:rsidRDefault="00FC0C1E" w:rsidP="00FC0C1E">
            <w:pPr>
              <w:ind w:firstLineChars="400" w:firstLine="64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77743630"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404FCE97" w14:textId="77777777" w:rsidR="00FC0C1E" w:rsidRPr="006E1AF7" w:rsidRDefault="00FC0C1E" w:rsidP="00FC0C1E">
            <w:pPr>
              <w:jc w:val="right"/>
              <w:rPr>
                <w:rFonts w:ascii="Arial" w:hAnsi="Arial" w:cs="Arial"/>
                <w:sz w:val="16"/>
                <w:szCs w:val="16"/>
                <w:lang w:eastAsia="es-AR"/>
              </w:rPr>
            </w:pPr>
          </w:p>
        </w:tc>
      </w:tr>
      <w:tr w:rsidR="00FC0C1E" w:rsidRPr="006A451F" w14:paraId="69CB5001"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584FBE0A" w14:textId="77777777" w:rsidR="00FC0C1E" w:rsidRPr="006A451F" w:rsidRDefault="00FC0C1E" w:rsidP="00FC0C1E">
            <w:pPr>
              <w:ind w:firstLineChars="400" w:firstLine="640"/>
              <w:rPr>
                <w:rFonts w:ascii="Arial" w:hAnsi="Arial" w:cs="Arial"/>
                <w:sz w:val="16"/>
                <w:szCs w:val="16"/>
                <w:lang w:eastAsia="es-AR"/>
              </w:rPr>
            </w:pPr>
            <w:r w:rsidRPr="006A451F">
              <w:rPr>
                <w:rFonts w:ascii="Arial" w:hAnsi="Arial" w:cs="Arial"/>
                <w:sz w:val="16"/>
                <w:szCs w:val="16"/>
                <w:lang w:eastAsia="es-AR"/>
              </w:rPr>
              <w:t>Tarjetas de Crédito</w:t>
            </w:r>
          </w:p>
        </w:tc>
        <w:tc>
          <w:tcPr>
            <w:tcW w:w="1478" w:type="dxa"/>
            <w:tcBorders>
              <w:top w:val="nil"/>
              <w:left w:val="nil"/>
              <w:bottom w:val="nil"/>
              <w:right w:val="nil"/>
            </w:tcBorders>
            <w:shd w:val="clear" w:color="auto" w:fill="auto"/>
          </w:tcPr>
          <w:p w14:paraId="063A70DC" w14:textId="77777777" w:rsidR="00FC0C1E" w:rsidRPr="006A451F" w:rsidRDefault="00FC0C1E" w:rsidP="00FC0C1E">
            <w:pPr>
              <w:ind w:firstLineChars="400" w:firstLine="64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0B0858A1"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5A3CCE83" w14:textId="77777777" w:rsidR="00FC0C1E" w:rsidRPr="006E1AF7" w:rsidRDefault="00FC0C1E" w:rsidP="00FC0C1E">
            <w:pPr>
              <w:jc w:val="right"/>
              <w:rPr>
                <w:rFonts w:ascii="Arial" w:hAnsi="Arial" w:cs="Arial"/>
                <w:sz w:val="16"/>
                <w:szCs w:val="16"/>
                <w:lang w:eastAsia="es-AR"/>
              </w:rPr>
            </w:pPr>
          </w:p>
        </w:tc>
      </w:tr>
      <w:tr w:rsidR="00FC0C1E" w:rsidRPr="006A451F" w14:paraId="0590289F"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37C91D17" w14:textId="77777777" w:rsidR="00FC0C1E" w:rsidRPr="006A451F" w:rsidRDefault="00FC0C1E" w:rsidP="00FC0C1E">
            <w:pPr>
              <w:ind w:firstLineChars="400" w:firstLine="640"/>
              <w:rPr>
                <w:rFonts w:ascii="Arial" w:hAnsi="Arial" w:cs="Arial"/>
                <w:sz w:val="16"/>
                <w:szCs w:val="16"/>
                <w:lang w:eastAsia="es-AR"/>
              </w:rPr>
            </w:pPr>
            <w:r w:rsidRPr="006A451F">
              <w:rPr>
                <w:rFonts w:ascii="Arial" w:hAnsi="Arial" w:cs="Arial"/>
                <w:sz w:val="16"/>
                <w:szCs w:val="16"/>
                <w:lang w:eastAsia="es-AR"/>
              </w:rPr>
              <w:t>Otros</w:t>
            </w:r>
          </w:p>
        </w:tc>
        <w:tc>
          <w:tcPr>
            <w:tcW w:w="1478" w:type="dxa"/>
            <w:tcBorders>
              <w:top w:val="nil"/>
              <w:left w:val="nil"/>
              <w:bottom w:val="nil"/>
              <w:right w:val="nil"/>
            </w:tcBorders>
            <w:shd w:val="clear" w:color="auto" w:fill="auto"/>
          </w:tcPr>
          <w:p w14:paraId="396DD652" w14:textId="77777777" w:rsidR="00FC0C1E" w:rsidRPr="006A451F" w:rsidRDefault="00FC0C1E" w:rsidP="00FC0C1E">
            <w:pPr>
              <w:ind w:firstLineChars="400" w:firstLine="64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45C3CEE5"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03E50F7F" w14:textId="77777777" w:rsidR="00FC0C1E" w:rsidRPr="006E1AF7" w:rsidRDefault="00FC0C1E" w:rsidP="00FC0C1E">
            <w:pPr>
              <w:jc w:val="right"/>
              <w:rPr>
                <w:rFonts w:ascii="Arial" w:hAnsi="Arial" w:cs="Arial"/>
                <w:sz w:val="16"/>
                <w:szCs w:val="16"/>
                <w:lang w:eastAsia="es-AR"/>
              </w:rPr>
            </w:pPr>
          </w:p>
        </w:tc>
      </w:tr>
      <w:tr w:rsidR="00FC0C1E" w:rsidRPr="006A451F" w14:paraId="51D37FD6"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0673190F" w14:textId="77777777" w:rsidR="00FC0C1E" w:rsidRPr="006A451F" w:rsidRDefault="00FC0C1E" w:rsidP="00FC0C1E">
            <w:pPr>
              <w:ind w:firstLineChars="200" w:firstLine="320"/>
              <w:rPr>
                <w:rFonts w:ascii="Arial" w:hAnsi="Arial" w:cs="Arial"/>
                <w:sz w:val="16"/>
                <w:szCs w:val="16"/>
                <w:lang w:eastAsia="es-AR"/>
              </w:rPr>
            </w:pPr>
            <w:r w:rsidRPr="006A451F">
              <w:rPr>
                <w:rFonts w:ascii="Arial" w:hAnsi="Arial" w:cs="Arial"/>
                <w:sz w:val="16"/>
                <w:szCs w:val="16"/>
                <w:lang w:eastAsia="es-AR"/>
              </w:rPr>
              <w:t>Residentes en el exterior</w:t>
            </w:r>
          </w:p>
        </w:tc>
        <w:tc>
          <w:tcPr>
            <w:tcW w:w="1478" w:type="dxa"/>
            <w:tcBorders>
              <w:top w:val="nil"/>
              <w:left w:val="nil"/>
              <w:bottom w:val="nil"/>
              <w:right w:val="nil"/>
            </w:tcBorders>
            <w:shd w:val="clear" w:color="auto" w:fill="auto"/>
          </w:tcPr>
          <w:p w14:paraId="0894F7E5" w14:textId="77777777" w:rsidR="00FC0C1E" w:rsidRPr="006A451F" w:rsidRDefault="00FC0C1E" w:rsidP="00FC0C1E">
            <w:pPr>
              <w:ind w:firstLineChars="200" w:firstLine="32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55F6BC72"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75A83A5A" w14:textId="77777777" w:rsidR="00FC0C1E" w:rsidRPr="006E1AF7" w:rsidRDefault="00FC0C1E" w:rsidP="00FC0C1E">
            <w:pPr>
              <w:jc w:val="right"/>
              <w:rPr>
                <w:rFonts w:ascii="Arial" w:hAnsi="Arial" w:cs="Arial"/>
                <w:sz w:val="16"/>
                <w:szCs w:val="16"/>
                <w:lang w:eastAsia="es-AR"/>
              </w:rPr>
            </w:pPr>
          </w:p>
        </w:tc>
      </w:tr>
      <w:tr w:rsidR="00FC0C1E" w:rsidRPr="006A451F" w14:paraId="36734E7B"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39DC195F" w14:textId="77777777" w:rsidR="00FC0C1E" w:rsidRPr="006A451F" w:rsidRDefault="00FC0C1E" w:rsidP="00FC0C1E">
            <w:pPr>
              <w:ind w:firstLineChars="100" w:firstLine="160"/>
              <w:rPr>
                <w:rFonts w:ascii="Arial" w:hAnsi="Arial" w:cs="Arial"/>
                <w:sz w:val="16"/>
                <w:szCs w:val="16"/>
                <w:lang w:eastAsia="es-AR"/>
              </w:rPr>
            </w:pPr>
            <w:r w:rsidRPr="006A451F">
              <w:rPr>
                <w:rFonts w:ascii="Arial" w:hAnsi="Arial" w:cs="Arial"/>
                <w:sz w:val="16"/>
                <w:szCs w:val="16"/>
                <w:lang w:eastAsia="es-AR"/>
              </w:rPr>
              <w:t>Por inversiones en Instrumentos de Patrimonio</w:t>
            </w:r>
          </w:p>
        </w:tc>
        <w:tc>
          <w:tcPr>
            <w:tcW w:w="1478" w:type="dxa"/>
            <w:tcBorders>
              <w:top w:val="nil"/>
              <w:left w:val="nil"/>
              <w:bottom w:val="nil"/>
              <w:right w:val="nil"/>
            </w:tcBorders>
            <w:shd w:val="clear" w:color="auto" w:fill="auto"/>
          </w:tcPr>
          <w:p w14:paraId="4BC6292D" w14:textId="77777777" w:rsidR="00FC0C1E" w:rsidRPr="006A451F" w:rsidRDefault="00FC0C1E" w:rsidP="00FC0C1E">
            <w:pPr>
              <w:ind w:firstLineChars="100" w:firstLine="16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0C26911F" w14:textId="0B6ADBAE" w:rsidR="00FC0C1E" w:rsidRPr="006E1AF7" w:rsidRDefault="00FC0C1E" w:rsidP="00FC0C1E">
            <w:pPr>
              <w:jc w:val="right"/>
              <w:rPr>
                <w:rFonts w:ascii="Arial" w:hAnsi="Arial" w:cs="Arial"/>
                <w:sz w:val="16"/>
                <w:szCs w:val="16"/>
                <w:lang w:eastAsia="es-AR"/>
              </w:rPr>
            </w:pPr>
            <w:r w:rsidRPr="006E1AF7">
              <w:rPr>
                <w:rFonts w:ascii="Arial" w:hAnsi="Arial" w:cs="Arial"/>
                <w:sz w:val="16"/>
                <w:szCs w:val="16"/>
                <w:lang w:eastAsia="es-AR"/>
              </w:rPr>
              <w:t>-</w:t>
            </w:r>
          </w:p>
        </w:tc>
        <w:tc>
          <w:tcPr>
            <w:tcW w:w="889" w:type="dxa"/>
            <w:tcBorders>
              <w:top w:val="nil"/>
              <w:left w:val="nil"/>
              <w:bottom w:val="nil"/>
              <w:right w:val="nil"/>
            </w:tcBorders>
            <w:shd w:val="clear" w:color="auto" w:fill="auto"/>
          </w:tcPr>
          <w:p w14:paraId="3E9A09B6" w14:textId="06864B57" w:rsidR="00FC0C1E" w:rsidRPr="006E1AF7" w:rsidRDefault="00FC0C1E" w:rsidP="00FC0C1E">
            <w:pPr>
              <w:jc w:val="right"/>
              <w:rPr>
                <w:rFonts w:ascii="Arial" w:hAnsi="Arial" w:cs="Arial"/>
                <w:sz w:val="16"/>
                <w:szCs w:val="16"/>
                <w:lang w:eastAsia="es-AR"/>
              </w:rPr>
            </w:pPr>
            <w:r w:rsidRPr="006E1AF7">
              <w:rPr>
                <w:rFonts w:ascii="Arial" w:hAnsi="Arial" w:cs="Arial"/>
                <w:sz w:val="16"/>
                <w:szCs w:val="16"/>
                <w:lang w:eastAsia="es-AR"/>
              </w:rPr>
              <w:t>-18</w:t>
            </w:r>
          </w:p>
        </w:tc>
      </w:tr>
      <w:tr w:rsidR="00FC0C1E" w:rsidRPr="006A451F" w14:paraId="01BD2C14"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0096837A" w14:textId="77777777" w:rsidR="00FC0C1E" w:rsidRPr="006A451F" w:rsidRDefault="00FC0C1E" w:rsidP="00FC0C1E">
            <w:pPr>
              <w:ind w:firstLineChars="100" w:firstLine="160"/>
              <w:rPr>
                <w:rFonts w:ascii="Arial" w:hAnsi="Arial" w:cs="Arial"/>
                <w:sz w:val="16"/>
                <w:szCs w:val="16"/>
                <w:lang w:eastAsia="es-AR"/>
              </w:rPr>
            </w:pPr>
            <w:r w:rsidRPr="006A451F">
              <w:rPr>
                <w:rFonts w:ascii="Arial" w:hAnsi="Arial" w:cs="Arial"/>
                <w:sz w:val="16"/>
                <w:szCs w:val="16"/>
                <w:lang w:eastAsia="es-AR"/>
              </w:rPr>
              <w:t>Resultado por venta o baja de activos financieros a valor razonable</w:t>
            </w:r>
          </w:p>
        </w:tc>
        <w:tc>
          <w:tcPr>
            <w:tcW w:w="1478" w:type="dxa"/>
            <w:tcBorders>
              <w:top w:val="nil"/>
              <w:left w:val="nil"/>
              <w:bottom w:val="nil"/>
              <w:right w:val="nil"/>
            </w:tcBorders>
            <w:shd w:val="clear" w:color="auto" w:fill="auto"/>
          </w:tcPr>
          <w:p w14:paraId="293E9B0A" w14:textId="77777777" w:rsidR="00FC0C1E" w:rsidRPr="006A451F" w:rsidRDefault="00FC0C1E" w:rsidP="00FC0C1E">
            <w:pPr>
              <w:ind w:firstLineChars="100" w:firstLine="160"/>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61CE9F8E"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4ECBF685" w14:textId="77777777" w:rsidR="00FC0C1E" w:rsidRPr="006E1AF7" w:rsidRDefault="00FC0C1E" w:rsidP="00FC0C1E">
            <w:pPr>
              <w:jc w:val="right"/>
              <w:rPr>
                <w:rFonts w:ascii="Arial" w:hAnsi="Arial" w:cs="Arial"/>
                <w:sz w:val="16"/>
                <w:szCs w:val="16"/>
                <w:lang w:eastAsia="es-AR"/>
              </w:rPr>
            </w:pPr>
          </w:p>
        </w:tc>
      </w:tr>
      <w:tr w:rsidR="00FC0C1E" w:rsidRPr="006A451F" w14:paraId="0EAD4A28" w14:textId="77777777" w:rsidTr="00C7765D">
        <w:trPr>
          <w:gridAfter w:val="1"/>
          <w:wAfter w:w="272" w:type="dxa"/>
          <w:trHeight w:val="80"/>
        </w:trPr>
        <w:tc>
          <w:tcPr>
            <w:tcW w:w="5665" w:type="dxa"/>
            <w:tcBorders>
              <w:top w:val="nil"/>
              <w:left w:val="nil"/>
              <w:bottom w:val="nil"/>
              <w:right w:val="nil"/>
            </w:tcBorders>
            <w:shd w:val="clear" w:color="auto" w:fill="auto"/>
            <w:hideMark/>
          </w:tcPr>
          <w:p w14:paraId="5150B3FC" w14:textId="77777777" w:rsidR="00FC0C1E" w:rsidRPr="006A451F" w:rsidRDefault="00FC0C1E" w:rsidP="00FC0C1E">
            <w:pPr>
              <w:rPr>
                <w:sz w:val="16"/>
                <w:szCs w:val="16"/>
                <w:lang w:eastAsia="es-AR"/>
              </w:rPr>
            </w:pPr>
          </w:p>
        </w:tc>
        <w:tc>
          <w:tcPr>
            <w:tcW w:w="1478" w:type="dxa"/>
            <w:tcBorders>
              <w:top w:val="nil"/>
              <w:left w:val="nil"/>
              <w:bottom w:val="nil"/>
              <w:right w:val="nil"/>
            </w:tcBorders>
            <w:shd w:val="clear" w:color="auto" w:fill="auto"/>
          </w:tcPr>
          <w:p w14:paraId="2015B7A6" w14:textId="77777777" w:rsidR="00FC0C1E" w:rsidRPr="006A451F" w:rsidRDefault="00FC0C1E" w:rsidP="00FC0C1E">
            <w:pPr>
              <w:ind w:firstLineChars="100" w:firstLine="160"/>
              <w:jc w:val="right"/>
              <w:rPr>
                <w:sz w:val="16"/>
                <w:szCs w:val="16"/>
                <w:lang w:eastAsia="es-AR"/>
              </w:rPr>
            </w:pPr>
          </w:p>
        </w:tc>
        <w:tc>
          <w:tcPr>
            <w:tcW w:w="1216" w:type="dxa"/>
            <w:gridSpan w:val="2"/>
            <w:tcBorders>
              <w:top w:val="nil"/>
              <w:left w:val="nil"/>
              <w:bottom w:val="nil"/>
              <w:right w:val="nil"/>
            </w:tcBorders>
            <w:shd w:val="clear" w:color="auto" w:fill="auto"/>
          </w:tcPr>
          <w:p w14:paraId="7C331166"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4E2F7BCD" w14:textId="77777777" w:rsidR="00FC0C1E" w:rsidRPr="006E1AF7" w:rsidRDefault="00FC0C1E" w:rsidP="00FC0C1E">
            <w:pPr>
              <w:jc w:val="right"/>
              <w:rPr>
                <w:rFonts w:ascii="Arial" w:hAnsi="Arial" w:cs="Arial"/>
                <w:sz w:val="16"/>
                <w:szCs w:val="16"/>
                <w:lang w:eastAsia="es-AR"/>
              </w:rPr>
            </w:pPr>
          </w:p>
        </w:tc>
      </w:tr>
      <w:tr w:rsidR="00FC0C1E" w:rsidRPr="006A451F" w14:paraId="433B0307" w14:textId="77777777" w:rsidTr="00C7765D">
        <w:trPr>
          <w:gridAfter w:val="1"/>
          <w:wAfter w:w="272" w:type="dxa"/>
          <w:trHeight w:val="241"/>
        </w:trPr>
        <w:tc>
          <w:tcPr>
            <w:tcW w:w="5665" w:type="dxa"/>
            <w:tcBorders>
              <w:top w:val="nil"/>
              <w:left w:val="nil"/>
              <w:bottom w:val="nil"/>
              <w:right w:val="nil"/>
            </w:tcBorders>
            <w:shd w:val="clear" w:color="auto" w:fill="auto"/>
            <w:hideMark/>
          </w:tcPr>
          <w:p w14:paraId="29029C7A" w14:textId="77777777" w:rsidR="00FC0C1E" w:rsidRPr="006A451F" w:rsidRDefault="00FC0C1E" w:rsidP="00FC0C1E">
            <w:pPr>
              <w:rPr>
                <w:rFonts w:ascii="Arial" w:hAnsi="Arial" w:cs="Arial"/>
                <w:b/>
                <w:bCs/>
                <w:sz w:val="16"/>
                <w:szCs w:val="16"/>
                <w:lang w:eastAsia="es-AR"/>
              </w:rPr>
            </w:pPr>
            <w:r w:rsidRPr="006A451F">
              <w:rPr>
                <w:rFonts w:ascii="Arial" w:hAnsi="Arial" w:cs="Arial"/>
                <w:b/>
                <w:bCs/>
                <w:sz w:val="16"/>
                <w:szCs w:val="16"/>
                <w:lang w:eastAsia="es-AR"/>
              </w:rPr>
              <w:t>Por medición pasivos financieros a valor razonable con cambios en resultados</w:t>
            </w:r>
          </w:p>
        </w:tc>
        <w:tc>
          <w:tcPr>
            <w:tcW w:w="1478" w:type="dxa"/>
            <w:tcBorders>
              <w:top w:val="nil"/>
              <w:left w:val="nil"/>
              <w:bottom w:val="nil"/>
              <w:right w:val="nil"/>
            </w:tcBorders>
            <w:shd w:val="clear" w:color="auto" w:fill="auto"/>
            <w:noWrap/>
          </w:tcPr>
          <w:p w14:paraId="6439B3C8" w14:textId="77777777" w:rsidR="00FC0C1E" w:rsidRPr="006A451F" w:rsidRDefault="00FC0C1E" w:rsidP="00FC0C1E">
            <w:pPr>
              <w:jc w:val="right"/>
              <w:rPr>
                <w:rFonts w:ascii="Arial" w:hAnsi="Arial" w:cs="Arial"/>
                <w:b/>
                <w:bCs/>
                <w:sz w:val="16"/>
                <w:szCs w:val="16"/>
                <w:lang w:eastAsia="es-AR"/>
              </w:rPr>
            </w:pPr>
          </w:p>
        </w:tc>
        <w:tc>
          <w:tcPr>
            <w:tcW w:w="1216" w:type="dxa"/>
            <w:gridSpan w:val="2"/>
            <w:tcBorders>
              <w:top w:val="nil"/>
              <w:left w:val="nil"/>
              <w:bottom w:val="nil"/>
              <w:right w:val="nil"/>
            </w:tcBorders>
            <w:shd w:val="clear" w:color="auto" w:fill="auto"/>
            <w:noWrap/>
          </w:tcPr>
          <w:p w14:paraId="14B2FA18"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noWrap/>
          </w:tcPr>
          <w:p w14:paraId="3131168E" w14:textId="77777777" w:rsidR="00FC0C1E" w:rsidRPr="006E1AF7" w:rsidRDefault="00FC0C1E" w:rsidP="00FC0C1E">
            <w:pPr>
              <w:jc w:val="right"/>
              <w:rPr>
                <w:rFonts w:ascii="Arial" w:hAnsi="Arial" w:cs="Arial"/>
                <w:sz w:val="16"/>
                <w:szCs w:val="16"/>
                <w:lang w:eastAsia="es-AR"/>
              </w:rPr>
            </w:pPr>
          </w:p>
        </w:tc>
      </w:tr>
      <w:tr w:rsidR="00FC0C1E" w:rsidRPr="006A451F" w14:paraId="5FDD0B5F"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49EFFB49" w14:textId="77777777" w:rsidR="00FC0C1E" w:rsidRPr="006A451F" w:rsidRDefault="00FC0C1E" w:rsidP="00FC0C1E">
            <w:pPr>
              <w:rPr>
                <w:rFonts w:ascii="Arial" w:hAnsi="Arial" w:cs="Arial"/>
                <w:sz w:val="16"/>
                <w:szCs w:val="16"/>
                <w:lang w:eastAsia="es-AR"/>
              </w:rPr>
            </w:pPr>
            <w:r w:rsidRPr="006A451F">
              <w:rPr>
                <w:rFonts w:ascii="Arial" w:hAnsi="Arial" w:cs="Arial"/>
                <w:sz w:val="16"/>
                <w:szCs w:val="16"/>
                <w:lang w:eastAsia="es-AR"/>
              </w:rPr>
              <w:t>Resultado de Instrumentos financieros derivados</w:t>
            </w:r>
          </w:p>
        </w:tc>
        <w:tc>
          <w:tcPr>
            <w:tcW w:w="1478" w:type="dxa"/>
            <w:tcBorders>
              <w:top w:val="nil"/>
              <w:left w:val="nil"/>
              <w:bottom w:val="nil"/>
              <w:right w:val="nil"/>
            </w:tcBorders>
            <w:shd w:val="clear" w:color="auto" w:fill="auto"/>
          </w:tcPr>
          <w:p w14:paraId="1687EDE6" w14:textId="77777777" w:rsidR="00FC0C1E" w:rsidRPr="006A451F" w:rsidRDefault="00FC0C1E" w:rsidP="00FC0C1E">
            <w:pPr>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77BE43E1"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593EF8D6" w14:textId="77777777" w:rsidR="00FC0C1E" w:rsidRPr="006E1AF7" w:rsidRDefault="00FC0C1E" w:rsidP="00FC0C1E">
            <w:pPr>
              <w:jc w:val="right"/>
              <w:rPr>
                <w:rFonts w:ascii="Arial" w:hAnsi="Arial" w:cs="Arial"/>
                <w:sz w:val="16"/>
                <w:szCs w:val="16"/>
                <w:lang w:eastAsia="es-AR"/>
              </w:rPr>
            </w:pPr>
          </w:p>
        </w:tc>
      </w:tr>
      <w:tr w:rsidR="00FC0C1E" w:rsidRPr="006A451F" w14:paraId="196AE038"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3E0A2F5A" w14:textId="77777777" w:rsidR="00FC0C1E" w:rsidRPr="006A451F" w:rsidRDefault="00FC0C1E" w:rsidP="00FC0C1E">
            <w:pPr>
              <w:rPr>
                <w:rFonts w:ascii="Arial" w:hAnsi="Arial" w:cs="Arial"/>
                <w:sz w:val="16"/>
                <w:szCs w:val="16"/>
                <w:lang w:eastAsia="es-AR"/>
              </w:rPr>
            </w:pPr>
            <w:r w:rsidRPr="006A451F">
              <w:rPr>
                <w:rFonts w:ascii="Arial" w:hAnsi="Arial" w:cs="Arial"/>
                <w:sz w:val="16"/>
                <w:szCs w:val="16"/>
                <w:lang w:eastAsia="es-AR"/>
              </w:rPr>
              <w:t xml:space="preserve">     Operaciones a término</w:t>
            </w:r>
          </w:p>
        </w:tc>
        <w:tc>
          <w:tcPr>
            <w:tcW w:w="1478" w:type="dxa"/>
            <w:tcBorders>
              <w:top w:val="nil"/>
              <w:left w:val="nil"/>
              <w:bottom w:val="nil"/>
              <w:right w:val="nil"/>
            </w:tcBorders>
            <w:shd w:val="clear" w:color="auto" w:fill="auto"/>
          </w:tcPr>
          <w:p w14:paraId="27C7627E" w14:textId="77777777" w:rsidR="00FC0C1E" w:rsidRPr="006A451F" w:rsidRDefault="00FC0C1E" w:rsidP="00FC0C1E">
            <w:pPr>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271A4A9A"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36ACACB8" w14:textId="77777777" w:rsidR="00FC0C1E" w:rsidRPr="006E1AF7" w:rsidRDefault="00FC0C1E" w:rsidP="00FC0C1E">
            <w:pPr>
              <w:jc w:val="right"/>
              <w:rPr>
                <w:rFonts w:ascii="Arial" w:hAnsi="Arial" w:cs="Arial"/>
                <w:sz w:val="16"/>
                <w:szCs w:val="16"/>
                <w:lang w:eastAsia="es-AR"/>
              </w:rPr>
            </w:pPr>
          </w:p>
        </w:tc>
      </w:tr>
      <w:tr w:rsidR="00FC0C1E" w:rsidRPr="006A451F" w14:paraId="09045A98"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342881DC" w14:textId="77777777" w:rsidR="00FC0C1E" w:rsidRPr="006A451F" w:rsidRDefault="00FC0C1E" w:rsidP="00FC0C1E">
            <w:pPr>
              <w:rPr>
                <w:rFonts w:ascii="Arial" w:hAnsi="Arial" w:cs="Arial"/>
                <w:sz w:val="16"/>
                <w:szCs w:val="16"/>
                <w:lang w:eastAsia="es-AR"/>
              </w:rPr>
            </w:pPr>
            <w:r w:rsidRPr="006A451F">
              <w:rPr>
                <w:rFonts w:ascii="Arial" w:hAnsi="Arial" w:cs="Arial"/>
                <w:sz w:val="16"/>
                <w:szCs w:val="16"/>
                <w:lang w:eastAsia="es-AR"/>
              </w:rPr>
              <w:t xml:space="preserve">     Permutas de tasa</w:t>
            </w:r>
          </w:p>
        </w:tc>
        <w:tc>
          <w:tcPr>
            <w:tcW w:w="1478" w:type="dxa"/>
            <w:tcBorders>
              <w:top w:val="nil"/>
              <w:left w:val="nil"/>
              <w:bottom w:val="nil"/>
              <w:right w:val="nil"/>
            </w:tcBorders>
            <w:shd w:val="clear" w:color="auto" w:fill="auto"/>
          </w:tcPr>
          <w:p w14:paraId="110AB3A2" w14:textId="77777777" w:rsidR="00FC0C1E" w:rsidRPr="006A451F" w:rsidRDefault="00FC0C1E" w:rsidP="00FC0C1E">
            <w:pPr>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629A181B"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4C9B9DDF" w14:textId="77777777" w:rsidR="00FC0C1E" w:rsidRPr="006E1AF7" w:rsidRDefault="00FC0C1E" w:rsidP="00FC0C1E">
            <w:pPr>
              <w:jc w:val="right"/>
              <w:rPr>
                <w:rFonts w:ascii="Arial" w:hAnsi="Arial" w:cs="Arial"/>
                <w:sz w:val="16"/>
                <w:szCs w:val="16"/>
                <w:lang w:eastAsia="es-AR"/>
              </w:rPr>
            </w:pPr>
          </w:p>
        </w:tc>
      </w:tr>
      <w:tr w:rsidR="00FC0C1E" w:rsidRPr="006A451F" w14:paraId="37988DFF"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07141FE3" w14:textId="77777777" w:rsidR="00FC0C1E" w:rsidRPr="006A451F" w:rsidRDefault="00FC0C1E" w:rsidP="00FC0C1E">
            <w:pPr>
              <w:rPr>
                <w:rFonts w:ascii="Arial" w:hAnsi="Arial" w:cs="Arial"/>
                <w:sz w:val="16"/>
                <w:szCs w:val="16"/>
                <w:lang w:eastAsia="es-AR"/>
              </w:rPr>
            </w:pPr>
            <w:r w:rsidRPr="006A451F">
              <w:rPr>
                <w:rFonts w:ascii="Arial" w:hAnsi="Arial" w:cs="Arial"/>
                <w:sz w:val="16"/>
                <w:szCs w:val="16"/>
                <w:lang w:eastAsia="es-AR"/>
              </w:rPr>
              <w:t xml:space="preserve">     Opciones</w:t>
            </w:r>
          </w:p>
        </w:tc>
        <w:tc>
          <w:tcPr>
            <w:tcW w:w="1478" w:type="dxa"/>
            <w:tcBorders>
              <w:top w:val="nil"/>
              <w:left w:val="nil"/>
              <w:bottom w:val="nil"/>
              <w:right w:val="nil"/>
            </w:tcBorders>
            <w:shd w:val="clear" w:color="auto" w:fill="auto"/>
          </w:tcPr>
          <w:p w14:paraId="2A17F074" w14:textId="77777777" w:rsidR="00FC0C1E" w:rsidRPr="006A451F" w:rsidRDefault="00FC0C1E" w:rsidP="00FC0C1E">
            <w:pPr>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73705353"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37399868" w14:textId="77777777" w:rsidR="00FC0C1E" w:rsidRPr="006E1AF7" w:rsidRDefault="00FC0C1E" w:rsidP="00FC0C1E">
            <w:pPr>
              <w:jc w:val="right"/>
              <w:rPr>
                <w:rFonts w:ascii="Arial" w:hAnsi="Arial" w:cs="Arial"/>
                <w:sz w:val="16"/>
                <w:szCs w:val="16"/>
                <w:lang w:eastAsia="es-AR"/>
              </w:rPr>
            </w:pPr>
          </w:p>
        </w:tc>
      </w:tr>
      <w:tr w:rsidR="00FC0C1E" w:rsidRPr="006A451F" w14:paraId="7382EF17"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728C3CA9" w14:textId="77777777" w:rsidR="00FC0C1E" w:rsidRPr="006A451F" w:rsidRDefault="00FC0C1E" w:rsidP="00FC0C1E">
            <w:pPr>
              <w:rPr>
                <w:rFonts w:ascii="Arial" w:hAnsi="Arial" w:cs="Arial"/>
                <w:sz w:val="16"/>
                <w:szCs w:val="16"/>
                <w:lang w:eastAsia="es-AR"/>
              </w:rPr>
            </w:pPr>
            <w:r w:rsidRPr="006A451F">
              <w:rPr>
                <w:rFonts w:ascii="Arial" w:hAnsi="Arial" w:cs="Arial"/>
                <w:sz w:val="16"/>
                <w:szCs w:val="16"/>
                <w:lang w:eastAsia="es-AR"/>
              </w:rPr>
              <w:t>Resultado de otros pasivos financieros</w:t>
            </w:r>
          </w:p>
        </w:tc>
        <w:tc>
          <w:tcPr>
            <w:tcW w:w="1478" w:type="dxa"/>
            <w:tcBorders>
              <w:top w:val="nil"/>
              <w:left w:val="nil"/>
              <w:bottom w:val="nil"/>
              <w:right w:val="nil"/>
            </w:tcBorders>
            <w:shd w:val="clear" w:color="auto" w:fill="auto"/>
          </w:tcPr>
          <w:p w14:paraId="0900151C" w14:textId="77777777" w:rsidR="00FC0C1E" w:rsidRPr="006A451F" w:rsidRDefault="00FC0C1E" w:rsidP="00FC0C1E">
            <w:pPr>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6336946F"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3FE9482E" w14:textId="77777777" w:rsidR="00FC0C1E" w:rsidRPr="006E1AF7" w:rsidRDefault="00FC0C1E" w:rsidP="00FC0C1E">
            <w:pPr>
              <w:jc w:val="right"/>
              <w:rPr>
                <w:rFonts w:ascii="Arial" w:hAnsi="Arial" w:cs="Arial"/>
                <w:sz w:val="16"/>
                <w:szCs w:val="16"/>
                <w:lang w:eastAsia="es-AR"/>
              </w:rPr>
            </w:pPr>
          </w:p>
        </w:tc>
      </w:tr>
      <w:tr w:rsidR="00FC0C1E" w:rsidRPr="006A451F" w14:paraId="2EF3F923"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011B3228" w14:textId="77777777" w:rsidR="00FC0C1E" w:rsidRPr="006A451F" w:rsidRDefault="00FC0C1E" w:rsidP="00FC0C1E">
            <w:pPr>
              <w:rPr>
                <w:rFonts w:ascii="Arial" w:hAnsi="Arial" w:cs="Arial"/>
                <w:sz w:val="16"/>
                <w:szCs w:val="16"/>
                <w:lang w:eastAsia="es-AR"/>
              </w:rPr>
            </w:pPr>
            <w:r w:rsidRPr="006A451F">
              <w:rPr>
                <w:rFonts w:ascii="Arial" w:hAnsi="Arial" w:cs="Arial"/>
                <w:sz w:val="16"/>
                <w:szCs w:val="16"/>
                <w:lang w:eastAsia="es-AR"/>
              </w:rPr>
              <w:t>Resultado de obligaciones negociables emitidas</w:t>
            </w:r>
          </w:p>
        </w:tc>
        <w:tc>
          <w:tcPr>
            <w:tcW w:w="1478" w:type="dxa"/>
            <w:tcBorders>
              <w:top w:val="nil"/>
              <w:left w:val="nil"/>
              <w:bottom w:val="nil"/>
              <w:right w:val="nil"/>
            </w:tcBorders>
            <w:shd w:val="clear" w:color="auto" w:fill="auto"/>
          </w:tcPr>
          <w:p w14:paraId="0B5FD21F" w14:textId="77777777" w:rsidR="00FC0C1E" w:rsidRPr="006A451F" w:rsidRDefault="00FC0C1E" w:rsidP="00FC0C1E">
            <w:pPr>
              <w:jc w:val="right"/>
              <w:rPr>
                <w:rFonts w:ascii="Arial" w:hAnsi="Arial" w:cs="Arial"/>
                <w:sz w:val="16"/>
                <w:szCs w:val="16"/>
                <w:lang w:eastAsia="es-AR"/>
              </w:rPr>
            </w:pPr>
          </w:p>
        </w:tc>
        <w:tc>
          <w:tcPr>
            <w:tcW w:w="1216" w:type="dxa"/>
            <w:gridSpan w:val="2"/>
            <w:tcBorders>
              <w:top w:val="nil"/>
              <w:left w:val="nil"/>
              <w:bottom w:val="nil"/>
              <w:right w:val="nil"/>
            </w:tcBorders>
            <w:shd w:val="clear" w:color="auto" w:fill="auto"/>
          </w:tcPr>
          <w:p w14:paraId="760C9B78" w14:textId="77777777" w:rsidR="00FC0C1E" w:rsidRPr="006E1AF7" w:rsidRDefault="00FC0C1E" w:rsidP="00FC0C1E">
            <w:pPr>
              <w:jc w:val="right"/>
              <w:rPr>
                <w:rFonts w:ascii="Arial" w:hAnsi="Arial" w:cs="Arial"/>
                <w:sz w:val="16"/>
                <w:szCs w:val="16"/>
                <w:lang w:eastAsia="es-AR"/>
              </w:rPr>
            </w:pPr>
          </w:p>
        </w:tc>
        <w:tc>
          <w:tcPr>
            <w:tcW w:w="889" w:type="dxa"/>
            <w:tcBorders>
              <w:top w:val="nil"/>
              <w:left w:val="nil"/>
              <w:bottom w:val="nil"/>
              <w:right w:val="nil"/>
            </w:tcBorders>
            <w:shd w:val="clear" w:color="auto" w:fill="auto"/>
          </w:tcPr>
          <w:p w14:paraId="5CB53660" w14:textId="77777777" w:rsidR="00FC0C1E" w:rsidRPr="006E1AF7" w:rsidRDefault="00FC0C1E" w:rsidP="00FC0C1E">
            <w:pPr>
              <w:jc w:val="right"/>
              <w:rPr>
                <w:rFonts w:ascii="Arial" w:hAnsi="Arial" w:cs="Arial"/>
                <w:sz w:val="16"/>
                <w:szCs w:val="16"/>
                <w:lang w:eastAsia="es-AR"/>
              </w:rPr>
            </w:pPr>
          </w:p>
        </w:tc>
      </w:tr>
      <w:tr w:rsidR="00FC0C1E" w:rsidRPr="006A451F" w14:paraId="5B4BF070" w14:textId="77777777" w:rsidTr="00C7765D">
        <w:trPr>
          <w:gridAfter w:val="1"/>
          <w:wAfter w:w="272" w:type="dxa"/>
          <w:trHeight w:val="255"/>
        </w:trPr>
        <w:tc>
          <w:tcPr>
            <w:tcW w:w="5665" w:type="dxa"/>
            <w:tcBorders>
              <w:top w:val="nil"/>
              <w:left w:val="nil"/>
              <w:bottom w:val="nil"/>
              <w:right w:val="nil"/>
            </w:tcBorders>
            <w:shd w:val="clear" w:color="auto" w:fill="auto"/>
            <w:hideMark/>
          </w:tcPr>
          <w:p w14:paraId="60A97BA5" w14:textId="77777777" w:rsidR="00FC0C1E" w:rsidRPr="006A451F" w:rsidRDefault="00FC0C1E" w:rsidP="00FC0C1E">
            <w:pPr>
              <w:rPr>
                <w:rFonts w:ascii="Arial" w:hAnsi="Arial" w:cs="Arial"/>
                <w:sz w:val="16"/>
                <w:szCs w:val="16"/>
                <w:lang w:eastAsia="es-AR"/>
              </w:rPr>
            </w:pPr>
            <w:r w:rsidRPr="006A451F">
              <w:rPr>
                <w:rFonts w:ascii="Arial" w:hAnsi="Arial" w:cs="Arial"/>
                <w:sz w:val="16"/>
                <w:szCs w:val="16"/>
                <w:lang w:eastAsia="es-AR"/>
              </w:rPr>
              <w:t>Resultado de obligaciones negociables subordinadas</w:t>
            </w:r>
          </w:p>
        </w:tc>
        <w:tc>
          <w:tcPr>
            <w:tcW w:w="1478" w:type="dxa"/>
            <w:tcBorders>
              <w:top w:val="nil"/>
              <w:left w:val="nil"/>
              <w:bottom w:val="nil"/>
              <w:right w:val="nil"/>
            </w:tcBorders>
            <w:shd w:val="clear" w:color="auto" w:fill="auto"/>
            <w:hideMark/>
          </w:tcPr>
          <w:p w14:paraId="60F9512A" w14:textId="77777777" w:rsidR="00FC0C1E" w:rsidRPr="006A451F" w:rsidRDefault="00FC0C1E" w:rsidP="00FC0C1E">
            <w:pPr>
              <w:rPr>
                <w:rFonts w:ascii="Arial" w:hAnsi="Arial" w:cs="Arial"/>
                <w:sz w:val="16"/>
                <w:szCs w:val="16"/>
                <w:lang w:eastAsia="es-AR"/>
              </w:rPr>
            </w:pPr>
          </w:p>
        </w:tc>
        <w:tc>
          <w:tcPr>
            <w:tcW w:w="1216" w:type="dxa"/>
            <w:gridSpan w:val="2"/>
            <w:tcBorders>
              <w:top w:val="nil"/>
              <w:left w:val="nil"/>
              <w:bottom w:val="nil"/>
              <w:right w:val="nil"/>
            </w:tcBorders>
            <w:shd w:val="clear" w:color="auto" w:fill="auto"/>
            <w:hideMark/>
          </w:tcPr>
          <w:p w14:paraId="57ABAB7F" w14:textId="77777777" w:rsidR="00FC0C1E" w:rsidRPr="006E1AF7" w:rsidRDefault="00FC0C1E" w:rsidP="00FC0C1E">
            <w:pPr>
              <w:rPr>
                <w:rFonts w:ascii="Arial" w:hAnsi="Arial" w:cs="Arial"/>
                <w:sz w:val="16"/>
                <w:szCs w:val="16"/>
                <w:lang w:eastAsia="es-AR"/>
              </w:rPr>
            </w:pPr>
          </w:p>
        </w:tc>
        <w:tc>
          <w:tcPr>
            <w:tcW w:w="889" w:type="dxa"/>
            <w:tcBorders>
              <w:top w:val="nil"/>
              <w:left w:val="nil"/>
              <w:bottom w:val="nil"/>
              <w:right w:val="nil"/>
            </w:tcBorders>
            <w:shd w:val="clear" w:color="auto" w:fill="auto"/>
            <w:hideMark/>
          </w:tcPr>
          <w:p w14:paraId="6FDF0EE9" w14:textId="77777777" w:rsidR="00FC0C1E" w:rsidRPr="006E1AF7" w:rsidRDefault="00FC0C1E" w:rsidP="00FC0C1E">
            <w:pPr>
              <w:rPr>
                <w:rFonts w:ascii="Arial" w:hAnsi="Arial" w:cs="Arial"/>
                <w:sz w:val="16"/>
                <w:szCs w:val="16"/>
                <w:lang w:eastAsia="es-AR"/>
              </w:rPr>
            </w:pPr>
          </w:p>
        </w:tc>
      </w:tr>
      <w:tr w:rsidR="00FC0C1E" w:rsidRPr="006A451F" w14:paraId="705ADD63" w14:textId="77777777" w:rsidTr="00C7765D">
        <w:trPr>
          <w:gridAfter w:val="1"/>
          <w:wAfter w:w="272" w:type="dxa"/>
          <w:trHeight w:val="80"/>
        </w:trPr>
        <w:tc>
          <w:tcPr>
            <w:tcW w:w="5665" w:type="dxa"/>
            <w:tcBorders>
              <w:top w:val="nil"/>
              <w:left w:val="nil"/>
              <w:bottom w:val="nil"/>
              <w:right w:val="nil"/>
            </w:tcBorders>
            <w:shd w:val="clear" w:color="auto" w:fill="auto"/>
            <w:hideMark/>
          </w:tcPr>
          <w:p w14:paraId="0B53D2D4" w14:textId="77777777" w:rsidR="00FC0C1E" w:rsidRPr="006A451F" w:rsidRDefault="00FC0C1E" w:rsidP="00FC0C1E">
            <w:pPr>
              <w:rPr>
                <w:sz w:val="16"/>
                <w:szCs w:val="16"/>
                <w:lang w:eastAsia="es-AR"/>
              </w:rPr>
            </w:pPr>
          </w:p>
        </w:tc>
        <w:tc>
          <w:tcPr>
            <w:tcW w:w="1478" w:type="dxa"/>
            <w:tcBorders>
              <w:top w:val="nil"/>
              <w:left w:val="nil"/>
              <w:bottom w:val="nil"/>
              <w:right w:val="nil"/>
            </w:tcBorders>
            <w:shd w:val="clear" w:color="auto" w:fill="auto"/>
            <w:hideMark/>
          </w:tcPr>
          <w:p w14:paraId="29CBD633" w14:textId="77777777" w:rsidR="00FC0C1E" w:rsidRPr="006A451F" w:rsidRDefault="00FC0C1E" w:rsidP="00FC0C1E">
            <w:pPr>
              <w:rPr>
                <w:sz w:val="16"/>
                <w:szCs w:val="16"/>
                <w:lang w:eastAsia="es-AR"/>
              </w:rPr>
            </w:pPr>
          </w:p>
        </w:tc>
        <w:tc>
          <w:tcPr>
            <w:tcW w:w="1216" w:type="dxa"/>
            <w:gridSpan w:val="2"/>
            <w:tcBorders>
              <w:top w:val="nil"/>
              <w:left w:val="nil"/>
              <w:bottom w:val="nil"/>
              <w:right w:val="nil"/>
            </w:tcBorders>
            <w:shd w:val="clear" w:color="auto" w:fill="auto"/>
            <w:hideMark/>
          </w:tcPr>
          <w:p w14:paraId="0BE52B70" w14:textId="77777777" w:rsidR="00FC0C1E" w:rsidRPr="006E1AF7" w:rsidRDefault="00FC0C1E" w:rsidP="00FC0C1E">
            <w:pPr>
              <w:rPr>
                <w:rFonts w:ascii="Arial" w:hAnsi="Arial" w:cs="Arial"/>
                <w:sz w:val="16"/>
                <w:szCs w:val="16"/>
                <w:lang w:eastAsia="es-AR"/>
              </w:rPr>
            </w:pPr>
          </w:p>
        </w:tc>
        <w:tc>
          <w:tcPr>
            <w:tcW w:w="889" w:type="dxa"/>
            <w:tcBorders>
              <w:top w:val="nil"/>
              <w:left w:val="nil"/>
              <w:bottom w:val="nil"/>
              <w:right w:val="nil"/>
            </w:tcBorders>
            <w:shd w:val="clear" w:color="auto" w:fill="auto"/>
            <w:hideMark/>
          </w:tcPr>
          <w:p w14:paraId="71C0110C" w14:textId="77777777" w:rsidR="00FC0C1E" w:rsidRPr="006E1AF7" w:rsidRDefault="00FC0C1E" w:rsidP="00FC0C1E">
            <w:pPr>
              <w:rPr>
                <w:rFonts w:ascii="Arial" w:hAnsi="Arial" w:cs="Arial"/>
                <w:sz w:val="16"/>
                <w:szCs w:val="16"/>
                <w:lang w:eastAsia="es-AR"/>
              </w:rPr>
            </w:pPr>
          </w:p>
        </w:tc>
      </w:tr>
      <w:tr w:rsidR="00FC0C1E" w:rsidRPr="006A451F" w14:paraId="1475A212" w14:textId="77777777" w:rsidTr="006E1AF7">
        <w:trPr>
          <w:gridAfter w:val="1"/>
          <w:wAfter w:w="272" w:type="dxa"/>
          <w:trHeight w:val="255"/>
        </w:trPr>
        <w:tc>
          <w:tcPr>
            <w:tcW w:w="5665" w:type="dxa"/>
            <w:tcBorders>
              <w:top w:val="nil"/>
              <w:left w:val="nil"/>
              <w:bottom w:val="nil"/>
              <w:right w:val="nil"/>
            </w:tcBorders>
            <w:shd w:val="clear" w:color="auto" w:fill="auto"/>
            <w:hideMark/>
          </w:tcPr>
          <w:p w14:paraId="68EC0BAF" w14:textId="77777777" w:rsidR="00FC0C1E" w:rsidRPr="006A451F" w:rsidRDefault="00FC0C1E" w:rsidP="00FC0C1E">
            <w:pPr>
              <w:rPr>
                <w:rFonts w:ascii="Arial" w:hAnsi="Arial" w:cs="Arial"/>
                <w:b/>
                <w:bCs/>
                <w:sz w:val="16"/>
                <w:szCs w:val="16"/>
                <w:lang w:eastAsia="es-AR"/>
              </w:rPr>
            </w:pPr>
            <w:r w:rsidRPr="006A451F">
              <w:rPr>
                <w:rFonts w:ascii="Arial" w:hAnsi="Arial" w:cs="Arial"/>
                <w:b/>
                <w:bCs/>
                <w:sz w:val="16"/>
                <w:szCs w:val="16"/>
                <w:lang w:eastAsia="es-AR"/>
              </w:rPr>
              <w:t>TOTAL</w:t>
            </w:r>
          </w:p>
        </w:tc>
        <w:tc>
          <w:tcPr>
            <w:tcW w:w="1478" w:type="dxa"/>
            <w:tcBorders>
              <w:top w:val="single" w:sz="4" w:space="0" w:color="auto"/>
              <w:left w:val="nil"/>
              <w:bottom w:val="single" w:sz="4" w:space="0" w:color="auto"/>
              <w:right w:val="nil"/>
            </w:tcBorders>
            <w:shd w:val="clear" w:color="auto" w:fill="auto"/>
          </w:tcPr>
          <w:p w14:paraId="428927FE" w14:textId="77777777" w:rsidR="00FC0C1E" w:rsidRPr="00FC0C1E" w:rsidRDefault="00FC0C1E" w:rsidP="00FC0C1E">
            <w:pPr>
              <w:rPr>
                <w:sz w:val="16"/>
                <w:szCs w:val="16"/>
                <w:lang w:eastAsia="es-AR"/>
              </w:rPr>
            </w:pPr>
          </w:p>
        </w:tc>
        <w:tc>
          <w:tcPr>
            <w:tcW w:w="1216" w:type="dxa"/>
            <w:gridSpan w:val="2"/>
            <w:tcBorders>
              <w:top w:val="single" w:sz="4" w:space="0" w:color="auto"/>
              <w:left w:val="nil"/>
              <w:bottom w:val="single" w:sz="4" w:space="0" w:color="auto"/>
              <w:right w:val="nil"/>
            </w:tcBorders>
            <w:shd w:val="clear" w:color="auto" w:fill="auto"/>
            <w:vAlign w:val="center"/>
          </w:tcPr>
          <w:p w14:paraId="22D018F0" w14:textId="1653044F" w:rsidR="00FC0C1E" w:rsidRPr="006E1AF7" w:rsidRDefault="00FC0C1E">
            <w:pPr>
              <w:jc w:val="right"/>
              <w:rPr>
                <w:rFonts w:ascii="Arial" w:hAnsi="Arial" w:cs="Arial"/>
                <w:b/>
                <w:sz w:val="16"/>
                <w:szCs w:val="16"/>
                <w:lang w:eastAsia="es-AR"/>
              </w:rPr>
            </w:pPr>
            <w:r w:rsidRPr="006E1AF7">
              <w:rPr>
                <w:rFonts w:ascii="Arial" w:hAnsi="Arial" w:cs="Arial"/>
                <w:b/>
                <w:sz w:val="16"/>
                <w:szCs w:val="16"/>
                <w:lang w:eastAsia="es-AR"/>
              </w:rPr>
              <w:t>15.920.233</w:t>
            </w:r>
          </w:p>
        </w:tc>
        <w:tc>
          <w:tcPr>
            <w:tcW w:w="889" w:type="dxa"/>
            <w:tcBorders>
              <w:top w:val="single" w:sz="4" w:space="0" w:color="auto"/>
              <w:left w:val="nil"/>
              <w:bottom w:val="single" w:sz="4" w:space="0" w:color="auto"/>
              <w:right w:val="nil"/>
            </w:tcBorders>
            <w:shd w:val="clear" w:color="auto" w:fill="auto"/>
            <w:vAlign w:val="center"/>
          </w:tcPr>
          <w:p w14:paraId="2459649D" w14:textId="0DD44F92" w:rsidR="00FC0C1E" w:rsidRPr="006E1AF7" w:rsidRDefault="00FC0C1E">
            <w:pPr>
              <w:jc w:val="right"/>
              <w:rPr>
                <w:rFonts w:ascii="Arial" w:hAnsi="Arial" w:cs="Arial"/>
                <w:b/>
                <w:sz w:val="16"/>
                <w:szCs w:val="16"/>
                <w:lang w:eastAsia="es-AR"/>
              </w:rPr>
            </w:pPr>
            <w:r w:rsidRPr="006E1AF7">
              <w:rPr>
                <w:rFonts w:ascii="Arial" w:hAnsi="Arial" w:cs="Arial"/>
                <w:b/>
                <w:sz w:val="16"/>
                <w:szCs w:val="16"/>
                <w:lang w:eastAsia="es-AR"/>
              </w:rPr>
              <w:t>10.32</w:t>
            </w:r>
            <w:r w:rsidR="0042374A">
              <w:rPr>
                <w:rFonts w:ascii="Arial" w:hAnsi="Arial" w:cs="Arial"/>
                <w:b/>
                <w:sz w:val="16"/>
                <w:szCs w:val="16"/>
                <w:lang w:eastAsia="es-AR"/>
              </w:rPr>
              <w:t>2</w:t>
            </w:r>
          </w:p>
        </w:tc>
      </w:tr>
      <w:tr w:rsidR="00FC0C1E" w:rsidRPr="006A451F" w14:paraId="0C04B8E6" w14:textId="77777777" w:rsidTr="00C7765D">
        <w:trPr>
          <w:trHeight w:val="401"/>
        </w:trPr>
        <w:tc>
          <w:tcPr>
            <w:tcW w:w="7260" w:type="dxa"/>
            <w:gridSpan w:val="3"/>
            <w:tcBorders>
              <w:top w:val="single" w:sz="4" w:space="0" w:color="363639"/>
              <w:left w:val="single" w:sz="4" w:space="0" w:color="363639"/>
              <w:bottom w:val="single" w:sz="4" w:space="0" w:color="363639"/>
              <w:right w:val="single" w:sz="4" w:space="0" w:color="363639"/>
            </w:tcBorders>
            <w:shd w:val="clear" w:color="000000" w:fill="B2B2B2"/>
            <w:hideMark/>
          </w:tcPr>
          <w:p w14:paraId="1A8507DD" w14:textId="77777777" w:rsidR="00FC0C1E" w:rsidRPr="006A451F" w:rsidRDefault="00FC0C1E" w:rsidP="00FC0C1E">
            <w:pPr>
              <w:rPr>
                <w:rFonts w:ascii="Arial" w:hAnsi="Arial" w:cs="Arial"/>
                <w:b/>
                <w:bCs/>
                <w:sz w:val="16"/>
                <w:szCs w:val="16"/>
                <w:lang w:eastAsia="es-AR"/>
              </w:rPr>
            </w:pPr>
            <w:r w:rsidRPr="006A451F">
              <w:rPr>
                <w:rFonts w:ascii="Arial" w:hAnsi="Arial" w:cs="Arial"/>
                <w:b/>
                <w:bCs/>
                <w:sz w:val="16"/>
                <w:szCs w:val="16"/>
                <w:lang w:eastAsia="es-AR"/>
              </w:rPr>
              <w:t>Intereses y ajustes por aplicación de tasa de interés efectiva de activos financieros medidos a costo amortizado</w:t>
            </w:r>
          </w:p>
        </w:tc>
        <w:tc>
          <w:tcPr>
            <w:tcW w:w="2260" w:type="dxa"/>
            <w:gridSpan w:val="3"/>
            <w:tcBorders>
              <w:top w:val="single" w:sz="4" w:space="0" w:color="363639"/>
              <w:left w:val="nil"/>
              <w:bottom w:val="single" w:sz="4" w:space="0" w:color="363639"/>
              <w:right w:val="single" w:sz="4" w:space="0" w:color="363639"/>
            </w:tcBorders>
            <w:shd w:val="clear" w:color="000000" w:fill="B2B2B2"/>
            <w:hideMark/>
          </w:tcPr>
          <w:p w14:paraId="7C8B6DEB" w14:textId="77777777" w:rsidR="00FC0C1E" w:rsidRPr="006A451F" w:rsidRDefault="00FC0C1E" w:rsidP="00FC0C1E">
            <w:pPr>
              <w:jc w:val="center"/>
              <w:rPr>
                <w:rFonts w:ascii="Arial" w:hAnsi="Arial" w:cs="Arial"/>
                <w:b/>
                <w:bCs/>
                <w:sz w:val="16"/>
                <w:szCs w:val="16"/>
                <w:lang w:eastAsia="es-AR"/>
              </w:rPr>
            </w:pPr>
            <w:r w:rsidRPr="006A451F">
              <w:rPr>
                <w:rFonts w:ascii="Arial" w:hAnsi="Arial" w:cs="Arial"/>
                <w:b/>
                <w:bCs/>
                <w:sz w:val="16"/>
                <w:szCs w:val="16"/>
                <w:lang w:eastAsia="es-AR"/>
              </w:rPr>
              <w:t>Ingreso/(Egreso) Financiero</w:t>
            </w:r>
          </w:p>
        </w:tc>
      </w:tr>
      <w:tr w:rsidR="00FC0C1E" w:rsidRPr="006A451F" w14:paraId="7E749049" w14:textId="77777777" w:rsidTr="00C7765D">
        <w:trPr>
          <w:trHeight w:val="255"/>
        </w:trPr>
        <w:tc>
          <w:tcPr>
            <w:tcW w:w="7260" w:type="dxa"/>
            <w:gridSpan w:val="3"/>
            <w:tcBorders>
              <w:top w:val="nil"/>
              <w:left w:val="nil"/>
              <w:bottom w:val="nil"/>
              <w:right w:val="nil"/>
            </w:tcBorders>
            <w:shd w:val="clear" w:color="auto" w:fill="auto"/>
            <w:hideMark/>
          </w:tcPr>
          <w:p w14:paraId="2C361205" w14:textId="77777777" w:rsidR="00FC0C1E" w:rsidRPr="006A451F" w:rsidRDefault="00FC0C1E" w:rsidP="00FC0C1E">
            <w:pPr>
              <w:rPr>
                <w:rFonts w:ascii="Arial" w:hAnsi="Arial" w:cs="Arial"/>
                <w:b/>
                <w:bCs/>
                <w:sz w:val="16"/>
                <w:szCs w:val="16"/>
                <w:lang w:eastAsia="es-AR"/>
              </w:rPr>
            </w:pPr>
            <w:r w:rsidRPr="006A451F">
              <w:rPr>
                <w:rFonts w:ascii="Arial" w:hAnsi="Arial" w:cs="Arial"/>
                <w:b/>
                <w:bCs/>
                <w:sz w:val="16"/>
                <w:szCs w:val="16"/>
                <w:lang w:eastAsia="es-AR"/>
              </w:rPr>
              <w:t> </w:t>
            </w:r>
          </w:p>
        </w:tc>
        <w:tc>
          <w:tcPr>
            <w:tcW w:w="2260" w:type="dxa"/>
            <w:gridSpan w:val="3"/>
            <w:tcBorders>
              <w:top w:val="nil"/>
              <w:left w:val="nil"/>
              <w:bottom w:val="nil"/>
              <w:right w:val="nil"/>
            </w:tcBorders>
            <w:shd w:val="clear" w:color="auto" w:fill="auto"/>
            <w:hideMark/>
          </w:tcPr>
          <w:p w14:paraId="315E01B7" w14:textId="77777777" w:rsidR="00FC0C1E" w:rsidRPr="006A451F" w:rsidRDefault="00FC0C1E" w:rsidP="00FC0C1E">
            <w:pPr>
              <w:ind w:firstLineChars="200" w:firstLine="321"/>
              <w:rPr>
                <w:rFonts w:ascii="Arial" w:hAnsi="Arial" w:cs="Arial"/>
                <w:b/>
                <w:bCs/>
                <w:sz w:val="16"/>
                <w:szCs w:val="16"/>
                <w:lang w:eastAsia="es-AR"/>
              </w:rPr>
            </w:pPr>
            <w:r w:rsidRPr="006A451F">
              <w:rPr>
                <w:rFonts w:ascii="Arial" w:hAnsi="Arial" w:cs="Arial"/>
                <w:b/>
                <w:bCs/>
                <w:sz w:val="16"/>
                <w:szCs w:val="16"/>
                <w:lang w:eastAsia="es-AR"/>
              </w:rPr>
              <w:t> </w:t>
            </w:r>
          </w:p>
        </w:tc>
      </w:tr>
      <w:tr w:rsidR="00FC0C1E" w:rsidRPr="006A451F" w14:paraId="1CEAE8B4" w14:textId="77777777" w:rsidTr="00C7765D">
        <w:trPr>
          <w:trHeight w:val="259"/>
        </w:trPr>
        <w:tc>
          <w:tcPr>
            <w:tcW w:w="7260" w:type="dxa"/>
            <w:gridSpan w:val="3"/>
            <w:tcBorders>
              <w:top w:val="nil"/>
              <w:left w:val="nil"/>
              <w:bottom w:val="nil"/>
              <w:right w:val="nil"/>
            </w:tcBorders>
            <w:shd w:val="clear" w:color="auto" w:fill="auto"/>
            <w:hideMark/>
          </w:tcPr>
          <w:p w14:paraId="58D0334F" w14:textId="77777777" w:rsidR="00FC0C1E" w:rsidRPr="006A451F" w:rsidRDefault="00FC0C1E" w:rsidP="00FC0C1E">
            <w:pPr>
              <w:rPr>
                <w:rFonts w:ascii="Arial" w:hAnsi="Arial" w:cs="Arial"/>
                <w:b/>
                <w:bCs/>
                <w:sz w:val="16"/>
                <w:szCs w:val="16"/>
                <w:lang w:eastAsia="es-AR"/>
              </w:rPr>
            </w:pPr>
            <w:r w:rsidRPr="006A451F">
              <w:rPr>
                <w:rFonts w:ascii="Arial" w:hAnsi="Arial" w:cs="Arial"/>
                <w:b/>
                <w:bCs/>
                <w:sz w:val="16"/>
                <w:szCs w:val="16"/>
                <w:lang w:eastAsia="es-AR"/>
              </w:rPr>
              <w:t>Ingresos por intereses</w:t>
            </w:r>
          </w:p>
        </w:tc>
        <w:tc>
          <w:tcPr>
            <w:tcW w:w="2260" w:type="dxa"/>
            <w:gridSpan w:val="3"/>
            <w:tcBorders>
              <w:top w:val="nil"/>
              <w:left w:val="nil"/>
              <w:bottom w:val="nil"/>
              <w:right w:val="nil"/>
            </w:tcBorders>
            <w:shd w:val="clear" w:color="auto" w:fill="auto"/>
            <w:hideMark/>
          </w:tcPr>
          <w:p w14:paraId="464D4207" w14:textId="77777777" w:rsidR="00FC0C1E" w:rsidRPr="006A451F" w:rsidRDefault="00FC0C1E" w:rsidP="00FC0C1E">
            <w:pPr>
              <w:rPr>
                <w:rFonts w:ascii="Arial" w:hAnsi="Arial" w:cs="Arial"/>
                <w:b/>
                <w:bCs/>
                <w:sz w:val="16"/>
                <w:szCs w:val="16"/>
                <w:lang w:eastAsia="es-AR"/>
              </w:rPr>
            </w:pPr>
          </w:p>
        </w:tc>
      </w:tr>
      <w:tr w:rsidR="00386077" w:rsidRPr="006A451F" w14:paraId="5CECF405" w14:textId="77777777" w:rsidTr="00386077">
        <w:trPr>
          <w:trHeight w:val="259"/>
        </w:trPr>
        <w:tc>
          <w:tcPr>
            <w:tcW w:w="7260" w:type="dxa"/>
            <w:gridSpan w:val="3"/>
            <w:tcBorders>
              <w:top w:val="nil"/>
              <w:left w:val="nil"/>
              <w:bottom w:val="nil"/>
              <w:right w:val="nil"/>
            </w:tcBorders>
            <w:shd w:val="clear" w:color="auto" w:fill="auto"/>
            <w:hideMark/>
          </w:tcPr>
          <w:p w14:paraId="7AEDF2EA"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Por efectivo y depósitos en bancos </w:t>
            </w:r>
          </w:p>
        </w:tc>
        <w:tc>
          <w:tcPr>
            <w:tcW w:w="2260" w:type="dxa"/>
            <w:gridSpan w:val="3"/>
            <w:tcBorders>
              <w:top w:val="nil"/>
              <w:left w:val="nil"/>
              <w:bottom w:val="nil"/>
              <w:right w:val="nil"/>
            </w:tcBorders>
            <w:shd w:val="clear" w:color="auto" w:fill="auto"/>
          </w:tcPr>
          <w:p w14:paraId="158CFDB0" w14:textId="4FA4FF58"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2.749</w:t>
            </w:r>
          </w:p>
        </w:tc>
      </w:tr>
      <w:tr w:rsidR="00386077" w:rsidRPr="006A451F" w14:paraId="5DFBE2F6" w14:textId="77777777" w:rsidTr="00386077">
        <w:trPr>
          <w:trHeight w:val="259"/>
        </w:trPr>
        <w:tc>
          <w:tcPr>
            <w:tcW w:w="7260" w:type="dxa"/>
            <w:gridSpan w:val="3"/>
            <w:tcBorders>
              <w:top w:val="nil"/>
              <w:left w:val="nil"/>
              <w:bottom w:val="nil"/>
              <w:right w:val="nil"/>
            </w:tcBorders>
            <w:shd w:val="clear" w:color="auto" w:fill="auto"/>
            <w:hideMark/>
          </w:tcPr>
          <w:p w14:paraId="095A4EAB"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Por títulos privados </w:t>
            </w:r>
          </w:p>
        </w:tc>
        <w:tc>
          <w:tcPr>
            <w:tcW w:w="2260" w:type="dxa"/>
            <w:gridSpan w:val="3"/>
            <w:tcBorders>
              <w:top w:val="nil"/>
              <w:left w:val="nil"/>
              <w:bottom w:val="nil"/>
              <w:right w:val="nil"/>
            </w:tcBorders>
            <w:shd w:val="clear" w:color="auto" w:fill="auto"/>
          </w:tcPr>
          <w:p w14:paraId="6888AA58" w14:textId="07E4BB1F"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192.894</w:t>
            </w:r>
          </w:p>
        </w:tc>
      </w:tr>
      <w:tr w:rsidR="00386077" w:rsidRPr="006A451F" w14:paraId="0E0BBD4D" w14:textId="77777777" w:rsidTr="00386077">
        <w:trPr>
          <w:trHeight w:val="259"/>
        </w:trPr>
        <w:tc>
          <w:tcPr>
            <w:tcW w:w="7260" w:type="dxa"/>
            <w:gridSpan w:val="3"/>
            <w:tcBorders>
              <w:top w:val="nil"/>
              <w:left w:val="nil"/>
              <w:bottom w:val="nil"/>
              <w:right w:val="nil"/>
            </w:tcBorders>
            <w:shd w:val="clear" w:color="auto" w:fill="auto"/>
            <w:hideMark/>
          </w:tcPr>
          <w:p w14:paraId="233ECDE9"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Por títulos públicos </w:t>
            </w:r>
          </w:p>
        </w:tc>
        <w:tc>
          <w:tcPr>
            <w:tcW w:w="2260" w:type="dxa"/>
            <w:gridSpan w:val="3"/>
            <w:tcBorders>
              <w:top w:val="nil"/>
              <w:left w:val="nil"/>
              <w:bottom w:val="nil"/>
              <w:right w:val="nil"/>
            </w:tcBorders>
            <w:shd w:val="clear" w:color="auto" w:fill="auto"/>
          </w:tcPr>
          <w:p w14:paraId="3B6E359E" w14:textId="6CEB5A2B"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1.964.708</w:t>
            </w:r>
          </w:p>
        </w:tc>
      </w:tr>
      <w:tr w:rsidR="00386077" w:rsidRPr="006A451F" w14:paraId="55990F43" w14:textId="77777777" w:rsidTr="00386077">
        <w:trPr>
          <w:trHeight w:val="259"/>
        </w:trPr>
        <w:tc>
          <w:tcPr>
            <w:tcW w:w="7260" w:type="dxa"/>
            <w:gridSpan w:val="3"/>
            <w:tcBorders>
              <w:top w:val="nil"/>
              <w:left w:val="nil"/>
              <w:bottom w:val="nil"/>
              <w:right w:val="nil"/>
            </w:tcBorders>
            <w:shd w:val="clear" w:color="auto" w:fill="auto"/>
            <w:hideMark/>
          </w:tcPr>
          <w:p w14:paraId="7369F0B6"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Por otros activos financieros </w:t>
            </w:r>
          </w:p>
        </w:tc>
        <w:tc>
          <w:tcPr>
            <w:tcW w:w="2260" w:type="dxa"/>
            <w:gridSpan w:val="3"/>
            <w:tcBorders>
              <w:top w:val="nil"/>
              <w:left w:val="nil"/>
              <w:bottom w:val="nil"/>
              <w:right w:val="nil"/>
            </w:tcBorders>
            <w:shd w:val="clear" w:color="auto" w:fill="auto"/>
          </w:tcPr>
          <w:p w14:paraId="424469BB" w14:textId="1BEF0F85"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6.319</w:t>
            </w:r>
          </w:p>
        </w:tc>
      </w:tr>
      <w:tr w:rsidR="00386077" w:rsidRPr="006A451F" w14:paraId="12D2DFEF" w14:textId="77777777" w:rsidTr="00386077">
        <w:trPr>
          <w:trHeight w:val="259"/>
        </w:trPr>
        <w:tc>
          <w:tcPr>
            <w:tcW w:w="7260" w:type="dxa"/>
            <w:gridSpan w:val="3"/>
            <w:tcBorders>
              <w:top w:val="nil"/>
              <w:left w:val="nil"/>
              <w:bottom w:val="nil"/>
              <w:right w:val="nil"/>
            </w:tcBorders>
            <w:shd w:val="clear" w:color="auto" w:fill="auto"/>
            <w:hideMark/>
          </w:tcPr>
          <w:p w14:paraId="6BEB5F7E"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Por préstamos y otras financiaciones </w:t>
            </w:r>
          </w:p>
        </w:tc>
        <w:tc>
          <w:tcPr>
            <w:tcW w:w="2260" w:type="dxa"/>
            <w:gridSpan w:val="3"/>
            <w:tcBorders>
              <w:top w:val="nil"/>
              <w:left w:val="nil"/>
              <w:bottom w:val="nil"/>
              <w:right w:val="nil"/>
            </w:tcBorders>
            <w:shd w:val="clear" w:color="auto" w:fill="auto"/>
          </w:tcPr>
          <w:p w14:paraId="3FBB6307" w14:textId="77777777" w:rsidR="00386077" w:rsidRPr="00386077" w:rsidRDefault="00386077" w:rsidP="00386077">
            <w:pPr>
              <w:rPr>
                <w:rFonts w:ascii="Arial" w:hAnsi="Arial" w:cs="Arial"/>
                <w:sz w:val="16"/>
                <w:szCs w:val="16"/>
                <w:lang w:eastAsia="es-AR"/>
              </w:rPr>
            </w:pPr>
          </w:p>
        </w:tc>
      </w:tr>
      <w:tr w:rsidR="00386077" w:rsidRPr="006A451F" w14:paraId="7128C568" w14:textId="77777777" w:rsidTr="00386077">
        <w:trPr>
          <w:trHeight w:val="259"/>
        </w:trPr>
        <w:tc>
          <w:tcPr>
            <w:tcW w:w="7260" w:type="dxa"/>
            <w:gridSpan w:val="3"/>
            <w:tcBorders>
              <w:top w:val="nil"/>
              <w:left w:val="nil"/>
              <w:bottom w:val="nil"/>
              <w:right w:val="nil"/>
            </w:tcBorders>
            <w:shd w:val="clear" w:color="auto" w:fill="auto"/>
            <w:hideMark/>
          </w:tcPr>
          <w:p w14:paraId="3EE585E0" w14:textId="77777777" w:rsidR="00386077" w:rsidRPr="006A451F" w:rsidRDefault="00386077" w:rsidP="00386077">
            <w:pPr>
              <w:ind w:firstLineChars="400" w:firstLine="640"/>
              <w:rPr>
                <w:rFonts w:ascii="Arial" w:hAnsi="Arial" w:cs="Arial"/>
                <w:sz w:val="16"/>
                <w:szCs w:val="16"/>
                <w:lang w:eastAsia="es-AR"/>
              </w:rPr>
            </w:pPr>
            <w:r w:rsidRPr="006A451F">
              <w:rPr>
                <w:rFonts w:ascii="Arial" w:hAnsi="Arial" w:cs="Arial"/>
                <w:sz w:val="16"/>
                <w:szCs w:val="16"/>
                <w:lang w:eastAsia="es-AR"/>
              </w:rPr>
              <w:t>Al Sector Financiero</w:t>
            </w:r>
          </w:p>
        </w:tc>
        <w:tc>
          <w:tcPr>
            <w:tcW w:w="2260" w:type="dxa"/>
            <w:gridSpan w:val="3"/>
            <w:tcBorders>
              <w:top w:val="nil"/>
              <w:left w:val="nil"/>
              <w:bottom w:val="nil"/>
              <w:right w:val="nil"/>
            </w:tcBorders>
            <w:shd w:val="clear" w:color="auto" w:fill="auto"/>
          </w:tcPr>
          <w:p w14:paraId="064DC91B" w14:textId="3D332A5F"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988.571</w:t>
            </w:r>
          </w:p>
        </w:tc>
      </w:tr>
      <w:tr w:rsidR="00386077" w:rsidRPr="006A451F" w14:paraId="4AF8ABF0" w14:textId="77777777" w:rsidTr="00386077">
        <w:trPr>
          <w:trHeight w:val="259"/>
        </w:trPr>
        <w:tc>
          <w:tcPr>
            <w:tcW w:w="7260" w:type="dxa"/>
            <w:gridSpan w:val="3"/>
            <w:tcBorders>
              <w:top w:val="nil"/>
              <w:left w:val="nil"/>
              <w:bottom w:val="nil"/>
              <w:right w:val="nil"/>
            </w:tcBorders>
            <w:shd w:val="clear" w:color="auto" w:fill="auto"/>
            <w:hideMark/>
          </w:tcPr>
          <w:p w14:paraId="442A1440" w14:textId="77777777" w:rsidR="00386077" w:rsidRPr="006A451F" w:rsidRDefault="00386077" w:rsidP="00386077">
            <w:pPr>
              <w:ind w:firstLineChars="400" w:firstLine="640"/>
              <w:rPr>
                <w:rFonts w:ascii="Arial" w:hAnsi="Arial" w:cs="Arial"/>
                <w:sz w:val="16"/>
                <w:szCs w:val="16"/>
                <w:lang w:eastAsia="es-AR"/>
              </w:rPr>
            </w:pPr>
            <w:r w:rsidRPr="006A451F">
              <w:rPr>
                <w:rFonts w:ascii="Arial" w:hAnsi="Arial" w:cs="Arial"/>
                <w:sz w:val="16"/>
                <w:szCs w:val="16"/>
                <w:lang w:eastAsia="es-AR"/>
              </w:rPr>
              <w:t>Adelantos</w:t>
            </w:r>
          </w:p>
        </w:tc>
        <w:tc>
          <w:tcPr>
            <w:tcW w:w="2260" w:type="dxa"/>
            <w:gridSpan w:val="3"/>
            <w:tcBorders>
              <w:top w:val="nil"/>
              <w:left w:val="nil"/>
              <w:bottom w:val="nil"/>
              <w:right w:val="nil"/>
            </w:tcBorders>
            <w:shd w:val="clear" w:color="auto" w:fill="auto"/>
          </w:tcPr>
          <w:p w14:paraId="1D57C3A1" w14:textId="6EED5C2B"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3.789.259</w:t>
            </w:r>
          </w:p>
        </w:tc>
      </w:tr>
      <w:tr w:rsidR="00386077" w:rsidRPr="006A451F" w14:paraId="3B0E9D10" w14:textId="77777777" w:rsidTr="00386077">
        <w:trPr>
          <w:trHeight w:val="259"/>
        </w:trPr>
        <w:tc>
          <w:tcPr>
            <w:tcW w:w="7260" w:type="dxa"/>
            <w:gridSpan w:val="3"/>
            <w:tcBorders>
              <w:top w:val="nil"/>
              <w:left w:val="nil"/>
              <w:bottom w:val="nil"/>
              <w:right w:val="nil"/>
            </w:tcBorders>
            <w:shd w:val="clear" w:color="auto" w:fill="auto"/>
            <w:hideMark/>
          </w:tcPr>
          <w:p w14:paraId="40E8F5B9" w14:textId="77777777" w:rsidR="00386077" w:rsidRPr="006A451F" w:rsidRDefault="00386077" w:rsidP="00386077">
            <w:pPr>
              <w:ind w:firstLineChars="400" w:firstLine="640"/>
              <w:rPr>
                <w:rFonts w:ascii="Arial" w:hAnsi="Arial" w:cs="Arial"/>
                <w:sz w:val="16"/>
                <w:szCs w:val="16"/>
                <w:lang w:eastAsia="es-AR"/>
              </w:rPr>
            </w:pPr>
            <w:r w:rsidRPr="006A451F">
              <w:rPr>
                <w:rFonts w:ascii="Arial" w:hAnsi="Arial" w:cs="Arial"/>
                <w:sz w:val="16"/>
                <w:szCs w:val="16"/>
                <w:lang w:eastAsia="es-AR"/>
              </w:rPr>
              <w:t>Documentos</w:t>
            </w:r>
          </w:p>
        </w:tc>
        <w:tc>
          <w:tcPr>
            <w:tcW w:w="2260" w:type="dxa"/>
            <w:gridSpan w:val="3"/>
            <w:tcBorders>
              <w:top w:val="nil"/>
              <w:left w:val="nil"/>
              <w:bottom w:val="nil"/>
              <w:right w:val="nil"/>
            </w:tcBorders>
            <w:shd w:val="clear" w:color="auto" w:fill="auto"/>
          </w:tcPr>
          <w:p w14:paraId="44278463" w14:textId="22F5DFC6"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8.850.013</w:t>
            </w:r>
          </w:p>
        </w:tc>
      </w:tr>
      <w:tr w:rsidR="00386077" w:rsidRPr="006A451F" w14:paraId="6F652C5F" w14:textId="77777777" w:rsidTr="00386077">
        <w:trPr>
          <w:trHeight w:val="259"/>
        </w:trPr>
        <w:tc>
          <w:tcPr>
            <w:tcW w:w="7260" w:type="dxa"/>
            <w:gridSpan w:val="3"/>
            <w:tcBorders>
              <w:top w:val="nil"/>
              <w:left w:val="nil"/>
              <w:bottom w:val="nil"/>
              <w:right w:val="nil"/>
            </w:tcBorders>
            <w:shd w:val="clear" w:color="auto" w:fill="auto"/>
            <w:hideMark/>
          </w:tcPr>
          <w:p w14:paraId="3AAC3326" w14:textId="77777777" w:rsidR="00386077" w:rsidRPr="006A451F" w:rsidRDefault="00386077" w:rsidP="00386077">
            <w:pPr>
              <w:ind w:firstLineChars="400" w:firstLine="640"/>
              <w:rPr>
                <w:rFonts w:ascii="Arial" w:hAnsi="Arial" w:cs="Arial"/>
                <w:sz w:val="16"/>
                <w:szCs w:val="16"/>
                <w:lang w:eastAsia="es-AR"/>
              </w:rPr>
            </w:pPr>
            <w:r w:rsidRPr="006A451F">
              <w:rPr>
                <w:rFonts w:ascii="Arial" w:hAnsi="Arial" w:cs="Arial"/>
                <w:sz w:val="16"/>
                <w:szCs w:val="16"/>
                <w:lang w:eastAsia="es-AR"/>
              </w:rPr>
              <w:t>Hipotecarios</w:t>
            </w:r>
          </w:p>
        </w:tc>
        <w:tc>
          <w:tcPr>
            <w:tcW w:w="2260" w:type="dxa"/>
            <w:gridSpan w:val="3"/>
            <w:tcBorders>
              <w:top w:val="nil"/>
              <w:left w:val="nil"/>
              <w:bottom w:val="nil"/>
              <w:right w:val="nil"/>
            </w:tcBorders>
            <w:shd w:val="clear" w:color="auto" w:fill="auto"/>
          </w:tcPr>
          <w:p w14:paraId="7B330574" w14:textId="4D967609"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391.235</w:t>
            </w:r>
          </w:p>
        </w:tc>
      </w:tr>
      <w:tr w:rsidR="00386077" w:rsidRPr="006A451F" w14:paraId="2EA28D1D" w14:textId="77777777" w:rsidTr="00386077">
        <w:trPr>
          <w:trHeight w:val="259"/>
        </w:trPr>
        <w:tc>
          <w:tcPr>
            <w:tcW w:w="7260" w:type="dxa"/>
            <w:gridSpan w:val="3"/>
            <w:tcBorders>
              <w:top w:val="nil"/>
              <w:left w:val="nil"/>
              <w:bottom w:val="nil"/>
              <w:right w:val="nil"/>
            </w:tcBorders>
            <w:shd w:val="clear" w:color="auto" w:fill="auto"/>
            <w:hideMark/>
          </w:tcPr>
          <w:p w14:paraId="176434D2" w14:textId="77777777" w:rsidR="00386077" w:rsidRPr="006A451F" w:rsidRDefault="00386077" w:rsidP="00386077">
            <w:pPr>
              <w:ind w:firstLineChars="400" w:firstLine="640"/>
              <w:rPr>
                <w:rFonts w:ascii="Arial" w:hAnsi="Arial" w:cs="Arial"/>
                <w:sz w:val="16"/>
                <w:szCs w:val="16"/>
                <w:lang w:eastAsia="es-AR"/>
              </w:rPr>
            </w:pPr>
            <w:r w:rsidRPr="006A451F">
              <w:rPr>
                <w:rFonts w:ascii="Arial" w:hAnsi="Arial" w:cs="Arial"/>
                <w:sz w:val="16"/>
                <w:szCs w:val="16"/>
                <w:lang w:eastAsia="es-AR"/>
              </w:rPr>
              <w:t>Prendarios</w:t>
            </w:r>
          </w:p>
        </w:tc>
        <w:tc>
          <w:tcPr>
            <w:tcW w:w="2260" w:type="dxa"/>
            <w:gridSpan w:val="3"/>
            <w:tcBorders>
              <w:top w:val="nil"/>
              <w:left w:val="nil"/>
              <w:bottom w:val="nil"/>
              <w:right w:val="nil"/>
            </w:tcBorders>
            <w:shd w:val="clear" w:color="auto" w:fill="auto"/>
          </w:tcPr>
          <w:p w14:paraId="7A4B1CF3" w14:textId="203B1F92"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160.845</w:t>
            </w:r>
          </w:p>
        </w:tc>
      </w:tr>
      <w:tr w:rsidR="00386077" w:rsidRPr="006A451F" w14:paraId="5094EE70" w14:textId="77777777" w:rsidTr="00386077">
        <w:trPr>
          <w:trHeight w:val="259"/>
        </w:trPr>
        <w:tc>
          <w:tcPr>
            <w:tcW w:w="7260" w:type="dxa"/>
            <w:gridSpan w:val="3"/>
            <w:tcBorders>
              <w:top w:val="nil"/>
              <w:left w:val="nil"/>
              <w:bottom w:val="nil"/>
              <w:right w:val="nil"/>
            </w:tcBorders>
            <w:shd w:val="clear" w:color="auto" w:fill="auto"/>
            <w:hideMark/>
          </w:tcPr>
          <w:p w14:paraId="2D0C6EAC" w14:textId="77777777" w:rsidR="00386077" w:rsidRPr="006A451F" w:rsidRDefault="00386077" w:rsidP="00386077">
            <w:pPr>
              <w:ind w:firstLineChars="400" w:firstLine="640"/>
              <w:rPr>
                <w:rFonts w:ascii="Arial" w:hAnsi="Arial" w:cs="Arial"/>
                <w:sz w:val="16"/>
                <w:szCs w:val="16"/>
                <w:lang w:eastAsia="es-AR"/>
              </w:rPr>
            </w:pPr>
            <w:r w:rsidRPr="006A451F">
              <w:rPr>
                <w:rFonts w:ascii="Arial" w:hAnsi="Arial" w:cs="Arial"/>
                <w:sz w:val="16"/>
                <w:szCs w:val="16"/>
                <w:lang w:eastAsia="es-AR"/>
              </w:rPr>
              <w:t>Personales</w:t>
            </w:r>
          </w:p>
        </w:tc>
        <w:tc>
          <w:tcPr>
            <w:tcW w:w="2260" w:type="dxa"/>
            <w:gridSpan w:val="3"/>
            <w:tcBorders>
              <w:top w:val="nil"/>
              <w:left w:val="nil"/>
              <w:bottom w:val="nil"/>
              <w:right w:val="nil"/>
            </w:tcBorders>
            <w:shd w:val="clear" w:color="auto" w:fill="auto"/>
          </w:tcPr>
          <w:p w14:paraId="50FE8DDB" w14:textId="1736F7E3"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7.783.008</w:t>
            </w:r>
          </w:p>
        </w:tc>
      </w:tr>
      <w:tr w:rsidR="00386077" w:rsidRPr="006A451F" w14:paraId="7D895CD6" w14:textId="77777777" w:rsidTr="00386077">
        <w:trPr>
          <w:trHeight w:val="259"/>
        </w:trPr>
        <w:tc>
          <w:tcPr>
            <w:tcW w:w="7260" w:type="dxa"/>
            <w:gridSpan w:val="3"/>
            <w:tcBorders>
              <w:top w:val="nil"/>
              <w:left w:val="nil"/>
              <w:bottom w:val="nil"/>
              <w:right w:val="nil"/>
            </w:tcBorders>
            <w:shd w:val="clear" w:color="auto" w:fill="auto"/>
            <w:hideMark/>
          </w:tcPr>
          <w:p w14:paraId="7C8C1D65" w14:textId="77777777" w:rsidR="00386077" w:rsidRPr="006A451F" w:rsidRDefault="00386077" w:rsidP="00386077">
            <w:pPr>
              <w:ind w:firstLineChars="400" w:firstLine="640"/>
              <w:rPr>
                <w:rFonts w:ascii="Arial" w:hAnsi="Arial" w:cs="Arial"/>
                <w:sz w:val="16"/>
                <w:szCs w:val="16"/>
                <w:lang w:eastAsia="es-AR"/>
              </w:rPr>
            </w:pPr>
            <w:r w:rsidRPr="006A451F">
              <w:rPr>
                <w:rFonts w:ascii="Arial" w:hAnsi="Arial" w:cs="Arial"/>
                <w:sz w:val="16"/>
                <w:szCs w:val="16"/>
                <w:lang w:eastAsia="es-AR"/>
              </w:rPr>
              <w:t>Tarjetas de Crédito</w:t>
            </w:r>
          </w:p>
        </w:tc>
        <w:tc>
          <w:tcPr>
            <w:tcW w:w="2260" w:type="dxa"/>
            <w:gridSpan w:val="3"/>
            <w:tcBorders>
              <w:top w:val="nil"/>
              <w:left w:val="nil"/>
              <w:bottom w:val="nil"/>
              <w:right w:val="nil"/>
            </w:tcBorders>
            <w:shd w:val="clear" w:color="auto" w:fill="auto"/>
          </w:tcPr>
          <w:p w14:paraId="26509C4F" w14:textId="32D07CC2"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2.921.810</w:t>
            </w:r>
          </w:p>
        </w:tc>
      </w:tr>
      <w:tr w:rsidR="00386077" w:rsidRPr="006A451F" w14:paraId="651CDAD9" w14:textId="77777777" w:rsidTr="00386077">
        <w:trPr>
          <w:trHeight w:val="259"/>
        </w:trPr>
        <w:tc>
          <w:tcPr>
            <w:tcW w:w="7260" w:type="dxa"/>
            <w:gridSpan w:val="3"/>
            <w:tcBorders>
              <w:top w:val="nil"/>
              <w:left w:val="nil"/>
              <w:bottom w:val="nil"/>
              <w:right w:val="nil"/>
            </w:tcBorders>
            <w:shd w:val="clear" w:color="auto" w:fill="auto"/>
            <w:hideMark/>
          </w:tcPr>
          <w:p w14:paraId="19BB6B4A" w14:textId="77777777" w:rsidR="00386077" w:rsidRPr="006A451F" w:rsidRDefault="00386077" w:rsidP="00386077">
            <w:pPr>
              <w:ind w:firstLineChars="400" w:firstLine="640"/>
              <w:rPr>
                <w:rFonts w:ascii="Arial" w:hAnsi="Arial" w:cs="Arial"/>
                <w:sz w:val="16"/>
                <w:szCs w:val="16"/>
                <w:lang w:eastAsia="es-AR"/>
              </w:rPr>
            </w:pPr>
            <w:r w:rsidRPr="006A451F">
              <w:rPr>
                <w:rFonts w:ascii="Arial" w:hAnsi="Arial" w:cs="Arial"/>
                <w:sz w:val="16"/>
                <w:szCs w:val="16"/>
                <w:lang w:eastAsia="es-AR"/>
              </w:rPr>
              <w:t>Arrendamientos Financieros</w:t>
            </w:r>
          </w:p>
        </w:tc>
        <w:tc>
          <w:tcPr>
            <w:tcW w:w="2260" w:type="dxa"/>
            <w:gridSpan w:val="3"/>
            <w:tcBorders>
              <w:top w:val="nil"/>
              <w:left w:val="nil"/>
              <w:bottom w:val="nil"/>
              <w:right w:val="nil"/>
            </w:tcBorders>
            <w:shd w:val="clear" w:color="auto" w:fill="auto"/>
          </w:tcPr>
          <w:p w14:paraId="460FBEF0" w14:textId="034EE849"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878.057</w:t>
            </w:r>
          </w:p>
        </w:tc>
      </w:tr>
      <w:tr w:rsidR="00386077" w:rsidRPr="006A451F" w14:paraId="0EB3E115" w14:textId="77777777" w:rsidTr="00386077">
        <w:trPr>
          <w:trHeight w:val="259"/>
        </w:trPr>
        <w:tc>
          <w:tcPr>
            <w:tcW w:w="7260" w:type="dxa"/>
            <w:gridSpan w:val="3"/>
            <w:tcBorders>
              <w:top w:val="nil"/>
              <w:left w:val="nil"/>
              <w:bottom w:val="nil"/>
              <w:right w:val="nil"/>
            </w:tcBorders>
            <w:shd w:val="clear" w:color="auto" w:fill="auto"/>
            <w:hideMark/>
          </w:tcPr>
          <w:p w14:paraId="1F04929F" w14:textId="77777777" w:rsidR="00386077" w:rsidRPr="006A451F" w:rsidRDefault="00386077" w:rsidP="00386077">
            <w:pPr>
              <w:ind w:firstLineChars="400" w:firstLine="640"/>
              <w:rPr>
                <w:rFonts w:ascii="Arial" w:hAnsi="Arial" w:cs="Arial"/>
                <w:sz w:val="16"/>
                <w:szCs w:val="16"/>
                <w:lang w:eastAsia="es-AR"/>
              </w:rPr>
            </w:pPr>
            <w:r w:rsidRPr="006A451F">
              <w:rPr>
                <w:rFonts w:ascii="Arial" w:hAnsi="Arial" w:cs="Arial"/>
                <w:sz w:val="16"/>
                <w:szCs w:val="16"/>
                <w:lang w:eastAsia="es-AR"/>
              </w:rPr>
              <w:t>Otros</w:t>
            </w:r>
          </w:p>
        </w:tc>
        <w:tc>
          <w:tcPr>
            <w:tcW w:w="2260" w:type="dxa"/>
            <w:gridSpan w:val="3"/>
            <w:tcBorders>
              <w:top w:val="nil"/>
              <w:left w:val="nil"/>
              <w:bottom w:val="nil"/>
              <w:right w:val="nil"/>
            </w:tcBorders>
            <w:shd w:val="clear" w:color="auto" w:fill="auto"/>
          </w:tcPr>
          <w:p w14:paraId="0D79A4CC" w14:textId="0531E8C7"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5.352.468</w:t>
            </w:r>
          </w:p>
        </w:tc>
      </w:tr>
      <w:tr w:rsidR="00386077" w:rsidRPr="006A451F" w14:paraId="4A1EFFCE" w14:textId="77777777" w:rsidTr="00386077">
        <w:trPr>
          <w:trHeight w:val="259"/>
        </w:trPr>
        <w:tc>
          <w:tcPr>
            <w:tcW w:w="7260" w:type="dxa"/>
            <w:gridSpan w:val="3"/>
            <w:tcBorders>
              <w:top w:val="nil"/>
              <w:left w:val="nil"/>
              <w:bottom w:val="nil"/>
              <w:right w:val="nil"/>
            </w:tcBorders>
            <w:shd w:val="clear" w:color="auto" w:fill="auto"/>
            <w:hideMark/>
          </w:tcPr>
          <w:p w14:paraId="25CE943C"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Por operaciones de pase</w:t>
            </w:r>
          </w:p>
        </w:tc>
        <w:tc>
          <w:tcPr>
            <w:tcW w:w="2260" w:type="dxa"/>
            <w:gridSpan w:val="3"/>
            <w:tcBorders>
              <w:top w:val="nil"/>
              <w:left w:val="nil"/>
              <w:bottom w:val="nil"/>
              <w:right w:val="nil"/>
            </w:tcBorders>
            <w:shd w:val="clear" w:color="auto" w:fill="auto"/>
          </w:tcPr>
          <w:p w14:paraId="01197EB8" w14:textId="77777777" w:rsidR="00386077" w:rsidRPr="00386077" w:rsidRDefault="00386077" w:rsidP="00386077">
            <w:pPr>
              <w:rPr>
                <w:rFonts w:ascii="Arial" w:hAnsi="Arial" w:cs="Arial"/>
                <w:sz w:val="16"/>
                <w:szCs w:val="16"/>
                <w:lang w:eastAsia="es-AR"/>
              </w:rPr>
            </w:pPr>
          </w:p>
        </w:tc>
      </w:tr>
      <w:tr w:rsidR="00386077" w:rsidRPr="006A451F" w14:paraId="64EE038D" w14:textId="77777777" w:rsidTr="00386077">
        <w:trPr>
          <w:trHeight w:val="259"/>
        </w:trPr>
        <w:tc>
          <w:tcPr>
            <w:tcW w:w="7260" w:type="dxa"/>
            <w:gridSpan w:val="3"/>
            <w:tcBorders>
              <w:top w:val="nil"/>
              <w:left w:val="nil"/>
              <w:bottom w:val="nil"/>
              <w:right w:val="nil"/>
            </w:tcBorders>
            <w:shd w:val="clear" w:color="auto" w:fill="auto"/>
            <w:hideMark/>
          </w:tcPr>
          <w:p w14:paraId="22486D10" w14:textId="77777777" w:rsidR="00386077" w:rsidRPr="006A451F" w:rsidRDefault="00386077" w:rsidP="00386077">
            <w:pPr>
              <w:ind w:firstLineChars="200" w:firstLine="320"/>
              <w:rPr>
                <w:rFonts w:ascii="Arial" w:hAnsi="Arial" w:cs="Arial"/>
                <w:sz w:val="16"/>
                <w:szCs w:val="16"/>
                <w:lang w:eastAsia="es-AR"/>
              </w:rPr>
            </w:pPr>
            <w:r w:rsidRPr="006A451F">
              <w:rPr>
                <w:rFonts w:ascii="Arial" w:hAnsi="Arial" w:cs="Arial"/>
                <w:sz w:val="16"/>
                <w:szCs w:val="16"/>
                <w:lang w:eastAsia="es-AR"/>
              </w:rPr>
              <w:t>Banco Central de la República Argentina</w:t>
            </w:r>
          </w:p>
        </w:tc>
        <w:tc>
          <w:tcPr>
            <w:tcW w:w="2260" w:type="dxa"/>
            <w:gridSpan w:val="3"/>
            <w:tcBorders>
              <w:top w:val="nil"/>
              <w:left w:val="nil"/>
              <w:bottom w:val="nil"/>
              <w:right w:val="nil"/>
            </w:tcBorders>
            <w:shd w:val="clear" w:color="auto" w:fill="auto"/>
          </w:tcPr>
          <w:p w14:paraId="4F8CBAFB" w14:textId="66BBCCDF"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429.719</w:t>
            </w:r>
          </w:p>
        </w:tc>
      </w:tr>
      <w:tr w:rsidR="00386077" w:rsidRPr="006A451F" w14:paraId="0D0F39EB" w14:textId="77777777" w:rsidTr="00386077">
        <w:trPr>
          <w:trHeight w:val="259"/>
        </w:trPr>
        <w:tc>
          <w:tcPr>
            <w:tcW w:w="7260" w:type="dxa"/>
            <w:gridSpan w:val="3"/>
            <w:tcBorders>
              <w:top w:val="nil"/>
              <w:left w:val="nil"/>
              <w:bottom w:val="nil"/>
              <w:right w:val="nil"/>
            </w:tcBorders>
            <w:shd w:val="clear" w:color="auto" w:fill="auto"/>
            <w:hideMark/>
          </w:tcPr>
          <w:p w14:paraId="1A0B264C" w14:textId="77777777" w:rsidR="00386077" w:rsidRPr="006A451F" w:rsidRDefault="00386077" w:rsidP="00386077">
            <w:pPr>
              <w:ind w:firstLineChars="200" w:firstLine="320"/>
              <w:rPr>
                <w:rFonts w:ascii="Arial" w:hAnsi="Arial" w:cs="Arial"/>
                <w:sz w:val="16"/>
                <w:szCs w:val="16"/>
                <w:lang w:eastAsia="es-AR"/>
              </w:rPr>
            </w:pPr>
            <w:r w:rsidRPr="006A451F">
              <w:rPr>
                <w:rFonts w:ascii="Arial" w:hAnsi="Arial" w:cs="Arial"/>
                <w:sz w:val="16"/>
                <w:szCs w:val="16"/>
                <w:lang w:eastAsia="es-AR"/>
              </w:rPr>
              <w:t>Otras Entidades Financieras</w:t>
            </w:r>
          </w:p>
        </w:tc>
        <w:tc>
          <w:tcPr>
            <w:tcW w:w="2260" w:type="dxa"/>
            <w:gridSpan w:val="3"/>
            <w:tcBorders>
              <w:top w:val="nil"/>
              <w:left w:val="nil"/>
              <w:bottom w:val="nil"/>
              <w:right w:val="nil"/>
            </w:tcBorders>
            <w:shd w:val="clear" w:color="auto" w:fill="auto"/>
          </w:tcPr>
          <w:p w14:paraId="38C8DE91" w14:textId="4DAF68C9"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67.306</w:t>
            </w:r>
          </w:p>
        </w:tc>
      </w:tr>
      <w:tr w:rsidR="00386077" w:rsidRPr="006A451F" w14:paraId="4D99FE8E" w14:textId="77777777" w:rsidTr="00386077">
        <w:trPr>
          <w:trHeight w:val="80"/>
        </w:trPr>
        <w:tc>
          <w:tcPr>
            <w:tcW w:w="7260" w:type="dxa"/>
            <w:gridSpan w:val="3"/>
            <w:tcBorders>
              <w:top w:val="nil"/>
              <w:left w:val="nil"/>
              <w:bottom w:val="nil"/>
              <w:right w:val="nil"/>
            </w:tcBorders>
            <w:shd w:val="clear" w:color="auto" w:fill="auto"/>
            <w:hideMark/>
          </w:tcPr>
          <w:p w14:paraId="1C2DACA9" w14:textId="77777777" w:rsidR="00386077" w:rsidRPr="006A451F" w:rsidRDefault="00386077" w:rsidP="00386077">
            <w:pPr>
              <w:jc w:val="right"/>
              <w:rPr>
                <w:rFonts w:ascii="Arial" w:hAnsi="Arial" w:cs="Arial"/>
                <w:sz w:val="16"/>
                <w:szCs w:val="16"/>
                <w:lang w:eastAsia="es-AR"/>
              </w:rPr>
            </w:pPr>
          </w:p>
        </w:tc>
        <w:tc>
          <w:tcPr>
            <w:tcW w:w="2260" w:type="dxa"/>
            <w:gridSpan w:val="3"/>
            <w:tcBorders>
              <w:top w:val="nil"/>
              <w:left w:val="nil"/>
              <w:bottom w:val="nil"/>
              <w:right w:val="nil"/>
            </w:tcBorders>
            <w:shd w:val="clear" w:color="auto" w:fill="auto"/>
          </w:tcPr>
          <w:p w14:paraId="1F45A364" w14:textId="77777777" w:rsidR="00386077" w:rsidRPr="00386077" w:rsidRDefault="00386077" w:rsidP="00386077">
            <w:pPr>
              <w:rPr>
                <w:rFonts w:ascii="Arial" w:hAnsi="Arial" w:cs="Arial"/>
                <w:sz w:val="16"/>
                <w:szCs w:val="16"/>
                <w:lang w:eastAsia="es-AR"/>
              </w:rPr>
            </w:pPr>
          </w:p>
        </w:tc>
      </w:tr>
      <w:tr w:rsidR="00386077" w:rsidRPr="006A451F" w14:paraId="0FC8FDE7" w14:textId="77777777" w:rsidTr="006E1AF7">
        <w:trPr>
          <w:trHeight w:val="259"/>
        </w:trPr>
        <w:tc>
          <w:tcPr>
            <w:tcW w:w="7260" w:type="dxa"/>
            <w:gridSpan w:val="3"/>
            <w:tcBorders>
              <w:top w:val="nil"/>
              <w:left w:val="nil"/>
              <w:bottom w:val="nil"/>
              <w:right w:val="nil"/>
            </w:tcBorders>
            <w:shd w:val="clear" w:color="auto" w:fill="auto"/>
            <w:hideMark/>
          </w:tcPr>
          <w:p w14:paraId="27C77583" w14:textId="77777777" w:rsidR="00386077" w:rsidRPr="006A451F" w:rsidRDefault="00386077" w:rsidP="00386077">
            <w:pPr>
              <w:rPr>
                <w:rFonts w:ascii="Arial" w:hAnsi="Arial" w:cs="Arial"/>
                <w:b/>
                <w:bCs/>
                <w:sz w:val="16"/>
                <w:szCs w:val="16"/>
                <w:lang w:eastAsia="es-AR"/>
              </w:rPr>
            </w:pPr>
            <w:r w:rsidRPr="006A451F">
              <w:rPr>
                <w:rFonts w:ascii="Arial" w:hAnsi="Arial" w:cs="Arial"/>
                <w:b/>
                <w:bCs/>
                <w:sz w:val="16"/>
                <w:szCs w:val="16"/>
                <w:lang w:eastAsia="es-AR"/>
              </w:rPr>
              <w:t>TOTAL</w:t>
            </w:r>
          </w:p>
        </w:tc>
        <w:tc>
          <w:tcPr>
            <w:tcW w:w="2260" w:type="dxa"/>
            <w:gridSpan w:val="3"/>
            <w:tcBorders>
              <w:top w:val="single" w:sz="4" w:space="0" w:color="auto"/>
              <w:left w:val="nil"/>
              <w:bottom w:val="single" w:sz="4" w:space="0" w:color="auto"/>
              <w:right w:val="nil"/>
            </w:tcBorders>
            <w:shd w:val="clear" w:color="auto" w:fill="auto"/>
            <w:vAlign w:val="center"/>
          </w:tcPr>
          <w:p w14:paraId="29F3F9F5" w14:textId="5D53B325" w:rsidR="00386077" w:rsidRPr="009C1CE7" w:rsidRDefault="00386077">
            <w:pPr>
              <w:jc w:val="right"/>
              <w:rPr>
                <w:rFonts w:ascii="Arial" w:hAnsi="Arial" w:cs="Arial"/>
                <w:b/>
                <w:bCs/>
                <w:sz w:val="16"/>
                <w:szCs w:val="16"/>
                <w:lang w:eastAsia="es-AR"/>
              </w:rPr>
            </w:pPr>
            <w:r w:rsidRPr="006E1AF7">
              <w:rPr>
                <w:rFonts w:ascii="Arial" w:hAnsi="Arial" w:cs="Arial"/>
                <w:b/>
                <w:sz w:val="16"/>
                <w:szCs w:val="16"/>
              </w:rPr>
              <w:t>33.778.961</w:t>
            </w:r>
          </w:p>
        </w:tc>
      </w:tr>
      <w:tr w:rsidR="00386077" w:rsidRPr="006A451F" w14:paraId="4519E353" w14:textId="77777777" w:rsidTr="00386077">
        <w:trPr>
          <w:trHeight w:val="259"/>
        </w:trPr>
        <w:tc>
          <w:tcPr>
            <w:tcW w:w="7260" w:type="dxa"/>
            <w:gridSpan w:val="3"/>
            <w:tcBorders>
              <w:top w:val="nil"/>
              <w:left w:val="nil"/>
              <w:bottom w:val="nil"/>
              <w:right w:val="nil"/>
            </w:tcBorders>
            <w:shd w:val="clear" w:color="auto" w:fill="auto"/>
            <w:noWrap/>
            <w:hideMark/>
          </w:tcPr>
          <w:p w14:paraId="2CC14EDA" w14:textId="77777777" w:rsidR="00386077" w:rsidRPr="006A451F" w:rsidRDefault="00386077" w:rsidP="00386077">
            <w:pPr>
              <w:jc w:val="right"/>
              <w:rPr>
                <w:rFonts w:ascii="Arial" w:hAnsi="Arial" w:cs="Arial"/>
                <w:b/>
                <w:bCs/>
                <w:sz w:val="16"/>
                <w:szCs w:val="16"/>
                <w:lang w:eastAsia="es-AR"/>
              </w:rPr>
            </w:pPr>
          </w:p>
        </w:tc>
        <w:tc>
          <w:tcPr>
            <w:tcW w:w="2260" w:type="dxa"/>
            <w:gridSpan w:val="3"/>
            <w:tcBorders>
              <w:top w:val="nil"/>
              <w:left w:val="nil"/>
              <w:bottom w:val="nil"/>
              <w:right w:val="nil"/>
            </w:tcBorders>
            <w:shd w:val="clear" w:color="auto" w:fill="auto"/>
          </w:tcPr>
          <w:p w14:paraId="0EFAC310" w14:textId="77777777" w:rsidR="00386077" w:rsidRPr="00386077" w:rsidRDefault="00386077" w:rsidP="00386077">
            <w:pPr>
              <w:rPr>
                <w:rFonts w:ascii="Arial" w:hAnsi="Arial" w:cs="Arial"/>
                <w:sz w:val="16"/>
                <w:szCs w:val="16"/>
                <w:lang w:eastAsia="es-AR"/>
              </w:rPr>
            </w:pPr>
          </w:p>
        </w:tc>
      </w:tr>
      <w:tr w:rsidR="00386077" w:rsidRPr="006A451F" w14:paraId="3DD489F8" w14:textId="77777777" w:rsidTr="00386077">
        <w:trPr>
          <w:trHeight w:val="259"/>
        </w:trPr>
        <w:tc>
          <w:tcPr>
            <w:tcW w:w="7260" w:type="dxa"/>
            <w:gridSpan w:val="3"/>
            <w:tcBorders>
              <w:top w:val="nil"/>
              <w:left w:val="nil"/>
              <w:bottom w:val="nil"/>
              <w:right w:val="nil"/>
            </w:tcBorders>
            <w:shd w:val="clear" w:color="auto" w:fill="auto"/>
            <w:hideMark/>
          </w:tcPr>
          <w:p w14:paraId="0D32CEEE" w14:textId="77777777" w:rsidR="00386077" w:rsidRPr="006A451F" w:rsidRDefault="00386077" w:rsidP="00386077">
            <w:pPr>
              <w:rPr>
                <w:rFonts w:ascii="Arial" w:hAnsi="Arial" w:cs="Arial"/>
                <w:b/>
                <w:bCs/>
                <w:sz w:val="16"/>
                <w:szCs w:val="16"/>
                <w:lang w:eastAsia="es-AR"/>
              </w:rPr>
            </w:pPr>
            <w:r w:rsidRPr="006A451F">
              <w:rPr>
                <w:rFonts w:ascii="Arial" w:hAnsi="Arial" w:cs="Arial"/>
                <w:b/>
                <w:bCs/>
                <w:sz w:val="16"/>
                <w:szCs w:val="16"/>
                <w:lang w:eastAsia="es-AR"/>
              </w:rPr>
              <w:t>Egresos por intereses</w:t>
            </w:r>
          </w:p>
        </w:tc>
        <w:tc>
          <w:tcPr>
            <w:tcW w:w="2260" w:type="dxa"/>
            <w:gridSpan w:val="3"/>
            <w:tcBorders>
              <w:top w:val="nil"/>
              <w:left w:val="nil"/>
              <w:bottom w:val="nil"/>
              <w:right w:val="nil"/>
            </w:tcBorders>
            <w:shd w:val="clear" w:color="auto" w:fill="auto"/>
          </w:tcPr>
          <w:p w14:paraId="713949E3" w14:textId="77777777" w:rsidR="00386077" w:rsidRPr="00386077" w:rsidRDefault="00386077" w:rsidP="00386077">
            <w:pPr>
              <w:rPr>
                <w:rFonts w:ascii="Arial" w:hAnsi="Arial" w:cs="Arial"/>
                <w:b/>
                <w:bCs/>
                <w:sz w:val="16"/>
                <w:szCs w:val="16"/>
                <w:lang w:eastAsia="es-AR"/>
              </w:rPr>
            </w:pPr>
          </w:p>
        </w:tc>
      </w:tr>
      <w:tr w:rsidR="00386077" w:rsidRPr="006A451F" w14:paraId="0E4A2EA5" w14:textId="77777777" w:rsidTr="00386077">
        <w:trPr>
          <w:trHeight w:val="259"/>
        </w:trPr>
        <w:tc>
          <w:tcPr>
            <w:tcW w:w="7260" w:type="dxa"/>
            <w:gridSpan w:val="3"/>
            <w:tcBorders>
              <w:top w:val="nil"/>
              <w:left w:val="nil"/>
              <w:bottom w:val="nil"/>
              <w:right w:val="nil"/>
            </w:tcBorders>
            <w:shd w:val="clear" w:color="auto" w:fill="auto"/>
            <w:hideMark/>
          </w:tcPr>
          <w:p w14:paraId="1DBDB65A"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Por Depósitos </w:t>
            </w:r>
          </w:p>
        </w:tc>
        <w:tc>
          <w:tcPr>
            <w:tcW w:w="2260" w:type="dxa"/>
            <w:gridSpan w:val="3"/>
            <w:tcBorders>
              <w:top w:val="nil"/>
              <w:left w:val="nil"/>
              <w:bottom w:val="nil"/>
              <w:right w:val="nil"/>
            </w:tcBorders>
            <w:shd w:val="clear" w:color="auto" w:fill="auto"/>
          </w:tcPr>
          <w:p w14:paraId="12096A92" w14:textId="77777777" w:rsidR="00386077" w:rsidRPr="00386077" w:rsidRDefault="00386077" w:rsidP="00386077">
            <w:pPr>
              <w:rPr>
                <w:rFonts w:ascii="Arial" w:hAnsi="Arial" w:cs="Arial"/>
                <w:sz w:val="16"/>
                <w:szCs w:val="16"/>
                <w:lang w:eastAsia="es-AR"/>
              </w:rPr>
            </w:pPr>
          </w:p>
        </w:tc>
      </w:tr>
      <w:tr w:rsidR="00386077" w:rsidRPr="006A451F" w14:paraId="63FFAD78" w14:textId="77777777" w:rsidTr="00386077">
        <w:trPr>
          <w:trHeight w:val="259"/>
        </w:trPr>
        <w:tc>
          <w:tcPr>
            <w:tcW w:w="7260" w:type="dxa"/>
            <w:gridSpan w:val="3"/>
            <w:tcBorders>
              <w:top w:val="nil"/>
              <w:left w:val="nil"/>
              <w:bottom w:val="nil"/>
              <w:right w:val="nil"/>
            </w:tcBorders>
            <w:shd w:val="clear" w:color="auto" w:fill="auto"/>
            <w:hideMark/>
          </w:tcPr>
          <w:p w14:paraId="4EEC2DFB"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     Cuentas corrientes</w:t>
            </w:r>
          </w:p>
        </w:tc>
        <w:tc>
          <w:tcPr>
            <w:tcW w:w="2260" w:type="dxa"/>
            <w:gridSpan w:val="3"/>
            <w:tcBorders>
              <w:top w:val="nil"/>
              <w:left w:val="nil"/>
              <w:bottom w:val="nil"/>
              <w:right w:val="nil"/>
            </w:tcBorders>
            <w:shd w:val="clear" w:color="auto" w:fill="auto"/>
          </w:tcPr>
          <w:p w14:paraId="55ACDF4F" w14:textId="6F0C8142"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-4.916.442</w:t>
            </w:r>
          </w:p>
        </w:tc>
      </w:tr>
      <w:tr w:rsidR="00386077" w:rsidRPr="006A451F" w14:paraId="76082CDE" w14:textId="77777777" w:rsidTr="00386077">
        <w:trPr>
          <w:trHeight w:val="259"/>
        </w:trPr>
        <w:tc>
          <w:tcPr>
            <w:tcW w:w="7260" w:type="dxa"/>
            <w:gridSpan w:val="3"/>
            <w:tcBorders>
              <w:top w:val="nil"/>
              <w:left w:val="nil"/>
              <w:bottom w:val="nil"/>
              <w:right w:val="nil"/>
            </w:tcBorders>
            <w:shd w:val="clear" w:color="auto" w:fill="auto"/>
            <w:hideMark/>
          </w:tcPr>
          <w:p w14:paraId="62AEB147"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     Cajas de ahorro</w:t>
            </w:r>
          </w:p>
        </w:tc>
        <w:tc>
          <w:tcPr>
            <w:tcW w:w="2260" w:type="dxa"/>
            <w:gridSpan w:val="3"/>
            <w:tcBorders>
              <w:top w:val="nil"/>
              <w:left w:val="nil"/>
              <w:bottom w:val="nil"/>
              <w:right w:val="nil"/>
            </w:tcBorders>
            <w:shd w:val="clear" w:color="auto" w:fill="auto"/>
          </w:tcPr>
          <w:p w14:paraId="62D3E514" w14:textId="4DC7B39E"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-7.298</w:t>
            </w:r>
          </w:p>
        </w:tc>
      </w:tr>
      <w:tr w:rsidR="00386077" w:rsidRPr="006A451F" w14:paraId="7ED2A3F3" w14:textId="77777777" w:rsidTr="00386077">
        <w:trPr>
          <w:trHeight w:val="259"/>
        </w:trPr>
        <w:tc>
          <w:tcPr>
            <w:tcW w:w="7260" w:type="dxa"/>
            <w:gridSpan w:val="3"/>
            <w:tcBorders>
              <w:top w:val="nil"/>
              <w:left w:val="nil"/>
              <w:bottom w:val="nil"/>
              <w:right w:val="nil"/>
            </w:tcBorders>
            <w:shd w:val="clear" w:color="auto" w:fill="auto"/>
            <w:hideMark/>
          </w:tcPr>
          <w:p w14:paraId="32AE4379"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     Plazo fijo e inversiones a plazo</w:t>
            </w:r>
          </w:p>
        </w:tc>
        <w:tc>
          <w:tcPr>
            <w:tcW w:w="2260" w:type="dxa"/>
            <w:gridSpan w:val="3"/>
            <w:tcBorders>
              <w:top w:val="nil"/>
              <w:left w:val="nil"/>
              <w:bottom w:val="nil"/>
              <w:right w:val="nil"/>
            </w:tcBorders>
            <w:shd w:val="clear" w:color="auto" w:fill="auto"/>
          </w:tcPr>
          <w:p w14:paraId="625F587D" w14:textId="01428AF2"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-12.996.206</w:t>
            </w:r>
          </w:p>
        </w:tc>
      </w:tr>
      <w:tr w:rsidR="00386077" w:rsidRPr="006A451F" w14:paraId="21B9CB3C" w14:textId="77777777" w:rsidTr="00386077">
        <w:trPr>
          <w:trHeight w:val="259"/>
        </w:trPr>
        <w:tc>
          <w:tcPr>
            <w:tcW w:w="7260" w:type="dxa"/>
            <w:gridSpan w:val="3"/>
            <w:tcBorders>
              <w:top w:val="nil"/>
              <w:left w:val="nil"/>
              <w:bottom w:val="nil"/>
              <w:right w:val="nil"/>
            </w:tcBorders>
            <w:shd w:val="clear" w:color="auto" w:fill="auto"/>
            <w:hideMark/>
          </w:tcPr>
          <w:p w14:paraId="71E89ABC"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     Otros</w:t>
            </w:r>
          </w:p>
        </w:tc>
        <w:tc>
          <w:tcPr>
            <w:tcW w:w="2260" w:type="dxa"/>
            <w:gridSpan w:val="3"/>
            <w:tcBorders>
              <w:top w:val="nil"/>
              <w:left w:val="nil"/>
              <w:bottom w:val="nil"/>
              <w:right w:val="nil"/>
            </w:tcBorders>
            <w:shd w:val="clear" w:color="auto" w:fill="auto"/>
          </w:tcPr>
          <w:p w14:paraId="03850913" w14:textId="70D91185"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-2.681.668</w:t>
            </w:r>
          </w:p>
        </w:tc>
      </w:tr>
      <w:tr w:rsidR="00386077" w:rsidRPr="006A451F" w14:paraId="3AE369F2" w14:textId="77777777" w:rsidTr="00386077">
        <w:trPr>
          <w:trHeight w:val="259"/>
        </w:trPr>
        <w:tc>
          <w:tcPr>
            <w:tcW w:w="7260" w:type="dxa"/>
            <w:gridSpan w:val="3"/>
            <w:tcBorders>
              <w:top w:val="nil"/>
              <w:left w:val="nil"/>
              <w:bottom w:val="nil"/>
              <w:right w:val="nil"/>
            </w:tcBorders>
            <w:shd w:val="clear" w:color="auto" w:fill="auto"/>
            <w:hideMark/>
          </w:tcPr>
          <w:p w14:paraId="6FB69283"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Por financiaciones recibidas del BCRA y otras instituciones financieras</w:t>
            </w:r>
          </w:p>
        </w:tc>
        <w:tc>
          <w:tcPr>
            <w:tcW w:w="2260" w:type="dxa"/>
            <w:gridSpan w:val="3"/>
            <w:tcBorders>
              <w:top w:val="nil"/>
              <w:left w:val="nil"/>
              <w:bottom w:val="nil"/>
              <w:right w:val="nil"/>
            </w:tcBorders>
            <w:shd w:val="clear" w:color="auto" w:fill="auto"/>
          </w:tcPr>
          <w:p w14:paraId="4A1FA400" w14:textId="52821094"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-602.498</w:t>
            </w:r>
          </w:p>
        </w:tc>
      </w:tr>
      <w:tr w:rsidR="00386077" w:rsidRPr="006A451F" w14:paraId="1B230E42" w14:textId="77777777" w:rsidTr="00386077">
        <w:trPr>
          <w:trHeight w:val="259"/>
        </w:trPr>
        <w:tc>
          <w:tcPr>
            <w:tcW w:w="7260" w:type="dxa"/>
            <w:gridSpan w:val="3"/>
            <w:tcBorders>
              <w:top w:val="nil"/>
              <w:left w:val="nil"/>
              <w:bottom w:val="nil"/>
              <w:right w:val="nil"/>
            </w:tcBorders>
            <w:shd w:val="clear" w:color="auto" w:fill="auto"/>
            <w:hideMark/>
          </w:tcPr>
          <w:p w14:paraId="41642981"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Por operaciones de pase</w:t>
            </w:r>
          </w:p>
        </w:tc>
        <w:tc>
          <w:tcPr>
            <w:tcW w:w="2260" w:type="dxa"/>
            <w:gridSpan w:val="3"/>
            <w:tcBorders>
              <w:top w:val="nil"/>
              <w:left w:val="nil"/>
              <w:bottom w:val="nil"/>
              <w:right w:val="nil"/>
            </w:tcBorders>
            <w:shd w:val="clear" w:color="auto" w:fill="auto"/>
          </w:tcPr>
          <w:p w14:paraId="3A99035E" w14:textId="77777777" w:rsidR="00386077" w:rsidRPr="00386077" w:rsidRDefault="00386077" w:rsidP="00386077">
            <w:pPr>
              <w:rPr>
                <w:rFonts w:ascii="Arial" w:hAnsi="Arial" w:cs="Arial"/>
                <w:sz w:val="16"/>
                <w:szCs w:val="16"/>
                <w:lang w:eastAsia="es-AR"/>
              </w:rPr>
            </w:pPr>
          </w:p>
        </w:tc>
      </w:tr>
      <w:tr w:rsidR="00386077" w:rsidRPr="006A451F" w14:paraId="19C36A36" w14:textId="77777777" w:rsidTr="00386077">
        <w:trPr>
          <w:trHeight w:val="259"/>
        </w:trPr>
        <w:tc>
          <w:tcPr>
            <w:tcW w:w="7260" w:type="dxa"/>
            <w:gridSpan w:val="3"/>
            <w:tcBorders>
              <w:top w:val="nil"/>
              <w:left w:val="nil"/>
              <w:bottom w:val="nil"/>
              <w:right w:val="nil"/>
            </w:tcBorders>
            <w:shd w:val="clear" w:color="auto" w:fill="auto"/>
            <w:hideMark/>
          </w:tcPr>
          <w:p w14:paraId="2AE6BD0A"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     Banco Central de la República Argentina</w:t>
            </w:r>
          </w:p>
        </w:tc>
        <w:tc>
          <w:tcPr>
            <w:tcW w:w="2260" w:type="dxa"/>
            <w:gridSpan w:val="3"/>
            <w:tcBorders>
              <w:top w:val="nil"/>
              <w:left w:val="nil"/>
              <w:bottom w:val="nil"/>
              <w:right w:val="nil"/>
            </w:tcBorders>
            <w:shd w:val="clear" w:color="auto" w:fill="auto"/>
          </w:tcPr>
          <w:p w14:paraId="70EEF1E9" w14:textId="77777777" w:rsidR="00386077" w:rsidRPr="00386077" w:rsidRDefault="00386077" w:rsidP="00386077">
            <w:pPr>
              <w:rPr>
                <w:rFonts w:ascii="Arial" w:hAnsi="Arial" w:cs="Arial"/>
                <w:sz w:val="16"/>
                <w:szCs w:val="16"/>
                <w:lang w:eastAsia="es-AR"/>
              </w:rPr>
            </w:pPr>
          </w:p>
        </w:tc>
      </w:tr>
      <w:tr w:rsidR="00386077" w:rsidRPr="006A451F" w14:paraId="16807FD4" w14:textId="77777777" w:rsidTr="00386077">
        <w:trPr>
          <w:trHeight w:val="259"/>
        </w:trPr>
        <w:tc>
          <w:tcPr>
            <w:tcW w:w="7260" w:type="dxa"/>
            <w:gridSpan w:val="3"/>
            <w:tcBorders>
              <w:top w:val="nil"/>
              <w:left w:val="nil"/>
              <w:bottom w:val="nil"/>
              <w:right w:val="nil"/>
            </w:tcBorders>
            <w:shd w:val="clear" w:color="auto" w:fill="auto"/>
            <w:hideMark/>
          </w:tcPr>
          <w:p w14:paraId="78CE691D"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 xml:space="preserve">     Otras Entidades financieras</w:t>
            </w:r>
          </w:p>
        </w:tc>
        <w:tc>
          <w:tcPr>
            <w:tcW w:w="2260" w:type="dxa"/>
            <w:gridSpan w:val="3"/>
            <w:tcBorders>
              <w:top w:val="nil"/>
              <w:left w:val="nil"/>
              <w:bottom w:val="nil"/>
              <w:right w:val="nil"/>
            </w:tcBorders>
            <w:shd w:val="clear" w:color="auto" w:fill="auto"/>
          </w:tcPr>
          <w:p w14:paraId="21A37306" w14:textId="62C2ED7B"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-479.454</w:t>
            </w:r>
          </w:p>
        </w:tc>
      </w:tr>
      <w:tr w:rsidR="00386077" w:rsidRPr="006A451F" w14:paraId="78ACB33B" w14:textId="77777777" w:rsidTr="00386077">
        <w:trPr>
          <w:trHeight w:val="259"/>
        </w:trPr>
        <w:tc>
          <w:tcPr>
            <w:tcW w:w="7260" w:type="dxa"/>
            <w:gridSpan w:val="3"/>
            <w:tcBorders>
              <w:top w:val="nil"/>
              <w:left w:val="nil"/>
              <w:bottom w:val="nil"/>
              <w:right w:val="nil"/>
            </w:tcBorders>
            <w:shd w:val="clear" w:color="auto" w:fill="auto"/>
            <w:hideMark/>
          </w:tcPr>
          <w:p w14:paraId="5AB4A8E7"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Por otros pasivos financieros</w:t>
            </w:r>
          </w:p>
        </w:tc>
        <w:tc>
          <w:tcPr>
            <w:tcW w:w="2260" w:type="dxa"/>
            <w:gridSpan w:val="3"/>
            <w:tcBorders>
              <w:top w:val="nil"/>
              <w:left w:val="nil"/>
              <w:bottom w:val="nil"/>
              <w:right w:val="nil"/>
            </w:tcBorders>
            <w:shd w:val="clear" w:color="auto" w:fill="auto"/>
          </w:tcPr>
          <w:p w14:paraId="5FC08B4B" w14:textId="6B1D8137"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-5.301.114</w:t>
            </w:r>
          </w:p>
        </w:tc>
      </w:tr>
      <w:tr w:rsidR="00386077" w:rsidRPr="006A451F" w14:paraId="45E818C7" w14:textId="77777777" w:rsidTr="00386077">
        <w:trPr>
          <w:trHeight w:val="259"/>
        </w:trPr>
        <w:tc>
          <w:tcPr>
            <w:tcW w:w="7260" w:type="dxa"/>
            <w:gridSpan w:val="3"/>
            <w:tcBorders>
              <w:top w:val="nil"/>
              <w:left w:val="nil"/>
              <w:bottom w:val="nil"/>
              <w:right w:val="nil"/>
            </w:tcBorders>
            <w:shd w:val="clear" w:color="auto" w:fill="auto"/>
            <w:hideMark/>
          </w:tcPr>
          <w:p w14:paraId="1464C95C"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Por obligaciones negociables emitidas</w:t>
            </w:r>
          </w:p>
        </w:tc>
        <w:tc>
          <w:tcPr>
            <w:tcW w:w="2260" w:type="dxa"/>
            <w:gridSpan w:val="3"/>
            <w:tcBorders>
              <w:top w:val="nil"/>
              <w:left w:val="nil"/>
              <w:bottom w:val="nil"/>
              <w:right w:val="nil"/>
            </w:tcBorders>
            <w:shd w:val="clear" w:color="auto" w:fill="auto"/>
          </w:tcPr>
          <w:p w14:paraId="798D89B0" w14:textId="77777777" w:rsidR="00386077" w:rsidRPr="00386077" w:rsidRDefault="00386077" w:rsidP="00386077">
            <w:pPr>
              <w:rPr>
                <w:rFonts w:ascii="Arial" w:hAnsi="Arial" w:cs="Arial"/>
                <w:sz w:val="16"/>
                <w:szCs w:val="16"/>
                <w:lang w:eastAsia="es-AR"/>
              </w:rPr>
            </w:pPr>
          </w:p>
        </w:tc>
      </w:tr>
      <w:tr w:rsidR="00386077" w:rsidRPr="006A451F" w14:paraId="19C337C8" w14:textId="77777777" w:rsidTr="00386077">
        <w:trPr>
          <w:trHeight w:val="259"/>
        </w:trPr>
        <w:tc>
          <w:tcPr>
            <w:tcW w:w="7260" w:type="dxa"/>
            <w:gridSpan w:val="3"/>
            <w:tcBorders>
              <w:top w:val="nil"/>
              <w:left w:val="nil"/>
              <w:bottom w:val="nil"/>
              <w:right w:val="nil"/>
            </w:tcBorders>
            <w:shd w:val="clear" w:color="auto" w:fill="auto"/>
            <w:hideMark/>
          </w:tcPr>
          <w:p w14:paraId="740B5D3C" w14:textId="77777777" w:rsidR="00386077" w:rsidRPr="006A451F" w:rsidRDefault="00386077" w:rsidP="00386077">
            <w:pPr>
              <w:rPr>
                <w:rFonts w:ascii="Arial" w:hAnsi="Arial" w:cs="Arial"/>
                <w:sz w:val="16"/>
                <w:szCs w:val="16"/>
                <w:lang w:eastAsia="es-AR"/>
              </w:rPr>
            </w:pPr>
            <w:r w:rsidRPr="006A451F">
              <w:rPr>
                <w:rFonts w:ascii="Arial" w:hAnsi="Arial" w:cs="Arial"/>
                <w:sz w:val="16"/>
                <w:szCs w:val="16"/>
                <w:lang w:eastAsia="es-AR"/>
              </w:rPr>
              <w:t>Por otras obligaciones negociables subordinadas</w:t>
            </w:r>
          </w:p>
        </w:tc>
        <w:tc>
          <w:tcPr>
            <w:tcW w:w="2260" w:type="dxa"/>
            <w:gridSpan w:val="3"/>
            <w:tcBorders>
              <w:top w:val="nil"/>
              <w:left w:val="nil"/>
              <w:bottom w:val="nil"/>
              <w:right w:val="nil"/>
            </w:tcBorders>
            <w:shd w:val="clear" w:color="auto" w:fill="auto"/>
          </w:tcPr>
          <w:p w14:paraId="7304C9EB" w14:textId="65F30CA5"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-111.198</w:t>
            </w:r>
          </w:p>
        </w:tc>
      </w:tr>
      <w:tr w:rsidR="00386077" w:rsidRPr="006A451F" w14:paraId="4AAB9F89" w14:textId="77777777" w:rsidTr="00386077">
        <w:trPr>
          <w:trHeight w:val="80"/>
        </w:trPr>
        <w:tc>
          <w:tcPr>
            <w:tcW w:w="7260" w:type="dxa"/>
            <w:gridSpan w:val="3"/>
            <w:tcBorders>
              <w:top w:val="nil"/>
              <w:left w:val="nil"/>
              <w:bottom w:val="nil"/>
              <w:right w:val="nil"/>
            </w:tcBorders>
            <w:shd w:val="clear" w:color="auto" w:fill="auto"/>
            <w:hideMark/>
          </w:tcPr>
          <w:p w14:paraId="713FAD6C" w14:textId="77777777" w:rsidR="00386077" w:rsidRPr="006A451F" w:rsidRDefault="00386077" w:rsidP="00386077">
            <w:pPr>
              <w:jc w:val="right"/>
              <w:rPr>
                <w:rFonts w:ascii="Arial" w:hAnsi="Arial" w:cs="Arial"/>
                <w:sz w:val="16"/>
                <w:szCs w:val="16"/>
                <w:lang w:eastAsia="es-AR"/>
              </w:rPr>
            </w:pPr>
          </w:p>
        </w:tc>
        <w:tc>
          <w:tcPr>
            <w:tcW w:w="2260" w:type="dxa"/>
            <w:gridSpan w:val="3"/>
            <w:tcBorders>
              <w:top w:val="nil"/>
              <w:left w:val="nil"/>
              <w:bottom w:val="nil"/>
              <w:right w:val="nil"/>
            </w:tcBorders>
            <w:shd w:val="clear" w:color="auto" w:fill="auto"/>
          </w:tcPr>
          <w:p w14:paraId="32ED0A29" w14:textId="77777777" w:rsidR="00386077" w:rsidRPr="00386077" w:rsidRDefault="00386077" w:rsidP="00386077">
            <w:pPr>
              <w:rPr>
                <w:rFonts w:ascii="Arial" w:hAnsi="Arial" w:cs="Arial"/>
                <w:sz w:val="16"/>
                <w:szCs w:val="16"/>
                <w:lang w:eastAsia="es-AR"/>
              </w:rPr>
            </w:pPr>
          </w:p>
        </w:tc>
      </w:tr>
      <w:tr w:rsidR="00386077" w:rsidRPr="006A451F" w14:paraId="77493C06" w14:textId="77777777" w:rsidTr="006E1AF7">
        <w:trPr>
          <w:trHeight w:val="259"/>
        </w:trPr>
        <w:tc>
          <w:tcPr>
            <w:tcW w:w="7260" w:type="dxa"/>
            <w:gridSpan w:val="3"/>
            <w:tcBorders>
              <w:top w:val="nil"/>
              <w:left w:val="nil"/>
              <w:bottom w:val="nil"/>
              <w:right w:val="nil"/>
            </w:tcBorders>
            <w:shd w:val="clear" w:color="auto" w:fill="auto"/>
            <w:hideMark/>
          </w:tcPr>
          <w:p w14:paraId="3514200A" w14:textId="77777777" w:rsidR="00386077" w:rsidRPr="006A451F" w:rsidRDefault="00386077" w:rsidP="00386077">
            <w:pPr>
              <w:rPr>
                <w:rFonts w:ascii="Arial" w:hAnsi="Arial" w:cs="Arial"/>
                <w:b/>
                <w:bCs/>
                <w:sz w:val="16"/>
                <w:szCs w:val="16"/>
                <w:lang w:eastAsia="es-AR"/>
              </w:rPr>
            </w:pPr>
            <w:r w:rsidRPr="006A451F">
              <w:rPr>
                <w:rFonts w:ascii="Arial" w:hAnsi="Arial" w:cs="Arial"/>
                <w:b/>
                <w:bCs/>
                <w:sz w:val="16"/>
                <w:szCs w:val="16"/>
                <w:lang w:eastAsia="es-AR"/>
              </w:rPr>
              <w:t>TOTAL</w:t>
            </w:r>
          </w:p>
        </w:tc>
        <w:tc>
          <w:tcPr>
            <w:tcW w:w="2260" w:type="dxa"/>
            <w:gridSpan w:val="3"/>
            <w:tcBorders>
              <w:top w:val="single" w:sz="4" w:space="0" w:color="auto"/>
              <w:left w:val="nil"/>
              <w:bottom w:val="single" w:sz="4" w:space="0" w:color="auto"/>
              <w:right w:val="nil"/>
            </w:tcBorders>
            <w:shd w:val="clear" w:color="auto" w:fill="auto"/>
            <w:vAlign w:val="center"/>
          </w:tcPr>
          <w:p w14:paraId="601DEE3B" w14:textId="383904E9" w:rsidR="00386077" w:rsidRPr="009C1CE7" w:rsidRDefault="00386077">
            <w:pPr>
              <w:jc w:val="right"/>
              <w:rPr>
                <w:rFonts w:ascii="Arial" w:hAnsi="Arial" w:cs="Arial"/>
                <w:b/>
                <w:bCs/>
                <w:sz w:val="16"/>
                <w:szCs w:val="16"/>
                <w:lang w:eastAsia="es-AR"/>
              </w:rPr>
            </w:pPr>
            <w:r w:rsidRPr="006E1AF7">
              <w:rPr>
                <w:rFonts w:ascii="Arial" w:hAnsi="Arial" w:cs="Arial"/>
                <w:b/>
                <w:sz w:val="16"/>
                <w:szCs w:val="16"/>
              </w:rPr>
              <w:t>-27.095.878</w:t>
            </w:r>
          </w:p>
        </w:tc>
      </w:tr>
    </w:tbl>
    <w:p w14:paraId="731BEBC1" w14:textId="0BBB95D3" w:rsidR="00C7765D" w:rsidRDefault="00C7765D">
      <w:r>
        <w:br w:type="page"/>
      </w:r>
    </w:p>
    <w:tbl>
      <w:tblPr>
        <w:tblW w:w="9520" w:type="dxa"/>
        <w:tblInd w:w="75" w:type="dxa"/>
        <w:tblCellMar>
          <w:left w:w="70" w:type="dxa"/>
          <w:right w:w="70" w:type="dxa"/>
        </w:tblCellMar>
        <w:tblLook w:val="04A0" w:firstRow="1" w:lastRow="0" w:firstColumn="1" w:lastColumn="0" w:noHBand="0" w:noVBand="1"/>
      </w:tblPr>
      <w:tblGrid>
        <w:gridCol w:w="7880"/>
        <w:gridCol w:w="1640"/>
      </w:tblGrid>
      <w:tr w:rsidR="00C7765D" w:rsidRPr="006A451F" w14:paraId="5CDD0A7A" w14:textId="77777777" w:rsidTr="00257726">
        <w:trPr>
          <w:trHeight w:val="630"/>
        </w:trPr>
        <w:tc>
          <w:tcPr>
            <w:tcW w:w="7880" w:type="dxa"/>
            <w:tcBorders>
              <w:top w:val="single" w:sz="4" w:space="0" w:color="auto"/>
              <w:left w:val="single" w:sz="4" w:space="0" w:color="auto"/>
              <w:bottom w:val="single" w:sz="4" w:space="0" w:color="auto"/>
              <w:right w:val="single" w:sz="4" w:space="0" w:color="auto"/>
            </w:tcBorders>
            <w:shd w:val="clear" w:color="000000" w:fill="B2B2B2"/>
            <w:vAlign w:val="center"/>
            <w:hideMark/>
          </w:tcPr>
          <w:p w14:paraId="167DF7E3" w14:textId="77777777" w:rsidR="00C7765D" w:rsidRPr="006A451F" w:rsidRDefault="00C7765D" w:rsidP="00257726">
            <w:pPr>
              <w:rPr>
                <w:rFonts w:ascii="Arial" w:hAnsi="Arial" w:cs="Arial"/>
                <w:b/>
                <w:bCs/>
                <w:sz w:val="18"/>
                <w:szCs w:val="18"/>
                <w:lang w:eastAsia="es-AR"/>
              </w:rPr>
            </w:pPr>
            <w:r w:rsidRPr="006A451F">
              <w:rPr>
                <w:rFonts w:ascii="Arial" w:hAnsi="Arial" w:cs="Arial"/>
                <w:b/>
                <w:bCs/>
                <w:sz w:val="18"/>
                <w:szCs w:val="18"/>
                <w:lang w:eastAsia="es-AR"/>
              </w:rPr>
              <w:t>Ingresos por Comisiones</w:t>
            </w:r>
          </w:p>
        </w:tc>
        <w:tc>
          <w:tcPr>
            <w:tcW w:w="1640" w:type="dxa"/>
            <w:tcBorders>
              <w:top w:val="single" w:sz="4" w:space="0" w:color="auto"/>
              <w:left w:val="nil"/>
              <w:bottom w:val="single" w:sz="4" w:space="0" w:color="auto"/>
              <w:right w:val="single" w:sz="4" w:space="0" w:color="auto"/>
            </w:tcBorders>
            <w:shd w:val="clear" w:color="000000" w:fill="B2B2B2"/>
            <w:hideMark/>
          </w:tcPr>
          <w:p w14:paraId="799B7B7B" w14:textId="77777777" w:rsidR="00C7765D" w:rsidRPr="006A451F" w:rsidRDefault="00C7765D" w:rsidP="00257726">
            <w:pPr>
              <w:jc w:val="center"/>
              <w:rPr>
                <w:rFonts w:ascii="Arial" w:hAnsi="Arial" w:cs="Arial"/>
                <w:b/>
                <w:bCs/>
                <w:sz w:val="18"/>
                <w:szCs w:val="18"/>
                <w:lang w:eastAsia="es-AR"/>
              </w:rPr>
            </w:pPr>
            <w:r w:rsidRPr="006A451F">
              <w:rPr>
                <w:rFonts w:ascii="Arial" w:hAnsi="Arial" w:cs="Arial"/>
                <w:b/>
                <w:bCs/>
                <w:sz w:val="18"/>
                <w:szCs w:val="18"/>
                <w:lang w:eastAsia="es-AR"/>
              </w:rPr>
              <w:t>Resultado del ejercicio</w:t>
            </w:r>
          </w:p>
        </w:tc>
      </w:tr>
      <w:tr w:rsidR="00C7765D" w:rsidRPr="006A451F" w14:paraId="55BC0484" w14:textId="77777777" w:rsidTr="00257726">
        <w:trPr>
          <w:trHeight w:val="255"/>
        </w:trPr>
        <w:tc>
          <w:tcPr>
            <w:tcW w:w="7880" w:type="dxa"/>
            <w:tcBorders>
              <w:top w:val="nil"/>
              <w:left w:val="nil"/>
              <w:bottom w:val="nil"/>
              <w:right w:val="nil"/>
            </w:tcBorders>
            <w:shd w:val="clear" w:color="auto" w:fill="auto"/>
            <w:hideMark/>
          </w:tcPr>
          <w:p w14:paraId="26E7E0A2" w14:textId="77777777" w:rsidR="00C7765D" w:rsidRPr="006A451F" w:rsidRDefault="00C7765D" w:rsidP="00257726">
            <w:pPr>
              <w:jc w:val="center"/>
              <w:rPr>
                <w:rFonts w:ascii="Arial" w:hAnsi="Arial" w:cs="Arial"/>
                <w:b/>
                <w:bCs/>
                <w:sz w:val="18"/>
                <w:szCs w:val="18"/>
                <w:lang w:eastAsia="es-AR"/>
              </w:rPr>
            </w:pPr>
          </w:p>
        </w:tc>
        <w:tc>
          <w:tcPr>
            <w:tcW w:w="1640" w:type="dxa"/>
            <w:tcBorders>
              <w:top w:val="nil"/>
              <w:left w:val="nil"/>
              <w:bottom w:val="nil"/>
              <w:right w:val="nil"/>
            </w:tcBorders>
            <w:shd w:val="clear" w:color="auto" w:fill="auto"/>
            <w:hideMark/>
          </w:tcPr>
          <w:p w14:paraId="28A1796D" w14:textId="77777777" w:rsidR="00C7765D" w:rsidRPr="006A451F" w:rsidRDefault="00C7765D" w:rsidP="00257726">
            <w:pPr>
              <w:rPr>
                <w:sz w:val="18"/>
                <w:szCs w:val="18"/>
                <w:lang w:eastAsia="es-AR"/>
              </w:rPr>
            </w:pPr>
          </w:p>
        </w:tc>
      </w:tr>
      <w:tr w:rsidR="00386077" w:rsidRPr="006A451F" w14:paraId="4AA3FB69" w14:textId="77777777" w:rsidTr="00386077">
        <w:trPr>
          <w:trHeight w:val="255"/>
        </w:trPr>
        <w:tc>
          <w:tcPr>
            <w:tcW w:w="7880" w:type="dxa"/>
            <w:tcBorders>
              <w:top w:val="nil"/>
              <w:left w:val="nil"/>
              <w:bottom w:val="nil"/>
              <w:right w:val="nil"/>
            </w:tcBorders>
            <w:shd w:val="clear" w:color="auto" w:fill="auto"/>
            <w:hideMark/>
          </w:tcPr>
          <w:p w14:paraId="29062574" w14:textId="77777777" w:rsidR="00386077" w:rsidRPr="006A451F" w:rsidRDefault="00386077" w:rsidP="00386077">
            <w:pPr>
              <w:rPr>
                <w:rFonts w:ascii="Arial" w:hAnsi="Arial" w:cs="Arial"/>
                <w:sz w:val="18"/>
                <w:szCs w:val="18"/>
                <w:lang w:eastAsia="es-AR"/>
              </w:rPr>
            </w:pPr>
            <w:r w:rsidRPr="006A451F">
              <w:rPr>
                <w:rFonts w:ascii="Arial" w:hAnsi="Arial" w:cs="Arial"/>
                <w:sz w:val="18"/>
                <w:szCs w:val="18"/>
                <w:lang w:eastAsia="es-AR"/>
              </w:rPr>
              <w:t>Comisiones vinculadas con obligaciones</w:t>
            </w:r>
          </w:p>
        </w:tc>
        <w:tc>
          <w:tcPr>
            <w:tcW w:w="1640" w:type="dxa"/>
            <w:tcBorders>
              <w:top w:val="nil"/>
              <w:left w:val="nil"/>
              <w:bottom w:val="nil"/>
              <w:right w:val="nil"/>
            </w:tcBorders>
            <w:shd w:val="clear" w:color="auto" w:fill="auto"/>
          </w:tcPr>
          <w:p w14:paraId="6BD7A363" w14:textId="6D63B128"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2.897.100</w:t>
            </w:r>
          </w:p>
        </w:tc>
      </w:tr>
      <w:tr w:rsidR="00386077" w:rsidRPr="006A451F" w14:paraId="2302A92B" w14:textId="77777777" w:rsidTr="00386077">
        <w:trPr>
          <w:trHeight w:val="255"/>
        </w:trPr>
        <w:tc>
          <w:tcPr>
            <w:tcW w:w="7880" w:type="dxa"/>
            <w:tcBorders>
              <w:top w:val="nil"/>
              <w:left w:val="nil"/>
              <w:bottom w:val="nil"/>
              <w:right w:val="nil"/>
            </w:tcBorders>
            <w:shd w:val="clear" w:color="auto" w:fill="auto"/>
            <w:hideMark/>
          </w:tcPr>
          <w:p w14:paraId="0FF0BB19" w14:textId="77777777" w:rsidR="00386077" w:rsidRPr="006A451F" w:rsidRDefault="00386077" w:rsidP="00386077">
            <w:pPr>
              <w:rPr>
                <w:rFonts w:ascii="Arial" w:hAnsi="Arial" w:cs="Arial"/>
                <w:sz w:val="18"/>
                <w:szCs w:val="18"/>
                <w:lang w:eastAsia="es-AR"/>
              </w:rPr>
            </w:pPr>
            <w:r w:rsidRPr="006A451F">
              <w:rPr>
                <w:rFonts w:ascii="Arial" w:hAnsi="Arial" w:cs="Arial"/>
                <w:sz w:val="18"/>
                <w:szCs w:val="18"/>
                <w:lang w:eastAsia="es-AR"/>
              </w:rPr>
              <w:t>Comisiones vinculadas con créditos</w:t>
            </w:r>
          </w:p>
        </w:tc>
        <w:tc>
          <w:tcPr>
            <w:tcW w:w="1640" w:type="dxa"/>
            <w:tcBorders>
              <w:top w:val="nil"/>
              <w:left w:val="nil"/>
              <w:bottom w:val="nil"/>
              <w:right w:val="nil"/>
            </w:tcBorders>
            <w:shd w:val="clear" w:color="auto" w:fill="auto"/>
          </w:tcPr>
          <w:p w14:paraId="21465A4B" w14:textId="24902C44"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1.790.126</w:t>
            </w:r>
          </w:p>
        </w:tc>
      </w:tr>
      <w:tr w:rsidR="00386077" w:rsidRPr="006A451F" w14:paraId="7A78E2A6" w14:textId="77777777" w:rsidTr="00386077">
        <w:trPr>
          <w:trHeight w:val="255"/>
        </w:trPr>
        <w:tc>
          <w:tcPr>
            <w:tcW w:w="7880" w:type="dxa"/>
            <w:tcBorders>
              <w:top w:val="nil"/>
              <w:left w:val="nil"/>
              <w:bottom w:val="nil"/>
              <w:right w:val="nil"/>
            </w:tcBorders>
            <w:shd w:val="clear" w:color="auto" w:fill="auto"/>
            <w:hideMark/>
          </w:tcPr>
          <w:p w14:paraId="382099C2" w14:textId="77777777" w:rsidR="00386077" w:rsidRPr="006A451F" w:rsidRDefault="00386077" w:rsidP="00386077">
            <w:pPr>
              <w:rPr>
                <w:rFonts w:ascii="Arial" w:hAnsi="Arial" w:cs="Arial"/>
                <w:sz w:val="18"/>
                <w:szCs w:val="18"/>
                <w:lang w:eastAsia="es-AR"/>
              </w:rPr>
            </w:pPr>
            <w:r w:rsidRPr="006A451F">
              <w:rPr>
                <w:rFonts w:ascii="Arial" w:hAnsi="Arial" w:cs="Arial"/>
                <w:sz w:val="18"/>
                <w:szCs w:val="18"/>
                <w:lang w:eastAsia="es-AR"/>
              </w:rPr>
              <w:t>Comisiones vinculadas con compromisos de préstamos y garantías financieras</w:t>
            </w:r>
          </w:p>
        </w:tc>
        <w:tc>
          <w:tcPr>
            <w:tcW w:w="1640" w:type="dxa"/>
            <w:tcBorders>
              <w:top w:val="nil"/>
              <w:left w:val="nil"/>
              <w:bottom w:val="nil"/>
              <w:right w:val="nil"/>
            </w:tcBorders>
            <w:shd w:val="clear" w:color="auto" w:fill="auto"/>
          </w:tcPr>
          <w:p w14:paraId="55B777B9" w14:textId="49FEF35C"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17.194</w:t>
            </w:r>
          </w:p>
        </w:tc>
      </w:tr>
      <w:tr w:rsidR="00386077" w:rsidRPr="006A451F" w14:paraId="0A63A978" w14:textId="77777777" w:rsidTr="00386077">
        <w:trPr>
          <w:trHeight w:val="255"/>
        </w:trPr>
        <w:tc>
          <w:tcPr>
            <w:tcW w:w="7880" w:type="dxa"/>
            <w:tcBorders>
              <w:top w:val="nil"/>
              <w:left w:val="nil"/>
              <w:bottom w:val="nil"/>
              <w:right w:val="nil"/>
            </w:tcBorders>
            <w:shd w:val="clear" w:color="auto" w:fill="auto"/>
            <w:hideMark/>
          </w:tcPr>
          <w:p w14:paraId="0A9BF078" w14:textId="77777777" w:rsidR="00386077" w:rsidRPr="006A451F" w:rsidRDefault="00386077" w:rsidP="00386077">
            <w:pPr>
              <w:rPr>
                <w:rFonts w:ascii="Arial" w:hAnsi="Arial" w:cs="Arial"/>
                <w:sz w:val="18"/>
                <w:szCs w:val="18"/>
                <w:lang w:eastAsia="es-AR"/>
              </w:rPr>
            </w:pPr>
            <w:r w:rsidRPr="006A451F">
              <w:rPr>
                <w:rFonts w:ascii="Arial" w:hAnsi="Arial" w:cs="Arial"/>
                <w:sz w:val="18"/>
                <w:szCs w:val="18"/>
                <w:lang w:eastAsia="es-AR"/>
              </w:rPr>
              <w:t>Comisiones vinculadas con valores mobiliarios</w:t>
            </w:r>
          </w:p>
        </w:tc>
        <w:tc>
          <w:tcPr>
            <w:tcW w:w="1640" w:type="dxa"/>
            <w:tcBorders>
              <w:top w:val="nil"/>
              <w:left w:val="nil"/>
              <w:bottom w:val="nil"/>
              <w:right w:val="nil"/>
            </w:tcBorders>
            <w:shd w:val="clear" w:color="auto" w:fill="auto"/>
          </w:tcPr>
          <w:p w14:paraId="1B64F04E" w14:textId="54CAF546"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10.263</w:t>
            </w:r>
          </w:p>
        </w:tc>
      </w:tr>
      <w:tr w:rsidR="00386077" w:rsidRPr="006A451F" w14:paraId="23302944" w14:textId="77777777" w:rsidTr="00386077">
        <w:trPr>
          <w:trHeight w:val="255"/>
        </w:trPr>
        <w:tc>
          <w:tcPr>
            <w:tcW w:w="7880" w:type="dxa"/>
            <w:tcBorders>
              <w:top w:val="nil"/>
              <w:left w:val="nil"/>
              <w:bottom w:val="nil"/>
              <w:right w:val="nil"/>
            </w:tcBorders>
            <w:shd w:val="clear" w:color="auto" w:fill="auto"/>
            <w:hideMark/>
          </w:tcPr>
          <w:p w14:paraId="2C691EDC" w14:textId="77777777" w:rsidR="00386077" w:rsidRPr="006A451F" w:rsidRDefault="00386077" w:rsidP="00386077">
            <w:pPr>
              <w:rPr>
                <w:rFonts w:ascii="Arial" w:hAnsi="Arial" w:cs="Arial"/>
                <w:sz w:val="18"/>
                <w:szCs w:val="18"/>
                <w:lang w:eastAsia="es-AR"/>
              </w:rPr>
            </w:pPr>
            <w:r w:rsidRPr="006A451F">
              <w:rPr>
                <w:rFonts w:ascii="Arial" w:hAnsi="Arial" w:cs="Arial"/>
                <w:sz w:val="18"/>
                <w:szCs w:val="18"/>
                <w:lang w:eastAsia="es-AR"/>
              </w:rPr>
              <w:t>Comisiones por gestión de cobranza</w:t>
            </w:r>
          </w:p>
        </w:tc>
        <w:tc>
          <w:tcPr>
            <w:tcW w:w="1640" w:type="dxa"/>
            <w:tcBorders>
              <w:top w:val="nil"/>
              <w:left w:val="nil"/>
              <w:bottom w:val="nil"/>
              <w:right w:val="nil"/>
            </w:tcBorders>
            <w:shd w:val="clear" w:color="auto" w:fill="auto"/>
          </w:tcPr>
          <w:p w14:paraId="57D1B596" w14:textId="51C9EC52" w:rsidR="00386077" w:rsidRPr="00386077" w:rsidRDefault="00386077" w:rsidP="00386077">
            <w:pPr>
              <w:jc w:val="right"/>
              <w:rPr>
                <w:rFonts w:ascii="Arial" w:hAnsi="Arial" w:cs="Arial"/>
                <w:sz w:val="16"/>
                <w:szCs w:val="16"/>
                <w:lang w:eastAsia="es-AR"/>
              </w:rPr>
            </w:pPr>
            <w:r>
              <w:rPr>
                <w:rFonts w:ascii="Arial" w:hAnsi="Arial" w:cs="Arial"/>
                <w:sz w:val="16"/>
                <w:szCs w:val="16"/>
                <w:lang w:eastAsia="es-AR"/>
              </w:rPr>
              <w:t>-</w:t>
            </w:r>
          </w:p>
        </w:tc>
      </w:tr>
      <w:tr w:rsidR="00386077" w:rsidRPr="006A451F" w14:paraId="15226433" w14:textId="77777777" w:rsidTr="00386077">
        <w:trPr>
          <w:trHeight w:val="255"/>
        </w:trPr>
        <w:tc>
          <w:tcPr>
            <w:tcW w:w="7880" w:type="dxa"/>
            <w:tcBorders>
              <w:top w:val="nil"/>
              <w:left w:val="nil"/>
              <w:bottom w:val="nil"/>
              <w:right w:val="nil"/>
            </w:tcBorders>
            <w:shd w:val="clear" w:color="auto" w:fill="auto"/>
            <w:hideMark/>
          </w:tcPr>
          <w:p w14:paraId="09ABCD27" w14:textId="77777777" w:rsidR="00386077" w:rsidRPr="006A451F" w:rsidRDefault="00386077" w:rsidP="00386077">
            <w:pPr>
              <w:rPr>
                <w:rFonts w:ascii="Arial" w:hAnsi="Arial" w:cs="Arial"/>
                <w:sz w:val="18"/>
                <w:szCs w:val="18"/>
                <w:lang w:eastAsia="es-AR"/>
              </w:rPr>
            </w:pPr>
            <w:r w:rsidRPr="006A451F">
              <w:rPr>
                <w:rFonts w:ascii="Arial" w:hAnsi="Arial" w:cs="Arial"/>
                <w:sz w:val="18"/>
                <w:szCs w:val="18"/>
                <w:lang w:eastAsia="es-AR"/>
              </w:rPr>
              <w:t>Alquiler de cajas de seguridad</w:t>
            </w:r>
          </w:p>
        </w:tc>
        <w:tc>
          <w:tcPr>
            <w:tcW w:w="1640" w:type="dxa"/>
            <w:tcBorders>
              <w:top w:val="nil"/>
              <w:left w:val="nil"/>
              <w:bottom w:val="nil"/>
              <w:right w:val="nil"/>
            </w:tcBorders>
            <w:shd w:val="clear" w:color="auto" w:fill="auto"/>
          </w:tcPr>
          <w:p w14:paraId="1EEA1488" w14:textId="0D89B1CD" w:rsidR="00386077" w:rsidRPr="00386077" w:rsidRDefault="00386077" w:rsidP="00386077">
            <w:pPr>
              <w:jc w:val="right"/>
              <w:rPr>
                <w:rFonts w:ascii="Arial" w:hAnsi="Arial" w:cs="Arial"/>
                <w:sz w:val="16"/>
                <w:szCs w:val="16"/>
                <w:lang w:eastAsia="es-AR"/>
              </w:rPr>
            </w:pPr>
            <w:r>
              <w:rPr>
                <w:rFonts w:ascii="Arial" w:hAnsi="Arial" w:cs="Arial"/>
                <w:sz w:val="16"/>
                <w:szCs w:val="16"/>
                <w:lang w:eastAsia="es-AR"/>
              </w:rPr>
              <w:t>-</w:t>
            </w:r>
          </w:p>
        </w:tc>
      </w:tr>
      <w:tr w:rsidR="00386077" w:rsidRPr="006A451F" w14:paraId="6192D6A1" w14:textId="77777777" w:rsidTr="00386077">
        <w:trPr>
          <w:trHeight w:val="255"/>
        </w:trPr>
        <w:tc>
          <w:tcPr>
            <w:tcW w:w="7880" w:type="dxa"/>
            <w:tcBorders>
              <w:top w:val="nil"/>
              <w:left w:val="nil"/>
              <w:bottom w:val="nil"/>
              <w:right w:val="nil"/>
            </w:tcBorders>
            <w:shd w:val="clear" w:color="auto" w:fill="auto"/>
            <w:hideMark/>
          </w:tcPr>
          <w:p w14:paraId="636AB43E" w14:textId="77777777" w:rsidR="00386077" w:rsidRPr="006A451F" w:rsidRDefault="00386077" w:rsidP="00386077">
            <w:pPr>
              <w:rPr>
                <w:rFonts w:ascii="Arial" w:hAnsi="Arial" w:cs="Arial"/>
                <w:sz w:val="18"/>
                <w:szCs w:val="18"/>
                <w:lang w:eastAsia="es-AR"/>
              </w:rPr>
            </w:pPr>
            <w:r w:rsidRPr="006A451F">
              <w:rPr>
                <w:rFonts w:ascii="Arial" w:hAnsi="Arial" w:cs="Arial"/>
                <w:sz w:val="18"/>
                <w:szCs w:val="18"/>
                <w:lang w:eastAsia="es-AR"/>
              </w:rPr>
              <w:t>Comisiones por operaciones de exterior y cambio</w:t>
            </w:r>
          </w:p>
        </w:tc>
        <w:tc>
          <w:tcPr>
            <w:tcW w:w="1640" w:type="dxa"/>
            <w:tcBorders>
              <w:top w:val="nil"/>
              <w:left w:val="nil"/>
              <w:bottom w:val="nil"/>
              <w:right w:val="nil"/>
            </w:tcBorders>
            <w:shd w:val="clear" w:color="auto" w:fill="auto"/>
          </w:tcPr>
          <w:p w14:paraId="0F91A5D0" w14:textId="233334B8"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284.624</w:t>
            </w:r>
          </w:p>
        </w:tc>
      </w:tr>
      <w:tr w:rsidR="00386077" w:rsidRPr="006A451F" w14:paraId="030CADA5" w14:textId="77777777" w:rsidTr="00386077">
        <w:trPr>
          <w:trHeight w:val="255"/>
        </w:trPr>
        <w:tc>
          <w:tcPr>
            <w:tcW w:w="7880" w:type="dxa"/>
            <w:tcBorders>
              <w:top w:val="nil"/>
              <w:left w:val="nil"/>
              <w:bottom w:val="nil"/>
              <w:right w:val="nil"/>
            </w:tcBorders>
            <w:shd w:val="clear" w:color="auto" w:fill="auto"/>
            <w:hideMark/>
          </w:tcPr>
          <w:p w14:paraId="5940D5EC" w14:textId="77777777" w:rsidR="00386077" w:rsidRPr="006A451F" w:rsidRDefault="00386077" w:rsidP="00386077">
            <w:pPr>
              <w:rPr>
                <w:rFonts w:ascii="Arial" w:hAnsi="Arial" w:cs="Arial"/>
                <w:sz w:val="18"/>
                <w:szCs w:val="18"/>
                <w:lang w:eastAsia="es-AR"/>
              </w:rPr>
            </w:pPr>
            <w:r w:rsidRPr="006A451F">
              <w:rPr>
                <w:rFonts w:ascii="Arial" w:hAnsi="Arial" w:cs="Arial"/>
                <w:sz w:val="18"/>
                <w:szCs w:val="18"/>
                <w:lang w:eastAsia="es-AR"/>
              </w:rPr>
              <w:t>Otros</w:t>
            </w:r>
          </w:p>
        </w:tc>
        <w:tc>
          <w:tcPr>
            <w:tcW w:w="1640" w:type="dxa"/>
            <w:tcBorders>
              <w:top w:val="nil"/>
              <w:left w:val="nil"/>
              <w:bottom w:val="nil"/>
              <w:right w:val="nil"/>
            </w:tcBorders>
            <w:shd w:val="clear" w:color="auto" w:fill="auto"/>
          </w:tcPr>
          <w:p w14:paraId="275BAD1B" w14:textId="7E7A2FA3" w:rsidR="00386077" w:rsidRPr="00386077" w:rsidRDefault="00386077" w:rsidP="00386077">
            <w:pPr>
              <w:jc w:val="right"/>
              <w:rPr>
                <w:rFonts w:ascii="Arial" w:hAnsi="Arial" w:cs="Arial"/>
                <w:sz w:val="16"/>
                <w:szCs w:val="16"/>
                <w:lang w:eastAsia="es-AR"/>
              </w:rPr>
            </w:pPr>
            <w:r w:rsidRPr="00386077">
              <w:rPr>
                <w:rFonts w:ascii="Arial" w:hAnsi="Arial" w:cs="Arial"/>
                <w:sz w:val="16"/>
                <w:szCs w:val="16"/>
              </w:rPr>
              <w:t>290.992</w:t>
            </w:r>
          </w:p>
        </w:tc>
      </w:tr>
      <w:tr w:rsidR="00386077" w:rsidRPr="006A451F" w14:paraId="58859DD1" w14:textId="77777777" w:rsidTr="00386077">
        <w:trPr>
          <w:trHeight w:val="255"/>
        </w:trPr>
        <w:tc>
          <w:tcPr>
            <w:tcW w:w="7880" w:type="dxa"/>
            <w:tcBorders>
              <w:top w:val="nil"/>
              <w:left w:val="nil"/>
              <w:bottom w:val="nil"/>
              <w:right w:val="nil"/>
            </w:tcBorders>
            <w:shd w:val="clear" w:color="auto" w:fill="auto"/>
            <w:hideMark/>
          </w:tcPr>
          <w:p w14:paraId="186E3556" w14:textId="77777777" w:rsidR="00386077" w:rsidRPr="006A451F" w:rsidRDefault="00386077" w:rsidP="00386077">
            <w:pPr>
              <w:jc w:val="right"/>
              <w:rPr>
                <w:rFonts w:ascii="Arial" w:hAnsi="Arial" w:cs="Arial"/>
                <w:sz w:val="18"/>
                <w:szCs w:val="18"/>
                <w:lang w:eastAsia="es-AR"/>
              </w:rPr>
            </w:pPr>
          </w:p>
        </w:tc>
        <w:tc>
          <w:tcPr>
            <w:tcW w:w="1640" w:type="dxa"/>
            <w:tcBorders>
              <w:top w:val="nil"/>
              <w:left w:val="nil"/>
              <w:bottom w:val="nil"/>
              <w:right w:val="nil"/>
            </w:tcBorders>
            <w:shd w:val="clear" w:color="auto" w:fill="auto"/>
          </w:tcPr>
          <w:p w14:paraId="5700E608" w14:textId="77777777" w:rsidR="00386077" w:rsidRPr="00386077" w:rsidRDefault="00386077" w:rsidP="00386077">
            <w:pPr>
              <w:rPr>
                <w:rFonts w:ascii="Arial" w:hAnsi="Arial" w:cs="Arial"/>
                <w:sz w:val="16"/>
                <w:szCs w:val="16"/>
                <w:lang w:eastAsia="es-AR"/>
              </w:rPr>
            </w:pPr>
          </w:p>
        </w:tc>
      </w:tr>
      <w:tr w:rsidR="00386077" w:rsidRPr="006A451F" w14:paraId="785451A4" w14:textId="77777777" w:rsidTr="006E1AF7">
        <w:trPr>
          <w:trHeight w:val="255"/>
        </w:trPr>
        <w:tc>
          <w:tcPr>
            <w:tcW w:w="7880" w:type="dxa"/>
            <w:tcBorders>
              <w:top w:val="nil"/>
              <w:left w:val="nil"/>
              <w:bottom w:val="nil"/>
              <w:right w:val="nil"/>
            </w:tcBorders>
            <w:shd w:val="clear" w:color="auto" w:fill="auto"/>
            <w:hideMark/>
          </w:tcPr>
          <w:p w14:paraId="19043DC2" w14:textId="77777777" w:rsidR="00386077" w:rsidRPr="006A451F" w:rsidRDefault="00386077" w:rsidP="00386077">
            <w:pPr>
              <w:rPr>
                <w:rFonts w:ascii="Arial" w:hAnsi="Arial" w:cs="Arial"/>
                <w:b/>
                <w:bCs/>
                <w:sz w:val="18"/>
                <w:szCs w:val="18"/>
                <w:lang w:eastAsia="es-AR"/>
              </w:rPr>
            </w:pPr>
            <w:r w:rsidRPr="006A451F">
              <w:rPr>
                <w:rFonts w:ascii="Arial" w:hAnsi="Arial" w:cs="Arial"/>
                <w:b/>
                <w:bCs/>
                <w:sz w:val="18"/>
                <w:szCs w:val="18"/>
                <w:lang w:eastAsia="es-AR"/>
              </w:rPr>
              <w:t>TOTAL</w:t>
            </w:r>
          </w:p>
        </w:tc>
        <w:tc>
          <w:tcPr>
            <w:tcW w:w="1640" w:type="dxa"/>
            <w:tcBorders>
              <w:top w:val="single" w:sz="4" w:space="0" w:color="auto"/>
              <w:left w:val="nil"/>
              <w:bottom w:val="single" w:sz="4" w:space="0" w:color="auto"/>
              <w:right w:val="nil"/>
            </w:tcBorders>
            <w:shd w:val="clear" w:color="auto" w:fill="auto"/>
            <w:vAlign w:val="center"/>
          </w:tcPr>
          <w:p w14:paraId="52C2055B" w14:textId="30827448" w:rsidR="00386077" w:rsidRPr="009C1CE7" w:rsidRDefault="00386077">
            <w:pPr>
              <w:jc w:val="right"/>
              <w:rPr>
                <w:rFonts w:ascii="Arial" w:hAnsi="Arial" w:cs="Arial"/>
                <w:b/>
                <w:bCs/>
                <w:sz w:val="16"/>
                <w:szCs w:val="16"/>
                <w:lang w:eastAsia="es-AR"/>
              </w:rPr>
            </w:pPr>
            <w:r w:rsidRPr="006E1AF7">
              <w:rPr>
                <w:rFonts w:ascii="Arial" w:hAnsi="Arial" w:cs="Arial"/>
                <w:b/>
                <w:sz w:val="16"/>
                <w:szCs w:val="16"/>
              </w:rPr>
              <w:t>5.290.299</w:t>
            </w:r>
          </w:p>
        </w:tc>
      </w:tr>
      <w:tr w:rsidR="00C7765D" w:rsidRPr="006A451F" w14:paraId="2E281B3B" w14:textId="77777777" w:rsidTr="00257726">
        <w:trPr>
          <w:trHeight w:val="255"/>
        </w:trPr>
        <w:tc>
          <w:tcPr>
            <w:tcW w:w="7880" w:type="dxa"/>
            <w:tcBorders>
              <w:top w:val="nil"/>
              <w:left w:val="nil"/>
              <w:bottom w:val="nil"/>
              <w:right w:val="nil"/>
            </w:tcBorders>
            <w:shd w:val="clear" w:color="auto" w:fill="auto"/>
            <w:hideMark/>
          </w:tcPr>
          <w:p w14:paraId="55CCFBC2" w14:textId="77777777" w:rsidR="00C7765D" w:rsidRPr="006A451F" w:rsidRDefault="00C7765D" w:rsidP="00257726">
            <w:pPr>
              <w:jc w:val="right"/>
              <w:rPr>
                <w:rFonts w:ascii="Arial" w:hAnsi="Arial" w:cs="Arial"/>
                <w:b/>
                <w:bCs/>
                <w:sz w:val="18"/>
                <w:szCs w:val="18"/>
                <w:lang w:eastAsia="es-AR"/>
              </w:rPr>
            </w:pPr>
          </w:p>
        </w:tc>
        <w:tc>
          <w:tcPr>
            <w:tcW w:w="1640" w:type="dxa"/>
            <w:tcBorders>
              <w:top w:val="nil"/>
              <w:left w:val="nil"/>
              <w:bottom w:val="nil"/>
              <w:right w:val="nil"/>
            </w:tcBorders>
            <w:shd w:val="clear" w:color="auto" w:fill="auto"/>
            <w:vAlign w:val="bottom"/>
            <w:hideMark/>
          </w:tcPr>
          <w:p w14:paraId="33E332FE" w14:textId="77777777" w:rsidR="00C7765D" w:rsidRPr="006A451F" w:rsidRDefault="00C7765D" w:rsidP="00257726">
            <w:pPr>
              <w:rPr>
                <w:sz w:val="18"/>
                <w:szCs w:val="18"/>
                <w:lang w:eastAsia="es-AR"/>
              </w:rPr>
            </w:pPr>
          </w:p>
        </w:tc>
      </w:tr>
      <w:tr w:rsidR="00C7765D" w:rsidRPr="006A451F" w14:paraId="35E50B6E" w14:textId="77777777" w:rsidTr="00257726">
        <w:trPr>
          <w:trHeight w:val="255"/>
        </w:trPr>
        <w:tc>
          <w:tcPr>
            <w:tcW w:w="7880" w:type="dxa"/>
            <w:tcBorders>
              <w:top w:val="nil"/>
              <w:left w:val="nil"/>
              <w:bottom w:val="nil"/>
              <w:right w:val="nil"/>
            </w:tcBorders>
            <w:shd w:val="clear" w:color="auto" w:fill="auto"/>
            <w:hideMark/>
          </w:tcPr>
          <w:p w14:paraId="53A981EC" w14:textId="77777777" w:rsidR="00C7765D" w:rsidRPr="006A451F" w:rsidRDefault="00C7765D" w:rsidP="00257726">
            <w:pPr>
              <w:rPr>
                <w:sz w:val="18"/>
                <w:szCs w:val="18"/>
                <w:lang w:eastAsia="es-AR"/>
              </w:rPr>
            </w:pPr>
          </w:p>
        </w:tc>
        <w:tc>
          <w:tcPr>
            <w:tcW w:w="1640" w:type="dxa"/>
            <w:tcBorders>
              <w:top w:val="nil"/>
              <w:left w:val="nil"/>
              <w:bottom w:val="nil"/>
              <w:right w:val="nil"/>
            </w:tcBorders>
            <w:shd w:val="clear" w:color="auto" w:fill="auto"/>
            <w:vAlign w:val="bottom"/>
            <w:hideMark/>
          </w:tcPr>
          <w:p w14:paraId="28EA0C42" w14:textId="77777777" w:rsidR="00C7765D" w:rsidRPr="006A451F" w:rsidRDefault="00C7765D" w:rsidP="00257726">
            <w:pPr>
              <w:rPr>
                <w:sz w:val="18"/>
                <w:szCs w:val="18"/>
                <w:lang w:eastAsia="es-AR"/>
              </w:rPr>
            </w:pPr>
          </w:p>
        </w:tc>
      </w:tr>
      <w:tr w:rsidR="00C7765D" w:rsidRPr="006A451F" w14:paraId="79D8DDBF" w14:textId="77777777" w:rsidTr="00257726">
        <w:trPr>
          <w:trHeight w:val="510"/>
        </w:trPr>
        <w:tc>
          <w:tcPr>
            <w:tcW w:w="7880" w:type="dxa"/>
            <w:tcBorders>
              <w:top w:val="single" w:sz="4" w:space="0" w:color="auto"/>
              <w:left w:val="single" w:sz="4" w:space="0" w:color="auto"/>
              <w:bottom w:val="single" w:sz="4" w:space="0" w:color="auto"/>
              <w:right w:val="single" w:sz="4" w:space="0" w:color="auto"/>
            </w:tcBorders>
            <w:shd w:val="clear" w:color="000000" w:fill="B2B2B2"/>
            <w:vAlign w:val="center"/>
            <w:hideMark/>
          </w:tcPr>
          <w:p w14:paraId="2EF4516E" w14:textId="77777777" w:rsidR="00C7765D" w:rsidRPr="006A451F" w:rsidRDefault="00C7765D" w:rsidP="00257726">
            <w:pPr>
              <w:rPr>
                <w:rFonts w:ascii="Arial" w:hAnsi="Arial" w:cs="Arial"/>
                <w:b/>
                <w:bCs/>
                <w:sz w:val="18"/>
                <w:szCs w:val="18"/>
                <w:lang w:eastAsia="es-AR"/>
              </w:rPr>
            </w:pPr>
            <w:r w:rsidRPr="006A451F">
              <w:rPr>
                <w:rFonts w:ascii="Arial" w:hAnsi="Arial" w:cs="Arial"/>
                <w:b/>
                <w:bCs/>
                <w:sz w:val="18"/>
                <w:szCs w:val="18"/>
                <w:lang w:eastAsia="es-AR"/>
              </w:rPr>
              <w:t>Gastos por comisiones</w:t>
            </w:r>
          </w:p>
        </w:tc>
        <w:tc>
          <w:tcPr>
            <w:tcW w:w="1640" w:type="dxa"/>
            <w:tcBorders>
              <w:top w:val="single" w:sz="4" w:space="0" w:color="auto"/>
              <w:left w:val="nil"/>
              <w:bottom w:val="single" w:sz="4" w:space="0" w:color="auto"/>
              <w:right w:val="single" w:sz="4" w:space="0" w:color="auto"/>
            </w:tcBorders>
            <w:shd w:val="clear" w:color="000000" w:fill="B2B2B2"/>
            <w:hideMark/>
          </w:tcPr>
          <w:p w14:paraId="6DE4B3F6" w14:textId="77777777" w:rsidR="00C7765D" w:rsidRPr="006A451F" w:rsidRDefault="00C7765D" w:rsidP="00257726">
            <w:pPr>
              <w:jc w:val="center"/>
              <w:rPr>
                <w:rFonts w:ascii="Arial" w:hAnsi="Arial" w:cs="Arial"/>
                <w:b/>
                <w:bCs/>
                <w:sz w:val="18"/>
                <w:szCs w:val="18"/>
                <w:lang w:eastAsia="es-AR"/>
              </w:rPr>
            </w:pPr>
            <w:r w:rsidRPr="006A451F">
              <w:rPr>
                <w:rFonts w:ascii="Arial" w:hAnsi="Arial" w:cs="Arial"/>
                <w:b/>
                <w:bCs/>
                <w:sz w:val="18"/>
                <w:szCs w:val="18"/>
                <w:lang w:eastAsia="es-AR"/>
              </w:rPr>
              <w:t>Resultado del ejercicio</w:t>
            </w:r>
          </w:p>
        </w:tc>
      </w:tr>
      <w:tr w:rsidR="00C7765D" w:rsidRPr="006A451F" w14:paraId="3A341FDF" w14:textId="77777777" w:rsidTr="00257726">
        <w:trPr>
          <w:trHeight w:val="255"/>
        </w:trPr>
        <w:tc>
          <w:tcPr>
            <w:tcW w:w="7880" w:type="dxa"/>
            <w:tcBorders>
              <w:top w:val="nil"/>
              <w:left w:val="nil"/>
              <w:bottom w:val="nil"/>
              <w:right w:val="nil"/>
            </w:tcBorders>
            <w:shd w:val="clear" w:color="auto" w:fill="auto"/>
            <w:hideMark/>
          </w:tcPr>
          <w:p w14:paraId="0FBFF27C" w14:textId="77777777" w:rsidR="00C7765D" w:rsidRPr="006A451F" w:rsidRDefault="00C7765D" w:rsidP="00257726">
            <w:pPr>
              <w:jc w:val="center"/>
              <w:rPr>
                <w:rFonts w:ascii="Arial" w:hAnsi="Arial" w:cs="Arial"/>
                <w:b/>
                <w:bCs/>
                <w:sz w:val="18"/>
                <w:szCs w:val="18"/>
                <w:lang w:eastAsia="es-AR"/>
              </w:rPr>
            </w:pPr>
          </w:p>
        </w:tc>
        <w:tc>
          <w:tcPr>
            <w:tcW w:w="1640" w:type="dxa"/>
            <w:tcBorders>
              <w:top w:val="nil"/>
              <w:left w:val="nil"/>
              <w:bottom w:val="nil"/>
              <w:right w:val="nil"/>
            </w:tcBorders>
            <w:shd w:val="clear" w:color="auto" w:fill="auto"/>
            <w:hideMark/>
          </w:tcPr>
          <w:p w14:paraId="51C62988" w14:textId="77777777" w:rsidR="00C7765D" w:rsidRPr="006A451F" w:rsidRDefault="00C7765D" w:rsidP="00257726">
            <w:pPr>
              <w:rPr>
                <w:sz w:val="18"/>
                <w:szCs w:val="18"/>
                <w:lang w:eastAsia="es-AR"/>
              </w:rPr>
            </w:pPr>
          </w:p>
        </w:tc>
      </w:tr>
      <w:tr w:rsidR="00C7765D" w:rsidRPr="006A451F" w14:paraId="29D283D2" w14:textId="77777777" w:rsidTr="00257726">
        <w:trPr>
          <w:trHeight w:val="255"/>
        </w:trPr>
        <w:tc>
          <w:tcPr>
            <w:tcW w:w="7880" w:type="dxa"/>
            <w:tcBorders>
              <w:top w:val="nil"/>
              <w:left w:val="nil"/>
              <w:bottom w:val="nil"/>
              <w:right w:val="nil"/>
            </w:tcBorders>
            <w:shd w:val="clear" w:color="auto" w:fill="auto"/>
            <w:hideMark/>
          </w:tcPr>
          <w:p w14:paraId="7CB78334" w14:textId="77777777" w:rsidR="00C7765D" w:rsidRPr="006A451F" w:rsidRDefault="00C7765D" w:rsidP="00257726">
            <w:pPr>
              <w:rPr>
                <w:rFonts w:ascii="Arial" w:hAnsi="Arial" w:cs="Arial"/>
                <w:sz w:val="18"/>
                <w:szCs w:val="18"/>
                <w:lang w:eastAsia="es-AR"/>
              </w:rPr>
            </w:pPr>
            <w:r w:rsidRPr="006A451F">
              <w:rPr>
                <w:rFonts w:ascii="Arial" w:hAnsi="Arial" w:cs="Arial"/>
                <w:sz w:val="18"/>
                <w:szCs w:val="18"/>
                <w:lang w:eastAsia="es-AR"/>
              </w:rPr>
              <w:t>Servicios de administración por transferencia de cartera</w:t>
            </w:r>
          </w:p>
        </w:tc>
        <w:tc>
          <w:tcPr>
            <w:tcW w:w="1640" w:type="dxa"/>
            <w:tcBorders>
              <w:top w:val="nil"/>
              <w:left w:val="nil"/>
              <w:bottom w:val="nil"/>
              <w:right w:val="nil"/>
            </w:tcBorders>
            <w:shd w:val="clear" w:color="auto" w:fill="auto"/>
            <w:vAlign w:val="bottom"/>
            <w:hideMark/>
          </w:tcPr>
          <w:p w14:paraId="27314FE3" w14:textId="29C430F4" w:rsidR="00C7765D" w:rsidRPr="006A451F" w:rsidRDefault="00386077" w:rsidP="00386077">
            <w:pPr>
              <w:jc w:val="right"/>
              <w:rPr>
                <w:rFonts w:ascii="Arial" w:hAnsi="Arial" w:cs="Arial"/>
                <w:sz w:val="18"/>
                <w:szCs w:val="18"/>
                <w:lang w:eastAsia="es-AR"/>
              </w:rPr>
            </w:pPr>
            <w:r>
              <w:rPr>
                <w:rFonts w:ascii="Arial" w:hAnsi="Arial" w:cs="Arial"/>
                <w:sz w:val="18"/>
                <w:szCs w:val="18"/>
                <w:lang w:eastAsia="es-AR"/>
              </w:rPr>
              <w:t>-</w:t>
            </w:r>
          </w:p>
        </w:tc>
      </w:tr>
      <w:tr w:rsidR="00C7765D" w:rsidRPr="006A451F" w14:paraId="42709DA0" w14:textId="77777777" w:rsidTr="00257726">
        <w:trPr>
          <w:trHeight w:val="255"/>
        </w:trPr>
        <w:tc>
          <w:tcPr>
            <w:tcW w:w="7880" w:type="dxa"/>
            <w:tcBorders>
              <w:top w:val="nil"/>
              <w:left w:val="nil"/>
              <w:bottom w:val="nil"/>
              <w:right w:val="nil"/>
            </w:tcBorders>
            <w:shd w:val="clear" w:color="auto" w:fill="auto"/>
            <w:hideMark/>
          </w:tcPr>
          <w:p w14:paraId="0C17C64A" w14:textId="2C1B2E19" w:rsidR="00C7765D" w:rsidRPr="006A451F" w:rsidRDefault="00386077" w:rsidP="00257726">
            <w:pPr>
              <w:rPr>
                <w:rFonts w:ascii="Arial" w:hAnsi="Arial" w:cs="Arial"/>
                <w:sz w:val="18"/>
                <w:szCs w:val="18"/>
                <w:lang w:eastAsia="es-AR"/>
              </w:rPr>
            </w:pPr>
            <w:r>
              <w:rPr>
                <w:rFonts w:ascii="Arial" w:hAnsi="Arial" w:cs="Arial"/>
                <w:sz w:val="18"/>
                <w:szCs w:val="18"/>
                <w:lang w:eastAsia="es-AR"/>
              </w:rPr>
              <w:t>-</w:t>
            </w:r>
            <w:r w:rsidR="00C7765D" w:rsidRPr="006A451F">
              <w:rPr>
                <w:rFonts w:ascii="Arial" w:hAnsi="Arial" w:cs="Arial"/>
                <w:sz w:val="18"/>
                <w:szCs w:val="18"/>
                <w:lang w:eastAsia="es-AR"/>
              </w:rPr>
              <w:t>Comisiones vinculadas con operaciones con títulos valores</w:t>
            </w:r>
          </w:p>
        </w:tc>
        <w:tc>
          <w:tcPr>
            <w:tcW w:w="1640" w:type="dxa"/>
            <w:tcBorders>
              <w:top w:val="nil"/>
              <w:left w:val="nil"/>
              <w:bottom w:val="nil"/>
              <w:right w:val="nil"/>
            </w:tcBorders>
            <w:shd w:val="clear" w:color="auto" w:fill="auto"/>
            <w:vAlign w:val="bottom"/>
          </w:tcPr>
          <w:p w14:paraId="071EC4CD" w14:textId="5E81CEF2" w:rsidR="00C7765D" w:rsidRPr="006A451F" w:rsidRDefault="00386077" w:rsidP="00386077">
            <w:pPr>
              <w:jc w:val="right"/>
              <w:rPr>
                <w:rFonts w:ascii="Arial" w:hAnsi="Arial" w:cs="Arial"/>
                <w:sz w:val="18"/>
                <w:szCs w:val="18"/>
                <w:lang w:eastAsia="es-AR"/>
              </w:rPr>
            </w:pPr>
            <w:r w:rsidRPr="00386077">
              <w:rPr>
                <w:rFonts w:ascii="Arial" w:hAnsi="Arial" w:cs="Arial"/>
                <w:sz w:val="18"/>
                <w:szCs w:val="18"/>
                <w:lang w:eastAsia="es-AR"/>
              </w:rPr>
              <w:t>-19.763</w:t>
            </w:r>
          </w:p>
        </w:tc>
      </w:tr>
      <w:tr w:rsidR="00C7765D" w:rsidRPr="006A451F" w14:paraId="72617D35" w14:textId="77777777" w:rsidTr="00257726">
        <w:trPr>
          <w:trHeight w:val="255"/>
        </w:trPr>
        <w:tc>
          <w:tcPr>
            <w:tcW w:w="7880" w:type="dxa"/>
            <w:tcBorders>
              <w:top w:val="nil"/>
              <w:left w:val="nil"/>
              <w:bottom w:val="nil"/>
              <w:right w:val="nil"/>
            </w:tcBorders>
            <w:shd w:val="clear" w:color="auto" w:fill="auto"/>
            <w:hideMark/>
          </w:tcPr>
          <w:p w14:paraId="755BE2F5" w14:textId="77777777" w:rsidR="00C7765D" w:rsidRPr="006A451F" w:rsidRDefault="00C7765D" w:rsidP="00257726">
            <w:pPr>
              <w:rPr>
                <w:rFonts w:ascii="Arial" w:hAnsi="Arial" w:cs="Arial"/>
                <w:sz w:val="18"/>
                <w:szCs w:val="18"/>
                <w:lang w:eastAsia="es-AR"/>
              </w:rPr>
            </w:pPr>
            <w:r w:rsidRPr="006A451F">
              <w:rPr>
                <w:rFonts w:ascii="Arial" w:hAnsi="Arial" w:cs="Arial"/>
                <w:sz w:val="18"/>
                <w:szCs w:val="18"/>
                <w:lang w:eastAsia="es-AR"/>
              </w:rPr>
              <w:t>Otros</w:t>
            </w:r>
          </w:p>
        </w:tc>
        <w:tc>
          <w:tcPr>
            <w:tcW w:w="1640" w:type="dxa"/>
            <w:tcBorders>
              <w:top w:val="nil"/>
              <w:left w:val="nil"/>
              <w:bottom w:val="nil"/>
              <w:right w:val="nil"/>
            </w:tcBorders>
            <w:shd w:val="clear" w:color="auto" w:fill="auto"/>
            <w:vAlign w:val="bottom"/>
          </w:tcPr>
          <w:p w14:paraId="611EB70E" w14:textId="4658ACB2" w:rsidR="00C7765D" w:rsidRPr="006A451F" w:rsidRDefault="00386077" w:rsidP="00257726">
            <w:pPr>
              <w:jc w:val="right"/>
              <w:rPr>
                <w:rFonts w:ascii="Arial" w:hAnsi="Arial" w:cs="Arial"/>
                <w:sz w:val="18"/>
                <w:szCs w:val="18"/>
                <w:lang w:eastAsia="es-AR"/>
              </w:rPr>
            </w:pPr>
            <w:r w:rsidRPr="00386077">
              <w:rPr>
                <w:rFonts w:ascii="Arial" w:hAnsi="Arial" w:cs="Arial"/>
                <w:sz w:val="18"/>
                <w:szCs w:val="18"/>
                <w:lang w:eastAsia="es-AR"/>
              </w:rPr>
              <w:t>-1.327.253</w:t>
            </w:r>
          </w:p>
        </w:tc>
      </w:tr>
      <w:tr w:rsidR="00C7765D" w:rsidRPr="006A451F" w14:paraId="07223257" w14:textId="77777777" w:rsidTr="00257726">
        <w:trPr>
          <w:trHeight w:val="255"/>
        </w:trPr>
        <w:tc>
          <w:tcPr>
            <w:tcW w:w="7880" w:type="dxa"/>
            <w:tcBorders>
              <w:top w:val="nil"/>
              <w:left w:val="nil"/>
              <w:bottom w:val="nil"/>
              <w:right w:val="nil"/>
            </w:tcBorders>
            <w:shd w:val="clear" w:color="auto" w:fill="auto"/>
            <w:hideMark/>
          </w:tcPr>
          <w:p w14:paraId="210D5464" w14:textId="77777777" w:rsidR="00C7765D" w:rsidRPr="006A451F" w:rsidRDefault="00C7765D" w:rsidP="00257726">
            <w:pPr>
              <w:jc w:val="right"/>
              <w:rPr>
                <w:rFonts w:ascii="Arial" w:hAnsi="Arial" w:cs="Arial"/>
                <w:sz w:val="18"/>
                <w:szCs w:val="18"/>
                <w:lang w:eastAsia="es-AR"/>
              </w:rPr>
            </w:pPr>
          </w:p>
        </w:tc>
        <w:tc>
          <w:tcPr>
            <w:tcW w:w="1640" w:type="dxa"/>
            <w:tcBorders>
              <w:top w:val="nil"/>
              <w:left w:val="nil"/>
              <w:bottom w:val="nil"/>
              <w:right w:val="nil"/>
            </w:tcBorders>
            <w:shd w:val="clear" w:color="auto" w:fill="auto"/>
            <w:vAlign w:val="bottom"/>
          </w:tcPr>
          <w:p w14:paraId="176B36CE" w14:textId="77777777" w:rsidR="00C7765D" w:rsidRPr="006A451F" w:rsidRDefault="00C7765D" w:rsidP="00257726">
            <w:pPr>
              <w:rPr>
                <w:sz w:val="18"/>
                <w:szCs w:val="18"/>
                <w:lang w:eastAsia="es-AR"/>
              </w:rPr>
            </w:pPr>
          </w:p>
        </w:tc>
      </w:tr>
      <w:tr w:rsidR="00C7765D" w:rsidRPr="006A451F" w14:paraId="1A9322A4" w14:textId="77777777" w:rsidTr="006E1AF7">
        <w:trPr>
          <w:trHeight w:val="255"/>
        </w:trPr>
        <w:tc>
          <w:tcPr>
            <w:tcW w:w="7880" w:type="dxa"/>
            <w:tcBorders>
              <w:top w:val="nil"/>
              <w:left w:val="nil"/>
              <w:bottom w:val="nil"/>
              <w:right w:val="nil"/>
            </w:tcBorders>
            <w:shd w:val="clear" w:color="auto" w:fill="auto"/>
            <w:hideMark/>
          </w:tcPr>
          <w:p w14:paraId="45F1DB3E" w14:textId="77777777" w:rsidR="00C7765D" w:rsidRPr="006A451F" w:rsidRDefault="00C7765D" w:rsidP="00257726">
            <w:pPr>
              <w:rPr>
                <w:rFonts w:ascii="Arial" w:hAnsi="Arial" w:cs="Arial"/>
                <w:b/>
                <w:bCs/>
                <w:sz w:val="18"/>
                <w:szCs w:val="18"/>
                <w:lang w:eastAsia="es-AR"/>
              </w:rPr>
            </w:pPr>
            <w:r w:rsidRPr="006A451F">
              <w:rPr>
                <w:rFonts w:ascii="Arial" w:hAnsi="Arial" w:cs="Arial"/>
                <w:b/>
                <w:bCs/>
                <w:sz w:val="18"/>
                <w:szCs w:val="18"/>
                <w:lang w:eastAsia="es-AR"/>
              </w:rPr>
              <w:t>TOTAL</w:t>
            </w:r>
          </w:p>
        </w:tc>
        <w:tc>
          <w:tcPr>
            <w:tcW w:w="1640" w:type="dxa"/>
            <w:tcBorders>
              <w:top w:val="single" w:sz="4" w:space="0" w:color="auto"/>
              <w:left w:val="nil"/>
              <w:bottom w:val="single" w:sz="4" w:space="0" w:color="auto"/>
              <w:right w:val="nil"/>
            </w:tcBorders>
            <w:shd w:val="clear" w:color="auto" w:fill="auto"/>
            <w:vAlign w:val="center"/>
          </w:tcPr>
          <w:p w14:paraId="6A74B6BB" w14:textId="2CC8BD84" w:rsidR="00C7765D" w:rsidRPr="006E1AF7" w:rsidRDefault="00386077">
            <w:pPr>
              <w:jc w:val="right"/>
              <w:rPr>
                <w:rFonts w:ascii="Arial" w:hAnsi="Arial" w:cs="Arial"/>
                <w:b/>
                <w:bCs/>
                <w:sz w:val="16"/>
                <w:szCs w:val="16"/>
                <w:lang w:eastAsia="es-AR"/>
              </w:rPr>
            </w:pPr>
            <w:r w:rsidRPr="006E1AF7">
              <w:rPr>
                <w:rFonts w:ascii="Arial" w:hAnsi="Arial" w:cs="Arial"/>
                <w:b/>
                <w:bCs/>
                <w:sz w:val="16"/>
                <w:szCs w:val="16"/>
                <w:lang w:eastAsia="es-AR"/>
              </w:rPr>
              <w:t>-1.347.016</w:t>
            </w:r>
          </w:p>
        </w:tc>
      </w:tr>
    </w:tbl>
    <w:p w14:paraId="366F7946" w14:textId="6D8C400E" w:rsidR="00B37F15" w:rsidRDefault="00B37F15" w:rsidP="008962C9"/>
    <w:p w14:paraId="388239D2" w14:textId="77777777" w:rsidR="00C7765D" w:rsidRDefault="00C7765D" w:rsidP="008962C9"/>
    <w:p w14:paraId="04675885" w14:textId="77777777" w:rsidR="00C7765D" w:rsidRDefault="00C7765D" w:rsidP="008962C9"/>
    <w:p w14:paraId="4E054EB4" w14:textId="113048D9" w:rsidR="00C7765D" w:rsidRPr="00BE5A48" w:rsidRDefault="00C7765D" w:rsidP="008962C9">
      <w:pPr>
        <w:sectPr w:rsidR="00C7765D" w:rsidRPr="00BE5A48" w:rsidSect="00A30C77">
          <w:headerReference w:type="default" r:id="rId67"/>
          <w:pgSz w:w="11907" w:h="16839" w:code="9"/>
          <w:pgMar w:top="1418" w:right="1701" w:bottom="1418" w:left="1701" w:header="567" w:footer="0" w:gutter="0"/>
          <w:paperSrc w:first="256" w:other="256"/>
          <w:cols w:space="720"/>
          <w:docGrid w:linePitch="326"/>
        </w:sectPr>
      </w:pPr>
    </w:p>
    <w:p w14:paraId="37410128" w14:textId="77777777" w:rsidR="007C794F" w:rsidRPr="00701F32" w:rsidRDefault="007C794F" w:rsidP="008962C9"/>
    <w:tbl>
      <w:tblPr>
        <w:tblW w:w="9142" w:type="dxa"/>
        <w:tblLayout w:type="fixed"/>
        <w:tblCellMar>
          <w:left w:w="70" w:type="dxa"/>
          <w:right w:w="70" w:type="dxa"/>
        </w:tblCellMar>
        <w:tblLook w:val="04A0" w:firstRow="1" w:lastRow="0" w:firstColumn="1" w:lastColumn="0" w:noHBand="0" w:noVBand="1"/>
      </w:tblPr>
      <w:tblGrid>
        <w:gridCol w:w="2547"/>
        <w:gridCol w:w="1204"/>
        <w:gridCol w:w="997"/>
        <w:gridCol w:w="897"/>
        <w:gridCol w:w="1229"/>
        <w:gridCol w:w="1134"/>
        <w:gridCol w:w="1134"/>
      </w:tblGrid>
      <w:tr w:rsidR="000B563A" w:rsidRPr="000B563A" w14:paraId="7B706484" w14:textId="77777777" w:rsidTr="00066653">
        <w:tc>
          <w:tcPr>
            <w:tcW w:w="2547"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24B5FAA0" w14:textId="77777777" w:rsidR="00A179F3" w:rsidRPr="000B563A" w:rsidRDefault="00A179F3" w:rsidP="00BE5A48">
            <w:pPr>
              <w:jc w:val="center"/>
              <w:rPr>
                <w:rFonts w:ascii="Arial" w:hAnsi="Arial" w:cs="Arial"/>
                <w:b/>
                <w:bCs/>
                <w:sz w:val="16"/>
                <w:szCs w:val="16"/>
                <w:lang w:eastAsia="es-AR"/>
              </w:rPr>
            </w:pPr>
            <w:r w:rsidRPr="000B563A">
              <w:rPr>
                <w:rFonts w:ascii="Arial" w:hAnsi="Arial" w:cs="Arial"/>
                <w:b/>
                <w:bCs/>
                <w:sz w:val="16"/>
                <w:szCs w:val="16"/>
                <w:lang w:eastAsia="es-AR"/>
              </w:rPr>
              <w:t>Conceptos</w:t>
            </w:r>
          </w:p>
        </w:tc>
        <w:tc>
          <w:tcPr>
            <w:tcW w:w="1204"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745C83DE" w14:textId="77777777" w:rsidR="00A179F3" w:rsidRPr="000B563A" w:rsidRDefault="00A179F3" w:rsidP="00BE5A48">
            <w:pPr>
              <w:jc w:val="center"/>
              <w:rPr>
                <w:rFonts w:ascii="Arial" w:hAnsi="Arial" w:cs="Arial"/>
                <w:b/>
                <w:bCs/>
                <w:sz w:val="16"/>
                <w:szCs w:val="16"/>
                <w:lang w:eastAsia="es-AR"/>
              </w:rPr>
            </w:pPr>
            <w:r w:rsidRPr="000B563A">
              <w:rPr>
                <w:rFonts w:ascii="Arial" w:hAnsi="Arial" w:cs="Arial"/>
                <w:b/>
                <w:bCs/>
                <w:sz w:val="16"/>
                <w:szCs w:val="16"/>
                <w:lang w:eastAsia="es-AR"/>
              </w:rPr>
              <w:t>Saldos al inicio del ejercicio</w:t>
            </w:r>
          </w:p>
        </w:tc>
        <w:tc>
          <w:tcPr>
            <w:tcW w:w="997" w:type="dxa"/>
            <w:vMerge w:val="restart"/>
            <w:tcBorders>
              <w:top w:val="single" w:sz="4" w:space="0" w:color="363639"/>
              <w:left w:val="single" w:sz="4" w:space="0" w:color="363639"/>
              <w:bottom w:val="nil"/>
              <w:right w:val="single" w:sz="4" w:space="0" w:color="363639"/>
            </w:tcBorders>
            <w:shd w:val="clear" w:color="auto" w:fill="BFBFBF" w:themeFill="background1" w:themeFillShade="BF"/>
            <w:vAlign w:val="center"/>
            <w:hideMark/>
          </w:tcPr>
          <w:p w14:paraId="1C3BE140" w14:textId="77777777" w:rsidR="00A179F3" w:rsidRPr="000B563A" w:rsidRDefault="00A179F3" w:rsidP="00BE5A48">
            <w:pPr>
              <w:jc w:val="center"/>
              <w:rPr>
                <w:rFonts w:ascii="Arial" w:hAnsi="Arial" w:cs="Arial"/>
                <w:b/>
                <w:bCs/>
                <w:sz w:val="16"/>
                <w:szCs w:val="16"/>
                <w:lang w:eastAsia="es-AR"/>
              </w:rPr>
            </w:pPr>
            <w:r w:rsidRPr="000B563A">
              <w:rPr>
                <w:rFonts w:ascii="Arial" w:hAnsi="Arial" w:cs="Arial"/>
                <w:b/>
                <w:bCs/>
                <w:sz w:val="16"/>
                <w:szCs w:val="16"/>
                <w:lang w:eastAsia="es-AR"/>
              </w:rPr>
              <w:t>Aumentos</w:t>
            </w:r>
          </w:p>
        </w:tc>
        <w:tc>
          <w:tcPr>
            <w:tcW w:w="2126" w:type="dxa"/>
            <w:gridSpan w:val="2"/>
            <w:tcBorders>
              <w:top w:val="single" w:sz="4" w:space="0" w:color="363639"/>
              <w:left w:val="single" w:sz="4" w:space="0" w:color="363639"/>
              <w:bottom w:val="single" w:sz="4" w:space="0" w:color="363639"/>
              <w:right w:val="single" w:sz="4" w:space="0" w:color="363639"/>
            </w:tcBorders>
            <w:shd w:val="clear" w:color="auto" w:fill="BFBFBF" w:themeFill="background1" w:themeFillShade="BF"/>
            <w:noWrap/>
            <w:hideMark/>
          </w:tcPr>
          <w:p w14:paraId="403D02A2" w14:textId="77777777" w:rsidR="00A179F3" w:rsidRPr="000B563A" w:rsidRDefault="00A179F3" w:rsidP="00BE5A48">
            <w:pPr>
              <w:jc w:val="center"/>
              <w:rPr>
                <w:rFonts w:ascii="Arial" w:hAnsi="Arial" w:cs="Arial"/>
                <w:b/>
                <w:bCs/>
                <w:sz w:val="16"/>
                <w:szCs w:val="16"/>
                <w:lang w:eastAsia="es-AR"/>
              </w:rPr>
            </w:pPr>
            <w:r w:rsidRPr="000B563A">
              <w:rPr>
                <w:rFonts w:ascii="Arial" w:hAnsi="Arial" w:cs="Arial"/>
                <w:b/>
                <w:bCs/>
                <w:sz w:val="16"/>
                <w:szCs w:val="16"/>
                <w:lang w:eastAsia="es-AR"/>
              </w:rPr>
              <w:t>Disminuciones</w:t>
            </w:r>
          </w:p>
        </w:tc>
        <w:tc>
          <w:tcPr>
            <w:tcW w:w="1134"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7F9AC508" w14:textId="288CD8C5" w:rsidR="00A179F3" w:rsidRPr="000B563A" w:rsidRDefault="00083AEA" w:rsidP="00083AEA">
            <w:pPr>
              <w:jc w:val="center"/>
              <w:rPr>
                <w:rFonts w:ascii="Arial" w:hAnsi="Arial" w:cs="Arial"/>
                <w:b/>
                <w:bCs/>
                <w:sz w:val="16"/>
                <w:szCs w:val="16"/>
                <w:lang w:eastAsia="es-AR"/>
              </w:rPr>
            </w:pPr>
            <w:r w:rsidRPr="000B563A">
              <w:rPr>
                <w:rFonts w:ascii="Arial" w:hAnsi="Arial" w:cs="Arial"/>
                <w:b/>
                <w:bCs/>
                <w:sz w:val="16"/>
                <w:szCs w:val="16"/>
                <w:lang w:eastAsia="es-AR"/>
              </w:rPr>
              <w:t xml:space="preserve">Saldo al </w:t>
            </w:r>
            <w:r w:rsidR="003C2633">
              <w:rPr>
                <w:rFonts w:ascii="Arial" w:hAnsi="Arial" w:cs="Arial"/>
                <w:b/>
                <w:bCs/>
                <w:sz w:val="16"/>
                <w:szCs w:val="16"/>
                <w:lang w:eastAsia="es-AR"/>
              </w:rPr>
              <w:t>3</w:t>
            </w:r>
            <w:r w:rsidR="00C7765D">
              <w:rPr>
                <w:rFonts w:ascii="Arial" w:hAnsi="Arial" w:cs="Arial"/>
                <w:b/>
                <w:bCs/>
                <w:sz w:val="16"/>
                <w:szCs w:val="16"/>
                <w:lang w:eastAsia="es-AR"/>
              </w:rPr>
              <w:t>1</w:t>
            </w:r>
            <w:r w:rsidR="003C2633">
              <w:rPr>
                <w:rFonts w:ascii="Arial" w:hAnsi="Arial" w:cs="Arial"/>
                <w:b/>
                <w:bCs/>
                <w:sz w:val="16"/>
                <w:szCs w:val="16"/>
                <w:lang w:eastAsia="es-AR"/>
              </w:rPr>
              <w:t>/</w:t>
            </w:r>
            <w:r w:rsidR="00C7765D">
              <w:rPr>
                <w:rFonts w:ascii="Arial" w:hAnsi="Arial" w:cs="Arial"/>
                <w:b/>
                <w:bCs/>
                <w:sz w:val="16"/>
                <w:szCs w:val="16"/>
                <w:lang w:eastAsia="es-AR"/>
              </w:rPr>
              <w:t>12</w:t>
            </w:r>
            <w:r w:rsidR="003C2633">
              <w:rPr>
                <w:rFonts w:ascii="Arial" w:hAnsi="Arial" w:cs="Arial"/>
                <w:b/>
                <w:bCs/>
                <w:sz w:val="16"/>
                <w:szCs w:val="16"/>
                <w:lang w:eastAsia="es-AR"/>
              </w:rPr>
              <w:t>/2019</w:t>
            </w:r>
          </w:p>
        </w:tc>
        <w:tc>
          <w:tcPr>
            <w:tcW w:w="1134" w:type="dxa"/>
            <w:vMerge w:val="restart"/>
            <w:tcBorders>
              <w:top w:val="single" w:sz="4" w:space="0" w:color="363639"/>
              <w:left w:val="single" w:sz="4" w:space="0" w:color="363639"/>
              <w:bottom w:val="single" w:sz="4" w:space="0" w:color="000000"/>
              <w:right w:val="single" w:sz="4" w:space="0" w:color="363639"/>
            </w:tcBorders>
            <w:shd w:val="clear" w:color="auto" w:fill="BFBFBF" w:themeFill="background1" w:themeFillShade="BF"/>
            <w:vAlign w:val="center"/>
            <w:hideMark/>
          </w:tcPr>
          <w:p w14:paraId="6F85CF58" w14:textId="77777777" w:rsidR="00A179F3" w:rsidRPr="000B563A" w:rsidRDefault="00A179F3" w:rsidP="00BE5A48">
            <w:pPr>
              <w:jc w:val="center"/>
              <w:rPr>
                <w:rFonts w:ascii="Arial" w:hAnsi="Arial" w:cs="Arial"/>
                <w:b/>
                <w:bCs/>
                <w:sz w:val="16"/>
                <w:szCs w:val="16"/>
                <w:lang w:eastAsia="es-AR"/>
              </w:rPr>
            </w:pPr>
            <w:r w:rsidRPr="000B563A">
              <w:rPr>
                <w:rFonts w:ascii="Arial" w:hAnsi="Arial" w:cs="Arial"/>
                <w:b/>
                <w:bCs/>
                <w:sz w:val="16"/>
                <w:szCs w:val="16"/>
                <w:lang w:eastAsia="es-AR"/>
              </w:rPr>
              <w:t>Saldo al 31/12/2018</w:t>
            </w:r>
          </w:p>
        </w:tc>
      </w:tr>
      <w:tr w:rsidR="000B563A" w:rsidRPr="000B563A" w14:paraId="2E5ED889" w14:textId="77777777" w:rsidTr="00BF746E">
        <w:tc>
          <w:tcPr>
            <w:tcW w:w="2547" w:type="dxa"/>
            <w:vMerge/>
            <w:tcBorders>
              <w:top w:val="single" w:sz="4" w:space="0" w:color="363639"/>
              <w:left w:val="single" w:sz="4" w:space="0" w:color="363639"/>
              <w:bottom w:val="single" w:sz="4" w:space="0" w:color="auto"/>
              <w:right w:val="single" w:sz="4" w:space="0" w:color="363639"/>
            </w:tcBorders>
            <w:vAlign w:val="center"/>
            <w:hideMark/>
          </w:tcPr>
          <w:p w14:paraId="21CD1E68" w14:textId="77777777" w:rsidR="00A179F3" w:rsidRPr="000B563A" w:rsidRDefault="00A179F3" w:rsidP="00BE5A48">
            <w:pPr>
              <w:rPr>
                <w:rFonts w:ascii="Arial" w:hAnsi="Arial" w:cs="Arial"/>
                <w:b/>
                <w:bCs/>
                <w:sz w:val="16"/>
                <w:szCs w:val="16"/>
                <w:lang w:eastAsia="es-AR"/>
              </w:rPr>
            </w:pPr>
          </w:p>
        </w:tc>
        <w:tc>
          <w:tcPr>
            <w:tcW w:w="1204" w:type="dxa"/>
            <w:vMerge/>
            <w:tcBorders>
              <w:top w:val="single" w:sz="4" w:space="0" w:color="363639"/>
              <w:left w:val="single" w:sz="4" w:space="0" w:color="363639"/>
              <w:bottom w:val="single" w:sz="4" w:space="0" w:color="auto"/>
              <w:right w:val="single" w:sz="4" w:space="0" w:color="363639"/>
            </w:tcBorders>
            <w:vAlign w:val="center"/>
            <w:hideMark/>
          </w:tcPr>
          <w:p w14:paraId="55143866" w14:textId="77777777" w:rsidR="00A179F3" w:rsidRPr="000B563A" w:rsidRDefault="00A179F3" w:rsidP="00BE5A48">
            <w:pPr>
              <w:rPr>
                <w:rFonts w:ascii="Arial" w:hAnsi="Arial" w:cs="Arial"/>
                <w:b/>
                <w:bCs/>
                <w:sz w:val="16"/>
                <w:szCs w:val="16"/>
                <w:lang w:eastAsia="es-AR"/>
              </w:rPr>
            </w:pPr>
          </w:p>
        </w:tc>
        <w:tc>
          <w:tcPr>
            <w:tcW w:w="997" w:type="dxa"/>
            <w:vMerge/>
            <w:tcBorders>
              <w:top w:val="single" w:sz="4" w:space="0" w:color="363639"/>
              <w:left w:val="single" w:sz="4" w:space="0" w:color="363639"/>
              <w:bottom w:val="single" w:sz="4" w:space="0" w:color="auto"/>
              <w:right w:val="single" w:sz="4" w:space="0" w:color="363639"/>
            </w:tcBorders>
            <w:vAlign w:val="center"/>
            <w:hideMark/>
          </w:tcPr>
          <w:p w14:paraId="03C478E0" w14:textId="77777777" w:rsidR="00A179F3" w:rsidRPr="000B563A" w:rsidRDefault="00A179F3" w:rsidP="00BE5A48">
            <w:pPr>
              <w:rPr>
                <w:rFonts w:ascii="Arial" w:hAnsi="Arial" w:cs="Arial"/>
                <w:b/>
                <w:bCs/>
                <w:sz w:val="16"/>
                <w:szCs w:val="16"/>
                <w:lang w:eastAsia="es-AR"/>
              </w:rPr>
            </w:pPr>
          </w:p>
        </w:tc>
        <w:tc>
          <w:tcPr>
            <w:tcW w:w="897" w:type="dxa"/>
            <w:tcBorders>
              <w:top w:val="nil"/>
              <w:left w:val="nil"/>
              <w:bottom w:val="single" w:sz="4" w:space="0" w:color="auto"/>
              <w:right w:val="single" w:sz="4" w:space="0" w:color="363639"/>
            </w:tcBorders>
            <w:shd w:val="clear" w:color="auto" w:fill="BFBFBF" w:themeFill="background1" w:themeFillShade="BF"/>
            <w:hideMark/>
          </w:tcPr>
          <w:p w14:paraId="235DD85B" w14:textId="77777777" w:rsidR="00A179F3" w:rsidRPr="000B563A" w:rsidRDefault="00A179F3" w:rsidP="00BE5A48">
            <w:pPr>
              <w:jc w:val="center"/>
              <w:rPr>
                <w:rFonts w:ascii="Arial" w:hAnsi="Arial" w:cs="Arial"/>
                <w:b/>
                <w:bCs/>
                <w:sz w:val="16"/>
                <w:szCs w:val="16"/>
                <w:lang w:eastAsia="es-AR"/>
              </w:rPr>
            </w:pPr>
            <w:r w:rsidRPr="000B563A">
              <w:rPr>
                <w:rFonts w:ascii="Arial" w:hAnsi="Arial" w:cs="Arial"/>
                <w:b/>
                <w:bCs/>
                <w:sz w:val="16"/>
                <w:szCs w:val="16"/>
                <w:lang w:eastAsia="es-AR"/>
              </w:rPr>
              <w:t>Desafecta ciones</w:t>
            </w:r>
          </w:p>
        </w:tc>
        <w:tc>
          <w:tcPr>
            <w:tcW w:w="1229" w:type="dxa"/>
            <w:tcBorders>
              <w:top w:val="nil"/>
              <w:left w:val="nil"/>
              <w:bottom w:val="single" w:sz="4" w:space="0" w:color="auto"/>
              <w:right w:val="single" w:sz="4" w:space="0" w:color="363639"/>
            </w:tcBorders>
            <w:shd w:val="clear" w:color="auto" w:fill="BFBFBF" w:themeFill="background1" w:themeFillShade="BF"/>
            <w:hideMark/>
          </w:tcPr>
          <w:p w14:paraId="6241F0A0" w14:textId="761D06D4" w:rsidR="00A179F3" w:rsidRPr="000B563A" w:rsidRDefault="00A179F3" w:rsidP="00BE5A48">
            <w:pPr>
              <w:jc w:val="center"/>
              <w:rPr>
                <w:rFonts w:ascii="Arial" w:hAnsi="Arial" w:cs="Arial"/>
                <w:b/>
                <w:bCs/>
                <w:sz w:val="16"/>
                <w:szCs w:val="16"/>
                <w:lang w:eastAsia="es-AR"/>
              </w:rPr>
            </w:pPr>
            <w:r w:rsidRPr="000B563A">
              <w:rPr>
                <w:rFonts w:ascii="Arial" w:hAnsi="Arial" w:cs="Arial"/>
                <w:b/>
                <w:bCs/>
                <w:sz w:val="16"/>
                <w:szCs w:val="16"/>
                <w:lang w:eastAsia="es-AR"/>
              </w:rPr>
              <w:t>Aplicaciones</w:t>
            </w:r>
          </w:p>
        </w:tc>
        <w:tc>
          <w:tcPr>
            <w:tcW w:w="1134" w:type="dxa"/>
            <w:vMerge/>
            <w:tcBorders>
              <w:top w:val="single" w:sz="4" w:space="0" w:color="363639"/>
              <w:left w:val="single" w:sz="4" w:space="0" w:color="363639"/>
              <w:bottom w:val="single" w:sz="4" w:space="0" w:color="auto"/>
              <w:right w:val="single" w:sz="4" w:space="0" w:color="363639"/>
            </w:tcBorders>
            <w:vAlign w:val="center"/>
            <w:hideMark/>
          </w:tcPr>
          <w:p w14:paraId="16B9149A" w14:textId="77777777" w:rsidR="00A179F3" w:rsidRPr="000B563A" w:rsidRDefault="00A179F3" w:rsidP="00BE5A48">
            <w:pPr>
              <w:rPr>
                <w:rFonts w:ascii="Arial" w:hAnsi="Arial" w:cs="Arial"/>
                <w:b/>
                <w:bCs/>
                <w:sz w:val="16"/>
                <w:szCs w:val="16"/>
                <w:lang w:eastAsia="es-AR"/>
              </w:rPr>
            </w:pPr>
          </w:p>
        </w:tc>
        <w:tc>
          <w:tcPr>
            <w:tcW w:w="1134" w:type="dxa"/>
            <w:vMerge/>
            <w:tcBorders>
              <w:top w:val="single" w:sz="4" w:space="0" w:color="363639"/>
              <w:left w:val="single" w:sz="4" w:space="0" w:color="363639"/>
              <w:bottom w:val="single" w:sz="4" w:space="0" w:color="auto"/>
              <w:right w:val="single" w:sz="4" w:space="0" w:color="363639"/>
            </w:tcBorders>
            <w:shd w:val="clear" w:color="auto" w:fill="BDB3BD"/>
            <w:vAlign w:val="center"/>
            <w:hideMark/>
          </w:tcPr>
          <w:p w14:paraId="55580FB1" w14:textId="77777777" w:rsidR="00A179F3" w:rsidRPr="000B563A" w:rsidRDefault="00A179F3" w:rsidP="00BE5A48">
            <w:pPr>
              <w:rPr>
                <w:rFonts w:ascii="Arial" w:hAnsi="Arial" w:cs="Arial"/>
                <w:b/>
                <w:bCs/>
                <w:sz w:val="16"/>
                <w:szCs w:val="16"/>
                <w:lang w:eastAsia="es-AR"/>
              </w:rPr>
            </w:pPr>
          </w:p>
        </w:tc>
      </w:tr>
      <w:tr w:rsidR="000B563A" w:rsidRPr="000B563A" w14:paraId="3ACA9F74" w14:textId="77777777" w:rsidTr="00BF746E">
        <w:tc>
          <w:tcPr>
            <w:tcW w:w="2547" w:type="dxa"/>
            <w:tcBorders>
              <w:top w:val="single" w:sz="4" w:space="0" w:color="auto"/>
              <w:left w:val="nil"/>
              <w:bottom w:val="nil"/>
              <w:right w:val="nil"/>
            </w:tcBorders>
            <w:shd w:val="clear" w:color="auto" w:fill="auto"/>
            <w:vAlign w:val="center"/>
            <w:hideMark/>
          </w:tcPr>
          <w:p w14:paraId="07A5D471" w14:textId="77777777" w:rsidR="00A179F3" w:rsidRPr="000B563A" w:rsidRDefault="00A179F3"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1204" w:type="dxa"/>
            <w:tcBorders>
              <w:top w:val="single" w:sz="4" w:space="0" w:color="auto"/>
              <w:left w:val="nil"/>
              <w:bottom w:val="nil"/>
              <w:right w:val="nil"/>
            </w:tcBorders>
            <w:shd w:val="clear" w:color="auto" w:fill="auto"/>
            <w:hideMark/>
          </w:tcPr>
          <w:p w14:paraId="7FD3B043" w14:textId="77777777" w:rsidR="00A179F3" w:rsidRPr="000B563A" w:rsidRDefault="00A179F3"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997" w:type="dxa"/>
            <w:tcBorders>
              <w:top w:val="single" w:sz="4" w:space="0" w:color="auto"/>
              <w:left w:val="nil"/>
              <w:bottom w:val="nil"/>
              <w:right w:val="nil"/>
            </w:tcBorders>
            <w:shd w:val="clear" w:color="auto" w:fill="auto"/>
            <w:vAlign w:val="center"/>
            <w:hideMark/>
          </w:tcPr>
          <w:p w14:paraId="771E09E6" w14:textId="77777777" w:rsidR="00A179F3" w:rsidRPr="000B563A" w:rsidRDefault="00A179F3"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897" w:type="dxa"/>
            <w:tcBorders>
              <w:top w:val="single" w:sz="4" w:space="0" w:color="auto"/>
              <w:left w:val="nil"/>
              <w:bottom w:val="nil"/>
              <w:right w:val="nil"/>
            </w:tcBorders>
            <w:shd w:val="clear" w:color="auto" w:fill="auto"/>
            <w:hideMark/>
          </w:tcPr>
          <w:p w14:paraId="566EBDA8" w14:textId="77777777" w:rsidR="00A179F3" w:rsidRPr="000B563A" w:rsidRDefault="00A179F3"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1229" w:type="dxa"/>
            <w:tcBorders>
              <w:top w:val="single" w:sz="4" w:space="0" w:color="auto"/>
              <w:left w:val="nil"/>
              <w:bottom w:val="nil"/>
              <w:right w:val="nil"/>
            </w:tcBorders>
            <w:shd w:val="clear" w:color="auto" w:fill="auto"/>
            <w:hideMark/>
          </w:tcPr>
          <w:p w14:paraId="716EAEAB" w14:textId="77777777" w:rsidR="00A179F3" w:rsidRPr="000B563A" w:rsidRDefault="00A179F3"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1134" w:type="dxa"/>
            <w:tcBorders>
              <w:top w:val="single" w:sz="4" w:space="0" w:color="auto"/>
              <w:left w:val="nil"/>
              <w:bottom w:val="nil"/>
              <w:right w:val="nil"/>
            </w:tcBorders>
            <w:shd w:val="clear" w:color="auto" w:fill="auto"/>
            <w:hideMark/>
          </w:tcPr>
          <w:p w14:paraId="3E2FD1C1" w14:textId="77777777" w:rsidR="00A179F3" w:rsidRPr="000B563A" w:rsidRDefault="00A179F3" w:rsidP="00BE5A48">
            <w:pPr>
              <w:jc w:val="center"/>
              <w:rPr>
                <w:rFonts w:ascii="Arial" w:hAnsi="Arial" w:cs="Arial"/>
                <w:sz w:val="16"/>
                <w:szCs w:val="16"/>
                <w:lang w:eastAsia="es-AR"/>
              </w:rPr>
            </w:pPr>
            <w:r w:rsidRPr="000B563A">
              <w:rPr>
                <w:rFonts w:ascii="Arial" w:hAnsi="Arial" w:cs="Arial"/>
                <w:sz w:val="16"/>
                <w:szCs w:val="16"/>
                <w:lang w:eastAsia="es-AR"/>
              </w:rPr>
              <w:t> </w:t>
            </w:r>
          </w:p>
        </w:tc>
        <w:tc>
          <w:tcPr>
            <w:tcW w:w="1134" w:type="dxa"/>
            <w:tcBorders>
              <w:top w:val="single" w:sz="4" w:space="0" w:color="auto"/>
              <w:left w:val="nil"/>
              <w:bottom w:val="nil"/>
              <w:right w:val="nil"/>
            </w:tcBorders>
            <w:shd w:val="clear" w:color="auto" w:fill="auto"/>
            <w:hideMark/>
          </w:tcPr>
          <w:p w14:paraId="4B8EA7DD" w14:textId="77777777" w:rsidR="00A179F3" w:rsidRPr="000B563A" w:rsidRDefault="00A179F3" w:rsidP="00BE5A48">
            <w:pPr>
              <w:jc w:val="center"/>
              <w:rPr>
                <w:rFonts w:ascii="Arial" w:hAnsi="Arial" w:cs="Arial"/>
                <w:sz w:val="16"/>
                <w:szCs w:val="16"/>
                <w:lang w:eastAsia="es-AR"/>
              </w:rPr>
            </w:pPr>
            <w:r w:rsidRPr="000B563A">
              <w:rPr>
                <w:rFonts w:ascii="Arial" w:hAnsi="Arial" w:cs="Arial"/>
                <w:sz w:val="16"/>
                <w:szCs w:val="16"/>
                <w:lang w:eastAsia="es-AR"/>
              </w:rPr>
              <w:t> </w:t>
            </w:r>
          </w:p>
        </w:tc>
      </w:tr>
      <w:tr w:rsidR="00FE1F2A" w:rsidRPr="000B563A" w14:paraId="5AE8A4E5" w14:textId="77777777" w:rsidTr="00BF746E">
        <w:tc>
          <w:tcPr>
            <w:tcW w:w="2547" w:type="dxa"/>
            <w:tcBorders>
              <w:left w:val="nil"/>
              <w:bottom w:val="nil"/>
              <w:right w:val="nil"/>
            </w:tcBorders>
            <w:shd w:val="clear" w:color="auto" w:fill="auto"/>
            <w:vAlign w:val="center"/>
          </w:tcPr>
          <w:p w14:paraId="7826CC4C" w14:textId="01D4C966" w:rsidR="00FE1F2A" w:rsidRPr="000B563A" w:rsidRDefault="00FE1F2A" w:rsidP="00BF746E">
            <w:pPr>
              <w:rPr>
                <w:rFonts w:ascii="Arial" w:hAnsi="Arial" w:cs="Arial"/>
                <w:sz w:val="16"/>
                <w:szCs w:val="16"/>
                <w:lang w:eastAsia="es-AR"/>
              </w:rPr>
            </w:pPr>
            <w:r>
              <w:rPr>
                <w:rFonts w:ascii="Arial" w:hAnsi="Arial" w:cs="Arial"/>
                <w:sz w:val="16"/>
                <w:szCs w:val="16"/>
                <w:lang w:eastAsia="es-AR"/>
              </w:rPr>
              <w:t>Otros activos financieros</w:t>
            </w:r>
          </w:p>
        </w:tc>
        <w:tc>
          <w:tcPr>
            <w:tcW w:w="1204" w:type="dxa"/>
            <w:tcBorders>
              <w:left w:val="nil"/>
              <w:bottom w:val="nil"/>
              <w:right w:val="nil"/>
            </w:tcBorders>
            <w:shd w:val="clear" w:color="auto" w:fill="auto"/>
          </w:tcPr>
          <w:p w14:paraId="0378886F" w14:textId="5B3EF923" w:rsidR="00FE1F2A" w:rsidRPr="000B563A" w:rsidRDefault="00FE1F2A" w:rsidP="00BF746E">
            <w:pPr>
              <w:jc w:val="right"/>
              <w:rPr>
                <w:rFonts w:ascii="Arial" w:hAnsi="Arial" w:cs="Arial"/>
                <w:sz w:val="16"/>
                <w:szCs w:val="16"/>
                <w:lang w:eastAsia="es-AR"/>
              </w:rPr>
            </w:pPr>
            <w:r>
              <w:rPr>
                <w:rFonts w:ascii="Arial" w:hAnsi="Arial" w:cs="Arial"/>
                <w:sz w:val="16"/>
                <w:szCs w:val="16"/>
                <w:lang w:eastAsia="es-AR"/>
              </w:rPr>
              <w:t>-</w:t>
            </w:r>
          </w:p>
        </w:tc>
        <w:tc>
          <w:tcPr>
            <w:tcW w:w="997" w:type="dxa"/>
            <w:tcBorders>
              <w:left w:val="nil"/>
              <w:bottom w:val="nil"/>
              <w:right w:val="nil"/>
            </w:tcBorders>
            <w:shd w:val="clear" w:color="auto" w:fill="auto"/>
            <w:vAlign w:val="center"/>
          </w:tcPr>
          <w:p w14:paraId="4216B183" w14:textId="77D6A005" w:rsidR="00FE1F2A" w:rsidRPr="000B563A" w:rsidRDefault="006E50BD" w:rsidP="00BF746E">
            <w:pPr>
              <w:jc w:val="right"/>
              <w:rPr>
                <w:rFonts w:ascii="Arial" w:hAnsi="Arial" w:cs="Arial"/>
                <w:sz w:val="16"/>
                <w:szCs w:val="16"/>
                <w:lang w:eastAsia="es-AR"/>
              </w:rPr>
            </w:pPr>
            <w:r>
              <w:rPr>
                <w:rFonts w:ascii="Arial" w:hAnsi="Arial" w:cs="Arial"/>
                <w:sz w:val="16"/>
                <w:szCs w:val="16"/>
                <w:lang w:eastAsia="es-AR"/>
              </w:rPr>
              <w:t>58.484</w:t>
            </w:r>
          </w:p>
        </w:tc>
        <w:tc>
          <w:tcPr>
            <w:tcW w:w="897" w:type="dxa"/>
            <w:tcBorders>
              <w:left w:val="nil"/>
              <w:bottom w:val="nil"/>
              <w:right w:val="nil"/>
            </w:tcBorders>
            <w:shd w:val="clear" w:color="auto" w:fill="auto"/>
          </w:tcPr>
          <w:p w14:paraId="7BA4C85A" w14:textId="7FC5CEB5" w:rsidR="00FE1F2A" w:rsidRPr="000B563A" w:rsidRDefault="006E50BD" w:rsidP="00BF746E">
            <w:pPr>
              <w:jc w:val="right"/>
              <w:rPr>
                <w:rFonts w:ascii="Arial" w:hAnsi="Arial" w:cs="Arial"/>
                <w:sz w:val="16"/>
                <w:szCs w:val="16"/>
                <w:lang w:eastAsia="es-AR"/>
              </w:rPr>
            </w:pPr>
            <w:r>
              <w:rPr>
                <w:rFonts w:ascii="Arial" w:hAnsi="Arial" w:cs="Arial"/>
                <w:sz w:val="16"/>
                <w:szCs w:val="16"/>
                <w:lang w:eastAsia="es-AR"/>
              </w:rPr>
              <w:t>-</w:t>
            </w:r>
          </w:p>
        </w:tc>
        <w:tc>
          <w:tcPr>
            <w:tcW w:w="1229" w:type="dxa"/>
            <w:tcBorders>
              <w:left w:val="nil"/>
              <w:bottom w:val="nil"/>
              <w:right w:val="nil"/>
            </w:tcBorders>
            <w:shd w:val="clear" w:color="auto" w:fill="auto"/>
          </w:tcPr>
          <w:p w14:paraId="7BA715C2" w14:textId="6297EF5C" w:rsidR="00FE1F2A" w:rsidRPr="000B563A" w:rsidRDefault="006E50BD" w:rsidP="00BF746E">
            <w:pPr>
              <w:jc w:val="right"/>
              <w:rPr>
                <w:rFonts w:ascii="Arial" w:hAnsi="Arial" w:cs="Arial"/>
                <w:sz w:val="16"/>
                <w:szCs w:val="16"/>
                <w:lang w:eastAsia="es-AR"/>
              </w:rPr>
            </w:pPr>
            <w:r>
              <w:rPr>
                <w:rFonts w:ascii="Arial" w:hAnsi="Arial" w:cs="Arial"/>
                <w:sz w:val="16"/>
                <w:szCs w:val="16"/>
                <w:lang w:eastAsia="es-AR"/>
              </w:rPr>
              <w:t>-</w:t>
            </w:r>
          </w:p>
        </w:tc>
        <w:tc>
          <w:tcPr>
            <w:tcW w:w="1134" w:type="dxa"/>
            <w:tcBorders>
              <w:left w:val="nil"/>
              <w:bottom w:val="nil"/>
              <w:right w:val="nil"/>
            </w:tcBorders>
            <w:shd w:val="clear" w:color="auto" w:fill="auto"/>
          </w:tcPr>
          <w:p w14:paraId="53FAB76D" w14:textId="48ACB2A2" w:rsidR="00FE1F2A" w:rsidRPr="000B563A" w:rsidRDefault="006E50BD" w:rsidP="00BF746E">
            <w:pPr>
              <w:jc w:val="right"/>
              <w:rPr>
                <w:rFonts w:ascii="Arial" w:hAnsi="Arial" w:cs="Arial"/>
                <w:sz w:val="16"/>
                <w:szCs w:val="16"/>
                <w:lang w:eastAsia="es-AR"/>
              </w:rPr>
            </w:pPr>
            <w:r>
              <w:rPr>
                <w:rFonts w:ascii="Arial" w:hAnsi="Arial" w:cs="Arial"/>
                <w:sz w:val="16"/>
                <w:szCs w:val="16"/>
                <w:lang w:eastAsia="es-AR"/>
              </w:rPr>
              <w:t>58.484</w:t>
            </w:r>
          </w:p>
        </w:tc>
        <w:tc>
          <w:tcPr>
            <w:tcW w:w="1134" w:type="dxa"/>
            <w:tcBorders>
              <w:left w:val="nil"/>
              <w:bottom w:val="nil"/>
              <w:right w:val="nil"/>
            </w:tcBorders>
            <w:shd w:val="clear" w:color="auto" w:fill="auto"/>
          </w:tcPr>
          <w:p w14:paraId="545BA57E" w14:textId="44D44A36" w:rsidR="00FE1F2A" w:rsidRPr="000B563A" w:rsidRDefault="00527AA1" w:rsidP="00BF746E">
            <w:pPr>
              <w:jc w:val="right"/>
              <w:rPr>
                <w:rFonts w:ascii="Arial" w:hAnsi="Arial" w:cs="Arial"/>
                <w:sz w:val="16"/>
                <w:szCs w:val="16"/>
                <w:lang w:eastAsia="es-AR"/>
              </w:rPr>
            </w:pPr>
            <w:r>
              <w:rPr>
                <w:rFonts w:ascii="Arial" w:hAnsi="Arial" w:cs="Arial"/>
                <w:sz w:val="16"/>
                <w:szCs w:val="16"/>
                <w:lang w:eastAsia="es-AR"/>
              </w:rPr>
              <w:t>-</w:t>
            </w:r>
          </w:p>
        </w:tc>
      </w:tr>
      <w:tr w:rsidR="00FE1F2A" w:rsidRPr="000B563A" w14:paraId="3135C859" w14:textId="77777777" w:rsidTr="00BF746E">
        <w:tc>
          <w:tcPr>
            <w:tcW w:w="2547" w:type="dxa"/>
            <w:tcBorders>
              <w:left w:val="nil"/>
              <w:bottom w:val="nil"/>
              <w:right w:val="nil"/>
            </w:tcBorders>
            <w:shd w:val="clear" w:color="auto" w:fill="auto"/>
            <w:vAlign w:val="center"/>
          </w:tcPr>
          <w:p w14:paraId="45C93BFD" w14:textId="7753C669" w:rsidR="00FE1F2A" w:rsidRPr="000B563A" w:rsidRDefault="00FE1F2A" w:rsidP="00BF746E">
            <w:pPr>
              <w:rPr>
                <w:rFonts w:ascii="Arial" w:hAnsi="Arial" w:cs="Arial"/>
                <w:sz w:val="16"/>
                <w:szCs w:val="16"/>
                <w:lang w:eastAsia="es-AR"/>
              </w:rPr>
            </w:pPr>
          </w:p>
        </w:tc>
        <w:tc>
          <w:tcPr>
            <w:tcW w:w="1204" w:type="dxa"/>
            <w:tcBorders>
              <w:left w:val="nil"/>
              <w:bottom w:val="nil"/>
              <w:right w:val="nil"/>
            </w:tcBorders>
            <w:shd w:val="clear" w:color="auto" w:fill="auto"/>
          </w:tcPr>
          <w:p w14:paraId="540F3838" w14:textId="77777777" w:rsidR="00FE1F2A" w:rsidRPr="000B563A" w:rsidRDefault="00FE1F2A" w:rsidP="00BE5A48">
            <w:pPr>
              <w:jc w:val="center"/>
              <w:rPr>
                <w:rFonts w:ascii="Arial" w:hAnsi="Arial" w:cs="Arial"/>
                <w:sz w:val="16"/>
                <w:szCs w:val="16"/>
                <w:lang w:eastAsia="es-AR"/>
              </w:rPr>
            </w:pPr>
          </w:p>
        </w:tc>
        <w:tc>
          <w:tcPr>
            <w:tcW w:w="997" w:type="dxa"/>
            <w:tcBorders>
              <w:left w:val="nil"/>
              <w:bottom w:val="nil"/>
              <w:right w:val="nil"/>
            </w:tcBorders>
            <w:shd w:val="clear" w:color="auto" w:fill="auto"/>
            <w:vAlign w:val="center"/>
          </w:tcPr>
          <w:p w14:paraId="66EC97FB" w14:textId="77777777" w:rsidR="00FE1F2A" w:rsidRPr="000B563A" w:rsidRDefault="00FE1F2A" w:rsidP="00BE5A48">
            <w:pPr>
              <w:jc w:val="center"/>
              <w:rPr>
                <w:rFonts w:ascii="Arial" w:hAnsi="Arial" w:cs="Arial"/>
                <w:sz w:val="16"/>
                <w:szCs w:val="16"/>
                <w:lang w:eastAsia="es-AR"/>
              </w:rPr>
            </w:pPr>
          </w:p>
        </w:tc>
        <w:tc>
          <w:tcPr>
            <w:tcW w:w="897" w:type="dxa"/>
            <w:tcBorders>
              <w:left w:val="nil"/>
              <w:bottom w:val="nil"/>
              <w:right w:val="nil"/>
            </w:tcBorders>
            <w:shd w:val="clear" w:color="auto" w:fill="auto"/>
          </w:tcPr>
          <w:p w14:paraId="1D8F57A5" w14:textId="77777777" w:rsidR="00FE1F2A" w:rsidRPr="000B563A" w:rsidRDefault="00FE1F2A" w:rsidP="00BE5A48">
            <w:pPr>
              <w:jc w:val="center"/>
              <w:rPr>
                <w:rFonts w:ascii="Arial" w:hAnsi="Arial" w:cs="Arial"/>
                <w:sz w:val="16"/>
                <w:szCs w:val="16"/>
                <w:lang w:eastAsia="es-AR"/>
              </w:rPr>
            </w:pPr>
          </w:p>
        </w:tc>
        <w:tc>
          <w:tcPr>
            <w:tcW w:w="1229" w:type="dxa"/>
            <w:tcBorders>
              <w:left w:val="nil"/>
              <w:bottom w:val="nil"/>
              <w:right w:val="nil"/>
            </w:tcBorders>
            <w:shd w:val="clear" w:color="auto" w:fill="auto"/>
          </w:tcPr>
          <w:p w14:paraId="1F221828" w14:textId="77777777" w:rsidR="00FE1F2A" w:rsidRPr="000B563A" w:rsidRDefault="00FE1F2A" w:rsidP="00BE5A48">
            <w:pPr>
              <w:jc w:val="center"/>
              <w:rPr>
                <w:rFonts w:ascii="Arial" w:hAnsi="Arial" w:cs="Arial"/>
                <w:sz w:val="16"/>
                <w:szCs w:val="16"/>
                <w:lang w:eastAsia="es-AR"/>
              </w:rPr>
            </w:pPr>
          </w:p>
        </w:tc>
        <w:tc>
          <w:tcPr>
            <w:tcW w:w="1134" w:type="dxa"/>
            <w:tcBorders>
              <w:left w:val="nil"/>
              <w:bottom w:val="nil"/>
              <w:right w:val="nil"/>
            </w:tcBorders>
            <w:shd w:val="clear" w:color="auto" w:fill="auto"/>
          </w:tcPr>
          <w:p w14:paraId="7A056762" w14:textId="77777777" w:rsidR="00FE1F2A" w:rsidRPr="000B563A" w:rsidRDefault="00FE1F2A" w:rsidP="00BE5A48">
            <w:pPr>
              <w:jc w:val="center"/>
              <w:rPr>
                <w:rFonts w:ascii="Arial" w:hAnsi="Arial" w:cs="Arial"/>
                <w:sz w:val="16"/>
                <w:szCs w:val="16"/>
                <w:lang w:eastAsia="es-AR"/>
              </w:rPr>
            </w:pPr>
          </w:p>
        </w:tc>
        <w:tc>
          <w:tcPr>
            <w:tcW w:w="1134" w:type="dxa"/>
            <w:tcBorders>
              <w:left w:val="nil"/>
              <w:bottom w:val="nil"/>
              <w:right w:val="nil"/>
            </w:tcBorders>
            <w:shd w:val="clear" w:color="auto" w:fill="auto"/>
          </w:tcPr>
          <w:p w14:paraId="3C5C04ED" w14:textId="77777777" w:rsidR="00FE1F2A" w:rsidRPr="000B563A" w:rsidRDefault="00FE1F2A" w:rsidP="00BE5A48">
            <w:pPr>
              <w:jc w:val="center"/>
              <w:rPr>
                <w:rFonts w:ascii="Arial" w:hAnsi="Arial" w:cs="Arial"/>
                <w:sz w:val="16"/>
                <w:szCs w:val="16"/>
                <w:lang w:eastAsia="es-AR"/>
              </w:rPr>
            </w:pPr>
          </w:p>
        </w:tc>
      </w:tr>
      <w:tr w:rsidR="000B563A" w:rsidRPr="000B563A" w14:paraId="0F356ABB" w14:textId="77777777" w:rsidTr="00C7765D">
        <w:tc>
          <w:tcPr>
            <w:tcW w:w="2547" w:type="dxa"/>
            <w:tcBorders>
              <w:top w:val="nil"/>
              <w:left w:val="nil"/>
              <w:bottom w:val="nil"/>
              <w:right w:val="nil"/>
            </w:tcBorders>
            <w:shd w:val="clear" w:color="auto" w:fill="auto"/>
            <w:vAlign w:val="bottom"/>
            <w:hideMark/>
          </w:tcPr>
          <w:p w14:paraId="775578C0" w14:textId="77777777" w:rsidR="00A179F3" w:rsidRPr="000B563A" w:rsidRDefault="00A179F3" w:rsidP="00BE5A48">
            <w:pPr>
              <w:rPr>
                <w:rFonts w:ascii="Arial" w:hAnsi="Arial" w:cs="Arial"/>
                <w:sz w:val="16"/>
                <w:szCs w:val="16"/>
                <w:lang w:eastAsia="es-AR"/>
              </w:rPr>
            </w:pPr>
            <w:r w:rsidRPr="000B563A">
              <w:rPr>
                <w:rFonts w:ascii="Arial" w:hAnsi="Arial" w:cs="Arial"/>
                <w:sz w:val="16"/>
                <w:szCs w:val="16"/>
                <w:lang w:eastAsia="es-AR"/>
              </w:rPr>
              <w:t>Préstamos y otras financiaciones</w:t>
            </w:r>
          </w:p>
        </w:tc>
        <w:tc>
          <w:tcPr>
            <w:tcW w:w="1204" w:type="dxa"/>
            <w:tcBorders>
              <w:top w:val="nil"/>
              <w:left w:val="nil"/>
              <w:bottom w:val="nil"/>
              <w:right w:val="nil"/>
            </w:tcBorders>
            <w:shd w:val="clear" w:color="auto" w:fill="auto"/>
            <w:vAlign w:val="center"/>
            <w:hideMark/>
          </w:tcPr>
          <w:p w14:paraId="25066406" w14:textId="77777777" w:rsidR="00A179F3" w:rsidRPr="000B563A" w:rsidRDefault="00A179F3" w:rsidP="00762A85">
            <w:pPr>
              <w:jc w:val="right"/>
              <w:rPr>
                <w:rFonts w:ascii="Arial" w:hAnsi="Arial" w:cs="Arial"/>
                <w:sz w:val="16"/>
                <w:szCs w:val="16"/>
                <w:lang w:eastAsia="es-AR"/>
              </w:rPr>
            </w:pPr>
          </w:p>
        </w:tc>
        <w:tc>
          <w:tcPr>
            <w:tcW w:w="997" w:type="dxa"/>
            <w:tcBorders>
              <w:top w:val="nil"/>
              <w:left w:val="nil"/>
              <w:bottom w:val="nil"/>
              <w:right w:val="nil"/>
            </w:tcBorders>
            <w:shd w:val="clear" w:color="auto" w:fill="auto"/>
            <w:vAlign w:val="center"/>
          </w:tcPr>
          <w:p w14:paraId="013800D7" w14:textId="77777777" w:rsidR="00A179F3" w:rsidRPr="000B563A" w:rsidRDefault="00A179F3" w:rsidP="00762A85">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center"/>
          </w:tcPr>
          <w:p w14:paraId="5C84F698" w14:textId="77777777" w:rsidR="00A179F3" w:rsidRPr="000B563A" w:rsidRDefault="00A179F3" w:rsidP="00762A85">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center"/>
          </w:tcPr>
          <w:p w14:paraId="73F511CA" w14:textId="77777777" w:rsidR="00A179F3" w:rsidRPr="000B563A" w:rsidRDefault="00A179F3" w:rsidP="00762A85">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tcPr>
          <w:p w14:paraId="1BB85F42" w14:textId="77777777" w:rsidR="00A179F3" w:rsidRPr="000B563A" w:rsidRDefault="00A179F3" w:rsidP="00762A85">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hideMark/>
          </w:tcPr>
          <w:p w14:paraId="0B2B179C" w14:textId="77777777" w:rsidR="00A179F3" w:rsidRPr="000B563A" w:rsidRDefault="00A179F3" w:rsidP="00762A85">
            <w:pPr>
              <w:jc w:val="right"/>
              <w:rPr>
                <w:rFonts w:ascii="Arial" w:hAnsi="Arial" w:cs="Arial"/>
                <w:sz w:val="16"/>
                <w:szCs w:val="16"/>
                <w:lang w:eastAsia="es-AR"/>
              </w:rPr>
            </w:pPr>
          </w:p>
        </w:tc>
      </w:tr>
      <w:tr w:rsidR="000B563A" w:rsidRPr="000B563A" w14:paraId="6C8427CC" w14:textId="77777777" w:rsidTr="00066653">
        <w:tc>
          <w:tcPr>
            <w:tcW w:w="2547" w:type="dxa"/>
            <w:tcBorders>
              <w:top w:val="nil"/>
              <w:left w:val="nil"/>
              <w:bottom w:val="nil"/>
              <w:right w:val="nil"/>
            </w:tcBorders>
            <w:shd w:val="clear" w:color="auto" w:fill="auto"/>
            <w:vAlign w:val="bottom"/>
            <w:hideMark/>
          </w:tcPr>
          <w:p w14:paraId="0F4C3E1C" w14:textId="77777777" w:rsidR="000B563A" w:rsidRPr="000B563A" w:rsidRDefault="000B563A" w:rsidP="000B563A">
            <w:pPr>
              <w:ind w:firstLineChars="200" w:firstLine="320"/>
              <w:rPr>
                <w:rFonts w:ascii="Arial" w:hAnsi="Arial" w:cs="Arial"/>
                <w:sz w:val="16"/>
                <w:szCs w:val="16"/>
                <w:lang w:eastAsia="es-AR"/>
              </w:rPr>
            </w:pPr>
            <w:r w:rsidRPr="000B563A">
              <w:rPr>
                <w:rFonts w:ascii="Arial" w:hAnsi="Arial" w:cs="Arial"/>
                <w:sz w:val="16"/>
                <w:szCs w:val="16"/>
                <w:lang w:eastAsia="es-AR"/>
              </w:rPr>
              <w:t>Otras Entidades Financieras</w:t>
            </w:r>
          </w:p>
        </w:tc>
        <w:tc>
          <w:tcPr>
            <w:tcW w:w="1204" w:type="dxa"/>
            <w:tcBorders>
              <w:top w:val="nil"/>
              <w:left w:val="nil"/>
              <w:bottom w:val="nil"/>
              <w:right w:val="nil"/>
            </w:tcBorders>
            <w:shd w:val="clear" w:color="auto" w:fill="auto"/>
            <w:vAlign w:val="center"/>
          </w:tcPr>
          <w:p w14:paraId="7AF77828" w14:textId="770D4625" w:rsidR="000B563A" w:rsidRPr="000B563A" w:rsidRDefault="000B563A" w:rsidP="000B563A">
            <w:pPr>
              <w:jc w:val="right"/>
              <w:rPr>
                <w:rFonts w:ascii="Arial" w:hAnsi="Arial" w:cs="Arial"/>
                <w:sz w:val="16"/>
                <w:szCs w:val="16"/>
                <w:lang w:eastAsia="es-AR"/>
              </w:rPr>
            </w:pPr>
            <w:r w:rsidRPr="000B563A">
              <w:rPr>
                <w:rFonts w:ascii="Arial" w:hAnsi="Arial" w:cs="Arial"/>
                <w:sz w:val="16"/>
                <w:szCs w:val="16"/>
              </w:rPr>
              <w:t>29.812</w:t>
            </w:r>
          </w:p>
        </w:tc>
        <w:tc>
          <w:tcPr>
            <w:tcW w:w="997" w:type="dxa"/>
            <w:tcBorders>
              <w:top w:val="nil"/>
              <w:left w:val="nil"/>
              <w:bottom w:val="nil"/>
              <w:right w:val="nil"/>
            </w:tcBorders>
            <w:shd w:val="clear" w:color="auto" w:fill="auto"/>
            <w:vAlign w:val="center"/>
          </w:tcPr>
          <w:p w14:paraId="02C99B62" w14:textId="64E7472C"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w:t>
            </w:r>
          </w:p>
        </w:tc>
        <w:tc>
          <w:tcPr>
            <w:tcW w:w="897" w:type="dxa"/>
            <w:tcBorders>
              <w:top w:val="nil"/>
              <w:left w:val="nil"/>
              <w:bottom w:val="nil"/>
              <w:right w:val="nil"/>
            </w:tcBorders>
            <w:shd w:val="clear" w:color="auto" w:fill="auto"/>
            <w:vAlign w:val="center"/>
          </w:tcPr>
          <w:p w14:paraId="0B5AB407" w14:textId="188FEF98"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-17.732</w:t>
            </w:r>
          </w:p>
        </w:tc>
        <w:tc>
          <w:tcPr>
            <w:tcW w:w="1229" w:type="dxa"/>
            <w:tcBorders>
              <w:top w:val="nil"/>
              <w:left w:val="nil"/>
              <w:bottom w:val="nil"/>
              <w:right w:val="nil"/>
            </w:tcBorders>
            <w:shd w:val="clear" w:color="auto" w:fill="auto"/>
            <w:vAlign w:val="center"/>
          </w:tcPr>
          <w:p w14:paraId="31B93794" w14:textId="17A26297"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shd w:val="clear" w:color="auto" w:fill="auto"/>
            <w:vAlign w:val="center"/>
          </w:tcPr>
          <w:p w14:paraId="2995FABB" w14:textId="5A8FB6B2"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12.080</w:t>
            </w:r>
          </w:p>
        </w:tc>
        <w:tc>
          <w:tcPr>
            <w:tcW w:w="1134" w:type="dxa"/>
            <w:tcBorders>
              <w:top w:val="nil"/>
              <w:left w:val="nil"/>
              <w:bottom w:val="nil"/>
              <w:right w:val="nil"/>
            </w:tcBorders>
            <w:shd w:val="clear" w:color="auto" w:fill="auto"/>
            <w:vAlign w:val="center"/>
          </w:tcPr>
          <w:p w14:paraId="79C09795" w14:textId="529BF205" w:rsidR="000B563A" w:rsidRPr="000B563A" w:rsidRDefault="000B563A">
            <w:pPr>
              <w:jc w:val="right"/>
              <w:rPr>
                <w:rFonts w:ascii="Arial" w:hAnsi="Arial" w:cs="Arial"/>
                <w:sz w:val="16"/>
                <w:szCs w:val="16"/>
                <w:lang w:eastAsia="es-AR"/>
              </w:rPr>
            </w:pPr>
            <w:r w:rsidRPr="000B563A">
              <w:rPr>
                <w:rFonts w:ascii="Arial" w:hAnsi="Arial" w:cs="Arial"/>
                <w:sz w:val="16"/>
                <w:szCs w:val="16"/>
              </w:rPr>
              <w:t>29.812</w:t>
            </w:r>
          </w:p>
        </w:tc>
      </w:tr>
      <w:tr w:rsidR="000B563A" w:rsidRPr="000B563A" w14:paraId="0FDD4DBE" w14:textId="77777777" w:rsidTr="00C06F6F">
        <w:tc>
          <w:tcPr>
            <w:tcW w:w="2547" w:type="dxa"/>
            <w:tcBorders>
              <w:top w:val="nil"/>
              <w:left w:val="nil"/>
              <w:bottom w:val="nil"/>
              <w:right w:val="nil"/>
            </w:tcBorders>
            <w:shd w:val="clear" w:color="auto" w:fill="auto"/>
            <w:vAlign w:val="bottom"/>
            <w:hideMark/>
          </w:tcPr>
          <w:p w14:paraId="24F7BEAA" w14:textId="77777777" w:rsidR="000B563A" w:rsidRPr="000B563A" w:rsidRDefault="000B563A" w:rsidP="000B563A">
            <w:pPr>
              <w:ind w:firstLineChars="200" w:firstLine="320"/>
              <w:rPr>
                <w:rFonts w:ascii="Arial" w:hAnsi="Arial" w:cs="Arial"/>
                <w:sz w:val="16"/>
                <w:szCs w:val="16"/>
                <w:lang w:eastAsia="es-AR"/>
              </w:rPr>
            </w:pPr>
            <w:r w:rsidRPr="000B563A">
              <w:rPr>
                <w:rFonts w:ascii="Arial" w:hAnsi="Arial" w:cs="Arial"/>
                <w:sz w:val="16"/>
                <w:szCs w:val="16"/>
                <w:lang w:eastAsia="es-AR"/>
              </w:rPr>
              <w:t>Sector privado no financiero y residentes en el Exterior</w:t>
            </w:r>
          </w:p>
        </w:tc>
        <w:tc>
          <w:tcPr>
            <w:tcW w:w="1204" w:type="dxa"/>
            <w:tcBorders>
              <w:top w:val="nil"/>
              <w:left w:val="nil"/>
              <w:bottom w:val="nil"/>
              <w:right w:val="nil"/>
            </w:tcBorders>
            <w:shd w:val="clear" w:color="auto" w:fill="auto"/>
            <w:vAlign w:val="center"/>
            <w:hideMark/>
          </w:tcPr>
          <w:p w14:paraId="4F5A357B" w14:textId="77777777" w:rsidR="000B563A" w:rsidRPr="000B563A" w:rsidRDefault="000B563A" w:rsidP="000B563A">
            <w:pPr>
              <w:ind w:firstLineChars="200" w:firstLine="320"/>
              <w:jc w:val="right"/>
              <w:rPr>
                <w:rFonts w:ascii="Arial" w:hAnsi="Arial" w:cs="Arial"/>
                <w:sz w:val="16"/>
                <w:szCs w:val="16"/>
                <w:lang w:eastAsia="es-AR"/>
              </w:rPr>
            </w:pPr>
          </w:p>
        </w:tc>
        <w:tc>
          <w:tcPr>
            <w:tcW w:w="997" w:type="dxa"/>
            <w:tcBorders>
              <w:top w:val="nil"/>
              <w:left w:val="nil"/>
              <w:bottom w:val="nil"/>
              <w:right w:val="nil"/>
            </w:tcBorders>
            <w:shd w:val="clear" w:color="auto" w:fill="auto"/>
            <w:vAlign w:val="center"/>
          </w:tcPr>
          <w:p w14:paraId="52C29297" w14:textId="77777777" w:rsidR="000B563A" w:rsidRPr="000B563A" w:rsidRDefault="000B563A" w:rsidP="000B563A">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center"/>
          </w:tcPr>
          <w:p w14:paraId="0D7E7BB5" w14:textId="77777777" w:rsidR="000B563A" w:rsidRPr="000B563A" w:rsidRDefault="000B563A" w:rsidP="000B563A">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center"/>
          </w:tcPr>
          <w:p w14:paraId="485C81DB" w14:textId="77777777" w:rsidR="000B563A" w:rsidRPr="000B563A" w:rsidRDefault="000B563A" w:rsidP="000B563A">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tcPr>
          <w:p w14:paraId="1FEE83C1" w14:textId="77777777" w:rsidR="000B563A" w:rsidRPr="000B563A" w:rsidRDefault="000B563A" w:rsidP="000B563A">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hideMark/>
          </w:tcPr>
          <w:p w14:paraId="1C414ABF" w14:textId="77777777" w:rsidR="000B563A" w:rsidRPr="000B563A" w:rsidRDefault="000B563A">
            <w:pPr>
              <w:jc w:val="right"/>
              <w:rPr>
                <w:rFonts w:ascii="Arial" w:hAnsi="Arial" w:cs="Arial"/>
                <w:sz w:val="16"/>
                <w:szCs w:val="16"/>
                <w:lang w:eastAsia="es-AR"/>
              </w:rPr>
            </w:pPr>
          </w:p>
        </w:tc>
      </w:tr>
      <w:tr w:rsidR="000B563A" w:rsidRPr="000B563A" w14:paraId="25A233F2" w14:textId="77777777" w:rsidTr="00066653">
        <w:tc>
          <w:tcPr>
            <w:tcW w:w="2547" w:type="dxa"/>
            <w:tcBorders>
              <w:top w:val="nil"/>
              <w:left w:val="nil"/>
              <w:bottom w:val="nil"/>
              <w:right w:val="nil"/>
            </w:tcBorders>
            <w:shd w:val="clear" w:color="auto" w:fill="auto"/>
            <w:vAlign w:val="bottom"/>
            <w:hideMark/>
          </w:tcPr>
          <w:p w14:paraId="37FC2906" w14:textId="77777777" w:rsidR="000B563A" w:rsidRPr="000B563A" w:rsidRDefault="000B563A" w:rsidP="000B563A">
            <w:pPr>
              <w:ind w:firstLineChars="400" w:firstLine="640"/>
              <w:rPr>
                <w:rFonts w:ascii="Arial" w:hAnsi="Arial" w:cs="Arial"/>
                <w:sz w:val="16"/>
                <w:szCs w:val="16"/>
                <w:lang w:eastAsia="es-AR"/>
              </w:rPr>
            </w:pPr>
            <w:r w:rsidRPr="000B563A">
              <w:rPr>
                <w:rFonts w:ascii="Arial" w:hAnsi="Arial" w:cs="Arial"/>
                <w:sz w:val="16"/>
                <w:szCs w:val="16"/>
                <w:lang w:eastAsia="es-AR"/>
              </w:rPr>
              <w:t>Adelantos</w:t>
            </w:r>
          </w:p>
        </w:tc>
        <w:tc>
          <w:tcPr>
            <w:tcW w:w="1204" w:type="dxa"/>
            <w:tcBorders>
              <w:top w:val="nil"/>
              <w:left w:val="nil"/>
              <w:bottom w:val="nil"/>
              <w:right w:val="nil"/>
            </w:tcBorders>
            <w:shd w:val="clear" w:color="auto" w:fill="auto"/>
          </w:tcPr>
          <w:p w14:paraId="5FBE8B18" w14:textId="43A07F29" w:rsidR="000B563A" w:rsidRPr="000B563A" w:rsidRDefault="000B563A" w:rsidP="000B563A">
            <w:pPr>
              <w:jc w:val="right"/>
              <w:rPr>
                <w:rFonts w:ascii="Arial" w:hAnsi="Arial" w:cs="Arial"/>
                <w:sz w:val="16"/>
                <w:szCs w:val="16"/>
              </w:rPr>
            </w:pPr>
            <w:r w:rsidRPr="00066653">
              <w:rPr>
                <w:rFonts w:ascii="Arial" w:hAnsi="Arial" w:cs="Arial"/>
                <w:sz w:val="16"/>
                <w:szCs w:val="16"/>
              </w:rPr>
              <w:t>112.389</w:t>
            </w:r>
          </w:p>
        </w:tc>
        <w:tc>
          <w:tcPr>
            <w:tcW w:w="997" w:type="dxa"/>
            <w:tcBorders>
              <w:top w:val="nil"/>
              <w:left w:val="nil"/>
              <w:bottom w:val="nil"/>
              <w:right w:val="nil"/>
            </w:tcBorders>
            <w:shd w:val="clear" w:color="auto" w:fill="auto"/>
          </w:tcPr>
          <w:p w14:paraId="2BEAEF3D" w14:textId="2511D303"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929.132</w:t>
            </w:r>
          </w:p>
        </w:tc>
        <w:tc>
          <w:tcPr>
            <w:tcW w:w="897" w:type="dxa"/>
            <w:tcBorders>
              <w:top w:val="nil"/>
              <w:left w:val="nil"/>
              <w:bottom w:val="nil"/>
              <w:right w:val="nil"/>
            </w:tcBorders>
            <w:shd w:val="clear" w:color="auto" w:fill="auto"/>
            <w:vAlign w:val="center"/>
          </w:tcPr>
          <w:p w14:paraId="6EE8B0A1" w14:textId="37D8EE7F"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w:t>
            </w:r>
          </w:p>
        </w:tc>
        <w:tc>
          <w:tcPr>
            <w:tcW w:w="1229" w:type="dxa"/>
            <w:tcBorders>
              <w:top w:val="nil"/>
              <w:left w:val="nil"/>
              <w:bottom w:val="nil"/>
              <w:right w:val="nil"/>
            </w:tcBorders>
            <w:shd w:val="clear" w:color="auto" w:fill="auto"/>
          </w:tcPr>
          <w:p w14:paraId="6FCCF68A" w14:textId="2D6BDB55"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-89.284</w:t>
            </w:r>
          </w:p>
        </w:tc>
        <w:tc>
          <w:tcPr>
            <w:tcW w:w="1134" w:type="dxa"/>
            <w:tcBorders>
              <w:top w:val="nil"/>
              <w:left w:val="nil"/>
              <w:bottom w:val="nil"/>
              <w:right w:val="nil"/>
            </w:tcBorders>
            <w:shd w:val="clear" w:color="auto" w:fill="auto"/>
          </w:tcPr>
          <w:p w14:paraId="251AF542" w14:textId="350C9E92"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952.237</w:t>
            </w:r>
          </w:p>
        </w:tc>
        <w:tc>
          <w:tcPr>
            <w:tcW w:w="1134" w:type="dxa"/>
            <w:tcBorders>
              <w:top w:val="nil"/>
              <w:left w:val="nil"/>
              <w:bottom w:val="nil"/>
              <w:right w:val="nil"/>
            </w:tcBorders>
            <w:shd w:val="clear" w:color="auto" w:fill="auto"/>
          </w:tcPr>
          <w:p w14:paraId="163FB8D3" w14:textId="66A8C895" w:rsidR="000B563A" w:rsidRPr="000B563A" w:rsidRDefault="000B563A">
            <w:pPr>
              <w:jc w:val="right"/>
              <w:rPr>
                <w:rFonts w:ascii="Arial" w:hAnsi="Arial" w:cs="Arial"/>
                <w:sz w:val="16"/>
                <w:szCs w:val="16"/>
                <w:lang w:eastAsia="es-AR"/>
              </w:rPr>
            </w:pPr>
            <w:r w:rsidRPr="000B563A">
              <w:rPr>
                <w:rFonts w:ascii="Arial" w:hAnsi="Arial" w:cs="Arial"/>
                <w:sz w:val="16"/>
                <w:szCs w:val="16"/>
              </w:rPr>
              <w:t>112.389</w:t>
            </w:r>
          </w:p>
        </w:tc>
      </w:tr>
      <w:tr w:rsidR="000B563A" w:rsidRPr="000B563A" w14:paraId="0895B2B3" w14:textId="77777777" w:rsidTr="00066653">
        <w:tc>
          <w:tcPr>
            <w:tcW w:w="2547" w:type="dxa"/>
            <w:tcBorders>
              <w:top w:val="nil"/>
              <w:left w:val="nil"/>
              <w:bottom w:val="nil"/>
              <w:right w:val="nil"/>
            </w:tcBorders>
            <w:shd w:val="clear" w:color="auto" w:fill="auto"/>
            <w:vAlign w:val="bottom"/>
            <w:hideMark/>
          </w:tcPr>
          <w:p w14:paraId="5AAF94B8" w14:textId="77777777" w:rsidR="000B563A" w:rsidRPr="000B563A" w:rsidRDefault="000B563A" w:rsidP="000B563A">
            <w:pPr>
              <w:ind w:firstLineChars="400" w:firstLine="640"/>
              <w:rPr>
                <w:rFonts w:ascii="Arial" w:hAnsi="Arial" w:cs="Arial"/>
                <w:sz w:val="16"/>
                <w:szCs w:val="16"/>
                <w:lang w:eastAsia="es-AR"/>
              </w:rPr>
            </w:pPr>
            <w:r w:rsidRPr="000B563A">
              <w:rPr>
                <w:rFonts w:ascii="Arial" w:hAnsi="Arial" w:cs="Arial"/>
                <w:sz w:val="16"/>
                <w:szCs w:val="16"/>
                <w:lang w:eastAsia="es-AR"/>
              </w:rPr>
              <w:t>Documentos</w:t>
            </w:r>
          </w:p>
        </w:tc>
        <w:tc>
          <w:tcPr>
            <w:tcW w:w="1204" w:type="dxa"/>
            <w:tcBorders>
              <w:top w:val="nil"/>
              <w:left w:val="nil"/>
              <w:bottom w:val="nil"/>
              <w:right w:val="nil"/>
            </w:tcBorders>
            <w:shd w:val="clear" w:color="auto" w:fill="auto"/>
          </w:tcPr>
          <w:p w14:paraId="1CE92D77" w14:textId="7423F30A" w:rsidR="000B563A" w:rsidRPr="000B563A" w:rsidRDefault="000B563A" w:rsidP="000B563A">
            <w:pPr>
              <w:jc w:val="right"/>
              <w:rPr>
                <w:rFonts w:ascii="Arial" w:hAnsi="Arial" w:cs="Arial"/>
                <w:sz w:val="16"/>
                <w:szCs w:val="16"/>
              </w:rPr>
            </w:pPr>
            <w:r w:rsidRPr="00066653">
              <w:rPr>
                <w:rFonts w:ascii="Arial" w:hAnsi="Arial" w:cs="Arial"/>
                <w:sz w:val="16"/>
                <w:szCs w:val="16"/>
              </w:rPr>
              <w:t>199.694</w:t>
            </w:r>
          </w:p>
        </w:tc>
        <w:tc>
          <w:tcPr>
            <w:tcW w:w="997" w:type="dxa"/>
            <w:tcBorders>
              <w:top w:val="nil"/>
              <w:left w:val="nil"/>
              <w:bottom w:val="nil"/>
              <w:right w:val="nil"/>
            </w:tcBorders>
            <w:shd w:val="clear" w:color="auto" w:fill="auto"/>
          </w:tcPr>
          <w:p w14:paraId="3881E0CF" w14:textId="0FC166E9"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342.</w:t>
            </w:r>
            <w:r w:rsidR="00FC1475">
              <w:rPr>
                <w:rFonts w:ascii="Arial" w:hAnsi="Arial" w:cs="Arial"/>
                <w:sz w:val="16"/>
                <w:szCs w:val="16"/>
                <w:lang w:eastAsia="es-AR"/>
              </w:rPr>
              <w:t>287</w:t>
            </w:r>
          </w:p>
        </w:tc>
        <w:tc>
          <w:tcPr>
            <w:tcW w:w="897" w:type="dxa"/>
            <w:tcBorders>
              <w:top w:val="nil"/>
              <w:left w:val="nil"/>
              <w:bottom w:val="nil"/>
              <w:right w:val="nil"/>
            </w:tcBorders>
            <w:shd w:val="clear" w:color="auto" w:fill="auto"/>
            <w:vAlign w:val="center"/>
          </w:tcPr>
          <w:p w14:paraId="699A2FFA" w14:textId="40914176"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w:t>
            </w:r>
          </w:p>
        </w:tc>
        <w:tc>
          <w:tcPr>
            <w:tcW w:w="1229" w:type="dxa"/>
            <w:tcBorders>
              <w:top w:val="nil"/>
              <w:left w:val="nil"/>
              <w:bottom w:val="nil"/>
              <w:right w:val="nil"/>
            </w:tcBorders>
            <w:shd w:val="clear" w:color="auto" w:fill="auto"/>
          </w:tcPr>
          <w:p w14:paraId="5B2F6E4C" w14:textId="5E67803F"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-123.098</w:t>
            </w:r>
          </w:p>
        </w:tc>
        <w:tc>
          <w:tcPr>
            <w:tcW w:w="1134" w:type="dxa"/>
            <w:tcBorders>
              <w:top w:val="nil"/>
              <w:left w:val="nil"/>
              <w:bottom w:val="nil"/>
              <w:right w:val="nil"/>
            </w:tcBorders>
            <w:shd w:val="clear" w:color="auto" w:fill="auto"/>
          </w:tcPr>
          <w:p w14:paraId="45A749B4" w14:textId="0C3E657E" w:rsidR="000B563A" w:rsidRPr="000B563A" w:rsidRDefault="006E50BD" w:rsidP="000B563A">
            <w:pPr>
              <w:jc w:val="right"/>
              <w:rPr>
                <w:rFonts w:ascii="Arial" w:hAnsi="Arial" w:cs="Arial"/>
                <w:sz w:val="16"/>
                <w:szCs w:val="16"/>
                <w:lang w:eastAsia="es-AR"/>
              </w:rPr>
            </w:pPr>
            <w:r>
              <w:rPr>
                <w:rFonts w:ascii="Arial" w:hAnsi="Arial" w:cs="Arial"/>
                <w:sz w:val="16"/>
                <w:szCs w:val="16"/>
                <w:lang w:eastAsia="es-AR"/>
              </w:rPr>
              <w:t>418.883</w:t>
            </w:r>
          </w:p>
        </w:tc>
        <w:tc>
          <w:tcPr>
            <w:tcW w:w="1134" w:type="dxa"/>
            <w:tcBorders>
              <w:top w:val="nil"/>
              <w:left w:val="nil"/>
              <w:bottom w:val="nil"/>
              <w:right w:val="nil"/>
            </w:tcBorders>
            <w:shd w:val="clear" w:color="auto" w:fill="auto"/>
          </w:tcPr>
          <w:p w14:paraId="3DC34E0A" w14:textId="4000051E" w:rsidR="000B563A" w:rsidRPr="000B563A" w:rsidRDefault="000B563A">
            <w:pPr>
              <w:jc w:val="right"/>
              <w:rPr>
                <w:rFonts w:ascii="Arial" w:hAnsi="Arial" w:cs="Arial"/>
                <w:sz w:val="16"/>
                <w:szCs w:val="16"/>
                <w:lang w:eastAsia="es-AR"/>
              </w:rPr>
            </w:pPr>
            <w:r w:rsidRPr="000B563A">
              <w:rPr>
                <w:rFonts w:ascii="Arial" w:hAnsi="Arial" w:cs="Arial"/>
                <w:sz w:val="16"/>
                <w:szCs w:val="16"/>
              </w:rPr>
              <w:t>199.694</w:t>
            </w:r>
          </w:p>
        </w:tc>
      </w:tr>
      <w:tr w:rsidR="000B563A" w:rsidRPr="000B563A" w14:paraId="4E2E3AB8" w14:textId="77777777" w:rsidTr="00066653">
        <w:tc>
          <w:tcPr>
            <w:tcW w:w="2547" w:type="dxa"/>
            <w:tcBorders>
              <w:top w:val="nil"/>
              <w:left w:val="nil"/>
              <w:bottom w:val="nil"/>
              <w:right w:val="nil"/>
            </w:tcBorders>
            <w:shd w:val="clear" w:color="auto" w:fill="auto"/>
            <w:vAlign w:val="bottom"/>
            <w:hideMark/>
          </w:tcPr>
          <w:p w14:paraId="71F52111" w14:textId="77777777" w:rsidR="000B563A" w:rsidRPr="000B563A" w:rsidRDefault="000B563A" w:rsidP="000B563A">
            <w:pPr>
              <w:ind w:firstLineChars="400" w:firstLine="640"/>
              <w:rPr>
                <w:rFonts w:ascii="Arial" w:hAnsi="Arial" w:cs="Arial"/>
                <w:sz w:val="16"/>
                <w:szCs w:val="16"/>
                <w:lang w:eastAsia="es-AR"/>
              </w:rPr>
            </w:pPr>
            <w:r w:rsidRPr="000B563A">
              <w:rPr>
                <w:rFonts w:ascii="Arial" w:hAnsi="Arial" w:cs="Arial"/>
                <w:sz w:val="16"/>
                <w:szCs w:val="16"/>
                <w:lang w:eastAsia="es-AR"/>
              </w:rPr>
              <w:t>Hipotecarios</w:t>
            </w:r>
          </w:p>
        </w:tc>
        <w:tc>
          <w:tcPr>
            <w:tcW w:w="1204" w:type="dxa"/>
            <w:tcBorders>
              <w:top w:val="nil"/>
              <w:left w:val="nil"/>
              <w:bottom w:val="nil"/>
              <w:right w:val="nil"/>
            </w:tcBorders>
            <w:shd w:val="clear" w:color="auto" w:fill="auto"/>
          </w:tcPr>
          <w:p w14:paraId="6402712D" w14:textId="5BD133B4" w:rsidR="000B563A" w:rsidRPr="000B563A" w:rsidRDefault="000B563A" w:rsidP="000B563A">
            <w:pPr>
              <w:jc w:val="right"/>
              <w:rPr>
                <w:rFonts w:ascii="Arial" w:hAnsi="Arial" w:cs="Arial"/>
                <w:sz w:val="16"/>
                <w:szCs w:val="16"/>
              </w:rPr>
            </w:pPr>
            <w:r w:rsidRPr="00066653">
              <w:rPr>
                <w:rFonts w:ascii="Arial" w:hAnsi="Arial" w:cs="Arial"/>
                <w:sz w:val="16"/>
                <w:szCs w:val="16"/>
              </w:rPr>
              <w:t>59.084</w:t>
            </w:r>
          </w:p>
        </w:tc>
        <w:tc>
          <w:tcPr>
            <w:tcW w:w="997" w:type="dxa"/>
            <w:tcBorders>
              <w:top w:val="nil"/>
              <w:left w:val="nil"/>
              <w:bottom w:val="nil"/>
              <w:right w:val="nil"/>
            </w:tcBorders>
            <w:shd w:val="clear" w:color="auto" w:fill="auto"/>
          </w:tcPr>
          <w:p w14:paraId="4CBCA9AF" w14:textId="2C15DB10"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575.111</w:t>
            </w:r>
          </w:p>
        </w:tc>
        <w:tc>
          <w:tcPr>
            <w:tcW w:w="897" w:type="dxa"/>
            <w:tcBorders>
              <w:top w:val="nil"/>
              <w:left w:val="nil"/>
              <w:bottom w:val="nil"/>
              <w:right w:val="nil"/>
            </w:tcBorders>
            <w:shd w:val="clear" w:color="auto" w:fill="auto"/>
            <w:vAlign w:val="center"/>
          </w:tcPr>
          <w:p w14:paraId="7CC66C59" w14:textId="5D81C5A9"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w:t>
            </w:r>
          </w:p>
        </w:tc>
        <w:tc>
          <w:tcPr>
            <w:tcW w:w="1229" w:type="dxa"/>
            <w:tcBorders>
              <w:top w:val="nil"/>
              <w:left w:val="nil"/>
              <w:bottom w:val="nil"/>
              <w:right w:val="nil"/>
            </w:tcBorders>
            <w:shd w:val="clear" w:color="auto" w:fill="auto"/>
          </w:tcPr>
          <w:p w14:paraId="63378100" w14:textId="5688BDDC"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shd w:val="clear" w:color="auto" w:fill="auto"/>
          </w:tcPr>
          <w:p w14:paraId="635CC1C7" w14:textId="688DEBB6"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634.195</w:t>
            </w:r>
          </w:p>
        </w:tc>
        <w:tc>
          <w:tcPr>
            <w:tcW w:w="1134" w:type="dxa"/>
            <w:tcBorders>
              <w:top w:val="nil"/>
              <w:left w:val="nil"/>
              <w:bottom w:val="nil"/>
              <w:right w:val="nil"/>
            </w:tcBorders>
            <w:shd w:val="clear" w:color="auto" w:fill="auto"/>
          </w:tcPr>
          <w:p w14:paraId="7882D4E5" w14:textId="7D925126" w:rsidR="000B563A" w:rsidRPr="000B563A" w:rsidRDefault="000B563A">
            <w:pPr>
              <w:jc w:val="right"/>
              <w:rPr>
                <w:rFonts w:ascii="Arial" w:hAnsi="Arial" w:cs="Arial"/>
                <w:sz w:val="16"/>
                <w:szCs w:val="16"/>
                <w:lang w:eastAsia="es-AR"/>
              </w:rPr>
            </w:pPr>
            <w:r w:rsidRPr="000B563A">
              <w:rPr>
                <w:rFonts w:ascii="Arial" w:hAnsi="Arial" w:cs="Arial"/>
                <w:sz w:val="16"/>
                <w:szCs w:val="16"/>
              </w:rPr>
              <w:t>59.084</w:t>
            </w:r>
          </w:p>
        </w:tc>
      </w:tr>
      <w:tr w:rsidR="000B563A" w:rsidRPr="000B563A" w14:paraId="0638CDEB" w14:textId="77777777" w:rsidTr="00066653">
        <w:tc>
          <w:tcPr>
            <w:tcW w:w="2547" w:type="dxa"/>
            <w:tcBorders>
              <w:top w:val="nil"/>
              <w:left w:val="nil"/>
              <w:bottom w:val="nil"/>
              <w:right w:val="nil"/>
            </w:tcBorders>
            <w:shd w:val="clear" w:color="auto" w:fill="auto"/>
            <w:vAlign w:val="bottom"/>
            <w:hideMark/>
          </w:tcPr>
          <w:p w14:paraId="5E8F837A" w14:textId="77777777" w:rsidR="000B563A" w:rsidRPr="000B563A" w:rsidRDefault="000B563A" w:rsidP="000B563A">
            <w:pPr>
              <w:ind w:firstLineChars="400" w:firstLine="640"/>
              <w:rPr>
                <w:rFonts w:ascii="Arial" w:hAnsi="Arial" w:cs="Arial"/>
                <w:sz w:val="16"/>
                <w:szCs w:val="16"/>
                <w:lang w:eastAsia="es-AR"/>
              </w:rPr>
            </w:pPr>
            <w:r w:rsidRPr="000B563A">
              <w:rPr>
                <w:rFonts w:ascii="Arial" w:hAnsi="Arial" w:cs="Arial"/>
                <w:sz w:val="16"/>
                <w:szCs w:val="16"/>
                <w:lang w:eastAsia="es-AR"/>
              </w:rPr>
              <w:t>Prendarios</w:t>
            </w:r>
          </w:p>
        </w:tc>
        <w:tc>
          <w:tcPr>
            <w:tcW w:w="1204" w:type="dxa"/>
            <w:tcBorders>
              <w:top w:val="nil"/>
              <w:left w:val="nil"/>
              <w:bottom w:val="nil"/>
              <w:right w:val="nil"/>
            </w:tcBorders>
            <w:shd w:val="clear" w:color="auto" w:fill="auto"/>
          </w:tcPr>
          <w:p w14:paraId="42B3C8F8" w14:textId="71400767" w:rsidR="000B563A" w:rsidRPr="000B563A" w:rsidRDefault="000B563A" w:rsidP="000B563A">
            <w:pPr>
              <w:jc w:val="right"/>
              <w:rPr>
                <w:rFonts w:ascii="Arial" w:hAnsi="Arial" w:cs="Arial"/>
                <w:sz w:val="16"/>
                <w:szCs w:val="16"/>
              </w:rPr>
            </w:pPr>
            <w:r w:rsidRPr="00066653">
              <w:rPr>
                <w:rFonts w:ascii="Arial" w:hAnsi="Arial" w:cs="Arial"/>
                <w:sz w:val="16"/>
                <w:szCs w:val="16"/>
              </w:rPr>
              <w:t>9.630</w:t>
            </w:r>
          </w:p>
        </w:tc>
        <w:tc>
          <w:tcPr>
            <w:tcW w:w="997" w:type="dxa"/>
            <w:tcBorders>
              <w:top w:val="nil"/>
              <w:left w:val="nil"/>
              <w:bottom w:val="nil"/>
              <w:right w:val="nil"/>
            </w:tcBorders>
            <w:shd w:val="clear" w:color="auto" w:fill="auto"/>
          </w:tcPr>
          <w:p w14:paraId="0631B048" w14:textId="0995BCD5"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32.</w:t>
            </w:r>
            <w:r w:rsidR="00130D2F">
              <w:rPr>
                <w:rFonts w:ascii="Arial" w:hAnsi="Arial" w:cs="Arial"/>
                <w:sz w:val="16"/>
                <w:szCs w:val="16"/>
                <w:lang w:eastAsia="es-AR"/>
              </w:rPr>
              <w:t>919</w:t>
            </w:r>
          </w:p>
        </w:tc>
        <w:tc>
          <w:tcPr>
            <w:tcW w:w="897" w:type="dxa"/>
            <w:tcBorders>
              <w:top w:val="nil"/>
              <w:left w:val="nil"/>
              <w:bottom w:val="nil"/>
              <w:right w:val="nil"/>
            </w:tcBorders>
            <w:shd w:val="clear" w:color="auto" w:fill="auto"/>
            <w:vAlign w:val="center"/>
          </w:tcPr>
          <w:p w14:paraId="3B4479FF" w14:textId="7B75775F"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w:t>
            </w:r>
          </w:p>
        </w:tc>
        <w:tc>
          <w:tcPr>
            <w:tcW w:w="1229" w:type="dxa"/>
            <w:tcBorders>
              <w:top w:val="nil"/>
              <w:left w:val="nil"/>
              <w:bottom w:val="nil"/>
              <w:right w:val="nil"/>
            </w:tcBorders>
            <w:shd w:val="clear" w:color="auto" w:fill="auto"/>
          </w:tcPr>
          <w:p w14:paraId="4D08FC2F" w14:textId="171602F1"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-15.080</w:t>
            </w:r>
          </w:p>
        </w:tc>
        <w:tc>
          <w:tcPr>
            <w:tcW w:w="1134" w:type="dxa"/>
            <w:tcBorders>
              <w:top w:val="nil"/>
              <w:left w:val="nil"/>
              <w:bottom w:val="nil"/>
              <w:right w:val="nil"/>
            </w:tcBorders>
            <w:shd w:val="clear" w:color="auto" w:fill="auto"/>
          </w:tcPr>
          <w:p w14:paraId="6CBF7B07" w14:textId="6996CE7C"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27.469</w:t>
            </w:r>
          </w:p>
        </w:tc>
        <w:tc>
          <w:tcPr>
            <w:tcW w:w="1134" w:type="dxa"/>
            <w:tcBorders>
              <w:top w:val="nil"/>
              <w:left w:val="nil"/>
              <w:bottom w:val="nil"/>
              <w:right w:val="nil"/>
            </w:tcBorders>
            <w:shd w:val="clear" w:color="auto" w:fill="auto"/>
          </w:tcPr>
          <w:p w14:paraId="08DFA139" w14:textId="31955471" w:rsidR="000B563A" w:rsidRPr="000B563A" w:rsidRDefault="000B563A">
            <w:pPr>
              <w:jc w:val="right"/>
              <w:rPr>
                <w:rFonts w:ascii="Arial" w:hAnsi="Arial" w:cs="Arial"/>
                <w:sz w:val="16"/>
                <w:szCs w:val="16"/>
                <w:lang w:eastAsia="es-AR"/>
              </w:rPr>
            </w:pPr>
            <w:r w:rsidRPr="000B563A">
              <w:rPr>
                <w:rFonts w:ascii="Arial" w:hAnsi="Arial" w:cs="Arial"/>
                <w:sz w:val="16"/>
                <w:szCs w:val="16"/>
              </w:rPr>
              <w:t>9.630</w:t>
            </w:r>
          </w:p>
        </w:tc>
      </w:tr>
      <w:tr w:rsidR="000B563A" w:rsidRPr="000B563A" w14:paraId="4803DEA5" w14:textId="77777777" w:rsidTr="00066653">
        <w:tc>
          <w:tcPr>
            <w:tcW w:w="2547" w:type="dxa"/>
            <w:tcBorders>
              <w:top w:val="nil"/>
              <w:left w:val="nil"/>
              <w:bottom w:val="nil"/>
              <w:right w:val="nil"/>
            </w:tcBorders>
            <w:shd w:val="clear" w:color="auto" w:fill="auto"/>
            <w:vAlign w:val="bottom"/>
            <w:hideMark/>
          </w:tcPr>
          <w:p w14:paraId="4C406B6A" w14:textId="77777777" w:rsidR="000B563A" w:rsidRPr="000B563A" w:rsidRDefault="000B563A" w:rsidP="000B563A">
            <w:pPr>
              <w:ind w:firstLineChars="400" w:firstLine="640"/>
              <w:rPr>
                <w:rFonts w:ascii="Arial" w:hAnsi="Arial" w:cs="Arial"/>
                <w:sz w:val="16"/>
                <w:szCs w:val="16"/>
                <w:lang w:eastAsia="es-AR"/>
              </w:rPr>
            </w:pPr>
            <w:r w:rsidRPr="000B563A">
              <w:rPr>
                <w:rFonts w:ascii="Arial" w:hAnsi="Arial" w:cs="Arial"/>
                <w:sz w:val="16"/>
                <w:szCs w:val="16"/>
                <w:lang w:eastAsia="es-AR"/>
              </w:rPr>
              <w:t>Personales</w:t>
            </w:r>
          </w:p>
        </w:tc>
        <w:tc>
          <w:tcPr>
            <w:tcW w:w="1204" w:type="dxa"/>
            <w:tcBorders>
              <w:top w:val="nil"/>
              <w:left w:val="nil"/>
              <w:bottom w:val="nil"/>
              <w:right w:val="nil"/>
            </w:tcBorders>
            <w:shd w:val="clear" w:color="auto" w:fill="auto"/>
          </w:tcPr>
          <w:p w14:paraId="5E65A071" w14:textId="48D53C2E" w:rsidR="000B563A" w:rsidRPr="000B563A" w:rsidRDefault="000B563A" w:rsidP="000B563A">
            <w:pPr>
              <w:jc w:val="right"/>
              <w:rPr>
                <w:rFonts w:ascii="Arial" w:hAnsi="Arial" w:cs="Arial"/>
                <w:sz w:val="16"/>
                <w:szCs w:val="16"/>
              </w:rPr>
            </w:pPr>
            <w:r w:rsidRPr="00066653">
              <w:rPr>
                <w:rFonts w:ascii="Arial" w:hAnsi="Arial" w:cs="Arial"/>
                <w:sz w:val="16"/>
                <w:szCs w:val="16"/>
              </w:rPr>
              <w:t>345.263</w:t>
            </w:r>
          </w:p>
        </w:tc>
        <w:tc>
          <w:tcPr>
            <w:tcW w:w="997" w:type="dxa"/>
            <w:tcBorders>
              <w:top w:val="nil"/>
              <w:left w:val="nil"/>
              <w:bottom w:val="nil"/>
              <w:right w:val="nil"/>
            </w:tcBorders>
            <w:shd w:val="clear" w:color="auto" w:fill="auto"/>
          </w:tcPr>
          <w:p w14:paraId="7BC8EE35" w14:textId="407BC0EF"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497.393</w:t>
            </w:r>
          </w:p>
        </w:tc>
        <w:tc>
          <w:tcPr>
            <w:tcW w:w="897" w:type="dxa"/>
            <w:tcBorders>
              <w:top w:val="nil"/>
              <w:left w:val="nil"/>
              <w:bottom w:val="nil"/>
              <w:right w:val="nil"/>
            </w:tcBorders>
            <w:shd w:val="clear" w:color="auto" w:fill="auto"/>
            <w:vAlign w:val="center"/>
          </w:tcPr>
          <w:p w14:paraId="66675B51" w14:textId="66A55FCD"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w:t>
            </w:r>
          </w:p>
        </w:tc>
        <w:tc>
          <w:tcPr>
            <w:tcW w:w="1229" w:type="dxa"/>
            <w:tcBorders>
              <w:top w:val="nil"/>
              <w:left w:val="nil"/>
              <w:bottom w:val="nil"/>
              <w:right w:val="nil"/>
            </w:tcBorders>
            <w:shd w:val="clear" w:color="auto" w:fill="auto"/>
          </w:tcPr>
          <w:p w14:paraId="26271A34" w14:textId="2D44F134"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-210.237</w:t>
            </w:r>
          </w:p>
        </w:tc>
        <w:tc>
          <w:tcPr>
            <w:tcW w:w="1134" w:type="dxa"/>
            <w:tcBorders>
              <w:top w:val="nil"/>
              <w:left w:val="nil"/>
              <w:bottom w:val="nil"/>
              <w:right w:val="nil"/>
            </w:tcBorders>
            <w:shd w:val="clear" w:color="auto" w:fill="auto"/>
          </w:tcPr>
          <w:p w14:paraId="45250652" w14:textId="6C0E7563"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632.419</w:t>
            </w:r>
          </w:p>
        </w:tc>
        <w:tc>
          <w:tcPr>
            <w:tcW w:w="1134" w:type="dxa"/>
            <w:tcBorders>
              <w:top w:val="nil"/>
              <w:left w:val="nil"/>
              <w:bottom w:val="nil"/>
              <w:right w:val="nil"/>
            </w:tcBorders>
            <w:shd w:val="clear" w:color="auto" w:fill="auto"/>
          </w:tcPr>
          <w:p w14:paraId="387051EE" w14:textId="10CC358E" w:rsidR="000B563A" w:rsidRPr="000B563A" w:rsidRDefault="000B563A">
            <w:pPr>
              <w:jc w:val="right"/>
              <w:rPr>
                <w:rFonts w:ascii="Arial" w:hAnsi="Arial" w:cs="Arial"/>
                <w:sz w:val="16"/>
                <w:szCs w:val="16"/>
                <w:lang w:eastAsia="es-AR"/>
              </w:rPr>
            </w:pPr>
            <w:r w:rsidRPr="000B563A">
              <w:rPr>
                <w:rFonts w:ascii="Arial" w:hAnsi="Arial" w:cs="Arial"/>
                <w:sz w:val="16"/>
                <w:szCs w:val="16"/>
              </w:rPr>
              <w:t>345.263</w:t>
            </w:r>
          </w:p>
        </w:tc>
      </w:tr>
      <w:tr w:rsidR="000B563A" w:rsidRPr="000B563A" w14:paraId="1087FA32" w14:textId="77777777" w:rsidTr="00066653">
        <w:tc>
          <w:tcPr>
            <w:tcW w:w="2547" w:type="dxa"/>
            <w:tcBorders>
              <w:top w:val="nil"/>
              <w:left w:val="nil"/>
              <w:bottom w:val="nil"/>
              <w:right w:val="nil"/>
            </w:tcBorders>
            <w:shd w:val="clear" w:color="auto" w:fill="auto"/>
            <w:vAlign w:val="bottom"/>
            <w:hideMark/>
          </w:tcPr>
          <w:p w14:paraId="578128D8" w14:textId="77777777" w:rsidR="000B563A" w:rsidRPr="000B563A" w:rsidRDefault="000B563A" w:rsidP="000B563A">
            <w:pPr>
              <w:ind w:firstLineChars="400" w:firstLine="640"/>
              <w:rPr>
                <w:rFonts w:ascii="Arial" w:hAnsi="Arial" w:cs="Arial"/>
                <w:sz w:val="16"/>
                <w:szCs w:val="16"/>
                <w:lang w:eastAsia="es-AR"/>
              </w:rPr>
            </w:pPr>
            <w:r w:rsidRPr="000B563A">
              <w:rPr>
                <w:rFonts w:ascii="Arial" w:hAnsi="Arial" w:cs="Arial"/>
                <w:sz w:val="16"/>
                <w:szCs w:val="16"/>
                <w:lang w:eastAsia="es-AR"/>
              </w:rPr>
              <w:t>Tarjetas de Crédito</w:t>
            </w:r>
          </w:p>
        </w:tc>
        <w:tc>
          <w:tcPr>
            <w:tcW w:w="1204" w:type="dxa"/>
            <w:tcBorders>
              <w:top w:val="nil"/>
              <w:left w:val="nil"/>
              <w:bottom w:val="nil"/>
              <w:right w:val="nil"/>
            </w:tcBorders>
            <w:shd w:val="clear" w:color="auto" w:fill="auto"/>
          </w:tcPr>
          <w:p w14:paraId="1108DC8F" w14:textId="052F4BF3" w:rsidR="000B563A" w:rsidRPr="000B563A" w:rsidRDefault="000B563A" w:rsidP="000B563A">
            <w:pPr>
              <w:jc w:val="right"/>
              <w:rPr>
                <w:rFonts w:ascii="Arial" w:hAnsi="Arial" w:cs="Arial"/>
                <w:sz w:val="16"/>
                <w:szCs w:val="16"/>
              </w:rPr>
            </w:pPr>
            <w:r w:rsidRPr="00066653">
              <w:rPr>
                <w:rFonts w:ascii="Arial" w:hAnsi="Arial" w:cs="Arial"/>
                <w:sz w:val="16"/>
                <w:szCs w:val="16"/>
              </w:rPr>
              <w:t>166.143</w:t>
            </w:r>
          </w:p>
        </w:tc>
        <w:tc>
          <w:tcPr>
            <w:tcW w:w="997" w:type="dxa"/>
            <w:tcBorders>
              <w:top w:val="nil"/>
              <w:left w:val="nil"/>
              <w:bottom w:val="nil"/>
              <w:right w:val="nil"/>
            </w:tcBorders>
            <w:shd w:val="clear" w:color="auto" w:fill="auto"/>
          </w:tcPr>
          <w:p w14:paraId="1C02179E" w14:textId="4BAD3A3F"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683.634</w:t>
            </w:r>
          </w:p>
        </w:tc>
        <w:tc>
          <w:tcPr>
            <w:tcW w:w="897" w:type="dxa"/>
            <w:tcBorders>
              <w:top w:val="nil"/>
              <w:left w:val="nil"/>
              <w:bottom w:val="nil"/>
              <w:right w:val="nil"/>
            </w:tcBorders>
            <w:shd w:val="clear" w:color="auto" w:fill="auto"/>
            <w:vAlign w:val="center"/>
          </w:tcPr>
          <w:p w14:paraId="1750CEAF" w14:textId="2E8F7832"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-24.122</w:t>
            </w:r>
          </w:p>
        </w:tc>
        <w:tc>
          <w:tcPr>
            <w:tcW w:w="1229" w:type="dxa"/>
            <w:tcBorders>
              <w:top w:val="nil"/>
              <w:left w:val="nil"/>
              <w:bottom w:val="nil"/>
              <w:right w:val="nil"/>
            </w:tcBorders>
            <w:shd w:val="clear" w:color="auto" w:fill="auto"/>
          </w:tcPr>
          <w:p w14:paraId="1215D197" w14:textId="1E70AF23"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-416.357</w:t>
            </w:r>
          </w:p>
        </w:tc>
        <w:tc>
          <w:tcPr>
            <w:tcW w:w="1134" w:type="dxa"/>
            <w:tcBorders>
              <w:top w:val="nil"/>
              <w:left w:val="nil"/>
              <w:bottom w:val="nil"/>
              <w:right w:val="nil"/>
            </w:tcBorders>
            <w:shd w:val="clear" w:color="auto" w:fill="auto"/>
          </w:tcPr>
          <w:p w14:paraId="6A16424E" w14:textId="3B40587D"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409.298</w:t>
            </w:r>
          </w:p>
        </w:tc>
        <w:tc>
          <w:tcPr>
            <w:tcW w:w="1134" w:type="dxa"/>
            <w:tcBorders>
              <w:top w:val="nil"/>
              <w:left w:val="nil"/>
              <w:bottom w:val="nil"/>
              <w:right w:val="nil"/>
            </w:tcBorders>
            <w:shd w:val="clear" w:color="auto" w:fill="auto"/>
          </w:tcPr>
          <w:p w14:paraId="72FA89DE" w14:textId="644138FD" w:rsidR="000B563A" w:rsidRPr="000B563A" w:rsidRDefault="000B563A">
            <w:pPr>
              <w:jc w:val="right"/>
              <w:rPr>
                <w:rFonts w:ascii="Arial" w:hAnsi="Arial" w:cs="Arial"/>
                <w:sz w:val="16"/>
                <w:szCs w:val="16"/>
                <w:lang w:eastAsia="es-AR"/>
              </w:rPr>
            </w:pPr>
            <w:r w:rsidRPr="000B563A">
              <w:rPr>
                <w:rFonts w:ascii="Arial" w:hAnsi="Arial" w:cs="Arial"/>
                <w:sz w:val="16"/>
                <w:szCs w:val="16"/>
              </w:rPr>
              <w:t>166.143</w:t>
            </w:r>
          </w:p>
        </w:tc>
      </w:tr>
      <w:tr w:rsidR="000B563A" w:rsidRPr="000B563A" w14:paraId="20FAA4A1" w14:textId="77777777" w:rsidTr="00066653">
        <w:tc>
          <w:tcPr>
            <w:tcW w:w="2547" w:type="dxa"/>
            <w:tcBorders>
              <w:top w:val="nil"/>
              <w:left w:val="nil"/>
              <w:bottom w:val="nil"/>
              <w:right w:val="nil"/>
            </w:tcBorders>
            <w:shd w:val="clear" w:color="auto" w:fill="auto"/>
            <w:vAlign w:val="bottom"/>
            <w:hideMark/>
          </w:tcPr>
          <w:p w14:paraId="4B95FD0C" w14:textId="63DEC6EF" w:rsidR="000B563A" w:rsidRPr="000B563A" w:rsidRDefault="000B563A" w:rsidP="000B563A">
            <w:pPr>
              <w:ind w:firstLineChars="400" w:firstLine="640"/>
              <w:rPr>
                <w:rFonts w:ascii="Arial" w:hAnsi="Arial" w:cs="Arial"/>
                <w:sz w:val="16"/>
                <w:szCs w:val="16"/>
                <w:lang w:eastAsia="es-AR"/>
              </w:rPr>
            </w:pPr>
            <w:r w:rsidRPr="000B563A">
              <w:rPr>
                <w:rFonts w:ascii="Arial" w:hAnsi="Arial" w:cs="Arial"/>
                <w:sz w:val="16"/>
                <w:szCs w:val="16"/>
                <w:lang w:eastAsia="es-AR"/>
              </w:rPr>
              <w:t>Arrendamientos Finan</w:t>
            </w:r>
            <w:r w:rsidR="00A23FC4">
              <w:rPr>
                <w:rFonts w:ascii="Arial" w:hAnsi="Arial" w:cs="Arial"/>
                <w:sz w:val="16"/>
                <w:szCs w:val="16"/>
                <w:lang w:eastAsia="es-AR"/>
              </w:rPr>
              <w:t>c.</w:t>
            </w:r>
          </w:p>
        </w:tc>
        <w:tc>
          <w:tcPr>
            <w:tcW w:w="1204" w:type="dxa"/>
            <w:tcBorders>
              <w:top w:val="nil"/>
              <w:left w:val="nil"/>
              <w:bottom w:val="nil"/>
              <w:right w:val="nil"/>
            </w:tcBorders>
            <w:shd w:val="clear" w:color="auto" w:fill="auto"/>
          </w:tcPr>
          <w:p w14:paraId="541987A1" w14:textId="35343048" w:rsidR="000B563A" w:rsidRPr="000B563A" w:rsidRDefault="000B563A" w:rsidP="000B563A">
            <w:pPr>
              <w:jc w:val="right"/>
              <w:rPr>
                <w:rFonts w:ascii="Arial" w:hAnsi="Arial" w:cs="Arial"/>
                <w:sz w:val="16"/>
                <w:szCs w:val="16"/>
              </w:rPr>
            </w:pPr>
            <w:r w:rsidRPr="00066653">
              <w:rPr>
                <w:rFonts w:ascii="Arial" w:hAnsi="Arial" w:cs="Arial"/>
                <w:sz w:val="16"/>
                <w:szCs w:val="16"/>
              </w:rPr>
              <w:t>54.901</w:t>
            </w:r>
          </w:p>
        </w:tc>
        <w:tc>
          <w:tcPr>
            <w:tcW w:w="997" w:type="dxa"/>
            <w:tcBorders>
              <w:top w:val="nil"/>
              <w:left w:val="nil"/>
              <w:bottom w:val="nil"/>
              <w:right w:val="nil"/>
            </w:tcBorders>
            <w:shd w:val="clear" w:color="auto" w:fill="auto"/>
          </w:tcPr>
          <w:p w14:paraId="72751642" w14:textId="115B51FD"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59.870</w:t>
            </w:r>
          </w:p>
        </w:tc>
        <w:tc>
          <w:tcPr>
            <w:tcW w:w="897" w:type="dxa"/>
            <w:tcBorders>
              <w:top w:val="nil"/>
              <w:left w:val="nil"/>
              <w:bottom w:val="nil"/>
              <w:right w:val="nil"/>
            </w:tcBorders>
            <w:shd w:val="clear" w:color="auto" w:fill="auto"/>
            <w:vAlign w:val="center"/>
          </w:tcPr>
          <w:p w14:paraId="10E3DBF7" w14:textId="45165748"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-12.634</w:t>
            </w:r>
          </w:p>
        </w:tc>
        <w:tc>
          <w:tcPr>
            <w:tcW w:w="1229" w:type="dxa"/>
            <w:tcBorders>
              <w:top w:val="nil"/>
              <w:left w:val="nil"/>
              <w:bottom w:val="nil"/>
              <w:right w:val="nil"/>
            </w:tcBorders>
            <w:shd w:val="clear" w:color="auto" w:fill="auto"/>
          </w:tcPr>
          <w:p w14:paraId="107A3B1F" w14:textId="25FA65F2"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-20.085</w:t>
            </w:r>
          </w:p>
        </w:tc>
        <w:tc>
          <w:tcPr>
            <w:tcW w:w="1134" w:type="dxa"/>
            <w:tcBorders>
              <w:top w:val="nil"/>
              <w:left w:val="nil"/>
              <w:bottom w:val="nil"/>
              <w:right w:val="nil"/>
            </w:tcBorders>
            <w:shd w:val="clear" w:color="auto" w:fill="auto"/>
          </w:tcPr>
          <w:p w14:paraId="3C3AC411" w14:textId="2C3A4F48"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82.052</w:t>
            </w:r>
          </w:p>
        </w:tc>
        <w:tc>
          <w:tcPr>
            <w:tcW w:w="1134" w:type="dxa"/>
            <w:tcBorders>
              <w:top w:val="nil"/>
              <w:left w:val="nil"/>
              <w:bottom w:val="nil"/>
              <w:right w:val="nil"/>
            </w:tcBorders>
            <w:shd w:val="clear" w:color="auto" w:fill="auto"/>
          </w:tcPr>
          <w:p w14:paraId="358095AC" w14:textId="772FB98D" w:rsidR="000B563A" w:rsidRPr="000B563A" w:rsidRDefault="000B563A">
            <w:pPr>
              <w:jc w:val="right"/>
              <w:rPr>
                <w:rFonts w:ascii="Arial" w:hAnsi="Arial" w:cs="Arial"/>
                <w:sz w:val="16"/>
                <w:szCs w:val="16"/>
                <w:lang w:eastAsia="es-AR"/>
              </w:rPr>
            </w:pPr>
            <w:r w:rsidRPr="000B563A">
              <w:rPr>
                <w:rFonts w:ascii="Arial" w:hAnsi="Arial" w:cs="Arial"/>
                <w:sz w:val="16"/>
                <w:szCs w:val="16"/>
              </w:rPr>
              <w:t>54.901</w:t>
            </w:r>
          </w:p>
        </w:tc>
      </w:tr>
      <w:tr w:rsidR="000B563A" w:rsidRPr="000B563A" w14:paraId="0EBB950F" w14:textId="77777777" w:rsidTr="00066653">
        <w:tc>
          <w:tcPr>
            <w:tcW w:w="2547" w:type="dxa"/>
            <w:tcBorders>
              <w:top w:val="nil"/>
              <w:left w:val="nil"/>
              <w:bottom w:val="nil"/>
              <w:right w:val="nil"/>
            </w:tcBorders>
            <w:shd w:val="clear" w:color="auto" w:fill="auto"/>
            <w:vAlign w:val="bottom"/>
            <w:hideMark/>
          </w:tcPr>
          <w:p w14:paraId="4A8A705B" w14:textId="77777777" w:rsidR="000B563A" w:rsidRPr="000B563A" w:rsidRDefault="000B563A" w:rsidP="000B563A">
            <w:pPr>
              <w:ind w:firstLineChars="400" w:firstLine="640"/>
              <w:rPr>
                <w:rFonts w:ascii="Arial" w:hAnsi="Arial" w:cs="Arial"/>
                <w:sz w:val="16"/>
                <w:szCs w:val="16"/>
                <w:lang w:eastAsia="es-AR"/>
              </w:rPr>
            </w:pPr>
            <w:r w:rsidRPr="000B563A">
              <w:rPr>
                <w:rFonts w:ascii="Arial" w:hAnsi="Arial" w:cs="Arial"/>
                <w:sz w:val="16"/>
                <w:szCs w:val="16"/>
                <w:lang w:eastAsia="es-AR"/>
              </w:rPr>
              <w:t>Otros</w:t>
            </w:r>
          </w:p>
        </w:tc>
        <w:tc>
          <w:tcPr>
            <w:tcW w:w="1204" w:type="dxa"/>
            <w:tcBorders>
              <w:top w:val="nil"/>
              <w:left w:val="nil"/>
              <w:bottom w:val="nil"/>
              <w:right w:val="nil"/>
            </w:tcBorders>
            <w:shd w:val="clear" w:color="auto" w:fill="auto"/>
          </w:tcPr>
          <w:p w14:paraId="3C0531EB" w14:textId="7CEE4231" w:rsidR="000B563A" w:rsidRPr="000B563A" w:rsidRDefault="000B563A" w:rsidP="000B563A">
            <w:pPr>
              <w:jc w:val="right"/>
              <w:rPr>
                <w:rFonts w:ascii="Arial" w:hAnsi="Arial" w:cs="Arial"/>
                <w:sz w:val="16"/>
                <w:szCs w:val="16"/>
              </w:rPr>
            </w:pPr>
            <w:r w:rsidRPr="00066653">
              <w:rPr>
                <w:rFonts w:ascii="Arial" w:hAnsi="Arial" w:cs="Arial"/>
                <w:sz w:val="16"/>
                <w:szCs w:val="16"/>
              </w:rPr>
              <w:t>1.130.539</w:t>
            </w:r>
          </w:p>
        </w:tc>
        <w:tc>
          <w:tcPr>
            <w:tcW w:w="997" w:type="dxa"/>
            <w:tcBorders>
              <w:top w:val="nil"/>
              <w:left w:val="nil"/>
              <w:bottom w:val="nil"/>
              <w:right w:val="nil"/>
            </w:tcBorders>
            <w:shd w:val="clear" w:color="auto" w:fill="auto"/>
          </w:tcPr>
          <w:p w14:paraId="2E58DC90" w14:textId="5079F618"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1.294.</w:t>
            </w:r>
            <w:r w:rsidR="00130D2F">
              <w:rPr>
                <w:rFonts w:ascii="Arial" w:hAnsi="Arial" w:cs="Arial"/>
                <w:sz w:val="16"/>
                <w:szCs w:val="16"/>
                <w:lang w:eastAsia="es-AR"/>
              </w:rPr>
              <w:t>108</w:t>
            </w:r>
          </w:p>
        </w:tc>
        <w:tc>
          <w:tcPr>
            <w:tcW w:w="897" w:type="dxa"/>
            <w:tcBorders>
              <w:top w:val="nil"/>
              <w:left w:val="nil"/>
              <w:bottom w:val="nil"/>
              <w:right w:val="nil"/>
            </w:tcBorders>
            <w:shd w:val="clear" w:color="auto" w:fill="auto"/>
            <w:vAlign w:val="center"/>
          </w:tcPr>
          <w:p w14:paraId="22125223" w14:textId="6FB17C20"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-2.000</w:t>
            </w:r>
          </w:p>
        </w:tc>
        <w:tc>
          <w:tcPr>
            <w:tcW w:w="1229" w:type="dxa"/>
            <w:tcBorders>
              <w:top w:val="nil"/>
              <w:left w:val="nil"/>
              <w:bottom w:val="nil"/>
              <w:right w:val="nil"/>
            </w:tcBorders>
            <w:shd w:val="clear" w:color="auto" w:fill="auto"/>
          </w:tcPr>
          <w:p w14:paraId="33E5C9AE" w14:textId="71E2D1D4"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-564.</w:t>
            </w:r>
            <w:r w:rsidR="00130D2F">
              <w:rPr>
                <w:rFonts w:ascii="Arial" w:hAnsi="Arial" w:cs="Arial"/>
                <w:sz w:val="16"/>
                <w:szCs w:val="16"/>
                <w:lang w:eastAsia="es-AR"/>
              </w:rPr>
              <w:t>653</w:t>
            </w:r>
          </w:p>
        </w:tc>
        <w:tc>
          <w:tcPr>
            <w:tcW w:w="1134" w:type="dxa"/>
            <w:tcBorders>
              <w:top w:val="nil"/>
              <w:left w:val="nil"/>
              <w:bottom w:val="nil"/>
              <w:right w:val="nil"/>
            </w:tcBorders>
            <w:shd w:val="clear" w:color="auto" w:fill="auto"/>
          </w:tcPr>
          <w:p w14:paraId="1176DE32" w14:textId="2598AD6D"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1.857.99</w:t>
            </w:r>
            <w:r w:rsidR="00130D2F">
              <w:rPr>
                <w:rFonts w:ascii="Arial" w:hAnsi="Arial" w:cs="Arial"/>
                <w:sz w:val="16"/>
                <w:szCs w:val="16"/>
                <w:lang w:eastAsia="es-AR"/>
              </w:rPr>
              <w:t>4</w:t>
            </w:r>
          </w:p>
        </w:tc>
        <w:tc>
          <w:tcPr>
            <w:tcW w:w="1134" w:type="dxa"/>
            <w:tcBorders>
              <w:top w:val="nil"/>
              <w:left w:val="nil"/>
              <w:bottom w:val="nil"/>
              <w:right w:val="nil"/>
            </w:tcBorders>
            <w:shd w:val="clear" w:color="auto" w:fill="auto"/>
          </w:tcPr>
          <w:p w14:paraId="1836F0AB" w14:textId="33BE4D27" w:rsidR="000B563A" w:rsidRPr="000B563A" w:rsidRDefault="000B563A">
            <w:pPr>
              <w:jc w:val="right"/>
              <w:rPr>
                <w:rFonts w:ascii="Arial" w:hAnsi="Arial" w:cs="Arial"/>
                <w:sz w:val="16"/>
                <w:szCs w:val="16"/>
                <w:lang w:eastAsia="es-AR"/>
              </w:rPr>
            </w:pPr>
            <w:r w:rsidRPr="000B563A">
              <w:rPr>
                <w:rFonts w:ascii="Arial" w:hAnsi="Arial" w:cs="Arial"/>
                <w:sz w:val="16"/>
                <w:szCs w:val="16"/>
              </w:rPr>
              <w:t>1.130.539</w:t>
            </w:r>
          </w:p>
        </w:tc>
      </w:tr>
      <w:tr w:rsidR="000B563A" w:rsidRPr="000B563A" w14:paraId="5CBFC68A" w14:textId="77777777" w:rsidTr="00C06F6F">
        <w:tc>
          <w:tcPr>
            <w:tcW w:w="2547" w:type="dxa"/>
            <w:tcBorders>
              <w:top w:val="nil"/>
              <w:left w:val="nil"/>
              <w:bottom w:val="nil"/>
              <w:right w:val="nil"/>
            </w:tcBorders>
            <w:shd w:val="clear" w:color="auto" w:fill="auto"/>
            <w:vAlign w:val="bottom"/>
            <w:hideMark/>
          </w:tcPr>
          <w:p w14:paraId="4D52181F" w14:textId="77777777" w:rsidR="000B563A" w:rsidRPr="000B563A" w:rsidRDefault="000B563A" w:rsidP="000B563A">
            <w:pPr>
              <w:rPr>
                <w:rFonts w:ascii="Arial" w:hAnsi="Arial" w:cs="Arial"/>
                <w:sz w:val="16"/>
                <w:szCs w:val="16"/>
                <w:lang w:eastAsia="es-AR"/>
              </w:rPr>
            </w:pPr>
          </w:p>
        </w:tc>
        <w:tc>
          <w:tcPr>
            <w:tcW w:w="1204" w:type="dxa"/>
            <w:tcBorders>
              <w:top w:val="nil"/>
              <w:left w:val="nil"/>
              <w:bottom w:val="nil"/>
              <w:right w:val="nil"/>
            </w:tcBorders>
            <w:shd w:val="clear" w:color="auto" w:fill="auto"/>
            <w:vAlign w:val="center"/>
            <w:hideMark/>
          </w:tcPr>
          <w:p w14:paraId="61743587" w14:textId="77777777" w:rsidR="000B563A" w:rsidRPr="000B563A" w:rsidRDefault="000B563A" w:rsidP="00066653">
            <w:pPr>
              <w:jc w:val="right"/>
              <w:rPr>
                <w:rFonts w:ascii="Arial" w:hAnsi="Arial" w:cs="Arial"/>
                <w:sz w:val="16"/>
                <w:szCs w:val="16"/>
              </w:rPr>
            </w:pPr>
          </w:p>
        </w:tc>
        <w:tc>
          <w:tcPr>
            <w:tcW w:w="997" w:type="dxa"/>
            <w:tcBorders>
              <w:top w:val="nil"/>
              <w:left w:val="nil"/>
              <w:bottom w:val="nil"/>
              <w:right w:val="nil"/>
            </w:tcBorders>
            <w:shd w:val="clear" w:color="auto" w:fill="auto"/>
            <w:vAlign w:val="center"/>
          </w:tcPr>
          <w:p w14:paraId="423654D5" w14:textId="77777777" w:rsidR="000B563A" w:rsidRPr="000B563A" w:rsidRDefault="000B563A" w:rsidP="000B563A">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center"/>
          </w:tcPr>
          <w:p w14:paraId="39615296" w14:textId="77777777" w:rsidR="000B563A" w:rsidRPr="000B563A" w:rsidRDefault="000B563A" w:rsidP="000B563A">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center"/>
          </w:tcPr>
          <w:p w14:paraId="65AA0AD9" w14:textId="77777777" w:rsidR="000B563A" w:rsidRPr="000B563A" w:rsidRDefault="000B563A" w:rsidP="000B563A">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tcPr>
          <w:p w14:paraId="476F162D" w14:textId="77777777" w:rsidR="000B563A" w:rsidRPr="000B563A" w:rsidRDefault="000B563A" w:rsidP="000B563A">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hideMark/>
          </w:tcPr>
          <w:p w14:paraId="0BB2930B" w14:textId="77777777" w:rsidR="000B563A" w:rsidRPr="000B563A" w:rsidRDefault="000B563A">
            <w:pPr>
              <w:jc w:val="right"/>
              <w:rPr>
                <w:rFonts w:ascii="Arial" w:hAnsi="Arial" w:cs="Arial"/>
                <w:sz w:val="16"/>
                <w:szCs w:val="16"/>
                <w:lang w:eastAsia="es-AR"/>
              </w:rPr>
            </w:pPr>
          </w:p>
        </w:tc>
      </w:tr>
      <w:tr w:rsidR="000B563A" w:rsidRPr="000B563A" w14:paraId="53845DE3" w14:textId="77777777" w:rsidTr="00066653">
        <w:tc>
          <w:tcPr>
            <w:tcW w:w="2547" w:type="dxa"/>
            <w:tcBorders>
              <w:top w:val="nil"/>
              <w:left w:val="nil"/>
              <w:bottom w:val="nil"/>
              <w:right w:val="nil"/>
            </w:tcBorders>
            <w:shd w:val="clear" w:color="auto" w:fill="auto"/>
            <w:vAlign w:val="bottom"/>
            <w:hideMark/>
          </w:tcPr>
          <w:p w14:paraId="44308927" w14:textId="5E5F4AF1" w:rsidR="000B563A" w:rsidRPr="000B563A" w:rsidRDefault="000B563A" w:rsidP="000B563A">
            <w:pPr>
              <w:rPr>
                <w:rFonts w:ascii="Arial" w:hAnsi="Arial" w:cs="Arial"/>
                <w:sz w:val="16"/>
                <w:szCs w:val="16"/>
                <w:lang w:eastAsia="es-AR"/>
              </w:rPr>
            </w:pPr>
            <w:r w:rsidRPr="000B563A">
              <w:rPr>
                <w:rFonts w:ascii="Arial" w:hAnsi="Arial" w:cs="Arial"/>
                <w:sz w:val="16"/>
                <w:szCs w:val="16"/>
                <w:lang w:eastAsia="es-AR"/>
              </w:rPr>
              <w:t>Títulos Privados</w:t>
            </w:r>
          </w:p>
        </w:tc>
        <w:tc>
          <w:tcPr>
            <w:tcW w:w="1204" w:type="dxa"/>
            <w:tcBorders>
              <w:top w:val="nil"/>
              <w:left w:val="nil"/>
              <w:bottom w:val="nil"/>
              <w:right w:val="nil"/>
            </w:tcBorders>
            <w:shd w:val="clear" w:color="auto" w:fill="auto"/>
            <w:vAlign w:val="center"/>
          </w:tcPr>
          <w:p w14:paraId="150A8206" w14:textId="25CA2699" w:rsidR="000B563A" w:rsidRPr="000B563A" w:rsidRDefault="000B563A" w:rsidP="000B563A">
            <w:pPr>
              <w:jc w:val="right"/>
              <w:rPr>
                <w:rFonts w:ascii="Arial" w:hAnsi="Arial" w:cs="Arial"/>
                <w:sz w:val="16"/>
                <w:szCs w:val="16"/>
                <w:lang w:eastAsia="es-AR"/>
              </w:rPr>
            </w:pPr>
            <w:r w:rsidRPr="000B563A">
              <w:rPr>
                <w:rFonts w:ascii="Arial" w:hAnsi="Arial" w:cs="Arial"/>
                <w:sz w:val="16"/>
                <w:szCs w:val="16"/>
              </w:rPr>
              <w:t>74</w:t>
            </w:r>
          </w:p>
        </w:tc>
        <w:tc>
          <w:tcPr>
            <w:tcW w:w="997" w:type="dxa"/>
            <w:tcBorders>
              <w:top w:val="nil"/>
              <w:left w:val="nil"/>
              <w:bottom w:val="nil"/>
              <w:right w:val="nil"/>
            </w:tcBorders>
            <w:shd w:val="clear" w:color="auto" w:fill="auto"/>
            <w:vAlign w:val="center"/>
          </w:tcPr>
          <w:p w14:paraId="4F2AE663" w14:textId="0CE3DC3C"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3.555</w:t>
            </w:r>
          </w:p>
        </w:tc>
        <w:tc>
          <w:tcPr>
            <w:tcW w:w="897" w:type="dxa"/>
            <w:tcBorders>
              <w:top w:val="nil"/>
              <w:left w:val="nil"/>
              <w:bottom w:val="nil"/>
              <w:right w:val="nil"/>
            </w:tcBorders>
            <w:shd w:val="clear" w:color="auto" w:fill="auto"/>
            <w:vAlign w:val="center"/>
          </w:tcPr>
          <w:p w14:paraId="3BD5455F" w14:textId="1C848F1D"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w:t>
            </w:r>
          </w:p>
        </w:tc>
        <w:tc>
          <w:tcPr>
            <w:tcW w:w="1229" w:type="dxa"/>
            <w:tcBorders>
              <w:top w:val="nil"/>
              <w:left w:val="nil"/>
              <w:bottom w:val="nil"/>
              <w:right w:val="nil"/>
            </w:tcBorders>
            <w:shd w:val="clear" w:color="auto" w:fill="auto"/>
            <w:vAlign w:val="center"/>
          </w:tcPr>
          <w:p w14:paraId="7FD32C71" w14:textId="2473108C"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shd w:val="clear" w:color="auto" w:fill="auto"/>
            <w:vAlign w:val="center"/>
          </w:tcPr>
          <w:p w14:paraId="635CF092" w14:textId="41E4B0A7"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3.629</w:t>
            </w:r>
          </w:p>
        </w:tc>
        <w:tc>
          <w:tcPr>
            <w:tcW w:w="1134" w:type="dxa"/>
            <w:tcBorders>
              <w:top w:val="nil"/>
              <w:left w:val="nil"/>
              <w:bottom w:val="nil"/>
              <w:right w:val="nil"/>
            </w:tcBorders>
            <w:shd w:val="clear" w:color="auto" w:fill="auto"/>
            <w:vAlign w:val="center"/>
          </w:tcPr>
          <w:p w14:paraId="7F860540" w14:textId="26A29AC0" w:rsidR="000B563A" w:rsidRPr="000B563A" w:rsidRDefault="000B563A">
            <w:pPr>
              <w:jc w:val="right"/>
              <w:rPr>
                <w:rFonts w:ascii="Arial" w:hAnsi="Arial" w:cs="Arial"/>
                <w:sz w:val="16"/>
                <w:szCs w:val="16"/>
                <w:lang w:eastAsia="es-AR"/>
              </w:rPr>
            </w:pPr>
            <w:r w:rsidRPr="000B563A">
              <w:rPr>
                <w:rFonts w:ascii="Arial" w:hAnsi="Arial" w:cs="Arial"/>
                <w:sz w:val="16"/>
                <w:szCs w:val="16"/>
              </w:rPr>
              <w:t>74</w:t>
            </w:r>
          </w:p>
        </w:tc>
      </w:tr>
      <w:tr w:rsidR="000B563A" w:rsidRPr="000B563A" w14:paraId="33BB1DBB" w14:textId="77777777" w:rsidTr="00C06F6F">
        <w:tc>
          <w:tcPr>
            <w:tcW w:w="2547" w:type="dxa"/>
            <w:tcBorders>
              <w:top w:val="nil"/>
              <w:left w:val="nil"/>
              <w:bottom w:val="nil"/>
              <w:right w:val="nil"/>
            </w:tcBorders>
            <w:shd w:val="clear" w:color="auto" w:fill="auto"/>
            <w:vAlign w:val="bottom"/>
            <w:hideMark/>
          </w:tcPr>
          <w:p w14:paraId="1812AE33" w14:textId="77777777" w:rsidR="000B563A" w:rsidRPr="000B563A" w:rsidRDefault="000B563A" w:rsidP="000B563A">
            <w:pPr>
              <w:rPr>
                <w:rFonts w:ascii="Arial" w:hAnsi="Arial" w:cs="Arial"/>
                <w:sz w:val="16"/>
                <w:szCs w:val="16"/>
                <w:lang w:eastAsia="es-AR"/>
              </w:rPr>
            </w:pPr>
          </w:p>
        </w:tc>
        <w:tc>
          <w:tcPr>
            <w:tcW w:w="1204" w:type="dxa"/>
            <w:tcBorders>
              <w:top w:val="nil"/>
              <w:left w:val="nil"/>
              <w:bottom w:val="nil"/>
              <w:right w:val="nil"/>
            </w:tcBorders>
            <w:shd w:val="clear" w:color="auto" w:fill="auto"/>
            <w:vAlign w:val="center"/>
            <w:hideMark/>
          </w:tcPr>
          <w:p w14:paraId="1FB1A11D" w14:textId="77777777" w:rsidR="000B563A" w:rsidRPr="000B563A" w:rsidRDefault="000B563A" w:rsidP="000B563A">
            <w:pPr>
              <w:jc w:val="right"/>
              <w:rPr>
                <w:rFonts w:ascii="Arial" w:hAnsi="Arial" w:cs="Arial"/>
                <w:sz w:val="16"/>
                <w:szCs w:val="16"/>
                <w:lang w:eastAsia="es-AR"/>
              </w:rPr>
            </w:pPr>
          </w:p>
        </w:tc>
        <w:tc>
          <w:tcPr>
            <w:tcW w:w="997" w:type="dxa"/>
            <w:tcBorders>
              <w:top w:val="nil"/>
              <w:left w:val="nil"/>
              <w:bottom w:val="nil"/>
              <w:right w:val="nil"/>
            </w:tcBorders>
            <w:shd w:val="clear" w:color="auto" w:fill="auto"/>
            <w:vAlign w:val="center"/>
          </w:tcPr>
          <w:p w14:paraId="7C7E8D0E" w14:textId="77777777" w:rsidR="000B563A" w:rsidRPr="000B563A" w:rsidRDefault="000B563A" w:rsidP="000B563A">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center"/>
          </w:tcPr>
          <w:p w14:paraId="1DF642C8" w14:textId="77777777" w:rsidR="000B563A" w:rsidRPr="000B563A" w:rsidRDefault="000B563A" w:rsidP="000B563A">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center"/>
          </w:tcPr>
          <w:p w14:paraId="0B6CAD54" w14:textId="77777777" w:rsidR="000B563A" w:rsidRPr="000B563A" w:rsidRDefault="000B563A" w:rsidP="000B563A">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tcPr>
          <w:p w14:paraId="63422B9B" w14:textId="77777777" w:rsidR="000B563A" w:rsidRPr="000B563A" w:rsidRDefault="000B563A" w:rsidP="000B563A">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hideMark/>
          </w:tcPr>
          <w:p w14:paraId="7C8FCD12" w14:textId="77777777" w:rsidR="000B563A" w:rsidRPr="000B563A" w:rsidRDefault="000B563A">
            <w:pPr>
              <w:jc w:val="right"/>
              <w:rPr>
                <w:rFonts w:ascii="Arial" w:hAnsi="Arial" w:cs="Arial"/>
                <w:sz w:val="16"/>
                <w:szCs w:val="16"/>
                <w:lang w:eastAsia="es-AR"/>
              </w:rPr>
            </w:pPr>
          </w:p>
        </w:tc>
      </w:tr>
      <w:tr w:rsidR="000B563A" w:rsidRPr="000B563A" w14:paraId="557C923E" w14:textId="77777777" w:rsidTr="00066653">
        <w:tc>
          <w:tcPr>
            <w:tcW w:w="2547" w:type="dxa"/>
            <w:tcBorders>
              <w:top w:val="nil"/>
              <w:left w:val="nil"/>
              <w:bottom w:val="nil"/>
              <w:right w:val="nil"/>
            </w:tcBorders>
            <w:shd w:val="clear" w:color="auto" w:fill="auto"/>
            <w:vAlign w:val="bottom"/>
            <w:hideMark/>
          </w:tcPr>
          <w:p w14:paraId="2C7061E1" w14:textId="045CB0D1" w:rsidR="000B563A" w:rsidRPr="000B563A" w:rsidRDefault="000B563A" w:rsidP="000B563A">
            <w:pPr>
              <w:rPr>
                <w:rFonts w:ascii="Arial" w:hAnsi="Arial" w:cs="Arial"/>
                <w:sz w:val="16"/>
                <w:szCs w:val="16"/>
                <w:lang w:eastAsia="es-AR"/>
              </w:rPr>
            </w:pPr>
            <w:r w:rsidRPr="000B563A">
              <w:rPr>
                <w:rFonts w:ascii="Arial" w:hAnsi="Arial" w:cs="Arial"/>
                <w:sz w:val="16"/>
                <w:szCs w:val="16"/>
                <w:lang w:eastAsia="es-AR"/>
              </w:rPr>
              <w:t>Compromisos eventuales (</w:t>
            </w:r>
            <w:r w:rsidR="00A23FC4">
              <w:rPr>
                <w:rFonts w:ascii="Arial" w:hAnsi="Arial" w:cs="Arial"/>
                <w:sz w:val="16"/>
                <w:szCs w:val="16"/>
                <w:lang w:eastAsia="es-AR"/>
              </w:rPr>
              <w:t>1</w:t>
            </w:r>
            <w:r w:rsidRPr="000B563A">
              <w:rPr>
                <w:rFonts w:ascii="Arial" w:hAnsi="Arial" w:cs="Arial"/>
                <w:sz w:val="16"/>
                <w:szCs w:val="16"/>
                <w:lang w:eastAsia="es-AR"/>
              </w:rPr>
              <w:t>)</w:t>
            </w:r>
          </w:p>
        </w:tc>
        <w:tc>
          <w:tcPr>
            <w:tcW w:w="1204" w:type="dxa"/>
            <w:tcBorders>
              <w:top w:val="nil"/>
              <w:left w:val="nil"/>
              <w:bottom w:val="nil"/>
              <w:right w:val="nil"/>
            </w:tcBorders>
            <w:shd w:val="clear" w:color="auto" w:fill="auto"/>
            <w:vAlign w:val="center"/>
          </w:tcPr>
          <w:p w14:paraId="6E67D17F" w14:textId="6E6DA450" w:rsidR="000B563A" w:rsidRPr="000B563A" w:rsidRDefault="000B563A" w:rsidP="000B563A">
            <w:pPr>
              <w:jc w:val="right"/>
              <w:rPr>
                <w:rFonts w:ascii="Arial" w:hAnsi="Arial" w:cs="Arial"/>
                <w:sz w:val="16"/>
                <w:szCs w:val="16"/>
                <w:lang w:eastAsia="es-AR"/>
              </w:rPr>
            </w:pPr>
            <w:r w:rsidRPr="000B563A">
              <w:rPr>
                <w:rFonts w:ascii="Arial" w:hAnsi="Arial" w:cs="Arial"/>
                <w:sz w:val="16"/>
                <w:szCs w:val="16"/>
              </w:rPr>
              <w:t>1.196</w:t>
            </w:r>
          </w:p>
        </w:tc>
        <w:tc>
          <w:tcPr>
            <w:tcW w:w="997" w:type="dxa"/>
            <w:tcBorders>
              <w:top w:val="nil"/>
              <w:left w:val="nil"/>
              <w:bottom w:val="nil"/>
              <w:right w:val="nil"/>
            </w:tcBorders>
            <w:shd w:val="clear" w:color="auto" w:fill="auto"/>
            <w:vAlign w:val="center"/>
          </w:tcPr>
          <w:p w14:paraId="1FDCF065" w14:textId="7D59BDC6"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w:t>
            </w:r>
          </w:p>
        </w:tc>
        <w:tc>
          <w:tcPr>
            <w:tcW w:w="897" w:type="dxa"/>
            <w:tcBorders>
              <w:top w:val="nil"/>
              <w:left w:val="nil"/>
              <w:bottom w:val="nil"/>
              <w:right w:val="nil"/>
            </w:tcBorders>
            <w:shd w:val="clear" w:color="auto" w:fill="auto"/>
            <w:vAlign w:val="center"/>
          </w:tcPr>
          <w:p w14:paraId="79FF24E2" w14:textId="21BC6488"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-829</w:t>
            </w:r>
          </w:p>
        </w:tc>
        <w:tc>
          <w:tcPr>
            <w:tcW w:w="1229" w:type="dxa"/>
            <w:tcBorders>
              <w:top w:val="nil"/>
              <w:left w:val="nil"/>
              <w:bottom w:val="nil"/>
              <w:right w:val="nil"/>
            </w:tcBorders>
            <w:shd w:val="clear" w:color="auto" w:fill="auto"/>
            <w:vAlign w:val="center"/>
          </w:tcPr>
          <w:p w14:paraId="4C36FC45" w14:textId="53696882"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w:t>
            </w:r>
          </w:p>
        </w:tc>
        <w:tc>
          <w:tcPr>
            <w:tcW w:w="1134" w:type="dxa"/>
            <w:tcBorders>
              <w:top w:val="nil"/>
              <w:left w:val="nil"/>
              <w:bottom w:val="nil"/>
              <w:right w:val="nil"/>
            </w:tcBorders>
            <w:shd w:val="clear" w:color="auto" w:fill="auto"/>
            <w:vAlign w:val="center"/>
          </w:tcPr>
          <w:p w14:paraId="7478BACE" w14:textId="4AF54700" w:rsidR="000B563A" w:rsidRPr="000B563A" w:rsidRDefault="00211799" w:rsidP="000B563A">
            <w:pPr>
              <w:jc w:val="right"/>
              <w:rPr>
                <w:rFonts w:ascii="Arial" w:hAnsi="Arial" w:cs="Arial"/>
                <w:sz w:val="16"/>
                <w:szCs w:val="16"/>
                <w:lang w:eastAsia="es-AR"/>
              </w:rPr>
            </w:pPr>
            <w:r>
              <w:rPr>
                <w:rFonts w:ascii="Arial" w:hAnsi="Arial" w:cs="Arial"/>
                <w:sz w:val="16"/>
                <w:szCs w:val="16"/>
                <w:lang w:eastAsia="es-AR"/>
              </w:rPr>
              <w:t>367</w:t>
            </w:r>
          </w:p>
        </w:tc>
        <w:tc>
          <w:tcPr>
            <w:tcW w:w="1134" w:type="dxa"/>
            <w:tcBorders>
              <w:top w:val="nil"/>
              <w:left w:val="nil"/>
              <w:bottom w:val="nil"/>
              <w:right w:val="nil"/>
            </w:tcBorders>
            <w:shd w:val="clear" w:color="auto" w:fill="auto"/>
            <w:vAlign w:val="center"/>
          </w:tcPr>
          <w:p w14:paraId="56A36593" w14:textId="47177976" w:rsidR="000B563A" w:rsidRPr="000B563A" w:rsidRDefault="000B563A">
            <w:pPr>
              <w:jc w:val="right"/>
              <w:rPr>
                <w:rFonts w:ascii="Arial" w:hAnsi="Arial" w:cs="Arial"/>
                <w:sz w:val="16"/>
                <w:szCs w:val="16"/>
                <w:lang w:eastAsia="es-AR"/>
              </w:rPr>
            </w:pPr>
            <w:r w:rsidRPr="000B563A">
              <w:rPr>
                <w:rFonts w:ascii="Arial" w:hAnsi="Arial" w:cs="Arial"/>
                <w:sz w:val="16"/>
                <w:szCs w:val="16"/>
              </w:rPr>
              <w:t>1.196</w:t>
            </w:r>
          </w:p>
        </w:tc>
      </w:tr>
      <w:tr w:rsidR="000B563A" w:rsidRPr="000B563A" w14:paraId="26550D6B" w14:textId="77777777" w:rsidTr="00C06F6F">
        <w:tc>
          <w:tcPr>
            <w:tcW w:w="2547" w:type="dxa"/>
            <w:tcBorders>
              <w:top w:val="nil"/>
              <w:left w:val="nil"/>
              <w:bottom w:val="nil"/>
              <w:right w:val="nil"/>
            </w:tcBorders>
            <w:shd w:val="clear" w:color="auto" w:fill="auto"/>
            <w:vAlign w:val="bottom"/>
            <w:hideMark/>
          </w:tcPr>
          <w:p w14:paraId="27032632" w14:textId="77777777" w:rsidR="000B563A" w:rsidRPr="000B563A" w:rsidRDefault="000B563A" w:rsidP="000B563A">
            <w:pPr>
              <w:rPr>
                <w:rFonts w:ascii="Arial" w:hAnsi="Arial" w:cs="Arial"/>
                <w:sz w:val="16"/>
                <w:szCs w:val="16"/>
                <w:lang w:eastAsia="es-AR"/>
              </w:rPr>
            </w:pPr>
          </w:p>
        </w:tc>
        <w:tc>
          <w:tcPr>
            <w:tcW w:w="1204" w:type="dxa"/>
            <w:tcBorders>
              <w:top w:val="nil"/>
              <w:left w:val="nil"/>
              <w:bottom w:val="nil"/>
              <w:right w:val="nil"/>
            </w:tcBorders>
            <w:shd w:val="clear" w:color="auto" w:fill="auto"/>
            <w:vAlign w:val="center"/>
            <w:hideMark/>
          </w:tcPr>
          <w:p w14:paraId="3EDD258E" w14:textId="77777777" w:rsidR="000B563A" w:rsidRPr="000B563A" w:rsidRDefault="000B563A" w:rsidP="000B563A">
            <w:pPr>
              <w:jc w:val="right"/>
              <w:rPr>
                <w:rFonts w:ascii="Arial" w:hAnsi="Arial" w:cs="Arial"/>
                <w:sz w:val="16"/>
                <w:szCs w:val="16"/>
                <w:lang w:eastAsia="es-AR"/>
              </w:rPr>
            </w:pPr>
          </w:p>
        </w:tc>
        <w:tc>
          <w:tcPr>
            <w:tcW w:w="997" w:type="dxa"/>
            <w:tcBorders>
              <w:top w:val="nil"/>
              <w:left w:val="nil"/>
              <w:bottom w:val="nil"/>
              <w:right w:val="nil"/>
            </w:tcBorders>
            <w:shd w:val="clear" w:color="auto" w:fill="auto"/>
            <w:vAlign w:val="center"/>
          </w:tcPr>
          <w:p w14:paraId="44F686D0" w14:textId="77777777" w:rsidR="000B563A" w:rsidRPr="000B563A" w:rsidRDefault="000B563A" w:rsidP="000B563A">
            <w:pPr>
              <w:jc w:val="right"/>
              <w:rPr>
                <w:rFonts w:ascii="Arial" w:hAnsi="Arial" w:cs="Arial"/>
                <w:sz w:val="16"/>
                <w:szCs w:val="16"/>
                <w:lang w:eastAsia="es-AR"/>
              </w:rPr>
            </w:pPr>
          </w:p>
        </w:tc>
        <w:tc>
          <w:tcPr>
            <w:tcW w:w="897" w:type="dxa"/>
            <w:tcBorders>
              <w:top w:val="nil"/>
              <w:left w:val="nil"/>
              <w:bottom w:val="nil"/>
              <w:right w:val="nil"/>
            </w:tcBorders>
            <w:shd w:val="clear" w:color="auto" w:fill="auto"/>
            <w:vAlign w:val="center"/>
          </w:tcPr>
          <w:p w14:paraId="409EA551" w14:textId="77777777" w:rsidR="000B563A" w:rsidRPr="000B563A" w:rsidRDefault="000B563A" w:rsidP="000B563A">
            <w:pPr>
              <w:jc w:val="right"/>
              <w:rPr>
                <w:rFonts w:ascii="Arial" w:hAnsi="Arial" w:cs="Arial"/>
                <w:sz w:val="16"/>
                <w:szCs w:val="16"/>
                <w:lang w:eastAsia="es-AR"/>
              </w:rPr>
            </w:pPr>
          </w:p>
        </w:tc>
        <w:tc>
          <w:tcPr>
            <w:tcW w:w="1229" w:type="dxa"/>
            <w:tcBorders>
              <w:top w:val="nil"/>
              <w:left w:val="nil"/>
              <w:bottom w:val="nil"/>
              <w:right w:val="nil"/>
            </w:tcBorders>
            <w:shd w:val="clear" w:color="auto" w:fill="auto"/>
            <w:vAlign w:val="center"/>
          </w:tcPr>
          <w:p w14:paraId="2138E068" w14:textId="77777777" w:rsidR="000B563A" w:rsidRPr="000B563A" w:rsidRDefault="000B563A" w:rsidP="000B563A">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tcPr>
          <w:p w14:paraId="1E05B04D" w14:textId="77777777" w:rsidR="000B563A" w:rsidRPr="000B563A" w:rsidRDefault="000B563A" w:rsidP="000B563A">
            <w:pPr>
              <w:jc w:val="right"/>
              <w:rPr>
                <w:rFonts w:ascii="Arial" w:hAnsi="Arial" w:cs="Arial"/>
                <w:sz w:val="16"/>
                <w:szCs w:val="16"/>
                <w:lang w:eastAsia="es-AR"/>
              </w:rPr>
            </w:pPr>
          </w:p>
        </w:tc>
        <w:tc>
          <w:tcPr>
            <w:tcW w:w="1134" w:type="dxa"/>
            <w:tcBorders>
              <w:top w:val="nil"/>
              <w:left w:val="nil"/>
              <w:bottom w:val="nil"/>
              <w:right w:val="nil"/>
            </w:tcBorders>
            <w:shd w:val="clear" w:color="auto" w:fill="auto"/>
            <w:vAlign w:val="center"/>
            <w:hideMark/>
          </w:tcPr>
          <w:p w14:paraId="5B494E7E" w14:textId="77777777" w:rsidR="000B563A" w:rsidRPr="000B563A" w:rsidRDefault="000B563A">
            <w:pPr>
              <w:jc w:val="right"/>
              <w:rPr>
                <w:rFonts w:ascii="Arial" w:hAnsi="Arial" w:cs="Arial"/>
                <w:sz w:val="16"/>
                <w:szCs w:val="16"/>
                <w:lang w:eastAsia="es-AR"/>
              </w:rPr>
            </w:pPr>
          </w:p>
        </w:tc>
      </w:tr>
      <w:tr w:rsidR="000B563A" w:rsidRPr="000B563A" w14:paraId="7B36DF43" w14:textId="77777777" w:rsidTr="00066653">
        <w:tc>
          <w:tcPr>
            <w:tcW w:w="2547" w:type="dxa"/>
            <w:tcBorders>
              <w:top w:val="nil"/>
              <w:left w:val="nil"/>
              <w:bottom w:val="nil"/>
              <w:right w:val="nil"/>
            </w:tcBorders>
            <w:shd w:val="clear" w:color="auto" w:fill="auto"/>
            <w:vAlign w:val="bottom"/>
            <w:hideMark/>
          </w:tcPr>
          <w:p w14:paraId="27F08CF3" w14:textId="77777777" w:rsidR="000B563A" w:rsidRPr="000B563A" w:rsidRDefault="000B563A" w:rsidP="000B563A">
            <w:pPr>
              <w:rPr>
                <w:rFonts w:ascii="Arial" w:hAnsi="Arial" w:cs="Arial"/>
                <w:b/>
                <w:bCs/>
                <w:sz w:val="16"/>
                <w:szCs w:val="16"/>
                <w:lang w:eastAsia="es-AR"/>
              </w:rPr>
            </w:pPr>
            <w:r w:rsidRPr="000B563A">
              <w:rPr>
                <w:rFonts w:ascii="Arial" w:hAnsi="Arial" w:cs="Arial"/>
                <w:b/>
                <w:bCs/>
                <w:sz w:val="16"/>
                <w:szCs w:val="16"/>
                <w:lang w:eastAsia="es-AR"/>
              </w:rPr>
              <w:t>TOTAL DE PREVISIONES</w:t>
            </w:r>
          </w:p>
        </w:tc>
        <w:tc>
          <w:tcPr>
            <w:tcW w:w="1204" w:type="dxa"/>
            <w:tcBorders>
              <w:top w:val="single" w:sz="4" w:space="0" w:color="auto"/>
              <w:left w:val="nil"/>
              <w:bottom w:val="single" w:sz="4" w:space="0" w:color="auto"/>
              <w:right w:val="nil"/>
            </w:tcBorders>
            <w:shd w:val="clear" w:color="auto" w:fill="auto"/>
            <w:vAlign w:val="center"/>
          </w:tcPr>
          <w:p w14:paraId="525C2044" w14:textId="6A9B892B" w:rsidR="000B563A" w:rsidRPr="000B563A" w:rsidRDefault="000B563A" w:rsidP="000B563A">
            <w:pPr>
              <w:jc w:val="right"/>
              <w:rPr>
                <w:rFonts w:ascii="Arial" w:hAnsi="Arial" w:cs="Arial"/>
                <w:b/>
                <w:bCs/>
                <w:sz w:val="16"/>
                <w:szCs w:val="16"/>
                <w:lang w:eastAsia="es-AR"/>
              </w:rPr>
            </w:pPr>
            <w:r w:rsidRPr="000B563A">
              <w:rPr>
                <w:rFonts w:ascii="Arial" w:hAnsi="Arial" w:cs="Arial"/>
                <w:b/>
                <w:bCs/>
                <w:color w:val="000000"/>
                <w:sz w:val="16"/>
                <w:szCs w:val="16"/>
              </w:rPr>
              <w:t>2.108.725</w:t>
            </w:r>
          </w:p>
        </w:tc>
        <w:tc>
          <w:tcPr>
            <w:tcW w:w="997" w:type="dxa"/>
            <w:tcBorders>
              <w:top w:val="single" w:sz="4" w:space="0" w:color="auto"/>
              <w:left w:val="nil"/>
              <w:bottom w:val="single" w:sz="4" w:space="0" w:color="auto"/>
              <w:right w:val="nil"/>
            </w:tcBorders>
            <w:shd w:val="clear" w:color="auto" w:fill="auto"/>
            <w:vAlign w:val="center"/>
          </w:tcPr>
          <w:p w14:paraId="334EB050" w14:textId="0FA60824" w:rsidR="000B563A" w:rsidRPr="000B563A" w:rsidRDefault="00211799">
            <w:pPr>
              <w:jc w:val="right"/>
              <w:rPr>
                <w:rFonts w:ascii="Arial" w:hAnsi="Arial" w:cs="Arial"/>
                <w:b/>
                <w:bCs/>
                <w:sz w:val="16"/>
                <w:szCs w:val="16"/>
                <w:lang w:eastAsia="es-AR"/>
              </w:rPr>
            </w:pPr>
            <w:r>
              <w:rPr>
                <w:rFonts w:ascii="Arial" w:hAnsi="Arial" w:cs="Arial"/>
                <w:b/>
                <w:bCs/>
                <w:sz w:val="16"/>
                <w:szCs w:val="16"/>
                <w:lang w:eastAsia="es-AR"/>
              </w:rPr>
              <w:t>4.476.493</w:t>
            </w:r>
          </w:p>
        </w:tc>
        <w:tc>
          <w:tcPr>
            <w:tcW w:w="897" w:type="dxa"/>
            <w:tcBorders>
              <w:top w:val="single" w:sz="4" w:space="0" w:color="auto"/>
              <w:left w:val="nil"/>
              <w:bottom w:val="single" w:sz="4" w:space="0" w:color="auto"/>
              <w:right w:val="nil"/>
            </w:tcBorders>
            <w:shd w:val="clear" w:color="auto" w:fill="auto"/>
            <w:vAlign w:val="center"/>
          </w:tcPr>
          <w:p w14:paraId="6CCEBE35" w14:textId="17D97C78" w:rsidR="000B563A" w:rsidRPr="000B563A" w:rsidRDefault="00211799" w:rsidP="000B563A">
            <w:pPr>
              <w:jc w:val="right"/>
              <w:rPr>
                <w:rFonts w:ascii="Arial" w:hAnsi="Arial" w:cs="Arial"/>
                <w:b/>
                <w:bCs/>
                <w:sz w:val="16"/>
                <w:szCs w:val="16"/>
                <w:lang w:eastAsia="es-AR"/>
              </w:rPr>
            </w:pPr>
            <w:r>
              <w:rPr>
                <w:rFonts w:ascii="Arial" w:hAnsi="Arial" w:cs="Arial"/>
                <w:b/>
                <w:bCs/>
                <w:sz w:val="16"/>
                <w:szCs w:val="16"/>
                <w:lang w:eastAsia="es-AR"/>
              </w:rPr>
              <w:t>-57.317</w:t>
            </w:r>
          </w:p>
        </w:tc>
        <w:tc>
          <w:tcPr>
            <w:tcW w:w="1229" w:type="dxa"/>
            <w:tcBorders>
              <w:top w:val="single" w:sz="4" w:space="0" w:color="auto"/>
              <w:left w:val="nil"/>
              <w:bottom w:val="single" w:sz="4" w:space="0" w:color="auto"/>
              <w:right w:val="nil"/>
            </w:tcBorders>
            <w:shd w:val="clear" w:color="auto" w:fill="auto"/>
            <w:vAlign w:val="center"/>
          </w:tcPr>
          <w:p w14:paraId="5263EC97" w14:textId="7225EE1A" w:rsidR="000B563A" w:rsidRPr="000B563A" w:rsidRDefault="00211799">
            <w:pPr>
              <w:jc w:val="right"/>
              <w:rPr>
                <w:rFonts w:ascii="Arial" w:hAnsi="Arial" w:cs="Arial"/>
                <w:b/>
                <w:bCs/>
                <w:sz w:val="16"/>
                <w:szCs w:val="16"/>
                <w:lang w:eastAsia="es-AR"/>
              </w:rPr>
            </w:pPr>
            <w:r>
              <w:rPr>
                <w:rFonts w:ascii="Arial" w:hAnsi="Arial" w:cs="Arial"/>
                <w:b/>
                <w:bCs/>
                <w:sz w:val="16"/>
                <w:szCs w:val="16"/>
                <w:lang w:eastAsia="es-AR"/>
              </w:rPr>
              <w:t>-1.438.794</w:t>
            </w:r>
          </w:p>
        </w:tc>
        <w:tc>
          <w:tcPr>
            <w:tcW w:w="1134" w:type="dxa"/>
            <w:tcBorders>
              <w:top w:val="single" w:sz="4" w:space="0" w:color="auto"/>
              <w:left w:val="nil"/>
              <w:bottom w:val="single" w:sz="4" w:space="0" w:color="auto"/>
              <w:right w:val="nil"/>
            </w:tcBorders>
            <w:shd w:val="clear" w:color="auto" w:fill="auto"/>
            <w:vAlign w:val="center"/>
          </w:tcPr>
          <w:p w14:paraId="5E784814" w14:textId="518EE50D" w:rsidR="000B563A" w:rsidRPr="000B563A" w:rsidRDefault="00211799">
            <w:pPr>
              <w:jc w:val="right"/>
              <w:rPr>
                <w:rFonts w:ascii="Arial" w:hAnsi="Arial" w:cs="Arial"/>
                <w:b/>
                <w:bCs/>
                <w:sz w:val="16"/>
                <w:szCs w:val="16"/>
                <w:lang w:eastAsia="es-AR"/>
              </w:rPr>
            </w:pPr>
            <w:r>
              <w:rPr>
                <w:rFonts w:ascii="Arial" w:hAnsi="Arial" w:cs="Arial"/>
                <w:b/>
                <w:bCs/>
                <w:sz w:val="16"/>
                <w:szCs w:val="16"/>
                <w:lang w:eastAsia="es-AR"/>
              </w:rPr>
              <w:t>5.089.107</w:t>
            </w:r>
          </w:p>
        </w:tc>
        <w:tc>
          <w:tcPr>
            <w:tcW w:w="1134" w:type="dxa"/>
            <w:tcBorders>
              <w:top w:val="single" w:sz="4" w:space="0" w:color="auto"/>
              <w:left w:val="nil"/>
              <w:bottom w:val="single" w:sz="4" w:space="0" w:color="auto"/>
              <w:right w:val="nil"/>
            </w:tcBorders>
            <w:shd w:val="clear" w:color="auto" w:fill="auto"/>
            <w:vAlign w:val="center"/>
          </w:tcPr>
          <w:p w14:paraId="4771FE55" w14:textId="47511230" w:rsidR="000B563A" w:rsidRPr="000B563A" w:rsidRDefault="000B563A">
            <w:pPr>
              <w:jc w:val="right"/>
              <w:rPr>
                <w:rFonts w:ascii="Arial" w:hAnsi="Arial" w:cs="Arial"/>
                <w:b/>
                <w:bCs/>
                <w:sz w:val="16"/>
                <w:szCs w:val="16"/>
                <w:lang w:eastAsia="es-AR"/>
              </w:rPr>
            </w:pPr>
            <w:r w:rsidRPr="000B563A">
              <w:rPr>
                <w:rFonts w:ascii="Arial" w:hAnsi="Arial" w:cs="Arial"/>
                <w:b/>
                <w:bCs/>
                <w:color w:val="000000"/>
                <w:sz w:val="16"/>
                <w:szCs w:val="16"/>
              </w:rPr>
              <w:t>2.108.725</w:t>
            </w:r>
          </w:p>
        </w:tc>
      </w:tr>
    </w:tbl>
    <w:p w14:paraId="03200C1F" w14:textId="77777777" w:rsidR="00A179F3" w:rsidRDefault="00A179F3" w:rsidP="00A179F3">
      <w:pPr>
        <w:rPr>
          <w:rFonts w:ascii="Arial" w:hAnsi="Arial" w:cs="Arial"/>
          <w:sz w:val="16"/>
          <w:szCs w:val="16"/>
          <w:lang w:eastAsia="es-AR"/>
        </w:rPr>
      </w:pPr>
    </w:p>
    <w:p w14:paraId="67A65BDD" w14:textId="77777777" w:rsidR="00D9473F" w:rsidRDefault="00D9473F" w:rsidP="00A179F3">
      <w:pPr>
        <w:rPr>
          <w:rFonts w:ascii="Arial" w:hAnsi="Arial" w:cs="Arial"/>
          <w:sz w:val="16"/>
          <w:szCs w:val="16"/>
          <w:lang w:eastAsia="es-AR"/>
        </w:rPr>
      </w:pPr>
    </w:p>
    <w:p w14:paraId="7F7DC19F" w14:textId="6D41E85D" w:rsidR="00A179F3" w:rsidRPr="00534414" w:rsidRDefault="00A179F3" w:rsidP="00A179F3">
      <w:pPr>
        <w:rPr>
          <w:rFonts w:ascii="Arial" w:hAnsi="Arial" w:cs="Arial"/>
          <w:sz w:val="16"/>
          <w:szCs w:val="16"/>
          <w:lang w:eastAsia="es-AR"/>
        </w:rPr>
      </w:pPr>
      <w:r w:rsidRPr="00534414">
        <w:rPr>
          <w:rFonts w:ascii="Arial" w:hAnsi="Arial" w:cs="Arial"/>
          <w:sz w:val="16"/>
          <w:szCs w:val="16"/>
          <w:lang w:eastAsia="es-AR"/>
        </w:rPr>
        <w:t>La línea Cargo por incobrabilidad del Estado de Resultados incluye</w:t>
      </w:r>
      <w:r w:rsidR="00211799">
        <w:rPr>
          <w:rFonts w:ascii="Arial" w:hAnsi="Arial" w:cs="Arial"/>
          <w:sz w:val="16"/>
          <w:szCs w:val="16"/>
          <w:lang w:eastAsia="es-AR"/>
        </w:rPr>
        <w:t xml:space="preserve"> 718.</w:t>
      </w:r>
      <w:r w:rsidR="00130D2F">
        <w:rPr>
          <w:rFonts w:ascii="Arial" w:hAnsi="Arial" w:cs="Arial"/>
          <w:sz w:val="16"/>
          <w:szCs w:val="16"/>
          <w:lang w:eastAsia="es-AR"/>
        </w:rPr>
        <w:t>850</w:t>
      </w:r>
      <w:r w:rsidR="005316A3">
        <w:rPr>
          <w:rFonts w:ascii="Arial" w:hAnsi="Arial" w:cs="Arial"/>
          <w:sz w:val="16"/>
          <w:szCs w:val="16"/>
          <w:lang w:eastAsia="es-AR"/>
        </w:rPr>
        <w:t xml:space="preserve"> </w:t>
      </w:r>
      <w:r w:rsidRPr="00534414">
        <w:rPr>
          <w:rFonts w:ascii="Arial" w:hAnsi="Arial" w:cs="Arial"/>
          <w:sz w:val="16"/>
          <w:szCs w:val="16"/>
          <w:lang w:eastAsia="es-AR"/>
        </w:rPr>
        <w:t>en concepto de cargo directo a resultados.</w:t>
      </w:r>
    </w:p>
    <w:p w14:paraId="5CA67D8A" w14:textId="77777777" w:rsidR="00344C66" w:rsidRDefault="00A179F3" w:rsidP="008962C9">
      <w:pPr>
        <w:rPr>
          <w:rFonts w:ascii="Arial" w:hAnsi="Arial" w:cs="Arial"/>
          <w:sz w:val="16"/>
          <w:szCs w:val="16"/>
          <w:lang w:eastAsia="es-AR"/>
        </w:rPr>
      </w:pPr>
      <w:r w:rsidRPr="00534414">
        <w:rPr>
          <w:rFonts w:ascii="Arial" w:hAnsi="Arial" w:cs="Arial"/>
          <w:sz w:val="16"/>
          <w:szCs w:val="16"/>
          <w:lang w:eastAsia="es-AR"/>
        </w:rPr>
        <w:t xml:space="preserve"> (1) La Previsión de Compromisos Eventuales no imputa a Cargo por Incobrabilidad. Su contrapartida se contabiliza en Otros Gastos Operativos</w:t>
      </w:r>
    </w:p>
    <w:p w14:paraId="5F4E10E4" w14:textId="77777777" w:rsidR="00C7765D" w:rsidRDefault="00C7765D" w:rsidP="008962C9">
      <w:pPr>
        <w:rPr>
          <w:rFonts w:ascii="Arial" w:hAnsi="Arial" w:cs="Arial"/>
          <w:sz w:val="16"/>
          <w:szCs w:val="16"/>
          <w:lang w:eastAsia="es-AR"/>
        </w:rPr>
      </w:pPr>
    </w:p>
    <w:p w14:paraId="5E20DC72" w14:textId="77777777" w:rsidR="00C7765D" w:rsidRDefault="00C7765D" w:rsidP="008962C9">
      <w:pPr>
        <w:rPr>
          <w:rFonts w:ascii="Arial" w:hAnsi="Arial" w:cs="Arial"/>
          <w:sz w:val="16"/>
          <w:szCs w:val="16"/>
          <w:lang w:eastAsia="es-AR"/>
        </w:rPr>
      </w:pPr>
    </w:p>
    <w:p w14:paraId="344762AF" w14:textId="77777777" w:rsidR="00C7765D" w:rsidRDefault="00C7765D" w:rsidP="008962C9">
      <w:pPr>
        <w:rPr>
          <w:rFonts w:ascii="Arial" w:hAnsi="Arial" w:cs="Arial"/>
          <w:sz w:val="16"/>
          <w:szCs w:val="16"/>
          <w:lang w:eastAsia="es-AR"/>
        </w:rPr>
        <w:sectPr w:rsidR="00C7765D" w:rsidSect="004C6D19">
          <w:headerReference w:type="default" r:id="rId68"/>
          <w:pgSz w:w="11907" w:h="16839" w:code="9"/>
          <w:pgMar w:top="1418" w:right="1701" w:bottom="1418" w:left="1701" w:header="567" w:footer="0" w:gutter="0"/>
          <w:paperSrc w:first="256" w:other="256"/>
          <w:cols w:space="720"/>
          <w:docGrid w:linePitch="326"/>
        </w:sectPr>
      </w:pPr>
    </w:p>
    <w:tbl>
      <w:tblPr>
        <w:tblW w:w="8520" w:type="dxa"/>
        <w:tblInd w:w="70" w:type="dxa"/>
        <w:tblCellMar>
          <w:left w:w="70" w:type="dxa"/>
          <w:right w:w="70" w:type="dxa"/>
        </w:tblCellMar>
        <w:tblLook w:val="04A0" w:firstRow="1" w:lastRow="0" w:firstColumn="1" w:lastColumn="0" w:noHBand="0" w:noVBand="1"/>
      </w:tblPr>
      <w:tblGrid>
        <w:gridCol w:w="6600"/>
        <w:gridCol w:w="1920"/>
      </w:tblGrid>
      <w:tr w:rsidR="00AA49C7" w:rsidRPr="006A451F" w14:paraId="7A9E6775" w14:textId="77777777" w:rsidTr="006E1AF7">
        <w:trPr>
          <w:trHeight w:val="255"/>
        </w:trPr>
        <w:tc>
          <w:tcPr>
            <w:tcW w:w="6600" w:type="dxa"/>
            <w:tcBorders>
              <w:top w:val="nil"/>
              <w:left w:val="nil"/>
              <w:bottom w:val="nil"/>
              <w:right w:val="nil"/>
            </w:tcBorders>
            <w:shd w:val="clear" w:color="auto" w:fill="auto"/>
            <w:vAlign w:val="center"/>
            <w:hideMark/>
          </w:tcPr>
          <w:p w14:paraId="426CD1FE" w14:textId="77777777" w:rsidR="00AA49C7" w:rsidRPr="006A451F" w:rsidRDefault="00AA49C7" w:rsidP="00AA49C7">
            <w:pPr>
              <w:rPr>
                <w:rFonts w:ascii="Arial" w:hAnsi="Arial" w:cs="Arial"/>
                <w:b/>
                <w:bCs/>
                <w:color w:val="000000"/>
                <w:sz w:val="20"/>
                <w:lang w:eastAsia="es-AR"/>
              </w:rPr>
            </w:pPr>
            <w:r w:rsidRPr="006A451F">
              <w:rPr>
                <w:rFonts w:ascii="Arial" w:hAnsi="Arial" w:cs="Arial"/>
                <w:b/>
                <w:bCs/>
                <w:color w:val="000000"/>
                <w:sz w:val="20"/>
                <w:lang w:eastAsia="es-AR"/>
              </w:rPr>
              <w:t>RESULTADOS NO ASIGNADOS</w:t>
            </w:r>
          </w:p>
        </w:tc>
        <w:tc>
          <w:tcPr>
            <w:tcW w:w="1920" w:type="dxa"/>
            <w:tcBorders>
              <w:top w:val="nil"/>
              <w:left w:val="nil"/>
              <w:bottom w:val="single" w:sz="4" w:space="0" w:color="auto"/>
              <w:right w:val="nil"/>
            </w:tcBorders>
            <w:shd w:val="clear" w:color="auto" w:fill="auto"/>
            <w:vAlign w:val="bottom"/>
          </w:tcPr>
          <w:p w14:paraId="63C0E858" w14:textId="147C39B7" w:rsidR="00AA49C7" w:rsidRPr="002A1832" w:rsidRDefault="00AA49C7" w:rsidP="00AA49C7">
            <w:pPr>
              <w:jc w:val="right"/>
              <w:rPr>
                <w:rFonts w:ascii="Arial" w:hAnsi="Arial" w:cs="Arial"/>
                <w:b/>
                <w:color w:val="000000"/>
                <w:sz w:val="20"/>
                <w:lang w:eastAsia="es-AR"/>
              </w:rPr>
            </w:pPr>
            <w:r>
              <w:rPr>
                <w:rFonts w:ascii="Arial" w:hAnsi="Arial" w:cs="Arial"/>
                <w:b/>
                <w:bCs/>
                <w:sz w:val="20"/>
              </w:rPr>
              <w:t xml:space="preserve">3.320.416 </w:t>
            </w:r>
          </w:p>
        </w:tc>
      </w:tr>
      <w:tr w:rsidR="00AA49C7" w:rsidRPr="006A451F" w14:paraId="45F4F71D" w14:textId="77777777" w:rsidTr="006E1AF7">
        <w:trPr>
          <w:trHeight w:val="255"/>
        </w:trPr>
        <w:tc>
          <w:tcPr>
            <w:tcW w:w="6600" w:type="dxa"/>
            <w:tcBorders>
              <w:top w:val="nil"/>
              <w:left w:val="nil"/>
              <w:bottom w:val="nil"/>
              <w:right w:val="nil"/>
            </w:tcBorders>
            <w:shd w:val="clear" w:color="auto" w:fill="auto"/>
            <w:vAlign w:val="center"/>
            <w:hideMark/>
          </w:tcPr>
          <w:p w14:paraId="29F3FE7F" w14:textId="77777777" w:rsidR="00AA49C7" w:rsidRPr="006A451F" w:rsidRDefault="00AA49C7" w:rsidP="00AA49C7">
            <w:pPr>
              <w:jc w:val="right"/>
              <w:rPr>
                <w:rFonts w:ascii="Arial" w:hAnsi="Arial" w:cs="Arial"/>
                <w:color w:val="000000"/>
                <w:sz w:val="20"/>
                <w:lang w:eastAsia="es-AR"/>
              </w:rPr>
            </w:pPr>
          </w:p>
        </w:tc>
        <w:tc>
          <w:tcPr>
            <w:tcW w:w="1920" w:type="dxa"/>
            <w:tcBorders>
              <w:top w:val="nil"/>
              <w:left w:val="nil"/>
              <w:bottom w:val="nil"/>
              <w:right w:val="nil"/>
            </w:tcBorders>
            <w:shd w:val="clear" w:color="auto" w:fill="auto"/>
            <w:vAlign w:val="bottom"/>
          </w:tcPr>
          <w:p w14:paraId="107725E2" w14:textId="2E8DAAB2" w:rsidR="00AA49C7" w:rsidRPr="006A451F" w:rsidRDefault="00AA49C7" w:rsidP="00AA49C7">
            <w:pPr>
              <w:jc w:val="right"/>
              <w:rPr>
                <w:sz w:val="20"/>
                <w:lang w:eastAsia="es-AR"/>
              </w:rPr>
            </w:pPr>
            <w:r>
              <w:rPr>
                <w:rFonts w:ascii="Arial" w:hAnsi="Arial" w:cs="Arial"/>
                <w:sz w:val="20"/>
              </w:rPr>
              <w:t> </w:t>
            </w:r>
          </w:p>
        </w:tc>
      </w:tr>
      <w:tr w:rsidR="00AA49C7" w:rsidRPr="006A451F" w14:paraId="3559F978" w14:textId="77777777" w:rsidTr="006E1AF7">
        <w:trPr>
          <w:trHeight w:val="255"/>
        </w:trPr>
        <w:tc>
          <w:tcPr>
            <w:tcW w:w="6600" w:type="dxa"/>
            <w:tcBorders>
              <w:top w:val="nil"/>
              <w:left w:val="nil"/>
              <w:bottom w:val="nil"/>
              <w:right w:val="nil"/>
            </w:tcBorders>
            <w:shd w:val="clear" w:color="auto" w:fill="auto"/>
            <w:vAlign w:val="center"/>
            <w:hideMark/>
          </w:tcPr>
          <w:p w14:paraId="61B8ED39"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A Reserva Legal ( 20% s/ pesos)</w:t>
            </w:r>
          </w:p>
        </w:tc>
        <w:tc>
          <w:tcPr>
            <w:tcW w:w="1920" w:type="dxa"/>
            <w:tcBorders>
              <w:top w:val="nil"/>
              <w:left w:val="nil"/>
              <w:bottom w:val="nil"/>
              <w:right w:val="nil"/>
            </w:tcBorders>
            <w:shd w:val="clear" w:color="auto" w:fill="auto"/>
            <w:vAlign w:val="bottom"/>
          </w:tcPr>
          <w:p w14:paraId="0E718DCF" w14:textId="7CBED3C1" w:rsidR="00AA49C7" w:rsidRPr="006A451F" w:rsidRDefault="00AA49C7">
            <w:pPr>
              <w:jc w:val="right"/>
              <w:rPr>
                <w:rFonts w:ascii="Arial" w:hAnsi="Arial" w:cs="Arial"/>
                <w:color w:val="000000"/>
                <w:sz w:val="20"/>
                <w:lang w:eastAsia="es-AR"/>
              </w:rPr>
            </w:pPr>
            <w:r>
              <w:rPr>
                <w:rFonts w:ascii="Arial" w:hAnsi="Arial" w:cs="Arial"/>
                <w:sz w:val="20"/>
              </w:rPr>
              <w:t xml:space="preserve">664.083 </w:t>
            </w:r>
          </w:p>
        </w:tc>
      </w:tr>
      <w:tr w:rsidR="00AA49C7" w:rsidRPr="006A451F" w14:paraId="4A55B111" w14:textId="77777777" w:rsidTr="006E1AF7">
        <w:trPr>
          <w:trHeight w:val="255"/>
        </w:trPr>
        <w:tc>
          <w:tcPr>
            <w:tcW w:w="6600" w:type="dxa"/>
            <w:tcBorders>
              <w:top w:val="nil"/>
              <w:left w:val="nil"/>
              <w:bottom w:val="nil"/>
              <w:right w:val="nil"/>
            </w:tcBorders>
            <w:shd w:val="clear" w:color="auto" w:fill="auto"/>
            <w:vAlign w:val="center"/>
            <w:hideMark/>
          </w:tcPr>
          <w:p w14:paraId="57C43E12" w14:textId="77777777" w:rsidR="00AA49C7" w:rsidRPr="006A451F" w:rsidRDefault="00AA49C7" w:rsidP="00AA49C7">
            <w:pPr>
              <w:jc w:val="right"/>
              <w:rPr>
                <w:rFonts w:ascii="Arial" w:hAnsi="Arial" w:cs="Arial"/>
                <w:color w:val="000000"/>
                <w:sz w:val="20"/>
                <w:lang w:eastAsia="es-AR"/>
              </w:rPr>
            </w:pPr>
          </w:p>
        </w:tc>
        <w:tc>
          <w:tcPr>
            <w:tcW w:w="1920" w:type="dxa"/>
            <w:tcBorders>
              <w:top w:val="nil"/>
              <w:left w:val="nil"/>
              <w:bottom w:val="nil"/>
              <w:right w:val="nil"/>
            </w:tcBorders>
            <w:shd w:val="clear" w:color="auto" w:fill="auto"/>
            <w:vAlign w:val="bottom"/>
          </w:tcPr>
          <w:p w14:paraId="1E8E0B56" w14:textId="2CB1D901" w:rsidR="00AA49C7" w:rsidRPr="006A451F" w:rsidRDefault="00AA49C7" w:rsidP="00AA49C7">
            <w:pPr>
              <w:jc w:val="right"/>
              <w:rPr>
                <w:sz w:val="20"/>
                <w:lang w:eastAsia="es-AR"/>
              </w:rPr>
            </w:pPr>
            <w:r>
              <w:rPr>
                <w:rFonts w:ascii="Arial" w:hAnsi="Arial" w:cs="Arial"/>
                <w:sz w:val="20"/>
              </w:rPr>
              <w:t> </w:t>
            </w:r>
          </w:p>
        </w:tc>
      </w:tr>
      <w:tr w:rsidR="00AA49C7" w:rsidRPr="006A451F" w14:paraId="61474234" w14:textId="77777777" w:rsidTr="006E1AF7">
        <w:trPr>
          <w:trHeight w:val="255"/>
        </w:trPr>
        <w:tc>
          <w:tcPr>
            <w:tcW w:w="6600" w:type="dxa"/>
            <w:tcBorders>
              <w:top w:val="nil"/>
              <w:left w:val="nil"/>
              <w:bottom w:val="nil"/>
              <w:right w:val="nil"/>
            </w:tcBorders>
            <w:shd w:val="clear" w:color="auto" w:fill="auto"/>
            <w:vAlign w:val="center"/>
            <w:hideMark/>
          </w:tcPr>
          <w:p w14:paraId="5476B650"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A Reserva Estatutaria</w:t>
            </w:r>
          </w:p>
        </w:tc>
        <w:tc>
          <w:tcPr>
            <w:tcW w:w="1920" w:type="dxa"/>
            <w:tcBorders>
              <w:top w:val="nil"/>
              <w:left w:val="nil"/>
              <w:bottom w:val="nil"/>
              <w:right w:val="nil"/>
            </w:tcBorders>
            <w:shd w:val="clear" w:color="auto" w:fill="auto"/>
            <w:vAlign w:val="bottom"/>
          </w:tcPr>
          <w:p w14:paraId="693CEC6F" w14:textId="3FCE8EBF" w:rsidR="00AA49C7" w:rsidRPr="006A451F" w:rsidRDefault="00AA49C7" w:rsidP="00AA49C7">
            <w:pPr>
              <w:jc w:val="right"/>
              <w:rPr>
                <w:rFonts w:ascii="Arial" w:hAnsi="Arial" w:cs="Arial"/>
                <w:color w:val="000000"/>
                <w:sz w:val="20"/>
                <w:lang w:eastAsia="es-AR"/>
              </w:rPr>
            </w:pPr>
            <w:r>
              <w:rPr>
                <w:rFonts w:ascii="Arial" w:hAnsi="Arial" w:cs="Arial"/>
                <w:sz w:val="20"/>
              </w:rPr>
              <w:t xml:space="preserve">- </w:t>
            </w:r>
          </w:p>
        </w:tc>
      </w:tr>
      <w:tr w:rsidR="00AA49C7" w:rsidRPr="006A451F" w14:paraId="5D021F97" w14:textId="77777777" w:rsidTr="006E1AF7">
        <w:trPr>
          <w:trHeight w:val="121"/>
        </w:trPr>
        <w:tc>
          <w:tcPr>
            <w:tcW w:w="6600" w:type="dxa"/>
            <w:tcBorders>
              <w:top w:val="nil"/>
              <w:left w:val="nil"/>
              <w:bottom w:val="nil"/>
              <w:right w:val="nil"/>
            </w:tcBorders>
            <w:shd w:val="clear" w:color="auto" w:fill="auto"/>
            <w:vAlign w:val="center"/>
            <w:hideMark/>
          </w:tcPr>
          <w:p w14:paraId="05C3A39B" w14:textId="77777777" w:rsidR="00AA49C7" w:rsidRPr="006A451F" w:rsidRDefault="00AA49C7" w:rsidP="00AA49C7">
            <w:pPr>
              <w:jc w:val="right"/>
              <w:rPr>
                <w:rFonts w:ascii="Arial" w:hAnsi="Arial" w:cs="Arial"/>
                <w:color w:val="000000"/>
                <w:sz w:val="20"/>
                <w:lang w:eastAsia="es-AR"/>
              </w:rPr>
            </w:pPr>
          </w:p>
        </w:tc>
        <w:tc>
          <w:tcPr>
            <w:tcW w:w="1920" w:type="dxa"/>
            <w:tcBorders>
              <w:top w:val="nil"/>
              <w:left w:val="nil"/>
              <w:bottom w:val="nil"/>
              <w:right w:val="nil"/>
            </w:tcBorders>
            <w:shd w:val="clear" w:color="auto" w:fill="auto"/>
            <w:vAlign w:val="bottom"/>
          </w:tcPr>
          <w:p w14:paraId="3D681533" w14:textId="442F02F3" w:rsidR="00AA49C7" w:rsidRPr="006A451F" w:rsidRDefault="00AA49C7" w:rsidP="00AA49C7">
            <w:pPr>
              <w:jc w:val="right"/>
              <w:rPr>
                <w:sz w:val="20"/>
                <w:lang w:eastAsia="es-AR"/>
              </w:rPr>
            </w:pPr>
            <w:r>
              <w:rPr>
                <w:rFonts w:ascii="Arial" w:hAnsi="Arial" w:cs="Arial"/>
                <w:sz w:val="20"/>
              </w:rPr>
              <w:t> </w:t>
            </w:r>
          </w:p>
        </w:tc>
      </w:tr>
      <w:tr w:rsidR="00AA49C7" w:rsidRPr="006A451F" w14:paraId="1C18390C" w14:textId="77777777" w:rsidTr="006E1AF7">
        <w:trPr>
          <w:trHeight w:val="255"/>
        </w:trPr>
        <w:tc>
          <w:tcPr>
            <w:tcW w:w="6600" w:type="dxa"/>
            <w:tcBorders>
              <w:top w:val="nil"/>
              <w:left w:val="nil"/>
              <w:bottom w:val="nil"/>
              <w:right w:val="nil"/>
            </w:tcBorders>
            <w:shd w:val="clear" w:color="auto" w:fill="auto"/>
            <w:vAlign w:val="center"/>
            <w:hideMark/>
          </w:tcPr>
          <w:p w14:paraId="3582CA6F"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A Reserva Especial "Aplicación Primera Vez de las NIIF "</w:t>
            </w:r>
          </w:p>
        </w:tc>
        <w:tc>
          <w:tcPr>
            <w:tcW w:w="1920" w:type="dxa"/>
            <w:tcBorders>
              <w:top w:val="nil"/>
              <w:left w:val="nil"/>
              <w:bottom w:val="nil"/>
              <w:right w:val="nil"/>
            </w:tcBorders>
            <w:shd w:val="clear" w:color="auto" w:fill="auto"/>
            <w:vAlign w:val="bottom"/>
          </w:tcPr>
          <w:p w14:paraId="759CD159" w14:textId="72470422" w:rsidR="00AA49C7" w:rsidRPr="006A451F" w:rsidRDefault="00AA49C7" w:rsidP="00AA49C7">
            <w:pPr>
              <w:jc w:val="right"/>
              <w:rPr>
                <w:rFonts w:ascii="Arial" w:hAnsi="Arial" w:cs="Arial"/>
                <w:color w:val="000000"/>
                <w:sz w:val="20"/>
                <w:lang w:eastAsia="es-AR"/>
              </w:rPr>
            </w:pPr>
            <w:r>
              <w:rPr>
                <w:rFonts w:ascii="Arial" w:hAnsi="Arial" w:cs="Arial"/>
                <w:sz w:val="20"/>
              </w:rPr>
              <w:t xml:space="preserve">- </w:t>
            </w:r>
          </w:p>
        </w:tc>
      </w:tr>
      <w:tr w:rsidR="00AA49C7" w:rsidRPr="006A451F" w14:paraId="0DDF22C8" w14:textId="77777777" w:rsidTr="006E1AF7">
        <w:trPr>
          <w:trHeight w:val="80"/>
        </w:trPr>
        <w:tc>
          <w:tcPr>
            <w:tcW w:w="6600" w:type="dxa"/>
            <w:tcBorders>
              <w:top w:val="nil"/>
              <w:left w:val="nil"/>
              <w:bottom w:val="nil"/>
              <w:right w:val="nil"/>
            </w:tcBorders>
            <w:shd w:val="clear" w:color="auto" w:fill="auto"/>
            <w:vAlign w:val="center"/>
            <w:hideMark/>
          </w:tcPr>
          <w:p w14:paraId="6851429F" w14:textId="77777777" w:rsidR="00AA49C7" w:rsidRPr="006A451F" w:rsidRDefault="00AA49C7" w:rsidP="00AA49C7">
            <w:pPr>
              <w:jc w:val="right"/>
              <w:rPr>
                <w:rFonts w:ascii="Arial" w:hAnsi="Arial" w:cs="Arial"/>
                <w:color w:val="000000"/>
                <w:sz w:val="20"/>
                <w:lang w:eastAsia="es-AR"/>
              </w:rPr>
            </w:pPr>
          </w:p>
        </w:tc>
        <w:tc>
          <w:tcPr>
            <w:tcW w:w="1920" w:type="dxa"/>
            <w:tcBorders>
              <w:top w:val="nil"/>
              <w:left w:val="nil"/>
              <w:bottom w:val="nil"/>
              <w:right w:val="nil"/>
            </w:tcBorders>
            <w:shd w:val="clear" w:color="auto" w:fill="auto"/>
            <w:vAlign w:val="bottom"/>
          </w:tcPr>
          <w:p w14:paraId="1075AF9F" w14:textId="39D440A0" w:rsidR="00AA49C7" w:rsidRPr="006A451F" w:rsidRDefault="00AA49C7" w:rsidP="00AA49C7">
            <w:pPr>
              <w:jc w:val="right"/>
              <w:rPr>
                <w:sz w:val="20"/>
                <w:lang w:eastAsia="es-AR"/>
              </w:rPr>
            </w:pPr>
            <w:r>
              <w:rPr>
                <w:rFonts w:ascii="Arial" w:hAnsi="Arial" w:cs="Arial"/>
                <w:sz w:val="20"/>
              </w:rPr>
              <w:t> </w:t>
            </w:r>
          </w:p>
        </w:tc>
      </w:tr>
      <w:tr w:rsidR="00AA49C7" w:rsidRPr="006A451F" w14:paraId="5C4B1DE8" w14:textId="77777777" w:rsidTr="006E1AF7">
        <w:trPr>
          <w:trHeight w:val="255"/>
        </w:trPr>
        <w:tc>
          <w:tcPr>
            <w:tcW w:w="6600" w:type="dxa"/>
            <w:tcBorders>
              <w:top w:val="nil"/>
              <w:left w:val="nil"/>
              <w:bottom w:val="nil"/>
              <w:right w:val="nil"/>
            </w:tcBorders>
            <w:shd w:val="clear" w:color="auto" w:fill="auto"/>
            <w:vAlign w:val="center"/>
            <w:hideMark/>
          </w:tcPr>
          <w:p w14:paraId="44461917"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Ajuste del punto 2.3. y 2,4, del T.O. de "Distribución de resultados"</w:t>
            </w:r>
          </w:p>
        </w:tc>
        <w:tc>
          <w:tcPr>
            <w:tcW w:w="1920" w:type="dxa"/>
            <w:tcBorders>
              <w:top w:val="nil"/>
              <w:left w:val="nil"/>
              <w:bottom w:val="nil"/>
              <w:right w:val="nil"/>
            </w:tcBorders>
            <w:shd w:val="clear" w:color="auto" w:fill="auto"/>
            <w:vAlign w:val="bottom"/>
          </w:tcPr>
          <w:p w14:paraId="503D574E" w14:textId="297688E2" w:rsidR="00AA49C7" w:rsidRPr="006A451F" w:rsidRDefault="00AA49C7" w:rsidP="00AA49C7">
            <w:pPr>
              <w:jc w:val="right"/>
              <w:rPr>
                <w:rFonts w:ascii="Arial" w:hAnsi="Arial" w:cs="Arial"/>
                <w:color w:val="000000"/>
                <w:sz w:val="20"/>
                <w:lang w:eastAsia="es-AR"/>
              </w:rPr>
            </w:pPr>
            <w:r>
              <w:rPr>
                <w:rFonts w:ascii="Arial" w:hAnsi="Arial" w:cs="Arial"/>
                <w:sz w:val="20"/>
              </w:rPr>
              <w:t xml:space="preserve">- </w:t>
            </w:r>
          </w:p>
        </w:tc>
      </w:tr>
      <w:tr w:rsidR="00AA49C7" w:rsidRPr="006A451F" w14:paraId="58DCB9CF" w14:textId="77777777" w:rsidTr="006E1AF7">
        <w:trPr>
          <w:trHeight w:val="270"/>
        </w:trPr>
        <w:tc>
          <w:tcPr>
            <w:tcW w:w="6600" w:type="dxa"/>
            <w:tcBorders>
              <w:top w:val="nil"/>
              <w:left w:val="nil"/>
              <w:bottom w:val="nil"/>
              <w:right w:val="nil"/>
            </w:tcBorders>
            <w:shd w:val="clear" w:color="auto" w:fill="auto"/>
            <w:vAlign w:val="center"/>
            <w:hideMark/>
          </w:tcPr>
          <w:p w14:paraId="48C72D90" w14:textId="77777777" w:rsidR="00AA49C7" w:rsidRPr="006A451F" w:rsidRDefault="00AA49C7" w:rsidP="00AA49C7">
            <w:pPr>
              <w:jc w:val="right"/>
              <w:rPr>
                <w:rFonts w:ascii="Arial" w:hAnsi="Arial" w:cs="Arial"/>
                <w:color w:val="000000"/>
                <w:sz w:val="20"/>
                <w:lang w:eastAsia="es-AR"/>
              </w:rPr>
            </w:pPr>
          </w:p>
        </w:tc>
        <w:tc>
          <w:tcPr>
            <w:tcW w:w="1920" w:type="dxa"/>
            <w:tcBorders>
              <w:top w:val="nil"/>
              <w:left w:val="nil"/>
              <w:bottom w:val="single" w:sz="8" w:space="0" w:color="auto"/>
              <w:right w:val="nil"/>
            </w:tcBorders>
            <w:shd w:val="clear" w:color="auto" w:fill="auto"/>
            <w:vAlign w:val="bottom"/>
          </w:tcPr>
          <w:p w14:paraId="1C2BD6D0" w14:textId="1D8230C6" w:rsidR="00AA49C7" w:rsidRPr="006A451F" w:rsidRDefault="00AA49C7" w:rsidP="00AA49C7">
            <w:pPr>
              <w:jc w:val="right"/>
              <w:rPr>
                <w:rFonts w:ascii="Arial" w:hAnsi="Arial" w:cs="Arial"/>
                <w:color w:val="000000"/>
                <w:sz w:val="20"/>
                <w:lang w:eastAsia="es-AR"/>
              </w:rPr>
            </w:pPr>
            <w:r>
              <w:rPr>
                <w:rFonts w:ascii="Arial" w:hAnsi="Arial" w:cs="Arial"/>
                <w:sz w:val="20"/>
              </w:rPr>
              <w:t> </w:t>
            </w:r>
          </w:p>
        </w:tc>
      </w:tr>
      <w:tr w:rsidR="00AA49C7" w:rsidRPr="006A451F" w14:paraId="46E26AA8" w14:textId="77777777" w:rsidTr="006E1AF7">
        <w:trPr>
          <w:trHeight w:val="270"/>
        </w:trPr>
        <w:tc>
          <w:tcPr>
            <w:tcW w:w="6600" w:type="dxa"/>
            <w:tcBorders>
              <w:top w:val="nil"/>
              <w:left w:val="nil"/>
              <w:bottom w:val="nil"/>
              <w:right w:val="nil"/>
            </w:tcBorders>
            <w:shd w:val="clear" w:color="auto" w:fill="auto"/>
            <w:vAlign w:val="center"/>
            <w:hideMark/>
          </w:tcPr>
          <w:p w14:paraId="26D128A5" w14:textId="77777777" w:rsidR="00AA49C7" w:rsidRPr="006A451F" w:rsidRDefault="00AA49C7" w:rsidP="00AA49C7">
            <w:pPr>
              <w:jc w:val="right"/>
              <w:rPr>
                <w:rFonts w:ascii="Arial" w:hAnsi="Arial" w:cs="Arial"/>
                <w:b/>
                <w:bCs/>
                <w:color w:val="000000"/>
                <w:sz w:val="20"/>
                <w:lang w:eastAsia="es-AR"/>
              </w:rPr>
            </w:pPr>
            <w:r w:rsidRPr="006A451F">
              <w:rPr>
                <w:rFonts w:ascii="Arial" w:hAnsi="Arial" w:cs="Arial"/>
                <w:b/>
                <w:bCs/>
                <w:color w:val="000000"/>
                <w:sz w:val="20"/>
                <w:lang w:eastAsia="es-AR"/>
              </w:rPr>
              <w:t>SUBTOTAL 1</w:t>
            </w:r>
          </w:p>
        </w:tc>
        <w:tc>
          <w:tcPr>
            <w:tcW w:w="1920" w:type="dxa"/>
            <w:tcBorders>
              <w:top w:val="nil"/>
              <w:left w:val="nil"/>
              <w:bottom w:val="single" w:sz="8" w:space="0" w:color="auto"/>
              <w:right w:val="nil"/>
            </w:tcBorders>
            <w:shd w:val="clear" w:color="auto" w:fill="auto"/>
            <w:vAlign w:val="bottom"/>
          </w:tcPr>
          <w:p w14:paraId="411111BE" w14:textId="436E1BBF" w:rsidR="00AA49C7" w:rsidRPr="002A1832" w:rsidRDefault="00AA49C7" w:rsidP="00AA49C7">
            <w:pPr>
              <w:jc w:val="right"/>
              <w:rPr>
                <w:rFonts w:ascii="Arial" w:hAnsi="Arial" w:cs="Arial"/>
                <w:b/>
                <w:color w:val="000000"/>
                <w:sz w:val="20"/>
                <w:lang w:eastAsia="es-AR"/>
              </w:rPr>
            </w:pPr>
            <w:r>
              <w:rPr>
                <w:rFonts w:ascii="Arial" w:hAnsi="Arial" w:cs="Arial"/>
                <w:b/>
                <w:bCs/>
                <w:sz w:val="20"/>
              </w:rPr>
              <w:t xml:space="preserve">2.656.333 </w:t>
            </w:r>
          </w:p>
        </w:tc>
      </w:tr>
      <w:tr w:rsidR="00AA49C7" w:rsidRPr="006A451F" w14:paraId="4648B9AF" w14:textId="77777777" w:rsidTr="00AA49C7">
        <w:trPr>
          <w:trHeight w:val="255"/>
        </w:trPr>
        <w:tc>
          <w:tcPr>
            <w:tcW w:w="6600" w:type="dxa"/>
            <w:tcBorders>
              <w:top w:val="nil"/>
              <w:left w:val="nil"/>
              <w:bottom w:val="nil"/>
              <w:right w:val="nil"/>
            </w:tcBorders>
            <w:shd w:val="clear" w:color="auto" w:fill="auto"/>
            <w:vAlign w:val="center"/>
            <w:hideMark/>
          </w:tcPr>
          <w:p w14:paraId="7722978E" w14:textId="77777777" w:rsidR="00AA49C7" w:rsidRPr="006A451F" w:rsidRDefault="00AA49C7" w:rsidP="00AA49C7">
            <w:pPr>
              <w:rPr>
                <w:rFonts w:ascii="Arial" w:hAnsi="Arial" w:cs="Arial"/>
                <w:color w:val="000000"/>
                <w:sz w:val="20"/>
                <w:lang w:eastAsia="es-AR"/>
              </w:rPr>
            </w:pPr>
          </w:p>
        </w:tc>
        <w:tc>
          <w:tcPr>
            <w:tcW w:w="1920" w:type="dxa"/>
            <w:tcBorders>
              <w:top w:val="nil"/>
              <w:left w:val="nil"/>
              <w:bottom w:val="nil"/>
              <w:right w:val="nil"/>
            </w:tcBorders>
            <w:shd w:val="clear" w:color="auto" w:fill="auto"/>
            <w:vAlign w:val="center"/>
          </w:tcPr>
          <w:p w14:paraId="051D0B57" w14:textId="77777777" w:rsidR="00AA49C7" w:rsidRPr="006A451F" w:rsidRDefault="00AA49C7" w:rsidP="00AA49C7">
            <w:pPr>
              <w:jc w:val="right"/>
              <w:rPr>
                <w:sz w:val="20"/>
                <w:lang w:eastAsia="es-AR"/>
              </w:rPr>
            </w:pPr>
          </w:p>
        </w:tc>
      </w:tr>
      <w:tr w:rsidR="00AA49C7" w:rsidRPr="006A451F" w14:paraId="204E4999" w14:textId="77777777" w:rsidTr="00AA49C7">
        <w:trPr>
          <w:trHeight w:val="255"/>
        </w:trPr>
        <w:tc>
          <w:tcPr>
            <w:tcW w:w="6600" w:type="dxa"/>
            <w:tcBorders>
              <w:top w:val="nil"/>
              <w:left w:val="nil"/>
              <w:bottom w:val="nil"/>
              <w:right w:val="nil"/>
            </w:tcBorders>
            <w:shd w:val="clear" w:color="auto" w:fill="auto"/>
            <w:vAlign w:val="center"/>
            <w:hideMark/>
          </w:tcPr>
          <w:p w14:paraId="6F084770"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A Reserva Normativa – Especial para Instrumentos de Deuda Subordinada</w:t>
            </w:r>
          </w:p>
        </w:tc>
        <w:tc>
          <w:tcPr>
            <w:tcW w:w="1920" w:type="dxa"/>
            <w:tcBorders>
              <w:top w:val="nil"/>
              <w:left w:val="nil"/>
              <w:bottom w:val="nil"/>
              <w:right w:val="nil"/>
            </w:tcBorders>
            <w:shd w:val="clear" w:color="auto" w:fill="auto"/>
            <w:vAlign w:val="center"/>
          </w:tcPr>
          <w:p w14:paraId="2BA97DDD" w14:textId="722B3976" w:rsidR="00AA49C7" w:rsidRPr="006A451F" w:rsidRDefault="00AA49C7" w:rsidP="00AA49C7">
            <w:pPr>
              <w:jc w:val="right"/>
              <w:rPr>
                <w:rFonts w:ascii="Arial" w:hAnsi="Arial" w:cs="Arial"/>
                <w:color w:val="000000"/>
                <w:sz w:val="20"/>
                <w:lang w:eastAsia="es-AR"/>
              </w:rPr>
            </w:pPr>
            <w:r>
              <w:rPr>
                <w:rFonts w:ascii="Arial" w:hAnsi="Arial" w:cs="Arial"/>
                <w:color w:val="000000"/>
                <w:sz w:val="20"/>
                <w:lang w:eastAsia="es-AR"/>
              </w:rPr>
              <w:t>-</w:t>
            </w:r>
          </w:p>
        </w:tc>
      </w:tr>
      <w:tr w:rsidR="00AA49C7" w:rsidRPr="00103F35" w14:paraId="355BC1A2" w14:textId="77777777" w:rsidTr="006E1AF7">
        <w:trPr>
          <w:trHeight w:val="125"/>
        </w:trPr>
        <w:tc>
          <w:tcPr>
            <w:tcW w:w="6600" w:type="dxa"/>
            <w:tcBorders>
              <w:top w:val="nil"/>
              <w:left w:val="nil"/>
              <w:bottom w:val="nil"/>
              <w:right w:val="nil"/>
            </w:tcBorders>
            <w:shd w:val="clear" w:color="auto" w:fill="auto"/>
            <w:vAlign w:val="center"/>
            <w:hideMark/>
          </w:tcPr>
          <w:p w14:paraId="766A42E7" w14:textId="77777777" w:rsidR="00AA49C7" w:rsidRPr="006E1AF7" w:rsidRDefault="00AA49C7" w:rsidP="00AA49C7">
            <w:pPr>
              <w:jc w:val="right"/>
              <w:rPr>
                <w:rFonts w:ascii="Arial" w:hAnsi="Arial" w:cs="Arial"/>
                <w:color w:val="000000"/>
                <w:sz w:val="16"/>
                <w:szCs w:val="16"/>
                <w:lang w:eastAsia="es-AR"/>
              </w:rPr>
            </w:pPr>
          </w:p>
        </w:tc>
        <w:tc>
          <w:tcPr>
            <w:tcW w:w="1920" w:type="dxa"/>
            <w:tcBorders>
              <w:top w:val="nil"/>
              <w:left w:val="nil"/>
              <w:bottom w:val="nil"/>
              <w:right w:val="nil"/>
            </w:tcBorders>
            <w:shd w:val="clear" w:color="auto" w:fill="auto"/>
            <w:vAlign w:val="center"/>
          </w:tcPr>
          <w:p w14:paraId="65958D54" w14:textId="77777777" w:rsidR="00AA49C7" w:rsidRPr="006E1AF7" w:rsidRDefault="00AA49C7" w:rsidP="00AA49C7">
            <w:pPr>
              <w:jc w:val="right"/>
              <w:rPr>
                <w:sz w:val="16"/>
                <w:szCs w:val="16"/>
                <w:lang w:eastAsia="es-AR"/>
              </w:rPr>
            </w:pPr>
          </w:p>
        </w:tc>
      </w:tr>
      <w:tr w:rsidR="00AA49C7" w:rsidRPr="006A451F" w14:paraId="03DD2414" w14:textId="77777777" w:rsidTr="00AA49C7">
        <w:trPr>
          <w:trHeight w:val="255"/>
        </w:trPr>
        <w:tc>
          <w:tcPr>
            <w:tcW w:w="6600" w:type="dxa"/>
            <w:tcBorders>
              <w:top w:val="nil"/>
              <w:left w:val="nil"/>
              <w:bottom w:val="nil"/>
              <w:right w:val="nil"/>
            </w:tcBorders>
            <w:shd w:val="clear" w:color="auto" w:fill="auto"/>
            <w:vAlign w:val="center"/>
            <w:hideMark/>
          </w:tcPr>
          <w:p w14:paraId="1C202FD5"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Ajuste del punto 2.1. del T.O. de "Distribución de resultados"</w:t>
            </w:r>
          </w:p>
        </w:tc>
        <w:tc>
          <w:tcPr>
            <w:tcW w:w="1920" w:type="dxa"/>
            <w:tcBorders>
              <w:top w:val="nil"/>
              <w:left w:val="nil"/>
              <w:bottom w:val="nil"/>
              <w:right w:val="nil"/>
            </w:tcBorders>
            <w:shd w:val="clear" w:color="auto" w:fill="auto"/>
            <w:vAlign w:val="center"/>
          </w:tcPr>
          <w:p w14:paraId="19D7B8E7" w14:textId="7F486437" w:rsidR="00AA49C7" w:rsidRPr="006A451F" w:rsidRDefault="00AA49C7" w:rsidP="00AA49C7">
            <w:pPr>
              <w:jc w:val="right"/>
              <w:rPr>
                <w:rFonts w:ascii="Arial" w:hAnsi="Arial" w:cs="Arial"/>
                <w:color w:val="000000"/>
                <w:sz w:val="20"/>
                <w:lang w:eastAsia="es-AR"/>
              </w:rPr>
            </w:pPr>
            <w:r>
              <w:rPr>
                <w:rFonts w:ascii="Arial" w:hAnsi="Arial" w:cs="Arial"/>
                <w:color w:val="000000"/>
                <w:sz w:val="20"/>
                <w:lang w:eastAsia="es-AR"/>
              </w:rPr>
              <w:t>-</w:t>
            </w:r>
          </w:p>
        </w:tc>
      </w:tr>
      <w:tr w:rsidR="00AA49C7" w:rsidRPr="006A451F" w14:paraId="21EAB42E" w14:textId="77777777" w:rsidTr="00AA49C7">
        <w:trPr>
          <w:trHeight w:val="255"/>
        </w:trPr>
        <w:tc>
          <w:tcPr>
            <w:tcW w:w="6600" w:type="dxa"/>
            <w:tcBorders>
              <w:top w:val="nil"/>
              <w:left w:val="nil"/>
              <w:bottom w:val="nil"/>
              <w:right w:val="nil"/>
            </w:tcBorders>
            <w:shd w:val="clear" w:color="auto" w:fill="auto"/>
            <w:vAlign w:val="center"/>
            <w:hideMark/>
          </w:tcPr>
          <w:p w14:paraId="55BDC28B" w14:textId="77777777" w:rsidR="00AA49C7" w:rsidRPr="006A451F" w:rsidRDefault="00AA49C7" w:rsidP="00AA49C7">
            <w:pPr>
              <w:jc w:val="right"/>
              <w:rPr>
                <w:rFonts w:ascii="Arial" w:hAnsi="Arial" w:cs="Arial"/>
                <w:color w:val="000000"/>
                <w:sz w:val="20"/>
                <w:lang w:eastAsia="es-AR"/>
              </w:rPr>
            </w:pPr>
          </w:p>
        </w:tc>
        <w:tc>
          <w:tcPr>
            <w:tcW w:w="1920" w:type="dxa"/>
            <w:tcBorders>
              <w:top w:val="nil"/>
              <w:left w:val="nil"/>
              <w:bottom w:val="nil"/>
              <w:right w:val="nil"/>
            </w:tcBorders>
            <w:shd w:val="clear" w:color="auto" w:fill="auto"/>
            <w:vAlign w:val="center"/>
          </w:tcPr>
          <w:p w14:paraId="6BDD3FEF" w14:textId="77777777" w:rsidR="00AA49C7" w:rsidRPr="006A451F" w:rsidRDefault="00AA49C7" w:rsidP="00AA49C7">
            <w:pPr>
              <w:jc w:val="right"/>
              <w:rPr>
                <w:sz w:val="20"/>
                <w:lang w:eastAsia="es-AR"/>
              </w:rPr>
            </w:pPr>
          </w:p>
        </w:tc>
      </w:tr>
      <w:tr w:rsidR="00AA49C7" w:rsidRPr="006A451F" w14:paraId="070C4209" w14:textId="77777777" w:rsidTr="00AA49C7">
        <w:trPr>
          <w:trHeight w:val="255"/>
        </w:trPr>
        <w:tc>
          <w:tcPr>
            <w:tcW w:w="6600" w:type="dxa"/>
            <w:tcBorders>
              <w:top w:val="nil"/>
              <w:left w:val="nil"/>
              <w:bottom w:val="nil"/>
              <w:right w:val="nil"/>
            </w:tcBorders>
            <w:shd w:val="clear" w:color="auto" w:fill="auto"/>
            <w:vAlign w:val="center"/>
            <w:hideMark/>
          </w:tcPr>
          <w:p w14:paraId="440F0208"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Ajuste del punto 2.2. del T.O. de "Distribución de resultados"</w:t>
            </w:r>
          </w:p>
        </w:tc>
        <w:tc>
          <w:tcPr>
            <w:tcW w:w="1920" w:type="dxa"/>
            <w:tcBorders>
              <w:top w:val="nil"/>
              <w:left w:val="nil"/>
              <w:bottom w:val="nil"/>
              <w:right w:val="nil"/>
            </w:tcBorders>
            <w:shd w:val="clear" w:color="auto" w:fill="auto"/>
            <w:vAlign w:val="center"/>
          </w:tcPr>
          <w:p w14:paraId="0ECDC506" w14:textId="77777777" w:rsidR="00AA49C7" w:rsidRPr="006A451F" w:rsidRDefault="00AA49C7" w:rsidP="00AA49C7">
            <w:pPr>
              <w:jc w:val="right"/>
              <w:rPr>
                <w:rFonts w:ascii="Arial" w:hAnsi="Arial" w:cs="Arial"/>
                <w:color w:val="000000"/>
                <w:sz w:val="20"/>
                <w:lang w:eastAsia="es-AR"/>
              </w:rPr>
            </w:pPr>
          </w:p>
        </w:tc>
      </w:tr>
      <w:tr w:rsidR="00AA49C7" w:rsidRPr="006A451F" w14:paraId="08371039" w14:textId="77777777" w:rsidTr="00AA49C7">
        <w:trPr>
          <w:trHeight w:val="510"/>
        </w:trPr>
        <w:tc>
          <w:tcPr>
            <w:tcW w:w="6600" w:type="dxa"/>
            <w:tcBorders>
              <w:top w:val="nil"/>
              <w:left w:val="nil"/>
              <w:bottom w:val="nil"/>
              <w:right w:val="nil"/>
            </w:tcBorders>
            <w:shd w:val="clear" w:color="auto" w:fill="auto"/>
            <w:vAlign w:val="center"/>
            <w:hideMark/>
          </w:tcPr>
          <w:p w14:paraId="7C4E185A" w14:textId="77777777" w:rsidR="00AA49C7" w:rsidRPr="006A451F" w:rsidRDefault="00AA49C7" w:rsidP="00AA49C7">
            <w:pPr>
              <w:rPr>
                <w:rFonts w:ascii="Arial" w:hAnsi="Arial" w:cs="Arial"/>
                <w:color w:val="000000"/>
                <w:sz w:val="20"/>
                <w:lang w:eastAsia="es-AR"/>
              </w:rPr>
            </w:pPr>
            <w:r w:rsidRPr="006A451F">
              <w:rPr>
                <w:rFonts w:ascii="Arial" w:hAnsi="Arial" w:cs="Arial"/>
                <w:color w:val="000000"/>
                <w:sz w:val="20"/>
                <w:lang w:eastAsia="es-AR"/>
              </w:rPr>
              <w:t>Resultado proveniente de revaluación de Propiedad, planta y equipo y de propiedades de inversión.</w:t>
            </w:r>
          </w:p>
        </w:tc>
        <w:tc>
          <w:tcPr>
            <w:tcW w:w="1920" w:type="dxa"/>
            <w:tcBorders>
              <w:top w:val="nil"/>
              <w:left w:val="nil"/>
              <w:bottom w:val="nil"/>
              <w:right w:val="nil"/>
            </w:tcBorders>
            <w:shd w:val="clear" w:color="auto" w:fill="auto"/>
            <w:vAlign w:val="center"/>
          </w:tcPr>
          <w:p w14:paraId="5CBE2D3F" w14:textId="77777777" w:rsidR="00AA49C7" w:rsidRDefault="00AA49C7" w:rsidP="00AA49C7">
            <w:pPr>
              <w:jc w:val="right"/>
              <w:rPr>
                <w:rFonts w:ascii="Arial" w:hAnsi="Arial" w:cs="Arial"/>
                <w:color w:val="000000"/>
                <w:sz w:val="20"/>
                <w:lang w:eastAsia="es-AR"/>
              </w:rPr>
            </w:pPr>
          </w:p>
          <w:p w14:paraId="5B0920AA" w14:textId="17399808" w:rsidR="00AA49C7" w:rsidRPr="006A451F" w:rsidRDefault="00AA49C7" w:rsidP="00AA49C7">
            <w:pPr>
              <w:jc w:val="right"/>
              <w:rPr>
                <w:rFonts w:ascii="Arial" w:hAnsi="Arial" w:cs="Arial"/>
                <w:color w:val="000000"/>
                <w:sz w:val="20"/>
                <w:lang w:eastAsia="es-AR"/>
              </w:rPr>
            </w:pPr>
            <w:r>
              <w:rPr>
                <w:rFonts w:ascii="Arial" w:hAnsi="Arial" w:cs="Arial"/>
                <w:color w:val="000000"/>
                <w:sz w:val="20"/>
                <w:lang w:eastAsia="es-AR"/>
              </w:rPr>
              <w:t>877.474</w:t>
            </w:r>
          </w:p>
        </w:tc>
      </w:tr>
      <w:tr w:rsidR="00AA49C7" w:rsidRPr="006A451F" w14:paraId="4C8A330B" w14:textId="77777777" w:rsidTr="00AA49C7">
        <w:trPr>
          <w:trHeight w:val="270"/>
        </w:trPr>
        <w:tc>
          <w:tcPr>
            <w:tcW w:w="6600" w:type="dxa"/>
            <w:tcBorders>
              <w:top w:val="nil"/>
              <w:left w:val="nil"/>
              <w:bottom w:val="nil"/>
              <w:right w:val="nil"/>
            </w:tcBorders>
            <w:shd w:val="clear" w:color="auto" w:fill="auto"/>
            <w:vAlign w:val="center"/>
            <w:hideMark/>
          </w:tcPr>
          <w:p w14:paraId="437614DA" w14:textId="77777777" w:rsidR="00AA49C7" w:rsidRPr="006A451F" w:rsidRDefault="00AA49C7" w:rsidP="00AA49C7">
            <w:pPr>
              <w:jc w:val="right"/>
              <w:rPr>
                <w:rFonts w:ascii="Arial" w:hAnsi="Arial" w:cs="Arial"/>
                <w:color w:val="000000"/>
                <w:sz w:val="20"/>
                <w:lang w:eastAsia="es-AR"/>
              </w:rPr>
            </w:pPr>
          </w:p>
        </w:tc>
        <w:tc>
          <w:tcPr>
            <w:tcW w:w="1920" w:type="dxa"/>
            <w:tcBorders>
              <w:top w:val="nil"/>
              <w:left w:val="nil"/>
              <w:bottom w:val="single" w:sz="8" w:space="0" w:color="auto"/>
              <w:right w:val="nil"/>
            </w:tcBorders>
            <w:shd w:val="clear" w:color="auto" w:fill="auto"/>
            <w:vAlign w:val="center"/>
          </w:tcPr>
          <w:p w14:paraId="240AC73D" w14:textId="77777777" w:rsidR="00AA49C7" w:rsidRPr="006A451F" w:rsidRDefault="00AA49C7" w:rsidP="00AA49C7">
            <w:pPr>
              <w:jc w:val="right"/>
              <w:rPr>
                <w:rFonts w:ascii="Arial" w:hAnsi="Arial" w:cs="Arial"/>
                <w:color w:val="000000"/>
                <w:sz w:val="20"/>
                <w:lang w:eastAsia="es-AR"/>
              </w:rPr>
            </w:pPr>
          </w:p>
        </w:tc>
      </w:tr>
      <w:tr w:rsidR="00AA49C7" w:rsidRPr="006A451F" w14:paraId="4290DD31" w14:textId="77777777" w:rsidTr="00AA49C7">
        <w:trPr>
          <w:trHeight w:val="270"/>
        </w:trPr>
        <w:tc>
          <w:tcPr>
            <w:tcW w:w="6600" w:type="dxa"/>
            <w:tcBorders>
              <w:top w:val="nil"/>
              <w:left w:val="nil"/>
              <w:bottom w:val="nil"/>
              <w:right w:val="nil"/>
            </w:tcBorders>
            <w:shd w:val="clear" w:color="auto" w:fill="auto"/>
            <w:vAlign w:val="center"/>
            <w:hideMark/>
          </w:tcPr>
          <w:p w14:paraId="6CD51C90" w14:textId="77777777" w:rsidR="00AA49C7" w:rsidRPr="006A451F" w:rsidRDefault="00AA49C7" w:rsidP="00AA49C7">
            <w:pPr>
              <w:jc w:val="right"/>
              <w:rPr>
                <w:rFonts w:ascii="Arial" w:hAnsi="Arial" w:cs="Arial"/>
                <w:b/>
                <w:bCs/>
                <w:color w:val="000000"/>
                <w:sz w:val="20"/>
                <w:lang w:eastAsia="es-AR"/>
              </w:rPr>
            </w:pPr>
            <w:r w:rsidRPr="006A451F">
              <w:rPr>
                <w:rFonts w:ascii="Arial" w:hAnsi="Arial" w:cs="Arial"/>
                <w:b/>
                <w:bCs/>
                <w:color w:val="000000"/>
                <w:sz w:val="20"/>
                <w:lang w:eastAsia="es-AR"/>
              </w:rPr>
              <w:t>SUBTOTAL 2</w:t>
            </w:r>
          </w:p>
        </w:tc>
        <w:tc>
          <w:tcPr>
            <w:tcW w:w="1920" w:type="dxa"/>
            <w:tcBorders>
              <w:top w:val="nil"/>
              <w:left w:val="nil"/>
              <w:bottom w:val="single" w:sz="8" w:space="0" w:color="auto"/>
              <w:right w:val="nil"/>
            </w:tcBorders>
            <w:shd w:val="clear" w:color="auto" w:fill="auto"/>
            <w:vAlign w:val="center"/>
          </w:tcPr>
          <w:p w14:paraId="46B5ABE9" w14:textId="178A1CBD" w:rsidR="00AA49C7" w:rsidRPr="002A1832" w:rsidRDefault="00AA49C7" w:rsidP="00AA49C7">
            <w:pPr>
              <w:jc w:val="right"/>
              <w:rPr>
                <w:rFonts w:ascii="Arial" w:hAnsi="Arial" w:cs="Arial"/>
                <w:b/>
                <w:color w:val="000000"/>
                <w:sz w:val="20"/>
                <w:lang w:eastAsia="es-AR"/>
              </w:rPr>
            </w:pPr>
            <w:r>
              <w:rPr>
                <w:rFonts w:ascii="Arial" w:hAnsi="Arial" w:cs="Arial"/>
                <w:b/>
                <w:bCs/>
                <w:sz w:val="20"/>
              </w:rPr>
              <w:t>1.778.859</w:t>
            </w:r>
          </w:p>
        </w:tc>
      </w:tr>
      <w:tr w:rsidR="00AA49C7" w:rsidRPr="006A451F" w14:paraId="0EE43BFE" w14:textId="77777777" w:rsidTr="00AA49C7">
        <w:trPr>
          <w:trHeight w:val="270"/>
        </w:trPr>
        <w:tc>
          <w:tcPr>
            <w:tcW w:w="6600" w:type="dxa"/>
            <w:tcBorders>
              <w:top w:val="nil"/>
              <w:left w:val="nil"/>
              <w:bottom w:val="nil"/>
              <w:right w:val="nil"/>
            </w:tcBorders>
            <w:shd w:val="clear" w:color="auto" w:fill="auto"/>
            <w:vAlign w:val="center"/>
            <w:hideMark/>
          </w:tcPr>
          <w:p w14:paraId="4A826895" w14:textId="77777777" w:rsidR="00AA49C7" w:rsidRPr="006A451F" w:rsidRDefault="00AA49C7" w:rsidP="00AA49C7">
            <w:pPr>
              <w:jc w:val="right"/>
              <w:rPr>
                <w:rFonts w:ascii="Arial" w:hAnsi="Arial" w:cs="Arial"/>
                <w:color w:val="000000"/>
                <w:sz w:val="20"/>
                <w:lang w:eastAsia="es-AR"/>
              </w:rPr>
            </w:pPr>
          </w:p>
        </w:tc>
        <w:tc>
          <w:tcPr>
            <w:tcW w:w="1920" w:type="dxa"/>
            <w:tcBorders>
              <w:top w:val="nil"/>
              <w:left w:val="nil"/>
              <w:bottom w:val="single" w:sz="8" w:space="0" w:color="auto"/>
              <w:right w:val="nil"/>
            </w:tcBorders>
            <w:shd w:val="clear" w:color="auto" w:fill="auto"/>
            <w:vAlign w:val="center"/>
          </w:tcPr>
          <w:p w14:paraId="07F2F66C" w14:textId="77777777" w:rsidR="00AA49C7" w:rsidRPr="006A451F" w:rsidRDefault="00AA49C7" w:rsidP="00AA49C7">
            <w:pPr>
              <w:jc w:val="right"/>
              <w:rPr>
                <w:rFonts w:ascii="Arial" w:hAnsi="Arial" w:cs="Arial"/>
                <w:color w:val="000000"/>
                <w:sz w:val="20"/>
                <w:lang w:eastAsia="es-AR"/>
              </w:rPr>
            </w:pPr>
          </w:p>
        </w:tc>
      </w:tr>
      <w:tr w:rsidR="00AA49C7" w:rsidRPr="006A451F" w14:paraId="016AF262" w14:textId="77777777" w:rsidTr="00AA49C7">
        <w:trPr>
          <w:trHeight w:val="270"/>
        </w:trPr>
        <w:tc>
          <w:tcPr>
            <w:tcW w:w="6600" w:type="dxa"/>
            <w:tcBorders>
              <w:top w:val="nil"/>
              <w:left w:val="nil"/>
              <w:bottom w:val="nil"/>
              <w:right w:val="nil"/>
            </w:tcBorders>
            <w:shd w:val="clear" w:color="auto" w:fill="auto"/>
            <w:vAlign w:val="center"/>
            <w:hideMark/>
          </w:tcPr>
          <w:p w14:paraId="64DE3FEF" w14:textId="77440DBD" w:rsidR="00AA49C7" w:rsidRPr="006A451F" w:rsidRDefault="00AA49C7" w:rsidP="00AA49C7">
            <w:pPr>
              <w:jc w:val="right"/>
              <w:rPr>
                <w:rFonts w:ascii="Arial" w:hAnsi="Arial" w:cs="Arial"/>
                <w:b/>
                <w:bCs/>
                <w:color w:val="000000"/>
                <w:sz w:val="20"/>
                <w:lang w:eastAsia="es-AR"/>
              </w:rPr>
            </w:pPr>
            <w:r w:rsidRPr="006A451F">
              <w:rPr>
                <w:rFonts w:ascii="Arial" w:hAnsi="Arial" w:cs="Arial"/>
                <w:b/>
                <w:bCs/>
                <w:color w:val="000000"/>
                <w:sz w:val="20"/>
                <w:lang w:eastAsia="es-AR"/>
              </w:rPr>
              <w:t>SALDO DISTRIBUIBLE</w:t>
            </w:r>
            <w:r w:rsidR="00CA279F">
              <w:rPr>
                <w:rFonts w:ascii="Arial" w:hAnsi="Arial" w:cs="Arial"/>
                <w:b/>
                <w:bCs/>
                <w:color w:val="000000"/>
                <w:sz w:val="20"/>
                <w:lang w:eastAsia="es-AR"/>
              </w:rPr>
              <w:t xml:space="preserve"> (Ver restricción en nota 14.9)</w:t>
            </w:r>
          </w:p>
        </w:tc>
        <w:tc>
          <w:tcPr>
            <w:tcW w:w="1920" w:type="dxa"/>
            <w:tcBorders>
              <w:top w:val="nil"/>
              <w:left w:val="nil"/>
              <w:bottom w:val="single" w:sz="8" w:space="0" w:color="auto"/>
              <w:right w:val="nil"/>
            </w:tcBorders>
            <w:shd w:val="clear" w:color="auto" w:fill="auto"/>
            <w:vAlign w:val="center"/>
          </w:tcPr>
          <w:p w14:paraId="3D47AAA9" w14:textId="287D2A1F" w:rsidR="00AA49C7" w:rsidRPr="002A1832" w:rsidRDefault="00AA49C7" w:rsidP="00AA49C7">
            <w:pPr>
              <w:jc w:val="right"/>
              <w:rPr>
                <w:rFonts w:ascii="Arial" w:hAnsi="Arial" w:cs="Arial"/>
                <w:b/>
                <w:color w:val="000000"/>
                <w:sz w:val="20"/>
                <w:lang w:eastAsia="es-AR"/>
              </w:rPr>
            </w:pPr>
            <w:r>
              <w:rPr>
                <w:rFonts w:ascii="Arial" w:hAnsi="Arial" w:cs="Arial"/>
                <w:b/>
                <w:bCs/>
                <w:sz w:val="20"/>
              </w:rPr>
              <w:t>1.778.859</w:t>
            </w:r>
          </w:p>
        </w:tc>
      </w:tr>
      <w:tr w:rsidR="00257726" w:rsidRPr="006A451F" w14:paraId="7123FBE6" w14:textId="77777777" w:rsidTr="00AA49C7">
        <w:trPr>
          <w:trHeight w:val="255"/>
        </w:trPr>
        <w:tc>
          <w:tcPr>
            <w:tcW w:w="6600" w:type="dxa"/>
            <w:tcBorders>
              <w:top w:val="nil"/>
              <w:left w:val="nil"/>
              <w:bottom w:val="nil"/>
              <w:right w:val="nil"/>
            </w:tcBorders>
            <w:shd w:val="clear" w:color="auto" w:fill="auto"/>
            <w:vAlign w:val="center"/>
            <w:hideMark/>
          </w:tcPr>
          <w:p w14:paraId="7EE15D09" w14:textId="77777777" w:rsidR="00257726" w:rsidRPr="006A451F" w:rsidRDefault="00257726" w:rsidP="00257726">
            <w:pPr>
              <w:jc w:val="right"/>
              <w:rPr>
                <w:rFonts w:ascii="Arial" w:hAnsi="Arial" w:cs="Arial"/>
                <w:color w:val="000000"/>
                <w:sz w:val="20"/>
                <w:lang w:eastAsia="es-AR"/>
              </w:rPr>
            </w:pPr>
          </w:p>
        </w:tc>
        <w:tc>
          <w:tcPr>
            <w:tcW w:w="1920" w:type="dxa"/>
            <w:tcBorders>
              <w:top w:val="nil"/>
              <w:left w:val="nil"/>
              <w:bottom w:val="nil"/>
              <w:right w:val="nil"/>
            </w:tcBorders>
            <w:shd w:val="clear" w:color="auto" w:fill="auto"/>
            <w:vAlign w:val="center"/>
          </w:tcPr>
          <w:p w14:paraId="26BB0E65" w14:textId="77777777" w:rsidR="00257726" w:rsidRPr="006A451F" w:rsidRDefault="00257726" w:rsidP="00257726">
            <w:pPr>
              <w:jc w:val="right"/>
              <w:rPr>
                <w:sz w:val="20"/>
                <w:lang w:eastAsia="es-AR"/>
              </w:rPr>
            </w:pPr>
          </w:p>
        </w:tc>
      </w:tr>
      <w:tr w:rsidR="00257726" w:rsidRPr="006A451F" w14:paraId="7C6D3B04" w14:textId="77777777" w:rsidTr="00AA49C7">
        <w:trPr>
          <w:trHeight w:val="255"/>
        </w:trPr>
        <w:tc>
          <w:tcPr>
            <w:tcW w:w="6600" w:type="dxa"/>
            <w:tcBorders>
              <w:top w:val="nil"/>
              <w:left w:val="nil"/>
              <w:bottom w:val="nil"/>
              <w:right w:val="nil"/>
            </w:tcBorders>
            <w:shd w:val="clear" w:color="auto" w:fill="auto"/>
            <w:vAlign w:val="center"/>
            <w:hideMark/>
          </w:tcPr>
          <w:p w14:paraId="0C83A423" w14:textId="77777777" w:rsidR="00257726" w:rsidRPr="006A451F" w:rsidRDefault="00257726" w:rsidP="00257726">
            <w:pPr>
              <w:rPr>
                <w:rFonts w:ascii="Arial" w:hAnsi="Arial" w:cs="Arial"/>
                <w:b/>
                <w:bCs/>
                <w:color w:val="000000"/>
                <w:sz w:val="20"/>
                <w:lang w:eastAsia="es-AR"/>
              </w:rPr>
            </w:pPr>
            <w:r w:rsidRPr="006A451F">
              <w:rPr>
                <w:rFonts w:ascii="Arial" w:hAnsi="Arial" w:cs="Arial"/>
                <w:b/>
                <w:bCs/>
                <w:color w:val="000000"/>
                <w:sz w:val="20"/>
                <w:lang w:eastAsia="es-AR"/>
              </w:rPr>
              <w:t>RESULTADOS DISTRIBUIDOS</w:t>
            </w:r>
          </w:p>
        </w:tc>
        <w:tc>
          <w:tcPr>
            <w:tcW w:w="1920" w:type="dxa"/>
            <w:tcBorders>
              <w:top w:val="nil"/>
              <w:left w:val="nil"/>
              <w:bottom w:val="single" w:sz="4" w:space="0" w:color="auto"/>
              <w:right w:val="nil"/>
            </w:tcBorders>
            <w:shd w:val="clear" w:color="auto" w:fill="auto"/>
            <w:vAlign w:val="center"/>
          </w:tcPr>
          <w:p w14:paraId="313C96AD" w14:textId="64C5A839" w:rsidR="00257726" w:rsidRPr="006A451F" w:rsidRDefault="00433CBE" w:rsidP="00257726">
            <w:pPr>
              <w:jc w:val="right"/>
              <w:rPr>
                <w:rFonts w:ascii="Arial" w:hAnsi="Arial" w:cs="Arial"/>
                <w:color w:val="000000"/>
                <w:sz w:val="20"/>
                <w:lang w:eastAsia="es-AR"/>
              </w:rPr>
            </w:pPr>
            <w:r>
              <w:rPr>
                <w:rFonts w:ascii="Arial" w:hAnsi="Arial" w:cs="Arial"/>
                <w:b/>
                <w:bCs/>
                <w:sz w:val="20"/>
              </w:rPr>
              <w:t>1.778.859</w:t>
            </w:r>
          </w:p>
        </w:tc>
      </w:tr>
      <w:tr w:rsidR="00257726" w:rsidRPr="006A451F" w14:paraId="559788C0" w14:textId="77777777" w:rsidTr="00AA49C7">
        <w:trPr>
          <w:trHeight w:val="255"/>
        </w:trPr>
        <w:tc>
          <w:tcPr>
            <w:tcW w:w="6600" w:type="dxa"/>
            <w:tcBorders>
              <w:top w:val="nil"/>
              <w:left w:val="nil"/>
              <w:bottom w:val="nil"/>
              <w:right w:val="nil"/>
            </w:tcBorders>
            <w:shd w:val="clear" w:color="auto" w:fill="auto"/>
            <w:vAlign w:val="center"/>
            <w:hideMark/>
          </w:tcPr>
          <w:p w14:paraId="057E164C" w14:textId="77777777" w:rsidR="00257726" w:rsidRPr="006A451F" w:rsidRDefault="00257726" w:rsidP="00257726">
            <w:pPr>
              <w:jc w:val="right"/>
              <w:rPr>
                <w:rFonts w:ascii="Arial" w:hAnsi="Arial" w:cs="Arial"/>
                <w:color w:val="000000"/>
                <w:sz w:val="20"/>
                <w:lang w:eastAsia="es-AR"/>
              </w:rPr>
            </w:pPr>
          </w:p>
        </w:tc>
        <w:tc>
          <w:tcPr>
            <w:tcW w:w="1920" w:type="dxa"/>
            <w:tcBorders>
              <w:top w:val="nil"/>
              <w:left w:val="nil"/>
              <w:bottom w:val="nil"/>
              <w:right w:val="nil"/>
            </w:tcBorders>
            <w:shd w:val="clear" w:color="auto" w:fill="auto"/>
            <w:vAlign w:val="center"/>
          </w:tcPr>
          <w:p w14:paraId="512A0F3D" w14:textId="77777777" w:rsidR="00257726" w:rsidRPr="006A451F" w:rsidRDefault="00257726" w:rsidP="00257726">
            <w:pPr>
              <w:jc w:val="right"/>
              <w:rPr>
                <w:sz w:val="20"/>
                <w:lang w:eastAsia="es-AR"/>
              </w:rPr>
            </w:pPr>
          </w:p>
        </w:tc>
      </w:tr>
      <w:tr w:rsidR="00257726" w:rsidRPr="006A451F" w14:paraId="0AE9C0E1" w14:textId="77777777" w:rsidTr="00AA49C7">
        <w:trPr>
          <w:trHeight w:val="255"/>
        </w:trPr>
        <w:tc>
          <w:tcPr>
            <w:tcW w:w="6600" w:type="dxa"/>
            <w:tcBorders>
              <w:top w:val="nil"/>
              <w:left w:val="nil"/>
              <w:bottom w:val="nil"/>
              <w:right w:val="nil"/>
            </w:tcBorders>
            <w:shd w:val="clear" w:color="auto" w:fill="auto"/>
            <w:vAlign w:val="center"/>
            <w:hideMark/>
          </w:tcPr>
          <w:p w14:paraId="316615AD" w14:textId="77777777" w:rsidR="00257726" w:rsidRPr="006A451F" w:rsidRDefault="00257726" w:rsidP="00257726">
            <w:pPr>
              <w:rPr>
                <w:rFonts w:ascii="Arial" w:hAnsi="Arial" w:cs="Arial"/>
                <w:color w:val="000000"/>
                <w:sz w:val="20"/>
                <w:lang w:eastAsia="es-AR"/>
              </w:rPr>
            </w:pPr>
            <w:r w:rsidRPr="006A451F">
              <w:rPr>
                <w:rFonts w:ascii="Arial" w:hAnsi="Arial" w:cs="Arial"/>
                <w:color w:val="000000"/>
                <w:sz w:val="20"/>
                <w:lang w:eastAsia="es-AR"/>
              </w:rPr>
              <w:t>A Reservas Facultativas</w:t>
            </w:r>
          </w:p>
        </w:tc>
        <w:tc>
          <w:tcPr>
            <w:tcW w:w="1920" w:type="dxa"/>
            <w:tcBorders>
              <w:top w:val="nil"/>
              <w:left w:val="nil"/>
              <w:bottom w:val="nil"/>
              <w:right w:val="nil"/>
            </w:tcBorders>
            <w:shd w:val="clear" w:color="auto" w:fill="auto"/>
            <w:vAlign w:val="center"/>
          </w:tcPr>
          <w:p w14:paraId="345A6537" w14:textId="0DD37F0F" w:rsidR="00257726" w:rsidRPr="00433CBE" w:rsidRDefault="00433CBE" w:rsidP="00257726">
            <w:pPr>
              <w:jc w:val="right"/>
              <w:rPr>
                <w:rFonts w:ascii="Arial" w:hAnsi="Arial" w:cs="Arial"/>
                <w:color w:val="000000"/>
                <w:sz w:val="20"/>
                <w:lang w:eastAsia="es-AR"/>
              </w:rPr>
            </w:pPr>
            <w:r w:rsidRPr="006E1AF7">
              <w:rPr>
                <w:rFonts w:ascii="Arial" w:hAnsi="Arial" w:cs="Arial"/>
                <w:bCs/>
                <w:sz w:val="20"/>
              </w:rPr>
              <w:t>1.778.859</w:t>
            </w:r>
          </w:p>
        </w:tc>
      </w:tr>
      <w:tr w:rsidR="00257726" w:rsidRPr="006A451F" w14:paraId="311F0236" w14:textId="77777777" w:rsidTr="006E1AF7">
        <w:trPr>
          <w:trHeight w:val="164"/>
        </w:trPr>
        <w:tc>
          <w:tcPr>
            <w:tcW w:w="6600" w:type="dxa"/>
            <w:tcBorders>
              <w:top w:val="nil"/>
              <w:left w:val="nil"/>
              <w:bottom w:val="nil"/>
              <w:right w:val="nil"/>
            </w:tcBorders>
            <w:shd w:val="clear" w:color="auto" w:fill="auto"/>
            <w:vAlign w:val="center"/>
            <w:hideMark/>
          </w:tcPr>
          <w:p w14:paraId="44993FAB" w14:textId="77777777" w:rsidR="00257726" w:rsidRPr="006A451F" w:rsidRDefault="00257726" w:rsidP="00257726">
            <w:pPr>
              <w:jc w:val="right"/>
              <w:rPr>
                <w:rFonts w:ascii="Arial" w:hAnsi="Arial" w:cs="Arial"/>
                <w:color w:val="000000"/>
                <w:sz w:val="20"/>
                <w:lang w:eastAsia="es-AR"/>
              </w:rPr>
            </w:pPr>
          </w:p>
        </w:tc>
        <w:tc>
          <w:tcPr>
            <w:tcW w:w="1920" w:type="dxa"/>
            <w:tcBorders>
              <w:top w:val="nil"/>
              <w:left w:val="nil"/>
              <w:bottom w:val="nil"/>
              <w:right w:val="nil"/>
            </w:tcBorders>
            <w:shd w:val="clear" w:color="auto" w:fill="auto"/>
            <w:vAlign w:val="center"/>
          </w:tcPr>
          <w:p w14:paraId="462C6B59" w14:textId="77777777" w:rsidR="00257726" w:rsidRPr="006A451F" w:rsidRDefault="00257726" w:rsidP="00257726">
            <w:pPr>
              <w:jc w:val="right"/>
              <w:rPr>
                <w:sz w:val="20"/>
                <w:lang w:eastAsia="es-AR"/>
              </w:rPr>
            </w:pPr>
          </w:p>
        </w:tc>
      </w:tr>
      <w:tr w:rsidR="00257726" w:rsidRPr="006A451F" w14:paraId="6654B461" w14:textId="77777777" w:rsidTr="00AA49C7">
        <w:trPr>
          <w:trHeight w:val="255"/>
        </w:trPr>
        <w:tc>
          <w:tcPr>
            <w:tcW w:w="6600" w:type="dxa"/>
            <w:tcBorders>
              <w:top w:val="nil"/>
              <w:left w:val="nil"/>
              <w:bottom w:val="nil"/>
              <w:right w:val="nil"/>
            </w:tcBorders>
            <w:shd w:val="clear" w:color="auto" w:fill="auto"/>
            <w:vAlign w:val="center"/>
            <w:hideMark/>
          </w:tcPr>
          <w:p w14:paraId="0DA49308" w14:textId="77777777" w:rsidR="00257726" w:rsidRPr="006A451F" w:rsidRDefault="00257726" w:rsidP="00257726">
            <w:pPr>
              <w:rPr>
                <w:rFonts w:ascii="Arial" w:hAnsi="Arial" w:cs="Arial"/>
                <w:color w:val="000000"/>
                <w:sz w:val="20"/>
                <w:lang w:eastAsia="es-AR"/>
              </w:rPr>
            </w:pPr>
            <w:r w:rsidRPr="006A451F">
              <w:rPr>
                <w:rFonts w:ascii="Arial" w:hAnsi="Arial" w:cs="Arial"/>
                <w:color w:val="000000"/>
                <w:sz w:val="20"/>
                <w:lang w:eastAsia="es-AR"/>
              </w:rPr>
              <w:t>A Dividendos en acciones (  % s/ 0 pesos)</w:t>
            </w:r>
          </w:p>
        </w:tc>
        <w:tc>
          <w:tcPr>
            <w:tcW w:w="1920" w:type="dxa"/>
            <w:tcBorders>
              <w:top w:val="nil"/>
              <w:left w:val="nil"/>
              <w:bottom w:val="nil"/>
              <w:right w:val="nil"/>
            </w:tcBorders>
            <w:shd w:val="clear" w:color="auto" w:fill="auto"/>
            <w:vAlign w:val="center"/>
          </w:tcPr>
          <w:p w14:paraId="7DA96355" w14:textId="5AA5D4BC" w:rsidR="00257726" w:rsidRPr="006A451F" w:rsidRDefault="002A1832" w:rsidP="00257726">
            <w:pPr>
              <w:jc w:val="right"/>
              <w:rPr>
                <w:rFonts w:ascii="Arial" w:hAnsi="Arial" w:cs="Arial"/>
                <w:color w:val="000000"/>
                <w:sz w:val="20"/>
                <w:lang w:eastAsia="es-AR"/>
              </w:rPr>
            </w:pPr>
            <w:r>
              <w:rPr>
                <w:rFonts w:ascii="Arial" w:hAnsi="Arial" w:cs="Arial"/>
                <w:color w:val="000000"/>
                <w:sz w:val="20"/>
                <w:lang w:eastAsia="es-AR"/>
              </w:rPr>
              <w:t>-</w:t>
            </w:r>
          </w:p>
        </w:tc>
      </w:tr>
      <w:tr w:rsidR="00257726" w:rsidRPr="006A451F" w14:paraId="674BD2B6" w14:textId="77777777" w:rsidTr="006E1AF7">
        <w:trPr>
          <w:trHeight w:val="80"/>
        </w:trPr>
        <w:tc>
          <w:tcPr>
            <w:tcW w:w="6600" w:type="dxa"/>
            <w:tcBorders>
              <w:top w:val="nil"/>
              <w:left w:val="nil"/>
              <w:bottom w:val="nil"/>
              <w:right w:val="nil"/>
            </w:tcBorders>
            <w:shd w:val="clear" w:color="auto" w:fill="auto"/>
            <w:vAlign w:val="center"/>
            <w:hideMark/>
          </w:tcPr>
          <w:p w14:paraId="5A98DADB" w14:textId="77777777" w:rsidR="00257726" w:rsidRPr="006A451F" w:rsidRDefault="00257726" w:rsidP="00257726">
            <w:pPr>
              <w:jc w:val="right"/>
              <w:rPr>
                <w:rFonts w:ascii="Arial" w:hAnsi="Arial" w:cs="Arial"/>
                <w:color w:val="000000"/>
                <w:sz w:val="20"/>
                <w:lang w:eastAsia="es-AR"/>
              </w:rPr>
            </w:pPr>
          </w:p>
        </w:tc>
        <w:tc>
          <w:tcPr>
            <w:tcW w:w="1920" w:type="dxa"/>
            <w:tcBorders>
              <w:top w:val="nil"/>
              <w:left w:val="nil"/>
              <w:bottom w:val="nil"/>
              <w:right w:val="nil"/>
            </w:tcBorders>
            <w:shd w:val="clear" w:color="auto" w:fill="auto"/>
            <w:vAlign w:val="center"/>
          </w:tcPr>
          <w:p w14:paraId="3510F9CC" w14:textId="77777777" w:rsidR="00257726" w:rsidRPr="006A451F" w:rsidRDefault="00257726" w:rsidP="00257726">
            <w:pPr>
              <w:jc w:val="right"/>
              <w:rPr>
                <w:sz w:val="20"/>
                <w:lang w:eastAsia="es-AR"/>
              </w:rPr>
            </w:pPr>
          </w:p>
        </w:tc>
      </w:tr>
      <w:tr w:rsidR="00257726" w:rsidRPr="006A451F" w14:paraId="7C0BF1D1" w14:textId="77777777" w:rsidTr="00AA49C7">
        <w:trPr>
          <w:trHeight w:val="255"/>
        </w:trPr>
        <w:tc>
          <w:tcPr>
            <w:tcW w:w="6600" w:type="dxa"/>
            <w:tcBorders>
              <w:top w:val="nil"/>
              <w:left w:val="nil"/>
              <w:bottom w:val="nil"/>
              <w:right w:val="nil"/>
            </w:tcBorders>
            <w:shd w:val="clear" w:color="auto" w:fill="auto"/>
            <w:vAlign w:val="center"/>
            <w:hideMark/>
          </w:tcPr>
          <w:p w14:paraId="62DF7485" w14:textId="77777777" w:rsidR="00257726" w:rsidRPr="006A451F" w:rsidRDefault="00257726" w:rsidP="00257726">
            <w:pPr>
              <w:rPr>
                <w:rFonts w:ascii="Arial" w:hAnsi="Arial" w:cs="Arial"/>
                <w:color w:val="000000"/>
                <w:sz w:val="20"/>
                <w:lang w:eastAsia="es-AR"/>
              </w:rPr>
            </w:pPr>
            <w:r w:rsidRPr="006A451F">
              <w:rPr>
                <w:rFonts w:ascii="Arial" w:hAnsi="Arial" w:cs="Arial"/>
                <w:color w:val="000000"/>
                <w:sz w:val="20"/>
                <w:lang w:eastAsia="es-AR"/>
              </w:rPr>
              <w:t>A Dividendos en efectivo</w:t>
            </w:r>
          </w:p>
        </w:tc>
        <w:tc>
          <w:tcPr>
            <w:tcW w:w="1920" w:type="dxa"/>
            <w:tcBorders>
              <w:top w:val="nil"/>
              <w:left w:val="nil"/>
              <w:bottom w:val="nil"/>
              <w:right w:val="nil"/>
            </w:tcBorders>
            <w:shd w:val="clear" w:color="auto" w:fill="auto"/>
            <w:vAlign w:val="center"/>
          </w:tcPr>
          <w:p w14:paraId="3185FB71" w14:textId="77777777" w:rsidR="00257726" w:rsidRPr="006A451F" w:rsidRDefault="00257726" w:rsidP="00257726">
            <w:pPr>
              <w:jc w:val="right"/>
              <w:rPr>
                <w:rFonts w:ascii="Arial" w:hAnsi="Arial" w:cs="Arial"/>
                <w:color w:val="000000"/>
                <w:sz w:val="20"/>
                <w:lang w:eastAsia="es-AR"/>
              </w:rPr>
            </w:pPr>
          </w:p>
        </w:tc>
      </w:tr>
      <w:tr w:rsidR="00257726" w:rsidRPr="006A451F" w14:paraId="11DCB294" w14:textId="77777777" w:rsidTr="00AA49C7">
        <w:trPr>
          <w:trHeight w:val="255"/>
        </w:trPr>
        <w:tc>
          <w:tcPr>
            <w:tcW w:w="6600" w:type="dxa"/>
            <w:tcBorders>
              <w:top w:val="nil"/>
              <w:left w:val="nil"/>
              <w:bottom w:val="nil"/>
              <w:right w:val="nil"/>
            </w:tcBorders>
            <w:shd w:val="clear" w:color="auto" w:fill="auto"/>
            <w:vAlign w:val="center"/>
            <w:hideMark/>
          </w:tcPr>
          <w:p w14:paraId="7148E1F9" w14:textId="77777777" w:rsidR="00257726" w:rsidRPr="006A451F" w:rsidRDefault="00257726" w:rsidP="00257726">
            <w:pPr>
              <w:rPr>
                <w:rFonts w:ascii="Arial" w:hAnsi="Arial" w:cs="Arial"/>
                <w:color w:val="000000"/>
                <w:sz w:val="20"/>
                <w:lang w:eastAsia="es-AR"/>
              </w:rPr>
            </w:pPr>
            <w:r w:rsidRPr="006A451F">
              <w:rPr>
                <w:rFonts w:ascii="Arial" w:hAnsi="Arial" w:cs="Arial"/>
                <w:color w:val="000000"/>
                <w:sz w:val="20"/>
                <w:lang w:eastAsia="es-AR"/>
              </w:rPr>
              <w:t xml:space="preserve">   -Acciones preferidas (  % s/ 0 pesos)</w:t>
            </w:r>
          </w:p>
        </w:tc>
        <w:tc>
          <w:tcPr>
            <w:tcW w:w="1920" w:type="dxa"/>
            <w:tcBorders>
              <w:top w:val="nil"/>
              <w:left w:val="nil"/>
              <w:bottom w:val="nil"/>
              <w:right w:val="nil"/>
            </w:tcBorders>
            <w:shd w:val="clear" w:color="auto" w:fill="auto"/>
            <w:vAlign w:val="center"/>
          </w:tcPr>
          <w:p w14:paraId="141201D3" w14:textId="26DF11DB" w:rsidR="00257726" w:rsidRPr="006A451F" w:rsidRDefault="002A1832" w:rsidP="00257726">
            <w:pPr>
              <w:jc w:val="right"/>
              <w:rPr>
                <w:rFonts w:ascii="Arial" w:hAnsi="Arial" w:cs="Arial"/>
                <w:color w:val="000000"/>
                <w:sz w:val="20"/>
                <w:lang w:eastAsia="es-AR"/>
              </w:rPr>
            </w:pPr>
            <w:r>
              <w:rPr>
                <w:rFonts w:ascii="Arial" w:hAnsi="Arial" w:cs="Arial"/>
                <w:color w:val="000000"/>
                <w:sz w:val="20"/>
                <w:lang w:eastAsia="es-AR"/>
              </w:rPr>
              <w:t>-</w:t>
            </w:r>
          </w:p>
        </w:tc>
      </w:tr>
      <w:tr w:rsidR="00257726" w:rsidRPr="006A451F" w14:paraId="1437D893" w14:textId="77777777" w:rsidTr="00AA49C7">
        <w:trPr>
          <w:trHeight w:val="255"/>
        </w:trPr>
        <w:tc>
          <w:tcPr>
            <w:tcW w:w="6600" w:type="dxa"/>
            <w:tcBorders>
              <w:top w:val="nil"/>
              <w:left w:val="nil"/>
              <w:bottom w:val="nil"/>
              <w:right w:val="nil"/>
            </w:tcBorders>
            <w:shd w:val="clear" w:color="auto" w:fill="auto"/>
            <w:vAlign w:val="center"/>
            <w:hideMark/>
          </w:tcPr>
          <w:p w14:paraId="5ABB90B6" w14:textId="77777777" w:rsidR="00257726" w:rsidRPr="006A451F" w:rsidRDefault="00257726" w:rsidP="00257726">
            <w:pPr>
              <w:rPr>
                <w:rFonts w:ascii="Arial" w:hAnsi="Arial" w:cs="Arial"/>
                <w:color w:val="000000"/>
                <w:sz w:val="20"/>
                <w:lang w:eastAsia="es-AR"/>
              </w:rPr>
            </w:pPr>
            <w:r w:rsidRPr="006A451F">
              <w:rPr>
                <w:rFonts w:ascii="Arial" w:hAnsi="Arial" w:cs="Arial"/>
                <w:color w:val="000000"/>
                <w:sz w:val="20"/>
                <w:lang w:eastAsia="es-AR"/>
              </w:rPr>
              <w:t xml:space="preserve">   -Acciones ordinarias (  % s/ 0 pesos)</w:t>
            </w:r>
          </w:p>
        </w:tc>
        <w:tc>
          <w:tcPr>
            <w:tcW w:w="1920" w:type="dxa"/>
            <w:tcBorders>
              <w:top w:val="nil"/>
              <w:left w:val="nil"/>
              <w:bottom w:val="nil"/>
              <w:right w:val="nil"/>
            </w:tcBorders>
            <w:shd w:val="clear" w:color="auto" w:fill="auto"/>
            <w:vAlign w:val="center"/>
          </w:tcPr>
          <w:p w14:paraId="68AB71C1" w14:textId="56BCC511" w:rsidR="00257726" w:rsidRPr="006A451F" w:rsidRDefault="002A1832" w:rsidP="00257726">
            <w:pPr>
              <w:jc w:val="right"/>
              <w:rPr>
                <w:rFonts w:ascii="Arial" w:hAnsi="Arial" w:cs="Arial"/>
                <w:color w:val="000000"/>
                <w:sz w:val="20"/>
                <w:lang w:eastAsia="es-AR"/>
              </w:rPr>
            </w:pPr>
            <w:r>
              <w:rPr>
                <w:rFonts w:ascii="Arial" w:hAnsi="Arial" w:cs="Arial"/>
                <w:color w:val="000000"/>
                <w:sz w:val="20"/>
                <w:lang w:eastAsia="es-AR"/>
              </w:rPr>
              <w:t>-</w:t>
            </w:r>
          </w:p>
        </w:tc>
      </w:tr>
      <w:tr w:rsidR="00257726" w:rsidRPr="006A451F" w14:paraId="1E8A7993" w14:textId="77777777" w:rsidTr="00AA49C7">
        <w:trPr>
          <w:trHeight w:val="255"/>
        </w:trPr>
        <w:tc>
          <w:tcPr>
            <w:tcW w:w="6600" w:type="dxa"/>
            <w:tcBorders>
              <w:top w:val="nil"/>
              <w:left w:val="nil"/>
              <w:bottom w:val="nil"/>
              <w:right w:val="nil"/>
            </w:tcBorders>
            <w:shd w:val="clear" w:color="auto" w:fill="auto"/>
            <w:vAlign w:val="center"/>
            <w:hideMark/>
          </w:tcPr>
          <w:p w14:paraId="3D7C429D" w14:textId="77777777" w:rsidR="00257726" w:rsidRPr="006A451F" w:rsidRDefault="00257726" w:rsidP="00257726">
            <w:pPr>
              <w:jc w:val="right"/>
              <w:rPr>
                <w:rFonts w:ascii="Arial" w:hAnsi="Arial" w:cs="Arial"/>
                <w:color w:val="000000"/>
                <w:sz w:val="20"/>
                <w:lang w:eastAsia="es-AR"/>
              </w:rPr>
            </w:pPr>
          </w:p>
        </w:tc>
        <w:tc>
          <w:tcPr>
            <w:tcW w:w="1920" w:type="dxa"/>
            <w:tcBorders>
              <w:top w:val="nil"/>
              <w:left w:val="nil"/>
              <w:bottom w:val="nil"/>
              <w:right w:val="nil"/>
            </w:tcBorders>
            <w:shd w:val="clear" w:color="auto" w:fill="auto"/>
            <w:vAlign w:val="center"/>
          </w:tcPr>
          <w:p w14:paraId="63145840" w14:textId="77777777" w:rsidR="00257726" w:rsidRPr="006A451F" w:rsidRDefault="00257726" w:rsidP="00257726">
            <w:pPr>
              <w:jc w:val="right"/>
              <w:rPr>
                <w:sz w:val="20"/>
                <w:lang w:eastAsia="es-AR"/>
              </w:rPr>
            </w:pPr>
          </w:p>
        </w:tc>
      </w:tr>
      <w:tr w:rsidR="00257726" w:rsidRPr="006A451F" w14:paraId="18852DA9" w14:textId="77777777" w:rsidTr="00AA49C7">
        <w:trPr>
          <w:trHeight w:val="255"/>
        </w:trPr>
        <w:tc>
          <w:tcPr>
            <w:tcW w:w="6600" w:type="dxa"/>
            <w:tcBorders>
              <w:top w:val="nil"/>
              <w:left w:val="nil"/>
              <w:bottom w:val="nil"/>
              <w:right w:val="nil"/>
            </w:tcBorders>
            <w:shd w:val="clear" w:color="auto" w:fill="auto"/>
            <w:vAlign w:val="center"/>
            <w:hideMark/>
          </w:tcPr>
          <w:p w14:paraId="4166CC93" w14:textId="77777777" w:rsidR="00257726" w:rsidRPr="006A451F" w:rsidRDefault="00257726" w:rsidP="00257726">
            <w:pPr>
              <w:rPr>
                <w:rFonts w:ascii="Arial" w:hAnsi="Arial" w:cs="Arial"/>
                <w:color w:val="000000"/>
                <w:sz w:val="20"/>
                <w:lang w:eastAsia="es-AR"/>
              </w:rPr>
            </w:pPr>
            <w:r w:rsidRPr="006A451F">
              <w:rPr>
                <w:rFonts w:ascii="Arial" w:hAnsi="Arial" w:cs="Arial"/>
                <w:color w:val="000000"/>
                <w:sz w:val="20"/>
                <w:lang w:eastAsia="es-AR"/>
              </w:rPr>
              <w:t>A Otros destinos</w:t>
            </w:r>
          </w:p>
        </w:tc>
        <w:tc>
          <w:tcPr>
            <w:tcW w:w="1920" w:type="dxa"/>
            <w:tcBorders>
              <w:top w:val="nil"/>
              <w:left w:val="nil"/>
              <w:bottom w:val="nil"/>
              <w:right w:val="nil"/>
            </w:tcBorders>
            <w:shd w:val="clear" w:color="auto" w:fill="auto"/>
            <w:vAlign w:val="center"/>
          </w:tcPr>
          <w:p w14:paraId="1FC30AE1" w14:textId="22E0F418" w:rsidR="00257726" w:rsidRPr="006A451F" w:rsidRDefault="002A1832" w:rsidP="00257726">
            <w:pPr>
              <w:jc w:val="right"/>
              <w:rPr>
                <w:rFonts w:ascii="Arial" w:hAnsi="Arial" w:cs="Arial"/>
                <w:color w:val="000000"/>
                <w:sz w:val="20"/>
                <w:lang w:eastAsia="es-AR"/>
              </w:rPr>
            </w:pPr>
            <w:r>
              <w:rPr>
                <w:rFonts w:ascii="Arial" w:hAnsi="Arial" w:cs="Arial"/>
                <w:color w:val="000000"/>
                <w:sz w:val="20"/>
                <w:lang w:eastAsia="es-AR"/>
              </w:rPr>
              <w:t>-</w:t>
            </w:r>
          </w:p>
        </w:tc>
      </w:tr>
      <w:tr w:rsidR="00257726" w:rsidRPr="006A451F" w14:paraId="4F821D79" w14:textId="77777777" w:rsidTr="00AA49C7">
        <w:trPr>
          <w:trHeight w:val="270"/>
        </w:trPr>
        <w:tc>
          <w:tcPr>
            <w:tcW w:w="6600" w:type="dxa"/>
            <w:tcBorders>
              <w:top w:val="nil"/>
              <w:left w:val="nil"/>
              <w:bottom w:val="nil"/>
              <w:right w:val="nil"/>
            </w:tcBorders>
            <w:shd w:val="clear" w:color="auto" w:fill="auto"/>
            <w:vAlign w:val="center"/>
            <w:hideMark/>
          </w:tcPr>
          <w:p w14:paraId="483570A7" w14:textId="77777777" w:rsidR="00257726" w:rsidRPr="006A451F" w:rsidRDefault="00257726" w:rsidP="00257726">
            <w:pPr>
              <w:jc w:val="right"/>
              <w:rPr>
                <w:rFonts w:ascii="Arial" w:hAnsi="Arial" w:cs="Arial"/>
                <w:color w:val="000000"/>
                <w:sz w:val="20"/>
                <w:lang w:eastAsia="es-AR"/>
              </w:rPr>
            </w:pPr>
          </w:p>
        </w:tc>
        <w:tc>
          <w:tcPr>
            <w:tcW w:w="1920" w:type="dxa"/>
            <w:tcBorders>
              <w:top w:val="nil"/>
              <w:left w:val="nil"/>
              <w:bottom w:val="single" w:sz="8" w:space="0" w:color="auto"/>
              <w:right w:val="nil"/>
            </w:tcBorders>
            <w:shd w:val="clear" w:color="auto" w:fill="auto"/>
            <w:vAlign w:val="center"/>
          </w:tcPr>
          <w:p w14:paraId="452FA2B7" w14:textId="77777777" w:rsidR="00257726" w:rsidRPr="006A451F" w:rsidRDefault="00257726" w:rsidP="00257726">
            <w:pPr>
              <w:jc w:val="right"/>
              <w:rPr>
                <w:rFonts w:ascii="Arial" w:hAnsi="Arial" w:cs="Arial"/>
                <w:color w:val="000000"/>
                <w:sz w:val="20"/>
                <w:lang w:eastAsia="es-AR"/>
              </w:rPr>
            </w:pPr>
          </w:p>
        </w:tc>
      </w:tr>
      <w:tr w:rsidR="00257726" w:rsidRPr="006A451F" w14:paraId="0B3A0580" w14:textId="77777777" w:rsidTr="00AA49C7">
        <w:trPr>
          <w:trHeight w:val="270"/>
        </w:trPr>
        <w:tc>
          <w:tcPr>
            <w:tcW w:w="6600" w:type="dxa"/>
            <w:tcBorders>
              <w:top w:val="nil"/>
              <w:left w:val="nil"/>
              <w:bottom w:val="nil"/>
              <w:right w:val="nil"/>
            </w:tcBorders>
            <w:shd w:val="clear" w:color="auto" w:fill="auto"/>
            <w:vAlign w:val="center"/>
            <w:hideMark/>
          </w:tcPr>
          <w:p w14:paraId="4DB18060" w14:textId="77777777" w:rsidR="00257726" w:rsidRPr="006A451F" w:rsidRDefault="00257726" w:rsidP="00257726">
            <w:pPr>
              <w:jc w:val="right"/>
              <w:rPr>
                <w:rFonts w:ascii="Arial" w:hAnsi="Arial" w:cs="Arial"/>
                <w:b/>
                <w:bCs/>
                <w:color w:val="000000"/>
                <w:sz w:val="20"/>
                <w:lang w:eastAsia="es-AR"/>
              </w:rPr>
            </w:pPr>
            <w:r w:rsidRPr="006A451F">
              <w:rPr>
                <w:rFonts w:ascii="Arial" w:hAnsi="Arial" w:cs="Arial"/>
                <w:b/>
                <w:bCs/>
                <w:color w:val="000000"/>
                <w:sz w:val="20"/>
                <w:lang w:eastAsia="es-AR"/>
              </w:rPr>
              <w:t>RESULTADOS NO DISTRIBUIDOS</w:t>
            </w:r>
          </w:p>
        </w:tc>
        <w:tc>
          <w:tcPr>
            <w:tcW w:w="1920" w:type="dxa"/>
            <w:tcBorders>
              <w:top w:val="nil"/>
              <w:left w:val="nil"/>
              <w:bottom w:val="single" w:sz="8" w:space="0" w:color="auto"/>
              <w:right w:val="nil"/>
            </w:tcBorders>
            <w:shd w:val="clear" w:color="auto" w:fill="auto"/>
            <w:vAlign w:val="center"/>
          </w:tcPr>
          <w:p w14:paraId="2D96BF6A" w14:textId="05BE0897" w:rsidR="00257726" w:rsidRPr="002A1832" w:rsidRDefault="00433CBE" w:rsidP="00257726">
            <w:pPr>
              <w:jc w:val="right"/>
              <w:rPr>
                <w:rFonts w:ascii="Arial" w:hAnsi="Arial" w:cs="Arial"/>
                <w:b/>
                <w:color w:val="000000"/>
                <w:sz w:val="20"/>
                <w:lang w:eastAsia="es-AR"/>
              </w:rPr>
            </w:pPr>
            <w:r>
              <w:rPr>
                <w:rFonts w:ascii="Arial" w:hAnsi="Arial" w:cs="Arial"/>
                <w:b/>
                <w:color w:val="000000"/>
                <w:sz w:val="20"/>
                <w:lang w:eastAsia="es-AR"/>
              </w:rPr>
              <w:t>-</w:t>
            </w:r>
          </w:p>
        </w:tc>
      </w:tr>
    </w:tbl>
    <w:p w14:paraId="6D3ED9B6" w14:textId="77777777" w:rsidR="00C7765D" w:rsidRDefault="00C7765D" w:rsidP="008962C9">
      <w:pPr>
        <w:rPr>
          <w:rFonts w:ascii="Arial" w:hAnsi="Arial" w:cs="Arial"/>
          <w:sz w:val="16"/>
          <w:szCs w:val="16"/>
          <w:lang w:eastAsia="es-AR"/>
        </w:rPr>
      </w:pPr>
    </w:p>
    <w:p w14:paraId="06726D20" w14:textId="77777777" w:rsidR="00C7765D" w:rsidRDefault="00C7765D" w:rsidP="008962C9">
      <w:pPr>
        <w:rPr>
          <w:rFonts w:ascii="Arial" w:hAnsi="Arial" w:cs="Arial"/>
          <w:sz w:val="16"/>
          <w:szCs w:val="16"/>
          <w:lang w:eastAsia="es-AR"/>
        </w:rPr>
      </w:pPr>
    </w:p>
    <w:p w14:paraId="181761FC" w14:textId="1F3319D3" w:rsidR="00C7765D" w:rsidRPr="00A004CE" w:rsidRDefault="00C7765D" w:rsidP="008962C9">
      <w:pPr>
        <w:rPr>
          <w:rFonts w:ascii="Arial" w:hAnsi="Arial" w:cs="Arial"/>
          <w:sz w:val="16"/>
          <w:szCs w:val="16"/>
          <w:lang w:eastAsia="es-AR"/>
        </w:rPr>
        <w:sectPr w:rsidR="00C7765D" w:rsidRPr="00A004CE" w:rsidSect="004C6D19">
          <w:headerReference w:type="default" r:id="rId69"/>
          <w:footerReference w:type="default" r:id="rId70"/>
          <w:pgSz w:w="11907" w:h="16839" w:code="9"/>
          <w:pgMar w:top="1418" w:right="1701" w:bottom="1418" w:left="1701" w:header="567" w:footer="0" w:gutter="0"/>
          <w:paperSrc w:first="256" w:other="256"/>
          <w:cols w:space="720"/>
          <w:docGrid w:linePitch="326"/>
        </w:sectPr>
      </w:pPr>
    </w:p>
    <w:p w14:paraId="4F4AC673" w14:textId="77777777" w:rsidR="00CE53C0" w:rsidRPr="00701F32" w:rsidRDefault="00CE53C0" w:rsidP="00A004CE"/>
    <w:p w14:paraId="16E19C87" w14:textId="7E5122B8" w:rsidR="00865685" w:rsidRPr="00701F32" w:rsidRDefault="00865685" w:rsidP="00B0586C">
      <w:pPr>
        <w:tabs>
          <w:tab w:val="left" w:pos="1365"/>
        </w:tabs>
        <w:rPr>
          <w:rFonts w:ascii="Arial" w:hAnsi="Arial" w:cs="Arial"/>
          <w:sz w:val="20"/>
          <w:u w:val="single"/>
        </w:rPr>
      </w:pPr>
      <w:r w:rsidRPr="00701F32">
        <w:rPr>
          <w:rFonts w:ascii="Arial" w:hAnsi="Arial" w:cs="Arial"/>
          <w:sz w:val="20"/>
          <w:u w:val="single"/>
        </w:rPr>
        <w:t>Breve descripción del Negocio y Evolución de las Operaciones</w:t>
      </w:r>
    </w:p>
    <w:p w14:paraId="683EA1A3" w14:textId="77777777" w:rsidR="00CA188D" w:rsidRPr="00701F32" w:rsidRDefault="00CA188D" w:rsidP="00B0586C">
      <w:pPr>
        <w:tabs>
          <w:tab w:val="left" w:pos="1365"/>
        </w:tabs>
        <w:rPr>
          <w:rFonts w:ascii="Arial" w:hAnsi="Arial" w:cs="Arial"/>
          <w:sz w:val="20"/>
          <w:u w:val="single"/>
        </w:rPr>
      </w:pPr>
    </w:p>
    <w:p w14:paraId="45CBC5B4" w14:textId="77777777" w:rsidR="00CA188D" w:rsidRPr="00701F32" w:rsidRDefault="00CA188D" w:rsidP="00CA188D">
      <w:pPr>
        <w:tabs>
          <w:tab w:val="left" w:pos="142"/>
        </w:tabs>
        <w:jc w:val="both"/>
        <w:rPr>
          <w:rFonts w:ascii="Arial" w:hAnsi="Arial" w:cs="Arial"/>
          <w:sz w:val="20"/>
        </w:rPr>
      </w:pPr>
      <w:r w:rsidRPr="00701F32">
        <w:rPr>
          <w:rFonts w:ascii="Arial" w:hAnsi="Arial" w:cs="Arial"/>
          <w:sz w:val="20"/>
        </w:rPr>
        <w:t>Banco Supervielle S.A. es un banco argentino cuyos orígenes se remontan a 1887. Su actividad se concentra principalmente en la provisión de servicios bancarios y financieros a individuos y pequeñas y medianas empresas. Su larga presencia en el sector financiero le ha permitido establecer una robusta relación con sus clientes y una marca reconocida en la industria bancaria local. Ha desarrollado un modelo de negocios multimarca para diferenciar los productos y servicios financieros que ofrece a un amplio espectro de individuos, pequeñas y medianas empresas y grandes empresas del país. A través de su red bancaria tiene presencia en la Ciudad Autónoma de Buenos Aires y en las provincias de Buenos Aires, Mendoza, San Luis, San Juan, Córdoba, Tucumán</w:t>
      </w:r>
      <w:r w:rsidR="00863313" w:rsidRPr="00701F32">
        <w:rPr>
          <w:rFonts w:ascii="Arial" w:hAnsi="Arial" w:cs="Arial"/>
          <w:sz w:val="20"/>
        </w:rPr>
        <w:t>.</w:t>
      </w:r>
      <w:r w:rsidRPr="00701F32">
        <w:rPr>
          <w:rFonts w:ascii="Arial" w:hAnsi="Arial" w:cs="Arial"/>
          <w:sz w:val="20"/>
        </w:rPr>
        <w:t xml:space="preserve"> Santa Fe</w:t>
      </w:r>
      <w:r w:rsidR="00863313" w:rsidRPr="00701F32">
        <w:rPr>
          <w:rFonts w:ascii="Arial" w:hAnsi="Arial" w:cs="Arial"/>
          <w:sz w:val="20"/>
        </w:rPr>
        <w:t xml:space="preserve"> y Neuquén</w:t>
      </w:r>
      <w:r w:rsidRPr="00701F32">
        <w:rPr>
          <w:rFonts w:ascii="Arial" w:hAnsi="Arial" w:cs="Arial"/>
          <w:sz w:val="20"/>
        </w:rPr>
        <w:t xml:space="preserve">. </w:t>
      </w:r>
    </w:p>
    <w:p w14:paraId="356C5BEA" w14:textId="77777777" w:rsidR="00CA188D" w:rsidRPr="00701F32" w:rsidRDefault="00CA188D" w:rsidP="00CA188D">
      <w:pPr>
        <w:tabs>
          <w:tab w:val="left" w:pos="142"/>
        </w:tabs>
        <w:jc w:val="both"/>
        <w:rPr>
          <w:rFonts w:ascii="Arial" w:hAnsi="Arial" w:cs="Arial"/>
          <w:sz w:val="20"/>
        </w:rPr>
      </w:pPr>
    </w:p>
    <w:p w14:paraId="190EEB77" w14:textId="037187D0" w:rsidR="00CA188D" w:rsidRPr="00701F32" w:rsidRDefault="00CA188D" w:rsidP="00CA188D">
      <w:pPr>
        <w:tabs>
          <w:tab w:val="left" w:pos="142"/>
        </w:tabs>
        <w:jc w:val="both"/>
        <w:rPr>
          <w:rFonts w:ascii="Arial" w:hAnsi="Arial" w:cs="Arial"/>
          <w:sz w:val="20"/>
        </w:rPr>
      </w:pPr>
      <w:r w:rsidRPr="00955DA5">
        <w:rPr>
          <w:rFonts w:ascii="Arial" w:hAnsi="Arial" w:cs="Arial"/>
          <w:sz w:val="20"/>
        </w:rPr>
        <w:t xml:space="preserve">El resultado del </w:t>
      </w:r>
      <w:r w:rsidR="00C17D99" w:rsidRPr="00955DA5">
        <w:rPr>
          <w:rFonts w:ascii="Arial" w:hAnsi="Arial" w:cs="Arial"/>
          <w:sz w:val="20"/>
        </w:rPr>
        <w:t>ejercicio</w:t>
      </w:r>
      <w:r w:rsidR="00094BCD" w:rsidRPr="00955DA5">
        <w:rPr>
          <w:rFonts w:ascii="Arial" w:hAnsi="Arial" w:cs="Arial"/>
          <w:sz w:val="20"/>
        </w:rPr>
        <w:t xml:space="preserve"> </w:t>
      </w:r>
      <w:r w:rsidRPr="00955DA5">
        <w:rPr>
          <w:rFonts w:ascii="Arial" w:hAnsi="Arial" w:cs="Arial"/>
          <w:sz w:val="20"/>
        </w:rPr>
        <w:t xml:space="preserve">finalizado el </w:t>
      </w:r>
      <w:r w:rsidR="00695F25" w:rsidRPr="00955DA5">
        <w:rPr>
          <w:rFonts w:ascii="Arial" w:hAnsi="Arial" w:cs="Arial"/>
          <w:sz w:val="20"/>
        </w:rPr>
        <w:t>3</w:t>
      </w:r>
      <w:r w:rsidR="00C17D99" w:rsidRPr="00955DA5">
        <w:rPr>
          <w:rFonts w:ascii="Arial" w:hAnsi="Arial" w:cs="Arial"/>
          <w:sz w:val="20"/>
        </w:rPr>
        <w:t>1</w:t>
      </w:r>
      <w:r w:rsidR="00695F25" w:rsidRPr="00955DA5">
        <w:rPr>
          <w:rFonts w:ascii="Arial" w:hAnsi="Arial" w:cs="Arial"/>
          <w:sz w:val="20"/>
        </w:rPr>
        <w:t xml:space="preserve"> </w:t>
      </w:r>
      <w:r w:rsidRPr="00955DA5">
        <w:rPr>
          <w:rFonts w:ascii="Arial" w:hAnsi="Arial" w:cs="Arial"/>
          <w:sz w:val="20"/>
        </w:rPr>
        <w:t xml:space="preserve">de </w:t>
      </w:r>
      <w:r w:rsidR="00C17D99" w:rsidRPr="00955DA5">
        <w:rPr>
          <w:rFonts w:ascii="Arial" w:hAnsi="Arial" w:cs="Arial"/>
          <w:sz w:val="20"/>
        </w:rPr>
        <w:t>diciembre</w:t>
      </w:r>
      <w:r w:rsidR="00DA6BE4" w:rsidRPr="00955DA5">
        <w:rPr>
          <w:rFonts w:ascii="Arial" w:hAnsi="Arial" w:cs="Arial"/>
          <w:sz w:val="20"/>
        </w:rPr>
        <w:t xml:space="preserve"> </w:t>
      </w:r>
      <w:r w:rsidRPr="00955DA5">
        <w:rPr>
          <w:rFonts w:ascii="Arial" w:hAnsi="Arial" w:cs="Arial"/>
          <w:sz w:val="20"/>
        </w:rPr>
        <w:t>de 201</w:t>
      </w:r>
      <w:r w:rsidR="00DA6BE4" w:rsidRPr="00955DA5">
        <w:rPr>
          <w:rFonts w:ascii="Arial" w:hAnsi="Arial" w:cs="Arial"/>
          <w:sz w:val="20"/>
        </w:rPr>
        <w:t>9</w:t>
      </w:r>
      <w:r w:rsidRPr="00955DA5">
        <w:rPr>
          <w:rFonts w:ascii="Arial" w:hAnsi="Arial" w:cs="Arial"/>
          <w:sz w:val="20"/>
        </w:rPr>
        <w:t xml:space="preserve"> arroja una ganancia de </w:t>
      </w:r>
      <w:r w:rsidR="00E85BA9" w:rsidRPr="00955DA5">
        <w:rPr>
          <w:rFonts w:ascii="Arial" w:hAnsi="Arial" w:cs="Arial"/>
          <w:sz w:val="20"/>
        </w:rPr>
        <w:t xml:space="preserve">$ </w:t>
      </w:r>
      <w:r w:rsidR="003B6D95" w:rsidRPr="003B6D95">
        <w:rPr>
          <w:rFonts w:ascii="Arial" w:hAnsi="Arial" w:cs="Arial"/>
          <w:sz w:val="20"/>
        </w:rPr>
        <w:t>3.308.327</w:t>
      </w:r>
      <w:r w:rsidR="003B6D95">
        <w:rPr>
          <w:rFonts w:ascii="Arial" w:hAnsi="Arial" w:cs="Arial"/>
          <w:sz w:val="20"/>
        </w:rPr>
        <w:t xml:space="preserve"> </w:t>
      </w:r>
      <w:r w:rsidRPr="00955DA5">
        <w:rPr>
          <w:rFonts w:ascii="Arial" w:hAnsi="Arial" w:cs="Arial"/>
          <w:sz w:val="20"/>
        </w:rPr>
        <w:t xml:space="preserve">lo que representa un retorno sobre el patrimonio neto promedio de </w:t>
      </w:r>
      <w:r w:rsidR="00B415F1" w:rsidRPr="00955DA5">
        <w:rPr>
          <w:rFonts w:ascii="Arial" w:hAnsi="Arial" w:cs="Arial"/>
          <w:sz w:val="20"/>
        </w:rPr>
        <w:t>1</w:t>
      </w:r>
      <w:r w:rsidR="00955DA5" w:rsidRPr="00955DA5">
        <w:rPr>
          <w:rFonts w:ascii="Arial" w:hAnsi="Arial" w:cs="Arial"/>
          <w:sz w:val="20"/>
        </w:rPr>
        <w:t>9</w:t>
      </w:r>
      <w:r w:rsidR="005D17EB" w:rsidRPr="00955DA5">
        <w:rPr>
          <w:rFonts w:ascii="Arial" w:hAnsi="Arial" w:cs="Arial"/>
          <w:sz w:val="20"/>
        </w:rPr>
        <w:t>%</w:t>
      </w:r>
      <w:r w:rsidRPr="00955DA5">
        <w:rPr>
          <w:rFonts w:ascii="Arial" w:hAnsi="Arial" w:cs="Arial"/>
          <w:sz w:val="20"/>
        </w:rPr>
        <w:t>. Dicho resultado se originó principalmente por el margen financiero y el margen de servicios.</w:t>
      </w:r>
    </w:p>
    <w:p w14:paraId="6C6BE455" w14:textId="77777777" w:rsidR="00CA188D" w:rsidRPr="00701F32" w:rsidRDefault="00CA188D" w:rsidP="00CA188D">
      <w:pPr>
        <w:tabs>
          <w:tab w:val="left" w:pos="142"/>
        </w:tabs>
        <w:jc w:val="both"/>
        <w:rPr>
          <w:rFonts w:ascii="Arial" w:hAnsi="Arial" w:cs="Arial"/>
          <w:sz w:val="20"/>
        </w:rPr>
      </w:pPr>
    </w:p>
    <w:p w14:paraId="02238240" w14:textId="77777777" w:rsidR="00CA188D" w:rsidRPr="00701F32" w:rsidRDefault="00CA188D" w:rsidP="00CA188D">
      <w:pPr>
        <w:tabs>
          <w:tab w:val="left" w:pos="142"/>
        </w:tabs>
        <w:jc w:val="both"/>
        <w:rPr>
          <w:rFonts w:ascii="Arial" w:hAnsi="Arial" w:cs="Arial"/>
          <w:sz w:val="20"/>
        </w:rPr>
      </w:pPr>
      <w:r w:rsidRPr="00701F32">
        <w:rPr>
          <w:rFonts w:ascii="Arial" w:hAnsi="Arial" w:cs="Arial"/>
          <w:sz w:val="20"/>
        </w:rPr>
        <w:t>La actividad de negocios desarrollada por la Entidad durante el presente período abarcó el otorgamiento de préstamos en sus distintas líneas (adelantos, personales, documentos descontados, hipotecarios, tarjetas de crédito, leasing, Pymes, comercio exterior, entre otros) como así también la inversión en instrumentos de deuda emitidos por el BCRA.</w:t>
      </w:r>
    </w:p>
    <w:p w14:paraId="27487DFC" w14:textId="77777777" w:rsidR="00CA188D" w:rsidRPr="00701F32" w:rsidRDefault="00CA188D" w:rsidP="009C6A0A">
      <w:pPr>
        <w:tabs>
          <w:tab w:val="left" w:pos="142"/>
        </w:tabs>
        <w:jc w:val="center"/>
        <w:rPr>
          <w:rFonts w:ascii="Arial" w:hAnsi="Arial" w:cs="Arial"/>
          <w:sz w:val="20"/>
        </w:rPr>
      </w:pPr>
    </w:p>
    <w:p w14:paraId="2315F0E3" w14:textId="2EB53FD2" w:rsidR="00CA188D" w:rsidRPr="00701F32" w:rsidRDefault="00CA188D" w:rsidP="00CA188D">
      <w:pPr>
        <w:tabs>
          <w:tab w:val="left" w:pos="142"/>
        </w:tabs>
        <w:jc w:val="both"/>
        <w:rPr>
          <w:rFonts w:ascii="Arial" w:hAnsi="Arial" w:cs="Arial"/>
          <w:sz w:val="20"/>
        </w:rPr>
      </w:pPr>
      <w:r w:rsidRPr="00701F32">
        <w:rPr>
          <w:rFonts w:ascii="Arial" w:hAnsi="Arial" w:cs="Arial"/>
          <w:sz w:val="20"/>
        </w:rPr>
        <w:t xml:space="preserve">En lo relativo al fondeo, en fecha </w:t>
      </w:r>
      <w:r w:rsidR="00B81C30">
        <w:rPr>
          <w:rFonts w:ascii="Arial" w:hAnsi="Arial" w:cs="Arial"/>
          <w:sz w:val="20"/>
        </w:rPr>
        <w:t>4</w:t>
      </w:r>
      <w:r w:rsidRPr="00701F32">
        <w:rPr>
          <w:rFonts w:ascii="Arial" w:hAnsi="Arial" w:cs="Arial"/>
          <w:sz w:val="20"/>
        </w:rPr>
        <w:t xml:space="preserve"> de febrero de </w:t>
      </w:r>
      <w:r w:rsidR="00B81C30" w:rsidRPr="00701F32">
        <w:rPr>
          <w:rFonts w:ascii="Arial" w:hAnsi="Arial" w:cs="Arial"/>
          <w:sz w:val="20"/>
        </w:rPr>
        <w:t>201</w:t>
      </w:r>
      <w:r w:rsidR="00B81C30">
        <w:rPr>
          <w:rFonts w:ascii="Arial" w:hAnsi="Arial" w:cs="Arial"/>
          <w:sz w:val="20"/>
        </w:rPr>
        <w:t>9</w:t>
      </w:r>
      <w:r w:rsidR="00B81C30" w:rsidRPr="00701F32">
        <w:rPr>
          <w:rFonts w:ascii="Arial" w:hAnsi="Arial" w:cs="Arial"/>
          <w:sz w:val="20"/>
        </w:rPr>
        <w:t xml:space="preserve"> </w:t>
      </w:r>
      <w:r w:rsidRPr="00701F32">
        <w:rPr>
          <w:rFonts w:ascii="Arial" w:hAnsi="Arial" w:cs="Arial"/>
          <w:sz w:val="20"/>
        </w:rPr>
        <w:t xml:space="preserve">se emitieron obligaciones negociables no subordinadas a tasa flotante </w:t>
      </w:r>
      <w:r w:rsidRPr="00464CED">
        <w:rPr>
          <w:rFonts w:ascii="Arial" w:hAnsi="Arial" w:cs="Arial"/>
          <w:sz w:val="20"/>
        </w:rPr>
        <w:t xml:space="preserve">Badlar </w:t>
      </w:r>
      <w:r w:rsidRPr="00EC349E">
        <w:rPr>
          <w:rFonts w:ascii="Arial" w:hAnsi="Arial" w:cs="Arial"/>
          <w:sz w:val="20"/>
        </w:rPr>
        <w:t xml:space="preserve">por </w:t>
      </w:r>
      <w:r w:rsidR="00E85BA9">
        <w:rPr>
          <w:rFonts w:ascii="Arial" w:hAnsi="Arial" w:cs="Arial"/>
          <w:sz w:val="20"/>
        </w:rPr>
        <w:t xml:space="preserve">$ </w:t>
      </w:r>
      <w:r w:rsidR="00B81C30">
        <w:rPr>
          <w:rFonts w:ascii="Arial" w:hAnsi="Arial" w:cs="Arial"/>
          <w:sz w:val="20"/>
        </w:rPr>
        <w:t>3.000.000</w:t>
      </w:r>
      <w:r w:rsidRPr="00EC349E">
        <w:rPr>
          <w:rFonts w:ascii="Arial" w:hAnsi="Arial" w:cs="Arial"/>
          <w:sz w:val="20"/>
        </w:rPr>
        <w:t xml:space="preserve"> </w:t>
      </w:r>
      <w:r w:rsidRPr="00464CED">
        <w:rPr>
          <w:rFonts w:ascii="Arial" w:hAnsi="Arial" w:cs="Arial"/>
          <w:sz w:val="20"/>
        </w:rPr>
        <w:t>con vencimiento</w:t>
      </w:r>
      <w:r w:rsidRPr="00563BF3">
        <w:rPr>
          <w:rFonts w:ascii="Arial" w:hAnsi="Arial" w:cs="Arial"/>
          <w:sz w:val="20"/>
        </w:rPr>
        <w:t xml:space="preserve"> final para el 4 de </w:t>
      </w:r>
      <w:r w:rsidR="00B81C30">
        <w:rPr>
          <w:rFonts w:ascii="Arial" w:hAnsi="Arial" w:cs="Arial"/>
          <w:sz w:val="20"/>
        </w:rPr>
        <w:t>noviembre</w:t>
      </w:r>
      <w:r w:rsidR="00B81C30" w:rsidRPr="00563BF3">
        <w:rPr>
          <w:rFonts w:ascii="Arial" w:hAnsi="Arial" w:cs="Arial"/>
          <w:sz w:val="20"/>
        </w:rPr>
        <w:t xml:space="preserve"> </w:t>
      </w:r>
      <w:r w:rsidRPr="00563BF3">
        <w:rPr>
          <w:rFonts w:ascii="Arial" w:hAnsi="Arial" w:cs="Arial"/>
          <w:sz w:val="20"/>
        </w:rPr>
        <w:t>de 2019.</w:t>
      </w:r>
      <w:r w:rsidRPr="00701F32">
        <w:rPr>
          <w:rFonts w:ascii="Arial" w:hAnsi="Arial" w:cs="Arial"/>
          <w:sz w:val="20"/>
        </w:rPr>
        <w:t xml:space="preserve"> </w:t>
      </w:r>
    </w:p>
    <w:p w14:paraId="1BC6F1C2" w14:textId="77777777" w:rsidR="00CA188D" w:rsidRPr="00701F32" w:rsidRDefault="00CA188D" w:rsidP="00CA188D">
      <w:pPr>
        <w:tabs>
          <w:tab w:val="left" w:pos="142"/>
        </w:tabs>
        <w:jc w:val="both"/>
        <w:rPr>
          <w:rFonts w:ascii="Arial" w:hAnsi="Arial" w:cs="Arial"/>
          <w:sz w:val="20"/>
        </w:rPr>
      </w:pPr>
    </w:p>
    <w:p w14:paraId="3A356948" w14:textId="09ADF092" w:rsidR="00CA188D" w:rsidRPr="00701F32" w:rsidRDefault="00CA188D" w:rsidP="00CA188D">
      <w:pPr>
        <w:tabs>
          <w:tab w:val="left" w:pos="142"/>
          <w:tab w:val="left" w:pos="426"/>
        </w:tabs>
        <w:jc w:val="both"/>
        <w:rPr>
          <w:rFonts w:ascii="Arial" w:hAnsi="Arial" w:cs="Arial"/>
          <w:sz w:val="20"/>
          <w:u w:val="single"/>
        </w:rPr>
      </w:pPr>
      <w:r w:rsidRPr="00701F32">
        <w:rPr>
          <w:rFonts w:ascii="Arial" w:hAnsi="Arial" w:cs="Arial"/>
          <w:sz w:val="20"/>
          <w:u w:val="single"/>
        </w:rPr>
        <w:t>Breve descripción de las sociedades vinculadas</w:t>
      </w:r>
    </w:p>
    <w:p w14:paraId="2E14C5C6" w14:textId="77777777" w:rsidR="00CA188D" w:rsidRPr="00701F32" w:rsidRDefault="00CA188D" w:rsidP="00CA188D">
      <w:pPr>
        <w:tabs>
          <w:tab w:val="left" w:pos="142"/>
        </w:tabs>
        <w:jc w:val="both"/>
        <w:rPr>
          <w:rFonts w:ascii="Arial" w:hAnsi="Arial" w:cs="Arial"/>
          <w:sz w:val="20"/>
        </w:rPr>
      </w:pPr>
    </w:p>
    <w:p w14:paraId="6DF415DE" w14:textId="15072CC2" w:rsidR="00CA188D" w:rsidRPr="00701F32" w:rsidRDefault="00CA188D" w:rsidP="00CA188D">
      <w:pPr>
        <w:tabs>
          <w:tab w:val="left" w:pos="142"/>
        </w:tabs>
        <w:jc w:val="both"/>
        <w:rPr>
          <w:rFonts w:ascii="Arial" w:hAnsi="Arial" w:cs="Arial"/>
          <w:sz w:val="20"/>
        </w:rPr>
      </w:pPr>
      <w:r w:rsidRPr="00701F32">
        <w:rPr>
          <w:rFonts w:ascii="Arial" w:hAnsi="Arial" w:cs="Arial"/>
          <w:sz w:val="20"/>
        </w:rPr>
        <w:t xml:space="preserve">Banco Supervielle </w:t>
      </w:r>
      <w:r w:rsidRPr="00803805">
        <w:rPr>
          <w:rFonts w:ascii="Arial" w:hAnsi="Arial" w:cs="Arial"/>
          <w:sz w:val="20"/>
        </w:rPr>
        <w:t xml:space="preserve">S.A. controla el 95% de Cordial Compañía Financiera S.A., una compañía financiera que se concentra principalmente en la financiación al consumo. El 5% restante fue adquirido por el accionista </w:t>
      </w:r>
      <w:r w:rsidRPr="003B6D95">
        <w:rPr>
          <w:rFonts w:ascii="Arial" w:hAnsi="Arial" w:cs="Arial"/>
          <w:sz w:val="20"/>
        </w:rPr>
        <w:t xml:space="preserve">controlante, Grupo Supervielle S.A. La sociedad controlante de Banco Supervielle S.A. es Grupo Supervielle S.A.  Dicha sociedad posee el </w:t>
      </w:r>
      <w:r w:rsidRPr="006E1AF7">
        <w:rPr>
          <w:rFonts w:ascii="Arial" w:hAnsi="Arial" w:cs="Arial"/>
          <w:sz w:val="20"/>
        </w:rPr>
        <w:t>9</w:t>
      </w:r>
      <w:r w:rsidR="00803805" w:rsidRPr="006E1AF7">
        <w:rPr>
          <w:rFonts w:ascii="Arial" w:hAnsi="Arial" w:cs="Arial"/>
          <w:sz w:val="20"/>
        </w:rPr>
        <w:t>7</w:t>
      </w:r>
      <w:r w:rsidRPr="006E1AF7">
        <w:rPr>
          <w:rFonts w:ascii="Arial" w:hAnsi="Arial" w:cs="Arial"/>
          <w:sz w:val="20"/>
        </w:rPr>
        <w:t>,</w:t>
      </w:r>
      <w:r w:rsidR="00605783" w:rsidRPr="006E1AF7">
        <w:rPr>
          <w:rFonts w:ascii="Arial" w:hAnsi="Arial" w:cs="Arial"/>
          <w:sz w:val="20"/>
        </w:rPr>
        <w:t>10</w:t>
      </w:r>
      <w:r w:rsidRPr="003B6D95">
        <w:rPr>
          <w:rFonts w:ascii="Arial" w:hAnsi="Arial" w:cs="Arial"/>
          <w:sz w:val="20"/>
        </w:rPr>
        <w:t xml:space="preserve">% de las acciones y el </w:t>
      </w:r>
      <w:r w:rsidRPr="006E1AF7">
        <w:rPr>
          <w:rFonts w:ascii="Arial" w:hAnsi="Arial" w:cs="Arial"/>
          <w:sz w:val="20"/>
        </w:rPr>
        <w:t>9</w:t>
      </w:r>
      <w:r w:rsidR="00605783" w:rsidRPr="006E1AF7">
        <w:rPr>
          <w:rFonts w:ascii="Arial" w:hAnsi="Arial" w:cs="Arial"/>
          <w:sz w:val="20"/>
        </w:rPr>
        <w:t>7</w:t>
      </w:r>
      <w:r w:rsidRPr="006E1AF7">
        <w:rPr>
          <w:rFonts w:ascii="Arial" w:hAnsi="Arial" w:cs="Arial"/>
          <w:sz w:val="20"/>
        </w:rPr>
        <w:t>,</w:t>
      </w:r>
      <w:r w:rsidR="00605783" w:rsidRPr="006E1AF7">
        <w:rPr>
          <w:rFonts w:ascii="Arial" w:hAnsi="Arial" w:cs="Arial"/>
          <w:sz w:val="20"/>
        </w:rPr>
        <w:t>068</w:t>
      </w:r>
      <w:r w:rsidRPr="003B6D95">
        <w:rPr>
          <w:rFonts w:ascii="Arial" w:hAnsi="Arial" w:cs="Arial"/>
          <w:sz w:val="20"/>
        </w:rPr>
        <w:t>% de los votos al 3</w:t>
      </w:r>
      <w:r w:rsidR="00C17D99" w:rsidRPr="003B6D95">
        <w:rPr>
          <w:rFonts w:ascii="Arial" w:hAnsi="Arial" w:cs="Arial"/>
          <w:sz w:val="20"/>
        </w:rPr>
        <w:t>1</w:t>
      </w:r>
      <w:r w:rsidRPr="003B6D95">
        <w:rPr>
          <w:rFonts w:ascii="Arial" w:hAnsi="Arial" w:cs="Arial"/>
          <w:sz w:val="20"/>
        </w:rPr>
        <w:t xml:space="preserve"> </w:t>
      </w:r>
      <w:r w:rsidR="00803805" w:rsidRPr="003B6D95">
        <w:rPr>
          <w:rFonts w:ascii="Arial" w:hAnsi="Arial" w:cs="Arial"/>
          <w:sz w:val="20"/>
        </w:rPr>
        <w:t xml:space="preserve">de </w:t>
      </w:r>
      <w:r w:rsidR="00C17D99" w:rsidRPr="003B6D95">
        <w:rPr>
          <w:rFonts w:ascii="Arial" w:hAnsi="Arial" w:cs="Arial"/>
          <w:sz w:val="20"/>
        </w:rPr>
        <w:t>diciembre</w:t>
      </w:r>
      <w:r w:rsidR="00803805" w:rsidRPr="003B6D95">
        <w:rPr>
          <w:rFonts w:ascii="Arial" w:hAnsi="Arial" w:cs="Arial"/>
          <w:sz w:val="20"/>
        </w:rPr>
        <w:t xml:space="preserve"> de 2019</w:t>
      </w:r>
      <w:r w:rsidRPr="003B6D95">
        <w:rPr>
          <w:rFonts w:ascii="Arial" w:hAnsi="Arial" w:cs="Arial"/>
          <w:sz w:val="20"/>
        </w:rPr>
        <w:t>.</w:t>
      </w:r>
    </w:p>
    <w:p w14:paraId="47F7D6CA" w14:textId="77777777" w:rsidR="00CA188D" w:rsidRPr="00701F32" w:rsidRDefault="00CA188D" w:rsidP="00CA188D">
      <w:pPr>
        <w:tabs>
          <w:tab w:val="left" w:pos="142"/>
        </w:tabs>
        <w:jc w:val="both"/>
        <w:rPr>
          <w:rFonts w:ascii="Arial" w:hAnsi="Arial" w:cs="Arial"/>
          <w:sz w:val="20"/>
        </w:rPr>
      </w:pPr>
    </w:p>
    <w:p w14:paraId="09F7E804" w14:textId="3DF8AC87" w:rsidR="00CA188D" w:rsidRPr="00701F32" w:rsidRDefault="00CA188D" w:rsidP="00CA188D">
      <w:pPr>
        <w:tabs>
          <w:tab w:val="left" w:pos="142"/>
        </w:tabs>
        <w:jc w:val="both"/>
        <w:rPr>
          <w:rFonts w:ascii="Arial" w:hAnsi="Arial" w:cs="Arial"/>
          <w:sz w:val="20"/>
        </w:rPr>
      </w:pPr>
      <w:r w:rsidRPr="00701F32">
        <w:rPr>
          <w:rFonts w:ascii="Arial" w:hAnsi="Arial" w:cs="Arial"/>
          <w:sz w:val="20"/>
        </w:rPr>
        <w:t>Cordial Compañía Financiera S.A. es una empresa de servicios financieros sujeta a las regulaciones del Banco Central de la República Argentina, cuyo negocio principal es el otorgamiento de tarjetas de crédito y préstamos destinados al consumo. Su modelo de negocios se basa en proporcionar soluciones de financiamiento principalmente a los segmentos de clientes de ingresos medios y medios-bajos. Al 3</w:t>
      </w:r>
      <w:r w:rsidR="00C17D99">
        <w:rPr>
          <w:rFonts w:ascii="Arial" w:hAnsi="Arial" w:cs="Arial"/>
          <w:sz w:val="20"/>
        </w:rPr>
        <w:t>1</w:t>
      </w:r>
      <w:r w:rsidRPr="00701F32">
        <w:rPr>
          <w:rFonts w:ascii="Arial" w:hAnsi="Arial" w:cs="Arial"/>
          <w:sz w:val="20"/>
        </w:rPr>
        <w:t xml:space="preserve"> de </w:t>
      </w:r>
      <w:r w:rsidR="00C17D99">
        <w:rPr>
          <w:rFonts w:ascii="Arial" w:hAnsi="Arial" w:cs="Arial"/>
          <w:sz w:val="20"/>
        </w:rPr>
        <w:t>diciembre</w:t>
      </w:r>
      <w:r w:rsidR="00DA6BE4" w:rsidRPr="00701F32">
        <w:rPr>
          <w:rFonts w:ascii="Arial" w:hAnsi="Arial" w:cs="Arial"/>
          <w:sz w:val="20"/>
        </w:rPr>
        <w:t xml:space="preserve"> </w:t>
      </w:r>
      <w:r w:rsidRPr="00701F32">
        <w:rPr>
          <w:rFonts w:ascii="Arial" w:hAnsi="Arial" w:cs="Arial"/>
          <w:sz w:val="20"/>
        </w:rPr>
        <w:t>de 201</w:t>
      </w:r>
      <w:r w:rsidR="00DA6BE4">
        <w:rPr>
          <w:rFonts w:ascii="Arial" w:hAnsi="Arial" w:cs="Arial"/>
          <w:sz w:val="20"/>
        </w:rPr>
        <w:t>9</w:t>
      </w:r>
      <w:r w:rsidRPr="00701F32">
        <w:rPr>
          <w:rFonts w:ascii="Arial" w:hAnsi="Arial" w:cs="Arial"/>
          <w:sz w:val="20"/>
        </w:rPr>
        <w:t xml:space="preserve"> obtuvo un resultado </w:t>
      </w:r>
      <w:r w:rsidR="005840E3" w:rsidRPr="00701F32">
        <w:rPr>
          <w:rFonts w:ascii="Arial" w:hAnsi="Arial" w:cs="Arial"/>
          <w:sz w:val="20"/>
        </w:rPr>
        <w:t xml:space="preserve">negativo </w:t>
      </w:r>
      <w:r w:rsidRPr="00701F32">
        <w:rPr>
          <w:rFonts w:ascii="Arial" w:hAnsi="Arial" w:cs="Arial"/>
          <w:sz w:val="20"/>
        </w:rPr>
        <w:t xml:space="preserve">de </w:t>
      </w:r>
      <w:r w:rsidR="00C17D99">
        <w:rPr>
          <w:rFonts w:ascii="Arial" w:hAnsi="Arial" w:cs="Arial"/>
          <w:sz w:val="20"/>
        </w:rPr>
        <w:t xml:space="preserve">$ </w:t>
      </w:r>
      <w:r w:rsidR="00F13171">
        <w:rPr>
          <w:rFonts w:ascii="Arial" w:hAnsi="Arial" w:cs="Arial"/>
          <w:sz w:val="20"/>
        </w:rPr>
        <w:t>241.783</w:t>
      </w:r>
      <w:r w:rsidRPr="00701F32">
        <w:rPr>
          <w:rFonts w:ascii="Arial" w:hAnsi="Arial" w:cs="Arial"/>
          <w:sz w:val="20"/>
        </w:rPr>
        <w:t>.</w:t>
      </w:r>
    </w:p>
    <w:p w14:paraId="068C92C3" w14:textId="77777777" w:rsidR="00CA188D" w:rsidRPr="00701F32" w:rsidRDefault="00CA188D" w:rsidP="00CA188D">
      <w:pPr>
        <w:tabs>
          <w:tab w:val="left" w:pos="142"/>
        </w:tabs>
        <w:jc w:val="both"/>
        <w:rPr>
          <w:rFonts w:ascii="Arial" w:hAnsi="Arial" w:cs="Arial"/>
          <w:sz w:val="20"/>
        </w:rPr>
      </w:pPr>
    </w:p>
    <w:p w14:paraId="09C132EA" w14:textId="70F2D11A" w:rsidR="00CA188D" w:rsidRDefault="00CA188D" w:rsidP="00CA188D">
      <w:pPr>
        <w:tabs>
          <w:tab w:val="left" w:pos="142"/>
        </w:tabs>
        <w:jc w:val="both"/>
        <w:rPr>
          <w:rFonts w:ascii="Arial" w:hAnsi="Arial" w:cs="Arial"/>
          <w:sz w:val="20"/>
        </w:rPr>
      </w:pPr>
      <w:r w:rsidRPr="00701F32">
        <w:rPr>
          <w:rFonts w:ascii="Arial" w:hAnsi="Arial" w:cs="Arial"/>
          <w:sz w:val="20"/>
        </w:rPr>
        <w:t>Banco Supervielle S.A. tiene participación del 1</w:t>
      </w:r>
      <w:r w:rsidR="00E85BA9">
        <w:rPr>
          <w:rFonts w:ascii="Arial" w:hAnsi="Arial" w:cs="Arial"/>
          <w:sz w:val="20"/>
        </w:rPr>
        <w:t>2,375</w:t>
      </w:r>
      <w:r w:rsidRPr="00701F32">
        <w:rPr>
          <w:rFonts w:ascii="Arial" w:hAnsi="Arial" w:cs="Arial"/>
          <w:sz w:val="20"/>
        </w:rPr>
        <w:t>% del capital accionario de Tarjeta Automática S.A. Esta participación ha sido efectuada dentro del marco de las normas sobre servicios complementarios de la actividad financiera establecido por el BCRA.</w:t>
      </w:r>
    </w:p>
    <w:p w14:paraId="46153BD9" w14:textId="77777777" w:rsidR="00721980" w:rsidRPr="00701F32" w:rsidRDefault="00721980" w:rsidP="00CA188D">
      <w:pPr>
        <w:tabs>
          <w:tab w:val="left" w:pos="142"/>
        </w:tabs>
        <w:jc w:val="both"/>
        <w:rPr>
          <w:rFonts w:ascii="Arial" w:hAnsi="Arial" w:cs="Arial"/>
          <w:sz w:val="20"/>
        </w:rPr>
      </w:pPr>
    </w:p>
    <w:p w14:paraId="53CAFE5E" w14:textId="3AB3A70B" w:rsidR="00CA188D" w:rsidRPr="00701F32" w:rsidRDefault="00CA188D" w:rsidP="00CA188D">
      <w:pPr>
        <w:tabs>
          <w:tab w:val="left" w:pos="142"/>
        </w:tabs>
        <w:jc w:val="both"/>
        <w:rPr>
          <w:rFonts w:ascii="Arial" w:hAnsi="Arial" w:cs="Arial"/>
          <w:sz w:val="20"/>
        </w:rPr>
      </w:pPr>
      <w:r w:rsidRPr="00701F32">
        <w:rPr>
          <w:rFonts w:ascii="Arial" w:hAnsi="Arial" w:cs="Arial"/>
          <w:sz w:val="20"/>
        </w:rPr>
        <w:t xml:space="preserve">Banco </w:t>
      </w:r>
      <w:r w:rsidRPr="00605783">
        <w:rPr>
          <w:rFonts w:ascii="Arial" w:hAnsi="Arial" w:cs="Arial"/>
          <w:sz w:val="20"/>
        </w:rPr>
        <w:t xml:space="preserve">Supervielle está vinculado a Sofital S.A.F.e I.I. Al </w:t>
      </w:r>
      <w:r w:rsidR="005840E3" w:rsidRPr="00605783">
        <w:rPr>
          <w:rFonts w:ascii="Arial" w:hAnsi="Arial" w:cs="Arial"/>
          <w:sz w:val="20"/>
        </w:rPr>
        <w:t>3</w:t>
      </w:r>
      <w:r w:rsidR="00C17D99">
        <w:rPr>
          <w:rFonts w:ascii="Arial" w:hAnsi="Arial" w:cs="Arial"/>
          <w:sz w:val="20"/>
        </w:rPr>
        <w:t>1</w:t>
      </w:r>
      <w:r w:rsidR="005840E3" w:rsidRPr="00605783">
        <w:rPr>
          <w:rFonts w:ascii="Arial" w:hAnsi="Arial" w:cs="Arial"/>
          <w:sz w:val="20"/>
        </w:rPr>
        <w:t xml:space="preserve"> </w:t>
      </w:r>
      <w:r w:rsidRPr="00605783">
        <w:rPr>
          <w:rFonts w:ascii="Arial" w:hAnsi="Arial" w:cs="Arial"/>
          <w:sz w:val="20"/>
        </w:rPr>
        <w:t xml:space="preserve">de </w:t>
      </w:r>
      <w:r w:rsidR="00C17D99">
        <w:rPr>
          <w:rFonts w:ascii="Arial" w:hAnsi="Arial" w:cs="Arial"/>
          <w:sz w:val="20"/>
        </w:rPr>
        <w:t>diciembre</w:t>
      </w:r>
      <w:r w:rsidR="00DA6BE4" w:rsidRPr="00605783">
        <w:rPr>
          <w:rFonts w:ascii="Arial" w:hAnsi="Arial" w:cs="Arial"/>
          <w:sz w:val="20"/>
        </w:rPr>
        <w:t xml:space="preserve"> </w:t>
      </w:r>
      <w:r w:rsidRPr="00605783">
        <w:rPr>
          <w:rFonts w:ascii="Arial" w:hAnsi="Arial" w:cs="Arial"/>
          <w:sz w:val="20"/>
        </w:rPr>
        <w:t>de 201</w:t>
      </w:r>
      <w:r w:rsidR="00DA6BE4" w:rsidRPr="00605783">
        <w:rPr>
          <w:rFonts w:ascii="Arial" w:hAnsi="Arial" w:cs="Arial"/>
          <w:sz w:val="20"/>
        </w:rPr>
        <w:t>9</w:t>
      </w:r>
      <w:r w:rsidRPr="00605783">
        <w:rPr>
          <w:rFonts w:ascii="Arial" w:hAnsi="Arial" w:cs="Arial"/>
          <w:sz w:val="20"/>
        </w:rPr>
        <w:t xml:space="preserve"> la participación accionaria de Sofital S.A.F.e I.I. en Banco Supervielle S.A. representa el </w:t>
      </w:r>
      <w:r w:rsidR="00605783" w:rsidRPr="00605783">
        <w:rPr>
          <w:rFonts w:ascii="Arial" w:hAnsi="Arial" w:cs="Arial"/>
          <w:sz w:val="20"/>
        </w:rPr>
        <w:t>2</w:t>
      </w:r>
      <w:r w:rsidRPr="00605783">
        <w:rPr>
          <w:rFonts w:ascii="Arial" w:hAnsi="Arial" w:cs="Arial"/>
          <w:sz w:val="20"/>
        </w:rPr>
        <w:t>,</w:t>
      </w:r>
      <w:r w:rsidR="00605783" w:rsidRPr="00605783">
        <w:rPr>
          <w:rFonts w:ascii="Arial" w:hAnsi="Arial" w:cs="Arial"/>
          <w:sz w:val="20"/>
        </w:rPr>
        <w:t>79</w:t>
      </w:r>
      <w:r w:rsidRPr="00605783">
        <w:rPr>
          <w:rFonts w:ascii="Arial" w:hAnsi="Arial" w:cs="Arial"/>
          <w:sz w:val="20"/>
        </w:rPr>
        <w:t xml:space="preserve">% del capital social y el </w:t>
      </w:r>
      <w:r w:rsidR="00605783" w:rsidRPr="00605783">
        <w:rPr>
          <w:rFonts w:ascii="Arial" w:hAnsi="Arial" w:cs="Arial"/>
          <w:sz w:val="20"/>
        </w:rPr>
        <w:t>2.8</w:t>
      </w:r>
      <w:r w:rsidR="00E85BA9">
        <w:rPr>
          <w:rFonts w:ascii="Arial" w:hAnsi="Arial" w:cs="Arial"/>
          <w:sz w:val="20"/>
        </w:rPr>
        <w:t>1</w:t>
      </w:r>
      <w:r w:rsidRPr="00605783">
        <w:rPr>
          <w:rFonts w:ascii="Arial" w:hAnsi="Arial" w:cs="Arial"/>
          <w:sz w:val="20"/>
        </w:rPr>
        <w:t>% de los votos.</w:t>
      </w:r>
    </w:p>
    <w:p w14:paraId="2D8D414E" w14:textId="77777777" w:rsidR="00CA188D" w:rsidRPr="00701F32" w:rsidRDefault="00CA188D" w:rsidP="00CA188D">
      <w:pPr>
        <w:tabs>
          <w:tab w:val="left" w:pos="142"/>
        </w:tabs>
        <w:jc w:val="both"/>
        <w:rPr>
          <w:rFonts w:ascii="Arial" w:hAnsi="Arial" w:cs="Arial"/>
          <w:sz w:val="20"/>
        </w:rPr>
      </w:pPr>
    </w:p>
    <w:p w14:paraId="1F0F090E" w14:textId="00183C50" w:rsidR="00CA188D" w:rsidRPr="00701F32" w:rsidRDefault="00CA188D" w:rsidP="00CA188D">
      <w:pPr>
        <w:tabs>
          <w:tab w:val="left" w:pos="142"/>
        </w:tabs>
        <w:jc w:val="both"/>
        <w:rPr>
          <w:rFonts w:ascii="Arial" w:hAnsi="Arial" w:cs="Arial"/>
          <w:sz w:val="20"/>
        </w:rPr>
      </w:pPr>
      <w:r w:rsidRPr="00701F32">
        <w:rPr>
          <w:rFonts w:ascii="Arial" w:hAnsi="Arial" w:cs="Arial"/>
          <w:sz w:val="20"/>
        </w:rPr>
        <w:t>Adicionalmente, la Entidad se encuentra vinculada a las empresas Supervielle Asset Management S.A., Espacio Cordial de Servicios S.A., Supervielle Seguros S.A.</w:t>
      </w:r>
      <w:r w:rsidR="00B103B6" w:rsidRPr="00701F32">
        <w:rPr>
          <w:rFonts w:ascii="Arial" w:hAnsi="Arial" w:cs="Arial"/>
          <w:sz w:val="20"/>
        </w:rPr>
        <w:t>, Invertir On</w:t>
      </w:r>
      <w:r w:rsidR="000E4D44" w:rsidRPr="00701F32">
        <w:rPr>
          <w:rFonts w:ascii="Arial" w:hAnsi="Arial" w:cs="Arial"/>
          <w:sz w:val="20"/>
        </w:rPr>
        <w:t>l</w:t>
      </w:r>
      <w:r w:rsidR="00B103B6" w:rsidRPr="00701F32">
        <w:rPr>
          <w:rFonts w:ascii="Arial" w:hAnsi="Arial" w:cs="Arial"/>
          <w:sz w:val="20"/>
        </w:rPr>
        <w:t>ine S.A.</w:t>
      </w:r>
      <w:r w:rsidR="00E85BA9">
        <w:rPr>
          <w:rFonts w:ascii="Arial" w:hAnsi="Arial" w:cs="Arial"/>
          <w:sz w:val="20"/>
        </w:rPr>
        <w:t>U.</w:t>
      </w:r>
      <w:r w:rsidR="000E4D44" w:rsidRPr="00701F32">
        <w:rPr>
          <w:rFonts w:ascii="Arial" w:hAnsi="Arial" w:cs="Arial"/>
          <w:sz w:val="20"/>
        </w:rPr>
        <w:t>, InvertirOnline.Com</w:t>
      </w:r>
      <w:r w:rsidR="00B103B6" w:rsidRPr="00701F32">
        <w:rPr>
          <w:rFonts w:ascii="Arial" w:hAnsi="Arial" w:cs="Arial"/>
          <w:sz w:val="20"/>
        </w:rPr>
        <w:t xml:space="preserve"> </w:t>
      </w:r>
      <w:r w:rsidR="00114557" w:rsidRPr="00701F32">
        <w:rPr>
          <w:rFonts w:ascii="Arial" w:hAnsi="Arial" w:cs="Arial"/>
          <w:sz w:val="20"/>
        </w:rPr>
        <w:t>Argentina S.A.</w:t>
      </w:r>
      <w:r w:rsidR="00E85BA9">
        <w:rPr>
          <w:rFonts w:ascii="Arial" w:hAnsi="Arial" w:cs="Arial"/>
          <w:sz w:val="20"/>
        </w:rPr>
        <w:t>U.</w:t>
      </w:r>
      <w:r w:rsidR="00114557" w:rsidRPr="00701F32">
        <w:rPr>
          <w:rFonts w:ascii="Arial" w:hAnsi="Arial" w:cs="Arial"/>
          <w:sz w:val="20"/>
        </w:rPr>
        <w:t xml:space="preserve"> </w:t>
      </w:r>
      <w:r w:rsidR="00B103B6" w:rsidRPr="00701F32">
        <w:rPr>
          <w:rFonts w:ascii="Arial" w:hAnsi="Arial" w:cs="Arial"/>
          <w:sz w:val="20"/>
        </w:rPr>
        <w:t>y Micro Lending S.A.</w:t>
      </w:r>
      <w:r w:rsidR="00E85BA9">
        <w:rPr>
          <w:rFonts w:ascii="Arial" w:hAnsi="Arial" w:cs="Arial"/>
          <w:sz w:val="20"/>
        </w:rPr>
        <w:t>U.</w:t>
      </w:r>
      <w:r w:rsidR="00B103B6" w:rsidRPr="00701F32">
        <w:rPr>
          <w:rFonts w:ascii="Arial" w:hAnsi="Arial" w:cs="Arial"/>
          <w:sz w:val="20"/>
        </w:rPr>
        <w:t xml:space="preserve"> </w:t>
      </w:r>
      <w:r w:rsidRPr="00701F32">
        <w:rPr>
          <w:rFonts w:ascii="Arial" w:hAnsi="Arial" w:cs="Arial"/>
          <w:sz w:val="20"/>
        </w:rPr>
        <w:t>por ser sociedades controladas por Grupo Supervielle S.A.</w:t>
      </w:r>
    </w:p>
    <w:p w14:paraId="1EDB2F03" w14:textId="77777777" w:rsidR="00CA188D" w:rsidRPr="00701F32" w:rsidRDefault="00CA188D" w:rsidP="00CA188D">
      <w:pPr>
        <w:tabs>
          <w:tab w:val="left" w:pos="142"/>
        </w:tabs>
        <w:jc w:val="both"/>
        <w:rPr>
          <w:rFonts w:ascii="Arial" w:hAnsi="Arial" w:cs="Arial"/>
          <w:sz w:val="20"/>
        </w:rPr>
      </w:pPr>
    </w:p>
    <w:p w14:paraId="59A74028" w14:textId="6304F2C6" w:rsidR="00CA188D" w:rsidRPr="007C7659" w:rsidRDefault="00CA188D" w:rsidP="00CA188D">
      <w:pPr>
        <w:tabs>
          <w:tab w:val="left" w:pos="142"/>
        </w:tabs>
        <w:jc w:val="both"/>
        <w:rPr>
          <w:rFonts w:ascii="Arial" w:hAnsi="Arial" w:cs="Arial"/>
          <w:sz w:val="20"/>
        </w:rPr>
      </w:pPr>
      <w:r w:rsidRPr="00701F32">
        <w:rPr>
          <w:rFonts w:ascii="Arial" w:hAnsi="Arial" w:cs="Arial"/>
          <w:sz w:val="20"/>
        </w:rPr>
        <w:t>A</w:t>
      </w:r>
      <w:r w:rsidR="00094BCD">
        <w:rPr>
          <w:rFonts w:ascii="Arial" w:hAnsi="Arial" w:cs="Arial"/>
          <w:sz w:val="20"/>
        </w:rPr>
        <w:t xml:space="preserve"> </w:t>
      </w:r>
      <w:r w:rsidRPr="00701F32">
        <w:rPr>
          <w:rFonts w:ascii="Arial" w:hAnsi="Arial" w:cs="Arial"/>
          <w:sz w:val="20"/>
        </w:rPr>
        <w:t xml:space="preserve">continuación se detallan cuadros con información consolidada con Cordial Compañía Financiera S.A., comparativo con </w:t>
      </w:r>
      <w:r w:rsidR="00A562A0" w:rsidRPr="00701F32">
        <w:rPr>
          <w:rFonts w:ascii="Arial" w:hAnsi="Arial" w:cs="Arial"/>
          <w:sz w:val="20"/>
        </w:rPr>
        <w:t xml:space="preserve">el </w:t>
      </w:r>
      <w:r w:rsidR="00835461">
        <w:rPr>
          <w:rFonts w:ascii="Arial" w:hAnsi="Arial" w:cs="Arial"/>
          <w:sz w:val="20"/>
        </w:rPr>
        <w:t>ejercicio</w:t>
      </w:r>
      <w:r w:rsidR="00094BCD" w:rsidRPr="00701F32">
        <w:rPr>
          <w:rFonts w:ascii="Arial" w:hAnsi="Arial" w:cs="Arial"/>
          <w:sz w:val="20"/>
        </w:rPr>
        <w:t xml:space="preserve"> </w:t>
      </w:r>
      <w:r w:rsidRPr="00701F32">
        <w:rPr>
          <w:rFonts w:ascii="Arial" w:hAnsi="Arial" w:cs="Arial"/>
          <w:sz w:val="20"/>
        </w:rPr>
        <w:t xml:space="preserve">anterior, referidos a la estructura patrimonial, estructura de </w:t>
      </w:r>
      <w:r w:rsidRPr="007C7659">
        <w:rPr>
          <w:rFonts w:ascii="Arial" w:hAnsi="Arial" w:cs="Arial"/>
          <w:sz w:val="20"/>
        </w:rPr>
        <w:t>resultados, estructura de flujo de efectivo e índices financieros y patrimoniales:</w:t>
      </w:r>
    </w:p>
    <w:p w14:paraId="633102E3" w14:textId="77777777" w:rsidR="00B87D37" w:rsidRPr="007C7659" w:rsidRDefault="00B87D37" w:rsidP="00B87D37">
      <w:pPr>
        <w:tabs>
          <w:tab w:val="left" w:pos="142"/>
        </w:tabs>
        <w:jc w:val="both"/>
        <w:rPr>
          <w:rFonts w:ascii="Arial" w:hAnsi="Arial" w:cs="Arial"/>
          <w:sz w:val="20"/>
        </w:rPr>
      </w:pPr>
    </w:p>
    <w:p w14:paraId="6A48A50A" w14:textId="5037CA4C" w:rsidR="00B87D37" w:rsidRPr="007C7659" w:rsidRDefault="00B87D37" w:rsidP="00B87D37">
      <w:pPr>
        <w:tabs>
          <w:tab w:val="left" w:pos="142"/>
        </w:tabs>
        <w:jc w:val="both"/>
        <w:rPr>
          <w:rFonts w:ascii="Arial" w:hAnsi="Arial" w:cs="Arial"/>
          <w:sz w:val="20"/>
          <w:u w:val="single"/>
        </w:rPr>
      </w:pPr>
      <w:r w:rsidRPr="007C7659">
        <w:rPr>
          <w:rFonts w:ascii="Arial" w:hAnsi="Arial" w:cs="Arial"/>
          <w:sz w:val="20"/>
          <w:u w:val="single"/>
        </w:rPr>
        <w:t>Estructura Patrimonial</w:t>
      </w:r>
    </w:p>
    <w:p w14:paraId="3BA06112" w14:textId="77777777" w:rsidR="00B87D37" w:rsidRPr="007C7659" w:rsidRDefault="00B87D37" w:rsidP="00B87D37">
      <w:pPr>
        <w:tabs>
          <w:tab w:val="left" w:pos="142"/>
        </w:tabs>
        <w:jc w:val="both"/>
        <w:rPr>
          <w:rFonts w:ascii="Arial" w:hAnsi="Arial" w:cs="Arial"/>
          <w:sz w:val="20"/>
          <w:u w:val="single"/>
        </w:rPr>
      </w:pPr>
    </w:p>
    <w:tbl>
      <w:tblPr>
        <w:tblW w:w="5310" w:type="pct"/>
        <w:tblBorders>
          <w:top w:val="single" w:sz="4" w:space="0" w:color="363639"/>
          <w:left w:val="single" w:sz="4" w:space="0" w:color="363639"/>
          <w:bottom w:val="single" w:sz="4" w:space="0" w:color="363639"/>
          <w:right w:val="single" w:sz="4" w:space="0" w:color="363639"/>
          <w:insideH w:val="single" w:sz="4" w:space="0" w:color="363639"/>
          <w:insideV w:val="single" w:sz="4" w:space="0" w:color="363639"/>
        </w:tblBorders>
        <w:tblLayout w:type="fixed"/>
        <w:tblCellMar>
          <w:left w:w="30" w:type="dxa"/>
          <w:right w:w="30" w:type="dxa"/>
        </w:tblCellMar>
        <w:tblLook w:val="0000" w:firstRow="0" w:lastRow="0" w:firstColumn="0" w:lastColumn="0" w:noHBand="0" w:noVBand="0"/>
      </w:tblPr>
      <w:tblGrid>
        <w:gridCol w:w="4321"/>
        <w:gridCol w:w="1735"/>
        <w:gridCol w:w="1592"/>
        <w:gridCol w:w="1531"/>
      </w:tblGrid>
      <w:tr w:rsidR="00694304" w:rsidRPr="00DC6200" w14:paraId="6E9B8856" w14:textId="634D5B83" w:rsidTr="00605783">
        <w:trPr>
          <w:trHeight w:val="315"/>
          <w:tblHeader/>
        </w:trPr>
        <w:tc>
          <w:tcPr>
            <w:tcW w:w="2354" w:type="pct"/>
            <w:tcMar>
              <w:left w:w="108" w:type="dxa"/>
              <w:right w:w="108" w:type="dxa"/>
            </w:tcMar>
            <w:vAlign w:val="center"/>
          </w:tcPr>
          <w:p w14:paraId="12B8BFB7" w14:textId="77777777" w:rsidR="00694304" w:rsidRPr="00F13171" w:rsidRDefault="00694304" w:rsidP="00F56254">
            <w:pPr>
              <w:tabs>
                <w:tab w:val="left" w:pos="142"/>
              </w:tabs>
              <w:jc w:val="both"/>
              <w:rPr>
                <w:rFonts w:ascii="Arial" w:hAnsi="Arial" w:cs="Arial"/>
                <w:b/>
                <w:sz w:val="16"/>
                <w:szCs w:val="16"/>
              </w:rPr>
            </w:pPr>
            <w:r w:rsidRPr="00F13171">
              <w:rPr>
                <w:rFonts w:ascii="Arial" w:hAnsi="Arial" w:cs="Arial"/>
                <w:b/>
                <w:sz w:val="16"/>
                <w:szCs w:val="16"/>
              </w:rPr>
              <w:t>Concepto</w:t>
            </w:r>
          </w:p>
        </w:tc>
        <w:tc>
          <w:tcPr>
            <w:tcW w:w="945" w:type="pct"/>
            <w:tcMar>
              <w:left w:w="108" w:type="dxa"/>
              <w:right w:w="108" w:type="dxa"/>
            </w:tcMar>
            <w:vAlign w:val="center"/>
          </w:tcPr>
          <w:p w14:paraId="549F9098" w14:textId="232E77C2" w:rsidR="00694304" w:rsidRPr="00F13171" w:rsidRDefault="003C2633">
            <w:pPr>
              <w:tabs>
                <w:tab w:val="left" w:pos="142"/>
              </w:tabs>
              <w:ind w:left="831" w:hanging="831"/>
              <w:jc w:val="center"/>
              <w:rPr>
                <w:rFonts w:ascii="Arial" w:hAnsi="Arial" w:cs="Arial"/>
                <w:b/>
                <w:sz w:val="16"/>
                <w:szCs w:val="16"/>
              </w:rPr>
            </w:pPr>
            <w:r w:rsidRPr="00F13171">
              <w:rPr>
                <w:rFonts w:ascii="Arial" w:hAnsi="Arial" w:cs="Arial"/>
                <w:b/>
                <w:sz w:val="16"/>
                <w:szCs w:val="16"/>
              </w:rPr>
              <w:t>3</w:t>
            </w:r>
            <w:r w:rsidR="00C17D99" w:rsidRPr="00F13171">
              <w:rPr>
                <w:rFonts w:ascii="Arial" w:hAnsi="Arial" w:cs="Arial"/>
                <w:b/>
                <w:sz w:val="16"/>
                <w:szCs w:val="16"/>
              </w:rPr>
              <w:t>1</w:t>
            </w:r>
            <w:r w:rsidRPr="00F13171">
              <w:rPr>
                <w:rFonts w:ascii="Arial" w:hAnsi="Arial" w:cs="Arial"/>
                <w:b/>
                <w:sz w:val="16"/>
                <w:szCs w:val="16"/>
              </w:rPr>
              <w:t>/</w:t>
            </w:r>
            <w:r w:rsidR="00C17D99" w:rsidRPr="00F13171">
              <w:rPr>
                <w:rFonts w:ascii="Arial" w:hAnsi="Arial" w:cs="Arial"/>
                <w:b/>
                <w:sz w:val="16"/>
                <w:szCs w:val="16"/>
              </w:rPr>
              <w:t>12</w:t>
            </w:r>
            <w:r w:rsidRPr="00F13171">
              <w:rPr>
                <w:rFonts w:ascii="Arial" w:hAnsi="Arial" w:cs="Arial"/>
                <w:b/>
                <w:sz w:val="16"/>
                <w:szCs w:val="16"/>
              </w:rPr>
              <w:t>/2019</w:t>
            </w:r>
          </w:p>
        </w:tc>
        <w:tc>
          <w:tcPr>
            <w:tcW w:w="867" w:type="pct"/>
            <w:vAlign w:val="center"/>
          </w:tcPr>
          <w:p w14:paraId="087AEB24" w14:textId="7FB28043" w:rsidR="00694304" w:rsidRPr="00F13171" w:rsidRDefault="003C2633">
            <w:pPr>
              <w:ind w:left="720" w:hanging="607"/>
              <w:jc w:val="center"/>
              <w:rPr>
                <w:rFonts w:ascii="Arial" w:hAnsi="Arial" w:cs="Arial"/>
                <w:sz w:val="16"/>
                <w:szCs w:val="16"/>
                <w:lang w:val="es-ES" w:eastAsia="es-ES"/>
              </w:rPr>
            </w:pPr>
            <w:r w:rsidRPr="00F13171">
              <w:rPr>
                <w:rFonts w:ascii="Arial" w:hAnsi="Arial" w:cs="Arial"/>
                <w:b/>
                <w:sz w:val="16"/>
                <w:szCs w:val="16"/>
              </w:rPr>
              <w:t>3</w:t>
            </w:r>
            <w:r w:rsidR="00C17D99" w:rsidRPr="00F13171">
              <w:rPr>
                <w:rFonts w:ascii="Arial" w:hAnsi="Arial" w:cs="Arial"/>
                <w:b/>
                <w:sz w:val="16"/>
                <w:szCs w:val="16"/>
              </w:rPr>
              <w:t>1</w:t>
            </w:r>
            <w:r w:rsidRPr="00F13171">
              <w:rPr>
                <w:rFonts w:ascii="Arial" w:hAnsi="Arial" w:cs="Arial"/>
                <w:b/>
                <w:sz w:val="16"/>
                <w:szCs w:val="16"/>
              </w:rPr>
              <w:t>/</w:t>
            </w:r>
            <w:r w:rsidR="00C17D99" w:rsidRPr="00F13171">
              <w:rPr>
                <w:rFonts w:ascii="Arial" w:hAnsi="Arial" w:cs="Arial"/>
                <w:b/>
                <w:sz w:val="16"/>
                <w:szCs w:val="16"/>
              </w:rPr>
              <w:t>12</w:t>
            </w:r>
            <w:r w:rsidRPr="00F13171">
              <w:rPr>
                <w:rFonts w:ascii="Arial" w:hAnsi="Arial" w:cs="Arial"/>
                <w:b/>
                <w:sz w:val="16"/>
                <w:szCs w:val="16"/>
              </w:rPr>
              <w:t>/2018</w:t>
            </w:r>
          </w:p>
        </w:tc>
        <w:tc>
          <w:tcPr>
            <w:tcW w:w="834" w:type="pct"/>
            <w:vAlign w:val="center"/>
          </w:tcPr>
          <w:p w14:paraId="29BC96B8" w14:textId="2822CD88" w:rsidR="00694304" w:rsidRPr="00F13171" w:rsidDel="00C471B9" w:rsidRDefault="00694304">
            <w:pPr>
              <w:ind w:left="720" w:hanging="607"/>
              <w:jc w:val="center"/>
              <w:rPr>
                <w:rFonts w:ascii="Arial" w:hAnsi="Arial" w:cs="Arial"/>
                <w:b/>
                <w:sz w:val="16"/>
                <w:szCs w:val="16"/>
              </w:rPr>
            </w:pPr>
            <w:r w:rsidRPr="00F13171">
              <w:rPr>
                <w:rFonts w:ascii="Arial" w:hAnsi="Arial" w:cs="Arial"/>
                <w:b/>
                <w:sz w:val="16"/>
                <w:szCs w:val="16"/>
              </w:rPr>
              <w:t>3</w:t>
            </w:r>
            <w:r w:rsidR="00C17D99" w:rsidRPr="00F13171">
              <w:rPr>
                <w:rFonts w:ascii="Arial" w:hAnsi="Arial" w:cs="Arial"/>
                <w:b/>
                <w:sz w:val="16"/>
                <w:szCs w:val="16"/>
              </w:rPr>
              <w:t>1</w:t>
            </w:r>
            <w:r w:rsidRPr="00F13171">
              <w:rPr>
                <w:rFonts w:ascii="Arial" w:hAnsi="Arial" w:cs="Arial"/>
                <w:b/>
                <w:sz w:val="16"/>
                <w:szCs w:val="16"/>
              </w:rPr>
              <w:t>/</w:t>
            </w:r>
            <w:r w:rsidR="00C17D99" w:rsidRPr="00F13171">
              <w:rPr>
                <w:rFonts w:ascii="Arial" w:hAnsi="Arial" w:cs="Arial"/>
                <w:b/>
                <w:sz w:val="16"/>
                <w:szCs w:val="16"/>
              </w:rPr>
              <w:t>12</w:t>
            </w:r>
            <w:r w:rsidRPr="00F13171">
              <w:rPr>
                <w:rFonts w:ascii="Arial" w:hAnsi="Arial" w:cs="Arial"/>
                <w:b/>
                <w:sz w:val="16"/>
                <w:szCs w:val="16"/>
              </w:rPr>
              <w:t>/2017</w:t>
            </w:r>
          </w:p>
        </w:tc>
      </w:tr>
      <w:tr w:rsidR="003B6D95" w:rsidRPr="00DC6200" w14:paraId="2C645237" w14:textId="42EEDA6C" w:rsidTr="006E1AF7">
        <w:tc>
          <w:tcPr>
            <w:tcW w:w="2354" w:type="pct"/>
            <w:tcMar>
              <w:left w:w="108" w:type="dxa"/>
              <w:right w:w="108" w:type="dxa"/>
            </w:tcMar>
            <w:vAlign w:val="bottom"/>
          </w:tcPr>
          <w:p w14:paraId="5FCA374A" w14:textId="77777777" w:rsidR="003B6D95" w:rsidRPr="00F13171" w:rsidRDefault="003B6D95" w:rsidP="003B6D95">
            <w:pPr>
              <w:tabs>
                <w:tab w:val="left" w:pos="142"/>
              </w:tabs>
              <w:rPr>
                <w:rFonts w:ascii="Arial" w:hAnsi="Arial" w:cs="Arial"/>
                <w:sz w:val="16"/>
                <w:szCs w:val="16"/>
              </w:rPr>
            </w:pPr>
            <w:r w:rsidRPr="00F13171">
              <w:rPr>
                <w:rFonts w:ascii="Arial" w:hAnsi="Arial" w:cs="Arial"/>
                <w:sz w:val="16"/>
                <w:szCs w:val="16"/>
              </w:rPr>
              <w:t>Total del Activo</w:t>
            </w:r>
          </w:p>
        </w:tc>
        <w:tc>
          <w:tcPr>
            <w:tcW w:w="945" w:type="pct"/>
            <w:tcMar>
              <w:left w:w="108" w:type="dxa"/>
              <w:right w:w="108" w:type="dxa"/>
            </w:tcMar>
            <w:vAlign w:val="bottom"/>
          </w:tcPr>
          <w:p w14:paraId="6BB7E906" w14:textId="3573F4AE"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141.598.981</w:t>
            </w:r>
          </w:p>
        </w:tc>
        <w:tc>
          <w:tcPr>
            <w:tcW w:w="867" w:type="pct"/>
            <w:vAlign w:val="bottom"/>
          </w:tcPr>
          <w:p w14:paraId="09736E8A" w14:textId="447F8832" w:rsidR="003B6D95" w:rsidRPr="004A28A1" w:rsidRDefault="003B6D95" w:rsidP="003B6D95">
            <w:pPr>
              <w:tabs>
                <w:tab w:val="left" w:pos="142"/>
              </w:tabs>
              <w:jc w:val="right"/>
              <w:rPr>
                <w:rFonts w:ascii="Arial" w:hAnsi="Arial" w:cs="Arial"/>
                <w:sz w:val="16"/>
                <w:szCs w:val="16"/>
                <w:lang w:val="es-MX"/>
              </w:rPr>
            </w:pPr>
            <w:r w:rsidRPr="004A28A1">
              <w:rPr>
                <w:rFonts w:ascii="Arial" w:hAnsi="Arial" w:cs="Arial"/>
                <w:sz w:val="16"/>
                <w:szCs w:val="16"/>
              </w:rPr>
              <w:t>137.186.230</w:t>
            </w:r>
          </w:p>
        </w:tc>
        <w:tc>
          <w:tcPr>
            <w:tcW w:w="834" w:type="pct"/>
            <w:vAlign w:val="bottom"/>
          </w:tcPr>
          <w:p w14:paraId="603E494F" w14:textId="5BE8909B" w:rsidR="003B6D95" w:rsidRPr="004A28A1" w:rsidRDefault="003B6D95" w:rsidP="003B6D95">
            <w:pPr>
              <w:tabs>
                <w:tab w:val="left" w:pos="142"/>
              </w:tabs>
              <w:jc w:val="right"/>
              <w:rPr>
                <w:rFonts w:ascii="Arial" w:hAnsi="Arial" w:cs="Arial"/>
                <w:sz w:val="16"/>
                <w:szCs w:val="16"/>
              </w:rPr>
            </w:pPr>
            <w:r w:rsidRPr="004A28A1">
              <w:rPr>
                <w:rFonts w:ascii="Arial" w:hAnsi="Arial" w:cs="Arial"/>
                <w:sz w:val="16"/>
                <w:szCs w:val="16"/>
              </w:rPr>
              <w:t>90.765.757</w:t>
            </w:r>
          </w:p>
        </w:tc>
      </w:tr>
      <w:tr w:rsidR="003B6D95" w:rsidRPr="00DC6200" w14:paraId="41C3067D" w14:textId="508F4100" w:rsidTr="006E1AF7">
        <w:tc>
          <w:tcPr>
            <w:tcW w:w="2354" w:type="pct"/>
            <w:tcMar>
              <w:left w:w="108" w:type="dxa"/>
              <w:right w:w="108" w:type="dxa"/>
            </w:tcMar>
            <w:vAlign w:val="bottom"/>
          </w:tcPr>
          <w:p w14:paraId="1FB2D6A8" w14:textId="77777777" w:rsidR="003B6D95" w:rsidRPr="00F13171" w:rsidRDefault="003B6D95" w:rsidP="003B6D95">
            <w:pPr>
              <w:tabs>
                <w:tab w:val="left" w:pos="142"/>
              </w:tabs>
              <w:jc w:val="both"/>
              <w:rPr>
                <w:rFonts w:ascii="Arial" w:hAnsi="Arial" w:cs="Arial"/>
                <w:sz w:val="16"/>
                <w:szCs w:val="16"/>
              </w:rPr>
            </w:pPr>
            <w:r w:rsidRPr="00F13171">
              <w:rPr>
                <w:rFonts w:ascii="Arial" w:hAnsi="Arial" w:cs="Arial"/>
                <w:sz w:val="16"/>
                <w:szCs w:val="16"/>
              </w:rPr>
              <w:t>Pasivo</w:t>
            </w:r>
          </w:p>
        </w:tc>
        <w:tc>
          <w:tcPr>
            <w:tcW w:w="945" w:type="pct"/>
            <w:tcMar>
              <w:left w:w="108" w:type="dxa"/>
              <w:right w:w="108" w:type="dxa"/>
            </w:tcMar>
            <w:vAlign w:val="bottom"/>
          </w:tcPr>
          <w:p w14:paraId="2AE1BA3B" w14:textId="3C7E80F1"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124.035.899</w:t>
            </w:r>
          </w:p>
        </w:tc>
        <w:tc>
          <w:tcPr>
            <w:tcW w:w="867" w:type="pct"/>
            <w:vAlign w:val="bottom"/>
          </w:tcPr>
          <w:p w14:paraId="30B2430D" w14:textId="24FD42CC" w:rsidR="003B6D95" w:rsidRPr="004A28A1" w:rsidRDefault="003B6D95" w:rsidP="003B6D95">
            <w:pPr>
              <w:tabs>
                <w:tab w:val="left" w:pos="142"/>
              </w:tabs>
              <w:jc w:val="right"/>
              <w:rPr>
                <w:rFonts w:ascii="Arial" w:hAnsi="Arial" w:cs="Arial"/>
                <w:sz w:val="16"/>
                <w:szCs w:val="16"/>
                <w:lang w:val="es-MX"/>
              </w:rPr>
            </w:pPr>
            <w:r w:rsidRPr="004A28A1">
              <w:rPr>
                <w:rFonts w:ascii="Arial" w:hAnsi="Arial" w:cs="Arial"/>
                <w:sz w:val="16"/>
                <w:szCs w:val="16"/>
              </w:rPr>
              <w:t>123.937.</w:t>
            </w:r>
            <w:r w:rsidR="00965574" w:rsidRPr="004A28A1">
              <w:rPr>
                <w:rFonts w:ascii="Arial" w:hAnsi="Arial" w:cs="Arial"/>
                <w:sz w:val="16"/>
                <w:szCs w:val="16"/>
              </w:rPr>
              <w:t>70</w:t>
            </w:r>
            <w:r w:rsidR="00965574">
              <w:rPr>
                <w:rFonts w:ascii="Arial" w:hAnsi="Arial" w:cs="Arial"/>
                <w:sz w:val="16"/>
                <w:szCs w:val="16"/>
              </w:rPr>
              <w:t>3</w:t>
            </w:r>
          </w:p>
        </w:tc>
        <w:tc>
          <w:tcPr>
            <w:tcW w:w="834" w:type="pct"/>
            <w:vAlign w:val="bottom"/>
          </w:tcPr>
          <w:p w14:paraId="22BD8D05" w14:textId="4495E519" w:rsidR="003B6D95" w:rsidRPr="004A28A1" w:rsidRDefault="003B6D95" w:rsidP="003B6D95">
            <w:pPr>
              <w:tabs>
                <w:tab w:val="left" w:pos="142"/>
              </w:tabs>
              <w:jc w:val="right"/>
              <w:rPr>
                <w:rFonts w:ascii="Arial" w:hAnsi="Arial" w:cs="Arial"/>
                <w:sz w:val="16"/>
                <w:szCs w:val="16"/>
              </w:rPr>
            </w:pPr>
            <w:r w:rsidRPr="004A28A1">
              <w:rPr>
                <w:rFonts w:ascii="Arial" w:hAnsi="Arial" w:cs="Arial"/>
                <w:sz w:val="16"/>
                <w:szCs w:val="16"/>
              </w:rPr>
              <w:t>81.339.158</w:t>
            </w:r>
          </w:p>
        </w:tc>
      </w:tr>
      <w:tr w:rsidR="003B6D95" w:rsidRPr="00DC6200" w14:paraId="022FBBF7" w14:textId="5CD7C17F" w:rsidTr="006E1AF7">
        <w:tc>
          <w:tcPr>
            <w:tcW w:w="2354" w:type="pct"/>
            <w:tcMar>
              <w:left w:w="108" w:type="dxa"/>
              <w:right w:w="108" w:type="dxa"/>
            </w:tcMar>
            <w:vAlign w:val="bottom"/>
          </w:tcPr>
          <w:p w14:paraId="71DCCF29" w14:textId="77777777" w:rsidR="003B6D95" w:rsidRPr="00F13171" w:rsidRDefault="003B6D95" w:rsidP="003B6D95">
            <w:pPr>
              <w:tabs>
                <w:tab w:val="left" w:pos="142"/>
              </w:tabs>
              <w:jc w:val="both"/>
              <w:rPr>
                <w:rFonts w:ascii="Arial" w:hAnsi="Arial" w:cs="Arial"/>
                <w:sz w:val="16"/>
                <w:szCs w:val="16"/>
              </w:rPr>
            </w:pPr>
            <w:r w:rsidRPr="00F13171">
              <w:rPr>
                <w:rFonts w:ascii="Arial" w:hAnsi="Arial" w:cs="Arial"/>
                <w:sz w:val="16"/>
                <w:szCs w:val="16"/>
              </w:rPr>
              <w:t>Pat. Neto atribuible a partip.  controladora</w:t>
            </w:r>
          </w:p>
        </w:tc>
        <w:tc>
          <w:tcPr>
            <w:tcW w:w="945" w:type="pct"/>
            <w:tcMar>
              <w:left w:w="108" w:type="dxa"/>
              <w:right w:w="108" w:type="dxa"/>
            </w:tcMar>
            <w:vAlign w:val="bottom"/>
          </w:tcPr>
          <w:p w14:paraId="3F044B5C" w14:textId="5C256D33"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17.437.127</w:t>
            </w:r>
          </w:p>
        </w:tc>
        <w:tc>
          <w:tcPr>
            <w:tcW w:w="867" w:type="pct"/>
            <w:vAlign w:val="bottom"/>
          </w:tcPr>
          <w:p w14:paraId="22CBDED1" w14:textId="22F84CC6" w:rsidR="003B6D95" w:rsidRPr="004A28A1" w:rsidRDefault="003B6D95" w:rsidP="003B6D95">
            <w:pPr>
              <w:tabs>
                <w:tab w:val="left" w:pos="142"/>
              </w:tabs>
              <w:jc w:val="right"/>
              <w:rPr>
                <w:rFonts w:ascii="Arial" w:hAnsi="Arial" w:cs="Arial"/>
                <w:sz w:val="16"/>
                <w:szCs w:val="16"/>
                <w:lang w:val="es-MX"/>
              </w:rPr>
            </w:pPr>
            <w:r w:rsidRPr="004A28A1">
              <w:rPr>
                <w:rFonts w:ascii="Arial" w:hAnsi="Arial" w:cs="Arial"/>
                <w:sz w:val="16"/>
                <w:szCs w:val="16"/>
              </w:rPr>
              <w:t>13.185.4</w:t>
            </w:r>
            <w:r w:rsidR="00965574">
              <w:rPr>
                <w:rFonts w:ascii="Arial" w:hAnsi="Arial" w:cs="Arial"/>
                <w:sz w:val="16"/>
                <w:szCs w:val="16"/>
              </w:rPr>
              <w:t>79</w:t>
            </w:r>
          </w:p>
        </w:tc>
        <w:tc>
          <w:tcPr>
            <w:tcW w:w="834" w:type="pct"/>
            <w:vAlign w:val="bottom"/>
          </w:tcPr>
          <w:p w14:paraId="5C270651" w14:textId="6C7E1160" w:rsidR="003B6D95" w:rsidRPr="004A28A1" w:rsidRDefault="003B6D95" w:rsidP="003B6D95">
            <w:pPr>
              <w:tabs>
                <w:tab w:val="left" w:pos="142"/>
              </w:tabs>
              <w:jc w:val="right"/>
              <w:rPr>
                <w:rFonts w:ascii="Arial" w:hAnsi="Arial" w:cs="Arial"/>
                <w:sz w:val="16"/>
                <w:szCs w:val="16"/>
              </w:rPr>
            </w:pPr>
            <w:r w:rsidRPr="004A28A1">
              <w:rPr>
                <w:rFonts w:ascii="Arial" w:hAnsi="Arial" w:cs="Arial"/>
                <w:sz w:val="16"/>
                <w:szCs w:val="16"/>
              </w:rPr>
              <w:t>9.211.826</w:t>
            </w:r>
          </w:p>
        </w:tc>
      </w:tr>
      <w:tr w:rsidR="003B6D95" w:rsidRPr="00DC6200" w14:paraId="1BE4F382" w14:textId="602A41D1" w:rsidTr="006E1AF7">
        <w:tc>
          <w:tcPr>
            <w:tcW w:w="2354" w:type="pct"/>
            <w:tcMar>
              <w:left w:w="108" w:type="dxa"/>
              <w:right w:w="108" w:type="dxa"/>
            </w:tcMar>
            <w:vAlign w:val="bottom"/>
          </w:tcPr>
          <w:p w14:paraId="7C4AA381" w14:textId="77777777" w:rsidR="003B6D95" w:rsidRPr="00F13171" w:rsidRDefault="003B6D95" w:rsidP="003B6D95">
            <w:pPr>
              <w:tabs>
                <w:tab w:val="left" w:pos="142"/>
              </w:tabs>
              <w:jc w:val="both"/>
              <w:rPr>
                <w:rFonts w:ascii="Arial" w:hAnsi="Arial" w:cs="Arial"/>
                <w:sz w:val="16"/>
                <w:szCs w:val="16"/>
              </w:rPr>
            </w:pPr>
            <w:r w:rsidRPr="00F13171">
              <w:rPr>
                <w:rFonts w:ascii="Arial" w:hAnsi="Arial" w:cs="Arial"/>
                <w:sz w:val="16"/>
                <w:szCs w:val="16"/>
              </w:rPr>
              <w:t>Pat. Neto atribuible a partip. no controladora</w:t>
            </w:r>
          </w:p>
        </w:tc>
        <w:tc>
          <w:tcPr>
            <w:tcW w:w="945" w:type="pct"/>
            <w:tcMar>
              <w:left w:w="108" w:type="dxa"/>
              <w:right w:w="108" w:type="dxa"/>
            </w:tcMar>
            <w:vAlign w:val="bottom"/>
          </w:tcPr>
          <w:p w14:paraId="566F9595" w14:textId="22DB1A97"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125.955</w:t>
            </w:r>
          </w:p>
        </w:tc>
        <w:tc>
          <w:tcPr>
            <w:tcW w:w="867" w:type="pct"/>
            <w:vAlign w:val="bottom"/>
          </w:tcPr>
          <w:p w14:paraId="11CA6081" w14:textId="048A2AF0" w:rsidR="003B6D95" w:rsidRPr="004A28A1" w:rsidRDefault="003B6D95" w:rsidP="003B6D95">
            <w:pPr>
              <w:tabs>
                <w:tab w:val="left" w:pos="142"/>
              </w:tabs>
              <w:jc w:val="right"/>
              <w:rPr>
                <w:rFonts w:ascii="Arial" w:hAnsi="Arial" w:cs="Arial"/>
                <w:sz w:val="16"/>
                <w:szCs w:val="16"/>
                <w:lang w:val="es-MX"/>
              </w:rPr>
            </w:pPr>
            <w:r w:rsidRPr="004A28A1">
              <w:rPr>
                <w:rFonts w:ascii="Arial" w:hAnsi="Arial" w:cs="Arial"/>
                <w:sz w:val="16"/>
                <w:szCs w:val="16"/>
              </w:rPr>
              <w:t>63.044</w:t>
            </w:r>
          </w:p>
        </w:tc>
        <w:tc>
          <w:tcPr>
            <w:tcW w:w="834" w:type="pct"/>
            <w:vAlign w:val="bottom"/>
          </w:tcPr>
          <w:p w14:paraId="502BDA72" w14:textId="1A3FD8F0" w:rsidR="003B6D95" w:rsidRPr="004A28A1" w:rsidRDefault="003B6D95" w:rsidP="003B6D95">
            <w:pPr>
              <w:tabs>
                <w:tab w:val="left" w:pos="142"/>
              </w:tabs>
              <w:jc w:val="right"/>
              <w:rPr>
                <w:rFonts w:ascii="Arial" w:hAnsi="Arial" w:cs="Arial"/>
                <w:sz w:val="16"/>
                <w:szCs w:val="16"/>
              </w:rPr>
            </w:pPr>
            <w:r w:rsidRPr="004A28A1">
              <w:rPr>
                <w:rFonts w:ascii="Arial" w:hAnsi="Arial" w:cs="Arial"/>
                <w:sz w:val="16"/>
                <w:szCs w:val="16"/>
              </w:rPr>
              <w:t>214.773</w:t>
            </w:r>
          </w:p>
        </w:tc>
      </w:tr>
      <w:tr w:rsidR="003B6D95" w:rsidRPr="00DC6200" w14:paraId="39AE58C8" w14:textId="3D683A5B" w:rsidTr="006E1AF7">
        <w:tc>
          <w:tcPr>
            <w:tcW w:w="2354" w:type="pct"/>
            <w:tcMar>
              <w:left w:w="108" w:type="dxa"/>
              <w:right w:w="108" w:type="dxa"/>
            </w:tcMar>
            <w:vAlign w:val="bottom"/>
          </w:tcPr>
          <w:p w14:paraId="395E7002" w14:textId="77777777" w:rsidR="003B6D95" w:rsidRPr="00F13171" w:rsidRDefault="003B6D95" w:rsidP="003B6D95">
            <w:pPr>
              <w:tabs>
                <w:tab w:val="left" w:pos="142"/>
              </w:tabs>
              <w:jc w:val="both"/>
              <w:rPr>
                <w:rFonts w:ascii="Arial" w:hAnsi="Arial" w:cs="Arial"/>
                <w:sz w:val="16"/>
                <w:szCs w:val="16"/>
              </w:rPr>
            </w:pPr>
            <w:r w:rsidRPr="00F13171">
              <w:rPr>
                <w:rFonts w:ascii="Arial" w:hAnsi="Arial" w:cs="Arial"/>
                <w:sz w:val="16"/>
                <w:szCs w:val="16"/>
              </w:rPr>
              <w:t>Patrimonio Neto</w:t>
            </w:r>
          </w:p>
        </w:tc>
        <w:tc>
          <w:tcPr>
            <w:tcW w:w="945" w:type="pct"/>
            <w:tcMar>
              <w:left w:w="108" w:type="dxa"/>
              <w:right w:w="108" w:type="dxa"/>
            </w:tcMar>
            <w:vAlign w:val="bottom"/>
          </w:tcPr>
          <w:p w14:paraId="76FBD5E3" w14:textId="4A97DD42"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17.563.082</w:t>
            </w:r>
          </w:p>
        </w:tc>
        <w:tc>
          <w:tcPr>
            <w:tcW w:w="867" w:type="pct"/>
            <w:vAlign w:val="bottom"/>
          </w:tcPr>
          <w:p w14:paraId="36496B83" w14:textId="2AA61868" w:rsidR="003B6D95" w:rsidRPr="004A28A1" w:rsidRDefault="003B6D95" w:rsidP="003B6D95">
            <w:pPr>
              <w:tabs>
                <w:tab w:val="left" w:pos="142"/>
              </w:tabs>
              <w:jc w:val="right"/>
              <w:rPr>
                <w:rFonts w:ascii="Arial" w:hAnsi="Arial" w:cs="Arial"/>
                <w:sz w:val="16"/>
                <w:szCs w:val="16"/>
                <w:lang w:val="es-MX"/>
              </w:rPr>
            </w:pPr>
            <w:r w:rsidRPr="004A28A1">
              <w:rPr>
                <w:rFonts w:ascii="Arial" w:hAnsi="Arial" w:cs="Arial"/>
                <w:sz w:val="16"/>
                <w:szCs w:val="16"/>
              </w:rPr>
              <w:t>13.248.</w:t>
            </w:r>
            <w:r w:rsidR="00965574" w:rsidRPr="004A28A1">
              <w:rPr>
                <w:rFonts w:ascii="Arial" w:hAnsi="Arial" w:cs="Arial"/>
                <w:sz w:val="16"/>
                <w:szCs w:val="16"/>
              </w:rPr>
              <w:t>52</w:t>
            </w:r>
            <w:r w:rsidR="00965574">
              <w:rPr>
                <w:rFonts w:ascii="Arial" w:hAnsi="Arial" w:cs="Arial"/>
                <w:sz w:val="16"/>
                <w:szCs w:val="16"/>
              </w:rPr>
              <w:t>3</w:t>
            </w:r>
          </w:p>
        </w:tc>
        <w:tc>
          <w:tcPr>
            <w:tcW w:w="834" w:type="pct"/>
            <w:vAlign w:val="bottom"/>
          </w:tcPr>
          <w:p w14:paraId="629380F6" w14:textId="64B9126C" w:rsidR="003B6D95" w:rsidRPr="004A28A1" w:rsidRDefault="003B6D95" w:rsidP="003B6D95">
            <w:pPr>
              <w:tabs>
                <w:tab w:val="left" w:pos="142"/>
              </w:tabs>
              <w:jc w:val="right"/>
              <w:rPr>
                <w:rFonts w:ascii="Arial" w:hAnsi="Arial" w:cs="Arial"/>
                <w:sz w:val="16"/>
                <w:szCs w:val="16"/>
              </w:rPr>
            </w:pPr>
            <w:r w:rsidRPr="004A28A1">
              <w:rPr>
                <w:rFonts w:ascii="Arial" w:hAnsi="Arial" w:cs="Arial"/>
                <w:sz w:val="16"/>
                <w:szCs w:val="16"/>
              </w:rPr>
              <w:t>9.426.599</w:t>
            </w:r>
          </w:p>
        </w:tc>
      </w:tr>
      <w:tr w:rsidR="003B6D95" w:rsidRPr="00DC6200" w14:paraId="20FEC255" w14:textId="4FC73748" w:rsidTr="006E1AF7">
        <w:tc>
          <w:tcPr>
            <w:tcW w:w="2354" w:type="pct"/>
            <w:tcMar>
              <w:left w:w="108" w:type="dxa"/>
              <w:right w:w="108" w:type="dxa"/>
            </w:tcMar>
            <w:vAlign w:val="bottom"/>
          </w:tcPr>
          <w:p w14:paraId="7090C27A" w14:textId="77777777" w:rsidR="003B6D95" w:rsidRPr="00F13171" w:rsidRDefault="003B6D95" w:rsidP="003B6D95">
            <w:pPr>
              <w:tabs>
                <w:tab w:val="left" w:pos="142"/>
              </w:tabs>
              <w:jc w:val="both"/>
              <w:rPr>
                <w:rFonts w:ascii="Arial" w:hAnsi="Arial" w:cs="Arial"/>
                <w:b/>
                <w:sz w:val="16"/>
                <w:szCs w:val="16"/>
              </w:rPr>
            </w:pPr>
            <w:r w:rsidRPr="00F13171">
              <w:rPr>
                <w:rFonts w:ascii="Arial" w:hAnsi="Arial" w:cs="Arial"/>
                <w:sz w:val="16"/>
                <w:szCs w:val="16"/>
              </w:rPr>
              <w:t>Total del Pasivo más Patrimonio Neto</w:t>
            </w:r>
          </w:p>
        </w:tc>
        <w:tc>
          <w:tcPr>
            <w:tcW w:w="945" w:type="pct"/>
            <w:tcMar>
              <w:left w:w="108" w:type="dxa"/>
              <w:right w:w="108" w:type="dxa"/>
            </w:tcMar>
            <w:vAlign w:val="bottom"/>
          </w:tcPr>
          <w:p w14:paraId="7C81A9A5" w14:textId="3F1014FA"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141.598.981</w:t>
            </w:r>
          </w:p>
        </w:tc>
        <w:tc>
          <w:tcPr>
            <w:tcW w:w="867" w:type="pct"/>
            <w:vAlign w:val="bottom"/>
          </w:tcPr>
          <w:p w14:paraId="15560B5E" w14:textId="12AE2D72" w:rsidR="003B6D95" w:rsidRPr="004A28A1" w:rsidRDefault="003B6D95" w:rsidP="003B6D95">
            <w:pPr>
              <w:tabs>
                <w:tab w:val="left" w:pos="142"/>
              </w:tabs>
              <w:jc w:val="right"/>
              <w:rPr>
                <w:rFonts w:ascii="Arial" w:hAnsi="Arial" w:cs="Arial"/>
                <w:sz w:val="16"/>
                <w:szCs w:val="16"/>
                <w:lang w:val="es-MX"/>
              </w:rPr>
            </w:pPr>
            <w:r w:rsidRPr="004A28A1">
              <w:rPr>
                <w:rFonts w:ascii="Arial" w:hAnsi="Arial" w:cs="Arial"/>
                <w:sz w:val="16"/>
                <w:szCs w:val="16"/>
              </w:rPr>
              <w:t>137.186.230</w:t>
            </w:r>
          </w:p>
        </w:tc>
        <w:tc>
          <w:tcPr>
            <w:tcW w:w="834" w:type="pct"/>
            <w:vAlign w:val="bottom"/>
          </w:tcPr>
          <w:p w14:paraId="28A09DCC" w14:textId="37D5C08A" w:rsidR="003B6D95" w:rsidRPr="004A28A1" w:rsidRDefault="003B6D95" w:rsidP="003B6D95">
            <w:pPr>
              <w:tabs>
                <w:tab w:val="left" w:pos="142"/>
              </w:tabs>
              <w:jc w:val="right"/>
              <w:rPr>
                <w:rFonts w:ascii="Arial" w:hAnsi="Arial" w:cs="Arial"/>
                <w:sz w:val="16"/>
                <w:szCs w:val="16"/>
              </w:rPr>
            </w:pPr>
            <w:r w:rsidRPr="004A28A1">
              <w:rPr>
                <w:rFonts w:ascii="Arial" w:hAnsi="Arial" w:cs="Arial"/>
                <w:sz w:val="16"/>
                <w:szCs w:val="16"/>
              </w:rPr>
              <w:t>90.765.757</w:t>
            </w:r>
          </w:p>
        </w:tc>
      </w:tr>
    </w:tbl>
    <w:p w14:paraId="784373AE" w14:textId="77777777" w:rsidR="00B87D37" w:rsidRPr="00DC6200" w:rsidRDefault="00B87D37" w:rsidP="00B87D37">
      <w:pPr>
        <w:tabs>
          <w:tab w:val="left" w:pos="142"/>
        </w:tabs>
        <w:jc w:val="both"/>
        <w:rPr>
          <w:rFonts w:ascii="Arial" w:hAnsi="Arial" w:cs="Arial"/>
          <w:sz w:val="20"/>
          <w:u w:val="single"/>
        </w:rPr>
      </w:pPr>
    </w:p>
    <w:p w14:paraId="4EB9D5B1" w14:textId="075893FD" w:rsidR="00B87D37" w:rsidRPr="00DC6200" w:rsidRDefault="00B87D37" w:rsidP="00B87D37">
      <w:pPr>
        <w:tabs>
          <w:tab w:val="left" w:pos="142"/>
          <w:tab w:val="left" w:pos="426"/>
        </w:tabs>
        <w:jc w:val="both"/>
        <w:rPr>
          <w:rFonts w:ascii="Arial" w:hAnsi="Arial" w:cs="Arial"/>
          <w:sz w:val="20"/>
          <w:u w:val="single"/>
        </w:rPr>
      </w:pPr>
      <w:r w:rsidRPr="00DC6200">
        <w:rPr>
          <w:rFonts w:ascii="Arial" w:hAnsi="Arial" w:cs="Arial"/>
          <w:sz w:val="20"/>
          <w:u w:val="single"/>
        </w:rPr>
        <w:t>Estructura de Resultados</w:t>
      </w:r>
    </w:p>
    <w:p w14:paraId="4A47CE54" w14:textId="77777777" w:rsidR="00B87D37" w:rsidRPr="00DC6200" w:rsidRDefault="00B87D37" w:rsidP="00B87D37">
      <w:pPr>
        <w:tabs>
          <w:tab w:val="left" w:pos="142"/>
          <w:tab w:val="left" w:pos="426"/>
        </w:tabs>
        <w:jc w:val="both"/>
        <w:rPr>
          <w:rFonts w:ascii="Arial" w:hAnsi="Arial" w:cs="Arial"/>
          <w:sz w:val="20"/>
          <w:u w:val="single"/>
        </w:rPr>
      </w:pPr>
    </w:p>
    <w:tbl>
      <w:tblPr>
        <w:tblW w:w="5311" w:type="pct"/>
        <w:tblBorders>
          <w:top w:val="single" w:sz="4" w:space="0" w:color="363639"/>
          <w:left w:val="single" w:sz="4" w:space="0" w:color="363639"/>
          <w:bottom w:val="single" w:sz="4" w:space="0" w:color="363639"/>
          <w:right w:val="single" w:sz="4" w:space="0" w:color="363639"/>
          <w:insideH w:val="single" w:sz="4" w:space="0" w:color="363639"/>
          <w:insideV w:val="single" w:sz="4" w:space="0" w:color="363639"/>
        </w:tblBorders>
        <w:tblLayout w:type="fixed"/>
        <w:tblCellMar>
          <w:left w:w="30" w:type="dxa"/>
          <w:right w:w="30" w:type="dxa"/>
        </w:tblCellMar>
        <w:tblLook w:val="0000" w:firstRow="0" w:lastRow="0" w:firstColumn="0" w:lastColumn="0" w:noHBand="0" w:noVBand="0"/>
      </w:tblPr>
      <w:tblGrid>
        <w:gridCol w:w="4361"/>
        <w:gridCol w:w="1702"/>
        <w:gridCol w:w="1557"/>
        <w:gridCol w:w="1561"/>
      </w:tblGrid>
      <w:tr w:rsidR="00C17D99" w:rsidRPr="00F13171" w14:paraId="48B28A08" w14:textId="623D0441" w:rsidTr="00066653">
        <w:trPr>
          <w:trHeight w:val="291"/>
          <w:tblHeader/>
        </w:trPr>
        <w:tc>
          <w:tcPr>
            <w:tcW w:w="2375" w:type="pct"/>
            <w:tcMar>
              <w:left w:w="108" w:type="dxa"/>
              <w:right w:w="108" w:type="dxa"/>
            </w:tcMar>
            <w:vAlign w:val="center"/>
          </w:tcPr>
          <w:p w14:paraId="3FC33CFD" w14:textId="77777777" w:rsidR="00C17D99" w:rsidRPr="00F13171" w:rsidRDefault="00C17D99" w:rsidP="00C17D99">
            <w:pPr>
              <w:tabs>
                <w:tab w:val="left" w:pos="142"/>
              </w:tabs>
              <w:jc w:val="both"/>
              <w:rPr>
                <w:rFonts w:ascii="Arial" w:hAnsi="Arial" w:cs="Arial"/>
                <w:b/>
                <w:sz w:val="16"/>
                <w:szCs w:val="16"/>
              </w:rPr>
            </w:pPr>
            <w:r w:rsidRPr="00F13171">
              <w:rPr>
                <w:rFonts w:ascii="Arial" w:hAnsi="Arial" w:cs="Arial"/>
                <w:b/>
                <w:sz w:val="16"/>
                <w:szCs w:val="16"/>
              </w:rPr>
              <w:t>Concepto</w:t>
            </w:r>
          </w:p>
        </w:tc>
        <w:tc>
          <w:tcPr>
            <w:tcW w:w="927" w:type="pct"/>
            <w:tcMar>
              <w:left w:w="108" w:type="dxa"/>
              <w:right w:w="108" w:type="dxa"/>
            </w:tcMar>
            <w:vAlign w:val="center"/>
          </w:tcPr>
          <w:p w14:paraId="400792E6" w14:textId="1F7D2347" w:rsidR="00C17D99" w:rsidRPr="00F13171" w:rsidRDefault="00C17D99" w:rsidP="00C17D99">
            <w:pPr>
              <w:tabs>
                <w:tab w:val="left" w:pos="142"/>
              </w:tabs>
              <w:ind w:left="831" w:hanging="831"/>
              <w:jc w:val="center"/>
              <w:rPr>
                <w:rFonts w:ascii="Arial" w:hAnsi="Arial" w:cs="Arial"/>
                <w:b/>
                <w:sz w:val="16"/>
                <w:szCs w:val="16"/>
              </w:rPr>
            </w:pPr>
            <w:r w:rsidRPr="00F13171">
              <w:rPr>
                <w:rFonts w:ascii="Arial" w:hAnsi="Arial" w:cs="Arial"/>
                <w:b/>
                <w:sz w:val="16"/>
                <w:szCs w:val="16"/>
              </w:rPr>
              <w:t>31/12/2019</w:t>
            </w:r>
          </w:p>
        </w:tc>
        <w:tc>
          <w:tcPr>
            <w:tcW w:w="848" w:type="pct"/>
            <w:vAlign w:val="center"/>
          </w:tcPr>
          <w:p w14:paraId="7D9B44FD" w14:textId="62755BB1" w:rsidR="00C17D99" w:rsidRPr="00F13171" w:rsidRDefault="00C17D99" w:rsidP="00C17D99">
            <w:pPr>
              <w:ind w:left="831" w:hanging="831"/>
              <w:jc w:val="center"/>
              <w:rPr>
                <w:rFonts w:ascii="Arial" w:hAnsi="Arial" w:cs="Arial"/>
                <w:b/>
                <w:sz w:val="16"/>
                <w:szCs w:val="16"/>
              </w:rPr>
            </w:pPr>
            <w:r w:rsidRPr="00F13171">
              <w:rPr>
                <w:rFonts w:ascii="Arial" w:hAnsi="Arial" w:cs="Arial"/>
                <w:b/>
                <w:sz w:val="16"/>
                <w:szCs w:val="16"/>
              </w:rPr>
              <w:t>31/12/2018</w:t>
            </w:r>
          </w:p>
        </w:tc>
        <w:tc>
          <w:tcPr>
            <w:tcW w:w="850" w:type="pct"/>
            <w:vAlign w:val="center"/>
          </w:tcPr>
          <w:p w14:paraId="59D92E84" w14:textId="2BF2DBB6" w:rsidR="00C17D99" w:rsidRPr="00F13171" w:rsidRDefault="00C17D99" w:rsidP="00C17D99">
            <w:pPr>
              <w:ind w:left="831" w:hanging="831"/>
              <w:jc w:val="center"/>
              <w:rPr>
                <w:rFonts w:ascii="Arial" w:hAnsi="Arial" w:cs="Arial"/>
                <w:b/>
                <w:sz w:val="16"/>
                <w:szCs w:val="16"/>
              </w:rPr>
            </w:pPr>
            <w:r w:rsidRPr="00F13171">
              <w:rPr>
                <w:rFonts w:ascii="Arial" w:hAnsi="Arial" w:cs="Arial"/>
                <w:b/>
                <w:sz w:val="16"/>
                <w:szCs w:val="16"/>
              </w:rPr>
              <w:t>31/12/2017</w:t>
            </w:r>
          </w:p>
        </w:tc>
      </w:tr>
      <w:tr w:rsidR="003B6D95" w:rsidRPr="00F13171" w14:paraId="74CFE8AF" w14:textId="7BDA7649" w:rsidTr="00CB2B12">
        <w:trPr>
          <w:trHeight w:val="215"/>
        </w:trPr>
        <w:tc>
          <w:tcPr>
            <w:tcW w:w="2375" w:type="pct"/>
            <w:tcMar>
              <w:left w:w="108" w:type="dxa"/>
              <w:right w:w="108" w:type="dxa"/>
            </w:tcMar>
            <w:vAlign w:val="center"/>
          </w:tcPr>
          <w:p w14:paraId="046632F2" w14:textId="77777777" w:rsidR="003B6D95" w:rsidRPr="00F13171" w:rsidRDefault="003B6D95" w:rsidP="003B6D95">
            <w:pPr>
              <w:tabs>
                <w:tab w:val="left" w:pos="142"/>
              </w:tabs>
              <w:rPr>
                <w:rFonts w:ascii="Arial" w:hAnsi="Arial" w:cs="Arial"/>
                <w:sz w:val="16"/>
                <w:szCs w:val="16"/>
              </w:rPr>
            </w:pPr>
            <w:r w:rsidRPr="00F13171">
              <w:rPr>
                <w:rFonts w:ascii="Arial" w:hAnsi="Arial" w:cs="Arial"/>
                <w:sz w:val="16"/>
                <w:szCs w:val="16"/>
                <w:lang w:val="es-MX"/>
              </w:rPr>
              <w:t>Ganancia Neta por Intereses y Comisiones</w:t>
            </w:r>
          </w:p>
        </w:tc>
        <w:tc>
          <w:tcPr>
            <w:tcW w:w="927" w:type="pct"/>
            <w:tcMar>
              <w:left w:w="108" w:type="dxa"/>
              <w:right w:w="108" w:type="dxa"/>
            </w:tcMar>
            <w:vAlign w:val="bottom"/>
          </w:tcPr>
          <w:p w14:paraId="5FBD1FD1" w14:textId="67019927"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12.240.419</w:t>
            </w:r>
          </w:p>
        </w:tc>
        <w:tc>
          <w:tcPr>
            <w:tcW w:w="848" w:type="pct"/>
            <w:vAlign w:val="bottom"/>
          </w:tcPr>
          <w:p w14:paraId="757A6DB6" w14:textId="0189506B"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12.863.702 </w:t>
            </w:r>
          </w:p>
        </w:tc>
        <w:tc>
          <w:tcPr>
            <w:tcW w:w="850" w:type="pct"/>
            <w:vAlign w:val="bottom"/>
          </w:tcPr>
          <w:p w14:paraId="06F8C3C9" w14:textId="0BDED57E"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10.799.983 </w:t>
            </w:r>
          </w:p>
        </w:tc>
      </w:tr>
      <w:tr w:rsidR="003B6D95" w:rsidRPr="00F13171" w14:paraId="0EF331A9" w14:textId="107BB3D7" w:rsidTr="00CB2B12">
        <w:trPr>
          <w:trHeight w:val="416"/>
        </w:trPr>
        <w:tc>
          <w:tcPr>
            <w:tcW w:w="2375" w:type="pct"/>
            <w:tcMar>
              <w:left w:w="108" w:type="dxa"/>
              <w:right w:w="108" w:type="dxa"/>
            </w:tcMar>
            <w:vAlign w:val="center"/>
          </w:tcPr>
          <w:p w14:paraId="671E6E4B" w14:textId="77777777" w:rsidR="003B6D95" w:rsidRPr="00F13171" w:rsidRDefault="003B6D95" w:rsidP="003B6D95">
            <w:pPr>
              <w:tabs>
                <w:tab w:val="left" w:pos="142"/>
              </w:tabs>
              <w:jc w:val="both"/>
              <w:rPr>
                <w:rFonts w:ascii="Arial" w:hAnsi="Arial" w:cs="Arial"/>
                <w:sz w:val="16"/>
                <w:szCs w:val="16"/>
              </w:rPr>
            </w:pPr>
            <w:r w:rsidRPr="00F13171">
              <w:rPr>
                <w:rFonts w:ascii="Arial" w:hAnsi="Arial" w:cs="Arial"/>
                <w:sz w:val="16"/>
                <w:szCs w:val="16"/>
              </w:rPr>
              <w:t>Otros Resultados Netos y Otros Ingresos Operativos Netos</w:t>
            </w:r>
          </w:p>
        </w:tc>
        <w:tc>
          <w:tcPr>
            <w:tcW w:w="927" w:type="pct"/>
            <w:tcMar>
              <w:left w:w="108" w:type="dxa"/>
              <w:right w:w="108" w:type="dxa"/>
            </w:tcMar>
            <w:vAlign w:val="bottom"/>
          </w:tcPr>
          <w:p w14:paraId="157A22AB" w14:textId="435D614F"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11.888.576</w:t>
            </w:r>
          </w:p>
        </w:tc>
        <w:tc>
          <w:tcPr>
            <w:tcW w:w="848" w:type="pct"/>
            <w:vAlign w:val="bottom"/>
          </w:tcPr>
          <w:p w14:paraId="0990B16C" w14:textId="659635EA"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3.387.462 </w:t>
            </w:r>
          </w:p>
        </w:tc>
        <w:tc>
          <w:tcPr>
            <w:tcW w:w="850" w:type="pct"/>
            <w:vAlign w:val="bottom"/>
          </w:tcPr>
          <w:p w14:paraId="74AEECF5" w14:textId="4E9F3656"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1.081.827 </w:t>
            </w:r>
          </w:p>
        </w:tc>
      </w:tr>
      <w:tr w:rsidR="003B6D95" w:rsidRPr="00F13171" w14:paraId="3B265C07" w14:textId="75C5797F" w:rsidTr="00CB2B12">
        <w:trPr>
          <w:trHeight w:val="215"/>
        </w:trPr>
        <w:tc>
          <w:tcPr>
            <w:tcW w:w="2375" w:type="pct"/>
            <w:tcMar>
              <w:left w:w="108" w:type="dxa"/>
              <w:right w:w="108" w:type="dxa"/>
            </w:tcMar>
            <w:vAlign w:val="center"/>
          </w:tcPr>
          <w:p w14:paraId="22C4E76E" w14:textId="77777777" w:rsidR="003B6D95" w:rsidRPr="00F13171" w:rsidRDefault="003B6D95" w:rsidP="003B6D95">
            <w:pPr>
              <w:tabs>
                <w:tab w:val="left" w:pos="142"/>
              </w:tabs>
              <w:jc w:val="both"/>
              <w:rPr>
                <w:rFonts w:ascii="Arial" w:hAnsi="Arial" w:cs="Arial"/>
                <w:sz w:val="16"/>
                <w:szCs w:val="16"/>
              </w:rPr>
            </w:pPr>
            <w:r w:rsidRPr="00F13171">
              <w:rPr>
                <w:rFonts w:ascii="Arial" w:hAnsi="Arial" w:cs="Arial"/>
                <w:sz w:val="16"/>
                <w:szCs w:val="16"/>
              </w:rPr>
              <w:t>Otras Pérdidas y Otros Gastos Operativos</w:t>
            </w:r>
          </w:p>
        </w:tc>
        <w:tc>
          <w:tcPr>
            <w:tcW w:w="927" w:type="pct"/>
            <w:tcMar>
              <w:left w:w="108" w:type="dxa"/>
              <w:right w:w="108" w:type="dxa"/>
            </w:tcMar>
            <w:vAlign w:val="bottom"/>
          </w:tcPr>
          <w:p w14:paraId="76EF21ED" w14:textId="706ADC01"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-21.934.803</w:t>
            </w:r>
          </w:p>
        </w:tc>
        <w:tc>
          <w:tcPr>
            <w:tcW w:w="848" w:type="pct"/>
            <w:vAlign w:val="bottom"/>
          </w:tcPr>
          <w:p w14:paraId="4EF57F6D" w14:textId="569617F2"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-14.190.297 </w:t>
            </w:r>
          </w:p>
        </w:tc>
        <w:tc>
          <w:tcPr>
            <w:tcW w:w="850" w:type="pct"/>
            <w:vAlign w:val="bottom"/>
          </w:tcPr>
          <w:p w14:paraId="33D2FF23" w14:textId="57217B3A"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-10.627.068 </w:t>
            </w:r>
          </w:p>
        </w:tc>
      </w:tr>
      <w:tr w:rsidR="003B6D95" w:rsidRPr="00F13171" w14:paraId="2C345B5E" w14:textId="4092C140" w:rsidTr="00CB2B12">
        <w:trPr>
          <w:trHeight w:val="215"/>
        </w:trPr>
        <w:tc>
          <w:tcPr>
            <w:tcW w:w="2375" w:type="pct"/>
            <w:tcMar>
              <w:left w:w="108" w:type="dxa"/>
              <w:right w:w="108" w:type="dxa"/>
            </w:tcMar>
            <w:vAlign w:val="center"/>
          </w:tcPr>
          <w:p w14:paraId="49A553CE" w14:textId="77777777" w:rsidR="003B6D95" w:rsidRPr="00F13171" w:rsidRDefault="003B6D95" w:rsidP="003B6D95">
            <w:pPr>
              <w:tabs>
                <w:tab w:val="left" w:pos="142"/>
              </w:tabs>
              <w:jc w:val="both"/>
              <w:rPr>
                <w:rFonts w:ascii="Arial" w:hAnsi="Arial" w:cs="Arial"/>
                <w:sz w:val="16"/>
                <w:szCs w:val="16"/>
              </w:rPr>
            </w:pPr>
            <w:r w:rsidRPr="00F13171">
              <w:rPr>
                <w:rFonts w:ascii="Arial" w:hAnsi="Arial" w:cs="Arial"/>
                <w:sz w:val="16"/>
                <w:szCs w:val="16"/>
              </w:rPr>
              <w:t xml:space="preserve">Resultado por asociadas </w:t>
            </w:r>
          </w:p>
        </w:tc>
        <w:tc>
          <w:tcPr>
            <w:tcW w:w="927" w:type="pct"/>
            <w:tcMar>
              <w:left w:w="108" w:type="dxa"/>
              <w:right w:w="108" w:type="dxa"/>
            </w:tcMar>
            <w:vAlign w:val="bottom"/>
          </w:tcPr>
          <w:p w14:paraId="668CE8D0" w14:textId="4E86F711"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-6.096</w:t>
            </w:r>
          </w:p>
        </w:tc>
        <w:tc>
          <w:tcPr>
            <w:tcW w:w="848" w:type="pct"/>
            <w:vAlign w:val="bottom"/>
          </w:tcPr>
          <w:p w14:paraId="46CC71BE" w14:textId="09557FCE"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-10.360 </w:t>
            </w:r>
          </w:p>
        </w:tc>
        <w:tc>
          <w:tcPr>
            <w:tcW w:w="850" w:type="pct"/>
            <w:vAlign w:val="bottom"/>
          </w:tcPr>
          <w:p w14:paraId="590C7E6E" w14:textId="3014B610"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3.541 </w:t>
            </w:r>
          </w:p>
        </w:tc>
      </w:tr>
      <w:tr w:rsidR="003B6D95" w:rsidRPr="00F13171" w14:paraId="5E18E2DA" w14:textId="4F5B150E" w:rsidTr="00CB2B12">
        <w:trPr>
          <w:trHeight w:val="215"/>
        </w:trPr>
        <w:tc>
          <w:tcPr>
            <w:tcW w:w="2375" w:type="pct"/>
            <w:tcMar>
              <w:left w:w="108" w:type="dxa"/>
              <w:right w:w="108" w:type="dxa"/>
            </w:tcMar>
            <w:vAlign w:val="center"/>
          </w:tcPr>
          <w:p w14:paraId="6FA1FAB7" w14:textId="77777777" w:rsidR="003B6D95" w:rsidRPr="00F13171" w:rsidRDefault="003B6D95" w:rsidP="003B6D95">
            <w:pPr>
              <w:tabs>
                <w:tab w:val="left" w:pos="142"/>
              </w:tabs>
              <w:jc w:val="both"/>
              <w:rPr>
                <w:rFonts w:ascii="Arial" w:hAnsi="Arial" w:cs="Arial"/>
                <w:sz w:val="16"/>
                <w:szCs w:val="16"/>
              </w:rPr>
            </w:pPr>
            <w:r w:rsidRPr="00F13171">
              <w:rPr>
                <w:rFonts w:ascii="Arial" w:hAnsi="Arial" w:cs="Arial"/>
                <w:sz w:val="16"/>
                <w:szCs w:val="16"/>
              </w:rPr>
              <w:t>Subtotal – Ganancia antes de impuesto a las ganancias</w:t>
            </w:r>
          </w:p>
        </w:tc>
        <w:tc>
          <w:tcPr>
            <w:tcW w:w="927" w:type="pct"/>
            <w:tcMar>
              <w:left w:w="108" w:type="dxa"/>
              <w:right w:w="108" w:type="dxa"/>
            </w:tcMar>
            <w:vAlign w:val="bottom"/>
          </w:tcPr>
          <w:p w14:paraId="341C28F4" w14:textId="2AC125D0"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2.188.096</w:t>
            </w:r>
          </w:p>
        </w:tc>
        <w:tc>
          <w:tcPr>
            <w:tcW w:w="848" w:type="pct"/>
            <w:vAlign w:val="bottom"/>
          </w:tcPr>
          <w:p w14:paraId="375BF6D4" w14:textId="05631B99"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2.050.507 </w:t>
            </w:r>
          </w:p>
        </w:tc>
        <w:tc>
          <w:tcPr>
            <w:tcW w:w="850" w:type="pct"/>
            <w:vAlign w:val="bottom"/>
          </w:tcPr>
          <w:p w14:paraId="7443A4C8" w14:textId="46266831"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1.258.283 </w:t>
            </w:r>
          </w:p>
        </w:tc>
      </w:tr>
      <w:tr w:rsidR="003B6D95" w:rsidRPr="00F13171" w14:paraId="1558AD32" w14:textId="62157FAB" w:rsidTr="00CB2B12">
        <w:trPr>
          <w:trHeight w:val="215"/>
        </w:trPr>
        <w:tc>
          <w:tcPr>
            <w:tcW w:w="2375" w:type="pct"/>
            <w:tcMar>
              <w:left w:w="108" w:type="dxa"/>
              <w:right w:w="108" w:type="dxa"/>
            </w:tcMar>
            <w:vAlign w:val="center"/>
          </w:tcPr>
          <w:p w14:paraId="7BC3BC1A" w14:textId="77777777" w:rsidR="003B6D95" w:rsidRPr="00F13171" w:rsidRDefault="003B6D95" w:rsidP="003B6D95">
            <w:pPr>
              <w:tabs>
                <w:tab w:val="left" w:pos="142"/>
              </w:tabs>
              <w:jc w:val="both"/>
              <w:rPr>
                <w:rFonts w:ascii="Arial" w:hAnsi="Arial" w:cs="Arial"/>
                <w:sz w:val="16"/>
                <w:szCs w:val="16"/>
              </w:rPr>
            </w:pPr>
            <w:r w:rsidRPr="00F13171">
              <w:rPr>
                <w:rFonts w:ascii="Arial" w:hAnsi="Arial" w:cs="Arial"/>
                <w:sz w:val="16"/>
                <w:szCs w:val="16"/>
              </w:rPr>
              <w:t>Impuesto a las Ganancias</w:t>
            </w:r>
          </w:p>
        </w:tc>
        <w:tc>
          <w:tcPr>
            <w:tcW w:w="927" w:type="pct"/>
            <w:tcMar>
              <w:left w:w="108" w:type="dxa"/>
              <w:right w:w="108" w:type="dxa"/>
            </w:tcMar>
            <w:vAlign w:val="bottom"/>
          </w:tcPr>
          <w:p w14:paraId="1F143BC4" w14:textId="4ED45FD9"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1.120.231</w:t>
            </w:r>
          </w:p>
        </w:tc>
        <w:tc>
          <w:tcPr>
            <w:tcW w:w="848" w:type="pct"/>
            <w:vAlign w:val="bottom"/>
          </w:tcPr>
          <w:p w14:paraId="66458DAA" w14:textId="760D2D21"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-387.270 </w:t>
            </w:r>
          </w:p>
        </w:tc>
        <w:tc>
          <w:tcPr>
            <w:tcW w:w="850" w:type="pct"/>
            <w:vAlign w:val="bottom"/>
          </w:tcPr>
          <w:p w14:paraId="6DCFBC6D" w14:textId="72893E9A"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-430.550 </w:t>
            </w:r>
          </w:p>
        </w:tc>
      </w:tr>
      <w:tr w:rsidR="003B6D95" w:rsidRPr="00F13171" w14:paraId="291E9C1F" w14:textId="557CA4B9" w:rsidTr="00CB2B12">
        <w:trPr>
          <w:trHeight w:val="200"/>
        </w:trPr>
        <w:tc>
          <w:tcPr>
            <w:tcW w:w="2375" w:type="pct"/>
            <w:tcMar>
              <w:left w:w="108" w:type="dxa"/>
              <w:right w:w="108" w:type="dxa"/>
            </w:tcMar>
            <w:vAlign w:val="center"/>
          </w:tcPr>
          <w:p w14:paraId="05F90300" w14:textId="77777777" w:rsidR="003B6D95" w:rsidRPr="00F13171" w:rsidRDefault="003B6D95" w:rsidP="003B6D95">
            <w:pPr>
              <w:tabs>
                <w:tab w:val="left" w:pos="142"/>
              </w:tabs>
              <w:jc w:val="both"/>
              <w:rPr>
                <w:rFonts w:ascii="Arial" w:hAnsi="Arial" w:cs="Arial"/>
                <w:b/>
                <w:sz w:val="16"/>
                <w:szCs w:val="16"/>
              </w:rPr>
            </w:pPr>
            <w:r w:rsidRPr="00F13171">
              <w:rPr>
                <w:rFonts w:ascii="Arial" w:hAnsi="Arial" w:cs="Arial"/>
                <w:sz w:val="16"/>
                <w:szCs w:val="16"/>
              </w:rPr>
              <w:t>Ganancia Neta</w:t>
            </w:r>
          </w:p>
        </w:tc>
        <w:tc>
          <w:tcPr>
            <w:tcW w:w="927" w:type="pct"/>
            <w:tcMar>
              <w:left w:w="108" w:type="dxa"/>
              <w:right w:w="108" w:type="dxa"/>
            </w:tcMar>
            <w:vAlign w:val="bottom"/>
          </w:tcPr>
          <w:p w14:paraId="3CF4D471" w14:textId="446DE604" w:rsidR="003B6D95" w:rsidRPr="003B6D95" w:rsidRDefault="003B6D95" w:rsidP="003B6D95">
            <w:pPr>
              <w:tabs>
                <w:tab w:val="left" w:pos="142"/>
              </w:tabs>
              <w:jc w:val="right"/>
              <w:rPr>
                <w:rFonts w:ascii="Arial" w:hAnsi="Arial" w:cs="Arial"/>
                <w:sz w:val="16"/>
                <w:szCs w:val="16"/>
              </w:rPr>
            </w:pPr>
            <w:r w:rsidRPr="006E1AF7">
              <w:rPr>
                <w:rFonts w:ascii="Arial" w:hAnsi="Arial" w:cs="Arial"/>
                <w:color w:val="000000"/>
                <w:sz w:val="16"/>
                <w:szCs w:val="16"/>
              </w:rPr>
              <w:t>3.308.327</w:t>
            </w:r>
          </w:p>
        </w:tc>
        <w:tc>
          <w:tcPr>
            <w:tcW w:w="848" w:type="pct"/>
            <w:vAlign w:val="bottom"/>
          </w:tcPr>
          <w:p w14:paraId="1786CACB" w14:textId="508025A9"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1.663.237 </w:t>
            </w:r>
          </w:p>
        </w:tc>
        <w:tc>
          <w:tcPr>
            <w:tcW w:w="850" w:type="pct"/>
            <w:vAlign w:val="bottom"/>
          </w:tcPr>
          <w:p w14:paraId="29C82241" w14:textId="5F31A341" w:rsidR="003B6D95" w:rsidRPr="00F13171" w:rsidRDefault="003B6D95" w:rsidP="003B6D95">
            <w:pPr>
              <w:tabs>
                <w:tab w:val="left" w:pos="142"/>
              </w:tabs>
              <w:jc w:val="right"/>
              <w:rPr>
                <w:rFonts w:ascii="Arial" w:hAnsi="Arial" w:cs="Arial"/>
                <w:sz w:val="16"/>
                <w:szCs w:val="16"/>
              </w:rPr>
            </w:pPr>
            <w:r w:rsidRPr="00F13171">
              <w:rPr>
                <w:rFonts w:ascii="Arial" w:hAnsi="Arial" w:cs="Arial"/>
                <w:sz w:val="16"/>
                <w:szCs w:val="16"/>
              </w:rPr>
              <w:t xml:space="preserve"> 827.733 </w:t>
            </w:r>
          </w:p>
        </w:tc>
      </w:tr>
    </w:tbl>
    <w:p w14:paraId="514E7122" w14:textId="78DCD8DF" w:rsidR="00E43D1A" w:rsidRPr="00F13171" w:rsidRDefault="00E43D1A" w:rsidP="00B87D37">
      <w:pPr>
        <w:tabs>
          <w:tab w:val="left" w:pos="142"/>
          <w:tab w:val="left" w:pos="426"/>
        </w:tabs>
        <w:jc w:val="both"/>
        <w:rPr>
          <w:rFonts w:ascii="Arial" w:hAnsi="Arial" w:cs="Arial"/>
          <w:sz w:val="16"/>
          <w:szCs w:val="16"/>
        </w:rPr>
      </w:pPr>
    </w:p>
    <w:p w14:paraId="2AA54630" w14:textId="6C32043C" w:rsidR="00B87D37" w:rsidRPr="00701F32" w:rsidRDefault="00B87D37" w:rsidP="00B87D37">
      <w:pPr>
        <w:tabs>
          <w:tab w:val="left" w:pos="142"/>
          <w:tab w:val="left" w:pos="426"/>
        </w:tabs>
        <w:jc w:val="both"/>
        <w:rPr>
          <w:rFonts w:ascii="Arial" w:hAnsi="Arial" w:cs="Arial"/>
          <w:sz w:val="20"/>
          <w:u w:val="single"/>
        </w:rPr>
      </w:pPr>
      <w:r w:rsidRPr="00701F32">
        <w:rPr>
          <w:rFonts w:ascii="Arial" w:hAnsi="Arial" w:cs="Arial"/>
          <w:sz w:val="20"/>
          <w:u w:val="single"/>
        </w:rPr>
        <w:t>Estructura del Flujo de Efectivo</w:t>
      </w:r>
    </w:p>
    <w:p w14:paraId="21826E44" w14:textId="77777777" w:rsidR="00B87D37" w:rsidRPr="00701F32" w:rsidRDefault="00B87D37" w:rsidP="00B87D37">
      <w:pPr>
        <w:tabs>
          <w:tab w:val="left" w:pos="142"/>
          <w:tab w:val="left" w:pos="426"/>
        </w:tabs>
        <w:jc w:val="both"/>
        <w:rPr>
          <w:rFonts w:ascii="Arial" w:hAnsi="Arial" w:cs="Arial"/>
          <w:sz w:val="20"/>
          <w:u w:val="single"/>
        </w:rPr>
      </w:pPr>
    </w:p>
    <w:tbl>
      <w:tblPr>
        <w:tblW w:w="5311" w:type="pct"/>
        <w:tblBorders>
          <w:top w:val="single" w:sz="4" w:space="0" w:color="363639"/>
          <w:left w:val="single" w:sz="4" w:space="0" w:color="363639"/>
          <w:bottom w:val="single" w:sz="4" w:space="0" w:color="363639"/>
          <w:right w:val="single" w:sz="4" w:space="0" w:color="363639"/>
          <w:insideH w:val="single" w:sz="4" w:space="0" w:color="363639"/>
          <w:insideV w:val="single" w:sz="4" w:space="0" w:color="363639"/>
        </w:tblBorders>
        <w:tblLayout w:type="fixed"/>
        <w:tblCellMar>
          <w:left w:w="30" w:type="dxa"/>
          <w:right w:w="30" w:type="dxa"/>
        </w:tblCellMar>
        <w:tblLook w:val="0000" w:firstRow="0" w:lastRow="0" w:firstColumn="0" w:lastColumn="0" w:noHBand="0" w:noVBand="0"/>
      </w:tblPr>
      <w:tblGrid>
        <w:gridCol w:w="4361"/>
        <w:gridCol w:w="1702"/>
        <w:gridCol w:w="1557"/>
        <w:gridCol w:w="1561"/>
      </w:tblGrid>
      <w:tr w:rsidR="00C17D99" w:rsidRPr="00DC6200" w14:paraId="20A9376C" w14:textId="1E05885A" w:rsidTr="002316C2">
        <w:trPr>
          <w:trHeight w:val="215"/>
          <w:tblHeader/>
        </w:trPr>
        <w:tc>
          <w:tcPr>
            <w:tcW w:w="2375" w:type="pct"/>
            <w:tcMar>
              <w:left w:w="108" w:type="dxa"/>
              <w:right w:w="108" w:type="dxa"/>
            </w:tcMar>
            <w:vAlign w:val="center"/>
          </w:tcPr>
          <w:p w14:paraId="23CCDD7A" w14:textId="77777777" w:rsidR="00C17D99" w:rsidRPr="00F13171" w:rsidRDefault="00C17D99" w:rsidP="00C17D99">
            <w:pPr>
              <w:tabs>
                <w:tab w:val="left" w:pos="142"/>
              </w:tabs>
              <w:jc w:val="both"/>
              <w:rPr>
                <w:rFonts w:ascii="Arial" w:hAnsi="Arial" w:cs="Arial"/>
                <w:b/>
                <w:sz w:val="16"/>
                <w:szCs w:val="16"/>
              </w:rPr>
            </w:pPr>
            <w:r w:rsidRPr="00F13171">
              <w:rPr>
                <w:rFonts w:ascii="Arial" w:hAnsi="Arial" w:cs="Arial"/>
                <w:b/>
                <w:sz w:val="16"/>
                <w:szCs w:val="16"/>
              </w:rPr>
              <w:t>Concepto</w:t>
            </w:r>
          </w:p>
        </w:tc>
        <w:tc>
          <w:tcPr>
            <w:tcW w:w="927" w:type="pct"/>
            <w:tcMar>
              <w:left w:w="108" w:type="dxa"/>
              <w:right w:w="108" w:type="dxa"/>
            </w:tcMar>
            <w:vAlign w:val="center"/>
          </w:tcPr>
          <w:p w14:paraId="055962B2" w14:textId="1EBF1251" w:rsidR="00C17D99" w:rsidRPr="00F13171" w:rsidRDefault="00C17D99" w:rsidP="00C17D99">
            <w:pPr>
              <w:tabs>
                <w:tab w:val="left" w:pos="142"/>
              </w:tabs>
              <w:ind w:left="831" w:hanging="831"/>
              <w:jc w:val="center"/>
              <w:rPr>
                <w:rFonts w:ascii="Arial" w:hAnsi="Arial" w:cs="Arial"/>
                <w:b/>
                <w:sz w:val="16"/>
                <w:szCs w:val="16"/>
              </w:rPr>
            </w:pPr>
            <w:r w:rsidRPr="00F13171">
              <w:rPr>
                <w:rFonts w:ascii="Arial" w:hAnsi="Arial" w:cs="Arial"/>
                <w:b/>
                <w:sz w:val="16"/>
                <w:szCs w:val="16"/>
              </w:rPr>
              <w:t>31/12/2019</w:t>
            </w:r>
          </w:p>
        </w:tc>
        <w:tc>
          <w:tcPr>
            <w:tcW w:w="848" w:type="pct"/>
            <w:vAlign w:val="center"/>
          </w:tcPr>
          <w:p w14:paraId="512C042E" w14:textId="273A9BC6" w:rsidR="00C17D99" w:rsidRPr="00F13171" w:rsidRDefault="00C17D99" w:rsidP="00C17D99">
            <w:pPr>
              <w:tabs>
                <w:tab w:val="left" w:pos="142"/>
              </w:tabs>
              <w:ind w:left="831" w:hanging="831"/>
              <w:jc w:val="center"/>
              <w:rPr>
                <w:rFonts w:ascii="Arial" w:hAnsi="Arial" w:cs="Arial"/>
                <w:b/>
                <w:sz w:val="16"/>
                <w:szCs w:val="16"/>
              </w:rPr>
            </w:pPr>
            <w:r w:rsidRPr="00F13171">
              <w:rPr>
                <w:rFonts w:ascii="Arial" w:hAnsi="Arial" w:cs="Arial"/>
                <w:b/>
                <w:sz w:val="16"/>
                <w:szCs w:val="16"/>
              </w:rPr>
              <w:t>31/12/2018</w:t>
            </w:r>
          </w:p>
        </w:tc>
        <w:tc>
          <w:tcPr>
            <w:tcW w:w="850" w:type="pct"/>
            <w:vAlign w:val="center"/>
          </w:tcPr>
          <w:p w14:paraId="554CA2F6" w14:textId="7CF61BF4" w:rsidR="00C17D99" w:rsidRPr="00F13171" w:rsidDel="00C471B9" w:rsidRDefault="00C17D99" w:rsidP="00C17D99">
            <w:pPr>
              <w:tabs>
                <w:tab w:val="left" w:pos="142"/>
              </w:tabs>
              <w:ind w:left="831" w:hanging="831"/>
              <w:jc w:val="center"/>
              <w:rPr>
                <w:rFonts w:ascii="Arial" w:hAnsi="Arial" w:cs="Arial"/>
                <w:b/>
                <w:sz w:val="16"/>
                <w:szCs w:val="16"/>
              </w:rPr>
            </w:pPr>
            <w:r w:rsidRPr="00F13171">
              <w:rPr>
                <w:rFonts w:ascii="Arial" w:hAnsi="Arial" w:cs="Arial"/>
                <w:b/>
                <w:sz w:val="16"/>
                <w:szCs w:val="16"/>
              </w:rPr>
              <w:t>31/12/2017</w:t>
            </w:r>
          </w:p>
        </w:tc>
      </w:tr>
      <w:tr w:rsidR="005A786D" w:rsidRPr="00DC6200" w14:paraId="5CC3FDCB" w14:textId="78148F08" w:rsidTr="006352B0">
        <w:trPr>
          <w:trHeight w:val="373"/>
        </w:trPr>
        <w:tc>
          <w:tcPr>
            <w:tcW w:w="2375" w:type="pct"/>
            <w:tcMar>
              <w:left w:w="108" w:type="dxa"/>
              <w:right w:w="108" w:type="dxa"/>
            </w:tcMar>
            <w:vAlign w:val="center"/>
          </w:tcPr>
          <w:p w14:paraId="16BFF47E" w14:textId="4B0B62E9" w:rsidR="005A786D" w:rsidRPr="00F13171" w:rsidRDefault="005A786D" w:rsidP="005A786D">
            <w:pPr>
              <w:tabs>
                <w:tab w:val="left" w:pos="142"/>
              </w:tabs>
              <w:rPr>
                <w:rFonts w:ascii="Arial" w:hAnsi="Arial" w:cs="Arial"/>
                <w:sz w:val="16"/>
                <w:szCs w:val="16"/>
              </w:rPr>
            </w:pPr>
            <w:r w:rsidRPr="00F13171">
              <w:rPr>
                <w:rFonts w:ascii="Arial" w:hAnsi="Arial" w:cs="Arial"/>
                <w:sz w:val="16"/>
                <w:szCs w:val="16"/>
                <w:lang w:val="es-MX"/>
              </w:rPr>
              <w:t>Flujo Neto de Efectivo Generado por / (Utilizado en) por las Actividades Operativas</w:t>
            </w:r>
          </w:p>
        </w:tc>
        <w:tc>
          <w:tcPr>
            <w:tcW w:w="927" w:type="pct"/>
            <w:tcMar>
              <w:left w:w="108" w:type="dxa"/>
              <w:right w:w="108" w:type="dxa"/>
            </w:tcMar>
            <w:vAlign w:val="bottom"/>
          </w:tcPr>
          <w:p w14:paraId="5D133979" w14:textId="471E0DA8" w:rsidR="005A786D" w:rsidRPr="005A786D" w:rsidRDefault="005A786D" w:rsidP="005A786D">
            <w:pPr>
              <w:tabs>
                <w:tab w:val="left" w:pos="142"/>
              </w:tabs>
              <w:jc w:val="right"/>
              <w:rPr>
                <w:rFonts w:ascii="Arial" w:hAnsi="Arial" w:cs="Arial"/>
                <w:sz w:val="16"/>
                <w:szCs w:val="16"/>
              </w:rPr>
            </w:pPr>
            <w:r w:rsidRPr="006E1AF7">
              <w:rPr>
                <w:rFonts w:ascii="Arial" w:hAnsi="Arial" w:cs="Arial"/>
                <w:color w:val="000000"/>
                <w:sz w:val="16"/>
                <w:szCs w:val="16"/>
              </w:rPr>
              <w:t>-18.882.572</w:t>
            </w:r>
          </w:p>
        </w:tc>
        <w:tc>
          <w:tcPr>
            <w:tcW w:w="848" w:type="pct"/>
            <w:vAlign w:val="bottom"/>
          </w:tcPr>
          <w:p w14:paraId="4590BD89" w14:textId="5C40E0FB" w:rsidR="005A786D" w:rsidRPr="006352B0" w:rsidRDefault="005A786D" w:rsidP="005A786D">
            <w:pPr>
              <w:tabs>
                <w:tab w:val="left" w:pos="142"/>
              </w:tabs>
              <w:jc w:val="right"/>
              <w:rPr>
                <w:rFonts w:ascii="Arial" w:hAnsi="Arial" w:cs="Arial"/>
                <w:sz w:val="16"/>
                <w:szCs w:val="16"/>
              </w:rPr>
            </w:pPr>
            <w:r>
              <w:rPr>
                <w:rFonts w:ascii="Arial" w:hAnsi="Arial" w:cs="Arial"/>
                <w:sz w:val="16"/>
                <w:szCs w:val="16"/>
              </w:rPr>
              <w:t>15.797.292</w:t>
            </w:r>
            <w:r w:rsidRPr="006352B0">
              <w:rPr>
                <w:rFonts w:ascii="Arial" w:hAnsi="Arial" w:cs="Arial"/>
                <w:sz w:val="16"/>
                <w:szCs w:val="16"/>
              </w:rPr>
              <w:t xml:space="preserve"> </w:t>
            </w:r>
          </w:p>
        </w:tc>
        <w:tc>
          <w:tcPr>
            <w:tcW w:w="850" w:type="pct"/>
            <w:vAlign w:val="bottom"/>
          </w:tcPr>
          <w:p w14:paraId="47C013AD" w14:textId="16E3F90B" w:rsidR="005A786D" w:rsidRPr="00F13171" w:rsidRDefault="005A786D" w:rsidP="005A786D">
            <w:pPr>
              <w:tabs>
                <w:tab w:val="left" w:pos="142"/>
              </w:tabs>
              <w:jc w:val="right"/>
              <w:rPr>
                <w:rFonts w:ascii="Arial" w:hAnsi="Arial" w:cs="Arial"/>
                <w:sz w:val="16"/>
                <w:szCs w:val="16"/>
              </w:rPr>
            </w:pPr>
            <w:r w:rsidRPr="006352B0">
              <w:rPr>
                <w:rFonts w:ascii="Arial" w:hAnsi="Arial" w:cs="Arial"/>
                <w:sz w:val="16"/>
                <w:szCs w:val="16"/>
              </w:rPr>
              <w:t xml:space="preserve"> 3.641.059 </w:t>
            </w:r>
          </w:p>
        </w:tc>
      </w:tr>
      <w:tr w:rsidR="005A786D" w:rsidRPr="00DC6200" w14:paraId="10B5DFF6" w14:textId="2EBFB1BC" w:rsidTr="006352B0">
        <w:trPr>
          <w:trHeight w:val="360"/>
        </w:trPr>
        <w:tc>
          <w:tcPr>
            <w:tcW w:w="2375" w:type="pct"/>
            <w:tcMar>
              <w:left w:w="108" w:type="dxa"/>
              <w:right w:w="108" w:type="dxa"/>
            </w:tcMar>
            <w:vAlign w:val="center"/>
          </w:tcPr>
          <w:p w14:paraId="65EC4A75" w14:textId="77777777" w:rsidR="005A786D" w:rsidRPr="00F13171" w:rsidRDefault="005A786D" w:rsidP="005A786D">
            <w:pPr>
              <w:tabs>
                <w:tab w:val="left" w:pos="142"/>
              </w:tabs>
              <w:jc w:val="both"/>
              <w:rPr>
                <w:rFonts w:ascii="Arial" w:hAnsi="Arial" w:cs="Arial"/>
                <w:sz w:val="16"/>
                <w:szCs w:val="16"/>
              </w:rPr>
            </w:pPr>
            <w:r w:rsidRPr="00F13171">
              <w:rPr>
                <w:rFonts w:ascii="Arial" w:hAnsi="Arial" w:cs="Arial"/>
                <w:sz w:val="16"/>
                <w:szCs w:val="16"/>
              </w:rPr>
              <w:t>Flujo Neto de Efectivo Utilizado en las Actividades de Inversión</w:t>
            </w:r>
          </w:p>
        </w:tc>
        <w:tc>
          <w:tcPr>
            <w:tcW w:w="927" w:type="pct"/>
            <w:tcMar>
              <w:left w:w="108" w:type="dxa"/>
              <w:right w:w="108" w:type="dxa"/>
            </w:tcMar>
            <w:vAlign w:val="bottom"/>
          </w:tcPr>
          <w:p w14:paraId="34F1520E" w14:textId="66FEB694" w:rsidR="005A786D" w:rsidRPr="005A786D" w:rsidRDefault="005A786D" w:rsidP="005A786D">
            <w:pPr>
              <w:tabs>
                <w:tab w:val="left" w:pos="142"/>
              </w:tabs>
              <w:jc w:val="right"/>
              <w:rPr>
                <w:rFonts w:ascii="Arial" w:hAnsi="Arial" w:cs="Arial"/>
                <w:sz w:val="16"/>
                <w:szCs w:val="16"/>
              </w:rPr>
            </w:pPr>
            <w:r w:rsidRPr="006E1AF7">
              <w:rPr>
                <w:rFonts w:ascii="Arial" w:hAnsi="Arial" w:cs="Arial"/>
                <w:color w:val="000000"/>
                <w:sz w:val="16"/>
                <w:szCs w:val="16"/>
              </w:rPr>
              <w:t>-1.674.243</w:t>
            </w:r>
          </w:p>
        </w:tc>
        <w:tc>
          <w:tcPr>
            <w:tcW w:w="848" w:type="pct"/>
            <w:vAlign w:val="bottom"/>
          </w:tcPr>
          <w:p w14:paraId="28E5BDFA" w14:textId="1E47F62D" w:rsidR="005A786D" w:rsidRPr="006352B0" w:rsidRDefault="005A786D" w:rsidP="005A786D">
            <w:pPr>
              <w:tabs>
                <w:tab w:val="left" w:pos="142"/>
              </w:tabs>
              <w:jc w:val="right"/>
              <w:rPr>
                <w:rFonts w:ascii="Arial" w:hAnsi="Arial" w:cs="Arial"/>
                <w:sz w:val="16"/>
                <w:szCs w:val="16"/>
              </w:rPr>
            </w:pPr>
            <w:r w:rsidRPr="006352B0">
              <w:rPr>
                <w:rFonts w:ascii="Arial" w:hAnsi="Arial" w:cs="Arial"/>
                <w:sz w:val="16"/>
                <w:szCs w:val="16"/>
              </w:rPr>
              <w:t xml:space="preserve"> -536.311 </w:t>
            </w:r>
          </w:p>
        </w:tc>
        <w:tc>
          <w:tcPr>
            <w:tcW w:w="850" w:type="pct"/>
            <w:vAlign w:val="bottom"/>
          </w:tcPr>
          <w:p w14:paraId="0B1243A1" w14:textId="49BBDF7C" w:rsidR="005A786D" w:rsidRPr="00F13171" w:rsidRDefault="005A786D" w:rsidP="005A786D">
            <w:pPr>
              <w:tabs>
                <w:tab w:val="left" w:pos="142"/>
              </w:tabs>
              <w:jc w:val="right"/>
              <w:rPr>
                <w:rFonts w:ascii="Arial" w:hAnsi="Arial" w:cs="Arial"/>
                <w:sz w:val="16"/>
                <w:szCs w:val="16"/>
              </w:rPr>
            </w:pPr>
            <w:r w:rsidRPr="006352B0">
              <w:rPr>
                <w:rFonts w:ascii="Arial" w:hAnsi="Arial" w:cs="Arial"/>
                <w:sz w:val="16"/>
                <w:szCs w:val="16"/>
              </w:rPr>
              <w:t xml:space="preserve"> -475.253 </w:t>
            </w:r>
          </w:p>
        </w:tc>
      </w:tr>
      <w:tr w:rsidR="005A786D" w:rsidRPr="00DC6200" w14:paraId="7C77911A" w14:textId="56B93228" w:rsidTr="006352B0">
        <w:trPr>
          <w:trHeight w:val="373"/>
        </w:trPr>
        <w:tc>
          <w:tcPr>
            <w:tcW w:w="2375" w:type="pct"/>
            <w:tcMar>
              <w:left w:w="108" w:type="dxa"/>
              <w:right w:w="108" w:type="dxa"/>
            </w:tcMar>
            <w:vAlign w:val="center"/>
          </w:tcPr>
          <w:p w14:paraId="2C5DA66D" w14:textId="40D3FB1F" w:rsidR="005A786D" w:rsidRPr="00F13171" w:rsidRDefault="005A786D" w:rsidP="005A786D">
            <w:pPr>
              <w:tabs>
                <w:tab w:val="left" w:pos="142"/>
              </w:tabs>
              <w:jc w:val="both"/>
              <w:rPr>
                <w:rFonts w:ascii="Arial" w:hAnsi="Arial" w:cs="Arial"/>
                <w:sz w:val="16"/>
                <w:szCs w:val="16"/>
              </w:rPr>
            </w:pPr>
            <w:r w:rsidRPr="00F13171">
              <w:rPr>
                <w:rFonts w:ascii="Arial" w:hAnsi="Arial" w:cs="Arial"/>
                <w:sz w:val="16"/>
                <w:szCs w:val="16"/>
              </w:rPr>
              <w:t xml:space="preserve">Flujo Neto de Efectivo Generado por </w:t>
            </w:r>
            <w:r>
              <w:rPr>
                <w:rFonts w:ascii="Arial" w:hAnsi="Arial" w:cs="Arial"/>
                <w:sz w:val="16"/>
                <w:szCs w:val="16"/>
              </w:rPr>
              <w:t xml:space="preserve">/ (Utilizado en) </w:t>
            </w:r>
            <w:r w:rsidRPr="00F13171">
              <w:rPr>
                <w:rFonts w:ascii="Arial" w:hAnsi="Arial" w:cs="Arial"/>
                <w:sz w:val="16"/>
                <w:szCs w:val="16"/>
              </w:rPr>
              <w:t>las Actividades de Financiación</w:t>
            </w:r>
          </w:p>
        </w:tc>
        <w:tc>
          <w:tcPr>
            <w:tcW w:w="927" w:type="pct"/>
            <w:tcMar>
              <w:left w:w="108" w:type="dxa"/>
              <w:right w:w="108" w:type="dxa"/>
            </w:tcMar>
            <w:vAlign w:val="bottom"/>
          </w:tcPr>
          <w:p w14:paraId="1FC67712" w14:textId="5FC68B85" w:rsidR="005A786D" w:rsidRPr="005A786D" w:rsidRDefault="005A786D" w:rsidP="005A786D">
            <w:pPr>
              <w:tabs>
                <w:tab w:val="left" w:pos="142"/>
              </w:tabs>
              <w:jc w:val="right"/>
              <w:rPr>
                <w:rFonts w:ascii="Arial" w:hAnsi="Arial" w:cs="Arial"/>
                <w:sz w:val="16"/>
                <w:szCs w:val="16"/>
              </w:rPr>
            </w:pPr>
            <w:r w:rsidRPr="006E1AF7">
              <w:rPr>
                <w:rFonts w:ascii="Arial" w:hAnsi="Arial" w:cs="Arial"/>
                <w:color w:val="000000"/>
                <w:sz w:val="16"/>
                <w:szCs w:val="16"/>
              </w:rPr>
              <w:t>-3.497.10</w:t>
            </w:r>
            <w:r w:rsidR="00103F35">
              <w:rPr>
                <w:rFonts w:ascii="Arial" w:hAnsi="Arial" w:cs="Arial"/>
                <w:color w:val="000000"/>
                <w:sz w:val="16"/>
                <w:szCs w:val="16"/>
              </w:rPr>
              <w:t>9</w:t>
            </w:r>
          </w:p>
        </w:tc>
        <w:tc>
          <w:tcPr>
            <w:tcW w:w="848" w:type="pct"/>
            <w:vAlign w:val="bottom"/>
          </w:tcPr>
          <w:p w14:paraId="1BD2AE5B" w14:textId="17A2F3B1" w:rsidR="005A786D" w:rsidRPr="006352B0" w:rsidRDefault="005A786D" w:rsidP="005A786D">
            <w:pPr>
              <w:tabs>
                <w:tab w:val="left" w:pos="142"/>
              </w:tabs>
              <w:jc w:val="right"/>
              <w:rPr>
                <w:rFonts w:ascii="Arial" w:hAnsi="Arial" w:cs="Arial"/>
                <w:sz w:val="16"/>
                <w:szCs w:val="16"/>
              </w:rPr>
            </w:pPr>
            <w:r w:rsidRPr="006352B0">
              <w:rPr>
                <w:rFonts w:ascii="Arial" w:hAnsi="Arial" w:cs="Arial"/>
                <w:sz w:val="16"/>
                <w:szCs w:val="16"/>
              </w:rPr>
              <w:t xml:space="preserve"> 6.547.176 </w:t>
            </w:r>
          </w:p>
        </w:tc>
        <w:tc>
          <w:tcPr>
            <w:tcW w:w="850" w:type="pct"/>
            <w:vAlign w:val="bottom"/>
          </w:tcPr>
          <w:p w14:paraId="19C60AFD" w14:textId="616B9D19" w:rsidR="005A786D" w:rsidRPr="00F13171" w:rsidRDefault="005A786D" w:rsidP="005A786D">
            <w:pPr>
              <w:tabs>
                <w:tab w:val="left" w:pos="142"/>
              </w:tabs>
              <w:jc w:val="right"/>
              <w:rPr>
                <w:rFonts w:ascii="Arial" w:hAnsi="Arial" w:cs="Arial"/>
                <w:sz w:val="16"/>
                <w:szCs w:val="16"/>
              </w:rPr>
            </w:pPr>
            <w:r w:rsidRPr="006352B0">
              <w:rPr>
                <w:rFonts w:ascii="Arial" w:hAnsi="Arial" w:cs="Arial"/>
                <w:sz w:val="16"/>
                <w:szCs w:val="16"/>
              </w:rPr>
              <w:t xml:space="preserve"> 10.193.998 </w:t>
            </w:r>
          </w:p>
        </w:tc>
      </w:tr>
      <w:tr w:rsidR="005A786D" w:rsidRPr="00DC6200" w14:paraId="07B2E4F3" w14:textId="5DA0594F" w:rsidTr="006352B0">
        <w:trPr>
          <w:trHeight w:val="186"/>
        </w:trPr>
        <w:tc>
          <w:tcPr>
            <w:tcW w:w="2375" w:type="pct"/>
            <w:tcMar>
              <w:left w:w="108" w:type="dxa"/>
              <w:right w:w="108" w:type="dxa"/>
            </w:tcMar>
            <w:vAlign w:val="center"/>
          </w:tcPr>
          <w:p w14:paraId="12068D8E" w14:textId="77777777" w:rsidR="005A786D" w:rsidRPr="00F13171" w:rsidRDefault="005A786D" w:rsidP="005A786D">
            <w:pPr>
              <w:tabs>
                <w:tab w:val="left" w:pos="142"/>
              </w:tabs>
              <w:jc w:val="both"/>
              <w:rPr>
                <w:rFonts w:ascii="Arial" w:hAnsi="Arial" w:cs="Arial"/>
                <w:sz w:val="16"/>
                <w:szCs w:val="16"/>
              </w:rPr>
            </w:pPr>
            <w:r w:rsidRPr="00F13171">
              <w:rPr>
                <w:rFonts w:ascii="Arial" w:hAnsi="Arial" w:cs="Arial"/>
                <w:sz w:val="16"/>
                <w:szCs w:val="16"/>
              </w:rPr>
              <w:t>Efecto de las variaciones del tipo de cambio s/ el efectivo</w:t>
            </w:r>
          </w:p>
        </w:tc>
        <w:tc>
          <w:tcPr>
            <w:tcW w:w="927" w:type="pct"/>
            <w:tcMar>
              <w:left w:w="108" w:type="dxa"/>
              <w:right w:w="108" w:type="dxa"/>
            </w:tcMar>
            <w:vAlign w:val="bottom"/>
          </w:tcPr>
          <w:p w14:paraId="207144D9" w14:textId="5EE359D0" w:rsidR="005A786D" w:rsidRPr="005A786D" w:rsidRDefault="005A786D" w:rsidP="005A786D">
            <w:pPr>
              <w:tabs>
                <w:tab w:val="left" w:pos="142"/>
              </w:tabs>
              <w:jc w:val="right"/>
              <w:rPr>
                <w:rFonts w:ascii="Arial" w:hAnsi="Arial" w:cs="Arial"/>
                <w:sz w:val="16"/>
                <w:szCs w:val="16"/>
              </w:rPr>
            </w:pPr>
            <w:r w:rsidRPr="006E1AF7">
              <w:rPr>
                <w:rFonts w:ascii="Arial" w:hAnsi="Arial" w:cs="Arial"/>
                <w:color w:val="000000"/>
                <w:sz w:val="16"/>
                <w:szCs w:val="16"/>
              </w:rPr>
              <w:t>4.913.725</w:t>
            </w:r>
          </w:p>
        </w:tc>
        <w:tc>
          <w:tcPr>
            <w:tcW w:w="848" w:type="pct"/>
            <w:vAlign w:val="bottom"/>
          </w:tcPr>
          <w:p w14:paraId="346AFE84" w14:textId="7CC0EECA" w:rsidR="005A786D" w:rsidRPr="006352B0" w:rsidRDefault="005A786D" w:rsidP="005A786D">
            <w:pPr>
              <w:tabs>
                <w:tab w:val="left" w:pos="142"/>
              </w:tabs>
              <w:jc w:val="right"/>
              <w:rPr>
                <w:rFonts w:ascii="Arial" w:hAnsi="Arial" w:cs="Arial"/>
                <w:sz w:val="16"/>
                <w:szCs w:val="16"/>
              </w:rPr>
            </w:pPr>
            <w:r w:rsidRPr="006352B0">
              <w:rPr>
                <w:rFonts w:ascii="Arial" w:hAnsi="Arial" w:cs="Arial"/>
                <w:sz w:val="16"/>
                <w:szCs w:val="16"/>
              </w:rPr>
              <w:t xml:space="preserve"> 2.024.248 </w:t>
            </w:r>
          </w:p>
        </w:tc>
        <w:tc>
          <w:tcPr>
            <w:tcW w:w="850" w:type="pct"/>
            <w:vAlign w:val="bottom"/>
          </w:tcPr>
          <w:p w14:paraId="6B8F1DE3" w14:textId="1095A436" w:rsidR="005A786D" w:rsidRPr="006352B0" w:rsidRDefault="005A786D" w:rsidP="005A786D">
            <w:pPr>
              <w:tabs>
                <w:tab w:val="left" w:pos="142"/>
              </w:tabs>
              <w:jc w:val="right"/>
              <w:rPr>
                <w:rFonts w:ascii="Arial" w:hAnsi="Arial" w:cs="Arial"/>
                <w:sz w:val="16"/>
                <w:szCs w:val="16"/>
              </w:rPr>
            </w:pPr>
            <w:r w:rsidRPr="006352B0">
              <w:rPr>
                <w:rFonts w:ascii="Arial" w:hAnsi="Arial" w:cs="Arial"/>
                <w:sz w:val="16"/>
                <w:szCs w:val="16"/>
              </w:rPr>
              <w:t xml:space="preserve"> 682.870 </w:t>
            </w:r>
          </w:p>
        </w:tc>
      </w:tr>
      <w:tr w:rsidR="005A786D" w:rsidRPr="00DC6200" w14:paraId="4FA9205A" w14:textId="6C7A86C5" w:rsidTr="006352B0">
        <w:trPr>
          <w:trHeight w:val="73"/>
        </w:trPr>
        <w:tc>
          <w:tcPr>
            <w:tcW w:w="2375" w:type="pct"/>
            <w:tcMar>
              <w:left w:w="108" w:type="dxa"/>
              <w:right w:w="108" w:type="dxa"/>
            </w:tcMar>
            <w:vAlign w:val="center"/>
          </w:tcPr>
          <w:p w14:paraId="7505ED54" w14:textId="18C23CF8" w:rsidR="005A786D" w:rsidRPr="00F13171" w:rsidRDefault="005A786D" w:rsidP="005A786D">
            <w:pPr>
              <w:tabs>
                <w:tab w:val="left" w:pos="142"/>
              </w:tabs>
              <w:jc w:val="both"/>
              <w:rPr>
                <w:rFonts w:ascii="Arial" w:hAnsi="Arial" w:cs="Arial"/>
                <w:b/>
                <w:sz w:val="16"/>
                <w:szCs w:val="16"/>
              </w:rPr>
            </w:pPr>
            <w:r w:rsidRPr="00F13171">
              <w:rPr>
                <w:rFonts w:ascii="Arial" w:hAnsi="Arial" w:cs="Arial"/>
                <w:sz w:val="16"/>
                <w:szCs w:val="16"/>
              </w:rPr>
              <w:t xml:space="preserve">Total de Fondos Generados </w:t>
            </w:r>
            <w:r>
              <w:rPr>
                <w:rFonts w:ascii="Arial" w:hAnsi="Arial" w:cs="Arial"/>
                <w:sz w:val="16"/>
                <w:szCs w:val="16"/>
              </w:rPr>
              <w:t xml:space="preserve">/ (Utilizados) </w:t>
            </w:r>
            <w:r w:rsidRPr="00F13171">
              <w:rPr>
                <w:rFonts w:ascii="Arial" w:hAnsi="Arial" w:cs="Arial"/>
                <w:sz w:val="16"/>
                <w:szCs w:val="16"/>
              </w:rPr>
              <w:t>durante el ejercicio</w:t>
            </w:r>
          </w:p>
        </w:tc>
        <w:tc>
          <w:tcPr>
            <w:tcW w:w="927" w:type="pct"/>
            <w:tcMar>
              <w:left w:w="108" w:type="dxa"/>
              <w:right w:w="108" w:type="dxa"/>
            </w:tcMar>
            <w:vAlign w:val="bottom"/>
          </w:tcPr>
          <w:p w14:paraId="7F6EB269" w14:textId="52F95B00" w:rsidR="005A786D" w:rsidRPr="005A786D" w:rsidRDefault="005A786D" w:rsidP="005A786D">
            <w:pPr>
              <w:tabs>
                <w:tab w:val="left" w:pos="142"/>
              </w:tabs>
              <w:jc w:val="right"/>
              <w:rPr>
                <w:rFonts w:ascii="Arial" w:hAnsi="Arial" w:cs="Arial"/>
                <w:sz w:val="16"/>
                <w:szCs w:val="16"/>
              </w:rPr>
            </w:pPr>
            <w:r w:rsidRPr="006E1AF7">
              <w:rPr>
                <w:rFonts w:ascii="Arial" w:hAnsi="Arial" w:cs="Arial"/>
                <w:color w:val="000000"/>
                <w:sz w:val="16"/>
                <w:szCs w:val="16"/>
              </w:rPr>
              <w:t>-19.140.199</w:t>
            </w:r>
          </w:p>
        </w:tc>
        <w:tc>
          <w:tcPr>
            <w:tcW w:w="848" w:type="pct"/>
            <w:vAlign w:val="bottom"/>
          </w:tcPr>
          <w:p w14:paraId="54BF72EF" w14:textId="7A4548F5" w:rsidR="005A786D" w:rsidRPr="006352B0" w:rsidRDefault="005A786D" w:rsidP="005A786D">
            <w:pPr>
              <w:tabs>
                <w:tab w:val="left" w:pos="142"/>
              </w:tabs>
              <w:jc w:val="right"/>
              <w:rPr>
                <w:rFonts w:ascii="Arial" w:hAnsi="Arial" w:cs="Arial"/>
                <w:sz w:val="16"/>
                <w:szCs w:val="16"/>
              </w:rPr>
            </w:pPr>
            <w:r w:rsidRPr="006352B0">
              <w:rPr>
                <w:rFonts w:ascii="Arial" w:hAnsi="Arial" w:cs="Arial"/>
                <w:sz w:val="16"/>
                <w:szCs w:val="16"/>
              </w:rPr>
              <w:t xml:space="preserve"> 2</w:t>
            </w:r>
            <w:r>
              <w:rPr>
                <w:rFonts w:ascii="Arial" w:hAnsi="Arial" w:cs="Arial"/>
                <w:sz w:val="16"/>
                <w:szCs w:val="16"/>
              </w:rPr>
              <w:t>3.832.405</w:t>
            </w:r>
            <w:r w:rsidRPr="006352B0">
              <w:rPr>
                <w:rFonts w:ascii="Arial" w:hAnsi="Arial" w:cs="Arial"/>
                <w:sz w:val="16"/>
                <w:szCs w:val="16"/>
              </w:rPr>
              <w:t xml:space="preserve"> </w:t>
            </w:r>
          </w:p>
        </w:tc>
        <w:tc>
          <w:tcPr>
            <w:tcW w:w="850" w:type="pct"/>
            <w:vAlign w:val="bottom"/>
          </w:tcPr>
          <w:p w14:paraId="339136C4" w14:textId="318DC029" w:rsidR="005A786D" w:rsidRPr="006352B0" w:rsidRDefault="005A786D" w:rsidP="005A786D">
            <w:pPr>
              <w:tabs>
                <w:tab w:val="left" w:pos="142"/>
              </w:tabs>
              <w:jc w:val="right"/>
              <w:rPr>
                <w:rFonts w:ascii="Arial" w:hAnsi="Arial" w:cs="Arial"/>
                <w:sz w:val="16"/>
                <w:szCs w:val="16"/>
              </w:rPr>
            </w:pPr>
            <w:r w:rsidRPr="006352B0">
              <w:rPr>
                <w:rFonts w:ascii="Arial" w:hAnsi="Arial" w:cs="Arial"/>
                <w:sz w:val="16"/>
                <w:szCs w:val="16"/>
              </w:rPr>
              <w:t xml:space="preserve"> 14.042.675 </w:t>
            </w:r>
          </w:p>
        </w:tc>
      </w:tr>
    </w:tbl>
    <w:p w14:paraId="264AFB42" w14:textId="77777777" w:rsidR="00B87D37" w:rsidRPr="00355711" w:rsidRDefault="00B87D37" w:rsidP="00B87D37">
      <w:pPr>
        <w:tabs>
          <w:tab w:val="left" w:pos="142"/>
        </w:tabs>
        <w:jc w:val="both"/>
        <w:rPr>
          <w:rFonts w:ascii="Arial" w:hAnsi="Arial" w:cs="Arial"/>
          <w:sz w:val="18"/>
          <w:szCs w:val="18"/>
        </w:rPr>
      </w:pPr>
    </w:p>
    <w:p w14:paraId="2595CF4C" w14:textId="39167E2D" w:rsidR="00B87D37" w:rsidRDefault="00B87D37" w:rsidP="00B87D37">
      <w:pPr>
        <w:tabs>
          <w:tab w:val="left" w:pos="142"/>
        </w:tabs>
        <w:jc w:val="both"/>
        <w:rPr>
          <w:rFonts w:ascii="Arial" w:hAnsi="Arial" w:cs="Arial"/>
          <w:sz w:val="20"/>
        </w:rPr>
      </w:pPr>
    </w:p>
    <w:p w14:paraId="2EF34D7B" w14:textId="77777777" w:rsidR="00F13171" w:rsidRPr="00701F32" w:rsidRDefault="00F13171" w:rsidP="00B87D37">
      <w:pPr>
        <w:tabs>
          <w:tab w:val="left" w:pos="142"/>
        </w:tabs>
        <w:jc w:val="both"/>
        <w:rPr>
          <w:rFonts w:ascii="Arial" w:hAnsi="Arial" w:cs="Arial"/>
          <w:sz w:val="20"/>
        </w:rPr>
      </w:pPr>
    </w:p>
    <w:p w14:paraId="7F3E528C" w14:textId="55D95BE5" w:rsidR="00B87D37" w:rsidRPr="00803805" w:rsidRDefault="00B87D37" w:rsidP="00B87D37">
      <w:pPr>
        <w:tabs>
          <w:tab w:val="left" w:pos="142"/>
        </w:tabs>
        <w:jc w:val="both"/>
        <w:rPr>
          <w:rFonts w:ascii="Arial" w:hAnsi="Arial" w:cs="Arial"/>
          <w:sz w:val="20"/>
          <w:u w:val="single"/>
        </w:rPr>
      </w:pPr>
      <w:r w:rsidRPr="00803805">
        <w:rPr>
          <w:rFonts w:ascii="Arial" w:hAnsi="Arial" w:cs="Arial"/>
          <w:sz w:val="20"/>
          <w:u w:val="single"/>
        </w:rPr>
        <w:t>Datos estadísticos</w:t>
      </w:r>
    </w:p>
    <w:p w14:paraId="14F1D10E" w14:textId="77777777" w:rsidR="00B87D37" w:rsidRPr="00803805" w:rsidRDefault="00B87D37" w:rsidP="00B87D37">
      <w:pPr>
        <w:tabs>
          <w:tab w:val="left" w:pos="142"/>
        </w:tabs>
        <w:jc w:val="both"/>
        <w:rPr>
          <w:rFonts w:ascii="Arial" w:hAnsi="Arial" w:cs="Arial"/>
          <w:sz w:val="20"/>
        </w:rPr>
      </w:pPr>
    </w:p>
    <w:tbl>
      <w:tblPr>
        <w:tblW w:w="5311" w:type="pct"/>
        <w:tblBorders>
          <w:top w:val="single" w:sz="4" w:space="0" w:color="363639"/>
          <w:left w:val="single" w:sz="4" w:space="0" w:color="363639"/>
          <w:bottom w:val="single" w:sz="4" w:space="0" w:color="363639"/>
          <w:right w:val="single" w:sz="4" w:space="0" w:color="363639"/>
          <w:insideH w:val="single" w:sz="4" w:space="0" w:color="363639"/>
          <w:insideV w:val="single" w:sz="4" w:space="0" w:color="363639"/>
        </w:tblBorders>
        <w:tblLayout w:type="fixed"/>
        <w:tblCellMar>
          <w:left w:w="30" w:type="dxa"/>
          <w:right w:w="30" w:type="dxa"/>
        </w:tblCellMar>
        <w:tblLook w:val="0000" w:firstRow="0" w:lastRow="0" w:firstColumn="0" w:lastColumn="0" w:noHBand="0" w:noVBand="0"/>
      </w:tblPr>
      <w:tblGrid>
        <w:gridCol w:w="4361"/>
        <w:gridCol w:w="1700"/>
        <w:gridCol w:w="1561"/>
        <w:gridCol w:w="1559"/>
      </w:tblGrid>
      <w:tr w:rsidR="00C17D99" w:rsidRPr="00F13171" w14:paraId="51D28C00" w14:textId="3E37970E" w:rsidTr="002316C2">
        <w:trPr>
          <w:trHeight w:val="248"/>
          <w:tblHeader/>
        </w:trPr>
        <w:tc>
          <w:tcPr>
            <w:tcW w:w="2375" w:type="pct"/>
            <w:tcMar>
              <w:left w:w="108" w:type="dxa"/>
              <w:right w:w="108" w:type="dxa"/>
            </w:tcMar>
            <w:vAlign w:val="center"/>
          </w:tcPr>
          <w:p w14:paraId="1BEDB3DF" w14:textId="77777777" w:rsidR="00C17D99" w:rsidRPr="00F13171" w:rsidRDefault="00C17D99" w:rsidP="00C17D99">
            <w:pPr>
              <w:tabs>
                <w:tab w:val="left" w:pos="142"/>
              </w:tabs>
              <w:jc w:val="both"/>
              <w:rPr>
                <w:rFonts w:ascii="Arial" w:hAnsi="Arial" w:cs="Arial"/>
                <w:b/>
                <w:sz w:val="16"/>
                <w:szCs w:val="16"/>
              </w:rPr>
            </w:pPr>
            <w:r w:rsidRPr="00F13171">
              <w:rPr>
                <w:rFonts w:ascii="Arial" w:hAnsi="Arial" w:cs="Arial"/>
                <w:b/>
                <w:sz w:val="16"/>
                <w:szCs w:val="16"/>
              </w:rPr>
              <w:t xml:space="preserve">Cantidades de préstamos otorgados </w:t>
            </w:r>
          </w:p>
        </w:tc>
        <w:tc>
          <w:tcPr>
            <w:tcW w:w="926" w:type="pct"/>
            <w:tcMar>
              <w:left w:w="108" w:type="dxa"/>
              <w:right w:w="108" w:type="dxa"/>
            </w:tcMar>
            <w:vAlign w:val="center"/>
          </w:tcPr>
          <w:p w14:paraId="091A24D1" w14:textId="2EE9AB81" w:rsidR="00C17D99" w:rsidRPr="00F13171" w:rsidRDefault="00C17D99" w:rsidP="00C17D99">
            <w:pPr>
              <w:tabs>
                <w:tab w:val="left" w:pos="142"/>
              </w:tabs>
              <w:jc w:val="center"/>
              <w:rPr>
                <w:rFonts w:ascii="Arial" w:hAnsi="Arial" w:cs="Arial"/>
                <w:b/>
                <w:sz w:val="16"/>
                <w:szCs w:val="16"/>
              </w:rPr>
            </w:pPr>
            <w:r w:rsidRPr="00F13171">
              <w:rPr>
                <w:rFonts w:ascii="Arial" w:hAnsi="Arial" w:cs="Arial"/>
                <w:b/>
                <w:sz w:val="16"/>
                <w:szCs w:val="16"/>
              </w:rPr>
              <w:t>31/12/2019</w:t>
            </w:r>
          </w:p>
        </w:tc>
        <w:tc>
          <w:tcPr>
            <w:tcW w:w="850" w:type="pct"/>
            <w:vAlign w:val="center"/>
          </w:tcPr>
          <w:p w14:paraId="4B031F3F" w14:textId="2AE41E3F" w:rsidR="00C17D99" w:rsidRPr="00F13171" w:rsidRDefault="00C17D99" w:rsidP="00C17D99">
            <w:pPr>
              <w:jc w:val="center"/>
              <w:rPr>
                <w:rFonts w:ascii="Arial" w:hAnsi="Arial" w:cs="Arial"/>
                <w:sz w:val="16"/>
                <w:szCs w:val="16"/>
                <w:lang w:val="es-ES" w:eastAsia="es-ES"/>
              </w:rPr>
            </w:pPr>
            <w:r w:rsidRPr="00F13171">
              <w:rPr>
                <w:rFonts w:ascii="Arial" w:hAnsi="Arial" w:cs="Arial"/>
                <w:b/>
                <w:sz w:val="16"/>
                <w:szCs w:val="16"/>
              </w:rPr>
              <w:t>31/12/2018</w:t>
            </w:r>
          </w:p>
        </w:tc>
        <w:tc>
          <w:tcPr>
            <w:tcW w:w="849" w:type="pct"/>
            <w:vAlign w:val="center"/>
          </w:tcPr>
          <w:p w14:paraId="75AAC395" w14:textId="35A2793E" w:rsidR="00C17D99" w:rsidRPr="00F13171" w:rsidDel="00803805" w:rsidRDefault="00C17D99" w:rsidP="00C17D99">
            <w:pPr>
              <w:jc w:val="center"/>
              <w:rPr>
                <w:rFonts w:ascii="Arial" w:hAnsi="Arial" w:cs="Arial"/>
                <w:b/>
                <w:sz w:val="16"/>
                <w:szCs w:val="16"/>
              </w:rPr>
            </w:pPr>
            <w:r w:rsidRPr="00F13171">
              <w:rPr>
                <w:rFonts w:ascii="Arial" w:hAnsi="Arial" w:cs="Arial"/>
                <w:b/>
                <w:sz w:val="16"/>
                <w:szCs w:val="16"/>
              </w:rPr>
              <w:t>31/12/2017</w:t>
            </w:r>
          </w:p>
        </w:tc>
      </w:tr>
      <w:tr w:rsidR="004A28A1" w:rsidRPr="00F13171" w14:paraId="100C8024" w14:textId="331E209E" w:rsidTr="004A28A1">
        <w:trPr>
          <w:trHeight w:val="244"/>
        </w:trPr>
        <w:tc>
          <w:tcPr>
            <w:tcW w:w="2375" w:type="pct"/>
            <w:tcMar>
              <w:left w:w="108" w:type="dxa"/>
              <w:right w:w="108" w:type="dxa"/>
            </w:tcMar>
            <w:vAlign w:val="bottom"/>
          </w:tcPr>
          <w:p w14:paraId="1551CD38" w14:textId="77777777" w:rsidR="004A28A1" w:rsidRPr="00F13171" w:rsidRDefault="004A28A1" w:rsidP="004A28A1">
            <w:pPr>
              <w:tabs>
                <w:tab w:val="left" w:pos="142"/>
              </w:tabs>
              <w:rPr>
                <w:rFonts w:ascii="Arial" w:hAnsi="Arial" w:cs="Arial"/>
                <w:sz w:val="16"/>
                <w:szCs w:val="16"/>
              </w:rPr>
            </w:pPr>
            <w:r w:rsidRPr="00F13171">
              <w:rPr>
                <w:rFonts w:ascii="Arial" w:hAnsi="Arial" w:cs="Arial"/>
                <w:sz w:val="16"/>
                <w:szCs w:val="16"/>
              </w:rPr>
              <w:t xml:space="preserve">Préstamos Personales </w:t>
            </w:r>
          </w:p>
        </w:tc>
        <w:tc>
          <w:tcPr>
            <w:tcW w:w="926" w:type="pct"/>
            <w:tcMar>
              <w:left w:w="108" w:type="dxa"/>
              <w:right w:w="108" w:type="dxa"/>
            </w:tcMar>
            <w:vAlign w:val="bottom"/>
          </w:tcPr>
          <w:p w14:paraId="7E3AA26D" w14:textId="5F8E59DE" w:rsidR="004A28A1" w:rsidRPr="004A28A1" w:rsidRDefault="004A28A1" w:rsidP="004A28A1">
            <w:pPr>
              <w:tabs>
                <w:tab w:val="left" w:pos="142"/>
              </w:tabs>
              <w:jc w:val="right"/>
              <w:rPr>
                <w:rFonts w:ascii="Arial" w:hAnsi="Arial" w:cs="Arial"/>
                <w:sz w:val="16"/>
                <w:szCs w:val="16"/>
              </w:rPr>
            </w:pPr>
            <w:r w:rsidRPr="004A28A1">
              <w:rPr>
                <w:rFonts w:ascii="Arial" w:hAnsi="Arial" w:cs="Arial"/>
                <w:sz w:val="16"/>
                <w:szCs w:val="16"/>
              </w:rPr>
              <w:t xml:space="preserve">             272.644 </w:t>
            </w:r>
          </w:p>
        </w:tc>
        <w:tc>
          <w:tcPr>
            <w:tcW w:w="850" w:type="pct"/>
            <w:vAlign w:val="bottom"/>
          </w:tcPr>
          <w:p w14:paraId="2A761B92" w14:textId="73861FFC" w:rsidR="004A28A1" w:rsidRPr="00F13171" w:rsidRDefault="004A28A1" w:rsidP="004A28A1">
            <w:pPr>
              <w:tabs>
                <w:tab w:val="left" w:pos="142"/>
              </w:tabs>
              <w:jc w:val="right"/>
              <w:rPr>
                <w:rFonts w:ascii="Arial" w:hAnsi="Arial" w:cs="Arial"/>
                <w:sz w:val="16"/>
                <w:szCs w:val="16"/>
                <w:lang w:val="es-MX" w:eastAsia="es-ES"/>
              </w:rPr>
            </w:pPr>
            <w:r w:rsidRPr="00F13171">
              <w:rPr>
                <w:rFonts w:ascii="Arial" w:hAnsi="Arial" w:cs="Arial"/>
                <w:sz w:val="16"/>
                <w:szCs w:val="16"/>
              </w:rPr>
              <w:t xml:space="preserve"> 381.077 </w:t>
            </w:r>
          </w:p>
        </w:tc>
        <w:tc>
          <w:tcPr>
            <w:tcW w:w="849" w:type="pct"/>
            <w:vAlign w:val="bottom"/>
          </w:tcPr>
          <w:p w14:paraId="25D6200C" w14:textId="7B860ED7" w:rsidR="004A28A1" w:rsidRPr="00F13171" w:rsidRDefault="004A28A1" w:rsidP="004A28A1">
            <w:pPr>
              <w:tabs>
                <w:tab w:val="left" w:pos="142"/>
              </w:tabs>
              <w:jc w:val="right"/>
              <w:rPr>
                <w:rFonts w:ascii="Arial" w:hAnsi="Arial" w:cs="Arial"/>
                <w:sz w:val="16"/>
                <w:szCs w:val="16"/>
              </w:rPr>
            </w:pPr>
            <w:r w:rsidRPr="00F13171">
              <w:rPr>
                <w:rFonts w:ascii="Arial" w:hAnsi="Arial" w:cs="Arial"/>
                <w:sz w:val="16"/>
                <w:szCs w:val="16"/>
              </w:rPr>
              <w:t xml:space="preserve"> 485.623 </w:t>
            </w:r>
          </w:p>
        </w:tc>
      </w:tr>
      <w:tr w:rsidR="004A28A1" w:rsidRPr="00F13171" w14:paraId="2CFD0892" w14:textId="22982D40" w:rsidTr="004A28A1">
        <w:trPr>
          <w:trHeight w:val="228"/>
        </w:trPr>
        <w:tc>
          <w:tcPr>
            <w:tcW w:w="2375" w:type="pct"/>
            <w:tcMar>
              <w:left w:w="108" w:type="dxa"/>
              <w:right w:w="108" w:type="dxa"/>
            </w:tcMar>
            <w:vAlign w:val="bottom"/>
          </w:tcPr>
          <w:p w14:paraId="4A9C9F39" w14:textId="77777777" w:rsidR="004A28A1" w:rsidRPr="00F13171" w:rsidRDefault="004A28A1" w:rsidP="004A28A1">
            <w:pPr>
              <w:tabs>
                <w:tab w:val="left" w:pos="142"/>
              </w:tabs>
              <w:jc w:val="both"/>
              <w:rPr>
                <w:rFonts w:ascii="Arial" w:hAnsi="Arial" w:cs="Arial"/>
                <w:sz w:val="16"/>
                <w:szCs w:val="16"/>
              </w:rPr>
            </w:pPr>
            <w:r w:rsidRPr="00F13171">
              <w:rPr>
                <w:rFonts w:ascii="Arial" w:hAnsi="Arial" w:cs="Arial"/>
                <w:sz w:val="16"/>
                <w:szCs w:val="16"/>
              </w:rPr>
              <w:t>Tarjetas de Crédito (Titulares)</w:t>
            </w:r>
          </w:p>
        </w:tc>
        <w:tc>
          <w:tcPr>
            <w:tcW w:w="926" w:type="pct"/>
            <w:tcMar>
              <w:left w:w="108" w:type="dxa"/>
              <w:right w:w="108" w:type="dxa"/>
            </w:tcMar>
            <w:vAlign w:val="bottom"/>
          </w:tcPr>
          <w:p w14:paraId="759525BF" w14:textId="5D8A5D81" w:rsidR="004A28A1" w:rsidRPr="004A28A1" w:rsidRDefault="004A28A1" w:rsidP="004A28A1">
            <w:pPr>
              <w:tabs>
                <w:tab w:val="left" w:pos="142"/>
              </w:tabs>
              <w:jc w:val="right"/>
              <w:rPr>
                <w:rFonts w:ascii="Arial" w:hAnsi="Arial" w:cs="Arial"/>
                <w:sz w:val="16"/>
                <w:szCs w:val="16"/>
              </w:rPr>
            </w:pPr>
            <w:r w:rsidRPr="004A28A1">
              <w:rPr>
                <w:rFonts w:ascii="Arial" w:hAnsi="Arial" w:cs="Arial"/>
                <w:sz w:val="16"/>
                <w:szCs w:val="16"/>
              </w:rPr>
              <w:t xml:space="preserve">             198.907 </w:t>
            </w:r>
          </w:p>
        </w:tc>
        <w:tc>
          <w:tcPr>
            <w:tcW w:w="850" w:type="pct"/>
            <w:vAlign w:val="bottom"/>
          </w:tcPr>
          <w:p w14:paraId="75D5FAA2" w14:textId="140325C4" w:rsidR="004A28A1" w:rsidRPr="00F13171" w:rsidRDefault="004A28A1" w:rsidP="004A28A1">
            <w:pPr>
              <w:tabs>
                <w:tab w:val="left" w:pos="142"/>
              </w:tabs>
              <w:jc w:val="right"/>
              <w:rPr>
                <w:rFonts w:ascii="Arial" w:hAnsi="Arial" w:cs="Arial"/>
                <w:sz w:val="16"/>
                <w:szCs w:val="16"/>
                <w:lang w:val="es-MX" w:eastAsia="es-ES"/>
              </w:rPr>
            </w:pPr>
            <w:r w:rsidRPr="00F13171">
              <w:rPr>
                <w:rFonts w:ascii="Arial" w:hAnsi="Arial" w:cs="Arial"/>
                <w:sz w:val="16"/>
                <w:szCs w:val="16"/>
              </w:rPr>
              <w:t xml:space="preserve"> 291.222 </w:t>
            </w:r>
          </w:p>
        </w:tc>
        <w:tc>
          <w:tcPr>
            <w:tcW w:w="849" w:type="pct"/>
            <w:vAlign w:val="bottom"/>
          </w:tcPr>
          <w:p w14:paraId="430CAF44" w14:textId="57CC7D02" w:rsidR="004A28A1" w:rsidRPr="00F13171" w:rsidRDefault="004A28A1" w:rsidP="004A28A1">
            <w:pPr>
              <w:tabs>
                <w:tab w:val="left" w:pos="142"/>
              </w:tabs>
              <w:jc w:val="right"/>
              <w:rPr>
                <w:rFonts w:ascii="Arial" w:hAnsi="Arial" w:cs="Arial"/>
                <w:sz w:val="16"/>
                <w:szCs w:val="16"/>
              </w:rPr>
            </w:pPr>
            <w:r w:rsidRPr="00F13171">
              <w:rPr>
                <w:rFonts w:ascii="Arial" w:hAnsi="Arial" w:cs="Arial"/>
                <w:sz w:val="16"/>
                <w:szCs w:val="16"/>
              </w:rPr>
              <w:t xml:space="preserve"> 204.668 </w:t>
            </w:r>
          </w:p>
        </w:tc>
      </w:tr>
    </w:tbl>
    <w:p w14:paraId="36FE6ECB" w14:textId="77777777" w:rsidR="00B87D37" w:rsidRPr="00F13171" w:rsidRDefault="00B87D37" w:rsidP="00B87D37">
      <w:pPr>
        <w:tabs>
          <w:tab w:val="left" w:pos="142"/>
        </w:tabs>
        <w:jc w:val="both"/>
        <w:rPr>
          <w:rFonts w:ascii="Arial" w:hAnsi="Arial" w:cs="Arial"/>
          <w:sz w:val="16"/>
          <w:szCs w:val="16"/>
        </w:rPr>
      </w:pPr>
    </w:p>
    <w:p w14:paraId="59ED2628" w14:textId="0EA741D4" w:rsidR="00B87D37" w:rsidRPr="00701F32" w:rsidRDefault="00BE29BE" w:rsidP="00B87D37">
      <w:pPr>
        <w:tabs>
          <w:tab w:val="left" w:pos="142"/>
          <w:tab w:val="left" w:pos="284"/>
          <w:tab w:val="left" w:pos="567"/>
        </w:tabs>
        <w:jc w:val="both"/>
        <w:rPr>
          <w:rFonts w:ascii="Arial" w:hAnsi="Arial" w:cs="Arial"/>
          <w:sz w:val="20"/>
          <w:u w:val="single"/>
        </w:rPr>
      </w:pPr>
      <w:r w:rsidRPr="00701F32">
        <w:rPr>
          <w:rFonts w:ascii="Arial" w:hAnsi="Arial" w:cs="Arial"/>
          <w:sz w:val="20"/>
          <w:u w:val="single"/>
        </w:rPr>
        <w:t>Índices</w:t>
      </w:r>
      <w:r w:rsidR="00B87D37" w:rsidRPr="00701F32">
        <w:rPr>
          <w:rFonts w:ascii="Arial" w:hAnsi="Arial" w:cs="Arial"/>
          <w:sz w:val="20"/>
          <w:u w:val="single"/>
        </w:rPr>
        <w:t xml:space="preserve"> financieros y patrimoniales (en porcentaje)</w:t>
      </w:r>
    </w:p>
    <w:p w14:paraId="79DDB727" w14:textId="77777777" w:rsidR="00B87D37" w:rsidRPr="00701F32" w:rsidRDefault="00B87D37" w:rsidP="00B87D37">
      <w:pPr>
        <w:tabs>
          <w:tab w:val="left" w:pos="142"/>
        </w:tabs>
        <w:jc w:val="both"/>
        <w:rPr>
          <w:rFonts w:ascii="Arial" w:hAnsi="Arial" w:cs="Arial"/>
          <w:sz w:val="20"/>
        </w:rPr>
      </w:pPr>
    </w:p>
    <w:tbl>
      <w:tblPr>
        <w:tblW w:w="9187" w:type="dxa"/>
        <w:tblBorders>
          <w:top w:val="single" w:sz="4" w:space="0" w:color="363639"/>
          <w:left w:val="single" w:sz="4" w:space="0" w:color="363639"/>
          <w:bottom w:val="single" w:sz="4" w:space="0" w:color="363639"/>
          <w:right w:val="single" w:sz="4" w:space="0" w:color="363639"/>
          <w:insideH w:val="single" w:sz="4" w:space="0" w:color="363639"/>
          <w:insideV w:val="single" w:sz="4" w:space="0" w:color="363639"/>
        </w:tblBorders>
        <w:tblLayout w:type="fixed"/>
        <w:tblCellMar>
          <w:left w:w="30" w:type="dxa"/>
          <w:right w:w="30" w:type="dxa"/>
        </w:tblCellMar>
        <w:tblLook w:val="0000" w:firstRow="0" w:lastRow="0" w:firstColumn="0" w:lastColumn="0" w:noHBand="0" w:noVBand="0"/>
      </w:tblPr>
      <w:tblGrid>
        <w:gridCol w:w="4361"/>
        <w:gridCol w:w="1701"/>
        <w:gridCol w:w="1559"/>
        <w:gridCol w:w="1566"/>
      </w:tblGrid>
      <w:tr w:rsidR="00C17D99" w:rsidRPr="00803805" w14:paraId="58E2A1B1" w14:textId="154E9C34" w:rsidTr="00FD086F">
        <w:trPr>
          <w:trHeight w:val="325"/>
          <w:tblHeader/>
        </w:trPr>
        <w:tc>
          <w:tcPr>
            <w:tcW w:w="4361" w:type="dxa"/>
            <w:tcMar>
              <w:left w:w="108" w:type="dxa"/>
              <w:right w:w="108" w:type="dxa"/>
            </w:tcMar>
            <w:vAlign w:val="center"/>
          </w:tcPr>
          <w:p w14:paraId="49C83F37" w14:textId="77777777" w:rsidR="00C17D99" w:rsidRPr="00F13171" w:rsidRDefault="00C17D99" w:rsidP="00C17D99">
            <w:pPr>
              <w:tabs>
                <w:tab w:val="left" w:pos="142"/>
              </w:tabs>
              <w:jc w:val="both"/>
              <w:rPr>
                <w:rFonts w:ascii="Arial" w:hAnsi="Arial" w:cs="Arial"/>
                <w:b/>
                <w:sz w:val="16"/>
                <w:szCs w:val="16"/>
              </w:rPr>
            </w:pPr>
            <w:r w:rsidRPr="00F13171">
              <w:rPr>
                <w:rFonts w:ascii="Arial" w:hAnsi="Arial" w:cs="Arial"/>
                <w:b/>
                <w:sz w:val="16"/>
                <w:szCs w:val="16"/>
              </w:rPr>
              <w:t>Ratio</w:t>
            </w:r>
          </w:p>
        </w:tc>
        <w:tc>
          <w:tcPr>
            <w:tcW w:w="1701" w:type="dxa"/>
            <w:tcMar>
              <w:left w:w="108" w:type="dxa"/>
              <w:right w:w="108" w:type="dxa"/>
            </w:tcMar>
            <w:vAlign w:val="center"/>
          </w:tcPr>
          <w:p w14:paraId="222DF820" w14:textId="061716F7" w:rsidR="00C17D99" w:rsidRPr="00F13171" w:rsidRDefault="00C17D99" w:rsidP="00C17D99">
            <w:pPr>
              <w:tabs>
                <w:tab w:val="left" w:pos="142"/>
              </w:tabs>
              <w:jc w:val="center"/>
              <w:rPr>
                <w:rFonts w:ascii="Arial" w:hAnsi="Arial" w:cs="Arial"/>
                <w:b/>
                <w:sz w:val="16"/>
                <w:szCs w:val="16"/>
              </w:rPr>
            </w:pPr>
            <w:r w:rsidRPr="00F13171">
              <w:rPr>
                <w:rFonts w:ascii="Arial" w:hAnsi="Arial" w:cs="Arial"/>
                <w:b/>
                <w:sz w:val="16"/>
                <w:szCs w:val="16"/>
              </w:rPr>
              <w:t>31/12/2019</w:t>
            </w:r>
          </w:p>
        </w:tc>
        <w:tc>
          <w:tcPr>
            <w:tcW w:w="1559" w:type="dxa"/>
            <w:vAlign w:val="center"/>
          </w:tcPr>
          <w:p w14:paraId="5894A09E" w14:textId="1922B5A5" w:rsidR="00C17D99" w:rsidRPr="00F13171" w:rsidRDefault="00C17D99" w:rsidP="00C17D99">
            <w:pPr>
              <w:jc w:val="center"/>
              <w:rPr>
                <w:rFonts w:ascii="Arial" w:hAnsi="Arial" w:cs="Arial"/>
                <w:sz w:val="16"/>
                <w:szCs w:val="16"/>
                <w:lang w:val="es-ES" w:eastAsia="es-ES"/>
              </w:rPr>
            </w:pPr>
            <w:r w:rsidRPr="00F13171">
              <w:rPr>
                <w:rFonts w:ascii="Arial" w:hAnsi="Arial" w:cs="Arial"/>
                <w:b/>
                <w:sz w:val="16"/>
                <w:szCs w:val="16"/>
              </w:rPr>
              <w:t>31/12/2018</w:t>
            </w:r>
          </w:p>
        </w:tc>
        <w:tc>
          <w:tcPr>
            <w:tcW w:w="1566" w:type="dxa"/>
            <w:vAlign w:val="center"/>
          </w:tcPr>
          <w:p w14:paraId="03CB26B3" w14:textId="70D241DB" w:rsidR="00C17D99" w:rsidRPr="00F13171" w:rsidDel="00803805" w:rsidRDefault="00C17D99" w:rsidP="00C17D99">
            <w:pPr>
              <w:jc w:val="center"/>
              <w:rPr>
                <w:rFonts w:ascii="Arial" w:hAnsi="Arial" w:cs="Arial"/>
                <w:b/>
                <w:sz w:val="16"/>
                <w:szCs w:val="16"/>
              </w:rPr>
            </w:pPr>
            <w:r w:rsidRPr="00F13171">
              <w:rPr>
                <w:rFonts w:ascii="Arial" w:hAnsi="Arial" w:cs="Arial"/>
                <w:b/>
                <w:sz w:val="16"/>
                <w:szCs w:val="16"/>
              </w:rPr>
              <w:t>31/12/2017</w:t>
            </w:r>
          </w:p>
        </w:tc>
      </w:tr>
      <w:tr w:rsidR="00F13171" w:rsidRPr="00605783" w14:paraId="364A2132" w14:textId="23985029" w:rsidTr="008E0A39">
        <w:trPr>
          <w:trHeight w:val="234"/>
        </w:trPr>
        <w:tc>
          <w:tcPr>
            <w:tcW w:w="4361" w:type="dxa"/>
            <w:tcMar>
              <w:left w:w="108" w:type="dxa"/>
              <w:right w:w="108" w:type="dxa"/>
            </w:tcMar>
            <w:vAlign w:val="bottom"/>
          </w:tcPr>
          <w:p w14:paraId="0961EA68" w14:textId="42C741EC" w:rsidR="00F13171" w:rsidRPr="00F13171" w:rsidRDefault="00F13171" w:rsidP="00F13171">
            <w:pPr>
              <w:tabs>
                <w:tab w:val="left" w:pos="142"/>
              </w:tabs>
              <w:rPr>
                <w:rFonts w:ascii="Arial" w:hAnsi="Arial" w:cs="Arial"/>
                <w:sz w:val="16"/>
                <w:szCs w:val="16"/>
              </w:rPr>
            </w:pPr>
            <w:r w:rsidRPr="00F13171">
              <w:rPr>
                <w:rFonts w:ascii="Arial" w:hAnsi="Arial" w:cs="Arial"/>
                <w:color w:val="000000"/>
                <w:sz w:val="16"/>
                <w:szCs w:val="16"/>
              </w:rPr>
              <w:t>Liquidez (1)</w:t>
            </w:r>
          </w:p>
        </w:tc>
        <w:tc>
          <w:tcPr>
            <w:tcW w:w="1701" w:type="dxa"/>
            <w:tcMar>
              <w:left w:w="108" w:type="dxa"/>
              <w:right w:w="108" w:type="dxa"/>
            </w:tcMar>
            <w:vAlign w:val="bottom"/>
          </w:tcPr>
          <w:p w14:paraId="0C6A48DD" w14:textId="24BABB92" w:rsidR="00F13171" w:rsidRPr="00F13171" w:rsidRDefault="00751D17" w:rsidP="00F13171">
            <w:pPr>
              <w:jc w:val="right"/>
              <w:rPr>
                <w:rFonts w:ascii="Arial" w:hAnsi="Arial" w:cs="Arial"/>
                <w:sz w:val="16"/>
                <w:szCs w:val="16"/>
                <w:highlight w:val="yellow"/>
              </w:rPr>
            </w:pPr>
            <w:r w:rsidRPr="00751D17">
              <w:rPr>
                <w:rFonts w:ascii="Arial" w:hAnsi="Arial" w:cs="Arial"/>
                <w:color w:val="000000"/>
                <w:sz w:val="16"/>
                <w:szCs w:val="16"/>
              </w:rPr>
              <w:t>147,97%</w:t>
            </w:r>
          </w:p>
        </w:tc>
        <w:tc>
          <w:tcPr>
            <w:tcW w:w="1559" w:type="dxa"/>
            <w:vAlign w:val="bottom"/>
          </w:tcPr>
          <w:p w14:paraId="6479F8C9" w14:textId="1DFE186B" w:rsidR="00F13171" w:rsidRPr="00F13171" w:rsidRDefault="00F13171" w:rsidP="00F13171">
            <w:pPr>
              <w:jc w:val="right"/>
              <w:rPr>
                <w:rFonts w:ascii="Arial" w:hAnsi="Arial" w:cs="Arial"/>
                <w:sz w:val="16"/>
                <w:szCs w:val="16"/>
                <w:lang w:val="es-ES_tradnl" w:eastAsia="es-ES"/>
              </w:rPr>
            </w:pPr>
            <w:r w:rsidRPr="00F13171">
              <w:rPr>
                <w:rFonts w:ascii="Arial" w:hAnsi="Arial" w:cs="Arial"/>
                <w:color w:val="000000"/>
                <w:sz w:val="16"/>
                <w:szCs w:val="16"/>
              </w:rPr>
              <w:t>170,68%</w:t>
            </w:r>
          </w:p>
        </w:tc>
        <w:tc>
          <w:tcPr>
            <w:tcW w:w="1566" w:type="dxa"/>
            <w:vAlign w:val="bottom"/>
          </w:tcPr>
          <w:p w14:paraId="2547F20A" w14:textId="37FB81D6" w:rsidR="00F13171" w:rsidRPr="00F13171" w:rsidRDefault="00F13171" w:rsidP="00F13171">
            <w:pPr>
              <w:jc w:val="right"/>
              <w:rPr>
                <w:rFonts w:ascii="Arial" w:hAnsi="Arial" w:cs="Arial"/>
                <w:sz w:val="16"/>
                <w:szCs w:val="16"/>
              </w:rPr>
            </w:pPr>
            <w:r w:rsidRPr="00F13171">
              <w:rPr>
                <w:rFonts w:ascii="Arial" w:hAnsi="Arial" w:cs="Arial"/>
                <w:color w:val="000000"/>
                <w:sz w:val="16"/>
                <w:szCs w:val="16"/>
              </w:rPr>
              <w:t>109,80%</w:t>
            </w:r>
          </w:p>
        </w:tc>
      </w:tr>
      <w:tr w:rsidR="00F13171" w:rsidRPr="00605783" w14:paraId="0E0BFCE7" w14:textId="541D2580" w:rsidTr="008E0A39">
        <w:trPr>
          <w:trHeight w:val="219"/>
        </w:trPr>
        <w:tc>
          <w:tcPr>
            <w:tcW w:w="4361" w:type="dxa"/>
            <w:tcMar>
              <w:left w:w="108" w:type="dxa"/>
              <w:right w:w="108" w:type="dxa"/>
            </w:tcMar>
            <w:vAlign w:val="bottom"/>
          </w:tcPr>
          <w:p w14:paraId="54E83D66" w14:textId="2E8762D3" w:rsidR="00F13171" w:rsidRPr="00F13171" w:rsidRDefault="00F13171" w:rsidP="00F13171">
            <w:pPr>
              <w:tabs>
                <w:tab w:val="left" w:pos="142"/>
              </w:tabs>
              <w:jc w:val="both"/>
              <w:rPr>
                <w:rFonts w:ascii="Arial" w:hAnsi="Arial" w:cs="Arial"/>
                <w:sz w:val="16"/>
                <w:szCs w:val="16"/>
              </w:rPr>
            </w:pPr>
            <w:r w:rsidRPr="00F13171">
              <w:rPr>
                <w:rFonts w:ascii="Arial" w:hAnsi="Arial" w:cs="Arial"/>
                <w:color w:val="000000"/>
                <w:sz w:val="16"/>
                <w:szCs w:val="16"/>
              </w:rPr>
              <w:t>Solvencia (2)</w:t>
            </w:r>
          </w:p>
        </w:tc>
        <w:tc>
          <w:tcPr>
            <w:tcW w:w="1701" w:type="dxa"/>
            <w:tcMar>
              <w:left w:w="108" w:type="dxa"/>
              <w:right w:w="108" w:type="dxa"/>
            </w:tcMar>
            <w:vAlign w:val="bottom"/>
          </w:tcPr>
          <w:p w14:paraId="6C8861C5" w14:textId="26C8DAB9" w:rsidR="00F13171" w:rsidRPr="00CA1ACF" w:rsidRDefault="00CA1ACF" w:rsidP="00F13171">
            <w:pPr>
              <w:jc w:val="right"/>
              <w:rPr>
                <w:rFonts w:ascii="Arial" w:hAnsi="Arial" w:cs="Arial"/>
                <w:sz w:val="16"/>
                <w:szCs w:val="16"/>
              </w:rPr>
            </w:pPr>
            <w:r w:rsidRPr="00CA1ACF">
              <w:rPr>
                <w:rFonts w:ascii="Arial" w:hAnsi="Arial" w:cs="Arial"/>
                <w:color w:val="000000"/>
                <w:sz w:val="16"/>
                <w:szCs w:val="16"/>
              </w:rPr>
              <w:t>14.21</w:t>
            </w:r>
            <w:r w:rsidR="00F13171" w:rsidRPr="00CA1ACF">
              <w:rPr>
                <w:rFonts w:ascii="Arial" w:hAnsi="Arial" w:cs="Arial"/>
                <w:color w:val="000000"/>
                <w:sz w:val="16"/>
                <w:szCs w:val="16"/>
              </w:rPr>
              <w:t>%</w:t>
            </w:r>
          </w:p>
        </w:tc>
        <w:tc>
          <w:tcPr>
            <w:tcW w:w="1559" w:type="dxa"/>
            <w:vAlign w:val="bottom"/>
          </w:tcPr>
          <w:p w14:paraId="471BBC1A" w14:textId="04121013" w:rsidR="00F13171" w:rsidRPr="00F13171" w:rsidRDefault="00F13171" w:rsidP="00F13171">
            <w:pPr>
              <w:jc w:val="right"/>
              <w:rPr>
                <w:rFonts w:ascii="Arial" w:hAnsi="Arial" w:cs="Arial"/>
                <w:sz w:val="16"/>
                <w:szCs w:val="16"/>
                <w:lang w:val="es-ES_tradnl" w:eastAsia="es-ES"/>
              </w:rPr>
            </w:pPr>
            <w:r w:rsidRPr="00F13171">
              <w:rPr>
                <w:rFonts w:ascii="Arial" w:hAnsi="Arial" w:cs="Arial"/>
                <w:color w:val="000000"/>
                <w:sz w:val="16"/>
                <w:szCs w:val="16"/>
              </w:rPr>
              <w:t>10,69%</w:t>
            </w:r>
          </w:p>
        </w:tc>
        <w:tc>
          <w:tcPr>
            <w:tcW w:w="1566" w:type="dxa"/>
            <w:vAlign w:val="bottom"/>
          </w:tcPr>
          <w:p w14:paraId="7D347E5B" w14:textId="43FF6DD6" w:rsidR="00F13171" w:rsidRPr="00F13171" w:rsidRDefault="00F13171" w:rsidP="00F13171">
            <w:pPr>
              <w:jc w:val="right"/>
              <w:rPr>
                <w:rFonts w:ascii="Arial" w:hAnsi="Arial" w:cs="Arial"/>
                <w:sz w:val="16"/>
                <w:szCs w:val="16"/>
              </w:rPr>
            </w:pPr>
            <w:r w:rsidRPr="00F13171">
              <w:rPr>
                <w:rFonts w:ascii="Arial" w:hAnsi="Arial" w:cs="Arial"/>
                <w:color w:val="000000"/>
                <w:sz w:val="16"/>
                <w:szCs w:val="16"/>
              </w:rPr>
              <w:t>12,13%</w:t>
            </w:r>
          </w:p>
        </w:tc>
      </w:tr>
      <w:tr w:rsidR="00F13171" w:rsidRPr="00605783" w14:paraId="2CB9DA54" w14:textId="77777777" w:rsidTr="008E0A39">
        <w:trPr>
          <w:trHeight w:val="219"/>
        </w:trPr>
        <w:tc>
          <w:tcPr>
            <w:tcW w:w="4361" w:type="dxa"/>
            <w:tcMar>
              <w:left w:w="108" w:type="dxa"/>
              <w:right w:w="108" w:type="dxa"/>
            </w:tcMar>
            <w:vAlign w:val="bottom"/>
          </w:tcPr>
          <w:p w14:paraId="591C626B" w14:textId="290BB381" w:rsidR="00F13171" w:rsidRPr="00F13171" w:rsidRDefault="00F13171" w:rsidP="00F13171">
            <w:pPr>
              <w:tabs>
                <w:tab w:val="left" w:pos="142"/>
              </w:tabs>
              <w:jc w:val="both"/>
              <w:rPr>
                <w:rFonts w:ascii="Arial" w:hAnsi="Arial" w:cs="Arial"/>
                <w:sz w:val="16"/>
                <w:szCs w:val="16"/>
              </w:rPr>
            </w:pPr>
            <w:r w:rsidRPr="00F13171">
              <w:rPr>
                <w:rFonts w:ascii="Arial" w:hAnsi="Arial" w:cs="Arial"/>
                <w:color w:val="000000"/>
                <w:sz w:val="16"/>
                <w:szCs w:val="16"/>
              </w:rPr>
              <w:t>Activos Inmovilizados (3)</w:t>
            </w:r>
          </w:p>
        </w:tc>
        <w:tc>
          <w:tcPr>
            <w:tcW w:w="1701" w:type="dxa"/>
            <w:tcMar>
              <w:left w:w="108" w:type="dxa"/>
              <w:right w:w="108" w:type="dxa"/>
            </w:tcMar>
            <w:vAlign w:val="bottom"/>
          </w:tcPr>
          <w:p w14:paraId="30F8767E" w14:textId="5D3FDF17" w:rsidR="00F13171" w:rsidRPr="00CA1ACF" w:rsidRDefault="00CA1ACF" w:rsidP="00F13171">
            <w:pPr>
              <w:jc w:val="right"/>
              <w:rPr>
                <w:rFonts w:ascii="Arial" w:hAnsi="Arial" w:cs="Arial"/>
                <w:sz w:val="16"/>
                <w:szCs w:val="16"/>
              </w:rPr>
            </w:pPr>
            <w:r w:rsidRPr="00CA1ACF">
              <w:rPr>
                <w:rFonts w:ascii="Arial" w:hAnsi="Arial" w:cs="Arial"/>
                <w:color w:val="000000"/>
                <w:sz w:val="16"/>
                <w:szCs w:val="16"/>
              </w:rPr>
              <w:t>10.17</w:t>
            </w:r>
            <w:r w:rsidR="00F13171" w:rsidRPr="00CA1ACF">
              <w:rPr>
                <w:rFonts w:ascii="Arial" w:hAnsi="Arial" w:cs="Arial"/>
                <w:color w:val="000000"/>
                <w:sz w:val="16"/>
                <w:szCs w:val="16"/>
              </w:rPr>
              <w:t>%</w:t>
            </w:r>
          </w:p>
        </w:tc>
        <w:tc>
          <w:tcPr>
            <w:tcW w:w="1559" w:type="dxa"/>
            <w:vAlign w:val="bottom"/>
          </w:tcPr>
          <w:p w14:paraId="46E68E86" w14:textId="6FFD128E" w:rsidR="00F13171" w:rsidRPr="00F13171" w:rsidRDefault="00F13171" w:rsidP="00F13171">
            <w:pPr>
              <w:jc w:val="right"/>
              <w:rPr>
                <w:rFonts w:ascii="Arial" w:hAnsi="Arial" w:cs="Arial"/>
                <w:sz w:val="16"/>
                <w:szCs w:val="16"/>
                <w:lang w:val="es-ES_tradnl" w:eastAsia="es-ES"/>
              </w:rPr>
            </w:pPr>
            <w:r w:rsidRPr="00F13171">
              <w:rPr>
                <w:rFonts w:ascii="Arial" w:hAnsi="Arial" w:cs="Arial"/>
                <w:color w:val="000000"/>
                <w:sz w:val="16"/>
                <w:szCs w:val="16"/>
              </w:rPr>
              <w:t>4,17%</w:t>
            </w:r>
          </w:p>
        </w:tc>
        <w:tc>
          <w:tcPr>
            <w:tcW w:w="1566" w:type="dxa"/>
            <w:vAlign w:val="bottom"/>
          </w:tcPr>
          <w:p w14:paraId="15F680DA" w14:textId="5ABDD0BD" w:rsidR="00F13171" w:rsidRPr="00F13171" w:rsidRDefault="00F13171" w:rsidP="00F13171">
            <w:pPr>
              <w:jc w:val="right"/>
              <w:rPr>
                <w:rFonts w:ascii="Arial" w:hAnsi="Arial" w:cs="Arial"/>
                <w:sz w:val="16"/>
                <w:szCs w:val="16"/>
              </w:rPr>
            </w:pPr>
            <w:r w:rsidRPr="00F13171">
              <w:rPr>
                <w:rFonts w:ascii="Arial" w:hAnsi="Arial" w:cs="Arial"/>
                <w:color w:val="000000"/>
                <w:sz w:val="16"/>
                <w:szCs w:val="16"/>
              </w:rPr>
              <w:t>3,16%</w:t>
            </w:r>
          </w:p>
        </w:tc>
      </w:tr>
      <w:tr w:rsidR="00F13171" w:rsidRPr="00605783" w14:paraId="5DB53D51" w14:textId="61E0679C" w:rsidTr="008E0A39">
        <w:trPr>
          <w:trHeight w:val="219"/>
        </w:trPr>
        <w:tc>
          <w:tcPr>
            <w:tcW w:w="4361" w:type="dxa"/>
            <w:tcMar>
              <w:left w:w="108" w:type="dxa"/>
              <w:right w:w="108" w:type="dxa"/>
            </w:tcMar>
            <w:vAlign w:val="bottom"/>
          </w:tcPr>
          <w:p w14:paraId="7CF1DA05" w14:textId="2662134E" w:rsidR="00F13171" w:rsidRPr="00F13171" w:rsidRDefault="00F13171" w:rsidP="00F13171">
            <w:pPr>
              <w:tabs>
                <w:tab w:val="left" w:pos="142"/>
              </w:tabs>
              <w:jc w:val="both"/>
              <w:rPr>
                <w:rFonts w:ascii="Arial" w:hAnsi="Arial" w:cs="Arial"/>
                <w:sz w:val="16"/>
                <w:szCs w:val="16"/>
              </w:rPr>
            </w:pPr>
            <w:r w:rsidRPr="00F13171">
              <w:rPr>
                <w:rFonts w:ascii="Arial" w:hAnsi="Arial" w:cs="Arial"/>
                <w:color w:val="000000"/>
                <w:sz w:val="16"/>
                <w:szCs w:val="16"/>
              </w:rPr>
              <w:t>Retorno sobre Patrimonio Neto (4) ANUAL</w:t>
            </w:r>
          </w:p>
        </w:tc>
        <w:tc>
          <w:tcPr>
            <w:tcW w:w="1701" w:type="dxa"/>
            <w:tcMar>
              <w:left w:w="108" w:type="dxa"/>
              <w:right w:w="108" w:type="dxa"/>
            </w:tcMar>
            <w:vAlign w:val="bottom"/>
          </w:tcPr>
          <w:p w14:paraId="6545E32E" w14:textId="7E7A3FC9" w:rsidR="00F13171" w:rsidRPr="00CA1ACF" w:rsidRDefault="00CA1ACF" w:rsidP="00F13171">
            <w:pPr>
              <w:jc w:val="right"/>
              <w:rPr>
                <w:rFonts w:ascii="Arial" w:hAnsi="Arial" w:cs="Arial"/>
                <w:sz w:val="16"/>
                <w:szCs w:val="16"/>
              </w:rPr>
            </w:pPr>
            <w:r w:rsidRPr="00CA1ACF">
              <w:rPr>
                <w:rFonts w:ascii="Arial" w:hAnsi="Arial" w:cs="Arial"/>
                <w:color w:val="000000"/>
                <w:sz w:val="16"/>
                <w:szCs w:val="16"/>
              </w:rPr>
              <w:t>23.89</w:t>
            </w:r>
            <w:r w:rsidR="00F13171" w:rsidRPr="00CA1ACF">
              <w:rPr>
                <w:rFonts w:ascii="Arial" w:hAnsi="Arial" w:cs="Arial"/>
                <w:color w:val="000000"/>
                <w:sz w:val="16"/>
                <w:szCs w:val="16"/>
              </w:rPr>
              <w:t>%</w:t>
            </w:r>
          </w:p>
        </w:tc>
        <w:tc>
          <w:tcPr>
            <w:tcW w:w="1559" w:type="dxa"/>
            <w:vAlign w:val="bottom"/>
          </w:tcPr>
          <w:p w14:paraId="4529552B" w14:textId="289F7BE1" w:rsidR="00F13171" w:rsidRPr="00F13171" w:rsidRDefault="00F13171" w:rsidP="00F13171">
            <w:pPr>
              <w:jc w:val="right"/>
              <w:rPr>
                <w:rFonts w:ascii="Arial" w:hAnsi="Arial" w:cs="Arial"/>
                <w:sz w:val="16"/>
                <w:szCs w:val="16"/>
                <w:lang w:val="es-ES_tradnl" w:eastAsia="es-ES"/>
              </w:rPr>
            </w:pPr>
            <w:r w:rsidRPr="00F13171">
              <w:rPr>
                <w:rFonts w:ascii="Arial" w:hAnsi="Arial" w:cs="Arial"/>
                <w:color w:val="000000"/>
                <w:sz w:val="16"/>
                <w:szCs w:val="16"/>
              </w:rPr>
              <w:t>15,05%</w:t>
            </w:r>
          </w:p>
        </w:tc>
        <w:tc>
          <w:tcPr>
            <w:tcW w:w="1566" w:type="dxa"/>
            <w:vAlign w:val="bottom"/>
          </w:tcPr>
          <w:p w14:paraId="78F3C3EE" w14:textId="09602B9A" w:rsidR="00F13171" w:rsidRPr="00F13171" w:rsidRDefault="00F13171" w:rsidP="00F13171">
            <w:pPr>
              <w:jc w:val="right"/>
              <w:rPr>
                <w:rFonts w:ascii="Arial" w:hAnsi="Arial" w:cs="Arial"/>
                <w:sz w:val="16"/>
                <w:szCs w:val="16"/>
              </w:rPr>
            </w:pPr>
            <w:r w:rsidRPr="00F13171">
              <w:rPr>
                <w:rFonts w:ascii="Arial" w:hAnsi="Arial" w:cs="Arial"/>
                <w:color w:val="000000"/>
                <w:sz w:val="16"/>
                <w:szCs w:val="16"/>
              </w:rPr>
              <w:t>20,21%</w:t>
            </w:r>
          </w:p>
        </w:tc>
      </w:tr>
    </w:tbl>
    <w:p w14:paraId="5E4B8C71" w14:textId="77777777" w:rsidR="00CA188D" w:rsidRPr="00211162" w:rsidRDefault="00CA188D" w:rsidP="00627289">
      <w:pPr>
        <w:numPr>
          <w:ilvl w:val="0"/>
          <w:numId w:val="33"/>
        </w:numPr>
        <w:tabs>
          <w:tab w:val="left" w:pos="142"/>
        </w:tabs>
        <w:ind w:left="786"/>
        <w:contextualSpacing/>
        <w:jc w:val="both"/>
        <w:rPr>
          <w:rFonts w:ascii="Arial" w:hAnsi="Arial" w:cs="Arial"/>
          <w:sz w:val="16"/>
          <w:szCs w:val="18"/>
          <w:lang w:eastAsia="es-AR"/>
        </w:rPr>
      </w:pPr>
      <w:r w:rsidRPr="00211162">
        <w:rPr>
          <w:rFonts w:ascii="Arial" w:hAnsi="Arial" w:cs="Arial"/>
          <w:sz w:val="16"/>
          <w:szCs w:val="18"/>
          <w:lang w:eastAsia="es-AR"/>
        </w:rPr>
        <w:t>Ratio de Cobertura de Liquidez</w:t>
      </w:r>
    </w:p>
    <w:p w14:paraId="03661073" w14:textId="77777777" w:rsidR="00280079" w:rsidRPr="00836A9D" w:rsidRDefault="00A2015D" w:rsidP="00627289">
      <w:pPr>
        <w:numPr>
          <w:ilvl w:val="0"/>
          <w:numId w:val="33"/>
        </w:numPr>
        <w:tabs>
          <w:tab w:val="left" w:pos="142"/>
        </w:tabs>
        <w:ind w:left="786"/>
        <w:contextualSpacing/>
        <w:jc w:val="both"/>
        <w:rPr>
          <w:rFonts w:ascii="Arial" w:hAnsi="Arial" w:cs="Arial"/>
          <w:sz w:val="16"/>
          <w:szCs w:val="16"/>
          <w:lang w:eastAsia="es-AR"/>
        </w:rPr>
      </w:pPr>
      <w:r w:rsidRPr="00836A9D">
        <w:rPr>
          <w:rFonts w:ascii="Arial" w:hAnsi="Arial" w:cs="Arial"/>
          <w:sz w:val="16"/>
          <w:szCs w:val="16"/>
          <w:lang w:eastAsia="es-AR"/>
        </w:rPr>
        <w:t>Patrimonio neto atribuible a controladora</w:t>
      </w:r>
      <w:r w:rsidR="005E0D3C" w:rsidRPr="00836A9D">
        <w:rPr>
          <w:rFonts w:ascii="Arial" w:hAnsi="Arial" w:cs="Arial"/>
          <w:sz w:val="16"/>
          <w:szCs w:val="16"/>
          <w:lang w:eastAsia="es-AR"/>
        </w:rPr>
        <w:t xml:space="preserve"> /</w:t>
      </w:r>
      <w:r w:rsidRPr="00836A9D">
        <w:rPr>
          <w:rFonts w:ascii="Arial" w:hAnsi="Arial" w:cs="Arial"/>
          <w:sz w:val="16"/>
          <w:szCs w:val="16"/>
          <w:lang w:eastAsia="es-AR"/>
        </w:rPr>
        <w:t xml:space="preserve"> </w:t>
      </w:r>
      <w:r w:rsidR="00CA188D" w:rsidRPr="00836A9D">
        <w:rPr>
          <w:rFonts w:ascii="Arial" w:hAnsi="Arial" w:cs="Arial"/>
          <w:sz w:val="16"/>
          <w:szCs w:val="16"/>
          <w:lang w:eastAsia="es-AR"/>
        </w:rPr>
        <w:t>Pasivo</w:t>
      </w:r>
      <w:r w:rsidRPr="00836A9D">
        <w:rPr>
          <w:rFonts w:ascii="Arial" w:hAnsi="Arial" w:cs="Arial"/>
          <w:sz w:val="16"/>
          <w:szCs w:val="16"/>
          <w:lang w:eastAsia="es-AR"/>
        </w:rPr>
        <w:t xml:space="preserve"> total</w:t>
      </w:r>
    </w:p>
    <w:p w14:paraId="724394F2" w14:textId="1B8B7154" w:rsidR="00280079" w:rsidRDefault="00280079" w:rsidP="00627289">
      <w:pPr>
        <w:numPr>
          <w:ilvl w:val="0"/>
          <w:numId w:val="33"/>
        </w:numPr>
        <w:tabs>
          <w:tab w:val="left" w:pos="142"/>
        </w:tabs>
        <w:ind w:left="786"/>
        <w:contextualSpacing/>
        <w:jc w:val="both"/>
        <w:rPr>
          <w:rFonts w:ascii="Arial" w:hAnsi="Arial" w:cs="Arial"/>
          <w:sz w:val="16"/>
          <w:szCs w:val="16"/>
          <w:lang w:eastAsia="es-AR"/>
        </w:rPr>
      </w:pPr>
      <w:r w:rsidRPr="00836A9D">
        <w:rPr>
          <w:rFonts w:ascii="Arial" w:hAnsi="Arial" w:cs="Arial"/>
          <w:sz w:val="16"/>
          <w:szCs w:val="16"/>
          <w:lang w:eastAsia="es-AR"/>
        </w:rPr>
        <w:t xml:space="preserve">Activos Inmovilizados / Activos totales </w:t>
      </w:r>
    </w:p>
    <w:p w14:paraId="4F875CC3" w14:textId="3B0139E3" w:rsidR="00F13171" w:rsidRPr="00836A9D" w:rsidRDefault="00F13171" w:rsidP="00627289">
      <w:pPr>
        <w:numPr>
          <w:ilvl w:val="0"/>
          <w:numId w:val="33"/>
        </w:numPr>
        <w:tabs>
          <w:tab w:val="left" w:pos="142"/>
        </w:tabs>
        <w:ind w:left="786"/>
        <w:contextualSpacing/>
        <w:jc w:val="both"/>
        <w:rPr>
          <w:rFonts w:ascii="Arial" w:hAnsi="Arial" w:cs="Arial"/>
          <w:sz w:val="16"/>
          <w:szCs w:val="16"/>
          <w:lang w:eastAsia="es-AR"/>
        </w:rPr>
      </w:pPr>
      <w:r w:rsidRPr="00F13171">
        <w:rPr>
          <w:rFonts w:ascii="Arial" w:hAnsi="Arial" w:cs="Arial"/>
          <w:sz w:val="16"/>
          <w:szCs w:val="16"/>
          <w:lang w:eastAsia="es-AR"/>
        </w:rPr>
        <w:t>Resultado neto atribuible a controladora / Patrimonio neto promedio</w:t>
      </w:r>
    </w:p>
    <w:p w14:paraId="098D7FC7" w14:textId="62583332" w:rsidR="00F4204E" w:rsidRDefault="00F4204E" w:rsidP="00CA188D">
      <w:pPr>
        <w:tabs>
          <w:tab w:val="left" w:pos="142"/>
          <w:tab w:val="left" w:pos="426"/>
        </w:tabs>
        <w:ind w:left="786"/>
        <w:contextualSpacing/>
        <w:jc w:val="both"/>
        <w:rPr>
          <w:rFonts w:ascii="Arial" w:hAnsi="Arial" w:cs="Arial"/>
          <w:sz w:val="20"/>
          <w:lang w:eastAsia="es-AR"/>
        </w:rPr>
      </w:pPr>
    </w:p>
    <w:p w14:paraId="26419A53" w14:textId="0D8C09CA" w:rsidR="00CA188D" w:rsidRPr="00701F32" w:rsidRDefault="00CA188D" w:rsidP="00CA188D">
      <w:pPr>
        <w:tabs>
          <w:tab w:val="left" w:pos="142"/>
          <w:tab w:val="left" w:pos="284"/>
          <w:tab w:val="left" w:pos="426"/>
        </w:tabs>
        <w:jc w:val="both"/>
        <w:rPr>
          <w:rFonts w:ascii="Arial" w:hAnsi="Arial" w:cs="Arial"/>
          <w:sz w:val="20"/>
          <w:u w:val="single"/>
        </w:rPr>
      </w:pPr>
      <w:r w:rsidRPr="00701F32">
        <w:rPr>
          <w:rFonts w:ascii="Arial" w:hAnsi="Arial" w:cs="Arial"/>
          <w:sz w:val="20"/>
          <w:u w:val="single"/>
        </w:rPr>
        <w:t>Perspectivas para el ejercicio 201</w:t>
      </w:r>
      <w:r w:rsidR="00AD7545">
        <w:rPr>
          <w:rFonts w:ascii="Arial" w:hAnsi="Arial" w:cs="Arial"/>
          <w:sz w:val="20"/>
          <w:u w:val="single"/>
        </w:rPr>
        <w:t>9</w:t>
      </w:r>
    </w:p>
    <w:p w14:paraId="3DCA2DFB" w14:textId="77777777" w:rsidR="00CA188D" w:rsidRPr="00701F32" w:rsidRDefault="00CA188D" w:rsidP="00CA188D">
      <w:pPr>
        <w:tabs>
          <w:tab w:val="left" w:pos="142"/>
        </w:tabs>
        <w:jc w:val="both"/>
        <w:rPr>
          <w:rFonts w:ascii="Arial" w:hAnsi="Arial" w:cs="Arial"/>
          <w:sz w:val="20"/>
        </w:rPr>
      </w:pPr>
    </w:p>
    <w:p w14:paraId="4936BED8" w14:textId="77777777" w:rsidR="00DC6200" w:rsidRPr="00DC6200" w:rsidRDefault="00CA188D" w:rsidP="00DC6200">
      <w:pPr>
        <w:tabs>
          <w:tab w:val="left" w:pos="142"/>
          <w:tab w:val="left" w:pos="284"/>
          <w:tab w:val="left" w:pos="426"/>
        </w:tabs>
        <w:jc w:val="both"/>
        <w:rPr>
          <w:rFonts w:ascii="Arial" w:hAnsi="Arial" w:cs="Arial"/>
          <w:sz w:val="20"/>
          <w:lang w:val="es-ES_tradnl"/>
        </w:rPr>
      </w:pPr>
      <w:r w:rsidRPr="00701F32">
        <w:rPr>
          <w:rFonts w:ascii="Arial" w:hAnsi="Arial" w:cs="Arial"/>
          <w:sz w:val="20"/>
        </w:rPr>
        <w:t>La Entidad cuenta con planes estratégicos</w:t>
      </w:r>
      <w:r w:rsidRPr="00701F32">
        <w:rPr>
          <w:rFonts w:ascii="Arial" w:hAnsi="Arial" w:cs="Arial"/>
          <w:sz w:val="20"/>
          <w:lang w:val="es-ES_tradnl"/>
        </w:rPr>
        <w:t xml:space="preserve"> para alcanzar los objetivos fijados. </w:t>
      </w:r>
      <w:r w:rsidR="00DC6200" w:rsidRPr="00DC6200">
        <w:rPr>
          <w:rFonts w:ascii="Arial" w:hAnsi="Arial" w:cs="Arial"/>
          <w:sz w:val="20"/>
          <w:lang w:val="es-ES_tradnl"/>
        </w:rPr>
        <w:t>En 2019, el Banco continuará con la expansión del negocio orientado hacia la innovación en oferta de productos y servicios de calidad con importantes inversiones tanto en infraestructura como en la plataforma tecnológica, potenciando sus negocios mediante el incremento de los niveles de transaccionalidad, de automatización y de productos en línea con las normativas vigentes.</w:t>
      </w:r>
    </w:p>
    <w:p w14:paraId="54443038" w14:textId="77777777" w:rsidR="00DC6200" w:rsidRPr="00DC6200" w:rsidRDefault="00DC6200" w:rsidP="00DC6200">
      <w:pPr>
        <w:tabs>
          <w:tab w:val="left" w:pos="142"/>
          <w:tab w:val="left" w:pos="284"/>
          <w:tab w:val="left" w:pos="426"/>
        </w:tabs>
        <w:jc w:val="both"/>
        <w:rPr>
          <w:rFonts w:ascii="Arial" w:hAnsi="Arial" w:cs="Arial"/>
          <w:sz w:val="20"/>
          <w:lang w:val="es-ES_tradnl"/>
        </w:rPr>
      </w:pPr>
    </w:p>
    <w:p w14:paraId="56FAC6AF" w14:textId="77777777" w:rsidR="00DC6200" w:rsidRPr="00DC6200" w:rsidRDefault="00DC6200" w:rsidP="00DC6200">
      <w:pPr>
        <w:tabs>
          <w:tab w:val="left" w:pos="142"/>
          <w:tab w:val="left" w:pos="284"/>
          <w:tab w:val="left" w:pos="426"/>
        </w:tabs>
        <w:jc w:val="both"/>
        <w:rPr>
          <w:rFonts w:ascii="Arial" w:hAnsi="Arial" w:cs="Arial"/>
          <w:sz w:val="20"/>
          <w:lang w:val="es-ES_tradnl"/>
        </w:rPr>
      </w:pPr>
      <w:r w:rsidRPr="00DC6200">
        <w:rPr>
          <w:rFonts w:ascii="Arial" w:hAnsi="Arial" w:cs="Arial"/>
          <w:sz w:val="20"/>
          <w:lang w:val="es-ES_tradnl"/>
        </w:rPr>
        <w:t>El Plan Estratégico 2019-2020 tiene como ambición lograr una posición destacada en segmentos estratégicos seleccionados. Los pilares principales sobre los cuales está basado este Plan para lograr los objetivos fijados son:</w:t>
      </w:r>
    </w:p>
    <w:p w14:paraId="6DA50874" w14:textId="77777777" w:rsidR="00DC6200" w:rsidRPr="00DC6200" w:rsidRDefault="00DC6200" w:rsidP="00DC6200">
      <w:pPr>
        <w:tabs>
          <w:tab w:val="left" w:pos="142"/>
          <w:tab w:val="left" w:pos="284"/>
          <w:tab w:val="left" w:pos="426"/>
        </w:tabs>
        <w:jc w:val="both"/>
        <w:rPr>
          <w:rFonts w:ascii="Arial" w:hAnsi="Arial" w:cs="Arial"/>
          <w:sz w:val="20"/>
          <w:lang w:val="es-ES_tradnl"/>
        </w:rPr>
      </w:pPr>
    </w:p>
    <w:p w14:paraId="6F424505" w14:textId="77777777" w:rsidR="00DC6200" w:rsidRPr="00DC6200" w:rsidRDefault="00DC6200" w:rsidP="00DC6200">
      <w:pPr>
        <w:tabs>
          <w:tab w:val="left" w:pos="142"/>
          <w:tab w:val="left" w:pos="284"/>
          <w:tab w:val="left" w:pos="426"/>
        </w:tabs>
        <w:jc w:val="both"/>
        <w:rPr>
          <w:rFonts w:ascii="Arial" w:hAnsi="Arial" w:cs="Arial"/>
          <w:sz w:val="20"/>
          <w:lang w:val="es-ES_tradnl"/>
        </w:rPr>
      </w:pPr>
      <w:r w:rsidRPr="00DC6200">
        <w:rPr>
          <w:rFonts w:ascii="Arial" w:hAnsi="Arial" w:cs="Arial"/>
          <w:sz w:val="20"/>
          <w:lang w:val="es-ES_tradnl"/>
        </w:rPr>
        <w:t>1) Ganar en Pymes, con foco en subsegmentos claves.</w:t>
      </w:r>
    </w:p>
    <w:p w14:paraId="5C5ECCD2" w14:textId="77777777" w:rsidR="00DC6200" w:rsidRPr="00DC6200" w:rsidRDefault="00DC6200" w:rsidP="00DC6200">
      <w:pPr>
        <w:tabs>
          <w:tab w:val="left" w:pos="142"/>
          <w:tab w:val="left" w:pos="284"/>
          <w:tab w:val="left" w:pos="426"/>
        </w:tabs>
        <w:jc w:val="both"/>
        <w:rPr>
          <w:rFonts w:ascii="Arial" w:hAnsi="Arial" w:cs="Arial"/>
          <w:sz w:val="20"/>
          <w:lang w:val="es-ES_tradnl"/>
        </w:rPr>
      </w:pPr>
    </w:p>
    <w:p w14:paraId="3BE485CE" w14:textId="77777777" w:rsidR="00DC6200" w:rsidRPr="00DC6200" w:rsidRDefault="00DC6200" w:rsidP="00DC6200">
      <w:pPr>
        <w:tabs>
          <w:tab w:val="left" w:pos="142"/>
          <w:tab w:val="left" w:pos="284"/>
          <w:tab w:val="left" w:pos="426"/>
        </w:tabs>
        <w:jc w:val="both"/>
        <w:rPr>
          <w:rFonts w:ascii="Arial" w:hAnsi="Arial" w:cs="Arial"/>
          <w:sz w:val="20"/>
          <w:lang w:val="es-ES_tradnl"/>
        </w:rPr>
      </w:pPr>
      <w:r w:rsidRPr="00DC6200">
        <w:rPr>
          <w:rFonts w:ascii="Arial" w:hAnsi="Arial" w:cs="Arial"/>
          <w:sz w:val="20"/>
          <w:lang w:val="es-ES_tradnl"/>
        </w:rPr>
        <w:t>2) Potenciar individuos rentables, principalmente vía nóminas en Plan Sueldo y posicionarnos en términos de market share de clientes renta alta.</w:t>
      </w:r>
    </w:p>
    <w:p w14:paraId="48EE10CB" w14:textId="77777777" w:rsidR="00DC6200" w:rsidRPr="00DC6200" w:rsidRDefault="00DC6200" w:rsidP="00DC6200">
      <w:pPr>
        <w:tabs>
          <w:tab w:val="left" w:pos="142"/>
          <w:tab w:val="left" w:pos="284"/>
          <w:tab w:val="left" w:pos="426"/>
        </w:tabs>
        <w:jc w:val="both"/>
        <w:rPr>
          <w:rFonts w:ascii="Arial" w:hAnsi="Arial" w:cs="Arial"/>
          <w:sz w:val="20"/>
          <w:lang w:val="es-ES_tradnl"/>
        </w:rPr>
      </w:pPr>
    </w:p>
    <w:p w14:paraId="7007173B" w14:textId="741F24DE" w:rsidR="00DC6200" w:rsidRPr="00DC6200" w:rsidRDefault="00DC6200" w:rsidP="00DC6200">
      <w:pPr>
        <w:tabs>
          <w:tab w:val="left" w:pos="142"/>
          <w:tab w:val="left" w:pos="284"/>
          <w:tab w:val="left" w:pos="426"/>
        </w:tabs>
        <w:jc w:val="both"/>
        <w:rPr>
          <w:rFonts w:ascii="Arial" w:hAnsi="Arial" w:cs="Arial"/>
          <w:sz w:val="20"/>
          <w:lang w:val="es-ES_tradnl"/>
        </w:rPr>
      </w:pPr>
      <w:r w:rsidRPr="00DC6200">
        <w:rPr>
          <w:rFonts w:ascii="Arial" w:hAnsi="Arial" w:cs="Arial"/>
          <w:sz w:val="20"/>
          <w:lang w:val="es-ES_tradnl"/>
        </w:rPr>
        <w:t>3) Fuerte crecimiento en Megras, a través de la</w:t>
      </w:r>
      <w:r w:rsidR="00D9473F">
        <w:rPr>
          <w:rFonts w:ascii="Arial" w:hAnsi="Arial" w:cs="Arial"/>
          <w:sz w:val="20"/>
          <w:lang w:val="es-ES_tradnl"/>
        </w:rPr>
        <w:t>s</w:t>
      </w:r>
      <w:r w:rsidRPr="00DC6200">
        <w:rPr>
          <w:rFonts w:ascii="Arial" w:hAnsi="Arial" w:cs="Arial"/>
          <w:sz w:val="20"/>
          <w:lang w:val="es-ES_tradnl"/>
        </w:rPr>
        <w:t xml:space="preserve"> mejoras en las relaciones integrales con nuestros clientes y propuestas de valor en Cash Management.</w:t>
      </w:r>
    </w:p>
    <w:p w14:paraId="5B132A51" w14:textId="77777777" w:rsidR="00DC6200" w:rsidRPr="00DC6200" w:rsidRDefault="00DC6200" w:rsidP="00DC6200">
      <w:pPr>
        <w:tabs>
          <w:tab w:val="left" w:pos="142"/>
          <w:tab w:val="left" w:pos="284"/>
          <w:tab w:val="left" w:pos="426"/>
        </w:tabs>
        <w:jc w:val="both"/>
        <w:rPr>
          <w:rFonts w:ascii="Arial" w:hAnsi="Arial" w:cs="Arial"/>
          <w:sz w:val="20"/>
          <w:lang w:val="es-ES_tradnl"/>
        </w:rPr>
      </w:pPr>
    </w:p>
    <w:p w14:paraId="094B573F" w14:textId="77777777" w:rsidR="00DC6200" w:rsidRPr="00DC6200" w:rsidRDefault="00DC6200" w:rsidP="00DC6200">
      <w:pPr>
        <w:tabs>
          <w:tab w:val="left" w:pos="142"/>
          <w:tab w:val="left" w:pos="284"/>
          <w:tab w:val="left" w:pos="426"/>
        </w:tabs>
        <w:jc w:val="both"/>
        <w:rPr>
          <w:rFonts w:ascii="Arial" w:hAnsi="Arial" w:cs="Arial"/>
          <w:sz w:val="20"/>
          <w:lang w:val="es-ES_tradnl"/>
        </w:rPr>
      </w:pPr>
      <w:r w:rsidRPr="00DC6200">
        <w:rPr>
          <w:rFonts w:ascii="Arial" w:hAnsi="Arial" w:cs="Arial"/>
          <w:sz w:val="20"/>
          <w:lang w:val="es-ES_tradnl"/>
        </w:rPr>
        <w:t>4) Rentabilizar el Negocio Previsional, por medio de la digitalización del modelo de atención con el objetivo de ganar en eficiencia, dando más lugar al incremento de negocios dentro de los Centros de Servicio.</w:t>
      </w:r>
    </w:p>
    <w:p w14:paraId="2A5EBBFE" w14:textId="77777777" w:rsidR="00DC6200" w:rsidRPr="00DC6200" w:rsidRDefault="00DC6200" w:rsidP="00DC6200">
      <w:pPr>
        <w:tabs>
          <w:tab w:val="left" w:pos="142"/>
          <w:tab w:val="left" w:pos="284"/>
          <w:tab w:val="left" w:pos="426"/>
        </w:tabs>
        <w:jc w:val="both"/>
        <w:rPr>
          <w:rFonts w:ascii="Arial" w:hAnsi="Arial" w:cs="Arial"/>
          <w:sz w:val="20"/>
          <w:lang w:val="es-ES_tradnl"/>
        </w:rPr>
      </w:pPr>
    </w:p>
    <w:p w14:paraId="0F5ECA48" w14:textId="77777777" w:rsidR="00DC6200" w:rsidRPr="00DC6200" w:rsidRDefault="00DC6200" w:rsidP="00DC6200">
      <w:pPr>
        <w:tabs>
          <w:tab w:val="left" w:pos="142"/>
          <w:tab w:val="left" w:pos="284"/>
          <w:tab w:val="left" w:pos="426"/>
        </w:tabs>
        <w:jc w:val="both"/>
        <w:rPr>
          <w:rFonts w:ascii="Arial" w:hAnsi="Arial" w:cs="Arial"/>
          <w:sz w:val="20"/>
          <w:lang w:val="es-ES_tradnl"/>
        </w:rPr>
      </w:pPr>
      <w:r w:rsidRPr="00DC6200">
        <w:rPr>
          <w:rFonts w:ascii="Arial" w:hAnsi="Arial" w:cs="Arial"/>
          <w:sz w:val="20"/>
          <w:lang w:val="es-ES_tradnl"/>
        </w:rPr>
        <w:t>Durante 2019 Banca Empresas continuará focalizándose en ser el Banco transaccional de sus clientes, para lo cual concentrará sus esfuerzos en potenciar y seguir impulsando comercialmente Cash Management y el crecimiento de los productos estratégicos asociados, con el objetivo de mejorar el cross-sell de la Banca e incrementar el volumen de depósitos por encima del crecimiento promedio de mercado.</w:t>
      </w:r>
    </w:p>
    <w:p w14:paraId="018E473C" w14:textId="77777777" w:rsidR="00D10F7B" w:rsidRDefault="00D10F7B" w:rsidP="00DC6200">
      <w:pPr>
        <w:tabs>
          <w:tab w:val="left" w:pos="142"/>
          <w:tab w:val="left" w:pos="284"/>
          <w:tab w:val="left" w:pos="426"/>
        </w:tabs>
        <w:jc w:val="both"/>
        <w:rPr>
          <w:rFonts w:ascii="Arial" w:hAnsi="Arial" w:cs="Arial"/>
          <w:sz w:val="20"/>
          <w:lang w:val="es-ES_tradnl"/>
        </w:rPr>
      </w:pPr>
    </w:p>
    <w:p w14:paraId="4282D8D0" w14:textId="0EDE4F20" w:rsidR="00DC6200" w:rsidRPr="00DC6200" w:rsidRDefault="00DC6200" w:rsidP="00DC6200">
      <w:pPr>
        <w:tabs>
          <w:tab w:val="left" w:pos="142"/>
          <w:tab w:val="left" w:pos="284"/>
          <w:tab w:val="left" w:pos="426"/>
        </w:tabs>
        <w:jc w:val="both"/>
        <w:rPr>
          <w:rFonts w:ascii="Arial" w:hAnsi="Arial" w:cs="Arial"/>
          <w:sz w:val="20"/>
          <w:lang w:val="es-ES_tradnl"/>
        </w:rPr>
      </w:pPr>
      <w:r w:rsidRPr="00DC6200">
        <w:rPr>
          <w:rFonts w:ascii="Arial" w:hAnsi="Arial" w:cs="Arial"/>
          <w:sz w:val="20"/>
          <w:lang w:val="es-ES_tradnl"/>
        </w:rPr>
        <w:t>Se prevé un crecimiento del volumen de préstamos del orden de 24 % en tanto que en pasivos se aspira a un crecimiento del 55 %.</w:t>
      </w:r>
    </w:p>
    <w:p w14:paraId="666DBA74" w14:textId="77777777" w:rsidR="00D10F7B" w:rsidRDefault="00D10F7B" w:rsidP="00DC6200">
      <w:pPr>
        <w:tabs>
          <w:tab w:val="left" w:pos="142"/>
          <w:tab w:val="left" w:pos="284"/>
          <w:tab w:val="left" w:pos="426"/>
        </w:tabs>
        <w:jc w:val="both"/>
        <w:rPr>
          <w:rFonts w:ascii="Arial" w:hAnsi="Arial" w:cs="Arial"/>
          <w:sz w:val="20"/>
          <w:lang w:val="es-ES_tradnl"/>
        </w:rPr>
      </w:pPr>
    </w:p>
    <w:p w14:paraId="30C4874B" w14:textId="4A4F7CA6" w:rsidR="00DC6200" w:rsidRPr="00DC6200" w:rsidRDefault="00DC6200" w:rsidP="00DC6200">
      <w:pPr>
        <w:tabs>
          <w:tab w:val="left" w:pos="142"/>
          <w:tab w:val="left" w:pos="284"/>
          <w:tab w:val="left" w:pos="426"/>
        </w:tabs>
        <w:jc w:val="both"/>
        <w:rPr>
          <w:rFonts w:ascii="Arial" w:hAnsi="Arial" w:cs="Arial"/>
          <w:sz w:val="20"/>
          <w:lang w:val="es-ES_tradnl"/>
        </w:rPr>
      </w:pPr>
      <w:r w:rsidRPr="00DC6200">
        <w:rPr>
          <w:rFonts w:ascii="Arial" w:hAnsi="Arial" w:cs="Arial"/>
          <w:sz w:val="20"/>
          <w:lang w:val="es-ES_tradnl"/>
        </w:rPr>
        <w:t>Para alcanzar las metas propuestas se profundizará el trabajo de segmentación de la cartera de clientes y las ofertas personalizadas para los sub</w:t>
      </w:r>
      <w:r w:rsidR="00721980">
        <w:rPr>
          <w:rFonts w:ascii="Arial" w:hAnsi="Arial" w:cs="Arial"/>
          <w:sz w:val="20"/>
          <w:lang w:val="es-ES_tradnl"/>
        </w:rPr>
        <w:t>-</w:t>
      </w:r>
      <w:r w:rsidRPr="00DC6200">
        <w:rPr>
          <w:rFonts w:ascii="Arial" w:hAnsi="Arial" w:cs="Arial"/>
          <w:sz w:val="20"/>
          <w:lang w:val="es-ES_tradnl"/>
        </w:rPr>
        <w:t>segmentos estratégicos con énfasis en Pymes.</w:t>
      </w:r>
    </w:p>
    <w:p w14:paraId="2AB8B632" w14:textId="77777777" w:rsidR="00D10F7B" w:rsidRDefault="00D10F7B" w:rsidP="00DC6200">
      <w:pPr>
        <w:tabs>
          <w:tab w:val="left" w:pos="142"/>
          <w:tab w:val="left" w:pos="284"/>
          <w:tab w:val="left" w:pos="426"/>
        </w:tabs>
        <w:jc w:val="both"/>
        <w:rPr>
          <w:rFonts w:ascii="Arial" w:hAnsi="Arial" w:cs="Arial"/>
          <w:sz w:val="20"/>
          <w:lang w:val="es-ES_tradnl"/>
        </w:rPr>
      </w:pPr>
    </w:p>
    <w:p w14:paraId="7E871904" w14:textId="1A96EAC1" w:rsidR="00DC6200" w:rsidRPr="00DC6200" w:rsidRDefault="00DC6200" w:rsidP="00DC6200">
      <w:pPr>
        <w:tabs>
          <w:tab w:val="left" w:pos="142"/>
          <w:tab w:val="left" w:pos="284"/>
          <w:tab w:val="left" w:pos="426"/>
        </w:tabs>
        <w:jc w:val="both"/>
        <w:rPr>
          <w:rFonts w:ascii="Arial" w:hAnsi="Arial" w:cs="Arial"/>
          <w:sz w:val="20"/>
          <w:lang w:val="es-ES_tradnl"/>
        </w:rPr>
      </w:pPr>
      <w:r w:rsidRPr="00DC6200">
        <w:rPr>
          <w:rFonts w:ascii="Arial" w:hAnsi="Arial" w:cs="Arial"/>
          <w:sz w:val="20"/>
          <w:lang w:val="es-ES_tradnl"/>
        </w:rPr>
        <w:t>Negocio Minorista: el principal objetivo de esta unidad es generar una oferta de productos y servicios financieros que permitan cubrir las necesidades de nuestros clientes con altos estándares de calidad y servicio. Préstamos Hipotecarios y Préstamos Prendarios serán grandes focos estratégicos, buscando posicionar al Banco en niveles de market share superiores, dando un impulso definitivo a las líneas nominadas en UVA.</w:t>
      </w:r>
    </w:p>
    <w:p w14:paraId="2864A75E" w14:textId="77777777" w:rsidR="00D10F7B" w:rsidRDefault="00D10F7B" w:rsidP="00DC6200">
      <w:pPr>
        <w:tabs>
          <w:tab w:val="left" w:pos="142"/>
          <w:tab w:val="left" w:pos="284"/>
          <w:tab w:val="left" w:pos="426"/>
        </w:tabs>
        <w:jc w:val="both"/>
        <w:rPr>
          <w:rFonts w:ascii="Arial" w:hAnsi="Arial" w:cs="Arial"/>
          <w:sz w:val="20"/>
          <w:lang w:val="es-ES_tradnl"/>
        </w:rPr>
      </w:pPr>
    </w:p>
    <w:p w14:paraId="1FD7A751" w14:textId="0B326BF7" w:rsidR="00DC6200" w:rsidRPr="00DC6200" w:rsidRDefault="00DC6200" w:rsidP="00DC6200">
      <w:pPr>
        <w:tabs>
          <w:tab w:val="left" w:pos="142"/>
          <w:tab w:val="left" w:pos="284"/>
          <w:tab w:val="left" w:pos="426"/>
        </w:tabs>
        <w:jc w:val="both"/>
        <w:rPr>
          <w:rFonts w:ascii="Arial" w:hAnsi="Arial" w:cs="Arial"/>
          <w:sz w:val="20"/>
          <w:lang w:val="es-ES_tradnl"/>
        </w:rPr>
      </w:pPr>
      <w:r w:rsidRPr="00DC6200">
        <w:rPr>
          <w:rFonts w:ascii="Arial" w:hAnsi="Arial" w:cs="Arial"/>
          <w:sz w:val="20"/>
          <w:lang w:val="es-ES_tradnl"/>
        </w:rPr>
        <w:t>Se ampliará la oferta de productos activos a través de canales digitales con el fin de mejorar el servicio al cliente y brindarle la posibilidad de asesorarse y contratar los productos a través de distintos medios electrónicos.</w:t>
      </w:r>
    </w:p>
    <w:p w14:paraId="2F3A8174" w14:textId="77777777" w:rsidR="00DC6200" w:rsidRPr="00DC6200" w:rsidRDefault="00DC6200" w:rsidP="00DC6200">
      <w:pPr>
        <w:tabs>
          <w:tab w:val="left" w:pos="142"/>
          <w:tab w:val="left" w:pos="284"/>
          <w:tab w:val="left" w:pos="426"/>
        </w:tabs>
        <w:jc w:val="both"/>
        <w:rPr>
          <w:rFonts w:ascii="Arial" w:hAnsi="Arial" w:cs="Arial"/>
          <w:sz w:val="20"/>
          <w:lang w:val="es-ES_tradnl"/>
        </w:rPr>
      </w:pPr>
    </w:p>
    <w:p w14:paraId="72850D5D" w14:textId="77777777" w:rsidR="00DC6200" w:rsidRPr="00DC6200" w:rsidRDefault="00DC6200" w:rsidP="00DC6200">
      <w:pPr>
        <w:tabs>
          <w:tab w:val="left" w:pos="142"/>
          <w:tab w:val="left" w:pos="284"/>
          <w:tab w:val="left" w:pos="426"/>
        </w:tabs>
        <w:jc w:val="both"/>
        <w:rPr>
          <w:rFonts w:ascii="Arial" w:hAnsi="Arial" w:cs="Arial"/>
          <w:sz w:val="20"/>
          <w:lang w:val="es-ES_tradnl"/>
        </w:rPr>
      </w:pPr>
      <w:r w:rsidRPr="00DC6200">
        <w:rPr>
          <w:rFonts w:ascii="Arial" w:hAnsi="Arial" w:cs="Arial"/>
          <w:sz w:val="20"/>
          <w:lang w:val="es-ES_tradnl"/>
        </w:rPr>
        <w:t>Respecto a la actividad habitual de la entidad, la misma continuará ofreciendo y comercializando todas sus líneas de productos activos, tales como Adelantos en Cuenta Corriente, Préstamos a Sola Firma y Descuento de Documentos, Préstamos Personales, Tarjetas de Crédito, Anticipos de Haberes, Préstamos Prendarios y Leasing. Respecto los productos pasivos, la Entidad continuará con la oferta de toda su gama clásica de productos pasivos y de inversión que incluirán los depósitos en Cajas de Ahorro, Tarjetas de Débito, Depósitos a Plazo Fijo y Cuentas Corrientes, además de servicios financieros e inversiones tales como Fondos Comunes de Inversión de terceros, cobertura de Seguros, servicios de Cash Management y Comercio Exterior, Garantías y Pagos de Beneficios a Jubilados y Pensionados.</w:t>
      </w:r>
    </w:p>
    <w:p w14:paraId="755E9AE6" w14:textId="77777777" w:rsidR="00DC6200" w:rsidRDefault="00DC6200" w:rsidP="00DC6200">
      <w:pPr>
        <w:tabs>
          <w:tab w:val="left" w:pos="142"/>
          <w:tab w:val="left" w:pos="284"/>
          <w:tab w:val="left" w:pos="426"/>
        </w:tabs>
        <w:jc w:val="both"/>
        <w:rPr>
          <w:rFonts w:ascii="Arial" w:hAnsi="Arial" w:cs="Arial"/>
          <w:sz w:val="20"/>
          <w:lang w:val="es-ES_tradnl"/>
        </w:rPr>
      </w:pPr>
    </w:p>
    <w:p w14:paraId="197B310F" w14:textId="77777777" w:rsidR="00B4540C" w:rsidRDefault="00B4540C" w:rsidP="00DC6200">
      <w:pPr>
        <w:tabs>
          <w:tab w:val="left" w:pos="142"/>
          <w:tab w:val="left" w:pos="284"/>
          <w:tab w:val="left" w:pos="426"/>
        </w:tabs>
        <w:jc w:val="both"/>
        <w:rPr>
          <w:rFonts w:ascii="Arial" w:hAnsi="Arial" w:cs="Arial"/>
          <w:sz w:val="20"/>
          <w:lang w:val="es-ES_tradnl"/>
        </w:rPr>
      </w:pPr>
    </w:p>
    <w:p w14:paraId="502B83FE" w14:textId="77777777" w:rsidR="00B4540C" w:rsidRDefault="00B4540C" w:rsidP="00DC6200">
      <w:pPr>
        <w:tabs>
          <w:tab w:val="left" w:pos="142"/>
          <w:tab w:val="left" w:pos="284"/>
          <w:tab w:val="left" w:pos="426"/>
        </w:tabs>
        <w:jc w:val="both"/>
        <w:rPr>
          <w:rFonts w:ascii="Arial" w:hAnsi="Arial" w:cs="Arial"/>
          <w:sz w:val="20"/>
          <w:lang w:val="es-ES_tradnl"/>
        </w:rPr>
        <w:sectPr w:rsidR="00B4540C" w:rsidSect="0056039F">
          <w:headerReference w:type="default" r:id="rId71"/>
          <w:footerReference w:type="default" r:id="rId72"/>
          <w:pgSz w:w="11907" w:h="16840" w:code="9"/>
          <w:pgMar w:top="1417" w:right="1701" w:bottom="1417" w:left="1701" w:header="567" w:footer="0" w:gutter="0"/>
          <w:cols w:space="720"/>
          <w:docGrid w:linePitch="272"/>
        </w:sectPr>
      </w:pPr>
    </w:p>
    <w:p w14:paraId="52192AFC" w14:textId="4C0DEC81" w:rsidR="00580FD1" w:rsidRDefault="00580FD1" w:rsidP="00580FD1">
      <w:pPr>
        <w:jc w:val="both"/>
        <w:rPr>
          <w:rFonts w:ascii="Arial" w:hAnsi="Arial" w:cs="Arial"/>
          <w:sz w:val="20"/>
        </w:rPr>
      </w:pPr>
      <w:r>
        <w:rPr>
          <w:rFonts w:ascii="Arial" w:hAnsi="Arial" w:cs="Arial"/>
          <w:sz w:val="20"/>
        </w:rPr>
        <w:t>A continuación, se detalla la información al 3</w:t>
      </w:r>
      <w:r w:rsidR="00C17D99">
        <w:rPr>
          <w:rFonts w:ascii="Arial" w:hAnsi="Arial" w:cs="Arial"/>
          <w:sz w:val="20"/>
        </w:rPr>
        <w:t>1</w:t>
      </w:r>
      <w:r>
        <w:rPr>
          <w:rFonts w:ascii="Arial" w:hAnsi="Arial" w:cs="Arial"/>
          <w:sz w:val="20"/>
        </w:rPr>
        <w:t xml:space="preserve"> de </w:t>
      </w:r>
      <w:r w:rsidR="00C17D99">
        <w:rPr>
          <w:rFonts w:ascii="Arial" w:hAnsi="Arial" w:cs="Arial"/>
          <w:sz w:val="20"/>
        </w:rPr>
        <w:t>diciembre</w:t>
      </w:r>
      <w:r>
        <w:rPr>
          <w:rFonts w:ascii="Arial" w:hAnsi="Arial" w:cs="Arial"/>
          <w:sz w:val="20"/>
        </w:rPr>
        <w:t xml:space="preserve"> de 2019 solicitada por el Art. 12 del Título IV Capítulo III correspondiente al Régimen Informativo Periódico de acuerdo con el Texto Ordenado en 2013 de las Normas dictadas por la Comisión Nacional de Valores.</w:t>
      </w:r>
    </w:p>
    <w:p w14:paraId="2A92D8CB" w14:textId="77777777" w:rsidR="00580FD1" w:rsidRPr="00AB113D" w:rsidRDefault="00580FD1" w:rsidP="00580FD1">
      <w:pPr>
        <w:jc w:val="both"/>
        <w:rPr>
          <w:rFonts w:ascii="Arial" w:hAnsi="Arial" w:cs="Arial"/>
          <w:sz w:val="20"/>
        </w:rPr>
      </w:pPr>
    </w:p>
    <w:p w14:paraId="5E93B604" w14:textId="77777777" w:rsidR="00580FD1" w:rsidRPr="00AB113D" w:rsidRDefault="00580FD1" w:rsidP="00580FD1">
      <w:pPr>
        <w:pStyle w:val="s14-99509"/>
        <w:numPr>
          <w:ilvl w:val="0"/>
          <w:numId w:val="36"/>
        </w:numPr>
        <w:rPr>
          <w:i/>
          <w:iCs/>
          <w:color w:val="auto"/>
        </w:rPr>
      </w:pPr>
      <w:r w:rsidRPr="00AB113D">
        <w:rPr>
          <w:iCs/>
          <w:color w:val="auto"/>
          <w:u w:val="single"/>
        </w:rPr>
        <w:t>Cuestiones generales sobre la actividad de la sociedad</w:t>
      </w:r>
      <w:r>
        <w:rPr>
          <w:iCs/>
          <w:color w:val="auto"/>
        </w:rPr>
        <w:t>.</w:t>
      </w:r>
    </w:p>
    <w:p w14:paraId="63BAA239" w14:textId="77777777" w:rsidR="00580FD1" w:rsidRPr="00AB113D" w:rsidRDefault="00580FD1" w:rsidP="00580FD1">
      <w:pPr>
        <w:pStyle w:val="s14-99509"/>
        <w:ind w:left="1004" w:firstLine="0"/>
        <w:rPr>
          <w:color w:val="auto"/>
        </w:rPr>
      </w:pPr>
    </w:p>
    <w:p w14:paraId="09EE5EB2" w14:textId="77777777" w:rsidR="00580FD1" w:rsidRPr="00AB113D" w:rsidRDefault="00580FD1" w:rsidP="00580FD1">
      <w:pPr>
        <w:pStyle w:val="s14-99509"/>
        <w:numPr>
          <w:ilvl w:val="0"/>
          <w:numId w:val="38"/>
        </w:numPr>
        <w:rPr>
          <w:color w:val="auto"/>
        </w:rPr>
      </w:pPr>
      <w:r w:rsidRPr="00AB113D">
        <w:rPr>
          <w:i/>
          <w:iCs/>
          <w:color w:val="auto"/>
        </w:rPr>
        <w:t>Regímenes jurídicos específicos y significativos que impliquen decaimientos o renacimientos contingentes de beneficios previstos por dichas disposiciones</w:t>
      </w:r>
      <w:r>
        <w:rPr>
          <w:i/>
          <w:iCs/>
          <w:color w:val="auto"/>
        </w:rPr>
        <w:t>.</w:t>
      </w:r>
    </w:p>
    <w:p w14:paraId="18B37B0E" w14:textId="77777777" w:rsidR="00580FD1" w:rsidRPr="00AB113D" w:rsidRDefault="00580FD1" w:rsidP="00580FD1">
      <w:pPr>
        <w:pStyle w:val="s14-99509"/>
        <w:ind w:left="854" w:firstLine="0"/>
        <w:rPr>
          <w:i/>
          <w:iCs/>
          <w:color w:val="auto"/>
        </w:rPr>
      </w:pPr>
    </w:p>
    <w:p w14:paraId="388477E4" w14:textId="77777777" w:rsidR="00580FD1" w:rsidRPr="00283C22" w:rsidRDefault="00580FD1" w:rsidP="00580FD1">
      <w:pPr>
        <w:pStyle w:val="s14-99509"/>
        <w:ind w:left="854" w:firstLine="0"/>
        <w:rPr>
          <w:color w:val="auto"/>
        </w:rPr>
      </w:pPr>
      <w:r w:rsidRPr="00283C22">
        <w:rPr>
          <w:iCs/>
          <w:color w:val="auto"/>
        </w:rPr>
        <w:t>La Entidad no posee tales Regímenes</w:t>
      </w:r>
      <w:r w:rsidRPr="00283C22">
        <w:rPr>
          <w:color w:val="auto"/>
        </w:rPr>
        <w:t>.</w:t>
      </w:r>
    </w:p>
    <w:p w14:paraId="4CF83B52" w14:textId="77777777" w:rsidR="00580FD1" w:rsidRPr="00AB113D" w:rsidRDefault="00580FD1" w:rsidP="00580FD1">
      <w:pPr>
        <w:pStyle w:val="s14-99509"/>
        <w:ind w:left="854" w:firstLine="0"/>
        <w:rPr>
          <w:color w:val="auto"/>
        </w:rPr>
      </w:pPr>
    </w:p>
    <w:p w14:paraId="6A089C4B" w14:textId="77777777" w:rsidR="00580FD1" w:rsidRPr="00AB113D" w:rsidRDefault="00580FD1" w:rsidP="00580FD1">
      <w:pPr>
        <w:pStyle w:val="s14-99509"/>
        <w:tabs>
          <w:tab w:val="left" w:pos="426"/>
        </w:tabs>
        <w:ind w:left="709" w:hanging="425"/>
        <w:rPr>
          <w:i/>
          <w:iCs/>
          <w:color w:val="auto"/>
        </w:rPr>
      </w:pPr>
      <w:r>
        <w:rPr>
          <w:i/>
          <w:iCs/>
          <w:color w:val="auto"/>
        </w:rPr>
        <w:t xml:space="preserve">b)  </w:t>
      </w:r>
      <w:r w:rsidRPr="00AB113D">
        <w:rPr>
          <w:i/>
          <w:iCs/>
          <w:color w:val="auto"/>
        </w:rPr>
        <w:t>Modificaciones significativas en las actividades de la sociedad u otras circunstancias similares</w:t>
      </w:r>
      <w:r w:rsidRPr="00AB113D">
        <w:rPr>
          <w:color w:val="auto"/>
        </w:rPr>
        <w:t xml:space="preserve"> </w:t>
      </w:r>
      <w:r w:rsidRPr="00AB113D">
        <w:rPr>
          <w:i/>
          <w:iCs/>
          <w:color w:val="auto"/>
        </w:rPr>
        <w:t>ocurridas durante los períodos comprendidos por los estados contables que afecten su comparabilidad con los presentados en períodos anteriores, o que podrían afectarla con los que habrán de presentarse en períodos futuros</w:t>
      </w:r>
      <w:r>
        <w:rPr>
          <w:i/>
          <w:iCs/>
          <w:color w:val="auto"/>
        </w:rPr>
        <w:t>.</w:t>
      </w:r>
      <w:r w:rsidRPr="00AB113D">
        <w:rPr>
          <w:i/>
          <w:iCs/>
          <w:color w:val="auto"/>
        </w:rPr>
        <w:t xml:space="preserve"> </w:t>
      </w:r>
    </w:p>
    <w:p w14:paraId="6760CB7A" w14:textId="77777777" w:rsidR="00580FD1" w:rsidRPr="00AB113D" w:rsidRDefault="00580FD1" w:rsidP="00580FD1">
      <w:pPr>
        <w:pStyle w:val="s14-99509"/>
        <w:ind w:left="854" w:firstLine="0"/>
        <w:rPr>
          <w:iCs/>
          <w:color w:val="auto"/>
        </w:rPr>
      </w:pPr>
    </w:p>
    <w:p w14:paraId="076AE62F" w14:textId="77777777" w:rsidR="00580FD1" w:rsidRPr="00AB113D" w:rsidRDefault="00580FD1" w:rsidP="00580FD1">
      <w:pPr>
        <w:pStyle w:val="s14-99509"/>
        <w:ind w:left="854" w:firstLine="0"/>
        <w:rPr>
          <w:i/>
          <w:iCs/>
          <w:color w:val="auto"/>
        </w:rPr>
      </w:pPr>
      <w:r w:rsidRPr="00AB113D">
        <w:rPr>
          <w:iCs/>
          <w:color w:val="auto"/>
        </w:rPr>
        <w:t>La Entidad no posee modificaciones en sus actividades u otras circunstancias similares que afecten la comparabilidad de sus estados contables con los presentados en ejercicios anteriores o que podrían afectar los futuros.</w:t>
      </w:r>
    </w:p>
    <w:p w14:paraId="2B0D4AE7" w14:textId="77777777" w:rsidR="00580FD1" w:rsidRPr="00AB113D" w:rsidRDefault="00580FD1" w:rsidP="00580FD1">
      <w:pPr>
        <w:pStyle w:val="s14-99509"/>
        <w:ind w:left="854" w:firstLine="0"/>
        <w:rPr>
          <w:color w:val="auto"/>
        </w:rPr>
      </w:pPr>
    </w:p>
    <w:p w14:paraId="37FF51BE" w14:textId="4324F20E" w:rsidR="00580FD1" w:rsidRPr="00AB113D" w:rsidRDefault="00580FD1" w:rsidP="00580FD1">
      <w:pPr>
        <w:pStyle w:val="s14-99509"/>
        <w:rPr>
          <w:color w:val="auto"/>
        </w:rPr>
      </w:pPr>
      <w:r w:rsidRPr="00234F83">
        <w:rPr>
          <w:iCs/>
          <w:color w:val="auto"/>
        </w:rPr>
        <w:t>2.</w:t>
      </w:r>
      <w:r w:rsidRPr="00AB113D">
        <w:rPr>
          <w:i/>
          <w:iCs/>
          <w:color w:val="auto"/>
        </w:rPr>
        <w:t xml:space="preserve">       Clasificación de los saldos de créditos y deudas en </w:t>
      </w:r>
      <w:r w:rsidR="002D2F8A">
        <w:rPr>
          <w:i/>
          <w:iCs/>
          <w:color w:val="auto"/>
        </w:rPr>
        <w:t>función de su vencimiento</w:t>
      </w:r>
      <w:r w:rsidRPr="00AB113D">
        <w:rPr>
          <w:i/>
          <w:iCs/>
          <w:color w:val="auto"/>
        </w:rPr>
        <w:t>:</w:t>
      </w:r>
    </w:p>
    <w:p w14:paraId="58EFA6FC" w14:textId="77777777" w:rsidR="00580FD1" w:rsidRPr="00AB113D" w:rsidRDefault="00580FD1" w:rsidP="00580FD1">
      <w:pPr>
        <w:pStyle w:val="s14-99509"/>
        <w:tabs>
          <w:tab w:val="left" w:pos="851"/>
        </w:tabs>
        <w:ind w:left="851" w:hanging="567"/>
        <w:rPr>
          <w:i/>
          <w:iCs/>
          <w:color w:val="auto"/>
        </w:rPr>
      </w:pPr>
      <w:r w:rsidRPr="00AB113D">
        <w:rPr>
          <w:i/>
          <w:iCs/>
          <w:color w:val="auto"/>
        </w:rPr>
        <w:t xml:space="preserve">                    </w:t>
      </w:r>
    </w:p>
    <w:p w14:paraId="7CE5FDE4" w14:textId="0EAD48BE" w:rsidR="00580FD1" w:rsidRPr="00AB113D" w:rsidRDefault="00580FD1" w:rsidP="00580FD1">
      <w:pPr>
        <w:pStyle w:val="s14-99509"/>
        <w:ind w:left="851" w:hanging="567"/>
        <w:rPr>
          <w:iCs/>
          <w:color w:val="auto"/>
        </w:rPr>
      </w:pPr>
      <w:r w:rsidRPr="00AB113D">
        <w:rPr>
          <w:i/>
          <w:iCs/>
          <w:color w:val="auto"/>
        </w:rPr>
        <w:t xml:space="preserve">          </w:t>
      </w:r>
      <w:r w:rsidRPr="00AB113D">
        <w:rPr>
          <w:iCs/>
          <w:color w:val="auto"/>
        </w:rPr>
        <w:t xml:space="preserve">La clasificación de los saldos de créditos y deudas de acuerdo a su plazo de vencimiento se encuentra detallada, respectivamente, en el Anexo D y en el Anexo I de los </w:t>
      </w:r>
      <w:r>
        <w:rPr>
          <w:iCs/>
          <w:color w:val="auto"/>
        </w:rPr>
        <w:t>e</w:t>
      </w:r>
      <w:r w:rsidRPr="00AB113D">
        <w:rPr>
          <w:iCs/>
          <w:color w:val="auto"/>
        </w:rPr>
        <w:t xml:space="preserve">stados </w:t>
      </w:r>
      <w:r>
        <w:rPr>
          <w:iCs/>
          <w:color w:val="auto"/>
        </w:rPr>
        <w:t xml:space="preserve">financieros consolidados y </w:t>
      </w:r>
      <w:r w:rsidRPr="00AB113D">
        <w:rPr>
          <w:iCs/>
          <w:color w:val="auto"/>
        </w:rPr>
        <w:t>s</w:t>
      </w:r>
      <w:r>
        <w:rPr>
          <w:iCs/>
          <w:color w:val="auto"/>
        </w:rPr>
        <w:t>eparados al 3</w:t>
      </w:r>
      <w:r w:rsidR="008E5782">
        <w:rPr>
          <w:iCs/>
          <w:color w:val="auto"/>
        </w:rPr>
        <w:t>1</w:t>
      </w:r>
      <w:r>
        <w:rPr>
          <w:iCs/>
          <w:color w:val="auto"/>
        </w:rPr>
        <w:t xml:space="preserve"> de </w:t>
      </w:r>
      <w:r w:rsidR="008E5782">
        <w:rPr>
          <w:iCs/>
          <w:color w:val="auto"/>
        </w:rPr>
        <w:t>dic</w:t>
      </w:r>
      <w:r>
        <w:rPr>
          <w:iCs/>
          <w:color w:val="auto"/>
        </w:rPr>
        <w:t>iembre de 2019</w:t>
      </w:r>
      <w:r w:rsidRPr="00AB113D">
        <w:rPr>
          <w:iCs/>
          <w:color w:val="auto"/>
        </w:rPr>
        <w:t>.</w:t>
      </w:r>
      <w:r w:rsidR="00455CE7">
        <w:rPr>
          <w:iCs/>
          <w:color w:val="auto"/>
        </w:rPr>
        <w:t xml:space="preserve"> Vease además nota 29 a los estados financieros consolidados y nota 28 a los estados financieros separados al 31 de diciembre de 2019.</w:t>
      </w:r>
    </w:p>
    <w:p w14:paraId="1E4A06B2" w14:textId="77777777" w:rsidR="00580FD1" w:rsidRPr="00AB113D" w:rsidRDefault="00580FD1" w:rsidP="00580FD1">
      <w:pPr>
        <w:pStyle w:val="s14-99509"/>
        <w:ind w:left="851" w:hanging="567"/>
        <w:rPr>
          <w:iCs/>
          <w:color w:val="auto"/>
        </w:rPr>
      </w:pPr>
    </w:p>
    <w:p w14:paraId="18EF9FAD" w14:textId="77777777" w:rsidR="00580FD1" w:rsidRPr="00AB113D" w:rsidRDefault="00580FD1" w:rsidP="00580FD1">
      <w:pPr>
        <w:pStyle w:val="s14-99509"/>
        <w:tabs>
          <w:tab w:val="left" w:pos="284"/>
          <w:tab w:val="left" w:pos="851"/>
        </w:tabs>
        <w:ind w:left="851" w:hanging="851"/>
        <w:rPr>
          <w:color w:val="auto"/>
        </w:rPr>
      </w:pPr>
      <w:r w:rsidRPr="00AB113D">
        <w:rPr>
          <w:i/>
          <w:iCs/>
          <w:color w:val="auto"/>
        </w:rPr>
        <w:t xml:space="preserve">     </w:t>
      </w:r>
      <w:r w:rsidRPr="00234F83">
        <w:rPr>
          <w:iCs/>
          <w:color w:val="auto"/>
        </w:rPr>
        <w:t>3</w:t>
      </w:r>
      <w:r w:rsidRPr="00AB113D">
        <w:rPr>
          <w:i/>
          <w:iCs/>
          <w:color w:val="auto"/>
        </w:rPr>
        <w:t xml:space="preserve">.   </w:t>
      </w:r>
      <w:r>
        <w:rPr>
          <w:i/>
          <w:iCs/>
          <w:color w:val="auto"/>
        </w:rPr>
        <w:t xml:space="preserve"> </w:t>
      </w:r>
      <w:r w:rsidRPr="00AB113D">
        <w:rPr>
          <w:i/>
          <w:iCs/>
          <w:color w:val="auto"/>
        </w:rPr>
        <w:t> Clasificación de los créditos y deudas, de manera que permita conocer los efectos          financieros que produce su mantenimiento. La misma debe posibilitar la identificación de:</w:t>
      </w:r>
    </w:p>
    <w:p w14:paraId="3BCD6E7D" w14:textId="77777777" w:rsidR="00580FD1" w:rsidRPr="00AB113D" w:rsidRDefault="00580FD1" w:rsidP="00580FD1">
      <w:pPr>
        <w:pStyle w:val="s14-99509"/>
        <w:rPr>
          <w:color w:val="auto"/>
        </w:rPr>
      </w:pPr>
      <w:r w:rsidRPr="00AB113D">
        <w:rPr>
          <w:i/>
          <w:iCs/>
          <w:color w:val="auto"/>
        </w:rPr>
        <w:t xml:space="preserve">           a)  Las cuentas en moneda nacional, en moneda extranjera y en especie;</w:t>
      </w:r>
    </w:p>
    <w:p w14:paraId="5314858E" w14:textId="77777777" w:rsidR="00580FD1" w:rsidRPr="00AB113D" w:rsidRDefault="00580FD1" w:rsidP="00580FD1">
      <w:pPr>
        <w:pStyle w:val="s14-99509"/>
        <w:rPr>
          <w:color w:val="auto"/>
        </w:rPr>
      </w:pPr>
      <w:r w:rsidRPr="00AB113D">
        <w:rPr>
          <w:i/>
          <w:iCs/>
          <w:color w:val="auto"/>
        </w:rPr>
        <w:t xml:space="preserve">           b)  Los saldos sujetos a cláusulas de ajuste y los que no lo están;</w:t>
      </w:r>
    </w:p>
    <w:p w14:paraId="34C3C9CB" w14:textId="555471C0" w:rsidR="00702B2F" w:rsidRPr="00AB113D" w:rsidRDefault="00580FD1" w:rsidP="00580FD1">
      <w:pPr>
        <w:pStyle w:val="s14-99509"/>
        <w:tabs>
          <w:tab w:val="left" w:pos="851"/>
        </w:tabs>
        <w:rPr>
          <w:i/>
          <w:iCs/>
          <w:color w:val="auto"/>
        </w:rPr>
      </w:pPr>
      <w:r w:rsidRPr="00AB113D">
        <w:rPr>
          <w:i/>
          <w:iCs/>
          <w:color w:val="auto"/>
        </w:rPr>
        <w:t xml:space="preserve">           c)  Los saldos que devengan intereses y los que no lo hacen</w:t>
      </w:r>
      <w:r>
        <w:rPr>
          <w:i/>
          <w:iCs/>
          <w:color w:val="auto"/>
        </w:rPr>
        <w:t>.</w:t>
      </w:r>
    </w:p>
    <w:p w14:paraId="56214736" w14:textId="77777777" w:rsidR="00702B2F" w:rsidRPr="00AB113D" w:rsidRDefault="00702B2F" w:rsidP="00702B2F">
      <w:pPr>
        <w:pStyle w:val="s14-99509"/>
        <w:tabs>
          <w:tab w:val="left" w:pos="851"/>
        </w:tabs>
        <w:rPr>
          <w:i/>
          <w:iCs/>
          <w:color w:val="auto"/>
        </w:rPr>
      </w:pPr>
      <w:r w:rsidRPr="00AB113D">
        <w:rPr>
          <w:i/>
          <w:iCs/>
          <w:color w:val="auto"/>
        </w:rPr>
        <w:t xml:space="preserve">  </w:t>
      </w:r>
    </w:p>
    <w:p w14:paraId="2C7B03F4" w14:textId="358E6A59" w:rsidR="00702B2F" w:rsidRDefault="00702B2F" w:rsidP="00AA04EC">
      <w:pPr>
        <w:pStyle w:val="s14-99509"/>
        <w:tabs>
          <w:tab w:val="left" w:pos="851"/>
        </w:tabs>
        <w:rPr>
          <w:iCs/>
          <w:color w:val="auto"/>
        </w:rPr>
      </w:pPr>
      <w:r w:rsidRPr="00AB113D">
        <w:rPr>
          <w:i/>
          <w:iCs/>
          <w:color w:val="auto"/>
        </w:rPr>
        <w:t xml:space="preserve">          </w:t>
      </w:r>
      <w:r w:rsidRPr="00AB113D">
        <w:rPr>
          <w:iCs/>
          <w:color w:val="auto"/>
        </w:rPr>
        <w:t xml:space="preserve"> Se detalla cuadro a continuación:</w:t>
      </w:r>
    </w:p>
    <w:p w14:paraId="06537844" w14:textId="63D5F125" w:rsidR="00702B2F" w:rsidRDefault="00702B2F" w:rsidP="00702B2F">
      <w:pPr>
        <w:pStyle w:val="s14-99509"/>
        <w:tabs>
          <w:tab w:val="left" w:pos="851"/>
        </w:tabs>
        <w:rPr>
          <w:iCs/>
          <w:color w:val="auto"/>
        </w:rPr>
      </w:pPr>
    </w:p>
    <w:p w14:paraId="21910ED5" w14:textId="77777777" w:rsidR="00E355F7" w:rsidRPr="00AB113D" w:rsidRDefault="00E355F7" w:rsidP="00702B2F">
      <w:pPr>
        <w:pStyle w:val="s14-99509"/>
        <w:tabs>
          <w:tab w:val="left" w:pos="851"/>
        </w:tabs>
        <w:rPr>
          <w:iCs/>
          <w:color w:val="auto"/>
        </w:rPr>
      </w:pPr>
    </w:p>
    <w:tbl>
      <w:tblPr>
        <w:tblW w:w="11363" w:type="dxa"/>
        <w:tblInd w:w="-1139" w:type="dxa"/>
        <w:tblCellMar>
          <w:left w:w="70" w:type="dxa"/>
          <w:right w:w="70" w:type="dxa"/>
        </w:tblCellMar>
        <w:tblLook w:val="04A0" w:firstRow="1" w:lastRow="0" w:firstColumn="1" w:lastColumn="0" w:noHBand="0" w:noVBand="1"/>
      </w:tblPr>
      <w:tblGrid>
        <w:gridCol w:w="3402"/>
        <w:gridCol w:w="919"/>
        <w:gridCol w:w="988"/>
        <w:gridCol w:w="851"/>
        <w:gridCol w:w="841"/>
        <w:gridCol w:w="850"/>
        <w:gridCol w:w="841"/>
        <w:gridCol w:w="989"/>
        <w:gridCol w:w="841"/>
        <w:gridCol w:w="841"/>
      </w:tblGrid>
      <w:tr w:rsidR="00AA04EC" w:rsidRPr="00E355F7" w14:paraId="528FB1E2" w14:textId="77777777" w:rsidTr="00C954B5">
        <w:trPr>
          <w:trHeight w:val="165"/>
          <w:tblHeader/>
        </w:trPr>
        <w:tc>
          <w:tcPr>
            <w:tcW w:w="11363" w:type="dxa"/>
            <w:gridSpan w:val="10"/>
            <w:tcBorders>
              <w:top w:val="single" w:sz="4" w:space="0" w:color="363639"/>
              <w:left w:val="single" w:sz="4" w:space="0" w:color="363639"/>
              <w:bottom w:val="single" w:sz="4" w:space="0" w:color="363639"/>
              <w:right w:val="single" w:sz="4" w:space="0" w:color="363639"/>
            </w:tcBorders>
            <w:shd w:val="clear" w:color="000000" w:fill="D9D9D9"/>
            <w:noWrap/>
            <w:vAlign w:val="center"/>
          </w:tcPr>
          <w:p w14:paraId="3A045077" w14:textId="77777777"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Información en miles de pesos</w:t>
            </w:r>
          </w:p>
        </w:tc>
      </w:tr>
      <w:tr w:rsidR="00AA04EC" w:rsidRPr="00E355F7" w14:paraId="528B5CEF" w14:textId="77777777" w:rsidTr="00C954B5">
        <w:trPr>
          <w:trHeight w:val="210"/>
          <w:tblHeader/>
        </w:trPr>
        <w:tc>
          <w:tcPr>
            <w:tcW w:w="3402" w:type="dxa"/>
            <w:vMerge w:val="restart"/>
            <w:tcBorders>
              <w:top w:val="single" w:sz="4" w:space="0" w:color="363639"/>
              <w:left w:val="single" w:sz="4" w:space="0" w:color="auto"/>
              <w:bottom w:val="single" w:sz="4" w:space="0" w:color="000000"/>
              <w:right w:val="single" w:sz="4" w:space="0" w:color="auto"/>
            </w:tcBorders>
            <w:shd w:val="clear" w:color="000000" w:fill="D9D9D9"/>
            <w:noWrap/>
            <w:vAlign w:val="center"/>
            <w:hideMark/>
          </w:tcPr>
          <w:p w14:paraId="6DA7FDF8" w14:textId="2647C83E"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Estados Financieros al 3</w:t>
            </w:r>
            <w:r w:rsidR="00455CE7">
              <w:rPr>
                <w:rFonts w:ascii="Arial" w:hAnsi="Arial" w:cs="Arial"/>
                <w:b/>
                <w:bCs/>
                <w:sz w:val="14"/>
                <w:szCs w:val="14"/>
                <w:lang w:eastAsia="es-AR"/>
              </w:rPr>
              <w:t>1</w:t>
            </w:r>
            <w:r w:rsidRPr="00E355F7">
              <w:rPr>
                <w:rFonts w:ascii="Arial" w:hAnsi="Arial" w:cs="Arial"/>
                <w:b/>
                <w:bCs/>
                <w:sz w:val="14"/>
                <w:szCs w:val="14"/>
                <w:lang w:eastAsia="es-AR"/>
              </w:rPr>
              <w:t>/</w:t>
            </w:r>
            <w:r w:rsidR="00455CE7">
              <w:rPr>
                <w:rFonts w:ascii="Arial" w:hAnsi="Arial" w:cs="Arial"/>
                <w:b/>
                <w:bCs/>
                <w:sz w:val="14"/>
                <w:szCs w:val="14"/>
                <w:lang w:eastAsia="es-AR"/>
              </w:rPr>
              <w:t>12</w:t>
            </w:r>
            <w:r w:rsidRPr="00E355F7">
              <w:rPr>
                <w:rFonts w:ascii="Arial" w:hAnsi="Arial" w:cs="Arial"/>
                <w:b/>
                <w:bCs/>
                <w:sz w:val="14"/>
                <w:szCs w:val="14"/>
                <w:lang w:eastAsia="es-AR"/>
              </w:rPr>
              <w:t>/19</w:t>
            </w:r>
          </w:p>
        </w:tc>
        <w:tc>
          <w:tcPr>
            <w:tcW w:w="5290" w:type="dxa"/>
            <w:gridSpan w:val="6"/>
            <w:tcBorders>
              <w:top w:val="single" w:sz="4" w:space="0" w:color="363639"/>
              <w:left w:val="nil"/>
              <w:bottom w:val="single" w:sz="4" w:space="0" w:color="auto"/>
              <w:right w:val="single" w:sz="4" w:space="0" w:color="auto"/>
            </w:tcBorders>
            <w:shd w:val="clear" w:color="000000" w:fill="D9D9D9"/>
            <w:vAlign w:val="center"/>
            <w:hideMark/>
          </w:tcPr>
          <w:p w14:paraId="6A3E5951" w14:textId="7F661047"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Moneda Nacional</w:t>
            </w:r>
          </w:p>
        </w:tc>
        <w:tc>
          <w:tcPr>
            <w:tcW w:w="2671" w:type="dxa"/>
            <w:gridSpan w:val="3"/>
            <w:tcBorders>
              <w:top w:val="single" w:sz="4" w:space="0" w:color="363639"/>
              <w:left w:val="nil"/>
              <w:bottom w:val="single" w:sz="4" w:space="0" w:color="auto"/>
              <w:right w:val="single" w:sz="4" w:space="0" w:color="auto"/>
            </w:tcBorders>
            <w:shd w:val="clear" w:color="000000" w:fill="D9D9D9"/>
            <w:noWrap/>
            <w:vAlign w:val="center"/>
            <w:hideMark/>
          </w:tcPr>
          <w:p w14:paraId="087D8607" w14:textId="51492D92"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Moneda Extranjera</w:t>
            </w:r>
          </w:p>
        </w:tc>
      </w:tr>
      <w:tr w:rsidR="00AA04EC" w:rsidRPr="00E355F7" w14:paraId="68DCEE03" w14:textId="77777777" w:rsidTr="00C954B5">
        <w:trPr>
          <w:trHeight w:val="142"/>
          <w:tblHeader/>
        </w:trPr>
        <w:tc>
          <w:tcPr>
            <w:tcW w:w="3402" w:type="dxa"/>
            <w:vMerge/>
            <w:tcBorders>
              <w:top w:val="nil"/>
              <w:left w:val="single" w:sz="4" w:space="0" w:color="auto"/>
              <w:bottom w:val="single" w:sz="4" w:space="0" w:color="000000"/>
              <w:right w:val="single" w:sz="4" w:space="0" w:color="auto"/>
            </w:tcBorders>
            <w:vAlign w:val="center"/>
            <w:hideMark/>
          </w:tcPr>
          <w:p w14:paraId="477924F9" w14:textId="77777777" w:rsidR="00AA04EC" w:rsidRPr="00E355F7" w:rsidRDefault="00AA04EC" w:rsidP="00AA04EC">
            <w:pPr>
              <w:rPr>
                <w:rFonts w:ascii="Arial" w:hAnsi="Arial" w:cs="Arial"/>
                <w:b/>
                <w:bCs/>
                <w:sz w:val="14"/>
                <w:szCs w:val="14"/>
                <w:lang w:eastAsia="es-AR"/>
              </w:rPr>
            </w:pPr>
          </w:p>
        </w:tc>
        <w:tc>
          <w:tcPr>
            <w:tcW w:w="919" w:type="dxa"/>
            <w:tcBorders>
              <w:top w:val="nil"/>
              <w:left w:val="nil"/>
              <w:bottom w:val="single" w:sz="4" w:space="0" w:color="auto"/>
              <w:right w:val="single" w:sz="4" w:space="0" w:color="auto"/>
            </w:tcBorders>
            <w:shd w:val="clear" w:color="000000" w:fill="D9D9D9"/>
            <w:vAlign w:val="center"/>
            <w:hideMark/>
          </w:tcPr>
          <w:p w14:paraId="0D8C50BB" w14:textId="77777777"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Saldos al cierre</w:t>
            </w:r>
          </w:p>
        </w:tc>
        <w:tc>
          <w:tcPr>
            <w:tcW w:w="988" w:type="dxa"/>
            <w:tcBorders>
              <w:top w:val="nil"/>
              <w:left w:val="nil"/>
              <w:bottom w:val="single" w:sz="4" w:space="0" w:color="auto"/>
              <w:right w:val="single" w:sz="4" w:space="0" w:color="auto"/>
            </w:tcBorders>
            <w:shd w:val="clear" w:color="000000" w:fill="D9D9D9"/>
            <w:vAlign w:val="center"/>
            <w:hideMark/>
          </w:tcPr>
          <w:p w14:paraId="5B01DB77" w14:textId="77777777"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Sin Rendimiento</w:t>
            </w:r>
          </w:p>
        </w:tc>
        <w:tc>
          <w:tcPr>
            <w:tcW w:w="851" w:type="dxa"/>
            <w:tcBorders>
              <w:top w:val="nil"/>
              <w:left w:val="nil"/>
              <w:bottom w:val="single" w:sz="4" w:space="0" w:color="auto"/>
              <w:right w:val="single" w:sz="4" w:space="0" w:color="auto"/>
            </w:tcBorders>
            <w:shd w:val="clear" w:color="000000" w:fill="D9D9D9"/>
            <w:vAlign w:val="center"/>
            <w:hideMark/>
          </w:tcPr>
          <w:p w14:paraId="714D53A5" w14:textId="77777777"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Tasa interés variable</w:t>
            </w:r>
          </w:p>
        </w:tc>
        <w:tc>
          <w:tcPr>
            <w:tcW w:w="841" w:type="dxa"/>
            <w:tcBorders>
              <w:top w:val="nil"/>
              <w:left w:val="nil"/>
              <w:bottom w:val="single" w:sz="4" w:space="0" w:color="auto"/>
              <w:right w:val="single" w:sz="4" w:space="0" w:color="auto"/>
            </w:tcBorders>
            <w:shd w:val="clear" w:color="000000" w:fill="D9D9D9"/>
            <w:vAlign w:val="center"/>
            <w:hideMark/>
          </w:tcPr>
          <w:p w14:paraId="3E8EE4F7" w14:textId="77777777"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Tasa interés fija</w:t>
            </w:r>
          </w:p>
        </w:tc>
        <w:tc>
          <w:tcPr>
            <w:tcW w:w="850" w:type="dxa"/>
            <w:tcBorders>
              <w:top w:val="nil"/>
              <w:left w:val="nil"/>
              <w:bottom w:val="single" w:sz="4" w:space="0" w:color="auto"/>
              <w:right w:val="single" w:sz="4" w:space="0" w:color="auto"/>
            </w:tcBorders>
            <w:shd w:val="clear" w:color="000000" w:fill="D9D9D9"/>
            <w:noWrap/>
            <w:vAlign w:val="center"/>
            <w:hideMark/>
          </w:tcPr>
          <w:p w14:paraId="0AF2B3AC" w14:textId="77777777"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CER/UVA</w:t>
            </w:r>
          </w:p>
        </w:tc>
        <w:tc>
          <w:tcPr>
            <w:tcW w:w="841" w:type="dxa"/>
            <w:tcBorders>
              <w:top w:val="nil"/>
              <w:left w:val="nil"/>
              <w:bottom w:val="single" w:sz="4" w:space="0" w:color="auto"/>
              <w:right w:val="single" w:sz="4" w:space="0" w:color="auto"/>
            </w:tcBorders>
            <w:shd w:val="clear" w:color="000000" w:fill="D9D9D9"/>
            <w:noWrap/>
            <w:vAlign w:val="center"/>
            <w:hideMark/>
          </w:tcPr>
          <w:p w14:paraId="1BE37C18" w14:textId="77777777"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Cotizables</w:t>
            </w:r>
          </w:p>
        </w:tc>
        <w:tc>
          <w:tcPr>
            <w:tcW w:w="989" w:type="dxa"/>
            <w:tcBorders>
              <w:top w:val="nil"/>
              <w:left w:val="nil"/>
              <w:bottom w:val="single" w:sz="4" w:space="0" w:color="auto"/>
              <w:right w:val="single" w:sz="4" w:space="0" w:color="auto"/>
            </w:tcBorders>
            <w:shd w:val="clear" w:color="000000" w:fill="D9D9D9"/>
            <w:vAlign w:val="center"/>
            <w:hideMark/>
          </w:tcPr>
          <w:p w14:paraId="011C5773" w14:textId="77777777"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Sin Rendimiento</w:t>
            </w:r>
          </w:p>
        </w:tc>
        <w:tc>
          <w:tcPr>
            <w:tcW w:w="841" w:type="dxa"/>
            <w:tcBorders>
              <w:top w:val="nil"/>
              <w:left w:val="nil"/>
              <w:bottom w:val="single" w:sz="4" w:space="0" w:color="auto"/>
              <w:right w:val="single" w:sz="4" w:space="0" w:color="auto"/>
            </w:tcBorders>
            <w:shd w:val="clear" w:color="000000" w:fill="D9D9D9"/>
            <w:noWrap/>
            <w:vAlign w:val="center"/>
            <w:hideMark/>
          </w:tcPr>
          <w:p w14:paraId="37538921" w14:textId="77777777"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Tasa interés</w:t>
            </w:r>
          </w:p>
        </w:tc>
        <w:tc>
          <w:tcPr>
            <w:tcW w:w="841" w:type="dxa"/>
            <w:tcBorders>
              <w:top w:val="nil"/>
              <w:left w:val="nil"/>
              <w:bottom w:val="single" w:sz="4" w:space="0" w:color="auto"/>
              <w:right w:val="single" w:sz="4" w:space="0" w:color="auto"/>
            </w:tcBorders>
            <w:shd w:val="clear" w:color="000000" w:fill="D9D9D9"/>
            <w:noWrap/>
            <w:vAlign w:val="center"/>
            <w:hideMark/>
          </w:tcPr>
          <w:p w14:paraId="1AC0933B" w14:textId="77777777" w:rsidR="00AA04EC" w:rsidRPr="00E355F7" w:rsidRDefault="00AA04EC" w:rsidP="00AA04EC">
            <w:pPr>
              <w:jc w:val="center"/>
              <w:rPr>
                <w:rFonts w:ascii="Arial" w:hAnsi="Arial" w:cs="Arial"/>
                <w:b/>
                <w:bCs/>
                <w:sz w:val="14"/>
                <w:szCs w:val="14"/>
                <w:lang w:eastAsia="es-AR"/>
              </w:rPr>
            </w:pPr>
            <w:r w:rsidRPr="00E355F7">
              <w:rPr>
                <w:rFonts w:ascii="Arial" w:hAnsi="Arial" w:cs="Arial"/>
                <w:b/>
                <w:bCs/>
                <w:sz w:val="14"/>
                <w:szCs w:val="14"/>
                <w:lang w:eastAsia="es-AR"/>
              </w:rPr>
              <w:t>Cotizables</w:t>
            </w:r>
          </w:p>
        </w:tc>
      </w:tr>
      <w:tr w:rsidR="00455CE7" w:rsidRPr="00E355F7" w14:paraId="4333A15F" w14:textId="77777777" w:rsidTr="00066653">
        <w:trPr>
          <w:trHeight w:val="134"/>
        </w:trPr>
        <w:tc>
          <w:tcPr>
            <w:tcW w:w="3402" w:type="dxa"/>
            <w:tcBorders>
              <w:top w:val="nil"/>
              <w:left w:val="single" w:sz="4" w:space="0" w:color="auto"/>
              <w:bottom w:val="single" w:sz="4" w:space="0" w:color="auto"/>
              <w:right w:val="single" w:sz="4" w:space="0" w:color="auto"/>
            </w:tcBorders>
            <w:shd w:val="clear" w:color="000000" w:fill="D9D9D9"/>
            <w:hideMark/>
          </w:tcPr>
          <w:p w14:paraId="7EA3D00A" w14:textId="77777777" w:rsidR="00455CE7" w:rsidRPr="00E355F7" w:rsidRDefault="00455CE7" w:rsidP="00455CE7">
            <w:pPr>
              <w:jc w:val="center"/>
              <w:rPr>
                <w:rFonts w:ascii="Arial" w:hAnsi="Arial" w:cs="Arial"/>
                <w:b/>
                <w:bCs/>
                <w:sz w:val="14"/>
                <w:szCs w:val="14"/>
                <w:lang w:eastAsia="es-AR"/>
              </w:rPr>
            </w:pPr>
            <w:r w:rsidRPr="00E355F7">
              <w:rPr>
                <w:rFonts w:ascii="Arial" w:hAnsi="Arial" w:cs="Arial"/>
                <w:b/>
                <w:bCs/>
                <w:sz w:val="14"/>
                <w:szCs w:val="14"/>
                <w:lang w:eastAsia="es-AR"/>
              </w:rPr>
              <w:t>ACTIVO</w:t>
            </w:r>
          </w:p>
        </w:tc>
        <w:tc>
          <w:tcPr>
            <w:tcW w:w="919" w:type="dxa"/>
            <w:tcBorders>
              <w:top w:val="nil"/>
              <w:left w:val="nil"/>
              <w:bottom w:val="single" w:sz="4" w:space="0" w:color="363639"/>
              <w:right w:val="single" w:sz="4" w:space="0" w:color="363639"/>
            </w:tcBorders>
            <w:shd w:val="clear" w:color="000000" w:fill="D9D9D9"/>
            <w:noWrap/>
            <w:vAlign w:val="bottom"/>
          </w:tcPr>
          <w:p w14:paraId="6D70FF80" w14:textId="2AD9B596"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137.930.368 </w:t>
            </w:r>
          </w:p>
        </w:tc>
        <w:tc>
          <w:tcPr>
            <w:tcW w:w="988" w:type="dxa"/>
            <w:tcBorders>
              <w:top w:val="nil"/>
              <w:left w:val="single" w:sz="4" w:space="0" w:color="auto"/>
              <w:bottom w:val="single" w:sz="4" w:space="0" w:color="auto"/>
              <w:right w:val="single" w:sz="4" w:space="0" w:color="auto"/>
            </w:tcBorders>
            <w:shd w:val="clear" w:color="000000" w:fill="D9D9D9"/>
            <w:noWrap/>
            <w:vAlign w:val="bottom"/>
          </w:tcPr>
          <w:p w14:paraId="2306B2AF" w14:textId="7D1804C5"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41.760.926 </w:t>
            </w:r>
          </w:p>
        </w:tc>
        <w:tc>
          <w:tcPr>
            <w:tcW w:w="851" w:type="dxa"/>
            <w:tcBorders>
              <w:top w:val="nil"/>
              <w:left w:val="nil"/>
              <w:bottom w:val="single" w:sz="4" w:space="0" w:color="auto"/>
              <w:right w:val="single" w:sz="4" w:space="0" w:color="auto"/>
            </w:tcBorders>
            <w:shd w:val="clear" w:color="000000" w:fill="D9D9D9"/>
            <w:noWrap/>
            <w:vAlign w:val="bottom"/>
          </w:tcPr>
          <w:p w14:paraId="5301ADAD" w14:textId="1D7BEC22"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1.638.277 </w:t>
            </w:r>
          </w:p>
        </w:tc>
        <w:tc>
          <w:tcPr>
            <w:tcW w:w="841" w:type="dxa"/>
            <w:tcBorders>
              <w:top w:val="nil"/>
              <w:left w:val="nil"/>
              <w:bottom w:val="single" w:sz="4" w:space="0" w:color="auto"/>
              <w:right w:val="single" w:sz="4" w:space="0" w:color="auto"/>
            </w:tcBorders>
            <w:shd w:val="clear" w:color="000000" w:fill="D9D9D9"/>
            <w:noWrap/>
            <w:vAlign w:val="bottom"/>
          </w:tcPr>
          <w:p w14:paraId="0270B858" w14:textId="361EA3DA"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51.568.714 </w:t>
            </w:r>
          </w:p>
        </w:tc>
        <w:tc>
          <w:tcPr>
            <w:tcW w:w="850" w:type="dxa"/>
            <w:tcBorders>
              <w:top w:val="nil"/>
              <w:left w:val="nil"/>
              <w:bottom w:val="single" w:sz="4" w:space="0" w:color="auto"/>
              <w:right w:val="single" w:sz="4" w:space="0" w:color="auto"/>
            </w:tcBorders>
            <w:shd w:val="clear" w:color="000000" w:fill="D9D9D9"/>
            <w:noWrap/>
            <w:vAlign w:val="bottom"/>
          </w:tcPr>
          <w:p w14:paraId="395CAA10" w14:textId="5080B152"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6.059.260 </w:t>
            </w:r>
          </w:p>
        </w:tc>
        <w:tc>
          <w:tcPr>
            <w:tcW w:w="841" w:type="dxa"/>
            <w:tcBorders>
              <w:top w:val="nil"/>
              <w:left w:val="nil"/>
              <w:bottom w:val="single" w:sz="4" w:space="0" w:color="auto"/>
              <w:right w:val="single" w:sz="4" w:space="0" w:color="auto"/>
            </w:tcBorders>
            <w:shd w:val="clear" w:color="000000" w:fill="D9D9D9"/>
            <w:noWrap/>
            <w:vAlign w:val="bottom"/>
          </w:tcPr>
          <w:p w14:paraId="32F4F418" w14:textId="741F696F"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42.279 </w:t>
            </w:r>
          </w:p>
        </w:tc>
        <w:tc>
          <w:tcPr>
            <w:tcW w:w="989" w:type="dxa"/>
            <w:tcBorders>
              <w:top w:val="nil"/>
              <w:left w:val="nil"/>
              <w:bottom w:val="single" w:sz="4" w:space="0" w:color="auto"/>
              <w:right w:val="single" w:sz="4" w:space="0" w:color="auto"/>
            </w:tcBorders>
            <w:shd w:val="clear" w:color="000000" w:fill="D9D9D9"/>
            <w:noWrap/>
            <w:vAlign w:val="bottom"/>
          </w:tcPr>
          <w:p w14:paraId="7A4503BF" w14:textId="741CAE93"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16.082.399 </w:t>
            </w:r>
          </w:p>
        </w:tc>
        <w:tc>
          <w:tcPr>
            <w:tcW w:w="841" w:type="dxa"/>
            <w:tcBorders>
              <w:top w:val="nil"/>
              <w:left w:val="nil"/>
              <w:bottom w:val="single" w:sz="4" w:space="0" w:color="auto"/>
              <w:right w:val="single" w:sz="4" w:space="0" w:color="auto"/>
            </w:tcBorders>
            <w:shd w:val="clear" w:color="000000" w:fill="D9D9D9"/>
            <w:noWrap/>
            <w:vAlign w:val="bottom"/>
          </w:tcPr>
          <w:p w14:paraId="44ADBE15" w14:textId="0B6222EF"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20.106.594 </w:t>
            </w:r>
          </w:p>
        </w:tc>
        <w:tc>
          <w:tcPr>
            <w:tcW w:w="841" w:type="dxa"/>
            <w:tcBorders>
              <w:top w:val="nil"/>
              <w:left w:val="nil"/>
              <w:bottom w:val="single" w:sz="4" w:space="0" w:color="auto"/>
              <w:right w:val="single" w:sz="4" w:space="0" w:color="auto"/>
            </w:tcBorders>
            <w:shd w:val="clear" w:color="000000" w:fill="D9D9D9"/>
            <w:noWrap/>
            <w:vAlign w:val="bottom"/>
          </w:tcPr>
          <w:p w14:paraId="586203AB" w14:textId="4EE2E318"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671.919 </w:t>
            </w:r>
          </w:p>
        </w:tc>
      </w:tr>
      <w:tr w:rsidR="00455CE7" w:rsidRPr="00E355F7" w14:paraId="5C48A64F" w14:textId="77777777" w:rsidTr="006E1AF7">
        <w:trPr>
          <w:trHeight w:val="225"/>
        </w:trPr>
        <w:tc>
          <w:tcPr>
            <w:tcW w:w="3402" w:type="dxa"/>
            <w:tcBorders>
              <w:top w:val="single" w:sz="4" w:space="0" w:color="auto"/>
              <w:left w:val="single" w:sz="4" w:space="0" w:color="auto"/>
              <w:bottom w:val="single" w:sz="4" w:space="0" w:color="363639"/>
              <w:right w:val="single" w:sz="4" w:space="0" w:color="363639"/>
            </w:tcBorders>
            <w:shd w:val="clear" w:color="auto" w:fill="auto"/>
            <w:vAlign w:val="bottom"/>
            <w:hideMark/>
          </w:tcPr>
          <w:p w14:paraId="2EC282B8"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Efectivo y Depósitos en Bancos</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1D9213" w14:textId="712EF95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25.585.044 </w:t>
            </w:r>
          </w:p>
        </w:tc>
        <w:tc>
          <w:tcPr>
            <w:tcW w:w="988" w:type="dxa"/>
            <w:tcBorders>
              <w:top w:val="single" w:sz="4" w:space="0" w:color="auto"/>
              <w:left w:val="nil"/>
              <w:bottom w:val="single" w:sz="4" w:space="0" w:color="auto"/>
              <w:right w:val="single" w:sz="4" w:space="0" w:color="auto"/>
            </w:tcBorders>
            <w:shd w:val="clear" w:color="auto" w:fill="auto"/>
            <w:noWrap/>
            <w:vAlign w:val="bottom"/>
          </w:tcPr>
          <w:p w14:paraId="4479DCD0" w14:textId="3221695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12.259.942 </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1218DF6C" w14:textId="46D2C82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5F3FED20" w14:textId="1F557E0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3278DBFD" w14:textId="2DD1723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619C39F2" w14:textId="5716A7D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single" w:sz="4" w:space="0" w:color="auto"/>
              <w:left w:val="nil"/>
              <w:bottom w:val="single" w:sz="4" w:space="0" w:color="auto"/>
              <w:right w:val="single" w:sz="4" w:space="0" w:color="auto"/>
            </w:tcBorders>
            <w:shd w:val="clear" w:color="auto" w:fill="auto"/>
            <w:noWrap/>
            <w:vAlign w:val="bottom"/>
          </w:tcPr>
          <w:p w14:paraId="4167EC3B" w14:textId="1B323F2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13.325.102 </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4ADE5BD0" w14:textId="71AE40D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single" w:sz="4" w:space="0" w:color="auto"/>
              <w:left w:val="nil"/>
              <w:bottom w:val="single" w:sz="4" w:space="0" w:color="auto"/>
              <w:right w:val="single" w:sz="4" w:space="0" w:color="auto"/>
            </w:tcBorders>
            <w:shd w:val="clear" w:color="auto" w:fill="auto"/>
            <w:noWrap/>
            <w:vAlign w:val="bottom"/>
          </w:tcPr>
          <w:p w14:paraId="4F75263C" w14:textId="44F976D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145818F8" w14:textId="77777777" w:rsidTr="006E1AF7">
        <w:trPr>
          <w:trHeight w:val="154"/>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6A210EB8" w14:textId="77777777" w:rsidR="00455CE7" w:rsidRPr="00E355F7" w:rsidRDefault="00455CE7" w:rsidP="00455CE7">
            <w:pPr>
              <w:rPr>
                <w:rFonts w:ascii="Arial" w:hAnsi="Arial" w:cs="Arial"/>
                <w:sz w:val="14"/>
                <w:szCs w:val="14"/>
                <w:lang w:eastAsia="es-AR"/>
              </w:rPr>
            </w:pPr>
            <w:r w:rsidRPr="00E355F7">
              <w:rPr>
                <w:rFonts w:ascii="Arial" w:hAnsi="Arial" w:cs="Arial"/>
                <w:sz w:val="14"/>
                <w:szCs w:val="14"/>
                <w:lang w:eastAsia="es-AR"/>
              </w:rPr>
              <w:t xml:space="preserve">   Efectivo</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113EA9E0" w14:textId="31517CD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8.695.486 </w:t>
            </w:r>
          </w:p>
        </w:tc>
        <w:tc>
          <w:tcPr>
            <w:tcW w:w="988" w:type="dxa"/>
            <w:tcBorders>
              <w:top w:val="nil"/>
              <w:left w:val="nil"/>
              <w:bottom w:val="single" w:sz="4" w:space="0" w:color="auto"/>
              <w:right w:val="single" w:sz="4" w:space="0" w:color="auto"/>
            </w:tcBorders>
            <w:shd w:val="clear" w:color="auto" w:fill="auto"/>
            <w:noWrap/>
            <w:vAlign w:val="bottom"/>
          </w:tcPr>
          <w:p w14:paraId="2C07A19C" w14:textId="1E2DF57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4.273.393 </w:t>
            </w:r>
          </w:p>
        </w:tc>
        <w:tc>
          <w:tcPr>
            <w:tcW w:w="851" w:type="dxa"/>
            <w:tcBorders>
              <w:top w:val="nil"/>
              <w:left w:val="nil"/>
              <w:bottom w:val="single" w:sz="4" w:space="0" w:color="auto"/>
              <w:right w:val="single" w:sz="4" w:space="0" w:color="auto"/>
            </w:tcBorders>
            <w:shd w:val="clear" w:color="auto" w:fill="auto"/>
            <w:noWrap/>
            <w:vAlign w:val="bottom"/>
          </w:tcPr>
          <w:p w14:paraId="3BCFB018" w14:textId="642E3E5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9A35B11" w14:textId="5D19F887"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7AE9668D" w14:textId="48602EF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7102515" w14:textId="2CF72827"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716B8C30" w14:textId="20CC394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4.422.093 </w:t>
            </w:r>
          </w:p>
        </w:tc>
        <w:tc>
          <w:tcPr>
            <w:tcW w:w="841" w:type="dxa"/>
            <w:tcBorders>
              <w:top w:val="nil"/>
              <w:left w:val="nil"/>
              <w:bottom w:val="single" w:sz="4" w:space="0" w:color="auto"/>
              <w:right w:val="single" w:sz="4" w:space="0" w:color="auto"/>
            </w:tcBorders>
            <w:shd w:val="clear" w:color="auto" w:fill="auto"/>
            <w:noWrap/>
            <w:vAlign w:val="bottom"/>
          </w:tcPr>
          <w:p w14:paraId="45EE0D6A" w14:textId="55BD71B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8857EA3" w14:textId="5FBF6F8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43DEA221" w14:textId="77777777" w:rsidTr="006E1AF7">
        <w:trPr>
          <w:trHeight w:val="114"/>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12C2AF33" w14:textId="77777777" w:rsidR="00455CE7" w:rsidRPr="00E355F7" w:rsidRDefault="00455CE7" w:rsidP="00455CE7">
            <w:pPr>
              <w:rPr>
                <w:rFonts w:ascii="Arial" w:hAnsi="Arial" w:cs="Arial"/>
                <w:sz w:val="14"/>
                <w:szCs w:val="14"/>
                <w:lang w:eastAsia="es-AR"/>
              </w:rPr>
            </w:pPr>
            <w:r w:rsidRPr="00E355F7">
              <w:rPr>
                <w:rFonts w:ascii="Arial" w:hAnsi="Arial" w:cs="Arial"/>
                <w:sz w:val="14"/>
                <w:szCs w:val="14"/>
                <w:lang w:eastAsia="es-AR"/>
              </w:rPr>
              <w:t xml:space="preserve">   Entidades Financieras y corresponsales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51C7E77B" w14:textId="3C7102A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w:t>
            </w:r>
          </w:p>
        </w:tc>
        <w:tc>
          <w:tcPr>
            <w:tcW w:w="988" w:type="dxa"/>
            <w:tcBorders>
              <w:top w:val="nil"/>
              <w:left w:val="nil"/>
              <w:bottom w:val="single" w:sz="4" w:space="0" w:color="auto"/>
              <w:right w:val="single" w:sz="4" w:space="0" w:color="auto"/>
            </w:tcBorders>
            <w:shd w:val="clear" w:color="auto" w:fill="auto"/>
            <w:noWrap/>
            <w:vAlign w:val="bottom"/>
          </w:tcPr>
          <w:p w14:paraId="7D083D1C" w14:textId="568084C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w:t>
            </w:r>
          </w:p>
        </w:tc>
        <w:tc>
          <w:tcPr>
            <w:tcW w:w="851" w:type="dxa"/>
            <w:tcBorders>
              <w:top w:val="nil"/>
              <w:left w:val="nil"/>
              <w:bottom w:val="single" w:sz="4" w:space="0" w:color="auto"/>
              <w:right w:val="single" w:sz="4" w:space="0" w:color="auto"/>
            </w:tcBorders>
            <w:shd w:val="clear" w:color="auto" w:fill="auto"/>
            <w:noWrap/>
            <w:vAlign w:val="bottom"/>
          </w:tcPr>
          <w:p w14:paraId="401D5CCC" w14:textId="1B73CA8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14:paraId="417DE13D" w14:textId="442C470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w:t>
            </w:r>
          </w:p>
        </w:tc>
        <w:tc>
          <w:tcPr>
            <w:tcW w:w="850" w:type="dxa"/>
            <w:tcBorders>
              <w:top w:val="nil"/>
              <w:left w:val="nil"/>
              <w:bottom w:val="single" w:sz="4" w:space="0" w:color="auto"/>
              <w:right w:val="single" w:sz="4" w:space="0" w:color="auto"/>
            </w:tcBorders>
            <w:shd w:val="clear" w:color="auto" w:fill="auto"/>
            <w:noWrap/>
            <w:vAlign w:val="bottom"/>
          </w:tcPr>
          <w:p w14:paraId="1536C6EA" w14:textId="71AE7A3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14:paraId="7179CC1B" w14:textId="4D9273A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w:t>
            </w:r>
          </w:p>
        </w:tc>
        <w:tc>
          <w:tcPr>
            <w:tcW w:w="989" w:type="dxa"/>
            <w:tcBorders>
              <w:top w:val="nil"/>
              <w:left w:val="nil"/>
              <w:bottom w:val="single" w:sz="4" w:space="0" w:color="auto"/>
              <w:right w:val="single" w:sz="4" w:space="0" w:color="auto"/>
            </w:tcBorders>
            <w:shd w:val="clear" w:color="auto" w:fill="auto"/>
            <w:noWrap/>
            <w:vAlign w:val="bottom"/>
          </w:tcPr>
          <w:p w14:paraId="6898247D" w14:textId="066CB7F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14:paraId="2FBCB2D7" w14:textId="13D9A1A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14:paraId="7525BD5D" w14:textId="1F1C066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w:t>
            </w:r>
          </w:p>
        </w:tc>
      </w:tr>
      <w:tr w:rsidR="00455CE7" w:rsidRPr="00E355F7" w14:paraId="012680A2" w14:textId="77777777" w:rsidTr="006E1AF7">
        <w:trPr>
          <w:trHeight w:val="89"/>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4EFEA3E1" w14:textId="77777777" w:rsidR="00455CE7" w:rsidRPr="00E355F7" w:rsidRDefault="00455CE7" w:rsidP="00455CE7">
            <w:pPr>
              <w:rPr>
                <w:rFonts w:ascii="Arial" w:hAnsi="Arial" w:cs="Arial"/>
                <w:sz w:val="14"/>
                <w:szCs w:val="14"/>
                <w:lang w:eastAsia="es-AR"/>
              </w:rPr>
            </w:pPr>
            <w:r w:rsidRPr="00E355F7">
              <w:rPr>
                <w:rFonts w:ascii="Arial" w:hAnsi="Arial" w:cs="Arial"/>
                <w:sz w:val="14"/>
                <w:szCs w:val="14"/>
                <w:lang w:eastAsia="es-AR"/>
              </w:rPr>
              <w:t xml:space="preserve">      BCRA</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19E1CB0D" w14:textId="4E26CB9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15.806.426 </w:t>
            </w:r>
          </w:p>
        </w:tc>
        <w:tc>
          <w:tcPr>
            <w:tcW w:w="988" w:type="dxa"/>
            <w:tcBorders>
              <w:top w:val="nil"/>
              <w:left w:val="nil"/>
              <w:bottom w:val="single" w:sz="4" w:space="0" w:color="auto"/>
              <w:right w:val="single" w:sz="4" w:space="0" w:color="auto"/>
            </w:tcBorders>
            <w:shd w:val="clear" w:color="auto" w:fill="auto"/>
            <w:noWrap/>
            <w:vAlign w:val="bottom"/>
          </w:tcPr>
          <w:p w14:paraId="0637832C" w14:textId="415E0EA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7.897.780 </w:t>
            </w:r>
          </w:p>
        </w:tc>
        <w:tc>
          <w:tcPr>
            <w:tcW w:w="851" w:type="dxa"/>
            <w:tcBorders>
              <w:top w:val="nil"/>
              <w:left w:val="nil"/>
              <w:bottom w:val="single" w:sz="4" w:space="0" w:color="auto"/>
              <w:right w:val="single" w:sz="4" w:space="0" w:color="auto"/>
            </w:tcBorders>
            <w:shd w:val="clear" w:color="auto" w:fill="auto"/>
            <w:noWrap/>
            <w:vAlign w:val="bottom"/>
          </w:tcPr>
          <w:p w14:paraId="1AAFF379" w14:textId="506483C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B1C1D2E" w14:textId="3B20D0E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30985EB4" w14:textId="74FACC5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075F5EE" w14:textId="547DF5B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2868A3CC" w14:textId="7F47DAF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7.908.646 </w:t>
            </w:r>
          </w:p>
        </w:tc>
        <w:tc>
          <w:tcPr>
            <w:tcW w:w="841" w:type="dxa"/>
            <w:tcBorders>
              <w:top w:val="nil"/>
              <w:left w:val="nil"/>
              <w:bottom w:val="single" w:sz="4" w:space="0" w:color="auto"/>
              <w:right w:val="single" w:sz="4" w:space="0" w:color="auto"/>
            </w:tcBorders>
            <w:shd w:val="clear" w:color="auto" w:fill="auto"/>
            <w:noWrap/>
            <w:vAlign w:val="bottom"/>
          </w:tcPr>
          <w:p w14:paraId="51609802" w14:textId="02A8617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1B468D6" w14:textId="10AFF85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46EC9B57" w14:textId="77777777" w:rsidTr="006E1AF7">
        <w:trPr>
          <w:trHeight w:val="70"/>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3D2184BF" w14:textId="77777777" w:rsidR="00455CE7" w:rsidRPr="00E355F7" w:rsidRDefault="00455CE7" w:rsidP="00455CE7">
            <w:pPr>
              <w:rPr>
                <w:rFonts w:ascii="Arial" w:hAnsi="Arial" w:cs="Arial"/>
                <w:sz w:val="14"/>
                <w:szCs w:val="14"/>
                <w:lang w:eastAsia="es-AR"/>
              </w:rPr>
            </w:pPr>
            <w:r w:rsidRPr="00E355F7">
              <w:rPr>
                <w:rFonts w:ascii="Arial" w:hAnsi="Arial" w:cs="Arial"/>
                <w:sz w:val="14"/>
                <w:szCs w:val="14"/>
                <w:lang w:eastAsia="es-AR"/>
              </w:rPr>
              <w:t xml:space="preserve">      Otras del país y del exterior</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49EE5F35" w14:textId="49D7AB0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1.053.222 </w:t>
            </w:r>
          </w:p>
        </w:tc>
        <w:tc>
          <w:tcPr>
            <w:tcW w:w="988" w:type="dxa"/>
            <w:tcBorders>
              <w:top w:val="nil"/>
              <w:left w:val="nil"/>
              <w:bottom w:val="single" w:sz="4" w:space="0" w:color="auto"/>
              <w:right w:val="single" w:sz="4" w:space="0" w:color="auto"/>
            </w:tcBorders>
            <w:shd w:val="clear" w:color="auto" w:fill="auto"/>
            <w:noWrap/>
            <w:vAlign w:val="bottom"/>
          </w:tcPr>
          <w:p w14:paraId="58C75A74" w14:textId="71C81E1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88.769 </w:t>
            </w:r>
          </w:p>
        </w:tc>
        <w:tc>
          <w:tcPr>
            <w:tcW w:w="851" w:type="dxa"/>
            <w:tcBorders>
              <w:top w:val="nil"/>
              <w:left w:val="nil"/>
              <w:bottom w:val="single" w:sz="4" w:space="0" w:color="auto"/>
              <w:right w:val="single" w:sz="4" w:space="0" w:color="auto"/>
            </w:tcBorders>
            <w:shd w:val="clear" w:color="auto" w:fill="auto"/>
            <w:noWrap/>
            <w:vAlign w:val="bottom"/>
          </w:tcPr>
          <w:p w14:paraId="72E60B0D" w14:textId="2536C18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7E42D5AC" w14:textId="40AA3C6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650C33AC" w14:textId="5DDCA47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02747FF" w14:textId="749D7F8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1E01B471" w14:textId="59316CC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964.453 </w:t>
            </w:r>
          </w:p>
        </w:tc>
        <w:tc>
          <w:tcPr>
            <w:tcW w:w="841" w:type="dxa"/>
            <w:tcBorders>
              <w:top w:val="nil"/>
              <w:left w:val="nil"/>
              <w:bottom w:val="single" w:sz="4" w:space="0" w:color="auto"/>
              <w:right w:val="single" w:sz="4" w:space="0" w:color="auto"/>
            </w:tcBorders>
            <w:shd w:val="clear" w:color="auto" w:fill="auto"/>
            <w:noWrap/>
            <w:vAlign w:val="bottom"/>
          </w:tcPr>
          <w:p w14:paraId="42740C5F" w14:textId="5825E96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790B70A0" w14:textId="4176E9B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3A3C1A96" w14:textId="77777777" w:rsidTr="006E1AF7">
        <w:trPr>
          <w:trHeight w:val="70"/>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7E104420" w14:textId="77777777" w:rsidR="00455CE7" w:rsidRPr="00E355F7" w:rsidRDefault="00455CE7" w:rsidP="00455CE7">
            <w:pPr>
              <w:rPr>
                <w:rFonts w:ascii="Arial" w:hAnsi="Arial" w:cs="Arial"/>
                <w:sz w:val="14"/>
                <w:szCs w:val="14"/>
                <w:lang w:eastAsia="es-AR"/>
              </w:rPr>
            </w:pPr>
            <w:r w:rsidRPr="00E355F7">
              <w:rPr>
                <w:rFonts w:ascii="Arial" w:hAnsi="Arial" w:cs="Arial"/>
                <w:sz w:val="14"/>
                <w:szCs w:val="14"/>
                <w:lang w:eastAsia="es-AR"/>
              </w:rPr>
              <w:t xml:space="preserve">   Otros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51127290" w14:textId="09F18D5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29.910 </w:t>
            </w:r>
          </w:p>
        </w:tc>
        <w:tc>
          <w:tcPr>
            <w:tcW w:w="988" w:type="dxa"/>
            <w:tcBorders>
              <w:top w:val="nil"/>
              <w:left w:val="nil"/>
              <w:bottom w:val="single" w:sz="4" w:space="0" w:color="auto"/>
              <w:right w:val="single" w:sz="4" w:space="0" w:color="auto"/>
            </w:tcBorders>
            <w:shd w:val="clear" w:color="auto" w:fill="auto"/>
            <w:noWrap/>
            <w:vAlign w:val="bottom"/>
          </w:tcPr>
          <w:p w14:paraId="4BC1F0BA" w14:textId="12C722D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1" w:type="dxa"/>
            <w:tcBorders>
              <w:top w:val="nil"/>
              <w:left w:val="nil"/>
              <w:bottom w:val="single" w:sz="4" w:space="0" w:color="auto"/>
              <w:right w:val="single" w:sz="4" w:space="0" w:color="auto"/>
            </w:tcBorders>
            <w:shd w:val="clear" w:color="auto" w:fill="auto"/>
            <w:noWrap/>
            <w:vAlign w:val="bottom"/>
          </w:tcPr>
          <w:p w14:paraId="6A3CF76B" w14:textId="7C9121D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FECBAA2" w14:textId="66CD3A9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77C0AEDE" w14:textId="6A4D468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6016892" w14:textId="3198D36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6F156E7F" w14:textId="4EF244F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29.910 </w:t>
            </w:r>
          </w:p>
        </w:tc>
        <w:tc>
          <w:tcPr>
            <w:tcW w:w="841" w:type="dxa"/>
            <w:tcBorders>
              <w:top w:val="nil"/>
              <w:left w:val="nil"/>
              <w:bottom w:val="single" w:sz="4" w:space="0" w:color="auto"/>
              <w:right w:val="single" w:sz="4" w:space="0" w:color="auto"/>
            </w:tcBorders>
            <w:shd w:val="clear" w:color="auto" w:fill="auto"/>
            <w:noWrap/>
            <w:vAlign w:val="bottom"/>
          </w:tcPr>
          <w:p w14:paraId="243CE697" w14:textId="3F4CCD4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F66EA6C" w14:textId="006C58A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5734FA8D" w14:textId="77777777" w:rsidTr="006E1AF7">
        <w:trPr>
          <w:trHeight w:val="279"/>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2ED4AECE"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Títulos de deuda a valor razonable con cambios en resultados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3042E529" w14:textId="57914D5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312.306 </w:t>
            </w:r>
          </w:p>
        </w:tc>
        <w:tc>
          <w:tcPr>
            <w:tcW w:w="988" w:type="dxa"/>
            <w:tcBorders>
              <w:top w:val="nil"/>
              <w:left w:val="nil"/>
              <w:bottom w:val="single" w:sz="4" w:space="0" w:color="auto"/>
              <w:right w:val="single" w:sz="4" w:space="0" w:color="auto"/>
            </w:tcBorders>
            <w:shd w:val="clear" w:color="auto" w:fill="auto"/>
            <w:noWrap/>
            <w:vAlign w:val="bottom"/>
          </w:tcPr>
          <w:p w14:paraId="115E24F2" w14:textId="7C51D50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1" w:type="dxa"/>
            <w:tcBorders>
              <w:top w:val="nil"/>
              <w:left w:val="nil"/>
              <w:bottom w:val="single" w:sz="4" w:space="0" w:color="auto"/>
              <w:right w:val="single" w:sz="4" w:space="0" w:color="auto"/>
            </w:tcBorders>
            <w:shd w:val="clear" w:color="auto" w:fill="auto"/>
            <w:noWrap/>
            <w:vAlign w:val="bottom"/>
          </w:tcPr>
          <w:p w14:paraId="63BC2397" w14:textId="6A67717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3AE433A" w14:textId="1D7809E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0F55ED14" w14:textId="212043C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E74C60B" w14:textId="6DD3E10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27.700 </w:t>
            </w:r>
          </w:p>
        </w:tc>
        <w:tc>
          <w:tcPr>
            <w:tcW w:w="989" w:type="dxa"/>
            <w:tcBorders>
              <w:top w:val="nil"/>
              <w:left w:val="nil"/>
              <w:bottom w:val="single" w:sz="4" w:space="0" w:color="auto"/>
              <w:right w:val="single" w:sz="4" w:space="0" w:color="auto"/>
            </w:tcBorders>
            <w:shd w:val="clear" w:color="auto" w:fill="auto"/>
            <w:noWrap/>
            <w:vAlign w:val="bottom"/>
          </w:tcPr>
          <w:p w14:paraId="10DE9387" w14:textId="746BF5C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5CE5B83" w14:textId="6CC0841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89996A5" w14:textId="309789F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284.606 </w:t>
            </w:r>
          </w:p>
        </w:tc>
      </w:tr>
      <w:tr w:rsidR="00455CE7" w:rsidRPr="00E355F7" w14:paraId="4502EB0E" w14:textId="77777777" w:rsidTr="006E1AF7">
        <w:trPr>
          <w:trHeight w:val="100"/>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267CDF6C"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 xml:space="preserve">Instrumentos derivados </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1F93F0CD" w14:textId="4094CA6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257.587 </w:t>
            </w:r>
          </w:p>
        </w:tc>
        <w:tc>
          <w:tcPr>
            <w:tcW w:w="988" w:type="dxa"/>
            <w:tcBorders>
              <w:top w:val="nil"/>
              <w:left w:val="nil"/>
              <w:bottom w:val="single" w:sz="4" w:space="0" w:color="auto"/>
              <w:right w:val="single" w:sz="4" w:space="0" w:color="auto"/>
            </w:tcBorders>
            <w:shd w:val="clear" w:color="auto" w:fill="auto"/>
            <w:noWrap/>
            <w:vAlign w:val="bottom"/>
          </w:tcPr>
          <w:p w14:paraId="0989B5A7" w14:textId="2726C7E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257.587 </w:t>
            </w:r>
          </w:p>
        </w:tc>
        <w:tc>
          <w:tcPr>
            <w:tcW w:w="851" w:type="dxa"/>
            <w:tcBorders>
              <w:top w:val="nil"/>
              <w:left w:val="nil"/>
              <w:bottom w:val="single" w:sz="4" w:space="0" w:color="auto"/>
              <w:right w:val="single" w:sz="4" w:space="0" w:color="auto"/>
            </w:tcBorders>
            <w:shd w:val="clear" w:color="auto" w:fill="auto"/>
            <w:noWrap/>
            <w:vAlign w:val="bottom"/>
          </w:tcPr>
          <w:p w14:paraId="030A7E98" w14:textId="15D0095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4A7462A" w14:textId="6903245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603B94E5" w14:textId="3895563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8CC0BA7" w14:textId="5418B86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76E7E62C" w14:textId="5366DAA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9762464" w14:textId="2BDFEC7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45ED44B" w14:textId="487FBEB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631F9101" w14:textId="77777777" w:rsidTr="006E1AF7">
        <w:trPr>
          <w:trHeight w:val="121"/>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76CBC158"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 xml:space="preserve">Otros activos financieros </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01C54AED" w14:textId="67C352E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679.997 </w:t>
            </w:r>
          </w:p>
        </w:tc>
        <w:tc>
          <w:tcPr>
            <w:tcW w:w="988" w:type="dxa"/>
            <w:tcBorders>
              <w:top w:val="nil"/>
              <w:left w:val="nil"/>
              <w:bottom w:val="single" w:sz="4" w:space="0" w:color="auto"/>
              <w:right w:val="single" w:sz="4" w:space="0" w:color="auto"/>
            </w:tcBorders>
            <w:shd w:val="clear" w:color="auto" w:fill="auto"/>
            <w:noWrap/>
            <w:vAlign w:val="bottom"/>
          </w:tcPr>
          <w:p w14:paraId="08D8269D" w14:textId="4B4F85F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119.275 </w:t>
            </w:r>
          </w:p>
        </w:tc>
        <w:tc>
          <w:tcPr>
            <w:tcW w:w="851" w:type="dxa"/>
            <w:tcBorders>
              <w:top w:val="nil"/>
              <w:left w:val="nil"/>
              <w:bottom w:val="single" w:sz="4" w:space="0" w:color="auto"/>
              <w:right w:val="single" w:sz="4" w:space="0" w:color="auto"/>
            </w:tcBorders>
            <w:shd w:val="clear" w:color="auto" w:fill="auto"/>
            <w:noWrap/>
            <w:vAlign w:val="bottom"/>
          </w:tcPr>
          <w:p w14:paraId="674E1792" w14:textId="44D4053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9EB3843" w14:textId="14D9D63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0FDA330A" w14:textId="03FAF84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0E4D229" w14:textId="4E12C96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255F4C55" w14:textId="41C45A1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531.641 </w:t>
            </w:r>
          </w:p>
        </w:tc>
        <w:tc>
          <w:tcPr>
            <w:tcW w:w="841" w:type="dxa"/>
            <w:tcBorders>
              <w:top w:val="nil"/>
              <w:left w:val="nil"/>
              <w:bottom w:val="single" w:sz="4" w:space="0" w:color="auto"/>
              <w:right w:val="single" w:sz="4" w:space="0" w:color="auto"/>
            </w:tcBorders>
            <w:shd w:val="clear" w:color="auto" w:fill="auto"/>
            <w:noWrap/>
            <w:vAlign w:val="bottom"/>
          </w:tcPr>
          <w:p w14:paraId="54001FC3" w14:textId="24C0112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3CF4F3D" w14:textId="775DAF0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29.081 </w:t>
            </w:r>
          </w:p>
        </w:tc>
      </w:tr>
      <w:tr w:rsidR="00455CE7" w:rsidRPr="00E355F7" w14:paraId="6BD2B49D" w14:textId="77777777" w:rsidTr="006E1AF7">
        <w:trPr>
          <w:trHeight w:val="136"/>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4D0AB5E5"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 xml:space="preserve">Préstamos y otras financiaciones </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2EF0E690" w14:textId="60104E1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84.029.439 </w:t>
            </w:r>
          </w:p>
        </w:tc>
        <w:tc>
          <w:tcPr>
            <w:tcW w:w="988" w:type="dxa"/>
            <w:tcBorders>
              <w:top w:val="nil"/>
              <w:left w:val="nil"/>
              <w:bottom w:val="single" w:sz="4" w:space="0" w:color="auto"/>
              <w:right w:val="single" w:sz="4" w:space="0" w:color="auto"/>
            </w:tcBorders>
            <w:shd w:val="clear" w:color="auto" w:fill="auto"/>
            <w:noWrap/>
            <w:vAlign w:val="bottom"/>
          </w:tcPr>
          <w:p w14:paraId="6AC9EA04" w14:textId="6C90011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14.732.113 </w:t>
            </w:r>
          </w:p>
        </w:tc>
        <w:tc>
          <w:tcPr>
            <w:tcW w:w="851" w:type="dxa"/>
            <w:tcBorders>
              <w:top w:val="nil"/>
              <w:left w:val="nil"/>
              <w:bottom w:val="single" w:sz="4" w:space="0" w:color="auto"/>
              <w:right w:val="single" w:sz="4" w:space="0" w:color="auto"/>
            </w:tcBorders>
            <w:shd w:val="clear" w:color="auto" w:fill="auto"/>
            <w:noWrap/>
            <w:vAlign w:val="bottom"/>
          </w:tcPr>
          <w:p w14:paraId="5F239523" w14:textId="6B86FFE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1.286.351 </w:t>
            </w:r>
          </w:p>
        </w:tc>
        <w:tc>
          <w:tcPr>
            <w:tcW w:w="841" w:type="dxa"/>
            <w:tcBorders>
              <w:top w:val="nil"/>
              <w:left w:val="nil"/>
              <w:bottom w:val="single" w:sz="4" w:space="0" w:color="auto"/>
              <w:right w:val="single" w:sz="4" w:space="0" w:color="auto"/>
            </w:tcBorders>
            <w:shd w:val="clear" w:color="auto" w:fill="auto"/>
            <w:noWrap/>
            <w:vAlign w:val="bottom"/>
          </w:tcPr>
          <w:p w14:paraId="731D38F4" w14:textId="35137F3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41.307.407 </w:t>
            </w:r>
          </w:p>
        </w:tc>
        <w:tc>
          <w:tcPr>
            <w:tcW w:w="850" w:type="dxa"/>
            <w:tcBorders>
              <w:top w:val="nil"/>
              <w:left w:val="nil"/>
              <w:bottom w:val="single" w:sz="4" w:space="0" w:color="auto"/>
              <w:right w:val="single" w:sz="4" w:space="0" w:color="auto"/>
            </w:tcBorders>
            <w:shd w:val="clear" w:color="auto" w:fill="auto"/>
            <w:noWrap/>
            <w:vAlign w:val="bottom"/>
          </w:tcPr>
          <w:p w14:paraId="431ECF4B" w14:textId="4803E2B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6.059.260 </w:t>
            </w:r>
          </w:p>
        </w:tc>
        <w:tc>
          <w:tcPr>
            <w:tcW w:w="841" w:type="dxa"/>
            <w:tcBorders>
              <w:top w:val="nil"/>
              <w:left w:val="nil"/>
              <w:bottom w:val="single" w:sz="4" w:space="0" w:color="auto"/>
              <w:right w:val="single" w:sz="4" w:space="0" w:color="auto"/>
            </w:tcBorders>
            <w:shd w:val="clear" w:color="auto" w:fill="auto"/>
            <w:noWrap/>
            <w:vAlign w:val="bottom"/>
          </w:tcPr>
          <w:p w14:paraId="10034465" w14:textId="581CF40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6863897E" w14:textId="69CB565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537.714 </w:t>
            </w:r>
          </w:p>
        </w:tc>
        <w:tc>
          <w:tcPr>
            <w:tcW w:w="841" w:type="dxa"/>
            <w:tcBorders>
              <w:top w:val="nil"/>
              <w:left w:val="nil"/>
              <w:bottom w:val="single" w:sz="4" w:space="0" w:color="auto"/>
              <w:right w:val="single" w:sz="4" w:space="0" w:color="auto"/>
            </w:tcBorders>
            <w:shd w:val="clear" w:color="auto" w:fill="auto"/>
            <w:noWrap/>
            <w:vAlign w:val="bottom"/>
          </w:tcPr>
          <w:p w14:paraId="4D9E8675" w14:textId="38BC034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20.106.594 </w:t>
            </w:r>
          </w:p>
        </w:tc>
        <w:tc>
          <w:tcPr>
            <w:tcW w:w="841" w:type="dxa"/>
            <w:tcBorders>
              <w:top w:val="nil"/>
              <w:left w:val="nil"/>
              <w:bottom w:val="single" w:sz="4" w:space="0" w:color="auto"/>
              <w:right w:val="single" w:sz="4" w:space="0" w:color="auto"/>
            </w:tcBorders>
            <w:shd w:val="clear" w:color="auto" w:fill="auto"/>
            <w:noWrap/>
            <w:vAlign w:val="bottom"/>
          </w:tcPr>
          <w:p w14:paraId="55990E9E" w14:textId="1FD5783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2002B843" w14:textId="77777777" w:rsidTr="006E1AF7">
        <w:trPr>
          <w:trHeight w:val="110"/>
        </w:trPr>
        <w:tc>
          <w:tcPr>
            <w:tcW w:w="3402" w:type="dxa"/>
            <w:tcBorders>
              <w:top w:val="single" w:sz="4" w:space="0" w:color="363639"/>
              <w:left w:val="single" w:sz="4" w:space="0" w:color="auto"/>
              <w:bottom w:val="single" w:sz="4" w:space="0" w:color="363639"/>
              <w:right w:val="single" w:sz="4" w:space="0" w:color="363639"/>
            </w:tcBorders>
            <w:shd w:val="clear" w:color="auto" w:fill="auto"/>
            <w:noWrap/>
            <w:vAlign w:val="bottom"/>
            <w:hideMark/>
          </w:tcPr>
          <w:p w14:paraId="0D67D67C" w14:textId="77777777" w:rsidR="00455CE7" w:rsidRPr="00E355F7" w:rsidRDefault="00455CE7" w:rsidP="00455CE7">
            <w:pPr>
              <w:rPr>
                <w:rFonts w:ascii="Arial" w:hAnsi="Arial" w:cs="Arial"/>
                <w:sz w:val="14"/>
                <w:szCs w:val="14"/>
                <w:lang w:eastAsia="es-AR"/>
              </w:rPr>
            </w:pPr>
            <w:r w:rsidRPr="00E355F7">
              <w:rPr>
                <w:rFonts w:ascii="Arial" w:hAnsi="Arial" w:cs="Arial"/>
                <w:sz w:val="14"/>
                <w:szCs w:val="14"/>
                <w:lang w:eastAsia="es-AR"/>
              </w:rPr>
              <w:t xml:space="preserve">   Sector público no financiero</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639C18CE" w14:textId="5B71477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28.872 </w:t>
            </w:r>
          </w:p>
        </w:tc>
        <w:tc>
          <w:tcPr>
            <w:tcW w:w="988" w:type="dxa"/>
            <w:tcBorders>
              <w:top w:val="nil"/>
              <w:left w:val="nil"/>
              <w:bottom w:val="single" w:sz="4" w:space="0" w:color="auto"/>
              <w:right w:val="single" w:sz="4" w:space="0" w:color="auto"/>
            </w:tcBorders>
            <w:shd w:val="clear" w:color="auto" w:fill="auto"/>
            <w:noWrap/>
            <w:vAlign w:val="bottom"/>
          </w:tcPr>
          <w:p w14:paraId="767074CB" w14:textId="23CEB11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1.606 </w:t>
            </w:r>
          </w:p>
        </w:tc>
        <w:tc>
          <w:tcPr>
            <w:tcW w:w="851" w:type="dxa"/>
            <w:tcBorders>
              <w:top w:val="nil"/>
              <w:left w:val="nil"/>
              <w:bottom w:val="single" w:sz="4" w:space="0" w:color="auto"/>
              <w:right w:val="single" w:sz="4" w:space="0" w:color="auto"/>
            </w:tcBorders>
            <w:shd w:val="clear" w:color="auto" w:fill="auto"/>
            <w:noWrap/>
            <w:vAlign w:val="bottom"/>
          </w:tcPr>
          <w:p w14:paraId="533D8768" w14:textId="4B6D711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27.266 </w:t>
            </w:r>
          </w:p>
        </w:tc>
        <w:tc>
          <w:tcPr>
            <w:tcW w:w="841" w:type="dxa"/>
            <w:tcBorders>
              <w:top w:val="nil"/>
              <w:left w:val="nil"/>
              <w:bottom w:val="single" w:sz="4" w:space="0" w:color="auto"/>
              <w:right w:val="single" w:sz="4" w:space="0" w:color="auto"/>
            </w:tcBorders>
            <w:shd w:val="clear" w:color="auto" w:fill="auto"/>
            <w:noWrap/>
            <w:vAlign w:val="bottom"/>
          </w:tcPr>
          <w:p w14:paraId="7A807DC4" w14:textId="4097504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2E65B201" w14:textId="07EE6E2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E6A9620" w14:textId="6103E1B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2A0E0139" w14:textId="6CF83C9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7651B900" w14:textId="0A3975C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8333846" w14:textId="59671B3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1C8E9B36" w14:textId="77777777" w:rsidTr="006E1AF7">
        <w:trPr>
          <w:trHeight w:val="99"/>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2363AC39" w14:textId="77777777" w:rsidR="00455CE7" w:rsidRPr="00E355F7" w:rsidRDefault="00455CE7" w:rsidP="00455CE7">
            <w:pPr>
              <w:rPr>
                <w:rFonts w:ascii="Arial" w:hAnsi="Arial" w:cs="Arial"/>
                <w:sz w:val="14"/>
                <w:szCs w:val="14"/>
                <w:lang w:eastAsia="es-AR"/>
              </w:rPr>
            </w:pPr>
            <w:r w:rsidRPr="00E355F7">
              <w:rPr>
                <w:rFonts w:ascii="Arial" w:hAnsi="Arial" w:cs="Arial"/>
                <w:sz w:val="14"/>
                <w:szCs w:val="14"/>
                <w:lang w:eastAsia="es-AR"/>
              </w:rPr>
              <w:t xml:space="preserve">   BCRA</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41D2BDEE" w14:textId="638B1BD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tcPr>
          <w:p w14:paraId="4CCD2848" w14:textId="6AB7D64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1" w:type="dxa"/>
            <w:tcBorders>
              <w:top w:val="nil"/>
              <w:left w:val="nil"/>
              <w:bottom w:val="single" w:sz="4" w:space="0" w:color="auto"/>
              <w:right w:val="single" w:sz="4" w:space="0" w:color="auto"/>
            </w:tcBorders>
            <w:shd w:val="clear" w:color="auto" w:fill="auto"/>
            <w:noWrap/>
            <w:vAlign w:val="bottom"/>
          </w:tcPr>
          <w:p w14:paraId="758F1D4E" w14:textId="29A547F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E6440A9" w14:textId="44C6186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371148AB" w14:textId="7EA3338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D1DA795" w14:textId="55FCDBD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65B2C256" w14:textId="608BD067"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5D65AD3" w14:textId="6EC6E9D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B67149C" w14:textId="6004CE1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58A53C0C" w14:textId="77777777" w:rsidTr="006E1AF7">
        <w:trPr>
          <w:trHeight w:val="70"/>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25E527BB" w14:textId="77777777" w:rsidR="00455CE7" w:rsidRPr="00E355F7" w:rsidRDefault="00455CE7" w:rsidP="00455CE7">
            <w:pPr>
              <w:rPr>
                <w:rFonts w:ascii="Arial" w:hAnsi="Arial" w:cs="Arial"/>
                <w:sz w:val="14"/>
                <w:szCs w:val="14"/>
                <w:lang w:eastAsia="es-AR"/>
              </w:rPr>
            </w:pPr>
            <w:r w:rsidRPr="00E355F7">
              <w:rPr>
                <w:rFonts w:ascii="Arial" w:hAnsi="Arial" w:cs="Arial"/>
                <w:sz w:val="14"/>
                <w:szCs w:val="14"/>
                <w:lang w:eastAsia="es-AR"/>
              </w:rPr>
              <w:t xml:space="preserve">   Otras entidades financieras </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633204DA" w14:textId="3362459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1.195.768 </w:t>
            </w:r>
          </w:p>
        </w:tc>
        <w:tc>
          <w:tcPr>
            <w:tcW w:w="988" w:type="dxa"/>
            <w:tcBorders>
              <w:top w:val="nil"/>
              <w:left w:val="nil"/>
              <w:bottom w:val="single" w:sz="4" w:space="0" w:color="auto"/>
              <w:right w:val="single" w:sz="4" w:space="0" w:color="auto"/>
            </w:tcBorders>
            <w:shd w:val="clear" w:color="auto" w:fill="auto"/>
            <w:noWrap/>
            <w:vAlign w:val="bottom"/>
          </w:tcPr>
          <w:p w14:paraId="10F109D2" w14:textId="5C15269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3.108 </w:t>
            </w:r>
          </w:p>
        </w:tc>
        <w:tc>
          <w:tcPr>
            <w:tcW w:w="851" w:type="dxa"/>
            <w:tcBorders>
              <w:top w:val="nil"/>
              <w:left w:val="nil"/>
              <w:bottom w:val="single" w:sz="4" w:space="0" w:color="auto"/>
              <w:right w:val="single" w:sz="4" w:space="0" w:color="auto"/>
            </w:tcBorders>
            <w:shd w:val="clear" w:color="auto" w:fill="auto"/>
            <w:noWrap/>
            <w:vAlign w:val="bottom"/>
          </w:tcPr>
          <w:p w14:paraId="0A1282FA" w14:textId="3275920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3376174" w14:textId="636FA1A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1.192.660 </w:t>
            </w:r>
          </w:p>
        </w:tc>
        <w:tc>
          <w:tcPr>
            <w:tcW w:w="850" w:type="dxa"/>
            <w:tcBorders>
              <w:top w:val="nil"/>
              <w:left w:val="nil"/>
              <w:bottom w:val="single" w:sz="4" w:space="0" w:color="auto"/>
              <w:right w:val="single" w:sz="4" w:space="0" w:color="auto"/>
            </w:tcBorders>
            <w:shd w:val="clear" w:color="auto" w:fill="auto"/>
            <w:noWrap/>
            <w:vAlign w:val="bottom"/>
          </w:tcPr>
          <w:p w14:paraId="7EA24E31" w14:textId="4C98993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39EB0B4" w14:textId="1539E8B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69EDC061" w14:textId="69A2386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0FA4505" w14:textId="0F5ACBE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7C36AD59" w14:textId="294CC91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102B7813" w14:textId="77777777" w:rsidTr="006E1AF7">
        <w:trPr>
          <w:trHeight w:val="174"/>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55FD76FE" w14:textId="77777777" w:rsidR="00455CE7" w:rsidRPr="00E355F7" w:rsidRDefault="00455CE7" w:rsidP="00455CE7">
            <w:pPr>
              <w:rPr>
                <w:rFonts w:ascii="Arial" w:hAnsi="Arial" w:cs="Arial"/>
                <w:sz w:val="14"/>
                <w:szCs w:val="14"/>
                <w:lang w:eastAsia="es-AR"/>
              </w:rPr>
            </w:pPr>
            <w:r w:rsidRPr="00E355F7">
              <w:rPr>
                <w:rFonts w:ascii="Arial" w:hAnsi="Arial" w:cs="Arial"/>
                <w:sz w:val="14"/>
                <w:szCs w:val="14"/>
                <w:lang w:eastAsia="es-AR"/>
              </w:rPr>
              <w:t xml:space="preserve">   Sector privado no financiero y residentes en el exterior </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77CAD7EB" w14:textId="01CA3F7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82.804.799 </w:t>
            </w:r>
          </w:p>
        </w:tc>
        <w:tc>
          <w:tcPr>
            <w:tcW w:w="988" w:type="dxa"/>
            <w:tcBorders>
              <w:top w:val="nil"/>
              <w:left w:val="nil"/>
              <w:bottom w:val="single" w:sz="4" w:space="0" w:color="auto"/>
              <w:right w:val="single" w:sz="4" w:space="0" w:color="auto"/>
            </w:tcBorders>
            <w:shd w:val="clear" w:color="auto" w:fill="auto"/>
            <w:noWrap/>
            <w:vAlign w:val="bottom"/>
          </w:tcPr>
          <w:p w14:paraId="3BCA56EB" w14:textId="46F2354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14.727.399 </w:t>
            </w:r>
          </w:p>
        </w:tc>
        <w:tc>
          <w:tcPr>
            <w:tcW w:w="851" w:type="dxa"/>
            <w:tcBorders>
              <w:top w:val="nil"/>
              <w:left w:val="nil"/>
              <w:bottom w:val="single" w:sz="4" w:space="0" w:color="auto"/>
              <w:right w:val="single" w:sz="4" w:space="0" w:color="auto"/>
            </w:tcBorders>
            <w:shd w:val="clear" w:color="auto" w:fill="auto"/>
            <w:noWrap/>
            <w:vAlign w:val="bottom"/>
          </w:tcPr>
          <w:p w14:paraId="5C755BA6" w14:textId="54F2348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1.259.085 </w:t>
            </w:r>
          </w:p>
        </w:tc>
        <w:tc>
          <w:tcPr>
            <w:tcW w:w="841" w:type="dxa"/>
            <w:tcBorders>
              <w:top w:val="nil"/>
              <w:left w:val="nil"/>
              <w:bottom w:val="single" w:sz="4" w:space="0" w:color="auto"/>
              <w:right w:val="single" w:sz="4" w:space="0" w:color="auto"/>
            </w:tcBorders>
            <w:shd w:val="clear" w:color="auto" w:fill="auto"/>
            <w:noWrap/>
            <w:vAlign w:val="bottom"/>
          </w:tcPr>
          <w:p w14:paraId="1D49C6D3" w14:textId="6AD683D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40.114.747 </w:t>
            </w:r>
          </w:p>
        </w:tc>
        <w:tc>
          <w:tcPr>
            <w:tcW w:w="850" w:type="dxa"/>
            <w:tcBorders>
              <w:top w:val="nil"/>
              <w:left w:val="nil"/>
              <w:bottom w:val="single" w:sz="4" w:space="0" w:color="auto"/>
              <w:right w:val="single" w:sz="4" w:space="0" w:color="auto"/>
            </w:tcBorders>
            <w:shd w:val="clear" w:color="auto" w:fill="auto"/>
            <w:noWrap/>
            <w:vAlign w:val="bottom"/>
          </w:tcPr>
          <w:p w14:paraId="325D4620" w14:textId="428DF7E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6.059.260 </w:t>
            </w:r>
          </w:p>
        </w:tc>
        <w:tc>
          <w:tcPr>
            <w:tcW w:w="841" w:type="dxa"/>
            <w:tcBorders>
              <w:top w:val="nil"/>
              <w:left w:val="nil"/>
              <w:bottom w:val="single" w:sz="4" w:space="0" w:color="auto"/>
              <w:right w:val="single" w:sz="4" w:space="0" w:color="auto"/>
            </w:tcBorders>
            <w:shd w:val="clear" w:color="auto" w:fill="auto"/>
            <w:noWrap/>
            <w:vAlign w:val="bottom"/>
          </w:tcPr>
          <w:p w14:paraId="3F57F950" w14:textId="5B6B1B9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2D045B0A" w14:textId="370DB00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537.714 </w:t>
            </w:r>
          </w:p>
        </w:tc>
        <w:tc>
          <w:tcPr>
            <w:tcW w:w="841" w:type="dxa"/>
            <w:tcBorders>
              <w:top w:val="nil"/>
              <w:left w:val="nil"/>
              <w:bottom w:val="single" w:sz="4" w:space="0" w:color="auto"/>
              <w:right w:val="single" w:sz="4" w:space="0" w:color="auto"/>
            </w:tcBorders>
            <w:shd w:val="clear" w:color="auto" w:fill="auto"/>
            <w:noWrap/>
            <w:vAlign w:val="bottom"/>
          </w:tcPr>
          <w:p w14:paraId="1B255478" w14:textId="23266C9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20.106.594 </w:t>
            </w:r>
          </w:p>
        </w:tc>
        <w:tc>
          <w:tcPr>
            <w:tcW w:w="841" w:type="dxa"/>
            <w:tcBorders>
              <w:top w:val="nil"/>
              <w:left w:val="nil"/>
              <w:bottom w:val="single" w:sz="4" w:space="0" w:color="auto"/>
              <w:right w:val="single" w:sz="4" w:space="0" w:color="auto"/>
            </w:tcBorders>
            <w:shd w:val="clear" w:color="auto" w:fill="auto"/>
            <w:noWrap/>
            <w:vAlign w:val="bottom"/>
          </w:tcPr>
          <w:p w14:paraId="02263E2A" w14:textId="142075E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55B963A7" w14:textId="77777777" w:rsidTr="006E1AF7">
        <w:trPr>
          <w:trHeight w:val="194"/>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6EAA27D3"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Otros títulos de deuda</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10C6BFF8" w14:textId="3C572C3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10.613.265 </w:t>
            </w:r>
          </w:p>
        </w:tc>
        <w:tc>
          <w:tcPr>
            <w:tcW w:w="988" w:type="dxa"/>
            <w:tcBorders>
              <w:top w:val="nil"/>
              <w:left w:val="nil"/>
              <w:bottom w:val="single" w:sz="4" w:space="0" w:color="auto"/>
              <w:right w:val="single" w:sz="4" w:space="0" w:color="auto"/>
            </w:tcBorders>
            <w:shd w:val="clear" w:color="auto" w:fill="auto"/>
            <w:noWrap/>
            <w:vAlign w:val="bottom"/>
          </w:tcPr>
          <w:p w14:paraId="33BF3961" w14:textId="77479D3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1" w:type="dxa"/>
            <w:tcBorders>
              <w:top w:val="nil"/>
              <w:left w:val="nil"/>
              <w:bottom w:val="single" w:sz="4" w:space="0" w:color="auto"/>
              <w:right w:val="single" w:sz="4" w:space="0" w:color="auto"/>
            </w:tcBorders>
            <w:shd w:val="clear" w:color="auto" w:fill="auto"/>
            <w:noWrap/>
            <w:vAlign w:val="bottom"/>
          </w:tcPr>
          <w:p w14:paraId="4A08FF20" w14:textId="1166DDB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351.926 </w:t>
            </w:r>
          </w:p>
        </w:tc>
        <w:tc>
          <w:tcPr>
            <w:tcW w:w="841" w:type="dxa"/>
            <w:tcBorders>
              <w:top w:val="nil"/>
              <w:left w:val="nil"/>
              <w:bottom w:val="single" w:sz="4" w:space="0" w:color="auto"/>
              <w:right w:val="single" w:sz="4" w:space="0" w:color="auto"/>
            </w:tcBorders>
            <w:shd w:val="clear" w:color="auto" w:fill="auto"/>
            <w:noWrap/>
            <w:vAlign w:val="bottom"/>
          </w:tcPr>
          <w:p w14:paraId="56305400" w14:textId="32535DE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10.261.307 </w:t>
            </w:r>
          </w:p>
        </w:tc>
        <w:tc>
          <w:tcPr>
            <w:tcW w:w="850" w:type="dxa"/>
            <w:tcBorders>
              <w:top w:val="nil"/>
              <w:left w:val="nil"/>
              <w:bottom w:val="single" w:sz="4" w:space="0" w:color="auto"/>
              <w:right w:val="single" w:sz="4" w:space="0" w:color="auto"/>
            </w:tcBorders>
            <w:shd w:val="clear" w:color="auto" w:fill="auto"/>
            <w:noWrap/>
            <w:vAlign w:val="bottom"/>
          </w:tcPr>
          <w:p w14:paraId="17137AFD" w14:textId="43469D9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1620078" w14:textId="0718A3E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07B8DD27" w14:textId="57551DB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A08E7AD" w14:textId="77623A9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2ACAEC4" w14:textId="0E6F954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32 </w:t>
            </w:r>
          </w:p>
        </w:tc>
      </w:tr>
      <w:tr w:rsidR="00455CE7" w:rsidRPr="00E355F7" w14:paraId="7EC178DE" w14:textId="77777777" w:rsidTr="006E1AF7">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4430DE53"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Activos financieros entregados en garantía</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21CDFC22" w14:textId="69BE31D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4.924.540 </w:t>
            </w:r>
          </w:p>
        </w:tc>
        <w:tc>
          <w:tcPr>
            <w:tcW w:w="988" w:type="dxa"/>
            <w:tcBorders>
              <w:top w:val="nil"/>
              <w:left w:val="nil"/>
              <w:bottom w:val="single" w:sz="4" w:space="0" w:color="auto"/>
              <w:right w:val="single" w:sz="4" w:space="0" w:color="auto"/>
            </w:tcBorders>
            <w:shd w:val="clear" w:color="auto" w:fill="auto"/>
            <w:noWrap/>
            <w:vAlign w:val="bottom"/>
          </w:tcPr>
          <w:p w14:paraId="764E5FFE" w14:textId="408ABA4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2.878.398 </w:t>
            </w:r>
          </w:p>
        </w:tc>
        <w:tc>
          <w:tcPr>
            <w:tcW w:w="851" w:type="dxa"/>
            <w:tcBorders>
              <w:top w:val="nil"/>
              <w:left w:val="nil"/>
              <w:bottom w:val="single" w:sz="4" w:space="0" w:color="auto"/>
              <w:right w:val="single" w:sz="4" w:space="0" w:color="auto"/>
            </w:tcBorders>
            <w:shd w:val="clear" w:color="auto" w:fill="auto"/>
            <w:noWrap/>
            <w:vAlign w:val="bottom"/>
          </w:tcPr>
          <w:p w14:paraId="37C58397" w14:textId="251A1AD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F561C7C" w14:textId="7583FE5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158F98B7" w14:textId="63C1732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0E26BE3" w14:textId="0F6C4CE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4951C146" w14:textId="48CF25A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1.687.942 </w:t>
            </w:r>
          </w:p>
        </w:tc>
        <w:tc>
          <w:tcPr>
            <w:tcW w:w="841" w:type="dxa"/>
            <w:tcBorders>
              <w:top w:val="nil"/>
              <w:left w:val="nil"/>
              <w:bottom w:val="single" w:sz="4" w:space="0" w:color="auto"/>
              <w:right w:val="single" w:sz="4" w:space="0" w:color="auto"/>
            </w:tcBorders>
            <w:shd w:val="clear" w:color="auto" w:fill="auto"/>
            <w:noWrap/>
            <w:vAlign w:val="bottom"/>
          </w:tcPr>
          <w:p w14:paraId="60708427" w14:textId="4DE4CC3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78AB152" w14:textId="5D7C261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358.200 </w:t>
            </w:r>
          </w:p>
        </w:tc>
      </w:tr>
      <w:tr w:rsidR="00455CE7" w:rsidRPr="00E355F7" w14:paraId="7986CEBD" w14:textId="77777777" w:rsidTr="006E1AF7">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5F46D3EF"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Activos por impuestos a las ganancias corriente</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3B3D5842" w14:textId="7ECD0ED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293.192 </w:t>
            </w:r>
          </w:p>
        </w:tc>
        <w:tc>
          <w:tcPr>
            <w:tcW w:w="988" w:type="dxa"/>
            <w:tcBorders>
              <w:top w:val="nil"/>
              <w:left w:val="nil"/>
              <w:bottom w:val="single" w:sz="4" w:space="0" w:color="auto"/>
              <w:right w:val="single" w:sz="4" w:space="0" w:color="auto"/>
            </w:tcBorders>
            <w:shd w:val="clear" w:color="auto" w:fill="auto"/>
            <w:noWrap/>
            <w:vAlign w:val="bottom"/>
          </w:tcPr>
          <w:p w14:paraId="3B6FAD0D" w14:textId="1BBF8F4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293.192 </w:t>
            </w:r>
          </w:p>
        </w:tc>
        <w:tc>
          <w:tcPr>
            <w:tcW w:w="851" w:type="dxa"/>
            <w:tcBorders>
              <w:top w:val="nil"/>
              <w:left w:val="nil"/>
              <w:bottom w:val="single" w:sz="4" w:space="0" w:color="auto"/>
              <w:right w:val="single" w:sz="4" w:space="0" w:color="auto"/>
            </w:tcBorders>
            <w:shd w:val="clear" w:color="auto" w:fill="auto"/>
            <w:noWrap/>
            <w:vAlign w:val="bottom"/>
          </w:tcPr>
          <w:p w14:paraId="464E93BB" w14:textId="1EE82E6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F8635C3" w14:textId="4C48BAD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6AC968F5" w14:textId="1D34EEB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BCC6727" w14:textId="12B70B8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7B9E2F96" w14:textId="1341BEC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7E948752" w14:textId="5C4029B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318627B" w14:textId="248C1F87"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0D06DFEA" w14:textId="77777777" w:rsidTr="006E1AF7">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43B6227E"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Inversiones en instrumentos de patrimonio</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3D56231A" w14:textId="2EA248A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14.579 </w:t>
            </w:r>
          </w:p>
        </w:tc>
        <w:tc>
          <w:tcPr>
            <w:tcW w:w="988" w:type="dxa"/>
            <w:tcBorders>
              <w:top w:val="nil"/>
              <w:left w:val="nil"/>
              <w:bottom w:val="single" w:sz="4" w:space="0" w:color="auto"/>
              <w:right w:val="single" w:sz="4" w:space="0" w:color="auto"/>
            </w:tcBorders>
            <w:shd w:val="clear" w:color="auto" w:fill="auto"/>
            <w:noWrap/>
            <w:vAlign w:val="bottom"/>
          </w:tcPr>
          <w:p w14:paraId="2C8D626E" w14:textId="22CAC507"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1" w:type="dxa"/>
            <w:tcBorders>
              <w:top w:val="nil"/>
              <w:left w:val="nil"/>
              <w:bottom w:val="single" w:sz="4" w:space="0" w:color="auto"/>
              <w:right w:val="single" w:sz="4" w:space="0" w:color="auto"/>
            </w:tcBorders>
            <w:shd w:val="clear" w:color="auto" w:fill="auto"/>
            <w:noWrap/>
            <w:vAlign w:val="bottom"/>
          </w:tcPr>
          <w:p w14:paraId="4705E276" w14:textId="57F56F8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7CDB42A" w14:textId="7DC3E9D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39858D4B" w14:textId="5FEF344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38A4E83" w14:textId="76B63B3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14.579 </w:t>
            </w:r>
          </w:p>
        </w:tc>
        <w:tc>
          <w:tcPr>
            <w:tcW w:w="989" w:type="dxa"/>
            <w:tcBorders>
              <w:top w:val="nil"/>
              <w:left w:val="nil"/>
              <w:bottom w:val="single" w:sz="4" w:space="0" w:color="auto"/>
              <w:right w:val="single" w:sz="4" w:space="0" w:color="auto"/>
            </w:tcBorders>
            <w:shd w:val="clear" w:color="auto" w:fill="auto"/>
            <w:noWrap/>
            <w:vAlign w:val="bottom"/>
          </w:tcPr>
          <w:p w14:paraId="7BF2D060" w14:textId="480ADDF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D30FC72" w14:textId="63F201B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B5167C5" w14:textId="56384057"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41D786B7" w14:textId="77777777" w:rsidTr="006E1AF7">
        <w:trPr>
          <w:trHeight w:val="206"/>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5BC8C456"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Inversión en subsidiarias, asociadas y negocios conjuntos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4020F727" w14:textId="47091D4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2.427.461 </w:t>
            </w:r>
          </w:p>
        </w:tc>
        <w:tc>
          <w:tcPr>
            <w:tcW w:w="988" w:type="dxa"/>
            <w:tcBorders>
              <w:top w:val="nil"/>
              <w:left w:val="nil"/>
              <w:bottom w:val="single" w:sz="4" w:space="0" w:color="auto"/>
              <w:right w:val="single" w:sz="4" w:space="0" w:color="auto"/>
            </w:tcBorders>
            <w:shd w:val="clear" w:color="auto" w:fill="auto"/>
            <w:noWrap/>
            <w:vAlign w:val="bottom"/>
          </w:tcPr>
          <w:p w14:paraId="4BB659D3" w14:textId="43B5E8B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2.427.461 </w:t>
            </w:r>
          </w:p>
        </w:tc>
        <w:tc>
          <w:tcPr>
            <w:tcW w:w="851" w:type="dxa"/>
            <w:tcBorders>
              <w:top w:val="nil"/>
              <w:left w:val="nil"/>
              <w:bottom w:val="single" w:sz="4" w:space="0" w:color="auto"/>
              <w:right w:val="single" w:sz="4" w:space="0" w:color="auto"/>
            </w:tcBorders>
            <w:shd w:val="clear" w:color="auto" w:fill="auto"/>
            <w:noWrap/>
            <w:vAlign w:val="bottom"/>
          </w:tcPr>
          <w:p w14:paraId="2DA0D882" w14:textId="34ACA05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E9EB970" w14:textId="5D904C3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7A3CB8BA" w14:textId="03C8208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687BCDF" w14:textId="2F940F3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20656FE2" w14:textId="5E1891B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E8205C5" w14:textId="6F9AE00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0D243A26" w14:textId="2392A3B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645FD81D" w14:textId="77777777" w:rsidTr="006E1AF7">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0457FC31"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Propiedad, planta y equipo</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3E7291E2" w14:textId="4B9ED46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2.827.098 </w:t>
            </w:r>
          </w:p>
        </w:tc>
        <w:tc>
          <w:tcPr>
            <w:tcW w:w="988" w:type="dxa"/>
            <w:tcBorders>
              <w:top w:val="nil"/>
              <w:left w:val="nil"/>
              <w:bottom w:val="single" w:sz="4" w:space="0" w:color="auto"/>
              <w:right w:val="single" w:sz="4" w:space="0" w:color="auto"/>
            </w:tcBorders>
            <w:shd w:val="clear" w:color="auto" w:fill="auto"/>
            <w:noWrap/>
            <w:vAlign w:val="bottom"/>
          </w:tcPr>
          <w:p w14:paraId="4C5359C7" w14:textId="274867F7"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2.827.098 </w:t>
            </w:r>
          </w:p>
        </w:tc>
        <w:tc>
          <w:tcPr>
            <w:tcW w:w="851" w:type="dxa"/>
            <w:tcBorders>
              <w:top w:val="nil"/>
              <w:left w:val="nil"/>
              <w:bottom w:val="single" w:sz="4" w:space="0" w:color="auto"/>
              <w:right w:val="single" w:sz="4" w:space="0" w:color="auto"/>
            </w:tcBorders>
            <w:shd w:val="clear" w:color="auto" w:fill="auto"/>
            <w:noWrap/>
            <w:vAlign w:val="bottom"/>
          </w:tcPr>
          <w:p w14:paraId="34A7F67E" w14:textId="1FC926B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2AA81964" w14:textId="02DE952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0DE2CE19" w14:textId="300D5AE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51095478" w14:textId="0B661AC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6DFA730E" w14:textId="671F201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C1CDCC4" w14:textId="301FB2C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A4E2EA2" w14:textId="4B19751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2EE98ABE" w14:textId="77777777" w:rsidTr="006E1AF7">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4BF2B384"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Activos intangibles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38DDA6C5" w14:textId="2AAF0C6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700.709 </w:t>
            </w:r>
          </w:p>
        </w:tc>
        <w:tc>
          <w:tcPr>
            <w:tcW w:w="988" w:type="dxa"/>
            <w:tcBorders>
              <w:top w:val="nil"/>
              <w:left w:val="nil"/>
              <w:bottom w:val="single" w:sz="4" w:space="0" w:color="auto"/>
              <w:right w:val="single" w:sz="4" w:space="0" w:color="auto"/>
            </w:tcBorders>
            <w:shd w:val="clear" w:color="auto" w:fill="auto"/>
            <w:noWrap/>
            <w:vAlign w:val="bottom"/>
          </w:tcPr>
          <w:p w14:paraId="2A53A8E9" w14:textId="187B21E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700.709 </w:t>
            </w:r>
          </w:p>
        </w:tc>
        <w:tc>
          <w:tcPr>
            <w:tcW w:w="851" w:type="dxa"/>
            <w:tcBorders>
              <w:top w:val="nil"/>
              <w:left w:val="nil"/>
              <w:bottom w:val="single" w:sz="4" w:space="0" w:color="auto"/>
              <w:right w:val="single" w:sz="4" w:space="0" w:color="auto"/>
            </w:tcBorders>
            <w:shd w:val="clear" w:color="auto" w:fill="auto"/>
            <w:noWrap/>
            <w:vAlign w:val="bottom"/>
          </w:tcPr>
          <w:p w14:paraId="6683C836" w14:textId="46D0A95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8A4AA17" w14:textId="4DFDED5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101E1278" w14:textId="2187D27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CB73E76" w14:textId="72A101B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4CE42FE6" w14:textId="25CC441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90E6E48" w14:textId="285DFD0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69A9B74A" w14:textId="38BFDB7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550E68CE" w14:textId="77777777" w:rsidTr="006E1AF7">
        <w:trPr>
          <w:trHeight w:val="225"/>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507C7456"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Activos por impuesto a las ganancias diferido</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5187F4DD" w14:textId="3354393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615.538 </w:t>
            </w:r>
          </w:p>
        </w:tc>
        <w:tc>
          <w:tcPr>
            <w:tcW w:w="988" w:type="dxa"/>
            <w:tcBorders>
              <w:top w:val="nil"/>
              <w:left w:val="nil"/>
              <w:bottom w:val="single" w:sz="4" w:space="0" w:color="auto"/>
              <w:right w:val="single" w:sz="4" w:space="0" w:color="auto"/>
            </w:tcBorders>
            <w:shd w:val="clear" w:color="auto" w:fill="auto"/>
            <w:noWrap/>
            <w:vAlign w:val="bottom"/>
          </w:tcPr>
          <w:p w14:paraId="67C99228" w14:textId="412458B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615.538 </w:t>
            </w:r>
          </w:p>
        </w:tc>
        <w:tc>
          <w:tcPr>
            <w:tcW w:w="851" w:type="dxa"/>
            <w:tcBorders>
              <w:top w:val="nil"/>
              <w:left w:val="nil"/>
              <w:bottom w:val="single" w:sz="4" w:space="0" w:color="auto"/>
              <w:right w:val="single" w:sz="4" w:space="0" w:color="auto"/>
            </w:tcBorders>
            <w:shd w:val="clear" w:color="auto" w:fill="auto"/>
            <w:noWrap/>
            <w:vAlign w:val="bottom"/>
          </w:tcPr>
          <w:p w14:paraId="3AF8FA7F" w14:textId="2A6C148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7CAEBE8A" w14:textId="0F5BA9A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56D09D42" w14:textId="4A87364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C2DC0D3" w14:textId="4039B20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224B1BF2" w14:textId="0070BDB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67BDCB8" w14:textId="002C092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48CF5576" w14:textId="3466E81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355F7" w14:paraId="394469B4" w14:textId="77777777" w:rsidTr="006E1AF7">
        <w:trPr>
          <w:trHeight w:val="70"/>
        </w:trPr>
        <w:tc>
          <w:tcPr>
            <w:tcW w:w="3402" w:type="dxa"/>
            <w:tcBorders>
              <w:top w:val="single" w:sz="4" w:space="0" w:color="363639"/>
              <w:left w:val="single" w:sz="4" w:space="0" w:color="auto"/>
              <w:bottom w:val="single" w:sz="4" w:space="0" w:color="363639"/>
              <w:right w:val="single" w:sz="4" w:space="0" w:color="363639"/>
            </w:tcBorders>
            <w:shd w:val="clear" w:color="auto" w:fill="auto"/>
            <w:vAlign w:val="bottom"/>
            <w:hideMark/>
          </w:tcPr>
          <w:p w14:paraId="24D797FB" w14:textId="77777777" w:rsidR="00455CE7" w:rsidRPr="00E355F7" w:rsidRDefault="00455CE7" w:rsidP="00455CE7">
            <w:pPr>
              <w:rPr>
                <w:rFonts w:ascii="Arial" w:hAnsi="Arial" w:cs="Arial"/>
                <w:b/>
                <w:bCs/>
                <w:sz w:val="14"/>
                <w:szCs w:val="14"/>
                <w:lang w:eastAsia="es-AR"/>
              </w:rPr>
            </w:pPr>
            <w:r w:rsidRPr="00E355F7">
              <w:rPr>
                <w:rFonts w:ascii="Arial" w:hAnsi="Arial" w:cs="Arial"/>
                <w:b/>
                <w:bCs/>
                <w:sz w:val="14"/>
                <w:szCs w:val="14"/>
                <w:lang w:eastAsia="es-AR"/>
              </w:rPr>
              <w:t>Otros activos no financieros</w:t>
            </w:r>
          </w:p>
        </w:tc>
        <w:tc>
          <w:tcPr>
            <w:tcW w:w="919" w:type="dxa"/>
            <w:tcBorders>
              <w:top w:val="nil"/>
              <w:left w:val="single" w:sz="4" w:space="0" w:color="auto"/>
              <w:bottom w:val="single" w:sz="4" w:space="0" w:color="auto"/>
              <w:right w:val="single" w:sz="4" w:space="0" w:color="auto"/>
            </w:tcBorders>
            <w:shd w:val="clear" w:color="auto" w:fill="auto"/>
            <w:noWrap/>
            <w:vAlign w:val="bottom"/>
          </w:tcPr>
          <w:p w14:paraId="7DEE364C" w14:textId="6AE1B88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4.649.613 </w:t>
            </w:r>
          </w:p>
        </w:tc>
        <w:tc>
          <w:tcPr>
            <w:tcW w:w="988" w:type="dxa"/>
            <w:tcBorders>
              <w:top w:val="nil"/>
              <w:left w:val="nil"/>
              <w:bottom w:val="single" w:sz="4" w:space="0" w:color="auto"/>
              <w:right w:val="single" w:sz="4" w:space="0" w:color="auto"/>
            </w:tcBorders>
            <w:shd w:val="clear" w:color="auto" w:fill="auto"/>
            <w:noWrap/>
            <w:vAlign w:val="bottom"/>
          </w:tcPr>
          <w:p w14:paraId="36A5F1B4" w14:textId="70716AD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4.649.613 </w:t>
            </w:r>
          </w:p>
        </w:tc>
        <w:tc>
          <w:tcPr>
            <w:tcW w:w="851" w:type="dxa"/>
            <w:tcBorders>
              <w:top w:val="nil"/>
              <w:left w:val="nil"/>
              <w:bottom w:val="single" w:sz="4" w:space="0" w:color="auto"/>
              <w:right w:val="single" w:sz="4" w:space="0" w:color="auto"/>
            </w:tcBorders>
            <w:shd w:val="clear" w:color="auto" w:fill="auto"/>
            <w:noWrap/>
            <w:vAlign w:val="bottom"/>
          </w:tcPr>
          <w:p w14:paraId="1736560B" w14:textId="4A1C726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A8F9AB2" w14:textId="405CB69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0" w:type="dxa"/>
            <w:tcBorders>
              <w:top w:val="nil"/>
              <w:left w:val="nil"/>
              <w:bottom w:val="single" w:sz="4" w:space="0" w:color="auto"/>
              <w:right w:val="single" w:sz="4" w:space="0" w:color="auto"/>
            </w:tcBorders>
            <w:shd w:val="clear" w:color="auto" w:fill="auto"/>
            <w:noWrap/>
            <w:vAlign w:val="bottom"/>
          </w:tcPr>
          <w:p w14:paraId="122E6912" w14:textId="3FD5F0B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1981992E" w14:textId="0D813E6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9" w:type="dxa"/>
            <w:tcBorders>
              <w:top w:val="nil"/>
              <w:left w:val="nil"/>
              <w:bottom w:val="single" w:sz="4" w:space="0" w:color="auto"/>
              <w:right w:val="single" w:sz="4" w:space="0" w:color="auto"/>
            </w:tcBorders>
            <w:shd w:val="clear" w:color="auto" w:fill="auto"/>
            <w:noWrap/>
            <w:vAlign w:val="bottom"/>
          </w:tcPr>
          <w:p w14:paraId="1BDE31AF" w14:textId="3242E02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624D45A" w14:textId="4A9E655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tcPr>
          <w:p w14:paraId="3DF34900" w14:textId="39A21897"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bl>
    <w:p w14:paraId="6E0B2339" w14:textId="77777777" w:rsidR="00AA04EC" w:rsidRDefault="00AA04EC" w:rsidP="00AA04EC">
      <w:pPr>
        <w:jc w:val="center"/>
        <w:rPr>
          <w:rFonts w:ascii="Arial" w:hAnsi="Arial" w:cs="Arial"/>
          <w:sz w:val="14"/>
          <w:szCs w:val="16"/>
          <w:lang w:eastAsia="es-AR"/>
        </w:rPr>
        <w:sectPr w:rsidR="00AA04EC">
          <w:headerReference w:type="default" r:id="rId73"/>
          <w:pgSz w:w="12240" w:h="15840"/>
          <w:pgMar w:top="1417" w:right="1701" w:bottom="1417" w:left="1701" w:header="708" w:footer="708" w:gutter="0"/>
          <w:cols w:space="708"/>
          <w:docGrid w:linePitch="360"/>
        </w:sectPr>
      </w:pPr>
    </w:p>
    <w:tbl>
      <w:tblPr>
        <w:tblW w:w="11263" w:type="dxa"/>
        <w:tblInd w:w="-1139" w:type="dxa"/>
        <w:tblCellMar>
          <w:left w:w="70" w:type="dxa"/>
          <w:right w:w="70" w:type="dxa"/>
        </w:tblCellMar>
        <w:tblLook w:val="04A0" w:firstRow="1" w:lastRow="0" w:firstColumn="1" w:lastColumn="0" w:noHBand="0" w:noVBand="1"/>
      </w:tblPr>
      <w:tblGrid>
        <w:gridCol w:w="3261"/>
        <w:gridCol w:w="968"/>
        <w:gridCol w:w="988"/>
        <w:gridCol w:w="854"/>
        <w:gridCol w:w="854"/>
        <w:gridCol w:w="814"/>
        <w:gridCol w:w="841"/>
        <w:gridCol w:w="988"/>
        <w:gridCol w:w="854"/>
        <w:gridCol w:w="841"/>
      </w:tblGrid>
      <w:tr w:rsidR="00E953A6" w:rsidRPr="00E119D4" w14:paraId="31705D80" w14:textId="77777777" w:rsidTr="00455CE7">
        <w:trPr>
          <w:trHeight w:val="266"/>
        </w:trPr>
        <w:tc>
          <w:tcPr>
            <w:tcW w:w="11263" w:type="dxa"/>
            <w:gridSpan w:val="10"/>
            <w:tcBorders>
              <w:top w:val="single" w:sz="4" w:space="0" w:color="363639"/>
              <w:left w:val="single" w:sz="4" w:space="0" w:color="363639"/>
              <w:bottom w:val="single" w:sz="4" w:space="0" w:color="363639"/>
              <w:right w:val="single" w:sz="4" w:space="0" w:color="363639"/>
            </w:tcBorders>
            <w:shd w:val="clear" w:color="000000" w:fill="D9D9D9"/>
            <w:vAlign w:val="center"/>
          </w:tcPr>
          <w:p w14:paraId="3984A9BC" w14:textId="01909A71" w:rsidR="00E953A6" w:rsidRPr="001A10B5" w:rsidRDefault="00E953A6" w:rsidP="00E953A6">
            <w:pPr>
              <w:jc w:val="center"/>
              <w:rPr>
                <w:rFonts w:ascii="Arial" w:hAnsi="Arial" w:cs="Arial"/>
                <w:b/>
                <w:bCs/>
                <w:sz w:val="14"/>
                <w:szCs w:val="14"/>
                <w:lang w:eastAsia="es-AR"/>
              </w:rPr>
            </w:pPr>
            <w:r w:rsidRPr="001A10B5">
              <w:rPr>
                <w:rFonts w:ascii="Arial" w:hAnsi="Arial" w:cs="Arial"/>
                <w:b/>
                <w:bCs/>
                <w:sz w:val="14"/>
                <w:szCs w:val="14"/>
                <w:lang w:eastAsia="es-AR"/>
              </w:rPr>
              <w:t>Información en miles de pesos</w:t>
            </w:r>
          </w:p>
        </w:tc>
      </w:tr>
      <w:tr w:rsidR="00E953A6" w:rsidRPr="00E119D4" w14:paraId="1E9E63BF" w14:textId="77777777" w:rsidTr="00455CE7">
        <w:trPr>
          <w:trHeight w:val="266"/>
        </w:trPr>
        <w:tc>
          <w:tcPr>
            <w:tcW w:w="3261" w:type="dxa"/>
            <w:vMerge w:val="restart"/>
            <w:tcBorders>
              <w:top w:val="single" w:sz="4" w:space="0" w:color="363639"/>
              <w:left w:val="single" w:sz="4" w:space="0" w:color="363639"/>
              <w:right w:val="single" w:sz="4" w:space="0" w:color="363639"/>
            </w:tcBorders>
            <w:shd w:val="clear" w:color="000000" w:fill="D9D9D9"/>
            <w:vAlign w:val="center"/>
          </w:tcPr>
          <w:p w14:paraId="647DF2F9" w14:textId="608752A7" w:rsidR="00E953A6" w:rsidRPr="001A10B5" w:rsidRDefault="00E953A6" w:rsidP="00E953A6">
            <w:pPr>
              <w:jc w:val="center"/>
              <w:rPr>
                <w:rFonts w:ascii="Arial" w:hAnsi="Arial" w:cs="Arial"/>
                <w:b/>
                <w:bCs/>
                <w:sz w:val="14"/>
                <w:szCs w:val="14"/>
                <w:lang w:eastAsia="es-AR"/>
              </w:rPr>
            </w:pPr>
            <w:r w:rsidRPr="001A10B5">
              <w:rPr>
                <w:rFonts w:ascii="Arial" w:hAnsi="Arial" w:cs="Arial"/>
                <w:b/>
                <w:bCs/>
                <w:sz w:val="14"/>
                <w:szCs w:val="14"/>
                <w:lang w:eastAsia="es-AR"/>
              </w:rPr>
              <w:t>Estados Financieros al 3</w:t>
            </w:r>
            <w:r w:rsidR="00455CE7">
              <w:rPr>
                <w:rFonts w:ascii="Arial" w:hAnsi="Arial" w:cs="Arial"/>
                <w:b/>
                <w:bCs/>
                <w:sz w:val="14"/>
                <w:szCs w:val="14"/>
                <w:lang w:eastAsia="es-AR"/>
              </w:rPr>
              <w:t>1</w:t>
            </w:r>
            <w:r w:rsidRPr="001A10B5">
              <w:rPr>
                <w:rFonts w:ascii="Arial" w:hAnsi="Arial" w:cs="Arial"/>
                <w:b/>
                <w:bCs/>
                <w:sz w:val="14"/>
                <w:szCs w:val="14"/>
                <w:lang w:eastAsia="es-AR"/>
              </w:rPr>
              <w:t>/</w:t>
            </w:r>
            <w:r w:rsidR="00455CE7">
              <w:rPr>
                <w:rFonts w:ascii="Arial" w:hAnsi="Arial" w:cs="Arial"/>
                <w:b/>
                <w:bCs/>
                <w:sz w:val="14"/>
                <w:szCs w:val="14"/>
                <w:lang w:eastAsia="es-AR"/>
              </w:rPr>
              <w:t>12</w:t>
            </w:r>
            <w:r w:rsidRPr="001A10B5">
              <w:rPr>
                <w:rFonts w:ascii="Arial" w:hAnsi="Arial" w:cs="Arial"/>
                <w:b/>
                <w:bCs/>
                <w:sz w:val="14"/>
                <w:szCs w:val="14"/>
                <w:lang w:eastAsia="es-AR"/>
              </w:rPr>
              <w:t>/19</w:t>
            </w:r>
          </w:p>
        </w:tc>
        <w:tc>
          <w:tcPr>
            <w:tcW w:w="5319" w:type="dxa"/>
            <w:gridSpan w:val="6"/>
            <w:tcBorders>
              <w:top w:val="single" w:sz="4" w:space="0" w:color="363639"/>
              <w:left w:val="nil"/>
              <w:bottom w:val="single" w:sz="4" w:space="0" w:color="363639"/>
              <w:right w:val="single" w:sz="4" w:space="0" w:color="auto"/>
            </w:tcBorders>
            <w:shd w:val="clear" w:color="000000" w:fill="D9D9D9"/>
            <w:noWrap/>
            <w:vAlign w:val="center"/>
          </w:tcPr>
          <w:p w14:paraId="60CE1DB8" w14:textId="34BE3C56" w:rsidR="00E953A6" w:rsidRPr="0012241E" w:rsidRDefault="00E953A6" w:rsidP="00E953A6">
            <w:pPr>
              <w:jc w:val="center"/>
              <w:rPr>
                <w:rFonts w:ascii="Arial" w:hAnsi="Arial" w:cs="Arial"/>
                <w:b/>
                <w:bCs/>
                <w:sz w:val="14"/>
                <w:szCs w:val="14"/>
                <w:lang w:eastAsia="es-AR"/>
              </w:rPr>
            </w:pPr>
            <w:r w:rsidRPr="004708CB">
              <w:rPr>
                <w:rFonts w:ascii="Arial" w:hAnsi="Arial" w:cs="Arial"/>
                <w:b/>
                <w:bCs/>
                <w:sz w:val="14"/>
                <w:szCs w:val="14"/>
                <w:lang w:eastAsia="es-AR"/>
              </w:rPr>
              <w:t>Moneda Nacional</w:t>
            </w:r>
          </w:p>
        </w:tc>
        <w:tc>
          <w:tcPr>
            <w:tcW w:w="2683" w:type="dxa"/>
            <w:gridSpan w:val="3"/>
            <w:tcBorders>
              <w:top w:val="single" w:sz="4" w:space="0" w:color="363639"/>
              <w:left w:val="nil"/>
              <w:bottom w:val="single" w:sz="4" w:space="0" w:color="363639"/>
              <w:right w:val="single" w:sz="4" w:space="0" w:color="363639"/>
            </w:tcBorders>
            <w:shd w:val="clear" w:color="000000" w:fill="D9D9D9"/>
            <w:noWrap/>
            <w:vAlign w:val="center"/>
          </w:tcPr>
          <w:p w14:paraId="33ECCDC2" w14:textId="262B83A0" w:rsidR="00E953A6" w:rsidRPr="00066653" w:rsidRDefault="00E953A6" w:rsidP="00E953A6">
            <w:pPr>
              <w:jc w:val="center"/>
              <w:rPr>
                <w:rFonts w:ascii="Arial" w:hAnsi="Arial" w:cs="Arial"/>
                <w:b/>
                <w:bCs/>
                <w:sz w:val="14"/>
                <w:szCs w:val="14"/>
                <w:lang w:eastAsia="es-AR"/>
              </w:rPr>
            </w:pPr>
            <w:r w:rsidRPr="00B85009">
              <w:rPr>
                <w:rFonts w:ascii="Arial" w:hAnsi="Arial" w:cs="Arial"/>
                <w:b/>
                <w:bCs/>
                <w:sz w:val="14"/>
                <w:szCs w:val="14"/>
                <w:lang w:eastAsia="es-AR"/>
              </w:rPr>
              <w:t>Moneda Extranjera</w:t>
            </w:r>
          </w:p>
        </w:tc>
      </w:tr>
      <w:tr w:rsidR="00E953A6" w:rsidRPr="00E119D4" w14:paraId="1EA5716F" w14:textId="77777777" w:rsidTr="00455CE7">
        <w:trPr>
          <w:trHeight w:val="266"/>
        </w:trPr>
        <w:tc>
          <w:tcPr>
            <w:tcW w:w="3261" w:type="dxa"/>
            <w:vMerge/>
            <w:tcBorders>
              <w:left w:val="single" w:sz="4" w:space="0" w:color="363639"/>
              <w:bottom w:val="single" w:sz="4" w:space="0" w:color="363639"/>
              <w:right w:val="single" w:sz="4" w:space="0" w:color="363639"/>
            </w:tcBorders>
            <w:shd w:val="clear" w:color="000000" w:fill="D9D9D9"/>
            <w:vAlign w:val="center"/>
          </w:tcPr>
          <w:p w14:paraId="7B57A543" w14:textId="77777777" w:rsidR="00E953A6" w:rsidRPr="00066653" w:rsidRDefault="00E953A6" w:rsidP="00E953A6">
            <w:pPr>
              <w:jc w:val="center"/>
              <w:rPr>
                <w:rFonts w:ascii="Arial" w:hAnsi="Arial" w:cs="Arial"/>
                <w:b/>
                <w:bCs/>
                <w:sz w:val="14"/>
                <w:szCs w:val="14"/>
                <w:lang w:eastAsia="es-AR"/>
              </w:rPr>
            </w:pPr>
          </w:p>
        </w:tc>
        <w:tc>
          <w:tcPr>
            <w:tcW w:w="968" w:type="dxa"/>
            <w:tcBorders>
              <w:top w:val="single" w:sz="4" w:space="0" w:color="363639"/>
              <w:left w:val="nil"/>
              <w:bottom w:val="single" w:sz="4" w:space="0" w:color="363639"/>
              <w:right w:val="single" w:sz="4" w:space="0" w:color="363639"/>
            </w:tcBorders>
            <w:shd w:val="clear" w:color="000000" w:fill="D9D9D9"/>
            <w:noWrap/>
            <w:vAlign w:val="center"/>
          </w:tcPr>
          <w:p w14:paraId="6C6BF1B9" w14:textId="16EB2769" w:rsidR="00E953A6" w:rsidRPr="00066653" w:rsidRDefault="00E953A6" w:rsidP="00E953A6">
            <w:pPr>
              <w:jc w:val="center"/>
              <w:rPr>
                <w:rFonts w:ascii="Arial" w:hAnsi="Arial" w:cs="Arial"/>
                <w:b/>
                <w:bCs/>
                <w:sz w:val="14"/>
                <w:szCs w:val="14"/>
                <w:lang w:eastAsia="es-AR"/>
              </w:rPr>
            </w:pPr>
            <w:r w:rsidRPr="00066653">
              <w:rPr>
                <w:rFonts w:ascii="Arial" w:hAnsi="Arial" w:cs="Arial"/>
                <w:b/>
                <w:bCs/>
                <w:sz w:val="14"/>
                <w:szCs w:val="14"/>
                <w:lang w:eastAsia="es-AR"/>
              </w:rPr>
              <w:t>Saldos al cierre</w:t>
            </w:r>
          </w:p>
        </w:tc>
        <w:tc>
          <w:tcPr>
            <w:tcW w:w="988" w:type="dxa"/>
            <w:tcBorders>
              <w:top w:val="single" w:sz="4" w:space="0" w:color="363639"/>
              <w:left w:val="single" w:sz="4" w:space="0" w:color="auto"/>
              <w:bottom w:val="single" w:sz="4" w:space="0" w:color="363639"/>
              <w:right w:val="single" w:sz="4" w:space="0" w:color="auto"/>
            </w:tcBorders>
            <w:shd w:val="clear" w:color="000000" w:fill="D9D9D9"/>
            <w:noWrap/>
            <w:vAlign w:val="center"/>
          </w:tcPr>
          <w:p w14:paraId="0425461D" w14:textId="56539B38" w:rsidR="00E953A6" w:rsidRPr="00066653" w:rsidRDefault="00E953A6" w:rsidP="00E953A6">
            <w:pPr>
              <w:jc w:val="center"/>
              <w:rPr>
                <w:rFonts w:ascii="Arial" w:hAnsi="Arial" w:cs="Arial"/>
                <w:b/>
                <w:bCs/>
                <w:sz w:val="14"/>
                <w:szCs w:val="14"/>
                <w:lang w:eastAsia="es-AR"/>
              </w:rPr>
            </w:pPr>
            <w:r w:rsidRPr="00066653">
              <w:rPr>
                <w:rFonts w:ascii="Arial" w:hAnsi="Arial" w:cs="Arial"/>
                <w:b/>
                <w:bCs/>
                <w:sz w:val="14"/>
                <w:szCs w:val="14"/>
                <w:lang w:eastAsia="es-AR"/>
              </w:rPr>
              <w:t>Sin Rendimiento</w:t>
            </w:r>
          </w:p>
        </w:tc>
        <w:tc>
          <w:tcPr>
            <w:tcW w:w="854" w:type="dxa"/>
            <w:tcBorders>
              <w:top w:val="single" w:sz="4" w:space="0" w:color="363639"/>
              <w:left w:val="nil"/>
              <w:bottom w:val="single" w:sz="4" w:space="0" w:color="363639"/>
              <w:right w:val="single" w:sz="4" w:space="0" w:color="auto"/>
            </w:tcBorders>
            <w:shd w:val="clear" w:color="000000" w:fill="D9D9D9"/>
            <w:noWrap/>
            <w:vAlign w:val="center"/>
          </w:tcPr>
          <w:p w14:paraId="24FF7C69" w14:textId="60769666" w:rsidR="00E953A6" w:rsidRPr="00066653" w:rsidRDefault="00E953A6" w:rsidP="00E953A6">
            <w:pPr>
              <w:jc w:val="center"/>
              <w:rPr>
                <w:rFonts w:ascii="Arial" w:hAnsi="Arial" w:cs="Arial"/>
                <w:b/>
                <w:bCs/>
                <w:sz w:val="14"/>
                <w:szCs w:val="14"/>
                <w:lang w:eastAsia="es-AR"/>
              </w:rPr>
            </w:pPr>
            <w:r w:rsidRPr="00066653">
              <w:rPr>
                <w:rFonts w:ascii="Arial" w:hAnsi="Arial" w:cs="Arial"/>
                <w:b/>
                <w:bCs/>
                <w:sz w:val="14"/>
                <w:szCs w:val="14"/>
                <w:lang w:eastAsia="es-AR"/>
              </w:rPr>
              <w:t>Tasa interés variable</w:t>
            </w:r>
          </w:p>
        </w:tc>
        <w:tc>
          <w:tcPr>
            <w:tcW w:w="854" w:type="dxa"/>
            <w:tcBorders>
              <w:top w:val="single" w:sz="4" w:space="0" w:color="363639"/>
              <w:left w:val="nil"/>
              <w:bottom w:val="single" w:sz="4" w:space="0" w:color="363639"/>
              <w:right w:val="single" w:sz="4" w:space="0" w:color="auto"/>
            </w:tcBorders>
            <w:shd w:val="clear" w:color="000000" w:fill="D9D9D9"/>
            <w:noWrap/>
            <w:vAlign w:val="center"/>
          </w:tcPr>
          <w:p w14:paraId="7854929F" w14:textId="4074A5D7" w:rsidR="00E953A6" w:rsidRPr="00066653" w:rsidRDefault="00E953A6" w:rsidP="00E953A6">
            <w:pPr>
              <w:jc w:val="center"/>
              <w:rPr>
                <w:rFonts w:ascii="Arial" w:hAnsi="Arial" w:cs="Arial"/>
                <w:b/>
                <w:bCs/>
                <w:sz w:val="14"/>
                <w:szCs w:val="14"/>
                <w:lang w:eastAsia="es-AR"/>
              </w:rPr>
            </w:pPr>
            <w:r w:rsidRPr="00066653">
              <w:rPr>
                <w:rFonts w:ascii="Arial" w:hAnsi="Arial" w:cs="Arial"/>
                <w:b/>
                <w:bCs/>
                <w:sz w:val="14"/>
                <w:szCs w:val="14"/>
                <w:lang w:eastAsia="es-AR"/>
              </w:rPr>
              <w:t>Tasa interés fija</w:t>
            </w:r>
          </w:p>
        </w:tc>
        <w:tc>
          <w:tcPr>
            <w:tcW w:w="814" w:type="dxa"/>
            <w:tcBorders>
              <w:top w:val="single" w:sz="4" w:space="0" w:color="363639"/>
              <w:left w:val="nil"/>
              <w:bottom w:val="single" w:sz="4" w:space="0" w:color="363639"/>
              <w:right w:val="single" w:sz="4" w:space="0" w:color="auto"/>
            </w:tcBorders>
            <w:shd w:val="clear" w:color="000000" w:fill="D9D9D9"/>
            <w:noWrap/>
            <w:vAlign w:val="center"/>
          </w:tcPr>
          <w:p w14:paraId="5F89CCBB" w14:textId="560AFA54" w:rsidR="00E953A6" w:rsidRPr="00066653" w:rsidRDefault="00E953A6" w:rsidP="00E953A6">
            <w:pPr>
              <w:jc w:val="center"/>
              <w:rPr>
                <w:rFonts w:ascii="Arial" w:hAnsi="Arial" w:cs="Arial"/>
                <w:b/>
                <w:bCs/>
                <w:sz w:val="14"/>
                <w:szCs w:val="14"/>
                <w:lang w:eastAsia="es-AR"/>
              </w:rPr>
            </w:pPr>
            <w:r w:rsidRPr="00066653">
              <w:rPr>
                <w:rFonts w:ascii="Arial" w:hAnsi="Arial" w:cs="Arial"/>
                <w:b/>
                <w:bCs/>
                <w:sz w:val="14"/>
                <w:szCs w:val="14"/>
                <w:lang w:eastAsia="es-AR"/>
              </w:rPr>
              <w:t>CER/UVA</w:t>
            </w:r>
          </w:p>
        </w:tc>
        <w:tc>
          <w:tcPr>
            <w:tcW w:w="841" w:type="dxa"/>
            <w:tcBorders>
              <w:top w:val="single" w:sz="4" w:space="0" w:color="363639"/>
              <w:left w:val="nil"/>
              <w:bottom w:val="single" w:sz="4" w:space="0" w:color="363639"/>
              <w:right w:val="single" w:sz="4" w:space="0" w:color="auto"/>
            </w:tcBorders>
            <w:shd w:val="clear" w:color="000000" w:fill="D9D9D9"/>
            <w:noWrap/>
            <w:vAlign w:val="center"/>
          </w:tcPr>
          <w:p w14:paraId="447FFC39" w14:textId="7E323E74" w:rsidR="00E953A6" w:rsidRPr="00066653" w:rsidRDefault="00E953A6" w:rsidP="00E953A6">
            <w:pPr>
              <w:jc w:val="center"/>
              <w:rPr>
                <w:rFonts w:ascii="Arial" w:hAnsi="Arial" w:cs="Arial"/>
                <w:b/>
                <w:bCs/>
                <w:sz w:val="14"/>
                <w:szCs w:val="14"/>
                <w:lang w:eastAsia="es-AR"/>
              </w:rPr>
            </w:pPr>
            <w:r w:rsidRPr="00066653">
              <w:rPr>
                <w:rFonts w:ascii="Arial" w:hAnsi="Arial" w:cs="Arial"/>
                <w:b/>
                <w:bCs/>
                <w:sz w:val="14"/>
                <w:szCs w:val="14"/>
                <w:lang w:eastAsia="es-AR"/>
              </w:rPr>
              <w:t>Cotizables</w:t>
            </w:r>
          </w:p>
        </w:tc>
        <w:tc>
          <w:tcPr>
            <w:tcW w:w="988" w:type="dxa"/>
            <w:tcBorders>
              <w:top w:val="single" w:sz="4" w:space="0" w:color="363639"/>
              <w:left w:val="nil"/>
              <w:bottom w:val="single" w:sz="4" w:space="0" w:color="363639"/>
              <w:right w:val="single" w:sz="4" w:space="0" w:color="auto"/>
            </w:tcBorders>
            <w:shd w:val="clear" w:color="000000" w:fill="D9D9D9"/>
            <w:noWrap/>
            <w:vAlign w:val="center"/>
          </w:tcPr>
          <w:p w14:paraId="7CFBEBD2" w14:textId="6892F574" w:rsidR="00E953A6" w:rsidRPr="00066653" w:rsidRDefault="00E953A6" w:rsidP="00E953A6">
            <w:pPr>
              <w:jc w:val="center"/>
              <w:rPr>
                <w:rFonts w:ascii="Arial" w:hAnsi="Arial" w:cs="Arial"/>
                <w:b/>
                <w:bCs/>
                <w:sz w:val="14"/>
                <w:szCs w:val="14"/>
                <w:lang w:eastAsia="es-AR"/>
              </w:rPr>
            </w:pPr>
            <w:r w:rsidRPr="00066653">
              <w:rPr>
                <w:rFonts w:ascii="Arial" w:hAnsi="Arial" w:cs="Arial"/>
                <w:b/>
                <w:bCs/>
                <w:sz w:val="14"/>
                <w:szCs w:val="14"/>
                <w:lang w:eastAsia="es-AR"/>
              </w:rPr>
              <w:t>Sin Rendimiento</w:t>
            </w:r>
          </w:p>
        </w:tc>
        <w:tc>
          <w:tcPr>
            <w:tcW w:w="854" w:type="dxa"/>
            <w:tcBorders>
              <w:top w:val="single" w:sz="4" w:space="0" w:color="363639"/>
              <w:left w:val="nil"/>
              <w:bottom w:val="single" w:sz="4" w:space="0" w:color="363639"/>
              <w:right w:val="single" w:sz="4" w:space="0" w:color="auto"/>
            </w:tcBorders>
            <w:shd w:val="clear" w:color="000000" w:fill="D9D9D9"/>
            <w:noWrap/>
            <w:vAlign w:val="center"/>
          </w:tcPr>
          <w:p w14:paraId="6792E4AD" w14:textId="68DF5328" w:rsidR="00E953A6" w:rsidRPr="00066653" w:rsidRDefault="00E953A6" w:rsidP="00E953A6">
            <w:pPr>
              <w:jc w:val="center"/>
              <w:rPr>
                <w:rFonts w:ascii="Arial" w:hAnsi="Arial" w:cs="Arial"/>
                <w:b/>
                <w:bCs/>
                <w:sz w:val="14"/>
                <w:szCs w:val="14"/>
                <w:lang w:eastAsia="es-AR"/>
              </w:rPr>
            </w:pPr>
            <w:r w:rsidRPr="00066653">
              <w:rPr>
                <w:rFonts w:ascii="Arial" w:hAnsi="Arial" w:cs="Arial"/>
                <w:b/>
                <w:bCs/>
                <w:sz w:val="14"/>
                <w:szCs w:val="14"/>
                <w:lang w:eastAsia="es-AR"/>
              </w:rPr>
              <w:t>Tasa interés</w:t>
            </w:r>
          </w:p>
        </w:tc>
        <w:tc>
          <w:tcPr>
            <w:tcW w:w="841" w:type="dxa"/>
            <w:tcBorders>
              <w:top w:val="single" w:sz="4" w:space="0" w:color="363639"/>
              <w:left w:val="nil"/>
              <w:bottom w:val="single" w:sz="4" w:space="0" w:color="363639"/>
              <w:right w:val="single" w:sz="4" w:space="0" w:color="363639"/>
            </w:tcBorders>
            <w:shd w:val="clear" w:color="000000" w:fill="D9D9D9"/>
            <w:noWrap/>
            <w:vAlign w:val="center"/>
          </w:tcPr>
          <w:p w14:paraId="095BB7C3" w14:textId="5A861493" w:rsidR="00E953A6" w:rsidRPr="00066653" w:rsidRDefault="00E953A6" w:rsidP="00E953A6">
            <w:pPr>
              <w:jc w:val="center"/>
              <w:rPr>
                <w:rFonts w:ascii="Arial" w:hAnsi="Arial" w:cs="Arial"/>
                <w:b/>
                <w:bCs/>
                <w:sz w:val="14"/>
                <w:szCs w:val="14"/>
                <w:lang w:eastAsia="es-AR"/>
              </w:rPr>
            </w:pPr>
            <w:r w:rsidRPr="00066653">
              <w:rPr>
                <w:rFonts w:ascii="Arial" w:hAnsi="Arial" w:cs="Arial"/>
                <w:b/>
                <w:bCs/>
                <w:sz w:val="14"/>
                <w:szCs w:val="14"/>
                <w:lang w:eastAsia="es-AR"/>
              </w:rPr>
              <w:t>Cotizables</w:t>
            </w:r>
          </w:p>
        </w:tc>
      </w:tr>
      <w:tr w:rsidR="00455CE7" w:rsidRPr="00E119D4" w14:paraId="7D98680F" w14:textId="77777777" w:rsidTr="00455CE7">
        <w:trPr>
          <w:trHeight w:val="266"/>
        </w:trPr>
        <w:tc>
          <w:tcPr>
            <w:tcW w:w="3261" w:type="dxa"/>
            <w:tcBorders>
              <w:top w:val="single" w:sz="4" w:space="0" w:color="363639"/>
              <w:left w:val="single" w:sz="4" w:space="0" w:color="363639"/>
              <w:bottom w:val="single" w:sz="4" w:space="0" w:color="363639"/>
              <w:right w:val="single" w:sz="4" w:space="0" w:color="363639"/>
            </w:tcBorders>
            <w:shd w:val="clear" w:color="000000" w:fill="D9D9D9"/>
            <w:hideMark/>
          </w:tcPr>
          <w:p w14:paraId="3C5325F6" w14:textId="77777777" w:rsidR="00455CE7" w:rsidRPr="001A10B5" w:rsidRDefault="00455CE7" w:rsidP="00455CE7">
            <w:pPr>
              <w:jc w:val="center"/>
              <w:rPr>
                <w:rFonts w:ascii="Arial" w:hAnsi="Arial" w:cs="Arial"/>
                <w:b/>
                <w:bCs/>
                <w:sz w:val="14"/>
                <w:szCs w:val="14"/>
                <w:lang w:eastAsia="es-AR"/>
              </w:rPr>
            </w:pPr>
            <w:r w:rsidRPr="001A10B5">
              <w:rPr>
                <w:rFonts w:ascii="Arial" w:hAnsi="Arial" w:cs="Arial"/>
                <w:b/>
                <w:bCs/>
                <w:sz w:val="14"/>
                <w:szCs w:val="14"/>
                <w:lang w:eastAsia="es-AR"/>
              </w:rPr>
              <w:t>PASIVO</w:t>
            </w:r>
          </w:p>
        </w:tc>
        <w:tc>
          <w:tcPr>
            <w:tcW w:w="968" w:type="dxa"/>
            <w:tcBorders>
              <w:top w:val="nil"/>
              <w:left w:val="nil"/>
              <w:bottom w:val="single" w:sz="4" w:space="0" w:color="363639"/>
              <w:right w:val="single" w:sz="4" w:space="0" w:color="363639"/>
            </w:tcBorders>
            <w:shd w:val="clear" w:color="000000" w:fill="D9D9D9"/>
            <w:noWrap/>
            <w:vAlign w:val="bottom"/>
            <w:hideMark/>
          </w:tcPr>
          <w:p w14:paraId="5CE429B4" w14:textId="427AB8D2"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120.493.241 </w:t>
            </w:r>
          </w:p>
        </w:tc>
        <w:tc>
          <w:tcPr>
            <w:tcW w:w="98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820C857" w14:textId="79111632"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28.270.548 </w:t>
            </w:r>
          </w:p>
        </w:tc>
        <w:tc>
          <w:tcPr>
            <w:tcW w:w="854" w:type="dxa"/>
            <w:tcBorders>
              <w:top w:val="single" w:sz="4" w:space="0" w:color="auto"/>
              <w:left w:val="nil"/>
              <w:bottom w:val="single" w:sz="4" w:space="0" w:color="auto"/>
              <w:right w:val="single" w:sz="4" w:space="0" w:color="auto"/>
            </w:tcBorders>
            <w:shd w:val="clear" w:color="000000" w:fill="D9D9D9"/>
            <w:noWrap/>
            <w:vAlign w:val="bottom"/>
            <w:hideMark/>
          </w:tcPr>
          <w:p w14:paraId="5CB2854D" w14:textId="1F8D6810"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6.615.855 </w:t>
            </w:r>
          </w:p>
        </w:tc>
        <w:tc>
          <w:tcPr>
            <w:tcW w:w="854" w:type="dxa"/>
            <w:tcBorders>
              <w:top w:val="single" w:sz="4" w:space="0" w:color="auto"/>
              <w:left w:val="nil"/>
              <w:bottom w:val="single" w:sz="4" w:space="0" w:color="auto"/>
              <w:right w:val="single" w:sz="4" w:space="0" w:color="auto"/>
            </w:tcBorders>
            <w:shd w:val="clear" w:color="000000" w:fill="D9D9D9"/>
            <w:noWrap/>
            <w:vAlign w:val="bottom"/>
            <w:hideMark/>
          </w:tcPr>
          <w:p w14:paraId="47B0B0B1" w14:textId="0EDDF6DF"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47.482.075 </w:t>
            </w:r>
          </w:p>
        </w:tc>
        <w:tc>
          <w:tcPr>
            <w:tcW w:w="814" w:type="dxa"/>
            <w:tcBorders>
              <w:top w:val="single" w:sz="4" w:space="0" w:color="auto"/>
              <w:left w:val="nil"/>
              <w:bottom w:val="single" w:sz="4" w:space="0" w:color="auto"/>
              <w:right w:val="single" w:sz="4" w:space="0" w:color="auto"/>
            </w:tcBorders>
            <w:shd w:val="clear" w:color="000000" w:fill="D9D9D9"/>
            <w:noWrap/>
            <w:vAlign w:val="bottom"/>
            <w:hideMark/>
          </w:tcPr>
          <w:p w14:paraId="60774858" w14:textId="7454804E"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945.106 </w:t>
            </w:r>
          </w:p>
        </w:tc>
        <w:tc>
          <w:tcPr>
            <w:tcW w:w="841" w:type="dxa"/>
            <w:tcBorders>
              <w:top w:val="nil"/>
              <w:left w:val="nil"/>
              <w:bottom w:val="single" w:sz="4" w:space="0" w:color="auto"/>
              <w:right w:val="single" w:sz="4" w:space="0" w:color="auto"/>
            </w:tcBorders>
            <w:shd w:val="clear" w:color="000000" w:fill="D9D9D9"/>
            <w:noWrap/>
            <w:vAlign w:val="bottom"/>
            <w:hideMark/>
          </w:tcPr>
          <w:p w14:paraId="5B1F5433" w14:textId="68CB327C"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133.300 </w:t>
            </w:r>
          </w:p>
        </w:tc>
        <w:tc>
          <w:tcPr>
            <w:tcW w:w="988" w:type="dxa"/>
            <w:tcBorders>
              <w:top w:val="single" w:sz="4" w:space="0" w:color="auto"/>
              <w:left w:val="nil"/>
              <w:bottom w:val="single" w:sz="4" w:space="0" w:color="auto"/>
              <w:right w:val="single" w:sz="4" w:space="0" w:color="auto"/>
            </w:tcBorders>
            <w:shd w:val="clear" w:color="000000" w:fill="D9D9D9"/>
            <w:noWrap/>
            <w:vAlign w:val="bottom"/>
            <w:hideMark/>
          </w:tcPr>
          <w:p w14:paraId="5BEE0882" w14:textId="565CAC84"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2.609.203 </w:t>
            </w:r>
          </w:p>
        </w:tc>
        <w:tc>
          <w:tcPr>
            <w:tcW w:w="854" w:type="dxa"/>
            <w:tcBorders>
              <w:top w:val="single" w:sz="4" w:space="0" w:color="auto"/>
              <w:left w:val="nil"/>
              <w:bottom w:val="single" w:sz="4" w:space="0" w:color="auto"/>
              <w:right w:val="single" w:sz="4" w:space="0" w:color="auto"/>
            </w:tcBorders>
            <w:shd w:val="clear" w:color="000000" w:fill="D9D9D9"/>
            <w:noWrap/>
            <w:vAlign w:val="bottom"/>
            <w:hideMark/>
          </w:tcPr>
          <w:p w14:paraId="55C95737" w14:textId="3C532C41" w:rsidR="00455CE7" w:rsidRPr="00455CE7" w:rsidRDefault="00455CE7" w:rsidP="00455CE7">
            <w:pPr>
              <w:jc w:val="right"/>
              <w:rPr>
                <w:rFonts w:ascii="Arial" w:hAnsi="Arial" w:cs="Arial"/>
                <w:b/>
                <w:bCs/>
                <w:sz w:val="14"/>
                <w:szCs w:val="14"/>
                <w:lang w:eastAsia="es-AR"/>
              </w:rPr>
            </w:pPr>
            <w:r w:rsidRPr="006E1AF7">
              <w:rPr>
                <w:rFonts w:ascii="Arial" w:hAnsi="Arial" w:cs="Arial"/>
                <w:b/>
                <w:bCs/>
                <w:sz w:val="14"/>
                <w:szCs w:val="14"/>
              </w:rPr>
              <w:t xml:space="preserve">34.437.154 </w:t>
            </w:r>
          </w:p>
        </w:tc>
        <w:tc>
          <w:tcPr>
            <w:tcW w:w="841" w:type="dxa"/>
            <w:tcBorders>
              <w:top w:val="single" w:sz="4" w:space="0" w:color="auto"/>
              <w:left w:val="nil"/>
              <w:bottom w:val="single" w:sz="4" w:space="0" w:color="auto"/>
              <w:right w:val="single" w:sz="4" w:space="0" w:color="auto"/>
            </w:tcBorders>
            <w:shd w:val="clear" w:color="000000" w:fill="D9D9D9"/>
            <w:noWrap/>
            <w:vAlign w:val="bottom"/>
            <w:hideMark/>
          </w:tcPr>
          <w:p w14:paraId="2823B9B7" w14:textId="5DD58D75" w:rsidR="00455CE7" w:rsidRPr="00455CE7" w:rsidRDefault="00455CE7" w:rsidP="00455CE7">
            <w:pPr>
              <w:jc w:val="right"/>
              <w:rPr>
                <w:rFonts w:ascii="Arial" w:hAnsi="Arial" w:cs="Arial"/>
                <w:b/>
                <w:bCs/>
                <w:sz w:val="14"/>
                <w:szCs w:val="14"/>
                <w:lang w:eastAsia="es-AR"/>
              </w:rPr>
            </w:pPr>
            <w:r>
              <w:rPr>
                <w:rFonts w:ascii="Arial" w:hAnsi="Arial" w:cs="Arial"/>
                <w:b/>
                <w:bCs/>
                <w:sz w:val="14"/>
                <w:szCs w:val="14"/>
              </w:rPr>
              <w:t>-</w:t>
            </w:r>
            <w:r w:rsidRPr="006E1AF7">
              <w:rPr>
                <w:rFonts w:ascii="Arial" w:hAnsi="Arial" w:cs="Arial"/>
                <w:b/>
                <w:bCs/>
                <w:sz w:val="14"/>
                <w:szCs w:val="14"/>
              </w:rPr>
              <w:t xml:space="preserve"> </w:t>
            </w:r>
          </w:p>
        </w:tc>
      </w:tr>
      <w:tr w:rsidR="00455CE7" w:rsidRPr="00E119D4" w14:paraId="32ADF008" w14:textId="77777777" w:rsidTr="00455CE7">
        <w:trPr>
          <w:trHeight w:val="266"/>
        </w:trPr>
        <w:tc>
          <w:tcPr>
            <w:tcW w:w="3261" w:type="dxa"/>
            <w:tcBorders>
              <w:top w:val="single" w:sz="4" w:space="0" w:color="363639"/>
              <w:left w:val="single" w:sz="4" w:space="0" w:color="363639"/>
              <w:bottom w:val="single" w:sz="4" w:space="0" w:color="363639"/>
              <w:right w:val="single" w:sz="4" w:space="0" w:color="363639"/>
            </w:tcBorders>
            <w:shd w:val="clear" w:color="auto" w:fill="auto"/>
            <w:vAlign w:val="bottom"/>
            <w:hideMark/>
          </w:tcPr>
          <w:p w14:paraId="5ADD0BB2" w14:textId="77777777" w:rsidR="00455CE7" w:rsidRPr="001A10B5" w:rsidRDefault="00455CE7" w:rsidP="00455CE7">
            <w:pPr>
              <w:rPr>
                <w:rFonts w:ascii="Arial" w:hAnsi="Arial" w:cs="Arial"/>
                <w:b/>
                <w:bCs/>
                <w:sz w:val="14"/>
                <w:szCs w:val="14"/>
                <w:lang w:eastAsia="es-AR"/>
              </w:rPr>
            </w:pPr>
            <w:r w:rsidRPr="001A10B5">
              <w:rPr>
                <w:rFonts w:ascii="Arial" w:hAnsi="Arial" w:cs="Arial"/>
                <w:b/>
                <w:bCs/>
                <w:sz w:val="14"/>
                <w:szCs w:val="14"/>
                <w:lang w:eastAsia="es-AR"/>
              </w:rPr>
              <w:t>Depósitos</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69C6E" w14:textId="64A0A52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89.737.069 </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177C0FF7" w14:textId="01ECDFB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16.595.934 </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14:paraId="0D7D2EB5" w14:textId="774EACA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14:paraId="16757D2B" w14:textId="20420EE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47.468.536 </w:t>
            </w: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14:paraId="344FA2EE" w14:textId="2141D5E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945.106 </w:t>
            </w:r>
          </w:p>
        </w:tc>
        <w:tc>
          <w:tcPr>
            <w:tcW w:w="841" w:type="dxa"/>
            <w:tcBorders>
              <w:top w:val="single" w:sz="4" w:space="0" w:color="auto"/>
              <w:left w:val="nil"/>
              <w:bottom w:val="single" w:sz="4" w:space="0" w:color="auto"/>
              <w:right w:val="single" w:sz="4" w:space="0" w:color="auto"/>
            </w:tcBorders>
            <w:shd w:val="clear" w:color="auto" w:fill="auto"/>
            <w:noWrap/>
            <w:vAlign w:val="bottom"/>
            <w:hideMark/>
          </w:tcPr>
          <w:p w14:paraId="6E2A42CC" w14:textId="75B71A8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14:paraId="6651911B" w14:textId="0C81048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478.906 </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14:paraId="6238A288" w14:textId="4C96BEE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24.248.587 </w:t>
            </w:r>
          </w:p>
        </w:tc>
        <w:tc>
          <w:tcPr>
            <w:tcW w:w="841" w:type="dxa"/>
            <w:tcBorders>
              <w:top w:val="single" w:sz="4" w:space="0" w:color="auto"/>
              <w:left w:val="nil"/>
              <w:bottom w:val="single" w:sz="4" w:space="0" w:color="auto"/>
              <w:right w:val="single" w:sz="4" w:space="0" w:color="auto"/>
            </w:tcBorders>
            <w:shd w:val="clear" w:color="auto" w:fill="auto"/>
            <w:noWrap/>
            <w:vAlign w:val="bottom"/>
            <w:hideMark/>
          </w:tcPr>
          <w:p w14:paraId="31C02090" w14:textId="4E25746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709DF9D0" w14:textId="77777777" w:rsidTr="00455CE7">
        <w:trPr>
          <w:trHeight w:val="266"/>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55DE33D4" w14:textId="77777777" w:rsidR="00455CE7" w:rsidRPr="001A10B5" w:rsidRDefault="00455CE7" w:rsidP="00455CE7">
            <w:pPr>
              <w:rPr>
                <w:rFonts w:ascii="Arial" w:hAnsi="Arial" w:cs="Arial"/>
                <w:sz w:val="14"/>
                <w:szCs w:val="14"/>
                <w:lang w:eastAsia="es-AR"/>
              </w:rPr>
            </w:pPr>
            <w:r w:rsidRPr="001A10B5">
              <w:rPr>
                <w:rFonts w:ascii="Arial" w:hAnsi="Arial" w:cs="Arial"/>
                <w:sz w:val="14"/>
                <w:szCs w:val="14"/>
                <w:lang w:eastAsia="es-AR"/>
              </w:rPr>
              <w:t xml:space="preserve">   Sector público no financiero</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48772C73" w14:textId="0DF0B71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5.470.177 </w:t>
            </w:r>
          </w:p>
        </w:tc>
        <w:tc>
          <w:tcPr>
            <w:tcW w:w="988" w:type="dxa"/>
            <w:tcBorders>
              <w:top w:val="nil"/>
              <w:left w:val="nil"/>
              <w:bottom w:val="single" w:sz="4" w:space="0" w:color="auto"/>
              <w:right w:val="single" w:sz="4" w:space="0" w:color="auto"/>
            </w:tcBorders>
            <w:shd w:val="clear" w:color="auto" w:fill="auto"/>
            <w:noWrap/>
            <w:vAlign w:val="bottom"/>
            <w:hideMark/>
          </w:tcPr>
          <w:p w14:paraId="1EF108DA" w14:textId="66ACD55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1.929.383 </w:t>
            </w:r>
          </w:p>
        </w:tc>
        <w:tc>
          <w:tcPr>
            <w:tcW w:w="854" w:type="dxa"/>
            <w:tcBorders>
              <w:top w:val="nil"/>
              <w:left w:val="nil"/>
              <w:bottom w:val="single" w:sz="4" w:space="0" w:color="auto"/>
              <w:right w:val="single" w:sz="4" w:space="0" w:color="auto"/>
            </w:tcBorders>
            <w:shd w:val="clear" w:color="auto" w:fill="auto"/>
            <w:noWrap/>
            <w:vAlign w:val="bottom"/>
            <w:hideMark/>
          </w:tcPr>
          <w:p w14:paraId="1FED5B34" w14:textId="0F81E26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6FD0A2B8" w14:textId="04D70A7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1.369.589 </w:t>
            </w:r>
          </w:p>
        </w:tc>
        <w:tc>
          <w:tcPr>
            <w:tcW w:w="814" w:type="dxa"/>
            <w:tcBorders>
              <w:top w:val="nil"/>
              <w:left w:val="nil"/>
              <w:bottom w:val="single" w:sz="4" w:space="0" w:color="auto"/>
              <w:right w:val="single" w:sz="4" w:space="0" w:color="auto"/>
            </w:tcBorders>
            <w:shd w:val="clear" w:color="auto" w:fill="auto"/>
            <w:noWrap/>
            <w:vAlign w:val="bottom"/>
            <w:hideMark/>
          </w:tcPr>
          <w:p w14:paraId="31FF5BF7" w14:textId="48B965E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2C77D498" w14:textId="0B870D4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0C239819" w14:textId="57147B9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19.678 </w:t>
            </w:r>
          </w:p>
        </w:tc>
        <w:tc>
          <w:tcPr>
            <w:tcW w:w="854" w:type="dxa"/>
            <w:tcBorders>
              <w:top w:val="nil"/>
              <w:left w:val="nil"/>
              <w:bottom w:val="single" w:sz="4" w:space="0" w:color="auto"/>
              <w:right w:val="single" w:sz="4" w:space="0" w:color="auto"/>
            </w:tcBorders>
            <w:shd w:val="clear" w:color="auto" w:fill="auto"/>
            <w:noWrap/>
            <w:vAlign w:val="bottom"/>
            <w:hideMark/>
          </w:tcPr>
          <w:p w14:paraId="4C8EB87E" w14:textId="47D6F95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2.151.527 </w:t>
            </w:r>
          </w:p>
        </w:tc>
        <w:tc>
          <w:tcPr>
            <w:tcW w:w="841" w:type="dxa"/>
            <w:tcBorders>
              <w:top w:val="nil"/>
              <w:left w:val="nil"/>
              <w:bottom w:val="single" w:sz="4" w:space="0" w:color="auto"/>
              <w:right w:val="single" w:sz="4" w:space="0" w:color="auto"/>
            </w:tcBorders>
            <w:shd w:val="clear" w:color="auto" w:fill="auto"/>
            <w:noWrap/>
            <w:vAlign w:val="bottom"/>
            <w:hideMark/>
          </w:tcPr>
          <w:p w14:paraId="1A48A992" w14:textId="1D279CF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0B46FFAA" w14:textId="77777777" w:rsidTr="00455CE7">
        <w:trPr>
          <w:trHeight w:val="266"/>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77858E1B" w14:textId="77777777" w:rsidR="00455CE7" w:rsidRPr="001A10B5" w:rsidRDefault="00455CE7" w:rsidP="00455CE7">
            <w:pPr>
              <w:rPr>
                <w:rFonts w:ascii="Arial" w:hAnsi="Arial" w:cs="Arial"/>
                <w:sz w:val="14"/>
                <w:szCs w:val="14"/>
                <w:lang w:eastAsia="es-AR"/>
              </w:rPr>
            </w:pPr>
            <w:r w:rsidRPr="001A10B5">
              <w:rPr>
                <w:rFonts w:ascii="Arial" w:hAnsi="Arial" w:cs="Arial"/>
                <w:sz w:val="14"/>
                <w:szCs w:val="14"/>
                <w:lang w:eastAsia="es-AR"/>
              </w:rPr>
              <w:t xml:space="preserve">   Sector financiero</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59A9913A" w14:textId="13BDE2A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37.358 </w:t>
            </w:r>
          </w:p>
        </w:tc>
        <w:tc>
          <w:tcPr>
            <w:tcW w:w="988" w:type="dxa"/>
            <w:tcBorders>
              <w:top w:val="nil"/>
              <w:left w:val="nil"/>
              <w:bottom w:val="single" w:sz="4" w:space="0" w:color="auto"/>
              <w:right w:val="single" w:sz="4" w:space="0" w:color="auto"/>
            </w:tcBorders>
            <w:shd w:val="clear" w:color="auto" w:fill="auto"/>
            <w:noWrap/>
            <w:vAlign w:val="bottom"/>
            <w:hideMark/>
          </w:tcPr>
          <w:p w14:paraId="59353BCE" w14:textId="76AD3DF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28.292 </w:t>
            </w:r>
          </w:p>
        </w:tc>
        <w:tc>
          <w:tcPr>
            <w:tcW w:w="854" w:type="dxa"/>
            <w:tcBorders>
              <w:top w:val="nil"/>
              <w:left w:val="nil"/>
              <w:bottom w:val="single" w:sz="4" w:space="0" w:color="auto"/>
              <w:right w:val="single" w:sz="4" w:space="0" w:color="auto"/>
            </w:tcBorders>
            <w:shd w:val="clear" w:color="auto" w:fill="auto"/>
            <w:noWrap/>
            <w:vAlign w:val="bottom"/>
            <w:hideMark/>
          </w:tcPr>
          <w:p w14:paraId="6A443097" w14:textId="6F2E2A8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5508FA21" w14:textId="59217CB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 </w:t>
            </w:r>
          </w:p>
        </w:tc>
        <w:tc>
          <w:tcPr>
            <w:tcW w:w="814" w:type="dxa"/>
            <w:tcBorders>
              <w:top w:val="nil"/>
              <w:left w:val="nil"/>
              <w:bottom w:val="single" w:sz="4" w:space="0" w:color="auto"/>
              <w:right w:val="single" w:sz="4" w:space="0" w:color="auto"/>
            </w:tcBorders>
            <w:shd w:val="clear" w:color="auto" w:fill="auto"/>
            <w:noWrap/>
            <w:vAlign w:val="bottom"/>
            <w:hideMark/>
          </w:tcPr>
          <w:p w14:paraId="5470A5B2" w14:textId="74B9667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0091721D" w14:textId="079BFC9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66D36AD8" w14:textId="0635999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57B6D608" w14:textId="515268A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9.062 </w:t>
            </w:r>
          </w:p>
        </w:tc>
        <w:tc>
          <w:tcPr>
            <w:tcW w:w="841" w:type="dxa"/>
            <w:tcBorders>
              <w:top w:val="nil"/>
              <w:left w:val="nil"/>
              <w:bottom w:val="single" w:sz="4" w:space="0" w:color="auto"/>
              <w:right w:val="single" w:sz="4" w:space="0" w:color="auto"/>
            </w:tcBorders>
            <w:shd w:val="clear" w:color="auto" w:fill="auto"/>
            <w:noWrap/>
            <w:vAlign w:val="bottom"/>
            <w:hideMark/>
          </w:tcPr>
          <w:p w14:paraId="1C3DD5FD" w14:textId="6184F7D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734846FF" w14:textId="77777777" w:rsidTr="00455CE7">
        <w:trPr>
          <w:trHeight w:val="266"/>
        </w:trPr>
        <w:tc>
          <w:tcPr>
            <w:tcW w:w="3261" w:type="dxa"/>
            <w:tcBorders>
              <w:top w:val="nil"/>
              <w:left w:val="single" w:sz="4" w:space="0" w:color="363639"/>
              <w:bottom w:val="single" w:sz="4" w:space="0" w:color="363639"/>
              <w:right w:val="single" w:sz="4" w:space="0" w:color="363639"/>
            </w:tcBorders>
            <w:shd w:val="clear" w:color="auto" w:fill="auto"/>
            <w:noWrap/>
            <w:vAlign w:val="bottom"/>
            <w:hideMark/>
          </w:tcPr>
          <w:p w14:paraId="3DCACB70" w14:textId="77777777" w:rsidR="00455CE7" w:rsidRPr="004708CB" w:rsidRDefault="00455CE7" w:rsidP="00455CE7">
            <w:pPr>
              <w:rPr>
                <w:rFonts w:ascii="Arial" w:hAnsi="Arial" w:cs="Arial"/>
                <w:sz w:val="14"/>
                <w:szCs w:val="14"/>
                <w:lang w:eastAsia="es-AR"/>
              </w:rPr>
            </w:pPr>
            <w:r w:rsidRPr="001A10B5">
              <w:rPr>
                <w:rFonts w:ascii="Arial" w:hAnsi="Arial" w:cs="Arial"/>
                <w:sz w:val="14"/>
                <w:szCs w:val="14"/>
                <w:lang w:eastAsia="es-AR"/>
              </w:rPr>
              <w:t xml:space="preserve">   Sector privado no financiero y residentes en el exterior</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27EB67BF" w14:textId="452445D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84.229.534 </w:t>
            </w:r>
          </w:p>
        </w:tc>
        <w:tc>
          <w:tcPr>
            <w:tcW w:w="988" w:type="dxa"/>
            <w:tcBorders>
              <w:top w:val="nil"/>
              <w:left w:val="nil"/>
              <w:bottom w:val="single" w:sz="4" w:space="0" w:color="auto"/>
              <w:right w:val="single" w:sz="4" w:space="0" w:color="auto"/>
            </w:tcBorders>
            <w:shd w:val="clear" w:color="auto" w:fill="auto"/>
            <w:noWrap/>
            <w:vAlign w:val="bottom"/>
            <w:hideMark/>
          </w:tcPr>
          <w:p w14:paraId="0CF7DEFC" w14:textId="1B987AC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14.638.259 </w:t>
            </w:r>
          </w:p>
        </w:tc>
        <w:tc>
          <w:tcPr>
            <w:tcW w:w="854" w:type="dxa"/>
            <w:tcBorders>
              <w:top w:val="nil"/>
              <w:left w:val="nil"/>
              <w:bottom w:val="single" w:sz="4" w:space="0" w:color="auto"/>
              <w:right w:val="single" w:sz="4" w:space="0" w:color="auto"/>
            </w:tcBorders>
            <w:shd w:val="clear" w:color="auto" w:fill="auto"/>
            <w:noWrap/>
            <w:vAlign w:val="bottom"/>
            <w:hideMark/>
          </w:tcPr>
          <w:p w14:paraId="1C321FCC" w14:textId="43AA580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49FA9C11" w14:textId="78FF6EB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46.098.943 </w:t>
            </w:r>
          </w:p>
        </w:tc>
        <w:tc>
          <w:tcPr>
            <w:tcW w:w="814" w:type="dxa"/>
            <w:tcBorders>
              <w:top w:val="nil"/>
              <w:left w:val="nil"/>
              <w:bottom w:val="single" w:sz="4" w:space="0" w:color="auto"/>
              <w:right w:val="single" w:sz="4" w:space="0" w:color="auto"/>
            </w:tcBorders>
            <w:shd w:val="clear" w:color="auto" w:fill="auto"/>
            <w:noWrap/>
            <w:vAlign w:val="bottom"/>
            <w:hideMark/>
          </w:tcPr>
          <w:p w14:paraId="2E42128A" w14:textId="7A4827F7"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945.106 </w:t>
            </w:r>
          </w:p>
        </w:tc>
        <w:tc>
          <w:tcPr>
            <w:tcW w:w="841" w:type="dxa"/>
            <w:tcBorders>
              <w:top w:val="nil"/>
              <w:left w:val="nil"/>
              <w:bottom w:val="single" w:sz="4" w:space="0" w:color="auto"/>
              <w:right w:val="single" w:sz="4" w:space="0" w:color="auto"/>
            </w:tcBorders>
            <w:shd w:val="clear" w:color="auto" w:fill="auto"/>
            <w:noWrap/>
            <w:vAlign w:val="bottom"/>
            <w:hideMark/>
          </w:tcPr>
          <w:p w14:paraId="37CE1438" w14:textId="3D3230B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77EA8B3F" w14:textId="4984557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459.228 </w:t>
            </w:r>
          </w:p>
        </w:tc>
        <w:tc>
          <w:tcPr>
            <w:tcW w:w="854" w:type="dxa"/>
            <w:tcBorders>
              <w:top w:val="nil"/>
              <w:left w:val="nil"/>
              <w:bottom w:val="single" w:sz="4" w:space="0" w:color="auto"/>
              <w:right w:val="single" w:sz="4" w:space="0" w:color="auto"/>
            </w:tcBorders>
            <w:shd w:val="clear" w:color="auto" w:fill="auto"/>
            <w:noWrap/>
            <w:vAlign w:val="bottom"/>
            <w:hideMark/>
          </w:tcPr>
          <w:p w14:paraId="7BECE718" w14:textId="74CFA6C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22.087.998 </w:t>
            </w:r>
          </w:p>
        </w:tc>
        <w:tc>
          <w:tcPr>
            <w:tcW w:w="841" w:type="dxa"/>
            <w:tcBorders>
              <w:top w:val="nil"/>
              <w:left w:val="nil"/>
              <w:bottom w:val="single" w:sz="4" w:space="0" w:color="auto"/>
              <w:right w:val="single" w:sz="4" w:space="0" w:color="auto"/>
            </w:tcBorders>
            <w:shd w:val="clear" w:color="auto" w:fill="auto"/>
            <w:noWrap/>
            <w:vAlign w:val="bottom"/>
            <w:hideMark/>
          </w:tcPr>
          <w:p w14:paraId="4A6A839F" w14:textId="5D3DCD0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7E257648" w14:textId="77777777" w:rsidTr="00455CE7">
        <w:trPr>
          <w:trHeight w:val="266"/>
        </w:trPr>
        <w:tc>
          <w:tcPr>
            <w:tcW w:w="3261" w:type="dxa"/>
            <w:tcBorders>
              <w:top w:val="nil"/>
              <w:left w:val="single" w:sz="4" w:space="0" w:color="363639"/>
              <w:bottom w:val="single" w:sz="4" w:space="0" w:color="363639"/>
              <w:right w:val="single" w:sz="4" w:space="0" w:color="363639"/>
            </w:tcBorders>
            <w:shd w:val="clear" w:color="auto" w:fill="auto"/>
            <w:noWrap/>
            <w:vAlign w:val="bottom"/>
            <w:hideMark/>
          </w:tcPr>
          <w:p w14:paraId="36D8957B" w14:textId="77777777" w:rsidR="00455CE7" w:rsidRPr="004708CB" w:rsidRDefault="00455CE7" w:rsidP="00455CE7">
            <w:pPr>
              <w:rPr>
                <w:rFonts w:ascii="Arial" w:hAnsi="Arial" w:cs="Arial"/>
                <w:b/>
                <w:bCs/>
                <w:sz w:val="14"/>
                <w:szCs w:val="14"/>
                <w:lang w:eastAsia="es-AR"/>
              </w:rPr>
            </w:pPr>
            <w:r w:rsidRPr="001A10B5">
              <w:rPr>
                <w:rFonts w:ascii="Arial" w:hAnsi="Arial" w:cs="Arial"/>
                <w:b/>
                <w:bCs/>
                <w:sz w:val="14"/>
                <w:szCs w:val="14"/>
                <w:lang w:eastAsia="es-AR"/>
              </w:rPr>
              <w:t>Pasivos a valor razonable con cambios en resultados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2DEB5871" w14:textId="26EF49F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133.300 </w:t>
            </w:r>
          </w:p>
        </w:tc>
        <w:tc>
          <w:tcPr>
            <w:tcW w:w="988" w:type="dxa"/>
            <w:tcBorders>
              <w:top w:val="nil"/>
              <w:left w:val="nil"/>
              <w:bottom w:val="single" w:sz="4" w:space="0" w:color="auto"/>
              <w:right w:val="single" w:sz="4" w:space="0" w:color="auto"/>
            </w:tcBorders>
            <w:shd w:val="clear" w:color="auto" w:fill="auto"/>
            <w:noWrap/>
            <w:vAlign w:val="bottom"/>
            <w:hideMark/>
          </w:tcPr>
          <w:p w14:paraId="38ACA8D7" w14:textId="44F4E94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52D60603" w14:textId="02A57E1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77B18CFC" w14:textId="21E30E8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717A8EF6" w14:textId="1EB1002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05CB7778" w14:textId="0760927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133.300 </w:t>
            </w:r>
          </w:p>
        </w:tc>
        <w:tc>
          <w:tcPr>
            <w:tcW w:w="988" w:type="dxa"/>
            <w:tcBorders>
              <w:top w:val="nil"/>
              <w:left w:val="nil"/>
              <w:bottom w:val="single" w:sz="4" w:space="0" w:color="auto"/>
              <w:right w:val="single" w:sz="4" w:space="0" w:color="auto"/>
            </w:tcBorders>
            <w:shd w:val="clear" w:color="auto" w:fill="auto"/>
            <w:noWrap/>
            <w:vAlign w:val="bottom"/>
            <w:hideMark/>
          </w:tcPr>
          <w:p w14:paraId="69B2F30F" w14:textId="1EE0C4F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112376B2" w14:textId="2FF00AD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188D41E4" w14:textId="26DDE52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0161ACBD" w14:textId="77777777" w:rsidTr="00455CE7">
        <w:trPr>
          <w:trHeight w:val="160"/>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39D6CB5C" w14:textId="77777777" w:rsidR="00455CE7" w:rsidRPr="001A10B5" w:rsidRDefault="00455CE7" w:rsidP="00455CE7">
            <w:pPr>
              <w:rPr>
                <w:rFonts w:ascii="Arial" w:hAnsi="Arial" w:cs="Arial"/>
                <w:b/>
                <w:bCs/>
                <w:sz w:val="14"/>
                <w:szCs w:val="14"/>
                <w:lang w:eastAsia="es-AR"/>
              </w:rPr>
            </w:pPr>
            <w:r w:rsidRPr="001A10B5">
              <w:rPr>
                <w:rFonts w:ascii="Arial" w:hAnsi="Arial" w:cs="Arial"/>
                <w:b/>
                <w:bCs/>
                <w:sz w:val="14"/>
                <w:szCs w:val="14"/>
                <w:lang w:eastAsia="es-AR"/>
              </w:rPr>
              <w:t>Operaciones de pase</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00445275" w14:textId="29ABEDD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240.493 </w:t>
            </w:r>
          </w:p>
        </w:tc>
        <w:tc>
          <w:tcPr>
            <w:tcW w:w="988" w:type="dxa"/>
            <w:tcBorders>
              <w:top w:val="nil"/>
              <w:left w:val="nil"/>
              <w:bottom w:val="single" w:sz="4" w:space="0" w:color="auto"/>
              <w:right w:val="single" w:sz="4" w:space="0" w:color="auto"/>
            </w:tcBorders>
            <w:shd w:val="clear" w:color="auto" w:fill="auto"/>
            <w:noWrap/>
            <w:vAlign w:val="bottom"/>
            <w:hideMark/>
          </w:tcPr>
          <w:p w14:paraId="581BF14C" w14:textId="43D03C8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240.493 </w:t>
            </w:r>
          </w:p>
        </w:tc>
        <w:tc>
          <w:tcPr>
            <w:tcW w:w="854" w:type="dxa"/>
            <w:tcBorders>
              <w:top w:val="nil"/>
              <w:left w:val="nil"/>
              <w:bottom w:val="single" w:sz="4" w:space="0" w:color="auto"/>
              <w:right w:val="single" w:sz="4" w:space="0" w:color="auto"/>
            </w:tcBorders>
            <w:shd w:val="clear" w:color="auto" w:fill="auto"/>
            <w:noWrap/>
            <w:vAlign w:val="bottom"/>
            <w:hideMark/>
          </w:tcPr>
          <w:p w14:paraId="4304E38D" w14:textId="26AFD932"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2D9A7283" w14:textId="432C233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1927E0B6" w14:textId="0F4EC1F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29E466C8" w14:textId="5B746FF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3A47D721" w14:textId="1CF8DA0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7114E9F9" w14:textId="11D23E2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4A60DF41" w14:textId="49A81E3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2FD67FEC" w14:textId="77777777" w:rsidTr="00455CE7">
        <w:trPr>
          <w:trHeight w:val="114"/>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1B2C8642" w14:textId="77777777" w:rsidR="00455CE7" w:rsidRPr="001A10B5" w:rsidRDefault="00455CE7" w:rsidP="00455CE7">
            <w:pPr>
              <w:rPr>
                <w:rFonts w:ascii="Arial" w:hAnsi="Arial" w:cs="Arial"/>
                <w:b/>
                <w:bCs/>
                <w:sz w:val="14"/>
                <w:szCs w:val="14"/>
                <w:lang w:eastAsia="es-AR"/>
              </w:rPr>
            </w:pPr>
            <w:r w:rsidRPr="001A10B5">
              <w:rPr>
                <w:rFonts w:ascii="Arial" w:hAnsi="Arial" w:cs="Arial"/>
                <w:b/>
                <w:bCs/>
                <w:sz w:val="14"/>
                <w:szCs w:val="14"/>
                <w:lang w:eastAsia="es-AR"/>
              </w:rPr>
              <w:t>Otros pasivos financieros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16276347" w14:textId="519AE91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6.084.762 </w:t>
            </w:r>
          </w:p>
        </w:tc>
        <w:tc>
          <w:tcPr>
            <w:tcW w:w="988" w:type="dxa"/>
            <w:tcBorders>
              <w:top w:val="nil"/>
              <w:left w:val="nil"/>
              <w:bottom w:val="single" w:sz="4" w:space="0" w:color="auto"/>
              <w:right w:val="single" w:sz="4" w:space="0" w:color="auto"/>
            </w:tcBorders>
            <w:shd w:val="clear" w:color="auto" w:fill="auto"/>
            <w:noWrap/>
            <w:vAlign w:val="bottom"/>
            <w:hideMark/>
          </w:tcPr>
          <w:p w14:paraId="00185CD9" w14:textId="3EEDB09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4.033.485 </w:t>
            </w:r>
          </w:p>
        </w:tc>
        <w:tc>
          <w:tcPr>
            <w:tcW w:w="854" w:type="dxa"/>
            <w:tcBorders>
              <w:top w:val="nil"/>
              <w:left w:val="nil"/>
              <w:bottom w:val="single" w:sz="4" w:space="0" w:color="auto"/>
              <w:right w:val="single" w:sz="4" w:space="0" w:color="auto"/>
            </w:tcBorders>
            <w:shd w:val="clear" w:color="auto" w:fill="auto"/>
            <w:noWrap/>
            <w:vAlign w:val="bottom"/>
            <w:hideMark/>
          </w:tcPr>
          <w:p w14:paraId="41AE9596" w14:textId="3F9B528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61AD65C9" w14:textId="44BA43E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13.539 </w:t>
            </w:r>
          </w:p>
        </w:tc>
        <w:tc>
          <w:tcPr>
            <w:tcW w:w="814" w:type="dxa"/>
            <w:tcBorders>
              <w:top w:val="nil"/>
              <w:left w:val="nil"/>
              <w:bottom w:val="single" w:sz="4" w:space="0" w:color="auto"/>
              <w:right w:val="single" w:sz="4" w:space="0" w:color="auto"/>
            </w:tcBorders>
            <w:shd w:val="clear" w:color="auto" w:fill="auto"/>
            <w:noWrap/>
            <w:vAlign w:val="bottom"/>
            <w:hideMark/>
          </w:tcPr>
          <w:p w14:paraId="5426A80F" w14:textId="38CB277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6A0A31B2" w14:textId="64B4FAE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2421693C" w14:textId="0E0B775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2.037.738 </w:t>
            </w:r>
          </w:p>
        </w:tc>
        <w:tc>
          <w:tcPr>
            <w:tcW w:w="854" w:type="dxa"/>
            <w:tcBorders>
              <w:top w:val="nil"/>
              <w:left w:val="nil"/>
              <w:bottom w:val="single" w:sz="4" w:space="0" w:color="auto"/>
              <w:right w:val="single" w:sz="4" w:space="0" w:color="auto"/>
            </w:tcBorders>
            <w:shd w:val="clear" w:color="auto" w:fill="auto"/>
            <w:noWrap/>
            <w:vAlign w:val="bottom"/>
            <w:hideMark/>
          </w:tcPr>
          <w:p w14:paraId="30CEE808" w14:textId="68EE409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0CA84E74" w14:textId="1731921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0324102C" w14:textId="77777777" w:rsidTr="00455CE7">
        <w:trPr>
          <w:trHeight w:val="250"/>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52F65B06" w14:textId="77777777" w:rsidR="00455CE7" w:rsidRPr="004708CB" w:rsidRDefault="00455CE7" w:rsidP="00455CE7">
            <w:pPr>
              <w:rPr>
                <w:rFonts w:ascii="Arial" w:hAnsi="Arial" w:cs="Arial"/>
                <w:b/>
                <w:bCs/>
                <w:sz w:val="14"/>
                <w:szCs w:val="14"/>
                <w:lang w:eastAsia="es-AR"/>
              </w:rPr>
            </w:pPr>
            <w:r w:rsidRPr="001A10B5">
              <w:rPr>
                <w:rFonts w:ascii="Arial" w:hAnsi="Arial" w:cs="Arial"/>
                <w:b/>
                <w:bCs/>
                <w:sz w:val="14"/>
                <w:szCs w:val="14"/>
                <w:lang w:eastAsia="es-AR"/>
              </w:rPr>
              <w:t>Financiaciones recibidas del BCRA y otras instituciones financieras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500ECA4C" w14:textId="63BF3C8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9.011.337 </w:t>
            </w:r>
          </w:p>
        </w:tc>
        <w:tc>
          <w:tcPr>
            <w:tcW w:w="988" w:type="dxa"/>
            <w:tcBorders>
              <w:top w:val="nil"/>
              <w:left w:val="nil"/>
              <w:bottom w:val="single" w:sz="4" w:space="0" w:color="auto"/>
              <w:right w:val="single" w:sz="4" w:space="0" w:color="auto"/>
            </w:tcBorders>
            <w:shd w:val="clear" w:color="auto" w:fill="auto"/>
            <w:noWrap/>
            <w:vAlign w:val="bottom"/>
            <w:hideMark/>
          </w:tcPr>
          <w:p w14:paraId="6273ACA2" w14:textId="3A81C04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12.605 </w:t>
            </w:r>
          </w:p>
        </w:tc>
        <w:tc>
          <w:tcPr>
            <w:tcW w:w="854" w:type="dxa"/>
            <w:tcBorders>
              <w:top w:val="nil"/>
              <w:left w:val="nil"/>
              <w:bottom w:val="single" w:sz="4" w:space="0" w:color="auto"/>
              <w:right w:val="single" w:sz="4" w:space="0" w:color="auto"/>
            </w:tcBorders>
            <w:shd w:val="clear" w:color="auto" w:fill="auto"/>
            <w:noWrap/>
            <w:vAlign w:val="bottom"/>
            <w:hideMark/>
          </w:tcPr>
          <w:p w14:paraId="0AB2B9B1" w14:textId="1EBAA80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923.260 </w:t>
            </w:r>
          </w:p>
        </w:tc>
        <w:tc>
          <w:tcPr>
            <w:tcW w:w="854" w:type="dxa"/>
            <w:tcBorders>
              <w:top w:val="nil"/>
              <w:left w:val="nil"/>
              <w:bottom w:val="single" w:sz="4" w:space="0" w:color="auto"/>
              <w:right w:val="single" w:sz="4" w:space="0" w:color="auto"/>
            </w:tcBorders>
            <w:shd w:val="clear" w:color="auto" w:fill="auto"/>
            <w:noWrap/>
            <w:vAlign w:val="bottom"/>
            <w:hideMark/>
          </w:tcPr>
          <w:p w14:paraId="058A71ED" w14:textId="79CD09E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2B415489" w14:textId="4A00E7C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0454D188" w14:textId="1FC9DFC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44F70601" w14:textId="1E9A4DC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53AE25A9" w14:textId="20A7850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8.075.472 </w:t>
            </w:r>
          </w:p>
        </w:tc>
        <w:tc>
          <w:tcPr>
            <w:tcW w:w="841" w:type="dxa"/>
            <w:tcBorders>
              <w:top w:val="nil"/>
              <w:left w:val="nil"/>
              <w:bottom w:val="single" w:sz="4" w:space="0" w:color="auto"/>
              <w:right w:val="single" w:sz="4" w:space="0" w:color="auto"/>
            </w:tcBorders>
            <w:shd w:val="clear" w:color="auto" w:fill="auto"/>
            <w:noWrap/>
            <w:vAlign w:val="bottom"/>
            <w:hideMark/>
          </w:tcPr>
          <w:p w14:paraId="5AE7A14E" w14:textId="55A6D89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03CE082A" w14:textId="77777777" w:rsidTr="00455CE7">
        <w:trPr>
          <w:trHeight w:val="266"/>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198D0B81" w14:textId="77777777" w:rsidR="00455CE7" w:rsidRPr="001A10B5" w:rsidRDefault="00455CE7" w:rsidP="00455CE7">
            <w:pPr>
              <w:rPr>
                <w:rFonts w:ascii="Arial" w:hAnsi="Arial" w:cs="Arial"/>
                <w:b/>
                <w:bCs/>
                <w:sz w:val="14"/>
                <w:szCs w:val="14"/>
                <w:lang w:eastAsia="es-AR"/>
              </w:rPr>
            </w:pPr>
            <w:r w:rsidRPr="001A10B5">
              <w:rPr>
                <w:rFonts w:ascii="Arial" w:hAnsi="Arial" w:cs="Arial"/>
                <w:b/>
                <w:bCs/>
                <w:sz w:val="14"/>
                <w:szCs w:val="14"/>
                <w:lang w:eastAsia="es-AR"/>
              </w:rPr>
              <w:t>Obligaciones negociables emitidas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52FF0B16" w14:textId="7CD03FD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6.070.917 </w:t>
            </w:r>
          </w:p>
        </w:tc>
        <w:tc>
          <w:tcPr>
            <w:tcW w:w="988" w:type="dxa"/>
            <w:tcBorders>
              <w:top w:val="nil"/>
              <w:left w:val="nil"/>
              <w:bottom w:val="single" w:sz="4" w:space="0" w:color="auto"/>
              <w:right w:val="single" w:sz="4" w:space="0" w:color="auto"/>
            </w:tcBorders>
            <w:shd w:val="clear" w:color="auto" w:fill="auto"/>
            <w:noWrap/>
            <w:vAlign w:val="bottom"/>
            <w:hideMark/>
          </w:tcPr>
          <w:p w14:paraId="1D5936D1" w14:textId="5C2F2321"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378.322 </w:t>
            </w:r>
          </w:p>
        </w:tc>
        <w:tc>
          <w:tcPr>
            <w:tcW w:w="854" w:type="dxa"/>
            <w:tcBorders>
              <w:top w:val="nil"/>
              <w:left w:val="nil"/>
              <w:bottom w:val="single" w:sz="4" w:space="0" w:color="auto"/>
              <w:right w:val="single" w:sz="4" w:space="0" w:color="auto"/>
            </w:tcBorders>
            <w:shd w:val="clear" w:color="auto" w:fill="auto"/>
            <w:noWrap/>
            <w:vAlign w:val="bottom"/>
            <w:hideMark/>
          </w:tcPr>
          <w:p w14:paraId="0298B204" w14:textId="17639004"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5.692.595 </w:t>
            </w:r>
          </w:p>
        </w:tc>
        <w:tc>
          <w:tcPr>
            <w:tcW w:w="854" w:type="dxa"/>
            <w:tcBorders>
              <w:top w:val="nil"/>
              <w:left w:val="nil"/>
              <w:bottom w:val="single" w:sz="4" w:space="0" w:color="auto"/>
              <w:right w:val="single" w:sz="4" w:space="0" w:color="auto"/>
            </w:tcBorders>
            <w:shd w:val="clear" w:color="auto" w:fill="auto"/>
            <w:noWrap/>
            <w:vAlign w:val="bottom"/>
            <w:hideMark/>
          </w:tcPr>
          <w:p w14:paraId="36F1FEDF" w14:textId="6198B9E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7CCB8C6C" w14:textId="3B21961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27D71328" w14:textId="12878D6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0106AC31" w14:textId="75497AB7"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7808924A" w14:textId="1EF5C2C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7BE10D74" w14:textId="553F2A4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5368D701" w14:textId="77777777" w:rsidTr="00455CE7">
        <w:trPr>
          <w:trHeight w:val="266"/>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121BF1D3" w14:textId="77777777" w:rsidR="00455CE7" w:rsidRPr="004708CB" w:rsidRDefault="00455CE7" w:rsidP="00455CE7">
            <w:pPr>
              <w:rPr>
                <w:rFonts w:ascii="Arial" w:hAnsi="Arial" w:cs="Arial"/>
                <w:b/>
                <w:bCs/>
                <w:sz w:val="14"/>
                <w:szCs w:val="14"/>
                <w:lang w:eastAsia="es-AR"/>
              </w:rPr>
            </w:pPr>
            <w:r w:rsidRPr="001A10B5">
              <w:rPr>
                <w:rFonts w:ascii="Arial" w:hAnsi="Arial" w:cs="Arial"/>
                <w:b/>
                <w:bCs/>
                <w:sz w:val="14"/>
                <w:szCs w:val="14"/>
                <w:lang w:eastAsia="es-AR"/>
              </w:rPr>
              <w:t>Pasivo por impuestos a las ganancias corriente</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5518F8D4" w14:textId="7345F70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167.618 </w:t>
            </w:r>
          </w:p>
        </w:tc>
        <w:tc>
          <w:tcPr>
            <w:tcW w:w="988" w:type="dxa"/>
            <w:tcBorders>
              <w:top w:val="nil"/>
              <w:left w:val="nil"/>
              <w:bottom w:val="single" w:sz="4" w:space="0" w:color="auto"/>
              <w:right w:val="single" w:sz="4" w:space="0" w:color="auto"/>
            </w:tcBorders>
            <w:shd w:val="clear" w:color="auto" w:fill="auto"/>
            <w:noWrap/>
            <w:vAlign w:val="bottom"/>
            <w:hideMark/>
          </w:tcPr>
          <w:p w14:paraId="3A0EBA4D" w14:textId="5E21BBF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167.618 </w:t>
            </w:r>
          </w:p>
        </w:tc>
        <w:tc>
          <w:tcPr>
            <w:tcW w:w="854" w:type="dxa"/>
            <w:tcBorders>
              <w:top w:val="nil"/>
              <w:left w:val="nil"/>
              <w:bottom w:val="single" w:sz="4" w:space="0" w:color="auto"/>
              <w:right w:val="single" w:sz="4" w:space="0" w:color="auto"/>
            </w:tcBorders>
            <w:shd w:val="clear" w:color="auto" w:fill="auto"/>
            <w:noWrap/>
            <w:vAlign w:val="bottom"/>
            <w:hideMark/>
          </w:tcPr>
          <w:p w14:paraId="620DFB48" w14:textId="4F344A5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4D6DD4CB" w14:textId="2414EF7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09894F35" w14:textId="52340F8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73B06776" w14:textId="3244CA0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517E1772" w14:textId="1407E895"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6D565ABC" w14:textId="0E7254C7"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24E3D4D6" w14:textId="532B160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65CA975B" w14:textId="77777777" w:rsidTr="00455CE7">
        <w:trPr>
          <w:trHeight w:val="214"/>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780D2337" w14:textId="77777777" w:rsidR="00455CE7" w:rsidRPr="001A10B5" w:rsidRDefault="00455CE7" w:rsidP="00455CE7">
            <w:pPr>
              <w:rPr>
                <w:rFonts w:ascii="Arial" w:hAnsi="Arial" w:cs="Arial"/>
                <w:b/>
                <w:bCs/>
                <w:sz w:val="14"/>
                <w:szCs w:val="14"/>
                <w:lang w:eastAsia="es-AR"/>
              </w:rPr>
            </w:pPr>
            <w:r w:rsidRPr="001A10B5">
              <w:rPr>
                <w:rFonts w:ascii="Arial" w:hAnsi="Arial" w:cs="Arial"/>
                <w:b/>
                <w:bCs/>
                <w:sz w:val="14"/>
                <w:szCs w:val="14"/>
                <w:lang w:eastAsia="es-AR"/>
              </w:rPr>
              <w:t>Obligaciones negociables subordinadas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2B0CFDBA" w14:textId="36FA0708"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2.119.888 </w:t>
            </w:r>
          </w:p>
        </w:tc>
        <w:tc>
          <w:tcPr>
            <w:tcW w:w="988" w:type="dxa"/>
            <w:tcBorders>
              <w:top w:val="nil"/>
              <w:left w:val="nil"/>
              <w:bottom w:val="single" w:sz="4" w:space="0" w:color="auto"/>
              <w:right w:val="single" w:sz="4" w:space="0" w:color="auto"/>
            </w:tcBorders>
            <w:shd w:val="clear" w:color="auto" w:fill="auto"/>
            <w:noWrap/>
            <w:vAlign w:val="bottom"/>
            <w:hideMark/>
          </w:tcPr>
          <w:p w14:paraId="2C6E8F14" w14:textId="30EC7F9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2873C92F" w14:textId="7BE8B5B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7CF9DE85" w14:textId="298F840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18DA9B57" w14:textId="01C9891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1586185F" w14:textId="2B9E05B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5461BE17" w14:textId="684CF6D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6.793 </w:t>
            </w:r>
          </w:p>
        </w:tc>
        <w:tc>
          <w:tcPr>
            <w:tcW w:w="854" w:type="dxa"/>
            <w:tcBorders>
              <w:top w:val="nil"/>
              <w:left w:val="nil"/>
              <w:bottom w:val="single" w:sz="4" w:space="0" w:color="auto"/>
              <w:right w:val="single" w:sz="4" w:space="0" w:color="auto"/>
            </w:tcBorders>
            <w:shd w:val="clear" w:color="auto" w:fill="auto"/>
            <w:noWrap/>
            <w:vAlign w:val="bottom"/>
            <w:hideMark/>
          </w:tcPr>
          <w:p w14:paraId="44C6606E" w14:textId="6BA6BF5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2.113.095 </w:t>
            </w:r>
          </w:p>
        </w:tc>
        <w:tc>
          <w:tcPr>
            <w:tcW w:w="841" w:type="dxa"/>
            <w:tcBorders>
              <w:top w:val="nil"/>
              <w:left w:val="nil"/>
              <w:bottom w:val="single" w:sz="4" w:space="0" w:color="auto"/>
              <w:right w:val="single" w:sz="4" w:space="0" w:color="auto"/>
            </w:tcBorders>
            <w:shd w:val="clear" w:color="auto" w:fill="auto"/>
            <w:noWrap/>
            <w:vAlign w:val="bottom"/>
            <w:hideMark/>
          </w:tcPr>
          <w:p w14:paraId="096E4145" w14:textId="77085F7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536E4038" w14:textId="77777777" w:rsidTr="00455CE7">
        <w:trPr>
          <w:trHeight w:val="77"/>
        </w:trPr>
        <w:tc>
          <w:tcPr>
            <w:tcW w:w="3261" w:type="dxa"/>
            <w:tcBorders>
              <w:top w:val="nil"/>
              <w:left w:val="single" w:sz="4" w:space="0" w:color="363639"/>
              <w:bottom w:val="single" w:sz="4" w:space="0" w:color="363639"/>
              <w:right w:val="single" w:sz="4" w:space="0" w:color="363639"/>
            </w:tcBorders>
            <w:shd w:val="clear" w:color="auto" w:fill="auto"/>
            <w:vAlign w:val="bottom"/>
            <w:hideMark/>
          </w:tcPr>
          <w:p w14:paraId="281D6D1B" w14:textId="77777777" w:rsidR="00455CE7" w:rsidRPr="001A10B5" w:rsidRDefault="00455CE7" w:rsidP="00455CE7">
            <w:pPr>
              <w:rPr>
                <w:rFonts w:ascii="Arial" w:hAnsi="Arial" w:cs="Arial"/>
                <w:b/>
                <w:bCs/>
                <w:sz w:val="14"/>
                <w:szCs w:val="14"/>
                <w:lang w:eastAsia="es-AR"/>
              </w:rPr>
            </w:pPr>
            <w:r w:rsidRPr="001A10B5">
              <w:rPr>
                <w:rFonts w:ascii="Arial" w:hAnsi="Arial" w:cs="Arial"/>
                <w:b/>
                <w:bCs/>
                <w:sz w:val="14"/>
                <w:szCs w:val="14"/>
                <w:lang w:eastAsia="es-AR"/>
              </w:rPr>
              <w:t>Provisiones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0BEF5FA1" w14:textId="1744902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553.898 </w:t>
            </w:r>
          </w:p>
        </w:tc>
        <w:tc>
          <w:tcPr>
            <w:tcW w:w="988" w:type="dxa"/>
            <w:tcBorders>
              <w:top w:val="nil"/>
              <w:left w:val="nil"/>
              <w:bottom w:val="single" w:sz="4" w:space="0" w:color="auto"/>
              <w:right w:val="single" w:sz="4" w:space="0" w:color="auto"/>
            </w:tcBorders>
            <w:shd w:val="clear" w:color="auto" w:fill="auto"/>
            <w:noWrap/>
            <w:vAlign w:val="bottom"/>
            <w:hideMark/>
          </w:tcPr>
          <w:p w14:paraId="79346D84" w14:textId="3C5A5213"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553.898 </w:t>
            </w:r>
          </w:p>
        </w:tc>
        <w:tc>
          <w:tcPr>
            <w:tcW w:w="854" w:type="dxa"/>
            <w:tcBorders>
              <w:top w:val="nil"/>
              <w:left w:val="nil"/>
              <w:bottom w:val="single" w:sz="4" w:space="0" w:color="auto"/>
              <w:right w:val="single" w:sz="4" w:space="0" w:color="auto"/>
            </w:tcBorders>
            <w:shd w:val="clear" w:color="auto" w:fill="auto"/>
            <w:noWrap/>
            <w:vAlign w:val="bottom"/>
            <w:hideMark/>
          </w:tcPr>
          <w:p w14:paraId="6B5A4C79" w14:textId="700B880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0234B0FA" w14:textId="056F632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3A761367" w14:textId="1D3C399F"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5ED3332E" w14:textId="2A7B49CD"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675F579B" w14:textId="56CB0A6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4FB0C4BA" w14:textId="465BBFFA"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4B77F13B" w14:textId="48E0C57E"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52B31D59" w14:textId="77777777" w:rsidTr="00455CE7">
        <w:trPr>
          <w:trHeight w:val="196"/>
        </w:trPr>
        <w:tc>
          <w:tcPr>
            <w:tcW w:w="3261" w:type="dxa"/>
            <w:tcBorders>
              <w:top w:val="nil"/>
              <w:left w:val="single" w:sz="4" w:space="0" w:color="363639"/>
              <w:bottom w:val="single" w:sz="4" w:space="0" w:color="auto"/>
              <w:right w:val="single" w:sz="4" w:space="0" w:color="363639"/>
            </w:tcBorders>
            <w:shd w:val="clear" w:color="auto" w:fill="auto"/>
            <w:vAlign w:val="bottom"/>
            <w:hideMark/>
          </w:tcPr>
          <w:p w14:paraId="6607A4D2" w14:textId="77777777" w:rsidR="00455CE7" w:rsidRPr="001A10B5" w:rsidRDefault="00455CE7" w:rsidP="00455CE7">
            <w:pPr>
              <w:rPr>
                <w:rFonts w:ascii="Arial" w:hAnsi="Arial" w:cs="Arial"/>
                <w:b/>
                <w:bCs/>
                <w:sz w:val="14"/>
                <w:szCs w:val="14"/>
                <w:lang w:eastAsia="es-AR"/>
              </w:rPr>
            </w:pPr>
            <w:r w:rsidRPr="001A10B5">
              <w:rPr>
                <w:rFonts w:ascii="Arial" w:hAnsi="Arial" w:cs="Arial"/>
                <w:b/>
                <w:bCs/>
                <w:sz w:val="14"/>
                <w:szCs w:val="14"/>
                <w:lang w:eastAsia="es-AR"/>
              </w:rPr>
              <w:t>Otros pasivos no financieros</w:t>
            </w:r>
          </w:p>
        </w:tc>
        <w:tc>
          <w:tcPr>
            <w:tcW w:w="968" w:type="dxa"/>
            <w:tcBorders>
              <w:top w:val="nil"/>
              <w:left w:val="single" w:sz="4" w:space="0" w:color="auto"/>
              <w:bottom w:val="single" w:sz="4" w:space="0" w:color="auto"/>
              <w:right w:val="single" w:sz="4" w:space="0" w:color="auto"/>
            </w:tcBorders>
            <w:shd w:val="clear" w:color="auto" w:fill="auto"/>
            <w:noWrap/>
            <w:vAlign w:val="bottom"/>
            <w:hideMark/>
          </w:tcPr>
          <w:p w14:paraId="4E4AF09E" w14:textId="72054D49"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6.373.959 </w:t>
            </w:r>
          </w:p>
        </w:tc>
        <w:tc>
          <w:tcPr>
            <w:tcW w:w="988" w:type="dxa"/>
            <w:tcBorders>
              <w:top w:val="nil"/>
              <w:left w:val="nil"/>
              <w:bottom w:val="single" w:sz="4" w:space="0" w:color="auto"/>
              <w:right w:val="single" w:sz="4" w:space="0" w:color="auto"/>
            </w:tcBorders>
            <w:shd w:val="clear" w:color="auto" w:fill="auto"/>
            <w:noWrap/>
            <w:vAlign w:val="bottom"/>
            <w:hideMark/>
          </w:tcPr>
          <w:p w14:paraId="2BFDBF8E" w14:textId="5072D38B"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6.288.193 </w:t>
            </w:r>
          </w:p>
        </w:tc>
        <w:tc>
          <w:tcPr>
            <w:tcW w:w="854" w:type="dxa"/>
            <w:tcBorders>
              <w:top w:val="nil"/>
              <w:left w:val="nil"/>
              <w:bottom w:val="single" w:sz="4" w:space="0" w:color="auto"/>
              <w:right w:val="single" w:sz="4" w:space="0" w:color="auto"/>
            </w:tcBorders>
            <w:shd w:val="clear" w:color="auto" w:fill="auto"/>
            <w:noWrap/>
            <w:vAlign w:val="bottom"/>
            <w:hideMark/>
          </w:tcPr>
          <w:p w14:paraId="40AA827A" w14:textId="602A563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54" w:type="dxa"/>
            <w:tcBorders>
              <w:top w:val="nil"/>
              <w:left w:val="nil"/>
              <w:bottom w:val="single" w:sz="4" w:space="0" w:color="auto"/>
              <w:right w:val="single" w:sz="4" w:space="0" w:color="auto"/>
            </w:tcBorders>
            <w:shd w:val="clear" w:color="auto" w:fill="auto"/>
            <w:noWrap/>
            <w:vAlign w:val="bottom"/>
            <w:hideMark/>
          </w:tcPr>
          <w:p w14:paraId="685C5EA1" w14:textId="533B145C"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14" w:type="dxa"/>
            <w:tcBorders>
              <w:top w:val="nil"/>
              <w:left w:val="nil"/>
              <w:bottom w:val="single" w:sz="4" w:space="0" w:color="auto"/>
              <w:right w:val="single" w:sz="4" w:space="0" w:color="auto"/>
            </w:tcBorders>
            <w:shd w:val="clear" w:color="auto" w:fill="auto"/>
            <w:noWrap/>
            <w:vAlign w:val="bottom"/>
            <w:hideMark/>
          </w:tcPr>
          <w:p w14:paraId="3AA73E4D" w14:textId="1C89021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3D0DD475" w14:textId="4F21D8B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988" w:type="dxa"/>
            <w:tcBorders>
              <w:top w:val="nil"/>
              <w:left w:val="nil"/>
              <w:bottom w:val="single" w:sz="4" w:space="0" w:color="auto"/>
              <w:right w:val="single" w:sz="4" w:space="0" w:color="auto"/>
            </w:tcBorders>
            <w:shd w:val="clear" w:color="auto" w:fill="auto"/>
            <w:noWrap/>
            <w:vAlign w:val="bottom"/>
            <w:hideMark/>
          </w:tcPr>
          <w:p w14:paraId="569C6717" w14:textId="6083AC56"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85.766 </w:t>
            </w:r>
          </w:p>
        </w:tc>
        <w:tc>
          <w:tcPr>
            <w:tcW w:w="854" w:type="dxa"/>
            <w:tcBorders>
              <w:top w:val="nil"/>
              <w:left w:val="nil"/>
              <w:bottom w:val="single" w:sz="4" w:space="0" w:color="auto"/>
              <w:right w:val="single" w:sz="4" w:space="0" w:color="auto"/>
            </w:tcBorders>
            <w:shd w:val="clear" w:color="auto" w:fill="auto"/>
            <w:noWrap/>
            <w:vAlign w:val="bottom"/>
            <w:hideMark/>
          </w:tcPr>
          <w:p w14:paraId="492BCE59" w14:textId="3677408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c>
          <w:tcPr>
            <w:tcW w:w="841" w:type="dxa"/>
            <w:tcBorders>
              <w:top w:val="nil"/>
              <w:left w:val="nil"/>
              <w:bottom w:val="single" w:sz="4" w:space="0" w:color="auto"/>
              <w:right w:val="single" w:sz="4" w:space="0" w:color="auto"/>
            </w:tcBorders>
            <w:shd w:val="clear" w:color="auto" w:fill="auto"/>
            <w:noWrap/>
            <w:vAlign w:val="bottom"/>
            <w:hideMark/>
          </w:tcPr>
          <w:p w14:paraId="309802E0" w14:textId="17F23F80" w:rsidR="00455CE7" w:rsidRPr="00455CE7" w:rsidRDefault="00455CE7" w:rsidP="00455CE7">
            <w:pPr>
              <w:jc w:val="right"/>
              <w:rPr>
                <w:rFonts w:ascii="Arial" w:hAnsi="Arial" w:cs="Arial"/>
                <w:sz w:val="14"/>
                <w:szCs w:val="14"/>
                <w:lang w:eastAsia="es-AR"/>
              </w:rPr>
            </w:pPr>
            <w:r w:rsidRPr="006E1AF7">
              <w:rPr>
                <w:rFonts w:ascii="Arial" w:hAnsi="Arial" w:cs="Arial"/>
                <w:sz w:val="14"/>
                <w:szCs w:val="14"/>
              </w:rPr>
              <w:t xml:space="preserve">- </w:t>
            </w:r>
          </w:p>
        </w:tc>
      </w:tr>
      <w:tr w:rsidR="00455CE7" w:rsidRPr="00E119D4" w14:paraId="30089F1D" w14:textId="77777777" w:rsidTr="00455CE7">
        <w:trPr>
          <w:trHeight w:val="139"/>
        </w:trPr>
        <w:tc>
          <w:tcPr>
            <w:tcW w:w="3261" w:type="dxa"/>
            <w:tcBorders>
              <w:top w:val="single" w:sz="4" w:space="0" w:color="auto"/>
              <w:left w:val="single" w:sz="4" w:space="0" w:color="auto"/>
              <w:bottom w:val="single" w:sz="4" w:space="0" w:color="auto"/>
              <w:right w:val="single" w:sz="4" w:space="0" w:color="auto"/>
            </w:tcBorders>
            <w:shd w:val="clear" w:color="000000" w:fill="D9D9D9"/>
            <w:hideMark/>
          </w:tcPr>
          <w:p w14:paraId="7790DA69" w14:textId="77777777" w:rsidR="00455CE7" w:rsidRPr="001A10B5" w:rsidRDefault="00455CE7" w:rsidP="00455CE7">
            <w:pPr>
              <w:jc w:val="center"/>
              <w:rPr>
                <w:rFonts w:ascii="Arial" w:hAnsi="Arial" w:cs="Arial"/>
                <w:b/>
                <w:bCs/>
                <w:sz w:val="14"/>
                <w:szCs w:val="14"/>
                <w:lang w:eastAsia="es-AR"/>
              </w:rPr>
            </w:pPr>
            <w:r w:rsidRPr="001A10B5">
              <w:rPr>
                <w:rFonts w:ascii="Arial" w:hAnsi="Arial" w:cs="Arial"/>
                <w:b/>
                <w:bCs/>
                <w:sz w:val="14"/>
                <w:szCs w:val="14"/>
                <w:lang w:eastAsia="es-AR"/>
              </w:rPr>
              <w:t xml:space="preserve">PATRIMONIO NETO </w:t>
            </w:r>
          </w:p>
        </w:tc>
        <w:tc>
          <w:tcPr>
            <w:tcW w:w="9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BB8DC07" w14:textId="437AD28A" w:rsidR="00455CE7" w:rsidRPr="00455CE7" w:rsidRDefault="00455CE7" w:rsidP="00455CE7">
            <w:pPr>
              <w:jc w:val="right"/>
              <w:rPr>
                <w:rFonts w:ascii="Arial" w:hAnsi="Arial" w:cs="Arial"/>
                <w:b/>
                <w:bCs/>
                <w:sz w:val="14"/>
                <w:szCs w:val="14"/>
              </w:rPr>
            </w:pPr>
            <w:r w:rsidRPr="006E1AF7">
              <w:rPr>
                <w:rFonts w:ascii="Arial" w:hAnsi="Arial" w:cs="Arial"/>
                <w:b/>
                <w:bCs/>
                <w:sz w:val="14"/>
                <w:szCs w:val="14"/>
              </w:rPr>
              <w:t xml:space="preserve">17.437.127 </w:t>
            </w:r>
          </w:p>
        </w:tc>
        <w:tc>
          <w:tcPr>
            <w:tcW w:w="7034" w:type="dxa"/>
            <w:gridSpan w:val="8"/>
            <w:tcBorders>
              <w:top w:val="single" w:sz="4" w:space="0" w:color="auto"/>
              <w:left w:val="single" w:sz="4" w:space="0" w:color="auto"/>
            </w:tcBorders>
            <w:shd w:val="clear" w:color="auto" w:fill="auto"/>
            <w:vAlign w:val="bottom"/>
          </w:tcPr>
          <w:p w14:paraId="0B17EDC0" w14:textId="50EDADF8" w:rsidR="00455CE7" w:rsidRPr="00455CE7" w:rsidRDefault="00455CE7" w:rsidP="00455CE7">
            <w:pPr>
              <w:rPr>
                <w:rFonts w:ascii="Arial" w:hAnsi="Arial" w:cs="Arial"/>
                <w:b/>
                <w:bCs/>
                <w:sz w:val="14"/>
                <w:szCs w:val="14"/>
                <w:lang w:eastAsia="es-AR"/>
              </w:rPr>
            </w:pPr>
            <w:r w:rsidRPr="006E1AF7">
              <w:rPr>
                <w:rFonts w:ascii="Arial" w:hAnsi="Arial" w:cs="Arial"/>
                <w:sz w:val="14"/>
                <w:szCs w:val="14"/>
              </w:rPr>
              <w:t> </w:t>
            </w:r>
          </w:p>
        </w:tc>
      </w:tr>
      <w:tr w:rsidR="00455CE7" w:rsidRPr="00E119D4" w14:paraId="6DA9499B" w14:textId="77777777" w:rsidTr="00455CE7">
        <w:trPr>
          <w:trHeight w:val="82"/>
        </w:trPr>
        <w:tc>
          <w:tcPr>
            <w:tcW w:w="3261" w:type="dxa"/>
            <w:tcBorders>
              <w:top w:val="single" w:sz="4" w:space="0" w:color="auto"/>
              <w:left w:val="single" w:sz="4" w:space="0" w:color="auto"/>
              <w:bottom w:val="single" w:sz="4" w:space="0" w:color="auto"/>
              <w:right w:val="single" w:sz="4" w:space="0" w:color="auto"/>
            </w:tcBorders>
            <w:shd w:val="clear" w:color="000000" w:fill="D9D9D9"/>
            <w:hideMark/>
          </w:tcPr>
          <w:p w14:paraId="55CCF67F" w14:textId="77777777" w:rsidR="00455CE7" w:rsidRPr="001A10B5" w:rsidRDefault="00455CE7" w:rsidP="00455CE7">
            <w:pPr>
              <w:jc w:val="center"/>
              <w:rPr>
                <w:rFonts w:ascii="Arial" w:hAnsi="Arial" w:cs="Arial"/>
                <w:b/>
                <w:bCs/>
                <w:sz w:val="14"/>
                <w:szCs w:val="14"/>
                <w:lang w:eastAsia="es-AR"/>
              </w:rPr>
            </w:pPr>
            <w:r w:rsidRPr="001A10B5">
              <w:rPr>
                <w:rFonts w:ascii="Arial" w:hAnsi="Arial" w:cs="Arial"/>
                <w:b/>
                <w:bCs/>
                <w:sz w:val="14"/>
                <w:szCs w:val="14"/>
                <w:lang w:eastAsia="es-AR"/>
              </w:rPr>
              <w:t xml:space="preserve">TOTAL PASIVO MAS PATRIMONIO NETO </w:t>
            </w:r>
          </w:p>
        </w:tc>
        <w:tc>
          <w:tcPr>
            <w:tcW w:w="9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258A5F7" w14:textId="59EBC515" w:rsidR="00455CE7" w:rsidRPr="00455CE7" w:rsidRDefault="00455CE7" w:rsidP="00455CE7">
            <w:pPr>
              <w:rPr>
                <w:rFonts w:ascii="Arial" w:hAnsi="Arial" w:cs="Arial"/>
                <w:b/>
                <w:bCs/>
                <w:sz w:val="14"/>
                <w:szCs w:val="14"/>
                <w:lang w:eastAsia="es-AR"/>
              </w:rPr>
            </w:pPr>
            <w:r w:rsidRPr="006E1AF7">
              <w:rPr>
                <w:rFonts w:ascii="Arial" w:hAnsi="Arial" w:cs="Arial"/>
                <w:b/>
                <w:bCs/>
                <w:sz w:val="14"/>
                <w:szCs w:val="14"/>
              </w:rPr>
              <w:t xml:space="preserve">137.930.368 </w:t>
            </w:r>
          </w:p>
        </w:tc>
        <w:tc>
          <w:tcPr>
            <w:tcW w:w="7034" w:type="dxa"/>
            <w:gridSpan w:val="8"/>
            <w:tcBorders>
              <w:left w:val="single" w:sz="4" w:space="0" w:color="auto"/>
            </w:tcBorders>
            <w:shd w:val="clear" w:color="auto" w:fill="auto"/>
            <w:vAlign w:val="bottom"/>
          </w:tcPr>
          <w:p w14:paraId="3319539C" w14:textId="78AA340D" w:rsidR="00455CE7" w:rsidRPr="00455CE7" w:rsidRDefault="00455CE7" w:rsidP="00455CE7">
            <w:pPr>
              <w:rPr>
                <w:rFonts w:ascii="Arial" w:hAnsi="Arial" w:cs="Arial"/>
                <w:b/>
                <w:bCs/>
                <w:sz w:val="14"/>
                <w:szCs w:val="14"/>
                <w:lang w:eastAsia="es-AR"/>
              </w:rPr>
            </w:pPr>
            <w:r w:rsidRPr="006E1AF7">
              <w:rPr>
                <w:rFonts w:ascii="Arial" w:hAnsi="Arial" w:cs="Arial"/>
                <w:sz w:val="14"/>
                <w:szCs w:val="14"/>
              </w:rPr>
              <w:t> </w:t>
            </w:r>
          </w:p>
        </w:tc>
      </w:tr>
    </w:tbl>
    <w:p w14:paraId="4B398D43" w14:textId="5B07488E" w:rsidR="00702B2F" w:rsidRDefault="00702B2F" w:rsidP="00702B2F">
      <w:pPr>
        <w:pStyle w:val="s14-99509"/>
        <w:tabs>
          <w:tab w:val="left" w:pos="851"/>
        </w:tabs>
        <w:rPr>
          <w:iCs/>
          <w:color w:val="auto"/>
        </w:rPr>
      </w:pPr>
    </w:p>
    <w:p w14:paraId="79ED24E5" w14:textId="63356F8A" w:rsidR="00702B2F" w:rsidRDefault="00702B2F" w:rsidP="00AA04EC">
      <w:pPr>
        <w:pStyle w:val="s14-99509"/>
        <w:tabs>
          <w:tab w:val="left" w:pos="851"/>
        </w:tabs>
        <w:ind w:firstLine="0"/>
        <w:rPr>
          <w:iCs/>
          <w:color w:val="auto"/>
        </w:rPr>
      </w:pPr>
    </w:p>
    <w:p w14:paraId="50473E48" w14:textId="77777777" w:rsidR="00580FD1" w:rsidRPr="00AB113D" w:rsidRDefault="00580FD1" w:rsidP="00580FD1">
      <w:pPr>
        <w:pStyle w:val="s14-99509"/>
        <w:tabs>
          <w:tab w:val="left" w:pos="851"/>
        </w:tabs>
        <w:ind w:left="851" w:hanging="567"/>
        <w:rPr>
          <w:i/>
          <w:iCs/>
          <w:color w:val="auto"/>
        </w:rPr>
      </w:pPr>
      <w:r w:rsidRPr="00234F83">
        <w:rPr>
          <w:iCs/>
          <w:color w:val="auto"/>
        </w:rPr>
        <w:t>4</w:t>
      </w:r>
      <w:r w:rsidRPr="00AB113D">
        <w:rPr>
          <w:i/>
          <w:iCs/>
          <w:color w:val="auto"/>
        </w:rPr>
        <w:t xml:space="preserve">.     Detalle del porcentaje de participación en sociedades del artículo 33 de la Ley Nº 19.550 en el capital y en el total de votos. Además, saldos deudores y/o acreedores por sociedad y segregados del modo previsto en los puntos </w:t>
      </w:r>
      <w:r>
        <w:rPr>
          <w:i/>
          <w:iCs/>
          <w:color w:val="auto"/>
        </w:rPr>
        <w:t>2</w:t>
      </w:r>
      <w:r w:rsidRPr="00AB113D">
        <w:rPr>
          <w:i/>
          <w:iCs/>
          <w:color w:val="auto"/>
        </w:rPr>
        <w:t xml:space="preserve"> y </w:t>
      </w:r>
      <w:r>
        <w:rPr>
          <w:i/>
          <w:iCs/>
          <w:color w:val="auto"/>
        </w:rPr>
        <w:t>3</w:t>
      </w:r>
      <w:r w:rsidRPr="00AB113D">
        <w:rPr>
          <w:i/>
          <w:iCs/>
          <w:color w:val="auto"/>
        </w:rPr>
        <w:t xml:space="preserve"> anteriores</w:t>
      </w:r>
      <w:r>
        <w:rPr>
          <w:i/>
          <w:iCs/>
          <w:color w:val="auto"/>
        </w:rPr>
        <w:t>.</w:t>
      </w:r>
    </w:p>
    <w:p w14:paraId="582D1D7B" w14:textId="77777777" w:rsidR="00580FD1" w:rsidRPr="00AB113D" w:rsidRDefault="00580FD1" w:rsidP="00580FD1">
      <w:pPr>
        <w:pStyle w:val="s14-99509"/>
        <w:tabs>
          <w:tab w:val="left" w:pos="851"/>
        </w:tabs>
        <w:ind w:left="851" w:hanging="567"/>
        <w:rPr>
          <w:i/>
          <w:iCs/>
          <w:color w:val="auto"/>
        </w:rPr>
      </w:pPr>
    </w:p>
    <w:p w14:paraId="55D0E2E8" w14:textId="3CAA84CC" w:rsidR="00580FD1" w:rsidRDefault="00580FD1" w:rsidP="00580FD1">
      <w:pPr>
        <w:ind w:left="851" w:hanging="851"/>
        <w:jc w:val="both"/>
        <w:rPr>
          <w:rFonts w:ascii="Arial" w:hAnsi="Arial" w:cs="Arial"/>
          <w:iCs/>
          <w:sz w:val="20"/>
          <w:lang w:eastAsia="es-AR"/>
        </w:rPr>
      </w:pPr>
      <w:r w:rsidRPr="00AB113D">
        <w:rPr>
          <w:rFonts w:ascii="Arial" w:hAnsi="Arial" w:cs="Arial"/>
          <w:iCs/>
          <w:sz w:val="20"/>
          <w:lang w:eastAsia="es-AR"/>
        </w:rPr>
        <w:t xml:space="preserve">                La Entidad participa en el 95% del capital social y de los votos necesarios para formar la voluntad social de Cordial Compañía Financiera S.A.  Los saldos deudores y acreedores mantenidos con la misma se encuentran detallados en </w:t>
      </w:r>
      <w:r w:rsidRPr="00534414">
        <w:rPr>
          <w:rFonts w:ascii="Arial" w:hAnsi="Arial" w:cs="Arial"/>
          <w:iCs/>
          <w:sz w:val="20"/>
          <w:lang w:eastAsia="es-AR"/>
        </w:rPr>
        <w:t xml:space="preserve">Nota </w:t>
      </w:r>
      <w:r w:rsidR="002E4616">
        <w:rPr>
          <w:rFonts w:ascii="Arial" w:hAnsi="Arial" w:cs="Arial"/>
          <w:iCs/>
          <w:sz w:val="20"/>
          <w:lang w:eastAsia="es-AR"/>
        </w:rPr>
        <w:t>12</w:t>
      </w:r>
      <w:r w:rsidR="002E4616" w:rsidRPr="00534414">
        <w:rPr>
          <w:rFonts w:ascii="Arial" w:hAnsi="Arial" w:cs="Arial"/>
          <w:iCs/>
          <w:sz w:val="20"/>
          <w:lang w:eastAsia="es-AR"/>
        </w:rPr>
        <w:t xml:space="preserve"> </w:t>
      </w:r>
      <w:r w:rsidRPr="00AB113D">
        <w:rPr>
          <w:rFonts w:ascii="Arial" w:hAnsi="Arial" w:cs="Arial"/>
          <w:iCs/>
          <w:sz w:val="20"/>
          <w:lang w:eastAsia="es-AR"/>
        </w:rPr>
        <w:t xml:space="preserve">a los </w:t>
      </w:r>
      <w:r>
        <w:rPr>
          <w:rFonts w:ascii="Arial" w:hAnsi="Arial" w:cs="Arial"/>
          <w:iCs/>
          <w:sz w:val="20"/>
          <w:lang w:eastAsia="es-AR"/>
        </w:rPr>
        <w:t>e</w:t>
      </w:r>
      <w:r w:rsidRPr="00AB113D">
        <w:rPr>
          <w:rFonts w:ascii="Arial" w:hAnsi="Arial" w:cs="Arial"/>
          <w:iCs/>
          <w:sz w:val="20"/>
          <w:lang w:eastAsia="es-AR"/>
        </w:rPr>
        <w:t xml:space="preserve">stados </w:t>
      </w:r>
      <w:r>
        <w:rPr>
          <w:rFonts w:ascii="Arial" w:hAnsi="Arial" w:cs="Arial"/>
          <w:iCs/>
          <w:sz w:val="20"/>
          <w:lang w:eastAsia="es-AR"/>
        </w:rPr>
        <w:t>financieros consolidados y separados al 3</w:t>
      </w:r>
      <w:r w:rsidR="008E5782">
        <w:rPr>
          <w:rFonts w:ascii="Arial" w:hAnsi="Arial" w:cs="Arial"/>
          <w:iCs/>
          <w:sz w:val="20"/>
          <w:lang w:eastAsia="es-AR"/>
        </w:rPr>
        <w:t>1</w:t>
      </w:r>
      <w:r>
        <w:rPr>
          <w:rFonts w:ascii="Arial" w:hAnsi="Arial" w:cs="Arial"/>
          <w:iCs/>
          <w:sz w:val="20"/>
          <w:lang w:eastAsia="es-AR"/>
        </w:rPr>
        <w:t xml:space="preserve"> de </w:t>
      </w:r>
      <w:r w:rsidR="008E5782">
        <w:rPr>
          <w:rFonts w:ascii="Arial" w:hAnsi="Arial" w:cs="Arial"/>
          <w:iCs/>
          <w:sz w:val="20"/>
          <w:lang w:eastAsia="es-AR"/>
        </w:rPr>
        <w:t xml:space="preserve">diciembre </w:t>
      </w:r>
      <w:r>
        <w:rPr>
          <w:rFonts w:ascii="Arial" w:hAnsi="Arial" w:cs="Arial"/>
          <w:iCs/>
          <w:sz w:val="20"/>
          <w:lang w:eastAsia="es-AR"/>
        </w:rPr>
        <w:t>de 2019</w:t>
      </w:r>
      <w:r w:rsidRPr="00AB113D">
        <w:rPr>
          <w:rFonts w:ascii="Arial" w:hAnsi="Arial" w:cs="Arial"/>
          <w:iCs/>
          <w:sz w:val="20"/>
          <w:lang w:eastAsia="es-AR"/>
        </w:rPr>
        <w:t xml:space="preserve">.  </w:t>
      </w:r>
      <w:r>
        <w:rPr>
          <w:rFonts w:ascii="Arial" w:hAnsi="Arial" w:cs="Arial"/>
          <w:iCs/>
          <w:sz w:val="20"/>
          <w:lang w:eastAsia="es-AR"/>
        </w:rPr>
        <w:t xml:space="preserve">Todos </w:t>
      </w:r>
      <w:r w:rsidRPr="00B6189F">
        <w:rPr>
          <w:rFonts w:ascii="Arial" w:hAnsi="Arial" w:cs="Arial"/>
          <w:iCs/>
          <w:sz w:val="20"/>
          <w:lang w:eastAsia="es-AR"/>
        </w:rPr>
        <w:t>los saldos se encuentran expresados en moneda nacional.  Para los Préstamos</w:t>
      </w:r>
      <w:r>
        <w:rPr>
          <w:rFonts w:ascii="Arial" w:hAnsi="Arial" w:cs="Arial"/>
          <w:iCs/>
          <w:sz w:val="20"/>
          <w:lang w:eastAsia="es-AR"/>
        </w:rPr>
        <w:t xml:space="preserve"> y otras financiaciones a Otras entidades financieras</w:t>
      </w:r>
      <w:r w:rsidRPr="00B6189F">
        <w:rPr>
          <w:rFonts w:ascii="Arial" w:hAnsi="Arial" w:cs="Arial"/>
          <w:iCs/>
          <w:sz w:val="20"/>
          <w:lang w:eastAsia="es-AR"/>
        </w:rPr>
        <w:t xml:space="preserve">, su vencimiento se produce dentro del plazo que va desde </w:t>
      </w:r>
      <w:r>
        <w:rPr>
          <w:rFonts w:ascii="Arial" w:hAnsi="Arial" w:cs="Arial"/>
          <w:iCs/>
          <w:sz w:val="20"/>
          <w:lang w:eastAsia="es-AR"/>
        </w:rPr>
        <w:t>1</w:t>
      </w:r>
      <w:r w:rsidRPr="00B6189F">
        <w:rPr>
          <w:rFonts w:ascii="Arial" w:hAnsi="Arial" w:cs="Arial"/>
          <w:iCs/>
          <w:sz w:val="20"/>
          <w:lang w:eastAsia="es-AR"/>
        </w:rPr>
        <w:t xml:space="preserve"> día hasta </w:t>
      </w:r>
      <w:r w:rsidR="00BB20B6">
        <w:rPr>
          <w:rFonts w:ascii="Arial" w:hAnsi="Arial" w:cs="Arial"/>
          <w:iCs/>
          <w:sz w:val="20"/>
          <w:lang w:eastAsia="es-AR"/>
        </w:rPr>
        <w:t xml:space="preserve">30 </w:t>
      </w:r>
      <w:r>
        <w:rPr>
          <w:rFonts w:ascii="Arial" w:hAnsi="Arial" w:cs="Arial"/>
          <w:iCs/>
          <w:sz w:val="20"/>
          <w:lang w:eastAsia="es-AR"/>
        </w:rPr>
        <w:t>día</w:t>
      </w:r>
      <w:r w:rsidRPr="00B6189F">
        <w:rPr>
          <w:rFonts w:ascii="Arial" w:hAnsi="Arial" w:cs="Arial"/>
          <w:iCs/>
          <w:sz w:val="20"/>
          <w:lang w:eastAsia="es-AR"/>
        </w:rPr>
        <w:t xml:space="preserve">s y los mismos están sujetos a tasa de interés fija.  </w:t>
      </w:r>
      <w:r w:rsidR="00BF746E">
        <w:rPr>
          <w:rFonts w:ascii="Arial" w:hAnsi="Arial" w:cs="Arial"/>
          <w:iCs/>
          <w:sz w:val="20"/>
          <w:lang w:eastAsia="es-AR"/>
        </w:rPr>
        <w:t>Para los Títulos de Deuda a Valor Razonable con cambios en Resultados, su vencimiento se produce dentro del plazo que va desde 1</w:t>
      </w:r>
      <w:r w:rsidR="002E4616">
        <w:rPr>
          <w:rFonts w:ascii="Arial" w:hAnsi="Arial" w:cs="Arial"/>
          <w:iCs/>
          <w:sz w:val="20"/>
          <w:lang w:eastAsia="es-AR"/>
        </w:rPr>
        <w:t>3</w:t>
      </w:r>
      <w:r w:rsidR="00BF746E">
        <w:rPr>
          <w:rFonts w:ascii="Arial" w:hAnsi="Arial" w:cs="Arial"/>
          <w:iCs/>
          <w:sz w:val="20"/>
          <w:lang w:eastAsia="es-AR"/>
        </w:rPr>
        <w:t xml:space="preserve"> mes</w:t>
      </w:r>
      <w:r w:rsidR="002E4616">
        <w:rPr>
          <w:rFonts w:ascii="Arial" w:hAnsi="Arial" w:cs="Arial"/>
          <w:iCs/>
          <w:sz w:val="20"/>
          <w:lang w:eastAsia="es-AR"/>
        </w:rPr>
        <w:t>es</w:t>
      </w:r>
      <w:r w:rsidR="00BF746E">
        <w:rPr>
          <w:rFonts w:ascii="Arial" w:hAnsi="Arial" w:cs="Arial"/>
          <w:iCs/>
          <w:sz w:val="20"/>
          <w:lang w:eastAsia="es-AR"/>
        </w:rPr>
        <w:t xml:space="preserve"> hasta 3</w:t>
      </w:r>
      <w:r w:rsidR="002E4616">
        <w:rPr>
          <w:rFonts w:ascii="Arial" w:hAnsi="Arial" w:cs="Arial"/>
          <w:iCs/>
          <w:sz w:val="20"/>
          <w:lang w:eastAsia="es-AR"/>
        </w:rPr>
        <w:t>0</w:t>
      </w:r>
      <w:r w:rsidR="00BF746E">
        <w:rPr>
          <w:rFonts w:ascii="Arial" w:hAnsi="Arial" w:cs="Arial"/>
          <w:iCs/>
          <w:sz w:val="20"/>
          <w:lang w:eastAsia="es-AR"/>
        </w:rPr>
        <w:t xml:space="preserve"> meses y están sujetos a tasa de interés variable.  </w:t>
      </w:r>
      <w:r>
        <w:rPr>
          <w:rFonts w:ascii="Arial" w:hAnsi="Arial" w:cs="Arial"/>
          <w:iCs/>
          <w:sz w:val="20"/>
          <w:lang w:eastAsia="es-AR"/>
        </w:rPr>
        <w:t xml:space="preserve">En el caso de los saldos por </w:t>
      </w:r>
      <w:r w:rsidRPr="008A1764">
        <w:rPr>
          <w:rFonts w:ascii="Arial" w:hAnsi="Arial" w:cs="Arial"/>
          <w:iCs/>
          <w:sz w:val="20"/>
          <w:lang w:eastAsia="es-AR"/>
        </w:rPr>
        <w:t>Depósitos, su vencimiento se produce dentro del plazo de los 30 días y no devengan tasa de interés.</w:t>
      </w:r>
    </w:p>
    <w:p w14:paraId="499DB559" w14:textId="77777777" w:rsidR="00580FD1" w:rsidRPr="00B6189F" w:rsidRDefault="00580FD1" w:rsidP="00580FD1">
      <w:pPr>
        <w:ind w:left="851" w:hanging="851"/>
        <w:jc w:val="both"/>
        <w:rPr>
          <w:rFonts w:ascii="Arial" w:hAnsi="Arial" w:cs="Arial"/>
          <w:iCs/>
          <w:sz w:val="20"/>
          <w:lang w:eastAsia="es-AR"/>
        </w:rPr>
      </w:pPr>
    </w:p>
    <w:p w14:paraId="4242F3B8" w14:textId="77777777" w:rsidR="00580FD1" w:rsidRPr="00EC349E" w:rsidRDefault="00580FD1" w:rsidP="00580FD1">
      <w:pPr>
        <w:pStyle w:val="s14-99509"/>
        <w:tabs>
          <w:tab w:val="left" w:pos="851"/>
        </w:tabs>
        <w:jc w:val="left"/>
        <w:rPr>
          <w:i/>
          <w:iCs/>
          <w:color w:val="auto"/>
        </w:rPr>
      </w:pPr>
      <w:r w:rsidRPr="00234F83">
        <w:rPr>
          <w:iCs/>
          <w:color w:val="auto"/>
        </w:rPr>
        <w:t>5</w:t>
      </w:r>
      <w:r w:rsidRPr="00AB113D">
        <w:rPr>
          <w:i/>
          <w:iCs/>
          <w:color w:val="auto"/>
        </w:rPr>
        <w:t xml:space="preserve">.    </w:t>
      </w:r>
      <w:r w:rsidRPr="00EC349E">
        <w:rPr>
          <w:i/>
          <w:iCs/>
          <w:color w:val="auto"/>
        </w:rPr>
        <w:t>Créditos por ventas o préstamos contra directores, síndicos, miembros del consejo de</w:t>
      </w:r>
    </w:p>
    <w:p w14:paraId="1D8CB243" w14:textId="77777777" w:rsidR="00580FD1" w:rsidRPr="00EC349E" w:rsidRDefault="00580FD1" w:rsidP="00580FD1">
      <w:pPr>
        <w:pStyle w:val="s14-99509"/>
        <w:tabs>
          <w:tab w:val="left" w:pos="851"/>
        </w:tabs>
        <w:ind w:left="708" w:firstLine="0"/>
        <w:jc w:val="left"/>
        <w:rPr>
          <w:i/>
          <w:iCs/>
          <w:color w:val="auto"/>
        </w:rPr>
      </w:pPr>
      <w:r w:rsidRPr="00EC349E">
        <w:rPr>
          <w:i/>
          <w:iCs/>
          <w:color w:val="auto"/>
        </w:rPr>
        <w:t>vigilancia y sus parientes hasta el segundo grado inclusive.</w:t>
      </w:r>
    </w:p>
    <w:p w14:paraId="399F74B4" w14:textId="77777777" w:rsidR="00580FD1" w:rsidRPr="00EC349E" w:rsidRDefault="00580FD1" w:rsidP="00580FD1">
      <w:pPr>
        <w:pStyle w:val="s14-99509"/>
        <w:tabs>
          <w:tab w:val="left" w:pos="851"/>
        </w:tabs>
        <w:ind w:left="709" w:firstLine="0"/>
        <w:rPr>
          <w:i/>
          <w:iCs/>
          <w:color w:val="auto"/>
        </w:rPr>
      </w:pPr>
    </w:p>
    <w:p w14:paraId="354CF85B" w14:textId="2F73847A" w:rsidR="00580FD1" w:rsidRPr="00C17D99" w:rsidRDefault="00580FD1" w:rsidP="00580FD1">
      <w:pPr>
        <w:pStyle w:val="Default"/>
        <w:ind w:left="644"/>
        <w:jc w:val="both"/>
        <w:rPr>
          <w:color w:val="auto"/>
        </w:rPr>
      </w:pPr>
      <w:r w:rsidRPr="00EC349E">
        <w:rPr>
          <w:sz w:val="20"/>
        </w:rPr>
        <w:t xml:space="preserve">Los saldos de financiaciones </w:t>
      </w:r>
      <w:r>
        <w:rPr>
          <w:sz w:val="20"/>
        </w:rPr>
        <w:t>al 3</w:t>
      </w:r>
      <w:r w:rsidR="008E5782">
        <w:rPr>
          <w:sz w:val="20"/>
        </w:rPr>
        <w:t>1</w:t>
      </w:r>
      <w:r w:rsidRPr="00EC349E">
        <w:rPr>
          <w:sz w:val="20"/>
        </w:rPr>
        <w:t xml:space="preserve"> de </w:t>
      </w:r>
      <w:r w:rsidR="008E5782">
        <w:rPr>
          <w:sz w:val="20"/>
        </w:rPr>
        <w:t>diciembre</w:t>
      </w:r>
      <w:r w:rsidR="008E5782" w:rsidRPr="00EC349E">
        <w:rPr>
          <w:sz w:val="20"/>
        </w:rPr>
        <w:t xml:space="preserve"> </w:t>
      </w:r>
      <w:r w:rsidRPr="00EC349E">
        <w:rPr>
          <w:sz w:val="20"/>
        </w:rPr>
        <w:t>de 201</w:t>
      </w:r>
      <w:r>
        <w:rPr>
          <w:sz w:val="20"/>
        </w:rPr>
        <w:t>9</w:t>
      </w:r>
      <w:r w:rsidRPr="00EC349E">
        <w:rPr>
          <w:sz w:val="20"/>
        </w:rPr>
        <w:t xml:space="preserve"> que se incluyen en el detalle </w:t>
      </w:r>
      <w:r w:rsidRPr="00C17D99">
        <w:rPr>
          <w:color w:val="auto"/>
          <w:sz w:val="20"/>
        </w:rPr>
        <w:t xml:space="preserve">de los créditos y deudas indicados en el punto 3 precedente, correspondientes a los </w:t>
      </w:r>
      <w:r w:rsidR="00031B02" w:rsidRPr="00C17D99">
        <w:rPr>
          <w:color w:val="auto"/>
          <w:sz w:val="20"/>
        </w:rPr>
        <w:t>directores</w:t>
      </w:r>
      <w:r w:rsidRPr="00C17D99">
        <w:rPr>
          <w:color w:val="auto"/>
          <w:sz w:val="20"/>
        </w:rPr>
        <w:t xml:space="preserve"> y </w:t>
      </w:r>
      <w:r w:rsidR="008E5782">
        <w:rPr>
          <w:color w:val="auto"/>
          <w:sz w:val="20"/>
        </w:rPr>
        <w:t>s</w:t>
      </w:r>
      <w:r w:rsidRPr="00C17D99">
        <w:rPr>
          <w:color w:val="auto"/>
          <w:sz w:val="20"/>
        </w:rPr>
        <w:t xml:space="preserve">índicos y sus parientes hasta el segundo grado inclusive, ascienden a </w:t>
      </w:r>
      <w:r w:rsidR="00235A2B">
        <w:rPr>
          <w:color w:val="auto"/>
          <w:sz w:val="20"/>
        </w:rPr>
        <w:t>827.941</w:t>
      </w:r>
      <w:r w:rsidRPr="00C17D99">
        <w:rPr>
          <w:color w:val="auto"/>
          <w:sz w:val="20"/>
        </w:rPr>
        <w:t>. La máxima asistencia a los mismos habida durante dicho período ascendió a</w:t>
      </w:r>
      <w:r w:rsidR="006F59E2" w:rsidRPr="00C17D99">
        <w:rPr>
          <w:color w:val="auto"/>
          <w:sz w:val="20"/>
        </w:rPr>
        <w:t xml:space="preserve"> </w:t>
      </w:r>
      <w:r w:rsidR="00235A2B">
        <w:rPr>
          <w:color w:val="auto"/>
          <w:sz w:val="20"/>
        </w:rPr>
        <w:t>880.797</w:t>
      </w:r>
      <w:r w:rsidRPr="00C17D99">
        <w:rPr>
          <w:color w:val="auto"/>
          <w:sz w:val="20"/>
        </w:rPr>
        <w:t>.</w:t>
      </w:r>
    </w:p>
    <w:p w14:paraId="64E0822A" w14:textId="77777777" w:rsidR="00580FD1" w:rsidRPr="00C17D99" w:rsidRDefault="00580FD1" w:rsidP="00580FD1">
      <w:pPr>
        <w:pStyle w:val="s14-99509"/>
        <w:ind w:firstLine="0"/>
        <w:rPr>
          <w:color w:val="auto"/>
        </w:rPr>
      </w:pPr>
    </w:p>
    <w:p w14:paraId="13EE6D90" w14:textId="77777777" w:rsidR="00580FD1" w:rsidRPr="00234F83" w:rsidRDefault="00580FD1" w:rsidP="00580FD1">
      <w:pPr>
        <w:pStyle w:val="s14-99509"/>
        <w:numPr>
          <w:ilvl w:val="0"/>
          <w:numId w:val="37"/>
        </w:numPr>
        <w:rPr>
          <w:i/>
          <w:iCs/>
          <w:color w:val="auto"/>
        </w:rPr>
      </w:pPr>
      <w:r w:rsidRPr="00234F83">
        <w:rPr>
          <w:iCs/>
          <w:color w:val="auto"/>
          <w:u w:val="single"/>
        </w:rPr>
        <w:t xml:space="preserve">Inventario físico de los bienes de </w:t>
      </w:r>
      <w:r w:rsidRPr="00234F83">
        <w:rPr>
          <w:i/>
          <w:iCs/>
          <w:color w:val="auto"/>
          <w:u w:val="single"/>
        </w:rPr>
        <w:t>cambio</w:t>
      </w:r>
      <w:r>
        <w:rPr>
          <w:i/>
          <w:iCs/>
          <w:color w:val="auto"/>
        </w:rPr>
        <w:t>.</w:t>
      </w:r>
    </w:p>
    <w:p w14:paraId="3CEDDACB" w14:textId="77777777" w:rsidR="00580FD1" w:rsidRPr="00234F83" w:rsidRDefault="00580FD1" w:rsidP="00580FD1">
      <w:pPr>
        <w:pStyle w:val="s14-99509"/>
        <w:ind w:left="1004" w:firstLine="0"/>
        <w:rPr>
          <w:color w:val="auto"/>
        </w:rPr>
      </w:pPr>
    </w:p>
    <w:p w14:paraId="0BEF8167" w14:textId="77777777" w:rsidR="00580FD1" w:rsidRPr="00234F83" w:rsidRDefault="00580FD1" w:rsidP="00580FD1">
      <w:pPr>
        <w:pStyle w:val="s14-99509"/>
        <w:tabs>
          <w:tab w:val="left" w:pos="709"/>
          <w:tab w:val="left" w:pos="851"/>
        </w:tabs>
        <w:ind w:left="709" w:hanging="425"/>
        <w:rPr>
          <w:i/>
          <w:iCs/>
          <w:color w:val="auto"/>
        </w:rPr>
      </w:pPr>
      <w:r w:rsidRPr="00234F83">
        <w:rPr>
          <w:i/>
          <w:iCs/>
          <w:color w:val="auto"/>
        </w:rPr>
        <w:t xml:space="preserve">        Periodicidad y alcance de los inventarios físicos de los bienes de cambio. Si existen bienes de inmovilización signific</w:t>
      </w:r>
      <w:r>
        <w:rPr>
          <w:i/>
          <w:iCs/>
          <w:color w:val="auto"/>
        </w:rPr>
        <w:t xml:space="preserve">ativa en el tiempo, por ejemplo, </w:t>
      </w:r>
      <w:r w:rsidRPr="00234F83">
        <w:rPr>
          <w:i/>
          <w:iCs/>
          <w:color w:val="auto"/>
        </w:rPr>
        <w:t>más de un año, indicar su monto y si se han efectuado las previsiones que correspondan:</w:t>
      </w:r>
    </w:p>
    <w:p w14:paraId="7E441638" w14:textId="77777777" w:rsidR="00580FD1" w:rsidRDefault="00580FD1" w:rsidP="00580FD1">
      <w:pPr>
        <w:pStyle w:val="s14-99509"/>
        <w:tabs>
          <w:tab w:val="left" w:pos="709"/>
          <w:tab w:val="left" w:pos="851"/>
        </w:tabs>
        <w:ind w:left="709" w:hanging="425"/>
        <w:rPr>
          <w:i/>
          <w:iCs/>
          <w:color w:val="auto"/>
        </w:rPr>
      </w:pPr>
    </w:p>
    <w:p w14:paraId="15155F54" w14:textId="77777777" w:rsidR="00580FD1" w:rsidRPr="00234F83" w:rsidRDefault="00580FD1" w:rsidP="00580FD1">
      <w:pPr>
        <w:pStyle w:val="s14-99509"/>
        <w:tabs>
          <w:tab w:val="left" w:pos="709"/>
          <w:tab w:val="left" w:pos="851"/>
        </w:tabs>
        <w:ind w:left="709" w:hanging="425"/>
        <w:rPr>
          <w:iCs/>
          <w:color w:val="auto"/>
        </w:rPr>
      </w:pPr>
      <w:r w:rsidRPr="00234F83">
        <w:rPr>
          <w:i/>
          <w:iCs/>
          <w:color w:val="auto"/>
        </w:rPr>
        <w:t xml:space="preserve">        </w:t>
      </w:r>
      <w:r w:rsidRPr="00234F83">
        <w:rPr>
          <w:iCs/>
          <w:color w:val="auto"/>
        </w:rPr>
        <w:t>La Entidad no posee Bienes de Cambio ni bienes de inmovilización significativa.</w:t>
      </w:r>
    </w:p>
    <w:p w14:paraId="6FF6CC17" w14:textId="77777777" w:rsidR="00580FD1" w:rsidRDefault="00580FD1" w:rsidP="00580FD1">
      <w:pPr>
        <w:pStyle w:val="s14-99509"/>
        <w:ind w:firstLine="0"/>
        <w:rPr>
          <w:color w:val="auto"/>
        </w:rPr>
      </w:pPr>
    </w:p>
    <w:p w14:paraId="6A007F7F" w14:textId="77777777" w:rsidR="00580FD1" w:rsidRPr="00234F83" w:rsidRDefault="00580FD1" w:rsidP="00580FD1">
      <w:pPr>
        <w:pStyle w:val="s14-99509"/>
        <w:numPr>
          <w:ilvl w:val="0"/>
          <w:numId w:val="37"/>
        </w:numPr>
        <w:rPr>
          <w:iCs/>
          <w:color w:val="auto"/>
        </w:rPr>
      </w:pPr>
      <w:r w:rsidRPr="00234F83">
        <w:rPr>
          <w:iCs/>
          <w:color w:val="auto"/>
          <w:u w:val="single"/>
        </w:rPr>
        <w:t>Participaciones en otras sociedades</w:t>
      </w:r>
      <w:r>
        <w:rPr>
          <w:iCs/>
          <w:color w:val="auto"/>
        </w:rPr>
        <w:t>.</w:t>
      </w:r>
    </w:p>
    <w:p w14:paraId="30280FC4" w14:textId="77777777" w:rsidR="00580FD1" w:rsidRPr="00234F83" w:rsidRDefault="00580FD1" w:rsidP="00580FD1">
      <w:pPr>
        <w:pStyle w:val="s14-99509"/>
        <w:tabs>
          <w:tab w:val="left" w:pos="426"/>
        </w:tabs>
        <w:ind w:left="1004" w:firstLine="0"/>
        <w:rPr>
          <w:color w:val="auto"/>
        </w:rPr>
      </w:pPr>
    </w:p>
    <w:p w14:paraId="0BF1A9DF" w14:textId="77777777" w:rsidR="00580FD1" w:rsidRDefault="00580FD1" w:rsidP="00580FD1">
      <w:pPr>
        <w:pStyle w:val="s14-99509"/>
        <w:tabs>
          <w:tab w:val="left" w:pos="709"/>
        </w:tabs>
        <w:rPr>
          <w:i/>
          <w:iCs/>
          <w:color w:val="auto"/>
        </w:rPr>
      </w:pPr>
      <w:r w:rsidRPr="00234F83">
        <w:rPr>
          <w:i/>
          <w:iCs/>
          <w:color w:val="auto"/>
        </w:rPr>
        <w:t xml:space="preserve">       Participaciones en otras sociedades en exceso de lo admitido por el artíc</w:t>
      </w:r>
      <w:r>
        <w:rPr>
          <w:i/>
          <w:iCs/>
          <w:color w:val="auto"/>
        </w:rPr>
        <w:t>ulo 31 de la</w:t>
      </w:r>
    </w:p>
    <w:p w14:paraId="510E976B" w14:textId="77777777" w:rsidR="00580FD1" w:rsidRPr="00234F83" w:rsidRDefault="00580FD1" w:rsidP="00580FD1">
      <w:pPr>
        <w:pStyle w:val="s14-99509"/>
        <w:tabs>
          <w:tab w:val="left" w:pos="709"/>
        </w:tabs>
        <w:ind w:left="284"/>
        <w:rPr>
          <w:i/>
          <w:iCs/>
          <w:color w:val="auto"/>
        </w:rPr>
      </w:pPr>
      <w:r>
        <w:rPr>
          <w:i/>
          <w:iCs/>
          <w:color w:val="auto"/>
        </w:rPr>
        <w:t>Ley</w:t>
      </w:r>
      <w:r w:rsidRPr="00234F83">
        <w:rPr>
          <w:i/>
          <w:iCs/>
          <w:color w:val="auto"/>
        </w:rPr>
        <w:t xml:space="preserve"> Nº 19.550 y planes para regularizar la situación.</w:t>
      </w:r>
    </w:p>
    <w:p w14:paraId="37D3C1AF" w14:textId="77777777" w:rsidR="00580FD1" w:rsidRPr="00234F83" w:rsidRDefault="00580FD1" w:rsidP="00580FD1">
      <w:pPr>
        <w:pStyle w:val="s14-99509"/>
        <w:rPr>
          <w:i/>
          <w:iCs/>
          <w:color w:val="auto"/>
        </w:rPr>
      </w:pPr>
    </w:p>
    <w:p w14:paraId="51BA19EF" w14:textId="77777777" w:rsidR="00580FD1" w:rsidRPr="00234F83" w:rsidRDefault="00580FD1" w:rsidP="00580FD1">
      <w:pPr>
        <w:pStyle w:val="s14-99509"/>
        <w:ind w:left="708" w:firstLine="0"/>
        <w:rPr>
          <w:iCs/>
          <w:color w:val="auto"/>
        </w:rPr>
      </w:pPr>
      <w:r w:rsidRPr="00234F83">
        <w:rPr>
          <w:iCs/>
          <w:color w:val="auto"/>
        </w:rPr>
        <w:t>La</w:t>
      </w:r>
      <w:r>
        <w:rPr>
          <w:iCs/>
          <w:color w:val="auto"/>
        </w:rPr>
        <w:t>s disposiciones del artículo 31 de la citada ley no aplican para las e</w:t>
      </w:r>
      <w:r w:rsidRPr="00234F83">
        <w:rPr>
          <w:iCs/>
          <w:color w:val="auto"/>
        </w:rPr>
        <w:t>ntidad</w:t>
      </w:r>
      <w:r>
        <w:rPr>
          <w:iCs/>
          <w:color w:val="auto"/>
        </w:rPr>
        <w:t>es financieras.</w:t>
      </w:r>
    </w:p>
    <w:p w14:paraId="6B81CAFA" w14:textId="77777777" w:rsidR="00580FD1" w:rsidRDefault="00580FD1" w:rsidP="00580FD1">
      <w:pPr>
        <w:pStyle w:val="s14-99509"/>
        <w:tabs>
          <w:tab w:val="left" w:pos="709"/>
          <w:tab w:val="left" w:pos="993"/>
        </w:tabs>
        <w:rPr>
          <w:iCs/>
          <w:color w:val="auto"/>
        </w:rPr>
      </w:pPr>
    </w:p>
    <w:p w14:paraId="6D54BAE6" w14:textId="77777777" w:rsidR="00580FD1" w:rsidRPr="00234F83" w:rsidRDefault="00580FD1" w:rsidP="00580FD1">
      <w:pPr>
        <w:pStyle w:val="s14-99509"/>
        <w:numPr>
          <w:ilvl w:val="0"/>
          <w:numId w:val="37"/>
        </w:numPr>
        <w:rPr>
          <w:iCs/>
          <w:color w:val="auto"/>
        </w:rPr>
      </w:pPr>
      <w:r w:rsidRPr="00234F83">
        <w:rPr>
          <w:iCs/>
          <w:color w:val="auto"/>
          <w:u w:val="single"/>
        </w:rPr>
        <w:t>Valores recuperables</w:t>
      </w:r>
      <w:r>
        <w:rPr>
          <w:iCs/>
          <w:color w:val="auto"/>
        </w:rPr>
        <w:t>.</w:t>
      </w:r>
    </w:p>
    <w:p w14:paraId="669300EA" w14:textId="77777777" w:rsidR="00580FD1" w:rsidRPr="00234F83" w:rsidRDefault="00580FD1" w:rsidP="00580FD1">
      <w:pPr>
        <w:pStyle w:val="s14-99509"/>
        <w:ind w:left="1004" w:firstLine="0"/>
        <w:rPr>
          <w:iCs/>
          <w:color w:val="auto"/>
        </w:rPr>
      </w:pPr>
    </w:p>
    <w:p w14:paraId="3096F87C" w14:textId="77777777" w:rsidR="00580FD1" w:rsidRPr="00234F83" w:rsidRDefault="00580FD1" w:rsidP="00580FD1">
      <w:pPr>
        <w:pStyle w:val="s14-99509"/>
        <w:ind w:left="993" w:hanging="993"/>
        <w:rPr>
          <w:i/>
          <w:iCs/>
          <w:color w:val="auto"/>
        </w:rPr>
      </w:pPr>
      <w:r w:rsidRPr="00234F83">
        <w:rPr>
          <w:i/>
          <w:iCs/>
          <w:color w:val="auto"/>
        </w:rPr>
        <w:t xml:space="preserve">                  Criterios seguidos para determinar los "valores recuperables" significativos de bienes de cambio, bienes de uso y otros activos, empleados como límites para sus respectivas valuaciones contables.</w:t>
      </w:r>
    </w:p>
    <w:p w14:paraId="2AC780F8" w14:textId="77777777" w:rsidR="00580FD1" w:rsidRPr="00234F83" w:rsidRDefault="00580FD1" w:rsidP="00580FD1">
      <w:pPr>
        <w:pStyle w:val="s14-99509"/>
        <w:ind w:left="993" w:hanging="993"/>
        <w:rPr>
          <w:i/>
          <w:iCs/>
          <w:color w:val="auto"/>
        </w:rPr>
      </w:pPr>
    </w:p>
    <w:p w14:paraId="42AB6E5B" w14:textId="170B7D4F" w:rsidR="00580FD1" w:rsidRDefault="00580FD1" w:rsidP="00580FD1">
      <w:pPr>
        <w:pStyle w:val="s14-99509"/>
        <w:ind w:left="993" w:hanging="993"/>
        <w:rPr>
          <w:iCs/>
          <w:color w:val="auto"/>
        </w:rPr>
      </w:pPr>
      <w:r w:rsidRPr="00234F83">
        <w:rPr>
          <w:iCs/>
          <w:color w:val="auto"/>
        </w:rPr>
        <w:t xml:space="preserve">                  </w:t>
      </w:r>
      <w:r>
        <w:rPr>
          <w:iCs/>
          <w:color w:val="auto"/>
        </w:rPr>
        <w:t>El valor recuperable de los activos no financieros como es el caso de propiedad planta y equipo, corresponde al mayor entre el monto neto que se obtendría de su venta o su valor en uso.  Ver Nota 1.15 (Propiedad, planta y equipo), 1.16 (Propiedades de inversión) y Nota 1.19 (Desvalorización de activos no financieros) a los estados financieros consolidados al 31 de diciembre de 201</w:t>
      </w:r>
      <w:r w:rsidR="00E332C1">
        <w:rPr>
          <w:iCs/>
          <w:color w:val="auto"/>
        </w:rPr>
        <w:t>9</w:t>
      </w:r>
      <w:r>
        <w:rPr>
          <w:iCs/>
          <w:color w:val="auto"/>
        </w:rPr>
        <w:t xml:space="preserve"> donde se expone el tema y, ver Nota 1.13 (Propiedad, planta y equipo), 1.14 (Propiedades de inversión) y 1.16 (Desvalorización de activos no financieros) a los estados financieros separados al 31 de diciembre de 201</w:t>
      </w:r>
      <w:r w:rsidR="00E332C1">
        <w:rPr>
          <w:iCs/>
          <w:color w:val="auto"/>
        </w:rPr>
        <w:t>9</w:t>
      </w:r>
      <w:r>
        <w:rPr>
          <w:iCs/>
          <w:color w:val="auto"/>
        </w:rPr>
        <w:t xml:space="preserve">).  </w:t>
      </w:r>
    </w:p>
    <w:p w14:paraId="45B55EBE" w14:textId="77777777" w:rsidR="00580FD1" w:rsidRDefault="00580FD1" w:rsidP="00580FD1">
      <w:pPr>
        <w:pStyle w:val="s14-99509"/>
        <w:ind w:left="993" w:hanging="993"/>
        <w:rPr>
          <w:iCs/>
          <w:color w:val="auto"/>
        </w:rPr>
      </w:pPr>
    </w:p>
    <w:p w14:paraId="5A007604" w14:textId="762291B5" w:rsidR="00580FD1" w:rsidRPr="00234F83" w:rsidRDefault="00580FD1" w:rsidP="00580FD1">
      <w:pPr>
        <w:pStyle w:val="s14-99509"/>
        <w:ind w:left="993" w:hanging="993"/>
        <w:rPr>
          <w:iCs/>
          <w:color w:val="auto"/>
        </w:rPr>
      </w:pPr>
      <w:r>
        <w:rPr>
          <w:iCs/>
          <w:color w:val="auto"/>
        </w:rPr>
        <w:t xml:space="preserve">                  En el caso de los valores llave de los activos intangibles,</w:t>
      </w:r>
      <w:r w:rsidRPr="008D663E">
        <w:t xml:space="preserve"> </w:t>
      </w:r>
      <w:r>
        <w:rPr>
          <w:iCs/>
          <w:color w:val="auto"/>
        </w:rPr>
        <w:t>dichos</w:t>
      </w:r>
      <w:r w:rsidRPr="008D663E">
        <w:rPr>
          <w:iCs/>
          <w:color w:val="auto"/>
        </w:rPr>
        <w:t xml:space="preserve"> valores se asignan a las unidades generadoras de efectivo de</w:t>
      </w:r>
      <w:r>
        <w:rPr>
          <w:iCs/>
          <w:color w:val="auto"/>
        </w:rPr>
        <w:t xml:space="preserve"> </w:t>
      </w:r>
      <w:r w:rsidRPr="008D663E">
        <w:rPr>
          <w:iCs/>
          <w:color w:val="auto"/>
        </w:rPr>
        <w:t>l</w:t>
      </w:r>
      <w:r>
        <w:rPr>
          <w:iCs/>
          <w:color w:val="auto"/>
        </w:rPr>
        <w:t>a Entidad</w:t>
      </w:r>
      <w:r w:rsidRPr="008D663E">
        <w:rPr>
          <w:iCs/>
          <w:color w:val="auto"/>
        </w:rPr>
        <w:t xml:space="preserve"> sobre la base de los segmentos operativos</w:t>
      </w:r>
      <w:r>
        <w:rPr>
          <w:iCs/>
          <w:color w:val="auto"/>
        </w:rPr>
        <w:t xml:space="preserve">.  Ver Nota 1.17 y Nota </w:t>
      </w:r>
      <w:r w:rsidR="00AA4528">
        <w:rPr>
          <w:iCs/>
          <w:color w:val="auto"/>
        </w:rPr>
        <w:t xml:space="preserve">9 </w:t>
      </w:r>
      <w:r>
        <w:rPr>
          <w:iCs/>
          <w:color w:val="auto"/>
        </w:rPr>
        <w:t xml:space="preserve">acápite Prueba de recuperabilidad de valores llaves, a los estados financieros consolidados al 31 de diciembre de </w:t>
      </w:r>
      <w:r w:rsidR="00E332C1">
        <w:rPr>
          <w:iCs/>
          <w:color w:val="auto"/>
        </w:rPr>
        <w:t xml:space="preserve">2019 </w:t>
      </w:r>
      <w:r>
        <w:rPr>
          <w:iCs/>
          <w:color w:val="auto"/>
        </w:rPr>
        <w:t xml:space="preserve">y, Nota 1.15 y Nota </w:t>
      </w:r>
      <w:r w:rsidR="00AA4528">
        <w:rPr>
          <w:iCs/>
          <w:color w:val="auto"/>
        </w:rPr>
        <w:t xml:space="preserve">9 </w:t>
      </w:r>
      <w:r>
        <w:rPr>
          <w:iCs/>
          <w:color w:val="auto"/>
        </w:rPr>
        <w:t>acápite Prueba de recuperabilidad de valores llaves, a los estados financieros separados al 31 de diciembre de 201</w:t>
      </w:r>
      <w:r w:rsidR="00E332C1">
        <w:rPr>
          <w:iCs/>
          <w:color w:val="auto"/>
        </w:rPr>
        <w:t>9</w:t>
      </w:r>
      <w:r>
        <w:rPr>
          <w:iCs/>
          <w:color w:val="auto"/>
        </w:rPr>
        <w:t>.</w:t>
      </w:r>
    </w:p>
    <w:p w14:paraId="5EBC4CDF" w14:textId="77777777" w:rsidR="00580FD1" w:rsidRPr="00234F83" w:rsidRDefault="00580FD1" w:rsidP="00580FD1">
      <w:pPr>
        <w:pStyle w:val="s14-99509"/>
        <w:ind w:left="993" w:hanging="993"/>
        <w:rPr>
          <w:iCs/>
          <w:color w:val="auto"/>
          <w:sz w:val="18"/>
          <w:szCs w:val="18"/>
        </w:rPr>
      </w:pPr>
    </w:p>
    <w:p w14:paraId="78DDE38C" w14:textId="77777777" w:rsidR="00580FD1" w:rsidRPr="00234F83" w:rsidRDefault="00580FD1" w:rsidP="00580FD1">
      <w:pPr>
        <w:pStyle w:val="s14-99509"/>
        <w:numPr>
          <w:ilvl w:val="0"/>
          <w:numId w:val="37"/>
        </w:numPr>
        <w:tabs>
          <w:tab w:val="left" w:pos="284"/>
          <w:tab w:val="left" w:pos="426"/>
          <w:tab w:val="left" w:pos="993"/>
        </w:tabs>
        <w:rPr>
          <w:i/>
          <w:iCs/>
          <w:color w:val="auto"/>
        </w:rPr>
      </w:pPr>
      <w:r w:rsidRPr="00234F83">
        <w:rPr>
          <w:i/>
          <w:iCs/>
          <w:color w:val="auto"/>
          <w:u w:val="single"/>
        </w:rPr>
        <w:t>Seguros que cubren los bienes tangibles</w:t>
      </w:r>
      <w:r>
        <w:rPr>
          <w:i/>
          <w:iCs/>
          <w:color w:val="auto"/>
        </w:rPr>
        <w:t>.</w:t>
      </w:r>
    </w:p>
    <w:p w14:paraId="736F5835" w14:textId="77777777" w:rsidR="00580FD1" w:rsidRPr="00234F83" w:rsidRDefault="00580FD1" w:rsidP="00580FD1">
      <w:pPr>
        <w:pStyle w:val="s14-99509"/>
        <w:tabs>
          <w:tab w:val="left" w:pos="1134"/>
        </w:tabs>
        <w:ind w:firstLine="0"/>
        <w:rPr>
          <w:color w:val="auto"/>
        </w:rPr>
      </w:pPr>
    </w:p>
    <w:p w14:paraId="1197EE41" w14:textId="77777777" w:rsidR="00580FD1" w:rsidRPr="00234F83" w:rsidRDefault="00580FD1" w:rsidP="00580FD1">
      <w:pPr>
        <w:pStyle w:val="s14-99509"/>
        <w:tabs>
          <w:tab w:val="left" w:pos="426"/>
          <w:tab w:val="left" w:pos="1134"/>
        </w:tabs>
        <w:ind w:left="993" w:firstLine="0"/>
        <w:rPr>
          <w:i/>
          <w:iCs/>
          <w:color w:val="auto"/>
        </w:rPr>
      </w:pPr>
      <w:r w:rsidRPr="00234F83">
        <w:rPr>
          <w:i/>
          <w:iCs/>
          <w:color w:val="auto"/>
        </w:rPr>
        <w:t xml:space="preserve">Para cada grupo homogéneo de los bienes se consignarán los riesgos cubiertos, las </w:t>
      </w:r>
      <w:r>
        <w:rPr>
          <w:i/>
          <w:iCs/>
          <w:color w:val="auto"/>
        </w:rPr>
        <w:t xml:space="preserve">  </w:t>
      </w:r>
      <w:r w:rsidRPr="00234F83">
        <w:rPr>
          <w:i/>
          <w:iCs/>
          <w:color w:val="auto"/>
        </w:rPr>
        <w:t>sumas aseguradas y los correspondientes</w:t>
      </w:r>
      <w:r>
        <w:rPr>
          <w:i/>
          <w:iCs/>
          <w:color w:val="auto"/>
        </w:rPr>
        <w:t xml:space="preserve"> </w:t>
      </w:r>
      <w:r w:rsidRPr="00234F83">
        <w:rPr>
          <w:i/>
          <w:iCs/>
          <w:color w:val="auto"/>
        </w:rPr>
        <w:t>valores contables.</w:t>
      </w:r>
    </w:p>
    <w:p w14:paraId="0C9BF6FA" w14:textId="77777777" w:rsidR="00580FD1" w:rsidRPr="00C17D99" w:rsidRDefault="00580FD1" w:rsidP="00580FD1">
      <w:pPr>
        <w:pStyle w:val="s14-99509"/>
        <w:tabs>
          <w:tab w:val="left" w:pos="1134"/>
        </w:tabs>
        <w:rPr>
          <w:i/>
          <w:iCs/>
          <w:color w:val="auto"/>
        </w:rPr>
      </w:pPr>
      <w:r w:rsidRPr="00C17D99">
        <w:rPr>
          <w:i/>
          <w:iCs/>
          <w:color w:val="auto"/>
        </w:rPr>
        <w:t xml:space="preserve">          </w:t>
      </w:r>
      <w:r w:rsidRPr="00C17D99">
        <w:rPr>
          <w:iCs/>
          <w:color w:val="auto"/>
        </w:rPr>
        <w:t xml:space="preserve">      Se detalla a continuación de acuerdo con el siguiente cuadro:</w:t>
      </w:r>
    </w:p>
    <w:p w14:paraId="565E939C" w14:textId="77777777" w:rsidR="00580FD1" w:rsidRPr="00C17D99" w:rsidRDefault="00580FD1" w:rsidP="00580FD1">
      <w:pPr>
        <w:pStyle w:val="s14-99509"/>
        <w:tabs>
          <w:tab w:val="left" w:pos="1134"/>
        </w:tabs>
        <w:rPr>
          <w:color w:val="auto"/>
        </w:rPr>
      </w:pPr>
    </w:p>
    <w:tbl>
      <w:tblPr>
        <w:tblW w:w="8788" w:type="dxa"/>
        <w:tblInd w:w="279" w:type="dxa"/>
        <w:tblCellMar>
          <w:left w:w="70" w:type="dxa"/>
          <w:right w:w="70" w:type="dxa"/>
        </w:tblCellMar>
        <w:tblLook w:val="04A0" w:firstRow="1" w:lastRow="0" w:firstColumn="1" w:lastColumn="0" w:noHBand="0" w:noVBand="1"/>
      </w:tblPr>
      <w:tblGrid>
        <w:gridCol w:w="3969"/>
        <w:gridCol w:w="2551"/>
        <w:gridCol w:w="1134"/>
        <w:gridCol w:w="1134"/>
      </w:tblGrid>
      <w:tr w:rsidR="00580FD1" w:rsidRPr="00AA04EC" w14:paraId="62F16A3C" w14:textId="77777777" w:rsidTr="00580FD1">
        <w:trPr>
          <w:trHeight w:val="94"/>
        </w:trPr>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551A9C2" w14:textId="77777777" w:rsidR="00580FD1" w:rsidRPr="00546F98" w:rsidRDefault="00580FD1" w:rsidP="00580FD1">
            <w:pPr>
              <w:ind w:left="66" w:hanging="66"/>
              <w:jc w:val="center"/>
              <w:rPr>
                <w:rFonts w:ascii="Arial" w:hAnsi="Arial" w:cs="Arial"/>
                <w:b/>
                <w:color w:val="000000"/>
                <w:sz w:val="16"/>
                <w:szCs w:val="18"/>
                <w:lang w:eastAsia="es-AR"/>
              </w:rPr>
            </w:pPr>
            <w:r w:rsidRPr="00546F98">
              <w:rPr>
                <w:rFonts w:ascii="Arial" w:hAnsi="Arial" w:cs="Arial"/>
                <w:b/>
                <w:color w:val="000000"/>
                <w:sz w:val="16"/>
                <w:szCs w:val="18"/>
                <w:lang w:eastAsia="es-AR"/>
              </w:rPr>
              <w:t>Grupo Homogéneo de Bienes</w:t>
            </w:r>
          </w:p>
        </w:tc>
        <w:tc>
          <w:tcPr>
            <w:tcW w:w="255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8EA220A" w14:textId="77777777" w:rsidR="00580FD1" w:rsidRPr="00546F98" w:rsidRDefault="00580FD1" w:rsidP="00580FD1">
            <w:pPr>
              <w:jc w:val="center"/>
              <w:rPr>
                <w:rFonts w:ascii="Arial" w:hAnsi="Arial" w:cs="Arial"/>
                <w:b/>
                <w:color w:val="000000"/>
                <w:sz w:val="16"/>
                <w:szCs w:val="18"/>
                <w:lang w:eastAsia="es-AR"/>
              </w:rPr>
            </w:pPr>
            <w:r w:rsidRPr="00546F98">
              <w:rPr>
                <w:rFonts w:ascii="Arial" w:hAnsi="Arial" w:cs="Arial"/>
                <w:b/>
                <w:color w:val="000000"/>
                <w:sz w:val="16"/>
                <w:szCs w:val="18"/>
                <w:lang w:eastAsia="es-AR"/>
              </w:rPr>
              <w:t>Riesgo Cubierto</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92893B4" w14:textId="77777777" w:rsidR="00580FD1" w:rsidRPr="00546F98" w:rsidRDefault="00580FD1" w:rsidP="00580FD1">
            <w:pPr>
              <w:jc w:val="center"/>
              <w:rPr>
                <w:rFonts w:ascii="Arial" w:hAnsi="Arial" w:cs="Arial"/>
                <w:b/>
                <w:color w:val="000000"/>
                <w:sz w:val="16"/>
                <w:szCs w:val="18"/>
                <w:lang w:eastAsia="es-AR"/>
              </w:rPr>
            </w:pPr>
            <w:r w:rsidRPr="00546F98">
              <w:rPr>
                <w:rFonts w:ascii="Arial" w:hAnsi="Arial" w:cs="Arial"/>
                <w:b/>
                <w:color w:val="000000"/>
                <w:sz w:val="16"/>
                <w:szCs w:val="18"/>
                <w:lang w:eastAsia="es-AR"/>
              </w:rPr>
              <w:t>Suma Asegurada Miles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4B73176" w14:textId="77777777" w:rsidR="00580FD1" w:rsidRPr="00546F98" w:rsidRDefault="00580FD1" w:rsidP="00580FD1">
            <w:pPr>
              <w:jc w:val="center"/>
              <w:rPr>
                <w:rFonts w:ascii="Arial" w:hAnsi="Arial" w:cs="Arial"/>
                <w:b/>
                <w:color w:val="000000"/>
                <w:sz w:val="16"/>
                <w:szCs w:val="18"/>
                <w:lang w:eastAsia="es-AR"/>
              </w:rPr>
            </w:pPr>
            <w:r w:rsidRPr="00546F98">
              <w:rPr>
                <w:rFonts w:ascii="Arial" w:hAnsi="Arial" w:cs="Arial"/>
                <w:b/>
                <w:color w:val="000000"/>
                <w:sz w:val="16"/>
                <w:szCs w:val="18"/>
                <w:lang w:eastAsia="es-AR"/>
              </w:rPr>
              <w:t>Valor Contable Miles $</w:t>
            </w:r>
          </w:p>
        </w:tc>
      </w:tr>
      <w:tr w:rsidR="00580FD1" w:rsidRPr="00AA04EC" w14:paraId="6532D602" w14:textId="77777777" w:rsidTr="00580FD1">
        <w:trPr>
          <w:trHeight w:val="102"/>
        </w:trPr>
        <w:tc>
          <w:tcPr>
            <w:tcW w:w="396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2856EFD" w14:textId="77777777" w:rsidR="00580FD1" w:rsidRPr="00546F98" w:rsidRDefault="00580FD1" w:rsidP="00580FD1">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Integral Bancaria</w:t>
            </w:r>
          </w:p>
        </w:tc>
        <w:tc>
          <w:tcPr>
            <w:tcW w:w="2551" w:type="dxa"/>
            <w:tcBorders>
              <w:top w:val="nil"/>
              <w:left w:val="nil"/>
              <w:bottom w:val="single" w:sz="4" w:space="0" w:color="auto"/>
              <w:right w:val="single" w:sz="4" w:space="0" w:color="auto"/>
            </w:tcBorders>
            <w:shd w:val="clear" w:color="auto" w:fill="FFFFFF" w:themeFill="background1"/>
            <w:noWrap/>
            <w:vAlign w:val="bottom"/>
            <w:hideMark/>
          </w:tcPr>
          <w:p w14:paraId="33FFCF08" w14:textId="77777777" w:rsidR="00580FD1" w:rsidRPr="00546F98" w:rsidRDefault="00580FD1" w:rsidP="00580FD1">
            <w:pPr>
              <w:rPr>
                <w:rFonts w:ascii="Arial" w:hAnsi="Arial" w:cs="Arial"/>
                <w:color w:val="000000"/>
                <w:sz w:val="16"/>
                <w:szCs w:val="18"/>
                <w:lang w:eastAsia="es-AR"/>
              </w:rPr>
            </w:pPr>
            <w:r w:rsidRPr="00546F98">
              <w:rPr>
                <w:rFonts w:ascii="Arial" w:hAnsi="Arial" w:cs="Arial"/>
                <w:color w:val="000000"/>
                <w:sz w:val="16"/>
                <w:szCs w:val="18"/>
                <w:lang w:eastAsia="es-AR"/>
              </w:rPr>
              <w:t>Robo</w:t>
            </w:r>
          </w:p>
        </w:tc>
        <w:tc>
          <w:tcPr>
            <w:tcW w:w="1134" w:type="dxa"/>
            <w:tcBorders>
              <w:top w:val="nil"/>
              <w:left w:val="single" w:sz="4" w:space="0" w:color="auto"/>
              <w:bottom w:val="nil"/>
              <w:right w:val="single" w:sz="4" w:space="0" w:color="auto"/>
            </w:tcBorders>
            <w:shd w:val="clear" w:color="auto" w:fill="auto"/>
            <w:noWrap/>
            <w:vAlign w:val="bottom"/>
          </w:tcPr>
          <w:p w14:paraId="77B627B1" w14:textId="273CC8D6" w:rsidR="00580FD1" w:rsidRPr="00855880" w:rsidRDefault="000D6205" w:rsidP="00580FD1">
            <w:pPr>
              <w:jc w:val="right"/>
              <w:rPr>
                <w:rFonts w:ascii="Arial" w:hAnsi="Arial" w:cs="Arial"/>
                <w:color w:val="000000"/>
                <w:sz w:val="16"/>
                <w:szCs w:val="16"/>
              </w:rPr>
            </w:pPr>
            <w:r>
              <w:rPr>
                <w:rFonts w:ascii="Arial" w:hAnsi="Arial" w:cs="Arial"/>
                <w:color w:val="000000"/>
                <w:sz w:val="16"/>
                <w:szCs w:val="16"/>
              </w:rPr>
              <w:t>1.197.900</w:t>
            </w:r>
          </w:p>
        </w:tc>
        <w:tc>
          <w:tcPr>
            <w:tcW w:w="1134" w:type="dxa"/>
            <w:tcBorders>
              <w:top w:val="nil"/>
              <w:left w:val="nil"/>
              <w:bottom w:val="single" w:sz="4" w:space="0" w:color="auto"/>
              <w:right w:val="single" w:sz="4" w:space="0" w:color="auto"/>
            </w:tcBorders>
            <w:shd w:val="clear" w:color="auto" w:fill="auto"/>
            <w:noWrap/>
            <w:vAlign w:val="bottom"/>
          </w:tcPr>
          <w:p w14:paraId="221D9D93" w14:textId="61F18BC9" w:rsidR="00580FD1" w:rsidRPr="00855880" w:rsidRDefault="000D6205" w:rsidP="00580FD1">
            <w:pPr>
              <w:jc w:val="right"/>
              <w:rPr>
                <w:rFonts w:ascii="Arial" w:hAnsi="Arial" w:cs="Arial"/>
                <w:color w:val="000000"/>
                <w:sz w:val="16"/>
                <w:szCs w:val="16"/>
              </w:rPr>
            </w:pPr>
            <w:r>
              <w:rPr>
                <w:rFonts w:ascii="Arial" w:hAnsi="Arial" w:cs="Arial"/>
                <w:color w:val="000000"/>
                <w:sz w:val="16"/>
                <w:szCs w:val="16"/>
              </w:rPr>
              <w:t>8.695.486</w:t>
            </w:r>
          </w:p>
        </w:tc>
      </w:tr>
      <w:tr w:rsidR="00580FD1" w:rsidRPr="00546F98" w14:paraId="09CDC7AB" w14:textId="77777777" w:rsidTr="00580FD1">
        <w:trPr>
          <w:trHeight w:val="332"/>
        </w:trPr>
        <w:tc>
          <w:tcPr>
            <w:tcW w:w="3969" w:type="dxa"/>
            <w:tcBorders>
              <w:top w:val="nil"/>
              <w:left w:val="single" w:sz="4" w:space="0" w:color="auto"/>
              <w:bottom w:val="single" w:sz="4" w:space="0" w:color="auto"/>
              <w:right w:val="single" w:sz="4" w:space="0" w:color="auto"/>
            </w:tcBorders>
            <w:shd w:val="clear" w:color="auto" w:fill="FFFFFF" w:themeFill="background1"/>
            <w:vAlign w:val="bottom"/>
            <w:hideMark/>
          </w:tcPr>
          <w:p w14:paraId="6A49011C" w14:textId="77777777" w:rsidR="00580FD1" w:rsidRPr="00546F98" w:rsidRDefault="00580FD1" w:rsidP="00580FD1">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Edificios, Contenidos de cada Sucursal y Centro de Servicios, Cristales, Carteles, Grupos Electrógenos.</w:t>
            </w:r>
          </w:p>
        </w:tc>
        <w:tc>
          <w:tcPr>
            <w:tcW w:w="2551" w:type="dxa"/>
            <w:tcBorders>
              <w:top w:val="nil"/>
              <w:left w:val="nil"/>
              <w:bottom w:val="single" w:sz="4" w:space="0" w:color="auto"/>
              <w:right w:val="nil"/>
            </w:tcBorders>
            <w:shd w:val="clear" w:color="auto" w:fill="FFFFFF" w:themeFill="background1"/>
            <w:noWrap/>
            <w:vAlign w:val="center"/>
            <w:hideMark/>
          </w:tcPr>
          <w:p w14:paraId="0DBC8F14" w14:textId="77777777" w:rsidR="00580FD1" w:rsidRPr="00546F98" w:rsidRDefault="00580FD1" w:rsidP="00580FD1">
            <w:pPr>
              <w:rPr>
                <w:rFonts w:ascii="Arial" w:hAnsi="Arial" w:cs="Arial"/>
                <w:color w:val="000000"/>
                <w:sz w:val="16"/>
                <w:szCs w:val="18"/>
                <w:lang w:eastAsia="es-AR"/>
              </w:rPr>
            </w:pPr>
            <w:r w:rsidRPr="00546F98">
              <w:rPr>
                <w:rFonts w:ascii="Arial" w:hAnsi="Arial" w:cs="Arial"/>
                <w:color w:val="000000"/>
                <w:sz w:val="16"/>
                <w:szCs w:val="18"/>
                <w:lang w:eastAsia="es-AR"/>
              </w:rPr>
              <w:t>Todo Riesgo Operativo (Incendio)</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15C9A811" w14:textId="0A8C9A41" w:rsidR="00580FD1" w:rsidRPr="00855880" w:rsidRDefault="000D6205" w:rsidP="00580FD1">
            <w:pPr>
              <w:jc w:val="right"/>
              <w:rPr>
                <w:rFonts w:ascii="Arial" w:hAnsi="Arial" w:cs="Arial"/>
                <w:color w:val="000000"/>
                <w:sz w:val="16"/>
                <w:szCs w:val="16"/>
              </w:rPr>
            </w:pPr>
            <w:r>
              <w:rPr>
                <w:rFonts w:ascii="Arial" w:hAnsi="Arial" w:cs="Arial"/>
                <w:color w:val="000000"/>
                <w:sz w:val="16"/>
                <w:szCs w:val="16"/>
              </w:rPr>
              <w:t>12.336.891</w:t>
            </w:r>
          </w:p>
        </w:tc>
        <w:tc>
          <w:tcPr>
            <w:tcW w:w="1134" w:type="dxa"/>
            <w:vMerge w:val="restart"/>
            <w:tcBorders>
              <w:top w:val="single" w:sz="4" w:space="0" w:color="auto"/>
              <w:left w:val="nil"/>
              <w:bottom w:val="single" w:sz="4" w:space="0" w:color="000000"/>
              <w:right w:val="single" w:sz="4" w:space="0" w:color="auto"/>
            </w:tcBorders>
            <w:shd w:val="clear" w:color="auto" w:fill="auto"/>
            <w:noWrap/>
            <w:vAlign w:val="center"/>
          </w:tcPr>
          <w:p w14:paraId="744157AF" w14:textId="4F06693C" w:rsidR="00580FD1" w:rsidRPr="00855880" w:rsidRDefault="000D6205" w:rsidP="00580FD1">
            <w:pPr>
              <w:jc w:val="right"/>
              <w:rPr>
                <w:rFonts w:ascii="Arial" w:hAnsi="Arial" w:cs="Arial"/>
                <w:color w:val="000000"/>
                <w:sz w:val="16"/>
                <w:szCs w:val="16"/>
              </w:rPr>
            </w:pPr>
            <w:r>
              <w:rPr>
                <w:rFonts w:ascii="Arial" w:hAnsi="Arial" w:cs="Arial"/>
                <w:color w:val="000000"/>
                <w:sz w:val="16"/>
                <w:szCs w:val="16"/>
              </w:rPr>
              <w:t>6.632.820</w:t>
            </w:r>
          </w:p>
        </w:tc>
      </w:tr>
      <w:tr w:rsidR="00580FD1" w:rsidRPr="00546F98" w14:paraId="4186589C" w14:textId="77777777" w:rsidTr="00580FD1">
        <w:trPr>
          <w:trHeight w:val="235"/>
        </w:trPr>
        <w:tc>
          <w:tcPr>
            <w:tcW w:w="396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6719E99" w14:textId="77777777" w:rsidR="00580FD1" w:rsidRPr="00546F98" w:rsidRDefault="00580FD1" w:rsidP="00580FD1">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 xml:space="preserve">Centro de Cómputos </w:t>
            </w:r>
          </w:p>
        </w:tc>
        <w:tc>
          <w:tcPr>
            <w:tcW w:w="2551" w:type="dxa"/>
            <w:tcBorders>
              <w:top w:val="nil"/>
              <w:left w:val="nil"/>
              <w:bottom w:val="single" w:sz="4" w:space="0" w:color="auto"/>
              <w:right w:val="nil"/>
            </w:tcBorders>
            <w:shd w:val="clear" w:color="auto" w:fill="FFFFFF" w:themeFill="background1"/>
            <w:noWrap/>
            <w:vAlign w:val="bottom"/>
            <w:hideMark/>
          </w:tcPr>
          <w:p w14:paraId="3FDE2541" w14:textId="77777777" w:rsidR="00580FD1" w:rsidRPr="00546F98" w:rsidRDefault="00580FD1" w:rsidP="00580FD1">
            <w:pPr>
              <w:rPr>
                <w:rFonts w:ascii="Arial" w:hAnsi="Arial" w:cs="Arial"/>
                <w:color w:val="000000"/>
                <w:sz w:val="16"/>
                <w:szCs w:val="18"/>
                <w:lang w:eastAsia="es-AR"/>
              </w:rPr>
            </w:pPr>
            <w:r w:rsidRPr="00546F98">
              <w:rPr>
                <w:rFonts w:ascii="Arial" w:hAnsi="Arial" w:cs="Arial"/>
                <w:color w:val="000000"/>
                <w:sz w:val="16"/>
                <w:szCs w:val="18"/>
                <w:lang w:eastAsia="es-AR"/>
              </w:rPr>
              <w:t>Incendio y todo daño físico</w:t>
            </w:r>
          </w:p>
        </w:tc>
        <w:tc>
          <w:tcPr>
            <w:tcW w:w="1134"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8480801" w14:textId="77777777" w:rsidR="00580FD1" w:rsidRPr="00546F98" w:rsidRDefault="00580FD1" w:rsidP="00580FD1">
            <w:pPr>
              <w:rPr>
                <w:rFonts w:ascii="Arial" w:hAnsi="Arial" w:cs="Arial"/>
                <w:color w:val="000000"/>
                <w:sz w:val="16"/>
                <w:szCs w:val="18"/>
                <w:lang w:eastAsia="es-AR"/>
              </w:rPr>
            </w:pPr>
          </w:p>
        </w:tc>
        <w:tc>
          <w:tcPr>
            <w:tcW w:w="1134" w:type="dxa"/>
            <w:vMerge/>
            <w:tcBorders>
              <w:top w:val="nil"/>
              <w:left w:val="nil"/>
              <w:bottom w:val="single" w:sz="4" w:space="0" w:color="000000"/>
              <w:right w:val="single" w:sz="4" w:space="0" w:color="auto"/>
            </w:tcBorders>
            <w:shd w:val="clear" w:color="auto" w:fill="FFFFFF" w:themeFill="background1"/>
            <w:vAlign w:val="center"/>
          </w:tcPr>
          <w:p w14:paraId="0E67DC97" w14:textId="77777777" w:rsidR="00580FD1" w:rsidRPr="00546F98" w:rsidRDefault="00580FD1" w:rsidP="00580FD1">
            <w:pPr>
              <w:rPr>
                <w:rFonts w:ascii="Arial" w:hAnsi="Arial" w:cs="Arial"/>
                <w:color w:val="000000"/>
                <w:sz w:val="16"/>
                <w:szCs w:val="18"/>
                <w:lang w:eastAsia="es-AR"/>
              </w:rPr>
            </w:pPr>
          </w:p>
        </w:tc>
      </w:tr>
      <w:tr w:rsidR="00580FD1" w:rsidRPr="00546F98" w14:paraId="0E169D63" w14:textId="77777777" w:rsidTr="00580FD1">
        <w:trPr>
          <w:trHeight w:val="235"/>
        </w:trPr>
        <w:tc>
          <w:tcPr>
            <w:tcW w:w="396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A0224A6" w14:textId="77777777" w:rsidR="00580FD1" w:rsidRPr="00546F98" w:rsidRDefault="00580FD1" w:rsidP="00580FD1">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Automotores y Rodados</w:t>
            </w:r>
          </w:p>
        </w:tc>
        <w:tc>
          <w:tcPr>
            <w:tcW w:w="2551" w:type="dxa"/>
            <w:tcBorders>
              <w:top w:val="nil"/>
              <w:left w:val="nil"/>
              <w:bottom w:val="single" w:sz="4" w:space="0" w:color="auto"/>
              <w:right w:val="single" w:sz="4" w:space="0" w:color="auto"/>
            </w:tcBorders>
            <w:shd w:val="clear" w:color="auto" w:fill="FFFFFF" w:themeFill="background1"/>
            <w:noWrap/>
            <w:vAlign w:val="bottom"/>
            <w:hideMark/>
          </w:tcPr>
          <w:p w14:paraId="1F44D530" w14:textId="77777777" w:rsidR="00580FD1" w:rsidRPr="00546F98" w:rsidRDefault="00580FD1" w:rsidP="00580FD1">
            <w:pPr>
              <w:rPr>
                <w:rFonts w:ascii="Arial" w:hAnsi="Arial" w:cs="Arial"/>
                <w:color w:val="000000"/>
                <w:sz w:val="16"/>
                <w:szCs w:val="18"/>
                <w:lang w:eastAsia="es-AR"/>
              </w:rPr>
            </w:pPr>
            <w:r w:rsidRPr="00546F98">
              <w:rPr>
                <w:rFonts w:ascii="Arial" w:hAnsi="Arial" w:cs="Arial"/>
                <w:color w:val="000000"/>
                <w:sz w:val="16"/>
                <w:szCs w:val="18"/>
                <w:lang w:eastAsia="es-AR"/>
              </w:rPr>
              <w:t>Todo Riesgo c/franquicia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B366F5" w14:textId="77777777" w:rsidR="00580FD1" w:rsidRPr="00855880" w:rsidRDefault="00580FD1" w:rsidP="00580FD1">
            <w:pPr>
              <w:jc w:val="right"/>
              <w:rPr>
                <w:rFonts w:ascii="Arial" w:hAnsi="Arial" w:cs="Arial"/>
                <w:color w:val="000000"/>
                <w:sz w:val="16"/>
                <w:szCs w:val="16"/>
              </w:rPr>
            </w:pPr>
            <w:r w:rsidRPr="00855880">
              <w:rPr>
                <w:rFonts w:ascii="Arial" w:hAnsi="Arial" w:cs="Arial"/>
                <w:color w:val="000000"/>
                <w:sz w:val="16"/>
                <w:szCs w:val="16"/>
              </w:rPr>
              <w:t>107.685</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33819AA6" w14:textId="43FFF06C" w:rsidR="00580FD1" w:rsidRPr="00855880" w:rsidRDefault="000D6205" w:rsidP="00580FD1">
            <w:pPr>
              <w:jc w:val="right"/>
              <w:rPr>
                <w:rFonts w:ascii="Arial" w:hAnsi="Arial" w:cs="Arial"/>
                <w:color w:val="000000"/>
                <w:sz w:val="16"/>
                <w:szCs w:val="16"/>
              </w:rPr>
            </w:pPr>
            <w:r>
              <w:rPr>
                <w:rFonts w:ascii="Arial" w:hAnsi="Arial" w:cs="Arial"/>
                <w:color w:val="000000"/>
                <w:sz w:val="16"/>
                <w:szCs w:val="16"/>
              </w:rPr>
              <w:t>49.282</w:t>
            </w:r>
          </w:p>
        </w:tc>
      </w:tr>
      <w:tr w:rsidR="00580FD1" w:rsidRPr="00546F98" w14:paraId="3E3BE290" w14:textId="77777777" w:rsidTr="00580FD1">
        <w:trPr>
          <w:trHeight w:val="235"/>
        </w:trPr>
        <w:tc>
          <w:tcPr>
            <w:tcW w:w="3969" w:type="dxa"/>
            <w:tcBorders>
              <w:top w:val="nil"/>
              <w:left w:val="single" w:sz="4" w:space="0" w:color="auto"/>
              <w:bottom w:val="single" w:sz="4" w:space="0" w:color="auto"/>
              <w:right w:val="single" w:sz="4" w:space="0" w:color="auto"/>
            </w:tcBorders>
            <w:shd w:val="clear" w:color="auto" w:fill="FFFFFF" w:themeFill="background1"/>
            <w:vAlign w:val="bottom"/>
            <w:hideMark/>
          </w:tcPr>
          <w:p w14:paraId="14A09298" w14:textId="77777777" w:rsidR="00580FD1" w:rsidRPr="00546F98" w:rsidRDefault="00580FD1" w:rsidP="00580FD1">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Rodados entregados en Leasing</w:t>
            </w:r>
          </w:p>
        </w:tc>
        <w:tc>
          <w:tcPr>
            <w:tcW w:w="2551" w:type="dxa"/>
            <w:tcBorders>
              <w:top w:val="nil"/>
              <w:left w:val="nil"/>
              <w:bottom w:val="single" w:sz="4" w:space="0" w:color="auto"/>
              <w:right w:val="single" w:sz="4" w:space="0" w:color="auto"/>
            </w:tcBorders>
            <w:shd w:val="clear" w:color="auto" w:fill="FFFFFF" w:themeFill="background1"/>
            <w:noWrap/>
            <w:vAlign w:val="bottom"/>
            <w:hideMark/>
          </w:tcPr>
          <w:p w14:paraId="6F248A76" w14:textId="77777777" w:rsidR="00580FD1" w:rsidRPr="00546F98" w:rsidRDefault="00580FD1" w:rsidP="00580FD1">
            <w:pPr>
              <w:rPr>
                <w:rFonts w:ascii="Arial" w:hAnsi="Arial" w:cs="Arial"/>
                <w:color w:val="000000"/>
                <w:sz w:val="16"/>
                <w:szCs w:val="18"/>
                <w:lang w:eastAsia="es-AR"/>
              </w:rPr>
            </w:pPr>
            <w:r w:rsidRPr="00546F98">
              <w:rPr>
                <w:rFonts w:ascii="Arial" w:hAnsi="Arial" w:cs="Arial"/>
                <w:color w:val="000000"/>
                <w:sz w:val="16"/>
                <w:szCs w:val="18"/>
                <w:lang w:eastAsia="es-AR"/>
              </w:rPr>
              <w:t>Todo riesgo</w:t>
            </w:r>
          </w:p>
        </w:tc>
        <w:tc>
          <w:tcPr>
            <w:tcW w:w="1134" w:type="dxa"/>
            <w:tcBorders>
              <w:top w:val="nil"/>
              <w:left w:val="nil"/>
              <w:bottom w:val="single" w:sz="4" w:space="0" w:color="auto"/>
              <w:right w:val="single" w:sz="4" w:space="0" w:color="auto"/>
            </w:tcBorders>
            <w:shd w:val="clear" w:color="auto" w:fill="FFFFFF" w:themeFill="background1"/>
            <w:noWrap/>
            <w:vAlign w:val="bottom"/>
          </w:tcPr>
          <w:p w14:paraId="67E0C860" w14:textId="158B659C" w:rsidR="00580FD1" w:rsidRPr="0023020F" w:rsidRDefault="00580FD1" w:rsidP="00580FD1">
            <w:pPr>
              <w:jc w:val="right"/>
              <w:rPr>
                <w:rFonts w:ascii="Arial" w:hAnsi="Arial" w:cs="Arial"/>
                <w:sz w:val="16"/>
                <w:szCs w:val="18"/>
                <w:lang w:eastAsia="es-AR"/>
              </w:rPr>
            </w:pPr>
            <w:r w:rsidRPr="0023020F">
              <w:rPr>
                <w:rFonts w:ascii="Arial" w:hAnsi="Arial" w:cs="Arial"/>
                <w:sz w:val="16"/>
                <w:szCs w:val="18"/>
                <w:lang w:eastAsia="es-AR"/>
              </w:rPr>
              <w:t>1.</w:t>
            </w:r>
            <w:r w:rsidR="00BD284D">
              <w:rPr>
                <w:rFonts w:ascii="Arial" w:hAnsi="Arial" w:cs="Arial"/>
                <w:sz w:val="16"/>
                <w:szCs w:val="18"/>
                <w:lang w:eastAsia="es-AR"/>
              </w:rPr>
              <w:t>413</w:t>
            </w:r>
            <w:r w:rsidRPr="0023020F">
              <w:rPr>
                <w:rFonts w:ascii="Arial" w:hAnsi="Arial" w:cs="Arial"/>
                <w:sz w:val="16"/>
                <w:szCs w:val="18"/>
                <w:lang w:eastAsia="es-AR"/>
              </w:rPr>
              <w:t>.</w:t>
            </w:r>
            <w:r w:rsidR="00BD284D">
              <w:rPr>
                <w:rFonts w:ascii="Arial" w:hAnsi="Arial" w:cs="Arial"/>
                <w:sz w:val="16"/>
                <w:szCs w:val="18"/>
                <w:lang w:eastAsia="es-AR"/>
              </w:rPr>
              <w:t>690</w:t>
            </w: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tcPr>
          <w:p w14:paraId="3574004A" w14:textId="4CB73FF7" w:rsidR="00580FD1" w:rsidRPr="00546F98" w:rsidRDefault="000D6205" w:rsidP="00580FD1">
            <w:pPr>
              <w:jc w:val="right"/>
              <w:rPr>
                <w:rFonts w:ascii="Arial" w:hAnsi="Arial" w:cs="Arial"/>
                <w:color w:val="000000"/>
                <w:sz w:val="16"/>
                <w:szCs w:val="18"/>
                <w:lang w:eastAsia="es-AR"/>
              </w:rPr>
            </w:pPr>
            <w:r>
              <w:rPr>
                <w:rFonts w:ascii="Arial" w:hAnsi="Arial" w:cs="Arial"/>
                <w:color w:val="000000"/>
                <w:sz w:val="16"/>
                <w:szCs w:val="18"/>
                <w:lang w:eastAsia="es-AR"/>
              </w:rPr>
              <w:t>3.268.741</w:t>
            </w:r>
          </w:p>
        </w:tc>
      </w:tr>
      <w:tr w:rsidR="00580FD1" w:rsidRPr="00546F98" w14:paraId="22E046F5" w14:textId="77777777" w:rsidTr="00580FD1">
        <w:trPr>
          <w:trHeight w:val="236"/>
        </w:trPr>
        <w:tc>
          <w:tcPr>
            <w:tcW w:w="3969" w:type="dxa"/>
            <w:tcBorders>
              <w:top w:val="nil"/>
              <w:left w:val="single" w:sz="4" w:space="0" w:color="auto"/>
              <w:bottom w:val="single" w:sz="4" w:space="0" w:color="auto"/>
              <w:right w:val="single" w:sz="4" w:space="0" w:color="auto"/>
            </w:tcBorders>
            <w:shd w:val="clear" w:color="auto" w:fill="auto"/>
            <w:vAlign w:val="bottom"/>
            <w:hideMark/>
          </w:tcPr>
          <w:p w14:paraId="1A6F7353" w14:textId="77777777" w:rsidR="00580FD1" w:rsidRPr="00546F98" w:rsidRDefault="00580FD1" w:rsidP="00580FD1">
            <w:pPr>
              <w:ind w:left="66" w:hanging="66"/>
              <w:rPr>
                <w:rFonts w:ascii="Arial" w:hAnsi="Arial" w:cs="Arial"/>
                <w:color w:val="000000"/>
                <w:sz w:val="16"/>
                <w:szCs w:val="18"/>
                <w:lang w:eastAsia="es-AR"/>
              </w:rPr>
            </w:pPr>
            <w:r w:rsidRPr="00546F98">
              <w:rPr>
                <w:rFonts w:ascii="Arial" w:hAnsi="Arial" w:cs="Arial"/>
                <w:color w:val="000000"/>
                <w:sz w:val="16"/>
                <w:szCs w:val="18"/>
                <w:lang w:eastAsia="es-AR"/>
              </w:rPr>
              <w:t>Maquinarias entregadas en Leasing</w:t>
            </w:r>
          </w:p>
        </w:tc>
        <w:tc>
          <w:tcPr>
            <w:tcW w:w="2551" w:type="dxa"/>
            <w:tcBorders>
              <w:top w:val="nil"/>
              <w:left w:val="nil"/>
              <w:bottom w:val="single" w:sz="4" w:space="0" w:color="auto"/>
              <w:right w:val="single" w:sz="4" w:space="0" w:color="auto"/>
            </w:tcBorders>
            <w:shd w:val="clear" w:color="auto" w:fill="auto"/>
            <w:noWrap/>
            <w:vAlign w:val="bottom"/>
            <w:hideMark/>
          </w:tcPr>
          <w:p w14:paraId="40A7F5CB" w14:textId="77777777" w:rsidR="00580FD1" w:rsidRPr="00546F98" w:rsidRDefault="00580FD1" w:rsidP="00580FD1">
            <w:pPr>
              <w:rPr>
                <w:rFonts w:ascii="Arial" w:hAnsi="Arial" w:cs="Arial"/>
                <w:color w:val="000000"/>
                <w:sz w:val="16"/>
                <w:szCs w:val="18"/>
                <w:lang w:eastAsia="es-AR"/>
              </w:rPr>
            </w:pPr>
            <w:r w:rsidRPr="00546F98">
              <w:rPr>
                <w:rFonts w:ascii="Arial" w:hAnsi="Arial" w:cs="Arial"/>
                <w:color w:val="000000"/>
                <w:sz w:val="16"/>
                <w:szCs w:val="18"/>
                <w:lang w:eastAsia="es-AR"/>
              </w:rPr>
              <w:t>Todo riesgo</w:t>
            </w:r>
          </w:p>
        </w:tc>
        <w:tc>
          <w:tcPr>
            <w:tcW w:w="1134" w:type="dxa"/>
            <w:tcBorders>
              <w:top w:val="nil"/>
              <w:left w:val="nil"/>
              <w:bottom w:val="single" w:sz="4" w:space="0" w:color="auto"/>
              <w:right w:val="single" w:sz="4" w:space="0" w:color="auto"/>
            </w:tcBorders>
            <w:shd w:val="clear" w:color="auto" w:fill="auto"/>
            <w:noWrap/>
            <w:vAlign w:val="bottom"/>
          </w:tcPr>
          <w:p w14:paraId="068D40E5" w14:textId="1FC5BCAF" w:rsidR="00580FD1" w:rsidRPr="0023020F" w:rsidRDefault="00580FD1" w:rsidP="00580FD1">
            <w:pPr>
              <w:jc w:val="right"/>
              <w:rPr>
                <w:rFonts w:ascii="Arial" w:hAnsi="Arial" w:cs="Arial"/>
                <w:sz w:val="16"/>
                <w:szCs w:val="18"/>
                <w:lang w:eastAsia="es-AR"/>
              </w:rPr>
            </w:pPr>
            <w:r w:rsidRPr="0023020F">
              <w:rPr>
                <w:rFonts w:ascii="Arial" w:hAnsi="Arial" w:cs="Arial"/>
                <w:sz w:val="16"/>
                <w:szCs w:val="18"/>
                <w:lang w:eastAsia="es-AR"/>
              </w:rPr>
              <w:t>2.</w:t>
            </w:r>
            <w:r w:rsidR="00BD284D">
              <w:rPr>
                <w:rFonts w:ascii="Arial" w:hAnsi="Arial" w:cs="Arial"/>
                <w:sz w:val="16"/>
                <w:szCs w:val="18"/>
                <w:lang w:eastAsia="es-AR"/>
              </w:rPr>
              <w:t>999</w:t>
            </w:r>
            <w:r w:rsidR="00720146" w:rsidRPr="0023020F">
              <w:rPr>
                <w:rFonts w:ascii="Arial" w:hAnsi="Arial" w:cs="Arial"/>
                <w:sz w:val="16"/>
                <w:szCs w:val="18"/>
                <w:lang w:eastAsia="es-AR"/>
              </w:rPr>
              <w:t>.</w:t>
            </w:r>
            <w:r w:rsidRPr="0023020F">
              <w:rPr>
                <w:rFonts w:ascii="Arial" w:hAnsi="Arial" w:cs="Arial"/>
                <w:sz w:val="16"/>
                <w:szCs w:val="18"/>
                <w:lang w:eastAsia="es-AR"/>
              </w:rPr>
              <w:t>248</w:t>
            </w:r>
          </w:p>
        </w:tc>
        <w:tc>
          <w:tcPr>
            <w:tcW w:w="1134" w:type="dxa"/>
            <w:vMerge/>
            <w:tcBorders>
              <w:top w:val="nil"/>
              <w:left w:val="single" w:sz="4" w:space="0" w:color="auto"/>
              <w:bottom w:val="single" w:sz="4" w:space="0" w:color="000000"/>
              <w:right w:val="single" w:sz="4" w:space="0" w:color="auto"/>
            </w:tcBorders>
            <w:vAlign w:val="center"/>
          </w:tcPr>
          <w:p w14:paraId="73FF43FD" w14:textId="77777777" w:rsidR="00580FD1" w:rsidRPr="00546F98" w:rsidRDefault="00580FD1" w:rsidP="00580FD1">
            <w:pPr>
              <w:rPr>
                <w:rFonts w:ascii="Arial" w:hAnsi="Arial" w:cs="Arial"/>
                <w:color w:val="000000"/>
                <w:sz w:val="16"/>
                <w:szCs w:val="18"/>
                <w:lang w:eastAsia="es-AR"/>
              </w:rPr>
            </w:pPr>
          </w:p>
        </w:tc>
      </w:tr>
    </w:tbl>
    <w:p w14:paraId="110EFD33" w14:textId="77777777" w:rsidR="00580FD1" w:rsidRPr="00234F83" w:rsidRDefault="00580FD1" w:rsidP="00580FD1">
      <w:pPr>
        <w:pStyle w:val="s14-99509"/>
        <w:tabs>
          <w:tab w:val="left" w:pos="1134"/>
        </w:tabs>
        <w:ind w:firstLine="993"/>
        <w:rPr>
          <w:color w:val="auto"/>
        </w:rPr>
      </w:pPr>
    </w:p>
    <w:p w14:paraId="071438FD" w14:textId="77777777" w:rsidR="00580FD1" w:rsidRPr="00234F83" w:rsidRDefault="00580FD1" w:rsidP="00580FD1">
      <w:pPr>
        <w:pStyle w:val="s14-99509"/>
        <w:tabs>
          <w:tab w:val="left" w:pos="1134"/>
        </w:tabs>
        <w:rPr>
          <w:color w:val="auto"/>
        </w:rPr>
      </w:pPr>
    </w:p>
    <w:p w14:paraId="2DDB02E0" w14:textId="77777777" w:rsidR="00580FD1" w:rsidRPr="00234F83" w:rsidRDefault="00580FD1" w:rsidP="00580FD1">
      <w:pPr>
        <w:pStyle w:val="s14-99509"/>
        <w:numPr>
          <w:ilvl w:val="0"/>
          <w:numId w:val="37"/>
        </w:numPr>
        <w:rPr>
          <w:i/>
          <w:iCs/>
          <w:color w:val="auto"/>
        </w:rPr>
      </w:pPr>
      <w:r w:rsidRPr="00234F83">
        <w:rPr>
          <w:i/>
          <w:iCs/>
          <w:color w:val="auto"/>
          <w:u w:val="single"/>
        </w:rPr>
        <w:t>Contingencias positivas y negativas</w:t>
      </w:r>
      <w:r>
        <w:rPr>
          <w:i/>
          <w:iCs/>
          <w:color w:val="auto"/>
        </w:rPr>
        <w:t>.</w:t>
      </w:r>
    </w:p>
    <w:p w14:paraId="460A115C" w14:textId="77777777" w:rsidR="00580FD1" w:rsidRPr="00234F83" w:rsidRDefault="00580FD1" w:rsidP="00580FD1">
      <w:pPr>
        <w:pStyle w:val="s14-99509"/>
        <w:ind w:left="1004" w:firstLine="0"/>
        <w:rPr>
          <w:color w:val="auto"/>
        </w:rPr>
      </w:pPr>
    </w:p>
    <w:p w14:paraId="0B48C2ED" w14:textId="77777777" w:rsidR="00580FD1" w:rsidRPr="00234F83" w:rsidRDefault="00580FD1" w:rsidP="00580FD1">
      <w:pPr>
        <w:pStyle w:val="s14-99509"/>
        <w:tabs>
          <w:tab w:val="left" w:pos="993"/>
        </w:tabs>
        <w:rPr>
          <w:i/>
          <w:iCs/>
          <w:color w:val="auto"/>
        </w:rPr>
      </w:pPr>
      <w:r w:rsidRPr="00234F83">
        <w:rPr>
          <w:i/>
          <w:iCs/>
          <w:color w:val="auto"/>
        </w:rPr>
        <w:t>a)         Elementos considerados para calcular las previsiones cuyos saldos, considerados</w:t>
      </w:r>
    </w:p>
    <w:p w14:paraId="016AC309" w14:textId="77777777" w:rsidR="00580FD1" w:rsidRPr="00234F83" w:rsidRDefault="00580FD1" w:rsidP="00580FD1">
      <w:pPr>
        <w:pStyle w:val="s14-99509"/>
        <w:tabs>
          <w:tab w:val="left" w:pos="993"/>
        </w:tabs>
        <w:rPr>
          <w:i/>
          <w:iCs/>
          <w:color w:val="auto"/>
        </w:rPr>
      </w:pPr>
      <w:r w:rsidRPr="00234F83">
        <w:rPr>
          <w:i/>
          <w:iCs/>
          <w:color w:val="auto"/>
        </w:rPr>
        <w:t xml:space="preserve">            individualmente o en conjunto, superen el dos por ciento (2%) del patrimonio.</w:t>
      </w:r>
    </w:p>
    <w:p w14:paraId="77C8E7F0" w14:textId="77777777" w:rsidR="00580FD1" w:rsidRPr="00234F83" w:rsidRDefault="00580FD1" w:rsidP="00580FD1">
      <w:pPr>
        <w:pStyle w:val="s14-99509"/>
        <w:tabs>
          <w:tab w:val="left" w:pos="993"/>
        </w:tabs>
        <w:rPr>
          <w:i/>
          <w:iCs/>
          <w:color w:val="auto"/>
        </w:rPr>
      </w:pPr>
    </w:p>
    <w:p w14:paraId="7176E0D1" w14:textId="138FCAFD" w:rsidR="00580FD1" w:rsidRPr="00234F83" w:rsidRDefault="00580FD1" w:rsidP="00580FD1">
      <w:pPr>
        <w:pStyle w:val="s14-99509"/>
        <w:tabs>
          <w:tab w:val="left" w:pos="993"/>
        </w:tabs>
        <w:ind w:left="993" w:firstLine="0"/>
        <w:rPr>
          <w:color w:val="auto"/>
        </w:rPr>
      </w:pPr>
      <w:r w:rsidRPr="00234F83">
        <w:rPr>
          <w:color w:val="auto"/>
        </w:rPr>
        <w:t>Las previsiones correspondientes al activo, a saber: Préstamos</w:t>
      </w:r>
      <w:r>
        <w:rPr>
          <w:color w:val="auto"/>
        </w:rPr>
        <w:t xml:space="preserve"> y otras financiaciones (las cuales incluyen Préstamos, </w:t>
      </w:r>
      <w:r w:rsidRPr="00234F83">
        <w:rPr>
          <w:color w:val="auto"/>
        </w:rPr>
        <w:t>Otros Créditos por Intermediación Financiera, Créditos por Arrendamiento y Créditos Diversos</w:t>
      </w:r>
      <w:r>
        <w:rPr>
          <w:color w:val="auto"/>
        </w:rPr>
        <w:t>)</w:t>
      </w:r>
      <w:r w:rsidRPr="00234F83">
        <w:rPr>
          <w:color w:val="auto"/>
        </w:rPr>
        <w:t>, se rigen por criterios es</w:t>
      </w:r>
      <w:r>
        <w:rPr>
          <w:color w:val="auto"/>
        </w:rPr>
        <w:t xml:space="preserve">tablecidos por normas del Banco </w:t>
      </w:r>
      <w:r w:rsidRPr="00234F83">
        <w:rPr>
          <w:color w:val="auto"/>
        </w:rPr>
        <w:t xml:space="preserve">Central los cuales se encuentran indicados en </w:t>
      </w:r>
      <w:r w:rsidRPr="00534414">
        <w:rPr>
          <w:color w:val="auto"/>
        </w:rPr>
        <w:t>Nota 1.11</w:t>
      </w:r>
      <w:r>
        <w:rPr>
          <w:color w:val="auto"/>
        </w:rPr>
        <w:t xml:space="preserve"> a los estados financieros separados al 31 de diciembre de 201</w:t>
      </w:r>
      <w:r w:rsidR="00E332C1">
        <w:rPr>
          <w:color w:val="auto"/>
        </w:rPr>
        <w:t>9</w:t>
      </w:r>
      <w:r>
        <w:rPr>
          <w:color w:val="auto"/>
        </w:rPr>
        <w:t xml:space="preserve"> y </w:t>
      </w:r>
      <w:r w:rsidRPr="00534414">
        <w:rPr>
          <w:color w:val="auto"/>
        </w:rPr>
        <w:t>Nota 1.13</w:t>
      </w:r>
      <w:r w:rsidRPr="00234F83">
        <w:rPr>
          <w:color w:val="auto"/>
        </w:rPr>
        <w:t xml:space="preserve"> a los estados </w:t>
      </w:r>
      <w:r>
        <w:rPr>
          <w:color w:val="auto"/>
        </w:rPr>
        <w:t>financieros consolidados al 31 de diciembre de 201</w:t>
      </w:r>
      <w:r w:rsidR="00E332C1">
        <w:rPr>
          <w:color w:val="auto"/>
        </w:rPr>
        <w:t>9</w:t>
      </w:r>
      <w:r w:rsidRPr="00234F83">
        <w:rPr>
          <w:color w:val="auto"/>
        </w:rPr>
        <w:t xml:space="preserve">. Las previsiones del pasivo han sido determinadas por el Directorio de la Entidad en función a la información recibida de sus asesores legales (ver </w:t>
      </w:r>
      <w:r w:rsidRPr="00534414">
        <w:rPr>
          <w:color w:val="auto"/>
        </w:rPr>
        <w:t>Nota 6</w:t>
      </w:r>
      <w:r>
        <w:rPr>
          <w:color w:val="auto"/>
        </w:rPr>
        <w:t xml:space="preserve"> a los </w:t>
      </w:r>
      <w:r w:rsidRPr="00234F83">
        <w:rPr>
          <w:color w:val="auto"/>
        </w:rPr>
        <w:t>estados</w:t>
      </w:r>
      <w:r>
        <w:rPr>
          <w:color w:val="auto"/>
        </w:rPr>
        <w:t xml:space="preserve"> financieros consolidados</w:t>
      </w:r>
      <w:r w:rsidRPr="00A9356D">
        <w:rPr>
          <w:color w:val="auto"/>
        </w:rPr>
        <w:t xml:space="preserve"> </w:t>
      </w:r>
      <w:r>
        <w:rPr>
          <w:color w:val="auto"/>
        </w:rPr>
        <w:t>y separados al 3</w:t>
      </w:r>
      <w:r w:rsidR="00E332C1">
        <w:rPr>
          <w:color w:val="auto"/>
        </w:rPr>
        <w:t>1</w:t>
      </w:r>
      <w:r>
        <w:rPr>
          <w:color w:val="auto"/>
        </w:rPr>
        <w:t xml:space="preserve"> de </w:t>
      </w:r>
      <w:r w:rsidR="00E332C1">
        <w:rPr>
          <w:color w:val="auto"/>
        </w:rPr>
        <w:t xml:space="preserve">diciembre </w:t>
      </w:r>
      <w:r>
        <w:rPr>
          <w:color w:val="auto"/>
        </w:rPr>
        <w:t>de 2019)</w:t>
      </w:r>
      <w:r w:rsidRPr="00234F83">
        <w:rPr>
          <w:color w:val="auto"/>
        </w:rPr>
        <w:t xml:space="preserve">. </w:t>
      </w:r>
    </w:p>
    <w:p w14:paraId="789B9640" w14:textId="77777777" w:rsidR="00580FD1" w:rsidRPr="00234F83" w:rsidRDefault="00580FD1" w:rsidP="00580FD1">
      <w:pPr>
        <w:pStyle w:val="s14-99509"/>
        <w:tabs>
          <w:tab w:val="left" w:pos="993"/>
        </w:tabs>
        <w:rPr>
          <w:color w:val="auto"/>
        </w:rPr>
      </w:pPr>
    </w:p>
    <w:p w14:paraId="03E01DD9" w14:textId="77777777" w:rsidR="00580FD1" w:rsidRDefault="00580FD1" w:rsidP="00580FD1">
      <w:pPr>
        <w:pStyle w:val="s14-99509"/>
        <w:tabs>
          <w:tab w:val="left" w:pos="426"/>
          <w:tab w:val="left" w:pos="993"/>
        </w:tabs>
        <w:ind w:left="993" w:hanging="709"/>
        <w:rPr>
          <w:i/>
          <w:iCs/>
          <w:color w:val="auto"/>
        </w:rPr>
      </w:pPr>
      <w:r w:rsidRPr="00234F83">
        <w:rPr>
          <w:i/>
          <w:iCs/>
          <w:color w:val="auto"/>
        </w:rPr>
        <w:t xml:space="preserve">b)    </w:t>
      </w:r>
      <w:r>
        <w:rPr>
          <w:i/>
          <w:iCs/>
          <w:color w:val="auto"/>
        </w:rPr>
        <w:t xml:space="preserve">   </w:t>
      </w:r>
      <w:r w:rsidRPr="00234F83">
        <w:rPr>
          <w:i/>
          <w:iCs/>
          <w:color w:val="auto"/>
        </w:rPr>
        <w:t xml:space="preserve">Situaciones contingentes a la fecha de los estados contables cuya probabilidad de ocurrencia no sea remota y cuyos efectos patrimoniales no hayan sido contabilizados, </w:t>
      </w:r>
    </w:p>
    <w:p w14:paraId="47E5C667" w14:textId="77777777" w:rsidR="00580FD1" w:rsidRDefault="00580FD1" w:rsidP="00580FD1">
      <w:pPr>
        <w:pStyle w:val="s14-99509"/>
        <w:tabs>
          <w:tab w:val="left" w:pos="426"/>
          <w:tab w:val="left" w:pos="993"/>
        </w:tabs>
        <w:ind w:left="993" w:hanging="709"/>
        <w:rPr>
          <w:i/>
          <w:iCs/>
          <w:color w:val="auto"/>
        </w:rPr>
      </w:pPr>
      <w:r>
        <w:rPr>
          <w:i/>
          <w:iCs/>
          <w:color w:val="auto"/>
        </w:rPr>
        <w:t xml:space="preserve">             </w:t>
      </w:r>
      <w:r w:rsidRPr="00234F83">
        <w:rPr>
          <w:i/>
          <w:iCs/>
          <w:color w:val="auto"/>
        </w:rPr>
        <w:t xml:space="preserve">indicándose si la falta de contabilización se basa en su probabilidad de concreción o en dificultades para la cuantificación de sus efectos.         </w:t>
      </w:r>
    </w:p>
    <w:p w14:paraId="54F93C93" w14:textId="77777777" w:rsidR="00580FD1" w:rsidRDefault="00580FD1" w:rsidP="00580FD1">
      <w:pPr>
        <w:pStyle w:val="s14-99509"/>
        <w:tabs>
          <w:tab w:val="left" w:pos="426"/>
          <w:tab w:val="left" w:pos="993"/>
        </w:tabs>
        <w:ind w:left="993" w:hanging="709"/>
        <w:rPr>
          <w:i/>
          <w:iCs/>
          <w:color w:val="auto"/>
        </w:rPr>
      </w:pPr>
      <w:r>
        <w:rPr>
          <w:i/>
          <w:iCs/>
          <w:color w:val="auto"/>
        </w:rPr>
        <w:t xml:space="preserve">         </w:t>
      </w:r>
      <w:r w:rsidRPr="00234F83">
        <w:rPr>
          <w:i/>
          <w:iCs/>
          <w:color w:val="auto"/>
        </w:rPr>
        <w:t xml:space="preserve">  </w:t>
      </w:r>
    </w:p>
    <w:p w14:paraId="7895C777" w14:textId="77777777" w:rsidR="00580FD1" w:rsidRPr="00234F83" w:rsidRDefault="00580FD1" w:rsidP="00580FD1">
      <w:pPr>
        <w:pStyle w:val="s14-99509"/>
        <w:tabs>
          <w:tab w:val="left" w:pos="426"/>
          <w:tab w:val="left" w:pos="993"/>
        </w:tabs>
        <w:ind w:left="993" w:hanging="709"/>
        <w:rPr>
          <w:iCs/>
          <w:color w:val="auto"/>
        </w:rPr>
      </w:pPr>
      <w:r>
        <w:rPr>
          <w:i/>
          <w:iCs/>
          <w:color w:val="auto"/>
        </w:rPr>
        <w:t xml:space="preserve">             </w:t>
      </w:r>
      <w:r w:rsidRPr="00234F83">
        <w:rPr>
          <w:iCs/>
          <w:color w:val="auto"/>
        </w:rPr>
        <w:t xml:space="preserve">La Entidad ha contemplado todas las situaciones contingentes y las mismas se </w:t>
      </w:r>
      <w:r>
        <w:rPr>
          <w:iCs/>
          <w:color w:val="auto"/>
        </w:rPr>
        <w:t xml:space="preserve">  </w:t>
      </w:r>
      <w:r w:rsidRPr="00234F83">
        <w:rPr>
          <w:iCs/>
          <w:color w:val="auto"/>
        </w:rPr>
        <w:t>encuentran contabilizadas.  La Entidad considera que no hay situaciones contingentes</w:t>
      </w:r>
      <w:r>
        <w:rPr>
          <w:iCs/>
          <w:color w:val="auto"/>
        </w:rPr>
        <w:t xml:space="preserve"> </w:t>
      </w:r>
      <w:r w:rsidRPr="00234F83">
        <w:rPr>
          <w:iCs/>
          <w:color w:val="auto"/>
        </w:rPr>
        <w:t>cuya probabilidad de ocurrencia no sea remota y cuyos efectos n</w:t>
      </w:r>
      <w:r>
        <w:rPr>
          <w:iCs/>
          <w:color w:val="auto"/>
        </w:rPr>
        <w:t xml:space="preserve">o hayan sido </w:t>
      </w:r>
      <w:r w:rsidRPr="00234F83">
        <w:rPr>
          <w:iCs/>
          <w:color w:val="auto"/>
        </w:rPr>
        <w:t xml:space="preserve">contabilizados.  </w:t>
      </w:r>
    </w:p>
    <w:p w14:paraId="251207EF" w14:textId="77777777" w:rsidR="00580FD1" w:rsidRPr="00234F83" w:rsidRDefault="00580FD1" w:rsidP="00580FD1">
      <w:pPr>
        <w:pStyle w:val="s14-99509"/>
        <w:tabs>
          <w:tab w:val="left" w:pos="426"/>
          <w:tab w:val="left" w:pos="993"/>
        </w:tabs>
        <w:ind w:left="993" w:hanging="709"/>
        <w:rPr>
          <w:i/>
          <w:iCs/>
          <w:color w:val="auto"/>
        </w:rPr>
      </w:pPr>
    </w:p>
    <w:p w14:paraId="3FC71E49" w14:textId="77777777" w:rsidR="00580FD1" w:rsidRPr="00234F83" w:rsidRDefault="00580FD1" w:rsidP="00580FD1">
      <w:pPr>
        <w:pStyle w:val="s14-99509"/>
        <w:numPr>
          <w:ilvl w:val="0"/>
          <w:numId w:val="37"/>
        </w:numPr>
        <w:tabs>
          <w:tab w:val="left" w:pos="426"/>
          <w:tab w:val="left" w:pos="993"/>
        </w:tabs>
        <w:rPr>
          <w:iCs/>
          <w:color w:val="auto"/>
        </w:rPr>
      </w:pPr>
      <w:r w:rsidRPr="00234F83">
        <w:rPr>
          <w:iCs/>
          <w:color w:val="auto"/>
          <w:u w:val="single"/>
        </w:rPr>
        <w:t>Adelantos irrevocables a cuenta de futuras suscripciones</w:t>
      </w:r>
      <w:r>
        <w:rPr>
          <w:iCs/>
          <w:color w:val="auto"/>
        </w:rPr>
        <w:t>.</w:t>
      </w:r>
    </w:p>
    <w:p w14:paraId="54E1B4C7" w14:textId="77777777" w:rsidR="00580FD1" w:rsidRPr="00234F83" w:rsidRDefault="00580FD1" w:rsidP="00580FD1">
      <w:pPr>
        <w:pStyle w:val="s14-99509"/>
        <w:tabs>
          <w:tab w:val="left" w:pos="426"/>
          <w:tab w:val="left" w:pos="993"/>
        </w:tabs>
        <w:ind w:left="1004" w:firstLine="0"/>
        <w:rPr>
          <w:color w:val="auto"/>
        </w:rPr>
      </w:pPr>
    </w:p>
    <w:p w14:paraId="71E12376" w14:textId="77777777" w:rsidR="00580FD1" w:rsidRPr="00234F83" w:rsidRDefault="00580FD1" w:rsidP="00580FD1">
      <w:pPr>
        <w:pStyle w:val="s14-99509"/>
        <w:tabs>
          <w:tab w:val="left" w:pos="993"/>
        </w:tabs>
        <w:rPr>
          <w:i/>
          <w:iCs/>
          <w:color w:val="auto"/>
        </w:rPr>
      </w:pPr>
      <w:r>
        <w:rPr>
          <w:i/>
          <w:iCs/>
          <w:color w:val="auto"/>
        </w:rPr>
        <w:t xml:space="preserve">           </w:t>
      </w:r>
      <w:r w:rsidRPr="00234F83">
        <w:rPr>
          <w:i/>
          <w:iCs/>
          <w:color w:val="auto"/>
        </w:rPr>
        <w:t>Estado de la tramitación dirigida a su capitalización</w:t>
      </w:r>
      <w:r>
        <w:rPr>
          <w:i/>
          <w:iCs/>
          <w:color w:val="auto"/>
        </w:rPr>
        <w:t>:</w:t>
      </w:r>
    </w:p>
    <w:p w14:paraId="651A58A8" w14:textId="77777777" w:rsidR="00580FD1" w:rsidRPr="00234F83" w:rsidRDefault="00580FD1" w:rsidP="00580FD1">
      <w:pPr>
        <w:pStyle w:val="s14-99509"/>
        <w:rPr>
          <w:i/>
          <w:iCs/>
          <w:color w:val="auto"/>
        </w:rPr>
      </w:pPr>
    </w:p>
    <w:p w14:paraId="3EC8095C" w14:textId="69F8AD4C" w:rsidR="00580FD1" w:rsidRDefault="00580FD1" w:rsidP="00580FD1">
      <w:pPr>
        <w:pStyle w:val="s14-99509"/>
        <w:tabs>
          <w:tab w:val="left" w:pos="993"/>
          <w:tab w:val="left" w:pos="1843"/>
        </w:tabs>
        <w:ind w:left="850" w:firstLine="0"/>
        <w:rPr>
          <w:iCs/>
          <w:color w:val="auto"/>
        </w:rPr>
      </w:pPr>
      <w:r>
        <w:rPr>
          <w:iCs/>
          <w:color w:val="auto"/>
        </w:rPr>
        <w:t>Al 3</w:t>
      </w:r>
      <w:r w:rsidR="000C3676">
        <w:rPr>
          <w:iCs/>
          <w:color w:val="auto"/>
        </w:rPr>
        <w:t>1</w:t>
      </w:r>
      <w:r>
        <w:rPr>
          <w:iCs/>
          <w:color w:val="auto"/>
        </w:rPr>
        <w:t xml:space="preserve"> de </w:t>
      </w:r>
      <w:r w:rsidR="000C3676">
        <w:rPr>
          <w:iCs/>
          <w:color w:val="auto"/>
        </w:rPr>
        <w:t>diciembre</w:t>
      </w:r>
      <w:r>
        <w:rPr>
          <w:iCs/>
          <w:color w:val="auto"/>
        </w:rPr>
        <w:t xml:space="preserve"> de 2019 no existen aportes irrevocables a cuenta de futuras    suscripciones de capital pendientes de capitalización.</w:t>
      </w:r>
    </w:p>
    <w:p w14:paraId="1B1BF095" w14:textId="77777777" w:rsidR="00580FD1" w:rsidRPr="00234F83" w:rsidRDefault="00580FD1" w:rsidP="00580FD1">
      <w:pPr>
        <w:pStyle w:val="s14-99509"/>
        <w:rPr>
          <w:color w:val="auto"/>
        </w:rPr>
      </w:pPr>
    </w:p>
    <w:p w14:paraId="19E935A9" w14:textId="77777777" w:rsidR="00580FD1" w:rsidRPr="00234F83" w:rsidRDefault="00580FD1" w:rsidP="00580FD1">
      <w:pPr>
        <w:pStyle w:val="s14-99509"/>
        <w:tabs>
          <w:tab w:val="left" w:pos="851"/>
          <w:tab w:val="left" w:pos="1134"/>
        </w:tabs>
        <w:rPr>
          <w:i/>
          <w:iCs/>
          <w:color w:val="auto"/>
        </w:rPr>
      </w:pPr>
      <w:r w:rsidRPr="00234F83">
        <w:rPr>
          <w:iCs/>
          <w:color w:val="auto"/>
        </w:rPr>
        <w:t>12.</w:t>
      </w:r>
      <w:r w:rsidRPr="00234F83">
        <w:rPr>
          <w:i/>
          <w:iCs/>
          <w:color w:val="auto"/>
        </w:rPr>
        <w:t xml:space="preserve">        Dividendos acumulativos impagos de acciones preferidas.</w:t>
      </w:r>
    </w:p>
    <w:p w14:paraId="22BC4A58" w14:textId="77777777" w:rsidR="00580FD1" w:rsidRPr="00234F83" w:rsidRDefault="00580FD1" w:rsidP="00580FD1">
      <w:pPr>
        <w:pStyle w:val="s14-99509"/>
        <w:rPr>
          <w:i/>
          <w:iCs/>
          <w:color w:val="auto"/>
        </w:rPr>
      </w:pPr>
    </w:p>
    <w:p w14:paraId="2C7CE36B" w14:textId="77777777" w:rsidR="00580FD1" w:rsidRPr="00234F83" w:rsidRDefault="00580FD1" w:rsidP="00580FD1">
      <w:pPr>
        <w:pStyle w:val="s14-99509"/>
        <w:rPr>
          <w:color w:val="auto"/>
        </w:rPr>
      </w:pPr>
      <w:r w:rsidRPr="00234F83">
        <w:rPr>
          <w:color w:val="auto"/>
        </w:rPr>
        <w:t xml:space="preserve">             La Entidad no posee dividendos acumulativos impagos de acciones preferidas.</w:t>
      </w:r>
    </w:p>
    <w:p w14:paraId="4E2D445B" w14:textId="77777777" w:rsidR="00580FD1" w:rsidRPr="00234F83" w:rsidRDefault="00580FD1" w:rsidP="00580FD1">
      <w:pPr>
        <w:pStyle w:val="s14-99509"/>
        <w:rPr>
          <w:color w:val="auto"/>
        </w:rPr>
      </w:pPr>
    </w:p>
    <w:p w14:paraId="39A431A6" w14:textId="77777777" w:rsidR="00580FD1" w:rsidRPr="00C15F3C" w:rsidRDefault="00580FD1" w:rsidP="00580FD1">
      <w:pPr>
        <w:pStyle w:val="s14-99509"/>
        <w:tabs>
          <w:tab w:val="left" w:pos="993"/>
        </w:tabs>
        <w:rPr>
          <w:i/>
          <w:iCs/>
          <w:color w:val="auto"/>
        </w:rPr>
      </w:pPr>
      <w:r w:rsidRPr="00234F83">
        <w:rPr>
          <w:iCs/>
          <w:color w:val="auto"/>
        </w:rPr>
        <w:t>13.</w:t>
      </w:r>
      <w:r w:rsidRPr="00C15F3C">
        <w:rPr>
          <w:iCs/>
          <w:color w:val="auto"/>
        </w:rPr>
        <w:t xml:space="preserve">        </w:t>
      </w:r>
      <w:r w:rsidRPr="00C15F3C">
        <w:rPr>
          <w:i/>
          <w:iCs/>
          <w:color w:val="auto"/>
        </w:rPr>
        <w:t xml:space="preserve">Condiciones, circunstancias o plazos para la cesación de las restricciones a la  </w:t>
      </w:r>
    </w:p>
    <w:p w14:paraId="6B1177EE" w14:textId="77777777" w:rsidR="00580FD1" w:rsidRPr="00C15F3C" w:rsidRDefault="00580FD1" w:rsidP="00580FD1">
      <w:pPr>
        <w:pStyle w:val="s14-99509"/>
        <w:tabs>
          <w:tab w:val="left" w:pos="993"/>
        </w:tabs>
        <w:rPr>
          <w:i/>
          <w:iCs/>
          <w:color w:val="auto"/>
        </w:rPr>
      </w:pPr>
      <w:r w:rsidRPr="00C15F3C">
        <w:rPr>
          <w:i/>
          <w:iCs/>
          <w:color w:val="auto"/>
        </w:rPr>
        <w:t xml:space="preserve">             distribución de los resultados no asignados, incluyendo las que se originan por la  </w:t>
      </w:r>
    </w:p>
    <w:p w14:paraId="1832E25F" w14:textId="77777777" w:rsidR="00580FD1" w:rsidRPr="00C15F3C" w:rsidRDefault="00580FD1" w:rsidP="00580FD1">
      <w:pPr>
        <w:pStyle w:val="s14-99509"/>
        <w:ind w:left="993" w:firstLine="0"/>
        <w:rPr>
          <w:i/>
          <w:iCs/>
          <w:color w:val="auto"/>
        </w:rPr>
      </w:pPr>
      <w:r w:rsidRPr="00C15F3C">
        <w:rPr>
          <w:i/>
          <w:iCs/>
          <w:color w:val="auto"/>
        </w:rPr>
        <w:t>afectación de la reserva legal para absorber pérdidas finales y aún están    pendientes de reintegro.</w:t>
      </w:r>
    </w:p>
    <w:p w14:paraId="73230231" w14:textId="77777777" w:rsidR="00580FD1" w:rsidRPr="00234F83" w:rsidRDefault="00580FD1" w:rsidP="00580FD1">
      <w:pPr>
        <w:pStyle w:val="s14-99509"/>
        <w:jc w:val="left"/>
        <w:rPr>
          <w:iCs/>
          <w:color w:val="auto"/>
        </w:rPr>
      </w:pPr>
      <w:r w:rsidRPr="00C15F3C">
        <w:rPr>
          <w:i/>
          <w:iCs/>
          <w:color w:val="auto"/>
        </w:rPr>
        <w:t xml:space="preserve">        </w:t>
      </w:r>
      <w:r>
        <w:rPr>
          <w:i/>
          <w:iCs/>
          <w:color w:val="auto"/>
        </w:rPr>
        <w:t xml:space="preserve">        </w:t>
      </w:r>
    </w:p>
    <w:p w14:paraId="1404F9D8" w14:textId="3DB6DDE4" w:rsidR="00A849AE" w:rsidRPr="00AB113D" w:rsidRDefault="00580FD1" w:rsidP="00580FD1">
      <w:pPr>
        <w:pStyle w:val="s14-99509"/>
        <w:tabs>
          <w:tab w:val="left" w:pos="851"/>
        </w:tabs>
        <w:ind w:firstLine="0"/>
        <w:rPr>
          <w:iCs/>
          <w:color w:val="auto"/>
        </w:rPr>
      </w:pPr>
      <w:r w:rsidRPr="00234F83">
        <w:rPr>
          <w:iCs/>
          <w:color w:val="auto"/>
        </w:rPr>
        <w:t xml:space="preserve">En </w:t>
      </w:r>
      <w:r w:rsidRPr="00190BFF">
        <w:rPr>
          <w:iCs/>
          <w:color w:val="auto"/>
        </w:rPr>
        <w:t xml:space="preserve">Nota </w:t>
      </w:r>
      <w:r w:rsidR="00190BFF">
        <w:rPr>
          <w:iCs/>
          <w:color w:val="auto"/>
        </w:rPr>
        <w:t>14</w:t>
      </w:r>
      <w:r w:rsidRPr="006E1AF7">
        <w:rPr>
          <w:iCs/>
          <w:color w:val="auto"/>
        </w:rPr>
        <w:t>.9</w:t>
      </w:r>
      <w:r>
        <w:rPr>
          <w:iCs/>
          <w:color w:val="auto"/>
        </w:rPr>
        <w:t xml:space="preserve"> a los estados financieros consolidados y separados al 3</w:t>
      </w:r>
      <w:r w:rsidR="000C3676">
        <w:rPr>
          <w:iCs/>
          <w:color w:val="auto"/>
        </w:rPr>
        <w:t>1</w:t>
      </w:r>
      <w:r>
        <w:rPr>
          <w:iCs/>
          <w:color w:val="auto"/>
        </w:rPr>
        <w:t xml:space="preserve"> de </w:t>
      </w:r>
      <w:r w:rsidR="000C3676">
        <w:rPr>
          <w:iCs/>
          <w:color w:val="auto"/>
        </w:rPr>
        <w:t>diciembre</w:t>
      </w:r>
      <w:r>
        <w:rPr>
          <w:iCs/>
          <w:color w:val="auto"/>
        </w:rPr>
        <w:t xml:space="preserve"> de 2019 </w:t>
      </w:r>
      <w:r w:rsidRPr="00234F83">
        <w:rPr>
          <w:iCs/>
          <w:color w:val="auto"/>
        </w:rPr>
        <w:t>se exponen las restricciones normativas dispuestas por el Banco Central relativas a la distribución de resultados no asignados.</w:t>
      </w:r>
    </w:p>
    <w:sectPr w:rsidR="00A849AE" w:rsidRPr="00AB113D" w:rsidSect="0056039F">
      <w:headerReference w:type="default" r:id="rId74"/>
      <w:pgSz w:w="11907" w:h="16840" w:code="9"/>
      <w:pgMar w:top="1417" w:right="1701" w:bottom="1417" w:left="1701" w:header="567"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7EBB3" w14:textId="77777777" w:rsidR="00CD449E" w:rsidRDefault="00CD449E">
      <w:pPr>
        <w:rPr>
          <w:sz w:val="23"/>
          <w:szCs w:val="23"/>
        </w:rPr>
      </w:pPr>
      <w:r>
        <w:rPr>
          <w:sz w:val="23"/>
          <w:szCs w:val="23"/>
        </w:rPr>
        <w:separator/>
      </w:r>
    </w:p>
  </w:endnote>
  <w:endnote w:type="continuationSeparator" w:id="0">
    <w:p w14:paraId="4F0FEFE8" w14:textId="77777777" w:rsidR="00CD449E" w:rsidRDefault="00CD449E">
      <w:pPr>
        <w:rPr>
          <w:sz w:val="23"/>
          <w:szCs w:val="23"/>
        </w:rPr>
      </w:pPr>
      <w:r>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68" w:type="pct"/>
      <w:tblCellMar>
        <w:left w:w="70" w:type="dxa"/>
        <w:right w:w="70" w:type="dxa"/>
      </w:tblCellMar>
      <w:tblLook w:val="04A0" w:firstRow="1" w:lastRow="0" w:firstColumn="1" w:lastColumn="0" w:noHBand="0" w:noVBand="1"/>
    </w:tblPr>
    <w:tblGrid>
      <w:gridCol w:w="2798"/>
      <w:gridCol w:w="1083"/>
      <w:gridCol w:w="1566"/>
      <w:gridCol w:w="707"/>
      <w:gridCol w:w="2684"/>
      <w:gridCol w:w="616"/>
    </w:tblGrid>
    <w:tr w:rsidR="00CD449E" w:rsidRPr="00DA23BA" w14:paraId="18FA4E47" w14:textId="77777777" w:rsidTr="00CC7B81">
      <w:trPr>
        <w:trHeight w:val="180"/>
      </w:trPr>
      <w:tc>
        <w:tcPr>
          <w:tcW w:w="1483" w:type="pct"/>
          <w:tcBorders>
            <w:top w:val="nil"/>
            <w:left w:val="nil"/>
            <w:bottom w:val="nil"/>
            <w:right w:val="nil"/>
          </w:tcBorders>
          <w:shd w:val="clear" w:color="auto" w:fill="auto"/>
          <w:noWrap/>
          <w:vAlign w:val="bottom"/>
        </w:tcPr>
        <w:p w14:paraId="692C4915" w14:textId="77777777" w:rsidR="00CD449E" w:rsidRPr="00DA23BA" w:rsidRDefault="00CD449E" w:rsidP="00CC7B81">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62FCA1EA" w14:textId="77777777" w:rsidR="00CD449E" w:rsidRPr="00DA23BA" w:rsidRDefault="00CD449E" w:rsidP="00CC7B81">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10DC6E72" w14:textId="77777777" w:rsidR="00CD449E" w:rsidRPr="00DA23BA" w:rsidRDefault="00CD449E" w:rsidP="00CC7B81">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7385B61F" w14:textId="77777777" w:rsidR="00CD449E" w:rsidRPr="00DA23BA" w:rsidRDefault="00CD449E" w:rsidP="00CC7B81">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6BA8B1A1" w14:textId="77777777" w:rsidR="00CD449E" w:rsidRPr="00DA23BA" w:rsidRDefault="00CD449E" w:rsidP="00CC7B8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41B35CC2" w14:textId="77777777" w:rsidR="00CD449E" w:rsidRPr="00DA23BA" w:rsidRDefault="00CD449E" w:rsidP="00CC7B81">
          <w:pPr>
            <w:jc w:val="center"/>
            <w:rPr>
              <w:rFonts w:ascii="Arial" w:hAnsi="Arial" w:cs="Arial"/>
              <w:color w:val="000000"/>
              <w:sz w:val="15"/>
              <w:szCs w:val="15"/>
              <w:lang w:eastAsia="es-AR"/>
            </w:rPr>
          </w:pPr>
        </w:p>
      </w:tc>
    </w:tr>
    <w:tr w:rsidR="00CD449E" w:rsidRPr="00DA23BA" w14:paraId="7F05E75A" w14:textId="77777777" w:rsidTr="00CC7B81">
      <w:trPr>
        <w:trHeight w:val="180"/>
      </w:trPr>
      <w:tc>
        <w:tcPr>
          <w:tcW w:w="1483" w:type="pct"/>
          <w:tcBorders>
            <w:top w:val="nil"/>
            <w:left w:val="nil"/>
            <w:bottom w:val="nil"/>
            <w:right w:val="nil"/>
          </w:tcBorders>
          <w:shd w:val="clear" w:color="auto" w:fill="auto"/>
          <w:noWrap/>
          <w:vAlign w:val="bottom"/>
        </w:tcPr>
        <w:p w14:paraId="5599BE6D" w14:textId="77777777" w:rsidR="00CD449E" w:rsidRPr="00DA23BA" w:rsidRDefault="00CD449E" w:rsidP="00CC7B81">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062B4420" w14:textId="77777777" w:rsidR="00CD449E" w:rsidRPr="00DA23BA" w:rsidRDefault="00CD449E" w:rsidP="00CC7B81">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44E14203" w14:textId="77777777" w:rsidR="00CD449E" w:rsidRPr="00DA23BA" w:rsidRDefault="00CD449E" w:rsidP="00CC7B81">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10AE4462" w14:textId="77777777" w:rsidR="00CD449E" w:rsidRPr="00DA23BA" w:rsidRDefault="00CD449E" w:rsidP="00CC7B81">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08822E89" w14:textId="77777777" w:rsidR="00CD449E" w:rsidRPr="00DA23BA" w:rsidRDefault="00CD449E" w:rsidP="00CC7B8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053FE376" w14:textId="77777777" w:rsidR="00CD449E" w:rsidRPr="00DA23BA" w:rsidRDefault="00CD449E" w:rsidP="00CC7B81">
          <w:pPr>
            <w:jc w:val="center"/>
            <w:rPr>
              <w:rFonts w:ascii="Arial" w:hAnsi="Arial" w:cs="Arial"/>
              <w:color w:val="000000"/>
              <w:sz w:val="15"/>
              <w:szCs w:val="15"/>
              <w:lang w:eastAsia="es-AR"/>
            </w:rPr>
          </w:pPr>
        </w:p>
      </w:tc>
    </w:tr>
    <w:tr w:rsidR="00CD449E" w:rsidRPr="00DA23BA" w14:paraId="7456BD26" w14:textId="77777777" w:rsidTr="00CC7B81">
      <w:trPr>
        <w:trHeight w:val="180"/>
      </w:trPr>
      <w:tc>
        <w:tcPr>
          <w:tcW w:w="1483" w:type="pct"/>
          <w:tcBorders>
            <w:top w:val="nil"/>
            <w:left w:val="nil"/>
            <w:bottom w:val="nil"/>
            <w:right w:val="nil"/>
          </w:tcBorders>
          <w:shd w:val="clear" w:color="auto" w:fill="auto"/>
          <w:noWrap/>
          <w:vAlign w:val="bottom"/>
        </w:tcPr>
        <w:p w14:paraId="20895E75" w14:textId="77777777" w:rsidR="00CD449E" w:rsidRPr="00DA23BA" w:rsidRDefault="00CD449E" w:rsidP="00CC7B81">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50F98499" w14:textId="77777777" w:rsidR="00CD449E" w:rsidRPr="00DA23BA" w:rsidRDefault="00CD449E" w:rsidP="00CC7B81">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F60B01C" w14:textId="77777777" w:rsidR="00CD449E" w:rsidRPr="00DA23BA" w:rsidRDefault="00CD449E" w:rsidP="00CC7B81">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0B50E370" w14:textId="77777777" w:rsidR="00CD449E" w:rsidRPr="00DA23BA" w:rsidRDefault="00CD449E" w:rsidP="00CC7B81">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3931FB2E" w14:textId="77777777" w:rsidR="00CD449E" w:rsidRPr="00DA23BA" w:rsidRDefault="00CD449E" w:rsidP="00CC7B8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4D7DF617" w14:textId="77777777" w:rsidR="00CD449E" w:rsidRPr="00DA23BA" w:rsidRDefault="00CD449E" w:rsidP="00CC7B81">
          <w:pPr>
            <w:jc w:val="center"/>
            <w:rPr>
              <w:rFonts w:ascii="Arial" w:hAnsi="Arial" w:cs="Arial"/>
              <w:color w:val="000000"/>
              <w:sz w:val="15"/>
              <w:szCs w:val="15"/>
              <w:lang w:eastAsia="es-AR"/>
            </w:rPr>
          </w:pPr>
        </w:p>
      </w:tc>
    </w:tr>
    <w:tr w:rsidR="00CD449E" w:rsidRPr="00DA23BA" w14:paraId="3575B9F6" w14:textId="77777777" w:rsidTr="00CC7B81">
      <w:trPr>
        <w:trHeight w:val="180"/>
      </w:trPr>
      <w:tc>
        <w:tcPr>
          <w:tcW w:w="1483" w:type="pct"/>
          <w:tcBorders>
            <w:top w:val="nil"/>
            <w:left w:val="nil"/>
            <w:bottom w:val="nil"/>
            <w:right w:val="nil"/>
          </w:tcBorders>
          <w:shd w:val="clear" w:color="auto" w:fill="auto"/>
          <w:noWrap/>
          <w:vAlign w:val="bottom"/>
        </w:tcPr>
        <w:p w14:paraId="3EA3511E" w14:textId="77777777" w:rsidR="00CD449E" w:rsidRPr="00DA23BA" w:rsidRDefault="00CD449E" w:rsidP="00205B29">
          <w:pPr>
            <w:jc w:val="center"/>
            <w:rPr>
              <w:rFonts w:ascii="Arial" w:hAnsi="Arial" w:cs="Arial"/>
              <w:sz w:val="15"/>
              <w:szCs w:val="15"/>
              <w:lang w:eastAsia="es-AR"/>
            </w:rPr>
          </w:pPr>
          <w:r>
            <w:rPr>
              <w:rFonts w:ascii="Arial" w:hAnsi="Arial" w:cs="Arial"/>
              <w:sz w:val="15"/>
              <w:szCs w:val="15"/>
              <w:lang w:eastAsia="es-AR"/>
            </w:rPr>
            <w:t>Mariano Andrés Biglia</w:t>
          </w:r>
        </w:p>
      </w:tc>
      <w:tc>
        <w:tcPr>
          <w:tcW w:w="576" w:type="pct"/>
          <w:tcBorders>
            <w:top w:val="nil"/>
            <w:left w:val="nil"/>
            <w:bottom w:val="nil"/>
            <w:right w:val="nil"/>
          </w:tcBorders>
          <w:shd w:val="clear" w:color="auto" w:fill="auto"/>
          <w:noWrap/>
          <w:vAlign w:val="bottom"/>
        </w:tcPr>
        <w:p w14:paraId="1A6BBE8C"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3279C1C0" w14:textId="135F76BA" w:rsidR="00CD449E" w:rsidRPr="00DA23BA" w:rsidRDefault="00CD449E" w:rsidP="00205B29">
          <w:pPr>
            <w:jc w:val="center"/>
            <w:rPr>
              <w:rFonts w:ascii="Arial" w:hAnsi="Arial" w:cs="Arial"/>
              <w:sz w:val="15"/>
              <w:szCs w:val="15"/>
              <w:lang w:eastAsia="es-AR"/>
            </w:rPr>
          </w:pPr>
          <w:r>
            <w:rPr>
              <w:rFonts w:ascii="Arial" w:hAnsi="Arial" w:cs="Arial"/>
              <w:sz w:val="15"/>
              <w:szCs w:val="15"/>
            </w:rPr>
            <w:t>Jorge Oscar Ramírez</w:t>
          </w:r>
        </w:p>
      </w:tc>
      <w:tc>
        <w:tcPr>
          <w:tcW w:w="377" w:type="pct"/>
          <w:tcBorders>
            <w:top w:val="nil"/>
            <w:left w:val="nil"/>
            <w:bottom w:val="nil"/>
            <w:right w:val="nil"/>
          </w:tcBorders>
          <w:shd w:val="clear" w:color="auto" w:fill="auto"/>
          <w:noWrap/>
          <w:vAlign w:val="bottom"/>
        </w:tcPr>
        <w:p w14:paraId="040AA1C5"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26ECACD4" w14:textId="776FDA80" w:rsidR="00CD449E" w:rsidRPr="00662E02" w:rsidRDefault="00CD449E" w:rsidP="00205B29">
          <w:pPr>
            <w:ind w:left="-26" w:firstLine="26"/>
            <w:jc w:val="center"/>
            <w:rPr>
              <w:rFonts w:ascii="Arial" w:hAnsi="Arial" w:cs="Arial"/>
              <w:sz w:val="15"/>
              <w:szCs w:val="15"/>
              <w:lang w:eastAsia="es-AR"/>
            </w:rPr>
          </w:pPr>
          <w:r w:rsidRPr="00525F7E">
            <w:rPr>
              <w:rFonts w:ascii="Arial" w:hAnsi="Arial" w:cs="Arial"/>
              <w:sz w:val="15"/>
              <w:szCs w:val="15"/>
              <w:lang w:eastAsia="es-AR"/>
            </w:rPr>
            <w:t>Atilio María Dell Oro Maini</w:t>
          </w:r>
        </w:p>
      </w:tc>
      <w:tc>
        <w:tcPr>
          <w:tcW w:w="326" w:type="pct"/>
          <w:tcBorders>
            <w:top w:val="nil"/>
            <w:left w:val="nil"/>
            <w:bottom w:val="nil"/>
            <w:right w:val="nil"/>
          </w:tcBorders>
          <w:shd w:val="clear" w:color="auto" w:fill="auto"/>
          <w:noWrap/>
          <w:vAlign w:val="bottom"/>
        </w:tcPr>
        <w:p w14:paraId="60AF0593" w14:textId="77777777" w:rsidR="00CD449E" w:rsidRPr="00DA23BA" w:rsidRDefault="00CD449E" w:rsidP="00205B29">
          <w:pPr>
            <w:jc w:val="center"/>
            <w:rPr>
              <w:rFonts w:ascii="Arial" w:hAnsi="Arial" w:cs="Arial"/>
              <w:color w:val="000000"/>
              <w:sz w:val="15"/>
              <w:szCs w:val="15"/>
              <w:lang w:eastAsia="es-AR"/>
            </w:rPr>
          </w:pPr>
        </w:p>
      </w:tc>
    </w:tr>
    <w:tr w:rsidR="00CD449E" w:rsidRPr="00DA23BA" w14:paraId="35C9E5F3" w14:textId="77777777" w:rsidTr="00CC7B81">
      <w:trPr>
        <w:trHeight w:val="180"/>
      </w:trPr>
      <w:tc>
        <w:tcPr>
          <w:tcW w:w="1483" w:type="pct"/>
          <w:tcBorders>
            <w:top w:val="nil"/>
            <w:left w:val="nil"/>
            <w:bottom w:val="nil"/>
            <w:right w:val="nil"/>
          </w:tcBorders>
          <w:shd w:val="clear" w:color="auto" w:fill="auto"/>
          <w:noWrap/>
          <w:vAlign w:val="bottom"/>
        </w:tcPr>
        <w:p w14:paraId="006BD8E1"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Responsable del Área Contable</w:t>
          </w:r>
        </w:p>
      </w:tc>
      <w:tc>
        <w:tcPr>
          <w:tcW w:w="576" w:type="pct"/>
          <w:tcBorders>
            <w:top w:val="nil"/>
            <w:left w:val="nil"/>
            <w:bottom w:val="nil"/>
            <w:right w:val="nil"/>
          </w:tcBorders>
          <w:shd w:val="clear" w:color="auto" w:fill="auto"/>
          <w:noWrap/>
          <w:vAlign w:val="bottom"/>
        </w:tcPr>
        <w:p w14:paraId="446BE04B"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79886BB2" w14:textId="7F4E2A6B"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Gerente General</w:t>
          </w:r>
        </w:p>
      </w:tc>
      <w:tc>
        <w:tcPr>
          <w:tcW w:w="377" w:type="pct"/>
          <w:tcBorders>
            <w:top w:val="nil"/>
            <w:left w:val="nil"/>
            <w:bottom w:val="nil"/>
            <w:right w:val="nil"/>
          </w:tcBorders>
          <w:shd w:val="clear" w:color="auto" w:fill="auto"/>
          <w:noWrap/>
          <w:vAlign w:val="bottom"/>
        </w:tcPr>
        <w:p w14:paraId="019877CA"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5138380E" w14:textId="77777777" w:rsidR="00CD449E" w:rsidRPr="00DA23BA" w:rsidRDefault="00CD449E" w:rsidP="00205B29">
          <w:pPr>
            <w:ind w:left="210" w:hanging="210"/>
            <w:jc w:val="center"/>
            <w:rPr>
              <w:rFonts w:ascii="Arial" w:hAnsi="Arial" w:cs="Arial"/>
              <w:sz w:val="15"/>
              <w:szCs w:val="15"/>
              <w:lang w:eastAsia="es-AR"/>
            </w:rPr>
          </w:pPr>
          <w:r>
            <w:rPr>
              <w:rFonts w:ascii="Arial" w:hAnsi="Arial" w:cs="Arial"/>
              <w:sz w:val="15"/>
              <w:szCs w:val="15"/>
              <w:lang w:eastAsia="es-AR"/>
            </w:rPr>
            <w:t>Vicep</w:t>
          </w:r>
          <w:r w:rsidRPr="00DA23BA">
            <w:rPr>
              <w:rFonts w:ascii="Arial" w:hAnsi="Arial" w:cs="Arial"/>
              <w:sz w:val="15"/>
              <w:szCs w:val="15"/>
              <w:lang w:eastAsia="es-AR"/>
            </w:rPr>
            <w:t>residente</w:t>
          </w:r>
        </w:p>
      </w:tc>
      <w:tc>
        <w:tcPr>
          <w:tcW w:w="326" w:type="pct"/>
          <w:tcBorders>
            <w:top w:val="nil"/>
            <w:left w:val="nil"/>
            <w:bottom w:val="nil"/>
            <w:right w:val="nil"/>
          </w:tcBorders>
          <w:shd w:val="clear" w:color="auto" w:fill="auto"/>
          <w:noWrap/>
          <w:vAlign w:val="bottom"/>
        </w:tcPr>
        <w:p w14:paraId="74CB495A" w14:textId="77777777" w:rsidR="00CD449E" w:rsidRPr="00DA23BA" w:rsidRDefault="00CD449E" w:rsidP="00205B29">
          <w:pPr>
            <w:jc w:val="center"/>
            <w:rPr>
              <w:rFonts w:ascii="Arial" w:hAnsi="Arial" w:cs="Arial"/>
              <w:color w:val="000000"/>
              <w:sz w:val="15"/>
              <w:szCs w:val="15"/>
              <w:lang w:eastAsia="es-AR"/>
            </w:rPr>
          </w:pPr>
        </w:p>
      </w:tc>
    </w:tr>
    <w:tr w:rsidR="00CD449E" w:rsidRPr="00DA23BA" w14:paraId="7EB72B77" w14:textId="77777777" w:rsidTr="00CC7B81">
      <w:trPr>
        <w:trHeight w:val="180"/>
      </w:trPr>
      <w:tc>
        <w:tcPr>
          <w:tcW w:w="1483" w:type="pct"/>
          <w:tcBorders>
            <w:top w:val="nil"/>
            <w:left w:val="nil"/>
            <w:bottom w:val="nil"/>
            <w:right w:val="nil"/>
          </w:tcBorders>
          <w:shd w:val="clear" w:color="auto" w:fill="auto"/>
          <w:noWrap/>
          <w:vAlign w:val="bottom"/>
        </w:tcPr>
        <w:p w14:paraId="1D87769E" w14:textId="77777777" w:rsidR="00CD449E" w:rsidRPr="00DA23BA" w:rsidRDefault="00CD449E"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70DE4EFB"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1B88ED3F" w14:textId="77777777" w:rsidR="00CD449E" w:rsidRPr="00DA23BA"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6F023950"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435DB171" w14:textId="77777777" w:rsidR="00CD449E" w:rsidRPr="00DA23BA" w:rsidRDefault="00CD449E" w:rsidP="00205B29">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7C6D0DCB" w14:textId="77777777" w:rsidR="00CD449E" w:rsidRPr="00DA23BA" w:rsidRDefault="00CD449E" w:rsidP="00205B29">
          <w:pPr>
            <w:jc w:val="center"/>
            <w:rPr>
              <w:rFonts w:ascii="Arial" w:hAnsi="Arial" w:cs="Arial"/>
              <w:sz w:val="15"/>
              <w:szCs w:val="15"/>
              <w:lang w:eastAsia="es-AR"/>
            </w:rPr>
          </w:pPr>
        </w:p>
      </w:tc>
    </w:tr>
    <w:tr w:rsidR="00CD449E" w:rsidRPr="00DA23BA" w14:paraId="68C0B9DD" w14:textId="77777777" w:rsidTr="00CC7B81">
      <w:trPr>
        <w:trHeight w:val="180"/>
      </w:trPr>
      <w:tc>
        <w:tcPr>
          <w:tcW w:w="1483" w:type="pct"/>
          <w:tcBorders>
            <w:top w:val="nil"/>
            <w:left w:val="nil"/>
            <w:bottom w:val="nil"/>
            <w:right w:val="nil"/>
          </w:tcBorders>
          <w:shd w:val="clear" w:color="auto" w:fill="auto"/>
          <w:noWrap/>
          <w:vAlign w:val="bottom"/>
        </w:tcPr>
        <w:p w14:paraId="540B64D9"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576" w:type="pct"/>
          <w:tcBorders>
            <w:top w:val="nil"/>
            <w:left w:val="nil"/>
            <w:bottom w:val="nil"/>
            <w:right w:val="nil"/>
          </w:tcBorders>
          <w:shd w:val="clear" w:color="auto" w:fill="auto"/>
          <w:noWrap/>
          <w:vAlign w:val="bottom"/>
        </w:tcPr>
        <w:p w14:paraId="5428B2F8"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3866C1A4" w14:textId="77777777" w:rsidR="00CD449E" w:rsidRPr="00DA23BA"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591F797B"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278459C6" w14:textId="77777777" w:rsidR="00CD449E" w:rsidRPr="00DA23BA" w:rsidRDefault="00CD449E" w:rsidP="00205B29">
          <w:pPr>
            <w:ind w:left="210" w:hanging="210"/>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326" w:type="pct"/>
          <w:tcBorders>
            <w:top w:val="nil"/>
            <w:left w:val="nil"/>
            <w:bottom w:val="nil"/>
            <w:right w:val="nil"/>
          </w:tcBorders>
          <w:shd w:val="clear" w:color="auto" w:fill="auto"/>
          <w:noWrap/>
          <w:vAlign w:val="bottom"/>
        </w:tcPr>
        <w:p w14:paraId="1B74BE99" w14:textId="77777777" w:rsidR="00CD449E" w:rsidRPr="00DA23BA" w:rsidRDefault="00CD449E" w:rsidP="00205B29">
          <w:pPr>
            <w:jc w:val="center"/>
            <w:rPr>
              <w:rFonts w:ascii="Arial" w:hAnsi="Arial" w:cs="Arial"/>
              <w:color w:val="000000"/>
              <w:sz w:val="15"/>
              <w:szCs w:val="15"/>
              <w:lang w:eastAsia="es-AR"/>
            </w:rPr>
          </w:pPr>
        </w:p>
      </w:tc>
    </w:tr>
    <w:tr w:rsidR="00CD449E" w:rsidRPr="00DA23BA" w14:paraId="6C2CEE34" w14:textId="77777777" w:rsidTr="00CC7B81">
      <w:trPr>
        <w:trHeight w:val="180"/>
      </w:trPr>
      <w:tc>
        <w:tcPr>
          <w:tcW w:w="1483" w:type="pct"/>
          <w:tcBorders>
            <w:top w:val="nil"/>
            <w:left w:val="nil"/>
            <w:bottom w:val="nil"/>
            <w:right w:val="nil"/>
          </w:tcBorders>
          <w:shd w:val="clear" w:color="auto" w:fill="auto"/>
          <w:noWrap/>
          <w:vAlign w:val="bottom"/>
        </w:tcPr>
        <w:p w14:paraId="44A73BA9" w14:textId="4C89F019" w:rsidR="00CD449E" w:rsidRPr="00DA23BA" w:rsidRDefault="00CD449E" w:rsidP="00205B29">
          <w:pPr>
            <w:jc w:val="center"/>
            <w:rPr>
              <w:rFonts w:ascii="Arial" w:hAnsi="Arial" w:cs="Arial"/>
              <w:sz w:val="15"/>
              <w:szCs w:val="15"/>
              <w:lang w:eastAsia="es-AR"/>
            </w:rPr>
          </w:pPr>
          <w:r>
            <w:rPr>
              <w:rFonts w:ascii="Arial" w:hAnsi="Arial" w:cs="Arial"/>
              <w:sz w:val="15"/>
              <w:szCs w:val="15"/>
              <w:lang w:eastAsia="es-AR"/>
            </w:rPr>
            <w:t>19 de febrero de 2020</w:t>
          </w:r>
        </w:p>
      </w:tc>
      <w:tc>
        <w:tcPr>
          <w:tcW w:w="576" w:type="pct"/>
          <w:tcBorders>
            <w:top w:val="nil"/>
            <w:left w:val="nil"/>
            <w:bottom w:val="nil"/>
            <w:right w:val="nil"/>
          </w:tcBorders>
          <w:shd w:val="clear" w:color="auto" w:fill="auto"/>
          <w:noWrap/>
          <w:vAlign w:val="bottom"/>
        </w:tcPr>
        <w:p w14:paraId="5EA89D35"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5A3D9CB" w14:textId="77777777" w:rsidR="00CD449E" w:rsidRPr="00DA23BA"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79E6E48F"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29DB3B69" w14:textId="3CB1B4CD" w:rsidR="00CD449E" w:rsidRPr="00DA23BA" w:rsidRDefault="00CD449E" w:rsidP="00634606">
          <w:pPr>
            <w:ind w:left="210" w:hanging="210"/>
            <w:jc w:val="center"/>
            <w:rPr>
              <w:rFonts w:ascii="Arial" w:hAnsi="Arial" w:cs="Arial"/>
              <w:sz w:val="15"/>
              <w:szCs w:val="15"/>
              <w:lang w:eastAsia="es-AR"/>
            </w:rPr>
          </w:pPr>
          <w:r>
            <w:rPr>
              <w:rFonts w:ascii="Arial" w:hAnsi="Arial" w:cs="Arial"/>
              <w:sz w:val="15"/>
              <w:szCs w:val="15"/>
              <w:lang w:eastAsia="es-AR"/>
            </w:rPr>
            <w:t>19 de febrero de 2020</w:t>
          </w:r>
        </w:p>
      </w:tc>
      <w:tc>
        <w:tcPr>
          <w:tcW w:w="326" w:type="pct"/>
          <w:tcBorders>
            <w:top w:val="nil"/>
            <w:left w:val="nil"/>
            <w:bottom w:val="nil"/>
            <w:right w:val="nil"/>
          </w:tcBorders>
          <w:shd w:val="clear" w:color="auto" w:fill="auto"/>
          <w:noWrap/>
          <w:vAlign w:val="bottom"/>
        </w:tcPr>
        <w:p w14:paraId="5A82EF8E" w14:textId="77777777" w:rsidR="00CD449E" w:rsidRPr="00DA23BA" w:rsidRDefault="00CD449E" w:rsidP="00205B29">
          <w:pPr>
            <w:jc w:val="center"/>
            <w:rPr>
              <w:rFonts w:ascii="Arial" w:hAnsi="Arial" w:cs="Arial"/>
              <w:color w:val="000000"/>
              <w:sz w:val="15"/>
              <w:szCs w:val="15"/>
              <w:lang w:eastAsia="es-AR"/>
            </w:rPr>
          </w:pPr>
        </w:p>
      </w:tc>
    </w:tr>
    <w:tr w:rsidR="00CD449E" w:rsidRPr="00CD449E" w14:paraId="36DF0FA3" w14:textId="77777777" w:rsidTr="00CC7B81">
      <w:trPr>
        <w:trHeight w:val="180"/>
      </w:trPr>
      <w:tc>
        <w:tcPr>
          <w:tcW w:w="1483" w:type="pct"/>
          <w:tcBorders>
            <w:top w:val="nil"/>
            <w:left w:val="nil"/>
            <w:bottom w:val="nil"/>
            <w:right w:val="nil"/>
          </w:tcBorders>
          <w:shd w:val="clear" w:color="auto" w:fill="auto"/>
          <w:noWrap/>
          <w:vAlign w:val="center"/>
        </w:tcPr>
        <w:p w14:paraId="12BB3602"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Por Comisión Fiscalizadora</w:t>
          </w:r>
        </w:p>
      </w:tc>
      <w:tc>
        <w:tcPr>
          <w:tcW w:w="576" w:type="pct"/>
          <w:tcBorders>
            <w:top w:val="nil"/>
            <w:left w:val="nil"/>
            <w:bottom w:val="nil"/>
            <w:right w:val="nil"/>
          </w:tcBorders>
          <w:shd w:val="clear" w:color="auto" w:fill="auto"/>
          <w:noWrap/>
          <w:vAlign w:val="bottom"/>
        </w:tcPr>
        <w:p w14:paraId="33139A9B"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121F08C6" w14:textId="77777777" w:rsidR="00CD449E" w:rsidRPr="00DA23BA"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4BA04CF3"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5FB4E8E2" w14:textId="77777777" w:rsidR="00CD449E" w:rsidRPr="00DA23BA" w:rsidRDefault="00CD449E" w:rsidP="00205B29">
          <w:pPr>
            <w:ind w:left="210" w:hanging="210"/>
            <w:jc w:val="center"/>
            <w:rPr>
              <w:rFonts w:ascii="Arial" w:hAnsi="Arial" w:cs="Arial"/>
              <w:sz w:val="15"/>
              <w:szCs w:val="15"/>
              <w:lang w:val="en-US" w:eastAsia="es-AR"/>
            </w:rPr>
          </w:pPr>
          <w:r w:rsidRPr="00DA23BA">
            <w:rPr>
              <w:rFonts w:ascii="Arial" w:hAnsi="Arial" w:cs="Arial"/>
              <w:sz w:val="15"/>
              <w:szCs w:val="15"/>
              <w:lang w:val="en-US" w:eastAsia="es-AR"/>
            </w:rPr>
            <w:t>PRICE WATERHOUSE &amp; CO. S.R.L.</w:t>
          </w:r>
        </w:p>
      </w:tc>
      <w:tc>
        <w:tcPr>
          <w:tcW w:w="326" w:type="pct"/>
          <w:tcBorders>
            <w:top w:val="nil"/>
            <w:left w:val="nil"/>
            <w:bottom w:val="nil"/>
            <w:right w:val="nil"/>
          </w:tcBorders>
          <w:shd w:val="clear" w:color="auto" w:fill="auto"/>
          <w:noWrap/>
          <w:vAlign w:val="bottom"/>
        </w:tcPr>
        <w:p w14:paraId="3A570171" w14:textId="77777777" w:rsidR="00CD449E" w:rsidRPr="00DA23BA" w:rsidRDefault="00CD449E" w:rsidP="00205B29">
          <w:pPr>
            <w:jc w:val="center"/>
            <w:rPr>
              <w:rFonts w:ascii="Arial" w:hAnsi="Arial" w:cs="Arial"/>
              <w:color w:val="000000"/>
              <w:sz w:val="15"/>
              <w:szCs w:val="15"/>
              <w:lang w:val="en-US" w:eastAsia="es-AR"/>
            </w:rPr>
          </w:pPr>
        </w:p>
      </w:tc>
    </w:tr>
    <w:tr w:rsidR="00CD449E" w:rsidRPr="00CD449E" w14:paraId="1B0C5727" w14:textId="77777777" w:rsidTr="00CC7B81">
      <w:trPr>
        <w:trHeight w:val="180"/>
      </w:trPr>
      <w:tc>
        <w:tcPr>
          <w:tcW w:w="1483" w:type="pct"/>
          <w:tcBorders>
            <w:top w:val="nil"/>
            <w:left w:val="nil"/>
            <w:bottom w:val="nil"/>
            <w:right w:val="nil"/>
          </w:tcBorders>
          <w:shd w:val="clear" w:color="auto" w:fill="auto"/>
          <w:noWrap/>
          <w:vAlign w:val="bottom"/>
        </w:tcPr>
        <w:p w14:paraId="2667B3E9" w14:textId="77777777" w:rsidR="00CD449E" w:rsidRPr="00DA23BA" w:rsidRDefault="00CD449E" w:rsidP="00205B29">
          <w:pPr>
            <w:jc w:val="center"/>
            <w:rPr>
              <w:rFonts w:ascii="Arial" w:hAnsi="Arial" w:cs="Arial"/>
              <w:sz w:val="15"/>
              <w:szCs w:val="15"/>
              <w:lang w:val="en-US" w:eastAsia="es-AR"/>
            </w:rPr>
          </w:pPr>
        </w:p>
      </w:tc>
      <w:tc>
        <w:tcPr>
          <w:tcW w:w="576" w:type="pct"/>
          <w:tcBorders>
            <w:top w:val="nil"/>
            <w:left w:val="nil"/>
            <w:bottom w:val="nil"/>
            <w:right w:val="nil"/>
          </w:tcBorders>
          <w:shd w:val="clear" w:color="auto" w:fill="auto"/>
          <w:noWrap/>
          <w:vAlign w:val="bottom"/>
        </w:tcPr>
        <w:p w14:paraId="736DC75C" w14:textId="77777777" w:rsidR="00CD449E" w:rsidRPr="008A6403" w:rsidRDefault="00CD449E"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55860CD5" w14:textId="77777777" w:rsidR="00CD449E" w:rsidRPr="008A6403" w:rsidRDefault="00CD449E"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12A71D53" w14:textId="77777777" w:rsidR="00CD449E" w:rsidRPr="008A6403" w:rsidRDefault="00CD449E"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301CB9BE" w14:textId="77777777" w:rsidR="00CD449E" w:rsidRPr="00DA23BA" w:rsidRDefault="00CD449E" w:rsidP="00205B29">
          <w:pPr>
            <w:ind w:left="352" w:hanging="352"/>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590E7787" w14:textId="77777777" w:rsidR="00CD449E" w:rsidRPr="00DA23BA" w:rsidRDefault="00CD449E" w:rsidP="00205B29">
          <w:pPr>
            <w:jc w:val="center"/>
            <w:rPr>
              <w:rFonts w:ascii="Arial" w:hAnsi="Arial" w:cs="Arial"/>
              <w:color w:val="000000"/>
              <w:sz w:val="15"/>
              <w:szCs w:val="15"/>
              <w:lang w:val="en-US" w:eastAsia="es-AR"/>
            </w:rPr>
          </w:pPr>
        </w:p>
      </w:tc>
    </w:tr>
    <w:tr w:rsidR="00CD449E" w:rsidRPr="00CD449E" w14:paraId="75D64EB0" w14:textId="77777777" w:rsidTr="00CC7B81">
      <w:trPr>
        <w:trHeight w:val="180"/>
      </w:trPr>
      <w:tc>
        <w:tcPr>
          <w:tcW w:w="1483" w:type="pct"/>
          <w:tcBorders>
            <w:top w:val="nil"/>
            <w:left w:val="nil"/>
            <w:bottom w:val="nil"/>
            <w:right w:val="nil"/>
          </w:tcBorders>
          <w:shd w:val="clear" w:color="auto" w:fill="auto"/>
          <w:noWrap/>
          <w:vAlign w:val="bottom"/>
        </w:tcPr>
        <w:p w14:paraId="4378363B" w14:textId="77777777" w:rsidR="00CD449E" w:rsidRPr="00DA23BA" w:rsidRDefault="00CD449E" w:rsidP="00205B29">
          <w:pPr>
            <w:jc w:val="center"/>
            <w:rPr>
              <w:rFonts w:ascii="Arial" w:hAnsi="Arial" w:cs="Arial"/>
              <w:sz w:val="15"/>
              <w:szCs w:val="15"/>
              <w:lang w:val="en-US" w:eastAsia="es-AR"/>
            </w:rPr>
          </w:pPr>
        </w:p>
      </w:tc>
      <w:tc>
        <w:tcPr>
          <w:tcW w:w="576" w:type="pct"/>
          <w:tcBorders>
            <w:top w:val="nil"/>
            <w:left w:val="nil"/>
            <w:bottom w:val="nil"/>
            <w:right w:val="nil"/>
          </w:tcBorders>
          <w:shd w:val="clear" w:color="auto" w:fill="auto"/>
          <w:noWrap/>
          <w:vAlign w:val="bottom"/>
        </w:tcPr>
        <w:p w14:paraId="75C53EB6" w14:textId="77777777" w:rsidR="00CD449E" w:rsidRPr="008A6403" w:rsidRDefault="00CD449E"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2B03BEAF" w14:textId="77777777" w:rsidR="00CD449E" w:rsidRPr="008A6403" w:rsidRDefault="00CD449E"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49B70F13" w14:textId="77777777" w:rsidR="00CD449E" w:rsidRPr="008A6403" w:rsidRDefault="00CD449E"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0ECA1B08" w14:textId="77777777" w:rsidR="00CD449E" w:rsidRPr="00DA23BA" w:rsidRDefault="00CD449E" w:rsidP="00205B29">
          <w:pPr>
            <w:ind w:left="498" w:hanging="498"/>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7A7BAE30" w14:textId="77777777" w:rsidR="00CD449E" w:rsidRPr="00DA23BA" w:rsidRDefault="00CD449E" w:rsidP="00205B29">
          <w:pPr>
            <w:jc w:val="center"/>
            <w:rPr>
              <w:rFonts w:ascii="Arial" w:hAnsi="Arial" w:cs="Arial"/>
              <w:color w:val="000000"/>
              <w:sz w:val="15"/>
              <w:szCs w:val="15"/>
              <w:lang w:val="en-US" w:eastAsia="es-AR"/>
            </w:rPr>
          </w:pPr>
        </w:p>
      </w:tc>
    </w:tr>
    <w:tr w:rsidR="00CD449E" w:rsidRPr="00DA23BA" w14:paraId="5FAE1DAE" w14:textId="77777777" w:rsidTr="00CC7B81">
      <w:trPr>
        <w:trHeight w:val="180"/>
      </w:trPr>
      <w:tc>
        <w:tcPr>
          <w:tcW w:w="1483" w:type="pct"/>
          <w:tcBorders>
            <w:top w:val="nil"/>
            <w:left w:val="nil"/>
            <w:bottom w:val="nil"/>
            <w:right w:val="nil"/>
          </w:tcBorders>
          <w:shd w:val="clear" w:color="auto" w:fill="auto"/>
          <w:noWrap/>
          <w:vAlign w:val="bottom"/>
        </w:tcPr>
        <w:p w14:paraId="39959B77" w14:textId="77777777" w:rsidR="00CD449E" w:rsidRPr="00DA23BA" w:rsidRDefault="00CD449E" w:rsidP="00205B29">
          <w:pPr>
            <w:jc w:val="center"/>
            <w:rPr>
              <w:rFonts w:ascii="Arial" w:hAnsi="Arial" w:cs="Arial"/>
              <w:sz w:val="15"/>
              <w:szCs w:val="15"/>
              <w:lang w:val="en-US" w:eastAsia="es-AR"/>
            </w:rPr>
          </w:pPr>
        </w:p>
      </w:tc>
      <w:tc>
        <w:tcPr>
          <w:tcW w:w="576" w:type="pct"/>
          <w:tcBorders>
            <w:top w:val="nil"/>
            <w:left w:val="nil"/>
            <w:bottom w:val="nil"/>
            <w:right w:val="nil"/>
          </w:tcBorders>
          <w:shd w:val="clear" w:color="auto" w:fill="auto"/>
          <w:noWrap/>
          <w:vAlign w:val="bottom"/>
        </w:tcPr>
        <w:p w14:paraId="3B7A02DE" w14:textId="77777777" w:rsidR="00CD449E" w:rsidRPr="00DA23BA" w:rsidRDefault="00CD449E"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52CCC1EF" w14:textId="77777777" w:rsidR="00CD449E" w:rsidRPr="00DA23BA" w:rsidRDefault="00CD449E"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1438CC03" w14:textId="77777777" w:rsidR="00CD449E" w:rsidRPr="00DA23BA" w:rsidRDefault="00CD449E"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61F74EED" w14:textId="77777777" w:rsidR="00CD449E" w:rsidRPr="00DA23BA" w:rsidRDefault="00CD449E" w:rsidP="00205B29">
          <w:pPr>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679BD102"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(Socio)</w:t>
          </w:r>
        </w:p>
      </w:tc>
    </w:tr>
    <w:tr w:rsidR="00CD449E" w:rsidRPr="008A6403" w14:paraId="0205B7EC" w14:textId="77777777" w:rsidTr="00CC7B81">
      <w:trPr>
        <w:trHeight w:val="180"/>
      </w:trPr>
      <w:tc>
        <w:tcPr>
          <w:tcW w:w="1483" w:type="pct"/>
          <w:tcBorders>
            <w:top w:val="nil"/>
            <w:left w:val="nil"/>
            <w:bottom w:val="nil"/>
            <w:right w:val="nil"/>
          </w:tcBorders>
          <w:shd w:val="clear" w:color="auto" w:fill="auto"/>
          <w:noWrap/>
          <w:vAlign w:val="bottom"/>
        </w:tcPr>
        <w:p w14:paraId="35B581E4"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Enrique José Barreiro</w:t>
          </w:r>
        </w:p>
      </w:tc>
      <w:tc>
        <w:tcPr>
          <w:tcW w:w="576" w:type="pct"/>
          <w:tcBorders>
            <w:top w:val="nil"/>
            <w:left w:val="nil"/>
            <w:bottom w:val="nil"/>
            <w:right w:val="nil"/>
          </w:tcBorders>
          <w:shd w:val="clear" w:color="auto" w:fill="auto"/>
          <w:noWrap/>
          <w:vAlign w:val="bottom"/>
        </w:tcPr>
        <w:p w14:paraId="0F44CDF7" w14:textId="77777777" w:rsidR="00CD449E" w:rsidRPr="00DA23BA" w:rsidRDefault="00CD449E"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5D9E30CE" w14:textId="77777777" w:rsidR="00CD449E" w:rsidRPr="00DA23BA" w:rsidRDefault="00CD449E"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18C331E5" w14:textId="77777777" w:rsidR="00CD449E" w:rsidRPr="00DA23BA" w:rsidRDefault="00CD449E"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135DD69E" w14:textId="77777777" w:rsidR="00CD449E" w:rsidRPr="00000EDD" w:rsidRDefault="00CD449E" w:rsidP="00205B29">
          <w:pPr>
            <w:jc w:val="center"/>
            <w:rPr>
              <w:rFonts w:ascii="Arial" w:hAnsi="Arial" w:cs="Arial"/>
              <w:color w:val="FF0000"/>
              <w:sz w:val="15"/>
              <w:szCs w:val="15"/>
              <w:lang w:val="en-US" w:eastAsia="es-AR"/>
            </w:rPr>
          </w:pPr>
        </w:p>
      </w:tc>
      <w:tc>
        <w:tcPr>
          <w:tcW w:w="326" w:type="pct"/>
          <w:tcBorders>
            <w:top w:val="nil"/>
            <w:left w:val="nil"/>
            <w:bottom w:val="nil"/>
            <w:right w:val="nil"/>
          </w:tcBorders>
          <w:shd w:val="clear" w:color="auto" w:fill="auto"/>
          <w:noWrap/>
          <w:vAlign w:val="bottom"/>
        </w:tcPr>
        <w:p w14:paraId="11FF1643" w14:textId="77777777" w:rsidR="00CD449E" w:rsidRPr="008A6403" w:rsidRDefault="00CD449E" w:rsidP="00205B29">
          <w:pPr>
            <w:jc w:val="center"/>
            <w:rPr>
              <w:rFonts w:ascii="Arial" w:hAnsi="Arial" w:cs="Arial"/>
              <w:color w:val="000000"/>
              <w:sz w:val="15"/>
              <w:szCs w:val="15"/>
              <w:lang w:val="en-US" w:eastAsia="es-AR"/>
            </w:rPr>
          </w:pPr>
        </w:p>
      </w:tc>
    </w:tr>
    <w:tr w:rsidR="00CD449E" w:rsidRPr="005F797B" w14:paraId="61DD8B08" w14:textId="77777777" w:rsidTr="00A74D2F">
      <w:trPr>
        <w:trHeight w:val="180"/>
      </w:trPr>
      <w:tc>
        <w:tcPr>
          <w:tcW w:w="1483" w:type="pct"/>
          <w:tcBorders>
            <w:top w:val="nil"/>
            <w:left w:val="nil"/>
            <w:bottom w:val="nil"/>
            <w:right w:val="nil"/>
          </w:tcBorders>
          <w:shd w:val="clear" w:color="auto" w:fill="auto"/>
          <w:noWrap/>
          <w:vAlign w:val="bottom"/>
        </w:tcPr>
        <w:p w14:paraId="306D9953"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Síndico</w:t>
          </w:r>
        </w:p>
      </w:tc>
      <w:tc>
        <w:tcPr>
          <w:tcW w:w="576" w:type="pct"/>
          <w:tcBorders>
            <w:top w:val="nil"/>
            <w:left w:val="nil"/>
            <w:bottom w:val="nil"/>
            <w:right w:val="nil"/>
          </w:tcBorders>
          <w:shd w:val="clear" w:color="auto" w:fill="auto"/>
          <w:noWrap/>
          <w:vAlign w:val="bottom"/>
        </w:tcPr>
        <w:p w14:paraId="779FCEA8" w14:textId="77777777" w:rsidR="00CD449E" w:rsidRPr="00DA23BA" w:rsidRDefault="00CD449E"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48C7FB24" w14:textId="77777777" w:rsidR="00CD449E" w:rsidRPr="00DA23BA" w:rsidRDefault="00CD449E"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3AFA7483" w14:textId="77777777" w:rsidR="00CD449E" w:rsidRPr="00DA23BA" w:rsidRDefault="00CD449E"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tcPr>
        <w:p w14:paraId="355496AA" w14:textId="5452AFAA" w:rsidR="00CD449E" w:rsidRPr="000924A1" w:rsidRDefault="00CD449E" w:rsidP="00205B29">
          <w:pPr>
            <w:jc w:val="center"/>
            <w:rPr>
              <w:rFonts w:ascii="Arial" w:hAnsi="Arial" w:cs="Arial"/>
              <w:sz w:val="15"/>
              <w:szCs w:val="15"/>
              <w:lang w:val="en-US" w:eastAsia="es-AR"/>
            </w:rPr>
          </w:pPr>
          <w:r w:rsidRPr="00534414">
            <w:rPr>
              <w:rFonts w:ascii="Arial" w:hAnsi="Arial"/>
              <w:sz w:val="15"/>
              <w:szCs w:val="15"/>
              <w:lang w:val="de-DE"/>
            </w:rPr>
            <w:t>Santiago José Mignone</w:t>
          </w:r>
        </w:p>
      </w:tc>
      <w:tc>
        <w:tcPr>
          <w:tcW w:w="326" w:type="pct"/>
          <w:tcBorders>
            <w:top w:val="nil"/>
            <w:left w:val="nil"/>
            <w:bottom w:val="nil"/>
            <w:right w:val="nil"/>
          </w:tcBorders>
          <w:shd w:val="clear" w:color="auto" w:fill="auto"/>
          <w:noWrap/>
          <w:vAlign w:val="bottom"/>
        </w:tcPr>
        <w:p w14:paraId="0924BFC4" w14:textId="77777777" w:rsidR="00CD449E" w:rsidRPr="005F797B" w:rsidRDefault="00CD449E" w:rsidP="00205B29">
          <w:pPr>
            <w:jc w:val="center"/>
            <w:rPr>
              <w:rFonts w:ascii="Arial" w:hAnsi="Arial" w:cs="Arial"/>
              <w:color w:val="000000"/>
              <w:sz w:val="15"/>
              <w:szCs w:val="15"/>
              <w:lang w:val="en-US" w:eastAsia="es-AR"/>
            </w:rPr>
          </w:pPr>
        </w:p>
      </w:tc>
    </w:tr>
    <w:tr w:rsidR="00CD449E" w:rsidRPr="005F797B" w14:paraId="7DDF09C3" w14:textId="77777777" w:rsidTr="00A74D2F">
      <w:trPr>
        <w:trHeight w:val="180"/>
      </w:trPr>
      <w:tc>
        <w:tcPr>
          <w:tcW w:w="1483" w:type="pct"/>
          <w:tcBorders>
            <w:top w:val="nil"/>
            <w:left w:val="nil"/>
            <w:bottom w:val="nil"/>
            <w:right w:val="nil"/>
          </w:tcBorders>
          <w:shd w:val="clear" w:color="auto" w:fill="auto"/>
          <w:noWrap/>
          <w:vAlign w:val="bottom"/>
        </w:tcPr>
        <w:p w14:paraId="0B2BA107" w14:textId="77777777" w:rsidR="00CD449E" w:rsidRPr="00FE608C" w:rsidRDefault="00CD449E" w:rsidP="00205B29">
          <w:pPr>
            <w:jc w:val="center"/>
            <w:rPr>
              <w:rFonts w:ascii="Arial" w:hAnsi="Arial" w:cs="Arial"/>
              <w:sz w:val="15"/>
              <w:szCs w:val="15"/>
              <w:lang w:eastAsia="es-AR"/>
            </w:rPr>
          </w:pPr>
          <w:r w:rsidRPr="00FE608C">
            <w:rPr>
              <w:rFonts w:ascii="Arial" w:hAnsi="Arial" w:cs="Arial"/>
              <w:sz w:val="15"/>
              <w:szCs w:val="15"/>
              <w:lang w:eastAsia="es-AR"/>
            </w:rPr>
            <w:t>Contador Público (U.N.L.Z)</w:t>
          </w:r>
        </w:p>
      </w:tc>
      <w:tc>
        <w:tcPr>
          <w:tcW w:w="576" w:type="pct"/>
          <w:tcBorders>
            <w:top w:val="nil"/>
            <w:left w:val="nil"/>
            <w:bottom w:val="nil"/>
            <w:right w:val="nil"/>
          </w:tcBorders>
          <w:shd w:val="clear" w:color="auto" w:fill="auto"/>
          <w:noWrap/>
          <w:vAlign w:val="bottom"/>
        </w:tcPr>
        <w:p w14:paraId="23CD4B55" w14:textId="77777777" w:rsidR="00CD449E" w:rsidRPr="00FE608C"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15CFC1CA" w14:textId="77777777" w:rsidR="00CD449E" w:rsidRPr="00FE608C"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5E4A27EA" w14:textId="77777777" w:rsidR="00CD449E" w:rsidRPr="00FE608C"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tcPr>
        <w:p w14:paraId="5DEA2B6D" w14:textId="7BD0729C" w:rsidR="00CD449E" w:rsidRPr="000924A1" w:rsidRDefault="00CD449E" w:rsidP="00205B29">
          <w:pPr>
            <w:jc w:val="center"/>
            <w:rPr>
              <w:rFonts w:ascii="Arial" w:hAnsi="Arial" w:cs="Arial"/>
              <w:sz w:val="15"/>
              <w:szCs w:val="15"/>
              <w:lang w:eastAsia="es-AR"/>
            </w:rPr>
          </w:pPr>
          <w:r w:rsidRPr="00534414">
            <w:rPr>
              <w:rFonts w:ascii="Arial" w:hAnsi="Arial"/>
              <w:sz w:val="15"/>
              <w:szCs w:val="15"/>
              <w:lang w:val="de-DE"/>
            </w:rPr>
            <w:t>Contador Público (U.B.A.)</w:t>
          </w:r>
        </w:p>
      </w:tc>
      <w:tc>
        <w:tcPr>
          <w:tcW w:w="326" w:type="pct"/>
          <w:tcBorders>
            <w:top w:val="nil"/>
            <w:left w:val="nil"/>
            <w:bottom w:val="nil"/>
            <w:right w:val="nil"/>
          </w:tcBorders>
          <w:shd w:val="clear" w:color="auto" w:fill="auto"/>
          <w:noWrap/>
          <w:vAlign w:val="bottom"/>
        </w:tcPr>
        <w:p w14:paraId="7B90D241" w14:textId="77777777" w:rsidR="00CD449E" w:rsidRPr="005F797B" w:rsidRDefault="00CD449E" w:rsidP="00205B29">
          <w:pPr>
            <w:jc w:val="center"/>
            <w:rPr>
              <w:rFonts w:ascii="Arial" w:hAnsi="Arial" w:cs="Arial"/>
              <w:color w:val="000000"/>
              <w:sz w:val="15"/>
              <w:szCs w:val="15"/>
              <w:lang w:eastAsia="es-AR"/>
            </w:rPr>
          </w:pPr>
        </w:p>
      </w:tc>
    </w:tr>
    <w:tr w:rsidR="00CD449E" w:rsidRPr="00FE608C" w14:paraId="4F250B2F" w14:textId="77777777" w:rsidTr="00CC7B81">
      <w:trPr>
        <w:trHeight w:val="180"/>
      </w:trPr>
      <w:tc>
        <w:tcPr>
          <w:tcW w:w="1483" w:type="pct"/>
          <w:tcBorders>
            <w:top w:val="nil"/>
            <w:left w:val="nil"/>
            <w:bottom w:val="nil"/>
            <w:right w:val="nil"/>
          </w:tcBorders>
          <w:shd w:val="clear" w:color="auto" w:fill="auto"/>
          <w:noWrap/>
          <w:vAlign w:val="bottom"/>
        </w:tcPr>
        <w:p w14:paraId="70866B4F" w14:textId="77777777" w:rsidR="00CD449E" w:rsidRPr="00FE608C" w:rsidRDefault="00CD449E" w:rsidP="00205B29">
          <w:pPr>
            <w:jc w:val="center"/>
            <w:rPr>
              <w:rFonts w:ascii="Arial" w:hAnsi="Arial" w:cs="Arial"/>
              <w:sz w:val="15"/>
              <w:szCs w:val="15"/>
              <w:lang w:eastAsia="es-AR"/>
            </w:rPr>
          </w:pPr>
          <w:r w:rsidRPr="00FE608C">
            <w:rPr>
              <w:rFonts w:ascii="Arial" w:hAnsi="Arial" w:cs="Arial"/>
              <w:sz w:val="15"/>
              <w:szCs w:val="15"/>
              <w:lang w:eastAsia="es-AR"/>
            </w:rPr>
            <w:t>C.P.C.E.C.A.B.A. T°108 -F° 233</w:t>
          </w:r>
        </w:p>
      </w:tc>
      <w:tc>
        <w:tcPr>
          <w:tcW w:w="576" w:type="pct"/>
          <w:tcBorders>
            <w:top w:val="nil"/>
            <w:left w:val="nil"/>
            <w:bottom w:val="nil"/>
            <w:right w:val="nil"/>
          </w:tcBorders>
          <w:shd w:val="clear" w:color="auto" w:fill="auto"/>
          <w:noWrap/>
          <w:vAlign w:val="bottom"/>
        </w:tcPr>
        <w:p w14:paraId="6FCF9E12" w14:textId="77777777" w:rsidR="00CD449E" w:rsidRPr="00FE608C"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AF019CB" w14:textId="77777777" w:rsidR="00CD449E" w:rsidRPr="00FE608C"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381A40F6" w14:textId="77777777" w:rsidR="00CD449E" w:rsidRPr="00FE608C"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623AEA64" w14:textId="05A9E55D" w:rsidR="00CD449E" w:rsidRPr="00FE608C" w:rsidRDefault="00CD449E" w:rsidP="00205B29">
          <w:pPr>
            <w:jc w:val="center"/>
            <w:rPr>
              <w:rFonts w:ascii="Arial" w:hAnsi="Arial" w:cs="Arial"/>
              <w:sz w:val="15"/>
              <w:szCs w:val="15"/>
              <w:lang w:eastAsia="es-AR"/>
            </w:rPr>
          </w:pPr>
          <w:r w:rsidRPr="00C9122B">
            <w:rPr>
              <w:rFonts w:ascii="Arial" w:hAnsi="Arial" w:cs="Arial"/>
              <w:sz w:val="15"/>
              <w:szCs w:val="15"/>
              <w:lang w:eastAsia="es-AR"/>
            </w:rPr>
            <w:t xml:space="preserve">C.P.C.E.C.A.B.A.  T° </w:t>
          </w:r>
          <w:r>
            <w:rPr>
              <w:rFonts w:ascii="Arial" w:hAnsi="Arial" w:cs="Arial"/>
              <w:sz w:val="15"/>
              <w:szCs w:val="15"/>
              <w:lang w:eastAsia="es-AR"/>
            </w:rPr>
            <w:t>233</w:t>
          </w:r>
          <w:r w:rsidRPr="00C9122B">
            <w:rPr>
              <w:rFonts w:ascii="Arial" w:hAnsi="Arial" w:cs="Arial"/>
              <w:sz w:val="15"/>
              <w:szCs w:val="15"/>
              <w:lang w:eastAsia="es-AR"/>
            </w:rPr>
            <w:t xml:space="preserve"> F° </w:t>
          </w:r>
          <w:r>
            <w:rPr>
              <w:rFonts w:ascii="Arial" w:hAnsi="Arial" w:cs="Arial"/>
              <w:sz w:val="15"/>
              <w:szCs w:val="15"/>
              <w:lang w:eastAsia="es-AR"/>
            </w:rPr>
            <w:t>237</w:t>
          </w:r>
        </w:p>
      </w:tc>
      <w:tc>
        <w:tcPr>
          <w:tcW w:w="326" w:type="pct"/>
          <w:tcBorders>
            <w:top w:val="nil"/>
            <w:left w:val="nil"/>
            <w:bottom w:val="nil"/>
            <w:right w:val="nil"/>
          </w:tcBorders>
          <w:shd w:val="clear" w:color="auto" w:fill="auto"/>
          <w:noWrap/>
          <w:vAlign w:val="bottom"/>
        </w:tcPr>
        <w:p w14:paraId="093EF40B" w14:textId="77777777" w:rsidR="00CD449E" w:rsidRPr="00FE608C" w:rsidRDefault="00CD449E" w:rsidP="00205B29">
          <w:pPr>
            <w:jc w:val="center"/>
            <w:rPr>
              <w:rFonts w:ascii="Arial" w:hAnsi="Arial" w:cs="Arial"/>
              <w:color w:val="000000"/>
              <w:sz w:val="15"/>
              <w:szCs w:val="15"/>
              <w:lang w:eastAsia="es-AR"/>
            </w:rPr>
          </w:pPr>
        </w:p>
      </w:tc>
    </w:tr>
    <w:tr w:rsidR="00CD449E" w:rsidRPr="00FE608C" w14:paraId="07E5EC43" w14:textId="77777777" w:rsidTr="00CC7B81">
      <w:trPr>
        <w:trHeight w:val="180"/>
      </w:trPr>
      <w:tc>
        <w:tcPr>
          <w:tcW w:w="1483" w:type="pct"/>
          <w:tcBorders>
            <w:top w:val="nil"/>
            <w:left w:val="nil"/>
            <w:bottom w:val="nil"/>
            <w:right w:val="nil"/>
          </w:tcBorders>
          <w:shd w:val="clear" w:color="auto" w:fill="auto"/>
          <w:noWrap/>
          <w:vAlign w:val="bottom"/>
        </w:tcPr>
        <w:p w14:paraId="5B2AE4F6" w14:textId="77777777" w:rsidR="00CD449E" w:rsidRPr="00FE608C" w:rsidRDefault="00CD449E"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179E97DF" w14:textId="77777777" w:rsidR="00CD449E" w:rsidRPr="00FE608C"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3A350C12" w14:textId="77777777" w:rsidR="00CD449E" w:rsidRPr="00FE608C"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201CE203" w14:textId="77777777" w:rsidR="00CD449E" w:rsidRPr="00FE608C"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0F174DE8" w14:textId="77777777" w:rsidR="00CD449E" w:rsidRPr="00FE608C" w:rsidRDefault="00CD449E" w:rsidP="00205B29">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0C147555" w14:textId="77777777" w:rsidR="00CD449E" w:rsidRPr="00FE608C" w:rsidRDefault="00CD449E" w:rsidP="00205B29">
          <w:pPr>
            <w:jc w:val="center"/>
            <w:rPr>
              <w:rFonts w:ascii="Arial" w:hAnsi="Arial" w:cs="Arial"/>
              <w:color w:val="000000"/>
              <w:sz w:val="15"/>
              <w:szCs w:val="15"/>
              <w:lang w:eastAsia="es-AR"/>
            </w:rPr>
          </w:pPr>
        </w:p>
      </w:tc>
    </w:tr>
    <w:tr w:rsidR="00CD449E" w:rsidRPr="00FE608C" w14:paraId="33E48A24" w14:textId="77777777" w:rsidTr="00CC7B81">
      <w:trPr>
        <w:trHeight w:val="180"/>
      </w:trPr>
      <w:tc>
        <w:tcPr>
          <w:tcW w:w="1483" w:type="pct"/>
          <w:tcBorders>
            <w:top w:val="nil"/>
            <w:left w:val="nil"/>
            <w:bottom w:val="nil"/>
            <w:right w:val="nil"/>
          </w:tcBorders>
          <w:shd w:val="clear" w:color="auto" w:fill="auto"/>
          <w:noWrap/>
          <w:vAlign w:val="bottom"/>
        </w:tcPr>
        <w:p w14:paraId="1AA58A87" w14:textId="77777777" w:rsidR="00CD449E" w:rsidRPr="00FE608C" w:rsidRDefault="00CD449E"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5BC01BC2" w14:textId="77777777" w:rsidR="00CD449E" w:rsidRPr="00FE608C"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73F5BC96" w14:textId="77777777" w:rsidR="00CD449E" w:rsidRPr="00FE608C"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3550C1E6" w14:textId="77777777" w:rsidR="00CD449E" w:rsidRPr="00FE608C"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762B74AF" w14:textId="77777777" w:rsidR="00CD449E" w:rsidRPr="00FE608C" w:rsidRDefault="00CD449E" w:rsidP="00205B29">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7C285F7F" w14:textId="77777777" w:rsidR="00CD449E" w:rsidRPr="00FE608C" w:rsidRDefault="00CD449E" w:rsidP="00205B29">
          <w:pPr>
            <w:jc w:val="center"/>
            <w:rPr>
              <w:rFonts w:ascii="Arial" w:hAnsi="Arial" w:cs="Arial"/>
              <w:color w:val="000000"/>
              <w:sz w:val="15"/>
              <w:szCs w:val="15"/>
              <w:lang w:eastAsia="es-AR"/>
            </w:rPr>
          </w:pPr>
        </w:p>
      </w:tc>
    </w:tr>
    <w:tr w:rsidR="00CD449E" w:rsidRPr="00DA23BA" w14:paraId="074965EE" w14:textId="77777777" w:rsidTr="00CC7B81">
      <w:trPr>
        <w:trHeight w:val="180"/>
      </w:trPr>
      <w:tc>
        <w:tcPr>
          <w:tcW w:w="1483" w:type="pct"/>
          <w:tcBorders>
            <w:top w:val="nil"/>
            <w:left w:val="nil"/>
            <w:bottom w:val="nil"/>
            <w:right w:val="nil"/>
          </w:tcBorders>
          <w:shd w:val="clear" w:color="auto" w:fill="auto"/>
          <w:noWrap/>
          <w:vAlign w:val="bottom"/>
        </w:tcPr>
        <w:p w14:paraId="61945C6B" w14:textId="77777777" w:rsidR="00CD449E" w:rsidRPr="00FE608C" w:rsidRDefault="00CD449E"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13AA70CE" w14:textId="77777777" w:rsidR="00CD449E" w:rsidRPr="00FE608C"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CB652F3" w14:textId="36BEB88E" w:rsidR="00CD449E" w:rsidRPr="00DA23BA" w:rsidRDefault="00CD449E" w:rsidP="00205B29">
          <w:pPr>
            <w:jc w:val="center"/>
            <w:rPr>
              <w:rFonts w:ascii="Arial" w:hAnsi="Arial" w:cs="Arial"/>
              <w:sz w:val="15"/>
              <w:szCs w:val="15"/>
              <w:lang w:eastAsia="es-AR"/>
            </w:rPr>
          </w:pPr>
          <w:r>
            <w:rPr>
              <w:rFonts w:ascii="Arial" w:hAnsi="Arial" w:cs="Arial"/>
              <w:sz w:val="15"/>
              <w:szCs w:val="15"/>
              <w:lang w:eastAsia="es-AR"/>
            </w:rPr>
            <w:t xml:space="preserve">- </w:t>
          </w:r>
          <w:r w:rsidRPr="00A76E3D">
            <w:rPr>
              <w:rFonts w:ascii="Arial" w:hAnsi="Arial" w:cs="Arial"/>
              <w:sz w:val="15"/>
              <w:szCs w:val="15"/>
              <w:lang w:eastAsia="es-AR"/>
            </w:rPr>
            <w:fldChar w:fldCharType="begin"/>
          </w:r>
          <w:r w:rsidRPr="00A76E3D">
            <w:rPr>
              <w:rFonts w:ascii="Arial" w:hAnsi="Arial" w:cs="Arial"/>
              <w:sz w:val="15"/>
              <w:szCs w:val="15"/>
              <w:lang w:eastAsia="es-AR"/>
            </w:rPr>
            <w:instrText xml:space="preserve"> PAGE   \* MERGEFORMAT </w:instrText>
          </w:r>
          <w:r w:rsidRPr="00A76E3D">
            <w:rPr>
              <w:rFonts w:ascii="Arial" w:hAnsi="Arial" w:cs="Arial"/>
              <w:sz w:val="15"/>
              <w:szCs w:val="15"/>
              <w:lang w:eastAsia="es-AR"/>
            </w:rPr>
            <w:fldChar w:fldCharType="separate"/>
          </w:r>
          <w:r>
            <w:rPr>
              <w:rFonts w:ascii="Arial" w:hAnsi="Arial" w:cs="Arial"/>
              <w:noProof/>
              <w:sz w:val="15"/>
              <w:szCs w:val="15"/>
              <w:lang w:eastAsia="es-AR"/>
            </w:rPr>
            <w:t>56</w:t>
          </w:r>
          <w:r w:rsidRPr="00A76E3D">
            <w:rPr>
              <w:rFonts w:ascii="Arial" w:hAnsi="Arial" w:cs="Arial"/>
              <w:sz w:val="15"/>
              <w:szCs w:val="15"/>
              <w:lang w:eastAsia="es-AR"/>
            </w:rPr>
            <w:fldChar w:fldCharType="end"/>
          </w:r>
          <w:r>
            <w:rPr>
              <w:rFonts w:ascii="Arial" w:hAnsi="Arial" w:cs="Arial"/>
              <w:sz w:val="15"/>
              <w:szCs w:val="15"/>
              <w:lang w:eastAsia="es-AR"/>
            </w:rPr>
            <w:t xml:space="preserve"> - </w:t>
          </w:r>
        </w:p>
      </w:tc>
      <w:tc>
        <w:tcPr>
          <w:tcW w:w="377" w:type="pct"/>
          <w:tcBorders>
            <w:top w:val="nil"/>
            <w:left w:val="nil"/>
            <w:bottom w:val="nil"/>
            <w:right w:val="nil"/>
          </w:tcBorders>
          <w:shd w:val="clear" w:color="auto" w:fill="auto"/>
          <w:noWrap/>
          <w:vAlign w:val="bottom"/>
        </w:tcPr>
        <w:p w14:paraId="4998EC06"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0AA3816B" w14:textId="77777777" w:rsidR="00CD449E" w:rsidRPr="00DA23BA" w:rsidRDefault="00CD449E" w:rsidP="00205B29">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3DA8942D" w14:textId="77777777" w:rsidR="00CD449E" w:rsidRPr="00DA23BA" w:rsidRDefault="00CD449E" w:rsidP="00205B29">
          <w:pPr>
            <w:jc w:val="center"/>
            <w:rPr>
              <w:rFonts w:ascii="Arial" w:hAnsi="Arial" w:cs="Arial"/>
              <w:color w:val="000000"/>
              <w:sz w:val="15"/>
              <w:szCs w:val="15"/>
              <w:lang w:eastAsia="es-AR"/>
            </w:rPr>
          </w:pPr>
        </w:p>
      </w:tc>
    </w:tr>
  </w:tbl>
  <w:p w14:paraId="25D81E4D" w14:textId="77777777" w:rsidR="00CD449E" w:rsidRDefault="00CD449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68" w:type="pct"/>
      <w:tblCellMar>
        <w:left w:w="70" w:type="dxa"/>
        <w:right w:w="70" w:type="dxa"/>
      </w:tblCellMar>
      <w:tblLook w:val="04A0" w:firstRow="1" w:lastRow="0" w:firstColumn="1" w:lastColumn="0" w:noHBand="0" w:noVBand="1"/>
    </w:tblPr>
    <w:tblGrid>
      <w:gridCol w:w="2987"/>
      <w:gridCol w:w="1161"/>
      <w:gridCol w:w="1644"/>
      <w:gridCol w:w="760"/>
      <w:gridCol w:w="2865"/>
      <w:gridCol w:w="657"/>
    </w:tblGrid>
    <w:tr w:rsidR="00CD449E" w:rsidRPr="00DA23BA" w14:paraId="4A25476C" w14:textId="77777777" w:rsidTr="00CC7B81">
      <w:trPr>
        <w:trHeight w:val="180"/>
      </w:trPr>
      <w:tc>
        <w:tcPr>
          <w:tcW w:w="1483" w:type="pct"/>
          <w:tcBorders>
            <w:top w:val="nil"/>
            <w:left w:val="nil"/>
            <w:bottom w:val="nil"/>
            <w:right w:val="nil"/>
          </w:tcBorders>
          <w:shd w:val="clear" w:color="auto" w:fill="auto"/>
          <w:noWrap/>
          <w:vAlign w:val="bottom"/>
        </w:tcPr>
        <w:p w14:paraId="32246210" w14:textId="77777777" w:rsidR="00CD449E" w:rsidRPr="00DA23BA" w:rsidRDefault="00CD449E" w:rsidP="00CC7B81">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38D2D442" w14:textId="77777777" w:rsidR="00CD449E" w:rsidRPr="00DA23BA" w:rsidRDefault="00CD449E" w:rsidP="00CC7B81">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B25B6A8" w14:textId="77777777" w:rsidR="00CD449E" w:rsidRPr="00DA23BA" w:rsidRDefault="00CD449E" w:rsidP="00CC7B81">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40DCF3DE" w14:textId="77777777" w:rsidR="00CD449E" w:rsidRPr="00DA23BA" w:rsidRDefault="00CD449E" w:rsidP="00CC7B81">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77846542" w14:textId="77777777" w:rsidR="00CD449E" w:rsidRPr="00DA23BA" w:rsidRDefault="00CD449E" w:rsidP="00CC7B8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2D2D9E79" w14:textId="77777777" w:rsidR="00CD449E" w:rsidRPr="00DA23BA" w:rsidRDefault="00CD449E" w:rsidP="00CC7B81">
          <w:pPr>
            <w:jc w:val="center"/>
            <w:rPr>
              <w:rFonts w:ascii="Arial" w:hAnsi="Arial" w:cs="Arial"/>
              <w:color w:val="000000"/>
              <w:sz w:val="15"/>
              <w:szCs w:val="15"/>
              <w:lang w:eastAsia="es-AR"/>
            </w:rPr>
          </w:pPr>
        </w:p>
      </w:tc>
    </w:tr>
    <w:tr w:rsidR="00CD449E" w:rsidRPr="00DA23BA" w14:paraId="54A16235" w14:textId="77777777" w:rsidTr="00CC7B81">
      <w:trPr>
        <w:trHeight w:val="180"/>
      </w:trPr>
      <w:tc>
        <w:tcPr>
          <w:tcW w:w="1483" w:type="pct"/>
          <w:tcBorders>
            <w:top w:val="nil"/>
            <w:left w:val="nil"/>
            <w:bottom w:val="nil"/>
            <w:right w:val="nil"/>
          </w:tcBorders>
          <w:shd w:val="clear" w:color="auto" w:fill="auto"/>
          <w:noWrap/>
          <w:vAlign w:val="bottom"/>
        </w:tcPr>
        <w:p w14:paraId="1331CE4F" w14:textId="77777777" w:rsidR="00CD449E" w:rsidRPr="00DA23BA" w:rsidRDefault="00CD449E" w:rsidP="00CC7B81">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78C45887" w14:textId="77777777" w:rsidR="00CD449E" w:rsidRPr="00DA23BA" w:rsidRDefault="00CD449E" w:rsidP="00CC7B81">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1F853D37" w14:textId="77777777" w:rsidR="00CD449E" w:rsidRPr="00DA23BA" w:rsidRDefault="00CD449E" w:rsidP="00CC7B81">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558A185B" w14:textId="77777777" w:rsidR="00CD449E" w:rsidRPr="00DA23BA" w:rsidRDefault="00CD449E" w:rsidP="00CC7B81">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2DD54FCC" w14:textId="77777777" w:rsidR="00CD449E" w:rsidRPr="00DA23BA" w:rsidRDefault="00CD449E" w:rsidP="00CC7B8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6B631ECC" w14:textId="77777777" w:rsidR="00CD449E" w:rsidRPr="00DA23BA" w:rsidRDefault="00CD449E" w:rsidP="00CC7B81">
          <w:pPr>
            <w:jc w:val="center"/>
            <w:rPr>
              <w:rFonts w:ascii="Arial" w:hAnsi="Arial" w:cs="Arial"/>
              <w:color w:val="000000"/>
              <w:sz w:val="15"/>
              <w:szCs w:val="15"/>
              <w:lang w:eastAsia="es-AR"/>
            </w:rPr>
          </w:pPr>
        </w:p>
      </w:tc>
    </w:tr>
    <w:tr w:rsidR="00CD449E" w:rsidRPr="00DA23BA" w14:paraId="183F77CE" w14:textId="77777777" w:rsidTr="00CC7B81">
      <w:trPr>
        <w:trHeight w:val="180"/>
      </w:trPr>
      <w:tc>
        <w:tcPr>
          <w:tcW w:w="1483" w:type="pct"/>
          <w:tcBorders>
            <w:top w:val="nil"/>
            <w:left w:val="nil"/>
            <w:bottom w:val="nil"/>
            <w:right w:val="nil"/>
          </w:tcBorders>
          <w:shd w:val="clear" w:color="auto" w:fill="auto"/>
          <w:noWrap/>
          <w:vAlign w:val="bottom"/>
        </w:tcPr>
        <w:p w14:paraId="4E416CE3" w14:textId="77777777" w:rsidR="00CD449E" w:rsidRPr="00DA23BA" w:rsidRDefault="00CD449E" w:rsidP="00CC7B81">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3EFB0DF1" w14:textId="77777777" w:rsidR="00CD449E" w:rsidRPr="00DA23BA" w:rsidRDefault="00CD449E" w:rsidP="00CC7B81">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4052A959" w14:textId="77777777" w:rsidR="00CD449E" w:rsidRPr="00DA23BA" w:rsidRDefault="00CD449E" w:rsidP="00CC7B81">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3E378A28" w14:textId="77777777" w:rsidR="00CD449E" w:rsidRPr="00DA23BA" w:rsidRDefault="00CD449E" w:rsidP="00CC7B81">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73BBFDAA" w14:textId="77777777" w:rsidR="00CD449E" w:rsidRPr="00DA23BA" w:rsidRDefault="00CD449E" w:rsidP="00CC7B8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0DFF5A7F" w14:textId="77777777" w:rsidR="00CD449E" w:rsidRPr="00DA23BA" w:rsidRDefault="00CD449E" w:rsidP="00CC7B81">
          <w:pPr>
            <w:jc w:val="center"/>
            <w:rPr>
              <w:rFonts w:ascii="Arial" w:hAnsi="Arial" w:cs="Arial"/>
              <w:color w:val="000000"/>
              <w:sz w:val="15"/>
              <w:szCs w:val="15"/>
              <w:lang w:eastAsia="es-AR"/>
            </w:rPr>
          </w:pPr>
        </w:p>
      </w:tc>
    </w:tr>
    <w:tr w:rsidR="00CD449E" w:rsidRPr="00DA23BA" w14:paraId="3DCB7BD4" w14:textId="77777777" w:rsidTr="00CC7B81">
      <w:trPr>
        <w:trHeight w:val="180"/>
      </w:trPr>
      <w:tc>
        <w:tcPr>
          <w:tcW w:w="1483" w:type="pct"/>
          <w:tcBorders>
            <w:top w:val="nil"/>
            <w:left w:val="nil"/>
            <w:bottom w:val="nil"/>
            <w:right w:val="nil"/>
          </w:tcBorders>
          <w:shd w:val="clear" w:color="auto" w:fill="auto"/>
          <w:noWrap/>
          <w:vAlign w:val="bottom"/>
        </w:tcPr>
        <w:p w14:paraId="55E3E01E" w14:textId="77777777" w:rsidR="00CD449E" w:rsidRPr="00DA23BA" w:rsidRDefault="00CD449E" w:rsidP="00205B29">
          <w:pPr>
            <w:jc w:val="center"/>
            <w:rPr>
              <w:rFonts w:ascii="Arial" w:hAnsi="Arial" w:cs="Arial"/>
              <w:sz w:val="15"/>
              <w:szCs w:val="15"/>
              <w:lang w:eastAsia="es-AR"/>
            </w:rPr>
          </w:pPr>
          <w:r>
            <w:rPr>
              <w:rFonts w:ascii="Arial" w:hAnsi="Arial" w:cs="Arial"/>
              <w:sz w:val="15"/>
              <w:szCs w:val="15"/>
              <w:lang w:eastAsia="es-AR"/>
            </w:rPr>
            <w:t>Mariano Andrés Biglia</w:t>
          </w:r>
        </w:p>
      </w:tc>
      <w:tc>
        <w:tcPr>
          <w:tcW w:w="576" w:type="pct"/>
          <w:tcBorders>
            <w:top w:val="nil"/>
            <w:left w:val="nil"/>
            <w:bottom w:val="nil"/>
            <w:right w:val="nil"/>
          </w:tcBorders>
          <w:shd w:val="clear" w:color="auto" w:fill="auto"/>
          <w:noWrap/>
          <w:vAlign w:val="bottom"/>
        </w:tcPr>
        <w:p w14:paraId="2219C747"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51FEA33E" w14:textId="77777777" w:rsidR="00CD449E" w:rsidRPr="00DA23BA" w:rsidRDefault="00CD449E" w:rsidP="00205B29">
          <w:pPr>
            <w:jc w:val="center"/>
            <w:rPr>
              <w:rFonts w:ascii="Arial" w:hAnsi="Arial" w:cs="Arial"/>
              <w:sz w:val="15"/>
              <w:szCs w:val="15"/>
              <w:lang w:eastAsia="es-AR"/>
            </w:rPr>
          </w:pPr>
          <w:r>
            <w:rPr>
              <w:rFonts w:ascii="Arial" w:hAnsi="Arial" w:cs="Arial"/>
              <w:sz w:val="15"/>
              <w:szCs w:val="15"/>
            </w:rPr>
            <w:t>Jorge Oscar Ramírez</w:t>
          </w:r>
        </w:p>
      </w:tc>
      <w:tc>
        <w:tcPr>
          <w:tcW w:w="377" w:type="pct"/>
          <w:tcBorders>
            <w:top w:val="nil"/>
            <w:left w:val="nil"/>
            <w:bottom w:val="nil"/>
            <w:right w:val="nil"/>
          </w:tcBorders>
          <w:shd w:val="clear" w:color="auto" w:fill="auto"/>
          <w:noWrap/>
          <w:vAlign w:val="bottom"/>
        </w:tcPr>
        <w:p w14:paraId="30C9610F"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389D46A1" w14:textId="77777777" w:rsidR="00CD449E" w:rsidRPr="00662E02" w:rsidRDefault="00CD449E" w:rsidP="00205B29">
          <w:pPr>
            <w:ind w:left="-26" w:firstLine="26"/>
            <w:jc w:val="center"/>
            <w:rPr>
              <w:rFonts w:ascii="Arial" w:hAnsi="Arial" w:cs="Arial"/>
              <w:sz w:val="15"/>
              <w:szCs w:val="15"/>
              <w:lang w:eastAsia="es-AR"/>
            </w:rPr>
          </w:pPr>
          <w:r w:rsidRPr="00525F7E">
            <w:rPr>
              <w:rFonts w:ascii="Arial" w:hAnsi="Arial" w:cs="Arial"/>
              <w:sz w:val="15"/>
              <w:szCs w:val="15"/>
              <w:lang w:eastAsia="es-AR"/>
            </w:rPr>
            <w:t>Atilio María Dell Oro Maini</w:t>
          </w:r>
        </w:p>
      </w:tc>
      <w:tc>
        <w:tcPr>
          <w:tcW w:w="326" w:type="pct"/>
          <w:tcBorders>
            <w:top w:val="nil"/>
            <w:left w:val="nil"/>
            <w:bottom w:val="nil"/>
            <w:right w:val="nil"/>
          </w:tcBorders>
          <w:shd w:val="clear" w:color="auto" w:fill="auto"/>
          <w:noWrap/>
          <w:vAlign w:val="bottom"/>
        </w:tcPr>
        <w:p w14:paraId="04AB6196" w14:textId="77777777" w:rsidR="00CD449E" w:rsidRPr="00DA23BA" w:rsidRDefault="00CD449E" w:rsidP="00205B29">
          <w:pPr>
            <w:jc w:val="center"/>
            <w:rPr>
              <w:rFonts w:ascii="Arial" w:hAnsi="Arial" w:cs="Arial"/>
              <w:color w:val="000000"/>
              <w:sz w:val="15"/>
              <w:szCs w:val="15"/>
              <w:lang w:eastAsia="es-AR"/>
            </w:rPr>
          </w:pPr>
        </w:p>
      </w:tc>
    </w:tr>
    <w:tr w:rsidR="00CD449E" w:rsidRPr="00DA23BA" w14:paraId="5E697772" w14:textId="77777777" w:rsidTr="00CC7B81">
      <w:trPr>
        <w:trHeight w:val="180"/>
      </w:trPr>
      <w:tc>
        <w:tcPr>
          <w:tcW w:w="1483" w:type="pct"/>
          <w:tcBorders>
            <w:top w:val="nil"/>
            <w:left w:val="nil"/>
            <w:bottom w:val="nil"/>
            <w:right w:val="nil"/>
          </w:tcBorders>
          <w:shd w:val="clear" w:color="auto" w:fill="auto"/>
          <w:noWrap/>
          <w:vAlign w:val="bottom"/>
        </w:tcPr>
        <w:p w14:paraId="425A40AB"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Responsable del Área Contable</w:t>
          </w:r>
        </w:p>
      </w:tc>
      <w:tc>
        <w:tcPr>
          <w:tcW w:w="576" w:type="pct"/>
          <w:tcBorders>
            <w:top w:val="nil"/>
            <w:left w:val="nil"/>
            <w:bottom w:val="nil"/>
            <w:right w:val="nil"/>
          </w:tcBorders>
          <w:shd w:val="clear" w:color="auto" w:fill="auto"/>
          <w:noWrap/>
          <w:vAlign w:val="bottom"/>
        </w:tcPr>
        <w:p w14:paraId="1B6FB2FF"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27329011"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Gerente General</w:t>
          </w:r>
        </w:p>
      </w:tc>
      <w:tc>
        <w:tcPr>
          <w:tcW w:w="377" w:type="pct"/>
          <w:tcBorders>
            <w:top w:val="nil"/>
            <w:left w:val="nil"/>
            <w:bottom w:val="nil"/>
            <w:right w:val="nil"/>
          </w:tcBorders>
          <w:shd w:val="clear" w:color="auto" w:fill="auto"/>
          <w:noWrap/>
          <w:vAlign w:val="bottom"/>
        </w:tcPr>
        <w:p w14:paraId="59CDB530"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43ACEA8C" w14:textId="77777777" w:rsidR="00CD449E" w:rsidRPr="00DA23BA" w:rsidRDefault="00CD449E" w:rsidP="00205B29">
          <w:pPr>
            <w:ind w:left="210" w:hanging="210"/>
            <w:jc w:val="center"/>
            <w:rPr>
              <w:rFonts w:ascii="Arial" w:hAnsi="Arial" w:cs="Arial"/>
              <w:sz w:val="15"/>
              <w:szCs w:val="15"/>
              <w:lang w:eastAsia="es-AR"/>
            </w:rPr>
          </w:pPr>
          <w:r>
            <w:rPr>
              <w:rFonts w:ascii="Arial" w:hAnsi="Arial" w:cs="Arial"/>
              <w:sz w:val="15"/>
              <w:szCs w:val="15"/>
              <w:lang w:eastAsia="es-AR"/>
            </w:rPr>
            <w:t>Vicep</w:t>
          </w:r>
          <w:r w:rsidRPr="00DA23BA">
            <w:rPr>
              <w:rFonts w:ascii="Arial" w:hAnsi="Arial" w:cs="Arial"/>
              <w:sz w:val="15"/>
              <w:szCs w:val="15"/>
              <w:lang w:eastAsia="es-AR"/>
            </w:rPr>
            <w:t>residente</w:t>
          </w:r>
        </w:p>
      </w:tc>
      <w:tc>
        <w:tcPr>
          <w:tcW w:w="326" w:type="pct"/>
          <w:tcBorders>
            <w:top w:val="nil"/>
            <w:left w:val="nil"/>
            <w:bottom w:val="nil"/>
            <w:right w:val="nil"/>
          </w:tcBorders>
          <w:shd w:val="clear" w:color="auto" w:fill="auto"/>
          <w:noWrap/>
          <w:vAlign w:val="bottom"/>
        </w:tcPr>
        <w:p w14:paraId="5BAEDD37" w14:textId="77777777" w:rsidR="00CD449E" w:rsidRPr="00DA23BA" w:rsidRDefault="00CD449E" w:rsidP="00205B29">
          <w:pPr>
            <w:jc w:val="center"/>
            <w:rPr>
              <w:rFonts w:ascii="Arial" w:hAnsi="Arial" w:cs="Arial"/>
              <w:color w:val="000000"/>
              <w:sz w:val="15"/>
              <w:szCs w:val="15"/>
              <w:lang w:eastAsia="es-AR"/>
            </w:rPr>
          </w:pPr>
        </w:p>
      </w:tc>
    </w:tr>
    <w:tr w:rsidR="00CD449E" w:rsidRPr="00DA23BA" w14:paraId="34F3EB69" w14:textId="77777777" w:rsidTr="00CC7B81">
      <w:trPr>
        <w:trHeight w:val="180"/>
      </w:trPr>
      <w:tc>
        <w:tcPr>
          <w:tcW w:w="1483" w:type="pct"/>
          <w:tcBorders>
            <w:top w:val="nil"/>
            <w:left w:val="nil"/>
            <w:bottom w:val="nil"/>
            <w:right w:val="nil"/>
          </w:tcBorders>
          <w:shd w:val="clear" w:color="auto" w:fill="auto"/>
          <w:noWrap/>
          <w:vAlign w:val="bottom"/>
        </w:tcPr>
        <w:p w14:paraId="0F1842E8" w14:textId="77777777" w:rsidR="00CD449E" w:rsidRPr="00DA23BA" w:rsidRDefault="00CD449E"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30CB86BD"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AFCCCF1" w14:textId="77777777" w:rsidR="00CD449E" w:rsidRPr="00DA23BA"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1F4EE995"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3163BD2A" w14:textId="77777777" w:rsidR="00CD449E" w:rsidRPr="00DA23BA" w:rsidRDefault="00CD449E" w:rsidP="00205B29">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5A5CCB66" w14:textId="77777777" w:rsidR="00CD449E" w:rsidRPr="00DA23BA" w:rsidRDefault="00CD449E" w:rsidP="00205B29">
          <w:pPr>
            <w:jc w:val="center"/>
            <w:rPr>
              <w:rFonts w:ascii="Arial" w:hAnsi="Arial" w:cs="Arial"/>
              <w:sz w:val="15"/>
              <w:szCs w:val="15"/>
              <w:lang w:eastAsia="es-AR"/>
            </w:rPr>
          </w:pPr>
        </w:p>
      </w:tc>
    </w:tr>
    <w:tr w:rsidR="00CD449E" w:rsidRPr="00DA23BA" w14:paraId="2D7DDD14" w14:textId="77777777" w:rsidTr="00CC7B81">
      <w:trPr>
        <w:trHeight w:val="180"/>
      </w:trPr>
      <w:tc>
        <w:tcPr>
          <w:tcW w:w="1483" w:type="pct"/>
          <w:tcBorders>
            <w:top w:val="nil"/>
            <w:left w:val="nil"/>
            <w:bottom w:val="nil"/>
            <w:right w:val="nil"/>
          </w:tcBorders>
          <w:shd w:val="clear" w:color="auto" w:fill="auto"/>
          <w:noWrap/>
          <w:vAlign w:val="bottom"/>
        </w:tcPr>
        <w:p w14:paraId="0C9AEF71"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576" w:type="pct"/>
          <w:tcBorders>
            <w:top w:val="nil"/>
            <w:left w:val="nil"/>
            <w:bottom w:val="nil"/>
            <w:right w:val="nil"/>
          </w:tcBorders>
          <w:shd w:val="clear" w:color="auto" w:fill="auto"/>
          <w:noWrap/>
          <w:vAlign w:val="bottom"/>
        </w:tcPr>
        <w:p w14:paraId="2EE082CA"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760656D2" w14:textId="77777777" w:rsidR="00CD449E" w:rsidRPr="00DA23BA"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6C3DB584"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16697347" w14:textId="6AE9A31A" w:rsidR="00CD449E" w:rsidRPr="00DA23BA" w:rsidRDefault="00CD449E" w:rsidP="00205B29">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66783B0A" w14:textId="77777777" w:rsidR="00CD449E" w:rsidRPr="00DA23BA" w:rsidRDefault="00CD449E" w:rsidP="00205B29">
          <w:pPr>
            <w:jc w:val="center"/>
            <w:rPr>
              <w:rFonts w:ascii="Arial" w:hAnsi="Arial" w:cs="Arial"/>
              <w:color w:val="000000"/>
              <w:sz w:val="15"/>
              <w:szCs w:val="15"/>
              <w:lang w:eastAsia="es-AR"/>
            </w:rPr>
          </w:pPr>
        </w:p>
      </w:tc>
    </w:tr>
    <w:tr w:rsidR="00CD449E" w:rsidRPr="00DA23BA" w14:paraId="02028BF8" w14:textId="77777777" w:rsidTr="00CC7B81">
      <w:trPr>
        <w:trHeight w:val="180"/>
      </w:trPr>
      <w:tc>
        <w:tcPr>
          <w:tcW w:w="1483" w:type="pct"/>
          <w:tcBorders>
            <w:top w:val="nil"/>
            <w:left w:val="nil"/>
            <w:bottom w:val="nil"/>
            <w:right w:val="nil"/>
          </w:tcBorders>
          <w:shd w:val="clear" w:color="auto" w:fill="auto"/>
          <w:noWrap/>
          <w:vAlign w:val="bottom"/>
        </w:tcPr>
        <w:p w14:paraId="50971810" w14:textId="77777777" w:rsidR="00CD449E" w:rsidRPr="00DA23BA" w:rsidRDefault="00CD449E" w:rsidP="00205B29">
          <w:pPr>
            <w:jc w:val="center"/>
            <w:rPr>
              <w:rFonts w:ascii="Arial" w:hAnsi="Arial" w:cs="Arial"/>
              <w:sz w:val="15"/>
              <w:szCs w:val="15"/>
              <w:lang w:eastAsia="es-AR"/>
            </w:rPr>
          </w:pPr>
          <w:r>
            <w:rPr>
              <w:rFonts w:ascii="Arial" w:hAnsi="Arial" w:cs="Arial"/>
              <w:sz w:val="15"/>
              <w:szCs w:val="15"/>
              <w:lang w:eastAsia="es-AR"/>
            </w:rPr>
            <w:t>19 de febrero de 2020</w:t>
          </w:r>
        </w:p>
      </w:tc>
      <w:tc>
        <w:tcPr>
          <w:tcW w:w="576" w:type="pct"/>
          <w:tcBorders>
            <w:top w:val="nil"/>
            <w:left w:val="nil"/>
            <w:bottom w:val="nil"/>
            <w:right w:val="nil"/>
          </w:tcBorders>
          <w:shd w:val="clear" w:color="auto" w:fill="auto"/>
          <w:noWrap/>
          <w:vAlign w:val="bottom"/>
        </w:tcPr>
        <w:p w14:paraId="4F8308CF"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70F5D5B9" w14:textId="77777777" w:rsidR="00CD449E" w:rsidRPr="00DA23BA"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221502F5"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1B1F4873" w14:textId="2022FA68" w:rsidR="00CD449E" w:rsidRPr="00DA23BA" w:rsidRDefault="00CD449E" w:rsidP="00634606">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1A2B1648" w14:textId="77777777" w:rsidR="00CD449E" w:rsidRPr="00DA23BA" w:rsidRDefault="00CD449E" w:rsidP="00205B29">
          <w:pPr>
            <w:jc w:val="center"/>
            <w:rPr>
              <w:rFonts w:ascii="Arial" w:hAnsi="Arial" w:cs="Arial"/>
              <w:color w:val="000000"/>
              <w:sz w:val="15"/>
              <w:szCs w:val="15"/>
              <w:lang w:eastAsia="es-AR"/>
            </w:rPr>
          </w:pPr>
        </w:p>
      </w:tc>
    </w:tr>
    <w:tr w:rsidR="00CD449E" w:rsidRPr="00F02E0C" w14:paraId="6986D736" w14:textId="77777777" w:rsidTr="00CC7B81">
      <w:trPr>
        <w:trHeight w:val="180"/>
      </w:trPr>
      <w:tc>
        <w:tcPr>
          <w:tcW w:w="1483" w:type="pct"/>
          <w:tcBorders>
            <w:top w:val="nil"/>
            <w:left w:val="nil"/>
            <w:bottom w:val="nil"/>
            <w:right w:val="nil"/>
          </w:tcBorders>
          <w:shd w:val="clear" w:color="auto" w:fill="auto"/>
          <w:noWrap/>
          <w:vAlign w:val="center"/>
        </w:tcPr>
        <w:p w14:paraId="36C06B55"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Por Comisión Fiscalizadora</w:t>
          </w:r>
        </w:p>
      </w:tc>
      <w:tc>
        <w:tcPr>
          <w:tcW w:w="576" w:type="pct"/>
          <w:tcBorders>
            <w:top w:val="nil"/>
            <w:left w:val="nil"/>
            <w:bottom w:val="nil"/>
            <w:right w:val="nil"/>
          </w:tcBorders>
          <w:shd w:val="clear" w:color="auto" w:fill="auto"/>
          <w:noWrap/>
          <w:vAlign w:val="bottom"/>
        </w:tcPr>
        <w:p w14:paraId="0EE2653D" w14:textId="77777777" w:rsidR="00CD449E" w:rsidRPr="00DA23BA"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1E5298F9" w14:textId="77777777" w:rsidR="00CD449E" w:rsidRPr="00DA23BA"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61C34AB1"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1C155805" w14:textId="78ED393A" w:rsidR="00CD449E" w:rsidRPr="00DA23BA" w:rsidRDefault="00CD449E" w:rsidP="00205B29">
          <w:pPr>
            <w:ind w:left="210" w:hanging="210"/>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79DE8AFC" w14:textId="77777777" w:rsidR="00CD449E" w:rsidRPr="00DA23BA" w:rsidRDefault="00CD449E" w:rsidP="00205B29">
          <w:pPr>
            <w:jc w:val="center"/>
            <w:rPr>
              <w:rFonts w:ascii="Arial" w:hAnsi="Arial" w:cs="Arial"/>
              <w:color w:val="000000"/>
              <w:sz w:val="15"/>
              <w:szCs w:val="15"/>
              <w:lang w:val="en-US" w:eastAsia="es-AR"/>
            </w:rPr>
          </w:pPr>
        </w:p>
      </w:tc>
    </w:tr>
    <w:tr w:rsidR="00CD449E" w:rsidRPr="00F02E0C" w14:paraId="5C1AFB3A" w14:textId="77777777" w:rsidTr="00CC7B81">
      <w:trPr>
        <w:trHeight w:val="180"/>
      </w:trPr>
      <w:tc>
        <w:tcPr>
          <w:tcW w:w="1483" w:type="pct"/>
          <w:tcBorders>
            <w:top w:val="nil"/>
            <w:left w:val="nil"/>
            <w:bottom w:val="nil"/>
            <w:right w:val="nil"/>
          </w:tcBorders>
          <w:shd w:val="clear" w:color="auto" w:fill="auto"/>
          <w:noWrap/>
          <w:vAlign w:val="bottom"/>
        </w:tcPr>
        <w:p w14:paraId="74FB2195" w14:textId="77777777" w:rsidR="00CD449E" w:rsidRPr="00DA23BA" w:rsidRDefault="00CD449E" w:rsidP="00205B29">
          <w:pPr>
            <w:jc w:val="center"/>
            <w:rPr>
              <w:rFonts w:ascii="Arial" w:hAnsi="Arial" w:cs="Arial"/>
              <w:sz w:val="15"/>
              <w:szCs w:val="15"/>
              <w:lang w:val="en-US" w:eastAsia="es-AR"/>
            </w:rPr>
          </w:pPr>
        </w:p>
      </w:tc>
      <w:tc>
        <w:tcPr>
          <w:tcW w:w="576" w:type="pct"/>
          <w:tcBorders>
            <w:top w:val="nil"/>
            <w:left w:val="nil"/>
            <w:bottom w:val="nil"/>
            <w:right w:val="nil"/>
          </w:tcBorders>
          <w:shd w:val="clear" w:color="auto" w:fill="auto"/>
          <w:noWrap/>
          <w:vAlign w:val="bottom"/>
        </w:tcPr>
        <w:p w14:paraId="614451B4" w14:textId="77777777" w:rsidR="00CD449E" w:rsidRPr="008A6403" w:rsidRDefault="00CD449E"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14FF5AE8" w14:textId="77777777" w:rsidR="00CD449E" w:rsidRPr="008A6403" w:rsidRDefault="00CD449E"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234F3B11" w14:textId="77777777" w:rsidR="00CD449E" w:rsidRPr="008A6403" w:rsidRDefault="00CD449E"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3199CB46" w14:textId="77777777" w:rsidR="00CD449E" w:rsidRPr="00DA23BA" w:rsidRDefault="00CD449E" w:rsidP="00205B29">
          <w:pPr>
            <w:ind w:left="352" w:hanging="352"/>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74181CEF" w14:textId="77777777" w:rsidR="00CD449E" w:rsidRPr="00DA23BA" w:rsidRDefault="00CD449E" w:rsidP="00205B29">
          <w:pPr>
            <w:jc w:val="center"/>
            <w:rPr>
              <w:rFonts w:ascii="Arial" w:hAnsi="Arial" w:cs="Arial"/>
              <w:color w:val="000000"/>
              <w:sz w:val="15"/>
              <w:szCs w:val="15"/>
              <w:lang w:val="en-US" w:eastAsia="es-AR"/>
            </w:rPr>
          </w:pPr>
        </w:p>
      </w:tc>
    </w:tr>
    <w:tr w:rsidR="00CD449E" w:rsidRPr="00F02E0C" w14:paraId="5058A221" w14:textId="77777777" w:rsidTr="00CC7B81">
      <w:trPr>
        <w:trHeight w:val="180"/>
      </w:trPr>
      <w:tc>
        <w:tcPr>
          <w:tcW w:w="1483" w:type="pct"/>
          <w:tcBorders>
            <w:top w:val="nil"/>
            <w:left w:val="nil"/>
            <w:bottom w:val="nil"/>
            <w:right w:val="nil"/>
          </w:tcBorders>
          <w:shd w:val="clear" w:color="auto" w:fill="auto"/>
          <w:noWrap/>
          <w:vAlign w:val="bottom"/>
        </w:tcPr>
        <w:p w14:paraId="1224CA66" w14:textId="77777777" w:rsidR="00CD449E" w:rsidRPr="00DA23BA" w:rsidRDefault="00CD449E" w:rsidP="00205B29">
          <w:pPr>
            <w:jc w:val="center"/>
            <w:rPr>
              <w:rFonts w:ascii="Arial" w:hAnsi="Arial" w:cs="Arial"/>
              <w:sz w:val="15"/>
              <w:szCs w:val="15"/>
              <w:lang w:val="en-US" w:eastAsia="es-AR"/>
            </w:rPr>
          </w:pPr>
        </w:p>
      </w:tc>
      <w:tc>
        <w:tcPr>
          <w:tcW w:w="576" w:type="pct"/>
          <w:tcBorders>
            <w:top w:val="nil"/>
            <w:left w:val="nil"/>
            <w:bottom w:val="nil"/>
            <w:right w:val="nil"/>
          </w:tcBorders>
          <w:shd w:val="clear" w:color="auto" w:fill="auto"/>
          <w:noWrap/>
          <w:vAlign w:val="bottom"/>
        </w:tcPr>
        <w:p w14:paraId="287554DE" w14:textId="77777777" w:rsidR="00CD449E" w:rsidRPr="008A6403" w:rsidRDefault="00CD449E"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384589C3" w14:textId="77777777" w:rsidR="00CD449E" w:rsidRPr="008A6403" w:rsidRDefault="00CD449E"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5EC2D1C2" w14:textId="77777777" w:rsidR="00CD449E" w:rsidRPr="008A6403" w:rsidRDefault="00CD449E"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72F5EA19" w14:textId="77777777" w:rsidR="00CD449E" w:rsidRPr="00DA23BA" w:rsidRDefault="00CD449E" w:rsidP="00205B29">
          <w:pPr>
            <w:ind w:left="498" w:hanging="498"/>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5F22AD21" w14:textId="77777777" w:rsidR="00CD449E" w:rsidRPr="00DA23BA" w:rsidRDefault="00CD449E" w:rsidP="00205B29">
          <w:pPr>
            <w:jc w:val="center"/>
            <w:rPr>
              <w:rFonts w:ascii="Arial" w:hAnsi="Arial" w:cs="Arial"/>
              <w:color w:val="000000"/>
              <w:sz w:val="15"/>
              <w:szCs w:val="15"/>
              <w:lang w:val="en-US" w:eastAsia="es-AR"/>
            </w:rPr>
          </w:pPr>
        </w:p>
      </w:tc>
    </w:tr>
    <w:tr w:rsidR="00CD449E" w:rsidRPr="00DA23BA" w14:paraId="14125F08" w14:textId="77777777" w:rsidTr="00CC7B81">
      <w:trPr>
        <w:trHeight w:val="180"/>
      </w:trPr>
      <w:tc>
        <w:tcPr>
          <w:tcW w:w="1483" w:type="pct"/>
          <w:tcBorders>
            <w:top w:val="nil"/>
            <w:left w:val="nil"/>
            <w:bottom w:val="nil"/>
            <w:right w:val="nil"/>
          </w:tcBorders>
          <w:shd w:val="clear" w:color="auto" w:fill="auto"/>
          <w:noWrap/>
          <w:vAlign w:val="bottom"/>
        </w:tcPr>
        <w:p w14:paraId="7350AF57" w14:textId="77777777" w:rsidR="00CD449E" w:rsidRPr="00DA23BA" w:rsidRDefault="00CD449E" w:rsidP="00205B29">
          <w:pPr>
            <w:jc w:val="center"/>
            <w:rPr>
              <w:rFonts w:ascii="Arial" w:hAnsi="Arial" w:cs="Arial"/>
              <w:sz w:val="15"/>
              <w:szCs w:val="15"/>
              <w:lang w:val="en-US" w:eastAsia="es-AR"/>
            </w:rPr>
          </w:pPr>
        </w:p>
      </w:tc>
      <w:tc>
        <w:tcPr>
          <w:tcW w:w="576" w:type="pct"/>
          <w:tcBorders>
            <w:top w:val="nil"/>
            <w:left w:val="nil"/>
            <w:bottom w:val="nil"/>
            <w:right w:val="nil"/>
          </w:tcBorders>
          <w:shd w:val="clear" w:color="auto" w:fill="auto"/>
          <w:noWrap/>
          <w:vAlign w:val="bottom"/>
        </w:tcPr>
        <w:p w14:paraId="79639743" w14:textId="77777777" w:rsidR="00CD449E" w:rsidRPr="00DA23BA" w:rsidRDefault="00CD449E"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7CAECC83" w14:textId="77777777" w:rsidR="00CD449E" w:rsidRPr="00DA23BA" w:rsidRDefault="00CD449E"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58E8C270" w14:textId="77777777" w:rsidR="00CD449E" w:rsidRPr="00DA23BA" w:rsidRDefault="00CD449E"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74781E79" w14:textId="77777777" w:rsidR="00CD449E" w:rsidRPr="00DA23BA" w:rsidRDefault="00CD449E" w:rsidP="00205B29">
          <w:pPr>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3F35F55A" w14:textId="3FB950EB" w:rsidR="00CD449E" w:rsidRPr="00DA23BA" w:rsidRDefault="00CD449E" w:rsidP="00205B29">
          <w:pPr>
            <w:jc w:val="center"/>
            <w:rPr>
              <w:rFonts w:ascii="Arial" w:hAnsi="Arial" w:cs="Arial"/>
              <w:sz w:val="15"/>
              <w:szCs w:val="15"/>
              <w:lang w:eastAsia="es-AR"/>
            </w:rPr>
          </w:pPr>
        </w:p>
      </w:tc>
    </w:tr>
    <w:tr w:rsidR="00CD449E" w:rsidRPr="008A6403" w14:paraId="30142F08" w14:textId="77777777" w:rsidTr="00CC7B81">
      <w:trPr>
        <w:trHeight w:val="180"/>
      </w:trPr>
      <w:tc>
        <w:tcPr>
          <w:tcW w:w="1483" w:type="pct"/>
          <w:tcBorders>
            <w:top w:val="nil"/>
            <w:left w:val="nil"/>
            <w:bottom w:val="nil"/>
            <w:right w:val="nil"/>
          </w:tcBorders>
          <w:shd w:val="clear" w:color="auto" w:fill="auto"/>
          <w:noWrap/>
          <w:vAlign w:val="bottom"/>
        </w:tcPr>
        <w:p w14:paraId="1FD46783"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Enrique José Barreiro</w:t>
          </w:r>
        </w:p>
      </w:tc>
      <w:tc>
        <w:tcPr>
          <w:tcW w:w="576" w:type="pct"/>
          <w:tcBorders>
            <w:top w:val="nil"/>
            <w:left w:val="nil"/>
            <w:bottom w:val="nil"/>
            <w:right w:val="nil"/>
          </w:tcBorders>
          <w:shd w:val="clear" w:color="auto" w:fill="auto"/>
          <w:noWrap/>
          <w:vAlign w:val="bottom"/>
        </w:tcPr>
        <w:p w14:paraId="3293C982" w14:textId="77777777" w:rsidR="00CD449E" w:rsidRPr="00DA23BA" w:rsidRDefault="00CD449E"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6AA64D8D" w14:textId="77777777" w:rsidR="00CD449E" w:rsidRPr="00DA23BA" w:rsidRDefault="00CD449E"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08FA0573" w14:textId="77777777" w:rsidR="00CD449E" w:rsidRPr="00DA23BA" w:rsidRDefault="00CD449E"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vAlign w:val="bottom"/>
        </w:tcPr>
        <w:p w14:paraId="7AAFBD7A" w14:textId="77777777" w:rsidR="00CD449E" w:rsidRPr="00000EDD" w:rsidRDefault="00CD449E" w:rsidP="00205B29">
          <w:pPr>
            <w:jc w:val="center"/>
            <w:rPr>
              <w:rFonts w:ascii="Arial" w:hAnsi="Arial" w:cs="Arial"/>
              <w:color w:val="FF0000"/>
              <w:sz w:val="15"/>
              <w:szCs w:val="15"/>
              <w:lang w:val="en-US" w:eastAsia="es-AR"/>
            </w:rPr>
          </w:pPr>
        </w:p>
      </w:tc>
      <w:tc>
        <w:tcPr>
          <w:tcW w:w="326" w:type="pct"/>
          <w:tcBorders>
            <w:top w:val="nil"/>
            <w:left w:val="nil"/>
            <w:bottom w:val="nil"/>
            <w:right w:val="nil"/>
          </w:tcBorders>
          <w:shd w:val="clear" w:color="auto" w:fill="auto"/>
          <w:noWrap/>
          <w:vAlign w:val="bottom"/>
        </w:tcPr>
        <w:p w14:paraId="4304F412" w14:textId="77777777" w:rsidR="00CD449E" w:rsidRPr="008A6403" w:rsidRDefault="00CD449E" w:rsidP="00205B29">
          <w:pPr>
            <w:jc w:val="center"/>
            <w:rPr>
              <w:rFonts w:ascii="Arial" w:hAnsi="Arial" w:cs="Arial"/>
              <w:color w:val="000000"/>
              <w:sz w:val="15"/>
              <w:szCs w:val="15"/>
              <w:lang w:val="en-US" w:eastAsia="es-AR"/>
            </w:rPr>
          </w:pPr>
        </w:p>
      </w:tc>
    </w:tr>
    <w:tr w:rsidR="00CD449E" w:rsidRPr="005F797B" w14:paraId="78EBEBBE" w14:textId="77777777" w:rsidTr="00A74D2F">
      <w:trPr>
        <w:trHeight w:val="180"/>
      </w:trPr>
      <w:tc>
        <w:tcPr>
          <w:tcW w:w="1483" w:type="pct"/>
          <w:tcBorders>
            <w:top w:val="nil"/>
            <w:left w:val="nil"/>
            <w:bottom w:val="nil"/>
            <w:right w:val="nil"/>
          </w:tcBorders>
          <w:shd w:val="clear" w:color="auto" w:fill="auto"/>
          <w:noWrap/>
          <w:vAlign w:val="bottom"/>
        </w:tcPr>
        <w:p w14:paraId="115D0D3E" w14:textId="77777777" w:rsidR="00CD449E" w:rsidRPr="00DA23BA" w:rsidRDefault="00CD449E" w:rsidP="00205B29">
          <w:pPr>
            <w:jc w:val="center"/>
            <w:rPr>
              <w:rFonts w:ascii="Arial" w:hAnsi="Arial" w:cs="Arial"/>
              <w:sz w:val="15"/>
              <w:szCs w:val="15"/>
              <w:lang w:eastAsia="es-AR"/>
            </w:rPr>
          </w:pPr>
          <w:r w:rsidRPr="00DA23BA">
            <w:rPr>
              <w:rFonts w:ascii="Arial" w:hAnsi="Arial" w:cs="Arial"/>
              <w:sz w:val="15"/>
              <w:szCs w:val="15"/>
              <w:lang w:eastAsia="es-AR"/>
            </w:rPr>
            <w:t>Síndico</w:t>
          </w:r>
        </w:p>
      </w:tc>
      <w:tc>
        <w:tcPr>
          <w:tcW w:w="576" w:type="pct"/>
          <w:tcBorders>
            <w:top w:val="nil"/>
            <w:left w:val="nil"/>
            <w:bottom w:val="nil"/>
            <w:right w:val="nil"/>
          </w:tcBorders>
          <w:shd w:val="clear" w:color="auto" w:fill="auto"/>
          <w:noWrap/>
          <w:vAlign w:val="bottom"/>
        </w:tcPr>
        <w:p w14:paraId="39D1B401" w14:textId="77777777" w:rsidR="00CD449E" w:rsidRPr="00DA23BA" w:rsidRDefault="00CD449E" w:rsidP="00205B29">
          <w:pPr>
            <w:jc w:val="center"/>
            <w:rPr>
              <w:rFonts w:ascii="Arial" w:hAnsi="Arial" w:cs="Arial"/>
              <w:sz w:val="15"/>
              <w:szCs w:val="15"/>
              <w:lang w:val="en-US" w:eastAsia="es-AR"/>
            </w:rPr>
          </w:pPr>
        </w:p>
      </w:tc>
      <w:tc>
        <w:tcPr>
          <w:tcW w:w="816" w:type="pct"/>
          <w:tcBorders>
            <w:top w:val="nil"/>
            <w:left w:val="nil"/>
            <w:bottom w:val="nil"/>
            <w:right w:val="nil"/>
          </w:tcBorders>
          <w:shd w:val="clear" w:color="auto" w:fill="auto"/>
          <w:noWrap/>
          <w:vAlign w:val="bottom"/>
        </w:tcPr>
        <w:p w14:paraId="3CF351D8" w14:textId="77777777" w:rsidR="00CD449E" w:rsidRPr="00DA23BA" w:rsidRDefault="00CD449E" w:rsidP="00205B29">
          <w:pPr>
            <w:jc w:val="center"/>
            <w:rPr>
              <w:rFonts w:ascii="Arial" w:hAnsi="Arial" w:cs="Arial"/>
              <w:sz w:val="15"/>
              <w:szCs w:val="15"/>
              <w:lang w:val="en-US" w:eastAsia="es-AR"/>
            </w:rPr>
          </w:pPr>
        </w:p>
      </w:tc>
      <w:tc>
        <w:tcPr>
          <w:tcW w:w="377" w:type="pct"/>
          <w:tcBorders>
            <w:top w:val="nil"/>
            <w:left w:val="nil"/>
            <w:bottom w:val="nil"/>
            <w:right w:val="nil"/>
          </w:tcBorders>
          <w:shd w:val="clear" w:color="auto" w:fill="auto"/>
          <w:noWrap/>
          <w:vAlign w:val="bottom"/>
        </w:tcPr>
        <w:p w14:paraId="5D97B03F" w14:textId="77777777" w:rsidR="00CD449E" w:rsidRPr="00DA23BA" w:rsidRDefault="00CD449E" w:rsidP="00205B29">
          <w:pPr>
            <w:jc w:val="center"/>
            <w:rPr>
              <w:rFonts w:ascii="Arial" w:hAnsi="Arial" w:cs="Arial"/>
              <w:sz w:val="15"/>
              <w:szCs w:val="15"/>
              <w:lang w:val="en-US" w:eastAsia="es-AR"/>
            </w:rPr>
          </w:pPr>
        </w:p>
      </w:tc>
      <w:tc>
        <w:tcPr>
          <w:tcW w:w="1422" w:type="pct"/>
          <w:tcBorders>
            <w:top w:val="nil"/>
            <w:left w:val="nil"/>
            <w:bottom w:val="nil"/>
            <w:right w:val="nil"/>
          </w:tcBorders>
          <w:shd w:val="clear" w:color="auto" w:fill="auto"/>
          <w:noWrap/>
        </w:tcPr>
        <w:p w14:paraId="1F51467E" w14:textId="26C364BD" w:rsidR="00CD449E" w:rsidRPr="000924A1" w:rsidRDefault="00CD449E" w:rsidP="00205B29">
          <w:pPr>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0C0A0EF1" w14:textId="77777777" w:rsidR="00CD449E" w:rsidRPr="005F797B" w:rsidRDefault="00CD449E" w:rsidP="00205B29">
          <w:pPr>
            <w:jc w:val="center"/>
            <w:rPr>
              <w:rFonts w:ascii="Arial" w:hAnsi="Arial" w:cs="Arial"/>
              <w:color w:val="000000"/>
              <w:sz w:val="15"/>
              <w:szCs w:val="15"/>
              <w:lang w:val="en-US" w:eastAsia="es-AR"/>
            </w:rPr>
          </w:pPr>
        </w:p>
      </w:tc>
    </w:tr>
    <w:tr w:rsidR="00CD449E" w:rsidRPr="005F797B" w14:paraId="75571B0A" w14:textId="77777777" w:rsidTr="00A74D2F">
      <w:trPr>
        <w:trHeight w:val="180"/>
      </w:trPr>
      <w:tc>
        <w:tcPr>
          <w:tcW w:w="1483" w:type="pct"/>
          <w:tcBorders>
            <w:top w:val="nil"/>
            <w:left w:val="nil"/>
            <w:bottom w:val="nil"/>
            <w:right w:val="nil"/>
          </w:tcBorders>
          <w:shd w:val="clear" w:color="auto" w:fill="auto"/>
          <w:noWrap/>
          <w:vAlign w:val="bottom"/>
        </w:tcPr>
        <w:p w14:paraId="0DBFE112" w14:textId="77777777" w:rsidR="00CD449E" w:rsidRPr="00FE608C" w:rsidRDefault="00CD449E" w:rsidP="00205B29">
          <w:pPr>
            <w:jc w:val="center"/>
            <w:rPr>
              <w:rFonts w:ascii="Arial" w:hAnsi="Arial" w:cs="Arial"/>
              <w:sz w:val="15"/>
              <w:szCs w:val="15"/>
              <w:lang w:eastAsia="es-AR"/>
            </w:rPr>
          </w:pPr>
          <w:r w:rsidRPr="00FE608C">
            <w:rPr>
              <w:rFonts w:ascii="Arial" w:hAnsi="Arial" w:cs="Arial"/>
              <w:sz w:val="15"/>
              <w:szCs w:val="15"/>
              <w:lang w:eastAsia="es-AR"/>
            </w:rPr>
            <w:t>Contador Público (U.N.L.Z)</w:t>
          </w:r>
        </w:p>
      </w:tc>
      <w:tc>
        <w:tcPr>
          <w:tcW w:w="576" w:type="pct"/>
          <w:tcBorders>
            <w:top w:val="nil"/>
            <w:left w:val="nil"/>
            <w:bottom w:val="nil"/>
            <w:right w:val="nil"/>
          </w:tcBorders>
          <w:shd w:val="clear" w:color="auto" w:fill="auto"/>
          <w:noWrap/>
          <w:vAlign w:val="bottom"/>
        </w:tcPr>
        <w:p w14:paraId="152A2B8F" w14:textId="77777777" w:rsidR="00CD449E" w:rsidRPr="00FE608C"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DD5D363" w14:textId="77777777" w:rsidR="00CD449E" w:rsidRPr="00FE608C"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5F1B268C" w14:textId="77777777" w:rsidR="00CD449E" w:rsidRPr="00FE608C"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tcPr>
        <w:p w14:paraId="2FA2C1CC" w14:textId="30FC74F6" w:rsidR="00CD449E" w:rsidRPr="000924A1" w:rsidRDefault="00CD449E" w:rsidP="00205B29">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11F16908" w14:textId="77777777" w:rsidR="00CD449E" w:rsidRPr="005F797B" w:rsidRDefault="00CD449E" w:rsidP="00205B29">
          <w:pPr>
            <w:jc w:val="center"/>
            <w:rPr>
              <w:rFonts w:ascii="Arial" w:hAnsi="Arial" w:cs="Arial"/>
              <w:color w:val="000000"/>
              <w:sz w:val="15"/>
              <w:szCs w:val="15"/>
              <w:lang w:eastAsia="es-AR"/>
            </w:rPr>
          </w:pPr>
        </w:p>
      </w:tc>
    </w:tr>
    <w:tr w:rsidR="00CD449E" w:rsidRPr="00FE608C" w14:paraId="49C9CA48" w14:textId="77777777" w:rsidTr="00CC7B81">
      <w:trPr>
        <w:trHeight w:val="180"/>
      </w:trPr>
      <w:tc>
        <w:tcPr>
          <w:tcW w:w="1483" w:type="pct"/>
          <w:tcBorders>
            <w:top w:val="nil"/>
            <w:left w:val="nil"/>
            <w:bottom w:val="nil"/>
            <w:right w:val="nil"/>
          </w:tcBorders>
          <w:shd w:val="clear" w:color="auto" w:fill="auto"/>
          <w:noWrap/>
          <w:vAlign w:val="bottom"/>
        </w:tcPr>
        <w:p w14:paraId="29B5453F" w14:textId="77777777" w:rsidR="00CD449E" w:rsidRPr="00FE608C" w:rsidRDefault="00CD449E" w:rsidP="00205B29">
          <w:pPr>
            <w:jc w:val="center"/>
            <w:rPr>
              <w:rFonts w:ascii="Arial" w:hAnsi="Arial" w:cs="Arial"/>
              <w:sz w:val="15"/>
              <w:szCs w:val="15"/>
              <w:lang w:eastAsia="es-AR"/>
            </w:rPr>
          </w:pPr>
          <w:r w:rsidRPr="00FE608C">
            <w:rPr>
              <w:rFonts w:ascii="Arial" w:hAnsi="Arial" w:cs="Arial"/>
              <w:sz w:val="15"/>
              <w:szCs w:val="15"/>
              <w:lang w:eastAsia="es-AR"/>
            </w:rPr>
            <w:t>C.P.C.E.C.A.B.A. T°108 -F° 233</w:t>
          </w:r>
        </w:p>
      </w:tc>
      <w:tc>
        <w:tcPr>
          <w:tcW w:w="576" w:type="pct"/>
          <w:tcBorders>
            <w:top w:val="nil"/>
            <w:left w:val="nil"/>
            <w:bottom w:val="nil"/>
            <w:right w:val="nil"/>
          </w:tcBorders>
          <w:shd w:val="clear" w:color="auto" w:fill="auto"/>
          <w:noWrap/>
          <w:vAlign w:val="bottom"/>
        </w:tcPr>
        <w:p w14:paraId="2A2E4A0B" w14:textId="77777777" w:rsidR="00CD449E" w:rsidRPr="00FE608C"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4CDB5EC3" w14:textId="77777777" w:rsidR="00CD449E" w:rsidRPr="00FE608C"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16CF45B8" w14:textId="77777777" w:rsidR="00CD449E" w:rsidRPr="00FE608C"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28B26662" w14:textId="096B2860" w:rsidR="00CD449E" w:rsidRPr="00FE608C" w:rsidRDefault="00CD449E" w:rsidP="00205B29">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5F0E7C77" w14:textId="77777777" w:rsidR="00CD449E" w:rsidRPr="00FE608C" w:rsidRDefault="00CD449E" w:rsidP="00205B29">
          <w:pPr>
            <w:jc w:val="center"/>
            <w:rPr>
              <w:rFonts w:ascii="Arial" w:hAnsi="Arial" w:cs="Arial"/>
              <w:color w:val="000000"/>
              <w:sz w:val="15"/>
              <w:szCs w:val="15"/>
              <w:lang w:eastAsia="es-AR"/>
            </w:rPr>
          </w:pPr>
        </w:p>
      </w:tc>
    </w:tr>
    <w:tr w:rsidR="00CD449E" w:rsidRPr="00FE608C" w14:paraId="18A53346" w14:textId="77777777" w:rsidTr="00CC7B81">
      <w:trPr>
        <w:trHeight w:val="180"/>
      </w:trPr>
      <w:tc>
        <w:tcPr>
          <w:tcW w:w="1483" w:type="pct"/>
          <w:tcBorders>
            <w:top w:val="nil"/>
            <w:left w:val="nil"/>
            <w:bottom w:val="nil"/>
            <w:right w:val="nil"/>
          </w:tcBorders>
          <w:shd w:val="clear" w:color="auto" w:fill="auto"/>
          <w:noWrap/>
          <w:vAlign w:val="bottom"/>
        </w:tcPr>
        <w:p w14:paraId="5D61F8F5" w14:textId="77777777" w:rsidR="00CD449E" w:rsidRPr="00FE608C" w:rsidRDefault="00CD449E"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1298AFD0" w14:textId="77777777" w:rsidR="00CD449E" w:rsidRPr="00FE608C"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069D8C1E" w14:textId="77777777" w:rsidR="00CD449E" w:rsidRPr="00FE608C"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65150E4C" w14:textId="77777777" w:rsidR="00CD449E" w:rsidRPr="00FE608C"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73D26AAC" w14:textId="77777777" w:rsidR="00CD449E" w:rsidRPr="00FE608C" w:rsidRDefault="00CD449E" w:rsidP="00205B29">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6A534C5B" w14:textId="77777777" w:rsidR="00CD449E" w:rsidRPr="00FE608C" w:rsidRDefault="00CD449E" w:rsidP="00205B29">
          <w:pPr>
            <w:jc w:val="center"/>
            <w:rPr>
              <w:rFonts w:ascii="Arial" w:hAnsi="Arial" w:cs="Arial"/>
              <w:color w:val="000000"/>
              <w:sz w:val="15"/>
              <w:szCs w:val="15"/>
              <w:lang w:eastAsia="es-AR"/>
            </w:rPr>
          </w:pPr>
        </w:p>
      </w:tc>
    </w:tr>
    <w:tr w:rsidR="00CD449E" w:rsidRPr="00FE608C" w14:paraId="50B7F734" w14:textId="77777777" w:rsidTr="00CC7B81">
      <w:trPr>
        <w:trHeight w:val="180"/>
      </w:trPr>
      <w:tc>
        <w:tcPr>
          <w:tcW w:w="1483" w:type="pct"/>
          <w:tcBorders>
            <w:top w:val="nil"/>
            <w:left w:val="nil"/>
            <w:bottom w:val="nil"/>
            <w:right w:val="nil"/>
          </w:tcBorders>
          <w:shd w:val="clear" w:color="auto" w:fill="auto"/>
          <w:noWrap/>
          <w:vAlign w:val="bottom"/>
        </w:tcPr>
        <w:p w14:paraId="14ACD3B5" w14:textId="77777777" w:rsidR="00CD449E" w:rsidRPr="00FE608C" w:rsidRDefault="00CD449E"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454280F9" w14:textId="77777777" w:rsidR="00CD449E" w:rsidRPr="00FE608C"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235AAF78" w14:textId="77777777" w:rsidR="00CD449E" w:rsidRPr="00FE608C" w:rsidRDefault="00CD449E" w:rsidP="00205B29">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690A4E5B" w14:textId="77777777" w:rsidR="00CD449E" w:rsidRPr="00FE608C"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4B6CE900" w14:textId="77777777" w:rsidR="00CD449E" w:rsidRPr="00FE608C" w:rsidRDefault="00CD449E" w:rsidP="00205B29">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2C338D14" w14:textId="77777777" w:rsidR="00CD449E" w:rsidRPr="00FE608C" w:rsidRDefault="00CD449E" w:rsidP="00205B29">
          <w:pPr>
            <w:jc w:val="center"/>
            <w:rPr>
              <w:rFonts w:ascii="Arial" w:hAnsi="Arial" w:cs="Arial"/>
              <w:color w:val="000000"/>
              <w:sz w:val="15"/>
              <w:szCs w:val="15"/>
              <w:lang w:eastAsia="es-AR"/>
            </w:rPr>
          </w:pPr>
        </w:p>
      </w:tc>
    </w:tr>
    <w:tr w:rsidR="00CD449E" w:rsidRPr="00DA23BA" w14:paraId="18F3EA3D" w14:textId="77777777" w:rsidTr="00CC7B81">
      <w:trPr>
        <w:trHeight w:val="180"/>
      </w:trPr>
      <w:tc>
        <w:tcPr>
          <w:tcW w:w="1483" w:type="pct"/>
          <w:tcBorders>
            <w:top w:val="nil"/>
            <w:left w:val="nil"/>
            <w:bottom w:val="nil"/>
            <w:right w:val="nil"/>
          </w:tcBorders>
          <w:shd w:val="clear" w:color="auto" w:fill="auto"/>
          <w:noWrap/>
          <w:vAlign w:val="bottom"/>
        </w:tcPr>
        <w:p w14:paraId="3C9375E9" w14:textId="77777777" w:rsidR="00CD449E" w:rsidRPr="00FE608C" w:rsidRDefault="00CD449E" w:rsidP="00205B29">
          <w:pPr>
            <w:jc w:val="center"/>
            <w:rPr>
              <w:rFonts w:ascii="Arial" w:hAnsi="Arial" w:cs="Arial"/>
              <w:sz w:val="15"/>
              <w:szCs w:val="15"/>
              <w:lang w:eastAsia="es-AR"/>
            </w:rPr>
          </w:pPr>
        </w:p>
      </w:tc>
      <w:tc>
        <w:tcPr>
          <w:tcW w:w="576" w:type="pct"/>
          <w:tcBorders>
            <w:top w:val="nil"/>
            <w:left w:val="nil"/>
            <w:bottom w:val="nil"/>
            <w:right w:val="nil"/>
          </w:tcBorders>
          <w:shd w:val="clear" w:color="auto" w:fill="auto"/>
          <w:noWrap/>
          <w:vAlign w:val="bottom"/>
        </w:tcPr>
        <w:p w14:paraId="001F3454" w14:textId="77777777" w:rsidR="00CD449E" w:rsidRPr="00FE608C" w:rsidRDefault="00CD449E" w:rsidP="00205B29">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48273556" w14:textId="77777777" w:rsidR="00CD449E" w:rsidRPr="00DA23BA" w:rsidRDefault="00CD449E" w:rsidP="00205B29">
          <w:pPr>
            <w:jc w:val="center"/>
            <w:rPr>
              <w:rFonts w:ascii="Arial" w:hAnsi="Arial" w:cs="Arial"/>
              <w:sz w:val="15"/>
              <w:szCs w:val="15"/>
              <w:lang w:eastAsia="es-AR"/>
            </w:rPr>
          </w:pPr>
          <w:r>
            <w:rPr>
              <w:rFonts w:ascii="Arial" w:hAnsi="Arial" w:cs="Arial"/>
              <w:sz w:val="15"/>
              <w:szCs w:val="15"/>
              <w:lang w:eastAsia="es-AR"/>
            </w:rPr>
            <w:t xml:space="preserve">- </w:t>
          </w:r>
          <w:r w:rsidRPr="00A76E3D">
            <w:rPr>
              <w:rFonts w:ascii="Arial" w:hAnsi="Arial" w:cs="Arial"/>
              <w:sz w:val="15"/>
              <w:szCs w:val="15"/>
              <w:lang w:eastAsia="es-AR"/>
            </w:rPr>
            <w:fldChar w:fldCharType="begin"/>
          </w:r>
          <w:r w:rsidRPr="00A76E3D">
            <w:rPr>
              <w:rFonts w:ascii="Arial" w:hAnsi="Arial" w:cs="Arial"/>
              <w:sz w:val="15"/>
              <w:szCs w:val="15"/>
              <w:lang w:eastAsia="es-AR"/>
            </w:rPr>
            <w:instrText xml:space="preserve"> PAGE   \* MERGEFORMAT </w:instrText>
          </w:r>
          <w:r w:rsidRPr="00A76E3D">
            <w:rPr>
              <w:rFonts w:ascii="Arial" w:hAnsi="Arial" w:cs="Arial"/>
              <w:sz w:val="15"/>
              <w:szCs w:val="15"/>
              <w:lang w:eastAsia="es-AR"/>
            </w:rPr>
            <w:fldChar w:fldCharType="separate"/>
          </w:r>
          <w:r>
            <w:rPr>
              <w:rFonts w:ascii="Arial" w:hAnsi="Arial" w:cs="Arial"/>
              <w:noProof/>
              <w:sz w:val="15"/>
              <w:szCs w:val="15"/>
              <w:lang w:eastAsia="es-AR"/>
            </w:rPr>
            <w:t>56</w:t>
          </w:r>
          <w:r w:rsidRPr="00A76E3D">
            <w:rPr>
              <w:rFonts w:ascii="Arial" w:hAnsi="Arial" w:cs="Arial"/>
              <w:sz w:val="15"/>
              <w:szCs w:val="15"/>
              <w:lang w:eastAsia="es-AR"/>
            </w:rPr>
            <w:fldChar w:fldCharType="end"/>
          </w:r>
          <w:r>
            <w:rPr>
              <w:rFonts w:ascii="Arial" w:hAnsi="Arial" w:cs="Arial"/>
              <w:sz w:val="15"/>
              <w:szCs w:val="15"/>
              <w:lang w:eastAsia="es-AR"/>
            </w:rPr>
            <w:t xml:space="preserve"> - </w:t>
          </w:r>
        </w:p>
      </w:tc>
      <w:tc>
        <w:tcPr>
          <w:tcW w:w="377" w:type="pct"/>
          <w:tcBorders>
            <w:top w:val="nil"/>
            <w:left w:val="nil"/>
            <w:bottom w:val="nil"/>
            <w:right w:val="nil"/>
          </w:tcBorders>
          <w:shd w:val="clear" w:color="auto" w:fill="auto"/>
          <w:noWrap/>
          <w:vAlign w:val="bottom"/>
        </w:tcPr>
        <w:p w14:paraId="2335EE46" w14:textId="77777777" w:rsidR="00CD449E" w:rsidRPr="00DA23BA" w:rsidRDefault="00CD449E" w:rsidP="00205B29">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6702C6F9" w14:textId="77777777" w:rsidR="00CD449E" w:rsidRPr="00DA23BA" w:rsidRDefault="00CD449E" w:rsidP="00205B29">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70982C99" w14:textId="77777777" w:rsidR="00CD449E" w:rsidRPr="00DA23BA" w:rsidRDefault="00CD449E" w:rsidP="00205B29">
          <w:pPr>
            <w:jc w:val="center"/>
            <w:rPr>
              <w:rFonts w:ascii="Arial" w:hAnsi="Arial" w:cs="Arial"/>
              <w:color w:val="000000"/>
              <w:sz w:val="15"/>
              <w:szCs w:val="15"/>
              <w:lang w:eastAsia="es-AR"/>
            </w:rPr>
          </w:pPr>
        </w:p>
      </w:tc>
    </w:tr>
  </w:tbl>
  <w:p w14:paraId="606DD4FD" w14:textId="77777777" w:rsidR="00CD449E" w:rsidRDefault="00CD449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68" w:type="pct"/>
      <w:tblCellMar>
        <w:left w:w="70" w:type="dxa"/>
        <w:right w:w="70" w:type="dxa"/>
      </w:tblCellMar>
      <w:tblLook w:val="04A0" w:firstRow="1" w:lastRow="0" w:firstColumn="1" w:lastColumn="0" w:noHBand="0" w:noVBand="1"/>
    </w:tblPr>
    <w:tblGrid>
      <w:gridCol w:w="2804"/>
      <w:gridCol w:w="1089"/>
      <w:gridCol w:w="1543"/>
      <w:gridCol w:w="713"/>
      <w:gridCol w:w="2689"/>
      <w:gridCol w:w="616"/>
    </w:tblGrid>
    <w:tr w:rsidR="00CD449E" w:rsidRPr="00D24C22" w14:paraId="147428EF" w14:textId="77777777" w:rsidTr="00D24C22">
      <w:trPr>
        <w:trHeight w:val="180"/>
      </w:trPr>
      <w:tc>
        <w:tcPr>
          <w:tcW w:w="1483" w:type="pct"/>
          <w:tcBorders>
            <w:top w:val="nil"/>
            <w:left w:val="nil"/>
            <w:bottom w:val="nil"/>
            <w:right w:val="nil"/>
          </w:tcBorders>
          <w:shd w:val="clear" w:color="auto" w:fill="auto"/>
          <w:noWrap/>
          <w:vAlign w:val="bottom"/>
        </w:tcPr>
        <w:tbl>
          <w:tblPr>
            <w:tblW w:w="5468" w:type="pct"/>
            <w:tblCellMar>
              <w:left w:w="70" w:type="dxa"/>
              <w:right w:w="70" w:type="dxa"/>
            </w:tblCellMar>
            <w:tblLook w:val="04A0" w:firstRow="1" w:lastRow="0" w:firstColumn="1" w:lastColumn="0" w:noHBand="0" w:noVBand="1"/>
          </w:tblPr>
          <w:tblGrid>
            <w:gridCol w:w="867"/>
            <w:gridCol w:w="338"/>
            <w:gridCol w:w="477"/>
            <w:gridCol w:w="221"/>
            <w:gridCol w:w="830"/>
            <w:gridCol w:w="180"/>
          </w:tblGrid>
          <w:tr w:rsidR="00CD449E" w:rsidRPr="00DA23BA" w14:paraId="488A7DB9" w14:textId="77777777" w:rsidTr="00D24C22">
            <w:trPr>
              <w:trHeight w:val="180"/>
            </w:trPr>
            <w:tc>
              <w:tcPr>
                <w:tcW w:w="1487" w:type="pct"/>
                <w:tcBorders>
                  <w:top w:val="nil"/>
                  <w:left w:val="nil"/>
                  <w:bottom w:val="nil"/>
                  <w:right w:val="nil"/>
                </w:tcBorders>
                <w:shd w:val="clear" w:color="auto" w:fill="auto"/>
                <w:noWrap/>
                <w:vAlign w:val="bottom"/>
              </w:tcPr>
              <w:p w14:paraId="158E0B8C"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055DB2CF"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76A16478"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2898556B"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7711AD3B" w14:textId="77777777" w:rsidR="00CD449E" w:rsidRPr="00DA23BA" w:rsidRDefault="00CD449E"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7C2F9595" w14:textId="77777777" w:rsidR="00CD449E" w:rsidRPr="00DA23BA" w:rsidRDefault="00CD449E" w:rsidP="00D24C22">
                <w:pPr>
                  <w:jc w:val="center"/>
                  <w:rPr>
                    <w:rFonts w:ascii="Arial" w:hAnsi="Arial" w:cs="Arial"/>
                    <w:color w:val="000000"/>
                    <w:sz w:val="15"/>
                    <w:szCs w:val="15"/>
                    <w:lang w:eastAsia="es-AR"/>
                  </w:rPr>
                </w:pPr>
              </w:p>
            </w:tc>
          </w:tr>
          <w:tr w:rsidR="00CD449E" w:rsidRPr="00DA23BA" w14:paraId="12842A04" w14:textId="77777777" w:rsidTr="00D24C22">
            <w:trPr>
              <w:trHeight w:val="180"/>
            </w:trPr>
            <w:tc>
              <w:tcPr>
                <w:tcW w:w="1487" w:type="pct"/>
                <w:tcBorders>
                  <w:top w:val="nil"/>
                  <w:left w:val="nil"/>
                  <w:bottom w:val="nil"/>
                  <w:right w:val="nil"/>
                </w:tcBorders>
                <w:shd w:val="clear" w:color="auto" w:fill="auto"/>
                <w:noWrap/>
                <w:vAlign w:val="bottom"/>
              </w:tcPr>
              <w:p w14:paraId="04060125"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7566A13C"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7D446EDB"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455DD5B3"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3BDBFD88" w14:textId="77777777" w:rsidR="00CD449E" w:rsidRPr="00DA23BA" w:rsidRDefault="00CD449E"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019A2B84" w14:textId="77777777" w:rsidR="00CD449E" w:rsidRPr="00DA23BA" w:rsidRDefault="00CD449E" w:rsidP="00D24C22">
                <w:pPr>
                  <w:jc w:val="center"/>
                  <w:rPr>
                    <w:rFonts w:ascii="Arial" w:hAnsi="Arial" w:cs="Arial"/>
                    <w:color w:val="000000"/>
                    <w:sz w:val="15"/>
                    <w:szCs w:val="15"/>
                    <w:lang w:eastAsia="es-AR"/>
                  </w:rPr>
                </w:pPr>
              </w:p>
            </w:tc>
          </w:tr>
          <w:tr w:rsidR="00CD449E" w:rsidRPr="00DA23BA" w14:paraId="67ED2BA0" w14:textId="77777777" w:rsidTr="00D24C22">
            <w:trPr>
              <w:trHeight w:val="180"/>
            </w:trPr>
            <w:tc>
              <w:tcPr>
                <w:tcW w:w="1487" w:type="pct"/>
                <w:tcBorders>
                  <w:top w:val="nil"/>
                  <w:left w:val="nil"/>
                  <w:bottom w:val="nil"/>
                  <w:right w:val="nil"/>
                </w:tcBorders>
                <w:shd w:val="clear" w:color="auto" w:fill="auto"/>
                <w:noWrap/>
                <w:vAlign w:val="bottom"/>
              </w:tcPr>
              <w:p w14:paraId="734CA4BB"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5E589800"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07CC1630"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3B7BEF47"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1C974758" w14:textId="77777777" w:rsidR="00CD449E" w:rsidRPr="00DA23BA" w:rsidRDefault="00CD449E"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7298B88F" w14:textId="77777777" w:rsidR="00CD449E" w:rsidRPr="00DA23BA" w:rsidRDefault="00CD449E" w:rsidP="00D24C22">
                <w:pPr>
                  <w:jc w:val="center"/>
                  <w:rPr>
                    <w:rFonts w:ascii="Arial" w:hAnsi="Arial" w:cs="Arial"/>
                    <w:color w:val="000000"/>
                    <w:sz w:val="15"/>
                    <w:szCs w:val="15"/>
                    <w:lang w:eastAsia="es-AR"/>
                  </w:rPr>
                </w:pPr>
              </w:p>
            </w:tc>
          </w:tr>
          <w:tr w:rsidR="00CD449E" w:rsidRPr="00DA23BA" w14:paraId="1AF498FC" w14:textId="77777777" w:rsidTr="00D24C22">
            <w:trPr>
              <w:trHeight w:val="180"/>
            </w:trPr>
            <w:tc>
              <w:tcPr>
                <w:tcW w:w="1487" w:type="pct"/>
                <w:tcBorders>
                  <w:top w:val="nil"/>
                  <w:left w:val="nil"/>
                  <w:bottom w:val="nil"/>
                  <w:right w:val="nil"/>
                </w:tcBorders>
                <w:shd w:val="clear" w:color="auto" w:fill="auto"/>
                <w:noWrap/>
                <w:vAlign w:val="bottom"/>
              </w:tcPr>
              <w:p w14:paraId="10AF85B3"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38A8DF12"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41829479"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4986C51E"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5244DD99" w14:textId="77777777" w:rsidR="00CD449E" w:rsidRPr="00DA23BA" w:rsidRDefault="00CD449E"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36F61E49" w14:textId="77777777" w:rsidR="00CD449E" w:rsidRPr="00DA23BA" w:rsidRDefault="00CD449E" w:rsidP="00D24C22">
                <w:pPr>
                  <w:jc w:val="center"/>
                  <w:rPr>
                    <w:rFonts w:ascii="Arial" w:hAnsi="Arial" w:cs="Arial"/>
                    <w:color w:val="000000"/>
                    <w:sz w:val="15"/>
                    <w:szCs w:val="15"/>
                    <w:lang w:eastAsia="es-AR"/>
                  </w:rPr>
                </w:pPr>
              </w:p>
            </w:tc>
          </w:tr>
          <w:tr w:rsidR="00CD449E" w:rsidRPr="00DA23BA" w14:paraId="015448F3" w14:textId="77777777" w:rsidTr="00D24C22">
            <w:trPr>
              <w:trHeight w:val="180"/>
            </w:trPr>
            <w:tc>
              <w:tcPr>
                <w:tcW w:w="1487" w:type="pct"/>
                <w:tcBorders>
                  <w:top w:val="nil"/>
                  <w:left w:val="nil"/>
                  <w:bottom w:val="nil"/>
                  <w:right w:val="nil"/>
                </w:tcBorders>
                <w:shd w:val="clear" w:color="auto" w:fill="auto"/>
                <w:noWrap/>
                <w:vAlign w:val="bottom"/>
              </w:tcPr>
              <w:p w14:paraId="349DB372"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20F9E339"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2D8ECE23"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5A86D2AE"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014D3F5F" w14:textId="77777777" w:rsidR="00CD449E" w:rsidRPr="00DA23BA" w:rsidRDefault="00CD449E"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0B84D10B" w14:textId="77777777" w:rsidR="00CD449E" w:rsidRPr="00DA23BA" w:rsidRDefault="00CD449E" w:rsidP="00D24C22">
                <w:pPr>
                  <w:jc w:val="center"/>
                  <w:rPr>
                    <w:rFonts w:ascii="Arial" w:hAnsi="Arial" w:cs="Arial"/>
                    <w:color w:val="000000"/>
                    <w:sz w:val="15"/>
                    <w:szCs w:val="15"/>
                    <w:lang w:eastAsia="es-AR"/>
                  </w:rPr>
                </w:pPr>
              </w:p>
            </w:tc>
          </w:tr>
          <w:tr w:rsidR="00CD449E" w:rsidRPr="00DA23BA" w14:paraId="0BF369F2" w14:textId="77777777" w:rsidTr="00D24C22">
            <w:trPr>
              <w:trHeight w:val="180"/>
            </w:trPr>
            <w:tc>
              <w:tcPr>
                <w:tcW w:w="1487" w:type="pct"/>
                <w:tcBorders>
                  <w:top w:val="nil"/>
                  <w:left w:val="nil"/>
                  <w:bottom w:val="nil"/>
                  <w:right w:val="nil"/>
                </w:tcBorders>
                <w:shd w:val="clear" w:color="auto" w:fill="auto"/>
                <w:noWrap/>
                <w:vAlign w:val="bottom"/>
              </w:tcPr>
              <w:p w14:paraId="197F48DE"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431B196B"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01AB0461"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18D39CF0"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0938504D" w14:textId="77777777" w:rsidR="00CD449E" w:rsidRPr="00DA23BA" w:rsidRDefault="00CD449E"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506D4B6D" w14:textId="77777777" w:rsidR="00CD449E" w:rsidRPr="00DA23BA" w:rsidRDefault="00CD449E" w:rsidP="00D24C22">
                <w:pPr>
                  <w:jc w:val="center"/>
                  <w:rPr>
                    <w:rFonts w:ascii="Arial" w:hAnsi="Arial" w:cs="Arial"/>
                    <w:color w:val="000000"/>
                    <w:sz w:val="15"/>
                    <w:szCs w:val="15"/>
                    <w:lang w:eastAsia="es-AR"/>
                  </w:rPr>
                </w:pPr>
              </w:p>
            </w:tc>
          </w:tr>
          <w:tr w:rsidR="00CD449E" w:rsidRPr="00DA23BA" w14:paraId="04504536" w14:textId="77777777" w:rsidTr="00D24C22">
            <w:trPr>
              <w:trHeight w:val="180"/>
            </w:trPr>
            <w:tc>
              <w:tcPr>
                <w:tcW w:w="1487" w:type="pct"/>
                <w:tcBorders>
                  <w:top w:val="nil"/>
                  <w:left w:val="nil"/>
                  <w:bottom w:val="nil"/>
                  <w:right w:val="nil"/>
                </w:tcBorders>
                <w:shd w:val="clear" w:color="auto" w:fill="auto"/>
                <w:noWrap/>
                <w:vAlign w:val="bottom"/>
              </w:tcPr>
              <w:p w14:paraId="1434181F"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2D8E215F"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40A3179F"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4BCE0DFF"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3AFBC44E" w14:textId="77777777" w:rsidR="00CD449E" w:rsidRPr="00DA23BA" w:rsidRDefault="00CD449E"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67A6C7EA" w14:textId="77777777" w:rsidR="00CD449E" w:rsidRPr="00DA23BA" w:rsidRDefault="00CD449E" w:rsidP="00D24C22">
                <w:pPr>
                  <w:jc w:val="center"/>
                  <w:rPr>
                    <w:rFonts w:ascii="Arial" w:hAnsi="Arial" w:cs="Arial"/>
                    <w:sz w:val="15"/>
                    <w:szCs w:val="15"/>
                    <w:lang w:eastAsia="es-AR"/>
                  </w:rPr>
                </w:pPr>
              </w:p>
            </w:tc>
          </w:tr>
          <w:tr w:rsidR="00CD449E" w:rsidRPr="00D24C22" w14:paraId="3E300898" w14:textId="77777777" w:rsidTr="00D24C22">
            <w:trPr>
              <w:trHeight w:val="180"/>
            </w:trPr>
            <w:tc>
              <w:tcPr>
                <w:tcW w:w="1487" w:type="pct"/>
                <w:tcBorders>
                  <w:top w:val="nil"/>
                  <w:left w:val="nil"/>
                  <w:bottom w:val="nil"/>
                  <w:right w:val="nil"/>
                </w:tcBorders>
                <w:shd w:val="clear" w:color="auto" w:fill="auto"/>
                <w:noWrap/>
                <w:vAlign w:val="bottom"/>
              </w:tcPr>
              <w:p w14:paraId="167BDCFF"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28D9D4D7"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47C70A68"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39E70A81"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6F8ABEB8" w14:textId="77777777" w:rsidR="00CD449E" w:rsidRPr="00DA23BA" w:rsidRDefault="00CD449E"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38C37A1A" w14:textId="77777777" w:rsidR="00CD449E" w:rsidRPr="00DA23BA" w:rsidRDefault="00CD449E" w:rsidP="00D24C22">
                <w:pPr>
                  <w:jc w:val="center"/>
                  <w:rPr>
                    <w:rFonts w:ascii="Arial" w:hAnsi="Arial" w:cs="Arial"/>
                    <w:color w:val="000000"/>
                    <w:sz w:val="15"/>
                    <w:szCs w:val="15"/>
                    <w:lang w:eastAsia="es-AR"/>
                  </w:rPr>
                </w:pPr>
              </w:p>
            </w:tc>
          </w:tr>
          <w:tr w:rsidR="00CD449E" w:rsidRPr="00DA23BA" w14:paraId="03B20D97" w14:textId="77777777" w:rsidTr="00D24C22">
            <w:trPr>
              <w:trHeight w:val="180"/>
            </w:trPr>
            <w:tc>
              <w:tcPr>
                <w:tcW w:w="1487" w:type="pct"/>
                <w:tcBorders>
                  <w:top w:val="nil"/>
                  <w:left w:val="nil"/>
                  <w:bottom w:val="nil"/>
                  <w:right w:val="nil"/>
                </w:tcBorders>
                <w:shd w:val="clear" w:color="auto" w:fill="auto"/>
                <w:noWrap/>
                <w:vAlign w:val="bottom"/>
              </w:tcPr>
              <w:p w14:paraId="53C67E31"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00E408E1"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47354281"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6145337E"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36D54BE8" w14:textId="77777777" w:rsidR="00CD449E" w:rsidRPr="00DA23BA" w:rsidRDefault="00CD449E" w:rsidP="00D24C22">
                <w:pPr>
                  <w:ind w:left="210" w:hanging="210"/>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2FCDC2AC" w14:textId="77777777" w:rsidR="00CD449E" w:rsidRPr="00DA23BA" w:rsidRDefault="00CD449E" w:rsidP="00D24C22">
                <w:pPr>
                  <w:jc w:val="center"/>
                  <w:rPr>
                    <w:rFonts w:ascii="Arial" w:hAnsi="Arial" w:cs="Arial"/>
                    <w:color w:val="000000"/>
                    <w:sz w:val="15"/>
                    <w:szCs w:val="15"/>
                    <w:lang w:eastAsia="es-AR"/>
                  </w:rPr>
                </w:pPr>
              </w:p>
            </w:tc>
          </w:tr>
          <w:tr w:rsidR="00CD449E" w:rsidRPr="00DA23BA" w14:paraId="2809882E" w14:textId="77777777" w:rsidTr="00D24C22">
            <w:trPr>
              <w:trHeight w:val="180"/>
            </w:trPr>
            <w:tc>
              <w:tcPr>
                <w:tcW w:w="1487" w:type="pct"/>
                <w:tcBorders>
                  <w:top w:val="nil"/>
                  <w:left w:val="nil"/>
                  <w:bottom w:val="nil"/>
                  <w:right w:val="nil"/>
                </w:tcBorders>
                <w:shd w:val="clear" w:color="auto" w:fill="auto"/>
                <w:noWrap/>
                <w:vAlign w:val="center"/>
              </w:tcPr>
              <w:p w14:paraId="60C009CF"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42452DA1"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72F454C0"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22642CBB"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7814D9D2" w14:textId="77777777" w:rsidR="00CD449E" w:rsidRPr="00DA23BA" w:rsidRDefault="00CD449E" w:rsidP="00D24C22">
                <w:pPr>
                  <w:ind w:left="210" w:hanging="210"/>
                  <w:jc w:val="center"/>
                  <w:rPr>
                    <w:rFonts w:ascii="Arial" w:hAnsi="Arial" w:cs="Arial"/>
                    <w:sz w:val="15"/>
                    <w:szCs w:val="15"/>
                    <w:lang w:val="en-US" w:eastAsia="es-AR"/>
                  </w:rPr>
                </w:pPr>
              </w:p>
            </w:tc>
            <w:tc>
              <w:tcPr>
                <w:tcW w:w="309" w:type="pct"/>
                <w:tcBorders>
                  <w:top w:val="nil"/>
                  <w:left w:val="nil"/>
                  <w:bottom w:val="nil"/>
                  <w:right w:val="nil"/>
                </w:tcBorders>
                <w:shd w:val="clear" w:color="auto" w:fill="auto"/>
                <w:noWrap/>
                <w:vAlign w:val="bottom"/>
              </w:tcPr>
              <w:p w14:paraId="52F54FF7" w14:textId="77777777" w:rsidR="00CD449E" w:rsidRPr="00DA23BA" w:rsidRDefault="00CD449E" w:rsidP="00D24C22">
                <w:pPr>
                  <w:jc w:val="center"/>
                  <w:rPr>
                    <w:rFonts w:ascii="Arial" w:hAnsi="Arial" w:cs="Arial"/>
                    <w:color w:val="000000"/>
                    <w:sz w:val="15"/>
                    <w:szCs w:val="15"/>
                    <w:lang w:val="en-US" w:eastAsia="es-AR"/>
                  </w:rPr>
                </w:pPr>
              </w:p>
            </w:tc>
          </w:tr>
          <w:tr w:rsidR="00CD449E" w:rsidRPr="00DA23BA" w14:paraId="6A7A6FFE" w14:textId="77777777" w:rsidTr="00D24C22">
            <w:trPr>
              <w:trHeight w:val="180"/>
            </w:trPr>
            <w:tc>
              <w:tcPr>
                <w:tcW w:w="1487" w:type="pct"/>
                <w:tcBorders>
                  <w:top w:val="nil"/>
                  <w:left w:val="nil"/>
                  <w:bottom w:val="nil"/>
                  <w:right w:val="nil"/>
                </w:tcBorders>
                <w:shd w:val="clear" w:color="auto" w:fill="auto"/>
                <w:noWrap/>
                <w:vAlign w:val="bottom"/>
              </w:tcPr>
              <w:p w14:paraId="10BA1133" w14:textId="77777777" w:rsidR="00CD449E" w:rsidRPr="00DA23BA" w:rsidRDefault="00CD449E" w:rsidP="00D24C22">
                <w:pPr>
                  <w:jc w:val="center"/>
                  <w:rPr>
                    <w:rFonts w:ascii="Arial" w:hAnsi="Arial" w:cs="Arial"/>
                    <w:sz w:val="15"/>
                    <w:szCs w:val="15"/>
                    <w:lang w:val="en-US" w:eastAsia="es-AR"/>
                  </w:rPr>
                </w:pPr>
              </w:p>
            </w:tc>
            <w:tc>
              <w:tcPr>
                <w:tcW w:w="580" w:type="pct"/>
                <w:tcBorders>
                  <w:top w:val="nil"/>
                  <w:left w:val="nil"/>
                  <w:bottom w:val="nil"/>
                  <w:right w:val="nil"/>
                </w:tcBorders>
                <w:shd w:val="clear" w:color="auto" w:fill="auto"/>
                <w:noWrap/>
                <w:vAlign w:val="bottom"/>
              </w:tcPr>
              <w:p w14:paraId="4D3285C0" w14:textId="77777777" w:rsidR="00CD449E" w:rsidRPr="00DA23BA" w:rsidRDefault="00CD449E" w:rsidP="00D24C22">
                <w:pPr>
                  <w:jc w:val="center"/>
                  <w:rPr>
                    <w:rFonts w:ascii="Arial" w:hAnsi="Arial" w:cs="Arial"/>
                    <w:sz w:val="15"/>
                    <w:szCs w:val="15"/>
                    <w:lang w:val="en-US" w:eastAsia="es-AR"/>
                  </w:rPr>
                </w:pPr>
              </w:p>
            </w:tc>
            <w:tc>
              <w:tcPr>
                <w:tcW w:w="819" w:type="pct"/>
                <w:tcBorders>
                  <w:top w:val="nil"/>
                  <w:left w:val="nil"/>
                  <w:bottom w:val="nil"/>
                  <w:right w:val="nil"/>
                </w:tcBorders>
                <w:shd w:val="clear" w:color="auto" w:fill="auto"/>
                <w:noWrap/>
                <w:vAlign w:val="bottom"/>
              </w:tcPr>
              <w:p w14:paraId="264207BE" w14:textId="77777777" w:rsidR="00CD449E" w:rsidRPr="00DA23BA" w:rsidRDefault="00CD449E" w:rsidP="00D24C22">
                <w:pPr>
                  <w:jc w:val="center"/>
                  <w:rPr>
                    <w:rFonts w:ascii="Arial" w:hAnsi="Arial" w:cs="Arial"/>
                    <w:sz w:val="15"/>
                    <w:szCs w:val="15"/>
                    <w:lang w:val="en-US" w:eastAsia="es-AR"/>
                  </w:rPr>
                </w:pPr>
              </w:p>
            </w:tc>
            <w:tc>
              <w:tcPr>
                <w:tcW w:w="380" w:type="pct"/>
                <w:tcBorders>
                  <w:top w:val="nil"/>
                  <w:left w:val="nil"/>
                  <w:bottom w:val="nil"/>
                  <w:right w:val="nil"/>
                </w:tcBorders>
                <w:shd w:val="clear" w:color="auto" w:fill="auto"/>
                <w:noWrap/>
                <w:vAlign w:val="bottom"/>
              </w:tcPr>
              <w:p w14:paraId="4E2FDA91" w14:textId="77777777" w:rsidR="00CD449E" w:rsidRPr="00DA23BA" w:rsidRDefault="00CD449E" w:rsidP="00D24C22">
                <w:pPr>
                  <w:jc w:val="center"/>
                  <w:rPr>
                    <w:rFonts w:ascii="Arial" w:hAnsi="Arial" w:cs="Arial"/>
                    <w:sz w:val="15"/>
                    <w:szCs w:val="15"/>
                    <w:lang w:val="en-US" w:eastAsia="es-AR"/>
                  </w:rPr>
                </w:pPr>
              </w:p>
            </w:tc>
            <w:tc>
              <w:tcPr>
                <w:tcW w:w="1425" w:type="pct"/>
                <w:tcBorders>
                  <w:top w:val="nil"/>
                  <w:left w:val="nil"/>
                  <w:bottom w:val="nil"/>
                  <w:right w:val="nil"/>
                </w:tcBorders>
                <w:shd w:val="clear" w:color="auto" w:fill="auto"/>
                <w:noWrap/>
                <w:vAlign w:val="bottom"/>
              </w:tcPr>
              <w:p w14:paraId="1CE0BEA6" w14:textId="77777777" w:rsidR="00CD449E" w:rsidRPr="00DA23BA" w:rsidRDefault="00CD449E" w:rsidP="00D24C22">
                <w:pPr>
                  <w:ind w:left="352" w:hanging="352"/>
                  <w:jc w:val="center"/>
                  <w:rPr>
                    <w:rFonts w:ascii="Arial" w:hAnsi="Arial" w:cs="Arial"/>
                    <w:sz w:val="15"/>
                    <w:szCs w:val="15"/>
                    <w:lang w:val="en-US" w:eastAsia="es-AR"/>
                  </w:rPr>
                </w:pPr>
              </w:p>
            </w:tc>
            <w:tc>
              <w:tcPr>
                <w:tcW w:w="309" w:type="pct"/>
                <w:tcBorders>
                  <w:top w:val="nil"/>
                  <w:left w:val="nil"/>
                  <w:bottom w:val="nil"/>
                  <w:right w:val="nil"/>
                </w:tcBorders>
                <w:shd w:val="clear" w:color="auto" w:fill="auto"/>
                <w:noWrap/>
                <w:vAlign w:val="bottom"/>
              </w:tcPr>
              <w:p w14:paraId="74FEB534" w14:textId="77777777" w:rsidR="00CD449E" w:rsidRPr="00DA23BA" w:rsidRDefault="00CD449E" w:rsidP="00D24C22">
                <w:pPr>
                  <w:jc w:val="center"/>
                  <w:rPr>
                    <w:rFonts w:ascii="Arial" w:hAnsi="Arial" w:cs="Arial"/>
                    <w:color w:val="000000"/>
                    <w:sz w:val="15"/>
                    <w:szCs w:val="15"/>
                    <w:lang w:val="en-US" w:eastAsia="es-AR"/>
                  </w:rPr>
                </w:pPr>
              </w:p>
            </w:tc>
          </w:tr>
          <w:tr w:rsidR="00CD449E" w:rsidRPr="00DA23BA" w14:paraId="4114279A" w14:textId="77777777" w:rsidTr="00D24C22">
            <w:trPr>
              <w:trHeight w:val="180"/>
            </w:trPr>
            <w:tc>
              <w:tcPr>
                <w:tcW w:w="1487" w:type="pct"/>
                <w:tcBorders>
                  <w:top w:val="nil"/>
                  <w:left w:val="nil"/>
                  <w:bottom w:val="nil"/>
                  <w:right w:val="nil"/>
                </w:tcBorders>
                <w:shd w:val="clear" w:color="auto" w:fill="auto"/>
                <w:noWrap/>
                <w:vAlign w:val="bottom"/>
              </w:tcPr>
              <w:p w14:paraId="762756E3" w14:textId="77777777" w:rsidR="00CD449E" w:rsidRPr="00DA23BA" w:rsidRDefault="00CD449E" w:rsidP="00D24C22">
                <w:pPr>
                  <w:jc w:val="center"/>
                  <w:rPr>
                    <w:rFonts w:ascii="Arial" w:hAnsi="Arial" w:cs="Arial"/>
                    <w:sz w:val="15"/>
                    <w:szCs w:val="15"/>
                    <w:lang w:val="en-US" w:eastAsia="es-AR"/>
                  </w:rPr>
                </w:pPr>
              </w:p>
            </w:tc>
            <w:tc>
              <w:tcPr>
                <w:tcW w:w="580" w:type="pct"/>
                <w:tcBorders>
                  <w:top w:val="nil"/>
                  <w:left w:val="nil"/>
                  <w:bottom w:val="nil"/>
                  <w:right w:val="nil"/>
                </w:tcBorders>
                <w:shd w:val="clear" w:color="auto" w:fill="auto"/>
                <w:noWrap/>
                <w:vAlign w:val="bottom"/>
              </w:tcPr>
              <w:p w14:paraId="5E3D26B8" w14:textId="77777777" w:rsidR="00CD449E" w:rsidRPr="00DA23BA" w:rsidRDefault="00CD449E" w:rsidP="00D24C22">
                <w:pPr>
                  <w:jc w:val="center"/>
                  <w:rPr>
                    <w:rFonts w:ascii="Arial" w:hAnsi="Arial" w:cs="Arial"/>
                    <w:sz w:val="15"/>
                    <w:szCs w:val="15"/>
                    <w:lang w:val="en-US" w:eastAsia="es-AR"/>
                  </w:rPr>
                </w:pPr>
              </w:p>
            </w:tc>
            <w:tc>
              <w:tcPr>
                <w:tcW w:w="819" w:type="pct"/>
                <w:tcBorders>
                  <w:top w:val="nil"/>
                  <w:left w:val="nil"/>
                  <w:bottom w:val="nil"/>
                  <w:right w:val="nil"/>
                </w:tcBorders>
                <w:shd w:val="clear" w:color="auto" w:fill="auto"/>
                <w:noWrap/>
                <w:vAlign w:val="bottom"/>
              </w:tcPr>
              <w:p w14:paraId="6B033C2E" w14:textId="77777777" w:rsidR="00CD449E" w:rsidRPr="00DA23BA" w:rsidRDefault="00CD449E" w:rsidP="00D24C22">
                <w:pPr>
                  <w:jc w:val="center"/>
                  <w:rPr>
                    <w:rFonts w:ascii="Arial" w:hAnsi="Arial" w:cs="Arial"/>
                    <w:sz w:val="15"/>
                    <w:szCs w:val="15"/>
                    <w:lang w:val="en-US" w:eastAsia="es-AR"/>
                  </w:rPr>
                </w:pPr>
              </w:p>
            </w:tc>
            <w:tc>
              <w:tcPr>
                <w:tcW w:w="380" w:type="pct"/>
                <w:tcBorders>
                  <w:top w:val="nil"/>
                  <w:left w:val="nil"/>
                  <w:bottom w:val="nil"/>
                  <w:right w:val="nil"/>
                </w:tcBorders>
                <w:shd w:val="clear" w:color="auto" w:fill="auto"/>
                <w:noWrap/>
                <w:vAlign w:val="bottom"/>
              </w:tcPr>
              <w:p w14:paraId="76289AA8" w14:textId="77777777" w:rsidR="00CD449E" w:rsidRPr="00DA23BA" w:rsidRDefault="00CD449E" w:rsidP="00D24C22">
                <w:pPr>
                  <w:jc w:val="center"/>
                  <w:rPr>
                    <w:rFonts w:ascii="Arial" w:hAnsi="Arial" w:cs="Arial"/>
                    <w:sz w:val="15"/>
                    <w:szCs w:val="15"/>
                    <w:lang w:val="en-US" w:eastAsia="es-AR"/>
                  </w:rPr>
                </w:pPr>
              </w:p>
            </w:tc>
            <w:tc>
              <w:tcPr>
                <w:tcW w:w="1425" w:type="pct"/>
                <w:tcBorders>
                  <w:top w:val="nil"/>
                  <w:left w:val="nil"/>
                  <w:bottom w:val="nil"/>
                  <w:right w:val="nil"/>
                </w:tcBorders>
                <w:shd w:val="clear" w:color="auto" w:fill="auto"/>
                <w:noWrap/>
                <w:vAlign w:val="bottom"/>
              </w:tcPr>
              <w:p w14:paraId="0EC2193E" w14:textId="77777777" w:rsidR="00CD449E" w:rsidRPr="00DA23BA" w:rsidRDefault="00CD449E" w:rsidP="00D24C22">
                <w:pPr>
                  <w:ind w:left="498" w:hanging="498"/>
                  <w:jc w:val="center"/>
                  <w:rPr>
                    <w:rFonts w:ascii="Arial" w:hAnsi="Arial" w:cs="Arial"/>
                    <w:sz w:val="15"/>
                    <w:szCs w:val="15"/>
                    <w:lang w:val="en-US" w:eastAsia="es-AR"/>
                  </w:rPr>
                </w:pPr>
              </w:p>
            </w:tc>
            <w:tc>
              <w:tcPr>
                <w:tcW w:w="309" w:type="pct"/>
                <w:tcBorders>
                  <w:top w:val="nil"/>
                  <w:left w:val="nil"/>
                  <w:bottom w:val="nil"/>
                  <w:right w:val="nil"/>
                </w:tcBorders>
                <w:shd w:val="clear" w:color="auto" w:fill="auto"/>
                <w:noWrap/>
                <w:vAlign w:val="bottom"/>
              </w:tcPr>
              <w:p w14:paraId="474F1CE4" w14:textId="77777777" w:rsidR="00CD449E" w:rsidRPr="00DA23BA" w:rsidRDefault="00CD449E" w:rsidP="00D24C22">
                <w:pPr>
                  <w:jc w:val="center"/>
                  <w:rPr>
                    <w:rFonts w:ascii="Arial" w:hAnsi="Arial" w:cs="Arial"/>
                    <w:color w:val="000000"/>
                    <w:sz w:val="15"/>
                    <w:szCs w:val="15"/>
                    <w:lang w:val="en-US" w:eastAsia="es-AR"/>
                  </w:rPr>
                </w:pPr>
              </w:p>
            </w:tc>
          </w:tr>
          <w:tr w:rsidR="00CD449E" w:rsidRPr="00DA23BA" w14:paraId="06410886" w14:textId="77777777" w:rsidTr="00D24C22">
            <w:trPr>
              <w:trHeight w:val="180"/>
            </w:trPr>
            <w:tc>
              <w:tcPr>
                <w:tcW w:w="1487" w:type="pct"/>
                <w:tcBorders>
                  <w:top w:val="nil"/>
                  <w:left w:val="nil"/>
                  <w:bottom w:val="nil"/>
                  <w:right w:val="nil"/>
                </w:tcBorders>
                <w:shd w:val="clear" w:color="auto" w:fill="auto"/>
                <w:noWrap/>
                <w:vAlign w:val="bottom"/>
              </w:tcPr>
              <w:p w14:paraId="3D401171" w14:textId="77777777" w:rsidR="00CD449E" w:rsidRPr="00DA23BA" w:rsidRDefault="00CD449E" w:rsidP="00D24C22">
                <w:pPr>
                  <w:jc w:val="center"/>
                  <w:rPr>
                    <w:rFonts w:ascii="Arial" w:hAnsi="Arial" w:cs="Arial"/>
                    <w:sz w:val="15"/>
                    <w:szCs w:val="15"/>
                    <w:lang w:val="en-US" w:eastAsia="es-AR"/>
                  </w:rPr>
                </w:pPr>
              </w:p>
            </w:tc>
            <w:tc>
              <w:tcPr>
                <w:tcW w:w="580" w:type="pct"/>
                <w:tcBorders>
                  <w:top w:val="nil"/>
                  <w:left w:val="nil"/>
                  <w:bottom w:val="nil"/>
                  <w:right w:val="nil"/>
                </w:tcBorders>
                <w:shd w:val="clear" w:color="auto" w:fill="auto"/>
                <w:noWrap/>
                <w:vAlign w:val="bottom"/>
              </w:tcPr>
              <w:p w14:paraId="5DE9F55D" w14:textId="77777777" w:rsidR="00CD449E" w:rsidRPr="00DA23BA" w:rsidRDefault="00CD449E" w:rsidP="00D24C22">
                <w:pPr>
                  <w:jc w:val="center"/>
                  <w:rPr>
                    <w:rFonts w:ascii="Arial" w:hAnsi="Arial" w:cs="Arial"/>
                    <w:sz w:val="15"/>
                    <w:szCs w:val="15"/>
                    <w:lang w:val="en-US" w:eastAsia="es-AR"/>
                  </w:rPr>
                </w:pPr>
              </w:p>
            </w:tc>
            <w:tc>
              <w:tcPr>
                <w:tcW w:w="819" w:type="pct"/>
                <w:tcBorders>
                  <w:top w:val="nil"/>
                  <w:left w:val="nil"/>
                  <w:bottom w:val="nil"/>
                  <w:right w:val="nil"/>
                </w:tcBorders>
                <w:shd w:val="clear" w:color="auto" w:fill="auto"/>
                <w:noWrap/>
                <w:vAlign w:val="bottom"/>
              </w:tcPr>
              <w:p w14:paraId="7376DE67" w14:textId="77777777" w:rsidR="00CD449E" w:rsidRPr="00DA23BA" w:rsidRDefault="00CD449E" w:rsidP="00D24C22">
                <w:pPr>
                  <w:jc w:val="center"/>
                  <w:rPr>
                    <w:rFonts w:ascii="Arial" w:hAnsi="Arial" w:cs="Arial"/>
                    <w:sz w:val="15"/>
                    <w:szCs w:val="15"/>
                    <w:lang w:val="en-US" w:eastAsia="es-AR"/>
                  </w:rPr>
                </w:pPr>
              </w:p>
            </w:tc>
            <w:tc>
              <w:tcPr>
                <w:tcW w:w="380" w:type="pct"/>
                <w:tcBorders>
                  <w:top w:val="nil"/>
                  <w:left w:val="nil"/>
                  <w:bottom w:val="nil"/>
                  <w:right w:val="nil"/>
                </w:tcBorders>
                <w:shd w:val="clear" w:color="auto" w:fill="auto"/>
                <w:noWrap/>
                <w:vAlign w:val="bottom"/>
              </w:tcPr>
              <w:p w14:paraId="323F0BA8" w14:textId="77777777" w:rsidR="00CD449E" w:rsidRPr="00DA23BA" w:rsidRDefault="00CD449E" w:rsidP="00D24C22">
                <w:pPr>
                  <w:jc w:val="center"/>
                  <w:rPr>
                    <w:rFonts w:ascii="Arial" w:hAnsi="Arial" w:cs="Arial"/>
                    <w:sz w:val="15"/>
                    <w:szCs w:val="15"/>
                    <w:lang w:val="en-US" w:eastAsia="es-AR"/>
                  </w:rPr>
                </w:pPr>
              </w:p>
            </w:tc>
            <w:tc>
              <w:tcPr>
                <w:tcW w:w="1425" w:type="pct"/>
                <w:tcBorders>
                  <w:top w:val="nil"/>
                  <w:left w:val="nil"/>
                  <w:bottom w:val="nil"/>
                  <w:right w:val="nil"/>
                </w:tcBorders>
                <w:shd w:val="clear" w:color="auto" w:fill="auto"/>
                <w:noWrap/>
                <w:vAlign w:val="bottom"/>
              </w:tcPr>
              <w:p w14:paraId="37AEF7C9" w14:textId="77777777" w:rsidR="00CD449E" w:rsidRPr="00DA23BA" w:rsidRDefault="00CD449E" w:rsidP="00D24C22">
                <w:pPr>
                  <w:jc w:val="center"/>
                  <w:rPr>
                    <w:rFonts w:ascii="Arial" w:hAnsi="Arial" w:cs="Arial"/>
                    <w:sz w:val="15"/>
                    <w:szCs w:val="15"/>
                    <w:lang w:val="en-US" w:eastAsia="es-AR"/>
                  </w:rPr>
                </w:pPr>
              </w:p>
            </w:tc>
            <w:tc>
              <w:tcPr>
                <w:tcW w:w="309" w:type="pct"/>
                <w:tcBorders>
                  <w:top w:val="nil"/>
                  <w:left w:val="nil"/>
                  <w:bottom w:val="nil"/>
                  <w:right w:val="nil"/>
                </w:tcBorders>
                <w:shd w:val="clear" w:color="auto" w:fill="auto"/>
                <w:noWrap/>
                <w:vAlign w:val="bottom"/>
              </w:tcPr>
              <w:p w14:paraId="4E64A5FF" w14:textId="77777777" w:rsidR="00CD449E" w:rsidRPr="00DA23BA" w:rsidRDefault="00CD449E" w:rsidP="00D24C22">
                <w:pPr>
                  <w:jc w:val="center"/>
                  <w:rPr>
                    <w:rFonts w:ascii="Arial" w:hAnsi="Arial" w:cs="Arial"/>
                    <w:sz w:val="15"/>
                    <w:szCs w:val="15"/>
                    <w:lang w:eastAsia="es-AR"/>
                  </w:rPr>
                </w:pPr>
              </w:p>
            </w:tc>
          </w:tr>
          <w:tr w:rsidR="00CD449E" w:rsidRPr="00D24C22" w14:paraId="437B7143" w14:textId="77777777" w:rsidTr="00D24C22">
            <w:trPr>
              <w:trHeight w:val="180"/>
            </w:trPr>
            <w:tc>
              <w:tcPr>
                <w:tcW w:w="1487" w:type="pct"/>
                <w:tcBorders>
                  <w:top w:val="nil"/>
                  <w:left w:val="nil"/>
                  <w:bottom w:val="nil"/>
                  <w:right w:val="nil"/>
                </w:tcBorders>
                <w:shd w:val="clear" w:color="auto" w:fill="auto"/>
                <w:noWrap/>
                <w:vAlign w:val="bottom"/>
              </w:tcPr>
              <w:p w14:paraId="07F0AAD7"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36D6A963"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642D060B"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2E4DADFD"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75187C27" w14:textId="77777777" w:rsidR="00CD449E" w:rsidRPr="00DA23BA" w:rsidRDefault="00CD449E" w:rsidP="00D24C22">
                <w:pPr>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475FDBAE" w14:textId="77777777" w:rsidR="00CD449E" w:rsidRPr="00DA23BA" w:rsidRDefault="00CD449E" w:rsidP="00D24C22">
                <w:pPr>
                  <w:jc w:val="center"/>
                  <w:rPr>
                    <w:rFonts w:ascii="Arial" w:hAnsi="Arial" w:cs="Arial"/>
                    <w:color w:val="000000"/>
                    <w:sz w:val="15"/>
                    <w:szCs w:val="15"/>
                    <w:lang w:eastAsia="es-AR"/>
                  </w:rPr>
                </w:pPr>
              </w:p>
            </w:tc>
          </w:tr>
          <w:tr w:rsidR="00CD449E" w:rsidRPr="00DA23BA" w14:paraId="67ABCFC8" w14:textId="77777777" w:rsidTr="00D24C22">
            <w:trPr>
              <w:trHeight w:val="180"/>
            </w:trPr>
            <w:tc>
              <w:tcPr>
                <w:tcW w:w="1487" w:type="pct"/>
                <w:tcBorders>
                  <w:top w:val="nil"/>
                  <w:left w:val="nil"/>
                  <w:bottom w:val="nil"/>
                  <w:right w:val="nil"/>
                </w:tcBorders>
                <w:shd w:val="clear" w:color="auto" w:fill="auto"/>
                <w:noWrap/>
                <w:vAlign w:val="bottom"/>
              </w:tcPr>
              <w:p w14:paraId="71B4E304"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4375FBD3"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204AB2BC"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6CB78B0B"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585E2067" w14:textId="77777777" w:rsidR="00CD449E" w:rsidRPr="00DA23BA" w:rsidRDefault="00CD449E" w:rsidP="00D24C22">
                <w:pPr>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2E0DEF8D" w14:textId="77777777" w:rsidR="00CD449E" w:rsidRPr="00DA23BA" w:rsidRDefault="00CD449E" w:rsidP="00D24C22">
                <w:pPr>
                  <w:jc w:val="center"/>
                  <w:rPr>
                    <w:rFonts w:ascii="Arial" w:hAnsi="Arial" w:cs="Arial"/>
                    <w:color w:val="000000"/>
                    <w:sz w:val="15"/>
                    <w:szCs w:val="15"/>
                    <w:lang w:eastAsia="es-AR"/>
                  </w:rPr>
                </w:pPr>
              </w:p>
            </w:tc>
          </w:tr>
          <w:tr w:rsidR="00CD449E" w:rsidRPr="00D24C22" w14:paraId="129461BC" w14:textId="77777777" w:rsidTr="00D24C22">
            <w:trPr>
              <w:trHeight w:val="180"/>
            </w:trPr>
            <w:tc>
              <w:tcPr>
                <w:tcW w:w="1487" w:type="pct"/>
                <w:tcBorders>
                  <w:top w:val="nil"/>
                  <w:left w:val="nil"/>
                  <w:bottom w:val="nil"/>
                  <w:right w:val="nil"/>
                </w:tcBorders>
                <w:shd w:val="clear" w:color="auto" w:fill="auto"/>
                <w:noWrap/>
                <w:vAlign w:val="bottom"/>
              </w:tcPr>
              <w:p w14:paraId="454F2A83"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091EAAED"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788FF693"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45F3533F"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22CD7CD1" w14:textId="77777777" w:rsidR="00CD449E" w:rsidRPr="00DA23BA" w:rsidRDefault="00CD449E" w:rsidP="00D24C22">
                <w:pPr>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403A2B1A" w14:textId="77777777" w:rsidR="00CD449E" w:rsidRPr="00DA23BA" w:rsidRDefault="00CD449E" w:rsidP="00D24C22">
                <w:pPr>
                  <w:jc w:val="center"/>
                  <w:rPr>
                    <w:rFonts w:ascii="Arial" w:hAnsi="Arial" w:cs="Arial"/>
                    <w:color w:val="000000"/>
                    <w:sz w:val="15"/>
                    <w:szCs w:val="15"/>
                    <w:lang w:eastAsia="es-AR"/>
                  </w:rPr>
                </w:pPr>
              </w:p>
            </w:tc>
          </w:tr>
          <w:tr w:rsidR="00CD449E" w:rsidRPr="00D24C22" w14:paraId="7B8582DB" w14:textId="77777777" w:rsidTr="00D24C22">
            <w:trPr>
              <w:trHeight w:val="180"/>
            </w:trPr>
            <w:tc>
              <w:tcPr>
                <w:tcW w:w="1487" w:type="pct"/>
                <w:tcBorders>
                  <w:top w:val="nil"/>
                  <w:left w:val="nil"/>
                  <w:bottom w:val="nil"/>
                  <w:right w:val="nil"/>
                </w:tcBorders>
                <w:shd w:val="clear" w:color="auto" w:fill="auto"/>
                <w:noWrap/>
                <w:vAlign w:val="bottom"/>
              </w:tcPr>
              <w:p w14:paraId="6176223E" w14:textId="77777777" w:rsidR="00CD449E" w:rsidRPr="00DA23BA" w:rsidRDefault="00CD449E" w:rsidP="00D24C22">
                <w:pPr>
                  <w:jc w:val="center"/>
                  <w:rPr>
                    <w:rFonts w:ascii="Arial" w:hAnsi="Arial" w:cs="Arial"/>
                    <w:sz w:val="15"/>
                    <w:szCs w:val="15"/>
                    <w:lang w:eastAsia="es-AR"/>
                  </w:rPr>
                </w:pPr>
              </w:p>
            </w:tc>
            <w:tc>
              <w:tcPr>
                <w:tcW w:w="580" w:type="pct"/>
                <w:tcBorders>
                  <w:top w:val="nil"/>
                  <w:left w:val="nil"/>
                  <w:bottom w:val="nil"/>
                  <w:right w:val="nil"/>
                </w:tcBorders>
                <w:shd w:val="clear" w:color="auto" w:fill="auto"/>
                <w:noWrap/>
                <w:vAlign w:val="bottom"/>
              </w:tcPr>
              <w:p w14:paraId="0C0C802A" w14:textId="77777777" w:rsidR="00CD449E" w:rsidRPr="00DA23BA" w:rsidRDefault="00CD449E" w:rsidP="00D24C22">
                <w:pPr>
                  <w:jc w:val="center"/>
                  <w:rPr>
                    <w:rFonts w:ascii="Arial" w:hAnsi="Arial" w:cs="Arial"/>
                    <w:sz w:val="15"/>
                    <w:szCs w:val="15"/>
                    <w:lang w:eastAsia="es-AR"/>
                  </w:rPr>
                </w:pPr>
              </w:p>
            </w:tc>
            <w:tc>
              <w:tcPr>
                <w:tcW w:w="819" w:type="pct"/>
                <w:tcBorders>
                  <w:top w:val="nil"/>
                  <w:left w:val="nil"/>
                  <w:bottom w:val="nil"/>
                  <w:right w:val="nil"/>
                </w:tcBorders>
                <w:shd w:val="clear" w:color="auto" w:fill="auto"/>
                <w:noWrap/>
                <w:vAlign w:val="bottom"/>
              </w:tcPr>
              <w:p w14:paraId="569D845A" w14:textId="77777777" w:rsidR="00CD449E" w:rsidRPr="00DA23BA" w:rsidRDefault="00CD449E" w:rsidP="00D24C22">
                <w:pPr>
                  <w:jc w:val="center"/>
                  <w:rPr>
                    <w:rFonts w:ascii="Arial" w:hAnsi="Arial" w:cs="Arial"/>
                    <w:sz w:val="15"/>
                    <w:szCs w:val="15"/>
                    <w:lang w:eastAsia="es-AR"/>
                  </w:rPr>
                </w:pPr>
              </w:p>
            </w:tc>
            <w:tc>
              <w:tcPr>
                <w:tcW w:w="380" w:type="pct"/>
                <w:tcBorders>
                  <w:top w:val="nil"/>
                  <w:left w:val="nil"/>
                  <w:bottom w:val="nil"/>
                  <w:right w:val="nil"/>
                </w:tcBorders>
                <w:shd w:val="clear" w:color="auto" w:fill="auto"/>
                <w:noWrap/>
                <w:vAlign w:val="bottom"/>
              </w:tcPr>
              <w:p w14:paraId="73EB5A44" w14:textId="77777777" w:rsidR="00CD449E" w:rsidRPr="00DA23BA" w:rsidRDefault="00CD449E" w:rsidP="00D24C22">
                <w:pPr>
                  <w:jc w:val="center"/>
                  <w:rPr>
                    <w:rFonts w:ascii="Arial" w:hAnsi="Arial" w:cs="Arial"/>
                    <w:sz w:val="15"/>
                    <w:szCs w:val="15"/>
                    <w:lang w:eastAsia="es-AR"/>
                  </w:rPr>
                </w:pPr>
              </w:p>
            </w:tc>
            <w:tc>
              <w:tcPr>
                <w:tcW w:w="1425" w:type="pct"/>
                <w:tcBorders>
                  <w:top w:val="nil"/>
                  <w:left w:val="nil"/>
                  <w:bottom w:val="nil"/>
                  <w:right w:val="nil"/>
                </w:tcBorders>
                <w:shd w:val="clear" w:color="auto" w:fill="auto"/>
                <w:noWrap/>
                <w:vAlign w:val="bottom"/>
              </w:tcPr>
              <w:p w14:paraId="26F2E049" w14:textId="77777777" w:rsidR="00CD449E" w:rsidRPr="00DA23BA" w:rsidRDefault="00CD449E" w:rsidP="00D24C22">
                <w:pPr>
                  <w:jc w:val="center"/>
                  <w:rPr>
                    <w:rFonts w:ascii="Arial" w:hAnsi="Arial" w:cs="Arial"/>
                    <w:sz w:val="15"/>
                    <w:szCs w:val="15"/>
                    <w:lang w:eastAsia="es-AR"/>
                  </w:rPr>
                </w:pPr>
              </w:p>
            </w:tc>
            <w:tc>
              <w:tcPr>
                <w:tcW w:w="309" w:type="pct"/>
                <w:tcBorders>
                  <w:top w:val="nil"/>
                  <w:left w:val="nil"/>
                  <w:bottom w:val="nil"/>
                  <w:right w:val="nil"/>
                </w:tcBorders>
                <w:shd w:val="clear" w:color="auto" w:fill="auto"/>
                <w:noWrap/>
                <w:vAlign w:val="bottom"/>
              </w:tcPr>
              <w:p w14:paraId="4E93147B" w14:textId="77777777" w:rsidR="00CD449E" w:rsidRPr="00DA23BA" w:rsidRDefault="00CD449E" w:rsidP="00D24C22">
                <w:pPr>
                  <w:jc w:val="center"/>
                  <w:rPr>
                    <w:rFonts w:ascii="Arial" w:hAnsi="Arial" w:cs="Arial"/>
                    <w:color w:val="000000"/>
                    <w:sz w:val="15"/>
                    <w:szCs w:val="15"/>
                    <w:lang w:eastAsia="es-AR"/>
                  </w:rPr>
                </w:pPr>
              </w:p>
            </w:tc>
          </w:tr>
        </w:tbl>
        <w:p w14:paraId="4BF9F309" w14:textId="77777777" w:rsidR="00CD449E" w:rsidRPr="0017062B" w:rsidRDefault="00CD449E" w:rsidP="00D24C22">
          <w:pPr>
            <w:pStyle w:val="Piedepgina"/>
          </w:pPr>
        </w:p>
        <w:p w14:paraId="4EED7443" w14:textId="77777777" w:rsidR="00CD449E" w:rsidRPr="00D24C22" w:rsidRDefault="00CD449E" w:rsidP="00D24C22">
          <w:pPr>
            <w:jc w:val="center"/>
            <w:rPr>
              <w:rFonts w:ascii="Arial" w:hAnsi="Arial" w:cs="Arial"/>
              <w:sz w:val="15"/>
              <w:szCs w:val="15"/>
              <w:lang w:val="it-IT" w:eastAsia="es-AR"/>
            </w:rPr>
          </w:pPr>
        </w:p>
      </w:tc>
      <w:tc>
        <w:tcPr>
          <w:tcW w:w="576" w:type="pct"/>
          <w:tcBorders>
            <w:top w:val="nil"/>
            <w:left w:val="nil"/>
            <w:bottom w:val="nil"/>
            <w:right w:val="nil"/>
          </w:tcBorders>
          <w:shd w:val="clear" w:color="auto" w:fill="auto"/>
          <w:noWrap/>
          <w:vAlign w:val="bottom"/>
        </w:tcPr>
        <w:p w14:paraId="06921FEF" w14:textId="77777777" w:rsidR="00CD449E" w:rsidRPr="00DA23BA" w:rsidRDefault="00CD449E" w:rsidP="00D24C22">
          <w:pPr>
            <w:jc w:val="center"/>
            <w:rPr>
              <w:rFonts w:ascii="Arial" w:hAnsi="Arial" w:cs="Arial"/>
              <w:sz w:val="15"/>
              <w:szCs w:val="15"/>
              <w:lang w:eastAsia="es-AR"/>
            </w:rPr>
          </w:pPr>
        </w:p>
      </w:tc>
      <w:tc>
        <w:tcPr>
          <w:tcW w:w="816" w:type="pct"/>
          <w:tcBorders>
            <w:top w:val="nil"/>
            <w:left w:val="nil"/>
            <w:bottom w:val="nil"/>
            <w:right w:val="nil"/>
          </w:tcBorders>
          <w:shd w:val="clear" w:color="auto" w:fill="auto"/>
          <w:noWrap/>
          <w:vAlign w:val="bottom"/>
        </w:tcPr>
        <w:p w14:paraId="2EDFD563" w14:textId="77777777" w:rsidR="00CD449E" w:rsidRPr="00DA23BA" w:rsidRDefault="00CD449E" w:rsidP="00D24C22">
          <w:pPr>
            <w:jc w:val="center"/>
            <w:rPr>
              <w:rFonts w:ascii="Arial" w:hAnsi="Arial" w:cs="Arial"/>
              <w:sz w:val="15"/>
              <w:szCs w:val="15"/>
              <w:lang w:eastAsia="es-AR"/>
            </w:rPr>
          </w:pPr>
        </w:p>
      </w:tc>
      <w:tc>
        <w:tcPr>
          <w:tcW w:w="377" w:type="pct"/>
          <w:tcBorders>
            <w:top w:val="nil"/>
            <w:left w:val="nil"/>
            <w:bottom w:val="nil"/>
            <w:right w:val="nil"/>
          </w:tcBorders>
          <w:shd w:val="clear" w:color="auto" w:fill="auto"/>
          <w:noWrap/>
          <w:vAlign w:val="bottom"/>
        </w:tcPr>
        <w:p w14:paraId="5C0A0E54" w14:textId="77777777" w:rsidR="00CD449E" w:rsidRPr="00DA23BA" w:rsidRDefault="00CD449E" w:rsidP="00D24C22">
          <w:pPr>
            <w:jc w:val="center"/>
            <w:rPr>
              <w:rFonts w:ascii="Arial" w:hAnsi="Arial" w:cs="Arial"/>
              <w:sz w:val="15"/>
              <w:szCs w:val="15"/>
              <w:lang w:eastAsia="es-AR"/>
            </w:rPr>
          </w:pPr>
        </w:p>
      </w:tc>
      <w:tc>
        <w:tcPr>
          <w:tcW w:w="1422" w:type="pct"/>
          <w:tcBorders>
            <w:top w:val="nil"/>
            <w:left w:val="nil"/>
            <w:bottom w:val="nil"/>
            <w:right w:val="nil"/>
          </w:tcBorders>
          <w:shd w:val="clear" w:color="auto" w:fill="auto"/>
          <w:noWrap/>
          <w:vAlign w:val="bottom"/>
        </w:tcPr>
        <w:p w14:paraId="08D4A4C7" w14:textId="77777777" w:rsidR="00CD449E" w:rsidRPr="00DA23BA" w:rsidRDefault="00CD449E" w:rsidP="00D24C22">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60C22E39" w14:textId="77777777" w:rsidR="00CD449E" w:rsidRPr="00DA23BA" w:rsidRDefault="00CD449E" w:rsidP="00D24C22">
          <w:pPr>
            <w:jc w:val="center"/>
            <w:rPr>
              <w:rFonts w:ascii="Arial" w:hAnsi="Arial" w:cs="Arial"/>
              <w:color w:val="000000"/>
              <w:sz w:val="15"/>
              <w:szCs w:val="15"/>
              <w:lang w:eastAsia="es-AR"/>
            </w:rPr>
          </w:pPr>
        </w:p>
      </w:tc>
    </w:tr>
  </w:tbl>
  <w:p w14:paraId="475325B3" w14:textId="77777777" w:rsidR="00CD449E" w:rsidRPr="00BA218C" w:rsidRDefault="00CD449E" w:rsidP="00E05C6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68" w:type="pct"/>
      <w:tblCellMar>
        <w:left w:w="70" w:type="dxa"/>
        <w:right w:w="70" w:type="dxa"/>
      </w:tblCellMar>
      <w:tblLook w:val="04A0" w:firstRow="1" w:lastRow="0" w:firstColumn="1" w:lastColumn="0" w:noHBand="0" w:noVBand="1"/>
    </w:tblPr>
    <w:tblGrid>
      <w:gridCol w:w="2628"/>
      <w:gridCol w:w="913"/>
      <w:gridCol w:w="1566"/>
      <w:gridCol w:w="537"/>
      <w:gridCol w:w="3194"/>
      <w:gridCol w:w="616"/>
    </w:tblGrid>
    <w:tr w:rsidR="00CD449E" w:rsidRPr="00DA23BA" w14:paraId="23B1E2F4" w14:textId="77777777" w:rsidTr="000924A1">
      <w:trPr>
        <w:trHeight w:val="180"/>
      </w:trPr>
      <w:tc>
        <w:tcPr>
          <w:tcW w:w="1411" w:type="pct"/>
          <w:tcBorders>
            <w:top w:val="nil"/>
            <w:left w:val="nil"/>
            <w:bottom w:val="nil"/>
            <w:right w:val="nil"/>
          </w:tcBorders>
          <w:shd w:val="clear" w:color="auto" w:fill="auto"/>
          <w:noWrap/>
          <w:vAlign w:val="bottom"/>
        </w:tcPr>
        <w:p w14:paraId="7047E2CB" w14:textId="77777777" w:rsidR="00CD449E" w:rsidRPr="00DA23BA" w:rsidRDefault="00CD449E" w:rsidP="00B51CA4">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10D47C83" w14:textId="77777777" w:rsidR="00CD449E" w:rsidRPr="00DA23BA" w:rsidRDefault="00CD449E" w:rsidP="00B51CA4">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42B968DC" w14:textId="77777777" w:rsidR="00CD449E" w:rsidRPr="00DA23BA" w:rsidRDefault="00CD449E" w:rsidP="00B51CA4">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5DF88D65" w14:textId="77777777" w:rsidR="00CD449E" w:rsidRPr="00DA23BA" w:rsidRDefault="00CD449E" w:rsidP="00B51CA4">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235554DA" w14:textId="77777777" w:rsidR="00CD449E" w:rsidRPr="00DA23BA" w:rsidRDefault="00CD449E" w:rsidP="00B51CA4">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1BA4FE06" w14:textId="77777777" w:rsidR="00CD449E" w:rsidRPr="00DA23BA" w:rsidRDefault="00CD449E" w:rsidP="00B51CA4">
          <w:pPr>
            <w:jc w:val="center"/>
            <w:rPr>
              <w:rFonts w:ascii="Arial" w:hAnsi="Arial" w:cs="Arial"/>
              <w:color w:val="000000"/>
              <w:sz w:val="15"/>
              <w:szCs w:val="15"/>
              <w:lang w:eastAsia="es-AR"/>
            </w:rPr>
          </w:pPr>
        </w:p>
      </w:tc>
    </w:tr>
    <w:tr w:rsidR="00CD449E" w:rsidRPr="00DA23BA" w14:paraId="54DF052D" w14:textId="77777777" w:rsidTr="000924A1">
      <w:trPr>
        <w:trHeight w:val="180"/>
      </w:trPr>
      <w:tc>
        <w:tcPr>
          <w:tcW w:w="1411" w:type="pct"/>
          <w:tcBorders>
            <w:top w:val="nil"/>
            <w:left w:val="nil"/>
            <w:bottom w:val="nil"/>
            <w:right w:val="nil"/>
          </w:tcBorders>
          <w:shd w:val="clear" w:color="auto" w:fill="auto"/>
          <w:noWrap/>
          <w:vAlign w:val="bottom"/>
        </w:tcPr>
        <w:p w14:paraId="7A5C7C02" w14:textId="77777777" w:rsidR="00CD449E" w:rsidRPr="00DA23BA" w:rsidRDefault="00CD449E" w:rsidP="00B51CA4">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490E62F8" w14:textId="77777777" w:rsidR="00CD449E" w:rsidRPr="00DA23BA" w:rsidRDefault="00CD449E" w:rsidP="00B51CA4">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47F7A2E1" w14:textId="77777777" w:rsidR="00CD449E" w:rsidRPr="00DA23BA" w:rsidRDefault="00CD449E" w:rsidP="00B51CA4">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023062F7" w14:textId="77777777" w:rsidR="00CD449E" w:rsidRPr="00DA23BA" w:rsidRDefault="00CD449E" w:rsidP="00B51CA4">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15514D50" w14:textId="77777777" w:rsidR="00CD449E" w:rsidRPr="00DA23BA" w:rsidRDefault="00CD449E" w:rsidP="00B51CA4">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6B0FB6A7" w14:textId="77777777" w:rsidR="00CD449E" w:rsidRPr="00DA23BA" w:rsidRDefault="00CD449E" w:rsidP="00B51CA4">
          <w:pPr>
            <w:jc w:val="center"/>
            <w:rPr>
              <w:rFonts w:ascii="Arial" w:hAnsi="Arial" w:cs="Arial"/>
              <w:color w:val="000000"/>
              <w:sz w:val="15"/>
              <w:szCs w:val="15"/>
              <w:lang w:eastAsia="es-AR"/>
            </w:rPr>
          </w:pPr>
        </w:p>
      </w:tc>
    </w:tr>
    <w:tr w:rsidR="00CD449E" w:rsidRPr="00DA23BA" w14:paraId="4C384A3A" w14:textId="77777777" w:rsidTr="000924A1">
      <w:trPr>
        <w:trHeight w:val="87"/>
      </w:trPr>
      <w:tc>
        <w:tcPr>
          <w:tcW w:w="1411" w:type="pct"/>
          <w:tcBorders>
            <w:top w:val="nil"/>
            <w:left w:val="nil"/>
            <w:bottom w:val="nil"/>
            <w:right w:val="nil"/>
          </w:tcBorders>
          <w:shd w:val="clear" w:color="auto" w:fill="auto"/>
          <w:noWrap/>
          <w:vAlign w:val="bottom"/>
        </w:tcPr>
        <w:p w14:paraId="0AD66764" w14:textId="77777777" w:rsidR="00CD449E" w:rsidRPr="00DA23BA" w:rsidRDefault="00CD449E" w:rsidP="00B51CA4">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5E492B36" w14:textId="77777777" w:rsidR="00CD449E" w:rsidRPr="00DA23BA" w:rsidRDefault="00CD449E" w:rsidP="00B51CA4">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380BA630" w14:textId="77777777" w:rsidR="00CD449E" w:rsidRPr="00DA23BA" w:rsidRDefault="00CD449E" w:rsidP="00B51CA4">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31F344AC" w14:textId="77777777" w:rsidR="00CD449E" w:rsidRPr="00DA23BA" w:rsidRDefault="00CD449E" w:rsidP="00B51CA4">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5C9E4E07" w14:textId="77777777" w:rsidR="00CD449E" w:rsidRPr="00DA23BA" w:rsidRDefault="00CD449E" w:rsidP="00B51CA4">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402450B0" w14:textId="77777777" w:rsidR="00CD449E" w:rsidRPr="00DA23BA" w:rsidRDefault="00CD449E" w:rsidP="00B51CA4">
          <w:pPr>
            <w:jc w:val="center"/>
            <w:rPr>
              <w:rFonts w:ascii="Arial" w:hAnsi="Arial" w:cs="Arial"/>
              <w:color w:val="000000"/>
              <w:sz w:val="15"/>
              <w:szCs w:val="15"/>
              <w:lang w:eastAsia="es-AR"/>
            </w:rPr>
          </w:pPr>
        </w:p>
      </w:tc>
    </w:tr>
    <w:tr w:rsidR="00CD449E" w:rsidRPr="00DA23BA" w14:paraId="7E30B144" w14:textId="77777777" w:rsidTr="000924A1">
      <w:trPr>
        <w:trHeight w:val="180"/>
      </w:trPr>
      <w:tc>
        <w:tcPr>
          <w:tcW w:w="1411" w:type="pct"/>
          <w:tcBorders>
            <w:top w:val="nil"/>
            <w:left w:val="nil"/>
            <w:bottom w:val="nil"/>
            <w:right w:val="nil"/>
          </w:tcBorders>
          <w:shd w:val="clear" w:color="auto" w:fill="auto"/>
          <w:noWrap/>
          <w:vAlign w:val="bottom"/>
        </w:tcPr>
        <w:p w14:paraId="26846831" w14:textId="77777777" w:rsidR="00CD449E" w:rsidRPr="00DA23BA" w:rsidRDefault="00CD449E" w:rsidP="000924A1">
          <w:pPr>
            <w:jc w:val="center"/>
            <w:rPr>
              <w:rFonts w:ascii="Arial" w:hAnsi="Arial" w:cs="Arial"/>
              <w:sz w:val="15"/>
              <w:szCs w:val="15"/>
              <w:lang w:eastAsia="es-AR"/>
            </w:rPr>
          </w:pPr>
          <w:r>
            <w:rPr>
              <w:rFonts w:ascii="Arial" w:hAnsi="Arial" w:cs="Arial"/>
              <w:sz w:val="15"/>
              <w:szCs w:val="15"/>
              <w:lang w:eastAsia="es-AR"/>
            </w:rPr>
            <w:t>Mariano Andrés Biglia</w:t>
          </w:r>
        </w:p>
      </w:tc>
      <w:tc>
        <w:tcPr>
          <w:tcW w:w="504" w:type="pct"/>
          <w:tcBorders>
            <w:top w:val="nil"/>
            <w:left w:val="nil"/>
            <w:bottom w:val="nil"/>
            <w:right w:val="nil"/>
          </w:tcBorders>
          <w:shd w:val="clear" w:color="auto" w:fill="auto"/>
          <w:noWrap/>
          <w:vAlign w:val="bottom"/>
        </w:tcPr>
        <w:p w14:paraId="409DE077"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03B905B5" w14:textId="7E91EB16" w:rsidR="00CD449E" w:rsidRPr="00DA23BA" w:rsidRDefault="00CD449E" w:rsidP="000924A1">
          <w:pPr>
            <w:jc w:val="center"/>
            <w:rPr>
              <w:rFonts w:ascii="Arial" w:hAnsi="Arial" w:cs="Arial"/>
              <w:sz w:val="15"/>
              <w:szCs w:val="15"/>
              <w:lang w:eastAsia="es-AR"/>
            </w:rPr>
          </w:pPr>
          <w:r>
            <w:rPr>
              <w:rFonts w:ascii="Arial" w:hAnsi="Arial" w:cs="Arial"/>
              <w:sz w:val="15"/>
              <w:szCs w:val="15"/>
            </w:rPr>
            <w:t>Jorge Oscar Ramírez</w:t>
          </w:r>
        </w:p>
      </w:tc>
      <w:tc>
        <w:tcPr>
          <w:tcW w:w="305" w:type="pct"/>
          <w:tcBorders>
            <w:top w:val="nil"/>
            <w:left w:val="nil"/>
            <w:bottom w:val="nil"/>
            <w:right w:val="nil"/>
          </w:tcBorders>
          <w:shd w:val="clear" w:color="auto" w:fill="auto"/>
          <w:noWrap/>
          <w:vAlign w:val="bottom"/>
        </w:tcPr>
        <w:p w14:paraId="6C1CA760"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224DF7AD" w14:textId="2CE92725" w:rsidR="00CD449E" w:rsidRPr="00DA23BA" w:rsidRDefault="00CD449E" w:rsidP="000924A1">
          <w:pPr>
            <w:ind w:left="210" w:hanging="210"/>
            <w:jc w:val="center"/>
            <w:rPr>
              <w:rFonts w:ascii="Arial" w:hAnsi="Arial" w:cs="Arial"/>
              <w:sz w:val="15"/>
              <w:szCs w:val="15"/>
              <w:lang w:eastAsia="es-AR"/>
            </w:rPr>
          </w:pPr>
          <w:r w:rsidRPr="000924A1">
            <w:rPr>
              <w:rFonts w:ascii="Arial" w:hAnsi="Arial" w:cs="Arial"/>
              <w:sz w:val="15"/>
              <w:szCs w:val="15"/>
            </w:rPr>
            <w:t>Atilio María Dell Oro Maini</w:t>
          </w:r>
        </w:p>
      </w:tc>
      <w:tc>
        <w:tcPr>
          <w:tcW w:w="326" w:type="pct"/>
          <w:tcBorders>
            <w:top w:val="nil"/>
            <w:left w:val="nil"/>
            <w:bottom w:val="nil"/>
            <w:right w:val="nil"/>
          </w:tcBorders>
          <w:shd w:val="clear" w:color="auto" w:fill="auto"/>
          <w:noWrap/>
          <w:vAlign w:val="bottom"/>
        </w:tcPr>
        <w:p w14:paraId="24236D9C" w14:textId="77777777" w:rsidR="00CD449E" w:rsidRPr="00DA23BA" w:rsidRDefault="00CD449E" w:rsidP="000924A1">
          <w:pPr>
            <w:jc w:val="center"/>
            <w:rPr>
              <w:rFonts w:ascii="Arial" w:hAnsi="Arial" w:cs="Arial"/>
              <w:color w:val="000000"/>
              <w:sz w:val="15"/>
              <w:szCs w:val="15"/>
              <w:lang w:eastAsia="es-AR"/>
            </w:rPr>
          </w:pPr>
        </w:p>
      </w:tc>
    </w:tr>
    <w:tr w:rsidR="00CD449E" w:rsidRPr="00DA23BA" w14:paraId="4B218533" w14:textId="77777777" w:rsidTr="000924A1">
      <w:trPr>
        <w:trHeight w:val="180"/>
      </w:trPr>
      <w:tc>
        <w:tcPr>
          <w:tcW w:w="1411" w:type="pct"/>
          <w:tcBorders>
            <w:top w:val="nil"/>
            <w:left w:val="nil"/>
            <w:bottom w:val="nil"/>
            <w:right w:val="nil"/>
          </w:tcBorders>
          <w:shd w:val="clear" w:color="auto" w:fill="auto"/>
          <w:noWrap/>
          <w:vAlign w:val="bottom"/>
        </w:tcPr>
        <w:p w14:paraId="2D0D755D"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Responsable del Área Contable</w:t>
          </w:r>
        </w:p>
      </w:tc>
      <w:tc>
        <w:tcPr>
          <w:tcW w:w="504" w:type="pct"/>
          <w:tcBorders>
            <w:top w:val="nil"/>
            <w:left w:val="nil"/>
            <w:bottom w:val="nil"/>
            <w:right w:val="nil"/>
          </w:tcBorders>
          <w:shd w:val="clear" w:color="auto" w:fill="auto"/>
          <w:noWrap/>
          <w:vAlign w:val="bottom"/>
        </w:tcPr>
        <w:p w14:paraId="785C4DC5"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0820685E" w14:textId="3EF4AFFE"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Gerente General</w:t>
          </w:r>
        </w:p>
      </w:tc>
      <w:tc>
        <w:tcPr>
          <w:tcW w:w="305" w:type="pct"/>
          <w:tcBorders>
            <w:top w:val="nil"/>
            <w:left w:val="nil"/>
            <w:bottom w:val="nil"/>
            <w:right w:val="nil"/>
          </w:tcBorders>
          <w:shd w:val="clear" w:color="auto" w:fill="auto"/>
          <w:noWrap/>
          <w:vAlign w:val="bottom"/>
        </w:tcPr>
        <w:p w14:paraId="5E50A3E8"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56ACD93E" w14:textId="77777777" w:rsidR="00CD449E" w:rsidRPr="00DA23BA" w:rsidRDefault="00CD449E" w:rsidP="000924A1">
          <w:pPr>
            <w:ind w:left="210" w:hanging="210"/>
            <w:jc w:val="center"/>
            <w:rPr>
              <w:rFonts w:ascii="Arial" w:hAnsi="Arial" w:cs="Arial"/>
              <w:sz w:val="15"/>
              <w:szCs w:val="15"/>
              <w:lang w:eastAsia="es-AR"/>
            </w:rPr>
          </w:pPr>
          <w:r>
            <w:rPr>
              <w:rFonts w:ascii="Arial" w:hAnsi="Arial" w:cs="Arial"/>
              <w:sz w:val="15"/>
              <w:szCs w:val="15"/>
              <w:lang w:eastAsia="es-AR"/>
            </w:rPr>
            <w:t>Vicep</w:t>
          </w:r>
          <w:r w:rsidRPr="00DA23BA">
            <w:rPr>
              <w:rFonts w:ascii="Arial" w:hAnsi="Arial" w:cs="Arial"/>
              <w:sz w:val="15"/>
              <w:szCs w:val="15"/>
              <w:lang w:eastAsia="es-AR"/>
            </w:rPr>
            <w:t>residente</w:t>
          </w:r>
        </w:p>
      </w:tc>
      <w:tc>
        <w:tcPr>
          <w:tcW w:w="326" w:type="pct"/>
          <w:tcBorders>
            <w:top w:val="nil"/>
            <w:left w:val="nil"/>
            <w:bottom w:val="nil"/>
            <w:right w:val="nil"/>
          </w:tcBorders>
          <w:shd w:val="clear" w:color="auto" w:fill="auto"/>
          <w:noWrap/>
          <w:vAlign w:val="bottom"/>
        </w:tcPr>
        <w:p w14:paraId="4016F0D2" w14:textId="77777777" w:rsidR="00CD449E" w:rsidRPr="00DA23BA" w:rsidRDefault="00CD449E" w:rsidP="000924A1">
          <w:pPr>
            <w:jc w:val="center"/>
            <w:rPr>
              <w:rFonts w:ascii="Arial" w:hAnsi="Arial" w:cs="Arial"/>
              <w:color w:val="000000"/>
              <w:sz w:val="15"/>
              <w:szCs w:val="15"/>
              <w:lang w:eastAsia="es-AR"/>
            </w:rPr>
          </w:pPr>
        </w:p>
      </w:tc>
    </w:tr>
    <w:tr w:rsidR="00CD449E" w:rsidRPr="00DA23BA" w14:paraId="3D270B3D" w14:textId="77777777" w:rsidTr="000924A1">
      <w:trPr>
        <w:trHeight w:val="180"/>
      </w:trPr>
      <w:tc>
        <w:tcPr>
          <w:tcW w:w="1411" w:type="pct"/>
          <w:tcBorders>
            <w:top w:val="nil"/>
            <w:left w:val="nil"/>
            <w:bottom w:val="nil"/>
            <w:right w:val="nil"/>
          </w:tcBorders>
          <w:shd w:val="clear" w:color="auto" w:fill="auto"/>
          <w:noWrap/>
          <w:vAlign w:val="bottom"/>
        </w:tcPr>
        <w:p w14:paraId="5FFFD85B" w14:textId="77777777" w:rsidR="00CD449E" w:rsidRPr="00DA23BA" w:rsidRDefault="00CD449E" w:rsidP="000924A1">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751C0B4C"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4FEA668F"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6E6D50D7"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2C34096" w14:textId="77777777" w:rsidR="00CD449E" w:rsidRPr="00DA23BA" w:rsidRDefault="00CD449E" w:rsidP="000924A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4791BDB1" w14:textId="77777777" w:rsidR="00CD449E" w:rsidRPr="00DA23BA" w:rsidRDefault="00CD449E" w:rsidP="000924A1">
          <w:pPr>
            <w:jc w:val="center"/>
            <w:rPr>
              <w:rFonts w:ascii="Arial" w:hAnsi="Arial" w:cs="Arial"/>
              <w:sz w:val="15"/>
              <w:szCs w:val="15"/>
              <w:lang w:eastAsia="es-AR"/>
            </w:rPr>
          </w:pPr>
        </w:p>
      </w:tc>
    </w:tr>
    <w:tr w:rsidR="00CD449E" w:rsidRPr="00707D83" w14:paraId="75ACF347" w14:textId="77777777" w:rsidTr="000924A1">
      <w:trPr>
        <w:trHeight w:val="180"/>
      </w:trPr>
      <w:tc>
        <w:tcPr>
          <w:tcW w:w="1411" w:type="pct"/>
          <w:tcBorders>
            <w:top w:val="nil"/>
            <w:left w:val="nil"/>
            <w:bottom w:val="nil"/>
            <w:right w:val="nil"/>
          </w:tcBorders>
          <w:shd w:val="clear" w:color="auto" w:fill="auto"/>
          <w:noWrap/>
          <w:vAlign w:val="bottom"/>
        </w:tcPr>
        <w:p w14:paraId="1DE6F822"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504" w:type="pct"/>
          <w:tcBorders>
            <w:top w:val="nil"/>
            <w:left w:val="nil"/>
            <w:bottom w:val="nil"/>
            <w:right w:val="nil"/>
          </w:tcBorders>
          <w:shd w:val="clear" w:color="auto" w:fill="auto"/>
          <w:noWrap/>
          <w:vAlign w:val="bottom"/>
        </w:tcPr>
        <w:p w14:paraId="40C9E314"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1C194EFC"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11F7CF6C"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6ADD2CB6" w14:textId="77777777" w:rsidR="00CD449E" w:rsidRPr="00DA23BA" w:rsidRDefault="00CD449E" w:rsidP="000924A1">
          <w:pPr>
            <w:ind w:left="210" w:hanging="210"/>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326" w:type="pct"/>
          <w:tcBorders>
            <w:top w:val="nil"/>
            <w:left w:val="nil"/>
            <w:bottom w:val="nil"/>
            <w:right w:val="nil"/>
          </w:tcBorders>
          <w:shd w:val="clear" w:color="auto" w:fill="auto"/>
          <w:noWrap/>
          <w:vAlign w:val="bottom"/>
        </w:tcPr>
        <w:p w14:paraId="42093116" w14:textId="77777777" w:rsidR="00CD449E" w:rsidRPr="00DA23BA" w:rsidRDefault="00CD449E" w:rsidP="000924A1">
          <w:pPr>
            <w:jc w:val="center"/>
            <w:rPr>
              <w:rFonts w:ascii="Arial" w:hAnsi="Arial" w:cs="Arial"/>
              <w:color w:val="000000"/>
              <w:sz w:val="15"/>
              <w:szCs w:val="15"/>
              <w:lang w:eastAsia="es-AR"/>
            </w:rPr>
          </w:pPr>
        </w:p>
      </w:tc>
    </w:tr>
    <w:tr w:rsidR="00CD449E" w:rsidRPr="00DA23BA" w14:paraId="18344B4F" w14:textId="77777777" w:rsidTr="000924A1">
      <w:trPr>
        <w:trHeight w:val="180"/>
      </w:trPr>
      <w:tc>
        <w:tcPr>
          <w:tcW w:w="1411" w:type="pct"/>
          <w:tcBorders>
            <w:top w:val="nil"/>
            <w:left w:val="nil"/>
            <w:bottom w:val="nil"/>
            <w:right w:val="nil"/>
          </w:tcBorders>
          <w:shd w:val="clear" w:color="auto" w:fill="auto"/>
          <w:noWrap/>
          <w:vAlign w:val="bottom"/>
        </w:tcPr>
        <w:p w14:paraId="06FDE647" w14:textId="58FD172A" w:rsidR="00CD449E" w:rsidRPr="00DA23BA" w:rsidRDefault="00CD449E" w:rsidP="00843797">
          <w:pPr>
            <w:jc w:val="center"/>
            <w:rPr>
              <w:rFonts w:ascii="Arial" w:hAnsi="Arial" w:cs="Arial"/>
              <w:sz w:val="15"/>
              <w:szCs w:val="15"/>
              <w:lang w:eastAsia="es-AR"/>
            </w:rPr>
          </w:pPr>
          <w:r>
            <w:rPr>
              <w:rFonts w:ascii="Arial" w:hAnsi="Arial" w:cs="Arial"/>
              <w:sz w:val="15"/>
              <w:szCs w:val="15"/>
              <w:lang w:eastAsia="es-AR"/>
            </w:rPr>
            <w:t>19 de febrero de 2020</w:t>
          </w:r>
        </w:p>
      </w:tc>
      <w:tc>
        <w:tcPr>
          <w:tcW w:w="504" w:type="pct"/>
          <w:tcBorders>
            <w:top w:val="nil"/>
            <w:left w:val="nil"/>
            <w:bottom w:val="nil"/>
            <w:right w:val="nil"/>
          </w:tcBorders>
          <w:shd w:val="clear" w:color="auto" w:fill="auto"/>
          <w:noWrap/>
          <w:vAlign w:val="bottom"/>
        </w:tcPr>
        <w:p w14:paraId="5577F275"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759D42F9"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2D1F4DCF"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24F8C1B6" w14:textId="789EAF41" w:rsidR="00CD449E" w:rsidRPr="00DA23BA" w:rsidRDefault="00CD449E" w:rsidP="00843797">
          <w:pPr>
            <w:ind w:left="210" w:hanging="210"/>
            <w:jc w:val="center"/>
            <w:rPr>
              <w:rFonts w:ascii="Arial" w:hAnsi="Arial" w:cs="Arial"/>
              <w:sz w:val="15"/>
              <w:szCs w:val="15"/>
              <w:lang w:eastAsia="es-AR"/>
            </w:rPr>
          </w:pPr>
          <w:r>
            <w:rPr>
              <w:rFonts w:ascii="Arial" w:hAnsi="Arial" w:cs="Arial"/>
              <w:sz w:val="15"/>
              <w:szCs w:val="15"/>
              <w:lang w:eastAsia="es-AR"/>
            </w:rPr>
            <w:t>19 de febrero de 2020</w:t>
          </w:r>
        </w:p>
      </w:tc>
      <w:tc>
        <w:tcPr>
          <w:tcW w:w="326" w:type="pct"/>
          <w:tcBorders>
            <w:top w:val="nil"/>
            <w:left w:val="nil"/>
            <w:bottom w:val="nil"/>
            <w:right w:val="nil"/>
          </w:tcBorders>
          <w:shd w:val="clear" w:color="auto" w:fill="auto"/>
          <w:noWrap/>
          <w:vAlign w:val="bottom"/>
        </w:tcPr>
        <w:p w14:paraId="762C2FD7" w14:textId="77777777" w:rsidR="00CD449E" w:rsidRPr="00DA23BA" w:rsidRDefault="00CD449E" w:rsidP="000924A1">
          <w:pPr>
            <w:jc w:val="center"/>
            <w:rPr>
              <w:rFonts w:ascii="Arial" w:hAnsi="Arial" w:cs="Arial"/>
              <w:color w:val="000000"/>
              <w:sz w:val="15"/>
              <w:szCs w:val="15"/>
              <w:lang w:eastAsia="es-AR"/>
            </w:rPr>
          </w:pPr>
        </w:p>
      </w:tc>
    </w:tr>
    <w:tr w:rsidR="00CD449E" w:rsidRPr="00CD449E" w14:paraId="430C7C31" w14:textId="77777777" w:rsidTr="000924A1">
      <w:trPr>
        <w:trHeight w:val="180"/>
      </w:trPr>
      <w:tc>
        <w:tcPr>
          <w:tcW w:w="1411" w:type="pct"/>
          <w:tcBorders>
            <w:top w:val="nil"/>
            <w:left w:val="nil"/>
            <w:bottom w:val="nil"/>
            <w:right w:val="nil"/>
          </w:tcBorders>
          <w:shd w:val="clear" w:color="auto" w:fill="auto"/>
          <w:noWrap/>
          <w:vAlign w:val="center"/>
        </w:tcPr>
        <w:p w14:paraId="2939E773"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Por Comisión Fiscalizadora</w:t>
          </w:r>
        </w:p>
      </w:tc>
      <w:tc>
        <w:tcPr>
          <w:tcW w:w="504" w:type="pct"/>
          <w:tcBorders>
            <w:top w:val="nil"/>
            <w:left w:val="nil"/>
            <w:bottom w:val="nil"/>
            <w:right w:val="nil"/>
          </w:tcBorders>
          <w:shd w:val="clear" w:color="auto" w:fill="auto"/>
          <w:noWrap/>
          <w:vAlign w:val="bottom"/>
        </w:tcPr>
        <w:p w14:paraId="2D70E0C6"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5E6BD608"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69FEE365"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2668882" w14:textId="77777777" w:rsidR="00CD449E" w:rsidRPr="00DA23BA" w:rsidRDefault="00CD449E" w:rsidP="000924A1">
          <w:pPr>
            <w:ind w:left="210" w:hanging="210"/>
            <w:jc w:val="center"/>
            <w:rPr>
              <w:rFonts w:ascii="Arial" w:hAnsi="Arial" w:cs="Arial"/>
              <w:sz w:val="15"/>
              <w:szCs w:val="15"/>
              <w:lang w:val="en-US" w:eastAsia="es-AR"/>
            </w:rPr>
          </w:pPr>
          <w:r w:rsidRPr="00DA23BA">
            <w:rPr>
              <w:rFonts w:ascii="Arial" w:hAnsi="Arial" w:cs="Arial"/>
              <w:sz w:val="15"/>
              <w:szCs w:val="15"/>
              <w:lang w:val="en-US" w:eastAsia="es-AR"/>
            </w:rPr>
            <w:t>PRICE WATERHOUSE &amp; CO. S.R.L.</w:t>
          </w:r>
        </w:p>
      </w:tc>
      <w:tc>
        <w:tcPr>
          <w:tcW w:w="326" w:type="pct"/>
          <w:tcBorders>
            <w:top w:val="nil"/>
            <w:left w:val="nil"/>
            <w:bottom w:val="nil"/>
            <w:right w:val="nil"/>
          </w:tcBorders>
          <w:shd w:val="clear" w:color="auto" w:fill="auto"/>
          <w:noWrap/>
          <w:vAlign w:val="bottom"/>
        </w:tcPr>
        <w:p w14:paraId="628FD5DD" w14:textId="77777777" w:rsidR="00CD449E" w:rsidRPr="00DA23BA" w:rsidRDefault="00CD449E" w:rsidP="000924A1">
          <w:pPr>
            <w:jc w:val="center"/>
            <w:rPr>
              <w:rFonts w:ascii="Arial" w:hAnsi="Arial" w:cs="Arial"/>
              <w:color w:val="000000"/>
              <w:sz w:val="15"/>
              <w:szCs w:val="15"/>
              <w:lang w:val="en-US" w:eastAsia="es-AR"/>
            </w:rPr>
          </w:pPr>
        </w:p>
      </w:tc>
    </w:tr>
    <w:tr w:rsidR="00CD449E" w:rsidRPr="00CD449E" w14:paraId="121C7D0C" w14:textId="77777777" w:rsidTr="000924A1">
      <w:trPr>
        <w:trHeight w:val="180"/>
      </w:trPr>
      <w:tc>
        <w:tcPr>
          <w:tcW w:w="1411" w:type="pct"/>
          <w:tcBorders>
            <w:top w:val="nil"/>
            <w:left w:val="nil"/>
            <w:bottom w:val="nil"/>
            <w:right w:val="nil"/>
          </w:tcBorders>
          <w:shd w:val="clear" w:color="auto" w:fill="auto"/>
          <w:noWrap/>
          <w:vAlign w:val="bottom"/>
        </w:tcPr>
        <w:p w14:paraId="510535C6" w14:textId="77777777" w:rsidR="00CD449E" w:rsidRPr="00DA23BA" w:rsidRDefault="00CD449E" w:rsidP="000924A1">
          <w:pPr>
            <w:jc w:val="center"/>
            <w:rPr>
              <w:rFonts w:ascii="Arial" w:hAnsi="Arial" w:cs="Arial"/>
              <w:sz w:val="15"/>
              <w:szCs w:val="15"/>
              <w:lang w:val="en-US" w:eastAsia="es-AR"/>
            </w:rPr>
          </w:pPr>
        </w:p>
      </w:tc>
      <w:tc>
        <w:tcPr>
          <w:tcW w:w="504" w:type="pct"/>
          <w:tcBorders>
            <w:top w:val="nil"/>
            <w:left w:val="nil"/>
            <w:bottom w:val="nil"/>
            <w:right w:val="nil"/>
          </w:tcBorders>
          <w:shd w:val="clear" w:color="auto" w:fill="auto"/>
          <w:noWrap/>
          <w:vAlign w:val="bottom"/>
        </w:tcPr>
        <w:p w14:paraId="4FECBBD4" w14:textId="77777777" w:rsidR="00CD449E" w:rsidRPr="008A6403" w:rsidRDefault="00CD449E"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47EE981F" w14:textId="77777777" w:rsidR="00CD449E" w:rsidRPr="008A6403" w:rsidRDefault="00CD449E"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274EAA84" w14:textId="77777777" w:rsidR="00CD449E" w:rsidRPr="008A6403" w:rsidRDefault="00CD449E"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0FF047D9" w14:textId="77777777" w:rsidR="00CD449E" w:rsidRPr="00DA23BA" w:rsidRDefault="00CD449E" w:rsidP="000924A1">
          <w:pPr>
            <w:ind w:left="352" w:hanging="352"/>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100104A9" w14:textId="77777777" w:rsidR="00CD449E" w:rsidRPr="00DA23BA" w:rsidRDefault="00CD449E" w:rsidP="000924A1">
          <w:pPr>
            <w:jc w:val="center"/>
            <w:rPr>
              <w:rFonts w:ascii="Arial" w:hAnsi="Arial" w:cs="Arial"/>
              <w:color w:val="000000"/>
              <w:sz w:val="15"/>
              <w:szCs w:val="15"/>
              <w:lang w:val="en-US" w:eastAsia="es-AR"/>
            </w:rPr>
          </w:pPr>
        </w:p>
      </w:tc>
    </w:tr>
    <w:tr w:rsidR="00CD449E" w:rsidRPr="00CD449E" w14:paraId="4777A978" w14:textId="77777777" w:rsidTr="000924A1">
      <w:trPr>
        <w:trHeight w:val="180"/>
      </w:trPr>
      <w:tc>
        <w:tcPr>
          <w:tcW w:w="1411" w:type="pct"/>
          <w:tcBorders>
            <w:top w:val="nil"/>
            <w:left w:val="nil"/>
            <w:bottom w:val="nil"/>
            <w:right w:val="nil"/>
          </w:tcBorders>
          <w:shd w:val="clear" w:color="auto" w:fill="auto"/>
          <w:noWrap/>
          <w:vAlign w:val="bottom"/>
        </w:tcPr>
        <w:p w14:paraId="69F5EAEE" w14:textId="77777777" w:rsidR="00CD449E" w:rsidRPr="00DA23BA" w:rsidRDefault="00CD449E" w:rsidP="000924A1">
          <w:pPr>
            <w:jc w:val="center"/>
            <w:rPr>
              <w:rFonts w:ascii="Arial" w:hAnsi="Arial" w:cs="Arial"/>
              <w:sz w:val="15"/>
              <w:szCs w:val="15"/>
              <w:lang w:val="en-US" w:eastAsia="es-AR"/>
            </w:rPr>
          </w:pPr>
        </w:p>
      </w:tc>
      <w:tc>
        <w:tcPr>
          <w:tcW w:w="504" w:type="pct"/>
          <w:tcBorders>
            <w:top w:val="nil"/>
            <w:left w:val="nil"/>
            <w:bottom w:val="nil"/>
            <w:right w:val="nil"/>
          </w:tcBorders>
          <w:shd w:val="clear" w:color="auto" w:fill="auto"/>
          <w:noWrap/>
          <w:vAlign w:val="bottom"/>
        </w:tcPr>
        <w:p w14:paraId="1A42A7CC" w14:textId="77777777" w:rsidR="00CD449E" w:rsidRPr="008A6403" w:rsidRDefault="00CD449E"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0A2BEFD7" w14:textId="77777777" w:rsidR="00CD449E" w:rsidRPr="008A6403" w:rsidRDefault="00CD449E"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529CBD75" w14:textId="77777777" w:rsidR="00CD449E" w:rsidRPr="008A6403" w:rsidRDefault="00CD449E"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621D0DBD" w14:textId="77777777" w:rsidR="00CD449E" w:rsidRPr="00DA23BA" w:rsidRDefault="00CD449E" w:rsidP="000924A1">
          <w:pPr>
            <w:ind w:left="498" w:hanging="498"/>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0FA4FC81" w14:textId="77777777" w:rsidR="00CD449E" w:rsidRPr="00DA23BA" w:rsidRDefault="00CD449E" w:rsidP="000924A1">
          <w:pPr>
            <w:jc w:val="center"/>
            <w:rPr>
              <w:rFonts w:ascii="Arial" w:hAnsi="Arial" w:cs="Arial"/>
              <w:color w:val="000000"/>
              <w:sz w:val="15"/>
              <w:szCs w:val="15"/>
              <w:lang w:val="en-US" w:eastAsia="es-AR"/>
            </w:rPr>
          </w:pPr>
        </w:p>
      </w:tc>
    </w:tr>
    <w:tr w:rsidR="00CD449E" w:rsidRPr="00DA23BA" w14:paraId="674AADDC" w14:textId="77777777" w:rsidTr="000924A1">
      <w:trPr>
        <w:trHeight w:val="180"/>
      </w:trPr>
      <w:tc>
        <w:tcPr>
          <w:tcW w:w="1411" w:type="pct"/>
          <w:tcBorders>
            <w:top w:val="nil"/>
            <w:left w:val="nil"/>
            <w:bottom w:val="nil"/>
            <w:right w:val="nil"/>
          </w:tcBorders>
          <w:shd w:val="clear" w:color="auto" w:fill="auto"/>
          <w:noWrap/>
          <w:vAlign w:val="bottom"/>
        </w:tcPr>
        <w:p w14:paraId="54AD3ACE" w14:textId="77777777" w:rsidR="00CD449E" w:rsidRPr="00DA23BA" w:rsidRDefault="00CD449E" w:rsidP="000924A1">
          <w:pPr>
            <w:jc w:val="center"/>
            <w:rPr>
              <w:rFonts w:ascii="Arial" w:hAnsi="Arial" w:cs="Arial"/>
              <w:sz w:val="15"/>
              <w:szCs w:val="15"/>
              <w:lang w:val="en-US" w:eastAsia="es-AR"/>
            </w:rPr>
          </w:pPr>
        </w:p>
      </w:tc>
      <w:tc>
        <w:tcPr>
          <w:tcW w:w="504" w:type="pct"/>
          <w:tcBorders>
            <w:top w:val="nil"/>
            <w:left w:val="nil"/>
            <w:bottom w:val="nil"/>
            <w:right w:val="nil"/>
          </w:tcBorders>
          <w:shd w:val="clear" w:color="auto" w:fill="auto"/>
          <w:noWrap/>
          <w:vAlign w:val="bottom"/>
        </w:tcPr>
        <w:p w14:paraId="14B5E55A" w14:textId="77777777" w:rsidR="00CD449E" w:rsidRPr="00DA23BA" w:rsidRDefault="00CD449E"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212C727B" w14:textId="77777777" w:rsidR="00CD449E" w:rsidRPr="00DA23BA" w:rsidRDefault="00CD449E"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4130A8C8" w14:textId="77777777" w:rsidR="00CD449E" w:rsidRPr="00DA23BA" w:rsidRDefault="00CD449E"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02C7E12B" w14:textId="77777777" w:rsidR="00CD449E" w:rsidRPr="00DA23BA" w:rsidRDefault="00CD449E" w:rsidP="000924A1">
          <w:pPr>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4915E04C"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(Socio)</w:t>
          </w:r>
        </w:p>
      </w:tc>
    </w:tr>
    <w:tr w:rsidR="00CD449E" w:rsidRPr="00000EDD" w14:paraId="4E70F26B" w14:textId="77777777" w:rsidTr="000924A1">
      <w:trPr>
        <w:trHeight w:val="180"/>
      </w:trPr>
      <w:tc>
        <w:tcPr>
          <w:tcW w:w="1411" w:type="pct"/>
          <w:tcBorders>
            <w:top w:val="nil"/>
            <w:left w:val="nil"/>
            <w:bottom w:val="nil"/>
            <w:right w:val="nil"/>
          </w:tcBorders>
          <w:shd w:val="clear" w:color="auto" w:fill="auto"/>
          <w:noWrap/>
          <w:vAlign w:val="bottom"/>
        </w:tcPr>
        <w:p w14:paraId="36FCB121"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Enrique José Barreiro</w:t>
          </w:r>
        </w:p>
      </w:tc>
      <w:tc>
        <w:tcPr>
          <w:tcW w:w="504" w:type="pct"/>
          <w:tcBorders>
            <w:top w:val="nil"/>
            <w:left w:val="nil"/>
            <w:bottom w:val="nil"/>
            <w:right w:val="nil"/>
          </w:tcBorders>
          <w:shd w:val="clear" w:color="auto" w:fill="auto"/>
          <w:noWrap/>
          <w:vAlign w:val="bottom"/>
        </w:tcPr>
        <w:p w14:paraId="17242186" w14:textId="77777777" w:rsidR="00CD449E" w:rsidRPr="00DA23BA" w:rsidRDefault="00CD449E"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6026BFAF" w14:textId="77777777" w:rsidR="00CD449E" w:rsidRPr="00DA23BA" w:rsidRDefault="00CD449E"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49948AA5" w14:textId="77777777" w:rsidR="00CD449E" w:rsidRPr="00DA23BA" w:rsidRDefault="00CD449E"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6297AF43" w14:textId="77777777" w:rsidR="00CD449E" w:rsidRPr="00000EDD" w:rsidRDefault="00CD449E" w:rsidP="000924A1">
          <w:pPr>
            <w:jc w:val="center"/>
            <w:rPr>
              <w:rFonts w:ascii="Arial" w:hAnsi="Arial" w:cs="Arial"/>
              <w:color w:val="FF0000"/>
              <w:sz w:val="15"/>
              <w:szCs w:val="15"/>
              <w:lang w:val="en-US" w:eastAsia="es-AR"/>
            </w:rPr>
          </w:pPr>
        </w:p>
      </w:tc>
      <w:tc>
        <w:tcPr>
          <w:tcW w:w="326" w:type="pct"/>
          <w:tcBorders>
            <w:top w:val="nil"/>
            <w:left w:val="nil"/>
            <w:bottom w:val="nil"/>
            <w:right w:val="nil"/>
          </w:tcBorders>
          <w:shd w:val="clear" w:color="auto" w:fill="auto"/>
          <w:noWrap/>
          <w:vAlign w:val="bottom"/>
        </w:tcPr>
        <w:p w14:paraId="702B7694" w14:textId="77777777" w:rsidR="00CD449E" w:rsidRPr="00000EDD" w:rsidRDefault="00CD449E" w:rsidP="000924A1">
          <w:pPr>
            <w:jc w:val="center"/>
            <w:rPr>
              <w:rFonts w:ascii="Arial" w:hAnsi="Arial" w:cs="Arial"/>
              <w:color w:val="FF0000"/>
              <w:sz w:val="15"/>
              <w:szCs w:val="15"/>
              <w:lang w:val="en-US" w:eastAsia="es-AR"/>
            </w:rPr>
          </w:pPr>
        </w:p>
      </w:tc>
    </w:tr>
    <w:tr w:rsidR="00CD449E" w:rsidRPr="00000EDD" w14:paraId="5A2FDA47" w14:textId="77777777" w:rsidTr="000924A1">
      <w:trPr>
        <w:trHeight w:val="180"/>
      </w:trPr>
      <w:tc>
        <w:tcPr>
          <w:tcW w:w="1411" w:type="pct"/>
          <w:tcBorders>
            <w:top w:val="nil"/>
            <w:left w:val="nil"/>
            <w:bottom w:val="nil"/>
            <w:right w:val="nil"/>
          </w:tcBorders>
          <w:shd w:val="clear" w:color="auto" w:fill="auto"/>
          <w:noWrap/>
          <w:vAlign w:val="bottom"/>
        </w:tcPr>
        <w:p w14:paraId="5E10C704"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Síndico</w:t>
          </w:r>
        </w:p>
      </w:tc>
      <w:tc>
        <w:tcPr>
          <w:tcW w:w="504" w:type="pct"/>
          <w:tcBorders>
            <w:top w:val="nil"/>
            <w:left w:val="nil"/>
            <w:bottom w:val="nil"/>
            <w:right w:val="nil"/>
          </w:tcBorders>
          <w:shd w:val="clear" w:color="auto" w:fill="auto"/>
          <w:noWrap/>
          <w:vAlign w:val="bottom"/>
        </w:tcPr>
        <w:p w14:paraId="44AFBD9E" w14:textId="77777777" w:rsidR="00CD449E" w:rsidRPr="00DA23BA" w:rsidRDefault="00CD449E"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250A3615" w14:textId="77777777" w:rsidR="00CD449E" w:rsidRPr="00DA23BA" w:rsidRDefault="00CD449E"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13C99BBF" w14:textId="77777777" w:rsidR="00CD449E" w:rsidRPr="00DA23BA" w:rsidRDefault="00CD449E"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3868B93E" w14:textId="25B698D6" w:rsidR="00CD449E" w:rsidRPr="002530BD" w:rsidRDefault="00CD449E" w:rsidP="000924A1">
          <w:pPr>
            <w:jc w:val="center"/>
            <w:rPr>
              <w:rFonts w:ascii="Arial" w:hAnsi="Arial" w:cs="Arial"/>
              <w:sz w:val="15"/>
              <w:szCs w:val="15"/>
              <w:lang w:eastAsia="es-AR"/>
            </w:rPr>
          </w:pPr>
          <w:r>
            <w:rPr>
              <w:rFonts w:ascii="Arial" w:hAnsi="Arial" w:cs="Arial"/>
              <w:sz w:val="15"/>
              <w:szCs w:val="15"/>
              <w:lang w:val="en-US" w:eastAsia="es-AR"/>
            </w:rPr>
            <w:t>Santiago Jose Mignone</w:t>
          </w:r>
        </w:p>
      </w:tc>
      <w:tc>
        <w:tcPr>
          <w:tcW w:w="326" w:type="pct"/>
          <w:tcBorders>
            <w:top w:val="nil"/>
            <w:left w:val="nil"/>
            <w:bottom w:val="nil"/>
            <w:right w:val="nil"/>
          </w:tcBorders>
          <w:shd w:val="clear" w:color="auto" w:fill="auto"/>
          <w:noWrap/>
          <w:vAlign w:val="bottom"/>
        </w:tcPr>
        <w:p w14:paraId="2497449C" w14:textId="77777777" w:rsidR="00CD449E" w:rsidRPr="00000EDD" w:rsidRDefault="00CD449E" w:rsidP="000924A1">
          <w:pPr>
            <w:jc w:val="center"/>
            <w:rPr>
              <w:rFonts w:ascii="Arial" w:hAnsi="Arial" w:cs="Arial"/>
              <w:color w:val="FF0000"/>
              <w:sz w:val="15"/>
              <w:szCs w:val="15"/>
              <w:lang w:eastAsia="es-AR"/>
            </w:rPr>
          </w:pPr>
        </w:p>
      </w:tc>
    </w:tr>
    <w:tr w:rsidR="00CD449E" w:rsidRPr="00707D83" w14:paraId="2311A149" w14:textId="77777777" w:rsidTr="000924A1">
      <w:trPr>
        <w:trHeight w:val="180"/>
      </w:trPr>
      <w:tc>
        <w:tcPr>
          <w:tcW w:w="1411" w:type="pct"/>
          <w:tcBorders>
            <w:top w:val="nil"/>
            <w:left w:val="nil"/>
            <w:bottom w:val="nil"/>
            <w:right w:val="nil"/>
          </w:tcBorders>
          <w:shd w:val="clear" w:color="auto" w:fill="auto"/>
          <w:noWrap/>
          <w:vAlign w:val="bottom"/>
        </w:tcPr>
        <w:p w14:paraId="78D5CC2D"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Contador Público (U.N.L.Z)</w:t>
          </w:r>
        </w:p>
      </w:tc>
      <w:tc>
        <w:tcPr>
          <w:tcW w:w="504" w:type="pct"/>
          <w:tcBorders>
            <w:top w:val="nil"/>
            <w:left w:val="nil"/>
            <w:bottom w:val="nil"/>
            <w:right w:val="nil"/>
          </w:tcBorders>
          <w:shd w:val="clear" w:color="auto" w:fill="auto"/>
          <w:noWrap/>
          <w:vAlign w:val="bottom"/>
        </w:tcPr>
        <w:p w14:paraId="3D06DA40"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4AEFA57D"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66AC76E3"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0159D170" w14:textId="69120B74" w:rsidR="00CD449E" w:rsidRPr="002530BD" w:rsidRDefault="00CD449E">
          <w:pPr>
            <w:jc w:val="center"/>
            <w:rPr>
              <w:rFonts w:ascii="Arial" w:hAnsi="Arial" w:cs="Arial"/>
              <w:sz w:val="15"/>
              <w:szCs w:val="15"/>
              <w:lang w:eastAsia="es-AR"/>
            </w:rPr>
          </w:pPr>
          <w:r w:rsidRPr="00C9122B">
            <w:rPr>
              <w:rFonts w:ascii="Arial" w:hAnsi="Arial" w:cs="Arial"/>
              <w:sz w:val="15"/>
              <w:szCs w:val="15"/>
              <w:lang w:eastAsia="es-AR"/>
            </w:rPr>
            <w:t>Contador Público (</w:t>
          </w:r>
          <w:r>
            <w:rPr>
              <w:rFonts w:ascii="Arial" w:hAnsi="Arial" w:cs="Arial"/>
              <w:sz w:val="15"/>
              <w:szCs w:val="15"/>
              <w:lang w:eastAsia="es-AR"/>
            </w:rPr>
            <w:t>U.B.A.</w:t>
          </w:r>
          <w:r w:rsidRPr="00C9122B">
            <w:rPr>
              <w:rFonts w:ascii="Arial" w:hAnsi="Arial" w:cs="Arial"/>
              <w:sz w:val="15"/>
              <w:szCs w:val="15"/>
              <w:lang w:eastAsia="es-AR"/>
            </w:rPr>
            <w:t>)</w:t>
          </w:r>
        </w:p>
      </w:tc>
      <w:tc>
        <w:tcPr>
          <w:tcW w:w="326" w:type="pct"/>
          <w:tcBorders>
            <w:top w:val="nil"/>
            <w:left w:val="nil"/>
            <w:bottom w:val="nil"/>
            <w:right w:val="nil"/>
          </w:tcBorders>
          <w:shd w:val="clear" w:color="auto" w:fill="auto"/>
          <w:noWrap/>
          <w:vAlign w:val="bottom"/>
        </w:tcPr>
        <w:p w14:paraId="6DC46989" w14:textId="77777777" w:rsidR="00CD449E" w:rsidRPr="00000EDD" w:rsidRDefault="00CD449E" w:rsidP="000924A1">
          <w:pPr>
            <w:jc w:val="center"/>
            <w:rPr>
              <w:rFonts w:ascii="Arial" w:hAnsi="Arial" w:cs="Arial"/>
              <w:color w:val="FF0000"/>
              <w:sz w:val="15"/>
              <w:szCs w:val="15"/>
              <w:lang w:eastAsia="es-AR"/>
            </w:rPr>
          </w:pPr>
        </w:p>
      </w:tc>
    </w:tr>
    <w:tr w:rsidR="00CD449E" w:rsidRPr="00707D83" w14:paraId="54472CC4" w14:textId="77777777" w:rsidTr="000924A1">
      <w:trPr>
        <w:trHeight w:val="180"/>
      </w:trPr>
      <w:tc>
        <w:tcPr>
          <w:tcW w:w="1411" w:type="pct"/>
          <w:tcBorders>
            <w:top w:val="nil"/>
            <w:left w:val="nil"/>
            <w:bottom w:val="nil"/>
            <w:right w:val="nil"/>
          </w:tcBorders>
          <w:shd w:val="clear" w:color="auto" w:fill="auto"/>
          <w:noWrap/>
          <w:vAlign w:val="bottom"/>
        </w:tcPr>
        <w:p w14:paraId="76653DEA"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C.P.C.E.C.A.B.A. T°</w:t>
          </w:r>
          <w:r>
            <w:rPr>
              <w:rFonts w:ascii="Arial" w:hAnsi="Arial" w:cs="Arial"/>
              <w:sz w:val="15"/>
              <w:szCs w:val="15"/>
              <w:lang w:eastAsia="es-AR"/>
            </w:rPr>
            <w:t>108 -</w:t>
          </w:r>
          <w:r w:rsidRPr="00DA23BA">
            <w:rPr>
              <w:rFonts w:ascii="Arial" w:hAnsi="Arial" w:cs="Arial"/>
              <w:sz w:val="15"/>
              <w:szCs w:val="15"/>
              <w:lang w:eastAsia="es-AR"/>
            </w:rPr>
            <w:t>F° 233</w:t>
          </w:r>
        </w:p>
      </w:tc>
      <w:tc>
        <w:tcPr>
          <w:tcW w:w="504" w:type="pct"/>
          <w:tcBorders>
            <w:top w:val="nil"/>
            <w:left w:val="nil"/>
            <w:bottom w:val="nil"/>
            <w:right w:val="nil"/>
          </w:tcBorders>
          <w:shd w:val="clear" w:color="auto" w:fill="auto"/>
          <w:noWrap/>
          <w:vAlign w:val="bottom"/>
        </w:tcPr>
        <w:p w14:paraId="25053664"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540461E2"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472C06D9"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F0F944F" w14:textId="744E4671" w:rsidR="00CD449E" w:rsidRPr="002530BD" w:rsidRDefault="00CD449E" w:rsidP="000924A1">
          <w:pPr>
            <w:jc w:val="center"/>
            <w:rPr>
              <w:rFonts w:ascii="Arial" w:hAnsi="Arial" w:cs="Arial"/>
              <w:sz w:val="15"/>
              <w:szCs w:val="15"/>
              <w:lang w:eastAsia="es-AR"/>
            </w:rPr>
          </w:pPr>
          <w:r w:rsidRPr="00C9122B">
            <w:rPr>
              <w:rFonts w:ascii="Arial" w:hAnsi="Arial" w:cs="Arial"/>
              <w:sz w:val="15"/>
              <w:szCs w:val="15"/>
              <w:lang w:eastAsia="es-AR"/>
            </w:rPr>
            <w:t xml:space="preserve">C.P.C.E.C.A.B.A.  T° </w:t>
          </w:r>
          <w:r>
            <w:rPr>
              <w:rFonts w:ascii="Arial" w:hAnsi="Arial" w:cs="Arial"/>
              <w:sz w:val="15"/>
              <w:szCs w:val="15"/>
              <w:lang w:eastAsia="es-AR"/>
            </w:rPr>
            <w:t>233</w:t>
          </w:r>
          <w:r w:rsidRPr="00C9122B">
            <w:rPr>
              <w:rFonts w:ascii="Arial" w:hAnsi="Arial" w:cs="Arial"/>
              <w:sz w:val="15"/>
              <w:szCs w:val="15"/>
              <w:lang w:eastAsia="es-AR"/>
            </w:rPr>
            <w:t xml:space="preserve"> F° </w:t>
          </w:r>
          <w:r>
            <w:rPr>
              <w:rFonts w:ascii="Arial" w:hAnsi="Arial" w:cs="Arial"/>
              <w:sz w:val="15"/>
              <w:szCs w:val="15"/>
              <w:lang w:eastAsia="es-AR"/>
            </w:rPr>
            <w:t>237</w:t>
          </w:r>
        </w:p>
      </w:tc>
      <w:tc>
        <w:tcPr>
          <w:tcW w:w="326" w:type="pct"/>
          <w:tcBorders>
            <w:top w:val="nil"/>
            <w:left w:val="nil"/>
            <w:bottom w:val="nil"/>
            <w:right w:val="nil"/>
          </w:tcBorders>
          <w:shd w:val="clear" w:color="auto" w:fill="auto"/>
          <w:noWrap/>
          <w:vAlign w:val="bottom"/>
        </w:tcPr>
        <w:p w14:paraId="13B9A6F8" w14:textId="77777777" w:rsidR="00CD449E" w:rsidRPr="00000EDD" w:rsidRDefault="00CD449E" w:rsidP="000924A1">
          <w:pPr>
            <w:jc w:val="center"/>
            <w:rPr>
              <w:rFonts w:ascii="Arial" w:hAnsi="Arial" w:cs="Arial"/>
              <w:color w:val="FF0000"/>
              <w:sz w:val="15"/>
              <w:szCs w:val="15"/>
              <w:lang w:eastAsia="es-AR"/>
            </w:rPr>
          </w:pPr>
        </w:p>
      </w:tc>
    </w:tr>
    <w:tr w:rsidR="00CD449E" w:rsidRPr="00707D83" w14:paraId="16339D28" w14:textId="77777777" w:rsidTr="000924A1">
      <w:trPr>
        <w:trHeight w:val="180"/>
      </w:trPr>
      <w:tc>
        <w:tcPr>
          <w:tcW w:w="1411" w:type="pct"/>
          <w:tcBorders>
            <w:top w:val="nil"/>
            <w:left w:val="nil"/>
            <w:bottom w:val="nil"/>
            <w:right w:val="nil"/>
          </w:tcBorders>
          <w:shd w:val="clear" w:color="auto" w:fill="auto"/>
          <w:noWrap/>
          <w:vAlign w:val="bottom"/>
        </w:tcPr>
        <w:p w14:paraId="498D4FA4" w14:textId="77777777" w:rsidR="00CD449E" w:rsidRPr="00DA23BA" w:rsidRDefault="00CD449E" w:rsidP="000924A1">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4D352AC2"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0BB628B3"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664414CC"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5CDEB1AC" w14:textId="77777777" w:rsidR="00CD449E" w:rsidRPr="00000EDD" w:rsidRDefault="00CD449E" w:rsidP="000924A1">
          <w:pPr>
            <w:jc w:val="center"/>
            <w:rPr>
              <w:rFonts w:ascii="Arial" w:hAnsi="Arial" w:cs="Arial"/>
              <w:color w:val="FF0000"/>
              <w:sz w:val="15"/>
              <w:szCs w:val="15"/>
              <w:lang w:eastAsia="es-AR"/>
            </w:rPr>
          </w:pPr>
        </w:p>
      </w:tc>
      <w:tc>
        <w:tcPr>
          <w:tcW w:w="326" w:type="pct"/>
          <w:tcBorders>
            <w:top w:val="nil"/>
            <w:left w:val="nil"/>
            <w:bottom w:val="nil"/>
            <w:right w:val="nil"/>
          </w:tcBorders>
          <w:shd w:val="clear" w:color="auto" w:fill="auto"/>
          <w:noWrap/>
          <w:vAlign w:val="bottom"/>
        </w:tcPr>
        <w:p w14:paraId="6652EBF9" w14:textId="77777777" w:rsidR="00CD449E" w:rsidRPr="00000EDD" w:rsidRDefault="00CD449E" w:rsidP="000924A1">
          <w:pPr>
            <w:jc w:val="center"/>
            <w:rPr>
              <w:rFonts w:ascii="Arial" w:hAnsi="Arial" w:cs="Arial"/>
              <w:color w:val="FF0000"/>
              <w:sz w:val="15"/>
              <w:szCs w:val="15"/>
              <w:lang w:eastAsia="es-AR"/>
            </w:rPr>
          </w:pPr>
        </w:p>
      </w:tc>
    </w:tr>
    <w:tr w:rsidR="00CD449E" w:rsidRPr="002648BD" w14:paraId="18C2E544" w14:textId="77777777" w:rsidTr="000924A1">
      <w:trPr>
        <w:trHeight w:val="180"/>
      </w:trPr>
      <w:tc>
        <w:tcPr>
          <w:tcW w:w="1411" w:type="pct"/>
          <w:tcBorders>
            <w:top w:val="nil"/>
            <w:left w:val="nil"/>
            <w:bottom w:val="nil"/>
            <w:right w:val="nil"/>
          </w:tcBorders>
          <w:shd w:val="clear" w:color="auto" w:fill="auto"/>
          <w:noWrap/>
          <w:vAlign w:val="bottom"/>
        </w:tcPr>
        <w:p w14:paraId="5520B802" w14:textId="77777777" w:rsidR="00CD449E" w:rsidRPr="00DA23BA" w:rsidRDefault="00CD449E" w:rsidP="000924A1">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63401292"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2C154FD2" w14:textId="3CBA0F33" w:rsidR="00CD449E" w:rsidRPr="00DA23BA" w:rsidRDefault="00CD449E" w:rsidP="000924A1">
          <w:pPr>
            <w:jc w:val="center"/>
            <w:rPr>
              <w:rFonts w:ascii="Arial" w:hAnsi="Arial" w:cs="Arial"/>
              <w:sz w:val="15"/>
              <w:szCs w:val="15"/>
              <w:lang w:eastAsia="es-AR"/>
            </w:rPr>
          </w:pPr>
          <w:r>
            <w:rPr>
              <w:rFonts w:ascii="Arial" w:hAnsi="Arial" w:cs="Arial"/>
              <w:sz w:val="15"/>
              <w:szCs w:val="15"/>
              <w:lang w:eastAsia="es-AR"/>
            </w:rPr>
            <w:t xml:space="preserve">- </w:t>
          </w:r>
          <w:r w:rsidRPr="00A76E3D">
            <w:rPr>
              <w:rFonts w:ascii="Arial" w:hAnsi="Arial" w:cs="Arial"/>
              <w:sz w:val="15"/>
              <w:szCs w:val="15"/>
              <w:lang w:eastAsia="es-AR"/>
            </w:rPr>
            <w:fldChar w:fldCharType="begin"/>
          </w:r>
          <w:r w:rsidRPr="00A76E3D">
            <w:rPr>
              <w:rFonts w:ascii="Arial" w:hAnsi="Arial" w:cs="Arial"/>
              <w:sz w:val="15"/>
              <w:szCs w:val="15"/>
              <w:lang w:eastAsia="es-AR"/>
            </w:rPr>
            <w:instrText xml:space="preserve"> PAGE   \* MERGEFORMAT </w:instrText>
          </w:r>
          <w:r w:rsidRPr="00A76E3D">
            <w:rPr>
              <w:rFonts w:ascii="Arial" w:hAnsi="Arial" w:cs="Arial"/>
              <w:sz w:val="15"/>
              <w:szCs w:val="15"/>
              <w:lang w:eastAsia="es-AR"/>
            </w:rPr>
            <w:fldChar w:fldCharType="separate"/>
          </w:r>
          <w:r>
            <w:rPr>
              <w:rFonts w:ascii="Arial" w:hAnsi="Arial" w:cs="Arial"/>
              <w:noProof/>
              <w:sz w:val="15"/>
              <w:szCs w:val="15"/>
              <w:lang w:eastAsia="es-AR"/>
            </w:rPr>
            <w:t>111</w:t>
          </w:r>
          <w:r w:rsidRPr="00A76E3D">
            <w:rPr>
              <w:rFonts w:ascii="Arial" w:hAnsi="Arial" w:cs="Arial"/>
              <w:sz w:val="15"/>
              <w:szCs w:val="15"/>
              <w:lang w:eastAsia="es-AR"/>
            </w:rPr>
            <w:fldChar w:fldCharType="end"/>
          </w:r>
          <w:r>
            <w:rPr>
              <w:rFonts w:ascii="Arial" w:hAnsi="Arial" w:cs="Arial"/>
              <w:sz w:val="15"/>
              <w:szCs w:val="15"/>
              <w:lang w:eastAsia="es-AR"/>
            </w:rPr>
            <w:t xml:space="preserve"> - </w:t>
          </w:r>
        </w:p>
      </w:tc>
      <w:tc>
        <w:tcPr>
          <w:tcW w:w="305" w:type="pct"/>
          <w:tcBorders>
            <w:top w:val="nil"/>
            <w:left w:val="nil"/>
            <w:bottom w:val="nil"/>
            <w:right w:val="nil"/>
          </w:tcBorders>
          <w:shd w:val="clear" w:color="auto" w:fill="auto"/>
          <w:noWrap/>
          <w:vAlign w:val="bottom"/>
        </w:tcPr>
        <w:p w14:paraId="48A3EA87"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53692292" w14:textId="77777777" w:rsidR="00CD449E" w:rsidRPr="00DA23BA" w:rsidRDefault="00CD449E" w:rsidP="000924A1">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0360199A" w14:textId="77777777" w:rsidR="00CD449E" w:rsidRPr="00DA23BA" w:rsidRDefault="00CD449E" w:rsidP="000924A1">
          <w:pPr>
            <w:jc w:val="center"/>
            <w:rPr>
              <w:rFonts w:ascii="Arial" w:hAnsi="Arial" w:cs="Arial"/>
              <w:color w:val="000000"/>
              <w:sz w:val="15"/>
              <w:szCs w:val="15"/>
              <w:lang w:eastAsia="es-AR"/>
            </w:rPr>
          </w:pPr>
        </w:p>
      </w:tc>
    </w:tr>
  </w:tbl>
  <w:p w14:paraId="07E21DA6" w14:textId="77777777" w:rsidR="00CD449E" w:rsidRPr="00BA218C" w:rsidRDefault="00CD449E" w:rsidP="00E05C63">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68" w:type="pct"/>
      <w:tblCellMar>
        <w:left w:w="70" w:type="dxa"/>
        <w:right w:w="70" w:type="dxa"/>
      </w:tblCellMar>
      <w:tblLook w:val="04A0" w:firstRow="1" w:lastRow="0" w:firstColumn="1" w:lastColumn="0" w:noHBand="0" w:noVBand="1"/>
    </w:tblPr>
    <w:tblGrid>
      <w:gridCol w:w="2636"/>
      <w:gridCol w:w="921"/>
      <w:gridCol w:w="1566"/>
      <w:gridCol w:w="545"/>
      <w:gridCol w:w="3201"/>
      <w:gridCol w:w="585"/>
    </w:tblGrid>
    <w:tr w:rsidR="00CD449E" w:rsidRPr="00DA23BA" w14:paraId="4A4EBBFB" w14:textId="77777777" w:rsidTr="000924A1">
      <w:trPr>
        <w:trHeight w:val="180"/>
      </w:trPr>
      <w:tc>
        <w:tcPr>
          <w:tcW w:w="1411" w:type="pct"/>
          <w:tcBorders>
            <w:top w:val="nil"/>
            <w:left w:val="nil"/>
            <w:bottom w:val="nil"/>
            <w:right w:val="nil"/>
          </w:tcBorders>
          <w:shd w:val="clear" w:color="auto" w:fill="auto"/>
          <w:noWrap/>
          <w:vAlign w:val="bottom"/>
        </w:tcPr>
        <w:p w14:paraId="002CAD33" w14:textId="77777777" w:rsidR="00CD449E" w:rsidRPr="00DA23BA" w:rsidRDefault="00CD449E" w:rsidP="00B51CA4">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4CFD2A8F" w14:textId="77777777" w:rsidR="00CD449E" w:rsidRPr="00DA23BA" w:rsidRDefault="00CD449E" w:rsidP="00B51CA4">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27569029" w14:textId="77777777" w:rsidR="00CD449E" w:rsidRPr="00DA23BA" w:rsidRDefault="00CD449E" w:rsidP="00B51CA4">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3EE53F73" w14:textId="77777777" w:rsidR="00CD449E" w:rsidRPr="00DA23BA" w:rsidRDefault="00CD449E" w:rsidP="00B51CA4">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BBFEE59" w14:textId="77777777" w:rsidR="00CD449E" w:rsidRPr="00DA23BA" w:rsidRDefault="00CD449E" w:rsidP="00B51CA4">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0D27C8CB" w14:textId="77777777" w:rsidR="00CD449E" w:rsidRPr="00DA23BA" w:rsidRDefault="00CD449E" w:rsidP="00B51CA4">
          <w:pPr>
            <w:jc w:val="center"/>
            <w:rPr>
              <w:rFonts w:ascii="Arial" w:hAnsi="Arial" w:cs="Arial"/>
              <w:color w:val="000000"/>
              <w:sz w:val="15"/>
              <w:szCs w:val="15"/>
              <w:lang w:eastAsia="es-AR"/>
            </w:rPr>
          </w:pPr>
        </w:p>
      </w:tc>
    </w:tr>
    <w:tr w:rsidR="00CD449E" w:rsidRPr="00DA23BA" w14:paraId="0AD029D7" w14:textId="77777777" w:rsidTr="000924A1">
      <w:trPr>
        <w:trHeight w:val="180"/>
      </w:trPr>
      <w:tc>
        <w:tcPr>
          <w:tcW w:w="1411" w:type="pct"/>
          <w:tcBorders>
            <w:top w:val="nil"/>
            <w:left w:val="nil"/>
            <w:bottom w:val="nil"/>
            <w:right w:val="nil"/>
          </w:tcBorders>
          <w:shd w:val="clear" w:color="auto" w:fill="auto"/>
          <w:noWrap/>
          <w:vAlign w:val="bottom"/>
        </w:tcPr>
        <w:p w14:paraId="498E7AC7" w14:textId="77777777" w:rsidR="00CD449E" w:rsidRPr="00DA23BA" w:rsidRDefault="00CD449E" w:rsidP="00B51CA4">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7A090206" w14:textId="77777777" w:rsidR="00CD449E" w:rsidRPr="00DA23BA" w:rsidRDefault="00CD449E" w:rsidP="00B51CA4">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469FA94C" w14:textId="77777777" w:rsidR="00CD449E" w:rsidRPr="00DA23BA" w:rsidRDefault="00CD449E" w:rsidP="00B51CA4">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762EB208" w14:textId="77777777" w:rsidR="00CD449E" w:rsidRPr="00DA23BA" w:rsidRDefault="00CD449E" w:rsidP="00B51CA4">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870CC8C" w14:textId="77777777" w:rsidR="00CD449E" w:rsidRPr="00DA23BA" w:rsidRDefault="00CD449E" w:rsidP="00B51CA4">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1A640994" w14:textId="77777777" w:rsidR="00CD449E" w:rsidRPr="00DA23BA" w:rsidRDefault="00CD449E" w:rsidP="00B51CA4">
          <w:pPr>
            <w:jc w:val="center"/>
            <w:rPr>
              <w:rFonts w:ascii="Arial" w:hAnsi="Arial" w:cs="Arial"/>
              <w:color w:val="000000"/>
              <w:sz w:val="15"/>
              <w:szCs w:val="15"/>
              <w:lang w:eastAsia="es-AR"/>
            </w:rPr>
          </w:pPr>
        </w:p>
      </w:tc>
    </w:tr>
    <w:tr w:rsidR="00CD449E" w:rsidRPr="00DA23BA" w14:paraId="22AE0673" w14:textId="77777777" w:rsidTr="000924A1">
      <w:trPr>
        <w:trHeight w:val="87"/>
      </w:trPr>
      <w:tc>
        <w:tcPr>
          <w:tcW w:w="1411" w:type="pct"/>
          <w:tcBorders>
            <w:top w:val="nil"/>
            <w:left w:val="nil"/>
            <w:bottom w:val="nil"/>
            <w:right w:val="nil"/>
          </w:tcBorders>
          <w:shd w:val="clear" w:color="auto" w:fill="auto"/>
          <w:noWrap/>
          <w:vAlign w:val="bottom"/>
        </w:tcPr>
        <w:p w14:paraId="6EE1E3FC" w14:textId="77777777" w:rsidR="00CD449E" w:rsidRPr="00DA23BA" w:rsidRDefault="00CD449E" w:rsidP="00B51CA4">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6AF4344E" w14:textId="77777777" w:rsidR="00CD449E" w:rsidRPr="00DA23BA" w:rsidRDefault="00CD449E" w:rsidP="00B51CA4">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3587749F" w14:textId="77777777" w:rsidR="00CD449E" w:rsidRPr="00DA23BA" w:rsidRDefault="00CD449E" w:rsidP="00B51CA4">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2891BAF9" w14:textId="77777777" w:rsidR="00CD449E" w:rsidRPr="00DA23BA" w:rsidRDefault="00CD449E" w:rsidP="00B51CA4">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9BEB9AC" w14:textId="77777777" w:rsidR="00CD449E" w:rsidRPr="00DA23BA" w:rsidRDefault="00CD449E" w:rsidP="00B51CA4">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24E5E5CF" w14:textId="77777777" w:rsidR="00CD449E" w:rsidRPr="00DA23BA" w:rsidRDefault="00CD449E" w:rsidP="00B51CA4">
          <w:pPr>
            <w:jc w:val="center"/>
            <w:rPr>
              <w:rFonts w:ascii="Arial" w:hAnsi="Arial" w:cs="Arial"/>
              <w:color w:val="000000"/>
              <w:sz w:val="15"/>
              <w:szCs w:val="15"/>
              <w:lang w:eastAsia="es-AR"/>
            </w:rPr>
          </w:pPr>
        </w:p>
      </w:tc>
    </w:tr>
    <w:tr w:rsidR="00CD449E" w:rsidRPr="00DA23BA" w14:paraId="00541E13" w14:textId="77777777" w:rsidTr="000924A1">
      <w:trPr>
        <w:trHeight w:val="180"/>
      </w:trPr>
      <w:tc>
        <w:tcPr>
          <w:tcW w:w="1411" w:type="pct"/>
          <w:tcBorders>
            <w:top w:val="nil"/>
            <w:left w:val="nil"/>
            <w:bottom w:val="nil"/>
            <w:right w:val="nil"/>
          </w:tcBorders>
          <w:shd w:val="clear" w:color="auto" w:fill="auto"/>
          <w:noWrap/>
          <w:vAlign w:val="bottom"/>
        </w:tcPr>
        <w:p w14:paraId="093A31DD" w14:textId="77777777" w:rsidR="00CD449E" w:rsidRPr="00DA23BA" w:rsidRDefault="00CD449E" w:rsidP="000924A1">
          <w:pPr>
            <w:jc w:val="center"/>
            <w:rPr>
              <w:rFonts w:ascii="Arial" w:hAnsi="Arial" w:cs="Arial"/>
              <w:sz w:val="15"/>
              <w:szCs w:val="15"/>
              <w:lang w:eastAsia="es-AR"/>
            </w:rPr>
          </w:pPr>
          <w:r>
            <w:rPr>
              <w:rFonts w:ascii="Arial" w:hAnsi="Arial" w:cs="Arial"/>
              <w:sz w:val="15"/>
              <w:szCs w:val="15"/>
              <w:lang w:eastAsia="es-AR"/>
            </w:rPr>
            <w:t>Mariano Andrés Biglia</w:t>
          </w:r>
        </w:p>
      </w:tc>
      <w:tc>
        <w:tcPr>
          <w:tcW w:w="504" w:type="pct"/>
          <w:tcBorders>
            <w:top w:val="nil"/>
            <w:left w:val="nil"/>
            <w:bottom w:val="nil"/>
            <w:right w:val="nil"/>
          </w:tcBorders>
          <w:shd w:val="clear" w:color="auto" w:fill="auto"/>
          <w:noWrap/>
          <w:vAlign w:val="bottom"/>
        </w:tcPr>
        <w:p w14:paraId="189794B9"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0A3141D8" w14:textId="77777777" w:rsidR="00CD449E" w:rsidRPr="00DA23BA" w:rsidRDefault="00CD449E" w:rsidP="000924A1">
          <w:pPr>
            <w:jc w:val="center"/>
            <w:rPr>
              <w:rFonts w:ascii="Arial" w:hAnsi="Arial" w:cs="Arial"/>
              <w:sz w:val="15"/>
              <w:szCs w:val="15"/>
              <w:lang w:eastAsia="es-AR"/>
            </w:rPr>
          </w:pPr>
          <w:r>
            <w:rPr>
              <w:rFonts w:ascii="Arial" w:hAnsi="Arial" w:cs="Arial"/>
              <w:sz w:val="15"/>
              <w:szCs w:val="15"/>
            </w:rPr>
            <w:t>Jorge Oscar Ramírez</w:t>
          </w:r>
        </w:p>
      </w:tc>
      <w:tc>
        <w:tcPr>
          <w:tcW w:w="305" w:type="pct"/>
          <w:tcBorders>
            <w:top w:val="nil"/>
            <w:left w:val="nil"/>
            <w:bottom w:val="nil"/>
            <w:right w:val="nil"/>
          </w:tcBorders>
          <w:shd w:val="clear" w:color="auto" w:fill="auto"/>
          <w:noWrap/>
          <w:vAlign w:val="bottom"/>
        </w:tcPr>
        <w:p w14:paraId="1EB7BDA2"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09F2B23E" w14:textId="77777777" w:rsidR="00CD449E" w:rsidRPr="00DA23BA" w:rsidRDefault="00CD449E" w:rsidP="000924A1">
          <w:pPr>
            <w:ind w:left="210" w:hanging="210"/>
            <w:jc w:val="center"/>
            <w:rPr>
              <w:rFonts w:ascii="Arial" w:hAnsi="Arial" w:cs="Arial"/>
              <w:sz w:val="15"/>
              <w:szCs w:val="15"/>
              <w:lang w:eastAsia="es-AR"/>
            </w:rPr>
          </w:pPr>
          <w:r w:rsidRPr="000924A1">
            <w:rPr>
              <w:rFonts w:ascii="Arial" w:hAnsi="Arial" w:cs="Arial"/>
              <w:sz w:val="15"/>
              <w:szCs w:val="15"/>
            </w:rPr>
            <w:t>Atilio María Dell Oro Maini</w:t>
          </w:r>
        </w:p>
      </w:tc>
      <w:tc>
        <w:tcPr>
          <w:tcW w:w="326" w:type="pct"/>
          <w:tcBorders>
            <w:top w:val="nil"/>
            <w:left w:val="nil"/>
            <w:bottom w:val="nil"/>
            <w:right w:val="nil"/>
          </w:tcBorders>
          <w:shd w:val="clear" w:color="auto" w:fill="auto"/>
          <w:noWrap/>
          <w:vAlign w:val="bottom"/>
        </w:tcPr>
        <w:p w14:paraId="3EACA574" w14:textId="77777777" w:rsidR="00CD449E" w:rsidRPr="00DA23BA" w:rsidRDefault="00CD449E" w:rsidP="000924A1">
          <w:pPr>
            <w:jc w:val="center"/>
            <w:rPr>
              <w:rFonts w:ascii="Arial" w:hAnsi="Arial" w:cs="Arial"/>
              <w:color w:val="000000"/>
              <w:sz w:val="15"/>
              <w:szCs w:val="15"/>
              <w:lang w:eastAsia="es-AR"/>
            </w:rPr>
          </w:pPr>
        </w:p>
      </w:tc>
    </w:tr>
    <w:tr w:rsidR="00CD449E" w:rsidRPr="00DA23BA" w14:paraId="2DF7BE59" w14:textId="77777777" w:rsidTr="000924A1">
      <w:trPr>
        <w:trHeight w:val="180"/>
      </w:trPr>
      <w:tc>
        <w:tcPr>
          <w:tcW w:w="1411" w:type="pct"/>
          <w:tcBorders>
            <w:top w:val="nil"/>
            <w:left w:val="nil"/>
            <w:bottom w:val="nil"/>
            <w:right w:val="nil"/>
          </w:tcBorders>
          <w:shd w:val="clear" w:color="auto" w:fill="auto"/>
          <w:noWrap/>
          <w:vAlign w:val="bottom"/>
        </w:tcPr>
        <w:p w14:paraId="36126498"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Responsable del Área Contable</w:t>
          </w:r>
        </w:p>
      </w:tc>
      <w:tc>
        <w:tcPr>
          <w:tcW w:w="504" w:type="pct"/>
          <w:tcBorders>
            <w:top w:val="nil"/>
            <w:left w:val="nil"/>
            <w:bottom w:val="nil"/>
            <w:right w:val="nil"/>
          </w:tcBorders>
          <w:shd w:val="clear" w:color="auto" w:fill="auto"/>
          <w:noWrap/>
          <w:vAlign w:val="bottom"/>
        </w:tcPr>
        <w:p w14:paraId="7AA9DCB4"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6184EA89"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Gerente General</w:t>
          </w:r>
        </w:p>
      </w:tc>
      <w:tc>
        <w:tcPr>
          <w:tcW w:w="305" w:type="pct"/>
          <w:tcBorders>
            <w:top w:val="nil"/>
            <w:left w:val="nil"/>
            <w:bottom w:val="nil"/>
            <w:right w:val="nil"/>
          </w:tcBorders>
          <w:shd w:val="clear" w:color="auto" w:fill="auto"/>
          <w:noWrap/>
          <w:vAlign w:val="bottom"/>
        </w:tcPr>
        <w:p w14:paraId="4326816E"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374035DF" w14:textId="77777777" w:rsidR="00CD449E" w:rsidRPr="00DA23BA" w:rsidRDefault="00CD449E" w:rsidP="000924A1">
          <w:pPr>
            <w:ind w:left="210" w:hanging="210"/>
            <w:jc w:val="center"/>
            <w:rPr>
              <w:rFonts w:ascii="Arial" w:hAnsi="Arial" w:cs="Arial"/>
              <w:sz w:val="15"/>
              <w:szCs w:val="15"/>
              <w:lang w:eastAsia="es-AR"/>
            </w:rPr>
          </w:pPr>
          <w:r>
            <w:rPr>
              <w:rFonts w:ascii="Arial" w:hAnsi="Arial" w:cs="Arial"/>
              <w:sz w:val="15"/>
              <w:szCs w:val="15"/>
              <w:lang w:eastAsia="es-AR"/>
            </w:rPr>
            <w:t>Vicep</w:t>
          </w:r>
          <w:r w:rsidRPr="00DA23BA">
            <w:rPr>
              <w:rFonts w:ascii="Arial" w:hAnsi="Arial" w:cs="Arial"/>
              <w:sz w:val="15"/>
              <w:szCs w:val="15"/>
              <w:lang w:eastAsia="es-AR"/>
            </w:rPr>
            <w:t>residente</w:t>
          </w:r>
        </w:p>
      </w:tc>
      <w:tc>
        <w:tcPr>
          <w:tcW w:w="326" w:type="pct"/>
          <w:tcBorders>
            <w:top w:val="nil"/>
            <w:left w:val="nil"/>
            <w:bottom w:val="nil"/>
            <w:right w:val="nil"/>
          </w:tcBorders>
          <w:shd w:val="clear" w:color="auto" w:fill="auto"/>
          <w:noWrap/>
          <w:vAlign w:val="bottom"/>
        </w:tcPr>
        <w:p w14:paraId="355F8ED8" w14:textId="77777777" w:rsidR="00CD449E" w:rsidRPr="00DA23BA" w:rsidRDefault="00CD449E" w:rsidP="000924A1">
          <w:pPr>
            <w:jc w:val="center"/>
            <w:rPr>
              <w:rFonts w:ascii="Arial" w:hAnsi="Arial" w:cs="Arial"/>
              <w:color w:val="000000"/>
              <w:sz w:val="15"/>
              <w:szCs w:val="15"/>
              <w:lang w:eastAsia="es-AR"/>
            </w:rPr>
          </w:pPr>
        </w:p>
      </w:tc>
    </w:tr>
    <w:tr w:rsidR="00CD449E" w:rsidRPr="00DA23BA" w14:paraId="72639A43" w14:textId="77777777" w:rsidTr="000924A1">
      <w:trPr>
        <w:trHeight w:val="180"/>
      </w:trPr>
      <w:tc>
        <w:tcPr>
          <w:tcW w:w="1411" w:type="pct"/>
          <w:tcBorders>
            <w:top w:val="nil"/>
            <w:left w:val="nil"/>
            <w:bottom w:val="nil"/>
            <w:right w:val="nil"/>
          </w:tcBorders>
          <w:shd w:val="clear" w:color="auto" w:fill="auto"/>
          <w:noWrap/>
          <w:vAlign w:val="bottom"/>
        </w:tcPr>
        <w:p w14:paraId="144E39EC" w14:textId="77777777" w:rsidR="00CD449E" w:rsidRPr="00DA23BA" w:rsidRDefault="00CD449E" w:rsidP="000924A1">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1810C131"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55D03FF4"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31325499"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2E44D11" w14:textId="77777777" w:rsidR="00CD449E" w:rsidRPr="00DA23BA" w:rsidRDefault="00CD449E" w:rsidP="000924A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3B6D7D10" w14:textId="77777777" w:rsidR="00CD449E" w:rsidRPr="00DA23BA" w:rsidRDefault="00CD449E" w:rsidP="000924A1">
          <w:pPr>
            <w:jc w:val="center"/>
            <w:rPr>
              <w:rFonts w:ascii="Arial" w:hAnsi="Arial" w:cs="Arial"/>
              <w:sz w:val="15"/>
              <w:szCs w:val="15"/>
              <w:lang w:eastAsia="es-AR"/>
            </w:rPr>
          </w:pPr>
        </w:p>
      </w:tc>
    </w:tr>
    <w:tr w:rsidR="00CD449E" w:rsidRPr="00707D83" w14:paraId="5B54380D" w14:textId="77777777" w:rsidTr="000924A1">
      <w:trPr>
        <w:trHeight w:val="180"/>
      </w:trPr>
      <w:tc>
        <w:tcPr>
          <w:tcW w:w="1411" w:type="pct"/>
          <w:tcBorders>
            <w:top w:val="nil"/>
            <w:left w:val="nil"/>
            <w:bottom w:val="nil"/>
            <w:right w:val="nil"/>
          </w:tcBorders>
          <w:shd w:val="clear" w:color="auto" w:fill="auto"/>
          <w:noWrap/>
          <w:vAlign w:val="bottom"/>
        </w:tcPr>
        <w:p w14:paraId="7221F92B"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504" w:type="pct"/>
          <w:tcBorders>
            <w:top w:val="nil"/>
            <w:left w:val="nil"/>
            <w:bottom w:val="nil"/>
            <w:right w:val="nil"/>
          </w:tcBorders>
          <w:shd w:val="clear" w:color="auto" w:fill="auto"/>
          <w:noWrap/>
          <w:vAlign w:val="bottom"/>
        </w:tcPr>
        <w:p w14:paraId="1C60D824"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4A5097BF"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10DA5CD8"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242897DF" w14:textId="6EF8ABFC" w:rsidR="00CD449E" w:rsidRPr="00DA23BA" w:rsidRDefault="00CD449E" w:rsidP="000924A1">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445711D7" w14:textId="77777777" w:rsidR="00CD449E" w:rsidRPr="00DA23BA" w:rsidRDefault="00CD449E" w:rsidP="000924A1">
          <w:pPr>
            <w:jc w:val="center"/>
            <w:rPr>
              <w:rFonts w:ascii="Arial" w:hAnsi="Arial" w:cs="Arial"/>
              <w:color w:val="000000"/>
              <w:sz w:val="15"/>
              <w:szCs w:val="15"/>
              <w:lang w:eastAsia="es-AR"/>
            </w:rPr>
          </w:pPr>
        </w:p>
      </w:tc>
    </w:tr>
    <w:tr w:rsidR="00CD449E" w:rsidRPr="00DA23BA" w14:paraId="06EA4A60" w14:textId="77777777" w:rsidTr="000924A1">
      <w:trPr>
        <w:trHeight w:val="180"/>
      </w:trPr>
      <w:tc>
        <w:tcPr>
          <w:tcW w:w="1411" w:type="pct"/>
          <w:tcBorders>
            <w:top w:val="nil"/>
            <w:left w:val="nil"/>
            <w:bottom w:val="nil"/>
            <w:right w:val="nil"/>
          </w:tcBorders>
          <w:shd w:val="clear" w:color="auto" w:fill="auto"/>
          <w:noWrap/>
          <w:vAlign w:val="bottom"/>
        </w:tcPr>
        <w:p w14:paraId="48F7277C" w14:textId="77777777" w:rsidR="00CD449E" w:rsidRPr="00DA23BA" w:rsidRDefault="00CD449E" w:rsidP="00843797">
          <w:pPr>
            <w:jc w:val="center"/>
            <w:rPr>
              <w:rFonts w:ascii="Arial" w:hAnsi="Arial" w:cs="Arial"/>
              <w:sz w:val="15"/>
              <w:szCs w:val="15"/>
              <w:lang w:eastAsia="es-AR"/>
            </w:rPr>
          </w:pPr>
          <w:r>
            <w:rPr>
              <w:rFonts w:ascii="Arial" w:hAnsi="Arial" w:cs="Arial"/>
              <w:sz w:val="15"/>
              <w:szCs w:val="15"/>
              <w:lang w:eastAsia="es-AR"/>
            </w:rPr>
            <w:t>19 de febrero de 2020</w:t>
          </w:r>
        </w:p>
      </w:tc>
      <w:tc>
        <w:tcPr>
          <w:tcW w:w="504" w:type="pct"/>
          <w:tcBorders>
            <w:top w:val="nil"/>
            <w:left w:val="nil"/>
            <w:bottom w:val="nil"/>
            <w:right w:val="nil"/>
          </w:tcBorders>
          <w:shd w:val="clear" w:color="auto" w:fill="auto"/>
          <w:noWrap/>
          <w:vAlign w:val="bottom"/>
        </w:tcPr>
        <w:p w14:paraId="4CB294F1"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7A08B3AB"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3AE1AA52"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E4FE7B9" w14:textId="54EADCD4" w:rsidR="00CD449E" w:rsidRPr="00DA23BA" w:rsidRDefault="00CD449E" w:rsidP="00843797">
          <w:pPr>
            <w:ind w:left="210" w:hanging="210"/>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5A799F8A" w14:textId="77777777" w:rsidR="00CD449E" w:rsidRPr="00DA23BA" w:rsidRDefault="00CD449E" w:rsidP="000924A1">
          <w:pPr>
            <w:jc w:val="center"/>
            <w:rPr>
              <w:rFonts w:ascii="Arial" w:hAnsi="Arial" w:cs="Arial"/>
              <w:color w:val="000000"/>
              <w:sz w:val="15"/>
              <w:szCs w:val="15"/>
              <w:lang w:eastAsia="es-AR"/>
            </w:rPr>
          </w:pPr>
        </w:p>
      </w:tc>
    </w:tr>
    <w:tr w:rsidR="00CD449E" w:rsidRPr="00F02E0C" w14:paraId="3D4DC373" w14:textId="77777777" w:rsidTr="000924A1">
      <w:trPr>
        <w:trHeight w:val="180"/>
      </w:trPr>
      <w:tc>
        <w:tcPr>
          <w:tcW w:w="1411" w:type="pct"/>
          <w:tcBorders>
            <w:top w:val="nil"/>
            <w:left w:val="nil"/>
            <w:bottom w:val="nil"/>
            <w:right w:val="nil"/>
          </w:tcBorders>
          <w:shd w:val="clear" w:color="auto" w:fill="auto"/>
          <w:noWrap/>
          <w:vAlign w:val="center"/>
        </w:tcPr>
        <w:p w14:paraId="65340529"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Por Comisión Fiscalizadora</w:t>
          </w:r>
        </w:p>
      </w:tc>
      <w:tc>
        <w:tcPr>
          <w:tcW w:w="504" w:type="pct"/>
          <w:tcBorders>
            <w:top w:val="nil"/>
            <w:left w:val="nil"/>
            <w:bottom w:val="nil"/>
            <w:right w:val="nil"/>
          </w:tcBorders>
          <w:shd w:val="clear" w:color="auto" w:fill="auto"/>
          <w:noWrap/>
          <w:vAlign w:val="bottom"/>
        </w:tcPr>
        <w:p w14:paraId="17B6F041"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602BB8D7"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085EF809"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3E5E2246" w14:textId="51269BA3" w:rsidR="00CD449E" w:rsidRPr="00DA23BA" w:rsidRDefault="00CD449E" w:rsidP="000924A1">
          <w:pPr>
            <w:ind w:left="210" w:hanging="210"/>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3C55A954" w14:textId="77777777" w:rsidR="00CD449E" w:rsidRPr="00DA23BA" w:rsidRDefault="00CD449E" w:rsidP="000924A1">
          <w:pPr>
            <w:jc w:val="center"/>
            <w:rPr>
              <w:rFonts w:ascii="Arial" w:hAnsi="Arial" w:cs="Arial"/>
              <w:color w:val="000000"/>
              <w:sz w:val="15"/>
              <w:szCs w:val="15"/>
              <w:lang w:val="en-US" w:eastAsia="es-AR"/>
            </w:rPr>
          </w:pPr>
        </w:p>
      </w:tc>
    </w:tr>
    <w:tr w:rsidR="00CD449E" w:rsidRPr="00F02E0C" w14:paraId="23955131" w14:textId="77777777" w:rsidTr="000924A1">
      <w:trPr>
        <w:trHeight w:val="180"/>
      </w:trPr>
      <w:tc>
        <w:tcPr>
          <w:tcW w:w="1411" w:type="pct"/>
          <w:tcBorders>
            <w:top w:val="nil"/>
            <w:left w:val="nil"/>
            <w:bottom w:val="nil"/>
            <w:right w:val="nil"/>
          </w:tcBorders>
          <w:shd w:val="clear" w:color="auto" w:fill="auto"/>
          <w:noWrap/>
          <w:vAlign w:val="bottom"/>
        </w:tcPr>
        <w:p w14:paraId="6B4FD4A3" w14:textId="77777777" w:rsidR="00CD449E" w:rsidRPr="00DA23BA" w:rsidRDefault="00CD449E" w:rsidP="000924A1">
          <w:pPr>
            <w:jc w:val="center"/>
            <w:rPr>
              <w:rFonts w:ascii="Arial" w:hAnsi="Arial" w:cs="Arial"/>
              <w:sz w:val="15"/>
              <w:szCs w:val="15"/>
              <w:lang w:val="en-US" w:eastAsia="es-AR"/>
            </w:rPr>
          </w:pPr>
        </w:p>
      </w:tc>
      <w:tc>
        <w:tcPr>
          <w:tcW w:w="504" w:type="pct"/>
          <w:tcBorders>
            <w:top w:val="nil"/>
            <w:left w:val="nil"/>
            <w:bottom w:val="nil"/>
            <w:right w:val="nil"/>
          </w:tcBorders>
          <w:shd w:val="clear" w:color="auto" w:fill="auto"/>
          <w:noWrap/>
          <w:vAlign w:val="bottom"/>
        </w:tcPr>
        <w:p w14:paraId="709D6474" w14:textId="77777777" w:rsidR="00CD449E" w:rsidRPr="008A6403" w:rsidRDefault="00CD449E"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61239E11" w14:textId="77777777" w:rsidR="00CD449E" w:rsidRPr="008A6403" w:rsidRDefault="00CD449E"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2E73C99E" w14:textId="77777777" w:rsidR="00CD449E" w:rsidRPr="008A6403" w:rsidRDefault="00CD449E"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2B0A8B44" w14:textId="77777777" w:rsidR="00CD449E" w:rsidRPr="00DA23BA" w:rsidRDefault="00CD449E" w:rsidP="000924A1">
          <w:pPr>
            <w:ind w:left="352" w:hanging="352"/>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4E8D7383" w14:textId="77777777" w:rsidR="00CD449E" w:rsidRPr="00DA23BA" w:rsidRDefault="00CD449E" w:rsidP="000924A1">
          <w:pPr>
            <w:jc w:val="center"/>
            <w:rPr>
              <w:rFonts w:ascii="Arial" w:hAnsi="Arial" w:cs="Arial"/>
              <w:color w:val="000000"/>
              <w:sz w:val="15"/>
              <w:szCs w:val="15"/>
              <w:lang w:val="en-US" w:eastAsia="es-AR"/>
            </w:rPr>
          </w:pPr>
        </w:p>
      </w:tc>
    </w:tr>
    <w:tr w:rsidR="00CD449E" w:rsidRPr="00F02E0C" w14:paraId="6CBEA447" w14:textId="77777777" w:rsidTr="000924A1">
      <w:trPr>
        <w:trHeight w:val="180"/>
      </w:trPr>
      <w:tc>
        <w:tcPr>
          <w:tcW w:w="1411" w:type="pct"/>
          <w:tcBorders>
            <w:top w:val="nil"/>
            <w:left w:val="nil"/>
            <w:bottom w:val="nil"/>
            <w:right w:val="nil"/>
          </w:tcBorders>
          <w:shd w:val="clear" w:color="auto" w:fill="auto"/>
          <w:noWrap/>
          <w:vAlign w:val="bottom"/>
        </w:tcPr>
        <w:p w14:paraId="32588E28" w14:textId="77777777" w:rsidR="00CD449E" w:rsidRPr="00DA23BA" w:rsidRDefault="00CD449E" w:rsidP="000924A1">
          <w:pPr>
            <w:jc w:val="center"/>
            <w:rPr>
              <w:rFonts w:ascii="Arial" w:hAnsi="Arial" w:cs="Arial"/>
              <w:sz w:val="15"/>
              <w:szCs w:val="15"/>
              <w:lang w:val="en-US" w:eastAsia="es-AR"/>
            </w:rPr>
          </w:pPr>
        </w:p>
      </w:tc>
      <w:tc>
        <w:tcPr>
          <w:tcW w:w="504" w:type="pct"/>
          <w:tcBorders>
            <w:top w:val="nil"/>
            <w:left w:val="nil"/>
            <w:bottom w:val="nil"/>
            <w:right w:val="nil"/>
          </w:tcBorders>
          <w:shd w:val="clear" w:color="auto" w:fill="auto"/>
          <w:noWrap/>
          <w:vAlign w:val="bottom"/>
        </w:tcPr>
        <w:p w14:paraId="0A5267B5" w14:textId="77777777" w:rsidR="00CD449E" w:rsidRPr="008A6403" w:rsidRDefault="00CD449E"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16612FB2" w14:textId="77777777" w:rsidR="00CD449E" w:rsidRPr="008A6403" w:rsidRDefault="00CD449E"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296F8832" w14:textId="77777777" w:rsidR="00CD449E" w:rsidRPr="008A6403" w:rsidRDefault="00CD449E"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36C8B969" w14:textId="77777777" w:rsidR="00CD449E" w:rsidRPr="00DA23BA" w:rsidRDefault="00CD449E" w:rsidP="000924A1">
          <w:pPr>
            <w:ind w:left="498" w:hanging="498"/>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4D7DC36A" w14:textId="77777777" w:rsidR="00CD449E" w:rsidRPr="00DA23BA" w:rsidRDefault="00CD449E" w:rsidP="000924A1">
          <w:pPr>
            <w:jc w:val="center"/>
            <w:rPr>
              <w:rFonts w:ascii="Arial" w:hAnsi="Arial" w:cs="Arial"/>
              <w:color w:val="000000"/>
              <w:sz w:val="15"/>
              <w:szCs w:val="15"/>
              <w:lang w:val="en-US" w:eastAsia="es-AR"/>
            </w:rPr>
          </w:pPr>
        </w:p>
      </w:tc>
    </w:tr>
    <w:tr w:rsidR="00CD449E" w:rsidRPr="00DA23BA" w14:paraId="4CFA03BC" w14:textId="77777777" w:rsidTr="000924A1">
      <w:trPr>
        <w:trHeight w:val="180"/>
      </w:trPr>
      <w:tc>
        <w:tcPr>
          <w:tcW w:w="1411" w:type="pct"/>
          <w:tcBorders>
            <w:top w:val="nil"/>
            <w:left w:val="nil"/>
            <w:bottom w:val="nil"/>
            <w:right w:val="nil"/>
          </w:tcBorders>
          <w:shd w:val="clear" w:color="auto" w:fill="auto"/>
          <w:noWrap/>
          <w:vAlign w:val="bottom"/>
        </w:tcPr>
        <w:p w14:paraId="68B131C6" w14:textId="77777777" w:rsidR="00CD449E" w:rsidRPr="00DA23BA" w:rsidRDefault="00CD449E" w:rsidP="000924A1">
          <w:pPr>
            <w:jc w:val="center"/>
            <w:rPr>
              <w:rFonts w:ascii="Arial" w:hAnsi="Arial" w:cs="Arial"/>
              <w:sz w:val="15"/>
              <w:szCs w:val="15"/>
              <w:lang w:val="en-US" w:eastAsia="es-AR"/>
            </w:rPr>
          </w:pPr>
        </w:p>
      </w:tc>
      <w:tc>
        <w:tcPr>
          <w:tcW w:w="504" w:type="pct"/>
          <w:tcBorders>
            <w:top w:val="nil"/>
            <w:left w:val="nil"/>
            <w:bottom w:val="nil"/>
            <w:right w:val="nil"/>
          </w:tcBorders>
          <w:shd w:val="clear" w:color="auto" w:fill="auto"/>
          <w:noWrap/>
          <w:vAlign w:val="bottom"/>
        </w:tcPr>
        <w:p w14:paraId="70CF6E0A" w14:textId="77777777" w:rsidR="00CD449E" w:rsidRPr="00DA23BA" w:rsidRDefault="00CD449E"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60BD7229" w14:textId="77777777" w:rsidR="00CD449E" w:rsidRPr="00DA23BA" w:rsidRDefault="00CD449E"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5ED18AE6" w14:textId="77777777" w:rsidR="00CD449E" w:rsidRPr="00DA23BA" w:rsidRDefault="00CD449E"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27CA8AFF" w14:textId="77777777" w:rsidR="00CD449E" w:rsidRPr="00DA23BA" w:rsidRDefault="00CD449E" w:rsidP="000924A1">
          <w:pPr>
            <w:jc w:val="center"/>
            <w:rPr>
              <w:rFonts w:ascii="Arial" w:hAnsi="Arial" w:cs="Arial"/>
              <w:sz w:val="15"/>
              <w:szCs w:val="15"/>
              <w:lang w:val="en-US" w:eastAsia="es-AR"/>
            </w:rPr>
          </w:pPr>
        </w:p>
      </w:tc>
      <w:tc>
        <w:tcPr>
          <w:tcW w:w="326" w:type="pct"/>
          <w:tcBorders>
            <w:top w:val="nil"/>
            <w:left w:val="nil"/>
            <w:bottom w:val="nil"/>
            <w:right w:val="nil"/>
          </w:tcBorders>
          <w:shd w:val="clear" w:color="auto" w:fill="auto"/>
          <w:noWrap/>
          <w:vAlign w:val="bottom"/>
        </w:tcPr>
        <w:p w14:paraId="204332A1" w14:textId="512DA843" w:rsidR="00CD449E" w:rsidRPr="00DA23BA" w:rsidRDefault="00CD449E" w:rsidP="000924A1">
          <w:pPr>
            <w:jc w:val="center"/>
            <w:rPr>
              <w:rFonts w:ascii="Arial" w:hAnsi="Arial" w:cs="Arial"/>
              <w:sz w:val="15"/>
              <w:szCs w:val="15"/>
              <w:lang w:eastAsia="es-AR"/>
            </w:rPr>
          </w:pPr>
        </w:p>
      </w:tc>
    </w:tr>
    <w:tr w:rsidR="00CD449E" w:rsidRPr="00000EDD" w14:paraId="6E0B1E9D" w14:textId="77777777" w:rsidTr="000924A1">
      <w:trPr>
        <w:trHeight w:val="180"/>
      </w:trPr>
      <w:tc>
        <w:tcPr>
          <w:tcW w:w="1411" w:type="pct"/>
          <w:tcBorders>
            <w:top w:val="nil"/>
            <w:left w:val="nil"/>
            <w:bottom w:val="nil"/>
            <w:right w:val="nil"/>
          </w:tcBorders>
          <w:shd w:val="clear" w:color="auto" w:fill="auto"/>
          <w:noWrap/>
          <w:vAlign w:val="bottom"/>
        </w:tcPr>
        <w:p w14:paraId="2E6E1472"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Enrique José Barreiro</w:t>
          </w:r>
        </w:p>
      </w:tc>
      <w:tc>
        <w:tcPr>
          <w:tcW w:w="504" w:type="pct"/>
          <w:tcBorders>
            <w:top w:val="nil"/>
            <w:left w:val="nil"/>
            <w:bottom w:val="nil"/>
            <w:right w:val="nil"/>
          </w:tcBorders>
          <w:shd w:val="clear" w:color="auto" w:fill="auto"/>
          <w:noWrap/>
          <w:vAlign w:val="bottom"/>
        </w:tcPr>
        <w:p w14:paraId="50132863" w14:textId="77777777" w:rsidR="00CD449E" w:rsidRPr="00DA23BA" w:rsidRDefault="00CD449E"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0A01490A" w14:textId="77777777" w:rsidR="00CD449E" w:rsidRPr="00DA23BA" w:rsidRDefault="00CD449E"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6E5BCDC3" w14:textId="77777777" w:rsidR="00CD449E" w:rsidRPr="00DA23BA" w:rsidRDefault="00CD449E"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52F19678" w14:textId="77777777" w:rsidR="00CD449E" w:rsidRPr="00000EDD" w:rsidRDefault="00CD449E" w:rsidP="000924A1">
          <w:pPr>
            <w:jc w:val="center"/>
            <w:rPr>
              <w:rFonts w:ascii="Arial" w:hAnsi="Arial" w:cs="Arial"/>
              <w:color w:val="FF0000"/>
              <w:sz w:val="15"/>
              <w:szCs w:val="15"/>
              <w:lang w:val="en-US" w:eastAsia="es-AR"/>
            </w:rPr>
          </w:pPr>
        </w:p>
      </w:tc>
      <w:tc>
        <w:tcPr>
          <w:tcW w:w="326" w:type="pct"/>
          <w:tcBorders>
            <w:top w:val="nil"/>
            <w:left w:val="nil"/>
            <w:bottom w:val="nil"/>
            <w:right w:val="nil"/>
          </w:tcBorders>
          <w:shd w:val="clear" w:color="auto" w:fill="auto"/>
          <w:noWrap/>
          <w:vAlign w:val="bottom"/>
        </w:tcPr>
        <w:p w14:paraId="19265156" w14:textId="77777777" w:rsidR="00CD449E" w:rsidRPr="00000EDD" w:rsidRDefault="00CD449E" w:rsidP="000924A1">
          <w:pPr>
            <w:jc w:val="center"/>
            <w:rPr>
              <w:rFonts w:ascii="Arial" w:hAnsi="Arial" w:cs="Arial"/>
              <w:color w:val="FF0000"/>
              <w:sz w:val="15"/>
              <w:szCs w:val="15"/>
              <w:lang w:val="en-US" w:eastAsia="es-AR"/>
            </w:rPr>
          </w:pPr>
        </w:p>
      </w:tc>
    </w:tr>
    <w:tr w:rsidR="00CD449E" w:rsidRPr="00000EDD" w14:paraId="265F05CD" w14:textId="77777777" w:rsidTr="000924A1">
      <w:trPr>
        <w:trHeight w:val="180"/>
      </w:trPr>
      <w:tc>
        <w:tcPr>
          <w:tcW w:w="1411" w:type="pct"/>
          <w:tcBorders>
            <w:top w:val="nil"/>
            <w:left w:val="nil"/>
            <w:bottom w:val="nil"/>
            <w:right w:val="nil"/>
          </w:tcBorders>
          <w:shd w:val="clear" w:color="auto" w:fill="auto"/>
          <w:noWrap/>
          <w:vAlign w:val="bottom"/>
        </w:tcPr>
        <w:p w14:paraId="3BA26D17"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Síndico</w:t>
          </w:r>
        </w:p>
      </w:tc>
      <w:tc>
        <w:tcPr>
          <w:tcW w:w="504" w:type="pct"/>
          <w:tcBorders>
            <w:top w:val="nil"/>
            <w:left w:val="nil"/>
            <w:bottom w:val="nil"/>
            <w:right w:val="nil"/>
          </w:tcBorders>
          <w:shd w:val="clear" w:color="auto" w:fill="auto"/>
          <w:noWrap/>
          <w:vAlign w:val="bottom"/>
        </w:tcPr>
        <w:p w14:paraId="613FCF2A" w14:textId="77777777" w:rsidR="00CD449E" w:rsidRPr="00DA23BA" w:rsidRDefault="00CD449E" w:rsidP="000924A1">
          <w:pPr>
            <w:jc w:val="center"/>
            <w:rPr>
              <w:rFonts w:ascii="Arial" w:hAnsi="Arial" w:cs="Arial"/>
              <w:sz w:val="15"/>
              <w:szCs w:val="15"/>
              <w:lang w:val="en-US" w:eastAsia="es-AR"/>
            </w:rPr>
          </w:pPr>
        </w:p>
      </w:tc>
      <w:tc>
        <w:tcPr>
          <w:tcW w:w="744" w:type="pct"/>
          <w:tcBorders>
            <w:top w:val="nil"/>
            <w:left w:val="nil"/>
            <w:bottom w:val="nil"/>
            <w:right w:val="nil"/>
          </w:tcBorders>
          <w:shd w:val="clear" w:color="auto" w:fill="auto"/>
          <w:noWrap/>
          <w:vAlign w:val="bottom"/>
        </w:tcPr>
        <w:p w14:paraId="67FB66DB" w14:textId="77777777" w:rsidR="00CD449E" w:rsidRPr="00DA23BA" w:rsidRDefault="00CD449E" w:rsidP="000924A1">
          <w:pPr>
            <w:jc w:val="center"/>
            <w:rPr>
              <w:rFonts w:ascii="Arial" w:hAnsi="Arial" w:cs="Arial"/>
              <w:sz w:val="15"/>
              <w:szCs w:val="15"/>
              <w:lang w:val="en-US" w:eastAsia="es-AR"/>
            </w:rPr>
          </w:pPr>
        </w:p>
      </w:tc>
      <w:tc>
        <w:tcPr>
          <w:tcW w:w="305" w:type="pct"/>
          <w:tcBorders>
            <w:top w:val="nil"/>
            <w:left w:val="nil"/>
            <w:bottom w:val="nil"/>
            <w:right w:val="nil"/>
          </w:tcBorders>
          <w:shd w:val="clear" w:color="auto" w:fill="auto"/>
          <w:noWrap/>
          <w:vAlign w:val="bottom"/>
        </w:tcPr>
        <w:p w14:paraId="32A5CF47" w14:textId="77777777" w:rsidR="00CD449E" w:rsidRPr="00DA23BA" w:rsidRDefault="00CD449E" w:rsidP="000924A1">
          <w:pPr>
            <w:jc w:val="center"/>
            <w:rPr>
              <w:rFonts w:ascii="Arial" w:hAnsi="Arial" w:cs="Arial"/>
              <w:sz w:val="15"/>
              <w:szCs w:val="15"/>
              <w:lang w:val="en-US" w:eastAsia="es-AR"/>
            </w:rPr>
          </w:pPr>
        </w:p>
      </w:tc>
      <w:tc>
        <w:tcPr>
          <w:tcW w:w="1710" w:type="pct"/>
          <w:tcBorders>
            <w:top w:val="nil"/>
            <w:left w:val="nil"/>
            <w:bottom w:val="nil"/>
            <w:right w:val="nil"/>
          </w:tcBorders>
          <w:shd w:val="clear" w:color="auto" w:fill="auto"/>
          <w:noWrap/>
          <w:vAlign w:val="bottom"/>
        </w:tcPr>
        <w:p w14:paraId="1E0DA9F7" w14:textId="21B0374D" w:rsidR="00CD449E" w:rsidRPr="002530BD" w:rsidRDefault="00CD449E" w:rsidP="000924A1">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0D3E3409" w14:textId="77777777" w:rsidR="00CD449E" w:rsidRPr="00000EDD" w:rsidRDefault="00CD449E" w:rsidP="000924A1">
          <w:pPr>
            <w:jc w:val="center"/>
            <w:rPr>
              <w:rFonts w:ascii="Arial" w:hAnsi="Arial" w:cs="Arial"/>
              <w:color w:val="FF0000"/>
              <w:sz w:val="15"/>
              <w:szCs w:val="15"/>
              <w:lang w:eastAsia="es-AR"/>
            </w:rPr>
          </w:pPr>
        </w:p>
      </w:tc>
    </w:tr>
    <w:tr w:rsidR="00CD449E" w:rsidRPr="00707D83" w14:paraId="2A05FDAC" w14:textId="77777777" w:rsidTr="000924A1">
      <w:trPr>
        <w:trHeight w:val="180"/>
      </w:trPr>
      <w:tc>
        <w:tcPr>
          <w:tcW w:w="1411" w:type="pct"/>
          <w:tcBorders>
            <w:top w:val="nil"/>
            <w:left w:val="nil"/>
            <w:bottom w:val="nil"/>
            <w:right w:val="nil"/>
          </w:tcBorders>
          <w:shd w:val="clear" w:color="auto" w:fill="auto"/>
          <w:noWrap/>
          <w:vAlign w:val="bottom"/>
        </w:tcPr>
        <w:p w14:paraId="266E5CB8"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Contador Público (U.N.L.Z)</w:t>
          </w:r>
        </w:p>
      </w:tc>
      <w:tc>
        <w:tcPr>
          <w:tcW w:w="504" w:type="pct"/>
          <w:tcBorders>
            <w:top w:val="nil"/>
            <w:left w:val="nil"/>
            <w:bottom w:val="nil"/>
            <w:right w:val="nil"/>
          </w:tcBorders>
          <w:shd w:val="clear" w:color="auto" w:fill="auto"/>
          <w:noWrap/>
          <w:vAlign w:val="bottom"/>
        </w:tcPr>
        <w:p w14:paraId="72E7D11D"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424E304F"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4CA01A65"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35216A69" w14:textId="4357AA3B" w:rsidR="00CD449E" w:rsidRPr="002530BD" w:rsidRDefault="00CD449E">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5DFC1031" w14:textId="77777777" w:rsidR="00CD449E" w:rsidRPr="00000EDD" w:rsidRDefault="00CD449E" w:rsidP="000924A1">
          <w:pPr>
            <w:jc w:val="center"/>
            <w:rPr>
              <w:rFonts w:ascii="Arial" w:hAnsi="Arial" w:cs="Arial"/>
              <w:color w:val="FF0000"/>
              <w:sz w:val="15"/>
              <w:szCs w:val="15"/>
              <w:lang w:eastAsia="es-AR"/>
            </w:rPr>
          </w:pPr>
        </w:p>
      </w:tc>
    </w:tr>
    <w:tr w:rsidR="00CD449E" w:rsidRPr="00707D83" w14:paraId="32B11EF0" w14:textId="77777777" w:rsidTr="000924A1">
      <w:trPr>
        <w:trHeight w:val="180"/>
      </w:trPr>
      <w:tc>
        <w:tcPr>
          <w:tcW w:w="1411" w:type="pct"/>
          <w:tcBorders>
            <w:top w:val="nil"/>
            <w:left w:val="nil"/>
            <w:bottom w:val="nil"/>
            <w:right w:val="nil"/>
          </w:tcBorders>
          <w:shd w:val="clear" w:color="auto" w:fill="auto"/>
          <w:noWrap/>
          <w:vAlign w:val="bottom"/>
        </w:tcPr>
        <w:p w14:paraId="42E1691B" w14:textId="77777777" w:rsidR="00CD449E" w:rsidRPr="00DA23BA" w:rsidRDefault="00CD449E" w:rsidP="000924A1">
          <w:pPr>
            <w:jc w:val="center"/>
            <w:rPr>
              <w:rFonts w:ascii="Arial" w:hAnsi="Arial" w:cs="Arial"/>
              <w:sz w:val="15"/>
              <w:szCs w:val="15"/>
              <w:lang w:eastAsia="es-AR"/>
            </w:rPr>
          </w:pPr>
          <w:r w:rsidRPr="00DA23BA">
            <w:rPr>
              <w:rFonts w:ascii="Arial" w:hAnsi="Arial" w:cs="Arial"/>
              <w:sz w:val="15"/>
              <w:szCs w:val="15"/>
              <w:lang w:eastAsia="es-AR"/>
            </w:rPr>
            <w:t>C.P.C.E.C.A.B.A. T°</w:t>
          </w:r>
          <w:r>
            <w:rPr>
              <w:rFonts w:ascii="Arial" w:hAnsi="Arial" w:cs="Arial"/>
              <w:sz w:val="15"/>
              <w:szCs w:val="15"/>
              <w:lang w:eastAsia="es-AR"/>
            </w:rPr>
            <w:t>108 -</w:t>
          </w:r>
          <w:r w:rsidRPr="00DA23BA">
            <w:rPr>
              <w:rFonts w:ascii="Arial" w:hAnsi="Arial" w:cs="Arial"/>
              <w:sz w:val="15"/>
              <w:szCs w:val="15"/>
              <w:lang w:eastAsia="es-AR"/>
            </w:rPr>
            <w:t>F° 233</w:t>
          </w:r>
        </w:p>
      </w:tc>
      <w:tc>
        <w:tcPr>
          <w:tcW w:w="504" w:type="pct"/>
          <w:tcBorders>
            <w:top w:val="nil"/>
            <w:left w:val="nil"/>
            <w:bottom w:val="nil"/>
            <w:right w:val="nil"/>
          </w:tcBorders>
          <w:shd w:val="clear" w:color="auto" w:fill="auto"/>
          <w:noWrap/>
          <w:vAlign w:val="bottom"/>
        </w:tcPr>
        <w:p w14:paraId="5C89FE6F"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34F2C90F"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61180B08"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726C0FCA" w14:textId="007227F9" w:rsidR="00CD449E" w:rsidRPr="002530BD" w:rsidRDefault="00CD449E" w:rsidP="000924A1">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36A6A913" w14:textId="77777777" w:rsidR="00CD449E" w:rsidRPr="00000EDD" w:rsidRDefault="00CD449E" w:rsidP="000924A1">
          <w:pPr>
            <w:jc w:val="center"/>
            <w:rPr>
              <w:rFonts w:ascii="Arial" w:hAnsi="Arial" w:cs="Arial"/>
              <w:color w:val="FF0000"/>
              <w:sz w:val="15"/>
              <w:szCs w:val="15"/>
              <w:lang w:eastAsia="es-AR"/>
            </w:rPr>
          </w:pPr>
        </w:p>
      </w:tc>
    </w:tr>
    <w:tr w:rsidR="00CD449E" w:rsidRPr="00707D83" w14:paraId="1BAB9A9D" w14:textId="77777777" w:rsidTr="000924A1">
      <w:trPr>
        <w:trHeight w:val="180"/>
      </w:trPr>
      <w:tc>
        <w:tcPr>
          <w:tcW w:w="1411" w:type="pct"/>
          <w:tcBorders>
            <w:top w:val="nil"/>
            <w:left w:val="nil"/>
            <w:bottom w:val="nil"/>
            <w:right w:val="nil"/>
          </w:tcBorders>
          <w:shd w:val="clear" w:color="auto" w:fill="auto"/>
          <w:noWrap/>
          <w:vAlign w:val="bottom"/>
        </w:tcPr>
        <w:p w14:paraId="4FFC9948" w14:textId="77777777" w:rsidR="00CD449E" w:rsidRPr="00DA23BA" w:rsidRDefault="00CD449E" w:rsidP="000924A1">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28912C8F"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646735C6" w14:textId="77777777" w:rsidR="00CD449E" w:rsidRPr="00DA23BA" w:rsidRDefault="00CD449E" w:rsidP="000924A1">
          <w:pPr>
            <w:jc w:val="center"/>
            <w:rPr>
              <w:rFonts w:ascii="Arial" w:hAnsi="Arial" w:cs="Arial"/>
              <w:sz w:val="15"/>
              <w:szCs w:val="15"/>
              <w:lang w:eastAsia="es-AR"/>
            </w:rPr>
          </w:pPr>
        </w:p>
      </w:tc>
      <w:tc>
        <w:tcPr>
          <w:tcW w:w="305" w:type="pct"/>
          <w:tcBorders>
            <w:top w:val="nil"/>
            <w:left w:val="nil"/>
            <w:bottom w:val="nil"/>
            <w:right w:val="nil"/>
          </w:tcBorders>
          <w:shd w:val="clear" w:color="auto" w:fill="auto"/>
          <w:noWrap/>
          <w:vAlign w:val="bottom"/>
        </w:tcPr>
        <w:p w14:paraId="6686E63D"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603B8EEB" w14:textId="77777777" w:rsidR="00CD449E" w:rsidRPr="00000EDD" w:rsidRDefault="00CD449E" w:rsidP="000924A1">
          <w:pPr>
            <w:jc w:val="center"/>
            <w:rPr>
              <w:rFonts w:ascii="Arial" w:hAnsi="Arial" w:cs="Arial"/>
              <w:color w:val="FF0000"/>
              <w:sz w:val="15"/>
              <w:szCs w:val="15"/>
              <w:lang w:eastAsia="es-AR"/>
            </w:rPr>
          </w:pPr>
        </w:p>
      </w:tc>
      <w:tc>
        <w:tcPr>
          <w:tcW w:w="326" w:type="pct"/>
          <w:tcBorders>
            <w:top w:val="nil"/>
            <w:left w:val="nil"/>
            <w:bottom w:val="nil"/>
            <w:right w:val="nil"/>
          </w:tcBorders>
          <w:shd w:val="clear" w:color="auto" w:fill="auto"/>
          <w:noWrap/>
          <w:vAlign w:val="bottom"/>
        </w:tcPr>
        <w:p w14:paraId="67E6C8A0" w14:textId="77777777" w:rsidR="00CD449E" w:rsidRPr="00000EDD" w:rsidRDefault="00CD449E" w:rsidP="000924A1">
          <w:pPr>
            <w:jc w:val="center"/>
            <w:rPr>
              <w:rFonts w:ascii="Arial" w:hAnsi="Arial" w:cs="Arial"/>
              <w:color w:val="FF0000"/>
              <w:sz w:val="15"/>
              <w:szCs w:val="15"/>
              <w:lang w:eastAsia="es-AR"/>
            </w:rPr>
          </w:pPr>
        </w:p>
      </w:tc>
    </w:tr>
    <w:tr w:rsidR="00CD449E" w:rsidRPr="002648BD" w14:paraId="00D0B717" w14:textId="77777777" w:rsidTr="000924A1">
      <w:trPr>
        <w:trHeight w:val="180"/>
      </w:trPr>
      <w:tc>
        <w:tcPr>
          <w:tcW w:w="1411" w:type="pct"/>
          <w:tcBorders>
            <w:top w:val="nil"/>
            <w:left w:val="nil"/>
            <w:bottom w:val="nil"/>
            <w:right w:val="nil"/>
          </w:tcBorders>
          <w:shd w:val="clear" w:color="auto" w:fill="auto"/>
          <w:noWrap/>
          <w:vAlign w:val="bottom"/>
        </w:tcPr>
        <w:p w14:paraId="21572F83" w14:textId="77777777" w:rsidR="00CD449E" w:rsidRPr="00DA23BA" w:rsidRDefault="00CD449E" w:rsidP="000924A1">
          <w:pPr>
            <w:jc w:val="center"/>
            <w:rPr>
              <w:rFonts w:ascii="Arial" w:hAnsi="Arial" w:cs="Arial"/>
              <w:sz w:val="15"/>
              <w:szCs w:val="15"/>
              <w:lang w:eastAsia="es-AR"/>
            </w:rPr>
          </w:pPr>
        </w:p>
      </w:tc>
      <w:tc>
        <w:tcPr>
          <w:tcW w:w="504" w:type="pct"/>
          <w:tcBorders>
            <w:top w:val="nil"/>
            <w:left w:val="nil"/>
            <w:bottom w:val="nil"/>
            <w:right w:val="nil"/>
          </w:tcBorders>
          <w:shd w:val="clear" w:color="auto" w:fill="auto"/>
          <w:noWrap/>
          <w:vAlign w:val="bottom"/>
        </w:tcPr>
        <w:p w14:paraId="28C66A17" w14:textId="77777777" w:rsidR="00CD449E" w:rsidRPr="00DA23BA" w:rsidRDefault="00CD449E" w:rsidP="000924A1">
          <w:pPr>
            <w:jc w:val="center"/>
            <w:rPr>
              <w:rFonts w:ascii="Arial" w:hAnsi="Arial" w:cs="Arial"/>
              <w:sz w:val="15"/>
              <w:szCs w:val="15"/>
              <w:lang w:eastAsia="es-AR"/>
            </w:rPr>
          </w:pPr>
        </w:p>
      </w:tc>
      <w:tc>
        <w:tcPr>
          <w:tcW w:w="744" w:type="pct"/>
          <w:tcBorders>
            <w:top w:val="nil"/>
            <w:left w:val="nil"/>
            <w:bottom w:val="nil"/>
            <w:right w:val="nil"/>
          </w:tcBorders>
          <w:shd w:val="clear" w:color="auto" w:fill="auto"/>
          <w:noWrap/>
          <w:vAlign w:val="bottom"/>
        </w:tcPr>
        <w:p w14:paraId="5EE0C25B" w14:textId="77777777" w:rsidR="00CD449E" w:rsidRPr="00DA23BA" w:rsidRDefault="00CD449E" w:rsidP="000924A1">
          <w:pPr>
            <w:jc w:val="center"/>
            <w:rPr>
              <w:rFonts w:ascii="Arial" w:hAnsi="Arial" w:cs="Arial"/>
              <w:sz w:val="15"/>
              <w:szCs w:val="15"/>
              <w:lang w:eastAsia="es-AR"/>
            </w:rPr>
          </w:pPr>
          <w:r>
            <w:rPr>
              <w:rFonts w:ascii="Arial" w:hAnsi="Arial" w:cs="Arial"/>
              <w:sz w:val="15"/>
              <w:szCs w:val="15"/>
              <w:lang w:eastAsia="es-AR"/>
            </w:rPr>
            <w:t xml:space="preserve">- </w:t>
          </w:r>
          <w:r w:rsidRPr="00A76E3D">
            <w:rPr>
              <w:rFonts w:ascii="Arial" w:hAnsi="Arial" w:cs="Arial"/>
              <w:sz w:val="15"/>
              <w:szCs w:val="15"/>
              <w:lang w:eastAsia="es-AR"/>
            </w:rPr>
            <w:fldChar w:fldCharType="begin"/>
          </w:r>
          <w:r w:rsidRPr="00A76E3D">
            <w:rPr>
              <w:rFonts w:ascii="Arial" w:hAnsi="Arial" w:cs="Arial"/>
              <w:sz w:val="15"/>
              <w:szCs w:val="15"/>
              <w:lang w:eastAsia="es-AR"/>
            </w:rPr>
            <w:instrText xml:space="preserve"> PAGE   \* MERGEFORMAT </w:instrText>
          </w:r>
          <w:r w:rsidRPr="00A76E3D">
            <w:rPr>
              <w:rFonts w:ascii="Arial" w:hAnsi="Arial" w:cs="Arial"/>
              <w:sz w:val="15"/>
              <w:szCs w:val="15"/>
              <w:lang w:eastAsia="es-AR"/>
            </w:rPr>
            <w:fldChar w:fldCharType="separate"/>
          </w:r>
          <w:r>
            <w:rPr>
              <w:rFonts w:ascii="Arial" w:hAnsi="Arial" w:cs="Arial"/>
              <w:noProof/>
              <w:sz w:val="15"/>
              <w:szCs w:val="15"/>
              <w:lang w:eastAsia="es-AR"/>
            </w:rPr>
            <w:t>111</w:t>
          </w:r>
          <w:r w:rsidRPr="00A76E3D">
            <w:rPr>
              <w:rFonts w:ascii="Arial" w:hAnsi="Arial" w:cs="Arial"/>
              <w:sz w:val="15"/>
              <w:szCs w:val="15"/>
              <w:lang w:eastAsia="es-AR"/>
            </w:rPr>
            <w:fldChar w:fldCharType="end"/>
          </w:r>
          <w:r>
            <w:rPr>
              <w:rFonts w:ascii="Arial" w:hAnsi="Arial" w:cs="Arial"/>
              <w:sz w:val="15"/>
              <w:szCs w:val="15"/>
              <w:lang w:eastAsia="es-AR"/>
            </w:rPr>
            <w:t xml:space="preserve"> - </w:t>
          </w:r>
        </w:p>
      </w:tc>
      <w:tc>
        <w:tcPr>
          <w:tcW w:w="305" w:type="pct"/>
          <w:tcBorders>
            <w:top w:val="nil"/>
            <w:left w:val="nil"/>
            <w:bottom w:val="nil"/>
            <w:right w:val="nil"/>
          </w:tcBorders>
          <w:shd w:val="clear" w:color="auto" w:fill="auto"/>
          <w:noWrap/>
          <w:vAlign w:val="bottom"/>
        </w:tcPr>
        <w:p w14:paraId="6F8CFA44" w14:textId="77777777" w:rsidR="00CD449E" w:rsidRPr="00DA23BA" w:rsidRDefault="00CD449E" w:rsidP="000924A1">
          <w:pPr>
            <w:jc w:val="center"/>
            <w:rPr>
              <w:rFonts w:ascii="Arial" w:hAnsi="Arial" w:cs="Arial"/>
              <w:sz w:val="15"/>
              <w:szCs w:val="15"/>
              <w:lang w:eastAsia="es-AR"/>
            </w:rPr>
          </w:pPr>
        </w:p>
      </w:tc>
      <w:tc>
        <w:tcPr>
          <w:tcW w:w="1710" w:type="pct"/>
          <w:tcBorders>
            <w:top w:val="nil"/>
            <w:left w:val="nil"/>
            <w:bottom w:val="nil"/>
            <w:right w:val="nil"/>
          </w:tcBorders>
          <w:shd w:val="clear" w:color="auto" w:fill="auto"/>
          <w:noWrap/>
          <w:vAlign w:val="bottom"/>
        </w:tcPr>
        <w:p w14:paraId="0E6A0169" w14:textId="77777777" w:rsidR="00CD449E" w:rsidRPr="00DA23BA" w:rsidRDefault="00CD449E" w:rsidP="000924A1">
          <w:pPr>
            <w:jc w:val="center"/>
            <w:rPr>
              <w:rFonts w:ascii="Arial" w:hAnsi="Arial" w:cs="Arial"/>
              <w:sz w:val="15"/>
              <w:szCs w:val="15"/>
              <w:lang w:eastAsia="es-AR"/>
            </w:rPr>
          </w:pPr>
        </w:p>
      </w:tc>
      <w:tc>
        <w:tcPr>
          <w:tcW w:w="326" w:type="pct"/>
          <w:tcBorders>
            <w:top w:val="nil"/>
            <w:left w:val="nil"/>
            <w:bottom w:val="nil"/>
            <w:right w:val="nil"/>
          </w:tcBorders>
          <w:shd w:val="clear" w:color="auto" w:fill="auto"/>
          <w:noWrap/>
          <w:vAlign w:val="bottom"/>
        </w:tcPr>
        <w:p w14:paraId="13C4D29E" w14:textId="77777777" w:rsidR="00CD449E" w:rsidRPr="00DA23BA" w:rsidRDefault="00CD449E" w:rsidP="000924A1">
          <w:pPr>
            <w:jc w:val="center"/>
            <w:rPr>
              <w:rFonts w:ascii="Arial" w:hAnsi="Arial" w:cs="Arial"/>
              <w:color w:val="000000"/>
              <w:sz w:val="15"/>
              <w:szCs w:val="15"/>
              <w:lang w:eastAsia="es-AR"/>
            </w:rPr>
          </w:pPr>
        </w:p>
      </w:tc>
    </w:tr>
  </w:tbl>
  <w:p w14:paraId="620CAFF7" w14:textId="77777777" w:rsidR="00CD449E" w:rsidRPr="00BA218C" w:rsidRDefault="00CD449E" w:rsidP="00E05C63">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703" w:type="pct"/>
      <w:tblCellMar>
        <w:left w:w="70" w:type="dxa"/>
        <w:right w:w="70" w:type="dxa"/>
      </w:tblCellMar>
      <w:tblLook w:val="04A0" w:firstRow="1" w:lastRow="0" w:firstColumn="1" w:lastColumn="0" w:noHBand="0" w:noVBand="1"/>
    </w:tblPr>
    <w:tblGrid>
      <w:gridCol w:w="2278"/>
      <w:gridCol w:w="146"/>
      <w:gridCol w:w="1566"/>
      <w:gridCol w:w="146"/>
      <w:gridCol w:w="5108"/>
      <w:gridCol w:w="616"/>
    </w:tblGrid>
    <w:tr w:rsidR="00CD449E" w:rsidRPr="00DA23BA" w14:paraId="7A681612" w14:textId="77777777" w:rsidTr="0042374A">
      <w:trPr>
        <w:trHeight w:val="180"/>
      </w:trPr>
      <w:tc>
        <w:tcPr>
          <w:tcW w:w="1155" w:type="pct"/>
          <w:tcBorders>
            <w:top w:val="nil"/>
            <w:left w:val="nil"/>
            <w:bottom w:val="nil"/>
            <w:right w:val="nil"/>
          </w:tcBorders>
          <w:shd w:val="clear" w:color="auto" w:fill="auto"/>
          <w:noWrap/>
          <w:vAlign w:val="bottom"/>
        </w:tcPr>
        <w:p w14:paraId="1FEF47E5"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39A5CE52"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28E8E71F"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09F7671B"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733B3E4A" w14:textId="77777777" w:rsidR="00CD449E" w:rsidRPr="00DA23BA" w:rsidRDefault="00CD449E" w:rsidP="0042374A">
          <w:pPr>
            <w:jc w:val="center"/>
            <w:rPr>
              <w:rFonts w:ascii="Arial" w:hAnsi="Arial" w:cs="Arial"/>
              <w:sz w:val="15"/>
              <w:szCs w:val="15"/>
              <w:lang w:eastAsia="es-AR"/>
            </w:rPr>
          </w:pPr>
        </w:p>
      </w:tc>
      <w:tc>
        <w:tcPr>
          <w:tcW w:w="312" w:type="pct"/>
          <w:tcBorders>
            <w:top w:val="nil"/>
            <w:left w:val="nil"/>
            <w:bottom w:val="nil"/>
            <w:right w:val="nil"/>
          </w:tcBorders>
          <w:shd w:val="clear" w:color="auto" w:fill="auto"/>
          <w:noWrap/>
          <w:vAlign w:val="bottom"/>
        </w:tcPr>
        <w:p w14:paraId="42D181A9" w14:textId="77777777" w:rsidR="00CD449E" w:rsidRPr="00DA23BA" w:rsidRDefault="00CD449E" w:rsidP="0042374A">
          <w:pPr>
            <w:jc w:val="center"/>
            <w:rPr>
              <w:rFonts w:ascii="Arial" w:hAnsi="Arial" w:cs="Arial"/>
              <w:color w:val="000000"/>
              <w:sz w:val="15"/>
              <w:szCs w:val="15"/>
              <w:lang w:eastAsia="es-AR"/>
            </w:rPr>
          </w:pPr>
        </w:p>
      </w:tc>
    </w:tr>
    <w:tr w:rsidR="00CD449E" w:rsidRPr="00DA23BA" w14:paraId="0D4E4242" w14:textId="77777777" w:rsidTr="0042374A">
      <w:trPr>
        <w:trHeight w:val="180"/>
      </w:trPr>
      <w:tc>
        <w:tcPr>
          <w:tcW w:w="1155" w:type="pct"/>
          <w:tcBorders>
            <w:top w:val="nil"/>
            <w:left w:val="nil"/>
            <w:bottom w:val="nil"/>
            <w:right w:val="nil"/>
          </w:tcBorders>
          <w:shd w:val="clear" w:color="auto" w:fill="auto"/>
          <w:noWrap/>
          <w:vAlign w:val="bottom"/>
        </w:tcPr>
        <w:p w14:paraId="06239D0A"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1F4C3CB6"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4AC1CECF"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0827B9FD"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7716C9C4" w14:textId="77777777" w:rsidR="00CD449E" w:rsidRPr="00DA23BA" w:rsidRDefault="00CD449E" w:rsidP="0042374A">
          <w:pPr>
            <w:jc w:val="center"/>
            <w:rPr>
              <w:rFonts w:ascii="Arial" w:hAnsi="Arial" w:cs="Arial"/>
              <w:sz w:val="15"/>
              <w:szCs w:val="15"/>
              <w:lang w:eastAsia="es-AR"/>
            </w:rPr>
          </w:pPr>
        </w:p>
      </w:tc>
      <w:tc>
        <w:tcPr>
          <w:tcW w:w="312" w:type="pct"/>
          <w:tcBorders>
            <w:top w:val="nil"/>
            <w:left w:val="nil"/>
            <w:bottom w:val="nil"/>
            <w:right w:val="nil"/>
          </w:tcBorders>
          <w:shd w:val="clear" w:color="auto" w:fill="auto"/>
          <w:noWrap/>
          <w:vAlign w:val="bottom"/>
        </w:tcPr>
        <w:p w14:paraId="40476082" w14:textId="77777777" w:rsidR="00CD449E" w:rsidRPr="00DA23BA" w:rsidRDefault="00CD449E" w:rsidP="0042374A">
          <w:pPr>
            <w:jc w:val="center"/>
            <w:rPr>
              <w:rFonts w:ascii="Arial" w:hAnsi="Arial" w:cs="Arial"/>
              <w:color w:val="000000"/>
              <w:sz w:val="15"/>
              <w:szCs w:val="15"/>
              <w:lang w:eastAsia="es-AR"/>
            </w:rPr>
          </w:pPr>
        </w:p>
      </w:tc>
    </w:tr>
    <w:tr w:rsidR="00CD449E" w:rsidRPr="00DA23BA" w14:paraId="5E481328" w14:textId="77777777" w:rsidTr="0042374A">
      <w:trPr>
        <w:trHeight w:val="180"/>
      </w:trPr>
      <w:tc>
        <w:tcPr>
          <w:tcW w:w="1155" w:type="pct"/>
          <w:tcBorders>
            <w:top w:val="nil"/>
            <w:left w:val="nil"/>
            <w:bottom w:val="nil"/>
            <w:right w:val="nil"/>
          </w:tcBorders>
          <w:shd w:val="clear" w:color="auto" w:fill="auto"/>
          <w:noWrap/>
          <w:vAlign w:val="bottom"/>
        </w:tcPr>
        <w:p w14:paraId="0E508817"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428190FA"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7FA3B09E"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45BB8985"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4697915A" w14:textId="77777777" w:rsidR="00CD449E" w:rsidRPr="00DA23BA" w:rsidRDefault="00CD449E" w:rsidP="0042374A">
          <w:pPr>
            <w:jc w:val="center"/>
            <w:rPr>
              <w:rFonts w:ascii="Arial" w:hAnsi="Arial" w:cs="Arial"/>
              <w:sz w:val="15"/>
              <w:szCs w:val="15"/>
              <w:lang w:eastAsia="es-AR"/>
            </w:rPr>
          </w:pPr>
        </w:p>
      </w:tc>
      <w:tc>
        <w:tcPr>
          <w:tcW w:w="312" w:type="pct"/>
          <w:tcBorders>
            <w:top w:val="nil"/>
            <w:left w:val="nil"/>
            <w:bottom w:val="nil"/>
            <w:right w:val="nil"/>
          </w:tcBorders>
          <w:shd w:val="clear" w:color="auto" w:fill="auto"/>
          <w:noWrap/>
          <w:vAlign w:val="bottom"/>
        </w:tcPr>
        <w:p w14:paraId="3FB001F6" w14:textId="77777777" w:rsidR="00CD449E" w:rsidRPr="00DA23BA" w:rsidRDefault="00CD449E" w:rsidP="0042374A">
          <w:pPr>
            <w:jc w:val="center"/>
            <w:rPr>
              <w:rFonts w:ascii="Arial" w:hAnsi="Arial" w:cs="Arial"/>
              <w:color w:val="000000"/>
              <w:sz w:val="15"/>
              <w:szCs w:val="15"/>
              <w:lang w:eastAsia="es-AR"/>
            </w:rPr>
          </w:pPr>
        </w:p>
      </w:tc>
    </w:tr>
    <w:tr w:rsidR="00CD449E" w:rsidRPr="00DA23BA" w14:paraId="3F0125B9" w14:textId="77777777" w:rsidTr="0042374A">
      <w:trPr>
        <w:trHeight w:val="180"/>
      </w:trPr>
      <w:tc>
        <w:tcPr>
          <w:tcW w:w="1155" w:type="pct"/>
          <w:tcBorders>
            <w:top w:val="nil"/>
            <w:left w:val="nil"/>
            <w:bottom w:val="nil"/>
            <w:right w:val="nil"/>
          </w:tcBorders>
          <w:shd w:val="clear" w:color="auto" w:fill="auto"/>
          <w:noWrap/>
          <w:vAlign w:val="bottom"/>
        </w:tcPr>
        <w:p w14:paraId="0E13C8BD" w14:textId="77777777" w:rsidR="00CD449E" w:rsidRPr="00DA23BA" w:rsidRDefault="00CD449E" w:rsidP="0042374A">
          <w:pPr>
            <w:jc w:val="center"/>
            <w:rPr>
              <w:rFonts w:ascii="Arial" w:hAnsi="Arial" w:cs="Arial"/>
              <w:sz w:val="15"/>
              <w:szCs w:val="15"/>
              <w:lang w:eastAsia="es-AR"/>
            </w:rPr>
          </w:pPr>
          <w:r>
            <w:rPr>
              <w:rFonts w:ascii="Arial" w:hAnsi="Arial" w:cs="Arial"/>
              <w:sz w:val="15"/>
              <w:szCs w:val="15"/>
              <w:lang w:eastAsia="es-AR"/>
            </w:rPr>
            <w:t>Mariano Andrés Biglia</w:t>
          </w:r>
        </w:p>
      </w:tc>
      <w:tc>
        <w:tcPr>
          <w:tcW w:w="74" w:type="pct"/>
          <w:tcBorders>
            <w:top w:val="nil"/>
            <w:left w:val="nil"/>
            <w:bottom w:val="nil"/>
            <w:right w:val="nil"/>
          </w:tcBorders>
          <w:shd w:val="clear" w:color="auto" w:fill="auto"/>
          <w:noWrap/>
          <w:vAlign w:val="bottom"/>
        </w:tcPr>
        <w:p w14:paraId="2808C105"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72E1A5CB" w14:textId="77777777" w:rsidR="00CD449E" w:rsidRPr="00DA23BA" w:rsidRDefault="00CD449E" w:rsidP="0042374A">
          <w:pPr>
            <w:jc w:val="center"/>
            <w:rPr>
              <w:rFonts w:ascii="Arial" w:hAnsi="Arial" w:cs="Arial"/>
              <w:sz w:val="15"/>
              <w:szCs w:val="15"/>
              <w:lang w:eastAsia="es-AR"/>
            </w:rPr>
          </w:pPr>
          <w:r>
            <w:rPr>
              <w:rFonts w:ascii="Arial" w:hAnsi="Arial" w:cs="Arial"/>
              <w:sz w:val="15"/>
              <w:szCs w:val="15"/>
              <w:lang w:eastAsia="es-AR"/>
            </w:rPr>
            <w:t>Jorge Oscar Ramírez</w:t>
          </w:r>
        </w:p>
      </w:tc>
      <w:tc>
        <w:tcPr>
          <w:tcW w:w="74" w:type="pct"/>
          <w:tcBorders>
            <w:top w:val="nil"/>
            <w:left w:val="nil"/>
            <w:bottom w:val="nil"/>
            <w:right w:val="nil"/>
          </w:tcBorders>
          <w:shd w:val="clear" w:color="auto" w:fill="auto"/>
          <w:noWrap/>
          <w:vAlign w:val="bottom"/>
        </w:tcPr>
        <w:p w14:paraId="55A259CD"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505BED75" w14:textId="77777777" w:rsidR="00CD449E" w:rsidRPr="00DA23BA" w:rsidRDefault="00CD449E" w:rsidP="0042374A">
          <w:pPr>
            <w:jc w:val="center"/>
            <w:rPr>
              <w:rFonts w:ascii="Arial" w:hAnsi="Arial" w:cs="Arial"/>
              <w:sz w:val="15"/>
              <w:szCs w:val="15"/>
              <w:lang w:eastAsia="es-AR"/>
            </w:rPr>
          </w:pPr>
          <w:r w:rsidRPr="000924A1">
            <w:rPr>
              <w:rFonts w:ascii="Arial" w:hAnsi="Arial" w:cs="Arial"/>
              <w:sz w:val="15"/>
              <w:szCs w:val="15"/>
              <w:lang w:eastAsia="es-AR"/>
            </w:rPr>
            <w:t>Atilio María Dell Oro Maini</w:t>
          </w:r>
        </w:p>
      </w:tc>
      <w:tc>
        <w:tcPr>
          <w:tcW w:w="312" w:type="pct"/>
          <w:tcBorders>
            <w:top w:val="nil"/>
            <w:left w:val="nil"/>
            <w:bottom w:val="nil"/>
            <w:right w:val="nil"/>
          </w:tcBorders>
          <w:shd w:val="clear" w:color="auto" w:fill="auto"/>
          <w:noWrap/>
          <w:vAlign w:val="bottom"/>
        </w:tcPr>
        <w:p w14:paraId="71B16F20" w14:textId="77777777" w:rsidR="00CD449E" w:rsidRPr="00DA23BA" w:rsidRDefault="00CD449E" w:rsidP="0042374A">
          <w:pPr>
            <w:jc w:val="center"/>
            <w:rPr>
              <w:rFonts w:ascii="Arial" w:hAnsi="Arial" w:cs="Arial"/>
              <w:color w:val="000000"/>
              <w:sz w:val="15"/>
              <w:szCs w:val="15"/>
              <w:lang w:eastAsia="es-AR"/>
            </w:rPr>
          </w:pPr>
        </w:p>
      </w:tc>
    </w:tr>
    <w:tr w:rsidR="00CD449E" w:rsidRPr="00DA23BA" w14:paraId="304205E1" w14:textId="77777777" w:rsidTr="0042374A">
      <w:trPr>
        <w:trHeight w:val="180"/>
      </w:trPr>
      <w:tc>
        <w:tcPr>
          <w:tcW w:w="1155" w:type="pct"/>
          <w:tcBorders>
            <w:top w:val="nil"/>
            <w:left w:val="nil"/>
            <w:bottom w:val="nil"/>
            <w:right w:val="nil"/>
          </w:tcBorders>
          <w:shd w:val="clear" w:color="auto" w:fill="auto"/>
          <w:noWrap/>
          <w:vAlign w:val="bottom"/>
        </w:tcPr>
        <w:p w14:paraId="2A10F0DE" w14:textId="77777777" w:rsidR="00CD449E" w:rsidRPr="00DA23BA" w:rsidRDefault="00CD449E" w:rsidP="0042374A">
          <w:pPr>
            <w:jc w:val="center"/>
            <w:rPr>
              <w:rFonts w:ascii="Arial" w:hAnsi="Arial" w:cs="Arial"/>
              <w:sz w:val="15"/>
              <w:szCs w:val="15"/>
              <w:lang w:eastAsia="es-AR"/>
            </w:rPr>
          </w:pPr>
          <w:r w:rsidRPr="00DA23BA">
            <w:rPr>
              <w:rFonts w:ascii="Arial" w:hAnsi="Arial" w:cs="Arial"/>
              <w:sz w:val="15"/>
              <w:szCs w:val="15"/>
              <w:lang w:eastAsia="es-AR"/>
            </w:rPr>
            <w:t>Responsable del Área Contable</w:t>
          </w:r>
        </w:p>
      </w:tc>
      <w:tc>
        <w:tcPr>
          <w:tcW w:w="74" w:type="pct"/>
          <w:tcBorders>
            <w:top w:val="nil"/>
            <w:left w:val="nil"/>
            <w:bottom w:val="nil"/>
            <w:right w:val="nil"/>
          </w:tcBorders>
          <w:shd w:val="clear" w:color="auto" w:fill="auto"/>
          <w:noWrap/>
          <w:vAlign w:val="bottom"/>
        </w:tcPr>
        <w:p w14:paraId="66F53323"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67B7B249" w14:textId="77777777" w:rsidR="00CD449E" w:rsidRPr="00DA23BA" w:rsidRDefault="00CD449E" w:rsidP="0042374A">
          <w:pPr>
            <w:jc w:val="center"/>
            <w:rPr>
              <w:rFonts w:ascii="Arial" w:hAnsi="Arial" w:cs="Arial"/>
              <w:sz w:val="15"/>
              <w:szCs w:val="15"/>
              <w:lang w:eastAsia="es-AR"/>
            </w:rPr>
          </w:pPr>
          <w:r w:rsidRPr="00DA23BA">
            <w:rPr>
              <w:rFonts w:ascii="Arial" w:hAnsi="Arial" w:cs="Arial"/>
              <w:sz w:val="15"/>
              <w:szCs w:val="15"/>
              <w:lang w:eastAsia="es-AR"/>
            </w:rPr>
            <w:t>Gerente General</w:t>
          </w:r>
        </w:p>
      </w:tc>
      <w:tc>
        <w:tcPr>
          <w:tcW w:w="74" w:type="pct"/>
          <w:tcBorders>
            <w:top w:val="nil"/>
            <w:left w:val="nil"/>
            <w:bottom w:val="nil"/>
            <w:right w:val="nil"/>
          </w:tcBorders>
          <w:shd w:val="clear" w:color="auto" w:fill="auto"/>
          <w:noWrap/>
          <w:vAlign w:val="bottom"/>
        </w:tcPr>
        <w:p w14:paraId="0D3F7BEE"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57821208" w14:textId="77777777" w:rsidR="00CD449E" w:rsidRPr="00DA23BA" w:rsidRDefault="00CD449E" w:rsidP="0042374A">
          <w:pPr>
            <w:jc w:val="center"/>
            <w:rPr>
              <w:rFonts w:ascii="Arial" w:hAnsi="Arial" w:cs="Arial"/>
              <w:sz w:val="15"/>
              <w:szCs w:val="15"/>
              <w:lang w:eastAsia="es-AR"/>
            </w:rPr>
          </w:pPr>
          <w:r>
            <w:rPr>
              <w:rFonts w:ascii="Arial" w:hAnsi="Arial" w:cs="Arial"/>
              <w:sz w:val="15"/>
              <w:szCs w:val="15"/>
              <w:lang w:eastAsia="es-AR"/>
            </w:rPr>
            <w:t>Vicep</w:t>
          </w:r>
          <w:r w:rsidRPr="00DA23BA">
            <w:rPr>
              <w:rFonts w:ascii="Arial" w:hAnsi="Arial" w:cs="Arial"/>
              <w:sz w:val="15"/>
              <w:szCs w:val="15"/>
              <w:lang w:eastAsia="es-AR"/>
            </w:rPr>
            <w:t>residente</w:t>
          </w:r>
        </w:p>
      </w:tc>
      <w:tc>
        <w:tcPr>
          <w:tcW w:w="312" w:type="pct"/>
          <w:tcBorders>
            <w:top w:val="nil"/>
            <w:left w:val="nil"/>
            <w:bottom w:val="nil"/>
            <w:right w:val="nil"/>
          </w:tcBorders>
          <w:shd w:val="clear" w:color="auto" w:fill="auto"/>
          <w:noWrap/>
          <w:vAlign w:val="bottom"/>
        </w:tcPr>
        <w:p w14:paraId="33FA9C11" w14:textId="77777777" w:rsidR="00CD449E" w:rsidRPr="00DA23BA" w:rsidRDefault="00CD449E" w:rsidP="0042374A">
          <w:pPr>
            <w:jc w:val="center"/>
            <w:rPr>
              <w:rFonts w:ascii="Arial" w:hAnsi="Arial" w:cs="Arial"/>
              <w:color w:val="000000"/>
              <w:sz w:val="15"/>
              <w:szCs w:val="15"/>
              <w:lang w:eastAsia="es-AR"/>
            </w:rPr>
          </w:pPr>
        </w:p>
      </w:tc>
    </w:tr>
    <w:tr w:rsidR="00CD449E" w:rsidRPr="00DA23BA" w14:paraId="5FA04D8F" w14:textId="77777777" w:rsidTr="0042374A">
      <w:trPr>
        <w:trHeight w:val="180"/>
      </w:trPr>
      <w:tc>
        <w:tcPr>
          <w:tcW w:w="1155" w:type="pct"/>
          <w:tcBorders>
            <w:top w:val="nil"/>
            <w:left w:val="nil"/>
            <w:bottom w:val="nil"/>
            <w:right w:val="nil"/>
          </w:tcBorders>
          <w:shd w:val="clear" w:color="auto" w:fill="auto"/>
          <w:noWrap/>
          <w:vAlign w:val="bottom"/>
        </w:tcPr>
        <w:p w14:paraId="6FE84A13"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3D6EA3BA"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588BF4E7"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0C3F360F"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7009A5C1" w14:textId="77777777" w:rsidR="00CD449E" w:rsidRPr="00DA23BA" w:rsidRDefault="00CD449E" w:rsidP="0042374A">
          <w:pPr>
            <w:jc w:val="center"/>
            <w:rPr>
              <w:rFonts w:ascii="Arial" w:hAnsi="Arial" w:cs="Arial"/>
              <w:sz w:val="15"/>
              <w:szCs w:val="15"/>
              <w:lang w:eastAsia="es-AR"/>
            </w:rPr>
          </w:pPr>
        </w:p>
      </w:tc>
      <w:tc>
        <w:tcPr>
          <w:tcW w:w="312" w:type="pct"/>
          <w:tcBorders>
            <w:top w:val="nil"/>
            <w:left w:val="nil"/>
            <w:bottom w:val="nil"/>
            <w:right w:val="nil"/>
          </w:tcBorders>
          <w:shd w:val="clear" w:color="auto" w:fill="auto"/>
          <w:noWrap/>
          <w:vAlign w:val="bottom"/>
        </w:tcPr>
        <w:p w14:paraId="3D28C1D1" w14:textId="77777777" w:rsidR="00CD449E" w:rsidRPr="0042374A" w:rsidRDefault="00CD449E" w:rsidP="0042374A">
          <w:pPr>
            <w:jc w:val="center"/>
            <w:rPr>
              <w:rFonts w:ascii="Arial" w:hAnsi="Arial" w:cs="Arial"/>
              <w:color w:val="000000"/>
              <w:sz w:val="15"/>
              <w:szCs w:val="15"/>
              <w:lang w:eastAsia="es-AR"/>
            </w:rPr>
          </w:pPr>
        </w:p>
      </w:tc>
    </w:tr>
    <w:tr w:rsidR="00CD449E" w:rsidRPr="00707D83" w14:paraId="3275DCA3" w14:textId="77777777" w:rsidTr="0042374A">
      <w:trPr>
        <w:trHeight w:val="180"/>
      </w:trPr>
      <w:tc>
        <w:tcPr>
          <w:tcW w:w="1155" w:type="pct"/>
          <w:tcBorders>
            <w:top w:val="nil"/>
            <w:left w:val="nil"/>
            <w:bottom w:val="nil"/>
            <w:right w:val="nil"/>
          </w:tcBorders>
          <w:shd w:val="clear" w:color="auto" w:fill="auto"/>
          <w:noWrap/>
          <w:vAlign w:val="bottom"/>
        </w:tcPr>
        <w:p w14:paraId="23CC509A" w14:textId="77777777" w:rsidR="00CD449E" w:rsidRPr="00DA23BA" w:rsidRDefault="00CD449E" w:rsidP="0042374A">
          <w:pPr>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74" w:type="pct"/>
          <w:tcBorders>
            <w:top w:val="nil"/>
            <w:left w:val="nil"/>
            <w:bottom w:val="nil"/>
            <w:right w:val="nil"/>
          </w:tcBorders>
          <w:shd w:val="clear" w:color="auto" w:fill="auto"/>
          <w:noWrap/>
          <w:vAlign w:val="bottom"/>
        </w:tcPr>
        <w:p w14:paraId="703CDBC4"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69C7D467"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322C6A55"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6CF7FC78" w14:textId="77777777" w:rsidR="00CD449E" w:rsidRPr="00DA23BA" w:rsidRDefault="00CD449E" w:rsidP="0042374A">
          <w:pPr>
            <w:jc w:val="center"/>
            <w:rPr>
              <w:rFonts w:ascii="Arial" w:hAnsi="Arial" w:cs="Arial"/>
              <w:sz w:val="15"/>
              <w:szCs w:val="15"/>
              <w:lang w:eastAsia="es-AR"/>
            </w:rPr>
          </w:pPr>
          <w:r w:rsidRPr="00DA23BA">
            <w:rPr>
              <w:rFonts w:ascii="Arial" w:hAnsi="Arial" w:cs="Arial"/>
              <w:sz w:val="15"/>
              <w:szCs w:val="15"/>
              <w:lang w:eastAsia="es-AR"/>
            </w:rPr>
            <w:t>Véase nuestro informe de fecha</w:t>
          </w:r>
        </w:p>
      </w:tc>
      <w:tc>
        <w:tcPr>
          <w:tcW w:w="312" w:type="pct"/>
          <w:tcBorders>
            <w:top w:val="nil"/>
            <w:left w:val="nil"/>
            <w:bottom w:val="nil"/>
            <w:right w:val="nil"/>
          </w:tcBorders>
          <w:shd w:val="clear" w:color="auto" w:fill="auto"/>
          <w:noWrap/>
          <w:vAlign w:val="bottom"/>
        </w:tcPr>
        <w:p w14:paraId="009D6D47" w14:textId="77777777" w:rsidR="00CD449E" w:rsidRPr="00DA23BA" w:rsidRDefault="00CD449E" w:rsidP="0042374A">
          <w:pPr>
            <w:jc w:val="center"/>
            <w:rPr>
              <w:rFonts w:ascii="Arial" w:hAnsi="Arial" w:cs="Arial"/>
              <w:color w:val="000000"/>
              <w:sz w:val="15"/>
              <w:szCs w:val="15"/>
              <w:lang w:eastAsia="es-AR"/>
            </w:rPr>
          </w:pPr>
        </w:p>
      </w:tc>
    </w:tr>
    <w:tr w:rsidR="00CD449E" w:rsidRPr="00DA23BA" w14:paraId="33799568" w14:textId="77777777" w:rsidTr="0042374A">
      <w:trPr>
        <w:trHeight w:val="180"/>
      </w:trPr>
      <w:tc>
        <w:tcPr>
          <w:tcW w:w="1155" w:type="pct"/>
          <w:tcBorders>
            <w:top w:val="nil"/>
            <w:left w:val="nil"/>
            <w:bottom w:val="nil"/>
            <w:right w:val="nil"/>
          </w:tcBorders>
          <w:shd w:val="clear" w:color="auto" w:fill="auto"/>
          <w:noWrap/>
          <w:vAlign w:val="bottom"/>
        </w:tcPr>
        <w:p w14:paraId="6E9E3A9F" w14:textId="77777777" w:rsidR="00CD449E" w:rsidRPr="00DA23BA" w:rsidRDefault="00CD449E" w:rsidP="0042374A">
          <w:pPr>
            <w:jc w:val="center"/>
            <w:rPr>
              <w:rFonts w:ascii="Arial" w:hAnsi="Arial" w:cs="Arial"/>
              <w:sz w:val="15"/>
              <w:szCs w:val="15"/>
              <w:lang w:eastAsia="es-AR"/>
            </w:rPr>
          </w:pPr>
          <w:r>
            <w:rPr>
              <w:rFonts w:ascii="Arial" w:hAnsi="Arial" w:cs="Arial"/>
              <w:sz w:val="15"/>
              <w:szCs w:val="15"/>
              <w:lang w:eastAsia="es-AR"/>
            </w:rPr>
            <w:t>19 de febrero de 2020</w:t>
          </w:r>
        </w:p>
      </w:tc>
      <w:tc>
        <w:tcPr>
          <w:tcW w:w="74" w:type="pct"/>
          <w:tcBorders>
            <w:top w:val="nil"/>
            <w:left w:val="nil"/>
            <w:bottom w:val="nil"/>
            <w:right w:val="nil"/>
          </w:tcBorders>
          <w:shd w:val="clear" w:color="auto" w:fill="auto"/>
          <w:noWrap/>
          <w:vAlign w:val="bottom"/>
        </w:tcPr>
        <w:p w14:paraId="473BD032"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5CAEFC15"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40099D60"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4BE74D5B" w14:textId="77777777" w:rsidR="00CD449E" w:rsidRPr="00DA23BA" w:rsidRDefault="00CD449E" w:rsidP="0042374A">
          <w:pPr>
            <w:jc w:val="center"/>
            <w:rPr>
              <w:rFonts w:ascii="Arial" w:hAnsi="Arial" w:cs="Arial"/>
              <w:sz w:val="15"/>
              <w:szCs w:val="15"/>
              <w:lang w:eastAsia="es-AR"/>
            </w:rPr>
          </w:pPr>
          <w:r>
            <w:rPr>
              <w:rFonts w:ascii="Arial" w:hAnsi="Arial" w:cs="Arial"/>
              <w:sz w:val="15"/>
              <w:szCs w:val="15"/>
              <w:lang w:eastAsia="es-AR"/>
            </w:rPr>
            <w:t>19 de febrero de 2020</w:t>
          </w:r>
        </w:p>
      </w:tc>
      <w:tc>
        <w:tcPr>
          <w:tcW w:w="312" w:type="pct"/>
          <w:tcBorders>
            <w:top w:val="nil"/>
            <w:left w:val="nil"/>
            <w:bottom w:val="nil"/>
            <w:right w:val="nil"/>
          </w:tcBorders>
          <w:shd w:val="clear" w:color="auto" w:fill="auto"/>
          <w:noWrap/>
          <w:vAlign w:val="bottom"/>
        </w:tcPr>
        <w:p w14:paraId="038F81F7" w14:textId="77777777" w:rsidR="00CD449E" w:rsidRPr="00DA23BA" w:rsidRDefault="00CD449E" w:rsidP="0042374A">
          <w:pPr>
            <w:jc w:val="center"/>
            <w:rPr>
              <w:rFonts w:ascii="Arial" w:hAnsi="Arial" w:cs="Arial"/>
              <w:color w:val="000000"/>
              <w:sz w:val="15"/>
              <w:szCs w:val="15"/>
              <w:lang w:eastAsia="es-AR"/>
            </w:rPr>
          </w:pPr>
        </w:p>
      </w:tc>
    </w:tr>
    <w:tr w:rsidR="00CD449E" w:rsidRPr="00CD449E" w14:paraId="60207F86" w14:textId="77777777" w:rsidTr="0042374A">
      <w:trPr>
        <w:trHeight w:val="180"/>
      </w:trPr>
      <w:tc>
        <w:tcPr>
          <w:tcW w:w="1155" w:type="pct"/>
          <w:tcBorders>
            <w:top w:val="nil"/>
            <w:left w:val="nil"/>
            <w:bottom w:val="nil"/>
            <w:right w:val="nil"/>
          </w:tcBorders>
          <w:shd w:val="clear" w:color="auto" w:fill="auto"/>
          <w:noWrap/>
          <w:vAlign w:val="bottom"/>
        </w:tcPr>
        <w:p w14:paraId="5A6584DB" w14:textId="77777777" w:rsidR="00CD449E" w:rsidRPr="00DA23BA" w:rsidRDefault="00CD449E" w:rsidP="0042374A">
          <w:pPr>
            <w:jc w:val="center"/>
            <w:rPr>
              <w:rFonts w:ascii="Arial" w:hAnsi="Arial" w:cs="Arial"/>
              <w:sz w:val="15"/>
              <w:szCs w:val="15"/>
              <w:lang w:eastAsia="es-AR"/>
            </w:rPr>
          </w:pPr>
          <w:r w:rsidRPr="00DA23BA">
            <w:rPr>
              <w:rFonts w:ascii="Arial" w:hAnsi="Arial" w:cs="Arial"/>
              <w:sz w:val="15"/>
              <w:szCs w:val="15"/>
              <w:lang w:eastAsia="es-AR"/>
            </w:rPr>
            <w:t>Por Comisión Fiscalizadora</w:t>
          </w:r>
        </w:p>
      </w:tc>
      <w:tc>
        <w:tcPr>
          <w:tcW w:w="74" w:type="pct"/>
          <w:tcBorders>
            <w:top w:val="nil"/>
            <w:left w:val="nil"/>
            <w:bottom w:val="nil"/>
            <w:right w:val="nil"/>
          </w:tcBorders>
          <w:shd w:val="clear" w:color="auto" w:fill="auto"/>
          <w:noWrap/>
          <w:vAlign w:val="bottom"/>
        </w:tcPr>
        <w:p w14:paraId="03A6A9BE"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2BCA8BE2"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146516E0"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052B4494" w14:textId="77777777" w:rsidR="00CD449E" w:rsidRPr="00A059FB" w:rsidRDefault="00CD449E" w:rsidP="0042374A">
          <w:pPr>
            <w:jc w:val="center"/>
            <w:rPr>
              <w:rFonts w:ascii="Arial" w:hAnsi="Arial" w:cs="Arial"/>
              <w:sz w:val="15"/>
              <w:szCs w:val="15"/>
              <w:lang w:val="en-US" w:eastAsia="es-AR"/>
            </w:rPr>
          </w:pPr>
          <w:r w:rsidRPr="00A059FB">
            <w:rPr>
              <w:rFonts w:ascii="Arial" w:hAnsi="Arial" w:cs="Arial"/>
              <w:sz w:val="15"/>
              <w:szCs w:val="15"/>
              <w:lang w:val="en-US" w:eastAsia="es-AR"/>
            </w:rPr>
            <w:t>PRICE WATERHOUSE &amp; CO. S.R.L.</w:t>
          </w:r>
        </w:p>
      </w:tc>
      <w:tc>
        <w:tcPr>
          <w:tcW w:w="312" w:type="pct"/>
          <w:tcBorders>
            <w:top w:val="nil"/>
            <w:left w:val="nil"/>
            <w:bottom w:val="nil"/>
            <w:right w:val="nil"/>
          </w:tcBorders>
          <w:shd w:val="clear" w:color="auto" w:fill="auto"/>
          <w:noWrap/>
          <w:vAlign w:val="bottom"/>
        </w:tcPr>
        <w:p w14:paraId="67F293E4" w14:textId="77777777" w:rsidR="00CD449E" w:rsidRPr="00A059FB" w:rsidRDefault="00CD449E" w:rsidP="0042374A">
          <w:pPr>
            <w:jc w:val="center"/>
            <w:rPr>
              <w:rFonts w:ascii="Arial" w:hAnsi="Arial" w:cs="Arial"/>
              <w:color w:val="000000"/>
              <w:sz w:val="15"/>
              <w:szCs w:val="15"/>
              <w:lang w:val="en-US" w:eastAsia="es-AR"/>
            </w:rPr>
          </w:pPr>
        </w:p>
      </w:tc>
    </w:tr>
    <w:tr w:rsidR="00CD449E" w:rsidRPr="00CD449E" w14:paraId="298CC80F" w14:textId="77777777" w:rsidTr="0042374A">
      <w:trPr>
        <w:trHeight w:val="180"/>
      </w:trPr>
      <w:tc>
        <w:tcPr>
          <w:tcW w:w="1155" w:type="pct"/>
          <w:tcBorders>
            <w:top w:val="nil"/>
            <w:left w:val="nil"/>
            <w:bottom w:val="nil"/>
            <w:right w:val="nil"/>
          </w:tcBorders>
          <w:shd w:val="clear" w:color="auto" w:fill="auto"/>
          <w:noWrap/>
          <w:vAlign w:val="bottom"/>
        </w:tcPr>
        <w:p w14:paraId="59C90E85" w14:textId="77777777" w:rsidR="00CD449E" w:rsidRPr="00A059FB" w:rsidRDefault="00CD449E" w:rsidP="0042374A">
          <w:pPr>
            <w:jc w:val="center"/>
            <w:rPr>
              <w:rFonts w:ascii="Arial" w:hAnsi="Arial" w:cs="Arial"/>
              <w:sz w:val="15"/>
              <w:szCs w:val="15"/>
              <w:lang w:val="en-US" w:eastAsia="es-AR"/>
            </w:rPr>
          </w:pPr>
        </w:p>
      </w:tc>
      <w:tc>
        <w:tcPr>
          <w:tcW w:w="74" w:type="pct"/>
          <w:tcBorders>
            <w:top w:val="nil"/>
            <w:left w:val="nil"/>
            <w:bottom w:val="nil"/>
            <w:right w:val="nil"/>
          </w:tcBorders>
          <w:shd w:val="clear" w:color="auto" w:fill="auto"/>
          <w:noWrap/>
          <w:vAlign w:val="bottom"/>
        </w:tcPr>
        <w:p w14:paraId="113EF22A" w14:textId="77777777" w:rsidR="00CD449E" w:rsidRPr="00A059FB" w:rsidRDefault="00CD449E" w:rsidP="0042374A">
          <w:pPr>
            <w:jc w:val="center"/>
            <w:rPr>
              <w:rFonts w:ascii="Arial" w:hAnsi="Arial" w:cs="Arial"/>
              <w:sz w:val="15"/>
              <w:szCs w:val="15"/>
              <w:lang w:val="en-US" w:eastAsia="es-AR"/>
            </w:rPr>
          </w:pPr>
        </w:p>
      </w:tc>
      <w:tc>
        <w:tcPr>
          <w:tcW w:w="794" w:type="pct"/>
          <w:tcBorders>
            <w:top w:val="nil"/>
            <w:left w:val="nil"/>
            <w:bottom w:val="nil"/>
            <w:right w:val="nil"/>
          </w:tcBorders>
          <w:shd w:val="clear" w:color="auto" w:fill="auto"/>
          <w:noWrap/>
          <w:vAlign w:val="bottom"/>
        </w:tcPr>
        <w:p w14:paraId="36DCF3AD" w14:textId="77777777" w:rsidR="00CD449E" w:rsidRPr="00A059FB" w:rsidRDefault="00CD449E" w:rsidP="0042374A">
          <w:pPr>
            <w:jc w:val="center"/>
            <w:rPr>
              <w:rFonts w:ascii="Arial" w:hAnsi="Arial" w:cs="Arial"/>
              <w:sz w:val="15"/>
              <w:szCs w:val="15"/>
              <w:lang w:val="en-US" w:eastAsia="es-AR"/>
            </w:rPr>
          </w:pPr>
        </w:p>
      </w:tc>
      <w:tc>
        <w:tcPr>
          <w:tcW w:w="74" w:type="pct"/>
          <w:tcBorders>
            <w:top w:val="nil"/>
            <w:left w:val="nil"/>
            <w:bottom w:val="nil"/>
            <w:right w:val="nil"/>
          </w:tcBorders>
          <w:shd w:val="clear" w:color="auto" w:fill="auto"/>
          <w:noWrap/>
          <w:vAlign w:val="bottom"/>
        </w:tcPr>
        <w:p w14:paraId="557CF316" w14:textId="77777777" w:rsidR="00CD449E" w:rsidRPr="00A059FB" w:rsidRDefault="00CD449E" w:rsidP="0042374A">
          <w:pPr>
            <w:jc w:val="center"/>
            <w:rPr>
              <w:rFonts w:ascii="Arial" w:hAnsi="Arial" w:cs="Arial"/>
              <w:sz w:val="15"/>
              <w:szCs w:val="15"/>
              <w:lang w:val="en-US" w:eastAsia="es-AR"/>
            </w:rPr>
          </w:pPr>
        </w:p>
      </w:tc>
      <w:tc>
        <w:tcPr>
          <w:tcW w:w="2590" w:type="pct"/>
          <w:tcBorders>
            <w:top w:val="nil"/>
            <w:left w:val="nil"/>
            <w:bottom w:val="nil"/>
            <w:right w:val="nil"/>
          </w:tcBorders>
          <w:shd w:val="clear" w:color="auto" w:fill="auto"/>
          <w:noWrap/>
          <w:vAlign w:val="bottom"/>
        </w:tcPr>
        <w:p w14:paraId="35867885" w14:textId="77777777" w:rsidR="00CD449E" w:rsidRPr="00A059FB" w:rsidRDefault="00CD449E" w:rsidP="0042374A">
          <w:pPr>
            <w:jc w:val="center"/>
            <w:rPr>
              <w:rFonts w:ascii="Arial" w:hAnsi="Arial" w:cs="Arial"/>
              <w:sz w:val="15"/>
              <w:szCs w:val="15"/>
              <w:lang w:val="en-US" w:eastAsia="es-AR"/>
            </w:rPr>
          </w:pPr>
        </w:p>
      </w:tc>
      <w:tc>
        <w:tcPr>
          <w:tcW w:w="312" w:type="pct"/>
          <w:tcBorders>
            <w:top w:val="nil"/>
            <w:left w:val="nil"/>
            <w:bottom w:val="nil"/>
            <w:right w:val="nil"/>
          </w:tcBorders>
          <w:shd w:val="clear" w:color="auto" w:fill="auto"/>
          <w:noWrap/>
          <w:vAlign w:val="bottom"/>
        </w:tcPr>
        <w:p w14:paraId="02CA64E1" w14:textId="77777777" w:rsidR="00CD449E" w:rsidRPr="00A059FB" w:rsidRDefault="00CD449E" w:rsidP="0042374A">
          <w:pPr>
            <w:jc w:val="center"/>
            <w:rPr>
              <w:rFonts w:ascii="Arial" w:hAnsi="Arial" w:cs="Arial"/>
              <w:color w:val="000000"/>
              <w:sz w:val="15"/>
              <w:szCs w:val="15"/>
              <w:lang w:val="en-US" w:eastAsia="es-AR"/>
            </w:rPr>
          </w:pPr>
        </w:p>
      </w:tc>
    </w:tr>
    <w:tr w:rsidR="00CD449E" w:rsidRPr="00CD449E" w14:paraId="0B261767" w14:textId="77777777" w:rsidTr="0042374A">
      <w:trPr>
        <w:trHeight w:val="180"/>
      </w:trPr>
      <w:tc>
        <w:tcPr>
          <w:tcW w:w="1155" w:type="pct"/>
          <w:tcBorders>
            <w:top w:val="nil"/>
            <w:left w:val="nil"/>
            <w:bottom w:val="nil"/>
            <w:right w:val="nil"/>
          </w:tcBorders>
          <w:shd w:val="clear" w:color="auto" w:fill="auto"/>
          <w:noWrap/>
          <w:vAlign w:val="bottom"/>
        </w:tcPr>
        <w:p w14:paraId="18E3A366" w14:textId="77777777" w:rsidR="00CD449E" w:rsidRPr="00A059FB" w:rsidRDefault="00CD449E" w:rsidP="0042374A">
          <w:pPr>
            <w:jc w:val="center"/>
            <w:rPr>
              <w:rFonts w:ascii="Arial" w:hAnsi="Arial" w:cs="Arial"/>
              <w:sz w:val="15"/>
              <w:szCs w:val="15"/>
              <w:lang w:val="en-US" w:eastAsia="es-AR"/>
            </w:rPr>
          </w:pPr>
        </w:p>
      </w:tc>
      <w:tc>
        <w:tcPr>
          <w:tcW w:w="74" w:type="pct"/>
          <w:tcBorders>
            <w:top w:val="nil"/>
            <w:left w:val="nil"/>
            <w:bottom w:val="nil"/>
            <w:right w:val="nil"/>
          </w:tcBorders>
          <w:shd w:val="clear" w:color="auto" w:fill="auto"/>
          <w:noWrap/>
          <w:vAlign w:val="bottom"/>
        </w:tcPr>
        <w:p w14:paraId="70003028" w14:textId="77777777" w:rsidR="00CD449E" w:rsidRPr="00A059FB" w:rsidRDefault="00CD449E" w:rsidP="0042374A">
          <w:pPr>
            <w:jc w:val="center"/>
            <w:rPr>
              <w:rFonts w:ascii="Arial" w:hAnsi="Arial" w:cs="Arial"/>
              <w:sz w:val="15"/>
              <w:szCs w:val="15"/>
              <w:lang w:val="en-US" w:eastAsia="es-AR"/>
            </w:rPr>
          </w:pPr>
        </w:p>
      </w:tc>
      <w:tc>
        <w:tcPr>
          <w:tcW w:w="794" w:type="pct"/>
          <w:tcBorders>
            <w:top w:val="nil"/>
            <w:left w:val="nil"/>
            <w:bottom w:val="nil"/>
            <w:right w:val="nil"/>
          </w:tcBorders>
          <w:shd w:val="clear" w:color="auto" w:fill="auto"/>
          <w:noWrap/>
          <w:vAlign w:val="bottom"/>
        </w:tcPr>
        <w:p w14:paraId="52445FE6" w14:textId="77777777" w:rsidR="00CD449E" w:rsidRPr="00A059FB" w:rsidRDefault="00CD449E" w:rsidP="0042374A">
          <w:pPr>
            <w:jc w:val="center"/>
            <w:rPr>
              <w:rFonts w:ascii="Arial" w:hAnsi="Arial" w:cs="Arial"/>
              <w:sz w:val="15"/>
              <w:szCs w:val="15"/>
              <w:lang w:val="en-US" w:eastAsia="es-AR"/>
            </w:rPr>
          </w:pPr>
        </w:p>
      </w:tc>
      <w:tc>
        <w:tcPr>
          <w:tcW w:w="74" w:type="pct"/>
          <w:tcBorders>
            <w:top w:val="nil"/>
            <w:left w:val="nil"/>
            <w:bottom w:val="nil"/>
            <w:right w:val="nil"/>
          </w:tcBorders>
          <w:shd w:val="clear" w:color="auto" w:fill="auto"/>
          <w:noWrap/>
          <w:vAlign w:val="bottom"/>
        </w:tcPr>
        <w:p w14:paraId="241FCDA7" w14:textId="77777777" w:rsidR="00CD449E" w:rsidRPr="00A059FB" w:rsidRDefault="00CD449E" w:rsidP="0042374A">
          <w:pPr>
            <w:jc w:val="center"/>
            <w:rPr>
              <w:rFonts w:ascii="Arial" w:hAnsi="Arial" w:cs="Arial"/>
              <w:sz w:val="15"/>
              <w:szCs w:val="15"/>
              <w:lang w:val="en-US" w:eastAsia="es-AR"/>
            </w:rPr>
          </w:pPr>
        </w:p>
      </w:tc>
      <w:tc>
        <w:tcPr>
          <w:tcW w:w="2590" w:type="pct"/>
          <w:tcBorders>
            <w:top w:val="nil"/>
            <w:left w:val="nil"/>
            <w:bottom w:val="nil"/>
            <w:right w:val="nil"/>
          </w:tcBorders>
          <w:shd w:val="clear" w:color="auto" w:fill="auto"/>
          <w:noWrap/>
          <w:vAlign w:val="bottom"/>
        </w:tcPr>
        <w:p w14:paraId="73214400" w14:textId="77777777" w:rsidR="00CD449E" w:rsidRPr="00A059FB" w:rsidRDefault="00CD449E" w:rsidP="0042374A">
          <w:pPr>
            <w:jc w:val="center"/>
            <w:rPr>
              <w:rFonts w:ascii="Arial" w:hAnsi="Arial" w:cs="Arial"/>
              <w:sz w:val="15"/>
              <w:szCs w:val="15"/>
              <w:lang w:val="en-US" w:eastAsia="es-AR"/>
            </w:rPr>
          </w:pPr>
        </w:p>
      </w:tc>
      <w:tc>
        <w:tcPr>
          <w:tcW w:w="312" w:type="pct"/>
          <w:tcBorders>
            <w:top w:val="nil"/>
            <w:left w:val="nil"/>
            <w:bottom w:val="nil"/>
            <w:right w:val="nil"/>
          </w:tcBorders>
          <w:shd w:val="clear" w:color="auto" w:fill="auto"/>
          <w:noWrap/>
          <w:vAlign w:val="bottom"/>
        </w:tcPr>
        <w:p w14:paraId="5E3AA703" w14:textId="77777777" w:rsidR="00CD449E" w:rsidRPr="00A059FB" w:rsidRDefault="00CD449E" w:rsidP="0042374A">
          <w:pPr>
            <w:jc w:val="center"/>
            <w:rPr>
              <w:rFonts w:ascii="Arial" w:hAnsi="Arial" w:cs="Arial"/>
              <w:color w:val="000000"/>
              <w:sz w:val="15"/>
              <w:szCs w:val="15"/>
              <w:lang w:val="en-US" w:eastAsia="es-AR"/>
            </w:rPr>
          </w:pPr>
        </w:p>
      </w:tc>
    </w:tr>
    <w:tr w:rsidR="00CD449E" w:rsidRPr="00DA23BA" w14:paraId="3647A9A2" w14:textId="77777777" w:rsidTr="0042374A">
      <w:trPr>
        <w:trHeight w:val="180"/>
      </w:trPr>
      <w:tc>
        <w:tcPr>
          <w:tcW w:w="1155" w:type="pct"/>
          <w:tcBorders>
            <w:top w:val="nil"/>
            <w:left w:val="nil"/>
            <w:bottom w:val="nil"/>
            <w:right w:val="nil"/>
          </w:tcBorders>
          <w:shd w:val="clear" w:color="auto" w:fill="auto"/>
          <w:noWrap/>
          <w:vAlign w:val="bottom"/>
        </w:tcPr>
        <w:p w14:paraId="4F5C80D1" w14:textId="77777777" w:rsidR="00CD449E" w:rsidRPr="00A059FB" w:rsidRDefault="00CD449E" w:rsidP="0042374A">
          <w:pPr>
            <w:jc w:val="center"/>
            <w:rPr>
              <w:rFonts w:ascii="Arial" w:hAnsi="Arial" w:cs="Arial"/>
              <w:sz w:val="15"/>
              <w:szCs w:val="15"/>
              <w:lang w:val="en-US" w:eastAsia="es-AR"/>
            </w:rPr>
          </w:pPr>
        </w:p>
      </w:tc>
      <w:tc>
        <w:tcPr>
          <w:tcW w:w="74" w:type="pct"/>
          <w:tcBorders>
            <w:top w:val="nil"/>
            <w:left w:val="nil"/>
            <w:bottom w:val="nil"/>
            <w:right w:val="nil"/>
          </w:tcBorders>
          <w:shd w:val="clear" w:color="auto" w:fill="auto"/>
          <w:noWrap/>
          <w:vAlign w:val="bottom"/>
        </w:tcPr>
        <w:p w14:paraId="2AC6A6D2" w14:textId="77777777" w:rsidR="00CD449E" w:rsidRPr="00A059FB" w:rsidRDefault="00CD449E" w:rsidP="0042374A">
          <w:pPr>
            <w:jc w:val="center"/>
            <w:rPr>
              <w:rFonts w:ascii="Arial" w:hAnsi="Arial" w:cs="Arial"/>
              <w:sz w:val="15"/>
              <w:szCs w:val="15"/>
              <w:lang w:val="en-US" w:eastAsia="es-AR"/>
            </w:rPr>
          </w:pPr>
        </w:p>
      </w:tc>
      <w:tc>
        <w:tcPr>
          <w:tcW w:w="794" w:type="pct"/>
          <w:tcBorders>
            <w:top w:val="nil"/>
            <w:left w:val="nil"/>
            <w:bottom w:val="nil"/>
            <w:right w:val="nil"/>
          </w:tcBorders>
          <w:shd w:val="clear" w:color="auto" w:fill="auto"/>
          <w:noWrap/>
          <w:vAlign w:val="bottom"/>
        </w:tcPr>
        <w:p w14:paraId="21FA986A" w14:textId="77777777" w:rsidR="00CD449E" w:rsidRPr="00A059FB" w:rsidRDefault="00CD449E" w:rsidP="0042374A">
          <w:pPr>
            <w:jc w:val="center"/>
            <w:rPr>
              <w:rFonts w:ascii="Arial" w:hAnsi="Arial" w:cs="Arial"/>
              <w:sz w:val="15"/>
              <w:szCs w:val="15"/>
              <w:lang w:val="en-US" w:eastAsia="es-AR"/>
            </w:rPr>
          </w:pPr>
        </w:p>
      </w:tc>
      <w:tc>
        <w:tcPr>
          <w:tcW w:w="74" w:type="pct"/>
          <w:tcBorders>
            <w:top w:val="nil"/>
            <w:left w:val="nil"/>
            <w:bottom w:val="nil"/>
            <w:right w:val="nil"/>
          </w:tcBorders>
          <w:shd w:val="clear" w:color="auto" w:fill="auto"/>
          <w:noWrap/>
          <w:vAlign w:val="bottom"/>
        </w:tcPr>
        <w:p w14:paraId="25B5D0FC" w14:textId="77777777" w:rsidR="00CD449E" w:rsidRPr="00A059FB" w:rsidRDefault="00CD449E" w:rsidP="0042374A">
          <w:pPr>
            <w:jc w:val="center"/>
            <w:rPr>
              <w:rFonts w:ascii="Arial" w:hAnsi="Arial" w:cs="Arial"/>
              <w:sz w:val="15"/>
              <w:szCs w:val="15"/>
              <w:lang w:val="en-US" w:eastAsia="es-AR"/>
            </w:rPr>
          </w:pPr>
        </w:p>
      </w:tc>
      <w:tc>
        <w:tcPr>
          <w:tcW w:w="2590" w:type="pct"/>
          <w:tcBorders>
            <w:top w:val="nil"/>
            <w:left w:val="nil"/>
            <w:bottom w:val="nil"/>
            <w:right w:val="nil"/>
          </w:tcBorders>
          <w:shd w:val="clear" w:color="auto" w:fill="auto"/>
          <w:noWrap/>
          <w:vAlign w:val="bottom"/>
        </w:tcPr>
        <w:p w14:paraId="4B1F090C" w14:textId="77777777" w:rsidR="00CD449E" w:rsidRPr="00A059FB" w:rsidRDefault="00CD449E" w:rsidP="0042374A">
          <w:pPr>
            <w:jc w:val="center"/>
            <w:rPr>
              <w:rFonts w:ascii="Arial" w:hAnsi="Arial" w:cs="Arial"/>
              <w:sz w:val="15"/>
              <w:szCs w:val="15"/>
              <w:lang w:val="en-US" w:eastAsia="es-AR"/>
            </w:rPr>
          </w:pPr>
        </w:p>
      </w:tc>
      <w:tc>
        <w:tcPr>
          <w:tcW w:w="312" w:type="pct"/>
          <w:tcBorders>
            <w:top w:val="nil"/>
            <w:left w:val="nil"/>
            <w:bottom w:val="nil"/>
            <w:right w:val="nil"/>
          </w:tcBorders>
          <w:shd w:val="clear" w:color="auto" w:fill="auto"/>
          <w:noWrap/>
          <w:vAlign w:val="bottom"/>
        </w:tcPr>
        <w:p w14:paraId="00AADF5D" w14:textId="77777777" w:rsidR="00CD449E" w:rsidRPr="0042374A" w:rsidRDefault="00CD449E" w:rsidP="0042374A">
          <w:pPr>
            <w:jc w:val="center"/>
            <w:rPr>
              <w:rFonts w:ascii="Arial" w:hAnsi="Arial" w:cs="Arial"/>
              <w:color w:val="000000"/>
              <w:sz w:val="15"/>
              <w:szCs w:val="15"/>
              <w:lang w:eastAsia="es-AR"/>
            </w:rPr>
          </w:pPr>
          <w:r w:rsidRPr="0042374A">
            <w:rPr>
              <w:rFonts w:ascii="Arial" w:hAnsi="Arial" w:cs="Arial"/>
              <w:color w:val="000000"/>
              <w:sz w:val="15"/>
              <w:szCs w:val="15"/>
              <w:lang w:eastAsia="es-AR"/>
            </w:rPr>
            <w:t>(Socio)</w:t>
          </w:r>
        </w:p>
      </w:tc>
    </w:tr>
    <w:tr w:rsidR="00CD449E" w:rsidRPr="00000EDD" w14:paraId="441FB77F" w14:textId="77777777" w:rsidTr="0042374A">
      <w:trPr>
        <w:trHeight w:val="180"/>
      </w:trPr>
      <w:tc>
        <w:tcPr>
          <w:tcW w:w="1155" w:type="pct"/>
          <w:tcBorders>
            <w:top w:val="nil"/>
            <w:left w:val="nil"/>
            <w:bottom w:val="nil"/>
            <w:right w:val="nil"/>
          </w:tcBorders>
          <w:shd w:val="clear" w:color="auto" w:fill="auto"/>
          <w:noWrap/>
          <w:vAlign w:val="bottom"/>
        </w:tcPr>
        <w:p w14:paraId="76438431" w14:textId="77777777" w:rsidR="00CD449E" w:rsidRPr="00DA23BA" w:rsidRDefault="00CD449E" w:rsidP="0042374A">
          <w:pPr>
            <w:jc w:val="center"/>
            <w:rPr>
              <w:rFonts w:ascii="Arial" w:hAnsi="Arial" w:cs="Arial"/>
              <w:sz w:val="15"/>
              <w:szCs w:val="15"/>
              <w:lang w:eastAsia="es-AR"/>
            </w:rPr>
          </w:pPr>
          <w:r w:rsidRPr="00DA23BA">
            <w:rPr>
              <w:rFonts w:ascii="Arial" w:hAnsi="Arial" w:cs="Arial"/>
              <w:sz w:val="15"/>
              <w:szCs w:val="15"/>
              <w:lang w:eastAsia="es-AR"/>
            </w:rPr>
            <w:t>Enrique José Barreiro</w:t>
          </w:r>
        </w:p>
      </w:tc>
      <w:tc>
        <w:tcPr>
          <w:tcW w:w="74" w:type="pct"/>
          <w:tcBorders>
            <w:top w:val="nil"/>
            <w:left w:val="nil"/>
            <w:bottom w:val="nil"/>
            <w:right w:val="nil"/>
          </w:tcBorders>
          <w:shd w:val="clear" w:color="auto" w:fill="auto"/>
          <w:noWrap/>
          <w:vAlign w:val="bottom"/>
        </w:tcPr>
        <w:p w14:paraId="17333707" w14:textId="77777777" w:rsidR="00CD449E" w:rsidRPr="0042374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22D2B853" w14:textId="77777777" w:rsidR="00CD449E" w:rsidRPr="0042374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08F60526" w14:textId="77777777" w:rsidR="00CD449E" w:rsidRPr="0042374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613030BC" w14:textId="77777777" w:rsidR="00CD449E" w:rsidRPr="0042374A" w:rsidRDefault="00CD449E" w:rsidP="0042374A">
          <w:pPr>
            <w:jc w:val="center"/>
            <w:rPr>
              <w:rFonts w:ascii="Arial" w:hAnsi="Arial" w:cs="Arial"/>
              <w:sz w:val="15"/>
              <w:szCs w:val="15"/>
              <w:lang w:eastAsia="es-AR"/>
            </w:rPr>
          </w:pPr>
        </w:p>
      </w:tc>
      <w:tc>
        <w:tcPr>
          <w:tcW w:w="312" w:type="pct"/>
          <w:tcBorders>
            <w:top w:val="nil"/>
            <w:left w:val="nil"/>
            <w:bottom w:val="nil"/>
            <w:right w:val="nil"/>
          </w:tcBorders>
          <w:shd w:val="clear" w:color="auto" w:fill="auto"/>
          <w:noWrap/>
          <w:vAlign w:val="bottom"/>
        </w:tcPr>
        <w:p w14:paraId="10CA8367" w14:textId="77777777" w:rsidR="00CD449E" w:rsidRPr="0042374A" w:rsidRDefault="00CD449E" w:rsidP="0042374A">
          <w:pPr>
            <w:jc w:val="center"/>
            <w:rPr>
              <w:rFonts w:ascii="Arial" w:hAnsi="Arial" w:cs="Arial"/>
              <w:color w:val="000000"/>
              <w:sz w:val="15"/>
              <w:szCs w:val="15"/>
              <w:lang w:eastAsia="es-AR"/>
            </w:rPr>
          </w:pPr>
        </w:p>
      </w:tc>
    </w:tr>
    <w:tr w:rsidR="00CD449E" w:rsidRPr="00000EDD" w14:paraId="66B8E48A" w14:textId="77777777" w:rsidTr="0042374A">
      <w:trPr>
        <w:trHeight w:val="180"/>
      </w:trPr>
      <w:tc>
        <w:tcPr>
          <w:tcW w:w="1155" w:type="pct"/>
          <w:tcBorders>
            <w:top w:val="nil"/>
            <w:left w:val="nil"/>
            <w:bottom w:val="nil"/>
            <w:right w:val="nil"/>
          </w:tcBorders>
          <w:shd w:val="clear" w:color="auto" w:fill="auto"/>
          <w:noWrap/>
          <w:vAlign w:val="bottom"/>
        </w:tcPr>
        <w:p w14:paraId="0FCF5C01" w14:textId="77777777" w:rsidR="00CD449E" w:rsidRPr="00DA23BA" w:rsidRDefault="00CD449E" w:rsidP="0042374A">
          <w:pPr>
            <w:jc w:val="center"/>
            <w:rPr>
              <w:rFonts w:ascii="Arial" w:hAnsi="Arial" w:cs="Arial"/>
              <w:sz w:val="15"/>
              <w:szCs w:val="15"/>
              <w:lang w:eastAsia="es-AR"/>
            </w:rPr>
          </w:pPr>
          <w:r w:rsidRPr="00DA23BA">
            <w:rPr>
              <w:rFonts w:ascii="Arial" w:hAnsi="Arial" w:cs="Arial"/>
              <w:sz w:val="15"/>
              <w:szCs w:val="15"/>
              <w:lang w:eastAsia="es-AR"/>
            </w:rPr>
            <w:t>Síndico</w:t>
          </w:r>
        </w:p>
      </w:tc>
      <w:tc>
        <w:tcPr>
          <w:tcW w:w="74" w:type="pct"/>
          <w:tcBorders>
            <w:top w:val="nil"/>
            <w:left w:val="nil"/>
            <w:bottom w:val="nil"/>
            <w:right w:val="nil"/>
          </w:tcBorders>
          <w:shd w:val="clear" w:color="auto" w:fill="auto"/>
          <w:noWrap/>
          <w:vAlign w:val="bottom"/>
        </w:tcPr>
        <w:p w14:paraId="2109562D" w14:textId="77777777" w:rsidR="00CD449E" w:rsidRPr="0042374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7E3BBE95" w14:textId="77777777" w:rsidR="00CD449E" w:rsidRPr="0042374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550B49D9" w14:textId="77777777" w:rsidR="00CD449E" w:rsidRPr="0042374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2D1CDD14" w14:textId="77777777" w:rsidR="00CD449E" w:rsidRPr="002530BD" w:rsidRDefault="00CD449E" w:rsidP="0042374A">
          <w:pPr>
            <w:jc w:val="center"/>
            <w:rPr>
              <w:rFonts w:ascii="Arial" w:hAnsi="Arial" w:cs="Arial"/>
              <w:sz w:val="15"/>
              <w:szCs w:val="15"/>
              <w:lang w:eastAsia="es-AR"/>
            </w:rPr>
          </w:pPr>
          <w:r w:rsidRPr="0042374A">
            <w:rPr>
              <w:rFonts w:ascii="Arial" w:hAnsi="Arial" w:cs="Arial"/>
              <w:sz w:val="15"/>
              <w:szCs w:val="15"/>
              <w:lang w:eastAsia="es-AR"/>
            </w:rPr>
            <w:t>Santiago Jose Mignone</w:t>
          </w:r>
        </w:p>
      </w:tc>
      <w:tc>
        <w:tcPr>
          <w:tcW w:w="312" w:type="pct"/>
          <w:tcBorders>
            <w:top w:val="nil"/>
            <w:left w:val="nil"/>
            <w:bottom w:val="nil"/>
            <w:right w:val="nil"/>
          </w:tcBorders>
          <w:shd w:val="clear" w:color="auto" w:fill="auto"/>
          <w:noWrap/>
          <w:vAlign w:val="bottom"/>
        </w:tcPr>
        <w:p w14:paraId="475A1A89" w14:textId="77777777" w:rsidR="00CD449E" w:rsidRPr="0042374A" w:rsidRDefault="00CD449E" w:rsidP="0042374A">
          <w:pPr>
            <w:jc w:val="center"/>
            <w:rPr>
              <w:rFonts w:ascii="Arial" w:hAnsi="Arial" w:cs="Arial"/>
              <w:color w:val="000000"/>
              <w:sz w:val="15"/>
              <w:szCs w:val="15"/>
              <w:lang w:eastAsia="es-AR"/>
            </w:rPr>
          </w:pPr>
        </w:p>
      </w:tc>
    </w:tr>
    <w:tr w:rsidR="00CD449E" w:rsidRPr="00707D83" w14:paraId="5E3D55D3" w14:textId="77777777" w:rsidTr="0042374A">
      <w:trPr>
        <w:trHeight w:val="180"/>
      </w:trPr>
      <w:tc>
        <w:tcPr>
          <w:tcW w:w="1155" w:type="pct"/>
          <w:tcBorders>
            <w:top w:val="nil"/>
            <w:left w:val="nil"/>
            <w:bottom w:val="nil"/>
            <w:right w:val="nil"/>
          </w:tcBorders>
          <w:shd w:val="clear" w:color="auto" w:fill="auto"/>
          <w:noWrap/>
          <w:vAlign w:val="bottom"/>
        </w:tcPr>
        <w:p w14:paraId="5E247C1D" w14:textId="77777777" w:rsidR="00CD449E" w:rsidRPr="00DA23BA" w:rsidRDefault="00CD449E" w:rsidP="0042374A">
          <w:pPr>
            <w:jc w:val="center"/>
            <w:rPr>
              <w:rFonts w:ascii="Arial" w:hAnsi="Arial" w:cs="Arial"/>
              <w:sz w:val="15"/>
              <w:szCs w:val="15"/>
              <w:lang w:eastAsia="es-AR"/>
            </w:rPr>
          </w:pPr>
          <w:r w:rsidRPr="00DA23BA">
            <w:rPr>
              <w:rFonts w:ascii="Arial" w:hAnsi="Arial" w:cs="Arial"/>
              <w:sz w:val="15"/>
              <w:szCs w:val="15"/>
              <w:lang w:eastAsia="es-AR"/>
            </w:rPr>
            <w:t>Contador Público (U.N.L.Z)</w:t>
          </w:r>
        </w:p>
      </w:tc>
      <w:tc>
        <w:tcPr>
          <w:tcW w:w="74" w:type="pct"/>
          <w:tcBorders>
            <w:top w:val="nil"/>
            <w:left w:val="nil"/>
            <w:bottom w:val="nil"/>
            <w:right w:val="nil"/>
          </w:tcBorders>
          <w:shd w:val="clear" w:color="auto" w:fill="auto"/>
          <w:noWrap/>
          <w:vAlign w:val="bottom"/>
        </w:tcPr>
        <w:p w14:paraId="38BA59A6"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600E0B78"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15DAF674"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0C2D7D49" w14:textId="77777777" w:rsidR="00CD449E" w:rsidRPr="002530BD" w:rsidRDefault="00CD449E" w:rsidP="0042374A">
          <w:pPr>
            <w:jc w:val="center"/>
            <w:rPr>
              <w:rFonts w:ascii="Arial" w:hAnsi="Arial" w:cs="Arial"/>
              <w:sz w:val="15"/>
              <w:szCs w:val="15"/>
              <w:lang w:eastAsia="es-AR"/>
            </w:rPr>
          </w:pPr>
          <w:r w:rsidRPr="00C9122B">
            <w:rPr>
              <w:rFonts w:ascii="Arial" w:hAnsi="Arial" w:cs="Arial"/>
              <w:sz w:val="15"/>
              <w:szCs w:val="15"/>
              <w:lang w:eastAsia="es-AR"/>
            </w:rPr>
            <w:t>Contador Público (</w:t>
          </w:r>
          <w:r>
            <w:rPr>
              <w:rFonts w:ascii="Arial" w:hAnsi="Arial" w:cs="Arial"/>
              <w:sz w:val="15"/>
              <w:szCs w:val="15"/>
              <w:lang w:eastAsia="es-AR"/>
            </w:rPr>
            <w:t>U.B.A.</w:t>
          </w:r>
          <w:r w:rsidRPr="00C9122B">
            <w:rPr>
              <w:rFonts w:ascii="Arial" w:hAnsi="Arial" w:cs="Arial"/>
              <w:sz w:val="15"/>
              <w:szCs w:val="15"/>
              <w:lang w:eastAsia="es-AR"/>
            </w:rPr>
            <w:t>)</w:t>
          </w:r>
        </w:p>
      </w:tc>
      <w:tc>
        <w:tcPr>
          <w:tcW w:w="312" w:type="pct"/>
          <w:tcBorders>
            <w:top w:val="nil"/>
            <w:left w:val="nil"/>
            <w:bottom w:val="nil"/>
            <w:right w:val="nil"/>
          </w:tcBorders>
          <w:shd w:val="clear" w:color="auto" w:fill="auto"/>
          <w:noWrap/>
          <w:vAlign w:val="bottom"/>
        </w:tcPr>
        <w:p w14:paraId="482C1563" w14:textId="77777777" w:rsidR="00CD449E" w:rsidRPr="0042374A" w:rsidRDefault="00CD449E" w:rsidP="0042374A">
          <w:pPr>
            <w:jc w:val="center"/>
            <w:rPr>
              <w:rFonts w:ascii="Arial" w:hAnsi="Arial" w:cs="Arial"/>
              <w:color w:val="000000"/>
              <w:sz w:val="15"/>
              <w:szCs w:val="15"/>
              <w:lang w:eastAsia="es-AR"/>
            </w:rPr>
          </w:pPr>
        </w:p>
      </w:tc>
    </w:tr>
    <w:tr w:rsidR="00CD449E" w:rsidRPr="00707D83" w14:paraId="0B01A228" w14:textId="77777777" w:rsidTr="0042374A">
      <w:trPr>
        <w:trHeight w:val="180"/>
      </w:trPr>
      <w:tc>
        <w:tcPr>
          <w:tcW w:w="1155" w:type="pct"/>
          <w:tcBorders>
            <w:top w:val="nil"/>
            <w:left w:val="nil"/>
            <w:bottom w:val="nil"/>
            <w:right w:val="nil"/>
          </w:tcBorders>
          <w:shd w:val="clear" w:color="auto" w:fill="auto"/>
          <w:noWrap/>
          <w:vAlign w:val="bottom"/>
        </w:tcPr>
        <w:p w14:paraId="721257D7" w14:textId="77777777" w:rsidR="00CD449E" w:rsidRPr="00DA23BA" w:rsidRDefault="00CD449E" w:rsidP="0042374A">
          <w:pPr>
            <w:jc w:val="center"/>
            <w:rPr>
              <w:rFonts w:ascii="Arial" w:hAnsi="Arial" w:cs="Arial"/>
              <w:sz w:val="15"/>
              <w:szCs w:val="15"/>
              <w:lang w:eastAsia="es-AR"/>
            </w:rPr>
          </w:pPr>
          <w:r w:rsidRPr="00DA23BA">
            <w:rPr>
              <w:rFonts w:ascii="Arial" w:hAnsi="Arial" w:cs="Arial"/>
              <w:sz w:val="15"/>
              <w:szCs w:val="15"/>
              <w:lang w:eastAsia="es-AR"/>
            </w:rPr>
            <w:t>C.P.C.E.C.A.B.A. T°</w:t>
          </w:r>
          <w:r>
            <w:rPr>
              <w:rFonts w:ascii="Arial" w:hAnsi="Arial" w:cs="Arial"/>
              <w:sz w:val="15"/>
              <w:szCs w:val="15"/>
              <w:lang w:eastAsia="es-AR"/>
            </w:rPr>
            <w:t>108 -</w:t>
          </w:r>
          <w:r w:rsidRPr="00DA23BA">
            <w:rPr>
              <w:rFonts w:ascii="Arial" w:hAnsi="Arial" w:cs="Arial"/>
              <w:sz w:val="15"/>
              <w:szCs w:val="15"/>
              <w:lang w:eastAsia="es-AR"/>
            </w:rPr>
            <w:t>F° 233</w:t>
          </w:r>
        </w:p>
      </w:tc>
      <w:tc>
        <w:tcPr>
          <w:tcW w:w="74" w:type="pct"/>
          <w:tcBorders>
            <w:top w:val="nil"/>
            <w:left w:val="nil"/>
            <w:bottom w:val="nil"/>
            <w:right w:val="nil"/>
          </w:tcBorders>
          <w:shd w:val="clear" w:color="auto" w:fill="auto"/>
          <w:noWrap/>
          <w:vAlign w:val="bottom"/>
        </w:tcPr>
        <w:p w14:paraId="44C0CB4A"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3343BD36"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48BE869A"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503E8E72" w14:textId="77777777" w:rsidR="00CD449E" w:rsidRPr="002530BD" w:rsidRDefault="00CD449E" w:rsidP="0042374A">
          <w:pPr>
            <w:jc w:val="center"/>
            <w:rPr>
              <w:rFonts w:ascii="Arial" w:hAnsi="Arial" w:cs="Arial"/>
              <w:sz w:val="15"/>
              <w:szCs w:val="15"/>
              <w:lang w:eastAsia="es-AR"/>
            </w:rPr>
          </w:pPr>
          <w:r w:rsidRPr="00C9122B">
            <w:rPr>
              <w:rFonts w:ascii="Arial" w:hAnsi="Arial" w:cs="Arial"/>
              <w:sz w:val="15"/>
              <w:szCs w:val="15"/>
              <w:lang w:eastAsia="es-AR"/>
            </w:rPr>
            <w:t xml:space="preserve">C.P.C.E.C.A.B.A.  T° </w:t>
          </w:r>
          <w:r>
            <w:rPr>
              <w:rFonts w:ascii="Arial" w:hAnsi="Arial" w:cs="Arial"/>
              <w:sz w:val="15"/>
              <w:szCs w:val="15"/>
              <w:lang w:eastAsia="es-AR"/>
            </w:rPr>
            <w:t>233</w:t>
          </w:r>
          <w:r w:rsidRPr="00C9122B">
            <w:rPr>
              <w:rFonts w:ascii="Arial" w:hAnsi="Arial" w:cs="Arial"/>
              <w:sz w:val="15"/>
              <w:szCs w:val="15"/>
              <w:lang w:eastAsia="es-AR"/>
            </w:rPr>
            <w:t xml:space="preserve"> F° </w:t>
          </w:r>
          <w:r>
            <w:rPr>
              <w:rFonts w:ascii="Arial" w:hAnsi="Arial" w:cs="Arial"/>
              <w:sz w:val="15"/>
              <w:szCs w:val="15"/>
              <w:lang w:eastAsia="es-AR"/>
            </w:rPr>
            <w:t>237</w:t>
          </w:r>
        </w:p>
      </w:tc>
      <w:tc>
        <w:tcPr>
          <w:tcW w:w="312" w:type="pct"/>
          <w:tcBorders>
            <w:top w:val="nil"/>
            <w:left w:val="nil"/>
            <w:bottom w:val="nil"/>
            <w:right w:val="nil"/>
          </w:tcBorders>
          <w:shd w:val="clear" w:color="auto" w:fill="auto"/>
          <w:noWrap/>
          <w:vAlign w:val="bottom"/>
        </w:tcPr>
        <w:p w14:paraId="0AEB96B7" w14:textId="77777777" w:rsidR="00CD449E" w:rsidRPr="0042374A" w:rsidRDefault="00CD449E" w:rsidP="0042374A">
          <w:pPr>
            <w:jc w:val="center"/>
            <w:rPr>
              <w:rFonts w:ascii="Arial" w:hAnsi="Arial" w:cs="Arial"/>
              <w:color w:val="000000"/>
              <w:sz w:val="15"/>
              <w:szCs w:val="15"/>
              <w:lang w:eastAsia="es-AR"/>
            </w:rPr>
          </w:pPr>
        </w:p>
      </w:tc>
    </w:tr>
    <w:tr w:rsidR="00CD449E" w:rsidRPr="00707D83" w14:paraId="63BE9132" w14:textId="77777777" w:rsidTr="0042374A">
      <w:trPr>
        <w:trHeight w:val="180"/>
      </w:trPr>
      <w:tc>
        <w:tcPr>
          <w:tcW w:w="1155" w:type="pct"/>
          <w:tcBorders>
            <w:top w:val="nil"/>
            <w:left w:val="nil"/>
            <w:bottom w:val="nil"/>
            <w:right w:val="nil"/>
          </w:tcBorders>
          <w:shd w:val="clear" w:color="auto" w:fill="auto"/>
          <w:noWrap/>
          <w:vAlign w:val="bottom"/>
        </w:tcPr>
        <w:p w14:paraId="58B68A6F"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6DE99D1D"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363D44BE"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6782F361"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25BFBF95" w14:textId="77777777" w:rsidR="00CD449E" w:rsidRPr="0042374A" w:rsidRDefault="00CD449E" w:rsidP="0042374A">
          <w:pPr>
            <w:jc w:val="center"/>
            <w:rPr>
              <w:rFonts w:ascii="Arial" w:hAnsi="Arial" w:cs="Arial"/>
              <w:sz w:val="15"/>
              <w:szCs w:val="15"/>
              <w:lang w:eastAsia="es-AR"/>
            </w:rPr>
          </w:pPr>
        </w:p>
      </w:tc>
      <w:tc>
        <w:tcPr>
          <w:tcW w:w="312" w:type="pct"/>
          <w:tcBorders>
            <w:top w:val="nil"/>
            <w:left w:val="nil"/>
            <w:bottom w:val="nil"/>
            <w:right w:val="nil"/>
          </w:tcBorders>
          <w:shd w:val="clear" w:color="auto" w:fill="auto"/>
          <w:noWrap/>
          <w:vAlign w:val="bottom"/>
        </w:tcPr>
        <w:p w14:paraId="48258DD2" w14:textId="77777777" w:rsidR="00CD449E" w:rsidRPr="0042374A" w:rsidRDefault="00CD449E" w:rsidP="0042374A">
          <w:pPr>
            <w:jc w:val="center"/>
            <w:rPr>
              <w:rFonts w:ascii="Arial" w:hAnsi="Arial" w:cs="Arial"/>
              <w:color w:val="000000"/>
              <w:sz w:val="15"/>
              <w:szCs w:val="15"/>
              <w:lang w:eastAsia="es-AR"/>
            </w:rPr>
          </w:pPr>
        </w:p>
      </w:tc>
    </w:tr>
    <w:tr w:rsidR="00CD449E" w:rsidRPr="002648BD" w14:paraId="6EF67D08" w14:textId="77777777" w:rsidTr="0042374A">
      <w:trPr>
        <w:trHeight w:val="180"/>
      </w:trPr>
      <w:tc>
        <w:tcPr>
          <w:tcW w:w="1155" w:type="pct"/>
          <w:tcBorders>
            <w:top w:val="nil"/>
            <w:left w:val="nil"/>
            <w:bottom w:val="nil"/>
            <w:right w:val="nil"/>
          </w:tcBorders>
          <w:shd w:val="clear" w:color="auto" w:fill="auto"/>
          <w:noWrap/>
          <w:vAlign w:val="bottom"/>
        </w:tcPr>
        <w:p w14:paraId="20D51830" w14:textId="77777777" w:rsidR="00CD449E" w:rsidRPr="00DA23BA" w:rsidRDefault="00CD449E" w:rsidP="0042374A">
          <w:pPr>
            <w:jc w:val="center"/>
            <w:rPr>
              <w:rFonts w:ascii="Arial" w:hAnsi="Arial" w:cs="Arial"/>
              <w:sz w:val="15"/>
              <w:szCs w:val="15"/>
              <w:lang w:eastAsia="es-AR"/>
            </w:rPr>
          </w:pPr>
        </w:p>
      </w:tc>
      <w:tc>
        <w:tcPr>
          <w:tcW w:w="74" w:type="pct"/>
          <w:tcBorders>
            <w:top w:val="nil"/>
            <w:left w:val="nil"/>
            <w:bottom w:val="nil"/>
            <w:right w:val="nil"/>
          </w:tcBorders>
          <w:shd w:val="clear" w:color="auto" w:fill="auto"/>
          <w:noWrap/>
          <w:vAlign w:val="bottom"/>
        </w:tcPr>
        <w:p w14:paraId="2A0DA7EE" w14:textId="77777777" w:rsidR="00CD449E" w:rsidRPr="00DA23BA" w:rsidRDefault="00CD449E" w:rsidP="0042374A">
          <w:pPr>
            <w:jc w:val="center"/>
            <w:rPr>
              <w:rFonts w:ascii="Arial" w:hAnsi="Arial" w:cs="Arial"/>
              <w:sz w:val="15"/>
              <w:szCs w:val="15"/>
              <w:lang w:eastAsia="es-AR"/>
            </w:rPr>
          </w:pPr>
        </w:p>
      </w:tc>
      <w:tc>
        <w:tcPr>
          <w:tcW w:w="794" w:type="pct"/>
          <w:tcBorders>
            <w:top w:val="nil"/>
            <w:left w:val="nil"/>
            <w:bottom w:val="nil"/>
            <w:right w:val="nil"/>
          </w:tcBorders>
          <w:shd w:val="clear" w:color="auto" w:fill="auto"/>
          <w:noWrap/>
          <w:vAlign w:val="bottom"/>
        </w:tcPr>
        <w:p w14:paraId="68F01BAB" w14:textId="77777777" w:rsidR="00CD449E" w:rsidRPr="00DA23BA" w:rsidRDefault="00CD449E" w:rsidP="0042374A">
          <w:pPr>
            <w:jc w:val="center"/>
            <w:rPr>
              <w:rFonts w:ascii="Arial" w:hAnsi="Arial" w:cs="Arial"/>
              <w:sz w:val="15"/>
              <w:szCs w:val="15"/>
              <w:lang w:eastAsia="es-AR"/>
            </w:rPr>
          </w:pPr>
          <w:r>
            <w:rPr>
              <w:rFonts w:ascii="Arial" w:hAnsi="Arial" w:cs="Arial"/>
              <w:sz w:val="15"/>
              <w:szCs w:val="15"/>
              <w:lang w:eastAsia="es-AR"/>
            </w:rPr>
            <w:t xml:space="preserve">- </w:t>
          </w:r>
          <w:r w:rsidRPr="00A76E3D">
            <w:rPr>
              <w:rFonts w:ascii="Arial" w:hAnsi="Arial" w:cs="Arial"/>
              <w:sz w:val="15"/>
              <w:szCs w:val="15"/>
              <w:lang w:eastAsia="es-AR"/>
            </w:rPr>
            <w:fldChar w:fldCharType="begin"/>
          </w:r>
          <w:r w:rsidRPr="00A76E3D">
            <w:rPr>
              <w:rFonts w:ascii="Arial" w:hAnsi="Arial" w:cs="Arial"/>
              <w:sz w:val="15"/>
              <w:szCs w:val="15"/>
              <w:lang w:eastAsia="es-AR"/>
            </w:rPr>
            <w:instrText xml:space="preserve"> PAGE   \* MERGEFORMAT </w:instrText>
          </w:r>
          <w:r w:rsidRPr="00A76E3D">
            <w:rPr>
              <w:rFonts w:ascii="Arial" w:hAnsi="Arial" w:cs="Arial"/>
              <w:sz w:val="15"/>
              <w:szCs w:val="15"/>
              <w:lang w:eastAsia="es-AR"/>
            </w:rPr>
            <w:fldChar w:fldCharType="separate"/>
          </w:r>
          <w:r>
            <w:rPr>
              <w:rFonts w:ascii="Arial" w:hAnsi="Arial" w:cs="Arial"/>
              <w:sz w:val="15"/>
              <w:szCs w:val="15"/>
              <w:lang w:eastAsia="es-AR"/>
            </w:rPr>
            <w:t>111</w:t>
          </w:r>
          <w:r w:rsidRPr="00A76E3D">
            <w:rPr>
              <w:rFonts w:ascii="Arial" w:hAnsi="Arial" w:cs="Arial"/>
              <w:sz w:val="15"/>
              <w:szCs w:val="15"/>
              <w:lang w:eastAsia="es-AR"/>
            </w:rPr>
            <w:fldChar w:fldCharType="end"/>
          </w:r>
          <w:r>
            <w:rPr>
              <w:rFonts w:ascii="Arial" w:hAnsi="Arial" w:cs="Arial"/>
              <w:sz w:val="15"/>
              <w:szCs w:val="15"/>
              <w:lang w:eastAsia="es-AR"/>
            </w:rPr>
            <w:t xml:space="preserve"> - </w:t>
          </w:r>
        </w:p>
      </w:tc>
      <w:tc>
        <w:tcPr>
          <w:tcW w:w="74" w:type="pct"/>
          <w:tcBorders>
            <w:top w:val="nil"/>
            <w:left w:val="nil"/>
            <w:bottom w:val="nil"/>
            <w:right w:val="nil"/>
          </w:tcBorders>
          <w:shd w:val="clear" w:color="auto" w:fill="auto"/>
          <w:noWrap/>
          <w:vAlign w:val="bottom"/>
        </w:tcPr>
        <w:p w14:paraId="5E625087" w14:textId="77777777" w:rsidR="00CD449E" w:rsidRPr="00DA23BA" w:rsidRDefault="00CD449E" w:rsidP="0042374A">
          <w:pPr>
            <w:jc w:val="center"/>
            <w:rPr>
              <w:rFonts w:ascii="Arial" w:hAnsi="Arial" w:cs="Arial"/>
              <w:sz w:val="15"/>
              <w:szCs w:val="15"/>
              <w:lang w:eastAsia="es-AR"/>
            </w:rPr>
          </w:pPr>
        </w:p>
      </w:tc>
      <w:tc>
        <w:tcPr>
          <w:tcW w:w="2590" w:type="pct"/>
          <w:tcBorders>
            <w:top w:val="nil"/>
            <w:left w:val="nil"/>
            <w:bottom w:val="nil"/>
            <w:right w:val="nil"/>
          </w:tcBorders>
          <w:shd w:val="clear" w:color="auto" w:fill="auto"/>
          <w:noWrap/>
          <w:vAlign w:val="bottom"/>
        </w:tcPr>
        <w:p w14:paraId="7CB829F9" w14:textId="77777777" w:rsidR="00CD449E" w:rsidRPr="00DA23BA" w:rsidRDefault="00CD449E" w:rsidP="0042374A">
          <w:pPr>
            <w:jc w:val="center"/>
            <w:rPr>
              <w:rFonts w:ascii="Arial" w:hAnsi="Arial" w:cs="Arial"/>
              <w:sz w:val="15"/>
              <w:szCs w:val="15"/>
              <w:lang w:eastAsia="es-AR"/>
            </w:rPr>
          </w:pPr>
        </w:p>
      </w:tc>
      <w:tc>
        <w:tcPr>
          <w:tcW w:w="312" w:type="pct"/>
          <w:tcBorders>
            <w:top w:val="nil"/>
            <w:left w:val="nil"/>
            <w:bottom w:val="nil"/>
            <w:right w:val="nil"/>
          </w:tcBorders>
          <w:shd w:val="clear" w:color="auto" w:fill="auto"/>
          <w:noWrap/>
          <w:vAlign w:val="bottom"/>
        </w:tcPr>
        <w:p w14:paraId="402F3AFB" w14:textId="77777777" w:rsidR="00CD449E" w:rsidRPr="00DA23BA" w:rsidRDefault="00CD449E" w:rsidP="0042374A">
          <w:pPr>
            <w:jc w:val="center"/>
            <w:rPr>
              <w:rFonts w:ascii="Arial" w:hAnsi="Arial" w:cs="Arial"/>
              <w:color w:val="000000"/>
              <w:sz w:val="15"/>
              <w:szCs w:val="15"/>
              <w:lang w:eastAsia="es-AR"/>
            </w:rPr>
          </w:pPr>
        </w:p>
      </w:tc>
    </w:tr>
  </w:tbl>
  <w:p w14:paraId="22DB6FDF" w14:textId="77777777" w:rsidR="00CD449E" w:rsidRPr="00BA218C" w:rsidRDefault="00CD449E" w:rsidP="00E05C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C5F90" w14:textId="77777777" w:rsidR="00CD449E" w:rsidRDefault="00CD449E">
      <w:pPr>
        <w:rPr>
          <w:sz w:val="23"/>
          <w:szCs w:val="23"/>
        </w:rPr>
      </w:pPr>
      <w:r>
        <w:rPr>
          <w:sz w:val="23"/>
          <w:szCs w:val="23"/>
        </w:rPr>
        <w:separator/>
      </w:r>
    </w:p>
  </w:footnote>
  <w:footnote w:type="continuationSeparator" w:id="0">
    <w:p w14:paraId="738DAA18" w14:textId="77777777" w:rsidR="00CD449E" w:rsidRDefault="00CD449E">
      <w:pPr>
        <w:rPr>
          <w:sz w:val="23"/>
          <w:szCs w:val="23"/>
        </w:rPr>
      </w:pPr>
      <w:r>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4FB16" w14:textId="77777777" w:rsidR="00CD449E" w:rsidRDefault="00CD449E" w:rsidP="00C80859">
    <w:pPr>
      <w:pStyle w:val="Encabezado"/>
      <w:jc w:val="right"/>
      <w:rPr>
        <w:rFonts w:ascii="Arial" w:hAnsi="Arial" w:cs="Arial"/>
        <w:sz w:val="20"/>
      </w:rPr>
    </w:pPr>
    <w:r w:rsidRPr="009042A8">
      <w:rPr>
        <w:rFonts w:ascii="Arial" w:hAnsi="Arial" w:cs="Arial"/>
        <w:noProof/>
        <w:sz w:val="20"/>
        <w:lang w:eastAsia="es-AR"/>
      </w:rPr>
      <w:drawing>
        <wp:inline distT="0" distB="0" distL="0" distR="0" wp14:anchorId="23C51B95" wp14:editId="5BBFDA80">
          <wp:extent cx="1027130" cy="452633"/>
          <wp:effectExtent l="19050" t="0" r="157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9E136C9" w14:textId="77777777" w:rsidR="00CD449E" w:rsidRDefault="00CD449E">
    <w:pPr>
      <w:pStyle w:val="Encabezado"/>
      <w:rPr>
        <w:rFonts w:ascii="Arial" w:hAnsi="Arial" w:cs="Arial"/>
        <w:sz w:val="20"/>
      </w:rPr>
    </w:pPr>
  </w:p>
  <w:p w14:paraId="5FFF94E9" w14:textId="77777777" w:rsidR="00CD449E" w:rsidRDefault="00CD449E">
    <w:pPr>
      <w:pStyle w:val="Encabezado"/>
      <w:rPr>
        <w:rFonts w:ascii="Arial" w:hAnsi="Arial" w:cs="Arial"/>
        <w:sz w:val="20"/>
      </w:rPr>
    </w:pPr>
  </w:p>
  <w:p w14:paraId="6B008AF4" w14:textId="77777777" w:rsidR="00CD449E" w:rsidRDefault="00CD449E">
    <w:pPr>
      <w:pStyle w:val="Encabezado"/>
      <w:rPr>
        <w:rFonts w:ascii="Arial" w:hAnsi="Arial" w:cs="Arial"/>
        <w:sz w:val="20"/>
      </w:rPr>
    </w:pPr>
  </w:p>
  <w:p w14:paraId="0EDFAA74" w14:textId="77777777" w:rsidR="00CD449E" w:rsidRDefault="00CD449E">
    <w:pPr>
      <w:pStyle w:val="Encabezado"/>
      <w:rPr>
        <w:rFonts w:ascii="Arial" w:hAnsi="Arial" w:cs="Arial"/>
        <w:sz w:val="20"/>
      </w:rPr>
    </w:pPr>
  </w:p>
  <w:p w14:paraId="359AE8B3" w14:textId="77777777" w:rsidR="00CD449E" w:rsidRPr="00A97183" w:rsidRDefault="00CD449E">
    <w:pPr>
      <w:pStyle w:val="Encabezado"/>
      <w:rPr>
        <w:rFonts w:ascii="Arial" w:hAnsi="Arial" w:cs="Arial"/>
        <w:sz w:val="20"/>
      </w:rPr>
    </w:pPr>
  </w:p>
  <w:p w14:paraId="12DDFC96" w14:textId="77777777" w:rsidR="00CD449E" w:rsidRPr="00A97183" w:rsidRDefault="00CD449E">
    <w:pPr>
      <w:pStyle w:val="Encabezado"/>
      <w:rPr>
        <w:rFonts w:ascii="Arial" w:hAnsi="Arial" w:cs="Arial"/>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9AAE0" w14:textId="77777777" w:rsidR="00CD449E" w:rsidRDefault="00CD449E">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5BA8E" w14:textId="77777777" w:rsidR="00CD449E" w:rsidRDefault="00CD449E" w:rsidP="00CE18EC">
    <w:pPr>
      <w:tabs>
        <w:tab w:val="right" w:pos="9214"/>
      </w:tabs>
      <w:ind w:left="142" w:hanging="142"/>
      <w:jc w:val="right"/>
      <w:rPr>
        <w:rFonts w:ascii="Arial" w:hAnsi="Arial" w:cs="Arial"/>
        <w:b/>
        <w:sz w:val="20"/>
        <w:lang w:val="pt-BR"/>
      </w:rPr>
    </w:pPr>
    <w:r w:rsidRPr="0086282C">
      <w:rPr>
        <w:rFonts w:ascii="Arial" w:hAnsi="Arial" w:cs="Arial"/>
        <w:b/>
        <w:noProof/>
        <w:sz w:val="20"/>
        <w:lang w:eastAsia="es-AR"/>
      </w:rPr>
      <w:drawing>
        <wp:inline distT="0" distB="0" distL="0" distR="0" wp14:anchorId="6C2BDBC1" wp14:editId="699A6236">
          <wp:extent cx="1027130" cy="452633"/>
          <wp:effectExtent l="19050" t="0" r="1570" b="0"/>
          <wp:docPr id="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6152BE23" w14:textId="77777777" w:rsidR="00CD449E" w:rsidRDefault="00CD449E" w:rsidP="00CE18EC">
    <w:pPr>
      <w:pStyle w:val="2Ttulo"/>
      <w:rPr>
        <w:rFonts w:ascii="Arial" w:hAnsi="Arial" w:cs="Arial"/>
        <w:sz w:val="20"/>
      </w:rPr>
    </w:pPr>
  </w:p>
  <w:p w14:paraId="3E553BED" w14:textId="77777777" w:rsidR="00CD449E" w:rsidRDefault="00CD449E" w:rsidP="00CE18EC">
    <w:pPr>
      <w:pStyle w:val="2Ttulo"/>
      <w:rPr>
        <w:rFonts w:ascii="Arial" w:hAnsi="Arial" w:cs="Arial"/>
        <w:sz w:val="20"/>
      </w:rPr>
    </w:pPr>
  </w:p>
  <w:p w14:paraId="66E8CC8F" w14:textId="109493B3" w:rsidR="00CD449E" w:rsidRDefault="00CD449E" w:rsidP="00CE18EC">
    <w:pPr>
      <w:pStyle w:val="2Ttulo"/>
      <w:rPr>
        <w:rFonts w:ascii="Arial" w:hAnsi="Arial" w:cs="Arial"/>
        <w:sz w:val="20"/>
      </w:rPr>
    </w:pPr>
    <w:r w:rsidRPr="000C455E">
      <w:rPr>
        <w:rFonts w:ascii="Arial" w:hAnsi="Arial" w:cs="Arial"/>
        <w:sz w:val="20"/>
      </w:rPr>
      <w:t xml:space="preserve">NOTAS A LOS ESTADOS </w:t>
    </w:r>
    <w:r>
      <w:rPr>
        <w:rFonts w:ascii="Arial" w:hAnsi="Arial" w:cs="Arial"/>
        <w:sz w:val="20"/>
      </w:rPr>
      <w:t xml:space="preserve">FINANCIEROS CONSOLIDADOS </w:t>
    </w:r>
  </w:p>
  <w:p w14:paraId="0BFC8582" w14:textId="6D38B76C" w:rsidR="00CD449E" w:rsidRPr="000C455E" w:rsidRDefault="00CD449E" w:rsidP="00CE18EC">
    <w:pPr>
      <w:pStyle w:val="2Ttulo"/>
      <w:rPr>
        <w:rFonts w:ascii="Arial" w:hAnsi="Arial" w:cs="Arial"/>
        <w:b w:val="0"/>
        <w:sz w:val="20"/>
      </w:rPr>
    </w:pPr>
    <w:r>
      <w:rPr>
        <w:rFonts w:ascii="Arial" w:hAnsi="Arial" w:cs="Arial"/>
        <w:sz w:val="20"/>
      </w:rPr>
      <w:t xml:space="preserve"> AL 31</w:t>
    </w:r>
    <w:r w:rsidRPr="000C455E">
      <w:rPr>
        <w:rFonts w:ascii="Arial" w:hAnsi="Arial" w:cs="Arial"/>
        <w:sz w:val="20"/>
      </w:rPr>
      <w:t xml:space="preserve"> DE </w:t>
    </w:r>
    <w:r>
      <w:rPr>
        <w:rFonts w:ascii="Arial" w:hAnsi="Arial" w:cs="Arial"/>
        <w:sz w:val="20"/>
      </w:rPr>
      <w:t>DICIEMBRE DE 2019</w:t>
    </w:r>
  </w:p>
  <w:p w14:paraId="719A93DB" w14:textId="77777777" w:rsidR="00CD449E" w:rsidRPr="006426AF" w:rsidRDefault="00CD449E" w:rsidP="00CE18EC">
    <w:pPr>
      <w:pStyle w:val="2Ttulo"/>
      <w:rPr>
        <w:rFonts w:ascii="Arial" w:hAnsi="Arial" w:cs="Arial"/>
        <w:b w:val="0"/>
        <w:sz w:val="16"/>
        <w:szCs w:val="16"/>
        <w:lang w:val="es-ES_tradnl"/>
      </w:rPr>
    </w:pPr>
    <w:r w:rsidRPr="006426AF">
      <w:rPr>
        <w:rFonts w:ascii="Arial" w:hAnsi="Arial" w:cs="Arial"/>
        <w:b w:val="0"/>
        <w:sz w:val="16"/>
        <w:szCs w:val="16"/>
        <w:lang w:val="es-ES_tradnl"/>
      </w:rPr>
      <w:t>Presentadas en forma comparativa</w:t>
    </w:r>
  </w:p>
  <w:p w14:paraId="52272B46" w14:textId="77777777" w:rsidR="00CD449E" w:rsidRDefault="00CD449E" w:rsidP="00CE18EC">
    <w:pPr>
      <w:pStyle w:val="2Ttulo"/>
      <w:rPr>
        <w:rFonts w:ascii="Arial" w:hAnsi="Arial" w:cs="Arial"/>
        <w:b w:val="0"/>
        <w:sz w:val="16"/>
        <w:szCs w:val="16"/>
      </w:rPr>
    </w:pPr>
    <w:r w:rsidRPr="006426AF">
      <w:rPr>
        <w:rFonts w:ascii="Arial" w:hAnsi="Arial" w:cs="Arial"/>
        <w:b w:val="0"/>
        <w:sz w:val="16"/>
        <w:szCs w:val="16"/>
      </w:rPr>
      <w:t xml:space="preserve"> (Cifras expresadas en miles de pesos)</w:t>
    </w:r>
  </w:p>
  <w:p w14:paraId="43B3F9DE" w14:textId="77777777" w:rsidR="00CD449E" w:rsidRPr="002F4872" w:rsidRDefault="00CD449E" w:rsidP="00CE18EC">
    <w:pPr>
      <w:pStyle w:val="Encabezado"/>
      <w:jc w:val="center"/>
      <w:rPr>
        <w:rFonts w:ascii="Arial" w:hAnsi="Arial" w:cs="Arial"/>
        <w:sz w:val="20"/>
      </w:rPr>
    </w:pPr>
  </w:p>
  <w:p w14:paraId="6A858087" w14:textId="77777777" w:rsidR="00CD449E" w:rsidRPr="002F4872" w:rsidRDefault="00CD449E" w:rsidP="00CE18EC">
    <w:pPr>
      <w:pStyle w:val="Encabezado"/>
      <w:jc w:val="center"/>
      <w:rPr>
        <w:rFonts w:ascii="Arial" w:hAnsi="Arial" w:cs="Arial"/>
        <w:sz w:val="20"/>
        <w:lang w:val="es-ES"/>
      </w:rPr>
    </w:pPr>
  </w:p>
  <w:p w14:paraId="1EA0B4CE" w14:textId="77777777" w:rsidR="00CD449E" w:rsidRPr="005E5441" w:rsidRDefault="00CD449E" w:rsidP="002374F8">
    <w:pPr>
      <w:pStyle w:val="2Ttulo"/>
      <w:jc w:val="left"/>
      <w:rPr>
        <w:rFonts w:ascii="Arial" w:hAnsi="Arial" w:cs="Arial"/>
        <w:b w:val="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42A65" w14:textId="77777777" w:rsidR="00CD449E" w:rsidRDefault="00CD449E">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B9D4F" w14:textId="77777777" w:rsidR="00CD449E" w:rsidRDefault="00CD449E" w:rsidP="00D458EF">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56EF842" wp14:editId="7D36BE36">
          <wp:extent cx="1027130" cy="452633"/>
          <wp:effectExtent l="19050" t="0" r="1570" b="0"/>
          <wp:docPr id="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44EAFCC" w14:textId="3151A0B3" w:rsidR="00CD449E" w:rsidRDefault="00CD449E" w:rsidP="00326935">
    <w:pPr>
      <w:tabs>
        <w:tab w:val="right" w:pos="9214"/>
      </w:tabs>
      <w:rPr>
        <w:rFonts w:ascii="Arial" w:hAnsi="Arial" w:cs="Arial"/>
        <w:b/>
        <w:sz w:val="20"/>
        <w:lang w:val="es-ES_tradnl"/>
      </w:rPr>
    </w:pPr>
    <w:r>
      <w:rPr>
        <w:rFonts w:ascii="Arial" w:hAnsi="Arial" w:cs="Arial"/>
        <w:b/>
        <w:sz w:val="20"/>
        <w:lang w:val="es-ES_tradnl"/>
      </w:rPr>
      <w:t xml:space="preserve">ANEXO B </w:t>
    </w:r>
  </w:p>
  <w:p w14:paraId="69BB059D" w14:textId="77777777" w:rsidR="00CD449E" w:rsidRDefault="00CD449E" w:rsidP="00D458EF">
    <w:pPr>
      <w:tabs>
        <w:tab w:val="right" w:pos="9214"/>
      </w:tabs>
      <w:jc w:val="right"/>
      <w:rPr>
        <w:rFonts w:ascii="Arial" w:hAnsi="Arial" w:cs="Arial"/>
        <w:b/>
        <w:sz w:val="20"/>
        <w:lang w:val="es-ES_tradnl"/>
      </w:rPr>
    </w:pPr>
  </w:p>
  <w:p w14:paraId="46D35670" w14:textId="164F1C6B" w:rsidR="00CD449E" w:rsidRPr="009040E3" w:rsidRDefault="00CD449E" w:rsidP="00326935">
    <w:pPr>
      <w:pStyle w:val="Encabezado"/>
      <w:jc w:val="center"/>
      <w:rPr>
        <w:rFonts w:ascii="Arial" w:hAnsi="Arial" w:cs="Arial"/>
        <w:b/>
        <w:sz w:val="20"/>
        <w:lang w:val="es-ES_tradnl"/>
      </w:rPr>
    </w:pPr>
    <w:r>
      <w:rPr>
        <w:rFonts w:ascii="Arial" w:hAnsi="Arial" w:cs="Arial"/>
        <w:b/>
        <w:sz w:val="20"/>
        <w:lang w:val="es-ES_tradnl"/>
      </w:rPr>
      <w:t>CLASIFICACIÓN DE PRÉSTAMOS Y OTRAS FINANCIACIONES POR SITUACIÓN Y GARANTIAS RECIBIDAS CONSOLIDADO</w:t>
    </w:r>
  </w:p>
  <w:p w14:paraId="34A7F0F0" w14:textId="1BFB6173" w:rsidR="00CD449E" w:rsidRPr="009040E3" w:rsidRDefault="00CD449E" w:rsidP="00326935">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29D2F065" w14:textId="77777777" w:rsidR="00CD449E" w:rsidRPr="009040E3" w:rsidRDefault="00CD449E" w:rsidP="00326935">
    <w:pPr>
      <w:pStyle w:val="Encabezado"/>
      <w:jc w:val="center"/>
      <w:rPr>
        <w:rFonts w:ascii="Arial" w:hAnsi="Arial" w:cs="Arial"/>
        <w:sz w:val="16"/>
        <w:szCs w:val="16"/>
        <w:lang w:val="es-ES"/>
      </w:rPr>
    </w:pPr>
    <w:r w:rsidRPr="009040E3">
      <w:rPr>
        <w:rFonts w:ascii="Arial" w:hAnsi="Arial" w:cs="Arial"/>
        <w:sz w:val="16"/>
        <w:szCs w:val="16"/>
        <w:lang w:val="es-ES"/>
      </w:rPr>
      <w:t>(Cifras expresadas en miles de pesos)</w:t>
    </w:r>
  </w:p>
  <w:p w14:paraId="1C5D17ED" w14:textId="77777777" w:rsidR="00CD449E" w:rsidRPr="00F941DB" w:rsidRDefault="00CD449E" w:rsidP="00326935">
    <w:pPr>
      <w:pStyle w:val="Encabezado"/>
      <w:jc w:val="center"/>
      <w:rPr>
        <w:rFonts w:ascii="Arial" w:hAnsi="Arial" w:cs="Arial"/>
        <w:sz w:val="20"/>
        <w:lang w:val="es-ES"/>
      </w:rPr>
    </w:pPr>
  </w:p>
  <w:p w14:paraId="3A6BB2A5" w14:textId="77777777" w:rsidR="00CD449E" w:rsidRPr="00F941DB" w:rsidRDefault="00CD449E" w:rsidP="00F941DB">
    <w:pPr>
      <w:pStyle w:val="2Ttulo"/>
      <w:jc w:val="left"/>
      <w:rPr>
        <w:rFonts w:ascii="Arial" w:hAnsi="Arial" w:cs="Arial"/>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DECDA" w14:textId="77777777" w:rsidR="00CD449E" w:rsidRDefault="00CD449E" w:rsidP="00D458EF">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69512759" wp14:editId="695F5D7E">
          <wp:extent cx="1027130" cy="452633"/>
          <wp:effectExtent l="19050" t="0" r="157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60449A6" w14:textId="14B37E08" w:rsidR="00CD449E" w:rsidRDefault="00CD449E" w:rsidP="00326935">
    <w:pPr>
      <w:tabs>
        <w:tab w:val="right" w:pos="9214"/>
      </w:tabs>
      <w:rPr>
        <w:rFonts w:ascii="Arial" w:hAnsi="Arial" w:cs="Arial"/>
        <w:b/>
        <w:sz w:val="20"/>
        <w:lang w:val="es-ES_tradnl"/>
      </w:rPr>
    </w:pPr>
    <w:r>
      <w:rPr>
        <w:rFonts w:ascii="Arial" w:hAnsi="Arial" w:cs="Arial"/>
        <w:b/>
        <w:sz w:val="20"/>
        <w:lang w:val="es-ES_tradnl"/>
      </w:rPr>
      <w:t xml:space="preserve">ANEXO C </w:t>
    </w:r>
  </w:p>
  <w:p w14:paraId="44F6A796" w14:textId="77777777" w:rsidR="00CD449E" w:rsidRDefault="00CD449E" w:rsidP="00326935">
    <w:pPr>
      <w:tabs>
        <w:tab w:val="right" w:pos="9214"/>
      </w:tabs>
      <w:rPr>
        <w:rFonts w:ascii="Arial" w:hAnsi="Arial" w:cs="Arial"/>
        <w:b/>
        <w:sz w:val="20"/>
        <w:lang w:val="es-ES_tradnl"/>
      </w:rPr>
    </w:pPr>
  </w:p>
  <w:p w14:paraId="3F8D931C" w14:textId="7401EC17" w:rsidR="00CD449E" w:rsidRPr="009040E3" w:rsidRDefault="00CD449E" w:rsidP="00326935">
    <w:pPr>
      <w:pStyle w:val="Encabezado"/>
      <w:jc w:val="center"/>
      <w:rPr>
        <w:rFonts w:ascii="Arial" w:hAnsi="Arial" w:cs="Arial"/>
        <w:b/>
        <w:sz w:val="20"/>
        <w:lang w:val="es-ES_tradnl"/>
      </w:rPr>
    </w:pPr>
    <w:r>
      <w:rPr>
        <w:rFonts w:ascii="Arial" w:hAnsi="Arial" w:cs="Arial"/>
        <w:b/>
        <w:sz w:val="20"/>
        <w:lang w:val="es-ES_tradnl"/>
      </w:rPr>
      <w:t>CONCENTRACIÓN DE PRESTAMOS Y OTRAS FINANCIACIONES CONSOLIDADO</w:t>
    </w:r>
  </w:p>
  <w:p w14:paraId="35516407" w14:textId="31B80329" w:rsidR="00CD449E" w:rsidRPr="009040E3" w:rsidRDefault="00CD449E" w:rsidP="00326935">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0E7725A1" w14:textId="77777777" w:rsidR="00CD449E" w:rsidRPr="009040E3" w:rsidRDefault="00CD449E" w:rsidP="00326935">
    <w:pPr>
      <w:pStyle w:val="Encabezado"/>
      <w:jc w:val="center"/>
      <w:rPr>
        <w:rFonts w:ascii="Arial" w:hAnsi="Arial" w:cs="Arial"/>
        <w:sz w:val="16"/>
        <w:szCs w:val="16"/>
        <w:lang w:val="es-ES"/>
      </w:rPr>
    </w:pPr>
    <w:r w:rsidRPr="009040E3">
      <w:rPr>
        <w:rFonts w:ascii="Arial" w:hAnsi="Arial" w:cs="Arial"/>
        <w:sz w:val="16"/>
        <w:szCs w:val="16"/>
        <w:lang w:val="es-ES"/>
      </w:rPr>
      <w:t>(Cifras expresadas en miles de pesos)</w:t>
    </w:r>
  </w:p>
  <w:p w14:paraId="0BEB571A" w14:textId="77777777" w:rsidR="00CD449E" w:rsidRPr="00F941DB" w:rsidRDefault="00CD449E" w:rsidP="00326935">
    <w:pPr>
      <w:pStyle w:val="Encabezado"/>
      <w:jc w:val="center"/>
      <w:rPr>
        <w:rFonts w:ascii="Arial" w:hAnsi="Arial" w:cs="Arial"/>
        <w:sz w:val="20"/>
        <w:lang w:val="es-ES"/>
      </w:rPr>
    </w:pPr>
  </w:p>
  <w:p w14:paraId="5E792A1B" w14:textId="77777777" w:rsidR="00CD449E" w:rsidRPr="00F941DB" w:rsidRDefault="00CD449E" w:rsidP="00F941DB">
    <w:pPr>
      <w:pStyle w:val="2Ttulo"/>
      <w:jc w:val="left"/>
      <w:rPr>
        <w:rFonts w:ascii="Arial" w:hAnsi="Arial" w:cs="Arial"/>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7327F" w14:textId="77777777" w:rsidR="00CD449E" w:rsidRDefault="00CD449E" w:rsidP="00D458EF">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82C0D56" wp14:editId="0D086F7E">
          <wp:extent cx="1027130" cy="452633"/>
          <wp:effectExtent l="19050" t="0" r="1570" b="0"/>
          <wp:docPr id="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695B8FCE" w14:textId="77777777" w:rsidR="00CD449E" w:rsidRDefault="00CD449E" w:rsidP="006F0EDD">
    <w:pPr>
      <w:tabs>
        <w:tab w:val="right" w:pos="9214"/>
      </w:tabs>
      <w:rPr>
        <w:rFonts w:ascii="Arial" w:hAnsi="Arial" w:cs="Arial"/>
        <w:b/>
        <w:sz w:val="20"/>
        <w:lang w:val="es-ES_tradnl"/>
      </w:rPr>
    </w:pPr>
    <w:r>
      <w:rPr>
        <w:rFonts w:ascii="Arial" w:hAnsi="Arial" w:cs="Arial"/>
        <w:b/>
        <w:sz w:val="20"/>
        <w:lang w:val="es-ES_tradnl"/>
      </w:rPr>
      <w:t>ANEXO D</w:t>
    </w:r>
  </w:p>
  <w:p w14:paraId="78A8BEEE" w14:textId="77777777" w:rsidR="00CD449E" w:rsidRDefault="00CD449E" w:rsidP="006F0EDD">
    <w:pPr>
      <w:tabs>
        <w:tab w:val="right" w:pos="9214"/>
      </w:tabs>
      <w:jc w:val="right"/>
      <w:rPr>
        <w:rFonts w:ascii="Arial" w:hAnsi="Arial" w:cs="Arial"/>
        <w:b/>
        <w:sz w:val="20"/>
        <w:lang w:val="es-ES_tradnl"/>
      </w:rPr>
    </w:pPr>
  </w:p>
  <w:p w14:paraId="7CB19C48" w14:textId="2BCCCD38" w:rsidR="00CD449E" w:rsidRPr="009040E3" w:rsidRDefault="00CD449E" w:rsidP="006F0EDD">
    <w:pPr>
      <w:pStyle w:val="Encabezado"/>
      <w:jc w:val="center"/>
      <w:rPr>
        <w:rFonts w:ascii="Arial" w:hAnsi="Arial" w:cs="Arial"/>
        <w:b/>
        <w:sz w:val="20"/>
        <w:lang w:val="es-ES_tradnl"/>
      </w:rPr>
    </w:pPr>
    <w:r>
      <w:rPr>
        <w:rFonts w:ascii="Arial" w:hAnsi="Arial" w:cs="Arial"/>
        <w:b/>
        <w:sz w:val="20"/>
        <w:lang w:val="es-ES_tradnl"/>
      </w:rPr>
      <w:t>APERTURA</w:t>
    </w:r>
    <w:r w:rsidRPr="009040E3">
      <w:rPr>
        <w:rFonts w:ascii="Arial" w:hAnsi="Arial" w:cs="Arial"/>
        <w:b/>
        <w:sz w:val="20"/>
        <w:lang w:val="es-ES_tradnl"/>
      </w:rPr>
      <w:t xml:space="preserve"> POR PLAZO</w:t>
    </w:r>
    <w:r>
      <w:rPr>
        <w:rFonts w:ascii="Arial" w:hAnsi="Arial" w:cs="Arial"/>
        <w:b/>
        <w:sz w:val="20"/>
        <w:lang w:val="es-ES_tradnl"/>
      </w:rPr>
      <w:t>S</w:t>
    </w:r>
    <w:r w:rsidRPr="009040E3">
      <w:rPr>
        <w:rFonts w:ascii="Arial" w:hAnsi="Arial" w:cs="Arial"/>
        <w:b/>
        <w:sz w:val="20"/>
        <w:lang w:val="es-ES_tradnl"/>
      </w:rPr>
      <w:t xml:space="preserve"> DE </w:t>
    </w:r>
    <w:r>
      <w:rPr>
        <w:rFonts w:ascii="Arial" w:hAnsi="Arial" w:cs="Arial"/>
        <w:b/>
        <w:sz w:val="20"/>
        <w:lang w:val="es-ES_tradnl"/>
      </w:rPr>
      <w:t>PRÉSTAMOS Y OTRAS</w:t>
    </w:r>
    <w:r w:rsidRPr="009040E3">
      <w:rPr>
        <w:rFonts w:ascii="Arial" w:hAnsi="Arial" w:cs="Arial"/>
        <w:b/>
        <w:sz w:val="20"/>
        <w:lang w:val="es-ES_tradnl"/>
      </w:rPr>
      <w:t xml:space="preserve"> FINANCIACIONES</w:t>
    </w:r>
    <w:r>
      <w:rPr>
        <w:rFonts w:ascii="Arial" w:hAnsi="Arial" w:cs="Arial"/>
        <w:b/>
        <w:sz w:val="20"/>
        <w:lang w:val="es-ES_tradnl"/>
      </w:rPr>
      <w:t xml:space="preserve"> CONSOLIDADO</w:t>
    </w:r>
  </w:p>
  <w:p w14:paraId="44C55EAE" w14:textId="44A83B12" w:rsidR="00CD449E" w:rsidRPr="009040E3" w:rsidRDefault="00CD449E" w:rsidP="006F0EDD">
    <w:pPr>
      <w:pStyle w:val="Encabezado"/>
      <w:jc w:val="center"/>
      <w:rPr>
        <w:rFonts w:ascii="Arial" w:hAnsi="Arial" w:cs="Arial"/>
        <w:b/>
        <w:sz w:val="20"/>
        <w:lang w:val="es-ES_tradnl"/>
      </w:rPr>
    </w:pPr>
    <w:r>
      <w:rPr>
        <w:rFonts w:ascii="Arial" w:hAnsi="Arial" w:cs="Arial"/>
        <w:b/>
        <w:sz w:val="20"/>
        <w:lang w:val="es-ES_tradnl"/>
      </w:rPr>
      <w:t>Al 31 DE DICIEMBRE DE 2019</w:t>
    </w:r>
  </w:p>
  <w:p w14:paraId="62CE2209" w14:textId="77777777" w:rsidR="00CD449E" w:rsidRPr="009040E3" w:rsidRDefault="00CD449E" w:rsidP="006F0EDD">
    <w:pPr>
      <w:pStyle w:val="Encabezado"/>
      <w:jc w:val="center"/>
      <w:rPr>
        <w:rFonts w:ascii="Arial" w:hAnsi="Arial" w:cs="Arial"/>
        <w:sz w:val="16"/>
        <w:szCs w:val="16"/>
        <w:lang w:val="es-ES"/>
      </w:rPr>
    </w:pPr>
    <w:r w:rsidRPr="009040E3">
      <w:rPr>
        <w:rFonts w:ascii="Arial" w:hAnsi="Arial" w:cs="Arial"/>
        <w:sz w:val="16"/>
        <w:szCs w:val="16"/>
        <w:lang w:val="es-ES"/>
      </w:rPr>
      <w:t>(Cifras expresadas en miles de pesos)</w:t>
    </w:r>
  </w:p>
  <w:p w14:paraId="18FC9188" w14:textId="77777777" w:rsidR="00CD449E" w:rsidRPr="00F941DB" w:rsidRDefault="00CD449E" w:rsidP="006F0EDD">
    <w:pPr>
      <w:pStyle w:val="Encabezado"/>
      <w:jc w:val="center"/>
      <w:rPr>
        <w:rFonts w:ascii="Arial" w:hAnsi="Arial" w:cs="Arial"/>
        <w:sz w:val="20"/>
        <w:lang w:val="es-ES"/>
      </w:rPr>
    </w:pPr>
  </w:p>
  <w:p w14:paraId="6CCC0C36" w14:textId="77777777" w:rsidR="00CD449E" w:rsidRPr="00F941DB" w:rsidRDefault="00CD449E" w:rsidP="00326935">
    <w:pPr>
      <w:pStyle w:val="Encabezado"/>
      <w:jc w:val="center"/>
      <w:rPr>
        <w:rFonts w:ascii="Arial" w:hAnsi="Arial" w:cs="Arial"/>
        <w:sz w:val="20"/>
        <w:lang w:val="es-ES"/>
      </w:rPr>
    </w:pPr>
  </w:p>
  <w:p w14:paraId="6AFD73D1" w14:textId="77777777" w:rsidR="00CD449E" w:rsidRPr="00F941DB" w:rsidRDefault="00CD449E" w:rsidP="00F941DB">
    <w:pPr>
      <w:pStyle w:val="2Ttulo"/>
      <w:jc w:val="left"/>
      <w:rPr>
        <w:rFonts w:ascii="Arial" w:hAnsi="Arial" w:cs="Arial"/>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48D33" w14:textId="77777777" w:rsidR="00CD449E" w:rsidRDefault="00CD449E" w:rsidP="00D458EF">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06E7F4C7" wp14:editId="0BA62461">
          <wp:extent cx="1027130" cy="452633"/>
          <wp:effectExtent l="19050" t="0" r="1570" b="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6E7AE699" w14:textId="77777777" w:rsidR="00CD449E" w:rsidRDefault="00CD449E" w:rsidP="006F0EDD">
    <w:pPr>
      <w:tabs>
        <w:tab w:val="right" w:pos="9214"/>
      </w:tabs>
      <w:ind w:left="142" w:hanging="142"/>
      <w:rPr>
        <w:rFonts w:ascii="Arial" w:hAnsi="Arial" w:cs="Arial"/>
        <w:b/>
        <w:sz w:val="20"/>
        <w:lang w:val="es-ES_tradnl"/>
      </w:rPr>
    </w:pPr>
    <w:r w:rsidRPr="00F941DB">
      <w:rPr>
        <w:rFonts w:ascii="Arial" w:hAnsi="Arial" w:cs="Arial"/>
        <w:b/>
        <w:sz w:val="20"/>
        <w:lang w:val="es-ES_tradnl"/>
      </w:rPr>
      <w:t>ANEXO F</w:t>
    </w:r>
  </w:p>
  <w:p w14:paraId="7BED8047" w14:textId="77777777" w:rsidR="00CD449E" w:rsidRPr="00F941DB" w:rsidRDefault="00CD449E" w:rsidP="006F0EDD">
    <w:pPr>
      <w:tabs>
        <w:tab w:val="right" w:pos="9214"/>
      </w:tabs>
      <w:ind w:left="142" w:hanging="142"/>
      <w:rPr>
        <w:rFonts w:ascii="Arial" w:hAnsi="Arial" w:cs="Arial"/>
        <w:sz w:val="20"/>
        <w:lang w:val="es-ES"/>
      </w:rPr>
    </w:pPr>
  </w:p>
  <w:p w14:paraId="615F2664" w14:textId="77777777" w:rsidR="00CD449E" w:rsidRPr="00F941DB" w:rsidRDefault="00CD449E" w:rsidP="006F0EDD">
    <w:pPr>
      <w:pStyle w:val="Encabezado"/>
      <w:jc w:val="center"/>
      <w:rPr>
        <w:rFonts w:ascii="Arial" w:hAnsi="Arial" w:cs="Arial"/>
        <w:b/>
        <w:sz w:val="20"/>
        <w:lang w:val="es-ES_tradnl"/>
      </w:rPr>
    </w:pPr>
    <w:r w:rsidRPr="00F941DB">
      <w:rPr>
        <w:rFonts w:ascii="Arial" w:hAnsi="Arial" w:cs="Arial"/>
        <w:b/>
        <w:sz w:val="20"/>
        <w:lang w:val="es-ES_tradnl"/>
      </w:rPr>
      <w:t xml:space="preserve">MOVIMIENTO DE </w:t>
    </w:r>
    <w:r>
      <w:rPr>
        <w:rFonts w:ascii="Arial" w:hAnsi="Arial" w:cs="Arial"/>
        <w:b/>
        <w:sz w:val="20"/>
        <w:lang w:val="es-ES_tradnl"/>
      </w:rPr>
      <w:t>PROPIEDAD, PLANTA Y EQUIPO CONSOLIDADO</w:t>
    </w:r>
  </w:p>
  <w:p w14:paraId="1A50BB3F" w14:textId="1CFDC533" w:rsidR="00CD449E" w:rsidRPr="009040E3" w:rsidRDefault="00CD449E" w:rsidP="006F0EDD">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262C2F76" w14:textId="77777777" w:rsidR="00CD449E" w:rsidRDefault="00CD449E" w:rsidP="006F0EDD">
    <w:pPr>
      <w:pStyle w:val="Encabezado"/>
      <w:jc w:val="center"/>
      <w:rPr>
        <w:rFonts w:ascii="Arial" w:hAnsi="Arial" w:cs="Arial"/>
        <w:sz w:val="16"/>
        <w:szCs w:val="16"/>
        <w:lang w:val="es-ES"/>
      </w:rPr>
    </w:pPr>
    <w:r w:rsidRPr="00F941DB">
      <w:rPr>
        <w:rFonts w:ascii="Arial" w:hAnsi="Arial" w:cs="Arial"/>
        <w:sz w:val="20"/>
        <w:lang w:val="es-ES"/>
      </w:rPr>
      <w:t>(</w:t>
    </w:r>
    <w:r>
      <w:rPr>
        <w:rFonts w:ascii="Arial" w:hAnsi="Arial" w:cs="Arial"/>
        <w:sz w:val="16"/>
        <w:szCs w:val="16"/>
        <w:lang w:val="es-ES"/>
      </w:rPr>
      <w:t>C</w:t>
    </w:r>
    <w:r w:rsidRPr="00F941DB">
      <w:rPr>
        <w:rFonts w:ascii="Arial" w:hAnsi="Arial" w:cs="Arial"/>
        <w:sz w:val="16"/>
        <w:szCs w:val="16"/>
        <w:lang w:val="es-ES"/>
      </w:rPr>
      <w:t>ifras expresadas en miles de pesos)</w:t>
    </w:r>
  </w:p>
  <w:p w14:paraId="76DF91B6" w14:textId="77777777" w:rsidR="00CD449E" w:rsidRPr="00F941DB" w:rsidRDefault="00CD449E" w:rsidP="00326935">
    <w:pPr>
      <w:pStyle w:val="Encabezado"/>
      <w:jc w:val="center"/>
      <w:rPr>
        <w:rFonts w:ascii="Arial" w:hAnsi="Arial" w:cs="Arial"/>
        <w:sz w:val="20"/>
        <w:lang w:val="es-ES"/>
      </w:rPr>
    </w:pPr>
  </w:p>
  <w:p w14:paraId="79E5FB55" w14:textId="77777777" w:rsidR="00CD449E" w:rsidRPr="00F941DB" w:rsidRDefault="00CD449E" w:rsidP="00F941DB">
    <w:pPr>
      <w:pStyle w:val="2Ttulo"/>
      <w:jc w:val="left"/>
      <w:rPr>
        <w:rFonts w:ascii="Arial" w:hAnsi="Arial" w:cs="Arial"/>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1629" w14:textId="77777777" w:rsidR="00CD449E" w:rsidRDefault="00CD449E" w:rsidP="00D458EF">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6E1EC1BD" wp14:editId="2CFB5BA2">
          <wp:extent cx="1027130" cy="452633"/>
          <wp:effectExtent l="19050" t="0" r="1570" b="0"/>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1E78E5ED" w14:textId="77777777" w:rsidR="00CD449E" w:rsidRDefault="00CD449E" w:rsidP="006F0EDD">
    <w:pPr>
      <w:tabs>
        <w:tab w:val="right" w:pos="9214"/>
      </w:tabs>
      <w:ind w:left="142" w:hanging="142"/>
      <w:rPr>
        <w:rFonts w:ascii="Arial" w:hAnsi="Arial" w:cs="Arial"/>
        <w:b/>
        <w:sz w:val="20"/>
        <w:lang w:val="es-ES_tradnl"/>
      </w:rPr>
    </w:pPr>
    <w:r w:rsidRPr="00F941DB">
      <w:rPr>
        <w:rFonts w:ascii="Arial" w:hAnsi="Arial" w:cs="Arial"/>
        <w:b/>
        <w:sz w:val="20"/>
        <w:lang w:val="es-ES_tradnl"/>
      </w:rPr>
      <w:t>ANEXO G</w:t>
    </w:r>
  </w:p>
  <w:p w14:paraId="1F196906" w14:textId="77777777" w:rsidR="00CD449E" w:rsidRPr="00326935" w:rsidRDefault="00CD449E" w:rsidP="006F0EDD">
    <w:pPr>
      <w:tabs>
        <w:tab w:val="right" w:pos="9214"/>
      </w:tabs>
      <w:ind w:left="142" w:hanging="142"/>
      <w:jc w:val="right"/>
      <w:rPr>
        <w:rFonts w:ascii="Arial" w:hAnsi="Arial" w:cs="Arial"/>
        <w:b/>
        <w:sz w:val="20"/>
        <w:lang w:val="es-ES_tradnl"/>
      </w:rPr>
    </w:pPr>
  </w:p>
  <w:p w14:paraId="2CDEE04D" w14:textId="77777777" w:rsidR="00CD449E" w:rsidRPr="00F941DB" w:rsidRDefault="00CD449E" w:rsidP="006F0EDD">
    <w:pPr>
      <w:pStyle w:val="Encabezado"/>
      <w:jc w:val="center"/>
      <w:rPr>
        <w:rFonts w:ascii="Arial" w:hAnsi="Arial" w:cs="Arial"/>
        <w:b/>
        <w:sz w:val="20"/>
        <w:lang w:val="es-ES_tradnl"/>
      </w:rPr>
    </w:pPr>
    <w:r>
      <w:rPr>
        <w:rFonts w:ascii="Arial" w:hAnsi="Arial" w:cs="Arial"/>
        <w:b/>
        <w:sz w:val="20"/>
        <w:lang w:val="es-ES_tradnl"/>
      </w:rPr>
      <w:t>MOVIMIENTO</w:t>
    </w:r>
    <w:r w:rsidRPr="00F941DB">
      <w:rPr>
        <w:rFonts w:ascii="Arial" w:hAnsi="Arial" w:cs="Arial"/>
        <w:b/>
        <w:sz w:val="20"/>
        <w:lang w:val="es-ES_tradnl"/>
      </w:rPr>
      <w:t xml:space="preserve"> DE </w:t>
    </w:r>
    <w:r>
      <w:rPr>
        <w:rFonts w:ascii="Arial" w:hAnsi="Arial" w:cs="Arial"/>
        <w:b/>
        <w:sz w:val="20"/>
        <w:lang w:val="es-ES_tradnl"/>
      </w:rPr>
      <w:t>ACTIVOS</w:t>
    </w:r>
    <w:r w:rsidRPr="00F941DB">
      <w:rPr>
        <w:rFonts w:ascii="Arial" w:hAnsi="Arial" w:cs="Arial"/>
        <w:b/>
        <w:sz w:val="20"/>
        <w:lang w:val="es-ES_tradnl"/>
      </w:rPr>
      <w:t xml:space="preserve"> INTANGIBLES</w:t>
    </w:r>
    <w:r>
      <w:rPr>
        <w:rFonts w:ascii="Arial" w:hAnsi="Arial" w:cs="Arial"/>
        <w:b/>
        <w:sz w:val="20"/>
        <w:lang w:val="es-ES_tradnl"/>
      </w:rPr>
      <w:t xml:space="preserve"> CONSOLIDADO</w:t>
    </w:r>
  </w:p>
  <w:p w14:paraId="7D4FAAA2" w14:textId="6497992B" w:rsidR="00CD449E" w:rsidRPr="009040E3" w:rsidRDefault="00CD449E" w:rsidP="006F0EDD">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7451FFAF" w14:textId="77777777" w:rsidR="00CD449E" w:rsidRDefault="00CD449E" w:rsidP="006F0EDD">
    <w:pPr>
      <w:pStyle w:val="Encabezado"/>
      <w:jc w:val="center"/>
      <w:rPr>
        <w:rFonts w:ascii="Arial" w:hAnsi="Arial" w:cs="Arial"/>
        <w:sz w:val="16"/>
        <w:szCs w:val="16"/>
        <w:lang w:val="es-ES"/>
      </w:rPr>
    </w:pPr>
    <w:r>
      <w:rPr>
        <w:rFonts w:ascii="Arial" w:hAnsi="Arial" w:cs="Arial"/>
        <w:sz w:val="16"/>
        <w:szCs w:val="16"/>
        <w:lang w:val="es-ES"/>
      </w:rPr>
      <w:t>(C</w:t>
    </w:r>
    <w:r w:rsidRPr="00F941DB">
      <w:rPr>
        <w:rFonts w:ascii="Arial" w:hAnsi="Arial" w:cs="Arial"/>
        <w:sz w:val="16"/>
        <w:szCs w:val="16"/>
        <w:lang w:val="es-ES"/>
      </w:rPr>
      <w:t>ifras expresadas en miles de pesos)</w:t>
    </w:r>
  </w:p>
  <w:p w14:paraId="420B516D" w14:textId="4621EC74" w:rsidR="00CD449E" w:rsidRDefault="00CD449E" w:rsidP="006F0EDD">
    <w:pPr>
      <w:pStyle w:val="Encabezado"/>
      <w:rPr>
        <w:rFonts w:ascii="Arial" w:hAnsi="Arial" w:cs="Arial"/>
        <w:sz w:val="16"/>
        <w:szCs w:val="16"/>
        <w:lang w:val="es-ES"/>
      </w:rPr>
    </w:pPr>
  </w:p>
  <w:p w14:paraId="473F8B5A" w14:textId="77777777" w:rsidR="00CD449E" w:rsidRPr="00F941DB" w:rsidRDefault="00CD449E" w:rsidP="00326935">
    <w:pPr>
      <w:pStyle w:val="Encabezado"/>
      <w:jc w:val="center"/>
      <w:rPr>
        <w:rFonts w:ascii="Arial" w:hAnsi="Arial" w:cs="Arial"/>
        <w:sz w:val="20"/>
        <w:lang w:val="es-ES"/>
      </w:rPr>
    </w:pPr>
  </w:p>
  <w:p w14:paraId="6BD1E3D8" w14:textId="77777777" w:rsidR="00CD449E" w:rsidRPr="00F941DB" w:rsidRDefault="00CD449E" w:rsidP="00F941DB">
    <w:pPr>
      <w:pStyle w:val="2Ttulo"/>
      <w:jc w:val="left"/>
      <w:rPr>
        <w:rFonts w:ascii="Arial" w:hAnsi="Arial" w:cs="Arial"/>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581CF" w14:textId="77777777" w:rsidR="00CD449E" w:rsidRDefault="00CD449E" w:rsidP="00D458EF">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222EE6E6" wp14:editId="7C5CC16B">
          <wp:extent cx="1027130" cy="452633"/>
          <wp:effectExtent l="19050" t="0" r="1570" b="0"/>
          <wp:docPr id="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681C494" w14:textId="77777777" w:rsidR="00CD449E" w:rsidRDefault="00CD449E" w:rsidP="00326935">
    <w:pPr>
      <w:tabs>
        <w:tab w:val="right" w:pos="9214"/>
      </w:tabs>
      <w:ind w:left="142" w:hanging="142"/>
      <w:rPr>
        <w:rFonts w:ascii="Arial" w:hAnsi="Arial" w:cs="Arial"/>
        <w:b/>
        <w:sz w:val="20"/>
        <w:lang w:val="es-ES_tradnl"/>
      </w:rPr>
    </w:pPr>
    <w:r w:rsidRPr="00F941DB">
      <w:rPr>
        <w:rFonts w:ascii="Arial" w:hAnsi="Arial" w:cs="Arial"/>
        <w:b/>
        <w:sz w:val="20"/>
        <w:lang w:val="es-ES_tradnl"/>
      </w:rPr>
      <w:t>ANEXO H</w:t>
    </w:r>
  </w:p>
  <w:p w14:paraId="7B5F4E8F" w14:textId="77777777" w:rsidR="00CD449E" w:rsidRPr="002C6517" w:rsidRDefault="00CD449E" w:rsidP="00326935">
    <w:pPr>
      <w:tabs>
        <w:tab w:val="right" w:pos="9214"/>
      </w:tabs>
      <w:rPr>
        <w:rFonts w:ascii="Arial" w:hAnsi="Arial" w:cs="Arial"/>
        <w:sz w:val="20"/>
        <w:lang w:val="es-ES"/>
      </w:rPr>
    </w:pPr>
  </w:p>
  <w:p w14:paraId="1255BA44" w14:textId="08CB298B" w:rsidR="00CD449E" w:rsidRPr="00F941DB" w:rsidRDefault="00CD449E" w:rsidP="00675A40">
    <w:pPr>
      <w:pStyle w:val="Encabezado"/>
      <w:jc w:val="center"/>
      <w:rPr>
        <w:rFonts w:ascii="Arial" w:hAnsi="Arial" w:cs="Arial"/>
        <w:b/>
        <w:sz w:val="20"/>
        <w:lang w:val="es-ES_tradnl"/>
      </w:rPr>
    </w:pPr>
    <w:r w:rsidRPr="00F941DB">
      <w:rPr>
        <w:rFonts w:ascii="Arial" w:hAnsi="Arial" w:cs="Arial"/>
        <w:b/>
        <w:sz w:val="20"/>
        <w:lang w:val="es-ES_tradnl"/>
      </w:rPr>
      <w:t>CONCENTRACI</w:t>
    </w:r>
    <w:r>
      <w:rPr>
        <w:rFonts w:ascii="Arial" w:hAnsi="Arial" w:cs="Arial"/>
        <w:b/>
        <w:sz w:val="20"/>
        <w:lang w:val="es-ES_tradnl"/>
      </w:rPr>
      <w:t>Ó</w:t>
    </w:r>
    <w:r w:rsidRPr="00F941DB">
      <w:rPr>
        <w:rFonts w:ascii="Arial" w:hAnsi="Arial" w:cs="Arial"/>
        <w:b/>
        <w:sz w:val="20"/>
        <w:lang w:val="es-ES_tradnl"/>
      </w:rPr>
      <w:t>N DE LOS DEPOSITOS</w:t>
    </w:r>
    <w:r>
      <w:rPr>
        <w:rFonts w:ascii="Arial" w:hAnsi="Arial" w:cs="Arial"/>
        <w:b/>
        <w:sz w:val="20"/>
        <w:lang w:val="es-ES_tradnl"/>
      </w:rPr>
      <w:t xml:space="preserve"> CONSOLIDADO</w:t>
    </w:r>
  </w:p>
  <w:p w14:paraId="7DD76EFB" w14:textId="38F64B99" w:rsidR="00CD449E" w:rsidRPr="009040E3" w:rsidRDefault="00CD449E" w:rsidP="00025107">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4CC9A0CC" w14:textId="77777777" w:rsidR="00CD449E" w:rsidRDefault="00CD449E" w:rsidP="007F3B18">
    <w:pPr>
      <w:pStyle w:val="Encabezado"/>
      <w:jc w:val="center"/>
      <w:rPr>
        <w:rFonts w:ascii="Arial" w:hAnsi="Arial" w:cs="Arial"/>
        <w:sz w:val="16"/>
        <w:szCs w:val="16"/>
        <w:lang w:val="es-ES"/>
      </w:rPr>
    </w:pPr>
    <w:r w:rsidRPr="002C6517">
      <w:rPr>
        <w:rFonts w:ascii="Arial" w:hAnsi="Arial" w:cs="Arial"/>
        <w:sz w:val="16"/>
        <w:szCs w:val="16"/>
        <w:lang w:val="es-ES"/>
      </w:rPr>
      <w:t>(Cifras expresadas en miles de pesos)</w:t>
    </w:r>
  </w:p>
  <w:p w14:paraId="6E2A97A2" w14:textId="77777777" w:rsidR="00CD449E" w:rsidRPr="002C6517" w:rsidRDefault="00CD449E" w:rsidP="002C6517">
    <w:pPr>
      <w:pStyle w:val="Encabezado"/>
      <w:rPr>
        <w:rFonts w:ascii="Arial" w:hAnsi="Arial" w:cs="Arial"/>
        <w:sz w:val="20"/>
        <w:lang w:val="es-ES"/>
      </w:rPr>
    </w:pPr>
  </w:p>
  <w:p w14:paraId="730826C6" w14:textId="77777777" w:rsidR="00CD449E" w:rsidRPr="00F941DB" w:rsidRDefault="00CD449E" w:rsidP="002C6517">
    <w:pPr>
      <w:pStyle w:val="Encabezado"/>
      <w:rPr>
        <w:rFonts w:ascii="Arial" w:hAnsi="Arial" w:cs="Arial"/>
        <w:sz w:val="20"/>
        <w:lang w:val="es-ES_tradnl"/>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76ECA" w14:textId="77777777" w:rsidR="00CD449E" w:rsidRDefault="00CD449E" w:rsidP="00D458EF">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0D752B19" wp14:editId="6303100F">
          <wp:extent cx="1027130" cy="452633"/>
          <wp:effectExtent l="19050" t="0" r="1570" b="0"/>
          <wp:docPr id="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5D2464D" w14:textId="77777777" w:rsidR="00CD449E" w:rsidRDefault="00CD449E" w:rsidP="00326935">
    <w:pPr>
      <w:tabs>
        <w:tab w:val="right" w:pos="9214"/>
      </w:tabs>
      <w:ind w:left="142" w:hanging="142"/>
      <w:rPr>
        <w:rFonts w:ascii="Arial" w:hAnsi="Arial" w:cs="Arial"/>
        <w:b/>
        <w:sz w:val="20"/>
        <w:lang w:val="es-ES_tradnl"/>
      </w:rPr>
    </w:pPr>
    <w:r w:rsidRPr="002C6517">
      <w:rPr>
        <w:rFonts w:ascii="Arial" w:hAnsi="Arial" w:cs="Arial"/>
        <w:b/>
        <w:sz w:val="20"/>
        <w:lang w:val="es-ES_tradnl"/>
      </w:rPr>
      <w:t>ANEXO I</w:t>
    </w:r>
  </w:p>
  <w:p w14:paraId="7EDFC8D1" w14:textId="77777777" w:rsidR="00CD449E" w:rsidRPr="002C6517" w:rsidRDefault="00CD449E" w:rsidP="002C6517">
    <w:pPr>
      <w:tabs>
        <w:tab w:val="right" w:pos="9214"/>
      </w:tabs>
      <w:ind w:left="142" w:hanging="142"/>
      <w:rPr>
        <w:rFonts w:ascii="Arial" w:hAnsi="Arial" w:cs="Arial"/>
        <w:b/>
        <w:sz w:val="20"/>
        <w:lang w:val="es-ES"/>
      </w:rPr>
    </w:pPr>
  </w:p>
  <w:p w14:paraId="6A27F9C0" w14:textId="77777777" w:rsidR="00CD449E" w:rsidRPr="002C6517" w:rsidRDefault="00CD449E" w:rsidP="00944CB2">
    <w:pPr>
      <w:pStyle w:val="Encabezado"/>
      <w:jc w:val="center"/>
      <w:rPr>
        <w:rFonts w:ascii="Arial" w:hAnsi="Arial" w:cs="Arial"/>
        <w:b/>
        <w:sz w:val="20"/>
        <w:lang w:val="es-ES_tradnl"/>
      </w:rPr>
    </w:pPr>
    <w:r w:rsidRPr="002C6517">
      <w:rPr>
        <w:rFonts w:ascii="Arial" w:hAnsi="Arial" w:cs="Arial"/>
        <w:b/>
        <w:sz w:val="20"/>
        <w:lang w:val="es-ES_tradnl"/>
      </w:rPr>
      <w:t xml:space="preserve">APERTURA </w:t>
    </w:r>
    <w:r>
      <w:rPr>
        <w:rFonts w:ascii="Arial" w:hAnsi="Arial" w:cs="Arial"/>
        <w:b/>
        <w:sz w:val="20"/>
        <w:lang w:val="es-ES_tradnl"/>
      </w:rPr>
      <w:t>DE PASIVOS FINANCIEROS POR PL</w:t>
    </w:r>
    <w:r w:rsidRPr="002C6517">
      <w:rPr>
        <w:rFonts w:ascii="Arial" w:hAnsi="Arial" w:cs="Arial"/>
        <w:b/>
        <w:sz w:val="20"/>
        <w:lang w:val="es-ES_tradnl"/>
      </w:rPr>
      <w:t>A</w:t>
    </w:r>
    <w:r>
      <w:rPr>
        <w:rFonts w:ascii="Arial" w:hAnsi="Arial" w:cs="Arial"/>
        <w:b/>
        <w:sz w:val="20"/>
        <w:lang w:val="es-ES_tradnl"/>
      </w:rPr>
      <w:t>ZOS REMANENTES CONSOLIDADO</w:t>
    </w:r>
  </w:p>
  <w:p w14:paraId="1AA53676" w14:textId="7FA37671" w:rsidR="00CD449E" w:rsidRPr="002C6517" w:rsidRDefault="00CD449E" w:rsidP="00083C78">
    <w:pPr>
      <w:pStyle w:val="Encabezado"/>
      <w:jc w:val="center"/>
      <w:rPr>
        <w:rFonts w:ascii="Arial" w:hAnsi="Arial" w:cs="Arial"/>
        <w:b/>
        <w:sz w:val="20"/>
        <w:lang w:val="es-ES_tradnl"/>
      </w:rPr>
    </w:pPr>
    <w:r>
      <w:rPr>
        <w:rFonts w:ascii="Arial" w:hAnsi="Arial" w:cs="Arial"/>
        <w:b/>
        <w:sz w:val="20"/>
        <w:lang w:val="es-ES_tradnl"/>
      </w:rPr>
      <w:t>AL 31 DE DICIEMBRE DE 2019</w:t>
    </w:r>
  </w:p>
  <w:p w14:paraId="4F26FC12" w14:textId="77777777" w:rsidR="00CD449E" w:rsidRDefault="00CD449E" w:rsidP="00083C78">
    <w:pPr>
      <w:pStyle w:val="Encabezado"/>
      <w:jc w:val="center"/>
      <w:rPr>
        <w:rFonts w:ascii="Arial" w:hAnsi="Arial" w:cs="Arial"/>
        <w:sz w:val="16"/>
        <w:szCs w:val="16"/>
        <w:lang w:val="es-ES"/>
      </w:rPr>
    </w:pPr>
    <w:r w:rsidRPr="002C6517">
      <w:rPr>
        <w:rFonts w:ascii="Arial" w:hAnsi="Arial" w:cs="Arial"/>
        <w:sz w:val="16"/>
        <w:szCs w:val="16"/>
        <w:lang w:val="es-ES"/>
      </w:rPr>
      <w:t>(Cifras expresadas en miles de pesos)</w:t>
    </w:r>
  </w:p>
  <w:p w14:paraId="25A12904" w14:textId="77777777" w:rsidR="00CD449E" w:rsidRPr="008C1D4C" w:rsidRDefault="00CD449E" w:rsidP="002C6517">
    <w:pPr>
      <w:pStyle w:val="Encabezado"/>
      <w:rPr>
        <w:rFonts w:ascii="Arial" w:hAnsi="Arial" w:cs="Arial"/>
        <w:sz w:val="20"/>
        <w:lang w:val="es-ES_tradnl"/>
      </w:rPr>
    </w:pPr>
  </w:p>
  <w:p w14:paraId="32AF3633" w14:textId="77777777" w:rsidR="00CD449E" w:rsidRPr="008C1D4C" w:rsidRDefault="00CD449E" w:rsidP="008C1D4C">
    <w:pPr>
      <w:pStyle w:val="Encabezado"/>
      <w:rPr>
        <w:rFonts w:ascii="Arial" w:hAnsi="Arial" w:cs="Arial"/>
        <w:sz w:val="20"/>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84FEA" w14:textId="77777777" w:rsidR="00CD449E" w:rsidRPr="00333643" w:rsidRDefault="00CD449E" w:rsidP="00286343">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6A2E4341" wp14:editId="0BD6FDE4">
          <wp:extent cx="1027130" cy="452633"/>
          <wp:effectExtent l="19050" t="0" r="1570" b="0"/>
          <wp:docPr id="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A7EB8D3" w14:textId="77777777" w:rsidR="00CD449E" w:rsidRPr="00333643" w:rsidRDefault="00CD449E" w:rsidP="00286343">
    <w:pPr>
      <w:tabs>
        <w:tab w:val="right" w:pos="9214"/>
      </w:tabs>
      <w:ind w:left="142" w:hanging="142"/>
      <w:jc w:val="center"/>
      <w:rPr>
        <w:rFonts w:ascii="Arial" w:hAnsi="Arial" w:cs="Arial"/>
        <w:b/>
        <w:sz w:val="20"/>
        <w:lang w:val="es-ES_tradnl"/>
      </w:rPr>
    </w:pPr>
  </w:p>
  <w:p w14:paraId="5A8530F2" w14:textId="77777777" w:rsidR="00CD449E" w:rsidRPr="0056456F" w:rsidRDefault="00CD449E" w:rsidP="00286343">
    <w:pPr>
      <w:tabs>
        <w:tab w:val="right" w:pos="9214"/>
      </w:tabs>
      <w:rPr>
        <w:rFonts w:ascii="Arial" w:hAnsi="Arial" w:cs="Arial"/>
        <w:b/>
        <w:sz w:val="20"/>
        <w:lang w:val="es-ES_tradnl"/>
      </w:rPr>
    </w:pPr>
  </w:p>
  <w:p w14:paraId="42B399E4" w14:textId="4A23D139" w:rsidR="00CD449E" w:rsidRPr="0017062B" w:rsidRDefault="00CD449E" w:rsidP="00286343">
    <w:pPr>
      <w:pStyle w:val="2Ttulo"/>
      <w:rPr>
        <w:rFonts w:ascii="Arial" w:hAnsi="Arial" w:cs="Arial"/>
        <w:sz w:val="20"/>
      </w:rPr>
    </w:pPr>
    <w:r w:rsidRPr="0017062B">
      <w:rPr>
        <w:rFonts w:ascii="Arial" w:hAnsi="Arial" w:cs="Arial"/>
        <w:sz w:val="20"/>
      </w:rPr>
      <w:t xml:space="preserve">ESTADO DE SITUACION </w:t>
    </w:r>
    <w:r>
      <w:rPr>
        <w:rFonts w:ascii="Arial" w:hAnsi="Arial" w:cs="Arial"/>
        <w:sz w:val="20"/>
      </w:rPr>
      <w:t>FINANCIERA</w:t>
    </w:r>
    <w:r w:rsidRPr="006423FF">
      <w:rPr>
        <w:rFonts w:ascii="Arial" w:hAnsi="Arial" w:cs="Arial"/>
        <w:sz w:val="20"/>
      </w:rPr>
      <w:t xml:space="preserve"> </w:t>
    </w:r>
    <w:r>
      <w:rPr>
        <w:rFonts w:ascii="Arial" w:hAnsi="Arial" w:cs="Arial"/>
        <w:sz w:val="20"/>
      </w:rPr>
      <w:t>CONSOLIDADO</w:t>
    </w:r>
  </w:p>
  <w:p w14:paraId="7F23A1D5" w14:textId="0529BE94" w:rsidR="00CD449E" w:rsidRPr="0017062B" w:rsidRDefault="00CD449E" w:rsidP="00286343">
    <w:pPr>
      <w:pStyle w:val="2Ttulo"/>
      <w:rPr>
        <w:rFonts w:ascii="Arial" w:hAnsi="Arial" w:cs="Arial"/>
        <w:sz w:val="20"/>
      </w:rPr>
    </w:pPr>
    <w:r>
      <w:rPr>
        <w:rFonts w:ascii="Arial" w:hAnsi="Arial" w:cs="Arial"/>
        <w:sz w:val="20"/>
      </w:rPr>
      <w:t xml:space="preserve"> AL 31 DE DICIEMBRE DE 2019</w:t>
    </w:r>
  </w:p>
  <w:p w14:paraId="150458B3" w14:textId="6FBB574E" w:rsidR="00CD449E" w:rsidRDefault="00CD449E" w:rsidP="00286343">
    <w:pPr>
      <w:pStyle w:val="2Ttulo"/>
      <w:rPr>
        <w:rFonts w:ascii="Arial" w:hAnsi="Arial" w:cs="Arial"/>
        <w:b w:val="0"/>
        <w:sz w:val="16"/>
        <w:szCs w:val="16"/>
        <w:lang w:val="es-ES_tradnl"/>
      </w:rPr>
    </w:pPr>
    <w:r w:rsidRPr="00905E24">
      <w:rPr>
        <w:rFonts w:ascii="Arial" w:hAnsi="Arial" w:cs="Arial"/>
        <w:b w:val="0"/>
        <w:sz w:val="16"/>
        <w:szCs w:val="16"/>
        <w:lang w:val="es-ES_tradnl"/>
      </w:rPr>
      <w:t>Presentado en forma comparativa con el ejercicio económico final</w:t>
    </w:r>
    <w:r>
      <w:rPr>
        <w:rFonts w:ascii="Arial" w:hAnsi="Arial" w:cs="Arial"/>
        <w:b w:val="0"/>
        <w:sz w:val="16"/>
        <w:szCs w:val="16"/>
        <w:lang w:val="es-ES_tradnl"/>
      </w:rPr>
      <w:t xml:space="preserve">izado el 31 de diciembre de 2018 </w:t>
    </w:r>
  </w:p>
  <w:p w14:paraId="355ED9EA" w14:textId="5F52EF37" w:rsidR="00CD449E" w:rsidRDefault="00CD449E" w:rsidP="00286343">
    <w:pPr>
      <w:pStyle w:val="2Ttulo"/>
      <w:rPr>
        <w:rFonts w:ascii="Arial" w:hAnsi="Arial" w:cs="Arial"/>
        <w:b w:val="0"/>
        <w:sz w:val="16"/>
        <w:szCs w:val="16"/>
      </w:rPr>
    </w:pPr>
    <w:r w:rsidRPr="00905E24">
      <w:rPr>
        <w:rFonts w:ascii="Arial" w:hAnsi="Arial" w:cs="Arial"/>
        <w:b w:val="0"/>
        <w:sz w:val="16"/>
        <w:szCs w:val="16"/>
      </w:rPr>
      <w:t xml:space="preserve"> (Cifras expresadas en miles de pesos)</w:t>
    </w:r>
  </w:p>
  <w:p w14:paraId="12DAAD6B" w14:textId="77777777" w:rsidR="00CD449E" w:rsidRPr="00333643" w:rsidRDefault="00CD449E" w:rsidP="00286343">
    <w:pPr>
      <w:pStyle w:val="2Ttulo"/>
      <w:jc w:val="left"/>
      <w:rPr>
        <w:rFonts w:ascii="Arial" w:hAnsi="Arial" w:cs="Arial"/>
        <w:b w:val="0"/>
        <w:sz w:val="20"/>
      </w:rPr>
    </w:pPr>
  </w:p>
  <w:p w14:paraId="6A3B9951" w14:textId="77777777" w:rsidR="00CD449E" w:rsidRPr="00333643" w:rsidRDefault="00CD449E" w:rsidP="00286343">
    <w:pPr>
      <w:jc w:val="both"/>
      <w:rPr>
        <w:rFonts w:ascii="Arial" w:hAnsi="Arial" w:cs="Arial"/>
        <w:sz w:val="20"/>
      </w:rPr>
    </w:pPr>
  </w:p>
  <w:p w14:paraId="0B75A227" w14:textId="77777777" w:rsidR="00CD449E" w:rsidRPr="00286343" w:rsidRDefault="00CD449E" w:rsidP="00286343">
    <w:pPr>
      <w:pStyle w:val="Encabezad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4155" w14:textId="77777777" w:rsidR="00CD449E" w:rsidRDefault="00CD449E" w:rsidP="00D458EF">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5E4D0043" wp14:editId="4B0FEC1F">
          <wp:extent cx="1027130" cy="452633"/>
          <wp:effectExtent l="19050" t="0" r="1570" b="0"/>
          <wp:docPr id="1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6BA09AA5" w14:textId="77777777" w:rsidR="00CD449E" w:rsidRDefault="00CD449E" w:rsidP="00572B51">
    <w:pPr>
      <w:tabs>
        <w:tab w:val="right" w:pos="9214"/>
      </w:tabs>
      <w:ind w:left="142" w:hanging="142"/>
      <w:rPr>
        <w:rFonts w:ascii="Arial" w:hAnsi="Arial" w:cs="Arial"/>
        <w:b/>
        <w:sz w:val="20"/>
        <w:lang w:val="es-ES_tradnl"/>
      </w:rPr>
    </w:pPr>
    <w:r>
      <w:rPr>
        <w:rFonts w:ascii="Arial" w:hAnsi="Arial" w:cs="Arial"/>
        <w:b/>
        <w:sz w:val="20"/>
        <w:lang w:val="es-ES_tradnl"/>
      </w:rPr>
      <w:t>ANEXO P</w:t>
    </w:r>
  </w:p>
  <w:p w14:paraId="0B59943F" w14:textId="77777777" w:rsidR="00CD449E" w:rsidRPr="002C6517" w:rsidRDefault="00CD449E" w:rsidP="00572B51">
    <w:pPr>
      <w:tabs>
        <w:tab w:val="right" w:pos="9214"/>
      </w:tabs>
      <w:ind w:left="142" w:hanging="142"/>
      <w:rPr>
        <w:rFonts w:ascii="Arial" w:hAnsi="Arial" w:cs="Arial"/>
        <w:b/>
        <w:sz w:val="20"/>
        <w:lang w:val="es-ES"/>
      </w:rPr>
    </w:pPr>
  </w:p>
  <w:p w14:paraId="0698E25F" w14:textId="77777777" w:rsidR="00CD449E" w:rsidRPr="002C6517" w:rsidRDefault="00CD449E" w:rsidP="00572B51">
    <w:pPr>
      <w:pStyle w:val="Encabezado"/>
      <w:jc w:val="center"/>
      <w:rPr>
        <w:rFonts w:ascii="Arial" w:hAnsi="Arial" w:cs="Arial"/>
        <w:b/>
        <w:sz w:val="20"/>
        <w:lang w:val="es-ES_tradnl"/>
      </w:rPr>
    </w:pPr>
    <w:r>
      <w:rPr>
        <w:rFonts w:ascii="Arial" w:hAnsi="Arial" w:cs="Arial"/>
        <w:b/>
        <w:sz w:val="20"/>
        <w:lang w:val="es-ES_tradnl"/>
      </w:rPr>
      <w:t>CATEGORIAS DE ACTIVOS Y PASIVOS FINANCIEROS CONSOLIDADO</w:t>
    </w:r>
  </w:p>
  <w:p w14:paraId="323113CE" w14:textId="32C9E630" w:rsidR="00CD449E" w:rsidRPr="002C6517" w:rsidRDefault="00CD449E" w:rsidP="00572B51">
    <w:pPr>
      <w:pStyle w:val="Encabezado"/>
      <w:jc w:val="center"/>
      <w:rPr>
        <w:rFonts w:ascii="Arial" w:hAnsi="Arial" w:cs="Arial"/>
        <w:b/>
        <w:sz w:val="20"/>
        <w:lang w:val="es-ES_tradnl"/>
      </w:rPr>
    </w:pPr>
    <w:r>
      <w:rPr>
        <w:rFonts w:ascii="Arial" w:hAnsi="Arial" w:cs="Arial"/>
        <w:b/>
        <w:sz w:val="20"/>
        <w:lang w:val="es-ES_tradnl"/>
      </w:rPr>
      <w:t>AL 31 DE DICIEMBRE DE 2019</w:t>
    </w:r>
  </w:p>
  <w:p w14:paraId="1FD18FA5" w14:textId="77777777" w:rsidR="00CD449E" w:rsidRDefault="00CD449E" w:rsidP="00572B51">
    <w:pPr>
      <w:pStyle w:val="Encabezado"/>
      <w:jc w:val="center"/>
      <w:rPr>
        <w:rFonts w:ascii="Arial" w:hAnsi="Arial" w:cs="Arial"/>
        <w:sz w:val="16"/>
        <w:szCs w:val="16"/>
        <w:lang w:val="es-ES"/>
      </w:rPr>
    </w:pPr>
    <w:r w:rsidRPr="002C6517">
      <w:rPr>
        <w:rFonts w:ascii="Arial" w:hAnsi="Arial" w:cs="Arial"/>
        <w:sz w:val="16"/>
        <w:szCs w:val="16"/>
        <w:lang w:val="es-ES"/>
      </w:rPr>
      <w:t>(Cifras expresadas en miles de pesos)</w:t>
    </w:r>
  </w:p>
  <w:p w14:paraId="03862DF2" w14:textId="77777777" w:rsidR="00CD449E" w:rsidRPr="008C1D4C" w:rsidRDefault="00CD449E" w:rsidP="008C1D4C">
    <w:pPr>
      <w:pStyle w:val="Encabezado"/>
      <w:rPr>
        <w:rFonts w:ascii="Arial" w:hAnsi="Arial" w:cs="Arial"/>
        <w:sz w:val="20"/>
        <w:lang w:val="es-ES_tradnl"/>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342D4" w14:textId="77777777" w:rsidR="00CD449E" w:rsidRDefault="00CD449E" w:rsidP="00D458EF">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07971300" wp14:editId="49C09DB3">
          <wp:extent cx="1027130" cy="452633"/>
          <wp:effectExtent l="19050" t="0" r="157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7D6EA66D" w14:textId="77777777" w:rsidR="00CD449E" w:rsidRDefault="00CD449E" w:rsidP="00122C95">
    <w:pPr>
      <w:tabs>
        <w:tab w:val="right" w:pos="9214"/>
      </w:tabs>
      <w:ind w:left="142" w:hanging="142"/>
      <w:rPr>
        <w:rFonts w:ascii="Arial" w:hAnsi="Arial" w:cs="Arial"/>
        <w:b/>
        <w:sz w:val="20"/>
        <w:lang w:val="es-ES_tradnl"/>
      </w:rPr>
    </w:pPr>
    <w:r w:rsidRPr="002C6517">
      <w:rPr>
        <w:rFonts w:ascii="Arial" w:hAnsi="Arial" w:cs="Arial"/>
        <w:b/>
        <w:sz w:val="20"/>
        <w:lang w:val="es-ES_tradnl"/>
      </w:rPr>
      <w:t xml:space="preserve">ANEXO </w:t>
    </w:r>
    <w:r>
      <w:rPr>
        <w:rFonts w:ascii="Arial" w:hAnsi="Arial" w:cs="Arial"/>
        <w:b/>
        <w:sz w:val="20"/>
        <w:lang w:val="es-ES_tradnl"/>
      </w:rPr>
      <w:t>Q</w:t>
    </w:r>
  </w:p>
  <w:p w14:paraId="18F3B1F7" w14:textId="77777777" w:rsidR="00CD449E" w:rsidRPr="002C6517" w:rsidRDefault="00CD449E" w:rsidP="00122C95">
    <w:pPr>
      <w:tabs>
        <w:tab w:val="right" w:pos="9214"/>
      </w:tabs>
      <w:ind w:left="142" w:hanging="142"/>
      <w:rPr>
        <w:rFonts w:ascii="Arial" w:hAnsi="Arial" w:cs="Arial"/>
        <w:b/>
        <w:sz w:val="20"/>
        <w:lang w:val="es-ES"/>
      </w:rPr>
    </w:pPr>
  </w:p>
  <w:p w14:paraId="57FF08B3" w14:textId="77777777" w:rsidR="00CD449E" w:rsidRPr="002C6517" w:rsidRDefault="00CD449E" w:rsidP="00122C95">
    <w:pPr>
      <w:pStyle w:val="Encabezado"/>
      <w:jc w:val="center"/>
      <w:rPr>
        <w:rFonts w:ascii="Arial" w:hAnsi="Arial" w:cs="Arial"/>
        <w:b/>
        <w:sz w:val="20"/>
        <w:lang w:val="es-ES_tradnl"/>
      </w:rPr>
    </w:pPr>
    <w:r>
      <w:rPr>
        <w:rFonts w:ascii="Arial" w:hAnsi="Arial" w:cs="Arial"/>
        <w:b/>
        <w:sz w:val="20"/>
        <w:lang w:val="es-ES_tradnl"/>
      </w:rPr>
      <w:t>APERTURA DE RESULTADOS CONSOLIDADOS</w:t>
    </w:r>
  </w:p>
  <w:p w14:paraId="6DFDAF2A" w14:textId="3ED7F1E5" w:rsidR="00CD449E" w:rsidRPr="002C6517" w:rsidRDefault="00CD449E" w:rsidP="00122C95">
    <w:pPr>
      <w:pStyle w:val="Encabezado"/>
      <w:jc w:val="center"/>
      <w:rPr>
        <w:rFonts w:ascii="Arial" w:hAnsi="Arial" w:cs="Arial"/>
        <w:b/>
        <w:sz w:val="20"/>
        <w:lang w:val="es-ES_tradnl"/>
      </w:rPr>
    </w:pPr>
    <w:r>
      <w:rPr>
        <w:rFonts w:ascii="Arial" w:hAnsi="Arial" w:cs="Arial"/>
        <w:b/>
        <w:sz w:val="20"/>
        <w:lang w:val="es-ES_tradnl"/>
      </w:rPr>
      <w:t>AL 31 DE DICIEMBRE DE 2019</w:t>
    </w:r>
  </w:p>
  <w:p w14:paraId="3835CCED" w14:textId="77777777" w:rsidR="00CD449E" w:rsidRDefault="00CD449E" w:rsidP="00122C95">
    <w:pPr>
      <w:pStyle w:val="Encabezado"/>
      <w:jc w:val="center"/>
      <w:rPr>
        <w:rFonts w:ascii="Arial" w:hAnsi="Arial" w:cs="Arial"/>
        <w:sz w:val="16"/>
        <w:szCs w:val="16"/>
        <w:lang w:val="es-ES"/>
      </w:rPr>
    </w:pPr>
    <w:r w:rsidRPr="002C6517">
      <w:rPr>
        <w:rFonts w:ascii="Arial" w:hAnsi="Arial" w:cs="Arial"/>
        <w:sz w:val="16"/>
        <w:szCs w:val="16"/>
        <w:lang w:val="es-ES"/>
      </w:rPr>
      <w:t>(Cifras expresadas en miles de pesos)</w:t>
    </w:r>
  </w:p>
  <w:p w14:paraId="6DBB6219" w14:textId="77777777" w:rsidR="00CD449E" w:rsidRPr="008C1D4C" w:rsidRDefault="00CD449E" w:rsidP="002C6517">
    <w:pPr>
      <w:pStyle w:val="Encabezado"/>
      <w:rPr>
        <w:rFonts w:ascii="Arial" w:hAnsi="Arial" w:cs="Arial"/>
        <w:sz w:val="20"/>
        <w:lang w:val="es-ES_tradnl"/>
      </w:rPr>
    </w:pPr>
  </w:p>
  <w:p w14:paraId="48AF492D" w14:textId="77777777" w:rsidR="00CD449E" w:rsidRPr="008C1D4C" w:rsidRDefault="00CD449E" w:rsidP="008C1D4C">
    <w:pPr>
      <w:pStyle w:val="Encabezado"/>
      <w:rPr>
        <w:rFonts w:ascii="Arial" w:hAnsi="Arial" w:cs="Arial"/>
        <w:sz w:val="20"/>
        <w:lang w:val="es-ES_tradnl"/>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50A98" w14:textId="77777777" w:rsidR="00CD449E" w:rsidRDefault="00CD449E" w:rsidP="00D458EF">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58C20375" wp14:editId="260B7F44">
          <wp:extent cx="1027130" cy="452633"/>
          <wp:effectExtent l="19050" t="0" r="157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747BB67E" w14:textId="77777777" w:rsidR="00CD449E" w:rsidRDefault="00CD449E" w:rsidP="00BB2BE1">
    <w:pPr>
      <w:tabs>
        <w:tab w:val="right" w:pos="9214"/>
      </w:tabs>
      <w:ind w:left="142" w:hanging="142"/>
      <w:rPr>
        <w:rFonts w:ascii="Arial" w:hAnsi="Arial" w:cs="Arial"/>
        <w:b/>
        <w:sz w:val="20"/>
        <w:lang w:val="es-ES_tradnl"/>
      </w:rPr>
    </w:pPr>
    <w:r w:rsidRPr="002C6517">
      <w:rPr>
        <w:rFonts w:ascii="Arial" w:hAnsi="Arial" w:cs="Arial"/>
        <w:b/>
        <w:sz w:val="20"/>
        <w:lang w:val="es-ES_tradnl"/>
      </w:rPr>
      <w:t xml:space="preserve">ANEXO </w:t>
    </w:r>
    <w:r>
      <w:rPr>
        <w:rFonts w:ascii="Arial" w:hAnsi="Arial" w:cs="Arial"/>
        <w:b/>
        <w:sz w:val="20"/>
        <w:lang w:val="es-ES_tradnl"/>
      </w:rPr>
      <w:t>R</w:t>
    </w:r>
  </w:p>
  <w:p w14:paraId="4914E9F2" w14:textId="77777777" w:rsidR="00CD449E" w:rsidRPr="002C6517" w:rsidRDefault="00CD449E" w:rsidP="00BB2BE1">
    <w:pPr>
      <w:tabs>
        <w:tab w:val="right" w:pos="9214"/>
      </w:tabs>
      <w:ind w:left="142" w:hanging="142"/>
      <w:rPr>
        <w:rFonts w:ascii="Arial" w:hAnsi="Arial" w:cs="Arial"/>
        <w:b/>
        <w:sz w:val="20"/>
        <w:lang w:val="es-ES"/>
      </w:rPr>
    </w:pPr>
  </w:p>
  <w:p w14:paraId="425FD197" w14:textId="77777777" w:rsidR="00CD449E" w:rsidRDefault="00CD449E" w:rsidP="00BB2BE1">
    <w:pPr>
      <w:pStyle w:val="Encabezado"/>
      <w:jc w:val="center"/>
      <w:rPr>
        <w:rFonts w:ascii="Arial" w:hAnsi="Arial" w:cs="Arial"/>
        <w:b/>
        <w:sz w:val="20"/>
        <w:lang w:val="es-ES_tradnl"/>
      </w:rPr>
    </w:pPr>
    <w:r>
      <w:rPr>
        <w:rFonts w:ascii="Arial" w:hAnsi="Arial" w:cs="Arial"/>
        <w:b/>
        <w:sz w:val="20"/>
        <w:lang w:val="es-ES_tradnl"/>
      </w:rPr>
      <w:t>CORRECCION DE VALOR POR PERDIDAS CONSOLIDADAS</w:t>
    </w:r>
  </w:p>
  <w:p w14:paraId="70F85E2D" w14:textId="77777777" w:rsidR="00CD449E" w:rsidRPr="002C6517" w:rsidRDefault="00CD449E" w:rsidP="00BB2BE1">
    <w:pPr>
      <w:pStyle w:val="Encabezado"/>
      <w:jc w:val="center"/>
      <w:rPr>
        <w:rFonts w:ascii="Arial" w:hAnsi="Arial" w:cs="Arial"/>
        <w:b/>
        <w:sz w:val="20"/>
        <w:lang w:val="es-ES_tradnl"/>
      </w:rPr>
    </w:pPr>
    <w:r>
      <w:rPr>
        <w:rFonts w:ascii="Arial" w:hAnsi="Arial" w:cs="Arial"/>
        <w:b/>
        <w:sz w:val="20"/>
        <w:lang w:val="es-ES_tradnl"/>
      </w:rPr>
      <w:t>PREVISIONES POR RIESGO DE INCOBRABILIDAD</w:t>
    </w:r>
  </w:p>
  <w:p w14:paraId="0341D9C4" w14:textId="5306E503" w:rsidR="00CD449E" w:rsidRPr="009040E3" w:rsidRDefault="00CD449E" w:rsidP="00BB2BE1">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104BD998" w14:textId="77777777" w:rsidR="00CD449E" w:rsidRDefault="00CD449E" w:rsidP="00BB2BE1">
    <w:pPr>
      <w:pStyle w:val="Encabezado"/>
      <w:jc w:val="center"/>
      <w:rPr>
        <w:rFonts w:ascii="Arial" w:hAnsi="Arial" w:cs="Arial"/>
        <w:sz w:val="16"/>
        <w:szCs w:val="16"/>
        <w:lang w:val="es-ES"/>
      </w:rPr>
    </w:pPr>
    <w:r w:rsidRPr="002C6517">
      <w:rPr>
        <w:rFonts w:ascii="Arial" w:hAnsi="Arial" w:cs="Arial"/>
        <w:sz w:val="16"/>
        <w:szCs w:val="16"/>
        <w:lang w:val="es-ES"/>
      </w:rPr>
      <w:t>(Cifras expresadas en miles de pesos)</w:t>
    </w:r>
  </w:p>
  <w:p w14:paraId="441F0280" w14:textId="77777777" w:rsidR="00CD449E" w:rsidRPr="00BB2BE1" w:rsidRDefault="00CD449E" w:rsidP="00572B51">
    <w:pPr>
      <w:pStyle w:val="Encabezado"/>
      <w:rPr>
        <w:rFonts w:ascii="Arial" w:hAnsi="Arial" w:cs="Arial"/>
        <w:sz w:val="20"/>
        <w:lang w:val="es-ES"/>
      </w:rPr>
    </w:pPr>
  </w:p>
  <w:p w14:paraId="74AFB67F" w14:textId="77777777" w:rsidR="00CD449E" w:rsidRPr="008C1D4C" w:rsidRDefault="00CD449E" w:rsidP="002C6517">
    <w:pPr>
      <w:pStyle w:val="Encabezado"/>
      <w:rPr>
        <w:rFonts w:ascii="Arial" w:hAnsi="Arial" w:cs="Arial"/>
        <w:sz w:val="20"/>
        <w:lang w:val="es-ES_tradnl"/>
      </w:rPr>
    </w:pPr>
  </w:p>
  <w:p w14:paraId="13F929B7" w14:textId="77777777" w:rsidR="00CD449E" w:rsidRPr="008C1D4C" w:rsidRDefault="00CD449E" w:rsidP="008C1D4C">
    <w:pPr>
      <w:pStyle w:val="Encabezado"/>
      <w:rPr>
        <w:rFonts w:ascii="Arial" w:hAnsi="Arial" w:cs="Arial"/>
        <w:sz w:val="20"/>
        <w:lang w:val="es-ES_tradnl"/>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AD87D" w14:textId="77777777" w:rsidR="00CD449E" w:rsidRDefault="00CD449E" w:rsidP="00D458EF">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4A114567" wp14:editId="13A06400">
          <wp:extent cx="1027130" cy="452633"/>
          <wp:effectExtent l="19050" t="0" r="157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1629E9F8" w14:textId="77777777" w:rsidR="00CD449E" w:rsidRPr="00516AC8" w:rsidRDefault="00CD449E" w:rsidP="006A451F">
    <w:pPr>
      <w:pStyle w:val="Encabezado"/>
      <w:jc w:val="center"/>
      <w:rPr>
        <w:rFonts w:ascii="Arial" w:hAnsi="Arial" w:cs="Arial"/>
        <w:b/>
        <w:sz w:val="20"/>
        <w:lang w:val="es-ES_tradnl"/>
      </w:rPr>
    </w:pPr>
    <w:r>
      <w:rPr>
        <w:rFonts w:ascii="Arial" w:hAnsi="Arial" w:cs="Arial"/>
        <w:b/>
        <w:sz w:val="20"/>
        <w:lang w:val="es-ES_tradnl"/>
      </w:rPr>
      <w:t>PROYECTO DE DISTRIBUCION DE UTILIDADES</w:t>
    </w:r>
  </w:p>
  <w:p w14:paraId="61018CD5" w14:textId="77777777" w:rsidR="00CD449E" w:rsidRDefault="00CD449E" w:rsidP="006A451F">
    <w:pPr>
      <w:pStyle w:val="2Ttulo"/>
      <w:rPr>
        <w:rFonts w:ascii="Arial" w:hAnsi="Arial" w:cs="Arial"/>
        <w:sz w:val="20"/>
        <w:lang w:val="es-ES_tradnl"/>
      </w:rPr>
    </w:pPr>
    <w:r>
      <w:rPr>
        <w:rFonts w:ascii="Arial" w:hAnsi="Arial" w:cs="Arial"/>
        <w:sz w:val="20"/>
        <w:lang w:val="es-ES_tradnl"/>
      </w:rPr>
      <w:t>CORRESPONDIENTE AL EJERCICIO FINALIZADO</w:t>
    </w:r>
  </w:p>
  <w:p w14:paraId="1384BAFF" w14:textId="52A20C9F" w:rsidR="00CD449E" w:rsidRPr="00344C66" w:rsidRDefault="00CD449E" w:rsidP="006A451F">
    <w:pPr>
      <w:pStyle w:val="Encabezado"/>
      <w:jc w:val="center"/>
      <w:rPr>
        <w:rFonts w:ascii="Arial" w:hAnsi="Arial" w:cs="Arial"/>
        <w:b/>
        <w:sz w:val="20"/>
        <w:lang w:val="es-ES_tradnl"/>
      </w:rPr>
    </w:pPr>
    <w:r>
      <w:rPr>
        <w:rFonts w:ascii="Arial" w:hAnsi="Arial" w:cs="Arial"/>
        <w:b/>
        <w:sz w:val="20"/>
        <w:lang w:val="es-ES_tradnl"/>
      </w:rPr>
      <w:t xml:space="preserve"> EL 31 DE DICIEMBRE 2019</w:t>
    </w:r>
  </w:p>
  <w:p w14:paraId="66068687" w14:textId="77777777" w:rsidR="00CD449E" w:rsidRDefault="00CD449E" w:rsidP="006A451F">
    <w:pPr>
      <w:pStyle w:val="Encabezado"/>
      <w:jc w:val="center"/>
      <w:rPr>
        <w:rFonts w:ascii="Arial" w:hAnsi="Arial" w:cs="Arial"/>
        <w:sz w:val="16"/>
        <w:szCs w:val="16"/>
        <w:lang w:val="es-ES"/>
      </w:rPr>
    </w:pPr>
    <w:r w:rsidRPr="002C6517">
      <w:rPr>
        <w:rFonts w:ascii="Arial" w:hAnsi="Arial" w:cs="Arial"/>
        <w:sz w:val="16"/>
        <w:szCs w:val="16"/>
        <w:lang w:val="es-ES"/>
      </w:rPr>
      <w:t>(Cifras expresadas en miles de pesos)</w:t>
    </w:r>
  </w:p>
  <w:p w14:paraId="5DCE2FEB" w14:textId="579ADC5A" w:rsidR="00CD449E" w:rsidRDefault="00CD449E" w:rsidP="008C1D4C">
    <w:pPr>
      <w:pStyle w:val="Encabezado"/>
      <w:rPr>
        <w:rFonts w:ascii="Arial" w:hAnsi="Arial" w:cs="Arial"/>
        <w:sz w:val="20"/>
        <w:lang w:val="es-ES"/>
      </w:rPr>
    </w:pPr>
  </w:p>
  <w:p w14:paraId="6B043DA9" w14:textId="77777777" w:rsidR="00CD449E" w:rsidRPr="006A451F" w:rsidRDefault="00CD449E" w:rsidP="008C1D4C">
    <w:pPr>
      <w:pStyle w:val="Encabezado"/>
      <w:rPr>
        <w:rFonts w:ascii="Arial" w:hAnsi="Arial" w:cs="Arial"/>
        <w:sz w:val="20"/>
        <w:lang w:val="es-ES"/>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F1F3D" w14:textId="77777777" w:rsidR="00CD449E" w:rsidRDefault="00CD449E">
    <w:pPr>
      <w:pStyle w:val="Encabezad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D6971" w14:textId="77777777" w:rsidR="00CD449E" w:rsidRDefault="00CD449E" w:rsidP="00D458EF">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CE23CAD" wp14:editId="4E3E8367">
          <wp:extent cx="1027130" cy="452633"/>
          <wp:effectExtent l="19050" t="0" r="1570" b="0"/>
          <wp:docPr id="1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022F682" w14:textId="77777777" w:rsidR="00CD449E" w:rsidRDefault="00CD449E" w:rsidP="00A97183">
    <w:pPr>
      <w:tabs>
        <w:tab w:val="right" w:pos="9214"/>
      </w:tabs>
      <w:ind w:left="142" w:hanging="142"/>
      <w:rPr>
        <w:rFonts w:ascii="Arial" w:hAnsi="Arial" w:cs="Arial"/>
        <w:b/>
        <w:sz w:val="20"/>
        <w:lang w:val="es-ES_tradnl"/>
      </w:rPr>
    </w:pPr>
  </w:p>
  <w:p w14:paraId="1857A6A1" w14:textId="77777777" w:rsidR="00CD449E" w:rsidRDefault="00CD449E" w:rsidP="00A97183">
    <w:pPr>
      <w:tabs>
        <w:tab w:val="right" w:pos="9214"/>
      </w:tabs>
      <w:ind w:left="142" w:hanging="142"/>
      <w:rPr>
        <w:rFonts w:ascii="Arial" w:hAnsi="Arial" w:cs="Arial"/>
        <w:b/>
        <w:sz w:val="20"/>
        <w:lang w:val="es-ES_tradnl"/>
      </w:rPr>
    </w:pPr>
  </w:p>
  <w:p w14:paraId="75A03A50" w14:textId="77777777" w:rsidR="00CD449E" w:rsidRDefault="00CD449E" w:rsidP="00A97183">
    <w:pPr>
      <w:tabs>
        <w:tab w:val="right" w:pos="9214"/>
      </w:tabs>
      <w:ind w:left="142" w:hanging="142"/>
      <w:rPr>
        <w:rFonts w:ascii="Arial" w:hAnsi="Arial" w:cs="Arial"/>
        <w:b/>
        <w:sz w:val="20"/>
        <w:lang w:val="es-ES_tradnl"/>
      </w:rPr>
    </w:pPr>
  </w:p>
  <w:p w14:paraId="1EEA0860" w14:textId="77777777" w:rsidR="00CD449E" w:rsidRDefault="00CD449E" w:rsidP="00A97183">
    <w:pPr>
      <w:tabs>
        <w:tab w:val="right" w:pos="9214"/>
      </w:tabs>
      <w:ind w:left="142" w:hanging="142"/>
      <w:rPr>
        <w:rFonts w:ascii="Arial" w:hAnsi="Arial" w:cs="Arial"/>
        <w:b/>
        <w:sz w:val="20"/>
        <w:lang w:val="es-ES_tradnl"/>
      </w:rPr>
    </w:pPr>
  </w:p>
  <w:p w14:paraId="1350015A" w14:textId="77777777" w:rsidR="00CD449E" w:rsidRPr="00A97183" w:rsidRDefault="00CD449E" w:rsidP="00A97183">
    <w:pPr>
      <w:tabs>
        <w:tab w:val="right" w:pos="9214"/>
      </w:tabs>
      <w:ind w:left="142" w:hanging="142"/>
      <w:rPr>
        <w:rFonts w:ascii="Arial" w:hAnsi="Arial" w:cs="Arial"/>
        <w:b/>
        <w:sz w:val="20"/>
        <w:lang w:val="es-ES_tradnl"/>
      </w:rPr>
    </w:pPr>
  </w:p>
  <w:p w14:paraId="7F508F31" w14:textId="77777777" w:rsidR="00CD449E" w:rsidRDefault="00CD449E"/>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F4744" w14:textId="77777777" w:rsidR="00CD449E" w:rsidRDefault="00CD449E">
    <w:pPr>
      <w:pStyle w:val="Encabezad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186A6" w14:textId="77777777" w:rsidR="00CD449E" w:rsidRDefault="00CD449E" w:rsidP="00452D9D">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4F43D5FE" wp14:editId="7875475D">
          <wp:extent cx="1027130" cy="452633"/>
          <wp:effectExtent l="19050" t="0" r="1570" b="0"/>
          <wp:docPr id="1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B077D93" w14:textId="77777777" w:rsidR="00CD449E" w:rsidRPr="0056456F" w:rsidRDefault="00CD449E" w:rsidP="00452D9D">
    <w:pPr>
      <w:tabs>
        <w:tab w:val="right" w:pos="9214"/>
      </w:tabs>
      <w:ind w:left="142" w:hanging="142"/>
      <w:jc w:val="right"/>
      <w:rPr>
        <w:rFonts w:ascii="Arial" w:hAnsi="Arial" w:cs="Arial"/>
        <w:b/>
        <w:sz w:val="20"/>
        <w:lang w:val="es-ES_tradnl"/>
      </w:rPr>
    </w:pPr>
  </w:p>
  <w:p w14:paraId="59694033" w14:textId="68709E98" w:rsidR="00CD449E" w:rsidRDefault="00CD449E" w:rsidP="00343F2B">
    <w:pPr>
      <w:pStyle w:val="2Ttulo"/>
      <w:rPr>
        <w:rFonts w:ascii="Arial" w:hAnsi="Arial" w:cs="Arial"/>
        <w:sz w:val="20"/>
      </w:rPr>
    </w:pPr>
    <w:r w:rsidRPr="0017062B">
      <w:rPr>
        <w:rFonts w:ascii="Arial" w:hAnsi="Arial" w:cs="Arial"/>
        <w:sz w:val="20"/>
      </w:rPr>
      <w:t xml:space="preserve">ESTADO DE SITUACION </w:t>
    </w:r>
    <w:r>
      <w:rPr>
        <w:rFonts w:ascii="Arial" w:hAnsi="Arial" w:cs="Arial"/>
        <w:sz w:val="20"/>
      </w:rPr>
      <w:t>FINANCIERA SEPARADO</w:t>
    </w:r>
  </w:p>
  <w:p w14:paraId="35D0CF87" w14:textId="1CADDAA6" w:rsidR="00CD449E" w:rsidRPr="0017062B" w:rsidRDefault="00CD449E" w:rsidP="00343F2B">
    <w:pPr>
      <w:pStyle w:val="2Ttulo"/>
      <w:rPr>
        <w:rFonts w:ascii="Arial" w:hAnsi="Arial" w:cs="Arial"/>
        <w:sz w:val="20"/>
      </w:rPr>
    </w:pPr>
    <w:r>
      <w:rPr>
        <w:rFonts w:ascii="Arial" w:hAnsi="Arial" w:cs="Arial"/>
        <w:sz w:val="20"/>
      </w:rPr>
      <w:t>AL 31 DE DICIEMBRE DE 2019</w:t>
    </w:r>
  </w:p>
  <w:p w14:paraId="26B63035" w14:textId="2DF8628B" w:rsidR="00CD449E" w:rsidRPr="00905E24" w:rsidRDefault="00CD449E" w:rsidP="005C2DE7">
    <w:pPr>
      <w:pStyle w:val="2Ttulo"/>
      <w:rPr>
        <w:rFonts w:ascii="Arial" w:hAnsi="Arial" w:cs="Arial"/>
        <w:b w:val="0"/>
        <w:sz w:val="16"/>
        <w:szCs w:val="16"/>
        <w:lang w:val="es-ES_tradnl"/>
      </w:rPr>
    </w:pPr>
    <w:r w:rsidRPr="00905E24">
      <w:rPr>
        <w:rFonts w:ascii="Arial" w:hAnsi="Arial" w:cs="Arial"/>
        <w:b w:val="0"/>
        <w:sz w:val="16"/>
        <w:szCs w:val="16"/>
        <w:lang w:val="es-ES_tradnl"/>
      </w:rPr>
      <w:t>Presentado en forma comparativa con el ejercicio económico final</w:t>
    </w:r>
    <w:r>
      <w:rPr>
        <w:rFonts w:ascii="Arial" w:hAnsi="Arial" w:cs="Arial"/>
        <w:b w:val="0"/>
        <w:sz w:val="16"/>
        <w:szCs w:val="16"/>
        <w:lang w:val="es-ES_tradnl"/>
      </w:rPr>
      <w:t>izado el 31 de diciembre de 2018</w:t>
    </w:r>
  </w:p>
  <w:p w14:paraId="366423A4" w14:textId="74EBE2C7" w:rsidR="00CD449E" w:rsidRDefault="00CD449E" w:rsidP="005C2DE7">
    <w:pPr>
      <w:pStyle w:val="2Ttulo"/>
      <w:rPr>
        <w:rFonts w:ascii="Arial" w:hAnsi="Arial" w:cs="Arial"/>
        <w:b w:val="0"/>
        <w:sz w:val="16"/>
        <w:szCs w:val="16"/>
      </w:rPr>
    </w:pPr>
    <w:r w:rsidRPr="00905E24">
      <w:rPr>
        <w:rFonts w:ascii="Arial" w:hAnsi="Arial" w:cs="Arial"/>
        <w:b w:val="0"/>
        <w:sz w:val="16"/>
        <w:szCs w:val="16"/>
      </w:rPr>
      <w:t>(Cifras expresa</w:t>
    </w:r>
    <w:r>
      <w:rPr>
        <w:rFonts w:ascii="Arial" w:hAnsi="Arial" w:cs="Arial"/>
        <w:b w:val="0"/>
        <w:sz w:val="16"/>
        <w:szCs w:val="16"/>
      </w:rPr>
      <w:t>das en miles de pesos</w:t>
    </w:r>
    <w:r w:rsidRPr="00905E24">
      <w:rPr>
        <w:rFonts w:ascii="Arial" w:hAnsi="Arial" w:cs="Arial"/>
        <w:b w:val="0"/>
        <w:sz w:val="16"/>
        <w:szCs w:val="16"/>
      </w:rPr>
      <w:t>)</w:t>
    </w:r>
  </w:p>
  <w:p w14:paraId="3AB821DF" w14:textId="77777777" w:rsidR="00CD449E" w:rsidRPr="00333643" w:rsidRDefault="00CD449E" w:rsidP="005C2DE7">
    <w:pPr>
      <w:pStyle w:val="2Ttulo"/>
      <w:jc w:val="left"/>
      <w:rPr>
        <w:rFonts w:ascii="Arial" w:hAnsi="Arial" w:cs="Arial"/>
        <w:b w:val="0"/>
        <w:sz w:val="20"/>
      </w:rPr>
    </w:pPr>
  </w:p>
  <w:p w14:paraId="44F832F1" w14:textId="77777777" w:rsidR="00CD449E" w:rsidRPr="00452D9D" w:rsidRDefault="00CD449E" w:rsidP="005C2DE7">
    <w:pPr>
      <w:rPr>
        <w:rFonts w:ascii="Arial" w:hAnsi="Arial" w:cs="Arial"/>
        <w:b/>
        <w:sz w:val="2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0E1A3" w14:textId="77777777" w:rsidR="00CD449E" w:rsidRDefault="00CD449E" w:rsidP="00452D9D">
    <w:pPr>
      <w:tabs>
        <w:tab w:val="right" w:pos="9214"/>
      </w:tabs>
      <w:ind w:left="142" w:hanging="142"/>
      <w:jc w:val="right"/>
      <w:rPr>
        <w:rFonts w:ascii="Arial" w:hAnsi="Arial" w:cs="Arial"/>
        <w:sz w:val="20"/>
        <w:lang w:val="es-ES"/>
      </w:rPr>
    </w:pPr>
    <w:r w:rsidRPr="009042A8">
      <w:rPr>
        <w:rFonts w:ascii="Arial" w:hAnsi="Arial" w:cs="Arial"/>
        <w:noProof/>
        <w:sz w:val="20"/>
        <w:lang w:eastAsia="es-AR"/>
      </w:rPr>
      <w:drawing>
        <wp:inline distT="0" distB="0" distL="0" distR="0" wp14:anchorId="463FAFAC" wp14:editId="1443411D">
          <wp:extent cx="1027130" cy="452633"/>
          <wp:effectExtent l="19050" t="0" r="1570" b="0"/>
          <wp:docPr id="1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FBCFC6A" w14:textId="77777777" w:rsidR="00CD449E" w:rsidRPr="0017062B" w:rsidRDefault="00CD449E" w:rsidP="00452D9D">
    <w:pPr>
      <w:tabs>
        <w:tab w:val="right" w:pos="9214"/>
      </w:tabs>
      <w:ind w:left="142" w:hanging="142"/>
      <w:jc w:val="right"/>
      <w:rPr>
        <w:rFonts w:ascii="Arial" w:hAnsi="Arial" w:cs="Arial"/>
        <w:sz w:val="20"/>
        <w:lang w:val="es-ES"/>
      </w:rPr>
    </w:pPr>
  </w:p>
  <w:p w14:paraId="002C2BF4" w14:textId="54A9D597" w:rsidR="00CD449E" w:rsidRPr="00D90995" w:rsidRDefault="00CD449E" w:rsidP="00316445">
    <w:pPr>
      <w:pStyle w:val="2Ttulo"/>
      <w:rPr>
        <w:rFonts w:ascii="Arial" w:hAnsi="Arial" w:cs="Arial"/>
        <w:sz w:val="20"/>
        <w:lang w:val="es-ES_tradnl"/>
      </w:rPr>
    </w:pPr>
    <w:r>
      <w:rPr>
        <w:rFonts w:ascii="Arial" w:hAnsi="Arial" w:cs="Arial"/>
        <w:sz w:val="20"/>
      </w:rPr>
      <w:t>ESTADO DE RESULTADOS SEPARADO</w:t>
    </w:r>
  </w:p>
  <w:p w14:paraId="399EE105" w14:textId="4B493402" w:rsidR="00CD449E" w:rsidRDefault="00CD449E" w:rsidP="00B511FF">
    <w:pPr>
      <w:pStyle w:val="2Ttulo"/>
      <w:rPr>
        <w:rFonts w:ascii="Arial" w:hAnsi="Arial" w:cs="Arial"/>
        <w:sz w:val="20"/>
        <w:lang w:val="es-ES_tradnl"/>
      </w:rPr>
    </w:pPr>
    <w:r w:rsidRPr="00D90995">
      <w:rPr>
        <w:rFonts w:ascii="Arial" w:hAnsi="Arial" w:cs="Arial"/>
        <w:sz w:val="20"/>
        <w:lang w:val="es-ES_tradnl"/>
      </w:rPr>
      <w:t xml:space="preserve">CORRESPONDIENTE AL </w:t>
    </w:r>
    <w:r>
      <w:rPr>
        <w:rFonts w:ascii="Arial" w:hAnsi="Arial" w:cs="Arial"/>
        <w:sz w:val="20"/>
        <w:lang w:val="es-ES_tradnl"/>
      </w:rPr>
      <w:t>EJERCICIO ECONÓMICO FINALIZADO</w:t>
    </w:r>
  </w:p>
  <w:p w14:paraId="1F2B4B32" w14:textId="5C65846A" w:rsidR="00CD449E" w:rsidRPr="00B511FF" w:rsidRDefault="00CD449E" w:rsidP="00B511FF">
    <w:pPr>
      <w:pStyle w:val="2Ttulo"/>
      <w:rPr>
        <w:rFonts w:ascii="Arial" w:hAnsi="Arial" w:cs="Arial"/>
        <w:b w:val="0"/>
        <w:sz w:val="20"/>
      </w:rPr>
    </w:pPr>
    <w:r>
      <w:rPr>
        <w:rFonts w:ascii="Arial" w:hAnsi="Arial" w:cs="Arial"/>
        <w:sz w:val="20"/>
        <w:lang w:val="es-ES_tradnl"/>
      </w:rPr>
      <w:t>EL 31</w:t>
    </w:r>
    <w:r w:rsidRPr="00D90995">
      <w:rPr>
        <w:rFonts w:ascii="Arial" w:hAnsi="Arial" w:cs="Arial"/>
        <w:sz w:val="20"/>
        <w:lang w:val="es-ES_tradnl"/>
      </w:rPr>
      <w:t xml:space="preserve"> DE</w:t>
    </w:r>
    <w:r>
      <w:rPr>
        <w:rFonts w:ascii="Arial" w:hAnsi="Arial" w:cs="Arial"/>
        <w:sz w:val="20"/>
        <w:lang w:val="es-ES_tradnl"/>
      </w:rPr>
      <w:t xml:space="preserve"> DICIEMBRE DE 2019</w:t>
    </w:r>
  </w:p>
  <w:p w14:paraId="5AF07EE0" w14:textId="3D95AEB3" w:rsidR="00CD449E" w:rsidRPr="005E5441" w:rsidRDefault="00CD449E" w:rsidP="00174CCB">
    <w:pPr>
      <w:pStyle w:val="2Ttulo"/>
      <w:rPr>
        <w:rFonts w:ascii="Arial" w:hAnsi="Arial" w:cs="Arial"/>
        <w:b w:val="0"/>
        <w:sz w:val="16"/>
        <w:szCs w:val="16"/>
        <w:lang w:val="es-ES_tradnl"/>
      </w:rPr>
    </w:pPr>
    <w:r w:rsidRPr="005E5441">
      <w:rPr>
        <w:rFonts w:ascii="Arial" w:hAnsi="Arial" w:cs="Arial"/>
        <w:b w:val="0"/>
        <w:sz w:val="16"/>
        <w:szCs w:val="16"/>
        <w:lang w:val="es-ES_tradnl"/>
      </w:rPr>
      <w:t>Presentado en</w:t>
    </w:r>
    <w:r>
      <w:rPr>
        <w:rFonts w:ascii="Arial" w:hAnsi="Arial" w:cs="Arial"/>
        <w:b w:val="0"/>
        <w:sz w:val="16"/>
        <w:szCs w:val="16"/>
        <w:lang w:val="es-ES_tradnl"/>
      </w:rPr>
      <w:t xml:space="preserve"> forma comparativa con el ejercicio</w:t>
    </w:r>
    <w:r w:rsidRPr="005E5441">
      <w:rPr>
        <w:rFonts w:ascii="Arial" w:hAnsi="Arial" w:cs="Arial"/>
        <w:b w:val="0"/>
        <w:sz w:val="16"/>
        <w:szCs w:val="16"/>
        <w:lang w:val="es-ES_tradnl"/>
      </w:rPr>
      <w:t xml:space="preserve"> anterior</w:t>
    </w:r>
  </w:p>
  <w:p w14:paraId="57403CAD" w14:textId="00C3F71C" w:rsidR="00CD449E" w:rsidRDefault="00CD449E" w:rsidP="00174CCB">
    <w:pPr>
      <w:pStyle w:val="2Ttulo"/>
      <w:rPr>
        <w:rFonts w:ascii="Arial" w:hAnsi="Arial" w:cs="Arial"/>
        <w:b w:val="0"/>
        <w:sz w:val="16"/>
        <w:szCs w:val="16"/>
      </w:rPr>
    </w:pPr>
    <w:r w:rsidRPr="005E5441">
      <w:rPr>
        <w:rFonts w:ascii="Arial" w:hAnsi="Arial" w:cs="Arial"/>
        <w:b w:val="0"/>
        <w:sz w:val="16"/>
        <w:szCs w:val="16"/>
      </w:rPr>
      <w:t>(Cifras expresadas en miles de pesos)</w:t>
    </w:r>
  </w:p>
  <w:p w14:paraId="5664A8DD" w14:textId="77777777" w:rsidR="00CD449E" w:rsidRPr="00050353" w:rsidRDefault="00CD449E" w:rsidP="00174CCB">
    <w:pPr>
      <w:pStyle w:val="2Ttulo"/>
      <w:jc w:val="left"/>
      <w:rPr>
        <w:rFonts w:ascii="Arial" w:hAnsi="Arial" w:cs="Arial"/>
        <w:b w:val="0"/>
        <w:sz w:val="20"/>
      </w:rPr>
    </w:pPr>
  </w:p>
  <w:p w14:paraId="6EAF1554" w14:textId="77777777" w:rsidR="00CD449E" w:rsidRPr="00174CCB" w:rsidRDefault="00CD449E" w:rsidP="005C2DE7">
    <w:pPr>
      <w:rPr>
        <w:rFonts w:ascii="Arial" w:hAnsi="Arial" w:cs="Arial"/>
        <w:b/>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A5522" w14:textId="77777777" w:rsidR="00CD449E" w:rsidRDefault="00CD449E" w:rsidP="00452D9D">
    <w:pPr>
      <w:tabs>
        <w:tab w:val="right" w:pos="9214"/>
      </w:tabs>
      <w:ind w:left="142" w:hanging="142"/>
      <w:jc w:val="right"/>
      <w:rPr>
        <w:rFonts w:ascii="Arial" w:hAnsi="Arial" w:cs="Arial"/>
        <w:sz w:val="20"/>
        <w:lang w:val="es-ES"/>
      </w:rPr>
    </w:pPr>
    <w:r w:rsidRPr="009042A8">
      <w:rPr>
        <w:rFonts w:ascii="Arial" w:hAnsi="Arial" w:cs="Arial"/>
        <w:noProof/>
        <w:sz w:val="20"/>
        <w:lang w:eastAsia="es-AR"/>
      </w:rPr>
      <w:drawing>
        <wp:inline distT="0" distB="0" distL="0" distR="0" wp14:anchorId="7325B107" wp14:editId="08053BED">
          <wp:extent cx="1027130" cy="452633"/>
          <wp:effectExtent l="19050" t="0" r="1570" b="0"/>
          <wp:docPr id="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7770C57A" w14:textId="77777777" w:rsidR="00CD449E" w:rsidRPr="0017062B" w:rsidRDefault="00CD449E" w:rsidP="00452D9D">
    <w:pPr>
      <w:tabs>
        <w:tab w:val="right" w:pos="9214"/>
      </w:tabs>
      <w:ind w:left="142" w:hanging="142"/>
      <w:jc w:val="right"/>
      <w:rPr>
        <w:rFonts w:ascii="Arial" w:hAnsi="Arial" w:cs="Arial"/>
        <w:sz w:val="20"/>
        <w:lang w:val="es-ES"/>
      </w:rPr>
    </w:pPr>
  </w:p>
  <w:p w14:paraId="3C54C824" w14:textId="2C2CBA98" w:rsidR="00CD449E" w:rsidRPr="00447338" w:rsidRDefault="00CD449E" w:rsidP="00447338">
    <w:pPr>
      <w:pStyle w:val="2Ttulo"/>
      <w:rPr>
        <w:rFonts w:ascii="Arial" w:hAnsi="Arial" w:cs="Arial"/>
        <w:sz w:val="20"/>
      </w:rPr>
    </w:pPr>
    <w:r>
      <w:rPr>
        <w:rFonts w:ascii="Arial" w:hAnsi="Arial" w:cs="Arial"/>
        <w:sz w:val="20"/>
      </w:rPr>
      <w:t>ESTADO DE RESULTADOS SEPARADO – GANANCIA POR ACCION</w:t>
    </w:r>
  </w:p>
  <w:p w14:paraId="1B8ED96F" w14:textId="4077C92C" w:rsidR="00CD449E" w:rsidRDefault="00CD449E" w:rsidP="00B511FF">
    <w:pPr>
      <w:pStyle w:val="2Ttulo"/>
      <w:rPr>
        <w:rFonts w:ascii="Arial" w:hAnsi="Arial" w:cs="Arial"/>
        <w:sz w:val="20"/>
        <w:lang w:val="es-ES_tradnl"/>
      </w:rPr>
    </w:pPr>
    <w:r w:rsidRPr="00D90995">
      <w:rPr>
        <w:rFonts w:ascii="Arial" w:hAnsi="Arial" w:cs="Arial"/>
        <w:sz w:val="20"/>
        <w:lang w:val="es-ES_tradnl"/>
      </w:rPr>
      <w:t xml:space="preserve">CORRESPONDIENTE AL </w:t>
    </w:r>
    <w:r>
      <w:rPr>
        <w:rFonts w:ascii="Arial" w:hAnsi="Arial" w:cs="Arial"/>
        <w:sz w:val="20"/>
        <w:lang w:val="es-ES_tradnl"/>
      </w:rPr>
      <w:t>EJERCICIO ECONÓMICO FINALIZADO</w:t>
    </w:r>
  </w:p>
  <w:p w14:paraId="52382E52" w14:textId="08229B8F" w:rsidR="00CD449E" w:rsidRDefault="00CD449E" w:rsidP="00B511FF">
    <w:pPr>
      <w:pStyle w:val="2Ttulo"/>
      <w:rPr>
        <w:rFonts w:ascii="Arial" w:hAnsi="Arial" w:cs="Arial"/>
        <w:sz w:val="20"/>
        <w:lang w:val="es-ES_tradnl"/>
      </w:rPr>
    </w:pPr>
    <w:r>
      <w:rPr>
        <w:rFonts w:ascii="Arial" w:hAnsi="Arial" w:cs="Arial"/>
        <w:sz w:val="20"/>
        <w:lang w:val="es-ES_tradnl"/>
      </w:rPr>
      <w:t>EL 31</w:t>
    </w:r>
    <w:r w:rsidRPr="00D90995">
      <w:rPr>
        <w:rFonts w:ascii="Arial" w:hAnsi="Arial" w:cs="Arial"/>
        <w:sz w:val="20"/>
        <w:lang w:val="es-ES_tradnl"/>
      </w:rPr>
      <w:t xml:space="preserve"> DE</w:t>
    </w:r>
    <w:r>
      <w:rPr>
        <w:rFonts w:ascii="Arial" w:hAnsi="Arial" w:cs="Arial"/>
        <w:sz w:val="20"/>
        <w:lang w:val="es-ES_tradnl"/>
      </w:rPr>
      <w:t xml:space="preserve"> DICIEMBRE DE 2019</w:t>
    </w:r>
  </w:p>
  <w:p w14:paraId="5055E611" w14:textId="77777777" w:rsidR="00CD449E" w:rsidRPr="00447338" w:rsidRDefault="00CD449E" w:rsidP="00B511FF">
    <w:pPr>
      <w:pStyle w:val="2Ttulo"/>
      <w:rPr>
        <w:rFonts w:ascii="Arial" w:hAnsi="Arial" w:cs="Arial"/>
        <w:b w:val="0"/>
        <w:sz w:val="20"/>
        <w:lang w:val="es-ES_tradnl"/>
      </w:rPr>
    </w:pPr>
  </w:p>
  <w:p w14:paraId="0A67F1B2" w14:textId="32B67FA3" w:rsidR="00CD449E" w:rsidRPr="005E5441" w:rsidRDefault="00CD449E" w:rsidP="00174CCB">
    <w:pPr>
      <w:pStyle w:val="2Ttulo"/>
      <w:rPr>
        <w:rFonts w:ascii="Arial" w:hAnsi="Arial" w:cs="Arial"/>
        <w:b w:val="0"/>
        <w:sz w:val="16"/>
        <w:szCs w:val="16"/>
        <w:lang w:val="es-ES_tradnl"/>
      </w:rPr>
    </w:pPr>
    <w:r w:rsidRPr="005E5441">
      <w:rPr>
        <w:rFonts w:ascii="Arial" w:hAnsi="Arial" w:cs="Arial"/>
        <w:b w:val="0"/>
        <w:sz w:val="16"/>
        <w:szCs w:val="16"/>
        <w:lang w:val="es-ES_tradnl"/>
      </w:rPr>
      <w:t>Presentado en</w:t>
    </w:r>
    <w:r>
      <w:rPr>
        <w:rFonts w:ascii="Arial" w:hAnsi="Arial" w:cs="Arial"/>
        <w:b w:val="0"/>
        <w:sz w:val="16"/>
        <w:szCs w:val="16"/>
        <w:lang w:val="es-ES_tradnl"/>
      </w:rPr>
      <w:t xml:space="preserve"> forma comparativa con el ejercicio</w:t>
    </w:r>
    <w:r w:rsidRPr="005E5441">
      <w:rPr>
        <w:rFonts w:ascii="Arial" w:hAnsi="Arial" w:cs="Arial"/>
        <w:b w:val="0"/>
        <w:sz w:val="16"/>
        <w:szCs w:val="16"/>
        <w:lang w:val="es-ES_tradnl"/>
      </w:rPr>
      <w:t xml:space="preserve"> anterior</w:t>
    </w:r>
  </w:p>
  <w:p w14:paraId="50AFF322" w14:textId="764BDAC7" w:rsidR="00CD449E" w:rsidRDefault="00CD449E" w:rsidP="00174CCB">
    <w:pPr>
      <w:pStyle w:val="2Ttulo"/>
      <w:rPr>
        <w:rFonts w:ascii="Arial" w:hAnsi="Arial" w:cs="Arial"/>
        <w:b w:val="0"/>
        <w:sz w:val="16"/>
        <w:szCs w:val="16"/>
      </w:rPr>
    </w:pPr>
    <w:r w:rsidRPr="005E5441">
      <w:rPr>
        <w:rFonts w:ascii="Arial" w:hAnsi="Arial" w:cs="Arial"/>
        <w:b w:val="0"/>
        <w:sz w:val="16"/>
        <w:szCs w:val="16"/>
      </w:rPr>
      <w:t>(Cifras expresadas en miles de pesos)</w:t>
    </w:r>
  </w:p>
  <w:p w14:paraId="090F4568" w14:textId="77777777" w:rsidR="00CD449E" w:rsidRPr="00050353" w:rsidRDefault="00CD449E" w:rsidP="00174CCB">
    <w:pPr>
      <w:pStyle w:val="2Ttulo"/>
      <w:jc w:val="left"/>
      <w:rPr>
        <w:rFonts w:ascii="Arial" w:hAnsi="Arial" w:cs="Arial"/>
        <w:b w:val="0"/>
        <w:sz w:val="20"/>
      </w:rPr>
    </w:pPr>
  </w:p>
  <w:p w14:paraId="29E66965" w14:textId="77777777" w:rsidR="00CD449E" w:rsidRPr="00174CCB" w:rsidRDefault="00CD449E" w:rsidP="005C2DE7">
    <w:pPr>
      <w:rPr>
        <w:rFonts w:ascii="Arial" w:hAnsi="Arial" w:cs="Arial"/>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242E6" w14:textId="77777777" w:rsidR="00CD449E" w:rsidRDefault="00CD449E" w:rsidP="00C80859">
    <w:pPr>
      <w:tabs>
        <w:tab w:val="right" w:pos="9214"/>
      </w:tabs>
      <w:ind w:left="142" w:hanging="142"/>
      <w:jc w:val="right"/>
      <w:rPr>
        <w:rFonts w:ascii="Arial" w:hAnsi="Arial" w:cs="Arial"/>
        <w:sz w:val="20"/>
        <w:lang w:val="es-ES"/>
      </w:rPr>
    </w:pPr>
    <w:r w:rsidRPr="009042A8">
      <w:rPr>
        <w:rFonts w:ascii="Arial" w:hAnsi="Arial" w:cs="Arial"/>
        <w:b/>
        <w:noProof/>
        <w:sz w:val="20"/>
        <w:lang w:eastAsia="es-AR"/>
      </w:rPr>
      <w:drawing>
        <wp:inline distT="0" distB="0" distL="0" distR="0" wp14:anchorId="51D6CF2C" wp14:editId="38D69F6E">
          <wp:extent cx="1027130" cy="452633"/>
          <wp:effectExtent l="19050" t="0" r="1570" b="0"/>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12FD4002" w14:textId="77777777" w:rsidR="00CD449E" w:rsidRDefault="00CD449E" w:rsidP="00C80859">
    <w:pPr>
      <w:tabs>
        <w:tab w:val="right" w:pos="9214"/>
      </w:tabs>
      <w:ind w:left="142" w:hanging="142"/>
      <w:jc w:val="right"/>
      <w:rPr>
        <w:rFonts w:ascii="Arial" w:hAnsi="Arial" w:cs="Arial"/>
        <w:sz w:val="20"/>
        <w:lang w:val="es-ES"/>
      </w:rPr>
    </w:pPr>
  </w:p>
  <w:p w14:paraId="188D4706" w14:textId="77777777" w:rsidR="00CD449E" w:rsidRPr="0017062B" w:rsidRDefault="00CD449E" w:rsidP="00C80859">
    <w:pPr>
      <w:tabs>
        <w:tab w:val="right" w:pos="9214"/>
      </w:tabs>
      <w:ind w:left="142" w:hanging="142"/>
      <w:jc w:val="center"/>
      <w:rPr>
        <w:rFonts w:ascii="Arial" w:hAnsi="Arial" w:cs="Arial"/>
        <w:sz w:val="20"/>
        <w:lang w:val="es-ES"/>
      </w:rPr>
    </w:pPr>
  </w:p>
  <w:p w14:paraId="7EEA70CA" w14:textId="0B36528D" w:rsidR="00CD449E" w:rsidRPr="0017062B" w:rsidRDefault="00CD449E" w:rsidP="009327FF">
    <w:pPr>
      <w:pStyle w:val="2Ttulo"/>
      <w:rPr>
        <w:rFonts w:ascii="Arial" w:hAnsi="Arial" w:cs="Arial"/>
        <w:sz w:val="20"/>
      </w:rPr>
    </w:pPr>
    <w:r w:rsidRPr="0017062B">
      <w:rPr>
        <w:rFonts w:ascii="Arial" w:hAnsi="Arial" w:cs="Arial"/>
        <w:sz w:val="20"/>
      </w:rPr>
      <w:t xml:space="preserve">ESTADO </w:t>
    </w:r>
    <w:r>
      <w:rPr>
        <w:rFonts w:ascii="Arial" w:hAnsi="Arial" w:cs="Arial"/>
        <w:sz w:val="20"/>
      </w:rPr>
      <w:t xml:space="preserve">DE </w:t>
    </w:r>
    <w:r w:rsidRPr="0017062B">
      <w:rPr>
        <w:rFonts w:ascii="Arial" w:hAnsi="Arial" w:cs="Arial"/>
        <w:sz w:val="20"/>
      </w:rPr>
      <w:t>RESULTADOS</w:t>
    </w:r>
    <w:r w:rsidRPr="006423FF">
      <w:rPr>
        <w:rFonts w:ascii="Arial" w:hAnsi="Arial" w:cs="Arial"/>
        <w:sz w:val="20"/>
      </w:rPr>
      <w:t xml:space="preserve"> </w:t>
    </w:r>
    <w:r>
      <w:rPr>
        <w:rFonts w:ascii="Arial" w:hAnsi="Arial" w:cs="Arial"/>
        <w:sz w:val="20"/>
      </w:rPr>
      <w:t>CONSOLIDADO</w:t>
    </w:r>
  </w:p>
  <w:p w14:paraId="02F5FDC2" w14:textId="357EADAF" w:rsidR="00CD449E" w:rsidRDefault="00CD449E" w:rsidP="00143CC8">
    <w:pPr>
      <w:pStyle w:val="2Ttulo"/>
      <w:rPr>
        <w:rFonts w:ascii="Arial" w:hAnsi="Arial" w:cs="Arial"/>
        <w:sz w:val="20"/>
        <w:lang w:val="es-ES_tradnl"/>
      </w:rPr>
    </w:pPr>
    <w:r w:rsidRPr="0017062B">
      <w:rPr>
        <w:rFonts w:ascii="Arial" w:hAnsi="Arial" w:cs="Arial"/>
        <w:sz w:val="20"/>
        <w:lang w:val="es-ES_tradnl"/>
      </w:rPr>
      <w:t>CO</w:t>
    </w:r>
    <w:r>
      <w:rPr>
        <w:rFonts w:ascii="Arial" w:hAnsi="Arial" w:cs="Arial"/>
        <w:sz w:val="20"/>
        <w:lang w:val="es-ES_tradnl"/>
      </w:rPr>
      <w:t xml:space="preserve">RRESPONDIENTE AL EJERCICIO ECONÓMICO FINALIZADO </w:t>
    </w:r>
  </w:p>
  <w:p w14:paraId="32149F12" w14:textId="36FE5965" w:rsidR="00CD449E" w:rsidRDefault="00CD449E" w:rsidP="007D0D3E">
    <w:pPr>
      <w:pStyle w:val="2Ttulo"/>
      <w:rPr>
        <w:rFonts w:ascii="Arial" w:hAnsi="Arial" w:cs="Arial"/>
        <w:sz w:val="20"/>
        <w:lang w:val="es-ES_tradnl"/>
      </w:rPr>
    </w:pPr>
    <w:r>
      <w:rPr>
        <w:rFonts w:ascii="Arial" w:hAnsi="Arial" w:cs="Arial"/>
        <w:sz w:val="20"/>
        <w:lang w:val="es-ES_tradnl"/>
      </w:rPr>
      <w:t>EL 31</w:t>
    </w:r>
    <w:r w:rsidRPr="0017062B">
      <w:rPr>
        <w:rFonts w:ascii="Arial" w:hAnsi="Arial" w:cs="Arial"/>
        <w:sz w:val="20"/>
        <w:lang w:val="es-ES_tradnl"/>
      </w:rPr>
      <w:t xml:space="preserve"> DE</w:t>
    </w:r>
    <w:r>
      <w:rPr>
        <w:rFonts w:ascii="Arial" w:hAnsi="Arial" w:cs="Arial"/>
        <w:sz w:val="20"/>
        <w:lang w:val="es-ES_tradnl"/>
      </w:rPr>
      <w:t xml:space="preserve"> DICIEMBRE DE 2019</w:t>
    </w:r>
  </w:p>
  <w:p w14:paraId="5C2733BB" w14:textId="77777777" w:rsidR="00CD449E" w:rsidRDefault="00CD449E" w:rsidP="007D0D3E">
    <w:pPr>
      <w:pStyle w:val="2Ttulo"/>
      <w:rPr>
        <w:rFonts w:ascii="Arial" w:hAnsi="Arial" w:cs="Arial"/>
        <w:sz w:val="20"/>
        <w:lang w:val="es-ES_tradnl"/>
      </w:rPr>
    </w:pPr>
  </w:p>
  <w:p w14:paraId="66F874A2" w14:textId="56B84D2F" w:rsidR="00CD449E" w:rsidRPr="005E5441" w:rsidRDefault="00CD449E" w:rsidP="00143CC8">
    <w:pPr>
      <w:pStyle w:val="2Ttulo"/>
      <w:rPr>
        <w:rFonts w:ascii="Arial" w:hAnsi="Arial" w:cs="Arial"/>
        <w:b w:val="0"/>
        <w:sz w:val="16"/>
        <w:szCs w:val="16"/>
        <w:lang w:val="es-ES_tradnl"/>
      </w:rPr>
    </w:pPr>
    <w:r w:rsidRPr="005E5441">
      <w:rPr>
        <w:rFonts w:ascii="Arial" w:hAnsi="Arial" w:cs="Arial"/>
        <w:b w:val="0"/>
        <w:sz w:val="16"/>
        <w:szCs w:val="16"/>
        <w:lang w:val="es-ES_tradnl"/>
      </w:rPr>
      <w:t xml:space="preserve">Presentado </w:t>
    </w:r>
    <w:r>
      <w:rPr>
        <w:rFonts w:ascii="Arial" w:hAnsi="Arial" w:cs="Arial"/>
        <w:b w:val="0"/>
        <w:sz w:val="16"/>
        <w:szCs w:val="16"/>
        <w:lang w:val="es-ES_tradnl"/>
      </w:rPr>
      <w:t>en forma comparativa con el ejercicio anterior</w:t>
    </w:r>
  </w:p>
  <w:p w14:paraId="649F53AD" w14:textId="77777777" w:rsidR="00CD449E" w:rsidRDefault="00CD449E" w:rsidP="00143CC8">
    <w:pPr>
      <w:pStyle w:val="2Ttulo"/>
      <w:rPr>
        <w:rFonts w:ascii="Arial" w:hAnsi="Arial" w:cs="Arial"/>
        <w:b w:val="0"/>
        <w:sz w:val="16"/>
        <w:szCs w:val="16"/>
      </w:rPr>
    </w:pPr>
    <w:r w:rsidRPr="005E5441">
      <w:rPr>
        <w:rFonts w:ascii="Arial" w:hAnsi="Arial" w:cs="Arial"/>
        <w:b w:val="0"/>
        <w:sz w:val="16"/>
        <w:szCs w:val="16"/>
      </w:rPr>
      <w:t>(Cifras expresadas en miles de pesos)</w:t>
    </w:r>
  </w:p>
  <w:p w14:paraId="4F59F21B" w14:textId="77777777" w:rsidR="00CD449E" w:rsidRPr="00050353" w:rsidRDefault="00CD449E" w:rsidP="00050353">
    <w:pPr>
      <w:pStyle w:val="2Ttulo"/>
      <w:jc w:val="left"/>
      <w:rPr>
        <w:rFonts w:ascii="Arial" w:hAnsi="Arial" w:cs="Arial"/>
        <w:b w:val="0"/>
        <w:sz w:val="20"/>
      </w:rPr>
    </w:pPr>
  </w:p>
  <w:p w14:paraId="48A9E2FB" w14:textId="77777777" w:rsidR="00CD449E" w:rsidRPr="00B70E4F" w:rsidRDefault="00CD449E" w:rsidP="00050353">
    <w:pPr>
      <w:pStyle w:val="2Ttulo"/>
      <w:jc w:val="left"/>
      <w:rPr>
        <w:rFonts w:ascii="Arial" w:hAnsi="Arial" w:cs="Arial"/>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1B29B" w14:textId="77777777" w:rsidR="00CD449E" w:rsidRDefault="00CD449E" w:rsidP="00452D9D">
    <w:pPr>
      <w:tabs>
        <w:tab w:val="right" w:pos="9214"/>
      </w:tabs>
      <w:ind w:left="142" w:hanging="142"/>
      <w:jc w:val="right"/>
      <w:rPr>
        <w:rFonts w:ascii="Arial" w:hAnsi="Arial" w:cs="Arial"/>
        <w:sz w:val="20"/>
        <w:lang w:val="es-ES"/>
      </w:rPr>
    </w:pPr>
    <w:r w:rsidRPr="009042A8">
      <w:rPr>
        <w:rFonts w:ascii="Arial" w:hAnsi="Arial" w:cs="Arial"/>
        <w:noProof/>
        <w:sz w:val="20"/>
        <w:lang w:eastAsia="es-AR"/>
      </w:rPr>
      <w:drawing>
        <wp:inline distT="0" distB="0" distL="0" distR="0" wp14:anchorId="4BD8B99B" wp14:editId="54554639">
          <wp:extent cx="1027130" cy="452633"/>
          <wp:effectExtent l="19050" t="0" r="1570" b="0"/>
          <wp:docPr id="1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34CDD7D9" w14:textId="77777777" w:rsidR="00CD449E" w:rsidRPr="0017062B" w:rsidRDefault="00CD449E" w:rsidP="00452D9D">
    <w:pPr>
      <w:tabs>
        <w:tab w:val="right" w:pos="9214"/>
      </w:tabs>
      <w:ind w:left="142" w:hanging="142"/>
      <w:jc w:val="right"/>
      <w:rPr>
        <w:rFonts w:ascii="Arial" w:hAnsi="Arial" w:cs="Arial"/>
        <w:sz w:val="20"/>
        <w:lang w:val="es-ES"/>
      </w:rPr>
    </w:pPr>
  </w:p>
  <w:p w14:paraId="57DE7D44" w14:textId="4AFF23EC" w:rsidR="00CD449E" w:rsidRDefault="00CD449E" w:rsidP="002669F4">
    <w:pPr>
      <w:pStyle w:val="2Ttulo"/>
      <w:rPr>
        <w:rFonts w:ascii="Arial" w:hAnsi="Arial" w:cs="Arial"/>
        <w:sz w:val="20"/>
        <w:lang w:val="es-ES_tradnl"/>
      </w:rPr>
    </w:pPr>
    <w:r>
      <w:rPr>
        <w:rFonts w:ascii="Arial" w:hAnsi="Arial" w:cs="Arial"/>
        <w:sz w:val="20"/>
      </w:rPr>
      <w:t>ESTADO DE OTROS RESULTADOS INTEGRALES SEPARADO</w:t>
    </w:r>
  </w:p>
  <w:p w14:paraId="001E3BAD" w14:textId="2DFA9762" w:rsidR="00CD449E" w:rsidRDefault="00CD449E" w:rsidP="006D010A">
    <w:pPr>
      <w:pStyle w:val="2Ttulo"/>
      <w:rPr>
        <w:rFonts w:ascii="Arial" w:hAnsi="Arial" w:cs="Arial"/>
        <w:sz w:val="20"/>
        <w:lang w:val="es-ES_tradnl"/>
      </w:rPr>
    </w:pPr>
    <w:r w:rsidRPr="00D90995">
      <w:rPr>
        <w:rFonts w:ascii="Arial" w:hAnsi="Arial" w:cs="Arial"/>
        <w:sz w:val="20"/>
        <w:lang w:val="es-ES_tradnl"/>
      </w:rPr>
      <w:t xml:space="preserve">CORRESPONDIENTE AL </w:t>
    </w:r>
    <w:r>
      <w:rPr>
        <w:rFonts w:ascii="Arial" w:hAnsi="Arial" w:cs="Arial"/>
        <w:sz w:val="20"/>
        <w:lang w:val="es-ES_tradnl"/>
      </w:rPr>
      <w:t>EJERCICIO ECONÓMICO FINALIZADO</w:t>
    </w:r>
  </w:p>
  <w:p w14:paraId="0D7886F4" w14:textId="2883E18B" w:rsidR="00CD449E" w:rsidRPr="00B511FF" w:rsidRDefault="00CD449E" w:rsidP="006D010A">
    <w:pPr>
      <w:pStyle w:val="2Ttulo"/>
      <w:rPr>
        <w:rFonts w:ascii="Arial" w:hAnsi="Arial" w:cs="Arial"/>
        <w:b w:val="0"/>
        <w:sz w:val="20"/>
      </w:rPr>
    </w:pPr>
    <w:r>
      <w:rPr>
        <w:rFonts w:ascii="Arial" w:hAnsi="Arial" w:cs="Arial"/>
        <w:sz w:val="20"/>
        <w:lang w:val="es-ES_tradnl"/>
      </w:rPr>
      <w:t>EL 31</w:t>
    </w:r>
    <w:r w:rsidRPr="00D90995">
      <w:rPr>
        <w:rFonts w:ascii="Arial" w:hAnsi="Arial" w:cs="Arial"/>
        <w:sz w:val="20"/>
        <w:lang w:val="es-ES_tradnl"/>
      </w:rPr>
      <w:t xml:space="preserve"> DE</w:t>
    </w:r>
    <w:r>
      <w:rPr>
        <w:rFonts w:ascii="Arial" w:hAnsi="Arial" w:cs="Arial"/>
        <w:sz w:val="20"/>
        <w:lang w:val="es-ES_tradnl"/>
      </w:rPr>
      <w:t xml:space="preserve"> DICIEMBRE DE 2019</w:t>
    </w:r>
  </w:p>
  <w:p w14:paraId="63DDEBAC" w14:textId="6670589A" w:rsidR="00CD449E" w:rsidRPr="005E5441" w:rsidRDefault="00CD449E" w:rsidP="00174CCB">
    <w:pPr>
      <w:pStyle w:val="2Ttulo"/>
      <w:rPr>
        <w:rFonts w:ascii="Arial" w:hAnsi="Arial" w:cs="Arial"/>
        <w:b w:val="0"/>
        <w:sz w:val="16"/>
        <w:szCs w:val="16"/>
        <w:lang w:val="es-ES_tradnl"/>
      </w:rPr>
    </w:pPr>
    <w:r w:rsidRPr="005E5441">
      <w:rPr>
        <w:rFonts w:ascii="Arial" w:hAnsi="Arial" w:cs="Arial"/>
        <w:b w:val="0"/>
        <w:sz w:val="16"/>
        <w:szCs w:val="16"/>
        <w:lang w:val="es-ES_tradnl"/>
      </w:rPr>
      <w:t>Presentado en</w:t>
    </w:r>
    <w:r>
      <w:rPr>
        <w:rFonts w:ascii="Arial" w:hAnsi="Arial" w:cs="Arial"/>
        <w:b w:val="0"/>
        <w:sz w:val="16"/>
        <w:szCs w:val="16"/>
        <w:lang w:val="es-ES_tradnl"/>
      </w:rPr>
      <w:t xml:space="preserve"> forma comparativa con el ejercicio </w:t>
    </w:r>
    <w:r w:rsidRPr="005E5441">
      <w:rPr>
        <w:rFonts w:ascii="Arial" w:hAnsi="Arial" w:cs="Arial"/>
        <w:b w:val="0"/>
        <w:sz w:val="16"/>
        <w:szCs w:val="16"/>
        <w:lang w:val="es-ES_tradnl"/>
      </w:rPr>
      <w:t>anterior</w:t>
    </w:r>
  </w:p>
  <w:p w14:paraId="53A705B1" w14:textId="0987A9A0" w:rsidR="00CD449E" w:rsidRDefault="00CD449E" w:rsidP="00174CCB">
    <w:pPr>
      <w:pStyle w:val="2Ttulo"/>
      <w:rPr>
        <w:rFonts w:ascii="Arial" w:hAnsi="Arial" w:cs="Arial"/>
        <w:b w:val="0"/>
        <w:sz w:val="16"/>
        <w:szCs w:val="16"/>
      </w:rPr>
    </w:pPr>
    <w:r w:rsidRPr="005E5441">
      <w:rPr>
        <w:rFonts w:ascii="Arial" w:hAnsi="Arial" w:cs="Arial"/>
        <w:b w:val="0"/>
        <w:sz w:val="16"/>
        <w:szCs w:val="16"/>
      </w:rPr>
      <w:t>(Cifras expresadas en miles de pesos)</w:t>
    </w:r>
  </w:p>
  <w:p w14:paraId="499239D5" w14:textId="77777777" w:rsidR="00CD449E" w:rsidRPr="00050353" w:rsidRDefault="00CD449E" w:rsidP="00174CCB">
    <w:pPr>
      <w:pStyle w:val="2Ttulo"/>
      <w:jc w:val="left"/>
      <w:rPr>
        <w:rFonts w:ascii="Arial" w:hAnsi="Arial" w:cs="Arial"/>
        <w:b w:val="0"/>
        <w:sz w:val="20"/>
      </w:rPr>
    </w:pPr>
  </w:p>
  <w:p w14:paraId="09C174C0" w14:textId="77777777" w:rsidR="00CD449E" w:rsidRPr="00174CCB" w:rsidRDefault="00CD449E" w:rsidP="005C2DE7">
    <w:pPr>
      <w:rPr>
        <w:rFonts w:ascii="Arial" w:hAnsi="Arial" w:cs="Arial"/>
        <w:b/>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A8D3" w14:textId="77777777" w:rsidR="00CD449E" w:rsidRDefault="00CD449E" w:rsidP="00452D9D">
    <w:pPr>
      <w:tabs>
        <w:tab w:val="right" w:pos="9214"/>
      </w:tabs>
      <w:ind w:left="142" w:hanging="142"/>
      <w:jc w:val="right"/>
      <w:rPr>
        <w:rFonts w:ascii="Arial" w:hAnsi="Arial" w:cs="Arial"/>
        <w:sz w:val="20"/>
        <w:lang w:val="es-ES"/>
      </w:rPr>
    </w:pPr>
    <w:r w:rsidRPr="009042A8">
      <w:rPr>
        <w:rFonts w:ascii="Arial" w:hAnsi="Arial" w:cs="Arial"/>
        <w:noProof/>
        <w:sz w:val="20"/>
        <w:lang w:eastAsia="es-AR"/>
      </w:rPr>
      <w:drawing>
        <wp:inline distT="0" distB="0" distL="0" distR="0" wp14:anchorId="6673ED85" wp14:editId="086BE7FA">
          <wp:extent cx="1027130" cy="452633"/>
          <wp:effectExtent l="19050" t="0" r="1570" b="0"/>
          <wp:docPr id="1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19D57FE5" w14:textId="77777777" w:rsidR="00CD449E" w:rsidRPr="0017062B" w:rsidRDefault="00CD449E" w:rsidP="00452D9D">
    <w:pPr>
      <w:tabs>
        <w:tab w:val="right" w:pos="9214"/>
      </w:tabs>
      <w:ind w:left="142" w:hanging="142"/>
      <w:jc w:val="right"/>
      <w:rPr>
        <w:rFonts w:ascii="Arial" w:hAnsi="Arial" w:cs="Arial"/>
        <w:sz w:val="20"/>
        <w:lang w:val="es-ES"/>
      </w:rPr>
    </w:pPr>
  </w:p>
  <w:p w14:paraId="2E98347B" w14:textId="7F03F43E" w:rsidR="00CD449E" w:rsidRDefault="00CD449E" w:rsidP="002669F4">
    <w:pPr>
      <w:pStyle w:val="2Ttulo"/>
      <w:rPr>
        <w:rFonts w:ascii="Arial" w:hAnsi="Arial" w:cs="Arial"/>
        <w:sz w:val="20"/>
        <w:lang w:val="es-ES_tradnl"/>
      </w:rPr>
    </w:pPr>
    <w:r>
      <w:rPr>
        <w:rFonts w:ascii="Arial" w:hAnsi="Arial" w:cs="Arial"/>
        <w:sz w:val="20"/>
      </w:rPr>
      <w:t>ESTADO DE CAMBIOS EN EL PATRIMONIO SEPARADO</w:t>
    </w:r>
  </w:p>
  <w:p w14:paraId="7670443C" w14:textId="0C5A0F6F" w:rsidR="00CD449E" w:rsidRDefault="00CD449E" w:rsidP="006D010A">
    <w:pPr>
      <w:pStyle w:val="2Ttulo"/>
      <w:rPr>
        <w:rFonts w:ascii="Arial" w:hAnsi="Arial" w:cs="Arial"/>
        <w:sz w:val="20"/>
        <w:lang w:val="es-ES_tradnl"/>
      </w:rPr>
    </w:pPr>
    <w:r w:rsidRPr="00D90995">
      <w:rPr>
        <w:rFonts w:ascii="Arial" w:hAnsi="Arial" w:cs="Arial"/>
        <w:sz w:val="20"/>
        <w:lang w:val="es-ES_tradnl"/>
      </w:rPr>
      <w:t xml:space="preserve">CORRESPONDIENTE AL </w:t>
    </w:r>
    <w:r>
      <w:rPr>
        <w:rFonts w:ascii="Arial" w:hAnsi="Arial" w:cs="Arial"/>
        <w:sz w:val="20"/>
        <w:lang w:val="es-ES_tradnl"/>
      </w:rPr>
      <w:t>EJERCICIO ECONÓMICO FINALIZADO</w:t>
    </w:r>
  </w:p>
  <w:p w14:paraId="202226AE" w14:textId="7356A9B9" w:rsidR="00CD449E" w:rsidRPr="00B511FF" w:rsidRDefault="00CD449E" w:rsidP="006D010A">
    <w:pPr>
      <w:pStyle w:val="2Ttulo"/>
      <w:rPr>
        <w:rFonts w:ascii="Arial" w:hAnsi="Arial" w:cs="Arial"/>
        <w:b w:val="0"/>
        <w:sz w:val="20"/>
      </w:rPr>
    </w:pPr>
    <w:r>
      <w:rPr>
        <w:rFonts w:ascii="Arial" w:hAnsi="Arial" w:cs="Arial"/>
        <w:sz w:val="20"/>
        <w:lang w:val="es-ES_tradnl"/>
      </w:rPr>
      <w:t>EL 31</w:t>
    </w:r>
    <w:r w:rsidRPr="00D90995">
      <w:rPr>
        <w:rFonts w:ascii="Arial" w:hAnsi="Arial" w:cs="Arial"/>
        <w:sz w:val="20"/>
        <w:lang w:val="es-ES_tradnl"/>
      </w:rPr>
      <w:t xml:space="preserve"> DE</w:t>
    </w:r>
    <w:r>
      <w:rPr>
        <w:rFonts w:ascii="Arial" w:hAnsi="Arial" w:cs="Arial"/>
        <w:sz w:val="20"/>
        <w:lang w:val="es-ES_tradnl"/>
      </w:rPr>
      <w:t xml:space="preserve"> DICIEMBRE DE 2019</w:t>
    </w:r>
  </w:p>
  <w:p w14:paraId="5932AC70" w14:textId="5EBA0455" w:rsidR="00CD449E" w:rsidRPr="005E5441" w:rsidRDefault="00CD449E" w:rsidP="00174CCB">
    <w:pPr>
      <w:pStyle w:val="2Ttulo"/>
      <w:rPr>
        <w:rFonts w:ascii="Arial" w:hAnsi="Arial" w:cs="Arial"/>
        <w:b w:val="0"/>
        <w:sz w:val="16"/>
        <w:szCs w:val="16"/>
        <w:lang w:val="es-ES_tradnl"/>
      </w:rPr>
    </w:pPr>
    <w:r w:rsidRPr="005E5441">
      <w:rPr>
        <w:rFonts w:ascii="Arial" w:hAnsi="Arial" w:cs="Arial"/>
        <w:b w:val="0"/>
        <w:sz w:val="16"/>
        <w:szCs w:val="16"/>
        <w:lang w:val="es-ES_tradnl"/>
      </w:rPr>
      <w:t>Presentado en</w:t>
    </w:r>
    <w:r>
      <w:rPr>
        <w:rFonts w:ascii="Arial" w:hAnsi="Arial" w:cs="Arial"/>
        <w:b w:val="0"/>
        <w:sz w:val="16"/>
        <w:szCs w:val="16"/>
        <w:lang w:val="es-ES_tradnl"/>
      </w:rPr>
      <w:t xml:space="preserve"> forma comparativa con el ejercicio</w:t>
    </w:r>
    <w:r w:rsidRPr="005E5441">
      <w:rPr>
        <w:rFonts w:ascii="Arial" w:hAnsi="Arial" w:cs="Arial"/>
        <w:b w:val="0"/>
        <w:sz w:val="16"/>
        <w:szCs w:val="16"/>
        <w:lang w:val="es-ES_tradnl"/>
      </w:rPr>
      <w:t xml:space="preserve"> anterior</w:t>
    </w:r>
  </w:p>
  <w:p w14:paraId="080E2C9E" w14:textId="207A369E" w:rsidR="00CD449E" w:rsidRDefault="00CD449E" w:rsidP="00174CCB">
    <w:pPr>
      <w:pStyle w:val="2Ttulo"/>
      <w:rPr>
        <w:rFonts w:ascii="Arial" w:hAnsi="Arial" w:cs="Arial"/>
        <w:b w:val="0"/>
        <w:sz w:val="16"/>
        <w:szCs w:val="16"/>
      </w:rPr>
    </w:pPr>
    <w:r w:rsidRPr="005E5441">
      <w:rPr>
        <w:rFonts w:ascii="Arial" w:hAnsi="Arial" w:cs="Arial"/>
        <w:b w:val="0"/>
        <w:sz w:val="16"/>
        <w:szCs w:val="16"/>
      </w:rPr>
      <w:t>(Cifras expresadas en miles de pesos)</w:t>
    </w:r>
  </w:p>
  <w:p w14:paraId="7AE2F350" w14:textId="77777777" w:rsidR="00CD449E" w:rsidRPr="00174CCB" w:rsidRDefault="00CD449E" w:rsidP="005C2DE7">
    <w:pPr>
      <w:rPr>
        <w:rFonts w:ascii="Arial" w:hAnsi="Arial" w:cs="Arial"/>
        <w:b/>
        <w:sz w:val="2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1B548" w14:textId="77777777" w:rsidR="00CD449E" w:rsidRDefault="00CD449E" w:rsidP="00452D9D">
    <w:pPr>
      <w:pStyle w:val="2Ttulo"/>
      <w:jc w:val="right"/>
      <w:rPr>
        <w:rFonts w:ascii="Arial" w:hAnsi="Arial" w:cs="Arial"/>
        <w:sz w:val="20"/>
      </w:rPr>
    </w:pPr>
    <w:r w:rsidRPr="009042A8">
      <w:rPr>
        <w:rFonts w:ascii="Arial" w:hAnsi="Arial" w:cs="Arial"/>
        <w:noProof/>
        <w:sz w:val="20"/>
        <w:lang w:eastAsia="es-AR"/>
      </w:rPr>
      <w:drawing>
        <wp:inline distT="0" distB="0" distL="0" distR="0" wp14:anchorId="2EAF2170" wp14:editId="0FA28155">
          <wp:extent cx="1027130" cy="452633"/>
          <wp:effectExtent l="19050" t="0" r="1570" b="0"/>
          <wp:docPr id="1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62B47E78" w14:textId="77777777" w:rsidR="00CD449E" w:rsidRPr="000C455E" w:rsidRDefault="00CD449E" w:rsidP="00452D9D">
    <w:pPr>
      <w:pStyle w:val="2Ttulo"/>
      <w:jc w:val="right"/>
      <w:rPr>
        <w:rFonts w:ascii="Arial" w:hAnsi="Arial" w:cs="Arial"/>
        <w:sz w:val="20"/>
      </w:rPr>
    </w:pPr>
  </w:p>
  <w:p w14:paraId="4164B06A" w14:textId="214520E6" w:rsidR="00CD449E" w:rsidRPr="000C455E" w:rsidRDefault="00CD449E" w:rsidP="00F50B2D">
    <w:pPr>
      <w:pStyle w:val="2Ttulo"/>
      <w:rPr>
        <w:rFonts w:ascii="Arial" w:hAnsi="Arial" w:cs="Arial"/>
        <w:sz w:val="20"/>
      </w:rPr>
    </w:pPr>
    <w:r w:rsidRPr="000C455E">
      <w:rPr>
        <w:rFonts w:ascii="Arial" w:hAnsi="Arial" w:cs="Arial"/>
        <w:sz w:val="20"/>
      </w:rPr>
      <w:t>ESTADO DE FLUJO</w:t>
    </w:r>
    <w:r>
      <w:rPr>
        <w:rFonts w:ascii="Arial" w:hAnsi="Arial" w:cs="Arial"/>
        <w:sz w:val="20"/>
      </w:rPr>
      <w:t>S</w:t>
    </w:r>
    <w:r w:rsidRPr="000C455E">
      <w:rPr>
        <w:rFonts w:ascii="Arial" w:hAnsi="Arial" w:cs="Arial"/>
        <w:sz w:val="20"/>
      </w:rPr>
      <w:t xml:space="preserve"> DE EFECTIVO</w:t>
    </w:r>
    <w:r>
      <w:rPr>
        <w:rFonts w:ascii="Arial" w:hAnsi="Arial" w:cs="Arial"/>
        <w:sz w:val="20"/>
      </w:rPr>
      <w:t xml:space="preserve"> SEPARADO </w:t>
    </w:r>
  </w:p>
  <w:p w14:paraId="4ED09EC9" w14:textId="68288C6C" w:rsidR="00CD449E" w:rsidRDefault="00CD449E" w:rsidP="00F50B2D">
    <w:pPr>
      <w:pStyle w:val="2Ttulo"/>
      <w:rPr>
        <w:rFonts w:ascii="Arial" w:hAnsi="Arial" w:cs="Arial"/>
        <w:sz w:val="20"/>
        <w:lang w:val="es-ES_tradnl"/>
      </w:rPr>
    </w:pPr>
    <w:r w:rsidRPr="000C455E">
      <w:rPr>
        <w:rFonts w:ascii="Arial" w:hAnsi="Arial" w:cs="Arial"/>
        <w:sz w:val="20"/>
        <w:lang w:val="es-ES_tradnl"/>
      </w:rPr>
      <w:t xml:space="preserve">CORRESPONDIENTE AL </w:t>
    </w:r>
    <w:r>
      <w:rPr>
        <w:rFonts w:ascii="Arial" w:hAnsi="Arial" w:cs="Arial"/>
        <w:sz w:val="20"/>
        <w:lang w:val="es-ES_tradnl"/>
      </w:rPr>
      <w:t>EJERCICIO ECONÓMICO FINALIZADO</w:t>
    </w:r>
  </w:p>
  <w:p w14:paraId="34685B6A" w14:textId="5AD99BE9" w:rsidR="00CD449E" w:rsidRPr="000C455E" w:rsidRDefault="00CD449E" w:rsidP="00F50B2D">
    <w:pPr>
      <w:pStyle w:val="2Ttulo"/>
      <w:rPr>
        <w:rFonts w:ascii="Arial" w:hAnsi="Arial" w:cs="Arial"/>
        <w:sz w:val="20"/>
        <w:lang w:val="es-ES_tradnl"/>
      </w:rPr>
    </w:pPr>
    <w:r>
      <w:rPr>
        <w:rFonts w:ascii="Arial" w:hAnsi="Arial" w:cs="Arial"/>
        <w:sz w:val="20"/>
        <w:lang w:val="es-ES_tradnl"/>
      </w:rPr>
      <w:t>EL 31 DE DICIEMBRE DE 2019</w:t>
    </w:r>
  </w:p>
  <w:p w14:paraId="2287B58B" w14:textId="35CF7738" w:rsidR="00CD449E" w:rsidRPr="005E5441" w:rsidRDefault="00CD449E" w:rsidP="00F50B2D">
    <w:pPr>
      <w:pStyle w:val="2Ttulo"/>
      <w:rPr>
        <w:rFonts w:ascii="Arial" w:hAnsi="Arial" w:cs="Arial"/>
        <w:b w:val="0"/>
        <w:sz w:val="16"/>
        <w:szCs w:val="16"/>
        <w:lang w:val="es-ES_tradnl"/>
      </w:rPr>
    </w:pPr>
    <w:r w:rsidRPr="005E5441">
      <w:rPr>
        <w:rFonts w:ascii="Arial" w:hAnsi="Arial" w:cs="Arial"/>
        <w:b w:val="0"/>
        <w:sz w:val="16"/>
        <w:szCs w:val="16"/>
        <w:lang w:val="es-ES_tradnl"/>
      </w:rPr>
      <w:t>Presentado en forma comparativa con</w:t>
    </w:r>
    <w:r>
      <w:rPr>
        <w:rFonts w:ascii="Arial" w:hAnsi="Arial" w:cs="Arial"/>
        <w:b w:val="0"/>
        <w:sz w:val="16"/>
        <w:szCs w:val="16"/>
        <w:lang w:val="es-ES_tradnl"/>
      </w:rPr>
      <w:t xml:space="preserve"> el ejercicio</w:t>
    </w:r>
    <w:r w:rsidRPr="005E5441">
      <w:rPr>
        <w:rFonts w:ascii="Arial" w:hAnsi="Arial" w:cs="Arial"/>
        <w:b w:val="0"/>
        <w:sz w:val="16"/>
        <w:szCs w:val="16"/>
        <w:lang w:val="es-ES_tradnl"/>
      </w:rPr>
      <w:t xml:space="preserve"> anterior</w:t>
    </w:r>
  </w:p>
  <w:p w14:paraId="4B4C6CA3" w14:textId="0B8E0911" w:rsidR="00CD449E" w:rsidRDefault="00CD449E" w:rsidP="00AD18AE">
    <w:pPr>
      <w:pStyle w:val="2Ttulo"/>
      <w:pageBreakBefore/>
      <w:rPr>
        <w:rFonts w:ascii="Arial" w:hAnsi="Arial" w:cs="Arial"/>
        <w:b w:val="0"/>
        <w:sz w:val="16"/>
        <w:szCs w:val="16"/>
      </w:rPr>
    </w:pPr>
    <w:r w:rsidRPr="005E5441">
      <w:rPr>
        <w:rFonts w:ascii="Arial" w:hAnsi="Arial" w:cs="Arial"/>
        <w:b w:val="0"/>
        <w:sz w:val="16"/>
        <w:szCs w:val="16"/>
      </w:rPr>
      <w:t>(Cifras expresad</w:t>
    </w:r>
    <w:r>
      <w:rPr>
        <w:rFonts w:ascii="Arial" w:hAnsi="Arial" w:cs="Arial"/>
        <w:b w:val="0"/>
        <w:sz w:val="16"/>
        <w:szCs w:val="16"/>
      </w:rPr>
      <w:t>as en miles de pesos</w:t>
    </w:r>
    <w:r w:rsidRPr="005E5441">
      <w:rPr>
        <w:rFonts w:ascii="Arial" w:hAnsi="Arial" w:cs="Arial"/>
        <w:b w:val="0"/>
        <w:sz w:val="16"/>
        <w:szCs w:val="16"/>
      </w:rPr>
      <w:t>)</w:t>
    </w:r>
  </w:p>
  <w:p w14:paraId="4DF08C92" w14:textId="77777777" w:rsidR="00CD449E" w:rsidRDefault="00CD449E" w:rsidP="0080598B">
    <w:pPr>
      <w:pageBreakBefore/>
      <w:tabs>
        <w:tab w:val="right" w:pos="9214"/>
      </w:tabs>
      <w:ind w:left="142" w:hanging="142"/>
      <w:rPr>
        <w:rFonts w:ascii="Arial" w:hAnsi="Arial" w:cs="Arial"/>
        <w:b/>
        <w:sz w:val="20"/>
        <w:lang w:val="es-ES_tradnl"/>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86A53" w14:textId="77777777" w:rsidR="00CD449E" w:rsidRDefault="00CD449E" w:rsidP="00452D9D">
    <w:pPr>
      <w:pStyle w:val="2Ttulo"/>
      <w:jc w:val="right"/>
      <w:rPr>
        <w:rFonts w:ascii="Arial" w:hAnsi="Arial" w:cs="Arial"/>
        <w:sz w:val="20"/>
      </w:rPr>
    </w:pPr>
    <w:r w:rsidRPr="009042A8">
      <w:rPr>
        <w:rFonts w:ascii="Arial" w:hAnsi="Arial" w:cs="Arial"/>
        <w:noProof/>
        <w:sz w:val="20"/>
        <w:lang w:eastAsia="es-AR"/>
      </w:rPr>
      <w:drawing>
        <wp:inline distT="0" distB="0" distL="0" distR="0" wp14:anchorId="501E8F85" wp14:editId="3F74D335">
          <wp:extent cx="1027130" cy="452633"/>
          <wp:effectExtent l="19050" t="0" r="1570" b="0"/>
          <wp:docPr id="1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1AB3C4F3" w14:textId="77777777" w:rsidR="00CD449E" w:rsidRPr="000C455E" w:rsidRDefault="00CD449E" w:rsidP="00452D9D">
    <w:pPr>
      <w:pStyle w:val="2Ttulo"/>
      <w:jc w:val="right"/>
      <w:rPr>
        <w:rFonts w:ascii="Arial" w:hAnsi="Arial" w:cs="Arial"/>
        <w:sz w:val="20"/>
      </w:rPr>
    </w:pPr>
  </w:p>
  <w:p w14:paraId="641D9341" w14:textId="731D5E35" w:rsidR="00CD449E" w:rsidRDefault="00CD449E" w:rsidP="00A84C27">
    <w:pPr>
      <w:pStyle w:val="2Ttulo"/>
      <w:rPr>
        <w:rFonts w:ascii="Arial" w:hAnsi="Arial" w:cs="Arial"/>
        <w:sz w:val="20"/>
      </w:rPr>
    </w:pPr>
    <w:r w:rsidRPr="000C455E">
      <w:rPr>
        <w:rFonts w:ascii="Arial" w:hAnsi="Arial" w:cs="Arial"/>
        <w:sz w:val="20"/>
      </w:rPr>
      <w:t xml:space="preserve">NOTAS A LOS ESTADOS </w:t>
    </w:r>
    <w:r>
      <w:rPr>
        <w:rFonts w:ascii="Arial" w:hAnsi="Arial" w:cs="Arial"/>
        <w:sz w:val="20"/>
      </w:rPr>
      <w:t>FINANCIEROS SEPARADOS</w:t>
    </w:r>
  </w:p>
  <w:p w14:paraId="7D976D19" w14:textId="4218E13D" w:rsidR="00CD449E" w:rsidRPr="000C455E" w:rsidRDefault="00CD449E" w:rsidP="00A84C27">
    <w:pPr>
      <w:pStyle w:val="2Ttulo"/>
      <w:rPr>
        <w:rFonts w:ascii="Arial" w:hAnsi="Arial" w:cs="Arial"/>
        <w:b w:val="0"/>
        <w:sz w:val="20"/>
      </w:rPr>
    </w:pPr>
    <w:r w:rsidRPr="000009EA">
      <w:rPr>
        <w:rFonts w:ascii="Arial" w:hAnsi="Arial" w:cs="Arial"/>
        <w:sz w:val="20"/>
      </w:rPr>
      <w:t>AL</w:t>
    </w:r>
    <w:r>
      <w:rPr>
        <w:rFonts w:ascii="Arial" w:hAnsi="Arial" w:cs="Arial"/>
        <w:sz w:val="20"/>
      </w:rPr>
      <w:t xml:space="preserve"> 31</w:t>
    </w:r>
    <w:r w:rsidRPr="000C455E">
      <w:rPr>
        <w:rFonts w:ascii="Arial" w:hAnsi="Arial" w:cs="Arial"/>
        <w:sz w:val="20"/>
      </w:rPr>
      <w:t xml:space="preserve"> DE</w:t>
    </w:r>
    <w:r>
      <w:rPr>
        <w:rFonts w:ascii="Arial" w:hAnsi="Arial" w:cs="Arial"/>
        <w:sz w:val="20"/>
      </w:rPr>
      <w:t xml:space="preserve"> DICIEMBRE DE 2019</w:t>
    </w:r>
  </w:p>
  <w:p w14:paraId="35415B95" w14:textId="77777777" w:rsidR="00CD449E" w:rsidRPr="006426AF" w:rsidRDefault="00CD449E" w:rsidP="00A84C27">
    <w:pPr>
      <w:pStyle w:val="2Ttulo"/>
      <w:rPr>
        <w:rFonts w:ascii="Arial" w:hAnsi="Arial" w:cs="Arial"/>
        <w:b w:val="0"/>
        <w:sz w:val="16"/>
        <w:szCs w:val="16"/>
        <w:lang w:val="es-ES_tradnl"/>
      </w:rPr>
    </w:pPr>
    <w:r w:rsidRPr="006426AF">
      <w:rPr>
        <w:rFonts w:ascii="Arial" w:hAnsi="Arial" w:cs="Arial"/>
        <w:b w:val="0"/>
        <w:sz w:val="16"/>
        <w:szCs w:val="16"/>
        <w:lang w:val="es-ES_tradnl"/>
      </w:rPr>
      <w:t xml:space="preserve">Presentadas en forma comparativa </w:t>
    </w:r>
  </w:p>
  <w:p w14:paraId="27633494" w14:textId="77777777" w:rsidR="00CD449E" w:rsidRDefault="00CD449E" w:rsidP="00A84C27">
    <w:pPr>
      <w:pStyle w:val="2Ttulo"/>
      <w:rPr>
        <w:rFonts w:ascii="Arial" w:hAnsi="Arial" w:cs="Arial"/>
        <w:b w:val="0"/>
        <w:sz w:val="16"/>
        <w:szCs w:val="16"/>
      </w:rPr>
    </w:pPr>
    <w:r w:rsidRPr="006426AF">
      <w:rPr>
        <w:rFonts w:ascii="Arial" w:hAnsi="Arial" w:cs="Arial"/>
        <w:b w:val="0"/>
        <w:sz w:val="16"/>
        <w:szCs w:val="16"/>
      </w:rPr>
      <w:t xml:space="preserve"> (Cifras expresadas en miles de pesos)</w:t>
    </w:r>
  </w:p>
  <w:p w14:paraId="23E4D641" w14:textId="77777777" w:rsidR="00CD449E" w:rsidRPr="00A84C27" w:rsidRDefault="00CD449E" w:rsidP="0080598B">
    <w:pPr>
      <w:pageBreakBefore/>
      <w:tabs>
        <w:tab w:val="right" w:pos="9214"/>
      </w:tabs>
      <w:ind w:left="142" w:hanging="142"/>
      <w:rPr>
        <w:rFonts w:ascii="Arial" w:hAnsi="Arial" w:cs="Arial"/>
        <w:b/>
        <w:sz w:val="2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415BD" w14:textId="77777777" w:rsidR="00CD449E" w:rsidRDefault="00CD449E" w:rsidP="00D26299">
    <w:pPr>
      <w:tabs>
        <w:tab w:val="right" w:pos="9214"/>
      </w:tabs>
      <w:ind w:left="142" w:hanging="142"/>
      <w:jc w:val="right"/>
      <w:rPr>
        <w:rFonts w:ascii="Arial" w:hAnsi="Arial" w:cs="Arial"/>
        <w:b/>
        <w:sz w:val="20"/>
        <w:lang w:val="pt-BR"/>
      </w:rPr>
    </w:pPr>
    <w:r w:rsidRPr="009042A8">
      <w:rPr>
        <w:rFonts w:ascii="Arial" w:hAnsi="Arial" w:cs="Arial"/>
        <w:b/>
        <w:noProof/>
        <w:sz w:val="20"/>
        <w:lang w:eastAsia="es-AR"/>
      </w:rPr>
      <w:drawing>
        <wp:inline distT="0" distB="0" distL="0" distR="0" wp14:anchorId="7FD775B0" wp14:editId="07CACE30">
          <wp:extent cx="1027130" cy="452633"/>
          <wp:effectExtent l="19050" t="0" r="1570" b="0"/>
          <wp:docPr id="1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A82A3D7" w14:textId="77777777" w:rsidR="00CD449E" w:rsidRDefault="00CD449E" w:rsidP="00D26299">
    <w:pPr>
      <w:tabs>
        <w:tab w:val="right" w:pos="9214"/>
      </w:tabs>
      <w:ind w:left="142" w:hanging="142"/>
      <w:rPr>
        <w:rFonts w:ascii="Arial" w:hAnsi="Arial" w:cs="Arial"/>
        <w:b/>
        <w:sz w:val="20"/>
        <w:lang w:val="pt-BR"/>
      </w:rPr>
    </w:pPr>
    <w:r>
      <w:rPr>
        <w:rFonts w:ascii="Arial" w:hAnsi="Arial" w:cs="Arial"/>
        <w:b/>
        <w:sz w:val="20"/>
        <w:lang w:val="pt-BR"/>
      </w:rPr>
      <w:t xml:space="preserve">ANEXO A     </w:t>
    </w:r>
  </w:p>
  <w:p w14:paraId="70D44113" w14:textId="77777777" w:rsidR="00CD449E" w:rsidRPr="00C80859" w:rsidRDefault="00CD449E" w:rsidP="00D26299">
    <w:pPr>
      <w:tabs>
        <w:tab w:val="right" w:pos="9214"/>
      </w:tabs>
      <w:rPr>
        <w:rFonts w:ascii="Arial" w:hAnsi="Arial" w:cs="Arial"/>
        <w:sz w:val="20"/>
        <w:lang w:val="pt-BR"/>
      </w:rPr>
    </w:pPr>
  </w:p>
  <w:p w14:paraId="19D16B2B" w14:textId="77777777" w:rsidR="00CD449E" w:rsidRPr="008147B1" w:rsidRDefault="00CD449E" w:rsidP="00D26299">
    <w:pPr>
      <w:pStyle w:val="Encabezado"/>
      <w:jc w:val="center"/>
      <w:rPr>
        <w:rFonts w:ascii="Arial" w:hAnsi="Arial" w:cs="Arial"/>
        <w:b/>
        <w:sz w:val="20"/>
        <w:lang w:val="es-ES_tradnl"/>
      </w:rPr>
    </w:pPr>
    <w:r w:rsidRPr="008147B1">
      <w:rPr>
        <w:rFonts w:ascii="Arial" w:hAnsi="Arial" w:cs="Arial"/>
        <w:b/>
        <w:sz w:val="20"/>
        <w:lang w:val="es-ES_tradnl"/>
      </w:rPr>
      <w:t>DETALLE DE TITULOS PUBLICOS Y PRIVADOS</w:t>
    </w:r>
  </w:p>
  <w:p w14:paraId="12090E71" w14:textId="3A283C9B" w:rsidR="00CD449E" w:rsidRPr="009040E3" w:rsidRDefault="00CD449E" w:rsidP="00025107">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007BB2E9" w14:textId="77777777" w:rsidR="00CD449E" w:rsidRDefault="00CD449E" w:rsidP="00D26299">
    <w:pPr>
      <w:pStyle w:val="Encabezado"/>
      <w:jc w:val="center"/>
      <w:rPr>
        <w:rFonts w:ascii="Arial" w:hAnsi="Arial" w:cs="Arial"/>
        <w:sz w:val="16"/>
        <w:szCs w:val="16"/>
        <w:lang w:val="es-ES"/>
      </w:rPr>
    </w:pPr>
    <w:r w:rsidRPr="008147B1">
      <w:rPr>
        <w:rFonts w:ascii="Arial" w:hAnsi="Arial" w:cs="Arial"/>
        <w:sz w:val="16"/>
        <w:szCs w:val="16"/>
        <w:lang w:val="es-ES"/>
      </w:rPr>
      <w:t>(Cifras expresadas en miles de pesos)</w:t>
    </w:r>
  </w:p>
  <w:p w14:paraId="248B4E6B" w14:textId="77777777" w:rsidR="00CD449E" w:rsidRPr="00D26299" w:rsidRDefault="00CD449E" w:rsidP="00D26299">
    <w:pPr>
      <w:pStyle w:val="Encabezado"/>
      <w:rPr>
        <w:lang w:val="es-ES"/>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ADA87" w14:textId="77777777" w:rsidR="00CD449E" w:rsidRDefault="00CD449E" w:rsidP="009D3B80">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0A54B49F" wp14:editId="6EA1FF8A">
          <wp:extent cx="1027130" cy="452633"/>
          <wp:effectExtent l="19050" t="0" r="1570" b="0"/>
          <wp:docPr id="1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98E6963" w14:textId="77777777" w:rsidR="00CD449E" w:rsidRDefault="00CD449E" w:rsidP="009D3B80">
    <w:pPr>
      <w:tabs>
        <w:tab w:val="right" w:pos="9214"/>
      </w:tabs>
      <w:rPr>
        <w:rFonts w:ascii="Arial" w:hAnsi="Arial" w:cs="Arial"/>
        <w:b/>
        <w:sz w:val="20"/>
        <w:lang w:val="es-ES_tradnl"/>
      </w:rPr>
    </w:pPr>
    <w:r w:rsidRPr="000C455E">
      <w:rPr>
        <w:rFonts w:ascii="Arial" w:hAnsi="Arial" w:cs="Arial"/>
        <w:b/>
        <w:sz w:val="20"/>
        <w:lang w:val="es-ES_tradnl"/>
      </w:rPr>
      <w:t>ANEXO B</w:t>
    </w:r>
  </w:p>
  <w:p w14:paraId="476DD242" w14:textId="77777777" w:rsidR="00CD449E" w:rsidRPr="00CC5C97" w:rsidRDefault="00CD449E" w:rsidP="009D3B80">
    <w:pPr>
      <w:tabs>
        <w:tab w:val="right" w:pos="9214"/>
      </w:tabs>
      <w:rPr>
        <w:rFonts w:ascii="Arial" w:hAnsi="Arial" w:cs="Arial"/>
        <w:sz w:val="20"/>
        <w:lang w:val="pt-BR"/>
      </w:rPr>
    </w:pPr>
  </w:p>
  <w:p w14:paraId="5B27F8E7" w14:textId="38EBE53F" w:rsidR="00CD449E" w:rsidRDefault="00CD449E" w:rsidP="009D3B80">
    <w:pPr>
      <w:pStyle w:val="Encabezado"/>
      <w:jc w:val="center"/>
      <w:rPr>
        <w:rFonts w:ascii="Arial" w:hAnsi="Arial" w:cs="Arial"/>
        <w:b/>
        <w:sz w:val="20"/>
        <w:lang w:val="es-ES_tradnl"/>
      </w:rPr>
    </w:pPr>
    <w:r w:rsidRPr="000342AE">
      <w:rPr>
        <w:rFonts w:ascii="Arial" w:hAnsi="Arial" w:cs="Arial"/>
        <w:b/>
        <w:sz w:val="20"/>
        <w:lang w:val="es-ES_tradnl"/>
      </w:rPr>
      <w:t>C</w:t>
    </w:r>
    <w:r>
      <w:rPr>
        <w:rFonts w:ascii="Arial" w:hAnsi="Arial" w:cs="Arial"/>
        <w:b/>
        <w:sz w:val="20"/>
        <w:lang w:val="es-ES_tradnl"/>
      </w:rPr>
      <w:t>LASIFICACION</w:t>
    </w:r>
    <w:r w:rsidRPr="000342AE">
      <w:rPr>
        <w:rFonts w:ascii="Arial" w:hAnsi="Arial" w:cs="Arial"/>
        <w:b/>
        <w:sz w:val="20"/>
        <w:lang w:val="es-ES_tradnl"/>
      </w:rPr>
      <w:t xml:space="preserve"> </w:t>
    </w:r>
    <w:r>
      <w:rPr>
        <w:rFonts w:ascii="Arial" w:hAnsi="Arial" w:cs="Arial"/>
        <w:b/>
        <w:sz w:val="20"/>
        <w:lang w:val="es-ES_tradnl"/>
      </w:rPr>
      <w:t>DE</w:t>
    </w:r>
    <w:r w:rsidRPr="000342AE">
      <w:rPr>
        <w:rFonts w:ascii="Arial" w:hAnsi="Arial" w:cs="Arial"/>
        <w:b/>
        <w:sz w:val="20"/>
        <w:lang w:val="es-ES_tradnl"/>
      </w:rPr>
      <w:t xml:space="preserve"> </w:t>
    </w:r>
    <w:r>
      <w:rPr>
        <w:rFonts w:ascii="Arial" w:hAnsi="Arial" w:cs="Arial"/>
        <w:b/>
        <w:sz w:val="20"/>
        <w:lang w:val="es-ES_tradnl"/>
      </w:rPr>
      <w:t>PRÉSTAMOS</w:t>
    </w:r>
    <w:r w:rsidRPr="000342AE">
      <w:rPr>
        <w:rFonts w:ascii="Arial" w:hAnsi="Arial" w:cs="Arial"/>
        <w:b/>
        <w:sz w:val="20"/>
        <w:lang w:val="es-ES_tradnl"/>
      </w:rPr>
      <w:t xml:space="preserve"> </w:t>
    </w:r>
    <w:r>
      <w:rPr>
        <w:rFonts w:ascii="Arial" w:hAnsi="Arial" w:cs="Arial"/>
        <w:b/>
        <w:sz w:val="20"/>
        <w:lang w:val="es-ES_tradnl"/>
      </w:rPr>
      <w:t>Y</w:t>
    </w:r>
    <w:r w:rsidRPr="000342AE">
      <w:rPr>
        <w:rFonts w:ascii="Arial" w:hAnsi="Arial" w:cs="Arial"/>
        <w:b/>
        <w:sz w:val="20"/>
        <w:lang w:val="es-ES_tradnl"/>
      </w:rPr>
      <w:t xml:space="preserve"> </w:t>
    </w:r>
    <w:r>
      <w:rPr>
        <w:rFonts w:ascii="Arial" w:hAnsi="Arial" w:cs="Arial"/>
        <w:b/>
        <w:sz w:val="20"/>
        <w:lang w:val="es-ES_tradnl"/>
      </w:rPr>
      <w:t>OTRAS</w:t>
    </w:r>
    <w:r w:rsidRPr="000342AE">
      <w:rPr>
        <w:rFonts w:ascii="Arial" w:hAnsi="Arial" w:cs="Arial"/>
        <w:b/>
        <w:sz w:val="20"/>
        <w:lang w:val="es-ES_tradnl"/>
      </w:rPr>
      <w:t xml:space="preserve"> </w:t>
    </w:r>
    <w:r>
      <w:rPr>
        <w:rFonts w:ascii="Arial" w:hAnsi="Arial" w:cs="Arial"/>
        <w:b/>
        <w:sz w:val="20"/>
        <w:lang w:val="es-ES_tradnl"/>
      </w:rPr>
      <w:t>FINANCIACIONES</w:t>
    </w:r>
    <w:r w:rsidRPr="000342AE">
      <w:rPr>
        <w:rFonts w:ascii="Arial" w:hAnsi="Arial" w:cs="Arial"/>
        <w:b/>
        <w:sz w:val="20"/>
        <w:lang w:val="es-ES_tradnl"/>
      </w:rPr>
      <w:t xml:space="preserve"> </w:t>
    </w:r>
  </w:p>
  <w:p w14:paraId="2784A856" w14:textId="77777777" w:rsidR="00CD449E" w:rsidRPr="000C455E" w:rsidRDefault="00CD449E" w:rsidP="009D3B80">
    <w:pPr>
      <w:pStyle w:val="Encabezado"/>
      <w:jc w:val="center"/>
      <w:rPr>
        <w:rFonts w:ascii="Arial" w:hAnsi="Arial" w:cs="Arial"/>
        <w:b/>
        <w:sz w:val="20"/>
        <w:lang w:val="es-ES_tradnl"/>
      </w:rPr>
    </w:pPr>
    <w:r>
      <w:rPr>
        <w:rFonts w:ascii="Arial" w:hAnsi="Arial" w:cs="Arial"/>
        <w:b/>
        <w:sz w:val="20"/>
        <w:lang w:val="es-ES_tradnl"/>
      </w:rPr>
      <w:t>POR</w:t>
    </w:r>
    <w:r w:rsidRPr="000342AE">
      <w:rPr>
        <w:rFonts w:ascii="Arial" w:hAnsi="Arial" w:cs="Arial"/>
        <w:b/>
        <w:sz w:val="20"/>
        <w:lang w:val="es-ES_tradnl"/>
      </w:rPr>
      <w:t xml:space="preserve"> </w:t>
    </w:r>
    <w:r>
      <w:rPr>
        <w:rFonts w:ascii="Arial" w:hAnsi="Arial" w:cs="Arial"/>
        <w:b/>
        <w:sz w:val="20"/>
        <w:lang w:val="es-ES_tradnl"/>
      </w:rPr>
      <w:t>SITUACION</w:t>
    </w:r>
    <w:r w:rsidRPr="000342AE">
      <w:rPr>
        <w:rFonts w:ascii="Arial" w:hAnsi="Arial" w:cs="Arial"/>
        <w:b/>
        <w:sz w:val="20"/>
        <w:lang w:val="es-ES_tradnl"/>
      </w:rPr>
      <w:t xml:space="preserve"> </w:t>
    </w:r>
    <w:r>
      <w:rPr>
        <w:rFonts w:ascii="Arial" w:hAnsi="Arial" w:cs="Arial"/>
        <w:b/>
        <w:sz w:val="20"/>
        <w:lang w:val="es-ES_tradnl"/>
      </w:rPr>
      <w:t>Y</w:t>
    </w:r>
    <w:r w:rsidRPr="000342AE">
      <w:rPr>
        <w:rFonts w:ascii="Arial" w:hAnsi="Arial" w:cs="Arial"/>
        <w:b/>
        <w:sz w:val="20"/>
        <w:lang w:val="es-ES_tradnl"/>
      </w:rPr>
      <w:t xml:space="preserve"> </w:t>
    </w:r>
    <w:r>
      <w:rPr>
        <w:rFonts w:ascii="Arial" w:hAnsi="Arial" w:cs="Arial"/>
        <w:b/>
        <w:sz w:val="20"/>
        <w:lang w:val="es-ES_tradnl"/>
      </w:rPr>
      <w:t>GARANTIAS RECIBIDAS</w:t>
    </w:r>
  </w:p>
  <w:p w14:paraId="273AACBB" w14:textId="268A4439" w:rsidR="00CD449E" w:rsidRPr="009040E3" w:rsidRDefault="00CD449E" w:rsidP="00025107">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11015256" w14:textId="77777777" w:rsidR="00CD449E" w:rsidRPr="00CC5C97" w:rsidRDefault="00CD449E" w:rsidP="009D3B80">
    <w:pPr>
      <w:pStyle w:val="Encabezado"/>
      <w:jc w:val="center"/>
      <w:rPr>
        <w:rFonts w:ascii="Arial" w:hAnsi="Arial" w:cs="Arial"/>
        <w:sz w:val="16"/>
        <w:szCs w:val="16"/>
        <w:lang w:val="es-ES"/>
      </w:rPr>
    </w:pPr>
    <w:r w:rsidRPr="00CC5C97">
      <w:rPr>
        <w:rFonts w:ascii="Arial" w:hAnsi="Arial" w:cs="Arial"/>
        <w:sz w:val="16"/>
        <w:szCs w:val="16"/>
        <w:lang w:val="es-ES"/>
      </w:rPr>
      <w:t>(Cifras expresadas en miles de pesos)</w:t>
    </w:r>
  </w:p>
  <w:p w14:paraId="7AC05CE5" w14:textId="77777777" w:rsidR="00CD449E" w:rsidRPr="00CC5C97" w:rsidRDefault="00CD449E" w:rsidP="009D3B80">
    <w:pPr>
      <w:pStyle w:val="Encabezado"/>
      <w:rPr>
        <w:rFonts w:ascii="Arial" w:hAnsi="Arial" w:cs="Arial"/>
        <w:sz w:val="20"/>
        <w:lang w:val="es-ES"/>
      </w:rPr>
    </w:pPr>
  </w:p>
  <w:p w14:paraId="40B8AB1D" w14:textId="77777777" w:rsidR="00CD449E" w:rsidRPr="009D3B80" w:rsidRDefault="00CD449E" w:rsidP="009D3B80">
    <w:pPr>
      <w:pStyle w:val="Encabezado"/>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5C4B9" w14:textId="77777777" w:rsidR="00CD449E" w:rsidRDefault="00CD449E" w:rsidP="007C794F">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57D551C9" wp14:editId="2DAF6137">
          <wp:extent cx="1027130" cy="452633"/>
          <wp:effectExtent l="19050" t="0" r="1570" b="0"/>
          <wp:docPr id="1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0D88CEFE" w14:textId="77777777" w:rsidR="00CD449E" w:rsidRDefault="00CD449E" w:rsidP="007C794F">
    <w:pPr>
      <w:tabs>
        <w:tab w:val="right" w:pos="9214"/>
      </w:tabs>
      <w:rPr>
        <w:rFonts w:ascii="Arial" w:hAnsi="Arial" w:cs="Arial"/>
        <w:b/>
        <w:sz w:val="20"/>
        <w:lang w:val="es-ES_tradnl"/>
      </w:rPr>
    </w:pPr>
    <w:r>
      <w:rPr>
        <w:rFonts w:ascii="Arial" w:hAnsi="Arial" w:cs="Arial"/>
        <w:b/>
        <w:sz w:val="20"/>
        <w:lang w:val="es-ES_tradnl"/>
      </w:rPr>
      <w:t>ANEXO C</w:t>
    </w:r>
  </w:p>
  <w:p w14:paraId="54799B52" w14:textId="77777777" w:rsidR="00CD449E" w:rsidRDefault="00CD449E" w:rsidP="007C794F">
    <w:pPr>
      <w:tabs>
        <w:tab w:val="right" w:pos="9214"/>
      </w:tabs>
      <w:jc w:val="right"/>
      <w:rPr>
        <w:rFonts w:ascii="Arial" w:hAnsi="Arial" w:cs="Arial"/>
        <w:b/>
        <w:sz w:val="20"/>
        <w:lang w:val="es-ES_tradnl"/>
      </w:rPr>
    </w:pPr>
  </w:p>
  <w:p w14:paraId="584889B4" w14:textId="7E150442" w:rsidR="00CD449E" w:rsidRPr="009040E3" w:rsidRDefault="00CD449E" w:rsidP="007C794F">
    <w:pPr>
      <w:pStyle w:val="Encabezado"/>
      <w:jc w:val="center"/>
      <w:rPr>
        <w:rFonts w:ascii="Arial" w:hAnsi="Arial" w:cs="Arial"/>
        <w:b/>
        <w:sz w:val="20"/>
        <w:lang w:val="es-ES_tradnl"/>
      </w:rPr>
    </w:pPr>
    <w:r w:rsidRPr="009040E3">
      <w:rPr>
        <w:rFonts w:ascii="Arial" w:hAnsi="Arial" w:cs="Arial"/>
        <w:b/>
        <w:sz w:val="20"/>
        <w:lang w:val="es-ES_tradnl"/>
      </w:rPr>
      <w:t xml:space="preserve">CONCENTRACION DE </w:t>
    </w:r>
    <w:r>
      <w:rPr>
        <w:rFonts w:ascii="Arial" w:hAnsi="Arial" w:cs="Arial"/>
        <w:b/>
        <w:sz w:val="20"/>
        <w:lang w:val="es-ES_tradnl"/>
      </w:rPr>
      <w:t>PRÉSTAMOS Y OTRAS FINANCIACIONES</w:t>
    </w:r>
  </w:p>
  <w:p w14:paraId="71D7B453" w14:textId="3A894B19" w:rsidR="00CD449E" w:rsidRPr="009040E3" w:rsidRDefault="00CD449E" w:rsidP="00A261DE">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7B2DD09B" w14:textId="77777777" w:rsidR="00CD449E" w:rsidRPr="009040E3" w:rsidRDefault="00CD449E" w:rsidP="007C794F">
    <w:pPr>
      <w:pStyle w:val="Encabezado"/>
      <w:jc w:val="center"/>
      <w:rPr>
        <w:rFonts w:ascii="Arial" w:hAnsi="Arial" w:cs="Arial"/>
        <w:sz w:val="16"/>
        <w:szCs w:val="16"/>
        <w:lang w:val="es-ES"/>
      </w:rPr>
    </w:pPr>
    <w:r w:rsidRPr="009040E3">
      <w:rPr>
        <w:rFonts w:ascii="Arial" w:hAnsi="Arial" w:cs="Arial"/>
        <w:sz w:val="16"/>
        <w:szCs w:val="16"/>
        <w:lang w:val="es-ES"/>
      </w:rPr>
      <w:t>(Cifras expresadas en miles de pesos)</w:t>
    </w:r>
  </w:p>
  <w:p w14:paraId="27A8BF46" w14:textId="77777777" w:rsidR="00CD449E" w:rsidRPr="00F941DB" w:rsidRDefault="00CD449E" w:rsidP="007C794F">
    <w:pPr>
      <w:pStyle w:val="Encabezado"/>
      <w:jc w:val="center"/>
      <w:rPr>
        <w:rFonts w:ascii="Arial" w:hAnsi="Arial" w:cs="Arial"/>
        <w:sz w:val="20"/>
        <w:lang w:val="es-ES"/>
      </w:rPr>
    </w:pPr>
  </w:p>
  <w:p w14:paraId="0FBEA8BD" w14:textId="77777777" w:rsidR="00CD449E" w:rsidRPr="00F941DB" w:rsidRDefault="00CD449E" w:rsidP="007C794F">
    <w:pPr>
      <w:pStyle w:val="2Ttulo"/>
      <w:jc w:val="left"/>
      <w:rPr>
        <w:rFonts w:ascii="Arial" w:hAnsi="Arial" w:cs="Arial"/>
        <w:sz w:val="20"/>
      </w:rPr>
    </w:pPr>
  </w:p>
  <w:p w14:paraId="205C1901" w14:textId="77777777" w:rsidR="00CD449E" w:rsidRPr="00D26299" w:rsidRDefault="00CD449E" w:rsidP="00D26299">
    <w:pPr>
      <w:pStyle w:val="Encabezado"/>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A7780" w14:textId="77777777" w:rsidR="00CD449E" w:rsidRDefault="00CD449E" w:rsidP="00425F99">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C31429D" wp14:editId="48D54D63">
          <wp:extent cx="1027130" cy="452633"/>
          <wp:effectExtent l="19050" t="0" r="1570" b="0"/>
          <wp:docPr id="1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0C1747B0" w14:textId="77777777" w:rsidR="00CD449E" w:rsidRDefault="00CD449E" w:rsidP="00425F99">
    <w:pPr>
      <w:tabs>
        <w:tab w:val="right" w:pos="9214"/>
      </w:tabs>
      <w:rPr>
        <w:rFonts w:ascii="Arial" w:hAnsi="Arial" w:cs="Arial"/>
        <w:b/>
        <w:sz w:val="20"/>
        <w:lang w:val="es-ES_tradnl"/>
      </w:rPr>
    </w:pPr>
    <w:r>
      <w:rPr>
        <w:rFonts w:ascii="Arial" w:hAnsi="Arial" w:cs="Arial"/>
        <w:b/>
        <w:sz w:val="20"/>
        <w:lang w:val="es-ES_tradnl"/>
      </w:rPr>
      <w:t>ANEXO D</w:t>
    </w:r>
  </w:p>
  <w:p w14:paraId="7425EAC6" w14:textId="77777777" w:rsidR="00CD449E" w:rsidRDefault="00CD449E" w:rsidP="00425F99">
    <w:pPr>
      <w:tabs>
        <w:tab w:val="right" w:pos="9214"/>
      </w:tabs>
      <w:jc w:val="right"/>
      <w:rPr>
        <w:rFonts w:ascii="Arial" w:hAnsi="Arial" w:cs="Arial"/>
        <w:b/>
        <w:sz w:val="20"/>
        <w:lang w:val="es-ES_tradnl"/>
      </w:rPr>
    </w:pPr>
  </w:p>
  <w:p w14:paraId="6DACA4D7" w14:textId="2F5B9158" w:rsidR="00CD449E" w:rsidRPr="009040E3" w:rsidRDefault="00CD449E" w:rsidP="00425F99">
    <w:pPr>
      <w:pStyle w:val="Encabezado"/>
      <w:jc w:val="center"/>
      <w:rPr>
        <w:rFonts w:ascii="Arial" w:hAnsi="Arial" w:cs="Arial"/>
        <w:b/>
        <w:sz w:val="20"/>
        <w:lang w:val="es-ES_tradnl"/>
      </w:rPr>
    </w:pPr>
    <w:r w:rsidRPr="009040E3">
      <w:rPr>
        <w:rFonts w:ascii="Arial" w:hAnsi="Arial" w:cs="Arial"/>
        <w:b/>
        <w:sz w:val="20"/>
        <w:lang w:val="es-ES_tradnl"/>
      </w:rPr>
      <w:t>APERTURA POR PLAZO</w:t>
    </w:r>
    <w:r>
      <w:rPr>
        <w:rFonts w:ascii="Arial" w:hAnsi="Arial" w:cs="Arial"/>
        <w:b/>
        <w:sz w:val="20"/>
        <w:lang w:val="es-ES_tradnl"/>
      </w:rPr>
      <w:t>S</w:t>
    </w:r>
    <w:r w:rsidRPr="009040E3">
      <w:rPr>
        <w:rFonts w:ascii="Arial" w:hAnsi="Arial" w:cs="Arial"/>
        <w:b/>
        <w:sz w:val="20"/>
        <w:lang w:val="es-ES_tradnl"/>
      </w:rPr>
      <w:t xml:space="preserve"> DE </w:t>
    </w:r>
    <w:r>
      <w:rPr>
        <w:rFonts w:ascii="Arial" w:hAnsi="Arial" w:cs="Arial"/>
        <w:b/>
        <w:sz w:val="20"/>
        <w:lang w:val="es-ES_tradnl"/>
      </w:rPr>
      <w:t>PRÉSTAMOS Y OTRAS</w:t>
    </w:r>
    <w:r w:rsidRPr="009040E3">
      <w:rPr>
        <w:rFonts w:ascii="Arial" w:hAnsi="Arial" w:cs="Arial"/>
        <w:b/>
        <w:sz w:val="20"/>
        <w:lang w:val="es-ES_tradnl"/>
      </w:rPr>
      <w:t xml:space="preserve"> FINANCIACIONES</w:t>
    </w:r>
  </w:p>
  <w:p w14:paraId="133CB023" w14:textId="7FB6A98A" w:rsidR="00CD449E" w:rsidRPr="009040E3" w:rsidRDefault="00CD449E" w:rsidP="00425F99">
    <w:pPr>
      <w:pStyle w:val="Encabezado"/>
      <w:jc w:val="center"/>
      <w:rPr>
        <w:rFonts w:ascii="Arial" w:hAnsi="Arial" w:cs="Arial"/>
        <w:b/>
        <w:sz w:val="20"/>
        <w:lang w:val="es-ES_tradnl"/>
      </w:rPr>
    </w:pPr>
    <w:r>
      <w:rPr>
        <w:rFonts w:ascii="Arial" w:hAnsi="Arial" w:cs="Arial"/>
        <w:b/>
        <w:sz w:val="20"/>
        <w:lang w:val="es-ES_tradnl"/>
      </w:rPr>
      <w:t>AL 31 DE DICIEMBRE DE 2019</w:t>
    </w:r>
  </w:p>
  <w:p w14:paraId="1A3DF513" w14:textId="77777777" w:rsidR="00CD449E" w:rsidRPr="009040E3" w:rsidRDefault="00CD449E" w:rsidP="00425F99">
    <w:pPr>
      <w:pStyle w:val="Encabezado"/>
      <w:jc w:val="center"/>
      <w:rPr>
        <w:rFonts w:ascii="Arial" w:hAnsi="Arial" w:cs="Arial"/>
        <w:sz w:val="16"/>
        <w:szCs w:val="16"/>
        <w:lang w:val="es-ES"/>
      </w:rPr>
    </w:pPr>
    <w:r w:rsidRPr="009040E3">
      <w:rPr>
        <w:rFonts w:ascii="Arial" w:hAnsi="Arial" w:cs="Arial"/>
        <w:sz w:val="16"/>
        <w:szCs w:val="16"/>
        <w:lang w:val="es-ES"/>
      </w:rPr>
      <w:t>(Cifras expresadas en miles de pesos)</w:t>
    </w:r>
  </w:p>
  <w:p w14:paraId="55EFA2E2" w14:textId="77777777" w:rsidR="00CD449E" w:rsidRPr="00F941DB" w:rsidRDefault="00CD449E" w:rsidP="00425F99">
    <w:pPr>
      <w:pStyle w:val="Encabezado"/>
      <w:jc w:val="center"/>
      <w:rPr>
        <w:rFonts w:ascii="Arial" w:hAnsi="Arial" w:cs="Arial"/>
        <w:sz w:val="20"/>
        <w:lang w:val="es-ES"/>
      </w:rPr>
    </w:pPr>
  </w:p>
  <w:p w14:paraId="65488ECB" w14:textId="77777777" w:rsidR="00CD449E" w:rsidRPr="00F941DB" w:rsidRDefault="00CD449E" w:rsidP="00425F99">
    <w:pPr>
      <w:pStyle w:val="2Ttulo"/>
      <w:jc w:val="left"/>
      <w:rPr>
        <w:rFonts w:ascii="Arial" w:hAnsi="Arial" w:cs="Arial"/>
        <w:sz w:val="20"/>
      </w:rPr>
    </w:pPr>
  </w:p>
  <w:p w14:paraId="2B9AE1A8" w14:textId="77777777" w:rsidR="00CD449E" w:rsidRPr="00D26299" w:rsidRDefault="00CD449E" w:rsidP="00D26299">
    <w:pPr>
      <w:pStyle w:val="Encabezado"/>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CE7BA" w14:textId="77777777" w:rsidR="00CD449E" w:rsidRDefault="00CD449E" w:rsidP="00425F99">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F444049" wp14:editId="38631466">
          <wp:extent cx="1027130" cy="452633"/>
          <wp:effectExtent l="19050" t="0" r="157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1FC381A0" w14:textId="77777777" w:rsidR="00CD449E" w:rsidRDefault="00CD449E" w:rsidP="00FF21C0">
    <w:pPr>
      <w:tabs>
        <w:tab w:val="right" w:pos="9214"/>
      </w:tabs>
      <w:ind w:left="142" w:hanging="142"/>
      <w:rPr>
        <w:rFonts w:ascii="Arial" w:hAnsi="Arial" w:cs="Arial"/>
        <w:b/>
        <w:sz w:val="20"/>
        <w:lang w:val="es-ES_tradnl"/>
      </w:rPr>
    </w:pPr>
    <w:r w:rsidRPr="00F941DB">
      <w:rPr>
        <w:rFonts w:ascii="Arial" w:hAnsi="Arial" w:cs="Arial"/>
        <w:b/>
        <w:sz w:val="20"/>
        <w:lang w:val="es-ES_tradnl"/>
      </w:rPr>
      <w:t>ANEXO E</w:t>
    </w:r>
  </w:p>
  <w:p w14:paraId="2A508F2C" w14:textId="77777777" w:rsidR="00CD449E" w:rsidRPr="00F941DB" w:rsidRDefault="00CD449E" w:rsidP="00FF21C0">
    <w:pPr>
      <w:tabs>
        <w:tab w:val="right" w:pos="9214"/>
      </w:tabs>
      <w:ind w:left="142" w:hanging="142"/>
      <w:rPr>
        <w:rFonts w:ascii="Arial" w:hAnsi="Arial" w:cs="Arial"/>
        <w:b/>
        <w:sz w:val="20"/>
        <w:lang w:val="es-ES"/>
      </w:rPr>
    </w:pPr>
  </w:p>
  <w:p w14:paraId="6F915FBA" w14:textId="77777777" w:rsidR="00CD449E" w:rsidRPr="00F941DB" w:rsidRDefault="00CD449E" w:rsidP="00FF21C0">
    <w:pPr>
      <w:pStyle w:val="Encabezado"/>
      <w:jc w:val="center"/>
      <w:rPr>
        <w:rFonts w:ascii="Arial" w:hAnsi="Arial" w:cs="Arial"/>
        <w:b/>
        <w:sz w:val="20"/>
        <w:lang w:val="es-ES_tradnl"/>
      </w:rPr>
    </w:pPr>
    <w:r w:rsidRPr="00F941DB">
      <w:rPr>
        <w:rFonts w:ascii="Arial" w:hAnsi="Arial" w:cs="Arial"/>
        <w:b/>
        <w:sz w:val="20"/>
        <w:lang w:val="es-ES_tradnl"/>
      </w:rPr>
      <w:t>DETALLE DE PARTICIPACIONES EN OTRAS SOCIEDADES</w:t>
    </w:r>
  </w:p>
  <w:p w14:paraId="37124D1F" w14:textId="5112EFC4" w:rsidR="00CD449E" w:rsidRPr="009040E3" w:rsidRDefault="00CD449E" w:rsidP="00FF21C0">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54255D20" w14:textId="77777777" w:rsidR="00CD449E" w:rsidRDefault="00CD449E" w:rsidP="00FF21C0">
    <w:pPr>
      <w:pStyle w:val="Encabezado"/>
      <w:jc w:val="center"/>
      <w:rPr>
        <w:rFonts w:ascii="Arial" w:hAnsi="Arial" w:cs="Arial"/>
        <w:sz w:val="16"/>
        <w:szCs w:val="16"/>
        <w:lang w:val="es-ES"/>
      </w:rPr>
    </w:pPr>
    <w:r>
      <w:rPr>
        <w:rFonts w:ascii="Arial" w:hAnsi="Arial" w:cs="Arial"/>
        <w:sz w:val="16"/>
        <w:szCs w:val="16"/>
        <w:lang w:val="es-ES"/>
      </w:rPr>
      <w:t>(C</w:t>
    </w:r>
    <w:r w:rsidRPr="00F941DB">
      <w:rPr>
        <w:rFonts w:ascii="Arial" w:hAnsi="Arial" w:cs="Arial"/>
        <w:sz w:val="16"/>
        <w:szCs w:val="16"/>
        <w:lang w:val="es-ES"/>
      </w:rPr>
      <w:t>ifras expresadas en miles de pesos)</w:t>
    </w:r>
  </w:p>
  <w:p w14:paraId="5D7727F1" w14:textId="77777777" w:rsidR="00CD449E" w:rsidRPr="00D26299" w:rsidRDefault="00CD449E" w:rsidP="00D26299">
    <w:pPr>
      <w:pStyle w:val="Encabezado"/>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05263" w14:textId="77777777" w:rsidR="00CD449E" w:rsidRDefault="00CD449E" w:rsidP="00425F99">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7ADB7F70" wp14:editId="51B4DA6E">
          <wp:extent cx="1027130" cy="452633"/>
          <wp:effectExtent l="19050" t="0" r="157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5E284B3" w14:textId="77777777" w:rsidR="00CD449E" w:rsidRDefault="00CD449E" w:rsidP="00875C00">
    <w:pPr>
      <w:tabs>
        <w:tab w:val="right" w:pos="9214"/>
      </w:tabs>
      <w:ind w:left="142" w:hanging="142"/>
      <w:rPr>
        <w:rFonts w:ascii="Arial" w:hAnsi="Arial" w:cs="Arial"/>
        <w:b/>
        <w:sz w:val="20"/>
        <w:lang w:val="es-ES_tradnl"/>
      </w:rPr>
    </w:pPr>
    <w:r w:rsidRPr="00F941DB">
      <w:rPr>
        <w:rFonts w:ascii="Arial" w:hAnsi="Arial" w:cs="Arial"/>
        <w:b/>
        <w:sz w:val="20"/>
        <w:lang w:val="es-ES_tradnl"/>
      </w:rPr>
      <w:t>ANEXO F</w:t>
    </w:r>
  </w:p>
  <w:p w14:paraId="1E09AE95" w14:textId="77777777" w:rsidR="00CD449E" w:rsidRPr="00F941DB" w:rsidRDefault="00CD449E" w:rsidP="00875C00">
    <w:pPr>
      <w:tabs>
        <w:tab w:val="right" w:pos="9214"/>
      </w:tabs>
      <w:ind w:left="142" w:hanging="142"/>
      <w:rPr>
        <w:rFonts w:ascii="Arial" w:hAnsi="Arial" w:cs="Arial"/>
        <w:sz w:val="20"/>
        <w:lang w:val="es-ES"/>
      </w:rPr>
    </w:pPr>
  </w:p>
  <w:p w14:paraId="747B3EA7" w14:textId="77777777" w:rsidR="00CD449E" w:rsidRPr="00F941DB" w:rsidRDefault="00CD449E" w:rsidP="00875C00">
    <w:pPr>
      <w:pStyle w:val="Encabezado"/>
      <w:jc w:val="center"/>
      <w:rPr>
        <w:rFonts w:ascii="Arial" w:hAnsi="Arial" w:cs="Arial"/>
        <w:b/>
        <w:sz w:val="20"/>
        <w:lang w:val="es-ES_tradnl"/>
      </w:rPr>
    </w:pPr>
    <w:r w:rsidRPr="00F941DB">
      <w:rPr>
        <w:rFonts w:ascii="Arial" w:hAnsi="Arial" w:cs="Arial"/>
        <w:b/>
        <w:sz w:val="20"/>
        <w:lang w:val="es-ES_tradnl"/>
      </w:rPr>
      <w:t xml:space="preserve">MOVIMIENTO DE </w:t>
    </w:r>
    <w:r>
      <w:rPr>
        <w:rFonts w:ascii="Arial" w:hAnsi="Arial" w:cs="Arial"/>
        <w:b/>
        <w:sz w:val="20"/>
        <w:lang w:val="es-ES_tradnl"/>
      </w:rPr>
      <w:t>PROPIEDAD, PLANTA Y EQUIPO</w:t>
    </w:r>
  </w:p>
  <w:p w14:paraId="371F732C" w14:textId="68C3ABB5" w:rsidR="00CD449E" w:rsidRPr="009040E3" w:rsidRDefault="00CD449E" w:rsidP="00875C00">
    <w:pPr>
      <w:pStyle w:val="Encabezado"/>
      <w:jc w:val="center"/>
      <w:rPr>
        <w:rFonts w:ascii="Arial" w:hAnsi="Arial" w:cs="Arial"/>
        <w:b/>
        <w:sz w:val="20"/>
        <w:lang w:val="es-ES_tradnl"/>
      </w:rPr>
    </w:pPr>
    <w:r>
      <w:rPr>
        <w:rFonts w:ascii="Arial" w:hAnsi="Arial" w:cs="Arial"/>
        <w:b/>
        <w:sz w:val="20"/>
        <w:lang w:val="es-ES_tradnl"/>
      </w:rPr>
      <w:t xml:space="preserve">AL 31 DE DICIEMBRE DE 2019 Y 2018 </w:t>
    </w:r>
  </w:p>
  <w:p w14:paraId="534B3882" w14:textId="6E937E8B" w:rsidR="00CD449E" w:rsidRDefault="00CD449E" w:rsidP="00875C00">
    <w:pPr>
      <w:pStyle w:val="Encabezado"/>
      <w:jc w:val="center"/>
      <w:rPr>
        <w:rFonts w:ascii="Arial" w:hAnsi="Arial" w:cs="Arial"/>
        <w:sz w:val="16"/>
        <w:szCs w:val="16"/>
        <w:lang w:val="es-ES"/>
      </w:rPr>
    </w:pPr>
    <w:r w:rsidRPr="00F941DB">
      <w:rPr>
        <w:rFonts w:ascii="Arial" w:hAnsi="Arial" w:cs="Arial"/>
        <w:sz w:val="20"/>
        <w:lang w:val="es-ES"/>
      </w:rPr>
      <w:t>(</w:t>
    </w:r>
    <w:r>
      <w:rPr>
        <w:rFonts w:ascii="Arial" w:hAnsi="Arial" w:cs="Arial"/>
        <w:sz w:val="16"/>
        <w:szCs w:val="16"/>
        <w:lang w:val="es-ES"/>
      </w:rPr>
      <w:t>C</w:t>
    </w:r>
    <w:r w:rsidRPr="00F941DB">
      <w:rPr>
        <w:rFonts w:ascii="Arial" w:hAnsi="Arial" w:cs="Arial"/>
        <w:sz w:val="16"/>
        <w:szCs w:val="16"/>
        <w:lang w:val="es-ES"/>
      </w:rPr>
      <w:t>ifras expresadas en miles de pesos)</w:t>
    </w:r>
  </w:p>
  <w:p w14:paraId="07C3BAA2" w14:textId="77777777" w:rsidR="00CD449E" w:rsidRPr="00D26299" w:rsidRDefault="00CD449E" w:rsidP="00D2629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6DC01" w14:textId="77777777" w:rsidR="00CD449E" w:rsidRDefault="00CD449E" w:rsidP="00C80859">
    <w:pPr>
      <w:tabs>
        <w:tab w:val="right" w:pos="9214"/>
      </w:tabs>
      <w:ind w:left="142" w:hanging="142"/>
      <w:jc w:val="right"/>
      <w:rPr>
        <w:rFonts w:ascii="Arial" w:hAnsi="Arial" w:cs="Arial"/>
        <w:sz w:val="20"/>
        <w:lang w:val="es-ES"/>
      </w:rPr>
    </w:pPr>
    <w:r w:rsidRPr="009042A8">
      <w:rPr>
        <w:rFonts w:ascii="Arial" w:hAnsi="Arial" w:cs="Arial"/>
        <w:b/>
        <w:noProof/>
        <w:sz w:val="20"/>
        <w:lang w:eastAsia="es-AR"/>
      </w:rPr>
      <w:drawing>
        <wp:inline distT="0" distB="0" distL="0" distR="0" wp14:anchorId="1CAF0DA3" wp14:editId="02AAF56B">
          <wp:extent cx="1027130" cy="452633"/>
          <wp:effectExtent l="19050" t="0" r="1570" b="0"/>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C72CE28" w14:textId="77777777" w:rsidR="00CD449E" w:rsidRDefault="00CD449E" w:rsidP="00C80859">
    <w:pPr>
      <w:tabs>
        <w:tab w:val="right" w:pos="9214"/>
      </w:tabs>
      <w:ind w:left="142" w:hanging="142"/>
      <w:jc w:val="right"/>
      <w:rPr>
        <w:rFonts w:ascii="Arial" w:hAnsi="Arial" w:cs="Arial"/>
        <w:sz w:val="20"/>
        <w:lang w:val="es-ES"/>
      </w:rPr>
    </w:pPr>
  </w:p>
  <w:p w14:paraId="4B5BAC6C" w14:textId="77777777" w:rsidR="00CD449E" w:rsidRPr="0017062B" w:rsidRDefault="00CD449E" w:rsidP="00C80859">
    <w:pPr>
      <w:tabs>
        <w:tab w:val="right" w:pos="9214"/>
      </w:tabs>
      <w:ind w:left="142" w:hanging="142"/>
      <w:jc w:val="center"/>
      <w:rPr>
        <w:rFonts w:ascii="Arial" w:hAnsi="Arial" w:cs="Arial"/>
        <w:sz w:val="20"/>
        <w:lang w:val="es-ES"/>
      </w:rPr>
    </w:pPr>
  </w:p>
  <w:p w14:paraId="16F2878D" w14:textId="1E3B310D" w:rsidR="00CD449E" w:rsidRPr="0017062B" w:rsidRDefault="00CD449E" w:rsidP="00EF1D79">
    <w:pPr>
      <w:pStyle w:val="2Ttulo"/>
      <w:rPr>
        <w:rFonts w:ascii="Arial" w:hAnsi="Arial" w:cs="Arial"/>
        <w:sz w:val="20"/>
      </w:rPr>
    </w:pPr>
    <w:r w:rsidRPr="0017062B">
      <w:rPr>
        <w:rFonts w:ascii="Arial" w:hAnsi="Arial" w:cs="Arial"/>
        <w:sz w:val="20"/>
      </w:rPr>
      <w:t xml:space="preserve">ESTADO </w:t>
    </w:r>
    <w:r>
      <w:rPr>
        <w:rFonts w:ascii="Arial" w:hAnsi="Arial" w:cs="Arial"/>
        <w:sz w:val="20"/>
      </w:rPr>
      <w:t xml:space="preserve">DE </w:t>
    </w:r>
    <w:r w:rsidRPr="0017062B">
      <w:rPr>
        <w:rFonts w:ascii="Arial" w:hAnsi="Arial" w:cs="Arial"/>
        <w:sz w:val="20"/>
      </w:rPr>
      <w:t>RESULTADOS</w:t>
    </w:r>
    <w:r>
      <w:rPr>
        <w:rFonts w:ascii="Arial" w:hAnsi="Arial" w:cs="Arial"/>
        <w:sz w:val="20"/>
      </w:rPr>
      <w:t xml:space="preserve"> CONSOLIDADO</w:t>
    </w:r>
    <w:r w:rsidRPr="0017062B">
      <w:rPr>
        <w:rFonts w:ascii="Arial" w:hAnsi="Arial" w:cs="Arial"/>
        <w:sz w:val="20"/>
      </w:rPr>
      <w:t xml:space="preserve"> </w:t>
    </w:r>
    <w:r>
      <w:rPr>
        <w:rFonts w:ascii="Arial" w:hAnsi="Arial" w:cs="Arial"/>
        <w:sz w:val="20"/>
      </w:rPr>
      <w:t>– GANANCIA POR ACCION</w:t>
    </w:r>
  </w:p>
  <w:p w14:paraId="7146D74E" w14:textId="287FB718" w:rsidR="00CD449E" w:rsidRDefault="00CD449E" w:rsidP="00143CC8">
    <w:pPr>
      <w:pStyle w:val="2Ttulo"/>
      <w:rPr>
        <w:rFonts w:ascii="Arial" w:hAnsi="Arial" w:cs="Arial"/>
        <w:sz w:val="20"/>
        <w:lang w:val="es-ES_tradnl"/>
      </w:rPr>
    </w:pPr>
    <w:r w:rsidRPr="0017062B">
      <w:rPr>
        <w:rFonts w:ascii="Arial" w:hAnsi="Arial" w:cs="Arial"/>
        <w:sz w:val="20"/>
        <w:lang w:val="es-ES_tradnl"/>
      </w:rPr>
      <w:t>CO</w:t>
    </w:r>
    <w:r>
      <w:rPr>
        <w:rFonts w:ascii="Arial" w:hAnsi="Arial" w:cs="Arial"/>
        <w:sz w:val="20"/>
        <w:lang w:val="es-ES_tradnl"/>
      </w:rPr>
      <w:t xml:space="preserve">RRESPONDIENTE AL EJERCICIO ECONÓMICO FINALIZADO </w:t>
    </w:r>
  </w:p>
  <w:p w14:paraId="45BEB62F" w14:textId="4E0D43D4" w:rsidR="00CD449E" w:rsidRDefault="00CD449E" w:rsidP="007D0D3E">
    <w:pPr>
      <w:pStyle w:val="2Ttulo"/>
      <w:rPr>
        <w:rFonts w:ascii="Arial" w:hAnsi="Arial" w:cs="Arial"/>
        <w:sz w:val="20"/>
        <w:lang w:val="es-ES_tradnl"/>
      </w:rPr>
    </w:pPr>
    <w:r>
      <w:rPr>
        <w:rFonts w:ascii="Arial" w:hAnsi="Arial" w:cs="Arial"/>
        <w:sz w:val="20"/>
        <w:lang w:val="es-ES_tradnl"/>
      </w:rPr>
      <w:t>EL 31</w:t>
    </w:r>
    <w:r w:rsidRPr="0017062B">
      <w:rPr>
        <w:rFonts w:ascii="Arial" w:hAnsi="Arial" w:cs="Arial"/>
        <w:sz w:val="20"/>
        <w:lang w:val="es-ES_tradnl"/>
      </w:rPr>
      <w:t xml:space="preserve"> DE</w:t>
    </w:r>
    <w:r>
      <w:rPr>
        <w:rFonts w:ascii="Arial" w:hAnsi="Arial" w:cs="Arial"/>
        <w:sz w:val="20"/>
        <w:lang w:val="es-ES_tradnl"/>
      </w:rPr>
      <w:t xml:space="preserve"> DICIEMBRE DE 2019</w:t>
    </w:r>
  </w:p>
  <w:p w14:paraId="406003D0" w14:textId="77777777" w:rsidR="00CD449E" w:rsidRDefault="00CD449E" w:rsidP="007D0D3E">
    <w:pPr>
      <w:pStyle w:val="2Ttulo"/>
      <w:rPr>
        <w:rFonts w:ascii="Arial" w:hAnsi="Arial" w:cs="Arial"/>
        <w:sz w:val="20"/>
        <w:lang w:val="es-ES_tradnl"/>
      </w:rPr>
    </w:pPr>
  </w:p>
  <w:p w14:paraId="3E7F1B21" w14:textId="6DF00A4F" w:rsidR="00CD449E" w:rsidRPr="005E5441" w:rsidRDefault="00CD449E" w:rsidP="00143CC8">
    <w:pPr>
      <w:pStyle w:val="2Ttulo"/>
      <w:rPr>
        <w:rFonts w:ascii="Arial" w:hAnsi="Arial" w:cs="Arial"/>
        <w:b w:val="0"/>
        <w:sz w:val="16"/>
        <w:szCs w:val="16"/>
        <w:lang w:val="es-ES_tradnl"/>
      </w:rPr>
    </w:pPr>
    <w:r w:rsidRPr="005E5441">
      <w:rPr>
        <w:rFonts w:ascii="Arial" w:hAnsi="Arial" w:cs="Arial"/>
        <w:b w:val="0"/>
        <w:sz w:val="16"/>
        <w:szCs w:val="16"/>
        <w:lang w:val="es-ES_tradnl"/>
      </w:rPr>
      <w:t xml:space="preserve">Presentado </w:t>
    </w:r>
    <w:r>
      <w:rPr>
        <w:rFonts w:ascii="Arial" w:hAnsi="Arial" w:cs="Arial"/>
        <w:b w:val="0"/>
        <w:sz w:val="16"/>
        <w:szCs w:val="16"/>
        <w:lang w:val="es-ES_tradnl"/>
      </w:rPr>
      <w:t>en forma comparativa con el ejercicio</w:t>
    </w:r>
    <w:r w:rsidRPr="005E5441">
      <w:rPr>
        <w:rFonts w:ascii="Arial" w:hAnsi="Arial" w:cs="Arial"/>
        <w:b w:val="0"/>
        <w:sz w:val="16"/>
        <w:szCs w:val="16"/>
        <w:lang w:val="es-ES_tradnl"/>
      </w:rPr>
      <w:t xml:space="preserve"> anterior</w:t>
    </w:r>
  </w:p>
  <w:p w14:paraId="2D408F4A" w14:textId="77777777" w:rsidR="00CD449E" w:rsidRDefault="00CD449E" w:rsidP="00143CC8">
    <w:pPr>
      <w:pStyle w:val="2Ttulo"/>
      <w:rPr>
        <w:rFonts w:ascii="Arial" w:hAnsi="Arial" w:cs="Arial"/>
        <w:b w:val="0"/>
        <w:sz w:val="16"/>
        <w:szCs w:val="16"/>
      </w:rPr>
    </w:pPr>
    <w:r w:rsidRPr="005E5441">
      <w:rPr>
        <w:rFonts w:ascii="Arial" w:hAnsi="Arial" w:cs="Arial"/>
        <w:b w:val="0"/>
        <w:sz w:val="16"/>
        <w:szCs w:val="16"/>
      </w:rPr>
      <w:t>(Cifras expresadas en miles de pesos)</w:t>
    </w:r>
  </w:p>
  <w:p w14:paraId="20C5DC9B" w14:textId="77777777" w:rsidR="00CD449E" w:rsidRPr="00050353" w:rsidRDefault="00CD449E" w:rsidP="00050353">
    <w:pPr>
      <w:pStyle w:val="2Ttulo"/>
      <w:jc w:val="left"/>
      <w:rPr>
        <w:rFonts w:ascii="Arial" w:hAnsi="Arial" w:cs="Arial"/>
        <w:b w:val="0"/>
        <w:sz w:val="20"/>
      </w:rPr>
    </w:pPr>
  </w:p>
  <w:p w14:paraId="61ACEE2A" w14:textId="77777777" w:rsidR="00CD449E" w:rsidRPr="00B70E4F" w:rsidRDefault="00CD449E" w:rsidP="00050353">
    <w:pPr>
      <w:pStyle w:val="2Ttulo"/>
      <w:jc w:val="left"/>
      <w:rPr>
        <w:rFonts w:ascii="Arial" w:hAnsi="Arial" w:cs="Arial"/>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55B96" w14:textId="77777777" w:rsidR="00CD449E" w:rsidRDefault="00CD449E" w:rsidP="00425F99">
    <w:pPr>
      <w:tabs>
        <w:tab w:val="right" w:pos="9214"/>
      </w:tabs>
      <w:jc w:val="right"/>
      <w:rPr>
        <w:rFonts w:ascii="Arial" w:hAnsi="Arial" w:cs="Arial"/>
        <w:b/>
        <w:sz w:val="20"/>
        <w:lang w:val="es-ES_tradnl"/>
      </w:rPr>
    </w:pPr>
    <w:r w:rsidRPr="009042A8">
      <w:rPr>
        <w:rFonts w:ascii="Arial" w:hAnsi="Arial" w:cs="Arial"/>
        <w:b/>
        <w:noProof/>
        <w:sz w:val="20"/>
        <w:lang w:eastAsia="es-AR"/>
      </w:rPr>
      <w:drawing>
        <wp:inline distT="0" distB="0" distL="0" distR="0" wp14:anchorId="6BBC7439" wp14:editId="37C38EFE">
          <wp:extent cx="1027130" cy="452633"/>
          <wp:effectExtent l="19050" t="0" r="157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1EF7EE1C" w14:textId="77777777" w:rsidR="00CD449E" w:rsidRDefault="00CD449E" w:rsidP="0063175C">
    <w:pPr>
      <w:tabs>
        <w:tab w:val="right" w:pos="9214"/>
      </w:tabs>
      <w:ind w:left="142" w:hanging="142"/>
      <w:rPr>
        <w:rFonts w:ascii="Arial" w:hAnsi="Arial" w:cs="Arial"/>
        <w:b/>
        <w:sz w:val="20"/>
        <w:lang w:val="es-ES_tradnl"/>
      </w:rPr>
    </w:pPr>
    <w:r w:rsidRPr="00F941DB">
      <w:rPr>
        <w:rFonts w:ascii="Arial" w:hAnsi="Arial" w:cs="Arial"/>
        <w:b/>
        <w:sz w:val="20"/>
        <w:lang w:val="es-ES_tradnl"/>
      </w:rPr>
      <w:t>ANEXO G</w:t>
    </w:r>
  </w:p>
  <w:p w14:paraId="28766C6F" w14:textId="77777777" w:rsidR="00CD449E" w:rsidRPr="00326935" w:rsidRDefault="00CD449E" w:rsidP="0063175C">
    <w:pPr>
      <w:tabs>
        <w:tab w:val="right" w:pos="9214"/>
      </w:tabs>
      <w:ind w:left="142" w:hanging="142"/>
      <w:jc w:val="right"/>
      <w:rPr>
        <w:rFonts w:ascii="Arial" w:hAnsi="Arial" w:cs="Arial"/>
        <w:b/>
        <w:sz w:val="20"/>
        <w:lang w:val="es-ES_tradnl"/>
      </w:rPr>
    </w:pPr>
  </w:p>
  <w:p w14:paraId="622AA401" w14:textId="77777777" w:rsidR="00CD449E" w:rsidRPr="00F941DB" w:rsidRDefault="00CD449E" w:rsidP="0063175C">
    <w:pPr>
      <w:pStyle w:val="Encabezado"/>
      <w:jc w:val="center"/>
      <w:rPr>
        <w:rFonts w:ascii="Arial" w:hAnsi="Arial" w:cs="Arial"/>
        <w:b/>
        <w:sz w:val="20"/>
        <w:lang w:val="es-ES_tradnl"/>
      </w:rPr>
    </w:pPr>
    <w:r>
      <w:rPr>
        <w:rFonts w:ascii="Arial" w:hAnsi="Arial" w:cs="Arial"/>
        <w:b/>
        <w:sz w:val="20"/>
        <w:lang w:val="es-ES_tradnl"/>
      </w:rPr>
      <w:t>MOVIMIENTO</w:t>
    </w:r>
    <w:r w:rsidRPr="00F941DB">
      <w:rPr>
        <w:rFonts w:ascii="Arial" w:hAnsi="Arial" w:cs="Arial"/>
        <w:b/>
        <w:sz w:val="20"/>
        <w:lang w:val="es-ES_tradnl"/>
      </w:rPr>
      <w:t xml:space="preserve"> DE </w:t>
    </w:r>
    <w:r>
      <w:rPr>
        <w:rFonts w:ascii="Arial" w:hAnsi="Arial" w:cs="Arial"/>
        <w:b/>
        <w:sz w:val="20"/>
        <w:lang w:val="es-ES_tradnl"/>
      </w:rPr>
      <w:t>ACTIVOS</w:t>
    </w:r>
    <w:r w:rsidRPr="00F941DB">
      <w:rPr>
        <w:rFonts w:ascii="Arial" w:hAnsi="Arial" w:cs="Arial"/>
        <w:b/>
        <w:sz w:val="20"/>
        <w:lang w:val="es-ES_tradnl"/>
      </w:rPr>
      <w:t xml:space="preserve"> INTANGIBLES</w:t>
    </w:r>
  </w:p>
  <w:p w14:paraId="18E2B7B9" w14:textId="3CED0409" w:rsidR="00CD449E" w:rsidRPr="009040E3" w:rsidRDefault="00CD449E" w:rsidP="0063175C">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4CAEE343" w14:textId="77777777" w:rsidR="00CD449E" w:rsidRDefault="00CD449E" w:rsidP="0063175C">
    <w:pPr>
      <w:pStyle w:val="Encabezado"/>
      <w:jc w:val="center"/>
      <w:rPr>
        <w:rFonts w:ascii="Arial" w:hAnsi="Arial" w:cs="Arial"/>
        <w:sz w:val="16"/>
        <w:szCs w:val="16"/>
        <w:lang w:val="es-ES"/>
      </w:rPr>
    </w:pPr>
    <w:r>
      <w:rPr>
        <w:rFonts w:ascii="Arial" w:hAnsi="Arial" w:cs="Arial"/>
        <w:sz w:val="16"/>
        <w:szCs w:val="16"/>
        <w:lang w:val="es-ES"/>
      </w:rPr>
      <w:t>(C</w:t>
    </w:r>
    <w:r w:rsidRPr="00F941DB">
      <w:rPr>
        <w:rFonts w:ascii="Arial" w:hAnsi="Arial" w:cs="Arial"/>
        <w:sz w:val="16"/>
        <w:szCs w:val="16"/>
        <w:lang w:val="es-ES"/>
      </w:rPr>
      <w:t>if</w:t>
    </w:r>
    <w:r>
      <w:rPr>
        <w:rFonts w:ascii="Arial" w:hAnsi="Arial" w:cs="Arial"/>
        <w:sz w:val="16"/>
        <w:szCs w:val="16"/>
        <w:lang w:val="es-ES"/>
      </w:rPr>
      <w:t>ras expresadas en miles de pesos</w:t>
    </w:r>
    <w:r w:rsidRPr="00F941DB">
      <w:rPr>
        <w:rFonts w:ascii="Arial" w:hAnsi="Arial" w:cs="Arial"/>
        <w:sz w:val="16"/>
        <w:szCs w:val="16"/>
        <w:lang w:val="es-ES"/>
      </w:rPr>
      <w:t>)</w:t>
    </w:r>
  </w:p>
  <w:p w14:paraId="0F69DFD4" w14:textId="77777777" w:rsidR="00CD449E" w:rsidRPr="0063175C" w:rsidRDefault="00CD449E" w:rsidP="00D26299">
    <w:pPr>
      <w:pStyle w:val="Encabezado"/>
      <w:rPr>
        <w:lang w:val="es-ES"/>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DE593" w14:textId="77777777" w:rsidR="00CD449E" w:rsidRDefault="00CD449E" w:rsidP="00860C48">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2554EE7B" wp14:editId="464D9B9B">
          <wp:extent cx="1027130" cy="452633"/>
          <wp:effectExtent l="19050" t="0" r="1570" b="0"/>
          <wp:docPr id="1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7A8CF697" w14:textId="77777777" w:rsidR="00CD449E" w:rsidRDefault="00CD449E" w:rsidP="00860C48">
    <w:pPr>
      <w:tabs>
        <w:tab w:val="right" w:pos="9214"/>
      </w:tabs>
      <w:ind w:left="142" w:hanging="142"/>
      <w:rPr>
        <w:rFonts w:ascii="Arial" w:hAnsi="Arial" w:cs="Arial"/>
        <w:b/>
        <w:sz w:val="20"/>
        <w:lang w:val="es-ES_tradnl"/>
      </w:rPr>
    </w:pPr>
    <w:r w:rsidRPr="00F941DB">
      <w:rPr>
        <w:rFonts w:ascii="Arial" w:hAnsi="Arial" w:cs="Arial"/>
        <w:b/>
        <w:sz w:val="20"/>
        <w:lang w:val="es-ES_tradnl"/>
      </w:rPr>
      <w:t>ANEXO H</w:t>
    </w:r>
  </w:p>
  <w:p w14:paraId="0CDCF5EC" w14:textId="77777777" w:rsidR="00CD449E" w:rsidRPr="002C6517" w:rsidRDefault="00CD449E" w:rsidP="00860C48">
    <w:pPr>
      <w:tabs>
        <w:tab w:val="right" w:pos="9214"/>
      </w:tabs>
      <w:rPr>
        <w:rFonts w:ascii="Arial" w:hAnsi="Arial" w:cs="Arial"/>
        <w:sz w:val="20"/>
        <w:lang w:val="es-ES"/>
      </w:rPr>
    </w:pPr>
  </w:p>
  <w:p w14:paraId="13D303FA" w14:textId="77777777" w:rsidR="00CD449E" w:rsidRPr="00F941DB" w:rsidRDefault="00CD449E" w:rsidP="00860C48">
    <w:pPr>
      <w:pStyle w:val="Encabezado"/>
      <w:jc w:val="center"/>
      <w:rPr>
        <w:rFonts w:ascii="Arial" w:hAnsi="Arial" w:cs="Arial"/>
        <w:b/>
        <w:sz w:val="20"/>
        <w:lang w:val="es-ES_tradnl"/>
      </w:rPr>
    </w:pPr>
    <w:r w:rsidRPr="00F941DB">
      <w:rPr>
        <w:rFonts w:ascii="Arial" w:hAnsi="Arial" w:cs="Arial"/>
        <w:b/>
        <w:sz w:val="20"/>
        <w:lang w:val="es-ES_tradnl"/>
      </w:rPr>
      <w:t>CONCENTRACION DE LOS DEPOSITOS</w:t>
    </w:r>
  </w:p>
  <w:p w14:paraId="214C4BDD" w14:textId="1C6AE8B1" w:rsidR="00CD449E" w:rsidRPr="009040E3" w:rsidRDefault="00CD449E" w:rsidP="00A261DE">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0707200D" w14:textId="77777777" w:rsidR="00CD449E" w:rsidRDefault="00CD449E" w:rsidP="00860C48">
    <w:pPr>
      <w:pStyle w:val="Encabezado"/>
      <w:jc w:val="center"/>
      <w:rPr>
        <w:rFonts w:ascii="Arial" w:hAnsi="Arial" w:cs="Arial"/>
        <w:sz w:val="16"/>
        <w:szCs w:val="16"/>
        <w:lang w:val="es-ES"/>
      </w:rPr>
    </w:pPr>
    <w:r w:rsidRPr="002C6517">
      <w:rPr>
        <w:rFonts w:ascii="Arial" w:hAnsi="Arial" w:cs="Arial"/>
        <w:sz w:val="16"/>
        <w:szCs w:val="16"/>
        <w:lang w:val="es-ES"/>
      </w:rPr>
      <w:t>(Cifras expresadas en miles de pesos)</w:t>
    </w:r>
  </w:p>
  <w:p w14:paraId="37654021" w14:textId="77777777" w:rsidR="00CD449E" w:rsidRPr="002C6517" w:rsidRDefault="00CD449E" w:rsidP="00860C48">
    <w:pPr>
      <w:pStyle w:val="Encabezado"/>
      <w:rPr>
        <w:rFonts w:ascii="Arial" w:hAnsi="Arial" w:cs="Arial"/>
        <w:sz w:val="20"/>
        <w:lang w:val="es-ES"/>
      </w:rPr>
    </w:pPr>
  </w:p>
  <w:p w14:paraId="425A0EAD" w14:textId="77777777" w:rsidR="00CD449E" w:rsidRPr="00F941DB" w:rsidRDefault="00CD449E" w:rsidP="00860C48">
    <w:pPr>
      <w:pStyle w:val="Encabezado"/>
      <w:rPr>
        <w:rFonts w:ascii="Arial" w:hAnsi="Arial" w:cs="Arial"/>
        <w:sz w:val="20"/>
        <w:lang w:val="es-ES_tradnl"/>
      </w:rPr>
    </w:pPr>
  </w:p>
  <w:p w14:paraId="13F1D0C7" w14:textId="77777777" w:rsidR="00CD449E" w:rsidRPr="00860C48" w:rsidRDefault="00CD449E" w:rsidP="00860C48">
    <w:pPr>
      <w:pStyle w:val="Encabezado"/>
      <w:rPr>
        <w:lang w:val="es-ES_tradnl"/>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CFE73" w14:textId="77777777" w:rsidR="00CD449E" w:rsidRDefault="00CD449E" w:rsidP="00860C48">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2A57689E" wp14:editId="76555108">
          <wp:extent cx="1027130" cy="452633"/>
          <wp:effectExtent l="19050" t="0" r="1570" b="0"/>
          <wp:docPr id="1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6FA3ACC" w14:textId="77777777" w:rsidR="00CD449E" w:rsidRDefault="00CD449E" w:rsidP="00860C48">
    <w:pPr>
      <w:tabs>
        <w:tab w:val="right" w:pos="9214"/>
      </w:tabs>
      <w:ind w:left="142" w:hanging="142"/>
      <w:rPr>
        <w:rFonts w:ascii="Arial" w:hAnsi="Arial" w:cs="Arial"/>
        <w:b/>
        <w:sz w:val="20"/>
        <w:lang w:val="es-ES_tradnl"/>
      </w:rPr>
    </w:pPr>
    <w:r w:rsidRPr="002C6517">
      <w:rPr>
        <w:rFonts w:ascii="Arial" w:hAnsi="Arial" w:cs="Arial"/>
        <w:b/>
        <w:sz w:val="20"/>
        <w:lang w:val="es-ES_tradnl"/>
      </w:rPr>
      <w:t>ANEXO I</w:t>
    </w:r>
  </w:p>
  <w:p w14:paraId="08AE86B8" w14:textId="77777777" w:rsidR="00CD449E" w:rsidRPr="002C6517" w:rsidRDefault="00CD449E" w:rsidP="00860C48">
    <w:pPr>
      <w:tabs>
        <w:tab w:val="right" w:pos="9214"/>
      </w:tabs>
      <w:ind w:left="142" w:hanging="142"/>
      <w:rPr>
        <w:rFonts w:ascii="Arial" w:hAnsi="Arial" w:cs="Arial"/>
        <w:b/>
        <w:sz w:val="20"/>
        <w:lang w:val="es-ES"/>
      </w:rPr>
    </w:pPr>
  </w:p>
  <w:p w14:paraId="2A72F5D2" w14:textId="77777777" w:rsidR="00CD449E" w:rsidRPr="002C6517" w:rsidRDefault="00CD449E" w:rsidP="00860C48">
    <w:pPr>
      <w:pStyle w:val="Encabezado"/>
      <w:jc w:val="center"/>
      <w:rPr>
        <w:rFonts w:ascii="Arial" w:hAnsi="Arial" w:cs="Arial"/>
        <w:b/>
        <w:sz w:val="20"/>
        <w:lang w:val="es-ES_tradnl"/>
      </w:rPr>
    </w:pPr>
    <w:r w:rsidRPr="002C6517">
      <w:rPr>
        <w:rFonts w:ascii="Arial" w:hAnsi="Arial" w:cs="Arial"/>
        <w:b/>
        <w:sz w:val="20"/>
        <w:lang w:val="es-ES_tradnl"/>
      </w:rPr>
      <w:t xml:space="preserve">APERTURA </w:t>
    </w:r>
    <w:r>
      <w:rPr>
        <w:rFonts w:ascii="Arial" w:hAnsi="Arial" w:cs="Arial"/>
        <w:b/>
        <w:sz w:val="20"/>
        <w:lang w:val="es-ES_tradnl"/>
      </w:rPr>
      <w:t>DE PASIVOS FINANCIEROS POR PL</w:t>
    </w:r>
    <w:r w:rsidRPr="002C6517">
      <w:rPr>
        <w:rFonts w:ascii="Arial" w:hAnsi="Arial" w:cs="Arial"/>
        <w:b/>
        <w:sz w:val="20"/>
        <w:lang w:val="es-ES_tradnl"/>
      </w:rPr>
      <w:t>A</w:t>
    </w:r>
    <w:r>
      <w:rPr>
        <w:rFonts w:ascii="Arial" w:hAnsi="Arial" w:cs="Arial"/>
        <w:b/>
        <w:sz w:val="20"/>
        <w:lang w:val="es-ES_tradnl"/>
      </w:rPr>
      <w:t>ZOS REMANENTES</w:t>
    </w:r>
  </w:p>
  <w:p w14:paraId="174D3CE1" w14:textId="11625B7B" w:rsidR="00CD449E" w:rsidRPr="002C6517" w:rsidRDefault="00CD449E" w:rsidP="00860C48">
    <w:pPr>
      <w:pStyle w:val="Encabezado"/>
      <w:jc w:val="center"/>
      <w:rPr>
        <w:rFonts w:ascii="Arial" w:hAnsi="Arial" w:cs="Arial"/>
        <w:b/>
        <w:sz w:val="20"/>
        <w:lang w:val="es-ES_tradnl"/>
      </w:rPr>
    </w:pPr>
    <w:r>
      <w:rPr>
        <w:rFonts w:ascii="Arial" w:hAnsi="Arial" w:cs="Arial"/>
        <w:b/>
        <w:sz w:val="20"/>
        <w:lang w:val="es-ES_tradnl"/>
      </w:rPr>
      <w:t>AL 31 DE DICIEMBRE DE 2019</w:t>
    </w:r>
  </w:p>
  <w:p w14:paraId="09253113" w14:textId="77777777" w:rsidR="00CD449E" w:rsidRDefault="00CD449E" w:rsidP="00860C48">
    <w:pPr>
      <w:pStyle w:val="Encabezado"/>
      <w:jc w:val="center"/>
      <w:rPr>
        <w:rFonts w:ascii="Arial" w:hAnsi="Arial" w:cs="Arial"/>
        <w:sz w:val="16"/>
        <w:szCs w:val="16"/>
        <w:lang w:val="es-ES"/>
      </w:rPr>
    </w:pPr>
    <w:r w:rsidRPr="002C6517">
      <w:rPr>
        <w:rFonts w:ascii="Arial" w:hAnsi="Arial" w:cs="Arial"/>
        <w:sz w:val="16"/>
        <w:szCs w:val="16"/>
        <w:lang w:val="es-ES"/>
      </w:rPr>
      <w:t>(Cifras expresadas en miles de pesos)</w:t>
    </w:r>
  </w:p>
  <w:p w14:paraId="72D85541" w14:textId="77777777" w:rsidR="00CD449E" w:rsidRPr="008C1D4C" w:rsidRDefault="00CD449E" w:rsidP="00860C48">
    <w:pPr>
      <w:pStyle w:val="Encabezado"/>
      <w:rPr>
        <w:rFonts w:ascii="Arial" w:hAnsi="Arial" w:cs="Arial"/>
        <w:sz w:val="20"/>
        <w:lang w:val="es-ES_tradnl"/>
      </w:rPr>
    </w:pPr>
  </w:p>
  <w:p w14:paraId="704B9705" w14:textId="77777777" w:rsidR="00CD449E" w:rsidRPr="008C1D4C" w:rsidRDefault="00CD449E" w:rsidP="00860C48">
    <w:pPr>
      <w:pStyle w:val="Encabezado"/>
      <w:rPr>
        <w:rFonts w:ascii="Arial" w:hAnsi="Arial" w:cs="Arial"/>
        <w:sz w:val="20"/>
        <w:lang w:val="es-ES_tradnl"/>
      </w:rPr>
    </w:pPr>
  </w:p>
  <w:p w14:paraId="1EED9720" w14:textId="77777777" w:rsidR="00CD449E" w:rsidRPr="00860C48" w:rsidRDefault="00CD449E" w:rsidP="00860C48">
    <w:pPr>
      <w:pStyle w:val="Encabezado"/>
      <w:rPr>
        <w:lang w:val="es-ES_tradnl"/>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6525B" w14:textId="77777777" w:rsidR="00CD449E" w:rsidRDefault="00CD449E" w:rsidP="007A7EC4">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4212A5BA" wp14:editId="606CBA4B">
          <wp:extent cx="1027130" cy="452633"/>
          <wp:effectExtent l="19050" t="0" r="1570" b="0"/>
          <wp:docPr id="1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5D24A0B" w14:textId="77777777" w:rsidR="00CD449E" w:rsidRDefault="00CD449E" w:rsidP="007A7EC4">
    <w:pPr>
      <w:tabs>
        <w:tab w:val="right" w:pos="9214"/>
      </w:tabs>
      <w:rPr>
        <w:rFonts w:ascii="Arial" w:hAnsi="Arial" w:cs="Arial"/>
        <w:b/>
        <w:sz w:val="20"/>
        <w:lang w:val="es-ES_tradnl"/>
      </w:rPr>
    </w:pPr>
    <w:r w:rsidRPr="008C1D4C">
      <w:rPr>
        <w:rFonts w:ascii="Arial" w:hAnsi="Arial" w:cs="Arial"/>
        <w:b/>
        <w:sz w:val="20"/>
        <w:lang w:val="es-ES_tradnl"/>
      </w:rPr>
      <w:t>ANEXO J</w:t>
    </w:r>
  </w:p>
  <w:p w14:paraId="7F6F71CB" w14:textId="77777777" w:rsidR="00CD449E" w:rsidRPr="00F52B7B" w:rsidRDefault="00CD449E" w:rsidP="007A7EC4">
    <w:pPr>
      <w:tabs>
        <w:tab w:val="right" w:pos="9214"/>
      </w:tabs>
      <w:ind w:left="142" w:hanging="142"/>
      <w:rPr>
        <w:rFonts w:ascii="Arial" w:hAnsi="Arial" w:cs="Arial"/>
        <w:sz w:val="20"/>
        <w:lang w:val="es-ES"/>
      </w:rPr>
    </w:pPr>
  </w:p>
  <w:p w14:paraId="716D64DD" w14:textId="77777777" w:rsidR="00CD449E" w:rsidRPr="008C1D4C" w:rsidRDefault="00CD449E" w:rsidP="007A7EC4">
    <w:pPr>
      <w:pStyle w:val="Encabezado"/>
      <w:jc w:val="center"/>
      <w:rPr>
        <w:rFonts w:ascii="Arial" w:hAnsi="Arial" w:cs="Arial"/>
        <w:b/>
        <w:sz w:val="20"/>
        <w:lang w:val="es-ES_tradnl"/>
      </w:rPr>
    </w:pPr>
    <w:r w:rsidRPr="008C1D4C">
      <w:rPr>
        <w:rFonts w:ascii="Arial" w:hAnsi="Arial" w:cs="Arial"/>
        <w:b/>
        <w:sz w:val="20"/>
        <w:lang w:val="es-ES_tradnl"/>
      </w:rPr>
      <w:t>MOVIMIENTO DE PR</w:t>
    </w:r>
    <w:r>
      <w:rPr>
        <w:rFonts w:ascii="Arial" w:hAnsi="Arial" w:cs="Arial"/>
        <w:b/>
        <w:sz w:val="20"/>
        <w:lang w:val="es-ES_tradnl"/>
      </w:rPr>
      <w:t>O</w:t>
    </w:r>
    <w:r w:rsidRPr="008C1D4C">
      <w:rPr>
        <w:rFonts w:ascii="Arial" w:hAnsi="Arial" w:cs="Arial"/>
        <w:b/>
        <w:sz w:val="20"/>
        <w:lang w:val="es-ES_tradnl"/>
      </w:rPr>
      <w:t>VISIONES</w:t>
    </w:r>
  </w:p>
  <w:p w14:paraId="0CC376B0" w14:textId="1DCD5C3E" w:rsidR="00CD449E" w:rsidRPr="009040E3" w:rsidRDefault="00CD449E" w:rsidP="00A261DE">
    <w:pPr>
      <w:pStyle w:val="Encabezado"/>
      <w:jc w:val="center"/>
      <w:rPr>
        <w:rFonts w:ascii="Arial" w:hAnsi="Arial" w:cs="Arial"/>
        <w:b/>
        <w:sz w:val="20"/>
        <w:lang w:val="es-ES_tradnl"/>
      </w:rPr>
    </w:pPr>
    <w:r>
      <w:rPr>
        <w:rFonts w:ascii="Arial" w:hAnsi="Arial" w:cs="Arial"/>
        <w:b/>
        <w:sz w:val="20"/>
        <w:lang w:val="es-ES_tradnl"/>
      </w:rPr>
      <w:t xml:space="preserve">AL 31 DE DICIEMBRE DE 2019 Y 2018 </w:t>
    </w:r>
  </w:p>
  <w:p w14:paraId="41ACEFEA" w14:textId="77777777" w:rsidR="00CD449E" w:rsidRPr="00F52B7B" w:rsidRDefault="00CD449E" w:rsidP="007A7EC4">
    <w:pPr>
      <w:pStyle w:val="Encabezado"/>
      <w:jc w:val="center"/>
      <w:rPr>
        <w:rFonts w:ascii="Arial" w:hAnsi="Arial" w:cs="Arial"/>
        <w:sz w:val="16"/>
        <w:szCs w:val="16"/>
        <w:lang w:val="es-ES"/>
      </w:rPr>
    </w:pPr>
    <w:r w:rsidRPr="00F52B7B">
      <w:rPr>
        <w:rFonts w:ascii="Arial" w:hAnsi="Arial" w:cs="Arial"/>
        <w:sz w:val="16"/>
        <w:szCs w:val="16"/>
        <w:lang w:val="es-ES"/>
      </w:rPr>
      <w:t>(Cifras expresadas en miles de pesos)</w:t>
    </w:r>
  </w:p>
  <w:p w14:paraId="227CC3C5" w14:textId="77777777" w:rsidR="00CD449E" w:rsidRPr="00D458EF" w:rsidRDefault="00CD449E" w:rsidP="007A7EC4">
    <w:pPr>
      <w:pStyle w:val="Encabezado"/>
      <w:rPr>
        <w:rFonts w:ascii="Arial" w:hAnsi="Arial" w:cs="Arial"/>
        <w:sz w:val="20"/>
        <w:lang w:val="es-ES_tradnl"/>
      </w:rPr>
    </w:pPr>
  </w:p>
  <w:p w14:paraId="276F154A" w14:textId="77777777" w:rsidR="00CD449E" w:rsidRPr="007A7EC4" w:rsidRDefault="00CD449E" w:rsidP="007A7EC4">
    <w:pPr>
      <w:pStyle w:val="Encabezado"/>
      <w:rPr>
        <w:lang w:val="es-ES_tradnl"/>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AC161" w14:textId="77777777" w:rsidR="00CD449E" w:rsidRDefault="00CD449E" w:rsidP="007A7EC4">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17FD9978" wp14:editId="76F55C1E">
          <wp:extent cx="1027130" cy="452633"/>
          <wp:effectExtent l="19050" t="0" r="157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0F8CA901" w14:textId="77777777" w:rsidR="00CD449E" w:rsidRDefault="00CD449E" w:rsidP="0023536E">
    <w:pPr>
      <w:tabs>
        <w:tab w:val="right" w:pos="9214"/>
      </w:tabs>
      <w:ind w:left="142" w:hanging="142"/>
      <w:rPr>
        <w:rFonts w:ascii="Arial" w:hAnsi="Arial" w:cs="Arial"/>
        <w:b/>
        <w:sz w:val="20"/>
        <w:lang w:val="es-ES_tradnl"/>
      </w:rPr>
    </w:pPr>
    <w:r w:rsidRPr="00F52B7B">
      <w:rPr>
        <w:rFonts w:ascii="Arial" w:hAnsi="Arial" w:cs="Arial"/>
        <w:b/>
        <w:sz w:val="20"/>
        <w:lang w:val="es-ES_tradnl"/>
      </w:rPr>
      <w:t>ANEXO K</w:t>
    </w:r>
  </w:p>
  <w:p w14:paraId="223C52FF" w14:textId="77777777" w:rsidR="00CD449E" w:rsidRPr="00326935" w:rsidRDefault="00CD449E" w:rsidP="0023536E">
    <w:pPr>
      <w:tabs>
        <w:tab w:val="right" w:pos="9214"/>
      </w:tabs>
      <w:ind w:left="142" w:hanging="142"/>
      <w:jc w:val="right"/>
      <w:rPr>
        <w:rFonts w:ascii="Arial" w:hAnsi="Arial" w:cs="Arial"/>
        <w:b/>
        <w:sz w:val="20"/>
        <w:lang w:val="es-ES_tradnl"/>
      </w:rPr>
    </w:pPr>
  </w:p>
  <w:p w14:paraId="7F48CCFC" w14:textId="77777777" w:rsidR="00CD449E" w:rsidRPr="00F52B7B" w:rsidRDefault="00CD449E" w:rsidP="0023536E">
    <w:pPr>
      <w:pStyle w:val="Encabezado"/>
      <w:jc w:val="center"/>
      <w:rPr>
        <w:rFonts w:ascii="Arial" w:hAnsi="Arial" w:cs="Arial"/>
        <w:b/>
        <w:sz w:val="20"/>
        <w:lang w:val="es-ES_tradnl"/>
      </w:rPr>
    </w:pPr>
    <w:r w:rsidRPr="00F52B7B">
      <w:rPr>
        <w:rFonts w:ascii="Arial" w:hAnsi="Arial" w:cs="Arial"/>
        <w:b/>
        <w:sz w:val="20"/>
        <w:lang w:val="es-ES_tradnl"/>
      </w:rPr>
      <w:t>COMPOSICION DEL CAPITAL SOCIAL</w:t>
    </w:r>
  </w:p>
  <w:p w14:paraId="26ECE346" w14:textId="571CAF11" w:rsidR="00CD449E" w:rsidRDefault="00CD449E" w:rsidP="0023536E">
    <w:pPr>
      <w:pStyle w:val="Encabezado"/>
      <w:jc w:val="center"/>
      <w:rPr>
        <w:rFonts w:ascii="Arial" w:hAnsi="Arial" w:cs="Arial"/>
        <w:b/>
        <w:sz w:val="20"/>
        <w:lang w:val="es-ES_tradnl"/>
      </w:rPr>
    </w:pPr>
    <w:r>
      <w:rPr>
        <w:rFonts w:ascii="Arial" w:hAnsi="Arial" w:cs="Arial"/>
        <w:b/>
        <w:sz w:val="20"/>
        <w:lang w:val="es-ES_tradnl"/>
      </w:rPr>
      <w:t xml:space="preserve">AL 31 DE DICIEMBRE DE 2019 </w:t>
    </w:r>
  </w:p>
  <w:p w14:paraId="68D7B47E" w14:textId="77777777" w:rsidR="00CD449E" w:rsidRDefault="00CD449E" w:rsidP="0023536E">
    <w:pPr>
      <w:pStyle w:val="Encabezado"/>
      <w:jc w:val="center"/>
      <w:rPr>
        <w:rFonts w:ascii="Arial" w:hAnsi="Arial" w:cs="Arial"/>
        <w:sz w:val="16"/>
        <w:szCs w:val="16"/>
        <w:lang w:val="es-ES"/>
      </w:rPr>
    </w:pPr>
    <w:r w:rsidRPr="00F52B7B">
      <w:rPr>
        <w:rFonts w:ascii="Arial" w:hAnsi="Arial" w:cs="Arial"/>
        <w:sz w:val="16"/>
        <w:szCs w:val="16"/>
        <w:lang w:val="es-ES"/>
      </w:rPr>
      <w:t>(Cifras expresadas en miles de pesos)</w:t>
    </w:r>
  </w:p>
  <w:p w14:paraId="36342B3A" w14:textId="77777777" w:rsidR="00CD449E" w:rsidRPr="00F52B7B" w:rsidRDefault="00CD449E" w:rsidP="0023536E">
    <w:pPr>
      <w:pStyle w:val="Encabezado"/>
      <w:rPr>
        <w:rFonts w:ascii="Arial" w:hAnsi="Arial" w:cs="Arial"/>
        <w:sz w:val="20"/>
        <w:lang w:val="es-ES_tradnl"/>
      </w:rPr>
    </w:pPr>
  </w:p>
  <w:p w14:paraId="7B493E47" w14:textId="77777777" w:rsidR="00CD449E" w:rsidRPr="00D458EF" w:rsidRDefault="00CD449E" w:rsidP="007A7EC4">
    <w:pPr>
      <w:pStyle w:val="Encabezado"/>
      <w:rPr>
        <w:rFonts w:ascii="Arial" w:hAnsi="Arial" w:cs="Arial"/>
        <w:sz w:val="20"/>
        <w:lang w:val="es-ES_tradnl"/>
      </w:rPr>
    </w:pPr>
  </w:p>
  <w:p w14:paraId="43E73589" w14:textId="77777777" w:rsidR="00CD449E" w:rsidRPr="007A7EC4" w:rsidRDefault="00CD449E" w:rsidP="007A7EC4">
    <w:pPr>
      <w:pStyle w:val="Encabezado"/>
      <w:rPr>
        <w:lang w:val="es-ES_tradnl"/>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0E7F3" w14:textId="77777777" w:rsidR="00CD449E" w:rsidRDefault="00CD449E" w:rsidP="007A7EC4">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92C02A3" wp14:editId="686E07A5">
          <wp:extent cx="1027130" cy="452633"/>
          <wp:effectExtent l="19050" t="0" r="157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68DF1AA9" w14:textId="77777777" w:rsidR="00CD449E" w:rsidRDefault="00CD449E" w:rsidP="007A7EC4">
    <w:pPr>
      <w:tabs>
        <w:tab w:val="right" w:pos="9214"/>
      </w:tabs>
      <w:ind w:left="142" w:hanging="142"/>
      <w:rPr>
        <w:rFonts w:ascii="Arial" w:hAnsi="Arial" w:cs="Arial"/>
        <w:b/>
        <w:sz w:val="20"/>
        <w:lang w:val="es-ES_tradnl"/>
      </w:rPr>
    </w:pPr>
    <w:r w:rsidRPr="00F52B7B">
      <w:rPr>
        <w:rFonts w:ascii="Arial" w:hAnsi="Arial" w:cs="Arial"/>
        <w:b/>
        <w:sz w:val="20"/>
        <w:lang w:val="es-ES_tradnl"/>
      </w:rPr>
      <w:t>ANEXO L</w:t>
    </w:r>
  </w:p>
  <w:p w14:paraId="520EA6E0" w14:textId="77777777" w:rsidR="00CD449E" w:rsidRPr="00F52B7B" w:rsidRDefault="00CD449E" w:rsidP="007A7EC4">
    <w:pPr>
      <w:tabs>
        <w:tab w:val="right" w:pos="9214"/>
      </w:tabs>
      <w:ind w:left="142" w:hanging="142"/>
      <w:rPr>
        <w:rFonts w:ascii="Arial" w:hAnsi="Arial" w:cs="Arial"/>
        <w:sz w:val="20"/>
        <w:lang w:val="es-ES"/>
      </w:rPr>
    </w:pPr>
  </w:p>
  <w:p w14:paraId="1724C548" w14:textId="77777777" w:rsidR="00CD449E" w:rsidRPr="00F52B7B" w:rsidRDefault="00CD449E" w:rsidP="007A7EC4">
    <w:pPr>
      <w:pStyle w:val="Encabezado"/>
      <w:jc w:val="center"/>
      <w:rPr>
        <w:rFonts w:ascii="Arial" w:hAnsi="Arial" w:cs="Arial"/>
        <w:b/>
        <w:sz w:val="20"/>
        <w:lang w:val="es-ES_tradnl"/>
      </w:rPr>
    </w:pPr>
    <w:r w:rsidRPr="00F52B7B">
      <w:rPr>
        <w:rFonts w:ascii="Arial" w:hAnsi="Arial" w:cs="Arial"/>
        <w:b/>
        <w:sz w:val="20"/>
        <w:lang w:val="es-ES_tradnl"/>
      </w:rPr>
      <w:t>SALDOS EN MONEDA EXTRANJERA</w:t>
    </w:r>
  </w:p>
  <w:p w14:paraId="78B10FD4" w14:textId="3DC7EA7D" w:rsidR="00CD449E" w:rsidRPr="00F52B7B" w:rsidRDefault="00CD449E" w:rsidP="00A261DE">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3BB92C74" w14:textId="77777777" w:rsidR="00CD449E" w:rsidRDefault="00CD449E" w:rsidP="007A7EC4">
    <w:pPr>
      <w:pStyle w:val="Encabezado"/>
      <w:jc w:val="center"/>
      <w:rPr>
        <w:rFonts w:ascii="Arial" w:hAnsi="Arial" w:cs="Arial"/>
        <w:sz w:val="16"/>
        <w:szCs w:val="16"/>
        <w:lang w:val="es-ES"/>
      </w:rPr>
    </w:pPr>
    <w:r>
      <w:rPr>
        <w:rFonts w:ascii="Arial" w:hAnsi="Arial" w:cs="Arial"/>
        <w:sz w:val="16"/>
        <w:szCs w:val="16"/>
        <w:lang w:val="es-ES"/>
      </w:rPr>
      <w:t>(C</w:t>
    </w:r>
    <w:r w:rsidRPr="00F52B7B">
      <w:rPr>
        <w:rFonts w:ascii="Arial" w:hAnsi="Arial" w:cs="Arial"/>
        <w:sz w:val="16"/>
        <w:szCs w:val="16"/>
        <w:lang w:val="es-ES"/>
      </w:rPr>
      <w:t>ifras expresadas en miles de pesos)</w:t>
    </w:r>
  </w:p>
  <w:p w14:paraId="49EB4278" w14:textId="29DD1DC1" w:rsidR="00CD449E" w:rsidRDefault="00CD449E" w:rsidP="007A7EC4">
    <w:pPr>
      <w:pStyle w:val="Encabezado"/>
      <w:rPr>
        <w:lang w:val="es-ES"/>
      </w:rPr>
    </w:pPr>
  </w:p>
  <w:p w14:paraId="22CB4729" w14:textId="77777777" w:rsidR="00CD449E" w:rsidRPr="007A7EC4" w:rsidRDefault="00CD449E" w:rsidP="007A7EC4">
    <w:pPr>
      <w:pStyle w:val="Encabezado"/>
      <w:rPr>
        <w:lang w:val="es-ES"/>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B2567" w14:textId="77777777" w:rsidR="00CD449E" w:rsidRDefault="00CD449E" w:rsidP="007A7EC4">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22258E07" wp14:editId="15C66562">
          <wp:extent cx="1027130" cy="452633"/>
          <wp:effectExtent l="19050" t="0" r="157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712D9362" w14:textId="77777777" w:rsidR="00CD449E" w:rsidRDefault="00CD449E" w:rsidP="0023536E">
    <w:pPr>
      <w:tabs>
        <w:tab w:val="right" w:pos="9214"/>
      </w:tabs>
      <w:ind w:left="142" w:hanging="142"/>
      <w:rPr>
        <w:rFonts w:ascii="Arial" w:hAnsi="Arial" w:cs="Arial"/>
        <w:b/>
        <w:sz w:val="20"/>
        <w:lang w:val="es-ES_tradnl"/>
      </w:rPr>
    </w:pPr>
    <w:r w:rsidRPr="00F52B7B">
      <w:rPr>
        <w:rFonts w:ascii="Arial" w:hAnsi="Arial" w:cs="Arial"/>
        <w:b/>
        <w:sz w:val="20"/>
        <w:lang w:val="es-ES_tradnl"/>
      </w:rPr>
      <w:t>ANEXO N</w:t>
    </w:r>
  </w:p>
  <w:p w14:paraId="7C7C0B69" w14:textId="77777777" w:rsidR="00CD449E" w:rsidRPr="00F52B7B" w:rsidRDefault="00CD449E" w:rsidP="0023536E">
    <w:pPr>
      <w:tabs>
        <w:tab w:val="right" w:pos="9214"/>
      </w:tabs>
      <w:ind w:left="142" w:hanging="142"/>
      <w:rPr>
        <w:rFonts w:ascii="Arial" w:hAnsi="Arial" w:cs="Arial"/>
        <w:sz w:val="20"/>
        <w:lang w:val="es-ES"/>
      </w:rPr>
    </w:pPr>
  </w:p>
  <w:p w14:paraId="3DCEC23E" w14:textId="77777777" w:rsidR="00CD449E" w:rsidRPr="00F52B7B" w:rsidRDefault="00CD449E" w:rsidP="0023536E">
    <w:pPr>
      <w:pStyle w:val="Encabezado"/>
      <w:jc w:val="center"/>
      <w:rPr>
        <w:rFonts w:ascii="Arial" w:hAnsi="Arial" w:cs="Arial"/>
        <w:b/>
        <w:sz w:val="20"/>
        <w:lang w:val="es-ES_tradnl"/>
      </w:rPr>
    </w:pPr>
    <w:r w:rsidRPr="00F52B7B">
      <w:rPr>
        <w:rFonts w:ascii="Arial" w:hAnsi="Arial" w:cs="Arial"/>
        <w:b/>
        <w:sz w:val="20"/>
        <w:lang w:val="es-ES_tradnl"/>
      </w:rPr>
      <w:t>ASISTENCIA A VINCULADOS</w:t>
    </w:r>
  </w:p>
  <w:p w14:paraId="3FFE8B2E" w14:textId="773CE889" w:rsidR="00CD449E" w:rsidRPr="009040E3" w:rsidRDefault="00CD449E" w:rsidP="0023536E">
    <w:pPr>
      <w:pStyle w:val="Encabezado"/>
      <w:jc w:val="center"/>
      <w:rPr>
        <w:rFonts w:ascii="Arial" w:hAnsi="Arial" w:cs="Arial"/>
        <w:b/>
        <w:sz w:val="20"/>
        <w:lang w:val="es-ES_tradnl"/>
      </w:rPr>
    </w:pPr>
    <w:r>
      <w:rPr>
        <w:rFonts w:ascii="Arial" w:hAnsi="Arial" w:cs="Arial"/>
        <w:b/>
        <w:sz w:val="20"/>
        <w:lang w:val="es-ES_tradnl"/>
      </w:rPr>
      <w:t xml:space="preserve">AL 31 DE DICIEMBRE DE 2019 Y 2018 </w:t>
    </w:r>
  </w:p>
  <w:p w14:paraId="04F12C0C" w14:textId="232E4891" w:rsidR="00CD449E" w:rsidRDefault="00CD449E" w:rsidP="0023536E">
    <w:pPr>
      <w:pStyle w:val="Encabezado"/>
      <w:jc w:val="center"/>
      <w:rPr>
        <w:rFonts w:ascii="Arial" w:hAnsi="Arial" w:cs="Arial"/>
        <w:sz w:val="16"/>
        <w:szCs w:val="16"/>
        <w:lang w:val="es-ES"/>
      </w:rPr>
    </w:pPr>
    <w:r>
      <w:rPr>
        <w:rFonts w:ascii="Arial" w:hAnsi="Arial" w:cs="Arial"/>
        <w:sz w:val="16"/>
        <w:szCs w:val="16"/>
        <w:lang w:val="es-ES"/>
      </w:rPr>
      <w:t>(C</w:t>
    </w:r>
    <w:r w:rsidRPr="00F52B7B">
      <w:rPr>
        <w:rFonts w:ascii="Arial" w:hAnsi="Arial" w:cs="Arial"/>
        <w:sz w:val="16"/>
        <w:szCs w:val="16"/>
        <w:lang w:val="es-ES"/>
      </w:rPr>
      <w:t>ifras expresadas en miles de pesos)</w:t>
    </w:r>
  </w:p>
  <w:p w14:paraId="3333813B" w14:textId="77777777" w:rsidR="00CD449E" w:rsidRDefault="00CD449E" w:rsidP="007A7EC4">
    <w:pPr>
      <w:pStyle w:val="Encabezado"/>
      <w:rPr>
        <w:lang w:val="es-ES"/>
      </w:rPr>
    </w:pPr>
  </w:p>
  <w:p w14:paraId="59F1891A" w14:textId="77777777" w:rsidR="00CD449E" w:rsidRPr="007A7EC4" w:rsidRDefault="00CD449E" w:rsidP="007A7EC4">
    <w:pPr>
      <w:pStyle w:val="Encabezado"/>
      <w:rPr>
        <w:lang w:val="es-ES"/>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67BE2" w14:textId="77777777" w:rsidR="00CD449E" w:rsidRDefault="00CD449E" w:rsidP="00AF16A0">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79EBC2B7" wp14:editId="6499D599">
          <wp:extent cx="1027130" cy="452633"/>
          <wp:effectExtent l="19050" t="0" r="1570" b="0"/>
          <wp:docPr id="1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544B4E37" w14:textId="77777777" w:rsidR="00CD449E" w:rsidRDefault="00CD449E" w:rsidP="00AF16A0">
    <w:pPr>
      <w:tabs>
        <w:tab w:val="right" w:pos="9214"/>
      </w:tabs>
      <w:ind w:left="142" w:hanging="142"/>
      <w:rPr>
        <w:rFonts w:ascii="Arial" w:hAnsi="Arial" w:cs="Arial"/>
        <w:b/>
        <w:sz w:val="20"/>
        <w:lang w:val="es-ES_tradnl"/>
      </w:rPr>
    </w:pPr>
    <w:r w:rsidRPr="00F52B7B">
      <w:rPr>
        <w:rFonts w:ascii="Arial" w:hAnsi="Arial" w:cs="Arial"/>
        <w:b/>
        <w:sz w:val="20"/>
        <w:lang w:val="es-ES_tradnl"/>
      </w:rPr>
      <w:t>ANEXO O</w:t>
    </w:r>
  </w:p>
  <w:p w14:paraId="680467E6" w14:textId="77777777" w:rsidR="00CD449E" w:rsidRPr="00F52B7B" w:rsidRDefault="00CD449E" w:rsidP="00AF16A0">
    <w:pPr>
      <w:tabs>
        <w:tab w:val="right" w:pos="9214"/>
      </w:tabs>
      <w:rPr>
        <w:rFonts w:ascii="Arial" w:hAnsi="Arial" w:cs="Arial"/>
        <w:sz w:val="20"/>
        <w:lang w:val="es-ES"/>
      </w:rPr>
    </w:pPr>
  </w:p>
  <w:p w14:paraId="0C12CD2E" w14:textId="77777777" w:rsidR="00CD449E" w:rsidRPr="00F52B7B" w:rsidRDefault="00CD449E" w:rsidP="00AF16A0">
    <w:pPr>
      <w:pStyle w:val="Encabezado"/>
      <w:jc w:val="center"/>
      <w:rPr>
        <w:rFonts w:ascii="Arial" w:hAnsi="Arial" w:cs="Arial"/>
        <w:b/>
        <w:sz w:val="20"/>
        <w:lang w:val="es-ES_tradnl"/>
      </w:rPr>
    </w:pPr>
    <w:r w:rsidRPr="00F52B7B">
      <w:rPr>
        <w:rFonts w:ascii="Arial" w:hAnsi="Arial" w:cs="Arial"/>
        <w:b/>
        <w:sz w:val="20"/>
        <w:lang w:val="es-ES_tradnl"/>
      </w:rPr>
      <w:t>INSTRUMENTOS FINANCIEROS DERIVADOS</w:t>
    </w:r>
  </w:p>
  <w:p w14:paraId="48562365" w14:textId="4FF5889F" w:rsidR="00CD449E" w:rsidRPr="00F52B7B" w:rsidRDefault="00CD449E" w:rsidP="00AF16A0">
    <w:pPr>
      <w:pStyle w:val="Encabezado"/>
      <w:jc w:val="center"/>
      <w:rPr>
        <w:rFonts w:ascii="Arial" w:hAnsi="Arial" w:cs="Arial"/>
        <w:b/>
        <w:sz w:val="20"/>
        <w:lang w:val="es-ES_tradnl"/>
      </w:rPr>
    </w:pPr>
    <w:r>
      <w:rPr>
        <w:rFonts w:ascii="Arial" w:hAnsi="Arial" w:cs="Arial"/>
        <w:b/>
        <w:sz w:val="20"/>
        <w:lang w:val="es-ES_tradnl"/>
      </w:rPr>
      <w:t>AL 31 DE DICIEMBRE DE 2019</w:t>
    </w:r>
  </w:p>
  <w:p w14:paraId="2B98B0AF" w14:textId="77777777" w:rsidR="00CD449E" w:rsidRDefault="00CD449E" w:rsidP="00AF16A0">
    <w:pPr>
      <w:pStyle w:val="Encabezado"/>
      <w:jc w:val="center"/>
      <w:rPr>
        <w:rFonts w:ascii="Arial" w:hAnsi="Arial" w:cs="Arial"/>
        <w:sz w:val="16"/>
        <w:szCs w:val="16"/>
        <w:lang w:val="es-ES"/>
      </w:rPr>
    </w:pPr>
    <w:r w:rsidRPr="00F52B7B">
      <w:rPr>
        <w:rFonts w:ascii="Arial" w:hAnsi="Arial" w:cs="Arial"/>
        <w:sz w:val="16"/>
        <w:szCs w:val="16"/>
        <w:lang w:val="es-ES"/>
      </w:rPr>
      <w:t>(Cifras expresadas en miles de pesos)</w:t>
    </w:r>
  </w:p>
  <w:p w14:paraId="1BBEFEFF" w14:textId="77777777" w:rsidR="00CD449E" w:rsidRPr="00F52B7B" w:rsidRDefault="00CD449E" w:rsidP="00AF16A0">
    <w:pPr>
      <w:pStyle w:val="Encabezado"/>
      <w:rPr>
        <w:rFonts w:ascii="Arial" w:hAnsi="Arial" w:cs="Arial"/>
        <w:sz w:val="20"/>
        <w:lang w:val="es-ES_tradnl"/>
      </w:rPr>
    </w:pPr>
  </w:p>
  <w:p w14:paraId="094932D0" w14:textId="77777777" w:rsidR="00CD449E" w:rsidRPr="00AF16A0" w:rsidRDefault="00CD449E" w:rsidP="00AF16A0">
    <w:pPr>
      <w:pStyle w:val="Encabezado"/>
      <w:rPr>
        <w:lang w:val="es-ES_tradnl"/>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E0004" w14:textId="77777777" w:rsidR="00CD449E" w:rsidRDefault="00CD449E" w:rsidP="00AF16A0">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70C06F8B" wp14:editId="21842095">
          <wp:extent cx="1027130" cy="452633"/>
          <wp:effectExtent l="19050" t="0" r="1570" b="0"/>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695293CD" w14:textId="77777777" w:rsidR="00CD449E" w:rsidRDefault="00CD449E" w:rsidP="00A30C77">
    <w:pPr>
      <w:tabs>
        <w:tab w:val="right" w:pos="9214"/>
      </w:tabs>
      <w:ind w:left="142" w:hanging="142"/>
      <w:rPr>
        <w:rFonts w:ascii="Arial" w:hAnsi="Arial" w:cs="Arial"/>
        <w:b/>
        <w:sz w:val="20"/>
        <w:lang w:val="es-ES_tradnl"/>
      </w:rPr>
    </w:pPr>
    <w:r>
      <w:rPr>
        <w:rFonts w:ascii="Arial" w:hAnsi="Arial" w:cs="Arial"/>
        <w:b/>
        <w:sz w:val="20"/>
        <w:lang w:val="es-ES_tradnl"/>
      </w:rPr>
      <w:t>ANEXO P</w:t>
    </w:r>
  </w:p>
  <w:p w14:paraId="1FFD16D6" w14:textId="77777777" w:rsidR="00CD449E" w:rsidRPr="00F52B7B" w:rsidRDefault="00CD449E" w:rsidP="00A30C77">
    <w:pPr>
      <w:tabs>
        <w:tab w:val="right" w:pos="9214"/>
      </w:tabs>
      <w:rPr>
        <w:rFonts w:ascii="Arial" w:hAnsi="Arial" w:cs="Arial"/>
        <w:sz w:val="20"/>
        <w:lang w:val="es-ES"/>
      </w:rPr>
    </w:pPr>
  </w:p>
  <w:p w14:paraId="4B61D0C8" w14:textId="77777777" w:rsidR="00CD449E" w:rsidRPr="00F52B7B" w:rsidRDefault="00CD449E" w:rsidP="00A30C77">
    <w:pPr>
      <w:pStyle w:val="Encabezado"/>
      <w:jc w:val="center"/>
      <w:rPr>
        <w:rFonts w:ascii="Arial" w:hAnsi="Arial" w:cs="Arial"/>
        <w:b/>
        <w:sz w:val="20"/>
        <w:lang w:val="es-ES_tradnl"/>
      </w:rPr>
    </w:pPr>
    <w:r>
      <w:rPr>
        <w:rFonts w:ascii="Arial" w:hAnsi="Arial" w:cs="Arial"/>
        <w:b/>
        <w:sz w:val="20"/>
        <w:lang w:val="es-ES_tradnl"/>
      </w:rPr>
      <w:t>CATEGORIAS DE ACTIVOS Y PASIVOS FINANCIEROS SEPARADO</w:t>
    </w:r>
  </w:p>
  <w:p w14:paraId="0293559D" w14:textId="47317141" w:rsidR="00CD449E" w:rsidRPr="00F52B7B" w:rsidRDefault="00CD449E" w:rsidP="00A30C77">
    <w:pPr>
      <w:pStyle w:val="Encabezado"/>
      <w:jc w:val="center"/>
      <w:rPr>
        <w:rFonts w:ascii="Arial" w:hAnsi="Arial" w:cs="Arial"/>
        <w:b/>
        <w:sz w:val="20"/>
        <w:lang w:val="es-ES_tradnl"/>
      </w:rPr>
    </w:pPr>
    <w:r>
      <w:rPr>
        <w:rFonts w:ascii="Arial" w:hAnsi="Arial" w:cs="Arial"/>
        <w:b/>
        <w:sz w:val="20"/>
        <w:lang w:val="es-ES_tradnl"/>
      </w:rPr>
      <w:t>AL 31 DE DICIEMBRE DE 2019</w:t>
    </w:r>
  </w:p>
  <w:p w14:paraId="69480A0D" w14:textId="77777777" w:rsidR="00CD449E" w:rsidRDefault="00CD449E" w:rsidP="00A30C77">
    <w:pPr>
      <w:pStyle w:val="Encabezado"/>
      <w:jc w:val="center"/>
      <w:rPr>
        <w:rFonts w:ascii="Arial" w:hAnsi="Arial" w:cs="Arial"/>
        <w:sz w:val="16"/>
        <w:szCs w:val="16"/>
        <w:lang w:val="es-ES"/>
      </w:rPr>
    </w:pPr>
    <w:r w:rsidRPr="00F52B7B">
      <w:rPr>
        <w:rFonts w:ascii="Arial" w:hAnsi="Arial" w:cs="Arial"/>
        <w:sz w:val="16"/>
        <w:szCs w:val="16"/>
        <w:lang w:val="es-ES"/>
      </w:rPr>
      <w:t>(Cifras expresadas en miles de pesos)</w:t>
    </w:r>
  </w:p>
  <w:p w14:paraId="6399D309" w14:textId="64E2BBFC" w:rsidR="00CD449E" w:rsidRDefault="00CD449E" w:rsidP="00AF16A0">
    <w:pPr>
      <w:pStyle w:val="Encabezado"/>
      <w:jc w:val="center"/>
      <w:rPr>
        <w:rFonts w:ascii="Arial" w:hAnsi="Arial" w:cs="Arial"/>
        <w:sz w:val="16"/>
        <w:szCs w:val="16"/>
        <w:lang w:val="es-ES"/>
      </w:rPr>
    </w:pPr>
  </w:p>
  <w:p w14:paraId="1F41DB03" w14:textId="77777777" w:rsidR="00CD449E" w:rsidRPr="00F52B7B" w:rsidRDefault="00CD449E" w:rsidP="00AF16A0">
    <w:pPr>
      <w:pStyle w:val="Encabezado"/>
      <w:rPr>
        <w:rFonts w:ascii="Arial" w:hAnsi="Arial" w:cs="Arial"/>
        <w:sz w:val="20"/>
        <w:lang w:val="es-ES_tradnl"/>
      </w:rPr>
    </w:pPr>
  </w:p>
  <w:p w14:paraId="3C7BB44B" w14:textId="77777777" w:rsidR="00CD449E" w:rsidRPr="00AF16A0" w:rsidRDefault="00CD449E" w:rsidP="00AF16A0">
    <w:pPr>
      <w:pStyle w:val="Encabezado"/>
      <w:rPr>
        <w:lang w:val="es-ES_tradnl"/>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DB19C" w14:textId="77777777" w:rsidR="00CD449E" w:rsidRDefault="00CD449E" w:rsidP="00AF16A0">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5750D72E" wp14:editId="535BE995">
          <wp:extent cx="1027130" cy="452633"/>
          <wp:effectExtent l="19050" t="0" r="1570"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67706E09" w14:textId="77777777" w:rsidR="00CD449E" w:rsidRDefault="00CD449E" w:rsidP="00C7765D">
    <w:pPr>
      <w:tabs>
        <w:tab w:val="right" w:pos="9214"/>
      </w:tabs>
      <w:ind w:left="142" w:hanging="142"/>
      <w:rPr>
        <w:rFonts w:ascii="Arial" w:hAnsi="Arial" w:cs="Arial"/>
        <w:b/>
        <w:sz w:val="20"/>
        <w:lang w:val="es-ES_tradnl"/>
      </w:rPr>
    </w:pPr>
    <w:r w:rsidRPr="002C6517">
      <w:rPr>
        <w:rFonts w:ascii="Arial" w:hAnsi="Arial" w:cs="Arial"/>
        <w:b/>
        <w:sz w:val="20"/>
        <w:lang w:val="es-ES_tradnl"/>
      </w:rPr>
      <w:t xml:space="preserve">ANEXO </w:t>
    </w:r>
    <w:r>
      <w:rPr>
        <w:rFonts w:ascii="Arial" w:hAnsi="Arial" w:cs="Arial"/>
        <w:b/>
        <w:sz w:val="20"/>
        <w:lang w:val="es-ES_tradnl"/>
      </w:rPr>
      <w:t>Q</w:t>
    </w:r>
  </w:p>
  <w:p w14:paraId="5F3A2F7A" w14:textId="77777777" w:rsidR="00CD449E" w:rsidRPr="002C6517" w:rsidRDefault="00CD449E" w:rsidP="00C7765D">
    <w:pPr>
      <w:tabs>
        <w:tab w:val="right" w:pos="9214"/>
      </w:tabs>
      <w:ind w:left="142" w:hanging="142"/>
      <w:rPr>
        <w:rFonts w:ascii="Arial" w:hAnsi="Arial" w:cs="Arial"/>
        <w:b/>
        <w:sz w:val="20"/>
        <w:lang w:val="es-ES"/>
      </w:rPr>
    </w:pPr>
  </w:p>
  <w:p w14:paraId="563C3DDA" w14:textId="77777777" w:rsidR="00CD449E" w:rsidRPr="002C6517" w:rsidRDefault="00CD449E" w:rsidP="00C7765D">
    <w:pPr>
      <w:pStyle w:val="Encabezado"/>
      <w:jc w:val="center"/>
      <w:rPr>
        <w:rFonts w:ascii="Arial" w:hAnsi="Arial" w:cs="Arial"/>
        <w:b/>
        <w:sz w:val="20"/>
        <w:lang w:val="es-ES_tradnl"/>
      </w:rPr>
    </w:pPr>
    <w:r>
      <w:rPr>
        <w:rFonts w:ascii="Arial" w:hAnsi="Arial" w:cs="Arial"/>
        <w:b/>
        <w:sz w:val="20"/>
        <w:lang w:val="es-ES_tradnl"/>
      </w:rPr>
      <w:t>APERTURA DE RESULTADOS CONSOLIDADOS</w:t>
    </w:r>
  </w:p>
  <w:p w14:paraId="601DA890" w14:textId="12999B2B" w:rsidR="00CD449E" w:rsidRPr="002C6517" w:rsidRDefault="00CD449E" w:rsidP="00C7765D">
    <w:pPr>
      <w:pStyle w:val="Encabezado"/>
      <w:jc w:val="center"/>
      <w:rPr>
        <w:rFonts w:ascii="Arial" w:hAnsi="Arial" w:cs="Arial"/>
        <w:b/>
        <w:sz w:val="20"/>
        <w:lang w:val="es-ES_tradnl"/>
      </w:rPr>
    </w:pPr>
    <w:r>
      <w:rPr>
        <w:rFonts w:ascii="Arial" w:hAnsi="Arial" w:cs="Arial"/>
        <w:b/>
        <w:sz w:val="20"/>
        <w:lang w:val="es-ES_tradnl"/>
      </w:rPr>
      <w:t>AL 31 DE DICIEMBRE DE 2019</w:t>
    </w:r>
  </w:p>
  <w:p w14:paraId="31BF9EA8" w14:textId="6CD88A61" w:rsidR="00CD449E" w:rsidRDefault="00CD449E" w:rsidP="00C7765D">
    <w:pPr>
      <w:pStyle w:val="Encabezado"/>
      <w:jc w:val="center"/>
      <w:rPr>
        <w:rFonts w:ascii="Arial" w:hAnsi="Arial" w:cs="Arial"/>
        <w:sz w:val="16"/>
        <w:szCs w:val="16"/>
        <w:lang w:val="es-ES"/>
      </w:rPr>
    </w:pPr>
    <w:r w:rsidRPr="002C6517">
      <w:rPr>
        <w:rFonts w:ascii="Arial" w:hAnsi="Arial" w:cs="Arial"/>
        <w:sz w:val="16"/>
        <w:szCs w:val="16"/>
        <w:lang w:val="es-ES"/>
      </w:rPr>
      <w:t>(Cifras expresadas en miles de pesos)</w:t>
    </w:r>
  </w:p>
  <w:p w14:paraId="1F366827" w14:textId="77777777" w:rsidR="00CD449E" w:rsidRDefault="00CD449E" w:rsidP="00AF16A0">
    <w:pPr>
      <w:pStyle w:val="Encabezado"/>
      <w:jc w:val="center"/>
      <w:rPr>
        <w:rFonts w:ascii="Arial" w:hAnsi="Arial" w:cs="Arial"/>
        <w:sz w:val="16"/>
        <w:szCs w:val="16"/>
        <w:lang w:val="es-ES"/>
      </w:rPr>
    </w:pPr>
  </w:p>
  <w:p w14:paraId="054660D6" w14:textId="77777777" w:rsidR="00CD449E" w:rsidRPr="00F52B7B" w:rsidRDefault="00CD449E" w:rsidP="00AF16A0">
    <w:pPr>
      <w:pStyle w:val="Encabezado"/>
      <w:rPr>
        <w:rFonts w:ascii="Arial" w:hAnsi="Arial" w:cs="Arial"/>
        <w:sz w:val="20"/>
        <w:lang w:val="es-ES_tradnl"/>
      </w:rPr>
    </w:pPr>
  </w:p>
  <w:p w14:paraId="77FD9BD9" w14:textId="77777777" w:rsidR="00CD449E" w:rsidRPr="00AF16A0" w:rsidRDefault="00CD449E" w:rsidP="00AF16A0">
    <w:pPr>
      <w:pStyle w:val="Encabezado"/>
      <w:rPr>
        <w:lang w:val="es-ES_tradn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C72F4" w14:textId="77777777" w:rsidR="00CD449E" w:rsidRDefault="00CD449E" w:rsidP="00C80859">
    <w:pPr>
      <w:tabs>
        <w:tab w:val="right" w:pos="9214"/>
      </w:tabs>
      <w:ind w:left="142" w:hanging="142"/>
      <w:jc w:val="right"/>
      <w:rPr>
        <w:rFonts w:ascii="Arial" w:hAnsi="Arial" w:cs="Arial"/>
        <w:sz w:val="20"/>
        <w:lang w:val="es-ES"/>
      </w:rPr>
    </w:pPr>
    <w:r w:rsidRPr="009042A8">
      <w:rPr>
        <w:rFonts w:ascii="Arial" w:hAnsi="Arial" w:cs="Arial"/>
        <w:b/>
        <w:noProof/>
        <w:sz w:val="20"/>
        <w:lang w:eastAsia="es-AR"/>
      </w:rPr>
      <w:drawing>
        <wp:inline distT="0" distB="0" distL="0" distR="0" wp14:anchorId="7395BD1F" wp14:editId="52853165">
          <wp:extent cx="1027130" cy="452633"/>
          <wp:effectExtent l="19050" t="0" r="1570" b="0"/>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3672BBAE" w14:textId="77777777" w:rsidR="00CD449E" w:rsidRDefault="00CD449E" w:rsidP="00C80859">
    <w:pPr>
      <w:tabs>
        <w:tab w:val="right" w:pos="9214"/>
      </w:tabs>
      <w:ind w:left="142" w:hanging="142"/>
      <w:jc w:val="right"/>
      <w:rPr>
        <w:rFonts w:ascii="Arial" w:hAnsi="Arial" w:cs="Arial"/>
        <w:sz w:val="20"/>
        <w:lang w:val="es-ES"/>
      </w:rPr>
    </w:pPr>
  </w:p>
  <w:p w14:paraId="6A96CF29" w14:textId="77777777" w:rsidR="00CD449E" w:rsidRPr="0017062B" w:rsidRDefault="00CD449E" w:rsidP="00C80859">
    <w:pPr>
      <w:tabs>
        <w:tab w:val="right" w:pos="9214"/>
      </w:tabs>
      <w:ind w:left="142" w:hanging="142"/>
      <w:jc w:val="center"/>
      <w:rPr>
        <w:rFonts w:ascii="Arial" w:hAnsi="Arial" w:cs="Arial"/>
        <w:sz w:val="20"/>
        <w:lang w:val="es-ES"/>
      </w:rPr>
    </w:pPr>
  </w:p>
  <w:p w14:paraId="369646A4" w14:textId="5FD5881A" w:rsidR="00CD449E" w:rsidRPr="0017062B" w:rsidRDefault="00CD449E" w:rsidP="009327FF">
    <w:pPr>
      <w:pStyle w:val="2Ttulo"/>
      <w:rPr>
        <w:rFonts w:ascii="Arial" w:hAnsi="Arial" w:cs="Arial"/>
        <w:sz w:val="20"/>
      </w:rPr>
    </w:pPr>
    <w:r w:rsidRPr="0017062B">
      <w:rPr>
        <w:rFonts w:ascii="Arial" w:hAnsi="Arial" w:cs="Arial"/>
        <w:sz w:val="20"/>
      </w:rPr>
      <w:t xml:space="preserve">ESTADO DE </w:t>
    </w:r>
    <w:r>
      <w:rPr>
        <w:rFonts w:ascii="Arial" w:hAnsi="Arial" w:cs="Arial"/>
        <w:sz w:val="20"/>
      </w:rPr>
      <w:t xml:space="preserve">OTROS </w:t>
    </w:r>
    <w:r w:rsidRPr="0017062B">
      <w:rPr>
        <w:rFonts w:ascii="Arial" w:hAnsi="Arial" w:cs="Arial"/>
        <w:sz w:val="20"/>
      </w:rPr>
      <w:t xml:space="preserve">RESULTADOS </w:t>
    </w:r>
    <w:r>
      <w:rPr>
        <w:rFonts w:ascii="Arial" w:hAnsi="Arial" w:cs="Arial"/>
        <w:sz w:val="20"/>
      </w:rPr>
      <w:t xml:space="preserve">INTEGRALES CONSOLIDADO </w:t>
    </w:r>
  </w:p>
  <w:p w14:paraId="3E20C6E3" w14:textId="10CCA745" w:rsidR="00CD449E" w:rsidRDefault="00CD449E" w:rsidP="00143CC8">
    <w:pPr>
      <w:pStyle w:val="2Ttulo"/>
      <w:rPr>
        <w:rFonts w:ascii="Arial" w:hAnsi="Arial" w:cs="Arial"/>
        <w:sz w:val="20"/>
        <w:lang w:val="es-ES_tradnl"/>
      </w:rPr>
    </w:pPr>
    <w:r w:rsidRPr="0017062B">
      <w:rPr>
        <w:rFonts w:ascii="Arial" w:hAnsi="Arial" w:cs="Arial"/>
        <w:sz w:val="20"/>
        <w:lang w:val="es-ES_tradnl"/>
      </w:rPr>
      <w:t>CO</w:t>
    </w:r>
    <w:r>
      <w:rPr>
        <w:rFonts w:ascii="Arial" w:hAnsi="Arial" w:cs="Arial"/>
        <w:sz w:val="20"/>
        <w:lang w:val="es-ES_tradnl"/>
      </w:rPr>
      <w:t xml:space="preserve">RRESPONDIENTE AL EJERCICIO ECONÓMICO FINALIZADO </w:t>
    </w:r>
  </w:p>
  <w:p w14:paraId="0A7ACCFB" w14:textId="6D9A8061" w:rsidR="00CD449E" w:rsidRPr="0017062B" w:rsidRDefault="00CD449E" w:rsidP="007D0D3E">
    <w:pPr>
      <w:pStyle w:val="2Ttulo"/>
      <w:rPr>
        <w:rFonts w:ascii="Arial" w:hAnsi="Arial" w:cs="Arial"/>
        <w:sz w:val="20"/>
        <w:lang w:val="es-ES_tradnl"/>
      </w:rPr>
    </w:pPr>
    <w:r>
      <w:rPr>
        <w:rFonts w:ascii="Arial" w:hAnsi="Arial" w:cs="Arial"/>
        <w:sz w:val="20"/>
        <w:lang w:val="es-ES_tradnl"/>
      </w:rPr>
      <w:t>EL 31</w:t>
    </w:r>
    <w:r w:rsidRPr="0017062B">
      <w:rPr>
        <w:rFonts w:ascii="Arial" w:hAnsi="Arial" w:cs="Arial"/>
        <w:sz w:val="20"/>
        <w:lang w:val="es-ES_tradnl"/>
      </w:rPr>
      <w:t xml:space="preserve"> DE</w:t>
    </w:r>
    <w:r>
      <w:rPr>
        <w:rFonts w:ascii="Arial" w:hAnsi="Arial" w:cs="Arial"/>
        <w:sz w:val="20"/>
        <w:lang w:val="es-ES_tradnl"/>
      </w:rPr>
      <w:t xml:space="preserve"> DICIEMRE DE 2019</w:t>
    </w:r>
  </w:p>
  <w:p w14:paraId="24167CD9" w14:textId="5B3BFFEC" w:rsidR="00CD449E" w:rsidRPr="005E5441" w:rsidRDefault="00CD449E" w:rsidP="00143CC8">
    <w:pPr>
      <w:pStyle w:val="2Ttulo"/>
      <w:rPr>
        <w:rFonts w:ascii="Arial" w:hAnsi="Arial" w:cs="Arial"/>
        <w:b w:val="0"/>
        <w:sz w:val="16"/>
        <w:szCs w:val="16"/>
        <w:lang w:val="es-ES_tradnl"/>
      </w:rPr>
    </w:pPr>
    <w:r w:rsidRPr="005E5441">
      <w:rPr>
        <w:rFonts w:ascii="Arial" w:hAnsi="Arial" w:cs="Arial"/>
        <w:b w:val="0"/>
        <w:sz w:val="16"/>
        <w:szCs w:val="16"/>
        <w:lang w:val="es-ES_tradnl"/>
      </w:rPr>
      <w:t xml:space="preserve">Presentado </w:t>
    </w:r>
    <w:r>
      <w:rPr>
        <w:rFonts w:ascii="Arial" w:hAnsi="Arial" w:cs="Arial"/>
        <w:b w:val="0"/>
        <w:sz w:val="16"/>
        <w:szCs w:val="16"/>
        <w:lang w:val="es-ES_tradnl"/>
      </w:rPr>
      <w:t>en forma comparativa con el ejercicio</w:t>
    </w:r>
    <w:r w:rsidRPr="005E5441">
      <w:rPr>
        <w:rFonts w:ascii="Arial" w:hAnsi="Arial" w:cs="Arial"/>
        <w:b w:val="0"/>
        <w:sz w:val="16"/>
        <w:szCs w:val="16"/>
        <w:lang w:val="es-ES_tradnl"/>
      </w:rPr>
      <w:t xml:space="preserve"> anterior</w:t>
    </w:r>
  </w:p>
  <w:p w14:paraId="0DC04523" w14:textId="77777777" w:rsidR="00CD449E" w:rsidRDefault="00CD449E" w:rsidP="00143CC8">
    <w:pPr>
      <w:pStyle w:val="2Ttulo"/>
      <w:rPr>
        <w:rFonts w:ascii="Arial" w:hAnsi="Arial" w:cs="Arial"/>
        <w:b w:val="0"/>
        <w:sz w:val="16"/>
        <w:szCs w:val="16"/>
      </w:rPr>
    </w:pPr>
    <w:r w:rsidRPr="005E5441">
      <w:rPr>
        <w:rFonts w:ascii="Arial" w:hAnsi="Arial" w:cs="Arial"/>
        <w:b w:val="0"/>
        <w:sz w:val="16"/>
        <w:szCs w:val="16"/>
      </w:rPr>
      <w:t>(Cifras expresadas en miles de pesos)</w:t>
    </w:r>
  </w:p>
  <w:p w14:paraId="2428FAF3" w14:textId="77777777" w:rsidR="00CD449E" w:rsidRPr="00050353" w:rsidRDefault="00CD449E" w:rsidP="00050353">
    <w:pPr>
      <w:pStyle w:val="2Ttulo"/>
      <w:jc w:val="left"/>
      <w:rPr>
        <w:rFonts w:ascii="Arial" w:hAnsi="Arial" w:cs="Arial"/>
        <w:b w:val="0"/>
        <w:sz w:val="20"/>
      </w:rPr>
    </w:pPr>
  </w:p>
  <w:p w14:paraId="53300EB3" w14:textId="77777777" w:rsidR="00CD449E" w:rsidRPr="00B70E4F" w:rsidRDefault="00CD449E" w:rsidP="00050353">
    <w:pPr>
      <w:pStyle w:val="2Ttulo"/>
      <w:jc w:val="left"/>
      <w:rPr>
        <w:rFonts w:ascii="Arial" w:hAnsi="Arial" w:cs="Arial"/>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52C0A" w14:textId="77777777" w:rsidR="00CD449E" w:rsidRDefault="00CD449E" w:rsidP="004C6D19">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36FFB8A1" wp14:editId="0B5AD866">
          <wp:extent cx="1027130" cy="452633"/>
          <wp:effectExtent l="19050" t="0" r="1570" b="0"/>
          <wp:docPr id="1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2A272CF0" w14:textId="77777777" w:rsidR="00CD449E" w:rsidRDefault="00CD449E" w:rsidP="004C6D19">
    <w:pPr>
      <w:tabs>
        <w:tab w:val="right" w:pos="9214"/>
      </w:tabs>
      <w:ind w:left="142" w:hanging="142"/>
      <w:rPr>
        <w:rFonts w:ascii="Arial" w:hAnsi="Arial" w:cs="Arial"/>
        <w:b/>
        <w:sz w:val="20"/>
        <w:lang w:val="es-ES_tradnl"/>
      </w:rPr>
    </w:pPr>
    <w:r w:rsidRPr="002C6517">
      <w:rPr>
        <w:rFonts w:ascii="Arial" w:hAnsi="Arial" w:cs="Arial"/>
        <w:b/>
        <w:sz w:val="20"/>
        <w:lang w:val="es-ES_tradnl"/>
      </w:rPr>
      <w:t xml:space="preserve">ANEXO </w:t>
    </w:r>
    <w:r>
      <w:rPr>
        <w:rFonts w:ascii="Arial" w:hAnsi="Arial" w:cs="Arial"/>
        <w:b/>
        <w:sz w:val="20"/>
        <w:lang w:val="es-ES_tradnl"/>
      </w:rPr>
      <w:t>R</w:t>
    </w:r>
  </w:p>
  <w:p w14:paraId="3BF3BA99" w14:textId="77777777" w:rsidR="00CD449E" w:rsidRPr="002C6517" w:rsidRDefault="00CD449E" w:rsidP="004C6D19">
    <w:pPr>
      <w:tabs>
        <w:tab w:val="right" w:pos="9214"/>
      </w:tabs>
      <w:ind w:left="142" w:hanging="142"/>
      <w:rPr>
        <w:rFonts w:ascii="Arial" w:hAnsi="Arial" w:cs="Arial"/>
        <w:b/>
        <w:sz w:val="20"/>
        <w:lang w:val="es-ES"/>
      </w:rPr>
    </w:pPr>
  </w:p>
  <w:p w14:paraId="104A4289" w14:textId="00DB4CBA" w:rsidR="00CD449E" w:rsidRDefault="00CD449E" w:rsidP="004C6D19">
    <w:pPr>
      <w:pStyle w:val="Encabezado"/>
      <w:jc w:val="center"/>
      <w:rPr>
        <w:rFonts w:ascii="Arial" w:hAnsi="Arial" w:cs="Arial"/>
        <w:b/>
        <w:sz w:val="20"/>
        <w:lang w:val="es-ES_tradnl"/>
      </w:rPr>
    </w:pPr>
    <w:r>
      <w:rPr>
        <w:rFonts w:ascii="Arial" w:hAnsi="Arial" w:cs="Arial"/>
        <w:b/>
        <w:sz w:val="20"/>
        <w:lang w:val="es-ES_tradnl"/>
      </w:rPr>
      <w:t>CORRECCION DE VALOR POR PÉRDIDAS</w:t>
    </w:r>
  </w:p>
  <w:p w14:paraId="0BE72D62" w14:textId="77777777" w:rsidR="00CD449E" w:rsidRPr="002C6517" w:rsidRDefault="00CD449E" w:rsidP="004C6D19">
    <w:pPr>
      <w:pStyle w:val="Encabezado"/>
      <w:jc w:val="center"/>
      <w:rPr>
        <w:rFonts w:ascii="Arial" w:hAnsi="Arial" w:cs="Arial"/>
        <w:b/>
        <w:sz w:val="20"/>
        <w:lang w:val="es-ES_tradnl"/>
      </w:rPr>
    </w:pPr>
    <w:r>
      <w:rPr>
        <w:rFonts w:ascii="Arial" w:hAnsi="Arial" w:cs="Arial"/>
        <w:b/>
        <w:sz w:val="20"/>
        <w:lang w:val="es-ES_tradnl"/>
      </w:rPr>
      <w:t>PREVISIONES POR RIESGO DE INCOBRABILIDAD</w:t>
    </w:r>
  </w:p>
  <w:p w14:paraId="3EC4B123" w14:textId="218FE2B9" w:rsidR="00CD449E" w:rsidRPr="009040E3" w:rsidRDefault="00CD449E" w:rsidP="00A261DE">
    <w:pPr>
      <w:pStyle w:val="Encabezado"/>
      <w:jc w:val="center"/>
      <w:rPr>
        <w:rFonts w:ascii="Arial" w:hAnsi="Arial" w:cs="Arial"/>
        <w:b/>
        <w:sz w:val="20"/>
        <w:lang w:val="es-ES_tradnl"/>
      </w:rPr>
    </w:pPr>
    <w:r>
      <w:rPr>
        <w:rFonts w:ascii="Arial" w:hAnsi="Arial" w:cs="Arial"/>
        <w:b/>
        <w:sz w:val="20"/>
        <w:lang w:val="es-ES_tradnl"/>
      </w:rPr>
      <w:t>AL 31 DE DICIEMBRE DE 2019 Y 2018</w:t>
    </w:r>
  </w:p>
  <w:p w14:paraId="1ACC6FD2" w14:textId="77777777" w:rsidR="00CD449E" w:rsidRDefault="00CD449E" w:rsidP="004C6D19">
    <w:pPr>
      <w:pStyle w:val="Encabezado"/>
      <w:jc w:val="center"/>
      <w:rPr>
        <w:rFonts w:ascii="Arial" w:hAnsi="Arial" w:cs="Arial"/>
        <w:sz w:val="16"/>
        <w:szCs w:val="16"/>
        <w:lang w:val="es-ES"/>
      </w:rPr>
    </w:pPr>
    <w:r w:rsidRPr="002C6517">
      <w:rPr>
        <w:rFonts w:ascii="Arial" w:hAnsi="Arial" w:cs="Arial"/>
        <w:sz w:val="16"/>
        <w:szCs w:val="16"/>
        <w:lang w:val="es-ES"/>
      </w:rPr>
      <w:t>(Cifras expresadas en miles de pesos)</w:t>
    </w:r>
  </w:p>
  <w:p w14:paraId="2FEA988B" w14:textId="77777777" w:rsidR="00CD449E" w:rsidRPr="008C1D4C" w:rsidRDefault="00CD449E" w:rsidP="004C6D19">
    <w:pPr>
      <w:pStyle w:val="Encabezado"/>
      <w:rPr>
        <w:rFonts w:ascii="Arial" w:hAnsi="Arial" w:cs="Arial"/>
        <w:sz w:val="20"/>
        <w:lang w:val="es-ES_tradnl"/>
      </w:rPr>
    </w:pPr>
  </w:p>
  <w:p w14:paraId="55EACA63" w14:textId="77777777" w:rsidR="00CD449E" w:rsidRPr="008C1D4C" w:rsidRDefault="00CD449E" w:rsidP="004C6D19">
    <w:pPr>
      <w:pStyle w:val="Encabezado"/>
      <w:rPr>
        <w:rFonts w:ascii="Arial" w:hAnsi="Arial" w:cs="Arial"/>
        <w:sz w:val="20"/>
        <w:lang w:val="es-ES_tradnl"/>
      </w:rPr>
    </w:pPr>
  </w:p>
  <w:p w14:paraId="2B631327" w14:textId="77777777" w:rsidR="00CD449E" w:rsidRPr="004C6D19" w:rsidRDefault="00CD449E" w:rsidP="004C6D19">
    <w:pPr>
      <w:pStyle w:val="Encabezado"/>
      <w:rPr>
        <w:lang w:val="es-ES_tradnl"/>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F1957" w14:textId="77777777" w:rsidR="00CD449E" w:rsidRDefault="00CD449E" w:rsidP="004C6D19">
    <w:pPr>
      <w:tabs>
        <w:tab w:val="right" w:pos="9214"/>
      </w:tabs>
      <w:ind w:left="142" w:hanging="142"/>
      <w:jc w:val="right"/>
      <w:rPr>
        <w:rFonts w:ascii="Arial" w:hAnsi="Arial" w:cs="Arial"/>
        <w:b/>
        <w:sz w:val="20"/>
        <w:lang w:val="es-ES_tradnl"/>
      </w:rPr>
    </w:pPr>
    <w:r w:rsidRPr="009042A8">
      <w:rPr>
        <w:rFonts w:ascii="Arial" w:hAnsi="Arial" w:cs="Arial"/>
        <w:b/>
        <w:noProof/>
        <w:sz w:val="20"/>
        <w:lang w:eastAsia="es-AR"/>
      </w:rPr>
      <w:drawing>
        <wp:inline distT="0" distB="0" distL="0" distR="0" wp14:anchorId="0B954290" wp14:editId="7827351F">
          <wp:extent cx="1027130" cy="452633"/>
          <wp:effectExtent l="19050" t="0" r="1570" b="0"/>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E94DD05" w14:textId="77777777" w:rsidR="00CD449E" w:rsidRDefault="00CD449E" w:rsidP="00C7765D">
    <w:pPr>
      <w:pStyle w:val="Encabezado"/>
      <w:jc w:val="center"/>
      <w:rPr>
        <w:rFonts w:ascii="Arial" w:hAnsi="Arial" w:cs="Arial"/>
        <w:b/>
        <w:sz w:val="20"/>
        <w:lang w:val="es-ES_tradnl"/>
      </w:rPr>
    </w:pPr>
  </w:p>
  <w:p w14:paraId="7315FED6" w14:textId="77777777" w:rsidR="00CD449E" w:rsidRDefault="00CD449E" w:rsidP="00C7765D">
    <w:pPr>
      <w:pStyle w:val="Encabezado"/>
      <w:jc w:val="center"/>
      <w:rPr>
        <w:rFonts w:ascii="Arial" w:hAnsi="Arial" w:cs="Arial"/>
        <w:b/>
        <w:sz w:val="20"/>
        <w:lang w:val="es-ES_tradnl"/>
      </w:rPr>
    </w:pPr>
  </w:p>
  <w:p w14:paraId="271A5A07" w14:textId="3FEFF1A4" w:rsidR="00CD449E" w:rsidRPr="00516AC8" w:rsidRDefault="00CD449E" w:rsidP="00C7765D">
    <w:pPr>
      <w:pStyle w:val="Encabezado"/>
      <w:jc w:val="center"/>
      <w:rPr>
        <w:rFonts w:ascii="Arial" w:hAnsi="Arial" w:cs="Arial"/>
        <w:b/>
        <w:sz w:val="20"/>
        <w:lang w:val="es-ES_tradnl"/>
      </w:rPr>
    </w:pPr>
    <w:r>
      <w:rPr>
        <w:rFonts w:ascii="Arial" w:hAnsi="Arial" w:cs="Arial"/>
        <w:b/>
        <w:sz w:val="20"/>
        <w:lang w:val="es-ES_tradnl"/>
      </w:rPr>
      <w:t>PROYECTO DE DISTRIBUCION DE UTILIDADES</w:t>
    </w:r>
  </w:p>
  <w:p w14:paraId="38FC923D" w14:textId="77777777" w:rsidR="00CD449E" w:rsidRDefault="00CD449E" w:rsidP="00C7765D">
    <w:pPr>
      <w:pStyle w:val="2Ttulo"/>
      <w:rPr>
        <w:rFonts w:ascii="Arial" w:hAnsi="Arial" w:cs="Arial"/>
        <w:sz w:val="20"/>
        <w:lang w:val="es-ES_tradnl"/>
      </w:rPr>
    </w:pPr>
    <w:r>
      <w:rPr>
        <w:rFonts w:ascii="Arial" w:hAnsi="Arial" w:cs="Arial"/>
        <w:sz w:val="20"/>
        <w:lang w:val="es-ES_tradnl"/>
      </w:rPr>
      <w:t>CORRESPONDIENTE AL EJERCICIO FINALIZADO</w:t>
    </w:r>
  </w:p>
  <w:p w14:paraId="4C8303E1" w14:textId="43069182" w:rsidR="00CD449E" w:rsidRPr="00344C66" w:rsidRDefault="00CD449E" w:rsidP="00C7765D">
    <w:pPr>
      <w:pStyle w:val="Encabezado"/>
      <w:jc w:val="center"/>
      <w:rPr>
        <w:rFonts w:ascii="Arial" w:hAnsi="Arial" w:cs="Arial"/>
        <w:b/>
        <w:sz w:val="20"/>
        <w:lang w:val="es-ES_tradnl"/>
      </w:rPr>
    </w:pPr>
    <w:r>
      <w:rPr>
        <w:rFonts w:ascii="Arial" w:hAnsi="Arial" w:cs="Arial"/>
        <w:b/>
        <w:sz w:val="20"/>
        <w:lang w:val="es-ES_tradnl"/>
      </w:rPr>
      <w:t xml:space="preserve"> EL 31 DE DICIEMBRE 2019</w:t>
    </w:r>
  </w:p>
  <w:p w14:paraId="128296FF" w14:textId="5938A0C9" w:rsidR="00CD449E" w:rsidRPr="008C1D4C" w:rsidRDefault="00CD449E" w:rsidP="00C7765D">
    <w:pPr>
      <w:pStyle w:val="Encabezado"/>
      <w:jc w:val="center"/>
      <w:rPr>
        <w:rFonts w:ascii="Arial" w:hAnsi="Arial" w:cs="Arial"/>
        <w:sz w:val="20"/>
        <w:lang w:val="es-ES_tradnl"/>
      </w:rPr>
    </w:pPr>
    <w:r w:rsidRPr="002C6517">
      <w:rPr>
        <w:rFonts w:ascii="Arial" w:hAnsi="Arial" w:cs="Arial"/>
        <w:sz w:val="16"/>
        <w:szCs w:val="16"/>
        <w:lang w:val="es-ES"/>
      </w:rPr>
      <w:t>(Cifras expresadas en miles de pesos)</w:t>
    </w:r>
  </w:p>
  <w:p w14:paraId="36E77740" w14:textId="77777777" w:rsidR="00CD449E" w:rsidRPr="008C1D4C" w:rsidRDefault="00CD449E" w:rsidP="004C6D19">
    <w:pPr>
      <w:pStyle w:val="Encabezado"/>
      <w:rPr>
        <w:rFonts w:ascii="Arial" w:hAnsi="Arial" w:cs="Arial"/>
        <w:sz w:val="20"/>
        <w:lang w:val="es-ES_tradnl"/>
      </w:rPr>
    </w:pPr>
  </w:p>
  <w:p w14:paraId="68D69815" w14:textId="77777777" w:rsidR="00CD449E" w:rsidRPr="004C6D19" w:rsidRDefault="00CD449E" w:rsidP="004C6D19">
    <w:pPr>
      <w:pStyle w:val="Encabezado"/>
      <w:rPr>
        <w:lang w:val="es-ES_tradnl"/>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80FA7" w14:textId="77777777" w:rsidR="00CD449E" w:rsidRDefault="00CD449E" w:rsidP="00B726CF">
    <w:pPr>
      <w:tabs>
        <w:tab w:val="right" w:pos="9214"/>
      </w:tabs>
      <w:ind w:left="142" w:hanging="142"/>
      <w:jc w:val="right"/>
      <w:rPr>
        <w:rFonts w:ascii="Arial" w:hAnsi="Arial" w:cs="Arial"/>
        <w:b/>
      </w:rPr>
    </w:pPr>
    <w:r>
      <w:rPr>
        <w:noProof/>
        <w:color w:val="000000"/>
        <w:sz w:val="17"/>
        <w:szCs w:val="17"/>
        <w:lang w:eastAsia="es-AR"/>
      </w:rPr>
      <w:drawing>
        <wp:inline distT="0" distB="0" distL="0" distR="0" wp14:anchorId="372C87B7" wp14:editId="425F35F9">
          <wp:extent cx="962025" cy="481013"/>
          <wp:effectExtent l="19050" t="0" r="9525" b="0"/>
          <wp:docPr id="148" name="Imagen 1" descr="http://10.241.100.92/imagenes/supervielle.jpg">
            <a:hlinkClick xmlns:a="http://schemas.openxmlformats.org/drawingml/2006/main" r:id="rId1" tgtFrame="_sel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241.100.92/imagenes/supervielle.jpg">
                    <a:hlinkClick r:id="rId1" tgtFrame="_self"/>
                  </pic:cNvPr>
                  <pic:cNvPicPr>
                    <a:picLocks noChangeAspect="1" noChangeArrowheads="1"/>
                  </pic:cNvPicPr>
                </pic:nvPicPr>
                <pic:blipFill>
                  <a:blip r:embed="rId2"/>
                  <a:srcRect/>
                  <a:stretch>
                    <a:fillRect/>
                  </a:stretch>
                </pic:blipFill>
                <pic:spPr bwMode="auto">
                  <a:xfrm>
                    <a:off x="0" y="0"/>
                    <a:ext cx="962025" cy="481013"/>
                  </a:xfrm>
                  <a:prstGeom prst="rect">
                    <a:avLst/>
                  </a:prstGeom>
                  <a:noFill/>
                  <a:ln w="9525">
                    <a:noFill/>
                    <a:miter lim="800000"/>
                    <a:headEnd/>
                    <a:tailEnd/>
                  </a:ln>
                </pic:spPr>
              </pic:pic>
            </a:graphicData>
          </a:graphic>
        </wp:inline>
      </w:drawing>
    </w:r>
  </w:p>
  <w:p w14:paraId="252D2846" w14:textId="77777777" w:rsidR="00CD449E" w:rsidRDefault="00CD449E" w:rsidP="00B726CF">
    <w:pPr>
      <w:tabs>
        <w:tab w:val="right" w:pos="9214"/>
      </w:tabs>
      <w:ind w:left="142" w:hanging="142"/>
      <w:jc w:val="right"/>
      <w:rPr>
        <w:rStyle w:val="Nmerodepgina"/>
        <w:rFonts w:ascii="Arial" w:hAnsi="Arial" w:cs="Arial"/>
        <w:lang w:val="es-ES"/>
      </w:rPr>
    </w:pPr>
  </w:p>
  <w:p w14:paraId="506EDE85" w14:textId="33BCEB2E" w:rsidR="00CD449E" w:rsidRPr="0038264E" w:rsidRDefault="00CD449E" w:rsidP="00B726CF">
    <w:pPr>
      <w:tabs>
        <w:tab w:val="right" w:pos="9214"/>
      </w:tabs>
      <w:ind w:left="142" w:hanging="142"/>
      <w:jc w:val="center"/>
      <w:rPr>
        <w:rStyle w:val="Nmerodepgina"/>
        <w:rFonts w:ascii="Arial" w:hAnsi="Arial" w:cs="Arial"/>
        <w:b/>
        <w:lang w:val="es-ES"/>
      </w:rPr>
    </w:pPr>
    <w:r>
      <w:rPr>
        <w:rStyle w:val="Nmerodepgina"/>
        <w:rFonts w:ascii="Arial" w:hAnsi="Arial" w:cs="Arial"/>
        <w:b/>
        <w:lang w:val="es-ES"/>
      </w:rPr>
      <w:t>RESEÑA INFORMATIVA AL 31</w:t>
    </w:r>
    <w:r w:rsidRPr="0038264E">
      <w:rPr>
        <w:rStyle w:val="Nmerodepgina"/>
        <w:rFonts w:ascii="Arial" w:hAnsi="Arial" w:cs="Arial"/>
        <w:b/>
        <w:lang w:val="es-ES"/>
      </w:rPr>
      <w:t xml:space="preserve"> DE </w:t>
    </w:r>
    <w:r>
      <w:rPr>
        <w:rStyle w:val="Nmerodepgina"/>
        <w:rFonts w:ascii="Arial" w:hAnsi="Arial" w:cs="Arial"/>
        <w:b/>
        <w:lang w:val="es-ES"/>
      </w:rPr>
      <w:t>DICIEMBRE DE 2019</w:t>
    </w:r>
  </w:p>
  <w:p w14:paraId="27A95DEC" w14:textId="65CE77AA" w:rsidR="00CD449E" w:rsidRPr="00836A9D" w:rsidRDefault="00CD449E" w:rsidP="00836A9D">
    <w:pPr>
      <w:pStyle w:val="2Ttulo"/>
      <w:rPr>
        <w:rFonts w:ascii="Arial" w:hAnsi="Arial" w:cs="Arial"/>
        <w:b w:val="0"/>
        <w:color w:val="FFFFFF" w:themeColor="background1"/>
        <w:sz w:val="20"/>
      </w:rPr>
    </w:pPr>
    <w:r w:rsidRPr="00013DEE">
      <w:rPr>
        <w:rFonts w:ascii="Arial" w:hAnsi="Arial" w:cs="Arial"/>
        <w:color w:val="FFFFFF" w:themeColor="background1"/>
        <w:sz w:val="20"/>
      </w:rPr>
      <w:t xml:space="preserve">DE </w:t>
    </w:r>
    <w:r>
      <w:rPr>
        <w:rFonts w:ascii="Arial" w:hAnsi="Arial" w:cs="Arial"/>
        <w:b w:val="0"/>
        <w:color w:val="FFFFFF" w:themeColor="background1"/>
        <w:sz w:val="16"/>
        <w:szCs w:val="16"/>
        <w:lang w:val="es-ES_tradnl"/>
      </w:rPr>
      <w:t>RES</w:t>
    </w:r>
    <w:r w:rsidRPr="00013DEE">
      <w:rPr>
        <w:rFonts w:ascii="Arial" w:hAnsi="Arial" w:cs="Arial"/>
        <w:b w:val="0"/>
        <w:color w:val="FFFFFF" w:themeColor="background1"/>
        <w:sz w:val="16"/>
        <w:szCs w:val="16"/>
        <w:lang w:val="es-ES_tradnl"/>
      </w:rPr>
      <w:t xml:space="preserve"> forma con el ejercicio económico finalizado el 31 de diciembre de 2012</w:t>
    </w:r>
    <w:r w:rsidRPr="00013DEE">
      <w:rPr>
        <w:rFonts w:ascii="Arial" w:hAnsi="Arial" w:cs="Arial"/>
        <w:b w:val="0"/>
        <w:color w:val="FFFFFF" w:themeColor="background1"/>
        <w:sz w:val="16"/>
        <w:szCs w:val="16"/>
      </w:rPr>
      <w:t>(Cifras expresadas en miles de pesos</w:t>
    </w:r>
  </w:p>
  <w:p w14:paraId="2784EF7E" w14:textId="77777777" w:rsidR="00CD449E" w:rsidRDefault="00CD449E" w:rsidP="00B726CF">
    <w:pPr>
      <w:tabs>
        <w:tab w:val="right" w:pos="9214"/>
      </w:tabs>
      <w:ind w:left="142" w:hanging="142"/>
      <w:jc w:val="both"/>
      <w:rPr>
        <w:rFonts w:ascii="Arial" w:hAnsi="Arial" w:cs="Arial"/>
        <w:b/>
        <w:color w:val="FFFFFF" w:themeColor="background1"/>
      </w:rPr>
    </w:pPr>
    <w:r>
      <w:rPr>
        <w:rFonts w:ascii="Arial" w:hAnsi="Arial" w:cs="Arial"/>
        <w:b/>
        <w:color w:val="FFFFFF" w:themeColor="background1"/>
      </w:rPr>
      <w:t xml:space="preserve">BANCO SUPERVIELLE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6AD0B" w14:textId="77777777" w:rsidR="00CD449E" w:rsidRDefault="00CD449E" w:rsidP="00B726CF">
    <w:pPr>
      <w:tabs>
        <w:tab w:val="right" w:pos="9214"/>
      </w:tabs>
      <w:ind w:left="142" w:hanging="142"/>
      <w:jc w:val="right"/>
      <w:rPr>
        <w:rFonts w:ascii="Arial" w:hAnsi="Arial" w:cs="Arial"/>
        <w:b/>
      </w:rPr>
    </w:pPr>
    <w:r>
      <w:rPr>
        <w:noProof/>
        <w:color w:val="000000"/>
        <w:sz w:val="17"/>
        <w:szCs w:val="17"/>
        <w:lang w:eastAsia="es-AR"/>
      </w:rPr>
      <w:drawing>
        <wp:inline distT="0" distB="0" distL="0" distR="0" wp14:anchorId="4B42E9A1" wp14:editId="61099A28">
          <wp:extent cx="962025" cy="481013"/>
          <wp:effectExtent l="19050" t="0" r="9525" b="0"/>
          <wp:docPr id="1" name="Imagen 1" descr="http://10.241.100.92/imagenes/supervielle.jpg">
            <a:hlinkClick xmlns:a="http://schemas.openxmlformats.org/drawingml/2006/main" r:id="rId1" tgtFrame="_sel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241.100.92/imagenes/supervielle.jpg">
                    <a:hlinkClick r:id="rId1" tgtFrame="_self"/>
                  </pic:cNvPr>
                  <pic:cNvPicPr>
                    <a:picLocks noChangeAspect="1" noChangeArrowheads="1"/>
                  </pic:cNvPicPr>
                </pic:nvPicPr>
                <pic:blipFill>
                  <a:blip r:embed="rId2"/>
                  <a:srcRect/>
                  <a:stretch>
                    <a:fillRect/>
                  </a:stretch>
                </pic:blipFill>
                <pic:spPr bwMode="auto">
                  <a:xfrm>
                    <a:off x="0" y="0"/>
                    <a:ext cx="962025" cy="481013"/>
                  </a:xfrm>
                  <a:prstGeom prst="rect">
                    <a:avLst/>
                  </a:prstGeom>
                  <a:noFill/>
                  <a:ln w="9525">
                    <a:noFill/>
                    <a:miter lim="800000"/>
                    <a:headEnd/>
                    <a:tailEnd/>
                  </a:ln>
                </pic:spPr>
              </pic:pic>
            </a:graphicData>
          </a:graphic>
        </wp:inline>
      </w:drawing>
    </w:r>
  </w:p>
  <w:p w14:paraId="70E96F76" w14:textId="77777777" w:rsidR="00CD449E" w:rsidRDefault="00CD449E" w:rsidP="00B726CF">
    <w:pPr>
      <w:tabs>
        <w:tab w:val="right" w:pos="9214"/>
      </w:tabs>
      <w:ind w:left="142" w:hanging="142"/>
      <w:jc w:val="right"/>
      <w:rPr>
        <w:rStyle w:val="Nmerodepgina"/>
        <w:rFonts w:ascii="Arial" w:hAnsi="Arial" w:cs="Arial"/>
        <w:lang w:val="es-ES"/>
      </w:rPr>
    </w:pPr>
  </w:p>
  <w:p w14:paraId="486BD41C" w14:textId="77777777" w:rsidR="00CD449E" w:rsidRPr="00097BE6" w:rsidRDefault="00CD449E" w:rsidP="003F1AB0">
    <w:pPr>
      <w:tabs>
        <w:tab w:val="right" w:pos="9214"/>
      </w:tabs>
      <w:ind w:left="142" w:hanging="142"/>
      <w:jc w:val="center"/>
      <w:rPr>
        <w:rStyle w:val="Nmerodepgina"/>
        <w:rFonts w:ascii="Arial" w:hAnsi="Arial" w:cs="Arial"/>
        <w:b/>
        <w:sz w:val="20"/>
        <w:lang w:val="es-ES"/>
      </w:rPr>
    </w:pPr>
    <w:r w:rsidRPr="00097BE6">
      <w:rPr>
        <w:rStyle w:val="Nmerodepgina"/>
        <w:rFonts w:ascii="Arial" w:hAnsi="Arial" w:cs="Arial"/>
        <w:b/>
        <w:sz w:val="20"/>
        <w:lang w:val="es-ES"/>
      </w:rPr>
      <w:t>Información Adicional a las Notas a los Estados Contables requerida</w:t>
    </w:r>
  </w:p>
  <w:p w14:paraId="6BB51F5E" w14:textId="77777777" w:rsidR="00CD449E" w:rsidRPr="00097BE6" w:rsidRDefault="00CD449E" w:rsidP="003F1AB0">
    <w:pPr>
      <w:tabs>
        <w:tab w:val="right" w:pos="9214"/>
      </w:tabs>
      <w:ind w:left="142" w:hanging="142"/>
      <w:jc w:val="center"/>
      <w:rPr>
        <w:rStyle w:val="Nmerodepgina"/>
        <w:rFonts w:ascii="Arial" w:hAnsi="Arial" w:cs="Arial"/>
        <w:b/>
        <w:sz w:val="20"/>
        <w:lang w:val="es-ES"/>
      </w:rPr>
    </w:pPr>
    <w:r w:rsidRPr="00097BE6">
      <w:rPr>
        <w:rStyle w:val="Nmerodepgina"/>
        <w:rFonts w:ascii="Arial" w:hAnsi="Arial" w:cs="Arial"/>
        <w:b/>
        <w:sz w:val="20"/>
        <w:lang w:val="es-ES"/>
      </w:rPr>
      <w:t>por el Artículo 12, Capítulo III, Título IV de la normativa de la Comisión Nacional de Valores</w:t>
    </w:r>
  </w:p>
  <w:p w14:paraId="1E815A41" w14:textId="26306CDD" w:rsidR="00CD449E" w:rsidRPr="00097BE6" w:rsidRDefault="00CD449E" w:rsidP="003F1AB0">
    <w:pPr>
      <w:tabs>
        <w:tab w:val="right" w:pos="9214"/>
      </w:tabs>
      <w:ind w:left="142" w:hanging="142"/>
      <w:jc w:val="center"/>
      <w:rPr>
        <w:rStyle w:val="Nmerodepgina"/>
        <w:rFonts w:ascii="Arial" w:hAnsi="Arial" w:cs="Arial"/>
        <w:sz w:val="16"/>
        <w:szCs w:val="16"/>
        <w:lang w:val="es-ES"/>
      </w:rPr>
    </w:pPr>
    <w:r w:rsidRPr="00097BE6">
      <w:rPr>
        <w:rStyle w:val="Nmerodepgina"/>
        <w:rFonts w:ascii="Arial" w:hAnsi="Arial" w:cs="Arial"/>
        <w:sz w:val="16"/>
        <w:szCs w:val="16"/>
        <w:lang w:val="es-ES"/>
      </w:rPr>
      <w:t xml:space="preserve">Correspondiente al </w:t>
    </w:r>
    <w:r>
      <w:rPr>
        <w:rStyle w:val="Nmerodepgina"/>
        <w:rFonts w:ascii="Arial" w:hAnsi="Arial" w:cs="Arial"/>
        <w:sz w:val="16"/>
        <w:szCs w:val="16"/>
        <w:lang w:val="es-ES"/>
      </w:rPr>
      <w:t>ejercicio económico</w:t>
    </w:r>
    <w:r w:rsidRPr="00097BE6">
      <w:rPr>
        <w:rStyle w:val="Nmerodepgina"/>
        <w:rFonts w:ascii="Arial" w:hAnsi="Arial" w:cs="Arial"/>
        <w:sz w:val="16"/>
        <w:szCs w:val="16"/>
        <w:lang w:val="es-ES"/>
      </w:rPr>
      <w:t xml:space="preserve"> finalizado</w:t>
    </w:r>
  </w:p>
  <w:p w14:paraId="637021E3" w14:textId="5581A669" w:rsidR="00CD449E" w:rsidRPr="00097BE6" w:rsidRDefault="00CD449E" w:rsidP="003F1AB0">
    <w:pPr>
      <w:tabs>
        <w:tab w:val="right" w:pos="9214"/>
      </w:tabs>
      <w:ind w:left="142" w:hanging="142"/>
      <w:jc w:val="center"/>
      <w:rPr>
        <w:rStyle w:val="Nmerodepgina"/>
        <w:rFonts w:ascii="Arial" w:hAnsi="Arial" w:cs="Arial"/>
        <w:sz w:val="16"/>
        <w:szCs w:val="16"/>
        <w:lang w:val="es-ES"/>
      </w:rPr>
    </w:pPr>
    <w:r w:rsidRPr="00097BE6">
      <w:rPr>
        <w:rStyle w:val="Nmerodepgina"/>
        <w:rFonts w:ascii="Arial" w:hAnsi="Arial" w:cs="Arial"/>
        <w:sz w:val="16"/>
        <w:szCs w:val="16"/>
        <w:lang w:val="es-ES"/>
      </w:rPr>
      <w:t>el 3</w:t>
    </w:r>
    <w:r>
      <w:rPr>
        <w:rStyle w:val="Nmerodepgina"/>
        <w:rFonts w:ascii="Arial" w:hAnsi="Arial" w:cs="Arial"/>
        <w:sz w:val="16"/>
        <w:szCs w:val="16"/>
        <w:lang w:val="es-ES"/>
      </w:rPr>
      <w:t>1</w:t>
    </w:r>
    <w:r w:rsidRPr="00097BE6">
      <w:rPr>
        <w:rStyle w:val="Nmerodepgina"/>
        <w:rFonts w:ascii="Arial" w:hAnsi="Arial" w:cs="Arial"/>
        <w:sz w:val="16"/>
        <w:szCs w:val="16"/>
        <w:lang w:val="es-ES"/>
      </w:rPr>
      <w:t xml:space="preserve"> de </w:t>
    </w:r>
    <w:r>
      <w:rPr>
        <w:rStyle w:val="Nmerodepgina"/>
        <w:rFonts w:ascii="Arial" w:hAnsi="Arial" w:cs="Arial"/>
        <w:sz w:val="16"/>
        <w:szCs w:val="16"/>
        <w:lang w:val="es-ES"/>
      </w:rPr>
      <w:t>diciembre</w:t>
    </w:r>
    <w:r w:rsidRPr="00097BE6">
      <w:rPr>
        <w:rStyle w:val="Nmerodepgina"/>
        <w:rFonts w:ascii="Arial" w:hAnsi="Arial" w:cs="Arial"/>
        <w:sz w:val="16"/>
        <w:szCs w:val="16"/>
        <w:lang w:val="es-ES"/>
      </w:rPr>
      <w:t xml:space="preserve"> de 201</w:t>
    </w:r>
    <w:r>
      <w:rPr>
        <w:rStyle w:val="Nmerodepgina"/>
        <w:rFonts w:ascii="Arial" w:hAnsi="Arial" w:cs="Arial"/>
        <w:sz w:val="16"/>
        <w:szCs w:val="16"/>
        <w:lang w:val="es-ES"/>
      </w:rPr>
      <w:t>9</w:t>
    </w:r>
    <w:r w:rsidRPr="00097BE6">
      <w:rPr>
        <w:rStyle w:val="Nmerodepgina"/>
        <w:rFonts w:ascii="Arial" w:hAnsi="Arial" w:cs="Arial"/>
        <w:sz w:val="16"/>
        <w:szCs w:val="16"/>
        <w:lang w:val="es-ES"/>
      </w:rPr>
      <w:t>, presentado en forma comparativa.</w:t>
    </w:r>
  </w:p>
  <w:p w14:paraId="5FD0FD18" w14:textId="77777777" w:rsidR="00CD449E" w:rsidRPr="00097BE6" w:rsidRDefault="00CD449E" w:rsidP="003F1AB0">
    <w:pPr>
      <w:tabs>
        <w:tab w:val="right" w:pos="9214"/>
      </w:tabs>
      <w:ind w:left="142" w:hanging="142"/>
      <w:jc w:val="center"/>
      <w:rPr>
        <w:rStyle w:val="Nmerodepgina"/>
        <w:rFonts w:ascii="Arial" w:hAnsi="Arial" w:cs="Arial"/>
        <w:sz w:val="16"/>
        <w:szCs w:val="16"/>
        <w:lang w:val="es-ES"/>
      </w:rPr>
    </w:pPr>
    <w:r w:rsidRPr="00097BE6">
      <w:rPr>
        <w:rStyle w:val="Nmerodepgina"/>
        <w:rFonts w:ascii="Arial" w:hAnsi="Arial" w:cs="Arial"/>
        <w:sz w:val="16"/>
        <w:szCs w:val="16"/>
        <w:lang w:val="es-ES"/>
      </w:rPr>
      <w:t>(cifras expresadas en miles de pesos)</w:t>
    </w:r>
  </w:p>
  <w:p w14:paraId="2C7623AA" w14:textId="3F23969D" w:rsidR="00CD449E" w:rsidRPr="00836A9D" w:rsidRDefault="00CD449E" w:rsidP="00836A9D">
    <w:pPr>
      <w:pStyle w:val="2Ttulo"/>
      <w:rPr>
        <w:rFonts w:ascii="Arial" w:hAnsi="Arial" w:cs="Arial"/>
        <w:b w:val="0"/>
        <w:color w:val="FFFFFF" w:themeColor="background1"/>
        <w:sz w:val="16"/>
        <w:szCs w:val="16"/>
        <w:lang w:val="es-ES_tradnl"/>
      </w:rPr>
    </w:pPr>
    <w:r w:rsidRPr="00013DEE">
      <w:rPr>
        <w:rFonts w:ascii="Arial" w:hAnsi="Arial" w:cs="Arial"/>
        <w:b w:val="0"/>
        <w:color w:val="FFFFFF" w:themeColor="background1"/>
        <w:sz w:val="16"/>
        <w:szCs w:val="16"/>
      </w:rPr>
      <w:t>(Cif</w:t>
    </w:r>
    <w:r>
      <w:rPr>
        <w:rFonts w:ascii="Arial" w:hAnsi="Arial" w:cs="Arial"/>
        <w:b w:val="0"/>
        <w:color w:val="FFFFFF" w:themeColor="background1"/>
        <w:sz w:val="16"/>
        <w:szCs w:val="16"/>
      </w:rPr>
      <w:t xml:space="preserve">ras expresadas en miles de </w:t>
    </w:r>
    <w:r w:rsidRPr="00013DEE">
      <w:rPr>
        <w:rFonts w:ascii="Arial" w:hAnsi="Arial" w:cs="Arial"/>
        <w:color w:val="FFFFFF" w:themeColor="background1"/>
        <w:sz w:val="20"/>
      </w:rPr>
      <w:t>DE 2013</w:t>
    </w:r>
    <w:r>
      <w:rPr>
        <w:rFonts w:ascii="Arial" w:hAnsi="Arial" w:cs="Arial"/>
        <w:b w:val="0"/>
        <w:color w:val="FFFFFF" w:themeColor="background1"/>
        <w:sz w:val="16"/>
        <w:szCs w:val="16"/>
        <w:lang w:val="es-ES_tradnl"/>
      </w:rPr>
      <w:t>S</w:t>
    </w:r>
    <w:r w:rsidRPr="00013DEE">
      <w:rPr>
        <w:rFonts w:ascii="Arial" w:hAnsi="Arial" w:cs="Arial"/>
        <w:b w:val="0"/>
        <w:color w:val="FFFFFF" w:themeColor="background1"/>
        <w:sz w:val="16"/>
        <w:szCs w:val="16"/>
        <w:lang w:val="es-ES_tradnl"/>
      </w:rPr>
      <w:t xml:space="preserve"> forma comparativa con el ejercicio económico finalizado el 31 de diciembre d</w:t>
    </w:r>
    <w:r w:rsidRPr="00013DEE">
      <w:rPr>
        <w:rFonts w:ascii="Arial" w:hAnsi="Arial" w:cs="Arial"/>
        <w:b w:val="0"/>
        <w:color w:val="FFFFFF" w:themeColor="background1"/>
        <w:sz w:val="16"/>
        <w:szCs w:val="16"/>
      </w:rPr>
      <w:t>Cifras expresadas en miles de pesos</w:t>
    </w:r>
    <w:r>
      <w:rPr>
        <w:rFonts w:ascii="Arial" w:hAnsi="Arial" w:cs="Arial"/>
        <w:color w:val="FFFFFF" w:themeColor="background1"/>
      </w:rPr>
      <w:t>NCO SUPERVIELLE</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548C8" w14:textId="77777777" w:rsidR="00CD449E" w:rsidRDefault="00CD449E" w:rsidP="00B726CF">
    <w:pPr>
      <w:tabs>
        <w:tab w:val="right" w:pos="9214"/>
      </w:tabs>
      <w:ind w:left="142" w:hanging="142"/>
      <w:jc w:val="right"/>
      <w:rPr>
        <w:rFonts w:ascii="Arial" w:hAnsi="Arial" w:cs="Arial"/>
        <w:b/>
      </w:rPr>
    </w:pPr>
    <w:r>
      <w:rPr>
        <w:noProof/>
        <w:color w:val="000000"/>
        <w:sz w:val="17"/>
        <w:szCs w:val="17"/>
        <w:lang w:eastAsia="es-AR"/>
      </w:rPr>
      <w:drawing>
        <wp:inline distT="0" distB="0" distL="0" distR="0" wp14:anchorId="17D2E723" wp14:editId="10F9E357">
          <wp:extent cx="962025" cy="481013"/>
          <wp:effectExtent l="19050" t="0" r="9525" b="0"/>
          <wp:docPr id="11" name="Imagen 1" descr="http://10.241.100.92/imagenes/supervielle.jpg">
            <a:hlinkClick xmlns:a="http://schemas.openxmlformats.org/drawingml/2006/main" r:id="rId1" tgtFrame="_sel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241.100.92/imagenes/supervielle.jpg">
                    <a:hlinkClick r:id="rId1" tgtFrame="_self"/>
                  </pic:cNvPr>
                  <pic:cNvPicPr>
                    <a:picLocks noChangeAspect="1" noChangeArrowheads="1"/>
                  </pic:cNvPicPr>
                </pic:nvPicPr>
                <pic:blipFill>
                  <a:blip r:embed="rId2"/>
                  <a:srcRect/>
                  <a:stretch>
                    <a:fillRect/>
                  </a:stretch>
                </pic:blipFill>
                <pic:spPr bwMode="auto">
                  <a:xfrm>
                    <a:off x="0" y="0"/>
                    <a:ext cx="962025" cy="481013"/>
                  </a:xfrm>
                  <a:prstGeom prst="rect">
                    <a:avLst/>
                  </a:prstGeom>
                  <a:noFill/>
                  <a:ln w="9525">
                    <a:noFill/>
                    <a:miter lim="800000"/>
                    <a:headEnd/>
                    <a:tailEnd/>
                  </a:ln>
                </pic:spPr>
              </pic:pic>
            </a:graphicData>
          </a:graphic>
        </wp:inline>
      </w:drawing>
    </w:r>
  </w:p>
  <w:p w14:paraId="2FD6000B" w14:textId="77777777" w:rsidR="00CD449E" w:rsidRDefault="00CD449E" w:rsidP="00B726CF">
    <w:pPr>
      <w:tabs>
        <w:tab w:val="right" w:pos="9214"/>
      </w:tabs>
      <w:ind w:left="142" w:hanging="142"/>
      <w:jc w:val="right"/>
      <w:rPr>
        <w:rStyle w:val="Nmerodepgina"/>
        <w:rFonts w:ascii="Arial" w:hAnsi="Arial" w:cs="Arial"/>
        <w:lang w:val="es-ES"/>
      </w:rPr>
    </w:pPr>
  </w:p>
  <w:p w14:paraId="5089D525" w14:textId="626F69B8" w:rsidR="00CD449E" w:rsidRPr="00097BE6" w:rsidRDefault="00CD449E" w:rsidP="00097BE6">
    <w:pPr>
      <w:tabs>
        <w:tab w:val="right" w:pos="9214"/>
      </w:tabs>
      <w:ind w:left="142" w:hanging="142"/>
      <w:jc w:val="center"/>
      <w:rPr>
        <w:rStyle w:val="Nmerodepgina"/>
        <w:rFonts w:ascii="Arial" w:hAnsi="Arial" w:cs="Arial"/>
        <w:b/>
        <w:sz w:val="20"/>
        <w:lang w:val="es-ES"/>
      </w:rPr>
    </w:pPr>
    <w:bookmarkStart w:id="46" w:name="_Hlk15474540"/>
    <w:r w:rsidRPr="00097BE6">
      <w:rPr>
        <w:rStyle w:val="Nmerodepgina"/>
        <w:rFonts w:ascii="Arial" w:hAnsi="Arial" w:cs="Arial"/>
        <w:b/>
        <w:sz w:val="20"/>
        <w:lang w:val="es-ES"/>
      </w:rPr>
      <w:t>Información Adicional a las Notas a los Estados Contables requerida</w:t>
    </w:r>
  </w:p>
  <w:p w14:paraId="52C2C288" w14:textId="77777777" w:rsidR="00CD449E" w:rsidRPr="00097BE6" w:rsidRDefault="00CD449E" w:rsidP="00097BE6">
    <w:pPr>
      <w:tabs>
        <w:tab w:val="right" w:pos="9214"/>
      </w:tabs>
      <w:ind w:left="142" w:hanging="142"/>
      <w:jc w:val="center"/>
      <w:rPr>
        <w:rStyle w:val="Nmerodepgina"/>
        <w:rFonts w:ascii="Arial" w:hAnsi="Arial" w:cs="Arial"/>
        <w:b/>
        <w:sz w:val="20"/>
        <w:lang w:val="es-ES"/>
      </w:rPr>
    </w:pPr>
    <w:r w:rsidRPr="00097BE6">
      <w:rPr>
        <w:rStyle w:val="Nmerodepgina"/>
        <w:rFonts w:ascii="Arial" w:hAnsi="Arial" w:cs="Arial"/>
        <w:b/>
        <w:sz w:val="20"/>
        <w:lang w:val="es-ES"/>
      </w:rPr>
      <w:t>por el Artículo 12, Capítulo III, Título IV de la normativa de la Comisión Nacional de Valores</w:t>
    </w:r>
  </w:p>
  <w:p w14:paraId="14ADD04C" w14:textId="6367EB0B" w:rsidR="00CD449E" w:rsidRPr="00097BE6" w:rsidRDefault="00CD449E" w:rsidP="00097BE6">
    <w:pPr>
      <w:tabs>
        <w:tab w:val="right" w:pos="9214"/>
      </w:tabs>
      <w:ind w:left="142" w:hanging="142"/>
      <w:jc w:val="center"/>
      <w:rPr>
        <w:rStyle w:val="Nmerodepgina"/>
        <w:rFonts w:ascii="Arial" w:hAnsi="Arial" w:cs="Arial"/>
        <w:sz w:val="16"/>
        <w:szCs w:val="16"/>
        <w:lang w:val="es-ES"/>
      </w:rPr>
    </w:pPr>
    <w:r w:rsidRPr="00097BE6">
      <w:rPr>
        <w:rStyle w:val="Nmerodepgina"/>
        <w:rFonts w:ascii="Arial" w:hAnsi="Arial" w:cs="Arial"/>
        <w:sz w:val="16"/>
        <w:szCs w:val="16"/>
        <w:lang w:val="es-ES"/>
      </w:rPr>
      <w:t xml:space="preserve">Correspondiente al </w:t>
    </w:r>
    <w:r>
      <w:rPr>
        <w:rStyle w:val="Nmerodepgina"/>
        <w:rFonts w:ascii="Arial" w:hAnsi="Arial" w:cs="Arial"/>
        <w:sz w:val="16"/>
        <w:szCs w:val="16"/>
        <w:lang w:val="es-ES"/>
      </w:rPr>
      <w:t>ejercicio económico</w:t>
    </w:r>
    <w:r w:rsidRPr="00097BE6">
      <w:rPr>
        <w:rStyle w:val="Nmerodepgina"/>
        <w:rFonts w:ascii="Arial" w:hAnsi="Arial" w:cs="Arial"/>
        <w:sz w:val="16"/>
        <w:szCs w:val="16"/>
        <w:lang w:val="es-ES"/>
      </w:rPr>
      <w:t xml:space="preserve"> finalizado</w:t>
    </w:r>
  </w:p>
  <w:p w14:paraId="6B1CB4DF" w14:textId="2BCA4150" w:rsidR="00CD449E" w:rsidRPr="00097BE6" w:rsidRDefault="00CD449E" w:rsidP="00097BE6">
    <w:pPr>
      <w:tabs>
        <w:tab w:val="right" w:pos="9214"/>
      </w:tabs>
      <w:ind w:left="142" w:hanging="142"/>
      <w:jc w:val="center"/>
      <w:rPr>
        <w:rStyle w:val="Nmerodepgina"/>
        <w:rFonts w:ascii="Arial" w:hAnsi="Arial" w:cs="Arial"/>
        <w:sz w:val="16"/>
        <w:szCs w:val="16"/>
        <w:lang w:val="es-ES"/>
      </w:rPr>
    </w:pPr>
    <w:r w:rsidRPr="00097BE6">
      <w:rPr>
        <w:rStyle w:val="Nmerodepgina"/>
        <w:rFonts w:ascii="Arial" w:hAnsi="Arial" w:cs="Arial"/>
        <w:sz w:val="16"/>
        <w:szCs w:val="16"/>
        <w:lang w:val="es-ES"/>
      </w:rPr>
      <w:t>el 3</w:t>
    </w:r>
    <w:r>
      <w:rPr>
        <w:rStyle w:val="Nmerodepgina"/>
        <w:rFonts w:ascii="Arial" w:hAnsi="Arial" w:cs="Arial"/>
        <w:sz w:val="16"/>
        <w:szCs w:val="16"/>
        <w:lang w:val="es-ES"/>
      </w:rPr>
      <w:t>1</w:t>
    </w:r>
    <w:r w:rsidRPr="00097BE6">
      <w:rPr>
        <w:rStyle w:val="Nmerodepgina"/>
        <w:rFonts w:ascii="Arial" w:hAnsi="Arial" w:cs="Arial"/>
        <w:sz w:val="16"/>
        <w:szCs w:val="16"/>
        <w:lang w:val="es-ES"/>
      </w:rPr>
      <w:t xml:space="preserve"> de </w:t>
    </w:r>
    <w:r>
      <w:rPr>
        <w:rStyle w:val="Nmerodepgina"/>
        <w:rFonts w:ascii="Arial" w:hAnsi="Arial" w:cs="Arial"/>
        <w:sz w:val="16"/>
        <w:szCs w:val="16"/>
        <w:lang w:val="es-ES"/>
      </w:rPr>
      <w:t>diciembre</w:t>
    </w:r>
    <w:r w:rsidRPr="00097BE6">
      <w:rPr>
        <w:rStyle w:val="Nmerodepgina"/>
        <w:rFonts w:ascii="Arial" w:hAnsi="Arial" w:cs="Arial"/>
        <w:sz w:val="16"/>
        <w:szCs w:val="16"/>
        <w:lang w:val="es-ES"/>
      </w:rPr>
      <w:t xml:space="preserve"> de 201</w:t>
    </w:r>
    <w:r>
      <w:rPr>
        <w:rStyle w:val="Nmerodepgina"/>
        <w:rFonts w:ascii="Arial" w:hAnsi="Arial" w:cs="Arial"/>
        <w:sz w:val="16"/>
        <w:szCs w:val="16"/>
        <w:lang w:val="es-ES"/>
      </w:rPr>
      <w:t>9</w:t>
    </w:r>
    <w:r w:rsidRPr="00097BE6">
      <w:rPr>
        <w:rStyle w:val="Nmerodepgina"/>
        <w:rFonts w:ascii="Arial" w:hAnsi="Arial" w:cs="Arial"/>
        <w:sz w:val="16"/>
        <w:szCs w:val="16"/>
        <w:lang w:val="es-ES"/>
      </w:rPr>
      <w:t>, presentado en forma comparativa.</w:t>
    </w:r>
  </w:p>
  <w:p w14:paraId="3FCC623D" w14:textId="4753B0DE" w:rsidR="00CD449E" w:rsidRPr="00097BE6" w:rsidRDefault="00CD449E" w:rsidP="00097BE6">
    <w:pPr>
      <w:tabs>
        <w:tab w:val="right" w:pos="9214"/>
      </w:tabs>
      <w:ind w:left="142" w:hanging="142"/>
      <w:jc w:val="center"/>
      <w:rPr>
        <w:rStyle w:val="Nmerodepgina"/>
        <w:rFonts w:ascii="Arial" w:hAnsi="Arial" w:cs="Arial"/>
        <w:sz w:val="16"/>
        <w:szCs w:val="16"/>
        <w:lang w:val="es-ES"/>
      </w:rPr>
    </w:pPr>
    <w:r w:rsidRPr="00097BE6">
      <w:rPr>
        <w:rStyle w:val="Nmerodepgina"/>
        <w:rFonts w:ascii="Arial" w:hAnsi="Arial" w:cs="Arial"/>
        <w:sz w:val="16"/>
        <w:szCs w:val="16"/>
        <w:lang w:val="es-ES"/>
      </w:rPr>
      <w:t>(cifras expresadas en miles de pesos)</w:t>
    </w:r>
    <w:bookmarkEnd w:id="46"/>
  </w:p>
  <w:p w14:paraId="394B77A8" w14:textId="358C19DD" w:rsidR="00CD449E" w:rsidRPr="00097BE6" w:rsidRDefault="00CD449E" w:rsidP="00097BE6">
    <w:pPr>
      <w:pStyle w:val="2Ttulo"/>
      <w:rPr>
        <w:rFonts w:ascii="Arial" w:hAnsi="Arial" w:cs="Arial"/>
        <w:b w:val="0"/>
        <w:color w:val="FFFFFF" w:themeColor="background1"/>
        <w:sz w:val="16"/>
        <w:szCs w:val="16"/>
      </w:rPr>
    </w:pPr>
    <w:r w:rsidRPr="00013DEE">
      <w:rPr>
        <w:rFonts w:ascii="Arial" w:hAnsi="Arial" w:cs="Arial"/>
        <w:b w:val="0"/>
        <w:color w:val="FFFFFF" w:themeColor="background1"/>
        <w:sz w:val="16"/>
        <w:szCs w:val="16"/>
      </w:rPr>
      <w:t>(Cif</w:t>
    </w:r>
    <w:r>
      <w:rPr>
        <w:rFonts w:ascii="Arial" w:hAnsi="Arial" w:cs="Arial"/>
        <w:b w:val="0"/>
        <w:color w:val="FFFFFF" w:themeColor="background1"/>
        <w:sz w:val="16"/>
        <w:szCs w:val="16"/>
      </w:rPr>
      <w:t xml:space="preserve">ras expresadas en miles de </w:t>
    </w:r>
  </w:p>
  <w:p w14:paraId="1F3A3A14" w14:textId="77777777" w:rsidR="00CD449E" w:rsidRPr="00013DEE" w:rsidRDefault="00CD449E" w:rsidP="00B726CF">
    <w:pPr>
      <w:tabs>
        <w:tab w:val="right" w:pos="9214"/>
      </w:tabs>
      <w:ind w:left="142" w:hanging="142"/>
      <w:jc w:val="both"/>
      <w:rPr>
        <w:rFonts w:ascii="Arial" w:hAnsi="Arial" w:cs="Arial"/>
        <w:color w:val="FFFFFF" w:themeColor="background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11D41" w14:textId="77777777" w:rsidR="00CD449E" w:rsidRDefault="00CD449E">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EE566" w14:textId="77777777" w:rsidR="00CD449E" w:rsidRDefault="00CD449E" w:rsidP="00C80859">
    <w:pPr>
      <w:jc w:val="right"/>
      <w:rPr>
        <w:rFonts w:ascii="Arial" w:hAnsi="Arial" w:cs="Arial"/>
        <w:sz w:val="20"/>
      </w:rPr>
    </w:pPr>
    <w:r w:rsidRPr="009042A8">
      <w:rPr>
        <w:rFonts w:ascii="Arial" w:hAnsi="Arial" w:cs="Arial"/>
        <w:noProof/>
        <w:sz w:val="20"/>
        <w:lang w:eastAsia="es-AR"/>
      </w:rPr>
      <w:drawing>
        <wp:inline distT="0" distB="0" distL="0" distR="0" wp14:anchorId="5AC4C615" wp14:editId="49EFFE07">
          <wp:extent cx="1027130" cy="452633"/>
          <wp:effectExtent l="19050" t="0" r="1570" b="0"/>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34836AD3" w14:textId="77777777" w:rsidR="00CD449E" w:rsidRDefault="00CD449E" w:rsidP="00C80859">
    <w:pPr>
      <w:jc w:val="right"/>
      <w:rPr>
        <w:rFonts w:ascii="Arial" w:hAnsi="Arial" w:cs="Arial"/>
        <w:sz w:val="20"/>
      </w:rPr>
    </w:pPr>
  </w:p>
  <w:p w14:paraId="30A5E25E" w14:textId="77777777" w:rsidR="00CD449E" w:rsidRPr="0056456F" w:rsidRDefault="00CD449E" w:rsidP="00C80859">
    <w:pPr>
      <w:jc w:val="right"/>
      <w:rPr>
        <w:rFonts w:ascii="Arial" w:hAnsi="Arial" w:cs="Arial"/>
        <w:sz w:val="20"/>
      </w:rPr>
    </w:pPr>
  </w:p>
  <w:p w14:paraId="66E9EF16" w14:textId="27D5F626" w:rsidR="00CD449E" w:rsidRPr="000C455E" w:rsidRDefault="00CD449E" w:rsidP="003302F5">
    <w:pPr>
      <w:pStyle w:val="2Ttulo"/>
      <w:rPr>
        <w:rFonts w:ascii="Arial" w:hAnsi="Arial" w:cs="Arial"/>
        <w:sz w:val="20"/>
      </w:rPr>
    </w:pPr>
    <w:r w:rsidRPr="000C455E">
      <w:rPr>
        <w:rFonts w:ascii="Arial" w:hAnsi="Arial" w:cs="Arial"/>
        <w:sz w:val="20"/>
      </w:rPr>
      <w:t xml:space="preserve">ESTADO DE </w:t>
    </w:r>
    <w:r>
      <w:rPr>
        <w:rFonts w:ascii="Arial" w:hAnsi="Arial" w:cs="Arial"/>
        <w:sz w:val="20"/>
      </w:rPr>
      <w:t>CAMBIOS</w:t>
    </w:r>
    <w:r w:rsidRPr="000C455E">
      <w:rPr>
        <w:rFonts w:ascii="Arial" w:hAnsi="Arial" w:cs="Arial"/>
        <w:sz w:val="20"/>
      </w:rPr>
      <w:t xml:space="preserve"> </w:t>
    </w:r>
    <w:r>
      <w:rPr>
        <w:rFonts w:ascii="Arial" w:hAnsi="Arial" w:cs="Arial"/>
        <w:sz w:val="20"/>
      </w:rPr>
      <w:t>EN EL</w:t>
    </w:r>
    <w:r w:rsidRPr="000C455E">
      <w:rPr>
        <w:rFonts w:ascii="Arial" w:hAnsi="Arial" w:cs="Arial"/>
        <w:sz w:val="20"/>
      </w:rPr>
      <w:t xml:space="preserve"> PATRIMONIO</w:t>
    </w:r>
    <w:r>
      <w:rPr>
        <w:rFonts w:ascii="Arial" w:hAnsi="Arial" w:cs="Arial"/>
        <w:sz w:val="20"/>
      </w:rPr>
      <w:t xml:space="preserve"> CONSOLIDADO</w:t>
    </w:r>
  </w:p>
  <w:p w14:paraId="37860F03" w14:textId="13D5A3E9" w:rsidR="00CD449E" w:rsidRPr="000C455E" w:rsidRDefault="00CD449E" w:rsidP="00E623C5">
    <w:pPr>
      <w:pStyle w:val="2Ttulo"/>
      <w:rPr>
        <w:rFonts w:ascii="Arial" w:hAnsi="Arial" w:cs="Arial"/>
        <w:sz w:val="20"/>
        <w:lang w:val="es-ES_tradnl"/>
      </w:rPr>
    </w:pPr>
    <w:r>
      <w:rPr>
        <w:rFonts w:ascii="Arial" w:hAnsi="Arial" w:cs="Arial"/>
        <w:sz w:val="20"/>
        <w:lang w:val="es-ES_tradnl"/>
      </w:rPr>
      <w:t>CORRESPONDIENTE AL EJERCICIO ECONÓMICO FINALIZADO EL 31</w:t>
    </w:r>
    <w:r w:rsidRPr="000C455E">
      <w:rPr>
        <w:rFonts w:ascii="Arial" w:hAnsi="Arial" w:cs="Arial"/>
        <w:sz w:val="20"/>
        <w:lang w:val="es-ES_tradnl"/>
      </w:rPr>
      <w:t xml:space="preserve"> DE </w:t>
    </w:r>
    <w:r>
      <w:rPr>
        <w:rFonts w:ascii="Arial" w:hAnsi="Arial" w:cs="Arial"/>
        <w:sz w:val="20"/>
        <w:lang w:val="es-ES_tradnl"/>
      </w:rPr>
      <w:t>DICIEMBRE DE 2019</w:t>
    </w:r>
  </w:p>
  <w:p w14:paraId="2CFAAEC6" w14:textId="7755C760" w:rsidR="00CD449E" w:rsidRPr="00503DEA" w:rsidRDefault="00CD449E" w:rsidP="00E623C5">
    <w:pPr>
      <w:pStyle w:val="2Ttulo"/>
      <w:rPr>
        <w:rFonts w:ascii="Arial" w:hAnsi="Arial" w:cs="Arial"/>
        <w:b w:val="0"/>
        <w:sz w:val="16"/>
        <w:szCs w:val="16"/>
        <w:lang w:val="es-ES_tradnl"/>
      </w:rPr>
    </w:pPr>
    <w:r w:rsidRPr="00503DEA">
      <w:rPr>
        <w:rFonts w:ascii="Arial" w:hAnsi="Arial" w:cs="Arial"/>
        <w:b w:val="0"/>
        <w:sz w:val="16"/>
        <w:szCs w:val="16"/>
        <w:lang w:val="es-ES_tradnl"/>
      </w:rPr>
      <w:t>Presentado en forma comparativa con</w:t>
    </w:r>
    <w:r>
      <w:rPr>
        <w:rFonts w:ascii="Arial" w:hAnsi="Arial" w:cs="Arial"/>
        <w:b w:val="0"/>
        <w:sz w:val="16"/>
        <w:szCs w:val="16"/>
        <w:lang w:val="es-ES_tradnl"/>
      </w:rPr>
      <w:t xml:space="preserve"> el ejercicio</w:t>
    </w:r>
    <w:r w:rsidRPr="00503DEA">
      <w:rPr>
        <w:rFonts w:ascii="Arial" w:hAnsi="Arial" w:cs="Arial"/>
        <w:b w:val="0"/>
        <w:sz w:val="16"/>
        <w:szCs w:val="16"/>
        <w:lang w:val="es-ES_tradnl"/>
      </w:rPr>
      <w:t xml:space="preserve"> anterior</w:t>
    </w:r>
  </w:p>
  <w:p w14:paraId="280F9CC0" w14:textId="77777777" w:rsidR="00CD449E" w:rsidRDefault="00CD449E" w:rsidP="00E623C5">
    <w:pPr>
      <w:pStyle w:val="2Ttulo"/>
      <w:rPr>
        <w:rFonts w:ascii="Arial" w:hAnsi="Arial" w:cs="Arial"/>
        <w:b w:val="0"/>
        <w:sz w:val="16"/>
        <w:szCs w:val="16"/>
      </w:rPr>
    </w:pPr>
    <w:r w:rsidRPr="00503DEA">
      <w:rPr>
        <w:rFonts w:ascii="Arial" w:hAnsi="Arial" w:cs="Arial"/>
        <w:b w:val="0"/>
        <w:sz w:val="16"/>
        <w:szCs w:val="16"/>
      </w:rPr>
      <w:t>(Cifras expresadas en miles de pesos)</w:t>
    </w:r>
  </w:p>
  <w:p w14:paraId="02EB2CD2" w14:textId="77777777" w:rsidR="00CD449E" w:rsidRPr="000C455E" w:rsidRDefault="00CD449E" w:rsidP="00050353">
    <w:pPr>
      <w:pStyle w:val="2Ttulo"/>
      <w:jc w:val="left"/>
      <w:rPr>
        <w:rFonts w:ascii="Arial" w:hAnsi="Arial" w:cs="Arial"/>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F72A4" w14:textId="77777777" w:rsidR="00CD449E" w:rsidRDefault="00CD449E">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57709" w14:textId="77777777" w:rsidR="00CD449E" w:rsidRDefault="00CD449E" w:rsidP="00C80859">
    <w:pPr>
      <w:pStyle w:val="2Ttulo"/>
      <w:jc w:val="right"/>
      <w:rPr>
        <w:rFonts w:ascii="Arial" w:hAnsi="Arial" w:cs="Arial"/>
        <w:sz w:val="20"/>
      </w:rPr>
    </w:pPr>
    <w:r w:rsidRPr="009042A8">
      <w:rPr>
        <w:rFonts w:ascii="Arial" w:hAnsi="Arial" w:cs="Arial"/>
        <w:noProof/>
        <w:sz w:val="20"/>
        <w:lang w:eastAsia="es-AR"/>
      </w:rPr>
      <w:drawing>
        <wp:inline distT="0" distB="0" distL="0" distR="0" wp14:anchorId="16F129B0" wp14:editId="3CD901EE">
          <wp:extent cx="1027130" cy="452633"/>
          <wp:effectExtent l="19050" t="0" r="1570" b="0"/>
          <wp:docPr id="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32692" cy="455084"/>
                  </a:xfrm>
                  <a:prstGeom prst="rect">
                    <a:avLst/>
                  </a:prstGeom>
                  <a:noFill/>
                  <a:ln w="9525">
                    <a:noFill/>
                    <a:miter lim="800000"/>
                    <a:headEnd/>
                    <a:tailEnd/>
                  </a:ln>
                </pic:spPr>
              </pic:pic>
            </a:graphicData>
          </a:graphic>
        </wp:inline>
      </w:drawing>
    </w:r>
  </w:p>
  <w:p w14:paraId="4F648D47" w14:textId="77777777" w:rsidR="00CD449E" w:rsidRDefault="00CD449E" w:rsidP="00C80859">
    <w:pPr>
      <w:pStyle w:val="2Ttulo"/>
      <w:jc w:val="right"/>
      <w:rPr>
        <w:rFonts w:ascii="Arial" w:hAnsi="Arial" w:cs="Arial"/>
        <w:sz w:val="20"/>
      </w:rPr>
    </w:pPr>
  </w:p>
  <w:p w14:paraId="5F8CC40B" w14:textId="77777777" w:rsidR="00CD449E" w:rsidRPr="000C455E" w:rsidRDefault="00CD449E" w:rsidP="00C80859">
    <w:pPr>
      <w:pStyle w:val="2Ttulo"/>
      <w:jc w:val="right"/>
      <w:rPr>
        <w:rFonts w:ascii="Arial" w:hAnsi="Arial" w:cs="Arial"/>
        <w:sz w:val="20"/>
      </w:rPr>
    </w:pPr>
  </w:p>
  <w:p w14:paraId="3649BF60" w14:textId="30CEB738" w:rsidR="00CD449E" w:rsidRPr="000C455E" w:rsidRDefault="00CD449E" w:rsidP="003827AA">
    <w:pPr>
      <w:pStyle w:val="2Ttulo"/>
      <w:rPr>
        <w:rFonts w:ascii="Arial" w:hAnsi="Arial" w:cs="Arial"/>
        <w:sz w:val="20"/>
      </w:rPr>
    </w:pPr>
    <w:r w:rsidRPr="000C455E">
      <w:rPr>
        <w:rFonts w:ascii="Arial" w:hAnsi="Arial" w:cs="Arial"/>
        <w:sz w:val="20"/>
      </w:rPr>
      <w:t>ESTADO DE FLUJO</w:t>
    </w:r>
    <w:r>
      <w:rPr>
        <w:rFonts w:ascii="Arial" w:hAnsi="Arial" w:cs="Arial"/>
        <w:sz w:val="20"/>
      </w:rPr>
      <w:t>S</w:t>
    </w:r>
    <w:r w:rsidRPr="000C455E">
      <w:rPr>
        <w:rFonts w:ascii="Arial" w:hAnsi="Arial" w:cs="Arial"/>
        <w:sz w:val="20"/>
      </w:rPr>
      <w:t xml:space="preserve"> DE EFECTIVO </w:t>
    </w:r>
    <w:r>
      <w:rPr>
        <w:rFonts w:ascii="Arial" w:hAnsi="Arial" w:cs="Arial"/>
        <w:sz w:val="20"/>
      </w:rPr>
      <w:t>CONSOLIDADO</w:t>
    </w:r>
  </w:p>
  <w:p w14:paraId="463F967F" w14:textId="1795CDFA" w:rsidR="00CD449E" w:rsidRDefault="00CD449E" w:rsidP="00E623C5">
    <w:pPr>
      <w:pStyle w:val="2Ttulo"/>
      <w:rPr>
        <w:rFonts w:ascii="Arial" w:hAnsi="Arial" w:cs="Arial"/>
        <w:sz w:val="20"/>
        <w:lang w:val="es-ES_tradnl"/>
      </w:rPr>
    </w:pPr>
    <w:r w:rsidRPr="000C455E">
      <w:rPr>
        <w:rFonts w:ascii="Arial" w:hAnsi="Arial" w:cs="Arial"/>
        <w:sz w:val="20"/>
        <w:lang w:val="es-ES_tradnl"/>
      </w:rPr>
      <w:t>COR</w:t>
    </w:r>
    <w:r>
      <w:rPr>
        <w:rFonts w:ascii="Arial" w:hAnsi="Arial" w:cs="Arial"/>
        <w:sz w:val="20"/>
        <w:lang w:val="es-ES_tradnl"/>
      </w:rPr>
      <w:t xml:space="preserve">RESPONDIENTE AL EJERCICIO ANTERIOR FINALIZADO </w:t>
    </w:r>
  </w:p>
  <w:p w14:paraId="107D7110" w14:textId="0D6D9C6A" w:rsidR="00CD449E" w:rsidRPr="000C455E" w:rsidRDefault="00CD449E" w:rsidP="00E623C5">
    <w:pPr>
      <w:pStyle w:val="2Ttulo"/>
      <w:rPr>
        <w:rFonts w:ascii="Arial" w:hAnsi="Arial" w:cs="Arial"/>
        <w:sz w:val="20"/>
        <w:lang w:val="es-ES_tradnl"/>
      </w:rPr>
    </w:pPr>
    <w:r>
      <w:rPr>
        <w:rFonts w:ascii="Arial" w:hAnsi="Arial" w:cs="Arial"/>
        <w:sz w:val="20"/>
        <w:lang w:val="es-ES_tradnl"/>
      </w:rPr>
      <w:t>EL 31 DE DICIEMBRE DE 2019</w:t>
    </w:r>
  </w:p>
  <w:p w14:paraId="37672E02" w14:textId="411653AB" w:rsidR="00CD449E" w:rsidRPr="005E5441" w:rsidRDefault="00CD449E" w:rsidP="00E623C5">
    <w:pPr>
      <w:pStyle w:val="2Ttulo"/>
      <w:rPr>
        <w:rFonts w:ascii="Arial" w:hAnsi="Arial" w:cs="Arial"/>
        <w:b w:val="0"/>
        <w:sz w:val="16"/>
        <w:szCs w:val="16"/>
        <w:lang w:val="es-ES_tradnl"/>
      </w:rPr>
    </w:pPr>
    <w:r w:rsidRPr="005E5441">
      <w:rPr>
        <w:rFonts w:ascii="Arial" w:hAnsi="Arial" w:cs="Arial"/>
        <w:b w:val="0"/>
        <w:sz w:val="16"/>
        <w:szCs w:val="16"/>
        <w:lang w:val="es-ES_tradnl"/>
      </w:rPr>
      <w:t>Presentado en</w:t>
    </w:r>
    <w:r>
      <w:rPr>
        <w:rFonts w:ascii="Arial" w:hAnsi="Arial" w:cs="Arial"/>
        <w:b w:val="0"/>
        <w:sz w:val="16"/>
        <w:szCs w:val="16"/>
        <w:lang w:val="es-ES_tradnl"/>
      </w:rPr>
      <w:t xml:space="preserve"> forma comparativa con el ejercicio </w:t>
    </w:r>
    <w:r w:rsidRPr="005E5441">
      <w:rPr>
        <w:rFonts w:ascii="Arial" w:hAnsi="Arial" w:cs="Arial"/>
        <w:b w:val="0"/>
        <w:sz w:val="16"/>
        <w:szCs w:val="16"/>
        <w:lang w:val="es-ES_tradnl"/>
      </w:rPr>
      <w:t>anterior</w:t>
    </w:r>
  </w:p>
  <w:p w14:paraId="0C5CC93D" w14:textId="3954B95F" w:rsidR="00CD449E" w:rsidRDefault="00CD449E" w:rsidP="00524D84">
    <w:pPr>
      <w:pStyle w:val="2Ttulo"/>
      <w:rPr>
        <w:rFonts w:ascii="Arial" w:hAnsi="Arial" w:cs="Arial"/>
        <w:b w:val="0"/>
        <w:sz w:val="16"/>
        <w:szCs w:val="16"/>
      </w:rPr>
    </w:pPr>
    <w:r w:rsidRPr="005E5441">
      <w:rPr>
        <w:rFonts w:ascii="Arial" w:hAnsi="Arial" w:cs="Arial"/>
        <w:b w:val="0"/>
        <w:sz w:val="16"/>
        <w:szCs w:val="16"/>
      </w:rPr>
      <w:t>(Cifras expresadas en miles de pesos)</w:t>
    </w:r>
  </w:p>
  <w:p w14:paraId="5BCD0FEE" w14:textId="77777777" w:rsidR="00CD449E" w:rsidRPr="005E5441" w:rsidRDefault="00CD449E" w:rsidP="002374F8">
    <w:pPr>
      <w:pStyle w:val="2Ttulo"/>
      <w:jc w:val="left"/>
      <w:rPr>
        <w:rFonts w:ascii="Arial" w:hAnsi="Arial" w:cs="Arial"/>
        <w:b w:val="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6CA971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95706D3C"/>
    <w:name w:val="WW8Num1"/>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cs="Arial" w:hint="default"/>
        <w:lang w:val="es-AR"/>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1080" w:hanging="360"/>
      </w:pPr>
      <w:rPr>
        <w:rFonts w:cs="Arial"/>
      </w:rPr>
    </w:lvl>
    <w:lvl w:ilvl="1">
      <w:start w:val="1"/>
      <w:numFmt w:val="lowerLetter"/>
      <w:lvlText w:val="%2."/>
      <w:lvlJc w:val="left"/>
      <w:pPr>
        <w:tabs>
          <w:tab w:val="num" w:pos="0"/>
        </w:tabs>
        <w:ind w:left="180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4" w15:restartNumberingAfterBreak="0">
    <w:nsid w:val="00000006"/>
    <w:multiLevelType w:val="multilevel"/>
    <w:tmpl w:val="00000006"/>
    <w:name w:val="WW8Num6"/>
    <w:lvl w:ilvl="0">
      <w:start w:val="1"/>
      <w:numFmt w:val="lowerRoman"/>
      <w:lvlText w:val="%1."/>
      <w:lvlJc w:val="right"/>
      <w:pPr>
        <w:tabs>
          <w:tab w:val="num" w:pos="0"/>
        </w:tabs>
        <w:ind w:left="1080" w:hanging="360"/>
      </w:pPr>
    </w:lvl>
    <w:lvl w:ilvl="1">
      <w:start w:val="1"/>
      <w:numFmt w:val="lowerLetter"/>
      <w:lvlText w:val="%2."/>
      <w:lvlJc w:val="left"/>
      <w:pPr>
        <w:tabs>
          <w:tab w:val="num" w:pos="0"/>
        </w:tabs>
        <w:ind w:left="180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9"/>
    <w:multiLevelType w:val="multilevel"/>
    <w:tmpl w:val="00000009"/>
    <w:name w:val="WW8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A"/>
    <w:multiLevelType w:val="multilevel"/>
    <w:tmpl w:val="0000000A"/>
    <w:name w:val="WW8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9D2C5E"/>
    <w:multiLevelType w:val="multilevel"/>
    <w:tmpl w:val="AE2A3636"/>
    <w:name w:val="WW8Num14"/>
    <w:lvl w:ilvl="0">
      <w:start w:val="23"/>
      <w:numFmt w:val="decimal"/>
      <w:lvlText w:val="%1."/>
      <w:lvlJc w:val="left"/>
      <w:pPr>
        <w:tabs>
          <w:tab w:val="num" w:pos="0"/>
        </w:tabs>
        <w:ind w:left="360" w:hanging="360"/>
      </w:pPr>
      <w:rPr>
        <w:rFonts w:hint="default"/>
      </w:rPr>
    </w:lvl>
    <w:lvl w:ilvl="1">
      <w:start w:val="3"/>
      <w:numFmt w:val="decimal"/>
      <w:lvlText w:val="%1.%2."/>
      <w:lvlJc w:val="left"/>
      <w:pPr>
        <w:tabs>
          <w:tab w:val="num" w:pos="0"/>
        </w:tabs>
        <w:ind w:left="792" w:hanging="432"/>
      </w:pPr>
      <w:rPr>
        <w:rFonts w:hint="default"/>
      </w:rPr>
    </w:lvl>
    <w:lvl w:ilvl="2">
      <w:start w:val="4"/>
      <w:numFmt w:val="decimal"/>
      <w:lvlText w:val="%1.%2.%3."/>
      <w:lvlJc w:val="left"/>
      <w:pPr>
        <w:tabs>
          <w:tab w:val="num" w:pos="0"/>
        </w:tabs>
        <w:ind w:left="1224" w:hanging="504"/>
      </w:pPr>
      <w:rPr>
        <w:rFonts w:cs="Arial"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01D9080D"/>
    <w:multiLevelType w:val="hybridMultilevel"/>
    <w:tmpl w:val="F516EEB0"/>
    <w:lvl w:ilvl="0" w:tplc="2C0A0001">
      <w:start w:val="1"/>
      <w:numFmt w:val="bullet"/>
      <w:lvlText w:val=""/>
      <w:lvlJc w:val="left"/>
      <w:pPr>
        <w:ind w:left="810" w:hanging="360"/>
      </w:pPr>
      <w:rPr>
        <w:rFonts w:ascii="Symbol" w:hAnsi="Symbol" w:hint="default"/>
      </w:rPr>
    </w:lvl>
    <w:lvl w:ilvl="1" w:tplc="2C0A0003">
      <w:start w:val="1"/>
      <w:numFmt w:val="bullet"/>
      <w:lvlText w:val="o"/>
      <w:lvlJc w:val="left"/>
      <w:pPr>
        <w:ind w:left="1530" w:hanging="360"/>
      </w:pPr>
      <w:rPr>
        <w:rFonts w:ascii="Courier New" w:hAnsi="Courier New" w:cs="Courier New" w:hint="default"/>
      </w:rPr>
    </w:lvl>
    <w:lvl w:ilvl="2" w:tplc="2C0A0005" w:tentative="1">
      <w:start w:val="1"/>
      <w:numFmt w:val="bullet"/>
      <w:lvlText w:val=""/>
      <w:lvlJc w:val="left"/>
      <w:pPr>
        <w:ind w:left="2250" w:hanging="360"/>
      </w:pPr>
      <w:rPr>
        <w:rFonts w:ascii="Wingdings" w:hAnsi="Wingdings" w:hint="default"/>
      </w:rPr>
    </w:lvl>
    <w:lvl w:ilvl="3" w:tplc="2C0A0001" w:tentative="1">
      <w:start w:val="1"/>
      <w:numFmt w:val="bullet"/>
      <w:lvlText w:val=""/>
      <w:lvlJc w:val="left"/>
      <w:pPr>
        <w:ind w:left="2970" w:hanging="360"/>
      </w:pPr>
      <w:rPr>
        <w:rFonts w:ascii="Symbol" w:hAnsi="Symbol" w:hint="default"/>
      </w:rPr>
    </w:lvl>
    <w:lvl w:ilvl="4" w:tplc="2C0A0003" w:tentative="1">
      <w:start w:val="1"/>
      <w:numFmt w:val="bullet"/>
      <w:lvlText w:val="o"/>
      <w:lvlJc w:val="left"/>
      <w:pPr>
        <w:ind w:left="3690" w:hanging="360"/>
      </w:pPr>
      <w:rPr>
        <w:rFonts w:ascii="Courier New" w:hAnsi="Courier New" w:cs="Courier New" w:hint="default"/>
      </w:rPr>
    </w:lvl>
    <w:lvl w:ilvl="5" w:tplc="2C0A0005" w:tentative="1">
      <w:start w:val="1"/>
      <w:numFmt w:val="bullet"/>
      <w:lvlText w:val=""/>
      <w:lvlJc w:val="left"/>
      <w:pPr>
        <w:ind w:left="4410" w:hanging="360"/>
      </w:pPr>
      <w:rPr>
        <w:rFonts w:ascii="Wingdings" w:hAnsi="Wingdings" w:hint="default"/>
      </w:rPr>
    </w:lvl>
    <w:lvl w:ilvl="6" w:tplc="2C0A0001" w:tentative="1">
      <w:start w:val="1"/>
      <w:numFmt w:val="bullet"/>
      <w:lvlText w:val=""/>
      <w:lvlJc w:val="left"/>
      <w:pPr>
        <w:ind w:left="5130" w:hanging="360"/>
      </w:pPr>
      <w:rPr>
        <w:rFonts w:ascii="Symbol" w:hAnsi="Symbol" w:hint="default"/>
      </w:rPr>
    </w:lvl>
    <w:lvl w:ilvl="7" w:tplc="2C0A0003" w:tentative="1">
      <w:start w:val="1"/>
      <w:numFmt w:val="bullet"/>
      <w:lvlText w:val="o"/>
      <w:lvlJc w:val="left"/>
      <w:pPr>
        <w:ind w:left="5850" w:hanging="360"/>
      </w:pPr>
      <w:rPr>
        <w:rFonts w:ascii="Courier New" w:hAnsi="Courier New" w:cs="Courier New" w:hint="default"/>
      </w:rPr>
    </w:lvl>
    <w:lvl w:ilvl="8" w:tplc="2C0A0005" w:tentative="1">
      <w:start w:val="1"/>
      <w:numFmt w:val="bullet"/>
      <w:lvlText w:val=""/>
      <w:lvlJc w:val="left"/>
      <w:pPr>
        <w:ind w:left="6570" w:hanging="360"/>
      </w:pPr>
      <w:rPr>
        <w:rFonts w:ascii="Wingdings" w:hAnsi="Wingdings" w:hint="default"/>
      </w:rPr>
    </w:lvl>
  </w:abstractNum>
  <w:abstractNum w:abstractNumId="12" w15:restartNumberingAfterBreak="0">
    <w:nsid w:val="02FC3285"/>
    <w:multiLevelType w:val="hybridMultilevel"/>
    <w:tmpl w:val="EDFED466"/>
    <w:lvl w:ilvl="0" w:tplc="34EEFEC4">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9C7F49"/>
    <w:multiLevelType w:val="hybridMultilevel"/>
    <w:tmpl w:val="7DE42F1A"/>
    <w:lvl w:ilvl="0" w:tplc="628878C8">
      <w:start w:val="1"/>
      <w:numFmt w:val="decimal"/>
      <w:lvlText w:val="(%1)"/>
      <w:lvlJc w:val="left"/>
      <w:pPr>
        <w:ind w:left="644" w:hanging="360"/>
      </w:pPr>
      <w:rPr>
        <w:rFonts w:hint="default"/>
        <w:sz w:val="16"/>
        <w:szCs w:val="16"/>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4" w15:restartNumberingAfterBreak="0">
    <w:nsid w:val="06551742"/>
    <w:multiLevelType w:val="hybridMultilevel"/>
    <w:tmpl w:val="5CB6159E"/>
    <w:lvl w:ilvl="0" w:tplc="C7E2CF72">
      <w:start w:val="1"/>
      <w:numFmt w:val="lowerRoman"/>
      <w:lvlText w:val="(%1)"/>
      <w:lvlJc w:val="left"/>
      <w:pPr>
        <w:tabs>
          <w:tab w:val="num" w:pos="720"/>
        </w:tabs>
        <w:ind w:left="720" w:hanging="360"/>
      </w:pPr>
      <w:rPr>
        <w:rFonts w:ascii="Arial" w:eastAsiaTheme="minorEastAsia" w:hAnsi="Arial" w:cs="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077A7D41"/>
    <w:multiLevelType w:val="hybridMultilevel"/>
    <w:tmpl w:val="EDBA9290"/>
    <w:styleLink w:val="Estiloimportado82"/>
    <w:lvl w:ilvl="0" w:tplc="370E75C4">
      <w:start w:val="1"/>
      <w:numFmt w:val="lowerLetter"/>
      <w:lvlText w:val="%1."/>
      <w:lvlJc w:val="left"/>
      <w:pPr>
        <w:ind w:left="1418" w:hanging="284"/>
      </w:pPr>
      <w:rPr>
        <w:rFonts w:hAnsi="Arial Unicode MS"/>
        <w:caps w:val="0"/>
        <w:smallCaps w:val="0"/>
        <w:strike w:val="0"/>
        <w:dstrike w:val="0"/>
        <w:color w:val="000000"/>
        <w:spacing w:val="0"/>
        <w:w w:val="100"/>
        <w:kern w:val="0"/>
        <w:position w:val="0"/>
        <w:highlight w:val="none"/>
        <w:vertAlign w:val="baseline"/>
      </w:rPr>
    </w:lvl>
    <w:lvl w:ilvl="1" w:tplc="3A068150">
      <w:start w:val="1"/>
      <w:numFmt w:val="lowerLetter"/>
      <w:lvlText w:val="%2."/>
      <w:lvlJc w:val="left"/>
      <w:pPr>
        <w:ind w:left="1024" w:hanging="284"/>
      </w:pPr>
      <w:rPr>
        <w:rFonts w:hAnsi="Arial Unicode MS"/>
        <w:caps w:val="0"/>
        <w:smallCaps w:val="0"/>
        <w:strike w:val="0"/>
        <w:dstrike w:val="0"/>
        <w:color w:val="000000"/>
        <w:spacing w:val="0"/>
        <w:w w:val="100"/>
        <w:kern w:val="0"/>
        <w:position w:val="0"/>
        <w:highlight w:val="none"/>
        <w:vertAlign w:val="baseline"/>
      </w:rPr>
    </w:lvl>
    <w:lvl w:ilvl="2" w:tplc="82CE8AD4">
      <w:start w:val="1"/>
      <w:numFmt w:val="lowerRoman"/>
      <w:lvlText w:val="%3."/>
      <w:lvlJc w:val="left"/>
      <w:pPr>
        <w:ind w:left="1744" w:hanging="199"/>
      </w:pPr>
      <w:rPr>
        <w:rFonts w:hAnsi="Arial Unicode MS"/>
        <w:caps w:val="0"/>
        <w:smallCaps w:val="0"/>
        <w:strike w:val="0"/>
        <w:dstrike w:val="0"/>
        <w:color w:val="000000"/>
        <w:spacing w:val="0"/>
        <w:w w:val="100"/>
        <w:kern w:val="0"/>
        <w:position w:val="0"/>
        <w:highlight w:val="none"/>
        <w:vertAlign w:val="baseline"/>
      </w:rPr>
    </w:lvl>
    <w:lvl w:ilvl="3" w:tplc="5770F584">
      <w:start w:val="1"/>
      <w:numFmt w:val="decimal"/>
      <w:lvlText w:val="%4."/>
      <w:lvlJc w:val="left"/>
      <w:pPr>
        <w:ind w:left="2464" w:hanging="284"/>
      </w:pPr>
      <w:rPr>
        <w:rFonts w:hAnsi="Arial Unicode MS"/>
        <w:caps w:val="0"/>
        <w:smallCaps w:val="0"/>
        <w:strike w:val="0"/>
        <w:dstrike w:val="0"/>
        <w:color w:val="000000"/>
        <w:spacing w:val="0"/>
        <w:w w:val="100"/>
        <w:kern w:val="0"/>
        <w:position w:val="0"/>
        <w:highlight w:val="none"/>
        <w:vertAlign w:val="baseline"/>
      </w:rPr>
    </w:lvl>
    <w:lvl w:ilvl="4" w:tplc="71B002CA">
      <w:start w:val="1"/>
      <w:numFmt w:val="lowerLetter"/>
      <w:lvlText w:val="%5."/>
      <w:lvlJc w:val="left"/>
      <w:pPr>
        <w:ind w:left="3184" w:hanging="284"/>
      </w:pPr>
      <w:rPr>
        <w:rFonts w:hAnsi="Arial Unicode MS"/>
        <w:caps w:val="0"/>
        <w:smallCaps w:val="0"/>
        <w:strike w:val="0"/>
        <w:dstrike w:val="0"/>
        <w:color w:val="000000"/>
        <w:spacing w:val="0"/>
        <w:w w:val="100"/>
        <w:kern w:val="0"/>
        <w:position w:val="0"/>
        <w:highlight w:val="none"/>
        <w:vertAlign w:val="baseline"/>
      </w:rPr>
    </w:lvl>
    <w:lvl w:ilvl="5" w:tplc="4348B770">
      <w:start w:val="1"/>
      <w:numFmt w:val="lowerRoman"/>
      <w:lvlText w:val="%6."/>
      <w:lvlJc w:val="left"/>
      <w:pPr>
        <w:ind w:left="3904" w:hanging="199"/>
      </w:pPr>
      <w:rPr>
        <w:rFonts w:hAnsi="Arial Unicode MS"/>
        <w:caps w:val="0"/>
        <w:smallCaps w:val="0"/>
        <w:strike w:val="0"/>
        <w:dstrike w:val="0"/>
        <w:color w:val="000000"/>
        <w:spacing w:val="0"/>
        <w:w w:val="100"/>
        <w:kern w:val="0"/>
        <w:position w:val="0"/>
        <w:highlight w:val="none"/>
        <w:vertAlign w:val="baseline"/>
      </w:rPr>
    </w:lvl>
    <w:lvl w:ilvl="6" w:tplc="FD763E8A">
      <w:start w:val="1"/>
      <w:numFmt w:val="decimal"/>
      <w:lvlText w:val="%7."/>
      <w:lvlJc w:val="left"/>
      <w:pPr>
        <w:ind w:left="4624" w:hanging="284"/>
      </w:pPr>
      <w:rPr>
        <w:rFonts w:hAnsi="Arial Unicode MS"/>
        <w:caps w:val="0"/>
        <w:smallCaps w:val="0"/>
        <w:strike w:val="0"/>
        <w:dstrike w:val="0"/>
        <w:color w:val="000000"/>
        <w:spacing w:val="0"/>
        <w:w w:val="100"/>
        <w:kern w:val="0"/>
        <w:position w:val="0"/>
        <w:highlight w:val="none"/>
        <w:vertAlign w:val="baseline"/>
      </w:rPr>
    </w:lvl>
    <w:lvl w:ilvl="7" w:tplc="97B6851E">
      <w:start w:val="1"/>
      <w:numFmt w:val="lowerLetter"/>
      <w:lvlText w:val="%8."/>
      <w:lvlJc w:val="left"/>
      <w:pPr>
        <w:ind w:left="5344" w:hanging="284"/>
      </w:pPr>
      <w:rPr>
        <w:rFonts w:hAnsi="Arial Unicode MS"/>
        <w:caps w:val="0"/>
        <w:smallCaps w:val="0"/>
        <w:strike w:val="0"/>
        <w:dstrike w:val="0"/>
        <w:color w:val="000000"/>
        <w:spacing w:val="0"/>
        <w:w w:val="100"/>
        <w:kern w:val="0"/>
        <w:position w:val="0"/>
        <w:highlight w:val="none"/>
        <w:vertAlign w:val="baseline"/>
      </w:rPr>
    </w:lvl>
    <w:lvl w:ilvl="8" w:tplc="311452A2">
      <w:start w:val="1"/>
      <w:numFmt w:val="lowerRoman"/>
      <w:lvlText w:val="%9."/>
      <w:lvlJc w:val="left"/>
      <w:pPr>
        <w:ind w:left="6064" w:hanging="199"/>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07E92597"/>
    <w:multiLevelType w:val="hybridMultilevel"/>
    <w:tmpl w:val="A066D302"/>
    <w:lvl w:ilvl="0" w:tplc="2C0A0017">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745E34"/>
    <w:multiLevelType w:val="hybridMultilevel"/>
    <w:tmpl w:val="6016B87C"/>
    <w:lvl w:ilvl="0" w:tplc="C734D3BA">
      <w:start w:val="1"/>
      <w:numFmt w:val="lowerLetter"/>
      <w:lvlText w:val="%1)"/>
      <w:lvlJc w:val="left"/>
      <w:pPr>
        <w:ind w:left="644"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0B766696"/>
    <w:multiLevelType w:val="hybridMultilevel"/>
    <w:tmpl w:val="936C2704"/>
    <w:lvl w:ilvl="0" w:tplc="EF12415A">
      <w:start w:val="1"/>
      <w:numFmt w:val="lowerLetter"/>
      <w:lvlText w:val="(%1)"/>
      <w:lvlJc w:val="left"/>
      <w:pPr>
        <w:ind w:left="360" w:hanging="360"/>
      </w:pPr>
      <w:rPr>
        <w:rFonts w:hint="default"/>
        <w:b/>
        <w:i w:val="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9" w15:restartNumberingAfterBreak="0">
    <w:nsid w:val="0F8750E0"/>
    <w:multiLevelType w:val="hybridMultilevel"/>
    <w:tmpl w:val="28E8C0D0"/>
    <w:lvl w:ilvl="0" w:tplc="59347CCC">
      <w:start w:val="2"/>
      <w:numFmt w:val="bullet"/>
      <w:lvlText w:val="-"/>
      <w:lvlJc w:val="left"/>
      <w:pPr>
        <w:ind w:left="720" w:hanging="360"/>
      </w:pPr>
      <w:rPr>
        <w:rFonts w:ascii="Georgia" w:eastAsia="Calibri" w:hAnsi="Georgia" w:cstheme="minorHAns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0FED35F1"/>
    <w:multiLevelType w:val="hybridMultilevel"/>
    <w:tmpl w:val="B76413EC"/>
    <w:lvl w:ilvl="0" w:tplc="9536A36A">
      <w:start w:val="1"/>
      <w:numFmt w:val="decimal"/>
      <w:lvlText w:val="%1."/>
      <w:lvlJc w:val="left"/>
      <w:pPr>
        <w:ind w:left="644" w:hanging="360"/>
      </w:pPr>
      <w:rPr>
        <w:rFonts w:hint="default"/>
        <w:i w:val="0"/>
        <w:u w:val="none"/>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21" w15:restartNumberingAfterBreak="0">
    <w:nsid w:val="12226101"/>
    <w:multiLevelType w:val="hybridMultilevel"/>
    <w:tmpl w:val="82209CFE"/>
    <w:lvl w:ilvl="0" w:tplc="2C0A000D">
      <w:start w:val="1"/>
      <w:numFmt w:val="bullet"/>
      <w:lvlText w:val=""/>
      <w:lvlJc w:val="left"/>
      <w:pPr>
        <w:tabs>
          <w:tab w:val="left" w:pos="142"/>
        </w:tabs>
        <w:ind w:left="720" w:hanging="360"/>
      </w:pPr>
      <w:rPr>
        <w:rFonts w:ascii="Wingdings" w:hAnsi="Wingdings" w:hint="default"/>
        <w:b w:val="0"/>
        <w:bCs w:val="0"/>
        <w:i w:val="0"/>
        <w:iCs w:val="0"/>
        <w:caps w:val="0"/>
        <w:smallCaps w:val="0"/>
        <w:strike w:val="0"/>
        <w:dstrike w:val="0"/>
        <w:spacing w:val="0"/>
        <w:w w:val="100"/>
        <w:kern w:val="0"/>
        <w:position w:val="0"/>
        <w:highlight w:val="none"/>
        <w:vertAlign w:val="baseline"/>
      </w:rPr>
    </w:lvl>
    <w:lvl w:ilvl="1" w:tplc="EF0681E2">
      <w:start w:val="1"/>
      <w:numFmt w:val="bullet"/>
      <w:lvlText w:val="o"/>
      <w:lvlJc w:val="left"/>
      <w:pPr>
        <w:tabs>
          <w:tab w:val="left" w:pos="142"/>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40E05F3E">
      <w:start w:val="1"/>
      <w:numFmt w:val="bullet"/>
      <w:lvlText w:val="▪"/>
      <w:lvlJc w:val="left"/>
      <w:pPr>
        <w:tabs>
          <w:tab w:val="left" w:pos="142"/>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254049DC">
      <w:start w:val="1"/>
      <w:numFmt w:val="bullet"/>
      <w:lvlText w:val="✓"/>
      <w:lvlJc w:val="left"/>
      <w:pPr>
        <w:tabs>
          <w:tab w:val="left" w:pos="142"/>
        </w:tabs>
        <w:ind w:left="170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4" w:tplc="F99A32D0">
      <w:start w:val="1"/>
      <w:numFmt w:val="bullet"/>
      <w:lvlText w:val="o"/>
      <w:lvlJc w:val="left"/>
      <w:pPr>
        <w:tabs>
          <w:tab w:val="left" w:pos="142"/>
        </w:tabs>
        <w:ind w:left="242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A7D04A8A">
      <w:start w:val="1"/>
      <w:numFmt w:val="bullet"/>
      <w:lvlText w:val="▪"/>
      <w:lvlJc w:val="left"/>
      <w:pPr>
        <w:tabs>
          <w:tab w:val="left" w:pos="142"/>
        </w:tabs>
        <w:ind w:left="314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0FDEFCFA">
      <w:start w:val="1"/>
      <w:numFmt w:val="bullet"/>
      <w:lvlText w:val="•"/>
      <w:lvlJc w:val="left"/>
      <w:pPr>
        <w:tabs>
          <w:tab w:val="left" w:pos="142"/>
        </w:tabs>
        <w:ind w:left="386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7" w:tplc="86BE9860">
      <w:start w:val="1"/>
      <w:numFmt w:val="bullet"/>
      <w:lvlText w:val="o"/>
      <w:lvlJc w:val="left"/>
      <w:pPr>
        <w:tabs>
          <w:tab w:val="left" w:pos="142"/>
        </w:tabs>
        <w:ind w:left="458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0226A65E">
      <w:start w:val="1"/>
      <w:numFmt w:val="bullet"/>
      <w:lvlText w:val="▪"/>
      <w:lvlJc w:val="left"/>
      <w:pPr>
        <w:tabs>
          <w:tab w:val="left" w:pos="142"/>
        </w:tabs>
        <w:ind w:left="530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2" w15:restartNumberingAfterBreak="0">
    <w:nsid w:val="1291720A"/>
    <w:multiLevelType w:val="hybridMultilevel"/>
    <w:tmpl w:val="8872E3D0"/>
    <w:lvl w:ilvl="0" w:tplc="4A26F29A">
      <w:start w:val="1"/>
      <w:numFmt w:val="lowerLetter"/>
      <w:lvlText w:val="(%1)"/>
      <w:lvlJc w:val="left"/>
      <w:pPr>
        <w:ind w:left="360" w:hanging="360"/>
      </w:pPr>
      <w:rPr>
        <w:rFonts w:hint="default"/>
        <w:b/>
        <w:i w:val="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3" w15:restartNumberingAfterBreak="0">
    <w:nsid w:val="13042D7F"/>
    <w:multiLevelType w:val="hybridMultilevel"/>
    <w:tmpl w:val="7B00261C"/>
    <w:lvl w:ilvl="0" w:tplc="0E648F64">
      <w:start w:val="1"/>
      <w:numFmt w:val="lowerRoman"/>
      <w:lvlText w:val="(%1)"/>
      <w:lvlJc w:val="left"/>
      <w:pPr>
        <w:ind w:left="720" w:hanging="72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4" w15:restartNumberingAfterBreak="0">
    <w:nsid w:val="13085F1F"/>
    <w:multiLevelType w:val="hybridMultilevel"/>
    <w:tmpl w:val="7B00261C"/>
    <w:lvl w:ilvl="0" w:tplc="0E648F64">
      <w:start w:val="1"/>
      <w:numFmt w:val="lowerRoman"/>
      <w:lvlText w:val="(%1)"/>
      <w:lvlJc w:val="left"/>
      <w:pPr>
        <w:ind w:left="720" w:hanging="72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5" w15:restartNumberingAfterBreak="0">
    <w:nsid w:val="13514EE8"/>
    <w:multiLevelType w:val="hybridMultilevel"/>
    <w:tmpl w:val="A3486BA4"/>
    <w:lvl w:ilvl="0" w:tplc="2C0A000D">
      <w:start w:val="1"/>
      <w:numFmt w:val="bullet"/>
      <w:lvlText w:val=""/>
      <w:lvlJc w:val="left"/>
      <w:pPr>
        <w:tabs>
          <w:tab w:val="left" w:pos="142"/>
        </w:tabs>
        <w:ind w:left="720" w:hanging="360"/>
      </w:pPr>
      <w:rPr>
        <w:rFonts w:ascii="Wingdings" w:hAnsi="Wingdings" w:hint="default"/>
        <w:b w:val="0"/>
        <w:bCs w:val="0"/>
        <w:i w:val="0"/>
        <w:iCs w:val="0"/>
        <w:caps w:val="0"/>
        <w:smallCaps w:val="0"/>
        <w:strike w:val="0"/>
        <w:dstrike w:val="0"/>
        <w:spacing w:val="0"/>
        <w:w w:val="100"/>
        <w:kern w:val="0"/>
        <w:position w:val="0"/>
        <w:highlight w:val="none"/>
        <w:vertAlign w:val="baseline"/>
      </w:rPr>
    </w:lvl>
    <w:lvl w:ilvl="1" w:tplc="EF0681E2">
      <w:start w:val="1"/>
      <w:numFmt w:val="bullet"/>
      <w:lvlText w:val="o"/>
      <w:lvlJc w:val="left"/>
      <w:pPr>
        <w:tabs>
          <w:tab w:val="left" w:pos="142"/>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40E05F3E">
      <w:start w:val="1"/>
      <w:numFmt w:val="bullet"/>
      <w:lvlText w:val="▪"/>
      <w:lvlJc w:val="left"/>
      <w:pPr>
        <w:tabs>
          <w:tab w:val="left" w:pos="142"/>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254049DC">
      <w:start w:val="1"/>
      <w:numFmt w:val="bullet"/>
      <w:lvlText w:val="✓"/>
      <w:lvlJc w:val="left"/>
      <w:pPr>
        <w:tabs>
          <w:tab w:val="left" w:pos="142"/>
        </w:tabs>
        <w:ind w:left="170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4" w:tplc="F99A32D0">
      <w:start w:val="1"/>
      <w:numFmt w:val="bullet"/>
      <w:lvlText w:val="o"/>
      <w:lvlJc w:val="left"/>
      <w:pPr>
        <w:tabs>
          <w:tab w:val="left" w:pos="142"/>
        </w:tabs>
        <w:ind w:left="242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A7D04A8A">
      <w:start w:val="1"/>
      <w:numFmt w:val="bullet"/>
      <w:lvlText w:val="▪"/>
      <w:lvlJc w:val="left"/>
      <w:pPr>
        <w:tabs>
          <w:tab w:val="left" w:pos="142"/>
        </w:tabs>
        <w:ind w:left="314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0FDEFCFA">
      <w:start w:val="1"/>
      <w:numFmt w:val="bullet"/>
      <w:lvlText w:val="•"/>
      <w:lvlJc w:val="left"/>
      <w:pPr>
        <w:tabs>
          <w:tab w:val="left" w:pos="142"/>
        </w:tabs>
        <w:ind w:left="386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7" w:tplc="86BE9860">
      <w:start w:val="1"/>
      <w:numFmt w:val="bullet"/>
      <w:lvlText w:val="o"/>
      <w:lvlJc w:val="left"/>
      <w:pPr>
        <w:tabs>
          <w:tab w:val="left" w:pos="142"/>
        </w:tabs>
        <w:ind w:left="458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0226A65E">
      <w:start w:val="1"/>
      <w:numFmt w:val="bullet"/>
      <w:lvlText w:val="▪"/>
      <w:lvlJc w:val="left"/>
      <w:pPr>
        <w:tabs>
          <w:tab w:val="left" w:pos="142"/>
        </w:tabs>
        <w:ind w:left="530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6" w15:restartNumberingAfterBreak="0">
    <w:nsid w:val="146F2509"/>
    <w:multiLevelType w:val="multilevel"/>
    <w:tmpl w:val="127C82AE"/>
    <w:lvl w:ilvl="0">
      <w:start w:val="14"/>
      <w:numFmt w:val="decimal"/>
      <w:lvlText w:val="%1."/>
      <w:lvlJc w:val="left"/>
      <w:pPr>
        <w:ind w:left="888" w:hanging="888"/>
      </w:pPr>
      <w:rPr>
        <w:rFonts w:hint="default"/>
        <w:b/>
        <w:u w:val="single"/>
      </w:rPr>
    </w:lvl>
    <w:lvl w:ilvl="1">
      <w:start w:val="10"/>
      <w:numFmt w:val="decimal"/>
      <w:lvlText w:val="%1.%2."/>
      <w:lvlJc w:val="left"/>
      <w:pPr>
        <w:ind w:left="1128" w:hanging="888"/>
      </w:pPr>
      <w:rPr>
        <w:rFonts w:hint="default"/>
        <w:b/>
        <w:u w:val="single"/>
      </w:rPr>
    </w:lvl>
    <w:lvl w:ilvl="2">
      <w:start w:val="1"/>
      <w:numFmt w:val="decimal"/>
      <w:lvlText w:val="%1.%2.%3."/>
      <w:lvlJc w:val="left"/>
      <w:pPr>
        <w:ind w:left="1368" w:hanging="888"/>
      </w:pPr>
      <w:rPr>
        <w:rFonts w:hint="default"/>
        <w:b/>
        <w:u w:val="single"/>
      </w:rPr>
    </w:lvl>
    <w:lvl w:ilvl="3">
      <w:start w:val="1"/>
      <w:numFmt w:val="decimal"/>
      <w:lvlText w:val="%1.%2.%3.%4."/>
      <w:lvlJc w:val="left"/>
      <w:pPr>
        <w:ind w:left="1455" w:hanging="888"/>
      </w:pPr>
      <w:rPr>
        <w:rFonts w:hint="default"/>
        <w:b/>
        <w:u w:val="singl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27" w15:restartNumberingAfterBreak="0">
    <w:nsid w:val="17E90127"/>
    <w:multiLevelType w:val="multilevel"/>
    <w:tmpl w:val="27288520"/>
    <w:styleLink w:val="Estiloimportado32"/>
    <w:lvl w:ilvl="0">
      <w:start w:val="1"/>
      <w:numFmt w:val="decimal"/>
      <w:lvlText w:val="%1."/>
      <w:lvlJc w:val="left"/>
      <w:pPr>
        <w:tabs>
          <w:tab w:val="num" w:pos="142"/>
        </w:tabs>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left" w:pos="142"/>
          <w:tab w:val="num" w:pos="792"/>
        </w:tabs>
        <w:ind w:left="1010" w:hanging="65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left" w:pos="142"/>
          <w:tab w:val="num" w:pos="1224"/>
        </w:tabs>
        <w:ind w:left="1442" w:hanging="722"/>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left" w:pos="142"/>
          <w:tab w:val="num" w:pos="1728"/>
        </w:tabs>
        <w:ind w:left="1946" w:hanging="866"/>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left" w:pos="142"/>
          <w:tab w:val="num" w:pos="2232"/>
        </w:tabs>
        <w:ind w:left="2450" w:hanging="101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left" w:pos="142"/>
          <w:tab w:val="num" w:pos="2736"/>
        </w:tabs>
        <w:ind w:left="2954" w:hanging="115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left" w:pos="142"/>
          <w:tab w:val="num" w:pos="3240"/>
        </w:tabs>
        <w:ind w:left="3458" w:hanging="129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left" w:pos="142"/>
          <w:tab w:val="num" w:pos="3744"/>
        </w:tabs>
        <w:ind w:left="3962" w:hanging="1442"/>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left" w:pos="142"/>
          <w:tab w:val="num" w:pos="4320"/>
        </w:tabs>
        <w:ind w:left="4538" w:hanging="1658"/>
      </w:pPr>
      <w:rPr>
        <w:rFonts w:hAnsi="Arial Unicode MS"/>
        <w:b/>
        <w:bCs/>
        <w:caps w:val="0"/>
        <w:smallCaps w:val="0"/>
        <w:strike w:val="0"/>
        <w:dstrike w:val="0"/>
        <w:color w:val="000000"/>
        <w:spacing w:val="0"/>
        <w:w w:val="100"/>
        <w:kern w:val="0"/>
        <w:position w:val="0"/>
        <w:highlight w:val="none"/>
        <w:vertAlign w:val="baseline"/>
      </w:rPr>
    </w:lvl>
  </w:abstractNum>
  <w:abstractNum w:abstractNumId="28" w15:restartNumberingAfterBreak="0">
    <w:nsid w:val="18757BCC"/>
    <w:multiLevelType w:val="hybridMultilevel"/>
    <w:tmpl w:val="86A84BC2"/>
    <w:lvl w:ilvl="0" w:tplc="30E645D2">
      <w:start w:val="1"/>
      <w:numFmt w:val="lowerLetter"/>
      <w:lvlText w:val="%1)"/>
      <w:lvlJc w:val="left"/>
      <w:pPr>
        <w:ind w:left="993" w:hanging="360"/>
      </w:pPr>
      <w:rPr>
        <w:rFonts w:ascii="Arial" w:eastAsia="Times New Roman" w:hAnsi="Arial" w:cs="Arial" w:hint="default"/>
      </w:rPr>
    </w:lvl>
    <w:lvl w:ilvl="1" w:tplc="2C0A0019">
      <w:start w:val="1"/>
      <w:numFmt w:val="lowerLetter"/>
      <w:lvlText w:val="%2."/>
      <w:lvlJc w:val="left"/>
      <w:pPr>
        <w:ind w:left="1713" w:hanging="360"/>
      </w:pPr>
      <w:rPr>
        <w:rFonts w:ascii="Times New Roman" w:hAnsi="Times New Roman" w:cs="Times New Roman"/>
      </w:rPr>
    </w:lvl>
    <w:lvl w:ilvl="2" w:tplc="2C0A001B">
      <w:start w:val="1"/>
      <w:numFmt w:val="lowerRoman"/>
      <w:lvlText w:val="%3."/>
      <w:lvlJc w:val="right"/>
      <w:pPr>
        <w:ind w:left="2433" w:hanging="180"/>
      </w:pPr>
      <w:rPr>
        <w:rFonts w:ascii="Times New Roman" w:hAnsi="Times New Roman" w:cs="Times New Roman"/>
      </w:rPr>
    </w:lvl>
    <w:lvl w:ilvl="3" w:tplc="C972D7B2">
      <w:start w:val="1"/>
      <w:numFmt w:val="decimal"/>
      <w:lvlText w:val="%4."/>
      <w:lvlJc w:val="left"/>
      <w:pPr>
        <w:ind w:left="3153" w:hanging="360"/>
      </w:pPr>
      <w:rPr>
        <w:rFonts w:ascii="Arial" w:hAnsi="Arial" w:cs="Arial" w:hint="default"/>
        <w:sz w:val="20"/>
        <w:szCs w:val="20"/>
      </w:rPr>
    </w:lvl>
    <w:lvl w:ilvl="4" w:tplc="2C0A0019">
      <w:start w:val="1"/>
      <w:numFmt w:val="lowerLetter"/>
      <w:lvlText w:val="%5."/>
      <w:lvlJc w:val="left"/>
      <w:pPr>
        <w:ind w:left="3873" w:hanging="360"/>
      </w:pPr>
      <w:rPr>
        <w:rFonts w:ascii="Times New Roman" w:hAnsi="Times New Roman" w:cs="Times New Roman"/>
      </w:rPr>
    </w:lvl>
    <w:lvl w:ilvl="5" w:tplc="2C0A001B">
      <w:start w:val="1"/>
      <w:numFmt w:val="lowerRoman"/>
      <w:lvlText w:val="%6."/>
      <w:lvlJc w:val="right"/>
      <w:pPr>
        <w:ind w:left="4593" w:hanging="180"/>
      </w:pPr>
      <w:rPr>
        <w:rFonts w:ascii="Times New Roman" w:hAnsi="Times New Roman" w:cs="Times New Roman"/>
      </w:rPr>
    </w:lvl>
    <w:lvl w:ilvl="6" w:tplc="2C0A000F">
      <w:start w:val="1"/>
      <w:numFmt w:val="decimal"/>
      <w:lvlText w:val="%7."/>
      <w:lvlJc w:val="left"/>
      <w:pPr>
        <w:ind w:left="5313" w:hanging="360"/>
      </w:pPr>
      <w:rPr>
        <w:rFonts w:ascii="Times New Roman" w:hAnsi="Times New Roman" w:cs="Times New Roman"/>
      </w:rPr>
    </w:lvl>
    <w:lvl w:ilvl="7" w:tplc="2C0A0019">
      <w:start w:val="1"/>
      <w:numFmt w:val="lowerLetter"/>
      <w:lvlText w:val="%8."/>
      <w:lvlJc w:val="left"/>
      <w:pPr>
        <w:ind w:left="6033" w:hanging="360"/>
      </w:pPr>
      <w:rPr>
        <w:rFonts w:ascii="Times New Roman" w:hAnsi="Times New Roman" w:cs="Times New Roman"/>
      </w:rPr>
    </w:lvl>
    <w:lvl w:ilvl="8" w:tplc="2C0A001B">
      <w:start w:val="1"/>
      <w:numFmt w:val="lowerRoman"/>
      <w:lvlText w:val="%9."/>
      <w:lvlJc w:val="right"/>
      <w:pPr>
        <w:ind w:left="6753" w:hanging="180"/>
      </w:pPr>
      <w:rPr>
        <w:rFonts w:ascii="Times New Roman" w:hAnsi="Times New Roman" w:cs="Times New Roman"/>
      </w:rPr>
    </w:lvl>
  </w:abstractNum>
  <w:abstractNum w:abstractNumId="29" w15:restartNumberingAfterBreak="0">
    <w:nsid w:val="1A335225"/>
    <w:multiLevelType w:val="multilevel"/>
    <w:tmpl w:val="3014D500"/>
    <w:lvl w:ilvl="0">
      <w:start w:val="14"/>
      <w:numFmt w:val="decimal"/>
      <w:lvlText w:val="%1."/>
      <w:lvlJc w:val="left"/>
      <w:pPr>
        <w:ind w:left="870" w:hanging="870"/>
      </w:pPr>
      <w:rPr>
        <w:rFonts w:hint="default"/>
        <w:u w:val="single"/>
      </w:rPr>
    </w:lvl>
    <w:lvl w:ilvl="1">
      <w:start w:val="10"/>
      <w:numFmt w:val="decimal"/>
      <w:lvlText w:val="%1.%2."/>
      <w:lvlJc w:val="left"/>
      <w:pPr>
        <w:ind w:left="870" w:hanging="870"/>
      </w:pPr>
      <w:rPr>
        <w:rFonts w:hint="default"/>
        <w:u w:val="single"/>
      </w:rPr>
    </w:lvl>
    <w:lvl w:ilvl="2">
      <w:start w:val="1"/>
      <w:numFmt w:val="decimal"/>
      <w:lvlText w:val="%1.%2.%3."/>
      <w:lvlJc w:val="left"/>
      <w:pPr>
        <w:ind w:left="870" w:hanging="870"/>
      </w:pPr>
      <w:rPr>
        <w:rFonts w:hint="default"/>
        <w:u w:val="single"/>
      </w:rPr>
    </w:lvl>
    <w:lvl w:ilvl="3">
      <w:start w:val="2"/>
      <w:numFmt w:val="decimal"/>
      <w:lvlText w:val="%1.%2.%3.%4."/>
      <w:lvlJc w:val="left"/>
      <w:pPr>
        <w:ind w:left="870" w:hanging="870"/>
      </w:pPr>
      <w:rPr>
        <w:rFonts w:hint="default"/>
        <w:b/>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0" w15:restartNumberingAfterBreak="0">
    <w:nsid w:val="1BD61FE5"/>
    <w:multiLevelType w:val="multilevel"/>
    <w:tmpl w:val="B2C85108"/>
    <w:lvl w:ilvl="0">
      <w:start w:val="14"/>
      <w:numFmt w:val="decimal"/>
      <w:lvlText w:val="%1."/>
      <w:lvlJc w:val="left"/>
      <w:pPr>
        <w:ind w:left="888" w:hanging="888"/>
      </w:pPr>
      <w:rPr>
        <w:rFonts w:hint="default"/>
        <w:b/>
      </w:rPr>
    </w:lvl>
    <w:lvl w:ilvl="1">
      <w:start w:val="10"/>
      <w:numFmt w:val="decimal"/>
      <w:lvlText w:val="%1.%2."/>
      <w:lvlJc w:val="left"/>
      <w:pPr>
        <w:ind w:left="1128" w:hanging="888"/>
      </w:pPr>
      <w:rPr>
        <w:rFonts w:hint="default"/>
        <w:b/>
      </w:rPr>
    </w:lvl>
    <w:lvl w:ilvl="2">
      <w:start w:val="1"/>
      <w:numFmt w:val="decimal"/>
      <w:lvlText w:val="%1.%2.%3."/>
      <w:lvlJc w:val="left"/>
      <w:pPr>
        <w:ind w:left="1368" w:hanging="888"/>
      </w:pPr>
      <w:rPr>
        <w:rFonts w:hint="default"/>
        <w:b/>
      </w:rPr>
    </w:lvl>
    <w:lvl w:ilvl="3">
      <w:start w:val="1"/>
      <w:numFmt w:val="decimal"/>
      <w:lvlText w:val="%1.%2.%3.%4."/>
      <w:lvlJc w:val="left"/>
      <w:pPr>
        <w:ind w:left="1608" w:hanging="888"/>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31" w15:restartNumberingAfterBreak="0">
    <w:nsid w:val="1BE67D04"/>
    <w:multiLevelType w:val="hybridMultilevel"/>
    <w:tmpl w:val="2D5A2F3C"/>
    <w:lvl w:ilvl="0" w:tplc="5590ECC6">
      <w:numFmt w:val="bullet"/>
      <w:lvlText w:val="-"/>
      <w:lvlJc w:val="left"/>
      <w:pPr>
        <w:ind w:left="1572" w:hanging="360"/>
      </w:pPr>
      <w:rPr>
        <w:rFonts w:ascii="Calibri" w:eastAsia="Calibri" w:hAnsi="Calibri" w:cs="Times New Roman" w:hint="default"/>
      </w:rPr>
    </w:lvl>
    <w:lvl w:ilvl="1" w:tplc="2C0A0003" w:tentative="1">
      <w:start w:val="1"/>
      <w:numFmt w:val="bullet"/>
      <w:lvlText w:val="o"/>
      <w:lvlJc w:val="left"/>
      <w:pPr>
        <w:ind w:left="2292" w:hanging="360"/>
      </w:pPr>
      <w:rPr>
        <w:rFonts w:ascii="Courier New" w:hAnsi="Courier New" w:cs="Courier New" w:hint="default"/>
      </w:rPr>
    </w:lvl>
    <w:lvl w:ilvl="2" w:tplc="2C0A0005" w:tentative="1">
      <w:start w:val="1"/>
      <w:numFmt w:val="bullet"/>
      <w:lvlText w:val=""/>
      <w:lvlJc w:val="left"/>
      <w:pPr>
        <w:ind w:left="3012" w:hanging="360"/>
      </w:pPr>
      <w:rPr>
        <w:rFonts w:ascii="Wingdings" w:hAnsi="Wingdings" w:hint="default"/>
      </w:rPr>
    </w:lvl>
    <w:lvl w:ilvl="3" w:tplc="2C0A0001" w:tentative="1">
      <w:start w:val="1"/>
      <w:numFmt w:val="bullet"/>
      <w:lvlText w:val=""/>
      <w:lvlJc w:val="left"/>
      <w:pPr>
        <w:ind w:left="3732" w:hanging="360"/>
      </w:pPr>
      <w:rPr>
        <w:rFonts w:ascii="Symbol" w:hAnsi="Symbol" w:hint="default"/>
      </w:rPr>
    </w:lvl>
    <w:lvl w:ilvl="4" w:tplc="2C0A0003" w:tentative="1">
      <w:start w:val="1"/>
      <w:numFmt w:val="bullet"/>
      <w:lvlText w:val="o"/>
      <w:lvlJc w:val="left"/>
      <w:pPr>
        <w:ind w:left="4452" w:hanging="360"/>
      </w:pPr>
      <w:rPr>
        <w:rFonts w:ascii="Courier New" w:hAnsi="Courier New" w:cs="Courier New" w:hint="default"/>
      </w:rPr>
    </w:lvl>
    <w:lvl w:ilvl="5" w:tplc="2C0A0005" w:tentative="1">
      <w:start w:val="1"/>
      <w:numFmt w:val="bullet"/>
      <w:lvlText w:val=""/>
      <w:lvlJc w:val="left"/>
      <w:pPr>
        <w:ind w:left="5172" w:hanging="360"/>
      </w:pPr>
      <w:rPr>
        <w:rFonts w:ascii="Wingdings" w:hAnsi="Wingdings" w:hint="default"/>
      </w:rPr>
    </w:lvl>
    <w:lvl w:ilvl="6" w:tplc="2C0A0001" w:tentative="1">
      <w:start w:val="1"/>
      <w:numFmt w:val="bullet"/>
      <w:lvlText w:val=""/>
      <w:lvlJc w:val="left"/>
      <w:pPr>
        <w:ind w:left="5892" w:hanging="360"/>
      </w:pPr>
      <w:rPr>
        <w:rFonts w:ascii="Symbol" w:hAnsi="Symbol" w:hint="default"/>
      </w:rPr>
    </w:lvl>
    <w:lvl w:ilvl="7" w:tplc="2C0A0003" w:tentative="1">
      <w:start w:val="1"/>
      <w:numFmt w:val="bullet"/>
      <w:lvlText w:val="o"/>
      <w:lvlJc w:val="left"/>
      <w:pPr>
        <w:ind w:left="6612" w:hanging="360"/>
      </w:pPr>
      <w:rPr>
        <w:rFonts w:ascii="Courier New" w:hAnsi="Courier New" w:cs="Courier New" w:hint="default"/>
      </w:rPr>
    </w:lvl>
    <w:lvl w:ilvl="8" w:tplc="2C0A0005" w:tentative="1">
      <w:start w:val="1"/>
      <w:numFmt w:val="bullet"/>
      <w:lvlText w:val=""/>
      <w:lvlJc w:val="left"/>
      <w:pPr>
        <w:ind w:left="7332" w:hanging="360"/>
      </w:pPr>
      <w:rPr>
        <w:rFonts w:ascii="Wingdings" w:hAnsi="Wingdings" w:hint="default"/>
      </w:rPr>
    </w:lvl>
  </w:abstractNum>
  <w:abstractNum w:abstractNumId="32" w15:restartNumberingAfterBreak="0">
    <w:nsid w:val="1DBF5755"/>
    <w:multiLevelType w:val="hybridMultilevel"/>
    <w:tmpl w:val="BB58B964"/>
    <w:lvl w:ilvl="0" w:tplc="2C0A0017">
      <w:start w:val="1"/>
      <w:numFmt w:val="lowerLetter"/>
      <w:lvlText w:val="%1)"/>
      <w:lvlJc w:val="left"/>
      <w:pPr>
        <w:ind w:left="720" w:hanging="360"/>
      </w:pPr>
      <w:rPr>
        <w:rFonts w:hint="default"/>
      </w:rPr>
    </w:lvl>
    <w:lvl w:ilvl="1" w:tplc="943EA56E">
      <w:start w:val="1"/>
      <w:numFmt w:val="lowerRoman"/>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1E350CB8"/>
    <w:multiLevelType w:val="hybridMultilevel"/>
    <w:tmpl w:val="4CACBE62"/>
    <w:lvl w:ilvl="0" w:tplc="62E2146C">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1E597EFD"/>
    <w:multiLevelType w:val="hybridMultilevel"/>
    <w:tmpl w:val="A72EFB90"/>
    <w:lvl w:ilvl="0" w:tplc="F36ACD3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1EF31016"/>
    <w:multiLevelType w:val="hybridMultilevel"/>
    <w:tmpl w:val="9494750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20D40BA2"/>
    <w:multiLevelType w:val="multilevel"/>
    <w:tmpl w:val="3BC42524"/>
    <w:styleLink w:val="Estiloimportado112"/>
    <w:lvl w:ilvl="0">
      <w:start w:val="7"/>
      <w:numFmt w:val="decimal"/>
      <w:lvlText w:val="%1."/>
      <w:lvlJc w:val="left"/>
      <w:pPr>
        <w:tabs>
          <w:tab w:val="num" w:pos="360"/>
        </w:tabs>
        <w:ind w:left="357" w:hanging="357"/>
      </w:pPr>
      <w:rPr>
        <w:rFonts w:hint="default"/>
        <w:b/>
        <w:u w:val="none"/>
      </w:rPr>
    </w:lvl>
    <w:lvl w:ilvl="1">
      <w:start w:val="1"/>
      <w:numFmt w:val="decimal"/>
      <w:lvlText w:val="%1.%2."/>
      <w:lvlJc w:val="left"/>
      <w:pPr>
        <w:tabs>
          <w:tab w:val="num" w:pos="359"/>
        </w:tabs>
        <w:ind w:left="284" w:firstLine="0"/>
      </w:pPr>
      <w:rPr>
        <w:rFonts w:ascii="Arial" w:hAnsi="Arial" w:hint="default"/>
        <w:b w:val="0"/>
        <w:i w:val="0"/>
        <w:sz w:val="20"/>
        <w:szCs w:val="20"/>
        <w:u w:val="none"/>
      </w:rPr>
    </w:lvl>
    <w:lvl w:ilvl="2">
      <w:start w:val="1"/>
      <w:numFmt w:val="decimal"/>
      <w:lvlText w:val="%1.%2.%3."/>
      <w:lvlJc w:val="left"/>
      <w:pPr>
        <w:tabs>
          <w:tab w:val="num" w:pos="1210"/>
        </w:tabs>
        <w:ind w:left="1207" w:hanging="357"/>
      </w:pPr>
      <w:rPr>
        <w:rFonts w:ascii="Arial" w:hAnsi="Arial" w:hint="default"/>
        <w:b w:val="0"/>
        <w:i w:val="0"/>
        <w:u w:val="none"/>
      </w:rPr>
    </w:lvl>
    <w:lvl w:ilvl="3">
      <w:start w:val="1"/>
      <w:numFmt w:val="decimal"/>
      <w:lvlText w:val="%1.%2.%3.%4."/>
      <w:lvlJc w:val="left"/>
      <w:pPr>
        <w:tabs>
          <w:tab w:val="num" w:pos="1635"/>
        </w:tabs>
        <w:ind w:left="1632" w:hanging="357"/>
      </w:pPr>
      <w:rPr>
        <w:rFonts w:hint="default"/>
        <w:b/>
        <w:u w:val="none"/>
      </w:rPr>
    </w:lvl>
    <w:lvl w:ilvl="4">
      <w:start w:val="1"/>
      <w:numFmt w:val="decimal"/>
      <w:lvlText w:val="%1.%2.%3.%4.%5."/>
      <w:lvlJc w:val="left"/>
      <w:pPr>
        <w:tabs>
          <w:tab w:val="num" w:pos="2060"/>
        </w:tabs>
        <w:ind w:left="2057" w:hanging="357"/>
      </w:pPr>
      <w:rPr>
        <w:rFonts w:hint="default"/>
        <w:b/>
        <w:u w:val="none"/>
      </w:rPr>
    </w:lvl>
    <w:lvl w:ilvl="5">
      <w:start w:val="1"/>
      <w:numFmt w:val="decimal"/>
      <w:lvlText w:val="%1.%2.%3.%4.%5.%6."/>
      <w:lvlJc w:val="left"/>
      <w:pPr>
        <w:tabs>
          <w:tab w:val="num" w:pos="2485"/>
        </w:tabs>
        <w:ind w:left="2482" w:hanging="357"/>
      </w:pPr>
      <w:rPr>
        <w:rFonts w:hint="default"/>
        <w:b/>
        <w:u w:val="none"/>
      </w:rPr>
    </w:lvl>
    <w:lvl w:ilvl="6">
      <w:start w:val="1"/>
      <w:numFmt w:val="decimal"/>
      <w:lvlText w:val="%1.%2.%3.%4.%5.%6.%7."/>
      <w:lvlJc w:val="left"/>
      <w:pPr>
        <w:tabs>
          <w:tab w:val="num" w:pos="2910"/>
        </w:tabs>
        <w:ind w:left="2907" w:hanging="357"/>
      </w:pPr>
      <w:rPr>
        <w:rFonts w:hint="default"/>
        <w:b/>
        <w:u w:val="none"/>
      </w:rPr>
    </w:lvl>
    <w:lvl w:ilvl="7">
      <w:start w:val="1"/>
      <w:numFmt w:val="decimal"/>
      <w:lvlText w:val="%1.%2.%3.%4.%5.%6.%7.%8."/>
      <w:lvlJc w:val="left"/>
      <w:pPr>
        <w:tabs>
          <w:tab w:val="num" w:pos="3335"/>
        </w:tabs>
        <w:ind w:left="3332" w:hanging="357"/>
      </w:pPr>
      <w:rPr>
        <w:rFonts w:hint="default"/>
        <w:b/>
        <w:u w:val="none"/>
      </w:rPr>
    </w:lvl>
    <w:lvl w:ilvl="8">
      <w:start w:val="1"/>
      <w:numFmt w:val="decimal"/>
      <w:lvlText w:val="%1.%2.%3.%4.%5.%6.%7.%8.%9."/>
      <w:lvlJc w:val="left"/>
      <w:pPr>
        <w:tabs>
          <w:tab w:val="num" w:pos="3760"/>
        </w:tabs>
        <w:ind w:left="3757" w:hanging="357"/>
      </w:pPr>
      <w:rPr>
        <w:rFonts w:hint="default"/>
        <w:b/>
        <w:u w:val="none"/>
      </w:rPr>
    </w:lvl>
  </w:abstractNum>
  <w:abstractNum w:abstractNumId="37" w15:restartNumberingAfterBreak="0">
    <w:nsid w:val="210C0460"/>
    <w:multiLevelType w:val="hybridMultilevel"/>
    <w:tmpl w:val="0ED45082"/>
    <w:lvl w:ilvl="0" w:tplc="DA3851EA">
      <w:start w:val="1"/>
      <w:numFmt w:val="lowerRoman"/>
      <w:lvlText w:val="(%1)"/>
      <w:lvlJc w:val="left"/>
      <w:pPr>
        <w:ind w:left="720" w:hanging="360"/>
      </w:pPr>
      <w:rPr>
        <w:rFonts w:ascii="Garamond" w:eastAsiaTheme="minorEastAsia" w:hAnsi="Garamond"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232A471D"/>
    <w:multiLevelType w:val="hybridMultilevel"/>
    <w:tmpl w:val="AED4AF3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9" w15:restartNumberingAfterBreak="0">
    <w:nsid w:val="23EF5246"/>
    <w:multiLevelType w:val="hybridMultilevel"/>
    <w:tmpl w:val="30FA3FE4"/>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25241521"/>
    <w:multiLevelType w:val="hybridMultilevel"/>
    <w:tmpl w:val="EBB2A82C"/>
    <w:lvl w:ilvl="0" w:tplc="E8E086D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252C4E78"/>
    <w:multiLevelType w:val="hybridMultilevel"/>
    <w:tmpl w:val="10DE7ABA"/>
    <w:lvl w:ilvl="0" w:tplc="DA3851EA">
      <w:start w:val="1"/>
      <w:numFmt w:val="lowerRoman"/>
      <w:lvlText w:val="(%1)"/>
      <w:lvlJc w:val="left"/>
      <w:pPr>
        <w:ind w:left="720" w:hanging="360"/>
      </w:pPr>
      <w:rPr>
        <w:rFonts w:ascii="Garamond" w:eastAsiaTheme="minorEastAsia" w:hAnsi="Garamond"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25F56928"/>
    <w:multiLevelType w:val="hybridMultilevel"/>
    <w:tmpl w:val="A066D302"/>
    <w:lvl w:ilvl="0" w:tplc="2C0A0017">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6E267BE"/>
    <w:multiLevelType w:val="hybridMultilevel"/>
    <w:tmpl w:val="A72EFB90"/>
    <w:lvl w:ilvl="0" w:tplc="F36ACD3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271578D8"/>
    <w:multiLevelType w:val="hybridMultilevel"/>
    <w:tmpl w:val="B80073B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28EC2539"/>
    <w:multiLevelType w:val="hybridMultilevel"/>
    <w:tmpl w:val="8CAC3304"/>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297C3DE1"/>
    <w:multiLevelType w:val="hybridMultilevel"/>
    <w:tmpl w:val="FE361A3C"/>
    <w:lvl w:ilvl="0" w:tplc="6ED2D3F6">
      <w:start w:val="2"/>
      <w:numFmt w:val="bullet"/>
      <w:lvlText w:val="-"/>
      <w:lvlJc w:val="left"/>
      <w:pPr>
        <w:ind w:left="720" w:hanging="360"/>
      </w:pPr>
      <w:rPr>
        <w:rFonts w:ascii="Georgia" w:eastAsiaTheme="minorHAnsi" w:hAnsi="Georgia" w:cstheme="minorBidi"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29C22866"/>
    <w:multiLevelType w:val="multilevel"/>
    <w:tmpl w:val="30A6B850"/>
    <w:lvl w:ilvl="0">
      <w:start w:val="15"/>
      <w:numFmt w:val="decimal"/>
      <w:lvlText w:val="%1."/>
      <w:lvlJc w:val="left"/>
      <w:pPr>
        <w:ind w:left="870" w:hanging="870"/>
      </w:pPr>
      <w:rPr>
        <w:rFonts w:hint="default"/>
        <w:b/>
        <w:u w:val="single"/>
      </w:rPr>
    </w:lvl>
    <w:lvl w:ilvl="1">
      <w:start w:val="10"/>
      <w:numFmt w:val="decimal"/>
      <w:lvlText w:val="%1.%2."/>
      <w:lvlJc w:val="left"/>
      <w:pPr>
        <w:ind w:left="1110" w:hanging="870"/>
      </w:pPr>
      <w:rPr>
        <w:rFonts w:hint="default"/>
        <w:b/>
        <w:u w:val="single"/>
      </w:rPr>
    </w:lvl>
    <w:lvl w:ilvl="2">
      <w:start w:val="1"/>
      <w:numFmt w:val="decimal"/>
      <w:lvlText w:val="%1.%2.%3."/>
      <w:lvlJc w:val="left"/>
      <w:pPr>
        <w:ind w:left="1350" w:hanging="870"/>
      </w:pPr>
      <w:rPr>
        <w:rFonts w:hint="default"/>
        <w:b/>
        <w:u w:val="single"/>
      </w:rPr>
    </w:lvl>
    <w:lvl w:ilvl="3">
      <w:start w:val="1"/>
      <w:numFmt w:val="decimal"/>
      <w:lvlText w:val="%1.%2.%3.%4."/>
      <w:lvlJc w:val="left"/>
      <w:pPr>
        <w:ind w:left="1590" w:hanging="870"/>
      </w:pPr>
      <w:rPr>
        <w:rFonts w:hint="default"/>
        <w:b/>
        <w:u w:val="singl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48" w15:restartNumberingAfterBreak="0">
    <w:nsid w:val="2AB63B38"/>
    <w:multiLevelType w:val="hybridMultilevel"/>
    <w:tmpl w:val="15BE8056"/>
    <w:styleLink w:val="Estiloimportado92"/>
    <w:lvl w:ilvl="0" w:tplc="DE305630">
      <w:start w:val="1"/>
      <w:numFmt w:val="lowerLetter"/>
      <w:lvlText w:val="%1."/>
      <w:lvlJc w:val="left"/>
      <w:pPr>
        <w:ind w:left="1834" w:hanging="360"/>
      </w:pPr>
      <w:rPr>
        <w:rFonts w:hAnsi="Arial Unicode MS"/>
        <w:caps w:val="0"/>
        <w:smallCaps w:val="0"/>
        <w:strike w:val="0"/>
        <w:dstrike w:val="0"/>
        <w:color w:val="000000"/>
        <w:spacing w:val="0"/>
        <w:w w:val="100"/>
        <w:kern w:val="0"/>
        <w:position w:val="0"/>
        <w:highlight w:val="none"/>
        <w:vertAlign w:val="baseline"/>
      </w:rPr>
    </w:lvl>
    <w:lvl w:ilvl="1" w:tplc="FC70F47C">
      <w:start w:val="1"/>
      <w:numFmt w:val="lowerLetter"/>
      <w:lvlText w:val="%2."/>
      <w:lvlJc w:val="left"/>
      <w:pPr>
        <w:ind w:left="2554" w:hanging="360"/>
      </w:pPr>
      <w:rPr>
        <w:rFonts w:hAnsi="Arial Unicode MS"/>
        <w:caps w:val="0"/>
        <w:smallCaps w:val="0"/>
        <w:strike w:val="0"/>
        <w:dstrike w:val="0"/>
        <w:color w:val="000000"/>
        <w:spacing w:val="0"/>
        <w:w w:val="100"/>
        <w:kern w:val="0"/>
        <w:position w:val="0"/>
        <w:highlight w:val="none"/>
        <w:vertAlign w:val="baseline"/>
      </w:rPr>
    </w:lvl>
    <w:lvl w:ilvl="2" w:tplc="CE368BF2">
      <w:start w:val="1"/>
      <w:numFmt w:val="lowerRoman"/>
      <w:lvlText w:val="%3."/>
      <w:lvlJc w:val="left"/>
      <w:pPr>
        <w:ind w:left="3274" w:hanging="275"/>
      </w:pPr>
      <w:rPr>
        <w:rFonts w:hAnsi="Arial Unicode MS"/>
        <w:caps w:val="0"/>
        <w:smallCaps w:val="0"/>
        <w:strike w:val="0"/>
        <w:dstrike w:val="0"/>
        <w:color w:val="000000"/>
        <w:spacing w:val="0"/>
        <w:w w:val="100"/>
        <w:kern w:val="0"/>
        <w:position w:val="0"/>
        <w:highlight w:val="none"/>
        <w:vertAlign w:val="baseline"/>
      </w:rPr>
    </w:lvl>
    <w:lvl w:ilvl="3" w:tplc="61268616">
      <w:start w:val="1"/>
      <w:numFmt w:val="decimal"/>
      <w:lvlText w:val="%4."/>
      <w:lvlJc w:val="left"/>
      <w:pPr>
        <w:ind w:left="3994" w:hanging="360"/>
      </w:pPr>
      <w:rPr>
        <w:rFonts w:hAnsi="Arial Unicode MS"/>
        <w:caps w:val="0"/>
        <w:smallCaps w:val="0"/>
        <w:strike w:val="0"/>
        <w:dstrike w:val="0"/>
        <w:color w:val="000000"/>
        <w:spacing w:val="0"/>
        <w:w w:val="100"/>
        <w:kern w:val="0"/>
        <w:position w:val="0"/>
        <w:highlight w:val="none"/>
        <w:vertAlign w:val="baseline"/>
      </w:rPr>
    </w:lvl>
    <w:lvl w:ilvl="4" w:tplc="6A689290">
      <w:start w:val="1"/>
      <w:numFmt w:val="lowerLetter"/>
      <w:lvlText w:val="%5."/>
      <w:lvlJc w:val="left"/>
      <w:pPr>
        <w:ind w:left="4714" w:hanging="360"/>
      </w:pPr>
      <w:rPr>
        <w:rFonts w:hAnsi="Arial Unicode MS"/>
        <w:caps w:val="0"/>
        <w:smallCaps w:val="0"/>
        <w:strike w:val="0"/>
        <w:dstrike w:val="0"/>
        <w:color w:val="000000"/>
        <w:spacing w:val="0"/>
        <w:w w:val="100"/>
        <w:kern w:val="0"/>
        <w:position w:val="0"/>
        <w:highlight w:val="none"/>
        <w:vertAlign w:val="baseline"/>
      </w:rPr>
    </w:lvl>
    <w:lvl w:ilvl="5" w:tplc="29DC36C4">
      <w:start w:val="1"/>
      <w:numFmt w:val="lowerRoman"/>
      <w:lvlText w:val="%6."/>
      <w:lvlJc w:val="left"/>
      <w:pPr>
        <w:ind w:left="5434" w:hanging="275"/>
      </w:pPr>
      <w:rPr>
        <w:rFonts w:hAnsi="Arial Unicode MS"/>
        <w:caps w:val="0"/>
        <w:smallCaps w:val="0"/>
        <w:strike w:val="0"/>
        <w:dstrike w:val="0"/>
        <w:color w:val="000000"/>
        <w:spacing w:val="0"/>
        <w:w w:val="100"/>
        <w:kern w:val="0"/>
        <w:position w:val="0"/>
        <w:highlight w:val="none"/>
        <w:vertAlign w:val="baseline"/>
      </w:rPr>
    </w:lvl>
    <w:lvl w:ilvl="6" w:tplc="446AF6C0">
      <w:start w:val="1"/>
      <w:numFmt w:val="decimal"/>
      <w:lvlText w:val="%7."/>
      <w:lvlJc w:val="left"/>
      <w:pPr>
        <w:ind w:left="6154" w:hanging="360"/>
      </w:pPr>
      <w:rPr>
        <w:rFonts w:hAnsi="Arial Unicode MS"/>
        <w:caps w:val="0"/>
        <w:smallCaps w:val="0"/>
        <w:strike w:val="0"/>
        <w:dstrike w:val="0"/>
        <w:color w:val="000000"/>
        <w:spacing w:val="0"/>
        <w:w w:val="100"/>
        <w:kern w:val="0"/>
        <w:position w:val="0"/>
        <w:highlight w:val="none"/>
        <w:vertAlign w:val="baseline"/>
      </w:rPr>
    </w:lvl>
    <w:lvl w:ilvl="7" w:tplc="AF02703A">
      <w:start w:val="1"/>
      <w:numFmt w:val="lowerLetter"/>
      <w:lvlText w:val="%8."/>
      <w:lvlJc w:val="left"/>
      <w:pPr>
        <w:ind w:left="6874" w:hanging="360"/>
      </w:pPr>
      <w:rPr>
        <w:rFonts w:hAnsi="Arial Unicode MS"/>
        <w:caps w:val="0"/>
        <w:smallCaps w:val="0"/>
        <w:strike w:val="0"/>
        <w:dstrike w:val="0"/>
        <w:color w:val="000000"/>
        <w:spacing w:val="0"/>
        <w:w w:val="100"/>
        <w:kern w:val="0"/>
        <w:position w:val="0"/>
        <w:highlight w:val="none"/>
        <w:vertAlign w:val="baseline"/>
      </w:rPr>
    </w:lvl>
    <w:lvl w:ilvl="8" w:tplc="FF2E4676">
      <w:start w:val="1"/>
      <w:numFmt w:val="lowerRoman"/>
      <w:lvlText w:val="%9."/>
      <w:lvlJc w:val="left"/>
      <w:pPr>
        <w:ind w:left="7594" w:hanging="275"/>
      </w:pPr>
      <w:rPr>
        <w:rFonts w:hAnsi="Arial Unicode MS"/>
        <w:caps w:val="0"/>
        <w:smallCaps w:val="0"/>
        <w:strike w:val="0"/>
        <w:dstrike w:val="0"/>
        <w:color w:val="000000"/>
        <w:spacing w:val="0"/>
        <w:w w:val="100"/>
        <w:kern w:val="0"/>
        <w:position w:val="0"/>
        <w:highlight w:val="none"/>
        <w:vertAlign w:val="baseline"/>
      </w:rPr>
    </w:lvl>
  </w:abstractNum>
  <w:abstractNum w:abstractNumId="49" w15:restartNumberingAfterBreak="0">
    <w:nsid w:val="2AC04080"/>
    <w:multiLevelType w:val="hybridMultilevel"/>
    <w:tmpl w:val="75305502"/>
    <w:styleLink w:val="Estiloimportado142"/>
    <w:lvl w:ilvl="0" w:tplc="97BA4EC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91E0C03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87AAFA84">
      <w:start w:val="1"/>
      <w:numFmt w:val="upperRoman"/>
      <w:lvlText w:val="%3."/>
      <w:lvlJc w:val="left"/>
      <w:pPr>
        <w:ind w:left="2700" w:hanging="720"/>
      </w:pPr>
      <w:rPr>
        <w:rFonts w:hAnsi="Arial Unicode MS"/>
        <w:caps w:val="0"/>
        <w:smallCaps w:val="0"/>
        <w:strike w:val="0"/>
        <w:dstrike w:val="0"/>
        <w:color w:val="000000"/>
        <w:spacing w:val="0"/>
        <w:w w:val="100"/>
        <w:kern w:val="0"/>
        <w:position w:val="0"/>
        <w:highlight w:val="none"/>
        <w:vertAlign w:val="baseline"/>
      </w:rPr>
    </w:lvl>
    <w:lvl w:ilvl="3" w:tplc="2900642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3350CD56">
      <w:start w:val="1"/>
      <w:numFmt w:val="decimal"/>
      <w:lvlText w:val="%5."/>
      <w:lvlJc w:val="left"/>
      <w:pPr>
        <w:ind w:left="3600" w:hanging="317"/>
      </w:pPr>
      <w:rPr>
        <w:rFonts w:hAnsi="Arial Unicode MS"/>
        <w:caps w:val="0"/>
        <w:smallCaps w:val="0"/>
        <w:strike w:val="0"/>
        <w:dstrike w:val="0"/>
        <w:color w:val="000000"/>
        <w:spacing w:val="0"/>
        <w:w w:val="100"/>
        <w:kern w:val="0"/>
        <w:position w:val="0"/>
        <w:highlight w:val="none"/>
        <w:vertAlign w:val="baseline"/>
      </w:rPr>
    </w:lvl>
    <w:lvl w:ilvl="5" w:tplc="D77C69B6">
      <w:start w:val="1"/>
      <w:numFmt w:val="lowerRoman"/>
      <w:lvlText w:val="%6."/>
      <w:lvlJc w:val="left"/>
      <w:pPr>
        <w:ind w:left="4320" w:hanging="275"/>
      </w:pPr>
      <w:rPr>
        <w:rFonts w:hAnsi="Arial Unicode MS"/>
        <w:caps w:val="0"/>
        <w:smallCaps w:val="0"/>
        <w:strike w:val="0"/>
        <w:dstrike w:val="0"/>
        <w:color w:val="000000"/>
        <w:spacing w:val="0"/>
        <w:w w:val="100"/>
        <w:kern w:val="0"/>
        <w:position w:val="0"/>
        <w:highlight w:val="none"/>
        <w:vertAlign w:val="baseline"/>
      </w:rPr>
    </w:lvl>
    <w:lvl w:ilvl="6" w:tplc="C540AE3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0546CCA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96CA377A">
      <w:start w:val="1"/>
      <w:numFmt w:val="lowerRoman"/>
      <w:lvlText w:val="%9."/>
      <w:lvlJc w:val="left"/>
      <w:pPr>
        <w:ind w:left="6480" w:hanging="275"/>
      </w:pPr>
      <w:rPr>
        <w:rFonts w:hAnsi="Arial Unicode MS"/>
        <w:caps w:val="0"/>
        <w:smallCaps w:val="0"/>
        <w:strike w:val="0"/>
        <w:dstrike w:val="0"/>
        <w:color w:val="000000"/>
        <w:spacing w:val="0"/>
        <w:w w:val="100"/>
        <w:kern w:val="0"/>
        <w:position w:val="0"/>
        <w:highlight w:val="none"/>
        <w:vertAlign w:val="baseline"/>
      </w:rPr>
    </w:lvl>
  </w:abstractNum>
  <w:abstractNum w:abstractNumId="50" w15:restartNumberingAfterBreak="0">
    <w:nsid w:val="2B4B1045"/>
    <w:multiLevelType w:val="hybridMultilevel"/>
    <w:tmpl w:val="BACA5816"/>
    <w:styleLink w:val="Estiloimportado202"/>
    <w:lvl w:ilvl="0" w:tplc="DE88ACAC">
      <w:start w:val="1"/>
      <w:numFmt w:val="bullet"/>
      <w:lvlText w:val="•"/>
      <w:lvlJc w:val="left"/>
      <w:pPr>
        <w:tabs>
          <w:tab w:val="left" w:pos="142"/>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912EF12">
      <w:start w:val="1"/>
      <w:numFmt w:val="bullet"/>
      <w:lvlText w:val="o"/>
      <w:lvlJc w:val="left"/>
      <w:pPr>
        <w:tabs>
          <w:tab w:val="left" w:pos="142"/>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B7834EC">
      <w:start w:val="1"/>
      <w:numFmt w:val="bullet"/>
      <w:lvlText w:val="▪"/>
      <w:lvlJc w:val="left"/>
      <w:pPr>
        <w:tabs>
          <w:tab w:val="left" w:pos="142"/>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EB06C1E">
      <w:start w:val="1"/>
      <w:numFmt w:val="bullet"/>
      <w:lvlText w:val="•"/>
      <w:lvlJc w:val="left"/>
      <w:pPr>
        <w:tabs>
          <w:tab w:val="left" w:pos="142"/>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B4ECD5C">
      <w:start w:val="1"/>
      <w:numFmt w:val="bullet"/>
      <w:lvlText w:val="o"/>
      <w:lvlJc w:val="left"/>
      <w:pPr>
        <w:tabs>
          <w:tab w:val="left" w:pos="142"/>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012EC88">
      <w:start w:val="1"/>
      <w:numFmt w:val="bullet"/>
      <w:lvlText w:val="▪"/>
      <w:lvlJc w:val="left"/>
      <w:pPr>
        <w:tabs>
          <w:tab w:val="left" w:pos="142"/>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50377A">
      <w:start w:val="1"/>
      <w:numFmt w:val="bullet"/>
      <w:lvlText w:val="•"/>
      <w:lvlJc w:val="left"/>
      <w:pPr>
        <w:tabs>
          <w:tab w:val="left" w:pos="142"/>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5C9FC6">
      <w:start w:val="1"/>
      <w:numFmt w:val="bullet"/>
      <w:lvlText w:val="o"/>
      <w:lvlJc w:val="left"/>
      <w:pPr>
        <w:tabs>
          <w:tab w:val="left" w:pos="142"/>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80E6340">
      <w:start w:val="1"/>
      <w:numFmt w:val="bullet"/>
      <w:lvlText w:val="▪"/>
      <w:lvlJc w:val="left"/>
      <w:pPr>
        <w:tabs>
          <w:tab w:val="left" w:pos="142"/>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15:restartNumberingAfterBreak="0">
    <w:nsid w:val="2CDB0E99"/>
    <w:multiLevelType w:val="hybridMultilevel"/>
    <w:tmpl w:val="96F0169E"/>
    <w:lvl w:ilvl="0" w:tplc="01E4F566">
      <w:start w:val="1"/>
      <w:numFmt w:val="lowerRoman"/>
      <w:lvlText w:val="(%1)"/>
      <w:lvlJc w:val="left"/>
      <w:pPr>
        <w:ind w:left="720" w:hanging="360"/>
      </w:pPr>
      <w:rPr>
        <w:rFonts w:ascii="Arial" w:eastAsiaTheme="minorEastAsia"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2E8025FA"/>
    <w:multiLevelType w:val="hybridMultilevel"/>
    <w:tmpl w:val="5330EECA"/>
    <w:lvl w:ilvl="0" w:tplc="DA3851EA">
      <w:start w:val="1"/>
      <w:numFmt w:val="lowerRoman"/>
      <w:lvlText w:val="(%1)"/>
      <w:lvlJc w:val="left"/>
      <w:pPr>
        <w:tabs>
          <w:tab w:val="num" w:pos="720"/>
        </w:tabs>
        <w:ind w:left="720" w:hanging="360"/>
      </w:pPr>
      <w:rPr>
        <w:rFonts w:ascii="Garamond" w:eastAsiaTheme="minorEastAsia" w:hAnsi="Garamond" w:cs="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2FCD7F3F"/>
    <w:multiLevelType w:val="hybridMultilevel"/>
    <w:tmpl w:val="D48A67E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4" w15:restartNumberingAfterBreak="0">
    <w:nsid w:val="30E46A41"/>
    <w:multiLevelType w:val="hybridMultilevel"/>
    <w:tmpl w:val="13282D6C"/>
    <w:lvl w:ilvl="0" w:tplc="0BBC807E">
      <w:start w:val="1"/>
      <w:numFmt w:val="lowerRoman"/>
      <w:lvlText w:val="(%1)"/>
      <w:lvlJc w:val="left"/>
      <w:pPr>
        <w:ind w:left="720" w:hanging="360"/>
      </w:pPr>
      <w:rPr>
        <w:rFonts w:ascii="Arial" w:eastAsiaTheme="minorEastAsia"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31C765A0"/>
    <w:multiLevelType w:val="hybridMultilevel"/>
    <w:tmpl w:val="DD6CFC74"/>
    <w:lvl w:ilvl="0" w:tplc="62E2146C">
      <w:start w:val="1"/>
      <w:numFmt w:val="lowerRoman"/>
      <w:lvlText w:val="(%1)"/>
      <w:lvlJc w:val="left"/>
      <w:pPr>
        <w:ind w:left="720" w:hanging="72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6" w15:restartNumberingAfterBreak="0">
    <w:nsid w:val="34D3445F"/>
    <w:multiLevelType w:val="hybridMultilevel"/>
    <w:tmpl w:val="0B74C2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7" w15:restartNumberingAfterBreak="0">
    <w:nsid w:val="368F3B95"/>
    <w:multiLevelType w:val="hybridMultilevel"/>
    <w:tmpl w:val="197023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70205D2"/>
    <w:multiLevelType w:val="hybridMultilevel"/>
    <w:tmpl w:val="DD6CFC74"/>
    <w:lvl w:ilvl="0" w:tplc="62E2146C">
      <w:start w:val="1"/>
      <w:numFmt w:val="lowerRoman"/>
      <w:lvlText w:val="(%1)"/>
      <w:lvlJc w:val="left"/>
      <w:pPr>
        <w:ind w:left="720" w:hanging="72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9" w15:restartNumberingAfterBreak="0">
    <w:nsid w:val="377D04FD"/>
    <w:multiLevelType w:val="hybridMultilevel"/>
    <w:tmpl w:val="FA6E0F78"/>
    <w:styleLink w:val="Estiloimportado42"/>
    <w:lvl w:ilvl="0" w:tplc="CA8254B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E025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8C2A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7A27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06FA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63405E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C8A257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5AA2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836F1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15:restartNumberingAfterBreak="0">
    <w:nsid w:val="37BD1432"/>
    <w:multiLevelType w:val="hybridMultilevel"/>
    <w:tmpl w:val="F81A85AC"/>
    <w:styleLink w:val="Estiloimportado182"/>
    <w:lvl w:ilvl="0" w:tplc="C14AEE1A">
      <w:start w:val="1"/>
      <w:numFmt w:val="bullet"/>
      <w:lvlText w:val="•"/>
      <w:lvlJc w:val="left"/>
      <w:pPr>
        <w:tabs>
          <w:tab w:val="left" w:pos="142"/>
          <w:tab w:val="num" w:pos="709"/>
          <w:tab w:val="left" w:pos="993"/>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E9C6F5FA">
      <w:start w:val="1"/>
      <w:numFmt w:val="bullet"/>
      <w:lvlText w:val="o"/>
      <w:lvlJc w:val="left"/>
      <w:pPr>
        <w:tabs>
          <w:tab w:val="left" w:pos="142"/>
          <w:tab w:val="left" w:pos="709"/>
          <w:tab w:val="left" w:pos="993"/>
          <w:tab w:val="num" w:pos="1440"/>
        </w:tabs>
        <w:ind w:left="145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30824CC0">
      <w:start w:val="1"/>
      <w:numFmt w:val="bullet"/>
      <w:lvlText w:val="▪"/>
      <w:lvlJc w:val="left"/>
      <w:pPr>
        <w:tabs>
          <w:tab w:val="left" w:pos="142"/>
          <w:tab w:val="left" w:pos="709"/>
          <w:tab w:val="left" w:pos="993"/>
          <w:tab w:val="num" w:pos="2160"/>
        </w:tabs>
        <w:ind w:left="217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DAF0E732">
      <w:start w:val="1"/>
      <w:numFmt w:val="bullet"/>
      <w:lvlText w:val="•"/>
      <w:lvlJc w:val="left"/>
      <w:pPr>
        <w:tabs>
          <w:tab w:val="left" w:pos="142"/>
          <w:tab w:val="left" w:pos="709"/>
          <w:tab w:val="left" w:pos="993"/>
          <w:tab w:val="num" w:pos="2880"/>
        </w:tabs>
        <w:ind w:left="289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2A068A8E">
      <w:start w:val="1"/>
      <w:numFmt w:val="bullet"/>
      <w:lvlText w:val="o"/>
      <w:lvlJc w:val="left"/>
      <w:pPr>
        <w:tabs>
          <w:tab w:val="left" w:pos="142"/>
          <w:tab w:val="left" w:pos="709"/>
          <w:tab w:val="left" w:pos="993"/>
          <w:tab w:val="num" w:pos="3600"/>
        </w:tabs>
        <w:ind w:left="361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FCD65E14">
      <w:start w:val="1"/>
      <w:numFmt w:val="bullet"/>
      <w:lvlText w:val="▪"/>
      <w:lvlJc w:val="left"/>
      <w:pPr>
        <w:tabs>
          <w:tab w:val="left" w:pos="142"/>
          <w:tab w:val="left" w:pos="709"/>
          <w:tab w:val="left" w:pos="993"/>
          <w:tab w:val="num" w:pos="4320"/>
        </w:tabs>
        <w:ind w:left="433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88523B90">
      <w:start w:val="1"/>
      <w:numFmt w:val="bullet"/>
      <w:lvlText w:val="•"/>
      <w:lvlJc w:val="left"/>
      <w:pPr>
        <w:tabs>
          <w:tab w:val="left" w:pos="142"/>
          <w:tab w:val="left" w:pos="709"/>
          <w:tab w:val="left" w:pos="993"/>
          <w:tab w:val="num" w:pos="5040"/>
        </w:tabs>
        <w:ind w:left="505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8E12B250">
      <w:start w:val="1"/>
      <w:numFmt w:val="bullet"/>
      <w:lvlText w:val="o"/>
      <w:lvlJc w:val="left"/>
      <w:pPr>
        <w:tabs>
          <w:tab w:val="left" w:pos="142"/>
          <w:tab w:val="left" w:pos="709"/>
          <w:tab w:val="left" w:pos="993"/>
          <w:tab w:val="num" w:pos="5760"/>
        </w:tabs>
        <w:ind w:left="577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2EE0D6F8">
      <w:start w:val="1"/>
      <w:numFmt w:val="bullet"/>
      <w:lvlText w:val="▪"/>
      <w:lvlJc w:val="left"/>
      <w:pPr>
        <w:tabs>
          <w:tab w:val="left" w:pos="142"/>
          <w:tab w:val="left" w:pos="709"/>
          <w:tab w:val="left" w:pos="993"/>
          <w:tab w:val="num" w:pos="6480"/>
        </w:tabs>
        <w:ind w:left="6491" w:hanging="37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387C21F2"/>
    <w:multiLevelType w:val="hybridMultilevel"/>
    <w:tmpl w:val="B7F4A932"/>
    <w:lvl w:ilvl="0" w:tplc="86B09264">
      <w:start w:val="1"/>
      <w:numFmt w:val="lowerRoman"/>
      <w:lvlText w:val="(%1)"/>
      <w:lvlJc w:val="left"/>
      <w:pPr>
        <w:ind w:left="720" w:hanging="360"/>
      </w:pPr>
      <w:rPr>
        <w:rFonts w:ascii="Arial" w:eastAsiaTheme="minorEastAsia"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2" w15:restartNumberingAfterBreak="0">
    <w:nsid w:val="3975065B"/>
    <w:multiLevelType w:val="hybridMultilevel"/>
    <w:tmpl w:val="1B6C4238"/>
    <w:styleLink w:val="Estiloimportado152"/>
    <w:lvl w:ilvl="0" w:tplc="D0F4B92A">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F4E2045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7AE88BF6">
      <w:start w:val="1"/>
      <w:numFmt w:val="lowerRoman"/>
      <w:lvlText w:val="%3."/>
      <w:lvlJc w:val="left"/>
      <w:pPr>
        <w:ind w:left="2160" w:hanging="275"/>
      </w:pPr>
      <w:rPr>
        <w:rFonts w:hAnsi="Arial Unicode MS"/>
        <w:caps w:val="0"/>
        <w:smallCaps w:val="0"/>
        <w:strike w:val="0"/>
        <w:dstrike w:val="0"/>
        <w:color w:val="000000"/>
        <w:spacing w:val="0"/>
        <w:w w:val="100"/>
        <w:kern w:val="0"/>
        <w:position w:val="0"/>
        <w:highlight w:val="none"/>
        <w:vertAlign w:val="baseline"/>
      </w:rPr>
    </w:lvl>
    <w:lvl w:ilvl="3" w:tplc="E19A4BE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9F94919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8DF2F004">
      <w:start w:val="1"/>
      <w:numFmt w:val="lowerRoman"/>
      <w:lvlText w:val="%6."/>
      <w:lvlJc w:val="left"/>
      <w:pPr>
        <w:ind w:left="4320" w:hanging="275"/>
      </w:pPr>
      <w:rPr>
        <w:rFonts w:hAnsi="Arial Unicode MS"/>
        <w:caps w:val="0"/>
        <w:smallCaps w:val="0"/>
        <w:strike w:val="0"/>
        <w:dstrike w:val="0"/>
        <w:color w:val="000000"/>
        <w:spacing w:val="0"/>
        <w:w w:val="100"/>
        <w:kern w:val="0"/>
        <w:position w:val="0"/>
        <w:highlight w:val="none"/>
        <w:vertAlign w:val="baseline"/>
      </w:rPr>
    </w:lvl>
    <w:lvl w:ilvl="6" w:tplc="90A0B25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4EA6C8C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7EAE4322">
      <w:start w:val="1"/>
      <w:numFmt w:val="lowerRoman"/>
      <w:lvlText w:val="%9."/>
      <w:lvlJc w:val="left"/>
      <w:pPr>
        <w:ind w:left="6480" w:hanging="275"/>
      </w:pPr>
      <w:rPr>
        <w:rFonts w:hAnsi="Arial Unicode MS"/>
        <w:caps w:val="0"/>
        <w:smallCaps w:val="0"/>
        <w:strike w:val="0"/>
        <w:dstrike w:val="0"/>
        <w:color w:val="000000"/>
        <w:spacing w:val="0"/>
        <w:w w:val="100"/>
        <w:kern w:val="0"/>
        <w:position w:val="0"/>
        <w:highlight w:val="none"/>
        <w:vertAlign w:val="baseline"/>
      </w:rPr>
    </w:lvl>
  </w:abstractNum>
  <w:abstractNum w:abstractNumId="63" w15:restartNumberingAfterBreak="0">
    <w:nsid w:val="397B5C03"/>
    <w:multiLevelType w:val="hybridMultilevel"/>
    <w:tmpl w:val="6262BD28"/>
    <w:styleLink w:val="Estiloimportado132"/>
    <w:lvl w:ilvl="0" w:tplc="494A32CA">
      <w:start w:val="1"/>
      <w:numFmt w:val="bullet"/>
      <w:lvlText w:val="✓"/>
      <w:lvlJc w:val="left"/>
      <w:pPr>
        <w:ind w:left="77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D31A24A4">
      <w:start w:val="1"/>
      <w:numFmt w:val="bullet"/>
      <w:lvlText w:val="o"/>
      <w:lvlJc w:val="left"/>
      <w:pPr>
        <w:ind w:left="149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FC6F7FE">
      <w:start w:val="1"/>
      <w:numFmt w:val="bullet"/>
      <w:lvlText w:val="▪"/>
      <w:lvlJc w:val="left"/>
      <w:pPr>
        <w:ind w:left="221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0941BEA">
      <w:start w:val="1"/>
      <w:numFmt w:val="bullet"/>
      <w:lvlText w:val="•"/>
      <w:lvlJc w:val="left"/>
      <w:pPr>
        <w:ind w:left="293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253023F8">
      <w:start w:val="1"/>
      <w:numFmt w:val="bullet"/>
      <w:lvlText w:val="o"/>
      <w:lvlJc w:val="left"/>
      <w:pPr>
        <w:ind w:left="365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39649F6">
      <w:start w:val="1"/>
      <w:numFmt w:val="bullet"/>
      <w:lvlText w:val="▪"/>
      <w:lvlJc w:val="left"/>
      <w:pPr>
        <w:ind w:left="437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12137A">
      <w:start w:val="1"/>
      <w:numFmt w:val="bullet"/>
      <w:lvlText w:val="•"/>
      <w:lvlJc w:val="left"/>
      <w:pPr>
        <w:ind w:left="509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36A3242">
      <w:start w:val="1"/>
      <w:numFmt w:val="bullet"/>
      <w:lvlText w:val="o"/>
      <w:lvlJc w:val="left"/>
      <w:pPr>
        <w:ind w:left="581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8AF77C">
      <w:start w:val="1"/>
      <w:numFmt w:val="bullet"/>
      <w:lvlText w:val="▪"/>
      <w:lvlJc w:val="left"/>
      <w:pPr>
        <w:ind w:left="653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15:restartNumberingAfterBreak="0">
    <w:nsid w:val="39D908FF"/>
    <w:multiLevelType w:val="multilevel"/>
    <w:tmpl w:val="A342837E"/>
    <w:lvl w:ilvl="0">
      <w:start w:val="14"/>
      <w:numFmt w:val="decimal"/>
      <w:lvlText w:val="%1."/>
      <w:lvlJc w:val="left"/>
      <w:pPr>
        <w:ind w:left="870" w:hanging="870"/>
      </w:pPr>
      <w:rPr>
        <w:rFonts w:hint="default"/>
        <w:b/>
        <w:u w:val="single"/>
      </w:rPr>
    </w:lvl>
    <w:lvl w:ilvl="1">
      <w:start w:val="10"/>
      <w:numFmt w:val="decimal"/>
      <w:lvlText w:val="%1.%2."/>
      <w:lvlJc w:val="left"/>
      <w:pPr>
        <w:ind w:left="870" w:hanging="870"/>
      </w:pPr>
      <w:rPr>
        <w:rFonts w:hint="default"/>
        <w:b/>
        <w:u w:val="single"/>
      </w:rPr>
    </w:lvl>
    <w:lvl w:ilvl="2">
      <w:start w:val="1"/>
      <w:numFmt w:val="decimal"/>
      <w:lvlText w:val="%1.%2.%3."/>
      <w:lvlJc w:val="left"/>
      <w:pPr>
        <w:ind w:left="870" w:hanging="870"/>
      </w:pPr>
      <w:rPr>
        <w:rFonts w:hint="default"/>
        <w:b/>
        <w:u w:val="single"/>
      </w:rPr>
    </w:lvl>
    <w:lvl w:ilvl="3">
      <w:start w:val="1"/>
      <w:numFmt w:val="decimal"/>
      <w:lvlText w:val="%1.%2.%3.%4."/>
      <w:lvlJc w:val="left"/>
      <w:pPr>
        <w:ind w:left="870" w:hanging="87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65" w15:restartNumberingAfterBreak="0">
    <w:nsid w:val="39F406B4"/>
    <w:multiLevelType w:val="hybridMultilevel"/>
    <w:tmpl w:val="8A7069DA"/>
    <w:styleLink w:val="Estiloimportado19"/>
    <w:lvl w:ilvl="0" w:tplc="55D09E04">
      <w:start w:val="1"/>
      <w:numFmt w:val="bullet"/>
      <w:lvlText w:val="-"/>
      <w:lvlJc w:val="left"/>
      <w:pPr>
        <w:ind w:left="72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1" w:tplc="9F3AE758">
      <w:start w:val="1"/>
      <w:numFmt w:val="bullet"/>
      <w:lvlText w:val="o"/>
      <w:lvlJc w:val="left"/>
      <w:pPr>
        <w:ind w:left="144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2" w:tplc="AB22DA44">
      <w:start w:val="1"/>
      <w:numFmt w:val="bullet"/>
      <w:lvlText w:val="▪"/>
      <w:lvlJc w:val="left"/>
      <w:pPr>
        <w:ind w:left="216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3" w:tplc="038A255A">
      <w:start w:val="1"/>
      <w:numFmt w:val="bullet"/>
      <w:lvlText w:val="•"/>
      <w:lvlJc w:val="left"/>
      <w:pPr>
        <w:ind w:left="288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4" w:tplc="5CCA336E">
      <w:start w:val="1"/>
      <w:numFmt w:val="bullet"/>
      <w:lvlText w:val="o"/>
      <w:lvlJc w:val="left"/>
      <w:pPr>
        <w:ind w:left="360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5" w:tplc="8480C342">
      <w:start w:val="1"/>
      <w:numFmt w:val="bullet"/>
      <w:lvlText w:val="▪"/>
      <w:lvlJc w:val="left"/>
      <w:pPr>
        <w:ind w:left="432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6" w:tplc="3E0019A6">
      <w:start w:val="1"/>
      <w:numFmt w:val="bullet"/>
      <w:lvlText w:val="•"/>
      <w:lvlJc w:val="left"/>
      <w:pPr>
        <w:ind w:left="504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7" w:tplc="33BC2198">
      <w:start w:val="1"/>
      <w:numFmt w:val="bullet"/>
      <w:lvlText w:val="o"/>
      <w:lvlJc w:val="left"/>
      <w:pPr>
        <w:ind w:left="576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lvl w:ilvl="8" w:tplc="424016C8">
      <w:start w:val="1"/>
      <w:numFmt w:val="bullet"/>
      <w:lvlText w:val="▪"/>
      <w:lvlJc w:val="left"/>
      <w:pPr>
        <w:ind w:left="6480" w:hanging="360"/>
      </w:pPr>
      <w:rPr>
        <w:rFonts w:ascii="Book Antiqua" w:eastAsia="Book Antiqua" w:hAnsi="Book Antiqua" w:cs="Book Antiqua"/>
        <w:b w:val="0"/>
        <w:bCs w:val="0"/>
        <w:i w:val="0"/>
        <w:iCs w:val="0"/>
        <w:caps w:val="0"/>
        <w:smallCaps w:val="0"/>
        <w:strike w:val="0"/>
        <w:dstrike w:val="0"/>
        <w:color w:val="000000"/>
        <w:spacing w:val="0"/>
        <w:w w:val="100"/>
        <w:kern w:val="0"/>
        <w:position w:val="0"/>
        <w:highlight w:val="none"/>
        <w:vertAlign w:val="baseline"/>
      </w:rPr>
    </w:lvl>
  </w:abstractNum>
  <w:abstractNum w:abstractNumId="66" w15:restartNumberingAfterBreak="0">
    <w:nsid w:val="3C461CB3"/>
    <w:multiLevelType w:val="multilevel"/>
    <w:tmpl w:val="00000003"/>
    <w:lvl w:ilvl="0">
      <w:start w:val="1"/>
      <w:numFmt w:val="decimal"/>
      <w:lvlText w:val="%1."/>
      <w:lvlJc w:val="left"/>
      <w:pPr>
        <w:tabs>
          <w:tab w:val="num" w:pos="0"/>
        </w:tabs>
        <w:ind w:left="1080" w:hanging="360"/>
      </w:pPr>
      <w:rPr>
        <w:rFonts w:cs="Arial"/>
      </w:rPr>
    </w:lvl>
    <w:lvl w:ilvl="1">
      <w:start w:val="1"/>
      <w:numFmt w:val="lowerLetter"/>
      <w:lvlText w:val="%2."/>
      <w:lvlJc w:val="left"/>
      <w:pPr>
        <w:tabs>
          <w:tab w:val="num" w:pos="0"/>
        </w:tabs>
        <w:ind w:left="180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7" w15:restartNumberingAfterBreak="0">
    <w:nsid w:val="3C48572A"/>
    <w:multiLevelType w:val="hybridMultilevel"/>
    <w:tmpl w:val="7062D0EE"/>
    <w:styleLink w:val="Estiloimportado192"/>
    <w:lvl w:ilvl="0" w:tplc="D400ABAA">
      <w:start w:val="1"/>
      <w:numFmt w:val="bullet"/>
      <w:lvlText w:val="•"/>
      <w:lvlJc w:val="left"/>
      <w:pPr>
        <w:tabs>
          <w:tab w:val="left" w:pos="142"/>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8D2F718">
      <w:start w:val="1"/>
      <w:numFmt w:val="bullet"/>
      <w:lvlText w:val="o"/>
      <w:lvlJc w:val="left"/>
      <w:pPr>
        <w:tabs>
          <w:tab w:val="left" w:pos="142"/>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F4CED26">
      <w:start w:val="1"/>
      <w:numFmt w:val="bullet"/>
      <w:lvlText w:val="▪"/>
      <w:lvlJc w:val="left"/>
      <w:pPr>
        <w:tabs>
          <w:tab w:val="left" w:pos="142"/>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C1C0B06">
      <w:start w:val="1"/>
      <w:numFmt w:val="bullet"/>
      <w:lvlText w:val="•"/>
      <w:lvlJc w:val="left"/>
      <w:pPr>
        <w:tabs>
          <w:tab w:val="left" w:pos="142"/>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A3E9E8E">
      <w:start w:val="1"/>
      <w:numFmt w:val="bullet"/>
      <w:lvlText w:val="o"/>
      <w:lvlJc w:val="left"/>
      <w:pPr>
        <w:tabs>
          <w:tab w:val="left" w:pos="142"/>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B2C9E8A">
      <w:start w:val="1"/>
      <w:numFmt w:val="bullet"/>
      <w:lvlText w:val="▪"/>
      <w:lvlJc w:val="left"/>
      <w:pPr>
        <w:tabs>
          <w:tab w:val="left" w:pos="142"/>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858DBD8">
      <w:start w:val="1"/>
      <w:numFmt w:val="bullet"/>
      <w:lvlText w:val="•"/>
      <w:lvlJc w:val="left"/>
      <w:pPr>
        <w:tabs>
          <w:tab w:val="left" w:pos="142"/>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142C578">
      <w:start w:val="1"/>
      <w:numFmt w:val="bullet"/>
      <w:lvlText w:val="o"/>
      <w:lvlJc w:val="left"/>
      <w:pPr>
        <w:tabs>
          <w:tab w:val="left" w:pos="142"/>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6221706">
      <w:start w:val="1"/>
      <w:numFmt w:val="bullet"/>
      <w:lvlText w:val="▪"/>
      <w:lvlJc w:val="left"/>
      <w:pPr>
        <w:tabs>
          <w:tab w:val="left" w:pos="142"/>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15:restartNumberingAfterBreak="0">
    <w:nsid w:val="3C954EEE"/>
    <w:multiLevelType w:val="hybridMultilevel"/>
    <w:tmpl w:val="8CAC3304"/>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9" w15:restartNumberingAfterBreak="0">
    <w:nsid w:val="3E864EAE"/>
    <w:multiLevelType w:val="hybridMultilevel"/>
    <w:tmpl w:val="BB58B964"/>
    <w:lvl w:ilvl="0" w:tplc="2C0A0017">
      <w:start w:val="1"/>
      <w:numFmt w:val="lowerLetter"/>
      <w:lvlText w:val="%1)"/>
      <w:lvlJc w:val="left"/>
      <w:pPr>
        <w:ind w:left="720" w:hanging="360"/>
      </w:pPr>
      <w:rPr>
        <w:rFonts w:hint="default"/>
      </w:rPr>
    </w:lvl>
    <w:lvl w:ilvl="1" w:tplc="943EA56E">
      <w:start w:val="1"/>
      <w:numFmt w:val="lowerRoman"/>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0" w15:restartNumberingAfterBreak="0">
    <w:nsid w:val="3F137FAA"/>
    <w:multiLevelType w:val="hybridMultilevel"/>
    <w:tmpl w:val="6E5A1448"/>
    <w:lvl w:ilvl="0" w:tplc="74E85474">
      <w:start w:val="180"/>
      <w:numFmt w:val="bullet"/>
      <w:lvlText w:val="-"/>
      <w:lvlJc w:val="left"/>
      <w:pPr>
        <w:ind w:left="720" w:hanging="360"/>
      </w:pPr>
      <w:rPr>
        <w:rFonts w:ascii="Georgia" w:eastAsiaTheme="minorHAnsi" w:hAnsi="Georgia"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1" w15:restartNumberingAfterBreak="0">
    <w:nsid w:val="438A4CE5"/>
    <w:multiLevelType w:val="hybridMultilevel"/>
    <w:tmpl w:val="1EB0A7CE"/>
    <w:lvl w:ilvl="0" w:tplc="392CBB4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2" w15:restartNumberingAfterBreak="0">
    <w:nsid w:val="43E15E36"/>
    <w:multiLevelType w:val="hybridMultilevel"/>
    <w:tmpl w:val="C63A2C40"/>
    <w:lvl w:ilvl="0" w:tplc="E6003FFA">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3" w15:restartNumberingAfterBreak="0">
    <w:nsid w:val="463A5FF3"/>
    <w:multiLevelType w:val="hybridMultilevel"/>
    <w:tmpl w:val="8230F9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4" w15:restartNumberingAfterBreak="0">
    <w:nsid w:val="46660B24"/>
    <w:multiLevelType w:val="hybridMultilevel"/>
    <w:tmpl w:val="ACEEC676"/>
    <w:lvl w:ilvl="0" w:tplc="9FE454AC">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5" w15:restartNumberingAfterBreak="0">
    <w:nsid w:val="46B8363C"/>
    <w:multiLevelType w:val="hybridMultilevel"/>
    <w:tmpl w:val="DD1C12AE"/>
    <w:lvl w:ilvl="0" w:tplc="8286F37C">
      <w:start w:val="1"/>
      <w:numFmt w:val="lowerLetter"/>
      <w:lvlText w:val="(%1)"/>
      <w:lvlJc w:val="left"/>
      <w:pPr>
        <w:ind w:left="360" w:hanging="360"/>
      </w:pPr>
      <w:rPr>
        <w:rFonts w:hint="default"/>
        <w:b/>
        <w:i w:val="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6" w15:restartNumberingAfterBreak="0">
    <w:nsid w:val="491F5BDB"/>
    <w:multiLevelType w:val="hybridMultilevel"/>
    <w:tmpl w:val="DF1EFF6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7" w15:restartNumberingAfterBreak="0">
    <w:nsid w:val="49365D26"/>
    <w:multiLevelType w:val="hybridMultilevel"/>
    <w:tmpl w:val="AC3AE36A"/>
    <w:styleLink w:val="Estiloimportado162"/>
    <w:lvl w:ilvl="0" w:tplc="E460C2BA">
      <w:start w:val="1"/>
      <w:numFmt w:val="bullet"/>
      <w:lvlText w:val="•"/>
      <w:lvlJc w:val="left"/>
      <w:pPr>
        <w:tabs>
          <w:tab w:val="left" w:pos="142"/>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9E804E0">
      <w:start w:val="1"/>
      <w:numFmt w:val="bullet"/>
      <w:lvlText w:val="o"/>
      <w:lvlJc w:val="left"/>
      <w:pPr>
        <w:tabs>
          <w:tab w:val="left" w:pos="142"/>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1B6CB54">
      <w:start w:val="1"/>
      <w:numFmt w:val="bullet"/>
      <w:lvlText w:val="▪"/>
      <w:lvlJc w:val="left"/>
      <w:pPr>
        <w:tabs>
          <w:tab w:val="left" w:pos="142"/>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AA3D28">
      <w:start w:val="1"/>
      <w:numFmt w:val="bullet"/>
      <w:lvlText w:val="✓"/>
      <w:lvlJc w:val="left"/>
      <w:pPr>
        <w:tabs>
          <w:tab w:val="left" w:pos="142"/>
        </w:tabs>
        <w:ind w:left="170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74D0BBEC">
      <w:start w:val="1"/>
      <w:numFmt w:val="bullet"/>
      <w:lvlText w:val="o"/>
      <w:lvlJc w:val="left"/>
      <w:pPr>
        <w:tabs>
          <w:tab w:val="left" w:pos="142"/>
        </w:tabs>
        <w:ind w:left="242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EB6CE60">
      <w:start w:val="1"/>
      <w:numFmt w:val="bullet"/>
      <w:lvlText w:val="▪"/>
      <w:lvlJc w:val="left"/>
      <w:pPr>
        <w:tabs>
          <w:tab w:val="left" w:pos="142"/>
        </w:tabs>
        <w:ind w:left="314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4E02F70">
      <w:start w:val="1"/>
      <w:numFmt w:val="bullet"/>
      <w:lvlText w:val="•"/>
      <w:lvlJc w:val="left"/>
      <w:pPr>
        <w:tabs>
          <w:tab w:val="left" w:pos="142"/>
        </w:tabs>
        <w:ind w:left="386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2B48AD02">
      <w:start w:val="1"/>
      <w:numFmt w:val="bullet"/>
      <w:lvlText w:val="o"/>
      <w:lvlJc w:val="left"/>
      <w:pPr>
        <w:tabs>
          <w:tab w:val="left" w:pos="142"/>
        </w:tabs>
        <w:ind w:left="458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C280298">
      <w:start w:val="1"/>
      <w:numFmt w:val="bullet"/>
      <w:lvlText w:val="▪"/>
      <w:lvlJc w:val="left"/>
      <w:pPr>
        <w:tabs>
          <w:tab w:val="left" w:pos="142"/>
        </w:tabs>
        <w:ind w:left="5301"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8" w15:restartNumberingAfterBreak="0">
    <w:nsid w:val="4C8D09AC"/>
    <w:multiLevelType w:val="hybridMultilevel"/>
    <w:tmpl w:val="3732CFDE"/>
    <w:lvl w:ilvl="0" w:tplc="191466C0">
      <w:start w:val="1"/>
      <w:numFmt w:val="lowerRoman"/>
      <w:lvlText w:val="(%1)"/>
      <w:lvlJc w:val="left"/>
      <w:pPr>
        <w:ind w:left="720" w:hanging="360"/>
      </w:pPr>
      <w:rPr>
        <w:rFonts w:ascii="Arial" w:eastAsiaTheme="minorEastAsia"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9" w15:restartNumberingAfterBreak="0">
    <w:nsid w:val="4D1C5EDF"/>
    <w:multiLevelType w:val="hybridMultilevel"/>
    <w:tmpl w:val="8DDA4CA2"/>
    <w:lvl w:ilvl="0" w:tplc="E8E086D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0" w15:restartNumberingAfterBreak="0">
    <w:nsid w:val="4E265EEC"/>
    <w:multiLevelType w:val="hybridMultilevel"/>
    <w:tmpl w:val="871CD930"/>
    <w:lvl w:ilvl="0" w:tplc="98FC6694">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1" w15:restartNumberingAfterBreak="0">
    <w:nsid w:val="4F6A5CEE"/>
    <w:multiLevelType w:val="hybridMultilevel"/>
    <w:tmpl w:val="9B988694"/>
    <w:lvl w:ilvl="0" w:tplc="2C0A0019">
      <w:start w:val="1"/>
      <w:numFmt w:val="bullet"/>
      <w:lvlText w:val="-"/>
      <w:lvlJc w:val="left"/>
      <w:pPr>
        <w:ind w:left="720" w:hanging="360"/>
      </w:p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2" w15:restartNumberingAfterBreak="0">
    <w:nsid w:val="4FFC4F08"/>
    <w:multiLevelType w:val="hybridMultilevel"/>
    <w:tmpl w:val="D48A67E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15:restartNumberingAfterBreak="0">
    <w:nsid w:val="5028589A"/>
    <w:multiLevelType w:val="hybridMultilevel"/>
    <w:tmpl w:val="6A66442C"/>
    <w:lvl w:ilvl="0" w:tplc="AB6AB1FC">
      <w:start w:val="6"/>
      <w:numFmt w:val="decimal"/>
      <w:lvlText w:val="%1."/>
      <w:lvlJc w:val="left"/>
      <w:pPr>
        <w:ind w:left="644" w:hanging="360"/>
      </w:pPr>
      <w:rPr>
        <w:rFonts w:hint="default"/>
        <w:i w:val="0"/>
        <w:u w:val="none"/>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84" w15:restartNumberingAfterBreak="0">
    <w:nsid w:val="53BA4CED"/>
    <w:multiLevelType w:val="hybridMultilevel"/>
    <w:tmpl w:val="378A0FDC"/>
    <w:lvl w:ilvl="0" w:tplc="BA307282">
      <w:start w:val="1"/>
      <w:numFmt w:val="lowerRoman"/>
      <w:lvlText w:val="(%1)"/>
      <w:lvlJc w:val="left"/>
      <w:pPr>
        <w:ind w:left="720" w:hanging="360"/>
      </w:pPr>
      <w:rPr>
        <w:rFonts w:ascii="Arial" w:eastAsiaTheme="minorEastAsia"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5" w15:restartNumberingAfterBreak="0">
    <w:nsid w:val="57953F3A"/>
    <w:multiLevelType w:val="hybridMultilevel"/>
    <w:tmpl w:val="65A85DD0"/>
    <w:lvl w:ilvl="0" w:tplc="34EEFEC4">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A4601AF"/>
    <w:multiLevelType w:val="hybridMultilevel"/>
    <w:tmpl w:val="8656F220"/>
    <w:styleLink w:val="Estiloimportado52"/>
    <w:lvl w:ilvl="0" w:tplc="51CA3D5C">
      <w:start w:val="1"/>
      <w:numFmt w:val="bullet"/>
      <w:lvlText w:val="•"/>
      <w:lvlJc w:val="left"/>
      <w:pPr>
        <w:ind w:left="64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5F85F40">
      <w:start w:val="1"/>
      <w:numFmt w:val="bullet"/>
      <w:lvlText w:val="o"/>
      <w:lvlJc w:val="left"/>
      <w:pPr>
        <w:ind w:left="136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EA2E36">
      <w:start w:val="1"/>
      <w:numFmt w:val="bullet"/>
      <w:lvlText w:val="▪"/>
      <w:lvlJc w:val="left"/>
      <w:pPr>
        <w:ind w:left="208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4364B52">
      <w:start w:val="1"/>
      <w:numFmt w:val="bullet"/>
      <w:lvlText w:val="•"/>
      <w:lvlJc w:val="left"/>
      <w:pPr>
        <w:ind w:left="280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AE679EE">
      <w:start w:val="1"/>
      <w:numFmt w:val="bullet"/>
      <w:lvlText w:val="o"/>
      <w:lvlJc w:val="left"/>
      <w:pPr>
        <w:ind w:left="352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B78EA50">
      <w:start w:val="1"/>
      <w:numFmt w:val="bullet"/>
      <w:lvlText w:val="▪"/>
      <w:lvlJc w:val="left"/>
      <w:pPr>
        <w:ind w:left="424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77CAFCE">
      <w:start w:val="1"/>
      <w:numFmt w:val="bullet"/>
      <w:lvlText w:val="•"/>
      <w:lvlJc w:val="left"/>
      <w:pPr>
        <w:ind w:left="496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60643A">
      <w:start w:val="1"/>
      <w:numFmt w:val="bullet"/>
      <w:lvlText w:val="o"/>
      <w:lvlJc w:val="left"/>
      <w:pPr>
        <w:ind w:left="568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82CA1A">
      <w:start w:val="1"/>
      <w:numFmt w:val="bullet"/>
      <w:lvlText w:val="▪"/>
      <w:lvlJc w:val="left"/>
      <w:pPr>
        <w:ind w:left="6404"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15:restartNumberingAfterBreak="0">
    <w:nsid w:val="5A5F341C"/>
    <w:multiLevelType w:val="hybridMultilevel"/>
    <w:tmpl w:val="3684C6F8"/>
    <w:lvl w:ilvl="0" w:tplc="2C0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AF7011E"/>
    <w:multiLevelType w:val="hybridMultilevel"/>
    <w:tmpl w:val="44CCD2A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9" w15:restartNumberingAfterBreak="0">
    <w:nsid w:val="5C2118F4"/>
    <w:multiLevelType w:val="hybridMultilevel"/>
    <w:tmpl w:val="B80073B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0" w15:restartNumberingAfterBreak="0">
    <w:nsid w:val="5FD41985"/>
    <w:multiLevelType w:val="hybridMultilevel"/>
    <w:tmpl w:val="8D9C3C9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1" w15:restartNumberingAfterBreak="0">
    <w:nsid w:val="60CF3F28"/>
    <w:multiLevelType w:val="hybridMultilevel"/>
    <w:tmpl w:val="53960978"/>
    <w:styleLink w:val="Estiloimportado2032"/>
    <w:lvl w:ilvl="0" w:tplc="BF443B0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B3423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8E887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02C77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4CAB2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E46CC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85CDAF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08F7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C62F8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2" w15:restartNumberingAfterBreak="0">
    <w:nsid w:val="622F68BF"/>
    <w:multiLevelType w:val="hybridMultilevel"/>
    <w:tmpl w:val="47842628"/>
    <w:styleLink w:val="Estiloimportado122"/>
    <w:lvl w:ilvl="0" w:tplc="47842628">
      <w:start w:val="1"/>
      <w:numFmt w:val="lowerLetter"/>
      <w:lvlText w:val="%1."/>
      <w:lvlJc w:val="left"/>
      <w:pPr>
        <w:ind w:left="1834" w:hanging="360"/>
      </w:pPr>
      <w:rPr>
        <w:rFonts w:hAnsi="Arial Unicode MS"/>
        <w:caps w:val="0"/>
        <w:smallCaps w:val="0"/>
        <w:strike w:val="0"/>
        <w:dstrike w:val="0"/>
        <w:color w:val="000000"/>
        <w:spacing w:val="0"/>
        <w:w w:val="100"/>
        <w:kern w:val="0"/>
        <w:position w:val="0"/>
        <w:highlight w:val="none"/>
        <w:vertAlign w:val="baseline"/>
      </w:rPr>
    </w:lvl>
    <w:lvl w:ilvl="1" w:tplc="321CC0F6">
      <w:start w:val="1"/>
      <w:numFmt w:val="lowerLetter"/>
      <w:lvlText w:val="%2."/>
      <w:lvlJc w:val="left"/>
      <w:pPr>
        <w:ind w:left="2554" w:hanging="360"/>
      </w:pPr>
      <w:rPr>
        <w:rFonts w:hAnsi="Arial Unicode MS"/>
        <w:caps w:val="0"/>
        <w:smallCaps w:val="0"/>
        <w:strike w:val="0"/>
        <w:dstrike w:val="0"/>
        <w:color w:val="000000"/>
        <w:spacing w:val="0"/>
        <w:w w:val="100"/>
        <w:kern w:val="0"/>
        <w:position w:val="0"/>
        <w:highlight w:val="none"/>
        <w:vertAlign w:val="baseline"/>
      </w:rPr>
    </w:lvl>
    <w:lvl w:ilvl="2" w:tplc="251877B6">
      <w:start w:val="1"/>
      <w:numFmt w:val="lowerRoman"/>
      <w:lvlText w:val="%3."/>
      <w:lvlJc w:val="left"/>
      <w:pPr>
        <w:ind w:left="3274" w:hanging="275"/>
      </w:pPr>
      <w:rPr>
        <w:rFonts w:hAnsi="Arial Unicode MS"/>
        <w:caps w:val="0"/>
        <w:smallCaps w:val="0"/>
        <w:strike w:val="0"/>
        <w:dstrike w:val="0"/>
        <w:color w:val="000000"/>
        <w:spacing w:val="0"/>
        <w:w w:val="100"/>
        <w:kern w:val="0"/>
        <w:position w:val="0"/>
        <w:highlight w:val="none"/>
        <w:vertAlign w:val="baseline"/>
      </w:rPr>
    </w:lvl>
    <w:lvl w:ilvl="3" w:tplc="1986A35C">
      <w:start w:val="1"/>
      <w:numFmt w:val="decimal"/>
      <w:lvlText w:val="%4."/>
      <w:lvlJc w:val="left"/>
      <w:pPr>
        <w:ind w:left="3994" w:hanging="360"/>
      </w:pPr>
      <w:rPr>
        <w:rFonts w:hAnsi="Arial Unicode MS"/>
        <w:caps w:val="0"/>
        <w:smallCaps w:val="0"/>
        <w:strike w:val="0"/>
        <w:dstrike w:val="0"/>
        <w:color w:val="000000"/>
        <w:spacing w:val="0"/>
        <w:w w:val="100"/>
        <w:kern w:val="0"/>
        <w:position w:val="0"/>
        <w:highlight w:val="none"/>
        <w:vertAlign w:val="baseline"/>
      </w:rPr>
    </w:lvl>
    <w:lvl w:ilvl="4" w:tplc="717AF8E6">
      <w:start w:val="1"/>
      <w:numFmt w:val="lowerLetter"/>
      <w:lvlText w:val="%5."/>
      <w:lvlJc w:val="left"/>
      <w:pPr>
        <w:ind w:left="4714" w:hanging="360"/>
      </w:pPr>
      <w:rPr>
        <w:rFonts w:hAnsi="Arial Unicode MS"/>
        <w:caps w:val="0"/>
        <w:smallCaps w:val="0"/>
        <w:strike w:val="0"/>
        <w:dstrike w:val="0"/>
        <w:color w:val="000000"/>
        <w:spacing w:val="0"/>
        <w:w w:val="100"/>
        <w:kern w:val="0"/>
        <w:position w:val="0"/>
        <w:highlight w:val="none"/>
        <w:vertAlign w:val="baseline"/>
      </w:rPr>
    </w:lvl>
    <w:lvl w:ilvl="5" w:tplc="322AD582">
      <w:start w:val="1"/>
      <w:numFmt w:val="lowerRoman"/>
      <w:lvlText w:val="%6."/>
      <w:lvlJc w:val="left"/>
      <w:pPr>
        <w:ind w:left="5434" w:hanging="275"/>
      </w:pPr>
      <w:rPr>
        <w:rFonts w:hAnsi="Arial Unicode MS"/>
        <w:caps w:val="0"/>
        <w:smallCaps w:val="0"/>
        <w:strike w:val="0"/>
        <w:dstrike w:val="0"/>
        <w:color w:val="000000"/>
        <w:spacing w:val="0"/>
        <w:w w:val="100"/>
        <w:kern w:val="0"/>
        <w:position w:val="0"/>
        <w:highlight w:val="none"/>
        <w:vertAlign w:val="baseline"/>
      </w:rPr>
    </w:lvl>
    <w:lvl w:ilvl="6" w:tplc="94064F8E">
      <w:start w:val="1"/>
      <w:numFmt w:val="decimal"/>
      <w:lvlText w:val="%7."/>
      <w:lvlJc w:val="left"/>
      <w:pPr>
        <w:ind w:left="6154" w:hanging="360"/>
      </w:pPr>
      <w:rPr>
        <w:rFonts w:hAnsi="Arial Unicode MS"/>
        <w:caps w:val="0"/>
        <w:smallCaps w:val="0"/>
        <w:strike w:val="0"/>
        <w:dstrike w:val="0"/>
        <w:color w:val="000000"/>
        <w:spacing w:val="0"/>
        <w:w w:val="100"/>
        <w:kern w:val="0"/>
        <w:position w:val="0"/>
        <w:highlight w:val="none"/>
        <w:vertAlign w:val="baseline"/>
      </w:rPr>
    </w:lvl>
    <w:lvl w:ilvl="7" w:tplc="7C5C499A">
      <w:start w:val="1"/>
      <w:numFmt w:val="lowerLetter"/>
      <w:lvlText w:val="%8."/>
      <w:lvlJc w:val="left"/>
      <w:pPr>
        <w:ind w:left="6874" w:hanging="360"/>
      </w:pPr>
      <w:rPr>
        <w:rFonts w:hAnsi="Arial Unicode MS"/>
        <w:caps w:val="0"/>
        <w:smallCaps w:val="0"/>
        <w:strike w:val="0"/>
        <w:dstrike w:val="0"/>
        <w:color w:val="000000"/>
        <w:spacing w:val="0"/>
        <w:w w:val="100"/>
        <w:kern w:val="0"/>
        <w:position w:val="0"/>
        <w:highlight w:val="none"/>
        <w:vertAlign w:val="baseline"/>
      </w:rPr>
    </w:lvl>
    <w:lvl w:ilvl="8" w:tplc="237CCB60">
      <w:start w:val="1"/>
      <w:numFmt w:val="lowerRoman"/>
      <w:lvlText w:val="%9."/>
      <w:lvlJc w:val="left"/>
      <w:pPr>
        <w:ind w:left="7594" w:hanging="275"/>
      </w:pPr>
      <w:rPr>
        <w:rFonts w:hAnsi="Arial Unicode MS"/>
        <w:caps w:val="0"/>
        <w:smallCaps w:val="0"/>
        <w:strike w:val="0"/>
        <w:dstrike w:val="0"/>
        <w:color w:val="000000"/>
        <w:spacing w:val="0"/>
        <w:w w:val="100"/>
        <w:kern w:val="0"/>
        <w:position w:val="0"/>
        <w:highlight w:val="none"/>
        <w:vertAlign w:val="baseline"/>
      </w:rPr>
    </w:lvl>
  </w:abstractNum>
  <w:abstractNum w:abstractNumId="93" w15:restartNumberingAfterBreak="0">
    <w:nsid w:val="624C3789"/>
    <w:multiLevelType w:val="hybridMultilevel"/>
    <w:tmpl w:val="C0E6DB5A"/>
    <w:lvl w:ilvl="0" w:tplc="B09E341E">
      <w:start w:val="1"/>
      <w:numFmt w:val="lowerRoman"/>
      <w:lvlText w:val="(%1)"/>
      <w:lvlJc w:val="left"/>
      <w:pPr>
        <w:ind w:left="720" w:hanging="360"/>
      </w:pPr>
      <w:rPr>
        <w:rFonts w:ascii="Arial" w:eastAsiaTheme="minorEastAsia"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4" w15:restartNumberingAfterBreak="0">
    <w:nsid w:val="651B0734"/>
    <w:multiLevelType w:val="hybridMultilevel"/>
    <w:tmpl w:val="197023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6F05D79"/>
    <w:multiLevelType w:val="hybridMultilevel"/>
    <w:tmpl w:val="B16AA43E"/>
    <w:lvl w:ilvl="0" w:tplc="4622D4F8">
      <w:start w:val="1"/>
      <w:numFmt w:val="lowerRoman"/>
      <w:lvlText w:val="(%1)"/>
      <w:lvlJc w:val="left"/>
      <w:pPr>
        <w:ind w:left="720" w:hanging="360"/>
      </w:pPr>
      <w:rPr>
        <w:rFonts w:ascii="Arial" w:eastAsiaTheme="minorEastAsia"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6" w15:restartNumberingAfterBreak="0">
    <w:nsid w:val="675A42CE"/>
    <w:multiLevelType w:val="hybridMultilevel"/>
    <w:tmpl w:val="8ED27E9A"/>
    <w:lvl w:ilvl="0" w:tplc="FFFFFFFF">
      <w:start w:val="7"/>
      <w:numFmt w:val="bullet"/>
      <w:pStyle w:val="PrimerNivel"/>
      <w:lvlText w:val="-"/>
      <w:lvlJc w:val="left"/>
      <w:pPr>
        <w:ind w:left="2520" w:hanging="360"/>
      </w:pPr>
      <w:rPr>
        <w:rFonts w:ascii="Calibri" w:eastAsia="Calibri" w:hAnsi="Calibri" w:cs="Calibri"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97" w15:restartNumberingAfterBreak="0">
    <w:nsid w:val="68A83E9C"/>
    <w:multiLevelType w:val="hybridMultilevel"/>
    <w:tmpl w:val="86A84BC2"/>
    <w:lvl w:ilvl="0" w:tplc="30E645D2">
      <w:start w:val="1"/>
      <w:numFmt w:val="lowerLetter"/>
      <w:lvlText w:val="%1)"/>
      <w:lvlJc w:val="left"/>
      <w:pPr>
        <w:ind w:left="993" w:hanging="360"/>
      </w:pPr>
      <w:rPr>
        <w:rFonts w:ascii="Arial" w:eastAsia="Times New Roman" w:hAnsi="Arial" w:cs="Arial" w:hint="default"/>
      </w:rPr>
    </w:lvl>
    <w:lvl w:ilvl="1" w:tplc="2C0A0019">
      <w:start w:val="1"/>
      <w:numFmt w:val="lowerLetter"/>
      <w:lvlText w:val="%2."/>
      <w:lvlJc w:val="left"/>
      <w:pPr>
        <w:ind w:left="1713" w:hanging="360"/>
      </w:pPr>
      <w:rPr>
        <w:rFonts w:ascii="Times New Roman" w:hAnsi="Times New Roman" w:cs="Times New Roman"/>
      </w:rPr>
    </w:lvl>
    <w:lvl w:ilvl="2" w:tplc="2C0A001B">
      <w:start w:val="1"/>
      <w:numFmt w:val="lowerRoman"/>
      <w:lvlText w:val="%3."/>
      <w:lvlJc w:val="right"/>
      <w:pPr>
        <w:ind w:left="2433" w:hanging="180"/>
      </w:pPr>
      <w:rPr>
        <w:rFonts w:ascii="Times New Roman" w:hAnsi="Times New Roman" w:cs="Times New Roman"/>
      </w:rPr>
    </w:lvl>
    <w:lvl w:ilvl="3" w:tplc="C972D7B2">
      <w:start w:val="1"/>
      <w:numFmt w:val="decimal"/>
      <w:lvlText w:val="%4."/>
      <w:lvlJc w:val="left"/>
      <w:pPr>
        <w:ind w:left="3153" w:hanging="360"/>
      </w:pPr>
      <w:rPr>
        <w:rFonts w:ascii="Arial" w:hAnsi="Arial" w:cs="Arial" w:hint="default"/>
        <w:sz w:val="20"/>
        <w:szCs w:val="20"/>
      </w:rPr>
    </w:lvl>
    <w:lvl w:ilvl="4" w:tplc="2C0A0019">
      <w:start w:val="1"/>
      <w:numFmt w:val="lowerLetter"/>
      <w:lvlText w:val="%5."/>
      <w:lvlJc w:val="left"/>
      <w:pPr>
        <w:ind w:left="3873" w:hanging="360"/>
      </w:pPr>
      <w:rPr>
        <w:rFonts w:ascii="Times New Roman" w:hAnsi="Times New Roman" w:cs="Times New Roman"/>
      </w:rPr>
    </w:lvl>
    <w:lvl w:ilvl="5" w:tplc="2C0A001B">
      <w:start w:val="1"/>
      <w:numFmt w:val="lowerRoman"/>
      <w:lvlText w:val="%6."/>
      <w:lvlJc w:val="right"/>
      <w:pPr>
        <w:ind w:left="4593" w:hanging="180"/>
      </w:pPr>
      <w:rPr>
        <w:rFonts w:ascii="Times New Roman" w:hAnsi="Times New Roman" w:cs="Times New Roman"/>
      </w:rPr>
    </w:lvl>
    <w:lvl w:ilvl="6" w:tplc="2C0A000F">
      <w:start w:val="1"/>
      <w:numFmt w:val="decimal"/>
      <w:lvlText w:val="%7."/>
      <w:lvlJc w:val="left"/>
      <w:pPr>
        <w:ind w:left="5313" w:hanging="360"/>
      </w:pPr>
      <w:rPr>
        <w:rFonts w:ascii="Times New Roman" w:hAnsi="Times New Roman" w:cs="Times New Roman"/>
      </w:rPr>
    </w:lvl>
    <w:lvl w:ilvl="7" w:tplc="2C0A0019">
      <w:start w:val="1"/>
      <w:numFmt w:val="lowerLetter"/>
      <w:lvlText w:val="%8."/>
      <w:lvlJc w:val="left"/>
      <w:pPr>
        <w:ind w:left="6033" w:hanging="360"/>
      </w:pPr>
      <w:rPr>
        <w:rFonts w:ascii="Times New Roman" w:hAnsi="Times New Roman" w:cs="Times New Roman"/>
      </w:rPr>
    </w:lvl>
    <w:lvl w:ilvl="8" w:tplc="2C0A001B">
      <w:start w:val="1"/>
      <w:numFmt w:val="lowerRoman"/>
      <w:lvlText w:val="%9."/>
      <w:lvlJc w:val="right"/>
      <w:pPr>
        <w:ind w:left="6753" w:hanging="180"/>
      </w:pPr>
      <w:rPr>
        <w:rFonts w:ascii="Times New Roman" w:hAnsi="Times New Roman" w:cs="Times New Roman"/>
      </w:rPr>
    </w:lvl>
  </w:abstractNum>
  <w:abstractNum w:abstractNumId="98" w15:restartNumberingAfterBreak="0">
    <w:nsid w:val="68EE3026"/>
    <w:multiLevelType w:val="hybridMultilevel"/>
    <w:tmpl w:val="B7107386"/>
    <w:styleLink w:val="Estiloimportado72"/>
    <w:lvl w:ilvl="0" w:tplc="4E4290FA">
      <w:start w:val="1"/>
      <w:numFmt w:val="lowerLetter"/>
      <w:lvlText w:val="%1."/>
      <w:lvlJc w:val="left"/>
      <w:pPr>
        <w:ind w:left="1418" w:hanging="284"/>
      </w:pPr>
      <w:rPr>
        <w:rFonts w:hAnsi="Arial Unicode MS"/>
        <w:caps w:val="0"/>
        <w:smallCaps w:val="0"/>
        <w:strike w:val="0"/>
        <w:dstrike w:val="0"/>
        <w:color w:val="000000"/>
        <w:spacing w:val="0"/>
        <w:w w:val="100"/>
        <w:kern w:val="0"/>
        <w:position w:val="0"/>
        <w:highlight w:val="none"/>
        <w:vertAlign w:val="baseline"/>
      </w:rPr>
    </w:lvl>
    <w:lvl w:ilvl="1" w:tplc="587057AA">
      <w:start w:val="1"/>
      <w:numFmt w:val="lowerLetter"/>
      <w:lvlText w:val="%2."/>
      <w:lvlJc w:val="left"/>
      <w:pPr>
        <w:ind w:left="286" w:hanging="284"/>
      </w:pPr>
      <w:rPr>
        <w:rFonts w:hAnsi="Arial Unicode MS"/>
        <w:caps w:val="0"/>
        <w:smallCaps w:val="0"/>
        <w:strike w:val="0"/>
        <w:dstrike w:val="0"/>
        <w:color w:val="000000"/>
        <w:spacing w:val="0"/>
        <w:w w:val="100"/>
        <w:kern w:val="0"/>
        <w:position w:val="0"/>
        <w:highlight w:val="none"/>
        <w:vertAlign w:val="baseline"/>
      </w:rPr>
    </w:lvl>
    <w:lvl w:ilvl="2" w:tplc="A11E7B4C">
      <w:start w:val="1"/>
      <w:numFmt w:val="lowerRoman"/>
      <w:lvlText w:val="%3."/>
      <w:lvlJc w:val="left"/>
      <w:pPr>
        <w:ind w:left="1006" w:hanging="199"/>
      </w:pPr>
      <w:rPr>
        <w:rFonts w:hAnsi="Arial Unicode MS"/>
        <w:caps w:val="0"/>
        <w:smallCaps w:val="0"/>
        <w:strike w:val="0"/>
        <w:dstrike w:val="0"/>
        <w:color w:val="000000"/>
        <w:spacing w:val="0"/>
        <w:w w:val="100"/>
        <w:kern w:val="0"/>
        <w:position w:val="0"/>
        <w:highlight w:val="none"/>
        <w:vertAlign w:val="baseline"/>
      </w:rPr>
    </w:lvl>
    <w:lvl w:ilvl="3" w:tplc="9566EAEC">
      <w:start w:val="1"/>
      <w:numFmt w:val="decimal"/>
      <w:lvlText w:val="%4."/>
      <w:lvlJc w:val="left"/>
      <w:pPr>
        <w:ind w:left="1726" w:hanging="284"/>
      </w:pPr>
      <w:rPr>
        <w:rFonts w:hAnsi="Arial Unicode MS"/>
        <w:caps w:val="0"/>
        <w:smallCaps w:val="0"/>
        <w:strike w:val="0"/>
        <w:dstrike w:val="0"/>
        <w:color w:val="000000"/>
        <w:spacing w:val="0"/>
        <w:w w:val="100"/>
        <w:kern w:val="0"/>
        <w:position w:val="0"/>
        <w:highlight w:val="none"/>
        <w:vertAlign w:val="baseline"/>
      </w:rPr>
    </w:lvl>
    <w:lvl w:ilvl="4" w:tplc="E738DC46">
      <w:start w:val="1"/>
      <w:numFmt w:val="lowerLetter"/>
      <w:lvlText w:val="%5."/>
      <w:lvlJc w:val="left"/>
      <w:pPr>
        <w:ind w:left="2446" w:hanging="284"/>
      </w:pPr>
      <w:rPr>
        <w:rFonts w:hAnsi="Arial Unicode MS"/>
        <w:caps w:val="0"/>
        <w:smallCaps w:val="0"/>
        <w:strike w:val="0"/>
        <w:dstrike w:val="0"/>
        <w:color w:val="000000"/>
        <w:spacing w:val="0"/>
        <w:w w:val="100"/>
        <w:kern w:val="0"/>
        <w:position w:val="0"/>
        <w:highlight w:val="none"/>
        <w:vertAlign w:val="baseline"/>
      </w:rPr>
    </w:lvl>
    <w:lvl w:ilvl="5" w:tplc="FCDC3110">
      <w:start w:val="1"/>
      <w:numFmt w:val="lowerRoman"/>
      <w:lvlText w:val="%6."/>
      <w:lvlJc w:val="left"/>
      <w:pPr>
        <w:ind w:left="3166" w:hanging="199"/>
      </w:pPr>
      <w:rPr>
        <w:rFonts w:hAnsi="Arial Unicode MS"/>
        <w:caps w:val="0"/>
        <w:smallCaps w:val="0"/>
        <w:strike w:val="0"/>
        <w:dstrike w:val="0"/>
        <w:color w:val="000000"/>
        <w:spacing w:val="0"/>
        <w:w w:val="100"/>
        <w:kern w:val="0"/>
        <w:position w:val="0"/>
        <w:highlight w:val="none"/>
        <w:vertAlign w:val="baseline"/>
      </w:rPr>
    </w:lvl>
    <w:lvl w:ilvl="6" w:tplc="8B1295FC">
      <w:start w:val="1"/>
      <w:numFmt w:val="decimal"/>
      <w:lvlText w:val="%7."/>
      <w:lvlJc w:val="left"/>
      <w:pPr>
        <w:ind w:left="3886" w:hanging="284"/>
      </w:pPr>
      <w:rPr>
        <w:rFonts w:hAnsi="Arial Unicode MS"/>
        <w:caps w:val="0"/>
        <w:smallCaps w:val="0"/>
        <w:strike w:val="0"/>
        <w:dstrike w:val="0"/>
        <w:color w:val="000000"/>
        <w:spacing w:val="0"/>
        <w:w w:val="100"/>
        <w:kern w:val="0"/>
        <w:position w:val="0"/>
        <w:highlight w:val="none"/>
        <w:vertAlign w:val="baseline"/>
      </w:rPr>
    </w:lvl>
    <w:lvl w:ilvl="7" w:tplc="55A03BF2">
      <w:start w:val="1"/>
      <w:numFmt w:val="lowerLetter"/>
      <w:lvlText w:val="%8."/>
      <w:lvlJc w:val="left"/>
      <w:pPr>
        <w:ind w:left="4606" w:hanging="284"/>
      </w:pPr>
      <w:rPr>
        <w:rFonts w:hAnsi="Arial Unicode MS"/>
        <w:caps w:val="0"/>
        <w:smallCaps w:val="0"/>
        <w:strike w:val="0"/>
        <w:dstrike w:val="0"/>
        <w:color w:val="000000"/>
        <w:spacing w:val="0"/>
        <w:w w:val="100"/>
        <w:kern w:val="0"/>
        <w:position w:val="0"/>
        <w:highlight w:val="none"/>
        <w:vertAlign w:val="baseline"/>
      </w:rPr>
    </w:lvl>
    <w:lvl w:ilvl="8" w:tplc="3E6ACAAA">
      <w:start w:val="1"/>
      <w:numFmt w:val="lowerRoman"/>
      <w:lvlText w:val="%9."/>
      <w:lvlJc w:val="left"/>
      <w:pPr>
        <w:ind w:left="5326" w:hanging="199"/>
      </w:pPr>
      <w:rPr>
        <w:rFonts w:hAnsi="Arial Unicode MS"/>
        <w:caps w:val="0"/>
        <w:smallCaps w:val="0"/>
        <w:strike w:val="0"/>
        <w:dstrike w:val="0"/>
        <w:color w:val="000000"/>
        <w:spacing w:val="0"/>
        <w:w w:val="100"/>
        <w:kern w:val="0"/>
        <w:position w:val="0"/>
        <w:highlight w:val="none"/>
        <w:vertAlign w:val="baseline"/>
      </w:rPr>
    </w:lvl>
  </w:abstractNum>
  <w:abstractNum w:abstractNumId="99" w15:restartNumberingAfterBreak="0">
    <w:nsid w:val="694413EB"/>
    <w:multiLevelType w:val="hybridMultilevel"/>
    <w:tmpl w:val="1EB0A7CE"/>
    <w:lvl w:ilvl="0" w:tplc="392CBB4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0" w15:restartNumberingAfterBreak="0">
    <w:nsid w:val="69791BB2"/>
    <w:multiLevelType w:val="hybridMultilevel"/>
    <w:tmpl w:val="5552BE38"/>
    <w:styleLink w:val="Estiloimportado113"/>
    <w:lvl w:ilvl="0" w:tplc="FCFAAF26">
      <w:start w:val="1"/>
      <w:numFmt w:val="lowerLetter"/>
      <w:lvlText w:val="%1."/>
      <w:lvlJc w:val="left"/>
      <w:pPr>
        <w:ind w:left="1854" w:hanging="360"/>
      </w:pPr>
      <w:rPr>
        <w:rFonts w:hAnsi="Arial Unicode MS"/>
        <w:caps w:val="0"/>
        <w:smallCaps w:val="0"/>
        <w:strike w:val="0"/>
        <w:dstrike w:val="0"/>
        <w:color w:val="000000"/>
        <w:spacing w:val="0"/>
        <w:w w:val="100"/>
        <w:kern w:val="0"/>
        <w:position w:val="0"/>
        <w:highlight w:val="none"/>
        <w:vertAlign w:val="baseline"/>
      </w:rPr>
    </w:lvl>
    <w:lvl w:ilvl="1" w:tplc="F8B037DA">
      <w:start w:val="1"/>
      <w:numFmt w:val="lowerLetter"/>
      <w:lvlText w:val="%2."/>
      <w:lvlJc w:val="left"/>
      <w:pPr>
        <w:ind w:left="2574" w:hanging="360"/>
      </w:pPr>
      <w:rPr>
        <w:rFonts w:hAnsi="Arial Unicode MS"/>
        <w:caps w:val="0"/>
        <w:smallCaps w:val="0"/>
        <w:strike w:val="0"/>
        <w:dstrike w:val="0"/>
        <w:color w:val="000000"/>
        <w:spacing w:val="0"/>
        <w:w w:val="100"/>
        <w:kern w:val="0"/>
        <w:position w:val="0"/>
        <w:highlight w:val="none"/>
        <w:vertAlign w:val="baseline"/>
      </w:rPr>
    </w:lvl>
    <w:lvl w:ilvl="2" w:tplc="2818A1B0">
      <w:start w:val="1"/>
      <w:numFmt w:val="lowerRoman"/>
      <w:lvlText w:val="%3."/>
      <w:lvlJc w:val="left"/>
      <w:pPr>
        <w:ind w:left="3294" w:hanging="275"/>
      </w:pPr>
      <w:rPr>
        <w:rFonts w:hAnsi="Arial Unicode MS"/>
        <w:caps w:val="0"/>
        <w:smallCaps w:val="0"/>
        <w:strike w:val="0"/>
        <w:dstrike w:val="0"/>
        <w:color w:val="000000"/>
        <w:spacing w:val="0"/>
        <w:w w:val="100"/>
        <w:kern w:val="0"/>
        <w:position w:val="0"/>
        <w:highlight w:val="none"/>
        <w:vertAlign w:val="baseline"/>
      </w:rPr>
    </w:lvl>
    <w:lvl w:ilvl="3" w:tplc="521A3A66">
      <w:start w:val="1"/>
      <w:numFmt w:val="decimal"/>
      <w:lvlText w:val="%4."/>
      <w:lvlJc w:val="left"/>
      <w:pPr>
        <w:ind w:left="4014" w:hanging="360"/>
      </w:pPr>
      <w:rPr>
        <w:rFonts w:hAnsi="Arial Unicode MS"/>
        <w:caps w:val="0"/>
        <w:smallCaps w:val="0"/>
        <w:strike w:val="0"/>
        <w:dstrike w:val="0"/>
        <w:color w:val="000000"/>
        <w:spacing w:val="0"/>
        <w:w w:val="100"/>
        <w:kern w:val="0"/>
        <w:position w:val="0"/>
        <w:highlight w:val="none"/>
        <w:vertAlign w:val="baseline"/>
      </w:rPr>
    </w:lvl>
    <w:lvl w:ilvl="4" w:tplc="C8609DD6">
      <w:start w:val="1"/>
      <w:numFmt w:val="lowerLetter"/>
      <w:lvlText w:val="%5."/>
      <w:lvlJc w:val="left"/>
      <w:pPr>
        <w:ind w:left="4734" w:hanging="360"/>
      </w:pPr>
      <w:rPr>
        <w:rFonts w:hAnsi="Arial Unicode MS"/>
        <w:caps w:val="0"/>
        <w:smallCaps w:val="0"/>
        <w:strike w:val="0"/>
        <w:dstrike w:val="0"/>
        <w:color w:val="000000"/>
        <w:spacing w:val="0"/>
        <w:w w:val="100"/>
        <w:kern w:val="0"/>
        <w:position w:val="0"/>
        <w:highlight w:val="none"/>
        <w:vertAlign w:val="baseline"/>
      </w:rPr>
    </w:lvl>
    <w:lvl w:ilvl="5" w:tplc="AC0E1856">
      <w:start w:val="1"/>
      <w:numFmt w:val="lowerRoman"/>
      <w:lvlText w:val="%6."/>
      <w:lvlJc w:val="left"/>
      <w:pPr>
        <w:ind w:left="5454" w:hanging="275"/>
      </w:pPr>
      <w:rPr>
        <w:rFonts w:hAnsi="Arial Unicode MS"/>
        <w:caps w:val="0"/>
        <w:smallCaps w:val="0"/>
        <w:strike w:val="0"/>
        <w:dstrike w:val="0"/>
        <w:color w:val="000000"/>
        <w:spacing w:val="0"/>
        <w:w w:val="100"/>
        <w:kern w:val="0"/>
        <w:position w:val="0"/>
        <w:highlight w:val="none"/>
        <w:vertAlign w:val="baseline"/>
      </w:rPr>
    </w:lvl>
    <w:lvl w:ilvl="6" w:tplc="01D48D4E">
      <w:start w:val="1"/>
      <w:numFmt w:val="decimal"/>
      <w:lvlText w:val="%7."/>
      <w:lvlJc w:val="left"/>
      <w:pPr>
        <w:ind w:left="6174" w:hanging="360"/>
      </w:pPr>
      <w:rPr>
        <w:rFonts w:hAnsi="Arial Unicode MS"/>
        <w:caps w:val="0"/>
        <w:smallCaps w:val="0"/>
        <w:strike w:val="0"/>
        <w:dstrike w:val="0"/>
        <w:color w:val="000000"/>
        <w:spacing w:val="0"/>
        <w:w w:val="100"/>
        <w:kern w:val="0"/>
        <w:position w:val="0"/>
        <w:highlight w:val="none"/>
        <w:vertAlign w:val="baseline"/>
      </w:rPr>
    </w:lvl>
    <w:lvl w:ilvl="7" w:tplc="8A0678E4">
      <w:start w:val="1"/>
      <w:numFmt w:val="lowerLetter"/>
      <w:lvlText w:val="%8."/>
      <w:lvlJc w:val="left"/>
      <w:pPr>
        <w:ind w:left="6894" w:hanging="360"/>
      </w:pPr>
      <w:rPr>
        <w:rFonts w:hAnsi="Arial Unicode MS"/>
        <w:caps w:val="0"/>
        <w:smallCaps w:val="0"/>
        <w:strike w:val="0"/>
        <w:dstrike w:val="0"/>
        <w:color w:val="000000"/>
        <w:spacing w:val="0"/>
        <w:w w:val="100"/>
        <w:kern w:val="0"/>
        <w:position w:val="0"/>
        <w:highlight w:val="none"/>
        <w:vertAlign w:val="baseline"/>
      </w:rPr>
    </w:lvl>
    <w:lvl w:ilvl="8" w:tplc="38FEC51A">
      <w:start w:val="1"/>
      <w:numFmt w:val="lowerRoman"/>
      <w:lvlText w:val="%9."/>
      <w:lvlJc w:val="left"/>
      <w:pPr>
        <w:ind w:left="7614" w:hanging="275"/>
      </w:pPr>
      <w:rPr>
        <w:rFonts w:hAnsi="Arial Unicode MS"/>
        <w:caps w:val="0"/>
        <w:smallCaps w:val="0"/>
        <w:strike w:val="0"/>
        <w:dstrike w:val="0"/>
        <w:color w:val="000000"/>
        <w:spacing w:val="0"/>
        <w:w w:val="100"/>
        <w:kern w:val="0"/>
        <w:position w:val="0"/>
        <w:highlight w:val="none"/>
        <w:vertAlign w:val="baseline"/>
      </w:rPr>
    </w:lvl>
  </w:abstractNum>
  <w:abstractNum w:abstractNumId="101" w15:restartNumberingAfterBreak="0">
    <w:nsid w:val="69AC4789"/>
    <w:multiLevelType w:val="multilevel"/>
    <w:tmpl w:val="1708FAD6"/>
    <w:lvl w:ilvl="0">
      <w:numFmt w:val="bullet"/>
      <w:lvlText w:val="•"/>
      <w:lvlJc w:val="left"/>
      <w:pPr>
        <w:tabs>
          <w:tab w:val="num" w:pos="1068"/>
        </w:tabs>
        <w:ind w:left="1428" w:hanging="360"/>
      </w:pPr>
      <w:rPr>
        <w:rFonts w:ascii="Calibri" w:eastAsia="Times New Roman" w:hAnsi="Calibri" w:cs="Arial" w:hint="default"/>
      </w:rPr>
    </w:lvl>
    <w:lvl w:ilvl="1">
      <w:start w:val="1"/>
      <w:numFmt w:val="decimal"/>
      <w:lvlText w:val="%1.%2."/>
      <w:lvlJc w:val="left"/>
      <w:pPr>
        <w:tabs>
          <w:tab w:val="num" w:pos="1068"/>
        </w:tabs>
        <w:ind w:left="1860" w:hanging="432"/>
      </w:pPr>
    </w:lvl>
    <w:lvl w:ilvl="2">
      <w:start w:val="1"/>
      <w:numFmt w:val="decimal"/>
      <w:lvlText w:val="%1.%2.%3."/>
      <w:lvlJc w:val="left"/>
      <w:pPr>
        <w:tabs>
          <w:tab w:val="num" w:pos="1068"/>
        </w:tabs>
        <w:ind w:left="2292" w:hanging="504"/>
      </w:pPr>
      <w:rPr>
        <w:rFonts w:cs="Arial"/>
        <w:lang w:val="es-AR"/>
      </w:rPr>
    </w:lvl>
    <w:lvl w:ilvl="3">
      <w:start w:val="1"/>
      <w:numFmt w:val="decimal"/>
      <w:lvlText w:val="%1.%2.%3.%4."/>
      <w:lvlJc w:val="left"/>
      <w:pPr>
        <w:tabs>
          <w:tab w:val="num" w:pos="1068"/>
        </w:tabs>
        <w:ind w:left="2796" w:hanging="648"/>
      </w:pPr>
    </w:lvl>
    <w:lvl w:ilvl="4">
      <w:start w:val="1"/>
      <w:numFmt w:val="decimal"/>
      <w:lvlText w:val="%1.%2.%3.%4.%5."/>
      <w:lvlJc w:val="left"/>
      <w:pPr>
        <w:tabs>
          <w:tab w:val="num" w:pos="1068"/>
        </w:tabs>
        <w:ind w:left="3300" w:hanging="792"/>
      </w:pPr>
    </w:lvl>
    <w:lvl w:ilvl="5">
      <w:start w:val="1"/>
      <w:numFmt w:val="decimal"/>
      <w:lvlText w:val="%1.%2.%3.%4.%5.%6."/>
      <w:lvlJc w:val="left"/>
      <w:pPr>
        <w:tabs>
          <w:tab w:val="num" w:pos="1068"/>
        </w:tabs>
        <w:ind w:left="3804" w:hanging="936"/>
      </w:pPr>
    </w:lvl>
    <w:lvl w:ilvl="6">
      <w:start w:val="1"/>
      <w:numFmt w:val="decimal"/>
      <w:lvlText w:val="%1.%2.%3.%4.%5.%6.%7."/>
      <w:lvlJc w:val="left"/>
      <w:pPr>
        <w:tabs>
          <w:tab w:val="num" w:pos="1068"/>
        </w:tabs>
        <w:ind w:left="4308" w:hanging="1080"/>
      </w:pPr>
    </w:lvl>
    <w:lvl w:ilvl="7">
      <w:start w:val="1"/>
      <w:numFmt w:val="decimal"/>
      <w:lvlText w:val="%1.%2.%3.%4.%5.%6.%7.%8."/>
      <w:lvlJc w:val="left"/>
      <w:pPr>
        <w:tabs>
          <w:tab w:val="num" w:pos="1068"/>
        </w:tabs>
        <w:ind w:left="4812" w:hanging="1224"/>
      </w:pPr>
    </w:lvl>
    <w:lvl w:ilvl="8">
      <w:start w:val="1"/>
      <w:numFmt w:val="decimal"/>
      <w:lvlText w:val="%1.%2.%3.%4.%5.%6.%7.%8.%9."/>
      <w:lvlJc w:val="left"/>
      <w:pPr>
        <w:tabs>
          <w:tab w:val="num" w:pos="1068"/>
        </w:tabs>
        <w:ind w:left="5388" w:hanging="1440"/>
      </w:pPr>
    </w:lvl>
  </w:abstractNum>
  <w:abstractNum w:abstractNumId="102" w15:restartNumberingAfterBreak="0">
    <w:nsid w:val="6A005983"/>
    <w:multiLevelType w:val="hybridMultilevel"/>
    <w:tmpl w:val="9672082A"/>
    <w:styleLink w:val="Estiloimportado20"/>
    <w:lvl w:ilvl="0" w:tplc="9DA42D3A">
      <w:start w:val="1"/>
      <w:numFmt w:val="bullet"/>
      <w:lvlText w:val="•"/>
      <w:lvlJc w:val="left"/>
      <w:pPr>
        <w:tabs>
          <w:tab w:val="left" w:pos="142"/>
        </w:tabs>
        <w:ind w:left="114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A46B178">
      <w:start w:val="1"/>
      <w:numFmt w:val="bullet"/>
      <w:lvlText w:val="o"/>
      <w:lvlJc w:val="left"/>
      <w:pPr>
        <w:tabs>
          <w:tab w:val="left" w:pos="142"/>
        </w:tabs>
        <w:ind w:left="18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CFC710E">
      <w:start w:val="1"/>
      <w:numFmt w:val="bullet"/>
      <w:lvlText w:val="▪"/>
      <w:lvlJc w:val="left"/>
      <w:pPr>
        <w:tabs>
          <w:tab w:val="left" w:pos="142"/>
        </w:tabs>
        <w:ind w:left="258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D66346">
      <w:start w:val="1"/>
      <w:numFmt w:val="bullet"/>
      <w:lvlText w:val="•"/>
      <w:lvlJc w:val="left"/>
      <w:pPr>
        <w:tabs>
          <w:tab w:val="left" w:pos="142"/>
        </w:tabs>
        <w:ind w:left="330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6943F98">
      <w:start w:val="1"/>
      <w:numFmt w:val="bullet"/>
      <w:lvlText w:val="o"/>
      <w:lvlJc w:val="left"/>
      <w:pPr>
        <w:tabs>
          <w:tab w:val="left" w:pos="142"/>
        </w:tabs>
        <w:ind w:left="402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8E88EE2">
      <w:start w:val="1"/>
      <w:numFmt w:val="bullet"/>
      <w:lvlText w:val="▪"/>
      <w:lvlJc w:val="left"/>
      <w:pPr>
        <w:tabs>
          <w:tab w:val="left" w:pos="142"/>
        </w:tabs>
        <w:ind w:left="474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8EEAC80">
      <w:start w:val="1"/>
      <w:numFmt w:val="bullet"/>
      <w:lvlText w:val="•"/>
      <w:lvlJc w:val="left"/>
      <w:pPr>
        <w:tabs>
          <w:tab w:val="left" w:pos="142"/>
        </w:tabs>
        <w:ind w:left="546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DB6536C">
      <w:start w:val="1"/>
      <w:numFmt w:val="bullet"/>
      <w:lvlText w:val="o"/>
      <w:lvlJc w:val="left"/>
      <w:pPr>
        <w:tabs>
          <w:tab w:val="left" w:pos="142"/>
        </w:tabs>
        <w:ind w:left="618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21E2300">
      <w:start w:val="1"/>
      <w:numFmt w:val="bullet"/>
      <w:lvlText w:val="▪"/>
      <w:lvlJc w:val="left"/>
      <w:pPr>
        <w:tabs>
          <w:tab w:val="left" w:pos="142"/>
        </w:tabs>
        <w:ind w:left="690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3" w15:restartNumberingAfterBreak="0">
    <w:nsid w:val="6B2F42C0"/>
    <w:multiLevelType w:val="multilevel"/>
    <w:tmpl w:val="F8AEE4A2"/>
    <w:styleLink w:val="Estiloimportado22"/>
    <w:lvl w:ilvl="0">
      <w:start w:val="23"/>
      <w:numFmt w:val="decimal"/>
      <w:lvlText w:val="%1."/>
      <w:lvlJc w:val="left"/>
      <w:pPr>
        <w:ind w:left="600" w:hanging="600"/>
      </w:pPr>
      <w:rPr>
        <w:rFonts w:hint="default"/>
        <w:u w:val="none"/>
      </w:rPr>
    </w:lvl>
    <w:lvl w:ilvl="1">
      <w:start w:val="3"/>
      <w:numFmt w:val="decimal"/>
      <w:lvlText w:val="%1.%2."/>
      <w:lvlJc w:val="left"/>
      <w:pPr>
        <w:ind w:left="960" w:hanging="600"/>
      </w:pPr>
      <w:rPr>
        <w:rFonts w:hint="default"/>
        <w:u w:val="none"/>
      </w:rPr>
    </w:lvl>
    <w:lvl w:ilvl="2">
      <w:start w:val="2"/>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104" w15:restartNumberingAfterBreak="0">
    <w:nsid w:val="6B42165E"/>
    <w:multiLevelType w:val="hybridMultilevel"/>
    <w:tmpl w:val="4274B438"/>
    <w:styleLink w:val="Estiloimportado102"/>
    <w:lvl w:ilvl="0" w:tplc="4274B438">
      <w:start w:val="1"/>
      <w:numFmt w:val="lowerLetter"/>
      <w:lvlText w:val="%1."/>
      <w:lvlJc w:val="left"/>
      <w:pPr>
        <w:ind w:left="1834" w:hanging="360"/>
      </w:pPr>
      <w:rPr>
        <w:rFonts w:hAnsi="Arial Unicode MS"/>
        <w:caps w:val="0"/>
        <w:smallCaps w:val="0"/>
        <w:strike w:val="0"/>
        <w:dstrike w:val="0"/>
        <w:color w:val="000000"/>
        <w:spacing w:val="0"/>
        <w:w w:val="100"/>
        <w:kern w:val="0"/>
        <w:position w:val="0"/>
        <w:highlight w:val="none"/>
        <w:vertAlign w:val="baseline"/>
      </w:rPr>
    </w:lvl>
    <w:lvl w:ilvl="1" w:tplc="7158C394">
      <w:start w:val="1"/>
      <w:numFmt w:val="lowerLetter"/>
      <w:lvlText w:val="%2."/>
      <w:lvlJc w:val="left"/>
      <w:pPr>
        <w:ind w:left="2554" w:hanging="360"/>
      </w:pPr>
      <w:rPr>
        <w:rFonts w:hAnsi="Arial Unicode MS"/>
        <w:caps w:val="0"/>
        <w:smallCaps w:val="0"/>
        <w:strike w:val="0"/>
        <w:dstrike w:val="0"/>
        <w:color w:val="000000"/>
        <w:spacing w:val="0"/>
        <w:w w:val="100"/>
        <w:kern w:val="0"/>
        <w:position w:val="0"/>
        <w:highlight w:val="none"/>
        <w:vertAlign w:val="baseline"/>
      </w:rPr>
    </w:lvl>
    <w:lvl w:ilvl="2" w:tplc="8E60A052">
      <w:start w:val="1"/>
      <w:numFmt w:val="lowerRoman"/>
      <w:lvlText w:val="%3."/>
      <w:lvlJc w:val="left"/>
      <w:pPr>
        <w:ind w:left="3274" w:hanging="275"/>
      </w:pPr>
      <w:rPr>
        <w:rFonts w:hAnsi="Arial Unicode MS"/>
        <w:caps w:val="0"/>
        <w:smallCaps w:val="0"/>
        <w:strike w:val="0"/>
        <w:dstrike w:val="0"/>
        <w:color w:val="000000"/>
        <w:spacing w:val="0"/>
        <w:w w:val="100"/>
        <w:kern w:val="0"/>
        <w:position w:val="0"/>
        <w:highlight w:val="none"/>
        <w:vertAlign w:val="baseline"/>
      </w:rPr>
    </w:lvl>
    <w:lvl w:ilvl="3" w:tplc="F80A551E">
      <w:start w:val="1"/>
      <w:numFmt w:val="decimal"/>
      <w:lvlText w:val="%4."/>
      <w:lvlJc w:val="left"/>
      <w:pPr>
        <w:ind w:left="3994" w:hanging="360"/>
      </w:pPr>
      <w:rPr>
        <w:rFonts w:hAnsi="Arial Unicode MS"/>
        <w:caps w:val="0"/>
        <w:smallCaps w:val="0"/>
        <w:strike w:val="0"/>
        <w:dstrike w:val="0"/>
        <w:color w:val="000000"/>
        <w:spacing w:val="0"/>
        <w:w w:val="100"/>
        <w:kern w:val="0"/>
        <w:position w:val="0"/>
        <w:highlight w:val="none"/>
        <w:vertAlign w:val="baseline"/>
      </w:rPr>
    </w:lvl>
    <w:lvl w:ilvl="4" w:tplc="EF262AEC">
      <w:start w:val="1"/>
      <w:numFmt w:val="lowerLetter"/>
      <w:lvlText w:val="%5."/>
      <w:lvlJc w:val="left"/>
      <w:pPr>
        <w:ind w:left="4714" w:hanging="360"/>
      </w:pPr>
      <w:rPr>
        <w:rFonts w:hAnsi="Arial Unicode MS"/>
        <w:caps w:val="0"/>
        <w:smallCaps w:val="0"/>
        <w:strike w:val="0"/>
        <w:dstrike w:val="0"/>
        <w:color w:val="000000"/>
        <w:spacing w:val="0"/>
        <w:w w:val="100"/>
        <w:kern w:val="0"/>
        <w:position w:val="0"/>
        <w:highlight w:val="none"/>
        <w:vertAlign w:val="baseline"/>
      </w:rPr>
    </w:lvl>
    <w:lvl w:ilvl="5" w:tplc="E9D050F0">
      <w:start w:val="1"/>
      <w:numFmt w:val="lowerRoman"/>
      <w:lvlText w:val="%6."/>
      <w:lvlJc w:val="left"/>
      <w:pPr>
        <w:ind w:left="5434" w:hanging="275"/>
      </w:pPr>
      <w:rPr>
        <w:rFonts w:hAnsi="Arial Unicode MS"/>
        <w:caps w:val="0"/>
        <w:smallCaps w:val="0"/>
        <w:strike w:val="0"/>
        <w:dstrike w:val="0"/>
        <w:color w:val="000000"/>
        <w:spacing w:val="0"/>
        <w:w w:val="100"/>
        <w:kern w:val="0"/>
        <w:position w:val="0"/>
        <w:highlight w:val="none"/>
        <w:vertAlign w:val="baseline"/>
      </w:rPr>
    </w:lvl>
    <w:lvl w:ilvl="6" w:tplc="692A037C">
      <w:start w:val="1"/>
      <w:numFmt w:val="decimal"/>
      <w:lvlText w:val="%7."/>
      <w:lvlJc w:val="left"/>
      <w:pPr>
        <w:ind w:left="6154" w:hanging="360"/>
      </w:pPr>
      <w:rPr>
        <w:rFonts w:hAnsi="Arial Unicode MS"/>
        <w:caps w:val="0"/>
        <w:smallCaps w:val="0"/>
        <w:strike w:val="0"/>
        <w:dstrike w:val="0"/>
        <w:color w:val="000000"/>
        <w:spacing w:val="0"/>
        <w:w w:val="100"/>
        <w:kern w:val="0"/>
        <w:position w:val="0"/>
        <w:highlight w:val="none"/>
        <w:vertAlign w:val="baseline"/>
      </w:rPr>
    </w:lvl>
    <w:lvl w:ilvl="7" w:tplc="21B0B51E">
      <w:start w:val="1"/>
      <w:numFmt w:val="lowerLetter"/>
      <w:lvlText w:val="%8."/>
      <w:lvlJc w:val="left"/>
      <w:pPr>
        <w:ind w:left="6874" w:hanging="360"/>
      </w:pPr>
      <w:rPr>
        <w:rFonts w:hAnsi="Arial Unicode MS"/>
        <w:caps w:val="0"/>
        <w:smallCaps w:val="0"/>
        <w:strike w:val="0"/>
        <w:dstrike w:val="0"/>
        <w:color w:val="000000"/>
        <w:spacing w:val="0"/>
        <w:w w:val="100"/>
        <w:kern w:val="0"/>
        <w:position w:val="0"/>
        <w:highlight w:val="none"/>
        <w:vertAlign w:val="baseline"/>
      </w:rPr>
    </w:lvl>
    <w:lvl w:ilvl="8" w:tplc="EEEC5B9C">
      <w:start w:val="1"/>
      <w:numFmt w:val="lowerRoman"/>
      <w:lvlText w:val="%9."/>
      <w:lvlJc w:val="left"/>
      <w:pPr>
        <w:ind w:left="7594" w:hanging="275"/>
      </w:pPr>
      <w:rPr>
        <w:rFonts w:hAnsi="Arial Unicode MS"/>
        <w:caps w:val="0"/>
        <w:smallCaps w:val="0"/>
        <w:strike w:val="0"/>
        <w:dstrike w:val="0"/>
        <w:color w:val="000000"/>
        <w:spacing w:val="0"/>
        <w:w w:val="100"/>
        <w:kern w:val="0"/>
        <w:position w:val="0"/>
        <w:highlight w:val="none"/>
        <w:vertAlign w:val="baseline"/>
      </w:rPr>
    </w:lvl>
  </w:abstractNum>
  <w:abstractNum w:abstractNumId="105" w15:restartNumberingAfterBreak="0">
    <w:nsid w:val="6CD73E37"/>
    <w:multiLevelType w:val="hybridMultilevel"/>
    <w:tmpl w:val="EBB2A82C"/>
    <w:lvl w:ilvl="0" w:tplc="E8E086D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6" w15:restartNumberingAfterBreak="0">
    <w:nsid w:val="6DCC7348"/>
    <w:multiLevelType w:val="hybridMultilevel"/>
    <w:tmpl w:val="D5E44D70"/>
    <w:styleLink w:val="Estiloimportado62"/>
    <w:lvl w:ilvl="0" w:tplc="326604EE">
      <w:start w:val="1"/>
      <w:numFmt w:val="lowerLetter"/>
      <w:lvlText w:val="%1."/>
      <w:lvlJc w:val="left"/>
      <w:pPr>
        <w:ind w:left="1834" w:hanging="360"/>
      </w:pPr>
      <w:rPr>
        <w:rFonts w:hAnsi="Arial Unicode MS"/>
        <w:caps w:val="0"/>
        <w:smallCaps w:val="0"/>
        <w:strike w:val="0"/>
        <w:dstrike w:val="0"/>
        <w:color w:val="000000"/>
        <w:spacing w:val="0"/>
        <w:w w:val="100"/>
        <w:kern w:val="0"/>
        <w:position w:val="0"/>
        <w:highlight w:val="none"/>
        <w:vertAlign w:val="baseline"/>
      </w:rPr>
    </w:lvl>
    <w:lvl w:ilvl="1" w:tplc="8500F10E">
      <w:start w:val="1"/>
      <w:numFmt w:val="lowerLetter"/>
      <w:lvlText w:val="%2."/>
      <w:lvlJc w:val="left"/>
      <w:pPr>
        <w:ind w:left="2554" w:hanging="360"/>
      </w:pPr>
      <w:rPr>
        <w:rFonts w:hAnsi="Arial Unicode MS"/>
        <w:caps w:val="0"/>
        <w:smallCaps w:val="0"/>
        <w:strike w:val="0"/>
        <w:dstrike w:val="0"/>
        <w:color w:val="000000"/>
        <w:spacing w:val="0"/>
        <w:w w:val="100"/>
        <w:kern w:val="0"/>
        <w:position w:val="0"/>
        <w:highlight w:val="none"/>
        <w:vertAlign w:val="baseline"/>
      </w:rPr>
    </w:lvl>
    <w:lvl w:ilvl="2" w:tplc="409026E4">
      <w:start w:val="1"/>
      <w:numFmt w:val="lowerRoman"/>
      <w:lvlText w:val="%3."/>
      <w:lvlJc w:val="left"/>
      <w:pPr>
        <w:ind w:left="3274" w:hanging="275"/>
      </w:pPr>
      <w:rPr>
        <w:rFonts w:hAnsi="Arial Unicode MS"/>
        <w:caps w:val="0"/>
        <w:smallCaps w:val="0"/>
        <w:strike w:val="0"/>
        <w:dstrike w:val="0"/>
        <w:color w:val="000000"/>
        <w:spacing w:val="0"/>
        <w:w w:val="100"/>
        <w:kern w:val="0"/>
        <w:position w:val="0"/>
        <w:highlight w:val="none"/>
        <w:vertAlign w:val="baseline"/>
      </w:rPr>
    </w:lvl>
    <w:lvl w:ilvl="3" w:tplc="7C682D92">
      <w:start w:val="1"/>
      <w:numFmt w:val="decimal"/>
      <w:lvlText w:val="%4."/>
      <w:lvlJc w:val="left"/>
      <w:pPr>
        <w:ind w:left="3994" w:hanging="360"/>
      </w:pPr>
      <w:rPr>
        <w:rFonts w:hAnsi="Arial Unicode MS"/>
        <w:caps w:val="0"/>
        <w:smallCaps w:val="0"/>
        <w:strike w:val="0"/>
        <w:dstrike w:val="0"/>
        <w:color w:val="000000"/>
        <w:spacing w:val="0"/>
        <w:w w:val="100"/>
        <w:kern w:val="0"/>
        <w:position w:val="0"/>
        <w:highlight w:val="none"/>
        <w:vertAlign w:val="baseline"/>
      </w:rPr>
    </w:lvl>
    <w:lvl w:ilvl="4" w:tplc="C5A60534">
      <w:start w:val="1"/>
      <w:numFmt w:val="lowerLetter"/>
      <w:lvlText w:val="%5."/>
      <w:lvlJc w:val="left"/>
      <w:pPr>
        <w:ind w:left="4714" w:hanging="360"/>
      </w:pPr>
      <w:rPr>
        <w:rFonts w:hAnsi="Arial Unicode MS"/>
        <w:caps w:val="0"/>
        <w:smallCaps w:val="0"/>
        <w:strike w:val="0"/>
        <w:dstrike w:val="0"/>
        <w:color w:val="000000"/>
        <w:spacing w:val="0"/>
        <w:w w:val="100"/>
        <w:kern w:val="0"/>
        <w:position w:val="0"/>
        <w:highlight w:val="none"/>
        <w:vertAlign w:val="baseline"/>
      </w:rPr>
    </w:lvl>
    <w:lvl w:ilvl="5" w:tplc="ED88326C">
      <w:start w:val="1"/>
      <w:numFmt w:val="lowerRoman"/>
      <w:lvlText w:val="%6."/>
      <w:lvlJc w:val="left"/>
      <w:pPr>
        <w:ind w:left="5434" w:hanging="275"/>
      </w:pPr>
      <w:rPr>
        <w:rFonts w:hAnsi="Arial Unicode MS"/>
        <w:caps w:val="0"/>
        <w:smallCaps w:val="0"/>
        <w:strike w:val="0"/>
        <w:dstrike w:val="0"/>
        <w:color w:val="000000"/>
        <w:spacing w:val="0"/>
        <w:w w:val="100"/>
        <w:kern w:val="0"/>
        <w:position w:val="0"/>
        <w:highlight w:val="none"/>
        <w:vertAlign w:val="baseline"/>
      </w:rPr>
    </w:lvl>
    <w:lvl w:ilvl="6" w:tplc="E9FE7850">
      <w:start w:val="1"/>
      <w:numFmt w:val="decimal"/>
      <w:lvlText w:val="%7."/>
      <w:lvlJc w:val="left"/>
      <w:pPr>
        <w:ind w:left="6154" w:hanging="360"/>
      </w:pPr>
      <w:rPr>
        <w:rFonts w:hAnsi="Arial Unicode MS"/>
        <w:caps w:val="0"/>
        <w:smallCaps w:val="0"/>
        <w:strike w:val="0"/>
        <w:dstrike w:val="0"/>
        <w:color w:val="000000"/>
        <w:spacing w:val="0"/>
        <w:w w:val="100"/>
        <w:kern w:val="0"/>
        <w:position w:val="0"/>
        <w:highlight w:val="none"/>
        <w:vertAlign w:val="baseline"/>
      </w:rPr>
    </w:lvl>
    <w:lvl w:ilvl="7" w:tplc="1752069A">
      <w:start w:val="1"/>
      <w:numFmt w:val="lowerLetter"/>
      <w:lvlText w:val="%8."/>
      <w:lvlJc w:val="left"/>
      <w:pPr>
        <w:ind w:left="6874" w:hanging="360"/>
      </w:pPr>
      <w:rPr>
        <w:rFonts w:hAnsi="Arial Unicode MS"/>
        <w:caps w:val="0"/>
        <w:smallCaps w:val="0"/>
        <w:strike w:val="0"/>
        <w:dstrike w:val="0"/>
        <w:color w:val="000000"/>
        <w:spacing w:val="0"/>
        <w:w w:val="100"/>
        <w:kern w:val="0"/>
        <w:position w:val="0"/>
        <w:highlight w:val="none"/>
        <w:vertAlign w:val="baseline"/>
      </w:rPr>
    </w:lvl>
    <w:lvl w:ilvl="8" w:tplc="81CE1E02">
      <w:start w:val="1"/>
      <w:numFmt w:val="lowerRoman"/>
      <w:lvlText w:val="%9."/>
      <w:lvlJc w:val="left"/>
      <w:pPr>
        <w:ind w:left="7594" w:hanging="275"/>
      </w:pPr>
      <w:rPr>
        <w:rFonts w:hAnsi="Arial Unicode MS"/>
        <w:caps w:val="0"/>
        <w:smallCaps w:val="0"/>
        <w:strike w:val="0"/>
        <w:dstrike w:val="0"/>
        <w:color w:val="000000"/>
        <w:spacing w:val="0"/>
        <w:w w:val="100"/>
        <w:kern w:val="0"/>
        <w:position w:val="0"/>
        <w:highlight w:val="none"/>
        <w:vertAlign w:val="baseline"/>
      </w:rPr>
    </w:lvl>
  </w:abstractNum>
  <w:abstractNum w:abstractNumId="107" w15:restartNumberingAfterBreak="0">
    <w:nsid w:val="6E4B03CA"/>
    <w:multiLevelType w:val="hybridMultilevel"/>
    <w:tmpl w:val="3684C6F8"/>
    <w:lvl w:ilvl="0" w:tplc="2C0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1DC487E"/>
    <w:multiLevelType w:val="hybridMultilevel"/>
    <w:tmpl w:val="4CACBE62"/>
    <w:lvl w:ilvl="0" w:tplc="62E2146C">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9" w15:restartNumberingAfterBreak="0">
    <w:nsid w:val="72950802"/>
    <w:multiLevelType w:val="hybridMultilevel"/>
    <w:tmpl w:val="AF4EC83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0" w15:restartNumberingAfterBreak="0">
    <w:nsid w:val="73F13FAB"/>
    <w:multiLevelType w:val="hybridMultilevel"/>
    <w:tmpl w:val="1FAA2FF8"/>
    <w:lvl w:ilvl="0" w:tplc="E9A6350A">
      <w:start w:val="2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1" w15:restartNumberingAfterBreak="0">
    <w:nsid w:val="766C58DB"/>
    <w:multiLevelType w:val="hybridMultilevel"/>
    <w:tmpl w:val="3B50FA14"/>
    <w:styleLink w:val="Estiloimportado172"/>
    <w:lvl w:ilvl="0" w:tplc="6364530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F25F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704DC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C54573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3403D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EF63A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49E947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A64B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1E0F1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2" w15:restartNumberingAfterBreak="0">
    <w:nsid w:val="782576F8"/>
    <w:multiLevelType w:val="hybridMultilevel"/>
    <w:tmpl w:val="B7F4A932"/>
    <w:lvl w:ilvl="0" w:tplc="86B09264">
      <w:start w:val="1"/>
      <w:numFmt w:val="lowerRoman"/>
      <w:lvlText w:val="(%1)"/>
      <w:lvlJc w:val="left"/>
      <w:pPr>
        <w:ind w:left="720" w:hanging="360"/>
      </w:pPr>
      <w:rPr>
        <w:rFonts w:ascii="Arial" w:eastAsiaTheme="minorEastAsia"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3" w15:restartNumberingAfterBreak="0">
    <w:nsid w:val="79057BDD"/>
    <w:multiLevelType w:val="hybridMultilevel"/>
    <w:tmpl w:val="ACEEC676"/>
    <w:lvl w:ilvl="0" w:tplc="9FE454AC">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4" w15:restartNumberingAfterBreak="0">
    <w:nsid w:val="79FD228C"/>
    <w:multiLevelType w:val="hybridMultilevel"/>
    <w:tmpl w:val="2E5A7C5E"/>
    <w:lvl w:ilvl="0" w:tplc="EFA8C4B6">
      <w:start w:val="1"/>
      <w:numFmt w:val="bullet"/>
      <w:lvlText w:val="•"/>
      <w:lvlJc w:val="left"/>
      <w:pPr>
        <w:tabs>
          <w:tab w:val="left" w:pos="142"/>
        </w:tabs>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EF0681E2">
      <w:start w:val="1"/>
      <w:numFmt w:val="bullet"/>
      <w:lvlText w:val="o"/>
      <w:lvlJc w:val="left"/>
      <w:pPr>
        <w:tabs>
          <w:tab w:val="left" w:pos="142"/>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40E05F3E">
      <w:start w:val="1"/>
      <w:numFmt w:val="bullet"/>
      <w:lvlText w:val="▪"/>
      <w:lvlJc w:val="left"/>
      <w:pPr>
        <w:tabs>
          <w:tab w:val="left" w:pos="142"/>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2C0A0001">
      <w:start w:val="1"/>
      <w:numFmt w:val="bullet"/>
      <w:lvlText w:val=""/>
      <w:lvlJc w:val="left"/>
      <w:pPr>
        <w:tabs>
          <w:tab w:val="left" w:pos="142"/>
        </w:tabs>
        <w:ind w:left="1701" w:hanging="425"/>
      </w:pPr>
      <w:rPr>
        <w:rFonts w:ascii="Symbol" w:hAnsi="Symbol" w:hint="default"/>
        <w:b w:val="0"/>
        <w:bCs w:val="0"/>
        <w:i w:val="0"/>
        <w:iCs w:val="0"/>
        <w:caps w:val="0"/>
        <w:smallCaps w:val="0"/>
        <w:strike w:val="0"/>
        <w:dstrike w:val="0"/>
        <w:spacing w:val="0"/>
        <w:w w:val="100"/>
        <w:kern w:val="0"/>
        <w:position w:val="0"/>
        <w:highlight w:val="none"/>
        <w:vertAlign w:val="baseline"/>
      </w:rPr>
    </w:lvl>
    <w:lvl w:ilvl="4" w:tplc="F99A32D0">
      <w:start w:val="1"/>
      <w:numFmt w:val="bullet"/>
      <w:lvlText w:val="o"/>
      <w:lvlJc w:val="left"/>
      <w:pPr>
        <w:tabs>
          <w:tab w:val="left" w:pos="142"/>
        </w:tabs>
        <w:ind w:left="242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A7D04A8A">
      <w:start w:val="1"/>
      <w:numFmt w:val="bullet"/>
      <w:lvlText w:val="▪"/>
      <w:lvlJc w:val="left"/>
      <w:pPr>
        <w:tabs>
          <w:tab w:val="left" w:pos="142"/>
        </w:tabs>
        <w:ind w:left="314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0FDEFCFA">
      <w:start w:val="1"/>
      <w:numFmt w:val="bullet"/>
      <w:lvlText w:val="•"/>
      <w:lvlJc w:val="left"/>
      <w:pPr>
        <w:tabs>
          <w:tab w:val="left" w:pos="142"/>
        </w:tabs>
        <w:ind w:left="386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7" w:tplc="86BE9860">
      <w:start w:val="1"/>
      <w:numFmt w:val="bullet"/>
      <w:lvlText w:val="o"/>
      <w:lvlJc w:val="left"/>
      <w:pPr>
        <w:tabs>
          <w:tab w:val="left" w:pos="142"/>
        </w:tabs>
        <w:ind w:left="458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0226A65E">
      <w:start w:val="1"/>
      <w:numFmt w:val="bullet"/>
      <w:lvlText w:val="▪"/>
      <w:lvlJc w:val="left"/>
      <w:pPr>
        <w:tabs>
          <w:tab w:val="left" w:pos="142"/>
        </w:tabs>
        <w:ind w:left="5301"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15" w15:restartNumberingAfterBreak="0">
    <w:nsid w:val="7C9359B0"/>
    <w:multiLevelType w:val="hybridMultilevel"/>
    <w:tmpl w:val="007E47E2"/>
    <w:lvl w:ilvl="0" w:tplc="DA3851EA">
      <w:start w:val="1"/>
      <w:numFmt w:val="lowerRoman"/>
      <w:lvlText w:val="(%1)"/>
      <w:lvlJc w:val="left"/>
      <w:pPr>
        <w:ind w:left="720" w:hanging="360"/>
      </w:pPr>
      <w:rPr>
        <w:rFonts w:ascii="Garamond" w:eastAsiaTheme="minorEastAsia" w:hAnsi="Garamond"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6" w15:restartNumberingAfterBreak="0">
    <w:nsid w:val="7CBF004A"/>
    <w:multiLevelType w:val="hybridMultilevel"/>
    <w:tmpl w:val="318E7A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7" w15:restartNumberingAfterBreak="0">
    <w:nsid w:val="7D381C8C"/>
    <w:multiLevelType w:val="hybridMultilevel"/>
    <w:tmpl w:val="CC545DCC"/>
    <w:lvl w:ilvl="0" w:tplc="FFFFFFFF">
      <w:start w:val="1"/>
      <w:numFmt w:val="bullet"/>
      <w:lvlText w:val="-"/>
      <w:lvlJc w:val="left"/>
      <w:pPr>
        <w:ind w:left="720" w:hanging="360"/>
      </w:p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8" w15:restartNumberingAfterBreak="0">
    <w:nsid w:val="7DB67C28"/>
    <w:multiLevelType w:val="hybridMultilevel"/>
    <w:tmpl w:val="C0E6DB5A"/>
    <w:lvl w:ilvl="0" w:tplc="B09E341E">
      <w:start w:val="1"/>
      <w:numFmt w:val="lowerRoman"/>
      <w:lvlText w:val="(%1)"/>
      <w:lvlJc w:val="left"/>
      <w:pPr>
        <w:ind w:left="720" w:hanging="360"/>
      </w:pPr>
      <w:rPr>
        <w:rFonts w:ascii="Arial" w:eastAsiaTheme="minorEastAsia"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17"/>
  </w:num>
  <w:num w:numId="3">
    <w:abstractNumId w:val="116"/>
  </w:num>
  <w:num w:numId="4">
    <w:abstractNumId w:val="36"/>
  </w:num>
  <w:num w:numId="5">
    <w:abstractNumId w:val="103"/>
  </w:num>
  <w:num w:numId="6">
    <w:abstractNumId w:val="27"/>
  </w:num>
  <w:num w:numId="7">
    <w:abstractNumId w:val="59"/>
  </w:num>
  <w:num w:numId="8">
    <w:abstractNumId w:val="86"/>
  </w:num>
  <w:num w:numId="9">
    <w:abstractNumId w:val="106"/>
  </w:num>
  <w:num w:numId="10">
    <w:abstractNumId w:val="98"/>
  </w:num>
  <w:num w:numId="11">
    <w:abstractNumId w:val="15"/>
  </w:num>
  <w:num w:numId="12">
    <w:abstractNumId w:val="48"/>
  </w:num>
  <w:num w:numId="13">
    <w:abstractNumId w:val="104"/>
  </w:num>
  <w:num w:numId="14">
    <w:abstractNumId w:val="100"/>
  </w:num>
  <w:num w:numId="15">
    <w:abstractNumId w:val="92"/>
  </w:num>
  <w:num w:numId="16">
    <w:abstractNumId w:val="63"/>
  </w:num>
  <w:num w:numId="17">
    <w:abstractNumId w:val="49"/>
  </w:num>
  <w:num w:numId="18">
    <w:abstractNumId w:val="62"/>
  </w:num>
  <w:num w:numId="19">
    <w:abstractNumId w:val="91"/>
  </w:num>
  <w:num w:numId="20">
    <w:abstractNumId w:val="77"/>
  </w:num>
  <w:num w:numId="21">
    <w:abstractNumId w:val="111"/>
  </w:num>
  <w:num w:numId="22">
    <w:abstractNumId w:val="60"/>
  </w:num>
  <w:num w:numId="23">
    <w:abstractNumId w:val="67"/>
  </w:num>
  <w:num w:numId="24">
    <w:abstractNumId w:val="50"/>
  </w:num>
  <w:num w:numId="25">
    <w:abstractNumId w:val="65"/>
  </w:num>
  <w:num w:numId="26">
    <w:abstractNumId w:val="102"/>
  </w:num>
  <w:num w:numId="27">
    <w:abstractNumId w:val="18"/>
  </w:num>
  <w:num w:numId="28">
    <w:abstractNumId w:val="11"/>
  </w:num>
  <w:num w:numId="29">
    <w:abstractNumId w:val="96"/>
  </w:num>
  <w:num w:numId="30">
    <w:abstractNumId w:val="69"/>
  </w:num>
  <w:num w:numId="31">
    <w:abstractNumId w:val="81"/>
  </w:num>
  <w:num w:numId="32">
    <w:abstractNumId w:val="46"/>
  </w:num>
  <w:num w:numId="33">
    <w:abstractNumId w:val="13"/>
  </w:num>
  <w:num w:numId="34">
    <w:abstractNumId w:val="32"/>
  </w:num>
  <w:num w:numId="35">
    <w:abstractNumId w:val="22"/>
  </w:num>
  <w:num w:numId="36">
    <w:abstractNumId w:val="20"/>
  </w:num>
  <w:num w:numId="37">
    <w:abstractNumId w:val="83"/>
  </w:num>
  <w:num w:numId="38">
    <w:abstractNumId w:val="17"/>
  </w:num>
  <w:num w:numId="39">
    <w:abstractNumId w:val="72"/>
  </w:num>
  <w:num w:numId="40">
    <w:abstractNumId w:val="75"/>
  </w:num>
  <w:num w:numId="41">
    <w:abstractNumId w:val="113"/>
  </w:num>
  <w:num w:numId="42">
    <w:abstractNumId w:val="89"/>
  </w:num>
  <w:num w:numId="43">
    <w:abstractNumId w:val="82"/>
  </w:num>
  <w:num w:numId="44">
    <w:abstractNumId w:val="97"/>
  </w:num>
  <w:num w:numId="45">
    <w:abstractNumId w:val="85"/>
  </w:num>
  <w:num w:numId="46">
    <w:abstractNumId w:val="12"/>
  </w:num>
  <w:num w:numId="47">
    <w:abstractNumId w:val="94"/>
  </w:num>
  <w:num w:numId="48">
    <w:abstractNumId w:val="19"/>
  </w:num>
  <w:num w:numId="49">
    <w:abstractNumId w:val="80"/>
  </w:num>
  <w:num w:numId="50">
    <w:abstractNumId w:val="99"/>
  </w:num>
  <w:num w:numId="51">
    <w:abstractNumId w:val="70"/>
  </w:num>
  <w:num w:numId="52">
    <w:abstractNumId w:val="16"/>
  </w:num>
  <w:num w:numId="53">
    <w:abstractNumId w:val="43"/>
  </w:num>
  <w:num w:numId="54">
    <w:abstractNumId w:val="31"/>
  </w:num>
  <w:num w:numId="55">
    <w:abstractNumId w:val="87"/>
  </w:num>
  <w:num w:numId="56">
    <w:abstractNumId w:val="5"/>
  </w:num>
  <w:num w:numId="57">
    <w:abstractNumId w:val="2"/>
  </w:num>
  <w:num w:numId="58">
    <w:abstractNumId w:val="3"/>
  </w:num>
  <w:num w:numId="59">
    <w:abstractNumId w:val="9"/>
  </w:num>
  <w:num w:numId="60">
    <w:abstractNumId w:val="56"/>
  </w:num>
  <w:num w:numId="61">
    <w:abstractNumId w:val="110"/>
  </w:num>
  <w:num w:numId="62">
    <w:abstractNumId w:val="95"/>
  </w:num>
  <w:num w:numId="63">
    <w:abstractNumId w:val="33"/>
  </w:num>
  <w:num w:numId="64">
    <w:abstractNumId w:val="23"/>
  </w:num>
  <w:num w:numId="65">
    <w:abstractNumId w:val="58"/>
  </w:num>
  <w:num w:numId="66">
    <w:abstractNumId w:val="112"/>
  </w:num>
  <w:num w:numId="67">
    <w:abstractNumId w:val="37"/>
  </w:num>
  <w:num w:numId="68">
    <w:abstractNumId w:val="115"/>
  </w:num>
  <w:num w:numId="69">
    <w:abstractNumId w:val="93"/>
  </w:num>
  <w:num w:numId="70">
    <w:abstractNumId w:val="52"/>
  </w:num>
  <w:num w:numId="71">
    <w:abstractNumId w:val="41"/>
  </w:num>
  <w:num w:numId="72">
    <w:abstractNumId w:val="68"/>
  </w:num>
  <w:num w:numId="73">
    <w:abstractNumId w:val="101"/>
  </w:num>
  <w:num w:numId="74">
    <w:abstractNumId w:val="29"/>
  </w:num>
  <w:num w:numId="75">
    <w:abstractNumId w:val="21"/>
  </w:num>
  <w:num w:numId="76">
    <w:abstractNumId w:val="114"/>
  </w:num>
  <w:num w:numId="77">
    <w:abstractNumId w:val="90"/>
  </w:num>
  <w:num w:numId="78">
    <w:abstractNumId w:val="25"/>
  </w:num>
  <w:num w:numId="79">
    <w:abstractNumId w:val="109"/>
  </w:num>
  <w:num w:numId="80">
    <w:abstractNumId w:val="39"/>
  </w:num>
  <w:num w:numId="81">
    <w:abstractNumId w:val="35"/>
  </w:num>
  <w:num w:numId="82">
    <w:abstractNumId w:val="76"/>
  </w:num>
  <w:num w:numId="83">
    <w:abstractNumId w:val="74"/>
  </w:num>
  <w:num w:numId="84">
    <w:abstractNumId w:val="71"/>
  </w:num>
  <w:num w:numId="85">
    <w:abstractNumId w:val="57"/>
  </w:num>
  <w:num w:numId="86">
    <w:abstractNumId w:val="44"/>
  </w:num>
  <w:num w:numId="87">
    <w:abstractNumId w:val="53"/>
  </w:num>
  <w:num w:numId="88">
    <w:abstractNumId w:val="42"/>
  </w:num>
  <w:num w:numId="89">
    <w:abstractNumId w:val="28"/>
  </w:num>
  <w:num w:numId="90">
    <w:abstractNumId w:val="34"/>
  </w:num>
  <w:num w:numId="91">
    <w:abstractNumId w:val="107"/>
  </w:num>
  <w:num w:numId="92">
    <w:abstractNumId w:val="64"/>
  </w:num>
  <w:num w:numId="93">
    <w:abstractNumId w:val="84"/>
  </w:num>
  <w:num w:numId="94">
    <w:abstractNumId w:val="45"/>
  </w:num>
  <w:num w:numId="95">
    <w:abstractNumId w:val="66"/>
  </w:num>
  <w:num w:numId="96">
    <w:abstractNumId w:val="108"/>
  </w:num>
  <w:num w:numId="97">
    <w:abstractNumId w:val="24"/>
  </w:num>
  <w:num w:numId="98">
    <w:abstractNumId w:val="55"/>
  </w:num>
  <w:num w:numId="99">
    <w:abstractNumId w:val="51"/>
  </w:num>
  <w:num w:numId="100">
    <w:abstractNumId w:val="61"/>
  </w:num>
  <w:num w:numId="101">
    <w:abstractNumId w:val="54"/>
  </w:num>
  <w:num w:numId="102">
    <w:abstractNumId w:val="14"/>
  </w:num>
  <w:num w:numId="103">
    <w:abstractNumId w:val="118"/>
  </w:num>
  <w:num w:numId="104">
    <w:abstractNumId w:val="78"/>
  </w:num>
  <w:num w:numId="105">
    <w:abstractNumId w:val="88"/>
  </w:num>
  <w:num w:numId="106">
    <w:abstractNumId w:val="47"/>
  </w:num>
  <w:num w:numId="107">
    <w:abstractNumId w:val="26"/>
  </w:num>
  <w:num w:numId="108">
    <w:abstractNumId w:val="30"/>
  </w:num>
  <w:num w:numId="109">
    <w:abstractNumId w:val="117"/>
  </w:num>
  <w:num w:numId="110">
    <w:abstractNumId w:val="40"/>
  </w:num>
  <w:num w:numId="111">
    <w:abstractNumId w:val="73"/>
  </w:num>
  <w:num w:numId="112">
    <w:abstractNumId w:val="38"/>
  </w:num>
  <w:num w:numId="113">
    <w:abstractNumId w:val="105"/>
  </w:num>
  <w:num w:numId="114">
    <w:abstractNumId w:val="7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AR" w:vendorID="64" w:dllVersion="6" w:nlCheck="1" w:checkStyle="1"/>
  <w:activeWritingStyle w:appName="MSWord" w:lang="en-GB" w:vendorID="64" w:dllVersion="6" w:nlCheck="1" w:checkStyle="0"/>
  <w:activeWritingStyle w:appName="MSWord" w:lang="en-US" w:vendorID="64" w:dllVersion="6" w:nlCheck="1" w:checkStyle="1"/>
  <w:activeWritingStyle w:appName="MSWord" w:lang="fr-FR" w:vendorID="64" w:dllVersion="6" w:nlCheck="1" w:checkStyle="1"/>
  <w:activeWritingStyle w:appName="MSWord" w:lang="es-PE" w:vendorID="64" w:dllVersion="6" w:nlCheck="1" w:checkStyle="1"/>
  <w:activeWritingStyle w:appName="MSWord" w:lang="es-MX" w:vendorID="64" w:dllVersion="6" w:nlCheck="1" w:checkStyle="1"/>
  <w:activeWritingStyle w:appName="MSWord" w:lang="es-A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FR" w:vendorID="64" w:dllVersion="0" w:nlCheck="1" w:checkStyle="0"/>
  <w:activeWritingStyle w:appName="MSWord" w:lang="en-US" w:vendorID="64" w:dllVersion="0" w:nlCheck="1" w:checkStyle="0"/>
  <w:activeWritingStyle w:appName="MSWord" w:lang="es-PE" w:vendorID="64" w:dllVersion="0" w:nlCheck="1" w:checkStyle="0"/>
  <w:activeWritingStyle w:appName="MSWord" w:lang="es-MX" w:vendorID="64" w:dllVersion="0" w:nlCheck="1" w:checkStyle="0"/>
  <w:activeWritingStyle w:appName="MSWord" w:lang="pt-BR"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1543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S2DocOpenMode" w:val="AS2DocumentEdit"/>
  </w:docVars>
  <w:rsids>
    <w:rsidRoot w:val="00E97D94"/>
    <w:rsid w:val="00000013"/>
    <w:rsid w:val="000009EA"/>
    <w:rsid w:val="00000B6E"/>
    <w:rsid w:val="00000D07"/>
    <w:rsid w:val="00000EDD"/>
    <w:rsid w:val="00000F5A"/>
    <w:rsid w:val="000014C9"/>
    <w:rsid w:val="0000156B"/>
    <w:rsid w:val="00001795"/>
    <w:rsid w:val="00001BDB"/>
    <w:rsid w:val="00001CB1"/>
    <w:rsid w:val="00001EAB"/>
    <w:rsid w:val="000022BA"/>
    <w:rsid w:val="000024BF"/>
    <w:rsid w:val="00002574"/>
    <w:rsid w:val="00002B37"/>
    <w:rsid w:val="00002E07"/>
    <w:rsid w:val="0000337E"/>
    <w:rsid w:val="00003CD1"/>
    <w:rsid w:val="000043A3"/>
    <w:rsid w:val="000045FD"/>
    <w:rsid w:val="000047EA"/>
    <w:rsid w:val="00004B94"/>
    <w:rsid w:val="00004BD3"/>
    <w:rsid w:val="00004D2F"/>
    <w:rsid w:val="0000580C"/>
    <w:rsid w:val="00005E38"/>
    <w:rsid w:val="00005E87"/>
    <w:rsid w:val="0000600D"/>
    <w:rsid w:val="00006020"/>
    <w:rsid w:val="00006059"/>
    <w:rsid w:val="00006788"/>
    <w:rsid w:val="00006D32"/>
    <w:rsid w:val="00006F91"/>
    <w:rsid w:val="00006FA4"/>
    <w:rsid w:val="00007100"/>
    <w:rsid w:val="0000737F"/>
    <w:rsid w:val="00007A5A"/>
    <w:rsid w:val="00007A68"/>
    <w:rsid w:val="00007CBC"/>
    <w:rsid w:val="00007E89"/>
    <w:rsid w:val="00007F86"/>
    <w:rsid w:val="0001012B"/>
    <w:rsid w:val="0001058C"/>
    <w:rsid w:val="00010ECB"/>
    <w:rsid w:val="00011283"/>
    <w:rsid w:val="00011657"/>
    <w:rsid w:val="0001172C"/>
    <w:rsid w:val="0001184A"/>
    <w:rsid w:val="00011B2F"/>
    <w:rsid w:val="00011B88"/>
    <w:rsid w:val="00011BC4"/>
    <w:rsid w:val="00011BEC"/>
    <w:rsid w:val="00011DDD"/>
    <w:rsid w:val="00011DED"/>
    <w:rsid w:val="00011E62"/>
    <w:rsid w:val="0001214A"/>
    <w:rsid w:val="000121C8"/>
    <w:rsid w:val="000125A6"/>
    <w:rsid w:val="0001279A"/>
    <w:rsid w:val="0001304E"/>
    <w:rsid w:val="00013198"/>
    <w:rsid w:val="000133DD"/>
    <w:rsid w:val="00013812"/>
    <w:rsid w:val="0001389E"/>
    <w:rsid w:val="00013B98"/>
    <w:rsid w:val="000140C0"/>
    <w:rsid w:val="00014DB1"/>
    <w:rsid w:val="0001502C"/>
    <w:rsid w:val="000151BC"/>
    <w:rsid w:val="00015210"/>
    <w:rsid w:val="0001551F"/>
    <w:rsid w:val="00015672"/>
    <w:rsid w:val="000157FE"/>
    <w:rsid w:val="00015F83"/>
    <w:rsid w:val="000166F0"/>
    <w:rsid w:val="00016901"/>
    <w:rsid w:val="000169D8"/>
    <w:rsid w:val="00016A77"/>
    <w:rsid w:val="00016F29"/>
    <w:rsid w:val="00017167"/>
    <w:rsid w:val="0001723B"/>
    <w:rsid w:val="00017580"/>
    <w:rsid w:val="00017652"/>
    <w:rsid w:val="00017BE0"/>
    <w:rsid w:val="00017D90"/>
    <w:rsid w:val="00017F56"/>
    <w:rsid w:val="0002038E"/>
    <w:rsid w:val="000203FB"/>
    <w:rsid w:val="0002042F"/>
    <w:rsid w:val="000205B6"/>
    <w:rsid w:val="000209D7"/>
    <w:rsid w:val="00021DEC"/>
    <w:rsid w:val="0002243C"/>
    <w:rsid w:val="000225AF"/>
    <w:rsid w:val="00022876"/>
    <w:rsid w:val="000229EC"/>
    <w:rsid w:val="00022BA8"/>
    <w:rsid w:val="00022E83"/>
    <w:rsid w:val="000230EA"/>
    <w:rsid w:val="0002338A"/>
    <w:rsid w:val="00023941"/>
    <w:rsid w:val="00023BF6"/>
    <w:rsid w:val="0002403F"/>
    <w:rsid w:val="000240E7"/>
    <w:rsid w:val="00024A2E"/>
    <w:rsid w:val="00024A8B"/>
    <w:rsid w:val="00024AFF"/>
    <w:rsid w:val="00024B39"/>
    <w:rsid w:val="00024E76"/>
    <w:rsid w:val="00024F55"/>
    <w:rsid w:val="00024F74"/>
    <w:rsid w:val="0002505A"/>
    <w:rsid w:val="00025107"/>
    <w:rsid w:val="000258F2"/>
    <w:rsid w:val="00025F6A"/>
    <w:rsid w:val="00026189"/>
    <w:rsid w:val="000263A4"/>
    <w:rsid w:val="0002644C"/>
    <w:rsid w:val="0002679E"/>
    <w:rsid w:val="00026AEA"/>
    <w:rsid w:val="00026B80"/>
    <w:rsid w:val="00026F6F"/>
    <w:rsid w:val="00027746"/>
    <w:rsid w:val="0002782C"/>
    <w:rsid w:val="00027D6E"/>
    <w:rsid w:val="00027D9E"/>
    <w:rsid w:val="00027F40"/>
    <w:rsid w:val="00030691"/>
    <w:rsid w:val="000306BF"/>
    <w:rsid w:val="000306FC"/>
    <w:rsid w:val="00030B3C"/>
    <w:rsid w:val="00030DDA"/>
    <w:rsid w:val="00030E28"/>
    <w:rsid w:val="00030ECD"/>
    <w:rsid w:val="0003109F"/>
    <w:rsid w:val="00031B02"/>
    <w:rsid w:val="00031FB6"/>
    <w:rsid w:val="00032AD1"/>
    <w:rsid w:val="00032C9C"/>
    <w:rsid w:val="00032EC8"/>
    <w:rsid w:val="00033092"/>
    <w:rsid w:val="00033420"/>
    <w:rsid w:val="000336ED"/>
    <w:rsid w:val="00033900"/>
    <w:rsid w:val="00033B43"/>
    <w:rsid w:val="00033CB1"/>
    <w:rsid w:val="0003421F"/>
    <w:rsid w:val="000342AE"/>
    <w:rsid w:val="000342F6"/>
    <w:rsid w:val="000345FA"/>
    <w:rsid w:val="000345FB"/>
    <w:rsid w:val="00034C0E"/>
    <w:rsid w:val="000352BC"/>
    <w:rsid w:val="000357BB"/>
    <w:rsid w:val="00035F95"/>
    <w:rsid w:val="00036104"/>
    <w:rsid w:val="0003612C"/>
    <w:rsid w:val="000361D5"/>
    <w:rsid w:val="000361E0"/>
    <w:rsid w:val="000363F3"/>
    <w:rsid w:val="00036AFB"/>
    <w:rsid w:val="00036C4B"/>
    <w:rsid w:val="00036D5B"/>
    <w:rsid w:val="0003705B"/>
    <w:rsid w:val="00037082"/>
    <w:rsid w:val="00037475"/>
    <w:rsid w:val="000376D9"/>
    <w:rsid w:val="00037C01"/>
    <w:rsid w:val="00037FCA"/>
    <w:rsid w:val="00040001"/>
    <w:rsid w:val="00040018"/>
    <w:rsid w:val="00040098"/>
    <w:rsid w:val="00040217"/>
    <w:rsid w:val="000405BB"/>
    <w:rsid w:val="000407A5"/>
    <w:rsid w:val="000409A6"/>
    <w:rsid w:val="00040AA3"/>
    <w:rsid w:val="00040B32"/>
    <w:rsid w:val="00040D9D"/>
    <w:rsid w:val="00040F00"/>
    <w:rsid w:val="00040F3F"/>
    <w:rsid w:val="00041255"/>
    <w:rsid w:val="0004130F"/>
    <w:rsid w:val="00041537"/>
    <w:rsid w:val="0004176A"/>
    <w:rsid w:val="000419BF"/>
    <w:rsid w:val="00041A94"/>
    <w:rsid w:val="00041B32"/>
    <w:rsid w:val="000425B0"/>
    <w:rsid w:val="0004288D"/>
    <w:rsid w:val="000428A1"/>
    <w:rsid w:val="00042B52"/>
    <w:rsid w:val="00042C43"/>
    <w:rsid w:val="00042C85"/>
    <w:rsid w:val="000432E6"/>
    <w:rsid w:val="00043457"/>
    <w:rsid w:val="000436E1"/>
    <w:rsid w:val="000438B2"/>
    <w:rsid w:val="00043FC0"/>
    <w:rsid w:val="00044167"/>
    <w:rsid w:val="0004416B"/>
    <w:rsid w:val="000443CB"/>
    <w:rsid w:val="0004474C"/>
    <w:rsid w:val="000449AE"/>
    <w:rsid w:val="00044E4D"/>
    <w:rsid w:val="000453F2"/>
    <w:rsid w:val="00045647"/>
    <w:rsid w:val="00045785"/>
    <w:rsid w:val="00045982"/>
    <w:rsid w:val="00045A0E"/>
    <w:rsid w:val="00046389"/>
    <w:rsid w:val="000464F1"/>
    <w:rsid w:val="0004687F"/>
    <w:rsid w:val="00046D1E"/>
    <w:rsid w:val="000471FD"/>
    <w:rsid w:val="000475AC"/>
    <w:rsid w:val="00047F91"/>
    <w:rsid w:val="000501BB"/>
    <w:rsid w:val="00050353"/>
    <w:rsid w:val="0005038C"/>
    <w:rsid w:val="000504FA"/>
    <w:rsid w:val="00050CA0"/>
    <w:rsid w:val="00050E4C"/>
    <w:rsid w:val="000516EB"/>
    <w:rsid w:val="00051D6D"/>
    <w:rsid w:val="00052108"/>
    <w:rsid w:val="00052131"/>
    <w:rsid w:val="00052382"/>
    <w:rsid w:val="0005245A"/>
    <w:rsid w:val="00052729"/>
    <w:rsid w:val="0005273E"/>
    <w:rsid w:val="000532CC"/>
    <w:rsid w:val="0005367D"/>
    <w:rsid w:val="000538A6"/>
    <w:rsid w:val="00053DE2"/>
    <w:rsid w:val="000541B9"/>
    <w:rsid w:val="00054423"/>
    <w:rsid w:val="000547B7"/>
    <w:rsid w:val="00054D3D"/>
    <w:rsid w:val="00054DE0"/>
    <w:rsid w:val="00054F5E"/>
    <w:rsid w:val="00054FDF"/>
    <w:rsid w:val="000556F0"/>
    <w:rsid w:val="00055871"/>
    <w:rsid w:val="0005645C"/>
    <w:rsid w:val="00056942"/>
    <w:rsid w:val="00056EF3"/>
    <w:rsid w:val="000574F1"/>
    <w:rsid w:val="00057690"/>
    <w:rsid w:val="0005775A"/>
    <w:rsid w:val="0006002E"/>
    <w:rsid w:val="000600EC"/>
    <w:rsid w:val="0006083D"/>
    <w:rsid w:val="00060954"/>
    <w:rsid w:val="00060ABE"/>
    <w:rsid w:val="000614BA"/>
    <w:rsid w:val="000618A3"/>
    <w:rsid w:val="000619F6"/>
    <w:rsid w:val="00061C1F"/>
    <w:rsid w:val="00061D27"/>
    <w:rsid w:val="00061FA8"/>
    <w:rsid w:val="0006228E"/>
    <w:rsid w:val="00062385"/>
    <w:rsid w:val="0006290C"/>
    <w:rsid w:val="00062DA6"/>
    <w:rsid w:val="000633A4"/>
    <w:rsid w:val="00063443"/>
    <w:rsid w:val="00063516"/>
    <w:rsid w:val="00063A80"/>
    <w:rsid w:val="00063C2D"/>
    <w:rsid w:val="00064581"/>
    <w:rsid w:val="00064730"/>
    <w:rsid w:val="0006481D"/>
    <w:rsid w:val="000652C3"/>
    <w:rsid w:val="00065647"/>
    <w:rsid w:val="000663F6"/>
    <w:rsid w:val="00066592"/>
    <w:rsid w:val="00066653"/>
    <w:rsid w:val="00066D3E"/>
    <w:rsid w:val="00066EF6"/>
    <w:rsid w:val="000670C1"/>
    <w:rsid w:val="000670E1"/>
    <w:rsid w:val="00067378"/>
    <w:rsid w:val="000673B3"/>
    <w:rsid w:val="00067408"/>
    <w:rsid w:val="0006745A"/>
    <w:rsid w:val="000674A2"/>
    <w:rsid w:val="00067695"/>
    <w:rsid w:val="00067D5E"/>
    <w:rsid w:val="00067E7D"/>
    <w:rsid w:val="000705E8"/>
    <w:rsid w:val="00070877"/>
    <w:rsid w:val="00070EAA"/>
    <w:rsid w:val="0007120D"/>
    <w:rsid w:val="00071382"/>
    <w:rsid w:val="0007144E"/>
    <w:rsid w:val="00071A3C"/>
    <w:rsid w:val="00071D2E"/>
    <w:rsid w:val="00072AB7"/>
    <w:rsid w:val="00072E09"/>
    <w:rsid w:val="00074580"/>
    <w:rsid w:val="0007462C"/>
    <w:rsid w:val="0007488A"/>
    <w:rsid w:val="00074B03"/>
    <w:rsid w:val="00074B27"/>
    <w:rsid w:val="00074C00"/>
    <w:rsid w:val="00074C10"/>
    <w:rsid w:val="00074D4E"/>
    <w:rsid w:val="000753DE"/>
    <w:rsid w:val="00075470"/>
    <w:rsid w:val="00075512"/>
    <w:rsid w:val="00075811"/>
    <w:rsid w:val="00075814"/>
    <w:rsid w:val="00075BC5"/>
    <w:rsid w:val="000761A8"/>
    <w:rsid w:val="00076229"/>
    <w:rsid w:val="0007631D"/>
    <w:rsid w:val="000768B1"/>
    <w:rsid w:val="00076B97"/>
    <w:rsid w:val="00076C98"/>
    <w:rsid w:val="00076DF1"/>
    <w:rsid w:val="00076DF4"/>
    <w:rsid w:val="00076EC8"/>
    <w:rsid w:val="00077414"/>
    <w:rsid w:val="000775DC"/>
    <w:rsid w:val="0007777C"/>
    <w:rsid w:val="0007793F"/>
    <w:rsid w:val="00077D4F"/>
    <w:rsid w:val="000800C5"/>
    <w:rsid w:val="00080285"/>
    <w:rsid w:val="00080295"/>
    <w:rsid w:val="0008047B"/>
    <w:rsid w:val="00080C93"/>
    <w:rsid w:val="00080CBE"/>
    <w:rsid w:val="0008162B"/>
    <w:rsid w:val="000818A9"/>
    <w:rsid w:val="000818C7"/>
    <w:rsid w:val="00081B10"/>
    <w:rsid w:val="0008204E"/>
    <w:rsid w:val="00082525"/>
    <w:rsid w:val="000825E5"/>
    <w:rsid w:val="000826F9"/>
    <w:rsid w:val="000829D8"/>
    <w:rsid w:val="00082CF7"/>
    <w:rsid w:val="000830A7"/>
    <w:rsid w:val="00083AEA"/>
    <w:rsid w:val="00083BCC"/>
    <w:rsid w:val="00083C78"/>
    <w:rsid w:val="0008442F"/>
    <w:rsid w:val="0008459C"/>
    <w:rsid w:val="000846A2"/>
    <w:rsid w:val="000847B9"/>
    <w:rsid w:val="000849DA"/>
    <w:rsid w:val="00084E0C"/>
    <w:rsid w:val="00084E49"/>
    <w:rsid w:val="00084EEA"/>
    <w:rsid w:val="0008525B"/>
    <w:rsid w:val="00085296"/>
    <w:rsid w:val="000853A0"/>
    <w:rsid w:val="000855FC"/>
    <w:rsid w:val="0008619D"/>
    <w:rsid w:val="000862EE"/>
    <w:rsid w:val="00086951"/>
    <w:rsid w:val="0008703D"/>
    <w:rsid w:val="000871C9"/>
    <w:rsid w:val="000878E5"/>
    <w:rsid w:val="00087A3A"/>
    <w:rsid w:val="00087EF8"/>
    <w:rsid w:val="0009024D"/>
    <w:rsid w:val="00090284"/>
    <w:rsid w:val="000902CB"/>
    <w:rsid w:val="00090422"/>
    <w:rsid w:val="0009081A"/>
    <w:rsid w:val="00090820"/>
    <w:rsid w:val="000908CC"/>
    <w:rsid w:val="000917C1"/>
    <w:rsid w:val="00091E81"/>
    <w:rsid w:val="000920D1"/>
    <w:rsid w:val="000922D3"/>
    <w:rsid w:val="000923D0"/>
    <w:rsid w:val="000923F5"/>
    <w:rsid w:val="00092479"/>
    <w:rsid w:val="000924A1"/>
    <w:rsid w:val="0009287C"/>
    <w:rsid w:val="000932A1"/>
    <w:rsid w:val="00093551"/>
    <w:rsid w:val="0009356E"/>
    <w:rsid w:val="00093606"/>
    <w:rsid w:val="00093C4A"/>
    <w:rsid w:val="0009414B"/>
    <w:rsid w:val="00094368"/>
    <w:rsid w:val="000943D6"/>
    <w:rsid w:val="00094583"/>
    <w:rsid w:val="00094651"/>
    <w:rsid w:val="00094A10"/>
    <w:rsid w:val="00094BCD"/>
    <w:rsid w:val="00094CB3"/>
    <w:rsid w:val="000950EE"/>
    <w:rsid w:val="00095288"/>
    <w:rsid w:val="00095612"/>
    <w:rsid w:val="00095628"/>
    <w:rsid w:val="00095647"/>
    <w:rsid w:val="00095C7C"/>
    <w:rsid w:val="000966C6"/>
    <w:rsid w:val="00096D77"/>
    <w:rsid w:val="00097262"/>
    <w:rsid w:val="00097483"/>
    <w:rsid w:val="0009762A"/>
    <w:rsid w:val="00097BC1"/>
    <w:rsid w:val="00097BE6"/>
    <w:rsid w:val="00097E35"/>
    <w:rsid w:val="00097F8A"/>
    <w:rsid w:val="000A0696"/>
    <w:rsid w:val="000A1085"/>
    <w:rsid w:val="000A11B9"/>
    <w:rsid w:val="000A121F"/>
    <w:rsid w:val="000A1660"/>
    <w:rsid w:val="000A1889"/>
    <w:rsid w:val="000A1BEF"/>
    <w:rsid w:val="000A1F0D"/>
    <w:rsid w:val="000A1F75"/>
    <w:rsid w:val="000A200A"/>
    <w:rsid w:val="000A26AE"/>
    <w:rsid w:val="000A2B53"/>
    <w:rsid w:val="000A2F41"/>
    <w:rsid w:val="000A309A"/>
    <w:rsid w:val="000A3A9E"/>
    <w:rsid w:val="000A3B50"/>
    <w:rsid w:val="000A3C66"/>
    <w:rsid w:val="000A3C93"/>
    <w:rsid w:val="000A4D42"/>
    <w:rsid w:val="000A518E"/>
    <w:rsid w:val="000A54B9"/>
    <w:rsid w:val="000A5702"/>
    <w:rsid w:val="000A5AFF"/>
    <w:rsid w:val="000A5D8C"/>
    <w:rsid w:val="000A5D9E"/>
    <w:rsid w:val="000A5F70"/>
    <w:rsid w:val="000A705B"/>
    <w:rsid w:val="000A73CE"/>
    <w:rsid w:val="000A7489"/>
    <w:rsid w:val="000A7826"/>
    <w:rsid w:val="000A7C8B"/>
    <w:rsid w:val="000B0507"/>
    <w:rsid w:val="000B099B"/>
    <w:rsid w:val="000B0A19"/>
    <w:rsid w:val="000B0ABB"/>
    <w:rsid w:val="000B0B64"/>
    <w:rsid w:val="000B0B86"/>
    <w:rsid w:val="000B0D4B"/>
    <w:rsid w:val="000B1093"/>
    <w:rsid w:val="000B1170"/>
    <w:rsid w:val="000B1251"/>
    <w:rsid w:val="000B1418"/>
    <w:rsid w:val="000B15A4"/>
    <w:rsid w:val="000B17D6"/>
    <w:rsid w:val="000B294C"/>
    <w:rsid w:val="000B2ED3"/>
    <w:rsid w:val="000B2F8E"/>
    <w:rsid w:val="000B31AF"/>
    <w:rsid w:val="000B332E"/>
    <w:rsid w:val="000B35E1"/>
    <w:rsid w:val="000B362A"/>
    <w:rsid w:val="000B368E"/>
    <w:rsid w:val="000B370A"/>
    <w:rsid w:val="000B3D9C"/>
    <w:rsid w:val="000B47F1"/>
    <w:rsid w:val="000B4B12"/>
    <w:rsid w:val="000B5477"/>
    <w:rsid w:val="000B563A"/>
    <w:rsid w:val="000B64D6"/>
    <w:rsid w:val="000B6761"/>
    <w:rsid w:val="000B6A0D"/>
    <w:rsid w:val="000B6D1A"/>
    <w:rsid w:val="000B702C"/>
    <w:rsid w:val="000B7623"/>
    <w:rsid w:val="000B781C"/>
    <w:rsid w:val="000B7CFB"/>
    <w:rsid w:val="000C016A"/>
    <w:rsid w:val="000C0352"/>
    <w:rsid w:val="000C0595"/>
    <w:rsid w:val="000C0C73"/>
    <w:rsid w:val="000C0F8E"/>
    <w:rsid w:val="000C1076"/>
    <w:rsid w:val="000C117B"/>
    <w:rsid w:val="000C138F"/>
    <w:rsid w:val="000C1608"/>
    <w:rsid w:val="000C1B7A"/>
    <w:rsid w:val="000C1DBC"/>
    <w:rsid w:val="000C1F00"/>
    <w:rsid w:val="000C2569"/>
    <w:rsid w:val="000C258E"/>
    <w:rsid w:val="000C26D5"/>
    <w:rsid w:val="000C270B"/>
    <w:rsid w:val="000C271E"/>
    <w:rsid w:val="000C2E74"/>
    <w:rsid w:val="000C2E8D"/>
    <w:rsid w:val="000C3111"/>
    <w:rsid w:val="000C3311"/>
    <w:rsid w:val="000C333F"/>
    <w:rsid w:val="000C3676"/>
    <w:rsid w:val="000C3A8A"/>
    <w:rsid w:val="000C3C1D"/>
    <w:rsid w:val="000C3C5D"/>
    <w:rsid w:val="000C4190"/>
    <w:rsid w:val="000C4371"/>
    <w:rsid w:val="000C447A"/>
    <w:rsid w:val="000C455E"/>
    <w:rsid w:val="000C46F7"/>
    <w:rsid w:val="000C48CF"/>
    <w:rsid w:val="000C4A69"/>
    <w:rsid w:val="000C4AED"/>
    <w:rsid w:val="000C4C71"/>
    <w:rsid w:val="000C4EC8"/>
    <w:rsid w:val="000C5202"/>
    <w:rsid w:val="000C5391"/>
    <w:rsid w:val="000C5C3A"/>
    <w:rsid w:val="000C5E2F"/>
    <w:rsid w:val="000C6432"/>
    <w:rsid w:val="000C69CB"/>
    <w:rsid w:val="000C71CD"/>
    <w:rsid w:val="000C735B"/>
    <w:rsid w:val="000C73E1"/>
    <w:rsid w:val="000C7610"/>
    <w:rsid w:val="000C7872"/>
    <w:rsid w:val="000C7C2D"/>
    <w:rsid w:val="000D0721"/>
    <w:rsid w:val="000D08CD"/>
    <w:rsid w:val="000D11CE"/>
    <w:rsid w:val="000D11F9"/>
    <w:rsid w:val="000D136E"/>
    <w:rsid w:val="000D19C8"/>
    <w:rsid w:val="000D1DF7"/>
    <w:rsid w:val="000D1E0A"/>
    <w:rsid w:val="000D1F5D"/>
    <w:rsid w:val="000D21C8"/>
    <w:rsid w:val="000D2BB2"/>
    <w:rsid w:val="000D2FC0"/>
    <w:rsid w:val="000D3103"/>
    <w:rsid w:val="000D33AF"/>
    <w:rsid w:val="000D41E8"/>
    <w:rsid w:val="000D48B0"/>
    <w:rsid w:val="000D4978"/>
    <w:rsid w:val="000D4B29"/>
    <w:rsid w:val="000D4C17"/>
    <w:rsid w:val="000D52E9"/>
    <w:rsid w:val="000D55DA"/>
    <w:rsid w:val="000D5745"/>
    <w:rsid w:val="000D601B"/>
    <w:rsid w:val="000D6182"/>
    <w:rsid w:val="000D6205"/>
    <w:rsid w:val="000D67DB"/>
    <w:rsid w:val="000D6D0C"/>
    <w:rsid w:val="000D6D60"/>
    <w:rsid w:val="000D6F2B"/>
    <w:rsid w:val="000D73E0"/>
    <w:rsid w:val="000D798B"/>
    <w:rsid w:val="000D7F34"/>
    <w:rsid w:val="000E0573"/>
    <w:rsid w:val="000E0677"/>
    <w:rsid w:val="000E07F9"/>
    <w:rsid w:val="000E0F91"/>
    <w:rsid w:val="000E12C3"/>
    <w:rsid w:val="000E1551"/>
    <w:rsid w:val="000E1B85"/>
    <w:rsid w:val="000E1BAB"/>
    <w:rsid w:val="000E1F15"/>
    <w:rsid w:val="000E2187"/>
    <w:rsid w:val="000E230F"/>
    <w:rsid w:val="000E2535"/>
    <w:rsid w:val="000E2730"/>
    <w:rsid w:val="000E2B41"/>
    <w:rsid w:val="000E2DA5"/>
    <w:rsid w:val="000E2EFF"/>
    <w:rsid w:val="000E377A"/>
    <w:rsid w:val="000E37B9"/>
    <w:rsid w:val="000E391E"/>
    <w:rsid w:val="000E3A8C"/>
    <w:rsid w:val="000E3A95"/>
    <w:rsid w:val="000E3D97"/>
    <w:rsid w:val="000E432E"/>
    <w:rsid w:val="000E43B8"/>
    <w:rsid w:val="000E47C0"/>
    <w:rsid w:val="000E48CB"/>
    <w:rsid w:val="000E4A84"/>
    <w:rsid w:val="000E4BB1"/>
    <w:rsid w:val="000E4BD7"/>
    <w:rsid w:val="000E4C5B"/>
    <w:rsid w:val="000E4CB5"/>
    <w:rsid w:val="000E4D44"/>
    <w:rsid w:val="000E4E8F"/>
    <w:rsid w:val="000E50C2"/>
    <w:rsid w:val="000E50F4"/>
    <w:rsid w:val="000E5621"/>
    <w:rsid w:val="000E5C02"/>
    <w:rsid w:val="000E5CED"/>
    <w:rsid w:val="000E609D"/>
    <w:rsid w:val="000E6357"/>
    <w:rsid w:val="000E6655"/>
    <w:rsid w:val="000E6670"/>
    <w:rsid w:val="000E671A"/>
    <w:rsid w:val="000E69BA"/>
    <w:rsid w:val="000E6C95"/>
    <w:rsid w:val="000E707E"/>
    <w:rsid w:val="000E70D3"/>
    <w:rsid w:val="000F00E5"/>
    <w:rsid w:val="000F0139"/>
    <w:rsid w:val="000F0C38"/>
    <w:rsid w:val="000F0FA1"/>
    <w:rsid w:val="000F1496"/>
    <w:rsid w:val="000F16B0"/>
    <w:rsid w:val="000F1A1B"/>
    <w:rsid w:val="000F22F5"/>
    <w:rsid w:val="000F254F"/>
    <w:rsid w:val="000F2910"/>
    <w:rsid w:val="000F2C66"/>
    <w:rsid w:val="000F3A63"/>
    <w:rsid w:val="000F3C06"/>
    <w:rsid w:val="000F3CBD"/>
    <w:rsid w:val="000F3EDE"/>
    <w:rsid w:val="000F43E4"/>
    <w:rsid w:val="000F44A9"/>
    <w:rsid w:val="000F44D6"/>
    <w:rsid w:val="000F487C"/>
    <w:rsid w:val="000F492F"/>
    <w:rsid w:val="000F49E9"/>
    <w:rsid w:val="000F4BE9"/>
    <w:rsid w:val="000F4E24"/>
    <w:rsid w:val="000F4EC6"/>
    <w:rsid w:val="000F566B"/>
    <w:rsid w:val="000F58AF"/>
    <w:rsid w:val="000F58EF"/>
    <w:rsid w:val="000F5BB9"/>
    <w:rsid w:val="000F61ED"/>
    <w:rsid w:val="000F63C2"/>
    <w:rsid w:val="000F63F5"/>
    <w:rsid w:val="000F64F9"/>
    <w:rsid w:val="000F6D1D"/>
    <w:rsid w:val="000F6EEB"/>
    <w:rsid w:val="000F6EF1"/>
    <w:rsid w:val="000F75B1"/>
    <w:rsid w:val="000F7A1A"/>
    <w:rsid w:val="000F7B89"/>
    <w:rsid w:val="000F7CAF"/>
    <w:rsid w:val="000F7F3A"/>
    <w:rsid w:val="00100370"/>
    <w:rsid w:val="0010049C"/>
    <w:rsid w:val="00100A56"/>
    <w:rsid w:val="001013C3"/>
    <w:rsid w:val="001014DA"/>
    <w:rsid w:val="00101562"/>
    <w:rsid w:val="001015E3"/>
    <w:rsid w:val="00101654"/>
    <w:rsid w:val="00101AF1"/>
    <w:rsid w:val="00101C15"/>
    <w:rsid w:val="001021B5"/>
    <w:rsid w:val="00102455"/>
    <w:rsid w:val="00102567"/>
    <w:rsid w:val="00102BD7"/>
    <w:rsid w:val="00102D94"/>
    <w:rsid w:val="00103C2D"/>
    <w:rsid w:val="00103C3E"/>
    <w:rsid w:val="00103F35"/>
    <w:rsid w:val="001040CA"/>
    <w:rsid w:val="001040E1"/>
    <w:rsid w:val="001041AF"/>
    <w:rsid w:val="00104710"/>
    <w:rsid w:val="0010475E"/>
    <w:rsid w:val="001053B7"/>
    <w:rsid w:val="00105656"/>
    <w:rsid w:val="001058C0"/>
    <w:rsid w:val="00105B2A"/>
    <w:rsid w:val="00106074"/>
    <w:rsid w:val="00106338"/>
    <w:rsid w:val="0010654A"/>
    <w:rsid w:val="0010660B"/>
    <w:rsid w:val="001066E5"/>
    <w:rsid w:val="00106EB2"/>
    <w:rsid w:val="001073BC"/>
    <w:rsid w:val="00107410"/>
    <w:rsid w:val="00107AE8"/>
    <w:rsid w:val="00107CA1"/>
    <w:rsid w:val="00107FF9"/>
    <w:rsid w:val="00110108"/>
    <w:rsid w:val="0011036B"/>
    <w:rsid w:val="001105B9"/>
    <w:rsid w:val="00110658"/>
    <w:rsid w:val="00110747"/>
    <w:rsid w:val="00110D6B"/>
    <w:rsid w:val="0011111A"/>
    <w:rsid w:val="001113E3"/>
    <w:rsid w:val="00111409"/>
    <w:rsid w:val="00111ADD"/>
    <w:rsid w:val="00111C46"/>
    <w:rsid w:val="00112348"/>
    <w:rsid w:val="00112D26"/>
    <w:rsid w:val="00112DBE"/>
    <w:rsid w:val="00112DE5"/>
    <w:rsid w:val="00113899"/>
    <w:rsid w:val="00113AC5"/>
    <w:rsid w:val="00113BF6"/>
    <w:rsid w:val="00114557"/>
    <w:rsid w:val="001147E3"/>
    <w:rsid w:val="00114864"/>
    <w:rsid w:val="00114BD0"/>
    <w:rsid w:val="00114D6C"/>
    <w:rsid w:val="00114EAB"/>
    <w:rsid w:val="00114EBD"/>
    <w:rsid w:val="00114EFB"/>
    <w:rsid w:val="00115507"/>
    <w:rsid w:val="001156F6"/>
    <w:rsid w:val="00115BE7"/>
    <w:rsid w:val="00115D7A"/>
    <w:rsid w:val="00115F87"/>
    <w:rsid w:val="00116068"/>
    <w:rsid w:val="0011609F"/>
    <w:rsid w:val="00116647"/>
    <w:rsid w:val="00116654"/>
    <w:rsid w:val="00116B10"/>
    <w:rsid w:val="00116CBA"/>
    <w:rsid w:val="00116DEA"/>
    <w:rsid w:val="00116EF0"/>
    <w:rsid w:val="00117BE6"/>
    <w:rsid w:val="00117EB9"/>
    <w:rsid w:val="00120755"/>
    <w:rsid w:val="00120861"/>
    <w:rsid w:val="00120952"/>
    <w:rsid w:val="001209B5"/>
    <w:rsid w:val="00120C3C"/>
    <w:rsid w:val="001214B3"/>
    <w:rsid w:val="0012158A"/>
    <w:rsid w:val="0012218B"/>
    <w:rsid w:val="0012241E"/>
    <w:rsid w:val="00122507"/>
    <w:rsid w:val="0012285E"/>
    <w:rsid w:val="001228EE"/>
    <w:rsid w:val="00122AD7"/>
    <w:rsid w:val="00122BCE"/>
    <w:rsid w:val="00122C0F"/>
    <w:rsid w:val="00122C95"/>
    <w:rsid w:val="001230BF"/>
    <w:rsid w:val="0012326F"/>
    <w:rsid w:val="00123442"/>
    <w:rsid w:val="001234E6"/>
    <w:rsid w:val="0012419A"/>
    <w:rsid w:val="0012466C"/>
    <w:rsid w:val="0012493F"/>
    <w:rsid w:val="001249D4"/>
    <w:rsid w:val="00125098"/>
    <w:rsid w:val="0012516D"/>
    <w:rsid w:val="00125256"/>
    <w:rsid w:val="0012529C"/>
    <w:rsid w:val="0012537C"/>
    <w:rsid w:val="001256BC"/>
    <w:rsid w:val="00125792"/>
    <w:rsid w:val="00125A32"/>
    <w:rsid w:val="00125A4A"/>
    <w:rsid w:val="00125C93"/>
    <w:rsid w:val="00125CAD"/>
    <w:rsid w:val="00125F5B"/>
    <w:rsid w:val="00126073"/>
    <w:rsid w:val="001262DE"/>
    <w:rsid w:val="0012645F"/>
    <w:rsid w:val="001264BE"/>
    <w:rsid w:val="00126C45"/>
    <w:rsid w:val="00126C71"/>
    <w:rsid w:val="00127158"/>
    <w:rsid w:val="00127162"/>
    <w:rsid w:val="00127703"/>
    <w:rsid w:val="00127A10"/>
    <w:rsid w:val="00127ADE"/>
    <w:rsid w:val="00127D2E"/>
    <w:rsid w:val="0013012F"/>
    <w:rsid w:val="0013068D"/>
    <w:rsid w:val="001307DF"/>
    <w:rsid w:val="00130B64"/>
    <w:rsid w:val="00130D2F"/>
    <w:rsid w:val="00131392"/>
    <w:rsid w:val="00131445"/>
    <w:rsid w:val="001314AB"/>
    <w:rsid w:val="001317E3"/>
    <w:rsid w:val="00131D95"/>
    <w:rsid w:val="00131DC3"/>
    <w:rsid w:val="00132227"/>
    <w:rsid w:val="00132437"/>
    <w:rsid w:val="00132B1D"/>
    <w:rsid w:val="001334DE"/>
    <w:rsid w:val="001336BD"/>
    <w:rsid w:val="00133704"/>
    <w:rsid w:val="001337F6"/>
    <w:rsid w:val="00133A88"/>
    <w:rsid w:val="00133DD5"/>
    <w:rsid w:val="00133ED0"/>
    <w:rsid w:val="00134175"/>
    <w:rsid w:val="00134341"/>
    <w:rsid w:val="001343D3"/>
    <w:rsid w:val="00134C16"/>
    <w:rsid w:val="00134E30"/>
    <w:rsid w:val="00135113"/>
    <w:rsid w:val="00135859"/>
    <w:rsid w:val="001359FE"/>
    <w:rsid w:val="00135D4B"/>
    <w:rsid w:val="00136051"/>
    <w:rsid w:val="0013612E"/>
    <w:rsid w:val="001363AE"/>
    <w:rsid w:val="00136660"/>
    <w:rsid w:val="00136846"/>
    <w:rsid w:val="00136895"/>
    <w:rsid w:val="00137125"/>
    <w:rsid w:val="00137843"/>
    <w:rsid w:val="00137863"/>
    <w:rsid w:val="00137A6E"/>
    <w:rsid w:val="00137BAB"/>
    <w:rsid w:val="0014030A"/>
    <w:rsid w:val="001408C0"/>
    <w:rsid w:val="00140A5D"/>
    <w:rsid w:val="00140C07"/>
    <w:rsid w:val="00140E64"/>
    <w:rsid w:val="001414E2"/>
    <w:rsid w:val="00141711"/>
    <w:rsid w:val="00141782"/>
    <w:rsid w:val="001421E1"/>
    <w:rsid w:val="0014267C"/>
    <w:rsid w:val="0014268F"/>
    <w:rsid w:val="001426FD"/>
    <w:rsid w:val="00142726"/>
    <w:rsid w:val="0014284F"/>
    <w:rsid w:val="001429F3"/>
    <w:rsid w:val="00142D79"/>
    <w:rsid w:val="00143111"/>
    <w:rsid w:val="00143270"/>
    <w:rsid w:val="00143834"/>
    <w:rsid w:val="00143C97"/>
    <w:rsid w:val="00143CC8"/>
    <w:rsid w:val="00144135"/>
    <w:rsid w:val="0014420D"/>
    <w:rsid w:val="00144317"/>
    <w:rsid w:val="00144377"/>
    <w:rsid w:val="001443D8"/>
    <w:rsid w:val="00144880"/>
    <w:rsid w:val="00144B2E"/>
    <w:rsid w:val="00144CC6"/>
    <w:rsid w:val="00144D14"/>
    <w:rsid w:val="00145107"/>
    <w:rsid w:val="00145406"/>
    <w:rsid w:val="00145839"/>
    <w:rsid w:val="00146104"/>
    <w:rsid w:val="0014647F"/>
    <w:rsid w:val="001468AB"/>
    <w:rsid w:val="001468EB"/>
    <w:rsid w:val="001471B0"/>
    <w:rsid w:val="00147227"/>
    <w:rsid w:val="0014759C"/>
    <w:rsid w:val="0014764C"/>
    <w:rsid w:val="001479F1"/>
    <w:rsid w:val="0015034A"/>
    <w:rsid w:val="001503CC"/>
    <w:rsid w:val="001504D9"/>
    <w:rsid w:val="00150D6C"/>
    <w:rsid w:val="00150DC3"/>
    <w:rsid w:val="0015191C"/>
    <w:rsid w:val="00151AE1"/>
    <w:rsid w:val="00151C24"/>
    <w:rsid w:val="00151F0A"/>
    <w:rsid w:val="0015207F"/>
    <w:rsid w:val="00152368"/>
    <w:rsid w:val="0015271D"/>
    <w:rsid w:val="0015286F"/>
    <w:rsid w:val="00152A75"/>
    <w:rsid w:val="00152EDF"/>
    <w:rsid w:val="0015312A"/>
    <w:rsid w:val="0015356F"/>
    <w:rsid w:val="0015357D"/>
    <w:rsid w:val="00153854"/>
    <w:rsid w:val="00154458"/>
    <w:rsid w:val="00154747"/>
    <w:rsid w:val="001547CD"/>
    <w:rsid w:val="00154DDF"/>
    <w:rsid w:val="00155A0D"/>
    <w:rsid w:val="00155B64"/>
    <w:rsid w:val="00155F2B"/>
    <w:rsid w:val="00156078"/>
    <w:rsid w:val="001563CE"/>
    <w:rsid w:val="00156596"/>
    <w:rsid w:val="001569A6"/>
    <w:rsid w:val="00156AAB"/>
    <w:rsid w:val="00156D62"/>
    <w:rsid w:val="00157063"/>
    <w:rsid w:val="0015786D"/>
    <w:rsid w:val="001579B8"/>
    <w:rsid w:val="00157B68"/>
    <w:rsid w:val="00157D15"/>
    <w:rsid w:val="00157F32"/>
    <w:rsid w:val="001604C8"/>
    <w:rsid w:val="0016054C"/>
    <w:rsid w:val="001605B3"/>
    <w:rsid w:val="001607CB"/>
    <w:rsid w:val="00160C46"/>
    <w:rsid w:val="00160CCD"/>
    <w:rsid w:val="00160D84"/>
    <w:rsid w:val="00160DA7"/>
    <w:rsid w:val="00161337"/>
    <w:rsid w:val="00161630"/>
    <w:rsid w:val="00161B38"/>
    <w:rsid w:val="00161C38"/>
    <w:rsid w:val="00161FAD"/>
    <w:rsid w:val="00162221"/>
    <w:rsid w:val="00162495"/>
    <w:rsid w:val="001624B7"/>
    <w:rsid w:val="0016276D"/>
    <w:rsid w:val="0016278A"/>
    <w:rsid w:val="001629AA"/>
    <w:rsid w:val="00162B00"/>
    <w:rsid w:val="00162E01"/>
    <w:rsid w:val="00163052"/>
    <w:rsid w:val="0016427D"/>
    <w:rsid w:val="00164295"/>
    <w:rsid w:val="00164484"/>
    <w:rsid w:val="00164875"/>
    <w:rsid w:val="001649ED"/>
    <w:rsid w:val="00164BC2"/>
    <w:rsid w:val="00164DE9"/>
    <w:rsid w:val="001655E9"/>
    <w:rsid w:val="001656CC"/>
    <w:rsid w:val="0016595F"/>
    <w:rsid w:val="001665D9"/>
    <w:rsid w:val="001668ED"/>
    <w:rsid w:val="00166B17"/>
    <w:rsid w:val="00166D81"/>
    <w:rsid w:val="00166FF4"/>
    <w:rsid w:val="00167403"/>
    <w:rsid w:val="00167533"/>
    <w:rsid w:val="001675EE"/>
    <w:rsid w:val="001676E0"/>
    <w:rsid w:val="0016788C"/>
    <w:rsid w:val="001678CC"/>
    <w:rsid w:val="001678F8"/>
    <w:rsid w:val="001679AB"/>
    <w:rsid w:val="00167D4D"/>
    <w:rsid w:val="0017062B"/>
    <w:rsid w:val="00170632"/>
    <w:rsid w:val="00170681"/>
    <w:rsid w:val="00170830"/>
    <w:rsid w:val="00170838"/>
    <w:rsid w:val="0017096E"/>
    <w:rsid w:val="00170C68"/>
    <w:rsid w:val="0017115B"/>
    <w:rsid w:val="001711C1"/>
    <w:rsid w:val="00171261"/>
    <w:rsid w:val="00171390"/>
    <w:rsid w:val="00171B93"/>
    <w:rsid w:val="00171EB5"/>
    <w:rsid w:val="0017268F"/>
    <w:rsid w:val="00172711"/>
    <w:rsid w:val="00172CA3"/>
    <w:rsid w:val="00172F33"/>
    <w:rsid w:val="00173560"/>
    <w:rsid w:val="001736B9"/>
    <w:rsid w:val="00173EA8"/>
    <w:rsid w:val="00173FE8"/>
    <w:rsid w:val="0017439B"/>
    <w:rsid w:val="00174513"/>
    <w:rsid w:val="00174A31"/>
    <w:rsid w:val="00174C54"/>
    <w:rsid w:val="00174CCB"/>
    <w:rsid w:val="00175001"/>
    <w:rsid w:val="001753A0"/>
    <w:rsid w:val="0017564D"/>
    <w:rsid w:val="001762AB"/>
    <w:rsid w:val="0017637C"/>
    <w:rsid w:val="001763BF"/>
    <w:rsid w:val="00176460"/>
    <w:rsid w:val="00176610"/>
    <w:rsid w:val="001767CD"/>
    <w:rsid w:val="001768E9"/>
    <w:rsid w:val="00176F9D"/>
    <w:rsid w:val="0017729E"/>
    <w:rsid w:val="00177475"/>
    <w:rsid w:val="001778F6"/>
    <w:rsid w:val="00177E4A"/>
    <w:rsid w:val="0018013E"/>
    <w:rsid w:val="001802B9"/>
    <w:rsid w:val="00180367"/>
    <w:rsid w:val="00180734"/>
    <w:rsid w:val="00180A5F"/>
    <w:rsid w:val="00180ED8"/>
    <w:rsid w:val="001816FB"/>
    <w:rsid w:val="00181752"/>
    <w:rsid w:val="00181856"/>
    <w:rsid w:val="00181D23"/>
    <w:rsid w:val="00181ECD"/>
    <w:rsid w:val="00182149"/>
    <w:rsid w:val="00182BEF"/>
    <w:rsid w:val="001830A8"/>
    <w:rsid w:val="001830BD"/>
    <w:rsid w:val="001835D2"/>
    <w:rsid w:val="00183B90"/>
    <w:rsid w:val="0018417A"/>
    <w:rsid w:val="001841F2"/>
    <w:rsid w:val="00184A2C"/>
    <w:rsid w:val="00184D53"/>
    <w:rsid w:val="00184FE6"/>
    <w:rsid w:val="00185239"/>
    <w:rsid w:val="001854C2"/>
    <w:rsid w:val="001859C8"/>
    <w:rsid w:val="00185B53"/>
    <w:rsid w:val="00185C52"/>
    <w:rsid w:val="00186091"/>
    <w:rsid w:val="001862EF"/>
    <w:rsid w:val="001866C2"/>
    <w:rsid w:val="00186E18"/>
    <w:rsid w:val="001871B8"/>
    <w:rsid w:val="00187562"/>
    <w:rsid w:val="001877F0"/>
    <w:rsid w:val="0018780B"/>
    <w:rsid w:val="00187948"/>
    <w:rsid w:val="00187A94"/>
    <w:rsid w:val="00187B3E"/>
    <w:rsid w:val="00187BBA"/>
    <w:rsid w:val="00190011"/>
    <w:rsid w:val="00190353"/>
    <w:rsid w:val="001906EA"/>
    <w:rsid w:val="00190BFF"/>
    <w:rsid w:val="00190C30"/>
    <w:rsid w:val="00190FDA"/>
    <w:rsid w:val="0019132A"/>
    <w:rsid w:val="0019177D"/>
    <w:rsid w:val="00191E2A"/>
    <w:rsid w:val="00191F76"/>
    <w:rsid w:val="00192AB9"/>
    <w:rsid w:val="00192F32"/>
    <w:rsid w:val="001934D5"/>
    <w:rsid w:val="0019365D"/>
    <w:rsid w:val="00193AD2"/>
    <w:rsid w:val="00193CC8"/>
    <w:rsid w:val="00193F74"/>
    <w:rsid w:val="00193FD2"/>
    <w:rsid w:val="00194B3C"/>
    <w:rsid w:val="0019505F"/>
    <w:rsid w:val="001952D3"/>
    <w:rsid w:val="001955AA"/>
    <w:rsid w:val="00195659"/>
    <w:rsid w:val="00195684"/>
    <w:rsid w:val="001957C7"/>
    <w:rsid w:val="00195871"/>
    <w:rsid w:val="00196100"/>
    <w:rsid w:val="00196107"/>
    <w:rsid w:val="00196B77"/>
    <w:rsid w:val="00196FA5"/>
    <w:rsid w:val="0019703F"/>
    <w:rsid w:val="0019722B"/>
    <w:rsid w:val="001973CE"/>
    <w:rsid w:val="00197647"/>
    <w:rsid w:val="00197881"/>
    <w:rsid w:val="001978EA"/>
    <w:rsid w:val="00197961"/>
    <w:rsid w:val="00197CA1"/>
    <w:rsid w:val="00197DAB"/>
    <w:rsid w:val="00197E05"/>
    <w:rsid w:val="00197F0D"/>
    <w:rsid w:val="001A02AA"/>
    <w:rsid w:val="001A057D"/>
    <w:rsid w:val="001A06E2"/>
    <w:rsid w:val="001A0CC2"/>
    <w:rsid w:val="001A0E7B"/>
    <w:rsid w:val="001A0EFE"/>
    <w:rsid w:val="001A10A9"/>
    <w:rsid w:val="001A10B5"/>
    <w:rsid w:val="001A1270"/>
    <w:rsid w:val="001A1500"/>
    <w:rsid w:val="001A1699"/>
    <w:rsid w:val="001A18F8"/>
    <w:rsid w:val="001A1915"/>
    <w:rsid w:val="001A1944"/>
    <w:rsid w:val="001A19C8"/>
    <w:rsid w:val="001A1BB1"/>
    <w:rsid w:val="001A1C68"/>
    <w:rsid w:val="001A1FD8"/>
    <w:rsid w:val="001A24CA"/>
    <w:rsid w:val="001A27BE"/>
    <w:rsid w:val="001A2952"/>
    <w:rsid w:val="001A2B43"/>
    <w:rsid w:val="001A2CCF"/>
    <w:rsid w:val="001A300A"/>
    <w:rsid w:val="001A3147"/>
    <w:rsid w:val="001A3619"/>
    <w:rsid w:val="001A3CE0"/>
    <w:rsid w:val="001A3DB9"/>
    <w:rsid w:val="001A3F9C"/>
    <w:rsid w:val="001A41E2"/>
    <w:rsid w:val="001A4659"/>
    <w:rsid w:val="001A498A"/>
    <w:rsid w:val="001A4BAE"/>
    <w:rsid w:val="001A4E21"/>
    <w:rsid w:val="001A4F13"/>
    <w:rsid w:val="001A5138"/>
    <w:rsid w:val="001A519E"/>
    <w:rsid w:val="001A573E"/>
    <w:rsid w:val="001A57B5"/>
    <w:rsid w:val="001A57C4"/>
    <w:rsid w:val="001A5899"/>
    <w:rsid w:val="001A59F8"/>
    <w:rsid w:val="001A5A75"/>
    <w:rsid w:val="001A5AFC"/>
    <w:rsid w:val="001A5B5F"/>
    <w:rsid w:val="001A5EFC"/>
    <w:rsid w:val="001A6925"/>
    <w:rsid w:val="001A6DA3"/>
    <w:rsid w:val="001A7117"/>
    <w:rsid w:val="001A754E"/>
    <w:rsid w:val="001A7606"/>
    <w:rsid w:val="001A7757"/>
    <w:rsid w:val="001A785D"/>
    <w:rsid w:val="001A7A99"/>
    <w:rsid w:val="001A7B09"/>
    <w:rsid w:val="001B0954"/>
    <w:rsid w:val="001B09E2"/>
    <w:rsid w:val="001B0A16"/>
    <w:rsid w:val="001B0EAA"/>
    <w:rsid w:val="001B152F"/>
    <w:rsid w:val="001B1581"/>
    <w:rsid w:val="001B1EC8"/>
    <w:rsid w:val="001B1FC6"/>
    <w:rsid w:val="001B212C"/>
    <w:rsid w:val="001B25DF"/>
    <w:rsid w:val="001B2835"/>
    <w:rsid w:val="001B2A04"/>
    <w:rsid w:val="001B2CFC"/>
    <w:rsid w:val="001B2F17"/>
    <w:rsid w:val="001B3911"/>
    <w:rsid w:val="001B3A8D"/>
    <w:rsid w:val="001B3E8C"/>
    <w:rsid w:val="001B426E"/>
    <w:rsid w:val="001B4827"/>
    <w:rsid w:val="001B4A0E"/>
    <w:rsid w:val="001B4EB4"/>
    <w:rsid w:val="001B4F5C"/>
    <w:rsid w:val="001B559B"/>
    <w:rsid w:val="001B5638"/>
    <w:rsid w:val="001B5889"/>
    <w:rsid w:val="001B5A3F"/>
    <w:rsid w:val="001B5B87"/>
    <w:rsid w:val="001B5CFB"/>
    <w:rsid w:val="001B611B"/>
    <w:rsid w:val="001B63B9"/>
    <w:rsid w:val="001B6541"/>
    <w:rsid w:val="001B6692"/>
    <w:rsid w:val="001B66A8"/>
    <w:rsid w:val="001B66AB"/>
    <w:rsid w:val="001B6853"/>
    <w:rsid w:val="001B6DC9"/>
    <w:rsid w:val="001B7354"/>
    <w:rsid w:val="001B7BB1"/>
    <w:rsid w:val="001B7C0B"/>
    <w:rsid w:val="001B7D9B"/>
    <w:rsid w:val="001B7FAE"/>
    <w:rsid w:val="001C00AC"/>
    <w:rsid w:val="001C0285"/>
    <w:rsid w:val="001C05E9"/>
    <w:rsid w:val="001C0E13"/>
    <w:rsid w:val="001C1475"/>
    <w:rsid w:val="001C1547"/>
    <w:rsid w:val="001C1703"/>
    <w:rsid w:val="001C17F6"/>
    <w:rsid w:val="001C1BCF"/>
    <w:rsid w:val="001C236F"/>
    <w:rsid w:val="001C2CE4"/>
    <w:rsid w:val="001C2FBB"/>
    <w:rsid w:val="001C3106"/>
    <w:rsid w:val="001C329C"/>
    <w:rsid w:val="001C347B"/>
    <w:rsid w:val="001C3715"/>
    <w:rsid w:val="001C3BCA"/>
    <w:rsid w:val="001C3DC3"/>
    <w:rsid w:val="001C3DEB"/>
    <w:rsid w:val="001C4109"/>
    <w:rsid w:val="001C4235"/>
    <w:rsid w:val="001C4995"/>
    <w:rsid w:val="001C4AA7"/>
    <w:rsid w:val="001C4AB8"/>
    <w:rsid w:val="001C4CA0"/>
    <w:rsid w:val="001C4CFB"/>
    <w:rsid w:val="001C4D52"/>
    <w:rsid w:val="001C4EA3"/>
    <w:rsid w:val="001C50DA"/>
    <w:rsid w:val="001C5375"/>
    <w:rsid w:val="001C5D09"/>
    <w:rsid w:val="001C5D43"/>
    <w:rsid w:val="001C5E6C"/>
    <w:rsid w:val="001C5F7A"/>
    <w:rsid w:val="001C5FFE"/>
    <w:rsid w:val="001C6076"/>
    <w:rsid w:val="001C6425"/>
    <w:rsid w:val="001C6600"/>
    <w:rsid w:val="001C6704"/>
    <w:rsid w:val="001C683F"/>
    <w:rsid w:val="001C6A09"/>
    <w:rsid w:val="001C6B13"/>
    <w:rsid w:val="001C6C95"/>
    <w:rsid w:val="001C6C97"/>
    <w:rsid w:val="001C6CFB"/>
    <w:rsid w:val="001C6DCF"/>
    <w:rsid w:val="001C701A"/>
    <w:rsid w:val="001C71FF"/>
    <w:rsid w:val="001C73BD"/>
    <w:rsid w:val="001C7572"/>
    <w:rsid w:val="001C765F"/>
    <w:rsid w:val="001C793D"/>
    <w:rsid w:val="001C7DCE"/>
    <w:rsid w:val="001C7F01"/>
    <w:rsid w:val="001C7F4E"/>
    <w:rsid w:val="001D0311"/>
    <w:rsid w:val="001D04E1"/>
    <w:rsid w:val="001D0C21"/>
    <w:rsid w:val="001D0E9F"/>
    <w:rsid w:val="001D0FA5"/>
    <w:rsid w:val="001D131E"/>
    <w:rsid w:val="001D1869"/>
    <w:rsid w:val="001D2002"/>
    <w:rsid w:val="001D24AC"/>
    <w:rsid w:val="001D27A5"/>
    <w:rsid w:val="001D29A5"/>
    <w:rsid w:val="001D2ADC"/>
    <w:rsid w:val="001D2B86"/>
    <w:rsid w:val="001D342E"/>
    <w:rsid w:val="001D3574"/>
    <w:rsid w:val="001D3900"/>
    <w:rsid w:val="001D3DEC"/>
    <w:rsid w:val="001D3FD4"/>
    <w:rsid w:val="001D4609"/>
    <w:rsid w:val="001D4CF9"/>
    <w:rsid w:val="001D4D35"/>
    <w:rsid w:val="001D4EC2"/>
    <w:rsid w:val="001D52FB"/>
    <w:rsid w:val="001D56F2"/>
    <w:rsid w:val="001D595F"/>
    <w:rsid w:val="001D5AF1"/>
    <w:rsid w:val="001D5C60"/>
    <w:rsid w:val="001D5CD0"/>
    <w:rsid w:val="001D634F"/>
    <w:rsid w:val="001D6409"/>
    <w:rsid w:val="001D6678"/>
    <w:rsid w:val="001D682D"/>
    <w:rsid w:val="001D69F6"/>
    <w:rsid w:val="001D6A2C"/>
    <w:rsid w:val="001D6D40"/>
    <w:rsid w:val="001D7015"/>
    <w:rsid w:val="001D7022"/>
    <w:rsid w:val="001D707E"/>
    <w:rsid w:val="001D742A"/>
    <w:rsid w:val="001D757B"/>
    <w:rsid w:val="001D79AC"/>
    <w:rsid w:val="001D7D68"/>
    <w:rsid w:val="001D7FB2"/>
    <w:rsid w:val="001E0031"/>
    <w:rsid w:val="001E007E"/>
    <w:rsid w:val="001E01D8"/>
    <w:rsid w:val="001E0608"/>
    <w:rsid w:val="001E073C"/>
    <w:rsid w:val="001E09C8"/>
    <w:rsid w:val="001E0B16"/>
    <w:rsid w:val="001E0BB2"/>
    <w:rsid w:val="001E0DE5"/>
    <w:rsid w:val="001E0F83"/>
    <w:rsid w:val="001E0FE2"/>
    <w:rsid w:val="001E11D6"/>
    <w:rsid w:val="001E11FA"/>
    <w:rsid w:val="001E12D7"/>
    <w:rsid w:val="001E152D"/>
    <w:rsid w:val="001E1E07"/>
    <w:rsid w:val="001E1FED"/>
    <w:rsid w:val="001E2256"/>
    <w:rsid w:val="001E27FD"/>
    <w:rsid w:val="001E2965"/>
    <w:rsid w:val="001E2B58"/>
    <w:rsid w:val="001E2C4C"/>
    <w:rsid w:val="001E3571"/>
    <w:rsid w:val="001E36C4"/>
    <w:rsid w:val="001E45E4"/>
    <w:rsid w:val="001E479B"/>
    <w:rsid w:val="001E4D88"/>
    <w:rsid w:val="001E4EE2"/>
    <w:rsid w:val="001E52FA"/>
    <w:rsid w:val="001E5560"/>
    <w:rsid w:val="001E5EDF"/>
    <w:rsid w:val="001E5EF4"/>
    <w:rsid w:val="001E64F8"/>
    <w:rsid w:val="001E68DC"/>
    <w:rsid w:val="001E6D8B"/>
    <w:rsid w:val="001E70AF"/>
    <w:rsid w:val="001E72A7"/>
    <w:rsid w:val="001E7395"/>
    <w:rsid w:val="001E76CB"/>
    <w:rsid w:val="001E7F5F"/>
    <w:rsid w:val="001F0A7C"/>
    <w:rsid w:val="001F0B38"/>
    <w:rsid w:val="001F0C23"/>
    <w:rsid w:val="001F15E3"/>
    <w:rsid w:val="001F16CA"/>
    <w:rsid w:val="001F1DF6"/>
    <w:rsid w:val="001F2006"/>
    <w:rsid w:val="001F2028"/>
    <w:rsid w:val="001F214B"/>
    <w:rsid w:val="001F2347"/>
    <w:rsid w:val="001F2C60"/>
    <w:rsid w:val="001F30F9"/>
    <w:rsid w:val="001F3171"/>
    <w:rsid w:val="001F33BD"/>
    <w:rsid w:val="001F3510"/>
    <w:rsid w:val="001F3521"/>
    <w:rsid w:val="001F3A40"/>
    <w:rsid w:val="001F3AFD"/>
    <w:rsid w:val="001F3E14"/>
    <w:rsid w:val="001F412C"/>
    <w:rsid w:val="001F4215"/>
    <w:rsid w:val="001F4CD9"/>
    <w:rsid w:val="001F51FB"/>
    <w:rsid w:val="001F5424"/>
    <w:rsid w:val="001F5491"/>
    <w:rsid w:val="001F5CC1"/>
    <w:rsid w:val="001F6307"/>
    <w:rsid w:val="001F668A"/>
    <w:rsid w:val="001F6701"/>
    <w:rsid w:val="001F7189"/>
    <w:rsid w:val="001F737C"/>
    <w:rsid w:val="001F76A5"/>
    <w:rsid w:val="001F76F8"/>
    <w:rsid w:val="001F7AC2"/>
    <w:rsid w:val="001F7DCB"/>
    <w:rsid w:val="00200517"/>
    <w:rsid w:val="00200D92"/>
    <w:rsid w:val="00201486"/>
    <w:rsid w:val="00201671"/>
    <w:rsid w:val="002020D3"/>
    <w:rsid w:val="0020223D"/>
    <w:rsid w:val="0020272C"/>
    <w:rsid w:val="002027E9"/>
    <w:rsid w:val="00202D4F"/>
    <w:rsid w:val="00202FE4"/>
    <w:rsid w:val="0020305D"/>
    <w:rsid w:val="002038F5"/>
    <w:rsid w:val="002040CD"/>
    <w:rsid w:val="0020415E"/>
    <w:rsid w:val="002043B2"/>
    <w:rsid w:val="00204739"/>
    <w:rsid w:val="002047BA"/>
    <w:rsid w:val="00205046"/>
    <w:rsid w:val="0020530E"/>
    <w:rsid w:val="00205682"/>
    <w:rsid w:val="00205B29"/>
    <w:rsid w:val="00205F60"/>
    <w:rsid w:val="00206001"/>
    <w:rsid w:val="00206159"/>
    <w:rsid w:val="002061A2"/>
    <w:rsid w:val="002064BC"/>
    <w:rsid w:val="002065F8"/>
    <w:rsid w:val="00206670"/>
    <w:rsid w:val="002067E2"/>
    <w:rsid w:val="00206938"/>
    <w:rsid w:val="00206BD7"/>
    <w:rsid w:val="00206F2F"/>
    <w:rsid w:val="00206F9E"/>
    <w:rsid w:val="00207335"/>
    <w:rsid w:val="002073AB"/>
    <w:rsid w:val="00207D39"/>
    <w:rsid w:val="0021054D"/>
    <w:rsid w:val="00210637"/>
    <w:rsid w:val="002107F0"/>
    <w:rsid w:val="00210921"/>
    <w:rsid w:val="00210BFC"/>
    <w:rsid w:val="00211162"/>
    <w:rsid w:val="0021117F"/>
    <w:rsid w:val="002111A9"/>
    <w:rsid w:val="00211335"/>
    <w:rsid w:val="00211394"/>
    <w:rsid w:val="00211655"/>
    <w:rsid w:val="0021178E"/>
    <w:rsid w:val="00211799"/>
    <w:rsid w:val="0021180D"/>
    <w:rsid w:val="0021184F"/>
    <w:rsid w:val="00211A4E"/>
    <w:rsid w:val="00211D80"/>
    <w:rsid w:val="002122B7"/>
    <w:rsid w:val="00212403"/>
    <w:rsid w:val="00212476"/>
    <w:rsid w:val="002126F2"/>
    <w:rsid w:val="0021273B"/>
    <w:rsid w:val="00212DE0"/>
    <w:rsid w:val="00212E1C"/>
    <w:rsid w:val="002130C2"/>
    <w:rsid w:val="002131AA"/>
    <w:rsid w:val="002132C5"/>
    <w:rsid w:val="002132F6"/>
    <w:rsid w:val="0021362E"/>
    <w:rsid w:val="00213706"/>
    <w:rsid w:val="002138AF"/>
    <w:rsid w:val="00213D33"/>
    <w:rsid w:val="002140CB"/>
    <w:rsid w:val="002141EA"/>
    <w:rsid w:val="002143EA"/>
    <w:rsid w:val="00214CA6"/>
    <w:rsid w:val="0021568B"/>
    <w:rsid w:val="00215878"/>
    <w:rsid w:val="002159BA"/>
    <w:rsid w:val="002159CD"/>
    <w:rsid w:val="00215A01"/>
    <w:rsid w:val="00216328"/>
    <w:rsid w:val="00216350"/>
    <w:rsid w:val="00216BDB"/>
    <w:rsid w:val="00216F43"/>
    <w:rsid w:val="00217080"/>
    <w:rsid w:val="002172D5"/>
    <w:rsid w:val="00217793"/>
    <w:rsid w:val="00217C65"/>
    <w:rsid w:val="00217F54"/>
    <w:rsid w:val="002200EC"/>
    <w:rsid w:val="00220228"/>
    <w:rsid w:val="002202DC"/>
    <w:rsid w:val="0022036D"/>
    <w:rsid w:val="0022052A"/>
    <w:rsid w:val="00220A9A"/>
    <w:rsid w:val="00220D35"/>
    <w:rsid w:val="00220DFF"/>
    <w:rsid w:val="002212B3"/>
    <w:rsid w:val="0022142A"/>
    <w:rsid w:val="002217B1"/>
    <w:rsid w:val="002218E9"/>
    <w:rsid w:val="00221C8D"/>
    <w:rsid w:val="00221E36"/>
    <w:rsid w:val="00221FD7"/>
    <w:rsid w:val="00222236"/>
    <w:rsid w:val="0022231E"/>
    <w:rsid w:val="0022237C"/>
    <w:rsid w:val="0022249B"/>
    <w:rsid w:val="00222614"/>
    <w:rsid w:val="002226E8"/>
    <w:rsid w:val="002227F6"/>
    <w:rsid w:val="002230E5"/>
    <w:rsid w:val="002230F0"/>
    <w:rsid w:val="0022323B"/>
    <w:rsid w:val="0022345E"/>
    <w:rsid w:val="00223475"/>
    <w:rsid w:val="00223797"/>
    <w:rsid w:val="00223911"/>
    <w:rsid w:val="00223A80"/>
    <w:rsid w:val="00223B86"/>
    <w:rsid w:val="002244E2"/>
    <w:rsid w:val="0022464C"/>
    <w:rsid w:val="00224AD7"/>
    <w:rsid w:val="00224B3F"/>
    <w:rsid w:val="00224B5F"/>
    <w:rsid w:val="00224C12"/>
    <w:rsid w:val="00224CE9"/>
    <w:rsid w:val="00224D4A"/>
    <w:rsid w:val="00224D72"/>
    <w:rsid w:val="00225747"/>
    <w:rsid w:val="00225762"/>
    <w:rsid w:val="00225870"/>
    <w:rsid w:val="00225C76"/>
    <w:rsid w:val="00225DE0"/>
    <w:rsid w:val="00226113"/>
    <w:rsid w:val="00226438"/>
    <w:rsid w:val="00226497"/>
    <w:rsid w:val="002266D4"/>
    <w:rsid w:val="002269D9"/>
    <w:rsid w:val="00226ADA"/>
    <w:rsid w:val="00226C51"/>
    <w:rsid w:val="00226CC8"/>
    <w:rsid w:val="002271B5"/>
    <w:rsid w:val="002275F7"/>
    <w:rsid w:val="002278C2"/>
    <w:rsid w:val="00227B05"/>
    <w:rsid w:val="00227BE6"/>
    <w:rsid w:val="00230197"/>
    <w:rsid w:val="002301AC"/>
    <w:rsid w:val="002301BC"/>
    <w:rsid w:val="0023020F"/>
    <w:rsid w:val="002309A7"/>
    <w:rsid w:val="0023108D"/>
    <w:rsid w:val="002311B6"/>
    <w:rsid w:val="0023122A"/>
    <w:rsid w:val="00231632"/>
    <w:rsid w:val="0023163F"/>
    <w:rsid w:val="002316C2"/>
    <w:rsid w:val="002319CA"/>
    <w:rsid w:val="00231DEC"/>
    <w:rsid w:val="00231EC8"/>
    <w:rsid w:val="00232896"/>
    <w:rsid w:val="002328E5"/>
    <w:rsid w:val="00232A35"/>
    <w:rsid w:val="0023313D"/>
    <w:rsid w:val="002331B6"/>
    <w:rsid w:val="002334CE"/>
    <w:rsid w:val="002342B5"/>
    <w:rsid w:val="00234830"/>
    <w:rsid w:val="002349CF"/>
    <w:rsid w:val="0023536E"/>
    <w:rsid w:val="0023559D"/>
    <w:rsid w:val="002358AD"/>
    <w:rsid w:val="00235A2B"/>
    <w:rsid w:val="00235CB2"/>
    <w:rsid w:val="00235E31"/>
    <w:rsid w:val="00236096"/>
    <w:rsid w:val="0023627E"/>
    <w:rsid w:val="002366BC"/>
    <w:rsid w:val="002368F4"/>
    <w:rsid w:val="00236B80"/>
    <w:rsid w:val="0023719A"/>
    <w:rsid w:val="002374F8"/>
    <w:rsid w:val="00237786"/>
    <w:rsid w:val="00237804"/>
    <w:rsid w:val="00237B30"/>
    <w:rsid w:val="00237E0E"/>
    <w:rsid w:val="00240722"/>
    <w:rsid w:val="00240755"/>
    <w:rsid w:val="00240778"/>
    <w:rsid w:val="00240F93"/>
    <w:rsid w:val="0024126D"/>
    <w:rsid w:val="0024132B"/>
    <w:rsid w:val="0024159A"/>
    <w:rsid w:val="0024170C"/>
    <w:rsid w:val="002417F5"/>
    <w:rsid w:val="0024203F"/>
    <w:rsid w:val="0024207C"/>
    <w:rsid w:val="002421DD"/>
    <w:rsid w:val="0024226C"/>
    <w:rsid w:val="002422DC"/>
    <w:rsid w:val="00242490"/>
    <w:rsid w:val="0024283F"/>
    <w:rsid w:val="00242BBA"/>
    <w:rsid w:val="00243272"/>
    <w:rsid w:val="002439C3"/>
    <w:rsid w:val="002439EB"/>
    <w:rsid w:val="0024422C"/>
    <w:rsid w:val="00244607"/>
    <w:rsid w:val="00244A77"/>
    <w:rsid w:val="00244F57"/>
    <w:rsid w:val="00245423"/>
    <w:rsid w:val="00245964"/>
    <w:rsid w:val="0024694C"/>
    <w:rsid w:val="002469FB"/>
    <w:rsid w:val="00246A9A"/>
    <w:rsid w:val="0024788F"/>
    <w:rsid w:val="002479E1"/>
    <w:rsid w:val="00247AC4"/>
    <w:rsid w:val="00247E2A"/>
    <w:rsid w:val="002506C1"/>
    <w:rsid w:val="00250807"/>
    <w:rsid w:val="00250C4A"/>
    <w:rsid w:val="00250D43"/>
    <w:rsid w:val="00251097"/>
    <w:rsid w:val="0025166F"/>
    <w:rsid w:val="00251677"/>
    <w:rsid w:val="00251734"/>
    <w:rsid w:val="00252178"/>
    <w:rsid w:val="002523AE"/>
    <w:rsid w:val="002523B2"/>
    <w:rsid w:val="00252437"/>
    <w:rsid w:val="002525A8"/>
    <w:rsid w:val="00252C3D"/>
    <w:rsid w:val="00252CF5"/>
    <w:rsid w:val="002530BD"/>
    <w:rsid w:val="00253253"/>
    <w:rsid w:val="00254860"/>
    <w:rsid w:val="00254884"/>
    <w:rsid w:val="00255199"/>
    <w:rsid w:val="002559E0"/>
    <w:rsid w:val="00255F25"/>
    <w:rsid w:val="00255F79"/>
    <w:rsid w:val="0025615C"/>
    <w:rsid w:val="00256483"/>
    <w:rsid w:val="00256588"/>
    <w:rsid w:val="00256819"/>
    <w:rsid w:val="00256F12"/>
    <w:rsid w:val="0025710E"/>
    <w:rsid w:val="002571F5"/>
    <w:rsid w:val="002576F3"/>
    <w:rsid w:val="00257726"/>
    <w:rsid w:val="00257A51"/>
    <w:rsid w:val="00257DED"/>
    <w:rsid w:val="00257E5B"/>
    <w:rsid w:val="00257F80"/>
    <w:rsid w:val="00257FB4"/>
    <w:rsid w:val="002600A3"/>
    <w:rsid w:val="002604F2"/>
    <w:rsid w:val="00260987"/>
    <w:rsid w:val="002609D9"/>
    <w:rsid w:val="00260D11"/>
    <w:rsid w:val="00260EC3"/>
    <w:rsid w:val="002611F4"/>
    <w:rsid w:val="00261474"/>
    <w:rsid w:val="002614FD"/>
    <w:rsid w:val="00261B31"/>
    <w:rsid w:val="00261BCB"/>
    <w:rsid w:val="00261CCB"/>
    <w:rsid w:val="00261D16"/>
    <w:rsid w:val="00261E09"/>
    <w:rsid w:val="0026252F"/>
    <w:rsid w:val="00262BD5"/>
    <w:rsid w:val="00262EFB"/>
    <w:rsid w:val="00263691"/>
    <w:rsid w:val="00263F0B"/>
    <w:rsid w:val="00264569"/>
    <w:rsid w:val="002646A3"/>
    <w:rsid w:val="002648BD"/>
    <w:rsid w:val="00264C7D"/>
    <w:rsid w:val="00264D63"/>
    <w:rsid w:val="00264D8A"/>
    <w:rsid w:val="002650D7"/>
    <w:rsid w:val="002653D3"/>
    <w:rsid w:val="0026550B"/>
    <w:rsid w:val="002659B8"/>
    <w:rsid w:val="00265B22"/>
    <w:rsid w:val="00266148"/>
    <w:rsid w:val="00266222"/>
    <w:rsid w:val="00266385"/>
    <w:rsid w:val="002663A9"/>
    <w:rsid w:val="002669A9"/>
    <w:rsid w:val="002669CC"/>
    <w:rsid w:val="002669F4"/>
    <w:rsid w:val="00266E02"/>
    <w:rsid w:val="0026710C"/>
    <w:rsid w:val="00267B10"/>
    <w:rsid w:val="00270530"/>
    <w:rsid w:val="002705BE"/>
    <w:rsid w:val="00270A51"/>
    <w:rsid w:val="00270B2C"/>
    <w:rsid w:val="00270E02"/>
    <w:rsid w:val="00270EB9"/>
    <w:rsid w:val="0027100A"/>
    <w:rsid w:val="0027106D"/>
    <w:rsid w:val="002711C8"/>
    <w:rsid w:val="00271284"/>
    <w:rsid w:val="0027154E"/>
    <w:rsid w:val="002721AC"/>
    <w:rsid w:val="00272356"/>
    <w:rsid w:val="00272705"/>
    <w:rsid w:val="002728EA"/>
    <w:rsid w:val="00272B77"/>
    <w:rsid w:val="002730BB"/>
    <w:rsid w:val="00273148"/>
    <w:rsid w:val="002731C9"/>
    <w:rsid w:val="0027334F"/>
    <w:rsid w:val="00273514"/>
    <w:rsid w:val="0027361D"/>
    <w:rsid w:val="00273B9A"/>
    <w:rsid w:val="00273E98"/>
    <w:rsid w:val="00274102"/>
    <w:rsid w:val="0027466D"/>
    <w:rsid w:val="00274964"/>
    <w:rsid w:val="00274D25"/>
    <w:rsid w:val="00274DF6"/>
    <w:rsid w:val="0027520C"/>
    <w:rsid w:val="0027520E"/>
    <w:rsid w:val="00275405"/>
    <w:rsid w:val="0027557A"/>
    <w:rsid w:val="0027588C"/>
    <w:rsid w:val="00275D34"/>
    <w:rsid w:val="0027602E"/>
    <w:rsid w:val="00276106"/>
    <w:rsid w:val="002761AC"/>
    <w:rsid w:val="002762D6"/>
    <w:rsid w:val="0027649D"/>
    <w:rsid w:val="002764AE"/>
    <w:rsid w:val="00276790"/>
    <w:rsid w:val="002767AA"/>
    <w:rsid w:val="00276A6E"/>
    <w:rsid w:val="00276BBE"/>
    <w:rsid w:val="00276D58"/>
    <w:rsid w:val="00276DC3"/>
    <w:rsid w:val="00276EBF"/>
    <w:rsid w:val="00277432"/>
    <w:rsid w:val="00277685"/>
    <w:rsid w:val="00277D80"/>
    <w:rsid w:val="00280079"/>
    <w:rsid w:val="002808B5"/>
    <w:rsid w:val="00280BC6"/>
    <w:rsid w:val="00281886"/>
    <w:rsid w:val="00281A9F"/>
    <w:rsid w:val="00281AFB"/>
    <w:rsid w:val="0028224D"/>
    <w:rsid w:val="00282384"/>
    <w:rsid w:val="0028279F"/>
    <w:rsid w:val="00283439"/>
    <w:rsid w:val="002834CE"/>
    <w:rsid w:val="00283E0C"/>
    <w:rsid w:val="002845CD"/>
    <w:rsid w:val="00284933"/>
    <w:rsid w:val="002849A2"/>
    <w:rsid w:val="002849F6"/>
    <w:rsid w:val="00284B37"/>
    <w:rsid w:val="00284B6B"/>
    <w:rsid w:val="00284BCD"/>
    <w:rsid w:val="00284C69"/>
    <w:rsid w:val="00284E7A"/>
    <w:rsid w:val="00284EEC"/>
    <w:rsid w:val="002851D2"/>
    <w:rsid w:val="00285339"/>
    <w:rsid w:val="00285381"/>
    <w:rsid w:val="00285558"/>
    <w:rsid w:val="00285B8F"/>
    <w:rsid w:val="00285C83"/>
    <w:rsid w:val="00285DEC"/>
    <w:rsid w:val="00286343"/>
    <w:rsid w:val="0028636E"/>
    <w:rsid w:val="00286472"/>
    <w:rsid w:val="0028648D"/>
    <w:rsid w:val="002866F3"/>
    <w:rsid w:val="00286D54"/>
    <w:rsid w:val="00287223"/>
    <w:rsid w:val="00287242"/>
    <w:rsid w:val="00287294"/>
    <w:rsid w:val="0028730C"/>
    <w:rsid w:val="0028737D"/>
    <w:rsid w:val="00287396"/>
    <w:rsid w:val="0028752D"/>
    <w:rsid w:val="00287667"/>
    <w:rsid w:val="002878D4"/>
    <w:rsid w:val="00287B5E"/>
    <w:rsid w:val="00287FB6"/>
    <w:rsid w:val="00290173"/>
    <w:rsid w:val="00290B23"/>
    <w:rsid w:val="00290D07"/>
    <w:rsid w:val="002911E4"/>
    <w:rsid w:val="00291449"/>
    <w:rsid w:val="002914B3"/>
    <w:rsid w:val="00291992"/>
    <w:rsid w:val="00291D67"/>
    <w:rsid w:val="00292134"/>
    <w:rsid w:val="00292189"/>
    <w:rsid w:val="002921D1"/>
    <w:rsid w:val="0029250F"/>
    <w:rsid w:val="00292770"/>
    <w:rsid w:val="00292A9C"/>
    <w:rsid w:val="0029319D"/>
    <w:rsid w:val="002933F7"/>
    <w:rsid w:val="00293429"/>
    <w:rsid w:val="0029370D"/>
    <w:rsid w:val="00293759"/>
    <w:rsid w:val="0029390B"/>
    <w:rsid w:val="00293914"/>
    <w:rsid w:val="00293C30"/>
    <w:rsid w:val="00293CC6"/>
    <w:rsid w:val="00293D2C"/>
    <w:rsid w:val="00293EDF"/>
    <w:rsid w:val="00293F0F"/>
    <w:rsid w:val="0029517F"/>
    <w:rsid w:val="00295560"/>
    <w:rsid w:val="002956FF"/>
    <w:rsid w:val="0029597B"/>
    <w:rsid w:val="002962E8"/>
    <w:rsid w:val="00296534"/>
    <w:rsid w:val="002969C6"/>
    <w:rsid w:val="00296B82"/>
    <w:rsid w:val="00296EC0"/>
    <w:rsid w:val="00296EFE"/>
    <w:rsid w:val="00296FF1"/>
    <w:rsid w:val="00297223"/>
    <w:rsid w:val="00297B3F"/>
    <w:rsid w:val="002A0002"/>
    <w:rsid w:val="002A0A25"/>
    <w:rsid w:val="002A0BA2"/>
    <w:rsid w:val="002A11EE"/>
    <w:rsid w:val="002A14F4"/>
    <w:rsid w:val="002A1832"/>
    <w:rsid w:val="002A1971"/>
    <w:rsid w:val="002A1B60"/>
    <w:rsid w:val="002A22C5"/>
    <w:rsid w:val="002A2354"/>
    <w:rsid w:val="002A263B"/>
    <w:rsid w:val="002A29D5"/>
    <w:rsid w:val="002A2D52"/>
    <w:rsid w:val="002A3348"/>
    <w:rsid w:val="002A3484"/>
    <w:rsid w:val="002A364B"/>
    <w:rsid w:val="002A382A"/>
    <w:rsid w:val="002A3913"/>
    <w:rsid w:val="002A3A8E"/>
    <w:rsid w:val="002A409C"/>
    <w:rsid w:val="002A454F"/>
    <w:rsid w:val="002A4D61"/>
    <w:rsid w:val="002A5212"/>
    <w:rsid w:val="002A5470"/>
    <w:rsid w:val="002A55BE"/>
    <w:rsid w:val="002A56B3"/>
    <w:rsid w:val="002A5C5B"/>
    <w:rsid w:val="002A5DB6"/>
    <w:rsid w:val="002A5EEA"/>
    <w:rsid w:val="002A636A"/>
    <w:rsid w:val="002A6A09"/>
    <w:rsid w:val="002A716D"/>
    <w:rsid w:val="002A725C"/>
    <w:rsid w:val="002A75F9"/>
    <w:rsid w:val="002A7951"/>
    <w:rsid w:val="002B000F"/>
    <w:rsid w:val="002B146B"/>
    <w:rsid w:val="002B161E"/>
    <w:rsid w:val="002B1647"/>
    <w:rsid w:val="002B17F0"/>
    <w:rsid w:val="002B1B8A"/>
    <w:rsid w:val="002B1C34"/>
    <w:rsid w:val="002B1E7D"/>
    <w:rsid w:val="002B1E8B"/>
    <w:rsid w:val="002B2055"/>
    <w:rsid w:val="002B24EC"/>
    <w:rsid w:val="002B2601"/>
    <w:rsid w:val="002B2AEC"/>
    <w:rsid w:val="002B2D3D"/>
    <w:rsid w:val="002B2F5F"/>
    <w:rsid w:val="002B3397"/>
    <w:rsid w:val="002B33C4"/>
    <w:rsid w:val="002B34A6"/>
    <w:rsid w:val="002B35BE"/>
    <w:rsid w:val="002B37D9"/>
    <w:rsid w:val="002B37DD"/>
    <w:rsid w:val="002B37FF"/>
    <w:rsid w:val="002B3C70"/>
    <w:rsid w:val="002B3F47"/>
    <w:rsid w:val="002B40D7"/>
    <w:rsid w:val="002B40FD"/>
    <w:rsid w:val="002B4131"/>
    <w:rsid w:val="002B4209"/>
    <w:rsid w:val="002B4368"/>
    <w:rsid w:val="002B4820"/>
    <w:rsid w:val="002B4906"/>
    <w:rsid w:val="002B4DE7"/>
    <w:rsid w:val="002B4E9E"/>
    <w:rsid w:val="002B4F00"/>
    <w:rsid w:val="002B5009"/>
    <w:rsid w:val="002B50B8"/>
    <w:rsid w:val="002B5188"/>
    <w:rsid w:val="002B52DE"/>
    <w:rsid w:val="002B56CB"/>
    <w:rsid w:val="002B5725"/>
    <w:rsid w:val="002B5860"/>
    <w:rsid w:val="002B63D0"/>
    <w:rsid w:val="002B6974"/>
    <w:rsid w:val="002B72AB"/>
    <w:rsid w:val="002B72BA"/>
    <w:rsid w:val="002B76E3"/>
    <w:rsid w:val="002B78E4"/>
    <w:rsid w:val="002B79BE"/>
    <w:rsid w:val="002B7E56"/>
    <w:rsid w:val="002C005C"/>
    <w:rsid w:val="002C030C"/>
    <w:rsid w:val="002C03C1"/>
    <w:rsid w:val="002C05B3"/>
    <w:rsid w:val="002C094E"/>
    <w:rsid w:val="002C0C68"/>
    <w:rsid w:val="002C0EA5"/>
    <w:rsid w:val="002C13FD"/>
    <w:rsid w:val="002C187E"/>
    <w:rsid w:val="002C209A"/>
    <w:rsid w:val="002C27B1"/>
    <w:rsid w:val="002C27F6"/>
    <w:rsid w:val="002C2B61"/>
    <w:rsid w:val="002C2D41"/>
    <w:rsid w:val="002C2D6A"/>
    <w:rsid w:val="002C2FC7"/>
    <w:rsid w:val="002C3065"/>
    <w:rsid w:val="002C3358"/>
    <w:rsid w:val="002C3404"/>
    <w:rsid w:val="002C39F0"/>
    <w:rsid w:val="002C3A48"/>
    <w:rsid w:val="002C4094"/>
    <w:rsid w:val="002C434F"/>
    <w:rsid w:val="002C454A"/>
    <w:rsid w:val="002C46C8"/>
    <w:rsid w:val="002C4D17"/>
    <w:rsid w:val="002C4E8B"/>
    <w:rsid w:val="002C4F94"/>
    <w:rsid w:val="002C509D"/>
    <w:rsid w:val="002C55A0"/>
    <w:rsid w:val="002C5733"/>
    <w:rsid w:val="002C592B"/>
    <w:rsid w:val="002C5CE0"/>
    <w:rsid w:val="002C5D05"/>
    <w:rsid w:val="002C5EB6"/>
    <w:rsid w:val="002C6517"/>
    <w:rsid w:val="002C6596"/>
    <w:rsid w:val="002C695D"/>
    <w:rsid w:val="002C6B38"/>
    <w:rsid w:val="002C77EF"/>
    <w:rsid w:val="002C7ABB"/>
    <w:rsid w:val="002C7E18"/>
    <w:rsid w:val="002C7FBD"/>
    <w:rsid w:val="002D0076"/>
    <w:rsid w:val="002D0618"/>
    <w:rsid w:val="002D073B"/>
    <w:rsid w:val="002D074B"/>
    <w:rsid w:val="002D0A6E"/>
    <w:rsid w:val="002D0E01"/>
    <w:rsid w:val="002D0EBE"/>
    <w:rsid w:val="002D1129"/>
    <w:rsid w:val="002D11BA"/>
    <w:rsid w:val="002D137D"/>
    <w:rsid w:val="002D1A57"/>
    <w:rsid w:val="002D1B25"/>
    <w:rsid w:val="002D1E8B"/>
    <w:rsid w:val="002D1FCF"/>
    <w:rsid w:val="002D2024"/>
    <w:rsid w:val="002D2520"/>
    <w:rsid w:val="002D2B27"/>
    <w:rsid w:val="002D2F58"/>
    <w:rsid w:val="002D2F8A"/>
    <w:rsid w:val="002D3030"/>
    <w:rsid w:val="002D3065"/>
    <w:rsid w:val="002D3683"/>
    <w:rsid w:val="002D3CBC"/>
    <w:rsid w:val="002D4974"/>
    <w:rsid w:val="002D4E77"/>
    <w:rsid w:val="002D4FE1"/>
    <w:rsid w:val="002D5397"/>
    <w:rsid w:val="002D55D1"/>
    <w:rsid w:val="002D562F"/>
    <w:rsid w:val="002D5698"/>
    <w:rsid w:val="002D5805"/>
    <w:rsid w:val="002D6A17"/>
    <w:rsid w:val="002D6B24"/>
    <w:rsid w:val="002D6E8A"/>
    <w:rsid w:val="002D6FF2"/>
    <w:rsid w:val="002D7639"/>
    <w:rsid w:val="002D7CDB"/>
    <w:rsid w:val="002D7FEE"/>
    <w:rsid w:val="002E010E"/>
    <w:rsid w:val="002E13DE"/>
    <w:rsid w:val="002E1657"/>
    <w:rsid w:val="002E1925"/>
    <w:rsid w:val="002E1AEA"/>
    <w:rsid w:val="002E1B56"/>
    <w:rsid w:val="002E2271"/>
    <w:rsid w:val="002E232F"/>
    <w:rsid w:val="002E2522"/>
    <w:rsid w:val="002E31BC"/>
    <w:rsid w:val="002E3DC7"/>
    <w:rsid w:val="002E44C4"/>
    <w:rsid w:val="002E460D"/>
    <w:rsid w:val="002E4616"/>
    <w:rsid w:val="002E46E4"/>
    <w:rsid w:val="002E4ACC"/>
    <w:rsid w:val="002E4CBE"/>
    <w:rsid w:val="002E5014"/>
    <w:rsid w:val="002E50E3"/>
    <w:rsid w:val="002E522D"/>
    <w:rsid w:val="002E5672"/>
    <w:rsid w:val="002E5D49"/>
    <w:rsid w:val="002E6215"/>
    <w:rsid w:val="002E6914"/>
    <w:rsid w:val="002E6AB0"/>
    <w:rsid w:val="002E6ADA"/>
    <w:rsid w:val="002E6B5B"/>
    <w:rsid w:val="002E6BC3"/>
    <w:rsid w:val="002E6F1C"/>
    <w:rsid w:val="002E711A"/>
    <w:rsid w:val="002E71FD"/>
    <w:rsid w:val="002E744B"/>
    <w:rsid w:val="002E77E6"/>
    <w:rsid w:val="002E7ADB"/>
    <w:rsid w:val="002E7B78"/>
    <w:rsid w:val="002E7BA3"/>
    <w:rsid w:val="002E7E74"/>
    <w:rsid w:val="002E7EBF"/>
    <w:rsid w:val="002F0029"/>
    <w:rsid w:val="002F0189"/>
    <w:rsid w:val="002F059A"/>
    <w:rsid w:val="002F0893"/>
    <w:rsid w:val="002F09AC"/>
    <w:rsid w:val="002F0C89"/>
    <w:rsid w:val="002F0FBB"/>
    <w:rsid w:val="002F1285"/>
    <w:rsid w:val="002F13E0"/>
    <w:rsid w:val="002F1557"/>
    <w:rsid w:val="002F159A"/>
    <w:rsid w:val="002F1660"/>
    <w:rsid w:val="002F173F"/>
    <w:rsid w:val="002F1ABC"/>
    <w:rsid w:val="002F1B74"/>
    <w:rsid w:val="002F2345"/>
    <w:rsid w:val="002F2E04"/>
    <w:rsid w:val="002F2ED6"/>
    <w:rsid w:val="002F319F"/>
    <w:rsid w:val="002F3D40"/>
    <w:rsid w:val="002F3D8F"/>
    <w:rsid w:val="002F3DEC"/>
    <w:rsid w:val="002F3DF1"/>
    <w:rsid w:val="002F3FA5"/>
    <w:rsid w:val="002F4270"/>
    <w:rsid w:val="002F469C"/>
    <w:rsid w:val="002F4872"/>
    <w:rsid w:val="002F4C92"/>
    <w:rsid w:val="002F55BB"/>
    <w:rsid w:val="002F57FC"/>
    <w:rsid w:val="002F5D0F"/>
    <w:rsid w:val="002F65FB"/>
    <w:rsid w:val="002F6C11"/>
    <w:rsid w:val="002F6E1B"/>
    <w:rsid w:val="002F7409"/>
    <w:rsid w:val="002F74C8"/>
    <w:rsid w:val="002F7961"/>
    <w:rsid w:val="002F7B92"/>
    <w:rsid w:val="002F7BA5"/>
    <w:rsid w:val="002F7F07"/>
    <w:rsid w:val="002F7F46"/>
    <w:rsid w:val="0030003C"/>
    <w:rsid w:val="0030024A"/>
    <w:rsid w:val="00300AD2"/>
    <w:rsid w:val="00300D6D"/>
    <w:rsid w:val="00300DD6"/>
    <w:rsid w:val="00300EAA"/>
    <w:rsid w:val="003012C9"/>
    <w:rsid w:val="003015BE"/>
    <w:rsid w:val="00301D37"/>
    <w:rsid w:val="003020BB"/>
    <w:rsid w:val="003020DD"/>
    <w:rsid w:val="003020EC"/>
    <w:rsid w:val="003022A2"/>
    <w:rsid w:val="0030295C"/>
    <w:rsid w:val="003029AA"/>
    <w:rsid w:val="00302A32"/>
    <w:rsid w:val="00302C5B"/>
    <w:rsid w:val="00303169"/>
    <w:rsid w:val="0030318C"/>
    <w:rsid w:val="00303300"/>
    <w:rsid w:val="003036B7"/>
    <w:rsid w:val="0030393C"/>
    <w:rsid w:val="00303D20"/>
    <w:rsid w:val="00303F14"/>
    <w:rsid w:val="003042C2"/>
    <w:rsid w:val="00304BF6"/>
    <w:rsid w:val="00304F6C"/>
    <w:rsid w:val="00305A53"/>
    <w:rsid w:val="00305F75"/>
    <w:rsid w:val="0030617A"/>
    <w:rsid w:val="003065D0"/>
    <w:rsid w:val="00306832"/>
    <w:rsid w:val="00306E7E"/>
    <w:rsid w:val="00307AF1"/>
    <w:rsid w:val="00307D49"/>
    <w:rsid w:val="00310507"/>
    <w:rsid w:val="00310578"/>
    <w:rsid w:val="00310664"/>
    <w:rsid w:val="00310AA9"/>
    <w:rsid w:val="00310EFC"/>
    <w:rsid w:val="00310F72"/>
    <w:rsid w:val="00310FB9"/>
    <w:rsid w:val="003111D3"/>
    <w:rsid w:val="003117E7"/>
    <w:rsid w:val="00311DA0"/>
    <w:rsid w:val="00311F37"/>
    <w:rsid w:val="00312142"/>
    <w:rsid w:val="0031215E"/>
    <w:rsid w:val="00312755"/>
    <w:rsid w:val="003127AB"/>
    <w:rsid w:val="003128CD"/>
    <w:rsid w:val="00312C3F"/>
    <w:rsid w:val="0031300D"/>
    <w:rsid w:val="00313C9A"/>
    <w:rsid w:val="00313F72"/>
    <w:rsid w:val="00314140"/>
    <w:rsid w:val="003149CD"/>
    <w:rsid w:val="0031518F"/>
    <w:rsid w:val="003152C7"/>
    <w:rsid w:val="00315310"/>
    <w:rsid w:val="003159A7"/>
    <w:rsid w:val="00315AB6"/>
    <w:rsid w:val="00316057"/>
    <w:rsid w:val="0031611C"/>
    <w:rsid w:val="00316445"/>
    <w:rsid w:val="00316462"/>
    <w:rsid w:val="0031688E"/>
    <w:rsid w:val="00316E1D"/>
    <w:rsid w:val="00316E55"/>
    <w:rsid w:val="003171D7"/>
    <w:rsid w:val="00317C2D"/>
    <w:rsid w:val="00317ED1"/>
    <w:rsid w:val="003206FE"/>
    <w:rsid w:val="00320874"/>
    <w:rsid w:val="003209F8"/>
    <w:rsid w:val="00320CCE"/>
    <w:rsid w:val="00320F84"/>
    <w:rsid w:val="003210AB"/>
    <w:rsid w:val="00321442"/>
    <w:rsid w:val="0032191A"/>
    <w:rsid w:val="00321B0C"/>
    <w:rsid w:val="00322039"/>
    <w:rsid w:val="003225E3"/>
    <w:rsid w:val="003226C6"/>
    <w:rsid w:val="00322D9E"/>
    <w:rsid w:val="00322EA5"/>
    <w:rsid w:val="003230E3"/>
    <w:rsid w:val="003233E9"/>
    <w:rsid w:val="00323B1E"/>
    <w:rsid w:val="00323D0B"/>
    <w:rsid w:val="00323E0E"/>
    <w:rsid w:val="003243B2"/>
    <w:rsid w:val="00324638"/>
    <w:rsid w:val="00324797"/>
    <w:rsid w:val="00324D55"/>
    <w:rsid w:val="00324F60"/>
    <w:rsid w:val="003251AA"/>
    <w:rsid w:val="00325525"/>
    <w:rsid w:val="00325983"/>
    <w:rsid w:val="00325BC4"/>
    <w:rsid w:val="00325CD0"/>
    <w:rsid w:val="003260BA"/>
    <w:rsid w:val="00326633"/>
    <w:rsid w:val="0032683A"/>
    <w:rsid w:val="00326859"/>
    <w:rsid w:val="00326935"/>
    <w:rsid w:val="003269C7"/>
    <w:rsid w:val="00326E79"/>
    <w:rsid w:val="00327345"/>
    <w:rsid w:val="003275D6"/>
    <w:rsid w:val="0032760F"/>
    <w:rsid w:val="00327E92"/>
    <w:rsid w:val="00327F0C"/>
    <w:rsid w:val="00330203"/>
    <w:rsid w:val="003302F5"/>
    <w:rsid w:val="00330353"/>
    <w:rsid w:val="00330471"/>
    <w:rsid w:val="00330F2E"/>
    <w:rsid w:val="0033106C"/>
    <w:rsid w:val="00331197"/>
    <w:rsid w:val="0033135C"/>
    <w:rsid w:val="003314C5"/>
    <w:rsid w:val="003314F4"/>
    <w:rsid w:val="00331719"/>
    <w:rsid w:val="00331783"/>
    <w:rsid w:val="0033181A"/>
    <w:rsid w:val="00331A39"/>
    <w:rsid w:val="003321F9"/>
    <w:rsid w:val="0033274A"/>
    <w:rsid w:val="00332776"/>
    <w:rsid w:val="00332A30"/>
    <w:rsid w:val="00332ABE"/>
    <w:rsid w:val="003330DD"/>
    <w:rsid w:val="00333279"/>
    <w:rsid w:val="00333643"/>
    <w:rsid w:val="00333869"/>
    <w:rsid w:val="003339B1"/>
    <w:rsid w:val="00333CBB"/>
    <w:rsid w:val="00333D50"/>
    <w:rsid w:val="00333D54"/>
    <w:rsid w:val="00333EAF"/>
    <w:rsid w:val="0033456F"/>
    <w:rsid w:val="00334A55"/>
    <w:rsid w:val="00334AB4"/>
    <w:rsid w:val="00334F74"/>
    <w:rsid w:val="00335AB8"/>
    <w:rsid w:val="00335B9D"/>
    <w:rsid w:val="00335D4A"/>
    <w:rsid w:val="0033641B"/>
    <w:rsid w:val="0033660B"/>
    <w:rsid w:val="00336CE5"/>
    <w:rsid w:val="00336FC9"/>
    <w:rsid w:val="0033704D"/>
    <w:rsid w:val="00337327"/>
    <w:rsid w:val="00337378"/>
    <w:rsid w:val="00337497"/>
    <w:rsid w:val="00337719"/>
    <w:rsid w:val="00337E57"/>
    <w:rsid w:val="00337E68"/>
    <w:rsid w:val="00337F36"/>
    <w:rsid w:val="00337FFC"/>
    <w:rsid w:val="003402A0"/>
    <w:rsid w:val="0034045C"/>
    <w:rsid w:val="0034060A"/>
    <w:rsid w:val="00340864"/>
    <w:rsid w:val="00340A68"/>
    <w:rsid w:val="00340B50"/>
    <w:rsid w:val="00340E1F"/>
    <w:rsid w:val="00341498"/>
    <w:rsid w:val="003416CD"/>
    <w:rsid w:val="00341800"/>
    <w:rsid w:val="00341CB2"/>
    <w:rsid w:val="003422C6"/>
    <w:rsid w:val="0034268B"/>
    <w:rsid w:val="00342B76"/>
    <w:rsid w:val="00342E98"/>
    <w:rsid w:val="00342F26"/>
    <w:rsid w:val="00342F5B"/>
    <w:rsid w:val="00342F75"/>
    <w:rsid w:val="003432E0"/>
    <w:rsid w:val="003433C5"/>
    <w:rsid w:val="003434EC"/>
    <w:rsid w:val="0034369E"/>
    <w:rsid w:val="003436D1"/>
    <w:rsid w:val="00343797"/>
    <w:rsid w:val="00343842"/>
    <w:rsid w:val="00343A41"/>
    <w:rsid w:val="00343F2B"/>
    <w:rsid w:val="0034407C"/>
    <w:rsid w:val="003447D8"/>
    <w:rsid w:val="00344C66"/>
    <w:rsid w:val="00344CB5"/>
    <w:rsid w:val="00345087"/>
    <w:rsid w:val="003450E4"/>
    <w:rsid w:val="00345293"/>
    <w:rsid w:val="00345334"/>
    <w:rsid w:val="00345350"/>
    <w:rsid w:val="003462F0"/>
    <w:rsid w:val="003465AA"/>
    <w:rsid w:val="00346836"/>
    <w:rsid w:val="00346A7E"/>
    <w:rsid w:val="00346CF2"/>
    <w:rsid w:val="00347083"/>
    <w:rsid w:val="00347259"/>
    <w:rsid w:val="003501D6"/>
    <w:rsid w:val="00350674"/>
    <w:rsid w:val="00351003"/>
    <w:rsid w:val="0035127B"/>
    <w:rsid w:val="00351292"/>
    <w:rsid w:val="00351646"/>
    <w:rsid w:val="00351E15"/>
    <w:rsid w:val="00352158"/>
    <w:rsid w:val="00352758"/>
    <w:rsid w:val="00352F48"/>
    <w:rsid w:val="003531C3"/>
    <w:rsid w:val="003534B8"/>
    <w:rsid w:val="003534CE"/>
    <w:rsid w:val="00353B73"/>
    <w:rsid w:val="00353BDB"/>
    <w:rsid w:val="00353FBB"/>
    <w:rsid w:val="0035439D"/>
    <w:rsid w:val="00354568"/>
    <w:rsid w:val="00354959"/>
    <w:rsid w:val="00354C57"/>
    <w:rsid w:val="00354D09"/>
    <w:rsid w:val="00355996"/>
    <w:rsid w:val="00355FF9"/>
    <w:rsid w:val="00356377"/>
    <w:rsid w:val="003564E7"/>
    <w:rsid w:val="003565D5"/>
    <w:rsid w:val="003569F5"/>
    <w:rsid w:val="00356A1F"/>
    <w:rsid w:val="00356D6F"/>
    <w:rsid w:val="00356FE8"/>
    <w:rsid w:val="0035700B"/>
    <w:rsid w:val="00357130"/>
    <w:rsid w:val="003571EC"/>
    <w:rsid w:val="00357209"/>
    <w:rsid w:val="00357344"/>
    <w:rsid w:val="003575F1"/>
    <w:rsid w:val="00357EE2"/>
    <w:rsid w:val="003600D5"/>
    <w:rsid w:val="00360D99"/>
    <w:rsid w:val="00360DC8"/>
    <w:rsid w:val="00360E3B"/>
    <w:rsid w:val="0036152D"/>
    <w:rsid w:val="003615A9"/>
    <w:rsid w:val="00361867"/>
    <w:rsid w:val="00361CA7"/>
    <w:rsid w:val="00361F61"/>
    <w:rsid w:val="0036209F"/>
    <w:rsid w:val="0036234A"/>
    <w:rsid w:val="003623E6"/>
    <w:rsid w:val="00362490"/>
    <w:rsid w:val="00362515"/>
    <w:rsid w:val="003626E3"/>
    <w:rsid w:val="00362B9A"/>
    <w:rsid w:val="0036310A"/>
    <w:rsid w:val="0036361E"/>
    <w:rsid w:val="003638C3"/>
    <w:rsid w:val="00364225"/>
    <w:rsid w:val="003647F9"/>
    <w:rsid w:val="00364AA1"/>
    <w:rsid w:val="00364CCA"/>
    <w:rsid w:val="00364D36"/>
    <w:rsid w:val="00365269"/>
    <w:rsid w:val="0036575A"/>
    <w:rsid w:val="0036579C"/>
    <w:rsid w:val="003658A0"/>
    <w:rsid w:val="00366242"/>
    <w:rsid w:val="00366889"/>
    <w:rsid w:val="00366CC2"/>
    <w:rsid w:val="00366D49"/>
    <w:rsid w:val="00366DF8"/>
    <w:rsid w:val="0036760D"/>
    <w:rsid w:val="003678A5"/>
    <w:rsid w:val="00367C58"/>
    <w:rsid w:val="00367CA1"/>
    <w:rsid w:val="0037082B"/>
    <w:rsid w:val="0037133A"/>
    <w:rsid w:val="00371699"/>
    <w:rsid w:val="003717FC"/>
    <w:rsid w:val="00371BCA"/>
    <w:rsid w:val="00371F8E"/>
    <w:rsid w:val="003721D8"/>
    <w:rsid w:val="00372ADF"/>
    <w:rsid w:val="00372B9C"/>
    <w:rsid w:val="00372C4E"/>
    <w:rsid w:val="0037305B"/>
    <w:rsid w:val="003733E2"/>
    <w:rsid w:val="003739B5"/>
    <w:rsid w:val="0037456B"/>
    <w:rsid w:val="00374609"/>
    <w:rsid w:val="00374627"/>
    <w:rsid w:val="00374937"/>
    <w:rsid w:val="003752C2"/>
    <w:rsid w:val="003755B9"/>
    <w:rsid w:val="0037587E"/>
    <w:rsid w:val="0037597E"/>
    <w:rsid w:val="00375EFE"/>
    <w:rsid w:val="003764B5"/>
    <w:rsid w:val="00376E31"/>
    <w:rsid w:val="00377124"/>
    <w:rsid w:val="003773DC"/>
    <w:rsid w:val="00377A79"/>
    <w:rsid w:val="00377B35"/>
    <w:rsid w:val="00377E57"/>
    <w:rsid w:val="00377F64"/>
    <w:rsid w:val="00377F77"/>
    <w:rsid w:val="00380420"/>
    <w:rsid w:val="0038072C"/>
    <w:rsid w:val="00380A63"/>
    <w:rsid w:val="00380B33"/>
    <w:rsid w:val="00381A31"/>
    <w:rsid w:val="00381BAD"/>
    <w:rsid w:val="00381C57"/>
    <w:rsid w:val="00381E4A"/>
    <w:rsid w:val="0038201C"/>
    <w:rsid w:val="00382493"/>
    <w:rsid w:val="003824EC"/>
    <w:rsid w:val="003827AA"/>
    <w:rsid w:val="003828BC"/>
    <w:rsid w:val="00382F2E"/>
    <w:rsid w:val="00382F33"/>
    <w:rsid w:val="00383619"/>
    <w:rsid w:val="003838BE"/>
    <w:rsid w:val="00383DCE"/>
    <w:rsid w:val="00383EFE"/>
    <w:rsid w:val="00384204"/>
    <w:rsid w:val="0038456C"/>
    <w:rsid w:val="00384693"/>
    <w:rsid w:val="00385166"/>
    <w:rsid w:val="003852A5"/>
    <w:rsid w:val="00385423"/>
    <w:rsid w:val="003856EC"/>
    <w:rsid w:val="0038595A"/>
    <w:rsid w:val="00386077"/>
    <w:rsid w:val="0038636E"/>
    <w:rsid w:val="00386630"/>
    <w:rsid w:val="00386B0F"/>
    <w:rsid w:val="0038752C"/>
    <w:rsid w:val="003876AC"/>
    <w:rsid w:val="00387A79"/>
    <w:rsid w:val="00387D2B"/>
    <w:rsid w:val="00387DE8"/>
    <w:rsid w:val="00387F75"/>
    <w:rsid w:val="00387F96"/>
    <w:rsid w:val="003903CF"/>
    <w:rsid w:val="00390431"/>
    <w:rsid w:val="00390B51"/>
    <w:rsid w:val="00390C0C"/>
    <w:rsid w:val="00391090"/>
    <w:rsid w:val="003913E1"/>
    <w:rsid w:val="00391483"/>
    <w:rsid w:val="003915DE"/>
    <w:rsid w:val="00391794"/>
    <w:rsid w:val="00391AE6"/>
    <w:rsid w:val="00391B39"/>
    <w:rsid w:val="00391E59"/>
    <w:rsid w:val="00391F9B"/>
    <w:rsid w:val="00391FC4"/>
    <w:rsid w:val="003921F0"/>
    <w:rsid w:val="00392326"/>
    <w:rsid w:val="003927BF"/>
    <w:rsid w:val="00392E0D"/>
    <w:rsid w:val="00392E26"/>
    <w:rsid w:val="003934AE"/>
    <w:rsid w:val="003934C9"/>
    <w:rsid w:val="00393A75"/>
    <w:rsid w:val="00393BF6"/>
    <w:rsid w:val="00393CEB"/>
    <w:rsid w:val="00393E1F"/>
    <w:rsid w:val="003940DD"/>
    <w:rsid w:val="00394766"/>
    <w:rsid w:val="00394B9A"/>
    <w:rsid w:val="00395015"/>
    <w:rsid w:val="0039507E"/>
    <w:rsid w:val="003953EA"/>
    <w:rsid w:val="003955F8"/>
    <w:rsid w:val="00395A89"/>
    <w:rsid w:val="00396632"/>
    <w:rsid w:val="00396894"/>
    <w:rsid w:val="00396A23"/>
    <w:rsid w:val="00396ADA"/>
    <w:rsid w:val="00396C93"/>
    <w:rsid w:val="0039715D"/>
    <w:rsid w:val="00397CEA"/>
    <w:rsid w:val="00397D59"/>
    <w:rsid w:val="00397FD9"/>
    <w:rsid w:val="003A042C"/>
    <w:rsid w:val="003A0A33"/>
    <w:rsid w:val="003A0B95"/>
    <w:rsid w:val="003A0C03"/>
    <w:rsid w:val="003A12AF"/>
    <w:rsid w:val="003A1317"/>
    <w:rsid w:val="003A13FB"/>
    <w:rsid w:val="003A1828"/>
    <w:rsid w:val="003A184B"/>
    <w:rsid w:val="003A18ED"/>
    <w:rsid w:val="003A18F2"/>
    <w:rsid w:val="003A19CC"/>
    <w:rsid w:val="003A1D8C"/>
    <w:rsid w:val="003A1E89"/>
    <w:rsid w:val="003A23B2"/>
    <w:rsid w:val="003A25A5"/>
    <w:rsid w:val="003A27A4"/>
    <w:rsid w:val="003A2C5E"/>
    <w:rsid w:val="003A2F73"/>
    <w:rsid w:val="003A2FA9"/>
    <w:rsid w:val="003A3162"/>
    <w:rsid w:val="003A31F2"/>
    <w:rsid w:val="003A32AE"/>
    <w:rsid w:val="003A33E4"/>
    <w:rsid w:val="003A3E18"/>
    <w:rsid w:val="003A3EC0"/>
    <w:rsid w:val="003A48DB"/>
    <w:rsid w:val="003A4B4A"/>
    <w:rsid w:val="003A546C"/>
    <w:rsid w:val="003A5648"/>
    <w:rsid w:val="003A56FE"/>
    <w:rsid w:val="003A5741"/>
    <w:rsid w:val="003A594F"/>
    <w:rsid w:val="003A5C0B"/>
    <w:rsid w:val="003A5C70"/>
    <w:rsid w:val="003A6D51"/>
    <w:rsid w:val="003A6D9D"/>
    <w:rsid w:val="003A7012"/>
    <w:rsid w:val="003A73EC"/>
    <w:rsid w:val="003A76BA"/>
    <w:rsid w:val="003A77FC"/>
    <w:rsid w:val="003A7F6B"/>
    <w:rsid w:val="003B0537"/>
    <w:rsid w:val="003B06F3"/>
    <w:rsid w:val="003B0B7E"/>
    <w:rsid w:val="003B0D47"/>
    <w:rsid w:val="003B1200"/>
    <w:rsid w:val="003B1202"/>
    <w:rsid w:val="003B1799"/>
    <w:rsid w:val="003B1846"/>
    <w:rsid w:val="003B1B0D"/>
    <w:rsid w:val="003B1C56"/>
    <w:rsid w:val="003B2166"/>
    <w:rsid w:val="003B27EF"/>
    <w:rsid w:val="003B29FE"/>
    <w:rsid w:val="003B2BA5"/>
    <w:rsid w:val="003B2FDA"/>
    <w:rsid w:val="003B30E4"/>
    <w:rsid w:val="003B337D"/>
    <w:rsid w:val="003B35BC"/>
    <w:rsid w:val="003B35C5"/>
    <w:rsid w:val="003B3A9A"/>
    <w:rsid w:val="003B454E"/>
    <w:rsid w:val="003B47FC"/>
    <w:rsid w:val="003B4988"/>
    <w:rsid w:val="003B4E68"/>
    <w:rsid w:val="003B50A6"/>
    <w:rsid w:val="003B50D2"/>
    <w:rsid w:val="003B50DB"/>
    <w:rsid w:val="003B5111"/>
    <w:rsid w:val="003B5A76"/>
    <w:rsid w:val="003B5ACA"/>
    <w:rsid w:val="003B5FEC"/>
    <w:rsid w:val="003B61A6"/>
    <w:rsid w:val="003B62E3"/>
    <w:rsid w:val="003B6365"/>
    <w:rsid w:val="003B6612"/>
    <w:rsid w:val="003B66C2"/>
    <w:rsid w:val="003B6799"/>
    <w:rsid w:val="003B69CE"/>
    <w:rsid w:val="003B6D71"/>
    <w:rsid w:val="003B6D95"/>
    <w:rsid w:val="003B6DB2"/>
    <w:rsid w:val="003B715A"/>
    <w:rsid w:val="003B71AF"/>
    <w:rsid w:val="003B7657"/>
    <w:rsid w:val="003B78D5"/>
    <w:rsid w:val="003B7B53"/>
    <w:rsid w:val="003B7D6F"/>
    <w:rsid w:val="003B7DD7"/>
    <w:rsid w:val="003C00AB"/>
    <w:rsid w:val="003C08A0"/>
    <w:rsid w:val="003C09D8"/>
    <w:rsid w:val="003C0D0D"/>
    <w:rsid w:val="003C0E1E"/>
    <w:rsid w:val="003C10B0"/>
    <w:rsid w:val="003C1373"/>
    <w:rsid w:val="003C19F9"/>
    <w:rsid w:val="003C1AAB"/>
    <w:rsid w:val="003C1B83"/>
    <w:rsid w:val="003C1E1A"/>
    <w:rsid w:val="003C2470"/>
    <w:rsid w:val="003C2633"/>
    <w:rsid w:val="003C2C2F"/>
    <w:rsid w:val="003C2CB7"/>
    <w:rsid w:val="003C3074"/>
    <w:rsid w:val="003C30B9"/>
    <w:rsid w:val="003C3241"/>
    <w:rsid w:val="003C35D2"/>
    <w:rsid w:val="003C35E9"/>
    <w:rsid w:val="003C3757"/>
    <w:rsid w:val="003C38B7"/>
    <w:rsid w:val="003C39ED"/>
    <w:rsid w:val="003C3D85"/>
    <w:rsid w:val="003C40B8"/>
    <w:rsid w:val="003C41CD"/>
    <w:rsid w:val="003C4301"/>
    <w:rsid w:val="003C44E6"/>
    <w:rsid w:val="003C46FA"/>
    <w:rsid w:val="003C490B"/>
    <w:rsid w:val="003C4A68"/>
    <w:rsid w:val="003C4C9A"/>
    <w:rsid w:val="003C4DAE"/>
    <w:rsid w:val="003C56BB"/>
    <w:rsid w:val="003C5A31"/>
    <w:rsid w:val="003C5C2C"/>
    <w:rsid w:val="003C62E3"/>
    <w:rsid w:val="003C688E"/>
    <w:rsid w:val="003C6A8A"/>
    <w:rsid w:val="003C6D13"/>
    <w:rsid w:val="003C6E91"/>
    <w:rsid w:val="003C731D"/>
    <w:rsid w:val="003C7446"/>
    <w:rsid w:val="003C7661"/>
    <w:rsid w:val="003C78A0"/>
    <w:rsid w:val="003C7B3E"/>
    <w:rsid w:val="003C7C0B"/>
    <w:rsid w:val="003C7CAA"/>
    <w:rsid w:val="003C7DE9"/>
    <w:rsid w:val="003D10B0"/>
    <w:rsid w:val="003D1185"/>
    <w:rsid w:val="003D284C"/>
    <w:rsid w:val="003D2881"/>
    <w:rsid w:val="003D2CC1"/>
    <w:rsid w:val="003D2F5A"/>
    <w:rsid w:val="003D2FB5"/>
    <w:rsid w:val="003D3166"/>
    <w:rsid w:val="003D345C"/>
    <w:rsid w:val="003D3A29"/>
    <w:rsid w:val="003D4133"/>
    <w:rsid w:val="003D44B0"/>
    <w:rsid w:val="003D458A"/>
    <w:rsid w:val="003D4CD7"/>
    <w:rsid w:val="003D4ED0"/>
    <w:rsid w:val="003D4F4C"/>
    <w:rsid w:val="003D5159"/>
    <w:rsid w:val="003D5336"/>
    <w:rsid w:val="003D5AF8"/>
    <w:rsid w:val="003D5CA2"/>
    <w:rsid w:val="003D60CC"/>
    <w:rsid w:val="003D60DF"/>
    <w:rsid w:val="003D638E"/>
    <w:rsid w:val="003D64C2"/>
    <w:rsid w:val="003D66F6"/>
    <w:rsid w:val="003D672B"/>
    <w:rsid w:val="003D68A5"/>
    <w:rsid w:val="003D6DCF"/>
    <w:rsid w:val="003D6E17"/>
    <w:rsid w:val="003D7196"/>
    <w:rsid w:val="003D752F"/>
    <w:rsid w:val="003D7B53"/>
    <w:rsid w:val="003D7B7C"/>
    <w:rsid w:val="003D7E1E"/>
    <w:rsid w:val="003E014F"/>
    <w:rsid w:val="003E0496"/>
    <w:rsid w:val="003E084A"/>
    <w:rsid w:val="003E08DC"/>
    <w:rsid w:val="003E0903"/>
    <w:rsid w:val="003E0E59"/>
    <w:rsid w:val="003E124D"/>
    <w:rsid w:val="003E12B0"/>
    <w:rsid w:val="003E19A8"/>
    <w:rsid w:val="003E1F74"/>
    <w:rsid w:val="003E2094"/>
    <w:rsid w:val="003E24CF"/>
    <w:rsid w:val="003E2602"/>
    <w:rsid w:val="003E2637"/>
    <w:rsid w:val="003E2758"/>
    <w:rsid w:val="003E27A6"/>
    <w:rsid w:val="003E2939"/>
    <w:rsid w:val="003E2D0C"/>
    <w:rsid w:val="003E393A"/>
    <w:rsid w:val="003E3C29"/>
    <w:rsid w:val="003E42A9"/>
    <w:rsid w:val="003E43C5"/>
    <w:rsid w:val="003E44D0"/>
    <w:rsid w:val="003E4637"/>
    <w:rsid w:val="003E487A"/>
    <w:rsid w:val="003E4DD0"/>
    <w:rsid w:val="003E509E"/>
    <w:rsid w:val="003E521D"/>
    <w:rsid w:val="003E53FF"/>
    <w:rsid w:val="003E544F"/>
    <w:rsid w:val="003E56AD"/>
    <w:rsid w:val="003E578A"/>
    <w:rsid w:val="003E58B4"/>
    <w:rsid w:val="003E5B5C"/>
    <w:rsid w:val="003E5D01"/>
    <w:rsid w:val="003E5D94"/>
    <w:rsid w:val="003E5F73"/>
    <w:rsid w:val="003E63FD"/>
    <w:rsid w:val="003E64DB"/>
    <w:rsid w:val="003E7315"/>
    <w:rsid w:val="003E7864"/>
    <w:rsid w:val="003E7956"/>
    <w:rsid w:val="003F051A"/>
    <w:rsid w:val="003F05EF"/>
    <w:rsid w:val="003F1018"/>
    <w:rsid w:val="003F1500"/>
    <w:rsid w:val="003F1881"/>
    <w:rsid w:val="003F1AB0"/>
    <w:rsid w:val="003F220A"/>
    <w:rsid w:val="003F27E4"/>
    <w:rsid w:val="003F2B79"/>
    <w:rsid w:val="003F2F8D"/>
    <w:rsid w:val="003F2FB7"/>
    <w:rsid w:val="003F35F5"/>
    <w:rsid w:val="003F3D2E"/>
    <w:rsid w:val="003F4215"/>
    <w:rsid w:val="003F4896"/>
    <w:rsid w:val="003F589D"/>
    <w:rsid w:val="003F590A"/>
    <w:rsid w:val="003F5A78"/>
    <w:rsid w:val="003F5BD5"/>
    <w:rsid w:val="003F5E49"/>
    <w:rsid w:val="003F5FA6"/>
    <w:rsid w:val="003F6A95"/>
    <w:rsid w:val="003F7121"/>
    <w:rsid w:val="004005DD"/>
    <w:rsid w:val="00400822"/>
    <w:rsid w:val="00400863"/>
    <w:rsid w:val="004017DB"/>
    <w:rsid w:val="00401E11"/>
    <w:rsid w:val="00401E50"/>
    <w:rsid w:val="004023E4"/>
    <w:rsid w:val="004026FD"/>
    <w:rsid w:val="00402AF4"/>
    <w:rsid w:val="00402D60"/>
    <w:rsid w:val="00402E21"/>
    <w:rsid w:val="004035B3"/>
    <w:rsid w:val="00403C33"/>
    <w:rsid w:val="00403D6A"/>
    <w:rsid w:val="00403E56"/>
    <w:rsid w:val="004041FE"/>
    <w:rsid w:val="00404B0A"/>
    <w:rsid w:val="00404B57"/>
    <w:rsid w:val="00404CA6"/>
    <w:rsid w:val="004061BC"/>
    <w:rsid w:val="004062E3"/>
    <w:rsid w:val="00406331"/>
    <w:rsid w:val="004065B6"/>
    <w:rsid w:val="0040673C"/>
    <w:rsid w:val="00406834"/>
    <w:rsid w:val="00406D3C"/>
    <w:rsid w:val="00406DD8"/>
    <w:rsid w:val="00407B2D"/>
    <w:rsid w:val="00407C27"/>
    <w:rsid w:val="00407C2A"/>
    <w:rsid w:val="00407C44"/>
    <w:rsid w:val="00407D9B"/>
    <w:rsid w:val="00407E47"/>
    <w:rsid w:val="00410074"/>
    <w:rsid w:val="004101FD"/>
    <w:rsid w:val="00410523"/>
    <w:rsid w:val="0041081F"/>
    <w:rsid w:val="004109EB"/>
    <w:rsid w:val="00410AA1"/>
    <w:rsid w:val="00410DCC"/>
    <w:rsid w:val="004111F2"/>
    <w:rsid w:val="004112EC"/>
    <w:rsid w:val="004117F7"/>
    <w:rsid w:val="00411A14"/>
    <w:rsid w:val="00411A73"/>
    <w:rsid w:val="00411CB4"/>
    <w:rsid w:val="00411CB9"/>
    <w:rsid w:val="00411E1E"/>
    <w:rsid w:val="00411E7B"/>
    <w:rsid w:val="00411EE8"/>
    <w:rsid w:val="00412352"/>
    <w:rsid w:val="00412773"/>
    <w:rsid w:val="0041277F"/>
    <w:rsid w:val="00413157"/>
    <w:rsid w:val="0041328E"/>
    <w:rsid w:val="0041332C"/>
    <w:rsid w:val="004133CA"/>
    <w:rsid w:val="0041350B"/>
    <w:rsid w:val="004135C2"/>
    <w:rsid w:val="00413800"/>
    <w:rsid w:val="004139BA"/>
    <w:rsid w:val="00413DC3"/>
    <w:rsid w:val="0041465E"/>
    <w:rsid w:val="0041475C"/>
    <w:rsid w:val="00414D33"/>
    <w:rsid w:val="0041504E"/>
    <w:rsid w:val="004150E0"/>
    <w:rsid w:val="004151C9"/>
    <w:rsid w:val="00415244"/>
    <w:rsid w:val="00415521"/>
    <w:rsid w:val="00415AF0"/>
    <w:rsid w:val="00415ED6"/>
    <w:rsid w:val="00416275"/>
    <w:rsid w:val="00416685"/>
    <w:rsid w:val="0041697F"/>
    <w:rsid w:val="004171EE"/>
    <w:rsid w:val="004179D0"/>
    <w:rsid w:val="00417C9D"/>
    <w:rsid w:val="00420166"/>
    <w:rsid w:val="00420363"/>
    <w:rsid w:val="00420ED8"/>
    <w:rsid w:val="00421CD3"/>
    <w:rsid w:val="00421D5E"/>
    <w:rsid w:val="00422163"/>
    <w:rsid w:val="00422911"/>
    <w:rsid w:val="00423196"/>
    <w:rsid w:val="00423227"/>
    <w:rsid w:val="0042374A"/>
    <w:rsid w:val="0042374B"/>
    <w:rsid w:val="004237E7"/>
    <w:rsid w:val="004240BC"/>
    <w:rsid w:val="004242D3"/>
    <w:rsid w:val="0042468E"/>
    <w:rsid w:val="00424983"/>
    <w:rsid w:val="00424B87"/>
    <w:rsid w:val="00424DA0"/>
    <w:rsid w:val="00424E56"/>
    <w:rsid w:val="00424FCE"/>
    <w:rsid w:val="0042525C"/>
    <w:rsid w:val="00425407"/>
    <w:rsid w:val="00425503"/>
    <w:rsid w:val="00425889"/>
    <w:rsid w:val="004259D3"/>
    <w:rsid w:val="00425BA9"/>
    <w:rsid w:val="00425F99"/>
    <w:rsid w:val="004268EE"/>
    <w:rsid w:val="00426B7A"/>
    <w:rsid w:val="00426BEC"/>
    <w:rsid w:val="00426D45"/>
    <w:rsid w:val="0042751E"/>
    <w:rsid w:val="004277DA"/>
    <w:rsid w:val="00427A49"/>
    <w:rsid w:val="00427D0C"/>
    <w:rsid w:val="00430194"/>
    <w:rsid w:val="004302BA"/>
    <w:rsid w:val="004302C7"/>
    <w:rsid w:val="004303F7"/>
    <w:rsid w:val="00430403"/>
    <w:rsid w:val="00430609"/>
    <w:rsid w:val="004306B5"/>
    <w:rsid w:val="00430B4E"/>
    <w:rsid w:val="00430D82"/>
    <w:rsid w:val="00430E5B"/>
    <w:rsid w:val="0043175D"/>
    <w:rsid w:val="00431880"/>
    <w:rsid w:val="00431887"/>
    <w:rsid w:val="00432127"/>
    <w:rsid w:val="00432504"/>
    <w:rsid w:val="0043256C"/>
    <w:rsid w:val="004332C6"/>
    <w:rsid w:val="0043333B"/>
    <w:rsid w:val="004333E6"/>
    <w:rsid w:val="004335A1"/>
    <w:rsid w:val="004335E3"/>
    <w:rsid w:val="004337B5"/>
    <w:rsid w:val="004337F4"/>
    <w:rsid w:val="00433A2F"/>
    <w:rsid w:val="00433A9F"/>
    <w:rsid w:val="00433B18"/>
    <w:rsid w:val="00433B34"/>
    <w:rsid w:val="00433CBE"/>
    <w:rsid w:val="00433F64"/>
    <w:rsid w:val="004342E4"/>
    <w:rsid w:val="0043436C"/>
    <w:rsid w:val="004344DC"/>
    <w:rsid w:val="00434A74"/>
    <w:rsid w:val="00434BAA"/>
    <w:rsid w:val="00435391"/>
    <w:rsid w:val="004353A8"/>
    <w:rsid w:val="00435DC6"/>
    <w:rsid w:val="00436140"/>
    <w:rsid w:val="00436D51"/>
    <w:rsid w:val="00436E9A"/>
    <w:rsid w:val="00436F0F"/>
    <w:rsid w:val="00436FC4"/>
    <w:rsid w:val="00437032"/>
    <w:rsid w:val="004370FD"/>
    <w:rsid w:val="004373B2"/>
    <w:rsid w:val="00437581"/>
    <w:rsid w:val="004378F9"/>
    <w:rsid w:val="0043794C"/>
    <w:rsid w:val="00437DE1"/>
    <w:rsid w:val="00437E0D"/>
    <w:rsid w:val="00437F6F"/>
    <w:rsid w:val="0044047F"/>
    <w:rsid w:val="004407A7"/>
    <w:rsid w:val="00440B17"/>
    <w:rsid w:val="00440B2F"/>
    <w:rsid w:val="00440DCC"/>
    <w:rsid w:val="00440E0D"/>
    <w:rsid w:val="00441058"/>
    <w:rsid w:val="00441447"/>
    <w:rsid w:val="00441694"/>
    <w:rsid w:val="0044172E"/>
    <w:rsid w:val="00441832"/>
    <w:rsid w:val="0044186C"/>
    <w:rsid w:val="00441B21"/>
    <w:rsid w:val="00442706"/>
    <w:rsid w:val="00442F78"/>
    <w:rsid w:val="00442FAB"/>
    <w:rsid w:val="00443146"/>
    <w:rsid w:val="00443312"/>
    <w:rsid w:val="004437AA"/>
    <w:rsid w:val="00443BD4"/>
    <w:rsid w:val="00443DE6"/>
    <w:rsid w:val="00444304"/>
    <w:rsid w:val="004448AB"/>
    <w:rsid w:val="00444AD6"/>
    <w:rsid w:val="00444CFF"/>
    <w:rsid w:val="00444EB5"/>
    <w:rsid w:val="0044517C"/>
    <w:rsid w:val="0044534C"/>
    <w:rsid w:val="0044557D"/>
    <w:rsid w:val="004457A8"/>
    <w:rsid w:val="00445E1B"/>
    <w:rsid w:val="0044692F"/>
    <w:rsid w:val="00446EE9"/>
    <w:rsid w:val="00447224"/>
    <w:rsid w:val="00447338"/>
    <w:rsid w:val="0044750F"/>
    <w:rsid w:val="0044774C"/>
    <w:rsid w:val="00447935"/>
    <w:rsid w:val="00447FD4"/>
    <w:rsid w:val="004503BF"/>
    <w:rsid w:val="00450ACA"/>
    <w:rsid w:val="00450CD0"/>
    <w:rsid w:val="00450F0E"/>
    <w:rsid w:val="00451671"/>
    <w:rsid w:val="00451816"/>
    <w:rsid w:val="004518E5"/>
    <w:rsid w:val="00451F3D"/>
    <w:rsid w:val="0045214E"/>
    <w:rsid w:val="00452896"/>
    <w:rsid w:val="00452983"/>
    <w:rsid w:val="00452CF8"/>
    <w:rsid w:val="00452D9D"/>
    <w:rsid w:val="0045337E"/>
    <w:rsid w:val="0045358D"/>
    <w:rsid w:val="00453C06"/>
    <w:rsid w:val="00453C32"/>
    <w:rsid w:val="00453CE1"/>
    <w:rsid w:val="00453FDB"/>
    <w:rsid w:val="00454C35"/>
    <w:rsid w:val="0045515E"/>
    <w:rsid w:val="004552FB"/>
    <w:rsid w:val="004554C7"/>
    <w:rsid w:val="0045554B"/>
    <w:rsid w:val="004557C3"/>
    <w:rsid w:val="0045595B"/>
    <w:rsid w:val="00455B9C"/>
    <w:rsid w:val="00455CE7"/>
    <w:rsid w:val="00456040"/>
    <w:rsid w:val="004569FC"/>
    <w:rsid w:val="00456A55"/>
    <w:rsid w:val="00456B78"/>
    <w:rsid w:val="00456D9E"/>
    <w:rsid w:val="00456EE7"/>
    <w:rsid w:val="0045765D"/>
    <w:rsid w:val="004576F1"/>
    <w:rsid w:val="00457729"/>
    <w:rsid w:val="0046002A"/>
    <w:rsid w:val="004609AC"/>
    <w:rsid w:val="004609E5"/>
    <w:rsid w:val="00460DEA"/>
    <w:rsid w:val="00460F32"/>
    <w:rsid w:val="00461026"/>
    <w:rsid w:val="00461254"/>
    <w:rsid w:val="004612D3"/>
    <w:rsid w:val="004616E9"/>
    <w:rsid w:val="00461B6D"/>
    <w:rsid w:val="004622AD"/>
    <w:rsid w:val="00462930"/>
    <w:rsid w:val="00462B18"/>
    <w:rsid w:val="00462BC9"/>
    <w:rsid w:val="00462D96"/>
    <w:rsid w:val="004630B0"/>
    <w:rsid w:val="004632D9"/>
    <w:rsid w:val="004633CC"/>
    <w:rsid w:val="0046361F"/>
    <w:rsid w:val="00463733"/>
    <w:rsid w:val="00463F8B"/>
    <w:rsid w:val="00463FAF"/>
    <w:rsid w:val="004644C8"/>
    <w:rsid w:val="00464713"/>
    <w:rsid w:val="004647D6"/>
    <w:rsid w:val="00464C0F"/>
    <w:rsid w:val="00464CED"/>
    <w:rsid w:val="00464D80"/>
    <w:rsid w:val="00464E0B"/>
    <w:rsid w:val="00464E34"/>
    <w:rsid w:val="00465006"/>
    <w:rsid w:val="004651CA"/>
    <w:rsid w:val="0046561A"/>
    <w:rsid w:val="00465779"/>
    <w:rsid w:val="00465DA7"/>
    <w:rsid w:val="0046690D"/>
    <w:rsid w:val="00466920"/>
    <w:rsid w:val="004669E0"/>
    <w:rsid w:val="00466A11"/>
    <w:rsid w:val="00466F71"/>
    <w:rsid w:val="00467044"/>
    <w:rsid w:val="0046731D"/>
    <w:rsid w:val="004677A4"/>
    <w:rsid w:val="00467897"/>
    <w:rsid w:val="004700D9"/>
    <w:rsid w:val="004708AB"/>
    <w:rsid w:val="004708B0"/>
    <w:rsid w:val="004708CB"/>
    <w:rsid w:val="0047095D"/>
    <w:rsid w:val="00470AC1"/>
    <w:rsid w:val="00471732"/>
    <w:rsid w:val="00471DC9"/>
    <w:rsid w:val="00472B58"/>
    <w:rsid w:val="00472BAB"/>
    <w:rsid w:val="00472C5A"/>
    <w:rsid w:val="00472C89"/>
    <w:rsid w:val="00472D18"/>
    <w:rsid w:val="00473038"/>
    <w:rsid w:val="004731B3"/>
    <w:rsid w:val="00473405"/>
    <w:rsid w:val="00473475"/>
    <w:rsid w:val="004735A6"/>
    <w:rsid w:val="00473632"/>
    <w:rsid w:val="00473702"/>
    <w:rsid w:val="00473AF5"/>
    <w:rsid w:val="00473C67"/>
    <w:rsid w:val="00473CFF"/>
    <w:rsid w:val="004742EC"/>
    <w:rsid w:val="0047452C"/>
    <w:rsid w:val="00474A6B"/>
    <w:rsid w:val="00474ABD"/>
    <w:rsid w:val="00474B3D"/>
    <w:rsid w:val="004750D1"/>
    <w:rsid w:val="00475426"/>
    <w:rsid w:val="00475505"/>
    <w:rsid w:val="00475CA7"/>
    <w:rsid w:val="00475EFD"/>
    <w:rsid w:val="00475F6E"/>
    <w:rsid w:val="004760E5"/>
    <w:rsid w:val="004762EC"/>
    <w:rsid w:val="0047635B"/>
    <w:rsid w:val="00476828"/>
    <w:rsid w:val="00476907"/>
    <w:rsid w:val="00476C7E"/>
    <w:rsid w:val="00476E8D"/>
    <w:rsid w:val="00476F50"/>
    <w:rsid w:val="00477872"/>
    <w:rsid w:val="00477D4B"/>
    <w:rsid w:val="0048087D"/>
    <w:rsid w:val="00481467"/>
    <w:rsid w:val="0048153E"/>
    <w:rsid w:val="004816FA"/>
    <w:rsid w:val="00481A30"/>
    <w:rsid w:val="00481E4D"/>
    <w:rsid w:val="00481EF6"/>
    <w:rsid w:val="00481F59"/>
    <w:rsid w:val="004823FF"/>
    <w:rsid w:val="00482551"/>
    <w:rsid w:val="00482E1E"/>
    <w:rsid w:val="00482E9A"/>
    <w:rsid w:val="00482FF1"/>
    <w:rsid w:val="004830E0"/>
    <w:rsid w:val="00483334"/>
    <w:rsid w:val="004836F5"/>
    <w:rsid w:val="00483968"/>
    <w:rsid w:val="00483B64"/>
    <w:rsid w:val="004843BC"/>
    <w:rsid w:val="00484663"/>
    <w:rsid w:val="00484B32"/>
    <w:rsid w:val="00484DB8"/>
    <w:rsid w:val="00484F0B"/>
    <w:rsid w:val="004853C0"/>
    <w:rsid w:val="004854AD"/>
    <w:rsid w:val="004855FC"/>
    <w:rsid w:val="004856EF"/>
    <w:rsid w:val="004860CD"/>
    <w:rsid w:val="00486553"/>
    <w:rsid w:val="004866A8"/>
    <w:rsid w:val="004867E7"/>
    <w:rsid w:val="004868FA"/>
    <w:rsid w:val="00486EE3"/>
    <w:rsid w:val="0048703E"/>
    <w:rsid w:val="00487299"/>
    <w:rsid w:val="0048778A"/>
    <w:rsid w:val="004877CF"/>
    <w:rsid w:val="00487BE7"/>
    <w:rsid w:val="00490101"/>
    <w:rsid w:val="00490411"/>
    <w:rsid w:val="004905A4"/>
    <w:rsid w:val="00490C20"/>
    <w:rsid w:val="0049136B"/>
    <w:rsid w:val="004913F3"/>
    <w:rsid w:val="0049140D"/>
    <w:rsid w:val="004915B6"/>
    <w:rsid w:val="004918C4"/>
    <w:rsid w:val="00491F7A"/>
    <w:rsid w:val="00492046"/>
    <w:rsid w:val="00492498"/>
    <w:rsid w:val="0049295E"/>
    <w:rsid w:val="00492D66"/>
    <w:rsid w:val="00492F4A"/>
    <w:rsid w:val="00493074"/>
    <w:rsid w:val="004932A4"/>
    <w:rsid w:val="004933F7"/>
    <w:rsid w:val="00493D41"/>
    <w:rsid w:val="00493D54"/>
    <w:rsid w:val="00493FCD"/>
    <w:rsid w:val="0049419F"/>
    <w:rsid w:val="004943E4"/>
    <w:rsid w:val="00494A59"/>
    <w:rsid w:val="00494CA5"/>
    <w:rsid w:val="00494DE4"/>
    <w:rsid w:val="00495078"/>
    <w:rsid w:val="00495084"/>
    <w:rsid w:val="004952A7"/>
    <w:rsid w:val="00495C5F"/>
    <w:rsid w:val="00495D5F"/>
    <w:rsid w:val="00495E57"/>
    <w:rsid w:val="0049617D"/>
    <w:rsid w:val="004961CF"/>
    <w:rsid w:val="004963DF"/>
    <w:rsid w:val="00496CBC"/>
    <w:rsid w:val="00497483"/>
    <w:rsid w:val="0049795D"/>
    <w:rsid w:val="00497DA1"/>
    <w:rsid w:val="00497E25"/>
    <w:rsid w:val="004A0792"/>
    <w:rsid w:val="004A12E7"/>
    <w:rsid w:val="004A148C"/>
    <w:rsid w:val="004A14D6"/>
    <w:rsid w:val="004A170D"/>
    <w:rsid w:val="004A17B0"/>
    <w:rsid w:val="004A1A09"/>
    <w:rsid w:val="004A1DC7"/>
    <w:rsid w:val="004A22E9"/>
    <w:rsid w:val="004A25F6"/>
    <w:rsid w:val="004A2738"/>
    <w:rsid w:val="004A28A1"/>
    <w:rsid w:val="004A2E33"/>
    <w:rsid w:val="004A311A"/>
    <w:rsid w:val="004A3666"/>
    <w:rsid w:val="004A3843"/>
    <w:rsid w:val="004A3E08"/>
    <w:rsid w:val="004A435C"/>
    <w:rsid w:val="004A4430"/>
    <w:rsid w:val="004A47B7"/>
    <w:rsid w:val="004A49E7"/>
    <w:rsid w:val="004A4D48"/>
    <w:rsid w:val="004A5525"/>
    <w:rsid w:val="004A582C"/>
    <w:rsid w:val="004A5C65"/>
    <w:rsid w:val="004A5D6D"/>
    <w:rsid w:val="004A5E1E"/>
    <w:rsid w:val="004A5E56"/>
    <w:rsid w:val="004A5EAC"/>
    <w:rsid w:val="004A60DD"/>
    <w:rsid w:val="004A64C6"/>
    <w:rsid w:val="004A7A90"/>
    <w:rsid w:val="004A7E88"/>
    <w:rsid w:val="004B00AC"/>
    <w:rsid w:val="004B0666"/>
    <w:rsid w:val="004B11BE"/>
    <w:rsid w:val="004B14B4"/>
    <w:rsid w:val="004B14D7"/>
    <w:rsid w:val="004B1829"/>
    <w:rsid w:val="004B1AAC"/>
    <w:rsid w:val="004B1F49"/>
    <w:rsid w:val="004B2031"/>
    <w:rsid w:val="004B243B"/>
    <w:rsid w:val="004B27DC"/>
    <w:rsid w:val="004B28CB"/>
    <w:rsid w:val="004B2A27"/>
    <w:rsid w:val="004B2C36"/>
    <w:rsid w:val="004B35E1"/>
    <w:rsid w:val="004B36DE"/>
    <w:rsid w:val="004B389C"/>
    <w:rsid w:val="004B3B17"/>
    <w:rsid w:val="004B3C0B"/>
    <w:rsid w:val="004B4059"/>
    <w:rsid w:val="004B423A"/>
    <w:rsid w:val="004B48DD"/>
    <w:rsid w:val="004B4919"/>
    <w:rsid w:val="004B4B8F"/>
    <w:rsid w:val="004B4CDA"/>
    <w:rsid w:val="004B5086"/>
    <w:rsid w:val="004B5327"/>
    <w:rsid w:val="004B58F7"/>
    <w:rsid w:val="004B5908"/>
    <w:rsid w:val="004B62B5"/>
    <w:rsid w:val="004B6615"/>
    <w:rsid w:val="004B6960"/>
    <w:rsid w:val="004B6A02"/>
    <w:rsid w:val="004B6D9B"/>
    <w:rsid w:val="004B7070"/>
    <w:rsid w:val="004B7290"/>
    <w:rsid w:val="004B7944"/>
    <w:rsid w:val="004B7F5F"/>
    <w:rsid w:val="004B7F66"/>
    <w:rsid w:val="004C089D"/>
    <w:rsid w:val="004C0B8D"/>
    <w:rsid w:val="004C0D69"/>
    <w:rsid w:val="004C0E21"/>
    <w:rsid w:val="004C10AF"/>
    <w:rsid w:val="004C1533"/>
    <w:rsid w:val="004C16C0"/>
    <w:rsid w:val="004C16DD"/>
    <w:rsid w:val="004C1D20"/>
    <w:rsid w:val="004C23EB"/>
    <w:rsid w:val="004C241B"/>
    <w:rsid w:val="004C28BE"/>
    <w:rsid w:val="004C2A99"/>
    <w:rsid w:val="004C2C01"/>
    <w:rsid w:val="004C2C24"/>
    <w:rsid w:val="004C2FA9"/>
    <w:rsid w:val="004C3471"/>
    <w:rsid w:val="004C3711"/>
    <w:rsid w:val="004C3AD2"/>
    <w:rsid w:val="004C423A"/>
    <w:rsid w:val="004C4382"/>
    <w:rsid w:val="004C439E"/>
    <w:rsid w:val="004C4A21"/>
    <w:rsid w:val="004C4CEB"/>
    <w:rsid w:val="004C4E8C"/>
    <w:rsid w:val="004C501C"/>
    <w:rsid w:val="004C5086"/>
    <w:rsid w:val="004C518C"/>
    <w:rsid w:val="004C5490"/>
    <w:rsid w:val="004C5A96"/>
    <w:rsid w:val="004C606B"/>
    <w:rsid w:val="004C6096"/>
    <w:rsid w:val="004C6582"/>
    <w:rsid w:val="004C6660"/>
    <w:rsid w:val="004C66C0"/>
    <w:rsid w:val="004C6967"/>
    <w:rsid w:val="004C6D19"/>
    <w:rsid w:val="004C6E69"/>
    <w:rsid w:val="004C6F73"/>
    <w:rsid w:val="004C6F7D"/>
    <w:rsid w:val="004C6FE0"/>
    <w:rsid w:val="004C7056"/>
    <w:rsid w:val="004C705F"/>
    <w:rsid w:val="004C71FB"/>
    <w:rsid w:val="004C741B"/>
    <w:rsid w:val="004C7A45"/>
    <w:rsid w:val="004C7DA0"/>
    <w:rsid w:val="004D0220"/>
    <w:rsid w:val="004D03C5"/>
    <w:rsid w:val="004D0556"/>
    <w:rsid w:val="004D08EA"/>
    <w:rsid w:val="004D096F"/>
    <w:rsid w:val="004D13D8"/>
    <w:rsid w:val="004D1491"/>
    <w:rsid w:val="004D181E"/>
    <w:rsid w:val="004D1CC4"/>
    <w:rsid w:val="004D1CDF"/>
    <w:rsid w:val="004D1D9C"/>
    <w:rsid w:val="004D1E4D"/>
    <w:rsid w:val="004D2494"/>
    <w:rsid w:val="004D279F"/>
    <w:rsid w:val="004D28FA"/>
    <w:rsid w:val="004D2A8C"/>
    <w:rsid w:val="004D2C10"/>
    <w:rsid w:val="004D2E39"/>
    <w:rsid w:val="004D2F30"/>
    <w:rsid w:val="004D3C0B"/>
    <w:rsid w:val="004D3C76"/>
    <w:rsid w:val="004D3E38"/>
    <w:rsid w:val="004D4420"/>
    <w:rsid w:val="004D46EE"/>
    <w:rsid w:val="004D4808"/>
    <w:rsid w:val="004D4B82"/>
    <w:rsid w:val="004D5043"/>
    <w:rsid w:val="004D52D6"/>
    <w:rsid w:val="004D56D0"/>
    <w:rsid w:val="004D589B"/>
    <w:rsid w:val="004D5C01"/>
    <w:rsid w:val="004D6462"/>
    <w:rsid w:val="004D6AF3"/>
    <w:rsid w:val="004D6BED"/>
    <w:rsid w:val="004D6E02"/>
    <w:rsid w:val="004D7093"/>
    <w:rsid w:val="004D7572"/>
    <w:rsid w:val="004D7657"/>
    <w:rsid w:val="004D77FC"/>
    <w:rsid w:val="004D7DF2"/>
    <w:rsid w:val="004D7F4D"/>
    <w:rsid w:val="004E026F"/>
    <w:rsid w:val="004E0373"/>
    <w:rsid w:val="004E05ED"/>
    <w:rsid w:val="004E0688"/>
    <w:rsid w:val="004E0889"/>
    <w:rsid w:val="004E0F6F"/>
    <w:rsid w:val="004E108A"/>
    <w:rsid w:val="004E1440"/>
    <w:rsid w:val="004E14A9"/>
    <w:rsid w:val="004E174A"/>
    <w:rsid w:val="004E1890"/>
    <w:rsid w:val="004E1CC5"/>
    <w:rsid w:val="004E20A9"/>
    <w:rsid w:val="004E2379"/>
    <w:rsid w:val="004E24B5"/>
    <w:rsid w:val="004E2512"/>
    <w:rsid w:val="004E2596"/>
    <w:rsid w:val="004E30E0"/>
    <w:rsid w:val="004E343F"/>
    <w:rsid w:val="004E42A5"/>
    <w:rsid w:val="004E454E"/>
    <w:rsid w:val="004E457F"/>
    <w:rsid w:val="004E4600"/>
    <w:rsid w:val="004E4763"/>
    <w:rsid w:val="004E4875"/>
    <w:rsid w:val="004E4C82"/>
    <w:rsid w:val="004E4E94"/>
    <w:rsid w:val="004E4F61"/>
    <w:rsid w:val="004E54CB"/>
    <w:rsid w:val="004E5AA1"/>
    <w:rsid w:val="004E5E69"/>
    <w:rsid w:val="004E5FAE"/>
    <w:rsid w:val="004E5FF6"/>
    <w:rsid w:val="004E6017"/>
    <w:rsid w:val="004E616B"/>
    <w:rsid w:val="004E67BD"/>
    <w:rsid w:val="004E6A4C"/>
    <w:rsid w:val="004E6D0F"/>
    <w:rsid w:val="004E7611"/>
    <w:rsid w:val="004F0323"/>
    <w:rsid w:val="004F0596"/>
    <w:rsid w:val="004F1205"/>
    <w:rsid w:val="004F1777"/>
    <w:rsid w:val="004F1834"/>
    <w:rsid w:val="004F1871"/>
    <w:rsid w:val="004F2399"/>
    <w:rsid w:val="004F2751"/>
    <w:rsid w:val="004F2A6A"/>
    <w:rsid w:val="004F306A"/>
    <w:rsid w:val="004F32F0"/>
    <w:rsid w:val="004F3325"/>
    <w:rsid w:val="004F33B3"/>
    <w:rsid w:val="004F3547"/>
    <w:rsid w:val="004F3609"/>
    <w:rsid w:val="004F3AD6"/>
    <w:rsid w:val="004F3FC1"/>
    <w:rsid w:val="004F512C"/>
    <w:rsid w:val="004F547C"/>
    <w:rsid w:val="004F582E"/>
    <w:rsid w:val="004F59C5"/>
    <w:rsid w:val="004F5D35"/>
    <w:rsid w:val="004F631C"/>
    <w:rsid w:val="004F6B73"/>
    <w:rsid w:val="004F6BC9"/>
    <w:rsid w:val="004F6CF1"/>
    <w:rsid w:val="004F6FF7"/>
    <w:rsid w:val="004F7076"/>
    <w:rsid w:val="004F7196"/>
    <w:rsid w:val="004F7249"/>
    <w:rsid w:val="004F7801"/>
    <w:rsid w:val="004F79F0"/>
    <w:rsid w:val="004F7E64"/>
    <w:rsid w:val="004F7FF5"/>
    <w:rsid w:val="00500632"/>
    <w:rsid w:val="0050080E"/>
    <w:rsid w:val="00500E93"/>
    <w:rsid w:val="00500EED"/>
    <w:rsid w:val="00500FDE"/>
    <w:rsid w:val="0050135A"/>
    <w:rsid w:val="00501443"/>
    <w:rsid w:val="00501453"/>
    <w:rsid w:val="00501630"/>
    <w:rsid w:val="005017F6"/>
    <w:rsid w:val="00501C49"/>
    <w:rsid w:val="00502181"/>
    <w:rsid w:val="005021DB"/>
    <w:rsid w:val="0050292C"/>
    <w:rsid w:val="00502E42"/>
    <w:rsid w:val="005035CE"/>
    <w:rsid w:val="005035EB"/>
    <w:rsid w:val="00503A51"/>
    <w:rsid w:val="00503BBE"/>
    <w:rsid w:val="00503DB4"/>
    <w:rsid w:val="00503DEA"/>
    <w:rsid w:val="00503FE2"/>
    <w:rsid w:val="00504013"/>
    <w:rsid w:val="00504212"/>
    <w:rsid w:val="00504573"/>
    <w:rsid w:val="00504768"/>
    <w:rsid w:val="00504C52"/>
    <w:rsid w:val="00504C88"/>
    <w:rsid w:val="00504E16"/>
    <w:rsid w:val="00505288"/>
    <w:rsid w:val="005056D9"/>
    <w:rsid w:val="005057DF"/>
    <w:rsid w:val="00505A86"/>
    <w:rsid w:val="00505C9D"/>
    <w:rsid w:val="00505E1D"/>
    <w:rsid w:val="0050613D"/>
    <w:rsid w:val="005062FE"/>
    <w:rsid w:val="00506669"/>
    <w:rsid w:val="00506B18"/>
    <w:rsid w:val="00506B40"/>
    <w:rsid w:val="00506C54"/>
    <w:rsid w:val="00506E27"/>
    <w:rsid w:val="00506E59"/>
    <w:rsid w:val="00506FE2"/>
    <w:rsid w:val="005078C4"/>
    <w:rsid w:val="00507B8D"/>
    <w:rsid w:val="00507D87"/>
    <w:rsid w:val="00510125"/>
    <w:rsid w:val="00510208"/>
    <w:rsid w:val="00510456"/>
    <w:rsid w:val="00510536"/>
    <w:rsid w:val="00510C39"/>
    <w:rsid w:val="00510D64"/>
    <w:rsid w:val="0051134A"/>
    <w:rsid w:val="0051155B"/>
    <w:rsid w:val="00511C5D"/>
    <w:rsid w:val="00511CFC"/>
    <w:rsid w:val="00511D28"/>
    <w:rsid w:val="00511EEF"/>
    <w:rsid w:val="00512014"/>
    <w:rsid w:val="00512139"/>
    <w:rsid w:val="005122FE"/>
    <w:rsid w:val="00512808"/>
    <w:rsid w:val="00512D55"/>
    <w:rsid w:val="0051322D"/>
    <w:rsid w:val="0051337C"/>
    <w:rsid w:val="005135E6"/>
    <w:rsid w:val="005137E9"/>
    <w:rsid w:val="0051473A"/>
    <w:rsid w:val="005152A1"/>
    <w:rsid w:val="0051539A"/>
    <w:rsid w:val="005153A1"/>
    <w:rsid w:val="0051551F"/>
    <w:rsid w:val="00515792"/>
    <w:rsid w:val="005157CB"/>
    <w:rsid w:val="00515C8C"/>
    <w:rsid w:val="00515D6E"/>
    <w:rsid w:val="00515E30"/>
    <w:rsid w:val="0051635F"/>
    <w:rsid w:val="005163F0"/>
    <w:rsid w:val="00516595"/>
    <w:rsid w:val="005168B0"/>
    <w:rsid w:val="00516AC8"/>
    <w:rsid w:val="00516AD8"/>
    <w:rsid w:val="00516CBC"/>
    <w:rsid w:val="00516DA4"/>
    <w:rsid w:val="00517628"/>
    <w:rsid w:val="00517BCF"/>
    <w:rsid w:val="00520598"/>
    <w:rsid w:val="005207EE"/>
    <w:rsid w:val="00520CBB"/>
    <w:rsid w:val="005213F8"/>
    <w:rsid w:val="005216C7"/>
    <w:rsid w:val="005219BB"/>
    <w:rsid w:val="00521B9E"/>
    <w:rsid w:val="005220AB"/>
    <w:rsid w:val="005222AE"/>
    <w:rsid w:val="005223AE"/>
    <w:rsid w:val="00522F1D"/>
    <w:rsid w:val="005232A7"/>
    <w:rsid w:val="005237F4"/>
    <w:rsid w:val="00524D84"/>
    <w:rsid w:val="00525137"/>
    <w:rsid w:val="00525351"/>
    <w:rsid w:val="005258EA"/>
    <w:rsid w:val="005258F9"/>
    <w:rsid w:val="00525A83"/>
    <w:rsid w:val="00525B17"/>
    <w:rsid w:val="00525F7E"/>
    <w:rsid w:val="00526097"/>
    <w:rsid w:val="00526FC4"/>
    <w:rsid w:val="00526FFB"/>
    <w:rsid w:val="00527524"/>
    <w:rsid w:val="00527537"/>
    <w:rsid w:val="00527AA1"/>
    <w:rsid w:val="00527C78"/>
    <w:rsid w:val="0053037E"/>
    <w:rsid w:val="005304E7"/>
    <w:rsid w:val="00530585"/>
    <w:rsid w:val="00530EFB"/>
    <w:rsid w:val="005312AB"/>
    <w:rsid w:val="005316A3"/>
    <w:rsid w:val="00531EEE"/>
    <w:rsid w:val="005321AD"/>
    <w:rsid w:val="0053277B"/>
    <w:rsid w:val="00532854"/>
    <w:rsid w:val="00532CDF"/>
    <w:rsid w:val="00532FAF"/>
    <w:rsid w:val="00533464"/>
    <w:rsid w:val="00533566"/>
    <w:rsid w:val="00533981"/>
    <w:rsid w:val="00534414"/>
    <w:rsid w:val="005344D7"/>
    <w:rsid w:val="005344EA"/>
    <w:rsid w:val="005346D5"/>
    <w:rsid w:val="005347B6"/>
    <w:rsid w:val="005348FC"/>
    <w:rsid w:val="00534F8C"/>
    <w:rsid w:val="00535B74"/>
    <w:rsid w:val="00535CFA"/>
    <w:rsid w:val="00535EBA"/>
    <w:rsid w:val="00535FEA"/>
    <w:rsid w:val="00536125"/>
    <w:rsid w:val="0053634F"/>
    <w:rsid w:val="00536468"/>
    <w:rsid w:val="005367BE"/>
    <w:rsid w:val="00536BED"/>
    <w:rsid w:val="00536C0C"/>
    <w:rsid w:val="00537113"/>
    <w:rsid w:val="0053731A"/>
    <w:rsid w:val="005373F8"/>
    <w:rsid w:val="0053752C"/>
    <w:rsid w:val="00537665"/>
    <w:rsid w:val="00537732"/>
    <w:rsid w:val="005379A3"/>
    <w:rsid w:val="005379AC"/>
    <w:rsid w:val="00537D4F"/>
    <w:rsid w:val="005403CE"/>
    <w:rsid w:val="00540661"/>
    <w:rsid w:val="00540743"/>
    <w:rsid w:val="00540B98"/>
    <w:rsid w:val="00541249"/>
    <w:rsid w:val="0054162A"/>
    <w:rsid w:val="00541882"/>
    <w:rsid w:val="005420FD"/>
    <w:rsid w:val="00542D10"/>
    <w:rsid w:val="005433BE"/>
    <w:rsid w:val="00543932"/>
    <w:rsid w:val="00543C53"/>
    <w:rsid w:val="00543EF5"/>
    <w:rsid w:val="00543FD4"/>
    <w:rsid w:val="005442EF"/>
    <w:rsid w:val="00544462"/>
    <w:rsid w:val="00544691"/>
    <w:rsid w:val="00544D0C"/>
    <w:rsid w:val="00544D28"/>
    <w:rsid w:val="00544F5F"/>
    <w:rsid w:val="005450BF"/>
    <w:rsid w:val="005454B9"/>
    <w:rsid w:val="00545544"/>
    <w:rsid w:val="00545A96"/>
    <w:rsid w:val="00545BAD"/>
    <w:rsid w:val="00545C9A"/>
    <w:rsid w:val="00545FC4"/>
    <w:rsid w:val="0054606A"/>
    <w:rsid w:val="005461BA"/>
    <w:rsid w:val="005465FB"/>
    <w:rsid w:val="00546676"/>
    <w:rsid w:val="005469B2"/>
    <w:rsid w:val="00546B41"/>
    <w:rsid w:val="00546F98"/>
    <w:rsid w:val="00546FF1"/>
    <w:rsid w:val="00546FF2"/>
    <w:rsid w:val="005470F1"/>
    <w:rsid w:val="00547255"/>
    <w:rsid w:val="005474B7"/>
    <w:rsid w:val="00547B3F"/>
    <w:rsid w:val="00547BF7"/>
    <w:rsid w:val="00547F2B"/>
    <w:rsid w:val="005502A0"/>
    <w:rsid w:val="005502FE"/>
    <w:rsid w:val="0055084A"/>
    <w:rsid w:val="00550990"/>
    <w:rsid w:val="00550A82"/>
    <w:rsid w:val="00550B7C"/>
    <w:rsid w:val="00550C89"/>
    <w:rsid w:val="00551542"/>
    <w:rsid w:val="00551612"/>
    <w:rsid w:val="00551761"/>
    <w:rsid w:val="00551B2C"/>
    <w:rsid w:val="00551B40"/>
    <w:rsid w:val="00551C1E"/>
    <w:rsid w:val="00551C47"/>
    <w:rsid w:val="00551E4C"/>
    <w:rsid w:val="00552269"/>
    <w:rsid w:val="0055254F"/>
    <w:rsid w:val="0055280B"/>
    <w:rsid w:val="00552EA8"/>
    <w:rsid w:val="0055345E"/>
    <w:rsid w:val="00553573"/>
    <w:rsid w:val="00553F75"/>
    <w:rsid w:val="00554212"/>
    <w:rsid w:val="00554357"/>
    <w:rsid w:val="00554753"/>
    <w:rsid w:val="005547F1"/>
    <w:rsid w:val="0055495D"/>
    <w:rsid w:val="00554CFE"/>
    <w:rsid w:val="00554D40"/>
    <w:rsid w:val="00555249"/>
    <w:rsid w:val="005552AB"/>
    <w:rsid w:val="005554C1"/>
    <w:rsid w:val="0055550B"/>
    <w:rsid w:val="00555859"/>
    <w:rsid w:val="00555D99"/>
    <w:rsid w:val="00556388"/>
    <w:rsid w:val="0055672B"/>
    <w:rsid w:val="0055696C"/>
    <w:rsid w:val="00556976"/>
    <w:rsid w:val="00556D46"/>
    <w:rsid w:val="00556F6F"/>
    <w:rsid w:val="00557382"/>
    <w:rsid w:val="00557942"/>
    <w:rsid w:val="00557A25"/>
    <w:rsid w:val="0056028D"/>
    <w:rsid w:val="0056039F"/>
    <w:rsid w:val="00560467"/>
    <w:rsid w:val="00560C30"/>
    <w:rsid w:val="00560F8D"/>
    <w:rsid w:val="0056135A"/>
    <w:rsid w:val="00561992"/>
    <w:rsid w:val="005622E1"/>
    <w:rsid w:val="00562B31"/>
    <w:rsid w:val="00562C42"/>
    <w:rsid w:val="00563145"/>
    <w:rsid w:val="00563BF3"/>
    <w:rsid w:val="00563CB7"/>
    <w:rsid w:val="005642E2"/>
    <w:rsid w:val="005643A2"/>
    <w:rsid w:val="0056456F"/>
    <w:rsid w:val="00564B84"/>
    <w:rsid w:val="005654AA"/>
    <w:rsid w:val="005655A6"/>
    <w:rsid w:val="005658FF"/>
    <w:rsid w:val="005660A2"/>
    <w:rsid w:val="0056611A"/>
    <w:rsid w:val="0056641D"/>
    <w:rsid w:val="00566481"/>
    <w:rsid w:val="005677AB"/>
    <w:rsid w:val="005677DF"/>
    <w:rsid w:val="00567DCF"/>
    <w:rsid w:val="00567F79"/>
    <w:rsid w:val="00567F86"/>
    <w:rsid w:val="00570E0D"/>
    <w:rsid w:val="00571188"/>
    <w:rsid w:val="0057156F"/>
    <w:rsid w:val="00571660"/>
    <w:rsid w:val="0057197A"/>
    <w:rsid w:val="0057199F"/>
    <w:rsid w:val="005720C0"/>
    <w:rsid w:val="005720C4"/>
    <w:rsid w:val="005722F3"/>
    <w:rsid w:val="00572B51"/>
    <w:rsid w:val="00572CF6"/>
    <w:rsid w:val="00572E7F"/>
    <w:rsid w:val="00572FCB"/>
    <w:rsid w:val="005735B5"/>
    <w:rsid w:val="005738A3"/>
    <w:rsid w:val="005740C9"/>
    <w:rsid w:val="00574406"/>
    <w:rsid w:val="005745B1"/>
    <w:rsid w:val="00574DB1"/>
    <w:rsid w:val="00574F74"/>
    <w:rsid w:val="0057503C"/>
    <w:rsid w:val="00575227"/>
    <w:rsid w:val="00575306"/>
    <w:rsid w:val="005759CA"/>
    <w:rsid w:val="00575E58"/>
    <w:rsid w:val="00575EC1"/>
    <w:rsid w:val="00575F20"/>
    <w:rsid w:val="00576023"/>
    <w:rsid w:val="005760F7"/>
    <w:rsid w:val="005762FA"/>
    <w:rsid w:val="00576489"/>
    <w:rsid w:val="00576E82"/>
    <w:rsid w:val="00577026"/>
    <w:rsid w:val="005774BA"/>
    <w:rsid w:val="005778A9"/>
    <w:rsid w:val="0058007E"/>
    <w:rsid w:val="0058034F"/>
    <w:rsid w:val="0058074A"/>
    <w:rsid w:val="00580C9C"/>
    <w:rsid w:val="00580FD1"/>
    <w:rsid w:val="0058140F"/>
    <w:rsid w:val="0058153C"/>
    <w:rsid w:val="005817B4"/>
    <w:rsid w:val="005819B2"/>
    <w:rsid w:val="00581E1B"/>
    <w:rsid w:val="00581FA5"/>
    <w:rsid w:val="00582593"/>
    <w:rsid w:val="00582D9A"/>
    <w:rsid w:val="00582EAB"/>
    <w:rsid w:val="005830BC"/>
    <w:rsid w:val="0058334D"/>
    <w:rsid w:val="005835E4"/>
    <w:rsid w:val="0058362F"/>
    <w:rsid w:val="005836D0"/>
    <w:rsid w:val="00583A4B"/>
    <w:rsid w:val="00583E03"/>
    <w:rsid w:val="00583E48"/>
    <w:rsid w:val="005840C3"/>
    <w:rsid w:val="005840E3"/>
    <w:rsid w:val="00584293"/>
    <w:rsid w:val="00584DEC"/>
    <w:rsid w:val="00584F49"/>
    <w:rsid w:val="00585492"/>
    <w:rsid w:val="0058560F"/>
    <w:rsid w:val="00585947"/>
    <w:rsid w:val="00585971"/>
    <w:rsid w:val="0058661C"/>
    <w:rsid w:val="00586E14"/>
    <w:rsid w:val="00587072"/>
    <w:rsid w:val="0058738C"/>
    <w:rsid w:val="005879D2"/>
    <w:rsid w:val="00587BBD"/>
    <w:rsid w:val="00587C28"/>
    <w:rsid w:val="00590A32"/>
    <w:rsid w:val="00590A88"/>
    <w:rsid w:val="00591611"/>
    <w:rsid w:val="005916D3"/>
    <w:rsid w:val="005918BC"/>
    <w:rsid w:val="00591B47"/>
    <w:rsid w:val="005924FC"/>
    <w:rsid w:val="0059273D"/>
    <w:rsid w:val="00592A0A"/>
    <w:rsid w:val="00592A24"/>
    <w:rsid w:val="005933CF"/>
    <w:rsid w:val="00593C40"/>
    <w:rsid w:val="00594190"/>
    <w:rsid w:val="0059422E"/>
    <w:rsid w:val="00594E4D"/>
    <w:rsid w:val="00595064"/>
    <w:rsid w:val="00595BFF"/>
    <w:rsid w:val="00595DB1"/>
    <w:rsid w:val="00595E3E"/>
    <w:rsid w:val="00595EB4"/>
    <w:rsid w:val="00596553"/>
    <w:rsid w:val="0059661C"/>
    <w:rsid w:val="0059671A"/>
    <w:rsid w:val="0059681B"/>
    <w:rsid w:val="00596B51"/>
    <w:rsid w:val="00597154"/>
    <w:rsid w:val="00597389"/>
    <w:rsid w:val="0059752E"/>
    <w:rsid w:val="0059772D"/>
    <w:rsid w:val="00597D39"/>
    <w:rsid w:val="00597FCD"/>
    <w:rsid w:val="005A0055"/>
    <w:rsid w:val="005A0754"/>
    <w:rsid w:val="005A0FF8"/>
    <w:rsid w:val="005A132F"/>
    <w:rsid w:val="005A13EE"/>
    <w:rsid w:val="005A1AD1"/>
    <w:rsid w:val="005A1B34"/>
    <w:rsid w:val="005A1C89"/>
    <w:rsid w:val="005A1CB9"/>
    <w:rsid w:val="005A1CC5"/>
    <w:rsid w:val="005A1EEB"/>
    <w:rsid w:val="005A1F48"/>
    <w:rsid w:val="005A2311"/>
    <w:rsid w:val="005A24E9"/>
    <w:rsid w:val="005A2982"/>
    <w:rsid w:val="005A29FE"/>
    <w:rsid w:val="005A2BAD"/>
    <w:rsid w:val="005A2D60"/>
    <w:rsid w:val="005A2F7D"/>
    <w:rsid w:val="005A358A"/>
    <w:rsid w:val="005A35D5"/>
    <w:rsid w:val="005A366A"/>
    <w:rsid w:val="005A3B69"/>
    <w:rsid w:val="005A3C22"/>
    <w:rsid w:val="005A3C97"/>
    <w:rsid w:val="005A4274"/>
    <w:rsid w:val="005A4441"/>
    <w:rsid w:val="005A499A"/>
    <w:rsid w:val="005A4ADB"/>
    <w:rsid w:val="005A4B7D"/>
    <w:rsid w:val="005A4DD4"/>
    <w:rsid w:val="005A4E0F"/>
    <w:rsid w:val="005A530F"/>
    <w:rsid w:val="005A5E34"/>
    <w:rsid w:val="005A5F4B"/>
    <w:rsid w:val="005A6190"/>
    <w:rsid w:val="005A65FC"/>
    <w:rsid w:val="005A66E5"/>
    <w:rsid w:val="005A675C"/>
    <w:rsid w:val="005A6836"/>
    <w:rsid w:val="005A6875"/>
    <w:rsid w:val="005A6953"/>
    <w:rsid w:val="005A6997"/>
    <w:rsid w:val="005A6E14"/>
    <w:rsid w:val="005A6F1B"/>
    <w:rsid w:val="005A71B9"/>
    <w:rsid w:val="005A7470"/>
    <w:rsid w:val="005A76B9"/>
    <w:rsid w:val="005A781A"/>
    <w:rsid w:val="005A786D"/>
    <w:rsid w:val="005A7888"/>
    <w:rsid w:val="005A790D"/>
    <w:rsid w:val="005A7914"/>
    <w:rsid w:val="005A7997"/>
    <w:rsid w:val="005A79B1"/>
    <w:rsid w:val="005A7BAF"/>
    <w:rsid w:val="005B01F3"/>
    <w:rsid w:val="005B022A"/>
    <w:rsid w:val="005B0635"/>
    <w:rsid w:val="005B08CD"/>
    <w:rsid w:val="005B0980"/>
    <w:rsid w:val="005B0E37"/>
    <w:rsid w:val="005B0E46"/>
    <w:rsid w:val="005B1191"/>
    <w:rsid w:val="005B131C"/>
    <w:rsid w:val="005B14B6"/>
    <w:rsid w:val="005B1BC5"/>
    <w:rsid w:val="005B1C87"/>
    <w:rsid w:val="005B1C95"/>
    <w:rsid w:val="005B1CA4"/>
    <w:rsid w:val="005B1D25"/>
    <w:rsid w:val="005B2148"/>
    <w:rsid w:val="005B2520"/>
    <w:rsid w:val="005B2619"/>
    <w:rsid w:val="005B26F0"/>
    <w:rsid w:val="005B295D"/>
    <w:rsid w:val="005B2BAF"/>
    <w:rsid w:val="005B351F"/>
    <w:rsid w:val="005B3A52"/>
    <w:rsid w:val="005B3AF8"/>
    <w:rsid w:val="005B3AFC"/>
    <w:rsid w:val="005B3C06"/>
    <w:rsid w:val="005B4283"/>
    <w:rsid w:val="005B45A6"/>
    <w:rsid w:val="005B4BA6"/>
    <w:rsid w:val="005B4DD1"/>
    <w:rsid w:val="005B4EE1"/>
    <w:rsid w:val="005B567E"/>
    <w:rsid w:val="005B5D36"/>
    <w:rsid w:val="005B60CC"/>
    <w:rsid w:val="005B67A9"/>
    <w:rsid w:val="005B68F1"/>
    <w:rsid w:val="005B6DD0"/>
    <w:rsid w:val="005B6EDF"/>
    <w:rsid w:val="005B7804"/>
    <w:rsid w:val="005B781A"/>
    <w:rsid w:val="005B7F2B"/>
    <w:rsid w:val="005B7F92"/>
    <w:rsid w:val="005C009F"/>
    <w:rsid w:val="005C02EB"/>
    <w:rsid w:val="005C051B"/>
    <w:rsid w:val="005C0903"/>
    <w:rsid w:val="005C095E"/>
    <w:rsid w:val="005C0E28"/>
    <w:rsid w:val="005C0E2C"/>
    <w:rsid w:val="005C0E5C"/>
    <w:rsid w:val="005C0FF2"/>
    <w:rsid w:val="005C11BF"/>
    <w:rsid w:val="005C1507"/>
    <w:rsid w:val="005C17F8"/>
    <w:rsid w:val="005C1E69"/>
    <w:rsid w:val="005C1EC9"/>
    <w:rsid w:val="005C23AA"/>
    <w:rsid w:val="005C2702"/>
    <w:rsid w:val="005C285A"/>
    <w:rsid w:val="005C2935"/>
    <w:rsid w:val="005C2CA2"/>
    <w:rsid w:val="005C2DE7"/>
    <w:rsid w:val="005C3081"/>
    <w:rsid w:val="005C4077"/>
    <w:rsid w:val="005C42EB"/>
    <w:rsid w:val="005C4329"/>
    <w:rsid w:val="005C447F"/>
    <w:rsid w:val="005C4875"/>
    <w:rsid w:val="005C487C"/>
    <w:rsid w:val="005C4A7C"/>
    <w:rsid w:val="005C4F5C"/>
    <w:rsid w:val="005C5446"/>
    <w:rsid w:val="005C563F"/>
    <w:rsid w:val="005C567A"/>
    <w:rsid w:val="005C576C"/>
    <w:rsid w:val="005C5801"/>
    <w:rsid w:val="005C58BA"/>
    <w:rsid w:val="005C5A2C"/>
    <w:rsid w:val="005C5ABE"/>
    <w:rsid w:val="005C5B45"/>
    <w:rsid w:val="005C5D4F"/>
    <w:rsid w:val="005C5E14"/>
    <w:rsid w:val="005C61A1"/>
    <w:rsid w:val="005C6599"/>
    <w:rsid w:val="005C6B88"/>
    <w:rsid w:val="005C6CEA"/>
    <w:rsid w:val="005C7300"/>
    <w:rsid w:val="005C76E6"/>
    <w:rsid w:val="005D0252"/>
    <w:rsid w:val="005D04C0"/>
    <w:rsid w:val="005D0832"/>
    <w:rsid w:val="005D0876"/>
    <w:rsid w:val="005D0925"/>
    <w:rsid w:val="005D0D23"/>
    <w:rsid w:val="005D0EBE"/>
    <w:rsid w:val="005D0F13"/>
    <w:rsid w:val="005D0F25"/>
    <w:rsid w:val="005D1601"/>
    <w:rsid w:val="005D1655"/>
    <w:rsid w:val="005D17EB"/>
    <w:rsid w:val="005D1998"/>
    <w:rsid w:val="005D2DD7"/>
    <w:rsid w:val="005D2ED6"/>
    <w:rsid w:val="005D334C"/>
    <w:rsid w:val="005D3595"/>
    <w:rsid w:val="005D3672"/>
    <w:rsid w:val="005D3A30"/>
    <w:rsid w:val="005D3D64"/>
    <w:rsid w:val="005D405A"/>
    <w:rsid w:val="005D419A"/>
    <w:rsid w:val="005D476E"/>
    <w:rsid w:val="005D4789"/>
    <w:rsid w:val="005D47D5"/>
    <w:rsid w:val="005D4D38"/>
    <w:rsid w:val="005D5012"/>
    <w:rsid w:val="005D51DF"/>
    <w:rsid w:val="005D51FA"/>
    <w:rsid w:val="005D5746"/>
    <w:rsid w:val="005D5839"/>
    <w:rsid w:val="005D5ACF"/>
    <w:rsid w:val="005D6035"/>
    <w:rsid w:val="005D6236"/>
    <w:rsid w:val="005D6B99"/>
    <w:rsid w:val="005D6EEF"/>
    <w:rsid w:val="005D71C1"/>
    <w:rsid w:val="005D768A"/>
    <w:rsid w:val="005D7AD0"/>
    <w:rsid w:val="005E0584"/>
    <w:rsid w:val="005E077D"/>
    <w:rsid w:val="005E0AB2"/>
    <w:rsid w:val="005E0D3C"/>
    <w:rsid w:val="005E0EAF"/>
    <w:rsid w:val="005E1186"/>
    <w:rsid w:val="005E11A3"/>
    <w:rsid w:val="005E1329"/>
    <w:rsid w:val="005E1576"/>
    <w:rsid w:val="005E16F6"/>
    <w:rsid w:val="005E190B"/>
    <w:rsid w:val="005E1C1C"/>
    <w:rsid w:val="005E1CF3"/>
    <w:rsid w:val="005E20D7"/>
    <w:rsid w:val="005E2BEB"/>
    <w:rsid w:val="005E2DA3"/>
    <w:rsid w:val="005E32CE"/>
    <w:rsid w:val="005E34FA"/>
    <w:rsid w:val="005E393C"/>
    <w:rsid w:val="005E40DB"/>
    <w:rsid w:val="005E4218"/>
    <w:rsid w:val="005E4269"/>
    <w:rsid w:val="005E43AA"/>
    <w:rsid w:val="005E49B9"/>
    <w:rsid w:val="005E49EE"/>
    <w:rsid w:val="005E4CF1"/>
    <w:rsid w:val="005E4D90"/>
    <w:rsid w:val="005E502D"/>
    <w:rsid w:val="005E53F2"/>
    <w:rsid w:val="005E5441"/>
    <w:rsid w:val="005E5617"/>
    <w:rsid w:val="005E581C"/>
    <w:rsid w:val="005E59C2"/>
    <w:rsid w:val="005E5EDB"/>
    <w:rsid w:val="005E6230"/>
    <w:rsid w:val="005E6649"/>
    <w:rsid w:val="005E6C27"/>
    <w:rsid w:val="005E7689"/>
    <w:rsid w:val="005E7BAB"/>
    <w:rsid w:val="005E7C38"/>
    <w:rsid w:val="005E7C52"/>
    <w:rsid w:val="005E7C68"/>
    <w:rsid w:val="005E7CB8"/>
    <w:rsid w:val="005E7DCE"/>
    <w:rsid w:val="005E7F4C"/>
    <w:rsid w:val="005F0107"/>
    <w:rsid w:val="005F034A"/>
    <w:rsid w:val="005F06DA"/>
    <w:rsid w:val="005F072E"/>
    <w:rsid w:val="005F0795"/>
    <w:rsid w:val="005F07FA"/>
    <w:rsid w:val="005F0F3E"/>
    <w:rsid w:val="005F0F55"/>
    <w:rsid w:val="005F0FFD"/>
    <w:rsid w:val="005F1151"/>
    <w:rsid w:val="005F1380"/>
    <w:rsid w:val="005F19DC"/>
    <w:rsid w:val="005F1ED6"/>
    <w:rsid w:val="005F21FB"/>
    <w:rsid w:val="005F22A7"/>
    <w:rsid w:val="005F23F9"/>
    <w:rsid w:val="005F2ADB"/>
    <w:rsid w:val="005F2C68"/>
    <w:rsid w:val="005F34C9"/>
    <w:rsid w:val="005F369F"/>
    <w:rsid w:val="005F3D43"/>
    <w:rsid w:val="005F3EA6"/>
    <w:rsid w:val="005F434F"/>
    <w:rsid w:val="005F46D6"/>
    <w:rsid w:val="005F4970"/>
    <w:rsid w:val="005F49A9"/>
    <w:rsid w:val="005F4FAE"/>
    <w:rsid w:val="005F4FB8"/>
    <w:rsid w:val="005F5C20"/>
    <w:rsid w:val="005F5D02"/>
    <w:rsid w:val="005F6281"/>
    <w:rsid w:val="005F659D"/>
    <w:rsid w:val="005F670E"/>
    <w:rsid w:val="005F6DD4"/>
    <w:rsid w:val="005F6E8C"/>
    <w:rsid w:val="005F7199"/>
    <w:rsid w:val="005F73A5"/>
    <w:rsid w:val="005F797B"/>
    <w:rsid w:val="005F7FD3"/>
    <w:rsid w:val="006000F3"/>
    <w:rsid w:val="00600524"/>
    <w:rsid w:val="006006AB"/>
    <w:rsid w:val="006007F3"/>
    <w:rsid w:val="00600933"/>
    <w:rsid w:val="00600D5D"/>
    <w:rsid w:val="006010BC"/>
    <w:rsid w:val="00601EBA"/>
    <w:rsid w:val="0060213C"/>
    <w:rsid w:val="00602181"/>
    <w:rsid w:val="0060223A"/>
    <w:rsid w:val="0060240D"/>
    <w:rsid w:val="0060243D"/>
    <w:rsid w:val="006026D6"/>
    <w:rsid w:val="00602CC4"/>
    <w:rsid w:val="0060316D"/>
    <w:rsid w:val="00603858"/>
    <w:rsid w:val="006041AB"/>
    <w:rsid w:val="00604293"/>
    <w:rsid w:val="00604F0C"/>
    <w:rsid w:val="006051FB"/>
    <w:rsid w:val="00605703"/>
    <w:rsid w:val="0060571E"/>
    <w:rsid w:val="00605783"/>
    <w:rsid w:val="00605D63"/>
    <w:rsid w:val="0060694D"/>
    <w:rsid w:val="00606BA6"/>
    <w:rsid w:val="00606D60"/>
    <w:rsid w:val="00606E2A"/>
    <w:rsid w:val="00607DBB"/>
    <w:rsid w:val="006103C2"/>
    <w:rsid w:val="006104DE"/>
    <w:rsid w:val="00610682"/>
    <w:rsid w:val="00610896"/>
    <w:rsid w:val="006111FF"/>
    <w:rsid w:val="006113B0"/>
    <w:rsid w:val="00611658"/>
    <w:rsid w:val="006118D2"/>
    <w:rsid w:val="006118F8"/>
    <w:rsid w:val="00611B5F"/>
    <w:rsid w:val="00611D53"/>
    <w:rsid w:val="006124A0"/>
    <w:rsid w:val="00612565"/>
    <w:rsid w:val="006128FD"/>
    <w:rsid w:val="006129EA"/>
    <w:rsid w:val="00612AFA"/>
    <w:rsid w:val="00612BD7"/>
    <w:rsid w:val="00613B54"/>
    <w:rsid w:val="00613B5B"/>
    <w:rsid w:val="00613EB0"/>
    <w:rsid w:val="0061405C"/>
    <w:rsid w:val="00614188"/>
    <w:rsid w:val="006145B1"/>
    <w:rsid w:val="00614733"/>
    <w:rsid w:val="00614C70"/>
    <w:rsid w:val="00615252"/>
    <w:rsid w:val="00615753"/>
    <w:rsid w:val="00615841"/>
    <w:rsid w:val="00615873"/>
    <w:rsid w:val="00615925"/>
    <w:rsid w:val="00615B48"/>
    <w:rsid w:val="0061625F"/>
    <w:rsid w:val="006168B2"/>
    <w:rsid w:val="0061738E"/>
    <w:rsid w:val="00617411"/>
    <w:rsid w:val="0061748F"/>
    <w:rsid w:val="0061771E"/>
    <w:rsid w:val="00617CA8"/>
    <w:rsid w:val="00617F06"/>
    <w:rsid w:val="0062011F"/>
    <w:rsid w:val="00620CD4"/>
    <w:rsid w:val="006215D2"/>
    <w:rsid w:val="00621844"/>
    <w:rsid w:val="00621F64"/>
    <w:rsid w:val="00621F6D"/>
    <w:rsid w:val="0062238F"/>
    <w:rsid w:val="006227D4"/>
    <w:rsid w:val="006229D5"/>
    <w:rsid w:val="00622D75"/>
    <w:rsid w:val="00622DC5"/>
    <w:rsid w:val="006235B6"/>
    <w:rsid w:val="00623668"/>
    <w:rsid w:val="006237BB"/>
    <w:rsid w:val="00623A88"/>
    <w:rsid w:val="0062466A"/>
    <w:rsid w:val="006246EA"/>
    <w:rsid w:val="00624B85"/>
    <w:rsid w:val="00624C5F"/>
    <w:rsid w:val="00624DAF"/>
    <w:rsid w:val="00625127"/>
    <w:rsid w:val="00625669"/>
    <w:rsid w:val="00625715"/>
    <w:rsid w:val="006259E0"/>
    <w:rsid w:val="006259E4"/>
    <w:rsid w:val="00625BD0"/>
    <w:rsid w:val="00625E91"/>
    <w:rsid w:val="006260BE"/>
    <w:rsid w:val="006262AA"/>
    <w:rsid w:val="0062633F"/>
    <w:rsid w:val="006263E5"/>
    <w:rsid w:val="006265F5"/>
    <w:rsid w:val="006269A3"/>
    <w:rsid w:val="00627289"/>
    <w:rsid w:val="006273F8"/>
    <w:rsid w:val="00627B73"/>
    <w:rsid w:val="006303DE"/>
    <w:rsid w:val="006306F0"/>
    <w:rsid w:val="00630845"/>
    <w:rsid w:val="00630C3B"/>
    <w:rsid w:val="00630D6E"/>
    <w:rsid w:val="00630E8C"/>
    <w:rsid w:val="00631036"/>
    <w:rsid w:val="006311B9"/>
    <w:rsid w:val="006311C5"/>
    <w:rsid w:val="0063169E"/>
    <w:rsid w:val="0063175C"/>
    <w:rsid w:val="00631A99"/>
    <w:rsid w:val="00631AA9"/>
    <w:rsid w:val="00631F1B"/>
    <w:rsid w:val="006320EE"/>
    <w:rsid w:val="006321BD"/>
    <w:rsid w:val="00632653"/>
    <w:rsid w:val="00632B4D"/>
    <w:rsid w:val="00632D80"/>
    <w:rsid w:val="00633249"/>
    <w:rsid w:val="00633621"/>
    <w:rsid w:val="0063372A"/>
    <w:rsid w:val="00633932"/>
    <w:rsid w:val="00633AA6"/>
    <w:rsid w:val="00633B4B"/>
    <w:rsid w:val="0063405E"/>
    <w:rsid w:val="00634294"/>
    <w:rsid w:val="006342BA"/>
    <w:rsid w:val="00634549"/>
    <w:rsid w:val="00634606"/>
    <w:rsid w:val="006352B0"/>
    <w:rsid w:val="006353C4"/>
    <w:rsid w:val="00635D6D"/>
    <w:rsid w:val="00635E95"/>
    <w:rsid w:val="0063628C"/>
    <w:rsid w:val="0063670E"/>
    <w:rsid w:val="00636963"/>
    <w:rsid w:val="00636E67"/>
    <w:rsid w:val="00636F7A"/>
    <w:rsid w:val="00636FF4"/>
    <w:rsid w:val="0063708D"/>
    <w:rsid w:val="006371CD"/>
    <w:rsid w:val="0063721E"/>
    <w:rsid w:val="00637271"/>
    <w:rsid w:val="00637555"/>
    <w:rsid w:val="00637767"/>
    <w:rsid w:val="00637A92"/>
    <w:rsid w:val="00637D17"/>
    <w:rsid w:val="00637DB4"/>
    <w:rsid w:val="00640178"/>
    <w:rsid w:val="00640200"/>
    <w:rsid w:val="0064025F"/>
    <w:rsid w:val="00640AC9"/>
    <w:rsid w:val="00640B47"/>
    <w:rsid w:val="00641262"/>
    <w:rsid w:val="00641369"/>
    <w:rsid w:val="00641C33"/>
    <w:rsid w:val="00641F93"/>
    <w:rsid w:val="00642310"/>
    <w:rsid w:val="0064238A"/>
    <w:rsid w:val="006423FF"/>
    <w:rsid w:val="0064260F"/>
    <w:rsid w:val="006426AF"/>
    <w:rsid w:val="0064285D"/>
    <w:rsid w:val="00642966"/>
    <w:rsid w:val="0064299B"/>
    <w:rsid w:val="00643117"/>
    <w:rsid w:val="0064330F"/>
    <w:rsid w:val="00643460"/>
    <w:rsid w:val="006434E6"/>
    <w:rsid w:val="0064368D"/>
    <w:rsid w:val="006436E5"/>
    <w:rsid w:val="006437F9"/>
    <w:rsid w:val="00643840"/>
    <w:rsid w:val="00643A98"/>
    <w:rsid w:val="00643BF8"/>
    <w:rsid w:val="00643CC1"/>
    <w:rsid w:val="0064428E"/>
    <w:rsid w:val="00644382"/>
    <w:rsid w:val="006444F5"/>
    <w:rsid w:val="00644603"/>
    <w:rsid w:val="006449D8"/>
    <w:rsid w:val="00644B64"/>
    <w:rsid w:val="00644E9E"/>
    <w:rsid w:val="00645196"/>
    <w:rsid w:val="006456CD"/>
    <w:rsid w:val="006459D0"/>
    <w:rsid w:val="00645BF5"/>
    <w:rsid w:val="00645C2E"/>
    <w:rsid w:val="0064672D"/>
    <w:rsid w:val="00646815"/>
    <w:rsid w:val="0064691B"/>
    <w:rsid w:val="00646A04"/>
    <w:rsid w:val="0064707C"/>
    <w:rsid w:val="006470AD"/>
    <w:rsid w:val="00647850"/>
    <w:rsid w:val="00647CEF"/>
    <w:rsid w:val="0065020F"/>
    <w:rsid w:val="00650625"/>
    <w:rsid w:val="00650739"/>
    <w:rsid w:val="006507AA"/>
    <w:rsid w:val="00650A90"/>
    <w:rsid w:val="00650DAA"/>
    <w:rsid w:val="006514B8"/>
    <w:rsid w:val="00651653"/>
    <w:rsid w:val="00651863"/>
    <w:rsid w:val="00652317"/>
    <w:rsid w:val="006523AC"/>
    <w:rsid w:val="006524A3"/>
    <w:rsid w:val="00652636"/>
    <w:rsid w:val="006526EF"/>
    <w:rsid w:val="00652745"/>
    <w:rsid w:val="006527BF"/>
    <w:rsid w:val="00652A9D"/>
    <w:rsid w:val="00652CB1"/>
    <w:rsid w:val="00652D0A"/>
    <w:rsid w:val="006532DB"/>
    <w:rsid w:val="0065334E"/>
    <w:rsid w:val="006534B5"/>
    <w:rsid w:val="00653A0E"/>
    <w:rsid w:val="006540F2"/>
    <w:rsid w:val="00654120"/>
    <w:rsid w:val="00654160"/>
    <w:rsid w:val="00654187"/>
    <w:rsid w:val="006541C0"/>
    <w:rsid w:val="006542DC"/>
    <w:rsid w:val="00654689"/>
    <w:rsid w:val="00654758"/>
    <w:rsid w:val="00654A03"/>
    <w:rsid w:val="00654A5D"/>
    <w:rsid w:val="00654BD9"/>
    <w:rsid w:val="00655850"/>
    <w:rsid w:val="006559E7"/>
    <w:rsid w:val="00655F0E"/>
    <w:rsid w:val="00655FF9"/>
    <w:rsid w:val="0065628D"/>
    <w:rsid w:val="00656AAA"/>
    <w:rsid w:val="00656DBB"/>
    <w:rsid w:val="00656E62"/>
    <w:rsid w:val="006574BA"/>
    <w:rsid w:val="0065770E"/>
    <w:rsid w:val="00657F36"/>
    <w:rsid w:val="00660038"/>
    <w:rsid w:val="0066009F"/>
    <w:rsid w:val="006601CC"/>
    <w:rsid w:val="0066035B"/>
    <w:rsid w:val="00660815"/>
    <w:rsid w:val="006608AA"/>
    <w:rsid w:val="00660D96"/>
    <w:rsid w:val="00660F14"/>
    <w:rsid w:val="006624FB"/>
    <w:rsid w:val="00662E02"/>
    <w:rsid w:val="006637B6"/>
    <w:rsid w:val="00663965"/>
    <w:rsid w:val="00663BAD"/>
    <w:rsid w:val="00663D53"/>
    <w:rsid w:val="00663D8F"/>
    <w:rsid w:val="00663DC9"/>
    <w:rsid w:val="00663E45"/>
    <w:rsid w:val="006641F2"/>
    <w:rsid w:val="00664D27"/>
    <w:rsid w:val="00666381"/>
    <w:rsid w:val="00666551"/>
    <w:rsid w:val="00666D1D"/>
    <w:rsid w:val="00666E62"/>
    <w:rsid w:val="00666F4E"/>
    <w:rsid w:val="0066728C"/>
    <w:rsid w:val="00667591"/>
    <w:rsid w:val="006679DF"/>
    <w:rsid w:val="006701AC"/>
    <w:rsid w:val="006701ED"/>
    <w:rsid w:val="006702C2"/>
    <w:rsid w:val="006704DE"/>
    <w:rsid w:val="00670AD7"/>
    <w:rsid w:val="00670AF5"/>
    <w:rsid w:val="00670E34"/>
    <w:rsid w:val="00670E74"/>
    <w:rsid w:val="00671769"/>
    <w:rsid w:val="006721A3"/>
    <w:rsid w:val="006726E2"/>
    <w:rsid w:val="006727E5"/>
    <w:rsid w:val="00672BA9"/>
    <w:rsid w:val="00672BC6"/>
    <w:rsid w:val="00672D07"/>
    <w:rsid w:val="006734C6"/>
    <w:rsid w:val="00673D7F"/>
    <w:rsid w:val="0067412D"/>
    <w:rsid w:val="0067448A"/>
    <w:rsid w:val="00674869"/>
    <w:rsid w:val="00674B06"/>
    <w:rsid w:val="00675124"/>
    <w:rsid w:val="00675418"/>
    <w:rsid w:val="0067597D"/>
    <w:rsid w:val="00675A40"/>
    <w:rsid w:val="00675CAD"/>
    <w:rsid w:val="00675E43"/>
    <w:rsid w:val="0067625C"/>
    <w:rsid w:val="006765D7"/>
    <w:rsid w:val="00676628"/>
    <w:rsid w:val="006767FA"/>
    <w:rsid w:val="00676841"/>
    <w:rsid w:val="00676EB1"/>
    <w:rsid w:val="006776F1"/>
    <w:rsid w:val="0067782C"/>
    <w:rsid w:val="00677ABE"/>
    <w:rsid w:val="00677D14"/>
    <w:rsid w:val="00677E41"/>
    <w:rsid w:val="006803BC"/>
    <w:rsid w:val="00680434"/>
    <w:rsid w:val="0068061D"/>
    <w:rsid w:val="00680779"/>
    <w:rsid w:val="0068088D"/>
    <w:rsid w:val="00680F22"/>
    <w:rsid w:val="006811FA"/>
    <w:rsid w:val="00681707"/>
    <w:rsid w:val="00681894"/>
    <w:rsid w:val="00681DC0"/>
    <w:rsid w:val="00681E88"/>
    <w:rsid w:val="00682659"/>
    <w:rsid w:val="006826AF"/>
    <w:rsid w:val="00682968"/>
    <w:rsid w:val="006829F7"/>
    <w:rsid w:val="00682FE0"/>
    <w:rsid w:val="0068321B"/>
    <w:rsid w:val="00683C07"/>
    <w:rsid w:val="00683E57"/>
    <w:rsid w:val="00683E9E"/>
    <w:rsid w:val="00684006"/>
    <w:rsid w:val="006841C8"/>
    <w:rsid w:val="0068420F"/>
    <w:rsid w:val="0068428C"/>
    <w:rsid w:val="00684354"/>
    <w:rsid w:val="0068496F"/>
    <w:rsid w:val="00684BB8"/>
    <w:rsid w:val="006853C3"/>
    <w:rsid w:val="00685512"/>
    <w:rsid w:val="00685790"/>
    <w:rsid w:val="0068581B"/>
    <w:rsid w:val="006858A8"/>
    <w:rsid w:val="00685A91"/>
    <w:rsid w:val="00685DC2"/>
    <w:rsid w:val="006866DB"/>
    <w:rsid w:val="006868F9"/>
    <w:rsid w:val="00686F14"/>
    <w:rsid w:val="00686F49"/>
    <w:rsid w:val="0068711D"/>
    <w:rsid w:val="006872C3"/>
    <w:rsid w:val="00687576"/>
    <w:rsid w:val="006878B8"/>
    <w:rsid w:val="00687942"/>
    <w:rsid w:val="0068797F"/>
    <w:rsid w:val="00687C73"/>
    <w:rsid w:val="00687C79"/>
    <w:rsid w:val="00690169"/>
    <w:rsid w:val="0069017C"/>
    <w:rsid w:val="0069046D"/>
    <w:rsid w:val="00690EC8"/>
    <w:rsid w:val="00690F34"/>
    <w:rsid w:val="00691155"/>
    <w:rsid w:val="006912D8"/>
    <w:rsid w:val="00691704"/>
    <w:rsid w:val="0069179D"/>
    <w:rsid w:val="00691A1E"/>
    <w:rsid w:val="00691BA3"/>
    <w:rsid w:val="00691BA6"/>
    <w:rsid w:val="00691D6F"/>
    <w:rsid w:val="00691F19"/>
    <w:rsid w:val="00692443"/>
    <w:rsid w:val="006925F7"/>
    <w:rsid w:val="0069265C"/>
    <w:rsid w:val="00692663"/>
    <w:rsid w:val="00692F8D"/>
    <w:rsid w:val="0069380A"/>
    <w:rsid w:val="006938F0"/>
    <w:rsid w:val="00693D7A"/>
    <w:rsid w:val="00694304"/>
    <w:rsid w:val="00694444"/>
    <w:rsid w:val="006944DC"/>
    <w:rsid w:val="006948CC"/>
    <w:rsid w:val="00694B4F"/>
    <w:rsid w:val="00694CDF"/>
    <w:rsid w:val="00695051"/>
    <w:rsid w:val="00695055"/>
    <w:rsid w:val="006952E3"/>
    <w:rsid w:val="006953FC"/>
    <w:rsid w:val="006955B5"/>
    <w:rsid w:val="00695614"/>
    <w:rsid w:val="00695690"/>
    <w:rsid w:val="00695F25"/>
    <w:rsid w:val="0069608E"/>
    <w:rsid w:val="006961F8"/>
    <w:rsid w:val="006965E0"/>
    <w:rsid w:val="0069665B"/>
    <w:rsid w:val="006967B5"/>
    <w:rsid w:val="0069700F"/>
    <w:rsid w:val="00697166"/>
    <w:rsid w:val="00697172"/>
    <w:rsid w:val="00697676"/>
    <w:rsid w:val="0069781F"/>
    <w:rsid w:val="006979A2"/>
    <w:rsid w:val="00697DB2"/>
    <w:rsid w:val="006A0095"/>
    <w:rsid w:val="006A0A35"/>
    <w:rsid w:val="006A0AE1"/>
    <w:rsid w:val="006A0C5C"/>
    <w:rsid w:val="006A121D"/>
    <w:rsid w:val="006A1CBB"/>
    <w:rsid w:val="006A1D29"/>
    <w:rsid w:val="006A1F55"/>
    <w:rsid w:val="006A236F"/>
    <w:rsid w:val="006A285B"/>
    <w:rsid w:val="006A2CF7"/>
    <w:rsid w:val="006A2DF5"/>
    <w:rsid w:val="006A3528"/>
    <w:rsid w:val="006A37CA"/>
    <w:rsid w:val="006A3851"/>
    <w:rsid w:val="006A3AB6"/>
    <w:rsid w:val="006A3B81"/>
    <w:rsid w:val="006A3E86"/>
    <w:rsid w:val="006A3FEC"/>
    <w:rsid w:val="006A451F"/>
    <w:rsid w:val="006A455B"/>
    <w:rsid w:val="006A47DF"/>
    <w:rsid w:val="006A53F4"/>
    <w:rsid w:val="006A548E"/>
    <w:rsid w:val="006A56C3"/>
    <w:rsid w:val="006A59FB"/>
    <w:rsid w:val="006A6203"/>
    <w:rsid w:val="006A6B64"/>
    <w:rsid w:val="006A7073"/>
    <w:rsid w:val="006A71DA"/>
    <w:rsid w:val="006A72AC"/>
    <w:rsid w:val="006A753E"/>
    <w:rsid w:val="006A7CBA"/>
    <w:rsid w:val="006A7D2A"/>
    <w:rsid w:val="006B0453"/>
    <w:rsid w:val="006B05D4"/>
    <w:rsid w:val="006B07C8"/>
    <w:rsid w:val="006B0CE6"/>
    <w:rsid w:val="006B109C"/>
    <w:rsid w:val="006B18C4"/>
    <w:rsid w:val="006B1A3E"/>
    <w:rsid w:val="006B2082"/>
    <w:rsid w:val="006B238C"/>
    <w:rsid w:val="006B2507"/>
    <w:rsid w:val="006B2858"/>
    <w:rsid w:val="006B28A2"/>
    <w:rsid w:val="006B29DF"/>
    <w:rsid w:val="006B2AED"/>
    <w:rsid w:val="006B2B13"/>
    <w:rsid w:val="006B2BCE"/>
    <w:rsid w:val="006B310E"/>
    <w:rsid w:val="006B3243"/>
    <w:rsid w:val="006B3449"/>
    <w:rsid w:val="006B35B7"/>
    <w:rsid w:val="006B3679"/>
    <w:rsid w:val="006B3790"/>
    <w:rsid w:val="006B3919"/>
    <w:rsid w:val="006B3BE8"/>
    <w:rsid w:val="006B3C83"/>
    <w:rsid w:val="006B3F24"/>
    <w:rsid w:val="006B41B1"/>
    <w:rsid w:val="006B43CB"/>
    <w:rsid w:val="006B4402"/>
    <w:rsid w:val="006B4E26"/>
    <w:rsid w:val="006B5517"/>
    <w:rsid w:val="006B575B"/>
    <w:rsid w:val="006B5772"/>
    <w:rsid w:val="006B5B40"/>
    <w:rsid w:val="006B605D"/>
    <w:rsid w:val="006B6C00"/>
    <w:rsid w:val="006B6CD1"/>
    <w:rsid w:val="006B6D4D"/>
    <w:rsid w:val="006B6E05"/>
    <w:rsid w:val="006B71E9"/>
    <w:rsid w:val="006B7E2F"/>
    <w:rsid w:val="006B7F9C"/>
    <w:rsid w:val="006C0166"/>
    <w:rsid w:val="006C028F"/>
    <w:rsid w:val="006C0852"/>
    <w:rsid w:val="006C1751"/>
    <w:rsid w:val="006C1AF4"/>
    <w:rsid w:val="006C1D52"/>
    <w:rsid w:val="006C22C0"/>
    <w:rsid w:val="006C23E9"/>
    <w:rsid w:val="006C2CA0"/>
    <w:rsid w:val="006C2EE7"/>
    <w:rsid w:val="006C31D7"/>
    <w:rsid w:val="006C35CE"/>
    <w:rsid w:val="006C3B30"/>
    <w:rsid w:val="006C3EDC"/>
    <w:rsid w:val="006C47EA"/>
    <w:rsid w:val="006C4910"/>
    <w:rsid w:val="006C4AF0"/>
    <w:rsid w:val="006C4B94"/>
    <w:rsid w:val="006C518F"/>
    <w:rsid w:val="006C540F"/>
    <w:rsid w:val="006C55BF"/>
    <w:rsid w:val="006C59C8"/>
    <w:rsid w:val="006C5A8B"/>
    <w:rsid w:val="006C5F00"/>
    <w:rsid w:val="006C5F4B"/>
    <w:rsid w:val="006C6007"/>
    <w:rsid w:val="006C616C"/>
    <w:rsid w:val="006C6698"/>
    <w:rsid w:val="006C6A34"/>
    <w:rsid w:val="006C6A98"/>
    <w:rsid w:val="006C6AAF"/>
    <w:rsid w:val="006C70B3"/>
    <w:rsid w:val="006C720B"/>
    <w:rsid w:val="006C7CD2"/>
    <w:rsid w:val="006C7E12"/>
    <w:rsid w:val="006D008B"/>
    <w:rsid w:val="006D010A"/>
    <w:rsid w:val="006D02ED"/>
    <w:rsid w:val="006D0322"/>
    <w:rsid w:val="006D0336"/>
    <w:rsid w:val="006D0DBA"/>
    <w:rsid w:val="006D0F3B"/>
    <w:rsid w:val="006D0F95"/>
    <w:rsid w:val="006D10DE"/>
    <w:rsid w:val="006D13EE"/>
    <w:rsid w:val="006D16A7"/>
    <w:rsid w:val="006D1939"/>
    <w:rsid w:val="006D19A7"/>
    <w:rsid w:val="006D1EB1"/>
    <w:rsid w:val="006D21A1"/>
    <w:rsid w:val="006D22CD"/>
    <w:rsid w:val="006D23CF"/>
    <w:rsid w:val="006D268B"/>
    <w:rsid w:val="006D2874"/>
    <w:rsid w:val="006D28E6"/>
    <w:rsid w:val="006D2D06"/>
    <w:rsid w:val="006D2DCA"/>
    <w:rsid w:val="006D3009"/>
    <w:rsid w:val="006D32AD"/>
    <w:rsid w:val="006D32C1"/>
    <w:rsid w:val="006D33C1"/>
    <w:rsid w:val="006D357D"/>
    <w:rsid w:val="006D3616"/>
    <w:rsid w:val="006D3B4E"/>
    <w:rsid w:val="006D3BCA"/>
    <w:rsid w:val="006D4076"/>
    <w:rsid w:val="006D42F9"/>
    <w:rsid w:val="006D4349"/>
    <w:rsid w:val="006D43FB"/>
    <w:rsid w:val="006D4656"/>
    <w:rsid w:val="006D48B0"/>
    <w:rsid w:val="006D48FD"/>
    <w:rsid w:val="006D492B"/>
    <w:rsid w:val="006D4D1F"/>
    <w:rsid w:val="006D4ED3"/>
    <w:rsid w:val="006D4F51"/>
    <w:rsid w:val="006D52AB"/>
    <w:rsid w:val="006D52B2"/>
    <w:rsid w:val="006D5978"/>
    <w:rsid w:val="006D5E97"/>
    <w:rsid w:val="006D5F4A"/>
    <w:rsid w:val="006D6580"/>
    <w:rsid w:val="006D65B5"/>
    <w:rsid w:val="006D6903"/>
    <w:rsid w:val="006D694B"/>
    <w:rsid w:val="006D6D6B"/>
    <w:rsid w:val="006D71DE"/>
    <w:rsid w:val="006D7B0B"/>
    <w:rsid w:val="006D7E28"/>
    <w:rsid w:val="006D7FAF"/>
    <w:rsid w:val="006E0066"/>
    <w:rsid w:val="006E046C"/>
    <w:rsid w:val="006E092C"/>
    <w:rsid w:val="006E0D5D"/>
    <w:rsid w:val="006E0E6D"/>
    <w:rsid w:val="006E0F38"/>
    <w:rsid w:val="006E1044"/>
    <w:rsid w:val="006E1049"/>
    <w:rsid w:val="006E1203"/>
    <w:rsid w:val="006E169A"/>
    <w:rsid w:val="006E17B2"/>
    <w:rsid w:val="006E1AF7"/>
    <w:rsid w:val="006E1E78"/>
    <w:rsid w:val="006E2313"/>
    <w:rsid w:val="006E23BF"/>
    <w:rsid w:val="006E2762"/>
    <w:rsid w:val="006E2A36"/>
    <w:rsid w:val="006E32E6"/>
    <w:rsid w:val="006E3353"/>
    <w:rsid w:val="006E344D"/>
    <w:rsid w:val="006E39B3"/>
    <w:rsid w:val="006E39B4"/>
    <w:rsid w:val="006E4108"/>
    <w:rsid w:val="006E4231"/>
    <w:rsid w:val="006E471A"/>
    <w:rsid w:val="006E483D"/>
    <w:rsid w:val="006E4CD7"/>
    <w:rsid w:val="006E4F06"/>
    <w:rsid w:val="006E50BD"/>
    <w:rsid w:val="006E53A3"/>
    <w:rsid w:val="006E53B0"/>
    <w:rsid w:val="006E5B42"/>
    <w:rsid w:val="006E5F28"/>
    <w:rsid w:val="006E60AA"/>
    <w:rsid w:val="006E7A7C"/>
    <w:rsid w:val="006E7CF3"/>
    <w:rsid w:val="006E7E33"/>
    <w:rsid w:val="006F00ED"/>
    <w:rsid w:val="006F01F3"/>
    <w:rsid w:val="006F0227"/>
    <w:rsid w:val="006F02EA"/>
    <w:rsid w:val="006F0730"/>
    <w:rsid w:val="006F096A"/>
    <w:rsid w:val="006F096E"/>
    <w:rsid w:val="006F0BAE"/>
    <w:rsid w:val="006F0EDD"/>
    <w:rsid w:val="006F1504"/>
    <w:rsid w:val="006F1652"/>
    <w:rsid w:val="006F1DEA"/>
    <w:rsid w:val="006F1F86"/>
    <w:rsid w:val="006F1FC9"/>
    <w:rsid w:val="006F2033"/>
    <w:rsid w:val="006F2149"/>
    <w:rsid w:val="006F2233"/>
    <w:rsid w:val="006F2712"/>
    <w:rsid w:val="006F2BBA"/>
    <w:rsid w:val="006F350E"/>
    <w:rsid w:val="006F3DB5"/>
    <w:rsid w:val="006F3EE4"/>
    <w:rsid w:val="006F3F06"/>
    <w:rsid w:val="006F3F29"/>
    <w:rsid w:val="006F4116"/>
    <w:rsid w:val="006F51EA"/>
    <w:rsid w:val="006F52B9"/>
    <w:rsid w:val="006F54AC"/>
    <w:rsid w:val="006F5632"/>
    <w:rsid w:val="006F59E2"/>
    <w:rsid w:val="006F65AD"/>
    <w:rsid w:val="006F680C"/>
    <w:rsid w:val="006F6D81"/>
    <w:rsid w:val="006F6FE9"/>
    <w:rsid w:val="006F7077"/>
    <w:rsid w:val="006F718C"/>
    <w:rsid w:val="006F757F"/>
    <w:rsid w:val="006F75EB"/>
    <w:rsid w:val="006F775A"/>
    <w:rsid w:val="006F7AF9"/>
    <w:rsid w:val="00700363"/>
    <w:rsid w:val="00700DC4"/>
    <w:rsid w:val="0070111A"/>
    <w:rsid w:val="007013F5"/>
    <w:rsid w:val="0070171B"/>
    <w:rsid w:val="0070190A"/>
    <w:rsid w:val="00701A35"/>
    <w:rsid w:val="00701F32"/>
    <w:rsid w:val="00702464"/>
    <w:rsid w:val="0070287B"/>
    <w:rsid w:val="007029B8"/>
    <w:rsid w:val="00702AD7"/>
    <w:rsid w:val="00702AEA"/>
    <w:rsid w:val="00702B2F"/>
    <w:rsid w:val="00702FD2"/>
    <w:rsid w:val="00703196"/>
    <w:rsid w:val="0070341A"/>
    <w:rsid w:val="007035F8"/>
    <w:rsid w:val="00703A7C"/>
    <w:rsid w:val="007040AA"/>
    <w:rsid w:val="007045C3"/>
    <w:rsid w:val="007058CB"/>
    <w:rsid w:val="0070625C"/>
    <w:rsid w:val="00706427"/>
    <w:rsid w:val="007064BC"/>
    <w:rsid w:val="007064FF"/>
    <w:rsid w:val="007065A2"/>
    <w:rsid w:val="00706A15"/>
    <w:rsid w:val="00706AFF"/>
    <w:rsid w:val="00706B2B"/>
    <w:rsid w:val="007070F8"/>
    <w:rsid w:val="007073B3"/>
    <w:rsid w:val="0070755E"/>
    <w:rsid w:val="0070757C"/>
    <w:rsid w:val="0070765E"/>
    <w:rsid w:val="00707AFA"/>
    <w:rsid w:val="00707D83"/>
    <w:rsid w:val="00707DB5"/>
    <w:rsid w:val="00710276"/>
    <w:rsid w:val="007106BC"/>
    <w:rsid w:val="007107EF"/>
    <w:rsid w:val="00710EB6"/>
    <w:rsid w:val="00710F0E"/>
    <w:rsid w:val="007113E5"/>
    <w:rsid w:val="00711799"/>
    <w:rsid w:val="00711A68"/>
    <w:rsid w:val="00711B49"/>
    <w:rsid w:val="00711FF0"/>
    <w:rsid w:val="00712334"/>
    <w:rsid w:val="0071241B"/>
    <w:rsid w:val="00712426"/>
    <w:rsid w:val="007126E2"/>
    <w:rsid w:val="007128BA"/>
    <w:rsid w:val="00712A01"/>
    <w:rsid w:val="00712ADC"/>
    <w:rsid w:val="00712F94"/>
    <w:rsid w:val="00712FCC"/>
    <w:rsid w:val="00713BA2"/>
    <w:rsid w:val="0071413C"/>
    <w:rsid w:val="00714350"/>
    <w:rsid w:val="00714892"/>
    <w:rsid w:val="0071499E"/>
    <w:rsid w:val="00714DBE"/>
    <w:rsid w:val="00715216"/>
    <w:rsid w:val="00715608"/>
    <w:rsid w:val="007157A4"/>
    <w:rsid w:val="00715CDA"/>
    <w:rsid w:val="00716024"/>
    <w:rsid w:val="00716050"/>
    <w:rsid w:val="00716339"/>
    <w:rsid w:val="00716BDD"/>
    <w:rsid w:val="00716C7C"/>
    <w:rsid w:val="00716D17"/>
    <w:rsid w:val="0071799D"/>
    <w:rsid w:val="00717B56"/>
    <w:rsid w:val="00720146"/>
    <w:rsid w:val="00720884"/>
    <w:rsid w:val="00721349"/>
    <w:rsid w:val="0072143F"/>
    <w:rsid w:val="007215C9"/>
    <w:rsid w:val="00721980"/>
    <w:rsid w:val="00721A7C"/>
    <w:rsid w:val="00721C7D"/>
    <w:rsid w:val="007220BD"/>
    <w:rsid w:val="007222D0"/>
    <w:rsid w:val="007222DA"/>
    <w:rsid w:val="00722339"/>
    <w:rsid w:val="00722714"/>
    <w:rsid w:val="007228CD"/>
    <w:rsid w:val="00722A03"/>
    <w:rsid w:val="007231F8"/>
    <w:rsid w:val="0072332B"/>
    <w:rsid w:val="007236FA"/>
    <w:rsid w:val="00723B4B"/>
    <w:rsid w:val="00724334"/>
    <w:rsid w:val="0072483B"/>
    <w:rsid w:val="00724BC9"/>
    <w:rsid w:val="00724F21"/>
    <w:rsid w:val="007250E3"/>
    <w:rsid w:val="007251AB"/>
    <w:rsid w:val="00725422"/>
    <w:rsid w:val="007255B4"/>
    <w:rsid w:val="007257B5"/>
    <w:rsid w:val="0072678F"/>
    <w:rsid w:val="00726834"/>
    <w:rsid w:val="00726A9D"/>
    <w:rsid w:val="007270F1"/>
    <w:rsid w:val="0072736A"/>
    <w:rsid w:val="007276CC"/>
    <w:rsid w:val="007279C7"/>
    <w:rsid w:val="00727A2A"/>
    <w:rsid w:val="00727A36"/>
    <w:rsid w:val="00727C4D"/>
    <w:rsid w:val="00727D9A"/>
    <w:rsid w:val="00727DE0"/>
    <w:rsid w:val="00730264"/>
    <w:rsid w:val="007302B7"/>
    <w:rsid w:val="00730405"/>
    <w:rsid w:val="00730421"/>
    <w:rsid w:val="00730606"/>
    <w:rsid w:val="007309ED"/>
    <w:rsid w:val="00730F05"/>
    <w:rsid w:val="00730F1A"/>
    <w:rsid w:val="0073109E"/>
    <w:rsid w:val="00731187"/>
    <w:rsid w:val="007311D4"/>
    <w:rsid w:val="0073120A"/>
    <w:rsid w:val="007318AA"/>
    <w:rsid w:val="00731D5D"/>
    <w:rsid w:val="00731E62"/>
    <w:rsid w:val="00731EEA"/>
    <w:rsid w:val="00732299"/>
    <w:rsid w:val="007322D1"/>
    <w:rsid w:val="0073266E"/>
    <w:rsid w:val="007328CF"/>
    <w:rsid w:val="0073295E"/>
    <w:rsid w:val="00732DC6"/>
    <w:rsid w:val="00733844"/>
    <w:rsid w:val="00733BCD"/>
    <w:rsid w:val="007341FE"/>
    <w:rsid w:val="00734410"/>
    <w:rsid w:val="00734990"/>
    <w:rsid w:val="00734E81"/>
    <w:rsid w:val="00735074"/>
    <w:rsid w:val="00735673"/>
    <w:rsid w:val="007359DB"/>
    <w:rsid w:val="00735A75"/>
    <w:rsid w:val="00735A7B"/>
    <w:rsid w:val="00735B03"/>
    <w:rsid w:val="00735C7F"/>
    <w:rsid w:val="00736051"/>
    <w:rsid w:val="00736467"/>
    <w:rsid w:val="00736663"/>
    <w:rsid w:val="0073683A"/>
    <w:rsid w:val="007368F0"/>
    <w:rsid w:val="00736B5D"/>
    <w:rsid w:val="00736BD3"/>
    <w:rsid w:val="00736BEC"/>
    <w:rsid w:val="00736F0B"/>
    <w:rsid w:val="00737044"/>
    <w:rsid w:val="0073788F"/>
    <w:rsid w:val="007378AD"/>
    <w:rsid w:val="00737B5B"/>
    <w:rsid w:val="00737D49"/>
    <w:rsid w:val="00737FB1"/>
    <w:rsid w:val="00740206"/>
    <w:rsid w:val="007403B7"/>
    <w:rsid w:val="00740A38"/>
    <w:rsid w:val="00740F4E"/>
    <w:rsid w:val="007412AF"/>
    <w:rsid w:val="00741373"/>
    <w:rsid w:val="00741E9E"/>
    <w:rsid w:val="007426FC"/>
    <w:rsid w:val="00742C20"/>
    <w:rsid w:val="00742E7A"/>
    <w:rsid w:val="00742F28"/>
    <w:rsid w:val="0074316C"/>
    <w:rsid w:val="00743C22"/>
    <w:rsid w:val="00743E3F"/>
    <w:rsid w:val="00743E50"/>
    <w:rsid w:val="00743E9B"/>
    <w:rsid w:val="00744119"/>
    <w:rsid w:val="007447FF"/>
    <w:rsid w:val="00744FCC"/>
    <w:rsid w:val="0074515D"/>
    <w:rsid w:val="0074560F"/>
    <w:rsid w:val="00745672"/>
    <w:rsid w:val="00745714"/>
    <w:rsid w:val="00745895"/>
    <w:rsid w:val="00745A86"/>
    <w:rsid w:val="007465F0"/>
    <w:rsid w:val="007467CF"/>
    <w:rsid w:val="007469E5"/>
    <w:rsid w:val="00746F29"/>
    <w:rsid w:val="007477F0"/>
    <w:rsid w:val="00747F47"/>
    <w:rsid w:val="00750032"/>
    <w:rsid w:val="00750568"/>
    <w:rsid w:val="0075070D"/>
    <w:rsid w:val="00750CB4"/>
    <w:rsid w:val="00750F21"/>
    <w:rsid w:val="00751055"/>
    <w:rsid w:val="00751481"/>
    <w:rsid w:val="007515BF"/>
    <w:rsid w:val="00751A63"/>
    <w:rsid w:val="00751BA2"/>
    <w:rsid w:val="00751D17"/>
    <w:rsid w:val="00751EF2"/>
    <w:rsid w:val="007522BE"/>
    <w:rsid w:val="007523E6"/>
    <w:rsid w:val="00752777"/>
    <w:rsid w:val="007528A7"/>
    <w:rsid w:val="00752937"/>
    <w:rsid w:val="007529AD"/>
    <w:rsid w:val="00752A4F"/>
    <w:rsid w:val="00752C80"/>
    <w:rsid w:val="00752F41"/>
    <w:rsid w:val="007531AE"/>
    <w:rsid w:val="007532DD"/>
    <w:rsid w:val="00753765"/>
    <w:rsid w:val="0075413E"/>
    <w:rsid w:val="00754265"/>
    <w:rsid w:val="007545DE"/>
    <w:rsid w:val="007546AC"/>
    <w:rsid w:val="00754920"/>
    <w:rsid w:val="0075492D"/>
    <w:rsid w:val="00754E43"/>
    <w:rsid w:val="00755574"/>
    <w:rsid w:val="00755F62"/>
    <w:rsid w:val="00756097"/>
    <w:rsid w:val="007562F4"/>
    <w:rsid w:val="00756392"/>
    <w:rsid w:val="007563B9"/>
    <w:rsid w:val="007563C4"/>
    <w:rsid w:val="00756659"/>
    <w:rsid w:val="00756A6F"/>
    <w:rsid w:val="00757582"/>
    <w:rsid w:val="00757790"/>
    <w:rsid w:val="007579F7"/>
    <w:rsid w:val="00757F74"/>
    <w:rsid w:val="00757FCC"/>
    <w:rsid w:val="00760236"/>
    <w:rsid w:val="0076062F"/>
    <w:rsid w:val="007606B6"/>
    <w:rsid w:val="0076093B"/>
    <w:rsid w:val="00760EED"/>
    <w:rsid w:val="00760F43"/>
    <w:rsid w:val="00760FE0"/>
    <w:rsid w:val="00760FED"/>
    <w:rsid w:val="00761041"/>
    <w:rsid w:val="00761631"/>
    <w:rsid w:val="00761AA5"/>
    <w:rsid w:val="00761FE0"/>
    <w:rsid w:val="00762157"/>
    <w:rsid w:val="0076224C"/>
    <w:rsid w:val="007624A3"/>
    <w:rsid w:val="00762587"/>
    <w:rsid w:val="00762920"/>
    <w:rsid w:val="00762A85"/>
    <w:rsid w:val="00762D88"/>
    <w:rsid w:val="00762F32"/>
    <w:rsid w:val="00763232"/>
    <w:rsid w:val="00763438"/>
    <w:rsid w:val="00763624"/>
    <w:rsid w:val="00763BF7"/>
    <w:rsid w:val="007644D4"/>
    <w:rsid w:val="007644D8"/>
    <w:rsid w:val="0076457F"/>
    <w:rsid w:val="0076462D"/>
    <w:rsid w:val="007647BF"/>
    <w:rsid w:val="00764986"/>
    <w:rsid w:val="00764B69"/>
    <w:rsid w:val="00764FD5"/>
    <w:rsid w:val="00764FE5"/>
    <w:rsid w:val="007650C4"/>
    <w:rsid w:val="0076568E"/>
    <w:rsid w:val="00765726"/>
    <w:rsid w:val="0076627B"/>
    <w:rsid w:val="007662EA"/>
    <w:rsid w:val="00766919"/>
    <w:rsid w:val="00766CC4"/>
    <w:rsid w:val="00766D46"/>
    <w:rsid w:val="00766E5A"/>
    <w:rsid w:val="00767CB1"/>
    <w:rsid w:val="0077072D"/>
    <w:rsid w:val="0077096F"/>
    <w:rsid w:val="00770C5E"/>
    <w:rsid w:val="00770CF9"/>
    <w:rsid w:val="00770E04"/>
    <w:rsid w:val="00771119"/>
    <w:rsid w:val="00771467"/>
    <w:rsid w:val="007718FF"/>
    <w:rsid w:val="00771EBA"/>
    <w:rsid w:val="00772D1E"/>
    <w:rsid w:val="00772E7A"/>
    <w:rsid w:val="007733FE"/>
    <w:rsid w:val="00773ABB"/>
    <w:rsid w:val="00773F71"/>
    <w:rsid w:val="0077445A"/>
    <w:rsid w:val="00774949"/>
    <w:rsid w:val="00774AB6"/>
    <w:rsid w:val="00774B94"/>
    <w:rsid w:val="00774D67"/>
    <w:rsid w:val="00774E55"/>
    <w:rsid w:val="00775D85"/>
    <w:rsid w:val="00775FE7"/>
    <w:rsid w:val="0077631A"/>
    <w:rsid w:val="00776723"/>
    <w:rsid w:val="00776B52"/>
    <w:rsid w:val="00776FF1"/>
    <w:rsid w:val="007770DF"/>
    <w:rsid w:val="007773FF"/>
    <w:rsid w:val="0077769E"/>
    <w:rsid w:val="00777AAA"/>
    <w:rsid w:val="00777AD3"/>
    <w:rsid w:val="00777DF8"/>
    <w:rsid w:val="007808AF"/>
    <w:rsid w:val="00780CDA"/>
    <w:rsid w:val="00780EBE"/>
    <w:rsid w:val="00780F9D"/>
    <w:rsid w:val="0078119D"/>
    <w:rsid w:val="007815F7"/>
    <w:rsid w:val="00781866"/>
    <w:rsid w:val="00781CA8"/>
    <w:rsid w:val="00782371"/>
    <w:rsid w:val="00782553"/>
    <w:rsid w:val="0078287B"/>
    <w:rsid w:val="00782D51"/>
    <w:rsid w:val="00782D8D"/>
    <w:rsid w:val="00782EC1"/>
    <w:rsid w:val="00782ED3"/>
    <w:rsid w:val="00782F76"/>
    <w:rsid w:val="00784169"/>
    <w:rsid w:val="0078433A"/>
    <w:rsid w:val="00784923"/>
    <w:rsid w:val="00784BB2"/>
    <w:rsid w:val="00784FE8"/>
    <w:rsid w:val="007856A6"/>
    <w:rsid w:val="0078593A"/>
    <w:rsid w:val="00785B69"/>
    <w:rsid w:val="00785C8B"/>
    <w:rsid w:val="00785CC1"/>
    <w:rsid w:val="0078672E"/>
    <w:rsid w:val="00786E0F"/>
    <w:rsid w:val="00787098"/>
    <w:rsid w:val="007876F9"/>
    <w:rsid w:val="007877CE"/>
    <w:rsid w:val="00787F09"/>
    <w:rsid w:val="00787F2C"/>
    <w:rsid w:val="007908BD"/>
    <w:rsid w:val="00790908"/>
    <w:rsid w:val="00790BE1"/>
    <w:rsid w:val="00791C18"/>
    <w:rsid w:val="00792305"/>
    <w:rsid w:val="00792359"/>
    <w:rsid w:val="00792B1A"/>
    <w:rsid w:val="00792BDC"/>
    <w:rsid w:val="00792BFC"/>
    <w:rsid w:val="00792EC2"/>
    <w:rsid w:val="007935B6"/>
    <w:rsid w:val="00793B4C"/>
    <w:rsid w:val="00793C23"/>
    <w:rsid w:val="00793ED8"/>
    <w:rsid w:val="0079409C"/>
    <w:rsid w:val="00794660"/>
    <w:rsid w:val="007948DA"/>
    <w:rsid w:val="00794B6E"/>
    <w:rsid w:val="00794C7B"/>
    <w:rsid w:val="00794E99"/>
    <w:rsid w:val="00794FA4"/>
    <w:rsid w:val="00795023"/>
    <w:rsid w:val="0079503C"/>
    <w:rsid w:val="007953AC"/>
    <w:rsid w:val="0079636F"/>
    <w:rsid w:val="007963C9"/>
    <w:rsid w:val="00796531"/>
    <w:rsid w:val="00796C79"/>
    <w:rsid w:val="00796E1F"/>
    <w:rsid w:val="00797115"/>
    <w:rsid w:val="00797411"/>
    <w:rsid w:val="0079781E"/>
    <w:rsid w:val="00797F61"/>
    <w:rsid w:val="007A0399"/>
    <w:rsid w:val="007A0FC4"/>
    <w:rsid w:val="007A12E2"/>
    <w:rsid w:val="007A198B"/>
    <w:rsid w:val="007A1BBA"/>
    <w:rsid w:val="007A1F5A"/>
    <w:rsid w:val="007A20B7"/>
    <w:rsid w:val="007A25C6"/>
    <w:rsid w:val="007A2752"/>
    <w:rsid w:val="007A27FB"/>
    <w:rsid w:val="007A2B3E"/>
    <w:rsid w:val="007A2D6B"/>
    <w:rsid w:val="007A30ED"/>
    <w:rsid w:val="007A3644"/>
    <w:rsid w:val="007A3806"/>
    <w:rsid w:val="007A3C4C"/>
    <w:rsid w:val="007A3D85"/>
    <w:rsid w:val="007A3E3C"/>
    <w:rsid w:val="007A42A9"/>
    <w:rsid w:val="007A42B8"/>
    <w:rsid w:val="007A42F3"/>
    <w:rsid w:val="007A446B"/>
    <w:rsid w:val="007A459E"/>
    <w:rsid w:val="007A45F9"/>
    <w:rsid w:val="007A4B5A"/>
    <w:rsid w:val="007A5277"/>
    <w:rsid w:val="007A54A1"/>
    <w:rsid w:val="007A57C2"/>
    <w:rsid w:val="007A5A3B"/>
    <w:rsid w:val="007A5D05"/>
    <w:rsid w:val="007A65D7"/>
    <w:rsid w:val="007A6B2D"/>
    <w:rsid w:val="007A6CC7"/>
    <w:rsid w:val="007A6D9C"/>
    <w:rsid w:val="007A7182"/>
    <w:rsid w:val="007A74BD"/>
    <w:rsid w:val="007A783F"/>
    <w:rsid w:val="007A7CC6"/>
    <w:rsid w:val="007A7EC4"/>
    <w:rsid w:val="007B008D"/>
    <w:rsid w:val="007B0527"/>
    <w:rsid w:val="007B08BD"/>
    <w:rsid w:val="007B0F02"/>
    <w:rsid w:val="007B0F9E"/>
    <w:rsid w:val="007B1F38"/>
    <w:rsid w:val="007B2171"/>
    <w:rsid w:val="007B226E"/>
    <w:rsid w:val="007B2908"/>
    <w:rsid w:val="007B2AE2"/>
    <w:rsid w:val="007B2CFD"/>
    <w:rsid w:val="007B3095"/>
    <w:rsid w:val="007B322F"/>
    <w:rsid w:val="007B34B2"/>
    <w:rsid w:val="007B34BA"/>
    <w:rsid w:val="007B34DA"/>
    <w:rsid w:val="007B3A45"/>
    <w:rsid w:val="007B437A"/>
    <w:rsid w:val="007B44FD"/>
    <w:rsid w:val="007B4E91"/>
    <w:rsid w:val="007B5132"/>
    <w:rsid w:val="007B549B"/>
    <w:rsid w:val="007B55A5"/>
    <w:rsid w:val="007B5683"/>
    <w:rsid w:val="007B5783"/>
    <w:rsid w:val="007B5949"/>
    <w:rsid w:val="007B5988"/>
    <w:rsid w:val="007B5D59"/>
    <w:rsid w:val="007B5DC7"/>
    <w:rsid w:val="007B6A6E"/>
    <w:rsid w:val="007B6BB9"/>
    <w:rsid w:val="007B6F7B"/>
    <w:rsid w:val="007B725F"/>
    <w:rsid w:val="007B778F"/>
    <w:rsid w:val="007B7823"/>
    <w:rsid w:val="007B7B91"/>
    <w:rsid w:val="007B7E07"/>
    <w:rsid w:val="007C0395"/>
    <w:rsid w:val="007C07F0"/>
    <w:rsid w:val="007C11CC"/>
    <w:rsid w:val="007C1962"/>
    <w:rsid w:val="007C196B"/>
    <w:rsid w:val="007C1A2E"/>
    <w:rsid w:val="007C1A5C"/>
    <w:rsid w:val="007C211C"/>
    <w:rsid w:val="007C23ED"/>
    <w:rsid w:val="007C2511"/>
    <w:rsid w:val="007C2630"/>
    <w:rsid w:val="007C2C30"/>
    <w:rsid w:val="007C2E93"/>
    <w:rsid w:val="007C2FEB"/>
    <w:rsid w:val="007C311B"/>
    <w:rsid w:val="007C384E"/>
    <w:rsid w:val="007C3B47"/>
    <w:rsid w:val="007C3C0C"/>
    <w:rsid w:val="007C3D95"/>
    <w:rsid w:val="007C4102"/>
    <w:rsid w:val="007C45CE"/>
    <w:rsid w:val="007C4655"/>
    <w:rsid w:val="007C49B2"/>
    <w:rsid w:val="007C4A5B"/>
    <w:rsid w:val="007C4DDC"/>
    <w:rsid w:val="007C4F07"/>
    <w:rsid w:val="007C4F0F"/>
    <w:rsid w:val="007C50E2"/>
    <w:rsid w:val="007C5944"/>
    <w:rsid w:val="007C5B29"/>
    <w:rsid w:val="007C630C"/>
    <w:rsid w:val="007C6AC2"/>
    <w:rsid w:val="007C6B3F"/>
    <w:rsid w:val="007C6BDD"/>
    <w:rsid w:val="007C7006"/>
    <w:rsid w:val="007C70CB"/>
    <w:rsid w:val="007C7173"/>
    <w:rsid w:val="007C74F0"/>
    <w:rsid w:val="007C7659"/>
    <w:rsid w:val="007C794F"/>
    <w:rsid w:val="007C7C69"/>
    <w:rsid w:val="007C7CB6"/>
    <w:rsid w:val="007C7CD4"/>
    <w:rsid w:val="007D04A7"/>
    <w:rsid w:val="007D0A66"/>
    <w:rsid w:val="007D0AD1"/>
    <w:rsid w:val="007D0D3E"/>
    <w:rsid w:val="007D10D5"/>
    <w:rsid w:val="007D15C9"/>
    <w:rsid w:val="007D187F"/>
    <w:rsid w:val="007D1882"/>
    <w:rsid w:val="007D18D3"/>
    <w:rsid w:val="007D1975"/>
    <w:rsid w:val="007D1C9D"/>
    <w:rsid w:val="007D27E0"/>
    <w:rsid w:val="007D2DED"/>
    <w:rsid w:val="007D2F05"/>
    <w:rsid w:val="007D2FF4"/>
    <w:rsid w:val="007D2FFA"/>
    <w:rsid w:val="007D33D5"/>
    <w:rsid w:val="007D346E"/>
    <w:rsid w:val="007D391F"/>
    <w:rsid w:val="007D3A71"/>
    <w:rsid w:val="007D3B0E"/>
    <w:rsid w:val="007D4640"/>
    <w:rsid w:val="007D48C3"/>
    <w:rsid w:val="007D4A6A"/>
    <w:rsid w:val="007D4AB4"/>
    <w:rsid w:val="007D4F9F"/>
    <w:rsid w:val="007D5646"/>
    <w:rsid w:val="007D59A1"/>
    <w:rsid w:val="007D5C37"/>
    <w:rsid w:val="007D5E1C"/>
    <w:rsid w:val="007D6118"/>
    <w:rsid w:val="007D6313"/>
    <w:rsid w:val="007D6E71"/>
    <w:rsid w:val="007D6E8A"/>
    <w:rsid w:val="007D6FA0"/>
    <w:rsid w:val="007D7294"/>
    <w:rsid w:val="007D72A9"/>
    <w:rsid w:val="007D73B5"/>
    <w:rsid w:val="007D7590"/>
    <w:rsid w:val="007D7797"/>
    <w:rsid w:val="007E0188"/>
    <w:rsid w:val="007E0512"/>
    <w:rsid w:val="007E078A"/>
    <w:rsid w:val="007E0DB2"/>
    <w:rsid w:val="007E0E60"/>
    <w:rsid w:val="007E0FFA"/>
    <w:rsid w:val="007E111F"/>
    <w:rsid w:val="007E18DE"/>
    <w:rsid w:val="007E1910"/>
    <w:rsid w:val="007E1AFC"/>
    <w:rsid w:val="007E1BCD"/>
    <w:rsid w:val="007E1CA2"/>
    <w:rsid w:val="007E1CB0"/>
    <w:rsid w:val="007E2320"/>
    <w:rsid w:val="007E24C8"/>
    <w:rsid w:val="007E25A5"/>
    <w:rsid w:val="007E263E"/>
    <w:rsid w:val="007E307D"/>
    <w:rsid w:val="007E3796"/>
    <w:rsid w:val="007E37C3"/>
    <w:rsid w:val="007E38BF"/>
    <w:rsid w:val="007E3B33"/>
    <w:rsid w:val="007E4046"/>
    <w:rsid w:val="007E41EC"/>
    <w:rsid w:val="007E4445"/>
    <w:rsid w:val="007E47E1"/>
    <w:rsid w:val="007E4AC5"/>
    <w:rsid w:val="007E50D7"/>
    <w:rsid w:val="007E57AB"/>
    <w:rsid w:val="007E5DAA"/>
    <w:rsid w:val="007E5DF1"/>
    <w:rsid w:val="007E5E02"/>
    <w:rsid w:val="007E5F3A"/>
    <w:rsid w:val="007E606D"/>
    <w:rsid w:val="007E64FE"/>
    <w:rsid w:val="007E6672"/>
    <w:rsid w:val="007E67C3"/>
    <w:rsid w:val="007E6943"/>
    <w:rsid w:val="007E7202"/>
    <w:rsid w:val="007E72CD"/>
    <w:rsid w:val="007E759A"/>
    <w:rsid w:val="007E78B5"/>
    <w:rsid w:val="007E79A7"/>
    <w:rsid w:val="007E7AC0"/>
    <w:rsid w:val="007E7C0F"/>
    <w:rsid w:val="007E7C6E"/>
    <w:rsid w:val="007E7D03"/>
    <w:rsid w:val="007E7EF9"/>
    <w:rsid w:val="007F01C5"/>
    <w:rsid w:val="007F062D"/>
    <w:rsid w:val="007F0B2C"/>
    <w:rsid w:val="007F0D70"/>
    <w:rsid w:val="007F0DFC"/>
    <w:rsid w:val="007F0F3B"/>
    <w:rsid w:val="007F0F3E"/>
    <w:rsid w:val="007F10A7"/>
    <w:rsid w:val="007F139F"/>
    <w:rsid w:val="007F16D7"/>
    <w:rsid w:val="007F1E57"/>
    <w:rsid w:val="007F209B"/>
    <w:rsid w:val="007F20E3"/>
    <w:rsid w:val="007F218F"/>
    <w:rsid w:val="007F251A"/>
    <w:rsid w:val="007F27FB"/>
    <w:rsid w:val="007F2A63"/>
    <w:rsid w:val="007F2EB0"/>
    <w:rsid w:val="007F2EC3"/>
    <w:rsid w:val="007F2F97"/>
    <w:rsid w:val="007F306B"/>
    <w:rsid w:val="007F32D1"/>
    <w:rsid w:val="007F38CC"/>
    <w:rsid w:val="007F3B18"/>
    <w:rsid w:val="007F3EE6"/>
    <w:rsid w:val="007F423C"/>
    <w:rsid w:val="007F427A"/>
    <w:rsid w:val="007F47A9"/>
    <w:rsid w:val="007F49FC"/>
    <w:rsid w:val="007F4A39"/>
    <w:rsid w:val="007F5138"/>
    <w:rsid w:val="007F56F8"/>
    <w:rsid w:val="007F5730"/>
    <w:rsid w:val="007F57D5"/>
    <w:rsid w:val="007F5DFD"/>
    <w:rsid w:val="007F5EB4"/>
    <w:rsid w:val="007F608F"/>
    <w:rsid w:val="007F60BF"/>
    <w:rsid w:val="007F7205"/>
    <w:rsid w:val="007F7289"/>
    <w:rsid w:val="007F7379"/>
    <w:rsid w:val="007F738F"/>
    <w:rsid w:val="007F7502"/>
    <w:rsid w:val="008003A9"/>
    <w:rsid w:val="008007EB"/>
    <w:rsid w:val="008007ED"/>
    <w:rsid w:val="0080080D"/>
    <w:rsid w:val="00800B38"/>
    <w:rsid w:val="00801955"/>
    <w:rsid w:val="00801A61"/>
    <w:rsid w:val="00801C47"/>
    <w:rsid w:val="00801FD6"/>
    <w:rsid w:val="0080206C"/>
    <w:rsid w:val="00802136"/>
    <w:rsid w:val="00802404"/>
    <w:rsid w:val="0080293E"/>
    <w:rsid w:val="00802A09"/>
    <w:rsid w:val="00802BF1"/>
    <w:rsid w:val="00802F65"/>
    <w:rsid w:val="008030AE"/>
    <w:rsid w:val="00803647"/>
    <w:rsid w:val="00803805"/>
    <w:rsid w:val="00803A5F"/>
    <w:rsid w:val="00803EAE"/>
    <w:rsid w:val="00804041"/>
    <w:rsid w:val="008041B7"/>
    <w:rsid w:val="008046A3"/>
    <w:rsid w:val="008046B1"/>
    <w:rsid w:val="008052A0"/>
    <w:rsid w:val="0080598B"/>
    <w:rsid w:val="00805B59"/>
    <w:rsid w:val="00805EE1"/>
    <w:rsid w:val="0080604D"/>
    <w:rsid w:val="00806323"/>
    <w:rsid w:val="00806324"/>
    <w:rsid w:val="008069CF"/>
    <w:rsid w:val="00806A09"/>
    <w:rsid w:val="00806B3D"/>
    <w:rsid w:val="00806F8F"/>
    <w:rsid w:val="00807432"/>
    <w:rsid w:val="00807D6B"/>
    <w:rsid w:val="00810070"/>
    <w:rsid w:val="008100A0"/>
    <w:rsid w:val="00810100"/>
    <w:rsid w:val="00810225"/>
    <w:rsid w:val="00810462"/>
    <w:rsid w:val="0081056F"/>
    <w:rsid w:val="0081073D"/>
    <w:rsid w:val="008107B4"/>
    <w:rsid w:val="00810D43"/>
    <w:rsid w:val="008111B1"/>
    <w:rsid w:val="008118D4"/>
    <w:rsid w:val="008124F6"/>
    <w:rsid w:val="008129EE"/>
    <w:rsid w:val="00812AED"/>
    <w:rsid w:val="00812DF2"/>
    <w:rsid w:val="00812F1A"/>
    <w:rsid w:val="0081360C"/>
    <w:rsid w:val="008138C3"/>
    <w:rsid w:val="0081444A"/>
    <w:rsid w:val="0081457D"/>
    <w:rsid w:val="008145A7"/>
    <w:rsid w:val="00814672"/>
    <w:rsid w:val="008147B1"/>
    <w:rsid w:val="00814C22"/>
    <w:rsid w:val="00814C8E"/>
    <w:rsid w:val="00814D32"/>
    <w:rsid w:val="008150B8"/>
    <w:rsid w:val="008155B0"/>
    <w:rsid w:val="0081595E"/>
    <w:rsid w:val="008159B2"/>
    <w:rsid w:val="00815CC2"/>
    <w:rsid w:val="00815D9E"/>
    <w:rsid w:val="0081648F"/>
    <w:rsid w:val="008165DF"/>
    <w:rsid w:val="0081669E"/>
    <w:rsid w:val="0081680F"/>
    <w:rsid w:val="00816AA6"/>
    <w:rsid w:val="008172A1"/>
    <w:rsid w:val="008174FE"/>
    <w:rsid w:val="008176D4"/>
    <w:rsid w:val="00817C72"/>
    <w:rsid w:val="008201EC"/>
    <w:rsid w:val="00820529"/>
    <w:rsid w:val="00820928"/>
    <w:rsid w:val="008213F4"/>
    <w:rsid w:val="008217E1"/>
    <w:rsid w:val="00821997"/>
    <w:rsid w:val="00821D55"/>
    <w:rsid w:val="00822226"/>
    <w:rsid w:val="008222E1"/>
    <w:rsid w:val="0082236E"/>
    <w:rsid w:val="008227C4"/>
    <w:rsid w:val="008228A9"/>
    <w:rsid w:val="00822C01"/>
    <w:rsid w:val="008232FB"/>
    <w:rsid w:val="0082336B"/>
    <w:rsid w:val="008233C4"/>
    <w:rsid w:val="00823511"/>
    <w:rsid w:val="00823628"/>
    <w:rsid w:val="00823A9B"/>
    <w:rsid w:val="008248C3"/>
    <w:rsid w:val="008248F0"/>
    <w:rsid w:val="00824B4D"/>
    <w:rsid w:val="00824D91"/>
    <w:rsid w:val="0082506B"/>
    <w:rsid w:val="008254DF"/>
    <w:rsid w:val="00825764"/>
    <w:rsid w:val="00825B91"/>
    <w:rsid w:val="008262D0"/>
    <w:rsid w:val="008266B3"/>
    <w:rsid w:val="00826C1B"/>
    <w:rsid w:val="0082702F"/>
    <w:rsid w:val="00827314"/>
    <w:rsid w:val="0082742F"/>
    <w:rsid w:val="0082759F"/>
    <w:rsid w:val="008275D6"/>
    <w:rsid w:val="008279D2"/>
    <w:rsid w:val="00827CF3"/>
    <w:rsid w:val="0083022D"/>
    <w:rsid w:val="008302B7"/>
    <w:rsid w:val="0083086F"/>
    <w:rsid w:val="00830CAE"/>
    <w:rsid w:val="0083110B"/>
    <w:rsid w:val="00831174"/>
    <w:rsid w:val="00831267"/>
    <w:rsid w:val="008317D7"/>
    <w:rsid w:val="00831903"/>
    <w:rsid w:val="00831B5B"/>
    <w:rsid w:val="00831BD1"/>
    <w:rsid w:val="00831EEF"/>
    <w:rsid w:val="00832065"/>
    <w:rsid w:val="008320E7"/>
    <w:rsid w:val="008322EA"/>
    <w:rsid w:val="00832431"/>
    <w:rsid w:val="0083252F"/>
    <w:rsid w:val="008329D2"/>
    <w:rsid w:val="00833428"/>
    <w:rsid w:val="008335BE"/>
    <w:rsid w:val="00833A87"/>
    <w:rsid w:val="00833F87"/>
    <w:rsid w:val="008347FD"/>
    <w:rsid w:val="00834AC7"/>
    <w:rsid w:val="00834E8A"/>
    <w:rsid w:val="00834EB7"/>
    <w:rsid w:val="00834ED0"/>
    <w:rsid w:val="00834FC0"/>
    <w:rsid w:val="00835461"/>
    <w:rsid w:val="00835FD5"/>
    <w:rsid w:val="0083616A"/>
    <w:rsid w:val="0083616E"/>
    <w:rsid w:val="00836693"/>
    <w:rsid w:val="008369B8"/>
    <w:rsid w:val="00836A9D"/>
    <w:rsid w:val="00836BA4"/>
    <w:rsid w:val="00836CDF"/>
    <w:rsid w:val="00836D79"/>
    <w:rsid w:val="008374DA"/>
    <w:rsid w:val="00837503"/>
    <w:rsid w:val="008379E5"/>
    <w:rsid w:val="00837A84"/>
    <w:rsid w:val="00837BEB"/>
    <w:rsid w:val="00837C57"/>
    <w:rsid w:val="0084030E"/>
    <w:rsid w:val="00840842"/>
    <w:rsid w:val="00840B76"/>
    <w:rsid w:val="00840F9B"/>
    <w:rsid w:val="008415D0"/>
    <w:rsid w:val="008419AB"/>
    <w:rsid w:val="00841E78"/>
    <w:rsid w:val="008421C8"/>
    <w:rsid w:val="0084258F"/>
    <w:rsid w:val="00842C45"/>
    <w:rsid w:val="00842C63"/>
    <w:rsid w:val="00842CCC"/>
    <w:rsid w:val="008431B5"/>
    <w:rsid w:val="008433E0"/>
    <w:rsid w:val="008435AA"/>
    <w:rsid w:val="008436AF"/>
    <w:rsid w:val="008436C9"/>
    <w:rsid w:val="00843737"/>
    <w:rsid w:val="00843797"/>
    <w:rsid w:val="00843810"/>
    <w:rsid w:val="00843E5D"/>
    <w:rsid w:val="0084401F"/>
    <w:rsid w:val="00844F80"/>
    <w:rsid w:val="0084502B"/>
    <w:rsid w:val="008454B7"/>
    <w:rsid w:val="008454EC"/>
    <w:rsid w:val="00845843"/>
    <w:rsid w:val="00845893"/>
    <w:rsid w:val="008458E3"/>
    <w:rsid w:val="008460CC"/>
    <w:rsid w:val="008460E0"/>
    <w:rsid w:val="008473EA"/>
    <w:rsid w:val="00847435"/>
    <w:rsid w:val="008476B6"/>
    <w:rsid w:val="008476EF"/>
    <w:rsid w:val="00847738"/>
    <w:rsid w:val="00847F82"/>
    <w:rsid w:val="008503E5"/>
    <w:rsid w:val="008509C7"/>
    <w:rsid w:val="00850E24"/>
    <w:rsid w:val="00851597"/>
    <w:rsid w:val="00851600"/>
    <w:rsid w:val="008517C1"/>
    <w:rsid w:val="008518BD"/>
    <w:rsid w:val="00851A3E"/>
    <w:rsid w:val="00851A62"/>
    <w:rsid w:val="00851F8D"/>
    <w:rsid w:val="0085237C"/>
    <w:rsid w:val="00852450"/>
    <w:rsid w:val="0085259C"/>
    <w:rsid w:val="0085282E"/>
    <w:rsid w:val="00852D23"/>
    <w:rsid w:val="00852EC7"/>
    <w:rsid w:val="0085315F"/>
    <w:rsid w:val="00853618"/>
    <w:rsid w:val="00853895"/>
    <w:rsid w:val="00853F20"/>
    <w:rsid w:val="00853FA5"/>
    <w:rsid w:val="008545A9"/>
    <w:rsid w:val="00854865"/>
    <w:rsid w:val="0085523C"/>
    <w:rsid w:val="008552C8"/>
    <w:rsid w:val="0085573D"/>
    <w:rsid w:val="008558F2"/>
    <w:rsid w:val="0085595A"/>
    <w:rsid w:val="00855BF7"/>
    <w:rsid w:val="00855D59"/>
    <w:rsid w:val="00856288"/>
    <w:rsid w:val="00856544"/>
    <w:rsid w:val="00856EA4"/>
    <w:rsid w:val="0085791D"/>
    <w:rsid w:val="00857C1C"/>
    <w:rsid w:val="008601B2"/>
    <w:rsid w:val="0086025E"/>
    <w:rsid w:val="00860331"/>
    <w:rsid w:val="00860534"/>
    <w:rsid w:val="00860663"/>
    <w:rsid w:val="008607C9"/>
    <w:rsid w:val="0086083D"/>
    <w:rsid w:val="008608F7"/>
    <w:rsid w:val="00860C10"/>
    <w:rsid w:val="00860C48"/>
    <w:rsid w:val="00860E9A"/>
    <w:rsid w:val="00860FBA"/>
    <w:rsid w:val="0086107A"/>
    <w:rsid w:val="008618E1"/>
    <w:rsid w:val="008618FA"/>
    <w:rsid w:val="00861D9E"/>
    <w:rsid w:val="00861F6E"/>
    <w:rsid w:val="00861FF4"/>
    <w:rsid w:val="008626BC"/>
    <w:rsid w:val="0086282C"/>
    <w:rsid w:val="00862837"/>
    <w:rsid w:val="00862BA9"/>
    <w:rsid w:val="008630A5"/>
    <w:rsid w:val="00863313"/>
    <w:rsid w:val="008636A3"/>
    <w:rsid w:val="00863A0E"/>
    <w:rsid w:val="0086414E"/>
    <w:rsid w:val="00864184"/>
    <w:rsid w:val="008641DF"/>
    <w:rsid w:val="008643BE"/>
    <w:rsid w:val="0086456F"/>
    <w:rsid w:val="0086462C"/>
    <w:rsid w:val="0086473A"/>
    <w:rsid w:val="008647A4"/>
    <w:rsid w:val="0086484C"/>
    <w:rsid w:val="008648F3"/>
    <w:rsid w:val="00865034"/>
    <w:rsid w:val="00865051"/>
    <w:rsid w:val="00865094"/>
    <w:rsid w:val="008650E2"/>
    <w:rsid w:val="00865551"/>
    <w:rsid w:val="008655F5"/>
    <w:rsid w:val="00865685"/>
    <w:rsid w:val="008656BF"/>
    <w:rsid w:val="008658DC"/>
    <w:rsid w:val="0086599C"/>
    <w:rsid w:val="00865A9F"/>
    <w:rsid w:val="00865D97"/>
    <w:rsid w:val="008665E1"/>
    <w:rsid w:val="00866D45"/>
    <w:rsid w:val="00867044"/>
    <w:rsid w:val="0086713F"/>
    <w:rsid w:val="0086769C"/>
    <w:rsid w:val="008676D5"/>
    <w:rsid w:val="00867DBA"/>
    <w:rsid w:val="0087008D"/>
    <w:rsid w:val="008700D4"/>
    <w:rsid w:val="0087056A"/>
    <w:rsid w:val="00870815"/>
    <w:rsid w:val="00870988"/>
    <w:rsid w:val="00870A0E"/>
    <w:rsid w:val="00870C2C"/>
    <w:rsid w:val="00870DB7"/>
    <w:rsid w:val="00870DDC"/>
    <w:rsid w:val="00870EE5"/>
    <w:rsid w:val="00870FC1"/>
    <w:rsid w:val="0087118B"/>
    <w:rsid w:val="00871609"/>
    <w:rsid w:val="008716E7"/>
    <w:rsid w:val="00871868"/>
    <w:rsid w:val="00871A74"/>
    <w:rsid w:val="00871CAF"/>
    <w:rsid w:val="00871E10"/>
    <w:rsid w:val="00871F56"/>
    <w:rsid w:val="0087205A"/>
    <w:rsid w:val="0087225A"/>
    <w:rsid w:val="00872277"/>
    <w:rsid w:val="008724C7"/>
    <w:rsid w:val="008724F7"/>
    <w:rsid w:val="00872814"/>
    <w:rsid w:val="008729D8"/>
    <w:rsid w:val="00872A66"/>
    <w:rsid w:val="00872A97"/>
    <w:rsid w:val="00872FAF"/>
    <w:rsid w:val="0087367F"/>
    <w:rsid w:val="008737B3"/>
    <w:rsid w:val="008738FD"/>
    <w:rsid w:val="00873C1E"/>
    <w:rsid w:val="00873CEA"/>
    <w:rsid w:val="00873D0E"/>
    <w:rsid w:val="00873E27"/>
    <w:rsid w:val="008740FF"/>
    <w:rsid w:val="008741ED"/>
    <w:rsid w:val="00874A92"/>
    <w:rsid w:val="00874AD2"/>
    <w:rsid w:val="00874AEC"/>
    <w:rsid w:val="00874E96"/>
    <w:rsid w:val="008756C2"/>
    <w:rsid w:val="00875899"/>
    <w:rsid w:val="00875A8F"/>
    <w:rsid w:val="00875B3A"/>
    <w:rsid w:val="00875C00"/>
    <w:rsid w:val="00875D5E"/>
    <w:rsid w:val="00875E7C"/>
    <w:rsid w:val="00875ED7"/>
    <w:rsid w:val="00875FAC"/>
    <w:rsid w:val="00876050"/>
    <w:rsid w:val="008762F9"/>
    <w:rsid w:val="00876B80"/>
    <w:rsid w:val="00877006"/>
    <w:rsid w:val="00877134"/>
    <w:rsid w:val="00877271"/>
    <w:rsid w:val="0087767A"/>
    <w:rsid w:val="00877CC1"/>
    <w:rsid w:val="008801DD"/>
    <w:rsid w:val="0088061B"/>
    <w:rsid w:val="00880BB5"/>
    <w:rsid w:val="00880DB1"/>
    <w:rsid w:val="0088121C"/>
    <w:rsid w:val="00881345"/>
    <w:rsid w:val="008814AB"/>
    <w:rsid w:val="00881EEF"/>
    <w:rsid w:val="008824A1"/>
    <w:rsid w:val="00882511"/>
    <w:rsid w:val="008826C6"/>
    <w:rsid w:val="008828BC"/>
    <w:rsid w:val="00882D88"/>
    <w:rsid w:val="00883169"/>
    <w:rsid w:val="0088325E"/>
    <w:rsid w:val="008835ED"/>
    <w:rsid w:val="00883936"/>
    <w:rsid w:val="0088396C"/>
    <w:rsid w:val="00883EA6"/>
    <w:rsid w:val="008840DB"/>
    <w:rsid w:val="0088432A"/>
    <w:rsid w:val="008844D4"/>
    <w:rsid w:val="0088455A"/>
    <w:rsid w:val="008845F3"/>
    <w:rsid w:val="00884C92"/>
    <w:rsid w:val="00884DC8"/>
    <w:rsid w:val="00884FDE"/>
    <w:rsid w:val="00885442"/>
    <w:rsid w:val="008854AB"/>
    <w:rsid w:val="00885823"/>
    <w:rsid w:val="00885947"/>
    <w:rsid w:val="00885B2F"/>
    <w:rsid w:val="00885F65"/>
    <w:rsid w:val="00886348"/>
    <w:rsid w:val="008863E8"/>
    <w:rsid w:val="00886657"/>
    <w:rsid w:val="008869AD"/>
    <w:rsid w:val="00886ABA"/>
    <w:rsid w:val="00886AE1"/>
    <w:rsid w:val="00886DC7"/>
    <w:rsid w:val="00886EBF"/>
    <w:rsid w:val="00887162"/>
    <w:rsid w:val="0088798D"/>
    <w:rsid w:val="00887C02"/>
    <w:rsid w:val="0089031D"/>
    <w:rsid w:val="008907DF"/>
    <w:rsid w:val="00890849"/>
    <w:rsid w:val="00890952"/>
    <w:rsid w:val="00890980"/>
    <w:rsid w:val="00890A89"/>
    <w:rsid w:val="00890E4B"/>
    <w:rsid w:val="00891256"/>
    <w:rsid w:val="008913AE"/>
    <w:rsid w:val="00891656"/>
    <w:rsid w:val="008916DF"/>
    <w:rsid w:val="00891959"/>
    <w:rsid w:val="00892211"/>
    <w:rsid w:val="00892267"/>
    <w:rsid w:val="00892634"/>
    <w:rsid w:val="00892832"/>
    <w:rsid w:val="008928A7"/>
    <w:rsid w:val="00892D58"/>
    <w:rsid w:val="00893083"/>
    <w:rsid w:val="008933D1"/>
    <w:rsid w:val="008934CE"/>
    <w:rsid w:val="0089357F"/>
    <w:rsid w:val="00893748"/>
    <w:rsid w:val="008937D9"/>
    <w:rsid w:val="00893B68"/>
    <w:rsid w:val="00894026"/>
    <w:rsid w:val="008940E2"/>
    <w:rsid w:val="00894903"/>
    <w:rsid w:val="00894B55"/>
    <w:rsid w:val="00894B9B"/>
    <w:rsid w:val="00894F22"/>
    <w:rsid w:val="0089545B"/>
    <w:rsid w:val="00895465"/>
    <w:rsid w:val="00895962"/>
    <w:rsid w:val="00895CD5"/>
    <w:rsid w:val="00895EA0"/>
    <w:rsid w:val="00896058"/>
    <w:rsid w:val="00896229"/>
    <w:rsid w:val="008962C9"/>
    <w:rsid w:val="008965BE"/>
    <w:rsid w:val="00896B46"/>
    <w:rsid w:val="00896D38"/>
    <w:rsid w:val="008970D4"/>
    <w:rsid w:val="00897D90"/>
    <w:rsid w:val="00897E2D"/>
    <w:rsid w:val="008A0152"/>
    <w:rsid w:val="008A02B0"/>
    <w:rsid w:val="008A02CB"/>
    <w:rsid w:val="008A0456"/>
    <w:rsid w:val="008A0553"/>
    <w:rsid w:val="008A07A5"/>
    <w:rsid w:val="008A08B8"/>
    <w:rsid w:val="008A093A"/>
    <w:rsid w:val="008A0B88"/>
    <w:rsid w:val="008A0ED0"/>
    <w:rsid w:val="008A111D"/>
    <w:rsid w:val="008A15F2"/>
    <w:rsid w:val="008A1A0D"/>
    <w:rsid w:val="008A1C5F"/>
    <w:rsid w:val="008A1C88"/>
    <w:rsid w:val="008A1F7E"/>
    <w:rsid w:val="008A2682"/>
    <w:rsid w:val="008A295C"/>
    <w:rsid w:val="008A2A09"/>
    <w:rsid w:val="008A2B60"/>
    <w:rsid w:val="008A2C96"/>
    <w:rsid w:val="008A372A"/>
    <w:rsid w:val="008A3948"/>
    <w:rsid w:val="008A424D"/>
    <w:rsid w:val="008A466E"/>
    <w:rsid w:val="008A4796"/>
    <w:rsid w:val="008A4811"/>
    <w:rsid w:val="008A4D2F"/>
    <w:rsid w:val="008A4EAC"/>
    <w:rsid w:val="008A5417"/>
    <w:rsid w:val="008A54AC"/>
    <w:rsid w:val="008A557A"/>
    <w:rsid w:val="008A55AC"/>
    <w:rsid w:val="008A6103"/>
    <w:rsid w:val="008A6403"/>
    <w:rsid w:val="008A6827"/>
    <w:rsid w:val="008A6CEC"/>
    <w:rsid w:val="008A71CF"/>
    <w:rsid w:val="008A726E"/>
    <w:rsid w:val="008A75E9"/>
    <w:rsid w:val="008A78EF"/>
    <w:rsid w:val="008A7DEB"/>
    <w:rsid w:val="008A7E29"/>
    <w:rsid w:val="008B0336"/>
    <w:rsid w:val="008B04E3"/>
    <w:rsid w:val="008B061F"/>
    <w:rsid w:val="008B0A20"/>
    <w:rsid w:val="008B109C"/>
    <w:rsid w:val="008B2476"/>
    <w:rsid w:val="008B2792"/>
    <w:rsid w:val="008B2880"/>
    <w:rsid w:val="008B290C"/>
    <w:rsid w:val="008B2A1C"/>
    <w:rsid w:val="008B2A87"/>
    <w:rsid w:val="008B2F94"/>
    <w:rsid w:val="008B300D"/>
    <w:rsid w:val="008B3183"/>
    <w:rsid w:val="008B3AE3"/>
    <w:rsid w:val="008B3C0B"/>
    <w:rsid w:val="008B3FE7"/>
    <w:rsid w:val="008B442A"/>
    <w:rsid w:val="008B4479"/>
    <w:rsid w:val="008B44A3"/>
    <w:rsid w:val="008B45BA"/>
    <w:rsid w:val="008B4701"/>
    <w:rsid w:val="008B4B35"/>
    <w:rsid w:val="008B4BE2"/>
    <w:rsid w:val="008B544B"/>
    <w:rsid w:val="008B5741"/>
    <w:rsid w:val="008B5D6A"/>
    <w:rsid w:val="008B5EC7"/>
    <w:rsid w:val="008B5F3F"/>
    <w:rsid w:val="008B5FEA"/>
    <w:rsid w:val="008B6344"/>
    <w:rsid w:val="008B64DB"/>
    <w:rsid w:val="008B679B"/>
    <w:rsid w:val="008B736E"/>
    <w:rsid w:val="008B7729"/>
    <w:rsid w:val="008C0069"/>
    <w:rsid w:val="008C00A6"/>
    <w:rsid w:val="008C0126"/>
    <w:rsid w:val="008C04DC"/>
    <w:rsid w:val="008C06BC"/>
    <w:rsid w:val="008C084C"/>
    <w:rsid w:val="008C0EDD"/>
    <w:rsid w:val="008C126E"/>
    <w:rsid w:val="008C1587"/>
    <w:rsid w:val="008C1B62"/>
    <w:rsid w:val="008C1B92"/>
    <w:rsid w:val="008C1D4C"/>
    <w:rsid w:val="008C1D9C"/>
    <w:rsid w:val="008C1DBF"/>
    <w:rsid w:val="008C25B0"/>
    <w:rsid w:val="008C2C21"/>
    <w:rsid w:val="008C2E2B"/>
    <w:rsid w:val="008C30AF"/>
    <w:rsid w:val="008C36D5"/>
    <w:rsid w:val="008C36FB"/>
    <w:rsid w:val="008C3707"/>
    <w:rsid w:val="008C3BB2"/>
    <w:rsid w:val="008C3F79"/>
    <w:rsid w:val="008C420A"/>
    <w:rsid w:val="008C4307"/>
    <w:rsid w:val="008C4386"/>
    <w:rsid w:val="008C4516"/>
    <w:rsid w:val="008C4591"/>
    <w:rsid w:val="008C4C54"/>
    <w:rsid w:val="008C5426"/>
    <w:rsid w:val="008C57D5"/>
    <w:rsid w:val="008C57F0"/>
    <w:rsid w:val="008C5A69"/>
    <w:rsid w:val="008C615D"/>
    <w:rsid w:val="008C61CE"/>
    <w:rsid w:val="008C6B0B"/>
    <w:rsid w:val="008C6C2F"/>
    <w:rsid w:val="008C6E92"/>
    <w:rsid w:val="008C7237"/>
    <w:rsid w:val="008C748D"/>
    <w:rsid w:val="008C76ED"/>
    <w:rsid w:val="008C793E"/>
    <w:rsid w:val="008C7B3D"/>
    <w:rsid w:val="008C7E4D"/>
    <w:rsid w:val="008C7E4F"/>
    <w:rsid w:val="008C7F51"/>
    <w:rsid w:val="008D000E"/>
    <w:rsid w:val="008D0623"/>
    <w:rsid w:val="008D0884"/>
    <w:rsid w:val="008D0922"/>
    <w:rsid w:val="008D098B"/>
    <w:rsid w:val="008D0F76"/>
    <w:rsid w:val="008D1671"/>
    <w:rsid w:val="008D188A"/>
    <w:rsid w:val="008D246D"/>
    <w:rsid w:val="008D24F9"/>
    <w:rsid w:val="008D288A"/>
    <w:rsid w:val="008D2A1D"/>
    <w:rsid w:val="008D2B93"/>
    <w:rsid w:val="008D31A8"/>
    <w:rsid w:val="008D31C2"/>
    <w:rsid w:val="008D3438"/>
    <w:rsid w:val="008D364D"/>
    <w:rsid w:val="008D3714"/>
    <w:rsid w:val="008D38A5"/>
    <w:rsid w:val="008D3A27"/>
    <w:rsid w:val="008D3F5C"/>
    <w:rsid w:val="008D40E2"/>
    <w:rsid w:val="008D43E2"/>
    <w:rsid w:val="008D50E9"/>
    <w:rsid w:val="008D56CE"/>
    <w:rsid w:val="008D592A"/>
    <w:rsid w:val="008D5AB2"/>
    <w:rsid w:val="008D5C1F"/>
    <w:rsid w:val="008D5C27"/>
    <w:rsid w:val="008D5E79"/>
    <w:rsid w:val="008D608F"/>
    <w:rsid w:val="008D6105"/>
    <w:rsid w:val="008D6306"/>
    <w:rsid w:val="008D6653"/>
    <w:rsid w:val="008D692A"/>
    <w:rsid w:val="008D6B97"/>
    <w:rsid w:val="008D6E62"/>
    <w:rsid w:val="008D6F4C"/>
    <w:rsid w:val="008D71A1"/>
    <w:rsid w:val="008D7368"/>
    <w:rsid w:val="008D7556"/>
    <w:rsid w:val="008D7742"/>
    <w:rsid w:val="008D77FC"/>
    <w:rsid w:val="008D79C5"/>
    <w:rsid w:val="008D7C41"/>
    <w:rsid w:val="008D7F28"/>
    <w:rsid w:val="008E00C2"/>
    <w:rsid w:val="008E02F4"/>
    <w:rsid w:val="008E034A"/>
    <w:rsid w:val="008E04A0"/>
    <w:rsid w:val="008E08B9"/>
    <w:rsid w:val="008E0A39"/>
    <w:rsid w:val="008E14F1"/>
    <w:rsid w:val="008E1546"/>
    <w:rsid w:val="008E15C3"/>
    <w:rsid w:val="008E1AC7"/>
    <w:rsid w:val="008E1B39"/>
    <w:rsid w:val="008E201C"/>
    <w:rsid w:val="008E2094"/>
    <w:rsid w:val="008E2705"/>
    <w:rsid w:val="008E2804"/>
    <w:rsid w:val="008E2A63"/>
    <w:rsid w:val="008E2E57"/>
    <w:rsid w:val="008E2F1B"/>
    <w:rsid w:val="008E2F6B"/>
    <w:rsid w:val="008E3199"/>
    <w:rsid w:val="008E3423"/>
    <w:rsid w:val="008E4010"/>
    <w:rsid w:val="008E4053"/>
    <w:rsid w:val="008E40A2"/>
    <w:rsid w:val="008E4267"/>
    <w:rsid w:val="008E4463"/>
    <w:rsid w:val="008E4707"/>
    <w:rsid w:val="008E4B90"/>
    <w:rsid w:val="008E4C5D"/>
    <w:rsid w:val="008E4E11"/>
    <w:rsid w:val="008E50D1"/>
    <w:rsid w:val="008E5741"/>
    <w:rsid w:val="008E5782"/>
    <w:rsid w:val="008E5A59"/>
    <w:rsid w:val="008E5B21"/>
    <w:rsid w:val="008E61B7"/>
    <w:rsid w:val="008E6227"/>
    <w:rsid w:val="008E6C59"/>
    <w:rsid w:val="008E73C5"/>
    <w:rsid w:val="008E7416"/>
    <w:rsid w:val="008E7715"/>
    <w:rsid w:val="008E7CC6"/>
    <w:rsid w:val="008E7CF7"/>
    <w:rsid w:val="008E7DBB"/>
    <w:rsid w:val="008E7FB6"/>
    <w:rsid w:val="008F009A"/>
    <w:rsid w:val="008F0273"/>
    <w:rsid w:val="008F0310"/>
    <w:rsid w:val="008F038D"/>
    <w:rsid w:val="008F03AA"/>
    <w:rsid w:val="008F03B9"/>
    <w:rsid w:val="008F064B"/>
    <w:rsid w:val="008F0913"/>
    <w:rsid w:val="008F0BC3"/>
    <w:rsid w:val="008F0CF8"/>
    <w:rsid w:val="008F0D88"/>
    <w:rsid w:val="008F0E59"/>
    <w:rsid w:val="008F0F48"/>
    <w:rsid w:val="008F0FA3"/>
    <w:rsid w:val="008F1163"/>
    <w:rsid w:val="008F1A3F"/>
    <w:rsid w:val="008F1A47"/>
    <w:rsid w:val="008F241E"/>
    <w:rsid w:val="008F2710"/>
    <w:rsid w:val="008F28B8"/>
    <w:rsid w:val="008F2926"/>
    <w:rsid w:val="008F2FFF"/>
    <w:rsid w:val="008F38A1"/>
    <w:rsid w:val="008F399E"/>
    <w:rsid w:val="008F3B00"/>
    <w:rsid w:val="008F3BFA"/>
    <w:rsid w:val="008F4334"/>
    <w:rsid w:val="008F436A"/>
    <w:rsid w:val="008F437F"/>
    <w:rsid w:val="008F475C"/>
    <w:rsid w:val="008F4937"/>
    <w:rsid w:val="008F4B18"/>
    <w:rsid w:val="008F4DB1"/>
    <w:rsid w:val="008F5029"/>
    <w:rsid w:val="008F5082"/>
    <w:rsid w:val="008F50E0"/>
    <w:rsid w:val="008F516C"/>
    <w:rsid w:val="008F552E"/>
    <w:rsid w:val="008F561B"/>
    <w:rsid w:val="008F57CD"/>
    <w:rsid w:val="008F597D"/>
    <w:rsid w:val="008F5A11"/>
    <w:rsid w:val="008F5B4E"/>
    <w:rsid w:val="008F5B61"/>
    <w:rsid w:val="008F6489"/>
    <w:rsid w:val="008F6497"/>
    <w:rsid w:val="008F6630"/>
    <w:rsid w:val="008F6ABB"/>
    <w:rsid w:val="008F6E8B"/>
    <w:rsid w:val="008F71C2"/>
    <w:rsid w:val="008F7228"/>
    <w:rsid w:val="008F72A2"/>
    <w:rsid w:val="008F78E9"/>
    <w:rsid w:val="008F7A3D"/>
    <w:rsid w:val="008F7EB4"/>
    <w:rsid w:val="008F7EBF"/>
    <w:rsid w:val="008F7FE2"/>
    <w:rsid w:val="009001BA"/>
    <w:rsid w:val="009001D0"/>
    <w:rsid w:val="009001F9"/>
    <w:rsid w:val="00900639"/>
    <w:rsid w:val="00900BCA"/>
    <w:rsid w:val="00900E48"/>
    <w:rsid w:val="0090105F"/>
    <w:rsid w:val="00901288"/>
    <w:rsid w:val="00901406"/>
    <w:rsid w:val="009014DA"/>
    <w:rsid w:val="00901877"/>
    <w:rsid w:val="00901B68"/>
    <w:rsid w:val="0090221E"/>
    <w:rsid w:val="00902BCF"/>
    <w:rsid w:val="009033FD"/>
    <w:rsid w:val="00903C3B"/>
    <w:rsid w:val="00903F17"/>
    <w:rsid w:val="00904027"/>
    <w:rsid w:val="009040E3"/>
    <w:rsid w:val="009042A8"/>
    <w:rsid w:val="00905D2B"/>
    <w:rsid w:val="00905E24"/>
    <w:rsid w:val="00905F50"/>
    <w:rsid w:val="0090604D"/>
    <w:rsid w:val="00906881"/>
    <w:rsid w:val="00906A04"/>
    <w:rsid w:val="00906BD0"/>
    <w:rsid w:val="009079DB"/>
    <w:rsid w:val="00907B25"/>
    <w:rsid w:val="00907B5E"/>
    <w:rsid w:val="00907C97"/>
    <w:rsid w:val="00910003"/>
    <w:rsid w:val="009100EA"/>
    <w:rsid w:val="00910602"/>
    <w:rsid w:val="00910614"/>
    <w:rsid w:val="00910815"/>
    <w:rsid w:val="00910830"/>
    <w:rsid w:val="00910C21"/>
    <w:rsid w:val="00910C22"/>
    <w:rsid w:val="00911595"/>
    <w:rsid w:val="0091166D"/>
    <w:rsid w:val="00911787"/>
    <w:rsid w:val="00911D59"/>
    <w:rsid w:val="00911F1C"/>
    <w:rsid w:val="00912250"/>
    <w:rsid w:val="00912367"/>
    <w:rsid w:val="009127FE"/>
    <w:rsid w:val="00912898"/>
    <w:rsid w:val="00912D6E"/>
    <w:rsid w:val="009131FC"/>
    <w:rsid w:val="00913516"/>
    <w:rsid w:val="00913862"/>
    <w:rsid w:val="009138FB"/>
    <w:rsid w:val="0091401F"/>
    <w:rsid w:val="009142F2"/>
    <w:rsid w:val="009146A1"/>
    <w:rsid w:val="0091482B"/>
    <w:rsid w:val="00914C77"/>
    <w:rsid w:val="00914F74"/>
    <w:rsid w:val="00914FE0"/>
    <w:rsid w:val="00915006"/>
    <w:rsid w:val="009152A5"/>
    <w:rsid w:val="00915567"/>
    <w:rsid w:val="00915602"/>
    <w:rsid w:val="00915F29"/>
    <w:rsid w:val="00916381"/>
    <w:rsid w:val="00916D6B"/>
    <w:rsid w:val="00916FDD"/>
    <w:rsid w:val="0091730C"/>
    <w:rsid w:val="00917332"/>
    <w:rsid w:val="009173D6"/>
    <w:rsid w:val="00917B3D"/>
    <w:rsid w:val="0092007A"/>
    <w:rsid w:val="009203E4"/>
    <w:rsid w:val="00920438"/>
    <w:rsid w:val="00920467"/>
    <w:rsid w:val="0092051D"/>
    <w:rsid w:val="0092059F"/>
    <w:rsid w:val="009209EE"/>
    <w:rsid w:val="00920B1B"/>
    <w:rsid w:val="00920E6B"/>
    <w:rsid w:val="0092101C"/>
    <w:rsid w:val="00921230"/>
    <w:rsid w:val="0092139D"/>
    <w:rsid w:val="009218AD"/>
    <w:rsid w:val="00921A17"/>
    <w:rsid w:val="00921EC5"/>
    <w:rsid w:val="009220BD"/>
    <w:rsid w:val="00922328"/>
    <w:rsid w:val="00922358"/>
    <w:rsid w:val="0092257E"/>
    <w:rsid w:val="00922644"/>
    <w:rsid w:val="009227F5"/>
    <w:rsid w:val="00922F6F"/>
    <w:rsid w:val="00923268"/>
    <w:rsid w:val="00923371"/>
    <w:rsid w:val="009234BA"/>
    <w:rsid w:val="009235AD"/>
    <w:rsid w:val="00923635"/>
    <w:rsid w:val="00923954"/>
    <w:rsid w:val="00923A29"/>
    <w:rsid w:val="00923E07"/>
    <w:rsid w:val="0092426D"/>
    <w:rsid w:val="009246CA"/>
    <w:rsid w:val="00924BD6"/>
    <w:rsid w:val="00924EB7"/>
    <w:rsid w:val="00924EBC"/>
    <w:rsid w:val="00925494"/>
    <w:rsid w:val="009257F7"/>
    <w:rsid w:val="00926490"/>
    <w:rsid w:val="00926581"/>
    <w:rsid w:val="009266E4"/>
    <w:rsid w:val="0092690C"/>
    <w:rsid w:val="00926BE1"/>
    <w:rsid w:val="00926D4B"/>
    <w:rsid w:val="00927275"/>
    <w:rsid w:val="009272BB"/>
    <w:rsid w:val="009278BF"/>
    <w:rsid w:val="00927E9A"/>
    <w:rsid w:val="009300FA"/>
    <w:rsid w:val="00930CF9"/>
    <w:rsid w:val="00930D11"/>
    <w:rsid w:val="00930FC8"/>
    <w:rsid w:val="00931100"/>
    <w:rsid w:val="009317E2"/>
    <w:rsid w:val="00931F52"/>
    <w:rsid w:val="00932137"/>
    <w:rsid w:val="00932559"/>
    <w:rsid w:val="009326D1"/>
    <w:rsid w:val="009326EC"/>
    <w:rsid w:val="009327FF"/>
    <w:rsid w:val="00932BDE"/>
    <w:rsid w:val="00932CAC"/>
    <w:rsid w:val="0093334D"/>
    <w:rsid w:val="009337F7"/>
    <w:rsid w:val="00933FC7"/>
    <w:rsid w:val="0093403C"/>
    <w:rsid w:val="0093460F"/>
    <w:rsid w:val="0093466A"/>
    <w:rsid w:val="00934D64"/>
    <w:rsid w:val="00934F9A"/>
    <w:rsid w:val="00935225"/>
    <w:rsid w:val="009352DF"/>
    <w:rsid w:val="00935575"/>
    <w:rsid w:val="009355DF"/>
    <w:rsid w:val="00935891"/>
    <w:rsid w:val="00935AA2"/>
    <w:rsid w:val="00935C06"/>
    <w:rsid w:val="009363CE"/>
    <w:rsid w:val="00936647"/>
    <w:rsid w:val="00936998"/>
    <w:rsid w:val="00937180"/>
    <w:rsid w:val="009371C0"/>
    <w:rsid w:val="0093779D"/>
    <w:rsid w:val="00937C99"/>
    <w:rsid w:val="00937FA6"/>
    <w:rsid w:val="00937FBA"/>
    <w:rsid w:val="00940103"/>
    <w:rsid w:val="0094064F"/>
    <w:rsid w:val="00940698"/>
    <w:rsid w:val="00940F38"/>
    <w:rsid w:val="00940F41"/>
    <w:rsid w:val="00940FD4"/>
    <w:rsid w:val="00941382"/>
    <w:rsid w:val="00941703"/>
    <w:rsid w:val="00941A39"/>
    <w:rsid w:val="00941AF2"/>
    <w:rsid w:val="00941B5F"/>
    <w:rsid w:val="00941CB4"/>
    <w:rsid w:val="00941EF3"/>
    <w:rsid w:val="009421F4"/>
    <w:rsid w:val="00942404"/>
    <w:rsid w:val="0094248D"/>
    <w:rsid w:val="009427A1"/>
    <w:rsid w:val="00942A1F"/>
    <w:rsid w:val="00942DB7"/>
    <w:rsid w:val="0094303A"/>
    <w:rsid w:val="0094309D"/>
    <w:rsid w:val="00943832"/>
    <w:rsid w:val="009440FA"/>
    <w:rsid w:val="009442AB"/>
    <w:rsid w:val="00944CB2"/>
    <w:rsid w:val="00944EC5"/>
    <w:rsid w:val="00945036"/>
    <w:rsid w:val="00945157"/>
    <w:rsid w:val="0094518F"/>
    <w:rsid w:val="00945752"/>
    <w:rsid w:val="00945D97"/>
    <w:rsid w:val="00946A39"/>
    <w:rsid w:val="00946D20"/>
    <w:rsid w:val="00946D73"/>
    <w:rsid w:val="00947246"/>
    <w:rsid w:val="009472BC"/>
    <w:rsid w:val="00947B52"/>
    <w:rsid w:val="00947D56"/>
    <w:rsid w:val="00947D97"/>
    <w:rsid w:val="00947DC3"/>
    <w:rsid w:val="00950294"/>
    <w:rsid w:val="0095053A"/>
    <w:rsid w:val="0095067D"/>
    <w:rsid w:val="009509EB"/>
    <w:rsid w:val="00950A3C"/>
    <w:rsid w:val="009517F0"/>
    <w:rsid w:val="00951C4C"/>
    <w:rsid w:val="00951DB3"/>
    <w:rsid w:val="009527A7"/>
    <w:rsid w:val="00953495"/>
    <w:rsid w:val="00953BBE"/>
    <w:rsid w:val="00953BE3"/>
    <w:rsid w:val="00953DA8"/>
    <w:rsid w:val="00953E42"/>
    <w:rsid w:val="009540BB"/>
    <w:rsid w:val="009542DE"/>
    <w:rsid w:val="009545E8"/>
    <w:rsid w:val="009546A6"/>
    <w:rsid w:val="00954768"/>
    <w:rsid w:val="00954F01"/>
    <w:rsid w:val="009551F7"/>
    <w:rsid w:val="009555AD"/>
    <w:rsid w:val="00955743"/>
    <w:rsid w:val="00955C17"/>
    <w:rsid w:val="00955DA5"/>
    <w:rsid w:val="00955DAD"/>
    <w:rsid w:val="00956194"/>
    <w:rsid w:val="0095625E"/>
    <w:rsid w:val="00956EC7"/>
    <w:rsid w:val="00956F05"/>
    <w:rsid w:val="00956F37"/>
    <w:rsid w:val="009610AF"/>
    <w:rsid w:val="00961253"/>
    <w:rsid w:val="00961661"/>
    <w:rsid w:val="00962A4B"/>
    <w:rsid w:val="00962C2C"/>
    <w:rsid w:val="00962DA2"/>
    <w:rsid w:val="00962E45"/>
    <w:rsid w:val="00962EA8"/>
    <w:rsid w:val="00962FBF"/>
    <w:rsid w:val="00963068"/>
    <w:rsid w:val="009633FC"/>
    <w:rsid w:val="009638F2"/>
    <w:rsid w:val="00963E93"/>
    <w:rsid w:val="00963FFC"/>
    <w:rsid w:val="009640A0"/>
    <w:rsid w:val="00964C47"/>
    <w:rsid w:val="009654E6"/>
    <w:rsid w:val="00965574"/>
    <w:rsid w:val="009656FC"/>
    <w:rsid w:val="00965A05"/>
    <w:rsid w:val="00965A07"/>
    <w:rsid w:val="00965ACE"/>
    <w:rsid w:val="00965F85"/>
    <w:rsid w:val="009661CB"/>
    <w:rsid w:val="009669C3"/>
    <w:rsid w:val="00966E41"/>
    <w:rsid w:val="0096703F"/>
    <w:rsid w:val="00967182"/>
    <w:rsid w:val="00967546"/>
    <w:rsid w:val="00967633"/>
    <w:rsid w:val="00967EE4"/>
    <w:rsid w:val="00970083"/>
    <w:rsid w:val="00970522"/>
    <w:rsid w:val="009707DD"/>
    <w:rsid w:val="00970823"/>
    <w:rsid w:val="00970D02"/>
    <w:rsid w:val="00970F6B"/>
    <w:rsid w:val="009711B8"/>
    <w:rsid w:val="009712E2"/>
    <w:rsid w:val="0097147C"/>
    <w:rsid w:val="009714D7"/>
    <w:rsid w:val="00971641"/>
    <w:rsid w:val="0097192D"/>
    <w:rsid w:val="0097203C"/>
    <w:rsid w:val="009721CA"/>
    <w:rsid w:val="00972C0E"/>
    <w:rsid w:val="00972EC1"/>
    <w:rsid w:val="0097321B"/>
    <w:rsid w:val="00973489"/>
    <w:rsid w:val="0097356D"/>
    <w:rsid w:val="00973696"/>
    <w:rsid w:val="00973A5F"/>
    <w:rsid w:val="00973C65"/>
    <w:rsid w:val="0097458A"/>
    <w:rsid w:val="009747D0"/>
    <w:rsid w:val="00974ABE"/>
    <w:rsid w:val="00974B47"/>
    <w:rsid w:val="00974D52"/>
    <w:rsid w:val="00975329"/>
    <w:rsid w:val="009756F9"/>
    <w:rsid w:val="0097587D"/>
    <w:rsid w:val="00976052"/>
    <w:rsid w:val="00976286"/>
    <w:rsid w:val="00976446"/>
    <w:rsid w:val="009767A8"/>
    <w:rsid w:val="009768AB"/>
    <w:rsid w:val="00976A24"/>
    <w:rsid w:val="00976DC6"/>
    <w:rsid w:val="00976F4C"/>
    <w:rsid w:val="00976FA1"/>
    <w:rsid w:val="00977818"/>
    <w:rsid w:val="00980A72"/>
    <w:rsid w:val="00980BBF"/>
    <w:rsid w:val="00980DAE"/>
    <w:rsid w:val="00980F6F"/>
    <w:rsid w:val="00981159"/>
    <w:rsid w:val="00981602"/>
    <w:rsid w:val="009818FD"/>
    <w:rsid w:val="00981A66"/>
    <w:rsid w:val="00981BFC"/>
    <w:rsid w:val="00982198"/>
    <w:rsid w:val="009825B2"/>
    <w:rsid w:val="00982EE3"/>
    <w:rsid w:val="009830B5"/>
    <w:rsid w:val="0098359C"/>
    <w:rsid w:val="009835B5"/>
    <w:rsid w:val="009839D2"/>
    <w:rsid w:val="00983B62"/>
    <w:rsid w:val="00984026"/>
    <w:rsid w:val="00984BF2"/>
    <w:rsid w:val="00984C50"/>
    <w:rsid w:val="009850B1"/>
    <w:rsid w:val="009866D9"/>
    <w:rsid w:val="009866DD"/>
    <w:rsid w:val="0098685E"/>
    <w:rsid w:val="00986CD8"/>
    <w:rsid w:val="009877CB"/>
    <w:rsid w:val="009878F4"/>
    <w:rsid w:val="0099048D"/>
    <w:rsid w:val="00990736"/>
    <w:rsid w:val="0099079A"/>
    <w:rsid w:val="009908CD"/>
    <w:rsid w:val="00990900"/>
    <w:rsid w:val="00990E33"/>
    <w:rsid w:val="00991042"/>
    <w:rsid w:val="00991062"/>
    <w:rsid w:val="009911FF"/>
    <w:rsid w:val="0099199D"/>
    <w:rsid w:val="009919E0"/>
    <w:rsid w:val="00991A26"/>
    <w:rsid w:val="00991C8D"/>
    <w:rsid w:val="00992170"/>
    <w:rsid w:val="009925EA"/>
    <w:rsid w:val="00992743"/>
    <w:rsid w:val="00992CF2"/>
    <w:rsid w:val="0099306D"/>
    <w:rsid w:val="00993307"/>
    <w:rsid w:val="00993339"/>
    <w:rsid w:val="0099360E"/>
    <w:rsid w:val="009937D7"/>
    <w:rsid w:val="009939A1"/>
    <w:rsid w:val="00993E09"/>
    <w:rsid w:val="00994C1D"/>
    <w:rsid w:val="00994D1D"/>
    <w:rsid w:val="00994DCA"/>
    <w:rsid w:val="00994E77"/>
    <w:rsid w:val="00995365"/>
    <w:rsid w:val="00995537"/>
    <w:rsid w:val="00995568"/>
    <w:rsid w:val="00995833"/>
    <w:rsid w:val="00995BE0"/>
    <w:rsid w:val="00995BE6"/>
    <w:rsid w:val="00995C2D"/>
    <w:rsid w:val="00995C31"/>
    <w:rsid w:val="009967B1"/>
    <w:rsid w:val="009968C8"/>
    <w:rsid w:val="00996A50"/>
    <w:rsid w:val="00996B3C"/>
    <w:rsid w:val="00996DC4"/>
    <w:rsid w:val="009970CF"/>
    <w:rsid w:val="009976D2"/>
    <w:rsid w:val="009979F3"/>
    <w:rsid w:val="00997A69"/>
    <w:rsid w:val="00997CAB"/>
    <w:rsid w:val="009A02A5"/>
    <w:rsid w:val="009A0537"/>
    <w:rsid w:val="009A0848"/>
    <w:rsid w:val="009A1029"/>
    <w:rsid w:val="009A1390"/>
    <w:rsid w:val="009A1B50"/>
    <w:rsid w:val="009A1FDC"/>
    <w:rsid w:val="009A206E"/>
    <w:rsid w:val="009A21F9"/>
    <w:rsid w:val="009A29A8"/>
    <w:rsid w:val="009A2A69"/>
    <w:rsid w:val="009A3256"/>
    <w:rsid w:val="009A3A46"/>
    <w:rsid w:val="009A3CCD"/>
    <w:rsid w:val="009A3CF0"/>
    <w:rsid w:val="009A3E80"/>
    <w:rsid w:val="009A460D"/>
    <w:rsid w:val="009A4625"/>
    <w:rsid w:val="009A4B0D"/>
    <w:rsid w:val="009A54BC"/>
    <w:rsid w:val="009A5748"/>
    <w:rsid w:val="009A58C2"/>
    <w:rsid w:val="009A59B0"/>
    <w:rsid w:val="009A64F1"/>
    <w:rsid w:val="009A66F3"/>
    <w:rsid w:val="009A67B9"/>
    <w:rsid w:val="009A68ED"/>
    <w:rsid w:val="009A69FD"/>
    <w:rsid w:val="009A6D3D"/>
    <w:rsid w:val="009A6EE7"/>
    <w:rsid w:val="009A700E"/>
    <w:rsid w:val="009A7725"/>
    <w:rsid w:val="009A7AFA"/>
    <w:rsid w:val="009A7EAA"/>
    <w:rsid w:val="009A7F1F"/>
    <w:rsid w:val="009B0056"/>
    <w:rsid w:val="009B0526"/>
    <w:rsid w:val="009B08DA"/>
    <w:rsid w:val="009B0929"/>
    <w:rsid w:val="009B0EF5"/>
    <w:rsid w:val="009B10A4"/>
    <w:rsid w:val="009B118C"/>
    <w:rsid w:val="009B11F8"/>
    <w:rsid w:val="009B138E"/>
    <w:rsid w:val="009B1B0E"/>
    <w:rsid w:val="009B1B82"/>
    <w:rsid w:val="009B1C50"/>
    <w:rsid w:val="009B2446"/>
    <w:rsid w:val="009B2448"/>
    <w:rsid w:val="009B24E8"/>
    <w:rsid w:val="009B26E9"/>
    <w:rsid w:val="009B2D72"/>
    <w:rsid w:val="009B3484"/>
    <w:rsid w:val="009B383D"/>
    <w:rsid w:val="009B394C"/>
    <w:rsid w:val="009B3C84"/>
    <w:rsid w:val="009B415B"/>
    <w:rsid w:val="009B417B"/>
    <w:rsid w:val="009B438F"/>
    <w:rsid w:val="009B43B3"/>
    <w:rsid w:val="009B4431"/>
    <w:rsid w:val="009B4643"/>
    <w:rsid w:val="009B4660"/>
    <w:rsid w:val="009B4BDD"/>
    <w:rsid w:val="009B50C8"/>
    <w:rsid w:val="009B5387"/>
    <w:rsid w:val="009B5398"/>
    <w:rsid w:val="009B546D"/>
    <w:rsid w:val="009B54ED"/>
    <w:rsid w:val="009B5BF4"/>
    <w:rsid w:val="009B5C17"/>
    <w:rsid w:val="009B600E"/>
    <w:rsid w:val="009B612B"/>
    <w:rsid w:val="009B6241"/>
    <w:rsid w:val="009B659A"/>
    <w:rsid w:val="009B6647"/>
    <w:rsid w:val="009B6951"/>
    <w:rsid w:val="009B7193"/>
    <w:rsid w:val="009B7A13"/>
    <w:rsid w:val="009B7B2A"/>
    <w:rsid w:val="009B7B7D"/>
    <w:rsid w:val="009B7B85"/>
    <w:rsid w:val="009B7C1D"/>
    <w:rsid w:val="009B7EA2"/>
    <w:rsid w:val="009B7FF1"/>
    <w:rsid w:val="009C0343"/>
    <w:rsid w:val="009C0A31"/>
    <w:rsid w:val="009C0D4B"/>
    <w:rsid w:val="009C0D62"/>
    <w:rsid w:val="009C101E"/>
    <w:rsid w:val="009C1613"/>
    <w:rsid w:val="009C1823"/>
    <w:rsid w:val="009C1A3E"/>
    <w:rsid w:val="009C1CE7"/>
    <w:rsid w:val="009C1E1F"/>
    <w:rsid w:val="009C1F2A"/>
    <w:rsid w:val="009C2087"/>
    <w:rsid w:val="009C21E7"/>
    <w:rsid w:val="009C2340"/>
    <w:rsid w:val="009C26D4"/>
    <w:rsid w:val="009C2774"/>
    <w:rsid w:val="009C31AD"/>
    <w:rsid w:val="009C34F9"/>
    <w:rsid w:val="009C3692"/>
    <w:rsid w:val="009C36C5"/>
    <w:rsid w:val="009C36D0"/>
    <w:rsid w:val="009C39E0"/>
    <w:rsid w:val="009C3C81"/>
    <w:rsid w:val="009C3D8C"/>
    <w:rsid w:val="009C43BE"/>
    <w:rsid w:val="009C440D"/>
    <w:rsid w:val="009C4D36"/>
    <w:rsid w:val="009C589F"/>
    <w:rsid w:val="009C59B6"/>
    <w:rsid w:val="009C59D7"/>
    <w:rsid w:val="009C5DAE"/>
    <w:rsid w:val="009C64FC"/>
    <w:rsid w:val="009C6A0A"/>
    <w:rsid w:val="009C6A17"/>
    <w:rsid w:val="009C6D73"/>
    <w:rsid w:val="009C6DAF"/>
    <w:rsid w:val="009C71B6"/>
    <w:rsid w:val="009C75A9"/>
    <w:rsid w:val="009C772C"/>
    <w:rsid w:val="009C7E42"/>
    <w:rsid w:val="009D0035"/>
    <w:rsid w:val="009D0334"/>
    <w:rsid w:val="009D0511"/>
    <w:rsid w:val="009D07F3"/>
    <w:rsid w:val="009D0C16"/>
    <w:rsid w:val="009D0DAB"/>
    <w:rsid w:val="009D219E"/>
    <w:rsid w:val="009D309C"/>
    <w:rsid w:val="009D3120"/>
    <w:rsid w:val="009D3293"/>
    <w:rsid w:val="009D353B"/>
    <w:rsid w:val="009D378C"/>
    <w:rsid w:val="009D387D"/>
    <w:rsid w:val="009D3943"/>
    <w:rsid w:val="009D3B80"/>
    <w:rsid w:val="009D3DA3"/>
    <w:rsid w:val="009D3E1C"/>
    <w:rsid w:val="009D3E8E"/>
    <w:rsid w:val="009D41E1"/>
    <w:rsid w:val="009D42DC"/>
    <w:rsid w:val="009D4928"/>
    <w:rsid w:val="009D4E00"/>
    <w:rsid w:val="009D508A"/>
    <w:rsid w:val="009D53E3"/>
    <w:rsid w:val="009D5931"/>
    <w:rsid w:val="009D593A"/>
    <w:rsid w:val="009D5D95"/>
    <w:rsid w:val="009D5E8B"/>
    <w:rsid w:val="009D6748"/>
    <w:rsid w:val="009D697B"/>
    <w:rsid w:val="009D6A14"/>
    <w:rsid w:val="009D6E87"/>
    <w:rsid w:val="009D6F22"/>
    <w:rsid w:val="009D706E"/>
    <w:rsid w:val="009D7497"/>
    <w:rsid w:val="009D7793"/>
    <w:rsid w:val="009D790B"/>
    <w:rsid w:val="009D7A7E"/>
    <w:rsid w:val="009D7DC1"/>
    <w:rsid w:val="009E0062"/>
    <w:rsid w:val="009E0077"/>
    <w:rsid w:val="009E00B2"/>
    <w:rsid w:val="009E04D2"/>
    <w:rsid w:val="009E0515"/>
    <w:rsid w:val="009E0615"/>
    <w:rsid w:val="009E0622"/>
    <w:rsid w:val="009E06D3"/>
    <w:rsid w:val="009E0AC8"/>
    <w:rsid w:val="009E0D11"/>
    <w:rsid w:val="009E0FB5"/>
    <w:rsid w:val="009E1562"/>
    <w:rsid w:val="009E16BF"/>
    <w:rsid w:val="009E1909"/>
    <w:rsid w:val="009E1B04"/>
    <w:rsid w:val="009E1B15"/>
    <w:rsid w:val="009E1F33"/>
    <w:rsid w:val="009E1F66"/>
    <w:rsid w:val="009E206E"/>
    <w:rsid w:val="009E23DC"/>
    <w:rsid w:val="009E2492"/>
    <w:rsid w:val="009E27D2"/>
    <w:rsid w:val="009E2869"/>
    <w:rsid w:val="009E2E2C"/>
    <w:rsid w:val="009E30D2"/>
    <w:rsid w:val="009E3BEB"/>
    <w:rsid w:val="009E461A"/>
    <w:rsid w:val="009E4675"/>
    <w:rsid w:val="009E476B"/>
    <w:rsid w:val="009E477D"/>
    <w:rsid w:val="009E4BA7"/>
    <w:rsid w:val="009E5089"/>
    <w:rsid w:val="009E514A"/>
    <w:rsid w:val="009E53AC"/>
    <w:rsid w:val="009E5586"/>
    <w:rsid w:val="009E5756"/>
    <w:rsid w:val="009E5832"/>
    <w:rsid w:val="009E59FF"/>
    <w:rsid w:val="009E5B38"/>
    <w:rsid w:val="009E6038"/>
    <w:rsid w:val="009E6047"/>
    <w:rsid w:val="009E6561"/>
    <w:rsid w:val="009E68E7"/>
    <w:rsid w:val="009E694A"/>
    <w:rsid w:val="009E6A6D"/>
    <w:rsid w:val="009E70F0"/>
    <w:rsid w:val="009E70F6"/>
    <w:rsid w:val="009E7502"/>
    <w:rsid w:val="009E7B8F"/>
    <w:rsid w:val="009E7C4D"/>
    <w:rsid w:val="009E7D4D"/>
    <w:rsid w:val="009E7D7F"/>
    <w:rsid w:val="009E7DC7"/>
    <w:rsid w:val="009F0132"/>
    <w:rsid w:val="009F020F"/>
    <w:rsid w:val="009F0380"/>
    <w:rsid w:val="009F05D5"/>
    <w:rsid w:val="009F14BF"/>
    <w:rsid w:val="009F182E"/>
    <w:rsid w:val="009F1A18"/>
    <w:rsid w:val="009F1B0F"/>
    <w:rsid w:val="009F2187"/>
    <w:rsid w:val="009F29DC"/>
    <w:rsid w:val="009F2B53"/>
    <w:rsid w:val="009F2C2E"/>
    <w:rsid w:val="009F3353"/>
    <w:rsid w:val="009F348D"/>
    <w:rsid w:val="009F3A49"/>
    <w:rsid w:val="009F3B48"/>
    <w:rsid w:val="009F3C08"/>
    <w:rsid w:val="009F3C17"/>
    <w:rsid w:val="009F3CE8"/>
    <w:rsid w:val="009F4420"/>
    <w:rsid w:val="009F4F62"/>
    <w:rsid w:val="009F560D"/>
    <w:rsid w:val="009F5719"/>
    <w:rsid w:val="009F5AD6"/>
    <w:rsid w:val="009F6057"/>
    <w:rsid w:val="009F6102"/>
    <w:rsid w:val="009F63FF"/>
    <w:rsid w:val="009F645A"/>
    <w:rsid w:val="009F6489"/>
    <w:rsid w:val="009F64CA"/>
    <w:rsid w:val="009F67F2"/>
    <w:rsid w:val="009F68A0"/>
    <w:rsid w:val="009F6947"/>
    <w:rsid w:val="009F6B48"/>
    <w:rsid w:val="009F6E18"/>
    <w:rsid w:val="009F709A"/>
    <w:rsid w:val="009F71E4"/>
    <w:rsid w:val="009F7776"/>
    <w:rsid w:val="009F7816"/>
    <w:rsid w:val="009F78ED"/>
    <w:rsid w:val="009F7A13"/>
    <w:rsid w:val="009F7B33"/>
    <w:rsid w:val="009F7C49"/>
    <w:rsid w:val="009F7E3C"/>
    <w:rsid w:val="009F7ECE"/>
    <w:rsid w:val="00A00123"/>
    <w:rsid w:val="00A001C7"/>
    <w:rsid w:val="00A001CC"/>
    <w:rsid w:val="00A003B7"/>
    <w:rsid w:val="00A004CB"/>
    <w:rsid w:val="00A004CE"/>
    <w:rsid w:val="00A00782"/>
    <w:rsid w:val="00A00B75"/>
    <w:rsid w:val="00A00C51"/>
    <w:rsid w:val="00A00C58"/>
    <w:rsid w:val="00A00D01"/>
    <w:rsid w:val="00A00E52"/>
    <w:rsid w:val="00A01473"/>
    <w:rsid w:val="00A01772"/>
    <w:rsid w:val="00A01CBE"/>
    <w:rsid w:val="00A02228"/>
    <w:rsid w:val="00A02627"/>
    <w:rsid w:val="00A02A60"/>
    <w:rsid w:val="00A03075"/>
    <w:rsid w:val="00A031FB"/>
    <w:rsid w:val="00A03209"/>
    <w:rsid w:val="00A0341C"/>
    <w:rsid w:val="00A034B7"/>
    <w:rsid w:val="00A03540"/>
    <w:rsid w:val="00A03665"/>
    <w:rsid w:val="00A03D02"/>
    <w:rsid w:val="00A03F9C"/>
    <w:rsid w:val="00A03FD4"/>
    <w:rsid w:val="00A04107"/>
    <w:rsid w:val="00A04191"/>
    <w:rsid w:val="00A04D8C"/>
    <w:rsid w:val="00A0527A"/>
    <w:rsid w:val="00A056FF"/>
    <w:rsid w:val="00A05828"/>
    <w:rsid w:val="00A059FB"/>
    <w:rsid w:val="00A05EAD"/>
    <w:rsid w:val="00A05F88"/>
    <w:rsid w:val="00A0621B"/>
    <w:rsid w:val="00A062DD"/>
    <w:rsid w:val="00A06927"/>
    <w:rsid w:val="00A06A40"/>
    <w:rsid w:val="00A06BE9"/>
    <w:rsid w:val="00A06D85"/>
    <w:rsid w:val="00A074C3"/>
    <w:rsid w:val="00A1007B"/>
    <w:rsid w:val="00A10590"/>
    <w:rsid w:val="00A10ABD"/>
    <w:rsid w:val="00A10D09"/>
    <w:rsid w:val="00A10D21"/>
    <w:rsid w:val="00A10DD1"/>
    <w:rsid w:val="00A10F0D"/>
    <w:rsid w:val="00A11111"/>
    <w:rsid w:val="00A11ACD"/>
    <w:rsid w:val="00A11B13"/>
    <w:rsid w:val="00A11B5C"/>
    <w:rsid w:val="00A12749"/>
    <w:rsid w:val="00A128DC"/>
    <w:rsid w:val="00A12945"/>
    <w:rsid w:val="00A12FAC"/>
    <w:rsid w:val="00A13503"/>
    <w:rsid w:val="00A13995"/>
    <w:rsid w:val="00A13A41"/>
    <w:rsid w:val="00A13C3E"/>
    <w:rsid w:val="00A147DE"/>
    <w:rsid w:val="00A14F94"/>
    <w:rsid w:val="00A15212"/>
    <w:rsid w:val="00A1527E"/>
    <w:rsid w:val="00A15524"/>
    <w:rsid w:val="00A15923"/>
    <w:rsid w:val="00A15981"/>
    <w:rsid w:val="00A159BD"/>
    <w:rsid w:val="00A16A6C"/>
    <w:rsid w:val="00A16BE0"/>
    <w:rsid w:val="00A17036"/>
    <w:rsid w:val="00A17379"/>
    <w:rsid w:val="00A173F0"/>
    <w:rsid w:val="00A17907"/>
    <w:rsid w:val="00A179F3"/>
    <w:rsid w:val="00A17A64"/>
    <w:rsid w:val="00A17AFE"/>
    <w:rsid w:val="00A17B5D"/>
    <w:rsid w:val="00A2015D"/>
    <w:rsid w:val="00A201BE"/>
    <w:rsid w:val="00A20268"/>
    <w:rsid w:val="00A20792"/>
    <w:rsid w:val="00A209A7"/>
    <w:rsid w:val="00A20D52"/>
    <w:rsid w:val="00A21071"/>
    <w:rsid w:val="00A21614"/>
    <w:rsid w:val="00A218B0"/>
    <w:rsid w:val="00A21BAF"/>
    <w:rsid w:val="00A220B5"/>
    <w:rsid w:val="00A22122"/>
    <w:rsid w:val="00A22816"/>
    <w:rsid w:val="00A2283D"/>
    <w:rsid w:val="00A228B0"/>
    <w:rsid w:val="00A22937"/>
    <w:rsid w:val="00A22B8F"/>
    <w:rsid w:val="00A22BFF"/>
    <w:rsid w:val="00A22F35"/>
    <w:rsid w:val="00A23788"/>
    <w:rsid w:val="00A23ADA"/>
    <w:rsid w:val="00A23DA3"/>
    <w:rsid w:val="00A23DEC"/>
    <w:rsid w:val="00A23E70"/>
    <w:rsid w:val="00A23FB9"/>
    <w:rsid w:val="00A23FC4"/>
    <w:rsid w:val="00A246ED"/>
    <w:rsid w:val="00A2544F"/>
    <w:rsid w:val="00A2573B"/>
    <w:rsid w:val="00A25843"/>
    <w:rsid w:val="00A259F2"/>
    <w:rsid w:val="00A25D30"/>
    <w:rsid w:val="00A261DE"/>
    <w:rsid w:val="00A261E8"/>
    <w:rsid w:val="00A2624D"/>
    <w:rsid w:val="00A2651C"/>
    <w:rsid w:val="00A26A90"/>
    <w:rsid w:val="00A26D82"/>
    <w:rsid w:val="00A26E80"/>
    <w:rsid w:val="00A2718B"/>
    <w:rsid w:val="00A277AE"/>
    <w:rsid w:val="00A27E57"/>
    <w:rsid w:val="00A30262"/>
    <w:rsid w:val="00A30C77"/>
    <w:rsid w:val="00A30CC7"/>
    <w:rsid w:val="00A3135D"/>
    <w:rsid w:val="00A316A5"/>
    <w:rsid w:val="00A316B5"/>
    <w:rsid w:val="00A31959"/>
    <w:rsid w:val="00A31B08"/>
    <w:rsid w:val="00A31C18"/>
    <w:rsid w:val="00A322C5"/>
    <w:rsid w:val="00A32F12"/>
    <w:rsid w:val="00A33284"/>
    <w:rsid w:val="00A33423"/>
    <w:rsid w:val="00A33675"/>
    <w:rsid w:val="00A3374B"/>
    <w:rsid w:val="00A33931"/>
    <w:rsid w:val="00A33B28"/>
    <w:rsid w:val="00A33DB9"/>
    <w:rsid w:val="00A3418D"/>
    <w:rsid w:val="00A342F5"/>
    <w:rsid w:val="00A34393"/>
    <w:rsid w:val="00A343BB"/>
    <w:rsid w:val="00A34AB9"/>
    <w:rsid w:val="00A34ACE"/>
    <w:rsid w:val="00A34BDF"/>
    <w:rsid w:val="00A34F25"/>
    <w:rsid w:val="00A34F67"/>
    <w:rsid w:val="00A351EF"/>
    <w:rsid w:val="00A352C4"/>
    <w:rsid w:val="00A356A6"/>
    <w:rsid w:val="00A35D87"/>
    <w:rsid w:val="00A36638"/>
    <w:rsid w:val="00A366B8"/>
    <w:rsid w:val="00A36806"/>
    <w:rsid w:val="00A368C8"/>
    <w:rsid w:val="00A36C40"/>
    <w:rsid w:val="00A375EA"/>
    <w:rsid w:val="00A376FF"/>
    <w:rsid w:val="00A400A2"/>
    <w:rsid w:val="00A400C3"/>
    <w:rsid w:val="00A400E8"/>
    <w:rsid w:val="00A40482"/>
    <w:rsid w:val="00A40678"/>
    <w:rsid w:val="00A40BE6"/>
    <w:rsid w:val="00A40C07"/>
    <w:rsid w:val="00A40CEE"/>
    <w:rsid w:val="00A4122C"/>
    <w:rsid w:val="00A412AD"/>
    <w:rsid w:val="00A41515"/>
    <w:rsid w:val="00A418E5"/>
    <w:rsid w:val="00A41D0B"/>
    <w:rsid w:val="00A41D40"/>
    <w:rsid w:val="00A41F81"/>
    <w:rsid w:val="00A42288"/>
    <w:rsid w:val="00A42387"/>
    <w:rsid w:val="00A4245E"/>
    <w:rsid w:val="00A42908"/>
    <w:rsid w:val="00A4293A"/>
    <w:rsid w:val="00A42B5C"/>
    <w:rsid w:val="00A42B87"/>
    <w:rsid w:val="00A42BC3"/>
    <w:rsid w:val="00A42D1F"/>
    <w:rsid w:val="00A435C6"/>
    <w:rsid w:val="00A4365C"/>
    <w:rsid w:val="00A437FE"/>
    <w:rsid w:val="00A439F8"/>
    <w:rsid w:val="00A43F49"/>
    <w:rsid w:val="00A4465E"/>
    <w:rsid w:val="00A44718"/>
    <w:rsid w:val="00A449AE"/>
    <w:rsid w:val="00A44E9F"/>
    <w:rsid w:val="00A44F9A"/>
    <w:rsid w:val="00A4513D"/>
    <w:rsid w:val="00A45514"/>
    <w:rsid w:val="00A45608"/>
    <w:rsid w:val="00A45B7C"/>
    <w:rsid w:val="00A45C21"/>
    <w:rsid w:val="00A45E16"/>
    <w:rsid w:val="00A4604B"/>
    <w:rsid w:val="00A4691D"/>
    <w:rsid w:val="00A46CBE"/>
    <w:rsid w:val="00A46E23"/>
    <w:rsid w:val="00A46F47"/>
    <w:rsid w:val="00A47226"/>
    <w:rsid w:val="00A4769B"/>
    <w:rsid w:val="00A476AB"/>
    <w:rsid w:val="00A47AB0"/>
    <w:rsid w:val="00A47F99"/>
    <w:rsid w:val="00A50368"/>
    <w:rsid w:val="00A50A36"/>
    <w:rsid w:val="00A50A92"/>
    <w:rsid w:val="00A50BF1"/>
    <w:rsid w:val="00A50E0A"/>
    <w:rsid w:val="00A5190E"/>
    <w:rsid w:val="00A51A3E"/>
    <w:rsid w:val="00A52161"/>
    <w:rsid w:val="00A523BC"/>
    <w:rsid w:val="00A52EFD"/>
    <w:rsid w:val="00A533C7"/>
    <w:rsid w:val="00A53439"/>
    <w:rsid w:val="00A5349C"/>
    <w:rsid w:val="00A53598"/>
    <w:rsid w:val="00A542E2"/>
    <w:rsid w:val="00A544BA"/>
    <w:rsid w:val="00A54843"/>
    <w:rsid w:val="00A55435"/>
    <w:rsid w:val="00A55AF2"/>
    <w:rsid w:val="00A55CDF"/>
    <w:rsid w:val="00A55EFF"/>
    <w:rsid w:val="00A56120"/>
    <w:rsid w:val="00A5628F"/>
    <w:rsid w:val="00A562A0"/>
    <w:rsid w:val="00A5637C"/>
    <w:rsid w:val="00A56435"/>
    <w:rsid w:val="00A566BC"/>
    <w:rsid w:val="00A56B31"/>
    <w:rsid w:val="00A56BF5"/>
    <w:rsid w:val="00A56CA6"/>
    <w:rsid w:val="00A56E4D"/>
    <w:rsid w:val="00A57188"/>
    <w:rsid w:val="00A57222"/>
    <w:rsid w:val="00A575F4"/>
    <w:rsid w:val="00A57897"/>
    <w:rsid w:val="00A5791F"/>
    <w:rsid w:val="00A57C70"/>
    <w:rsid w:val="00A6003C"/>
    <w:rsid w:val="00A60689"/>
    <w:rsid w:val="00A607BA"/>
    <w:rsid w:val="00A609B9"/>
    <w:rsid w:val="00A60CB9"/>
    <w:rsid w:val="00A60EAC"/>
    <w:rsid w:val="00A61111"/>
    <w:rsid w:val="00A61210"/>
    <w:rsid w:val="00A613B3"/>
    <w:rsid w:val="00A618C0"/>
    <w:rsid w:val="00A61C79"/>
    <w:rsid w:val="00A61EE9"/>
    <w:rsid w:val="00A6292B"/>
    <w:rsid w:val="00A62C5B"/>
    <w:rsid w:val="00A6315E"/>
    <w:rsid w:val="00A6341E"/>
    <w:rsid w:val="00A63487"/>
    <w:rsid w:val="00A636E6"/>
    <w:rsid w:val="00A63907"/>
    <w:rsid w:val="00A640A6"/>
    <w:rsid w:val="00A642C9"/>
    <w:rsid w:val="00A64531"/>
    <w:rsid w:val="00A6541B"/>
    <w:rsid w:val="00A655D7"/>
    <w:rsid w:val="00A659DF"/>
    <w:rsid w:val="00A65AB6"/>
    <w:rsid w:val="00A65D1B"/>
    <w:rsid w:val="00A65EA3"/>
    <w:rsid w:val="00A6688D"/>
    <w:rsid w:val="00A66B16"/>
    <w:rsid w:val="00A66C43"/>
    <w:rsid w:val="00A67360"/>
    <w:rsid w:val="00A67424"/>
    <w:rsid w:val="00A67453"/>
    <w:rsid w:val="00A676D5"/>
    <w:rsid w:val="00A67EFA"/>
    <w:rsid w:val="00A70058"/>
    <w:rsid w:val="00A7006A"/>
    <w:rsid w:val="00A70108"/>
    <w:rsid w:val="00A70353"/>
    <w:rsid w:val="00A705C2"/>
    <w:rsid w:val="00A70755"/>
    <w:rsid w:val="00A70906"/>
    <w:rsid w:val="00A70D36"/>
    <w:rsid w:val="00A70D62"/>
    <w:rsid w:val="00A70F13"/>
    <w:rsid w:val="00A711AB"/>
    <w:rsid w:val="00A71214"/>
    <w:rsid w:val="00A7121B"/>
    <w:rsid w:val="00A7127C"/>
    <w:rsid w:val="00A71982"/>
    <w:rsid w:val="00A71A2D"/>
    <w:rsid w:val="00A71CBE"/>
    <w:rsid w:val="00A721D3"/>
    <w:rsid w:val="00A7230B"/>
    <w:rsid w:val="00A72497"/>
    <w:rsid w:val="00A72601"/>
    <w:rsid w:val="00A72994"/>
    <w:rsid w:val="00A72BF7"/>
    <w:rsid w:val="00A731C6"/>
    <w:rsid w:val="00A73328"/>
    <w:rsid w:val="00A734FE"/>
    <w:rsid w:val="00A73539"/>
    <w:rsid w:val="00A736D6"/>
    <w:rsid w:val="00A737B4"/>
    <w:rsid w:val="00A73A98"/>
    <w:rsid w:val="00A73B65"/>
    <w:rsid w:val="00A73D4C"/>
    <w:rsid w:val="00A73ECF"/>
    <w:rsid w:val="00A73FA6"/>
    <w:rsid w:val="00A740DC"/>
    <w:rsid w:val="00A741B9"/>
    <w:rsid w:val="00A741BD"/>
    <w:rsid w:val="00A74422"/>
    <w:rsid w:val="00A74508"/>
    <w:rsid w:val="00A747F2"/>
    <w:rsid w:val="00A74D2F"/>
    <w:rsid w:val="00A75180"/>
    <w:rsid w:val="00A752A2"/>
    <w:rsid w:val="00A7531D"/>
    <w:rsid w:val="00A75672"/>
    <w:rsid w:val="00A75B0C"/>
    <w:rsid w:val="00A75BA5"/>
    <w:rsid w:val="00A75E31"/>
    <w:rsid w:val="00A76031"/>
    <w:rsid w:val="00A76076"/>
    <w:rsid w:val="00A764DD"/>
    <w:rsid w:val="00A7675A"/>
    <w:rsid w:val="00A76768"/>
    <w:rsid w:val="00A7678E"/>
    <w:rsid w:val="00A767D0"/>
    <w:rsid w:val="00A76821"/>
    <w:rsid w:val="00A769C2"/>
    <w:rsid w:val="00A76E3D"/>
    <w:rsid w:val="00A770AD"/>
    <w:rsid w:val="00A778F6"/>
    <w:rsid w:val="00A77B25"/>
    <w:rsid w:val="00A77B71"/>
    <w:rsid w:val="00A80305"/>
    <w:rsid w:val="00A80739"/>
    <w:rsid w:val="00A80A15"/>
    <w:rsid w:val="00A80A32"/>
    <w:rsid w:val="00A80C7E"/>
    <w:rsid w:val="00A81230"/>
    <w:rsid w:val="00A815AA"/>
    <w:rsid w:val="00A81B3B"/>
    <w:rsid w:val="00A81B86"/>
    <w:rsid w:val="00A81CFE"/>
    <w:rsid w:val="00A8221E"/>
    <w:rsid w:val="00A8272E"/>
    <w:rsid w:val="00A82827"/>
    <w:rsid w:val="00A82ACB"/>
    <w:rsid w:val="00A82AEE"/>
    <w:rsid w:val="00A82DFA"/>
    <w:rsid w:val="00A82EAC"/>
    <w:rsid w:val="00A830E6"/>
    <w:rsid w:val="00A83330"/>
    <w:rsid w:val="00A8374A"/>
    <w:rsid w:val="00A83DD7"/>
    <w:rsid w:val="00A84243"/>
    <w:rsid w:val="00A8434C"/>
    <w:rsid w:val="00A843EF"/>
    <w:rsid w:val="00A844A1"/>
    <w:rsid w:val="00A8462A"/>
    <w:rsid w:val="00A84771"/>
    <w:rsid w:val="00A849AE"/>
    <w:rsid w:val="00A849E3"/>
    <w:rsid w:val="00A84BB6"/>
    <w:rsid w:val="00A84C27"/>
    <w:rsid w:val="00A84F16"/>
    <w:rsid w:val="00A85159"/>
    <w:rsid w:val="00A85819"/>
    <w:rsid w:val="00A85D3C"/>
    <w:rsid w:val="00A85F8B"/>
    <w:rsid w:val="00A87303"/>
    <w:rsid w:val="00A875DF"/>
    <w:rsid w:val="00A877D8"/>
    <w:rsid w:val="00A87A64"/>
    <w:rsid w:val="00A87BE3"/>
    <w:rsid w:val="00A87DD0"/>
    <w:rsid w:val="00A87F34"/>
    <w:rsid w:val="00A901AA"/>
    <w:rsid w:val="00A90823"/>
    <w:rsid w:val="00A9135D"/>
    <w:rsid w:val="00A91900"/>
    <w:rsid w:val="00A91A24"/>
    <w:rsid w:val="00A91B06"/>
    <w:rsid w:val="00A92084"/>
    <w:rsid w:val="00A923F6"/>
    <w:rsid w:val="00A928A3"/>
    <w:rsid w:val="00A92B53"/>
    <w:rsid w:val="00A92B5F"/>
    <w:rsid w:val="00A92CEA"/>
    <w:rsid w:val="00A935BA"/>
    <w:rsid w:val="00A93B16"/>
    <w:rsid w:val="00A93B87"/>
    <w:rsid w:val="00A93CBF"/>
    <w:rsid w:val="00A9430B"/>
    <w:rsid w:val="00A94722"/>
    <w:rsid w:val="00A94B83"/>
    <w:rsid w:val="00A94C76"/>
    <w:rsid w:val="00A94C99"/>
    <w:rsid w:val="00A94D58"/>
    <w:rsid w:val="00A94E86"/>
    <w:rsid w:val="00A9502C"/>
    <w:rsid w:val="00A950BE"/>
    <w:rsid w:val="00A95161"/>
    <w:rsid w:val="00A953D2"/>
    <w:rsid w:val="00A956D2"/>
    <w:rsid w:val="00A956D7"/>
    <w:rsid w:val="00A95CA0"/>
    <w:rsid w:val="00A95F3E"/>
    <w:rsid w:val="00A95F91"/>
    <w:rsid w:val="00A965D5"/>
    <w:rsid w:val="00A968C4"/>
    <w:rsid w:val="00A96A5E"/>
    <w:rsid w:val="00A96DEC"/>
    <w:rsid w:val="00A96E66"/>
    <w:rsid w:val="00A970D5"/>
    <w:rsid w:val="00A97183"/>
    <w:rsid w:val="00A9746B"/>
    <w:rsid w:val="00A97475"/>
    <w:rsid w:val="00A9755C"/>
    <w:rsid w:val="00A978AB"/>
    <w:rsid w:val="00A97B83"/>
    <w:rsid w:val="00A97C8A"/>
    <w:rsid w:val="00A97E0D"/>
    <w:rsid w:val="00AA018C"/>
    <w:rsid w:val="00AA0257"/>
    <w:rsid w:val="00AA04EC"/>
    <w:rsid w:val="00AA0711"/>
    <w:rsid w:val="00AA09D8"/>
    <w:rsid w:val="00AA0D10"/>
    <w:rsid w:val="00AA0DC5"/>
    <w:rsid w:val="00AA0DFF"/>
    <w:rsid w:val="00AA105D"/>
    <w:rsid w:val="00AA109A"/>
    <w:rsid w:val="00AA1563"/>
    <w:rsid w:val="00AA186E"/>
    <w:rsid w:val="00AA1904"/>
    <w:rsid w:val="00AA1974"/>
    <w:rsid w:val="00AA1AE5"/>
    <w:rsid w:val="00AA1E40"/>
    <w:rsid w:val="00AA1E83"/>
    <w:rsid w:val="00AA1F8A"/>
    <w:rsid w:val="00AA2048"/>
    <w:rsid w:val="00AA23D3"/>
    <w:rsid w:val="00AA2809"/>
    <w:rsid w:val="00AA29F1"/>
    <w:rsid w:val="00AA2A28"/>
    <w:rsid w:val="00AA2BEA"/>
    <w:rsid w:val="00AA35C7"/>
    <w:rsid w:val="00AA3BA3"/>
    <w:rsid w:val="00AA3C91"/>
    <w:rsid w:val="00AA3E91"/>
    <w:rsid w:val="00AA40A5"/>
    <w:rsid w:val="00AA43E3"/>
    <w:rsid w:val="00AA4443"/>
    <w:rsid w:val="00AA4528"/>
    <w:rsid w:val="00AA46A6"/>
    <w:rsid w:val="00AA49C7"/>
    <w:rsid w:val="00AA5517"/>
    <w:rsid w:val="00AA5BDF"/>
    <w:rsid w:val="00AA5C92"/>
    <w:rsid w:val="00AA6099"/>
    <w:rsid w:val="00AA68B8"/>
    <w:rsid w:val="00AA6F3C"/>
    <w:rsid w:val="00AA6FCE"/>
    <w:rsid w:val="00AA6FE7"/>
    <w:rsid w:val="00AA71C5"/>
    <w:rsid w:val="00AA742C"/>
    <w:rsid w:val="00AA772D"/>
    <w:rsid w:val="00AA7D0D"/>
    <w:rsid w:val="00AB009F"/>
    <w:rsid w:val="00AB086B"/>
    <w:rsid w:val="00AB0DE8"/>
    <w:rsid w:val="00AB1102"/>
    <w:rsid w:val="00AB1A58"/>
    <w:rsid w:val="00AB1D87"/>
    <w:rsid w:val="00AB1E71"/>
    <w:rsid w:val="00AB2306"/>
    <w:rsid w:val="00AB23CA"/>
    <w:rsid w:val="00AB24B5"/>
    <w:rsid w:val="00AB30F7"/>
    <w:rsid w:val="00AB31E0"/>
    <w:rsid w:val="00AB31EB"/>
    <w:rsid w:val="00AB32DE"/>
    <w:rsid w:val="00AB3593"/>
    <w:rsid w:val="00AB36D1"/>
    <w:rsid w:val="00AB3ACC"/>
    <w:rsid w:val="00AB3DEA"/>
    <w:rsid w:val="00AB405B"/>
    <w:rsid w:val="00AB48E3"/>
    <w:rsid w:val="00AB49A0"/>
    <w:rsid w:val="00AB4F04"/>
    <w:rsid w:val="00AB53C5"/>
    <w:rsid w:val="00AB55B0"/>
    <w:rsid w:val="00AB55BF"/>
    <w:rsid w:val="00AB57F7"/>
    <w:rsid w:val="00AB581A"/>
    <w:rsid w:val="00AB5A01"/>
    <w:rsid w:val="00AB5BFB"/>
    <w:rsid w:val="00AB5CEA"/>
    <w:rsid w:val="00AB5EBA"/>
    <w:rsid w:val="00AB6141"/>
    <w:rsid w:val="00AB6B92"/>
    <w:rsid w:val="00AB6E7B"/>
    <w:rsid w:val="00AB7340"/>
    <w:rsid w:val="00AB7B0F"/>
    <w:rsid w:val="00AB7D08"/>
    <w:rsid w:val="00AC0285"/>
    <w:rsid w:val="00AC028D"/>
    <w:rsid w:val="00AC0854"/>
    <w:rsid w:val="00AC0AC3"/>
    <w:rsid w:val="00AC0F40"/>
    <w:rsid w:val="00AC0FB7"/>
    <w:rsid w:val="00AC138A"/>
    <w:rsid w:val="00AC1572"/>
    <w:rsid w:val="00AC1690"/>
    <w:rsid w:val="00AC1789"/>
    <w:rsid w:val="00AC192A"/>
    <w:rsid w:val="00AC198F"/>
    <w:rsid w:val="00AC1D5F"/>
    <w:rsid w:val="00AC1F29"/>
    <w:rsid w:val="00AC1FD3"/>
    <w:rsid w:val="00AC2952"/>
    <w:rsid w:val="00AC2AE8"/>
    <w:rsid w:val="00AC2FD9"/>
    <w:rsid w:val="00AC30D5"/>
    <w:rsid w:val="00AC3749"/>
    <w:rsid w:val="00AC37BB"/>
    <w:rsid w:val="00AC3D96"/>
    <w:rsid w:val="00AC40F9"/>
    <w:rsid w:val="00AC413D"/>
    <w:rsid w:val="00AC418C"/>
    <w:rsid w:val="00AC42E3"/>
    <w:rsid w:val="00AC4467"/>
    <w:rsid w:val="00AC4856"/>
    <w:rsid w:val="00AC4AB2"/>
    <w:rsid w:val="00AC4E26"/>
    <w:rsid w:val="00AC4E82"/>
    <w:rsid w:val="00AC4F4B"/>
    <w:rsid w:val="00AC4FE6"/>
    <w:rsid w:val="00AC543A"/>
    <w:rsid w:val="00AC57DE"/>
    <w:rsid w:val="00AC5927"/>
    <w:rsid w:val="00AC5999"/>
    <w:rsid w:val="00AC5B4A"/>
    <w:rsid w:val="00AC5BF7"/>
    <w:rsid w:val="00AC5FA9"/>
    <w:rsid w:val="00AC6147"/>
    <w:rsid w:val="00AC614D"/>
    <w:rsid w:val="00AC66E2"/>
    <w:rsid w:val="00AC68B3"/>
    <w:rsid w:val="00AC6B1A"/>
    <w:rsid w:val="00AC6F82"/>
    <w:rsid w:val="00AC7054"/>
    <w:rsid w:val="00AC7252"/>
    <w:rsid w:val="00AC779B"/>
    <w:rsid w:val="00AC795F"/>
    <w:rsid w:val="00AC7B90"/>
    <w:rsid w:val="00AC7C55"/>
    <w:rsid w:val="00AC7CA3"/>
    <w:rsid w:val="00AD0051"/>
    <w:rsid w:val="00AD0421"/>
    <w:rsid w:val="00AD05AA"/>
    <w:rsid w:val="00AD081E"/>
    <w:rsid w:val="00AD0CA0"/>
    <w:rsid w:val="00AD1026"/>
    <w:rsid w:val="00AD11F6"/>
    <w:rsid w:val="00AD147F"/>
    <w:rsid w:val="00AD188B"/>
    <w:rsid w:val="00AD18AE"/>
    <w:rsid w:val="00AD1D17"/>
    <w:rsid w:val="00AD1E87"/>
    <w:rsid w:val="00AD1F33"/>
    <w:rsid w:val="00AD21E0"/>
    <w:rsid w:val="00AD24A9"/>
    <w:rsid w:val="00AD2F4D"/>
    <w:rsid w:val="00AD343C"/>
    <w:rsid w:val="00AD3688"/>
    <w:rsid w:val="00AD3B9C"/>
    <w:rsid w:val="00AD3BCF"/>
    <w:rsid w:val="00AD3BF8"/>
    <w:rsid w:val="00AD3EEA"/>
    <w:rsid w:val="00AD3FAB"/>
    <w:rsid w:val="00AD40A3"/>
    <w:rsid w:val="00AD44F8"/>
    <w:rsid w:val="00AD4990"/>
    <w:rsid w:val="00AD4A7A"/>
    <w:rsid w:val="00AD509C"/>
    <w:rsid w:val="00AD550F"/>
    <w:rsid w:val="00AD5AC8"/>
    <w:rsid w:val="00AD5EDB"/>
    <w:rsid w:val="00AD627A"/>
    <w:rsid w:val="00AD638F"/>
    <w:rsid w:val="00AD6C8E"/>
    <w:rsid w:val="00AD702F"/>
    <w:rsid w:val="00AD74F4"/>
    <w:rsid w:val="00AD7545"/>
    <w:rsid w:val="00AD7780"/>
    <w:rsid w:val="00AD7803"/>
    <w:rsid w:val="00AD78F0"/>
    <w:rsid w:val="00AD79B7"/>
    <w:rsid w:val="00AD7F33"/>
    <w:rsid w:val="00AE02CB"/>
    <w:rsid w:val="00AE033A"/>
    <w:rsid w:val="00AE08A8"/>
    <w:rsid w:val="00AE0907"/>
    <w:rsid w:val="00AE0B3F"/>
    <w:rsid w:val="00AE0F16"/>
    <w:rsid w:val="00AE11EA"/>
    <w:rsid w:val="00AE1987"/>
    <w:rsid w:val="00AE1B0C"/>
    <w:rsid w:val="00AE1BC0"/>
    <w:rsid w:val="00AE1C74"/>
    <w:rsid w:val="00AE1E9D"/>
    <w:rsid w:val="00AE1F74"/>
    <w:rsid w:val="00AE26E2"/>
    <w:rsid w:val="00AE2A29"/>
    <w:rsid w:val="00AE2BA2"/>
    <w:rsid w:val="00AE2CE3"/>
    <w:rsid w:val="00AE2D3E"/>
    <w:rsid w:val="00AE2E87"/>
    <w:rsid w:val="00AE2ECD"/>
    <w:rsid w:val="00AE30A9"/>
    <w:rsid w:val="00AE347F"/>
    <w:rsid w:val="00AE3722"/>
    <w:rsid w:val="00AE3A10"/>
    <w:rsid w:val="00AE3A32"/>
    <w:rsid w:val="00AE3EB3"/>
    <w:rsid w:val="00AE4256"/>
    <w:rsid w:val="00AE4523"/>
    <w:rsid w:val="00AE47DF"/>
    <w:rsid w:val="00AE4E3A"/>
    <w:rsid w:val="00AE527A"/>
    <w:rsid w:val="00AE5670"/>
    <w:rsid w:val="00AE5C5F"/>
    <w:rsid w:val="00AE5E93"/>
    <w:rsid w:val="00AE5F17"/>
    <w:rsid w:val="00AE5F23"/>
    <w:rsid w:val="00AE62DB"/>
    <w:rsid w:val="00AE6327"/>
    <w:rsid w:val="00AE65F7"/>
    <w:rsid w:val="00AE66A4"/>
    <w:rsid w:val="00AE6B25"/>
    <w:rsid w:val="00AE6B8D"/>
    <w:rsid w:val="00AE6F96"/>
    <w:rsid w:val="00AE700E"/>
    <w:rsid w:val="00AE7043"/>
    <w:rsid w:val="00AE71B9"/>
    <w:rsid w:val="00AE73E8"/>
    <w:rsid w:val="00AE7482"/>
    <w:rsid w:val="00AE76AC"/>
    <w:rsid w:val="00AE7B9F"/>
    <w:rsid w:val="00AE7D0F"/>
    <w:rsid w:val="00AE7E41"/>
    <w:rsid w:val="00AE7FC8"/>
    <w:rsid w:val="00AF003C"/>
    <w:rsid w:val="00AF05CB"/>
    <w:rsid w:val="00AF0E37"/>
    <w:rsid w:val="00AF10EB"/>
    <w:rsid w:val="00AF1605"/>
    <w:rsid w:val="00AF16A0"/>
    <w:rsid w:val="00AF1704"/>
    <w:rsid w:val="00AF18A9"/>
    <w:rsid w:val="00AF1BF5"/>
    <w:rsid w:val="00AF1C25"/>
    <w:rsid w:val="00AF1D30"/>
    <w:rsid w:val="00AF25FB"/>
    <w:rsid w:val="00AF2A02"/>
    <w:rsid w:val="00AF2B5E"/>
    <w:rsid w:val="00AF2EF4"/>
    <w:rsid w:val="00AF31A3"/>
    <w:rsid w:val="00AF348A"/>
    <w:rsid w:val="00AF38B1"/>
    <w:rsid w:val="00AF39B1"/>
    <w:rsid w:val="00AF3A00"/>
    <w:rsid w:val="00AF3AB8"/>
    <w:rsid w:val="00AF3C77"/>
    <w:rsid w:val="00AF3E0B"/>
    <w:rsid w:val="00AF42A4"/>
    <w:rsid w:val="00AF4529"/>
    <w:rsid w:val="00AF47D4"/>
    <w:rsid w:val="00AF4A0D"/>
    <w:rsid w:val="00AF4B05"/>
    <w:rsid w:val="00AF4B7E"/>
    <w:rsid w:val="00AF4EE1"/>
    <w:rsid w:val="00AF506B"/>
    <w:rsid w:val="00AF52CE"/>
    <w:rsid w:val="00AF5387"/>
    <w:rsid w:val="00AF549A"/>
    <w:rsid w:val="00AF59C0"/>
    <w:rsid w:val="00AF5A2E"/>
    <w:rsid w:val="00AF5B6B"/>
    <w:rsid w:val="00AF5B97"/>
    <w:rsid w:val="00AF5E8A"/>
    <w:rsid w:val="00AF5F45"/>
    <w:rsid w:val="00AF7153"/>
    <w:rsid w:val="00AF7175"/>
    <w:rsid w:val="00AF7176"/>
    <w:rsid w:val="00AF72E0"/>
    <w:rsid w:val="00AF7382"/>
    <w:rsid w:val="00AF7870"/>
    <w:rsid w:val="00AF7FF5"/>
    <w:rsid w:val="00B00089"/>
    <w:rsid w:val="00B001D4"/>
    <w:rsid w:val="00B0094B"/>
    <w:rsid w:val="00B00DBE"/>
    <w:rsid w:val="00B0112E"/>
    <w:rsid w:val="00B014C7"/>
    <w:rsid w:val="00B0178B"/>
    <w:rsid w:val="00B02028"/>
    <w:rsid w:val="00B021A2"/>
    <w:rsid w:val="00B02AFB"/>
    <w:rsid w:val="00B02B15"/>
    <w:rsid w:val="00B02B1F"/>
    <w:rsid w:val="00B02B3A"/>
    <w:rsid w:val="00B02C06"/>
    <w:rsid w:val="00B02E22"/>
    <w:rsid w:val="00B031A8"/>
    <w:rsid w:val="00B03371"/>
    <w:rsid w:val="00B03E6C"/>
    <w:rsid w:val="00B03FBE"/>
    <w:rsid w:val="00B041B9"/>
    <w:rsid w:val="00B04A6E"/>
    <w:rsid w:val="00B050D6"/>
    <w:rsid w:val="00B05441"/>
    <w:rsid w:val="00B0549C"/>
    <w:rsid w:val="00B054E3"/>
    <w:rsid w:val="00B0586C"/>
    <w:rsid w:val="00B059FD"/>
    <w:rsid w:val="00B05BE2"/>
    <w:rsid w:val="00B05C2C"/>
    <w:rsid w:val="00B0648F"/>
    <w:rsid w:val="00B07133"/>
    <w:rsid w:val="00B076BC"/>
    <w:rsid w:val="00B078D7"/>
    <w:rsid w:val="00B07FC6"/>
    <w:rsid w:val="00B103B6"/>
    <w:rsid w:val="00B10579"/>
    <w:rsid w:val="00B10641"/>
    <w:rsid w:val="00B10E3A"/>
    <w:rsid w:val="00B10F19"/>
    <w:rsid w:val="00B11098"/>
    <w:rsid w:val="00B110A9"/>
    <w:rsid w:val="00B113AA"/>
    <w:rsid w:val="00B1148E"/>
    <w:rsid w:val="00B117F5"/>
    <w:rsid w:val="00B11900"/>
    <w:rsid w:val="00B11B27"/>
    <w:rsid w:val="00B11C85"/>
    <w:rsid w:val="00B11CDF"/>
    <w:rsid w:val="00B11CF3"/>
    <w:rsid w:val="00B1205B"/>
    <w:rsid w:val="00B121DF"/>
    <w:rsid w:val="00B1231B"/>
    <w:rsid w:val="00B12510"/>
    <w:rsid w:val="00B125EF"/>
    <w:rsid w:val="00B12A7D"/>
    <w:rsid w:val="00B12DD4"/>
    <w:rsid w:val="00B1328D"/>
    <w:rsid w:val="00B14041"/>
    <w:rsid w:val="00B1413A"/>
    <w:rsid w:val="00B1434C"/>
    <w:rsid w:val="00B14A17"/>
    <w:rsid w:val="00B154F6"/>
    <w:rsid w:val="00B1569B"/>
    <w:rsid w:val="00B156F1"/>
    <w:rsid w:val="00B15776"/>
    <w:rsid w:val="00B157AB"/>
    <w:rsid w:val="00B15BEF"/>
    <w:rsid w:val="00B16471"/>
    <w:rsid w:val="00B1654B"/>
    <w:rsid w:val="00B168E7"/>
    <w:rsid w:val="00B16AAD"/>
    <w:rsid w:val="00B16AD7"/>
    <w:rsid w:val="00B17143"/>
    <w:rsid w:val="00B17274"/>
    <w:rsid w:val="00B173C2"/>
    <w:rsid w:val="00B176A6"/>
    <w:rsid w:val="00B17828"/>
    <w:rsid w:val="00B17999"/>
    <w:rsid w:val="00B179CD"/>
    <w:rsid w:val="00B200BB"/>
    <w:rsid w:val="00B202D7"/>
    <w:rsid w:val="00B20304"/>
    <w:rsid w:val="00B207F0"/>
    <w:rsid w:val="00B20AB4"/>
    <w:rsid w:val="00B20D78"/>
    <w:rsid w:val="00B2136F"/>
    <w:rsid w:val="00B214EB"/>
    <w:rsid w:val="00B215FA"/>
    <w:rsid w:val="00B21988"/>
    <w:rsid w:val="00B21D14"/>
    <w:rsid w:val="00B21D93"/>
    <w:rsid w:val="00B21E1D"/>
    <w:rsid w:val="00B2229B"/>
    <w:rsid w:val="00B22323"/>
    <w:rsid w:val="00B22560"/>
    <w:rsid w:val="00B225FD"/>
    <w:rsid w:val="00B2297E"/>
    <w:rsid w:val="00B229A0"/>
    <w:rsid w:val="00B22E9C"/>
    <w:rsid w:val="00B23019"/>
    <w:rsid w:val="00B23361"/>
    <w:rsid w:val="00B233CE"/>
    <w:rsid w:val="00B2350B"/>
    <w:rsid w:val="00B239EA"/>
    <w:rsid w:val="00B23A3B"/>
    <w:rsid w:val="00B23E47"/>
    <w:rsid w:val="00B2438C"/>
    <w:rsid w:val="00B24A5E"/>
    <w:rsid w:val="00B24E1E"/>
    <w:rsid w:val="00B24E9C"/>
    <w:rsid w:val="00B2524A"/>
    <w:rsid w:val="00B254D3"/>
    <w:rsid w:val="00B255DA"/>
    <w:rsid w:val="00B256E3"/>
    <w:rsid w:val="00B25BEF"/>
    <w:rsid w:val="00B25C76"/>
    <w:rsid w:val="00B25F8F"/>
    <w:rsid w:val="00B2617E"/>
    <w:rsid w:val="00B262E6"/>
    <w:rsid w:val="00B2648F"/>
    <w:rsid w:val="00B26A01"/>
    <w:rsid w:val="00B26A0F"/>
    <w:rsid w:val="00B26C48"/>
    <w:rsid w:val="00B26CE5"/>
    <w:rsid w:val="00B2722F"/>
    <w:rsid w:val="00B27850"/>
    <w:rsid w:val="00B27AD2"/>
    <w:rsid w:val="00B27F0A"/>
    <w:rsid w:val="00B302AE"/>
    <w:rsid w:val="00B3033F"/>
    <w:rsid w:val="00B305CB"/>
    <w:rsid w:val="00B30A0B"/>
    <w:rsid w:val="00B30B93"/>
    <w:rsid w:val="00B30DEB"/>
    <w:rsid w:val="00B30F75"/>
    <w:rsid w:val="00B31389"/>
    <w:rsid w:val="00B3176A"/>
    <w:rsid w:val="00B31CBE"/>
    <w:rsid w:val="00B31E94"/>
    <w:rsid w:val="00B32016"/>
    <w:rsid w:val="00B3289C"/>
    <w:rsid w:val="00B337CE"/>
    <w:rsid w:val="00B33821"/>
    <w:rsid w:val="00B33AA6"/>
    <w:rsid w:val="00B33B2F"/>
    <w:rsid w:val="00B33FDA"/>
    <w:rsid w:val="00B34D49"/>
    <w:rsid w:val="00B34DCA"/>
    <w:rsid w:val="00B352CF"/>
    <w:rsid w:val="00B358D0"/>
    <w:rsid w:val="00B3595E"/>
    <w:rsid w:val="00B35B35"/>
    <w:rsid w:val="00B35F07"/>
    <w:rsid w:val="00B360B5"/>
    <w:rsid w:val="00B366C4"/>
    <w:rsid w:val="00B36946"/>
    <w:rsid w:val="00B36C75"/>
    <w:rsid w:val="00B36E45"/>
    <w:rsid w:val="00B37119"/>
    <w:rsid w:val="00B37540"/>
    <w:rsid w:val="00B37A9E"/>
    <w:rsid w:val="00B37DFB"/>
    <w:rsid w:val="00B37F15"/>
    <w:rsid w:val="00B40530"/>
    <w:rsid w:val="00B409F0"/>
    <w:rsid w:val="00B40A89"/>
    <w:rsid w:val="00B40EB0"/>
    <w:rsid w:val="00B410E6"/>
    <w:rsid w:val="00B4140A"/>
    <w:rsid w:val="00B414D9"/>
    <w:rsid w:val="00B415F1"/>
    <w:rsid w:val="00B417CB"/>
    <w:rsid w:val="00B41826"/>
    <w:rsid w:val="00B41850"/>
    <w:rsid w:val="00B419C2"/>
    <w:rsid w:val="00B41E03"/>
    <w:rsid w:val="00B422A7"/>
    <w:rsid w:val="00B4276A"/>
    <w:rsid w:val="00B428E4"/>
    <w:rsid w:val="00B4290F"/>
    <w:rsid w:val="00B429B5"/>
    <w:rsid w:val="00B4353F"/>
    <w:rsid w:val="00B4395E"/>
    <w:rsid w:val="00B43BF4"/>
    <w:rsid w:val="00B44230"/>
    <w:rsid w:val="00B4471F"/>
    <w:rsid w:val="00B44896"/>
    <w:rsid w:val="00B44A02"/>
    <w:rsid w:val="00B44B4F"/>
    <w:rsid w:val="00B44F0A"/>
    <w:rsid w:val="00B450FC"/>
    <w:rsid w:val="00B45138"/>
    <w:rsid w:val="00B4540C"/>
    <w:rsid w:val="00B45558"/>
    <w:rsid w:val="00B457F2"/>
    <w:rsid w:val="00B45A47"/>
    <w:rsid w:val="00B46052"/>
    <w:rsid w:val="00B460A0"/>
    <w:rsid w:val="00B462F3"/>
    <w:rsid w:val="00B4651D"/>
    <w:rsid w:val="00B46752"/>
    <w:rsid w:val="00B46FAD"/>
    <w:rsid w:val="00B47273"/>
    <w:rsid w:val="00B4780E"/>
    <w:rsid w:val="00B47A37"/>
    <w:rsid w:val="00B502CC"/>
    <w:rsid w:val="00B50339"/>
    <w:rsid w:val="00B50397"/>
    <w:rsid w:val="00B504B5"/>
    <w:rsid w:val="00B5057C"/>
    <w:rsid w:val="00B50825"/>
    <w:rsid w:val="00B50881"/>
    <w:rsid w:val="00B511FF"/>
    <w:rsid w:val="00B513EE"/>
    <w:rsid w:val="00B514F8"/>
    <w:rsid w:val="00B517A8"/>
    <w:rsid w:val="00B51CA4"/>
    <w:rsid w:val="00B51D70"/>
    <w:rsid w:val="00B52466"/>
    <w:rsid w:val="00B524C4"/>
    <w:rsid w:val="00B52530"/>
    <w:rsid w:val="00B525E9"/>
    <w:rsid w:val="00B52696"/>
    <w:rsid w:val="00B52D75"/>
    <w:rsid w:val="00B532AB"/>
    <w:rsid w:val="00B53319"/>
    <w:rsid w:val="00B5398A"/>
    <w:rsid w:val="00B539F8"/>
    <w:rsid w:val="00B53EB1"/>
    <w:rsid w:val="00B53F3C"/>
    <w:rsid w:val="00B54830"/>
    <w:rsid w:val="00B54E50"/>
    <w:rsid w:val="00B54E7C"/>
    <w:rsid w:val="00B54F8A"/>
    <w:rsid w:val="00B55739"/>
    <w:rsid w:val="00B55E68"/>
    <w:rsid w:val="00B55F8D"/>
    <w:rsid w:val="00B562EC"/>
    <w:rsid w:val="00B56666"/>
    <w:rsid w:val="00B56E83"/>
    <w:rsid w:val="00B57129"/>
    <w:rsid w:val="00B57203"/>
    <w:rsid w:val="00B57573"/>
    <w:rsid w:val="00B5775E"/>
    <w:rsid w:val="00B577F4"/>
    <w:rsid w:val="00B57A1C"/>
    <w:rsid w:val="00B57A58"/>
    <w:rsid w:val="00B57E4E"/>
    <w:rsid w:val="00B57E77"/>
    <w:rsid w:val="00B57EE7"/>
    <w:rsid w:val="00B60C0A"/>
    <w:rsid w:val="00B61A6B"/>
    <w:rsid w:val="00B61B8B"/>
    <w:rsid w:val="00B61BF6"/>
    <w:rsid w:val="00B61CA9"/>
    <w:rsid w:val="00B61D8D"/>
    <w:rsid w:val="00B61E99"/>
    <w:rsid w:val="00B61E9C"/>
    <w:rsid w:val="00B62226"/>
    <w:rsid w:val="00B626DF"/>
    <w:rsid w:val="00B63929"/>
    <w:rsid w:val="00B63989"/>
    <w:rsid w:val="00B6399D"/>
    <w:rsid w:val="00B63AD2"/>
    <w:rsid w:val="00B63E67"/>
    <w:rsid w:val="00B63E88"/>
    <w:rsid w:val="00B6413A"/>
    <w:rsid w:val="00B641BC"/>
    <w:rsid w:val="00B64459"/>
    <w:rsid w:val="00B644A5"/>
    <w:rsid w:val="00B64F35"/>
    <w:rsid w:val="00B65481"/>
    <w:rsid w:val="00B656DD"/>
    <w:rsid w:val="00B660DC"/>
    <w:rsid w:val="00B661D5"/>
    <w:rsid w:val="00B664D9"/>
    <w:rsid w:val="00B66599"/>
    <w:rsid w:val="00B6735F"/>
    <w:rsid w:val="00B67651"/>
    <w:rsid w:val="00B67706"/>
    <w:rsid w:val="00B678EE"/>
    <w:rsid w:val="00B67D50"/>
    <w:rsid w:val="00B67E9C"/>
    <w:rsid w:val="00B701FF"/>
    <w:rsid w:val="00B704CD"/>
    <w:rsid w:val="00B70E4F"/>
    <w:rsid w:val="00B715A2"/>
    <w:rsid w:val="00B7160F"/>
    <w:rsid w:val="00B716F8"/>
    <w:rsid w:val="00B71829"/>
    <w:rsid w:val="00B71B72"/>
    <w:rsid w:val="00B71DF6"/>
    <w:rsid w:val="00B722CB"/>
    <w:rsid w:val="00B725F9"/>
    <w:rsid w:val="00B726CF"/>
    <w:rsid w:val="00B7281B"/>
    <w:rsid w:val="00B72960"/>
    <w:rsid w:val="00B72B20"/>
    <w:rsid w:val="00B72BE1"/>
    <w:rsid w:val="00B72E56"/>
    <w:rsid w:val="00B730BF"/>
    <w:rsid w:val="00B73E0A"/>
    <w:rsid w:val="00B73FC6"/>
    <w:rsid w:val="00B74260"/>
    <w:rsid w:val="00B74414"/>
    <w:rsid w:val="00B74819"/>
    <w:rsid w:val="00B7495D"/>
    <w:rsid w:val="00B750F8"/>
    <w:rsid w:val="00B752FD"/>
    <w:rsid w:val="00B75388"/>
    <w:rsid w:val="00B756AD"/>
    <w:rsid w:val="00B75712"/>
    <w:rsid w:val="00B75780"/>
    <w:rsid w:val="00B75E32"/>
    <w:rsid w:val="00B76411"/>
    <w:rsid w:val="00B76DE4"/>
    <w:rsid w:val="00B76E57"/>
    <w:rsid w:val="00B77170"/>
    <w:rsid w:val="00B77EB9"/>
    <w:rsid w:val="00B8016D"/>
    <w:rsid w:val="00B8018C"/>
    <w:rsid w:val="00B806C8"/>
    <w:rsid w:val="00B80EE5"/>
    <w:rsid w:val="00B811B6"/>
    <w:rsid w:val="00B814B6"/>
    <w:rsid w:val="00B81539"/>
    <w:rsid w:val="00B81616"/>
    <w:rsid w:val="00B81654"/>
    <w:rsid w:val="00B8189A"/>
    <w:rsid w:val="00B81C30"/>
    <w:rsid w:val="00B81C6E"/>
    <w:rsid w:val="00B81C76"/>
    <w:rsid w:val="00B81DD6"/>
    <w:rsid w:val="00B81E0F"/>
    <w:rsid w:val="00B81E62"/>
    <w:rsid w:val="00B8203A"/>
    <w:rsid w:val="00B8226C"/>
    <w:rsid w:val="00B82E7B"/>
    <w:rsid w:val="00B83271"/>
    <w:rsid w:val="00B83B9A"/>
    <w:rsid w:val="00B83D5F"/>
    <w:rsid w:val="00B83E92"/>
    <w:rsid w:val="00B8457C"/>
    <w:rsid w:val="00B84770"/>
    <w:rsid w:val="00B847D5"/>
    <w:rsid w:val="00B848DD"/>
    <w:rsid w:val="00B84B22"/>
    <w:rsid w:val="00B84B6F"/>
    <w:rsid w:val="00B84BD3"/>
    <w:rsid w:val="00B84E5A"/>
    <w:rsid w:val="00B84EB8"/>
    <w:rsid w:val="00B84F4D"/>
    <w:rsid w:val="00B85009"/>
    <w:rsid w:val="00B85306"/>
    <w:rsid w:val="00B85329"/>
    <w:rsid w:val="00B8586E"/>
    <w:rsid w:val="00B859CF"/>
    <w:rsid w:val="00B85C92"/>
    <w:rsid w:val="00B85D48"/>
    <w:rsid w:val="00B85DD7"/>
    <w:rsid w:val="00B86406"/>
    <w:rsid w:val="00B86B30"/>
    <w:rsid w:val="00B86BA8"/>
    <w:rsid w:val="00B86DB2"/>
    <w:rsid w:val="00B86F10"/>
    <w:rsid w:val="00B871EA"/>
    <w:rsid w:val="00B873B2"/>
    <w:rsid w:val="00B87D37"/>
    <w:rsid w:val="00B87F2D"/>
    <w:rsid w:val="00B901B6"/>
    <w:rsid w:val="00B90F41"/>
    <w:rsid w:val="00B910A9"/>
    <w:rsid w:val="00B91102"/>
    <w:rsid w:val="00B91251"/>
    <w:rsid w:val="00B91B46"/>
    <w:rsid w:val="00B91ED8"/>
    <w:rsid w:val="00B91F78"/>
    <w:rsid w:val="00B92167"/>
    <w:rsid w:val="00B9242D"/>
    <w:rsid w:val="00B92535"/>
    <w:rsid w:val="00B926D5"/>
    <w:rsid w:val="00B927B9"/>
    <w:rsid w:val="00B92B34"/>
    <w:rsid w:val="00B92C38"/>
    <w:rsid w:val="00B92C99"/>
    <w:rsid w:val="00B93DA4"/>
    <w:rsid w:val="00B94BD0"/>
    <w:rsid w:val="00B94E69"/>
    <w:rsid w:val="00B95F2B"/>
    <w:rsid w:val="00B960E3"/>
    <w:rsid w:val="00B9635C"/>
    <w:rsid w:val="00B967F3"/>
    <w:rsid w:val="00B96931"/>
    <w:rsid w:val="00B96B3D"/>
    <w:rsid w:val="00B9798B"/>
    <w:rsid w:val="00B97A3E"/>
    <w:rsid w:val="00B97C55"/>
    <w:rsid w:val="00BA0928"/>
    <w:rsid w:val="00BA101A"/>
    <w:rsid w:val="00BA1038"/>
    <w:rsid w:val="00BA1266"/>
    <w:rsid w:val="00BA1384"/>
    <w:rsid w:val="00BA1EB9"/>
    <w:rsid w:val="00BA2049"/>
    <w:rsid w:val="00BA20F2"/>
    <w:rsid w:val="00BA218C"/>
    <w:rsid w:val="00BA23C3"/>
    <w:rsid w:val="00BA26B8"/>
    <w:rsid w:val="00BA28BF"/>
    <w:rsid w:val="00BA29F2"/>
    <w:rsid w:val="00BA2AE4"/>
    <w:rsid w:val="00BA2B34"/>
    <w:rsid w:val="00BA3354"/>
    <w:rsid w:val="00BA370C"/>
    <w:rsid w:val="00BA3C16"/>
    <w:rsid w:val="00BA4150"/>
    <w:rsid w:val="00BA41C1"/>
    <w:rsid w:val="00BA425A"/>
    <w:rsid w:val="00BA47BD"/>
    <w:rsid w:val="00BA4930"/>
    <w:rsid w:val="00BA4B62"/>
    <w:rsid w:val="00BA4BA5"/>
    <w:rsid w:val="00BA4C2A"/>
    <w:rsid w:val="00BA501F"/>
    <w:rsid w:val="00BA5076"/>
    <w:rsid w:val="00BA51F7"/>
    <w:rsid w:val="00BA526F"/>
    <w:rsid w:val="00BA5B33"/>
    <w:rsid w:val="00BA5C58"/>
    <w:rsid w:val="00BA5DCB"/>
    <w:rsid w:val="00BA5FEF"/>
    <w:rsid w:val="00BA6B8D"/>
    <w:rsid w:val="00BA6CFA"/>
    <w:rsid w:val="00BA6EFC"/>
    <w:rsid w:val="00BA7143"/>
    <w:rsid w:val="00BA7D98"/>
    <w:rsid w:val="00BA7EC7"/>
    <w:rsid w:val="00BB01F0"/>
    <w:rsid w:val="00BB06C0"/>
    <w:rsid w:val="00BB0731"/>
    <w:rsid w:val="00BB15B8"/>
    <w:rsid w:val="00BB15EA"/>
    <w:rsid w:val="00BB1674"/>
    <w:rsid w:val="00BB1D52"/>
    <w:rsid w:val="00BB1F68"/>
    <w:rsid w:val="00BB20B6"/>
    <w:rsid w:val="00BB25AB"/>
    <w:rsid w:val="00BB2BE1"/>
    <w:rsid w:val="00BB2CC9"/>
    <w:rsid w:val="00BB3066"/>
    <w:rsid w:val="00BB30C8"/>
    <w:rsid w:val="00BB3A5A"/>
    <w:rsid w:val="00BB4476"/>
    <w:rsid w:val="00BB47D2"/>
    <w:rsid w:val="00BB4D2A"/>
    <w:rsid w:val="00BB4D47"/>
    <w:rsid w:val="00BB4E28"/>
    <w:rsid w:val="00BB4E8F"/>
    <w:rsid w:val="00BB51D6"/>
    <w:rsid w:val="00BB5316"/>
    <w:rsid w:val="00BB5356"/>
    <w:rsid w:val="00BB563C"/>
    <w:rsid w:val="00BB58CD"/>
    <w:rsid w:val="00BB5A58"/>
    <w:rsid w:val="00BB5CD3"/>
    <w:rsid w:val="00BB5DC3"/>
    <w:rsid w:val="00BB5F6A"/>
    <w:rsid w:val="00BB635C"/>
    <w:rsid w:val="00BB63C7"/>
    <w:rsid w:val="00BB67CC"/>
    <w:rsid w:val="00BB6A16"/>
    <w:rsid w:val="00BB6D3F"/>
    <w:rsid w:val="00BB6E29"/>
    <w:rsid w:val="00BB6F99"/>
    <w:rsid w:val="00BB70BD"/>
    <w:rsid w:val="00BB71BA"/>
    <w:rsid w:val="00BB76D3"/>
    <w:rsid w:val="00BB7BCD"/>
    <w:rsid w:val="00BC0858"/>
    <w:rsid w:val="00BC0F75"/>
    <w:rsid w:val="00BC10FB"/>
    <w:rsid w:val="00BC15B3"/>
    <w:rsid w:val="00BC1AB5"/>
    <w:rsid w:val="00BC1CA9"/>
    <w:rsid w:val="00BC1EBE"/>
    <w:rsid w:val="00BC2038"/>
    <w:rsid w:val="00BC20C6"/>
    <w:rsid w:val="00BC240E"/>
    <w:rsid w:val="00BC2B89"/>
    <w:rsid w:val="00BC2D9F"/>
    <w:rsid w:val="00BC2E05"/>
    <w:rsid w:val="00BC2FBF"/>
    <w:rsid w:val="00BC32F4"/>
    <w:rsid w:val="00BC3305"/>
    <w:rsid w:val="00BC3376"/>
    <w:rsid w:val="00BC3529"/>
    <w:rsid w:val="00BC371A"/>
    <w:rsid w:val="00BC3948"/>
    <w:rsid w:val="00BC3B6B"/>
    <w:rsid w:val="00BC4830"/>
    <w:rsid w:val="00BC50D4"/>
    <w:rsid w:val="00BC54D6"/>
    <w:rsid w:val="00BC54F7"/>
    <w:rsid w:val="00BC568F"/>
    <w:rsid w:val="00BC58D5"/>
    <w:rsid w:val="00BC5C38"/>
    <w:rsid w:val="00BC6150"/>
    <w:rsid w:val="00BC6281"/>
    <w:rsid w:val="00BC6D0A"/>
    <w:rsid w:val="00BC6E48"/>
    <w:rsid w:val="00BD0048"/>
    <w:rsid w:val="00BD0400"/>
    <w:rsid w:val="00BD09A8"/>
    <w:rsid w:val="00BD0B2B"/>
    <w:rsid w:val="00BD0DC8"/>
    <w:rsid w:val="00BD1068"/>
    <w:rsid w:val="00BD118D"/>
    <w:rsid w:val="00BD13CE"/>
    <w:rsid w:val="00BD146E"/>
    <w:rsid w:val="00BD14BD"/>
    <w:rsid w:val="00BD14C0"/>
    <w:rsid w:val="00BD14F6"/>
    <w:rsid w:val="00BD15FB"/>
    <w:rsid w:val="00BD168D"/>
    <w:rsid w:val="00BD16E7"/>
    <w:rsid w:val="00BD178A"/>
    <w:rsid w:val="00BD1BFE"/>
    <w:rsid w:val="00BD1DE5"/>
    <w:rsid w:val="00BD2182"/>
    <w:rsid w:val="00BD2556"/>
    <w:rsid w:val="00BD284D"/>
    <w:rsid w:val="00BD2F57"/>
    <w:rsid w:val="00BD2F59"/>
    <w:rsid w:val="00BD3063"/>
    <w:rsid w:val="00BD3210"/>
    <w:rsid w:val="00BD3213"/>
    <w:rsid w:val="00BD3A2C"/>
    <w:rsid w:val="00BD3EC5"/>
    <w:rsid w:val="00BD3F1A"/>
    <w:rsid w:val="00BD41A4"/>
    <w:rsid w:val="00BD452A"/>
    <w:rsid w:val="00BD4A34"/>
    <w:rsid w:val="00BD4C2F"/>
    <w:rsid w:val="00BD4FA6"/>
    <w:rsid w:val="00BD52E6"/>
    <w:rsid w:val="00BD53CB"/>
    <w:rsid w:val="00BD58B1"/>
    <w:rsid w:val="00BD62AE"/>
    <w:rsid w:val="00BD6696"/>
    <w:rsid w:val="00BD6BCE"/>
    <w:rsid w:val="00BD6FA0"/>
    <w:rsid w:val="00BD6FD1"/>
    <w:rsid w:val="00BD7082"/>
    <w:rsid w:val="00BD738C"/>
    <w:rsid w:val="00BD7B0D"/>
    <w:rsid w:val="00BE005F"/>
    <w:rsid w:val="00BE00E6"/>
    <w:rsid w:val="00BE0991"/>
    <w:rsid w:val="00BE0F28"/>
    <w:rsid w:val="00BE10AD"/>
    <w:rsid w:val="00BE1343"/>
    <w:rsid w:val="00BE16AF"/>
    <w:rsid w:val="00BE175E"/>
    <w:rsid w:val="00BE1B16"/>
    <w:rsid w:val="00BE1B23"/>
    <w:rsid w:val="00BE1DCC"/>
    <w:rsid w:val="00BE2389"/>
    <w:rsid w:val="00BE2479"/>
    <w:rsid w:val="00BE26A8"/>
    <w:rsid w:val="00BE29BE"/>
    <w:rsid w:val="00BE2EAA"/>
    <w:rsid w:val="00BE3103"/>
    <w:rsid w:val="00BE374B"/>
    <w:rsid w:val="00BE384E"/>
    <w:rsid w:val="00BE39F5"/>
    <w:rsid w:val="00BE3B42"/>
    <w:rsid w:val="00BE3D0D"/>
    <w:rsid w:val="00BE3D52"/>
    <w:rsid w:val="00BE3E70"/>
    <w:rsid w:val="00BE3F44"/>
    <w:rsid w:val="00BE4281"/>
    <w:rsid w:val="00BE44A0"/>
    <w:rsid w:val="00BE44E1"/>
    <w:rsid w:val="00BE4E26"/>
    <w:rsid w:val="00BE55D9"/>
    <w:rsid w:val="00BE584A"/>
    <w:rsid w:val="00BE5A48"/>
    <w:rsid w:val="00BE5E7C"/>
    <w:rsid w:val="00BE6298"/>
    <w:rsid w:val="00BE649D"/>
    <w:rsid w:val="00BE6546"/>
    <w:rsid w:val="00BE6712"/>
    <w:rsid w:val="00BE6948"/>
    <w:rsid w:val="00BE6EE3"/>
    <w:rsid w:val="00BE704A"/>
    <w:rsid w:val="00BE7280"/>
    <w:rsid w:val="00BE76C2"/>
    <w:rsid w:val="00BE7D02"/>
    <w:rsid w:val="00BE7D4D"/>
    <w:rsid w:val="00BF010E"/>
    <w:rsid w:val="00BF0251"/>
    <w:rsid w:val="00BF0484"/>
    <w:rsid w:val="00BF08D8"/>
    <w:rsid w:val="00BF0947"/>
    <w:rsid w:val="00BF09E3"/>
    <w:rsid w:val="00BF0B29"/>
    <w:rsid w:val="00BF133A"/>
    <w:rsid w:val="00BF15B9"/>
    <w:rsid w:val="00BF2A3D"/>
    <w:rsid w:val="00BF2F2A"/>
    <w:rsid w:val="00BF3003"/>
    <w:rsid w:val="00BF31D3"/>
    <w:rsid w:val="00BF4085"/>
    <w:rsid w:val="00BF4700"/>
    <w:rsid w:val="00BF47B7"/>
    <w:rsid w:val="00BF4914"/>
    <w:rsid w:val="00BF4EAE"/>
    <w:rsid w:val="00BF51C8"/>
    <w:rsid w:val="00BF530A"/>
    <w:rsid w:val="00BF5745"/>
    <w:rsid w:val="00BF5800"/>
    <w:rsid w:val="00BF6030"/>
    <w:rsid w:val="00BF68C2"/>
    <w:rsid w:val="00BF720E"/>
    <w:rsid w:val="00BF746E"/>
    <w:rsid w:val="00BF7809"/>
    <w:rsid w:val="00BF78AD"/>
    <w:rsid w:val="00BF794D"/>
    <w:rsid w:val="00BF7B19"/>
    <w:rsid w:val="00BF7B37"/>
    <w:rsid w:val="00BF7B63"/>
    <w:rsid w:val="00C0024D"/>
    <w:rsid w:val="00C003E8"/>
    <w:rsid w:val="00C00F7F"/>
    <w:rsid w:val="00C0108F"/>
    <w:rsid w:val="00C01129"/>
    <w:rsid w:val="00C011EC"/>
    <w:rsid w:val="00C0260D"/>
    <w:rsid w:val="00C026B6"/>
    <w:rsid w:val="00C02788"/>
    <w:rsid w:val="00C02D4A"/>
    <w:rsid w:val="00C02D5F"/>
    <w:rsid w:val="00C03348"/>
    <w:rsid w:val="00C0337F"/>
    <w:rsid w:val="00C03436"/>
    <w:rsid w:val="00C03D0A"/>
    <w:rsid w:val="00C03FE5"/>
    <w:rsid w:val="00C0424D"/>
    <w:rsid w:val="00C0458D"/>
    <w:rsid w:val="00C04EF4"/>
    <w:rsid w:val="00C055FF"/>
    <w:rsid w:val="00C05728"/>
    <w:rsid w:val="00C05C7D"/>
    <w:rsid w:val="00C05E94"/>
    <w:rsid w:val="00C0618B"/>
    <w:rsid w:val="00C063E2"/>
    <w:rsid w:val="00C0642F"/>
    <w:rsid w:val="00C06537"/>
    <w:rsid w:val="00C06817"/>
    <w:rsid w:val="00C06866"/>
    <w:rsid w:val="00C069B1"/>
    <w:rsid w:val="00C06DF6"/>
    <w:rsid w:val="00C06F1C"/>
    <w:rsid w:val="00C06F6F"/>
    <w:rsid w:val="00C0711F"/>
    <w:rsid w:val="00C0777A"/>
    <w:rsid w:val="00C07929"/>
    <w:rsid w:val="00C07CB3"/>
    <w:rsid w:val="00C1006D"/>
    <w:rsid w:val="00C10179"/>
    <w:rsid w:val="00C102C6"/>
    <w:rsid w:val="00C1040F"/>
    <w:rsid w:val="00C10FD6"/>
    <w:rsid w:val="00C110B3"/>
    <w:rsid w:val="00C1153D"/>
    <w:rsid w:val="00C115FD"/>
    <w:rsid w:val="00C11CA1"/>
    <w:rsid w:val="00C13128"/>
    <w:rsid w:val="00C1317A"/>
    <w:rsid w:val="00C13420"/>
    <w:rsid w:val="00C1348B"/>
    <w:rsid w:val="00C1383B"/>
    <w:rsid w:val="00C13ACC"/>
    <w:rsid w:val="00C13B60"/>
    <w:rsid w:val="00C13FCE"/>
    <w:rsid w:val="00C1422D"/>
    <w:rsid w:val="00C143D8"/>
    <w:rsid w:val="00C1451A"/>
    <w:rsid w:val="00C14573"/>
    <w:rsid w:val="00C14AA0"/>
    <w:rsid w:val="00C150CA"/>
    <w:rsid w:val="00C157D2"/>
    <w:rsid w:val="00C159C5"/>
    <w:rsid w:val="00C15B7A"/>
    <w:rsid w:val="00C15B96"/>
    <w:rsid w:val="00C15C0F"/>
    <w:rsid w:val="00C15C75"/>
    <w:rsid w:val="00C162F0"/>
    <w:rsid w:val="00C168ED"/>
    <w:rsid w:val="00C16CC3"/>
    <w:rsid w:val="00C16DB4"/>
    <w:rsid w:val="00C171D4"/>
    <w:rsid w:val="00C172AB"/>
    <w:rsid w:val="00C17657"/>
    <w:rsid w:val="00C17888"/>
    <w:rsid w:val="00C17D08"/>
    <w:rsid w:val="00C17D50"/>
    <w:rsid w:val="00C17D99"/>
    <w:rsid w:val="00C17FDA"/>
    <w:rsid w:val="00C20C5E"/>
    <w:rsid w:val="00C2158E"/>
    <w:rsid w:val="00C21A91"/>
    <w:rsid w:val="00C21D5E"/>
    <w:rsid w:val="00C22164"/>
    <w:rsid w:val="00C221C7"/>
    <w:rsid w:val="00C22503"/>
    <w:rsid w:val="00C2273F"/>
    <w:rsid w:val="00C22957"/>
    <w:rsid w:val="00C22D3E"/>
    <w:rsid w:val="00C23045"/>
    <w:rsid w:val="00C23750"/>
    <w:rsid w:val="00C237AC"/>
    <w:rsid w:val="00C2385C"/>
    <w:rsid w:val="00C23BEC"/>
    <w:rsid w:val="00C23CB4"/>
    <w:rsid w:val="00C24422"/>
    <w:rsid w:val="00C245AD"/>
    <w:rsid w:val="00C24CCA"/>
    <w:rsid w:val="00C24E9D"/>
    <w:rsid w:val="00C252FB"/>
    <w:rsid w:val="00C257FC"/>
    <w:rsid w:val="00C25832"/>
    <w:rsid w:val="00C258A6"/>
    <w:rsid w:val="00C25C17"/>
    <w:rsid w:val="00C25D39"/>
    <w:rsid w:val="00C25E4A"/>
    <w:rsid w:val="00C26324"/>
    <w:rsid w:val="00C265CC"/>
    <w:rsid w:val="00C266DD"/>
    <w:rsid w:val="00C26C2A"/>
    <w:rsid w:val="00C26D5F"/>
    <w:rsid w:val="00C272F8"/>
    <w:rsid w:val="00C2756D"/>
    <w:rsid w:val="00C27E5C"/>
    <w:rsid w:val="00C30158"/>
    <w:rsid w:val="00C30248"/>
    <w:rsid w:val="00C30485"/>
    <w:rsid w:val="00C3089E"/>
    <w:rsid w:val="00C308FF"/>
    <w:rsid w:val="00C31372"/>
    <w:rsid w:val="00C31392"/>
    <w:rsid w:val="00C31F2E"/>
    <w:rsid w:val="00C32409"/>
    <w:rsid w:val="00C32419"/>
    <w:rsid w:val="00C327F0"/>
    <w:rsid w:val="00C328FA"/>
    <w:rsid w:val="00C32C47"/>
    <w:rsid w:val="00C32D44"/>
    <w:rsid w:val="00C32DA4"/>
    <w:rsid w:val="00C330A4"/>
    <w:rsid w:val="00C33548"/>
    <w:rsid w:val="00C33B48"/>
    <w:rsid w:val="00C34501"/>
    <w:rsid w:val="00C3462F"/>
    <w:rsid w:val="00C3469E"/>
    <w:rsid w:val="00C3472B"/>
    <w:rsid w:val="00C34A4D"/>
    <w:rsid w:val="00C34CE3"/>
    <w:rsid w:val="00C34EBD"/>
    <w:rsid w:val="00C350F2"/>
    <w:rsid w:val="00C35234"/>
    <w:rsid w:val="00C3547E"/>
    <w:rsid w:val="00C35E9B"/>
    <w:rsid w:val="00C35FC8"/>
    <w:rsid w:val="00C35FF3"/>
    <w:rsid w:val="00C3644E"/>
    <w:rsid w:val="00C366AD"/>
    <w:rsid w:val="00C3686C"/>
    <w:rsid w:val="00C368C2"/>
    <w:rsid w:val="00C36A60"/>
    <w:rsid w:val="00C36B93"/>
    <w:rsid w:val="00C36D5D"/>
    <w:rsid w:val="00C36F34"/>
    <w:rsid w:val="00C37142"/>
    <w:rsid w:val="00C3714F"/>
    <w:rsid w:val="00C40047"/>
    <w:rsid w:val="00C40104"/>
    <w:rsid w:val="00C4082F"/>
    <w:rsid w:val="00C40DFD"/>
    <w:rsid w:val="00C40EA3"/>
    <w:rsid w:val="00C40EE6"/>
    <w:rsid w:val="00C41064"/>
    <w:rsid w:val="00C41244"/>
    <w:rsid w:val="00C41691"/>
    <w:rsid w:val="00C41FC1"/>
    <w:rsid w:val="00C42146"/>
    <w:rsid w:val="00C42351"/>
    <w:rsid w:val="00C42DC2"/>
    <w:rsid w:val="00C42E65"/>
    <w:rsid w:val="00C42ECD"/>
    <w:rsid w:val="00C42F32"/>
    <w:rsid w:val="00C43BF8"/>
    <w:rsid w:val="00C4404A"/>
    <w:rsid w:val="00C44522"/>
    <w:rsid w:val="00C44601"/>
    <w:rsid w:val="00C448BA"/>
    <w:rsid w:val="00C4499B"/>
    <w:rsid w:val="00C44A97"/>
    <w:rsid w:val="00C44C7F"/>
    <w:rsid w:val="00C44DDC"/>
    <w:rsid w:val="00C451E0"/>
    <w:rsid w:val="00C453F8"/>
    <w:rsid w:val="00C454EE"/>
    <w:rsid w:val="00C458AB"/>
    <w:rsid w:val="00C45A6A"/>
    <w:rsid w:val="00C45BBC"/>
    <w:rsid w:val="00C46224"/>
    <w:rsid w:val="00C462F1"/>
    <w:rsid w:val="00C4691B"/>
    <w:rsid w:val="00C46DFD"/>
    <w:rsid w:val="00C47021"/>
    <w:rsid w:val="00C471B9"/>
    <w:rsid w:val="00C471E1"/>
    <w:rsid w:val="00C47568"/>
    <w:rsid w:val="00C47A30"/>
    <w:rsid w:val="00C47D00"/>
    <w:rsid w:val="00C50171"/>
    <w:rsid w:val="00C504DE"/>
    <w:rsid w:val="00C50504"/>
    <w:rsid w:val="00C505CF"/>
    <w:rsid w:val="00C50654"/>
    <w:rsid w:val="00C50879"/>
    <w:rsid w:val="00C50ACA"/>
    <w:rsid w:val="00C50B5F"/>
    <w:rsid w:val="00C50CF9"/>
    <w:rsid w:val="00C50D43"/>
    <w:rsid w:val="00C50EB3"/>
    <w:rsid w:val="00C50F01"/>
    <w:rsid w:val="00C51195"/>
    <w:rsid w:val="00C513B8"/>
    <w:rsid w:val="00C51C53"/>
    <w:rsid w:val="00C51CEC"/>
    <w:rsid w:val="00C51E73"/>
    <w:rsid w:val="00C521ED"/>
    <w:rsid w:val="00C52F6E"/>
    <w:rsid w:val="00C5320F"/>
    <w:rsid w:val="00C53246"/>
    <w:rsid w:val="00C533C8"/>
    <w:rsid w:val="00C53486"/>
    <w:rsid w:val="00C5357D"/>
    <w:rsid w:val="00C53921"/>
    <w:rsid w:val="00C5433A"/>
    <w:rsid w:val="00C54522"/>
    <w:rsid w:val="00C54AF2"/>
    <w:rsid w:val="00C54E73"/>
    <w:rsid w:val="00C5517A"/>
    <w:rsid w:val="00C5537C"/>
    <w:rsid w:val="00C554F9"/>
    <w:rsid w:val="00C555CA"/>
    <w:rsid w:val="00C5575C"/>
    <w:rsid w:val="00C559B0"/>
    <w:rsid w:val="00C55AD0"/>
    <w:rsid w:val="00C55C1B"/>
    <w:rsid w:val="00C5627C"/>
    <w:rsid w:val="00C56A10"/>
    <w:rsid w:val="00C56CAE"/>
    <w:rsid w:val="00C56E6B"/>
    <w:rsid w:val="00C56FD0"/>
    <w:rsid w:val="00C5704E"/>
    <w:rsid w:val="00C572E8"/>
    <w:rsid w:val="00C57477"/>
    <w:rsid w:val="00C57966"/>
    <w:rsid w:val="00C57FDF"/>
    <w:rsid w:val="00C602FC"/>
    <w:rsid w:val="00C605F6"/>
    <w:rsid w:val="00C6075E"/>
    <w:rsid w:val="00C609E1"/>
    <w:rsid w:val="00C60EBE"/>
    <w:rsid w:val="00C60FB7"/>
    <w:rsid w:val="00C60FBA"/>
    <w:rsid w:val="00C6108C"/>
    <w:rsid w:val="00C61424"/>
    <w:rsid w:val="00C615E8"/>
    <w:rsid w:val="00C615F7"/>
    <w:rsid w:val="00C6163B"/>
    <w:rsid w:val="00C618BA"/>
    <w:rsid w:val="00C61BEA"/>
    <w:rsid w:val="00C62200"/>
    <w:rsid w:val="00C623DC"/>
    <w:rsid w:val="00C624D4"/>
    <w:rsid w:val="00C62C50"/>
    <w:rsid w:val="00C63352"/>
    <w:rsid w:val="00C633F1"/>
    <w:rsid w:val="00C63AFA"/>
    <w:rsid w:val="00C641E5"/>
    <w:rsid w:val="00C64225"/>
    <w:rsid w:val="00C643B4"/>
    <w:rsid w:val="00C6470D"/>
    <w:rsid w:val="00C64748"/>
    <w:rsid w:val="00C648D4"/>
    <w:rsid w:val="00C64B96"/>
    <w:rsid w:val="00C64C91"/>
    <w:rsid w:val="00C64EA2"/>
    <w:rsid w:val="00C64EDB"/>
    <w:rsid w:val="00C65270"/>
    <w:rsid w:val="00C6564D"/>
    <w:rsid w:val="00C65A0F"/>
    <w:rsid w:val="00C65C1F"/>
    <w:rsid w:val="00C661AE"/>
    <w:rsid w:val="00C665D9"/>
    <w:rsid w:val="00C667A6"/>
    <w:rsid w:val="00C66D47"/>
    <w:rsid w:val="00C67085"/>
    <w:rsid w:val="00C67447"/>
    <w:rsid w:val="00C67459"/>
    <w:rsid w:val="00C679F7"/>
    <w:rsid w:val="00C67F63"/>
    <w:rsid w:val="00C70173"/>
    <w:rsid w:val="00C70989"/>
    <w:rsid w:val="00C709A4"/>
    <w:rsid w:val="00C70AA4"/>
    <w:rsid w:val="00C713D8"/>
    <w:rsid w:val="00C7145C"/>
    <w:rsid w:val="00C7146E"/>
    <w:rsid w:val="00C71563"/>
    <w:rsid w:val="00C71723"/>
    <w:rsid w:val="00C7190C"/>
    <w:rsid w:val="00C72014"/>
    <w:rsid w:val="00C72336"/>
    <w:rsid w:val="00C72918"/>
    <w:rsid w:val="00C729A5"/>
    <w:rsid w:val="00C72A82"/>
    <w:rsid w:val="00C72EB1"/>
    <w:rsid w:val="00C72F01"/>
    <w:rsid w:val="00C7304F"/>
    <w:rsid w:val="00C732B2"/>
    <w:rsid w:val="00C73C7E"/>
    <w:rsid w:val="00C73CB9"/>
    <w:rsid w:val="00C73F2F"/>
    <w:rsid w:val="00C73FDC"/>
    <w:rsid w:val="00C7424D"/>
    <w:rsid w:val="00C744E0"/>
    <w:rsid w:val="00C74713"/>
    <w:rsid w:val="00C747C6"/>
    <w:rsid w:val="00C74951"/>
    <w:rsid w:val="00C74E33"/>
    <w:rsid w:val="00C74F2A"/>
    <w:rsid w:val="00C74F5F"/>
    <w:rsid w:val="00C74FD5"/>
    <w:rsid w:val="00C75A13"/>
    <w:rsid w:val="00C763E2"/>
    <w:rsid w:val="00C76729"/>
    <w:rsid w:val="00C770A7"/>
    <w:rsid w:val="00C77537"/>
    <w:rsid w:val="00C7765D"/>
    <w:rsid w:val="00C777B0"/>
    <w:rsid w:val="00C778DB"/>
    <w:rsid w:val="00C77BAC"/>
    <w:rsid w:val="00C77C80"/>
    <w:rsid w:val="00C77DC6"/>
    <w:rsid w:val="00C80100"/>
    <w:rsid w:val="00C804EB"/>
    <w:rsid w:val="00C8064D"/>
    <w:rsid w:val="00C80859"/>
    <w:rsid w:val="00C80C0F"/>
    <w:rsid w:val="00C80DDF"/>
    <w:rsid w:val="00C812D4"/>
    <w:rsid w:val="00C81C97"/>
    <w:rsid w:val="00C820AD"/>
    <w:rsid w:val="00C821D1"/>
    <w:rsid w:val="00C82438"/>
    <w:rsid w:val="00C828B5"/>
    <w:rsid w:val="00C82BAC"/>
    <w:rsid w:val="00C82C98"/>
    <w:rsid w:val="00C83A45"/>
    <w:rsid w:val="00C8424F"/>
    <w:rsid w:val="00C8432F"/>
    <w:rsid w:val="00C84A2B"/>
    <w:rsid w:val="00C84BA2"/>
    <w:rsid w:val="00C850F8"/>
    <w:rsid w:val="00C85147"/>
    <w:rsid w:val="00C85481"/>
    <w:rsid w:val="00C85681"/>
    <w:rsid w:val="00C85C90"/>
    <w:rsid w:val="00C85F06"/>
    <w:rsid w:val="00C864B3"/>
    <w:rsid w:val="00C86659"/>
    <w:rsid w:val="00C86762"/>
    <w:rsid w:val="00C86ABB"/>
    <w:rsid w:val="00C86BED"/>
    <w:rsid w:val="00C86E8C"/>
    <w:rsid w:val="00C870A0"/>
    <w:rsid w:val="00C87412"/>
    <w:rsid w:val="00C87447"/>
    <w:rsid w:val="00C878D6"/>
    <w:rsid w:val="00C8798B"/>
    <w:rsid w:val="00C87B76"/>
    <w:rsid w:val="00C87CF5"/>
    <w:rsid w:val="00C87F04"/>
    <w:rsid w:val="00C87F7E"/>
    <w:rsid w:val="00C902C8"/>
    <w:rsid w:val="00C909BC"/>
    <w:rsid w:val="00C91158"/>
    <w:rsid w:val="00C9122B"/>
    <w:rsid w:val="00C91284"/>
    <w:rsid w:val="00C913E0"/>
    <w:rsid w:val="00C91712"/>
    <w:rsid w:val="00C91FBC"/>
    <w:rsid w:val="00C91FD2"/>
    <w:rsid w:val="00C9200A"/>
    <w:rsid w:val="00C92384"/>
    <w:rsid w:val="00C92B14"/>
    <w:rsid w:val="00C93467"/>
    <w:rsid w:val="00C93895"/>
    <w:rsid w:val="00C9396F"/>
    <w:rsid w:val="00C93A68"/>
    <w:rsid w:val="00C93B4F"/>
    <w:rsid w:val="00C94782"/>
    <w:rsid w:val="00C94B93"/>
    <w:rsid w:val="00C94BD4"/>
    <w:rsid w:val="00C94E87"/>
    <w:rsid w:val="00C952E7"/>
    <w:rsid w:val="00C95480"/>
    <w:rsid w:val="00C954B5"/>
    <w:rsid w:val="00C95611"/>
    <w:rsid w:val="00C95950"/>
    <w:rsid w:val="00C96351"/>
    <w:rsid w:val="00C96811"/>
    <w:rsid w:val="00C9752B"/>
    <w:rsid w:val="00C97AF6"/>
    <w:rsid w:val="00C97EDA"/>
    <w:rsid w:val="00C97F50"/>
    <w:rsid w:val="00C97F85"/>
    <w:rsid w:val="00CA014A"/>
    <w:rsid w:val="00CA03A3"/>
    <w:rsid w:val="00CA0A87"/>
    <w:rsid w:val="00CA0B41"/>
    <w:rsid w:val="00CA0C2A"/>
    <w:rsid w:val="00CA0CA5"/>
    <w:rsid w:val="00CA12DF"/>
    <w:rsid w:val="00CA1364"/>
    <w:rsid w:val="00CA188D"/>
    <w:rsid w:val="00CA1ACF"/>
    <w:rsid w:val="00CA1BB5"/>
    <w:rsid w:val="00CA1C21"/>
    <w:rsid w:val="00CA279F"/>
    <w:rsid w:val="00CA2D18"/>
    <w:rsid w:val="00CA2D45"/>
    <w:rsid w:val="00CA2D64"/>
    <w:rsid w:val="00CA2EC2"/>
    <w:rsid w:val="00CA2F73"/>
    <w:rsid w:val="00CA30BE"/>
    <w:rsid w:val="00CA30F3"/>
    <w:rsid w:val="00CA34C9"/>
    <w:rsid w:val="00CA3878"/>
    <w:rsid w:val="00CA38A0"/>
    <w:rsid w:val="00CA3E37"/>
    <w:rsid w:val="00CA4889"/>
    <w:rsid w:val="00CA4949"/>
    <w:rsid w:val="00CA4A65"/>
    <w:rsid w:val="00CA4B7E"/>
    <w:rsid w:val="00CA4D00"/>
    <w:rsid w:val="00CA538F"/>
    <w:rsid w:val="00CA58A0"/>
    <w:rsid w:val="00CA5E4C"/>
    <w:rsid w:val="00CA626E"/>
    <w:rsid w:val="00CA6857"/>
    <w:rsid w:val="00CA6870"/>
    <w:rsid w:val="00CA6A3E"/>
    <w:rsid w:val="00CA6A8F"/>
    <w:rsid w:val="00CA6DA3"/>
    <w:rsid w:val="00CA6FAC"/>
    <w:rsid w:val="00CA7100"/>
    <w:rsid w:val="00CA7761"/>
    <w:rsid w:val="00CA7ABF"/>
    <w:rsid w:val="00CB0101"/>
    <w:rsid w:val="00CB0169"/>
    <w:rsid w:val="00CB071C"/>
    <w:rsid w:val="00CB08E6"/>
    <w:rsid w:val="00CB0A40"/>
    <w:rsid w:val="00CB0AB9"/>
    <w:rsid w:val="00CB0D1F"/>
    <w:rsid w:val="00CB0D34"/>
    <w:rsid w:val="00CB0F4B"/>
    <w:rsid w:val="00CB13B2"/>
    <w:rsid w:val="00CB1678"/>
    <w:rsid w:val="00CB20DC"/>
    <w:rsid w:val="00CB22DF"/>
    <w:rsid w:val="00CB258B"/>
    <w:rsid w:val="00CB2AEA"/>
    <w:rsid w:val="00CB2B12"/>
    <w:rsid w:val="00CB347B"/>
    <w:rsid w:val="00CB38CE"/>
    <w:rsid w:val="00CB3A2E"/>
    <w:rsid w:val="00CB3DD8"/>
    <w:rsid w:val="00CB4043"/>
    <w:rsid w:val="00CB426F"/>
    <w:rsid w:val="00CB4320"/>
    <w:rsid w:val="00CB4373"/>
    <w:rsid w:val="00CB4537"/>
    <w:rsid w:val="00CB486B"/>
    <w:rsid w:val="00CB4A95"/>
    <w:rsid w:val="00CB4BAD"/>
    <w:rsid w:val="00CB4C1D"/>
    <w:rsid w:val="00CB4DEE"/>
    <w:rsid w:val="00CB4EFB"/>
    <w:rsid w:val="00CB5018"/>
    <w:rsid w:val="00CB559B"/>
    <w:rsid w:val="00CB5880"/>
    <w:rsid w:val="00CB5C36"/>
    <w:rsid w:val="00CB5FEA"/>
    <w:rsid w:val="00CB6304"/>
    <w:rsid w:val="00CB7360"/>
    <w:rsid w:val="00CB773E"/>
    <w:rsid w:val="00CB7D3D"/>
    <w:rsid w:val="00CB7EF4"/>
    <w:rsid w:val="00CC04E2"/>
    <w:rsid w:val="00CC090B"/>
    <w:rsid w:val="00CC0DEC"/>
    <w:rsid w:val="00CC0EB7"/>
    <w:rsid w:val="00CC130D"/>
    <w:rsid w:val="00CC168E"/>
    <w:rsid w:val="00CC17DC"/>
    <w:rsid w:val="00CC18C9"/>
    <w:rsid w:val="00CC1AB9"/>
    <w:rsid w:val="00CC1BAB"/>
    <w:rsid w:val="00CC2082"/>
    <w:rsid w:val="00CC2319"/>
    <w:rsid w:val="00CC237D"/>
    <w:rsid w:val="00CC23A2"/>
    <w:rsid w:val="00CC23E6"/>
    <w:rsid w:val="00CC25F2"/>
    <w:rsid w:val="00CC2DDE"/>
    <w:rsid w:val="00CC3233"/>
    <w:rsid w:val="00CC3ABE"/>
    <w:rsid w:val="00CC3C6A"/>
    <w:rsid w:val="00CC3D1B"/>
    <w:rsid w:val="00CC4177"/>
    <w:rsid w:val="00CC42D2"/>
    <w:rsid w:val="00CC4683"/>
    <w:rsid w:val="00CC4C1C"/>
    <w:rsid w:val="00CC5320"/>
    <w:rsid w:val="00CC54AD"/>
    <w:rsid w:val="00CC58AD"/>
    <w:rsid w:val="00CC5C77"/>
    <w:rsid w:val="00CC5C97"/>
    <w:rsid w:val="00CC5DBB"/>
    <w:rsid w:val="00CC5EB2"/>
    <w:rsid w:val="00CC606F"/>
    <w:rsid w:val="00CC63B4"/>
    <w:rsid w:val="00CC6935"/>
    <w:rsid w:val="00CC6991"/>
    <w:rsid w:val="00CC6B3E"/>
    <w:rsid w:val="00CC6EC3"/>
    <w:rsid w:val="00CC726A"/>
    <w:rsid w:val="00CC749F"/>
    <w:rsid w:val="00CC759C"/>
    <w:rsid w:val="00CC7B81"/>
    <w:rsid w:val="00CC7CF6"/>
    <w:rsid w:val="00CC7EA2"/>
    <w:rsid w:val="00CD0250"/>
    <w:rsid w:val="00CD03EC"/>
    <w:rsid w:val="00CD0719"/>
    <w:rsid w:val="00CD08E6"/>
    <w:rsid w:val="00CD0C4D"/>
    <w:rsid w:val="00CD0D14"/>
    <w:rsid w:val="00CD0EF9"/>
    <w:rsid w:val="00CD14EF"/>
    <w:rsid w:val="00CD1806"/>
    <w:rsid w:val="00CD1866"/>
    <w:rsid w:val="00CD1957"/>
    <w:rsid w:val="00CD1A28"/>
    <w:rsid w:val="00CD1B84"/>
    <w:rsid w:val="00CD1DF4"/>
    <w:rsid w:val="00CD21B2"/>
    <w:rsid w:val="00CD2429"/>
    <w:rsid w:val="00CD2457"/>
    <w:rsid w:val="00CD248A"/>
    <w:rsid w:val="00CD277A"/>
    <w:rsid w:val="00CD2AB8"/>
    <w:rsid w:val="00CD2AEF"/>
    <w:rsid w:val="00CD2B12"/>
    <w:rsid w:val="00CD2BA7"/>
    <w:rsid w:val="00CD2D44"/>
    <w:rsid w:val="00CD2D4D"/>
    <w:rsid w:val="00CD378B"/>
    <w:rsid w:val="00CD3BE3"/>
    <w:rsid w:val="00CD3EAA"/>
    <w:rsid w:val="00CD43C0"/>
    <w:rsid w:val="00CD449E"/>
    <w:rsid w:val="00CD4C53"/>
    <w:rsid w:val="00CD4CCE"/>
    <w:rsid w:val="00CD4FB5"/>
    <w:rsid w:val="00CD560B"/>
    <w:rsid w:val="00CD5CC0"/>
    <w:rsid w:val="00CD5D37"/>
    <w:rsid w:val="00CD5E73"/>
    <w:rsid w:val="00CD60B1"/>
    <w:rsid w:val="00CD618C"/>
    <w:rsid w:val="00CD6D99"/>
    <w:rsid w:val="00CD6F39"/>
    <w:rsid w:val="00CD7449"/>
    <w:rsid w:val="00CD7870"/>
    <w:rsid w:val="00CD791A"/>
    <w:rsid w:val="00CD7BB7"/>
    <w:rsid w:val="00CD7C2B"/>
    <w:rsid w:val="00CD7E0A"/>
    <w:rsid w:val="00CE00B6"/>
    <w:rsid w:val="00CE0203"/>
    <w:rsid w:val="00CE02C6"/>
    <w:rsid w:val="00CE0365"/>
    <w:rsid w:val="00CE0F8E"/>
    <w:rsid w:val="00CE123E"/>
    <w:rsid w:val="00CE18EC"/>
    <w:rsid w:val="00CE1F23"/>
    <w:rsid w:val="00CE2413"/>
    <w:rsid w:val="00CE29BC"/>
    <w:rsid w:val="00CE2F4A"/>
    <w:rsid w:val="00CE2FE8"/>
    <w:rsid w:val="00CE31CA"/>
    <w:rsid w:val="00CE33D7"/>
    <w:rsid w:val="00CE34E0"/>
    <w:rsid w:val="00CE35F5"/>
    <w:rsid w:val="00CE3730"/>
    <w:rsid w:val="00CE3C86"/>
    <w:rsid w:val="00CE3E04"/>
    <w:rsid w:val="00CE3F71"/>
    <w:rsid w:val="00CE3FC6"/>
    <w:rsid w:val="00CE41FA"/>
    <w:rsid w:val="00CE426E"/>
    <w:rsid w:val="00CE42C0"/>
    <w:rsid w:val="00CE45B1"/>
    <w:rsid w:val="00CE46F3"/>
    <w:rsid w:val="00CE49BA"/>
    <w:rsid w:val="00CE4E02"/>
    <w:rsid w:val="00CE4F48"/>
    <w:rsid w:val="00CE50F4"/>
    <w:rsid w:val="00CE528A"/>
    <w:rsid w:val="00CE53C0"/>
    <w:rsid w:val="00CE54AD"/>
    <w:rsid w:val="00CE5511"/>
    <w:rsid w:val="00CE5AA3"/>
    <w:rsid w:val="00CE612C"/>
    <w:rsid w:val="00CE62ED"/>
    <w:rsid w:val="00CE650A"/>
    <w:rsid w:val="00CE6785"/>
    <w:rsid w:val="00CE6B42"/>
    <w:rsid w:val="00CE6B54"/>
    <w:rsid w:val="00CE6BFA"/>
    <w:rsid w:val="00CE6D7E"/>
    <w:rsid w:val="00CE6E9D"/>
    <w:rsid w:val="00CE6EC4"/>
    <w:rsid w:val="00CE73D6"/>
    <w:rsid w:val="00CE7694"/>
    <w:rsid w:val="00CE7C11"/>
    <w:rsid w:val="00CE7C5E"/>
    <w:rsid w:val="00CE7CA6"/>
    <w:rsid w:val="00CE7D76"/>
    <w:rsid w:val="00CE7F4A"/>
    <w:rsid w:val="00CF07C7"/>
    <w:rsid w:val="00CF0E74"/>
    <w:rsid w:val="00CF107D"/>
    <w:rsid w:val="00CF1387"/>
    <w:rsid w:val="00CF1961"/>
    <w:rsid w:val="00CF1B9B"/>
    <w:rsid w:val="00CF1BDE"/>
    <w:rsid w:val="00CF23AB"/>
    <w:rsid w:val="00CF297D"/>
    <w:rsid w:val="00CF308E"/>
    <w:rsid w:val="00CF3B1F"/>
    <w:rsid w:val="00CF43ED"/>
    <w:rsid w:val="00CF4703"/>
    <w:rsid w:val="00CF47C4"/>
    <w:rsid w:val="00CF481A"/>
    <w:rsid w:val="00CF4E42"/>
    <w:rsid w:val="00CF5078"/>
    <w:rsid w:val="00CF567D"/>
    <w:rsid w:val="00CF577A"/>
    <w:rsid w:val="00CF5B97"/>
    <w:rsid w:val="00CF5C15"/>
    <w:rsid w:val="00CF5CCE"/>
    <w:rsid w:val="00CF5D43"/>
    <w:rsid w:val="00CF5E69"/>
    <w:rsid w:val="00CF6037"/>
    <w:rsid w:val="00CF6039"/>
    <w:rsid w:val="00CF606F"/>
    <w:rsid w:val="00CF69B4"/>
    <w:rsid w:val="00CF6BD1"/>
    <w:rsid w:val="00CF6F0A"/>
    <w:rsid w:val="00CF724F"/>
    <w:rsid w:val="00CF7319"/>
    <w:rsid w:val="00CF74BD"/>
    <w:rsid w:val="00CF754B"/>
    <w:rsid w:val="00CF7D2C"/>
    <w:rsid w:val="00D0051C"/>
    <w:rsid w:val="00D00937"/>
    <w:rsid w:val="00D00DA5"/>
    <w:rsid w:val="00D0115C"/>
    <w:rsid w:val="00D014ED"/>
    <w:rsid w:val="00D01800"/>
    <w:rsid w:val="00D01BD7"/>
    <w:rsid w:val="00D020A2"/>
    <w:rsid w:val="00D0240E"/>
    <w:rsid w:val="00D02B08"/>
    <w:rsid w:val="00D02E38"/>
    <w:rsid w:val="00D0337E"/>
    <w:rsid w:val="00D036D3"/>
    <w:rsid w:val="00D03B17"/>
    <w:rsid w:val="00D03BB3"/>
    <w:rsid w:val="00D03BD0"/>
    <w:rsid w:val="00D0424B"/>
    <w:rsid w:val="00D0430B"/>
    <w:rsid w:val="00D04633"/>
    <w:rsid w:val="00D0487A"/>
    <w:rsid w:val="00D049AE"/>
    <w:rsid w:val="00D052CC"/>
    <w:rsid w:val="00D0543A"/>
    <w:rsid w:val="00D05E1D"/>
    <w:rsid w:val="00D0604A"/>
    <w:rsid w:val="00D065B3"/>
    <w:rsid w:val="00D0687A"/>
    <w:rsid w:val="00D06B38"/>
    <w:rsid w:val="00D070B4"/>
    <w:rsid w:val="00D071C4"/>
    <w:rsid w:val="00D07844"/>
    <w:rsid w:val="00D07E49"/>
    <w:rsid w:val="00D07FA1"/>
    <w:rsid w:val="00D10008"/>
    <w:rsid w:val="00D10F7B"/>
    <w:rsid w:val="00D11386"/>
    <w:rsid w:val="00D11538"/>
    <w:rsid w:val="00D11A7E"/>
    <w:rsid w:val="00D11CDF"/>
    <w:rsid w:val="00D11E9F"/>
    <w:rsid w:val="00D12635"/>
    <w:rsid w:val="00D1263B"/>
    <w:rsid w:val="00D1278B"/>
    <w:rsid w:val="00D128E8"/>
    <w:rsid w:val="00D128FA"/>
    <w:rsid w:val="00D129C4"/>
    <w:rsid w:val="00D12E45"/>
    <w:rsid w:val="00D13210"/>
    <w:rsid w:val="00D137B9"/>
    <w:rsid w:val="00D13924"/>
    <w:rsid w:val="00D13D82"/>
    <w:rsid w:val="00D13E14"/>
    <w:rsid w:val="00D13E32"/>
    <w:rsid w:val="00D140FC"/>
    <w:rsid w:val="00D14167"/>
    <w:rsid w:val="00D14372"/>
    <w:rsid w:val="00D1491B"/>
    <w:rsid w:val="00D14D9B"/>
    <w:rsid w:val="00D156BC"/>
    <w:rsid w:val="00D15AB2"/>
    <w:rsid w:val="00D15F15"/>
    <w:rsid w:val="00D15F2F"/>
    <w:rsid w:val="00D16218"/>
    <w:rsid w:val="00D16280"/>
    <w:rsid w:val="00D166CC"/>
    <w:rsid w:val="00D1681B"/>
    <w:rsid w:val="00D16AEC"/>
    <w:rsid w:val="00D16AF8"/>
    <w:rsid w:val="00D16E38"/>
    <w:rsid w:val="00D17266"/>
    <w:rsid w:val="00D17399"/>
    <w:rsid w:val="00D17937"/>
    <w:rsid w:val="00D17D79"/>
    <w:rsid w:val="00D17DDF"/>
    <w:rsid w:val="00D2026A"/>
    <w:rsid w:val="00D20E20"/>
    <w:rsid w:val="00D20EF9"/>
    <w:rsid w:val="00D211F5"/>
    <w:rsid w:val="00D2137A"/>
    <w:rsid w:val="00D2140C"/>
    <w:rsid w:val="00D214D1"/>
    <w:rsid w:val="00D214E6"/>
    <w:rsid w:val="00D21978"/>
    <w:rsid w:val="00D21A24"/>
    <w:rsid w:val="00D21B53"/>
    <w:rsid w:val="00D21ECC"/>
    <w:rsid w:val="00D22031"/>
    <w:rsid w:val="00D22C40"/>
    <w:rsid w:val="00D22C60"/>
    <w:rsid w:val="00D22E17"/>
    <w:rsid w:val="00D22E2C"/>
    <w:rsid w:val="00D23921"/>
    <w:rsid w:val="00D23D7A"/>
    <w:rsid w:val="00D242BF"/>
    <w:rsid w:val="00D2454F"/>
    <w:rsid w:val="00D24C22"/>
    <w:rsid w:val="00D2578D"/>
    <w:rsid w:val="00D25938"/>
    <w:rsid w:val="00D25954"/>
    <w:rsid w:val="00D25C12"/>
    <w:rsid w:val="00D25DE2"/>
    <w:rsid w:val="00D26051"/>
    <w:rsid w:val="00D2616A"/>
    <w:rsid w:val="00D26299"/>
    <w:rsid w:val="00D2631E"/>
    <w:rsid w:val="00D26399"/>
    <w:rsid w:val="00D266BC"/>
    <w:rsid w:val="00D27915"/>
    <w:rsid w:val="00D27B18"/>
    <w:rsid w:val="00D27C87"/>
    <w:rsid w:val="00D3000D"/>
    <w:rsid w:val="00D30206"/>
    <w:rsid w:val="00D302F8"/>
    <w:rsid w:val="00D306AF"/>
    <w:rsid w:val="00D307DC"/>
    <w:rsid w:val="00D30CBA"/>
    <w:rsid w:val="00D317DE"/>
    <w:rsid w:val="00D31B96"/>
    <w:rsid w:val="00D31CAA"/>
    <w:rsid w:val="00D31EC7"/>
    <w:rsid w:val="00D3208D"/>
    <w:rsid w:val="00D32128"/>
    <w:rsid w:val="00D324D6"/>
    <w:rsid w:val="00D32DE5"/>
    <w:rsid w:val="00D33044"/>
    <w:rsid w:val="00D33298"/>
    <w:rsid w:val="00D33D00"/>
    <w:rsid w:val="00D34171"/>
    <w:rsid w:val="00D34184"/>
    <w:rsid w:val="00D34CAF"/>
    <w:rsid w:val="00D34D9F"/>
    <w:rsid w:val="00D35406"/>
    <w:rsid w:val="00D3550E"/>
    <w:rsid w:val="00D35590"/>
    <w:rsid w:val="00D359EA"/>
    <w:rsid w:val="00D35B72"/>
    <w:rsid w:val="00D35BBC"/>
    <w:rsid w:val="00D35C80"/>
    <w:rsid w:val="00D35EF9"/>
    <w:rsid w:val="00D35F15"/>
    <w:rsid w:val="00D3600E"/>
    <w:rsid w:val="00D36250"/>
    <w:rsid w:val="00D3633A"/>
    <w:rsid w:val="00D366A8"/>
    <w:rsid w:val="00D36EB4"/>
    <w:rsid w:val="00D36F9A"/>
    <w:rsid w:val="00D376AD"/>
    <w:rsid w:val="00D379AF"/>
    <w:rsid w:val="00D37CD1"/>
    <w:rsid w:val="00D400F9"/>
    <w:rsid w:val="00D4016F"/>
    <w:rsid w:val="00D40730"/>
    <w:rsid w:val="00D40B75"/>
    <w:rsid w:val="00D40D79"/>
    <w:rsid w:val="00D40EE0"/>
    <w:rsid w:val="00D4131E"/>
    <w:rsid w:val="00D413A0"/>
    <w:rsid w:val="00D417E6"/>
    <w:rsid w:val="00D4187F"/>
    <w:rsid w:val="00D41A6E"/>
    <w:rsid w:val="00D41AEF"/>
    <w:rsid w:val="00D42020"/>
    <w:rsid w:val="00D42329"/>
    <w:rsid w:val="00D42332"/>
    <w:rsid w:val="00D424B6"/>
    <w:rsid w:val="00D4253A"/>
    <w:rsid w:val="00D4261B"/>
    <w:rsid w:val="00D42A29"/>
    <w:rsid w:val="00D42AAE"/>
    <w:rsid w:val="00D4377C"/>
    <w:rsid w:val="00D43A2B"/>
    <w:rsid w:val="00D43FA4"/>
    <w:rsid w:val="00D4427C"/>
    <w:rsid w:val="00D446F1"/>
    <w:rsid w:val="00D448D0"/>
    <w:rsid w:val="00D44AF3"/>
    <w:rsid w:val="00D44B1B"/>
    <w:rsid w:val="00D44B9D"/>
    <w:rsid w:val="00D44FB3"/>
    <w:rsid w:val="00D451F3"/>
    <w:rsid w:val="00D454D4"/>
    <w:rsid w:val="00D4589D"/>
    <w:rsid w:val="00D458EF"/>
    <w:rsid w:val="00D45977"/>
    <w:rsid w:val="00D45BA5"/>
    <w:rsid w:val="00D45D73"/>
    <w:rsid w:val="00D463AC"/>
    <w:rsid w:val="00D46934"/>
    <w:rsid w:val="00D476AA"/>
    <w:rsid w:val="00D47717"/>
    <w:rsid w:val="00D500C9"/>
    <w:rsid w:val="00D501F8"/>
    <w:rsid w:val="00D50A4B"/>
    <w:rsid w:val="00D50A60"/>
    <w:rsid w:val="00D50BA9"/>
    <w:rsid w:val="00D51532"/>
    <w:rsid w:val="00D51A65"/>
    <w:rsid w:val="00D51D59"/>
    <w:rsid w:val="00D521BA"/>
    <w:rsid w:val="00D52264"/>
    <w:rsid w:val="00D52541"/>
    <w:rsid w:val="00D526F3"/>
    <w:rsid w:val="00D527D4"/>
    <w:rsid w:val="00D52A51"/>
    <w:rsid w:val="00D52D05"/>
    <w:rsid w:val="00D531E4"/>
    <w:rsid w:val="00D5336C"/>
    <w:rsid w:val="00D53667"/>
    <w:rsid w:val="00D536D8"/>
    <w:rsid w:val="00D5371E"/>
    <w:rsid w:val="00D538FD"/>
    <w:rsid w:val="00D53AA2"/>
    <w:rsid w:val="00D54137"/>
    <w:rsid w:val="00D54317"/>
    <w:rsid w:val="00D5432A"/>
    <w:rsid w:val="00D54703"/>
    <w:rsid w:val="00D54A2C"/>
    <w:rsid w:val="00D54A3A"/>
    <w:rsid w:val="00D54B63"/>
    <w:rsid w:val="00D54CC3"/>
    <w:rsid w:val="00D550D1"/>
    <w:rsid w:val="00D5514B"/>
    <w:rsid w:val="00D55AF7"/>
    <w:rsid w:val="00D560FE"/>
    <w:rsid w:val="00D5613B"/>
    <w:rsid w:val="00D562B0"/>
    <w:rsid w:val="00D562F3"/>
    <w:rsid w:val="00D5632E"/>
    <w:rsid w:val="00D566EA"/>
    <w:rsid w:val="00D5676E"/>
    <w:rsid w:val="00D56FF4"/>
    <w:rsid w:val="00D570F9"/>
    <w:rsid w:val="00D57127"/>
    <w:rsid w:val="00D576C5"/>
    <w:rsid w:val="00D5782F"/>
    <w:rsid w:val="00D57B0C"/>
    <w:rsid w:val="00D6031E"/>
    <w:rsid w:val="00D6035A"/>
    <w:rsid w:val="00D60F9A"/>
    <w:rsid w:val="00D610C4"/>
    <w:rsid w:val="00D61329"/>
    <w:rsid w:val="00D613C6"/>
    <w:rsid w:val="00D613E0"/>
    <w:rsid w:val="00D61420"/>
    <w:rsid w:val="00D6157E"/>
    <w:rsid w:val="00D61AC3"/>
    <w:rsid w:val="00D61AF8"/>
    <w:rsid w:val="00D620C2"/>
    <w:rsid w:val="00D62779"/>
    <w:rsid w:val="00D62912"/>
    <w:rsid w:val="00D62978"/>
    <w:rsid w:val="00D629C4"/>
    <w:rsid w:val="00D62BBB"/>
    <w:rsid w:val="00D62F58"/>
    <w:rsid w:val="00D63135"/>
    <w:rsid w:val="00D63203"/>
    <w:rsid w:val="00D632CA"/>
    <w:rsid w:val="00D636AD"/>
    <w:rsid w:val="00D63B67"/>
    <w:rsid w:val="00D642AD"/>
    <w:rsid w:val="00D64381"/>
    <w:rsid w:val="00D64649"/>
    <w:rsid w:val="00D64D4A"/>
    <w:rsid w:val="00D65289"/>
    <w:rsid w:val="00D652DA"/>
    <w:rsid w:val="00D6544B"/>
    <w:rsid w:val="00D6595D"/>
    <w:rsid w:val="00D65B78"/>
    <w:rsid w:val="00D65BF4"/>
    <w:rsid w:val="00D65F4F"/>
    <w:rsid w:val="00D66098"/>
    <w:rsid w:val="00D6609B"/>
    <w:rsid w:val="00D663BC"/>
    <w:rsid w:val="00D66849"/>
    <w:rsid w:val="00D66EB3"/>
    <w:rsid w:val="00D672DE"/>
    <w:rsid w:val="00D6792C"/>
    <w:rsid w:val="00D67B8B"/>
    <w:rsid w:val="00D67D29"/>
    <w:rsid w:val="00D67F0E"/>
    <w:rsid w:val="00D705B0"/>
    <w:rsid w:val="00D70824"/>
    <w:rsid w:val="00D70B45"/>
    <w:rsid w:val="00D70BDB"/>
    <w:rsid w:val="00D70F5A"/>
    <w:rsid w:val="00D70FEB"/>
    <w:rsid w:val="00D71170"/>
    <w:rsid w:val="00D72BEA"/>
    <w:rsid w:val="00D73498"/>
    <w:rsid w:val="00D738BD"/>
    <w:rsid w:val="00D73A79"/>
    <w:rsid w:val="00D73BB1"/>
    <w:rsid w:val="00D7400B"/>
    <w:rsid w:val="00D74025"/>
    <w:rsid w:val="00D74292"/>
    <w:rsid w:val="00D748C7"/>
    <w:rsid w:val="00D7491F"/>
    <w:rsid w:val="00D74A61"/>
    <w:rsid w:val="00D74B00"/>
    <w:rsid w:val="00D74B11"/>
    <w:rsid w:val="00D74EB8"/>
    <w:rsid w:val="00D74EF3"/>
    <w:rsid w:val="00D7506A"/>
    <w:rsid w:val="00D752AD"/>
    <w:rsid w:val="00D7537D"/>
    <w:rsid w:val="00D754BB"/>
    <w:rsid w:val="00D7587C"/>
    <w:rsid w:val="00D76272"/>
    <w:rsid w:val="00D765F6"/>
    <w:rsid w:val="00D7660C"/>
    <w:rsid w:val="00D766AC"/>
    <w:rsid w:val="00D76A56"/>
    <w:rsid w:val="00D76BA3"/>
    <w:rsid w:val="00D76D06"/>
    <w:rsid w:val="00D772FC"/>
    <w:rsid w:val="00D777B1"/>
    <w:rsid w:val="00D77B48"/>
    <w:rsid w:val="00D77CA7"/>
    <w:rsid w:val="00D77CB9"/>
    <w:rsid w:val="00D801D9"/>
    <w:rsid w:val="00D80537"/>
    <w:rsid w:val="00D8089A"/>
    <w:rsid w:val="00D808DF"/>
    <w:rsid w:val="00D80B9F"/>
    <w:rsid w:val="00D80BF1"/>
    <w:rsid w:val="00D816AB"/>
    <w:rsid w:val="00D8175E"/>
    <w:rsid w:val="00D81E6F"/>
    <w:rsid w:val="00D82011"/>
    <w:rsid w:val="00D8217D"/>
    <w:rsid w:val="00D82423"/>
    <w:rsid w:val="00D82685"/>
    <w:rsid w:val="00D826E8"/>
    <w:rsid w:val="00D8298F"/>
    <w:rsid w:val="00D82BD7"/>
    <w:rsid w:val="00D830B7"/>
    <w:rsid w:val="00D83192"/>
    <w:rsid w:val="00D834C0"/>
    <w:rsid w:val="00D83535"/>
    <w:rsid w:val="00D8361A"/>
    <w:rsid w:val="00D83A12"/>
    <w:rsid w:val="00D83A2A"/>
    <w:rsid w:val="00D840EF"/>
    <w:rsid w:val="00D84667"/>
    <w:rsid w:val="00D84A47"/>
    <w:rsid w:val="00D84CFC"/>
    <w:rsid w:val="00D8505C"/>
    <w:rsid w:val="00D85252"/>
    <w:rsid w:val="00D85303"/>
    <w:rsid w:val="00D85348"/>
    <w:rsid w:val="00D85645"/>
    <w:rsid w:val="00D85781"/>
    <w:rsid w:val="00D85D5C"/>
    <w:rsid w:val="00D86043"/>
    <w:rsid w:val="00D86058"/>
    <w:rsid w:val="00D860EF"/>
    <w:rsid w:val="00D864A9"/>
    <w:rsid w:val="00D8682B"/>
    <w:rsid w:val="00D86C9F"/>
    <w:rsid w:val="00D86E65"/>
    <w:rsid w:val="00D874CA"/>
    <w:rsid w:val="00D878CB"/>
    <w:rsid w:val="00D87ABD"/>
    <w:rsid w:val="00D87BFE"/>
    <w:rsid w:val="00D901BD"/>
    <w:rsid w:val="00D90557"/>
    <w:rsid w:val="00D90659"/>
    <w:rsid w:val="00D90737"/>
    <w:rsid w:val="00D90813"/>
    <w:rsid w:val="00D90995"/>
    <w:rsid w:val="00D909E1"/>
    <w:rsid w:val="00D90B86"/>
    <w:rsid w:val="00D90D28"/>
    <w:rsid w:val="00D9102B"/>
    <w:rsid w:val="00D91B71"/>
    <w:rsid w:val="00D91E3C"/>
    <w:rsid w:val="00D92251"/>
    <w:rsid w:val="00D926FE"/>
    <w:rsid w:val="00D9289C"/>
    <w:rsid w:val="00D92AA7"/>
    <w:rsid w:val="00D93294"/>
    <w:rsid w:val="00D93600"/>
    <w:rsid w:val="00D93778"/>
    <w:rsid w:val="00D93A75"/>
    <w:rsid w:val="00D940BE"/>
    <w:rsid w:val="00D941E6"/>
    <w:rsid w:val="00D9456F"/>
    <w:rsid w:val="00D94716"/>
    <w:rsid w:val="00D9473F"/>
    <w:rsid w:val="00D952A7"/>
    <w:rsid w:val="00D952A8"/>
    <w:rsid w:val="00D955C7"/>
    <w:rsid w:val="00D95786"/>
    <w:rsid w:val="00D95872"/>
    <w:rsid w:val="00D9601F"/>
    <w:rsid w:val="00D96A18"/>
    <w:rsid w:val="00D96B04"/>
    <w:rsid w:val="00D96D7D"/>
    <w:rsid w:val="00D97098"/>
    <w:rsid w:val="00D973C8"/>
    <w:rsid w:val="00D97743"/>
    <w:rsid w:val="00D9776C"/>
    <w:rsid w:val="00D97A5B"/>
    <w:rsid w:val="00D97A5D"/>
    <w:rsid w:val="00D97D84"/>
    <w:rsid w:val="00DA0B11"/>
    <w:rsid w:val="00DA0E4E"/>
    <w:rsid w:val="00DA0E5C"/>
    <w:rsid w:val="00DA1236"/>
    <w:rsid w:val="00DA27D5"/>
    <w:rsid w:val="00DA27EF"/>
    <w:rsid w:val="00DA31E8"/>
    <w:rsid w:val="00DA32F0"/>
    <w:rsid w:val="00DA3C9C"/>
    <w:rsid w:val="00DA4519"/>
    <w:rsid w:val="00DA524A"/>
    <w:rsid w:val="00DA58A6"/>
    <w:rsid w:val="00DA5B52"/>
    <w:rsid w:val="00DA5DD5"/>
    <w:rsid w:val="00DA5DF7"/>
    <w:rsid w:val="00DA5E7E"/>
    <w:rsid w:val="00DA6105"/>
    <w:rsid w:val="00DA6434"/>
    <w:rsid w:val="00DA6437"/>
    <w:rsid w:val="00DA660B"/>
    <w:rsid w:val="00DA6BD8"/>
    <w:rsid w:val="00DA6BE4"/>
    <w:rsid w:val="00DA6D74"/>
    <w:rsid w:val="00DA72C5"/>
    <w:rsid w:val="00DA7BA4"/>
    <w:rsid w:val="00DA7BD7"/>
    <w:rsid w:val="00DA7E4C"/>
    <w:rsid w:val="00DA7EC6"/>
    <w:rsid w:val="00DB03E0"/>
    <w:rsid w:val="00DB06B0"/>
    <w:rsid w:val="00DB09AB"/>
    <w:rsid w:val="00DB0F35"/>
    <w:rsid w:val="00DB1415"/>
    <w:rsid w:val="00DB1559"/>
    <w:rsid w:val="00DB1790"/>
    <w:rsid w:val="00DB1AC1"/>
    <w:rsid w:val="00DB2E23"/>
    <w:rsid w:val="00DB3083"/>
    <w:rsid w:val="00DB338C"/>
    <w:rsid w:val="00DB3623"/>
    <w:rsid w:val="00DB3B56"/>
    <w:rsid w:val="00DB3D2C"/>
    <w:rsid w:val="00DB4094"/>
    <w:rsid w:val="00DB4867"/>
    <w:rsid w:val="00DB492F"/>
    <w:rsid w:val="00DB4A25"/>
    <w:rsid w:val="00DB5352"/>
    <w:rsid w:val="00DB5A36"/>
    <w:rsid w:val="00DB5CD7"/>
    <w:rsid w:val="00DB5FC6"/>
    <w:rsid w:val="00DB6027"/>
    <w:rsid w:val="00DB6393"/>
    <w:rsid w:val="00DB6460"/>
    <w:rsid w:val="00DB6607"/>
    <w:rsid w:val="00DB6A3C"/>
    <w:rsid w:val="00DB7006"/>
    <w:rsid w:val="00DB7257"/>
    <w:rsid w:val="00DB751E"/>
    <w:rsid w:val="00DB7AF1"/>
    <w:rsid w:val="00DB7BC1"/>
    <w:rsid w:val="00DC02CC"/>
    <w:rsid w:val="00DC067A"/>
    <w:rsid w:val="00DC08CA"/>
    <w:rsid w:val="00DC0CC4"/>
    <w:rsid w:val="00DC0E17"/>
    <w:rsid w:val="00DC1040"/>
    <w:rsid w:val="00DC12EA"/>
    <w:rsid w:val="00DC1335"/>
    <w:rsid w:val="00DC1697"/>
    <w:rsid w:val="00DC1948"/>
    <w:rsid w:val="00DC1BDA"/>
    <w:rsid w:val="00DC1D91"/>
    <w:rsid w:val="00DC1DDE"/>
    <w:rsid w:val="00DC1E42"/>
    <w:rsid w:val="00DC2191"/>
    <w:rsid w:val="00DC25B2"/>
    <w:rsid w:val="00DC27A2"/>
    <w:rsid w:val="00DC2FFA"/>
    <w:rsid w:val="00DC31DA"/>
    <w:rsid w:val="00DC3224"/>
    <w:rsid w:val="00DC3851"/>
    <w:rsid w:val="00DC3957"/>
    <w:rsid w:val="00DC39E1"/>
    <w:rsid w:val="00DC4780"/>
    <w:rsid w:val="00DC4879"/>
    <w:rsid w:val="00DC4DF2"/>
    <w:rsid w:val="00DC4FDF"/>
    <w:rsid w:val="00DC5109"/>
    <w:rsid w:val="00DC516E"/>
    <w:rsid w:val="00DC53CB"/>
    <w:rsid w:val="00DC5409"/>
    <w:rsid w:val="00DC550D"/>
    <w:rsid w:val="00DC5640"/>
    <w:rsid w:val="00DC589B"/>
    <w:rsid w:val="00DC5A90"/>
    <w:rsid w:val="00DC5D9C"/>
    <w:rsid w:val="00DC5DFE"/>
    <w:rsid w:val="00DC6030"/>
    <w:rsid w:val="00DC60F9"/>
    <w:rsid w:val="00DC6200"/>
    <w:rsid w:val="00DC6212"/>
    <w:rsid w:val="00DC625B"/>
    <w:rsid w:val="00DC63D9"/>
    <w:rsid w:val="00DC63E6"/>
    <w:rsid w:val="00DC651C"/>
    <w:rsid w:val="00DC65BB"/>
    <w:rsid w:val="00DC663C"/>
    <w:rsid w:val="00DC693D"/>
    <w:rsid w:val="00DC6942"/>
    <w:rsid w:val="00DC6D96"/>
    <w:rsid w:val="00DC6DDE"/>
    <w:rsid w:val="00DC7D48"/>
    <w:rsid w:val="00DC7E16"/>
    <w:rsid w:val="00DC7F39"/>
    <w:rsid w:val="00DC7FD1"/>
    <w:rsid w:val="00DD0BAC"/>
    <w:rsid w:val="00DD0DC4"/>
    <w:rsid w:val="00DD17D3"/>
    <w:rsid w:val="00DD1CDC"/>
    <w:rsid w:val="00DD1EA2"/>
    <w:rsid w:val="00DD2285"/>
    <w:rsid w:val="00DD22E6"/>
    <w:rsid w:val="00DD28D3"/>
    <w:rsid w:val="00DD2CB4"/>
    <w:rsid w:val="00DD3070"/>
    <w:rsid w:val="00DD31EC"/>
    <w:rsid w:val="00DD33F3"/>
    <w:rsid w:val="00DD3751"/>
    <w:rsid w:val="00DD375F"/>
    <w:rsid w:val="00DD3869"/>
    <w:rsid w:val="00DD42E4"/>
    <w:rsid w:val="00DD4691"/>
    <w:rsid w:val="00DD46F7"/>
    <w:rsid w:val="00DD5260"/>
    <w:rsid w:val="00DD539A"/>
    <w:rsid w:val="00DD5502"/>
    <w:rsid w:val="00DD558F"/>
    <w:rsid w:val="00DD586C"/>
    <w:rsid w:val="00DD5E57"/>
    <w:rsid w:val="00DD613E"/>
    <w:rsid w:val="00DD61D2"/>
    <w:rsid w:val="00DD6441"/>
    <w:rsid w:val="00DD6935"/>
    <w:rsid w:val="00DD7075"/>
    <w:rsid w:val="00DD784F"/>
    <w:rsid w:val="00DD7E57"/>
    <w:rsid w:val="00DE0D21"/>
    <w:rsid w:val="00DE1295"/>
    <w:rsid w:val="00DE146D"/>
    <w:rsid w:val="00DE15FB"/>
    <w:rsid w:val="00DE1CD0"/>
    <w:rsid w:val="00DE1CD2"/>
    <w:rsid w:val="00DE1E4D"/>
    <w:rsid w:val="00DE1E92"/>
    <w:rsid w:val="00DE221E"/>
    <w:rsid w:val="00DE228D"/>
    <w:rsid w:val="00DE24D3"/>
    <w:rsid w:val="00DE2D09"/>
    <w:rsid w:val="00DE30F9"/>
    <w:rsid w:val="00DE3487"/>
    <w:rsid w:val="00DE391E"/>
    <w:rsid w:val="00DE3A0D"/>
    <w:rsid w:val="00DE3A42"/>
    <w:rsid w:val="00DE3A9D"/>
    <w:rsid w:val="00DE417C"/>
    <w:rsid w:val="00DE41DC"/>
    <w:rsid w:val="00DE4A37"/>
    <w:rsid w:val="00DE4C02"/>
    <w:rsid w:val="00DE4F83"/>
    <w:rsid w:val="00DE4FA7"/>
    <w:rsid w:val="00DE50A2"/>
    <w:rsid w:val="00DE54F0"/>
    <w:rsid w:val="00DE55DD"/>
    <w:rsid w:val="00DE5A56"/>
    <w:rsid w:val="00DE5A9C"/>
    <w:rsid w:val="00DE5E66"/>
    <w:rsid w:val="00DE5F56"/>
    <w:rsid w:val="00DE60E3"/>
    <w:rsid w:val="00DE67D9"/>
    <w:rsid w:val="00DE6D0C"/>
    <w:rsid w:val="00DE73D2"/>
    <w:rsid w:val="00DE7564"/>
    <w:rsid w:val="00DE7606"/>
    <w:rsid w:val="00DE7833"/>
    <w:rsid w:val="00DE7C62"/>
    <w:rsid w:val="00DE7E8F"/>
    <w:rsid w:val="00DE7FD3"/>
    <w:rsid w:val="00DF03EC"/>
    <w:rsid w:val="00DF0784"/>
    <w:rsid w:val="00DF08A3"/>
    <w:rsid w:val="00DF0E0D"/>
    <w:rsid w:val="00DF12B5"/>
    <w:rsid w:val="00DF139A"/>
    <w:rsid w:val="00DF18B9"/>
    <w:rsid w:val="00DF1DF9"/>
    <w:rsid w:val="00DF1E18"/>
    <w:rsid w:val="00DF2335"/>
    <w:rsid w:val="00DF2695"/>
    <w:rsid w:val="00DF2C4E"/>
    <w:rsid w:val="00DF2DA3"/>
    <w:rsid w:val="00DF2E5B"/>
    <w:rsid w:val="00DF325D"/>
    <w:rsid w:val="00DF356F"/>
    <w:rsid w:val="00DF36CE"/>
    <w:rsid w:val="00DF3E4D"/>
    <w:rsid w:val="00DF3FDE"/>
    <w:rsid w:val="00DF416E"/>
    <w:rsid w:val="00DF4805"/>
    <w:rsid w:val="00DF4A3F"/>
    <w:rsid w:val="00DF4A98"/>
    <w:rsid w:val="00DF5137"/>
    <w:rsid w:val="00DF524C"/>
    <w:rsid w:val="00DF54FF"/>
    <w:rsid w:val="00DF5EFD"/>
    <w:rsid w:val="00DF67D0"/>
    <w:rsid w:val="00DF6FE1"/>
    <w:rsid w:val="00DF735E"/>
    <w:rsid w:val="00DF7570"/>
    <w:rsid w:val="00DF764F"/>
    <w:rsid w:val="00DF79C7"/>
    <w:rsid w:val="00DF7A66"/>
    <w:rsid w:val="00DF7E68"/>
    <w:rsid w:val="00E0008E"/>
    <w:rsid w:val="00E004BB"/>
    <w:rsid w:val="00E005D0"/>
    <w:rsid w:val="00E00798"/>
    <w:rsid w:val="00E0080D"/>
    <w:rsid w:val="00E00D95"/>
    <w:rsid w:val="00E0107E"/>
    <w:rsid w:val="00E010FD"/>
    <w:rsid w:val="00E011AF"/>
    <w:rsid w:val="00E012E0"/>
    <w:rsid w:val="00E01781"/>
    <w:rsid w:val="00E01808"/>
    <w:rsid w:val="00E02134"/>
    <w:rsid w:val="00E021D6"/>
    <w:rsid w:val="00E02786"/>
    <w:rsid w:val="00E0290B"/>
    <w:rsid w:val="00E029ED"/>
    <w:rsid w:val="00E02E50"/>
    <w:rsid w:val="00E02FA5"/>
    <w:rsid w:val="00E0304C"/>
    <w:rsid w:val="00E0320A"/>
    <w:rsid w:val="00E03421"/>
    <w:rsid w:val="00E0369E"/>
    <w:rsid w:val="00E03C10"/>
    <w:rsid w:val="00E03DD1"/>
    <w:rsid w:val="00E03E19"/>
    <w:rsid w:val="00E03E7D"/>
    <w:rsid w:val="00E04153"/>
    <w:rsid w:val="00E04228"/>
    <w:rsid w:val="00E044F9"/>
    <w:rsid w:val="00E05037"/>
    <w:rsid w:val="00E05122"/>
    <w:rsid w:val="00E05192"/>
    <w:rsid w:val="00E051D6"/>
    <w:rsid w:val="00E053E5"/>
    <w:rsid w:val="00E05411"/>
    <w:rsid w:val="00E054F8"/>
    <w:rsid w:val="00E05514"/>
    <w:rsid w:val="00E05530"/>
    <w:rsid w:val="00E059BE"/>
    <w:rsid w:val="00E05AF7"/>
    <w:rsid w:val="00E05C63"/>
    <w:rsid w:val="00E05D2A"/>
    <w:rsid w:val="00E05D7E"/>
    <w:rsid w:val="00E05DB4"/>
    <w:rsid w:val="00E06152"/>
    <w:rsid w:val="00E06313"/>
    <w:rsid w:val="00E06796"/>
    <w:rsid w:val="00E06D50"/>
    <w:rsid w:val="00E06D9D"/>
    <w:rsid w:val="00E07294"/>
    <w:rsid w:val="00E0741B"/>
    <w:rsid w:val="00E07996"/>
    <w:rsid w:val="00E07C24"/>
    <w:rsid w:val="00E1014B"/>
    <w:rsid w:val="00E11008"/>
    <w:rsid w:val="00E110B9"/>
    <w:rsid w:val="00E11648"/>
    <w:rsid w:val="00E119D4"/>
    <w:rsid w:val="00E11D44"/>
    <w:rsid w:val="00E11F69"/>
    <w:rsid w:val="00E12550"/>
    <w:rsid w:val="00E1280A"/>
    <w:rsid w:val="00E12896"/>
    <w:rsid w:val="00E128A2"/>
    <w:rsid w:val="00E12C28"/>
    <w:rsid w:val="00E12CC1"/>
    <w:rsid w:val="00E136C2"/>
    <w:rsid w:val="00E139C8"/>
    <w:rsid w:val="00E13B1C"/>
    <w:rsid w:val="00E13B98"/>
    <w:rsid w:val="00E13D41"/>
    <w:rsid w:val="00E13F6D"/>
    <w:rsid w:val="00E1400A"/>
    <w:rsid w:val="00E14160"/>
    <w:rsid w:val="00E14D53"/>
    <w:rsid w:val="00E15326"/>
    <w:rsid w:val="00E153A6"/>
    <w:rsid w:val="00E15904"/>
    <w:rsid w:val="00E16087"/>
    <w:rsid w:val="00E16539"/>
    <w:rsid w:val="00E1681F"/>
    <w:rsid w:val="00E171FD"/>
    <w:rsid w:val="00E17478"/>
    <w:rsid w:val="00E178A9"/>
    <w:rsid w:val="00E17F43"/>
    <w:rsid w:val="00E207D2"/>
    <w:rsid w:val="00E20EB9"/>
    <w:rsid w:val="00E2119E"/>
    <w:rsid w:val="00E213E1"/>
    <w:rsid w:val="00E21443"/>
    <w:rsid w:val="00E21C67"/>
    <w:rsid w:val="00E21CE4"/>
    <w:rsid w:val="00E2269E"/>
    <w:rsid w:val="00E22F7B"/>
    <w:rsid w:val="00E234B7"/>
    <w:rsid w:val="00E23C30"/>
    <w:rsid w:val="00E23D63"/>
    <w:rsid w:val="00E23DE0"/>
    <w:rsid w:val="00E23DFF"/>
    <w:rsid w:val="00E242BC"/>
    <w:rsid w:val="00E24528"/>
    <w:rsid w:val="00E245F9"/>
    <w:rsid w:val="00E247F9"/>
    <w:rsid w:val="00E24A47"/>
    <w:rsid w:val="00E25170"/>
    <w:rsid w:val="00E251A0"/>
    <w:rsid w:val="00E2533B"/>
    <w:rsid w:val="00E254DC"/>
    <w:rsid w:val="00E25791"/>
    <w:rsid w:val="00E25BC9"/>
    <w:rsid w:val="00E25D5D"/>
    <w:rsid w:val="00E25DAF"/>
    <w:rsid w:val="00E26496"/>
    <w:rsid w:val="00E264CA"/>
    <w:rsid w:val="00E26643"/>
    <w:rsid w:val="00E2669E"/>
    <w:rsid w:val="00E266E4"/>
    <w:rsid w:val="00E2672F"/>
    <w:rsid w:val="00E26AA0"/>
    <w:rsid w:val="00E26CAE"/>
    <w:rsid w:val="00E27069"/>
    <w:rsid w:val="00E27332"/>
    <w:rsid w:val="00E27456"/>
    <w:rsid w:val="00E27477"/>
    <w:rsid w:val="00E27573"/>
    <w:rsid w:val="00E277F4"/>
    <w:rsid w:val="00E27F40"/>
    <w:rsid w:val="00E27FD1"/>
    <w:rsid w:val="00E30151"/>
    <w:rsid w:val="00E30431"/>
    <w:rsid w:val="00E306F2"/>
    <w:rsid w:val="00E30ABE"/>
    <w:rsid w:val="00E30AD0"/>
    <w:rsid w:val="00E30AF8"/>
    <w:rsid w:val="00E30B4A"/>
    <w:rsid w:val="00E30BE6"/>
    <w:rsid w:val="00E31169"/>
    <w:rsid w:val="00E311C9"/>
    <w:rsid w:val="00E312D0"/>
    <w:rsid w:val="00E313B3"/>
    <w:rsid w:val="00E31917"/>
    <w:rsid w:val="00E31949"/>
    <w:rsid w:val="00E31AC9"/>
    <w:rsid w:val="00E329F1"/>
    <w:rsid w:val="00E32A09"/>
    <w:rsid w:val="00E32DC2"/>
    <w:rsid w:val="00E332C1"/>
    <w:rsid w:val="00E332F6"/>
    <w:rsid w:val="00E33625"/>
    <w:rsid w:val="00E337C7"/>
    <w:rsid w:val="00E33A8A"/>
    <w:rsid w:val="00E33B17"/>
    <w:rsid w:val="00E33B84"/>
    <w:rsid w:val="00E33CC7"/>
    <w:rsid w:val="00E33D41"/>
    <w:rsid w:val="00E33D8E"/>
    <w:rsid w:val="00E33E3A"/>
    <w:rsid w:val="00E340E9"/>
    <w:rsid w:val="00E3465F"/>
    <w:rsid w:val="00E34AC1"/>
    <w:rsid w:val="00E34FD5"/>
    <w:rsid w:val="00E35194"/>
    <w:rsid w:val="00E35275"/>
    <w:rsid w:val="00E355DE"/>
    <w:rsid w:val="00E355F7"/>
    <w:rsid w:val="00E3566C"/>
    <w:rsid w:val="00E35859"/>
    <w:rsid w:val="00E35AD6"/>
    <w:rsid w:val="00E3603A"/>
    <w:rsid w:val="00E3605F"/>
    <w:rsid w:val="00E3615C"/>
    <w:rsid w:val="00E3617D"/>
    <w:rsid w:val="00E36366"/>
    <w:rsid w:val="00E364E4"/>
    <w:rsid w:val="00E36679"/>
    <w:rsid w:val="00E368C5"/>
    <w:rsid w:val="00E376A1"/>
    <w:rsid w:val="00E376E9"/>
    <w:rsid w:val="00E3783E"/>
    <w:rsid w:val="00E3794D"/>
    <w:rsid w:val="00E37A18"/>
    <w:rsid w:val="00E37A69"/>
    <w:rsid w:val="00E37BE9"/>
    <w:rsid w:val="00E40663"/>
    <w:rsid w:val="00E4088D"/>
    <w:rsid w:val="00E409AE"/>
    <w:rsid w:val="00E40C7F"/>
    <w:rsid w:val="00E40ECE"/>
    <w:rsid w:val="00E40F2E"/>
    <w:rsid w:val="00E411FD"/>
    <w:rsid w:val="00E412B9"/>
    <w:rsid w:val="00E4130D"/>
    <w:rsid w:val="00E417B6"/>
    <w:rsid w:val="00E419F9"/>
    <w:rsid w:val="00E42024"/>
    <w:rsid w:val="00E422FA"/>
    <w:rsid w:val="00E426FE"/>
    <w:rsid w:val="00E42C19"/>
    <w:rsid w:val="00E42E3B"/>
    <w:rsid w:val="00E42EA5"/>
    <w:rsid w:val="00E42FCD"/>
    <w:rsid w:val="00E431C6"/>
    <w:rsid w:val="00E432BE"/>
    <w:rsid w:val="00E432FE"/>
    <w:rsid w:val="00E43368"/>
    <w:rsid w:val="00E43664"/>
    <w:rsid w:val="00E43733"/>
    <w:rsid w:val="00E4376A"/>
    <w:rsid w:val="00E43A60"/>
    <w:rsid w:val="00E43D08"/>
    <w:rsid w:val="00E43D1A"/>
    <w:rsid w:val="00E43FE4"/>
    <w:rsid w:val="00E44240"/>
    <w:rsid w:val="00E442E5"/>
    <w:rsid w:val="00E444D7"/>
    <w:rsid w:val="00E446C3"/>
    <w:rsid w:val="00E446CA"/>
    <w:rsid w:val="00E447A8"/>
    <w:rsid w:val="00E4492E"/>
    <w:rsid w:val="00E44B29"/>
    <w:rsid w:val="00E45317"/>
    <w:rsid w:val="00E45693"/>
    <w:rsid w:val="00E458EA"/>
    <w:rsid w:val="00E45AFD"/>
    <w:rsid w:val="00E45E3D"/>
    <w:rsid w:val="00E462C7"/>
    <w:rsid w:val="00E463DC"/>
    <w:rsid w:val="00E464B2"/>
    <w:rsid w:val="00E4660B"/>
    <w:rsid w:val="00E469A2"/>
    <w:rsid w:val="00E46D66"/>
    <w:rsid w:val="00E473C8"/>
    <w:rsid w:val="00E477BC"/>
    <w:rsid w:val="00E477BE"/>
    <w:rsid w:val="00E47C1D"/>
    <w:rsid w:val="00E47D5E"/>
    <w:rsid w:val="00E47F80"/>
    <w:rsid w:val="00E5028A"/>
    <w:rsid w:val="00E50760"/>
    <w:rsid w:val="00E509B3"/>
    <w:rsid w:val="00E50D06"/>
    <w:rsid w:val="00E50F15"/>
    <w:rsid w:val="00E510E9"/>
    <w:rsid w:val="00E51440"/>
    <w:rsid w:val="00E51957"/>
    <w:rsid w:val="00E51ABE"/>
    <w:rsid w:val="00E51BC1"/>
    <w:rsid w:val="00E52346"/>
    <w:rsid w:val="00E526B6"/>
    <w:rsid w:val="00E526DE"/>
    <w:rsid w:val="00E5275F"/>
    <w:rsid w:val="00E53108"/>
    <w:rsid w:val="00E5357E"/>
    <w:rsid w:val="00E53BCC"/>
    <w:rsid w:val="00E53F91"/>
    <w:rsid w:val="00E5433F"/>
    <w:rsid w:val="00E54D7E"/>
    <w:rsid w:val="00E55098"/>
    <w:rsid w:val="00E550DD"/>
    <w:rsid w:val="00E555EC"/>
    <w:rsid w:val="00E557F3"/>
    <w:rsid w:val="00E55907"/>
    <w:rsid w:val="00E55B13"/>
    <w:rsid w:val="00E55C2E"/>
    <w:rsid w:val="00E55D73"/>
    <w:rsid w:val="00E55DCE"/>
    <w:rsid w:val="00E55EB2"/>
    <w:rsid w:val="00E56525"/>
    <w:rsid w:val="00E56765"/>
    <w:rsid w:val="00E56B1A"/>
    <w:rsid w:val="00E56D36"/>
    <w:rsid w:val="00E56FDF"/>
    <w:rsid w:val="00E57627"/>
    <w:rsid w:val="00E57651"/>
    <w:rsid w:val="00E57A46"/>
    <w:rsid w:val="00E57BEF"/>
    <w:rsid w:val="00E60701"/>
    <w:rsid w:val="00E6078B"/>
    <w:rsid w:val="00E60858"/>
    <w:rsid w:val="00E60D80"/>
    <w:rsid w:val="00E60F11"/>
    <w:rsid w:val="00E61164"/>
    <w:rsid w:val="00E61560"/>
    <w:rsid w:val="00E6173E"/>
    <w:rsid w:val="00E61758"/>
    <w:rsid w:val="00E6190A"/>
    <w:rsid w:val="00E619F9"/>
    <w:rsid w:val="00E61AB6"/>
    <w:rsid w:val="00E62313"/>
    <w:rsid w:val="00E623C5"/>
    <w:rsid w:val="00E62731"/>
    <w:rsid w:val="00E6273A"/>
    <w:rsid w:val="00E62B8C"/>
    <w:rsid w:val="00E62C49"/>
    <w:rsid w:val="00E62D5E"/>
    <w:rsid w:val="00E62F02"/>
    <w:rsid w:val="00E62F19"/>
    <w:rsid w:val="00E634DA"/>
    <w:rsid w:val="00E637D3"/>
    <w:rsid w:val="00E638B1"/>
    <w:rsid w:val="00E6398C"/>
    <w:rsid w:val="00E639D6"/>
    <w:rsid w:val="00E63A6D"/>
    <w:rsid w:val="00E63AAD"/>
    <w:rsid w:val="00E63B18"/>
    <w:rsid w:val="00E63B32"/>
    <w:rsid w:val="00E63B8D"/>
    <w:rsid w:val="00E63D4B"/>
    <w:rsid w:val="00E642FF"/>
    <w:rsid w:val="00E644AF"/>
    <w:rsid w:val="00E64616"/>
    <w:rsid w:val="00E64708"/>
    <w:rsid w:val="00E64B7E"/>
    <w:rsid w:val="00E64CF3"/>
    <w:rsid w:val="00E65447"/>
    <w:rsid w:val="00E654E9"/>
    <w:rsid w:val="00E65882"/>
    <w:rsid w:val="00E658E2"/>
    <w:rsid w:val="00E65A52"/>
    <w:rsid w:val="00E65A9B"/>
    <w:rsid w:val="00E65F5C"/>
    <w:rsid w:val="00E66306"/>
    <w:rsid w:val="00E66519"/>
    <w:rsid w:val="00E665C2"/>
    <w:rsid w:val="00E66628"/>
    <w:rsid w:val="00E66B76"/>
    <w:rsid w:val="00E66C22"/>
    <w:rsid w:val="00E66D7F"/>
    <w:rsid w:val="00E66F9F"/>
    <w:rsid w:val="00E674D9"/>
    <w:rsid w:val="00E67865"/>
    <w:rsid w:val="00E67CF8"/>
    <w:rsid w:val="00E70000"/>
    <w:rsid w:val="00E7004B"/>
    <w:rsid w:val="00E7007F"/>
    <w:rsid w:val="00E700B9"/>
    <w:rsid w:val="00E70197"/>
    <w:rsid w:val="00E70408"/>
    <w:rsid w:val="00E7055D"/>
    <w:rsid w:val="00E70811"/>
    <w:rsid w:val="00E708A3"/>
    <w:rsid w:val="00E70C2E"/>
    <w:rsid w:val="00E71366"/>
    <w:rsid w:val="00E71442"/>
    <w:rsid w:val="00E71D59"/>
    <w:rsid w:val="00E71E06"/>
    <w:rsid w:val="00E72526"/>
    <w:rsid w:val="00E725C2"/>
    <w:rsid w:val="00E729D1"/>
    <w:rsid w:val="00E72C0F"/>
    <w:rsid w:val="00E7319C"/>
    <w:rsid w:val="00E73D8D"/>
    <w:rsid w:val="00E74A5E"/>
    <w:rsid w:val="00E74B28"/>
    <w:rsid w:val="00E756B6"/>
    <w:rsid w:val="00E75AE9"/>
    <w:rsid w:val="00E75D93"/>
    <w:rsid w:val="00E7617B"/>
    <w:rsid w:val="00E765BD"/>
    <w:rsid w:val="00E772C4"/>
    <w:rsid w:val="00E773A1"/>
    <w:rsid w:val="00E77434"/>
    <w:rsid w:val="00E7789A"/>
    <w:rsid w:val="00E77EBD"/>
    <w:rsid w:val="00E81272"/>
    <w:rsid w:val="00E8139D"/>
    <w:rsid w:val="00E81452"/>
    <w:rsid w:val="00E81785"/>
    <w:rsid w:val="00E8182D"/>
    <w:rsid w:val="00E818D8"/>
    <w:rsid w:val="00E81DBF"/>
    <w:rsid w:val="00E8232A"/>
    <w:rsid w:val="00E82767"/>
    <w:rsid w:val="00E827A6"/>
    <w:rsid w:val="00E82974"/>
    <w:rsid w:val="00E82D11"/>
    <w:rsid w:val="00E82E7F"/>
    <w:rsid w:val="00E82F4D"/>
    <w:rsid w:val="00E83475"/>
    <w:rsid w:val="00E83822"/>
    <w:rsid w:val="00E83A41"/>
    <w:rsid w:val="00E83C0E"/>
    <w:rsid w:val="00E83C3D"/>
    <w:rsid w:val="00E83D53"/>
    <w:rsid w:val="00E840D2"/>
    <w:rsid w:val="00E8422A"/>
    <w:rsid w:val="00E842FD"/>
    <w:rsid w:val="00E845EB"/>
    <w:rsid w:val="00E84729"/>
    <w:rsid w:val="00E84C0C"/>
    <w:rsid w:val="00E851AA"/>
    <w:rsid w:val="00E85601"/>
    <w:rsid w:val="00E85B00"/>
    <w:rsid w:val="00E85BA9"/>
    <w:rsid w:val="00E86183"/>
    <w:rsid w:val="00E8631C"/>
    <w:rsid w:val="00E8631D"/>
    <w:rsid w:val="00E879D4"/>
    <w:rsid w:val="00E900D9"/>
    <w:rsid w:val="00E901F9"/>
    <w:rsid w:val="00E9031B"/>
    <w:rsid w:val="00E9061C"/>
    <w:rsid w:val="00E906AE"/>
    <w:rsid w:val="00E90733"/>
    <w:rsid w:val="00E90C53"/>
    <w:rsid w:val="00E90D28"/>
    <w:rsid w:val="00E91051"/>
    <w:rsid w:val="00E91468"/>
    <w:rsid w:val="00E914C6"/>
    <w:rsid w:val="00E9161C"/>
    <w:rsid w:val="00E917FA"/>
    <w:rsid w:val="00E91C02"/>
    <w:rsid w:val="00E91DB4"/>
    <w:rsid w:val="00E91EEA"/>
    <w:rsid w:val="00E922C6"/>
    <w:rsid w:val="00E9276E"/>
    <w:rsid w:val="00E92CD9"/>
    <w:rsid w:val="00E92E1D"/>
    <w:rsid w:val="00E9329C"/>
    <w:rsid w:val="00E933E4"/>
    <w:rsid w:val="00E934F0"/>
    <w:rsid w:val="00E93696"/>
    <w:rsid w:val="00E939D5"/>
    <w:rsid w:val="00E940E6"/>
    <w:rsid w:val="00E94515"/>
    <w:rsid w:val="00E94540"/>
    <w:rsid w:val="00E9469F"/>
    <w:rsid w:val="00E947F8"/>
    <w:rsid w:val="00E94A62"/>
    <w:rsid w:val="00E94D9B"/>
    <w:rsid w:val="00E95162"/>
    <w:rsid w:val="00E953A6"/>
    <w:rsid w:val="00E9549C"/>
    <w:rsid w:val="00E956DC"/>
    <w:rsid w:val="00E96266"/>
    <w:rsid w:val="00E96991"/>
    <w:rsid w:val="00E970F3"/>
    <w:rsid w:val="00E97682"/>
    <w:rsid w:val="00E97B32"/>
    <w:rsid w:val="00E97D94"/>
    <w:rsid w:val="00E97E6A"/>
    <w:rsid w:val="00E97F94"/>
    <w:rsid w:val="00E97F98"/>
    <w:rsid w:val="00EA02F2"/>
    <w:rsid w:val="00EA04E5"/>
    <w:rsid w:val="00EA06B5"/>
    <w:rsid w:val="00EA0748"/>
    <w:rsid w:val="00EA0BDD"/>
    <w:rsid w:val="00EA0CDB"/>
    <w:rsid w:val="00EA0D37"/>
    <w:rsid w:val="00EA0E87"/>
    <w:rsid w:val="00EA13E3"/>
    <w:rsid w:val="00EA1644"/>
    <w:rsid w:val="00EA1CBF"/>
    <w:rsid w:val="00EA20D4"/>
    <w:rsid w:val="00EA242D"/>
    <w:rsid w:val="00EA256F"/>
    <w:rsid w:val="00EA2918"/>
    <w:rsid w:val="00EA29EE"/>
    <w:rsid w:val="00EA2A05"/>
    <w:rsid w:val="00EA2A78"/>
    <w:rsid w:val="00EA2B72"/>
    <w:rsid w:val="00EA2FE8"/>
    <w:rsid w:val="00EA3124"/>
    <w:rsid w:val="00EA3204"/>
    <w:rsid w:val="00EA348A"/>
    <w:rsid w:val="00EA3CE9"/>
    <w:rsid w:val="00EA41EA"/>
    <w:rsid w:val="00EA4292"/>
    <w:rsid w:val="00EA462D"/>
    <w:rsid w:val="00EA46AE"/>
    <w:rsid w:val="00EA474F"/>
    <w:rsid w:val="00EA49FC"/>
    <w:rsid w:val="00EA4E6E"/>
    <w:rsid w:val="00EA5146"/>
    <w:rsid w:val="00EA51F0"/>
    <w:rsid w:val="00EA55BC"/>
    <w:rsid w:val="00EA5A07"/>
    <w:rsid w:val="00EA5B73"/>
    <w:rsid w:val="00EA6379"/>
    <w:rsid w:val="00EA65E8"/>
    <w:rsid w:val="00EA6C33"/>
    <w:rsid w:val="00EA6DAC"/>
    <w:rsid w:val="00EA7204"/>
    <w:rsid w:val="00EA736A"/>
    <w:rsid w:val="00EA73D9"/>
    <w:rsid w:val="00EA74A3"/>
    <w:rsid w:val="00EA74E2"/>
    <w:rsid w:val="00EA75C6"/>
    <w:rsid w:val="00EA7700"/>
    <w:rsid w:val="00EA7A80"/>
    <w:rsid w:val="00EA7AC7"/>
    <w:rsid w:val="00EA7E21"/>
    <w:rsid w:val="00EB0034"/>
    <w:rsid w:val="00EB026C"/>
    <w:rsid w:val="00EB0576"/>
    <w:rsid w:val="00EB0BB1"/>
    <w:rsid w:val="00EB0D98"/>
    <w:rsid w:val="00EB0E37"/>
    <w:rsid w:val="00EB0F53"/>
    <w:rsid w:val="00EB1358"/>
    <w:rsid w:val="00EB1629"/>
    <w:rsid w:val="00EB16E3"/>
    <w:rsid w:val="00EB1A59"/>
    <w:rsid w:val="00EB1BB1"/>
    <w:rsid w:val="00EB1C54"/>
    <w:rsid w:val="00EB1F34"/>
    <w:rsid w:val="00EB2600"/>
    <w:rsid w:val="00EB2898"/>
    <w:rsid w:val="00EB297D"/>
    <w:rsid w:val="00EB2F8D"/>
    <w:rsid w:val="00EB31B4"/>
    <w:rsid w:val="00EB3478"/>
    <w:rsid w:val="00EB347D"/>
    <w:rsid w:val="00EB38E1"/>
    <w:rsid w:val="00EB3A08"/>
    <w:rsid w:val="00EB3AD4"/>
    <w:rsid w:val="00EB427B"/>
    <w:rsid w:val="00EB4360"/>
    <w:rsid w:val="00EB444D"/>
    <w:rsid w:val="00EB45C6"/>
    <w:rsid w:val="00EB4823"/>
    <w:rsid w:val="00EB4AE0"/>
    <w:rsid w:val="00EB4C63"/>
    <w:rsid w:val="00EB542A"/>
    <w:rsid w:val="00EB54E4"/>
    <w:rsid w:val="00EB55F6"/>
    <w:rsid w:val="00EB5623"/>
    <w:rsid w:val="00EB5CD5"/>
    <w:rsid w:val="00EB5DAD"/>
    <w:rsid w:val="00EB5F57"/>
    <w:rsid w:val="00EB601A"/>
    <w:rsid w:val="00EB6617"/>
    <w:rsid w:val="00EB66BF"/>
    <w:rsid w:val="00EB687D"/>
    <w:rsid w:val="00EB6944"/>
    <w:rsid w:val="00EB7882"/>
    <w:rsid w:val="00EB7D5D"/>
    <w:rsid w:val="00EC018F"/>
    <w:rsid w:val="00EC05BB"/>
    <w:rsid w:val="00EC0884"/>
    <w:rsid w:val="00EC08E9"/>
    <w:rsid w:val="00EC0999"/>
    <w:rsid w:val="00EC0F3B"/>
    <w:rsid w:val="00EC10A9"/>
    <w:rsid w:val="00EC11FE"/>
    <w:rsid w:val="00EC17BB"/>
    <w:rsid w:val="00EC18D4"/>
    <w:rsid w:val="00EC1A58"/>
    <w:rsid w:val="00EC1B6F"/>
    <w:rsid w:val="00EC1CD2"/>
    <w:rsid w:val="00EC2140"/>
    <w:rsid w:val="00EC240D"/>
    <w:rsid w:val="00EC2494"/>
    <w:rsid w:val="00EC2508"/>
    <w:rsid w:val="00EC260A"/>
    <w:rsid w:val="00EC2B51"/>
    <w:rsid w:val="00EC2C32"/>
    <w:rsid w:val="00EC33D6"/>
    <w:rsid w:val="00EC349E"/>
    <w:rsid w:val="00EC3ACB"/>
    <w:rsid w:val="00EC3DC5"/>
    <w:rsid w:val="00EC3E24"/>
    <w:rsid w:val="00EC4232"/>
    <w:rsid w:val="00EC451E"/>
    <w:rsid w:val="00EC4AEE"/>
    <w:rsid w:val="00EC4B7F"/>
    <w:rsid w:val="00EC4C71"/>
    <w:rsid w:val="00EC4E53"/>
    <w:rsid w:val="00EC518A"/>
    <w:rsid w:val="00EC52E4"/>
    <w:rsid w:val="00EC55D1"/>
    <w:rsid w:val="00EC56D8"/>
    <w:rsid w:val="00EC58E0"/>
    <w:rsid w:val="00EC59F0"/>
    <w:rsid w:val="00EC6542"/>
    <w:rsid w:val="00EC729F"/>
    <w:rsid w:val="00EC7377"/>
    <w:rsid w:val="00EC76A5"/>
    <w:rsid w:val="00EC770C"/>
    <w:rsid w:val="00EC77C4"/>
    <w:rsid w:val="00EC7D98"/>
    <w:rsid w:val="00ED026C"/>
    <w:rsid w:val="00ED0533"/>
    <w:rsid w:val="00ED0AD1"/>
    <w:rsid w:val="00ED0AD3"/>
    <w:rsid w:val="00ED0EDE"/>
    <w:rsid w:val="00ED0F0A"/>
    <w:rsid w:val="00ED0F28"/>
    <w:rsid w:val="00ED1233"/>
    <w:rsid w:val="00ED1321"/>
    <w:rsid w:val="00ED15BB"/>
    <w:rsid w:val="00ED17CE"/>
    <w:rsid w:val="00ED1A8D"/>
    <w:rsid w:val="00ED1F9C"/>
    <w:rsid w:val="00ED2020"/>
    <w:rsid w:val="00ED2023"/>
    <w:rsid w:val="00ED21A9"/>
    <w:rsid w:val="00ED231D"/>
    <w:rsid w:val="00ED2613"/>
    <w:rsid w:val="00ED2941"/>
    <w:rsid w:val="00ED29F9"/>
    <w:rsid w:val="00ED2C32"/>
    <w:rsid w:val="00ED2EAD"/>
    <w:rsid w:val="00ED2EE9"/>
    <w:rsid w:val="00ED335D"/>
    <w:rsid w:val="00ED342C"/>
    <w:rsid w:val="00ED3808"/>
    <w:rsid w:val="00ED382B"/>
    <w:rsid w:val="00ED3CE9"/>
    <w:rsid w:val="00ED4215"/>
    <w:rsid w:val="00ED4402"/>
    <w:rsid w:val="00ED48F9"/>
    <w:rsid w:val="00ED49CB"/>
    <w:rsid w:val="00ED4D9A"/>
    <w:rsid w:val="00ED521B"/>
    <w:rsid w:val="00ED5289"/>
    <w:rsid w:val="00ED544F"/>
    <w:rsid w:val="00ED583F"/>
    <w:rsid w:val="00ED5C85"/>
    <w:rsid w:val="00ED5F3C"/>
    <w:rsid w:val="00ED6483"/>
    <w:rsid w:val="00ED64CC"/>
    <w:rsid w:val="00ED6776"/>
    <w:rsid w:val="00ED7192"/>
    <w:rsid w:val="00ED720E"/>
    <w:rsid w:val="00ED7570"/>
    <w:rsid w:val="00ED7845"/>
    <w:rsid w:val="00ED796C"/>
    <w:rsid w:val="00ED7C3D"/>
    <w:rsid w:val="00EE0123"/>
    <w:rsid w:val="00EE0319"/>
    <w:rsid w:val="00EE07DA"/>
    <w:rsid w:val="00EE0940"/>
    <w:rsid w:val="00EE0DE9"/>
    <w:rsid w:val="00EE200A"/>
    <w:rsid w:val="00EE25BF"/>
    <w:rsid w:val="00EE283D"/>
    <w:rsid w:val="00EE2B84"/>
    <w:rsid w:val="00EE2D66"/>
    <w:rsid w:val="00EE3097"/>
    <w:rsid w:val="00EE3672"/>
    <w:rsid w:val="00EE36D4"/>
    <w:rsid w:val="00EE3800"/>
    <w:rsid w:val="00EE3883"/>
    <w:rsid w:val="00EE38F5"/>
    <w:rsid w:val="00EE3BA2"/>
    <w:rsid w:val="00EE4243"/>
    <w:rsid w:val="00EE430C"/>
    <w:rsid w:val="00EE4C87"/>
    <w:rsid w:val="00EE4E2B"/>
    <w:rsid w:val="00EE5232"/>
    <w:rsid w:val="00EE52ED"/>
    <w:rsid w:val="00EE57BE"/>
    <w:rsid w:val="00EE5AC4"/>
    <w:rsid w:val="00EE5BB4"/>
    <w:rsid w:val="00EE5C77"/>
    <w:rsid w:val="00EE63C4"/>
    <w:rsid w:val="00EE698F"/>
    <w:rsid w:val="00EE6EAE"/>
    <w:rsid w:val="00EE746C"/>
    <w:rsid w:val="00EE7892"/>
    <w:rsid w:val="00EE7C7F"/>
    <w:rsid w:val="00EE7D6B"/>
    <w:rsid w:val="00EF0260"/>
    <w:rsid w:val="00EF0561"/>
    <w:rsid w:val="00EF05FC"/>
    <w:rsid w:val="00EF11DF"/>
    <w:rsid w:val="00EF11E0"/>
    <w:rsid w:val="00EF124D"/>
    <w:rsid w:val="00EF1510"/>
    <w:rsid w:val="00EF181D"/>
    <w:rsid w:val="00EF1A69"/>
    <w:rsid w:val="00EF1D79"/>
    <w:rsid w:val="00EF2132"/>
    <w:rsid w:val="00EF232E"/>
    <w:rsid w:val="00EF2458"/>
    <w:rsid w:val="00EF265C"/>
    <w:rsid w:val="00EF2795"/>
    <w:rsid w:val="00EF279B"/>
    <w:rsid w:val="00EF28D2"/>
    <w:rsid w:val="00EF2999"/>
    <w:rsid w:val="00EF299D"/>
    <w:rsid w:val="00EF2B47"/>
    <w:rsid w:val="00EF34A4"/>
    <w:rsid w:val="00EF391B"/>
    <w:rsid w:val="00EF398D"/>
    <w:rsid w:val="00EF3ABD"/>
    <w:rsid w:val="00EF3BB3"/>
    <w:rsid w:val="00EF3C4F"/>
    <w:rsid w:val="00EF43F6"/>
    <w:rsid w:val="00EF4434"/>
    <w:rsid w:val="00EF46B9"/>
    <w:rsid w:val="00EF473D"/>
    <w:rsid w:val="00EF4BE4"/>
    <w:rsid w:val="00EF4C18"/>
    <w:rsid w:val="00EF56A1"/>
    <w:rsid w:val="00EF56BF"/>
    <w:rsid w:val="00EF58F1"/>
    <w:rsid w:val="00EF5B7A"/>
    <w:rsid w:val="00EF5B86"/>
    <w:rsid w:val="00EF7147"/>
    <w:rsid w:val="00EF71D1"/>
    <w:rsid w:val="00EF741F"/>
    <w:rsid w:val="00EF746B"/>
    <w:rsid w:val="00EF76B1"/>
    <w:rsid w:val="00EF7D2D"/>
    <w:rsid w:val="00EF7E41"/>
    <w:rsid w:val="00EF7EB3"/>
    <w:rsid w:val="00EF7FD9"/>
    <w:rsid w:val="00F00AE7"/>
    <w:rsid w:val="00F011A2"/>
    <w:rsid w:val="00F011C0"/>
    <w:rsid w:val="00F014A8"/>
    <w:rsid w:val="00F015EA"/>
    <w:rsid w:val="00F0170A"/>
    <w:rsid w:val="00F0177F"/>
    <w:rsid w:val="00F01F7B"/>
    <w:rsid w:val="00F020A0"/>
    <w:rsid w:val="00F02280"/>
    <w:rsid w:val="00F02303"/>
    <w:rsid w:val="00F023E4"/>
    <w:rsid w:val="00F0266C"/>
    <w:rsid w:val="00F02A5C"/>
    <w:rsid w:val="00F02AC9"/>
    <w:rsid w:val="00F02B6F"/>
    <w:rsid w:val="00F02CE0"/>
    <w:rsid w:val="00F02CEA"/>
    <w:rsid w:val="00F02D4E"/>
    <w:rsid w:val="00F02D8D"/>
    <w:rsid w:val="00F02E0C"/>
    <w:rsid w:val="00F03B60"/>
    <w:rsid w:val="00F03B81"/>
    <w:rsid w:val="00F04892"/>
    <w:rsid w:val="00F04CE4"/>
    <w:rsid w:val="00F0525E"/>
    <w:rsid w:val="00F05494"/>
    <w:rsid w:val="00F0575D"/>
    <w:rsid w:val="00F05C2A"/>
    <w:rsid w:val="00F05D3B"/>
    <w:rsid w:val="00F05E0D"/>
    <w:rsid w:val="00F05E19"/>
    <w:rsid w:val="00F06198"/>
    <w:rsid w:val="00F064BF"/>
    <w:rsid w:val="00F06984"/>
    <w:rsid w:val="00F06EC7"/>
    <w:rsid w:val="00F0701B"/>
    <w:rsid w:val="00F07277"/>
    <w:rsid w:val="00F07B96"/>
    <w:rsid w:val="00F07C75"/>
    <w:rsid w:val="00F07D95"/>
    <w:rsid w:val="00F102F7"/>
    <w:rsid w:val="00F1051A"/>
    <w:rsid w:val="00F1088C"/>
    <w:rsid w:val="00F10FDB"/>
    <w:rsid w:val="00F1102A"/>
    <w:rsid w:val="00F110AF"/>
    <w:rsid w:val="00F11101"/>
    <w:rsid w:val="00F1170D"/>
    <w:rsid w:val="00F1175D"/>
    <w:rsid w:val="00F11C70"/>
    <w:rsid w:val="00F11F23"/>
    <w:rsid w:val="00F11FA8"/>
    <w:rsid w:val="00F121B0"/>
    <w:rsid w:val="00F1243C"/>
    <w:rsid w:val="00F12A5A"/>
    <w:rsid w:val="00F13165"/>
    <w:rsid w:val="00F13171"/>
    <w:rsid w:val="00F13BC6"/>
    <w:rsid w:val="00F13D68"/>
    <w:rsid w:val="00F14151"/>
    <w:rsid w:val="00F1436A"/>
    <w:rsid w:val="00F14A6E"/>
    <w:rsid w:val="00F15093"/>
    <w:rsid w:val="00F15606"/>
    <w:rsid w:val="00F15C1C"/>
    <w:rsid w:val="00F15DA4"/>
    <w:rsid w:val="00F1604C"/>
    <w:rsid w:val="00F167A9"/>
    <w:rsid w:val="00F1694E"/>
    <w:rsid w:val="00F17582"/>
    <w:rsid w:val="00F17F39"/>
    <w:rsid w:val="00F17F61"/>
    <w:rsid w:val="00F208DA"/>
    <w:rsid w:val="00F20919"/>
    <w:rsid w:val="00F20B82"/>
    <w:rsid w:val="00F210E9"/>
    <w:rsid w:val="00F213A6"/>
    <w:rsid w:val="00F214C3"/>
    <w:rsid w:val="00F2160F"/>
    <w:rsid w:val="00F2181D"/>
    <w:rsid w:val="00F21CB7"/>
    <w:rsid w:val="00F21D16"/>
    <w:rsid w:val="00F21E0C"/>
    <w:rsid w:val="00F22151"/>
    <w:rsid w:val="00F222A1"/>
    <w:rsid w:val="00F2255E"/>
    <w:rsid w:val="00F22BFB"/>
    <w:rsid w:val="00F22D4C"/>
    <w:rsid w:val="00F22F87"/>
    <w:rsid w:val="00F23240"/>
    <w:rsid w:val="00F23392"/>
    <w:rsid w:val="00F2380C"/>
    <w:rsid w:val="00F23830"/>
    <w:rsid w:val="00F23B9F"/>
    <w:rsid w:val="00F23EDC"/>
    <w:rsid w:val="00F2415E"/>
    <w:rsid w:val="00F2427D"/>
    <w:rsid w:val="00F242A6"/>
    <w:rsid w:val="00F243E3"/>
    <w:rsid w:val="00F24672"/>
    <w:rsid w:val="00F246A3"/>
    <w:rsid w:val="00F24960"/>
    <w:rsid w:val="00F24BEF"/>
    <w:rsid w:val="00F24C4D"/>
    <w:rsid w:val="00F24D00"/>
    <w:rsid w:val="00F24EA6"/>
    <w:rsid w:val="00F2583B"/>
    <w:rsid w:val="00F25DE7"/>
    <w:rsid w:val="00F25EB7"/>
    <w:rsid w:val="00F25EC3"/>
    <w:rsid w:val="00F25F98"/>
    <w:rsid w:val="00F25FB0"/>
    <w:rsid w:val="00F26492"/>
    <w:rsid w:val="00F26927"/>
    <w:rsid w:val="00F26A66"/>
    <w:rsid w:val="00F27605"/>
    <w:rsid w:val="00F27641"/>
    <w:rsid w:val="00F277B7"/>
    <w:rsid w:val="00F278C9"/>
    <w:rsid w:val="00F27B44"/>
    <w:rsid w:val="00F3012D"/>
    <w:rsid w:val="00F30223"/>
    <w:rsid w:val="00F304EF"/>
    <w:rsid w:val="00F307A6"/>
    <w:rsid w:val="00F308D7"/>
    <w:rsid w:val="00F30A15"/>
    <w:rsid w:val="00F31248"/>
    <w:rsid w:val="00F314AE"/>
    <w:rsid w:val="00F31ED4"/>
    <w:rsid w:val="00F328C4"/>
    <w:rsid w:val="00F331C9"/>
    <w:rsid w:val="00F331E6"/>
    <w:rsid w:val="00F334CF"/>
    <w:rsid w:val="00F33724"/>
    <w:rsid w:val="00F337DD"/>
    <w:rsid w:val="00F33D01"/>
    <w:rsid w:val="00F33FAB"/>
    <w:rsid w:val="00F347E9"/>
    <w:rsid w:val="00F34AA0"/>
    <w:rsid w:val="00F34CB1"/>
    <w:rsid w:val="00F34DD9"/>
    <w:rsid w:val="00F352E1"/>
    <w:rsid w:val="00F35A82"/>
    <w:rsid w:val="00F35D39"/>
    <w:rsid w:val="00F36164"/>
    <w:rsid w:val="00F36188"/>
    <w:rsid w:val="00F36259"/>
    <w:rsid w:val="00F36273"/>
    <w:rsid w:val="00F36508"/>
    <w:rsid w:val="00F36F7A"/>
    <w:rsid w:val="00F372AC"/>
    <w:rsid w:val="00F40095"/>
    <w:rsid w:val="00F408D3"/>
    <w:rsid w:val="00F4093B"/>
    <w:rsid w:val="00F40E42"/>
    <w:rsid w:val="00F412AA"/>
    <w:rsid w:val="00F417FF"/>
    <w:rsid w:val="00F41987"/>
    <w:rsid w:val="00F419B9"/>
    <w:rsid w:val="00F419F3"/>
    <w:rsid w:val="00F41A51"/>
    <w:rsid w:val="00F41A54"/>
    <w:rsid w:val="00F41ED5"/>
    <w:rsid w:val="00F4204E"/>
    <w:rsid w:val="00F42547"/>
    <w:rsid w:val="00F4264C"/>
    <w:rsid w:val="00F42850"/>
    <w:rsid w:val="00F4285A"/>
    <w:rsid w:val="00F4390A"/>
    <w:rsid w:val="00F43A81"/>
    <w:rsid w:val="00F446A4"/>
    <w:rsid w:val="00F4471F"/>
    <w:rsid w:val="00F448F4"/>
    <w:rsid w:val="00F44A24"/>
    <w:rsid w:val="00F44A67"/>
    <w:rsid w:val="00F44A7A"/>
    <w:rsid w:val="00F44E46"/>
    <w:rsid w:val="00F4513B"/>
    <w:rsid w:val="00F452BF"/>
    <w:rsid w:val="00F45AEF"/>
    <w:rsid w:val="00F45E5D"/>
    <w:rsid w:val="00F46588"/>
    <w:rsid w:val="00F466C9"/>
    <w:rsid w:val="00F4684B"/>
    <w:rsid w:val="00F468C4"/>
    <w:rsid w:val="00F46B4F"/>
    <w:rsid w:val="00F46BA7"/>
    <w:rsid w:val="00F46FE9"/>
    <w:rsid w:val="00F47320"/>
    <w:rsid w:val="00F4739A"/>
    <w:rsid w:val="00F474E5"/>
    <w:rsid w:val="00F508B3"/>
    <w:rsid w:val="00F5094E"/>
    <w:rsid w:val="00F50B2D"/>
    <w:rsid w:val="00F5108F"/>
    <w:rsid w:val="00F5117A"/>
    <w:rsid w:val="00F51648"/>
    <w:rsid w:val="00F518C1"/>
    <w:rsid w:val="00F523AD"/>
    <w:rsid w:val="00F523D3"/>
    <w:rsid w:val="00F52B14"/>
    <w:rsid w:val="00F52B7B"/>
    <w:rsid w:val="00F52C18"/>
    <w:rsid w:val="00F52CB9"/>
    <w:rsid w:val="00F53550"/>
    <w:rsid w:val="00F53ADB"/>
    <w:rsid w:val="00F53C6D"/>
    <w:rsid w:val="00F53F64"/>
    <w:rsid w:val="00F541AB"/>
    <w:rsid w:val="00F54994"/>
    <w:rsid w:val="00F54C9A"/>
    <w:rsid w:val="00F54CE2"/>
    <w:rsid w:val="00F55C3D"/>
    <w:rsid w:val="00F560F0"/>
    <w:rsid w:val="00F56254"/>
    <w:rsid w:val="00F568AA"/>
    <w:rsid w:val="00F56E9A"/>
    <w:rsid w:val="00F57010"/>
    <w:rsid w:val="00F571FE"/>
    <w:rsid w:val="00F574EB"/>
    <w:rsid w:val="00F579F1"/>
    <w:rsid w:val="00F57C25"/>
    <w:rsid w:val="00F60000"/>
    <w:rsid w:val="00F60057"/>
    <w:rsid w:val="00F6023E"/>
    <w:rsid w:val="00F607AE"/>
    <w:rsid w:val="00F6096D"/>
    <w:rsid w:val="00F60A0D"/>
    <w:rsid w:val="00F60B2C"/>
    <w:rsid w:val="00F60D43"/>
    <w:rsid w:val="00F6165D"/>
    <w:rsid w:val="00F618EB"/>
    <w:rsid w:val="00F61D6D"/>
    <w:rsid w:val="00F62585"/>
    <w:rsid w:val="00F625C1"/>
    <w:rsid w:val="00F6273A"/>
    <w:rsid w:val="00F62AA5"/>
    <w:rsid w:val="00F62F27"/>
    <w:rsid w:val="00F62F7E"/>
    <w:rsid w:val="00F631E5"/>
    <w:rsid w:val="00F63230"/>
    <w:rsid w:val="00F6338C"/>
    <w:rsid w:val="00F637D5"/>
    <w:rsid w:val="00F63A9D"/>
    <w:rsid w:val="00F63E54"/>
    <w:rsid w:val="00F63E73"/>
    <w:rsid w:val="00F644B5"/>
    <w:rsid w:val="00F64518"/>
    <w:rsid w:val="00F64592"/>
    <w:rsid w:val="00F64636"/>
    <w:rsid w:val="00F64C0A"/>
    <w:rsid w:val="00F650C7"/>
    <w:rsid w:val="00F65164"/>
    <w:rsid w:val="00F655E5"/>
    <w:rsid w:val="00F65703"/>
    <w:rsid w:val="00F65727"/>
    <w:rsid w:val="00F65E2F"/>
    <w:rsid w:val="00F66028"/>
    <w:rsid w:val="00F661FA"/>
    <w:rsid w:val="00F66692"/>
    <w:rsid w:val="00F66D2F"/>
    <w:rsid w:val="00F67319"/>
    <w:rsid w:val="00F6765D"/>
    <w:rsid w:val="00F67954"/>
    <w:rsid w:val="00F67B82"/>
    <w:rsid w:val="00F67EE5"/>
    <w:rsid w:val="00F67F9C"/>
    <w:rsid w:val="00F7049A"/>
    <w:rsid w:val="00F7060A"/>
    <w:rsid w:val="00F70B7F"/>
    <w:rsid w:val="00F7109C"/>
    <w:rsid w:val="00F711AD"/>
    <w:rsid w:val="00F71892"/>
    <w:rsid w:val="00F71BCB"/>
    <w:rsid w:val="00F71D54"/>
    <w:rsid w:val="00F71E32"/>
    <w:rsid w:val="00F71E65"/>
    <w:rsid w:val="00F71EA1"/>
    <w:rsid w:val="00F71ED9"/>
    <w:rsid w:val="00F720ED"/>
    <w:rsid w:val="00F726EE"/>
    <w:rsid w:val="00F72727"/>
    <w:rsid w:val="00F72B55"/>
    <w:rsid w:val="00F735D9"/>
    <w:rsid w:val="00F735F3"/>
    <w:rsid w:val="00F73763"/>
    <w:rsid w:val="00F73815"/>
    <w:rsid w:val="00F73E5A"/>
    <w:rsid w:val="00F73F7F"/>
    <w:rsid w:val="00F740D9"/>
    <w:rsid w:val="00F740FA"/>
    <w:rsid w:val="00F74879"/>
    <w:rsid w:val="00F74B13"/>
    <w:rsid w:val="00F74DE5"/>
    <w:rsid w:val="00F74EBF"/>
    <w:rsid w:val="00F75298"/>
    <w:rsid w:val="00F7567D"/>
    <w:rsid w:val="00F756D3"/>
    <w:rsid w:val="00F7595F"/>
    <w:rsid w:val="00F75DEE"/>
    <w:rsid w:val="00F768D0"/>
    <w:rsid w:val="00F76D96"/>
    <w:rsid w:val="00F76DB9"/>
    <w:rsid w:val="00F76FD3"/>
    <w:rsid w:val="00F77391"/>
    <w:rsid w:val="00F77CA2"/>
    <w:rsid w:val="00F77D36"/>
    <w:rsid w:val="00F77F7F"/>
    <w:rsid w:val="00F80107"/>
    <w:rsid w:val="00F804A8"/>
    <w:rsid w:val="00F807F1"/>
    <w:rsid w:val="00F80AC9"/>
    <w:rsid w:val="00F80E11"/>
    <w:rsid w:val="00F812F3"/>
    <w:rsid w:val="00F8137E"/>
    <w:rsid w:val="00F813CB"/>
    <w:rsid w:val="00F81454"/>
    <w:rsid w:val="00F814E9"/>
    <w:rsid w:val="00F817AC"/>
    <w:rsid w:val="00F822A2"/>
    <w:rsid w:val="00F82BF0"/>
    <w:rsid w:val="00F830E9"/>
    <w:rsid w:val="00F830F3"/>
    <w:rsid w:val="00F83144"/>
    <w:rsid w:val="00F831FB"/>
    <w:rsid w:val="00F832EA"/>
    <w:rsid w:val="00F833D3"/>
    <w:rsid w:val="00F83871"/>
    <w:rsid w:val="00F8387E"/>
    <w:rsid w:val="00F83C5F"/>
    <w:rsid w:val="00F83E30"/>
    <w:rsid w:val="00F84321"/>
    <w:rsid w:val="00F84395"/>
    <w:rsid w:val="00F843A9"/>
    <w:rsid w:val="00F845F0"/>
    <w:rsid w:val="00F84D72"/>
    <w:rsid w:val="00F85800"/>
    <w:rsid w:val="00F85A85"/>
    <w:rsid w:val="00F85F94"/>
    <w:rsid w:val="00F86F82"/>
    <w:rsid w:val="00F879F9"/>
    <w:rsid w:val="00F87BE3"/>
    <w:rsid w:val="00F900AB"/>
    <w:rsid w:val="00F90378"/>
    <w:rsid w:val="00F90BB1"/>
    <w:rsid w:val="00F90BCB"/>
    <w:rsid w:val="00F90C50"/>
    <w:rsid w:val="00F90E1F"/>
    <w:rsid w:val="00F90F6C"/>
    <w:rsid w:val="00F91057"/>
    <w:rsid w:val="00F91A5E"/>
    <w:rsid w:val="00F92851"/>
    <w:rsid w:val="00F92C9E"/>
    <w:rsid w:val="00F9339E"/>
    <w:rsid w:val="00F9355D"/>
    <w:rsid w:val="00F93BA6"/>
    <w:rsid w:val="00F93BFE"/>
    <w:rsid w:val="00F93C64"/>
    <w:rsid w:val="00F93F91"/>
    <w:rsid w:val="00F941DB"/>
    <w:rsid w:val="00F9498A"/>
    <w:rsid w:val="00F94F68"/>
    <w:rsid w:val="00F94FC2"/>
    <w:rsid w:val="00F95624"/>
    <w:rsid w:val="00F95AD9"/>
    <w:rsid w:val="00F963B2"/>
    <w:rsid w:val="00F96640"/>
    <w:rsid w:val="00F966B2"/>
    <w:rsid w:val="00F966CA"/>
    <w:rsid w:val="00F96AB2"/>
    <w:rsid w:val="00F96AB8"/>
    <w:rsid w:val="00F96D56"/>
    <w:rsid w:val="00F97341"/>
    <w:rsid w:val="00F97456"/>
    <w:rsid w:val="00F97569"/>
    <w:rsid w:val="00F977E0"/>
    <w:rsid w:val="00F97C16"/>
    <w:rsid w:val="00FA0517"/>
    <w:rsid w:val="00FA05A9"/>
    <w:rsid w:val="00FA06B8"/>
    <w:rsid w:val="00FA1506"/>
    <w:rsid w:val="00FA1967"/>
    <w:rsid w:val="00FA1A84"/>
    <w:rsid w:val="00FA1A97"/>
    <w:rsid w:val="00FA1B2C"/>
    <w:rsid w:val="00FA1D22"/>
    <w:rsid w:val="00FA2401"/>
    <w:rsid w:val="00FA2528"/>
    <w:rsid w:val="00FA2976"/>
    <w:rsid w:val="00FA2CB3"/>
    <w:rsid w:val="00FA2ECA"/>
    <w:rsid w:val="00FA30F8"/>
    <w:rsid w:val="00FA3956"/>
    <w:rsid w:val="00FA3A4C"/>
    <w:rsid w:val="00FA3E57"/>
    <w:rsid w:val="00FA3EC5"/>
    <w:rsid w:val="00FA513E"/>
    <w:rsid w:val="00FA54BA"/>
    <w:rsid w:val="00FA55BC"/>
    <w:rsid w:val="00FA576E"/>
    <w:rsid w:val="00FA5A90"/>
    <w:rsid w:val="00FA5C3F"/>
    <w:rsid w:val="00FA5FF4"/>
    <w:rsid w:val="00FA61C8"/>
    <w:rsid w:val="00FA61E4"/>
    <w:rsid w:val="00FA6375"/>
    <w:rsid w:val="00FA6ABA"/>
    <w:rsid w:val="00FA6C09"/>
    <w:rsid w:val="00FA6C73"/>
    <w:rsid w:val="00FA6F8C"/>
    <w:rsid w:val="00FA77FA"/>
    <w:rsid w:val="00FA7D9C"/>
    <w:rsid w:val="00FA7F1E"/>
    <w:rsid w:val="00FB0075"/>
    <w:rsid w:val="00FB048C"/>
    <w:rsid w:val="00FB08CE"/>
    <w:rsid w:val="00FB0902"/>
    <w:rsid w:val="00FB10AB"/>
    <w:rsid w:val="00FB1710"/>
    <w:rsid w:val="00FB1834"/>
    <w:rsid w:val="00FB1CB4"/>
    <w:rsid w:val="00FB1D81"/>
    <w:rsid w:val="00FB254D"/>
    <w:rsid w:val="00FB2655"/>
    <w:rsid w:val="00FB2A92"/>
    <w:rsid w:val="00FB2B65"/>
    <w:rsid w:val="00FB302A"/>
    <w:rsid w:val="00FB305F"/>
    <w:rsid w:val="00FB320B"/>
    <w:rsid w:val="00FB37F1"/>
    <w:rsid w:val="00FB387D"/>
    <w:rsid w:val="00FB38EF"/>
    <w:rsid w:val="00FB39CA"/>
    <w:rsid w:val="00FB3B35"/>
    <w:rsid w:val="00FB3F49"/>
    <w:rsid w:val="00FB44A0"/>
    <w:rsid w:val="00FB4649"/>
    <w:rsid w:val="00FB495C"/>
    <w:rsid w:val="00FB4E04"/>
    <w:rsid w:val="00FB5193"/>
    <w:rsid w:val="00FB53A6"/>
    <w:rsid w:val="00FB5442"/>
    <w:rsid w:val="00FB5557"/>
    <w:rsid w:val="00FB5709"/>
    <w:rsid w:val="00FB571A"/>
    <w:rsid w:val="00FB5A40"/>
    <w:rsid w:val="00FB5B09"/>
    <w:rsid w:val="00FB5F74"/>
    <w:rsid w:val="00FB6019"/>
    <w:rsid w:val="00FB6031"/>
    <w:rsid w:val="00FB61B6"/>
    <w:rsid w:val="00FB6E45"/>
    <w:rsid w:val="00FB6F69"/>
    <w:rsid w:val="00FB703D"/>
    <w:rsid w:val="00FB7077"/>
    <w:rsid w:val="00FB70DD"/>
    <w:rsid w:val="00FB7DCF"/>
    <w:rsid w:val="00FB7EF4"/>
    <w:rsid w:val="00FC0532"/>
    <w:rsid w:val="00FC068B"/>
    <w:rsid w:val="00FC0C1E"/>
    <w:rsid w:val="00FC0CEE"/>
    <w:rsid w:val="00FC1475"/>
    <w:rsid w:val="00FC155D"/>
    <w:rsid w:val="00FC1B57"/>
    <w:rsid w:val="00FC1B5D"/>
    <w:rsid w:val="00FC1DFC"/>
    <w:rsid w:val="00FC1ECA"/>
    <w:rsid w:val="00FC23AF"/>
    <w:rsid w:val="00FC2A6D"/>
    <w:rsid w:val="00FC356D"/>
    <w:rsid w:val="00FC3A36"/>
    <w:rsid w:val="00FC3AFF"/>
    <w:rsid w:val="00FC3D8A"/>
    <w:rsid w:val="00FC3D9C"/>
    <w:rsid w:val="00FC3E21"/>
    <w:rsid w:val="00FC41C3"/>
    <w:rsid w:val="00FC4CCA"/>
    <w:rsid w:val="00FC4D6F"/>
    <w:rsid w:val="00FC4F99"/>
    <w:rsid w:val="00FC5122"/>
    <w:rsid w:val="00FC53B7"/>
    <w:rsid w:val="00FC564B"/>
    <w:rsid w:val="00FC57B6"/>
    <w:rsid w:val="00FC5A58"/>
    <w:rsid w:val="00FC5FF0"/>
    <w:rsid w:val="00FC6291"/>
    <w:rsid w:val="00FC646D"/>
    <w:rsid w:val="00FC70B2"/>
    <w:rsid w:val="00FC7436"/>
    <w:rsid w:val="00FC793B"/>
    <w:rsid w:val="00FC7945"/>
    <w:rsid w:val="00FC7A48"/>
    <w:rsid w:val="00FC7C56"/>
    <w:rsid w:val="00FC7C79"/>
    <w:rsid w:val="00FD0009"/>
    <w:rsid w:val="00FD0151"/>
    <w:rsid w:val="00FD083D"/>
    <w:rsid w:val="00FD086F"/>
    <w:rsid w:val="00FD08ED"/>
    <w:rsid w:val="00FD0A23"/>
    <w:rsid w:val="00FD0A62"/>
    <w:rsid w:val="00FD0A9E"/>
    <w:rsid w:val="00FD0AA0"/>
    <w:rsid w:val="00FD0B39"/>
    <w:rsid w:val="00FD0DB2"/>
    <w:rsid w:val="00FD14B0"/>
    <w:rsid w:val="00FD16F4"/>
    <w:rsid w:val="00FD180D"/>
    <w:rsid w:val="00FD1A20"/>
    <w:rsid w:val="00FD1EEE"/>
    <w:rsid w:val="00FD1FAE"/>
    <w:rsid w:val="00FD229A"/>
    <w:rsid w:val="00FD25A3"/>
    <w:rsid w:val="00FD3253"/>
    <w:rsid w:val="00FD32C4"/>
    <w:rsid w:val="00FD34B9"/>
    <w:rsid w:val="00FD37DD"/>
    <w:rsid w:val="00FD3A61"/>
    <w:rsid w:val="00FD3CB2"/>
    <w:rsid w:val="00FD3D53"/>
    <w:rsid w:val="00FD3DF7"/>
    <w:rsid w:val="00FD3FC3"/>
    <w:rsid w:val="00FD42DD"/>
    <w:rsid w:val="00FD4312"/>
    <w:rsid w:val="00FD431C"/>
    <w:rsid w:val="00FD44A1"/>
    <w:rsid w:val="00FD476F"/>
    <w:rsid w:val="00FD4F4B"/>
    <w:rsid w:val="00FD52EA"/>
    <w:rsid w:val="00FD5B38"/>
    <w:rsid w:val="00FD5DFF"/>
    <w:rsid w:val="00FD5F0A"/>
    <w:rsid w:val="00FD5FFE"/>
    <w:rsid w:val="00FD64AE"/>
    <w:rsid w:val="00FD6B54"/>
    <w:rsid w:val="00FD6E7C"/>
    <w:rsid w:val="00FD7358"/>
    <w:rsid w:val="00FD76A4"/>
    <w:rsid w:val="00FD77A6"/>
    <w:rsid w:val="00FD7A1F"/>
    <w:rsid w:val="00FD7AF2"/>
    <w:rsid w:val="00FD7B99"/>
    <w:rsid w:val="00FD7BD1"/>
    <w:rsid w:val="00FE00F9"/>
    <w:rsid w:val="00FE0306"/>
    <w:rsid w:val="00FE05C7"/>
    <w:rsid w:val="00FE05D4"/>
    <w:rsid w:val="00FE0A48"/>
    <w:rsid w:val="00FE0B2E"/>
    <w:rsid w:val="00FE1A0D"/>
    <w:rsid w:val="00FE1F2A"/>
    <w:rsid w:val="00FE20A2"/>
    <w:rsid w:val="00FE2245"/>
    <w:rsid w:val="00FE2831"/>
    <w:rsid w:val="00FE2947"/>
    <w:rsid w:val="00FE2ADA"/>
    <w:rsid w:val="00FE2B13"/>
    <w:rsid w:val="00FE2D38"/>
    <w:rsid w:val="00FE2DB2"/>
    <w:rsid w:val="00FE2E08"/>
    <w:rsid w:val="00FE31B7"/>
    <w:rsid w:val="00FE33E9"/>
    <w:rsid w:val="00FE368C"/>
    <w:rsid w:val="00FE3CFD"/>
    <w:rsid w:val="00FE4039"/>
    <w:rsid w:val="00FE4118"/>
    <w:rsid w:val="00FE44E1"/>
    <w:rsid w:val="00FE45DB"/>
    <w:rsid w:val="00FE4B3F"/>
    <w:rsid w:val="00FE4C11"/>
    <w:rsid w:val="00FE4DDA"/>
    <w:rsid w:val="00FE52BB"/>
    <w:rsid w:val="00FE52C2"/>
    <w:rsid w:val="00FE5788"/>
    <w:rsid w:val="00FE598F"/>
    <w:rsid w:val="00FE608C"/>
    <w:rsid w:val="00FE6BFE"/>
    <w:rsid w:val="00FE71CD"/>
    <w:rsid w:val="00FE737F"/>
    <w:rsid w:val="00FE758E"/>
    <w:rsid w:val="00FE7786"/>
    <w:rsid w:val="00FE7BAB"/>
    <w:rsid w:val="00FE7CC4"/>
    <w:rsid w:val="00FE7DBF"/>
    <w:rsid w:val="00FF0026"/>
    <w:rsid w:val="00FF003D"/>
    <w:rsid w:val="00FF0A19"/>
    <w:rsid w:val="00FF0E0D"/>
    <w:rsid w:val="00FF0E34"/>
    <w:rsid w:val="00FF1074"/>
    <w:rsid w:val="00FF1219"/>
    <w:rsid w:val="00FF1FA9"/>
    <w:rsid w:val="00FF21C0"/>
    <w:rsid w:val="00FF260F"/>
    <w:rsid w:val="00FF28A5"/>
    <w:rsid w:val="00FF2E86"/>
    <w:rsid w:val="00FF3430"/>
    <w:rsid w:val="00FF360C"/>
    <w:rsid w:val="00FF39CC"/>
    <w:rsid w:val="00FF403F"/>
    <w:rsid w:val="00FF46D7"/>
    <w:rsid w:val="00FF46E5"/>
    <w:rsid w:val="00FF4831"/>
    <w:rsid w:val="00FF49D0"/>
    <w:rsid w:val="00FF4A09"/>
    <w:rsid w:val="00FF4C0B"/>
    <w:rsid w:val="00FF5023"/>
    <w:rsid w:val="00FF5390"/>
    <w:rsid w:val="00FF53A5"/>
    <w:rsid w:val="00FF5686"/>
    <w:rsid w:val="00FF569F"/>
    <w:rsid w:val="00FF571C"/>
    <w:rsid w:val="00FF590B"/>
    <w:rsid w:val="00FF59DB"/>
    <w:rsid w:val="00FF6153"/>
    <w:rsid w:val="00FF65CF"/>
    <w:rsid w:val="00FF693B"/>
    <w:rsid w:val="00FF6B37"/>
    <w:rsid w:val="00FF6C31"/>
    <w:rsid w:val="00FF6DEF"/>
    <w:rsid w:val="00FF6F80"/>
    <w:rsid w:val="00FF7BD0"/>
    <w:rsid w:val="00FF7CC8"/>
    <w:rsid w:val="00FF7F3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43169"/>
    <o:shapelayout v:ext="edit">
      <o:idmap v:ext="edit" data="1"/>
    </o:shapelayout>
  </w:shapeDefaults>
  <w:decimalSymbol w:val=","/>
  <w:listSeparator w:val=","/>
  <w14:docId w14:val="39CA9EF6"/>
  <w15:docId w15:val="{0EB955E9-6A46-4B44-8D28-D05CF320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0CEE"/>
    <w:rPr>
      <w:sz w:val="24"/>
      <w:lang w:eastAsia="en-US"/>
    </w:rPr>
  </w:style>
  <w:style w:type="paragraph" w:styleId="Ttulo1">
    <w:name w:val="heading 1"/>
    <w:basedOn w:val="Normal"/>
    <w:next w:val="Normal"/>
    <w:link w:val="Ttulo1Car"/>
    <w:qFormat/>
    <w:rsid w:val="006B3679"/>
    <w:pPr>
      <w:keepNext/>
      <w:ind w:left="284" w:hanging="284"/>
      <w:outlineLvl w:val="0"/>
    </w:pPr>
    <w:rPr>
      <w:b/>
      <w:sz w:val="20"/>
      <w:lang w:val="es-ES_tradnl"/>
    </w:rPr>
  </w:style>
  <w:style w:type="paragraph" w:styleId="Ttulo2">
    <w:name w:val="heading 2"/>
    <w:basedOn w:val="Normal"/>
    <w:next w:val="Normal"/>
    <w:link w:val="Ttulo2Car"/>
    <w:uiPriority w:val="9"/>
    <w:qFormat/>
    <w:rsid w:val="006B3679"/>
    <w:pPr>
      <w:keepNext/>
      <w:jc w:val="both"/>
      <w:outlineLvl w:val="1"/>
    </w:pPr>
    <w:rPr>
      <w:u w:val="single"/>
      <w:lang w:val="es-ES_tradnl"/>
    </w:rPr>
  </w:style>
  <w:style w:type="paragraph" w:styleId="Ttulo3">
    <w:name w:val="heading 3"/>
    <w:basedOn w:val="Normal"/>
    <w:next w:val="Normal"/>
    <w:link w:val="Ttulo3Car"/>
    <w:qFormat/>
    <w:rsid w:val="006B3679"/>
    <w:pPr>
      <w:keepNext/>
      <w:ind w:left="142" w:hanging="142"/>
      <w:outlineLvl w:val="2"/>
    </w:pPr>
    <w:rPr>
      <w:b/>
      <w:lang w:val="es-ES_tradnl"/>
    </w:rPr>
  </w:style>
  <w:style w:type="paragraph" w:styleId="Ttulo4">
    <w:name w:val="heading 4"/>
    <w:basedOn w:val="Normal"/>
    <w:next w:val="Normal"/>
    <w:link w:val="Ttulo4Car"/>
    <w:qFormat/>
    <w:rsid w:val="006B3679"/>
    <w:pPr>
      <w:keepNext/>
      <w:ind w:left="284" w:hanging="284"/>
      <w:jc w:val="both"/>
      <w:outlineLvl w:val="3"/>
    </w:pPr>
    <w:rPr>
      <w:b/>
      <w:lang w:val="es-ES_tradnl"/>
    </w:rPr>
  </w:style>
  <w:style w:type="paragraph" w:styleId="Ttulo5">
    <w:name w:val="heading 5"/>
    <w:basedOn w:val="Normal"/>
    <w:next w:val="Normal"/>
    <w:link w:val="Ttulo5Car"/>
    <w:qFormat/>
    <w:rsid w:val="006B3679"/>
    <w:pPr>
      <w:keepNext/>
      <w:ind w:left="284" w:hanging="284"/>
      <w:jc w:val="right"/>
      <w:outlineLvl w:val="4"/>
    </w:pPr>
    <w:rPr>
      <w:sz w:val="20"/>
      <w:u w:val="single"/>
      <w:lang w:val="es-ES_tradnl"/>
    </w:rPr>
  </w:style>
  <w:style w:type="paragraph" w:styleId="Ttulo6">
    <w:name w:val="heading 6"/>
    <w:basedOn w:val="Normal"/>
    <w:next w:val="Normal"/>
    <w:link w:val="Ttulo6Car"/>
    <w:qFormat/>
    <w:rsid w:val="006B3679"/>
    <w:pPr>
      <w:keepNext/>
      <w:ind w:left="284" w:hanging="284"/>
      <w:outlineLvl w:val="5"/>
    </w:pPr>
    <w:rPr>
      <w:b/>
      <w:lang w:val="es-ES_tradnl"/>
    </w:rPr>
  </w:style>
  <w:style w:type="paragraph" w:styleId="Ttulo7">
    <w:name w:val="heading 7"/>
    <w:basedOn w:val="Normal"/>
    <w:next w:val="Normal"/>
    <w:link w:val="Ttulo7Car"/>
    <w:qFormat/>
    <w:rsid w:val="006B3679"/>
    <w:pPr>
      <w:keepNext/>
      <w:ind w:left="142"/>
      <w:outlineLvl w:val="6"/>
    </w:pPr>
    <w:rPr>
      <w:b/>
      <w:sz w:val="22"/>
      <w:lang w:val="es-ES_tradnl"/>
    </w:rPr>
  </w:style>
  <w:style w:type="paragraph" w:styleId="Ttulo8">
    <w:name w:val="heading 8"/>
    <w:basedOn w:val="Normal"/>
    <w:next w:val="Normal"/>
    <w:link w:val="Ttulo8Car"/>
    <w:qFormat/>
    <w:rsid w:val="006B3679"/>
    <w:pPr>
      <w:keepNext/>
      <w:jc w:val="center"/>
      <w:outlineLvl w:val="7"/>
    </w:pPr>
    <w:rPr>
      <w:b/>
      <w:sz w:val="22"/>
      <w:u w:val="single"/>
      <w:lang w:val="es-ES_tradnl"/>
    </w:rPr>
  </w:style>
  <w:style w:type="paragraph" w:styleId="Ttulo9">
    <w:name w:val="heading 9"/>
    <w:basedOn w:val="Normal"/>
    <w:next w:val="Normal"/>
    <w:link w:val="Ttulo9Car"/>
    <w:qFormat/>
    <w:rsid w:val="006B3679"/>
    <w:pPr>
      <w:keepNext/>
      <w:ind w:left="284" w:hanging="284"/>
      <w:jc w:val="center"/>
      <w:outlineLvl w:val="8"/>
    </w:pPr>
    <w:rPr>
      <w:b/>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6B3679"/>
    <w:pPr>
      <w:ind w:left="284" w:hanging="284"/>
      <w:jc w:val="both"/>
    </w:pPr>
    <w:rPr>
      <w:b/>
      <w:lang w:val="es-ES_tradnl"/>
    </w:rPr>
  </w:style>
  <w:style w:type="paragraph" w:styleId="Textoindependiente">
    <w:name w:val="Body Text"/>
    <w:basedOn w:val="Normal"/>
    <w:link w:val="TextoindependienteCar"/>
    <w:rsid w:val="006B3679"/>
    <w:pPr>
      <w:jc w:val="both"/>
    </w:pPr>
    <w:rPr>
      <w:lang w:val="es-ES_tradnl"/>
    </w:rPr>
  </w:style>
  <w:style w:type="paragraph" w:styleId="Sangra2detindependiente">
    <w:name w:val="Body Text Indent 2"/>
    <w:basedOn w:val="Normal"/>
    <w:link w:val="Sangra2detindependienteCar"/>
    <w:rsid w:val="006B3679"/>
    <w:pPr>
      <w:ind w:left="567"/>
      <w:jc w:val="both"/>
    </w:pPr>
    <w:rPr>
      <w:bCs/>
      <w:lang w:val="es-ES_tradnl"/>
    </w:rPr>
  </w:style>
  <w:style w:type="character" w:styleId="Refdecomentario">
    <w:name w:val="annotation reference"/>
    <w:basedOn w:val="Fuentedeprrafopredeter"/>
    <w:uiPriority w:val="99"/>
    <w:rsid w:val="006B3679"/>
    <w:rPr>
      <w:sz w:val="16"/>
      <w:szCs w:val="16"/>
    </w:rPr>
  </w:style>
  <w:style w:type="paragraph" w:styleId="Textocomentario">
    <w:name w:val="annotation text"/>
    <w:basedOn w:val="Normal"/>
    <w:link w:val="TextocomentarioCar"/>
    <w:uiPriority w:val="99"/>
    <w:rsid w:val="006B3679"/>
    <w:rPr>
      <w:sz w:val="20"/>
    </w:rPr>
  </w:style>
  <w:style w:type="paragraph" w:styleId="Encabezado">
    <w:name w:val="header"/>
    <w:basedOn w:val="Normal"/>
    <w:link w:val="EncabezadoCar"/>
    <w:rsid w:val="006B3679"/>
    <w:pPr>
      <w:tabs>
        <w:tab w:val="center" w:pos="4419"/>
        <w:tab w:val="right" w:pos="8838"/>
      </w:tabs>
    </w:pPr>
  </w:style>
  <w:style w:type="paragraph" w:styleId="Piedepgina">
    <w:name w:val="footer"/>
    <w:basedOn w:val="Normal"/>
    <w:link w:val="PiedepginaCar"/>
    <w:rsid w:val="00E05C63"/>
    <w:pPr>
      <w:tabs>
        <w:tab w:val="center" w:pos="4419"/>
        <w:tab w:val="right" w:pos="8838"/>
      </w:tabs>
    </w:pPr>
    <w:rPr>
      <w:rFonts w:ascii="Arial" w:hAnsi="Arial" w:cs="Arial"/>
      <w:lang w:val="it-IT"/>
    </w:rPr>
  </w:style>
  <w:style w:type="paragraph" w:styleId="Textoindependiente2">
    <w:name w:val="Body Text 2"/>
    <w:basedOn w:val="Normal"/>
    <w:link w:val="Textoindependiente2Car"/>
    <w:uiPriority w:val="99"/>
    <w:rsid w:val="006B3679"/>
    <w:rPr>
      <w:b/>
      <w:sz w:val="22"/>
      <w:lang w:val="es-ES_tradnl"/>
    </w:rPr>
  </w:style>
  <w:style w:type="paragraph" w:styleId="Textonotaalfinal">
    <w:name w:val="endnote text"/>
    <w:basedOn w:val="Normal"/>
    <w:link w:val="TextonotaalfinalCar"/>
    <w:rsid w:val="006B3679"/>
    <w:pPr>
      <w:jc w:val="both"/>
    </w:pPr>
    <w:rPr>
      <w:lang w:val="es-ES_tradnl"/>
    </w:rPr>
  </w:style>
  <w:style w:type="paragraph" w:styleId="Textoindependiente3">
    <w:name w:val="Body Text 3"/>
    <w:basedOn w:val="Normal"/>
    <w:link w:val="Textoindependiente3Car"/>
    <w:rsid w:val="006B3679"/>
    <w:pPr>
      <w:jc w:val="both"/>
    </w:pPr>
    <w:rPr>
      <w:sz w:val="22"/>
    </w:rPr>
  </w:style>
  <w:style w:type="paragraph" w:customStyle="1" w:styleId="Doble">
    <w:name w:val="Doble"/>
    <w:basedOn w:val="Normal"/>
    <w:rsid w:val="006B3679"/>
    <w:pPr>
      <w:jc w:val="right"/>
    </w:pPr>
    <w:rPr>
      <w:sz w:val="20"/>
      <w:u w:val="double"/>
      <w:lang w:val="es-ES_tradnl"/>
    </w:rPr>
  </w:style>
  <w:style w:type="paragraph" w:styleId="Sangra3detindependiente">
    <w:name w:val="Body Text Indent 3"/>
    <w:basedOn w:val="Normal"/>
    <w:link w:val="Sangra3detindependienteCar"/>
    <w:rsid w:val="006B3679"/>
    <w:pPr>
      <w:tabs>
        <w:tab w:val="left" w:pos="5458"/>
        <w:tab w:val="left" w:pos="7080"/>
        <w:tab w:val="left" w:pos="8702"/>
        <w:tab w:val="left" w:pos="10325"/>
        <w:tab w:val="left" w:pos="11947"/>
        <w:tab w:val="left" w:pos="13570"/>
      </w:tabs>
      <w:ind w:left="567" w:hanging="283"/>
      <w:jc w:val="both"/>
    </w:pPr>
    <w:rPr>
      <w:sz w:val="22"/>
      <w:lang w:val="es-ES_tradnl"/>
    </w:rPr>
  </w:style>
  <w:style w:type="paragraph" w:customStyle="1" w:styleId="Notacuerpo">
    <w:name w:val="Nota cuerpo"/>
    <w:basedOn w:val="Normal"/>
    <w:rsid w:val="006B36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jc w:val="both"/>
    </w:pPr>
    <w:rPr>
      <w:rFonts w:ascii="Arial" w:hAnsi="Arial"/>
      <w:lang w:val="en-US"/>
    </w:rPr>
  </w:style>
  <w:style w:type="paragraph" w:customStyle="1" w:styleId="Auditor">
    <w:name w:val="Auditor"/>
    <w:basedOn w:val="Normal"/>
    <w:rsid w:val="006B3679"/>
    <w:pPr>
      <w:spacing w:line="360" w:lineRule="auto"/>
      <w:jc w:val="both"/>
    </w:pPr>
    <w:rPr>
      <w:rFonts w:ascii="Book Antiqua" w:hAnsi="Book Antiqua"/>
      <w:sz w:val="20"/>
      <w:lang w:val="es-ES_tradnl"/>
    </w:rPr>
  </w:style>
  <w:style w:type="paragraph" w:customStyle="1" w:styleId="Textoinfaud">
    <w:name w:val="Texto inf. aud."/>
    <w:basedOn w:val="Normal"/>
    <w:rsid w:val="006B3679"/>
    <w:pPr>
      <w:tabs>
        <w:tab w:val="left" w:pos="720"/>
      </w:tabs>
      <w:spacing w:line="360" w:lineRule="atLeast"/>
      <w:jc w:val="both"/>
    </w:pPr>
    <w:rPr>
      <w:rFonts w:ascii="Book Antiqua" w:hAnsi="Book Antiqua"/>
      <w:sz w:val="20"/>
      <w:lang w:val="es-ES_tradnl"/>
    </w:rPr>
  </w:style>
  <w:style w:type="paragraph" w:customStyle="1" w:styleId="Ttulonota">
    <w:name w:val="Título nota"/>
    <w:basedOn w:val="Normal"/>
    <w:rsid w:val="006B3679"/>
    <w:pPr>
      <w:jc w:val="both"/>
    </w:pPr>
    <w:rPr>
      <w:rFonts w:ascii="Book Antiqua" w:hAnsi="Book Antiqua"/>
      <w:b/>
      <w:sz w:val="22"/>
      <w:lang w:val="es-ES_tradnl"/>
    </w:rPr>
  </w:style>
  <w:style w:type="paragraph" w:customStyle="1" w:styleId="Textonota">
    <w:name w:val="Texto nota"/>
    <w:basedOn w:val="Normal"/>
    <w:rsid w:val="006B3679"/>
    <w:pPr>
      <w:ind w:left="432"/>
      <w:jc w:val="both"/>
    </w:pPr>
    <w:rPr>
      <w:rFonts w:ascii="Book Antiqua" w:hAnsi="Book Antiqua"/>
      <w:sz w:val="20"/>
      <w:lang w:val="es-ES_tradnl"/>
    </w:rPr>
  </w:style>
  <w:style w:type="paragraph" w:customStyle="1" w:styleId="Textonota1">
    <w:name w:val="Texto nota 1"/>
    <w:basedOn w:val="Textonota"/>
    <w:rsid w:val="006B3679"/>
    <w:pPr>
      <w:ind w:left="792"/>
    </w:pPr>
  </w:style>
  <w:style w:type="paragraph" w:styleId="Textodeglobo">
    <w:name w:val="Balloon Text"/>
    <w:basedOn w:val="Normal"/>
    <w:link w:val="TextodegloboCar"/>
    <w:uiPriority w:val="99"/>
    <w:rsid w:val="006B3679"/>
    <w:rPr>
      <w:rFonts w:ascii="Tahoma" w:hAnsi="Tahoma" w:cs="Tahoma"/>
      <w:sz w:val="16"/>
      <w:szCs w:val="16"/>
    </w:rPr>
  </w:style>
  <w:style w:type="character" w:styleId="Nmerodepgina">
    <w:name w:val="page number"/>
    <w:basedOn w:val="Fuentedeprrafopredeter"/>
    <w:rsid w:val="006B3679"/>
  </w:style>
  <w:style w:type="paragraph" w:customStyle="1" w:styleId="Textodenotaalfinal">
    <w:name w:val="Texto de nota al final"/>
    <w:basedOn w:val="Normal"/>
    <w:rsid w:val="006B3679"/>
    <w:pPr>
      <w:widowControl w:val="0"/>
      <w:jc w:val="both"/>
    </w:pPr>
    <w:rPr>
      <w:lang w:val="es-ES_tradnl"/>
    </w:rPr>
  </w:style>
  <w:style w:type="paragraph" w:customStyle="1" w:styleId="Ttuloprincipal">
    <w:name w:val="Título principal"/>
    <w:basedOn w:val="Normal"/>
    <w:rsid w:val="006B3679"/>
    <w:pPr>
      <w:jc w:val="center"/>
    </w:pPr>
    <w:rPr>
      <w:rFonts w:ascii="Book Antiqua" w:hAnsi="Book Antiqua"/>
      <w:b/>
      <w:lang w:val="es-ES_tradnl"/>
    </w:rPr>
  </w:style>
  <w:style w:type="paragraph" w:customStyle="1" w:styleId="Texto">
    <w:name w:val="Texto"/>
    <w:basedOn w:val="Textonota"/>
    <w:rsid w:val="006B3679"/>
    <w:pPr>
      <w:ind w:left="0"/>
    </w:pPr>
  </w:style>
  <w:style w:type="paragraph" w:customStyle="1" w:styleId="Tituloprincipal">
    <w:name w:val="Titulo principal"/>
    <w:basedOn w:val="Normal"/>
    <w:rsid w:val="006B3679"/>
    <w:rPr>
      <w:rFonts w:ascii="Book Antiqua" w:hAnsi="Book Antiqua"/>
      <w:b/>
      <w:lang w:val="es-ES_tradnl"/>
    </w:rPr>
  </w:style>
  <w:style w:type="paragraph" w:styleId="Ttulo">
    <w:name w:val="Title"/>
    <w:basedOn w:val="Normal"/>
    <w:link w:val="TtuloCar"/>
    <w:qFormat/>
    <w:rsid w:val="006B3679"/>
    <w:pPr>
      <w:jc w:val="center"/>
    </w:pPr>
    <w:rPr>
      <w:b/>
      <w:bCs/>
      <w:sz w:val="32"/>
      <w:szCs w:val="24"/>
      <w:lang w:bidi="he-IL"/>
    </w:rPr>
  </w:style>
  <w:style w:type="paragraph" w:customStyle="1" w:styleId="Pie">
    <w:name w:val="Pie"/>
    <w:basedOn w:val="Normal"/>
    <w:rsid w:val="003C7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hAnsi="Arial"/>
      <w:sz w:val="16"/>
      <w:lang w:val="en-US" w:eastAsia="es-ES"/>
    </w:rPr>
  </w:style>
  <w:style w:type="paragraph" w:customStyle="1" w:styleId="consideration">
    <w:name w:val="consideration"/>
    <w:basedOn w:val="Normal"/>
    <w:rsid w:val="006B3679"/>
    <w:pPr>
      <w:tabs>
        <w:tab w:val="left" w:pos="288"/>
      </w:tabs>
      <w:spacing w:before="120"/>
      <w:ind w:left="576" w:hanging="288"/>
    </w:pPr>
    <w:rPr>
      <w:i/>
      <w:sz w:val="22"/>
      <w:lang w:val="en-US"/>
    </w:rPr>
  </w:style>
  <w:style w:type="paragraph" w:customStyle="1" w:styleId="Notacuerpo1">
    <w:name w:val="Nota cuerpo:1"/>
    <w:basedOn w:val="Normal"/>
    <w:rsid w:val="00BE384E"/>
    <w:pPr>
      <w:ind w:left="1440"/>
      <w:jc w:val="both"/>
    </w:pPr>
    <w:rPr>
      <w:rFonts w:ascii="Arial" w:hAnsi="Arial"/>
      <w:noProof/>
      <w:lang w:eastAsia="es-ES"/>
    </w:rPr>
  </w:style>
  <w:style w:type="character" w:styleId="Hipervnculo">
    <w:name w:val="Hyperlink"/>
    <w:basedOn w:val="Fuentedeprrafopredeter"/>
    <w:rsid w:val="006B3679"/>
    <w:rPr>
      <w:color w:val="0000FF"/>
      <w:u w:val="single"/>
    </w:rPr>
  </w:style>
  <w:style w:type="character" w:styleId="Hipervnculovisitado">
    <w:name w:val="FollowedHyperlink"/>
    <w:basedOn w:val="Fuentedeprrafopredeter"/>
    <w:rsid w:val="006B3679"/>
    <w:rPr>
      <w:color w:val="800080"/>
      <w:u w:val="single"/>
    </w:rPr>
  </w:style>
  <w:style w:type="paragraph" w:customStyle="1" w:styleId="xl83">
    <w:name w:val="xl83"/>
    <w:basedOn w:val="Normal"/>
    <w:rsid w:val="006B3679"/>
    <w:pPr>
      <w:spacing w:before="100" w:beforeAutospacing="1" w:after="100" w:afterAutospacing="1"/>
      <w:jc w:val="right"/>
    </w:pPr>
    <w:rPr>
      <w:rFonts w:ascii="Book Antiqua" w:hAnsi="Book Antiqua"/>
      <w:sz w:val="16"/>
      <w:szCs w:val="16"/>
      <w:lang w:val="es-ES" w:eastAsia="es-ES"/>
    </w:rPr>
  </w:style>
  <w:style w:type="paragraph" w:customStyle="1" w:styleId="xl84">
    <w:name w:val="xl84"/>
    <w:basedOn w:val="Normal"/>
    <w:rsid w:val="006B3679"/>
    <w:pPr>
      <w:pBdr>
        <w:bottom w:val="single" w:sz="8" w:space="0" w:color="auto"/>
      </w:pBdr>
      <w:spacing w:before="100" w:beforeAutospacing="1" w:after="100" w:afterAutospacing="1"/>
      <w:jc w:val="center"/>
    </w:pPr>
    <w:rPr>
      <w:rFonts w:ascii="Book Antiqua" w:hAnsi="Book Antiqua"/>
      <w:b/>
      <w:bCs/>
      <w:sz w:val="16"/>
      <w:szCs w:val="16"/>
      <w:lang w:val="es-ES" w:eastAsia="es-ES"/>
    </w:rPr>
  </w:style>
  <w:style w:type="paragraph" w:customStyle="1" w:styleId="xl85">
    <w:name w:val="xl85"/>
    <w:basedOn w:val="Normal"/>
    <w:rsid w:val="006B3679"/>
    <w:pPr>
      <w:spacing w:before="100" w:beforeAutospacing="1" w:after="100" w:afterAutospacing="1"/>
      <w:jc w:val="center"/>
    </w:pPr>
    <w:rPr>
      <w:rFonts w:ascii="Book Antiqua" w:hAnsi="Book Antiqua"/>
      <w:b/>
      <w:bCs/>
      <w:sz w:val="16"/>
      <w:szCs w:val="16"/>
      <w:lang w:val="es-ES" w:eastAsia="es-ES"/>
    </w:rPr>
  </w:style>
  <w:style w:type="paragraph" w:customStyle="1" w:styleId="xl86">
    <w:name w:val="xl86"/>
    <w:basedOn w:val="Normal"/>
    <w:rsid w:val="006B3679"/>
    <w:pPr>
      <w:pBdr>
        <w:top w:val="single" w:sz="8" w:space="0" w:color="auto"/>
      </w:pBdr>
      <w:spacing w:before="100" w:beforeAutospacing="1" w:after="100" w:afterAutospacing="1"/>
      <w:jc w:val="both"/>
      <w:textAlignment w:val="top"/>
    </w:pPr>
    <w:rPr>
      <w:rFonts w:ascii="Book Antiqua" w:hAnsi="Book Antiqua"/>
      <w:b/>
      <w:bCs/>
      <w:sz w:val="16"/>
      <w:szCs w:val="16"/>
      <w:lang w:val="es-ES" w:eastAsia="es-ES"/>
    </w:rPr>
  </w:style>
  <w:style w:type="paragraph" w:customStyle="1" w:styleId="xl87">
    <w:name w:val="xl87"/>
    <w:basedOn w:val="Normal"/>
    <w:rsid w:val="006B3679"/>
    <w:pPr>
      <w:pBdr>
        <w:top w:val="single" w:sz="8" w:space="0" w:color="auto"/>
        <w:bottom w:val="single" w:sz="8" w:space="0" w:color="auto"/>
      </w:pBdr>
      <w:spacing w:before="100" w:beforeAutospacing="1" w:after="100" w:afterAutospacing="1"/>
      <w:jc w:val="right"/>
    </w:pPr>
    <w:rPr>
      <w:rFonts w:ascii="Book Antiqua" w:hAnsi="Book Antiqua"/>
      <w:sz w:val="16"/>
      <w:szCs w:val="16"/>
      <w:lang w:val="es-ES" w:eastAsia="es-ES"/>
    </w:rPr>
  </w:style>
  <w:style w:type="paragraph" w:customStyle="1" w:styleId="xl88">
    <w:name w:val="xl88"/>
    <w:basedOn w:val="Normal"/>
    <w:rsid w:val="006B3679"/>
    <w:pPr>
      <w:spacing w:before="100" w:beforeAutospacing="1" w:after="100" w:afterAutospacing="1"/>
      <w:jc w:val="both"/>
      <w:textAlignment w:val="top"/>
    </w:pPr>
    <w:rPr>
      <w:rFonts w:ascii="Book Antiqua" w:hAnsi="Book Antiqua"/>
      <w:sz w:val="16"/>
      <w:szCs w:val="16"/>
      <w:lang w:val="es-ES" w:eastAsia="es-ES"/>
    </w:rPr>
  </w:style>
  <w:style w:type="paragraph" w:customStyle="1" w:styleId="xl89">
    <w:name w:val="xl89"/>
    <w:basedOn w:val="Normal"/>
    <w:rsid w:val="006B3679"/>
    <w:pPr>
      <w:spacing w:before="100" w:beforeAutospacing="1" w:after="100" w:afterAutospacing="1"/>
      <w:jc w:val="right"/>
    </w:pPr>
    <w:rPr>
      <w:rFonts w:ascii="Book Antiqua" w:hAnsi="Book Antiqua"/>
      <w:sz w:val="16"/>
      <w:szCs w:val="16"/>
      <w:lang w:val="es-ES" w:eastAsia="es-ES"/>
    </w:rPr>
  </w:style>
  <w:style w:type="paragraph" w:customStyle="1" w:styleId="xl90">
    <w:name w:val="xl90"/>
    <w:basedOn w:val="Normal"/>
    <w:rsid w:val="006B3679"/>
    <w:pPr>
      <w:pBdr>
        <w:top w:val="single" w:sz="8" w:space="0" w:color="auto"/>
      </w:pBdr>
      <w:spacing w:before="100" w:beforeAutospacing="1" w:after="100" w:afterAutospacing="1"/>
      <w:jc w:val="both"/>
      <w:textAlignment w:val="top"/>
    </w:pPr>
    <w:rPr>
      <w:rFonts w:ascii="Book Antiqua" w:hAnsi="Book Antiqua"/>
      <w:b/>
      <w:bCs/>
      <w:sz w:val="16"/>
      <w:szCs w:val="16"/>
      <w:u w:val="single"/>
      <w:lang w:val="es-ES" w:eastAsia="es-ES"/>
    </w:rPr>
  </w:style>
  <w:style w:type="paragraph" w:customStyle="1" w:styleId="xl91">
    <w:name w:val="xl91"/>
    <w:basedOn w:val="Normal"/>
    <w:rsid w:val="006B3679"/>
    <w:pPr>
      <w:spacing w:before="100" w:beforeAutospacing="1" w:after="100" w:afterAutospacing="1"/>
    </w:pPr>
    <w:rPr>
      <w:rFonts w:ascii="Book Antiqua" w:hAnsi="Book Antiqua"/>
      <w:sz w:val="16"/>
      <w:szCs w:val="16"/>
      <w:lang w:val="es-ES" w:eastAsia="es-ES"/>
    </w:rPr>
  </w:style>
  <w:style w:type="paragraph" w:customStyle="1" w:styleId="xl92">
    <w:name w:val="xl92"/>
    <w:basedOn w:val="Normal"/>
    <w:rsid w:val="006B3679"/>
    <w:pPr>
      <w:spacing w:before="100" w:beforeAutospacing="1" w:after="100" w:afterAutospacing="1"/>
    </w:pPr>
    <w:rPr>
      <w:rFonts w:ascii="Book Antiqua" w:hAnsi="Book Antiqua"/>
      <w:sz w:val="16"/>
      <w:szCs w:val="16"/>
      <w:lang w:val="es-ES" w:eastAsia="es-ES"/>
    </w:rPr>
  </w:style>
  <w:style w:type="paragraph" w:customStyle="1" w:styleId="xl93">
    <w:name w:val="xl93"/>
    <w:basedOn w:val="Normal"/>
    <w:rsid w:val="006B3679"/>
    <w:pPr>
      <w:spacing w:before="100" w:beforeAutospacing="1" w:after="100" w:afterAutospacing="1"/>
      <w:jc w:val="right"/>
    </w:pPr>
    <w:rPr>
      <w:rFonts w:ascii="Book Antiqua" w:hAnsi="Book Antiqua"/>
      <w:sz w:val="16"/>
      <w:szCs w:val="16"/>
      <w:lang w:val="es-ES" w:eastAsia="es-ES"/>
    </w:rPr>
  </w:style>
  <w:style w:type="paragraph" w:customStyle="1" w:styleId="xl94">
    <w:name w:val="xl94"/>
    <w:basedOn w:val="Normal"/>
    <w:rsid w:val="006B3679"/>
    <w:pPr>
      <w:spacing w:before="100" w:beforeAutospacing="1" w:after="100" w:afterAutospacing="1"/>
    </w:pPr>
    <w:rPr>
      <w:rFonts w:ascii="Book Antiqua" w:hAnsi="Book Antiqua"/>
      <w:b/>
      <w:bCs/>
      <w:sz w:val="16"/>
      <w:szCs w:val="16"/>
      <w:lang w:val="es-ES" w:eastAsia="es-ES"/>
    </w:rPr>
  </w:style>
  <w:style w:type="paragraph" w:customStyle="1" w:styleId="xl95">
    <w:name w:val="xl95"/>
    <w:basedOn w:val="Normal"/>
    <w:rsid w:val="006B3679"/>
    <w:pPr>
      <w:spacing w:before="100" w:beforeAutospacing="1" w:after="100" w:afterAutospacing="1"/>
      <w:jc w:val="right"/>
    </w:pPr>
    <w:rPr>
      <w:rFonts w:ascii="Book Antiqua" w:hAnsi="Book Antiqua"/>
      <w:b/>
      <w:bCs/>
      <w:sz w:val="16"/>
      <w:szCs w:val="16"/>
      <w:lang w:val="es-ES" w:eastAsia="es-ES"/>
    </w:rPr>
  </w:style>
  <w:style w:type="paragraph" w:customStyle="1" w:styleId="xl96">
    <w:name w:val="xl96"/>
    <w:basedOn w:val="Normal"/>
    <w:rsid w:val="006B3679"/>
    <w:pPr>
      <w:spacing w:before="100" w:beforeAutospacing="1" w:after="100" w:afterAutospacing="1"/>
    </w:pPr>
    <w:rPr>
      <w:b/>
      <w:bCs/>
      <w:color w:val="FFFFFF"/>
      <w:sz w:val="16"/>
      <w:szCs w:val="16"/>
      <w:lang w:val="es-ES" w:eastAsia="es-ES"/>
    </w:rPr>
  </w:style>
  <w:style w:type="paragraph" w:customStyle="1" w:styleId="xl97">
    <w:name w:val="xl97"/>
    <w:basedOn w:val="Normal"/>
    <w:rsid w:val="006B3679"/>
    <w:pPr>
      <w:spacing w:before="100" w:beforeAutospacing="1" w:after="100" w:afterAutospacing="1"/>
    </w:pPr>
    <w:rPr>
      <w:sz w:val="16"/>
      <w:szCs w:val="16"/>
      <w:lang w:val="es-ES" w:eastAsia="es-ES"/>
    </w:rPr>
  </w:style>
  <w:style w:type="paragraph" w:customStyle="1" w:styleId="xl98">
    <w:name w:val="xl98"/>
    <w:basedOn w:val="Normal"/>
    <w:rsid w:val="006B3679"/>
    <w:pPr>
      <w:spacing w:before="100" w:beforeAutospacing="1" w:after="100" w:afterAutospacing="1"/>
      <w:jc w:val="right"/>
    </w:pPr>
    <w:rPr>
      <w:rFonts w:ascii="Book Antiqua" w:hAnsi="Book Antiqua"/>
      <w:sz w:val="16"/>
      <w:szCs w:val="16"/>
      <w:lang w:val="es-ES" w:eastAsia="es-ES"/>
    </w:rPr>
  </w:style>
  <w:style w:type="paragraph" w:customStyle="1" w:styleId="xl99">
    <w:name w:val="xl99"/>
    <w:basedOn w:val="Normal"/>
    <w:rsid w:val="006B3679"/>
    <w:pPr>
      <w:spacing w:before="100" w:beforeAutospacing="1" w:after="100" w:afterAutospacing="1"/>
      <w:jc w:val="right"/>
    </w:pPr>
    <w:rPr>
      <w:rFonts w:ascii="Book Antiqua" w:hAnsi="Book Antiqua"/>
      <w:b/>
      <w:bCs/>
      <w:sz w:val="16"/>
      <w:szCs w:val="16"/>
      <w:lang w:val="es-ES" w:eastAsia="es-ES"/>
    </w:rPr>
  </w:style>
  <w:style w:type="paragraph" w:customStyle="1" w:styleId="xl100">
    <w:name w:val="xl100"/>
    <w:basedOn w:val="Normal"/>
    <w:rsid w:val="006B3679"/>
    <w:pPr>
      <w:spacing w:before="100" w:beforeAutospacing="1" w:after="100" w:afterAutospacing="1"/>
      <w:jc w:val="right"/>
    </w:pPr>
    <w:rPr>
      <w:rFonts w:ascii="Book Antiqua" w:hAnsi="Book Antiqua"/>
      <w:sz w:val="16"/>
      <w:szCs w:val="16"/>
      <w:lang w:val="es-ES" w:eastAsia="es-ES"/>
    </w:rPr>
  </w:style>
  <w:style w:type="character" w:customStyle="1" w:styleId="HeaderChar">
    <w:name w:val="Header Char"/>
    <w:basedOn w:val="Fuentedeprrafopredeter"/>
    <w:uiPriority w:val="99"/>
    <w:rsid w:val="006B3679"/>
    <w:rPr>
      <w:sz w:val="24"/>
      <w:lang w:val="en-GB"/>
    </w:rPr>
  </w:style>
  <w:style w:type="paragraph" w:styleId="Prrafodelista">
    <w:name w:val="List Paragraph"/>
    <w:basedOn w:val="Normal"/>
    <w:link w:val="PrrafodelistaCar"/>
    <w:uiPriority w:val="34"/>
    <w:qFormat/>
    <w:rsid w:val="006B3679"/>
    <w:pPr>
      <w:ind w:left="720"/>
    </w:pPr>
  </w:style>
  <w:style w:type="character" w:customStyle="1" w:styleId="FooterChar">
    <w:name w:val="Footer Char"/>
    <w:basedOn w:val="Fuentedeprrafopredeter"/>
    <w:rsid w:val="006B3679"/>
    <w:rPr>
      <w:sz w:val="24"/>
      <w:lang w:val="en-GB"/>
    </w:rPr>
  </w:style>
  <w:style w:type="paragraph" w:customStyle="1" w:styleId="Textonota2">
    <w:name w:val="Texto nota 2"/>
    <w:basedOn w:val="Textonota1"/>
    <w:rsid w:val="006B3679"/>
    <w:pPr>
      <w:ind w:left="1152"/>
      <w:jc w:val="left"/>
    </w:pPr>
    <w:rPr>
      <w:rFonts w:ascii="Arial" w:hAnsi="Arial"/>
      <w:sz w:val="19"/>
    </w:rPr>
  </w:style>
  <w:style w:type="character" w:customStyle="1" w:styleId="Heading1Char">
    <w:name w:val="Heading 1 Char"/>
    <w:basedOn w:val="Fuentedeprrafopredeter"/>
    <w:rsid w:val="006B3679"/>
    <w:rPr>
      <w:b/>
      <w:lang w:val="es-ES_tradnl"/>
    </w:rPr>
  </w:style>
  <w:style w:type="paragraph" w:customStyle="1" w:styleId="Titulonota">
    <w:name w:val="Titulo nota"/>
    <w:basedOn w:val="Normal"/>
    <w:rsid w:val="006B3679"/>
    <w:pPr>
      <w:jc w:val="both"/>
    </w:pPr>
    <w:rPr>
      <w:rFonts w:ascii="Arial" w:hAnsi="Arial"/>
      <w:b/>
      <w:caps/>
      <w:sz w:val="22"/>
      <w:lang w:val="es-ES_tradnl" w:eastAsia="es-ES"/>
    </w:rPr>
  </w:style>
  <w:style w:type="paragraph" w:customStyle="1" w:styleId="AEVEDOSPrrafopostNotaNumerada">
    <w:name w:val="AEV EDOS Párrafo post Nota Numerada"/>
    <w:basedOn w:val="Normal"/>
    <w:rsid w:val="006B3679"/>
    <w:pPr>
      <w:overflowPunct w:val="0"/>
      <w:autoSpaceDE w:val="0"/>
      <w:autoSpaceDN w:val="0"/>
      <w:adjustRightInd w:val="0"/>
      <w:ind w:left="992"/>
      <w:jc w:val="both"/>
      <w:textAlignment w:val="baseline"/>
    </w:pPr>
    <w:rPr>
      <w:rFonts w:ascii="Arial" w:hAnsi="Arial"/>
      <w:sz w:val="21"/>
      <w:lang w:val="es-ES_tradnl"/>
    </w:rPr>
  </w:style>
  <w:style w:type="paragraph" w:customStyle="1" w:styleId="NotaN">
    <w:name w:val="Nota Nº"/>
    <w:basedOn w:val="Normal"/>
    <w:rsid w:val="00AE7043"/>
    <w:pPr>
      <w:jc w:val="both"/>
    </w:pPr>
    <w:rPr>
      <w:rFonts w:ascii="Arial" w:hAnsi="Arial"/>
      <w:b/>
      <w:lang w:eastAsia="es-ES"/>
    </w:rPr>
  </w:style>
  <w:style w:type="paragraph" w:customStyle="1" w:styleId="2Ttulo">
    <w:name w:val="2Título"/>
    <w:basedOn w:val="Normal"/>
    <w:rsid w:val="005F7FD3"/>
    <w:pPr>
      <w:jc w:val="center"/>
    </w:pPr>
    <w:rPr>
      <w:b/>
      <w:lang w:eastAsia="es-ES"/>
    </w:rPr>
  </w:style>
  <w:style w:type="paragraph" w:customStyle="1" w:styleId="3Subttulo">
    <w:name w:val="3Subtítulo"/>
    <w:basedOn w:val="Normal"/>
    <w:rsid w:val="00013B98"/>
    <w:pPr>
      <w:jc w:val="center"/>
    </w:pPr>
    <w:rPr>
      <w:lang w:eastAsia="es-ES"/>
    </w:rPr>
  </w:style>
  <w:style w:type="paragraph" w:customStyle="1" w:styleId="Textodetabla">
    <w:name w:val="Texto de tabla"/>
    <w:basedOn w:val="Normal"/>
    <w:rsid w:val="00013B98"/>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both"/>
    </w:pPr>
    <w:rPr>
      <w:rFonts w:ascii="Arial" w:hAnsi="Arial"/>
      <w:sz w:val="16"/>
      <w:lang w:eastAsia="es-ES"/>
    </w:rPr>
  </w:style>
  <w:style w:type="paragraph" w:customStyle="1" w:styleId="Textopredeterminado">
    <w:name w:val="Texto predeterminado"/>
    <w:basedOn w:val="Normal"/>
    <w:rsid w:val="00013B98"/>
    <w:rPr>
      <w:i/>
      <w:snapToGrid w:val="0"/>
      <w:lang w:val="en-US" w:eastAsia="es-ES"/>
    </w:rPr>
  </w:style>
  <w:style w:type="paragraph" w:customStyle="1" w:styleId="1Empresa">
    <w:name w:val="1Empresa"/>
    <w:basedOn w:val="Normal"/>
    <w:rsid w:val="009B7B85"/>
    <w:pPr>
      <w:jc w:val="center"/>
    </w:pPr>
    <w:rPr>
      <w:b/>
      <w:sz w:val="36"/>
      <w:lang w:eastAsia="es-ES"/>
    </w:rPr>
  </w:style>
  <w:style w:type="paragraph" w:customStyle="1" w:styleId="Texto1">
    <w:name w:val="Texto_1"/>
    <w:basedOn w:val="Textodebloque"/>
    <w:rsid w:val="006449D8"/>
    <w:pPr>
      <w:spacing w:before="14" w:after="14"/>
      <w:ind w:left="709" w:right="72"/>
    </w:pPr>
    <w:rPr>
      <w:rFonts w:ascii="Courier New" w:hAnsi="Courier New"/>
      <w:sz w:val="14"/>
      <w:lang w:val="es-ES_tradnl"/>
    </w:rPr>
  </w:style>
  <w:style w:type="paragraph" w:styleId="Textodebloque">
    <w:name w:val="Block Text"/>
    <w:aliases w:val="5 Sgl J,75 Sgl J,blk"/>
    <w:basedOn w:val="Normal"/>
    <w:rsid w:val="006449D8"/>
    <w:pPr>
      <w:spacing w:after="120"/>
      <w:ind w:left="1440" w:right="1440"/>
    </w:pPr>
  </w:style>
  <w:style w:type="paragraph" w:customStyle="1" w:styleId="CharCharChar">
    <w:name w:val="Char Char Char"/>
    <w:basedOn w:val="Normal"/>
    <w:rsid w:val="00D85D5C"/>
    <w:pPr>
      <w:spacing w:after="160" w:line="240" w:lineRule="exact"/>
    </w:pPr>
    <w:rPr>
      <w:rFonts w:ascii="Verdana" w:eastAsia="PMingLiU" w:hAnsi="Verdana"/>
      <w:sz w:val="20"/>
      <w:lang w:val="en-US"/>
    </w:rPr>
  </w:style>
  <w:style w:type="paragraph" w:customStyle="1" w:styleId="Car">
    <w:name w:val="Car"/>
    <w:basedOn w:val="Normal"/>
    <w:rsid w:val="009F67F2"/>
    <w:pPr>
      <w:spacing w:after="160" w:line="240" w:lineRule="exact"/>
    </w:pPr>
    <w:rPr>
      <w:rFonts w:ascii="Verdana" w:eastAsia="PMingLiU" w:hAnsi="Verdana"/>
      <w:sz w:val="20"/>
      <w:lang w:val="en-US"/>
    </w:rPr>
  </w:style>
  <w:style w:type="paragraph" w:customStyle="1" w:styleId="Estndar">
    <w:name w:val="Estándar"/>
    <w:basedOn w:val="Normal"/>
    <w:rsid w:val="004179D0"/>
    <w:pPr>
      <w:jc w:val="both"/>
    </w:pPr>
    <w:rPr>
      <w:lang w:val="es-ES_tradnl"/>
    </w:rPr>
  </w:style>
  <w:style w:type="paragraph" w:customStyle="1" w:styleId="Prrafodelista1">
    <w:name w:val="Párrafo de lista1"/>
    <w:basedOn w:val="Normal"/>
    <w:qFormat/>
    <w:rsid w:val="00CA7761"/>
    <w:pPr>
      <w:ind w:left="720"/>
      <w:contextualSpacing/>
    </w:pPr>
    <w:rPr>
      <w:szCs w:val="24"/>
      <w:lang w:val="es-ES" w:eastAsia="es-ES"/>
    </w:rPr>
  </w:style>
  <w:style w:type="paragraph" w:customStyle="1" w:styleId="CarCarCarCar1CharCarCarCarCar">
    <w:name w:val="Car Car Car Car1 Char Car Car Car Car"/>
    <w:basedOn w:val="Normal"/>
    <w:rsid w:val="003E0E59"/>
    <w:pPr>
      <w:spacing w:after="160" w:line="240" w:lineRule="exact"/>
    </w:pPr>
    <w:rPr>
      <w:rFonts w:ascii="Verdana" w:eastAsia="PMingLiU" w:hAnsi="Verdana"/>
      <w:sz w:val="20"/>
      <w:lang w:val="en-US"/>
    </w:rPr>
  </w:style>
  <w:style w:type="paragraph" w:customStyle="1" w:styleId="CarCarCarCar1CharCarCarCarCarCarCar">
    <w:name w:val="Car Car Car Car1 Char Car Car Car Car Car Car"/>
    <w:basedOn w:val="Normal"/>
    <w:rsid w:val="00804041"/>
    <w:pPr>
      <w:spacing w:after="160" w:line="240" w:lineRule="exact"/>
    </w:pPr>
    <w:rPr>
      <w:rFonts w:ascii="Verdana" w:eastAsia="PMingLiU" w:hAnsi="Verdana"/>
      <w:sz w:val="20"/>
      <w:lang w:val="en-US"/>
    </w:rPr>
  </w:style>
  <w:style w:type="paragraph" w:styleId="Asuntodelcomentario">
    <w:name w:val="annotation subject"/>
    <w:basedOn w:val="Textocomentario"/>
    <w:next w:val="Textocomentario"/>
    <w:link w:val="AsuntodelcomentarioCar"/>
    <w:rsid w:val="0063670E"/>
    <w:rPr>
      <w:b/>
      <w:bCs/>
    </w:rPr>
  </w:style>
  <w:style w:type="paragraph" w:customStyle="1" w:styleId="CarCharCharChar">
    <w:name w:val="Car Char Char Char"/>
    <w:basedOn w:val="Normal"/>
    <w:rsid w:val="007C70CB"/>
    <w:pPr>
      <w:spacing w:after="160" w:line="240" w:lineRule="exact"/>
    </w:pPr>
    <w:rPr>
      <w:rFonts w:ascii="Verdana" w:eastAsia="PMingLiU" w:hAnsi="Verdana"/>
      <w:sz w:val="20"/>
      <w:lang w:val="en-US"/>
    </w:rPr>
  </w:style>
  <w:style w:type="paragraph" w:customStyle="1" w:styleId="Car1CharCharChar">
    <w:name w:val="Car1 Char Char Char"/>
    <w:basedOn w:val="Normal"/>
    <w:rsid w:val="000E07F9"/>
    <w:pPr>
      <w:spacing w:after="160" w:line="240" w:lineRule="exact"/>
    </w:pPr>
    <w:rPr>
      <w:rFonts w:ascii="Verdana" w:eastAsia="PMingLiU" w:hAnsi="Verdana"/>
      <w:sz w:val="20"/>
      <w:lang w:val="en-US"/>
    </w:rPr>
  </w:style>
  <w:style w:type="paragraph" w:customStyle="1" w:styleId="CarCarCarCar1">
    <w:name w:val="Car Car Car Car1"/>
    <w:basedOn w:val="Normal"/>
    <w:rsid w:val="00D74B00"/>
    <w:pPr>
      <w:spacing w:after="160" w:line="240" w:lineRule="exact"/>
    </w:pPr>
    <w:rPr>
      <w:rFonts w:ascii="Verdana" w:eastAsia="PMingLiU" w:hAnsi="Verdana"/>
      <w:sz w:val="20"/>
      <w:lang w:val="en-US"/>
    </w:rPr>
  </w:style>
  <w:style w:type="paragraph" w:customStyle="1" w:styleId="Simple">
    <w:name w:val="Simple"/>
    <w:basedOn w:val="Normal"/>
    <w:rsid w:val="00A8462A"/>
    <w:rPr>
      <w:lang w:val="es-ES_tradnl"/>
    </w:rPr>
  </w:style>
  <w:style w:type="paragraph" w:customStyle="1" w:styleId="CarCarCarCar1CharCarCarCarCarCarCarCar">
    <w:name w:val="Car Car Car Car1 Char Car Car Car Car Car Car Car"/>
    <w:basedOn w:val="Normal"/>
    <w:rsid w:val="00F84395"/>
    <w:pPr>
      <w:spacing w:after="160" w:line="240" w:lineRule="exact"/>
    </w:pPr>
    <w:rPr>
      <w:rFonts w:ascii="Verdana" w:eastAsia="PMingLiU" w:hAnsi="Verdana"/>
      <w:sz w:val="20"/>
      <w:lang w:val="en-US"/>
    </w:rPr>
  </w:style>
  <w:style w:type="paragraph" w:customStyle="1" w:styleId="CharChar">
    <w:name w:val="Char Char"/>
    <w:basedOn w:val="Normal"/>
    <w:rsid w:val="00F46FE9"/>
    <w:pPr>
      <w:spacing w:after="160" w:line="240" w:lineRule="exact"/>
    </w:pPr>
    <w:rPr>
      <w:rFonts w:ascii="Verdana" w:eastAsia="PMingLiU" w:hAnsi="Verdana"/>
      <w:sz w:val="20"/>
      <w:lang w:val="en-US"/>
    </w:rPr>
  </w:style>
  <w:style w:type="character" w:customStyle="1" w:styleId="noticia1">
    <w:name w:val="noticia1"/>
    <w:basedOn w:val="Fuentedeprrafopredeter"/>
    <w:rsid w:val="007E078A"/>
    <w:rPr>
      <w:rFonts w:ascii="Arial" w:hAnsi="Arial" w:cs="Arial" w:hint="default"/>
      <w:sz w:val="17"/>
      <w:szCs w:val="17"/>
    </w:rPr>
  </w:style>
  <w:style w:type="table" w:styleId="Tablaconcuadrcula">
    <w:name w:val="Table Grid"/>
    <w:basedOn w:val="Tablanormal"/>
    <w:uiPriority w:val="39"/>
    <w:rsid w:val="00515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INDENTEDPARA">
    <w:name w:val="A INDENTED PARA"/>
    <w:basedOn w:val="Normal"/>
    <w:rsid w:val="00F95AD9"/>
    <w:pPr>
      <w:ind w:left="360"/>
      <w:jc w:val="both"/>
    </w:pPr>
    <w:rPr>
      <w:rFonts w:ascii="Book Antiqua" w:hAnsi="Book Antiqua"/>
      <w:sz w:val="22"/>
      <w:lang w:val="es-ES"/>
    </w:rPr>
  </w:style>
  <w:style w:type="character" w:customStyle="1" w:styleId="Table10pt">
    <w:name w:val="Table 10 pt"/>
    <w:basedOn w:val="Fuentedeprrafopredeter"/>
    <w:rsid w:val="001816FB"/>
    <w:rPr>
      <w:rFonts w:ascii="Arial" w:hAnsi="Arial" w:cs="Times New Roman"/>
      <w:color w:val="auto"/>
      <w:spacing w:val="0"/>
      <w:sz w:val="20"/>
      <w:szCs w:val="20"/>
      <w:u w:val="none"/>
      <w:vertAlign w:val="baseline"/>
    </w:rPr>
  </w:style>
  <w:style w:type="paragraph" w:customStyle="1" w:styleId="Sinespaciado1">
    <w:name w:val="Sin espaciado1"/>
    <w:link w:val="SinespaciadoCar"/>
    <w:qFormat/>
    <w:rsid w:val="00151AE1"/>
    <w:pPr>
      <w:jc w:val="both"/>
    </w:pPr>
    <w:rPr>
      <w:rFonts w:ascii="Univers" w:eastAsia="Calibri" w:hAnsi="Univers"/>
      <w:sz w:val="18"/>
      <w:szCs w:val="22"/>
      <w:lang w:eastAsia="en-US"/>
    </w:rPr>
  </w:style>
  <w:style w:type="character" w:customStyle="1" w:styleId="SinespaciadoCar">
    <w:name w:val="Sin espaciado Car"/>
    <w:basedOn w:val="Fuentedeprrafopredeter"/>
    <w:link w:val="Sinespaciado1"/>
    <w:rsid w:val="00151AE1"/>
    <w:rPr>
      <w:rFonts w:ascii="Univers" w:eastAsia="Calibri" w:hAnsi="Univers"/>
      <w:sz w:val="18"/>
      <w:szCs w:val="22"/>
      <w:lang w:val="es-AR" w:eastAsia="en-US" w:bidi="ar-SA"/>
    </w:rPr>
  </w:style>
  <w:style w:type="paragraph" w:customStyle="1" w:styleId="1Empresa1">
    <w:name w:val="1Empresa:1"/>
    <w:basedOn w:val="Normal"/>
    <w:rsid w:val="00AD0421"/>
    <w:rPr>
      <w:b/>
      <w:sz w:val="36"/>
      <w:lang w:eastAsia="es-ES"/>
    </w:rPr>
  </w:style>
  <w:style w:type="paragraph" w:customStyle="1" w:styleId="Textopredeterminado1">
    <w:name w:val="Texto predeterminado:1"/>
    <w:basedOn w:val="Normal"/>
    <w:uiPriority w:val="99"/>
    <w:rsid w:val="008814AB"/>
    <w:rPr>
      <w:rFonts w:ascii="Arial" w:hAnsi="Arial"/>
      <w:lang w:eastAsia="es-ES"/>
    </w:rPr>
  </w:style>
  <w:style w:type="character" w:customStyle="1" w:styleId="PiedepginaCar">
    <w:name w:val="Pie de página Car"/>
    <w:basedOn w:val="Fuentedeprrafopredeter"/>
    <w:link w:val="Piedepgina"/>
    <w:rsid w:val="00E05C63"/>
    <w:rPr>
      <w:rFonts w:ascii="Arial" w:hAnsi="Arial" w:cs="Arial"/>
      <w:sz w:val="24"/>
      <w:lang w:val="it-IT" w:eastAsia="en-US"/>
    </w:rPr>
  </w:style>
  <w:style w:type="character" w:customStyle="1" w:styleId="EncabezadoCar">
    <w:name w:val="Encabezado Car"/>
    <w:basedOn w:val="Fuentedeprrafopredeter"/>
    <w:link w:val="Encabezado"/>
    <w:rsid w:val="00ED64CC"/>
    <w:rPr>
      <w:sz w:val="24"/>
      <w:lang w:val="en-GB" w:eastAsia="en-US"/>
    </w:rPr>
  </w:style>
  <w:style w:type="character" w:customStyle="1" w:styleId="Ttulo1Car">
    <w:name w:val="Título 1 Car"/>
    <w:basedOn w:val="Fuentedeprrafopredeter"/>
    <w:link w:val="Ttulo1"/>
    <w:rsid w:val="001D0E9F"/>
    <w:rPr>
      <w:b/>
      <w:lang w:val="es-ES_tradnl" w:eastAsia="en-US"/>
    </w:rPr>
  </w:style>
  <w:style w:type="character" w:customStyle="1" w:styleId="Ttulo2Car">
    <w:name w:val="Título 2 Car"/>
    <w:basedOn w:val="Fuentedeprrafopredeter"/>
    <w:link w:val="Ttulo2"/>
    <w:uiPriority w:val="9"/>
    <w:rsid w:val="001D0E9F"/>
    <w:rPr>
      <w:sz w:val="24"/>
      <w:u w:val="single"/>
      <w:lang w:val="es-ES_tradnl" w:eastAsia="en-US"/>
    </w:rPr>
  </w:style>
  <w:style w:type="character" w:customStyle="1" w:styleId="Ttulo3Car">
    <w:name w:val="Título 3 Car"/>
    <w:basedOn w:val="Fuentedeprrafopredeter"/>
    <w:link w:val="Ttulo3"/>
    <w:rsid w:val="001D0E9F"/>
    <w:rPr>
      <w:b/>
      <w:sz w:val="24"/>
      <w:lang w:val="es-ES_tradnl" w:eastAsia="en-US"/>
    </w:rPr>
  </w:style>
  <w:style w:type="character" w:customStyle="1" w:styleId="Ttulo4Car">
    <w:name w:val="Título 4 Car"/>
    <w:basedOn w:val="Fuentedeprrafopredeter"/>
    <w:link w:val="Ttulo4"/>
    <w:rsid w:val="001D0E9F"/>
    <w:rPr>
      <w:b/>
      <w:sz w:val="24"/>
      <w:lang w:val="es-ES_tradnl" w:eastAsia="en-US"/>
    </w:rPr>
  </w:style>
  <w:style w:type="character" w:customStyle="1" w:styleId="Ttulo5Car">
    <w:name w:val="Título 5 Car"/>
    <w:basedOn w:val="Fuentedeprrafopredeter"/>
    <w:link w:val="Ttulo5"/>
    <w:rsid w:val="001D0E9F"/>
    <w:rPr>
      <w:u w:val="single"/>
      <w:lang w:val="es-ES_tradnl" w:eastAsia="en-US"/>
    </w:rPr>
  </w:style>
  <w:style w:type="character" w:customStyle="1" w:styleId="Ttulo6Car">
    <w:name w:val="Título 6 Car"/>
    <w:basedOn w:val="Fuentedeprrafopredeter"/>
    <w:link w:val="Ttulo6"/>
    <w:rsid w:val="001D0E9F"/>
    <w:rPr>
      <w:b/>
      <w:sz w:val="24"/>
      <w:lang w:val="es-ES_tradnl" w:eastAsia="en-US"/>
    </w:rPr>
  </w:style>
  <w:style w:type="character" w:customStyle="1" w:styleId="Ttulo7Car">
    <w:name w:val="Título 7 Car"/>
    <w:basedOn w:val="Fuentedeprrafopredeter"/>
    <w:link w:val="Ttulo7"/>
    <w:rsid w:val="001D0E9F"/>
    <w:rPr>
      <w:b/>
      <w:sz w:val="22"/>
      <w:lang w:val="es-ES_tradnl" w:eastAsia="en-US"/>
    </w:rPr>
  </w:style>
  <w:style w:type="character" w:customStyle="1" w:styleId="Ttulo8Car">
    <w:name w:val="Título 8 Car"/>
    <w:basedOn w:val="Fuentedeprrafopredeter"/>
    <w:link w:val="Ttulo8"/>
    <w:rsid w:val="001D0E9F"/>
    <w:rPr>
      <w:b/>
      <w:sz w:val="22"/>
      <w:u w:val="single"/>
      <w:lang w:val="es-ES_tradnl" w:eastAsia="en-US"/>
    </w:rPr>
  </w:style>
  <w:style w:type="character" w:customStyle="1" w:styleId="Textoindependiente2Car">
    <w:name w:val="Texto independiente 2 Car"/>
    <w:basedOn w:val="Fuentedeprrafopredeter"/>
    <w:link w:val="Textoindependiente2"/>
    <w:uiPriority w:val="99"/>
    <w:rsid w:val="001D0E9F"/>
    <w:rPr>
      <w:b/>
      <w:sz w:val="22"/>
      <w:lang w:val="es-ES_tradnl" w:eastAsia="en-US"/>
    </w:rPr>
  </w:style>
  <w:style w:type="paragraph" w:styleId="Mapadeldocumento">
    <w:name w:val="Document Map"/>
    <w:basedOn w:val="Normal"/>
    <w:link w:val="MapadeldocumentoCar"/>
    <w:semiHidden/>
    <w:rsid w:val="001D0E9F"/>
    <w:pPr>
      <w:shd w:val="clear" w:color="auto" w:fill="000080"/>
    </w:pPr>
    <w:rPr>
      <w:rFonts w:ascii="Tahoma" w:hAnsi="Tahoma"/>
      <w:sz w:val="20"/>
      <w:lang w:val="es-ES_tradnl"/>
    </w:rPr>
  </w:style>
  <w:style w:type="character" w:customStyle="1" w:styleId="MapadeldocumentoCar">
    <w:name w:val="Mapa del documento Car"/>
    <w:basedOn w:val="Fuentedeprrafopredeter"/>
    <w:link w:val="Mapadeldocumento"/>
    <w:semiHidden/>
    <w:rsid w:val="001D0E9F"/>
    <w:rPr>
      <w:rFonts w:ascii="Tahoma" w:hAnsi="Tahoma"/>
      <w:shd w:val="clear" w:color="auto" w:fill="000080"/>
      <w:lang w:val="es-ES_tradnl" w:eastAsia="en-US"/>
    </w:rPr>
  </w:style>
  <w:style w:type="character" w:customStyle="1" w:styleId="TextoindependienteCar">
    <w:name w:val="Texto independiente Car"/>
    <w:basedOn w:val="Fuentedeprrafopredeter"/>
    <w:link w:val="Textoindependiente"/>
    <w:rsid w:val="001D0E9F"/>
    <w:rPr>
      <w:sz w:val="24"/>
      <w:lang w:val="es-ES_tradnl" w:eastAsia="en-US"/>
    </w:rPr>
  </w:style>
  <w:style w:type="character" w:customStyle="1" w:styleId="Sangra2detindependienteCar">
    <w:name w:val="Sangría 2 de t. independiente Car"/>
    <w:basedOn w:val="Fuentedeprrafopredeter"/>
    <w:link w:val="Sangra2detindependiente"/>
    <w:rsid w:val="001D0E9F"/>
    <w:rPr>
      <w:bCs/>
      <w:sz w:val="24"/>
      <w:lang w:val="es-ES_tradnl" w:eastAsia="en-US"/>
    </w:rPr>
  </w:style>
  <w:style w:type="character" w:customStyle="1" w:styleId="SangradetextonormalCar">
    <w:name w:val="Sangría de texto normal Car"/>
    <w:basedOn w:val="Fuentedeprrafopredeter"/>
    <w:link w:val="Sangradetextonormal"/>
    <w:rsid w:val="001D0E9F"/>
    <w:rPr>
      <w:b/>
      <w:sz w:val="24"/>
      <w:lang w:val="es-ES_tradnl" w:eastAsia="en-US"/>
    </w:rPr>
  </w:style>
  <w:style w:type="character" w:customStyle="1" w:styleId="Sangra3detindependienteCar">
    <w:name w:val="Sangría 3 de t. independiente Car"/>
    <w:basedOn w:val="Fuentedeprrafopredeter"/>
    <w:link w:val="Sangra3detindependiente"/>
    <w:rsid w:val="001D0E9F"/>
    <w:rPr>
      <w:sz w:val="22"/>
      <w:lang w:val="es-ES_tradnl" w:eastAsia="en-US"/>
    </w:rPr>
  </w:style>
  <w:style w:type="character" w:customStyle="1" w:styleId="Textoindependiente3Car">
    <w:name w:val="Texto independiente 3 Car"/>
    <w:basedOn w:val="Fuentedeprrafopredeter"/>
    <w:link w:val="Textoindependiente3"/>
    <w:rsid w:val="001D0E9F"/>
    <w:rPr>
      <w:sz w:val="22"/>
      <w:lang w:eastAsia="en-US"/>
    </w:rPr>
  </w:style>
  <w:style w:type="character" w:customStyle="1" w:styleId="AAReference">
    <w:name w:val="AA Reference"/>
    <w:basedOn w:val="Fuentedeprrafopredeter"/>
    <w:rsid w:val="001D0E9F"/>
    <w:rPr>
      <w:rFonts w:ascii="Arial" w:hAnsi="Arial" w:cs="Times New Roman"/>
      <w:color w:val="auto"/>
      <w:spacing w:val="0"/>
      <w:w w:val="100"/>
      <w:position w:val="0"/>
      <w:sz w:val="14"/>
      <w:vertAlign w:val="baseline"/>
      <w:lang w:val="en-US"/>
    </w:rPr>
  </w:style>
  <w:style w:type="paragraph" w:styleId="Listaconvietas2">
    <w:name w:val="List Bullet 2"/>
    <w:basedOn w:val="Normal"/>
    <w:autoRedefine/>
    <w:rsid w:val="001D0E9F"/>
    <w:pPr>
      <w:numPr>
        <w:numId w:val="1"/>
      </w:numPr>
      <w:tabs>
        <w:tab w:val="clear" w:pos="643"/>
        <w:tab w:val="left" w:pos="567"/>
        <w:tab w:val="left" w:pos="1134"/>
      </w:tabs>
      <w:spacing w:line="240" w:lineRule="atLeast"/>
      <w:ind w:left="0" w:firstLine="0"/>
    </w:pPr>
    <w:rPr>
      <w:sz w:val="20"/>
    </w:rPr>
  </w:style>
  <w:style w:type="paragraph" w:customStyle="1" w:styleId="COMUTEXTO">
    <w:name w:val="COMUTEXTO"/>
    <w:basedOn w:val="Normal"/>
    <w:rsid w:val="001D0E9F"/>
    <w:pPr>
      <w:autoSpaceDE w:val="0"/>
      <w:autoSpaceDN w:val="0"/>
      <w:ind w:right="567" w:firstLine="1418"/>
      <w:jc w:val="both"/>
    </w:pPr>
    <w:rPr>
      <w:rFonts w:ascii="Arial" w:hAnsi="Arial" w:cs="Arial"/>
      <w:sz w:val="20"/>
      <w:lang w:val="es-ES_tradnl"/>
    </w:rPr>
  </w:style>
  <w:style w:type="paragraph" w:styleId="Textosinformato">
    <w:name w:val="Plain Text"/>
    <w:basedOn w:val="Normal"/>
    <w:link w:val="TextosinformatoCar"/>
    <w:uiPriority w:val="99"/>
    <w:rsid w:val="001D0E9F"/>
    <w:rPr>
      <w:rFonts w:ascii="Courier New" w:hAnsi="Courier New"/>
      <w:sz w:val="20"/>
      <w:lang w:val="es-ES"/>
    </w:rPr>
  </w:style>
  <w:style w:type="character" w:customStyle="1" w:styleId="TextosinformatoCar">
    <w:name w:val="Texto sin formato Car"/>
    <w:basedOn w:val="Fuentedeprrafopredeter"/>
    <w:link w:val="Textosinformato"/>
    <w:uiPriority w:val="99"/>
    <w:rsid w:val="001D0E9F"/>
    <w:rPr>
      <w:rFonts w:ascii="Courier New" w:hAnsi="Courier New"/>
      <w:lang w:val="es-ES" w:eastAsia="en-US"/>
    </w:rPr>
  </w:style>
  <w:style w:type="paragraph" w:customStyle="1" w:styleId="Textodeglobo1">
    <w:name w:val="Texto de globo1"/>
    <w:basedOn w:val="Normal"/>
    <w:semiHidden/>
    <w:rsid w:val="001D0E9F"/>
    <w:rPr>
      <w:rFonts w:ascii="Tahoma" w:hAnsi="Tahoma" w:cs="Tahoma"/>
      <w:sz w:val="16"/>
      <w:szCs w:val="16"/>
      <w:lang w:val="es-ES_tradnl"/>
    </w:rPr>
  </w:style>
  <w:style w:type="character" w:customStyle="1" w:styleId="TextocomentarioCar">
    <w:name w:val="Texto comentario Car"/>
    <w:basedOn w:val="Fuentedeprrafopredeter"/>
    <w:link w:val="Textocomentario"/>
    <w:uiPriority w:val="99"/>
    <w:rsid w:val="001D0E9F"/>
    <w:rPr>
      <w:lang w:val="en-GB" w:eastAsia="en-US"/>
    </w:rPr>
  </w:style>
  <w:style w:type="paragraph" w:customStyle="1" w:styleId="Asuntodelcomentario1">
    <w:name w:val="Asunto del comentario1"/>
    <w:basedOn w:val="Textocomentario"/>
    <w:next w:val="Textocomentario"/>
    <w:semiHidden/>
    <w:rsid w:val="001D0E9F"/>
    <w:rPr>
      <w:b/>
      <w:bCs/>
      <w:lang w:val="es-ES_tradnl"/>
    </w:rPr>
  </w:style>
  <w:style w:type="paragraph" w:styleId="NormalWeb">
    <w:name w:val="Normal (Web)"/>
    <w:basedOn w:val="Normal"/>
    <w:uiPriority w:val="99"/>
    <w:rsid w:val="001D0E9F"/>
    <w:pPr>
      <w:spacing w:before="100" w:beforeAutospacing="1" w:after="100" w:afterAutospacing="1"/>
    </w:pPr>
    <w:rPr>
      <w:szCs w:val="24"/>
      <w:lang w:val="es-ES" w:eastAsia="es-ES"/>
    </w:rPr>
  </w:style>
  <w:style w:type="character" w:customStyle="1" w:styleId="InitialStyle">
    <w:name w:val="InitialStyle"/>
    <w:rsid w:val="001D0E9F"/>
    <w:rPr>
      <w:rFonts w:ascii="Times New Roman" w:hAnsi="Times New Roman"/>
      <w:color w:val="auto"/>
      <w:spacing w:val="0"/>
      <w:sz w:val="24"/>
    </w:rPr>
  </w:style>
  <w:style w:type="character" w:styleId="Textoennegrita">
    <w:name w:val="Strong"/>
    <w:basedOn w:val="Fuentedeprrafopredeter"/>
    <w:uiPriority w:val="22"/>
    <w:qFormat/>
    <w:rsid w:val="001D0E9F"/>
    <w:rPr>
      <w:rFonts w:cs="Times New Roman"/>
      <w:b/>
      <w:bCs/>
    </w:rPr>
  </w:style>
  <w:style w:type="paragraph" w:customStyle="1" w:styleId="Estilo">
    <w:name w:val="Estilo"/>
    <w:basedOn w:val="Normal"/>
    <w:rsid w:val="001D0E9F"/>
    <w:pPr>
      <w:spacing w:after="160" w:line="240" w:lineRule="exact"/>
    </w:pPr>
    <w:rPr>
      <w:rFonts w:ascii="Verdana" w:eastAsia="PMingLiU" w:hAnsi="Verdana"/>
      <w:sz w:val="20"/>
      <w:lang w:val="en-US"/>
    </w:rPr>
  </w:style>
  <w:style w:type="character" w:customStyle="1" w:styleId="TextodegloboCar">
    <w:name w:val="Texto de globo Car"/>
    <w:basedOn w:val="Fuentedeprrafopredeter"/>
    <w:link w:val="Textodeglobo"/>
    <w:uiPriority w:val="99"/>
    <w:rsid w:val="001D0E9F"/>
    <w:rPr>
      <w:rFonts w:ascii="Tahoma" w:hAnsi="Tahoma" w:cs="Tahoma"/>
      <w:sz w:val="16"/>
      <w:szCs w:val="16"/>
      <w:lang w:val="en-GB" w:eastAsia="en-US"/>
    </w:rPr>
  </w:style>
  <w:style w:type="character" w:customStyle="1" w:styleId="CarCar1">
    <w:name w:val="Car Car1"/>
    <w:basedOn w:val="Fuentedeprrafopredeter"/>
    <w:semiHidden/>
    <w:rsid w:val="001D0E9F"/>
    <w:rPr>
      <w:rFonts w:ascii="Tahoma" w:hAnsi="Tahoma" w:cs="Tahoma"/>
      <w:sz w:val="16"/>
      <w:szCs w:val="16"/>
      <w:lang w:val="es-ES_tradnl"/>
    </w:rPr>
  </w:style>
  <w:style w:type="paragraph" w:customStyle="1" w:styleId="CarCarCarCar">
    <w:name w:val="Car Car Car Car"/>
    <w:basedOn w:val="Normal"/>
    <w:rsid w:val="001D0E9F"/>
    <w:pPr>
      <w:spacing w:after="160" w:line="240" w:lineRule="exact"/>
    </w:pPr>
    <w:rPr>
      <w:rFonts w:ascii="Verdana" w:eastAsia="PMingLiU" w:hAnsi="Verdana"/>
      <w:sz w:val="20"/>
      <w:lang w:val="en-US"/>
    </w:rPr>
  </w:style>
  <w:style w:type="paragraph" w:customStyle="1" w:styleId="CarCarCarCar1CharCarCarCarCar1">
    <w:name w:val="Car Car Car Car1 Char Car Car Car Car1"/>
    <w:basedOn w:val="Normal"/>
    <w:rsid w:val="001D0E9F"/>
    <w:pPr>
      <w:spacing w:after="160" w:line="240" w:lineRule="exact"/>
    </w:pPr>
    <w:rPr>
      <w:rFonts w:ascii="Verdana" w:eastAsia="PMingLiU" w:hAnsi="Verdana"/>
      <w:sz w:val="20"/>
      <w:lang w:val="en-US"/>
    </w:rPr>
  </w:style>
  <w:style w:type="paragraph" w:customStyle="1" w:styleId="CarCarCarCar1CharCar">
    <w:name w:val="Car Car Car Car1 Char Car"/>
    <w:basedOn w:val="Normal"/>
    <w:rsid w:val="001D0E9F"/>
    <w:pPr>
      <w:spacing w:after="160" w:line="240" w:lineRule="exact"/>
    </w:pPr>
    <w:rPr>
      <w:rFonts w:ascii="Verdana" w:eastAsia="PMingLiU" w:hAnsi="Verdana"/>
      <w:sz w:val="20"/>
      <w:lang w:val="en-US"/>
    </w:rPr>
  </w:style>
  <w:style w:type="paragraph" w:customStyle="1" w:styleId="Car1">
    <w:name w:val="Car1"/>
    <w:basedOn w:val="Normal"/>
    <w:rsid w:val="001D0E9F"/>
    <w:pPr>
      <w:spacing w:after="160" w:line="240" w:lineRule="exact"/>
    </w:pPr>
    <w:rPr>
      <w:rFonts w:ascii="Verdana" w:eastAsia="PMingLiU" w:hAnsi="Verdana"/>
      <w:sz w:val="20"/>
      <w:lang w:val="en-US"/>
    </w:rPr>
  </w:style>
  <w:style w:type="paragraph" w:styleId="Textonotapie">
    <w:name w:val="footnote text"/>
    <w:basedOn w:val="Normal"/>
    <w:link w:val="TextonotapieCar"/>
    <w:rsid w:val="001D0E9F"/>
    <w:rPr>
      <w:sz w:val="20"/>
      <w:lang w:val="es-ES" w:eastAsia="es-ES"/>
    </w:rPr>
  </w:style>
  <w:style w:type="character" w:customStyle="1" w:styleId="TextonotapieCar">
    <w:name w:val="Texto nota pie Car"/>
    <w:basedOn w:val="Fuentedeprrafopredeter"/>
    <w:link w:val="Textonotapie"/>
    <w:rsid w:val="001D0E9F"/>
    <w:rPr>
      <w:lang w:val="es-ES" w:eastAsia="es-ES"/>
    </w:rPr>
  </w:style>
  <w:style w:type="paragraph" w:customStyle="1" w:styleId="clusula">
    <w:name w:val="clusula"/>
    <w:basedOn w:val="Normal"/>
    <w:rsid w:val="001D0E9F"/>
    <w:pPr>
      <w:spacing w:before="60" w:after="60"/>
      <w:jc w:val="both"/>
    </w:pPr>
    <w:rPr>
      <w:color w:val="000000"/>
      <w:sz w:val="20"/>
      <w:lang w:val="es-ES" w:eastAsia="es-ES"/>
    </w:rPr>
  </w:style>
  <w:style w:type="character" w:customStyle="1" w:styleId="EstiloCorreo138">
    <w:name w:val="EstiloCorreo138"/>
    <w:basedOn w:val="Fuentedeprrafopredeter"/>
    <w:semiHidden/>
    <w:rsid w:val="001D0E9F"/>
    <w:rPr>
      <w:rFonts w:ascii="Arial" w:hAnsi="Arial" w:cs="Arial"/>
      <w:color w:val="000080"/>
      <w:sz w:val="20"/>
      <w:szCs w:val="20"/>
    </w:rPr>
  </w:style>
  <w:style w:type="paragraph" w:customStyle="1" w:styleId="bodytext2sgl">
    <w:name w:val="bodytext2sgl"/>
    <w:basedOn w:val="Normal"/>
    <w:uiPriority w:val="99"/>
    <w:rsid w:val="001D0E9F"/>
    <w:pPr>
      <w:autoSpaceDE w:val="0"/>
      <w:autoSpaceDN w:val="0"/>
      <w:spacing w:after="240"/>
      <w:ind w:firstLine="720"/>
    </w:pPr>
    <w:rPr>
      <w:sz w:val="20"/>
      <w:lang w:val="es-ES" w:eastAsia="es-ES"/>
    </w:rPr>
  </w:style>
  <w:style w:type="numbering" w:customStyle="1" w:styleId="Sinlista1">
    <w:name w:val="Sin lista1"/>
    <w:next w:val="Sinlista"/>
    <w:uiPriority w:val="99"/>
    <w:semiHidden/>
    <w:unhideWhenUsed/>
    <w:rsid w:val="00511C5D"/>
  </w:style>
  <w:style w:type="paragraph" w:customStyle="1" w:styleId="1">
    <w:name w:val="1"/>
    <w:basedOn w:val="Normal"/>
    <w:rsid w:val="00511C5D"/>
    <w:pPr>
      <w:spacing w:after="160" w:line="240" w:lineRule="exact"/>
    </w:pPr>
    <w:rPr>
      <w:rFonts w:ascii="Verdana" w:eastAsia="PMingLiU" w:hAnsi="Verdana"/>
      <w:sz w:val="20"/>
      <w:lang w:val="en-US"/>
    </w:rPr>
  </w:style>
  <w:style w:type="character" w:customStyle="1" w:styleId="EstiloCorreo142">
    <w:name w:val="EstiloCorreo142"/>
    <w:basedOn w:val="Fuentedeprrafopredeter"/>
    <w:semiHidden/>
    <w:rsid w:val="00511C5D"/>
    <w:rPr>
      <w:rFonts w:ascii="Arial" w:hAnsi="Arial" w:cs="Arial" w:hint="default"/>
      <w:color w:val="000080"/>
      <w:sz w:val="20"/>
      <w:szCs w:val="20"/>
    </w:rPr>
  </w:style>
  <w:style w:type="paragraph" w:styleId="Descripcin">
    <w:name w:val="caption"/>
    <w:basedOn w:val="Normal"/>
    <w:next w:val="Normal"/>
    <w:unhideWhenUsed/>
    <w:qFormat/>
    <w:rsid w:val="00511C5D"/>
    <w:pPr>
      <w:spacing w:after="200"/>
    </w:pPr>
    <w:rPr>
      <w:b/>
      <w:bCs/>
      <w:color w:val="4F81BD" w:themeColor="accent1"/>
      <w:sz w:val="18"/>
      <w:szCs w:val="18"/>
      <w:lang w:val="es-ES_tradnl"/>
    </w:rPr>
  </w:style>
  <w:style w:type="character" w:customStyle="1" w:styleId="EstiloCorreo144">
    <w:name w:val="EstiloCorreo144"/>
    <w:basedOn w:val="Fuentedeprrafopredeter"/>
    <w:semiHidden/>
    <w:rsid w:val="00E417B6"/>
    <w:rPr>
      <w:rFonts w:ascii="Arial" w:hAnsi="Arial" w:cs="Arial" w:hint="default"/>
      <w:color w:val="000080"/>
      <w:sz w:val="20"/>
      <w:szCs w:val="20"/>
    </w:rPr>
  </w:style>
  <w:style w:type="numbering" w:customStyle="1" w:styleId="Sinlista2">
    <w:name w:val="Sin lista2"/>
    <w:next w:val="Sinlista"/>
    <w:uiPriority w:val="99"/>
    <w:semiHidden/>
    <w:unhideWhenUsed/>
    <w:rsid w:val="00A76E3D"/>
  </w:style>
  <w:style w:type="character" w:customStyle="1" w:styleId="EstiloCorreo146">
    <w:name w:val="EstiloCorreo146"/>
    <w:basedOn w:val="Fuentedeprrafopredeter"/>
    <w:semiHidden/>
    <w:rsid w:val="00A76E3D"/>
    <w:rPr>
      <w:rFonts w:ascii="Arial" w:hAnsi="Arial" w:cs="Arial" w:hint="default"/>
      <w:color w:val="000080"/>
      <w:sz w:val="20"/>
      <w:szCs w:val="20"/>
    </w:rPr>
  </w:style>
  <w:style w:type="numbering" w:customStyle="1" w:styleId="Sinlista3">
    <w:name w:val="Sin lista3"/>
    <w:next w:val="Sinlista"/>
    <w:uiPriority w:val="99"/>
    <w:semiHidden/>
    <w:unhideWhenUsed/>
    <w:rsid w:val="00AB1102"/>
  </w:style>
  <w:style w:type="character" w:customStyle="1" w:styleId="EstiloCorreo1481">
    <w:name w:val="EstiloCorreo1481"/>
    <w:basedOn w:val="Fuentedeprrafopredeter"/>
    <w:semiHidden/>
    <w:rsid w:val="00AB1102"/>
    <w:rPr>
      <w:rFonts w:ascii="Arial" w:hAnsi="Arial" w:cs="Arial" w:hint="default"/>
      <w:color w:val="000080"/>
      <w:sz w:val="20"/>
      <w:szCs w:val="20"/>
    </w:rPr>
  </w:style>
  <w:style w:type="numbering" w:customStyle="1" w:styleId="Sinlista4">
    <w:name w:val="Sin lista4"/>
    <w:next w:val="Sinlista"/>
    <w:uiPriority w:val="99"/>
    <w:semiHidden/>
    <w:unhideWhenUsed/>
    <w:rsid w:val="008F72A2"/>
  </w:style>
  <w:style w:type="character" w:customStyle="1" w:styleId="EstiloCorreo150">
    <w:name w:val="EstiloCorreo150"/>
    <w:basedOn w:val="Fuentedeprrafopredeter"/>
    <w:semiHidden/>
    <w:rsid w:val="008F72A2"/>
    <w:rPr>
      <w:rFonts w:ascii="Arial" w:hAnsi="Arial" w:cs="Arial" w:hint="default"/>
      <w:color w:val="000080"/>
      <w:sz w:val="20"/>
      <w:szCs w:val="20"/>
    </w:rPr>
  </w:style>
  <w:style w:type="character" w:customStyle="1" w:styleId="EstiloCorreo581">
    <w:name w:val="EstiloCorreo581"/>
    <w:basedOn w:val="Fuentedeprrafopredeter"/>
    <w:semiHidden/>
    <w:rsid w:val="00C350F2"/>
    <w:rPr>
      <w:rFonts w:ascii="Arial" w:hAnsi="Arial" w:cs="Arial" w:hint="default"/>
      <w:color w:val="000080"/>
      <w:sz w:val="20"/>
      <w:szCs w:val="20"/>
    </w:rPr>
  </w:style>
  <w:style w:type="character" w:customStyle="1" w:styleId="Ttulo9Car">
    <w:name w:val="Título 9 Car"/>
    <w:basedOn w:val="Fuentedeprrafopredeter"/>
    <w:link w:val="Ttulo9"/>
    <w:rsid w:val="00C350F2"/>
    <w:rPr>
      <w:b/>
      <w:lang w:val="es-ES_tradnl" w:eastAsia="en-US"/>
    </w:rPr>
  </w:style>
  <w:style w:type="character" w:customStyle="1" w:styleId="TextonotaalfinalCar">
    <w:name w:val="Texto nota al final Car"/>
    <w:basedOn w:val="Fuentedeprrafopredeter"/>
    <w:link w:val="Textonotaalfinal"/>
    <w:rsid w:val="00C350F2"/>
    <w:rPr>
      <w:sz w:val="24"/>
      <w:lang w:val="es-ES_tradnl" w:eastAsia="en-US"/>
    </w:rPr>
  </w:style>
  <w:style w:type="character" w:customStyle="1" w:styleId="TtuloCar">
    <w:name w:val="Título Car"/>
    <w:basedOn w:val="Fuentedeprrafopredeter"/>
    <w:link w:val="Ttulo"/>
    <w:rsid w:val="00C350F2"/>
    <w:rPr>
      <w:b/>
      <w:bCs/>
      <w:sz w:val="32"/>
      <w:szCs w:val="24"/>
      <w:lang w:eastAsia="en-US" w:bidi="he-IL"/>
    </w:rPr>
  </w:style>
  <w:style w:type="character" w:customStyle="1" w:styleId="AsuntodelcomentarioCar">
    <w:name w:val="Asunto del comentario Car"/>
    <w:basedOn w:val="TextocomentarioCar"/>
    <w:link w:val="Asuntodelcomentario"/>
    <w:rsid w:val="00C350F2"/>
    <w:rPr>
      <w:b/>
      <w:bCs/>
      <w:lang w:val="en-GB" w:eastAsia="en-US"/>
    </w:rPr>
  </w:style>
  <w:style w:type="character" w:customStyle="1" w:styleId="EstiloCorreo1471">
    <w:name w:val="EstiloCorreo1471"/>
    <w:basedOn w:val="Fuentedeprrafopredeter"/>
    <w:semiHidden/>
    <w:rsid w:val="00C350F2"/>
    <w:rPr>
      <w:rFonts w:ascii="Arial" w:hAnsi="Arial" w:cs="Arial" w:hint="default"/>
      <w:color w:val="000080"/>
      <w:sz w:val="20"/>
      <w:szCs w:val="20"/>
    </w:rPr>
  </w:style>
  <w:style w:type="character" w:customStyle="1" w:styleId="EstiloCorreo1491">
    <w:name w:val="EstiloCorreo1491"/>
    <w:basedOn w:val="Fuentedeprrafopredeter"/>
    <w:semiHidden/>
    <w:rsid w:val="00C350F2"/>
    <w:rPr>
      <w:rFonts w:ascii="Arial" w:hAnsi="Arial" w:cs="Arial" w:hint="default"/>
      <w:color w:val="000080"/>
      <w:sz w:val="20"/>
      <w:szCs w:val="20"/>
    </w:rPr>
  </w:style>
  <w:style w:type="character" w:customStyle="1" w:styleId="EstiloCorreo1511">
    <w:name w:val="EstiloCorreo1511"/>
    <w:basedOn w:val="Fuentedeprrafopredeter"/>
    <w:semiHidden/>
    <w:rsid w:val="00C350F2"/>
    <w:rPr>
      <w:rFonts w:ascii="Arial" w:hAnsi="Arial" w:cs="Arial" w:hint="default"/>
      <w:color w:val="000080"/>
      <w:sz w:val="20"/>
      <w:szCs w:val="20"/>
    </w:rPr>
  </w:style>
  <w:style w:type="character" w:customStyle="1" w:styleId="EstiloCorreo1531">
    <w:name w:val="EstiloCorreo1531"/>
    <w:basedOn w:val="Fuentedeprrafopredeter"/>
    <w:semiHidden/>
    <w:rsid w:val="00C350F2"/>
    <w:rPr>
      <w:rFonts w:ascii="Arial" w:hAnsi="Arial" w:cs="Arial" w:hint="default"/>
      <w:color w:val="000080"/>
      <w:sz w:val="20"/>
      <w:szCs w:val="20"/>
    </w:rPr>
  </w:style>
  <w:style w:type="numbering" w:customStyle="1" w:styleId="Sinlista5">
    <w:name w:val="Sin lista5"/>
    <w:next w:val="Sinlista"/>
    <w:uiPriority w:val="99"/>
    <w:semiHidden/>
    <w:unhideWhenUsed/>
    <w:rsid w:val="00C350F2"/>
  </w:style>
  <w:style w:type="character" w:customStyle="1" w:styleId="EstiloCorreo1551">
    <w:name w:val="EstiloCorreo1551"/>
    <w:basedOn w:val="Fuentedeprrafopredeter"/>
    <w:semiHidden/>
    <w:rsid w:val="00C350F2"/>
    <w:rPr>
      <w:rFonts w:ascii="Arial" w:hAnsi="Arial" w:cs="Arial" w:hint="default"/>
      <w:color w:val="000080"/>
      <w:sz w:val="20"/>
      <w:szCs w:val="20"/>
    </w:rPr>
  </w:style>
  <w:style w:type="character" w:customStyle="1" w:styleId="EstiloCorreo1561">
    <w:name w:val="EstiloCorreo1561"/>
    <w:basedOn w:val="Fuentedeprrafopredeter"/>
    <w:semiHidden/>
    <w:rsid w:val="00C350F2"/>
    <w:rPr>
      <w:rFonts w:ascii="Arial" w:hAnsi="Arial" w:cs="Arial"/>
      <w:color w:val="000080"/>
      <w:sz w:val="20"/>
      <w:szCs w:val="20"/>
    </w:rPr>
  </w:style>
  <w:style w:type="character" w:customStyle="1" w:styleId="EstiloCorreo1571">
    <w:name w:val="EstiloCorreo1571"/>
    <w:basedOn w:val="Fuentedeprrafopredeter"/>
    <w:semiHidden/>
    <w:rsid w:val="00C350F2"/>
    <w:rPr>
      <w:rFonts w:ascii="Arial" w:hAnsi="Arial" w:cs="Arial" w:hint="default"/>
      <w:color w:val="000080"/>
      <w:sz w:val="20"/>
      <w:szCs w:val="20"/>
    </w:rPr>
  </w:style>
  <w:style w:type="character" w:customStyle="1" w:styleId="EstiloCorreo1581">
    <w:name w:val="EstiloCorreo1581"/>
    <w:basedOn w:val="Fuentedeprrafopredeter"/>
    <w:semiHidden/>
    <w:rsid w:val="00C350F2"/>
    <w:rPr>
      <w:rFonts w:ascii="Arial" w:hAnsi="Arial" w:cs="Arial" w:hint="default"/>
      <w:color w:val="000080"/>
      <w:sz w:val="20"/>
      <w:szCs w:val="20"/>
    </w:rPr>
  </w:style>
  <w:style w:type="character" w:customStyle="1" w:styleId="EstiloCorreo1591">
    <w:name w:val="EstiloCorreo1591"/>
    <w:basedOn w:val="Fuentedeprrafopredeter"/>
    <w:semiHidden/>
    <w:rsid w:val="00C350F2"/>
    <w:rPr>
      <w:rFonts w:ascii="Arial" w:hAnsi="Arial" w:cs="Arial" w:hint="default"/>
      <w:color w:val="000080"/>
      <w:sz w:val="20"/>
      <w:szCs w:val="20"/>
    </w:rPr>
  </w:style>
  <w:style w:type="character" w:customStyle="1" w:styleId="EstiloCorreo1601">
    <w:name w:val="EstiloCorreo1601"/>
    <w:basedOn w:val="Fuentedeprrafopredeter"/>
    <w:semiHidden/>
    <w:rsid w:val="00C350F2"/>
    <w:rPr>
      <w:rFonts w:ascii="Arial" w:hAnsi="Arial" w:cs="Arial" w:hint="default"/>
      <w:color w:val="000080"/>
      <w:sz w:val="20"/>
      <w:szCs w:val="20"/>
    </w:rPr>
  </w:style>
  <w:style w:type="character" w:customStyle="1" w:styleId="EstiloCorreo1611">
    <w:name w:val="EstiloCorreo1611"/>
    <w:basedOn w:val="Fuentedeprrafopredeter"/>
    <w:semiHidden/>
    <w:rsid w:val="00C350F2"/>
    <w:rPr>
      <w:rFonts w:ascii="Arial" w:hAnsi="Arial" w:cs="Arial"/>
      <w:color w:val="000080"/>
      <w:sz w:val="20"/>
      <w:szCs w:val="20"/>
    </w:rPr>
  </w:style>
  <w:style w:type="numbering" w:customStyle="1" w:styleId="Sinlista11">
    <w:name w:val="Sin lista11"/>
    <w:next w:val="Sinlista"/>
    <w:uiPriority w:val="99"/>
    <w:semiHidden/>
    <w:unhideWhenUsed/>
    <w:rsid w:val="00C350F2"/>
  </w:style>
  <w:style w:type="character" w:customStyle="1" w:styleId="EstiloCorreo1631">
    <w:name w:val="EstiloCorreo1631"/>
    <w:basedOn w:val="Fuentedeprrafopredeter"/>
    <w:semiHidden/>
    <w:rsid w:val="00C350F2"/>
    <w:rPr>
      <w:rFonts w:ascii="Arial" w:hAnsi="Arial" w:cs="Arial" w:hint="default"/>
      <w:color w:val="000080"/>
      <w:sz w:val="20"/>
      <w:szCs w:val="20"/>
    </w:rPr>
  </w:style>
  <w:style w:type="character" w:customStyle="1" w:styleId="EstiloCorreo1641">
    <w:name w:val="EstiloCorreo1641"/>
    <w:basedOn w:val="Fuentedeprrafopredeter"/>
    <w:semiHidden/>
    <w:rsid w:val="00C350F2"/>
    <w:rPr>
      <w:rFonts w:ascii="Arial" w:hAnsi="Arial" w:cs="Arial" w:hint="default"/>
      <w:color w:val="000080"/>
      <w:sz w:val="20"/>
      <w:szCs w:val="20"/>
    </w:rPr>
  </w:style>
  <w:style w:type="numbering" w:customStyle="1" w:styleId="Sinlista21">
    <w:name w:val="Sin lista21"/>
    <w:next w:val="Sinlista"/>
    <w:uiPriority w:val="99"/>
    <w:semiHidden/>
    <w:unhideWhenUsed/>
    <w:rsid w:val="00C350F2"/>
  </w:style>
  <w:style w:type="character" w:customStyle="1" w:styleId="EstiloCorreo1661">
    <w:name w:val="EstiloCorreo1661"/>
    <w:basedOn w:val="Fuentedeprrafopredeter"/>
    <w:semiHidden/>
    <w:rsid w:val="00C350F2"/>
    <w:rPr>
      <w:rFonts w:ascii="Arial" w:hAnsi="Arial" w:cs="Arial" w:hint="default"/>
      <w:color w:val="000080"/>
      <w:sz w:val="20"/>
      <w:szCs w:val="20"/>
    </w:rPr>
  </w:style>
  <w:style w:type="numbering" w:customStyle="1" w:styleId="Sinlista31">
    <w:name w:val="Sin lista31"/>
    <w:next w:val="Sinlista"/>
    <w:uiPriority w:val="99"/>
    <w:semiHidden/>
    <w:unhideWhenUsed/>
    <w:rsid w:val="00C350F2"/>
  </w:style>
  <w:style w:type="character" w:customStyle="1" w:styleId="EstiloCorreo1681">
    <w:name w:val="EstiloCorreo1681"/>
    <w:basedOn w:val="Fuentedeprrafopredeter"/>
    <w:semiHidden/>
    <w:rsid w:val="00C350F2"/>
    <w:rPr>
      <w:rFonts w:ascii="Arial" w:hAnsi="Arial" w:cs="Arial" w:hint="default"/>
      <w:color w:val="000080"/>
      <w:sz w:val="20"/>
      <w:szCs w:val="20"/>
    </w:rPr>
  </w:style>
  <w:style w:type="numbering" w:customStyle="1" w:styleId="Sinlista41">
    <w:name w:val="Sin lista41"/>
    <w:next w:val="Sinlista"/>
    <w:uiPriority w:val="99"/>
    <w:semiHidden/>
    <w:unhideWhenUsed/>
    <w:rsid w:val="00C350F2"/>
  </w:style>
  <w:style w:type="character" w:customStyle="1" w:styleId="EstiloCorreo1701">
    <w:name w:val="EstiloCorreo1701"/>
    <w:basedOn w:val="Fuentedeprrafopredeter"/>
    <w:semiHidden/>
    <w:rsid w:val="00C350F2"/>
    <w:rPr>
      <w:rFonts w:ascii="Arial" w:hAnsi="Arial" w:cs="Arial" w:hint="default"/>
      <w:color w:val="000080"/>
      <w:sz w:val="20"/>
      <w:szCs w:val="20"/>
    </w:rPr>
  </w:style>
  <w:style w:type="numbering" w:customStyle="1" w:styleId="Sinlista51">
    <w:name w:val="Sin lista51"/>
    <w:next w:val="Sinlista"/>
    <w:uiPriority w:val="99"/>
    <w:semiHidden/>
    <w:unhideWhenUsed/>
    <w:rsid w:val="00C350F2"/>
  </w:style>
  <w:style w:type="character" w:customStyle="1" w:styleId="EstiloCorreo1721">
    <w:name w:val="EstiloCorreo1721"/>
    <w:basedOn w:val="Fuentedeprrafopredeter"/>
    <w:semiHidden/>
    <w:rsid w:val="00C350F2"/>
    <w:rPr>
      <w:rFonts w:ascii="Arial" w:hAnsi="Arial" w:cs="Arial" w:hint="default"/>
      <w:color w:val="000080"/>
      <w:sz w:val="20"/>
      <w:szCs w:val="20"/>
    </w:rPr>
  </w:style>
  <w:style w:type="paragraph" w:customStyle="1" w:styleId="s25">
    <w:name w:val="s25"/>
    <w:basedOn w:val="Normal"/>
    <w:uiPriority w:val="99"/>
    <w:rsid w:val="00C350F2"/>
    <w:pPr>
      <w:ind w:left="624"/>
      <w:jc w:val="both"/>
    </w:pPr>
    <w:rPr>
      <w:rFonts w:ascii="Arial" w:eastAsia="Calibri" w:hAnsi="Arial" w:cs="Arial"/>
      <w:sz w:val="20"/>
      <w:lang w:eastAsia="es-AR"/>
    </w:rPr>
  </w:style>
  <w:style w:type="paragraph" w:customStyle="1" w:styleId="s30-3675">
    <w:name w:val="s30-3675"/>
    <w:basedOn w:val="Normal"/>
    <w:rsid w:val="00C350F2"/>
    <w:pPr>
      <w:ind w:firstLine="567"/>
      <w:jc w:val="both"/>
    </w:pPr>
    <w:rPr>
      <w:rFonts w:eastAsia="Calibri"/>
      <w:szCs w:val="24"/>
      <w:lang w:eastAsia="es-AR"/>
    </w:rPr>
  </w:style>
  <w:style w:type="numbering" w:customStyle="1" w:styleId="Sinlista6">
    <w:name w:val="Sin lista6"/>
    <w:next w:val="Sinlista"/>
    <w:uiPriority w:val="99"/>
    <w:semiHidden/>
    <w:unhideWhenUsed/>
    <w:rsid w:val="00C350F2"/>
  </w:style>
  <w:style w:type="numbering" w:customStyle="1" w:styleId="Sinlista12">
    <w:name w:val="Sin lista12"/>
    <w:next w:val="Sinlista"/>
    <w:uiPriority w:val="99"/>
    <w:semiHidden/>
    <w:unhideWhenUsed/>
    <w:rsid w:val="00C350F2"/>
  </w:style>
  <w:style w:type="character" w:customStyle="1" w:styleId="EstiloCorreo177">
    <w:name w:val="EstiloCorreo177"/>
    <w:basedOn w:val="Fuentedeprrafopredeter"/>
    <w:semiHidden/>
    <w:rsid w:val="00C350F2"/>
    <w:rPr>
      <w:rFonts w:ascii="Arial" w:hAnsi="Arial" w:cs="Arial"/>
      <w:color w:val="000080"/>
      <w:sz w:val="20"/>
      <w:szCs w:val="20"/>
    </w:rPr>
  </w:style>
  <w:style w:type="numbering" w:customStyle="1" w:styleId="Sinlista111">
    <w:name w:val="Sin lista111"/>
    <w:next w:val="Sinlista"/>
    <w:uiPriority w:val="99"/>
    <w:semiHidden/>
    <w:unhideWhenUsed/>
    <w:rsid w:val="00C350F2"/>
  </w:style>
  <w:style w:type="character" w:customStyle="1" w:styleId="EstiloCorreo179">
    <w:name w:val="EstiloCorreo179"/>
    <w:basedOn w:val="Fuentedeprrafopredeter"/>
    <w:semiHidden/>
    <w:rsid w:val="00C350F2"/>
    <w:rPr>
      <w:rFonts w:ascii="Arial" w:hAnsi="Arial" w:cs="Arial" w:hint="default"/>
      <w:color w:val="000080"/>
      <w:sz w:val="20"/>
      <w:szCs w:val="20"/>
    </w:rPr>
  </w:style>
  <w:style w:type="numbering" w:customStyle="1" w:styleId="Sinlista22">
    <w:name w:val="Sin lista22"/>
    <w:next w:val="Sinlista"/>
    <w:uiPriority w:val="99"/>
    <w:semiHidden/>
    <w:unhideWhenUsed/>
    <w:rsid w:val="00C350F2"/>
  </w:style>
  <w:style w:type="numbering" w:customStyle="1" w:styleId="Sinlista32">
    <w:name w:val="Sin lista32"/>
    <w:next w:val="Sinlista"/>
    <w:uiPriority w:val="99"/>
    <w:semiHidden/>
    <w:unhideWhenUsed/>
    <w:rsid w:val="00C350F2"/>
  </w:style>
  <w:style w:type="character" w:customStyle="1" w:styleId="EstiloCorreo182">
    <w:name w:val="EstiloCorreo182"/>
    <w:basedOn w:val="Fuentedeprrafopredeter"/>
    <w:semiHidden/>
    <w:rsid w:val="00C350F2"/>
    <w:rPr>
      <w:rFonts w:ascii="Arial" w:hAnsi="Arial" w:cs="Arial" w:hint="default"/>
      <w:color w:val="000080"/>
      <w:sz w:val="20"/>
      <w:szCs w:val="20"/>
    </w:rPr>
  </w:style>
  <w:style w:type="numbering" w:customStyle="1" w:styleId="Sinlista42">
    <w:name w:val="Sin lista42"/>
    <w:next w:val="Sinlista"/>
    <w:uiPriority w:val="99"/>
    <w:semiHidden/>
    <w:unhideWhenUsed/>
    <w:rsid w:val="00C350F2"/>
  </w:style>
  <w:style w:type="character" w:customStyle="1" w:styleId="EstiloCorreo184">
    <w:name w:val="EstiloCorreo184"/>
    <w:basedOn w:val="Fuentedeprrafopredeter"/>
    <w:semiHidden/>
    <w:rsid w:val="00C350F2"/>
    <w:rPr>
      <w:rFonts w:ascii="Arial" w:hAnsi="Arial" w:cs="Arial" w:hint="default"/>
      <w:color w:val="000080"/>
      <w:sz w:val="20"/>
      <w:szCs w:val="20"/>
    </w:rPr>
  </w:style>
  <w:style w:type="numbering" w:customStyle="1" w:styleId="Sinlista52">
    <w:name w:val="Sin lista52"/>
    <w:next w:val="Sinlista"/>
    <w:uiPriority w:val="99"/>
    <w:semiHidden/>
    <w:unhideWhenUsed/>
    <w:rsid w:val="00C350F2"/>
  </w:style>
  <w:style w:type="character" w:customStyle="1" w:styleId="EstiloCorreo186">
    <w:name w:val="EstiloCorreo186"/>
    <w:basedOn w:val="Fuentedeprrafopredeter"/>
    <w:semiHidden/>
    <w:rsid w:val="00C350F2"/>
    <w:rPr>
      <w:rFonts w:ascii="Arial" w:hAnsi="Arial" w:cs="Arial" w:hint="default"/>
      <w:color w:val="000080"/>
      <w:sz w:val="20"/>
      <w:szCs w:val="20"/>
    </w:rPr>
  </w:style>
  <w:style w:type="character" w:customStyle="1" w:styleId="EstiloCorreo187">
    <w:name w:val="EstiloCorreo187"/>
    <w:basedOn w:val="Fuentedeprrafopredeter"/>
    <w:semiHidden/>
    <w:rsid w:val="00C350F2"/>
    <w:rPr>
      <w:rFonts w:ascii="Arial" w:hAnsi="Arial" w:cs="Arial"/>
      <w:color w:val="000080"/>
      <w:sz w:val="20"/>
      <w:szCs w:val="20"/>
    </w:rPr>
  </w:style>
  <w:style w:type="numbering" w:customStyle="1" w:styleId="Sinlista1111">
    <w:name w:val="Sin lista1111"/>
    <w:next w:val="Sinlista"/>
    <w:uiPriority w:val="99"/>
    <w:semiHidden/>
    <w:unhideWhenUsed/>
    <w:rsid w:val="00C350F2"/>
  </w:style>
  <w:style w:type="character" w:customStyle="1" w:styleId="EstiloCorreo189">
    <w:name w:val="EstiloCorreo189"/>
    <w:basedOn w:val="Fuentedeprrafopredeter"/>
    <w:semiHidden/>
    <w:rsid w:val="00C350F2"/>
    <w:rPr>
      <w:rFonts w:ascii="Arial" w:hAnsi="Arial" w:cs="Arial" w:hint="default"/>
      <w:color w:val="000080"/>
      <w:sz w:val="20"/>
      <w:szCs w:val="20"/>
    </w:rPr>
  </w:style>
  <w:style w:type="character" w:customStyle="1" w:styleId="EstiloCorreo190">
    <w:name w:val="EstiloCorreo190"/>
    <w:basedOn w:val="Fuentedeprrafopredeter"/>
    <w:semiHidden/>
    <w:rsid w:val="00C350F2"/>
    <w:rPr>
      <w:rFonts w:ascii="Arial" w:hAnsi="Arial" w:cs="Arial" w:hint="default"/>
      <w:color w:val="000080"/>
      <w:sz w:val="20"/>
      <w:szCs w:val="20"/>
    </w:rPr>
  </w:style>
  <w:style w:type="numbering" w:customStyle="1" w:styleId="Sinlista211">
    <w:name w:val="Sin lista211"/>
    <w:next w:val="Sinlista"/>
    <w:uiPriority w:val="99"/>
    <w:semiHidden/>
    <w:unhideWhenUsed/>
    <w:rsid w:val="00C350F2"/>
  </w:style>
  <w:style w:type="character" w:customStyle="1" w:styleId="EstiloCorreo192">
    <w:name w:val="EstiloCorreo192"/>
    <w:basedOn w:val="Fuentedeprrafopredeter"/>
    <w:semiHidden/>
    <w:rsid w:val="00C350F2"/>
    <w:rPr>
      <w:rFonts w:ascii="Arial" w:hAnsi="Arial" w:cs="Arial" w:hint="default"/>
      <w:color w:val="000080"/>
      <w:sz w:val="20"/>
      <w:szCs w:val="20"/>
    </w:rPr>
  </w:style>
  <w:style w:type="numbering" w:customStyle="1" w:styleId="Sinlista311">
    <w:name w:val="Sin lista311"/>
    <w:next w:val="Sinlista"/>
    <w:uiPriority w:val="99"/>
    <w:semiHidden/>
    <w:unhideWhenUsed/>
    <w:rsid w:val="00C350F2"/>
  </w:style>
  <w:style w:type="character" w:customStyle="1" w:styleId="EstiloCorreo194">
    <w:name w:val="EstiloCorreo194"/>
    <w:basedOn w:val="Fuentedeprrafopredeter"/>
    <w:semiHidden/>
    <w:rsid w:val="00C350F2"/>
    <w:rPr>
      <w:rFonts w:ascii="Arial" w:hAnsi="Arial" w:cs="Arial" w:hint="default"/>
      <w:color w:val="000080"/>
      <w:sz w:val="20"/>
      <w:szCs w:val="20"/>
    </w:rPr>
  </w:style>
  <w:style w:type="numbering" w:customStyle="1" w:styleId="Sinlista411">
    <w:name w:val="Sin lista411"/>
    <w:next w:val="Sinlista"/>
    <w:uiPriority w:val="99"/>
    <w:semiHidden/>
    <w:unhideWhenUsed/>
    <w:rsid w:val="00C350F2"/>
  </w:style>
  <w:style w:type="character" w:customStyle="1" w:styleId="EstiloCorreo196">
    <w:name w:val="EstiloCorreo196"/>
    <w:basedOn w:val="Fuentedeprrafopredeter"/>
    <w:semiHidden/>
    <w:rsid w:val="00C350F2"/>
    <w:rPr>
      <w:rFonts w:ascii="Arial" w:hAnsi="Arial" w:cs="Arial" w:hint="default"/>
      <w:color w:val="000080"/>
      <w:sz w:val="20"/>
      <w:szCs w:val="20"/>
    </w:rPr>
  </w:style>
  <w:style w:type="numbering" w:customStyle="1" w:styleId="Sinlista511">
    <w:name w:val="Sin lista511"/>
    <w:next w:val="Sinlista"/>
    <w:uiPriority w:val="99"/>
    <w:semiHidden/>
    <w:unhideWhenUsed/>
    <w:rsid w:val="00C350F2"/>
  </w:style>
  <w:style w:type="character" w:customStyle="1" w:styleId="EstiloCorreo198">
    <w:name w:val="EstiloCorreo198"/>
    <w:basedOn w:val="Fuentedeprrafopredeter"/>
    <w:semiHidden/>
    <w:rsid w:val="00C350F2"/>
    <w:rPr>
      <w:rFonts w:ascii="Arial" w:hAnsi="Arial" w:cs="Arial" w:hint="default"/>
      <w:color w:val="000080"/>
      <w:sz w:val="20"/>
      <w:szCs w:val="20"/>
    </w:rPr>
  </w:style>
  <w:style w:type="character" w:customStyle="1" w:styleId="EstiloCorreo199">
    <w:name w:val="EstiloCorreo199"/>
    <w:basedOn w:val="Fuentedeprrafopredeter"/>
    <w:semiHidden/>
    <w:rsid w:val="00C350F2"/>
    <w:rPr>
      <w:rFonts w:ascii="Arial" w:hAnsi="Arial" w:cs="Arial"/>
      <w:color w:val="000080"/>
      <w:sz w:val="20"/>
      <w:szCs w:val="20"/>
    </w:rPr>
  </w:style>
  <w:style w:type="character" w:customStyle="1" w:styleId="EstiloCorreo200">
    <w:name w:val="EstiloCorreo200"/>
    <w:basedOn w:val="Fuentedeprrafopredeter"/>
    <w:semiHidden/>
    <w:rsid w:val="00C350F2"/>
    <w:rPr>
      <w:rFonts w:ascii="Arial" w:hAnsi="Arial" w:cs="Arial" w:hint="default"/>
      <w:color w:val="000080"/>
      <w:sz w:val="20"/>
      <w:szCs w:val="20"/>
    </w:rPr>
  </w:style>
  <w:style w:type="character" w:customStyle="1" w:styleId="EstiloCorreo201">
    <w:name w:val="EstiloCorreo201"/>
    <w:basedOn w:val="Fuentedeprrafopredeter"/>
    <w:semiHidden/>
    <w:rsid w:val="00C350F2"/>
    <w:rPr>
      <w:rFonts w:ascii="Arial" w:hAnsi="Arial" w:cs="Arial" w:hint="default"/>
      <w:color w:val="000080"/>
      <w:sz w:val="20"/>
      <w:szCs w:val="20"/>
    </w:rPr>
  </w:style>
  <w:style w:type="character" w:customStyle="1" w:styleId="EstiloCorreo202">
    <w:name w:val="EstiloCorreo202"/>
    <w:basedOn w:val="Fuentedeprrafopredeter"/>
    <w:semiHidden/>
    <w:rsid w:val="00C350F2"/>
    <w:rPr>
      <w:rFonts w:ascii="Arial" w:hAnsi="Arial" w:cs="Arial" w:hint="default"/>
      <w:color w:val="000080"/>
      <w:sz w:val="20"/>
      <w:szCs w:val="20"/>
    </w:rPr>
  </w:style>
  <w:style w:type="character" w:customStyle="1" w:styleId="EstiloCorreo203">
    <w:name w:val="EstiloCorreo203"/>
    <w:basedOn w:val="Fuentedeprrafopredeter"/>
    <w:semiHidden/>
    <w:rsid w:val="00C350F2"/>
    <w:rPr>
      <w:rFonts w:ascii="Arial" w:hAnsi="Arial" w:cs="Arial" w:hint="default"/>
      <w:color w:val="000080"/>
      <w:sz w:val="20"/>
      <w:szCs w:val="20"/>
    </w:rPr>
  </w:style>
  <w:style w:type="character" w:customStyle="1" w:styleId="EstiloCorreo204">
    <w:name w:val="EstiloCorreo204"/>
    <w:basedOn w:val="Fuentedeprrafopredeter"/>
    <w:semiHidden/>
    <w:rsid w:val="00C350F2"/>
    <w:rPr>
      <w:rFonts w:ascii="Arial" w:hAnsi="Arial" w:cs="Arial"/>
      <w:color w:val="000080"/>
      <w:sz w:val="20"/>
      <w:szCs w:val="20"/>
    </w:rPr>
  </w:style>
  <w:style w:type="numbering" w:customStyle="1" w:styleId="Sinlista11111">
    <w:name w:val="Sin lista11111"/>
    <w:next w:val="Sinlista"/>
    <w:uiPriority w:val="99"/>
    <w:semiHidden/>
    <w:unhideWhenUsed/>
    <w:rsid w:val="00C350F2"/>
  </w:style>
  <w:style w:type="character" w:customStyle="1" w:styleId="EstiloCorreo206">
    <w:name w:val="EstiloCorreo206"/>
    <w:basedOn w:val="Fuentedeprrafopredeter"/>
    <w:semiHidden/>
    <w:rsid w:val="00C350F2"/>
    <w:rPr>
      <w:rFonts w:ascii="Arial" w:hAnsi="Arial" w:cs="Arial" w:hint="default"/>
      <w:color w:val="000080"/>
      <w:sz w:val="20"/>
      <w:szCs w:val="20"/>
    </w:rPr>
  </w:style>
  <w:style w:type="character" w:customStyle="1" w:styleId="EstiloCorreo207">
    <w:name w:val="EstiloCorreo207"/>
    <w:basedOn w:val="Fuentedeprrafopredeter"/>
    <w:semiHidden/>
    <w:rsid w:val="00C350F2"/>
    <w:rPr>
      <w:rFonts w:ascii="Arial" w:hAnsi="Arial" w:cs="Arial" w:hint="default"/>
      <w:color w:val="000080"/>
      <w:sz w:val="20"/>
      <w:szCs w:val="20"/>
    </w:rPr>
  </w:style>
  <w:style w:type="numbering" w:customStyle="1" w:styleId="Sinlista2111">
    <w:name w:val="Sin lista2111"/>
    <w:next w:val="Sinlista"/>
    <w:uiPriority w:val="99"/>
    <w:semiHidden/>
    <w:unhideWhenUsed/>
    <w:rsid w:val="00C350F2"/>
  </w:style>
  <w:style w:type="character" w:customStyle="1" w:styleId="EstiloCorreo209">
    <w:name w:val="EstiloCorreo209"/>
    <w:basedOn w:val="Fuentedeprrafopredeter"/>
    <w:semiHidden/>
    <w:rsid w:val="00C350F2"/>
    <w:rPr>
      <w:rFonts w:ascii="Arial" w:hAnsi="Arial" w:cs="Arial" w:hint="default"/>
      <w:color w:val="000080"/>
      <w:sz w:val="20"/>
      <w:szCs w:val="20"/>
    </w:rPr>
  </w:style>
  <w:style w:type="numbering" w:customStyle="1" w:styleId="Sinlista3111">
    <w:name w:val="Sin lista3111"/>
    <w:next w:val="Sinlista"/>
    <w:uiPriority w:val="99"/>
    <w:semiHidden/>
    <w:unhideWhenUsed/>
    <w:rsid w:val="00C350F2"/>
  </w:style>
  <w:style w:type="character" w:customStyle="1" w:styleId="EstiloCorreo211">
    <w:name w:val="EstiloCorreo211"/>
    <w:basedOn w:val="Fuentedeprrafopredeter"/>
    <w:semiHidden/>
    <w:rsid w:val="00C350F2"/>
    <w:rPr>
      <w:rFonts w:ascii="Arial" w:hAnsi="Arial" w:cs="Arial" w:hint="default"/>
      <w:color w:val="000080"/>
      <w:sz w:val="20"/>
      <w:szCs w:val="20"/>
    </w:rPr>
  </w:style>
  <w:style w:type="numbering" w:customStyle="1" w:styleId="Sinlista4111">
    <w:name w:val="Sin lista4111"/>
    <w:next w:val="Sinlista"/>
    <w:uiPriority w:val="99"/>
    <w:semiHidden/>
    <w:unhideWhenUsed/>
    <w:rsid w:val="00C350F2"/>
  </w:style>
  <w:style w:type="character" w:customStyle="1" w:styleId="EstiloCorreo213">
    <w:name w:val="EstiloCorreo213"/>
    <w:basedOn w:val="Fuentedeprrafopredeter"/>
    <w:semiHidden/>
    <w:rsid w:val="00C350F2"/>
    <w:rPr>
      <w:rFonts w:ascii="Arial" w:hAnsi="Arial" w:cs="Arial" w:hint="default"/>
      <w:color w:val="000080"/>
      <w:sz w:val="20"/>
      <w:szCs w:val="20"/>
    </w:rPr>
  </w:style>
  <w:style w:type="numbering" w:customStyle="1" w:styleId="Sinlista5111">
    <w:name w:val="Sin lista5111"/>
    <w:next w:val="Sinlista"/>
    <w:uiPriority w:val="99"/>
    <w:semiHidden/>
    <w:unhideWhenUsed/>
    <w:rsid w:val="00C350F2"/>
  </w:style>
  <w:style w:type="character" w:customStyle="1" w:styleId="EstiloCorreo215">
    <w:name w:val="EstiloCorreo215"/>
    <w:basedOn w:val="Fuentedeprrafopredeter"/>
    <w:semiHidden/>
    <w:rsid w:val="00C350F2"/>
    <w:rPr>
      <w:rFonts w:ascii="Arial" w:hAnsi="Arial" w:cs="Arial" w:hint="default"/>
      <w:color w:val="000080"/>
      <w:sz w:val="20"/>
      <w:szCs w:val="20"/>
    </w:rPr>
  </w:style>
  <w:style w:type="numbering" w:customStyle="1" w:styleId="Sinlista7">
    <w:name w:val="Sin lista7"/>
    <w:next w:val="Sinlista"/>
    <w:uiPriority w:val="99"/>
    <w:semiHidden/>
    <w:unhideWhenUsed/>
    <w:rsid w:val="00332ABE"/>
  </w:style>
  <w:style w:type="numbering" w:customStyle="1" w:styleId="Sinlista13">
    <w:name w:val="Sin lista13"/>
    <w:next w:val="Sinlista"/>
    <w:uiPriority w:val="99"/>
    <w:semiHidden/>
    <w:unhideWhenUsed/>
    <w:rsid w:val="00332ABE"/>
  </w:style>
  <w:style w:type="numbering" w:customStyle="1" w:styleId="Sinlista23">
    <w:name w:val="Sin lista23"/>
    <w:next w:val="Sinlista"/>
    <w:uiPriority w:val="99"/>
    <w:semiHidden/>
    <w:unhideWhenUsed/>
    <w:rsid w:val="00332ABE"/>
  </w:style>
  <w:style w:type="numbering" w:customStyle="1" w:styleId="Sinlista33">
    <w:name w:val="Sin lista33"/>
    <w:next w:val="Sinlista"/>
    <w:uiPriority w:val="99"/>
    <w:semiHidden/>
    <w:unhideWhenUsed/>
    <w:rsid w:val="00332ABE"/>
  </w:style>
  <w:style w:type="numbering" w:customStyle="1" w:styleId="Sinlista43">
    <w:name w:val="Sin lista43"/>
    <w:next w:val="Sinlista"/>
    <w:uiPriority w:val="99"/>
    <w:semiHidden/>
    <w:unhideWhenUsed/>
    <w:rsid w:val="00332ABE"/>
  </w:style>
  <w:style w:type="numbering" w:customStyle="1" w:styleId="Sinlista53">
    <w:name w:val="Sin lista53"/>
    <w:next w:val="Sinlista"/>
    <w:uiPriority w:val="99"/>
    <w:semiHidden/>
    <w:unhideWhenUsed/>
    <w:rsid w:val="00332ABE"/>
  </w:style>
  <w:style w:type="numbering" w:customStyle="1" w:styleId="Sinlista112">
    <w:name w:val="Sin lista112"/>
    <w:next w:val="Sinlista"/>
    <w:uiPriority w:val="99"/>
    <w:semiHidden/>
    <w:unhideWhenUsed/>
    <w:rsid w:val="00332ABE"/>
  </w:style>
  <w:style w:type="numbering" w:customStyle="1" w:styleId="Sinlista212">
    <w:name w:val="Sin lista212"/>
    <w:next w:val="Sinlista"/>
    <w:uiPriority w:val="99"/>
    <w:semiHidden/>
    <w:unhideWhenUsed/>
    <w:rsid w:val="00332ABE"/>
  </w:style>
  <w:style w:type="numbering" w:customStyle="1" w:styleId="Sinlista312">
    <w:name w:val="Sin lista312"/>
    <w:next w:val="Sinlista"/>
    <w:uiPriority w:val="99"/>
    <w:semiHidden/>
    <w:unhideWhenUsed/>
    <w:rsid w:val="00332ABE"/>
  </w:style>
  <w:style w:type="numbering" w:customStyle="1" w:styleId="Sinlista412">
    <w:name w:val="Sin lista412"/>
    <w:next w:val="Sinlista"/>
    <w:uiPriority w:val="99"/>
    <w:semiHidden/>
    <w:unhideWhenUsed/>
    <w:rsid w:val="00332ABE"/>
  </w:style>
  <w:style w:type="numbering" w:customStyle="1" w:styleId="Sinlista512">
    <w:name w:val="Sin lista512"/>
    <w:next w:val="Sinlista"/>
    <w:uiPriority w:val="99"/>
    <w:semiHidden/>
    <w:unhideWhenUsed/>
    <w:rsid w:val="00332ABE"/>
  </w:style>
  <w:style w:type="numbering" w:customStyle="1" w:styleId="Sinlista61">
    <w:name w:val="Sin lista61"/>
    <w:next w:val="Sinlista"/>
    <w:uiPriority w:val="99"/>
    <w:semiHidden/>
    <w:unhideWhenUsed/>
    <w:rsid w:val="00332ABE"/>
  </w:style>
  <w:style w:type="numbering" w:customStyle="1" w:styleId="Sinlista121">
    <w:name w:val="Sin lista121"/>
    <w:next w:val="Sinlista"/>
    <w:uiPriority w:val="99"/>
    <w:semiHidden/>
    <w:unhideWhenUsed/>
    <w:rsid w:val="00332ABE"/>
  </w:style>
  <w:style w:type="numbering" w:customStyle="1" w:styleId="Sinlista1112">
    <w:name w:val="Sin lista1112"/>
    <w:next w:val="Sinlista"/>
    <w:uiPriority w:val="99"/>
    <w:semiHidden/>
    <w:unhideWhenUsed/>
    <w:rsid w:val="00332ABE"/>
  </w:style>
  <w:style w:type="numbering" w:customStyle="1" w:styleId="Sinlista221">
    <w:name w:val="Sin lista221"/>
    <w:next w:val="Sinlista"/>
    <w:uiPriority w:val="99"/>
    <w:semiHidden/>
    <w:unhideWhenUsed/>
    <w:rsid w:val="00332ABE"/>
  </w:style>
  <w:style w:type="numbering" w:customStyle="1" w:styleId="Sinlista321">
    <w:name w:val="Sin lista321"/>
    <w:next w:val="Sinlista"/>
    <w:uiPriority w:val="99"/>
    <w:semiHidden/>
    <w:unhideWhenUsed/>
    <w:rsid w:val="00332ABE"/>
  </w:style>
  <w:style w:type="numbering" w:customStyle="1" w:styleId="Sinlista421">
    <w:name w:val="Sin lista421"/>
    <w:next w:val="Sinlista"/>
    <w:uiPriority w:val="99"/>
    <w:semiHidden/>
    <w:unhideWhenUsed/>
    <w:rsid w:val="00332ABE"/>
  </w:style>
  <w:style w:type="numbering" w:customStyle="1" w:styleId="Sinlista521">
    <w:name w:val="Sin lista521"/>
    <w:next w:val="Sinlista"/>
    <w:uiPriority w:val="99"/>
    <w:semiHidden/>
    <w:unhideWhenUsed/>
    <w:rsid w:val="00332ABE"/>
  </w:style>
  <w:style w:type="numbering" w:customStyle="1" w:styleId="Sinlista11112">
    <w:name w:val="Sin lista11112"/>
    <w:next w:val="Sinlista"/>
    <w:uiPriority w:val="99"/>
    <w:semiHidden/>
    <w:unhideWhenUsed/>
    <w:rsid w:val="00332ABE"/>
  </w:style>
  <w:style w:type="numbering" w:customStyle="1" w:styleId="Sinlista2112">
    <w:name w:val="Sin lista2112"/>
    <w:next w:val="Sinlista"/>
    <w:uiPriority w:val="99"/>
    <w:semiHidden/>
    <w:unhideWhenUsed/>
    <w:rsid w:val="00332ABE"/>
  </w:style>
  <w:style w:type="numbering" w:customStyle="1" w:styleId="Sinlista3112">
    <w:name w:val="Sin lista3112"/>
    <w:next w:val="Sinlista"/>
    <w:uiPriority w:val="99"/>
    <w:semiHidden/>
    <w:unhideWhenUsed/>
    <w:rsid w:val="00332ABE"/>
  </w:style>
  <w:style w:type="numbering" w:customStyle="1" w:styleId="Sinlista4112">
    <w:name w:val="Sin lista4112"/>
    <w:next w:val="Sinlista"/>
    <w:uiPriority w:val="99"/>
    <w:semiHidden/>
    <w:unhideWhenUsed/>
    <w:rsid w:val="00332ABE"/>
  </w:style>
  <w:style w:type="numbering" w:customStyle="1" w:styleId="Sinlista5112">
    <w:name w:val="Sin lista5112"/>
    <w:next w:val="Sinlista"/>
    <w:uiPriority w:val="99"/>
    <w:semiHidden/>
    <w:unhideWhenUsed/>
    <w:rsid w:val="00332ABE"/>
  </w:style>
  <w:style w:type="numbering" w:customStyle="1" w:styleId="Sinlista111111">
    <w:name w:val="Sin lista111111"/>
    <w:next w:val="Sinlista"/>
    <w:uiPriority w:val="99"/>
    <w:semiHidden/>
    <w:unhideWhenUsed/>
    <w:rsid w:val="00332ABE"/>
  </w:style>
  <w:style w:type="numbering" w:customStyle="1" w:styleId="Sinlista21111">
    <w:name w:val="Sin lista21111"/>
    <w:next w:val="Sinlista"/>
    <w:uiPriority w:val="99"/>
    <w:semiHidden/>
    <w:unhideWhenUsed/>
    <w:rsid w:val="00332ABE"/>
  </w:style>
  <w:style w:type="numbering" w:customStyle="1" w:styleId="Sinlista31111">
    <w:name w:val="Sin lista31111"/>
    <w:next w:val="Sinlista"/>
    <w:uiPriority w:val="99"/>
    <w:semiHidden/>
    <w:unhideWhenUsed/>
    <w:rsid w:val="00332ABE"/>
  </w:style>
  <w:style w:type="numbering" w:customStyle="1" w:styleId="Sinlista41111">
    <w:name w:val="Sin lista41111"/>
    <w:next w:val="Sinlista"/>
    <w:uiPriority w:val="99"/>
    <w:semiHidden/>
    <w:unhideWhenUsed/>
    <w:rsid w:val="00332ABE"/>
  </w:style>
  <w:style w:type="numbering" w:customStyle="1" w:styleId="Sinlista51111">
    <w:name w:val="Sin lista51111"/>
    <w:next w:val="Sinlista"/>
    <w:uiPriority w:val="99"/>
    <w:semiHidden/>
    <w:unhideWhenUsed/>
    <w:rsid w:val="00332ABE"/>
  </w:style>
  <w:style w:type="numbering" w:customStyle="1" w:styleId="Sinlista8">
    <w:name w:val="Sin lista8"/>
    <w:next w:val="Sinlista"/>
    <w:uiPriority w:val="99"/>
    <w:semiHidden/>
    <w:unhideWhenUsed/>
    <w:rsid w:val="006D16A7"/>
  </w:style>
  <w:style w:type="numbering" w:customStyle="1" w:styleId="Sinlista14">
    <w:name w:val="Sin lista14"/>
    <w:next w:val="Sinlista"/>
    <w:uiPriority w:val="99"/>
    <w:semiHidden/>
    <w:unhideWhenUsed/>
    <w:rsid w:val="006D16A7"/>
  </w:style>
  <w:style w:type="numbering" w:customStyle="1" w:styleId="Sinlista24">
    <w:name w:val="Sin lista24"/>
    <w:next w:val="Sinlista"/>
    <w:uiPriority w:val="99"/>
    <w:semiHidden/>
    <w:unhideWhenUsed/>
    <w:rsid w:val="006D16A7"/>
  </w:style>
  <w:style w:type="numbering" w:customStyle="1" w:styleId="Sinlista34">
    <w:name w:val="Sin lista34"/>
    <w:next w:val="Sinlista"/>
    <w:uiPriority w:val="99"/>
    <w:semiHidden/>
    <w:unhideWhenUsed/>
    <w:rsid w:val="006D16A7"/>
  </w:style>
  <w:style w:type="numbering" w:customStyle="1" w:styleId="Sinlista44">
    <w:name w:val="Sin lista44"/>
    <w:next w:val="Sinlista"/>
    <w:uiPriority w:val="99"/>
    <w:semiHidden/>
    <w:unhideWhenUsed/>
    <w:rsid w:val="006D16A7"/>
  </w:style>
  <w:style w:type="numbering" w:customStyle="1" w:styleId="Sinlista54">
    <w:name w:val="Sin lista54"/>
    <w:next w:val="Sinlista"/>
    <w:uiPriority w:val="99"/>
    <w:semiHidden/>
    <w:unhideWhenUsed/>
    <w:rsid w:val="006D16A7"/>
  </w:style>
  <w:style w:type="numbering" w:customStyle="1" w:styleId="Sinlista113">
    <w:name w:val="Sin lista113"/>
    <w:next w:val="Sinlista"/>
    <w:uiPriority w:val="99"/>
    <w:semiHidden/>
    <w:unhideWhenUsed/>
    <w:rsid w:val="006D16A7"/>
  </w:style>
  <w:style w:type="numbering" w:customStyle="1" w:styleId="Sinlista213">
    <w:name w:val="Sin lista213"/>
    <w:next w:val="Sinlista"/>
    <w:uiPriority w:val="99"/>
    <w:semiHidden/>
    <w:unhideWhenUsed/>
    <w:rsid w:val="006D16A7"/>
  </w:style>
  <w:style w:type="numbering" w:customStyle="1" w:styleId="Sinlista313">
    <w:name w:val="Sin lista313"/>
    <w:next w:val="Sinlista"/>
    <w:uiPriority w:val="99"/>
    <w:semiHidden/>
    <w:unhideWhenUsed/>
    <w:rsid w:val="006D16A7"/>
  </w:style>
  <w:style w:type="numbering" w:customStyle="1" w:styleId="Sinlista413">
    <w:name w:val="Sin lista413"/>
    <w:next w:val="Sinlista"/>
    <w:uiPriority w:val="99"/>
    <w:semiHidden/>
    <w:unhideWhenUsed/>
    <w:rsid w:val="006D16A7"/>
  </w:style>
  <w:style w:type="numbering" w:customStyle="1" w:styleId="Sinlista513">
    <w:name w:val="Sin lista513"/>
    <w:next w:val="Sinlista"/>
    <w:uiPriority w:val="99"/>
    <w:semiHidden/>
    <w:unhideWhenUsed/>
    <w:rsid w:val="006D16A7"/>
  </w:style>
  <w:style w:type="numbering" w:customStyle="1" w:styleId="Sinlista62">
    <w:name w:val="Sin lista62"/>
    <w:next w:val="Sinlista"/>
    <w:uiPriority w:val="99"/>
    <w:semiHidden/>
    <w:unhideWhenUsed/>
    <w:rsid w:val="006D16A7"/>
  </w:style>
  <w:style w:type="numbering" w:customStyle="1" w:styleId="Sinlista122">
    <w:name w:val="Sin lista122"/>
    <w:next w:val="Sinlista"/>
    <w:uiPriority w:val="99"/>
    <w:semiHidden/>
    <w:unhideWhenUsed/>
    <w:rsid w:val="006D16A7"/>
  </w:style>
  <w:style w:type="numbering" w:customStyle="1" w:styleId="Sinlista1113">
    <w:name w:val="Sin lista1113"/>
    <w:next w:val="Sinlista"/>
    <w:uiPriority w:val="99"/>
    <w:semiHidden/>
    <w:unhideWhenUsed/>
    <w:rsid w:val="006D16A7"/>
  </w:style>
  <w:style w:type="numbering" w:customStyle="1" w:styleId="Sinlista222">
    <w:name w:val="Sin lista222"/>
    <w:next w:val="Sinlista"/>
    <w:uiPriority w:val="99"/>
    <w:semiHidden/>
    <w:unhideWhenUsed/>
    <w:rsid w:val="006D16A7"/>
  </w:style>
  <w:style w:type="numbering" w:customStyle="1" w:styleId="Sinlista322">
    <w:name w:val="Sin lista322"/>
    <w:next w:val="Sinlista"/>
    <w:uiPriority w:val="99"/>
    <w:semiHidden/>
    <w:unhideWhenUsed/>
    <w:rsid w:val="006D16A7"/>
  </w:style>
  <w:style w:type="numbering" w:customStyle="1" w:styleId="Sinlista422">
    <w:name w:val="Sin lista422"/>
    <w:next w:val="Sinlista"/>
    <w:uiPriority w:val="99"/>
    <w:semiHidden/>
    <w:unhideWhenUsed/>
    <w:rsid w:val="006D16A7"/>
  </w:style>
  <w:style w:type="numbering" w:customStyle="1" w:styleId="Sinlista522">
    <w:name w:val="Sin lista522"/>
    <w:next w:val="Sinlista"/>
    <w:uiPriority w:val="99"/>
    <w:semiHidden/>
    <w:unhideWhenUsed/>
    <w:rsid w:val="006D16A7"/>
  </w:style>
  <w:style w:type="numbering" w:customStyle="1" w:styleId="Sinlista11113">
    <w:name w:val="Sin lista11113"/>
    <w:next w:val="Sinlista"/>
    <w:uiPriority w:val="99"/>
    <w:semiHidden/>
    <w:unhideWhenUsed/>
    <w:rsid w:val="006D16A7"/>
  </w:style>
  <w:style w:type="numbering" w:customStyle="1" w:styleId="Sinlista2113">
    <w:name w:val="Sin lista2113"/>
    <w:next w:val="Sinlista"/>
    <w:uiPriority w:val="99"/>
    <w:semiHidden/>
    <w:unhideWhenUsed/>
    <w:rsid w:val="006D16A7"/>
  </w:style>
  <w:style w:type="numbering" w:customStyle="1" w:styleId="Sinlista3113">
    <w:name w:val="Sin lista3113"/>
    <w:next w:val="Sinlista"/>
    <w:uiPriority w:val="99"/>
    <w:semiHidden/>
    <w:unhideWhenUsed/>
    <w:rsid w:val="006D16A7"/>
  </w:style>
  <w:style w:type="numbering" w:customStyle="1" w:styleId="Sinlista4113">
    <w:name w:val="Sin lista4113"/>
    <w:next w:val="Sinlista"/>
    <w:uiPriority w:val="99"/>
    <w:semiHidden/>
    <w:unhideWhenUsed/>
    <w:rsid w:val="006D16A7"/>
  </w:style>
  <w:style w:type="numbering" w:customStyle="1" w:styleId="Sinlista5113">
    <w:name w:val="Sin lista5113"/>
    <w:next w:val="Sinlista"/>
    <w:uiPriority w:val="99"/>
    <w:semiHidden/>
    <w:unhideWhenUsed/>
    <w:rsid w:val="006D16A7"/>
  </w:style>
  <w:style w:type="numbering" w:customStyle="1" w:styleId="Sinlista111112">
    <w:name w:val="Sin lista111112"/>
    <w:next w:val="Sinlista"/>
    <w:uiPriority w:val="99"/>
    <w:semiHidden/>
    <w:unhideWhenUsed/>
    <w:rsid w:val="006D16A7"/>
  </w:style>
  <w:style w:type="numbering" w:customStyle="1" w:styleId="Sinlista21112">
    <w:name w:val="Sin lista21112"/>
    <w:next w:val="Sinlista"/>
    <w:uiPriority w:val="99"/>
    <w:semiHidden/>
    <w:unhideWhenUsed/>
    <w:rsid w:val="006D16A7"/>
  </w:style>
  <w:style w:type="numbering" w:customStyle="1" w:styleId="Sinlista31112">
    <w:name w:val="Sin lista31112"/>
    <w:next w:val="Sinlista"/>
    <w:uiPriority w:val="99"/>
    <w:semiHidden/>
    <w:unhideWhenUsed/>
    <w:rsid w:val="006D16A7"/>
  </w:style>
  <w:style w:type="numbering" w:customStyle="1" w:styleId="Sinlista41112">
    <w:name w:val="Sin lista41112"/>
    <w:next w:val="Sinlista"/>
    <w:uiPriority w:val="99"/>
    <w:semiHidden/>
    <w:unhideWhenUsed/>
    <w:rsid w:val="006D16A7"/>
  </w:style>
  <w:style w:type="numbering" w:customStyle="1" w:styleId="Sinlista51112">
    <w:name w:val="Sin lista51112"/>
    <w:next w:val="Sinlista"/>
    <w:uiPriority w:val="99"/>
    <w:semiHidden/>
    <w:unhideWhenUsed/>
    <w:rsid w:val="006D16A7"/>
  </w:style>
  <w:style w:type="numbering" w:customStyle="1" w:styleId="Sinlista9">
    <w:name w:val="Sin lista9"/>
    <w:next w:val="Sinlista"/>
    <w:uiPriority w:val="99"/>
    <w:semiHidden/>
    <w:unhideWhenUsed/>
    <w:rsid w:val="00FA5A90"/>
  </w:style>
  <w:style w:type="character" w:customStyle="1" w:styleId="EstiloCorreo1441">
    <w:name w:val="EstiloCorreo1441"/>
    <w:basedOn w:val="Fuentedeprrafopredeter"/>
    <w:semiHidden/>
    <w:rsid w:val="00FA5A90"/>
    <w:rPr>
      <w:rFonts w:ascii="Arial" w:hAnsi="Arial" w:cs="Arial"/>
      <w:color w:val="000080"/>
      <w:sz w:val="20"/>
      <w:szCs w:val="20"/>
    </w:rPr>
  </w:style>
  <w:style w:type="numbering" w:customStyle="1" w:styleId="Sinlista15">
    <w:name w:val="Sin lista15"/>
    <w:next w:val="Sinlista"/>
    <w:uiPriority w:val="99"/>
    <w:semiHidden/>
    <w:unhideWhenUsed/>
    <w:rsid w:val="00FA5A90"/>
  </w:style>
  <w:style w:type="character" w:customStyle="1" w:styleId="EstiloCorreo1461">
    <w:name w:val="EstiloCorreo1461"/>
    <w:basedOn w:val="Fuentedeprrafopredeter"/>
    <w:semiHidden/>
    <w:rsid w:val="00FA5A90"/>
    <w:rPr>
      <w:rFonts w:ascii="Arial" w:hAnsi="Arial" w:cs="Arial" w:hint="default"/>
      <w:color w:val="000080"/>
      <w:sz w:val="20"/>
      <w:szCs w:val="20"/>
    </w:rPr>
  </w:style>
  <w:style w:type="numbering" w:customStyle="1" w:styleId="Sinlista25">
    <w:name w:val="Sin lista25"/>
    <w:next w:val="Sinlista"/>
    <w:uiPriority w:val="99"/>
    <w:semiHidden/>
    <w:unhideWhenUsed/>
    <w:rsid w:val="00FA5A90"/>
  </w:style>
  <w:style w:type="numbering" w:customStyle="1" w:styleId="Sinlista35">
    <w:name w:val="Sin lista35"/>
    <w:next w:val="Sinlista"/>
    <w:uiPriority w:val="99"/>
    <w:semiHidden/>
    <w:unhideWhenUsed/>
    <w:rsid w:val="00FA5A90"/>
  </w:style>
  <w:style w:type="numbering" w:customStyle="1" w:styleId="Sinlista45">
    <w:name w:val="Sin lista45"/>
    <w:next w:val="Sinlista"/>
    <w:uiPriority w:val="99"/>
    <w:semiHidden/>
    <w:unhideWhenUsed/>
    <w:rsid w:val="00FA5A90"/>
  </w:style>
  <w:style w:type="numbering" w:customStyle="1" w:styleId="Sinlista55">
    <w:name w:val="Sin lista55"/>
    <w:next w:val="Sinlista"/>
    <w:uiPriority w:val="99"/>
    <w:semiHidden/>
    <w:unhideWhenUsed/>
    <w:rsid w:val="00FA5A90"/>
  </w:style>
  <w:style w:type="numbering" w:customStyle="1" w:styleId="Sinlista114">
    <w:name w:val="Sin lista114"/>
    <w:next w:val="Sinlista"/>
    <w:uiPriority w:val="99"/>
    <w:semiHidden/>
    <w:unhideWhenUsed/>
    <w:rsid w:val="00FA5A90"/>
  </w:style>
  <w:style w:type="numbering" w:customStyle="1" w:styleId="Sinlista214">
    <w:name w:val="Sin lista214"/>
    <w:next w:val="Sinlista"/>
    <w:uiPriority w:val="99"/>
    <w:semiHidden/>
    <w:unhideWhenUsed/>
    <w:rsid w:val="00FA5A90"/>
  </w:style>
  <w:style w:type="numbering" w:customStyle="1" w:styleId="Sinlista314">
    <w:name w:val="Sin lista314"/>
    <w:next w:val="Sinlista"/>
    <w:uiPriority w:val="99"/>
    <w:semiHidden/>
    <w:unhideWhenUsed/>
    <w:rsid w:val="00FA5A90"/>
  </w:style>
  <w:style w:type="numbering" w:customStyle="1" w:styleId="Sinlista414">
    <w:name w:val="Sin lista414"/>
    <w:next w:val="Sinlista"/>
    <w:uiPriority w:val="99"/>
    <w:semiHidden/>
    <w:unhideWhenUsed/>
    <w:rsid w:val="00FA5A90"/>
  </w:style>
  <w:style w:type="numbering" w:customStyle="1" w:styleId="Sinlista514">
    <w:name w:val="Sin lista514"/>
    <w:next w:val="Sinlista"/>
    <w:uiPriority w:val="99"/>
    <w:semiHidden/>
    <w:unhideWhenUsed/>
    <w:rsid w:val="00FA5A90"/>
  </w:style>
  <w:style w:type="numbering" w:customStyle="1" w:styleId="Sinlista63">
    <w:name w:val="Sin lista63"/>
    <w:next w:val="Sinlista"/>
    <w:uiPriority w:val="99"/>
    <w:semiHidden/>
    <w:unhideWhenUsed/>
    <w:rsid w:val="00FA5A90"/>
  </w:style>
  <w:style w:type="numbering" w:customStyle="1" w:styleId="Sinlista123">
    <w:name w:val="Sin lista123"/>
    <w:next w:val="Sinlista"/>
    <w:uiPriority w:val="99"/>
    <w:semiHidden/>
    <w:unhideWhenUsed/>
    <w:rsid w:val="00FA5A90"/>
  </w:style>
  <w:style w:type="numbering" w:customStyle="1" w:styleId="Sinlista1114">
    <w:name w:val="Sin lista1114"/>
    <w:next w:val="Sinlista"/>
    <w:uiPriority w:val="99"/>
    <w:semiHidden/>
    <w:unhideWhenUsed/>
    <w:rsid w:val="00FA5A90"/>
  </w:style>
  <w:style w:type="numbering" w:customStyle="1" w:styleId="Sinlista223">
    <w:name w:val="Sin lista223"/>
    <w:next w:val="Sinlista"/>
    <w:uiPriority w:val="99"/>
    <w:semiHidden/>
    <w:unhideWhenUsed/>
    <w:rsid w:val="00FA5A90"/>
  </w:style>
  <w:style w:type="numbering" w:customStyle="1" w:styleId="Sinlista323">
    <w:name w:val="Sin lista323"/>
    <w:next w:val="Sinlista"/>
    <w:uiPriority w:val="99"/>
    <w:semiHidden/>
    <w:unhideWhenUsed/>
    <w:rsid w:val="00FA5A90"/>
  </w:style>
  <w:style w:type="numbering" w:customStyle="1" w:styleId="Sinlista423">
    <w:name w:val="Sin lista423"/>
    <w:next w:val="Sinlista"/>
    <w:uiPriority w:val="99"/>
    <w:semiHidden/>
    <w:unhideWhenUsed/>
    <w:rsid w:val="00FA5A90"/>
  </w:style>
  <w:style w:type="numbering" w:customStyle="1" w:styleId="Sinlista523">
    <w:name w:val="Sin lista523"/>
    <w:next w:val="Sinlista"/>
    <w:uiPriority w:val="99"/>
    <w:semiHidden/>
    <w:unhideWhenUsed/>
    <w:rsid w:val="00FA5A90"/>
  </w:style>
  <w:style w:type="numbering" w:customStyle="1" w:styleId="Sinlista11114">
    <w:name w:val="Sin lista11114"/>
    <w:next w:val="Sinlista"/>
    <w:uiPriority w:val="99"/>
    <w:semiHidden/>
    <w:unhideWhenUsed/>
    <w:rsid w:val="00FA5A90"/>
  </w:style>
  <w:style w:type="numbering" w:customStyle="1" w:styleId="Sinlista2114">
    <w:name w:val="Sin lista2114"/>
    <w:next w:val="Sinlista"/>
    <w:uiPriority w:val="99"/>
    <w:semiHidden/>
    <w:unhideWhenUsed/>
    <w:rsid w:val="00FA5A90"/>
  </w:style>
  <w:style w:type="numbering" w:customStyle="1" w:styleId="Sinlista3114">
    <w:name w:val="Sin lista3114"/>
    <w:next w:val="Sinlista"/>
    <w:uiPriority w:val="99"/>
    <w:semiHidden/>
    <w:unhideWhenUsed/>
    <w:rsid w:val="00FA5A90"/>
  </w:style>
  <w:style w:type="numbering" w:customStyle="1" w:styleId="Sinlista4114">
    <w:name w:val="Sin lista4114"/>
    <w:next w:val="Sinlista"/>
    <w:uiPriority w:val="99"/>
    <w:semiHidden/>
    <w:unhideWhenUsed/>
    <w:rsid w:val="00FA5A90"/>
  </w:style>
  <w:style w:type="numbering" w:customStyle="1" w:styleId="Sinlista5114">
    <w:name w:val="Sin lista5114"/>
    <w:next w:val="Sinlista"/>
    <w:uiPriority w:val="99"/>
    <w:semiHidden/>
    <w:unhideWhenUsed/>
    <w:rsid w:val="00FA5A90"/>
  </w:style>
  <w:style w:type="numbering" w:customStyle="1" w:styleId="Sinlista111113">
    <w:name w:val="Sin lista111113"/>
    <w:next w:val="Sinlista"/>
    <w:uiPriority w:val="99"/>
    <w:semiHidden/>
    <w:unhideWhenUsed/>
    <w:rsid w:val="00FA5A90"/>
  </w:style>
  <w:style w:type="numbering" w:customStyle="1" w:styleId="Sinlista21113">
    <w:name w:val="Sin lista21113"/>
    <w:next w:val="Sinlista"/>
    <w:uiPriority w:val="99"/>
    <w:semiHidden/>
    <w:unhideWhenUsed/>
    <w:rsid w:val="00FA5A90"/>
  </w:style>
  <w:style w:type="numbering" w:customStyle="1" w:styleId="Sinlista31113">
    <w:name w:val="Sin lista31113"/>
    <w:next w:val="Sinlista"/>
    <w:uiPriority w:val="99"/>
    <w:semiHidden/>
    <w:unhideWhenUsed/>
    <w:rsid w:val="00FA5A90"/>
  </w:style>
  <w:style w:type="numbering" w:customStyle="1" w:styleId="Sinlista41113">
    <w:name w:val="Sin lista41113"/>
    <w:next w:val="Sinlista"/>
    <w:uiPriority w:val="99"/>
    <w:semiHidden/>
    <w:unhideWhenUsed/>
    <w:rsid w:val="00FA5A90"/>
  </w:style>
  <w:style w:type="numbering" w:customStyle="1" w:styleId="Sinlista51113">
    <w:name w:val="Sin lista51113"/>
    <w:next w:val="Sinlista"/>
    <w:uiPriority w:val="99"/>
    <w:semiHidden/>
    <w:unhideWhenUsed/>
    <w:rsid w:val="00FA5A90"/>
  </w:style>
  <w:style w:type="character" w:customStyle="1" w:styleId="EstiloCorreo1381">
    <w:name w:val="EstiloCorreo1381"/>
    <w:basedOn w:val="Fuentedeprrafopredeter"/>
    <w:semiHidden/>
    <w:rsid w:val="001A7757"/>
    <w:rPr>
      <w:rFonts w:ascii="Arial" w:hAnsi="Arial" w:cs="Arial"/>
      <w:color w:val="000080"/>
      <w:sz w:val="20"/>
      <w:szCs w:val="20"/>
    </w:rPr>
  </w:style>
  <w:style w:type="character" w:customStyle="1" w:styleId="EstiloCorreo1421">
    <w:name w:val="EstiloCorreo1421"/>
    <w:basedOn w:val="Fuentedeprrafopredeter"/>
    <w:semiHidden/>
    <w:rsid w:val="001A7757"/>
    <w:rPr>
      <w:rFonts w:ascii="Arial" w:hAnsi="Arial" w:cs="Arial" w:hint="default"/>
      <w:color w:val="000080"/>
      <w:sz w:val="20"/>
      <w:szCs w:val="20"/>
    </w:rPr>
  </w:style>
  <w:style w:type="character" w:customStyle="1" w:styleId="EstiloCorreo1442">
    <w:name w:val="EstiloCorreo1442"/>
    <w:basedOn w:val="Fuentedeprrafopredeter"/>
    <w:semiHidden/>
    <w:rsid w:val="001A7757"/>
    <w:rPr>
      <w:rFonts w:ascii="Arial" w:hAnsi="Arial" w:cs="Arial" w:hint="default"/>
      <w:color w:val="000080"/>
      <w:sz w:val="20"/>
      <w:szCs w:val="20"/>
    </w:rPr>
  </w:style>
  <w:style w:type="character" w:customStyle="1" w:styleId="EstiloCorreo1462">
    <w:name w:val="EstiloCorreo1462"/>
    <w:basedOn w:val="Fuentedeprrafopredeter"/>
    <w:semiHidden/>
    <w:rsid w:val="001A7757"/>
    <w:rPr>
      <w:rFonts w:ascii="Arial" w:hAnsi="Arial" w:cs="Arial" w:hint="default"/>
      <w:color w:val="000080"/>
      <w:sz w:val="20"/>
      <w:szCs w:val="20"/>
    </w:rPr>
  </w:style>
  <w:style w:type="character" w:customStyle="1" w:styleId="EstiloCorreo148">
    <w:name w:val="EstiloCorreo148"/>
    <w:basedOn w:val="Fuentedeprrafopredeter"/>
    <w:semiHidden/>
    <w:rsid w:val="001A7757"/>
    <w:rPr>
      <w:rFonts w:ascii="Arial" w:hAnsi="Arial" w:cs="Arial" w:hint="default"/>
      <w:color w:val="000080"/>
      <w:sz w:val="20"/>
      <w:szCs w:val="20"/>
    </w:rPr>
  </w:style>
  <w:style w:type="character" w:customStyle="1" w:styleId="EstiloCorreo1501">
    <w:name w:val="EstiloCorreo1501"/>
    <w:basedOn w:val="Fuentedeprrafopredeter"/>
    <w:semiHidden/>
    <w:rsid w:val="001A7757"/>
    <w:rPr>
      <w:rFonts w:ascii="Arial" w:hAnsi="Arial" w:cs="Arial" w:hint="default"/>
      <w:color w:val="000080"/>
      <w:sz w:val="20"/>
      <w:szCs w:val="20"/>
    </w:rPr>
  </w:style>
  <w:style w:type="numbering" w:customStyle="1" w:styleId="Sinlista71">
    <w:name w:val="Sin lista71"/>
    <w:next w:val="Sinlista"/>
    <w:uiPriority w:val="99"/>
    <w:semiHidden/>
    <w:unhideWhenUsed/>
    <w:rsid w:val="001A7757"/>
  </w:style>
  <w:style w:type="numbering" w:customStyle="1" w:styleId="Sinlista131">
    <w:name w:val="Sin lista131"/>
    <w:next w:val="Sinlista"/>
    <w:uiPriority w:val="99"/>
    <w:semiHidden/>
    <w:unhideWhenUsed/>
    <w:rsid w:val="001A7757"/>
  </w:style>
  <w:style w:type="numbering" w:customStyle="1" w:styleId="Sinlista231">
    <w:name w:val="Sin lista231"/>
    <w:next w:val="Sinlista"/>
    <w:uiPriority w:val="99"/>
    <w:semiHidden/>
    <w:unhideWhenUsed/>
    <w:rsid w:val="001A7757"/>
  </w:style>
  <w:style w:type="numbering" w:customStyle="1" w:styleId="Sinlista331">
    <w:name w:val="Sin lista331"/>
    <w:next w:val="Sinlista"/>
    <w:uiPriority w:val="99"/>
    <w:semiHidden/>
    <w:unhideWhenUsed/>
    <w:rsid w:val="001A7757"/>
  </w:style>
  <w:style w:type="numbering" w:customStyle="1" w:styleId="Sinlista431">
    <w:name w:val="Sin lista431"/>
    <w:next w:val="Sinlista"/>
    <w:uiPriority w:val="99"/>
    <w:semiHidden/>
    <w:unhideWhenUsed/>
    <w:rsid w:val="001A7757"/>
  </w:style>
  <w:style w:type="numbering" w:customStyle="1" w:styleId="Sinlista531">
    <w:name w:val="Sin lista531"/>
    <w:next w:val="Sinlista"/>
    <w:uiPriority w:val="99"/>
    <w:semiHidden/>
    <w:unhideWhenUsed/>
    <w:rsid w:val="001A7757"/>
  </w:style>
  <w:style w:type="numbering" w:customStyle="1" w:styleId="Sinlista1121">
    <w:name w:val="Sin lista1121"/>
    <w:next w:val="Sinlista"/>
    <w:uiPriority w:val="99"/>
    <w:semiHidden/>
    <w:unhideWhenUsed/>
    <w:rsid w:val="001A7757"/>
  </w:style>
  <w:style w:type="numbering" w:customStyle="1" w:styleId="Sinlista2121">
    <w:name w:val="Sin lista2121"/>
    <w:next w:val="Sinlista"/>
    <w:uiPriority w:val="99"/>
    <w:semiHidden/>
    <w:unhideWhenUsed/>
    <w:rsid w:val="001A7757"/>
  </w:style>
  <w:style w:type="numbering" w:customStyle="1" w:styleId="Sinlista3121">
    <w:name w:val="Sin lista3121"/>
    <w:next w:val="Sinlista"/>
    <w:uiPriority w:val="99"/>
    <w:semiHidden/>
    <w:unhideWhenUsed/>
    <w:rsid w:val="001A7757"/>
  </w:style>
  <w:style w:type="numbering" w:customStyle="1" w:styleId="Sinlista4121">
    <w:name w:val="Sin lista4121"/>
    <w:next w:val="Sinlista"/>
    <w:uiPriority w:val="99"/>
    <w:semiHidden/>
    <w:unhideWhenUsed/>
    <w:rsid w:val="001A7757"/>
  </w:style>
  <w:style w:type="numbering" w:customStyle="1" w:styleId="Sinlista5121">
    <w:name w:val="Sin lista5121"/>
    <w:next w:val="Sinlista"/>
    <w:uiPriority w:val="99"/>
    <w:semiHidden/>
    <w:unhideWhenUsed/>
    <w:rsid w:val="001A7757"/>
  </w:style>
  <w:style w:type="numbering" w:customStyle="1" w:styleId="Sinlista611">
    <w:name w:val="Sin lista611"/>
    <w:next w:val="Sinlista"/>
    <w:uiPriority w:val="99"/>
    <w:semiHidden/>
    <w:unhideWhenUsed/>
    <w:rsid w:val="001A7757"/>
  </w:style>
  <w:style w:type="numbering" w:customStyle="1" w:styleId="Sinlista1211">
    <w:name w:val="Sin lista1211"/>
    <w:next w:val="Sinlista"/>
    <w:uiPriority w:val="99"/>
    <w:semiHidden/>
    <w:unhideWhenUsed/>
    <w:rsid w:val="001A7757"/>
  </w:style>
  <w:style w:type="numbering" w:customStyle="1" w:styleId="Sinlista11121">
    <w:name w:val="Sin lista11121"/>
    <w:next w:val="Sinlista"/>
    <w:uiPriority w:val="99"/>
    <w:semiHidden/>
    <w:unhideWhenUsed/>
    <w:rsid w:val="001A7757"/>
  </w:style>
  <w:style w:type="numbering" w:customStyle="1" w:styleId="Sinlista2211">
    <w:name w:val="Sin lista2211"/>
    <w:next w:val="Sinlista"/>
    <w:uiPriority w:val="99"/>
    <w:semiHidden/>
    <w:unhideWhenUsed/>
    <w:rsid w:val="001A7757"/>
  </w:style>
  <w:style w:type="numbering" w:customStyle="1" w:styleId="Sinlista3211">
    <w:name w:val="Sin lista3211"/>
    <w:next w:val="Sinlista"/>
    <w:uiPriority w:val="99"/>
    <w:semiHidden/>
    <w:unhideWhenUsed/>
    <w:rsid w:val="001A7757"/>
  </w:style>
  <w:style w:type="numbering" w:customStyle="1" w:styleId="Sinlista4211">
    <w:name w:val="Sin lista4211"/>
    <w:next w:val="Sinlista"/>
    <w:uiPriority w:val="99"/>
    <w:semiHidden/>
    <w:unhideWhenUsed/>
    <w:rsid w:val="001A7757"/>
  </w:style>
  <w:style w:type="numbering" w:customStyle="1" w:styleId="Sinlista5211">
    <w:name w:val="Sin lista5211"/>
    <w:next w:val="Sinlista"/>
    <w:uiPriority w:val="99"/>
    <w:semiHidden/>
    <w:unhideWhenUsed/>
    <w:rsid w:val="001A7757"/>
  </w:style>
  <w:style w:type="numbering" w:customStyle="1" w:styleId="Sinlista111121">
    <w:name w:val="Sin lista111121"/>
    <w:next w:val="Sinlista"/>
    <w:uiPriority w:val="99"/>
    <w:semiHidden/>
    <w:unhideWhenUsed/>
    <w:rsid w:val="001A7757"/>
  </w:style>
  <w:style w:type="numbering" w:customStyle="1" w:styleId="Sinlista21121">
    <w:name w:val="Sin lista21121"/>
    <w:next w:val="Sinlista"/>
    <w:uiPriority w:val="99"/>
    <w:semiHidden/>
    <w:unhideWhenUsed/>
    <w:rsid w:val="001A7757"/>
  </w:style>
  <w:style w:type="numbering" w:customStyle="1" w:styleId="Sinlista31121">
    <w:name w:val="Sin lista31121"/>
    <w:next w:val="Sinlista"/>
    <w:uiPriority w:val="99"/>
    <w:semiHidden/>
    <w:unhideWhenUsed/>
    <w:rsid w:val="001A7757"/>
  </w:style>
  <w:style w:type="numbering" w:customStyle="1" w:styleId="Sinlista41121">
    <w:name w:val="Sin lista41121"/>
    <w:next w:val="Sinlista"/>
    <w:uiPriority w:val="99"/>
    <w:semiHidden/>
    <w:unhideWhenUsed/>
    <w:rsid w:val="001A7757"/>
  </w:style>
  <w:style w:type="numbering" w:customStyle="1" w:styleId="Sinlista51121">
    <w:name w:val="Sin lista51121"/>
    <w:next w:val="Sinlista"/>
    <w:uiPriority w:val="99"/>
    <w:semiHidden/>
    <w:unhideWhenUsed/>
    <w:rsid w:val="001A7757"/>
  </w:style>
  <w:style w:type="numbering" w:customStyle="1" w:styleId="Sinlista1111111">
    <w:name w:val="Sin lista1111111"/>
    <w:next w:val="Sinlista"/>
    <w:uiPriority w:val="99"/>
    <w:semiHidden/>
    <w:unhideWhenUsed/>
    <w:rsid w:val="001A7757"/>
  </w:style>
  <w:style w:type="numbering" w:customStyle="1" w:styleId="Sinlista211111">
    <w:name w:val="Sin lista211111"/>
    <w:next w:val="Sinlista"/>
    <w:uiPriority w:val="99"/>
    <w:semiHidden/>
    <w:unhideWhenUsed/>
    <w:rsid w:val="001A7757"/>
  </w:style>
  <w:style w:type="numbering" w:customStyle="1" w:styleId="Sinlista311111">
    <w:name w:val="Sin lista311111"/>
    <w:next w:val="Sinlista"/>
    <w:uiPriority w:val="99"/>
    <w:semiHidden/>
    <w:unhideWhenUsed/>
    <w:rsid w:val="001A7757"/>
  </w:style>
  <w:style w:type="numbering" w:customStyle="1" w:styleId="Sinlista411111">
    <w:name w:val="Sin lista411111"/>
    <w:next w:val="Sinlista"/>
    <w:uiPriority w:val="99"/>
    <w:semiHidden/>
    <w:unhideWhenUsed/>
    <w:rsid w:val="001A7757"/>
  </w:style>
  <w:style w:type="numbering" w:customStyle="1" w:styleId="Sinlista511111">
    <w:name w:val="Sin lista511111"/>
    <w:next w:val="Sinlista"/>
    <w:uiPriority w:val="99"/>
    <w:semiHidden/>
    <w:unhideWhenUsed/>
    <w:rsid w:val="001A7757"/>
  </w:style>
  <w:style w:type="paragraph" w:customStyle="1" w:styleId="Cuerpo">
    <w:name w:val="Cuerpo"/>
    <w:rsid w:val="00B215FA"/>
    <w:pPr>
      <w:pBdr>
        <w:top w:val="nil"/>
        <w:left w:val="nil"/>
        <w:bottom w:val="nil"/>
        <w:right w:val="nil"/>
        <w:between w:val="nil"/>
        <w:bar w:val="nil"/>
      </w:pBdr>
    </w:pPr>
    <w:rPr>
      <w:rFonts w:eastAsia="Arial Unicode MS" w:cs="Arial Unicode MS"/>
      <w:color w:val="000000"/>
      <w:sz w:val="24"/>
      <w:szCs w:val="24"/>
      <w:u w:color="000000"/>
      <w:bdr w:val="nil"/>
      <w:lang w:val="es-ES_tradnl"/>
    </w:rPr>
  </w:style>
  <w:style w:type="numbering" w:customStyle="1" w:styleId="Estiloimportado1">
    <w:name w:val="Estilo importado 1"/>
    <w:rsid w:val="00B215FA"/>
  </w:style>
  <w:style w:type="character" w:customStyle="1" w:styleId="Ninguno">
    <w:name w:val="Ninguno"/>
    <w:rsid w:val="00B215FA"/>
    <w:rPr>
      <w:lang w:val="es-ES_tradnl"/>
    </w:rPr>
  </w:style>
  <w:style w:type="numbering" w:customStyle="1" w:styleId="Estiloimportado2">
    <w:name w:val="Estilo importado 2"/>
    <w:rsid w:val="00B215FA"/>
  </w:style>
  <w:style w:type="numbering" w:customStyle="1" w:styleId="Estiloimportado3">
    <w:name w:val="Estilo importado 3"/>
    <w:rsid w:val="00B215FA"/>
  </w:style>
  <w:style w:type="numbering" w:customStyle="1" w:styleId="Estiloimportado4">
    <w:name w:val="Estilo importado 4"/>
    <w:rsid w:val="00B215FA"/>
  </w:style>
  <w:style w:type="numbering" w:customStyle="1" w:styleId="Estiloimportado5">
    <w:name w:val="Estilo importado 5"/>
    <w:rsid w:val="00B215FA"/>
  </w:style>
  <w:style w:type="numbering" w:customStyle="1" w:styleId="Estiloimportado6">
    <w:name w:val="Estilo importado 6"/>
    <w:rsid w:val="00B215FA"/>
  </w:style>
  <w:style w:type="numbering" w:customStyle="1" w:styleId="Estiloimportado7">
    <w:name w:val="Estilo importado 7"/>
    <w:rsid w:val="00B215FA"/>
  </w:style>
  <w:style w:type="numbering" w:customStyle="1" w:styleId="Estiloimportado8">
    <w:name w:val="Estilo importado 8"/>
    <w:rsid w:val="00B215FA"/>
  </w:style>
  <w:style w:type="numbering" w:customStyle="1" w:styleId="Estiloimportado9">
    <w:name w:val="Estilo importado 9"/>
    <w:rsid w:val="00B215FA"/>
  </w:style>
  <w:style w:type="numbering" w:customStyle="1" w:styleId="Estiloimportado10">
    <w:name w:val="Estilo importado 10"/>
    <w:rsid w:val="00B215FA"/>
  </w:style>
  <w:style w:type="numbering" w:customStyle="1" w:styleId="Estiloimportado11">
    <w:name w:val="Estilo importado 11"/>
    <w:rsid w:val="00B215FA"/>
  </w:style>
  <w:style w:type="numbering" w:customStyle="1" w:styleId="Estiloimportado12">
    <w:name w:val="Estilo importado 12"/>
    <w:rsid w:val="00B215FA"/>
  </w:style>
  <w:style w:type="character" w:customStyle="1" w:styleId="Hyperlink0">
    <w:name w:val="Hyperlink.0"/>
    <w:basedOn w:val="Fuentedeprrafopredeter"/>
    <w:rsid w:val="00B215FA"/>
    <w:rPr>
      <w:rFonts w:ascii="Arial" w:eastAsia="Arial" w:hAnsi="Arial" w:cs="Arial"/>
      <w:color w:val="0000FF"/>
      <w:sz w:val="20"/>
      <w:szCs w:val="20"/>
      <w:u w:val="single" w:color="0000FF"/>
      <w:lang w:val="es-ES_tradnl"/>
    </w:rPr>
  </w:style>
  <w:style w:type="numbering" w:customStyle="1" w:styleId="Estiloimportado13">
    <w:name w:val="Estilo importado 13"/>
    <w:rsid w:val="00B215FA"/>
  </w:style>
  <w:style w:type="numbering" w:customStyle="1" w:styleId="Estiloimportado14">
    <w:name w:val="Estilo importado 14"/>
    <w:rsid w:val="00B215FA"/>
  </w:style>
  <w:style w:type="numbering" w:customStyle="1" w:styleId="Estiloimportado15">
    <w:name w:val="Estilo importado 15"/>
    <w:rsid w:val="00B215FA"/>
  </w:style>
  <w:style w:type="numbering" w:customStyle="1" w:styleId="Estiloimportado203">
    <w:name w:val="Estilo importado 203"/>
    <w:rsid w:val="00B215FA"/>
  </w:style>
  <w:style w:type="numbering" w:customStyle="1" w:styleId="Estiloimportado16">
    <w:name w:val="Estilo importado 16"/>
    <w:rsid w:val="00B215FA"/>
  </w:style>
  <w:style w:type="numbering" w:customStyle="1" w:styleId="Estiloimportado17">
    <w:name w:val="Estilo importado 17"/>
    <w:rsid w:val="00B215FA"/>
  </w:style>
  <w:style w:type="numbering" w:customStyle="1" w:styleId="Estiloimportado18">
    <w:name w:val="Estilo importado 18"/>
    <w:rsid w:val="00B215FA"/>
  </w:style>
  <w:style w:type="numbering" w:customStyle="1" w:styleId="Estiloimportado19">
    <w:name w:val="Estilo importado 19"/>
    <w:rsid w:val="00B215FA"/>
    <w:pPr>
      <w:numPr>
        <w:numId w:val="25"/>
      </w:numPr>
    </w:pPr>
  </w:style>
  <w:style w:type="numbering" w:customStyle="1" w:styleId="Estiloimportado20">
    <w:name w:val="Estilo importado 20"/>
    <w:rsid w:val="00B215FA"/>
    <w:pPr>
      <w:numPr>
        <w:numId w:val="26"/>
      </w:numPr>
    </w:pPr>
  </w:style>
  <w:style w:type="character" w:customStyle="1" w:styleId="PrrafodelistaCar">
    <w:name w:val="Párrafo de lista Car"/>
    <w:link w:val="Prrafodelista"/>
    <w:uiPriority w:val="34"/>
    <w:rsid w:val="002E6F1C"/>
    <w:rPr>
      <w:sz w:val="24"/>
      <w:lang w:eastAsia="en-US"/>
    </w:rPr>
  </w:style>
  <w:style w:type="numbering" w:customStyle="1" w:styleId="Sinlista10">
    <w:name w:val="Sin lista10"/>
    <w:next w:val="Sinlista"/>
    <w:uiPriority w:val="99"/>
    <w:semiHidden/>
    <w:unhideWhenUsed/>
    <w:rsid w:val="002E6F1C"/>
  </w:style>
  <w:style w:type="numbering" w:customStyle="1" w:styleId="Sinlista16">
    <w:name w:val="Sin lista16"/>
    <w:next w:val="Sinlista"/>
    <w:uiPriority w:val="99"/>
    <w:semiHidden/>
    <w:unhideWhenUsed/>
    <w:rsid w:val="002E6F1C"/>
  </w:style>
  <w:style w:type="numbering" w:customStyle="1" w:styleId="Sinlista26">
    <w:name w:val="Sin lista26"/>
    <w:next w:val="Sinlista"/>
    <w:uiPriority w:val="99"/>
    <w:semiHidden/>
    <w:unhideWhenUsed/>
    <w:rsid w:val="002E6F1C"/>
  </w:style>
  <w:style w:type="numbering" w:customStyle="1" w:styleId="Sinlista36">
    <w:name w:val="Sin lista36"/>
    <w:next w:val="Sinlista"/>
    <w:uiPriority w:val="99"/>
    <w:semiHidden/>
    <w:unhideWhenUsed/>
    <w:rsid w:val="002E6F1C"/>
  </w:style>
  <w:style w:type="numbering" w:customStyle="1" w:styleId="Sinlista46">
    <w:name w:val="Sin lista46"/>
    <w:next w:val="Sinlista"/>
    <w:uiPriority w:val="99"/>
    <w:semiHidden/>
    <w:unhideWhenUsed/>
    <w:rsid w:val="002E6F1C"/>
  </w:style>
  <w:style w:type="numbering" w:customStyle="1" w:styleId="Sinlista56">
    <w:name w:val="Sin lista56"/>
    <w:next w:val="Sinlista"/>
    <w:uiPriority w:val="99"/>
    <w:semiHidden/>
    <w:unhideWhenUsed/>
    <w:rsid w:val="002E6F1C"/>
  </w:style>
  <w:style w:type="numbering" w:customStyle="1" w:styleId="Sinlista115">
    <w:name w:val="Sin lista115"/>
    <w:next w:val="Sinlista"/>
    <w:uiPriority w:val="99"/>
    <w:semiHidden/>
    <w:unhideWhenUsed/>
    <w:rsid w:val="002E6F1C"/>
  </w:style>
  <w:style w:type="numbering" w:customStyle="1" w:styleId="Sinlista215">
    <w:name w:val="Sin lista215"/>
    <w:next w:val="Sinlista"/>
    <w:uiPriority w:val="99"/>
    <w:semiHidden/>
    <w:unhideWhenUsed/>
    <w:rsid w:val="002E6F1C"/>
  </w:style>
  <w:style w:type="numbering" w:customStyle="1" w:styleId="Sinlista315">
    <w:name w:val="Sin lista315"/>
    <w:next w:val="Sinlista"/>
    <w:uiPriority w:val="99"/>
    <w:semiHidden/>
    <w:unhideWhenUsed/>
    <w:rsid w:val="002E6F1C"/>
  </w:style>
  <w:style w:type="numbering" w:customStyle="1" w:styleId="Sinlista415">
    <w:name w:val="Sin lista415"/>
    <w:next w:val="Sinlista"/>
    <w:uiPriority w:val="99"/>
    <w:semiHidden/>
    <w:unhideWhenUsed/>
    <w:rsid w:val="002E6F1C"/>
  </w:style>
  <w:style w:type="numbering" w:customStyle="1" w:styleId="Sinlista515">
    <w:name w:val="Sin lista515"/>
    <w:next w:val="Sinlista"/>
    <w:uiPriority w:val="99"/>
    <w:semiHidden/>
    <w:unhideWhenUsed/>
    <w:rsid w:val="002E6F1C"/>
  </w:style>
  <w:style w:type="numbering" w:customStyle="1" w:styleId="Sinlista64">
    <w:name w:val="Sin lista64"/>
    <w:next w:val="Sinlista"/>
    <w:uiPriority w:val="99"/>
    <w:semiHidden/>
    <w:unhideWhenUsed/>
    <w:rsid w:val="002E6F1C"/>
  </w:style>
  <w:style w:type="numbering" w:customStyle="1" w:styleId="Sinlista124">
    <w:name w:val="Sin lista124"/>
    <w:next w:val="Sinlista"/>
    <w:uiPriority w:val="99"/>
    <w:semiHidden/>
    <w:unhideWhenUsed/>
    <w:rsid w:val="002E6F1C"/>
  </w:style>
  <w:style w:type="numbering" w:customStyle="1" w:styleId="Sinlista1115">
    <w:name w:val="Sin lista1115"/>
    <w:next w:val="Sinlista"/>
    <w:uiPriority w:val="99"/>
    <w:semiHidden/>
    <w:unhideWhenUsed/>
    <w:rsid w:val="002E6F1C"/>
  </w:style>
  <w:style w:type="numbering" w:customStyle="1" w:styleId="Sinlista224">
    <w:name w:val="Sin lista224"/>
    <w:next w:val="Sinlista"/>
    <w:uiPriority w:val="99"/>
    <w:semiHidden/>
    <w:unhideWhenUsed/>
    <w:rsid w:val="002E6F1C"/>
  </w:style>
  <w:style w:type="numbering" w:customStyle="1" w:styleId="Sinlista324">
    <w:name w:val="Sin lista324"/>
    <w:next w:val="Sinlista"/>
    <w:uiPriority w:val="99"/>
    <w:semiHidden/>
    <w:unhideWhenUsed/>
    <w:rsid w:val="002E6F1C"/>
  </w:style>
  <w:style w:type="numbering" w:customStyle="1" w:styleId="Sinlista424">
    <w:name w:val="Sin lista424"/>
    <w:next w:val="Sinlista"/>
    <w:uiPriority w:val="99"/>
    <w:semiHidden/>
    <w:unhideWhenUsed/>
    <w:rsid w:val="002E6F1C"/>
  </w:style>
  <w:style w:type="numbering" w:customStyle="1" w:styleId="Sinlista524">
    <w:name w:val="Sin lista524"/>
    <w:next w:val="Sinlista"/>
    <w:uiPriority w:val="99"/>
    <w:semiHidden/>
    <w:unhideWhenUsed/>
    <w:rsid w:val="002E6F1C"/>
  </w:style>
  <w:style w:type="numbering" w:customStyle="1" w:styleId="Sinlista11115">
    <w:name w:val="Sin lista11115"/>
    <w:next w:val="Sinlista"/>
    <w:uiPriority w:val="99"/>
    <w:semiHidden/>
    <w:unhideWhenUsed/>
    <w:rsid w:val="002E6F1C"/>
  </w:style>
  <w:style w:type="numbering" w:customStyle="1" w:styleId="Sinlista2115">
    <w:name w:val="Sin lista2115"/>
    <w:next w:val="Sinlista"/>
    <w:uiPriority w:val="99"/>
    <w:semiHidden/>
    <w:unhideWhenUsed/>
    <w:rsid w:val="002E6F1C"/>
  </w:style>
  <w:style w:type="numbering" w:customStyle="1" w:styleId="Sinlista3115">
    <w:name w:val="Sin lista3115"/>
    <w:next w:val="Sinlista"/>
    <w:uiPriority w:val="99"/>
    <w:semiHidden/>
    <w:unhideWhenUsed/>
    <w:rsid w:val="002E6F1C"/>
  </w:style>
  <w:style w:type="numbering" w:customStyle="1" w:styleId="Sinlista4115">
    <w:name w:val="Sin lista4115"/>
    <w:next w:val="Sinlista"/>
    <w:uiPriority w:val="99"/>
    <w:semiHidden/>
    <w:unhideWhenUsed/>
    <w:rsid w:val="002E6F1C"/>
  </w:style>
  <w:style w:type="numbering" w:customStyle="1" w:styleId="Sinlista5115">
    <w:name w:val="Sin lista5115"/>
    <w:next w:val="Sinlista"/>
    <w:uiPriority w:val="99"/>
    <w:semiHidden/>
    <w:unhideWhenUsed/>
    <w:rsid w:val="002E6F1C"/>
  </w:style>
  <w:style w:type="numbering" w:customStyle="1" w:styleId="Sinlista111114">
    <w:name w:val="Sin lista111114"/>
    <w:next w:val="Sinlista"/>
    <w:uiPriority w:val="99"/>
    <w:semiHidden/>
    <w:unhideWhenUsed/>
    <w:rsid w:val="002E6F1C"/>
  </w:style>
  <w:style w:type="numbering" w:customStyle="1" w:styleId="Sinlista21114">
    <w:name w:val="Sin lista21114"/>
    <w:next w:val="Sinlista"/>
    <w:uiPriority w:val="99"/>
    <w:semiHidden/>
    <w:unhideWhenUsed/>
    <w:rsid w:val="002E6F1C"/>
  </w:style>
  <w:style w:type="numbering" w:customStyle="1" w:styleId="Sinlista31114">
    <w:name w:val="Sin lista31114"/>
    <w:next w:val="Sinlista"/>
    <w:uiPriority w:val="99"/>
    <w:semiHidden/>
    <w:unhideWhenUsed/>
    <w:rsid w:val="002E6F1C"/>
  </w:style>
  <w:style w:type="numbering" w:customStyle="1" w:styleId="Sinlista41114">
    <w:name w:val="Sin lista41114"/>
    <w:next w:val="Sinlista"/>
    <w:uiPriority w:val="99"/>
    <w:semiHidden/>
    <w:unhideWhenUsed/>
    <w:rsid w:val="002E6F1C"/>
  </w:style>
  <w:style w:type="numbering" w:customStyle="1" w:styleId="Sinlista51114">
    <w:name w:val="Sin lista51114"/>
    <w:next w:val="Sinlista"/>
    <w:uiPriority w:val="99"/>
    <w:semiHidden/>
    <w:unhideWhenUsed/>
    <w:rsid w:val="002E6F1C"/>
  </w:style>
  <w:style w:type="numbering" w:customStyle="1" w:styleId="Sinlista72">
    <w:name w:val="Sin lista72"/>
    <w:next w:val="Sinlista"/>
    <w:uiPriority w:val="99"/>
    <w:semiHidden/>
    <w:unhideWhenUsed/>
    <w:rsid w:val="002E6F1C"/>
  </w:style>
  <w:style w:type="numbering" w:customStyle="1" w:styleId="Sinlista132">
    <w:name w:val="Sin lista132"/>
    <w:next w:val="Sinlista"/>
    <w:uiPriority w:val="99"/>
    <w:semiHidden/>
    <w:unhideWhenUsed/>
    <w:rsid w:val="002E6F1C"/>
  </w:style>
  <w:style w:type="numbering" w:customStyle="1" w:styleId="Sinlista232">
    <w:name w:val="Sin lista232"/>
    <w:next w:val="Sinlista"/>
    <w:uiPriority w:val="99"/>
    <w:semiHidden/>
    <w:unhideWhenUsed/>
    <w:rsid w:val="002E6F1C"/>
  </w:style>
  <w:style w:type="numbering" w:customStyle="1" w:styleId="Sinlista332">
    <w:name w:val="Sin lista332"/>
    <w:next w:val="Sinlista"/>
    <w:uiPriority w:val="99"/>
    <w:semiHidden/>
    <w:unhideWhenUsed/>
    <w:rsid w:val="002E6F1C"/>
  </w:style>
  <w:style w:type="numbering" w:customStyle="1" w:styleId="Sinlista432">
    <w:name w:val="Sin lista432"/>
    <w:next w:val="Sinlista"/>
    <w:uiPriority w:val="99"/>
    <w:semiHidden/>
    <w:unhideWhenUsed/>
    <w:rsid w:val="002E6F1C"/>
  </w:style>
  <w:style w:type="numbering" w:customStyle="1" w:styleId="Sinlista532">
    <w:name w:val="Sin lista532"/>
    <w:next w:val="Sinlista"/>
    <w:uiPriority w:val="99"/>
    <w:semiHidden/>
    <w:unhideWhenUsed/>
    <w:rsid w:val="002E6F1C"/>
  </w:style>
  <w:style w:type="numbering" w:customStyle="1" w:styleId="Sinlista1122">
    <w:name w:val="Sin lista1122"/>
    <w:next w:val="Sinlista"/>
    <w:uiPriority w:val="99"/>
    <w:semiHidden/>
    <w:unhideWhenUsed/>
    <w:rsid w:val="002E6F1C"/>
  </w:style>
  <w:style w:type="numbering" w:customStyle="1" w:styleId="Sinlista2122">
    <w:name w:val="Sin lista2122"/>
    <w:next w:val="Sinlista"/>
    <w:uiPriority w:val="99"/>
    <w:semiHidden/>
    <w:unhideWhenUsed/>
    <w:rsid w:val="002E6F1C"/>
  </w:style>
  <w:style w:type="numbering" w:customStyle="1" w:styleId="Sinlista3122">
    <w:name w:val="Sin lista3122"/>
    <w:next w:val="Sinlista"/>
    <w:uiPriority w:val="99"/>
    <w:semiHidden/>
    <w:unhideWhenUsed/>
    <w:rsid w:val="002E6F1C"/>
  </w:style>
  <w:style w:type="numbering" w:customStyle="1" w:styleId="Sinlista4122">
    <w:name w:val="Sin lista4122"/>
    <w:next w:val="Sinlista"/>
    <w:uiPriority w:val="99"/>
    <w:semiHidden/>
    <w:unhideWhenUsed/>
    <w:rsid w:val="002E6F1C"/>
  </w:style>
  <w:style w:type="numbering" w:customStyle="1" w:styleId="Sinlista5122">
    <w:name w:val="Sin lista5122"/>
    <w:next w:val="Sinlista"/>
    <w:uiPriority w:val="99"/>
    <w:semiHidden/>
    <w:unhideWhenUsed/>
    <w:rsid w:val="002E6F1C"/>
  </w:style>
  <w:style w:type="numbering" w:customStyle="1" w:styleId="Sinlista612">
    <w:name w:val="Sin lista612"/>
    <w:next w:val="Sinlista"/>
    <w:uiPriority w:val="99"/>
    <w:semiHidden/>
    <w:unhideWhenUsed/>
    <w:rsid w:val="002E6F1C"/>
  </w:style>
  <w:style w:type="numbering" w:customStyle="1" w:styleId="Sinlista1212">
    <w:name w:val="Sin lista1212"/>
    <w:next w:val="Sinlista"/>
    <w:uiPriority w:val="99"/>
    <w:semiHidden/>
    <w:unhideWhenUsed/>
    <w:rsid w:val="002E6F1C"/>
  </w:style>
  <w:style w:type="numbering" w:customStyle="1" w:styleId="Sinlista11122">
    <w:name w:val="Sin lista11122"/>
    <w:next w:val="Sinlista"/>
    <w:uiPriority w:val="99"/>
    <w:semiHidden/>
    <w:unhideWhenUsed/>
    <w:rsid w:val="002E6F1C"/>
  </w:style>
  <w:style w:type="numbering" w:customStyle="1" w:styleId="Sinlista2212">
    <w:name w:val="Sin lista2212"/>
    <w:next w:val="Sinlista"/>
    <w:uiPriority w:val="99"/>
    <w:semiHidden/>
    <w:unhideWhenUsed/>
    <w:rsid w:val="002E6F1C"/>
  </w:style>
  <w:style w:type="numbering" w:customStyle="1" w:styleId="Sinlista3212">
    <w:name w:val="Sin lista3212"/>
    <w:next w:val="Sinlista"/>
    <w:uiPriority w:val="99"/>
    <w:semiHidden/>
    <w:unhideWhenUsed/>
    <w:rsid w:val="002E6F1C"/>
  </w:style>
  <w:style w:type="numbering" w:customStyle="1" w:styleId="Sinlista4212">
    <w:name w:val="Sin lista4212"/>
    <w:next w:val="Sinlista"/>
    <w:uiPriority w:val="99"/>
    <w:semiHidden/>
    <w:unhideWhenUsed/>
    <w:rsid w:val="002E6F1C"/>
  </w:style>
  <w:style w:type="numbering" w:customStyle="1" w:styleId="Sinlista5212">
    <w:name w:val="Sin lista5212"/>
    <w:next w:val="Sinlista"/>
    <w:uiPriority w:val="99"/>
    <w:semiHidden/>
    <w:unhideWhenUsed/>
    <w:rsid w:val="002E6F1C"/>
  </w:style>
  <w:style w:type="numbering" w:customStyle="1" w:styleId="Sinlista111122">
    <w:name w:val="Sin lista111122"/>
    <w:next w:val="Sinlista"/>
    <w:uiPriority w:val="99"/>
    <w:semiHidden/>
    <w:unhideWhenUsed/>
    <w:rsid w:val="002E6F1C"/>
  </w:style>
  <w:style w:type="numbering" w:customStyle="1" w:styleId="Sinlista21122">
    <w:name w:val="Sin lista21122"/>
    <w:next w:val="Sinlista"/>
    <w:uiPriority w:val="99"/>
    <w:semiHidden/>
    <w:unhideWhenUsed/>
    <w:rsid w:val="002E6F1C"/>
  </w:style>
  <w:style w:type="numbering" w:customStyle="1" w:styleId="Sinlista31122">
    <w:name w:val="Sin lista31122"/>
    <w:next w:val="Sinlista"/>
    <w:uiPriority w:val="99"/>
    <w:semiHidden/>
    <w:unhideWhenUsed/>
    <w:rsid w:val="002E6F1C"/>
  </w:style>
  <w:style w:type="numbering" w:customStyle="1" w:styleId="Sinlista41122">
    <w:name w:val="Sin lista41122"/>
    <w:next w:val="Sinlista"/>
    <w:uiPriority w:val="99"/>
    <w:semiHidden/>
    <w:unhideWhenUsed/>
    <w:rsid w:val="002E6F1C"/>
  </w:style>
  <w:style w:type="numbering" w:customStyle="1" w:styleId="Sinlista51122">
    <w:name w:val="Sin lista51122"/>
    <w:next w:val="Sinlista"/>
    <w:uiPriority w:val="99"/>
    <w:semiHidden/>
    <w:unhideWhenUsed/>
    <w:rsid w:val="002E6F1C"/>
  </w:style>
  <w:style w:type="numbering" w:customStyle="1" w:styleId="Sinlista1111112">
    <w:name w:val="Sin lista1111112"/>
    <w:next w:val="Sinlista"/>
    <w:uiPriority w:val="99"/>
    <w:semiHidden/>
    <w:unhideWhenUsed/>
    <w:rsid w:val="002E6F1C"/>
  </w:style>
  <w:style w:type="numbering" w:customStyle="1" w:styleId="Sinlista211112">
    <w:name w:val="Sin lista211112"/>
    <w:next w:val="Sinlista"/>
    <w:uiPriority w:val="99"/>
    <w:semiHidden/>
    <w:unhideWhenUsed/>
    <w:rsid w:val="002E6F1C"/>
  </w:style>
  <w:style w:type="numbering" w:customStyle="1" w:styleId="Sinlista311112">
    <w:name w:val="Sin lista311112"/>
    <w:next w:val="Sinlista"/>
    <w:uiPriority w:val="99"/>
    <w:semiHidden/>
    <w:unhideWhenUsed/>
    <w:rsid w:val="002E6F1C"/>
  </w:style>
  <w:style w:type="numbering" w:customStyle="1" w:styleId="Sinlista411112">
    <w:name w:val="Sin lista411112"/>
    <w:next w:val="Sinlista"/>
    <w:uiPriority w:val="99"/>
    <w:semiHidden/>
    <w:unhideWhenUsed/>
    <w:rsid w:val="002E6F1C"/>
  </w:style>
  <w:style w:type="numbering" w:customStyle="1" w:styleId="Sinlista511112">
    <w:name w:val="Sin lista511112"/>
    <w:next w:val="Sinlista"/>
    <w:uiPriority w:val="99"/>
    <w:semiHidden/>
    <w:unhideWhenUsed/>
    <w:rsid w:val="002E6F1C"/>
  </w:style>
  <w:style w:type="numbering" w:customStyle="1" w:styleId="Sinlista81">
    <w:name w:val="Sin lista81"/>
    <w:next w:val="Sinlista"/>
    <w:uiPriority w:val="99"/>
    <w:semiHidden/>
    <w:unhideWhenUsed/>
    <w:rsid w:val="002E6F1C"/>
  </w:style>
  <w:style w:type="numbering" w:customStyle="1" w:styleId="Sinlista141">
    <w:name w:val="Sin lista141"/>
    <w:next w:val="Sinlista"/>
    <w:uiPriority w:val="99"/>
    <w:semiHidden/>
    <w:unhideWhenUsed/>
    <w:rsid w:val="002E6F1C"/>
  </w:style>
  <w:style w:type="numbering" w:customStyle="1" w:styleId="Sinlista241">
    <w:name w:val="Sin lista241"/>
    <w:next w:val="Sinlista"/>
    <w:uiPriority w:val="99"/>
    <w:semiHidden/>
    <w:unhideWhenUsed/>
    <w:rsid w:val="002E6F1C"/>
  </w:style>
  <w:style w:type="numbering" w:customStyle="1" w:styleId="Sinlista341">
    <w:name w:val="Sin lista341"/>
    <w:next w:val="Sinlista"/>
    <w:uiPriority w:val="99"/>
    <w:semiHidden/>
    <w:unhideWhenUsed/>
    <w:rsid w:val="002E6F1C"/>
  </w:style>
  <w:style w:type="numbering" w:customStyle="1" w:styleId="Sinlista441">
    <w:name w:val="Sin lista441"/>
    <w:next w:val="Sinlista"/>
    <w:uiPriority w:val="99"/>
    <w:semiHidden/>
    <w:unhideWhenUsed/>
    <w:rsid w:val="002E6F1C"/>
  </w:style>
  <w:style w:type="numbering" w:customStyle="1" w:styleId="Sinlista541">
    <w:name w:val="Sin lista541"/>
    <w:next w:val="Sinlista"/>
    <w:uiPriority w:val="99"/>
    <w:semiHidden/>
    <w:unhideWhenUsed/>
    <w:rsid w:val="002E6F1C"/>
  </w:style>
  <w:style w:type="numbering" w:customStyle="1" w:styleId="Sinlista1131">
    <w:name w:val="Sin lista1131"/>
    <w:next w:val="Sinlista"/>
    <w:uiPriority w:val="99"/>
    <w:semiHidden/>
    <w:unhideWhenUsed/>
    <w:rsid w:val="002E6F1C"/>
  </w:style>
  <w:style w:type="numbering" w:customStyle="1" w:styleId="Sinlista2131">
    <w:name w:val="Sin lista2131"/>
    <w:next w:val="Sinlista"/>
    <w:uiPriority w:val="99"/>
    <w:semiHidden/>
    <w:unhideWhenUsed/>
    <w:rsid w:val="002E6F1C"/>
  </w:style>
  <w:style w:type="numbering" w:customStyle="1" w:styleId="Sinlista3131">
    <w:name w:val="Sin lista3131"/>
    <w:next w:val="Sinlista"/>
    <w:uiPriority w:val="99"/>
    <w:semiHidden/>
    <w:unhideWhenUsed/>
    <w:rsid w:val="002E6F1C"/>
  </w:style>
  <w:style w:type="numbering" w:customStyle="1" w:styleId="Sinlista4131">
    <w:name w:val="Sin lista4131"/>
    <w:next w:val="Sinlista"/>
    <w:uiPriority w:val="99"/>
    <w:semiHidden/>
    <w:unhideWhenUsed/>
    <w:rsid w:val="002E6F1C"/>
  </w:style>
  <w:style w:type="numbering" w:customStyle="1" w:styleId="Sinlista5131">
    <w:name w:val="Sin lista5131"/>
    <w:next w:val="Sinlista"/>
    <w:uiPriority w:val="99"/>
    <w:semiHidden/>
    <w:unhideWhenUsed/>
    <w:rsid w:val="002E6F1C"/>
  </w:style>
  <w:style w:type="numbering" w:customStyle="1" w:styleId="Sinlista621">
    <w:name w:val="Sin lista621"/>
    <w:next w:val="Sinlista"/>
    <w:uiPriority w:val="99"/>
    <w:semiHidden/>
    <w:unhideWhenUsed/>
    <w:rsid w:val="002E6F1C"/>
  </w:style>
  <w:style w:type="numbering" w:customStyle="1" w:styleId="Sinlista1221">
    <w:name w:val="Sin lista1221"/>
    <w:next w:val="Sinlista"/>
    <w:uiPriority w:val="99"/>
    <w:semiHidden/>
    <w:unhideWhenUsed/>
    <w:rsid w:val="002E6F1C"/>
  </w:style>
  <w:style w:type="numbering" w:customStyle="1" w:styleId="Sinlista11131">
    <w:name w:val="Sin lista11131"/>
    <w:next w:val="Sinlista"/>
    <w:uiPriority w:val="99"/>
    <w:semiHidden/>
    <w:unhideWhenUsed/>
    <w:rsid w:val="002E6F1C"/>
  </w:style>
  <w:style w:type="numbering" w:customStyle="1" w:styleId="Sinlista2221">
    <w:name w:val="Sin lista2221"/>
    <w:next w:val="Sinlista"/>
    <w:uiPriority w:val="99"/>
    <w:semiHidden/>
    <w:unhideWhenUsed/>
    <w:rsid w:val="002E6F1C"/>
  </w:style>
  <w:style w:type="numbering" w:customStyle="1" w:styleId="Sinlista3221">
    <w:name w:val="Sin lista3221"/>
    <w:next w:val="Sinlista"/>
    <w:uiPriority w:val="99"/>
    <w:semiHidden/>
    <w:unhideWhenUsed/>
    <w:rsid w:val="002E6F1C"/>
  </w:style>
  <w:style w:type="numbering" w:customStyle="1" w:styleId="Sinlista4221">
    <w:name w:val="Sin lista4221"/>
    <w:next w:val="Sinlista"/>
    <w:uiPriority w:val="99"/>
    <w:semiHidden/>
    <w:unhideWhenUsed/>
    <w:rsid w:val="002E6F1C"/>
  </w:style>
  <w:style w:type="numbering" w:customStyle="1" w:styleId="Sinlista5221">
    <w:name w:val="Sin lista5221"/>
    <w:next w:val="Sinlista"/>
    <w:uiPriority w:val="99"/>
    <w:semiHidden/>
    <w:unhideWhenUsed/>
    <w:rsid w:val="002E6F1C"/>
  </w:style>
  <w:style w:type="numbering" w:customStyle="1" w:styleId="Sinlista111131">
    <w:name w:val="Sin lista111131"/>
    <w:next w:val="Sinlista"/>
    <w:uiPriority w:val="99"/>
    <w:semiHidden/>
    <w:unhideWhenUsed/>
    <w:rsid w:val="002E6F1C"/>
  </w:style>
  <w:style w:type="numbering" w:customStyle="1" w:styleId="Sinlista21131">
    <w:name w:val="Sin lista21131"/>
    <w:next w:val="Sinlista"/>
    <w:uiPriority w:val="99"/>
    <w:semiHidden/>
    <w:unhideWhenUsed/>
    <w:rsid w:val="002E6F1C"/>
  </w:style>
  <w:style w:type="numbering" w:customStyle="1" w:styleId="Sinlista31131">
    <w:name w:val="Sin lista31131"/>
    <w:next w:val="Sinlista"/>
    <w:uiPriority w:val="99"/>
    <w:semiHidden/>
    <w:unhideWhenUsed/>
    <w:rsid w:val="002E6F1C"/>
  </w:style>
  <w:style w:type="numbering" w:customStyle="1" w:styleId="Sinlista41131">
    <w:name w:val="Sin lista41131"/>
    <w:next w:val="Sinlista"/>
    <w:uiPriority w:val="99"/>
    <w:semiHidden/>
    <w:unhideWhenUsed/>
    <w:rsid w:val="002E6F1C"/>
  </w:style>
  <w:style w:type="numbering" w:customStyle="1" w:styleId="Sinlista51131">
    <w:name w:val="Sin lista51131"/>
    <w:next w:val="Sinlista"/>
    <w:uiPriority w:val="99"/>
    <w:semiHidden/>
    <w:unhideWhenUsed/>
    <w:rsid w:val="002E6F1C"/>
  </w:style>
  <w:style w:type="numbering" w:customStyle="1" w:styleId="Sinlista1111121">
    <w:name w:val="Sin lista1111121"/>
    <w:next w:val="Sinlista"/>
    <w:uiPriority w:val="99"/>
    <w:semiHidden/>
    <w:unhideWhenUsed/>
    <w:rsid w:val="002E6F1C"/>
  </w:style>
  <w:style w:type="numbering" w:customStyle="1" w:styleId="Sinlista211121">
    <w:name w:val="Sin lista211121"/>
    <w:next w:val="Sinlista"/>
    <w:uiPriority w:val="99"/>
    <w:semiHidden/>
    <w:unhideWhenUsed/>
    <w:rsid w:val="002E6F1C"/>
  </w:style>
  <w:style w:type="numbering" w:customStyle="1" w:styleId="Sinlista311121">
    <w:name w:val="Sin lista311121"/>
    <w:next w:val="Sinlista"/>
    <w:uiPriority w:val="99"/>
    <w:semiHidden/>
    <w:unhideWhenUsed/>
    <w:rsid w:val="002E6F1C"/>
  </w:style>
  <w:style w:type="numbering" w:customStyle="1" w:styleId="Sinlista411121">
    <w:name w:val="Sin lista411121"/>
    <w:next w:val="Sinlista"/>
    <w:uiPriority w:val="99"/>
    <w:semiHidden/>
    <w:unhideWhenUsed/>
    <w:rsid w:val="002E6F1C"/>
  </w:style>
  <w:style w:type="numbering" w:customStyle="1" w:styleId="Sinlista511121">
    <w:name w:val="Sin lista511121"/>
    <w:next w:val="Sinlista"/>
    <w:uiPriority w:val="99"/>
    <w:semiHidden/>
    <w:unhideWhenUsed/>
    <w:rsid w:val="002E6F1C"/>
  </w:style>
  <w:style w:type="numbering" w:customStyle="1" w:styleId="Sinlista91">
    <w:name w:val="Sin lista91"/>
    <w:next w:val="Sinlista"/>
    <w:uiPriority w:val="99"/>
    <w:semiHidden/>
    <w:unhideWhenUsed/>
    <w:rsid w:val="002E6F1C"/>
  </w:style>
  <w:style w:type="numbering" w:customStyle="1" w:styleId="Sinlista151">
    <w:name w:val="Sin lista151"/>
    <w:next w:val="Sinlista"/>
    <w:uiPriority w:val="99"/>
    <w:semiHidden/>
    <w:unhideWhenUsed/>
    <w:rsid w:val="002E6F1C"/>
  </w:style>
  <w:style w:type="numbering" w:customStyle="1" w:styleId="Sinlista251">
    <w:name w:val="Sin lista251"/>
    <w:next w:val="Sinlista"/>
    <w:uiPriority w:val="99"/>
    <w:semiHidden/>
    <w:unhideWhenUsed/>
    <w:rsid w:val="002E6F1C"/>
  </w:style>
  <w:style w:type="numbering" w:customStyle="1" w:styleId="Sinlista351">
    <w:name w:val="Sin lista351"/>
    <w:next w:val="Sinlista"/>
    <w:uiPriority w:val="99"/>
    <w:semiHidden/>
    <w:unhideWhenUsed/>
    <w:rsid w:val="002E6F1C"/>
  </w:style>
  <w:style w:type="numbering" w:customStyle="1" w:styleId="Sinlista451">
    <w:name w:val="Sin lista451"/>
    <w:next w:val="Sinlista"/>
    <w:uiPriority w:val="99"/>
    <w:semiHidden/>
    <w:unhideWhenUsed/>
    <w:rsid w:val="002E6F1C"/>
  </w:style>
  <w:style w:type="numbering" w:customStyle="1" w:styleId="Sinlista551">
    <w:name w:val="Sin lista551"/>
    <w:next w:val="Sinlista"/>
    <w:uiPriority w:val="99"/>
    <w:semiHidden/>
    <w:unhideWhenUsed/>
    <w:rsid w:val="002E6F1C"/>
  </w:style>
  <w:style w:type="numbering" w:customStyle="1" w:styleId="Sinlista1141">
    <w:name w:val="Sin lista1141"/>
    <w:next w:val="Sinlista"/>
    <w:uiPriority w:val="99"/>
    <w:semiHidden/>
    <w:unhideWhenUsed/>
    <w:rsid w:val="002E6F1C"/>
  </w:style>
  <w:style w:type="numbering" w:customStyle="1" w:styleId="Sinlista2141">
    <w:name w:val="Sin lista2141"/>
    <w:next w:val="Sinlista"/>
    <w:uiPriority w:val="99"/>
    <w:semiHidden/>
    <w:unhideWhenUsed/>
    <w:rsid w:val="002E6F1C"/>
  </w:style>
  <w:style w:type="numbering" w:customStyle="1" w:styleId="Sinlista3141">
    <w:name w:val="Sin lista3141"/>
    <w:next w:val="Sinlista"/>
    <w:uiPriority w:val="99"/>
    <w:semiHidden/>
    <w:unhideWhenUsed/>
    <w:rsid w:val="002E6F1C"/>
  </w:style>
  <w:style w:type="numbering" w:customStyle="1" w:styleId="Sinlista4141">
    <w:name w:val="Sin lista4141"/>
    <w:next w:val="Sinlista"/>
    <w:uiPriority w:val="99"/>
    <w:semiHidden/>
    <w:unhideWhenUsed/>
    <w:rsid w:val="002E6F1C"/>
  </w:style>
  <w:style w:type="numbering" w:customStyle="1" w:styleId="Sinlista5141">
    <w:name w:val="Sin lista5141"/>
    <w:next w:val="Sinlista"/>
    <w:uiPriority w:val="99"/>
    <w:semiHidden/>
    <w:unhideWhenUsed/>
    <w:rsid w:val="002E6F1C"/>
  </w:style>
  <w:style w:type="numbering" w:customStyle="1" w:styleId="Sinlista631">
    <w:name w:val="Sin lista631"/>
    <w:next w:val="Sinlista"/>
    <w:uiPriority w:val="99"/>
    <w:semiHidden/>
    <w:unhideWhenUsed/>
    <w:rsid w:val="002E6F1C"/>
  </w:style>
  <w:style w:type="numbering" w:customStyle="1" w:styleId="Sinlista1231">
    <w:name w:val="Sin lista1231"/>
    <w:next w:val="Sinlista"/>
    <w:uiPriority w:val="99"/>
    <w:semiHidden/>
    <w:unhideWhenUsed/>
    <w:rsid w:val="002E6F1C"/>
  </w:style>
  <w:style w:type="numbering" w:customStyle="1" w:styleId="Sinlista11141">
    <w:name w:val="Sin lista11141"/>
    <w:next w:val="Sinlista"/>
    <w:uiPriority w:val="99"/>
    <w:semiHidden/>
    <w:unhideWhenUsed/>
    <w:rsid w:val="002E6F1C"/>
  </w:style>
  <w:style w:type="numbering" w:customStyle="1" w:styleId="Sinlista2231">
    <w:name w:val="Sin lista2231"/>
    <w:next w:val="Sinlista"/>
    <w:uiPriority w:val="99"/>
    <w:semiHidden/>
    <w:unhideWhenUsed/>
    <w:rsid w:val="002E6F1C"/>
  </w:style>
  <w:style w:type="numbering" w:customStyle="1" w:styleId="Sinlista3231">
    <w:name w:val="Sin lista3231"/>
    <w:next w:val="Sinlista"/>
    <w:uiPriority w:val="99"/>
    <w:semiHidden/>
    <w:unhideWhenUsed/>
    <w:rsid w:val="002E6F1C"/>
  </w:style>
  <w:style w:type="numbering" w:customStyle="1" w:styleId="Sinlista4231">
    <w:name w:val="Sin lista4231"/>
    <w:next w:val="Sinlista"/>
    <w:uiPriority w:val="99"/>
    <w:semiHidden/>
    <w:unhideWhenUsed/>
    <w:rsid w:val="002E6F1C"/>
  </w:style>
  <w:style w:type="numbering" w:customStyle="1" w:styleId="Sinlista5231">
    <w:name w:val="Sin lista5231"/>
    <w:next w:val="Sinlista"/>
    <w:uiPriority w:val="99"/>
    <w:semiHidden/>
    <w:unhideWhenUsed/>
    <w:rsid w:val="002E6F1C"/>
  </w:style>
  <w:style w:type="numbering" w:customStyle="1" w:styleId="Sinlista111141">
    <w:name w:val="Sin lista111141"/>
    <w:next w:val="Sinlista"/>
    <w:uiPriority w:val="99"/>
    <w:semiHidden/>
    <w:unhideWhenUsed/>
    <w:rsid w:val="002E6F1C"/>
  </w:style>
  <w:style w:type="numbering" w:customStyle="1" w:styleId="Sinlista21141">
    <w:name w:val="Sin lista21141"/>
    <w:next w:val="Sinlista"/>
    <w:uiPriority w:val="99"/>
    <w:semiHidden/>
    <w:unhideWhenUsed/>
    <w:rsid w:val="002E6F1C"/>
  </w:style>
  <w:style w:type="numbering" w:customStyle="1" w:styleId="Sinlista31141">
    <w:name w:val="Sin lista31141"/>
    <w:next w:val="Sinlista"/>
    <w:uiPriority w:val="99"/>
    <w:semiHidden/>
    <w:unhideWhenUsed/>
    <w:rsid w:val="002E6F1C"/>
  </w:style>
  <w:style w:type="numbering" w:customStyle="1" w:styleId="Sinlista41141">
    <w:name w:val="Sin lista41141"/>
    <w:next w:val="Sinlista"/>
    <w:uiPriority w:val="99"/>
    <w:semiHidden/>
    <w:unhideWhenUsed/>
    <w:rsid w:val="002E6F1C"/>
  </w:style>
  <w:style w:type="numbering" w:customStyle="1" w:styleId="Sinlista51141">
    <w:name w:val="Sin lista51141"/>
    <w:next w:val="Sinlista"/>
    <w:uiPriority w:val="99"/>
    <w:semiHidden/>
    <w:unhideWhenUsed/>
    <w:rsid w:val="002E6F1C"/>
  </w:style>
  <w:style w:type="numbering" w:customStyle="1" w:styleId="Sinlista1111131">
    <w:name w:val="Sin lista1111131"/>
    <w:next w:val="Sinlista"/>
    <w:uiPriority w:val="99"/>
    <w:semiHidden/>
    <w:unhideWhenUsed/>
    <w:rsid w:val="002E6F1C"/>
  </w:style>
  <w:style w:type="numbering" w:customStyle="1" w:styleId="Sinlista211131">
    <w:name w:val="Sin lista211131"/>
    <w:next w:val="Sinlista"/>
    <w:uiPriority w:val="99"/>
    <w:semiHidden/>
    <w:unhideWhenUsed/>
    <w:rsid w:val="002E6F1C"/>
  </w:style>
  <w:style w:type="numbering" w:customStyle="1" w:styleId="Sinlista311131">
    <w:name w:val="Sin lista311131"/>
    <w:next w:val="Sinlista"/>
    <w:uiPriority w:val="99"/>
    <w:semiHidden/>
    <w:unhideWhenUsed/>
    <w:rsid w:val="002E6F1C"/>
  </w:style>
  <w:style w:type="numbering" w:customStyle="1" w:styleId="Sinlista411131">
    <w:name w:val="Sin lista411131"/>
    <w:next w:val="Sinlista"/>
    <w:uiPriority w:val="99"/>
    <w:semiHidden/>
    <w:unhideWhenUsed/>
    <w:rsid w:val="002E6F1C"/>
  </w:style>
  <w:style w:type="numbering" w:customStyle="1" w:styleId="Sinlista511131">
    <w:name w:val="Sin lista511131"/>
    <w:next w:val="Sinlista"/>
    <w:uiPriority w:val="99"/>
    <w:semiHidden/>
    <w:unhideWhenUsed/>
    <w:rsid w:val="002E6F1C"/>
  </w:style>
  <w:style w:type="numbering" w:customStyle="1" w:styleId="Sinlista711">
    <w:name w:val="Sin lista711"/>
    <w:next w:val="Sinlista"/>
    <w:uiPriority w:val="99"/>
    <w:semiHidden/>
    <w:unhideWhenUsed/>
    <w:rsid w:val="002E6F1C"/>
  </w:style>
  <w:style w:type="numbering" w:customStyle="1" w:styleId="Sinlista1311">
    <w:name w:val="Sin lista1311"/>
    <w:next w:val="Sinlista"/>
    <w:uiPriority w:val="99"/>
    <w:semiHidden/>
    <w:unhideWhenUsed/>
    <w:rsid w:val="002E6F1C"/>
  </w:style>
  <w:style w:type="numbering" w:customStyle="1" w:styleId="Sinlista2311">
    <w:name w:val="Sin lista2311"/>
    <w:next w:val="Sinlista"/>
    <w:uiPriority w:val="99"/>
    <w:semiHidden/>
    <w:unhideWhenUsed/>
    <w:rsid w:val="002E6F1C"/>
  </w:style>
  <w:style w:type="numbering" w:customStyle="1" w:styleId="Sinlista3311">
    <w:name w:val="Sin lista3311"/>
    <w:next w:val="Sinlista"/>
    <w:uiPriority w:val="99"/>
    <w:semiHidden/>
    <w:unhideWhenUsed/>
    <w:rsid w:val="002E6F1C"/>
  </w:style>
  <w:style w:type="numbering" w:customStyle="1" w:styleId="Sinlista4311">
    <w:name w:val="Sin lista4311"/>
    <w:next w:val="Sinlista"/>
    <w:uiPriority w:val="99"/>
    <w:semiHidden/>
    <w:unhideWhenUsed/>
    <w:rsid w:val="002E6F1C"/>
  </w:style>
  <w:style w:type="numbering" w:customStyle="1" w:styleId="Sinlista5311">
    <w:name w:val="Sin lista5311"/>
    <w:next w:val="Sinlista"/>
    <w:uiPriority w:val="99"/>
    <w:semiHidden/>
    <w:unhideWhenUsed/>
    <w:rsid w:val="002E6F1C"/>
  </w:style>
  <w:style w:type="numbering" w:customStyle="1" w:styleId="Sinlista11211">
    <w:name w:val="Sin lista11211"/>
    <w:next w:val="Sinlista"/>
    <w:uiPriority w:val="99"/>
    <w:semiHidden/>
    <w:unhideWhenUsed/>
    <w:rsid w:val="002E6F1C"/>
  </w:style>
  <w:style w:type="numbering" w:customStyle="1" w:styleId="Sinlista21211">
    <w:name w:val="Sin lista21211"/>
    <w:next w:val="Sinlista"/>
    <w:uiPriority w:val="99"/>
    <w:semiHidden/>
    <w:unhideWhenUsed/>
    <w:rsid w:val="002E6F1C"/>
  </w:style>
  <w:style w:type="numbering" w:customStyle="1" w:styleId="Sinlista31211">
    <w:name w:val="Sin lista31211"/>
    <w:next w:val="Sinlista"/>
    <w:uiPriority w:val="99"/>
    <w:semiHidden/>
    <w:unhideWhenUsed/>
    <w:rsid w:val="002E6F1C"/>
  </w:style>
  <w:style w:type="numbering" w:customStyle="1" w:styleId="Sinlista41211">
    <w:name w:val="Sin lista41211"/>
    <w:next w:val="Sinlista"/>
    <w:uiPriority w:val="99"/>
    <w:semiHidden/>
    <w:unhideWhenUsed/>
    <w:rsid w:val="002E6F1C"/>
  </w:style>
  <w:style w:type="numbering" w:customStyle="1" w:styleId="Sinlista51211">
    <w:name w:val="Sin lista51211"/>
    <w:next w:val="Sinlista"/>
    <w:uiPriority w:val="99"/>
    <w:semiHidden/>
    <w:unhideWhenUsed/>
    <w:rsid w:val="002E6F1C"/>
  </w:style>
  <w:style w:type="numbering" w:customStyle="1" w:styleId="Sinlista6111">
    <w:name w:val="Sin lista6111"/>
    <w:next w:val="Sinlista"/>
    <w:uiPriority w:val="99"/>
    <w:semiHidden/>
    <w:unhideWhenUsed/>
    <w:rsid w:val="002E6F1C"/>
  </w:style>
  <w:style w:type="numbering" w:customStyle="1" w:styleId="Sinlista12111">
    <w:name w:val="Sin lista12111"/>
    <w:next w:val="Sinlista"/>
    <w:uiPriority w:val="99"/>
    <w:semiHidden/>
    <w:unhideWhenUsed/>
    <w:rsid w:val="002E6F1C"/>
  </w:style>
  <w:style w:type="numbering" w:customStyle="1" w:styleId="Sinlista111211">
    <w:name w:val="Sin lista111211"/>
    <w:next w:val="Sinlista"/>
    <w:uiPriority w:val="99"/>
    <w:semiHidden/>
    <w:unhideWhenUsed/>
    <w:rsid w:val="002E6F1C"/>
  </w:style>
  <w:style w:type="numbering" w:customStyle="1" w:styleId="Sinlista22111">
    <w:name w:val="Sin lista22111"/>
    <w:next w:val="Sinlista"/>
    <w:uiPriority w:val="99"/>
    <w:semiHidden/>
    <w:unhideWhenUsed/>
    <w:rsid w:val="002E6F1C"/>
  </w:style>
  <w:style w:type="numbering" w:customStyle="1" w:styleId="Sinlista32111">
    <w:name w:val="Sin lista32111"/>
    <w:next w:val="Sinlista"/>
    <w:uiPriority w:val="99"/>
    <w:semiHidden/>
    <w:unhideWhenUsed/>
    <w:rsid w:val="002E6F1C"/>
  </w:style>
  <w:style w:type="numbering" w:customStyle="1" w:styleId="Sinlista42111">
    <w:name w:val="Sin lista42111"/>
    <w:next w:val="Sinlista"/>
    <w:uiPriority w:val="99"/>
    <w:semiHidden/>
    <w:unhideWhenUsed/>
    <w:rsid w:val="002E6F1C"/>
  </w:style>
  <w:style w:type="numbering" w:customStyle="1" w:styleId="Sinlista52111">
    <w:name w:val="Sin lista52111"/>
    <w:next w:val="Sinlista"/>
    <w:uiPriority w:val="99"/>
    <w:semiHidden/>
    <w:unhideWhenUsed/>
    <w:rsid w:val="002E6F1C"/>
  </w:style>
  <w:style w:type="numbering" w:customStyle="1" w:styleId="Sinlista1111211">
    <w:name w:val="Sin lista1111211"/>
    <w:next w:val="Sinlista"/>
    <w:uiPriority w:val="99"/>
    <w:semiHidden/>
    <w:unhideWhenUsed/>
    <w:rsid w:val="002E6F1C"/>
  </w:style>
  <w:style w:type="numbering" w:customStyle="1" w:styleId="Sinlista211211">
    <w:name w:val="Sin lista211211"/>
    <w:next w:val="Sinlista"/>
    <w:uiPriority w:val="99"/>
    <w:semiHidden/>
    <w:unhideWhenUsed/>
    <w:rsid w:val="002E6F1C"/>
  </w:style>
  <w:style w:type="numbering" w:customStyle="1" w:styleId="Sinlista311211">
    <w:name w:val="Sin lista311211"/>
    <w:next w:val="Sinlista"/>
    <w:uiPriority w:val="99"/>
    <w:semiHidden/>
    <w:unhideWhenUsed/>
    <w:rsid w:val="002E6F1C"/>
  </w:style>
  <w:style w:type="numbering" w:customStyle="1" w:styleId="Sinlista411211">
    <w:name w:val="Sin lista411211"/>
    <w:next w:val="Sinlista"/>
    <w:uiPriority w:val="99"/>
    <w:semiHidden/>
    <w:unhideWhenUsed/>
    <w:rsid w:val="002E6F1C"/>
  </w:style>
  <w:style w:type="numbering" w:customStyle="1" w:styleId="Sinlista511211">
    <w:name w:val="Sin lista511211"/>
    <w:next w:val="Sinlista"/>
    <w:uiPriority w:val="99"/>
    <w:semiHidden/>
    <w:unhideWhenUsed/>
    <w:rsid w:val="002E6F1C"/>
  </w:style>
  <w:style w:type="numbering" w:customStyle="1" w:styleId="Sinlista11111111">
    <w:name w:val="Sin lista11111111"/>
    <w:next w:val="Sinlista"/>
    <w:uiPriority w:val="99"/>
    <w:semiHidden/>
    <w:unhideWhenUsed/>
    <w:rsid w:val="002E6F1C"/>
  </w:style>
  <w:style w:type="numbering" w:customStyle="1" w:styleId="Sinlista2111111">
    <w:name w:val="Sin lista2111111"/>
    <w:next w:val="Sinlista"/>
    <w:uiPriority w:val="99"/>
    <w:semiHidden/>
    <w:unhideWhenUsed/>
    <w:rsid w:val="002E6F1C"/>
  </w:style>
  <w:style w:type="numbering" w:customStyle="1" w:styleId="Sinlista3111111">
    <w:name w:val="Sin lista3111111"/>
    <w:next w:val="Sinlista"/>
    <w:uiPriority w:val="99"/>
    <w:semiHidden/>
    <w:unhideWhenUsed/>
    <w:rsid w:val="002E6F1C"/>
  </w:style>
  <w:style w:type="numbering" w:customStyle="1" w:styleId="Sinlista4111111">
    <w:name w:val="Sin lista4111111"/>
    <w:next w:val="Sinlista"/>
    <w:uiPriority w:val="99"/>
    <w:semiHidden/>
    <w:unhideWhenUsed/>
    <w:rsid w:val="002E6F1C"/>
  </w:style>
  <w:style w:type="numbering" w:customStyle="1" w:styleId="Sinlista5111111">
    <w:name w:val="Sin lista5111111"/>
    <w:next w:val="Sinlista"/>
    <w:uiPriority w:val="99"/>
    <w:semiHidden/>
    <w:unhideWhenUsed/>
    <w:rsid w:val="002E6F1C"/>
  </w:style>
  <w:style w:type="numbering" w:customStyle="1" w:styleId="Estiloimportado110">
    <w:name w:val="Estilo importado 110"/>
    <w:rsid w:val="002E6F1C"/>
  </w:style>
  <w:style w:type="numbering" w:customStyle="1" w:styleId="Estiloimportado21">
    <w:name w:val="Estilo importado 21"/>
    <w:rsid w:val="002E6F1C"/>
  </w:style>
  <w:style w:type="numbering" w:customStyle="1" w:styleId="Estiloimportado31">
    <w:name w:val="Estilo importado 31"/>
    <w:rsid w:val="002E6F1C"/>
  </w:style>
  <w:style w:type="numbering" w:customStyle="1" w:styleId="Estiloimportado41">
    <w:name w:val="Estilo importado 41"/>
    <w:rsid w:val="002E6F1C"/>
  </w:style>
  <w:style w:type="numbering" w:customStyle="1" w:styleId="Estiloimportado51">
    <w:name w:val="Estilo importado 51"/>
    <w:rsid w:val="002E6F1C"/>
  </w:style>
  <w:style w:type="numbering" w:customStyle="1" w:styleId="Estiloimportado61">
    <w:name w:val="Estilo importado 61"/>
    <w:rsid w:val="002E6F1C"/>
  </w:style>
  <w:style w:type="numbering" w:customStyle="1" w:styleId="Estiloimportado71">
    <w:name w:val="Estilo importado 71"/>
    <w:rsid w:val="002E6F1C"/>
  </w:style>
  <w:style w:type="numbering" w:customStyle="1" w:styleId="Estiloimportado81">
    <w:name w:val="Estilo importado 81"/>
    <w:rsid w:val="002E6F1C"/>
  </w:style>
  <w:style w:type="numbering" w:customStyle="1" w:styleId="Estiloimportado91">
    <w:name w:val="Estilo importado 91"/>
    <w:rsid w:val="002E6F1C"/>
  </w:style>
  <w:style w:type="numbering" w:customStyle="1" w:styleId="Estiloimportado101">
    <w:name w:val="Estilo importado 101"/>
    <w:rsid w:val="002E6F1C"/>
  </w:style>
  <w:style w:type="numbering" w:customStyle="1" w:styleId="Estiloimportado111">
    <w:name w:val="Estilo importado 111"/>
    <w:rsid w:val="002E6F1C"/>
  </w:style>
  <w:style w:type="numbering" w:customStyle="1" w:styleId="Estiloimportado121">
    <w:name w:val="Estilo importado 121"/>
    <w:rsid w:val="002E6F1C"/>
  </w:style>
  <w:style w:type="numbering" w:customStyle="1" w:styleId="Estiloimportado131">
    <w:name w:val="Estilo importado 131"/>
    <w:rsid w:val="002E6F1C"/>
  </w:style>
  <w:style w:type="numbering" w:customStyle="1" w:styleId="Estiloimportado141">
    <w:name w:val="Estilo importado 141"/>
    <w:rsid w:val="002E6F1C"/>
  </w:style>
  <w:style w:type="numbering" w:customStyle="1" w:styleId="Estiloimportado151">
    <w:name w:val="Estilo importado 151"/>
    <w:rsid w:val="002E6F1C"/>
  </w:style>
  <w:style w:type="numbering" w:customStyle="1" w:styleId="Estiloimportado2031">
    <w:name w:val="Estilo importado 2031"/>
    <w:rsid w:val="002E6F1C"/>
  </w:style>
  <w:style w:type="numbering" w:customStyle="1" w:styleId="Estiloimportado161">
    <w:name w:val="Estilo importado 161"/>
    <w:rsid w:val="002E6F1C"/>
  </w:style>
  <w:style w:type="numbering" w:customStyle="1" w:styleId="Estiloimportado171">
    <w:name w:val="Estilo importado 171"/>
    <w:rsid w:val="002E6F1C"/>
  </w:style>
  <w:style w:type="numbering" w:customStyle="1" w:styleId="Estiloimportado181">
    <w:name w:val="Estilo importado 181"/>
    <w:rsid w:val="002E6F1C"/>
  </w:style>
  <w:style w:type="numbering" w:customStyle="1" w:styleId="Estiloimportado191">
    <w:name w:val="Estilo importado 191"/>
    <w:rsid w:val="002E6F1C"/>
  </w:style>
  <w:style w:type="numbering" w:customStyle="1" w:styleId="Estiloimportado201">
    <w:name w:val="Estilo importado 201"/>
    <w:rsid w:val="002E6F1C"/>
  </w:style>
  <w:style w:type="paragraph" w:styleId="Revisin">
    <w:name w:val="Revision"/>
    <w:hidden/>
    <w:uiPriority w:val="99"/>
    <w:semiHidden/>
    <w:rsid w:val="002E6F1C"/>
    <w:rPr>
      <w:sz w:val="24"/>
      <w:lang w:eastAsia="en-US"/>
    </w:rPr>
  </w:style>
  <w:style w:type="numbering" w:customStyle="1" w:styleId="Sinlista17">
    <w:name w:val="Sin lista17"/>
    <w:next w:val="Sinlista"/>
    <w:uiPriority w:val="99"/>
    <w:semiHidden/>
    <w:unhideWhenUsed/>
    <w:rsid w:val="00033B43"/>
  </w:style>
  <w:style w:type="numbering" w:customStyle="1" w:styleId="Sinlista18">
    <w:name w:val="Sin lista18"/>
    <w:next w:val="Sinlista"/>
    <w:uiPriority w:val="99"/>
    <w:semiHidden/>
    <w:unhideWhenUsed/>
    <w:rsid w:val="00033B43"/>
  </w:style>
  <w:style w:type="numbering" w:customStyle="1" w:styleId="Sinlista27">
    <w:name w:val="Sin lista27"/>
    <w:next w:val="Sinlista"/>
    <w:uiPriority w:val="99"/>
    <w:semiHidden/>
    <w:unhideWhenUsed/>
    <w:rsid w:val="00033B43"/>
  </w:style>
  <w:style w:type="numbering" w:customStyle="1" w:styleId="Sinlista37">
    <w:name w:val="Sin lista37"/>
    <w:next w:val="Sinlista"/>
    <w:uiPriority w:val="99"/>
    <w:semiHidden/>
    <w:unhideWhenUsed/>
    <w:rsid w:val="00033B43"/>
  </w:style>
  <w:style w:type="numbering" w:customStyle="1" w:styleId="Sinlista47">
    <w:name w:val="Sin lista47"/>
    <w:next w:val="Sinlista"/>
    <w:uiPriority w:val="99"/>
    <w:semiHidden/>
    <w:unhideWhenUsed/>
    <w:rsid w:val="00033B43"/>
  </w:style>
  <w:style w:type="numbering" w:customStyle="1" w:styleId="Sinlista57">
    <w:name w:val="Sin lista57"/>
    <w:next w:val="Sinlista"/>
    <w:uiPriority w:val="99"/>
    <w:semiHidden/>
    <w:unhideWhenUsed/>
    <w:rsid w:val="00033B43"/>
  </w:style>
  <w:style w:type="numbering" w:customStyle="1" w:styleId="Sinlista116">
    <w:name w:val="Sin lista116"/>
    <w:next w:val="Sinlista"/>
    <w:uiPriority w:val="99"/>
    <w:semiHidden/>
    <w:unhideWhenUsed/>
    <w:rsid w:val="00033B43"/>
  </w:style>
  <w:style w:type="numbering" w:customStyle="1" w:styleId="Sinlista216">
    <w:name w:val="Sin lista216"/>
    <w:next w:val="Sinlista"/>
    <w:uiPriority w:val="99"/>
    <w:semiHidden/>
    <w:unhideWhenUsed/>
    <w:rsid w:val="00033B43"/>
  </w:style>
  <w:style w:type="numbering" w:customStyle="1" w:styleId="Sinlista316">
    <w:name w:val="Sin lista316"/>
    <w:next w:val="Sinlista"/>
    <w:uiPriority w:val="99"/>
    <w:semiHidden/>
    <w:unhideWhenUsed/>
    <w:rsid w:val="00033B43"/>
  </w:style>
  <w:style w:type="numbering" w:customStyle="1" w:styleId="Sinlista416">
    <w:name w:val="Sin lista416"/>
    <w:next w:val="Sinlista"/>
    <w:uiPriority w:val="99"/>
    <w:semiHidden/>
    <w:unhideWhenUsed/>
    <w:rsid w:val="00033B43"/>
  </w:style>
  <w:style w:type="numbering" w:customStyle="1" w:styleId="Sinlista516">
    <w:name w:val="Sin lista516"/>
    <w:next w:val="Sinlista"/>
    <w:uiPriority w:val="99"/>
    <w:semiHidden/>
    <w:unhideWhenUsed/>
    <w:rsid w:val="00033B43"/>
  </w:style>
  <w:style w:type="numbering" w:customStyle="1" w:styleId="Sinlista65">
    <w:name w:val="Sin lista65"/>
    <w:next w:val="Sinlista"/>
    <w:uiPriority w:val="99"/>
    <w:semiHidden/>
    <w:unhideWhenUsed/>
    <w:rsid w:val="00033B43"/>
  </w:style>
  <w:style w:type="numbering" w:customStyle="1" w:styleId="Sinlista125">
    <w:name w:val="Sin lista125"/>
    <w:next w:val="Sinlista"/>
    <w:uiPriority w:val="99"/>
    <w:semiHidden/>
    <w:unhideWhenUsed/>
    <w:rsid w:val="00033B43"/>
  </w:style>
  <w:style w:type="numbering" w:customStyle="1" w:styleId="Sinlista1116">
    <w:name w:val="Sin lista1116"/>
    <w:next w:val="Sinlista"/>
    <w:uiPriority w:val="99"/>
    <w:semiHidden/>
    <w:unhideWhenUsed/>
    <w:rsid w:val="00033B43"/>
  </w:style>
  <w:style w:type="numbering" w:customStyle="1" w:styleId="Sinlista225">
    <w:name w:val="Sin lista225"/>
    <w:next w:val="Sinlista"/>
    <w:uiPriority w:val="99"/>
    <w:semiHidden/>
    <w:unhideWhenUsed/>
    <w:rsid w:val="00033B43"/>
  </w:style>
  <w:style w:type="numbering" w:customStyle="1" w:styleId="Sinlista325">
    <w:name w:val="Sin lista325"/>
    <w:next w:val="Sinlista"/>
    <w:uiPriority w:val="99"/>
    <w:semiHidden/>
    <w:unhideWhenUsed/>
    <w:rsid w:val="00033B43"/>
  </w:style>
  <w:style w:type="numbering" w:customStyle="1" w:styleId="Sinlista425">
    <w:name w:val="Sin lista425"/>
    <w:next w:val="Sinlista"/>
    <w:uiPriority w:val="99"/>
    <w:semiHidden/>
    <w:unhideWhenUsed/>
    <w:rsid w:val="00033B43"/>
  </w:style>
  <w:style w:type="numbering" w:customStyle="1" w:styleId="Sinlista525">
    <w:name w:val="Sin lista525"/>
    <w:next w:val="Sinlista"/>
    <w:uiPriority w:val="99"/>
    <w:semiHidden/>
    <w:unhideWhenUsed/>
    <w:rsid w:val="00033B43"/>
  </w:style>
  <w:style w:type="numbering" w:customStyle="1" w:styleId="Sinlista11116">
    <w:name w:val="Sin lista11116"/>
    <w:next w:val="Sinlista"/>
    <w:uiPriority w:val="99"/>
    <w:semiHidden/>
    <w:unhideWhenUsed/>
    <w:rsid w:val="00033B43"/>
  </w:style>
  <w:style w:type="numbering" w:customStyle="1" w:styleId="Sinlista2116">
    <w:name w:val="Sin lista2116"/>
    <w:next w:val="Sinlista"/>
    <w:uiPriority w:val="99"/>
    <w:semiHidden/>
    <w:unhideWhenUsed/>
    <w:rsid w:val="00033B43"/>
  </w:style>
  <w:style w:type="numbering" w:customStyle="1" w:styleId="Sinlista3116">
    <w:name w:val="Sin lista3116"/>
    <w:next w:val="Sinlista"/>
    <w:uiPriority w:val="99"/>
    <w:semiHidden/>
    <w:unhideWhenUsed/>
    <w:rsid w:val="00033B43"/>
  </w:style>
  <w:style w:type="numbering" w:customStyle="1" w:styleId="Sinlista4116">
    <w:name w:val="Sin lista4116"/>
    <w:next w:val="Sinlista"/>
    <w:uiPriority w:val="99"/>
    <w:semiHidden/>
    <w:unhideWhenUsed/>
    <w:rsid w:val="00033B43"/>
  </w:style>
  <w:style w:type="numbering" w:customStyle="1" w:styleId="Sinlista5116">
    <w:name w:val="Sin lista5116"/>
    <w:next w:val="Sinlista"/>
    <w:uiPriority w:val="99"/>
    <w:semiHidden/>
    <w:unhideWhenUsed/>
    <w:rsid w:val="00033B43"/>
  </w:style>
  <w:style w:type="numbering" w:customStyle="1" w:styleId="Sinlista111115">
    <w:name w:val="Sin lista111115"/>
    <w:next w:val="Sinlista"/>
    <w:uiPriority w:val="99"/>
    <w:semiHidden/>
    <w:unhideWhenUsed/>
    <w:rsid w:val="00033B43"/>
  </w:style>
  <w:style w:type="numbering" w:customStyle="1" w:styleId="Sinlista21115">
    <w:name w:val="Sin lista21115"/>
    <w:next w:val="Sinlista"/>
    <w:uiPriority w:val="99"/>
    <w:semiHidden/>
    <w:unhideWhenUsed/>
    <w:rsid w:val="00033B43"/>
  </w:style>
  <w:style w:type="numbering" w:customStyle="1" w:styleId="Sinlista31115">
    <w:name w:val="Sin lista31115"/>
    <w:next w:val="Sinlista"/>
    <w:uiPriority w:val="99"/>
    <w:semiHidden/>
    <w:unhideWhenUsed/>
    <w:rsid w:val="00033B43"/>
  </w:style>
  <w:style w:type="numbering" w:customStyle="1" w:styleId="Sinlista41115">
    <w:name w:val="Sin lista41115"/>
    <w:next w:val="Sinlista"/>
    <w:uiPriority w:val="99"/>
    <w:semiHidden/>
    <w:unhideWhenUsed/>
    <w:rsid w:val="00033B43"/>
  </w:style>
  <w:style w:type="numbering" w:customStyle="1" w:styleId="Sinlista51115">
    <w:name w:val="Sin lista51115"/>
    <w:next w:val="Sinlista"/>
    <w:uiPriority w:val="99"/>
    <w:semiHidden/>
    <w:unhideWhenUsed/>
    <w:rsid w:val="00033B43"/>
  </w:style>
  <w:style w:type="numbering" w:customStyle="1" w:styleId="Sinlista73">
    <w:name w:val="Sin lista73"/>
    <w:next w:val="Sinlista"/>
    <w:uiPriority w:val="99"/>
    <w:semiHidden/>
    <w:unhideWhenUsed/>
    <w:rsid w:val="00033B43"/>
  </w:style>
  <w:style w:type="numbering" w:customStyle="1" w:styleId="Sinlista133">
    <w:name w:val="Sin lista133"/>
    <w:next w:val="Sinlista"/>
    <w:uiPriority w:val="99"/>
    <w:semiHidden/>
    <w:unhideWhenUsed/>
    <w:rsid w:val="00033B43"/>
  </w:style>
  <w:style w:type="numbering" w:customStyle="1" w:styleId="Sinlista233">
    <w:name w:val="Sin lista233"/>
    <w:next w:val="Sinlista"/>
    <w:uiPriority w:val="99"/>
    <w:semiHidden/>
    <w:unhideWhenUsed/>
    <w:rsid w:val="00033B43"/>
  </w:style>
  <w:style w:type="numbering" w:customStyle="1" w:styleId="Sinlista333">
    <w:name w:val="Sin lista333"/>
    <w:next w:val="Sinlista"/>
    <w:uiPriority w:val="99"/>
    <w:semiHidden/>
    <w:unhideWhenUsed/>
    <w:rsid w:val="00033B43"/>
  </w:style>
  <w:style w:type="numbering" w:customStyle="1" w:styleId="Sinlista433">
    <w:name w:val="Sin lista433"/>
    <w:next w:val="Sinlista"/>
    <w:uiPriority w:val="99"/>
    <w:semiHidden/>
    <w:unhideWhenUsed/>
    <w:rsid w:val="00033B43"/>
  </w:style>
  <w:style w:type="numbering" w:customStyle="1" w:styleId="Sinlista533">
    <w:name w:val="Sin lista533"/>
    <w:next w:val="Sinlista"/>
    <w:uiPriority w:val="99"/>
    <w:semiHidden/>
    <w:unhideWhenUsed/>
    <w:rsid w:val="00033B43"/>
  </w:style>
  <w:style w:type="numbering" w:customStyle="1" w:styleId="Sinlista1123">
    <w:name w:val="Sin lista1123"/>
    <w:next w:val="Sinlista"/>
    <w:uiPriority w:val="99"/>
    <w:semiHidden/>
    <w:unhideWhenUsed/>
    <w:rsid w:val="00033B43"/>
  </w:style>
  <w:style w:type="numbering" w:customStyle="1" w:styleId="Sinlista2123">
    <w:name w:val="Sin lista2123"/>
    <w:next w:val="Sinlista"/>
    <w:uiPriority w:val="99"/>
    <w:semiHidden/>
    <w:unhideWhenUsed/>
    <w:rsid w:val="00033B43"/>
  </w:style>
  <w:style w:type="numbering" w:customStyle="1" w:styleId="Sinlista3123">
    <w:name w:val="Sin lista3123"/>
    <w:next w:val="Sinlista"/>
    <w:uiPriority w:val="99"/>
    <w:semiHidden/>
    <w:unhideWhenUsed/>
    <w:rsid w:val="00033B43"/>
  </w:style>
  <w:style w:type="numbering" w:customStyle="1" w:styleId="Sinlista4123">
    <w:name w:val="Sin lista4123"/>
    <w:next w:val="Sinlista"/>
    <w:uiPriority w:val="99"/>
    <w:semiHidden/>
    <w:unhideWhenUsed/>
    <w:rsid w:val="00033B43"/>
  </w:style>
  <w:style w:type="numbering" w:customStyle="1" w:styleId="Sinlista5123">
    <w:name w:val="Sin lista5123"/>
    <w:next w:val="Sinlista"/>
    <w:uiPriority w:val="99"/>
    <w:semiHidden/>
    <w:unhideWhenUsed/>
    <w:rsid w:val="00033B43"/>
  </w:style>
  <w:style w:type="numbering" w:customStyle="1" w:styleId="Sinlista613">
    <w:name w:val="Sin lista613"/>
    <w:next w:val="Sinlista"/>
    <w:uiPriority w:val="99"/>
    <w:semiHidden/>
    <w:unhideWhenUsed/>
    <w:rsid w:val="00033B43"/>
  </w:style>
  <w:style w:type="numbering" w:customStyle="1" w:styleId="Sinlista1213">
    <w:name w:val="Sin lista1213"/>
    <w:next w:val="Sinlista"/>
    <w:uiPriority w:val="99"/>
    <w:semiHidden/>
    <w:unhideWhenUsed/>
    <w:rsid w:val="00033B43"/>
  </w:style>
  <w:style w:type="numbering" w:customStyle="1" w:styleId="Sinlista11123">
    <w:name w:val="Sin lista11123"/>
    <w:next w:val="Sinlista"/>
    <w:uiPriority w:val="99"/>
    <w:semiHidden/>
    <w:unhideWhenUsed/>
    <w:rsid w:val="00033B43"/>
  </w:style>
  <w:style w:type="numbering" w:customStyle="1" w:styleId="Sinlista2213">
    <w:name w:val="Sin lista2213"/>
    <w:next w:val="Sinlista"/>
    <w:uiPriority w:val="99"/>
    <w:semiHidden/>
    <w:unhideWhenUsed/>
    <w:rsid w:val="00033B43"/>
  </w:style>
  <w:style w:type="numbering" w:customStyle="1" w:styleId="Sinlista3213">
    <w:name w:val="Sin lista3213"/>
    <w:next w:val="Sinlista"/>
    <w:uiPriority w:val="99"/>
    <w:semiHidden/>
    <w:unhideWhenUsed/>
    <w:rsid w:val="00033B43"/>
  </w:style>
  <w:style w:type="numbering" w:customStyle="1" w:styleId="Sinlista4213">
    <w:name w:val="Sin lista4213"/>
    <w:next w:val="Sinlista"/>
    <w:uiPriority w:val="99"/>
    <w:semiHidden/>
    <w:unhideWhenUsed/>
    <w:rsid w:val="00033B43"/>
  </w:style>
  <w:style w:type="numbering" w:customStyle="1" w:styleId="Sinlista5213">
    <w:name w:val="Sin lista5213"/>
    <w:next w:val="Sinlista"/>
    <w:uiPriority w:val="99"/>
    <w:semiHidden/>
    <w:unhideWhenUsed/>
    <w:rsid w:val="00033B43"/>
  </w:style>
  <w:style w:type="numbering" w:customStyle="1" w:styleId="Sinlista111123">
    <w:name w:val="Sin lista111123"/>
    <w:next w:val="Sinlista"/>
    <w:uiPriority w:val="99"/>
    <w:semiHidden/>
    <w:unhideWhenUsed/>
    <w:rsid w:val="00033B43"/>
  </w:style>
  <w:style w:type="numbering" w:customStyle="1" w:styleId="Sinlista21123">
    <w:name w:val="Sin lista21123"/>
    <w:next w:val="Sinlista"/>
    <w:uiPriority w:val="99"/>
    <w:semiHidden/>
    <w:unhideWhenUsed/>
    <w:rsid w:val="00033B43"/>
  </w:style>
  <w:style w:type="numbering" w:customStyle="1" w:styleId="Sinlista31123">
    <w:name w:val="Sin lista31123"/>
    <w:next w:val="Sinlista"/>
    <w:uiPriority w:val="99"/>
    <w:semiHidden/>
    <w:unhideWhenUsed/>
    <w:rsid w:val="00033B43"/>
  </w:style>
  <w:style w:type="numbering" w:customStyle="1" w:styleId="Sinlista41123">
    <w:name w:val="Sin lista41123"/>
    <w:next w:val="Sinlista"/>
    <w:uiPriority w:val="99"/>
    <w:semiHidden/>
    <w:unhideWhenUsed/>
    <w:rsid w:val="00033B43"/>
  </w:style>
  <w:style w:type="numbering" w:customStyle="1" w:styleId="Sinlista51123">
    <w:name w:val="Sin lista51123"/>
    <w:next w:val="Sinlista"/>
    <w:uiPriority w:val="99"/>
    <w:semiHidden/>
    <w:unhideWhenUsed/>
    <w:rsid w:val="00033B43"/>
  </w:style>
  <w:style w:type="numbering" w:customStyle="1" w:styleId="Sinlista1111113">
    <w:name w:val="Sin lista1111113"/>
    <w:next w:val="Sinlista"/>
    <w:uiPriority w:val="99"/>
    <w:semiHidden/>
    <w:unhideWhenUsed/>
    <w:rsid w:val="00033B43"/>
  </w:style>
  <w:style w:type="numbering" w:customStyle="1" w:styleId="Sinlista211113">
    <w:name w:val="Sin lista211113"/>
    <w:next w:val="Sinlista"/>
    <w:uiPriority w:val="99"/>
    <w:semiHidden/>
    <w:unhideWhenUsed/>
    <w:rsid w:val="00033B43"/>
  </w:style>
  <w:style w:type="numbering" w:customStyle="1" w:styleId="Sinlista311113">
    <w:name w:val="Sin lista311113"/>
    <w:next w:val="Sinlista"/>
    <w:uiPriority w:val="99"/>
    <w:semiHidden/>
    <w:unhideWhenUsed/>
    <w:rsid w:val="00033B43"/>
  </w:style>
  <w:style w:type="numbering" w:customStyle="1" w:styleId="Sinlista411113">
    <w:name w:val="Sin lista411113"/>
    <w:next w:val="Sinlista"/>
    <w:uiPriority w:val="99"/>
    <w:semiHidden/>
    <w:unhideWhenUsed/>
    <w:rsid w:val="00033B43"/>
  </w:style>
  <w:style w:type="numbering" w:customStyle="1" w:styleId="Sinlista511113">
    <w:name w:val="Sin lista511113"/>
    <w:next w:val="Sinlista"/>
    <w:uiPriority w:val="99"/>
    <w:semiHidden/>
    <w:unhideWhenUsed/>
    <w:rsid w:val="00033B43"/>
  </w:style>
  <w:style w:type="numbering" w:customStyle="1" w:styleId="Sinlista712">
    <w:name w:val="Sin lista712"/>
    <w:next w:val="Sinlista"/>
    <w:uiPriority w:val="99"/>
    <w:semiHidden/>
    <w:unhideWhenUsed/>
    <w:rsid w:val="00033B43"/>
  </w:style>
  <w:style w:type="numbering" w:customStyle="1" w:styleId="Sinlista1312">
    <w:name w:val="Sin lista1312"/>
    <w:next w:val="Sinlista"/>
    <w:uiPriority w:val="99"/>
    <w:semiHidden/>
    <w:unhideWhenUsed/>
    <w:rsid w:val="00033B43"/>
  </w:style>
  <w:style w:type="numbering" w:customStyle="1" w:styleId="Sinlista2312">
    <w:name w:val="Sin lista2312"/>
    <w:next w:val="Sinlista"/>
    <w:uiPriority w:val="99"/>
    <w:semiHidden/>
    <w:unhideWhenUsed/>
    <w:rsid w:val="00033B43"/>
  </w:style>
  <w:style w:type="numbering" w:customStyle="1" w:styleId="Sinlista3312">
    <w:name w:val="Sin lista3312"/>
    <w:next w:val="Sinlista"/>
    <w:uiPriority w:val="99"/>
    <w:semiHidden/>
    <w:unhideWhenUsed/>
    <w:rsid w:val="00033B43"/>
  </w:style>
  <w:style w:type="numbering" w:customStyle="1" w:styleId="Sinlista4312">
    <w:name w:val="Sin lista4312"/>
    <w:next w:val="Sinlista"/>
    <w:uiPriority w:val="99"/>
    <w:semiHidden/>
    <w:unhideWhenUsed/>
    <w:rsid w:val="00033B43"/>
  </w:style>
  <w:style w:type="numbering" w:customStyle="1" w:styleId="Sinlista5312">
    <w:name w:val="Sin lista5312"/>
    <w:next w:val="Sinlista"/>
    <w:uiPriority w:val="99"/>
    <w:semiHidden/>
    <w:unhideWhenUsed/>
    <w:rsid w:val="00033B43"/>
  </w:style>
  <w:style w:type="numbering" w:customStyle="1" w:styleId="Sinlista11212">
    <w:name w:val="Sin lista11212"/>
    <w:next w:val="Sinlista"/>
    <w:uiPriority w:val="99"/>
    <w:semiHidden/>
    <w:unhideWhenUsed/>
    <w:rsid w:val="00033B43"/>
  </w:style>
  <w:style w:type="numbering" w:customStyle="1" w:styleId="Sinlista21212">
    <w:name w:val="Sin lista21212"/>
    <w:next w:val="Sinlista"/>
    <w:uiPriority w:val="99"/>
    <w:semiHidden/>
    <w:unhideWhenUsed/>
    <w:rsid w:val="00033B43"/>
  </w:style>
  <w:style w:type="numbering" w:customStyle="1" w:styleId="Sinlista31212">
    <w:name w:val="Sin lista31212"/>
    <w:next w:val="Sinlista"/>
    <w:uiPriority w:val="99"/>
    <w:semiHidden/>
    <w:unhideWhenUsed/>
    <w:rsid w:val="00033B43"/>
  </w:style>
  <w:style w:type="numbering" w:customStyle="1" w:styleId="Sinlista41212">
    <w:name w:val="Sin lista41212"/>
    <w:next w:val="Sinlista"/>
    <w:uiPriority w:val="99"/>
    <w:semiHidden/>
    <w:unhideWhenUsed/>
    <w:rsid w:val="00033B43"/>
  </w:style>
  <w:style w:type="numbering" w:customStyle="1" w:styleId="Sinlista51212">
    <w:name w:val="Sin lista51212"/>
    <w:next w:val="Sinlista"/>
    <w:uiPriority w:val="99"/>
    <w:semiHidden/>
    <w:unhideWhenUsed/>
    <w:rsid w:val="00033B43"/>
  </w:style>
  <w:style w:type="numbering" w:customStyle="1" w:styleId="Sinlista6112">
    <w:name w:val="Sin lista6112"/>
    <w:next w:val="Sinlista"/>
    <w:uiPriority w:val="99"/>
    <w:semiHidden/>
    <w:unhideWhenUsed/>
    <w:rsid w:val="00033B43"/>
  </w:style>
  <w:style w:type="numbering" w:customStyle="1" w:styleId="Sinlista12112">
    <w:name w:val="Sin lista12112"/>
    <w:next w:val="Sinlista"/>
    <w:uiPriority w:val="99"/>
    <w:semiHidden/>
    <w:unhideWhenUsed/>
    <w:rsid w:val="00033B43"/>
  </w:style>
  <w:style w:type="numbering" w:customStyle="1" w:styleId="Sinlista111212">
    <w:name w:val="Sin lista111212"/>
    <w:next w:val="Sinlista"/>
    <w:uiPriority w:val="99"/>
    <w:semiHidden/>
    <w:unhideWhenUsed/>
    <w:rsid w:val="00033B43"/>
  </w:style>
  <w:style w:type="numbering" w:customStyle="1" w:styleId="Sinlista22112">
    <w:name w:val="Sin lista22112"/>
    <w:next w:val="Sinlista"/>
    <w:uiPriority w:val="99"/>
    <w:semiHidden/>
    <w:unhideWhenUsed/>
    <w:rsid w:val="00033B43"/>
  </w:style>
  <w:style w:type="numbering" w:customStyle="1" w:styleId="Sinlista32112">
    <w:name w:val="Sin lista32112"/>
    <w:next w:val="Sinlista"/>
    <w:uiPriority w:val="99"/>
    <w:semiHidden/>
    <w:unhideWhenUsed/>
    <w:rsid w:val="00033B43"/>
  </w:style>
  <w:style w:type="numbering" w:customStyle="1" w:styleId="Sinlista42112">
    <w:name w:val="Sin lista42112"/>
    <w:next w:val="Sinlista"/>
    <w:uiPriority w:val="99"/>
    <w:semiHidden/>
    <w:unhideWhenUsed/>
    <w:rsid w:val="00033B43"/>
  </w:style>
  <w:style w:type="numbering" w:customStyle="1" w:styleId="Sinlista52112">
    <w:name w:val="Sin lista52112"/>
    <w:next w:val="Sinlista"/>
    <w:uiPriority w:val="99"/>
    <w:semiHidden/>
    <w:unhideWhenUsed/>
    <w:rsid w:val="00033B43"/>
  </w:style>
  <w:style w:type="numbering" w:customStyle="1" w:styleId="Sinlista1111212">
    <w:name w:val="Sin lista1111212"/>
    <w:next w:val="Sinlista"/>
    <w:uiPriority w:val="99"/>
    <w:semiHidden/>
    <w:unhideWhenUsed/>
    <w:rsid w:val="00033B43"/>
  </w:style>
  <w:style w:type="numbering" w:customStyle="1" w:styleId="Sinlista211212">
    <w:name w:val="Sin lista211212"/>
    <w:next w:val="Sinlista"/>
    <w:uiPriority w:val="99"/>
    <w:semiHidden/>
    <w:unhideWhenUsed/>
    <w:rsid w:val="00033B43"/>
  </w:style>
  <w:style w:type="numbering" w:customStyle="1" w:styleId="Sinlista311212">
    <w:name w:val="Sin lista311212"/>
    <w:next w:val="Sinlista"/>
    <w:uiPriority w:val="99"/>
    <w:semiHidden/>
    <w:unhideWhenUsed/>
    <w:rsid w:val="00033B43"/>
  </w:style>
  <w:style w:type="numbering" w:customStyle="1" w:styleId="Sinlista411212">
    <w:name w:val="Sin lista411212"/>
    <w:next w:val="Sinlista"/>
    <w:uiPriority w:val="99"/>
    <w:semiHidden/>
    <w:unhideWhenUsed/>
    <w:rsid w:val="00033B43"/>
  </w:style>
  <w:style w:type="numbering" w:customStyle="1" w:styleId="Sinlista511212">
    <w:name w:val="Sin lista511212"/>
    <w:next w:val="Sinlista"/>
    <w:uiPriority w:val="99"/>
    <w:semiHidden/>
    <w:unhideWhenUsed/>
    <w:rsid w:val="00033B43"/>
  </w:style>
  <w:style w:type="numbering" w:customStyle="1" w:styleId="Sinlista11111112">
    <w:name w:val="Sin lista11111112"/>
    <w:next w:val="Sinlista"/>
    <w:uiPriority w:val="99"/>
    <w:semiHidden/>
    <w:unhideWhenUsed/>
    <w:rsid w:val="00033B43"/>
  </w:style>
  <w:style w:type="numbering" w:customStyle="1" w:styleId="Sinlista2111112">
    <w:name w:val="Sin lista2111112"/>
    <w:next w:val="Sinlista"/>
    <w:uiPriority w:val="99"/>
    <w:semiHidden/>
    <w:unhideWhenUsed/>
    <w:rsid w:val="00033B43"/>
  </w:style>
  <w:style w:type="numbering" w:customStyle="1" w:styleId="Sinlista3111112">
    <w:name w:val="Sin lista3111112"/>
    <w:next w:val="Sinlista"/>
    <w:uiPriority w:val="99"/>
    <w:semiHidden/>
    <w:unhideWhenUsed/>
    <w:rsid w:val="00033B43"/>
  </w:style>
  <w:style w:type="numbering" w:customStyle="1" w:styleId="Sinlista4111112">
    <w:name w:val="Sin lista4111112"/>
    <w:next w:val="Sinlista"/>
    <w:uiPriority w:val="99"/>
    <w:semiHidden/>
    <w:unhideWhenUsed/>
    <w:rsid w:val="00033B43"/>
  </w:style>
  <w:style w:type="numbering" w:customStyle="1" w:styleId="Sinlista5111112">
    <w:name w:val="Sin lista5111112"/>
    <w:next w:val="Sinlista"/>
    <w:uiPriority w:val="99"/>
    <w:semiHidden/>
    <w:unhideWhenUsed/>
    <w:rsid w:val="00033B43"/>
  </w:style>
  <w:style w:type="numbering" w:customStyle="1" w:styleId="Sinlista82">
    <w:name w:val="Sin lista82"/>
    <w:next w:val="Sinlista"/>
    <w:uiPriority w:val="99"/>
    <w:semiHidden/>
    <w:unhideWhenUsed/>
    <w:rsid w:val="00033B43"/>
  </w:style>
  <w:style w:type="numbering" w:customStyle="1" w:styleId="Sinlista142">
    <w:name w:val="Sin lista142"/>
    <w:next w:val="Sinlista"/>
    <w:uiPriority w:val="99"/>
    <w:semiHidden/>
    <w:unhideWhenUsed/>
    <w:rsid w:val="00033B43"/>
  </w:style>
  <w:style w:type="numbering" w:customStyle="1" w:styleId="Sinlista242">
    <w:name w:val="Sin lista242"/>
    <w:next w:val="Sinlista"/>
    <w:uiPriority w:val="99"/>
    <w:semiHidden/>
    <w:unhideWhenUsed/>
    <w:rsid w:val="00033B43"/>
  </w:style>
  <w:style w:type="numbering" w:customStyle="1" w:styleId="Sinlista342">
    <w:name w:val="Sin lista342"/>
    <w:next w:val="Sinlista"/>
    <w:uiPriority w:val="99"/>
    <w:semiHidden/>
    <w:unhideWhenUsed/>
    <w:rsid w:val="00033B43"/>
  </w:style>
  <w:style w:type="numbering" w:customStyle="1" w:styleId="Sinlista442">
    <w:name w:val="Sin lista442"/>
    <w:next w:val="Sinlista"/>
    <w:uiPriority w:val="99"/>
    <w:semiHidden/>
    <w:unhideWhenUsed/>
    <w:rsid w:val="00033B43"/>
  </w:style>
  <w:style w:type="numbering" w:customStyle="1" w:styleId="Sinlista542">
    <w:name w:val="Sin lista542"/>
    <w:next w:val="Sinlista"/>
    <w:uiPriority w:val="99"/>
    <w:semiHidden/>
    <w:unhideWhenUsed/>
    <w:rsid w:val="00033B43"/>
  </w:style>
  <w:style w:type="numbering" w:customStyle="1" w:styleId="Sinlista1132">
    <w:name w:val="Sin lista1132"/>
    <w:next w:val="Sinlista"/>
    <w:uiPriority w:val="99"/>
    <w:semiHidden/>
    <w:unhideWhenUsed/>
    <w:rsid w:val="00033B43"/>
  </w:style>
  <w:style w:type="numbering" w:customStyle="1" w:styleId="Sinlista2132">
    <w:name w:val="Sin lista2132"/>
    <w:next w:val="Sinlista"/>
    <w:uiPriority w:val="99"/>
    <w:semiHidden/>
    <w:unhideWhenUsed/>
    <w:rsid w:val="00033B43"/>
  </w:style>
  <w:style w:type="numbering" w:customStyle="1" w:styleId="Sinlista3132">
    <w:name w:val="Sin lista3132"/>
    <w:next w:val="Sinlista"/>
    <w:uiPriority w:val="99"/>
    <w:semiHidden/>
    <w:unhideWhenUsed/>
    <w:rsid w:val="00033B43"/>
  </w:style>
  <w:style w:type="numbering" w:customStyle="1" w:styleId="Sinlista4132">
    <w:name w:val="Sin lista4132"/>
    <w:next w:val="Sinlista"/>
    <w:uiPriority w:val="99"/>
    <w:semiHidden/>
    <w:unhideWhenUsed/>
    <w:rsid w:val="00033B43"/>
  </w:style>
  <w:style w:type="numbering" w:customStyle="1" w:styleId="Sinlista5132">
    <w:name w:val="Sin lista5132"/>
    <w:next w:val="Sinlista"/>
    <w:uiPriority w:val="99"/>
    <w:semiHidden/>
    <w:unhideWhenUsed/>
    <w:rsid w:val="00033B43"/>
  </w:style>
  <w:style w:type="numbering" w:customStyle="1" w:styleId="Sinlista622">
    <w:name w:val="Sin lista622"/>
    <w:next w:val="Sinlista"/>
    <w:uiPriority w:val="99"/>
    <w:semiHidden/>
    <w:unhideWhenUsed/>
    <w:rsid w:val="00033B43"/>
  </w:style>
  <w:style w:type="numbering" w:customStyle="1" w:styleId="Sinlista1222">
    <w:name w:val="Sin lista1222"/>
    <w:next w:val="Sinlista"/>
    <w:uiPriority w:val="99"/>
    <w:semiHidden/>
    <w:unhideWhenUsed/>
    <w:rsid w:val="00033B43"/>
  </w:style>
  <w:style w:type="numbering" w:customStyle="1" w:styleId="Sinlista11132">
    <w:name w:val="Sin lista11132"/>
    <w:next w:val="Sinlista"/>
    <w:uiPriority w:val="99"/>
    <w:semiHidden/>
    <w:unhideWhenUsed/>
    <w:rsid w:val="00033B43"/>
  </w:style>
  <w:style w:type="numbering" w:customStyle="1" w:styleId="Sinlista2222">
    <w:name w:val="Sin lista2222"/>
    <w:next w:val="Sinlista"/>
    <w:uiPriority w:val="99"/>
    <w:semiHidden/>
    <w:unhideWhenUsed/>
    <w:rsid w:val="00033B43"/>
  </w:style>
  <w:style w:type="numbering" w:customStyle="1" w:styleId="Sinlista3222">
    <w:name w:val="Sin lista3222"/>
    <w:next w:val="Sinlista"/>
    <w:uiPriority w:val="99"/>
    <w:semiHidden/>
    <w:unhideWhenUsed/>
    <w:rsid w:val="00033B43"/>
  </w:style>
  <w:style w:type="numbering" w:customStyle="1" w:styleId="Sinlista4222">
    <w:name w:val="Sin lista4222"/>
    <w:next w:val="Sinlista"/>
    <w:uiPriority w:val="99"/>
    <w:semiHidden/>
    <w:unhideWhenUsed/>
    <w:rsid w:val="00033B43"/>
  </w:style>
  <w:style w:type="numbering" w:customStyle="1" w:styleId="Sinlista5222">
    <w:name w:val="Sin lista5222"/>
    <w:next w:val="Sinlista"/>
    <w:uiPriority w:val="99"/>
    <w:semiHidden/>
    <w:unhideWhenUsed/>
    <w:rsid w:val="00033B43"/>
  </w:style>
  <w:style w:type="numbering" w:customStyle="1" w:styleId="Sinlista111132">
    <w:name w:val="Sin lista111132"/>
    <w:next w:val="Sinlista"/>
    <w:uiPriority w:val="99"/>
    <w:semiHidden/>
    <w:unhideWhenUsed/>
    <w:rsid w:val="00033B43"/>
  </w:style>
  <w:style w:type="numbering" w:customStyle="1" w:styleId="Sinlista21132">
    <w:name w:val="Sin lista21132"/>
    <w:next w:val="Sinlista"/>
    <w:uiPriority w:val="99"/>
    <w:semiHidden/>
    <w:unhideWhenUsed/>
    <w:rsid w:val="00033B43"/>
  </w:style>
  <w:style w:type="numbering" w:customStyle="1" w:styleId="Sinlista31132">
    <w:name w:val="Sin lista31132"/>
    <w:next w:val="Sinlista"/>
    <w:uiPriority w:val="99"/>
    <w:semiHidden/>
    <w:unhideWhenUsed/>
    <w:rsid w:val="00033B43"/>
  </w:style>
  <w:style w:type="numbering" w:customStyle="1" w:styleId="Sinlista41132">
    <w:name w:val="Sin lista41132"/>
    <w:next w:val="Sinlista"/>
    <w:uiPriority w:val="99"/>
    <w:semiHidden/>
    <w:unhideWhenUsed/>
    <w:rsid w:val="00033B43"/>
  </w:style>
  <w:style w:type="numbering" w:customStyle="1" w:styleId="Sinlista51132">
    <w:name w:val="Sin lista51132"/>
    <w:next w:val="Sinlista"/>
    <w:uiPriority w:val="99"/>
    <w:semiHidden/>
    <w:unhideWhenUsed/>
    <w:rsid w:val="00033B43"/>
  </w:style>
  <w:style w:type="numbering" w:customStyle="1" w:styleId="Sinlista1111122">
    <w:name w:val="Sin lista1111122"/>
    <w:next w:val="Sinlista"/>
    <w:uiPriority w:val="99"/>
    <w:semiHidden/>
    <w:unhideWhenUsed/>
    <w:rsid w:val="00033B43"/>
  </w:style>
  <w:style w:type="numbering" w:customStyle="1" w:styleId="Sinlista211122">
    <w:name w:val="Sin lista211122"/>
    <w:next w:val="Sinlista"/>
    <w:uiPriority w:val="99"/>
    <w:semiHidden/>
    <w:unhideWhenUsed/>
    <w:rsid w:val="00033B43"/>
  </w:style>
  <w:style w:type="numbering" w:customStyle="1" w:styleId="Sinlista311122">
    <w:name w:val="Sin lista311122"/>
    <w:next w:val="Sinlista"/>
    <w:uiPriority w:val="99"/>
    <w:semiHidden/>
    <w:unhideWhenUsed/>
    <w:rsid w:val="00033B43"/>
  </w:style>
  <w:style w:type="numbering" w:customStyle="1" w:styleId="Sinlista411122">
    <w:name w:val="Sin lista411122"/>
    <w:next w:val="Sinlista"/>
    <w:uiPriority w:val="99"/>
    <w:semiHidden/>
    <w:unhideWhenUsed/>
    <w:rsid w:val="00033B43"/>
  </w:style>
  <w:style w:type="numbering" w:customStyle="1" w:styleId="Sinlista511122">
    <w:name w:val="Sin lista511122"/>
    <w:next w:val="Sinlista"/>
    <w:uiPriority w:val="99"/>
    <w:semiHidden/>
    <w:unhideWhenUsed/>
    <w:rsid w:val="00033B43"/>
  </w:style>
  <w:style w:type="numbering" w:customStyle="1" w:styleId="Sinlista92">
    <w:name w:val="Sin lista92"/>
    <w:next w:val="Sinlista"/>
    <w:uiPriority w:val="99"/>
    <w:semiHidden/>
    <w:unhideWhenUsed/>
    <w:rsid w:val="00033B43"/>
  </w:style>
  <w:style w:type="numbering" w:customStyle="1" w:styleId="Sinlista152">
    <w:name w:val="Sin lista152"/>
    <w:next w:val="Sinlista"/>
    <w:uiPriority w:val="99"/>
    <w:semiHidden/>
    <w:unhideWhenUsed/>
    <w:rsid w:val="00033B43"/>
  </w:style>
  <w:style w:type="numbering" w:customStyle="1" w:styleId="Sinlista252">
    <w:name w:val="Sin lista252"/>
    <w:next w:val="Sinlista"/>
    <w:uiPriority w:val="99"/>
    <w:semiHidden/>
    <w:unhideWhenUsed/>
    <w:rsid w:val="00033B43"/>
  </w:style>
  <w:style w:type="numbering" w:customStyle="1" w:styleId="Sinlista352">
    <w:name w:val="Sin lista352"/>
    <w:next w:val="Sinlista"/>
    <w:uiPriority w:val="99"/>
    <w:semiHidden/>
    <w:unhideWhenUsed/>
    <w:rsid w:val="00033B43"/>
  </w:style>
  <w:style w:type="numbering" w:customStyle="1" w:styleId="Sinlista452">
    <w:name w:val="Sin lista452"/>
    <w:next w:val="Sinlista"/>
    <w:uiPriority w:val="99"/>
    <w:semiHidden/>
    <w:unhideWhenUsed/>
    <w:rsid w:val="00033B43"/>
  </w:style>
  <w:style w:type="numbering" w:customStyle="1" w:styleId="Sinlista552">
    <w:name w:val="Sin lista552"/>
    <w:next w:val="Sinlista"/>
    <w:uiPriority w:val="99"/>
    <w:semiHidden/>
    <w:unhideWhenUsed/>
    <w:rsid w:val="00033B43"/>
  </w:style>
  <w:style w:type="numbering" w:customStyle="1" w:styleId="Sinlista1142">
    <w:name w:val="Sin lista1142"/>
    <w:next w:val="Sinlista"/>
    <w:uiPriority w:val="99"/>
    <w:semiHidden/>
    <w:unhideWhenUsed/>
    <w:rsid w:val="00033B43"/>
  </w:style>
  <w:style w:type="numbering" w:customStyle="1" w:styleId="Sinlista2142">
    <w:name w:val="Sin lista2142"/>
    <w:next w:val="Sinlista"/>
    <w:uiPriority w:val="99"/>
    <w:semiHidden/>
    <w:unhideWhenUsed/>
    <w:rsid w:val="00033B43"/>
  </w:style>
  <w:style w:type="numbering" w:customStyle="1" w:styleId="Sinlista3142">
    <w:name w:val="Sin lista3142"/>
    <w:next w:val="Sinlista"/>
    <w:uiPriority w:val="99"/>
    <w:semiHidden/>
    <w:unhideWhenUsed/>
    <w:rsid w:val="00033B43"/>
  </w:style>
  <w:style w:type="numbering" w:customStyle="1" w:styleId="Sinlista4142">
    <w:name w:val="Sin lista4142"/>
    <w:next w:val="Sinlista"/>
    <w:uiPriority w:val="99"/>
    <w:semiHidden/>
    <w:unhideWhenUsed/>
    <w:rsid w:val="00033B43"/>
  </w:style>
  <w:style w:type="numbering" w:customStyle="1" w:styleId="Sinlista5142">
    <w:name w:val="Sin lista5142"/>
    <w:next w:val="Sinlista"/>
    <w:uiPriority w:val="99"/>
    <w:semiHidden/>
    <w:unhideWhenUsed/>
    <w:rsid w:val="00033B43"/>
  </w:style>
  <w:style w:type="numbering" w:customStyle="1" w:styleId="Sinlista632">
    <w:name w:val="Sin lista632"/>
    <w:next w:val="Sinlista"/>
    <w:uiPriority w:val="99"/>
    <w:semiHidden/>
    <w:unhideWhenUsed/>
    <w:rsid w:val="00033B43"/>
  </w:style>
  <w:style w:type="numbering" w:customStyle="1" w:styleId="Sinlista1232">
    <w:name w:val="Sin lista1232"/>
    <w:next w:val="Sinlista"/>
    <w:uiPriority w:val="99"/>
    <w:semiHidden/>
    <w:unhideWhenUsed/>
    <w:rsid w:val="00033B43"/>
  </w:style>
  <w:style w:type="numbering" w:customStyle="1" w:styleId="Sinlista11142">
    <w:name w:val="Sin lista11142"/>
    <w:next w:val="Sinlista"/>
    <w:uiPriority w:val="99"/>
    <w:semiHidden/>
    <w:unhideWhenUsed/>
    <w:rsid w:val="00033B43"/>
  </w:style>
  <w:style w:type="numbering" w:customStyle="1" w:styleId="Sinlista2232">
    <w:name w:val="Sin lista2232"/>
    <w:next w:val="Sinlista"/>
    <w:uiPriority w:val="99"/>
    <w:semiHidden/>
    <w:unhideWhenUsed/>
    <w:rsid w:val="00033B43"/>
  </w:style>
  <w:style w:type="numbering" w:customStyle="1" w:styleId="Sinlista3232">
    <w:name w:val="Sin lista3232"/>
    <w:next w:val="Sinlista"/>
    <w:uiPriority w:val="99"/>
    <w:semiHidden/>
    <w:unhideWhenUsed/>
    <w:rsid w:val="00033B43"/>
  </w:style>
  <w:style w:type="numbering" w:customStyle="1" w:styleId="Sinlista4232">
    <w:name w:val="Sin lista4232"/>
    <w:next w:val="Sinlista"/>
    <w:uiPriority w:val="99"/>
    <w:semiHidden/>
    <w:unhideWhenUsed/>
    <w:rsid w:val="00033B43"/>
  </w:style>
  <w:style w:type="numbering" w:customStyle="1" w:styleId="Sinlista5232">
    <w:name w:val="Sin lista5232"/>
    <w:next w:val="Sinlista"/>
    <w:uiPriority w:val="99"/>
    <w:semiHidden/>
    <w:unhideWhenUsed/>
    <w:rsid w:val="00033B43"/>
  </w:style>
  <w:style w:type="numbering" w:customStyle="1" w:styleId="Sinlista111142">
    <w:name w:val="Sin lista111142"/>
    <w:next w:val="Sinlista"/>
    <w:uiPriority w:val="99"/>
    <w:semiHidden/>
    <w:unhideWhenUsed/>
    <w:rsid w:val="00033B43"/>
  </w:style>
  <w:style w:type="numbering" w:customStyle="1" w:styleId="Sinlista21142">
    <w:name w:val="Sin lista21142"/>
    <w:next w:val="Sinlista"/>
    <w:uiPriority w:val="99"/>
    <w:semiHidden/>
    <w:unhideWhenUsed/>
    <w:rsid w:val="00033B43"/>
  </w:style>
  <w:style w:type="numbering" w:customStyle="1" w:styleId="Sinlista31142">
    <w:name w:val="Sin lista31142"/>
    <w:next w:val="Sinlista"/>
    <w:uiPriority w:val="99"/>
    <w:semiHidden/>
    <w:unhideWhenUsed/>
    <w:rsid w:val="00033B43"/>
  </w:style>
  <w:style w:type="numbering" w:customStyle="1" w:styleId="Sinlista41142">
    <w:name w:val="Sin lista41142"/>
    <w:next w:val="Sinlista"/>
    <w:uiPriority w:val="99"/>
    <w:semiHidden/>
    <w:unhideWhenUsed/>
    <w:rsid w:val="00033B43"/>
  </w:style>
  <w:style w:type="numbering" w:customStyle="1" w:styleId="Sinlista51142">
    <w:name w:val="Sin lista51142"/>
    <w:next w:val="Sinlista"/>
    <w:uiPriority w:val="99"/>
    <w:semiHidden/>
    <w:unhideWhenUsed/>
    <w:rsid w:val="00033B43"/>
  </w:style>
  <w:style w:type="numbering" w:customStyle="1" w:styleId="Sinlista1111132">
    <w:name w:val="Sin lista1111132"/>
    <w:next w:val="Sinlista"/>
    <w:uiPriority w:val="99"/>
    <w:semiHidden/>
    <w:unhideWhenUsed/>
    <w:rsid w:val="00033B43"/>
  </w:style>
  <w:style w:type="numbering" w:customStyle="1" w:styleId="Sinlista211132">
    <w:name w:val="Sin lista211132"/>
    <w:next w:val="Sinlista"/>
    <w:uiPriority w:val="99"/>
    <w:semiHidden/>
    <w:unhideWhenUsed/>
    <w:rsid w:val="00033B43"/>
  </w:style>
  <w:style w:type="numbering" w:customStyle="1" w:styleId="Sinlista311132">
    <w:name w:val="Sin lista311132"/>
    <w:next w:val="Sinlista"/>
    <w:uiPriority w:val="99"/>
    <w:semiHidden/>
    <w:unhideWhenUsed/>
    <w:rsid w:val="00033B43"/>
  </w:style>
  <w:style w:type="numbering" w:customStyle="1" w:styleId="Sinlista411132">
    <w:name w:val="Sin lista411132"/>
    <w:next w:val="Sinlista"/>
    <w:uiPriority w:val="99"/>
    <w:semiHidden/>
    <w:unhideWhenUsed/>
    <w:rsid w:val="00033B43"/>
  </w:style>
  <w:style w:type="numbering" w:customStyle="1" w:styleId="Sinlista511132">
    <w:name w:val="Sin lista511132"/>
    <w:next w:val="Sinlista"/>
    <w:uiPriority w:val="99"/>
    <w:semiHidden/>
    <w:unhideWhenUsed/>
    <w:rsid w:val="00033B43"/>
  </w:style>
  <w:style w:type="numbering" w:customStyle="1" w:styleId="Estiloimportado112">
    <w:name w:val="Estilo importado 112"/>
    <w:rsid w:val="00033B43"/>
    <w:pPr>
      <w:numPr>
        <w:numId w:val="4"/>
      </w:numPr>
    </w:pPr>
  </w:style>
  <w:style w:type="numbering" w:customStyle="1" w:styleId="Estiloimportado22">
    <w:name w:val="Estilo importado 22"/>
    <w:rsid w:val="00033B43"/>
    <w:pPr>
      <w:numPr>
        <w:numId w:val="5"/>
      </w:numPr>
    </w:pPr>
  </w:style>
  <w:style w:type="numbering" w:customStyle="1" w:styleId="Estiloimportado32">
    <w:name w:val="Estilo importado 32"/>
    <w:rsid w:val="00033B43"/>
    <w:pPr>
      <w:numPr>
        <w:numId w:val="6"/>
      </w:numPr>
    </w:pPr>
  </w:style>
  <w:style w:type="numbering" w:customStyle="1" w:styleId="Estiloimportado42">
    <w:name w:val="Estilo importado 42"/>
    <w:rsid w:val="00033B43"/>
    <w:pPr>
      <w:numPr>
        <w:numId w:val="7"/>
      </w:numPr>
    </w:pPr>
  </w:style>
  <w:style w:type="numbering" w:customStyle="1" w:styleId="Estiloimportado52">
    <w:name w:val="Estilo importado 52"/>
    <w:rsid w:val="00033B43"/>
    <w:pPr>
      <w:numPr>
        <w:numId w:val="8"/>
      </w:numPr>
    </w:pPr>
  </w:style>
  <w:style w:type="numbering" w:customStyle="1" w:styleId="Estiloimportado62">
    <w:name w:val="Estilo importado 62"/>
    <w:rsid w:val="00033B43"/>
    <w:pPr>
      <w:numPr>
        <w:numId w:val="9"/>
      </w:numPr>
    </w:pPr>
  </w:style>
  <w:style w:type="numbering" w:customStyle="1" w:styleId="Estiloimportado72">
    <w:name w:val="Estilo importado 72"/>
    <w:rsid w:val="00033B43"/>
    <w:pPr>
      <w:numPr>
        <w:numId w:val="10"/>
      </w:numPr>
    </w:pPr>
  </w:style>
  <w:style w:type="numbering" w:customStyle="1" w:styleId="Estiloimportado82">
    <w:name w:val="Estilo importado 82"/>
    <w:rsid w:val="00033B43"/>
    <w:pPr>
      <w:numPr>
        <w:numId w:val="11"/>
      </w:numPr>
    </w:pPr>
  </w:style>
  <w:style w:type="numbering" w:customStyle="1" w:styleId="Estiloimportado92">
    <w:name w:val="Estilo importado 92"/>
    <w:rsid w:val="00033B43"/>
    <w:pPr>
      <w:numPr>
        <w:numId w:val="12"/>
      </w:numPr>
    </w:pPr>
  </w:style>
  <w:style w:type="numbering" w:customStyle="1" w:styleId="Estiloimportado102">
    <w:name w:val="Estilo importado 102"/>
    <w:rsid w:val="00033B43"/>
    <w:pPr>
      <w:numPr>
        <w:numId w:val="13"/>
      </w:numPr>
    </w:pPr>
  </w:style>
  <w:style w:type="numbering" w:customStyle="1" w:styleId="Estiloimportado113">
    <w:name w:val="Estilo importado 113"/>
    <w:rsid w:val="00033B43"/>
    <w:pPr>
      <w:numPr>
        <w:numId w:val="14"/>
      </w:numPr>
    </w:pPr>
  </w:style>
  <w:style w:type="numbering" w:customStyle="1" w:styleId="Estiloimportado122">
    <w:name w:val="Estilo importado 122"/>
    <w:rsid w:val="00033B43"/>
    <w:pPr>
      <w:numPr>
        <w:numId w:val="15"/>
      </w:numPr>
    </w:pPr>
  </w:style>
  <w:style w:type="numbering" w:customStyle="1" w:styleId="Estiloimportado132">
    <w:name w:val="Estilo importado 132"/>
    <w:rsid w:val="00033B43"/>
    <w:pPr>
      <w:numPr>
        <w:numId w:val="16"/>
      </w:numPr>
    </w:pPr>
  </w:style>
  <w:style w:type="numbering" w:customStyle="1" w:styleId="Estiloimportado142">
    <w:name w:val="Estilo importado 142"/>
    <w:rsid w:val="00033B43"/>
    <w:pPr>
      <w:numPr>
        <w:numId w:val="17"/>
      </w:numPr>
    </w:pPr>
  </w:style>
  <w:style w:type="numbering" w:customStyle="1" w:styleId="Estiloimportado152">
    <w:name w:val="Estilo importado 152"/>
    <w:rsid w:val="00033B43"/>
    <w:pPr>
      <w:numPr>
        <w:numId w:val="18"/>
      </w:numPr>
    </w:pPr>
  </w:style>
  <w:style w:type="numbering" w:customStyle="1" w:styleId="Estiloimportado2032">
    <w:name w:val="Estilo importado 2032"/>
    <w:rsid w:val="00033B43"/>
    <w:pPr>
      <w:numPr>
        <w:numId w:val="19"/>
      </w:numPr>
    </w:pPr>
  </w:style>
  <w:style w:type="numbering" w:customStyle="1" w:styleId="Estiloimportado162">
    <w:name w:val="Estilo importado 162"/>
    <w:rsid w:val="00033B43"/>
    <w:pPr>
      <w:numPr>
        <w:numId w:val="20"/>
      </w:numPr>
    </w:pPr>
  </w:style>
  <w:style w:type="numbering" w:customStyle="1" w:styleId="Estiloimportado172">
    <w:name w:val="Estilo importado 172"/>
    <w:rsid w:val="00033B43"/>
    <w:pPr>
      <w:numPr>
        <w:numId w:val="21"/>
      </w:numPr>
    </w:pPr>
  </w:style>
  <w:style w:type="numbering" w:customStyle="1" w:styleId="Estiloimportado182">
    <w:name w:val="Estilo importado 182"/>
    <w:rsid w:val="00033B43"/>
    <w:pPr>
      <w:numPr>
        <w:numId w:val="22"/>
      </w:numPr>
    </w:pPr>
  </w:style>
  <w:style w:type="numbering" w:customStyle="1" w:styleId="Estiloimportado192">
    <w:name w:val="Estilo importado 192"/>
    <w:rsid w:val="00033B43"/>
    <w:pPr>
      <w:numPr>
        <w:numId w:val="23"/>
      </w:numPr>
    </w:pPr>
  </w:style>
  <w:style w:type="numbering" w:customStyle="1" w:styleId="Estiloimportado202">
    <w:name w:val="Estilo importado 202"/>
    <w:rsid w:val="00033B43"/>
    <w:pPr>
      <w:numPr>
        <w:numId w:val="24"/>
      </w:numPr>
    </w:pPr>
  </w:style>
  <w:style w:type="numbering" w:customStyle="1" w:styleId="Sinlista101">
    <w:name w:val="Sin lista101"/>
    <w:next w:val="Sinlista"/>
    <w:uiPriority w:val="99"/>
    <w:semiHidden/>
    <w:unhideWhenUsed/>
    <w:rsid w:val="00033B43"/>
  </w:style>
  <w:style w:type="numbering" w:customStyle="1" w:styleId="Sinlista161">
    <w:name w:val="Sin lista161"/>
    <w:next w:val="Sinlista"/>
    <w:uiPriority w:val="99"/>
    <w:semiHidden/>
    <w:unhideWhenUsed/>
    <w:rsid w:val="00033B43"/>
  </w:style>
  <w:style w:type="numbering" w:customStyle="1" w:styleId="Sinlista261">
    <w:name w:val="Sin lista261"/>
    <w:next w:val="Sinlista"/>
    <w:uiPriority w:val="99"/>
    <w:semiHidden/>
    <w:unhideWhenUsed/>
    <w:rsid w:val="00033B43"/>
  </w:style>
  <w:style w:type="numbering" w:customStyle="1" w:styleId="Sinlista361">
    <w:name w:val="Sin lista361"/>
    <w:next w:val="Sinlista"/>
    <w:uiPriority w:val="99"/>
    <w:semiHidden/>
    <w:unhideWhenUsed/>
    <w:rsid w:val="00033B43"/>
  </w:style>
  <w:style w:type="numbering" w:customStyle="1" w:styleId="Sinlista461">
    <w:name w:val="Sin lista461"/>
    <w:next w:val="Sinlista"/>
    <w:uiPriority w:val="99"/>
    <w:semiHidden/>
    <w:unhideWhenUsed/>
    <w:rsid w:val="00033B43"/>
  </w:style>
  <w:style w:type="numbering" w:customStyle="1" w:styleId="Sinlista561">
    <w:name w:val="Sin lista561"/>
    <w:next w:val="Sinlista"/>
    <w:uiPriority w:val="99"/>
    <w:semiHidden/>
    <w:unhideWhenUsed/>
    <w:rsid w:val="00033B43"/>
  </w:style>
  <w:style w:type="numbering" w:customStyle="1" w:styleId="Sinlista1151">
    <w:name w:val="Sin lista1151"/>
    <w:next w:val="Sinlista"/>
    <w:uiPriority w:val="99"/>
    <w:semiHidden/>
    <w:unhideWhenUsed/>
    <w:rsid w:val="00033B43"/>
  </w:style>
  <w:style w:type="numbering" w:customStyle="1" w:styleId="Sinlista2151">
    <w:name w:val="Sin lista2151"/>
    <w:next w:val="Sinlista"/>
    <w:uiPriority w:val="99"/>
    <w:semiHidden/>
    <w:unhideWhenUsed/>
    <w:rsid w:val="00033B43"/>
  </w:style>
  <w:style w:type="numbering" w:customStyle="1" w:styleId="Sinlista3151">
    <w:name w:val="Sin lista3151"/>
    <w:next w:val="Sinlista"/>
    <w:uiPriority w:val="99"/>
    <w:semiHidden/>
    <w:unhideWhenUsed/>
    <w:rsid w:val="00033B43"/>
  </w:style>
  <w:style w:type="numbering" w:customStyle="1" w:styleId="Sinlista4151">
    <w:name w:val="Sin lista4151"/>
    <w:next w:val="Sinlista"/>
    <w:uiPriority w:val="99"/>
    <w:semiHidden/>
    <w:unhideWhenUsed/>
    <w:rsid w:val="00033B43"/>
  </w:style>
  <w:style w:type="numbering" w:customStyle="1" w:styleId="Sinlista5151">
    <w:name w:val="Sin lista5151"/>
    <w:next w:val="Sinlista"/>
    <w:uiPriority w:val="99"/>
    <w:semiHidden/>
    <w:unhideWhenUsed/>
    <w:rsid w:val="00033B43"/>
  </w:style>
  <w:style w:type="numbering" w:customStyle="1" w:styleId="Sinlista641">
    <w:name w:val="Sin lista641"/>
    <w:next w:val="Sinlista"/>
    <w:uiPriority w:val="99"/>
    <w:semiHidden/>
    <w:unhideWhenUsed/>
    <w:rsid w:val="00033B43"/>
  </w:style>
  <w:style w:type="numbering" w:customStyle="1" w:styleId="Sinlista1241">
    <w:name w:val="Sin lista1241"/>
    <w:next w:val="Sinlista"/>
    <w:uiPriority w:val="99"/>
    <w:semiHidden/>
    <w:unhideWhenUsed/>
    <w:rsid w:val="00033B43"/>
  </w:style>
  <w:style w:type="numbering" w:customStyle="1" w:styleId="Sinlista11151">
    <w:name w:val="Sin lista11151"/>
    <w:next w:val="Sinlista"/>
    <w:uiPriority w:val="99"/>
    <w:semiHidden/>
    <w:unhideWhenUsed/>
    <w:rsid w:val="00033B43"/>
  </w:style>
  <w:style w:type="numbering" w:customStyle="1" w:styleId="Sinlista2241">
    <w:name w:val="Sin lista2241"/>
    <w:next w:val="Sinlista"/>
    <w:uiPriority w:val="99"/>
    <w:semiHidden/>
    <w:unhideWhenUsed/>
    <w:rsid w:val="00033B43"/>
  </w:style>
  <w:style w:type="numbering" w:customStyle="1" w:styleId="Sinlista3241">
    <w:name w:val="Sin lista3241"/>
    <w:next w:val="Sinlista"/>
    <w:uiPriority w:val="99"/>
    <w:semiHidden/>
    <w:unhideWhenUsed/>
    <w:rsid w:val="00033B43"/>
  </w:style>
  <w:style w:type="numbering" w:customStyle="1" w:styleId="Sinlista4241">
    <w:name w:val="Sin lista4241"/>
    <w:next w:val="Sinlista"/>
    <w:uiPriority w:val="99"/>
    <w:semiHidden/>
    <w:unhideWhenUsed/>
    <w:rsid w:val="00033B43"/>
  </w:style>
  <w:style w:type="numbering" w:customStyle="1" w:styleId="Sinlista5241">
    <w:name w:val="Sin lista5241"/>
    <w:next w:val="Sinlista"/>
    <w:uiPriority w:val="99"/>
    <w:semiHidden/>
    <w:unhideWhenUsed/>
    <w:rsid w:val="00033B43"/>
  </w:style>
  <w:style w:type="numbering" w:customStyle="1" w:styleId="Sinlista111151">
    <w:name w:val="Sin lista111151"/>
    <w:next w:val="Sinlista"/>
    <w:uiPriority w:val="99"/>
    <w:semiHidden/>
    <w:unhideWhenUsed/>
    <w:rsid w:val="00033B43"/>
  </w:style>
  <w:style w:type="numbering" w:customStyle="1" w:styleId="Sinlista21151">
    <w:name w:val="Sin lista21151"/>
    <w:next w:val="Sinlista"/>
    <w:uiPriority w:val="99"/>
    <w:semiHidden/>
    <w:unhideWhenUsed/>
    <w:rsid w:val="00033B43"/>
  </w:style>
  <w:style w:type="numbering" w:customStyle="1" w:styleId="Sinlista31151">
    <w:name w:val="Sin lista31151"/>
    <w:next w:val="Sinlista"/>
    <w:uiPriority w:val="99"/>
    <w:semiHidden/>
    <w:unhideWhenUsed/>
    <w:rsid w:val="00033B43"/>
  </w:style>
  <w:style w:type="numbering" w:customStyle="1" w:styleId="Sinlista41151">
    <w:name w:val="Sin lista41151"/>
    <w:next w:val="Sinlista"/>
    <w:uiPriority w:val="99"/>
    <w:semiHidden/>
    <w:unhideWhenUsed/>
    <w:rsid w:val="00033B43"/>
  </w:style>
  <w:style w:type="numbering" w:customStyle="1" w:styleId="Sinlista51151">
    <w:name w:val="Sin lista51151"/>
    <w:next w:val="Sinlista"/>
    <w:uiPriority w:val="99"/>
    <w:semiHidden/>
    <w:unhideWhenUsed/>
    <w:rsid w:val="00033B43"/>
  </w:style>
  <w:style w:type="numbering" w:customStyle="1" w:styleId="Sinlista1111141">
    <w:name w:val="Sin lista1111141"/>
    <w:next w:val="Sinlista"/>
    <w:uiPriority w:val="99"/>
    <w:semiHidden/>
    <w:unhideWhenUsed/>
    <w:rsid w:val="00033B43"/>
  </w:style>
  <w:style w:type="numbering" w:customStyle="1" w:styleId="Sinlista211141">
    <w:name w:val="Sin lista211141"/>
    <w:next w:val="Sinlista"/>
    <w:uiPriority w:val="99"/>
    <w:semiHidden/>
    <w:unhideWhenUsed/>
    <w:rsid w:val="00033B43"/>
  </w:style>
  <w:style w:type="numbering" w:customStyle="1" w:styleId="Sinlista311141">
    <w:name w:val="Sin lista311141"/>
    <w:next w:val="Sinlista"/>
    <w:uiPriority w:val="99"/>
    <w:semiHidden/>
    <w:unhideWhenUsed/>
    <w:rsid w:val="00033B43"/>
  </w:style>
  <w:style w:type="numbering" w:customStyle="1" w:styleId="Sinlista411141">
    <w:name w:val="Sin lista411141"/>
    <w:next w:val="Sinlista"/>
    <w:uiPriority w:val="99"/>
    <w:semiHidden/>
    <w:unhideWhenUsed/>
    <w:rsid w:val="00033B43"/>
  </w:style>
  <w:style w:type="numbering" w:customStyle="1" w:styleId="Sinlista511141">
    <w:name w:val="Sin lista511141"/>
    <w:next w:val="Sinlista"/>
    <w:uiPriority w:val="99"/>
    <w:semiHidden/>
    <w:unhideWhenUsed/>
    <w:rsid w:val="00033B43"/>
  </w:style>
  <w:style w:type="numbering" w:customStyle="1" w:styleId="Sinlista721">
    <w:name w:val="Sin lista721"/>
    <w:next w:val="Sinlista"/>
    <w:uiPriority w:val="99"/>
    <w:semiHidden/>
    <w:unhideWhenUsed/>
    <w:rsid w:val="00033B43"/>
  </w:style>
  <w:style w:type="numbering" w:customStyle="1" w:styleId="Sinlista1321">
    <w:name w:val="Sin lista1321"/>
    <w:next w:val="Sinlista"/>
    <w:uiPriority w:val="99"/>
    <w:semiHidden/>
    <w:unhideWhenUsed/>
    <w:rsid w:val="00033B43"/>
  </w:style>
  <w:style w:type="numbering" w:customStyle="1" w:styleId="Sinlista2321">
    <w:name w:val="Sin lista2321"/>
    <w:next w:val="Sinlista"/>
    <w:uiPriority w:val="99"/>
    <w:semiHidden/>
    <w:unhideWhenUsed/>
    <w:rsid w:val="00033B43"/>
  </w:style>
  <w:style w:type="numbering" w:customStyle="1" w:styleId="Sinlista3321">
    <w:name w:val="Sin lista3321"/>
    <w:next w:val="Sinlista"/>
    <w:uiPriority w:val="99"/>
    <w:semiHidden/>
    <w:unhideWhenUsed/>
    <w:rsid w:val="00033B43"/>
  </w:style>
  <w:style w:type="numbering" w:customStyle="1" w:styleId="Sinlista4321">
    <w:name w:val="Sin lista4321"/>
    <w:next w:val="Sinlista"/>
    <w:uiPriority w:val="99"/>
    <w:semiHidden/>
    <w:unhideWhenUsed/>
    <w:rsid w:val="00033B43"/>
  </w:style>
  <w:style w:type="numbering" w:customStyle="1" w:styleId="Sinlista5321">
    <w:name w:val="Sin lista5321"/>
    <w:next w:val="Sinlista"/>
    <w:uiPriority w:val="99"/>
    <w:semiHidden/>
    <w:unhideWhenUsed/>
    <w:rsid w:val="00033B43"/>
  </w:style>
  <w:style w:type="numbering" w:customStyle="1" w:styleId="Sinlista11221">
    <w:name w:val="Sin lista11221"/>
    <w:next w:val="Sinlista"/>
    <w:uiPriority w:val="99"/>
    <w:semiHidden/>
    <w:unhideWhenUsed/>
    <w:rsid w:val="00033B43"/>
  </w:style>
  <w:style w:type="numbering" w:customStyle="1" w:styleId="Sinlista21221">
    <w:name w:val="Sin lista21221"/>
    <w:next w:val="Sinlista"/>
    <w:uiPriority w:val="99"/>
    <w:semiHidden/>
    <w:unhideWhenUsed/>
    <w:rsid w:val="00033B43"/>
  </w:style>
  <w:style w:type="numbering" w:customStyle="1" w:styleId="Sinlista31221">
    <w:name w:val="Sin lista31221"/>
    <w:next w:val="Sinlista"/>
    <w:uiPriority w:val="99"/>
    <w:semiHidden/>
    <w:unhideWhenUsed/>
    <w:rsid w:val="00033B43"/>
  </w:style>
  <w:style w:type="numbering" w:customStyle="1" w:styleId="Sinlista41221">
    <w:name w:val="Sin lista41221"/>
    <w:next w:val="Sinlista"/>
    <w:uiPriority w:val="99"/>
    <w:semiHidden/>
    <w:unhideWhenUsed/>
    <w:rsid w:val="00033B43"/>
  </w:style>
  <w:style w:type="numbering" w:customStyle="1" w:styleId="Sinlista51221">
    <w:name w:val="Sin lista51221"/>
    <w:next w:val="Sinlista"/>
    <w:uiPriority w:val="99"/>
    <w:semiHidden/>
    <w:unhideWhenUsed/>
    <w:rsid w:val="00033B43"/>
  </w:style>
  <w:style w:type="numbering" w:customStyle="1" w:styleId="Sinlista6121">
    <w:name w:val="Sin lista6121"/>
    <w:next w:val="Sinlista"/>
    <w:uiPriority w:val="99"/>
    <w:semiHidden/>
    <w:unhideWhenUsed/>
    <w:rsid w:val="00033B43"/>
  </w:style>
  <w:style w:type="numbering" w:customStyle="1" w:styleId="Sinlista12121">
    <w:name w:val="Sin lista12121"/>
    <w:next w:val="Sinlista"/>
    <w:uiPriority w:val="99"/>
    <w:semiHidden/>
    <w:unhideWhenUsed/>
    <w:rsid w:val="00033B43"/>
  </w:style>
  <w:style w:type="numbering" w:customStyle="1" w:styleId="Sinlista111221">
    <w:name w:val="Sin lista111221"/>
    <w:next w:val="Sinlista"/>
    <w:uiPriority w:val="99"/>
    <w:semiHidden/>
    <w:unhideWhenUsed/>
    <w:rsid w:val="00033B43"/>
  </w:style>
  <w:style w:type="numbering" w:customStyle="1" w:styleId="Sinlista22121">
    <w:name w:val="Sin lista22121"/>
    <w:next w:val="Sinlista"/>
    <w:uiPriority w:val="99"/>
    <w:semiHidden/>
    <w:unhideWhenUsed/>
    <w:rsid w:val="00033B43"/>
  </w:style>
  <w:style w:type="numbering" w:customStyle="1" w:styleId="Sinlista32121">
    <w:name w:val="Sin lista32121"/>
    <w:next w:val="Sinlista"/>
    <w:uiPriority w:val="99"/>
    <w:semiHidden/>
    <w:unhideWhenUsed/>
    <w:rsid w:val="00033B43"/>
  </w:style>
  <w:style w:type="numbering" w:customStyle="1" w:styleId="Sinlista42121">
    <w:name w:val="Sin lista42121"/>
    <w:next w:val="Sinlista"/>
    <w:uiPriority w:val="99"/>
    <w:semiHidden/>
    <w:unhideWhenUsed/>
    <w:rsid w:val="00033B43"/>
  </w:style>
  <w:style w:type="numbering" w:customStyle="1" w:styleId="Sinlista52121">
    <w:name w:val="Sin lista52121"/>
    <w:next w:val="Sinlista"/>
    <w:uiPriority w:val="99"/>
    <w:semiHidden/>
    <w:unhideWhenUsed/>
    <w:rsid w:val="00033B43"/>
  </w:style>
  <w:style w:type="numbering" w:customStyle="1" w:styleId="Sinlista1111221">
    <w:name w:val="Sin lista1111221"/>
    <w:next w:val="Sinlista"/>
    <w:uiPriority w:val="99"/>
    <w:semiHidden/>
    <w:unhideWhenUsed/>
    <w:rsid w:val="00033B43"/>
  </w:style>
  <w:style w:type="numbering" w:customStyle="1" w:styleId="Sinlista211221">
    <w:name w:val="Sin lista211221"/>
    <w:next w:val="Sinlista"/>
    <w:uiPriority w:val="99"/>
    <w:semiHidden/>
    <w:unhideWhenUsed/>
    <w:rsid w:val="00033B43"/>
  </w:style>
  <w:style w:type="numbering" w:customStyle="1" w:styleId="Sinlista311221">
    <w:name w:val="Sin lista311221"/>
    <w:next w:val="Sinlista"/>
    <w:uiPriority w:val="99"/>
    <w:semiHidden/>
    <w:unhideWhenUsed/>
    <w:rsid w:val="00033B43"/>
  </w:style>
  <w:style w:type="numbering" w:customStyle="1" w:styleId="Sinlista411221">
    <w:name w:val="Sin lista411221"/>
    <w:next w:val="Sinlista"/>
    <w:uiPriority w:val="99"/>
    <w:semiHidden/>
    <w:unhideWhenUsed/>
    <w:rsid w:val="00033B43"/>
  </w:style>
  <w:style w:type="numbering" w:customStyle="1" w:styleId="Sinlista511221">
    <w:name w:val="Sin lista511221"/>
    <w:next w:val="Sinlista"/>
    <w:uiPriority w:val="99"/>
    <w:semiHidden/>
    <w:unhideWhenUsed/>
    <w:rsid w:val="00033B43"/>
  </w:style>
  <w:style w:type="numbering" w:customStyle="1" w:styleId="Sinlista11111121">
    <w:name w:val="Sin lista11111121"/>
    <w:next w:val="Sinlista"/>
    <w:uiPriority w:val="99"/>
    <w:semiHidden/>
    <w:unhideWhenUsed/>
    <w:rsid w:val="00033B43"/>
  </w:style>
  <w:style w:type="numbering" w:customStyle="1" w:styleId="Sinlista2111121">
    <w:name w:val="Sin lista2111121"/>
    <w:next w:val="Sinlista"/>
    <w:uiPriority w:val="99"/>
    <w:semiHidden/>
    <w:unhideWhenUsed/>
    <w:rsid w:val="00033B43"/>
  </w:style>
  <w:style w:type="numbering" w:customStyle="1" w:styleId="Sinlista3111121">
    <w:name w:val="Sin lista3111121"/>
    <w:next w:val="Sinlista"/>
    <w:uiPriority w:val="99"/>
    <w:semiHidden/>
    <w:unhideWhenUsed/>
    <w:rsid w:val="00033B43"/>
  </w:style>
  <w:style w:type="numbering" w:customStyle="1" w:styleId="Sinlista4111121">
    <w:name w:val="Sin lista4111121"/>
    <w:next w:val="Sinlista"/>
    <w:uiPriority w:val="99"/>
    <w:semiHidden/>
    <w:unhideWhenUsed/>
    <w:rsid w:val="00033B43"/>
  </w:style>
  <w:style w:type="numbering" w:customStyle="1" w:styleId="Sinlista5111121">
    <w:name w:val="Sin lista5111121"/>
    <w:next w:val="Sinlista"/>
    <w:uiPriority w:val="99"/>
    <w:semiHidden/>
    <w:unhideWhenUsed/>
    <w:rsid w:val="00033B43"/>
  </w:style>
  <w:style w:type="numbering" w:customStyle="1" w:styleId="Sinlista811">
    <w:name w:val="Sin lista811"/>
    <w:next w:val="Sinlista"/>
    <w:uiPriority w:val="99"/>
    <w:semiHidden/>
    <w:unhideWhenUsed/>
    <w:rsid w:val="00033B43"/>
  </w:style>
  <w:style w:type="numbering" w:customStyle="1" w:styleId="Sinlista1411">
    <w:name w:val="Sin lista1411"/>
    <w:next w:val="Sinlista"/>
    <w:uiPriority w:val="99"/>
    <w:semiHidden/>
    <w:unhideWhenUsed/>
    <w:rsid w:val="00033B43"/>
  </w:style>
  <w:style w:type="numbering" w:customStyle="1" w:styleId="Sinlista2411">
    <w:name w:val="Sin lista2411"/>
    <w:next w:val="Sinlista"/>
    <w:uiPriority w:val="99"/>
    <w:semiHidden/>
    <w:unhideWhenUsed/>
    <w:rsid w:val="00033B43"/>
  </w:style>
  <w:style w:type="numbering" w:customStyle="1" w:styleId="Sinlista3411">
    <w:name w:val="Sin lista3411"/>
    <w:next w:val="Sinlista"/>
    <w:uiPriority w:val="99"/>
    <w:semiHidden/>
    <w:unhideWhenUsed/>
    <w:rsid w:val="00033B43"/>
  </w:style>
  <w:style w:type="numbering" w:customStyle="1" w:styleId="Sinlista4411">
    <w:name w:val="Sin lista4411"/>
    <w:next w:val="Sinlista"/>
    <w:uiPriority w:val="99"/>
    <w:semiHidden/>
    <w:unhideWhenUsed/>
    <w:rsid w:val="00033B43"/>
  </w:style>
  <w:style w:type="numbering" w:customStyle="1" w:styleId="Sinlista5411">
    <w:name w:val="Sin lista5411"/>
    <w:next w:val="Sinlista"/>
    <w:uiPriority w:val="99"/>
    <w:semiHidden/>
    <w:unhideWhenUsed/>
    <w:rsid w:val="00033B43"/>
  </w:style>
  <w:style w:type="numbering" w:customStyle="1" w:styleId="Sinlista11311">
    <w:name w:val="Sin lista11311"/>
    <w:next w:val="Sinlista"/>
    <w:uiPriority w:val="99"/>
    <w:semiHidden/>
    <w:unhideWhenUsed/>
    <w:rsid w:val="00033B43"/>
  </w:style>
  <w:style w:type="numbering" w:customStyle="1" w:styleId="Sinlista21311">
    <w:name w:val="Sin lista21311"/>
    <w:next w:val="Sinlista"/>
    <w:uiPriority w:val="99"/>
    <w:semiHidden/>
    <w:unhideWhenUsed/>
    <w:rsid w:val="00033B43"/>
  </w:style>
  <w:style w:type="numbering" w:customStyle="1" w:styleId="Sinlista31311">
    <w:name w:val="Sin lista31311"/>
    <w:next w:val="Sinlista"/>
    <w:uiPriority w:val="99"/>
    <w:semiHidden/>
    <w:unhideWhenUsed/>
    <w:rsid w:val="00033B43"/>
  </w:style>
  <w:style w:type="numbering" w:customStyle="1" w:styleId="Sinlista41311">
    <w:name w:val="Sin lista41311"/>
    <w:next w:val="Sinlista"/>
    <w:uiPriority w:val="99"/>
    <w:semiHidden/>
    <w:unhideWhenUsed/>
    <w:rsid w:val="00033B43"/>
  </w:style>
  <w:style w:type="numbering" w:customStyle="1" w:styleId="Sinlista51311">
    <w:name w:val="Sin lista51311"/>
    <w:next w:val="Sinlista"/>
    <w:uiPriority w:val="99"/>
    <w:semiHidden/>
    <w:unhideWhenUsed/>
    <w:rsid w:val="00033B43"/>
  </w:style>
  <w:style w:type="numbering" w:customStyle="1" w:styleId="Sinlista6211">
    <w:name w:val="Sin lista6211"/>
    <w:next w:val="Sinlista"/>
    <w:uiPriority w:val="99"/>
    <w:semiHidden/>
    <w:unhideWhenUsed/>
    <w:rsid w:val="00033B43"/>
  </w:style>
  <w:style w:type="numbering" w:customStyle="1" w:styleId="Sinlista12211">
    <w:name w:val="Sin lista12211"/>
    <w:next w:val="Sinlista"/>
    <w:uiPriority w:val="99"/>
    <w:semiHidden/>
    <w:unhideWhenUsed/>
    <w:rsid w:val="00033B43"/>
  </w:style>
  <w:style w:type="numbering" w:customStyle="1" w:styleId="Sinlista111311">
    <w:name w:val="Sin lista111311"/>
    <w:next w:val="Sinlista"/>
    <w:uiPriority w:val="99"/>
    <w:semiHidden/>
    <w:unhideWhenUsed/>
    <w:rsid w:val="00033B43"/>
  </w:style>
  <w:style w:type="numbering" w:customStyle="1" w:styleId="Sinlista22211">
    <w:name w:val="Sin lista22211"/>
    <w:next w:val="Sinlista"/>
    <w:uiPriority w:val="99"/>
    <w:semiHidden/>
    <w:unhideWhenUsed/>
    <w:rsid w:val="00033B43"/>
  </w:style>
  <w:style w:type="numbering" w:customStyle="1" w:styleId="Sinlista32211">
    <w:name w:val="Sin lista32211"/>
    <w:next w:val="Sinlista"/>
    <w:uiPriority w:val="99"/>
    <w:semiHidden/>
    <w:unhideWhenUsed/>
    <w:rsid w:val="00033B43"/>
  </w:style>
  <w:style w:type="numbering" w:customStyle="1" w:styleId="Sinlista42211">
    <w:name w:val="Sin lista42211"/>
    <w:next w:val="Sinlista"/>
    <w:uiPriority w:val="99"/>
    <w:semiHidden/>
    <w:unhideWhenUsed/>
    <w:rsid w:val="00033B43"/>
  </w:style>
  <w:style w:type="numbering" w:customStyle="1" w:styleId="Sinlista52211">
    <w:name w:val="Sin lista52211"/>
    <w:next w:val="Sinlista"/>
    <w:uiPriority w:val="99"/>
    <w:semiHidden/>
    <w:unhideWhenUsed/>
    <w:rsid w:val="00033B43"/>
  </w:style>
  <w:style w:type="numbering" w:customStyle="1" w:styleId="Sinlista1111311">
    <w:name w:val="Sin lista1111311"/>
    <w:next w:val="Sinlista"/>
    <w:uiPriority w:val="99"/>
    <w:semiHidden/>
    <w:unhideWhenUsed/>
    <w:rsid w:val="00033B43"/>
  </w:style>
  <w:style w:type="numbering" w:customStyle="1" w:styleId="Sinlista211311">
    <w:name w:val="Sin lista211311"/>
    <w:next w:val="Sinlista"/>
    <w:uiPriority w:val="99"/>
    <w:semiHidden/>
    <w:unhideWhenUsed/>
    <w:rsid w:val="00033B43"/>
  </w:style>
  <w:style w:type="numbering" w:customStyle="1" w:styleId="Sinlista311311">
    <w:name w:val="Sin lista311311"/>
    <w:next w:val="Sinlista"/>
    <w:uiPriority w:val="99"/>
    <w:semiHidden/>
    <w:unhideWhenUsed/>
    <w:rsid w:val="00033B43"/>
  </w:style>
  <w:style w:type="numbering" w:customStyle="1" w:styleId="Sinlista411311">
    <w:name w:val="Sin lista411311"/>
    <w:next w:val="Sinlista"/>
    <w:uiPriority w:val="99"/>
    <w:semiHidden/>
    <w:unhideWhenUsed/>
    <w:rsid w:val="00033B43"/>
  </w:style>
  <w:style w:type="numbering" w:customStyle="1" w:styleId="Sinlista511311">
    <w:name w:val="Sin lista511311"/>
    <w:next w:val="Sinlista"/>
    <w:uiPriority w:val="99"/>
    <w:semiHidden/>
    <w:unhideWhenUsed/>
    <w:rsid w:val="00033B43"/>
  </w:style>
  <w:style w:type="numbering" w:customStyle="1" w:styleId="Sinlista11111211">
    <w:name w:val="Sin lista11111211"/>
    <w:next w:val="Sinlista"/>
    <w:uiPriority w:val="99"/>
    <w:semiHidden/>
    <w:unhideWhenUsed/>
    <w:rsid w:val="00033B43"/>
  </w:style>
  <w:style w:type="numbering" w:customStyle="1" w:styleId="Sinlista2111211">
    <w:name w:val="Sin lista2111211"/>
    <w:next w:val="Sinlista"/>
    <w:uiPriority w:val="99"/>
    <w:semiHidden/>
    <w:unhideWhenUsed/>
    <w:rsid w:val="00033B43"/>
  </w:style>
  <w:style w:type="numbering" w:customStyle="1" w:styleId="Sinlista3111211">
    <w:name w:val="Sin lista3111211"/>
    <w:next w:val="Sinlista"/>
    <w:uiPriority w:val="99"/>
    <w:semiHidden/>
    <w:unhideWhenUsed/>
    <w:rsid w:val="00033B43"/>
  </w:style>
  <w:style w:type="numbering" w:customStyle="1" w:styleId="Sinlista4111211">
    <w:name w:val="Sin lista4111211"/>
    <w:next w:val="Sinlista"/>
    <w:uiPriority w:val="99"/>
    <w:semiHidden/>
    <w:unhideWhenUsed/>
    <w:rsid w:val="00033B43"/>
  </w:style>
  <w:style w:type="numbering" w:customStyle="1" w:styleId="Sinlista5111211">
    <w:name w:val="Sin lista5111211"/>
    <w:next w:val="Sinlista"/>
    <w:uiPriority w:val="99"/>
    <w:semiHidden/>
    <w:unhideWhenUsed/>
    <w:rsid w:val="00033B43"/>
  </w:style>
  <w:style w:type="numbering" w:customStyle="1" w:styleId="Sinlista911">
    <w:name w:val="Sin lista911"/>
    <w:next w:val="Sinlista"/>
    <w:uiPriority w:val="99"/>
    <w:semiHidden/>
    <w:unhideWhenUsed/>
    <w:rsid w:val="00033B43"/>
  </w:style>
  <w:style w:type="numbering" w:customStyle="1" w:styleId="Sinlista1511">
    <w:name w:val="Sin lista1511"/>
    <w:next w:val="Sinlista"/>
    <w:uiPriority w:val="99"/>
    <w:semiHidden/>
    <w:unhideWhenUsed/>
    <w:rsid w:val="00033B43"/>
  </w:style>
  <w:style w:type="numbering" w:customStyle="1" w:styleId="Sinlista2511">
    <w:name w:val="Sin lista2511"/>
    <w:next w:val="Sinlista"/>
    <w:uiPriority w:val="99"/>
    <w:semiHidden/>
    <w:unhideWhenUsed/>
    <w:rsid w:val="00033B43"/>
  </w:style>
  <w:style w:type="numbering" w:customStyle="1" w:styleId="Sinlista3511">
    <w:name w:val="Sin lista3511"/>
    <w:next w:val="Sinlista"/>
    <w:uiPriority w:val="99"/>
    <w:semiHidden/>
    <w:unhideWhenUsed/>
    <w:rsid w:val="00033B43"/>
  </w:style>
  <w:style w:type="numbering" w:customStyle="1" w:styleId="Sinlista4511">
    <w:name w:val="Sin lista4511"/>
    <w:next w:val="Sinlista"/>
    <w:uiPriority w:val="99"/>
    <w:semiHidden/>
    <w:unhideWhenUsed/>
    <w:rsid w:val="00033B43"/>
  </w:style>
  <w:style w:type="numbering" w:customStyle="1" w:styleId="Sinlista5511">
    <w:name w:val="Sin lista5511"/>
    <w:next w:val="Sinlista"/>
    <w:uiPriority w:val="99"/>
    <w:semiHidden/>
    <w:unhideWhenUsed/>
    <w:rsid w:val="00033B43"/>
  </w:style>
  <w:style w:type="numbering" w:customStyle="1" w:styleId="Sinlista11411">
    <w:name w:val="Sin lista11411"/>
    <w:next w:val="Sinlista"/>
    <w:uiPriority w:val="99"/>
    <w:semiHidden/>
    <w:unhideWhenUsed/>
    <w:rsid w:val="00033B43"/>
  </w:style>
  <w:style w:type="numbering" w:customStyle="1" w:styleId="Sinlista21411">
    <w:name w:val="Sin lista21411"/>
    <w:next w:val="Sinlista"/>
    <w:uiPriority w:val="99"/>
    <w:semiHidden/>
    <w:unhideWhenUsed/>
    <w:rsid w:val="00033B43"/>
  </w:style>
  <w:style w:type="numbering" w:customStyle="1" w:styleId="Sinlista31411">
    <w:name w:val="Sin lista31411"/>
    <w:next w:val="Sinlista"/>
    <w:uiPriority w:val="99"/>
    <w:semiHidden/>
    <w:unhideWhenUsed/>
    <w:rsid w:val="00033B43"/>
  </w:style>
  <w:style w:type="numbering" w:customStyle="1" w:styleId="Sinlista41411">
    <w:name w:val="Sin lista41411"/>
    <w:next w:val="Sinlista"/>
    <w:uiPriority w:val="99"/>
    <w:semiHidden/>
    <w:unhideWhenUsed/>
    <w:rsid w:val="00033B43"/>
  </w:style>
  <w:style w:type="numbering" w:customStyle="1" w:styleId="Sinlista51411">
    <w:name w:val="Sin lista51411"/>
    <w:next w:val="Sinlista"/>
    <w:uiPriority w:val="99"/>
    <w:semiHidden/>
    <w:unhideWhenUsed/>
    <w:rsid w:val="00033B43"/>
  </w:style>
  <w:style w:type="numbering" w:customStyle="1" w:styleId="Sinlista6311">
    <w:name w:val="Sin lista6311"/>
    <w:next w:val="Sinlista"/>
    <w:uiPriority w:val="99"/>
    <w:semiHidden/>
    <w:unhideWhenUsed/>
    <w:rsid w:val="00033B43"/>
  </w:style>
  <w:style w:type="numbering" w:customStyle="1" w:styleId="Sinlista12311">
    <w:name w:val="Sin lista12311"/>
    <w:next w:val="Sinlista"/>
    <w:uiPriority w:val="99"/>
    <w:semiHidden/>
    <w:unhideWhenUsed/>
    <w:rsid w:val="00033B43"/>
  </w:style>
  <w:style w:type="numbering" w:customStyle="1" w:styleId="Sinlista111411">
    <w:name w:val="Sin lista111411"/>
    <w:next w:val="Sinlista"/>
    <w:uiPriority w:val="99"/>
    <w:semiHidden/>
    <w:unhideWhenUsed/>
    <w:rsid w:val="00033B43"/>
  </w:style>
  <w:style w:type="numbering" w:customStyle="1" w:styleId="Sinlista22311">
    <w:name w:val="Sin lista22311"/>
    <w:next w:val="Sinlista"/>
    <w:uiPriority w:val="99"/>
    <w:semiHidden/>
    <w:unhideWhenUsed/>
    <w:rsid w:val="00033B43"/>
  </w:style>
  <w:style w:type="numbering" w:customStyle="1" w:styleId="Sinlista32311">
    <w:name w:val="Sin lista32311"/>
    <w:next w:val="Sinlista"/>
    <w:uiPriority w:val="99"/>
    <w:semiHidden/>
    <w:unhideWhenUsed/>
    <w:rsid w:val="00033B43"/>
  </w:style>
  <w:style w:type="numbering" w:customStyle="1" w:styleId="Sinlista42311">
    <w:name w:val="Sin lista42311"/>
    <w:next w:val="Sinlista"/>
    <w:uiPriority w:val="99"/>
    <w:semiHidden/>
    <w:unhideWhenUsed/>
    <w:rsid w:val="00033B43"/>
  </w:style>
  <w:style w:type="numbering" w:customStyle="1" w:styleId="Sinlista52311">
    <w:name w:val="Sin lista52311"/>
    <w:next w:val="Sinlista"/>
    <w:uiPriority w:val="99"/>
    <w:semiHidden/>
    <w:unhideWhenUsed/>
    <w:rsid w:val="00033B43"/>
  </w:style>
  <w:style w:type="numbering" w:customStyle="1" w:styleId="Sinlista1111411">
    <w:name w:val="Sin lista1111411"/>
    <w:next w:val="Sinlista"/>
    <w:uiPriority w:val="99"/>
    <w:semiHidden/>
    <w:unhideWhenUsed/>
    <w:rsid w:val="00033B43"/>
  </w:style>
  <w:style w:type="numbering" w:customStyle="1" w:styleId="Sinlista211411">
    <w:name w:val="Sin lista211411"/>
    <w:next w:val="Sinlista"/>
    <w:uiPriority w:val="99"/>
    <w:semiHidden/>
    <w:unhideWhenUsed/>
    <w:rsid w:val="00033B43"/>
  </w:style>
  <w:style w:type="numbering" w:customStyle="1" w:styleId="Sinlista311411">
    <w:name w:val="Sin lista311411"/>
    <w:next w:val="Sinlista"/>
    <w:uiPriority w:val="99"/>
    <w:semiHidden/>
    <w:unhideWhenUsed/>
    <w:rsid w:val="00033B43"/>
  </w:style>
  <w:style w:type="numbering" w:customStyle="1" w:styleId="Sinlista411411">
    <w:name w:val="Sin lista411411"/>
    <w:next w:val="Sinlista"/>
    <w:uiPriority w:val="99"/>
    <w:semiHidden/>
    <w:unhideWhenUsed/>
    <w:rsid w:val="00033B43"/>
  </w:style>
  <w:style w:type="numbering" w:customStyle="1" w:styleId="Sinlista511411">
    <w:name w:val="Sin lista511411"/>
    <w:next w:val="Sinlista"/>
    <w:uiPriority w:val="99"/>
    <w:semiHidden/>
    <w:unhideWhenUsed/>
    <w:rsid w:val="00033B43"/>
  </w:style>
  <w:style w:type="numbering" w:customStyle="1" w:styleId="Sinlista11111311">
    <w:name w:val="Sin lista11111311"/>
    <w:next w:val="Sinlista"/>
    <w:uiPriority w:val="99"/>
    <w:semiHidden/>
    <w:unhideWhenUsed/>
    <w:rsid w:val="00033B43"/>
  </w:style>
  <w:style w:type="numbering" w:customStyle="1" w:styleId="Sinlista2111311">
    <w:name w:val="Sin lista2111311"/>
    <w:next w:val="Sinlista"/>
    <w:uiPriority w:val="99"/>
    <w:semiHidden/>
    <w:unhideWhenUsed/>
    <w:rsid w:val="00033B43"/>
  </w:style>
  <w:style w:type="numbering" w:customStyle="1" w:styleId="Sinlista3111311">
    <w:name w:val="Sin lista3111311"/>
    <w:next w:val="Sinlista"/>
    <w:uiPriority w:val="99"/>
    <w:semiHidden/>
    <w:unhideWhenUsed/>
    <w:rsid w:val="00033B43"/>
  </w:style>
  <w:style w:type="numbering" w:customStyle="1" w:styleId="Sinlista4111311">
    <w:name w:val="Sin lista4111311"/>
    <w:next w:val="Sinlista"/>
    <w:uiPriority w:val="99"/>
    <w:semiHidden/>
    <w:unhideWhenUsed/>
    <w:rsid w:val="00033B43"/>
  </w:style>
  <w:style w:type="numbering" w:customStyle="1" w:styleId="Sinlista5111311">
    <w:name w:val="Sin lista5111311"/>
    <w:next w:val="Sinlista"/>
    <w:uiPriority w:val="99"/>
    <w:semiHidden/>
    <w:unhideWhenUsed/>
    <w:rsid w:val="00033B43"/>
  </w:style>
  <w:style w:type="numbering" w:customStyle="1" w:styleId="Sinlista7111">
    <w:name w:val="Sin lista7111"/>
    <w:next w:val="Sinlista"/>
    <w:uiPriority w:val="99"/>
    <w:semiHidden/>
    <w:unhideWhenUsed/>
    <w:rsid w:val="00033B43"/>
  </w:style>
  <w:style w:type="numbering" w:customStyle="1" w:styleId="Sinlista13111">
    <w:name w:val="Sin lista13111"/>
    <w:next w:val="Sinlista"/>
    <w:uiPriority w:val="99"/>
    <w:semiHidden/>
    <w:unhideWhenUsed/>
    <w:rsid w:val="00033B43"/>
  </w:style>
  <w:style w:type="numbering" w:customStyle="1" w:styleId="Sinlista23111">
    <w:name w:val="Sin lista23111"/>
    <w:next w:val="Sinlista"/>
    <w:uiPriority w:val="99"/>
    <w:semiHidden/>
    <w:unhideWhenUsed/>
    <w:rsid w:val="00033B43"/>
  </w:style>
  <w:style w:type="numbering" w:customStyle="1" w:styleId="Sinlista33111">
    <w:name w:val="Sin lista33111"/>
    <w:next w:val="Sinlista"/>
    <w:uiPriority w:val="99"/>
    <w:semiHidden/>
    <w:unhideWhenUsed/>
    <w:rsid w:val="00033B43"/>
  </w:style>
  <w:style w:type="numbering" w:customStyle="1" w:styleId="Sinlista43111">
    <w:name w:val="Sin lista43111"/>
    <w:next w:val="Sinlista"/>
    <w:uiPriority w:val="99"/>
    <w:semiHidden/>
    <w:unhideWhenUsed/>
    <w:rsid w:val="00033B43"/>
  </w:style>
  <w:style w:type="numbering" w:customStyle="1" w:styleId="Sinlista53111">
    <w:name w:val="Sin lista53111"/>
    <w:next w:val="Sinlista"/>
    <w:uiPriority w:val="99"/>
    <w:semiHidden/>
    <w:unhideWhenUsed/>
    <w:rsid w:val="00033B43"/>
  </w:style>
  <w:style w:type="numbering" w:customStyle="1" w:styleId="Sinlista112111">
    <w:name w:val="Sin lista112111"/>
    <w:next w:val="Sinlista"/>
    <w:uiPriority w:val="99"/>
    <w:semiHidden/>
    <w:unhideWhenUsed/>
    <w:rsid w:val="00033B43"/>
  </w:style>
  <w:style w:type="numbering" w:customStyle="1" w:styleId="Sinlista212111">
    <w:name w:val="Sin lista212111"/>
    <w:next w:val="Sinlista"/>
    <w:uiPriority w:val="99"/>
    <w:semiHidden/>
    <w:unhideWhenUsed/>
    <w:rsid w:val="00033B43"/>
  </w:style>
  <w:style w:type="numbering" w:customStyle="1" w:styleId="Sinlista312111">
    <w:name w:val="Sin lista312111"/>
    <w:next w:val="Sinlista"/>
    <w:uiPriority w:val="99"/>
    <w:semiHidden/>
    <w:unhideWhenUsed/>
    <w:rsid w:val="00033B43"/>
  </w:style>
  <w:style w:type="numbering" w:customStyle="1" w:styleId="Sinlista412111">
    <w:name w:val="Sin lista412111"/>
    <w:next w:val="Sinlista"/>
    <w:uiPriority w:val="99"/>
    <w:semiHidden/>
    <w:unhideWhenUsed/>
    <w:rsid w:val="00033B43"/>
  </w:style>
  <w:style w:type="numbering" w:customStyle="1" w:styleId="Sinlista512111">
    <w:name w:val="Sin lista512111"/>
    <w:next w:val="Sinlista"/>
    <w:uiPriority w:val="99"/>
    <w:semiHidden/>
    <w:unhideWhenUsed/>
    <w:rsid w:val="00033B43"/>
  </w:style>
  <w:style w:type="numbering" w:customStyle="1" w:styleId="Sinlista61111">
    <w:name w:val="Sin lista61111"/>
    <w:next w:val="Sinlista"/>
    <w:uiPriority w:val="99"/>
    <w:semiHidden/>
    <w:unhideWhenUsed/>
    <w:rsid w:val="00033B43"/>
  </w:style>
  <w:style w:type="numbering" w:customStyle="1" w:styleId="Sinlista121111">
    <w:name w:val="Sin lista121111"/>
    <w:next w:val="Sinlista"/>
    <w:uiPriority w:val="99"/>
    <w:semiHidden/>
    <w:unhideWhenUsed/>
    <w:rsid w:val="00033B43"/>
  </w:style>
  <w:style w:type="numbering" w:customStyle="1" w:styleId="Sinlista1112111">
    <w:name w:val="Sin lista1112111"/>
    <w:next w:val="Sinlista"/>
    <w:uiPriority w:val="99"/>
    <w:semiHidden/>
    <w:unhideWhenUsed/>
    <w:rsid w:val="00033B43"/>
  </w:style>
  <w:style w:type="numbering" w:customStyle="1" w:styleId="Sinlista221111">
    <w:name w:val="Sin lista221111"/>
    <w:next w:val="Sinlista"/>
    <w:uiPriority w:val="99"/>
    <w:semiHidden/>
    <w:unhideWhenUsed/>
    <w:rsid w:val="00033B43"/>
  </w:style>
  <w:style w:type="numbering" w:customStyle="1" w:styleId="Sinlista321111">
    <w:name w:val="Sin lista321111"/>
    <w:next w:val="Sinlista"/>
    <w:uiPriority w:val="99"/>
    <w:semiHidden/>
    <w:unhideWhenUsed/>
    <w:rsid w:val="00033B43"/>
  </w:style>
  <w:style w:type="numbering" w:customStyle="1" w:styleId="Sinlista421111">
    <w:name w:val="Sin lista421111"/>
    <w:next w:val="Sinlista"/>
    <w:uiPriority w:val="99"/>
    <w:semiHidden/>
    <w:unhideWhenUsed/>
    <w:rsid w:val="00033B43"/>
  </w:style>
  <w:style w:type="numbering" w:customStyle="1" w:styleId="Sinlista521111">
    <w:name w:val="Sin lista521111"/>
    <w:next w:val="Sinlista"/>
    <w:uiPriority w:val="99"/>
    <w:semiHidden/>
    <w:unhideWhenUsed/>
    <w:rsid w:val="00033B43"/>
  </w:style>
  <w:style w:type="numbering" w:customStyle="1" w:styleId="Sinlista11112111">
    <w:name w:val="Sin lista11112111"/>
    <w:next w:val="Sinlista"/>
    <w:uiPriority w:val="99"/>
    <w:semiHidden/>
    <w:unhideWhenUsed/>
    <w:rsid w:val="00033B43"/>
  </w:style>
  <w:style w:type="numbering" w:customStyle="1" w:styleId="Sinlista2112111">
    <w:name w:val="Sin lista2112111"/>
    <w:next w:val="Sinlista"/>
    <w:uiPriority w:val="99"/>
    <w:semiHidden/>
    <w:unhideWhenUsed/>
    <w:rsid w:val="00033B43"/>
  </w:style>
  <w:style w:type="numbering" w:customStyle="1" w:styleId="Sinlista3112111">
    <w:name w:val="Sin lista3112111"/>
    <w:next w:val="Sinlista"/>
    <w:uiPriority w:val="99"/>
    <w:semiHidden/>
    <w:unhideWhenUsed/>
    <w:rsid w:val="00033B43"/>
  </w:style>
  <w:style w:type="numbering" w:customStyle="1" w:styleId="Sinlista4112111">
    <w:name w:val="Sin lista4112111"/>
    <w:next w:val="Sinlista"/>
    <w:uiPriority w:val="99"/>
    <w:semiHidden/>
    <w:unhideWhenUsed/>
    <w:rsid w:val="00033B43"/>
  </w:style>
  <w:style w:type="numbering" w:customStyle="1" w:styleId="Sinlista5112111">
    <w:name w:val="Sin lista5112111"/>
    <w:next w:val="Sinlista"/>
    <w:uiPriority w:val="99"/>
    <w:semiHidden/>
    <w:unhideWhenUsed/>
    <w:rsid w:val="00033B43"/>
  </w:style>
  <w:style w:type="numbering" w:customStyle="1" w:styleId="Sinlista111111111">
    <w:name w:val="Sin lista111111111"/>
    <w:next w:val="Sinlista"/>
    <w:uiPriority w:val="99"/>
    <w:semiHidden/>
    <w:unhideWhenUsed/>
    <w:rsid w:val="00033B43"/>
  </w:style>
  <w:style w:type="numbering" w:customStyle="1" w:styleId="Sinlista21111111">
    <w:name w:val="Sin lista21111111"/>
    <w:next w:val="Sinlista"/>
    <w:uiPriority w:val="99"/>
    <w:semiHidden/>
    <w:unhideWhenUsed/>
    <w:rsid w:val="00033B43"/>
  </w:style>
  <w:style w:type="numbering" w:customStyle="1" w:styleId="Sinlista31111111">
    <w:name w:val="Sin lista31111111"/>
    <w:next w:val="Sinlista"/>
    <w:uiPriority w:val="99"/>
    <w:semiHidden/>
    <w:unhideWhenUsed/>
    <w:rsid w:val="00033B43"/>
  </w:style>
  <w:style w:type="numbering" w:customStyle="1" w:styleId="Sinlista41111111">
    <w:name w:val="Sin lista41111111"/>
    <w:next w:val="Sinlista"/>
    <w:uiPriority w:val="99"/>
    <w:semiHidden/>
    <w:unhideWhenUsed/>
    <w:rsid w:val="00033B43"/>
  </w:style>
  <w:style w:type="numbering" w:customStyle="1" w:styleId="Sinlista51111111">
    <w:name w:val="Sin lista51111111"/>
    <w:next w:val="Sinlista"/>
    <w:uiPriority w:val="99"/>
    <w:semiHidden/>
    <w:unhideWhenUsed/>
    <w:rsid w:val="00033B43"/>
  </w:style>
  <w:style w:type="numbering" w:customStyle="1" w:styleId="Estiloimportado1101">
    <w:name w:val="Estilo importado 1101"/>
    <w:rsid w:val="00033B43"/>
  </w:style>
  <w:style w:type="numbering" w:customStyle="1" w:styleId="Estiloimportado211">
    <w:name w:val="Estilo importado 211"/>
    <w:rsid w:val="00033B43"/>
  </w:style>
  <w:style w:type="numbering" w:customStyle="1" w:styleId="Estiloimportado311">
    <w:name w:val="Estilo importado 311"/>
    <w:rsid w:val="00033B43"/>
  </w:style>
  <w:style w:type="numbering" w:customStyle="1" w:styleId="Estiloimportado411">
    <w:name w:val="Estilo importado 411"/>
    <w:rsid w:val="00033B43"/>
  </w:style>
  <w:style w:type="numbering" w:customStyle="1" w:styleId="Estiloimportado511">
    <w:name w:val="Estilo importado 511"/>
    <w:rsid w:val="00033B43"/>
  </w:style>
  <w:style w:type="numbering" w:customStyle="1" w:styleId="Estiloimportado611">
    <w:name w:val="Estilo importado 611"/>
    <w:rsid w:val="00033B43"/>
  </w:style>
  <w:style w:type="numbering" w:customStyle="1" w:styleId="Estiloimportado711">
    <w:name w:val="Estilo importado 711"/>
    <w:rsid w:val="00033B43"/>
  </w:style>
  <w:style w:type="numbering" w:customStyle="1" w:styleId="Estiloimportado811">
    <w:name w:val="Estilo importado 811"/>
    <w:rsid w:val="00033B43"/>
  </w:style>
  <w:style w:type="numbering" w:customStyle="1" w:styleId="Estiloimportado911">
    <w:name w:val="Estilo importado 911"/>
    <w:rsid w:val="00033B43"/>
  </w:style>
  <w:style w:type="numbering" w:customStyle="1" w:styleId="Estiloimportado1011">
    <w:name w:val="Estilo importado 1011"/>
    <w:rsid w:val="00033B43"/>
  </w:style>
  <w:style w:type="numbering" w:customStyle="1" w:styleId="Estiloimportado1111">
    <w:name w:val="Estilo importado 1111"/>
    <w:rsid w:val="00033B43"/>
  </w:style>
  <w:style w:type="numbering" w:customStyle="1" w:styleId="Estiloimportado1211">
    <w:name w:val="Estilo importado 1211"/>
    <w:rsid w:val="00033B43"/>
  </w:style>
  <w:style w:type="numbering" w:customStyle="1" w:styleId="Estiloimportado1311">
    <w:name w:val="Estilo importado 1311"/>
    <w:rsid w:val="00033B43"/>
  </w:style>
  <w:style w:type="numbering" w:customStyle="1" w:styleId="Estiloimportado1411">
    <w:name w:val="Estilo importado 1411"/>
    <w:rsid w:val="00033B43"/>
  </w:style>
  <w:style w:type="numbering" w:customStyle="1" w:styleId="Estiloimportado1511">
    <w:name w:val="Estilo importado 1511"/>
    <w:rsid w:val="00033B43"/>
  </w:style>
  <w:style w:type="numbering" w:customStyle="1" w:styleId="Estiloimportado20311">
    <w:name w:val="Estilo importado 20311"/>
    <w:rsid w:val="00033B43"/>
  </w:style>
  <w:style w:type="numbering" w:customStyle="1" w:styleId="Estiloimportado1611">
    <w:name w:val="Estilo importado 1611"/>
    <w:rsid w:val="00033B43"/>
  </w:style>
  <w:style w:type="numbering" w:customStyle="1" w:styleId="Estiloimportado1711">
    <w:name w:val="Estilo importado 1711"/>
    <w:rsid w:val="00033B43"/>
  </w:style>
  <w:style w:type="numbering" w:customStyle="1" w:styleId="Estiloimportado1811">
    <w:name w:val="Estilo importado 1811"/>
    <w:rsid w:val="00033B43"/>
  </w:style>
  <w:style w:type="numbering" w:customStyle="1" w:styleId="Estiloimportado1911">
    <w:name w:val="Estilo importado 1911"/>
    <w:rsid w:val="00033B43"/>
  </w:style>
  <w:style w:type="numbering" w:customStyle="1" w:styleId="Estiloimportado2011">
    <w:name w:val="Estilo importado 2011"/>
    <w:rsid w:val="00033B43"/>
  </w:style>
  <w:style w:type="table" w:customStyle="1" w:styleId="Tablaconcuadrcula1">
    <w:name w:val="Tabla con cuadrícula1"/>
    <w:basedOn w:val="Tablanormal"/>
    <w:next w:val="Tablaconcuadrcula"/>
    <w:uiPriority w:val="59"/>
    <w:rsid w:val="00B37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Nivel">
    <w:name w:val="Primer Nivel"/>
    <w:qFormat/>
    <w:rsid w:val="00A06BE9"/>
    <w:pPr>
      <w:numPr>
        <w:numId w:val="29"/>
      </w:numPr>
      <w:ind w:left="1134" w:hanging="567"/>
      <w:jc w:val="both"/>
    </w:pPr>
    <w:rPr>
      <w:rFonts w:ascii="Calibri" w:eastAsia="Calibri" w:hAnsi="Calibri"/>
      <w:sz w:val="18"/>
      <w:szCs w:val="18"/>
      <w:lang w:val="es-PE" w:eastAsia="es-PE"/>
    </w:rPr>
  </w:style>
  <w:style w:type="paragraph" w:styleId="Sinespaciado">
    <w:name w:val="No Spacing"/>
    <w:uiPriority w:val="1"/>
    <w:qFormat/>
    <w:rsid w:val="00A06BE9"/>
    <w:rPr>
      <w:rFonts w:asciiTheme="minorHAnsi" w:eastAsiaTheme="minorHAnsi" w:hAnsiTheme="minorHAnsi" w:cstheme="minorBidi"/>
      <w:sz w:val="22"/>
      <w:szCs w:val="22"/>
      <w:lang w:eastAsia="en-US"/>
    </w:rPr>
  </w:style>
  <w:style w:type="paragraph" w:customStyle="1" w:styleId="Style1">
    <w:name w:val="Style 1"/>
    <w:basedOn w:val="Normal"/>
    <w:rsid w:val="00A06BE9"/>
    <w:pPr>
      <w:widowControl w:val="0"/>
      <w:autoSpaceDE w:val="0"/>
      <w:autoSpaceDN w:val="0"/>
      <w:adjustRightInd w:val="0"/>
    </w:pPr>
    <w:rPr>
      <w:noProof/>
      <w:sz w:val="20"/>
      <w:szCs w:val="24"/>
    </w:rPr>
  </w:style>
  <w:style w:type="paragraph" w:styleId="Lista">
    <w:name w:val="List"/>
    <w:basedOn w:val="Normal"/>
    <w:rsid w:val="00A06BE9"/>
    <w:pPr>
      <w:ind w:left="397" w:hanging="397"/>
    </w:pPr>
    <w:rPr>
      <w:rFonts w:eastAsia="Calibri"/>
      <w:noProof/>
      <w:szCs w:val="24"/>
      <w:lang w:val="es-ES" w:eastAsia="es-ES"/>
    </w:rPr>
  </w:style>
  <w:style w:type="table" w:customStyle="1" w:styleId="Tabladecuadrcula1clara1">
    <w:name w:val="Tabla de cuadrícula 1 clara1"/>
    <w:basedOn w:val="Tablanormal"/>
    <w:uiPriority w:val="46"/>
    <w:rsid w:val="00A06BE9"/>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
    <w:name w:val="Grid Table 1 Light1"/>
    <w:basedOn w:val="Tablanormal"/>
    <w:uiPriority w:val="46"/>
    <w:rsid w:val="00A06BE9"/>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tulo21">
    <w:name w:val="Título 21"/>
    <w:basedOn w:val="Normal"/>
    <w:next w:val="Normal"/>
    <w:uiPriority w:val="9"/>
    <w:unhideWhenUsed/>
    <w:qFormat/>
    <w:rsid w:val="00A06BE9"/>
    <w:pPr>
      <w:keepNext/>
      <w:keepLines/>
      <w:spacing w:before="40" w:line="259" w:lineRule="auto"/>
      <w:outlineLvl w:val="1"/>
    </w:pPr>
    <w:rPr>
      <w:rFonts w:ascii="Cambria" w:hAnsi="Cambria"/>
      <w:color w:val="365F91"/>
      <w:sz w:val="26"/>
      <w:szCs w:val="26"/>
    </w:rPr>
  </w:style>
  <w:style w:type="paragraph" w:customStyle="1" w:styleId="Default">
    <w:name w:val="Default"/>
    <w:rsid w:val="00A06BE9"/>
    <w:pPr>
      <w:autoSpaceDE w:val="0"/>
      <w:autoSpaceDN w:val="0"/>
      <w:adjustRightInd w:val="0"/>
    </w:pPr>
    <w:rPr>
      <w:rFonts w:ascii="Arial" w:eastAsia="Calibri" w:hAnsi="Arial" w:cs="Arial"/>
      <w:color w:val="000000"/>
      <w:sz w:val="24"/>
      <w:szCs w:val="24"/>
      <w:lang w:eastAsia="en-US"/>
    </w:rPr>
  </w:style>
  <w:style w:type="paragraph" w:styleId="HTMLconformatoprevio">
    <w:name w:val="HTML Preformatted"/>
    <w:basedOn w:val="Normal"/>
    <w:link w:val="HTMLconformatoprevioCar"/>
    <w:uiPriority w:val="99"/>
    <w:unhideWhenUsed/>
    <w:rsid w:val="00A06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s-AR"/>
    </w:rPr>
  </w:style>
  <w:style w:type="character" w:customStyle="1" w:styleId="HTMLconformatoprevioCar">
    <w:name w:val="HTML con formato previo Car"/>
    <w:basedOn w:val="Fuentedeprrafopredeter"/>
    <w:link w:val="HTMLconformatoprevio"/>
    <w:uiPriority w:val="99"/>
    <w:rsid w:val="00A06BE9"/>
    <w:rPr>
      <w:rFonts w:ascii="Courier New" w:hAnsi="Courier New" w:cs="Courier New"/>
    </w:rPr>
  </w:style>
  <w:style w:type="character" w:customStyle="1" w:styleId="Ttulo2Car1">
    <w:name w:val="Título 2 Car1"/>
    <w:basedOn w:val="Fuentedeprrafopredeter"/>
    <w:semiHidden/>
    <w:rsid w:val="00A06BE9"/>
    <w:rPr>
      <w:rFonts w:asciiTheme="majorHAnsi" w:eastAsiaTheme="majorEastAsia" w:hAnsiTheme="majorHAnsi" w:cstheme="majorBidi"/>
      <w:b/>
      <w:bCs/>
      <w:color w:val="4F81BD" w:themeColor="accent1"/>
      <w:sz w:val="26"/>
      <w:szCs w:val="26"/>
      <w:lang w:val="es-ES" w:eastAsia="es-ES"/>
    </w:rPr>
  </w:style>
  <w:style w:type="paragraph" w:customStyle="1" w:styleId="AOHeadings">
    <w:name w:val="AOHeadings"/>
    <w:basedOn w:val="Normal"/>
    <w:next w:val="Normal"/>
    <w:rsid w:val="00A06BE9"/>
    <w:pPr>
      <w:spacing w:before="200"/>
      <w:jc w:val="both"/>
    </w:pPr>
    <w:rPr>
      <w:sz w:val="20"/>
      <w:lang w:val="en-US"/>
    </w:rPr>
  </w:style>
  <w:style w:type="paragraph" w:customStyle="1" w:styleId="TitleLItal">
    <w:name w:val="Title L Ital"/>
    <w:basedOn w:val="Normal"/>
    <w:rsid w:val="00A06BE9"/>
    <w:pPr>
      <w:keepNext/>
      <w:spacing w:after="240"/>
      <w:jc w:val="both"/>
    </w:pPr>
    <w:rPr>
      <w:i/>
      <w:iCs/>
      <w:sz w:val="20"/>
      <w:lang w:val="en-US"/>
    </w:rPr>
  </w:style>
  <w:style w:type="paragraph" w:customStyle="1" w:styleId="CG-Title-Center">
    <w:name w:val="CG-Title-Center"/>
    <w:aliases w:val="t5"/>
    <w:basedOn w:val="Normal"/>
    <w:next w:val="Normal"/>
    <w:rsid w:val="00A06BE9"/>
    <w:pPr>
      <w:keepNext/>
      <w:spacing w:after="240"/>
      <w:jc w:val="center"/>
    </w:pPr>
    <w:rPr>
      <w:sz w:val="20"/>
      <w:lang w:val="en-US"/>
    </w:rPr>
  </w:style>
  <w:style w:type="paragraph" w:customStyle="1" w:styleId="BodyBullet">
    <w:name w:val="Body Bullet"/>
    <w:aliases w:val="bb"/>
    <w:basedOn w:val="Textoindependiente"/>
    <w:rsid w:val="00A06BE9"/>
    <w:pPr>
      <w:spacing w:after="240"/>
      <w:jc w:val="left"/>
    </w:pPr>
    <w:rPr>
      <w:sz w:val="20"/>
      <w:lang w:val="en-US" w:eastAsia="es-ES"/>
    </w:rPr>
  </w:style>
  <w:style w:type="paragraph" w:customStyle="1" w:styleId="Tax">
    <w:name w:val="Tax"/>
    <w:basedOn w:val="Normal"/>
    <w:rsid w:val="00A06BE9"/>
    <w:pPr>
      <w:autoSpaceDE w:val="0"/>
      <w:autoSpaceDN w:val="0"/>
      <w:adjustRightInd w:val="0"/>
    </w:pPr>
    <w:rPr>
      <w:szCs w:val="24"/>
      <w:lang w:val="en-US"/>
    </w:rPr>
  </w:style>
  <w:style w:type="paragraph" w:customStyle="1" w:styleId="s14-99509">
    <w:name w:val="s14-99509"/>
    <w:basedOn w:val="Normal"/>
    <w:rsid w:val="00B4540C"/>
    <w:pPr>
      <w:ind w:firstLine="284"/>
      <w:jc w:val="both"/>
    </w:pPr>
    <w:rPr>
      <w:rFonts w:ascii="Arial" w:hAnsi="Arial" w:cs="Arial"/>
      <w:color w:val="FF0000"/>
      <w:sz w:val="20"/>
      <w:lang w:eastAsia="es-AR"/>
    </w:rPr>
  </w:style>
  <w:style w:type="paragraph" w:customStyle="1" w:styleId="xmsonormal">
    <w:name w:val="x_msonormal"/>
    <w:basedOn w:val="Normal"/>
    <w:rsid w:val="00CE31CA"/>
    <w:pPr>
      <w:spacing w:before="100" w:beforeAutospacing="1" w:after="100" w:afterAutospacing="1"/>
    </w:pPr>
    <w:rPr>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743">
      <w:bodyDiv w:val="1"/>
      <w:marLeft w:val="0"/>
      <w:marRight w:val="0"/>
      <w:marTop w:val="0"/>
      <w:marBottom w:val="0"/>
      <w:divBdr>
        <w:top w:val="none" w:sz="0" w:space="0" w:color="auto"/>
        <w:left w:val="none" w:sz="0" w:space="0" w:color="auto"/>
        <w:bottom w:val="none" w:sz="0" w:space="0" w:color="auto"/>
        <w:right w:val="none" w:sz="0" w:space="0" w:color="auto"/>
      </w:divBdr>
    </w:div>
    <w:div w:id="3093092">
      <w:bodyDiv w:val="1"/>
      <w:marLeft w:val="0"/>
      <w:marRight w:val="0"/>
      <w:marTop w:val="0"/>
      <w:marBottom w:val="0"/>
      <w:divBdr>
        <w:top w:val="none" w:sz="0" w:space="0" w:color="auto"/>
        <w:left w:val="none" w:sz="0" w:space="0" w:color="auto"/>
        <w:bottom w:val="none" w:sz="0" w:space="0" w:color="auto"/>
        <w:right w:val="none" w:sz="0" w:space="0" w:color="auto"/>
      </w:divBdr>
    </w:div>
    <w:div w:id="5140847">
      <w:bodyDiv w:val="1"/>
      <w:marLeft w:val="0"/>
      <w:marRight w:val="0"/>
      <w:marTop w:val="0"/>
      <w:marBottom w:val="0"/>
      <w:divBdr>
        <w:top w:val="none" w:sz="0" w:space="0" w:color="auto"/>
        <w:left w:val="none" w:sz="0" w:space="0" w:color="auto"/>
        <w:bottom w:val="none" w:sz="0" w:space="0" w:color="auto"/>
        <w:right w:val="none" w:sz="0" w:space="0" w:color="auto"/>
      </w:divBdr>
    </w:div>
    <w:div w:id="5447602">
      <w:bodyDiv w:val="1"/>
      <w:marLeft w:val="0"/>
      <w:marRight w:val="0"/>
      <w:marTop w:val="0"/>
      <w:marBottom w:val="0"/>
      <w:divBdr>
        <w:top w:val="none" w:sz="0" w:space="0" w:color="auto"/>
        <w:left w:val="none" w:sz="0" w:space="0" w:color="auto"/>
        <w:bottom w:val="none" w:sz="0" w:space="0" w:color="auto"/>
        <w:right w:val="none" w:sz="0" w:space="0" w:color="auto"/>
      </w:divBdr>
    </w:div>
    <w:div w:id="7566076">
      <w:bodyDiv w:val="1"/>
      <w:marLeft w:val="0"/>
      <w:marRight w:val="0"/>
      <w:marTop w:val="0"/>
      <w:marBottom w:val="0"/>
      <w:divBdr>
        <w:top w:val="none" w:sz="0" w:space="0" w:color="auto"/>
        <w:left w:val="none" w:sz="0" w:space="0" w:color="auto"/>
        <w:bottom w:val="none" w:sz="0" w:space="0" w:color="auto"/>
        <w:right w:val="none" w:sz="0" w:space="0" w:color="auto"/>
      </w:divBdr>
    </w:div>
    <w:div w:id="8148122">
      <w:bodyDiv w:val="1"/>
      <w:marLeft w:val="0"/>
      <w:marRight w:val="0"/>
      <w:marTop w:val="0"/>
      <w:marBottom w:val="0"/>
      <w:divBdr>
        <w:top w:val="none" w:sz="0" w:space="0" w:color="auto"/>
        <w:left w:val="none" w:sz="0" w:space="0" w:color="auto"/>
        <w:bottom w:val="none" w:sz="0" w:space="0" w:color="auto"/>
        <w:right w:val="none" w:sz="0" w:space="0" w:color="auto"/>
      </w:divBdr>
    </w:div>
    <w:div w:id="12339664">
      <w:bodyDiv w:val="1"/>
      <w:marLeft w:val="0"/>
      <w:marRight w:val="0"/>
      <w:marTop w:val="0"/>
      <w:marBottom w:val="0"/>
      <w:divBdr>
        <w:top w:val="none" w:sz="0" w:space="0" w:color="auto"/>
        <w:left w:val="none" w:sz="0" w:space="0" w:color="auto"/>
        <w:bottom w:val="none" w:sz="0" w:space="0" w:color="auto"/>
        <w:right w:val="none" w:sz="0" w:space="0" w:color="auto"/>
      </w:divBdr>
    </w:div>
    <w:div w:id="14772430">
      <w:bodyDiv w:val="1"/>
      <w:marLeft w:val="0"/>
      <w:marRight w:val="0"/>
      <w:marTop w:val="0"/>
      <w:marBottom w:val="0"/>
      <w:divBdr>
        <w:top w:val="none" w:sz="0" w:space="0" w:color="auto"/>
        <w:left w:val="none" w:sz="0" w:space="0" w:color="auto"/>
        <w:bottom w:val="none" w:sz="0" w:space="0" w:color="auto"/>
        <w:right w:val="none" w:sz="0" w:space="0" w:color="auto"/>
      </w:divBdr>
    </w:div>
    <w:div w:id="16082119">
      <w:bodyDiv w:val="1"/>
      <w:marLeft w:val="0"/>
      <w:marRight w:val="0"/>
      <w:marTop w:val="0"/>
      <w:marBottom w:val="0"/>
      <w:divBdr>
        <w:top w:val="none" w:sz="0" w:space="0" w:color="auto"/>
        <w:left w:val="none" w:sz="0" w:space="0" w:color="auto"/>
        <w:bottom w:val="none" w:sz="0" w:space="0" w:color="auto"/>
        <w:right w:val="none" w:sz="0" w:space="0" w:color="auto"/>
      </w:divBdr>
    </w:div>
    <w:div w:id="16586295">
      <w:bodyDiv w:val="1"/>
      <w:marLeft w:val="0"/>
      <w:marRight w:val="0"/>
      <w:marTop w:val="0"/>
      <w:marBottom w:val="0"/>
      <w:divBdr>
        <w:top w:val="none" w:sz="0" w:space="0" w:color="auto"/>
        <w:left w:val="none" w:sz="0" w:space="0" w:color="auto"/>
        <w:bottom w:val="none" w:sz="0" w:space="0" w:color="auto"/>
        <w:right w:val="none" w:sz="0" w:space="0" w:color="auto"/>
      </w:divBdr>
    </w:div>
    <w:div w:id="18287491">
      <w:bodyDiv w:val="1"/>
      <w:marLeft w:val="0"/>
      <w:marRight w:val="0"/>
      <w:marTop w:val="0"/>
      <w:marBottom w:val="0"/>
      <w:divBdr>
        <w:top w:val="none" w:sz="0" w:space="0" w:color="auto"/>
        <w:left w:val="none" w:sz="0" w:space="0" w:color="auto"/>
        <w:bottom w:val="none" w:sz="0" w:space="0" w:color="auto"/>
        <w:right w:val="none" w:sz="0" w:space="0" w:color="auto"/>
      </w:divBdr>
    </w:div>
    <w:div w:id="19281956">
      <w:bodyDiv w:val="1"/>
      <w:marLeft w:val="0"/>
      <w:marRight w:val="0"/>
      <w:marTop w:val="0"/>
      <w:marBottom w:val="0"/>
      <w:divBdr>
        <w:top w:val="none" w:sz="0" w:space="0" w:color="auto"/>
        <w:left w:val="none" w:sz="0" w:space="0" w:color="auto"/>
        <w:bottom w:val="none" w:sz="0" w:space="0" w:color="auto"/>
        <w:right w:val="none" w:sz="0" w:space="0" w:color="auto"/>
      </w:divBdr>
    </w:div>
    <w:div w:id="21253525">
      <w:bodyDiv w:val="1"/>
      <w:marLeft w:val="0"/>
      <w:marRight w:val="0"/>
      <w:marTop w:val="0"/>
      <w:marBottom w:val="0"/>
      <w:divBdr>
        <w:top w:val="none" w:sz="0" w:space="0" w:color="auto"/>
        <w:left w:val="none" w:sz="0" w:space="0" w:color="auto"/>
        <w:bottom w:val="none" w:sz="0" w:space="0" w:color="auto"/>
        <w:right w:val="none" w:sz="0" w:space="0" w:color="auto"/>
      </w:divBdr>
    </w:div>
    <w:div w:id="23602483">
      <w:bodyDiv w:val="1"/>
      <w:marLeft w:val="0"/>
      <w:marRight w:val="0"/>
      <w:marTop w:val="0"/>
      <w:marBottom w:val="0"/>
      <w:divBdr>
        <w:top w:val="none" w:sz="0" w:space="0" w:color="auto"/>
        <w:left w:val="none" w:sz="0" w:space="0" w:color="auto"/>
        <w:bottom w:val="none" w:sz="0" w:space="0" w:color="auto"/>
        <w:right w:val="none" w:sz="0" w:space="0" w:color="auto"/>
      </w:divBdr>
    </w:div>
    <w:div w:id="24060267">
      <w:bodyDiv w:val="1"/>
      <w:marLeft w:val="0"/>
      <w:marRight w:val="0"/>
      <w:marTop w:val="0"/>
      <w:marBottom w:val="0"/>
      <w:divBdr>
        <w:top w:val="none" w:sz="0" w:space="0" w:color="auto"/>
        <w:left w:val="none" w:sz="0" w:space="0" w:color="auto"/>
        <w:bottom w:val="none" w:sz="0" w:space="0" w:color="auto"/>
        <w:right w:val="none" w:sz="0" w:space="0" w:color="auto"/>
      </w:divBdr>
    </w:div>
    <w:div w:id="24527421">
      <w:bodyDiv w:val="1"/>
      <w:marLeft w:val="0"/>
      <w:marRight w:val="0"/>
      <w:marTop w:val="0"/>
      <w:marBottom w:val="0"/>
      <w:divBdr>
        <w:top w:val="none" w:sz="0" w:space="0" w:color="auto"/>
        <w:left w:val="none" w:sz="0" w:space="0" w:color="auto"/>
        <w:bottom w:val="none" w:sz="0" w:space="0" w:color="auto"/>
        <w:right w:val="none" w:sz="0" w:space="0" w:color="auto"/>
      </w:divBdr>
    </w:div>
    <w:div w:id="28605637">
      <w:bodyDiv w:val="1"/>
      <w:marLeft w:val="0"/>
      <w:marRight w:val="0"/>
      <w:marTop w:val="0"/>
      <w:marBottom w:val="0"/>
      <w:divBdr>
        <w:top w:val="none" w:sz="0" w:space="0" w:color="auto"/>
        <w:left w:val="none" w:sz="0" w:space="0" w:color="auto"/>
        <w:bottom w:val="none" w:sz="0" w:space="0" w:color="auto"/>
        <w:right w:val="none" w:sz="0" w:space="0" w:color="auto"/>
      </w:divBdr>
    </w:div>
    <w:div w:id="31001486">
      <w:bodyDiv w:val="1"/>
      <w:marLeft w:val="0"/>
      <w:marRight w:val="0"/>
      <w:marTop w:val="0"/>
      <w:marBottom w:val="0"/>
      <w:divBdr>
        <w:top w:val="none" w:sz="0" w:space="0" w:color="auto"/>
        <w:left w:val="none" w:sz="0" w:space="0" w:color="auto"/>
        <w:bottom w:val="none" w:sz="0" w:space="0" w:color="auto"/>
        <w:right w:val="none" w:sz="0" w:space="0" w:color="auto"/>
      </w:divBdr>
    </w:div>
    <w:div w:id="31078768">
      <w:bodyDiv w:val="1"/>
      <w:marLeft w:val="0"/>
      <w:marRight w:val="0"/>
      <w:marTop w:val="0"/>
      <w:marBottom w:val="0"/>
      <w:divBdr>
        <w:top w:val="none" w:sz="0" w:space="0" w:color="auto"/>
        <w:left w:val="none" w:sz="0" w:space="0" w:color="auto"/>
        <w:bottom w:val="none" w:sz="0" w:space="0" w:color="auto"/>
        <w:right w:val="none" w:sz="0" w:space="0" w:color="auto"/>
      </w:divBdr>
    </w:div>
    <w:div w:id="34241284">
      <w:bodyDiv w:val="1"/>
      <w:marLeft w:val="0"/>
      <w:marRight w:val="0"/>
      <w:marTop w:val="0"/>
      <w:marBottom w:val="0"/>
      <w:divBdr>
        <w:top w:val="none" w:sz="0" w:space="0" w:color="auto"/>
        <w:left w:val="none" w:sz="0" w:space="0" w:color="auto"/>
        <w:bottom w:val="none" w:sz="0" w:space="0" w:color="auto"/>
        <w:right w:val="none" w:sz="0" w:space="0" w:color="auto"/>
      </w:divBdr>
    </w:div>
    <w:div w:id="35156547">
      <w:bodyDiv w:val="1"/>
      <w:marLeft w:val="0"/>
      <w:marRight w:val="0"/>
      <w:marTop w:val="0"/>
      <w:marBottom w:val="0"/>
      <w:divBdr>
        <w:top w:val="none" w:sz="0" w:space="0" w:color="auto"/>
        <w:left w:val="none" w:sz="0" w:space="0" w:color="auto"/>
        <w:bottom w:val="none" w:sz="0" w:space="0" w:color="auto"/>
        <w:right w:val="none" w:sz="0" w:space="0" w:color="auto"/>
      </w:divBdr>
    </w:div>
    <w:div w:id="41835864">
      <w:bodyDiv w:val="1"/>
      <w:marLeft w:val="0"/>
      <w:marRight w:val="0"/>
      <w:marTop w:val="0"/>
      <w:marBottom w:val="0"/>
      <w:divBdr>
        <w:top w:val="none" w:sz="0" w:space="0" w:color="auto"/>
        <w:left w:val="none" w:sz="0" w:space="0" w:color="auto"/>
        <w:bottom w:val="none" w:sz="0" w:space="0" w:color="auto"/>
        <w:right w:val="none" w:sz="0" w:space="0" w:color="auto"/>
      </w:divBdr>
    </w:div>
    <w:div w:id="43066645">
      <w:bodyDiv w:val="1"/>
      <w:marLeft w:val="0"/>
      <w:marRight w:val="0"/>
      <w:marTop w:val="0"/>
      <w:marBottom w:val="0"/>
      <w:divBdr>
        <w:top w:val="none" w:sz="0" w:space="0" w:color="auto"/>
        <w:left w:val="none" w:sz="0" w:space="0" w:color="auto"/>
        <w:bottom w:val="none" w:sz="0" w:space="0" w:color="auto"/>
        <w:right w:val="none" w:sz="0" w:space="0" w:color="auto"/>
      </w:divBdr>
    </w:div>
    <w:div w:id="43070163">
      <w:bodyDiv w:val="1"/>
      <w:marLeft w:val="0"/>
      <w:marRight w:val="0"/>
      <w:marTop w:val="0"/>
      <w:marBottom w:val="0"/>
      <w:divBdr>
        <w:top w:val="none" w:sz="0" w:space="0" w:color="auto"/>
        <w:left w:val="none" w:sz="0" w:space="0" w:color="auto"/>
        <w:bottom w:val="none" w:sz="0" w:space="0" w:color="auto"/>
        <w:right w:val="none" w:sz="0" w:space="0" w:color="auto"/>
      </w:divBdr>
    </w:div>
    <w:div w:id="43140862">
      <w:bodyDiv w:val="1"/>
      <w:marLeft w:val="0"/>
      <w:marRight w:val="0"/>
      <w:marTop w:val="0"/>
      <w:marBottom w:val="0"/>
      <w:divBdr>
        <w:top w:val="none" w:sz="0" w:space="0" w:color="auto"/>
        <w:left w:val="none" w:sz="0" w:space="0" w:color="auto"/>
        <w:bottom w:val="none" w:sz="0" w:space="0" w:color="auto"/>
        <w:right w:val="none" w:sz="0" w:space="0" w:color="auto"/>
      </w:divBdr>
    </w:div>
    <w:div w:id="44334918">
      <w:bodyDiv w:val="1"/>
      <w:marLeft w:val="0"/>
      <w:marRight w:val="0"/>
      <w:marTop w:val="0"/>
      <w:marBottom w:val="0"/>
      <w:divBdr>
        <w:top w:val="none" w:sz="0" w:space="0" w:color="auto"/>
        <w:left w:val="none" w:sz="0" w:space="0" w:color="auto"/>
        <w:bottom w:val="none" w:sz="0" w:space="0" w:color="auto"/>
        <w:right w:val="none" w:sz="0" w:space="0" w:color="auto"/>
      </w:divBdr>
    </w:div>
    <w:div w:id="45102954">
      <w:bodyDiv w:val="1"/>
      <w:marLeft w:val="0"/>
      <w:marRight w:val="0"/>
      <w:marTop w:val="0"/>
      <w:marBottom w:val="0"/>
      <w:divBdr>
        <w:top w:val="none" w:sz="0" w:space="0" w:color="auto"/>
        <w:left w:val="none" w:sz="0" w:space="0" w:color="auto"/>
        <w:bottom w:val="none" w:sz="0" w:space="0" w:color="auto"/>
        <w:right w:val="none" w:sz="0" w:space="0" w:color="auto"/>
      </w:divBdr>
    </w:div>
    <w:div w:id="46950603">
      <w:bodyDiv w:val="1"/>
      <w:marLeft w:val="0"/>
      <w:marRight w:val="0"/>
      <w:marTop w:val="0"/>
      <w:marBottom w:val="0"/>
      <w:divBdr>
        <w:top w:val="none" w:sz="0" w:space="0" w:color="auto"/>
        <w:left w:val="none" w:sz="0" w:space="0" w:color="auto"/>
        <w:bottom w:val="none" w:sz="0" w:space="0" w:color="auto"/>
        <w:right w:val="none" w:sz="0" w:space="0" w:color="auto"/>
      </w:divBdr>
    </w:div>
    <w:div w:id="47266137">
      <w:bodyDiv w:val="1"/>
      <w:marLeft w:val="0"/>
      <w:marRight w:val="0"/>
      <w:marTop w:val="0"/>
      <w:marBottom w:val="0"/>
      <w:divBdr>
        <w:top w:val="none" w:sz="0" w:space="0" w:color="auto"/>
        <w:left w:val="none" w:sz="0" w:space="0" w:color="auto"/>
        <w:bottom w:val="none" w:sz="0" w:space="0" w:color="auto"/>
        <w:right w:val="none" w:sz="0" w:space="0" w:color="auto"/>
      </w:divBdr>
    </w:div>
    <w:div w:id="54012519">
      <w:bodyDiv w:val="1"/>
      <w:marLeft w:val="0"/>
      <w:marRight w:val="0"/>
      <w:marTop w:val="0"/>
      <w:marBottom w:val="0"/>
      <w:divBdr>
        <w:top w:val="none" w:sz="0" w:space="0" w:color="auto"/>
        <w:left w:val="none" w:sz="0" w:space="0" w:color="auto"/>
        <w:bottom w:val="none" w:sz="0" w:space="0" w:color="auto"/>
        <w:right w:val="none" w:sz="0" w:space="0" w:color="auto"/>
      </w:divBdr>
    </w:div>
    <w:div w:id="55131985">
      <w:bodyDiv w:val="1"/>
      <w:marLeft w:val="0"/>
      <w:marRight w:val="0"/>
      <w:marTop w:val="0"/>
      <w:marBottom w:val="0"/>
      <w:divBdr>
        <w:top w:val="none" w:sz="0" w:space="0" w:color="auto"/>
        <w:left w:val="none" w:sz="0" w:space="0" w:color="auto"/>
        <w:bottom w:val="none" w:sz="0" w:space="0" w:color="auto"/>
        <w:right w:val="none" w:sz="0" w:space="0" w:color="auto"/>
      </w:divBdr>
    </w:div>
    <w:div w:id="58749501">
      <w:bodyDiv w:val="1"/>
      <w:marLeft w:val="0"/>
      <w:marRight w:val="0"/>
      <w:marTop w:val="0"/>
      <w:marBottom w:val="0"/>
      <w:divBdr>
        <w:top w:val="none" w:sz="0" w:space="0" w:color="auto"/>
        <w:left w:val="none" w:sz="0" w:space="0" w:color="auto"/>
        <w:bottom w:val="none" w:sz="0" w:space="0" w:color="auto"/>
        <w:right w:val="none" w:sz="0" w:space="0" w:color="auto"/>
      </w:divBdr>
    </w:div>
    <w:div w:id="59450078">
      <w:bodyDiv w:val="1"/>
      <w:marLeft w:val="0"/>
      <w:marRight w:val="0"/>
      <w:marTop w:val="0"/>
      <w:marBottom w:val="0"/>
      <w:divBdr>
        <w:top w:val="none" w:sz="0" w:space="0" w:color="auto"/>
        <w:left w:val="none" w:sz="0" w:space="0" w:color="auto"/>
        <w:bottom w:val="none" w:sz="0" w:space="0" w:color="auto"/>
        <w:right w:val="none" w:sz="0" w:space="0" w:color="auto"/>
      </w:divBdr>
    </w:div>
    <w:div w:id="59520632">
      <w:bodyDiv w:val="1"/>
      <w:marLeft w:val="0"/>
      <w:marRight w:val="0"/>
      <w:marTop w:val="0"/>
      <w:marBottom w:val="0"/>
      <w:divBdr>
        <w:top w:val="none" w:sz="0" w:space="0" w:color="auto"/>
        <w:left w:val="none" w:sz="0" w:space="0" w:color="auto"/>
        <w:bottom w:val="none" w:sz="0" w:space="0" w:color="auto"/>
        <w:right w:val="none" w:sz="0" w:space="0" w:color="auto"/>
      </w:divBdr>
    </w:div>
    <w:div w:id="59598550">
      <w:bodyDiv w:val="1"/>
      <w:marLeft w:val="0"/>
      <w:marRight w:val="0"/>
      <w:marTop w:val="0"/>
      <w:marBottom w:val="0"/>
      <w:divBdr>
        <w:top w:val="none" w:sz="0" w:space="0" w:color="auto"/>
        <w:left w:val="none" w:sz="0" w:space="0" w:color="auto"/>
        <w:bottom w:val="none" w:sz="0" w:space="0" w:color="auto"/>
        <w:right w:val="none" w:sz="0" w:space="0" w:color="auto"/>
      </w:divBdr>
    </w:div>
    <w:div w:id="61565927">
      <w:bodyDiv w:val="1"/>
      <w:marLeft w:val="0"/>
      <w:marRight w:val="0"/>
      <w:marTop w:val="0"/>
      <w:marBottom w:val="0"/>
      <w:divBdr>
        <w:top w:val="none" w:sz="0" w:space="0" w:color="auto"/>
        <w:left w:val="none" w:sz="0" w:space="0" w:color="auto"/>
        <w:bottom w:val="none" w:sz="0" w:space="0" w:color="auto"/>
        <w:right w:val="none" w:sz="0" w:space="0" w:color="auto"/>
      </w:divBdr>
    </w:div>
    <w:div w:id="62026691">
      <w:bodyDiv w:val="1"/>
      <w:marLeft w:val="0"/>
      <w:marRight w:val="0"/>
      <w:marTop w:val="0"/>
      <w:marBottom w:val="0"/>
      <w:divBdr>
        <w:top w:val="none" w:sz="0" w:space="0" w:color="auto"/>
        <w:left w:val="none" w:sz="0" w:space="0" w:color="auto"/>
        <w:bottom w:val="none" w:sz="0" w:space="0" w:color="auto"/>
        <w:right w:val="none" w:sz="0" w:space="0" w:color="auto"/>
      </w:divBdr>
    </w:div>
    <w:div w:id="62146012">
      <w:bodyDiv w:val="1"/>
      <w:marLeft w:val="0"/>
      <w:marRight w:val="0"/>
      <w:marTop w:val="0"/>
      <w:marBottom w:val="0"/>
      <w:divBdr>
        <w:top w:val="none" w:sz="0" w:space="0" w:color="auto"/>
        <w:left w:val="none" w:sz="0" w:space="0" w:color="auto"/>
        <w:bottom w:val="none" w:sz="0" w:space="0" w:color="auto"/>
        <w:right w:val="none" w:sz="0" w:space="0" w:color="auto"/>
      </w:divBdr>
    </w:div>
    <w:div w:id="62532583">
      <w:bodyDiv w:val="1"/>
      <w:marLeft w:val="0"/>
      <w:marRight w:val="0"/>
      <w:marTop w:val="0"/>
      <w:marBottom w:val="0"/>
      <w:divBdr>
        <w:top w:val="none" w:sz="0" w:space="0" w:color="auto"/>
        <w:left w:val="none" w:sz="0" w:space="0" w:color="auto"/>
        <w:bottom w:val="none" w:sz="0" w:space="0" w:color="auto"/>
        <w:right w:val="none" w:sz="0" w:space="0" w:color="auto"/>
      </w:divBdr>
    </w:div>
    <w:div w:id="64768516">
      <w:bodyDiv w:val="1"/>
      <w:marLeft w:val="0"/>
      <w:marRight w:val="0"/>
      <w:marTop w:val="0"/>
      <w:marBottom w:val="0"/>
      <w:divBdr>
        <w:top w:val="none" w:sz="0" w:space="0" w:color="auto"/>
        <w:left w:val="none" w:sz="0" w:space="0" w:color="auto"/>
        <w:bottom w:val="none" w:sz="0" w:space="0" w:color="auto"/>
        <w:right w:val="none" w:sz="0" w:space="0" w:color="auto"/>
      </w:divBdr>
    </w:div>
    <w:div w:id="65686763">
      <w:bodyDiv w:val="1"/>
      <w:marLeft w:val="0"/>
      <w:marRight w:val="0"/>
      <w:marTop w:val="0"/>
      <w:marBottom w:val="0"/>
      <w:divBdr>
        <w:top w:val="none" w:sz="0" w:space="0" w:color="auto"/>
        <w:left w:val="none" w:sz="0" w:space="0" w:color="auto"/>
        <w:bottom w:val="none" w:sz="0" w:space="0" w:color="auto"/>
        <w:right w:val="none" w:sz="0" w:space="0" w:color="auto"/>
      </w:divBdr>
    </w:div>
    <w:div w:id="66148756">
      <w:bodyDiv w:val="1"/>
      <w:marLeft w:val="0"/>
      <w:marRight w:val="0"/>
      <w:marTop w:val="0"/>
      <w:marBottom w:val="0"/>
      <w:divBdr>
        <w:top w:val="none" w:sz="0" w:space="0" w:color="auto"/>
        <w:left w:val="none" w:sz="0" w:space="0" w:color="auto"/>
        <w:bottom w:val="none" w:sz="0" w:space="0" w:color="auto"/>
        <w:right w:val="none" w:sz="0" w:space="0" w:color="auto"/>
      </w:divBdr>
    </w:div>
    <w:div w:id="68314669">
      <w:bodyDiv w:val="1"/>
      <w:marLeft w:val="0"/>
      <w:marRight w:val="0"/>
      <w:marTop w:val="0"/>
      <w:marBottom w:val="0"/>
      <w:divBdr>
        <w:top w:val="none" w:sz="0" w:space="0" w:color="auto"/>
        <w:left w:val="none" w:sz="0" w:space="0" w:color="auto"/>
        <w:bottom w:val="none" w:sz="0" w:space="0" w:color="auto"/>
        <w:right w:val="none" w:sz="0" w:space="0" w:color="auto"/>
      </w:divBdr>
    </w:div>
    <w:div w:id="69469256">
      <w:bodyDiv w:val="1"/>
      <w:marLeft w:val="0"/>
      <w:marRight w:val="0"/>
      <w:marTop w:val="0"/>
      <w:marBottom w:val="0"/>
      <w:divBdr>
        <w:top w:val="none" w:sz="0" w:space="0" w:color="auto"/>
        <w:left w:val="none" w:sz="0" w:space="0" w:color="auto"/>
        <w:bottom w:val="none" w:sz="0" w:space="0" w:color="auto"/>
        <w:right w:val="none" w:sz="0" w:space="0" w:color="auto"/>
      </w:divBdr>
    </w:div>
    <w:div w:id="70664615">
      <w:bodyDiv w:val="1"/>
      <w:marLeft w:val="0"/>
      <w:marRight w:val="0"/>
      <w:marTop w:val="0"/>
      <w:marBottom w:val="0"/>
      <w:divBdr>
        <w:top w:val="none" w:sz="0" w:space="0" w:color="auto"/>
        <w:left w:val="none" w:sz="0" w:space="0" w:color="auto"/>
        <w:bottom w:val="none" w:sz="0" w:space="0" w:color="auto"/>
        <w:right w:val="none" w:sz="0" w:space="0" w:color="auto"/>
      </w:divBdr>
    </w:div>
    <w:div w:id="71516418">
      <w:bodyDiv w:val="1"/>
      <w:marLeft w:val="0"/>
      <w:marRight w:val="0"/>
      <w:marTop w:val="0"/>
      <w:marBottom w:val="0"/>
      <w:divBdr>
        <w:top w:val="none" w:sz="0" w:space="0" w:color="auto"/>
        <w:left w:val="none" w:sz="0" w:space="0" w:color="auto"/>
        <w:bottom w:val="none" w:sz="0" w:space="0" w:color="auto"/>
        <w:right w:val="none" w:sz="0" w:space="0" w:color="auto"/>
      </w:divBdr>
    </w:div>
    <w:div w:id="72359319">
      <w:bodyDiv w:val="1"/>
      <w:marLeft w:val="0"/>
      <w:marRight w:val="0"/>
      <w:marTop w:val="0"/>
      <w:marBottom w:val="0"/>
      <w:divBdr>
        <w:top w:val="none" w:sz="0" w:space="0" w:color="auto"/>
        <w:left w:val="none" w:sz="0" w:space="0" w:color="auto"/>
        <w:bottom w:val="none" w:sz="0" w:space="0" w:color="auto"/>
        <w:right w:val="none" w:sz="0" w:space="0" w:color="auto"/>
      </w:divBdr>
    </w:div>
    <w:div w:id="73089447">
      <w:bodyDiv w:val="1"/>
      <w:marLeft w:val="0"/>
      <w:marRight w:val="0"/>
      <w:marTop w:val="0"/>
      <w:marBottom w:val="0"/>
      <w:divBdr>
        <w:top w:val="none" w:sz="0" w:space="0" w:color="auto"/>
        <w:left w:val="none" w:sz="0" w:space="0" w:color="auto"/>
        <w:bottom w:val="none" w:sz="0" w:space="0" w:color="auto"/>
        <w:right w:val="none" w:sz="0" w:space="0" w:color="auto"/>
      </w:divBdr>
    </w:div>
    <w:div w:id="74204089">
      <w:bodyDiv w:val="1"/>
      <w:marLeft w:val="0"/>
      <w:marRight w:val="0"/>
      <w:marTop w:val="0"/>
      <w:marBottom w:val="0"/>
      <w:divBdr>
        <w:top w:val="none" w:sz="0" w:space="0" w:color="auto"/>
        <w:left w:val="none" w:sz="0" w:space="0" w:color="auto"/>
        <w:bottom w:val="none" w:sz="0" w:space="0" w:color="auto"/>
        <w:right w:val="none" w:sz="0" w:space="0" w:color="auto"/>
      </w:divBdr>
    </w:div>
    <w:div w:id="76371064">
      <w:bodyDiv w:val="1"/>
      <w:marLeft w:val="0"/>
      <w:marRight w:val="0"/>
      <w:marTop w:val="0"/>
      <w:marBottom w:val="0"/>
      <w:divBdr>
        <w:top w:val="none" w:sz="0" w:space="0" w:color="auto"/>
        <w:left w:val="none" w:sz="0" w:space="0" w:color="auto"/>
        <w:bottom w:val="none" w:sz="0" w:space="0" w:color="auto"/>
        <w:right w:val="none" w:sz="0" w:space="0" w:color="auto"/>
      </w:divBdr>
    </w:div>
    <w:div w:id="78644890">
      <w:bodyDiv w:val="1"/>
      <w:marLeft w:val="0"/>
      <w:marRight w:val="0"/>
      <w:marTop w:val="0"/>
      <w:marBottom w:val="0"/>
      <w:divBdr>
        <w:top w:val="none" w:sz="0" w:space="0" w:color="auto"/>
        <w:left w:val="none" w:sz="0" w:space="0" w:color="auto"/>
        <w:bottom w:val="none" w:sz="0" w:space="0" w:color="auto"/>
        <w:right w:val="none" w:sz="0" w:space="0" w:color="auto"/>
      </w:divBdr>
    </w:div>
    <w:div w:id="79178022">
      <w:bodyDiv w:val="1"/>
      <w:marLeft w:val="0"/>
      <w:marRight w:val="0"/>
      <w:marTop w:val="0"/>
      <w:marBottom w:val="0"/>
      <w:divBdr>
        <w:top w:val="none" w:sz="0" w:space="0" w:color="auto"/>
        <w:left w:val="none" w:sz="0" w:space="0" w:color="auto"/>
        <w:bottom w:val="none" w:sz="0" w:space="0" w:color="auto"/>
        <w:right w:val="none" w:sz="0" w:space="0" w:color="auto"/>
      </w:divBdr>
    </w:div>
    <w:div w:id="82188435">
      <w:bodyDiv w:val="1"/>
      <w:marLeft w:val="0"/>
      <w:marRight w:val="0"/>
      <w:marTop w:val="0"/>
      <w:marBottom w:val="0"/>
      <w:divBdr>
        <w:top w:val="none" w:sz="0" w:space="0" w:color="auto"/>
        <w:left w:val="none" w:sz="0" w:space="0" w:color="auto"/>
        <w:bottom w:val="none" w:sz="0" w:space="0" w:color="auto"/>
        <w:right w:val="none" w:sz="0" w:space="0" w:color="auto"/>
      </w:divBdr>
    </w:div>
    <w:div w:id="82994030">
      <w:bodyDiv w:val="1"/>
      <w:marLeft w:val="0"/>
      <w:marRight w:val="0"/>
      <w:marTop w:val="0"/>
      <w:marBottom w:val="0"/>
      <w:divBdr>
        <w:top w:val="none" w:sz="0" w:space="0" w:color="auto"/>
        <w:left w:val="none" w:sz="0" w:space="0" w:color="auto"/>
        <w:bottom w:val="none" w:sz="0" w:space="0" w:color="auto"/>
        <w:right w:val="none" w:sz="0" w:space="0" w:color="auto"/>
      </w:divBdr>
    </w:div>
    <w:div w:id="85733537">
      <w:bodyDiv w:val="1"/>
      <w:marLeft w:val="0"/>
      <w:marRight w:val="0"/>
      <w:marTop w:val="0"/>
      <w:marBottom w:val="0"/>
      <w:divBdr>
        <w:top w:val="none" w:sz="0" w:space="0" w:color="auto"/>
        <w:left w:val="none" w:sz="0" w:space="0" w:color="auto"/>
        <w:bottom w:val="none" w:sz="0" w:space="0" w:color="auto"/>
        <w:right w:val="none" w:sz="0" w:space="0" w:color="auto"/>
      </w:divBdr>
    </w:div>
    <w:div w:id="86923545">
      <w:bodyDiv w:val="1"/>
      <w:marLeft w:val="0"/>
      <w:marRight w:val="0"/>
      <w:marTop w:val="0"/>
      <w:marBottom w:val="0"/>
      <w:divBdr>
        <w:top w:val="none" w:sz="0" w:space="0" w:color="auto"/>
        <w:left w:val="none" w:sz="0" w:space="0" w:color="auto"/>
        <w:bottom w:val="none" w:sz="0" w:space="0" w:color="auto"/>
        <w:right w:val="none" w:sz="0" w:space="0" w:color="auto"/>
      </w:divBdr>
    </w:div>
    <w:div w:id="87309258">
      <w:bodyDiv w:val="1"/>
      <w:marLeft w:val="0"/>
      <w:marRight w:val="0"/>
      <w:marTop w:val="0"/>
      <w:marBottom w:val="0"/>
      <w:divBdr>
        <w:top w:val="none" w:sz="0" w:space="0" w:color="auto"/>
        <w:left w:val="none" w:sz="0" w:space="0" w:color="auto"/>
        <w:bottom w:val="none" w:sz="0" w:space="0" w:color="auto"/>
        <w:right w:val="none" w:sz="0" w:space="0" w:color="auto"/>
      </w:divBdr>
    </w:div>
    <w:div w:id="87621784">
      <w:bodyDiv w:val="1"/>
      <w:marLeft w:val="0"/>
      <w:marRight w:val="0"/>
      <w:marTop w:val="0"/>
      <w:marBottom w:val="0"/>
      <w:divBdr>
        <w:top w:val="none" w:sz="0" w:space="0" w:color="auto"/>
        <w:left w:val="none" w:sz="0" w:space="0" w:color="auto"/>
        <w:bottom w:val="none" w:sz="0" w:space="0" w:color="auto"/>
        <w:right w:val="none" w:sz="0" w:space="0" w:color="auto"/>
      </w:divBdr>
    </w:div>
    <w:div w:id="93596839">
      <w:bodyDiv w:val="1"/>
      <w:marLeft w:val="0"/>
      <w:marRight w:val="0"/>
      <w:marTop w:val="0"/>
      <w:marBottom w:val="0"/>
      <w:divBdr>
        <w:top w:val="none" w:sz="0" w:space="0" w:color="auto"/>
        <w:left w:val="none" w:sz="0" w:space="0" w:color="auto"/>
        <w:bottom w:val="none" w:sz="0" w:space="0" w:color="auto"/>
        <w:right w:val="none" w:sz="0" w:space="0" w:color="auto"/>
      </w:divBdr>
    </w:div>
    <w:div w:id="93675899">
      <w:bodyDiv w:val="1"/>
      <w:marLeft w:val="0"/>
      <w:marRight w:val="0"/>
      <w:marTop w:val="0"/>
      <w:marBottom w:val="0"/>
      <w:divBdr>
        <w:top w:val="none" w:sz="0" w:space="0" w:color="auto"/>
        <w:left w:val="none" w:sz="0" w:space="0" w:color="auto"/>
        <w:bottom w:val="none" w:sz="0" w:space="0" w:color="auto"/>
        <w:right w:val="none" w:sz="0" w:space="0" w:color="auto"/>
      </w:divBdr>
    </w:div>
    <w:div w:id="94445681">
      <w:bodyDiv w:val="1"/>
      <w:marLeft w:val="0"/>
      <w:marRight w:val="0"/>
      <w:marTop w:val="0"/>
      <w:marBottom w:val="0"/>
      <w:divBdr>
        <w:top w:val="none" w:sz="0" w:space="0" w:color="auto"/>
        <w:left w:val="none" w:sz="0" w:space="0" w:color="auto"/>
        <w:bottom w:val="none" w:sz="0" w:space="0" w:color="auto"/>
        <w:right w:val="none" w:sz="0" w:space="0" w:color="auto"/>
      </w:divBdr>
    </w:div>
    <w:div w:id="94792019">
      <w:bodyDiv w:val="1"/>
      <w:marLeft w:val="0"/>
      <w:marRight w:val="0"/>
      <w:marTop w:val="0"/>
      <w:marBottom w:val="0"/>
      <w:divBdr>
        <w:top w:val="none" w:sz="0" w:space="0" w:color="auto"/>
        <w:left w:val="none" w:sz="0" w:space="0" w:color="auto"/>
        <w:bottom w:val="none" w:sz="0" w:space="0" w:color="auto"/>
        <w:right w:val="none" w:sz="0" w:space="0" w:color="auto"/>
      </w:divBdr>
    </w:div>
    <w:div w:id="94982943">
      <w:bodyDiv w:val="1"/>
      <w:marLeft w:val="0"/>
      <w:marRight w:val="0"/>
      <w:marTop w:val="0"/>
      <w:marBottom w:val="0"/>
      <w:divBdr>
        <w:top w:val="none" w:sz="0" w:space="0" w:color="auto"/>
        <w:left w:val="none" w:sz="0" w:space="0" w:color="auto"/>
        <w:bottom w:val="none" w:sz="0" w:space="0" w:color="auto"/>
        <w:right w:val="none" w:sz="0" w:space="0" w:color="auto"/>
      </w:divBdr>
    </w:div>
    <w:div w:id="101927259">
      <w:bodyDiv w:val="1"/>
      <w:marLeft w:val="0"/>
      <w:marRight w:val="0"/>
      <w:marTop w:val="0"/>
      <w:marBottom w:val="0"/>
      <w:divBdr>
        <w:top w:val="none" w:sz="0" w:space="0" w:color="auto"/>
        <w:left w:val="none" w:sz="0" w:space="0" w:color="auto"/>
        <w:bottom w:val="none" w:sz="0" w:space="0" w:color="auto"/>
        <w:right w:val="none" w:sz="0" w:space="0" w:color="auto"/>
      </w:divBdr>
    </w:div>
    <w:div w:id="105854291">
      <w:bodyDiv w:val="1"/>
      <w:marLeft w:val="0"/>
      <w:marRight w:val="0"/>
      <w:marTop w:val="0"/>
      <w:marBottom w:val="0"/>
      <w:divBdr>
        <w:top w:val="none" w:sz="0" w:space="0" w:color="auto"/>
        <w:left w:val="none" w:sz="0" w:space="0" w:color="auto"/>
        <w:bottom w:val="none" w:sz="0" w:space="0" w:color="auto"/>
        <w:right w:val="none" w:sz="0" w:space="0" w:color="auto"/>
      </w:divBdr>
    </w:div>
    <w:div w:id="107429126">
      <w:bodyDiv w:val="1"/>
      <w:marLeft w:val="0"/>
      <w:marRight w:val="0"/>
      <w:marTop w:val="0"/>
      <w:marBottom w:val="0"/>
      <w:divBdr>
        <w:top w:val="none" w:sz="0" w:space="0" w:color="auto"/>
        <w:left w:val="none" w:sz="0" w:space="0" w:color="auto"/>
        <w:bottom w:val="none" w:sz="0" w:space="0" w:color="auto"/>
        <w:right w:val="none" w:sz="0" w:space="0" w:color="auto"/>
      </w:divBdr>
    </w:div>
    <w:div w:id="107899708">
      <w:bodyDiv w:val="1"/>
      <w:marLeft w:val="0"/>
      <w:marRight w:val="0"/>
      <w:marTop w:val="0"/>
      <w:marBottom w:val="0"/>
      <w:divBdr>
        <w:top w:val="none" w:sz="0" w:space="0" w:color="auto"/>
        <w:left w:val="none" w:sz="0" w:space="0" w:color="auto"/>
        <w:bottom w:val="none" w:sz="0" w:space="0" w:color="auto"/>
        <w:right w:val="none" w:sz="0" w:space="0" w:color="auto"/>
      </w:divBdr>
    </w:div>
    <w:div w:id="108623973">
      <w:bodyDiv w:val="1"/>
      <w:marLeft w:val="0"/>
      <w:marRight w:val="0"/>
      <w:marTop w:val="0"/>
      <w:marBottom w:val="0"/>
      <w:divBdr>
        <w:top w:val="none" w:sz="0" w:space="0" w:color="auto"/>
        <w:left w:val="none" w:sz="0" w:space="0" w:color="auto"/>
        <w:bottom w:val="none" w:sz="0" w:space="0" w:color="auto"/>
        <w:right w:val="none" w:sz="0" w:space="0" w:color="auto"/>
      </w:divBdr>
    </w:div>
    <w:div w:id="109320442">
      <w:bodyDiv w:val="1"/>
      <w:marLeft w:val="0"/>
      <w:marRight w:val="0"/>
      <w:marTop w:val="0"/>
      <w:marBottom w:val="0"/>
      <w:divBdr>
        <w:top w:val="none" w:sz="0" w:space="0" w:color="auto"/>
        <w:left w:val="none" w:sz="0" w:space="0" w:color="auto"/>
        <w:bottom w:val="none" w:sz="0" w:space="0" w:color="auto"/>
        <w:right w:val="none" w:sz="0" w:space="0" w:color="auto"/>
      </w:divBdr>
    </w:div>
    <w:div w:id="109978420">
      <w:bodyDiv w:val="1"/>
      <w:marLeft w:val="0"/>
      <w:marRight w:val="0"/>
      <w:marTop w:val="0"/>
      <w:marBottom w:val="0"/>
      <w:divBdr>
        <w:top w:val="none" w:sz="0" w:space="0" w:color="auto"/>
        <w:left w:val="none" w:sz="0" w:space="0" w:color="auto"/>
        <w:bottom w:val="none" w:sz="0" w:space="0" w:color="auto"/>
        <w:right w:val="none" w:sz="0" w:space="0" w:color="auto"/>
      </w:divBdr>
    </w:div>
    <w:div w:id="114448724">
      <w:bodyDiv w:val="1"/>
      <w:marLeft w:val="0"/>
      <w:marRight w:val="0"/>
      <w:marTop w:val="0"/>
      <w:marBottom w:val="0"/>
      <w:divBdr>
        <w:top w:val="none" w:sz="0" w:space="0" w:color="auto"/>
        <w:left w:val="none" w:sz="0" w:space="0" w:color="auto"/>
        <w:bottom w:val="none" w:sz="0" w:space="0" w:color="auto"/>
        <w:right w:val="none" w:sz="0" w:space="0" w:color="auto"/>
      </w:divBdr>
    </w:div>
    <w:div w:id="116607200">
      <w:bodyDiv w:val="1"/>
      <w:marLeft w:val="0"/>
      <w:marRight w:val="0"/>
      <w:marTop w:val="0"/>
      <w:marBottom w:val="0"/>
      <w:divBdr>
        <w:top w:val="none" w:sz="0" w:space="0" w:color="auto"/>
        <w:left w:val="none" w:sz="0" w:space="0" w:color="auto"/>
        <w:bottom w:val="none" w:sz="0" w:space="0" w:color="auto"/>
        <w:right w:val="none" w:sz="0" w:space="0" w:color="auto"/>
      </w:divBdr>
    </w:div>
    <w:div w:id="119959101">
      <w:bodyDiv w:val="1"/>
      <w:marLeft w:val="0"/>
      <w:marRight w:val="0"/>
      <w:marTop w:val="0"/>
      <w:marBottom w:val="0"/>
      <w:divBdr>
        <w:top w:val="none" w:sz="0" w:space="0" w:color="auto"/>
        <w:left w:val="none" w:sz="0" w:space="0" w:color="auto"/>
        <w:bottom w:val="none" w:sz="0" w:space="0" w:color="auto"/>
        <w:right w:val="none" w:sz="0" w:space="0" w:color="auto"/>
      </w:divBdr>
    </w:div>
    <w:div w:id="121316500">
      <w:bodyDiv w:val="1"/>
      <w:marLeft w:val="0"/>
      <w:marRight w:val="0"/>
      <w:marTop w:val="0"/>
      <w:marBottom w:val="0"/>
      <w:divBdr>
        <w:top w:val="none" w:sz="0" w:space="0" w:color="auto"/>
        <w:left w:val="none" w:sz="0" w:space="0" w:color="auto"/>
        <w:bottom w:val="none" w:sz="0" w:space="0" w:color="auto"/>
        <w:right w:val="none" w:sz="0" w:space="0" w:color="auto"/>
      </w:divBdr>
    </w:div>
    <w:div w:id="122886954">
      <w:bodyDiv w:val="1"/>
      <w:marLeft w:val="0"/>
      <w:marRight w:val="0"/>
      <w:marTop w:val="0"/>
      <w:marBottom w:val="0"/>
      <w:divBdr>
        <w:top w:val="none" w:sz="0" w:space="0" w:color="auto"/>
        <w:left w:val="none" w:sz="0" w:space="0" w:color="auto"/>
        <w:bottom w:val="none" w:sz="0" w:space="0" w:color="auto"/>
        <w:right w:val="none" w:sz="0" w:space="0" w:color="auto"/>
      </w:divBdr>
    </w:div>
    <w:div w:id="123742765">
      <w:bodyDiv w:val="1"/>
      <w:marLeft w:val="0"/>
      <w:marRight w:val="0"/>
      <w:marTop w:val="0"/>
      <w:marBottom w:val="0"/>
      <w:divBdr>
        <w:top w:val="none" w:sz="0" w:space="0" w:color="auto"/>
        <w:left w:val="none" w:sz="0" w:space="0" w:color="auto"/>
        <w:bottom w:val="none" w:sz="0" w:space="0" w:color="auto"/>
        <w:right w:val="none" w:sz="0" w:space="0" w:color="auto"/>
      </w:divBdr>
    </w:div>
    <w:div w:id="124661363">
      <w:bodyDiv w:val="1"/>
      <w:marLeft w:val="0"/>
      <w:marRight w:val="0"/>
      <w:marTop w:val="0"/>
      <w:marBottom w:val="0"/>
      <w:divBdr>
        <w:top w:val="none" w:sz="0" w:space="0" w:color="auto"/>
        <w:left w:val="none" w:sz="0" w:space="0" w:color="auto"/>
        <w:bottom w:val="none" w:sz="0" w:space="0" w:color="auto"/>
        <w:right w:val="none" w:sz="0" w:space="0" w:color="auto"/>
      </w:divBdr>
    </w:div>
    <w:div w:id="124810212">
      <w:bodyDiv w:val="1"/>
      <w:marLeft w:val="0"/>
      <w:marRight w:val="0"/>
      <w:marTop w:val="0"/>
      <w:marBottom w:val="0"/>
      <w:divBdr>
        <w:top w:val="none" w:sz="0" w:space="0" w:color="auto"/>
        <w:left w:val="none" w:sz="0" w:space="0" w:color="auto"/>
        <w:bottom w:val="none" w:sz="0" w:space="0" w:color="auto"/>
        <w:right w:val="none" w:sz="0" w:space="0" w:color="auto"/>
      </w:divBdr>
    </w:div>
    <w:div w:id="125858243">
      <w:bodyDiv w:val="1"/>
      <w:marLeft w:val="0"/>
      <w:marRight w:val="0"/>
      <w:marTop w:val="0"/>
      <w:marBottom w:val="0"/>
      <w:divBdr>
        <w:top w:val="none" w:sz="0" w:space="0" w:color="auto"/>
        <w:left w:val="none" w:sz="0" w:space="0" w:color="auto"/>
        <w:bottom w:val="none" w:sz="0" w:space="0" w:color="auto"/>
        <w:right w:val="none" w:sz="0" w:space="0" w:color="auto"/>
      </w:divBdr>
    </w:div>
    <w:div w:id="125902384">
      <w:bodyDiv w:val="1"/>
      <w:marLeft w:val="0"/>
      <w:marRight w:val="0"/>
      <w:marTop w:val="0"/>
      <w:marBottom w:val="0"/>
      <w:divBdr>
        <w:top w:val="none" w:sz="0" w:space="0" w:color="auto"/>
        <w:left w:val="none" w:sz="0" w:space="0" w:color="auto"/>
        <w:bottom w:val="none" w:sz="0" w:space="0" w:color="auto"/>
        <w:right w:val="none" w:sz="0" w:space="0" w:color="auto"/>
      </w:divBdr>
    </w:div>
    <w:div w:id="127557664">
      <w:bodyDiv w:val="1"/>
      <w:marLeft w:val="0"/>
      <w:marRight w:val="0"/>
      <w:marTop w:val="0"/>
      <w:marBottom w:val="0"/>
      <w:divBdr>
        <w:top w:val="none" w:sz="0" w:space="0" w:color="auto"/>
        <w:left w:val="none" w:sz="0" w:space="0" w:color="auto"/>
        <w:bottom w:val="none" w:sz="0" w:space="0" w:color="auto"/>
        <w:right w:val="none" w:sz="0" w:space="0" w:color="auto"/>
      </w:divBdr>
    </w:div>
    <w:div w:id="129440218">
      <w:bodyDiv w:val="1"/>
      <w:marLeft w:val="0"/>
      <w:marRight w:val="0"/>
      <w:marTop w:val="0"/>
      <w:marBottom w:val="0"/>
      <w:divBdr>
        <w:top w:val="none" w:sz="0" w:space="0" w:color="auto"/>
        <w:left w:val="none" w:sz="0" w:space="0" w:color="auto"/>
        <w:bottom w:val="none" w:sz="0" w:space="0" w:color="auto"/>
        <w:right w:val="none" w:sz="0" w:space="0" w:color="auto"/>
      </w:divBdr>
    </w:div>
    <w:div w:id="129833941">
      <w:bodyDiv w:val="1"/>
      <w:marLeft w:val="0"/>
      <w:marRight w:val="0"/>
      <w:marTop w:val="0"/>
      <w:marBottom w:val="0"/>
      <w:divBdr>
        <w:top w:val="none" w:sz="0" w:space="0" w:color="auto"/>
        <w:left w:val="none" w:sz="0" w:space="0" w:color="auto"/>
        <w:bottom w:val="none" w:sz="0" w:space="0" w:color="auto"/>
        <w:right w:val="none" w:sz="0" w:space="0" w:color="auto"/>
      </w:divBdr>
    </w:div>
    <w:div w:id="132452609">
      <w:bodyDiv w:val="1"/>
      <w:marLeft w:val="0"/>
      <w:marRight w:val="0"/>
      <w:marTop w:val="0"/>
      <w:marBottom w:val="0"/>
      <w:divBdr>
        <w:top w:val="none" w:sz="0" w:space="0" w:color="auto"/>
        <w:left w:val="none" w:sz="0" w:space="0" w:color="auto"/>
        <w:bottom w:val="none" w:sz="0" w:space="0" w:color="auto"/>
        <w:right w:val="none" w:sz="0" w:space="0" w:color="auto"/>
      </w:divBdr>
    </w:div>
    <w:div w:id="132646539">
      <w:bodyDiv w:val="1"/>
      <w:marLeft w:val="0"/>
      <w:marRight w:val="0"/>
      <w:marTop w:val="0"/>
      <w:marBottom w:val="0"/>
      <w:divBdr>
        <w:top w:val="none" w:sz="0" w:space="0" w:color="auto"/>
        <w:left w:val="none" w:sz="0" w:space="0" w:color="auto"/>
        <w:bottom w:val="none" w:sz="0" w:space="0" w:color="auto"/>
        <w:right w:val="none" w:sz="0" w:space="0" w:color="auto"/>
      </w:divBdr>
    </w:div>
    <w:div w:id="133838900">
      <w:bodyDiv w:val="1"/>
      <w:marLeft w:val="0"/>
      <w:marRight w:val="0"/>
      <w:marTop w:val="0"/>
      <w:marBottom w:val="0"/>
      <w:divBdr>
        <w:top w:val="none" w:sz="0" w:space="0" w:color="auto"/>
        <w:left w:val="none" w:sz="0" w:space="0" w:color="auto"/>
        <w:bottom w:val="none" w:sz="0" w:space="0" w:color="auto"/>
        <w:right w:val="none" w:sz="0" w:space="0" w:color="auto"/>
      </w:divBdr>
    </w:div>
    <w:div w:id="134178785">
      <w:bodyDiv w:val="1"/>
      <w:marLeft w:val="0"/>
      <w:marRight w:val="0"/>
      <w:marTop w:val="0"/>
      <w:marBottom w:val="0"/>
      <w:divBdr>
        <w:top w:val="none" w:sz="0" w:space="0" w:color="auto"/>
        <w:left w:val="none" w:sz="0" w:space="0" w:color="auto"/>
        <w:bottom w:val="none" w:sz="0" w:space="0" w:color="auto"/>
        <w:right w:val="none" w:sz="0" w:space="0" w:color="auto"/>
      </w:divBdr>
    </w:div>
    <w:div w:id="135143452">
      <w:bodyDiv w:val="1"/>
      <w:marLeft w:val="0"/>
      <w:marRight w:val="0"/>
      <w:marTop w:val="0"/>
      <w:marBottom w:val="0"/>
      <w:divBdr>
        <w:top w:val="none" w:sz="0" w:space="0" w:color="auto"/>
        <w:left w:val="none" w:sz="0" w:space="0" w:color="auto"/>
        <w:bottom w:val="none" w:sz="0" w:space="0" w:color="auto"/>
        <w:right w:val="none" w:sz="0" w:space="0" w:color="auto"/>
      </w:divBdr>
    </w:div>
    <w:div w:id="135413349">
      <w:bodyDiv w:val="1"/>
      <w:marLeft w:val="0"/>
      <w:marRight w:val="0"/>
      <w:marTop w:val="0"/>
      <w:marBottom w:val="0"/>
      <w:divBdr>
        <w:top w:val="none" w:sz="0" w:space="0" w:color="auto"/>
        <w:left w:val="none" w:sz="0" w:space="0" w:color="auto"/>
        <w:bottom w:val="none" w:sz="0" w:space="0" w:color="auto"/>
        <w:right w:val="none" w:sz="0" w:space="0" w:color="auto"/>
      </w:divBdr>
    </w:div>
    <w:div w:id="139540457">
      <w:bodyDiv w:val="1"/>
      <w:marLeft w:val="0"/>
      <w:marRight w:val="0"/>
      <w:marTop w:val="0"/>
      <w:marBottom w:val="0"/>
      <w:divBdr>
        <w:top w:val="none" w:sz="0" w:space="0" w:color="auto"/>
        <w:left w:val="none" w:sz="0" w:space="0" w:color="auto"/>
        <w:bottom w:val="none" w:sz="0" w:space="0" w:color="auto"/>
        <w:right w:val="none" w:sz="0" w:space="0" w:color="auto"/>
      </w:divBdr>
    </w:div>
    <w:div w:id="140659991">
      <w:bodyDiv w:val="1"/>
      <w:marLeft w:val="0"/>
      <w:marRight w:val="0"/>
      <w:marTop w:val="0"/>
      <w:marBottom w:val="0"/>
      <w:divBdr>
        <w:top w:val="none" w:sz="0" w:space="0" w:color="auto"/>
        <w:left w:val="none" w:sz="0" w:space="0" w:color="auto"/>
        <w:bottom w:val="none" w:sz="0" w:space="0" w:color="auto"/>
        <w:right w:val="none" w:sz="0" w:space="0" w:color="auto"/>
      </w:divBdr>
    </w:div>
    <w:div w:id="141626945">
      <w:bodyDiv w:val="1"/>
      <w:marLeft w:val="0"/>
      <w:marRight w:val="0"/>
      <w:marTop w:val="0"/>
      <w:marBottom w:val="0"/>
      <w:divBdr>
        <w:top w:val="none" w:sz="0" w:space="0" w:color="auto"/>
        <w:left w:val="none" w:sz="0" w:space="0" w:color="auto"/>
        <w:bottom w:val="none" w:sz="0" w:space="0" w:color="auto"/>
        <w:right w:val="none" w:sz="0" w:space="0" w:color="auto"/>
      </w:divBdr>
    </w:div>
    <w:div w:id="143353812">
      <w:bodyDiv w:val="1"/>
      <w:marLeft w:val="0"/>
      <w:marRight w:val="0"/>
      <w:marTop w:val="0"/>
      <w:marBottom w:val="0"/>
      <w:divBdr>
        <w:top w:val="none" w:sz="0" w:space="0" w:color="auto"/>
        <w:left w:val="none" w:sz="0" w:space="0" w:color="auto"/>
        <w:bottom w:val="none" w:sz="0" w:space="0" w:color="auto"/>
        <w:right w:val="none" w:sz="0" w:space="0" w:color="auto"/>
      </w:divBdr>
    </w:div>
    <w:div w:id="144244841">
      <w:bodyDiv w:val="1"/>
      <w:marLeft w:val="0"/>
      <w:marRight w:val="0"/>
      <w:marTop w:val="0"/>
      <w:marBottom w:val="0"/>
      <w:divBdr>
        <w:top w:val="none" w:sz="0" w:space="0" w:color="auto"/>
        <w:left w:val="none" w:sz="0" w:space="0" w:color="auto"/>
        <w:bottom w:val="none" w:sz="0" w:space="0" w:color="auto"/>
        <w:right w:val="none" w:sz="0" w:space="0" w:color="auto"/>
      </w:divBdr>
    </w:div>
    <w:div w:id="150367339">
      <w:bodyDiv w:val="1"/>
      <w:marLeft w:val="0"/>
      <w:marRight w:val="0"/>
      <w:marTop w:val="0"/>
      <w:marBottom w:val="0"/>
      <w:divBdr>
        <w:top w:val="none" w:sz="0" w:space="0" w:color="auto"/>
        <w:left w:val="none" w:sz="0" w:space="0" w:color="auto"/>
        <w:bottom w:val="none" w:sz="0" w:space="0" w:color="auto"/>
        <w:right w:val="none" w:sz="0" w:space="0" w:color="auto"/>
      </w:divBdr>
    </w:div>
    <w:div w:id="151721704">
      <w:bodyDiv w:val="1"/>
      <w:marLeft w:val="0"/>
      <w:marRight w:val="0"/>
      <w:marTop w:val="0"/>
      <w:marBottom w:val="0"/>
      <w:divBdr>
        <w:top w:val="none" w:sz="0" w:space="0" w:color="auto"/>
        <w:left w:val="none" w:sz="0" w:space="0" w:color="auto"/>
        <w:bottom w:val="none" w:sz="0" w:space="0" w:color="auto"/>
        <w:right w:val="none" w:sz="0" w:space="0" w:color="auto"/>
      </w:divBdr>
    </w:div>
    <w:div w:id="151944886">
      <w:bodyDiv w:val="1"/>
      <w:marLeft w:val="0"/>
      <w:marRight w:val="0"/>
      <w:marTop w:val="0"/>
      <w:marBottom w:val="0"/>
      <w:divBdr>
        <w:top w:val="none" w:sz="0" w:space="0" w:color="auto"/>
        <w:left w:val="none" w:sz="0" w:space="0" w:color="auto"/>
        <w:bottom w:val="none" w:sz="0" w:space="0" w:color="auto"/>
        <w:right w:val="none" w:sz="0" w:space="0" w:color="auto"/>
      </w:divBdr>
    </w:div>
    <w:div w:id="152307461">
      <w:bodyDiv w:val="1"/>
      <w:marLeft w:val="0"/>
      <w:marRight w:val="0"/>
      <w:marTop w:val="0"/>
      <w:marBottom w:val="0"/>
      <w:divBdr>
        <w:top w:val="none" w:sz="0" w:space="0" w:color="auto"/>
        <w:left w:val="none" w:sz="0" w:space="0" w:color="auto"/>
        <w:bottom w:val="none" w:sz="0" w:space="0" w:color="auto"/>
        <w:right w:val="none" w:sz="0" w:space="0" w:color="auto"/>
      </w:divBdr>
    </w:div>
    <w:div w:id="154690175">
      <w:bodyDiv w:val="1"/>
      <w:marLeft w:val="0"/>
      <w:marRight w:val="0"/>
      <w:marTop w:val="0"/>
      <w:marBottom w:val="0"/>
      <w:divBdr>
        <w:top w:val="none" w:sz="0" w:space="0" w:color="auto"/>
        <w:left w:val="none" w:sz="0" w:space="0" w:color="auto"/>
        <w:bottom w:val="none" w:sz="0" w:space="0" w:color="auto"/>
        <w:right w:val="none" w:sz="0" w:space="0" w:color="auto"/>
      </w:divBdr>
    </w:div>
    <w:div w:id="155652508">
      <w:bodyDiv w:val="1"/>
      <w:marLeft w:val="0"/>
      <w:marRight w:val="0"/>
      <w:marTop w:val="0"/>
      <w:marBottom w:val="0"/>
      <w:divBdr>
        <w:top w:val="none" w:sz="0" w:space="0" w:color="auto"/>
        <w:left w:val="none" w:sz="0" w:space="0" w:color="auto"/>
        <w:bottom w:val="none" w:sz="0" w:space="0" w:color="auto"/>
        <w:right w:val="none" w:sz="0" w:space="0" w:color="auto"/>
      </w:divBdr>
    </w:div>
    <w:div w:id="155729068">
      <w:bodyDiv w:val="1"/>
      <w:marLeft w:val="0"/>
      <w:marRight w:val="0"/>
      <w:marTop w:val="0"/>
      <w:marBottom w:val="0"/>
      <w:divBdr>
        <w:top w:val="none" w:sz="0" w:space="0" w:color="auto"/>
        <w:left w:val="none" w:sz="0" w:space="0" w:color="auto"/>
        <w:bottom w:val="none" w:sz="0" w:space="0" w:color="auto"/>
        <w:right w:val="none" w:sz="0" w:space="0" w:color="auto"/>
      </w:divBdr>
    </w:div>
    <w:div w:id="159735759">
      <w:bodyDiv w:val="1"/>
      <w:marLeft w:val="0"/>
      <w:marRight w:val="0"/>
      <w:marTop w:val="0"/>
      <w:marBottom w:val="0"/>
      <w:divBdr>
        <w:top w:val="none" w:sz="0" w:space="0" w:color="auto"/>
        <w:left w:val="none" w:sz="0" w:space="0" w:color="auto"/>
        <w:bottom w:val="none" w:sz="0" w:space="0" w:color="auto"/>
        <w:right w:val="none" w:sz="0" w:space="0" w:color="auto"/>
      </w:divBdr>
    </w:div>
    <w:div w:id="160774668">
      <w:bodyDiv w:val="1"/>
      <w:marLeft w:val="0"/>
      <w:marRight w:val="0"/>
      <w:marTop w:val="0"/>
      <w:marBottom w:val="0"/>
      <w:divBdr>
        <w:top w:val="none" w:sz="0" w:space="0" w:color="auto"/>
        <w:left w:val="none" w:sz="0" w:space="0" w:color="auto"/>
        <w:bottom w:val="none" w:sz="0" w:space="0" w:color="auto"/>
        <w:right w:val="none" w:sz="0" w:space="0" w:color="auto"/>
      </w:divBdr>
    </w:div>
    <w:div w:id="161239398">
      <w:bodyDiv w:val="1"/>
      <w:marLeft w:val="0"/>
      <w:marRight w:val="0"/>
      <w:marTop w:val="0"/>
      <w:marBottom w:val="0"/>
      <w:divBdr>
        <w:top w:val="none" w:sz="0" w:space="0" w:color="auto"/>
        <w:left w:val="none" w:sz="0" w:space="0" w:color="auto"/>
        <w:bottom w:val="none" w:sz="0" w:space="0" w:color="auto"/>
        <w:right w:val="none" w:sz="0" w:space="0" w:color="auto"/>
      </w:divBdr>
    </w:div>
    <w:div w:id="163059960">
      <w:bodyDiv w:val="1"/>
      <w:marLeft w:val="0"/>
      <w:marRight w:val="0"/>
      <w:marTop w:val="0"/>
      <w:marBottom w:val="0"/>
      <w:divBdr>
        <w:top w:val="none" w:sz="0" w:space="0" w:color="auto"/>
        <w:left w:val="none" w:sz="0" w:space="0" w:color="auto"/>
        <w:bottom w:val="none" w:sz="0" w:space="0" w:color="auto"/>
        <w:right w:val="none" w:sz="0" w:space="0" w:color="auto"/>
      </w:divBdr>
    </w:div>
    <w:div w:id="165173248">
      <w:bodyDiv w:val="1"/>
      <w:marLeft w:val="0"/>
      <w:marRight w:val="0"/>
      <w:marTop w:val="0"/>
      <w:marBottom w:val="0"/>
      <w:divBdr>
        <w:top w:val="none" w:sz="0" w:space="0" w:color="auto"/>
        <w:left w:val="none" w:sz="0" w:space="0" w:color="auto"/>
        <w:bottom w:val="none" w:sz="0" w:space="0" w:color="auto"/>
        <w:right w:val="none" w:sz="0" w:space="0" w:color="auto"/>
      </w:divBdr>
    </w:div>
    <w:div w:id="166795544">
      <w:bodyDiv w:val="1"/>
      <w:marLeft w:val="0"/>
      <w:marRight w:val="0"/>
      <w:marTop w:val="0"/>
      <w:marBottom w:val="0"/>
      <w:divBdr>
        <w:top w:val="none" w:sz="0" w:space="0" w:color="auto"/>
        <w:left w:val="none" w:sz="0" w:space="0" w:color="auto"/>
        <w:bottom w:val="none" w:sz="0" w:space="0" w:color="auto"/>
        <w:right w:val="none" w:sz="0" w:space="0" w:color="auto"/>
      </w:divBdr>
    </w:div>
    <w:div w:id="167062381">
      <w:bodyDiv w:val="1"/>
      <w:marLeft w:val="0"/>
      <w:marRight w:val="0"/>
      <w:marTop w:val="0"/>
      <w:marBottom w:val="0"/>
      <w:divBdr>
        <w:top w:val="none" w:sz="0" w:space="0" w:color="auto"/>
        <w:left w:val="none" w:sz="0" w:space="0" w:color="auto"/>
        <w:bottom w:val="none" w:sz="0" w:space="0" w:color="auto"/>
        <w:right w:val="none" w:sz="0" w:space="0" w:color="auto"/>
      </w:divBdr>
    </w:div>
    <w:div w:id="167255202">
      <w:bodyDiv w:val="1"/>
      <w:marLeft w:val="0"/>
      <w:marRight w:val="0"/>
      <w:marTop w:val="0"/>
      <w:marBottom w:val="0"/>
      <w:divBdr>
        <w:top w:val="none" w:sz="0" w:space="0" w:color="auto"/>
        <w:left w:val="none" w:sz="0" w:space="0" w:color="auto"/>
        <w:bottom w:val="none" w:sz="0" w:space="0" w:color="auto"/>
        <w:right w:val="none" w:sz="0" w:space="0" w:color="auto"/>
      </w:divBdr>
    </w:div>
    <w:div w:id="167985437">
      <w:bodyDiv w:val="1"/>
      <w:marLeft w:val="0"/>
      <w:marRight w:val="0"/>
      <w:marTop w:val="0"/>
      <w:marBottom w:val="0"/>
      <w:divBdr>
        <w:top w:val="none" w:sz="0" w:space="0" w:color="auto"/>
        <w:left w:val="none" w:sz="0" w:space="0" w:color="auto"/>
        <w:bottom w:val="none" w:sz="0" w:space="0" w:color="auto"/>
        <w:right w:val="none" w:sz="0" w:space="0" w:color="auto"/>
      </w:divBdr>
    </w:div>
    <w:div w:id="169487760">
      <w:bodyDiv w:val="1"/>
      <w:marLeft w:val="0"/>
      <w:marRight w:val="0"/>
      <w:marTop w:val="0"/>
      <w:marBottom w:val="0"/>
      <w:divBdr>
        <w:top w:val="none" w:sz="0" w:space="0" w:color="auto"/>
        <w:left w:val="none" w:sz="0" w:space="0" w:color="auto"/>
        <w:bottom w:val="none" w:sz="0" w:space="0" w:color="auto"/>
        <w:right w:val="none" w:sz="0" w:space="0" w:color="auto"/>
      </w:divBdr>
    </w:div>
    <w:div w:id="170265218">
      <w:bodyDiv w:val="1"/>
      <w:marLeft w:val="0"/>
      <w:marRight w:val="0"/>
      <w:marTop w:val="0"/>
      <w:marBottom w:val="0"/>
      <w:divBdr>
        <w:top w:val="none" w:sz="0" w:space="0" w:color="auto"/>
        <w:left w:val="none" w:sz="0" w:space="0" w:color="auto"/>
        <w:bottom w:val="none" w:sz="0" w:space="0" w:color="auto"/>
        <w:right w:val="none" w:sz="0" w:space="0" w:color="auto"/>
      </w:divBdr>
    </w:div>
    <w:div w:id="171800330">
      <w:bodyDiv w:val="1"/>
      <w:marLeft w:val="0"/>
      <w:marRight w:val="0"/>
      <w:marTop w:val="0"/>
      <w:marBottom w:val="0"/>
      <w:divBdr>
        <w:top w:val="none" w:sz="0" w:space="0" w:color="auto"/>
        <w:left w:val="none" w:sz="0" w:space="0" w:color="auto"/>
        <w:bottom w:val="none" w:sz="0" w:space="0" w:color="auto"/>
        <w:right w:val="none" w:sz="0" w:space="0" w:color="auto"/>
      </w:divBdr>
    </w:div>
    <w:div w:id="172573567">
      <w:bodyDiv w:val="1"/>
      <w:marLeft w:val="0"/>
      <w:marRight w:val="0"/>
      <w:marTop w:val="0"/>
      <w:marBottom w:val="0"/>
      <w:divBdr>
        <w:top w:val="none" w:sz="0" w:space="0" w:color="auto"/>
        <w:left w:val="none" w:sz="0" w:space="0" w:color="auto"/>
        <w:bottom w:val="none" w:sz="0" w:space="0" w:color="auto"/>
        <w:right w:val="none" w:sz="0" w:space="0" w:color="auto"/>
      </w:divBdr>
    </w:div>
    <w:div w:id="178202327">
      <w:bodyDiv w:val="1"/>
      <w:marLeft w:val="0"/>
      <w:marRight w:val="0"/>
      <w:marTop w:val="0"/>
      <w:marBottom w:val="0"/>
      <w:divBdr>
        <w:top w:val="none" w:sz="0" w:space="0" w:color="auto"/>
        <w:left w:val="none" w:sz="0" w:space="0" w:color="auto"/>
        <w:bottom w:val="none" w:sz="0" w:space="0" w:color="auto"/>
        <w:right w:val="none" w:sz="0" w:space="0" w:color="auto"/>
      </w:divBdr>
    </w:div>
    <w:div w:id="181864736">
      <w:bodyDiv w:val="1"/>
      <w:marLeft w:val="0"/>
      <w:marRight w:val="0"/>
      <w:marTop w:val="0"/>
      <w:marBottom w:val="0"/>
      <w:divBdr>
        <w:top w:val="none" w:sz="0" w:space="0" w:color="auto"/>
        <w:left w:val="none" w:sz="0" w:space="0" w:color="auto"/>
        <w:bottom w:val="none" w:sz="0" w:space="0" w:color="auto"/>
        <w:right w:val="none" w:sz="0" w:space="0" w:color="auto"/>
      </w:divBdr>
    </w:div>
    <w:div w:id="182476885">
      <w:bodyDiv w:val="1"/>
      <w:marLeft w:val="0"/>
      <w:marRight w:val="0"/>
      <w:marTop w:val="0"/>
      <w:marBottom w:val="0"/>
      <w:divBdr>
        <w:top w:val="none" w:sz="0" w:space="0" w:color="auto"/>
        <w:left w:val="none" w:sz="0" w:space="0" w:color="auto"/>
        <w:bottom w:val="none" w:sz="0" w:space="0" w:color="auto"/>
        <w:right w:val="none" w:sz="0" w:space="0" w:color="auto"/>
      </w:divBdr>
    </w:div>
    <w:div w:id="182742585">
      <w:bodyDiv w:val="1"/>
      <w:marLeft w:val="0"/>
      <w:marRight w:val="0"/>
      <w:marTop w:val="0"/>
      <w:marBottom w:val="0"/>
      <w:divBdr>
        <w:top w:val="none" w:sz="0" w:space="0" w:color="auto"/>
        <w:left w:val="none" w:sz="0" w:space="0" w:color="auto"/>
        <w:bottom w:val="none" w:sz="0" w:space="0" w:color="auto"/>
        <w:right w:val="none" w:sz="0" w:space="0" w:color="auto"/>
      </w:divBdr>
    </w:div>
    <w:div w:id="182986143">
      <w:bodyDiv w:val="1"/>
      <w:marLeft w:val="0"/>
      <w:marRight w:val="0"/>
      <w:marTop w:val="0"/>
      <w:marBottom w:val="0"/>
      <w:divBdr>
        <w:top w:val="none" w:sz="0" w:space="0" w:color="auto"/>
        <w:left w:val="none" w:sz="0" w:space="0" w:color="auto"/>
        <w:bottom w:val="none" w:sz="0" w:space="0" w:color="auto"/>
        <w:right w:val="none" w:sz="0" w:space="0" w:color="auto"/>
      </w:divBdr>
    </w:div>
    <w:div w:id="184171153">
      <w:bodyDiv w:val="1"/>
      <w:marLeft w:val="0"/>
      <w:marRight w:val="0"/>
      <w:marTop w:val="0"/>
      <w:marBottom w:val="0"/>
      <w:divBdr>
        <w:top w:val="none" w:sz="0" w:space="0" w:color="auto"/>
        <w:left w:val="none" w:sz="0" w:space="0" w:color="auto"/>
        <w:bottom w:val="none" w:sz="0" w:space="0" w:color="auto"/>
        <w:right w:val="none" w:sz="0" w:space="0" w:color="auto"/>
      </w:divBdr>
    </w:div>
    <w:div w:id="185947241">
      <w:bodyDiv w:val="1"/>
      <w:marLeft w:val="0"/>
      <w:marRight w:val="0"/>
      <w:marTop w:val="0"/>
      <w:marBottom w:val="0"/>
      <w:divBdr>
        <w:top w:val="none" w:sz="0" w:space="0" w:color="auto"/>
        <w:left w:val="none" w:sz="0" w:space="0" w:color="auto"/>
        <w:bottom w:val="none" w:sz="0" w:space="0" w:color="auto"/>
        <w:right w:val="none" w:sz="0" w:space="0" w:color="auto"/>
      </w:divBdr>
    </w:div>
    <w:div w:id="188297605">
      <w:bodyDiv w:val="1"/>
      <w:marLeft w:val="0"/>
      <w:marRight w:val="0"/>
      <w:marTop w:val="0"/>
      <w:marBottom w:val="0"/>
      <w:divBdr>
        <w:top w:val="none" w:sz="0" w:space="0" w:color="auto"/>
        <w:left w:val="none" w:sz="0" w:space="0" w:color="auto"/>
        <w:bottom w:val="none" w:sz="0" w:space="0" w:color="auto"/>
        <w:right w:val="none" w:sz="0" w:space="0" w:color="auto"/>
      </w:divBdr>
    </w:div>
    <w:div w:id="192034223">
      <w:bodyDiv w:val="1"/>
      <w:marLeft w:val="0"/>
      <w:marRight w:val="0"/>
      <w:marTop w:val="0"/>
      <w:marBottom w:val="0"/>
      <w:divBdr>
        <w:top w:val="none" w:sz="0" w:space="0" w:color="auto"/>
        <w:left w:val="none" w:sz="0" w:space="0" w:color="auto"/>
        <w:bottom w:val="none" w:sz="0" w:space="0" w:color="auto"/>
        <w:right w:val="none" w:sz="0" w:space="0" w:color="auto"/>
      </w:divBdr>
    </w:div>
    <w:div w:id="192620579">
      <w:bodyDiv w:val="1"/>
      <w:marLeft w:val="0"/>
      <w:marRight w:val="0"/>
      <w:marTop w:val="0"/>
      <w:marBottom w:val="0"/>
      <w:divBdr>
        <w:top w:val="none" w:sz="0" w:space="0" w:color="auto"/>
        <w:left w:val="none" w:sz="0" w:space="0" w:color="auto"/>
        <w:bottom w:val="none" w:sz="0" w:space="0" w:color="auto"/>
        <w:right w:val="none" w:sz="0" w:space="0" w:color="auto"/>
      </w:divBdr>
    </w:div>
    <w:div w:id="194660523">
      <w:bodyDiv w:val="1"/>
      <w:marLeft w:val="0"/>
      <w:marRight w:val="0"/>
      <w:marTop w:val="0"/>
      <w:marBottom w:val="0"/>
      <w:divBdr>
        <w:top w:val="none" w:sz="0" w:space="0" w:color="auto"/>
        <w:left w:val="none" w:sz="0" w:space="0" w:color="auto"/>
        <w:bottom w:val="none" w:sz="0" w:space="0" w:color="auto"/>
        <w:right w:val="none" w:sz="0" w:space="0" w:color="auto"/>
      </w:divBdr>
    </w:div>
    <w:div w:id="194739077">
      <w:bodyDiv w:val="1"/>
      <w:marLeft w:val="0"/>
      <w:marRight w:val="0"/>
      <w:marTop w:val="0"/>
      <w:marBottom w:val="0"/>
      <w:divBdr>
        <w:top w:val="none" w:sz="0" w:space="0" w:color="auto"/>
        <w:left w:val="none" w:sz="0" w:space="0" w:color="auto"/>
        <w:bottom w:val="none" w:sz="0" w:space="0" w:color="auto"/>
        <w:right w:val="none" w:sz="0" w:space="0" w:color="auto"/>
      </w:divBdr>
    </w:div>
    <w:div w:id="195387796">
      <w:bodyDiv w:val="1"/>
      <w:marLeft w:val="0"/>
      <w:marRight w:val="0"/>
      <w:marTop w:val="0"/>
      <w:marBottom w:val="0"/>
      <w:divBdr>
        <w:top w:val="none" w:sz="0" w:space="0" w:color="auto"/>
        <w:left w:val="none" w:sz="0" w:space="0" w:color="auto"/>
        <w:bottom w:val="none" w:sz="0" w:space="0" w:color="auto"/>
        <w:right w:val="none" w:sz="0" w:space="0" w:color="auto"/>
      </w:divBdr>
    </w:div>
    <w:div w:id="195965168">
      <w:bodyDiv w:val="1"/>
      <w:marLeft w:val="0"/>
      <w:marRight w:val="0"/>
      <w:marTop w:val="0"/>
      <w:marBottom w:val="0"/>
      <w:divBdr>
        <w:top w:val="none" w:sz="0" w:space="0" w:color="auto"/>
        <w:left w:val="none" w:sz="0" w:space="0" w:color="auto"/>
        <w:bottom w:val="none" w:sz="0" w:space="0" w:color="auto"/>
        <w:right w:val="none" w:sz="0" w:space="0" w:color="auto"/>
      </w:divBdr>
    </w:div>
    <w:div w:id="196359532">
      <w:bodyDiv w:val="1"/>
      <w:marLeft w:val="0"/>
      <w:marRight w:val="0"/>
      <w:marTop w:val="0"/>
      <w:marBottom w:val="0"/>
      <w:divBdr>
        <w:top w:val="none" w:sz="0" w:space="0" w:color="auto"/>
        <w:left w:val="none" w:sz="0" w:space="0" w:color="auto"/>
        <w:bottom w:val="none" w:sz="0" w:space="0" w:color="auto"/>
        <w:right w:val="none" w:sz="0" w:space="0" w:color="auto"/>
      </w:divBdr>
    </w:div>
    <w:div w:id="197084437">
      <w:bodyDiv w:val="1"/>
      <w:marLeft w:val="0"/>
      <w:marRight w:val="0"/>
      <w:marTop w:val="0"/>
      <w:marBottom w:val="0"/>
      <w:divBdr>
        <w:top w:val="none" w:sz="0" w:space="0" w:color="auto"/>
        <w:left w:val="none" w:sz="0" w:space="0" w:color="auto"/>
        <w:bottom w:val="none" w:sz="0" w:space="0" w:color="auto"/>
        <w:right w:val="none" w:sz="0" w:space="0" w:color="auto"/>
      </w:divBdr>
    </w:div>
    <w:div w:id="197091752">
      <w:bodyDiv w:val="1"/>
      <w:marLeft w:val="0"/>
      <w:marRight w:val="0"/>
      <w:marTop w:val="0"/>
      <w:marBottom w:val="0"/>
      <w:divBdr>
        <w:top w:val="none" w:sz="0" w:space="0" w:color="auto"/>
        <w:left w:val="none" w:sz="0" w:space="0" w:color="auto"/>
        <w:bottom w:val="none" w:sz="0" w:space="0" w:color="auto"/>
        <w:right w:val="none" w:sz="0" w:space="0" w:color="auto"/>
      </w:divBdr>
    </w:div>
    <w:div w:id="201523704">
      <w:bodyDiv w:val="1"/>
      <w:marLeft w:val="0"/>
      <w:marRight w:val="0"/>
      <w:marTop w:val="0"/>
      <w:marBottom w:val="0"/>
      <w:divBdr>
        <w:top w:val="none" w:sz="0" w:space="0" w:color="auto"/>
        <w:left w:val="none" w:sz="0" w:space="0" w:color="auto"/>
        <w:bottom w:val="none" w:sz="0" w:space="0" w:color="auto"/>
        <w:right w:val="none" w:sz="0" w:space="0" w:color="auto"/>
      </w:divBdr>
    </w:div>
    <w:div w:id="203716759">
      <w:bodyDiv w:val="1"/>
      <w:marLeft w:val="0"/>
      <w:marRight w:val="0"/>
      <w:marTop w:val="0"/>
      <w:marBottom w:val="0"/>
      <w:divBdr>
        <w:top w:val="none" w:sz="0" w:space="0" w:color="auto"/>
        <w:left w:val="none" w:sz="0" w:space="0" w:color="auto"/>
        <w:bottom w:val="none" w:sz="0" w:space="0" w:color="auto"/>
        <w:right w:val="none" w:sz="0" w:space="0" w:color="auto"/>
      </w:divBdr>
    </w:div>
    <w:div w:id="206993867">
      <w:bodyDiv w:val="1"/>
      <w:marLeft w:val="0"/>
      <w:marRight w:val="0"/>
      <w:marTop w:val="0"/>
      <w:marBottom w:val="0"/>
      <w:divBdr>
        <w:top w:val="none" w:sz="0" w:space="0" w:color="auto"/>
        <w:left w:val="none" w:sz="0" w:space="0" w:color="auto"/>
        <w:bottom w:val="none" w:sz="0" w:space="0" w:color="auto"/>
        <w:right w:val="none" w:sz="0" w:space="0" w:color="auto"/>
      </w:divBdr>
    </w:div>
    <w:div w:id="207423902">
      <w:bodyDiv w:val="1"/>
      <w:marLeft w:val="0"/>
      <w:marRight w:val="0"/>
      <w:marTop w:val="0"/>
      <w:marBottom w:val="0"/>
      <w:divBdr>
        <w:top w:val="none" w:sz="0" w:space="0" w:color="auto"/>
        <w:left w:val="none" w:sz="0" w:space="0" w:color="auto"/>
        <w:bottom w:val="none" w:sz="0" w:space="0" w:color="auto"/>
        <w:right w:val="none" w:sz="0" w:space="0" w:color="auto"/>
      </w:divBdr>
    </w:div>
    <w:div w:id="210464061">
      <w:bodyDiv w:val="1"/>
      <w:marLeft w:val="0"/>
      <w:marRight w:val="0"/>
      <w:marTop w:val="0"/>
      <w:marBottom w:val="0"/>
      <w:divBdr>
        <w:top w:val="none" w:sz="0" w:space="0" w:color="auto"/>
        <w:left w:val="none" w:sz="0" w:space="0" w:color="auto"/>
        <w:bottom w:val="none" w:sz="0" w:space="0" w:color="auto"/>
        <w:right w:val="none" w:sz="0" w:space="0" w:color="auto"/>
      </w:divBdr>
    </w:div>
    <w:div w:id="213393949">
      <w:bodyDiv w:val="1"/>
      <w:marLeft w:val="0"/>
      <w:marRight w:val="0"/>
      <w:marTop w:val="0"/>
      <w:marBottom w:val="0"/>
      <w:divBdr>
        <w:top w:val="none" w:sz="0" w:space="0" w:color="auto"/>
        <w:left w:val="none" w:sz="0" w:space="0" w:color="auto"/>
        <w:bottom w:val="none" w:sz="0" w:space="0" w:color="auto"/>
        <w:right w:val="none" w:sz="0" w:space="0" w:color="auto"/>
      </w:divBdr>
    </w:div>
    <w:div w:id="213977176">
      <w:bodyDiv w:val="1"/>
      <w:marLeft w:val="0"/>
      <w:marRight w:val="0"/>
      <w:marTop w:val="0"/>
      <w:marBottom w:val="0"/>
      <w:divBdr>
        <w:top w:val="none" w:sz="0" w:space="0" w:color="auto"/>
        <w:left w:val="none" w:sz="0" w:space="0" w:color="auto"/>
        <w:bottom w:val="none" w:sz="0" w:space="0" w:color="auto"/>
        <w:right w:val="none" w:sz="0" w:space="0" w:color="auto"/>
      </w:divBdr>
    </w:div>
    <w:div w:id="217478530">
      <w:bodyDiv w:val="1"/>
      <w:marLeft w:val="0"/>
      <w:marRight w:val="0"/>
      <w:marTop w:val="0"/>
      <w:marBottom w:val="0"/>
      <w:divBdr>
        <w:top w:val="none" w:sz="0" w:space="0" w:color="auto"/>
        <w:left w:val="none" w:sz="0" w:space="0" w:color="auto"/>
        <w:bottom w:val="none" w:sz="0" w:space="0" w:color="auto"/>
        <w:right w:val="none" w:sz="0" w:space="0" w:color="auto"/>
      </w:divBdr>
    </w:div>
    <w:div w:id="219753815">
      <w:bodyDiv w:val="1"/>
      <w:marLeft w:val="0"/>
      <w:marRight w:val="0"/>
      <w:marTop w:val="0"/>
      <w:marBottom w:val="0"/>
      <w:divBdr>
        <w:top w:val="none" w:sz="0" w:space="0" w:color="auto"/>
        <w:left w:val="none" w:sz="0" w:space="0" w:color="auto"/>
        <w:bottom w:val="none" w:sz="0" w:space="0" w:color="auto"/>
        <w:right w:val="none" w:sz="0" w:space="0" w:color="auto"/>
      </w:divBdr>
    </w:div>
    <w:div w:id="223298651">
      <w:bodyDiv w:val="1"/>
      <w:marLeft w:val="0"/>
      <w:marRight w:val="0"/>
      <w:marTop w:val="0"/>
      <w:marBottom w:val="0"/>
      <w:divBdr>
        <w:top w:val="none" w:sz="0" w:space="0" w:color="auto"/>
        <w:left w:val="none" w:sz="0" w:space="0" w:color="auto"/>
        <w:bottom w:val="none" w:sz="0" w:space="0" w:color="auto"/>
        <w:right w:val="none" w:sz="0" w:space="0" w:color="auto"/>
      </w:divBdr>
    </w:div>
    <w:div w:id="226035889">
      <w:bodyDiv w:val="1"/>
      <w:marLeft w:val="0"/>
      <w:marRight w:val="0"/>
      <w:marTop w:val="0"/>
      <w:marBottom w:val="0"/>
      <w:divBdr>
        <w:top w:val="none" w:sz="0" w:space="0" w:color="auto"/>
        <w:left w:val="none" w:sz="0" w:space="0" w:color="auto"/>
        <w:bottom w:val="none" w:sz="0" w:space="0" w:color="auto"/>
        <w:right w:val="none" w:sz="0" w:space="0" w:color="auto"/>
      </w:divBdr>
    </w:div>
    <w:div w:id="228613036">
      <w:bodyDiv w:val="1"/>
      <w:marLeft w:val="0"/>
      <w:marRight w:val="0"/>
      <w:marTop w:val="0"/>
      <w:marBottom w:val="0"/>
      <w:divBdr>
        <w:top w:val="none" w:sz="0" w:space="0" w:color="auto"/>
        <w:left w:val="none" w:sz="0" w:space="0" w:color="auto"/>
        <w:bottom w:val="none" w:sz="0" w:space="0" w:color="auto"/>
        <w:right w:val="none" w:sz="0" w:space="0" w:color="auto"/>
      </w:divBdr>
    </w:div>
    <w:div w:id="228619930">
      <w:bodyDiv w:val="1"/>
      <w:marLeft w:val="0"/>
      <w:marRight w:val="0"/>
      <w:marTop w:val="0"/>
      <w:marBottom w:val="0"/>
      <w:divBdr>
        <w:top w:val="none" w:sz="0" w:space="0" w:color="auto"/>
        <w:left w:val="none" w:sz="0" w:space="0" w:color="auto"/>
        <w:bottom w:val="none" w:sz="0" w:space="0" w:color="auto"/>
        <w:right w:val="none" w:sz="0" w:space="0" w:color="auto"/>
      </w:divBdr>
    </w:div>
    <w:div w:id="229049095">
      <w:bodyDiv w:val="1"/>
      <w:marLeft w:val="0"/>
      <w:marRight w:val="0"/>
      <w:marTop w:val="0"/>
      <w:marBottom w:val="0"/>
      <w:divBdr>
        <w:top w:val="none" w:sz="0" w:space="0" w:color="auto"/>
        <w:left w:val="none" w:sz="0" w:space="0" w:color="auto"/>
        <w:bottom w:val="none" w:sz="0" w:space="0" w:color="auto"/>
        <w:right w:val="none" w:sz="0" w:space="0" w:color="auto"/>
      </w:divBdr>
    </w:div>
    <w:div w:id="231163038">
      <w:bodyDiv w:val="1"/>
      <w:marLeft w:val="0"/>
      <w:marRight w:val="0"/>
      <w:marTop w:val="0"/>
      <w:marBottom w:val="0"/>
      <w:divBdr>
        <w:top w:val="none" w:sz="0" w:space="0" w:color="auto"/>
        <w:left w:val="none" w:sz="0" w:space="0" w:color="auto"/>
        <w:bottom w:val="none" w:sz="0" w:space="0" w:color="auto"/>
        <w:right w:val="none" w:sz="0" w:space="0" w:color="auto"/>
      </w:divBdr>
    </w:div>
    <w:div w:id="232854359">
      <w:bodyDiv w:val="1"/>
      <w:marLeft w:val="0"/>
      <w:marRight w:val="0"/>
      <w:marTop w:val="0"/>
      <w:marBottom w:val="0"/>
      <w:divBdr>
        <w:top w:val="none" w:sz="0" w:space="0" w:color="auto"/>
        <w:left w:val="none" w:sz="0" w:space="0" w:color="auto"/>
        <w:bottom w:val="none" w:sz="0" w:space="0" w:color="auto"/>
        <w:right w:val="none" w:sz="0" w:space="0" w:color="auto"/>
      </w:divBdr>
    </w:div>
    <w:div w:id="233781496">
      <w:bodyDiv w:val="1"/>
      <w:marLeft w:val="0"/>
      <w:marRight w:val="0"/>
      <w:marTop w:val="0"/>
      <w:marBottom w:val="0"/>
      <w:divBdr>
        <w:top w:val="none" w:sz="0" w:space="0" w:color="auto"/>
        <w:left w:val="none" w:sz="0" w:space="0" w:color="auto"/>
        <w:bottom w:val="none" w:sz="0" w:space="0" w:color="auto"/>
        <w:right w:val="none" w:sz="0" w:space="0" w:color="auto"/>
      </w:divBdr>
    </w:div>
    <w:div w:id="234902009">
      <w:bodyDiv w:val="1"/>
      <w:marLeft w:val="0"/>
      <w:marRight w:val="0"/>
      <w:marTop w:val="0"/>
      <w:marBottom w:val="0"/>
      <w:divBdr>
        <w:top w:val="none" w:sz="0" w:space="0" w:color="auto"/>
        <w:left w:val="none" w:sz="0" w:space="0" w:color="auto"/>
        <w:bottom w:val="none" w:sz="0" w:space="0" w:color="auto"/>
        <w:right w:val="none" w:sz="0" w:space="0" w:color="auto"/>
      </w:divBdr>
    </w:div>
    <w:div w:id="235408021">
      <w:bodyDiv w:val="1"/>
      <w:marLeft w:val="0"/>
      <w:marRight w:val="0"/>
      <w:marTop w:val="0"/>
      <w:marBottom w:val="0"/>
      <w:divBdr>
        <w:top w:val="none" w:sz="0" w:space="0" w:color="auto"/>
        <w:left w:val="none" w:sz="0" w:space="0" w:color="auto"/>
        <w:bottom w:val="none" w:sz="0" w:space="0" w:color="auto"/>
        <w:right w:val="none" w:sz="0" w:space="0" w:color="auto"/>
      </w:divBdr>
    </w:div>
    <w:div w:id="236861893">
      <w:bodyDiv w:val="1"/>
      <w:marLeft w:val="0"/>
      <w:marRight w:val="0"/>
      <w:marTop w:val="0"/>
      <w:marBottom w:val="0"/>
      <w:divBdr>
        <w:top w:val="none" w:sz="0" w:space="0" w:color="auto"/>
        <w:left w:val="none" w:sz="0" w:space="0" w:color="auto"/>
        <w:bottom w:val="none" w:sz="0" w:space="0" w:color="auto"/>
        <w:right w:val="none" w:sz="0" w:space="0" w:color="auto"/>
      </w:divBdr>
    </w:div>
    <w:div w:id="237135509">
      <w:bodyDiv w:val="1"/>
      <w:marLeft w:val="0"/>
      <w:marRight w:val="0"/>
      <w:marTop w:val="0"/>
      <w:marBottom w:val="0"/>
      <w:divBdr>
        <w:top w:val="none" w:sz="0" w:space="0" w:color="auto"/>
        <w:left w:val="none" w:sz="0" w:space="0" w:color="auto"/>
        <w:bottom w:val="none" w:sz="0" w:space="0" w:color="auto"/>
        <w:right w:val="none" w:sz="0" w:space="0" w:color="auto"/>
      </w:divBdr>
    </w:div>
    <w:div w:id="240260670">
      <w:bodyDiv w:val="1"/>
      <w:marLeft w:val="0"/>
      <w:marRight w:val="0"/>
      <w:marTop w:val="0"/>
      <w:marBottom w:val="0"/>
      <w:divBdr>
        <w:top w:val="none" w:sz="0" w:space="0" w:color="auto"/>
        <w:left w:val="none" w:sz="0" w:space="0" w:color="auto"/>
        <w:bottom w:val="none" w:sz="0" w:space="0" w:color="auto"/>
        <w:right w:val="none" w:sz="0" w:space="0" w:color="auto"/>
      </w:divBdr>
    </w:div>
    <w:div w:id="241332049">
      <w:bodyDiv w:val="1"/>
      <w:marLeft w:val="0"/>
      <w:marRight w:val="0"/>
      <w:marTop w:val="0"/>
      <w:marBottom w:val="0"/>
      <w:divBdr>
        <w:top w:val="none" w:sz="0" w:space="0" w:color="auto"/>
        <w:left w:val="none" w:sz="0" w:space="0" w:color="auto"/>
        <w:bottom w:val="none" w:sz="0" w:space="0" w:color="auto"/>
        <w:right w:val="none" w:sz="0" w:space="0" w:color="auto"/>
      </w:divBdr>
    </w:div>
    <w:div w:id="243075079">
      <w:bodyDiv w:val="1"/>
      <w:marLeft w:val="0"/>
      <w:marRight w:val="0"/>
      <w:marTop w:val="0"/>
      <w:marBottom w:val="0"/>
      <w:divBdr>
        <w:top w:val="none" w:sz="0" w:space="0" w:color="auto"/>
        <w:left w:val="none" w:sz="0" w:space="0" w:color="auto"/>
        <w:bottom w:val="none" w:sz="0" w:space="0" w:color="auto"/>
        <w:right w:val="none" w:sz="0" w:space="0" w:color="auto"/>
      </w:divBdr>
    </w:div>
    <w:div w:id="243489760">
      <w:bodyDiv w:val="1"/>
      <w:marLeft w:val="0"/>
      <w:marRight w:val="0"/>
      <w:marTop w:val="0"/>
      <w:marBottom w:val="0"/>
      <w:divBdr>
        <w:top w:val="none" w:sz="0" w:space="0" w:color="auto"/>
        <w:left w:val="none" w:sz="0" w:space="0" w:color="auto"/>
        <w:bottom w:val="none" w:sz="0" w:space="0" w:color="auto"/>
        <w:right w:val="none" w:sz="0" w:space="0" w:color="auto"/>
      </w:divBdr>
    </w:div>
    <w:div w:id="243809096">
      <w:bodyDiv w:val="1"/>
      <w:marLeft w:val="0"/>
      <w:marRight w:val="0"/>
      <w:marTop w:val="0"/>
      <w:marBottom w:val="0"/>
      <w:divBdr>
        <w:top w:val="none" w:sz="0" w:space="0" w:color="auto"/>
        <w:left w:val="none" w:sz="0" w:space="0" w:color="auto"/>
        <w:bottom w:val="none" w:sz="0" w:space="0" w:color="auto"/>
        <w:right w:val="none" w:sz="0" w:space="0" w:color="auto"/>
      </w:divBdr>
    </w:div>
    <w:div w:id="244806835">
      <w:bodyDiv w:val="1"/>
      <w:marLeft w:val="0"/>
      <w:marRight w:val="0"/>
      <w:marTop w:val="0"/>
      <w:marBottom w:val="0"/>
      <w:divBdr>
        <w:top w:val="none" w:sz="0" w:space="0" w:color="auto"/>
        <w:left w:val="none" w:sz="0" w:space="0" w:color="auto"/>
        <w:bottom w:val="none" w:sz="0" w:space="0" w:color="auto"/>
        <w:right w:val="none" w:sz="0" w:space="0" w:color="auto"/>
      </w:divBdr>
    </w:div>
    <w:div w:id="247345342">
      <w:bodyDiv w:val="1"/>
      <w:marLeft w:val="0"/>
      <w:marRight w:val="0"/>
      <w:marTop w:val="0"/>
      <w:marBottom w:val="0"/>
      <w:divBdr>
        <w:top w:val="none" w:sz="0" w:space="0" w:color="auto"/>
        <w:left w:val="none" w:sz="0" w:space="0" w:color="auto"/>
        <w:bottom w:val="none" w:sz="0" w:space="0" w:color="auto"/>
        <w:right w:val="none" w:sz="0" w:space="0" w:color="auto"/>
      </w:divBdr>
    </w:div>
    <w:div w:id="247543706">
      <w:bodyDiv w:val="1"/>
      <w:marLeft w:val="0"/>
      <w:marRight w:val="0"/>
      <w:marTop w:val="0"/>
      <w:marBottom w:val="0"/>
      <w:divBdr>
        <w:top w:val="none" w:sz="0" w:space="0" w:color="auto"/>
        <w:left w:val="none" w:sz="0" w:space="0" w:color="auto"/>
        <w:bottom w:val="none" w:sz="0" w:space="0" w:color="auto"/>
        <w:right w:val="none" w:sz="0" w:space="0" w:color="auto"/>
      </w:divBdr>
    </w:div>
    <w:div w:id="247622702">
      <w:bodyDiv w:val="1"/>
      <w:marLeft w:val="0"/>
      <w:marRight w:val="0"/>
      <w:marTop w:val="0"/>
      <w:marBottom w:val="0"/>
      <w:divBdr>
        <w:top w:val="none" w:sz="0" w:space="0" w:color="auto"/>
        <w:left w:val="none" w:sz="0" w:space="0" w:color="auto"/>
        <w:bottom w:val="none" w:sz="0" w:space="0" w:color="auto"/>
        <w:right w:val="none" w:sz="0" w:space="0" w:color="auto"/>
      </w:divBdr>
    </w:div>
    <w:div w:id="249655629">
      <w:bodyDiv w:val="1"/>
      <w:marLeft w:val="0"/>
      <w:marRight w:val="0"/>
      <w:marTop w:val="0"/>
      <w:marBottom w:val="0"/>
      <w:divBdr>
        <w:top w:val="none" w:sz="0" w:space="0" w:color="auto"/>
        <w:left w:val="none" w:sz="0" w:space="0" w:color="auto"/>
        <w:bottom w:val="none" w:sz="0" w:space="0" w:color="auto"/>
        <w:right w:val="none" w:sz="0" w:space="0" w:color="auto"/>
      </w:divBdr>
    </w:div>
    <w:div w:id="249849984">
      <w:bodyDiv w:val="1"/>
      <w:marLeft w:val="0"/>
      <w:marRight w:val="0"/>
      <w:marTop w:val="0"/>
      <w:marBottom w:val="0"/>
      <w:divBdr>
        <w:top w:val="none" w:sz="0" w:space="0" w:color="auto"/>
        <w:left w:val="none" w:sz="0" w:space="0" w:color="auto"/>
        <w:bottom w:val="none" w:sz="0" w:space="0" w:color="auto"/>
        <w:right w:val="none" w:sz="0" w:space="0" w:color="auto"/>
      </w:divBdr>
    </w:div>
    <w:div w:id="252130346">
      <w:bodyDiv w:val="1"/>
      <w:marLeft w:val="0"/>
      <w:marRight w:val="0"/>
      <w:marTop w:val="0"/>
      <w:marBottom w:val="0"/>
      <w:divBdr>
        <w:top w:val="none" w:sz="0" w:space="0" w:color="auto"/>
        <w:left w:val="none" w:sz="0" w:space="0" w:color="auto"/>
        <w:bottom w:val="none" w:sz="0" w:space="0" w:color="auto"/>
        <w:right w:val="none" w:sz="0" w:space="0" w:color="auto"/>
      </w:divBdr>
    </w:div>
    <w:div w:id="256183890">
      <w:bodyDiv w:val="1"/>
      <w:marLeft w:val="0"/>
      <w:marRight w:val="0"/>
      <w:marTop w:val="0"/>
      <w:marBottom w:val="0"/>
      <w:divBdr>
        <w:top w:val="none" w:sz="0" w:space="0" w:color="auto"/>
        <w:left w:val="none" w:sz="0" w:space="0" w:color="auto"/>
        <w:bottom w:val="none" w:sz="0" w:space="0" w:color="auto"/>
        <w:right w:val="none" w:sz="0" w:space="0" w:color="auto"/>
      </w:divBdr>
    </w:div>
    <w:div w:id="256400974">
      <w:bodyDiv w:val="1"/>
      <w:marLeft w:val="0"/>
      <w:marRight w:val="0"/>
      <w:marTop w:val="0"/>
      <w:marBottom w:val="0"/>
      <w:divBdr>
        <w:top w:val="none" w:sz="0" w:space="0" w:color="auto"/>
        <w:left w:val="none" w:sz="0" w:space="0" w:color="auto"/>
        <w:bottom w:val="none" w:sz="0" w:space="0" w:color="auto"/>
        <w:right w:val="none" w:sz="0" w:space="0" w:color="auto"/>
      </w:divBdr>
    </w:div>
    <w:div w:id="256597510">
      <w:bodyDiv w:val="1"/>
      <w:marLeft w:val="0"/>
      <w:marRight w:val="0"/>
      <w:marTop w:val="0"/>
      <w:marBottom w:val="0"/>
      <w:divBdr>
        <w:top w:val="none" w:sz="0" w:space="0" w:color="auto"/>
        <w:left w:val="none" w:sz="0" w:space="0" w:color="auto"/>
        <w:bottom w:val="none" w:sz="0" w:space="0" w:color="auto"/>
        <w:right w:val="none" w:sz="0" w:space="0" w:color="auto"/>
      </w:divBdr>
    </w:div>
    <w:div w:id="260726870">
      <w:bodyDiv w:val="1"/>
      <w:marLeft w:val="0"/>
      <w:marRight w:val="0"/>
      <w:marTop w:val="0"/>
      <w:marBottom w:val="0"/>
      <w:divBdr>
        <w:top w:val="none" w:sz="0" w:space="0" w:color="auto"/>
        <w:left w:val="none" w:sz="0" w:space="0" w:color="auto"/>
        <w:bottom w:val="none" w:sz="0" w:space="0" w:color="auto"/>
        <w:right w:val="none" w:sz="0" w:space="0" w:color="auto"/>
      </w:divBdr>
    </w:div>
    <w:div w:id="261424139">
      <w:bodyDiv w:val="1"/>
      <w:marLeft w:val="0"/>
      <w:marRight w:val="0"/>
      <w:marTop w:val="0"/>
      <w:marBottom w:val="0"/>
      <w:divBdr>
        <w:top w:val="none" w:sz="0" w:space="0" w:color="auto"/>
        <w:left w:val="none" w:sz="0" w:space="0" w:color="auto"/>
        <w:bottom w:val="none" w:sz="0" w:space="0" w:color="auto"/>
        <w:right w:val="none" w:sz="0" w:space="0" w:color="auto"/>
      </w:divBdr>
    </w:div>
    <w:div w:id="262887341">
      <w:bodyDiv w:val="1"/>
      <w:marLeft w:val="0"/>
      <w:marRight w:val="0"/>
      <w:marTop w:val="0"/>
      <w:marBottom w:val="0"/>
      <w:divBdr>
        <w:top w:val="none" w:sz="0" w:space="0" w:color="auto"/>
        <w:left w:val="none" w:sz="0" w:space="0" w:color="auto"/>
        <w:bottom w:val="none" w:sz="0" w:space="0" w:color="auto"/>
        <w:right w:val="none" w:sz="0" w:space="0" w:color="auto"/>
      </w:divBdr>
    </w:div>
    <w:div w:id="263810036">
      <w:bodyDiv w:val="1"/>
      <w:marLeft w:val="0"/>
      <w:marRight w:val="0"/>
      <w:marTop w:val="0"/>
      <w:marBottom w:val="0"/>
      <w:divBdr>
        <w:top w:val="none" w:sz="0" w:space="0" w:color="auto"/>
        <w:left w:val="none" w:sz="0" w:space="0" w:color="auto"/>
        <w:bottom w:val="none" w:sz="0" w:space="0" w:color="auto"/>
        <w:right w:val="none" w:sz="0" w:space="0" w:color="auto"/>
      </w:divBdr>
    </w:div>
    <w:div w:id="265887697">
      <w:bodyDiv w:val="1"/>
      <w:marLeft w:val="0"/>
      <w:marRight w:val="0"/>
      <w:marTop w:val="0"/>
      <w:marBottom w:val="0"/>
      <w:divBdr>
        <w:top w:val="none" w:sz="0" w:space="0" w:color="auto"/>
        <w:left w:val="none" w:sz="0" w:space="0" w:color="auto"/>
        <w:bottom w:val="none" w:sz="0" w:space="0" w:color="auto"/>
        <w:right w:val="none" w:sz="0" w:space="0" w:color="auto"/>
      </w:divBdr>
    </w:div>
    <w:div w:id="270402144">
      <w:bodyDiv w:val="1"/>
      <w:marLeft w:val="0"/>
      <w:marRight w:val="0"/>
      <w:marTop w:val="0"/>
      <w:marBottom w:val="0"/>
      <w:divBdr>
        <w:top w:val="none" w:sz="0" w:space="0" w:color="auto"/>
        <w:left w:val="none" w:sz="0" w:space="0" w:color="auto"/>
        <w:bottom w:val="none" w:sz="0" w:space="0" w:color="auto"/>
        <w:right w:val="none" w:sz="0" w:space="0" w:color="auto"/>
      </w:divBdr>
    </w:div>
    <w:div w:id="271203996">
      <w:bodyDiv w:val="1"/>
      <w:marLeft w:val="0"/>
      <w:marRight w:val="0"/>
      <w:marTop w:val="0"/>
      <w:marBottom w:val="0"/>
      <w:divBdr>
        <w:top w:val="none" w:sz="0" w:space="0" w:color="auto"/>
        <w:left w:val="none" w:sz="0" w:space="0" w:color="auto"/>
        <w:bottom w:val="none" w:sz="0" w:space="0" w:color="auto"/>
        <w:right w:val="none" w:sz="0" w:space="0" w:color="auto"/>
      </w:divBdr>
    </w:div>
    <w:div w:id="271519796">
      <w:bodyDiv w:val="1"/>
      <w:marLeft w:val="0"/>
      <w:marRight w:val="0"/>
      <w:marTop w:val="0"/>
      <w:marBottom w:val="0"/>
      <w:divBdr>
        <w:top w:val="none" w:sz="0" w:space="0" w:color="auto"/>
        <w:left w:val="none" w:sz="0" w:space="0" w:color="auto"/>
        <w:bottom w:val="none" w:sz="0" w:space="0" w:color="auto"/>
        <w:right w:val="none" w:sz="0" w:space="0" w:color="auto"/>
      </w:divBdr>
    </w:div>
    <w:div w:id="272368689">
      <w:bodyDiv w:val="1"/>
      <w:marLeft w:val="0"/>
      <w:marRight w:val="0"/>
      <w:marTop w:val="0"/>
      <w:marBottom w:val="0"/>
      <w:divBdr>
        <w:top w:val="none" w:sz="0" w:space="0" w:color="auto"/>
        <w:left w:val="none" w:sz="0" w:space="0" w:color="auto"/>
        <w:bottom w:val="none" w:sz="0" w:space="0" w:color="auto"/>
        <w:right w:val="none" w:sz="0" w:space="0" w:color="auto"/>
      </w:divBdr>
    </w:div>
    <w:div w:id="273905636">
      <w:bodyDiv w:val="1"/>
      <w:marLeft w:val="0"/>
      <w:marRight w:val="0"/>
      <w:marTop w:val="0"/>
      <w:marBottom w:val="0"/>
      <w:divBdr>
        <w:top w:val="none" w:sz="0" w:space="0" w:color="auto"/>
        <w:left w:val="none" w:sz="0" w:space="0" w:color="auto"/>
        <w:bottom w:val="none" w:sz="0" w:space="0" w:color="auto"/>
        <w:right w:val="none" w:sz="0" w:space="0" w:color="auto"/>
      </w:divBdr>
    </w:div>
    <w:div w:id="277952196">
      <w:bodyDiv w:val="1"/>
      <w:marLeft w:val="0"/>
      <w:marRight w:val="0"/>
      <w:marTop w:val="0"/>
      <w:marBottom w:val="0"/>
      <w:divBdr>
        <w:top w:val="none" w:sz="0" w:space="0" w:color="auto"/>
        <w:left w:val="none" w:sz="0" w:space="0" w:color="auto"/>
        <w:bottom w:val="none" w:sz="0" w:space="0" w:color="auto"/>
        <w:right w:val="none" w:sz="0" w:space="0" w:color="auto"/>
      </w:divBdr>
    </w:div>
    <w:div w:id="278218797">
      <w:bodyDiv w:val="1"/>
      <w:marLeft w:val="0"/>
      <w:marRight w:val="0"/>
      <w:marTop w:val="0"/>
      <w:marBottom w:val="0"/>
      <w:divBdr>
        <w:top w:val="none" w:sz="0" w:space="0" w:color="auto"/>
        <w:left w:val="none" w:sz="0" w:space="0" w:color="auto"/>
        <w:bottom w:val="none" w:sz="0" w:space="0" w:color="auto"/>
        <w:right w:val="none" w:sz="0" w:space="0" w:color="auto"/>
      </w:divBdr>
    </w:div>
    <w:div w:id="278220241">
      <w:bodyDiv w:val="1"/>
      <w:marLeft w:val="0"/>
      <w:marRight w:val="0"/>
      <w:marTop w:val="0"/>
      <w:marBottom w:val="0"/>
      <w:divBdr>
        <w:top w:val="none" w:sz="0" w:space="0" w:color="auto"/>
        <w:left w:val="none" w:sz="0" w:space="0" w:color="auto"/>
        <w:bottom w:val="none" w:sz="0" w:space="0" w:color="auto"/>
        <w:right w:val="none" w:sz="0" w:space="0" w:color="auto"/>
      </w:divBdr>
    </w:div>
    <w:div w:id="278610969">
      <w:bodyDiv w:val="1"/>
      <w:marLeft w:val="0"/>
      <w:marRight w:val="0"/>
      <w:marTop w:val="0"/>
      <w:marBottom w:val="0"/>
      <w:divBdr>
        <w:top w:val="none" w:sz="0" w:space="0" w:color="auto"/>
        <w:left w:val="none" w:sz="0" w:space="0" w:color="auto"/>
        <w:bottom w:val="none" w:sz="0" w:space="0" w:color="auto"/>
        <w:right w:val="none" w:sz="0" w:space="0" w:color="auto"/>
      </w:divBdr>
    </w:div>
    <w:div w:id="280457173">
      <w:bodyDiv w:val="1"/>
      <w:marLeft w:val="0"/>
      <w:marRight w:val="0"/>
      <w:marTop w:val="0"/>
      <w:marBottom w:val="0"/>
      <w:divBdr>
        <w:top w:val="none" w:sz="0" w:space="0" w:color="auto"/>
        <w:left w:val="none" w:sz="0" w:space="0" w:color="auto"/>
        <w:bottom w:val="none" w:sz="0" w:space="0" w:color="auto"/>
        <w:right w:val="none" w:sz="0" w:space="0" w:color="auto"/>
      </w:divBdr>
    </w:div>
    <w:div w:id="281306997">
      <w:bodyDiv w:val="1"/>
      <w:marLeft w:val="0"/>
      <w:marRight w:val="0"/>
      <w:marTop w:val="0"/>
      <w:marBottom w:val="0"/>
      <w:divBdr>
        <w:top w:val="none" w:sz="0" w:space="0" w:color="auto"/>
        <w:left w:val="none" w:sz="0" w:space="0" w:color="auto"/>
        <w:bottom w:val="none" w:sz="0" w:space="0" w:color="auto"/>
        <w:right w:val="none" w:sz="0" w:space="0" w:color="auto"/>
      </w:divBdr>
    </w:div>
    <w:div w:id="283196708">
      <w:bodyDiv w:val="1"/>
      <w:marLeft w:val="0"/>
      <w:marRight w:val="0"/>
      <w:marTop w:val="0"/>
      <w:marBottom w:val="0"/>
      <w:divBdr>
        <w:top w:val="none" w:sz="0" w:space="0" w:color="auto"/>
        <w:left w:val="none" w:sz="0" w:space="0" w:color="auto"/>
        <w:bottom w:val="none" w:sz="0" w:space="0" w:color="auto"/>
        <w:right w:val="none" w:sz="0" w:space="0" w:color="auto"/>
      </w:divBdr>
    </w:div>
    <w:div w:id="283511935">
      <w:bodyDiv w:val="1"/>
      <w:marLeft w:val="0"/>
      <w:marRight w:val="0"/>
      <w:marTop w:val="0"/>
      <w:marBottom w:val="0"/>
      <w:divBdr>
        <w:top w:val="none" w:sz="0" w:space="0" w:color="auto"/>
        <w:left w:val="none" w:sz="0" w:space="0" w:color="auto"/>
        <w:bottom w:val="none" w:sz="0" w:space="0" w:color="auto"/>
        <w:right w:val="none" w:sz="0" w:space="0" w:color="auto"/>
      </w:divBdr>
    </w:div>
    <w:div w:id="283662400">
      <w:bodyDiv w:val="1"/>
      <w:marLeft w:val="0"/>
      <w:marRight w:val="0"/>
      <w:marTop w:val="0"/>
      <w:marBottom w:val="0"/>
      <w:divBdr>
        <w:top w:val="none" w:sz="0" w:space="0" w:color="auto"/>
        <w:left w:val="none" w:sz="0" w:space="0" w:color="auto"/>
        <w:bottom w:val="none" w:sz="0" w:space="0" w:color="auto"/>
        <w:right w:val="none" w:sz="0" w:space="0" w:color="auto"/>
      </w:divBdr>
    </w:div>
    <w:div w:id="287518496">
      <w:bodyDiv w:val="1"/>
      <w:marLeft w:val="0"/>
      <w:marRight w:val="0"/>
      <w:marTop w:val="0"/>
      <w:marBottom w:val="0"/>
      <w:divBdr>
        <w:top w:val="none" w:sz="0" w:space="0" w:color="auto"/>
        <w:left w:val="none" w:sz="0" w:space="0" w:color="auto"/>
        <w:bottom w:val="none" w:sz="0" w:space="0" w:color="auto"/>
        <w:right w:val="none" w:sz="0" w:space="0" w:color="auto"/>
      </w:divBdr>
    </w:div>
    <w:div w:id="288319697">
      <w:bodyDiv w:val="1"/>
      <w:marLeft w:val="0"/>
      <w:marRight w:val="0"/>
      <w:marTop w:val="0"/>
      <w:marBottom w:val="0"/>
      <w:divBdr>
        <w:top w:val="none" w:sz="0" w:space="0" w:color="auto"/>
        <w:left w:val="none" w:sz="0" w:space="0" w:color="auto"/>
        <w:bottom w:val="none" w:sz="0" w:space="0" w:color="auto"/>
        <w:right w:val="none" w:sz="0" w:space="0" w:color="auto"/>
      </w:divBdr>
    </w:div>
    <w:div w:id="291984796">
      <w:bodyDiv w:val="1"/>
      <w:marLeft w:val="0"/>
      <w:marRight w:val="0"/>
      <w:marTop w:val="0"/>
      <w:marBottom w:val="0"/>
      <w:divBdr>
        <w:top w:val="none" w:sz="0" w:space="0" w:color="auto"/>
        <w:left w:val="none" w:sz="0" w:space="0" w:color="auto"/>
        <w:bottom w:val="none" w:sz="0" w:space="0" w:color="auto"/>
        <w:right w:val="none" w:sz="0" w:space="0" w:color="auto"/>
      </w:divBdr>
    </w:div>
    <w:div w:id="292906984">
      <w:bodyDiv w:val="1"/>
      <w:marLeft w:val="0"/>
      <w:marRight w:val="0"/>
      <w:marTop w:val="0"/>
      <w:marBottom w:val="0"/>
      <w:divBdr>
        <w:top w:val="none" w:sz="0" w:space="0" w:color="auto"/>
        <w:left w:val="none" w:sz="0" w:space="0" w:color="auto"/>
        <w:bottom w:val="none" w:sz="0" w:space="0" w:color="auto"/>
        <w:right w:val="none" w:sz="0" w:space="0" w:color="auto"/>
      </w:divBdr>
    </w:div>
    <w:div w:id="295261114">
      <w:bodyDiv w:val="1"/>
      <w:marLeft w:val="0"/>
      <w:marRight w:val="0"/>
      <w:marTop w:val="0"/>
      <w:marBottom w:val="0"/>
      <w:divBdr>
        <w:top w:val="none" w:sz="0" w:space="0" w:color="auto"/>
        <w:left w:val="none" w:sz="0" w:space="0" w:color="auto"/>
        <w:bottom w:val="none" w:sz="0" w:space="0" w:color="auto"/>
        <w:right w:val="none" w:sz="0" w:space="0" w:color="auto"/>
      </w:divBdr>
    </w:div>
    <w:div w:id="297151629">
      <w:bodyDiv w:val="1"/>
      <w:marLeft w:val="0"/>
      <w:marRight w:val="0"/>
      <w:marTop w:val="0"/>
      <w:marBottom w:val="0"/>
      <w:divBdr>
        <w:top w:val="none" w:sz="0" w:space="0" w:color="auto"/>
        <w:left w:val="none" w:sz="0" w:space="0" w:color="auto"/>
        <w:bottom w:val="none" w:sz="0" w:space="0" w:color="auto"/>
        <w:right w:val="none" w:sz="0" w:space="0" w:color="auto"/>
      </w:divBdr>
    </w:div>
    <w:div w:id="298269061">
      <w:bodyDiv w:val="1"/>
      <w:marLeft w:val="0"/>
      <w:marRight w:val="0"/>
      <w:marTop w:val="0"/>
      <w:marBottom w:val="0"/>
      <w:divBdr>
        <w:top w:val="none" w:sz="0" w:space="0" w:color="auto"/>
        <w:left w:val="none" w:sz="0" w:space="0" w:color="auto"/>
        <w:bottom w:val="none" w:sz="0" w:space="0" w:color="auto"/>
        <w:right w:val="none" w:sz="0" w:space="0" w:color="auto"/>
      </w:divBdr>
    </w:div>
    <w:div w:id="299723809">
      <w:bodyDiv w:val="1"/>
      <w:marLeft w:val="0"/>
      <w:marRight w:val="0"/>
      <w:marTop w:val="0"/>
      <w:marBottom w:val="0"/>
      <w:divBdr>
        <w:top w:val="none" w:sz="0" w:space="0" w:color="auto"/>
        <w:left w:val="none" w:sz="0" w:space="0" w:color="auto"/>
        <w:bottom w:val="none" w:sz="0" w:space="0" w:color="auto"/>
        <w:right w:val="none" w:sz="0" w:space="0" w:color="auto"/>
      </w:divBdr>
    </w:div>
    <w:div w:id="300116240">
      <w:bodyDiv w:val="1"/>
      <w:marLeft w:val="0"/>
      <w:marRight w:val="0"/>
      <w:marTop w:val="0"/>
      <w:marBottom w:val="0"/>
      <w:divBdr>
        <w:top w:val="none" w:sz="0" w:space="0" w:color="auto"/>
        <w:left w:val="none" w:sz="0" w:space="0" w:color="auto"/>
        <w:bottom w:val="none" w:sz="0" w:space="0" w:color="auto"/>
        <w:right w:val="none" w:sz="0" w:space="0" w:color="auto"/>
      </w:divBdr>
    </w:div>
    <w:div w:id="300430515">
      <w:bodyDiv w:val="1"/>
      <w:marLeft w:val="0"/>
      <w:marRight w:val="0"/>
      <w:marTop w:val="0"/>
      <w:marBottom w:val="0"/>
      <w:divBdr>
        <w:top w:val="none" w:sz="0" w:space="0" w:color="auto"/>
        <w:left w:val="none" w:sz="0" w:space="0" w:color="auto"/>
        <w:bottom w:val="none" w:sz="0" w:space="0" w:color="auto"/>
        <w:right w:val="none" w:sz="0" w:space="0" w:color="auto"/>
      </w:divBdr>
    </w:div>
    <w:div w:id="302199203">
      <w:bodyDiv w:val="1"/>
      <w:marLeft w:val="0"/>
      <w:marRight w:val="0"/>
      <w:marTop w:val="0"/>
      <w:marBottom w:val="0"/>
      <w:divBdr>
        <w:top w:val="none" w:sz="0" w:space="0" w:color="auto"/>
        <w:left w:val="none" w:sz="0" w:space="0" w:color="auto"/>
        <w:bottom w:val="none" w:sz="0" w:space="0" w:color="auto"/>
        <w:right w:val="none" w:sz="0" w:space="0" w:color="auto"/>
      </w:divBdr>
    </w:div>
    <w:div w:id="304510840">
      <w:bodyDiv w:val="1"/>
      <w:marLeft w:val="0"/>
      <w:marRight w:val="0"/>
      <w:marTop w:val="0"/>
      <w:marBottom w:val="0"/>
      <w:divBdr>
        <w:top w:val="none" w:sz="0" w:space="0" w:color="auto"/>
        <w:left w:val="none" w:sz="0" w:space="0" w:color="auto"/>
        <w:bottom w:val="none" w:sz="0" w:space="0" w:color="auto"/>
        <w:right w:val="none" w:sz="0" w:space="0" w:color="auto"/>
      </w:divBdr>
    </w:div>
    <w:div w:id="305864944">
      <w:bodyDiv w:val="1"/>
      <w:marLeft w:val="0"/>
      <w:marRight w:val="0"/>
      <w:marTop w:val="0"/>
      <w:marBottom w:val="0"/>
      <w:divBdr>
        <w:top w:val="none" w:sz="0" w:space="0" w:color="auto"/>
        <w:left w:val="none" w:sz="0" w:space="0" w:color="auto"/>
        <w:bottom w:val="none" w:sz="0" w:space="0" w:color="auto"/>
        <w:right w:val="none" w:sz="0" w:space="0" w:color="auto"/>
      </w:divBdr>
    </w:div>
    <w:div w:id="310718155">
      <w:bodyDiv w:val="1"/>
      <w:marLeft w:val="0"/>
      <w:marRight w:val="0"/>
      <w:marTop w:val="0"/>
      <w:marBottom w:val="0"/>
      <w:divBdr>
        <w:top w:val="none" w:sz="0" w:space="0" w:color="auto"/>
        <w:left w:val="none" w:sz="0" w:space="0" w:color="auto"/>
        <w:bottom w:val="none" w:sz="0" w:space="0" w:color="auto"/>
        <w:right w:val="none" w:sz="0" w:space="0" w:color="auto"/>
      </w:divBdr>
    </w:div>
    <w:div w:id="312293734">
      <w:bodyDiv w:val="1"/>
      <w:marLeft w:val="0"/>
      <w:marRight w:val="0"/>
      <w:marTop w:val="0"/>
      <w:marBottom w:val="0"/>
      <w:divBdr>
        <w:top w:val="none" w:sz="0" w:space="0" w:color="auto"/>
        <w:left w:val="none" w:sz="0" w:space="0" w:color="auto"/>
        <w:bottom w:val="none" w:sz="0" w:space="0" w:color="auto"/>
        <w:right w:val="none" w:sz="0" w:space="0" w:color="auto"/>
      </w:divBdr>
    </w:div>
    <w:div w:id="313460082">
      <w:bodyDiv w:val="1"/>
      <w:marLeft w:val="0"/>
      <w:marRight w:val="0"/>
      <w:marTop w:val="0"/>
      <w:marBottom w:val="0"/>
      <w:divBdr>
        <w:top w:val="none" w:sz="0" w:space="0" w:color="auto"/>
        <w:left w:val="none" w:sz="0" w:space="0" w:color="auto"/>
        <w:bottom w:val="none" w:sz="0" w:space="0" w:color="auto"/>
        <w:right w:val="none" w:sz="0" w:space="0" w:color="auto"/>
      </w:divBdr>
    </w:div>
    <w:div w:id="313922995">
      <w:bodyDiv w:val="1"/>
      <w:marLeft w:val="0"/>
      <w:marRight w:val="0"/>
      <w:marTop w:val="0"/>
      <w:marBottom w:val="0"/>
      <w:divBdr>
        <w:top w:val="none" w:sz="0" w:space="0" w:color="auto"/>
        <w:left w:val="none" w:sz="0" w:space="0" w:color="auto"/>
        <w:bottom w:val="none" w:sz="0" w:space="0" w:color="auto"/>
        <w:right w:val="none" w:sz="0" w:space="0" w:color="auto"/>
      </w:divBdr>
    </w:div>
    <w:div w:id="315301826">
      <w:bodyDiv w:val="1"/>
      <w:marLeft w:val="0"/>
      <w:marRight w:val="0"/>
      <w:marTop w:val="0"/>
      <w:marBottom w:val="0"/>
      <w:divBdr>
        <w:top w:val="none" w:sz="0" w:space="0" w:color="auto"/>
        <w:left w:val="none" w:sz="0" w:space="0" w:color="auto"/>
        <w:bottom w:val="none" w:sz="0" w:space="0" w:color="auto"/>
        <w:right w:val="none" w:sz="0" w:space="0" w:color="auto"/>
      </w:divBdr>
    </w:div>
    <w:div w:id="315453421">
      <w:bodyDiv w:val="1"/>
      <w:marLeft w:val="0"/>
      <w:marRight w:val="0"/>
      <w:marTop w:val="0"/>
      <w:marBottom w:val="0"/>
      <w:divBdr>
        <w:top w:val="none" w:sz="0" w:space="0" w:color="auto"/>
        <w:left w:val="none" w:sz="0" w:space="0" w:color="auto"/>
        <w:bottom w:val="none" w:sz="0" w:space="0" w:color="auto"/>
        <w:right w:val="none" w:sz="0" w:space="0" w:color="auto"/>
      </w:divBdr>
    </w:div>
    <w:div w:id="316541030">
      <w:bodyDiv w:val="1"/>
      <w:marLeft w:val="0"/>
      <w:marRight w:val="0"/>
      <w:marTop w:val="0"/>
      <w:marBottom w:val="0"/>
      <w:divBdr>
        <w:top w:val="none" w:sz="0" w:space="0" w:color="auto"/>
        <w:left w:val="none" w:sz="0" w:space="0" w:color="auto"/>
        <w:bottom w:val="none" w:sz="0" w:space="0" w:color="auto"/>
        <w:right w:val="none" w:sz="0" w:space="0" w:color="auto"/>
      </w:divBdr>
    </w:div>
    <w:div w:id="318733611">
      <w:bodyDiv w:val="1"/>
      <w:marLeft w:val="0"/>
      <w:marRight w:val="0"/>
      <w:marTop w:val="0"/>
      <w:marBottom w:val="0"/>
      <w:divBdr>
        <w:top w:val="none" w:sz="0" w:space="0" w:color="auto"/>
        <w:left w:val="none" w:sz="0" w:space="0" w:color="auto"/>
        <w:bottom w:val="none" w:sz="0" w:space="0" w:color="auto"/>
        <w:right w:val="none" w:sz="0" w:space="0" w:color="auto"/>
      </w:divBdr>
    </w:div>
    <w:div w:id="319116719">
      <w:bodyDiv w:val="1"/>
      <w:marLeft w:val="0"/>
      <w:marRight w:val="0"/>
      <w:marTop w:val="0"/>
      <w:marBottom w:val="0"/>
      <w:divBdr>
        <w:top w:val="none" w:sz="0" w:space="0" w:color="auto"/>
        <w:left w:val="none" w:sz="0" w:space="0" w:color="auto"/>
        <w:bottom w:val="none" w:sz="0" w:space="0" w:color="auto"/>
        <w:right w:val="none" w:sz="0" w:space="0" w:color="auto"/>
      </w:divBdr>
    </w:div>
    <w:div w:id="321471221">
      <w:bodyDiv w:val="1"/>
      <w:marLeft w:val="0"/>
      <w:marRight w:val="0"/>
      <w:marTop w:val="0"/>
      <w:marBottom w:val="0"/>
      <w:divBdr>
        <w:top w:val="none" w:sz="0" w:space="0" w:color="auto"/>
        <w:left w:val="none" w:sz="0" w:space="0" w:color="auto"/>
        <w:bottom w:val="none" w:sz="0" w:space="0" w:color="auto"/>
        <w:right w:val="none" w:sz="0" w:space="0" w:color="auto"/>
      </w:divBdr>
    </w:div>
    <w:div w:id="322974429">
      <w:bodyDiv w:val="1"/>
      <w:marLeft w:val="0"/>
      <w:marRight w:val="0"/>
      <w:marTop w:val="0"/>
      <w:marBottom w:val="0"/>
      <w:divBdr>
        <w:top w:val="none" w:sz="0" w:space="0" w:color="auto"/>
        <w:left w:val="none" w:sz="0" w:space="0" w:color="auto"/>
        <w:bottom w:val="none" w:sz="0" w:space="0" w:color="auto"/>
        <w:right w:val="none" w:sz="0" w:space="0" w:color="auto"/>
      </w:divBdr>
    </w:div>
    <w:div w:id="326521469">
      <w:bodyDiv w:val="1"/>
      <w:marLeft w:val="0"/>
      <w:marRight w:val="0"/>
      <w:marTop w:val="0"/>
      <w:marBottom w:val="0"/>
      <w:divBdr>
        <w:top w:val="none" w:sz="0" w:space="0" w:color="auto"/>
        <w:left w:val="none" w:sz="0" w:space="0" w:color="auto"/>
        <w:bottom w:val="none" w:sz="0" w:space="0" w:color="auto"/>
        <w:right w:val="none" w:sz="0" w:space="0" w:color="auto"/>
      </w:divBdr>
    </w:div>
    <w:div w:id="328599959">
      <w:bodyDiv w:val="1"/>
      <w:marLeft w:val="0"/>
      <w:marRight w:val="0"/>
      <w:marTop w:val="0"/>
      <w:marBottom w:val="0"/>
      <w:divBdr>
        <w:top w:val="none" w:sz="0" w:space="0" w:color="auto"/>
        <w:left w:val="none" w:sz="0" w:space="0" w:color="auto"/>
        <w:bottom w:val="none" w:sz="0" w:space="0" w:color="auto"/>
        <w:right w:val="none" w:sz="0" w:space="0" w:color="auto"/>
      </w:divBdr>
    </w:div>
    <w:div w:id="332414239">
      <w:bodyDiv w:val="1"/>
      <w:marLeft w:val="0"/>
      <w:marRight w:val="0"/>
      <w:marTop w:val="0"/>
      <w:marBottom w:val="0"/>
      <w:divBdr>
        <w:top w:val="none" w:sz="0" w:space="0" w:color="auto"/>
        <w:left w:val="none" w:sz="0" w:space="0" w:color="auto"/>
        <w:bottom w:val="none" w:sz="0" w:space="0" w:color="auto"/>
        <w:right w:val="none" w:sz="0" w:space="0" w:color="auto"/>
      </w:divBdr>
    </w:div>
    <w:div w:id="334889121">
      <w:bodyDiv w:val="1"/>
      <w:marLeft w:val="0"/>
      <w:marRight w:val="0"/>
      <w:marTop w:val="0"/>
      <w:marBottom w:val="0"/>
      <w:divBdr>
        <w:top w:val="none" w:sz="0" w:space="0" w:color="auto"/>
        <w:left w:val="none" w:sz="0" w:space="0" w:color="auto"/>
        <w:bottom w:val="none" w:sz="0" w:space="0" w:color="auto"/>
        <w:right w:val="none" w:sz="0" w:space="0" w:color="auto"/>
      </w:divBdr>
    </w:div>
    <w:div w:id="336423024">
      <w:bodyDiv w:val="1"/>
      <w:marLeft w:val="0"/>
      <w:marRight w:val="0"/>
      <w:marTop w:val="0"/>
      <w:marBottom w:val="0"/>
      <w:divBdr>
        <w:top w:val="none" w:sz="0" w:space="0" w:color="auto"/>
        <w:left w:val="none" w:sz="0" w:space="0" w:color="auto"/>
        <w:bottom w:val="none" w:sz="0" w:space="0" w:color="auto"/>
        <w:right w:val="none" w:sz="0" w:space="0" w:color="auto"/>
      </w:divBdr>
    </w:div>
    <w:div w:id="339547193">
      <w:bodyDiv w:val="1"/>
      <w:marLeft w:val="0"/>
      <w:marRight w:val="0"/>
      <w:marTop w:val="0"/>
      <w:marBottom w:val="0"/>
      <w:divBdr>
        <w:top w:val="none" w:sz="0" w:space="0" w:color="auto"/>
        <w:left w:val="none" w:sz="0" w:space="0" w:color="auto"/>
        <w:bottom w:val="none" w:sz="0" w:space="0" w:color="auto"/>
        <w:right w:val="none" w:sz="0" w:space="0" w:color="auto"/>
      </w:divBdr>
    </w:div>
    <w:div w:id="340358254">
      <w:bodyDiv w:val="1"/>
      <w:marLeft w:val="0"/>
      <w:marRight w:val="0"/>
      <w:marTop w:val="0"/>
      <w:marBottom w:val="0"/>
      <w:divBdr>
        <w:top w:val="none" w:sz="0" w:space="0" w:color="auto"/>
        <w:left w:val="none" w:sz="0" w:space="0" w:color="auto"/>
        <w:bottom w:val="none" w:sz="0" w:space="0" w:color="auto"/>
        <w:right w:val="none" w:sz="0" w:space="0" w:color="auto"/>
      </w:divBdr>
    </w:div>
    <w:div w:id="340936984">
      <w:bodyDiv w:val="1"/>
      <w:marLeft w:val="0"/>
      <w:marRight w:val="0"/>
      <w:marTop w:val="0"/>
      <w:marBottom w:val="0"/>
      <w:divBdr>
        <w:top w:val="none" w:sz="0" w:space="0" w:color="auto"/>
        <w:left w:val="none" w:sz="0" w:space="0" w:color="auto"/>
        <w:bottom w:val="none" w:sz="0" w:space="0" w:color="auto"/>
        <w:right w:val="none" w:sz="0" w:space="0" w:color="auto"/>
      </w:divBdr>
    </w:div>
    <w:div w:id="341467780">
      <w:bodyDiv w:val="1"/>
      <w:marLeft w:val="0"/>
      <w:marRight w:val="0"/>
      <w:marTop w:val="0"/>
      <w:marBottom w:val="0"/>
      <w:divBdr>
        <w:top w:val="none" w:sz="0" w:space="0" w:color="auto"/>
        <w:left w:val="none" w:sz="0" w:space="0" w:color="auto"/>
        <w:bottom w:val="none" w:sz="0" w:space="0" w:color="auto"/>
        <w:right w:val="none" w:sz="0" w:space="0" w:color="auto"/>
      </w:divBdr>
    </w:div>
    <w:div w:id="344941553">
      <w:bodyDiv w:val="1"/>
      <w:marLeft w:val="0"/>
      <w:marRight w:val="0"/>
      <w:marTop w:val="0"/>
      <w:marBottom w:val="0"/>
      <w:divBdr>
        <w:top w:val="none" w:sz="0" w:space="0" w:color="auto"/>
        <w:left w:val="none" w:sz="0" w:space="0" w:color="auto"/>
        <w:bottom w:val="none" w:sz="0" w:space="0" w:color="auto"/>
        <w:right w:val="none" w:sz="0" w:space="0" w:color="auto"/>
      </w:divBdr>
    </w:div>
    <w:div w:id="345912596">
      <w:bodyDiv w:val="1"/>
      <w:marLeft w:val="0"/>
      <w:marRight w:val="0"/>
      <w:marTop w:val="0"/>
      <w:marBottom w:val="0"/>
      <w:divBdr>
        <w:top w:val="none" w:sz="0" w:space="0" w:color="auto"/>
        <w:left w:val="none" w:sz="0" w:space="0" w:color="auto"/>
        <w:bottom w:val="none" w:sz="0" w:space="0" w:color="auto"/>
        <w:right w:val="none" w:sz="0" w:space="0" w:color="auto"/>
      </w:divBdr>
    </w:div>
    <w:div w:id="346953276">
      <w:bodyDiv w:val="1"/>
      <w:marLeft w:val="0"/>
      <w:marRight w:val="0"/>
      <w:marTop w:val="0"/>
      <w:marBottom w:val="0"/>
      <w:divBdr>
        <w:top w:val="none" w:sz="0" w:space="0" w:color="auto"/>
        <w:left w:val="none" w:sz="0" w:space="0" w:color="auto"/>
        <w:bottom w:val="none" w:sz="0" w:space="0" w:color="auto"/>
        <w:right w:val="none" w:sz="0" w:space="0" w:color="auto"/>
      </w:divBdr>
    </w:div>
    <w:div w:id="347219585">
      <w:bodyDiv w:val="1"/>
      <w:marLeft w:val="0"/>
      <w:marRight w:val="0"/>
      <w:marTop w:val="0"/>
      <w:marBottom w:val="0"/>
      <w:divBdr>
        <w:top w:val="none" w:sz="0" w:space="0" w:color="auto"/>
        <w:left w:val="none" w:sz="0" w:space="0" w:color="auto"/>
        <w:bottom w:val="none" w:sz="0" w:space="0" w:color="auto"/>
        <w:right w:val="none" w:sz="0" w:space="0" w:color="auto"/>
      </w:divBdr>
    </w:div>
    <w:div w:id="347874408">
      <w:bodyDiv w:val="1"/>
      <w:marLeft w:val="0"/>
      <w:marRight w:val="0"/>
      <w:marTop w:val="0"/>
      <w:marBottom w:val="0"/>
      <w:divBdr>
        <w:top w:val="none" w:sz="0" w:space="0" w:color="auto"/>
        <w:left w:val="none" w:sz="0" w:space="0" w:color="auto"/>
        <w:bottom w:val="none" w:sz="0" w:space="0" w:color="auto"/>
        <w:right w:val="none" w:sz="0" w:space="0" w:color="auto"/>
      </w:divBdr>
    </w:div>
    <w:div w:id="352340672">
      <w:bodyDiv w:val="1"/>
      <w:marLeft w:val="0"/>
      <w:marRight w:val="0"/>
      <w:marTop w:val="0"/>
      <w:marBottom w:val="0"/>
      <w:divBdr>
        <w:top w:val="none" w:sz="0" w:space="0" w:color="auto"/>
        <w:left w:val="none" w:sz="0" w:space="0" w:color="auto"/>
        <w:bottom w:val="none" w:sz="0" w:space="0" w:color="auto"/>
        <w:right w:val="none" w:sz="0" w:space="0" w:color="auto"/>
      </w:divBdr>
    </w:div>
    <w:div w:id="353193046">
      <w:bodyDiv w:val="1"/>
      <w:marLeft w:val="0"/>
      <w:marRight w:val="0"/>
      <w:marTop w:val="0"/>
      <w:marBottom w:val="0"/>
      <w:divBdr>
        <w:top w:val="none" w:sz="0" w:space="0" w:color="auto"/>
        <w:left w:val="none" w:sz="0" w:space="0" w:color="auto"/>
        <w:bottom w:val="none" w:sz="0" w:space="0" w:color="auto"/>
        <w:right w:val="none" w:sz="0" w:space="0" w:color="auto"/>
      </w:divBdr>
    </w:div>
    <w:div w:id="353456553">
      <w:bodyDiv w:val="1"/>
      <w:marLeft w:val="0"/>
      <w:marRight w:val="0"/>
      <w:marTop w:val="0"/>
      <w:marBottom w:val="0"/>
      <w:divBdr>
        <w:top w:val="none" w:sz="0" w:space="0" w:color="auto"/>
        <w:left w:val="none" w:sz="0" w:space="0" w:color="auto"/>
        <w:bottom w:val="none" w:sz="0" w:space="0" w:color="auto"/>
        <w:right w:val="none" w:sz="0" w:space="0" w:color="auto"/>
      </w:divBdr>
    </w:div>
    <w:div w:id="353966888">
      <w:bodyDiv w:val="1"/>
      <w:marLeft w:val="0"/>
      <w:marRight w:val="0"/>
      <w:marTop w:val="0"/>
      <w:marBottom w:val="0"/>
      <w:divBdr>
        <w:top w:val="none" w:sz="0" w:space="0" w:color="auto"/>
        <w:left w:val="none" w:sz="0" w:space="0" w:color="auto"/>
        <w:bottom w:val="none" w:sz="0" w:space="0" w:color="auto"/>
        <w:right w:val="none" w:sz="0" w:space="0" w:color="auto"/>
      </w:divBdr>
    </w:div>
    <w:div w:id="355159369">
      <w:bodyDiv w:val="1"/>
      <w:marLeft w:val="0"/>
      <w:marRight w:val="0"/>
      <w:marTop w:val="0"/>
      <w:marBottom w:val="0"/>
      <w:divBdr>
        <w:top w:val="none" w:sz="0" w:space="0" w:color="auto"/>
        <w:left w:val="none" w:sz="0" w:space="0" w:color="auto"/>
        <w:bottom w:val="none" w:sz="0" w:space="0" w:color="auto"/>
        <w:right w:val="none" w:sz="0" w:space="0" w:color="auto"/>
      </w:divBdr>
    </w:div>
    <w:div w:id="356084357">
      <w:bodyDiv w:val="1"/>
      <w:marLeft w:val="0"/>
      <w:marRight w:val="0"/>
      <w:marTop w:val="0"/>
      <w:marBottom w:val="0"/>
      <w:divBdr>
        <w:top w:val="none" w:sz="0" w:space="0" w:color="auto"/>
        <w:left w:val="none" w:sz="0" w:space="0" w:color="auto"/>
        <w:bottom w:val="none" w:sz="0" w:space="0" w:color="auto"/>
        <w:right w:val="none" w:sz="0" w:space="0" w:color="auto"/>
      </w:divBdr>
    </w:div>
    <w:div w:id="356389791">
      <w:bodyDiv w:val="1"/>
      <w:marLeft w:val="0"/>
      <w:marRight w:val="0"/>
      <w:marTop w:val="0"/>
      <w:marBottom w:val="0"/>
      <w:divBdr>
        <w:top w:val="none" w:sz="0" w:space="0" w:color="auto"/>
        <w:left w:val="none" w:sz="0" w:space="0" w:color="auto"/>
        <w:bottom w:val="none" w:sz="0" w:space="0" w:color="auto"/>
        <w:right w:val="none" w:sz="0" w:space="0" w:color="auto"/>
      </w:divBdr>
    </w:div>
    <w:div w:id="361052136">
      <w:bodyDiv w:val="1"/>
      <w:marLeft w:val="0"/>
      <w:marRight w:val="0"/>
      <w:marTop w:val="0"/>
      <w:marBottom w:val="0"/>
      <w:divBdr>
        <w:top w:val="none" w:sz="0" w:space="0" w:color="auto"/>
        <w:left w:val="none" w:sz="0" w:space="0" w:color="auto"/>
        <w:bottom w:val="none" w:sz="0" w:space="0" w:color="auto"/>
        <w:right w:val="none" w:sz="0" w:space="0" w:color="auto"/>
      </w:divBdr>
    </w:div>
    <w:div w:id="362874533">
      <w:bodyDiv w:val="1"/>
      <w:marLeft w:val="0"/>
      <w:marRight w:val="0"/>
      <w:marTop w:val="0"/>
      <w:marBottom w:val="0"/>
      <w:divBdr>
        <w:top w:val="none" w:sz="0" w:space="0" w:color="auto"/>
        <w:left w:val="none" w:sz="0" w:space="0" w:color="auto"/>
        <w:bottom w:val="none" w:sz="0" w:space="0" w:color="auto"/>
        <w:right w:val="none" w:sz="0" w:space="0" w:color="auto"/>
      </w:divBdr>
    </w:div>
    <w:div w:id="363672607">
      <w:bodyDiv w:val="1"/>
      <w:marLeft w:val="0"/>
      <w:marRight w:val="0"/>
      <w:marTop w:val="0"/>
      <w:marBottom w:val="0"/>
      <w:divBdr>
        <w:top w:val="none" w:sz="0" w:space="0" w:color="auto"/>
        <w:left w:val="none" w:sz="0" w:space="0" w:color="auto"/>
        <w:bottom w:val="none" w:sz="0" w:space="0" w:color="auto"/>
        <w:right w:val="none" w:sz="0" w:space="0" w:color="auto"/>
      </w:divBdr>
    </w:div>
    <w:div w:id="364713886">
      <w:bodyDiv w:val="1"/>
      <w:marLeft w:val="0"/>
      <w:marRight w:val="0"/>
      <w:marTop w:val="0"/>
      <w:marBottom w:val="0"/>
      <w:divBdr>
        <w:top w:val="none" w:sz="0" w:space="0" w:color="auto"/>
        <w:left w:val="none" w:sz="0" w:space="0" w:color="auto"/>
        <w:bottom w:val="none" w:sz="0" w:space="0" w:color="auto"/>
        <w:right w:val="none" w:sz="0" w:space="0" w:color="auto"/>
      </w:divBdr>
    </w:div>
    <w:div w:id="367268476">
      <w:bodyDiv w:val="1"/>
      <w:marLeft w:val="0"/>
      <w:marRight w:val="0"/>
      <w:marTop w:val="0"/>
      <w:marBottom w:val="0"/>
      <w:divBdr>
        <w:top w:val="none" w:sz="0" w:space="0" w:color="auto"/>
        <w:left w:val="none" w:sz="0" w:space="0" w:color="auto"/>
        <w:bottom w:val="none" w:sz="0" w:space="0" w:color="auto"/>
        <w:right w:val="none" w:sz="0" w:space="0" w:color="auto"/>
      </w:divBdr>
    </w:div>
    <w:div w:id="367610038">
      <w:bodyDiv w:val="1"/>
      <w:marLeft w:val="0"/>
      <w:marRight w:val="0"/>
      <w:marTop w:val="0"/>
      <w:marBottom w:val="0"/>
      <w:divBdr>
        <w:top w:val="none" w:sz="0" w:space="0" w:color="auto"/>
        <w:left w:val="none" w:sz="0" w:space="0" w:color="auto"/>
        <w:bottom w:val="none" w:sz="0" w:space="0" w:color="auto"/>
        <w:right w:val="none" w:sz="0" w:space="0" w:color="auto"/>
      </w:divBdr>
    </w:div>
    <w:div w:id="371082119">
      <w:bodyDiv w:val="1"/>
      <w:marLeft w:val="0"/>
      <w:marRight w:val="0"/>
      <w:marTop w:val="0"/>
      <w:marBottom w:val="0"/>
      <w:divBdr>
        <w:top w:val="none" w:sz="0" w:space="0" w:color="auto"/>
        <w:left w:val="none" w:sz="0" w:space="0" w:color="auto"/>
        <w:bottom w:val="none" w:sz="0" w:space="0" w:color="auto"/>
        <w:right w:val="none" w:sz="0" w:space="0" w:color="auto"/>
      </w:divBdr>
    </w:div>
    <w:div w:id="371267911">
      <w:bodyDiv w:val="1"/>
      <w:marLeft w:val="0"/>
      <w:marRight w:val="0"/>
      <w:marTop w:val="0"/>
      <w:marBottom w:val="0"/>
      <w:divBdr>
        <w:top w:val="none" w:sz="0" w:space="0" w:color="auto"/>
        <w:left w:val="none" w:sz="0" w:space="0" w:color="auto"/>
        <w:bottom w:val="none" w:sz="0" w:space="0" w:color="auto"/>
        <w:right w:val="none" w:sz="0" w:space="0" w:color="auto"/>
      </w:divBdr>
    </w:div>
    <w:div w:id="377239869">
      <w:bodyDiv w:val="1"/>
      <w:marLeft w:val="0"/>
      <w:marRight w:val="0"/>
      <w:marTop w:val="0"/>
      <w:marBottom w:val="0"/>
      <w:divBdr>
        <w:top w:val="none" w:sz="0" w:space="0" w:color="auto"/>
        <w:left w:val="none" w:sz="0" w:space="0" w:color="auto"/>
        <w:bottom w:val="none" w:sz="0" w:space="0" w:color="auto"/>
        <w:right w:val="none" w:sz="0" w:space="0" w:color="auto"/>
      </w:divBdr>
    </w:div>
    <w:div w:id="378895519">
      <w:bodyDiv w:val="1"/>
      <w:marLeft w:val="0"/>
      <w:marRight w:val="0"/>
      <w:marTop w:val="0"/>
      <w:marBottom w:val="0"/>
      <w:divBdr>
        <w:top w:val="none" w:sz="0" w:space="0" w:color="auto"/>
        <w:left w:val="none" w:sz="0" w:space="0" w:color="auto"/>
        <w:bottom w:val="none" w:sz="0" w:space="0" w:color="auto"/>
        <w:right w:val="none" w:sz="0" w:space="0" w:color="auto"/>
      </w:divBdr>
    </w:div>
    <w:div w:id="380175333">
      <w:bodyDiv w:val="1"/>
      <w:marLeft w:val="0"/>
      <w:marRight w:val="0"/>
      <w:marTop w:val="0"/>
      <w:marBottom w:val="0"/>
      <w:divBdr>
        <w:top w:val="none" w:sz="0" w:space="0" w:color="auto"/>
        <w:left w:val="none" w:sz="0" w:space="0" w:color="auto"/>
        <w:bottom w:val="none" w:sz="0" w:space="0" w:color="auto"/>
        <w:right w:val="none" w:sz="0" w:space="0" w:color="auto"/>
      </w:divBdr>
    </w:div>
    <w:div w:id="382676456">
      <w:bodyDiv w:val="1"/>
      <w:marLeft w:val="0"/>
      <w:marRight w:val="0"/>
      <w:marTop w:val="0"/>
      <w:marBottom w:val="0"/>
      <w:divBdr>
        <w:top w:val="none" w:sz="0" w:space="0" w:color="auto"/>
        <w:left w:val="none" w:sz="0" w:space="0" w:color="auto"/>
        <w:bottom w:val="none" w:sz="0" w:space="0" w:color="auto"/>
        <w:right w:val="none" w:sz="0" w:space="0" w:color="auto"/>
      </w:divBdr>
    </w:div>
    <w:div w:id="382682354">
      <w:bodyDiv w:val="1"/>
      <w:marLeft w:val="0"/>
      <w:marRight w:val="0"/>
      <w:marTop w:val="0"/>
      <w:marBottom w:val="0"/>
      <w:divBdr>
        <w:top w:val="none" w:sz="0" w:space="0" w:color="auto"/>
        <w:left w:val="none" w:sz="0" w:space="0" w:color="auto"/>
        <w:bottom w:val="none" w:sz="0" w:space="0" w:color="auto"/>
        <w:right w:val="none" w:sz="0" w:space="0" w:color="auto"/>
      </w:divBdr>
    </w:div>
    <w:div w:id="382797332">
      <w:bodyDiv w:val="1"/>
      <w:marLeft w:val="0"/>
      <w:marRight w:val="0"/>
      <w:marTop w:val="0"/>
      <w:marBottom w:val="0"/>
      <w:divBdr>
        <w:top w:val="none" w:sz="0" w:space="0" w:color="auto"/>
        <w:left w:val="none" w:sz="0" w:space="0" w:color="auto"/>
        <w:bottom w:val="none" w:sz="0" w:space="0" w:color="auto"/>
        <w:right w:val="none" w:sz="0" w:space="0" w:color="auto"/>
      </w:divBdr>
    </w:div>
    <w:div w:id="384068022">
      <w:bodyDiv w:val="1"/>
      <w:marLeft w:val="0"/>
      <w:marRight w:val="0"/>
      <w:marTop w:val="0"/>
      <w:marBottom w:val="0"/>
      <w:divBdr>
        <w:top w:val="none" w:sz="0" w:space="0" w:color="auto"/>
        <w:left w:val="none" w:sz="0" w:space="0" w:color="auto"/>
        <w:bottom w:val="none" w:sz="0" w:space="0" w:color="auto"/>
        <w:right w:val="none" w:sz="0" w:space="0" w:color="auto"/>
      </w:divBdr>
    </w:div>
    <w:div w:id="384990484">
      <w:bodyDiv w:val="1"/>
      <w:marLeft w:val="0"/>
      <w:marRight w:val="0"/>
      <w:marTop w:val="0"/>
      <w:marBottom w:val="0"/>
      <w:divBdr>
        <w:top w:val="none" w:sz="0" w:space="0" w:color="auto"/>
        <w:left w:val="none" w:sz="0" w:space="0" w:color="auto"/>
        <w:bottom w:val="none" w:sz="0" w:space="0" w:color="auto"/>
        <w:right w:val="none" w:sz="0" w:space="0" w:color="auto"/>
      </w:divBdr>
    </w:div>
    <w:div w:id="386153236">
      <w:bodyDiv w:val="1"/>
      <w:marLeft w:val="0"/>
      <w:marRight w:val="0"/>
      <w:marTop w:val="0"/>
      <w:marBottom w:val="0"/>
      <w:divBdr>
        <w:top w:val="none" w:sz="0" w:space="0" w:color="auto"/>
        <w:left w:val="none" w:sz="0" w:space="0" w:color="auto"/>
        <w:bottom w:val="none" w:sz="0" w:space="0" w:color="auto"/>
        <w:right w:val="none" w:sz="0" w:space="0" w:color="auto"/>
      </w:divBdr>
    </w:div>
    <w:div w:id="386299864">
      <w:bodyDiv w:val="1"/>
      <w:marLeft w:val="0"/>
      <w:marRight w:val="0"/>
      <w:marTop w:val="0"/>
      <w:marBottom w:val="0"/>
      <w:divBdr>
        <w:top w:val="none" w:sz="0" w:space="0" w:color="auto"/>
        <w:left w:val="none" w:sz="0" w:space="0" w:color="auto"/>
        <w:bottom w:val="none" w:sz="0" w:space="0" w:color="auto"/>
        <w:right w:val="none" w:sz="0" w:space="0" w:color="auto"/>
      </w:divBdr>
    </w:div>
    <w:div w:id="386926290">
      <w:bodyDiv w:val="1"/>
      <w:marLeft w:val="0"/>
      <w:marRight w:val="0"/>
      <w:marTop w:val="0"/>
      <w:marBottom w:val="0"/>
      <w:divBdr>
        <w:top w:val="none" w:sz="0" w:space="0" w:color="auto"/>
        <w:left w:val="none" w:sz="0" w:space="0" w:color="auto"/>
        <w:bottom w:val="none" w:sz="0" w:space="0" w:color="auto"/>
        <w:right w:val="none" w:sz="0" w:space="0" w:color="auto"/>
      </w:divBdr>
    </w:div>
    <w:div w:id="387652663">
      <w:bodyDiv w:val="1"/>
      <w:marLeft w:val="0"/>
      <w:marRight w:val="0"/>
      <w:marTop w:val="0"/>
      <w:marBottom w:val="0"/>
      <w:divBdr>
        <w:top w:val="none" w:sz="0" w:space="0" w:color="auto"/>
        <w:left w:val="none" w:sz="0" w:space="0" w:color="auto"/>
        <w:bottom w:val="none" w:sz="0" w:space="0" w:color="auto"/>
        <w:right w:val="none" w:sz="0" w:space="0" w:color="auto"/>
      </w:divBdr>
    </w:div>
    <w:div w:id="388655155">
      <w:bodyDiv w:val="1"/>
      <w:marLeft w:val="0"/>
      <w:marRight w:val="0"/>
      <w:marTop w:val="0"/>
      <w:marBottom w:val="0"/>
      <w:divBdr>
        <w:top w:val="none" w:sz="0" w:space="0" w:color="auto"/>
        <w:left w:val="none" w:sz="0" w:space="0" w:color="auto"/>
        <w:bottom w:val="none" w:sz="0" w:space="0" w:color="auto"/>
        <w:right w:val="none" w:sz="0" w:space="0" w:color="auto"/>
      </w:divBdr>
    </w:div>
    <w:div w:id="389693829">
      <w:bodyDiv w:val="1"/>
      <w:marLeft w:val="0"/>
      <w:marRight w:val="0"/>
      <w:marTop w:val="0"/>
      <w:marBottom w:val="0"/>
      <w:divBdr>
        <w:top w:val="none" w:sz="0" w:space="0" w:color="auto"/>
        <w:left w:val="none" w:sz="0" w:space="0" w:color="auto"/>
        <w:bottom w:val="none" w:sz="0" w:space="0" w:color="auto"/>
        <w:right w:val="none" w:sz="0" w:space="0" w:color="auto"/>
      </w:divBdr>
    </w:div>
    <w:div w:id="390271692">
      <w:bodyDiv w:val="1"/>
      <w:marLeft w:val="0"/>
      <w:marRight w:val="0"/>
      <w:marTop w:val="0"/>
      <w:marBottom w:val="0"/>
      <w:divBdr>
        <w:top w:val="none" w:sz="0" w:space="0" w:color="auto"/>
        <w:left w:val="none" w:sz="0" w:space="0" w:color="auto"/>
        <w:bottom w:val="none" w:sz="0" w:space="0" w:color="auto"/>
        <w:right w:val="none" w:sz="0" w:space="0" w:color="auto"/>
      </w:divBdr>
    </w:div>
    <w:div w:id="391269618">
      <w:bodyDiv w:val="1"/>
      <w:marLeft w:val="0"/>
      <w:marRight w:val="0"/>
      <w:marTop w:val="0"/>
      <w:marBottom w:val="0"/>
      <w:divBdr>
        <w:top w:val="none" w:sz="0" w:space="0" w:color="auto"/>
        <w:left w:val="none" w:sz="0" w:space="0" w:color="auto"/>
        <w:bottom w:val="none" w:sz="0" w:space="0" w:color="auto"/>
        <w:right w:val="none" w:sz="0" w:space="0" w:color="auto"/>
      </w:divBdr>
    </w:div>
    <w:div w:id="392974724">
      <w:bodyDiv w:val="1"/>
      <w:marLeft w:val="0"/>
      <w:marRight w:val="0"/>
      <w:marTop w:val="0"/>
      <w:marBottom w:val="0"/>
      <w:divBdr>
        <w:top w:val="none" w:sz="0" w:space="0" w:color="auto"/>
        <w:left w:val="none" w:sz="0" w:space="0" w:color="auto"/>
        <w:bottom w:val="none" w:sz="0" w:space="0" w:color="auto"/>
        <w:right w:val="none" w:sz="0" w:space="0" w:color="auto"/>
      </w:divBdr>
    </w:div>
    <w:div w:id="396124147">
      <w:bodyDiv w:val="1"/>
      <w:marLeft w:val="0"/>
      <w:marRight w:val="0"/>
      <w:marTop w:val="0"/>
      <w:marBottom w:val="0"/>
      <w:divBdr>
        <w:top w:val="none" w:sz="0" w:space="0" w:color="auto"/>
        <w:left w:val="none" w:sz="0" w:space="0" w:color="auto"/>
        <w:bottom w:val="none" w:sz="0" w:space="0" w:color="auto"/>
        <w:right w:val="none" w:sz="0" w:space="0" w:color="auto"/>
      </w:divBdr>
    </w:div>
    <w:div w:id="396515549">
      <w:bodyDiv w:val="1"/>
      <w:marLeft w:val="0"/>
      <w:marRight w:val="0"/>
      <w:marTop w:val="0"/>
      <w:marBottom w:val="0"/>
      <w:divBdr>
        <w:top w:val="none" w:sz="0" w:space="0" w:color="auto"/>
        <w:left w:val="none" w:sz="0" w:space="0" w:color="auto"/>
        <w:bottom w:val="none" w:sz="0" w:space="0" w:color="auto"/>
        <w:right w:val="none" w:sz="0" w:space="0" w:color="auto"/>
      </w:divBdr>
    </w:div>
    <w:div w:id="397292826">
      <w:bodyDiv w:val="1"/>
      <w:marLeft w:val="0"/>
      <w:marRight w:val="0"/>
      <w:marTop w:val="0"/>
      <w:marBottom w:val="0"/>
      <w:divBdr>
        <w:top w:val="none" w:sz="0" w:space="0" w:color="auto"/>
        <w:left w:val="none" w:sz="0" w:space="0" w:color="auto"/>
        <w:bottom w:val="none" w:sz="0" w:space="0" w:color="auto"/>
        <w:right w:val="none" w:sz="0" w:space="0" w:color="auto"/>
      </w:divBdr>
    </w:div>
    <w:div w:id="398359526">
      <w:bodyDiv w:val="1"/>
      <w:marLeft w:val="0"/>
      <w:marRight w:val="0"/>
      <w:marTop w:val="0"/>
      <w:marBottom w:val="0"/>
      <w:divBdr>
        <w:top w:val="none" w:sz="0" w:space="0" w:color="auto"/>
        <w:left w:val="none" w:sz="0" w:space="0" w:color="auto"/>
        <w:bottom w:val="none" w:sz="0" w:space="0" w:color="auto"/>
        <w:right w:val="none" w:sz="0" w:space="0" w:color="auto"/>
      </w:divBdr>
    </w:div>
    <w:div w:id="399443844">
      <w:bodyDiv w:val="1"/>
      <w:marLeft w:val="0"/>
      <w:marRight w:val="0"/>
      <w:marTop w:val="0"/>
      <w:marBottom w:val="0"/>
      <w:divBdr>
        <w:top w:val="none" w:sz="0" w:space="0" w:color="auto"/>
        <w:left w:val="none" w:sz="0" w:space="0" w:color="auto"/>
        <w:bottom w:val="none" w:sz="0" w:space="0" w:color="auto"/>
        <w:right w:val="none" w:sz="0" w:space="0" w:color="auto"/>
      </w:divBdr>
    </w:div>
    <w:div w:id="399645552">
      <w:bodyDiv w:val="1"/>
      <w:marLeft w:val="0"/>
      <w:marRight w:val="0"/>
      <w:marTop w:val="0"/>
      <w:marBottom w:val="0"/>
      <w:divBdr>
        <w:top w:val="none" w:sz="0" w:space="0" w:color="auto"/>
        <w:left w:val="none" w:sz="0" w:space="0" w:color="auto"/>
        <w:bottom w:val="none" w:sz="0" w:space="0" w:color="auto"/>
        <w:right w:val="none" w:sz="0" w:space="0" w:color="auto"/>
      </w:divBdr>
    </w:div>
    <w:div w:id="401415838">
      <w:bodyDiv w:val="1"/>
      <w:marLeft w:val="0"/>
      <w:marRight w:val="0"/>
      <w:marTop w:val="0"/>
      <w:marBottom w:val="0"/>
      <w:divBdr>
        <w:top w:val="none" w:sz="0" w:space="0" w:color="auto"/>
        <w:left w:val="none" w:sz="0" w:space="0" w:color="auto"/>
        <w:bottom w:val="none" w:sz="0" w:space="0" w:color="auto"/>
        <w:right w:val="none" w:sz="0" w:space="0" w:color="auto"/>
      </w:divBdr>
    </w:div>
    <w:div w:id="405078978">
      <w:bodyDiv w:val="1"/>
      <w:marLeft w:val="0"/>
      <w:marRight w:val="0"/>
      <w:marTop w:val="0"/>
      <w:marBottom w:val="0"/>
      <w:divBdr>
        <w:top w:val="none" w:sz="0" w:space="0" w:color="auto"/>
        <w:left w:val="none" w:sz="0" w:space="0" w:color="auto"/>
        <w:bottom w:val="none" w:sz="0" w:space="0" w:color="auto"/>
        <w:right w:val="none" w:sz="0" w:space="0" w:color="auto"/>
      </w:divBdr>
    </w:div>
    <w:div w:id="405537367">
      <w:bodyDiv w:val="1"/>
      <w:marLeft w:val="0"/>
      <w:marRight w:val="0"/>
      <w:marTop w:val="0"/>
      <w:marBottom w:val="0"/>
      <w:divBdr>
        <w:top w:val="none" w:sz="0" w:space="0" w:color="auto"/>
        <w:left w:val="none" w:sz="0" w:space="0" w:color="auto"/>
        <w:bottom w:val="none" w:sz="0" w:space="0" w:color="auto"/>
        <w:right w:val="none" w:sz="0" w:space="0" w:color="auto"/>
      </w:divBdr>
    </w:div>
    <w:div w:id="405961625">
      <w:bodyDiv w:val="1"/>
      <w:marLeft w:val="0"/>
      <w:marRight w:val="0"/>
      <w:marTop w:val="0"/>
      <w:marBottom w:val="0"/>
      <w:divBdr>
        <w:top w:val="none" w:sz="0" w:space="0" w:color="auto"/>
        <w:left w:val="none" w:sz="0" w:space="0" w:color="auto"/>
        <w:bottom w:val="none" w:sz="0" w:space="0" w:color="auto"/>
        <w:right w:val="none" w:sz="0" w:space="0" w:color="auto"/>
      </w:divBdr>
    </w:div>
    <w:div w:id="406194440">
      <w:bodyDiv w:val="1"/>
      <w:marLeft w:val="0"/>
      <w:marRight w:val="0"/>
      <w:marTop w:val="0"/>
      <w:marBottom w:val="0"/>
      <w:divBdr>
        <w:top w:val="none" w:sz="0" w:space="0" w:color="auto"/>
        <w:left w:val="none" w:sz="0" w:space="0" w:color="auto"/>
        <w:bottom w:val="none" w:sz="0" w:space="0" w:color="auto"/>
        <w:right w:val="none" w:sz="0" w:space="0" w:color="auto"/>
      </w:divBdr>
    </w:div>
    <w:div w:id="406532609">
      <w:bodyDiv w:val="1"/>
      <w:marLeft w:val="0"/>
      <w:marRight w:val="0"/>
      <w:marTop w:val="0"/>
      <w:marBottom w:val="0"/>
      <w:divBdr>
        <w:top w:val="none" w:sz="0" w:space="0" w:color="auto"/>
        <w:left w:val="none" w:sz="0" w:space="0" w:color="auto"/>
        <w:bottom w:val="none" w:sz="0" w:space="0" w:color="auto"/>
        <w:right w:val="none" w:sz="0" w:space="0" w:color="auto"/>
      </w:divBdr>
    </w:div>
    <w:div w:id="408038281">
      <w:bodyDiv w:val="1"/>
      <w:marLeft w:val="0"/>
      <w:marRight w:val="0"/>
      <w:marTop w:val="0"/>
      <w:marBottom w:val="0"/>
      <w:divBdr>
        <w:top w:val="none" w:sz="0" w:space="0" w:color="auto"/>
        <w:left w:val="none" w:sz="0" w:space="0" w:color="auto"/>
        <w:bottom w:val="none" w:sz="0" w:space="0" w:color="auto"/>
        <w:right w:val="none" w:sz="0" w:space="0" w:color="auto"/>
      </w:divBdr>
    </w:div>
    <w:div w:id="409354147">
      <w:bodyDiv w:val="1"/>
      <w:marLeft w:val="0"/>
      <w:marRight w:val="0"/>
      <w:marTop w:val="0"/>
      <w:marBottom w:val="0"/>
      <w:divBdr>
        <w:top w:val="none" w:sz="0" w:space="0" w:color="auto"/>
        <w:left w:val="none" w:sz="0" w:space="0" w:color="auto"/>
        <w:bottom w:val="none" w:sz="0" w:space="0" w:color="auto"/>
        <w:right w:val="none" w:sz="0" w:space="0" w:color="auto"/>
      </w:divBdr>
    </w:div>
    <w:div w:id="410851044">
      <w:bodyDiv w:val="1"/>
      <w:marLeft w:val="0"/>
      <w:marRight w:val="0"/>
      <w:marTop w:val="0"/>
      <w:marBottom w:val="0"/>
      <w:divBdr>
        <w:top w:val="none" w:sz="0" w:space="0" w:color="auto"/>
        <w:left w:val="none" w:sz="0" w:space="0" w:color="auto"/>
        <w:bottom w:val="none" w:sz="0" w:space="0" w:color="auto"/>
        <w:right w:val="none" w:sz="0" w:space="0" w:color="auto"/>
      </w:divBdr>
    </w:div>
    <w:div w:id="412776007">
      <w:bodyDiv w:val="1"/>
      <w:marLeft w:val="0"/>
      <w:marRight w:val="0"/>
      <w:marTop w:val="0"/>
      <w:marBottom w:val="0"/>
      <w:divBdr>
        <w:top w:val="none" w:sz="0" w:space="0" w:color="auto"/>
        <w:left w:val="none" w:sz="0" w:space="0" w:color="auto"/>
        <w:bottom w:val="none" w:sz="0" w:space="0" w:color="auto"/>
        <w:right w:val="none" w:sz="0" w:space="0" w:color="auto"/>
      </w:divBdr>
    </w:div>
    <w:div w:id="413818176">
      <w:bodyDiv w:val="1"/>
      <w:marLeft w:val="0"/>
      <w:marRight w:val="0"/>
      <w:marTop w:val="0"/>
      <w:marBottom w:val="0"/>
      <w:divBdr>
        <w:top w:val="none" w:sz="0" w:space="0" w:color="auto"/>
        <w:left w:val="none" w:sz="0" w:space="0" w:color="auto"/>
        <w:bottom w:val="none" w:sz="0" w:space="0" w:color="auto"/>
        <w:right w:val="none" w:sz="0" w:space="0" w:color="auto"/>
      </w:divBdr>
    </w:div>
    <w:div w:id="414396231">
      <w:bodyDiv w:val="1"/>
      <w:marLeft w:val="0"/>
      <w:marRight w:val="0"/>
      <w:marTop w:val="0"/>
      <w:marBottom w:val="0"/>
      <w:divBdr>
        <w:top w:val="none" w:sz="0" w:space="0" w:color="auto"/>
        <w:left w:val="none" w:sz="0" w:space="0" w:color="auto"/>
        <w:bottom w:val="none" w:sz="0" w:space="0" w:color="auto"/>
        <w:right w:val="none" w:sz="0" w:space="0" w:color="auto"/>
      </w:divBdr>
    </w:div>
    <w:div w:id="414937820">
      <w:bodyDiv w:val="1"/>
      <w:marLeft w:val="0"/>
      <w:marRight w:val="0"/>
      <w:marTop w:val="0"/>
      <w:marBottom w:val="0"/>
      <w:divBdr>
        <w:top w:val="none" w:sz="0" w:space="0" w:color="auto"/>
        <w:left w:val="none" w:sz="0" w:space="0" w:color="auto"/>
        <w:bottom w:val="none" w:sz="0" w:space="0" w:color="auto"/>
        <w:right w:val="none" w:sz="0" w:space="0" w:color="auto"/>
      </w:divBdr>
    </w:div>
    <w:div w:id="415522190">
      <w:bodyDiv w:val="1"/>
      <w:marLeft w:val="0"/>
      <w:marRight w:val="0"/>
      <w:marTop w:val="0"/>
      <w:marBottom w:val="0"/>
      <w:divBdr>
        <w:top w:val="none" w:sz="0" w:space="0" w:color="auto"/>
        <w:left w:val="none" w:sz="0" w:space="0" w:color="auto"/>
        <w:bottom w:val="none" w:sz="0" w:space="0" w:color="auto"/>
        <w:right w:val="none" w:sz="0" w:space="0" w:color="auto"/>
      </w:divBdr>
    </w:div>
    <w:div w:id="417482671">
      <w:bodyDiv w:val="1"/>
      <w:marLeft w:val="0"/>
      <w:marRight w:val="0"/>
      <w:marTop w:val="0"/>
      <w:marBottom w:val="0"/>
      <w:divBdr>
        <w:top w:val="none" w:sz="0" w:space="0" w:color="auto"/>
        <w:left w:val="none" w:sz="0" w:space="0" w:color="auto"/>
        <w:bottom w:val="none" w:sz="0" w:space="0" w:color="auto"/>
        <w:right w:val="none" w:sz="0" w:space="0" w:color="auto"/>
      </w:divBdr>
    </w:div>
    <w:div w:id="417530322">
      <w:bodyDiv w:val="1"/>
      <w:marLeft w:val="0"/>
      <w:marRight w:val="0"/>
      <w:marTop w:val="0"/>
      <w:marBottom w:val="0"/>
      <w:divBdr>
        <w:top w:val="none" w:sz="0" w:space="0" w:color="auto"/>
        <w:left w:val="none" w:sz="0" w:space="0" w:color="auto"/>
        <w:bottom w:val="none" w:sz="0" w:space="0" w:color="auto"/>
        <w:right w:val="none" w:sz="0" w:space="0" w:color="auto"/>
      </w:divBdr>
    </w:div>
    <w:div w:id="417562592">
      <w:bodyDiv w:val="1"/>
      <w:marLeft w:val="0"/>
      <w:marRight w:val="0"/>
      <w:marTop w:val="0"/>
      <w:marBottom w:val="0"/>
      <w:divBdr>
        <w:top w:val="none" w:sz="0" w:space="0" w:color="auto"/>
        <w:left w:val="none" w:sz="0" w:space="0" w:color="auto"/>
        <w:bottom w:val="none" w:sz="0" w:space="0" w:color="auto"/>
        <w:right w:val="none" w:sz="0" w:space="0" w:color="auto"/>
      </w:divBdr>
    </w:div>
    <w:div w:id="419445621">
      <w:bodyDiv w:val="1"/>
      <w:marLeft w:val="0"/>
      <w:marRight w:val="0"/>
      <w:marTop w:val="0"/>
      <w:marBottom w:val="0"/>
      <w:divBdr>
        <w:top w:val="none" w:sz="0" w:space="0" w:color="auto"/>
        <w:left w:val="none" w:sz="0" w:space="0" w:color="auto"/>
        <w:bottom w:val="none" w:sz="0" w:space="0" w:color="auto"/>
        <w:right w:val="none" w:sz="0" w:space="0" w:color="auto"/>
      </w:divBdr>
    </w:div>
    <w:div w:id="420227520">
      <w:bodyDiv w:val="1"/>
      <w:marLeft w:val="0"/>
      <w:marRight w:val="0"/>
      <w:marTop w:val="0"/>
      <w:marBottom w:val="0"/>
      <w:divBdr>
        <w:top w:val="none" w:sz="0" w:space="0" w:color="auto"/>
        <w:left w:val="none" w:sz="0" w:space="0" w:color="auto"/>
        <w:bottom w:val="none" w:sz="0" w:space="0" w:color="auto"/>
        <w:right w:val="none" w:sz="0" w:space="0" w:color="auto"/>
      </w:divBdr>
    </w:div>
    <w:div w:id="424228701">
      <w:bodyDiv w:val="1"/>
      <w:marLeft w:val="0"/>
      <w:marRight w:val="0"/>
      <w:marTop w:val="0"/>
      <w:marBottom w:val="0"/>
      <w:divBdr>
        <w:top w:val="none" w:sz="0" w:space="0" w:color="auto"/>
        <w:left w:val="none" w:sz="0" w:space="0" w:color="auto"/>
        <w:bottom w:val="none" w:sz="0" w:space="0" w:color="auto"/>
        <w:right w:val="none" w:sz="0" w:space="0" w:color="auto"/>
      </w:divBdr>
    </w:div>
    <w:div w:id="424493898">
      <w:bodyDiv w:val="1"/>
      <w:marLeft w:val="0"/>
      <w:marRight w:val="0"/>
      <w:marTop w:val="0"/>
      <w:marBottom w:val="0"/>
      <w:divBdr>
        <w:top w:val="none" w:sz="0" w:space="0" w:color="auto"/>
        <w:left w:val="none" w:sz="0" w:space="0" w:color="auto"/>
        <w:bottom w:val="none" w:sz="0" w:space="0" w:color="auto"/>
        <w:right w:val="none" w:sz="0" w:space="0" w:color="auto"/>
      </w:divBdr>
    </w:div>
    <w:div w:id="424499622">
      <w:bodyDiv w:val="1"/>
      <w:marLeft w:val="0"/>
      <w:marRight w:val="0"/>
      <w:marTop w:val="0"/>
      <w:marBottom w:val="0"/>
      <w:divBdr>
        <w:top w:val="none" w:sz="0" w:space="0" w:color="auto"/>
        <w:left w:val="none" w:sz="0" w:space="0" w:color="auto"/>
        <w:bottom w:val="none" w:sz="0" w:space="0" w:color="auto"/>
        <w:right w:val="none" w:sz="0" w:space="0" w:color="auto"/>
      </w:divBdr>
    </w:div>
    <w:div w:id="425728986">
      <w:bodyDiv w:val="1"/>
      <w:marLeft w:val="0"/>
      <w:marRight w:val="0"/>
      <w:marTop w:val="0"/>
      <w:marBottom w:val="0"/>
      <w:divBdr>
        <w:top w:val="none" w:sz="0" w:space="0" w:color="auto"/>
        <w:left w:val="none" w:sz="0" w:space="0" w:color="auto"/>
        <w:bottom w:val="none" w:sz="0" w:space="0" w:color="auto"/>
        <w:right w:val="none" w:sz="0" w:space="0" w:color="auto"/>
      </w:divBdr>
    </w:div>
    <w:div w:id="426460764">
      <w:bodyDiv w:val="1"/>
      <w:marLeft w:val="0"/>
      <w:marRight w:val="0"/>
      <w:marTop w:val="0"/>
      <w:marBottom w:val="0"/>
      <w:divBdr>
        <w:top w:val="none" w:sz="0" w:space="0" w:color="auto"/>
        <w:left w:val="none" w:sz="0" w:space="0" w:color="auto"/>
        <w:bottom w:val="none" w:sz="0" w:space="0" w:color="auto"/>
        <w:right w:val="none" w:sz="0" w:space="0" w:color="auto"/>
      </w:divBdr>
    </w:div>
    <w:div w:id="429742024">
      <w:bodyDiv w:val="1"/>
      <w:marLeft w:val="0"/>
      <w:marRight w:val="0"/>
      <w:marTop w:val="0"/>
      <w:marBottom w:val="0"/>
      <w:divBdr>
        <w:top w:val="none" w:sz="0" w:space="0" w:color="auto"/>
        <w:left w:val="none" w:sz="0" w:space="0" w:color="auto"/>
        <w:bottom w:val="none" w:sz="0" w:space="0" w:color="auto"/>
        <w:right w:val="none" w:sz="0" w:space="0" w:color="auto"/>
      </w:divBdr>
    </w:div>
    <w:div w:id="430123097">
      <w:bodyDiv w:val="1"/>
      <w:marLeft w:val="0"/>
      <w:marRight w:val="0"/>
      <w:marTop w:val="0"/>
      <w:marBottom w:val="0"/>
      <w:divBdr>
        <w:top w:val="none" w:sz="0" w:space="0" w:color="auto"/>
        <w:left w:val="none" w:sz="0" w:space="0" w:color="auto"/>
        <w:bottom w:val="none" w:sz="0" w:space="0" w:color="auto"/>
        <w:right w:val="none" w:sz="0" w:space="0" w:color="auto"/>
      </w:divBdr>
    </w:div>
    <w:div w:id="431895023">
      <w:bodyDiv w:val="1"/>
      <w:marLeft w:val="0"/>
      <w:marRight w:val="0"/>
      <w:marTop w:val="0"/>
      <w:marBottom w:val="0"/>
      <w:divBdr>
        <w:top w:val="none" w:sz="0" w:space="0" w:color="auto"/>
        <w:left w:val="none" w:sz="0" w:space="0" w:color="auto"/>
        <w:bottom w:val="none" w:sz="0" w:space="0" w:color="auto"/>
        <w:right w:val="none" w:sz="0" w:space="0" w:color="auto"/>
      </w:divBdr>
    </w:div>
    <w:div w:id="433324895">
      <w:bodyDiv w:val="1"/>
      <w:marLeft w:val="0"/>
      <w:marRight w:val="0"/>
      <w:marTop w:val="0"/>
      <w:marBottom w:val="0"/>
      <w:divBdr>
        <w:top w:val="none" w:sz="0" w:space="0" w:color="auto"/>
        <w:left w:val="none" w:sz="0" w:space="0" w:color="auto"/>
        <w:bottom w:val="none" w:sz="0" w:space="0" w:color="auto"/>
        <w:right w:val="none" w:sz="0" w:space="0" w:color="auto"/>
      </w:divBdr>
    </w:div>
    <w:div w:id="434598253">
      <w:bodyDiv w:val="1"/>
      <w:marLeft w:val="0"/>
      <w:marRight w:val="0"/>
      <w:marTop w:val="0"/>
      <w:marBottom w:val="0"/>
      <w:divBdr>
        <w:top w:val="none" w:sz="0" w:space="0" w:color="auto"/>
        <w:left w:val="none" w:sz="0" w:space="0" w:color="auto"/>
        <w:bottom w:val="none" w:sz="0" w:space="0" w:color="auto"/>
        <w:right w:val="none" w:sz="0" w:space="0" w:color="auto"/>
      </w:divBdr>
    </w:div>
    <w:div w:id="436828455">
      <w:bodyDiv w:val="1"/>
      <w:marLeft w:val="0"/>
      <w:marRight w:val="0"/>
      <w:marTop w:val="0"/>
      <w:marBottom w:val="0"/>
      <w:divBdr>
        <w:top w:val="none" w:sz="0" w:space="0" w:color="auto"/>
        <w:left w:val="none" w:sz="0" w:space="0" w:color="auto"/>
        <w:bottom w:val="none" w:sz="0" w:space="0" w:color="auto"/>
        <w:right w:val="none" w:sz="0" w:space="0" w:color="auto"/>
      </w:divBdr>
    </w:div>
    <w:div w:id="442192168">
      <w:bodyDiv w:val="1"/>
      <w:marLeft w:val="0"/>
      <w:marRight w:val="0"/>
      <w:marTop w:val="0"/>
      <w:marBottom w:val="0"/>
      <w:divBdr>
        <w:top w:val="none" w:sz="0" w:space="0" w:color="auto"/>
        <w:left w:val="none" w:sz="0" w:space="0" w:color="auto"/>
        <w:bottom w:val="none" w:sz="0" w:space="0" w:color="auto"/>
        <w:right w:val="none" w:sz="0" w:space="0" w:color="auto"/>
      </w:divBdr>
    </w:div>
    <w:div w:id="442263809">
      <w:bodyDiv w:val="1"/>
      <w:marLeft w:val="0"/>
      <w:marRight w:val="0"/>
      <w:marTop w:val="0"/>
      <w:marBottom w:val="0"/>
      <w:divBdr>
        <w:top w:val="none" w:sz="0" w:space="0" w:color="auto"/>
        <w:left w:val="none" w:sz="0" w:space="0" w:color="auto"/>
        <w:bottom w:val="none" w:sz="0" w:space="0" w:color="auto"/>
        <w:right w:val="none" w:sz="0" w:space="0" w:color="auto"/>
      </w:divBdr>
    </w:div>
    <w:div w:id="442654042">
      <w:bodyDiv w:val="1"/>
      <w:marLeft w:val="0"/>
      <w:marRight w:val="0"/>
      <w:marTop w:val="0"/>
      <w:marBottom w:val="0"/>
      <w:divBdr>
        <w:top w:val="none" w:sz="0" w:space="0" w:color="auto"/>
        <w:left w:val="none" w:sz="0" w:space="0" w:color="auto"/>
        <w:bottom w:val="none" w:sz="0" w:space="0" w:color="auto"/>
        <w:right w:val="none" w:sz="0" w:space="0" w:color="auto"/>
      </w:divBdr>
    </w:div>
    <w:div w:id="445737656">
      <w:bodyDiv w:val="1"/>
      <w:marLeft w:val="0"/>
      <w:marRight w:val="0"/>
      <w:marTop w:val="0"/>
      <w:marBottom w:val="0"/>
      <w:divBdr>
        <w:top w:val="none" w:sz="0" w:space="0" w:color="auto"/>
        <w:left w:val="none" w:sz="0" w:space="0" w:color="auto"/>
        <w:bottom w:val="none" w:sz="0" w:space="0" w:color="auto"/>
        <w:right w:val="none" w:sz="0" w:space="0" w:color="auto"/>
      </w:divBdr>
    </w:div>
    <w:div w:id="448160318">
      <w:bodyDiv w:val="1"/>
      <w:marLeft w:val="0"/>
      <w:marRight w:val="0"/>
      <w:marTop w:val="0"/>
      <w:marBottom w:val="0"/>
      <w:divBdr>
        <w:top w:val="none" w:sz="0" w:space="0" w:color="auto"/>
        <w:left w:val="none" w:sz="0" w:space="0" w:color="auto"/>
        <w:bottom w:val="none" w:sz="0" w:space="0" w:color="auto"/>
        <w:right w:val="none" w:sz="0" w:space="0" w:color="auto"/>
      </w:divBdr>
    </w:div>
    <w:div w:id="455105628">
      <w:bodyDiv w:val="1"/>
      <w:marLeft w:val="0"/>
      <w:marRight w:val="0"/>
      <w:marTop w:val="0"/>
      <w:marBottom w:val="0"/>
      <w:divBdr>
        <w:top w:val="none" w:sz="0" w:space="0" w:color="auto"/>
        <w:left w:val="none" w:sz="0" w:space="0" w:color="auto"/>
        <w:bottom w:val="none" w:sz="0" w:space="0" w:color="auto"/>
        <w:right w:val="none" w:sz="0" w:space="0" w:color="auto"/>
      </w:divBdr>
    </w:div>
    <w:div w:id="455608743">
      <w:bodyDiv w:val="1"/>
      <w:marLeft w:val="0"/>
      <w:marRight w:val="0"/>
      <w:marTop w:val="0"/>
      <w:marBottom w:val="0"/>
      <w:divBdr>
        <w:top w:val="none" w:sz="0" w:space="0" w:color="auto"/>
        <w:left w:val="none" w:sz="0" w:space="0" w:color="auto"/>
        <w:bottom w:val="none" w:sz="0" w:space="0" w:color="auto"/>
        <w:right w:val="none" w:sz="0" w:space="0" w:color="auto"/>
      </w:divBdr>
    </w:div>
    <w:div w:id="458642829">
      <w:bodyDiv w:val="1"/>
      <w:marLeft w:val="0"/>
      <w:marRight w:val="0"/>
      <w:marTop w:val="0"/>
      <w:marBottom w:val="0"/>
      <w:divBdr>
        <w:top w:val="none" w:sz="0" w:space="0" w:color="auto"/>
        <w:left w:val="none" w:sz="0" w:space="0" w:color="auto"/>
        <w:bottom w:val="none" w:sz="0" w:space="0" w:color="auto"/>
        <w:right w:val="none" w:sz="0" w:space="0" w:color="auto"/>
      </w:divBdr>
    </w:div>
    <w:div w:id="463500383">
      <w:bodyDiv w:val="1"/>
      <w:marLeft w:val="0"/>
      <w:marRight w:val="0"/>
      <w:marTop w:val="0"/>
      <w:marBottom w:val="0"/>
      <w:divBdr>
        <w:top w:val="none" w:sz="0" w:space="0" w:color="auto"/>
        <w:left w:val="none" w:sz="0" w:space="0" w:color="auto"/>
        <w:bottom w:val="none" w:sz="0" w:space="0" w:color="auto"/>
        <w:right w:val="none" w:sz="0" w:space="0" w:color="auto"/>
      </w:divBdr>
    </w:div>
    <w:div w:id="463735966">
      <w:bodyDiv w:val="1"/>
      <w:marLeft w:val="0"/>
      <w:marRight w:val="0"/>
      <w:marTop w:val="0"/>
      <w:marBottom w:val="0"/>
      <w:divBdr>
        <w:top w:val="none" w:sz="0" w:space="0" w:color="auto"/>
        <w:left w:val="none" w:sz="0" w:space="0" w:color="auto"/>
        <w:bottom w:val="none" w:sz="0" w:space="0" w:color="auto"/>
        <w:right w:val="none" w:sz="0" w:space="0" w:color="auto"/>
      </w:divBdr>
    </w:div>
    <w:div w:id="467404216">
      <w:bodyDiv w:val="1"/>
      <w:marLeft w:val="0"/>
      <w:marRight w:val="0"/>
      <w:marTop w:val="0"/>
      <w:marBottom w:val="0"/>
      <w:divBdr>
        <w:top w:val="none" w:sz="0" w:space="0" w:color="auto"/>
        <w:left w:val="none" w:sz="0" w:space="0" w:color="auto"/>
        <w:bottom w:val="none" w:sz="0" w:space="0" w:color="auto"/>
        <w:right w:val="none" w:sz="0" w:space="0" w:color="auto"/>
      </w:divBdr>
    </w:div>
    <w:div w:id="469593987">
      <w:bodyDiv w:val="1"/>
      <w:marLeft w:val="0"/>
      <w:marRight w:val="0"/>
      <w:marTop w:val="0"/>
      <w:marBottom w:val="0"/>
      <w:divBdr>
        <w:top w:val="none" w:sz="0" w:space="0" w:color="auto"/>
        <w:left w:val="none" w:sz="0" w:space="0" w:color="auto"/>
        <w:bottom w:val="none" w:sz="0" w:space="0" w:color="auto"/>
        <w:right w:val="none" w:sz="0" w:space="0" w:color="auto"/>
      </w:divBdr>
    </w:div>
    <w:div w:id="471099932">
      <w:bodyDiv w:val="1"/>
      <w:marLeft w:val="0"/>
      <w:marRight w:val="0"/>
      <w:marTop w:val="0"/>
      <w:marBottom w:val="0"/>
      <w:divBdr>
        <w:top w:val="none" w:sz="0" w:space="0" w:color="auto"/>
        <w:left w:val="none" w:sz="0" w:space="0" w:color="auto"/>
        <w:bottom w:val="none" w:sz="0" w:space="0" w:color="auto"/>
        <w:right w:val="none" w:sz="0" w:space="0" w:color="auto"/>
      </w:divBdr>
    </w:div>
    <w:div w:id="473178474">
      <w:bodyDiv w:val="1"/>
      <w:marLeft w:val="0"/>
      <w:marRight w:val="0"/>
      <w:marTop w:val="0"/>
      <w:marBottom w:val="0"/>
      <w:divBdr>
        <w:top w:val="none" w:sz="0" w:space="0" w:color="auto"/>
        <w:left w:val="none" w:sz="0" w:space="0" w:color="auto"/>
        <w:bottom w:val="none" w:sz="0" w:space="0" w:color="auto"/>
        <w:right w:val="none" w:sz="0" w:space="0" w:color="auto"/>
      </w:divBdr>
    </w:div>
    <w:div w:id="474877720">
      <w:bodyDiv w:val="1"/>
      <w:marLeft w:val="0"/>
      <w:marRight w:val="0"/>
      <w:marTop w:val="0"/>
      <w:marBottom w:val="0"/>
      <w:divBdr>
        <w:top w:val="none" w:sz="0" w:space="0" w:color="auto"/>
        <w:left w:val="none" w:sz="0" w:space="0" w:color="auto"/>
        <w:bottom w:val="none" w:sz="0" w:space="0" w:color="auto"/>
        <w:right w:val="none" w:sz="0" w:space="0" w:color="auto"/>
      </w:divBdr>
    </w:div>
    <w:div w:id="477264414">
      <w:bodyDiv w:val="1"/>
      <w:marLeft w:val="0"/>
      <w:marRight w:val="0"/>
      <w:marTop w:val="0"/>
      <w:marBottom w:val="0"/>
      <w:divBdr>
        <w:top w:val="none" w:sz="0" w:space="0" w:color="auto"/>
        <w:left w:val="none" w:sz="0" w:space="0" w:color="auto"/>
        <w:bottom w:val="none" w:sz="0" w:space="0" w:color="auto"/>
        <w:right w:val="none" w:sz="0" w:space="0" w:color="auto"/>
      </w:divBdr>
    </w:div>
    <w:div w:id="477458261">
      <w:bodyDiv w:val="1"/>
      <w:marLeft w:val="0"/>
      <w:marRight w:val="0"/>
      <w:marTop w:val="0"/>
      <w:marBottom w:val="0"/>
      <w:divBdr>
        <w:top w:val="none" w:sz="0" w:space="0" w:color="auto"/>
        <w:left w:val="none" w:sz="0" w:space="0" w:color="auto"/>
        <w:bottom w:val="none" w:sz="0" w:space="0" w:color="auto"/>
        <w:right w:val="none" w:sz="0" w:space="0" w:color="auto"/>
      </w:divBdr>
    </w:div>
    <w:div w:id="481507754">
      <w:bodyDiv w:val="1"/>
      <w:marLeft w:val="0"/>
      <w:marRight w:val="0"/>
      <w:marTop w:val="0"/>
      <w:marBottom w:val="0"/>
      <w:divBdr>
        <w:top w:val="none" w:sz="0" w:space="0" w:color="auto"/>
        <w:left w:val="none" w:sz="0" w:space="0" w:color="auto"/>
        <w:bottom w:val="none" w:sz="0" w:space="0" w:color="auto"/>
        <w:right w:val="none" w:sz="0" w:space="0" w:color="auto"/>
      </w:divBdr>
    </w:div>
    <w:div w:id="481892131">
      <w:bodyDiv w:val="1"/>
      <w:marLeft w:val="0"/>
      <w:marRight w:val="0"/>
      <w:marTop w:val="0"/>
      <w:marBottom w:val="0"/>
      <w:divBdr>
        <w:top w:val="none" w:sz="0" w:space="0" w:color="auto"/>
        <w:left w:val="none" w:sz="0" w:space="0" w:color="auto"/>
        <w:bottom w:val="none" w:sz="0" w:space="0" w:color="auto"/>
        <w:right w:val="none" w:sz="0" w:space="0" w:color="auto"/>
      </w:divBdr>
    </w:div>
    <w:div w:id="483087004">
      <w:bodyDiv w:val="1"/>
      <w:marLeft w:val="0"/>
      <w:marRight w:val="0"/>
      <w:marTop w:val="0"/>
      <w:marBottom w:val="0"/>
      <w:divBdr>
        <w:top w:val="none" w:sz="0" w:space="0" w:color="auto"/>
        <w:left w:val="none" w:sz="0" w:space="0" w:color="auto"/>
        <w:bottom w:val="none" w:sz="0" w:space="0" w:color="auto"/>
        <w:right w:val="none" w:sz="0" w:space="0" w:color="auto"/>
      </w:divBdr>
    </w:div>
    <w:div w:id="483395651">
      <w:bodyDiv w:val="1"/>
      <w:marLeft w:val="0"/>
      <w:marRight w:val="0"/>
      <w:marTop w:val="0"/>
      <w:marBottom w:val="0"/>
      <w:divBdr>
        <w:top w:val="none" w:sz="0" w:space="0" w:color="auto"/>
        <w:left w:val="none" w:sz="0" w:space="0" w:color="auto"/>
        <w:bottom w:val="none" w:sz="0" w:space="0" w:color="auto"/>
        <w:right w:val="none" w:sz="0" w:space="0" w:color="auto"/>
      </w:divBdr>
    </w:div>
    <w:div w:id="483859562">
      <w:bodyDiv w:val="1"/>
      <w:marLeft w:val="0"/>
      <w:marRight w:val="0"/>
      <w:marTop w:val="0"/>
      <w:marBottom w:val="0"/>
      <w:divBdr>
        <w:top w:val="none" w:sz="0" w:space="0" w:color="auto"/>
        <w:left w:val="none" w:sz="0" w:space="0" w:color="auto"/>
        <w:bottom w:val="none" w:sz="0" w:space="0" w:color="auto"/>
        <w:right w:val="none" w:sz="0" w:space="0" w:color="auto"/>
      </w:divBdr>
    </w:div>
    <w:div w:id="487403400">
      <w:bodyDiv w:val="1"/>
      <w:marLeft w:val="0"/>
      <w:marRight w:val="0"/>
      <w:marTop w:val="0"/>
      <w:marBottom w:val="0"/>
      <w:divBdr>
        <w:top w:val="none" w:sz="0" w:space="0" w:color="auto"/>
        <w:left w:val="none" w:sz="0" w:space="0" w:color="auto"/>
        <w:bottom w:val="none" w:sz="0" w:space="0" w:color="auto"/>
        <w:right w:val="none" w:sz="0" w:space="0" w:color="auto"/>
      </w:divBdr>
    </w:div>
    <w:div w:id="490484953">
      <w:bodyDiv w:val="1"/>
      <w:marLeft w:val="0"/>
      <w:marRight w:val="0"/>
      <w:marTop w:val="0"/>
      <w:marBottom w:val="0"/>
      <w:divBdr>
        <w:top w:val="none" w:sz="0" w:space="0" w:color="auto"/>
        <w:left w:val="none" w:sz="0" w:space="0" w:color="auto"/>
        <w:bottom w:val="none" w:sz="0" w:space="0" w:color="auto"/>
        <w:right w:val="none" w:sz="0" w:space="0" w:color="auto"/>
      </w:divBdr>
    </w:div>
    <w:div w:id="492332369">
      <w:bodyDiv w:val="1"/>
      <w:marLeft w:val="0"/>
      <w:marRight w:val="0"/>
      <w:marTop w:val="0"/>
      <w:marBottom w:val="0"/>
      <w:divBdr>
        <w:top w:val="none" w:sz="0" w:space="0" w:color="auto"/>
        <w:left w:val="none" w:sz="0" w:space="0" w:color="auto"/>
        <w:bottom w:val="none" w:sz="0" w:space="0" w:color="auto"/>
        <w:right w:val="none" w:sz="0" w:space="0" w:color="auto"/>
      </w:divBdr>
    </w:div>
    <w:div w:id="496312174">
      <w:bodyDiv w:val="1"/>
      <w:marLeft w:val="0"/>
      <w:marRight w:val="0"/>
      <w:marTop w:val="0"/>
      <w:marBottom w:val="0"/>
      <w:divBdr>
        <w:top w:val="none" w:sz="0" w:space="0" w:color="auto"/>
        <w:left w:val="none" w:sz="0" w:space="0" w:color="auto"/>
        <w:bottom w:val="none" w:sz="0" w:space="0" w:color="auto"/>
        <w:right w:val="none" w:sz="0" w:space="0" w:color="auto"/>
      </w:divBdr>
    </w:div>
    <w:div w:id="498622574">
      <w:bodyDiv w:val="1"/>
      <w:marLeft w:val="0"/>
      <w:marRight w:val="0"/>
      <w:marTop w:val="0"/>
      <w:marBottom w:val="0"/>
      <w:divBdr>
        <w:top w:val="none" w:sz="0" w:space="0" w:color="auto"/>
        <w:left w:val="none" w:sz="0" w:space="0" w:color="auto"/>
        <w:bottom w:val="none" w:sz="0" w:space="0" w:color="auto"/>
        <w:right w:val="none" w:sz="0" w:space="0" w:color="auto"/>
      </w:divBdr>
    </w:div>
    <w:div w:id="500510449">
      <w:bodyDiv w:val="1"/>
      <w:marLeft w:val="0"/>
      <w:marRight w:val="0"/>
      <w:marTop w:val="0"/>
      <w:marBottom w:val="0"/>
      <w:divBdr>
        <w:top w:val="none" w:sz="0" w:space="0" w:color="auto"/>
        <w:left w:val="none" w:sz="0" w:space="0" w:color="auto"/>
        <w:bottom w:val="none" w:sz="0" w:space="0" w:color="auto"/>
        <w:right w:val="none" w:sz="0" w:space="0" w:color="auto"/>
      </w:divBdr>
    </w:div>
    <w:div w:id="501088717">
      <w:bodyDiv w:val="1"/>
      <w:marLeft w:val="0"/>
      <w:marRight w:val="0"/>
      <w:marTop w:val="0"/>
      <w:marBottom w:val="0"/>
      <w:divBdr>
        <w:top w:val="none" w:sz="0" w:space="0" w:color="auto"/>
        <w:left w:val="none" w:sz="0" w:space="0" w:color="auto"/>
        <w:bottom w:val="none" w:sz="0" w:space="0" w:color="auto"/>
        <w:right w:val="none" w:sz="0" w:space="0" w:color="auto"/>
      </w:divBdr>
    </w:div>
    <w:div w:id="501970130">
      <w:bodyDiv w:val="1"/>
      <w:marLeft w:val="0"/>
      <w:marRight w:val="0"/>
      <w:marTop w:val="0"/>
      <w:marBottom w:val="0"/>
      <w:divBdr>
        <w:top w:val="none" w:sz="0" w:space="0" w:color="auto"/>
        <w:left w:val="none" w:sz="0" w:space="0" w:color="auto"/>
        <w:bottom w:val="none" w:sz="0" w:space="0" w:color="auto"/>
        <w:right w:val="none" w:sz="0" w:space="0" w:color="auto"/>
      </w:divBdr>
    </w:div>
    <w:div w:id="503320643">
      <w:bodyDiv w:val="1"/>
      <w:marLeft w:val="0"/>
      <w:marRight w:val="0"/>
      <w:marTop w:val="0"/>
      <w:marBottom w:val="0"/>
      <w:divBdr>
        <w:top w:val="none" w:sz="0" w:space="0" w:color="auto"/>
        <w:left w:val="none" w:sz="0" w:space="0" w:color="auto"/>
        <w:bottom w:val="none" w:sz="0" w:space="0" w:color="auto"/>
        <w:right w:val="none" w:sz="0" w:space="0" w:color="auto"/>
      </w:divBdr>
    </w:div>
    <w:div w:id="506166867">
      <w:bodyDiv w:val="1"/>
      <w:marLeft w:val="0"/>
      <w:marRight w:val="0"/>
      <w:marTop w:val="0"/>
      <w:marBottom w:val="0"/>
      <w:divBdr>
        <w:top w:val="none" w:sz="0" w:space="0" w:color="auto"/>
        <w:left w:val="none" w:sz="0" w:space="0" w:color="auto"/>
        <w:bottom w:val="none" w:sz="0" w:space="0" w:color="auto"/>
        <w:right w:val="none" w:sz="0" w:space="0" w:color="auto"/>
      </w:divBdr>
    </w:div>
    <w:div w:id="509611106">
      <w:bodyDiv w:val="1"/>
      <w:marLeft w:val="0"/>
      <w:marRight w:val="0"/>
      <w:marTop w:val="0"/>
      <w:marBottom w:val="0"/>
      <w:divBdr>
        <w:top w:val="none" w:sz="0" w:space="0" w:color="auto"/>
        <w:left w:val="none" w:sz="0" w:space="0" w:color="auto"/>
        <w:bottom w:val="none" w:sz="0" w:space="0" w:color="auto"/>
        <w:right w:val="none" w:sz="0" w:space="0" w:color="auto"/>
      </w:divBdr>
    </w:div>
    <w:div w:id="515533515">
      <w:bodyDiv w:val="1"/>
      <w:marLeft w:val="0"/>
      <w:marRight w:val="0"/>
      <w:marTop w:val="0"/>
      <w:marBottom w:val="0"/>
      <w:divBdr>
        <w:top w:val="none" w:sz="0" w:space="0" w:color="auto"/>
        <w:left w:val="none" w:sz="0" w:space="0" w:color="auto"/>
        <w:bottom w:val="none" w:sz="0" w:space="0" w:color="auto"/>
        <w:right w:val="none" w:sz="0" w:space="0" w:color="auto"/>
      </w:divBdr>
    </w:div>
    <w:div w:id="518815016">
      <w:bodyDiv w:val="1"/>
      <w:marLeft w:val="0"/>
      <w:marRight w:val="0"/>
      <w:marTop w:val="0"/>
      <w:marBottom w:val="0"/>
      <w:divBdr>
        <w:top w:val="none" w:sz="0" w:space="0" w:color="auto"/>
        <w:left w:val="none" w:sz="0" w:space="0" w:color="auto"/>
        <w:bottom w:val="none" w:sz="0" w:space="0" w:color="auto"/>
        <w:right w:val="none" w:sz="0" w:space="0" w:color="auto"/>
      </w:divBdr>
    </w:div>
    <w:div w:id="520122234">
      <w:bodyDiv w:val="1"/>
      <w:marLeft w:val="0"/>
      <w:marRight w:val="0"/>
      <w:marTop w:val="0"/>
      <w:marBottom w:val="0"/>
      <w:divBdr>
        <w:top w:val="none" w:sz="0" w:space="0" w:color="auto"/>
        <w:left w:val="none" w:sz="0" w:space="0" w:color="auto"/>
        <w:bottom w:val="none" w:sz="0" w:space="0" w:color="auto"/>
        <w:right w:val="none" w:sz="0" w:space="0" w:color="auto"/>
      </w:divBdr>
    </w:div>
    <w:div w:id="520436191">
      <w:bodyDiv w:val="1"/>
      <w:marLeft w:val="0"/>
      <w:marRight w:val="0"/>
      <w:marTop w:val="0"/>
      <w:marBottom w:val="0"/>
      <w:divBdr>
        <w:top w:val="none" w:sz="0" w:space="0" w:color="auto"/>
        <w:left w:val="none" w:sz="0" w:space="0" w:color="auto"/>
        <w:bottom w:val="none" w:sz="0" w:space="0" w:color="auto"/>
        <w:right w:val="none" w:sz="0" w:space="0" w:color="auto"/>
      </w:divBdr>
    </w:div>
    <w:div w:id="522136221">
      <w:bodyDiv w:val="1"/>
      <w:marLeft w:val="0"/>
      <w:marRight w:val="0"/>
      <w:marTop w:val="0"/>
      <w:marBottom w:val="0"/>
      <w:divBdr>
        <w:top w:val="none" w:sz="0" w:space="0" w:color="auto"/>
        <w:left w:val="none" w:sz="0" w:space="0" w:color="auto"/>
        <w:bottom w:val="none" w:sz="0" w:space="0" w:color="auto"/>
        <w:right w:val="none" w:sz="0" w:space="0" w:color="auto"/>
      </w:divBdr>
    </w:div>
    <w:div w:id="522669515">
      <w:bodyDiv w:val="1"/>
      <w:marLeft w:val="0"/>
      <w:marRight w:val="0"/>
      <w:marTop w:val="0"/>
      <w:marBottom w:val="0"/>
      <w:divBdr>
        <w:top w:val="none" w:sz="0" w:space="0" w:color="auto"/>
        <w:left w:val="none" w:sz="0" w:space="0" w:color="auto"/>
        <w:bottom w:val="none" w:sz="0" w:space="0" w:color="auto"/>
        <w:right w:val="none" w:sz="0" w:space="0" w:color="auto"/>
      </w:divBdr>
    </w:div>
    <w:div w:id="522792930">
      <w:bodyDiv w:val="1"/>
      <w:marLeft w:val="0"/>
      <w:marRight w:val="0"/>
      <w:marTop w:val="0"/>
      <w:marBottom w:val="0"/>
      <w:divBdr>
        <w:top w:val="none" w:sz="0" w:space="0" w:color="auto"/>
        <w:left w:val="none" w:sz="0" w:space="0" w:color="auto"/>
        <w:bottom w:val="none" w:sz="0" w:space="0" w:color="auto"/>
        <w:right w:val="none" w:sz="0" w:space="0" w:color="auto"/>
      </w:divBdr>
    </w:div>
    <w:div w:id="525096534">
      <w:bodyDiv w:val="1"/>
      <w:marLeft w:val="0"/>
      <w:marRight w:val="0"/>
      <w:marTop w:val="0"/>
      <w:marBottom w:val="0"/>
      <w:divBdr>
        <w:top w:val="none" w:sz="0" w:space="0" w:color="auto"/>
        <w:left w:val="none" w:sz="0" w:space="0" w:color="auto"/>
        <w:bottom w:val="none" w:sz="0" w:space="0" w:color="auto"/>
        <w:right w:val="none" w:sz="0" w:space="0" w:color="auto"/>
      </w:divBdr>
    </w:div>
    <w:div w:id="526866989">
      <w:bodyDiv w:val="1"/>
      <w:marLeft w:val="0"/>
      <w:marRight w:val="0"/>
      <w:marTop w:val="0"/>
      <w:marBottom w:val="0"/>
      <w:divBdr>
        <w:top w:val="none" w:sz="0" w:space="0" w:color="auto"/>
        <w:left w:val="none" w:sz="0" w:space="0" w:color="auto"/>
        <w:bottom w:val="none" w:sz="0" w:space="0" w:color="auto"/>
        <w:right w:val="none" w:sz="0" w:space="0" w:color="auto"/>
      </w:divBdr>
    </w:div>
    <w:div w:id="530076248">
      <w:bodyDiv w:val="1"/>
      <w:marLeft w:val="0"/>
      <w:marRight w:val="0"/>
      <w:marTop w:val="0"/>
      <w:marBottom w:val="0"/>
      <w:divBdr>
        <w:top w:val="none" w:sz="0" w:space="0" w:color="auto"/>
        <w:left w:val="none" w:sz="0" w:space="0" w:color="auto"/>
        <w:bottom w:val="none" w:sz="0" w:space="0" w:color="auto"/>
        <w:right w:val="none" w:sz="0" w:space="0" w:color="auto"/>
      </w:divBdr>
    </w:div>
    <w:div w:id="533007636">
      <w:bodyDiv w:val="1"/>
      <w:marLeft w:val="0"/>
      <w:marRight w:val="0"/>
      <w:marTop w:val="0"/>
      <w:marBottom w:val="0"/>
      <w:divBdr>
        <w:top w:val="none" w:sz="0" w:space="0" w:color="auto"/>
        <w:left w:val="none" w:sz="0" w:space="0" w:color="auto"/>
        <w:bottom w:val="none" w:sz="0" w:space="0" w:color="auto"/>
        <w:right w:val="none" w:sz="0" w:space="0" w:color="auto"/>
      </w:divBdr>
    </w:div>
    <w:div w:id="533688184">
      <w:bodyDiv w:val="1"/>
      <w:marLeft w:val="0"/>
      <w:marRight w:val="0"/>
      <w:marTop w:val="0"/>
      <w:marBottom w:val="0"/>
      <w:divBdr>
        <w:top w:val="none" w:sz="0" w:space="0" w:color="auto"/>
        <w:left w:val="none" w:sz="0" w:space="0" w:color="auto"/>
        <w:bottom w:val="none" w:sz="0" w:space="0" w:color="auto"/>
        <w:right w:val="none" w:sz="0" w:space="0" w:color="auto"/>
      </w:divBdr>
    </w:div>
    <w:div w:id="534926919">
      <w:bodyDiv w:val="1"/>
      <w:marLeft w:val="0"/>
      <w:marRight w:val="0"/>
      <w:marTop w:val="0"/>
      <w:marBottom w:val="0"/>
      <w:divBdr>
        <w:top w:val="none" w:sz="0" w:space="0" w:color="auto"/>
        <w:left w:val="none" w:sz="0" w:space="0" w:color="auto"/>
        <w:bottom w:val="none" w:sz="0" w:space="0" w:color="auto"/>
        <w:right w:val="none" w:sz="0" w:space="0" w:color="auto"/>
      </w:divBdr>
    </w:div>
    <w:div w:id="535045056">
      <w:bodyDiv w:val="1"/>
      <w:marLeft w:val="0"/>
      <w:marRight w:val="0"/>
      <w:marTop w:val="0"/>
      <w:marBottom w:val="0"/>
      <w:divBdr>
        <w:top w:val="none" w:sz="0" w:space="0" w:color="auto"/>
        <w:left w:val="none" w:sz="0" w:space="0" w:color="auto"/>
        <w:bottom w:val="none" w:sz="0" w:space="0" w:color="auto"/>
        <w:right w:val="none" w:sz="0" w:space="0" w:color="auto"/>
      </w:divBdr>
    </w:div>
    <w:div w:id="535125726">
      <w:bodyDiv w:val="1"/>
      <w:marLeft w:val="0"/>
      <w:marRight w:val="0"/>
      <w:marTop w:val="0"/>
      <w:marBottom w:val="0"/>
      <w:divBdr>
        <w:top w:val="none" w:sz="0" w:space="0" w:color="auto"/>
        <w:left w:val="none" w:sz="0" w:space="0" w:color="auto"/>
        <w:bottom w:val="none" w:sz="0" w:space="0" w:color="auto"/>
        <w:right w:val="none" w:sz="0" w:space="0" w:color="auto"/>
      </w:divBdr>
    </w:div>
    <w:div w:id="536896029">
      <w:bodyDiv w:val="1"/>
      <w:marLeft w:val="0"/>
      <w:marRight w:val="0"/>
      <w:marTop w:val="0"/>
      <w:marBottom w:val="0"/>
      <w:divBdr>
        <w:top w:val="none" w:sz="0" w:space="0" w:color="auto"/>
        <w:left w:val="none" w:sz="0" w:space="0" w:color="auto"/>
        <w:bottom w:val="none" w:sz="0" w:space="0" w:color="auto"/>
        <w:right w:val="none" w:sz="0" w:space="0" w:color="auto"/>
      </w:divBdr>
    </w:div>
    <w:div w:id="539636203">
      <w:bodyDiv w:val="1"/>
      <w:marLeft w:val="0"/>
      <w:marRight w:val="0"/>
      <w:marTop w:val="0"/>
      <w:marBottom w:val="0"/>
      <w:divBdr>
        <w:top w:val="none" w:sz="0" w:space="0" w:color="auto"/>
        <w:left w:val="none" w:sz="0" w:space="0" w:color="auto"/>
        <w:bottom w:val="none" w:sz="0" w:space="0" w:color="auto"/>
        <w:right w:val="none" w:sz="0" w:space="0" w:color="auto"/>
      </w:divBdr>
    </w:div>
    <w:div w:id="539974311">
      <w:bodyDiv w:val="1"/>
      <w:marLeft w:val="0"/>
      <w:marRight w:val="0"/>
      <w:marTop w:val="0"/>
      <w:marBottom w:val="0"/>
      <w:divBdr>
        <w:top w:val="none" w:sz="0" w:space="0" w:color="auto"/>
        <w:left w:val="none" w:sz="0" w:space="0" w:color="auto"/>
        <w:bottom w:val="none" w:sz="0" w:space="0" w:color="auto"/>
        <w:right w:val="none" w:sz="0" w:space="0" w:color="auto"/>
      </w:divBdr>
    </w:div>
    <w:div w:id="541555478">
      <w:bodyDiv w:val="1"/>
      <w:marLeft w:val="0"/>
      <w:marRight w:val="0"/>
      <w:marTop w:val="0"/>
      <w:marBottom w:val="0"/>
      <w:divBdr>
        <w:top w:val="none" w:sz="0" w:space="0" w:color="auto"/>
        <w:left w:val="none" w:sz="0" w:space="0" w:color="auto"/>
        <w:bottom w:val="none" w:sz="0" w:space="0" w:color="auto"/>
        <w:right w:val="none" w:sz="0" w:space="0" w:color="auto"/>
      </w:divBdr>
    </w:div>
    <w:div w:id="543637406">
      <w:bodyDiv w:val="1"/>
      <w:marLeft w:val="0"/>
      <w:marRight w:val="0"/>
      <w:marTop w:val="0"/>
      <w:marBottom w:val="0"/>
      <w:divBdr>
        <w:top w:val="none" w:sz="0" w:space="0" w:color="auto"/>
        <w:left w:val="none" w:sz="0" w:space="0" w:color="auto"/>
        <w:bottom w:val="none" w:sz="0" w:space="0" w:color="auto"/>
        <w:right w:val="none" w:sz="0" w:space="0" w:color="auto"/>
      </w:divBdr>
    </w:div>
    <w:div w:id="546382465">
      <w:bodyDiv w:val="1"/>
      <w:marLeft w:val="0"/>
      <w:marRight w:val="0"/>
      <w:marTop w:val="0"/>
      <w:marBottom w:val="0"/>
      <w:divBdr>
        <w:top w:val="none" w:sz="0" w:space="0" w:color="auto"/>
        <w:left w:val="none" w:sz="0" w:space="0" w:color="auto"/>
        <w:bottom w:val="none" w:sz="0" w:space="0" w:color="auto"/>
        <w:right w:val="none" w:sz="0" w:space="0" w:color="auto"/>
      </w:divBdr>
    </w:div>
    <w:div w:id="546572043">
      <w:bodyDiv w:val="1"/>
      <w:marLeft w:val="0"/>
      <w:marRight w:val="0"/>
      <w:marTop w:val="0"/>
      <w:marBottom w:val="0"/>
      <w:divBdr>
        <w:top w:val="none" w:sz="0" w:space="0" w:color="auto"/>
        <w:left w:val="none" w:sz="0" w:space="0" w:color="auto"/>
        <w:bottom w:val="none" w:sz="0" w:space="0" w:color="auto"/>
        <w:right w:val="none" w:sz="0" w:space="0" w:color="auto"/>
      </w:divBdr>
    </w:div>
    <w:div w:id="549196070">
      <w:bodyDiv w:val="1"/>
      <w:marLeft w:val="0"/>
      <w:marRight w:val="0"/>
      <w:marTop w:val="0"/>
      <w:marBottom w:val="0"/>
      <w:divBdr>
        <w:top w:val="none" w:sz="0" w:space="0" w:color="auto"/>
        <w:left w:val="none" w:sz="0" w:space="0" w:color="auto"/>
        <w:bottom w:val="none" w:sz="0" w:space="0" w:color="auto"/>
        <w:right w:val="none" w:sz="0" w:space="0" w:color="auto"/>
      </w:divBdr>
    </w:div>
    <w:div w:id="552739254">
      <w:bodyDiv w:val="1"/>
      <w:marLeft w:val="0"/>
      <w:marRight w:val="0"/>
      <w:marTop w:val="0"/>
      <w:marBottom w:val="0"/>
      <w:divBdr>
        <w:top w:val="none" w:sz="0" w:space="0" w:color="auto"/>
        <w:left w:val="none" w:sz="0" w:space="0" w:color="auto"/>
        <w:bottom w:val="none" w:sz="0" w:space="0" w:color="auto"/>
        <w:right w:val="none" w:sz="0" w:space="0" w:color="auto"/>
      </w:divBdr>
    </w:div>
    <w:div w:id="553779851">
      <w:bodyDiv w:val="1"/>
      <w:marLeft w:val="0"/>
      <w:marRight w:val="0"/>
      <w:marTop w:val="0"/>
      <w:marBottom w:val="0"/>
      <w:divBdr>
        <w:top w:val="none" w:sz="0" w:space="0" w:color="auto"/>
        <w:left w:val="none" w:sz="0" w:space="0" w:color="auto"/>
        <w:bottom w:val="none" w:sz="0" w:space="0" w:color="auto"/>
        <w:right w:val="none" w:sz="0" w:space="0" w:color="auto"/>
      </w:divBdr>
    </w:div>
    <w:div w:id="554396458">
      <w:bodyDiv w:val="1"/>
      <w:marLeft w:val="0"/>
      <w:marRight w:val="0"/>
      <w:marTop w:val="0"/>
      <w:marBottom w:val="0"/>
      <w:divBdr>
        <w:top w:val="none" w:sz="0" w:space="0" w:color="auto"/>
        <w:left w:val="none" w:sz="0" w:space="0" w:color="auto"/>
        <w:bottom w:val="none" w:sz="0" w:space="0" w:color="auto"/>
        <w:right w:val="none" w:sz="0" w:space="0" w:color="auto"/>
      </w:divBdr>
    </w:div>
    <w:div w:id="554658870">
      <w:bodyDiv w:val="1"/>
      <w:marLeft w:val="0"/>
      <w:marRight w:val="0"/>
      <w:marTop w:val="0"/>
      <w:marBottom w:val="0"/>
      <w:divBdr>
        <w:top w:val="none" w:sz="0" w:space="0" w:color="auto"/>
        <w:left w:val="none" w:sz="0" w:space="0" w:color="auto"/>
        <w:bottom w:val="none" w:sz="0" w:space="0" w:color="auto"/>
        <w:right w:val="none" w:sz="0" w:space="0" w:color="auto"/>
      </w:divBdr>
    </w:div>
    <w:div w:id="557131146">
      <w:bodyDiv w:val="1"/>
      <w:marLeft w:val="0"/>
      <w:marRight w:val="0"/>
      <w:marTop w:val="0"/>
      <w:marBottom w:val="0"/>
      <w:divBdr>
        <w:top w:val="none" w:sz="0" w:space="0" w:color="auto"/>
        <w:left w:val="none" w:sz="0" w:space="0" w:color="auto"/>
        <w:bottom w:val="none" w:sz="0" w:space="0" w:color="auto"/>
        <w:right w:val="none" w:sz="0" w:space="0" w:color="auto"/>
      </w:divBdr>
    </w:div>
    <w:div w:id="557205551">
      <w:bodyDiv w:val="1"/>
      <w:marLeft w:val="0"/>
      <w:marRight w:val="0"/>
      <w:marTop w:val="0"/>
      <w:marBottom w:val="0"/>
      <w:divBdr>
        <w:top w:val="none" w:sz="0" w:space="0" w:color="auto"/>
        <w:left w:val="none" w:sz="0" w:space="0" w:color="auto"/>
        <w:bottom w:val="none" w:sz="0" w:space="0" w:color="auto"/>
        <w:right w:val="none" w:sz="0" w:space="0" w:color="auto"/>
      </w:divBdr>
    </w:div>
    <w:div w:id="558127934">
      <w:bodyDiv w:val="1"/>
      <w:marLeft w:val="0"/>
      <w:marRight w:val="0"/>
      <w:marTop w:val="0"/>
      <w:marBottom w:val="0"/>
      <w:divBdr>
        <w:top w:val="none" w:sz="0" w:space="0" w:color="auto"/>
        <w:left w:val="none" w:sz="0" w:space="0" w:color="auto"/>
        <w:bottom w:val="none" w:sz="0" w:space="0" w:color="auto"/>
        <w:right w:val="none" w:sz="0" w:space="0" w:color="auto"/>
      </w:divBdr>
    </w:div>
    <w:div w:id="558517918">
      <w:bodyDiv w:val="1"/>
      <w:marLeft w:val="0"/>
      <w:marRight w:val="0"/>
      <w:marTop w:val="0"/>
      <w:marBottom w:val="0"/>
      <w:divBdr>
        <w:top w:val="none" w:sz="0" w:space="0" w:color="auto"/>
        <w:left w:val="none" w:sz="0" w:space="0" w:color="auto"/>
        <w:bottom w:val="none" w:sz="0" w:space="0" w:color="auto"/>
        <w:right w:val="none" w:sz="0" w:space="0" w:color="auto"/>
      </w:divBdr>
    </w:div>
    <w:div w:id="561137858">
      <w:bodyDiv w:val="1"/>
      <w:marLeft w:val="0"/>
      <w:marRight w:val="0"/>
      <w:marTop w:val="0"/>
      <w:marBottom w:val="0"/>
      <w:divBdr>
        <w:top w:val="none" w:sz="0" w:space="0" w:color="auto"/>
        <w:left w:val="none" w:sz="0" w:space="0" w:color="auto"/>
        <w:bottom w:val="none" w:sz="0" w:space="0" w:color="auto"/>
        <w:right w:val="none" w:sz="0" w:space="0" w:color="auto"/>
      </w:divBdr>
    </w:div>
    <w:div w:id="561720380">
      <w:bodyDiv w:val="1"/>
      <w:marLeft w:val="0"/>
      <w:marRight w:val="0"/>
      <w:marTop w:val="0"/>
      <w:marBottom w:val="0"/>
      <w:divBdr>
        <w:top w:val="none" w:sz="0" w:space="0" w:color="auto"/>
        <w:left w:val="none" w:sz="0" w:space="0" w:color="auto"/>
        <w:bottom w:val="none" w:sz="0" w:space="0" w:color="auto"/>
        <w:right w:val="none" w:sz="0" w:space="0" w:color="auto"/>
      </w:divBdr>
    </w:div>
    <w:div w:id="561908899">
      <w:bodyDiv w:val="1"/>
      <w:marLeft w:val="0"/>
      <w:marRight w:val="0"/>
      <w:marTop w:val="0"/>
      <w:marBottom w:val="0"/>
      <w:divBdr>
        <w:top w:val="none" w:sz="0" w:space="0" w:color="auto"/>
        <w:left w:val="none" w:sz="0" w:space="0" w:color="auto"/>
        <w:bottom w:val="none" w:sz="0" w:space="0" w:color="auto"/>
        <w:right w:val="none" w:sz="0" w:space="0" w:color="auto"/>
      </w:divBdr>
    </w:div>
    <w:div w:id="562521345">
      <w:bodyDiv w:val="1"/>
      <w:marLeft w:val="0"/>
      <w:marRight w:val="0"/>
      <w:marTop w:val="0"/>
      <w:marBottom w:val="0"/>
      <w:divBdr>
        <w:top w:val="none" w:sz="0" w:space="0" w:color="auto"/>
        <w:left w:val="none" w:sz="0" w:space="0" w:color="auto"/>
        <w:bottom w:val="none" w:sz="0" w:space="0" w:color="auto"/>
        <w:right w:val="none" w:sz="0" w:space="0" w:color="auto"/>
      </w:divBdr>
    </w:div>
    <w:div w:id="562562566">
      <w:bodyDiv w:val="1"/>
      <w:marLeft w:val="0"/>
      <w:marRight w:val="0"/>
      <w:marTop w:val="0"/>
      <w:marBottom w:val="0"/>
      <w:divBdr>
        <w:top w:val="none" w:sz="0" w:space="0" w:color="auto"/>
        <w:left w:val="none" w:sz="0" w:space="0" w:color="auto"/>
        <w:bottom w:val="none" w:sz="0" w:space="0" w:color="auto"/>
        <w:right w:val="none" w:sz="0" w:space="0" w:color="auto"/>
      </w:divBdr>
    </w:div>
    <w:div w:id="562912486">
      <w:bodyDiv w:val="1"/>
      <w:marLeft w:val="0"/>
      <w:marRight w:val="0"/>
      <w:marTop w:val="0"/>
      <w:marBottom w:val="0"/>
      <w:divBdr>
        <w:top w:val="none" w:sz="0" w:space="0" w:color="auto"/>
        <w:left w:val="none" w:sz="0" w:space="0" w:color="auto"/>
        <w:bottom w:val="none" w:sz="0" w:space="0" w:color="auto"/>
        <w:right w:val="none" w:sz="0" w:space="0" w:color="auto"/>
      </w:divBdr>
    </w:div>
    <w:div w:id="564606787">
      <w:bodyDiv w:val="1"/>
      <w:marLeft w:val="0"/>
      <w:marRight w:val="0"/>
      <w:marTop w:val="0"/>
      <w:marBottom w:val="0"/>
      <w:divBdr>
        <w:top w:val="none" w:sz="0" w:space="0" w:color="auto"/>
        <w:left w:val="none" w:sz="0" w:space="0" w:color="auto"/>
        <w:bottom w:val="none" w:sz="0" w:space="0" w:color="auto"/>
        <w:right w:val="none" w:sz="0" w:space="0" w:color="auto"/>
      </w:divBdr>
    </w:div>
    <w:div w:id="565722874">
      <w:bodyDiv w:val="1"/>
      <w:marLeft w:val="0"/>
      <w:marRight w:val="0"/>
      <w:marTop w:val="0"/>
      <w:marBottom w:val="0"/>
      <w:divBdr>
        <w:top w:val="none" w:sz="0" w:space="0" w:color="auto"/>
        <w:left w:val="none" w:sz="0" w:space="0" w:color="auto"/>
        <w:bottom w:val="none" w:sz="0" w:space="0" w:color="auto"/>
        <w:right w:val="none" w:sz="0" w:space="0" w:color="auto"/>
      </w:divBdr>
    </w:div>
    <w:div w:id="567109228">
      <w:bodyDiv w:val="1"/>
      <w:marLeft w:val="0"/>
      <w:marRight w:val="0"/>
      <w:marTop w:val="0"/>
      <w:marBottom w:val="0"/>
      <w:divBdr>
        <w:top w:val="none" w:sz="0" w:space="0" w:color="auto"/>
        <w:left w:val="none" w:sz="0" w:space="0" w:color="auto"/>
        <w:bottom w:val="none" w:sz="0" w:space="0" w:color="auto"/>
        <w:right w:val="none" w:sz="0" w:space="0" w:color="auto"/>
      </w:divBdr>
    </w:div>
    <w:div w:id="567226134">
      <w:bodyDiv w:val="1"/>
      <w:marLeft w:val="0"/>
      <w:marRight w:val="0"/>
      <w:marTop w:val="0"/>
      <w:marBottom w:val="0"/>
      <w:divBdr>
        <w:top w:val="none" w:sz="0" w:space="0" w:color="auto"/>
        <w:left w:val="none" w:sz="0" w:space="0" w:color="auto"/>
        <w:bottom w:val="none" w:sz="0" w:space="0" w:color="auto"/>
        <w:right w:val="none" w:sz="0" w:space="0" w:color="auto"/>
      </w:divBdr>
    </w:div>
    <w:div w:id="567228064">
      <w:bodyDiv w:val="1"/>
      <w:marLeft w:val="0"/>
      <w:marRight w:val="0"/>
      <w:marTop w:val="0"/>
      <w:marBottom w:val="0"/>
      <w:divBdr>
        <w:top w:val="none" w:sz="0" w:space="0" w:color="auto"/>
        <w:left w:val="none" w:sz="0" w:space="0" w:color="auto"/>
        <w:bottom w:val="none" w:sz="0" w:space="0" w:color="auto"/>
        <w:right w:val="none" w:sz="0" w:space="0" w:color="auto"/>
      </w:divBdr>
    </w:div>
    <w:div w:id="567427123">
      <w:bodyDiv w:val="1"/>
      <w:marLeft w:val="0"/>
      <w:marRight w:val="0"/>
      <w:marTop w:val="0"/>
      <w:marBottom w:val="0"/>
      <w:divBdr>
        <w:top w:val="none" w:sz="0" w:space="0" w:color="auto"/>
        <w:left w:val="none" w:sz="0" w:space="0" w:color="auto"/>
        <w:bottom w:val="none" w:sz="0" w:space="0" w:color="auto"/>
        <w:right w:val="none" w:sz="0" w:space="0" w:color="auto"/>
      </w:divBdr>
    </w:div>
    <w:div w:id="567764290">
      <w:bodyDiv w:val="1"/>
      <w:marLeft w:val="0"/>
      <w:marRight w:val="0"/>
      <w:marTop w:val="0"/>
      <w:marBottom w:val="0"/>
      <w:divBdr>
        <w:top w:val="none" w:sz="0" w:space="0" w:color="auto"/>
        <w:left w:val="none" w:sz="0" w:space="0" w:color="auto"/>
        <w:bottom w:val="none" w:sz="0" w:space="0" w:color="auto"/>
        <w:right w:val="none" w:sz="0" w:space="0" w:color="auto"/>
      </w:divBdr>
    </w:div>
    <w:div w:id="569311655">
      <w:bodyDiv w:val="1"/>
      <w:marLeft w:val="0"/>
      <w:marRight w:val="0"/>
      <w:marTop w:val="0"/>
      <w:marBottom w:val="0"/>
      <w:divBdr>
        <w:top w:val="none" w:sz="0" w:space="0" w:color="auto"/>
        <w:left w:val="none" w:sz="0" w:space="0" w:color="auto"/>
        <w:bottom w:val="none" w:sz="0" w:space="0" w:color="auto"/>
        <w:right w:val="none" w:sz="0" w:space="0" w:color="auto"/>
      </w:divBdr>
    </w:div>
    <w:div w:id="571433798">
      <w:bodyDiv w:val="1"/>
      <w:marLeft w:val="0"/>
      <w:marRight w:val="0"/>
      <w:marTop w:val="0"/>
      <w:marBottom w:val="0"/>
      <w:divBdr>
        <w:top w:val="none" w:sz="0" w:space="0" w:color="auto"/>
        <w:left w:val="none" w:sz="0" w:space="0" w:color="auto"/>
        <w:bottom w:val="none" w:sz="0" w:space="0" w:color="auto"/>
        <w:right w:val="none" w:sz="0" w:space="0" w:color="auto"/>
      </w:divBdr>
    </w:div>
    <w:div w:id="572665020">
      <w:bodyDiv w:val="1"/>
      <w:marLeft w:val="0"/>
      <w:marRight w:val="0"/>
      <w:marTop w:val="0"/>
      <w:marBottom w:val="0"/>
      <w:divBdr>
        <w:top w:val="none" w:sz="0" w:space="0" w:color="auto"/>
        <w:left w:val="none" w:sz="0" w:space="0" w:color="auto"/>
        <w:bottom w:val="none" w:sz="0" w:space="0" w:color="auto"/>
        <w:right w:val="none" w:sz="0" w:space="0" w:color="auto"/>
      </w:divBdr>
    </w:div>
    <w:div w:id="573316614">
      <w:bodyDiv w:val="1"/>
      <w:marLeft w:val="0"/>
      <w:marRight w:val="0"/>
      <w:marTop w:val="0"/>
      <w:marBottom w:val="0"/>
      <w:divBdr>
        <w:top w:val="none" w:sz="0" w:space="0" w:color="auto"/>
        <w:left w:val="none" w:sz="0" w:space="0" w:color="auto"/>
        <w:bottom w:val="none" w:sz="0" w:space="0" w:color="auto"/>
        <w:right w:val="none" w:sz="0" w:space="0" w:color="auto"/>
      </w:divBdr>
    </w:div>
    <w:div w:id="574977743">
      <w:bodyDiv w:val="1"/>
      <w:marLeft w:val="0"/>
      <w:marRight w:val="0"/>
      <w:marTop w:val="0"/>
      <w:marBottom w:val="0"/>
      <w:divBdr>
        <w:top w:val="none" w:sz="0" w:space="0" w:color="auto"/>
        <w:left w:val="none" w:sz="0" w:space="0" w:color="auto"/>
        <w:bottom w:val="none" w:sz="0" w:space="0" w:color="auto"/>
        <w:right w:val="none" w:sz="0" w:space="0" w:color="auto"/>
      </w:divBdr>
    </w:div>
    <w:div w:id="575628590">
      <w:bodyDiv w:val="1"/>
      <w:marLeft w:val="0"/>
      <w:marRight w:val="0"/>
      <w:marTop w:val="0"/>
      <w:marBottom w:val="0"/>
      <w:divBdr>
        <w:top w:val="none" w:sz="0" w:space="0" w:color="auto"/>
        <w:left w:val="none" w:sz="0" w:space="0" w:color="auto"/>
        <w:bottom w:val="none" w:sz="0" w:space="0" w:color="auto"/>
        <w:right w:val="none" w:sz="0" w:space="0" w:color="auto"/>
      </w:divBdr>
    </w:div>
    <w:div w:id="583414512">
      <w:bodyDiv w:val="1"/>
      <w:marLeft w:val="0"/>
      <w:marRight w:val="0"/>
      <w:marTop w:val="0"/>
      <w:marBottom w:val="0"/>
      <w:divBdr>
        <w:top w:val="none" w:sz="0" w:space="0" w:color="auto"/>
        <w:left w:val="none" w:sz="0" w:space="0" w:color="auto"/>
        <w:bottom w:val="none" w:sz="0" w:space="0" w:color="auto"/>
        <w:right w:val="none" w:sz="0" w:space="0" w:color="auto"/>
      </w:divBdr>
    </w:div>
    <w:div w:id="586115185">
      <w:bodyDiv w:val="1"/>
      <w:marLeft w:val="0"/>
      <w:marRight w:val="0"/>
      <w:marTop w:val="0"/>
      <w:marBottom w:val="0"/>
      <w:divBdr>
        <w:top w:val="none" w:sz="0" w:space="0" w:color="auto"/>
        <w:left w:val="none" w:sz="0" w:space="0" w:color="auto"/>
        <w:bottom w:val="none" w:sz="0" w:space="0" w:color="auto"/>
        <w:right w:val="none" w:sz="0" w:space="0" w:color="auto"/>
      </w:divBdr>
    </w:div>
    <w:div w:id="587079829">
      <w:bodyDiv w:val="1"/>
      <w:marLeft w:val="0"/>
      <w:marRight w:val="0"/>
      <w:marTop w:val="0"/>
      <w:marBottom w:val="0"/>
      <w:divBdr>
        <w:top w:val="none" w:sz="0" w:space="0" w:color="auto"/>
        <w:left w:val="none" w:sz="0" w:space="0" w:color="auto"/>
        <w:bottom w:val="none" w:sz="0" w:space="0" w:color="auto"/>
        <w:right w:val="none" w:sz="0" w:space="0" w:color="auto"/>
      </w:divBdr>
    </w:div>
    <w:div w:id="588268128">
      <w:bodyDiv w:val="1"/>
      <w:marLeft w:val="0"/>
      <w:marRight w:val="0"/>
      <w:marTop w:val="0"/>
      <w:marBottom w:val="0"/>
      <w:divBdr>
        <w:top w:val="none" w:sz="0" w:space="0" w:color="auto"/>
        <w:left w:val="none" w:sz="0" w:space="0" w:color="auto"/>
        <w:bottom w:val="none" w:sz="0" w:space="0" w:color="auto"/>
        <w:right w:val="none" w:sz="0" w:space="0" w:color="auto"/>
      </w:divBdr>
    </w:div>
    <w:div w:id="589389538">
      <w:bodyDiv w:val="1"/>
      <w:marLeft w:val="0"/>
      <w:marRight w:val="0"/>
      <w:marTop w:val="0"/>
      <w:marBottom w:val="0"/>
      <w:divBdr>
        <w:top w:val="none" w:sz="0" w:space="0" w:color="auto"/>
        <w:left w:val="none" w:sz="0" w:space="0" w:color="auto"/>
        <w:bottom w:val="none" w:sz="0" w:space="0" w:color="auto"/>
        <w:right w:val="none" w:sz="0" w:space="0" w:color="auto"/>
      </w:divBdr>
    </w:div>
    <w:div w:id="589853001">
      <w:bodyDiv w:val="1"/>
      <w:marLeft w:val="0"/>
      <w:marRight w:val="0"/>
      <w:marTop w:val="0"/>
      <w:marBottom w:val="0"/>
      <w:divBdr>
        <w:top w:val="none" w:sz="0" w:space="0" w:color="auto"/>
        <w:left w:val="none" w:sz="0" w:space="0" w:color="auto"/>
        <w:bottom w:val="none" w:sz="0" w:space="0" w:color="auto"/>
        <w:right w:val="none" w:sz="0" w:space="0" w:color="auto"/>
      </w:divBdr>
    </w:div>
    <w:div w:id="590554686">
      <w:bodyDiv w:val="1"/>
      <w:marLeft w:val="0"/>
      <w:marRight w:val="0"/>
      <w:marTop w:val="0"/>
      <w:marBottom w:val="0"/>
      <w:divBdr>
        <w:top w:val="none" w:sz="0" w:space="0" w:color="auto"/>
        <w:left w:val="none" w:sz="0" w:space="0" w:color="auto"/>
        <w:bottom w:val="none" w:sz="0" w:space="0" w:color="auto"/>
        <w:right w:val="none" w:sz="0" w:space="0" w:color="auto"/>
      </w:divBdr>
    </w:div>
    <w:div w:id="591016502">
      <w:bodyDiv w:val="1"/>
      <w:marLeft w:val="0"/>
      <w:marRight w:val="0"/>
      <w:marTop w:val="0"/>
      <w:marBottom w:val="0"/>
      <w:divBdr>
        <w:top w:val="none" w:sz="0" w:space="0" w:color="auto"/>
        <w:left w:val="none" w:sz="0" w:space="0" w:color="auto"/>
        <w:bottom w:val="none" w:sz="0" w:space="0" w:color="auto"/>
        <w:right w:val="none" w:sz="0" w:space="0" w:color="auto"/>
      </w:divBdr>
    </w:div>
    <w:div w:id="591016802">
      <w:bodyDiv w:val="1"/>
      <w:marLeft w:val="0"/>
      <w:marRight w:val="0"/>
      <w:marTop w:val="0"/>
      <w:marBottom w:val="0"/>
      <w:divBdr>
        <w:top w:val="none" w:sz="0" w:space="0" w:color="auto"/>
        <w:left w:val="none" w:sz="0" w:space="0" w:color="auto"/>
        <w:bottom w:val="none" w:sz="0" w:space="0" w:color="auto"/>
        <w:right w:val="none" w:sz="0" w:space="0" w:color="auto"/>
      </w:divBdr>
    </w:div>
    <w:div w:id="593782103">
      <w:bodyDiv w:val="1"/>
      <w:marLeft w:val="0"/>
      <w:marRight w:val="0"/>
      <w:marTop w:val="0"/>
      <w:marBottom w:val="0"/>
      <w:divBdr>
        <w:top w:val="none" w:sz="0" w:space="0" w:color="auto"/>
        <w:left w:val="none" w:sz="0" w:space="0" w:color="auto"/>
        <w:bottom w:val="none" w:sz="0" w:space="0" w:color="auto"/>
        <w:right w:val="none" w:sz="0" w:space="0" w:color="auto"/>
      </w:divBdr>
    </w:div>
    <w:div w:id="595284414">
      <w:bodyDiv w:val="1"/>
      <w:marLeft w:val="0"/>
      <w:marRight w:val="0"/>
      <w:marTop w:val="0"/>
      <w:marBottom w:val="0"/>
      <w:divBdr>
        <w:top w:val="none" w:sz="0" w:space="0" w:color="auto"/>
        <w:left w:val="none" w:sz="0" w:space="0" w:color="auto"/>
        <w:bottom w:val="none" w:sz="0" w:space="0" w:color="auto"/>
        <w:right w:val="none" w:sz="0" w:space="0" w:color="auto"/>
      </w:divBdr>
    </w:div>
    <w:div w:id="595676482">
      <w:bodyDiv w:val="1"/>
      <w:marLeft w:val="0"/>
      <w:marRight w:val="0"/>
      <w:marTop w:val="0"/>
      <w:marBottom w:val="0"/>
      <w:divBdr>
        <w:top w:val="none" w:sz="0" w:space="0" w:color="auto"/>
        <w:left w:val="none" w:sz="0" w:space="0" w:color="auto"/>
        <w:bottom w:val="none" w:sz="0" w:space="0" w:color="auto"/>
        <w:right w:val="none" w:sz="0" w:space="0" w:color="auto"/>
      </w:divBdr>
    </w:div>
    <w:div w:id="595789511">
      <w:bodyDiv w:val="1"/>
      <w:marLeft w:val="0"/>
      <w:marRight w:val="0"/>
      <w:marTop w:val="0"/>
      <w:marBottom w:val="0"/>
      <w:divBdr>
        <w:top w:val="none" w:sz="0" w:space="0" w:color="auto"/>
        <w:left w:val="none" w:sz="0" w:space="0" w:color="auto"/>
        <w:bottom w:val="none" w:sz="0" w:space="0" w:color="auto"/>
        <w:right w:val="none" w:sz="0" w:space="0" w:color="auto"/>
      </w:divBdr>
    </w:div>
    <w:div w:id="596132065">
      <w:bodyDiv w:val="1"/>
      <w:marLeft w:val="0"/>
      <w:marRight w:val="0"/>
      <w:marTop w:val="0"/>
      <w:marBottom w:val="0"/>
      <w:divBdr>
        <w:top w:val="none" w:sz="0" w:space="0" w:color="auto"/>
        <w:left w:val="none" w:sz="0" w:space="0" w:color="auto"/>
        <w:bottom w:val="none" w:sz="0" w:space="0" w:color="auto"/>
        <w:right w:val="none" w:sz="0" w:space="0" w:color="auto"/>
      </w:divBdr>
    </w:div>
    <w:div w:id="596671032">
      <w:bodyDiv w:val="1"/>
      <w:marLeft w:val="0"/>
      <w:marRight w:val="0"/>
      <w:marTop w:val="0"/>
      <w:marBottom w:val="0"/>
      <w:divBdr>
        <w:top w:val="none" w:sz="0" w:space="0" w:color="auto"/>
        <w:left w:val="none" w:sz="0" w:space="0" w:color="auto"/>
        <w:bottom w:val="none" w:sz="0" w:space="0" w:color="auto"/>
        <w:right w:val="none" w:sz="0" w:space="0" w:color="auto"/>
      </w:divBdr>
    </w:div>
    <w:div w:id="600603681">
      <w:bodyDiv w:val="1"/>
      <w:marLeft w:val="0"/>
      <w:marRight w:val="0"/>
      <w:marTop w:val="0"/>
      <w:marBottom w:val="0"/>
      <w:divBdr>
        <w:top w:val="none" w:sz="0" w:space="0" w:color="auto"/>
        <w:left w:val="none" w:sz="0" w:space="0" w:color="auto"/>
        <w:bottom w:val="none" w:sz="0" w:space="0" w:color="auto"/>
        <w:right w:val="none" w:sz="0" w:space="0" w:color="auto"/>
      </w:divBdr>
    </w:div>
    <w:div w:id="600989874">
      <w:bodyDiv w:val="1"/>
      <w:marLeft w:val="0"/>
      <w:marRight w:val="0"/>
      <w:marTop w:val="0"/>
      <w:marBottom w:val="0"/>
      <w:divBdr>
        <w:top w:val="none" w:sz="0" w:space="0" w:color="auto"/>
        <w:left w:val="none" w:sz="0" w:space="0" w:color="auto"/>
        <w:bottom w:val="none" w:sz="0" w:space="0" w:color="auto"/>
        <w:right w:val="none" w:sz="0" w:space="0" w:color="auto"/>
      </w:divBdr>
    </w:div>
    <w:div w:id="604313308">
      <w:bodyDiv w:val="1"/>
      <w:marLeft w:val="0"/>
      <w:marRight w:val="0"/>
      <w:marTop w:val="0"/>
      <w:marBottom w:val="0"/>
      <w:divBdr>
        <w:top w:val="none" w:sz="0" w:space="0" w:color="auto"/>
        <w:left w:val="none" w:sz="0" w:space="0" w:color="auto"/>
        <w:bottom w:val="none" w:sz="0" w:space="0" w:color="auto"/>
        <w:right w:val="none" w:sz="0" w:space="0" w:color="auto"/>
      </w:divBdr>
    </w:div>
    <w:div w:id="606735926">
      <w:bodyDiv w:val="1"/>
      <w:marLeft w:val="0"/>
      <w:marRight w:val="0"/>
      <w:marTop w:val="0"/>
      <w:marBottom w:val="0"/>
      <w:divBdr>
        <w:top w:val="none" w:sz="0" w:space="0" w:color="auto"/>
        <w:left w:val="none" w:sz="0" w:space="0" w:color="auto"/>
        <w:bottom w:val="none" w:sz="0" w:space="0" w:color="auto"/>
        <w:right w:val="none" w:sz="0" w:space="0" w:color="auto"/>
      </w:divBdr>
    </w:div>
    <w:div w:id="608895396">
      <w:bodyDiv w:val="1"/>
      <w:marLeft w:val="0"/>
      <w:marRight w:val="0"/>
      <w:marTop w:val="0"/>
      <w:marBottom w:val="0"/>
      <w:divBdr>
        <w:top w:val="none" w:sz="0" w:space="0" w:color="auto"/>
        <w:left w:val="none" w:sz="0" w:space="0" w:color="auto"/>
        <w:bottom w:val="none" w:sz="0" w:space="0" w:color="auto"/>
        <w:right w:val="none" w:sz="0" w:space="0" w:color="auto"/>
      </w:divBdr>
    </w:div>
    <w:div w:id="609359479">
      <w:bodyDiv w:val="1"/>
      <w:marLeft w:val="0"/>
      <w:marRight w:val="0"/>
      <w:marTop w:val="0"/>
      <w:marBottom w:val="0"/>
      <w:divBdr>
        <w:top w:val="none" w:sz="0" w:space="0" w:color="auto"/>
        <w:left w:val="none" w:sz="0" w:space="0" w:color="auto"/>
        <w:bottom w:val="none" w:sz="0" w:space="0" w:color="auto"/>
        <w:right w:val="none" w:sz="0" w:space="0" w:color="auto"/>
      </w:divBdr>
    </w:div>
    <w:div w:id="610626047">
      <w:bodyDiv w:val="1"/>
      <w:marLeft w:val="0"/>
      <w:marRight w:val="0"/>
      <w:marTop w:val="0"/>
      <w:marBottom w:val="0"/>
      <w:divBdr>
        <w:top w:val="none" w:sz="0" w:space="0" w:color="auto"/>
        <w:left w:val="none" w:sz="0" w:space="0" w:color="auto"/>
        <w:bottom w:val="none" w:sz="0" w:space="0" w:color="auto"/>
        <w:right w:val="none" w:sz="0" w:space="0" w:color="auto"/>
      </w:divBdr>
    </w:div>
    <w:div w:id="611786990">
      <w:bodyDiv w:val="1"/>
      <w:marLeft w:val="0"/>
      <w:marRight w:val="0"/>
      <w:marTop w:val="0"/>
      <w:marBottom w:val="0"/>
      <w:divBdr>
        <w:top w:val="none" w:sz="0" w:space="0" w:color="auto"/>
        <w:left w:val="none" w:sz="0" w:space="0" w:color="auto"/>
        <w:bottom w:val="none" w:sz="0" w:space="0" w:color="auto"/>
        <w:right w:val="none" w:sz="0" w:space="0" w:color="auto"/>
      </w:divBdr>
    </w:div>
    <w:div w:id="613025473">
      <w:bodyDiv w:val="1"/>
      <w:marLeft w:val="0"/>
      <w:marRight w:val="0"/>
      <w:marTop w:val="0"/>
      <w:marBottom w:val="0"/>
      <w:divBdr>
        <w:top w:val="none" w:sz="0" w:space="0" w:color="auto"/>
        <w:left w:val="none" w:sz="0" w:space="0" w:color="auto"/>
        <w:bottom w:val="none" w:sz="0" w:space="0" w:color="auto"/>
        <w:right w:val="none" w:sz="0" w:space="0" w:color="auto"/>
      </w:divBdr>
    </w:div>
    <w:div w:id="615412487">
      <w:bodyDiv w:val="1"/>
      <w:marLeft w:val="0"/>
      <w:marRight w:val="0"/>
      <w:marTop w:val="0"/>
      <w:marBottom w:val="0"/>
      <w:divBdr>
        <w:top w:val="none" w:sz="0" w:space="0" w:color="auto"/>
        <w:left w:val="none" w:sz="0" w:space="0" w:color="auto"/>
        <w:bottom w:val="none" w:sz="0" w:space="0" w:color="auto"/>
        <w:right w:val="none" w:sz="0" w:space="0" w:color="auto"/>
      </w:divBdr>
    </w:div>
    <w:div w:id="615529729">
      <w:bodyDiv w:val="1"/>
      <w:marLeft w:val="0"/>
      <w:marRight w:val="0"/>
      <w:marTop w:val="0"/>
      <w:marBottom w:val="0"/>
      <w:divBdr>
        <w:top w:val="none" w:sz="0" w:space="0" w:color="auto"/>
        <w:left w:val="none" w:sz="0" w:space="0" w:color="auto"/>
        <w:bottom w:val="none" w:sz="0" w:space="0" w:color="auto"/>
        <w:right w:val="none" w:sz="0" w:space="0" w:color="auto"/>
      </w:divBdr>
    </w:div>
    <w:div w:id="616371170">
      <w:bodyDiv w:val="1"/>
      <w:marLeft w:val="0"/>
      <w:marRight w:val="0"/>
      <w:marTop w:val="0"/>
      <w:marBottom w:val="0"/>
      <w:divBdr>
        <w:top w:val="none" w:sz="0" w:space="0" w:color="auto"/>
        <w:left w:val="none" w:sz="0" w:space="0" w:color="auto"/>
        <w:bottom w:val="none" w:sz="0" w:space="0" w:color="auto"/>
        <w:right w:val="none" w:sz="0" w:space="0" w:color="auto"/>
      </w:divBdr>
    </w:div>
    <w:div w:id="617175784">
      <w:bodyDiv w:val="1"/>
      <w:marLeft w:val="0"/>
      <w:marRight w:val="0"/>
      <w:marTop w:val="0"/>
      <w:marBottom w:val="0"/>
      <w:divBdr>
        <w:top w:val="none" w:sz="0" w:space="0" w:color="auto"/>
        <w:left w:val="none" w:sz="0" w:space="0" w:color="auto"/>
        <w:bottom w:val="none" w:sz="0" w:space="0" w:color="auto"/>
        <w:right w:val="none" w:sz="0" w:space="0" w:color="auto"/>
      </w:divBdr>
    </w:div>
    <w:div w:id="617182273">
      <w:bodyDiv w:val="1"/>
      <w:marLeft w:val="0"/>
      <w:marRight w:val="0"/>
      <w:marTop w:val="0"/>
      <w:marBottom w:val="0"/>
      <w:divBdr>
        <w:top w:val="none" w:sz="0" w:space="0" w:color="auto"/>
        <w:left w:val="none" w:sz="0" w:space="0" w:color="auto"/>
        <w:bottom w:val="none" w:sz="0" w:space="0" w:color="auto"/>
        <w:right w:val="none" w:sz="0" w:space="0" w:color="auto"/>
      </w:divBdr>
    </w:div>
    <w:div w:id="617220058">
      <w:bodyDiv w:val="1"/>
      <w:marLeft w:val="0"/>
      <w:marRight w:val="0"/>
      <w:marTop w:val="0"/>
      <w:marBottom w:val="0"/>
      <w:divBdr>
        <w:top w:val="none" w:sz="0" w:space="0" w:color="auto"/>
        <w:left w:val="none" w:sz="0" w:space="0" w:color="auto"/>
        <w:bottom w:val="none" w:sz="0" w:space="0" w:color="auto"/>
        <w:right w:val="none" w:sz="0" w:space="0" w:color="auto"/>
      </w:divBdr>
    </w:div>
    <w:div w:id="617490858">
      <w:bodyDiv w:val="1"/>
      <w:marLeft w:val="0"/>
      <w:marRight w:val="0"/>
      <w:marTop w:val="0"/>
      <w:marBottom w:val="0"/>
      <w:divBdr>
        <w:top w:val="none" w:sz="0" w:space="0" w:color="auto"/>
        <w:left w:val="none" w:sz="0" w:space="0" w:color="auto"/>
        <w:bottom w:val="none" w:sz="0" w:space="0" w:color="auto"/>
        <w:right w:val="none" w:sz="0" w:space="0" w:color="auto"/>
      </w:divBdr>
    </w:div>
    <w:div w:id="618997525">
      <w:bodyDiv w:val="1"/>
      <w:marLeft w:val="0"/>
      <w:marRight w:val="0"/>
      <w:marTop w:val="0"/>
      <w:marBottom w:val="0"/>
      <w:divBdr>
        <w:top w:val="none" w:sz="0" w:space="0" w:color="auto"/>
        <w:left w:val="none" w:sz="0" w:space="0" w:color="auto"/>
        <w:bottom w:val="none" w:sz="0" w:space="0" w:color="auto"/>
        <w:right w:val="none" w:sz="0" w:space="0" w:color="auto"/>
      </w:divBdr>
    </w:div>
    <w:div w:id="620379897">
      <w:bodyDiv w:val="1"/>
      <w:marLeft w:val="0"/>
      <w:marRight w:val="0"/>
      <w:marTop w:val="0"/>
      <w:marBottom w:val="0"/>
      <w:divBdr>
        <w:top w:val="none" w:sz="0" w:space="0" w:color="auto"/>
        <w:left w:val="none" w:sz="0" w:space="0" w:color="auto"/>
        <w:bottom w:val="none" w:sz="0" w:space="0" w:color="auto"/>
        <w:right w:val="none" w:sz="0" w:space="0" w:color="auto"/>
      </w:divBdr>
    </w:div>
    <w:div w:id="621619804">
      <w:bodyDiv w:val="1"/>
      <w:marLeft w:val="0"/>
      <w:marRight w:val="0"/>
      <w:marTop w:val="0"/>
      <w:marBottom w:val="0"/>
      <w:divBdr>
        <w:top w:val="none" w:sz="0" w:space="0" w:color="auto"/>
        <w:left w:val="none" w:sz="0" w:space="0" w:color="auto"/>
        <w:bottom w:val="none" w:sz="0" w:space="0" w:color="auto"/>
        <w:right w:val="none" w:sz="0" w:space="0" w:color="auto"/>
      </w:divBdr>
    </w:div>
    <w:div w:id="623002518">
      <w:bodyDiv w:val="1"/>
      <w:marLeft w:val="0"/>
      <w:marRight w:val="0"/>
      <w:marTop w:val="0"/>
      <w:marBottom w:val="0"/>
      <w:divBdr>
        <w:top w:val="none" w:sz="0" w:space="0" w:color="auto"/>
        <w:left w:val="none" w:sz="0" w:space="0" w:color="auto"/>
        <w:bottom w:val="none" w:sz="0" w:space="0" w:color="auto"/>
        <w:right w:val="none" w:sz="0" w:space="0" w:color="auto"/>
      </w:divBdr>
    </w:div>
    <w:div w:id="624696134">
      <w:bodyDiv w:val="1"/>
      <w:marLeft w:val="0"/>
      <w:marRight w:val="0"/>
      <w:marTop w:val="0"/>
      <w:marBottom w:val="0"/>
      <w:divBdr>
        <w:top w:val="none" w:sz="0" w:space="0" w:color="auto"/>
        <w:left w:val="none" w:sz="0" w:space="0" w:color="auto"/>
        <w:bottom w:val="none" w:sz="0" w:space="0" w:color="auto"/>
        <w:right w:val="none" w:sz="0" w:space="0" w:color="auto"/>
      </w:divBdr>
    </w:div>
    <w:div w:id="627854723">
      <w:bodyDiv w:val="1"/>
      <w:marLeft w:val="0"/>
      <w:marRight w:val="0"/>
      <w:marTop w:val="0"/>
      <w:marBottom w:val="0"/>
      <w:divBdr>
        <w:top w:val="none" w:sz="0" w:space="0" w:color="auto"/>
        <w:left w:val="none" w:sz="0" w:space="0" w:color="auto"/>
        <w:bottom w:val="none" w:sz="0" w:space="0" w:color="auto"/>
        <w:right w:val="none" w:sz="0" w:space="0" w:color="auto"/>
      </w:divBdr>
    </w:div>
    <w:div w:id="628629294">
      <w:bodyDiv w:val="1"/>
      <w:marLeft w:val="0"/>
      <w:marRight w:val="0"/>
      <w:marTop w:val="0"/>
      <w:marBottom w:val="0"/>
      <w:divBdr>
        <w:top w:val="none" w:sz="0" w:space="0" w:color="auto"/>
        <w:left w:val="none" w:sz="0" w:space="0" w:color="auto"/>
        <w:bottom w:val="none" w:sz="0" w:space="0" w:color="auto"/>
        <w:right w:val="none" w:sz="0" w:space="0" w:color="auto"/>
      </w:divBdr>
    </w:div>
    <w:div w:id="632060127">
      <w:bodyDiv w:val="1"/>
      <w:marLeft w:val="0"/>
      <w:marRight w:val="0"/>
      <w:marTop w:val="0"/>
      <w:marBottom w:val="0"/>
      <w:divBdr>
        <w:top w:val="none" w:sz="0" w:space="0" w:color="auto"/>
        <w:left w:val="none" w:sz="0" w:space="0" w:color="auto"/>
        <w:bottom w:val="none" w:sz="0" w:space="0" w:color="auto"/>
        <w:right w:val="none" w:sz="0" w:space="0" w:color="auto"/>
      </w:divBdr>
    </w:div>
    <w:div w:id="634331683">
      <w:bodyDiv w:val="1"/>
      <w:marLeft w:val="0"/>
      <w:marRight w:val="0"/>
      <w:marTop w:val="0"/>
      <w:marBottom w:val="0"/>
      <w:divBdr>
        <w:top w:val="none" w:sz="0" w:space="0" w:color="auto"/>
        <w:left w:val="none" w:sz="0" w:space="0" w:color="auto"/>
        <w:bottom w:val="none" w:sz="0" w:space="0" w:color="auto"/>
        <w:right w:val="none" w:sz="0" w:space="0" w:color="auto"/>
      </w:divBdr>
    </w:div>
    <w:div w:id="634723045">
      <w:bodyDiv w:val="1"/>
      <w:marLeft w:val="0"/>
      <w:marRight w:val="0"/>
      <w:marTop w:val="0"/>
      <w:marBottom w:val="0"/>
      <w:divBdr>
        <w:top w:val="none" w:sz="0" w:space="0" w:color="auto"/>
        <w:left w:val="none" w:sz="0" w:space="0" w:color="auto"/>
        <w:bottom w:val="none" w:sz="0" w:space="0" w:color="auto"/>
        <w:right w:val="none" w:sz="0" w:space="0" w:color="auto"/>
      </w:divBdr>
    </w:div>
    <w:div w:id="635599021">
      <w:bodyDiv w:val="1"/>
      <w:marLeft w:val="0"/>
      <w:marRight w:val="0"/>
      <w:marTop w:val="0"/>
      <w:marBottom w:val="0"/>
      <w:divBdr>
        <w:top w:val="none" w:sz="0" w:space="0" w:color="auto"/>
        <w:left w:val="none" w:sz="0" w:space="0" w:color="auto"/>
        <w:bottom w:val="none" w:sz="0" w:space="0" w:color="auto"/>
        <w:right w:val="none" w:sz="0" w:space="0" w:color="auto"/>
      </w:divBdr>
    </w:div>
    <w:div w:id="636767484">
      <w:bodyDiv w:val="1"/>
      <w:marLeft w:val="0"/>
      <w:marRight w:val="0"/>
      <w:marTop w:val="0"/>
      <w:marBottom w:val="0"/>
      <w:divBdr>
        <w:top w:val="none" w:sz="0" w:space="0" w:color="auto"/>
        <w:left w:val="none" w:sz="0" w:space="0" w:color="auto"/>
        <w:bottom w:val="none" w:sz="0" w:space="0" w:color="auto"/>
        <w:right w:val="none" w:sz="0" w:space="0" w:color="auto"/>
      </w:divBdr>
    </w:div>
    <w:div w:id="640035912">
      <w:bodyDiv w:val="1"/>
      <w:marLeft w:val="0"/>
      <w:marRight w:val="0"/>
      <w:marTop w:val="0"/>
      <w:marBottom w:val="0"/>
      <w:divBdr>
        <w:top w:val="none" w:sz="0" w:space="0" w:color="auto"/>
        <w:left w:val="none" w:sz="0" w:space="0" w:color="auto"/>
        <w:bottom w:val="none" w:sz="0" w:space="0" w:color="auto"/>
        <w:right w:val="none" w:sz="0" w:space="0" w:color="auto"/>
      </w:divBdr>
    </w:div>
    <w:div w:id="641691048">
      <w:bodyDiv w:val="1"/>
      <w:marLeft w:val="0"/>
      <w:marRight w:val="0"/>
      <w:marTop w:val="0"/>
      <w:marBottom w:val="0"/>
      <w:divBdr>
        <w:top w:val="none" w:sz="0" w:space="0" w:color="auto"/>
        <w:left w:val="none" w:sz="0" w:space="0" w:color="auto"/>
        <w:bottom w:val="none" w:sz="0" w:space="0" w:color="auto"/>
        <w:right w:val="none" w:sz="0" w:space="0" w:color="auto"/>
      </w:divBdr>
    </w:div>
    <w:div w:id="641812885">
      <w:bodyDiv w:val="1"/>
      <w:marLeft w:val="0"/>
      <w:marRight w:val="0"/>
      <w:marTop w:val="0"/>
      <w:marBottom w:val="0"/>
      <w:divBdr>
        <w:top w:val="none" w:sz="0" w:space="0" w:color="auto"/>
        <w:left w:val="none" w:sz="0" w:space="0" w:color="auto"/>
        <w:bottom w:val="none" w:sz="0" w:space="0" w:color="auto"/>
        <w:right w:val="none" w:sz="0" w:space="0" w:color="auto"/>
      </w:divBdr>
    </w:div>
    <w:div w:id="646283112">
      <w:bodyDiv w:val="1"/>
      <w:marLeft w:val="0"/>
      <w:marRight w:val="0"/>
      <w:marTop w:val="0"/>
      <w:marBottom w:val="0"/>
      <w:divBdr>
        <w:top w:val="none" w:sz="0" w:space="0" w:color="auto"/>
        <w:left w:val="none" w:sz="0" w:space="0" w:color="auto"/>
        <w:bottom w:val="none" w:sz="0" w:space="0" w:color="auto"/>
        <w:right w:val="none" w:sz="0" w:space="0" w:color="auto"/>
      </w:divBdr>
    </w:div>
    <w:div w:id="647513943">
      <w:bodyDiv w:val="1"/>
      <w:marLeft w:val="0"/>
      <w:marRight w:val="0"/>
      <w:marTop w:val="0"/>
      <w:marBottom w:val="0"/>
      <w:divBdr>
        <w:top w:val="none" w:sz="0" w:space="0" w:color="auto"/>
        <w:left w:val="none" w:sz="0" w:space="0" w:color="auto"/>
        <w:bottom w:val="none" w:sz="0" w:space="0" w:color="auto"/>
        <w:right w:val="none" w:sz="0" w:space="0" w:color="auto"/>
      </w:divBdr>
    </w:div>
    <w:div w:id="653029598">
      <w:bodyDiv w:val="1"/>
      <w:marLeft w:val="0"/>
      <w:marRight w:val="0"/>
      <w:marTop w:val="0"/>
      <w:marBottom w:val="0"/>
      <w:divBdr>
        <w:top w:val="none" w:sz="0" w:space="0" w:color="auto"/>
        <w:left w:val="none" w:sz="0" w:space="0" w:color="auto"/>
        <w:bottom w:val="none" w:sz="0" w:space="0" w:color="auto"/>
        <w:right w:val="none" w:sz="0" w:space="0" w:color="auto"/>
      </w:divBdr>
    </w:div>
    <w:div w:id="656613502">
      <w:bodyDiv w:val="1"/>
      <w:marLeft w:val="0"/>
      <w:marRight w:val="0"/>
      <w:marTop w:val="0"/>
      <w:marBottom w:val="0"/>
      <w:divBdr>
        <w:top w:val="none" w:sz="0" w:space="0" w:color="auto"/>
        <w:left w:val="none" w:sz="0" w:space="0" w:color="auto"/>
        <w:bottom w:val="none" w:sz="0" w:space="0" w:color="auto"/>
        <w:right w:val="none" w:sz="0" w:space="0" w:color="auto"/>
      </w:divBdr>
    </w:div>
    <w:div w:id="661004598">
      <w:bodyDiv w:val="1"/>
      <w:marLeft w:val="0"/>
      <w:marRight w:val="0"/>
      <w:marTop w:val="0"/>
      <w:marBottom w:val="0"/>
      <w:divBdr>
        <w:top w:val="none" w:sz="0" w:space="0" w:color="auto"/>
        <w:left w:val="none" w:sz="0" w:space="0" w:color="auto"/>
        <w:bottom w:val="none" w:sz="0" w:space="0" w:color="auto"/>
        <w:right w:val="none" w:sz="0" w:space="0" w:color="auto"/>
      </w:divBdr>
    </w:div>
    <w:div w:id="662583780">
      <w:bodyDiv w:val="1"/>
      <w:marLeft w:val="0"/>
      <w:marRight w:val="0"/>
      <w:marTop w:val="0"/>
      <w:marBottom w:val="0"/>
      <w:divBdr>
        <w:top w:val="none" w:sz="0" w:space="0" w:color="auto"/>
        <w:left w:val="none" w:sz="0" w:space="0" w:color="auto"/>
        <w:bottom w:val="none" w:sz="0" w:space="0" w:color="auto"/>
        <w:right w:val="none" w:sz="0" w:space="0" w:color="auto"/>
      </w:divBdr>
    </w:div>
    <w:div w:id="668290704">
      <w:bodyDiv w:val="1"/>
      <w:marLeft w:val="0"/>
      <w:marRight w:val="0"/>
      <w:marTop w:val="0"/>
      <w:marBottom w:val="0"/>
      <w:divBdr>
        <w:top w:val="none" w:sz="0" w:space="0" w:color="auto"/>
        <w:left w:val="none" w:sz="0" w:space="0" w:color="auto"/>
        <w:bottom w:val="none" w:sz="0" w:space="0" w:color="auto"/>
        <w:right w:val="none" w:sz="0" w:space="0" w:color="auto"/>
      </w:divBdr>
    </w:div>
    <w:div w:id="669796313">
      <w:bodyDiv w:val="1"/>
      <w:marLeft w:val="0"/>
      <w:marRight w:val="0"/>
      <w:marTop w:val="0"/>
      <w:marBottom w:val="0"/>
      <w:divBdr>
        <w:top w:val="none" w:sz="0" w:space="0" w:color="auto"/>
        <w:left w:val="none" w:sz="0" w:space="0" w:color="auto"/>
        <w:bottom w:val="none" w:sz="0" w:space="0" w:color="auto"/>
        <w:right w:val="none" w:sz="0" w:space="0" w:color="auto"/>
      </w:divBdr>
    </w:div>
    <w:div w:id="677922901">
      <w:bodyDiv w:val="1"/>
      <w:marLeft w:val="0"/>
      <w:marRight w:val="0"/>
      <w:marTop w:val="0"/>
      <w:marBottom w:val="0"/>
      <w:divBdr>
        <w:top w:val="none" w:sz="0" w:space="0" w:color="auto"/>
        <w:left w:val="none" w:sz="0" w:space="0" w:color="auto"/>
        <w:bottom w:val="none" w:sz="0" w:space="0" w:color="auto"/>
        <w:right w:val="none" w:sz="0" w:space="0" w:color="auto"/>
      </w:divBdr>
    </w:div>
    <w:div w:id="678460559">
      <w:bodyDiv w:val="1"/>
      <w:marLeft w:val="0"/>
      <w:marRight w:val="0"/>
      <w:marTop w:val="0"/>
      <w:marBottom w:val="0"/>
      <w:divBdr>
        <w:top w:val="none" w:sz="0" w:space="0" w:color="auto"/>
        <w:left w:val="none" w:sz="0" w:space="0" w:color="auto"/>
        <w:bottom w:val="none" w:sz="0" w:space="0" w:color="auto"/>
        <w:right w:val="none" w:sz="0" w:space="0" w:color="auto"/>
      </w:divBdr>
    </w:div>
    <w:div w:id="684284731">
      <w:bodyDiv w:val="1"/>
      <w:marLeft w:val="0"/>
      <w:marRight w:val="0"/>
      <w:marTop w:val="0"/>
      <w:marBottom w:val="0"/>
      <w:divBdr>
        <w:top w:val="none" w:sz="0" w:space="0" w:color="auto"/>
        <w:left w:val="none" w:sz="0" w:space="0" w:color="auto"/>
        <w:bottom w:val="none" w:sz="0" w:space="0" w:color="auto"/>
        <w:right w:val="none" w:sz="0" w:space="0" w:color="auto"/>
      </w:divBdr>
    </w:div>
    <w:div w:id="686256555">
      <w:bodyDiv w:val="1"/>
      <w:marLeft w:val="0"/>
      <w:marRight w:val="0"/>
      <w:marTop w:val="0"/>
      <w:marBottom w:val="0"/>
      <w:divBdr>
        <w:top w:val="none" w:sz="0" w:space="0" w:color="auto"/>
        <w:left w:val="none" w:sz="0" w:space="0" w:color="auto"/>
        <w:bottom w:val="none" w:sz="0" w:space="0" w:color="auto"/>
        <w:right w:val="none" w:sz="0" w:space="0" w:color="auto"/>
      </w:divBdr>
    </w:div>
    <w:div w:id="691614320">
      <w:bodyDiv w:val="1"/>
      <w:marLeft w:val="0"/>
      <w:marRight w:val="0"/>
      <w:marTop w:val="0"/>
      <w:marBottom w:val="0"/>
      <w:divBdr>
        <w:top w:val="none" w:sz="0" w:space="0" w:color="auto"/>
        <w:left w:val="none" w:sz="0" w:space="0" w:color="auto"/>
        <w:bottom w:val="none" w:sz="0" w:space="0" w:color="auto"/>
        <w:right w:val="none" w:sz="0" w:space="0" w:color="auto"/>
      </w:divBdr>
    </w:div>
    <w:div w:id="691879665">
      <w:bodyDiv w:val="1"/>
      <w:marLeft w:val="0"/>
      <w:marRight w:val="0"/>
      <w:marTop w:val="0"/>
      <w:marBottom w:val="0"/>
      <w:divBdr>
        <w:top w:val="none" w:sz="0" w:space="0" w:color="auto"/>
        <w:left w:val="none" w:sz="0" w:space="0" w:color="auto"/>
        <w:bottom w:val="none" w:sz="0" w:space="0" w:color="auto"/>
        <w:right w:val="none" w:sz="0" w:space="0" w:color="auto"/>
      </w:divBdr>
    </w:div>
    <w:div w:id="692027023">
      <w:bodyDiv w:val="1"/>
      <w:marLeft w:val="0"/>
      <w:marRight w:val="0"/>
      <w:marTop w:val="0"/>
      <w:marBottom w:val="0"/>
      <w:divBdr>
        <w:top w:val="none" w:sz="0" w:space="0" w:color="auto"/>
        <w:left w:val="none" w:sz="0" w:space="0" w:color="auto"/>
        <w:bottom w:val="none" w:sz="0" w:space="0" w:color="auto"/>
        <w:right w:val="none" w:sz="0" w:space="0" w:color="auto"/>
      </w:divBdr>
    </w:div>
    <w:div w:id="697003493">
      <w:bodyDiv w:val="1"/>
      <w:marLeft w:val="0"/>
      <w:marRight w:val="0"/>
      <w:marTop w:val="0"/>
      <w:marBottom w:val="0"/>
      <w:divBdr>
        <w:top w:val="none" w:sz="0" w:space="0" w:color="auto"/>
        <w:left w:val="none" w:sz="0" w:space="0" w:color="auto"/>
        <w:bottom w:val="none" w:sz="0" w:space="0" w:color="auto"/>
        <w:right w:val="none" w:sz="0" w:space="0" w:color="auto"/>
      </w:divBdr>
    </w:div>
    <w:div w:id="697043293">
      <w:bodyDiv w:val="1"/>
      <w:marLeft w:val="0"/>
      <w:marRight w:val="0"/>
      <w:marTop w:val="0"/>
      <w:marBottom w:val="0"/>
      <w:divBdr>
        <w:top w:val="none" w:sz="0" w:space="0" w:color="auto"/>
        <w:left w:val="none" w:sz="0" w:space="0" w:color="auto"/>
        <w:bottom w:val="none" w:sz="0" w:space="0" w:color="auto"/>
        <w:right w:val="none" w:sz="0" w:space="0" w:color="auto"/>
      </w:divBdr>
    </w:div>
    <w:div w:id="697509706">
      <w:bodyDiv w:val="1"/>
      <w:marLeft w:val="0"/>
      <w:marRight w:val="0"/>
      <w:marTop w:val="0"/>
      <w:marBottom w:val="0"/>
      <w:divBdr>
        <w:top w:val="none" w:sz="0" w:space="0" w:color="auto"/>
        <w:left w:val="none" w:sz="0" w:space="0" w:color="auto"/>
        <w:bottom w:val="none" w:sz="0" w:space="0" w:color="auto"/>
        <w:right w:val="none" w:sz="0" w:space="0" w:color="auto"/>
      </w:divBdr>
    </w:div>
    <w:div w:id="697587378">
      <w:bodyDiv w:val="1"/>
      <w:marLeft w:val="0"/>
      <w:marRight w:val="0"/>
      <w:marTop w:val="0"/>
      <w:marBottom w:val="0"/>
      <w:divBdr>
        <w:top w:val="none" w:sz="0" w:space="0" w:color="auto"/>
        <w:left w:val="none" w:sz="0" w:space="0" w:color="auto"/>
        <w:bottom w:val="none" w:sz="0" w:space="0" w:color="auto"/>
        <w:right w:val="none" w:sz="0" w:space="0" w:color="auto"/>
      </w:divBdr>
    </w:div>
    <w:div w:id="697854206">
      <w:bodyDiv w:val="1"/>
      <w:marLeft w:val="0"/>
      <w:marRight w:val="0"/>
      <w:marTop w:val="0"/>
      <w:marBottom w:val="0"/>
      <w:divBdr>
        <w:top w:val="none" w:sz="0" w:space="0" w:color="auto"/>
        <w:left w:val="none" w:sz="0" w:space="0" w:color="auto"/>
        <w:bottom w:val="none" w:sz="0" w:space="0" w:color="auto"/>
        <w:right w:val="none" w:sz="0" w:space="0" w:color="auto"/>
      </w:divBdr>
    </w:div>
    <w:div w:id="699164256">
      <w:bodyDiv w:val="1"/>
      <w:marLeft w:val="0"/>
      <w:marRight w:val="0"/>
      <w:marTop w:val="0"/>
      <w:marBottom w:val="0"/>
      <w:divBdr>
        <w:top w:val="none" w:sz="0" w:space="0" w:color="auto"/>
        <w:left w:val="none" w:sz="0" w:space="0" w:color="auto"/>
        <w:bottom w:val="none" w:sz="0" w:space="0" w:color="auto"/>
        <w:right w:val="none" w:sz="0" w:space="0" w:color="auto"/>
      </w:divBdr>
    </w:div>
    <w:div w:id="701057654">
      <w:bodyDiv w:val="1"/>
      <w:marLeft w:val="0"/>
      <w:marRight w:val="0"/>
      <w:marTop w:val="0"/>
      <w:marBottom w:val="0"/>
      <w:divBdr>
        <w:top w:val="none" w:sz="0" w:space="0" w:color="auto"/>
        <w:left w:val="none" w:sz="0" w:space="0" w:color="auto"/>
        <w:bottom w:val="none" w:sz="0" w:space="0" w:color="auto"/>
        <w:right w:val="none" w:sz="0" w:space="0" w:color="auto"/>
      </w:divBdr>
    </w:div>
    <w:div w:id="703138542">
      <w:bodyDiv w:val="1"/>
      <w:marLeft w:val="0"/>
      <w:marRight w:val="0"/>
      <w:marTop w:val="0"/>
      <w:marBottom w:val="0"/>
      <w:divBdr>
        <w:top w:val="none" w:sz="0" w:space="0" w:color="auto"/>
        <w:left w:val="none" w:sz="0" w:space="0" w:color="auto"/>
        <w:bottom w:val="none" w:sz="0" w:space="0" w:color="auto"/>
        <w:right w:val="none" w:sz="0" w:space="0" w:color="auto"/>
      </w:divBdr>
    </w:div>
    <w:div w:id="703792273">
      <w:bodyDiv w:val="1"/>
      <w:marLeft w:val="0"/>
      <w:marRight w:val="0"/>
      <w:marTop w:val="0"/>
      <w:marBottom w:val="0"/>
      <w:divBdr>
        <w:top w:val="none" w:sz="0" w:space="0" w:color="auto"/>
        <w:left w:val="none" w:sz="0" w:space="0" w:color="auto"/>
        <w:bottom w:val="none" w:sz="0" w:space="0" w:color="auto"/>
        <w:right w:val="none" w:sz="0" w:space="0" w:color="auto"/>
      </w:divBdr>
    </w:div>
    <w:div w:id="704015349">
      <w:bodyDiv w:val="1"/>
      <w:marLeft w:val="0"/>
      <w:marRight w:val="0"/>
      <w:marTop w:val="0"/>
      <w:marBottom w:val="0"/>
      <w:divBdr>
        <w:top w:val="none" w:sz="0" w:space="0" w:color="auto"/>
        <w:left w:val="none" w:sz="0" w:space="0" w:color="auto"/>
        <w:bottom w:val="none" w:sz="0" w:space="0" w:color="auto"/>
        <w:right w:val="none" w:sz="0" w:space="0" w:color="auto"/>
      </w:divBdr>
    </w:div>
    <w:div w:id="705180156">
      <w:bodyDiv w:val="1"/>
      <w:marLeft w:val="0"/>
      <w:marRight w:val="0"/>
      <w:marTop w:val="0"/>
      <w:marBottom w:val="0"/>
      <w:divBdr>
        <w:top w:val="none" w:sz="0" w:space="0" w:color="auto"/>
        <w:left w:val="none" w:sz="0" w:space="0" w:color="auto"/>
        <w:bottom w:val="none" w:sz="0" w:space="0" w:color="auto"/>
        <w:right w:val="none" w:sz="0" w:space="0" w:color="auto"/>
      </w:divBdr>
    </w:div>
    <w:div w:id="706376996">
      <w:bodyDiv w:val="1"/>
      <w:marLeft w:val="0"/>
      <w:marRight w:val="0"/>
      <w:marTop w:val="0"/>
      <w:marBottom w:val="0"/>
      <w:divBdr>
        <w:top w:val="none" w:sz="0" w:space="0" w:color="auto"/>
        <w:left w:val="none" w:sz="0" w:space="0" w:color="auto"/>
        <w:bottom w:val="none" w:sz="0" w:space="0" w:color="auto"/>
        <w:right w:val="none" w:sz="0" w:space="0" w:color="auto"/>
      </w:divBdr>
    </w:div>
    <w:div w:id="712734108">
      <w:bodyDiv w:val="1"/>
      <w:marLeft w:val="0"/>
      <w:marRight w:val="0"/>
      <w:marTop w:val="0"/>
      <w:marBottom w:val="0"/>
      <w:divBdr>
        <w:top w:val="none" w:sz="0" w:space="0" w:color="auto"/>
        <w:left w:val="none" w:sz="0" w:space="0" w:color="auto"/>
        <w:bottom w:val="none" w:sz="0" w:space="0" w:color="auto"/>
        <w:right w:val="none" w:sz="0" w:space="0" w:color="auto"/>
      </w:divBdr>
    </w:div>
    <w:div w:id="712971431">
      <w:bodyDiv w:val="1"/>
      <w:marLeft w:val="0"/>
      <w:marRight w:val="0"/>
      <w:marTop w:val="0"/>
      <w:marBottom w:val="0"/>
      <w:divBdr>
        <w:top w:val="none" w:sz="0" w:space="0" w:color="auto"/>
        <w:left w:val="none" w:sz="0" w:space="0" w:color="auto"/>
        <w:bottom w:val="none" w:sz="0" w:space="0" w:color="auto"/>
        <w:right w:val="none" w:sz="0" w:space="0" w:color="auto"/>
      </w:divBdr>
    </w:div>
    <w:div w:id="714157270">
      <w:bodyDiv w:val="1"/>
      <w:marLeft w:val="0"/>
      <w:marRight w:val="0"/>
      <w:marTop w:val="0"/>
      <w:marBottom w:val="0"/>
      <w:divBdr>
        <w:top w:val="none" w:sz="0" w:space="0" w:color="auto"/>
        <w:left w:val="none" w:sz="0" w:space="0" w:color="auto"/>
        <w:bottom w:val="none" w:sz="0" w:space="0" w:color="auto"/>
        <w:right w:val="none" w:sz="0" w:space="0" w:color="auto"/>
      </w:divBdr>
    </w:div>
    <w:div w:id="714698911">
      <w:bodyDiv w:val="1"/>
      <w:marLeft w:val="0"/>
      <w:marRight w:val="0"/>
      <w:marTop w:val="0"/>
      <w:marBottom w:val="0"/>
      <w:divBdr>
        <w:top w:val="none" w:sz="0" w:space="0" w:color="auto"/>
        <w:left w:val="none" w:sz="0" w:space="0" w:color="auto"/>
        <w:bottom w:val="none" w:sz="0" w:space="0" w:color="auto"/>
        <w:right w:val="none" w:sz="0" w:space="0" w:color="auto"/>
      </w:divBdr>
    </w:div>
    <w:div w:id="715349014">
      <w:bodyDiv w:val="1"/>
      <w:marLeft w:val="0"/>
      <w:marRight w:val="0"/>
      <w:marTop w:val="0"/>
      <w:marBottom w:val="0"/>
      <w:divBdr>
        <w:top w:val="none" w:sz="0" w:space="0" w:color="auto"/>
        <w:left w:val="none" w:sz="0" w:space="0" w:color="auto"/>
        <w:bottom w:val="none" w:sz="0" w:space="0" w:color="auto"/>
        <w:right w:val="none" w:sz="0" w:space="0" w:color="auto"/>
      </w:divBdr>
    </w:div>
    <w:div w:id="718435042">
      <w:bodyDiv w:val="1"/>
      <w:marLeft w:val="0"/>
      <w:marRight w:val="0"/>
      <w:marTop w:val="0"/>
      <w:marBottom w:val="0"/>
      <w:divBdr>
        <w:top w:val="none" w:sz="0" w:space="0" w:color="auto"/>
        <w:left w:val="none" w:sz="0" w:space="0" w:color="auto"/>
        <w:bottom w:val="none" w:sz="0" w:space="0" w:color="auto"/>
        <w:right w:val="none" w:sz="0" w:space="0" w:color="auto"/>
      </w:divBdr>
    </w:div>
    <w:div w:id="719474832">
      <w:bodyDiv w:val="1"/>
      <w:marLeft w:val="0"/>
      <w:marRight w:val="0"/>
      <w:marTop w:val="0"/>
      <w:marBottom w:val="0"/>
      <w:divBdr>
        <w:top w:val="none" w:sz="0" w:space="0" w:color="auto"/>
        <w:left w:val="none" w:sz="0" w:space="0" w:color="auto"/>
        <w:bottom w:val="none" w:sz="0" w:space="0" w:color="auto"/>
        <w:right w:val="none" w:sz="0" w:space="0" w:color="auto"/>
      </w:divBdr>
    </w:div>
    <w:div w:id="719670145">
      <w:bodyDiv w:val="1"/>
      <w:marLeft w:val="0"/>
      <w:marRight w:val="0"/>
      <w:marTop w:val="0"/>
      <w:marBottom w:val="0"/>
      <w:divBdr>
        <w:top w:val="none" w:sz="0" w:space="0" w:color="auto"/>
        <w:left w:val="none" w:sz="0" w:space="0" w:color="auto"/>
        <w:bottom w:val="none" w:sz="0" w:space="0" w:color="auto"/>
        <w:right w:val="none" w:sz="0" w:space="0" w:color="auto"/>
      </w:divBdr>
    </w:div>
    <w:div w:id="727264894">
      <w:bodyDiv w:val="1"/>
      <w:marLeft w:val="0"/>
      <w:marRight w:val="0"/>
      <w:marTop w:val="0"/>
      <w:marBottom w:val="0"/>
      <w:divBdr>
        <w:top w:val="none" w:sz="0" w:space="0" w:color="auto"/>
        <w:left w:val="none" w:sz="0" w:space="0" w:color="auto"/>
        <w:bottom w:val="none" w:sz="0" w:space="0" w:color="auto"/>
        <w:right w:val="none" w:sz="0" w:space="0" w:color="auto"/>
      </w:divBdr>
    </w:div>
    <w:div w:id="729884744">
      <w:bodyDiv w:val="1"/>
      <w:marLeft w:val="0"/>
      <w:marRight w:val="0"/>
      <w:marTop w:val="0"/>
      <w:marBottom w:val="0"/>
      <w:divBdr>
        <w:top w:val="none" w:sz="0" w:space="0" w:color="auto"/>
        <w:left w:val="none" w:sz="0" w:space="0" w:color="auto"/>
        <w:bottom w:val="none" w:sz="0" w:space="0" w:color="auto"/>
        <w:right w:val="none" w:sz="0" w:space="0" w:color="auto"/>
      </w:divBdr>
    </w:div>
    <w:div w:id="733236033">
      <w:bodyDiv w:val="1"/>
      <w:marLeft w:val="0"/>
      <w:marRight w:val="0"/>
      <w:marTop w:val="0"/>
      <w:marBottom w:val="0"/>
      <w:divBdr>
        <w:top w:val="none" w:sz="0" w:space="0" w:color="auto"/>
        <w:left w:val="none" w:sz="0" w:space="0" w:color="auto"/>
        <w:bottom w:val="none" w:sz="0" w:space="0" w:color="auto"/>
        <w:right w:val="none" w:sz="0" w:space="0" w:color="auto"/>
      </w:divBdr>
    </w:div>
    <w:div w:id="735011980">
      <w:bodyDiv w:val="1"/>
      <w:marLeft w:val="0"/>
      <w:marRight w:val="0"/>
      <w:marTop w:val="0"/>
      <w:marBottom w:val="0"/>
      <w:divBdr>
        <w:top w:val="none" w:sz="0" w:space="0" w:color="auto"/>
        <w:left w:val="none" w:sz="0" w:space="0" w:color="auto"/>
        <w:bottom w:val="none" w:sz="0" w:space="0" w:color="auto"/>
        <w:right w:val="none" w:sz="0" w:space="0" w:color="auto"/>
      </w:divBdr>
    </w:div>
    <w:div w:id="736853900">
      <w:bodyDiv w:val="1"/>
      <w:marLeft w:val="0"/>
      <w:marRight w:val="0"/>
      <w:marTop w:val="0"/>
      <w:marBottom w:val="0"/>
      <w:divBdr>
        <w:top w:val="none" w:sz="0" w:space="0" w:color="auto"/>
        <w:left w:val="none" w:sz="0" w:space="0" w:color="auto"/>
        <w:bottom w:val="none" w:sz="0" w:space="0" w:color="auto"/>
        <w:right w:val="none" w:sz="0" w:space="0" w:color="auto"/>
      </w:divBdr>
    </w:div>
    <w:div w:id="736904580">
      <w:bodyDiv w:val="1"/>
      <w:marLeft w:val="0"/>
      <w:marRight w:val="0"/>
      <w:marTop w:val="0"/>
      <w:marBottom w:val="0"/>
      <w:divBdr>
        <w:top w:val="none" w:sz="0" w:space="0" w:color="auto"/>
        <w:left w:val="none" w:sz="0" w:space="0" w:color="auto"/>
        <w:bottom w:val="none" w:sz="0" w:space="0" w:color="auto"/>
        <w:right w:val="none" w:sz="0" w:space="0" w:color="auto"/>
      </w:divBdr>
    </w:div>
    <w:div w:id="737440675">
      <w:bodyDiv w:val="1"/>
      <w:marLeft w:val="0"/>
      <w:marRight w:val="0"/>
      <w:marTop w:val="0"/>
      <w:marBottom w:val="0"/>
      <w:divBdr>
        <w:top w:val="none" w:sz="0" w:space="0" w:color="auto"/>
        <w:left w:val="none" w:sz="0" w:space="0" w:color="auto"/>
        <w:bottom w:val="none" w:sz="0" w:space="0" w:color="auto"/>
        <w:right w:val="none" w:sz="0" w:space="0" w:color="auto"/>
      </w:divBdr>
    </w:div>
    <w:div w:id="741484944">
      <w:bodyDiv w:val="1"/>
      <w:marLeft w:val="0"/>
      <w:marRight w:val="0"/>
      <w:marTop w:val="0"/>
      <w:marBottom w:val="0"/>
      <w:divBdr>
        <w:top w:val="none" w:sz="0" w:space="0" w:color="auto"/>
        <w:left w:val="none" w:sz="0" w:space="0" w:color="auto"/>
        <w:bottom w:val="none" w:sz="0" w:space="0" w:color="auto"/>
        <w:right w:val="none" w:sz="0" w:space="0" w:color="auto"/>
      </w:divBdr>
    </w:div>
    <w:div w:id="742719663">
      <w:bodyDiv w:val="1"/>
      <w:marLeft w:val="0"/>
      <w:marRight w:val="0"/>
      <w:marTop w:val="0"/>
      <w:marBottom w:val="0"/>
      <w:divBdr>
        <w:top w:val="none" w:sz="0" w:space="0" w:color="auto"/>
        <w:left w:val="none" w:sz="0" w:space="0" w:color="auto"/>
        <w:bottom w:val="none" w:sz="0" w:space="0" w:color="auto"/>
        <w:right w:val="none" w:sz="0" w:space="0" w:color="auto"/>
      </w:divBdr>
    </w:div>
    <w:div w:id="745146085">
      <w:bodyDiv w:val="1"/>
      <w:marLeft w:val="0"/>
      <w:marRight w:val="0"/>
      <w:marTop w:val="0"/>
      <w:marBottom w:val="0"/>
      <w:divBdr>
        <w:top w:val="none" w:sz="0" w:space="0" w:color="auto"/>
        <w:left w:val="none" w:sz="0" w:space="0" w:color="auto"/>
        <w:bottom w:val="none" w:sz="0" w:space="0" w:color="auto"/>
        <w:right w:val="none" w:sz="0" w:space="0" w:color="auto"/>
      </w:divBdr>
    </w:div>
    <w:div w:id="749890438">
      <w:bodyDiv w:val="1"/>
      <w:marLeft w:val="0"/>
      <w:marRight w:val="0"/>
      <w:marTop w:val="0"/>
      <w:marBottom w:val="0"/>
      <w:divBdr>
        <w:top w:val="none" w:sz="0" w:space="0" w:color="auto"/>
        <w:left w:val="none" w:sz="0" w:space="0" w:color="auto"/>
        <w:bottom w:val="none" w:sz="0" w:space="0" w:color="auto"/>
        <w:right w:val="none" w:sz="0" w:space="0" w:color="auto"/>
      </w:divBdr>
    </w:div>
    <w:div w:id="752359773">
      <w:bodyDiv w:val="1"/>
      <w:marLeft w:val="0"/>
      <w:marRight w:val="0"/>
      <w:marTop w:val="0"/>
      <w:marBottom w:val="0"/>
      <w:divBdr>
        <w:top w:val="none" w:sz="0" w:space="0" w:color="auto"/>
        <w:left w:val="none" w:sz="0" w:space="0" w:color="auto"/>
        <w:bottom w:val="none" w:sz="0" w:space="0" w:color="auto"/>
        <w:right w:val="none" w:sz="0" w:space="0" w:color="auto"/>
      </w:divBdr>
    </w:div>
    <w:div w:id="753818305">
      <w:bodyDiv w:val="1"/>
      <w:marLeft w:val="0"/>
      <w:marRight w:val="0"/>
      <w:marTop w:val="0"/>
      <w:marBottom w:val="0"/>
      <w:divBdr>
        <w:top w:val="none" w:sz="0" w:space="0" w:color="auto"/>
        <w:left w:val="none" w:sz="0" w:space="0" w:color="auto"/>
        <w:bottom w:val="none" w:sz="0" w:space="0" w:color="auto"/>
        <w:right w:val="none" w:sz="0" w:space="0" w:color="auto"/>
      </w:divBdr>
    </w:div>
    <w:div w:id="757406164">
      <w:bodyDiv w:val="1"/>
      <w:marLeft w:val="0"/>
      <w:marRight w:val="0"/>
      <w:marTop w:val="0"/>
      <w:marBottom w:val="0"/>
      <w:divBdr>
        <w:top w:val="none" w:sz="0" w:space="0" w:color="auto"/>
        <w:left w:val="none" w:sz="0" w:space="0" w:color="auto"/>
        <w:bottom w:val="none" w:sz="0" w:space="0" w:color="auto"/>
        <w:right w:val="none" w:sz="0" w:space="0" w:color="auto"/>
      </w:divBdr>
    </w:div>
    <w:div w:id="759060519">
      <w:bodyDiv w:val="1"/>
      <w:marLeft w:val="0"/>
      <w:marRight w:val="0"/>
      <w:marTop w:val="0"/>
      <w:marBottom w:val="0"/>
      <w:divBdr>
        <w:top w:val="none" w:sz="0" w:space="0" w:color="auto"/>
        <w:left w:val="none" w:sz="0" w:space="0" w:color="auto"/>
        <w:bottom w:val="none" w:sz="0" w:space="0" w:color="auto"/>
        <w:right w:val="none" w:sz="0" w:space="0" w:color="auto"/>
      </w:divBdr>
    </w:div>
    <w:div w:id="759370751">
      <w:bodyDiv w:val="1"/>
      <w:marLeft w:val="0"/>
      <w:marRight w:val="0"/>
      <w:marTop w:val="0"/>
      <w:marBottom w:val="0"/>
      <w:divBdr>
        <w:top w:val="none" w:sz="0" w:space="0" w:color="auto"/>
        <w:left w:val="none" w:sz="0" w:space="0" w:color="auto"/>
        <w:bottom w:val="none" w:sz="0" w:space="0" w:color="auto"/>
        <w:right w:val="none" w:sz="0" w:space="0" w:color="auto"/>
      </w:divBdr>
    </w:div>
    <w:div w:id="761030376">
      <w:bodyDiv w:val="1"/>
      <w:marLeft w:val="0"/>
      <w:marRight w:val="0"/>
      <w:marTop w:val="0"/>
      <w:marBottom w:val="0"/>
      <w:divBdr>
        <w:top w:val="none" w:sz="0" w:space="0" w:color="auto"/>
        <w:left w:val="none" w:sz="0" w:space="0" w:color="auto"/>
        <w:bottom w:val="none" w:sz="0" w:space="0" w:color="auto"/>
        <w:right w:val="none" w:sz="0" w:space="0" w:color="auto"/>
      </w:divBdr>
    </w:div>
    <w:div w:id="761224311">
      <w:bodyDiv w:val="1"/>
      <w:marLeft w:val="0"/>
      <w:marRight w:val="0"/>
      <w:marTop w:val="0"/>
      <w:marBottom w:val="0"/>
      <w:divBdr>
        <w:top w:val="none" w:sz="0" w:space="0" w:color="auto"/>
        <w:left w:val="none" w:sz="0" w:space="0" w:color="auto"/>
        <w:bottom w:val="none" w:sz="0" w:space="0" w:color="auto"/>
        <w:right w:val="none" w:sz="0" w:space="0" w:color="auto"/>
      </w:divBdr>
    </w:div>
    <w:div w:id="762074834">
      <w:bodyDiv w:val="1"/>
      <w:marLeft w:val="0"/>
      <w:marRight w:val="0"/>
      <w:marTop w:val="0"/>
      <w:marBottom w:val="0"/>
      <w:divBdr>
        <w:top w:val="none" w:sz="0" w:space="0" w:color="auto"/>
        <w:left w:val="none" w:sz="0" w:space="0" w:color="auto"/>
        <w:bottom w:val="none" w:sz="0" w:space="0" w:color="auto"/>
        <w:right w:val="none" w:sz="0" w:space="0" w:color="auto"/>
      </w:divBdr>
    </w:div>
    <w:div w:id="762265446">
      <w:bodyDiv w:val="1"/>
      <w:marLeft w:val="0"/>
      <w:marRight w:val="0"/>
      <w:marTop w:val="0"/>
      <w:marBottom w:val="0"/>
      <w:divBdr>
        <w:top w:val="none" w:sz="0" w:space="0" w:color="auto"/>
        <w:left w:val="none" w:sz="0" w:space="0" w:color="auto"/>
        <w:bottom w:val="none" w:sz="0" w:space="0" w:color="auto"/>
        <w:right w:val="none" w:sz="0" w:space="0" w:color="auto"/>
      </w:divBdr>
    </w:div>
    <w:div w:id="763309115">
      <w:bodyDiv w:val="1"/>
      <w:marLeft w:val="0"/>
      <w:marRight w:val="0"/>
      <w:marTop w:val="0"/>
      <w:marBottom w:val="0"/>
      <w:divBdr>
        <w:top w:val="none" w:sz="0" w:space="0" w:color="auto"/>
        <w:left w:val="none" w:sz="0" w:space="0" w:color="auto"/>
        <w:bottom w:val="none" w:sz="0" w:space="0" w:color="auto"/>
        <w:right w:val="none" w:sz="0" w:space="0" w:color="auto"/>
      </w:divBdr>
    </w:div>
    <w:div w:id="763380879">
      <w:bodyDiv w:val="1"/>
      <w:marLeft w:val="0"/>
      <w:marRight w:val="0"/>
      <w:marTop w:val="0"/>
      <w:marBottom w:val="0"/>
      <w:divBdr>
        <w:top w:val="none" w:sz="0" w:space="0" w:color="auto"/>
        <w:left w:val="none" w:sz="0" w:space="0" w:color="auto"/>
        <w:bottom w:val="none" w:sz="0" w:space="0" w:color="auto"/>
        <w:right w:val="none" w:sz="0" w:space="0" w:color="auto"/>
      </w:divBdr>
    </w:div>
    <w:div w:id="764880920">
      <w:bodyDiv w:val="1"/>
      <w:marLeft w:val="0"/>
      <w:marRight w:val="0"/>
      <w:marTop w:val="0"/>
      <w:marBottom w:val="0"/>
      <w:divBdr>
        <w:top w:val="none" w:sz="0" w:space="0" w:color="auto"/>
        <w:left w:val="none" w:sz="0" w:space="0" w:color="auto"/>
        <w:bottom w:val="none" w:sz="0" w:space="0" w:color="auto"/>
        <w:right w:val="none" w:sz="0" w:space="0" w:color="auto"/>
      </w:divBdr>
    </w:div>
    <w:div w:id="767309946">
      <w:bodyDiv w:val="1"/>
      <w:marLeft w:val="0"/>
      <w:marRight w:val="0"/>
      <w:marTop w:val="0"/>
      <w:marBottom w:val="0"/>
      <w:divBdr>
        <w:top w:val="none" w:sz="0" w:space="0" w:color="auto"/>
        <w:left w:val="none" w:sz="0" w:space="0" w:color="auto"/>
        <w:bottom w:val="none" w:sz="0" w:space="0" w:color="auto"/>
        <w:right w:val="none" w:sz="0" w:space="0" w:color="auto"/>
      </w:divBdr>
    </w:div>
    <w:div w:id="767506039">
      <w:bodyDiv w:val="1"/>
      <w:marLeft w:val="0"/>
      <w:marRight w:val="0"/>
      <w:marTop w:val="0"/>
      <w:marBottom w:val="0"/>
      <w:divBdr>
        <w:top w:val="none" w:sz="0" w:space="0" w:color="auto"/>
        <w:left w:val="none" w:sz="0" w:space="0" w:color="auto"/>
        <w:bottom w:val="none" w:sz="0" w:space="0" w:color="auto"/>
        <w:right w:val="none" w:sz="0" w:space="0" w:color="auto"/>
      </w:divBdr>
    </w:div>
    <w:div w:id="767965577">
      <w:bodyDiv w:val="1"/>
      <w:marLeft w:val="0"/>
      <w:marRight w:val="0"/>
      <w:marTop w:val="0"/>
      <w:marBottom w:val="0"/>
      <w:divBdr>
        <w:top w:val="none" w:sz="0" w:space="0" w:color="auto"/>
        <w:left w:val="none" w:sz="0" w:space="0" w:color="auto"/>
        <w:bottom w:val="none" w:sz="0" w:space="0" w:color="auto"/>
        <w:right w:val="none" w:sz="0" w:space="0" w:color="auto"/>
      </w:divBdr>
    </w:div>
    <w:div w:id="768161182">
      <w:bodyDiv w:val="1"/>
      <w:marLeft w:val="0"/>
      <w:marRight w:val="0"/>
      <w:marTop w:val="0"/>
      <w:marBottom w:val="0"/>
      <w:divBdr>
        <w:top w:val="none" w:sz="0" w:space="0" w:color="auto"/>
        <w:left w:val="none" w:sz="0" w:space="0" w:color="auto"/>
        <w:bottom w:val="none" w:sz="0" w:space="0" w:color="auto"/>
        <w:right w:val="none" w:sz="0" w:space="0" w:color="auto"/>
      </w:divBdr>
    </w:div>
    <w:div w:id="770978749">
      <w:bodyDiv w:val="1"/>
      <w:marLeft w:val="0"/>
      <w:marRight w:val="0"/>
      <w:marTop w:val="0"/>
      <w:marBottom w:val="0"/>
      <w:divBdr>
        <w:top w:val="none" w:sz="0" w:space="0" w:color="auto"/>
        <w:left w:val="none" w:sz="0" w:space="0" w:color="auto"/>
        <w:bottom w:val="none" w:sz="0" w:space="0" w:color="auto"/>
        <w:right w:val="none" w:sz="0" w:space="0" w:color="auto"/>
      </w:divBdr>
    </w:div>
    <w:div w:id="775179352">
      <w:bodyDiv w:val="1"/>
      <w:marLeft w:val="0"/>
      <w:marRight w:val="0"/>
      <w:marTop w:val="0"/>
      <w:marBottom w:val="0"/>
      <w:divBdr>
        <w:top w:val="none" w:sz="0" w:space="0" w:color="auto"/>
        <w:left w:val="none" w:sz="0" w:space="0" w:color="auto"/>
        <w:bottom w:val="none" w:sz="0" w:space="0" w:color="auto"/>
        <w:right w:val="none" w:sz="0" w:space="0" w:color="auto"/>
      </w:divBdr>
    </w:div>
    <w:div w:id="775247047">
      <w:bodyDiv w:val="1"/>
      <w:marLeft w:val="0"/>
      <w:marRight w:val="0"/>
      <w:marTop w:val="0"/>
      <w:marBottom w:val="0"/>
      <w:divBdr>
        <w:top w:val="none" w:sz="0" w:space="0" w:color="auto"/>
        <w:left w:val="none" w:sz="0" w:space="0" w:color="auto"/>
        <w:bottom w:val="none" w:sz="0" w:space="0" w:color="auto"/>
        <w:right w:val="none" w:sz="0" w:space="0" w:color="auto"/>
      </w:divBdr>
    </w:div>
    <w:div w:id="776219765">
      <w:bodyDiv w:val="1"/>
      <w:marLeft w:val="0"/>
      <w:marRight w:val="0"/>
      <w:marTop w:val="0"/>
      <w:marBottom w:val="0"/>
      <w:divBdr>
        <w:top w:val="none" w:sz="0" w:space="0" w:color="auto"/>
        <w:left w:val="none" w:sz="0" w:space="0" w:color="auto"/>
        <w:bottom w:val="none" w:sz="0" w:space="0" w:color="auto"/>
        <w:right w:val="none" w:sz="0" w:space="0" w:color="auto"/>
      </w:divBdr>
    </w:div>
    <w:div w:id="778111385">
      <w:bodyDiv w:val="1"/>
      <w:marLeft w:val="0"/>
      <w:marRight w:val="0"/>
      <w:marTop w:val="0"/>
      <w:marBottom w:val="0"/>
      <w:divBdr>
        <w:top w:val="none" w:sz="0" w:space="0" w:color="auto"/>
        <w:left w:val="none" w:sz="0" w:space="0" w:color="auto"/>
        <w:bottom w:val="none" w:sz="0" w:space="0" w:color="auto"/>
        <w:right w:val="none" w:sz="0" w:space="0" w:color="auto"/>
      </w:divBdr>
    </w:div>
    <w:div w:id="779491087">
      <w:bodyDiv w:val="1"/>
      <w:marLeft w:val="0"/>
      <w:marRight w:val="0"/>
      <w:marTop w:val="0"/>
      <w:marBottom w:val="0"/>
      <w:divBdr>
        <w:top w:val="none" w:sz="0" w:space="0" w:color="auto"/>
        <w:left w:val="none" w:sz="0" w:space="0" w:color="auto"/>
        <w:bottom w:val="none" w:sz="0" w:space="0" w:color="auto"/>
        <w:right w:val="none" w:sz="0" w:space="0" w:color="auto"/>
      </w:divBdr>
    </w:div>
    <w:div w:id="779838267">
      <w:bodyDiv w:val="1"/>
      <w:marLeft w:val="0"/>
      <w:marRight w:val="0"/>
      <w:marTop w:val="0"/>
      <w:marBottom w:val="0"/>
      <w:divBdr>
        <w:top w:val="none" w:sz="0" w:space="0" w:color="auto"/>
        <w:left w:val="none" w:sz="0" w:space="0" w:color="auto"/>
        <w:bottom w:val="none" w:sz="0" w:space="0" w:color="auto"/>
        <w:right w:val="none" w:sz="0" w:space="0" w:color="auto"/>
      </w:divBdr>
    </w:div>
    <w:div w:id="779882223">
      <w:bodyDiv w:val="1"/>
      <w:marLeft w:val="0"/>
      <w:marRight w:val="0"/>
      <w:marTop w:val="0"/>
      <w:marBottom w:val="0"/>
      <w:divBdr>
        <w:top w:val="none" w:sz="0" w:space="0" w:color="auto"/>
        <w:left w:val="none" w:sz="0" w:space="0" w:color="auto"/>
        <w:bottom w:val="none" w:sz="0" w:space="0" w:color="auto"/>
        <w:right w:val="none" w:sz="0" w:space="0" w:color="auto"/>
      </w:divBdr>
    </w:div>
    <w:div w:id="781727654">
      <w:bodyDiv w:val="1"/>
      <w:marLeft w:val="0"/>
      <w:marRight w:val="0"/>
      <w:marTop w:val="0"/>
      <w:marBottom w:val="0"/>
      <w:divBdr>
        <w:top w:val="none" w:sz="0" w:space="0" w:color="auto"/>
        <w:left w:val="none" w:sz="0" w:space="0" w:color="auto"/>
        <w:bottom w:val="none" w:sz="0" w:space="0" w:color="auto"/>
        <w:right w:val="none" w:sz="0" w:space="0" w:color="auto"/>
      </w:divBdr>
    </w:div>
    <w:div w:id="781803133">
      <w:bodyDiv w:val="1"/>
      <w:marLeft w:val="0"/>
      <w:marRight w:val="0"/>
      <w:marTop w:val="0"/>
      <w:marBottom w:val="0"/>
      <w:divBdr>
        <w:top w:val="none" w:sz="0" w:space="0" w:color="auto"/>
        <w:left w:val="none" w:sz="0" w:space="0" w:color="auto"/>
        <w:bottom w:val="none" w:sz="0" w:space="0" w:color="auto"/>
        <w:right w:val="none" w:sz="0" w:space="0" w:color="auto"/>
      </w:divBdr>
    </w:div>
    <w:div w:id="782655411">
      <w:bodyDiv w:val="1"/>
      <w:marLeft w:val="0"/>
      <w:marRight w:val="0"/>
      <w:marTop w:val="0"/>
      <w:marBottom w:val="0"/>
      <w:divBdr>
        <w:top w:val="none" w:sz="0" w:space="0" w:color="auto"/>
        <w:left w:val="none" w:sz="0" w:space="0" w:color="auto"/>
        <w:bottom w:val="none" w:sz="0" w:space="0" w:color="auto"/>
        <w:right w:val="none" w:sz="0" w:space="0" w:color="auto"/>
      </w:divBdr>
    </w:div>
    <w:div w:id="783035009">
      <w:bodyDiv w:val="1"/>
      <w:marLeft w:val="0"/>
      <w:marRight w:val="0"/>
      <w:marTop w:val="0"/>
      <w:marBottom w:val="0"/>
      <w:divBdr>
        <w:top w:val="none" w:sz="0" w:space="0" w:color="auto"/>
        <w:left w:val="none" w:sz="0" w:space="0" w:color="auto"/>
        <w:bottom w:val="none" w:sz="0" w:space="0" w:color="auto"/>
        <w:right w:val="none" w:sz="0" w:space="0" w:color="auto"/>
      </w:divBdr>
    </w:div>
    <w:div w:id="783156173">
      <w:bodyDiv w:val="1"/>
      <w:marLeft w:val="0"/>
      <w:marRight w:val="0"/>
      <w:marTop w:val="0"/>
      <w:marBottom w:val="0"/>
      <w:divBdr>
        <w:top w:val="none" w:sz="0" w:space="0" w:color="auto"/>
        <w:left w:val="none" w:sz="0" w:space="0" w:color="auto"/>
        <w:bottom w:val="none" w:sz="0" w:space="0" w:color="auto"/>
        <w:right w:val="none" w:sz="0" w:space="0" w:color="auto"/>
      </w:divBdr>
    </w:div>
    <w:div w:id="783303525">
      <w:bodyDiv w:val="1"/>
      <w:marLeft w:val="0"/>
      <w:marRight w:val="0"/>
      <w:marTop w:val="0"/>
      <w:marBottom w:val="0"/>
      <w:divBdr>
        <w:top w:val="none" w:sz="0" w:space="0" w:color="auto"/>
        <w:left w:val="none" w:sz="0" w:space="0" w:color="auto"/>
        <w:bottom w:val="none" w:sz="0" w:space="0" w:color="auto"/>
        <w:right w:val="none" w:sz="0" w:space="0" w:color="auto"/>
      </w:divBdr>
    </w:div>
    <w:div w:id="783498867">
      <w:bodyDiv w:val="1"/>
      <w:marLeft w:val="0"/>
      <w:marRight w:val="0"/>
      <w:marTop w:val="0"/>
      <w:marBottom w:val="0"/>
      <w:divBdr>
        <w:top w:val="none" w:sz="0" w:space="0" w:color="auto"/>
        <w:left w:val="none" w:sz="0" w:space="0" w:color="auto"/>
        <w:bottom w:val="none" w:sz="0" w:space="0" w:color="auto"/>
        <w:right w:val="none" w:sz="0" w:space="0" w:color="auto"/>
      </w:divBdr>
    </w:div>
    <w:div w:id="786388378">
      <w:bodyDiv w:val="1"/>
      <w:marLeft w:val="0"/>
      <w:marRight w:val="0"/>
      <w:marTop w:val="0"/>
      <w:marBottom w:val="0"/>
      <w:divBdr>
        <w:top w:val="none" w:sz="0" w:space="0" w:color="auto"/>
        <w:left w:val="none" w:sz="0" w:space="0" w:color="auto"/>
        <w:bottom w:val="none" w:sz="0" w:space="0" w:color="auto"/>
        <w:right w:val="none" w:sz="0" w:space="0" w:color="auto"/>
      </w:divBdr>
    </w:div>
    <w:div w:id="787160645">
      <w:bodyDiv w:val="1"/>
      <w:marLeft w:val="0"/>
      <w:marRight w:val="0"/>
      <w:marTop w:val="0"/>
      <w:marBottom w:val="0"/>
      <w:divBdr>
        <w:top w:val="none" w:sz="0" w:space="0" w:color="auto"/>
        <w:left w:val="none" w:sz="0" w:space="0" w:color="auto"/>
        <w:bottom w:val="none" w:sz="0" w:space="0" w:color="auto"/>
        <w:right w:val="none" w:sz="0" w:space="0" w:color="auto"/>
      </w:divBdr>
    </w:div>
    <w:div w:id="787967424">
      <w:bodyDiv w:val="1"/>
      <w:marLeft w:val="0"/>
      <w:marRight w:val="0"/>
      <w:marTop w:val="0"/>
      <w:marBottom w:val="0"/>
      <w:divBdr>
        <w:top w:val="none" w:sz="0" w:space="0" w:color="auto"/>
        <w:left w:val="none" w:sz="0" w:space="0" w:color="auto"/>
        <w:bottom w:val="none" w:sz="0" w:space="0" w:color="auto"/>
        <w:right w:val="none" w:sz="0" w:space="0" w:color="auto"/>
      </w:divBdr>
    </w:div>
    <w:div w:id="789976029">
      <w:bodyDiv w:val="1"/>
      <w:marLeft w:val="0"/>
      <w:marRight w:val="0"/>
      <w:marTop w:val="0"/>
      <w:marBottom w:val="0"/>
      <w:divBdr>
        <w:top w:val="none" w:sz="0" w:space="0" w:color="auto"/>
        <w:left w:val="none" w:sz="0" w:space="0" w:color="auto"/>
        <w:bottom w:val="none" w:sz="0" w:space="0" w:color="auto"/>
        <w:right w:val="none" w:sz="0" w:space="0" w:color="auto"/>
      </w:divBdr>
    </w:div>
    <w:div w:id="790824248">
      <w:bodyDiv w:val="1"/>
      <w:marLeft w:val="0"/>
      <w:marRight w:val="0"/>
      <w:marTop w:val="0"/>
      <w:marBottom w:val="0"/>
      <w:divBdr>
        <w:top w:val="none" w:sz="0" w:space="0" w:color="auto"/>
        <w:left w:val="none" w:sz="0" w:space="0" w:color="auto"/>
        <w:bottom w:val="none" w:sz="0" w:space="0" w:color="auto"/>
        <w:right w:val="none" w:sz="0" w:space="0" w:color="auto"/>
      </w:divBdr>
    </w:div>
    <w:div w:id="791020828">
      <w:bodyDiv w:val="1"/>
      <w:marLeft w:val="0"/>
      <w:marRight w:val="0"/>
      <w:marTop w:val="0"/>
      <w:marBottom w:val="0"/>
      <w:divBdr>
        <w:top w:val="none" w:sz="0" w:space="0" w:color="auto"/>
        <w:left w:val="none" w:sz="0" w:space="0" w:color="auto"/>
        <w:bottom w:val="none" w:sz="0" w:space="0" w:color="auto"/>
        <w:right w:val="none" w:sz="0" w:space="0" w:color="auto"/>
      </w:divBdr>
    </w:div>
    <w:div w:id="791167297">
      <w:bodyDiv w:val="1"/>
      <w:marLeft w:val="0"/>
      <w:marRight w:val="0"/>
      <w:marTop w:val="0"/>
      <w:marBottom w:val="0"/>
      <w:divBdr>
        <w:top w:val="none" w:sz="0" w:space="0" w:color="auto"/>
        <w:left w:val="none" w:sz="0" w:space="0" w:color="auto"/>
        <w:bottom w:val="none" w:sz="0" w:space="0" w:color="auto"/>
        <w:right w:val="none" w:sz="0" w:space="0" w:color="auto"/>
      </w:divBdr>
    </w:div>
    <w:div w:id="791898871">
      <w:bodyDiv w:val="1"/>
      <w:marLeft w:val="0"/>
      <w:marRight w:val="0"/>
      <w:marTop w:val="0"/>
      <w:marBottom w:val="0"/>
      <w:divBdr>
        <w:top w:val="none" w:sz="0" w:space="0" w:color="auto"/>
        <w:left w:val="none" w:sz="0" w:space="0" w:color="auto"/>
        <w:bottom w:val="none" w:sz="0" w:space="0" w:color="auto"/>
        <w:right w:val="none" w:sz="0" w:space="0" w:color="auto"/>
      </w:divBdr>
    </w:div>
    <w:div w:id="792359252">
      <w:bodyDiv w:val="1"/>
      <w:marLeft w:val="0"/>
      <w:marRight w:val="0"/>
      <w:marTop w:val="0"/>
      <w:marBottom w:val="0"/>
      <w:divBdr>
        <w:top w:val="none" w:sz="0" w:space="0" w:color="auto"/>
        <w:left w:val="none" w:sz="0" w:space="0" w:color="auto"/>
        <w:bottom w:val="none" w:sz="0" w:space="0" w:color="auto"/>
        <w:right w:val="none" w:sz="0" w:space="0" w:color="auto"/>
      </w:divBdr>
    </w:div>
    <w:div w:id="794718183">
      <w:bodyDiv w:val="1"/>
      <w:marLeft w:val="0"/>
      <w:marRight w:val="0"/>
      <w:marTop w:val="0"/>
      <w:marBottom w:val="0"/>
      <w:divBdr>
        <w:top w:val="none" w:sz="0" w:space="0" w:color="auto"/>
        <w:left w:val="none" w:sz="0" w:space="0" w:color="auto"/>
        <w:bottom w:val="none" w:sz="0" w:space="0" w:color="auto"/>
        <w:right w:val="none" w:sz="0" w:space="0" w:color="auto"/>
      </w:divBdr>
    </w:div>
    <w:div w:id="794758151">
      <w:bodyDiv w:val="1"/>
      <w:marLeft w:val="0"/>
      <w:marRight w:val="0"/>
      <w:marTop w:val="0"/>
      <w:marBottom w:val="0"/>
      <w:divBdr>
        <w:top w:val="none" w:sz="0" w:space="0" w:color="auto"/>
        <w:left w:val="none" w:sz="0" w:space="0" w:color="auto"/>
        <w:bottom w:val="none" w:sz="0" w:space="0" w:color="auto"/>
        <w:right w:val="none" w:sz="0" w:space="0" w:color="auto"/>
      </w:divBdr>
    </w:div>
    <w:div w:id="795025113">
      <w:bodyDiv w:val="1"/>
      <w:marLeft w:val="0"/>
      <w:marRight w:val="0"/>
      <w:marTop w:val="0"/>
      <w:marBottom w:val="0"/>
      <w:divBdr>
        <w:top w:val="none" w:sz="0" w:space="0" w:color="auto"/>
        <w:left w:val="none" w:sz="0" w:space="0" w:color="auto"/>
        <w:bottom w:val="none" w:sz="0" w:space="0" w:color="auto"/>
        <w:right w:val="none" w:sz="0" w:space="0" w:color="auto"/>
      </w:divBdr>
    </w:div>
    <w:div w:id="796266059">
      <w:bodyDiv w:val="1"/>
      <w:marLeft w:val="0"/>
      <w:marRight w:val="0"/>
      <w:marTop w:val="0"/>
      <w:marBottom w:val="0"/>
      <w:divBdr>
        <w:top w:val="none" w:sz="0" w:space="0" w:color="auto"/>
        <w:left w:val="none" w:sz="0" w:space="0" w:color="auto"/>
        <w:bottom w:val="none" w:sz="0" w:space="0" w:color="auto"/>
        <w:right w:val="none" w:sz="0" w:space="0" w:color="auto"/>
      </w:divBdr>
    </w:div>
    <w:div w:id="796680629">
      <w:bodyDiv w:val="1"/>
      <w:marLeft w:val="0"/>
      <w:marRight w:val="0"/>
      <w:marTop w:val="0"/>
      <w:marBottom w:val="0"/>
      <w:divBdr>
        <w:top w:val="none" w:sz="0" w:space="0" w:color="auto"/>
        <w:left w:val="none" w:sz="0" w:space="0" w:color="auto"/>
        <w:bottom w:val="none" w:sz="0" w:space="0" w:color="auto"/>
        <w:right w:val="none" w:sz="0" w:space="0" w:color="auto"/>
      </w:divBdr>
    </w:div>
    <w:div w:id="798189302">
      <w:bodyDiv w:val="1"/>
      <w:marLeft w:val="0"/>
      <w:marRight w:val="0"/>
      <w:marTop w:val="0"/>
      <w:marBottom w:val="0"/>
      <w:divBdr>
        <w:top w:val="none" w:sz="0" w:space="0" w:color="auto"/>
        <w:left w:val="none" w:sz="0" w:space="0" w:color="auto"/>
        <w:bottom w:val="none" w:sz="0" w:space="0" w:color="auto"/>
        <w:right w:val="none" w:sz="0" w:space="0" w:color="auto"/>
      </w:divBdr>
    </w:div>
    <w:div w:id="798379717">
      <w:bodyDiv w:val="1"/>
      <w:marLeft w:val="0"/>
      <w:marRight w:val="0"/>
      <w:marTop w:val="0"/>
      <w:marBottom w:val="0"/>
      <w:divBdr>
        <w:top w:val="none" w:sz="0" w:space="0" w:color="auto"/>
        <w:left w:val="none" w:sz="0" w:space="0" w:color="auto"/>
        <w:bottom w:val="none" w:sz="0" w:space="0" w:color="auto"/>
        <w:right w:val="none" w:sz="0" w:space="0" w:color="auto"/>
      </w:divBdr>
    </w:div>
    <w:div w:id="800223329">
      <w:bodyDiv w:val="1"/>
      <w:marLeft w:val="0"/>
      <w:marRight w:val="0"/>
      <w:marTop w:val="0"/>
      <w:marBottom w:val="0"/>
      <w:divBdr>
        <w:top w:val="none" w:sz="0" w:space="0" w:color="auto"/>
        <w:left w:val="none" w:sz="0" w:space="0" w:color="auto"/>
        <w:bottom w:val="none" w:sz="0" w:space="0" w:color="auto"/>
        <w:right w:val="none" w:sz="0" w:space="0" w:color="auto"/>
      </w:divBdr>
    </w:div>
    <w:div w:id="801466387">
      <w:bodyDiv w:val="1"/>
      <w:marLeft w:val="0"/>
      <w:marRight w:val="0"/>
      <w:marTop w:val="0"/>
      <w:marBottom w:val="0"/>
      <w:divBdr>
        <w:top w:val="none" w:sz="0" w:space="0" w:color="auto"/>
        <w:left w:val="none" w:sz="0" w:space="0" w:color="auto"/>
        <w:bottom w:val="none" w:sz="0" w:space="0" w:color="auto"/>
        <w:right w:val="none" w:sz="0" w:space="0" w:color="auto"/>
      </w:divBdr>
    </w:div>
    <w:div w:id="804080632">
      <w:bodyDiv w:val="1"/>
      <w:marLeft w:val="0"/>
      <w:marRight w:val="0"/>
      <w:marTop w:val="0"/>
      <w:marBottom w:val="0"/>
      <w:divBdr>
        <w:top w:val="none" w:sz="0" w:space="0" w:color="auto"/>
        <w:left w:val="none" w:sz="0" w:space="0" w:color="auto"/>
        <w:bottom w:val="none" w:sz="0" w:space="0" w:color="auto"/>
        <w:right w:val="none" w:sz="0" w:space="0" w:color="auto"/>
      </w:divBdr>
    </w:div>
    <w:div w:id="804354308">
      <w:bodyDiv w:val="1"/>
      <w:marLeft w:val="0"/>
      <w:marRight w:val="0"/>
      <w:marTop w:val="0"/>
      <w:marBottom w:val="0"/>
      <w:divBdr>
        <w:top w:val="none" w:sz="0" w:space="0" w:color="auto"/>
        <w:left w:val="none" w:sz="0" w:space="0" w:color="auto"/>
        <w:bottom w:val="none" w:sz="0" w:space="0" w:color="auto"/>
        <w:right w:val="none" w:sz="0" w:space="0" w:color="auto"/>
      </w:divBdr>
    </w:div>
    <w:div w:id="805706819">
      <w:bodyDiv w:val="1"/>
      <w:marLeft w:val="0"/>
      <w:marRight w:val="0"/>
      <w:marTop w:val="0"/>
      <w:marBottom w:val="0"/>
      <w:divBdr>
        <w:top w:val="none" w:sz="0" w:space="0" w:color="auto"/>
        <w:left w:val="none" w:sz="0" w:space="0" w:color="auto"/>
        <w:bottom w:val="none" w:sz="0" w:space="0" w:color="auto"/>
        <w:right w:val="none" w:sz="0" w:space="0" w:color="auto"/>
      </w:divBdr>
    </w:div>
    <w:div w:id="806777324">
      <w:bodyDiv w:val="1"/>
      <w:marLeft w:val="0"/>
      <w:marRight w:val="0"/>
      <w:marTop w:val="0"/>
      <w:marBottom w:val="0"/>
      <w:divBdr>
        <w:top w:val="none" w:sz="0" w:space="0" w:color="auto"/>
        <w:left w:val="none" w:sz="0" w:space="0" w:color="auto"/>
        <w:bottom w:val="none" w:sz="0" w:space="0" w:color="auto"/>
        <w:right w:val="none" w:sz="0" w:space="0" w:color="auto"/>
      </w:divBdr>
    </w:div>
    <w:div w:id="808327070">
      <w:bodyDiv w:val="1"/>
      <w:marLeft w:val="0"/>
      <w:marRight w:val="0"/>
      <w:marTop w:val="0"/>
      <w:marBottom w:val="0"/>
      <w:divBdr>
        <w:top w:val="none" w:sz="0" w:space="0" w:color="auto"/>
        <w:left w:val="none" w:sz="0" w:space="0" w:color="auto"/>
        <w:bottom w:val="none" w:sz="0" w:space="0" w:color="auto"/>
        <w:right w:val="none" w:sz="0" w:space="0" w:color="auto"/>
      </w:divBdr>
    </w:div>
    <w:div w:id="809521500">
      <w:bodyDiv w:val="1"/>
      <w:marLeft w:val="0"/>
      <w:marRight w:val="0"/>
      <w:marTop w:val="0"/>
      <w:marBottom w:val="0"/>
      <w:divBdr>
        <w:top w:val="none" w:sz="0" w:space="0" w:color="auto"/>
        <w:left w:val="none" w:sz="0" w:space="0" w:color="auto"/>
        <w:bottom w:val="none" w:sz="0" w:space="0" w:color="auto"/>
        <w:right w:val="none" w:sz="0" w:space="0" w:color="auto"/>
      </w:divBdr>
    </w:div>
    <w:div w:id="809707146">
      <w:bodyDiv w:val="1"/>
      <w:marLeft w:val="0"/>
      <w:marRight w:val="0"/>
      <w:marTop w:val="0"/>
      <w:marBottom w:val="0"/>
      <w:divBdr>
        <w:top w:val="none" w:sz="0" w:space="0" w:color="auto"/>
        <w:left w:val="none" w:sz="0" w:space="0" w:color="auto"/>
        <w:bottom w:val="none" w:sz="0" w:space="0" w:color="auto"/>
        <w:right w:val="none" w:sz="0" w:space="0" w:color="auto"/>
      </w:divBdr>
    </w:div>
    <w:div w:id="809901527">
      <w:bodyDiv w:val="1"/>
      <w:marLeft w:val="0"/>
      <w:marRight w:val="0"/>
      <w:marTop w:val="0"/>
      <w:marBottom w:val="0"/>
      <w:divBdr>
        <w:top w:val="none" w:sz="0" w:space="0" w:color="auto"/>
        <w:left w:val="none" w:sz="0" w:space="0" w:color="auto"/>
        <w:bottom w:val="none" w:sz="0" w:space="0" w:color="auto"/>
        <w:right w:val="none" w:sz="0" w:space="0" w:color="auto"/>
      </w:divBdr>
    </w:div>
    <w:div w:id="810365023">
      <w:bodyDiv w:val="1"/>
      <w:marLeft w:val="0"/>
      <w:marRight w:val="0"/>
      <w:marTop w:val="0"/>
      <w:marBottom w:val="0"/>
      <w:divBdr>
        <w:top w:val="none" w:sz="0" w:space="0" w:color="auto"/>
        <w:left w:val="none" w:sz="0" w:space="0" w:color="auto"/>
        <w:bottom w:val="none" w:sz="0" w:space="0" w:color="auto"/>
        <w:right w:val="none" w:sz="0" w:space="0" w:color="auto"/>
      </w:divBdr>
    </w:div>
    <w:div w:id="811020433">
      <w:bodyDiv w:val="1"/>
      <w:marLeft w:val="0"/>
      <w:marRight w:val="0"/>
      <w:marTop w:val="0"/>
      <w:marBottom w:val="0"/>
      <w:divBdr>
        <w:top w:val="none" w:sz="0" w:space="0" w:color="auto"/>
        <w:left w:val="none" w:sz="0" w:space="0" w:color="auto"/>
        <w:bottom w:val="none" w:sz="0" w:space="0" w:color="auto"/>
        <w:right w:val="none" w:sz="0" w:space="0" w:color="auto"/>
      </w:divBdr>
    </w:div>
    <w:div w:id="814026975">
      <w:bodyDiv w:val="1"/>
      <w:marLeft w:val="0"/>
      <w:marRight w:val="0"/>
      <w:marTop w:val="0"/>
      <w:marBottom w:val="0"/>
      <w:divBdr>
        <w:top w:val="none" w:sz="0" w:space="0" w:color="auto"/>
        <w:left w:val="none" w:sz="0" w:space="0" w:color="auto"/>
        <w:bottom w:val="none" w:sz="0" w:space="0" w:color="auto"/>
        <w:right w:val="none" w:sz="0" w:space="0" w:color="auto"/>
      </w:divBdr>
    </w:div>
    <w:div w:id="815299101">
      <w:bodyDiv w:val="1"/>
      <w:marLeft w:val="0"/>
      <w:marRight w:val="0"/>
      <w:marTop w:val="0"/>
      <w:marBottom w:val="0"/>
      <w:divBdr>
        <w:top w:val="none" w:sz="0" w:space="0" w:color="auto"/>
        <w:left w:val="none" w:sz="0" w:space="0" w:color="auto"/>
        <w:bottom w:val="none" w:sz="0" w:space="0" w:color="auto"/>
        <w:right w:val="none" w:sz="0" w:space="0" w:color="auto"/>
      </w:divBdr>
    </w:div>
    <w:div w:id="816192404">
      <w:bodyDiv w:val="1"/>
      <w:marLeft w:val="0"/>
      <w:marRight w:val="0"/>
      <w:marTop w:val="0"/>
      <w:marBottom w:val="0"/>
      <w:divBdr>
        <w:top w:val="none" w:sz="0" w:space="0" w:color="auto"/>
        <w:left w:val="none" w:sz="0" w:space="0" w:color="auto"/>
        <w:bottom w:val="none" w:sz="0" w:space="0" w:color="auto"/>
        <w:right w:val="none" w:sz="0" w:space="0" w:color="auto"/>
      </w:divBdr>
    </w:div>
    <w:div w:id="822739358">
      <w:bodyDiv w:val="1"/>
      <w:marLeft w:val="0"/>
      <w:marRight w:val="0"/>
      <w:marTop w:val="0"/>
      <w:marBottom w:val="0"/>
      <w:divBdr>
        <w:top w:val="none" w:sz="0" w:space="0" w:color="auto"/>
        <w:left w:val="none" w:sz="0" w:space="0" w:color="auto"/>
        <w:bottom w:val="none" w:sz="0" w:space="0" w:color="auto"/>
        <w:right w:val="none" w:sz="0" w:space="0" w:color="auto"/>
      </w:divBdr>
    </w:div>
    <w:div w:id="823400796">
      <w:bodyDiv w:val="1"/>
      <w:marLeft w:val="0"/>
      <w:marRight w:val="0"/>
      <w:marTop w:val="0"/>
      <w:marBottom w:val="0"/>
      <w:divBdr>
        <w:top w:val="none" w:sz="0" w:space="0" w:color="auto"/>
        <w:left w:val="none" w:sz="0" w:space="0" w:color="auto"/>
        <w:bottom w:val="none" w:sz="0" w:space="0" w:color="auto"/>
        <w:right w:val="none" w:sz="0" w:space="0" w:color="auto"/>
      </w:divBdr>
    </w:div>
    <w:div w:id="823471894">
      <w:bodyDiv w:val="1"/>
      <w:marLeft w:val="0"/>
      <w:marRight w:val="0"/>
      <w:marTop w:val="0"/>
      <w:marBottom w:val="0"/>
      <w:divBdr>
        <w:top w:val="none" w:sz="0" w:space="0" w:color="auto"/>
        <w:left w:val="none" w:sz="0" w:space="0" w:color="auto"/>
        <w:bottom w:val="none" w:sz="0" w:space="0" w:color="auto"/>
        <w:right w:val="none" w:sz="0" w:space="0" w:color="auto"/>
      </w:divBdr>
    </w:div>
    <w:div w:id="823543625">
      <w:bodyDiv w:val="1"/>
      <w:marLeft w:val="0"/>
      <w:marRight w:val="0"/>
      <w:marTop w:val="0"/>
      <w:marBottom w:val="0"/>
      <w:divBdr>
        <w:top w:val="none" w:sz="0" w:space="0" w:color="auto"/>
        <w:left w:val="none" w:sz="0" w:space="0" w:color="auto"/>
        <w:bottom w:val="none" w:sz="0" w:space="0" w:color="auto"/>
        <w:right w:val="none" w:sz="0" w:space="0" w:color="auto"/>
      </w:divBdr>
    </w:div>
    <w:div w:id="824204657">
      <w:bodyDiv w:val="1"/>
      <w:marLeft w:val="0"/>
      <w:marRight w:val="0"/>
      <w:marTop w:val="0"/>
      <w:marBottom w:val="0"/>
      <w:divBdr>
        <w:top w:val="none" w:sz="0" w:space="0" w:color="auto"/>
        <w:left w:val="none" w:sz="0" w:space="0" w:color="auto"/>
        <w:bottom w:val="none" w:sz="0" w:space="0" w:color="auto"/>
        <w:right w:val="none" w:sz="0" w:space="0" w:color="auto"/>
      </w:divBdr>
    </w:div>
    <w:div w:id="827482158">
      <w:bodyDiv w:val="1"/>
      <w:marLeft w:val="0"/>
      <w:marRight w:val="0"/>
      <w:marTop w:val="0"/>
      <w:marBottom w:val="0"/>
      <w:divBdr>
        <w:top w:val="none" w:sz="0" w:space="0" w:color="auto"/>
        <w:left w:val="none" w:sz="0" w:space="0" w:color="auto"/>
        <w:bottom w:val="none" w:sz="0" w:space="0" w:color="auto"/>
        <w:right w:val="none" w:sz="0" w:space="0" w:color="auto"/>
      </w:divBdr>
    </w:div>
    <w:div w:id="830103343">
      <w:bodyDiv w:val="1"/>
      <w:marLeft w:val="0"/>
      <w:marRight w:val="0"/>
      <w:marTop w:val="0"/>
      <w:marBottom w:val="0"/>
      <w:divBdr>
        <w:top w:val="none" w:sz="0" w:space="0" w:color="auto"/>
        <w:left w:val="none" w:sz="0" w:space="0" w:color="auto"/>
        <w:bottom w:val="none" w:sz="0" w:space="0" w:color="auto"/>
        <w:right w:val="none" w:sz="0" w:space="0" w:color="auto"/>
      </w:divBdr>
    </w:div>
    <w:div w:id="832260766">
      <w:bodyDiv w:val="1"/>
      <w:marLeft w:val="0"/>
      <w:marRight w:val="0"/>
      <w:marTop w:val="0"/>
      <w:marBottom w:val="0"/>
      <w:divBdr>
        <w:top w:val="none" w:sz="0" w:space="0" w:color="auto"/>
        <w:left w:val="none" w:sz="0" w:space="0" w:color="auto"/>
        <w:bottom w:val="none" w:sz="0" w:space="0" w:color="auto"/>
        <w:right w:val="none" w:sz="0" w:space="0" w:color="auto"/>
      </w:divBdr>
    </w:div>
    <w:div w:id="832331922">
      <w:bodyDiv w:val="1"/>
      <w:marLeft w:val="0"/>
      <w:marRight w:val="0"/>
      <w:marTop w:val="0"/>
      <w:marBottom w:val="0"/>
      <w:divBdr>
        <w:top w:val="none" w:sz="0" w:space="0" w:color="auto"/>
        <w:left w:val="none" w:sz="0" w:space="0" w:color="auto"/>
        <w:bottom w:val="none" w:sz="0" w:space="0" w:color="auto"/>
        <w:right w:val="none" w:sz="0" w:space="0" w:color="auto"/>
      </w:divBdr>
    </w:div>
    <w:div w:id="834035133">
      <w:bodyDiv w:val="1"/>
      <w:marLeft w:val="0"/>
      <w:marRight w:val="0"/>
      <w:marTop w:val="0"/>
      <w:marBottom w:val="0"/>
      <w:divBdr>
        <w:top w:val="none" w:sz="0" w:space="0" w:color="auto"/>
        <w:left w:val="none" w:sz="0" w:space="0" w:color="auto"/>
        <w:bottom w:val="none" w:sz="0" w:space="0" w:color="auto"/>
        <w:right w:val="none" w:sz="0" w:space="0" w:color="auto"/>
      </w:divBdr>
    </w:div>
    <w:div w:id="834876819">
      <w:bodyDiv w:val="1"/>
      <w:marLeft w:val="0"/>
      <w:marRight w:val="0"/>
      <w:marTop w:val="0"/>
      <w:marBottom w:val="0"/>
      <w:divBdr>
        <w:top w:val="none" w:sz="0" w:space="0" w:color="auto"/>
        <w:left w:val="none" w:sz="0" w:space="0" w:color="auto"/>
        <w:bottom w:val="none" w:sz="0" w:space="0" w:color="auto"/>
        <w:right w:val="none" w:sz="0" w:space="0" w:color="auto"/>
      </w:divBdr>
    </w:div>
    <w:div w:id="835270736">
      <w:bodyDiv w:val="1"/>
      <w:marLeft w:val="0"/>
      <w:marRight w:val="0"/>
      <w:marTop w:val="0"/>
      <w:marBottom w:val="0"/>
      <w:divBdr>
        <w:top w:val="none" w:sz="0" w:space="0" w:color="auto"/>
        <w:left w:val="none" w:sz="0" w:space="0" w:color="auto"/>
        <w:bottom w:val="none" w:sz="0" w:space="0" w:color="auto"/>
        <w:right w:val="none" w:sz="0" w:space="0" w:color="auto"/>
      </w:divBdr>
    </w:div>
    <w:div w:id="836578573">
      <w:bodyDiv w:val="1"/>
      <w:marLeft w:val="0"/>
      <w:marRight w:val="0"/>
      <w:marTop w:val="0"/>
      <w:marBottom w:val="0"/>
      <w:divBdr>
        <w:top w:val="none" w:sz="0" w:space="0" w:color="auto"/>
        <w:left w:val="none" w:sz="0" w:space="0" w:color="auto"/>
        <w:bottom w:val="none" w:sz="0" w:space="0" w:color="auto"/>
        <w:right w:val="none" w:sz="0" w:space="0" w:color="auto"/>
      </w:divBdr>
    </w:div>
    <w:div w:id="836916763">
      <w:bodyDiv w:val="1"/>
      <w:marLeft w:val="0"/>
      <w:marRight w:val="0"/>
      <w:marTop w:val="0"/>
      <w:marBottom w:val="0"/>
      <w:divBdr>
        <w:top w:val="none" w:sz="0" w:space="0" w:color="auto"/>
        <w:left w:val="none" w:sz="0" w:space="0" w:color="auto"/>
        <w:bottom w:val="none" w:sz="0" w:space="0" w:color="auto"/>
        <w:right w:val="none" w:sz="0" w:space="0" w:color="auto"/>
      </w:divBdr>
    </w:div>
    <w:div w:id="836921395">
      <w:bodyDiv w:val="1"/>
      <w:marLeft w:val="0"/>
      <w:marRight w:val="0"/>
      <w:marTop w:val="0"/>
      <w:marBottom w:val="0"/>
      <w:divBdr>
        <w:top w:val="none" w:sz="0" w:space="0" w:color="auto"/>
        <w:left w:val="none" w:sz="0" w:space="0" w:color="auto"/>
        <w:bottom w:val="none" w:sz="0" w:space="0" w:color="auto"/>
        <w:right w:val="none" w:sz="0" w:space="0" w:color="auto"/>
      </w:divBdr>
    </w:div>
    <w:div w:id="837307775">
      <w:bodyDiv w:val="1"/>
      <w:marLeft w:val="0"/>
      <w:marRight w:val="0"/>
      <w:marTop w:val="0"/>
      <w:marBottom w:val="0"/>
      <w:divBdr>
        <w:top w:val="none" w:sz="0" w:space="0" w:color="auto"/>
        <w:left w:val="none" w:sz="0" w:space="0" w:color="auto"/>
        <w:bottom w:val="none" w:sz="0" w:space="0" w:color="auto"/>
        <w:right w:val="none" w:sz="0" w:space="0" w:color="auto"/>
      </w:divBdr>
    </w:div>
    <w:div w:id="839465770">
      <w:bodyDiv w:val="1"/>
      <w:marLeft w:val="0"/>
      <w:marRight w:val="0"/>
      <w:marTop w:val="0"/>
      <w:marBottom w:val="0"/>
      <w:divBdr>
        <w:top w:val="none" w:sz="0" w:space="0" w:color="auto"/>
        <w:left w:val="none" w:sz="0" w:space="0" w:color="auto"/>
        <w:bottom w:val="none" w:sz="0" w:space="0" w:color="auto"/>
        <w:right w:val="none" w:sz="0" w:space="0" w:color="auto"/>
      </w:divBdr>
    </w:div>
    <w:div w:id="839739149">
      <w:bodyDiv w:val="1"/>
      <w:marLeft w:val="0"/>
      <w:marRight w:val="0"/>
      <w:marTop w:val="0"/>
      <w:marBottom w:val="0"/>
      <w:divBdr>
        <w:top w:val="none" w:sz="0" w:space="0" w:color="auto"/>
        <w:left w:val="none" w:sz="0" w:space="0" w:color="auto"/>
        <w:bottom w:val="none" w:sz="0" w:space="0" w:color="auto"/>
        <w:right w:val="none" w:sz="0" w:space="0" w:color="auto"/>
      </w:divBdr>
    </w:div>
    <w:div w:id="841624077">
      <w:bodyDiv w:val="1"/>
      <w:marLeft w:val="0"/>
      <w:marRight w:val="0"/>
      <w:marTop w:val="0"/>
      <w:marBottom w:val="0"/>
      <w:divBdr>
        <w:top w:val="none" w:sz="0" w:space="0" w:color="auto"/>
        <w:left w:val="none" w:sz="0" w:space="0" w:color="auto"/>
        <w:bottom w:val="none" w:sz="0" w:space="0" w:color="auto"/>
        <w:right w:val="none" w:sz="0" w:space="0" w:color="auto"/>
      </w:divBdr>
    </w:div>
    <w:div w:id="843127771">
      <w:bodyDiv w:val="1"/>
      <w:marLeft w:val="0"/>
      <w:marRight w:val="0"/>
      <w:marTop w:val="0"/>
      <w:marBottom w:val="0"/>
      <w:divBdr>
        <w:top w:val="none" w:sz="0" w:space="0" w:color="auto"/>
        <w:left w:val="none" w:sz="0" w:space="0" w:color="auto"/>
        <w:bottom w:val="none" w:sz="0" w:space="0" w:color="auto"/>
        <w:right w:val="none" w:sz="0" w:space="0" w:color="auto"/>
      </w:divBdr>
    </w:div>
    <w:div w:id="843591224">
      <w:bodyDiv w:val="1"/>
      <w:marLeft w:val="0"/>
      <w:marRight w:val="0"/>
      <w:marTop w:val="0"/>
      <w:marBottom w:val="0"/>
      <w:divBdr>
        <w:top w:val="none" w:sz="0" w:space="0" w:color="auto"/>
        <w:left w:val="none" w:sz="0" w:space="0" w:color="auto"/>
        <w:bottom w:val="none" w:sz="0" w:space="0" w:color="auto"/>
        <w:right w:val="none" w:sz="0" w:space="0" w:color="auto"/>
      </w:divBdr>
    </w:div>
    <w:div w:id="843669514">
      <w:bodyDiv w:val="1"/>
      <w:marLeft w:val="0"/>
      <w:marRight w:val="0"/>
      <w:marTop w:val="0"/>
      <w:marBottom w:val="0"/>
      <w:divBdr>
        <w:top w:val="none" w:sz="0" w:space="0" w:color="auto"/>
        <w:left w:val="none" w:sz="0" w:space="0" w:color="auto"/>
        <w:bottom w:val="none" w:sz="0" w:space="0" w:color="auto"/>
        <w:right w:val="none" w:sz="0" w:space="0" w:color="auto"/>
      </w:divBdr>
    </w:div>
    <w:div w:id="844707350">
      <w:bodyDiv w:val="1"/>
      <w:marLeft w:val="0"/>
      <w:marRight w:val="0"/>
      <w:marTop w:val="0"/>
      <w:marBottom w:val="0"/>
      <w:divBdr>
        <w:top w:val="none" w:sz="0" w:space="0" w:color="auto"/>
        <w:left w:val="none" w:sz="0" w:space="0" w:color="auto"/>
        <w:bottom w:val="none" w:sz="0" w:space="0" w:color="auto"/>
        <w:right w:val="none" w:sz="0" w:space="0" w:color="auto"/>
      </w:divBdr>
    </w:div>
    <w:div w:id="847058985">
      <w:bodyDiv w:val="1"/>
      <w:marLeft w:val="0"/>
      <w:marRight w:val="0"/>
      <w:marTop w:val="0"/>
      <w:marBottom w:val="0"/>
      <w:divBdr>
        <w:top w:val="none" w:sz="0" w:space="0" w:color="auto"/>
        <w:left w:val="none" w:sz="0" w:space="0" w:color="auto"/>
        <w:bottom w:val="none" w:sz="0" w:space="0" w:color="auto"/>
        <w:right w:val="none" w:sz="0" w:space="0" w:color="auto"/>
      </w:divBdr>
    </w:div>
    <w:div w:id="850801116">
      <w:bodyDiv w:val="1"/>
      <w:marLeft w:val="0"/>
      <w:marRight w:val="0"/>
      <w:marTop w:val="0"/>
      <w:marBottom w:val="0"/>
      <w:divBdr>
        <w:top w:val="none" w:sz="0" w:space="0" w:color="auto"/>
        <w:left w:val="none" w:sz="0" w:space="0" w:color="auto"/>
        <w:bottom w:val="none" w:sz="0" w:space="0" w:color="auto"/>
        <w:right w:val="none" w:sz="0" w:space="0" w:color="auto"/>
      </w:divBdr>
    </w:div>
    <w:div w:id="851068049">
      <w:bodyDiv w:val="1"/>
      <w:marLeft w:val="0"/>
      <w:marRight w:val="0"/>
      <w:marTop w:val="0"/>
      <w:marBottom w:val="0"/>
      <w:divBdr>
        <w:top w:val="none" w:sz="0" w:space="0" w:color="auto"/>
        <w:left w:val="none" w:sz="0" w:space="0" w:color="auto"/>
        <w:bottom w:val="none" w:sz="0" w:space="0" w:color="auto"/>
        <w:right w:val="none" w:sz="0" w:space="0" w:color="auto"/>
      </w:divBdr>
    </w:div>
    <w:div w:id="851460020">
      <w:bodyDiv w:val="1"/>
      <w:marLeft w:val="0"/>
      <w:marRight w:val="0"/>
      <w:marTop w:val="0"/>
      <w:marBottom w:val="0"/>
      <w:divBdr>
        <w:top w:val="none" w:sz="0" w:space="0" w:color="auto"/>
        <w:left w:val="none" w:sz="0" w:space="0" w:color="auto"/>
        <w:bottom w:val="none" w:sz="0" w:space="0" w:color="auto"/>
        <w:right w:val="none" w:sz="0" w:space="0" w:color="auto"/>
      </w:divBdr>
    </w:div>
    <w:div w:id="851993780">
      <w:bodyDiv w:val="1"/>
      <w:marLeft w:val="0"/>
      <w:marRight w:val="0"/>
      <w:marTop w:val="0"/>
      <w:marBottom w:val="0"/>
      <w:divBdr>
        <w:top w:val="none" w:sz="0" w:space="0" w:color="auto"/>
        <w:left w:val="none" w:sz="0" w:space="0" w:color="auto"/>
        <w:bottom w:val="none" w:sz="0" w:space="0" w:color="auto"/>
        <w:right w:val="none" w:sz="0" w:space="0" w:color="auto"/>
      </w:divBdr>
    </w:div>
    <w:div w:id="854080971">
      <w:bodyDiv w:val="1"/>
      <w:marLeft w:val="0"/>
      <w:marRight w:val="0"/>
      <w:marTop w:val="0"/>
      <w:marBottom w:val="0"/>
      <w:divBdr>
        <w:top w:val="none" w:sz="0" w:space="0" w:color="auto"/>
        <w:left w:val="none" w:sz="0" w:space="0" w:color="auto"/>
        <w:bottom w:val="none" w:sz="0" w:space="0" w:color="auto"/>
        <w:right w:val="none" w:sz="0" w:space="0" w:color="auto"/>
      </w:divBdr>
    </w:div>
    <w:div w:id="854536763">
      <w:bodyDiv w:val="1"/>
      <w:marLeft w:val="0"/>
      <w:marRight w:val="0"/>
      <w:marTop w:val="0"/>
      <w:marBottom w:val="0"/>
      <w:divBdr>
        <w:top w:val="none" w:sz="0" w:space="0" w:color="auto"/>
        <w:left w:val="none" w:sz="0" w:space="0" w:color="auto"/>
        <w:bottom w:val="none" w:sz="0" w:space="0" w:color="auto"/>
        <w:right w:val="none" w:sz="0" w:space="0" w:color="auto"/>
      </w:divBdr>
    </w:div>
    <w:div w:id="855844058">
      <w:bodyDiv w:val="1"/>
      <w:marLeft w:val="0"/>
      <w:marRight w:val="0"/>
      <w:marTop w:val="0"/>
      <w:marBottom w:val="0"/>
      <w:divBdr>
        <w:top w:val="none" w:sz="0" w:space="0" w:color="auto"/>
        <w:left w:val="none" w:sz="0" w:space="0" w:color="auto"/>
        <w:bottom w:val="none" w:sz="0" w:space="0" w:color="auto"/>
        <w:right w:val="none" w:sz="0" w:space="0" w:color="auto"/>
      </w:divBdr>
    </w:div>
    <w:div w:id="856381682">
      <w:bodyDiv w:val="1"/>
      <w:marLeft w:val="0"/>
      <w:marRight w:val="0"/>
      <w:marTop w:val="0"/>
      <w:marBottom w:val="0"/>
      <w:divBdr>
        <w:top w:val="none" w:sz="0" w:space="0" w:color="auto"/>
        <w:left w:val="none" w:sz="0" w:space="0" w:color="auto"/>
        <w:bottom w:val="none" w:sz="0" w:space="0" w:color="auto"/>
        <w:right w:val="none" w:sz="0" w:space="0" w:color="auto"/>
      </w:divBdr>
    </w:div>
    <w:div w:id="857276471">
      <w:bodyDiv w:val="1"/>
      <w:marLeft w:val="0"/>
      <w:marRight w:val="0"/>
      <w:marTop w:val="0"/>
      <w:marBottom w:val="0"/>
      <w:divBdr>
        <w:top w:val="none" w:sz="0" w:space="0" w:color="auto"/>
        <w:left w:val="none" w:sz="0" w:space="0" w:color="auto"/>
        <w:bottom w:val="none" w:sz="0" w:space="0" w:color="auto"/>
        <w:right w:val="none" w:sz="0" w:space="0" w:color="auto"/>
      </w:divBdr>
    </w:div>
    <w:div w:id="859782449">
      <w:bodyDiv w:val="1"/>
      <w:marLeft w:val="0"/>
      <w:marRight w:val="0"/>
      <w:marTop w:val="0"/>
      <w:marBottom w:val="0"/>
      <w:divBdr>
        <w:top w:val="none" w:sz="0" w:space="0" w:color="auto"/>
        <w:left w:val="none" w:sz="0" w:space="0" w:color="auto"/>
        <w:bottom w:val="none" w:sz="0" w:space="0" w:color="auto"/>
        <w:right w:val="none" w:sz="0" w:space="0" w:color="auto"/>
      </w:divBdr>
    </w:div>
    <w:div w:id="859784938">
      <w:bodyDiv w:val="1"/>
      <w:marLeft w:val="0"/>
      <w:marRight w:val="0"/>
      <w:marTop w:val="0"/>
      <w:marBottom w:val="0"/>
      <w:divBdr>
        <w:top w:val="none" w:sz="0" w:space="0" w:color="auto"/>
        <w:left w:val="none" w:sz="0" w:space="0" w:color="auto"/>
        <w:bottom w:val="none" w:sz="0" w:space="0" w:color="auto"/>
        <w:right w:val="none" w:sz="0" w:space="0" w:color="auto"/>
      </w:divBdr>
    </w:div>
    <w:div w:id="860048860">
      <w:bodyDiv w:val="1"/>
      <w:marLeft w:val="0"/>
      <w:marRight w:val="0"/>
      <w:marTop w:val="0"/>
      <w:marBottom w:val="0"/>
      <w:divBdr>
        <w:top w:val="none" w:sz="0" w:space="0" w:color="auto"/>
        <w:left w:val="none" w:sz="0" w:space="0" w:color="auto"/>
        <w:bottom w:val="none" w:sz="0" w:space="0" w:color="auto"/>
        <w:right w:val="none" w:sz="0" w:space="0" w:color="auto"/>
      </w:divBdr>
    </w:div>
    <w:div w:id="861288223">
      <w:bodyDiv w:val="1"/>
      <w:marLeft w:val="0"/>
      <w:marRight w:val="0"/>
      <w:marTop w:val="0"/>
      <w:marBottom w:val="0"/>
      <w:divBdr>
        <w:top w:val="none" w:sz="0" w:space="0" w:color="auto"/>
        <w:left w:val="none" w:sz="0" w:space="0" w:color="auto"/>
        <w:bottom w:val="none" w:sz="0" w:space="0" w:color="auto"/>
        <w:right w:val="none" w:sz="0" w:space="0" w:color="auto"/>
      </w:divBdr>
    </w:div>
    <w:div w:id="862788581">
      <w:bodyDiv w:val="1"/>
      <w:marLeft w:val="0"/>
      <w:marRight w:val="0"/>
      <w:marTop w:val="0"/>
      <w:marBottom w:val="0"/>
      <w:divBdr>
        <w:top w:val="none" w:sz="0" w:space="0" w:color="auto"/>
        <w:left w:val="none" w:sz="0" w:space="0" w:color="auto"/>
        <w:bottom w:val="none" w:sz="0" w:space="0" w:color="auto"/>
        <w:right w:val="none" w:sz="0" w:space="0" w:color="auto"/>
      </w:divBdr>
    </w:div>
    <w:div w:id="864101671">
      <w:bodyDiv w:val="1"/>
      <w:marLeft w:val="0"/>
      <w:marRight w:val="0"/>
      <w:marTop w:val="0"/>
      <w:marBottom w:val="0"/>
      <w:divBdr>
        <w:top w:val="none" w:sz="0" w:space="0" w:color="auto"/>
        <w:left w:val="none" w:sz="0" w:space="0" w:color="auto"/>
        <w:bottom w:val="none" w:sz="0" w:space="0" w:color="auto"/>
        <w:right w:val="none" w:sz="0" w:space="0" w:color="auto"/>
      </w:divBdr>
    </w:div>
    <w:div w:id="864633292">
      <w:bodyDiv w:val="1"/>
      <w:marLeft w:val="0"/>
      <w:marRight w:val="0"/>
      <w:marTop w:val="0"/>
      <w:marBottom w:val="0"/>
      <w:divBdr>
        <w:top w:val="none" w:sz="0" w:space="0" w:color="auto"/>
        <w:left w:val="none" w:sz="0" w:space="0" w:color="auto"/>
        <w:bottom w:val="none" w:sz="0" w:space="0" w:color="auto"/>
        <w:right w:val="none" w:sz="0" w:space="0" w:color="auto"/>
      </w:divBdr>
    </w:div>
    <w:div w:id="865369855">
      <w:bodyDiv w:val="1"/>
      <w:marLeft w:val="0"/>
      <w:marRight w:val="0"/>
      <w:marTop w:val="0"/>
      <w:marBottom w:val="0"/>
      <w:divBdr>
        <w:top w:val="none" w:sz="0" w:space="0" w:color="auto"/>
        <w:left w:val="none" w:sz="0" w:space="0" w:color="auto"/>
        <w:bottom w:val="none" w:sz="0" w:space="0" w:color="auto"/>
        <w:right w:val="none" w:sz="0" w:space="0" w:color="auto"/>
      </w:divBdr>
    </w:div>
    <w:div w:id="865480543">
      <w:bodyDiv w:val="1"/>
      <w:marLeft w:val="0"/>
      <w:marRight w:val="0"/>
      <w:marTop w:val="0"/>
      <w:marBottom w:val="0"/>
      <w:divBdr>
        <w:top w:val="none" w:sz="0" w:space="0" w:color="auto"/>
        <w:left w:val="none" w:sz="0" w:space="0" w:color="auto"/>
        <w:bottom w:val="none" w:sz="0" w:space="0" w:color="auto"/>
        <w:right w:val="none" w:sz="0" w:space="0" w:color="auto"/>
      </w:divBdr>
    </w:div>
    <w:div w:id="865603549">
      <w:bodyDiv w:val="1"/>
      <w:marLeft w:val="0"/>
      <w:marRight w:val="0"/>
      <w:marTop w:val="0"/>
      <w:marBottom w:val="0"/>
      <w:divBdr>
        <w:top w:val="none" w:sz="0" w:space="0" w:color="auto"/>
        <w:left w:val="none" w:sz="0" w:space="0" w:color="auto"/>
        <w:bottom w:val="none" w:sz="0" w:space="0" w:color="auto"/>
        <w:right w:val="none" w:sz="0" w:space="0" w:color="auto"/>
      </w:divBdr>
    </w:div>
    <w:div w:id="866872950">
      <w:bodyDiv w:val="1"/>
      <w:marLeft w:val="0"/>
      <w:marRight w:val="0"/>
      <w:marTop w:val="0"/>
      <w:marBottom w:val="0"/>
      <w:divBdr>
        <w:top w:val="none" w:sz="0" w:space="0" w:color="auto"/>
        <w:left w:val="none" w:sz="0" w:space="0" w:color="auto"/>
        <w:bottom w:val="none" w:sz="0" w:space="0" w:color="auto"/>
        <w:right w:val="none" w:sz="0" w:space="0" w:color="auto"/>
      </w:divBdr>
    </w:div>
    <w:div w:id="870343907">
      <w:bodyDiv w:val="1"/>
      <w:marLeft w:val="0"/>
      <w:marRight w:val="0"/>
      <w:marTop w:val="0"/>
      <w:marBottom w:val="0"/>
      <w:divBdr>
        <w:top w:val="none" w:sz="0" w:space="0" w:color="auto"/>
        <w:left w:val="none" w:sz="0" w:space="0" w:color="auto"/>
        <w:bottom w:val="none" w:sz="0" w:space="0" w:color="auto"/>
        <w:right w:val="none" w:sz="0" w:space="0" w:color="auto"/>
      </w:divBdr>
    </w:div>
    <w:div w:id="872767632">
      <w:bodyDiv w:val="1"/>
      <w:marLeft w:val="0"/>
      <w:marRight w:val="0"/>
      <w:marTop w:val="0"/>
      <w:marBottom w:val="0"/>
      <w:divBdr>
        <w:top w:val="none" w:sz="0" w:space="0" w:color="auto"/>
        <w:left w:val="none" w:sz="0" w:space="0" w:color="auto"/>
        <w:bottom w:val="none" w:sz="0" w:space="0" w:color="auto"/>
        <w:right w:val="none" w:sz="0" w:space="0" w:color="auto"/>
      </w:divBdr>
    </w:div>
    <w:div w:id="874543169">
      <w:bodyDiv w:val="1"/>
      <w:marLeft w:val="0"/>
      <w:marRight w:val="0"/>
      <w:marTop w:val="0"/>
      <w:marBottom w:val="0"/>
      <w:divBdr>
        <w:top w:val="none" w:sz="0" w:space="0" w:color="auto"/>
        <w:left w:val="none" w:sz="0" w:space="0" w:color="auto"/>
        <w:bottom w:val="none" w:sz="0" w:space="0" w:color="auto"/>
        <w:right w:val="none" w:sz="0" w:space="0" w:color="auto"/>
      </w:divBdr>
    </w:div>
    <w:div w:id="874585108">
      <w:bodyDiv w:val="1"/>
      <w:marLeft w:val="0"/>
      <w:marRight w:val="0"/>
      <w:marTop w:val="0"/>
      <w:marBottom w:val="0"/>
      <w:divBdr>
        <w:top w:val="none" w:sz="0" w:space="0" w:color="auto"/>
        <w:left w:val="none" w:sz="0" w:space="0" w:color="auto"/>
        <w:bottom w:val="none" w:sz="0" w:space="0" w:color="auto"/>
        <w:right w:val="none" w:sz="0" w:space="0" w:color="auto"/>
      </w:divBdr>
    </w:div>
    <w:div w:id="876166955">
      <w:bodyDiv w:val="1"/>
      <w:marLeft w:val="0"/>
      <w:marRight w:val="0"/>
      <w:marTop w:val="0"/>
      <w:marBottom w:val="0"/>
      <w:divBdr>
        <w:top w:val="none" w:sz="0" w:space="0" w:color="auto"/>
        <w:left w:val="none" w:sz="0" w:space="0" w:color="auto"/>
        <w:bottom w:val="none" w:sz="0" w:space="0" w:color="auto"/>
        <w:right w:val="none" w:sz="0" w:space="0" w:color="auto"/>
      </w:divBdr>
    </w:div>
    <w:div w:id="876351324">
      <w:bodyDiv w:val="1"/>
      <w:marLeft w:val="0"/>
      <w:marRight w:val="0"/>
      <w:marTop w:val="0"/>
      <w:marBottom w:val="0"/>
      <w:divBdr>
        <w:top w:val="none" w:sz="0" w:space="0" w:color="auto"/>
        <w:left w:val="none" w:sz="0" w:space="0" w:color="auto"/>
        <w:bottom w:val="none" w:sz="0" w:space="0" w:color="auto"/>
        <w:right w:val="none" w:sz="0" w:space="0" w:color="auto"/>
      </w:divBdr>
    </w:div>
    <w:div w:id="876939868">
      <w:bodyDiv w:val="1"/>
      <w:marLeft w:val="0"/>
      <w:marRight w:val="0"/>
      <w:marTop w:val="0"/>
      <w:marBottom w:val="0"/>
      <w:divBdr>
        <w:top w:val="none" w:sz="0" w:space="0" w:color="auto"/>
        <w:left w:val="none" w:sz="0" w:space="0" w:color="auto"/>
        <w:bottom w:val="none" w:sz="0" w:space="0" w:color="auto"/>
        <w:right w:val="none" w:sz="0" w:space="0" w:color="auto"/>
      </w:divBdr>
    </w:div>
    <w:div w:id="878663729">
      <w:bodyDiv w:val="1"/>
      <w:marLeft w:val="0"/>
      <w:marRight w:val="0"/>
      <w:marTop w:val="0"/>
      <w:marBottom w:val="0"/>
      <w:divBdr>
        <w:top w:val="none" w:sz="0" w:space="0" w:color="auto"/>
        <w:left w:val="none" w:sz="0" w:space="0" w:color="auto"/>
        <w:bottom w:val="none" w:sz="0" w:space="0" w:color="auto"/>
        <w:right w:val="none" w:sz="0" w:space="0" w:color="auto"/>
      </w:divBdr>
    </w:div>
    <w:div w:id="879585727">
      <w:bodyDiv w:val="1"/>
      <w:marLeft w:val="0"/>
      <w:marRight w:val="0"/>
      <w:marTop w:val="0"/>
      <w:marBottom w:val="0"/>
      <w:divBdr>
        <w:top w:val="none" w:sz="0" w:space="0" w:color="auto"/>
        <w:left w:val="none" w:sz="0" w:space="0" w:color="auto"/>
        <w:bottom w:val="none" w:sz="0" w:space="0" w:color="auto"/>
        <w:right w:val="none" w:sz="0" w:space="0" w:color="auto"/>
      </w:divBdr>
    </w:div>
    <w:div w:id="879635185">
      <w:bodyDiv w:val="1"/>
      <w:marLeft w:val="0"/>
      <w:marRight w:val="0"/>
      <w:marTop w:val="0"/>
      <w:marBottom w:val="0"/>
      <w:divBdr>
        <w:top w:val="none" w:sz="0" w:space="0" w:color="auto"/>
        <w:left w:val="none" w:sz="0" w:space="0" w:color="auto"/>
        <w:bottom w:val="none" w:sz="0" w:space="0" w:color="auto"/>
        <w:right w:val="none" w:sz="0" w:space="0" w:color="auto"/>
      </w:divBdr>
    </w:div>
    <w:div w:id="883105546">
      <w:bodyDiv w:val="1"/>
      <w:marLeft w:val="0"/>
      <w:marRight w:val="0"/>
      <w:marTop w:val="0"/>
      <w:marBottom w:val="0"/>
      <w:divBdr>
        <w:top w:val="none" w:sz="0" w:space="0" w:color="auto"/>
        <w:left w:val="none" w:sz="0" w:space="0" w:color="auto"/>
        <w:bottom w:val="none" w:sz="0" w:space="0" w:color="auto"/>
        <w:right w:val="none" w:sz="0" w:space="0" w:color="auto"/>
      </w:divBdr>
    </w:div>
    <w:div w:id="884952809">
      <w:bodyDiv w:val="1"/>
      <w:marLeft w:val="0"/>
      <w:marRight w:val="0"/>
      <w:marTop w:val="0"/>
      <w:marBottom w:val="0"/>
      <w:divBdr>
        <w:top w:val="none" w:sz="0" w:space="0" w:color="auto"/>
        <w:left w:val="none" w:sz="0" w:space="0" w:color="auto"/>
        <w:bottom w:val="none" w:sz="0" w:space="0" w:color="auto"/>
        <w:right w:val="none" w:sz="0" w:space="0" w:color="auto"/>
      </w:divBdr>
    </w:div>
    <w:div w:id="886381273">
      <w:bodyDiv w:val="1"/>
      <w:marLeft w:val="0"/>
      <w:marRight w:val="0"/>
      <w:marTop w:val="0"/>
      <w:marBottom w:val="0"/>
      <w:divBdr>
        <w:top w:val="none" w:sz="0" w:space="0" w:color="auto"/>
        <w:left w:val="none" w:sz="0" w:space="0" w:color="auto"/>
        <w:bottom w:val="none" w:sz="0" w:space="0" w:color="auto"/>
        <w:right w:val="none" w:sz="0" w:space="0" w:color="auto"/>
      </w:divBdr>
    </w:div>
    <w:div w:id="892546252">
      <w:bodyDiv w:val="1"/>
      <w:marLeft w:val="0"/>
      <w:marRight w:val="0"/>
      <w:marTop w:val="0"/>
      <w:marBottom w:val="0"/>
      <w:divBdr>
        <w:top w:val="none" w:sz="0" w:space="0" w:color="auto"/>
        <w:left w:val="none" w:sz="0" w:space="0" w:color="auto"/>
        <w:bottom w:val="none" w:sz="0" w:space="0" w:color="auto"/>
        <w:right w:val="none" w:sz="0" w:space="0" w:color="auto"/>
      </w:divBdr>
    </w:div>
    <w:div w:id="894585617">
      <w:bodyDiv w:val="1"/>
      <w:marLeft w:val="0"/>
      <w:marRight w:val="0"/>
      <w:marTop w:val="0"/>
      <w:marBottom w:val="0"/>
      <w:divBdr>
        <w:top w:val="none" w:sz="0" w:space="0" w:color="auto"/>
        <w:left w:val="none" w:sz="0" w:space="0" w:color="auto"/>
        <w:bottom w:val="none" w:sz="0" w:space="0" w:color="auto"/>
        <w:right w:val="none" w:sz="0" w:space="0" w:color="auto"/>
      </w:divBdr>
    </w:div>
    <w:div w:id="897280881">
      <w:bodyDiv w:val="1"/>
      <w:marLeft w:val="0"/>
      <w:marRight w:val="0"/>
      <w:marTop w:val="0"/>
      <w:marBottom w:val="0"/>
      <w:divBdr>
        <w:top w:val="none" w:sz="0" w:space="0" w:color="auto"/>
        <w:left w:val="none" w:sz="0" w:space="0" w:color="auto"/>
        <w:bottom w:val="none" w:sz="0" w:space="0" w:color="auto"/>
        <w:right w:val="none" w:sz="0" w:space="0" w:color="auto"/>
      </w:divBdr>
    </w:div>
    <w:div w:id="897547011">
      <w:bodyDiv w:val="1"/>
      <w:marLeft w:val="0"/>
      <w:marRight w:val="0"/>
      <w:marTop w:val="0"/>
      <w:marBottom w:val="0"/>
      <w:divBdr>
        <w:top w:val="none" w:sz="0" w:space="0" w:color="auto"/>
        <w:left w:val="none" w:sz="0" w:space="0" w:color="auto"/>
        <w:bottom w:val="none" w:sz="0" w:space="0" w:color="auto"/>
        <w:right w:val="none" w:sz="0" w:space="0" w:color="auto"/>
      </w:divBdr>
    </w:div>
    <w:div w:id="898173754">
      <w:bodyDiv w:val="1"/>
      <w:marLeft w:val="0"/>
      <w:marRight w:val="0"/>
      <w:marTop w:val="0"/>
      <w:marBottom w:val="0"/>
      <w:divBdr>
        <w:top w:val="none" w:sz="0" w:space="0" w:color="auto"/>
        <w:left w:val="none" w:sz="0" w:space="0" w:color="auto"/>
        <w:bottom w:val="none" w:sz="0" w:space="0" w:color="auto"/>
        <w:right w:val="none" w:sz="0" w:space="0" w:color="auto"/>
      </w:divBdr>
    </w:div>
    <w:div w:id="899169214">
      <w:bodyDiv w:val="1"/>
      <w:marLeft w:val="0"/>
      <w:marRight w:val="0"/>
      <w:marTop w:val="0"/>
      <w:marBottom w:val="0"/>
      <w:divBdr>
        <w:top w:val="none" w:sz="0" w:space="0" w:color="auto"/>
        <w:left w:val="none" w:sz="0" w:space="0" w:color="auto"/>
        <w:bottom w:val="none" w:sz="0" w:space="0" w:color="auto"/>
        <w:right w:val="none" w:sz="0" w:space="0" w:color="auto"/>
      </w:divBdr>
    </w:div>
    <w:div w:id="899363562">
      <w:bodyDiv w:val="1"/>
      <w:marLeft w:val="0"/>
      <w:marRight w:val="0"/>
      <w:marTop w:val="0"/>
      <w:marBottom w:val="0"/>
      <w:divBdr>
        <w:top w:val="none" w:sz="0" w:space="0" w:color="auto"/>
        <w:left w:val="none" w:sz="0" w:space="0" w:color="auto"/>
        <w:bottom w:val="none" w:sz="0" w:space="0" w:color="auto"/>
        <w:right w:val="none" w:sz="0" w:space="0" w:color="auto"/>
      </w:divBdr>
    </w:div>
    <w:div w:id="900558693">
      <w:bodyDiv w:val="1"/>
      <w:marLeft w:val="0"/>
      <w:marRight w:val="0"/>
      <w:marTop w:val="0"/>
      <w:marBottom w:val="0"/>
      <w:divBdr>
        <w:top w:val="none" w:sz="0" w:space="0" w:color="auto"/>
        <w:left w:val="none" w:sz="0" w:space="0" w:color="auto"/>
        <w:bottom w:val="none" w:sz="0" w:space="0" w:color="auto"/>
        <w:right w:val="none" w:sz="0" w:space="0" w:color="auto"/>
      </w:divBdr>
    </w:div>
    <w:div w:id="903367825">
      <w:bodyDiv w:val="1"/>
      <w:marLeft w:val="0"/>
      <w:marRight w:val="0"/>
      <w:marTop w:val="0"/>
      <w:marBottom w:val="0"/>
      <w:divBdr>
        <w:top w:val="none" w:sz="0" w:space="0" w:color="auto"/>
        <w:left w:val="none" w:sz="0" w:space="0" w:color="auto"/>
        <w:bottom w:val="none" w:sz="0" w:space="0" w:color="auto"/>
        <w:right w:val="none" w:sz="0" w:space="0" w:color="auto"/>
      </w:divBdr>
    </w:div>
    <w:div w:id="903443756">
      <w:bodyDiv w:val="1"/>
      <w:marLeft w:val="0"/>
      <w:marRight w:val="0"/>
      <w:marTop w:val="0"/>
      <w:marBottom w:val="0"/>
      <w:divBdr>
        <w:top w:val="none" w:sz="0" w:space="0" w:color="auto"/>
        <w:left w:val="none" w:sz="0" w:space="0" w:color="auto"/>
        <w:bottom w:val="none" w:sz="0" w:space="0" w:color="auto"/>
        <w:right w:val="none" w:sz="0" w:space="0" w:color="auto"/>
      </w:divBdr>
    </w:div>
    <w:div w:id="903494120">
      <w:bodyDiv w:val="1"/>
      <w:marLeft w:val="0"/>
      <w:marRight w:val="0"/>
      <w:marTop w:val="0"/>
      <w:marBottom w:val="0"/>
      <w:divBdr>
        <w:top w:val="none" w:sz="0" w:space="0" w:color="auto"/>
        <w:left w:val="none" w:sz="0" w:space="0" w:color="auto"/>
        <w:bottom w:val="none" w:sz="0" w:space="0" w:color="auto"/>
        <w:right w:val="none" w:sz="0" w:space="0" w:color="auto"/>
      </w:divBdr>
    </w:div>
    <w:div w:id="909998593">
      <w:bodyDiv w:val="1"/>
      <w:marLeft w:val="0"/>
      <w:marRight w:val="0"/>
      <w:marTop w:val="0"/>
      <w:marBottom w:val="0"/>
      <w:divBdr>
        <w:top w:val="none" w:sz="0" w:space="0" w:color="auto"/>
        <w:left w:val="none" w:sz="0" w:space="0" w:color="auto"/>
        <w:bottom w:val="none" w:sz="0" w:space="0" w:color="auto"/>
        <w:right w:val="none" w:sz="0" w:space="0" w:color="auto"/>
      </w:divBdr>
    </w:div>
    <w:div w:id="920262394">
      <w:bodyDiv w:val="1"/>
      <w:marLeft w:val="0"/>
      <w:marRight w:val="0"/>
      <w:marTop w:val="0"/>
      <w:marBottom w:val="0"/>
      <w:divBdr>
        <w:top w:val="none" w:sz="0" w:space="0" w:color="auto"/>
        <w:left w:val="none" w:sz="0" w:space="0" w:color="auto"/>
        <w:bottom w:val="none" w:sz="0" w:space="0" w:color="auto"/>
        <w:right w:val="none" w:sz="0" w:space="0" w:color="auto"/>
      </w:divBdr>
    </w:div>
    <w:div w:id="921724288">
      <w:bodyDiv w:val="1"/>
      <w:marLeft w:val="0"/>
      <w:marRight w:val="0"/>
      <w:marTop w:val="0"/>
      <w:marBottom w:val="0"/>
      <w:divBdr>
        <w:top w:val="none" w:sz="0" w:space="0" w:color="auto"/>
        <w:left w:val="none" w:sz="0" w:space="0" w:color="auto"/>
        <w:bottom w:val="none" w:sz="0" w:space="0" w:color="auto"/>
        <w:right w:val="none" w:sz="0" w:space="0" w:color="auto"/>
      </w:divBdr>
    </w:div>
    <w:div w:id="924341834">
      <w:bodyDiv w:val="1"/>
      <w:marLeft w:val="0"/>
      <w:marRight w:val="0"/>
      <w:marTop w:val="0"/>
      <w:marBottom w:val="0"/>
      <w:divBdr>
        <w:top w:val="none" w:sz="0" w:space="0" w:color="auto"/>
        <w:left w:val="none" w:sz="0" w:space="0" w:color="auto"/>
        <w:bottom w:val="none" w:sz="0" w:space="0" w:color="auto"/>
        <w:right w:val="none" w:sz="0" w:space="0" w:color="auto"/>
      </w:divBdr>
    </w:div>
    <w:div w:id="924534620">
      <w:bodyDiv w:val="1"/>
      <w:marLeft w:val="0"/>
      <w:marRight w:val="0"/>
      <w:marTop w:val="0"/>
      <w:marBottom w:val="0"/>
      <w:divBdr>
        <w:top w:val="none" w:sz="0" w:space="0" w:color="auto"/>
        <w:left w:val="none" w:sz="0" w:space="0" w:color="auto"/>
        <w:bottom w:val="none" w:sz="0" w:space="0" w:color="auto"/>
        <w:right w:val="none" w:sz="0" w:space="0" w:color="auto"/>
      </w:divBdr>
    </w:div>
    <w:div w:id="926229937">
      <w:bodyDiv w:val="1"/>
      <w:marLeft w:val="0"/>
      <w:marRight w:val="0"/>
      <w:marTop w:val="0"/>
      <w:marBottom w:val="0"/>
      <w:divBdr>
        <w:top w:val="none" w:sz="0" w:space="0" w:color="auto"/>
        <w:left w:val="none" w:sz="0" w:space="0" w:color="auto"/>
        <w:bottom w:val="none" w:sz="0" w:space="0" w:color="auto"/>
        <w:right w:val="none" w:sz="0" w:space="0" w:color="auto"/>
      </w:divBdr>
    </w:div>
    <w:div w:id="929243437">
      <w:bodyDiv w:val="1"/>
      <w:marLeft w:val="0"/>
      <w:marRight w:val="0"/>
      <w:marTop w:val="0"/>
      <w:marBottom w:val="0"/>
      <w:divBdr>
        <w:top w:val="none" w:sz="0" w:space="0" w:color="auto"/>
        <w:left w:val="none" w:sz="0" w:space="0" w:color="auto"/>
        <w:bottom w:val="none" w:sz="0" w:space="0" w:color="auto"/>
        <w:right w:val="none" w:sz="0" w:space="0" w:color="auto"/>
      </w:divBdr>
    </w:div>
    <w:div w:id="931623565">
      <w:bodyDiv w:val="1"/>
      <w:marLeft w:val="0"/>
      <w:marRight w:val="0"/>
      <w:marTop w:val="0"/>
      <w:marBottom w:val="0"/>
      <w:divBdr>
        <w:top w:val="none" w:sz="0" w:space="0" w:color="auto"/>
        <w:left w:val="none" w:sz="0" w:space="0" w:color="auto"/>
        <w:bottom w:val="none" w:sz="0" w:space="0" w:color="auto"/>
        <w:right w:val="none" w:sz="0" w:space="0" w:color="auto"/>
      </w:divBdr>
    </w:div>
    <w:div w:id="935746116">
      <w:bodyDiv w:val="1"/>
      <w:marLeft w:val="0"/>
      <w:marRight w:val="0"/>
      <w:marTop w:val="0"/>
      <w:marBottom w:val="0"/>
      <w:divBdr>
        <w:top w:val="none" w:sz="0" w:space="0" w:color="auto"/>
        <w:left w:val="none" w:sz="0" w:space="0" w:color="auto"/>
        <w:bottom w:val="none" w:sz="0" w:space="0" w:color="auto"/>
        <w:right w:val="none" w:sz="0" w:space="0" w:color="auto"/>
      </w:divBdr>
    </w:div>
    <w:div w:id="936444920">
      <w:bodyDiv w:val="1"/>
      <w:marLeft w:val="0"/>
      <w:marRight w:val="0"/>
      <w:marTop w:val="0"/>
      <w:marBottom w:val="0"/>
      <w:divBdr>
        <w:top w:val="none" w:sz="0" w:space="0" w:color="auto"/>
        <w:left w:val="none" w:sz="0" w:space="0" w:color="auto"/>
        <w:bottom w:val="none" w:sz="0" w:space="0" w:color="auto"/>
        <w:right w:val="none" w:sz="0" w:space="0" w:color="auto"/>
      </w:divBdr>
    </w:div>
    <w:div w:id="937643484">
      <w:bodyDiv w:val="1"/>
      <w:marLeft w:val="0"/>
      <w:marRight w:val="0"/>
      <w:marTop w:val="0"/>
      <w:marBottom w:val="0"/>
      <w:divBdr>
        <w:top w:val="none" w:sz="0" w:space="0" w:color="auto"/>
        <w:left w:val="none" w:sz="0" w:space="0" w:color="auto"/>
        <w:bottom w:val="none" w:sz="0" w:space="0" w:color="auto"/>
        <w:right w:val="none" w:sz="0" w:space="0" w:color="auto"/>
      </w:divBdr>
    </w:div>
    <w:div w:id="938682075">
      <w:bodyDiv w:val="1"/>
      <w:marLeft w:val="0"/>
      <w:marRight w:val="0"/>
      <w:marTop w:val="0"/>
      <w:marBottom w:val="0"/>
      <w:divBdr>
        <w:top w:val="none" w:sz="0" w:space="0" w:color="auto"/>
        <w:left w:val="none" w:sz="0" w:space="0" w:color="auto"/>
        <w:bottom w:val="none" w:sz="0" w:space="0" w:color="auto"/>
        <w:right w:val="none" w:sz="0" w:space="0" w:color="auto"/>
      </w:divBdr>
    </w:div>
    <w:div w:id="938830136">
      <w:bodyDiv w:val="1"/>
      <w:marLeft w:val="0"/>
      <w:marRight w:val="0"/>
      <w:marTop w:val="0"/>
      <w:marBottom w:val="0"/>
      <w:divBdr>
        <w:top w:val="none" w:sz="0" w:space="0" w:color="auto"/>
        <w:left w:val="none" w:sz="0" w:space="0" w:color="auto"/>
        <w:bottom w:val="none" w:sz="0" w:space="0" w:color="auto"/>
        <w:right w:val="none" w:sz="0" w:space="0" w:color="auto"/>
      </w:divBdr>
    </w:div>
    <w:div w:id="939140225">
      <w:bodyDiv w:val="1"/>
      <w:marLeft w:val="0"/>
      <w:marRight w:val="0"/>
      <w:marTop w:val="0"/>
      <w:marBottom w:val="0"/>
      <w:divBdr>
        <w:top w:val="none" w:sz="0" w:space="0" w:color="auto"/>
        <w:left w:val="none" w:sz="0" w:space="0" w:color="auto"/>
        <w:bottom w:val="none" w:sz="0" w:space="0" w:color="auto"/>
        <w:right w:val="none" w:sz="0" w:space="0" w:color="auto"/>
      </w:divBdr>
    </w:div>
    <w:div w:id="939527305">
      <w:bodyDiv w:val="1"/>
      <w:marLeft w:val="0"/>
      <w:marRight w:val="0"/>
      <w:marTop w:val="0"/>
      <w:marBottom w:val="0"/>
      <w:divBdr>
        <w:top w:val="none" w:sz="0" w:space="0" w:color="auto"/>
        <w:left w:val="none" w:sz="0" w:space="0" w:color="auto"/>
        <w:bottom w:val="none" w:sz="0" w:space="0" w:color="auto"/>
        <w:right w:val="none" w:sz="0" w:space="0" w:color="auto"/>
      </w:divBdr>
    </w:div>
    <w:div w:id="940142083">
      <w:bodyDiv w:val="1"/>
      <w:marLeft w:val="0"/>
      <w:marRight w:val="0"/>
      <w:marTop w:val="0"/>
      <w:marBottom w:val="0"/>
      <w:divBdr>
        <w:top w:val="none" w:sz="0" w:space="0" w:color="auto"/>
        <w:left w:val="none" w:sz="0" w:space="0" w:color="auto"/>
        <w:bottom w:val="none" w:sz="0" w:space="0" w:color="auto"/>
        <w:right w:val="none" w:sz="0" w:space="0" w:color="auto"/>
      </w:divBdr>
    </w:div>
    <w:div w:id="940456533">
      <w:bodyDiv w:val="1"/>
      <w:marLeft w:val="0"/>
      <w:marRight w:val="0"/>
      <w:marTop w:val="0"/>
      <w:marBottom w:val="0"/>
      <w:divBdr>
        <w:top w:val="none" w:sz="0" w:space="0" w:color="auto"/>
        <w:left w:val="none" w:sz="0" w:space="0" w:color="auto"/>
        <w:bottom w:val="none" w:sz="0" w:space="0" w:color="auto"/>
        <w:right w:val="none" w:sz="0" w:space="0" w:color="auto"/>
      </w:divBdr>
    </w:div>
    <w:div w:id="940911831">
      <w:bodyDiv w:val="1"/>
      <w:marLeft w:val="0"/>
      <w:marRight w:val="0"/>
      <w:marTop w:val="0"/>
      <w:marBottom w:val="0"/>
      <w:divBdr>
        <w:top w:val="none" w:sz="0" w:space="0" w:color="auto"/>
        <w:left w:val="none" w:sz="0" w:space="0" w:color="auto"/>
        <w:bottom w:val="none" w:sz="0" w:space="0" w:color="auto"/>
        <w:right w:val="none" w:sz="0" w:space="0" w:color="auto"/>
      </w:divBdr>
    </w:div>
    <w:div w:id="943658556">
      <w:bodyDiv w:val="1"/>
      <w:marLeft w:val="0"/>
      <w:marRight w:val="0"/>
      <w:marTop w:val="0"/>
      <w:marBottom w:val="0"/>
      <w:divBdr>
        <w:top w:val="none" w:sz="0" w:space="0" w:color="auto"/>
        <w:left w:val="none" w:sz="0" w:space="0" w:color="auto"/>
        <w:bottom w:val="none" w:sz="0" w:space="0" w:color="auto"/>
        <w:right w:val="none" w:sz="0" w:space="0" w:color="auto"/>
      </w:divBdr>
    </w:div>
    <w:div w:id="944189584">
      <w:bodyDiv w:val="1"/>
      <w:marLeft w:val="0"/>
      <w:marRight w:val="0"/>
      <w:marTop w:val="0"/>
      <w:marBottom w:val="0"/>
      <w:divBdr>
        <w:top w:val="none" w:sz="0" w:space="0" w:color="auto"/>
        <w:left w:val="none" w:sz="0" w:space="0" w:color="auto"/>
        <w:bottom w:val="none" w:sz="0" w:space="0" w:color="auto"/>
        <w:right w:val="none" w:sz="0" w:space="0" w:color="auto"/>
      </w:divBdr>
    </w:div>
    <w:div w:id="946279897">
      <w:bodyDiv w:val="1"/>
      <w:marLeft w:val="0"/>
      <w:marRight w:val="0"/>
      <w:marTop w:val="0"/>
      <w:marBottom w:val="0"/>
      <w:divBdr>
        <w:top w:val="none" w:sz="0" w:space="0" w:color="auto"/>
        <w:left w:val="none" w:sz="0" w:space="0" w:color="auto"/>
        <w:bottom w:val="none" w:sz="0" w:space="0" w:color="auto"/>
        <w:right w:val="none" w:sz="0" w:space="0" w:color="auto"/>
      </w:divBdr>
    </w:div>
    <w:div w:id="947005744">
      <w:bodyDiv w:val="1"/>
      <w:marLeft w:val="0"/>
      <w:marRight w:val="0"/>
      <w:marTop w:val="0"/>
      <w:marBottom w:val="0"/>
      <w:divBdr>
        <w:top w:val="none" w:sz="0" w:space="0" w:color="auto"/>
        <w:left w:val="none" w:sz="0" w:space="0" w:color="auto"/>
        <w:bottom w:val="none" w:sz="0" w:space="0" w:color="auto"/>
        <w:right w:val="none" w:sz="0" w:space="0" w:color="auto"/>
      </w:divBdr>
    </w:div>
    <w:div w:id="950630669">
      <w:bodyDiv w:val="1"/>
      <w:marLeft w:val="0"/>
      <w:marRight w:val="0"/>
      <w:marTop w:val="0"/>
      <w:marBottom w:val="0"/>
      <w:divBdr>
        <w:top w:val="none" w:sz="0" w:space="0" w:color="auto"/>
        <w:left w:val="none" w:sz="0" w:space="0" w:color="auto"/>
        <w:bottom w:val="none" w:sz="0" w:space="0" w:color="auto"/>
        <w:right w:val="none" w:sz="0" w:space="0" w:color="auto"/>
      </w:divBdr>
    </w:div>
    <w:div w:id="951861210">
      <w:bodyDiv w:val="1"/>
      <w:marLeft w:val="0"/>
      <w:marRight w:val="0"/>
      <w:marTop w:val="0"/>
      <w:marBottom w:val="0"/>
      <w:divBdr>
        <w:top w:val="none" w:sz="0" w:space="0" w:color="auto"/>
        <w:left w:val="none" w:sz="0" w:space="0" w:color="auto"/>
        <w:bottom w:val="none" w:sz="0" w:space="0" w:color="auto"/>
        <w:right w:val="none" w:sz="0" w:space="0" w:color="auto"/>
      </w:divBdr>
    </w:div>
    <w:div w:id="953172996">
      <w:bodyDiv w:val="1"/>
      <w:marLeft w:val="0"/>
      <w:marRight w:val="0"/>
      <w:marTop w:val="0"/>
      <w:marBottom w:val="0"/>
      <w:divBdr>
        <w:top w:val="none" w:sz="0" w:space="0" w:color="auto"/>
        <w:left w:val="none" w:sz="0" w:space="0" w:color="auto"/>
        <w:bottom w:val="none" w:sz="0" w:space="0" w:color="auto"/>
        <w:right w:val="none" w:sz="0" w:space="0" w:color="auto"/>
      </w:divBdr>
    </w:div>
    <w:div w:id="957100708">
      <w:bodyDiv w:val="1"/>
      <w:marLeft w:val="0"/>
      <w:marRight w:val="0"/>
      <w:marTop w:val="0"/>
      <w:marBottom w:val="0"/>
      <w:divBdr>
        <w:top w:val="none" w:sz="0" w:space="0" w:color="auto"/>
        <w:left w:val="none" w:sz="0" w:space="0" w:color="auto"/>
        <w:bottom w:val="none" w:sz="0" w:space="0" w:color="auto"/>
        <w:right w:val="none" w:sz="0" w:space="0" w:color="auto"/>
      </w:divBdr>
    </w:div>
    <w:div w:id="957370870">
      <w:bodyDiv w:val="1"/>
      <w:marLeft w:val="0"/>
      <w:marRight w:val="0"/>
      <w:marTop w:val="0"/>
      <w:marBottom w:val="0"/>
      <w:divBdr>
        <w:top w:val="none" w:sz="0" w:space="0" w:color="auto"/>
        <w:left w:val="none" w:sz="0" w:space="0" w:color="auto"/>
        <w:bottom w:val="none" w:sz="0" w:space="0" w:color="auto"/>
        <w:right w:val="none" w:sz="0" w:space="0" w:color="auto"/>
      </w:divBdr>
    </w:div>
    <w:div w:id="958340047">
      <w:bodyDiv w:val="1"/>
      <w:marLeft w:val="0"/>
      <w:marRight w:val="0"/>
      <w:marTop w:val="0"/>
      <w:marBottom w:val="0"/>
      <w:divBdr>
        <w:top w:val="none" w:sz="0" w:space="0" w:color="auto"/>
        <w:left w:val="none" w:sz="0" w:space="0" w:color="auto"/>
        <w:bottom w:val="none" w:sz="0" w:space="0" w:color="auto"/>
        <w:right w:val="none" w:sz="0" w:space="0" w:color="auto"/>
      </w:divBdr>
    </w:div>
    <w:div w:id="964853547">
      <w:bodyDiv w:val="1"/>
      <w:marLeft w:val="0"/>
      <w:marRight w:val="0"/>
      <w:marTop w:val="0"/>
      <w:marBottom w:val="0"/>
      <w:divBdr>
        <w:top w:val="none" w:sz="0" w:space="0" w:color="auto"/>
        <w:left w:val="none" w:sz="0" w:space="0" w:color="auto"/>
        <w:bottom w:val="none" w:sz="0" w:space="0" w:color="auto"/>
        <w:right w:val="none" w:sz="0" w:space="0" w:color="auto"/>
      </w:divBdr>
    </w:div>
    <w:div w:id="971591460">
      <w:bodyDiv w:val="1"/>
      <w:marLeft w:val="0"/>
      <w:marRight w:val="0"/>
      <w:marTop w:val="0"/>
      <w:marBottom w:val="0"/>
      <w:divBdr>
        <w:top w:val="none" w:sz="0" w:space="0" w:color="auto"/>
        <w:left w:val="none" w:sz="0" w:space="0" w:color="auto"/>
        <w:bottom w:val="none" w:sz="0" w:space="0" w:color="auto"/>
        <w:right w:val="none" w:sz="0" w:space="0" w:color="auto"/>
      </w:divBdr>
    </w:div>
    <w:div w:id="971864013">
      <w:bodyDiv w:val="1"/>
      <w:marLeft w:val="0"/>
      <w:marRight w:val="0"/>
      <w:marTop w:val="0"/>
      <w:marBottom w:val="0"/>
      <w:divBdr>
        <w:top w:val="none" w:sz="0" w:space="0" w:color="auto"/>
        <w:left w:val="none" w:sz="0" w:space="0" w:color="auto"/>
        <w:bottom w:val="none" w:sz="0" w:space="0" w:color="auto"/>
        <w:right w:val="none" w:sz="0" w:space="0" w:color="auto"/>
      </w:divBdr>
    </w:div>
    <w:div w:id="971978350">
      <w:bodyDiv w:val="1"/>
      <w:marLeft w:val="0"/>
      <w:marRight w:val="0"/>
      <w:marTop w:val="0"/>
      <w:marBottom w:val="0"/>
      <w:divBdr>
        <w:top w:val="none" w:sz="0" w:space="0" w:color="auto"/>
        <w:left w:val="none" w:sz="0" w:space="0" w:color="auto"/>
        <w:bottom w:val="none" w:sz="0" w:space="0" w:color="auto"/>
        <w:right w:val="none" w:sz="0" w:space="0" w:color="auto"/>
      </w:divBdr>
    </w:div>
    <w:div w:id="972055286">
      <w:bodyDiv w:val="1"/>
      <w:marLeft w:val="0"/>
      <w:marRight w:val="0"/>
      <w:marTop w:val="0"/>
      <w:marBottom w:val="0"/>
      <w:divBdr>
        <w:top w:val="none" w:sz="0" w:space="0" w:color="auto"/>
        <w:left w:val="none" w:sz="0" w:space="0" w:color="auto"/>
        <w:bottom w:val="none" w:sz="0" w:space="0" w:color="auto"/>
        <w:right w:val="none" w:sz="0" w:space="0" w:color="auto"/>
      </w:divBdr>
    </w:div>
    <w:div w:id="975254001">
      <w:bodyDiv w:val="1"/>
      <w:marLeft w:val="0"/>
      <w:marRight w:val="0"/>
      <w:marTop w:val="0"/>
      <w:marBottom w:val="0"/>
      <w:divBdr>
        <w:top w:val="none" w:sz="0" w:space="0" w:color="auto"/>
        <w:left w:val="none" w:sz="0" w:space="0" w:color="auto"/>
        <w:bottom w:val="none" w:sz="0" w:space="0" w:color="auto"/>
        <w:right w:val="none" w:sz="0" w:space="0" w:color="auto"/>
      </w:divBdr>
    </w:div>
    <w:div w:id="975840251">
      <w:bodyDiv w:val="1"/>
      <w:marLeft w:val="0"/>
      <w:marRight w:val="0"/>
      <w:marTop w:val="0"/>
      <w:marBottom w:val="0"/>
      <w:divBdr>
        <w:top w:val="none" w:sz="0" w:space="0" w:color="auto"/>
        <w:left w:val="none" w:sz="0" w:space="0" w:color="auto"/>
        <w:bottom w:val="none" w:sz="0" w:space="0" w:color="auto"/>
        <w:right w:val="none" w:sz="0" w:space="0" w:color="auto"/>
      </w:divBdr>
    </w:div>
    <w:div w:id="977105169">
      <w:bodyDiv w:val="1"/>
      <w:marLeft w:val="0"/>
      <w:marRight w:val="0"/>
      <w:marTop w:val="0"/>
      <w:marBottom w:val="0"/>
      <w:divBdr>
        <w:top w:val="none" w:sz="0" w:space="0" w:color="auto"/>
        <w:left w:val="none" w:sz="0" w:space="0" w:color="auto"/>
        <w:bottom w:val="none" w:sz="0" w:space="0" w:color="auto"/>
        <w:right w:val="none" w:sz="0" w:space="0" w:color="auto"/>
      </w:divBdr>
    </w:div>
    <w:div w:id="979768826">
      <w:bodyDiv w:val="1"/>
      <w:marLeft w:val="0"/>
      <w:marRight w:val="0"/>
      <w:marTop w:val="0"/>
      <w:marBottom w:val="0"/>
      <w:divBdr>
        <w:top w:val="none" w:sz="0" w:space="0" w:color="auto"/>
        <w:left w:val="none" w:sz="0" w:space="0" w:color="auto"/>
        <w:bottom w:val="none" w:sz="0" w:space="0" w:color="auto"/>
        <w:right w:val="none" w:sz="0" w:space="0" w:color="auto"/>
      </w:divBdr>
    </w:div>
    <w:div w:id="983240376">
      <w:bodyDiv w:val="1"/>
      <w:marLeft w:val="0"/>
      <w:marRight w:val="0"/>
      <w:marTop w:val="0"/>
      <w:marBottom w:val="0"/>
      <w:divBdr>
        <w:top w:val="none" w:sz="0" w:space="0" w:color="auto"/>
        <w:left w:val="none" w:sz="0" w:space="0" w:color="auto"/>
        <w:bottom w:val="none" w:sz="0" w:space="0" w:color="auto"/>
        <w:right w:val="none" w:sz="0" w:space="0" w:color="auto"/>
      </w:divBdr>
    </w:div>
    <w:div w:id="985553582">
      <w:bodyDiv w:val="1"/>
      <w:marLeft w:val="0"/>
      <w:marRight w:val="0"/>
      <w:marTop w:val="0"/>
      <w:marBottom w:val="0"/>
      <w:divBdr>
        <w:top w:val="none" w:sz="0" w:space="0" w:color="auto"/>
        <w:left w:val="none" w:sz="0" w:space="0" w:color="auto"/>
        <w:bottom w:val="none" w:sz="0" w:space="0" w:color="auto"/>
        <w:right w:val="none" w:sz="0" w:space="0" w:color="auto"/>
      </w:divBdr>
    </w:div>
    <w:div w:id="985743182">
      <w:bodyDiv w:val="1"/>
      <w:marLeft w:val="0"/>
      <w:marRight w:val="0"/>
      <w:marTop w:val="0"/>
      <w:marBottom w:val="0"/>
      <w:divBdr>
        <w:top w:val="none" w:sz="0" w:space="0" w:color="auto"/>
        <w:left w:val="none" w:sz="0" w:space="0" w:color="auto"/>
        <w:bottom w:val="none" w:sz="0" w:space="0" w:color="auto"/>
        <w:right w:val="none" w:sz="0" w:space="0" w:color="auto"/>
      </w:divBdr>
    </w:div>
    <w:div w:id="986471960">
      <w:bodyDiv w:val="1"/>
      <w:marLeft w:val="0"/>
      <w:marRight w:val="0"/>
      <w:marTop w:val="0"/>
      <w:marBottom w:val="0"/>
      <w:divBdr>
        <w:top w:val="none" w:sz="0" w:space="0" w:color="auto"/>
        <w:left w:val="none" w:sz="0" w:space="0" w:color="auto"/>
        <w:bottom w:val="none" w:sz="0" w:space="0" w:color="auto"/>
        <w:right w:val="none" w:sz="0" w:space="0" w:color="auto"/>
      </w:divBdr>
    </w:div>
    <w:div w:id="988822554">
      <w:bodyDiv w:val="1"/>
      <w:marLeft w:val="0"/>
      <w:marRight w:val="0"/>
      <w:marTop w:val="0"/>
      <w:marBottom w:val="0"/>
      <w:divBdr>
        <w:top w:val="none" w:sz="0" w:space="0" w:color="auto"/>
        <w:left w:val="none" w:sz="0" w:space="0" w:color="auto"/>
        <w:bottom w:val="none" w:sz="0" w:space="0" w:color="auto"/>
        <w:right w:val="none" w:sz="0" w:space="0" w:color="auto"/>
      </w:divBdr>
    </w:div>
    <w:div w:id="990673098">
      <w:bodyDiv w:val="1"/>
      <w:marLeft w:val="0"/>
      <w:marRight w:val="0"/>
      <w:marTop w:val="0"/>
      <w:marBottom w:val="0"/>
      <w:divBdr>
        <w:top w:val="none" w:sz="0" w:space="0" w:color="auto"/>
        <w:left w:val="none" w:sz="0" w:space="0" w:color="auto"/>
        <w:bottom w:val="none" w:sz="0" w:space="0" w:color="auto"/>
        <w:right w:val="none" w:sz="0" w:space="0" w:color="auto"/>
      </w:divBdr>
    </w:div>
    <w:div w:id="990981807">
      <w:bodyDiv w:val="1"/>
      <w:marLeft w:val="0"/>
      <w:marRight w:val="0"/>
      <w:marTop w:val="0"/>
      <w:marBottom w:val="0"/>
      <w:divBdr>
        <w:top w:val="none" w:sz="0" w:space="0" w:color="auto"/>
        <w:left w:val="none" w:sz="0" w:space="0" w:color="auto"/>
        <w:bottom w:val="none" w:sz="0" w:space="0" w:color="auto"/>
        <w:right w:val="none" w:sz="0" w:space="0" w:color="auto"/>
      </w:divBdr>
    </w:div>
    <w:div w:id="991712069">
      <w:bodyDiv w:val="1"/>
      <w:marLeft w:val="0"/>
      <w:marRight w:val="0"/>
      <w:marTop w:val="0"/>
      <w:marBottom w:val="0"/>
      <w:divBdr>
        <w:top w:val="none" w:sz="0" w:space="0" w:color="auto"/>
        <w:left w:val="none" w:sz="0" w:space="0" w:color="auto"/>
        <w:bottom w:val="none" w:sz="0" w:space="0" w:color="auto"/>
        <w:right w:val="none" w:sz="0" w:space="0" w:color="auto"/>
      </w:divBdr>
    </w:div>
    <w:div w:id="993794777">
      <w:bodyDiv w:val="1"/>
      <w:marLeft w:val="0"/>
      <w:marRight w:val="0"/>
      <w:marTop w:val="0"/>
      <w:marBottom w:val="0"/>
      <w:divBdr>
        <w:top w:val="none" w:sz="0" w:space="0" w:color="auto"/>
        <w:left w:val="none" w:sz="0" w:space="0" w:color="auto"/>
        <w:bottom w:val="none" w:sz="0" w:space="0" w:color="auto"/>
        <w:right w:val="none" w:sz="0" w:space="0" w:color="auto"/>
      </w:divBdr>
    </w:div>
    <w:div w:id="995303784">
      <w:bodyDiv w:val="1"/>
      <w:marLeft w:val="0"/>
      <w:marRight w:val="0"/>
      <w:marTop w:val="0"/>
      <w:marBottom w:val="0"/>
      <w:divBdr>
        <w:top w:val="none" w:sz="0" w:space="0" w:color="auto"/>
        <w:left w:val="none" w:sz="0" w:space="0" w:color="auto"/>
        <w:bottom w:val="none" w:sz="0" w:space="0" w:color="auto"/>
        <w:right w:val="none" w:sz="0" w:space="0" w:color="auto"/>
      </w:divBdr>
    </w:div>
    <w:div w:id="997223385">
      <w:bodyDiv w:val="1"/>
      <w:marLeft w:val="0"/>
      <w:marRight w:val="0"/>
      <w:marTop w:val="0"/>
      <w:marBottom w:val="0"/>
      <w:divBdr>
        <w:top w:val="none" w:sz="0" w:space="0" w:color="auto"/>
        <w:left w:val="none" w:sz="0" w:space="0" w:color="auto"/>
        <w:bottom w:val="none" w:sz="0" w:space="0" w:color="auto"/>
        <w:right w:val="none" w:sz="0" w:space="0" w:color="auto"/>
      </w:divBdr>
    </w:div>
    <w:div w:id="999305855">
      <w:bodyDiv w:val="1"/>
      <w:marLeft w:val="0"/>
      <w:marRight w:val="0"/>
      <w:marTop w:val="0"/>
      <w:marBottom w:val="0"/>
      <w:divBdr>
        <w:top w:val="none" w:sz="0" w:space="0" w:color="auto"/>
        <w:left w:val="none" w:sz="0" w:space="0" w:color="auto"/>
        <w:bottom w:val="none" w:sz="0" w:space="0" w:color="auto"/>
        <w:right w:val="none" w:sz="0" w:space="0" w:color="auto"/>
      </w:divBdr>
    </w:div>
    <w:div w:id="1000037928">
      <w:bodyDiv w:val="1"/>
      <w:marLeft w:val="0"/>
      <w:marRight w:val="0"/>
      <w:marTop w:val="0"/>
      <w:marBottom w:val="0"/>
      <w:divBdr>
        <w:top w:val="none" w:sz="0" w:space="0" w:color="auto"/>
        <w:left w:val="none" w:sz="0" w:space="0" w:color="auto"/>
        <w:bottom w:val="none" w:sz="0" w:space="0" w:color="auto"/>
        <w:right w:val="none" w:sz="0" w:space="0" w:color="auto"/>
      </w:divBdr>
    </w:div>
    <w:div w:id="1000280645">
      <w:bodyDiv w:val="1"/>
      <w:marLeft w:val="0"/>
      <w:marRight w:val="0"/>
      <w:marTop w:val="0"/>
      <w:marBottom w:val="0"/>
      <w:divBdr>
        <w:top w:val="none" w:sz="0" w:space="0" w:color="auto"/>
        <w:left w:val="none" w:sz="0" w:space="0" w:color="auto"/>
        <w:bottom w:val="none" w:sz="0" w:space="0" w:color="auto"/>
        <w:right w:val="none" w:sz="0" w:space="0" w:color="auto"/>
      </w:divBdr>
    </w:div>
    <w:div w:id="1001545867">
      <w:bodyDiv w:val="1"/>
      <w:marLeft w:val="0"/>
      <w:marRight w:val="0"/>
      <w:marTop w:val="0"/>
      <w:marBottom w:val="0"/>
      <w:divBdr>
        <w:top w:val="none" w:sz="0" w:space="0" w:color="auto"/>
        <w:left w:val="none" w:sz="0" w:space="0" w:color="auto"/>
        <w:bottom w:val="none" w:sz="0" w:space="0" w:color="auto"/>
        <w:right w:val="none" w:sz="0" w:space="0" w:color="auto"/>
      </w:divBdr>
    </w:div>
    <w:div w:id="1002660129">
      <w:bodyDiv w:val="1"/>
      <w:marLeft w:val="0"/>
      <w:marRight w:val="0"/>
      <w:marTop w:val="0"/>
      <w:marBottom w:val="0"/>
      <w:divBdr>
        <w:top w:val="none" w:sz="0" w:space="0" w:color="auto"/>
        <w:left w:val="none" w:sz="0" w:space="0" w:color="auto"/>
        <w:bottom w:val="none" w:sz="0" w:space="0" w:color="auto"/>
        <w:right w:val="none" w:sz="0" w:space="0" w:color="auto"/>
      </w:divBdr>
    </w:div>
    <w:div w:id="1003821641">
      <w:bodyDiv w:val="1"/>
      <w:marLeft w:val="0"/>
      <w:marRight w:val="0"/>
      <w:marTop w:val="0"/>
      <w:marBottom w:val="0"/>
      <w:divBdr>
        <w:top w:val="none" w:sz="0" w:space="0" w:color="auto"/>
        <w:left w:val="none" w:sz="0" w:space="0" w:color="auto"/>
        <w:bottom w:val="none" w:sz="0" w:space="0" w:color="auto"/>
        <w:right w:val="none" w:sz="0" w:space="0" w:color="auto"/>
      </w:divBdr>
    </w:div>
    <w:div w:id="1006859755">
      <w:bodyDiv w:val="1"/>
      <w:marLeft w:val="0"/>
      <w:marRight w:val="0"/>
      <w:marTop w:val="0"/>
      <w:marBottom w:val="0"/>
      <w:divBdr>
        <w:top w:val="none" w:sz="0" w:space="0" w:color="auto"/>
        <w:left w:val="none" w:sz="0" w:space="0" w:color="auto"/>
        <w:bottom w:val="none" w:sz="0" w:space="0" w:color="auto"/>
        <w:right w:val="none" w:sz="0" w:space="0" w:color="auto"/>
      </w:divBdr>
    </w:div>
    <w:div w:id="1008824423">
      <w:bodyDiv w:val="1"/>
      <w:marLeft w:val="0"/>
      <w:marRight w:val="0"/>
      <w:marTop w:val="0"/>
      <w:marBottom w:val="0"/>
      <w:divBdr>
        <w:top w:val="none" w:sz="0" w:space="0" w:color="auto"/>
        <w:left w:val="none" w:sz="0" w:space="0" w:color="auto"/>
        <w:bottom w:val="none" w:sz="0" w:space="0" w:color="auto"/>
        <w:right w:val="none" w:sz="0" w:space="0" w:color="auto"/>
      </w:divBdr>
    </w:div>
    <w:div w:id="1011225430">
      <w:bodyDiv w:val="1"/>
      <w:marLeft w:val="0"/>
      <w:marRight w:val="0"/>
      <w:marTop w:val="0"/>
      <w:marBottom w:val="0"/>
      <w:divBdr>
        <w:top w:val="none" w:sz="0" w:space="0" w:color="auto"/>
        <w:left w:val="none" w:sz="0" w:space="0" w:color="auto"/>
        <w:bottom w:val="none" w:sz="0" w:space="0" w:color="auto"/>
        <w:right w:val="none" w:sz="0" w:space="0" w:color="auto"/>
      </w:divBdr>
    </w:div>
    <w:div w:id="1012537916">
      <w:bodyDiv w:val="1"/>
      <w:marLeft w:val="0"/>
      <w:marRight w:val="0"/>
      <w:marTop w:val="0"/>
      <w:marBottom w:val="0"/>
      <w:divBdr>
        <w:top w:val="none" w:sz="0" w:space="0" w:color="auto"/>
        <w:left w:val="none" w:sz="0" w:space="0" w:color="auto"/>
        <w:bottom w:val="none" w:sz="0" w:space="0" w:color="auto"/>
        <w:right w:val="none" w:sz="0" w:space="0" w:color="auto"/>
      </w:divBdr>
    </w:div>
    <w:div w:id="1012755106">
      <w:bodyDiv w:val="1"/>
      <w:marLeft w:val="0"/>
      <w:marRight w:val="0"/>
      <w:marTop w:val="0"/>
      <w:marBottom w:val="0"/>
      <w:divBdr>
        <w:top w:val="none" w:sz="0" w:space="0" w:color="auto"/>
        <w:left w:val="none" w:sz="0" w:space="0" w:color="auto"/>
        <w:bottom w:val="none" w:sz="0" w:space="0" w:color="auto"/>
        <w:right w:val="none" w:sz="0" w:space="0" w:color="auto"/>
      </w:divBdr>
    </w:div>
    <w:div w:id="1013459782">
      <w:bodyDiv w:val="1"/>
      <w:marLeft w:val="0"/>
      <w:marRight w:val="0"/>
      <w:marTop w:val="0"/>
      <w:marBottom w:val="0"/>
      <w:divBdr>
        <w:top w:val="none" w:sz="0" w:space="0" w:color="auto"/>
        <w:left w:val="none" w:sz="0" w:space="0" w:color="auto"/>
        <w:bottom w:val="none" w:sz="0" w:space="0" w:color="auto"/>
        <w:right w:val="none" w:sz="0" w:space="0" w:color="auto"/>
      </w:divBdr>
    </w:div>
    <w:div w:id="1013730649">
      <w:bodyDiv w:val="1"/>
      <w:marLeft w:val="0"/>
      <w:marRight w:val="0"/>
      <w:marTop w:val="0"/>
      <w:marBottom w:val="0"/>
      <w:divBdr>
        <w:top w:val="none" w:sz="0" w:space="0" w:color="auto"/>
        <w:left w:val="none" w:sz="0" w:space="0" w:color="auto"/>
        <w:bottom w:val="none" w:sz="0" w:space="0" w:color="auto"/>
        <w:right w:val="none" w:sz="0" w:space="0" w:color="auto"/>
      </w:divBdr>
    </w:div>
    <w:div w:id="1014963017">
      <w:bodyDiv w:val="1"/>
      <w:marLeft w:val="0"/>
      <w:marRight w:val="0"/>
      <w:marTop w:val="0"/>
      <w:marBottom w:val="0"/>
      <w:divBdr>
        <w:top w:val="none" w:sz="0" w:space="0" w:color="auto"/>
        <w:left w:val="none" w:sz="0" w:space="0" w:color="auto"/>
        <w:bottom w:val="none" w:sz="0" w:space="0" w:color="auto"/>
        <w:right w:val="none" w:sz="0" w:space="0" w:color="auto"/>
      </w:divBdr>
    </w:div>
    <w:div w:id="1016810448">
      <w:bodyDiv w:val="1"/>
      <w:marLeft w:val="0"/>
      <w:marRight w:val="0"/>
      <w:marTop w:val="0"/>
      <w:marBottom w:val="0"/>
      <w:divBdr>
        <w:top w:val="none" w:sz="0" w:space="0" w:color="auto"/>
        <w:left w:val="none" w:sz="0" w:space="0" w:color="auto"/>
        <w:bottom w:val="none" w:sz="0" w:space="0" w:color="auto"/>
        <w:right w:val="none" w:sz="0" w:space="0" w:color="auto"/>
      </w:divBdr>
    </w:div>
    <w:div w:id="1017076779">
      <w:bodyDiv w:val="1"/>
      <w:marLeft w:val="0"/>
      <w:marRight w:val="0"/>
      <w:marTop w:val="0"/>
      <w:marBottom w:val="0"/>
      <w:divBdr>
        <w:top w:val="none" w:sz="0" w:space="0" w:color="auto"/>
        <w:left w:val="none" w:sz="0" w:space="0" w:color="auto"/>
        <w:bottom w:val="none" w:sz="0" w:space="0" w:color="auto"/>
        <w:right w:val="none" w:sz="0" w:space="0" w:color="auto"/>
      </w:divBdr>
    </w:div>
    <w:div w:id="1018435049">
      <w:bodyDiv w:val="1"/>
      <w:marLeft w:val="0"/>
      <w:marRight w:val="0"/>
      <w:marTop w:val="0"/>
      <w:marBottom w:val="0"/>
      <w:divBdr>
        <w:top w:val="none" w:sz="0" w:space="0" w:color="auto"/>
        <w:left w:val="none" w:sz="0" w:space="0" w:color="auto"/>
        <w:bottom w:val="none" w:sz="0" w:space="0" w:color="auto"/>
        <w:right w:val="none" w:sz="0" w:space="0" w:color="auto"/>
      </w:divBdr>
    </w:div>
    <w:div w:id="1020013614">
      <w:bodyDiv w:val="1"/>
      <w:marLeft w:val="0"/>
      <w:marRight w:val="0"/>
      <w:marTop w:val="0"/>
      <w:marBottom w:val="0"/>
      <w:divBdr>
        <w:top w:val="none" w:sz="0" w:space="0" w:color="auto"/>
        <w:left w:val="none" w:sz="0" w:space="0" w:color="auto"/>
        <w:bottom w:val="none" w:sz="0" w:space="0" w:color="auto"/>
        <w:right w:val="none" w:sz="0" w:space="0" w:color="auto"/>
      </w:divBdr>
    </w:div>
    <w:div w:id="1023364651">
      <w:bodyDiv w:val="1"/>
      <w:marLeft w:val="0"/>
      <w:marRight w:val="0"/>
      <w:marTop w:val="0"/>
      <w:marBottom w:val="0"/>
      <w:divBdr>
        <w:top w:val="none" w:sz="0" w:space="0" w:color="auto"/>
        <w:left w:val="none" w:sz="0" w:space="0" w:color="auto"/>
        <w:bottom w:val="none" w:sz="0" w:space="0" w:color="auto"/>
        <w:right w:val="none" w:sz="0" w:space="0" w:color="auto"/>
      </w:divBdr>
    </w:div>
    <w:div w:id="1026296081">
      <w:bodyDiv w:val="1"/>
      <w:marLeft w:val="0"/>
      <w:marRight w:val="0"/>
      <w:marTop w:val="0"/>
      <w:marBottom w:val="0"/>
      <w:divBdr>
        <w:top w:val="none" w:sz="0" w:space="0" w:color="auto"/>
        <w:left w:val="none" w:sz="0" w:space="0" w:color="auto"/>
        <w:bottom w:val="none" w:sz="0" w:space="0" w:color="auto"/>
        <w:right w:val="none" w:sz="0" w:space="0" w:color="auto"/>
      </w:divBdr>
    </w:div>
    <w:div w:id="1026638086">
      <w:bodyDiv w:val="1"/>
      <w:marLeft w:val="0"/>
      <w:marRight w:val="0"/>
      <w:marTop w:val="0"/>
      <w:marBottom w:val="0"/>
      <w:divBdr>
        <w:top w:val="none" w:sz="0" w:space="0" w:color="auto"/>
        <w:left w:val="none" w:sz="0" w:space="0" w:color="auto"/>
        <w:bottom w:val="none" w:sz="0" w:space="0" w:color="auto"/>
        <w:right w:val="none" w:sz="0" w:space="0" w:color="auto"/>
      </w:divBdr>
    </w:div>
    <w:div w:id="1028525812">
      <w:bodyDiv w:val="1"/>
      <w:marLeft w:val="0"/>
      <w:marRight w:val="0"/>
      <w:marTop w:val="0"/>
      <w:marBottom w:val="0"/>
      <w:divBdr>
        <w:top w:val="none" w:sz="0" w:space="0" w:color="auto"/>
        <w:left w:val="none" w:sz="0" w:space="0" w:color="auto"/>
        <w:bottom w:val="none" w:sz="0" w:space="0" w:color="auto"/>
        <w:right w:val="none" w:sz="0" w:space="0" w:color="auto"/>
      </w:divBdr>
    </w:div>
    <w:div w:id="1028873736">
      <w:bodyDiv w:val="1"/>
      <w:marLeft w:val="0"/>
      <w:marRight w:val="0"/>
      <w:marTop w:val="0"/>
      <w:marBottom w:val="0"/>
      <w:divBdr>
        <w:top w:val="none" w:sz="0" w:space="0" w:color="auto"/>
        <w:left w:val="none" w:sz="0" w:space="0" w:color="auto"/>
        <w:bottom w:val="none" w:sz="0" w:space="0" w:color="auto"/>
        <w:right w:val="none" w:sz="0" w:space="0" w:color="auto"/>
      </w:divBdr>
    </w:div>
    <w:div w:id="1030107208">
      <w:bodyDiv w:val="1"/>
      <w:marLeft w:val="0"/>
      <w:marRight w:val="0"/>
      <w:marTop w:val="0"/>
      <w:marBottom w:val="0"/>
      <w:divBdr>
        <w:top w:val="none" w:sz="0" w:space="0" w:color="auto"/>
        <w:left w:val="none" w:sz="0" w:space="0" w:color="auto"/>
        <w:bottom w:val="none" w:sz="0" w:space="0" w:color="auto"/>
        <w:right w:val="none" w:sz="0" w:space="0" w:color="auto"/>
      </w:divBdr>
    </w:div>
    <w:div w:id="1030187028">
      <w:bodyDiv w:val="1"/>
      <w:marLeft w:val="0"/>
      <w:marRight w:val="0"/>
      <w:marTop w:val="0"/>
      <w:marBottom w:val="0"/>
      <w:divBdr>
        <w:top w:val="none" w:sz="0" w:space="0" w:color="auto"/>
        <w:left w:val="none" w:sz="0" w:space="0" w:color="auto"/>
        <w:bottom w:val="none" w:sz="0" w:space="0" w:color="auto"/>
        <w:right w:val="none" w:sz="0" w:space="0" w:color="auto"/>
      </w:divBdr>
    </w:div>
    <w:div w:id="1031809878">
      <w:bodyDiv w:val="1"/>
      <w:marLeft w:val="0"/>
      <w:marRight w:val="0"/>
      <w:marTop w:val="0"/>
      <w:marBottom w:val="0"/>
      <w:divBdr>
        <w:top w:val="none" w:sz="0" w:space="0" w:color="auto"/>
        <w:left w:val="none" w:sz="0" w:space="0" w:color="auto"/>
        <w:bottom w:val="none" w:sz="0" w:space="0" w:color="auto"/>
        <w:right w:val="none" w:sz="0" w:space="0" w:color="auto"/>
      </w:divBdr>
    </w:div>
    <w:div w:id="1032078114">
      <w:bodyDiv w:val="1"/>
      <w:marLeft w:val="0"/>
      <w:marRight w:val="0"/>
      <w:marTop w:val="0"/>
      <w:marBottom w:val="0"/>
      <w:divBdr>
        <w:top w:val="none" w:sz="0" w:space="0" w:color="auto"/>
        <w:left w:val="none" w:sz="0" w:space="0" w:color="auto"/>
        <w:bottom w:val="none" w:sz="0" w:space="0" w:color="auto"/>
        <w:right w:val="none" w:sz="0" w:space="0" w:color="auto"/>
      </w:divBdr>
    </w:div>
    <w:div w:id="1034161138">
      <w:bodyDiv w:val="1"/>
      <w:marLeft w:val="0"/>
      <w:marRight w:val="0"/>
      <w:marTop w:val="0"/>
      <w:marBottom w:val="0"/>
      <w:divBdr>
        <w:top w:val="none" w:sz="0" w:space="0" w:color="auto"/>
        <w:left w:val="none" w:sz="0" w:space="0" w:color="auto"/>
        <w:bottom w:val="none" w:sz="0" w:space="0" w:color="auto"/>
        <w:right w:val="none" w:sz="0" w:space="0" w:color="auto"/>
      </w:divBdr>
    </w:div>
    <w:div w:id="1034619063">
      <w:bodyDiv w:val="1"/>
      <w:marLeft w:val="0"/>
      <w:marRight w:val="0"/>
      <w:marTop w:val="0"/>
      <w:marBottom w:val="0"/>
      <w:divBdr>
        <w:top w:val="none" w:sz="0" w:space="0" w:color="auto"/>
        <w:left w:val="none" w:sz="0" w:space="0" w:color="auto"/>
        <w:bottom w:val="none" w:sz="0" w:space="0" w:color="auto"/>
        <w:right w:val="none" w:sz="0" w:space="0" w:color="auto"/>
      </w:divBdr>
    </w:div>
    <w:div w:id="1037699760">
      <w:bodyDiv w:val="1"/>
      <w:marLeft w:val="0"/>
      <w:marRight w:val="0"/>
      <w:marTop w:val="0"/>
      <w:marBottom w:val="0"/>
      <w:divBdr>
        <w:top w:val="none" w:sz="0" w:space="0" w:color="auto"/>
        <w:left w:val="none" w:sz="0" w:space="0" w:color="auto"/>
        <w:bottom w:val="none" w:sz="0" w:space="0" w:color="auto"/>
        <w:right w:val="none" w:sz="0" w:space="0" w:color="auto"/>
      </w:divBdr>
    </w:div>
    <w:div w:id="1038436438">
      <w:bodyDiv w:val="1"/>
      <w:marLeft w:val="0"/>
      <w:marRight w:val="0"/>
      <w:marTop w:val="0"/>
      <w:marBottom w:val="0"/>
      <w:divBdr>
        <w:top w:val="none" w:sz="0" w:space="0" w:color="auto"/>
        <w:left w:val="none" w:sz="0" w:space="0" w:color="auto"/>
        <w:bottom w:val="none" w:sz="0" w:space="0" w:color="auto"/>
        <w:right w:val="none" w:sz="0" w:space="0" w:color="auto"/>
      </w:divBdr>
    </w:div>
    <w:div w:id="1039163184">
      <w:bodyDiv w:val="1"/>
      <w:marLeft w:val="0"/>
      <w:marRight w:val="0"/>
      <w:marTop w:val="0"/>
      <w:marBottom w:val="0"/>
      <w:divBdr>
        <w:top w:val="none" w:sz="0" w:space="0" w:color="auto"/>
        <w:left w:val="none" w:sz="0" w:space="0" w:color="auto"/>
        <w:bottom w:val="none" w:sz="0" w:space="0" w:color="auto"/>
        <w:right w:val="none" w:sz="0" w:space="0" w:color="auto"/>
      </w:divBdr>
    </w:div>
    <w:div w:id="1040938173">
      <w:bodyDiv w:val="1"/>
      <w:marLeft w:val="0"/>
      <w:marRight w:val="0"/>
      <w:marTop w:val="0"/>
      <w:marBottom w:val="0"/>
      <w:divBdr>
        <w:top w:val="none" w:sz="0" w:space="0" w:color="auto"/>
        <w:left w:val="none" w:sz="0" w:space="0" w:color="auto"/>
        <w:bottom w:val="none" w:sz="0" w:space="0" w:color="auto"/>
        <w:right w:val="none" w:sz="0" w:space="0" w:color="auto"/>
      </w:divBdr>
    </w:div>
    <w:div w:id="1041443595">
      <w:bodyDiv w:val="1"/>
      <w:marLeft w:val="0"/>
      <w:marRight w:val="0"/>
      <w:marTop w:val="0"/>
      <w:marBottom w:val="0"/>
      <w:divBdr>
        <w:top w:val="none" w:sz="0" w:space="0" w:color="auto"/>
        <w:left w:val="none" w:sz="0" w:space="0" w:color="auto"/>
        <w:bottom w:val="none" w:sz="0" w:space="0" w:color="auto"/>
        <w:right w:val="none" w:sz="0" w:space="0" w:color="auto"/>
      </w:divBdr>
    </w:div>
    <w:div w:id="1041511640">
      <w:bodyDiv w:val="1"/>
      <w:marLeft w:val="0"/>
      <w:marRight w:val="0"/>
      <w:marTop w:val="0"/>
      <w:marBottom w:val="0"/>
      <w:divBdr>
        <w:top w:val="none" w:sz="0" w:space="0" w:color="auto"/>
        <w:left w:val="none" w:sz="0" w:space="0" w:color="auto"/>
        <w:bottom w:val="none" w:sz="0" w:space="0" w:color="auto"/>
        <w:right w:val="none" w:sz="0" w:space="0" w:color="auto"/>
      </w:divBdr>
    </w:div>
    <w:div w:id="1044986228">
      <w:bodyDiv w:val="1"/>
      <w:marLeft w:val="0"/>
      <w:marRight w:val="0"/>
      <w:marTop w:val="0"/>
      <w:marBottom w:val="0"/>
      <w:divBdr>
        <w:top w:val="none" w:sz="0" w:space="0" w:color="auto"/>
        <w:left w:val="none" w:sz="0" w:space="0" w:color="auto"/>
        <w:bottom w:val="none" w:sz="0" w:space="0" w:color="auto"/>
        <w:right w:val="none" w:sz="0" w:space="0" w:color="auto"/>
      </w:divBdr>
    </w:div>
    <w:div w:id="1046024997">
      <w:bodyDiv w:val="1"/>
      <w:marLeft w:val="0"/>
      <w:marRight w:val="0"/>
      <w:marTop w:val="0"/>
      <w:marBottom w:val="0"/>
      <w:divBdr>
        <w:top w:val="none" w:sz="0" w:space="0" w:color="auto"/>
        <w:left w:val="none" w:sz="0" w:space="0" w:color="auto"/>
        <w:bottom w:val="none" w:sz="0" w:space="0" w:color="auto"/>
        <w:right w:val="none" w:sz="0" w:space="0" w:color="auto"/>
      </w:divBdr>
    </w:div>
    <w:div w:id="1047797725">
      <w:bodyDiv w:val="1"/>
      <w:marLeft w:val="0"/>
      <w:marRight w:val="0"/>
      <w:marTop w:val="0"/>
      <w:marBottom w:val="0"/>
      <w:divBdr>
        <w:top w:val="none" w:sz="0" w:space="0" w:color="auto"/>
        <w:left w:val="none" w:sz="0" w:space="0" w:color="auto"/>
        <w:bottom w:val="none" w:sz="0" w:space="0" w:color="auto"/>
        <w:right w:val="none" w:sz="0" w:space="0" w:color="auto"/>
      </w:divBdr>
    </w:div>
    <w:div w:id="1047995572">
      <w:bodyDiv w:val="1"/>
      <w:marLeft w:val="0"/>
      <w:marRight w:val="0"/>
      <w:marTop w:val="0"/>
      <w:marBottom w:val="0"/>
      <w:divBdr>
        <w:top w:val="none" w:sz="0" w:space="0" w:color="auto"/>
        <w:left w:val="none" w:sz="0" w:space="0" w:color="auto"/>
        <w:bottom w:val="none" w:sz="0" w:space="0" w:color="auto"/>
        <w:right w:val="none" w:sz="0" w:space="0" w:color="auto"/>
      </w:divBdr>
    </w:div>
    <w:div w:id="1048144712">
      <w:bodyDiv w:val="1"/>
      <w:marLeft w:val="0"/>
      <w:marRight w:val="0"/>
      <w:marTop w:val="0"/>
      <w:marBottom w:val="0"/>
      <w:divBdr>
        <w:top w:val="none" w:sz="0" w:space="0" w:color="auto"/>
        <w:left w:val="none" w:sz="0" w:space="0" w:color="auto"/>
        <w:bottom w:val="none" w:sz="0" w:space="0" w:color="auto"/>
        <w:right w:val="none" w:sz="0" w:space="0" w:color="auto"/>
      </w:divBdr>
    </w:div>
    <w:div w:id="1049065214">
      <w:bodyDiv w:val="1"/>
      <w:marLeft w:val="0"/>
      <w:marRight w:val="0"/>
      <w:marTop w:val="0"/>
      <w:marBottom w:val="0"/>
      <w:divBdr>
        <w:top w:val="none" w:sz="0" w:space="0" w:color="auto"/>
        <w:left w:val="none" w:sz="0" w:space="0" w:color="auto"/>
        <w:bottom w:val="none" w:sz="0" w:space="0" w:color="auto"/>
        <w:right w:val="none" w:sz="0" w:space="0" w:color="auto"/>
      </w:divBdr>
    </w:div>
    <w:div w:id="1049262765">
      <w:bodyDiv w:val="1"/>
      <w:marLeft w:val="0"/>
      <w:marRight w:val="0"/>
      <w:marTop w:val="0"/>
      <w:marBottom w:val="0"/>
      <w:divBdr>
        <w:top w:val="none" w:sz="0" w:space="0" w:color="auto"/>
        <w:left w:val="none" w:sz="0" w:space="0" w:color="auto"/>
        <w:bottom w:val="none" w:sz="0" w:space="0" w:color="auto"/>
        <w:right w:val="none" w:sz="0" w:space="0" w:color="auto"/>
      </w:divBdr>
    </w:div>
    <w:div w:id="1049914743">
      <w:bodyDiv w:val="1"/>
      <w:marLeft w:val="0"/>
      <w:marRight w:val="0"/>
      <w:marTop w:val="0"/>
      <w:marBottom w:val="0"/>
      <w:divBdr>
        <w:top w:val="none" w:sz="0" w:space="0" w:color="auto"/>
        <w:left w:val="none" w:sz="0" w:space="0" w:color="auto"/>
        <w:bottom w:val="none" w:sz="0" w:space="0" w:color="auto"/>
        <w:right w:val="none" w:sz="0" w:space="0" w:color="auto"/>
      </w:divBdr>
    </w:div>
    <w:div w:id="1050108319">
      <w:bodyDiv w:val="1"/>
      <w:marLeft w:val="0"/>
      <w:marRight w:val="0"/>
      <w:marTop w:val="0"/>
      <w:marBottom w:val="0"/>
      <w:divBdr>
        <w:top w:val="none" w:sz="0" w:space="0" w:color="auto"/>
        <w:left w:val="none" w:sz="0" w:space="0" w:color="auto"/>
        <w:bottom w:val="none" w:sz="0" w:space="0" w:color="auto"/>
        <w:right w:val="none" w:sz="0" w:space="0" w:color="auto"/>
      </w:divBdr>
    </w:div>
    <w:div w:id="1056053922">
      <w:bodyDiv w:val="1"/>
      <w:marLeft w:val="0"/>
      <w:marRight w:val="0"/>
      <w:marTop w:val="0"/>
      <w:marBottom w:val="0"/>
      <w:divBdr>
        <w:top w:val="none" w:sz="0" w:space="0" w:color="auto"/>
        <w:left w:val="none" w:sz="0" w:space="0" w:color="auto"/>
        <w:bottom w:val="none" w:sz="0" w:space="0" w:color="auto"/>
        <w:right w:val="none" w:sz="0" w:space="0" w:color="auto"/>
      </w:divBdr>
    </w:div>
    <w:div w:id="1056199759">
      <w:bodyDiv w:val="1"/>
      <w:marLeft w:val="0"/>
      <w:marRight w:val="0"/>
      <w:marTop w:val="0"/>
      <w:marBottom w:val="0"/>
      <w:divBdr>
        <w:top w:val="none" w:sz="0" w:space="0" w:color="auto"/>
        <w:left w:val="none" w:sz="0" w:space="0" w:color="auto"/>
        <w:bottom w:val="none" w:sz="0" w:space="0" w:color="auto"/>
        <w:right w:val="none" w:sz="0" w:space="0" w:color="auto"/>
      </w:divBdr>
    </w:div>
    <w:div w:id="1056465191">
      <w:bodyDiv w:val="1"/>
      <w:marLeft w:val="0"/>
      <w:marRight w:val="0"/>
      <w:marTop w:val="0"/>
      <w:marBottom w:val="0"/>
      <w:divBdr>
        <w:top w:val="none" w:sz="0" w:space="0" w:color="auto"/>
        <w:left w:val="none" w:sz="0" w:space="0" w:color="auto"/>
        <w:bottom w:val="none" w:sz="0" w:space="0" w:color="auto"/>
        <w:right w:val="none" w:sz="0" w:space="0" w:color="auto"/>
      </w:divBdr>
    </w:div>
    <w:div w:id="1058480147">
      <w:bodyDiv w:val="1"/>
      <w:marLeft w:val="0"/>
      <w:marRight w:val="0"/>
      <w:marTop w:val="0"/>
      <w:marBottom w:val="0"/>
      <w:divBdr>
        <w:top w:val="none" w:sz="0" w:space="0" w:color="auto"/>
        <w:left w:val="none" w:sz="0" w:space="0" w:color="auto"/>
        <w:bottom w:val="none" w:sz="0" w:space="0" w:color="auto"/>
        <w:right w:val="none" w:sz="0" w:space="0" w:color="auto"/>
      </w:divBdr>
    </w:div>
    <w:div w:id="1063915725">
      <w:bodyDiv w:val="1"/>
      <w:marLeft w:val="0"/>
      <w:marRight w:val="0"/>
      <w:marTop w:val="0"/>
      <w:marBottom w:val="0"/>
      <w:divBdr>
        <w:top w:val="none" w:sz="0" w:space="0" w:color="auto"/>
        <w:left w:val="none" w:sz="0" w:space="0" w:color="auto"/>
        <w:bottom w:val="none" w:sz="0" w:space="0" w:color="auto"/>
        <w:right w:val="none" w:sz="0" w:space="0" w:color="auto"/>
      </w:divBdr>
    </w:div>
    <w:div w:id="1064916246">
      <w:bodyDiv w:val="1"/>
      <w:marLeft w:val="0"/>
      <w:marRight w:val="0"/>
      <w:marTop w:val="0"/>
      <w:marBottom w:val="0"/>
      <w:divBdr>
        <w:top w:val="none" w:sz="0" w:space="0" w:color="auto"/>
        <w:left w:val="none" w:sz="0" w:space="0" w:color="auto"/>
        <w:bottom w:val="none" w:sz="0" w:space="0" w:color="auto"/>
        <w:right w:val="none" w:sz="0" w:space="0" w:color="auto"/>
      </w:divBdr>
    </w:div>
    <w:div w:id="1065027814">
      <w:bodyDiv w:val="1"/>
      <w:marLeft w:val="0"/>
      <w:marRight w:val="0"/>
      <w:marTop w:val="0"/>
      <w:marBottom w:val="0"/>
      <w:divBdr>
        <w:top w:val="none" w:sz="0" w:space="0" w:color="auto"/>
        <w:left w:val="none" w:sz="0" w:space="0" w:color="auto"/>
        <w:bottom w:val="none" w:sz="0" w:space="0" w:color="auto"/>
        <w:right w:val="none" w:sz="0" w:space="0" w:color="auto"/>
      </w:divBdr>
    </w:div>
    <w:div w:id="1065835359">
      <w:bodyDiv w:val="1"/>
      <w:marLeft w:val="0"/>
      <w:marRight w:val="0"/>
      <w:marTop w:val="0"/>
      <w:marBottom w:val="0"/>
      <w:divBdr>
        <w:top w:val="none" w:sz="0" w:space="0" w:color="auto"/>
        <w:left w:val="none" w:sz="0" w:space="0" w:color="auto"/>
        <w:bottom w:val="none" w:sz="0" w:space="0" w:color="auto"/>
        <w:right w:val="none" w:sz="0" w:space="0" w:color="auto"/>
      </w:divBdr>
    </w:div>
    <w:div w:id="1066298281">
      <w:bodyDiv w:val="1"/>
      <w:marLeft w:val="0"/>
      <w:marRight w:val="0"/>
      <w:marTop w:val="0"/>
      <w:marBottom w:val="0"/>
      <w:divBdr>
        <w:top w:val="none" w:sz="0" w:space="0" w:color="auto"/>
        <w:left w:val="none" w:sz="0" w:space="0" w:color="auto"/>
        <w:bottom w:val="none" w:sz="0" w:space="0" w:color="auto"/>
        <w:right w:val="none" w:sz="0" w:space="0" w:color="auto"/>
      </w:divBdr>
    </w:div>
    <w:div w:id="1069572485">
      <w:bodyDiv w:val="1"/>
      <w:marLeft w:val="0"/>
      <w:marRight w:val="0"/>
      <w:marTop w:val="0"/>
      <w:marBottom w:val="0"/>
      <w:divBdr>
        <w:top w:val="none" w:sz="0" w:space="0" w:color="auto"/>
        <w:left w:val="none" w:sz="0" w:space="0" w:color="auto"/>
        <w:bottom w:val="none" w:sz="0" w:space="0" w:color="auto"/>
        <w:right w:val="none" w:sz="0" w:space="0" w:color="auto"/>
      </w:divBdr>
    </w:div>
    <w:div w:id="1069619673">
      <w:bodyDiv w:val="1"/>
      <w:marLeft w:val="0"/>
      <w:marRight w:val="0"/>
      <w:marTop w:val="0"/>
      <w:marBottom w:val="0"/>
      <w:divBdr>
        <w:top w:val="none" w:sz="0" w:space="0" w:color="auto"/>
        <w:left w:val="none" w:sz="0" w:space="0" w:color="auto"/>
        <w:bottom w:val="none" w:sz="0" w:space="0" w:color="auto"/>
        <w:right w:val="none" w:sz="0" w:space="0" w:color="auto"/>
      </w:divBdr>
    </w:div>
    <w:div w:id="1072241135">
      <w:bodyDiv w:val="1"/>
      <w:marLeft w:val="0"/>
      <w:marRight w:val="0"/>
      <w:marTop w:val="0"/>
      <w:marBottom w:val="0"/>
      <w:divBdr>
        <w:top w:val="none" w:sz="0" w:space="0" w:color="auto"/>
        <w:left w:val="none" w:sz="0" w:space="0" w:color="auto"/>
        <w:bottom w:val="none" w:sz="0" w:space="0" w:color="auto"/>
        <w:right w:val="none" w:sz="0" w:space="0" w:color="auto"/>
      </w:divBdr>
    </w:div>
    <w:div w:id="1075250818">
      <w:bodyDiv w:val="1"/>
      <w:marLeft w:val="0"/>
      <w:marRight w:val="0"/>
      <w:marTop w:val="0"/>
      <w:marBottom w:val="0"/>
      <w:divBdr>
        <w:top w:val="none" w:sz="0" w:space="0" w:color="auto"/>
        <w:left w:val="none" w:sz="0" w:space="0" w:color="auto"/>
        <w:bottom w:val="none" w:sz="0" w:space="0" w:color="auto"/>
        <w:right w:val="none" w:sz="0" w:space="0" w:color="auto"/>
      </w:divBdr>
    </w:div>
    <w:div w:id="1075594413">
      <w:bodyDiv w:val="1"/>
      <w:marLeft w:val="0"/>
      <w:marRight w:val="0"/>
      <w:marTop w:val="0"/>
      <w:marBottom w:val="0"/>
      <w:divBdr>
        <w:top w:val="none" w:sz="0" w:space="0" w:color="auto"/>
        <w:left w:val="none" w:sz="0" w:space="0" w:color="auto"/>
        <w:bottom w:val="none" w:sz="0" w:space="0" w:color="auto"/>
        <w:right w:val="none" w:sz="0" w:space="0" w:color="auto"/>
      </w:divBdr>
    </w:div>
    <w:div w:id="1075856547">
      <w:bodyDiv w:val="1"/>
      <w:marLeft w:val="0"/>
      <w:marRight w:val="0"/>
      <w:marTop w:val="0"/>
      <w:marBottom w:val="0"/>
      <w:divBdr>
        <w:top w:val="none" w:sz="0" w:space="0" w:color="auto"/>
        <w:left w:val="none" w:sz="0" w:space="0" w:color="auto"/>
        <w:bottom w:val="none" w:sz="0" w:space="0" w:color="auto"/>
        <w:right w:val="none" w:sz="0" w:space="0" w:color="auto"/>
      </w:divBdr>
    </w:div>
    <w:div w:id="1076824010">
      <w:bodyDiv w:val="1"/>
      <w:marLeft w:val="0"/>
      <w:marRight w:val="0"/>
      <w:marTop w:val="0"/>
      <w:marBottom w:val="0"/>
      <w:divBdr>
        <w:top w:val="none" w:sz="0" w:space="0" w:color="auto"/>
        <w:left w:val="none" w:sz="0" w:space="0" w:color="auto"/>
        <w:bottom w:val="none" w:sz="0" w:space="0" w:color="auto"/>
        <w:right w:val="none" w:sz="0" w:space="0" w:color="auto"/>
      </w:divBdr>
    </w:div>
    <w:div w:id="1078091296">
      <w:bodyDiv w:val="1"/>
      <w:marLeft w:val="0"/>
      <w:marRight w:val="0"/>
      <w:marTop w:val="0"/>
      <w:marBottom w:val="0"/>
      <w:divBdr>
        <w:top w:val="none" w:sz="0" w:space="0" w:color="auto"/>
        <w:left w:val="none" w:sz="0" w:space="0" w:color="auto"/>
        <w:bottom w:val="none" w:sz="0" w:space="0" w:color="auto"/>
        <w:right w:val="none" w:sz="0" w:space="0" w:color="auto"/>
      </w:divBdr>
    </w:div>
    <w:div w:id="1081028529">
      <w:bodyDiv w:val="1"/>
      <w:marLeft w:val="0"/>
      <w:marRight w:val="0"/>
      <w:marTop w:val="0"/>
      <w:marBottom w:val="0"/>
      <w:divBdr>
        <w:top w:val="none" w:sz="0" w:space="0" w:color="auto"/>
        <w:left w:val="none" w:sz="0" w:space="0" w:color="auto"/>
        <w:bottom w:val="none" w:sz="0" w:space="0" w:color="auto"/>
        <w:right w:val="none" w:sz="0" w:space="0" w:color="auto"/>
      </w:divBdr>
    </w:div>
    <w:div w:id="1081173075">
      <w:bodyDiv w:val="1"/>
      <w:marLeft w:val="0"/>
      <w:marRight w:val="0"/>
      <w:marTop w:val="0"/>
      <w:marBottom w:val="0"/>
      <w:divBdr>
        <w:top w:val="none" w:sz="0" w:space="0" w:color="auto"/>
        <w:left w:val="none" w:sz="0" w:space="0" w:color="auto"/>
        <w:bottom w:val="none" w:sz="0" w:space="0" w:color="auto"/>
        <w:right w:val="none" w:sz="0" w:space="0" w:color="auto"/>
      </w:divBdr>
    </w:div>
    <w:div w:id="1081636832">
      <w:bodyDiv w:val="1"/>
      <w:marLeft w:val="0"/>
      <w:marRight w:val="0"/>
      <w:marTop w:val="0"/>
      <w:marBottom w:val="0"/>
      <w:divBdr>
        <w:top w:val="none" w:sz="0" w:space="0" w:color="auto"/>
        <w:left w:val="none" w:sz="0" w:space="0" w:color="auto"/>
        <w:bottom w:val="none" w:sz="0" w:space="0" w:color="auto"/>
        <w:right w:val="none" w:sz="0" w:space="0" w:color="auto"/>
      </w:divBdr>
    </w:div>
    <w:div w:id="1083144961">
      <w:bodyDiv w:val="1"/>
      <w:marLeft w:val="0"/>
      <w:marRight w:val="0"/>
      <w:marTop w:val="0"/>
      <w:marBottom w:val="0"/>
      <w:divBdr>
        <w:top w:val="none" w:sz="0" w:space="0" w:color="auto"/>
        <w:left w:val="none" w:sz="0" w:space="0" w:color="auto"/>
        <w:bottom w:val="none" w:sz="0" w:space="0" w:color="auto"/>
        <w:right w:val="none" w:sz="0" w:space="0" w:color="auto"/>
      </w:divBdr>
    </w:div>
    <w:div w:id="1083602809">
      <w:bodyDiv w:val="1"/>
      <w:marLeft w:val="0"/>
      <w:marRight w:val="0"/>
      <w:marTop w:val="0"/>
      <w:marBottom w:val="0"/>
      <w:divBdr>
        <w:top w:val="none" w:sz="0" w:space="0" w:color="auto"/>
        <w:left w:val="none" w:sz="0" w:space="0" w:color="auto"/>
        <w:bottom w:val="none" w:sz="0" w:space="0" w:color="auto"/>
        <w:right w:val="none" w:sz="0" w:space="0" w:color="auto"/>
      </w:divBdr>
    </w:div>
    <w:div w:id="1086153919">
      <w:bodyDiv w:val="1"/>
      <w:marLeft w:val="0"/>
      <w:marRight w:val="0"/>
      <w:marTop w:val="0"/>
      <w:marBottom w:val="0"/>
      <w:divBdr>
        <w:top w:val="none" w:sz="0" w:space="0" w:color="auto"/>
        <w:left w:val="none" w:sz="0" w:space="0" w:color="auto"/>
        <w:bottom w:val="none" w:sz="0" w:space="0" w:color="auto"/>
        <w:right w:val="none" w:sz="0" w:space="0" w:color="auto"/>
      </w:divBdr>
    </w:div>
    <w:div w:id="1088502093">
      <w:bodyDiv w:val="1"/>
      <w:marLeft w:val="0"/>
      <w:marRight w:val="0"/>
      <w:marTop w:val="0"/>
      <w:marBottom w:val="0"/>
      <w:divBdr>
        <w:top w:val="none" w:sz="0" w:space="0" w:color="auto"/>
        <w:left w:val="none" w:sz="0" w:space="0" w:color="auto"/>
        <w:bottom w:val="none" w:sz="0" w:space="0" w:color="auto"/>
        <w:right w:val="none" w:sz="0" w:space="0" w:color="auto"/>
      </w:divBdr>
    </w:div>
    <w:div w:id="1088700225">
      <w:bodyDiv w:val="1"/>
      <w:marLeft w:val="0"/>
      <w:marRight w:val="0"/>
      <w:marTop w:val="0"/>
      <w:marBottom w:val="0"/>
      <w:divBdr>
        <w:top w:val="none" w:sz="0" w:space="0" w:color="auto"/>
        <w:left w:val="none" w:sz="0" w:space="0" w:color="auto"/>
        <w:bottom w:val="none" w:sz="0" w:space="0" w:color="auto"/>
        <w:right w:val="none" w:sz="0" w:space="0" w:color="auto"/>
      </w:divBdr>
    </w:div>
    <w:div w:id="1091121673">
      <w:bodyDiv w:val="1"/>
      <w:marLeft w:val="0"/>
      <w:marRight w:val="0"/>
      <w:marTop w:val="0"/>
      <w:marBottom w:val="0"/>
      <w:divBdr>
        <w:top w:val="none" w:sz="0" w:space="0" w:color="auto"/>
        <w:left w:val="none" w:sz="0" w:space="0" w:color="auto"/>
        <w:bottom w:val="none" w:sz="0" w:space="0" w:color="auto"/>
        <w:right w:val="none" w:sz="0" w:space="0" w:color="auto"/>
      </w:divBdr>
    </w:div>
    <w:div w:id="1091194248">
      <w:bodyDiv w:val="1"/>
      <w:marLeft w:val="0"/>
      <w:marRight w:val="0"/>
      <w:marTop w:val="0"/>
      <w:marBottom w:val="0"/>
      <w:divBdr>
        <w:top w:val="none" w:sz="0" w:space="0" w:color="auto"/>
        <w:left w:val="none" w:sz="0" w:space="0" w:color="auto"/>
        <w:bottom w:val="none" w:sz="0" w:space="0" w:color="auto"/>
        <w:right w:val="none" w:sz="0" w:space="0" w:color="auto"/>
      </w:divBdr>
    </w:div>
    <w:div w:id="1092118542">
      <w:bodyDiv w:val="1"/>
      <w:marLeft w:val="0"/>
      <w:marRight w:val="0"/>
      <w:marTop w:val="0"/>
      <w:marBottom w:val="0"/>
      <w:divBdr>
        <w:top w:val="none" w:sz="0" w:space="0" w:color="auto"/>
        <w:left w:val="none" w:sz="0" w:space="0" w:color="auto"/>
        <w:bottom w:val="none" w:sz="0" w:space="0" w:color="auto"/>
        <w:right w:val="none" w:sz="0" w:space="0" w:color="auto"/>
      </w:divBdr>
    </w:div>
    <w:div w:id="1092506460">
      <w:bodyDiv w:val="1"/>
      <w:marLeft w:val="0"/>
      <w:marRight w:val="0"/>
      <w:marTop w:val="0"/>
      <w:marBottom w:val="0"/>
      <w:divBdr>
        <w:top w:val="none" w:sz="0" w:space="0" w:color="auto"/>
        <w:left w:val="none" w:sz="0" w:space="0" w:color="auto"/>
        <w:bottom w:val="none" w:sz="0" w:space="0" w:color="auto"/>
        <w:right w:val="none" w:sz="0" w:space="0" w:color="auto"/>
      </w:divBdr>
    </w:div>
    <w:div w:id="1095973840">
      <w:bodyDiv w:val="1"/>
      <w:marLeft w:val="0"/>
      <w:marRight w:val="0"/>
      <w:marTop w:val="0"/>
      <w:marBottom w:val="0"/>
      <w:divBdr>
        <w:top w:val="none" w:sz="0" w:space="0" w:color="auto"/>
        <w:left w:val="none" w:sz="0" w:space="0" w:color="auto"/>
        <w:bottom w:val="none" w:sz="0" w:space="0" w:color="auto"/>
        <w:right w:val="none" w:sz="0" w:space="0" w:color="auto"/>
      </w:divBdr>
    </w:div>
    <w:div w:id="1096899493">
      <w:bodyDiv w:val="1"/>
      <w:marLeft w:val="0"/>
      <w:marRight w:val="0"/>
      <w:marTop w:val="0"/>
      <w:marBottom w:val="0"/>
      <w:divBdr>
        <w:top w:val="none" w:sz="0" w:space="0" w:color="auto"/>
        <w:left w:val="none" w:sz="0" w:space="0" w:color="auto"/>
        <w:bottom w:val="none" w:sz="0" w:space="0" w:color="auto"/>
        <w:right w:val="none" w:sz="0" w:space="0" w:color="auto"/>
      </w:divBdr>
      <w:divsChild>
        <w:div w:id="177276026">
          <w:marLeft w:val="57"/>
          <w:marRight w:val="0"/>
          <w:marTop w:val="0"/>
          <w:marBottom w:val="0"/>
          <w:divBdr>
            <w:top w:val="none" w:sz="0" w:space="0" w:color="auto"/>
            <w:left w:val="none" w:sz="0" w:space="0" w:color="auto"/>
            <w:bottom w:val="none" w:sz="0" w:space="0" w:color="auto"/>
            <w:right w:val="none" w:sz="0" w:space="0" w:color="auto"/>
          </w:divBdr>
        </w:div>
        <w:div w:id="247541273">
          <w:marLeft w:val="57"/>
          <w:marRight w:val="0"/>
          <w:marTop w:val="0"/>
          <w:marBottom w:val="0"/>
          <w:divBdr>
            <w:top w:val="none" w:sz="0" w:space="0" w:color="auto"/>
            <w:left w:val="none" w:sz="0" w:space="0" w:color="auto"/>
            <w:bottom w:val="none" w:sz="0" w:space="0" w:color="auto"/>
            <w:right w:val="none" w:sz="0" w:space="0" w:color="auto"/>
          </w:divBdr>
        </w:div>
        <w:div w:id="358551605">
          <w:marLeft w:val="57"/>
          <w:marRight w:val="0"/>
          <w:marTop w:val="0"/>
          <w:marBottom w:val="0"/>
          <w:divBdr>
            <w:top w:val="none" w:sz="0" w:space="0" w:color="auto"/>
            <w:left w:val="none" w:sz="0" w:space="0" w:color="auto"/>
            <w:bottom w:val="none" w:sz="0" w:space="0" w:color="auto"/>
            <w:right w:val="none" w:sz="0" w:space="0" w:color="auto"/>
          </w:divBdr>
        </w:div>
        <w:div w:id="413865663">
          <w:marLeft w:val="57"/>
          <w:marRight w:val="0"/>
          <w:marTop w:val="0"/>
          <w:marBottom w:val="0"/>
          <w:divBdr>
            <w:top w:val="none" w:sz="0" w:space="0" w:color="auto"/>
            <w:left w:val="none" w:sz="0" w:space="0" w:color="auto"/>
            <w:bottom w:val="none" w:sz="0" w:space="0" w:color="auto"/>
            <w:right w:val="none" w:sz="0" w:space="0" w:color="auto"/>
          </w:divBdr>
        </w:div>
        <w:div w:id="547306442">
          <w:marLeft w:val="397"/>
          <w:marRight w:val="0"/>
          <w:marTop w:val="0"/>
          <w:marBottom w:val="0"/>
          <w:divBdr>
            <w:top w:val="none" w:sz="0" w:space="0" w:color="auto"/>
            <w:left w:val="none" w:sz="0" w:space="0" w:color="auto"/>
            <w:bottom w:val="none" w:sz="0" w:space="0" w:color="auto"/>
            <w:right w:val="none" w:sz="0" w:space="0" w:color="auto"/>
          </w:divBdr>
        </w:div>
        <w:div w:id="607393634">
          <w:marLeft w:val="57"/>
          <w:marRight w:val="0"/>
          <w:marTop w:val="0"/>
          <w:marBottom w:val="0"/>
          <w:divBdr>
            <w:top w:val="none" w:sz="0" w:space="0" w:color="auto"/>
            <w:left w:val="none" w:sz="0" w:space="0" w:color="auto"/>
            <w:bottom w:val="none" w:sz="0" w:space="0" w:color="auto"/>
            <w:right w:val="none" w:sz="0" w:space="0" w:color="auto"/>
          </w:divBdr>
        </w:div>
        <w:div w:id="644627800">
          <w:marLeft w:val="57"/>
          <w:marRight w:val="0"/>
          <w:marTop w:val="0"/>
          <w:marBottom w:val="0"/>
          <w:divBdr>
            <w:top w:val="none" w:sz="0" w:space="0" w:color="auto"/>
            <w:left w:val="none" w:sz="0" w:space="0" w:color="auto"/>
            <w:bottom w:val="none" w:sz="0" w:space="0" w:color="auto"/>
            <w:right w:val="none" w:sz="0" w:space="0" w:color="auto"/>
          </w:divBdr>
        </w:div>
        <w:div w:id="820079158">
          <w:marLeft w:val="57"/>
          <w:marRight w:val="0"/>
          <w:marTop w:val="0"/>
          <w:marBottom w:val="0"/>
          <w:divBdr>
            <w:top w:val="none" w:sz="0" w:space="0" w:color="auto"/>
            <w:left w:val="none" w:sz="0" w:space="0" w:color="auto"/>
            <w:bottom w:val="none" w:sz="0" w:space="0" w:color="auto"/>
            <w:right w:val="none" w:sz="0" w:space="0" w:color="auto"/>
          </w:divBdr>
        </w:div>
        <w:div w:id="943263891">
          <w:marLeft w:val="57"/>
          <w:marRight w:val="0"/>
          <w:marTop w:val="0"/>
          <w:marBottom w:val="0"/>
          <w:divBdr>
            <w:top w:val="none" w:sz="0" w:space="0" w:color="auto"/>
            <w:left w:val="none" w:sz="0" w:space="0" w:color="auto"/>
            <w:bottom w:val="none" w:sz="0" w:space="0" w:color="auto"/>
            <w:right w:val="none" w:sz="0" w:space="0" w:color="auto"/>
          </w:divBdr>
        </w:div>
        <w:div w:id="967781585">
          <w:marLeft w:val="57"/>
          <w:marRight w:val="0"/>
          <w:marTop w:val="0"/>
          <w:marBottom w:val="0"/>
          <w:divBdr>
            <w:top w:val="none" w:sz="0" w:space="0" w:color="auto"/>
            <w:left w:val="none" w:sz="0" w:space="0" w:color="auto"/>
            <w:bottom w:val="none" w:sz="0" w:space="0" w:color="auto"/>
            <w:right w:val="none" w:sz="0" w:space="0" w:color="auto"/>
          </w:divBdr>
        </w:div>
        <w:div w:id="1000352934">
          <w:marLeft w:val="57"/>
          <w:marRight w:val="0"/>
          <w:marTop w:val="0"/>
          <w:marBottom w:val="0"/>
          <w:divBdr>
            <w:top w:val="none" w:sz="0" w:space="0" w:color="auto"/>
            <w:left w:val="none" w:sz="0" w:space="0" w:color="auto"/>
            <w:bottom w:val="none" w:sz="0" w:space="0" w:color="auto"/>
            <w:right w:val="none" w:sz="0" w:space="0" w:color="auto"/>
          </w:divBdr>
        </w:div>
        <w:div w:id="1086419730">
          <w:marLeft w:val="57"/>
          <w:marRight w:val="0"/>
          <w:marTop w:val="0"/>
          <w:marBottom w:val="0"/>
          <w:divBdr>
            <w:top w:val="none" w:sz="0" w:space="0" w:color="auto"/>
            <w:left w:val="none" w:sz="0" w:space="0" w:color="auto"/>
            <w:bottom w:val="none" w:sz="0" w:space="0" w:color="auto"/>
            <w:right w:val="none" w:sz="0" w:space="0" w:color="auto"/>
          </w:divBdr>
        </w:div>
        <w:div w:id="1176531703">
          <w:marLeft w:val="397"/>
          <w:marRight w:val="0"/>
          <w:marTop w:val="0"/>
          <w:marBottom w:val="0"/>
          <w:divBdr>
            <w:top w:val="none" w:sz="0" w:space="0" w:color="auto"/>
            <w:left w:val="none" w:sz="0" w:space="0" w:color="auto"/>
            <w:bottom w:val="none" w:sz="0" w:space="0" w:color="auto"/>
            <w:right w:val="none" w:sz="0" w:space="0" w:color="auto"/>
          </w:divBdr>
        </w:div>
        <w:div w:id="1275330883">
          <w:marLeft w:val="57"/>
          <w:marRight w:val="0"/>
          <w:marTop w:val="0"/>
          <w:marBottom w:val="0"/>
          <w:divBdr>
            <w:top w:val="none" w:sz="0" w:space="0" w:color="auto"/>
            <w:left w:val="none" w:sz="0" w:space="0" w:color="auto"/>
            <w:bottom w:val="none" w:sz="0" w:space="0" w:color="auto"/>
            <w:right w:val="none" w:sz="0" w:space="0" w:color="auto"/>
          </w:divBdr>
        </w:div>
        <w:div w:id="1370034244">
          <w:marLeft w:val="57"/>
          <w:marRight w:val="0"/>
          <w:marTop w:val="0"/>
          <w:marBottom w:val="0"/>
          <w:divBdr>
            <w:top w:val="none" w:sz="0" w:space="0" w:color="auto"/>
            <w:left w:val="none" w:sz="0" w:space="0" w:color="auto"/>
            <w:bottom w:val="none" w:sz="0" w:space="0" w:color="auto"/>
            <w:right w:val="none" w:sz="0" w:space="0" w:color="auto"/>
          </w:divBdr>
        </w:div>
        <w:div w:id="1388068791">
          <w:marLeft w:val="57"/>
          <w:marRight w:val="0"/>
          <w:marTop w:val="0"/>
          <w:marBottom w:val="0"/>
          <w:divBdr>
            <w:top w:val="none" w:sz="0" w:space="0" w:color="auto"/>
            <w:left w:val="none" w:sz="0" w:space="0" w:color="auto"/>
            <w:bottom w:val="none" w:sz="0" w:space="0" w:color="auto"/>
            <w:right w:val="none" w:sz="0" w:space="0" w:color="auto"/>
          </w:divBdr>
        </w:div>
        <w:div w:id="1632204437">
          <w:marLeft w:val="397"/>
          <w:marRight w:val="0"/>
          <w:marTop w:val="0"/>
          <w:marBottom w:val="0"/>
          <w:divBdr>
            <w:top w:val="none" w:sz="0" w:space="0" w:color="auto"/>
            <w:left w:val="none" w:sz="0" w:space="0" w:color="auto"/>
            <w:bottom w:val="none" w:sz="0" w:space="0" w:color="auto"/>
            <w:right w:val="none" w:sz="0" w:space="0" w:color="auto"/>
          </w:divBdr>
        </w:div>
        <w:div w:id="1749764129">
          <w:marLeft w:val="57"/>
          <w:marRight w:val="0"/>
          <w:marTop w:val="0"/>
          <w:marBottom w:val="0"/>
          <w:divBdr>
            <w:top w:val="none" w:sz="0" w:space="0" w:color="auto"/>
            <w:left w:val="none" w:sz="0" w:space="0" w:color="auto"/>
            <w:bottom w:val="none" w:sz="0" w:space="0" w:color="auto"/>
            <w:right w:val="none" w:sz="0" w:space="0" w:color="auto"/>
          </w:divBdr>
        </w:div>
        <w:div w:id="1801075307">
          <w:marLeft w:val="57"/>
          <w:marRight w:val="0"/>
          <w:marTop w:val="0"/>
          <w:marBottom w:val="0"/>
          <w:divBdr>
            <w:top w:val="none" w:sz="0" w:space="0" w:color="auto"/>
            <w:left w:val="none" w:sz="0" w:space="0" w:color="auto"/>
            <w:bottom w:val="none" w:sz="0" w:space="0" w:color="auto"/>
            <w:right w:val="none" w:sz="0" w:space="0" w:color="auto"/>
          </w:divBdr>
        </w:div>
        <w:div w:id="1840844792">
          <w:marLeft w:val="57"/>
          <w:marRight w:val="0"/>
          <w:marTop w:val="0"/>
          <w:marBottom w:val="0"/>
          <w:divBdr>
            <w:top w:val="none" w:sz="0" w:space="0" w:color="auto"/>
            <w:left w:val="none" w:sz="0" w:space="0" w:color="auto"/>
            <w:bottom w:val="none" w:sz="0" w:space="0" w:color="auto"/>
            <w:right w:val="none" w:sz="0" w:space="0" w:color="auto"/>
          </w:divBdr>
        </w:div>
        <w:div w:id="1854175783">
          <w:marLeft w:val="397"/>
          <w:marRight w:val="0"/>
          <w:marTop w:val="0"/>
          <w:marBottom w:val="0"/>
          <w:divBdr>
            <w:top w:val="none" w:sz="0" w:space="0" w:color="auto"/>
            <w:left w:val="none" w:sz="0" w:space="0" w:color="auto"/>
            <w:bottom w:val="none" w:sz="0" w:space="0" w:color="auto"/>
            <w:right w:val="none" w:sz="0" w:space="0" w:color="auto"/>
          </w:divBdr>
        </w:div>
        <w:div w:id="1950500872">
          <w:marLeft w:val="57"/>
          <w:marRight w:val="0"/>
          <w:marTop w:val="0"/>
          <w:marBottom w:val="0"/>
          <w:divBdr>
            <w:top w:val="none" w:sz="0" w:space="0" w:color="auto"/>
            <w:left w:val="none" w:sz="0" w:space="0" w:color="auto"/>
            <w:bottom w:val="none" w:sz="0" w:space="0" w:color="auto"/>
            <w:right w:val="none" w:sz="0" w:space="0" w:color="auto"/>
          </w:divBdr>
        </w:div>
        <w:div w:id="1986424777">
          <w:marLeft w:val="57"/>
          <w:marRight w:val="0"/>
          <w:marTop w:val="0"/>
          <w:marBottom w:val="0"/>
          <w:divBdr>
            <w:top w:val="none" w:sz="0" w:space="0" w:color="auto"/>
            <w:left w:val="none" w:sz="0" w:space="0" w:color="auto"/>
            <w:bottom w:val="none" w:sz="0" w:space="0" w:color="auto"/>
            <w:right w:val="none" w:sz="0" w:space="0" w:color="auto"/>
          </w:divBdr>
        </w:div>
        <w:div w:id="2022664268">
          <w:marLeft w:val="57"/>
          <w:marRight w:val="0"/>
          <w:marTop w:val="0"/>
          <w:marBottom w:val="0"/>
          <w:divBdr>
            <w:top w:val="none" w:sz="0" w:space="0" w:color="auto"/>
            <w:left w:val="none" w:sz="0" w:space="0" w:color="auto"/>
            <w:bottom w:val="none" w:sz="0" w:space="0" w:color="auto"/>
            <w:right w:val="none" w:sz="0" w:space="0" w:color="auto"/>
          </w:divBdr>
        </w:div>
      </w:divsChild>
    </w:div>
    <w:div w:id="1096942882">
      <w:bodyDiv w:val="1"/>
      <w:marLeft w:val="0"/>
      <w:marRight w:val="0"/>
      <w:marTop w:val="0"/>
      <w:marBottom w:val="0"/>
      <w:divBdr>
        <w:top w:val="none" w:sz="0" w:space="0" w:color="auto"/>
        <w:left w:val="none" w:sz="0" w:space="0" w:color="auto"/>
        <w:bottom w:val="none" w:sz="0" w:space="0" w:color="auto"/>
        <w:right w:val="none" w:sz="0" w:space="0" w:color="auto"/>
      </w:divBdr>
    </w:div>
    <w:div w:id="1099256962">
      <w:bodyDiv w:val="1"/>
      <w:marLeft w:val="0"/>
      <w:marRight w:val="0"/>
      <w:marTop w:val="0"/>
      <w:marBottom w:val="0"/>
      <w:divBdr>
        <w:top w:val="none" w:sz="0" w:space="0" w:color="auto"/>
        <w:left w:val="none" w:sz="0" w:space="0" w:color="auto"/>
        <w:bottom w:val="none" w:sz="0" w:space="0" w:color="auto"/>
        <w:right w:val="none" w:sz="0" w:space="0" w:color="auto"/>
      </w:divBdr>
    </w:div>
    <w:div w:id="1101146685">
      <w:bodyDiv w:val="1"/>
      <w:marLeft w:val="0"/>
      <w:marRight w:val="0"/>
      <w:marTop w:val="0"/>
      <w:marBottom w:val="0"/>
      <w:divBdr>
        <w:top w:val="none" w:sz="0" w:space="0" w:color="auto"/>
        <w:left w:val="none" w:sz="0" w:space="0" w:color="auto"/>
        <w:bottom w:val="none" w:sz="0" w:space="0" w:color="auto"/>
        <w:right w:val="none" w:sz="0" w:space="0" w:color="auto"/>
      </w:divBdr>
    </w:div>
    <w:div w:id="1104304614">
      <w:bodyDiv w:val="1"/>
      <w:marLeft w:val="0"/>
      <w:marRight w:val="0"/>
      <w:marTop w:val="0"/>
      <w:marBottom w:val="0"/>
      <w:divBdr>
        <w:top w:val="none" w:sz="0" w:space="0" w:color="auto"/>
        <w:left w:val="none" w:sz="0" w:space="0" w:color="auto"/>
        <w:bottom w:val="none" w:sz="0" w:space="0" w:color="auto"/>
        <w:right w:val="none" w:sz="0" w:space="0" w:color="auto"/>
      </w:divBdr>
    </w:div>
    <w:div w:id="1104375324">
      <w:bodyDiv w:val="1"/>
      <w:marLeft w:val="0"/>
      <w:marRight w:val="0"/>
      <w:marTop w:val="0"/>
      <w:marBottom w:val="0"/>
      <w:divBdr>
        <w:top w:val="none" w:sz="0" w:space="0" w:color="auto"/>
        <w:left w:val="none" w:sz="0" w:space="0" w:color="auto"/>
        <w:bottom w:val="none" w:sz="0" w:space="0" w:color="auto"/>
        <w:right w:val="none" w:sz="0" w:space="0" w:color="auto"/>
      </w:divBdr>
    </w:div>
    <w:div w:id="1104809079">
      <w:bodyDiv w:val="1"/>
      <w:marLeft w:val="0"/>
      <w:marRight w:val="0"/>
      <w:marTop w:val="0"/>
      <w:marBottom w:val="0"/>
      <w:divBdr>
        <w:top w:val="none" w:sz="0" w:space="0" w:color="auto"/>
        <w:left w:val="none" w:sz="0" w:space="0" w:color="auto"/>
        <w:bottom w:val="none" w:sz="0" w:space="0" w:color="auto"/>
        <w:right w:val="none" w:sz="0" w:space="0" w:color="auto"/>
      </w:divBdr>
    </w:div>
    <w:div w:id="1106582759">
      <w:bodyDiv w:val="1"/>
      <w:marLeft w:val="0"/>
      <w:marRight w:val="0"/>
      <w:marTop w:val="0"/>
      <w:marBottom w:val="0"/>
      <w:divBdr>
        <w:top w:val="none" w:sz="0" w:space="0" w:color="auto"/>
        <w:left w:val="none" w:sz="0" w:space="0" w:color="auto"/>
        <w:bottom w:val="none" w:sz="0" w:space="0" w:color="auto"/>
        <w:right w:val="none" w:sz="0" w:space="0" w:color="auto"/>
      </w:divBdr>
    </w:div>
    <w:div w:id="1112939273">
      <w:bodyDiv w:val="1"/>
      <w:marLeft w:val="0"/>
      <w:marRight w:val="0"/>
      <w:marTop w:val="0"/>
      <w:marBottom w:val="0"/>
      <w:divBdr>
        <w:top w:val="none" w:sz="0" w:space="0" w:color="auto"/>
        <w:left w:val="none" w:sz="0" w:space="0" w:color="auto"/>
        <w:bottom w:val="none" w:sz="0" w:space="0" w:color="auto"/>
        <w:right w:val="none" w:sz="0" w:space="0" w:color="auto"/>
      </w:divBdr>
    </w:div>
    <w:div w:id="1114325373">
      <w:bodyDiv w:val="1"/>
      <w:marLeft w:val="0"/>
      <w:marRight w:val="0"/>
      <w:marTop w:val="0"/>
      <w:marBottom w:val="0"/>
      <w:divBdr>
        <w:top w:val="none" w:sz="0" w:space="0" w:color="auto"/>
        <w:left w:val="none" w:sz="0" w:space="0" w:color="auto"/>
        <w:bottom w:val="none" w:sz="0" w:space="0" w:color="auto"/>
        <w:right w:val="none" w:sz="0" w:space="0" w:color="auto"/>
      </w:divBdr>
    </w:div>
    <w:div w:id="1116019193">
      <w:bodyDiv w:val="1"/>
      <w:marLeft w:val="0"/>
      <w:marRight w:val="0"/>
      <w:marTop w:val="0"/>
      <w:marBottom w:val="0"/>
      <w:divBdr>
        <w:top w:val="none" w:sz="0" w:space="0" w:color="auto"/>
        <w:left w:val="none" w:sz="0" w:space="0" w:color="auto"/>
        <w:bottom w:val="none" w:sz="0" w:space="0" w:color="auto"/>
        <w:right w:val="none" w:sz="0" w:space="0" w:color="auto"/>
      </w:divBdr>
    </w:div>
    <w:div w:id="1122304293">
      <w:bodyDiv w:val="1"/>
      <w:marLeft w:val="0"/>
      <w:marRight w:val="0"/>
      <w:marTop w:val="0"/>
      <w:marBottom w:val="0"/>
      <w:divBdr>
        <w:top w:val="none" w:sz="0" w:space="0" w:color="auto"/>
        <w:left w:val="none" w:sz="0" w:space="0" w:color="auto"/>
        <w:bottom w:val="none" w:sz="0" w:space="0" w:color="auto"/>
        <w:right w:val="none" w:sz="0" w:space="0" w:color="auto"/>
      </w:divBdr>
    </w:div>
    <w:div w:id="1127162480">
      <w:bodyDiv w:val="1"/>
      <w:marLeft w:val="0"/>
      <w:marRight w:val="0"/>
      <w:marTop w:val="0"/>
      <w:marBottom w:val="0"/>
      <w:divBdr>
        <w:top w:val="none" w:sz="0" w:space="0" w:color="auto"/>
        <w:left w:val="none" w:sz="0" w:space="0" w:color="auto"/>
        <w:bottom w:val="none" w:sz="0" w:space="0" w:color="auto"/>
        <w:right w:val="none" w:sz="0" w:space="0" w:color="auto"/>
      </w:divBdr>
    </w:div>
    <w:div w:id="1128157866">
      <w:bodyDiv w:val="1"/>
      <w:marLeft w:val="0"/>
      <w:marRight w:val="0"/>
      <w:marTop w:val="0"/>
      <w:marBottom w:val="0"/>
      <w:divBdr>
        <w:top w:val="none" w:sz="0" w:space="0" w:color="auto"/>
        <w:left w:val="none" w:sz="0" w:space="0" w:color="auto"/>
        <w:bottom w:val="none" w:sz="0" w:space="0" w:color="auto"/>
        <w:right w:val="none" w:sz="0" w:space="0" w:color="auto"/>
      </w:divBdr>
    </w:div>
    <w:div w:id="1131023552">
      <w:bodyDiv w:val="1"/>
      <w:marLeft w:val="0"/>
      <w:marRight w:val="0"/>
      <w:marTop w:val="0"/>
      <w:marBottom w:val="0"/>
      <w:divBdr>
        <w:top w:val="none" w:sz="0" w:space="0" w:color="auto"/>
        <w:left w:val="none" w:sz="0" w:space="0" w:color="auto"/>
        <w:bottom w:val="none" w:sz="0" w:space="0" w:color="auto"/>
        <w:right w:val="none" w:sz="0" w:space="0" w:color="auto"/>
      </w:divBdr>
    </w:div>
    <w:div w:id="1132671167">
      <w:bodyDiv w:val="1"/>
      <w:marLeft w:val="0"/>
      <w:marRight w:val="0"/>
      <w:marTop w:val="0"/>
      <w:marBottom w:val="0"/>
      <w:divBdr>
        <w:top w:val="none" w:sz="0" w:space="0" w:color="auto"/>
        <w:left w:val="none" w:sz="0" w:space="0" w:color="auto"/>
        <w:bottom w:val="none" w:sz="0" w:space="0" w:color="auto"/>
        <w:right w:val="none" w:sz="0" w:space="0" w:color="auto"/>
      </w:divBdr>
    </w:div>
    <w:div w:id="1136795106">
      <w:bodyDiv w:val="1"/>
      <w:marLeft w:val="0"/>
      <w:marRight w:val="0"/>
      <w:marTop w:val="0"/>
      <w:marBottom w:val="0"/>
      <w:divBdr>
        <w:top w:val="none" w:sz="0" w:space="0" w:color="auto"/>
        <w:left w:val="none" w:sz="0" w:space="0" w:color="auto"/>
        <w:bottom w:val="none" w:sz="0" w:space="0" w:color="auto"/>
        <w:right w:val="none" w:sz="0" w:space="0" w:color="auto"/>
      </w:divBdr>
    </w:div>
    <w:div w:id="1138457490">
      <w:bodyDiv w:val="1"/>
      <w:marLeft w:val="0"/>
      <w:marRight w:val="0"/>
      <w:marTop w:val="0"/>
      <w:marBottom w:val="0"/>
      <w:divBdr>
        <w:top w:val="none" w:sz="0" w:space="0" w:color="auto"/>
        <w:left w:val="none" w:sz="0" w:space="0" w:color="auto"/>
        <w:bottom w:val="none" w:sz="0" w:space="0" w:color="auto"/>
        <w:right w:val="none" w:sz="0" w:space="0" w:color="auto"/>
      </w:divBdr>
    </w:div>
    <w:div w:id="1139147322">
      <w:bodyDiv w:val="1"/>
      <w:marLeft w:val="0"/>
      <w:marRight w:val="0"/>
      <w:marTop w:val="0"/>
      <w:marBottom w:val="0"/>
      <w:divBdr>
        <w:top w:val="none" w:sz="0" w:space="0" w:color="auto"/>
        <w:left w:val="none" w:sz="0" w:space="0" w:color="auto"/>
        <w:bottom w:val="none" w:sz="0" w:space="0" w:color="auto"/>
        <w:right w:val="none" w:sz="0" w:space="0" w:color="auto"/>
      </w:divBdr>
    </w:div>
    <w:div w:id="1147866163">
      <w:bodyDiv w:val="1"/>
      <w:marLeft w:val="0"/>
      <w:marRight w:val="0"/>
      <w:marTop w:val="0"/>
      <w:marBottom w:val="0"/>
      <w:divBdr>
        <w:top w:val="none" w:sz="0" w:space="0" w:color="auto"/>
        <w:left w:val="none" w:sz="0" w:space="0" w:color="auto"/>
        <w:bottom w:val="none" w:sz="0" w:space="0" w:color="auto"/>
        <w:right w:val="none" w:sz="0" w:space="0" w:color="auto"/>
      </w:divBdr>
    </w:div>
    <w:div w:id="1152407420">
      <w:bodyDiv w:val="1"/>
      <w:marLeft w:val="0"/>
      <w:marRight w:val="0"/>
      <w:marTop w:val="0"/>
      <w:marBottom w:val="0"/>
      <w:divBdr>
        <w:top w:val="none" w:sz="0" w:space="0" w:color="auto"/>
        <w:left w:val="none" w:sz="0" w:space="0" w:color="auto"/>
        <w:bottom w:val="none" w:sz="0" w:space="0" w:color="auto"/>
        <w:right w:val="none" w:sz="0" w:space="0" w:color="auto"/>
      </w:divBdr>
    </w:div>
    <w:div w:id="1153178353">
      <w:bodyDiv w:val="1"/>
      <w:marLeft w:val="0"/>
      <w:marRight w:val="0"/>
      <w:marTop w:val="0"/>
      <w:marBottom w:val="0"/>
      <w:divBdr>
        <w:top w:val="none" w:sz="0" w:space="0" w:color="auto"/>
        <w:left w:val="none" w:sz="0" w:space="0" w:color="auto"/>
        <w:bottom w:val="none" w:sz="0" w:space="0" w:color="auto"/>
        <w:right w:val="none" w:sz="0" w:space="0" w:color="auto"/>
      </w:divBdr>
    </w:div>
    <w:div w:id="1154026817">
      <w:bodyDiv w:val="1"/>
      <w:marLeft w:val="0"/>
      <w:marRight w:val="0"/>
      <w:marTop w:val="0"/>
      <w:marBottom w:val="0"/>
      <w:divBdr>
        <w:top w:val="none" w:sz="0" w:space="0" w:color="auto"/>
        <w:left w:val="none" w:sz="0" w:space="0" w:color="auto"/>
        <w:bottom w:val="none" w:sz="0" w:space="0" w:color="auto"/>
        <w:right w:val="none" w:sz="0" w:space="0" w:color="auto"/>
      </w:divBdr>
    </w:div>
    <w:div w:id="1157916426">
      <w:bodyDiv w:val="1"/>
      <w:marLeft w:val="0"/>
      <w:marRight w:val="0"/>
      <w:marTop w:val="0"/>
      <w:marBottom w:val="0"/>
      <w:divBdr>
        <w:top w:val="none" w:sz="0" w:space="0" w:color="auto"/>
        <w:left w:val="none" w:sz="0" w:space="0" w:color="auto"/>
        <w:bottom w:val="none" w:sz="0" w:space="0" w:color="auto"/>
        <w:right w:val="none" w:sz="0" w:space="0" w:color="auto"/>
      </w:divBdr>
    </w:div>
    <w:div w:id="1159542661">
      <w:bodyDiv w:val="1"/>
      <w:marLeft w:val="0"/>
      <w:marRight w:val="0"/>
      <w:marTop w:val="0"/>
      <w:marBottom w:val="0"/>
      <w:divBdr>
        <w:top w:val="none" w:sz="0" w:space="0" w:color="auto"/>
        <w:left w:val="none" w:sz="0" w:space="0" w:color="auto"/>
        <w:bottom w:val="none" w:sz="0" w:space="0" w:color="auto"/>
        <w:right w:val="none" w:sz="0" w:space="0" w:color="auto"/>
      </w:divBdr>
    </w:div>
    <w:div w:id="1162433579">
      <w:bodyDiv w:val="1"/>
      <w:marLeft w:val="0"/>
      <w:marRight w:val="0"/>
      <w:marTop w:val="0"/>
      <w:marBottom w:val="0"/>
      <w:divBdr>
        <w:top w:val="none" w:sz="0" w:space="0" w:color="auto"/>
        <w:left w:val="none" w:sz="0" w:space="0" w:color="auto"/>
        <w:bottom w:val="none" w:sz="0" w:space="0" w:color="auto"/>
        <w:right w:val="none" w:sz="0" w:space="0" w:color="auto"/>
      </w:divBdr>
    </w:div>
    <w:div w:id="1162506030">
      <w:bodyDiv w:val="1"/>
      <w:marLeft w:val="0"/>
      <w:marRight w:val="0"/>
      <w:marTop w:val="0"/>
      <w:marBottom w:val="0"/>
      <w:divBdr>
        <w:top w:val="none" w:sz="0" w:space="0" w:color="auto"/>
        <w:left w:val="none" w:sz="0" w:space="0" w:color="auto"/>
        <w:bottom w:val="none" w:sz="0" w:space="0" w:color="auto"/>
        <w:right w:val="none" w:sz="0" w:space="0" w:color="auto"/>
      </w:divBdr>
    </w:div>
    <w:div w:id="1164122601">
      <w:bodyDiv w:val="1"/>
      <w:marLeft w:val="0"/>
      <w:marRight w:val="0"/>
      <w:marTop w:val="0"/>
      <w:marBottom w:val="0"/>
      <w:divBdr>
        <w:top w:val="none" w:sz="0" w:space="0" w:color="auto"/>
        <w:left w:val="none" w:sz="0" w:space="0" w:color="auto"/>
        <w:bottom w:val="none" w:sz="0" w:space="0" w:color="auto"/>
        <w:right w:val="none" w:sz="0" w:space="0" w:color="auto"/>
      </w:divBdr>
    </w:div>
    <w:div w:id="1164466415">
      <w:bodyDiv w:val="1"/>
      <w:marLeft w:val="0"/>
      <w:marRight w:val="0"/>
      <w:marTop w:val="0"/>
      <w:marBottom w:val="0"/>
      <w:divBdr>
        <w:top w:val="none" w:sz="0" w:space="0" w:color="auto"/>
        <w:left w:val="none" w:sz="0" w:space="0" w:color="auto"/>
        <w:bottom w:val="none" w:sz="0" w:space="0" w:color="auto"/>
        <w:right w:val="none" w:sz="0" w:space="0" w:color="auto"/>
      </w:divBdr>
    </w:div>
    <w:div w:id="1165824426">
      <w:bodyDiv w:val="1"/>
      <w:marLeft w:val="0"/>
      <w:marRight w:val="0"/>
      <w:marTop w:val="0"/>
      <w:marBottom w:val="0"/>
      <w:divBdr>
        <w:top w:val="none" w:sz="0" w:space="0" w:color="auto"/>
        <w:left w:val="none" w:sz="0" w:space="0" w:color="auto"/>
        <w:bottom w:val="none" w:sz="0" w:space="0" w:color="auto"/>
        <w:right w:val="none" w:sz="0" w:space="0" w:color="auto"/>
      </w:divBdr>
    </w:div>
    <w:div w:id="1167675252">
      <w:bodyDiv w:val="1"/>
      <w:marLeft w:val="0"/>
      <w:marRight w:val="0"/>
      <w:marTop w:val="0"/>
      <w:marBottom w:val="0"/>
      <w:divBdr>
        <w:top w:val="none" w:sz="0" w:space="0" w:color="auto"/>
        <w:left w:val="none" w:sz="0" w:space="0" w:color="auto"/>
        <w:bottom w:val="none" w:sz="0" w:space="0" w:color="auto"/>
        <w:right w:val="none" w:sz="0" w:space="0" w:color="auto"/>
      </w:divBdr>
    </w:div>
    <w:div w:id="1168322306">
      <w:bodyDiv w:val="1"/>
      <w:marLeft w:val="0"/>
      <w:marRight w:val="0"/>
      <w:marTop w:val="0"/>
      <w:marBottom w:val="0"/>
      <w:divBdr>
        <w:top w:val="none" w:sz="0" w:space="0" w:color="auto"/>
        <w:left w:val="none" w:sz="0" w:space="0" w:color="auto"/>
        <w:bottom w:val="none" w:sz="0" w:space="0" w:color="auto"/>
        <w:right w:val="none" w:sz="0" w:space="0" w:color="auto"/>
      </w:divBdr>
    </w:div>
    <w:div w:id="1170870105">
      <w:bodyDiv w:val="1"/>
      <w:marLeft w:val="0"/>
      <w:marRight w:val="0"/>
      <w:marTop w:val="0"/>
      <w:marBottom w:val="0"/>
      <w:divBdr>
        <w:top w:val="none" w:sz="0" w:space="0" w:color="auto"/>
        <w:left w:val="none" w:sz="0" w:space="0" w:color="auto"/>
        <w:bottom w:val="none" w:sz="0" w:space="0" w:color="auto"/>
        <w:right w:val="none" w:sz="0" w:space="0" w:color="auto"/>
      </w:divBdr>
    </w:div>
    <w:div w:id="1178884677">
      <w:bodyDiv w:val="1"/>
      <w:marLeft w:val="0"/>
      <w:marRight w:val="0"/>
      <w:marTop w:val="0"/>
      <w:marBottom w:val="0"/>
      <w:divBdr>
        <w:top w:val="none" w:sz="0" w:space="0" w:color="auto"/>
        <w:left w:val="none" w:sz="0" w:space="0" w:color="auto"/>
        <w:bottom w:val="none" w:sz="0" w:space="0" w:color="auto"/>
        <w:right w:val="none" w:sz="0" w:space="0" w:color="auto"/>
      </w:divBdr>
    </w:div>
    <w:div w:id="1180243423">
      <w:bodyDiv w:val="1"/>
      <w:marLeft w:val="0"/>
      <w:marRight w:val="0"/>
      <w:marTop w:val="0"/>
      <w:marBottom w:val="0"/>
      <w:divBdr>
        <w:top w:val="none" w:sz="0" w:space="0" w:color="auto"/>
        <w:left w:val="none" w:sz="0" w:space="0" w:color="auto"/>
        <w:bottom w:val="none" w:sz="0" w:space="0" w:color="auto"/>
        <w:right w:val="none" w:sz="0" w:space="0" w:color="auto"/>
      </w:divBdr>
    </w:div>
    <w:div w:id="1180507990">
      <w:bodyDiv w:val="1"/>
      <w:marLeft w:val="0"/>
      <w:marRight w:val="0"/>
      <w:marTop w:val="0"/>
      <w:marBottom w:val="0"/>
      <w:divBdr>
        <w:top w:val="none" w:sz="0" w:space="0" w:color="auto"/>
        <w:left w:val="none" w:sz="0" w:space="0" w:color="auto"/>
        <w:bottom w:val="none" w:sz="0" w:space="0" w:color="auto"/>
        <w:right w:val="none" w:sz="0" w:space="0" w:color="auto"/>
      </w:divBdr>
    </w:div>
    <w:div w:id="1181816970">
      <w:bodyDiv w:val="1"/>
      <w:marLeft w:val="0"/>
      <w:marRight w:val="0"/>
      <w:marTop w:val="0"/>
      <w:marBottom w:val="0"/>
      <w:divBdr>
        <w:top w:val="none" w:sz="0" w:space="0" w:color="auto"/>
        <w:left w:val="none" w:sz="0" w:space="0" w:color="auto"/>
        <w:bottom w:val="none" w:sz="0" w:space="0" w:color="auto"/>
        <w:right w:val="none" w:sz="0" w:space="0" w:color="auto"/>
      </w:divBdr>
    </w:div>
    <w:div w:id="1181817105">
      <w:bodyDiv w:val="1"/>
      <w:marLeft w:val="0"/>
      <w:marRight w:val="0"/>
      <w:marTop w:val="0"/>
      <w:marBottom w:val="0"/>
      <w:divBdr>
        <w:top w:val="none" w:sz="0" w:space="0" w:color="auto"/>
        <w:left w:val="none" w:sz="0" w:space="0" w:color="auto"/>
        <w:bottom w:val="none" w:sz="0" w:space="0" w:color="auto"/>
        <w:right w:val="none" w:sz="0" w:space="0" w:color="auto"/>
      </w:divBdr>
    </w:div>
    <w:div w:id="1182430710">
      <w:bodyDiv w:val="1"/>
      <w:marLeft w:val="0"/>
      <w:marRight w:val="0"/>
      <w:marTop w:val="0"/>
      <w:marBottom w:val="0"/>
      <w:divBdr>
        <w:top w:val="none" w:sz="0" w:space="0" w:color="auto"/>
        <w:left w:val="none" w:sz="0" w:space="0" w:color="auto"/>
        <w:bottom w:val="none" w:sz="0" w:space="0" w:color="auto"/>
        <w:right w:val="none" w:sz="0" w:space="0" w:color="auto"/>
      </w:divBdr>
    </w:div>
    <w:div w:id="1182476670">
      <w:bodyDiv w:val="1"/>
      <w:marLeft w:val="0"/>
      <w:marRight w:val="0"/>
      <w:marTop w:val="0"/>
      <w:marBottom w:val="0"/>
      <w:divBdr>
        <w:top w:val="none" w:sz="0" w:space="0" w:color="auto"/>
        <w:left w:val="none" w:sz="0" w:space="0" w:color="auto"/>
        <w:bottom w:val="none" w:sz="0" w:space="0" w:color="auto"/>
        <w:right w:val="none" w:sz="0" w:space="0" w:color="auto"/>
      </w:divBdr>
    </w:div>
    <w:div w:id="1182666980">
      <w:bodyDiv w:val="1"/>
      <w:marLeft w:val="0"/>
      <w:marRight w:val="0"/>
      <w:marTop w:val="0"/>
      <w:marBottom w:val="0"/>
      <w:divBdr>
        <w:top w:val="none" w:sz="0" w:space="0" w:color="auto"/>
        <w:left w:val="none" w:sz="0" w:space="0" w:color="auto"/>
        <w:bottom w:val="none" w:sz="0" w:space="0" w:color="auto"/>
        <w:right w:val="none" w:sz="0" w:space="0" w:color="auto"/>
      </w:divBdr>
    </w:div>
    <w:div w:id="1182822368">
      <w:bodyDiv w:val="1"/>
      <w:marLeft w:val="0"/>
      <w:marRight w:val="0"/>
      <w:marTop w:val="0"/>
      <w:marBottom w:val="0"/>
      <w:divBdr>
        <w:top w:val="none" w:sz="0" w:space="0" w:color="auto"/>
        <w:left w:val="none" w:sz="0" w:space="0" w:color="auto"/>
        <w:bottom w:val="none" w:sz="0" w:space="0" w:color="auto"/>
        <w:right w:val="none" w:sz="0" w:space="0" w:color="auto"/>
      </w:divBdr>
    </w:div>
    <w:div w:id="1184444307">
      <w:bodyDiv w:val="1"/>
      <w:marLeft w:val="0"/>
      <w:marRight w:val="0"/>
      <w:marTop w:val="0"/>
      <w:marBottom w:val="0"/>
      <w:divBdr>
        <w:top w:val="none" w:sz="0" w:space="0" w:color="auto"/>
        <w:left w:val="none" w:sz="0" w:space="0" w:color="auto"/>
        <w:bottom w:val="none" w:sz="0" w:space="0" w:color="auto"/>
        <w:right w:val="none" w:sz="0" w:space="0" w:color="auto"/>
      </w:divBdr>
    </w:div>
    <w:div w:id="1186753067">
      <w:bodyDiv w:val="1"/>
      <w:marLeft w:val="0"/>
      <w:marRight w:val="0"/>
      <w:marTop w:val="0"/>
      <w:marBottom w:val="0"/>
      <w:divBdr>
        <w:top w:val="none" w:sz="0" w:space="0" w:color="auto"/>
        <w:left w:val="none" w:sz="0" w:space="0" w:color="auto"/>
        <w:bottom w:val="none" w:sz="0" w:space="0" w:color="auto"/>
        <w:right w:val="none" w:sz="0" w:space="0" w:color="auto"/>
      </w:divBdr>
    </w:div>
    <w:div w:id="1189219445">
      <w:bodyDiv w:val="1"/>
      <w:marLeft w:val="0"/>
      <w:marRight w:val="0"/>
      <w:marTop w:val="0"/>
      <w:marBottom w:val="0"/>
      <w:divBdr>
        <w:top w:val="none" w:sz="0" w:space="0" w:color="auto"/>
        <w:left w:val="none" w:sz="0" w:space="0" w:color="auto"/>
        <w:bottom w:val="none" w:sz="0" w:space="0" w:color="auto"/>
        <w:right w:val="none" w:sz="0" w:space="0" w:color="auto"/>
      </w:divBdr>
    </w:div>
    <w:div w:id="1189874862">
      <w:bodyDiv w:val="1"/>
      <w:marLeft w:val="0"/>
      <w:marRight w:val="0"/>
      <w:marTop w:val="0"/>
      <w:marBottom w:val="0"/>
      <w:divBdr>
        <w:top w:val="none" w:sz="0" w:space="0" w:color="auto"/>
        <w:left w:val="none" w:sz="0" w:space="0" w:color="auto"/>
        <w:bottom w:val="none" w:sz="0" w:space="0" w:color="auto"/>
        <w:right w:val="none" w:sz="0" w:space="0" w:color="auto"/>
      </w:divBdr>
    </w:div>
    <w:div w:id="1194463296">
      <w:bodyDiv w:val="1"/>
      <w:marLeft w:val="0"/>
      <w:marRight w:val="0"/>
      <w:marTop w:val="0"/>
      <w:marBottom w:val="0"/>
      <w:divBdr>
        <w:top w:val="none" w:sz="0" w:space="0" w:color="auto"/>
        <w:left w:val="none" w:sz="0" w:space="0" w:color="auto"/>
        <w:bottom w:val="none" w:sz="0" w:space="0" w:color="auto"/>
        <w:right w:val="none" w:sz="0" w:space="0" w:color="auto"/>
      </w:divBdr>
    </w:div>
    <w:div w:id="1196499319">
      <w:bodyDiv w:val="1"/>
      <w:marLeft w:val="0"/>
      <w:marRight w:val="0"/>
      <w:marTop w:val="0"/>
      <w:marBottom w:val="0"/>
      <w:divBdr>
        <w:top w:val="none" w:sz="0" w:space="0" w:color="auto"/>
        <w:left w:val="none" w:sz="0" w:space="0" w:color="auto"/>
        <w:bottom w:val="none" w:sz="0" w:space="0" w:color="auto"/>
        <w:right w:val="none" w:sz="0" w:space="0" w:color="auto"/>
      </w:divBdr>
    </w:div>
    <w:div w:id="1196576616">
      <w:bodyDiv w:val="1"/>
      <w:marLeft w:val="0"/>
      <w:marRight w:val="0"/>
      <w:marTop w:val="0"/>
      <w:marBottom w:val="0"/>
      <w:divBdr>
        <w:top w:val="none" w:sz="0" w:space="0" w:color="auto"/>
        <w:left w:val="none" w:sz="0" w:space="0" w:color="auto"/>
        <w:bottom w:val="none" w:sz="0" w:space="0" w:color="auto"/>
        <w:right w:val="none" w:sz="0" w:space="0" w:color="auto"/>
      </w:divBdr>
    </w:div>
    <w:div w:id="1196771530">
      <w:bodyDiv w:val="1"/>
      <w:marLeft w:val="0"/>
      <w:marRight w:val="0"/>
      <w:marTop w:val="0"/>
      <w:marBottom w:val="0"/>
      <w:divBdr>
        <w:top w:val="none" w:sz="0" w:space="0" w:color="auto"/>
        <w:left w:val="none" w:sz="0" w:space="0" w:color="auto"/>
        <w:bottom w:val="none" w:sz="0" w:space="0" w:color="auto"/>
        <w:right w:val="none" w:sz="0" w:space="0" w:color="auto"/>
      </w:divBdr>
    </w:div>
    <w:div w:id="1197547144">
      <w:bodyDiv w:val="1"/>
      <w:marLeft w:val="0"/>
      <w:marRight w:val="0"/>
      <w:marTop w:val="0"/>
      <w:marBottom w:val="0"/>
      <w:divBdr>
        <w:top w:val="none" w:sz="0" w:space="0" w:color="auto"/>
        <w:left w:val="none" w:sz="0" w:space="0" w:color="auto"/>
        <w:bottom w:val="none" w:sz="0" w:space="0" w:color="auto"/>
        <w:right w:val="none" w:sz="0" w:space="0" w:color="auto"/>
      </w:divBdr>
    </w:div>
    <w:div w:id="1198618860">
      <w:bodyDiv w:val="1"/>
      <w:marLeft w:val="0"/>
      <w:marRight w:val="0"/>
      <w:marTop w:val="0"/>
      <w:marBottom w:val="0"/>
      <w:divBdr>
        <w:top w:val="none" w:sz="0" w:space="0" w:color="auto"/>
        <w:left w:val="none" w:sz="0" w:space="0" w:color="auto"/>
        <w:bottom w:val="none" w:sz="0" w:space="0" w:color="auto"/>
        <w:right w:val="none" w:sz="0" w:space="0" w:color="auto"/>
      </w:divBdr>
    </w:div>
    <w:div w:id="1199001946">
      <w:bodyDiv w:val="1"/>
      <w:marLeft w:val="0"/>
      <w:marRight w:val="0"/>
      <w:marTop w:val="0"/>
      <w:marBottom w:val="0"/>
      <w:divBdr>
        <w:top w:val="none" w:sz="0" w:space="0" w:color="auto"/>
        <w:left w:val="none" w:sz="0" w:space="0" w:color="auto"/>
        <w:bottom w:val="none" w:sz="0" w:space="0" w:color="auto"/>
        <w:right w:val="none" w:sz="0" w:space="0" w:color="auto"/>
      </w:divBdr>
    </w:div>
    <w:div w:id="1201823491">
      <w:bodyDiv w:val="1"/>
      <w:marLeft w:val="0"/>
      <w:marRight w:val="0"/>
      <w:marTop w:val="0"/>
      <w:marBottom w:val="0"/>
      <w:divBdr>
        <w:top w:val="none" w:sz="0" w:space="0" w:color="auto"/>
        <w:left w:val="none" w:sz="0" w:space="0" w:color="auto"/>
        <w:bottom w:val="none" w:sz="0" w:space="0" w:color="auto"/>
        <w:right w:val="none" w:sz="0" w:space="0" w:color="auto"/>
      </w:divBdr>
    </w:div>
    <w:div w:id="1202086998">
      <w:bodyDiv w:val="1"/>
      <w:marLeft w:val="0"/>
      <w:marRight w:val="0"/>
      <w:marTop w:val="0"/>
      <w:marBottom w:val="0"/>
      <w:divBdr>
        <w:top w:val="none" w:sz="0" w:space="0" w:color="auto"/>
        <w:left w:val="none" w:sz="0" w:space="0" w:color="auto"/>
        <w:bottom w:val="none" w:sz="0" w:space="0" w:color="auto"/>
        <w:right w:val="none" w:sz="0" w:space="0" w:color="auto"/>
      </w:divBdr>
    </w:div>
    <w:div w:id="1202130678">
      <w:bodyDiv w:val="1"/>
      <w:marLeft w:val="0"/>
      <w:marRight w:val="0"/>
      <w:marTop w:val="0"/>
      <w:marBottom w:val="0"/>
      <w:divBdr>
        <w:top w:val="none" w:sz="0" w:space="0" w:color="auto"/>
        <w:left w:val="none" w:sz="0" w:space="0" w:color="auto"/>
        <w:bottom w:val="none" w:sz="0" w:space="0" w:color="auto"/>
        <w:right w:val="none" w:sz="0" w:space="0" w:color="auto"/>
      </w:divBdr>
    </w:div>
    <w:div w:id="1202740469">
      <w:bodyDiv w:val="1"/>
      <w:marLeft w:val="0"/>
      <w:marRight w:val="0"/>
      <w:marTop w:val="0"/>
      <w:marBottom w:val="0"/>
      <w:divBdr>
        <w:top w:val="none" w:sz="0" w:space="0" w:color="auto"/>
        <w:left w:val="none" w:sz="0" w:space="0" w:color="auto"/>
        <w:bottom w:val="none" w:sz="0" w:space="0" w:color="auto"/>
        <w:right w:val="none" w:sz="0" w:space="0" w:color="auto"/>
      </w:divBdr>
    </w:div>
    <w:div w:id="1206598120">
      <w:bodyDiv w:val="1"/>
      <w:marLeft w:val="0"/>
      <w:marRight w:val="0"/>
      <w:marTop w:val="0"/>
      <w:marBottom w:val="0"/>
      <w:divBdr>
        <w:top w:val="none" w:sz="0" w:space="0" w:color="auto"/>
        <w:left w:val="none" w:sz="0" w:space="0" w:color="auto"/>
        <w:bottom w:val="none" w:sz="0" w:space="0" w:color="auto"/>
        <w:right w:val="none" w:sz="0" w:space="0" w:color="auto"/>
      </w:divBdr>
    </w:div>
    <w:div w:id="1207373165">
      <w:bodyDiv w:val="1"/>
      <w:marLeft w:val="0"/>
      <w:marRight w:val="0"/>
      <w:marTop w:val="0"/>
      <w:marBottom w:val="0"/>
      <w:divBdr>
        <w:top w:val="none" w:sz="0" w:space="0" w:color="auto"/>
        <w:left w:val="none" w:sz="0" w:space="0" w:color="auto"/>
        <w:bottom w:val="none" w:sz="0" w:space="0" w:color="auto"/>
        <w:right w:val="none" w:sz="0" w:space="0" w:color="auto"/>
      </w:divBdr>
    </w:div>
    <w:div w:id="1209033508">
      <w:bodyDiv w:val="1"/>
      <w:marLeft w:val="0"/>
      <w:marRight w:val="0"/>
      <w:marTop w:val="0"/>
      <w:marBottom w:val="0"/>
      <w:divBdr>
        <w:top w:val="none" w:sz="0" w:space="0" w:color="auto"/>
        <w:left w:val="none" w:sz="0" w:space="0" w:color="auto"/>
        <w:bottom w:val="none" w:sz="0" w:space="0" w:color="auto"/>
        <w:right w:val="none" w:sz="0" w:space="0" w:color="auto"/>
      </w:divBdr>
    </w:div>
    <w:div w:id="1210528376">
      <w:bodyDiv w:val="1"/>
      <w:marLeft w:val="0"/>
      <w:marRight w:val="0"/>
      <w:marTop w:val="0"/>
      <w:marBottom w:val="0"/>
      <w:divBdr>
        <w:top w:val="none" w:sz="0" w:space="0" w:color="auto"/>
        <w:left w:val="none" w:sz="0" w:space="0" w:color="auto"/>
        <w:bottom w:val="none" w:sz="0" w:space="0" w:color="auto"/>
        <w:right w:val="none" w:sz="0" w:space="0" w:color="auto"/>
      </w:divBdr>
    </w:div>
    <w:div w:id="1212770407">
      <w:bodyDiv w:val="1"/>
      <w:marLeft w:val="0"/>
      <w:marRight w:val="0"/>
      <w:marTop w:val="0"/>
      <w:marBottom w:val="0"/>
      <w:divBdr>
        <w:top w:val="none" w:sz="0" w:space="0" w:color="auto"/>
        <w:left w:val="none" w:sz="0" w:space="0" w:color="auto"/>
        <w:bottom w:val="none" w:sz="0" w:space="0" w:color="auto"/>
        <w:right w:val="none" w:sz="0" w:space="0" w:color="auto"/>
      </w:divBdr>
    </w:div>
    <w:div w:id="1217274613">
      <w:bodyDiv w:val="1"/>
      <w:marLeft w:val="0"/>
      <w:marRight w:val="0"/>
      <w:marTop w:val="0"/>
      <w:marBottom w:val="0"/>
      <w:divBdr>
        <w:top w:val="none" w:sz="0" w:space="0" w:color="auto"/>
        <w:left w:val="none" w:sz="0" w:space="0" w:color="auto"/>
        <w:bottom w:val="none" w:sz="0" w:space="0" w:color="auto"/>
        <w:right w:val="none" w:sz="0" w:space="0" w:color="auto"/>
      </w:divBdr>
    </w:div>
    <w:div w:id="1220481121">
      <w:bodyDiv w:val="1"/>
      <w:marLeft w:val="0"/>
      <w:marRight w:val="0"/>
      <w:marTop w:val="0"/>
      <w:marBottom w:val="0"/>
      <w:divBdr>
        <w:top w:val="none" w:sz="0" w:space="0" w:color="auto"/>
        <w:left w:val="none" w:sz="0" w:space="0" w:color="auto"/>
        <w:bottom w:val="none" w:sz="0" w:space="0" w:color="auto"/>
        <w:right w:val="none" w:sz="0" w:space="0" w:color="auto"/>
      </w:divBdr>
    </w:div>
    <w:div w:id="1220938348">
      <w:bodyDiv w:val="1"/>
      <w:marLeft w:val="0"/>
      <w:marRight w:val="0"/>
      <w:marTop w:val="0"/>
      <w:marBottom w:val="0"/>
      <w:divBdr>
        <w:top w:val="none" w:sz="0" w:space="0" w:color="auto"/>
        <w:left w:val="none" w:sz="0" w:space="0" w:color="auto"/>
        <w:bottom w:val="none" w:sz="0" w:space="0" w:color="auto"/>
        <w:right w:val="none" w:sz="0" w:space="0" w:color="auto"/>
      </w:divBdr>
    </w:div>
    <w:div w:id="1222985786">
      <w:bodyDiv w:val="1"/>
      <w:marLeft w:val="0"/>
      <w:marRight w:val="0"/>
      <w:marTop w:val="0"/>
      <w:marBottom w:val="0"/>
      <w:divBdr>
        <w:top w:val="none" w:sz="0" w:space="0" w:color="auto"/>
        <w:left w:val="none" w:sz="0" w:space="0" w:color="auto"/>
        <w:bottom w:val="none" w:sz="0" w:space="0" w:color="auto"/>
        <w:right w:val="none" w:sz="0" w:space="0" w:color="auto"/>
      </w:divBdr>
    </w:div>
    <w:div w:id="1226068552">
      <w:bodyDiv w:val="1"/>
      <w:marLeft w:val="0"/>
      <w:marRight w:val="0"/>
      <w:marTop w:val="0"/>
      <w:marBottom w:val="0"/>
      <w:divBdr>
        <w:top w:val="none" w:sz="0" w:space="0" w:color="auto"/>
        <w:left w:val="none" w:sz="0" w:space="0" w:color="auto"/>
        <w:bottom w:val="none" w:sz="0" w:space="0" w:color="auto"/>
        <w:right w:val="none" w:sz="0" w:space="0" w:color="auto"/>
      </w:divBdr>
    </w:div>
    <w:div w:id="1227689515">
      <w:bodyDiv w:val="1"/>
      <w:marLeft w:val="0"/>
      <w:marRight w:val="0"/>
      <w:marTop w:val="0"/>
      <w:marBottom w:val="0"/>
      <w:divBdr>
        <w:top w:val="none" w:sz="0" w:space="0" w:color="auto"/>
        <w:left w:val="none" w:sz="0" w:space="0" w:color="auto"/>
        <w:bottom w:val="none" w:sz="0" w:space="0" w:color="auto"/>
        <w:right w:val="none" w:sz="0" w:space="0" w:color="auto"/>
      </w:divBdr>
    </w:div>
    <w:div w:id="1228497668">
      <w:bodyDiv w:val="1"/>
      <w:marLeft w:val="0"/>
      <w:marRight w:val="0"/>
      <w:marTop w:val="0"/>
      <w:marBottom w:val="0"/>
      <w:divBdr>
        <w:top w:val="none" w:sz="0" w:space="0" w:color="auto"/>
        <w:left w:val="none" w:sz="0" w:space="0" w:color="auto"/>
        <w:bottom w:val="none" w:sz="0" w:space="0" w:color="auto"/>
        <w:right w:val="none" w:sz="0" w:space="0" w:color="auto"/>
      </w:divBdr>
    </w:div>
    <w:div w:id="1228690853">
      <w:bodyDiv w:val="1"/>
      <w:marLeft w:val="0"/>
      <w:marRight w:val="0"/>
      <w:marTop w:val="0"/>
      <w:marBottom w:val="0"/>
      <w:divBdr>
        <w:top w:val="none" w:sz="0" w:space="0" w:color="auto"/>
        <w:left w:val="none" w:sz="0" w:space="0" w:color="auto"/>
        <w:bottom w:val="none" w:sz="0" w:space="0" w:color="auto"/>
        <w:right w:val="none" w:sz="0" w:space="0" w:color="auto"/>
      </w:divBdr>
    </w:div>
    <w:div w:id="1234194600">
      <w:bodyDiv w:val="1"/>
      <w:marLeft w:val="0"/>
      <w:marRight w:val="0"/>
      <w:marTop w:val="0"/>
      <w:marBottom w:val="0"/>
      <w:divBdr>
        <w:top w:val="none" w:sz="0" w:space="0" w:color="auto"/>
        <w:left w:val="none" w:sz="0" w:space="0" w:color="auto"/>
        <w:bottom w:val="none" w:sz="0" w:space="0" w:color="auto"/>
        <w:right w:val="none" w:sz="0" w:space="0" w:color="auto"/>
      </w:divBdr>
    </w:div>
    <w:div w:id="1234967675">
      <w:bodyDiv w:val="1"/>
      <w:marLeft w:val="0"/>
      <w:marRight w:val="0"/>
      <w:marTop w:val="0"/>
      <w:marBottom w:val="0"/>
      <w:divBdr>
        <w:top w:val="none" w:sz="0" w:space="0" w:color="auto"/>
        <w:left w:val="none" w:sz="0" w:space="0" w:color="auto"/>
        <w:bottom w:val="none" w:sz="0" w:space="0" w:color="auto"/>
        <w:right w:val="none" w:sz="0" w:space="0" w:color="auto"/>
      </w:divBdr>
    </w:div>
    <w:div w:id="1235970502">
      <w:bodyDiv w:val="1"/>
      <w:marLeft w:val="0"/>
      <w:marRight w:val="0"/>
      <w:marTop w:val="0"/>
      <w:marBottom w:val="0"/>
      <w:divBdr>
        <w:top w:val="none" w:sz="0" w:space="0" w:color="auto"/>
        <w:left w:val="none" w:sz="0" w:space="0" w:color="auto"/>
        <w:bottom w:val="none" w:sz="0" w:space="0" w:color="auto"/>
        <w:right w:val="none" w:sz="0" w:space="0" w:color="auto"/>
      </w:divBdr>
    </w:div>
    <w:div w:id="1236085297">
      <w:bodyDiv w:val="1"/>
      <w:marLeft w:val="0"/>
      <w:marRight w:val="0"/>
      <w:marTop w:val="0"/>
      <w:marBottom w:val="0"/>
      <w:divBdr>
        <w:top w:val="none" w:sz="0" w:space="0" w:color="auto"/>
        <w:left w:val="none" w:sz="0" w:space="0" w:color="auto"/>
        <w:bottom w:val="none" w:sz="0" w:space="0" w:color="auto"/>
        <w:right w:val="none" w:sz="0" w:space="0" w:color="auto"/>
      </w:divBdr>
    </w:div>
    <w:div w:id="1238981674">
      <w:bodyDiv w:val="1"/>
      <w:marLeft w:val="0"/>
      <w:marRight w:val="0"/>
      <w:marTop w:val="0"/>
      <w:marBottom w:val="0"/>
      <w:divBdr>
        <w:top w:val="none" w:sz="0" w:space="0" w:color="auto"/>
        <w:left w:val="none" w:sz="0" w:space="0" w:color="auto"/>
        <w:bottom w:val="none" w:sz="0" w:space="0" w:color="auto"/>
        <w:right w:val="none" w:sz="0" w:space="0" w:color="auto"/>
      </w:divBdr>
    </w:div>
    <w:div w:id="1239094026">
      <w:bodyDiv w:val="1"/>
      <w:marLeft w:val="0"/>
      <w:marRight w:val="0"/>
      <w:marTop w:val="0"/>
      <w:marBottom w:val="0"/>
      <w:divBdr>
        <w:top w:val="none" w:sz="0" w:space="0" w:color="auto"/>
        <w:left w:val="none" w:sz="0" w:space="0" w:color="auto"/>
        <w:bottom w:val="none" w:sz="0" w:space="0" w:color="auto"/>
        <w:right w:val="none" w:sz="0" w:space="0" w:color="auto"/>
      </w:divBdr>
    </w:div>
    <w:div w:id="1240016900">
      <w:bodyDiv w:val="1"/>
      <w:marLeft w:val="0"/>
      <w:marRight w:val="0"/>
      <w:marTop w:val="0"/>
      <w:marBottom w:val="0"/>
      <w:divBdr>
        <w:top w:val="none" w:sz="0" w:space="0" w:color="auto"/>
        <w:left w:val="none" w:sz="0" w:space="0" w:color="auto"/>
        <w:bottom w:val="none" w:sz="0" w:space="0" w:color="auto"/>
        <w:right w:val="none" w:sz="0" w:space="0" w:color="auto"/>
      </w:divBdr>
    </w:div>
    <w:div w:id="1242450084">
      <w:bodyDiv w:val="1"/>
      <w:marLeft w:val="0"/>
      <w:marRight w:val="0"/>
      <w:marTop w:val="0"/>
      <w:marBottom w:val="0"/>
      <w:divBdr>
        <w:top w:val="none" w:sz="0" w:space="0" w:color="auto"/>
        <w:left w:val="none" w:sz="0" w:space="0" w:color="auto"/>
        <w:bottom w:val="none" w:sz="0" w:space="0" w:color="auto"/>
        <w:right w:val="none" w:sz="0" w:space="0" w:color="auto"/>
      </w:divBdr>
    </w:div>
    <w:div w:id="1242984371">
      <w:bodyDiv w:val="1"/>
      <w:marLeft w:val="0"/>
      <w:marRight w:val="0"/>
      <w:marTop w:val="0"/>
      <w:marBottom w:val="0"/>
      <w:divBdr>
        <w:top w:val="none" w:sz="0" w:space="0" w:color="auto"/>
        <w:left w:val="none" w:sz="0" w:space="0" w:color="auto"/>
        <w:bottom w:val="none" w:sz="0" w:space="0" w:color="auto"/>
        <w:right w:val="none" w:sz="0" w:space="0" w:color="auto"/>
      </w:divBdr>
    </w:div>
    <w:div w:id="1246113827">
      <w:bodyDiv w:val="1"/>
      <w:marLeft w:val="0"/>
      <w:marRight w:val="0"/>
      <w:marTop w:val="0"/>
      <w:marBottom w:val="0"/>
      <w:divBdr>
        <w:top w:val="none" w:sz="0" w:space="0" w:color="auto"/>
        <w:left w:val="none" w:sz="0" w:space="0" w:color="auto"/>
        <w:bottom w:val="none" w:sz="0" w:space="0" w:color="auto"/>
        <w:right w:val="none" w:sz="0" w:space="0" w:color="auto"/>
      </w:divBdr>
    </w:div>
    <w:div w:id="1249777516">
      <w:bodyDiv w:val="1"/>
      <w:marLeft w:val="0"/>
      <w:marRight w:val="0"/>
      <w:marTop w:val="0"/>
      <w:marBottom w:val="0"/>
      <w:divBdr>
        <w:top w:val="none" w:sz="0" w:space="0" w:color="auto"/>
        <w:left w:val="none" w:sz="0" w:space="0" w:color="auto"/>
        <w:bottom w:val="none" w:sz="0" w:space="0" w:color="auto"/>
        <w:right w:val="none" w:sz="0" w:space="0" w:color="auto"/>
      </w:divBdr>
    </w:div>
    <w:div w:id="1251236328">
      <w:bodyDiv w:val="1"/>
      <w:marLeft w:val="0"/>
      <w:marRight w:val="0"/>
      <w:marTop w:val="0"/>
      <w:marBottom w:val="0"/>
      <w:divBdr>
        <w:top w:val="none" w:sz="0" w:space="0" w:color="auto"/>
        <w:left w:val="none" w:sz="0" w:space="0" w:color="auto"/>
        <w:bottom w:val="none" w:sz="0" w:space="0" w:color="auto"/>
        <w:right w:val="none" w:sz="0" w:space="0" w:color="auto"/>
      </w:divBdr>
    </w:div>
    <w:div w:id="1252079764">
      <w:bodyDiv w:val="1"/>
      <w:marLeft w:val="0"/>
      <w:marRight w:val="0"/>
      <w:marTop w:val="0"/>
      <w:marBottom w:val="0"/>
      <w:divBdr>
        <w:top w:val="none" w:sz="0" w:space="0" w:color="auto"/>
        <w:left w:val="none" w:sz="0" w:space="0" w:color="auto"/>
        <w:bottom w:val="none" w:sz="0" w:space="0" w:color="auto"/>
        <w:right w:val="none" w:sz="0" w:space="0" w:color="auto"/>
      </w:divBdr>
    </w:div>
    <w:div w:id="1252394677">
      <w:bodyDiv w:val="1"/>
      <w:marLeft w:val="0"/>
      <w:marRight w:val="0"/>
      <w:marTop w:val="0"/>
      <w:marBottom w:val="0"/>
      <w:divBdr>
        <w:top w:val="none" w:sz="0" w:space="0" w:color="auto"/>
        <w:left w:val="none" w:sz="0" w:space="0" w:color="auto"/>
        <w:bottom w:val="none" w:sz="0" w:space="0" w:color="auto"/>
        <w:right w:val="none" w:sz="0" w:space="0" w:color="auto"/>
      </w:divBdr>
    </w:div>
    <w:div w:id="1252739570">
      <w:bodyDiv w:val="1"/>
      <w:marLeft w:val="0"/>
      <w:marRight w:val="0"/>
      <w:marTop w:val="0"/>
      <w:marBottom w:val="0"/>
      <w:divBdr>
        <w:top w:val="none" w:sz="0" w:space="0" w:color="auto"/>
        <w:left w:val="none" w:sz="0" w:space="0" w:color="auto"/>
        <w:bottom w:val="none" w:sz="0" w:space="0" w:color="auto"/>
        <w:right w:val="none" w:sz="0" w:space="0" w:color="auto"/>
      </w:divBdr>
    </w:div>
    <w:div w:id="1254128467">
      <w:bodyDiv w:val="1"/>
      <w:marLeft w:val="0"/>
      <w:marRight w:val="0"/>
      <w:marTop w:val="0"/>
      <w:marBottom w:val="0"/>
      <w:divBdr>
        <w:top w:val="none" w:sz="0" w:space="0" w:color="auto"/>
        <w:left w:val="none" w:sz="0" w:space="0" w:color="auto"/>
        <w:bottom w:val="none" w:sz="0" w:space="0" w:color="auto"/>
        <w:right w:val="none" w:sz="0" w:space="0" w:color="auto"/>
      </w:divBdr>
    </w:div>
    <w:div w:id="1254778489">
      <w:bodyDiv w:val="1"/>
      <w:marLeft w:val="0"/>
      <w:marRight w:val="0"/>
      <w:marTop w:val="0"/>
      <w:marBottom w:val="0"/>
      <w:divBdr>
        <w:top w:val="none" w:sz="0" w:space="0" w:color="auto"/>
        <w:left w:val="none" w:sz="0" w:space="0" w:color="auto"/>
        <w:bottom w:val="none" w:sz="0" w:space="0" w:color="auto"/>
        <w:right w:val="none" w:sz="0" w:space="0" w:color="auto"/>
      </w:divBdr>
    </w:div>
    <w:div w:id="1257247365">
      <w:bodyDiv w:val="1"/>
      <w:marLeft w:val="0"/>
      <w:marRight w:val="0"/>
      <w:marTop w:val="0"/>
      <w:marBottom w:val="0"/>
      <w:divBdr>
        <w:top w:val="none" w:sz="0" w:space="0" w:color="auto"/>
        <w:left w:val="none" w:sz="0" w:space="0" w:color="auto"/>
        <w:bottom w:val="none" w:sz="0" w:space="0" w:color="auto"/>
        <w:right w:val="none" w:sz="0" w:space="0" w:color="auto"/>
      </w:divBdr>
    </w:div>
    <w:div w:id="1263609545">
      <w:bodyDiv w:val="1"/>
      <w:marLeft w:val="0"/>
      <w:marRight w:val="0"/>
      <w:marTop w:val="0"/>
      <w:marBottom w:val="0"/>
      <w:divBdr>
        <w:top w:val="none" w:sz="0" w:space="0" w:color="auto"/>
        <w:left w:val="none" w:sz="0" w:space="0" w:color="auto"/>
        <w:bottom w:val="none" w:sz="0" w:space="0" w:color="auto"/>
        <w:right w:val="none" w:sz="0" w:space="0" w:color="auto"/>
      </w:divBdr>
    </w:div>
    <w:div w:id="1273055020">
      <w:bodyDiv w:val="1"/>
      <w:marLeft w:val="0"/>
      <w:marRight w:val="0"/>
      <w:marTop w:val="0"/>
      <w:marBottom w:val="0"/>
      <w:divBdr>
        <w:top w:val="none" w:sz="0" w:space="0" w:color="auto"/>
        <w:left w:val="none" w:sz="0" w:space="0" w:color="auto"/>
        <w:bottom w:val="none" w:sz="0" w:space="0" w:color="auto"/>
        <w:right w:val="none" w:sz="0" w:space="0" w:color="auto"/>
      </w:divBdr>
    </w:div>
    <w:div w:id="1275022390">
      <w:bodyDiv w:val="1"/>
      <w:marLeft w:val="0"/>
      <w:marRight w:val="0"/>
      <w:marTop w:val="0"/>
      <w:marBottom w:val="0"/>
      <w:divBdr>
        <w:top w:val="none" w:sz="0" w:space="0" w:color="auto"/>
        <w:left w:val="none" w:sz="0" w:space="0" w:color="auto"/>
        <w:bottom w:val="none" w:sz="0" w:space="0" w:color="auto"/>
        <w:right w:val="none" w:sz="0" w:space="0" w:color="auto"/>
      </w:divBdr>
    </w:div>
    <w:div w:id="1278834547">
      <w:bodyDiv w:val="1"/>
      <w:marLeft w:val="0"/>
      <w:marRight w:val="0"/>
      <w:marTop w:val="0"/>
      <w:marBottom w:val="0"/>
      <w:divBdr>
        <w:top w:val="none" w:sz="0" w:space="0" w:color="auto"/>
        <w:left w:val="none" w:sz="0" w:space="0" w:color="auto"/>
        <w:bottom w:val="none" w:sz="0" w:space="0" w:color="auto"/>
        <w:right w:val="none" w:sz="0" w:space="0" w:color="auto"/>
      </w:divBdr>
    </w:div>
    <w:div w:id="1279533016">
      <w:bodyDiv w:val="1"/>
      <w:marLeft w:val="0"/>
      <w:marRight w:val="0"/>
      <w:marTop w:val="0"/>
      <w:marBottom w:val="0"/>
      <w:divBdr>
        <w:top w:val="none" w:sz="0" w:space="0" w:color="auto"/>
        <w:left w:val="none" w:sz="0" w:space="0" w:color="auto"/>
        <w:bottom w:val="none" w:sz="0" w:space="0" w:color="auto"/>
        <w:right w:val="none" w:sz="0" w:space="0" w:color="auto"/>
      </w:divBdr>
    </w:div>
    <w:div w:id="1281835584">
      <w:bodyDiv w:val="1"/>
      <w:marLeft w:val="0"/>
      <w:marRight w:val="0"/>
      <w:marTop w:val="0"/>
      <w:marBottom w:val="0"/>
      <w:divBdr>
        <w:top w:val="none" w:sz="0" w:space="0" w:color="auto"/>
        <w:left w:val="none" w:sz="0" w:space="0" w:color="auto"/>
        <w:bottom w:val="none" w:sz="0" w:space="0" w:color="auto"/>
        <w:right w:val="none" w:sz="0" w:space="0" w:color="auto"/>
      </w:divBdr>
    </w:div>
    <w:div w:id="1283194973">
      <w:bodyDiv w:val="1"/>
      <w:marLeft w:val="0"/>
      <w:marRight w:val="0"/>
      <w:marTop w:val="0"/>
      <w:marBottom w:val="0"/>
      <w:divBdr>
        <w:top w:val="none" w:sz="0" w:space="0" w:color="auto"/>
        <w:left w:val="none" w:sz="0" w:space="0" w:color="auto"/>
        <w:bottom w:val="none" w:sz="0" w:space="0" w:color="auto"/>
        <w:right w:val="none" w:sz="0" w:space="0" w:color="auto"/>
      </w:divBdr>
    </w:div>
    <w:div w:id="1284001111">
      <w:bodyDiv w:val="1"/>
      <w:marLeft w:val="0"/>
      <w:marRight w:val="0"/>
      <w:marTop w:val="0"/>
      <w:marBottom w:val="0"/>
      <w:divBdr>
        <w:top w:val="none" w:sz="0" w:space="0" w:color="auto"/>
        <w:left w:val="none" w:sz="0" w:space="0" w:color="auto"/>
        <w:bottom w:val="none" w:sz="0" w:space="0" w:color="auto"/>
        <w:right w:val="none" w:sz="0" w:space="0" w:color="auto"/>
      </w:divBdr>
    </w:div>
    <w:div w:id="1290211803">
      <w:bodyDiv w:val="1"/>
      <w:marLeft w:val="0"/>
      <w:marRight w:val="0"/>
      <w:marTop w:val="0"/>
      <w:marBottom w:val="0"/>
      <w:divBdr>
        <w:top w:val="none" w:sz="0" w:space="0" w:color="auto"/>
        <w:left w:val="none" w:sz="0" w:space="0" w:color="auto"/>
        <w:bottom w:val="none" w:sz="0" w:space="0" w:color="auto"/>
        <w:right w:val="none" w:sz="0" w:space="0" w:color="auto"/>
      </w:divBdr>
    </w:div>
    <w:div w:id="1290473100">
      <w:bodyDiv w:val="1"/>
      <w:marLeft w:val="0"/>
      <w:marRight w:val="0"/>
      <w:marTop w:val="0"/>
      <w:marBottom w:val="0"/>
      <w:divBdr>
        <w:top w:val="none" w:sz="0" w:space="0" w:color="auto"/>
        <w:left w:val="none" w:sz="0" w:space="0" w:color="auto"/>
        <w:bottom w:val="none" w:sz="0" w:space="0" w:color="auto"/>
        <w:right w:val="none" w:sz="0" w:space="0" w:color="auto"/>
      </w:divBdr>
    </w:div>
    <w:div w:id="1292243952">
      <w:bodyDiv w:val="1"/>
      <w:marLeft w:val="0"/>
      <w:marRight w:val="0"/>
      <w:marTop w:val="0"/>
      <w:marBottom w:val="0"/>
      <w:divBdr>
        <w:top w:val="none" w:sz="0" w:space="0" w:color="auto"/>
        <w:left w:val="none" w:sz="0" w:space="0" w:color="auto"/>
        <w:bottom w:val="none" w:sz="0" w:space="0" w:color="auto"/>
        <w:right w:val="none" w:sz="0" w:space="0" w:color="auto"/>
      </w:divBdr>
    </w:div>
    <w:div w:id="1293099397">
      <w:bodyDiv w:val="1"/>
      <w:marLeft w:val="0"/>
      <w:marRight w:val="0"/>
      <w:marTop w:val="0"/>
      <w:marBottom w:val="0"/>
      <w:divBdr>
        <w:top w:val="none" w:sz="0" w:space="0" w:color="auto"/>
        <w:left w:val="none" w:sz="0" w:space="0" w:color="auto"/>
        <w:bottom w:val="none" w:sz="0" w:space="0" w:color="auto"/>
        <w:right w:val="none" w:sz="0" w:space="0" w:color="auto"/>
      </w:divBdr>
    </w:div>
    <w:div w:id="1293752795">
      <w:bodyDiv w:val="1"/>
      <w:marLeft w:val="0"/>
      <w:marRight w:val="0"/>
      <w:marTop w:val="0"/>
      <w:marBottom w:val="0"/>
      <w:divBdr>
        <w:top w:val="none" w:sz="0" w:space="0" w:color="auto"/>
        <w:left w:val="none" w:sz="0" w:space="0" w:color="auto"/>
        <w:bottom w:val="none" w:sz="0" w:space="0" w:color="auto"/>
        <w:right w:val="none" w:sz="0" w:space="0" w:color="auto"/>
      </w:divBdr>
    </w:div>
    <w:div w:id="1296181982">
      <w:bodyDiv w:val="1"/>
      <w:marLeft w:val="0"/>
      <w:marRight w:val="0"/>
      <w:marTop w:val="0"/>
      <w:marBottom w:val="0"/>
      <w:divBdr>
        <w:top w:val="none" w:sz="0" w:space="0" w:color="auto"/>
        <w:left w:val="none" w:sz="0" w:space="0" w:color="auto"/>
        <w:bottom w:val="none" w:sz="0" w:space="0" w:color="auto"/>
        <w:right w:val="none" w:sz="0" w:space="0" w:color="auto"/>
      </w:divBdr>
    </w:div>
    <w:div w:id="1297292632">
      <w:bodyDiv w:val="1"/>
      <w:marLeft w:val="0"/>
      <w:marRight w:val="0"/>
      <w:marTop w:val="0"/>
      <w:marBottom w:val="0"/>
      <w:divBdr>
        <w:top w:val="none" w:sz="0" w:space="0" w:color="auto"/>
        <w:left w:val="none" w:sz="0" w:space="0" w:color="auto"/>
        <w:bottom w:val="none" w:sz="0" w:space="0" w:color="auto"/>
        <w:right w:val="none" w:sz="0" w:space="0" w:color="auto"/>
      </w:divBdr>
    </w:div>
    <w:div w:id="1297754964">
      <w:bodyDiv w:val="1"/>
      <w:marLeft w:val="0"/>
      <w:marRight w:val="0"/>
      <w:marTop w:val="0"/>
      <w:marBottom w:val="0"/>
      <w:divBdr>
        <w:top w:val="none" w:sz="0" w:space="0" w:color="auto"/>
        <w:left w:val="none" w:sz="0" w:space="0" w:color="auto"/>
        <w:bottom w:val="none" w:sz="0" w:space="0" w:color="auto"/>
        <w:right w:val="none" w:sz="0" w:space="0" w:color="auto"/>
      </w:divBdr>
    </w:div>
    <w:div w:id="1298030233">
      <w:bodyDiv w:val="1"/>
      <w:marLeft w:val="0"/>
      <w:marRight w:val="0"/>
      <w:marTop w:val="0"/>
      <w:marBottom w:val="0"/>
      <w:divBdr>
        <w:top w:val="none" w:sz="0" w:space="0" w:color="auto"/>
        <w:left w:val="none" w:sz="0" w:space="0" w:color="auto"/>
        <w:bottom w:val="none" w:sz="0" w:space="0" w:color="auto"/>
        <w:right w:val="none" w:sz="0" w:space="0" w:color="auto"/>
      </w:divBdr>
    </w:div>
    <w:div w:id="1298606803">
      <w:bodyDiv w:val="1"/>
      <w:marLeft w:val="0"/>
      <w:marRight w:val="0"/>
      <w:marTop w:val="0"/>
      <w:marBottom w:val="0"/>
      <w:divBdr>
        <w:top w:val="none" w:sz="0" w:space="0" w:color="auto"/>
        <w:left w:val="none" w:sz="0" w:space="0" w:color="auto"/>
        <w:bottom w:val="none" w:sz="0" w:space="0" w:color="auto"/>
        <w:right w:val="none" w:sz="0" w:space="0" w:color="auto"/>
      </w:divBdr>
    </w:div>
    <w:div w:id="1300108819">
      <w:bodyDiv w:val="1"/>
      <w:marLeft w:val="0"/>
      <w:marRight w:val="0"/>
      <w:marTop w:val="0"/>
      <w:marBottom w:val="0"/>
      <w:divBdr>
        <w:top w:val="none" w:sz="0" w:space="0" w:color="auto"/>
        <w:left w:val="none" w:sz="0" w:space="0" w:color="auto"/>
        <w:bottom w:val="none" w:sz="0" w:space="0" w:color="auto"/>
        <w:right w:val="none" w:sz="0" w:space="0" w:color="auto"/>
      </w:divBdr>
    </w:div>
    <w:div w:id="1300958863">
      <w:bodyDiv w:val="1"/>
      <w:marLeft w:val="0"/>
      <w:marRight w:val="0"/>
      <w:marTop w:val="0"/>
      <w:marBottom w:val="0"/>
      <w:divBdr>
        <w:top w:val="none" w:sz="0" w:space="0" w:color="auto"/>
        <w:left w:val="none" w:sz="0" w:space="0" w:color="auto"/>
        <w:bottom w:val="none" w:sz="0" w:space="0" w:color="auto"/>
        <w:right w:val="none" w:sz="0" w:space="0" w:color="auto"/>
      </w:divBdr>
    </w:div>
    <w:div w:id="1301231335">
      <w:bodyDiv w:val="1"/>
      <w:marLeft w:val="0"/>
      <w:marRight w:val="0"/>
      <w:marTop w:val="0"/>
      <w:marBottom w:val="0"/>
      <w:divBdr>
        <w:top w:val="none" w:sz="0" w:space="0" w:color="auto"/>
        <w:left w:val="none" w:sz="0" w:space="0" w:color="auto"/>
        <w:bottom w:val="none" w:sz="0" w:space="0" w:color="auto"/>
        <w:right w:val="none" w:sz="0" w:space="0" w:color="auto"/>
      </w:divBdr>
    </w:div>
    <w:div w:id="1303194203">
      <w:bodyDiv w:val="1"/>
      <w:marLeft w:val="0"/>
      <w:marRight w:val="0"/>
      <w:marTop w:val="0"/>
      <w:marBottom w:val="0"/>
      <w:divBdr>
        <w:top w:val="none" w:sz="0" w:space="0" w:color="auto"/>
        <w:left w:val="none" w:sz="0" w:space="0" w:color="auto"/>
        <w:bottom w:val="none" w:sz="0" w:space="0" w:color="auto"/>
        <w:right w:val="none" w:sz="0" w:space="0" w:color="auto"/>
      </w:divBdr>
    </w:div>
    <w:div w:id="1304699469">
      <w:bodyDiv w:val="1"/>
      <w:marLeft w:val="0"/>
      <w:marRight w:val="0"/>
      <w:marTop w:val="0"/>
      <w:marBottom w:val="0"/>
      <w:divBdr>
        <w:top w:val="none" w:sz="0" w:space="0" w:color="auto"/>
        <w:left w:val="none" w:sz="0" w:space="0" w:color="auto"/>
        <w:bottom w:val="none" w:sz="0" w:space="0" w:color="auto"/>
        <w:right w:val="none" w:sz="0" w:space="0" w:color="auto"/>
      </w:divBdr>
    </w:div>
    <w:div w:id="1306279967">
      <w:bodyDiv w:val="1"/>
      <w:marLeft w:val="0"/>
      <w:marRight w:val="0"/>
      <w:marTop w:val="0"/>
      <w:marBottom w:val="0"/>
      <w:divBdr>
        <w:top w:val="none" w:sz="0" w:space="0" w:color="auto"/>
        <w:left w:val="none" w:sz="0" w:space="0" w:color="auto"/>
        <w:bottom w:val="none" w:sz="0" w:space="0" w:color="auto"/>
        <w:right w:val="none" w:sz="0" w:space="0" w:color="auto"/>
      </w:divBdr>
    </w:div>
    <w:div w:id="1310090447">
      <w:bodyDiv w:val="1"/>
      <w:marLeft w:val="0"/>
      <w:marRight w:val="0"/>
      <w:marTop w:val="0"/>
      <w:marBottom w:val="0"/>
      <w:divBdr>
        <w:top w:val="none" w:sz="0" w:space="0" w:color="auto"/>
        <w:left w:val="none" w:sz="0" w:space="0" w:color="auto"/>
        <w:bottom w:val="none" w:sz="0" w:space="0" w:color="auto"/>
        <w:right w:val="none" w:sz="0" w:space="0" w:color="auto"/>
      </w:divBdr>
    </w:div>
    <w:div w:id="1310095331">
      <w:bodyDiv w:val="1"/>
      <w:marLeft w:val="0"/>
      <w:marRight w:val="0"/>
      <w:marTop w:val="0"/>
      <w:marBottom w:val="0"/>
      <w:divBdr>
        <w:top w:val="none" w:sz="0" w:space="0" w:color="auto"/>
        <w:left w:val="none" w:sz="0" w:space="0" w:color="auto"/>
        <w:bottom w:val="none" w:sz="0" w:space="0" w:color="auto"/>
        <w:right w:val="none" w:sz="0" w:space="0" w:color="auto"/>
      </w:divBdr>
    </w:div>
    <w:div w:id="1311904500">
      <w:bodyDiv w:val="1"/>
      <w:marLeft w:val="0"/>
      <w:marRight w:val="0"/>
      <w:marTop w:val="0"/>
      <w:marBottom w:val="0"/>
      <w:divBdr>
        <w:top w:val="none" w:sz="0" w:space="0" w:color="auto"/>
        <w:left w:val="none" w:sz="0" w:space="0" w:color="auto"/>
        <w:bottom w:val="none" w:sz="0" w:space="0" w:color="auto"/>
        <w:right w:val="none" w:sz="0" w:space="0" w:color="auto"/>
      </w:divBdr>
    </w:div>
    <w:div w:id="1311986458">
      <w:bodyDiv w:val="1"/>
      <w:marLeft w:val="0"/>
      <w:marRight w:val="0"/>
      <w:marTop w:val="0"/>
      <w:marBottom w:val="0"/>
      <w:divBdr>
        <w:top w:val="none" w:sz="0" w:space="0" w:color="auto"/>
        <w:left w:val="none" w:sz="0" w:space="0" w:color="auto"/>
        <w:bottom w:val="none" w:sz="0" w:space="0" w:color="auto"/>
        <w:right w:val="none" w:sz="0" w:space="0" w:color="auto"/>
      </w:divBdr>
    </w:div>
    <w:div w:id="1315916149">
      <w:bodyDiv w:val="1"/>
      <w:marLeft w:val="0"/>
      <w:marRight w:val="0"/>
      <w:marTop w:val="0"/>
      <w:marBottom w:val="0"/>
      <w:divBdr>
        <w:top w:val="none" w:sz="0" w:space="0" w:color="auto"/>
        <w:left w:val="none" w:sz="0" w:space="0" w:color="auto"/>
        <w:bottom w:val="none" w:sz="0" w:space="0" w:color="auto"/>
        <w:right w:val="none" w:sz="0" w:space="0" w:color="auto"/>
      </w:divBdr>
    </w:div>
    <w:div w:id="1317297334">
      <w:bodyDiv w:val="1"/>
      <w:marLeft w:val="0"/>
      <w:marRight w:val="0"/>
      <w:marTop w:val="0"/>
      <w:marBottom w:val="0"/>
      <w:divBdr>
        <w:top w:val="none" w:sz="0" w:space="0" w:color="auto"/>
        <w:left w:val="none" w:sz="0" w:space="0" w:color="auto"/>
        <w:bottom w:val="none" w:sz="0" w:space="0" w:color="auto"/>
        <w:right w:val="none" w:sz="0" w:space="0" w:color="auto"/>
      </w:divBdr>
    </w:div>
    <w:div w:id="1319531903">
      <w:bodyDiv w:val="1"/>
      <w:marLeft w:val="0"/>
      <w:marRight w:val="0"/>
      <w:marTop w:val="0"/>
      <w:marBottom w:val="0"/>
      <w:divBdr>
        <w:top w:val="none" w:sz="0" w:space="0" w:color="auto"/>
        <w:left w:val="none" w:sz="0" w:space="0" w:color="auto"/>
        <w:bottom w:val="none" w:sz="0" w:space="0" w:color="auto"/>
        <w:right w:val="none" w:sz="0" w:space="0" w:color="auto"/>
      </w:divBdr>
    </w:div>
    <w:div w:id="1321500032">
      <w:bodyDiv w:val="1"/>
      <w:marLeft w:val="0"/>
      <w:marRight w:val="0"/>
      <w:marTop w:val="0"/>
      <w:marBottom w:val="0"/>
      <w:divBdr>
        <w:top w:val="none" w:sz="0" w:space="0" w:color="auto"/>
        <w:left w:val="none" w:sz="0" w:space="0" w:color="auto"/>
        <w:bottom w:val="none" w:sz="0" w:space="0" w:color="auto"/>
        <w:right w:val="none" w:sz="0" w:space="0" w:color="auto"/>
      </w:divBdr>
    </w:div>
    <w:div w:id="1325626396">
      <w:bodyDiv w:val="1"/>
      <w:marLeft w:val="0"/>
      <w:marRight w:val="0"/>
      <w:marTop w:val="0"/>
      <w:marBottom w:val="0"/>
      <w:divBdr>
        <w:top w:val="none" w:sz="0" w:space="0" w:color="auto"/>
        <w:left w:val="none" w:sz="0" w:space="0" w:color="auto"/>
        <w:bottom w:val="none" w:sz="0" w:space="0" w:color="auto"/>
        <w:right w:val="none" w:sz="0" w:space="0" w:color="auto"/>
      </w:divBdr>
    </w:div>
    <w:div w:id="1327243566">
      <w:bodyDiv w:val="1"/>
      <w:marLeft w:val="0"/>
      <w:marRight w:val="0"/>
      <w:marTop w:val="0"/>
      <w:marBottom w:val="0"/>
      <w:divBdr>
        <w:top w:val="none" w:sz="0" w:space="0" w:color="auto"/>
        <w:left w:val="none" w:sz="0" w:space="0" w:color="auto"/>
        <w:bottom w:val="none" w:sz="0" w:space="0" w:color="auto"/>
        <w:right w:val="none" w:sz="0" w:space="0" w:color="auto"/>
      </w:divBdr>
    </w:div>
    <w:div w:id="1327780124">
      <w:bodyDiv w:val="1"/>
      <w:marLeft w:val="0"/>
      <w:marRight w:val="0"/>
      <w:marTop w:val="0"/>
      <w:marBottom w:val="0"/>
      <w:divBdr>
        <w:top w:val="none" w:sz="0" w:space="0" w:color="auto"/>
        <w:left w:val="none" w:sz="0" w:space="0" w:color="auto"/>
        <w:bottom w:val="none" w:sz="0" w:space="0" w:color="auto"/>
        <w:right w:val="none" w:sz="0" w:space="0" w:color="auto"/>
      </w:divBdr>
    </w:div>
    <w:div w:id="1328050934">
      <w:bodyDiv w:val="1"/>
      <w:marLeft w:val="0"/>
      <w:marRight w:val="0"/>
      <w:marTop w:val="0"/>
      <w:marBottom w:val="0"/>
      <w:divBdr>
        <w:top w:val="none" w:sz="0" w:space="0" w:color="auto"/>
        <w:left w:val="none" w:sz="0" w:space="0" w:color="auto"/>
        <w:bottom w:val="none" w:sz="0" w:space="0" w:color="auto"/>
        <w:right w:val="none" w:sz="0" w:space="0" w:color="auto"/>
      </w:divBdr>
    </w:div>
    <w:div w:id="1328705562">
      <w:bodyDiv w:val="1"/>
      <w:marLeft w:val="0"/>
      <w:marRight w:val="0"/>
      <w:marTop w:val="0"/>
      <w:marBottom w:val="0"/>
      <w:divBdr>
        <w:top w:val="none" w:sz="0" w:space="0" w:color="auto"/>
        <w:left w:val="none" w:sz="0" w:space="0" w:color="auto"/>
        <w:bottom w:val="none" w:sz="0" w:space="0" w:color="auto"/>
        <w:right w:val="none" w:sz="0" w:space="0" w:color="auto"/>
      </w:divBdr>
    </w:div>
    <w:div w:id="1329944406">
      <w:bodyDiv w:val="1"/>
      <w:marLeft w:val="0"/>
      <w:marRight w:val="0"/>
      <w:marTop w:val="0"/>
      <w:marBottom w:val="0"/>
      <w:divBdr>
        <w:top w:val="none" w:sz="0" w:space="0" w:color="auto"/>
        <w:left w:val="none" w:sz="0" w:space="0" w:color="auto"/>
        <w:bottom w:val="none" w:sz="0" w:space="0" w:color="auto"/>
        <w:right w:val="none" w:sz="0" w:space="0" w:color="auto"/>
      </w:divBdr>
    </w:div>
    <w:div w:id="1332610148">
      <w:bodyDiv w:val="1"/>
      <w:marLeft w:val="0"/>
      <w:marRight w:val="0"/>
      <w:marTop w:val="0"/>
      <w:marBottom w:val="0"/>
      <w:divBdr>
        <w:top w:val="none" w:sz="0" w:space="0" w:color="auto"/>
        <w:left w:val="none" w:sz="0" w:space="0" w:color="auto"/>
        <w:bottom w:val="none" w:sz="0" w:space="0" w:color="auto"/>
        <w:right w:val="none" w:sz="0" w:space="0" w:color="auto"/>
      </w:divBdr>
    </w:div>
    <w:div w:id="1334256985">
      <w:bodyDiv w:val="1"/>
      <w:marLeft w:val="0"/>
      <w:marRight w:val="0"/>
      <w:marTop w:val="0"/>
      <w:marBottom w:val="0"/>
      <w:divBdr>
        <w:top w:val="none" w:sz="0" w:space="0" w:color="auto"/>
        <w:left w:val="none" w:sz="0" w:space="0" w:color="auto"/>
        <w:bottom w:val="none" w:sz="0" w:space="0" w:color="auto"/>
        <w:right w:val="none" w:sz="0" w:space="0" w:color="auto"/>
      </w:divBdr>
    </w:div>
    <w:div w:id="1334576299">
      <w:bodyDiv w:val="1"/>
      <w:marLeft w:val="0"/>
      <w:marRight w:val="0"/>
      <w:marTop w:val="0"/>
      <w:marBottom w:val="0"/>
      <w:divBdr>
        <w:top w:val="none" w:sz="0" w:space="0" w:color="auto"/>
        <w:left w:val="none" w:sz="0" w:space="0" w:color="auto"/>
        <w:bottom w:val="none" w:sz="0" w:space="0" w:color="auto"/>
        <w:right w:val="none" w:sz="0" w:space="0" w:color="auto"/>
      </w:divBdr>
    </w:div>
    <w:div w:id="1337465008">
      <w:bodyDiv w:val="1"/>
      <w:marLeft w:val="0"/>
      <w:marRight w:val="0"/>
      <w:marTop w:val="0"/>
      <w:marBottom w:val="0"/>
      <w:divBdr>
        <w:top w:val="none" w:sz="0" w:space="0" w:color="auto"/>
        <w:left w:val="none" w:sz="0" w:space="0" w:color="auto"/>
        <w:bottom w:val="none" w:sz="0" w:space="0" w:color="auto"/>
        <w:right w:val="none" w:sz="0" w:space="0" w:color="auto"/>
      </w:divBdr>
    </w:div>
    <w:div w:id="1337881054">
      <w:bodyDiv w:val="1"/>
      <w:marLeft w:val="0"/>
      <w:marRight w:val="0"/>
      <w:marTop w:val="0"/>
      <w:marBottom w:val="0"/>
      <w:divBdr>
        <w:top w:val="none" w:sz="0" w:space="0" w:color="auto"/>
        <w:left w:val="none" w:sz="0" w:space="0" w:color="auto"/>
        <w:bottom w:val="none" w:sz="0" w:space="0" w:color="auto"/>
        <w:right w:val="none" w:sz="0" w:space="0" w:color="auto"/>
      </w:divBdr>
    </w:div>
    <w:div w:id="1343705203">
      <w:bodyDiv w:val="1"/>
      <w:marLeft w:val="0"/>
      <w:marRight w:val="0"/>
      <w:marTop w:val="0"/>
      <w:marBottom w:val="0"/>
      <w:divBdr>
        <w:top w:val="none" w:sz="0" w:space="0" w:color="auto"/>
        <w:left w:val="none" w:sz="0" w:space="0" w:color="auto"/>
        <w:bottom w:val="none" w:sz="0" w:space="0" w:color="auto"/>
        <w:right w:val="none" w:sz="0" w:space="0" w:color="auto"/>
      </w:divBdr>
    </w:div>
    <w:div w:id="1344552121">
      <w:bodyDiv w:val="1"/>
      <w:marLeft w:val="0"/>
      <w:marRight w:val="0"/>
      <w:marTop w:val="0"/>
      <w:marBottom w:val="0"/>
      <w:divBdr>
        <w:top w:val="none" w:sz="0" w:space="0" w:color="auto"/>
        <w:left w:val="none" w:sz="0" w:space="0" w:color="auto"/>
        <w:bottom w:val="none" w:sz="0" w:space="0" w:color="auto"/>
        <w:right w:val="none" w:sz="0" w:space="0" w:color="auto"/>
      </w:divBdr>
    </w:div>
    <w:div w:id="1348290553">
      <w:bodyDiv w:val="1"/>
      <w:marLeft w:val="0"/>
      <w:marRight w:val="0"/>
      <w:marTop w:val="0"/>
      <w:marBottom w:val="0"/>
      <w:divBdr>
        <w:top w:val="none" w:sz="0" w:space="0" w:color="auto"/>
        <w:left w:val="none" w:sz="0" w:space="0" w:color="auto"/>
        <w:bottom w:val="none" w:sz="0" w:space="0" w:color="auto"/>
        <w:right w:val="none" w:sz="0" w:space="0" w:color="auto"/>
      </w:divBdr>
    </w:div>
    <w:div w:id="1349212779">
      <w:bodyDiv w:val="1"/>
      <w:marLeft w:val="0"/>
      <w:marRight w:val="0"/>
      <w:marTop w:val="0"/>
      <w:marBottom w:val="0"/>
      <w:divBdr>
        <w:top w:val="none" w:sz="0" w:space="0" w:color="auto"/>
        <w:left w:val="none" w:sz="0" w:space="0" w:color="auto"/>
        <w:bottom w:val="none" w:sz="0" w:space="0" w:color="auto"/>
        <w:right w:val="none" w:sz="0" w:space="0" w:color="auto"/>
      </w:divBdr>
    </w:div>
    <w:div w:id="1349676075">
      <w:bodyDiv w:val="1"/>
      <w:marLeft w:val="0"/>
      <w:marRight w:val="0"/>
      <w:marTop w:val="0"/>
      <w:marBottom w:val="0"/>
      <w:divBdr>
        <w:top w:val="none" w:sz="0" w:space="0" w:color="auto"/>
        <w:left w:val="none" w:sz="0" w:space="0" w:color="auto"/>
        <w:bottom w:val="none" w:sz="0" w:space="0" w:color="auto"/>
        <w:right w:val="none" w:sz="0" w:space="0" w:color="auto"/>
      </w:divBdr>
    </w:div>
    <w:div w:id="1350446273">
      <w:bodyDiv w:val="1"/>
      <w:marLeft w:val="0"/>
      <w:marRight w:val="0"/>
      <w:marTop w:val="0"/>
      <w:marBottom w:val="0"/>
      <w:divBdr>
        <w:top w:val="none" w:sz="0" w:space="0" w:color="auto"/>
        <w:left w:val="none" w:sz="0" w:space="0" w:color="auto"/>
        <w:bottom w:val="none" w:sz="0" w:space="0" w:color="auto"/>
        <w:right w:val="none" w:sz="0" w:space="0" w:color="auto"/>
      </w:divBdr>
    </w:div>
    <w:div w:id="1351033620">
      <w:bodyDiv w:val="1"/>
      <w:marLeft w:val="0"/>
      <w:marRight w:val="0"/>
      <w:marTop w:val="0"/>
      <w:marBottom w:val="0"/>
      <w:divBdr>
        <w:top w:val="none" w:sz="0" w:space="0" w:color="auto"/>
        <w:left w:val="none" w:sz="0" w:space="0" w:color="auto"/>
        <w:bottom w:val="none" w:sz="0" w:space="0" w:color="auto"/>
        <w:right w:val="none" w:sz="0" w:space="0" w:color="auto"/>
      </w:divBdr>
    </w:div>
    <w:div w:id="1351570546">
      <w:bodyDiv w:val="1"/>
      <w:marLeft w:val="0"/>
      <w:marRight w:val="0"/>
      <w:marTop w:val="0"/>
      <w:marBottom w:val="0"/>
      <w:divBdr>
        <w:top w:val="none" w:sz="0" w:space="0" w:color="auto"/>
        <w:left w:val="none" w:sz="0" w:space="0" w:color="auto"/>
        <w:bottom w:val="none" w:sz="0" w:space="0" w:color="auto"/>
        <w:right w:val="none" w:sz="0" w:space="0" w:color="auto"/>
      </w:divBdr>
    </w:div>
    <w:div w:id="1352225396">
      <w:bodyDiv w:val="1"/>
      <w:marLeft w:val="0"/>
      <w:marRight w:val="0"/>
      <w:marTop w:val="0"/>
      <w:marBottom w:val="0"/>
      <w:divBdr>
        <w:top w:val="none" w:sz="0" w:space="0" w:color="auto"/>
        <w:left w:val="none" w:sz="0" w:space="0" w:color="auto"/>
        <w:bottom w:val="none" w:sz="0" w:space="0" w:color="auto"/>
        <w:right w:val="none" w:sz="0" w:space="0" w:color="auto"/>
      </w:divBdr>
    </w:div>
    <w:div w:id="1354306605">
      <w:bodyDiv w:val="1"/>
      <w:marLeft w:val="0"/>
      <w:marRight w:val="0"/>
      <w:marTop w:val="0"/>
      <w:marBottom w:val="0"/>
      <w:divBdr>
        <w:top w:val="none" w:sz="0" w:space="0" w:color="auto"/>
        <w:left w:val="none" w:sz="0" w:space="0" w:color="auto"/>
        <w:bottom w:val="none" w:sz="0" w:space="0" w:color="auto"/>
        <w:right w:val="none" w:sz="0" w:space="0" w:color="auto"/>
      </w:divBdr>
    </w:div>
    <w:div w:id="1355427078">
      <w:bodyDiv w:val="1"/>
      <w:marLeft w:val="0"/>
      <w:marRight w:val="0"/>
      <w:marTop w:val="0"/>
      <w:marBottom w:val="0"/>
      <w:divBdr>
        <w:top w:val="none" w:sz="0" w:space="0" w:color="auto"/>
        <w:left w:val="none" w:sz="0" w:space="0" w:color="auto"/>
        <w:bottom w:val="none" w:sz="0" w:space="0" w:color="auto"/>
        <w:right w:val="none" w:sz="0" w:space="0" w:color="auto"/>
      </w:divBdr>
    </w:div>
    <w:div w:id="1355494290">
      <w:bodyDiv w:val="1"/>
      <w:marLeft w:val="0"/>
      <w:marRight w:val="0"/>
      <w:marTop w:val="0"/>
      <w:marBottom w:val="0"/>
      <w:divBdr>
        <w:top w:val="none" w:sz="0" w:space="0" w:color="auto"/>
        <w:left w:val="none" w:sz="0" w:space="0" w:color="auto"/>
        <w:bottom w:val="none" w:sz="0" w:space="0" w:color="auto"/>
        <w:right w:val="none" w:sz="0" w:space="0" w:color="auto"/>
      </w:divBdr>
    </w:div>
    <w:div w:id="1355644589">
      <w:bodyDiv w:val="1"/>
      <w:marLeft w:val="0"/>
      <w:marRight w:val="0"/>
      <w:marTop w:val="0"/>
      <w:marBottom w:val="0"/>
      <w:divBdr>
        <w:top w:val="none" w:sz="0" w:space="0" w:color="auto"/>
        <w:left w:val="none" w:sz="0" w:space="0" w:color="auto"/>
        <w:bottom w:val="none" w:sz="0" w:space="0" w:color="auto"/>
        <w:right w:val="none" w:sz="0" w:space="0" w:color="auto"/>
      </w:divBdr>
    </w:div>
    <w:div w:id="1358388398">
      <w:bodyDiv w:val="1"/>
      <w:marLeft w:val="0"/>
      <w:marRight w:val="0"/>
      <w:marTop w:val="0"/>
      <w:marBottom w:val="0"/>
      <w:divBdr>
        <w:top w:val="none" w:sz="0" w:space="0" w:color="auto"/>
        <w:left w:val="none" w:sz="0" w:space="0" w:color="auto"/>
        <w:bottom w:val="none" w:sz="0" w:space="0" w:color="auto"/>
        <w:right w:val="none" w:sz="0" w:space="0" w:color="auto"/>
      </w:divBdr>
    </w:div>
    <w:div w:id="1358502495">
      <w:bodyDiv w:val="1"/>
      <w:marLeft w:val="0"/>
      <w:marRight w:val="0"/>
      <w:marTop w:val="0"/>
      <w:marBottom w:val="0"/>
      <w:divBdr>
        <w:top w:val="none" w:sz="0" w:space="0" w:color="auto"/>
        <w:left w:val="none" w:sz="0" w:space="0" w:color="auto"/>
        <w:bottom w:val="none" w:sz="0" w:space="0" w:color="auto"/>
        <w:right w:val="none" w:sz="0" w:space="0" w:color="auto"/>
      </w:divBdr>
    </w:div>
    <w:div w:id="1359312551">
      <w:bodyDiv w:val="1"/>
      <w:marLeft w:val="0"/>
      <w:marRight w:val="0"/>
      <w:marTop w:val="0"/>
      <w:marBottom w:val="0"/>
      <w:divBdr>
        <w:top w:val="none" w:sz="0" w:space="0" w:color="auto"/>
        <w:left w:val="none" w:sz="0" w:space="0" w:color="auto"/>
        <w:bottom w:val="none" w:sz="0" w:space="0" w:color="auto"/>
        <w:right w:val="none" w:sz="0" w:space="0" w:color="auto"/>
      </w:divBdr>
    </w:div>
    <w:div w:id="1363750862">
      <w:bodyDiv w:val="1"/>
      <w:marLeft w:val="0"/>
      <w:marRight w:val="0"/>
      <w:marTop w:val="0"/>
      <w:marBottom w:val="0"/>
      <w:divBdr>
        <w:top w:val="none" w:sz="0" w:space="0" w:color="auto"/>
        <w:left w:val="none" w:sz="0" w:space="0" w:color="auto"/>
        <w:bottom w:val="none" w:sz="0" w:space="0" w:color="auto"/>
        <w:right w:val="none" w:sz="0" w:space="0" w:color="auto"/>
      </w:divBdr>
    </w:div>
    <w:div w:id="1364475393">
      <w:bodyDiv w:val="1"/>
      <w:marLeft w:val="0"/>
      <w:marRight w:val="0"/>
      <w:marTop w:val="0"/>
      <w:marBottom w:val="0"/>
      <w:divBdr>
        <w:top w:val="none" w:sz="0" w:space="0" w:color="auto"/>
        <w:left w:val="none" w:sz="0" w:space="0" w:color="auto"/>
        <w:bottom w:val="none" w:sz="0" w:space="0" w:color="auto"/>
        <w:right w:val="none" w:sz="0" w:space="0" w:color="auto"/>
      </w:divBdr>
    </w:div>
    <w:div w:id="1364747419">
      <w:bodyDiv w:val="1"/>
      <w:marLeft w:val="0"/>
      <w:marRight w:val="0"/>
      <w:marTop w:val="0"/>
      <w:marBottom w:val="0"/>
      <w:divBdr>
        <w:top w:val="none" w:sz="0" w:space="0" w:color="auto"/>
        <w:left w:val="none" w:sz="0" w:space="0" w:color="auto"/>
        <w:bottom w:val="none" w:sz="0" w:space="0" w:color="auto"/>
        <w:right w:val="none" w:sz="0" w:space="0" w:color="auto"/>
      </w:divBdr>
    </w:div>
    <w:div w:id="1365326336">
      <w:bodyDiv w:val="1"/>
      <w:marLeft w:val="0"/>
      <w:marRight w:val="0"/>
      <w:marTop w:val="0"/>
      <w:marBottom w:val="0"/>
      <w:divBdr>
        <w:top w:val="none" w:sz="0" w:space="0" w:color="auto"/>
        <w:left w:val="none" w:sz="0" w:space="0" w:color="auto"/>
        <w:bottom w:val="none" w:sz="0" w:space="0" w:color="auto"/>
        <w:right w:val="none" w:sz="0" w:space="0" w:color="auto"/>
      </w:divBdr>
    </w:div>
    <w:div w:id="1365787859">
      <w:bodyDiv w:val="1"/>
      <w:marLeft w:val="0"/>
      <w:marRight w:val="0"/>
      <w:marTop w:val="0"/>
      <w:marBottom w:val="0"/>
      <w:divBdr>
        <w:top w:val="none" w:sz="0" w:space="0" w:color="auto"/>
        <w:left w:val="none" w:sz="0" w:space="0" w:color="auto"/>
        <w:bottom w:val="none" w:sz="0" w:space="0" w:color="auto"/>
        <w:right w:val="none" w:sz="0" w:space="0" w:color="auto"/>
      </w:divBdr>
    </w:div>
    <w:div w:id="1365909169">
      <w:bodyDiv w:val="1"/>
      <w:marLeft w:val="0"/>
      <w:marRight w:val="0"/>
      <w:marTop w:val="0"/>
      <w:marBottom w:val="0"/>
      <w:divBdr>
        <w:top w:val="none" w:sz="0" w:space="0" w:color="auto"/>
        <w:left w:val="none" w:sz="0" w:space="0" w:color="auto"/>
        <w:bottom w:val="none" w:sz="0" w:space="0" w:color="auto"/>
        <w:right w:val="none" w:sz="0" w:space="0" w:color="auto"/>
      </w:divBdr>
    </w:div>
    <w:div w:id="1367365682">
      <w:bodyDiv w:val="1"/>
      <w:marLeft w:val="0"/>
      <w:marRight w:val="0"/>
      <w:marTop w:val="0"/>
      <w:marBottom w:val="0"/>
      <w:divBdr>
        <w:top w:val="none" w:sz="0" w:space="0" w:color="auto"/>
        <w:left w:val="none" w:sz="0" w:space="0" w:color="auto"/>
        <w:bottom w:val="none" w:sz="0" w:space="0" w:color="auto"/>
        <w:right w:val="none" w:sz="0" w:space="0" w:color="auto"/>
      </w:divBdr>
    </w:div>
    <w:div w:id="1368021793">
      <w:bodyDiv w:val="1"/>
      <w:marLeft w:val="0"/>
      <w:marRight w:val="0"/>
      <w:marTop w:val="0"/>
      <w:marBottom w:val="0"/>
      <w:divBdr>
        <w:top w:val="none" w:sz="0" w:space="0" w:color="auto"/>
        <w:left w:val="none" w:sz="0" w:space="0" w:color="auto"/>
        <w:bottom w:val="none" w:sz="0" w:space="0" w:color="auto"/>
        <w:right w:val="none" w:sz="0" w:space="0" w:color="auto"/>
      </w:divBdr>
    </w:div>
    <w:div w:id="1368523954">
      <w:bodyDiv w:val="1"/>
      <w:marLeft w:val="0"/>
      <w:marRight w:val="0"/>
      <w:marTop w:val="0"/>
      <w:marBottom w:val="0"/>
      <w:divBdr>
        <w:top w:val="none" w:sz="0" w:space="0" w:color="auto"/>
        <w:left w:val="none" w:sz="0" w:space="0" w:color="auto"/>
        <w:bottom w:val="none" w:sz="0" w:space="0" w:color="auto"/>
        <w:right w:val="none" w:sz="0" w:space="0" w:color="auto"/>
      </w:divBdr>
    </w:div>
    <w:div w:id="1370374181">
      <w:bodyDiv w:val="1"/>
      <w:marLeft w:val="0"/>
      <w:marRight w:val="0"/>
      <w:marTop w:val="0"/>
      <w:marBottom w:val="0"/>
      <w:divBdr>
        <w:top w:val="none" w:sz="0" w:space="0" w:color="auto"/>
        <w:left w:val="none" w:sz="0" w:space="0" w:color="auto"/>
        <w:bottom w:val="none" w:sz="0" w:space="0" w:color="auto"/>
        <w:right w:val="none" w:sz="0" w:space="0" w:color="auto"/>
      </w:divBdr>
    </w:div>
    <w:div w:id="1371227088">
      <w:bodyDiv w:val="1"/>
      <w:marLeft w:val="0"/>
      <w:marRight w:val="0"/>
      <w:marTop w:val="0"/>
      <w:marBottom w:val="0"/>
      <w:divBdr>
        <w:top w:val="none" w:sz="0" w:space="0" w:color="auto"/>
        <w:left w:val="none" w:sz="0" w:space="0" w:color="auto"/>
        <w:bottom w:val="none" w:sz="0" w:space="0" w:color="auto"/>
        <w:right w:val="none" w:sz="0" w:space="0" w:color="auto"/>
      </w:divBdr>
    </w:div>
    <w:div w:id="1372923932">
      <w:bodyDiv w:val="1"/>
      <w:marLeft w:val="0"/>
      <w:marRight w:val="0"/>
      <w:marTop w:val="0"/>
      <w:marBottom w:val="0"/>
      <w:divBdr>
        <w:top w:val="none" w:sz="0" w:space="0" w:color="auto"/>
        <w:left w:val="none" w:sz="0" w:space="0" w:color="auto"/>
        <w:bottom w:val="none" w:sz="0" w:space="0" w:color="auto"/>
        <w:right w:val="none" w:sz="0" w:space="0" w:color="auto"/>
      </w:divBdr>
    </w:div>
    <w:div w:id="1376545423">
      <w:bodyDiv w:val="1"/>
      <w:marLeft w:val="0"/>
      <w:marRight w:val="0"/>
      <w:marTop w:val="0"/>
      <w:marBottom w:val="0"/>
      <w:divBdr>
        <w:top w:val="none" w:sz="0" w:space="0" w:color="auto"/>
        <w:left w:val="none" w:sz="0" w:space="0" w:color="auto"/>
        <w:bottom w:val="none" w:sz="0" w:space="0" w:color="auto"/>
        <w:right w:val="none" w:sz="0" w:space="0" w:color="auto"/>
      </w:divBdr>
    </w:div>
    <w:div w:id="1376615325">
      <w:bodyDiv w:val="1"/>
      <w:marLeft w:val="0"/>
      <w:marRight w:val="0"/>
      <w:marTop w:val="0"/>
      <w:marBottom w:val="0"/>
      <w:divBdr>
        <w:top w:val="none" w:sz="0" w:space="0" w:color="auto"/>
        <w:left w:val="none" w:sz="0" w:space="0" w:color="auto"/>
        <w:bottom w:val="none" w:sz="0" w:space="0" w:color="auto"/>
        <w:right w:val="none" w:sz="0" w:space="0" w:color="auto"/>
      </w:divBdr>
    </w:div>
    <w:div w:id="1379233541">
      <w:bodyDiv w:val="1"/>
      <w:marLeft w:val="0"/>
      <w:marRight w:val="0"/>
      <w:marTop w:val="0"/>
      <w:marBottom w:val="0"/>
      <w:divBdr>
        <w:top w:val="none" w:sz="0" w:space="0" w:color="auto"/>
        <w:left w:val="none" w:sz="0" w:space="0" w:color="auto"/>
        <w:bottom w:val="none" w:sz="0" w:space="0" w:color="auto"/>
        <w:right w:val="none" w:sz="0" w:space="0" w:color="auto"/>
      </w:divBdr>
    </w:div>
    <w:div w:id="1380595149">
      <w:bodyDiv w:val="1"/>
      <w:marLeft w:val="0"/>
      <w:marRight w:val="0"/>
      <w:marTop w:val="0"/>
      <w:marBottom w:val="0"/>
      <w:divBdr>
        <w:top w:val="none" w:sz="0" w:space="0" w:color="auto"/>
        <w:left w:val="none" w:sz="0" w:space="0" w:color="auto"/>
        <w:bottom w:val="none" w:sz="0" w:space="0" w:color="auto"/>
        <w:right w:val="none" w:sz="0" w:space="0" w:color="auto"/>
      </w:divBdr>
    </w:div>
    <w:div w:id="1382754394">
      <w:bodyDiv w:val="1"/>
      <w:marLeft w:val="0"/>
      <w:marRight w:val="0"/>
      <w:marTop w:val="0"/>
      <w:marBottom w:val="0"/>
      <w:divBdr>
        <w:top w:val="none" w:sz="0" w:space="0" w:color="auto"/>
        <w:left w:val="none" w:sz="0" w:space="0" w:color="auto"/>
        <w:bottom w:val="none" w:sz="0" w:space="0" w:color="auto"/>
        <w:right w:val="none" w:sz="0" w:space="0" w:color="auto"/>
      </w:divBdr>
    </w:div>
    <w:div w:id="1384215402">
      <w:bodyDiv w:val="1"/>
      <w:marLeft w:val="0"/>
      <w:marRight w:val="0"/>
      <w:marTop w:val="0"/>
      <w:marBottom w:val="0"/>
      <w:divBdr>
        <w:top w:val="none" w:sz="0" w:space="0" w:color="auto"/>
        <w:left w:val="none" w:sz="0" w:space="0" w:color="auto"/>
        <w:bottom w:val="none" w:sz="0" w:space="0" w:color="auto"/>
        <w:right w:val="none" w:sz="0" w:space="0" w:color="auto"/>
      </w:divBdr>
    </w:div>
    <w:div w:id="1387416021">
      <w:bodyDiv w:val="1"/>
      <w:marLeft w:val="0"/>
      <w:marRight w:val="0"/>
      <w:marTop w:val="0"/>
      <w:marBottom w:val="0"/>
      <w:divBdr>
        <w:top w:val="none" w:sz="0" w:space="0" w:color="auto"/>
        <w:left w:val="none" w:sz="0" w:space="0" w:color="auto"/>
        <w:bottom w:val="none" w:sz="0" w:space="0" w:color="auto"/>
        <w:right w:val="none" w:sz="0" w:space="0" w:color="auto"/>
      </w:divBdr>
    </w:div>
    <w:div w:id="1388643363">
      <w:bodyDiv w:val="1"/>
      <w:marLeft w:val="0"/>
      <w:marRight w:val="0"/>
      <w:marTop w:val="0"/>
      <w:marBottom w:val="0"/>
      <w:divBdr>
        <w:top w:val="none" w:sz="0" w:space="0" w:color="auto"/>
        <w:left w:val="none" w:sz="0" w:space="0" w:color="auto"/>
        <w:bottom w:val="none" w:sz="0" w:space="0" w:color="auto"/>
        <w:right w:val="none" w:sz="0" w:space="0" w:color="auto"/>
      </w:divBdr>
    </w:div>
    <w:div w:id="1392272321">
      <w:bodyDiv w:val="1"/>
      <w:marLeft w:val="0"/>
      <w:marRight w:val="0"/>
      <w:marTop w:val="0"/>
      <w:marBottom w:val="0"/>
      <w:divBdr>
        <w:top w:val="none" w:sz="0" w:space="0" w:color="auto"/>
        <w:left w:val="none" w:sz="0" w:space="0" w:color="auto"/>
        <w:bottom w:val="none" w:sz="0" w:space="0" w:color="auto"/>
        <w:right w:val="none" w:sz="0" w:space="0" w:color="auto"/>
      </w:divBdr>
    </w:div>
    <w:div w:id="1393575416">
      <w:bodyDiv w:val="1"/>
      <w:marLeft w:val="0"/>
      <w:marRight w:val="0"/>
      <w:marTop w:val="0"/>
      <w:marBottom w:val="0"/>
      <w:divBdr>
        <w:top w:val="none" w:sz="0" w:space="0" w:color="auto"/>
        <w:left w:val="none" w:sz="0" w:space="0" w:color="auto"/>
        <w:bottom w:val="none" w:sz="0" w:space="0" w:color="auto"/>
        <w:right w:val="none" w:sz="0" w:space="0" w:color="auto"/>
      </w:divBdr>
    </w:div>
    <w:div w:id="1395393652">
      <w:bodyDiv w:val="1"/>
      <w:marLeft w:val="0"/>
      <w:marRight w:val="0"/>
      <w:marTop w:val="0"/>
      <w:marBottom w:val="0"/>
      <w:divBdr>
        <w:top w:val="none" w:sz="0" w:space="0" w:color="auto"/>
        <w:left w:val="none" w:sz="0" w:space="0" w:color="auto"/>
        <w:bottom w:val="none" w:sz="0" w:space="0" w:color="auto"/>
        <w:right w:val="none" w:sz="0" w:space="0" w:color="auto"/>
      </w:divBdr>
    </w:div>
    <w:div w:id="1396473637">
      <w:bodyDiv w:val="1"/>
      <w:marLeft w:val="0"/>
      <w:marRight w:val="0"/>
      <w:marTop w:val="0"/>
      <w:marBottom w:val="0"/>
      <w:divBdr>
        <w:top w:val="none" w:sz="0" w:space="0" w:color="auto"/>
        <w:left w:val="none" w:sz="0" w:space="0" w:color="auto"/>
        <w:bottom w:val="none" w:sz="0" w:space="0" w:color="auto"/>
        <w:right w:val="none" w:sz="0" w:space="0" w:color="auto"/>
      </w:divBdr>
    </w:div>
    <w:div w:id="1399551989">
      <w:bodyDiv w:val="1"/>
      <w:marLeft w:val="0"/>
      <w:marRight w:val="0"/>
      <w:marTop w:val="0"/>
      <w:marBottom w:val="0"/>
      <w:divBdr>
        <w:top w:val="none" w:sz="0" w:space="0" w:color="auto"/>
        <w:left w:val="none" w:sz="0" w:space="0" w:color="auto"/>
        <w:bottom w:val="none" w:sz="0" w:space="0" w:color="auto"/>
        <w:right w:val="none" w:sz="0" w:space="0" w:color="auto"/>
      </w:divBdr>
    </w:div>
    <w:div w:id="1401638430">
      <w:bodyDiv w:val="1"/>
      <w:marLeft w:val="0"/>
      <w:marRight w:val="0"/>
      <w:marTop w:val="0"/>
      <w:marBottom w:val="0"/>
      <w:divBdr>
        <w:top w:val="none" w:sz="0" w:space="0" w:color="auto"/>
        <w:left w:val="none" w:sz="0" w:space="0" w:color="auto"/>
        <w:bottom w:val="none" w:sz="0" w:space="0" w:color="auto"/>
        <w:right w:val="none" w:sz="0" w:space="0" w:color="auto"/>
      </w:divBdr>
    </w:div>
    <w:div w:id="1403789865">
      <w:bodyDiv w:val="1"/>
      <w:marLeft w:val="0"/>
      <w:marRight w:val="0"/>
      <w:marTop w:val="0"/>
      <w:marBottom w:val="0"/>
      <w:divBdr>
        <w:top w:val="none" w:sz="0" w:space="0" w:color="auto"/>
        <w:left w:val="none" w:sz="0" w:space="0" w:color="auto"/>
        <w:bottom w:val="none" w:sz="0" w:space="0" w:color="auto"/>
        <w:right w:val="none" w:sz="0" w:space="0" w:color="auto"/>
      </w:divBdr>
    </w:div>
    <w:div w:id="1404529337">
      <w:bodyDiv w:val="1"/>
      <w:marLeft w:val="0"/>
      <w:marRight w:val="0"/>
      <w:marTop w:val="0"/>
      <w:marBottom w:val="0"/>
      <w:divBdr>
        <w:top w:val="none" w:sz="0" w:space="0" w:color="auto"/>
        <w:left w:val="none" w:sz="0" w:space="0" w:color="auto"/>
        <w:bottom w:val="none" w:sz="0" w:space="0" w:color="auto"/>
        <w:right w:val="none" w:sz="0" w:space="0" w:color="auto"/>
      </w:divBdr>
    </w:div>
    <w:div w:id="1405378423">
      <w:bodyDiv w:val="1"/>
      <w:marLeft w:val="0"/>
      <w:marRight w:val="0"/>
      <w:marTop w:val="0"/>
      <w:marBottom w:val="0"/>
      <w:divBdr>
        <w:top w:val="none" w:sz="0" w:space="0" w:color="auto"/>
        <w:left w:val="none" w:sz="0" w:space="0" w:color="auto"/>
        <w:bottom w:val="none" w:sz="0" w:space="0" w:color="auto"/>
        <w:right w:val="none" w:sz="0" w:space="0" w:color="auto"/>
      </w:divBdr>
    </w:div>
    <w:div w:id="1408108629">
      <w:bodyDiv w:val="1"/>
      <w:marLeft w:val="0"/>
      <w:marRight w:val="0"/>
      <w:marTop w:val="0"/>
      <w:marBottom w:val="0"/>
      <w:divBdr>
        <w:top w:val="none" w:sz="0" w:space="0" w:color="auto"/>
        <w:left w:val="none" w:sz="0" w:space="0" w:color="auto"/>
        <w:bottom w:val="none" w:sz="0" w:space="0" w:color="auto"/>
        <w:right w:val="none" w:sz="0" w:space="0" w:color="auto"/>
      </w:divBdr>
    </w:div>
    <w:div w:id="1417282040">
      <w:bodyDiv w:val="1"/>
      <w:marLeft w:val="0"/>
      <w:marRight w:val="0"/>
      <w:marTop w:val="0"/>
      <w:marBottom w:val="0"/>
      <w:divBdr>
        <w:top w:val="none" w:sz="0" w:space="0" w:color="auto"/>
        <w:left w:val="none" w:sz="0" w:space="0" w:color="auto"/>
        <w:bottom w:val="none" w:sz="0" w:space="0" w:color="auto"/>
        <w:right w:val="none" w:sz="0" w:space="0" w:color="auto"/>
      </w:divBdr>
    </w:div>
    <w:div w:id="1418748514">
      <w:bodyDiv w:val="1"/>
      <w:marLeft w:val="0"/>
      <w:marRight w:val="0"/>
      <w:marTop w:val="0"/>
      <w:marBottom w:val="0"/>
      <w:divBdr>
        <w:top w:val="none" w:sz="0" w:space="0" w:color="auto"/>
        <w:left w:val="none" w:sz="0" w:space="0" w:color="auto"/>
        <w:bottom w:val="none" w:sz="0" w:space="0" w:color="auto"/>
        <w:right w:val="none" w:sz="0" w:space="0" w:color="auto"/>
      </w:divBdr>
    </w:div>
    <w:div w:id="1418861868">
      <w:bodyDiv w:val="1"/>
      <w:marLeft w:val="0"/>
      <w:marRight w:val="0"/>
      <w:marTop w:val="0"/>
      <w:marBottom w:val="0"/>
      <w:divBdr>
        <w:top w:val="none" w:sz="0" w:space="0" w:color="auto"/>
        <w:left w:val="none" w:sz="0" w:space="0" w:color="auto"/>
        <w:bottom w:val="none" w:sz="0" w:space="0" w:color="auto"/>
        <w:right w:val="none" w:sz="0" w:space="0" w:color="auto"/>
      </w:divBdr>
    </w:div>
    <w:div w:id="1419209304">
      <w:bodyDiv w:val="1"/>
      <w:marLeft w:val="0"/>
      <w:marRight w:val="0"/>
      <w:marTop w:val="0"/>
      <w:marBottom w:val="0"/>
      <w:divBdr>
        <w:top w:val="none" w:sz="0" w:space="0" w:color="auto"/>
        <w:left w:val="none" w:sz="0" w:space="0" w:color="auto"/>
        <w:bottom w:val="none" w:sz="0" w:space="0" w:color="auto"/>
        <w:right w:val="none" w:sz="0" w:space="0" w:color="auto"/>
      </w:divBdr>
    </w:div>
    <w:div w:id="1419718503">
      <w:bodyDiv w:val="1"/>
      <w:marLeft w:val="0"/>
      <w:marRight w:val="0"/>
      <w:marTop w:val="0"/>
      <w:marBottom w:val="0"/>
      <w:divBdr>
        <w:top w:val="none" w:sz="0" w:space="0" w:color="auto"/>
        <w:left w:val="none" w:sz="0" w:space="0" w:color="auto"/>
        <w:bottom w:val="none" w:sz="0" w:space="0" w:color="auto"/>
        <w:right w:val="none" w:sz="0" w:space="0" w:color="auto"/>
      </w:divBdr>
    </w:div>
    <w:div w:id="1420173727">
      <w:bodyDiv w:val="1"/>
      <w:marLeft w:val="0"/>
      <w:marRight w:val="0"/>
      <w:marTop w:val="0"/>
      <w:marBottom w:val="0"/>
      <w:divBdr>
        <w:top w:val="none" w:sz="0" w:space="0" w:color="auto"/>
        <w:left w:val="none" w:sz="0" w:space="0" w:color="auto"/>
        <w:bottom w:val="none" w:sz="0" w:space="0" w:color="auto"/>
        <w:right w:val="none" w:sz="0" w:space="0" w:color="auto"/>
      </w:divBdr>
    </w:div>
    <w:div w:id="1422919674">
      <w:bodyDiv w:val="1"/>
      <w:marLeft w:val="0"/>
      <w:marRight w:val="0"/>
      <w:marTop w:val="0"/>
      <w:marBottom w:val="0"/>
      <w:divBdr>
        <w:top w:val="none" w:sz="0" w:space="0" w:color="auto"/>
        <w:left w:val="none" w:sz="0" w:space="0" w:color="auto"/>
        <w:bottom w:val="none" w:sz="0" w:space="0" w:color="auto"/>
        <w:right w:val="none" w:sz="0" w:space="0" w:color="auto"/>
      </w:divBdr>
    </w:div>
    <w:div w:id="1424187086">
      <w:bodyDiv w:val="1"/>
      <w:marLeft w:val="0"/>
      <w:marRight w:val="0"/>
      <w:marTop w:val="0"/>
      <w:marBottom w:val="0"/>
      <w:divBdr>
        <w:top w:val="none" w:sz="0" w:space="0" w:color="auto"/>
        <w:left w:val="none" w:sz="0" w:space="0" w:color="auto"/>
        <w:bottom w:val="none" w:sz="0" w:space="0" w:color="auto"/>
        <w:right w:val="none" w:sz="0" w:space="0" w:color="auto"/>
      </w:divBdr>
    </w:div>
    <w:div w:id="1425494540">
      <w:bodyDiv w:val="1"/>
      <w:marLeft w:val="0"/>
      <w:marRight w:val="0"/>
      <w:marTop w:val="0"/>
      <w:marBottom w:val="0"/>
      <w:divBdr>
        <w:top w:val="none" w:sz="0" w:space="0" w:color="auto"/>
        <w:left w:val="none" w:sz="0" w:space="0" w:color="auto"/>
        <w:bottom w:val="none" w:sz="0" w:space="0" w:color="auto"/>
        <w:right w:val="none" w:sz="0" w:space="0" w:color="auto"/>
      </w:divBdr>
    </w:div>
    <w:div w:id="1426993280">
      <w:bodyDiv w:val="1"/>
      <w:marLeft w:val="0"/>
      <w:marRight w:val="0"/>
      <w:marTop w:val="0"/>
      <w:marBottom w:val="0"/>
      <w:divBdr>
        <w:top w:val="none" w:sz="0" w:space="0" w:color="auto"/>
        <w:left w:val="none" w:sz="0" w:space="0" w:color="auto"/>
        <w:bottom w:val="none" w:sz="0" w:space="0" w:color="auto"/>
        <w:right w:val="none" w:sz="0" w:space="0" w:color="auto"/>
      </w:divBdr>
    </w:div>
    <w:div w:id="1427648126">
      <w:bodyDiv w:val="1"/>
      <w:marLeft w:val="0"/>
      <w:marRight w:val="0"/>
      <w:marTop w:val="0"/>
      <w:marBottom w:val="0"/>
      <w:divBdr>
        <w:top w:val="none" w:sz="0" w:space="0" w:color="auto"/>
        <w:left w:val="none" w:sz="0" w:space="0" w:color="auto"/>
        <w:bottom w:val="none" w:sz="0" w:space="0" w:color="auto"/>
        <w:right w:val="none" w:sz="0" w:space="0" w:color="auto"/>
      </w:divBdr>
    </w:div>
    <w:div w:id="1429041938">
      <w:bodyDiv w:val="1"/>
      <w:marLeft w:val="0"/>
      <w:marRight w:val="0"/>
      <w:marTop w:val="0"/>
      <w:marBottom w:val="0"/>
      <w:divBdr>
        <w:top w:val="none" w:sz="0" w:space="0" w:color="auto"/>
        <w:left w:val="none" w:sz="0" w:space="0" w:color="auto"/>
        <w:bottom w:val="none" w:sz="0" w:space="0" w:color="auto"/>
        <w:right w:val="none" w:sz="0" w:space="0" w:color="auto"/>
      </w:divBdr>
    </w:div>
    <w:div w:id="1431513123">
      <w:bodyDiv w:val="1"/>
      <w:marLeft w:val="0"/>
      <w:marRight w:val="0"/>
      <w:marTop w:val="0"/>
      <w:marBottom w:val="0"/>
      <w:divBdr>
        <w:top w:val="none" w:sz="0" w:space="0" w:color="auto"/>
        <w:left w:val="none" w:sz="0" w:space="0" w:color="auto"/>
        <w:bottom w:val="none" w:sz="0" w:space="0" w:color="auto"/>
        <w:right w:val="none" w:sz="0" w:space="0" w:color="auto"/>
      </w:divBdr>
    </w:div>
    <w:div w:id="1431662078">
      <w:bodyDiv w:val="1"/>
      <w:marLeft w:val="0"/>
      <w:marRight w:val="0"/>
      <w:marTop w:val="0"/>
      <w:marBottom w:val="0"/>
      <w:divBdr>
        <w:top w:val="none" w:sz="0" w:space="0" w:color="auto"/>
        <w:left w:val="none" w:sz="0" w:space="0" w:color="auto"/>
        <w:bottom w:val="none" w:sz="0" w:space="0" w:color="auto"/>
        <w:right w:val="none" w:sz="0" w:space="0" w:color="auto"/>
      </w:divBdr>
    </w:div>
    <w:div w:id="1437212707">
      <w:bodyDiv w:val="1"/>
      <w:marLeft w:val="0"/>
      <w:marRight w:val="0"/>
      <w:marTop w:val="0"/>
      <w:marBottom w:val="0"/>
      <w:divBdr>
        <w:top w:val="none" w:sz="0" w:space="0" w:color="auto"/>
        <w:left w:val="none" w:sz="0" w:space="0" w:color="auto"/>
        <w:bottom w:val="none" w:sz="0" w:space="0" w:color="auto"/>
        <w:right w:val="none" w:sz="0" w:space="0" w:color="auto"/>
      </w:divBdr>
    </w:div>
    <w:div w:id="1437284348">
      <w:bodyDiv w:val="1"/>
      <w:marLeft w:val="0"/>
      <w:marRight w:val="0"/>
      <w:marTop w:val="0"/>
      <w:marBottom w:val="0"/>
      <w:divBdr>
        <w:top w:val="none" w:sz="0" w:space="0" w:color="auto"/>
        <w:left w:val="none" w:sz="0" w:space="0" w:color="auto"/>
        <w:bottom w:val="none" w:sz="0" w:space="0" w:color="auto"/>
        <w:right w:val="none" w:sz="0" w:space="0" w:color="auto"/>
      </w:divBdr>
    </w:div>
    <w:div w:id="1438792251">
      <w:bodyDiv w:val="1"/>
      <w:marLeft w:val="0"/>
      <w:marRight w:val="0"/>
      <w:marTop w:val="0"/>
      <w:marBottom w:val="0"/>
      <w:divBdr>
        <w:top w:val="none" w:sz="0" w:space="0" w:color="auto"/>
        <w:left w:val="none" w:sz="0" w:space="0" w:color="auto"/>
        <w:bottom w:val="none" w:sz="0" w:space="0" w:color="auto"/>
        <w:right w:val="none" w:sz="0" w:space="0" w:color="auto"/>
      </w:divBdr>
    </w:div>
    <w:div w:id="1441758002">
      <w:bodyDiv w:val="1"/>
      <w:marLeft w:val="0"/>
      <w:marRight w:val="0"/>
      <w:marTop w:val="0"/>
      <w:marBottom w:val="0"/>
      <w:divBdr>
        <w:top w:val="none" w:sz="0" w:space="0" w:color="auto"/>
        <w:left w:val="none" w:sz="0" w:space="0" w:color="auto"/>
        <w:bottom w:val="none" w:sz="0" w:space="0" w:color="auto"/>
        <w:right w:val="none" w:sz="0" w:space="0" w:color="auto"/>
      </w:divBdr>
    </w:div>
    <w:div w:id="1443184690">
      <w:bodyDiv w:val="1"/>
      <w:marLeft w:val="0"/>
      <w:marRight w:val="0"/>
      <w:marTop w:val="0"/>
      <w:marBottom w:val="0"/>
      <w:divBdr>
        <w:top w:val="none" w:sz="0" w:space="0" w:color="auto"/>
        <w:left w:val="none" w:sz="0" w:space="0" w:color="auto"/>
        <w:bottom w:val="none" w:sz="0" w:space="0" w:color="auto"/>
        <w:right w:val="none" w:sz="0" w:space="0" w:color="auto"/>
      </w:divBdr>
    </w:div>
    <w:div w:id="1445415954">
      <w:bodyDiv w:val="1"/>
      <w:marLeft w:val="0"/>
      <w:marRight w:val="0"/>
      <w:marTop w:val="0"/>
      <w:marBottom w:val="0"/>
      <w:divBdr>
        <w:top w:val="none" w:sz="0" w:space="0" w:color="auto"/>
        <w:left w:val="none" w:sz="0" w:space="0" w:color="auto"/>
        <w:bottom w:val="none" w:sz="0" w:space="0" w:color="auto"/>
        <w:right w:val="none" w:sz="0" w:space="0" w:color="auto"/>
      </w:divBdr>
    </w:div>
    <w:div w:id="1451511246">
      <w:bodyDiv w:val="1"/>
      <w:marLeft w:val="0"/>
      <w:marRight w:val="0"/>
      <w:marTop w:val="0"/>
      <w:marBottom w:val="0"/>
      <w:divBdr>
        <w:top w:val="none" w:sz="0" w:space="0" w:color="auto"/>
        <w:left w:val="none" w:sz="0" w:space="0" w:color="auto"/>
        <w:bottom w:val="none" w:sz="0" w:space="0" w:color="auto"/>
        <w:right w:val="none" w:sz="0" w:space="0" w:color="auto"/>
      </w:divBdr>
    </w:div>
    <w:div w:id="1451976335">
      <w:bodyDiv w:val="1"/>
      <w:marLeft w:val="0"/>
      <w:marRight w:val="0"/>
      <w:marTop w:val="0"/>
      <w:marBottom w:val="0"/>
      <w:divBdr>
        <w:top w:val="none" w:sz="0" w:space="0" w:color="auto"/>
        <w:left w:val="none" w:sz="0" w:space="0" w:color="auto"/>
        <w:bottom w:val="none" w:sz="0" w:space="0" w:color="auto"/>
        <w:right w:val="none" w:sz="0" w:space="0" w:color="auto"/>
      </w:divBdr>
    </w:div>
    <w:div w:id="1452044418">
      <w:bodyDiv w:val="1"/>
      <w:marLeft w:val="0"/>
      <w:marRight w:val="0"/>
      <w:marTop w:val="0"/>
      <w:marBottom w:val="0"/>
      <w:divBdr>
        <w:top w:val="none" w:sz="0" w:space="0" w:color="auto"/>
        <w:left w:val="none" w:sz="0" w:space="0" w:color="auto"/>
        <w:bottom w:val="none" w:sz="0" w:space="0" w:color="auto"/>
        <w:right w:val="none" w:sz="0" w:space="0" w:color="auto"/>
      </w:divBdr>
    </w:div>
    <w:div w:id="1453400689">
      <w:bodyDiv w:val="1"/>
      <w:marLeft w:val="0"/>
      <w:marRight w:val="0"/>
      <w:marTop w:val="0"/>
      <w:marBottom w:val="0"/>
      <w:divBdr>
        <w:top w:val="none" w:sz="0" w:space="0" w:color="auto"/>
        <w:left w:val="none" w:sz="0" w:space="0" w:color="auto"/>
        <w:bottom w:val="none" w:sz="0" w:space="0" w:color="auto"/>
        <w:right w:val="none" w:sz="0" w:space="0" w:color="auto"/>
      </w:divBdr>
    </w:div>
    <w:div w:id="1454979104">
      <w:bodyDiv w:val="1"/>
      <w:marLeft w:val="0"/>
      <w:marRight w:val="0"/>
      <w:marTop w:val="0"/>
      <w:marBottom w:val="0"/>
      <w:divBdr>
        <w:top w:val="none" w:sz="0" w:space="0" w:color="auto"/>
        <w:left w:val="none" w:sz="0" w:space="0" w:color="auto"/>
        <w:bottom w:val="none" w:sz="0" w:space="0" w:color="auto"/>
        <w:right w:val="none" w:sz="0" w:space="0" w:color="auto"/>
      </w:divBdr>
    </w:div>
    <w:div w:id="1455363706">
      <w:bodyDiv w:val="1"/>
      <w:marLeft w:val="0"/>
      <w:marRight w:val="0"/>
      <w:marTop w:val="0"/>
      <w:marBottom w:val="0"/>
      <w:divBdr>
        <w:top w:val="none" w:sz="0" w:space="0" w:color="auto"/>
        <w:left w:val="none" w:sz="0" w:space="0" w:color="auto"/>
        <w:bottom w:val="none" w:sz="0" w:space="0" w:color="auto"/>
        <w:right w:val="none" w:sz="0" w:space="0" w:color="auto"/>
      </w:divBdr>
    </w:div>
    <w:div w:id="1458254910">
      <w:bodyDiv w:val="1"/>
      <w:marLeft w:val="0"/>
      <w:marRight w:val="0"/>
      <w:marTop w:val="0"/>
      <w:marBottom w:val="0"/>
      <w:divBdr>
        <w:top w:val="none" w:sz="0" w:space="0" w:color="auto"/>
        <w:left w:val="none" w:sz="0" w:space="0" w:color="auto"/>
        <w:bottom w:val="none" w:sz="0" w:space="0" w:color="auto"/>
        <w:right w:val="none" w:sz="0" w:space="0" w:color="auto"/>
      </w:divBdr>
    </w:div>
    <w:div w:id="1458445869">
      <w:bodyDiv w:val="1"/>
      <w:marLeft w:val="0"/>
      <w:marRight w:val="0"/>
      <w:marTop w:val="0"/>
      <w:marBottom w:val="0"/>
      <w:divBdr>
        <w:top w:val="none" w:sz="0" w:space="0" w:color="auto"/>
        <w:left w:val="none" w:sz="0" w:space="0" w:color="auto"/>
        <w:bottom w:val="none" w:sz="0" w:space="0" w:color="auto"/>
        <w:right w:val="none" w:sz="0" w:space="0" w:color="auto"/>
      </w:divBdr>
    </w:div>
    <w:div w:id="1462382148">
      <w:bodyDiv w:val="1"/>
      <w:marLeft w:val="0"/>
      <w:marRight w:val="0"/>
      <w:marTop w:val="0"/>
      <w:marBottom w:val="0"/>
      <w:divBdr>
        <w:top w:val="none" w:sz="0" w:space="0" w:color="auto"/>
        <w:left w:val="none" w:sz="0" w:space="0" w:color="auto"/>
        <w:bottom w:val="none" w:sz="0" w:space="0" w:color="auto"/>
        <w:right w:val="none" w:sz="0" w:space="0" w:color="auto"/>
      </w:divBdr>
    </w:div>
    <w:div w:id="1466006255">
      <w:bodyDiv w:val="1"/>
      <w:marLeft w:val="0"/>
      <w:marRight w:val="0"/>
      <w:marTop w:val="0"/>
      <w:marBottom w:val="0"/>
      <w:divBdr>
        <w:top w:val="none" w:sz="0" w:space="0" w:color="auto"/>
        <w:left w:val="none" w:sz="0" w:space="0" w:color="auto"/>
        <w:bottom w:val="none" w:sz="0" w:space="0" w:color="auto"/>
        <w:right w:val="none" w:sz="0" w:space="0" w:color="auto"/>
      </w:divBdr>
    </w:div>
    <w:div w:id="1472017077">
      <w:bodyDiv w:val="1"/>
      <w:marLeft w:val="0"/>
      <w:marRight w:val="0"/>
      <w:marTop w:val="0"/>
      <w:marBottom w:val="0"/>
      <w:divBdr>
        <w:top w:val="none" w:sz="0" w:space="0" w:color="auto"/>
        <w:left w:val="none" w:sz="0" w:space="0" w:color="auto"/>
        <w:bottom w:val="none" w:sz="0" w:space="0" w:color="auto"/>
        <w:right w:val="none" w:sz="0" w:space="0" w:color="auto"/>
      </w:divBdr>
    </w:div>
    <w:div w:id="1472215422">
      <w:bodyDiv w:val="1"/>
      <w:marLeft w:val="0"/>
      <w:marRight w:val="0"/>
      <w:marTop w:val="0"/>
      <w:marBottom w:val="0"/>
      <w:divBdr>
        <w:top w:val="none" w:sz="0" w:space="0" w:color="auto"/>
        <w:left w:val="none" w:sz="0" w:space="0" w:color="auto"/>
        <w:bottom w:val="none" w:sz="0" w:space="0" w:color="auto"/>
        <w:right w:val="none" w:sz="0" w:space="0" w:color="auto"/>
      </w:divBdr>
    </w:div>
    <w:div w:id="1477068872">
      <w:bodyDiv w:val="1"/>
      <w:marLeft w:val="0"/>
      <w:marRight w:val="0"/>
      <w:marTop w:val="0"/>
      <w:marBottom w:val="0"/>
      <w:divBdr>
        <w:top w:val="none" w:sz="0" w:space="0" w:color="auto"/>
        <w:left w:val="none" w:sz="0" w:space="0" w:color="auto"/>
        <w:bottom w:val="none" w:sz="0" w:space="0" w:color="auto"/>
        <w:right w:val="none" w:sz="0" w:space="0" w:color="auto"/>
      </w:divBdr>
    </w:div>
    <w:div w:id="1477334812">
      <w:bodyDiv w:val="1"/>
      <w:marLeft w:val="0"/>
      <w:marRight w:val="0"/>
      <w:marTop w:val="0"/>
      <w:marBottom w:val="0"/>
      <w:divBdr>
        <w:top w:val="none" w:sz="0" w:space="0" w:color="auto"/>
        <w:left w:val="none" w:sz="0" w:space="0" w:color="auto"/>
        <w:bottom w:val="none" w:sz="0" w:space="0" w:color="auto"/>
        <w:right w:val="none" w:sz="0" w:space="0" w:color="auto"/>
      </w:divBdr>
    </w:div>
    <w:div w:id="1480534110">
      <w:bodyDiv w:val="1"/>
      <w:marLeft w:val="0"/>
      <w:marRight w:val="0"/>
      <w:marTop w:val="0"/>
      <w:marBottom w:val="0"/>
      <w:divBdr>
        <w:top w:val="none" w:sz="0" w:space="0" w:color="auto"/>
        <w:left w:val="none" w:sz="0" w:space="0" w:color="auto"/>
        <w:bottom w:val="none" w:sz="0" w:space="0" w:color="auto"/>
        <w:right w:val="none" w:sz="0" w:space="0" w:color="auto"/>
      </w:divBdr>
    </w:div>
    <w:div w:id="1480998007">
      <w:bodyDiv w:val="1"/>
      <w:marLeft w:val="0"/>
      <w:marRight w:val="0"/>
      <w:marTop w:val="0"/>
      <w:marBottom w:val="0"/>
      <w:divBdr>
        <w:top w:val="none" w:sz="0" w:space="0" w:color="auto"/>
        <w:left w:val="none" w:sz="0" w:space="0" w:color="auto"/>
        <w:bottom w:val="none" w:sz="0" w:space="0" w:color="auto"/>
        <w:right w:val="none" w:sz="0" w:space="0" w:color="auto"/>
      </w:divBdr>
    </w:div>
    <w:div w:id="1486897997">
      <w:bodyDiv w:val="1"/>
      <w:marLeft w:val="0"/>
      <w:marRight w:val="0"/>
      <w:marTop w:val="0"/>
      <w:marBottom w:val="0"/>
      <w:divBdr>
        <w:top w:val="none" w:sz="0" w:space="0" w:color="auto"/>
        <w:left w:val="none" w:sz="0" w:space="0" w:color="auto"/>
        <w:bottom w:val="none" w:sz="0" w:space="0" w:color="auto"/>
        <w:right w:val="none" w:sz="0" w:space="0" w:color="auto"/>
      </w:divBdr>
    </w:div>
    <w:div w:id="1489319833">
      <w:bodyDiv w:val="1"/>
      <w:marLeft w:val="0"/>
      <w:marRight w:val="0"/>
      <w:marTop w:val="0"/>
      <w:marBottom w:val="0"/>
      <w:divBdr>
        <w:top w:val="none" w:sz="0" w:space="0" w:color="auto"/>
        <w:left w:val="none" w:sz="0" w:space="0" w:color="auto"/>
        <w:bottom w:val="none" w:sz="0" w:space="0" w:color="auto"/>
        <w:right w:val="none" w:sz="0" w:space="0" w:color="auto"/>
      </w:divBdr>
    </w:div>
    <w:div w:id="1490904458">
      <w:bodyDiv w:val="1"/>
      <w:marLeft w:val="0"/>
      <w:marRight w:val="0"/>
      <w:marTop w:val="0"/>
      <w:marBottom w:val="0"/>
      <w:divBdr>
        <w:top w:val="none" w:sz="0" w:space="0" w:color="auto"/>
        <w:left w:val="none" w:sz="0" w:space="0" w:color="auto"/>
        <w:bottom w:val="none" w:sz="0" w:space="0" w:color="auto"/>
        <w:right w:val="none" w:sz="0" w:space="0" w:color="auto"/>
      </w:divBdr>
    </w:div>
    <w:div w:id="1492680074">
      <w:bodyDiv w:val="1"/>
      <w:marLeft w:val="0"/>
      <w:marRight w:val="0"/>
      <w:marTop w:val="0"/>
      <w:marBottom w:val="0"/>
      <w:divBdr>
        <w:top w:val="none" w:sz="0" w:space="0" w:color="auto"/>
        <w:left w:val="none" w:sz="0" w:space="0" w:color="auto"/>
        <w:bottom w:val="none" w:sz="0" w:space="0" w:color="auto"/>
        <w:right w:val="none" w:sz="0" w:space="0" w:color="auto"/>
      </w:divBdr>
    </w:div>
    <w:div w:id="1494108089">
      <w:bodyDiv w:val="1"/>
      <w:marLeft w:val="0"/>
      <w:marRight w:val="0"/>
      <w:marTop w:val="0"/>
      <w:marBottom w:val="0"/>
      <w:divBdr>
        <w:top w:val="none" w:sz="0" w:space="0" w:color="auto"/>
        <w:left w:val="none" w:sz="0" w:space="0" w:color="auto"/>
        <w:bottom w:val="none" w:sz="0" w:space="0" w:color="auto"/>
        <w:right w:val="none" w:sz="0" w:space="0" w:color="auto"/>
      </w:divBdr>
    </w:div>
    <w:div w:id="1495141403">
      <w:bodyDiv w:val="1"/>
      <w:marLeft w:val="0"/>
      <w:marRight w:val="0"/>
      <w:marTop w:val="0"/>
      <w:marBottom w:val="0"/>
      <w:divBdr>
        <w:top w:val="none" w:sz="0" w:space="0" w:color="auto"/>
        <w:left w:val="none" w:sz="0" w:space="0" w:color="auto"/>
        <w:bottom w:val="none" w:sz="0" w:space="0" w:color="auto"/>
        <w:right w:val="none" w:sz="0" w:space="0" w:color="auto"/>
      </w:divBdr>
    </w:div>
    <w:div w:id="1495873018">
      <w:bodyDiv w:val="1"/>
      <w:marLeft w:val="0"/>
      <w:marRight w:val="0"/>
      <w:marTop w:val="0"/>
      <w:marBottom w:val="0"/>
      <w:divBdr>
        <w:top w:val="none" w:sz="0" w:space="0" w:color="auto"/>
        <w:left w:val="none" w:sz="0" w:space="0" w:color="auto"/>
        <w:bottom w:val="none" w:sz="0" w:space="0" w:color="auto"/>
        <w:right w:val="none" w:sz="0" w:space="0" w:color="auto"/>
      </w:divBdr>
    </w:div>
    <w:div w:id="1496602316">
      <w:bodyDiv w:val="1"/>
      <w:marLeft w:val="0"/>
      <w:marRight w:val="0"/>
      <w:marTop w:val="0"/>
      <w:marBottom w:val="0"/>
      <w:divBdr>
        <w:top w:val="none" w:sz="0" w:space="0" w:color="auto"/>
        <w:left w:val="none" w:sz="0" w:space="0" w:color="auto"/>
        <w:bottom w:val="none" w:sz="0" w:space="0" w:color="auto"/>
        <w:right w:val="none" w:sz="0" w:space="0" w:color="auto"/>
      </w:divBdr>
    </w:div>
    <w:div w:id="1498035311">
      <w:bodyDiv w:val="1"/>
      <w:marLeft w:val="0"/>
      <w:marRight w:val="0"/>
      <w:marTop w:val="0"/>
      <w:marBottom w:val="0"/>
      <w:divBdr>
        <w:top w:val="none" w:sz="0" w:space="0" w:color="auto"/>
        <w:left w:val="none" w:sz="0" w:space="0" w:color="auto"/>
        <w:bottom w:val="none" w:sz="0" w:space="0" w:color="auto"/>
        <w:right w:val="none" w:sz="0" w:space="0" w:color="auto"/>
      </w:divBdr>
    </w:div>
    <w:div w:id="1501847289">
      <w:bodyDiv w:val="1"/>
      <w:marLeft w:val="0"/>
      <w:marRight w:val="0"/>
      <w:marTop w:val="0"/>
      <w:marBottom w:val="0"/>
      <w:divBdr>
        <w:top w:val="none" w:sz="0" w:space="0" w:color="auto"/>
        <w:left w:val="none" w:sz="0" w:space="0" w:color="auto"/>
        <w:bottom w:val="none" w:sz="0" w:space="0" w:color="auto"/>
        <w:right w:val="none" w:sz="0" w:space="0" w:color="auto"/>
      </w:divBdr>
    </w:div>
    <w:div w:id="1504785382">
      <w:bodyDiv w:val="1"/>
      <w:marLeft w:val="0"/>
      <w:marRight w:val="0"/>
      <w:marTop w:val="0"/>
      <w:marBottom w:val="0"/>
      <w:divBdr>
        <w:top w:val="none" w:sz="0" w:space="0" w:color="auto"/>
        <w:left w:val="none" w:sz="0" w:space="0" w:color="auto"/>
        <w:bottom w:val="none" w:sz="0" w:space="0" w:color="auto"/>
        <w:right w:val="none" w:sz="0" w:space="0" w:color="auto"/>
      </w:divBdr>
    </w:div>
    <w:div w:id="1505631091">
      <w:bodyDiv w:val="1"/>
      <w:marLeft w:val="0"/>
      <w:marRight w:val="0"/>
      <w:marTop w:val="0"/>
      <w:marBottom w:val="0"/>
      <w:divBdr>
        <w:top w:val="none" w:sz="0" w:space="0" w:color="auto"/>
        <w:left w:val="none" w:sz="0" w:space="0" w:color="auto"/>
        <w:bottom w:val="none" w:sz="0" w:space="0" w:color="auto"/>
        <w:right w:val="none" w:sz="0" w:space="0" w:color="auto"/>
      </w:divBdr>
    </w:div>
    <w:div w:id="1508523402">
      <w:bodyDiv w:val="1"/>
      <w:marLeft w:val="0"/>
      <w:marRight w:val="0"/>
      <w:marTop w:val="0"/>
      <w:marBottom w:val="0"/>
      <w:divBdr>
        <w:top w:val="none" w:sz="0" w:space="0" w:color="auto"/>
        <w:left w:val="none" w:sz="0" w:space="0" w:color="auto"/>
        <w:bottom w:val="none" w:sz="0" w:space="0" w:color="auto"/>
        <w:right w:val="none" w:sz="0" w:space="0" w:color="auto"/>
      </w:divBdr>
    </w:div>
    <w:div w:id="1508787670">
      <w:bodyDiv w:val="1"/>
      <w:marLeft w:val="0"/>
      <w:marRight w:val="0"/>
      <w:marTop w:val="0"/>
      <w:marBottom w:val="0"/>
      <w:divBdr>
        <w:top w:val="none" w:sz="0" w:space="0" w:color="auto"/>
        <w:left w:val="none" w:sz="0" w:space="0" w:color="auto"/>
        <w:bottom w:val="none" w:sz="0" w:space="0" w:color="auto"/>
        <w:right w:val="none" w:sz="0" w:space="0" w:color="auto"/>
      </w:divBdr>
    </w:div>
    <w:div w:id="1509326554">
      <w:bodyDiv w:val="1"/>
      <w:marLeft w:val="0"/>
      <w:marRight w:val="0"/>
      <w:marTop w:val="0"/>
      <w:marBottom w:val="0"/>
      <w:divBdr>
        <w:top w:val="none" w:sz="0" w:space="0" w:color="auto"/>
        <w:left w:val="none" w:sz="0" w:space="0" w:color="auto"/>
        <w:bottom w:val="none" w:sz="0" w:space="0" w:color="auto"/>
        <w:right w:val="none" w:sz="0" w:space="0" w:color="auto"/>
      </w:divBdr>
    </w:div>
    <w:div w:id="1511024217">
      <w:bodyDiv w:val="1"/>
      <w:marLeft w:val="0"/>
      <w:marRight w:val="0"/>
      <w:marTop w:val="0"/>
      <w:marBottom w:val="0"/>
      <w:divBdr>
        <w:top w:val="none" w:sz="0" w:space="0" w:color="auto"/>
        <w:left w:val="none" w:sz="0" w:space="0" w:color="auto"/>
        <w:bottom w:val="none" w:sz="0" w:space="0" w:color="auto"/>
        <w:right w:val="none" w:sz="0" w:space="0" w:color="auto"/>
      </w:divBdr>
    </w:div>
    <w:div w:id="1512836675">
      <w:bodyDiv w:val="1"/>
      <w:marLeft w:val="0"/>
      <w:marRight w:val="0"/>
      <w:marTop w:val="0"/>
      <w:marBottom w:val="0"/>
      <w:divBdr>
        <w:top w:val="none" w:sz="0" w:space="0" w:color="auto"/>
        <w:left w:val="none" w:sz="0" w:space="0" w:color="auto"/>
        <w:bottom w:val="none" w:sz="0" w:space="0" w:color="auto"/>
        <w:right w:val="none" w:sz="0" w:space="0" w:color="auto"/>
      </w:divBdr>
    </w:div>
    <w:div w:id="1512917155">
      <w:bodyDiv w:val="1"/>
      <w:marLeft w:val="0"/>
      <w:marRight w:val="0"/>
      <w:marTop w:val="0"/>
      <w:marBottom w:val="0"/>
      <w:divBdr>
        <w:top w:val="none" w:sz="0" w:space="0" w:color="auto"/>
        <w:left w:val="none" w:sz="0" w:space="0" w:color="auto"/>
        <w:bottom w:val="none" w:sz="0" w:space="0" w:color="auto"/>
        <w:right w:val="none" w:sz="0" w:space="0" w:color="auto"/>
      </w:divBdr>
    </w:div>
    <w:div w:id="1515342090">
      <w:bodyDiv w:val="1"/>
      <w:marLeft w:val="0"/>
      <w:marRight w:val="0"/>
      <w:marTop w:val="0"/>
      <w:marBottom w:val="0"/>
      <w:divBdr>
        <w:top w:val="none" w:sz="0" w:space="0" w:color="auto"/>
        <w:left w:val="none" w:sz="0" w:space="0" w:color="auto"/>
        <w:bottom w:val="none" w:sz="0" w:space="0" w:color="auto"/>
        <w:right w:val="none" w:sz="0" w:space="0" w:color="auto"/>
      </w:divBdr>
    </w:div>
    <w:div w:id="1517309685">
      <w:bodyDiv w:val="1"/>
      <w:marLeft w:val="0"/>
      <w:marRight w:val="0"/>
      <w:marTop w:val="0"/>
      <w:marBottom w:val="0"/>
      <w:divBdr>
        <w:top w:val="none" w:sz="0" w:space="0" w:color="auto"/>
        <w:left w:val="none" w:sz="0" w:space="0" w:color="auto"/>
        <w:bottom w:val="none" w:sz="0" w:space="0" w:color="auto"/>
        <w:right w:val="none" w:sz="0" w:space="0" w:color="auto"/>
      </w:divBdr>
    </w:div>
    <w:div w:id="1517619644">
      <w:bodyDiv w:val="1"/>
      <w:marLeft w:val="0"/>
      <w:marRight w:val="0"/>
      <w:marTop w:val="0"/>
      <w:marBottom w:val="0"/>
      <w:divBdr>
        <w:top w:val="none" w:sz="0" w:space="0" w:color="auto"/>
        <w:left w:val="none" w:sz="0" w:space="0" w:color="auto"/>
        <w:bottom w:val="none" w:sz="0" w:space="0" w:color="auto"/>
        <w:right w:val="none" w:sz="0" w:space="0" w:color="auto"/>
      </w:divBdr>
    </w:div>
    <w:div w:id="1518763643">
      <w:bodyDiv w:val="1"/>
      <w:marLeft w:val="0"/>
      <w:marRight w:val="0"/>
      <w:marTop w:val="0"/>
      <w:marBottom w:val="0"/>
      <w:divBdr>
        <w:top w:val="none" w:sz="0" w:space="0" w:color="auto"/>
        <w:left w:val="none" w:sz="0" w:space="0" w:color="auto"/>
        <w:bottom w:val="none" w:sz="0" w:space="0" w:color="auto"/>
        <w:right w:val="none" w:sz="0" w:space="0" w:color="auto"/>
      </w:divBdr>
    </w:div>
    <w:div w:id="1520584709">
      <w:bodyDiv w:val="1"/>
      <w:marLeft w:val="0"/>
      <w:marRight w:val="0"/>
      <w:marTop w:val="0"/>
      <w:marBottom w:val="0"/>
      <w:divBdr>
        <w:top w:val="none" w:sz="0" w:space="0" w:color="auto"/>
        <w:left w:val="none" w:sz="0" w:space="0" w:color="auto"/>
        <w:bottom w:val="none" w:sz="0" w:space="0" w:color="auto"/>
        <w:right w:val="none" w:sz="0" w:space="0" w:color="auto"/>
      </w:divBdr>
    </w:div>
    <w:div w:id="1521047704">
      <w:bodyDiv w:val="1"/>
      <w:marLeft w:val="0"/>
      <w:marRight w:val="0"/>
      <w:marTop w:val="0"/>
      <w:marBottom w:val="0"/>
      <w:divBdr>
        <w:top w:val="none" w:sz="0" w:space="0" w:color="auto"/>
        <w:left w:val="none" w:sz="0" w:space="0" w:color="auto"/>
        <w:bottom w:val="none" w:sz="0" w:space="0" w:color="auto"/>
        <w:right w:val="none" w:sz="0" w:space="0" w:color="auto"/>
      </w:divBdr>
    </w:div>
    <w:div w:id="1521771978">
      <w:bodyDiv w:val="1"/>
      <w:marLeft w:val="0"/>
      <w:marRight w:val="0"/>
      <w:marTop w:val="0"/>
      <w:marBottom w:val="0"/>
      <w:divBdr>
        <w:top w:val="none" w:sz="0" w:space="0" w:color="auto"/>
        <w:left w:val="none" w:sz="0" w:space="0" w:color="auto"/>
        <w:bottom w:val="none" w:sz="0" w:space="0" w:color="auto"/>
        <w:right w:val="none" w:sz="0" w:space="0" w:color="auto"/>
      </w:divBdr>
    </w:div>
    <w:div w:id="1522671627">
      <w:bodyDiv w:val="1"/>
      <w:marLeft w:val="0"/>
      <w:marRight w:val="0"/>
      <w:marTop w:val="0"/>
      <w:marBottom w:val="0"/>
      <w:divBdr>
        <w:top w:val="none" w:sz="0" w:space="0" w:color="auto"/>
        <w:left w:val="none" w:sz="0" w:space="0" w:color="auto"/>
        <w:bottom w:val="none" w:sz="0" w:space="0" w:color="auto"/>
        <w:right w:val="none" w:sz="0" w:space="0" w:color="auto"/>
      </w:divBdr>
    </w:div>
    <w:div w:id="1525362516">
      <w:bodyDiv w:val="1"/>
      <w:marLeft w:val="0"/>
      <w:marRight w:val="0"/>
      <w:marTop w:val="0"/>
      <w:marBottom w:val="0"/>
      <w:divBdr>
        <w:top w:val="none" w:sz="0" w:space="0" w:color="auto"/>
        <w:left w:val="none" w:sz="0" w:space="0" w:color="auto"/>
        <w:bottom w:val="none" w:sz="0" w:space="0" w:color="auto"/>
        <w:right w:val="none" w:sz="0" w:space="0" w:color="auto"/>
      </w:divBdr>
    </w:div>
    <w:div w:id="1527720275">
      <w:bodyDiv w:val="1"/>
      <w:marLeft w:val="0"/>
      <w:marRight w:val="0"/>
      <w:marTop w:val="0"/>
      <w:marBottom w:val="0"/>
      <w:divBdr>
        <w:top w:val="none" w:sz="0" w:space="0" w:color="auto"/>
        <w:left w:val="none" w:sz="0" w:space="0" w:color="auto"/>
        <w:bottom w:val="none" w:sz="0" w:space="0" w:color="auto"/>
        <w:right w:val="none" w:sz="0" w:space="0" w:color="auto"/>
      </w:divBdr>
    </w:div>
    <w:div w:id="1528369877">
      <w:bodyDiv w:val="1"/>
      <w:marLeft w:val="0"/>
      <w:marRight w:val="0"/>
      <w:marTop w:val="0"/>
      <w:marBottom w:val="0"/>
      <w:divBdr>
        <w:top w:val="none" w:sz="0" w:space="0" w:color="auto"/>
        <w:left w:val="none" w:sz="0" w:space="0" w:color="auto"/>
        <w:bottom w:val="none" w:sz="0" w:space="0" w:color="auto"/>
        <w:right w:val="none" w:sz="0" w:space="0" w:color="auto"/>
      </w:divBdr>
    </w:div>
    <w:div w:id="1528715955">
      <w:bodyDiv w:val="1"/>
      <w:marLeft w:val="0"/>
      <w:marRight w:val="0"/>
      <w:marTop w:val="0"/>
      <w:marBottom w:val="0"/>
      <w:divBdr>
        <w:top w:val="none" w:sz="0" w:space="0" w:color="auto"/>
        <w:left w:val="none" w:sz="0" w:space="0" w:color="auto"/>
        <w:bottom w:val="none" w:sz="0" w:space="0" w:color="auto"/>
        <w:right w:val="none" w:sz="0" w:space="0" w:color="auto"/>
      </w:divBdr>
    </w:div>
    <w:div w:id="1529416044">
      <w:bodyDiv w:val="1"/>
      <w:marLeft w:val="0"/>
      <w:marRight w:val="0"/>
      <w:marTop w:val="0"/>
      <w:marBottom w:val="0"/>
      <w:divBdr>
        <w:top w:val="none" w:sz="0" w:space="0" w:color="auto"/>
        <w:left w:val="none" w:sz="0" w:space="0" w:color="auto"/>
        <w:bottom w:val="none" w:sz="0" w:space="0" w:color="auto"/>
        <w:right w:val="none" w:sz="0" w:space="0" w:color="auto"/>
      </w:divBdr>
    </w:div>
    <w:div w:id="1531063881">
      <w:bodyDiv w:val="1"/>
      <w:marLeft w:val="0"/>
      <w:marRight w:val="0"/>
      <w:marTop w:val="0"/>
      <w:marBottom w:val="0"/>
      <w:divBdr>
        <w:top w:val="none" w:sz="0" w:space="0" w:color="auto"/>
        <w:left w:val="none" w:sz="0" w:space="0" w:color="auto"/>
        <w:bottom w:val="none" w:sz="0" w:space="0" w:color="auto"/>
        <w:right w:val="none" w:sz="0" w:space="0" w:color="auto"/>
      </w:divBdr>
    </w:div>
    <w:div w:id="1538856726">
      <w:bodyDiv w:val="1"/>
      <w:marLeft w:val="0"/>
      <w:marRight w:val="0"/>
      <w:marTop w:val="0"/>
      <w:marBottom w:val="0"/>
      <w:divBdr>
        <w:top w:val="none" w:sz="0" w:space="0" w:color="auto"/>
        <w:left w:val="none" w:sz="0" w:space="0" w:color="auto"/>
        <w:bottom w:val="none" w:sz="0" w:space="0" w:color="auto"/>
        <w:right w:val="none" w:sz="0" w:space="0" w:color="auto"/>
      </w:divBdr>
    </w:div>
    <w:div w:id="1539319841">
      <w:bodyDiv w:val="1"/>
      <w:marLeft w:val="0"/>
      <w:marRight w:val="0"/>
      <w:marTop w:val="0"/>
      <w:marBottom w:val="0"/>
      <w:divBdr>
        <w:top w:val="none" w:sz="0" w:space="0" w:color="auto"/>
        <w:left w:val="none" w:sz="0" w:space="0" w:color="auto"/>
        <w:bottom w:val="none" w:sz="0" w:space="0" w:color="auto"/>
        <w:right w:val="none" w:sz="0" w:space="0" w:color="auto"/>
      </w:divBdr>
    </w:div>
    <w:div w:id="1540557040">
      <w:bodyDiv w:val="1"/>
      <w:marLeft w:val="0"/>
      <w:marRight w:val="0"/>
      <w:marTop w:val="0"/>
      <w:marBottom w:val="0"/>
      <w:divBdr>
        <w:top w:val="none" w:sz="0" w:space="0" w:color="auto"/>
        <w:left w:val="none" w:sz="0" w:space="0" w:color="auto"/>
        <w:bottom w:val="none" w:sz="0" w:space="0" w:color="auto"/>
        <w:right w:val="none" w:sz="0" w:space="0" w:color="auto"/>
      </w:divBdr>
    </w:div>
    <w:div w:id="1542278136">
      <w:bodyDiv w:val="1"/>
      <w:marLeft w:val="0"/>
      <w:marRight w:val="0"/>
      <w:marTop w:val="0"/>
      <w:marBottom w:val="0"/>
      <w:divBdr>
        <w:top w:val="none" w:sz="0" w:space="0" w:color="auto"/>
        <w:left w:val="none" w:sz="0" w:space="0" w:color="auto"/>
        <w:bottom w:val="none" w:sz="0" w:space="0" w:color="auto"/>
        <w:right w:val="none" w:sz="0" w:space="0" w:color="auto"/>
      </w:divBdr>
    </w:div>
    <w:div w:id="1542403147">
      <w:bodyDiv w:val="1"/>
      <w:marLeft w:val="0"/>
      <w:marRight w:val="0"/>
      <w:marTop w:val="0"/>
      <w:marBottom w:val="0"/>
      <w:divBdr>
        <w:top w:val="none" w:sz="0" w:space="0" w:color="auto"/>
        <w:left w:val="none" w:sz="0" w:space="0" w:color="auto"/>
        <w:bottom w:val="none" w:sz="0" w:space="0" w:color="auto"/>
        <w:right w:val="none" w:sz="0" w:space="0" w:color="auto"/>
      </w:divBdr>
    </w:div>
    <w:div w:id="1543443123">
      <w:bodyDiv w:val="1"/>
      <w:marLeft w:val="0"/>
      <w:marRight w:val="0"/>
      <w:marTop w:val="0"/>
      <w:marBottom w:val="0"/>
      <w:divBdr>
        <w:top w:val="none" w:sz="0" w:space="0" w:color="auto"/>
        <w:left w:val="none" w:sz="0" w:space="0" w:color="auto"/>
        <w:bottom w:val="none" w:sz="0" w:space="0" w:color="auto"/>
        <w:right w:val="none" w:sz="0" w:space="0" w:color="auto"/>
      </w:divBdr>
    </w:div>
    <w:div w:id="1545480177">
      <w:bodyDiv w:val="1"/>
      <w:marLeft w:val="0"/>
      <w:marRight w:val="0"/>
      <w:marTop w:val="0"/>
      <w:marBottom w:val="0"/>
      <w:divBdr>
        <w:top w:val="none" w:sz="0" w:space="0" w:color="auto"/>
        <w:left w:val="none" w:sz="0" w:space="0" w:color="auto"/>
        <w:bottom w:val="none" w:sz="0" w:space="0" w:color="auto"/>
        <w:right w:val="none" w:sz="0" w:space="0" w:color="auto"/>
      </w:divBdr>
    </w:div>
    <w:div w:id="1545556185">
      <w:bodyDiv w:val="1"/>
      <w:marLeft w:val="0"/>
      <w:marRight w:val="0"/>
      <w:marTop w:val="0"/>
      <w:marBottom w:val="0"/>
      <w:divBdr>
        <w:top w:val="none" w:sz="0" w:space="0" w:color="auto"/>
        <w:left w:val="none" w:sz="0" w:space="0" w:color="auto"/>
        <w:bottom w:val="none" w:sz="0" w:space="0" w:color="auto"/>
        <w:right w:val="none" w:sz="0" w:space="0" w:color="auto"/>
      </w:divBdr>
    </w:div>
    <w:div w:id="1547791949">
      <w:bodyDiv w:val="1"/>
      <w:marLeft w:val="0"/>
      <w:marRight w:val="0"/>
      <w:marTop w:val="0"/>
      <w:marBottom w:val="0"/>
      <w:divBdr>
        <w:top w:val="none" w:sz="0" w:space="0" w:color="auto"/>
        <w:left w:val="none" w:sz="0" w:space="0" w:color="auto"/>
        <w:bottom w:val="none" w:sz="0" w:space="0" w:color="auto"/>
        <w:right w:val="none" w:sz="0" w:space="0" w:color="auto"/>
      </w:divBdr>
    </w:div>
    <w:div w:id="1548106053">
      <w:bodyDiv w:val="1"/>
      <w:marLeft w:val="0"/>
      <w:marRight w:val="0"/>
      <w:marTop w:val="0"/>
      <w:marBottom w:val="0"/>
      <w:divBdr>
        <w:top w:val="none" w:sz="0" w:space="0" w:color="auto"/>
        <w:left w:val="none" w:sz="0" w:space="0" w:color="auto"/>
        <w:bottom w:val="none" w:sz="0" w:space="0" w:color="auto"/>
        <w:right w:val="none" w:sz="0" w:space="0" w:color="auto"/>
      </w:divBdr>
    </w:div>
    <w:div w:id="1551191689">
      <w:bodyDiv w:val="1"/>
      <w:marLeft w:val="0"/>
      <w:marRight w:val="0"/>
      <w:marTop w:val="0"/>
      <w:marBottom w:val="0"/>
      <w:divBdr>
        <w:top w:val="none" w:sz="0" w:space="0" w:color="auto"/>
        <w:left w:val="none" w:sz="0" w:space="0" w:color="auto"/>
        <w:bottom w:val="none" w:sz="0" w:space="0" w:color="auto"/>
        <w:right w:val="none" w:sz="0" w:space="0" w:color="auto"/>
      </w:divBdr>
    </w:div>
    <w:div w:id="1552692409">
      <w:bodyDiv w:val="1"/>
      <w:marLeft w:val="0"/>
      <w:marRight w:val="0"/>
      <w:marTop w:val="0"/>
      <w:marBottom w:val="0"/>
      <w:divBdr>
        <w:top w:val="none" w:sz="0" w:space="0" w:color="auto"/>
        <w:left w:val="none" w:sz="0" w:space="0" w:color="auto"/>
        <w:bottom w:val="none" w:sz="0" w:space="0" w:color="auto"/>
        <w:right w:val="none" w:sz="0" w:space="0" w:color="auto"/>
      </w:divBdr>
    </w:div>
    <w:div w:id="1553342227">
      <w:bodyDiv w:val="1"/>
      <w:marLeft w:val="0"/>
      <w:marRight w:val="0"/>
      <w:marTop w:val="0"/>
      <w:marBottom w:val="0"/>
      <w:divBdr>
        <w:top w:val="none" w:sz="0" w:space="0" w:color="auto"/>
        <w:left w:val="none" w:sz="0" w:space="0" w:color="auto"/>
        <w:bottom w:val="none" w:sz="0" w:space="0" w:color="auto"/>
        <w:right w:val="none" w:sz="0" w:space="0" w:color="auto"/>
      </w:divBdr>
    </w:div>
    <w:div w:id="1553692300">
      <w:bodyDiv w:val="1"/>
      <w:marLeft w:val="0"/>
      <w:marRight w:val="0"/>
      <w:marTop w:val="0"/>
      <w:marBottom w:val="0"/>
      <w:divBdr>
        <w:top w:val="none" w:sz="0" w:space="0" w:color="auto"/>
        <w:left w:val="none" w:sz="0" w:space="0" w:color="auto"/>
        <w:bottom w:val="none" w:sz="0" w:space="0" w:color="auto"/>
        <w:right w:val="none" w:sz="0" w:space="0" w:color="auto"/>
      </w:divBdr>
    </w:div>
    <w:div w:id="1556163566">
      <w:bodyDiv w:val="1"/>
      <w:marLeft w:val="0"/>
      <w:marRight w:val="0"/>
      <w:marTop w:val="0"/>
      <w:marBottom w:val="0"/>
      <w:divBdr>
        <w:top w:val="none" w:sz="0" w:space="0" w:color="auto"/>
        <w:left w:val="none" w:sz="0" w:space="0" w:color="auto"/>
        <w:bottom w:val="none" w:sz="0" w:space="0" w:color="auto"/>
        <w:right w:val="none" w:sz="0" w:space="0" w:color="auto"/>
      </w:divBdr>
    </w:div>
    <w:div w:id="1557008547">
      <w:bodyDiv w:val="1"/>
      <w:marLeft w:val="0"/>
      <w:marRight w:val="0"/>
      <w:marTop w:val="0"/>
      <w:marBottom w:val="0"/>
      <w:divBdr>
        <w:top w:val="none" w:sz="0" w:space="0" w:color="auto"/>
        <w:left w:val="none" w:sz="0" w:space="0" w:color="auto"/>
        <w:bottom w:val="none" w:sz="0" w:space="0" w:color="auto"/>
        <w:right w:val="none" w:sz="0" w:space="0" w:color="auto"/>
      </w:divBdr>
    </w:div>
    <w:div w:id="1557817826">
      <w:bodyDiv w:val="1"/>
      <w:marLeft w:val="0"/>
      <w:marRight w:val="0"/>
      <w:marTop w:val="0"/>
      <w:marBottom w:val="0"/>
      <w:divBdr>
        <w:top w:val="none" w:sz="0" w:space="0" w:color="auto"/>
        <w:left w:val="none" w:sz="0" w:space="0" w:color="auto"/>
        <w:bottom w:val="none" w:sz="0" w:space="0" w:color="auto"/>
        <w:right w:val="none" w:sz="0" w:space="0" w:color="auto"/>
      </w:divBdr>
    </w:div>
    <w:div w:id="1561867702">
      <w:bodyDiv w:val="1"/>
      <w:marLeft w:val="0"/>
      <w:marRight w:val="0"/>
      <w:marTop w:val="0"/>
      <w:marBottom w:val="0"/>
      <w:divBdr>
        <w:top w:val="none" w:sz="0" w:space="0" w:color="auto"/>
        <w:left w:val="none" w:sz="0" w:space="0" w:color="auto"/>
        <w:bottom w:val="none" w:sz="0" w:space="0" w:color="auto"/>
        <w:right w:val="none" w:sz="0" w:space="0" w:color="auto"/>
      </w:divBdr>
    </w:div>
    <w:div w:id="1563367279">
      <w:bodyDiv w:val="1"/>
      <w:marLeft w:val="0"/>
      <w:marRight w:val="0"/>
      <w:marTop w:val="0"/>
      <w:marBottom w:val="0"/>
      <w:divBdr>
        <w:top w:val="none" w:sz="0" w:space="0" w:color="auto"/>
        <w:left w:val="none" w:sz="0" w:space="0" w:color="auto"/>
        <w:bottom w:val="none" w:sz="0" w:space="0" w:color="auto"/>
        <w:right w:val="none" w:sz="0" w:space="0" w:color="auto"/>
      </w:divBdr>
    </w:div>
    <w:div w:id="1564441822">
      <w:bodyDiv w:val="1"/>
      <w:marLeft w:val="0"/>
      <w:marRight w:val="0"/>
      <w:marTop w:val="0"/>
      <w:marBottom w:val="0"/>
      <w:divBdr>
        <w:top w:val="none" w:sz="0" w:space="0" w:color="auto"/>
        <w:left w:val="none" w:sz="0" w:space="0" w:color="auto"/>
        <w:bottom w:val="none" w:sz="0" w:space="0" w:color="auto"/>
        <w:right w:val="none" w:sz="0" w:space="0" w:color="auto"/>
      </w:divBdr>
    </w:div>
    <w:div w:id="1568370380">
      <w:bodyDiv w:val="1"/>
      <w:marLeft w:val="0"/>
      <w:marRight w:val="0"/>
      <w:marTop w:val="0"/>
      <w:marBottom w:val="0"/>
      <w:divBdr>
        <w:top w:val="none" w:sz="0" w:space="0" w:color="auto"/>
        <w:left w:val="none" w:sz="0" w:space="0" w:color="auto"/>
        <w:bottom w:val="none" w:sz="0" w:space="0" w:color="auto"/>
        <w:right w:val="none" w:sz="0" w:space="0" w:color="auto"/>
      </w:divBdr>
    </w:div>
    <w:div w:id="1570072956">
      <w:bodyDiv w:val="1"/>
      <w:marLeft w:val="0"/>
      <w:marRight w:val="0"/>
      <w:marTop w:val="0"/>
      <w:marBottom w:val="0"/>
      <w:divBdr>
        <w:top w:val="none" w:sz="0" w:space="0" w:color="auto"/>
        <w:left w:val="none" w:sz="0" w:space="0" w:color="auto"/>
        <w:bottom w:val="none" w:sz="0" w:space="0" w:color="auto"/>
        <w:right w:val="none" w:sz="0" w:space="0" w:color="auto"/>
      </w:divBdr>
    </w:div>
    <w:div w:id="1573155538">
      <w:bodyDiv w:val="1"/>
      <w:marLeft w:val="0"/>
      <w:marRight w:val="0"/>
      <w:marTop w:val="0"/>
      <w:marBottom w:val="0"/>
      <w:divBdr>
        <w:top w:val="none" w:sz="0" w:space="0" w:color="auto"/>
        <w:left w:val="none" w:sz="0" w:space="0" w:color="auto"/>
        <w:bottom w:val="none" w:sz="0" w:space="0" w:color="auto"/>
        <w:right w:val="none" w:sz="0" w:space="0" w:color="auto"/>
      </w:divBdr>
    </w:div>
    <w:div w:id="1574466383">
      <w:bodyDiv w:val="1"/>
      <w:marLeft w:val="0"/>
      <w:marRight w:val="0"/>
      <w:marTop w:val="0"/>
      <w:marBottom w:val="0"/>
      <w:divBdr>
        <w:top w:val="none" w:sz="0" w:space="0" w:color="auto"/>
        <w:left w:val="none" w:sz="0" w:space="0" w:color="auto"/>
        <w:bottom w:val="none" w:sz="0" w:space="0" w:color="auto"/>
        <w:right w:val="none" w:sz="0" w:space="0" w:color="auto"/>
      </w:divBdr>
    </w:div>
    <w:div w:id="1575815491">
      <w:bodyDiv w:val="1"/>
      <w:marLeft w:val="0"/>
      <w:marRight w:val="0"/>
      <w:marTop w:val="0"/>
      <w:marBottom w:val="0"/>
      <w:divBdr>
        <w:top w:val="none" w:sz="0" w:space="0" w:color="auto"/>
        <w:left w:val="none" w:sz="0" w:space="0" w:color="auto"/>
        <w:bottom w:val="none" w:sz="0" w:space="0" w:color="auto"/>
        <w:right w:val="none" w:sz="0" w:space="0" w:color="auto"/>
      </w:divBdr>
    </w:div>
    <w:div w:id="1577351297">
      <w:bodyDiv w:val="1"/>
      <w:marLeft w:val="0"/>
      <w:marRight w:val="0"/>
      <w:marTop w:val="0"/>
      <w:marBottom w:val="0"/>
      <w:divBdr>
        <w:top w:val="none" w:sz="0" w:space="0" w:color="auto"/>
        <w:left w:val="none" w:sz="0" w:space="0" w:color="auto"/>
        <w:bottom w:val="none" w:sz="0" w:space="0" w:color="auto"/>
        <w:right w:val="none" w:sz="0" w:space="0" w:color="auto"/>
      </w:divBdr>
    </w:div>
    <w:div w:id="1577669593">
      <w:bodyDiv w:val="1"/>
      <w:marLeft w:val="0"/>
      <w:marRight w:val="0"/>
      <w:marTop w:val="0"/>
      <w:marBottom w:val="0"/>
      <w:divBdr>
        <w:top w:val="none" w:sz="0" w:space="0" w:color="auto"/>
        <w:left w:val="none" w:sz="0" w:space="0" w:color="auto"/>
        <w:bottom w:val="none" w:sz="0" w:space="0" w:color="auto"/>
        <w:right w:val="none" w:sz="0" w:space="0" w:color="auto"/>
      </w:divBdr>
    </w:div>
    <w:div w:id="1578978636">
      <w:bodyDiv w:val="1"/>
      <w:marLeft w:val="0"/>
      <w:marRight w:val="0"/>
      <w:marTop w:val="0"/>
      <w:marBottom w:val="0"/>
      <w:divBdr>
        <w:top w:val="none" w:sz="0" w:space="0" w:color="auto"/>
        <w:left w:val="none" w:sz="0" w:space="0" w:color="auto"/>
        <w:bottom w:val="none" w:sz="0" w:space="0" w:color="auto"/>
        <w:right w:val="none" w:sz="0" w:space="0" w:color="auto"/>
      </w:divBdr>
    </w:div>
    <w:div w:id="1579287535">
      <w:bodyDiv w:val="1"/>
      <w:marLeft w:val="0"/>
      <w:marRight w:val="0"/>
      <w:marTop w:val="0"/>
      <w:marBottom w:val="0"/>
      <w:divBdr>
        <w:top w:val="none" w:sz="0" w:space="0" w:color="auto"/>
        <w:left w:val="none" w:sz="0" w:space="0" w:color="auto"/>
        <w:bottom w:val="none" w:sz="0" w:space="0" w:color="auto"/>
        <w:right w:val="none" w:sz="0" w:space="0" w:color="auto"/>
      </w:divBdr>
    </w:div>
    <w:div w:id="1580209901">
      <w:bodyDiv w:val="1"/>
      <w:marLeft w:val="0"/>
      <w:marRight w:val="0"/>
      <w:marTop w:val="0"/>
      <w:marBottom w:val="0"/>
      <w:divBdr>
        <w:top w:val="none" w:sz="0" w:space="0" w:color="auto"/>
        <w:left w:val="none" w:sz="0" w:space="0" w:color="auto"/>
        <w:bottom w:val="none" w:sz="0" w:space="0" w:color="auto"/>
        <w:right w:val="none" w:sz="0" w:space="0" w:color="auto"/>
      </w:divBdr>
    </w:div>
    <w:div w:id="1581982347">
      <w:bodyDiv w:val="1"/>
      <w:marLeft w:val="0"/>
      <w:marRight w:val="0"/>
      <w:marTop w:val="0"/>
      <w:marBottom w:val="0"/>
      <w:divBdr>
        <w:top w:val="none" w:sz="0" w:space="0" w:color="auto"/>
        <w:left w:val="none" w:sz="0" w:space="0" w:color="auto"/>
        <w:bottom w:val="none" w:sz="0" w:space="0" w:color="auto"/>
        <w:right w:val="none" w:sz="0" w:space="0" w:color="auto"/>
      </w:divBdr>
    </w:div>
    <w:div w:id="1582446183">
      <w:bodyDiv w:val="1"/>
      <w:marLeft w:val="0"/>
      <w:marRight w:val="0"/>
      <w:marTop w:val="0"/>
      <w:marBottom w:val="0"/>
      <w:divBdr>
        <w:top w:val="none" w:sz="0" w:space="0" w:color="auto"/>
        <w:left w:val="none" w:sz="0" w:space="0" w:color="auto"/>
        <w:bottom w:val="none" w:sz="0" w:space="0" w:color="auto"/>
        <w:right w:val="none" w:sz="0" w:space="0" w:color="auto"/>
      </w:divBdr>
    </w:div>
    <w:div w:id="1582564897">
      <w:bodyDiv w:val="1"/>
      <w:marLeft w:val="0"/>
      <w:marRight w:val="0"/>
      <w:marTop w:val="0"/>
      <w:marBottom w:val="0"/>
      <w:divBdr>
        <w:top w:val="none" w:sz="0" w:space="0" w:color="auto"/>
        <w:left w:val="none" w:sz="0" w:space="0" w:color="auto"/>
        <w:bottom w:val="none" w:sz="0" w:space="0" w:color="auto"/>
        <w:right w:val="none" w:sz="0" w:space="0" w:color="auto"/>
      </w:divBdr>
    </w:div>
    <w:div w:id="1583297840">
      <w:bodyDiv w:val="1"/>
      <w:marLeft w:val="0"/>
      <w:marRight w:val="0"/>
      <w:marTop w:val="0"/>
      <w:marBottom w:val="0"/>
      <w:divBdr>
        <w:top w:val="none" w:sz="0" w:space="0" w:color="auto"/>
        <w:left w:val="none" w:sz="0" w:space="0" w:color="auto"/>
        <w:bottom w:val="none" w:sz="0" w:space="0" w:color="auto"/>
        <w:right w:val="none" w:sz="0" w:space="0" w:color="auto"/>
      </w:divBdr>
    </w:div>
    <w:div w:id="1583761082">
      <w:bodyDiv w:val="1"/>
      <w:marLeft w:val="0"/>
      <w:marRight w:val="0"/>
      <w:marTop w:val="0"/>
      <w:marBottom w:val="0"/>
      <w:divBdr>
        <w:top w:val="none" w:sz="0" w:space="0" w:color="auto"/>
        <w:left w:val="none" w:sz="0" w:space="0" w:color="auto"/>
        <w:bottom w:val="none" w:sz="0" w:space="0" w:color="auto"/>
        <w:right w:val="none" w:sz="0" w:space="0" w:color="auto"/>
      </w:divBdr>
    </w:div>
    <w:div w:id="1588151606">
      <w:bodyDiv w:val="1"/>
      <w:marLeft w:val="0"/>
      <w:marRight w:val="0"/>
      <w:marTop w:val="0"/>
      <w:marBottom w:val="0"/>
      <w:divBdr>
        <w:top w:val="none" w:sz="0" w:space="0" w:color="auto"/>
        <w:left w:val="none" w:sz="0" w:space="0" w:color="auto"/>
        <w:bottom w:val="none" w:sz="0" w:space="0" w:color="auto"/>
        <w:right w:val="none" w:sz="0" w:space="0" w:color="auto"/>
      </w:divBdr>
    </w:div>
    <w:div w:id="1588153890">
      <w:bodyDiv w:val="1"/>
      <w:marLeft w:val="0"/>
      <w:marRight w:val="0"/>
      <w:marTop w:val="0"/>
      <w:marBottom w:val="0"/>
      <w:divBdr>
        <w:top w:val="none" w:sz="0" w:space="0" w:color="auto"/>
        <w:left w:val="none" w:sz="0" w:space="0" w:color="auto"/>
        <w:bottom w:val="none" w:sz="0" w:space="0" w:color="auto"/>
        <w:right w:val="none" w:sz="0" w:space="0" w:color="auto"/>
      </w:divBdr>
    </w:div>
    <w:div w:id="1593472201">
      <w:bodyDiv w:val="1"/>
      <w:marLeft w:val="0"/>
      <w:marRight w:val="0"/>
      <w:marTop w:val="0"/>
      <w:marBottom w:val="0"/>
      <w:divBdr>
        <w:top w:val="none" w:sz="0" w:space="0" w:color="auto"/>
        <w:left w:val="none" w:sz="0" w:space="0" w:color="auto"/>
        <w:bottom w:val="none" w:sz="0" w:space="0" w:color="auto"/>
        <w:right w:val="none" w:sz="0" w:space="0" w:color="auto"/>
      </w:divBdr>
    </w:div>
    <w:div w:id="1595090747">
      <w:bodyDiv w:val="1"/>
      <w:marLeft w:val="0"/>
      <w:marRight w:val="0"/>
      <w:marTop w:val="0"/>
      <w:marBottom w:val="0"/>
      <w:divBdr>
        <w:top w:val="none" w:sz="0" w:space="0" w:color="auto"/>
        <w:left w:val="none" w:sz="0" w:space="0" w:color="auto"/>
        <w:bottom w:val="none" w:sz="0" w:space="0" w:color="auto"/>
        <w:right w:val="none" w:sz="0" w:space="0" w:color="auto"/>
      </w:divBdr>
    </w:div>
    <w:div w:id="1597327863">
      <w:bodyDiv w:val="1"/>
      <w:marLeft w:val="0"/>
      <w:marRight w:val="0"/>
      <w:marTop w:val="0"/>
      <w:marBottom w:val="0"/>
      <w:divBdr>
        <w:top w:val="none" w:sz="0" w:space="0" w:color="auto"/>
        <w:left w:val="none" w:sz="0" w:space="0" w:color="auto"/>
        <w:bottom w:val="none" w:sz="0" w:space="0" w:color="auto"/>
        <w:right w:val="none" w:sz="0" w:space="0" w:color="auto"/>
      </w:divBdr>
    </w:div>
    <w:div w:id="1598127962">
      <w:bodyDiv w:val="1"/>
      <w:marLeft w:val="0"/>
      <w:marRight w:val="0"/>
      <w:marTop w:val="0"/>
      <w:marBottom w:val="0"/>
      <w:divBdr>
        <w:top w:val="none" w:sz="0" w:space="0" w:color="auto"/>
        <w:left w:val="none" w:sz="0" w:space="0" w:color="auto"/>
        <w:bottom w:val="none" w:sz="0" w:space="0" w:color="auto"/>
        <w:right w:val="none" w:sz="0" w:space="0" w:color="auto"/>
      </w:divBdr>
    </w:div>
    <w:div w:id="1599944981">
      <w:bodyDiv w:val="1"/>
      <w:marLeft w:val="0"/>
      <w:marRight w:val="0"/>
      <w:marTop w:val="0"/>
      <w:marBottom w:val="0"/>
      <w:divBdr>
        <w:top w:val="none" w:sz="0" w:space="0" w:color="auto"/>
        <w:left w:val="none" w:sz="0" w:space="0" w:color="auto"/>
        <w:bottom w:val="none" w:sz="0" w:space="0" w:color="auto"/>
        <w:right w:val="none" w:sz="0" w:space="0" w:color="auto"/>
      </w:divBdr>
    </w:div>
    <w:div w:id="1600524953">
      <w:bodyDiv w:val="1"/>
      <w:marLeft w:val="0"/>
      <w:marRight w:val="0"/>
      <w:marTop w:val="0"/>
      <w:marBottom w:val="0"/>
      <w:divBdr>
        <w:top w:val="none" w:sz="0" w:space="0" w:color="auto"/>
        <w:left w:val="none" w:sz="0" w:space="0" w:color="auto"/>
        <w:bottom w:val="none" w:sz="0" w:space="0" w:color="auto"/>
        <w:right w:val="none" w:sz="0" w:space="0" w:color="auto"/>
      </w:divBdr>
    </w:div>
    <w:div w:id="1602955261">
      <w:bodyDiv w:val="1"/>
      <w:marLeft w:val="0"/>
      <w:marRight w:val="0"/>
      <w:marTop w:val="0"/>
      <w:marBottom w:val="0"/>
      <w:divBdr>
        <w:top w:val="none" w:sz="0" w:space="0" w:color="auto"/>
        <w:left w:val="none" w:sz="0" w:space="0" w:color="auto"/>
        <w:bottom w:val="none" w:sz="0" w:space="0" w:color="auto"/>
        <w:right w:val="none" w:sz="0" w:space="0" w:color="auto"/>
      </w:divBdr>
    </w:div>
    <w:div w:id="1603344769">
      <w:bodyDiv w:val="1"/>
      <w:marLeft w:val="0"/>
      <w:marRight w:val="0"/>
      <w:marTop w:val="0"/>
      <w:marBottom w:val="0"/>
      <w:divBdr>
        <w:top w:val="none" w:sz="0" w:space="0" w:color="auto"/>
        <w:left w:val="none" w:sz="0" w:space="0" w:color="auto"/>
        <w:bottom w:val="none" w:sz="0" w:space="0" w:color="auto"/>
        <w:right w:val="none" w:sz="0" w:space="0" w:color="auto"/>
      </w:divBdr>
    </w:div>
    <w:div w:id="1608074028">
      <w:bodyDiv w:val="1"/>
      <w:marLeft w:val="0"/>
      <w:marRight w:val="0"/>
      <w:marTop w:val="0"/>
      <w:marBottom w:val="0"/>
      <w:divBdr>
        <w:top w:val="none" w:sz="0" w:space="0" w:color="auto"/>
        <w:left w:val="none" w:sz="0" w:space="0" w:color="auto"/>
        <w:bottom w:val="none" w:sz="0" w:space="0" w:color="auto"/>
        <w:right w:val="none" w:sz="0" w:space="0" w:color="auto"/>
      </w:divBdr>
    </w:div>
    <w:div w:id="1608544698">
      <w:bodyDiv w:val="1"/>
      <w:marLeft w:val="0"/>
      <w:marRight w:val="0"/>
      <w:marTop w:val="0"/>
      <w:marBottom w:val="0"/>
      <w:divBdr>
        <w:top w:val="none" w:sz="0" w:space="0" w:color="auto"/>
        <w:left w:val="none" w:sz="0" w:space="0" w:color="auto"/>
        <w:bottom w:val="none" w:sz="0" w:space="0" w:color="auto"/>
        <w:right w:val="none" w:sz="0" w:space="0" w:color="auto"/>
      </w:divBdr>
    </w:div>
    <w:div w:id="1610046519">
      <w:bodyDiv w:val="1"/>
      <w:marLeft w:val="0"/>
      <w:marRight w:val="0"/>
      <w:marTop w:val="0"/>
      <w:marBottom w:val="0"/>
      <w:divBdr>
        <w:top w:val="none" w:sz="0" w:space="0" w:color="auto"/>
        <w:left w:val="none" w:sz="0" w:space="0" w:color="auto"/>
        <w:bottom w:val="none" w:sz="0" w:space="0" w:color="auto"/>
        <w:right w:val="none" w:sz="0" w:space="0" w:color="auto"/>
      </w:divBdr>
    </w:div>
    <w:div w:id="1610897104">
      <w:bodyDiv w:val="1"/>
      <w:marLeft w:val="0"/>
      <w:marRight w:val="0"/>
      <w:marTop w:val="0"/>
      <w:marBottom w:val="0"/>
      <w:divBdr>
        <w:top w:val="none" w:sz="0" w:space="0" w:color="auto"/>
        <w:left w:val="none" w:sz="0" w:space="0" w:color="auto"/>
        <w:bottom w:val="none" w:sz="0" w:space="0" w:color="auto"/>
        <w:right w:val="none" w:sz="0" w:space="0" w:color="auto"/>
      </w:divBdr>
    </w:div>
    <w:div w:id="1614439756">
      <w:bodyDiv w:val="1"/>
      <w:marLeft w:val="0"/>
      <w:marRight w:val="0"/>
      <w:marTop w:val="0"/>
      <w:marBottom w:val="0"/>
      <w:divBdr>
        <w:top w:val="none" w:sz="0" w:space="0" w:color="auto"/>
        <w:left w:val="none" w:sz="0" w:space="0" w:color="auto"/>
        <w:bottom w:val="none" w:sz="0" w:space="0" w:color="auto"/>
        <w:right w:val="none" w:sz="0" w:space="0" w:color="auto"/>
      </w:divBdr>
    </w:div>
    <w:div w:id="1615095110">
      <w:bodyDiv w:val="1"/>
      <w:marLeft w:val="0"/>
      <w:marRight w:val="0"/>
      <w:marTop w:val="0"/>
      <w:marBottom w:val="0"/>
      <w:divBdr>
        <w:top w:val="none" w:sz="0" w:space="0" w:color="auto"/>
        <w:left w:val="none" w:sz="0" w:space="0" w:color="auto"/>
        <w:bottom w:val="none" w:sz="0" w:space="0" w:color="auto"/>
        <w:right w:val="none" w:sz="0" w:space="0" w:color="auto"/>
      </w:divBdr>
    </w:div>
    <w:div w:id="1616018941">
      <w:bodyDiv w:val="1"/>
      <w:marLeft w:val="0"/>
      <w:marRight w:val="0"/>
      <w:marTop w:val="0"/>
      <w:marBottom w:val="0"/>
      <w:divBdr>
        <w:top w:val="none" w:sz="0" w:space="0" w:color="auto"/>
        <w:left w:val="none" w:sz="0" w:space="0" w:color="auto"/>
        <w:bottom w:val="none" w:sz="0" w:space="0" w:color="auto"/>
        <w:right w:val="none" w:sz="0" w:space="0" w:color="auto"/>
      </w:divBdr>
    </w:div>
    <w:div w:id="1616911817">
      <w:bodyDiv w:val="1"/>
      <w:marLeft w:val="0"/>
      <w:marRight w:val="0"/>
      <w:marTop w:val="0"/>
      <w:marBottom w:val="0"/>
      <w:divBdr>
        <w:top w:val="none" w:sz="0" w:space="0" w:color="auto"/>
        <w:left w:val="none" w:sz="0" w:space="0" w:color="auto"/>
        <w:bottom w:val="none" w:sz="0" w:space="0" w:color="auto"/>
        <w:right w:val="none" w:sz="0" w:space="0" w:color="auto"/>
      </w:divBdr>
    </w:div>
    <w:div w:id="1617056537">
      <w:bodyDiv w:val="1"/>
      <w:marLeft w:val="0"/>
      <w:marRight w:val="0"/>
      <w:marTop w:val="0"/>
      <w:marBottom w:val="0"/>
      <w:divBdr>
        <w:top w:val="none" w:sz="0" w:space="0" w:color="auto"/>
        <w:left w:val="none" w:sz="0" w:space="0" w:color="auto"/>
        <w:bottom w:val="none" w:sz="0" w:space="0" w:color="auto"/>
        <w:right w:val="none" w:sz="0" w:space="0" w:color="auto"/>
      </w:divBdr>
    </w:div>
    <w:div w:id="1621377484">
      <w:bodyDiv w:val="1"/>
      <w:marLeft w:val="0"/>
      <w:marRight w:val="0"/>
      <w:marTop w:val="0"/>
      <w:marBottom w:val="0"/>
      <w:divBdr>
        <w:top w:val="none" w:sz="0" w:space="0" w:color="auto"/>
        <w:left w:val="none" w:sz="0" w:space="0" w:color="auto"/>
        <w:bottom w:val="none" w:sz="0" w:space="0" w:color="auto"/>
        <w:right w:val="none" w:sz="0" w:space="0" w:color="auto"/>
      </w:divBdr>
    </w:div>
    <w:div w:id="1622372586">
      <w:bodyDiv w:val="1"/>
      <w:marLeft w:val="0"/>
      <w:marRight w:val="0"/>
      <w:marTop w:val="0"/>
      <w:marBottom w:val="0"/>
      <w:divBdr>
        <w:top w:val="none" w:sz="0" w:space="0" w:color="auto"/>
        <w:left w:val="none" w:sz="0" w:space="0" w:color="auto"/>
        <w:bottom w:val="none" w:sz="0" w:space="0" w:color="auto"/>
        <w:right w:val="none" w:sz="0" w:space="0" w:color="auto"/>
      </w:divBdr>
    </w:div>
    <w:div w:id="1624114473">
      <w:bodyDiv w:val="1"/>
      <w:marLeft w:val="0"/>
      <w:marRight w:val="0"/>
      <w:marTop w:val="0"/>
      <w:marBottom w:val="0"/>
      <w:divBdr>
        <w:top w:val="none" w:sz="0" w:space="0" w:color="auto"/>
        <w:left w:val="none" w:sz="0" w:space="0" w:color="auto"/>
        <w:bottom w:val="none" w:sz="0" w:space="0" w:color="auto"/>
        <w:right w:val="none" w:sz="0" w:space="0" w:color="auto"/>
      </w:divBdr>
    </w:div>
    <w:div w:id="1631401739">
      <w:bodyDiv w:val="1"/>
      <w:marLeft w:val="0"/>
      <w:marRight w:val="0"/>
      <w:marTop w:val="0"/>
      <w:marBottom w:val="0"/>
      <w:divBdr>
        <w:top w:val="none" w:sz="0" w:space="0" w:color="auto"/>
        <w:left w:val="none" w:sz="0" w:space="0" w:color="auto"/>
        <w:bottom w:val="none" w:sz="0" w:space="0" w:color="auto"/>
        <w:right w:val="none" w:sz="0" w:space="0" w:color="auto"/>
      </w:divBdr>
    </w:div>
    <w:div w:id="1632400837">
      <w:bodyDiv w:val="1"/>
      <w:marLeft w:val="0"/>
      <w:marRight w:val="0"/>
      <w:marTop w:val="0"/>
      <w:marBottom w:val="0"/>
      <w:divBdr>
        <w:top w:val="none" w:sz="0" w:space="0" w:color="auto"/>
        <w:left w:val="none" w:sz="0" w:space="0" w:color="auto"/>
        <w:bottom w:val="none" w:sz="0" w:space="0" w:color="auto"/>
        <w:right w:val="none" w:sz="0" w:space="0" w:color="auto"/>
      </w:divBdr>
    </w:div>
    <w:div w:id="1632665194">
      <w:bodyDiv w:val="1"/>
      <w:marLeft w:val="0"/>
      <w:marRight w:val="0"/>
      <w:marTop w:val="0"/>
      <w:marBottom w:val="0"/>
      <w:divBdr>
        <w:top w:val="none" w:sz="0" w:space="0" w:color="auto"/>
        <w:left w:val="none" w:sz="0" w:space="0" w:color="auto"/>
        <w:bottom w:val="none" w:sz="0" w:space="0" w:color="auto"/>
        <w:right w:val="none" w:sz="0" w:space="0" w:color="auto"/>
      </w:divBdr>
    </w:div>
    <w:div w:id="1633364669">
      <w:bodyDiv w:val="1"/>
      <w:marLeft w:val="0"/>
      <w:marRight w:val="0"/>
      <w:marTop w:val="0"/>
      <w:marBottom w:val="0"/>
      <w:divBdr>
        <w:top w:val="none" w:sz="0" w:space="0" w:color="auto"/>
        <w:left w:val="none" w:sz="0" w:space="0" w:color="auto"/>
        <w:bottom w:val="none" w:sz="0" w:space="0" w:color="auto"/>
        <w:right w:val="none" w:sz="0" w:space="0" w:color="auto"/>
      </w:divBdr>
    </w:div>
    <w:div w:id="1634368546">
      <w:bodyDiv w:val="1"/>
      <w:marLeft w:val="0"/>
      <w:marRight w:val="0"/>
      <w:marTop w:val="0"/>
      <w:marBottom w:val="0"/>
      <w:divBdr>
        <w:top w:val="none" w:sz="0" w:space="0" w:color="auto"/>
        <w:left w:val="none" w:sz="0" w:space="0" w:color="auto"/>
        <w:bottom w:val="none" w:sz="0" w:space="0" w:color="auto"/>
        <w:right w:val="none" w:sz="0" w:space="0" w:color="auto"/>
      </w:divBdr>
    </w:div>
    <w:div w:id="1635868676">
      <w:bodyDiv w:val="1"/>
      <w:marLeft w:val="0"/>
      <w:marRight w:val="0"/>
      <w:marTop w:val="0"/>
      <w:marBottom w:val="0"/>
      <w:divBdr>
        <w:top w:val="none" w:sz="0" w:space="0" w:color="auto"/>
        <w:left w:val="none" w:sz="0" w:space="0" w:color="auto"/>
        <w:bottom w:val="none" w:sz="0" w:space="0" w:color="auto"/>
        <w:right w:val="none" w:sz="0" w:space="0" w:color="auto"/>
      </w:divBdr>
    </w:div>
    <w:div w:id="1637485966">
      <w:bodyDiv w:val="1"/>
      <w:marLeft w:val="0"/>
      <w:marRight w:val="0"/>
      <w:marTop w:val="0"/>
      <w:marBottom w:val="0"/>
      <w:divBdr>
        <w:top w:val="none" w:sz="0" w:space="0" w:color="auto"/>
        <w:left w:val="none" w:sz="0" w:space="0" w:color="auto"/>
        <w:bottom w:val="none" w:sz="0" w:space="0" w:color="auto"/>
        <w:right w:val="none" w:sz="0" w:space="0" w:color="auto"/>
      </w:divBdr>
    </w:div>
    <w:div w:id="1640572066">
      <w:bodyDiv w:val="1"/>
      <w:marLeft w:val="0"/>
      <w:marRight w:val="0"/>
      <w:marTop w:val="0"/>
      <w:marBottom w:val="0"/>
      <w:divBdr>
        <w:top w:val="none" w:sz="0" w:space="0" w:color="auto"/>
        <w:left w:val="none" w:sz="0" w:space="0" w:color="auto"/>
        <w:bottom w:val="none" w:sz="0" w:space="0" w:color="auto"/>
        <w:right w:val="none" w:sz="0" w:space="0" w:color="auto"/>
      </w:divBdr>
    </w:div>
    <w:div w:id="1645887212">
      <w:bodyDiv w:val="1"/>
      <w:marLeft w:val="0"/>
      <w:marRight w:val="0"/>
      <w:marTop w:val="0"/>
      <w:marBottom w:val="0"/>
      <w:divBdr>
        <w:top w:val="none" w:sz="0" w:space="0" w:color="auto"/>
        <w:left w:val="none" w:sz="0" w:space="0" w:color="auto"/>
        <w:bottom w:val="none" w:sz="0" w:space="0" w:color="auto"/>
        <w:right w:val="none" w:sz="0" w:space="0" w:color="auto"/>
      </w:divBdr>
    </w:div>
    <w:div w:id="1650017316">
      <w:bodyDiv w:val="1"/>
      <w:marLeft w:val="0"/>
      <w:marRight w:val="0"/>
      <w:marTop w:val="0"/>
      <w:marBottom w:val="0"/>
      <w:divBdr>
        <w:top w:val="none" w:sz="0" w:space="0" w:color="auto"/>
        <w:left w:val="none" w:sz="0" w:space="0" w:color="auto"/>
        <w:bottom w:val="none" w:sz="0" w:space="0" w:color="auto"/>
        <w:right w:val="none" w:sz="0" w:space="0" w:color="auto"/>
      </w:divBdr>
    </w:div>
    <w:div w:id="1653364184">
      <w:bodyDiv w:val="1"/>
      <w:marLeft w:val="0"/>
      <w:marRight w:val="0"/>
      <w:marTop w:val="0"/>
      <w:marBottom w:val="0"/>
      <w:divBdr>
        <w:top w:val="none" w:sz="0" w:space="0" w:color="auto"/>
        <w:left w:val="none" w:sz="0" w:space="0" w:color="auto"/>
        <w:bottom w:val="none" w:sz="0" w:space="0" w:color="auto"/>
        <w:right w:val="none" w:sz="0" w:space="0" w:color="auto"/>
      </w:divBdr>
    </w:div>
    <w:div w:id="1655137645">
      <w:bodyDiv w:val="1"/>
      <w:marLeft w:val="0"/>
      <w:marRight w:val="0"/>
      <w:marTop w:val="0"/>
      <w:marBottom w:val="0"/>
      <w:divBdr>
        <w:top w:val="none" w:sz="0" w:space="0" w:color="auto"/>
        <w:left w:val="none" w:sz="0" w:space="0" w:color="auto"/>
        <w:bottom w:val="none" w:sz="0" w:space="0" w:color="auto"/>
        <w:right w:val="none" w:sz="0" w:space="0" w:color="auto"/>
      </w:divBdr>
    </w:div>
    <w:div w:id="1656226277">
      <w:bodyDiv w:val="1"/>
      <w:marLeft w:val="0"/>
      <w:marRight w:val="0"/>
      <w:marTop w:val="0"/>
      <w:marBottom w:val="0"/>
      <w:divBdr>
        <w:top w:val="none" w:sz="0" w:space="0" w:color="auto"/>
        <w:left w:val="none" w:sz="0" w:space="0" w:color="auto"/>
        <w:bottom w:val="none" w:sz="0" w:space="0" w:color="auto"/>
        <w:right w:val="none" w:sz="0" w:space="0" w:color="auto"/>
      </w:divBdr>
    </w:div>
    <w:div w:id="1657608056">
      <w:bodyDiv w:val="1"/>
      <w:marLeft w:val="0"/>
      <w:marRight w:val="0"/>
      <w:marTop w:val="0"/>
      <w:marBottom w:val="0"/>
      <w:divBdr>
        <w:top w:val="none" w:sz="0" w:space="0" w:color="auto"/>
        <w:left w:val="none" w:sz="0" w:space="0" w:color="auto"/>
        <w:bottom w:val="none" w:sz="0" w:space="0" w:color="auto"/>
        <w:right w:val="none" w:sz="0" w:space="0" w:color="auto"/>
      </w:divBdr>
    </w:div>
    <w:div w:id="1657609280">
      <w:bodyDiv w:val="1"/>
      <w:marLeft w:val="0"/>
      <w:marRight w:val="0"/>
      <w:marTop w:val="0"/>
      <w:marBottom w:val="0"/>
      <w:divBdr>
        <w:top w:val="none" w:sz="0" w:space="0" w:color="auto"/>
        <w:left w:val="none" w:sz="0" w:space="0" w:color="auto"/>
        <w:bottom w:val="none" w:sz="0" w:space="0" w:color="auto"/>
        <w:right w:val="none" w:sz="0" w:space="0" w:color="auto"/>
      </w:divBdr>
    </w:div>
    <w:div w:id="1658537141">
      <w:bodyDiv w:val="1"/>
      <w:marLeft w:val="0"/>
      <w:marRight w:val="0"/>
      <w:marTop w:val="0"/>
      <w:marBottom w:val="0"/>
      <w:divBdr>
        <w:top w:val="none" w:sz="0" w:space="0" w:color="auto"/>
        <w:left w:val="none" w:sz="0" w:space="0" w:color="auto"/>
        <w:bottom w:val="none" w:sz="0" w:space="0" w:color="auto"/>
        <w:right w:val="none" w:sz="0" w:space="0" w:color="auto"/>
      </w:divBdr>
    </w:div>
    <w:div w:id="1661539845">
      <w:bodyDiv w:val="1"/>
      <w:marLeft w:val="0"/>
      <w:marRight w:val="0"/>
      <w:marTop w:val="0"/>
      <w:marBottom w:val="0"/>
      <w:divBdr>
        <w:top w:val="none" w:sz="0" w:space="0" w:color="auto"/>
        <w:left w:val="none" w:sz="0" w:space="0" w:color="auto"/>
        <w:bottom w:val="none" w:sz="0" w:space="0" w:color="auto"/>
        <w:right w:val="none" w:sz="0" w:space="0" w:color="auto"/>
      </w:divBdr>
    </w:div>
    <w:div w:id="1662268139">
      <w:bodyDiv w:val="1"/>
      <w:marLeft w:val="0"/>
      <w:marRight w:val="0"/>
      <w:marTop w:val="0"/>
      <w:marBottom w:val="0"/>
      <w:divBdr>
        <w:top w:val="none" w:sz="0" w:space="0" w:color="auto"/>
        <w:left w:val="none" w:sz="0" w:space="0" w:color="auto"/>
        <w:bottom w:val="none" w:sz="0" w:space="0" w:color="auto"/>
        <w:right w:val="none" w:sz="0" w:space="0" w:color="auto"/>
      </w:divBdr>
    </w:div>
    <w:div w:id="1663849178">
      <w:bodyDiv w:val="1"/>
      <w:marLeft w:val="0"/>
      <w:marRight w:val="0"/>
      <w:marTop w:val="0"/>
      <w:marBottom w:val="0"/>
      <w:divBdr>
        <w:top w:val="none" w:sz="0" w:space="0" w:color="auto"/>
        <w:left w:val="none" w:sz="0" w:space="0" w:color="auto"/>
        <w:bottom w:val="none" w:sz="0" w:space="0" w:color="auto"/>
        <w:right w:val="none" w:sz="0" w:space="0" w:color="auto"/>
      </w:divBdr>
    </w:div>
    <w:div w:id="1664121992">
      <w:bodyDiv w:val="1"/>
      <w:marLeft w:val="0"/>
      <w:marRight w:val="0"/>
      <w:marTop w:val="0"/>
      <w:marBottom w:val="0"/>
      <w:divBdr>
        <w:top w:val="none" w:sz="0" w:space="0" w:color="auto"/>
        <w:left w:val="none" w:sz="0" w:space="0" w:color="auto"/>
        <w:bottom w:val="none" w:sz="0" w:space="0" w:color="auto"/>
        <w:right w:val="none" w:sz="0" w:space="0" w:color="auto"/>
      </w:divBdr>
    </w:div>
    <w:div w:id="1664158136">
      <w:bodyDiv w:val="1"/>
      <w:marLeft w:val="0"/>
      <w:marRight w:val="0"/>
      <w:marTop w:val="0"/>
      <w:marBottom w:val="0"/>
      <w:divBdr>
        <w:top w:val="none" w:sz="0" w:space="0" w:color="auto"/>
        <w:left w:val="none" w:sz="0" w:space="0" w:color="auto"/>
        <w:bottom w:val="none" w:sz="0" w:space="0" w:color="auto"/>
        <w:right w:val="none" w:sz="0" w:space="0" w:color="auto"/>
      </w:divBdr>
    </w:div>
    <w:div w:id="1665091059">
      <w:bodyDiv w:val="1"/>
      <w:marLeft w:val="0"/>
      <w:marRight w:val="0"/>
      <w:marTop w:val="0"/>
      <w:marBottom w:val="0"/>
      <w:divBdr>
        <w:top w:val="none" w:sz="0" w:space="0" w:color="auto"/>
        <w:left w:val="none" w:sz="0" w:space="0" w:color="auto"/>
        <w:bottom w:val="none" w:sz="0" w:space="0" w:color="auto"/>
        <w:right w:val="none" w:sz="0" w:space="0" w:color="auto"/>
      </w:divBdr>
    </w:div>
    <w:div w:id="1667442552">
      <w:bodyDiv w:val="1"/>
      <w:marLeft w:val="0"/>
      <w:marRight w:val="0"/>
      <w:marTop w:val="0"/>
      <w:marBottom w:val="0"/>
      <w:divBdr>
        <w:top w:val="none" w:sz="0" w:space="0" w:color="auto"/>
        <w:left w:val="none" w:sz="0" w:space="0" w:color="auto"/>
        <w:bottom w:val="none" w:sz="0" w:space="0" w:color="auto"/>
        <w:right w:val="none" w:sz="0" w:space="0" w:color="auto"/>
      </w:divBdr>
    </w:div>
    <w:div w:id="1671715458">
      <w:bodyDiv w:val="1"/>
      <w:marLeft w:val="0"/>
      <w:marRight w:val="0"/>
      <w:marTop w:val="0"/>
      <w:marBottom w:val="0"/>
      <w:divBdr>
        <w:top w:val="none" w:sz="0" w:space="0" w:color="auto"/>
        <w:left w:val="none" w:sz="0" w:space="0" w:color="auto"/>
        <w:bottom w:val="none" w:sz="0" w:space="0" w:color="auto"/>
        <w:right w:val="none" w:sz="0" w:space="0" w:color="auto"/>
      </w:divBdr>
    </w:div>
    <w:div w:id="1674259625">
      <w:bodyDiv w:val="1"/>
      <w:marLeft w:val="0"/>
      <w:marRight w:val="0"/>
      <w:marTop w:val="0"/>
      <w:marBottom w:val="0"/>
      <w:divBdr>
        <w:top w:val="none" w:sz="0" w:space="0" w:color="auto"/>
        <w:left w:val="none" w:sz="0" w:space="0" w:color="auto"/>
        <w:bottom w:val="none" w:sz="0" w:space="0" w:color="auto"/>
        <w:right w:val="none" w:sz="0" w:space="0" w:color="auto"/>
      </w:divBdr>
    </w:div>
    <w:div w:id="1674334181">
      <w:bodyDiv w:val="1"/>
      <w:marLeft w:val="0"/>
      <w:marRight w:val="0"/>
      <w:marTop w:val="0"/>
      <w:marBottom w:val="0"/>
      <w:divBdr>
        <w:top w:val="none" w:sz="0" w:space="0" w:color="auto"/>
        <w:left w:val="none" w:sz="0" w:space="0" w:color="auto"/>
        <w:bottom w:val="none" w:sz="0" w:space="0" w:color="auto"/>
        <w:right w:val="none" w:sz="0" w:space="0" w:color="auto"/>
      </w:divBdr>
    </w:div>
    <w:div w:id="1675306142">
      <w:bodyDiv w:val="1"/>
      <w:marLeft w:val="0"/>
      <w:marRight w:val="0"/>
      <w:marTop w:val="0"/>
      <w:marBottom w:val="0"/>
      <w:divBdr>
        <w:top w:val="none" w:sz="0" w:space="0" w:color="auto"/>
        <w:left w:val="none" w:sz="0" w:space="0" w:color="auto"/>
        <w:bottom w:val="none" w:sz="0" w:space="0" w:color="auto"/>
        <w:right w:val="none" w:sz="0" w:space="0" w:color="auto"/>
      </w:divBdr>
    </w:div>
    <w:div w:id="1676692008">
      <w:bodyDiv w:val="1"/>
      <w:marLeft w:val="0"/>
      <w:marRight w:val="0"/>
      <w:marTop w:val="0"/>
      <w:marBottom w:val="0"/>
      <w:divBdr>
        <w:top w:val="none" w:sz="0" w:space="0" w:color="auto"/>
        <w:left w:val="none" w:sz="0" w:space="0" w:color="auto"/>
        <w:bottom w:val="none" w:sz="0" w:space="0" w:color="auto"/>
        <w:right w:val="none" w:sz="0" w:space="0" w:color="auto"/>
      </w:divBdr>
    </w:div>
    <w:div w:id="1681273429">
      <w:bodyDiv w:val="1"/>
      <w:marLeft w:val="0"/>
      <w:marRight w:val="0"/>
      <w:marTop w:val="0"/>
      <w:marBottom w:val="0"/>
      <w:divBdr>
        <w:top w:val="none" w:sz="0" w:space="0" w:color="auto"/>
        <w:left w:val="none" w:sz="0" w:space="0" w:color="auto"/>
        <w:bottom w:val="none" w:sz="0" w:space="0" w:color="auto"/>
        <w:right w:val="none" w:sz="0" w:space="0" w:color="auto"/>
      </w:divBdr>
    </w:div>
    <w:div w:id="1682195227">
      <w:bodyDiv w:val="1"/>
      <w:marLeft w:val="0"/>
      <w:marRight w:val="0"/>
      <w:marTop w:val="0"/>
      <w:marBottom w:val="0"/>
      <w:divBdr>
        <w:top w:val="none" w:sz="0" w:space="0" w:color="auto"/>
        <w:left w:val="none" w:sz="0" w:space="0" w:color="auto"/>
        <w:bottom w:val="none" w:sz="0" w:space="0" w:color="auto"/>
        <w:right w:val="none" w:sz="0" w:space="0" w:color="auto"/>
      </w:divBdr>
    </w:div>
    <w:div w:id="1682472086">
      <w:bodyDiv w:val="1"/>
      <w:marLeft w:val="0"/>
      <w:marRight w:val="0"/>
      <w:marTop w:val="0"/>
      <w:marBottom w:val="0"/>
      <w:divBdr>
        <w:top w:val="none" w:sz="0" w:space="0" w:color="auto"/>
        <w:left w:val="none" w:sz="0" w:space="0" w:color="auto"/>
        <w:bottom w:val="none" w:sz="0" w:space="0" w:color="auto"/>
        <w:right w:val="none" w:sz="0" w:space="0" w:color="auto"/>
      </w:divBdr>
    </w:div>
    <w:div w:id="1683817266">
      <w:bodyDiv w:val="1"/>
      <w:marLeft w:val="0"/>
      <w:marRight w:val="0"/>
      <w:marTop w:val="0"/>
      <w:marBottom w:val="0"/>
      <w:divBdr>
        <w:top w:val="none" w:sz="0" w:space="0" w:color="auto"/>
        <w:left w:val="none" w:sz="0" w:space="0" w:color="auto"/>
        <w:bottom w:val="none" w:sz="0" w:space="0" w:color="auto"/>
        <w:right w:val="none" w:sz="0" w:space="0" w:color="auto"/>
      </w:divBdr>
    </w:div>
    <w:div w:id="1687751999">
      <w:bodyDiv w:val="1"/>
      <w:marLeft w:val="0"/>
      <w:marRight w:val="0"/>
      <w:marTop w:val="0"/>
      <w:marBottom w:val="0"/>
      <w:divBdr>
        <w:top w:val="none" w:sz="0" w:space="0" w:color="auto"/>
        <w:left w:val="none" w:sz="0" w:space="0" w:color="auto"/>
        <w:bottom w:val="none" w:sz="0" w:space="0" w:color="auto"/>
        <w:right w:val="none" w:sz="0" w:space="0" w:color="auto"/>
      </w:divBdr>
    </w:div>
    <w:div w:id="1691249828">
      <w:bodyDiv w:val="1"/>
      <w:marLeft w:val="0"/>
      <w:marRight w:val="0"/>
      <w:marTop w:val="0"/>
      <w:marBottom w:val="0"/>
      <w:divBdr>
        <w:top w:val="none" w:sz="0" w:space="0" w:color="auto"/>
        <w:left w:val="none" w:sz="0" w:space="0" w:color="auto"/>
        <w:bottom w:val="none" w:sz="0" w:space="0" w:color="auto"/>
        <w:right w:val="none" w:sz="0" w:space="0" w:color="auto"/>
      </w:divBdr>
    </w:div>
    <w:div w:id="1691493484">
      <w:bodyDiv w:val="1"/>
      <w:marLeft w:val="0"/>
      <w:marRight w:val="0"/>
      <w:marTop w:val="0"/>
      <w:marBottom w:val="0"/>
      <w:divBdr>
        <w:top w:val="none" w:sz="0" w:space="0" w:color="auto"/>
        <w:left w:val="none" w:sz="0" w:space="0" w:color="auto"/>
        <w:bottom w:val="none" w:sz="0" w:space="0" w:color="auto"/>
        <w:right w:val="none" w:sz="0" w:space="0" w:color="auto"/>
      </w:divBdr>
    </w:div>
    <w:div w:id="1692413285">
      <w:bodyDiv w:val="1"/>
      <w:marLeft w:val="0"/>
      <w:marRight w:val="0"/>
      <w:marTop w:val="0"/>
      <w:marBottom w:val="0"/>
      <w:divBdr>
        <w:top w:val="none" w:sz="0" w:space="0" w:color="auto"/>
        <w:left w:val="none" w:sz="0" w:space="0" w:color="auto"/>
        <w:bottom w:val="none" w:sz="0" w:space="0" w:color="auto"/>
        <w:right w:val="none" w:sz="0" w:space="0" w:color="auto"/>
      </w:divBdr>
    </w:div>
    <w:div w:id="1693335686">
      <w:bodyDiv w:val="1"/>
      <w:marLeft w:val="0"/>
      <w:marRight w:val="0"/>
      <w:marTop w:val="0"/>
      <w:marBottom w:val="0"/>
      <w:divBdr>
        <w:top w:val="none" w:sz="0" w:space="0" w:color="auto"/>
        <w:left w:val="none" w:sz="0" w:space="0" w:color="auto"/>
        <w:bottom w:val="none" w:sz="0" w:space="0" w:color="auto"/>
        <w:right w:val="none" w:sz="0" w:space="0" w:color="auto"/>
      </w:divBdr>
    </w:div>
    <w:div w:id="1693536537">
      <w:bodyDiv w:val="1"/>
      <w:marLeft w:val="0"/>
      <w:marRight w:val="0"/>
      <w:marTop w:val="0"/>
      <w:marBottom w:val="0"/>
      <w:divBdr>
        <w:top w:val="none" w:sz="0" w:space="0" w:color="auto"/>
        <w:left w:val="none" w:sz="0" w:space="0" w:color="auto"/>
        <w:bottom w:val="none" w:sz="0" w:space="0" w:color="auto"/>
        <w:right w:val="none" w:sz="0" w:space="0" w:color="auto"/>
      </w:divBdr>
    </w:div>
    <w:div w:id="1696341663">
      <w:bodyDiv w:val="1"/>
      <w:marLeft w:val="0"/>
      <w:marRight w:val="0"/>
      <w:marTop w:val="0"/>
      <w:marBottom w:val="0"/>
      <w:divBdr>
        <w:top w:val="none" w:sz="0" w:space="0" w:color="auto"/>
        <w:left w:val="none" w:sz="0" w:space="0" w:color="auto"/>
        <w:bottom w:val="none" w:sz="0" w:space="0" w:color="auto"/>
        <w:right w:val="none" w:sz="0" w:space="0" w:color="auto"/>
      </w:divBdr>
    </w:div>
    <w:div w:id="1696737064">
      <w:bodyDiv w:val="1"/>
      <w:marLeft w:val="0"/>
      <w:marRight w:val="0"/>
      <w:marTop w:val="0"/>
      <w:marBottom w:val="0"/>
      <w:divBdr>
        <w:top w:val="none" w:sz="0" w:space="0" w:color="auto"/>
        <w:left w:val="none" w:sz="0" w:space="0" w:color="auto"/>
        <w:bottom w:val="none" w:sz="0" w:space="0" w:color="auto"/>
        <w:right w:val="none" w:sz="0" w:space="0" w:color="auto"/>
      </w:divBdr>
    </w:div>
    <w:div w:id="1696926188">
      <w:bodyDiv w:val="1"/>
      <w:marLeft w:val="0"/>
      <w:marRight w:val="0"/>
      <w:marTop w:val="0"/>
      <w:marBottom w:val="0"/>
      <w:divBdr>
        <w:top w:val="none" w:sz="0" w:space="0" w:color="auto"/>
        <w:left w:val="none" w:sz="0" w:space="0" w:color="auto"/>
        <w:bottom w:val="none" w:sz="0" w:space="0" w:color="auto"/>
        <w:right w:val="none" w:sz="0" w:space="0" w:color="auto"/>
      </w:divBdr>
    </w:div>
    <w:div w:id="1697807356">
      <w:bodyDiv w:val="1"/>
      <w:marLeft w:val="0"/>
      <w:marRight w:val="0"/>
      <w:marTop w:val="0"/>
      <w:marBottom w:val="0"/>
      <w:divBdr>
        <w:top w:val="none" w:sz="0" w:space="0" w:color="auto"/>
        <w:left w:val="none" w:sz="0" w:space="0" w:color="auto"/>
        <w:bottom w:val="none" w:sz="0" w:space="0" w:color="auto"/>
        <w:right w:val="none" w:sz="0" w:space="0" w:color="auto"/>
      </w:divBdr>
    </w:div>
    <w:div w:id="1698502223">
      <w:bodyDiv w:val="1"/>
      <w:marLeft w:val="0"/>
      <w:marRight w:val="0"/>
      <w:marTop w:val="0"/>
      <w:marBottom w:val="0"/>
      <w:divBdr>
        <w:top w:val="none" w:sz="0" w:space="0" w:color="auto"/>
        <w:left w:val="none" w:sz="0" w:space="0" w:color="auto"/>
        <w:bottom w:val="none" w:sz="0" w:space="0" w:color="auto"/>
        <w:right w:val="none" w:sz="0" w:space="0" w:color="auto"/>
      </w:divBdr>
    </w:div>
    <w:div w:id="1701933093">
      <w:bodyDiv w:val="1"/>
      <w:marLeft w:val="0"/>
      <w:marRight w:val="0"/>
      <w:marTop w:val="0"/>
      <w:marBottom w:val="0"/>
      <w:divBdr>
        <w:top w:val="none" w:sz="0" w:space="0" w:color="auto"/>
        <w:left w:val="none" w:sz="0" w:space="0" w:color="auto"/>
        <w:bottom w:val="none" w:sz="0" w:space="0" w:color="auto"/>
        <w:right w:val="none" w:sz="0" w:space="0" w:color="auto"/>
      </w:divBdr>
    </w:div>
    <w:div w:id="1702316330">
      <w:bodyDiv w:val="1"/>
      <w:marLeft w:val="0"/>
      <w:marRight w:val="0"/>
      <w:marTop w:val="0"/>
      <w:marBottom w:val="0"/>
      <w:divBdr>
        <w:top w:val="none" w:sz="0" w:space="0" w:color="auto"/>
        <w:left w:val="none" w:sz="0" w:space="0" w:color="auto"/>
        <w:bottom w:val="none" w:sz="0" w:space="0" w:color="auto"/>
        <w:right w:val="none" w:sz="0" w:space="0" w:color="auto"/>
      </w:divBdr>
    </w:div>
    <w:div w:id="1702439050">
      <w:bodyDiv w:val="1"/>
      <w:marLeft w:val="0"/>
      <w:marRight w:val="0"/>
      <w:marTop w:val="0"/>
      <w:marBottom w:val="0"/>
      <w:divBdr>
        <w:top w:val="none" w:sz="0" w:space="0" w:color="auto"/>
        <w:left w:val="none" w:sz="0" w:space="0" w:color="auto"/>
        <w:bottom w:val="none" w:sz="0" w:space="0" w:color="auto"/>
        <w:right w:val="none" w:sz="0" w:space="0" w:color="auto"/>
      </w:divBdr>
    </w:div>
    <w:div w:id="1704549362">
      <w:bodyDiv w:val="1"/>
      <w:marLeft w:val="0"/>
      <w:marRight w:val="0"/>
      <w:marTop w:val="0"/>
      <w:marBottom w:val="0"/>
      <w:divBdr>
        <w:top w:val="none" w:sz="0" w:space="0" w:color="auto"/>
        <w:left w:val="none" w:sz="0" w:space="0" w:color="auto"/>
        <w:bottom w:val="none" w:sz="0" w:space="0" w:color="auto"/>
        <w:right w:val="none" w:sz="0" w:space="0" w:color="auto"/>
      </w:divBdr>
    </w:div>
    <w:div w:id="1704937110">
      <w:bodyDiv w:val="1"/>
      <w:marLeft w:val="0"/>
      <w:marRight w:val="0"/>
      <w:marTop w:val="0"/>
      <w:marBottom w:val="0"/>
      <w:divBdr>
        <w:top w:val="none" w:sz="0" w:space="0" w:color="auto"/>
        <w:left w:val="none" w:sz="0" w:space="0" w:color="auto"/>
        <w:bottom w:val="none" w:sz="0" w:space="0" w:color="auto"/>
        <w:right w:val="none" w:sz="0" w:space="0" w:color="auto"/>
      </w:divBdr>
    </w:div>
    <w:div w:id="1705058208">
      <w:bodyDiv w:val="1"/>
      <w:marLeft w:val="0"/>
      <w:marRight w:val="0"/>
      <w:marTop w:val="0"/>
      <w:marBottom w:val="0"/>
      <w:divBdr>
        <w:top w:val="none" w:sz="0" w:space="0" w:color="auto"/>
        <w:left w:val="none" w:sz="0" w:space="0" w:color="auto"/>
        <w:bottom w:val="none" w:sz="0" w:space="0" w:color="auto"/>
        <w:right w:val="none" w:sz="0" w:space="0" w:color="auto"/>
      </w:divBdr>
    </w:div>
    <w:div w:id="1705134100">
      <w:bodyDiv w:val="1"/>
      <w:marLeft w:val="0"/>
      <w:marRight w:val="0"/>
      <w:marTop w:val="0"/>
      <w:marBottom w:val="0"/>
      <w:divBdr>
        <w:top w:val="none" w:sz="0" w:space="0" w:color="auto"/>
        <w:left w:val="none" w:sz="0" w:space="0" w:color="auto"/>
        <w:bottom w:val="none" w:sz="0" w:space="0" w:color="auto"/>
        <w:right w:val="none" w:sz="0" w:space="0" w:color="auto"/>
      </w:divBdr>
    </w:div>
    <w:div w:id="1706904314">
      <w:bodyDiv w:val="1"/>
      <w:marLeft w:val="0"/>
      <w:marRight w:val="0"/>
      <w:marTop w:val="0"/>
      <w:marBottom w:val="0"/>
      <w:divBdr>
        <w:top w:val="none" w:sz="0" w:space="0" w:color="auto"/>
        <w:left w:val="none" w:sz="0" w:space="0" w:color="auto"/>
        <w:bottom w:val="none" w:sz="0" w:space="0" w:color="auto"/>
        <w:right w:val="none" w:sz="0" w:space="0" w:color="auto"/>
      </w:divBdr>
    </w:div>
    <w:div w:id="1708408545">
      <w:bodyDiv w:val="1"/>
      <w:marLeft w:val="0"/>
      <w:marRight w:val="0"/>
      <w:marTop w:val="0"/>
      <w:marBottom w:val="0"/>
      <w:divBdr>
        <w:top w:val="none" w:sz="0" w:space="0" w:color="auto"/>
        <w:left w:val="none" w:sz="0" w:space="0" w:color="auto"/>
        <w:bottom w:val="none" w:sz="0" w:space="0" w:color="auto"/>
        <w:right w:val="none" w:sz="0" w:space="0" w:color="auto"/>
      </w:divBdr>
    </w:div>
    <w:div w:id="1710184529">
      <w:bodyDiv w:val="1"/>
      <w:marLeft w:val="0"/>
      <w:marRight w:val="0"/>
      <w:marTop w:val="0"/>
      <w:marBottom w:val="0"/>
      <w:divBdr>
        <w:top w:val="none" w:sz="0" w:space="0" w:color="auto"/>
        <w:left w:val="none" w:sz="0" w:space="0" w:color="auto"/>
        <w:bottom w:val="none" w:sz="0" w:space="0" w:color="auto"/>
        <w:right w:val="none" w:sz="0" w:space="0" w:color="auto"/>
      </w:divBdr>
    </w:div>
    <w:div w:id="1710757183">
      <w:bodyDiv w:val="1"/>
      <w:marLeft w:val="0"/>
      <w:marRight w:val="0"/>
      <w:marTop w:val="0"/>
      <w:marBottom w:val="0"/>
      <w:divBdr>
        <w:top w:val="none" w:sz="0" w:space="0" w:color="auto"/>
        <w:left w:val="none" w:sz="0" w:space="0" w:color="auto"/>
        <w:bottom w:val="none" w:sz="0" w:space="0" w:color="auto"/>
        <w:right w:val="none" w:sz="0" w:space="0" w:color="auto"/>
      </w:divBdr>
    </w:div>
    <w:div w:id="1711228162">
      <w:bodyDiv w:val="1"/>
      <w:marLeft w:val="0"/>
      <w:marRight w:val="0"/>
      <w:marTop w:val="0"/>
      <w:marBottom w:val="0"/>
      <w:divBdr>
        <w:top w:val="none" w:sz="0" w:space="0" w:color="auto"/>
        <w:left w:val="none" w:sz="0" w:space="0" w:color="auto"/>
        <w:bottom w:val="none" w:sz="0" w:space="0" w:color="auto"/>
        <w:right w:val="none" w:sz="0" w:space="0" w:color="auto"/>
      </w:divBdr>
    </w:div>
    <w:div w:id="1711370628">
      <w:bodyDiv w:val="1"/>
      <w:marLeft w:val="0"/>
      <w:marRight w:val="0"/>
      <w:marTop w:val="0"/>
      <w:marBottom w:val="0"/>
      <w:divBdr>
        <w:top w:val="none" w:sz="0" w:space="0" w:color="auto"/>
        <w:left w:val="none" w:sz="0" w:space="0" w:color="auto"/>
        <w:bottom w:val="none" w:sz="0" w:space="0" w:color="auto"/>
        <w:right w:val="none" w:sz="0" w:space="0" w:color="auto"/>
      </w:divBdr>
    </w:div>
    <w:div w:id="1711956039">
      <w:bodyDiv w:val="1"/>
      <w:marLeft w:val="0"/>
      <w:marRight w:val="0"/>
      <w:marTop w:val="0"/>
      <w:marBottom w:val="0"/>
      <w:divBdr>
        <w:top w:val="none" w:sz="0" w:space="0" w:color="auto"/>
        <w:left w:val="none" w:sz="0" w:space="0" w:color="auto"/>
        <w:bottom w:val="none" w:sz="0" w:space="0" w:color="auto"/>
        <w:right w:val="none" w:sz="0" w:space="0" w:color="auto"/>
      </w:divBdr>
    </w:div>
    <w:div w:id="1712075587">
      <w:bodyDiv w:val="1"/>
      <w:marLeft w:val="0"/>
      <w:marRight w:val="0"/>
      <w:marTop w:val="0"/>
      <w:marBottom w:val="0"/>
      <w:divBdr>
        <w:top w:val="none" w:sz="0" w:space="0" w:color="auto"/>
        <w:left w:val="none" w:sz="0" w:space="0" w:color="auto"/>
        <w:bottom w:val="none" w:sz="0" w:space="0" w:color="auto"/>
        <w:right w:val="none" w:sz="0" w:space="0" w:color="auto"/>
      </w:divBdr>
    </w:div>
    <w:div w:id="1713917698">
      <w:bodyDiv w:val="1"/>
      <w:marLeft w:val="0"/>
      <w:marRight w:val="0"/>
      <w:marTop w:val="0"/>
      <w:marBottom w:val="0"/>
      <w:divBdr>
        <w:top w:val="none" w:sz="0" w:space="0" w:color="auto"/>
        <w:left w:val="none" w:sz="0" w:space="0" w:color="auto"/>
        <w:bottom w:val="none" w:sz="0" w:space="0" w:color="auto"/>
        <w:right w:val="none" w:sz="0" w:space="0" w:color="auto"/>
      </w:divBdr>
    </w:div>
    <w:div w:id="1716345225">
      <w:bodyDiv w:val="1"/>
      <w:marLeft w:val="0"/>
      <w:marRight w:val="0"/>
      <w:marTop w:val="0"/>
      <w:marBottom w:val="0"/>
      <w:divBdr>
        <w:top w:val="none" w:sz="0" w:space="0" w:color="auto"/>
        <w:left w:val="none" w:sz="0" w:space="0" w:color="auto"/>
        <w:bottom w:val="none" w:sz="0" w:space="0" w:color="auto"/>
        <w:right w:val="none" w:sz="0" w:space="0" w:color="auto"/>
      </w:divBdr>
    </w:div>
    <w:div w:id="1717661540">
      <w:bodyDiv w:val="1"/>
      <w:marLeft w:val="0"/>
      <w:marRight w:val="0"/>
      <w:marTop w:val="0"/>
      <w:marBottom w:val="0"/>
      <w:divBdr>
        <w:top w:val="none" w:sz="0" w:space="0" w:color="auto"/>
        <w:left w:val="none" w:sz="0" w:space="0" w:color="auto"/>
        <w:bottom w:val="none" w:sz="0" w:space="0" w:color="auto"/>
        <w:right w:val="none" w:sz="0" w:space="0" w:color="auto"/>
      </w:divBdr>
    </w:div>
    <w:div w:id="1717854243">
      <w:bodyDiv w:val="1"/>
      <w:marLeft w:val="0"/>
      <w:marRight w:val="0"/>
      <w:marTop w:val="0"/>
      <w:marBottom w:val="0"/>
      <w:divBdr>
        <w:top w:val="none" w:sz="0" w:space="0" w:color="auto"/>
        <w:left w:val="none" w:sz="0" w:space="0" w:color="auto"/>
        <w:bottom w:val="none" w:sz="0" w:space="0" w:color="auto"/>
        <w:right w:val="none" w:sz="0" w:space="0" w:color="auto"/>
      </w:divBdr>
    </w:div>
    <w:div w:id="1719666557">
      <w:bodyDiv w:val="1"/>
      <w:marLeft w:val="0"/>
      <w:marRight w:val="0"/>
      <w:marTop w:val="0"/>
      <w:marBottom w:val="0"/>
      <w:divBdr>
        <w:top w:val="none" w:sz="0" w:space="0" w:color="auto"/>
        <w:left w:val="none" w:sz="0" w:space="0" w:color="auto"/>
        <w:bottom w:val="none" w:sz="0" w:space="0" w:color="auto"/>
        <w:right w:val="none" w:sz="0" w:space="0" w:color="auto"/>
      </w:divBdr>
    </w:div>
    <w:div w:id="1720396624">
      <w:bodyDiv w:val="1"/>
      <w:marLeft w:val="0"/>
      <w:marRight w:val="0"/>
      <w:marTop w:val="0"/>
      <w:marBottom w:val="0"/>
      <w:divBdr>
        <w:top w:val="none" w:sz="0" w:space="0" w:color="auto"/>
        <w:left w:val="none" w:sz="0" w:space="0" w:color="auto"/>
        <w:bottom w:val="none" w:sz="0" w:space="0" w:color="auto"/>
        <w:right w:val="none" w:sz="0" w:space="0" w:color="auto"/>
      </w:divBdr>
    </w:div>
    <w:div w:id="1721006880">
      <w:bodyDiv w:val="1"/>
      <w:marLeft w:val="0"/>
      <w:marRight w:val="0"/>
      <w:marTop w:val="0"/>
      <w:marBottom w:val="0"/>
      <w:divBdr>
        <w:top w:val="none" w:sz="0" w:space="0" w:color="auto"/>
        <w:left w:val="none" w:sz="0" w:space="0" w:color="auto"/>
        <w:bottom w:val="none" w:sz="0" w:space="0" w:color="auto"/>
        <w:right w:val="none" w:sz="0" w:space="0" w:color="auto"/>
      </w:divBdr>
    </w:div>
    <w:div w:id="1721855615">
      <w:bodyDiv w:val="1"/>
      <w:marLeft w:val="0"/>
      <w:marRight w:val="0"/>
      <w:marTop w:val="0"/>
      <w:marBottom w:val="0"/>
      <w:divBdr>
        <w:top w:val="none" w:sz="0" w:space="0" w:color="auto"/>
        <w:left w:val="none" w:sz="0" w:space="0" w:color="auto"/>
        <w:bottom w:val="none" w:sz="0" w:space="0" w:color="auto"/>
        <w:right w:val="none" w:sz="0" w:space="0" w:color="auto"/>
      </w:divBdr>
    </w:div>
    <w:div w:id="1722244657">
      <w:bodyDiv w:val="1"/>
      <w:marLeft w:val="0"/>
      <w:marRight w:val="0"/>
      <w:marTop w:val="0"/>
      <w:marBottom w:val="0"/>
      <w:divBdr>
        <w:top w:val="none" w:sz="0" w:space="0" w:color="auto"/>
        <w:left w:val="none" w:sz="0" w:space="0" w:color="auto"/>
        <w:bottom w:val="none" w:sz="0" w:space="0" w:color="auto"/>
        <w:right w:val="none" w:sz="0" w:space="0" w:color="auto"/>
      </w:divBdr>
    </w:div>
    <w:div w:id="1726492661">
      <w:bodyDiv w:val="1"/>
      <w:marLeft w:val="0"/>
      <w:marRight w:val="0"/>
      <w:marTop w:val="0"/>
      <w:marBottom w:val="0"/>
      <w:divBdr>
        <w:top w:val="none" w:sz="0" w:space="0" w:color="auto"/>
        <w:left w:val="none" w:sz="0" w:space="0" w:color="auto"/>
        <w:bottom w:val="none" w:sz="0" w:space="0" w:color="auto"/>
        <w:right w:val="none" w:sz="0" w:space="0" w:color="auto"/>
      </w:divBdr>
    </w:div>
    <w:div w:id="1729722410">
      <w:bodyDiv w:val="1"/>
      <w:marLeft w:val="0"/>
      <w:marRight w:val="0"/>
      <w:marTop w:val="0"/>
      <w:marBottom w:val="0"/>
      <w:divBdr>
        <w:top w:val="none" w:sz="0" w:space="0" w:color="auto"/>
        <w:left w:val="none" w:sz="0" w:space="0" w:color="auto"/>
        <w:bottom w:val="none" w:sz="0" w:space="0" w:color="auto"/>
        <w:right w:val="none" w:sz="0" w:space="0" w:color="auto"/>
      </w:divBdr>
    </w:div>
    <w:div w:id="1730764820">
      <w:bodyDiv w:val="1"/>
      <w:marLeft w:val="0"/>
      <w:marRight w:val="0"/>
      <w:marTop w:val="0"/>
      <w:marBottom w:val="0"/>
      <w:divBdr>
        <w:top w:val="none" w:sz="0" w:space="0" w:color="auto"/>
        <w:left w:val="none" w:sz="0" w:space="0" w:color="auto"/>
        <w:bottom w:val="none" w:sz="0" w:space="0" w:color="auto"/>
        <w:right w:val="none" w:sz="0" w:space="0" w:color="auto"/>
      </w:divBdr>
    </w:div>
    <w:div w:id="1733196235">
      <w:bodyDiv w:val="1"/>
      <w:marLeft w:val="0"/>
      <w:marRight w:val="0"/>
      <w:marTop w:val="0"/>
      <w:marBottom w:val="0"/>
      <w:divBdr>
        <w:top w:val="none" w:sz="0" w:space="0" w:color="auto"/>
        <w:left w:val="none" w:sz="0" w:space="0" w:color="auto"/>
        <w:bottom w:val="none" w:sz="0" w:space="0" w:color="auto"/>
        <w:right w:val="none" w:sz="0" w:space="0" w:color="auto"/>
      </w:divBdr>
    </w:div>
    <w:div w:id="1733845201">
      <w:bodyDiv w:val="1"/>
      <w:marLeft w:val="0"/>
      <w:marRight w:val="0"/>
      <w:marTop w:val="0"/>
      <w:marBottom w:val="0"/>
      <w:divBdr>
        <w:top w:val="none" w:sz="0" w:space="0" w:color="auto"/>
        <w:left w:val="none" w:sz="0" w:space="0" w:color="auto"/>
        <w:bottom w:val="none" w:sz="0" w:space="0" w:color="auto"/>
        <w:right w:val="none" w:sz="0" w:space="0" w:color="auto"/>
      </w:divBdr>
    </w:div>
    <w:div w:id="1733960927">
      <w:bodyDiv w:val="1"/>
      <w:marLeft w:val="0"/>
      <w:marRight w:val="0"/>
      <w:marTop w:val="0"/>
      <w:marBottom w:val="0"/>
      <w:divBdr>
        <w:top w:val="none" w:sz="0" w:space="0" w:color="auto"/>
        <w:left w:val="none" w:sz="0" w:space="0" w:color="auto"/>
        <w:bottom w:val="none" w:sz="0" w:space="0" w:color="auto"/>
        <w:right w:val="none" w:sz="0" w:space="0" w:color="auto"/>
      </w:divBdr>
    </w:div>
    <w:div w:id="1734428158">
      <w:bodyDiv w:val="1"/>
      <w:marLeft w:val="0"/>
      <w:marRight w:val="0"/>
      <w:marTop w:val="0"/>
      <w:marBottom w:val="0"/>
      <w:divBdr>
        <w:top w:val="none" w:sz="0" w:space="0" w:color="auto"/>
        <w:left w:val="none" w:sz="0" w:space="0" w:color="auto"/>
        <w:bottom w:val="none" w:sz="0" w:space="0" w:color="auto"/>
        <w:right w:val="none" w:sz="0" w:space="0" w:color="auto"/>
      </w:divBdr>
    </w:div>
    <w:div w:id="1736004996">
      <w:bodyDiv w:val="1"/>
      <w:marLeft w:val="0"/>
      <w:marRight w:val="0"/>
      <w:marTop w:val="0"/>
      <w:marBottom w:val="0"/>
      <w:divBdr>
        <w:top w:val="none" w:sz="0" w:space="0" w:color="auto"/>
        <w:left w:val="none" w:sz="0" w:space="0" w:color="auto"/>
        <w:bottom w:val="none" w:sz="0" w:space="0" w:color="auto"/>
        <w:right w:val="none" w:sz="0" w:space="0" w:color="auto"/>
      </w:divBdr>
    </w:div>
    <w:div w:id="1736270235">
      <w:bodyDiv w:val="1"/>
      <w:marLeft w:val="0"/>
      <w:marRight w:val="0"/>
      <w:marTop w:val="0"/>
      <w:marBottom w:val="0"/>
      <w:divBdr>
        <w:top w:val="none" w:sz="0" w:space="0" w:color="auto"/>
        <w:left w:val="none" w:sz="0" w:space="0" w:color="auto"/>
        <w:bottom w:val="none" w:sz="0" w:space="0" w:color="auto"/>
        <w:right w:val="none" w:sz="0" w:space="0" w:color="auto"/>
      </w:divBdr>
    </w:div>
    <w:div w:id="1737120287">
      <w:bodyDiv w:val="1"/>
      <w:marLeft w:val="0"/>
      <w:marRight w:val="0"/>
      <w:marTop w:val="0"/>
      <w:marBottom w:val="0"/>
      <w:divBdr>
        <w:top w:val="none" w:sz="0" w:space="0" w:color="auto"/>
        <w:left w:val="none" w:sz="0" w:space="0" w:color="auto"/>
        <w:bottom w:val="none" w:sz="0" w:space="0" w:color="auto"/>
        <w:right w:val="none" w:sz="0" w:space="0" w:color="auto"/>
      </w:divBdr>
    </w:div>
    <w:div w:id="1738090544">
      <w:bodyDiv w:val="1"/>
      <w:marLeft w:val="0"/>
      <w:marRight w:val="0"/>
      <w:marTop w:val="0"/>
      <w:marBottom w:val="0"/>
      <w:divBdr>
        <w:top w:val="none" w:sz="0" w:space="0" w:color="auto"/>
        <w:left w:val="none" w:sz="0" w:space="0" w:color="auto"/>
        <w:bottom w:val="none" w:sz="0" w:space="0" w:color="auto"/>
        <w:right w:val="none" w:sz="0" w:space="0" w:color="auto"/>
      </w:divBdr>
    </w:div>
    <w:div w:id="1740907044">
      <w:bodyDiv w:val="1"/>
      <w:marLeft w:val="0"/>
      <w:marRight w:val="0"/>
      <w:marTop w:val="0"/>
      <w:marBottom w:val="0"/>
      <w:divBdr>
        <w:top w:val="none" w:sz="0" w:space="0" w:color="auto"/>
        <w:left w:val="none" w:sz="0" w:space="0" w:color="auto"/>
        <w:bottom w:val="none" w:sz="0" w:space="0" w:color="auto"/>
        <w:right w:val="none" w:sz="0" w:space="0" w:color="auto"/>
      </w:divBdr>
    </w:div>
    <w:div w:id="1741635153">
      <w:bodyDiv w:val="1"/>
      <w:marLeft w:val="0"/>
      <w:marRight w:val="0"/>
      <w:marTop w:val="0"/>
      <w:marBottom w:val="0"/>
      <w:divBdr>
        <w:top w:val="none" w:sz="0" w:space="0" w:color="auto"/>
        <w:left w:val="none" w:sz="0" w:space="0" w:color="auto"/>
        <w:bottom w:val="none" w:sz="0" w:space="0" w:color="auto"/>
        <w:right w:val="none" w:sz="0" w:space="0" w:color="auto"/>
      </w:divBdr>
    </w:div>
    <w:div w:id="1742408479">
      <w:bodyDiv w:val="1"/>
      <w:marLeft w:val="0"/>
      <w:marRight w:val="0"/>
      <w:marTop w:val="0"/>
      <w:marBottom w:val="0"/>
      <w:divBdr>
        <w:top w:val="none" w:sz="0" w:space="0" w:color="auto"/>
        <w:left w:val="none" w:sz="0" w:space="0" w:color="auto"/>
        <w:bottom w:val="none" w:sz="0" w:space="0" w:color="auto"/>
        <w:right w:val="none" w:sz="0" w:space="0" w:color="auto"/>
      </w:divBdr>
    </w:div>
    <w:div w:id="1743138976">
      <w:bodyDiv w:val="1"/>
      <w:marLeft w:val="0"/>
      <w:marRight w:val="0"/>
      <w:marTop w:val="0"/>
      <w:marBottom w:val="0"/>
      <w:divBdr>
        <w:top w:val="none" w:sz="0" w:space="0" w:color="auto"/>
        <w:left w:val="none" w:sz="0" w:space="0" w:color="auto"/>
        <w:bottom w:val="none" w:sz="0" w:space="0" w:color="auto"/>
        <w:right w:val="none" w:sz="0" w:space="0" w:color="auto"/>
      </w:divBdr>
    </w:div>
    <w:div w:id="1744790703">
      <w:bodyDiv w:val="1"/>
      <w:marLeft w:val="0"/>
      <w:marRight w:val="0"/>
      <w:marTop w:val="0"/>
      <w:marBottom w:val="0"/>
      <w:divBdr>
        <w:top w:val="none" w:sz="0" w:space="0" w:color="auto"/>
        <w:left w:val="none" w:sz="0" w:space="0" w:color="auto"/>
        <w:bottom w:val="none" w:sz="0" w:space="0" w:color="auto"/>
        <w:right w:val="none" w:sz="0" w:space="0" w:color="auto"/>
      </w:divBdr>
    </w:div>
    <w:div w:id="1745099876">
      <w:bodyDiv w:val="1"/>
      <w:marLeft w:val="0"/>
      <w:marRight w:val="0"/>
      <w:marTop w:val="0"/>
      <w:marBottom w:val="0"/>
      <w:divBdr>
        <w:top w:val="none" w:sz="0" w:space="0" w:color="auto"/>
        <w:left w:val="none" w:sz="0" w:space="0" w:color="auto"/>
        <w:bottom w:val="none" w:sz="0" w:space="0" w:color="auto"/>
        <w:right w:val="none" w:sz="0" w:space="0" w:color="auto"/>
      </w:divBdr>
    </w:div>
    <w:div w:id="1746143699">
      <w:bodyDiv w:val="1"/>
      <w:marLeft w:val="0"/>
      <w:marRight w:val="0"/>
      <w:marTop w:val="0"/>
      <w:marBottom w:val="0"/>
      <w:divBdr>
        <w:top w:val="none" w:sz="0" w:space="0" w:color="auto"/>
        <w:left w:val="none" w:sz="0" w:space="0" w:color="auto"/>
        <w:bottom w:val="none" w:sz="0" w:space="0" w:color="auto"/>
        <w:right w:val="none" w:sz="0" w:space="0" w:color="auto"/>
      </w:divBdr>
    </w:div>
    <w:div w:id="1747679791">
      <w:bodyDiv w:val="1"/>
      <w:marLeft w:val="0"/>
      <w:marRight w:val="0"/>
      <w:marTop w:val="0"/>
      <w:marBottom w:val="0"/>
      <w:divBdr>
        <w:top w:val="none" w:sz="0" w:space="0" w:color="auto"/>
        <w:left w:val="none" w:sz="0" w:space="0" w:color="auto"/>
        <w:bottom w:val="none" w:sz="0" w:space="0" w:color="auto"/>
        <w:right w:val="none" w:sz="0" w:space="0" w:color="auto"/>
      </w:divBdr>
    </w:div>
    <w:div w:id="1748839195">
      <w:bodyDiv w:val="1"/>
      <w:marLeft w:val="0"/>
      <w:marRight w:val="0"/>
      <w:marTop w:val="0"/>
      <w:marBottom w:val="0"/>
      <w:divBdr>
        <w:top w:val="none" w:sz="0" w:space="0" w:color="auto"/>
        <w:left w:val="none" w:sz="0" w:space="0" w:color="auto"/>
        <w:bottom w:val="none" w:sz="0" w:space="0" w:color="auto"/>
        <w:right w:val="none" w:sz="0" w:space="0" w:color="auto"/>
      </w:divBdr>
    </w:div>
    <w:div w:id="1750997402">
      <w:bodyDiv w:val="1"/>
      <w:marLeft w:val="0"/>
      <w:marRight w:val="0"/>
      <w:marTop w:val="0"/>
      <w:marBottom w:val="0"/>
      <w:divBdr>
        <w:top w:val="none" w:sz="0" w:space="0" w:color="auto"/>
        <w:left w:val="none" w:sz="0" w:space="0" w:color="auto"/>
        <w:bottom w:val="none" w:sz="0" w:space="0" w:color="auto"/>
        <w:right w:val="none" w:sz="0" w:space="0" w:color="auto"/>
      </w:divBdr>
    </w:div>
    <w:div w:id="1752315742">
      <w:bodyDiv w:val="1"/>
      <w:marLeft w:val="0"/>
      <w:marRight w:val="0"/>
      <w:marTop w:val="0"/>
      <w:marBottom w:val="0"/>
      <w:divBdr>
        <w:top w:val="none" w:sz="0" w:space="0" w:color="auto"/>
        <w:left w:val="none" w:sz="0" w:space="0" w:color="auto"/>
        <w:bottom w:val="none" w:sz="0" w:space="0" w:color="auto"/>
        <w:right w:val="none" w:sz="0" w:space="0" w:color="auto"/>
      </w:divBdr>
    </w:div>
    <w:div w:id="1757745316">
      <w:bodyDiv w:val="1"/>
      <w:marLeft w:val="0"/>
      <w:marRight w:val="0"/>
      <w:marTop w:val="0"/>
      <w:marBottom w:val="0"/>
      <w:divBdr>
        <w:top w:val="none" w:sz="0" w:space="0" w:color="auto"/>
        <w:left w:val="none" w:sz="0" w:space="0" w:color="auto"/>
        <w:bottom w:val="none" w:sz="0" w:space="0" w:color="auto"/>
        <w:right w:val="none" w:sz="0" w:space="0" w:color="auto"/>
      </w:divBdr>
    </w:div>
    <w:div w:id="1758406857">
      <w:bodyDiv w:val="1"/>
      <w:marLeft w:val="0"/>
      <w:marRight w:val="0"/>
      <w:marTop w:val="0"/>
      <w:marBottom w:val="0"/>
      <w:divBdr>
        <w:top w:val="none" w:sz="0" w:space="0" w:color="auto"/>
        <w:left w:val="none" w:sz="0" w:space="0" w:color="auto"/>
        <w:bottom w:val="none" w:sz="0" w:space="0" w:color="auto"/>
        <w:right w:val="none" w:sz="0" w:space="0" w:color="auto"/>
      </w:divBdr>
    </w:div>
    <w:div w:id="1758676394">
      <w:bodyDiv w:val="1"/>
      <w:marLeft w:val="0"/>
      <w:marRight w:val="0"/>
      <w:marTop w:val="0"/>
      <w:marBottom w:val="0"/>
      <w:divBdr>
        <w:top w:val="none" w:sz="0" w:space="0" w:color="auto"/>
        <w:left w:val="none" w:sz="0" w:space="0" w:color="auto"/>
        <w:bottom w:val="none" w:sz="0" w:space="0" w:color="auto"/>
        <w:right w:val="none" w:sz="0" w:space="0" w:color="auto"/>
      </w:divBdr>
    </w:div>
    <w:div w:id="1759666472">
      <w:bodyDiv w:val="1"/>
      <w:marLeft w:val="0"/>
      <w:marRight w:val="0"/>
      <w:marTop w:val="0"/>
      <w:marBottom w:val="0"/>
      <w:divBdr>
        <w:top w:val="none" w:sz="0" w:space="0" w:color="auto"/>
        <w:left w:val="none" w:sz="0" w:space="0" w:color="auto"/>
        <w:bottom w:val="none" w:sz="0" w:space="0" w:color="auto"/>
        <w:right w:val="none" w:sz="0" w:space="0" w:color="auto"/>
      </w:divBdr>
    </w:div>
    <w:div w:id="1761607770">
      <w:bodyDiv w:val="1"/>
      <w:marLeft w:val="0"/>
      <w:marRight w:val="0"/>
      <w:marTop w:val="0"/>
      <w:marBottom w:val="0"/>
      <w:divBdr>
        <w:top w:val="none" w:sz="0" w:space="0" w:color="auto"/>
        <w:left w:val="none" w:sz="0" w:space="0" w:color="auto"/>
        <w:bottom w:val="none" w:sz="0" w:space="0" w:color="auto"/>
        <w:right w:val="none" w:sz="0" w:space="0" w:color="auto"/>
      </w:divBdr>
    </w:div>
    <w:div w:id="1762095237">
      <w:bodyDiv w:val="1"/>
      <w:marLeft w:val="0"/>
      <w:marRight w:val="0"/>
      <w:marTop w:val="0"/>
      <w:marBottom w:val="0"/>
      <w:divBdr>
        <w:top w:val="none" w:sz="0" w:space="0" w:color="auto"/>
        <w:left w:val="none" w:sz="0" w:space="0" w:color="auto"/>
        <w:bottom w:val="none" w:sz="0" w:space="0" w:color="auto"/>
        <w:right w:val="none" w:sz="0" w:space="0" w:color="auto"/>
      </w:divBdr>
    </w:div>
    <w:div w:id="1762331925">
      <w:bodyDiv w:val="1"/>
      <w:marLeft w:val="0"/>
      <w:marRight w:val="0"/>
      <w:marTop w:val="0"/>
      <w:marBottom w:val="0"/>
      <w:divBdr>
        <w:top w:val="none" w:sz="0" w:space="0" w:color="auto"/>
        <w:left w:val="none" w:sz="0" w:space="0" w:color="auto"/>
        <w:bottom w:val="none" w:sz="0" w:space="0" w:color="auto"/>
        <w:right w:val="none" w:sz="0" w:space="0" w:color="auto"/>
      </w:divBdr>
    </w:div>
    <w:div w:id="1764492530">
      <w:bodyDiv w:val="1"/>
      <w:marLeft w:val="0"/>
      <w:marRight w:val="0"/>
      <w:marTop w:val="0"/>
      <w:marBottom w:val="0"/>
      <w:divBdr>
        <w:top w:val="none" w:sz="0" w:space="0" w:color="auto"/>
        <w:left w:val="none" w:sz="0" w:space="0" w:color="auto"/>
        <w:bottom w:val="none" w:sz="0" w:space="0" w:color="auto"/>
        <w:right w:val="none" w:sz="0" w:space="0" w:color="auto"/>
      </w:divBdr>
    </w:div>
    <w:div w:id="1764644546">
      <w:bodyDiv w:val="1"/>
      <w:marLeft w:val="0"/>
      <w:marRight w:val="0"/>
      <w:marTop w:val="0"/>
      <w:marBottom w:val="0"/>
      <w:divBdr>
        <w:top w:val="none" w:sz="0" w:space="0" w:color="auto"/>
        <w:left w:val="none" w:sz="0" w:space="0" w:color="auto"/>
        <w:bottom w:val="none" w:sz="0" w:space="0" w:color="auto"/>
        <w:right w:val="none" w:sz="0" w:space="0" w:color="auto"/>
      </w:divBdr>
    </w:div>
    <w:div w:id="1764767204">
      <w:bodyDiv w:val="1"/>
      <w:marLeft w:val="0"/>
      <w:marRight w:val="0"/>
      <w:marTop w:val="0"/>
      <w:marBottom w:val="0"/>
      <w:divBdr>
        <w:top w:val="none" w:sz="0" w:space="0" w:color="auto"/>
        <w:left w:val="none" w:sz="0" w:space="0" w:color="auto"/>
        <w:bottom w:val="none" w:sz="0" w:space="0" w:color="auto"/>
        <w:right w:val="none" w:sz="0" w:space="0" w:color="auto"/>
      </w:divBdr>
    </w:div>
    <w:div w:id="1765373802">
      <w:bodyDiv w:val="1"/>
      <w:marLeft w:val="0"/>
      <w:marRight w:val="0"/>
      <w:marTop w:val="0"/>
      <w:marBottom w:val="0"/>
      <w:divBdr>
        <w:top w:val="none" w:sz="0" w:space="0" w:color="auto"/>
        <w:left w:val="none" w:sz="0" w:space="0" w:color="auto"/>
        <w:bottom w:val="none" w:sz="0" w:space="0" w:color="auto"/>
        <w:right w:val="none" w:sz="0" w:space="0" w:color="auto"/>
      </w:divBdr>
    </w:div>
    <w:div w:id="1767573575">
      <w:bodyDiv w:val="1"/>
      <w:marLeft w:val="0"/>
      <w:marRight w:val="0"/>
      <w:marTop w:val="0"/>
      <w:marBottom w:val="0"/>
      <w:divBdr>
        <w:top w:val="none" w:sz="0" w:space="0" w:color="auto"/>
        <w:left w:val="none" w:sz="0" w:space="0" w:color="auto"/>
        <w:bottom w:val="none" w:sz="0" w:space="0" w:color="auto"/>
        <w:right w:val="none" w:sz="0" w:space="0" w:color="auto"/>
      </w:divBdr>
    </w:div>
    <w:div w:id="1768233074">
      <w:bodyDiv w:val="1"/>
      <w:marLeft w:val="0"/>
      <w:marRight w:val="0"/>
      <w:marTop w:val="0"/>
      <w:marBottom w:val="0"/>
      <w:divBdr>
        <w:top w:val="none" w:sz="0" w:space="0" w:color="auto"/>
        <w:left w:val="none" w:sz="0" w:space="0" w:color="auto"/>
        <w:bottom w:val="none" w:sz="0" w:space="0" w:color="auto"/>
        <w:right w:val="none" w:sz="0" w:space="0" w:color="auto"/>
      </w:divBdr>
    </w:div>
    <w:div w:id="1769812136">
      <w:bodyDiv w:val="1"/>
      <w:marLeft w:val="0"/>
      <w:marRight w:val="0"/>
      <w:marTop w:val="0"/>
      <w:marBottom w:val="0"/>
      <w:divBdr>
        <w:top w:val="none" w:sz="0" w:space="0" w:color="auto"/>
        <w:left w:val="none" w:sz="0" w:space="0" w:color="auto"/>
        <w:bottom w:val="none" w:sz="0" w:space="0" w:color="auto"/>
        <w:right w:val="none" w:sz="0" w:space="0" w:color="auto"/>
      </w:divBdr>
    </w:div>
    <w:div w:id="1770274938">
      <w:bodyDiv w:val="1"/>
      <w:marLeft w:val="0"/>
      <w:marRight w:val="0"/>
      <w:marTop w:val="0"/>
      <w:marBottom w:val="0"/>
      <w:divBdr>
        <w:top w:val="none" w:sz="0" w:space="0" w:color="auto"/>
        <w:left w:val="none" w:sz="0" w:space="0" w:color="auto"/>
        <w:bottom w:val="none" w:sz="0" w:space="0" w:color="auto"/>
        <w:right w:val="none" w:sz="0" w:space="0" w:color="auto"/>
      </w:divBdr>
    </w:div>
    <w:div w:id="1778328902">
      <w:bodyDiv w:val="1"/>
      <w:marLeft w:val="0"/>
      <w:marRight w:val="0"/>
      <w:marTop w:val="0"/>
      <w:marBottom w:val="0"/>
      <w:divBdr>
        <w:top w:val="none" w:sz="0" w:space="0" w:color="auto"/>
        <w:left w:val="none" w:sz="0" w:space="0" w:color="auto"/>
        <w:bottom w:val="none" w:sz="0" w:space="0" w:color="auto"/>
        <w:right w:val="none" w:sz="0" w:space="0" w:color="auto"/>
      </w:divBdr>
    </w:div>
    <w:div w:id="1782382938">
      <w:bodyDiv w:val="1"/>
      <w:marLeft w:val="0"/>
      <w:marRight w:val="0"/>
      <w:marTop w:val="0"/>
      <w:marBottom w:val="0"/>
      <w:divBdr>
        <w:top w:val="none" w:sz="0" w:space="0" w:color="auto"/>
        <w:left w:val="none" w:sz="0" w:space="0" w:color="auto"/>
        <w:bottom w:val="none" w:sz="0" w:space="0" w:color="auto"/>
        <w:right w:val="none" w:sz="0" w:space="0" w:color="auto"/>
      </w:divBdr>
    </w:div>
    <w:div w:id="1782719287">
      <w:bodyDiv w:val="1"/>
      <w:marLeft w:val="0"/>
      <w:marRight w:val="0"/>
      <w:marTop w:val="0"/>
      <w:marBottom w:val="0"/>
      <w:divBdr>
        <w:top w:val="none" w:sz="0" w:space="0" w:color="auto"/>
        <w:left w:val="none" w:sz="0" w:space="0" w:color="auto"/>
        <w:bottom w:val="none" w:sz="0" w:space="0" w:color="auto"/>
        <w:right w:val="none" w:sz="0" w:space="0" w:color="auto"/>
      </w:divBdr>
    </w:div>
    <w:div w:id="1783302065">
      <w:bodyDiv w:val="1"/>
      <w:marLeft w:val="0"/>
      <w:marRight w:val="0"/>
      <w:marTop w:val="0"/>
      <w:marBottom w:val="0"/>
      <w:divBdr>
        <w:top w:val="none" w:sz="0" w:space="0" w:color="auto"/>
        <w:left w:val="none" w:sz="0" w:space="0" w:color="auto"/>
        <w:bottom w:val="none" w:sz="0" w:space="0" w:color="auto"/>
        <w:right w:val="none" w:sz="0" w:space="0" w:color="auto"/>
      </w:divBdr>
    </w:div>
    <w:div w:id="1789080072">
      <w:bodyDiv w:val="1"/>
      <w:marLeft w:val="0"/>
      <w:marRight w:val="0"/>
      <w:marTop w:val="0"/>
      <w:marBottom w:val="0"/>
      <w:divBdr>
        <w:top w:val="none" w:sz="0" w:space="0" w:color="auto"/>
        <w:left w:val="none" w:sz="0" w:space="0" w:color="auto"/>
        <w:bottom w:val="none" w:sz="0" w:space="0" w:color="auto"/>
        <w:right w:val="none" w:sz="0" w:space="0" w:color="auto"/>
      </w:divBdr>
    </w:div>
    <w:div w:id="1789083288">
      <w:bodyDiv w:val="1"/>
      <w:marLeft w:val="0"/>
      <w:marRight w:val="0"/>
      <w:marTop w:val="0"/>
      <w:marBottom w:val="0"/>
      <w:divBdr>
        <w:top w:val="none" w:sz="0" w:space="0" w:color="auto"/>
        <w:left w:val="none" w:sz="0" w:space="0" w:color="auto"/>
        <w:bottom w:val="none" w:sz="0" w:space="0" w:color="auto"/>
        <w:right w:val="none" w:sz="0" w:space="0" w:color="auto"/>
      </w:divBdr>
    </w:div>
    <w:div w:id="1789423800">
      <w:bodyDiv w:val="1"/>
      <w:marLeft w:val="0"/>
      <w:marRight w:val="0"/>
      <w:marTop w:val="0"/>
      <w:marBottom w:val="0"/>
      <w:divBdr>
        <w:top w:val="none" w:sz="0" w:space="0" w:color="auto"/>
        <w:left w:val="none" w:sz="0" w:space="0" w:color="auto"/>
        <w:bottom w:val="none" w:sz="0" w:space="0" w:color="auto"/>
        <w:right w:val="none" w:sz="0" w:space="0" w:color="auto"/>
      </w:divBdr>
    </w:div>
    <w:div w:id="1792744369">
      <w:bodyDiv w:val="1"/>
      <w:marLeft w:val="0"/>
      <w:marRight w:val="0"/>
      <w:marTop w:val="0"/>
      <w:marBottom w:val="0"/>
      <w:divBdr>
        <w:top w:val="none" w:sz="0" w:space="0" w:color="auto"/>
        <w:left w:val="none" w:sz="0" w:space="0" w:color="auto"/>
        <w:bottom w:val="none" w:sz="0" w:space="0" w:color="auto"/>
        <w:right w:val="none" w:sz="0" w:space="0" w:color="auto"/>
      </w:divBdr>
    </w:div>
    <w:div w:id="1793088355">
      <w:bodyDiv w:val="1"/>
      <w:marLeft w:val="0"/>
      <w:marRight w:val="0"/>
      <w:marTop w:val="0"/>
      <w:marBottom w:val="0"/>
      <w:divBdr>
        <w:top w:val="none" w:sz="0" w:space="0" w:color="auto"/>
        <w:left w:val="none" w:sz="0" w:space="0" w:color="auto"/>
        <w:bottom w:val="none" w:sz="0" w:space="0" w:color="auto"/>
        <w:right w:val="none" w:sz="0" w:space="0" w:color="auto"/>
      </w:divBdr>
    </w:div>
    <w:div w:id="1793556403">
      <w:bodyDiv w:val="1"/>
      <w:marLeft w:val="0"/>
      <w:marRight w:val="0"/>
      <w:marTop w:val="0"/>
      <w:marBottom w:val="0"/>
      <w:divBdr>
        <w:top w:val="none" w:sz="0" w:space="0" w:color="auto"/>
        <w:left w:val="none" w:sz="0" w:space="0" w:color="auto"/>
        <w:bottom w:val="none" w:sz="0" w:space="0" w:color="auto"/>
        <w:right w:val="none" w:sz="0" w:space="0" w:color="auto"/>
      </w:divBdr>
    </w:div>
    <w:div w:id="1794060275">
      <w:bodyDiv w:val="1"/>
      <w:marLeft w:val="0"/>
      <w:marRight w:val="0"/>
      <w:marTop w:val="0"/>
      <w:marBottom w:val="0"/>
      <w:divBdr>
        <w:top w:val="none" w:sz="0" w:space="0" w:color="auto"/>
        <w:left w:val="none" w:sz="0" w:space="0" w:color="auto"/>
        <w:bottom w:val="none" w:sz="0" w:space="0" w:color="auto"/>
        <w:right w:val="none" w:sz="0" w:space="0" w:color="auto"/>
      </w:divBdr>
    </w:div>
    <w:div w:id="1795250527">
      <w:bodyDiv w:val="1"/>
      <w:marLeft w:val="0"/>
      <w:marRight w:val="0"/>
      <w:marTop w:val="0"/>
      <w:marBottom w:val="0"/>
      <w:divBdr>
        <w:top w:val="none" w:sz="0" w:space="0" w:color="auto"/>
        <w:left w:val="none" w:sz="0" w:space="0" w:color="auto"/>
        <w:bottom w:val="none" w:sz="0" w:space="0" w:color="auto"/>
        <w:right w:val="none" w:sz="0" w:space="0" w:color="auto"/>
      </w:divBdr>
    </w:div>
    <w:div w:id="1796093740">
      <w:bodyDiv w:val="1"/>
      <w:marLeft w:val="0"/>
      <w:marRight w:val="0"/>
      <w:marTop w:val="0"/>
      <w:marBottom w:val="0"/>
      <w:divBdr>
        <w:top w:val="none" w:sz="0" w:space="0" w:color="auto"/>
        <w:left w:val="none" w:sz="0" w:space="0" w:color="auto"/>
        <w:bottom w:val="none" w:sz="0" w:space="0" w:color="auto"/>
        <w:right w:val="none" w:sz="0" w:space="0" w:color="auto"/>
      </w:divBdr>
    </w:div>
    <w:div w:id="1796489102">
      <w:bodyDiv w:val="1"/>
      <w:marLeft w:val="0"/>
      <w:marRight w:val="0"/>
      <w:marTop w:val="0"/>
      <w:marBottom w:val="0"/>
      <w:divBdr>
        <w:top w:val="none" w:sz="0" w:space="0" w:color="auto"/>
        <w:left w:val="none" w:sz="0" w:space="0" w:color="auto"/>
        <w:bottom w:val="none" w:sz="0" w:space="0" w:color="auto"/>
        <w:right w:val="none" w:sz="0" w:space="0" w:color="auto"/>
      </w:divBdr>
    </w:div>
    <w:div w:id="1797333656">
      <w:bodyDiv w:val="1"/>
      <w:marLeft w:val="0"/>
      <w:marRight w:val="0"/>
      <w:marTop w:val="0"/>
      <w:marBottom w:val="0"/>
      <w:divBdr>
        <w:top w:val="none" w:sz="0" w:space="0" w:color="auto"/>
        <w:left w:val="none" w:sz="0" w:space="0" w:color="auto"/>
        <w:bottom w:val="none" w:sz="0" w:space="0" w:color="auto"/>
        <w:right w:val="none" w:sz="0" w:space="0" w:color="auto"/>
      </w:divBdr>
    </w:div>
    <w:div w:id="1803884081">
      <w:bodyDiv w:val="1"/>
      <w:marLeft w:val="0"/>
      <w:marRight w:val="0"/>
      <w:marTop w:val="0"/>
      <w:marBottom w:val="0"/>
      <w:divBdr>
        <w:top w:val="none" w:sz="0" w:space="0" w:color="auto"/>
        <w:left w:val="none" w:sz="0" w:space="0" w:color="auto"/>
        <w:bottom w:val="none" w:sz="0" w:space="0" w:color="auto"/>
        <w:right w:val="none" w:sz="0" w:space="0" w:color="auto"/>
      </w:divBdr>
    </w:div>
    <w:div w:id="1806123712">
      <w:bodyDiv w:val="1"/>
      <w:marLeft w:val="0"/>
      <w:marRight w:val="0"/>
      <w:marTop w:val="0"/>
      <w:marBottom w:val="0"/>
      <w:divBdr>
        <w:top w:val="none" w:sz="0" w:space="0" w:color="auto"/>
        <w:left w:val="none" w:sz="0" w:space="0" w:color="auto"/>
        <w:bottom w:val="none" w:sz="0" w:space="0" w:color="auto"/>
        <w:right w:val="none" w:sz="0" w:space="0" w:color="auto"/>
      </w:divBdr>
    </w:div>
    <w:div w:id="1813207504">
      <w:bodyDiv w:val="1"/>
      <w:marLeft w:val="0"/>
      <w:marRight w:val="0"/>
      <w:marTop w:val="0"/>
      <w:marBottom w:val="0"/>
      <w:divBdr>
        <w:top w:val="none" w:sz="0" w:space="0" w:color="auto"/>
        <w:left w:val="none" w:sz="0" w:space="0" w:color="auto"/>
        <w:bottom w:val="none" w:sz="0" w:space="0" w:color="auto"/>
        <w:right w:val="none" w:sz="0" w:space="0" w:color="auto"/>
      </w:divBdr>
    </w:div>
    <w:div w:id="1815488896">
      <w:bodyDiv w:val="1"/>
      <w:marLeft w:val="0"/>
      <w:marRight w:val="0"/>
      <w:marTop w:val="0"/>
      <w:marBottom w:val="0"/>
      <w:divBdr>
        <w:top w:val="none" w:sz="0" w:space="0" w:color="auto"/>
        <w:left w:val="none" w:sz="0" w:space="0" w:color="auto"/>
        <w:bottom w:val="none" w:sz="0" w:space="0" w:color="auto"/>
        <w:right w:val="none" w:sz="0" w:space="0" w:color="auto"/>
      </w:divBdr>
    </w:div>
    <w:div w:id="1820920623">
      <w:bodyDiv w:val="1"/>
      <w:marLeft w:val="0"/>
      <w:marRight w:val="0"/>
      <w:marTop w:val="0"/>
      <w:marBottom w:val="0"/>
      <w:divBdr>
        <w:top w:val="none" w:sz="0" w:space="0" w:color="auto"/>
        <w:left w:val="none" w:sz="0" w:space="0" w:color="auto"/>
        <w:bottom w:val="none" w:sz="0" w:space="0" w:color="auto"/>
        <w:right w:val="none" w:sz="0" w:space="0" w:color="auto"/>
      </w:divBdr>
    </w:div>
    <w:div w:id="1823962009">
      <w:bodyDiv w:val="1"/>
      <w:marLeft w:val="0"/>
      <w:marRight w:val="0"/>
      <w:marTop w:val="0"/>
      <w:marBottom w:val="0"/>
      <w:divBdr>
        <w:top w:val="none" w:sz="0" w:space="0" w:color="auto"/>
        <w:left w:val="none" w:sz="0" w:space="0" w:color="auto"/>
        <w:bottom w:val="none" w:sz="0" w:space="0" w:color="auto"/>
        <w:right w:val="none" w:sz="0" w:space="0" w:color="auto"/>
      </w:divBdr>
    </w:div>
    <w:div w:id="1826359997">
      <w:bodyDiv w:val="1"/>
      <w:marLeft w:val="0"/>
      <w:marRight w:val="0"/>
      <w:marTop w:val="0"/>
      <w:marBottom w:val="0"/>
      <w:divBdr>
        <w:top w:val="none" w:sz="0" w:space="0" w:color="auto"/>
        <w:left w:val="none" w:sz="0" w:space="0" w:color="auto"/>
        <w:bottom w:val="none" w:sz="0" w:space="0" w:color="auto"/>
        <w:right w:val="none" w:sz="0" w:space="0" w:color="auto"/>
      </w:divBdr>
    </w:div>
    <w:div w:id="1826891750">
      <w:bodyDiv w:val="1"/>
      <w:marLeft w:val="0"/>
      <w:marRight w:val="0"/>
      <w:marTop w:val="0"/>
      <w:marBottom w:val="0"/>
      <w:divBdr>
        <w:top w:val="none" w:sz="0" w:space="0" w:color="auto"/>
        <w:left w:val="none" w:sz="0" w:space="0" w:color="auto"/>
        <w:bottom w:val="none" w:sz="0" w:space="0" w:color="auto"/>
        <w:right w:val="none" w:sz="0" w:space="0" w:color="auto"/>
      </w:divBdr>
    </w:div>
    <w:div w:id="1829518995">
      <w:bodyDiv w:val="1"/>
      <w:marLeft w:val="0"/>
      <w:marRight w:val="0"/>
      <w:marTop w:val="0"/>
      <w:marBottom w:val="0"/>
      <w:divBdr>
        <w:top w:val="none" w:sz="0" w:space="0" w:color="auto"/>
        <w:left w:val="none" w:sz="0" w:space="0" w:color="auto"/>
        <w:bottom w:val="none" w:sz="0" w:space="0" w:color="auto"/>
        <w:right w:val="none" w:sz="0" w:space="0" w:color="auto"/>
      </w:divBdr>
    </w:div>
    <w:div w:id="1836453092">
      <w:bodyDiv w:val="1"/>
      <w:marLeft w:val="0"/>
      <w:marRight w:val="0"/>
      <w:marTop w:val="0"/>
      <w:marBottom w:val="0"/>
      <w:divBdr>
        <w:top w:val="none" w:sz="0" w:space="0" w:color="auto"/>
        <w:left w:val="none" w:sz="0" w:space="0" w:color="auto"/>
        <w:bottom w:val="none" w:sz="0" w:space="0" w:color="auto"/>
        <w:right w:val="none" w:sz="0" w:space="0" w:color="auto"/>
      </w:divBdr>
    </w:div>
    <w:div w:id="1837836717">
      <w:bodyDiv w:val="1"/>
      <w:marLeft w:val="0"/>
      <w:marRight w:val="0"/>
      <w:marTop w:val="0"/>
      <w:marBottom w:val="0"/>
      <w:divBdr>
        <w:top w:val="none" w:sz="0" w:space="0" w:color="auto"/>
        <w:left w:val="none" w:sz="0" w:space="0" w:color="auto"/>
        <w:bottom w:val="none" w:sz="0" w:space="0" w:color="auto"/>
        <w:right w:val="none" w:sz="0" w:space="0" w:color="auto"/>
      </w:divBdr>
    </w:div>
    <w:div w:id="1840268011">
      <w:bodyDiv w:val="1"/>
      <w:marLeft w:val="0"/>
      <w:marRight w:val="0"/>
      <w:marTop w:val="0"/>
      <w:marBottom w:val="0"/>
      <w:divBdr>
        <w:top w:val="none" w:sz="0" w:space="0" w:color="auto"/>
        <w:left w:val="none" w:sz="0" w:space="0" w:color="auto"/>
        <w:bottom w:val="none" w:sz="0" w:space="0" w:color="auto"/>
        <w:right w:val="none" w:sz="0" w:space="0" w:color="auto"/>
      </w:divBdr>
    </w:div>
    <w:div w:id="1840345360">
      <w:bodyDiv w:val="1"/>
      <w:marLeft w:val="0"/>
      <w:marRight w:val="0"/>
      <w:marTop w:val="0"/>
      <w:marBottom w:val="0"/>
      <w:divBdr>
        <w:top w:val="none" w:sz="0" w:space="0" w:color="auto"/>
        <w:left w:val="none" w:sz="0" w:space="0" w:color="auto"/>
        <w:bottom w:val="none" w:sz="0" w:space="0" w:color="auto"/>
        <w:right w:val="none" w:sz="0" w:space="0" w:color="auto"/>
      </w:divBdr>
    </w:div>
    <w:div w:id="1840584888">
      <w:bodyDiv w:val="1"/>
      <w:marLeft w:val="0"/>
      <w:marRight w:val="0"/>
      <w:marTop w:val="0"/>
      <w:marBottom w:val="0"/>
      <w:divBdr>
        <w:top w:val="none" w:sz="0" w:space="0" w:color="auto"/>
        <w:left w:val="none" w:sz="0" w:space="0" w:color="auto"/>
        <w:bottom w:val="none" w:sz="0" w:space="0" w:color="auto"/>
        <w:right w:val="none" w:sz="0" w:space="0" w:color="auto"/>
      </w:divBdr>
    </w:div>
    <w:div w:id="1840776810">
      <w:bodyDiv w:val="1"/>
      <w:marLeft w:val="0"/>
      <w:marRight w:val="0"/>
      <w:marTop w:val="0"/>
      <w:marBottom w:val="0"/>
      <w:divBdr>
        <w:top w:val="none" w:sz="0" w:space="0" w:color="auto"/>
        <w:left w:val="none" w:sz="0" w:space="0" w:color="auto"/>
        <w:bottom w:val="none" w:sz="0" w:space="0" w:color="auto"/>
        <w:right w:val="none" w:sz="0" w:space="0" w:color="auto"/>
      </w:divBdr>
    </w:div>
    <w:div w:id="1841120570">
      <w:bodyDiv w:val="1"/>
      <w:marLeft w:val="0"/>
      <w:marRight w:val="0"/>
      <w:marTop w:val="0"/>
      <w:marBottom w:val="0"/>
      <w:divBdr>
        <w:top w:val="none" w:sz="0" w:space="0" w:color="auto"/>
        <w:left w:val="none" w:sz="0" w:space="0" w:color="auto"/>
        <w:bottom w:val="none" w:sz="0" w:space="0" w:color="auto"/>
        <w:right w:val="none" w:sz="0" w:space="0" w:color="auto"/>
      </w:divBdr>
    </w:div>
    <w:div w:id="1841508527">
      <w:bodyDiv w:val="1"/>
      <w:marLeft w:val="0"/>
      <w:marRight w:val="0"/>
      <w:marTop w:val="0"/>
      <w:marBottom w:val="0"/>
      <w:divBdr>
        <w:top w:val="none" w:sz="0" w:space="0" w:color="auto"/>
        <w:left w:val="none" w:sz="0" w:space="0" w:color="auto"/>
        <w:bottom w:val="none" w:sz="0" w:space="0" w:color="auto"/>
        <w:right w:val="none" w:sz="0" w:space="0" w:color="auto"/>
      </w:divBdr>
    </w:div>
    <w:div w:id="1845431645">
      <w:bodyDiv w:val="1"/>
      <w:marLeft w:val="0"/>
      <w:marRight w:val="0"/>
      <w:marTop w:val="0"/>
      <w:marBottom w:val="0"/>
      <w:divBdr>
        <w:top w:val="none" w:sz="0" w:space="0" w:color="auto"/>
        <w:left w:val="none" w:sz="0" w:space="0" w:color="auto"/>
        <w:bottom w:val="none" w:sz="0" w:space="0" w:color="auto"/>
        <w:right w:val="none" w:sz="0" w:space="0" w:color="auto"/>
      </w:divBdr>
    </w:div>
    <w:div w:id="1848905941">
      <w:bodyDiv w:val="1"/>
      <w:marLeft w:val="0"/>
      <w:marRight w:val="0"/>
      <w:marTop w:val="0"/>
      <w:marBottom w:val="0"/>
      <w:divBdr>
        <w:top w:val="none" w:sz="0" w:space="0" w:color="auto"/>
        <w:left w:val="none" w:sz="0" w:space="0" w:color="auto"/>
        <w:bottom w:val="none" w:sz="0" w:space="0" w:color="auto"/>
        <w:right w:val="none" w:sz="0" w:space="0" w:color="auto"/>
      </w:divBdr>
    </w:div>
    <w:div w:id="1850018428">
      <w:bodyDiv w:val="1"/>
      <w:marLeft w:val="0"/>
      <w:marRight w:val="0"/>
      <w:marTop w:val="0"/>
      <w:marBottom w:val="0"/>
      <w:divBdr>
        <w:top w:val="none" w:sz="0" w:space="0" w:color="auto"/>
        <w:left w:val="none" w:sz="0" w:space="0" w:color="auto"/>
        <w:bottom w:val="none" w:sz="0" w:space="0" w:color="auto"/>
        <w:right w:val="none" w:sz="0" w:space="0" w:color="auto"/>
      </w:divBdr>
    </w:div>
    <w:div w:id="1850371523">
      <w:bodyDiv w:val="1"/>
      <w:marLeft w:val="0"/>
      <w:marRight w:val="0"/>
      <w:marTop w:val="0"/>
      <w:marBottom w:val="0"/>
      <w:divBdr>
        <w:top w:val="none" w:sz="0" w:space="0" w:color="auto"/>
        <w:left w:val="none" w:sz="0" w:space="0" w:color="auto"/>
        <w:bottom w:val="none" w:sz="0" w:space="0" w:color="auto"/>
        <w:right w:val="none" w:sz="0" w:space="0" w:color="auto"/>
      </w:divBdr>
    </w:div>
    <w:div w:id="1850562559">
      <w:bodyDiv w:val="1"/>
      <w:marLeft w:val="0"/>
      <w:marRight w:val="0"/>
      <w:marTop w:val="0"/>
      <w:marBottom w:val="0"/>
      <w:divBdr>
        <w:top w:val="none" w:sz="0" w:space="0" w:color="auto"/>
        <w:left w:val="none" w:sz="0" w:space="0" w:color="auto"/>
        <w:bottom w:val="none" w:sz="0" w:space="0" w:color="auto"/>
        <w:right w:val="none" w:sz="0" w:space="0" w:color="auto"/>
      </w:divBdr>
    </w:div>
    <w:div w:id="1850563355">
      <w:bodyDiv w:val="1"/>
      <w:marLeft w:val="0"/>
      <w:marRight w:val="0"/>
      <w:marTop w:val="0"/>
      <w:marBottom w:val="0"/>
      <w:divBdr>
        <w:top w:val="none" w:sz="0" w:space="0" w:color="auto"/>
        <w:left w:val="none" w:sz="0" w:space="0" w:color="auto"/>
        <w:bottom w:val="none" w:sz="0" w:space="0" w:color="auto"/>
        <w:right w:val="none" w:sz="0" w:space="0" w:color="auto"/>
      </w:divBdr>
    </w:div>
    <w:div w:id="1850675249">
      <w:bodyDiv w:val="1"/>
      <w:marLeft w:val="0"/>
      <w:marRight w:val="0"/>
      <w:marTop w:val="0"/>
      <w:marBottom w:val="0"/>
      <w:divBdr>
        <w:top w:val="none" w:sz="0" w:space="0" w:color="auto"/>
        <w:left w:val="none" w:sz="0" w:space="0" w:color="auto"/>
        <w:bottom w:val="none" w:sz="0" w:space="0" w:color="auto"/>
        <w:right w:val="none" w:sz="0" w:space="0" w:color="auto"/>
      </w:divBdr>
    </w:div>
    <w:div w:id="1853838115">
      <w:bodyDiv w:val="1"/>
      <w:marLeft w:val="0"/>
      <w:marRight w:val="0"/>
      <w:marTop w:val="0"/>
      <w:marBottom w:val="0"/>
      <w:divBdr>
        <w:top w:val="none" w:sz="0" w:space="0" w:color="auto"/>
        <w:left w:val="none" w:sz="0" w:space="0" w:color="auto"/>
        <w:bottom w:val="none" w:sz="0" w:space="0" w:color="auto"/>
        <w:right w:val="none" w:sz="0" w:space="0" w:color="auto"/>
      </w:divBdr>
    </w:div>
    <w:div w:id="1856915412">
      <w:bodyDiv w:val="1"/>
      <w:marLeft w:val="0"/>
      <w:marRight w:val="0"/>
      <w:marTop w:val="0"/>
      <w:marBottom w:val="0"/>
      <w:divBdr>
        <w:top w:val="none" w:sz="0" w:space="0" w:color="auto"/>
        <w:left w:val="none" w:sz="0" w:space="0" w:color="auto"/>
        <w:bottom w:val="none" w:sz="0" w:space="0" w:color="auto"/>
        <w:right w:val="none" w:sz="0" w:space="0" w:color="auto"/>
      </w:divBdr>
    </w:div>
    <w:div w:id="1857041232">
      <w:bodyDiv w:val="1"/>
      <w:marLeft w:val="0"/>
      <w:marRight w:val="0"/>
      <w:marTop w:val="0"/>
      <w:marBottom w:val="0"/>
      <w:divBdr>
        <w:top w:val="none" w:sz="0" w:space="0" w:color="auto"/>
        <w:left w:val="none" w:sz="0" w:space="0" w:color="auto"/>
        <w:bottom w:val="none" w:sz="0" w:space="0" w:color="auto"/>
        <w:right w:val="none" w:sz="0" w:space="0" w:color="auto"/>
      </w:divBdr>
    </w:div>
    <w:div w:id="1858890100">
      <w:bodyDiv w:val="1"/>
      <w:marLeft w:val="0"/>
      <w:marRight w:val="0"/>
      <w:marTop w:val="0"/>
      <w:marBottom w:val="0"/>
      <w:divBdr>
        <w:top w:val="none" w:sz="0" w:space="0" w:color="auto"/>
        <w:left w:val="none" w:sz="0" w:space="0" w:color="auto"/>
        <w:bottom w:val="none" w:sz="0" w:space="0" w:color="auto"/>
        <w:right w:val="none" w:sz="0" w:space="0" w:color="auto"/>
      </w:divBdr>
    </w:div>
    <w:div w:id="1859004221">
      <w:bodyDiv w:val="1"/>
      <w:marLeft w:val="0"/>
      <w:marRight w:val="0"/>
      <w:marTop w:val="0"/>
      <w:marBottom w:val="0"/>
      <w:divBdr>
        <w:top w:val="none" w:sz="0" w:space="0" w:color="auto"/>
        <w:left w:val="none" w:sz="0" w:space="0" w:color="auto"/>
        <w:bottom w:val="none" w:sz="0" w:space="0" w:color="auto"/>
        <w:right w:val="none" w:sz="0" w:space="0" w:color="auto"/>
      </w:divBdr>
    </w:div>
    <w:div w:id="1859923783">
      <w:bodyDiv w:val="1"/>
      <w:marLeft w:val="0"/>
      <w:marRight w:val="0"/>
      <w:marTop w:val="0"/>
      <w:marBottom w:val="0"/>
      <w:divBdr>
        <w:top w:val="none" w:sz="0" w:space="0" w:color="auto"/>
        <w:left w:val="none" w:sz="0" w:space="0" w:color="auto"/>
        <w:bottom w:val="none" w:sz="0" w:space="0" w:color="auto"/>
        <w:right w:val="none" w:sz="0" w:space="0" w:color="auto"/>
      </w:divBdr>
    </w:div>
    <w:div w:id="1860846835">
      <w:bodyDiv w:val="1"/>
      <w:marLeft w:val="0"/>
      <w:marRight w:val="0"/>
      <w:marTop w:val="0"/>
      <w:marBottom w:val="0"/>
      <w:divBdr>
        <w:top w:val="none" w:sz="0" w:space="0" w:color="auto"/>
        <w:left w:val="none" w:sz="0" w:space="0" w:color="auto"/>
        <w:bottom w:val="none" w:sz="0" w:space="0" w:color="auto"/>
        <w:right w:val="none" w:sz="0" w:space="0" w:color="auto"/>
      </w:divBdr>
    </w:div>
    <w:div w:id="1860972092">
      <w:bodyDiv w:val="1"/>
      <w:marLeft w:val="0"/>
      <w:marRight w:val="0"/>
      <w:marTop w:val="0"/>
      <w:marBottom w:val="0"/>
      <w:divBdr>
        <w:top w:val="none" w:sz="0" w:space="0" w:color="auto"/>
        <w:left w:val="none" w:sz="0" w:space="0" w:color="auto"/>
        <w:bottom w:val="none" w:sz="0" w:space="0" w:color="auto"/>
        <w:right w:val="none" w:sz="0" w:space="0" w:color="auto"/>
      </w:divBdr>
    </w:div>
    <w:div w:id="1861385458">
      <w:bodyDiv w:val="1"/>
      <w:marLeft w:val="0"/>
      <w:marRight w:val="0"/>
      <w:marTop w:val="0"/>
      <w:marBottom w:val="0"/>
      <w:divBdr>
        <w:top w:val="none" w:sz="0" w:space="0" w:color="auto"/>
        <w:left w:val="none" w:sz="0" w:space="0" w:color="auto"/>
        <w:bottom w:val="none" w:sz="0" w:space="0" w:color="auto"/>
        <w:right w:val="none" w:sz="0" w:space="0" w:color="auto"/>
      </w:divBdr>
    </w:div>
    <w:div w:id="1864173638">
      <w:bodyDiv w:val="1"/>
      <w:marLeft w:val="0"/>
      <w:marRight w:val="0"/>
      <w:marTop w:val="0"/>
      <w:marBottom w:val="0"/>
      <w:divBdr>
        <w:top w:val="none" w:sz="0" w:space="0" w:color="auto"/>
        <w:left w:val="none" w:sz="0" w:space="0" w:color="auto"/>
        <w:bottom w:val="none" w:sz="0" w:space="0" w:color="auto"/>
        <w:right w:val="none" w:sz="0" w:space="0" w:color="auto"/>
      </w:divBdr>
    </w:div>
    <w:div w:id="1865901117">
      <w:bodyDiv w:val="1"/>
      <w:marLeft w:val="0"/>
      <w:marRight w:val="0"/>
      <w:marTop w:val="0"/>
      <w:marBottom w:val="0"/>
      <w:divBdr>
        <w:top w:val="none" w:sz="0" w:space="0" w:color="auto"/>
        <w:left w:val="none" w:sz="0" w:space="0" w:color="auto"/>
        <w:bottom w:val="none" w:sz="0" w:space="0" w:color="auto"/>
        <w:right w:val="none" w:sz="0" w:space="0" w:color="auto"/>
      </w:divBdr>
    </w:div>
    <w:div w:id="1866945514">
      <w:bodyDiv w:val="1"/>
      <w:marLeft w:val="0"/>
      <w:marRight w:val="0"/>
      <w:marTop w:val="0"/>
      <w:marBottom w:val="0"/>
      <w:divBdr>
        <w:top w:val="none" w:sz="0" w:space="0" w:color="auto"/>
        <w:left w:val="none" w:sz="0" w:space="0" w:color="auto"/>
        <w:bottom w:val="none" w:sz="0" w:space="0" w:color="auto"/>
        <w:right w:val="none" w:sz="0" w:space="0" w:color="auto"/>
      </w:divBdr>
    </w:div>
    <w:div w:id="1867282816">
      <w:bodyDiv w:val="1"/>
      <w:marLeft w:val="0"/>
      <w:marRight w:val="0"/>
      <w:marTop w:val="0"/>
      <w:marBottom w:val="0"/>
      <w:divBdr>
        <w:top w:val="none" w:sz="0" w:space="0" w:color="auto"/>
        <w:left w:val="none" w:sz="0" w:space="0" w:color="auto"/>
        <w:bottom w:val="none" w:sz="0" w:space="0" w:color="auto"/>
        <w:right w:val="none" w:sz="0" w:space="0" w:color="auto"/>
      </w:divBdr>
    </w:div>
    <w:div w:id="1867720145">
      <w:bodyDiv w:val="1"/>
      <w:marLeft w:val="0"/>
      <w:marRight w:val="0"/>
      <w:marTop w:val="0"/>
      <w:marBottom w:val="0"/>
      <w:divBdr>
        <w:top w:val="none" w:sz="0" w:space="0" w:color="auto"/>
        <w:left w:val="none" w:sz="0" w:space="0" w:color="auto"/>
        <w:bottom w:val="none" w:sz="0" w:space="0" w:color="auto"/>
        <w:right w:val="none" w:sz="0" w:space="0" w:color="auto"/>
      </w:divBdr>
    </w:div>
    <w:div w:id="1868712378">
      <w:bodyDiv w:val="1"/>
      <w:marLeft w:val="0"/>
      <w:marRight w:val="0"/>
      <w:marTop w:val="0"/>
      <w:marBottom w:val="0"/>
      <w:divBdr>
        <w:top w:val="none" w:sz="0" w:space="0" w:color="auto"/>
        <w:left w:val="none" w:sz="0" w:space="0" w:color="auto"/>
        <w:bottom w:val="none" w:sz="0" w:space="0" w:color="auto"/>
        <w:right w:val="none" w:sz="0" w:space="0" w:color="auto"/>
      </w:divBdr>
    </w:div>
    <w:div w:id="1870411926">
      <w:bodyDiv w:val="1"/>
      <w:marLeft w:val="0"/>
      <w:marRight w:val="0"/>
      <w:marTop w:val="0"/>
      <w:marBottom w:val="0"/>
      <w:divBdr>
        <w:top w:val="none" w:sz="0" w:space="0" w:color="auto"/>
        <w:left w:val="none" w:sz="0" w:space="0" w:color="auto"/>
        <w:bottom w:val="none" w:sz="0" w:space="0" w:color="auto"/>
        <w:right w:val="none" w:sz="0" w:space="0" w:color="auto"/>
      </w:divBdr>
    </w:div>
    <w:div w:id="1873495234">
      <w:bodyDiv w:val="1"/>
      <w:marLeft w:val="0"/>
      <w:marRight w:val="0"/>
      <w:marTop w:val="0"/>
      <w:marBottom w:val="0"/>
      <w:divBdr>
        <w:top w:val="none" w:sz="0" w:space="0" w:color="auto"/>
        <w:left w:val="none" w:sz="0" w:space="0" w:color="auto"/>
        <w:bottom w:val="none" w:sz="0" w:space="0" w:color="auto"/>
        <w:right w:val="none" w:sz="0" w:space="0" w:color="auto"/>
      </w:divBdr>
    </w:div>
    <w:div w:id="1874027214">
      <w:bodyDiv w:val="1"/>
      <w:marLeft w:val="0"/>
      <w:marRight w:val="0"/>
      <w:marTop w:val="0"/>
      <w:marBottom w:val="0"/>
      <w:divBdr>
        <w:top w:val="none" w:sz="0" w:space="0" w:color="auto"/>
        <w:left w:val="none" w:sz="0" w:space="0" w:color="auto"/>
        <w:bottom w:val="none" w:sz="0" w:space="0" w:color="auto"/>
        <w:right w:val="none" w:sz="0" w:space="0" w:color="auto"/>
      </w:divBdr>
    </w:div>
    <w:div w:id="1875118900">
      <w:bodyDiv w:val="1"/>
      <w:marLeft w:val="0"/>
      <w:marRight w:val="0"/>
      <w:marTop w:val="0"/>
      <w:marBottom w:val="0"/>
      <w:divBdr>
        <w:top w:val="none" w:sz="0" w:space="0" w:color="auto"/>
        <w:left w:val="none" w:sz="0" w:space="0" w:color="auto"/>
        <w:bottom w:val="none" w:sz="0" w:space="0" w:color="auto"/>
        <w:right w:val="none" w:sz="0" w:space="0" w:color="auto"/>
      </w:divBdr>
    </w:div>
    <w:div w:id="1886478291">
      <w:bodyDiv w:val="1"/>
      <w:marLeft w:val="0"/>
      <w:marRight w:val="0"/>
      <w:marTop w:val="0"/>
      <w:marBottom w:val="0"/>
      <w:divBdr>
        <w:top w:val="none" w:sz="0" w:space="0" w:color="auto"/>
        <w:left w:val="none" w:sz="0" w:space="0" w:color="auto"/>
        <w:bottom w:val="none" w:sz="0" w:space="0" w:color="auto"/>
        <w:right w:val="none" w:sz="0" w:space="0" w:color="auto"/>
      </w:divBdr>
    </w:div>
    <w:div w:id="1886985752">
      <w:bodyDiv w:val="1"/>
      <w:marLeft w:val="0"/>
      <w:marRight w:val="0"/>
      <w:marTop w:val="0"/>
      <w:marBottom w:val="0"/>
      <w:divBdr>
        <w:top w:val="none" w:sz="0" w:space="0" w:color="auto"/>
        <w:left w:val="none" w:sz="0" w:space="0" w:color="auto"/>
        <w:bottom w:val="none" w:sz="0" w:space="0" w:color="auto"/>
        <w:right w:val="none" w:sz="0" w:space="0" w:color="auto"/>
      </w:divBdr>
    </w:div>
    <w:div w:id="1887987418">
      <w:bodyDiv w:val="1"/>
      <w:marLeft w:val="0"/>
      <w:marRight w:val="0"/>
      <w:marTop w:val="0"/>
      <w:marBottom w:val="0"/>
      <w:divBdr>
        <w:top w:val="none" w:sz="0" w:space="0" w:color="auto"/>
        <w:left w:val="none" w:sz="0" w:space="0" w:color="auto"/>
        <w:bottom w:val="none" w:sz="0" w:space="0" w:color="auto"/>
        <w:right w:val="none" w:sz="0" w:space="0" w:color="auto"/>
      </w:divBdr>
    </w:div>
    <w:div w:id="1888101749">
      <w:bodyDiv w:val="1"/>
      <w:marLeft w:val="0"/>
      <w:marRight w:val="0"/>
      <w:marTop w:val="0"/>
      <w:marBottom w:val="0"/>
      <w:divBdr>
        <w:top w:val="none" w:sz="0" w:space="0" w:color="auto"/>
        <w:left w:val="none" w:sz="0" w:space="0" w:color="auto"/>
        <w:bottom w:val="none" w:sz="0" w:space="0" w:color="auto"/>
        <w:right w:val="none" w:sz="0" w:space="0" w:color="auto"/>
      </w:divBdr>
    </w:div>
    <w:div w:id="1891109972">
      <w:bodyDiv w:val="1"/>
      <w:marLeft w:val="0"/>
      <w:marRight w:val="0"/>
      <w:marTop w:val="0"/>
      <w:marBottom w:val="0"/>
      <w:divBdr>
        <w:top w:val="none" w:sz="0" w:space="0" w:color="auto"/>
        <w:left w:val="none" w:sz="0" w:space="0" w:color="auto"/>
        <w:bottom w:val="none" w:sz="0" w:space="0" w:color="auto"/>
        <w:right w:val="none" w:sz="0" w:space="0" w:color="auto"/>
      </w:divBdr>
    </w:div>
    <w:div w:id="1894776951">
      <w:bodyDiv w:val="1"/>
      <w:marLeft w:val="0"/>
      <w:marRight w:val="0"/>
      <w:marTop w:val="0"/>
      <w:marBottom w:val="0"/>
      <w:divBdr>
        <w:top w:val="none" w:sz="0" w:space="0" w:color="auto"/>
        <w:left w:val="none" w:sz="0" w:space="0" w:color="auto"/>
        <w:bottom w:val="none" w:sz="0" w:space="0" w:color="auto"/>
        <w:right w:val="none" w:sz="0" w:space="0" w:color="auto"/>
      </w:divBdr>
    </w:div>
    <w:div w:id="1898320910">
      <w:bodyDiv w:val="1"/>
      <w:marLeft w:val="0"/>
      <w:marRight w:val="0"/>
      <w:marTop w:val="0"/>
      <w:marBottom w:val="0"/>
      <w:divBdr>
        <w:top w:val="none" w:sz="0" w:space="0" w:color="auto"/>
        <w:left w:val="none" w:sz="0" w:space="0" w:color="auto"/>
        <w:bottom w:val="none" w:sz="0" w:space="0" w:color="auto"/>
        <w:right w:val="none" w:sz="0" w:space="0" w:color="auto"/>
      </w:divBdr>
    </w:div>
    <w:div w:id="1900049671">
      <w:bodyDiv w:val="1"/>
      <w:marLeft w:val="0"/>
      <w:marRight w:val="0"/>
      <w:marTop w:val="0"/>
      <w:marBottom w:val="0"/>
      <w:divBdr>
        <w:top w:val="none" w:sz="0" w:space="0" w:color="auto"/>
        <w:left w:val="none" w:sz="0" w:space="0" w:color="auto"/>
        <w:bottom w:val="none" w:sz="0" w:space="0" w:color="auto"/>
        <w:right w:val="none" w:sz="0" w:space="0" w:color="auto"/>
      </w:divBdr>
    </w:div>
    <w:div w:id="1904415067">
      <w:bodyDiv w:val="1"/>
      <w:marLeft w:val="0"/>
      <w:marRight w:val="0"/>
      <w:marTop w:val="0"/>
      <w:marBottom w:val="0"/>
      <w:divBdr>
        <w:top w:val="none" w:sz="0" w:space="0" w:color="auto"/>
        <w:left w:val="none" w:sz="0" w:space="0" w:color="auto"/>
        <w:bottom w:val="none" w:sz="0" w:space="0" w:color="auto"/>
        <w:right w:val="none" w:sz="0" w:space="0" w:color="auto"/>
      </w:divBdr>
    </w:div>
    <w:div w:id="1905555791">
      <w:bodyDiv w:val="1"/>
      <w:marLeft w:val="0"/>
      <w:marRight w:val="0"/>
      <w:marTop w:val="0"/>
      <w:marBottom w:val="0"/>
      <w:divBdr>
        <w:top w:val="none" w:sz="0" w:space="0" w:color="auto"/>
        <w:left w:val="none" w:sz="0" w:space="0" w:color="auto"/>
        <w:bottom w:val="none" w:sz="0" w:space="0" w:color="auto"/>
        <w:right w:val="none" w:sz="0" w:space="0" w:color="auto"/>
      </w:divBdr>
    </w:div>
    <w:div w:id="1910338639">
      <w:bodyDiv w:val="1"/>
      <w:marLeft w:val="0"/>
      <w:marRight w:val="0"/>
      <w:marTop w:val="0"/>
      <w:marBottom w:val="0"/>
      <w:divBdr>
        <w:top w:val="none" w:sz="0" w:space="0" w:color="auto"/>
        <w:left w:val="none" w:sz="0" w:space="0" w:color="auto"/>
        <w:bottom w:val="none" w:sz="0" w:space="0" w:color="auto"/>
        <w:right w:val="none" w:sz="0" w:space="0" w:color="auto"/>
      </w:divBdr>
    </w:div>
    <w:div w:id="1910841091">
      <w:bodyDiv w:val="1"/>
      <w:marLeft w:val="0"/>
      <w:marRight w:val="0"/>
      <w:marTop w:val="0"/>
      <w:marBottom w:val="0"/>
      <w:divBdr>
        <w:top w:val="none" w:sz="0" w:space="0" w:color="auto"/>
        <w:left w:val="none" w:sz="0" w:space="0" w:color="auto"/>
        <w:bottom w:val="none" w:sz="0" w:space="0" w:color="auto"/>
        <w:right w:val="none" w:sz="0" w:space="0" w:color="auto"/>
      </w:divBdr>
    </w:div>
    <w:div w:id="1912037855">
      <w:bodyDiv w:val="1"/>
      <w:marLeft w:val="0"/>
      <w:marRight w:val="0"/>
      <w:marTop w:val="0"/>
      <w:marBottom w:val="0"/>
      <w:divBdr>
        <w:top w:val="none" w:sz="0" w:space="0" w:color="auto"/>
        <w:left w:val="none" w:sz="0" w:space="0" w:color="auto"/>
        <w:bottom w:val="none" w:sz="0" w:space="0" w:color="auto"/>
        <w:right w:val="none" w:sz="0" w:space="0" w:color="auto"/>
      </w:divBdr>
    </w:div>
    <w:div w:id="1914661618">
      <w:bodyDiv w:val="1"/>
      <w:marLeft w:val="0"/>
      <w:marRight w:val="0"/>
      <w:marTop w:val="0"/>
      <w:marBottom w:val="0"/>
      <w:divBdr>
        <w:top w:val="none" w:sz="0" w:space="0" w:color="auto"/>
        <w:left w:val="none" w:sz="0" w:space="0" w:color="auto"/>
        <w:bottom w:val="none" w:sz="0" w:space="0" w:color="auto"/>
        <w:right w:val="none" w:sz="0" w:space="0" w:color="auto"/>
      </w:divBdr>
    </w:div>
    <w:div w:id="1916476724">
      <w:bodyDiv w:val="1"/>
      <w:marLeft w:val="0"/>
      <w:marRight w:val="0"/>
      <w:marTop w:val="0"/>
      <w:marBottom w:val="0"/>
      <w:divBdr>
        <w:top w:val="none" w:sz="0" w:space="0" w:color="auto"/>
        <w:left w:val="none" w:sz="0" w:space="0" w:color="auto"/>
        <w:bottom w:val="none" w:sz="0" w:space="0" w:color="auto"/>
        <w:right w:val="none" w:sz="0" w:space="0" w:color="auto"/>
      </w:divBdr>
    </w:div>
    <w:div w:id="1918705990">
      <w:bodyDiv w:val="1"/>
      <w:marLeft w:val="0"/>
      <w:marRight w:val="0"/>
      <w:marTop w:val="0"/>
      <w:marBottom w:val="0"/>
      <w:divBdr>
        <w:top w:val="none" w:sz="0" w:space="0" w:color="auto"/>
        <w:left w:val="none" w:sz="0" w:space="0" w:color="auto"/>
        <w:bottom w:val="none" w:sz="0" w:space="0" w:color="auto"/>
        <w:right w:val="none" w:sz="0" w:space="0" w:color="auto"/>
      </w:divBdr>
    </w:div>
    <w:div w:id="1920598082">
      <w:bodyDiv w:val="1"/>
      <w:marLeft w:val="0"/>
      <w:marRight w:val="0"/>
      <w:marTop w:val="0"/>
      <w:marBottom w:val="0"/>
      <w:divBdr>
        <w:top w:val="none" w:sz="0" w:space="0" w:color="auto"/>
        <w:left w:val="none" w:sz="0" w:space="0" w:color="auto"/>
        <w:bottom w:val="none" w:sz="0" w:space="0" w:color="auto"/>
        <w:right w:val="none" w:sz="0" w:space="0" w:color="auto"/>
      </w:divBdr>
    </w:div>
    <w:div w:id="1922332276">
      <w:bodyDiv w:val="1"/>
      <w:marLeft w:val="0"/>
      <w:marRight w:val="0"/>
      <w:marTop w:val="0"/>
      <w:marBottom w:val="0"/>
      <w:divBdr>
        <w:top w:val="none" w:sz="0" w:space="0" w:color="auto"/>
        <w:left w:val="none" w:sz="0" w:space="0" w:color="auto"/>
        <w:bottom w:val="none" w:sz="0" w:space="0" w:color="auto"/>
        <w:right w:val="none" w:sz="0" w:space="0" w:color="auto"/>
      </w:divBdr>
    </w:div>
    <w:div w:id="1923370611">
      <w:bodyDiv w:val="1"/>
      <w:marLeft w:val="0"/>
      <w:marRight w:val="0"/>
      <w:marTop w:val="0"/>
      <w:marBottom w:val="0"/>
      <w:divBdr>
        <w:top w:val="none" w:sz="0" w:space="0" w:color="auto"/>
        <w:left w:val="none" w:sz="0" w:space="0" w:color="auto"/>
        <w:bottom w:val="none" w:sz="0" w:space="0" w:color="auto"/>
        <w:right w:val="none" w:sz="0" w:space="0" w:color="auto"/>
      </w:divBdr>
    </w:div>
    <w:div w:id="1923945578">
      <w:bodyDiv w:val="1"/>
      <w:marLeft w:val="0"/>
      <w:marRight w:val="0"/>
      <w:marTop w:val="0"/>
      <w:marBottom w:val="0"/>
      <w:divBdr>
        <w:top w:val="none" w:sz="0" w:space="0" w:color="auto"/>
        <w:left w:val="none" w:sz="0" w:space="0" w:color="auto"/>
        <w:bottom w:val="none" w:sz="0" w:space="0" w:color="auto"/>
        <w:right w:val="none" w:sz="0" w:space="0" w:color="auto"/>
      </w:divBdr>
    </w:div>
    <w:div w:id="1925723455">
      <w:bodyDiv w:val="1"/>
      <w:marLeft w:val="0"/>
      <w:marRight w:val="0"/>
      <w:marTop w:val="0"/>
      <w:marBottom w:val="0"/>
      <w:divBdr>
        <w:top w:val="none" w:sz="0" w:space="0" w:color="auto"/>
        <w:left w:val="none" w:sz="0" w:space="0" w:color="auto"/>
        <w:bottom w:val="none" w:sz="0" w:space="0" w:color="auto"/>
        <w:right w:val="none" w:sz="0" w:space="0" w:color="auto"/>
      </w:divBdr>
    </w:div>
    <w:div w:id="1927183889">
      <w:bodyDiv w:val="1"/>
      <w:marLeft w:val="0"/>
      <w:marRight w:val="0"/>
      <w:marTop w:val="0"/>
      <w:marBottom w:val="0"/>
      <w:divBdr>
        <w:top w:val="none" w:sz="0" w:space="0" w:color="auto"/>
        <w:left w:val="none" w:sz="0" w:space="0" w:color="auto"/>
        <w:bottom w:val="none" w:sz="0" w:space="0" w:color="auto"/>
        <w:right w:val="none" w:sz="0" w:space="0" w:color="auto"/>
      </w:divBdr>
    </w:div>
    <w:div w:id="1930455825">
      <w:bodyDiv w:val="1"/>
      <w:marLeft w:val="0"/>
      <w:marRight w:val="0"/>
      <w:marTop w:val="0"/>
      <w:marBottom w:val="0"/>
      <w:divBdr>
        <w:top w:val="none" w:sz="0" w:space="0" w:color="auto"/>
        <w:left w:val="none" w:sz="0" w:space="0" w:color="auto"/>
        <w:bottom w:val="none" w:sz="0" w:space="0" w:color="auto"/>
        <w:right w:val="none" w:sz="0" w:space="0" w:color="auto"/>
      </w:divBdr>
    </w:div>
    <w:div w:id="1931153845">
      <w:bodyDiv w:val="1"/>
      <w:marLeft w:val="0"/>
      <w:marRight w:val="0"/>
      <w:marTop w:val="0"/>
      <w:marBottom w:val="0"/>
      <w:divBdr>
        <w:top w:val="none" w:sz="0" w:space="0" w:color="auto"/>
        <w:left w:val="none" w:sz="0" w:space="0" w:color="auto"/>
        <w:bottom w:val="none" w:sz="0" w:space="0" w:color="auto"/>
        <w:right w:val="none" w:sz="0" w:space="0" w:color="auto"/>
      </w:divBdr>
    </w:div>
    <w:div w:id="1933590201">
      <w:bodyDiv w:val="1"/>
      <w:marLeft w:val="0"/>
      <w:marRight w:val="0"/>
      <w:marTop w:val="0"/>
      <w:marBottom w:val="0"/>
      <w:divBdr>
        <w:top w:val="none" w:sz="0" w:space="0" w:color="auto"/>
        <w:left w:val="none" w:sz="0" w:space="0" w:color="auto"/>
        <w:bottom w:val="none" w:sz="0" w:space="0" w:color="auto"/>
        <w:right w:val="none" w:sz="0" w:space="0" w:color="auto"/>
      </w:divBdr>
    </w:div>
    <w:div w:id="1933662296">
      <w:bodyDiv w:val="1"/>
      <w:marLeft w:val="0"/>
      <w:marRight w:val="0"/>
      <w:marTop w:val="0"/>
      <w:marBottom w:val="0"/>
      <w:divBdr>
        <w:top w:val="none" w:sz="0" w:space="0" w:color="auto"/>
        <w:left w:val="none" w:sz="0" w:space="0" w:color="auto"/>
        <w:bottom w:val="none" w:sz="0" w:space="0" w:color="auto"/>
        <w:right w:val="none" w:sz="0" w:space="0" w:color="auto"/>
      </w:divBdr>
    </w:div>
    <w:div w:id="1935938290">
      <w:bodyDiv w:val="1"/>
      <w:marLeft w:val="0"/>
      <w:marRight w:val="0"/>
      <w:marTop w:val="0"/>
      <w:marBottom w:val="0"/>
      <w:divBdr>
        <w:top w:val="none" w:sz="0" w:space="0" w:color="auto"/>
        <w:left w:val="none" w:sz="0" w:space="0" w:color="auto"/>
        <w:bottom w:val="none" w:sz="0" w:space="0" w:color="auto"/>
        <w:right w:val="none" w:sz="0" w:space="0" w:color="auto"/>
      </w:divBdr>
    </w:div>
    <w:div w:id="1937252065">
      <w:bodyDiv w:val="1"/>
      <w:marLeft w:val="0"/>
      <w:marRight w:val="0"/>
      <w:marTop w:val="0"/>
      <w:marBottom w:val="0"/>
      <w:divBdr>
        <w:top w:val="none" w:sz="0" w:space="0" w:color="auto"/>
        <w:left w:val="none" w:sz="0" w:space="0" w:color="auto"/>
        <w:bottom w:val="none" w:sz="0" w:space="0" w:color="auto"/>
        <w:right w:val="none" w:sz="0" w:space="0" w:color="auto"/>
      </w:divBdr>
    </w:div>
    <w:div w:id="1937977197">
      <w:bodyDiv w:val="1"/>
      <w:marLeft w:val="0"/>
      <w:marRight w:val="0"/>
      <w:marTop w:val="0"/>
      <w:marBottom w:val="0"/>
      <w:divBdr>
        <w:top w:val="none" w:sz="0" w:space="0" w:color="auto"/>
        <w:left w:val="none" w:sz="0" w:space="0" w:color="auto"/>
        <w:bottom w:val="none" w:sz="0" w:space="0" w:color="auto"/>
        <w:right w:val="none" w:sz="0" w:space="0" w:color="auto"/>
      </w:divBdr>
    </w:div>
    <w:div w:id="1941251895">
      <w:bodyDiv w:val="1"/>
      <w:marLeft w:val="0"/>
      <w:marRight w:val="0"/>
      <w:marTop w:val="0"/>
      <w:marBottom w:val="0"/>
      <w:divBdr>
        <w:top w:val="none" w:sz="0" w:space="0" w:color="auto"/>
        <w:left w:val="none" w:sz="0" w:space="0" w:color="auto"/>
        <w:bottom w:val="none" w:sz="0" w:space="0" w:color="auto"/>
        <w:right w:val="none" w:sz="0" w:space="0" w:color="auto"/>
      </w:divBdr>
    </w:div>
    <w:div w:id="1942227032">
      <w:bodyDiv w:val="1"/>
      <w:marLeft w:val="0"/>
      <w:marRight w:val="0"/>
      <w:marTop w:val="0"/>
      <w:marBottom w:val="0"/>
      <w:divBdr>
        <w:top w:val="none" w:sz="0" w:space="0" w:color="auto"/>
        <w:left w:val="none" w:sz="0" w:space="0" w:color="auto"/>
        <w:bottom w:val="none" w:sz="0" w:space="0" w:color="auto"/>
        <w:right w:val="none" w:sz="0" w:space="0" w:color="auto"/>
      </w:divBdr>
    </w:div>
    <w:div w:id="1942762209">
      <w:bodyDiv w:val="1"/>
      <w:marLeft w:val="0"/>
      <w:marRight w:val="0"/>
      <w:marTop w:val="0"/>
      <w:marBottom w:val="0"/>
      <w:divBdr>
        <w:top w:val="none" w:sz="0" w:space="0" w:color="auto"/>
        <w:left w:val="none" w:sz="0" w:space="0" w:color="auto"/>
        <w:bottom w:val="none" w:sz="0" w:space="0" w:color="auto"/>
        <w:right w:val="none" w:sz="0" w:space="0" w:color="auto"/>
      </w:divBdr>
    </w:div>
    <w:div w:id="1942949597">
      <w:bodyDiv w:val="1"/>
      <w:marLeft w:val="0"/>
      <w:marRight w:val="0"/>
      <w:marTop w:val="0"/>
      <w:marBottom w:val="0"/>
      <w:divBdr>
        <w:top w:val="none" w:sz="0" w:space="0" w:color="auto"/>
        <w:left w:val="none" w:sz="0" w:space="0" w:color="auto"/>
        <w:bottom w:val="none" w:sz="0" w:space="0" w:color="auto"/>
        <w:right w:val="none" w:sz="0" w:space="0" w:color="auto"/>
      </w:divBdr>
    </w:div>
    <w:div w:id="1946425682">
      <w:bodyDiv w:val="1"/>
      <w:marLeft w:val="0"/>
      <w:marRight w:val="0"/>
      <w:marTop w:val="0"/>
      <w:marBottom w:val="0"/>
      <w:divBdr>
        <w:top w:val="none" w:sz="0" w:space="0" w:color="auto"/>
        <w:left w:val="none" w:sz="0" w:space="0" w:color="auto"/>
        <w:bottom w:val="none" w:sz="0" w:space="0" w:color="auto"/>
        <w:right w:val="none" w:sz="0" w:space="0" w:color="auto"/>
      </w:divBdr>
    </w:div>
    <w:div w:id="1947689874">
      <w:bodyDiv w:val="1"/>
      <w:marLeft w:val="0"/>
      <w:marRight w:val="0"/>
      <w:marTop w:val="0"/>
      <w:marBottom w:val="0"/>
      <w:divBdr>
        <w:top w:val="none" w:sz="0" w:space="0" w:color="auto"/>
        <w:left w:val="none" w:sz="0" w:space="0" w:color="auto"/>
        <w:bottom w:val="none" w:sz="0" w:space="0" w:color="auto"/>
        <w:right w:val="none" w:sz="0" w:space="0" w:color="auto"/>
      </w:divBdr>
    </w:div>
    <w:div w:id="1956447039">
      <w:bodyDiv w:val="1"/>
      <w:marLeft w:val="0"/>
      <w:marRight w:val="0"/>
      <w:marTop w:val="0"/>
      <w:marBottom w:val="0"/>
      <w:divBdr>
        <w:top w:val="none" w:sz="0" w:space="0" w:color="auto"/>
        <w:left w:val="none" w:sz="0" w:space="0" w:color="auto"/>
        <w:bottom w:val="none" w:sz="0" w:space="0" w:color="auto"/>
        <w:right w:val="none" w:sz="0" w:space="0" w:color="auto"/>
      </w:divBdr>
    </w:div>
    <w:div w:id="1957446325">
      <w:bodyDiv w:val="1"/>
      <w:marLeft w:val="0"/>
      <w:marRight w:val="0"/>
      <w:marTop w:val="0"/>
      <w:marBottom w:val="0"/>
      <w:divBdr>
        <w:top w:val="none" w:sz="0" w:space="0" w:color="auto"/>
        <w:left w:val="none" w:sz="0" w:space="0" w:color="auto"/>
        <w:bottom w:val="none" w:sz="0" w:space="0" w:color="auto"/>
        <w:right w:val="none" w:sz="0" w:space="0" w:color="auto"/>
      </w:divBdr>
    </w:div>
    <w:div w:id="1958216643">
      <w:bodyDiv w:val="1"/>
      <w:marLeft w:val="0"/>
      <w:marRight w:val="0"/>
      <w:marTop w:val="0"/>
      <w:marBottom w:val="0"/>
      <w:divBdr>
        <w:top w:val="none" w:sz="0" w:space="0" w:color="auto"/>
        <w:left w:val="none" w:sz="0" w:space="0" w:color="auto"/>
        <w:bottom w:val="none" w:sz="0" w:space="0" w:color="auto"/>
        <w:right w:val="none" w:sz="0" w:space="0" w:color="auto"/>
      </w:divBdr>
    </w:div>
    <w:div w:id="1958217711">
      <w:bodyDiv w:val="1"/>
      <w:marLeft w:val="0"/>
      <w:marRight w:val="0"/>
      <w:marTop w:val="0"/>
      <w:marBottom w:val="0"/>
      <w:divBdr>
        <w:top w:val="none" w:sz="0" w:space="0" w:color="auto"/>
        <w:left w:val="none" w:sz="0" w:space="0" w:color="auto"/>
        <w:bottom w:val="none" w:sz="0" w:space="0" w:color="auto"/>
        <w:right w:val="none" w:sz="0" w:space="0" w:color="auto"/>
      </w:divBdr>
    </w:div>
    <w:div w:id="1958683118">
      <w:bodyDiv w:val="1"/>
      <w:marLeft w:val="0"/>
      <w:marRight w:val="0"/>
      <w:marTop w:val="0"/>
      <w:marBottom w:val="0"/>
      <w:divBdr>
        <w:top w:val="none" w:sz="0" w:space="0" w:color="auto"/>
        <w:left w:val="none" w:sz="0" w:space="0" w:color="auto"/>
        <w:bottom w:val="none" w:sz="0" w:space="0" w:color="auto"/>
        <w:right w:val="none" w:sz="0" w:space="0" w:color="auto"/>
      </w:divBdr>
    </w:div>
    <w:div w:id="1962608602">
      <w:bodyDiv w:val="1"/>
      <w:marLeft w:val="0"/>
      <w:marRight w:val="0"/>
      <w:marTop w:val="0"/>
      <w:marBottom w:val="0"/>
      <w:divBdr>
        <w:top w:val="none" w:sz="0" w:space="0" w:color="auto"/>
        <w:left w:val="none" w:sz="0" w:space="0" w:color="auto"/>
        <w:bottom w:val="none" w:sz="0" w:space="0" w:color="auto"/>
        <w:right w:val="none" w:sz="0" w:space="0" w:color="auto"/>
      </w:divBdr>
    </w:div>
    <w:div w:id="1963339653">
      <w:bodyDiv w:val="1"/>
      <w:marLeft w:val="0"/>
      <w:marRight w:val="0"/>
      <w:marTop w:val="0"/>
      <w:marBottom w:val="0"/>
      <w:divBdr>
        <w:top w:val="none" w:sz="0" w:space="0" w:color="auto"/>
        <w:left w:val="none" w:sz="0" w:space="0" w:color="auto"/>
        <w:bottom w:val="none" w:sz="0" w:space="0" w:color="auto"/>
        <w:right w:val="none" w:sz="0" w:space="0" w:color="auto"/>
      </w:divBdr>
    </w:div>
    <w:div w:id="1965426499">
      <w:bodyDiv w:val="1"/>
      <w:marLeft w:val="0"/>
      <w:marRight w:val="0"/>
      <w:marTop w:val="0"/>
      <w:marBottom w:val="0"/>
      <w:divBdr>
        <w:top w:val="none" w:sz="0" w:space="0" w:color="auto"/>
        <w:left w:val="none" w:sz="0" w:space="0" w:color="auto"/>
        <w:bottom w:val="none" w:sz="0" w:space="0" w:color="auto"/>
        <w:right w:val="none" w:sz="0" w:space="0" w:color="auto"/>
      </w:divBdr>
    </w:div>
    <w:div w:id="1966890443">
      <w:bodyDiv w:val="1"/>
      <w:marLeft w:val="0"/>
      <w:marRight w:val="0"/>
      <w:marTop w:val="0"/>
      <w:marBottom w:val="0"/>
      <w:divBdr>
        <w:top w:val="none" w:sz="0" w:space="0" w:color="auto"/>
        <w:left w:val="none" w:sz="0" w:space="0" w:color="auto"/>
        <w:bottom w:val="none" w:sz="0" w:space="0" w:color="auto"/>
        <w:right w:val="none" w:sz="0" w:space="0" w:color="auto"/>
      </w:divBdr>
    </w:div>
    <w:div w:id="1970475122">
      <w:bodyDiv w:val="1"/>
      <w:marLeft w:val="0"/>
      <w:marRight w:val="0"/>
      <w:marTop w:val="0"/>
      <w:marBottom w:val="0"/>
      <w:divBdr>
        <w:top w:val="none" w:sz="0" w:space="0" w:color="auto"/>
        <w:left w:val="none" w:sz="0" w:space="0" w:color="auto"/>
        <w:bottom w:val="none" w:sz="0" w:space="0" w:color="auto"/>
        <w:right w:val="none" w:sz="0" w:space="0" w:color="auto"/>
      </w:divBdr>
    </w:div>
    <w:div w:id="1971091737">
      <w:bodyDiv w:val="1"/>
      <w:marLeft w:val="0"/>
      <w:marRight w:val="0"/>
      <w:marTop w:val="0"/>
      <w:marBottom w:val="0"/>
      <w:divBdr>
        <w:top w:val="none" w:sz="0" w:space="0" w:color="auto"/>
        <w:left w:val="none" w:sz="0" w:space="0" w:color="auto"/>
        <w:bottom w:val="none" w:sz="0" w:space="0" w:color="auto"/>
        <w:right w:val="none" w:sz="0" w:space="0" w:color="auto"/>
      </w:divBdr>
    </w:div>
    <w:div w:id="1971591815">
      <w:bodyDiv w:val="1"/>
      <w:marLeft w:val="0"/>
      <w:marRight w:val="0"/>
      <w:marTop w:val="0"/>
      <w:marBottom w:val="0"/>
      <w:divBdr>
        <w:top w:val="none" w:sz="0" w:space="0" w:color="auto"/>
        <w:left w:val="none" w:sz="0" w:space="0" w:color="auto"/>
        <w:bottom w:val="none" w:sz="0" w:space="0" w:color="auto"/>
        <w:right w:val="none" w:sz="0" w:space="0" w:color="auto"/>
      </w:divBdr>
    </w:div>
    <w:div w:id="1971856282">
      <w:bodyDiv w:val="1"/>
      <w:marLeft w:val="0"/>
      <w:marRight w:val="0"/>
      <w:marTop w:val="0"/>
      <w:marBottom w:val="0"/>
      <w:divBdr>
        <w:top w:val="none" w:sz="0" w:space="0" w:color="auto"/>
        <w:left w:val="none" w:sz="0" w:space="0" w:color="auto"/>
        <w:bottom w:val="none" w:sz="0" w:space="0" w:color="auto"/>
        <w:right w:val="none" w:sz="0" w:space="0" w:color="auto"/>
      </w:divBdr>
    </w:div>
    <w:div w:id="1972516634">
      <w:bodyDiv w:val="1"/>
      <w:marLeft w:val="0"/>
      <w:marRight w:val="0"/>
      <w:marTop w:val="0"/>
      <w:marBottom w:val="0"/>
      <w:divBdr>
        <w:top w:val="none" w:sz="0" w:space="0" w:color="auto"/>
        <w:left w:val="none" w:sz="0" w:space="0" w:color="auto"/>
        <w:bottom w:val="none" w:sz="0" w:space="0" w:color="auto"/>
        <w:right w:val="none" w:sz="0" w:space="0" w:color="auto"/>
      </w:divBdr>
    </w:div>
    <w:div w:id="1973823677">
      <w:bodyDiv w:val="1"/>
      <w:marLeft w:val="0"/>
      <w:marRight w:val="0"/>
      <w:marTop w:val="0"/>
      <w:marBottom w:val="0"/>
      <w:divBdr>
        <w:top w:val="none" w:sz="0" w:space="0" w:color="auto"/>
        <w:left w:val="none" w:sz="0" w:space="0" w:color="auto"/>
        <w:bottom w:val="none" w:sz="0" w:space="0" w:color="auto"/>
        <w:right w:val="none" w:sz="0" w:space="0" w:color="auto"/>
      </w:divBdr>
    </w:div>
    <w:div w:id="1976058237">
      <w:bodyDiv w:val="1"/>
      <w:marLeft w:val="0"/>
      <w:marRight w:val="0"/>
      <w:marTop w:val="0"/>
      <w:marBottom w:val="0"/>
      <w:divBdr>
        <w:top w:val="none" w:sz="0" w:space="0" w:color="auto"/>
        <w:left w:val="none" w:sz="0" w:space="0" w:color="auto"/>
        <w:bottom w:val="none" w:sz="0" w:space="0" w:color="auto"/>
        <w:right w:val="none" w:sz="0" w:space="0" w:color="auto"/>
      </w:divBdr>
    </w:div>
    <w:div w:id="1976179962">
      <w:bodyDiv w:val="1"/>
      <w:marLeft w:val="0"/>
      <w:marRight w:val="0"/>
      <w:marTop w:val="0"/>
      <w:marBottom w:val="0"/>
      <w:divBdr>
        <w:top w:val="none" w:sz="0" w:space="0" w:color="auto"/>
        <w:left w:val="none" w:sz="0" w:space="0" w:color="auto"/>
        <w:bottom w:val="none" w:sz="0" w:space="0" w:color="auto"/>
        <w:right w:val="none" w:sz="0" w:space="0" w:color="auto"/>
      </w:divBdr>
    </w:div>
    <w:div w:id="1976831806">
      <w:bodyDiv w:val="1"/>
      <w:marLeft w:val="0"/>
      <w:marRight w:val="0"/>
      <w:marTop w:val="0"/>
      <w:marBottom w:val="0"/>
      <w:divBdr>
        <w:top w:val="none" w:sz="0" w:space="0" w:color="auto"/>
        <w:left w:val="none" w:sz="0" w:space="0" w:color="auto"/>
        <w:bottom w:val="none" w:sz="0" w:space="0" w:color="auto"/>
        <w:right w:val="none" w:sz="0" w:space="0" w:color="auto"/>
      </w:divBdr>
    </w:div>
    <w:div w:id="1977057267">
      <w:bodyDiv w:val="1"/>
      <w:marLeft w:val="0"/>
      <w:marRight w:val="0"/>
      <w:marTop w:val="0"/>
      <w:marBottom w:val="0"/>
      <w:divBdr>
        <w:top w:val="none" w:sz="0" w:space="0" w:color="auto"/>
        <w:left w:val="none" w:sz="0" w:space="0" w:color="auto"/>
        <w:bottom w:val="none" w:sz="0" w:space="0" w:color="auto"/>
        <w:right w:val="none" w:sz="0" w:space="0" w:color="auto"/>
      </w:divBdr>
    </w:div>
    <w:div w:id="1981154798">
      <w:bodyDiv w:val="1"/>
      <w:marLeft w:val="0"/>
      <w:marRight w:val="0"/>
      <w:marTop w:val="0"/>
      <w:marBottom w:val="0"/>
      <w:divBdr>
        <w:top w:val="none" w:sz="0" w:space="0" w:color="auto"/>
        <w:left w:val="none" w:sz="0" w:space="0" w:color="auto"/>
        <w:bottom w:val="none" w:sz="0" w:space="0" w:color="auto"/>
        <w:right w:val="none" w:sz="0" w:space="0" w:color="auto"/>
      </w:divBdr>
    </w:div>
    <w:div w:id="1984040982">
      <w:bodyDiv w:val="1"/>
      <w:marLeft w:val="0"/>
      <w:marRight w:val="0"/>
      <w:marTop w:val="0"/>
      <w:marBottom w:val="0"/>
      <w:divBdr>
        <w:top w:val="none" w:sz="0" w:space="0" w:color="auto"/>
        <w:left w:val="none" w:sz="0" w:space="0" w:color="auto"/>
        <w:bottom w:val="none" w:sz="0" w:space="0" w:color="auto"/>
        <w:right w:val="none" w:sz="0" w:space="0" w:color="auto"/>
      </w:divBdr>
    </w:div>
    <w:div w:id="1984315259">
      <w:bodyDiv w:val="1"/>
      <w:marLeft w:val="0"/>
      <w:marRight w:val="0"/>
      <w:marTop w:val="0"/>
      <w:marBottom w:val="0"/>
      <w:divBdr>
        <w:top w:val="none" w:sz="0" w:space="0" w:color="auto"/>
        <w:left w:val="none" w:sz="0" w:space="0" w:color="auto"/>
        <w:bottom w:val="none" w:sz="0" w:space="0" w:color="auto"/>
        <w:right w:val="none" w:sz="0" w:space="0" w:color="auto"/>
      </w:divBdr>
    </w:div>
    <w:div w:id="1984430717">
      <w:bodyDiv w:val="1"/>
      <w:marLeft w:val="0"/>
      <w:marRight w:val="0"/>
      <w:marTop w:val="0"/>
      <w:marBottom w:val="0"/>
      <w:divBdr>
        <w:top w:val="none" w:sz="0" w:space="0" w:color="auto"/>
        <w:left w:val="none" w:sz="0" w:space="0" w:color="auto"/>
        <w:bottom w:val="none" w:sz="0" w:space="0" w:color="auto"/>
        <w:right w:val="none" w:sz="0" w:space="0" w:color="auto"/>
      </w:divBdr>
    </w:div>
    <w:div w:id="1985424654">
      <w:bodyDiv w:val="1"/>
      <w:marLeft w:val="0"/>
      <w:marRight w:val="0"/>
      <w:marTop w:val="0"/>
      <w:marBottom w:val="0"/>
      <w:divBdr>
        <w:top w:val="none" w:sz="0" w:space="0" w:color="auto"/>
        <w:left w:val="none" w:sz="0" w:space="0" w:color="auto"/>
        <w:bottom w:val="none" w:sz="0" w:space="0" w:color="auto"/>
        <w:right w:val="none" w:sz="0" w:space="0" w:color="auto"/>
      </w:divBdr>
    </w:div>
    <w:div w:id="1985892874">
      <w:bodyDiv w:val="1"/>
      <w:marLeft w:val="0"/>
      <w:marRight w:val="0"/>
      <w:marTop w:val="0"/>
      <w:marBottom w:val="0"/>
      <w:divBdr>
        <w:top w:val="none" w:sz="0" w:space="0" w:color="auto"/>
        <w:left w:val="none" w:sz="0" w:space="0" w:color="auto"/>
        <w:bottom w:val="none" w:sz="0" w:space="0" w:color="auto"/>
        <w:right w:val="none" w:sz="0" w:space="0" w:color="auto"/>
      </w:divBdr>
    </w:div>
    <w:div w:id="1986660953">
      <w:bodyDiv w:val="1"/>
      <w:marLeft w:val="0"/>
      <w:marRight w:val="0"/>
      <w:marTop w:val="0"/>
      <w:marBottom w:val="0"/>
      <w:divBdr>
        <w:top w:val="none" w:sz="0" w:space="0" w:color="auto"/>
        <w:left w:val="none" w:sz="0" w:space="0" w:color="auto"/>
        <w:bottom w:val="none" w:sz="0" w:space="0" w:color="auto"/>
        <w:right w:val="none" w:sz="0" w:space="0" w:color="auto"/>
      </w:divBdr>
    </w:div>
    <w:div w:id="1986931690">
      <w:bodyDiv w:val="1"/>
      <w:marLeft w:val="0"/>
      <w:marRight w:val="0"/>
      <w:marTop w:val="0"/>
      <w:marBottom w:val="0"/>
      <w:divBdr>
        <w:top w:val="none" w:sz="0" w:space="0" w:color="auto"/>
        <w:left w:val="none" w:sz="0" w:space="0" w:color="auto"/>
        <w:bottom w:val="none" w:sz="0" w:space="0" w:color="auto"/>
        <w:right w:val="none" w:sz="0" w:space="0" w:color="auto"/>
      </w:divBdr>
    </w:div>
    <w:div w:id="1987121338">
      <w:bodyDiv w:val="1"/>
      <w:marLeft w:val="0"/>
      <w:marRight w:val="0"/>
      <w:marTop w:val="0"/>
      <w:marBottom w:val="0"/>
      <w:divBdr>
        <w:top w:val="none" w:sz="0" w:space="0" w:color="auto"/>
        <w:left w:val="none" w:sz="0" w:space="0" w:color="auto"/>
        <w:bottom w:val="none" w:sz="0" w:space="0" w:color="auto"/>
        <w:right w:val="none" w:sz="0" w:space="0" w:color="auto"/>
      </w:divBdr>
    </w:div>
    <w:div w:id="1994328002">
      <w:bodyDiv w:val="1"/>
      <w:marLeft w:val="0"/>
      <w:marRight w:val="0"/>
      <w:marTop w:val="0"/>
      <w:marBottom w:val="0"/>
      <w:divBdr>
        <w:top w:val="none" w:sz="0" w:space="0" w:color="auto"/>
        <w:left w:val="none" w:sz="0" w:space="0" w:color="auto"/>
        <w:bottom w:val="none" w:sz="0" w:space="0" w:color="auto"/>
        <w:right w:val="none" w:sz="0" w:space="0" w:color="auto"/>
      </w:divBdr>
    </w:div>
    <w:div w:id="1996376067">
      <w:bodyDiv w:val="1"/>
      <w:marLeft w:val="0"/>
      <w:marRight w:val="0"/>
      <w:marTop w:val="0"/>
      <w:marBottom w:val="0"/>
      <w:divBdr>
        <w:top w:val="none" w:sz="0" w:space="0" w:color="auto"/>
        <w:left w:val="none" w:sz="0" w:space="0" w:color="auto"/>
        <w:bottom w:val="none" w:sz="0" w:space="0" w:color="auto"/>
        <w:right w:val="none" w:sz="0" w:space="0" w:color="auto"/>
      </w:divBdr>
    </w:div>
    <w:div w:id="2001038090">
      <w:bodyDiv w:val="1"/>
      <w:marLeft w:val="0"/>
      <w:marRight w:val="0"/>
      <w:marTop w:val="0"/>
      <w:marBottom w:val="0"/>
      <w:divBdr>
        <w:top w:val="none" w:sz="0" w:space="0" w:color="auto"/>
        <w:left w:val="none" w:sz="0" w:space="0" w:color="auto"/>
        <w:bottom w:val="none" w:sz="0" w:space="0" w:color="auto"/>
        <w:right w:val="none" w:sz="0" w:space="0" w:color="auto"/>
      </w:divBdr>
    </w:div>
    <w:div w:id="2002586481">
      <w:bodyDiv w:val="1"/>
      <w:marLeft w:val="0"/>
      <w:marRight w:val="0"/>
      <w:marTop w:val="0"/>
      <w:marBottom w:val="0"/>
      <w:divBdr>
        <w:top w:val="none" w:sz="0" w:space="0" w:color="auto"/>
        <w:left w:val="none" w:sz="0" w:space="0" w:color="auto"/>
        <w:bottom w:val="none" w:sz="0" w:space="0" w:color="auto"/>
        <w:right w:val="none" w:sz="0" w:space="0" w:color="auto"/>
      </w:divBdr>
    </w:div>
    <w:div w:id="2002930077">
      <w:bodyDiv w:val="1"/>
      <w:marLeft w:val="0"/>
      <w:marRight w:val="0"/>
      <w:marTop w:val="0"/>
      <w:marBottom w:val="0"/>
      <w:divBdr>
        <w:top w:val="none" w:sz="0" w:space="0" w:color="auto"/>
        <w:left w:val="none" w:sz="0" w:space="0" w:color="auto"/>
        <w:bottom w:val="none" w:sz="0" w:space="0" w:color="auto"/>
        <w:right w:val="none" w:sz="0" w:space="0" w:color="auto"/>
      </w:divBdr>
    </w:div>
    <w:div w:id="2003658027">
      <w:bodyDiv w:val="1"/>
      <w:marLeft w:val="0"/>
      <w:marRight w:val="0"/>
      <w:marTop w:val="0"/>
      <w:marBottom w:val="0"/>
      <w:divBdr>
        <w:top w:val="none" w:sz="0" w:space="0" w:color="auto"/>
        <w:left w:val="none" w:sz="0" w:space="0" w:color="auto"/>
        <w:bottom w:val="none" w:sz="0" w:space="0" w:color="auto"/>
        <w:right w:val="none" w:sz="0" w:space="0" w:color="auto"/>
      </w:divBdr>
    </w:div>
    <w:div w:id="2005623808">
      <w:bodyDiv w:val="1"/>
      <w:marLeft w:val="0"/>
      <w:marRight w:val="0"/>
      <w:marTop w:val="0"/>
      <w:marBottom w:val="0"/>
      <w:divBdr>
        <w:top w:val="none" w:sz="0" w:space="0" w:color="auto"/>
        <w:left w:val="none" w:sz="0" w:space="0" w:color="auto"/>
        <w:bottom w:val="none" w:sz="0" w:space="0" w:color="auto"/>
        <w:right w:val="none" w:sz="0" w:space="0" w:color="auto"/>
      </w:divBdr>
    </w:div>
    <w:div w:id="2007172869">
      <w:bodyDiv w:val="1"/>
      <w:marLeft w:val="0"/>
      <w:marRight w:val="0"/>
      <w:marTop w:val="0"/>
      <w:marBottom w:val="0"/>
      <w:divBdr>
        <w:top w:val="none" w:sz="0" w:space="0" w:color="auto"/>
        <w:left w:val="none" w:sz="0" w:space="0" w:color="auto"/>
        <w:bottom w:val="none" w:sz="0" w:space="0" w:color="auto"/>
        <w:right w:val="none" w:sz="0" w:space="0" w:color="auto"/>
      </w:divBdr>
    </w:div>
    <w:div w:id="2007972356">
      <w:bodyDiv w:val="1"/>
      <w:marLeft w:val="0"/>
      <w:marRight w:val="0"/>
      <w:marTop w:val="0"/>
      <w:marBottom w:val="0"/>
      <w:divBdr>
        <w:top w:val="none" w:sz="0" w:space="0" w:color="auto"/>
        <w:left w:val="none" w:sz="0" w:space="0" w:color="auto"/>
        <w:bottom w:val="none" w:sz="0" w:space="0" w:color="auto"/>
        <w:right w:val="none" w:sz="0" w:space="0" w:color="auto"/>
      </w:divBdr>
    </w:div>
    <w:div w:id="2008172962">
      <w:bodyDiv w:val="1"/>
      <w:marLeft w:val="0"/>
      <w:marRight w:val="0"/>
      <w:marTop w:val="0"/>
      <w:marBottom w:val="0"/>
      <w:divBdr>
        <w:top w:val="none" w:sz="0" w:space="0" w:color="auto"/>
        <w:left w:val="none" w:sz="0" w:space="0" w:color="auto"/>
        <w:bottom w:val="none" w:sz="0" w:space="0" w:color="auto"/>
        <w:right w:val="none" w:sz="0" w:space="0" w:color="auto"/>
      </w:divBdr>
    </w:div>
    <w:div w:id="2009484107">
      <w:bodyDiv w:val="1"/>
      <w:marLeft w:val="0"/>
      <w:marRight w:val="0"/>
      <w:marTop w:val="0"/>
      <w:marBottom w:val="0"/>
      <w:divBdr>
        <w:top w:val="none" w:sz="0" w:space="0" w:color="auto"/>
        <w:left w:val="none" w:sz="0" w:space="0" w:color="auto"/>
        <w:bottom w:val="none" w:sz="0" w:space="0" w:color="auto"/>
        <w:right w:val="none" w:sz="0" w:space="0" w:color="auto"/>
      </w:divBdr>
    </w:div>
    <w:div w:id="2009939179">
      <w:bodyDiv w:val="1"/>
      <w:marLeft w:val="0"/>
      <w:marRight w:val="0"/>
      <w:marTop w:val="0"/>
      <w:marBottom w:val="0"/>
      <w:divBdr>
        <w:top w:val="none" w:sz="0" w:space="0" w:color="auto"/>
        <w:left w:val="none" w:sz="0" w:space="0" w:color="auto"/>
        <w:bottom w:val="none" w:sz="0" w:space="0" w:color="auto"/>
        <w:right w:val="none" w:sz="0" w:space="0" w:color="auto"/>
      </w:divBdr>
    </w:div>
    <w:div w:id="2013334082">
      <w:bodyDiv w:val="1"/>
      <w:marLeft w:val="0"/>
      <w:marRight w:val="0"/>
      <w:marTop w:val="0"/>
      <w:marBottom w:val="0"/>
      <w:divBdr>
        <w:top w:val="none" w:sz="0" w:space="0" w:color="auto"/>
        <w:left w:val="none" w:sz="0" w:space="0" w:color="auto"/>
        <w:bottom w:val="none" w:sz="0" w:space="0" w:color="auto"/>
        <w:right w:val="none" w:sz="0" w:space="0" w:color="auto"/>
      </w:divBdr>
    </w:div>
    <w:div w:id="2014724153">
      <w:bodyDiv w:val="1"/>
      <w:marLeft w:val="0"/>
      <w:marRight w:val="0"/>
      <w:marTop w:val="0"/>
      <w:marBottom w:val="0"/>
      <w:divBdr>
        <w:top w:val="none" w:sz="0" w:space="0" w:color="auto"/>
        <w:left w:val="none" w:sz="0" w:space="0" w:color="auto"/>
        <w:bottom w:val="none" w:sz="0" w:space="0" w:color="auto"/>
        <w:right w:val="none" w:sz="0" w:space="0" w:color="auto"/>
      </w:divBdr>
    </w:div>
    <w:div w:id="2015305695">
      <w:bodyDiv w:val="1"/>
      <w:marLeft w:val="0"/>
      <w:marRight w:val="0"/>
      <w:marTop w:val="0"/>
      <w:marBottom w:val="0"/>
      <w:divBdr>
        <w:top w:val="none" w:sz="0" w:space="0" w:color="auto"/>
        <w:left w:val="none" w:sz="0" w:space="0" w:color="auto"/>
        <w:bottom w:val="none" w:sz="0" w:space="0" w:color="auto"/>
        <w:right w:val="none" w:sz="0" w:space="0" w:color="auto"/>
      </w:divBdr>
    </w:div>
    <w:div w:id="2019767990">
      <w:bodyDiv w:val="1"/>
      <w:marLeft w:val="0"/>
      <w:marRight w:val="0"/>
      <w:marTop w:val="0"/>
      <w:marBottom w:val="0"/>
      <w:divBdr>
        <w:top w:val="none" w:sz="0" w:space="0" w:color="auto"/>
        <w:left w:val="none" w:sz="0" w:space="0" w:color="auto"/>
        <w:bottom w:val="none" w:sz="0" w:space="0" w:color="auto"/>
        <w:right w:val="none" w:sz="0" w:space="0" w:color="auto"/>
      </w:divBdr>
    </w:div>
    <w:div w:id="2021196566">
      <w:bodyDiv w:val="1"/>
      <w:marLeft w:val="0"/>
      <w:marRight w:val="0"/>
      <w:marTop w:val="0"/>
      <w:marBottom w:val="0"/>
      <w:divBdr>
        <w:top w:val="none" w:sz="0" w:space="0" w:color="auto"/>
        <w:left w:val="none" w:sz="0" w:space="0" w:color="auto"/>
        <w:bottom w:val="none" w:sz="0" w:space="0" w:color="auto"/>
        <w:right w:val="none" w:sz="0" w:space="0" w:color="auto"/>
      </w:divBdr>
    </w:div>
    <w:div w:id="2023044200">
      <w:bodyDiv w:val="1"/>
      <w:marLeft w:val="0"/>
      <w:marRight w:val="0"/>
      <w:marTop w:val="0"/>
      <w:marBottom w:val="0"/>
      <w:divBdr>
        <w:top w:val="none" w:sz="0" w:space="0" w:color="auto"/>
        <w:left w:val="none" w:sz="0" w:space="0" w:color="auto"/>
        <w:bottom w:val="none" w:sz="0" w:space="0" w:color="auto"/>
        <w:right w:val="none" w:sz="0" w:space="0" w:color="auto"/>
      </w:divBdr>
    </w:div>
    <w:div w:id="2023583627">
      <w:bodyDiv w:val="1"/>
      <w:marLeft w:val="0"/>
      <w:marRight w:val="0"/>
      <w:marTop w:val="0"/>
      <w:marBottom w:val="0"/>
      <w:divBdr>
        <w:top w:val="none" w:sz="0" w:space="0" w:color="auto"/>
        <w:left w:val="none" w:sz="0" w:space="0" w:color="auto"/>
        <w:bottom w:val="none" w:sz="0" w:space="0" w:color="auto"/>
        <w:right w:val="none" w:sz="0" w:space="0" w:color="auto"/>
      </w:divBdr>
    </w:div>
    <w:div w:id="2025203533">
      <w:bodyDiv w:val="1"/>
      <w:marLeft w:val="0"/>
      <w:marRight w:val="0"/>
      <w:marTop w:val="0"/>
      <w:marBottom w:val="0"/>
      <w:divBdr>
        <w:top w:val="none" w:sz="0" w:space="0" w:color="auto"/>
        <w:left w:val="none" w:sz="0" w:space="0" w:color="auto"/>
        <w:bottom w:val="none" w:sz="0" w:space="0" w:color="auto"/>
        <w:right w:val="none" w:sz="0" w:space="0" w:color="auto"/>
      </w:divBdr>
    </w:div>
    <w:div w:id="2026512580">
      <w:bodyDiv w:val="1"/>
      <w:marLeft w:val="0"/>
      <w:marRight w:val="0"/>
      <w:marTop w:val="0"/>
      <w:marBottom w:val="0"/>
      <w:divBdr>
        <w:top w:val="none" w:sz="0" w:space="0" w:color="auto"/>
        <w:left w:val="none" w:sz="0" w:space="0" w:color="auto"/>
        <w:bottom w:val="none" w:sz="0" w:space="0" w:color="auto"/>
        <w:right w:val="none" w:sz="0" w:space="0" w:color="auto"/>
      </w:divBdr>
    </w:div>
    <w:div w:id="2027248580">
      <w:bodyDiv w:val="1"/>
      <w:marLeft w:val="0"/>
      <w:marRight w:val="0"/>
      <w:marTop w:val="0"/>
      <w:marBottom w:val="0"/>
      <w:divBdr>
        <w:top w:val="none" w:sz="0" w:space="0" w:color="auto"/>
        <w:left w:val="none" w:sz="0" w:space="0" w:color="auto"/>
        <w:bottom w:val="none" w:sz="0" w:space="0" w:color="auto"/>
        <w:right w:val="none" w:sz="0" w:space="0" w:color="auto"/>
      </w:divBdr>
    </w:div>
    <w:div w:id="2027515979">
      <w:bodyDiv w:val="1"/>
      <w:marLeft w:val="0"/>
      <w:marRight w:val="0"/>
      <w:marTop w:val="0"/>
      <w:marBottom w:val="0"/>
      <w:divBdr>
        <w:top w:val="none" w:sz="0" w:space="0" w:color="auto"/>
        <w:left w:val="none" w:sz="0" w:space="0" w:color="auto"/>
        <w:bottom w:val="none" w:sz="0" w:space="0" w:color="auto"/>
        <w:right w:val="none" w:sz="0" w:space="0" w:color="auto"/>
      </w:divBdr>
    </w:div>
    <w:div w:id="2028173560">
      <w:bodyDiv w:val="1"/>
      <w:marLeft w:val="0"/>
      <w:marRight w:val="0"/>
      <w:marTop w:val="0"/>
      <w:marBottom w:val="0"/>
      <w:divBdr>
        <w:top w:val="none" w:sz="0" w:space="0" w:color="auto"/>
        <w:left w:val="none" w:sz="0" w:space="0" w:color="auto"/>
        <w:bottom w:val="none" w:sz="0" w:space="0" w:color="auto"/>
        <w:right w:val="none" w:sz="0" w:space="0" w:color="auto"/>
      </w:divBdr>
    </w:div>
    <w:div w:id="2031297690">
      <w:bodyDiv w:val="1"/>
      <w:marLeft w:val="0"/>
      <w:marRight w:val="0"/>
      <w:marTop w:val="0"/>
      <w:marBottom w:val="0"/>
      <w:divBdr>
        <w:top w:val="none" w:sz="0" w:space="0" w:color="auto"/>
        <w:left w:val="none" w:sz="0" w:space="0" w:color="auto"/>
        <w:bottom w:val="none" w:sz="0" w:space="0" w:color="auto"/>
        <w:right w:val="none" w:sz="0" w:space="0" w:color="auto"/>
      </w:divBdr>
    </w:div>
    <w:div w:id="2033606848">
      <w:bodyDiv w:val="1"/>
      <w:marLeft w:val="0"/>
      <w:marRight w:val="0"/>
      <w:marTop w:val="0"/>
      <w:marBottom w:val="0"/>
      <w:divBdr>
        <w:top w:val="none" w:sz="0" w:space="0" w:color="auto"/>
        <w:left w:val="none" w:sz="0" w:space="0" w:color="auto"/>
        <w:bottom w:val="none" w:sz="0" w:space="0" w:color="auto"/>
        <w:right w:val="none" w:sz="0" w:space="0" w:color="auto"/>
      </w:divBdr>
    </w:div>
    <w:div w:id="2034568411">
      <w:bodyDiv w:val="1"/>
      <w:marLeft w:val="0"/>
      <w:marRight w:val="0"/>
      <w:marTop w:val="0"/>
      <w:marBottom w:val="0"/>
      <w:divBdr>
        <w:top w:val="none" w:sz="0" w:space="0" w:color="auto"/>
        <w:left w:val="none" w:sz="0" w:space="0" w:color="auto"/>
        <w:bottom w:val="none" w:sz="0" w:space="0" w:color="auto"/>
        <w:right w:val="none" w:sz="0" w:space="0" w:color="auto"/>
      </w:divBdr>
    </w:div>
    <w:div w:id="2036301363">
      <w:bodyDiv w:val="1"/>
      <w:marLeft w:val="0"/>
      <w:marRight w:val="0"/>
      <w:marTop w:val="0"/>
      <w:marBottom w:val="0"/>
      <w:divBdr>
        <w:top w:val="none" w:sz="0" w:space="0" w:color="auto"/>
        <w:left w:val="none" w:sz="0" w:space="0" w:color="auto"/>
        <w:bottom w:val="none" w:sz="0" w:space="0" w:color="auto"/>
        <w:right w:val="none" w:sz="0" w:space="0" w:color="auto"/>
      </w:divBdr>
    </w:div>
    <w:div w:id="2040813326">
      <w:bodyDiv w:val="1"/>
      <w:marLeft w:val="0"/>
      <w:marRight w:val="0"/>
      <w:marTop w:val="0"/>
      <w:marBottom w:val="0"/>
      <w:divBdr>
        <w:top w:val="none" w:sz="0" w:space="0" w:color="auto"/>
        <w:left w:val="none" w:sz="0" w:space="0" w:color="auto"/>
        <w:bottom w:val="none" w:sz="0" w:space="0" w:color="auto"/>
        <w:right w:val="none" w:sz="0" w:space="0" w:color="auto"/>
      </w:divBdr>
    </w:div>
    <w:div w:id="2041740957">
      <w:bodyDiv w:val="1"/>
      <w:marLeft w:val="0"/>
      <w:marRight w:val="0"/>
      <w:marTop w:val="0"/>
      <w:marBottom w:val="0"/>
      <w:divBdr>
        <w:top w:val="none" w:sz="0" w:space="0" w:color="auto"/>
        <w:left w:val="none" w:sz="0" w:space="0" w:color="auto"/>
        <w:bottom w:val="none" w:sz="0" w:space="0" w:color="auto"/>
        <w:right w:val="none" w:sz="0" w:space="0" w:color="auto"/>
      </w:divBdr>
    </w:div>
    <w:div w:id="2042783344">
      <w:bodyDiv w:val="1"/>
      <w:marLeft w:val="0"/>
      <w:marRight w:val="0"/>
      <w:marTop w:val="0"/>
      <w:marBottom w:val="0"/>
      <w:divBdr>
        <w:top w:val="none" w:sz="0" w:space="0" w:color="auto"/>
        <w:left w:val="none" w:sz="0" w:space="0" w:color="auto"/>
        <w:bottom w:val="none" w:sz="0" w:space="0" w:color="auto"/>
        <w:right w:val="none" w:sz="0" w:space="0" w:color="auto"/>
      </w:divBdr>
    </w:div>
    <w:div w:id="2044281265">
      <w:bodyDiv w:val="1"/>
      <w:marLeft w:val="0"/>
      <w:marRight w:val="0"/>
      <w:marTop w:val="0"/>
      <w:marBottom w:val="0"/>
      <w:divBdr>
        <w:top w:val="none" w:sz="0" w:space="0" w:color="auto"/>
        <w:left w:val="none" w:sz="0" w:space="0" w:color="auto"/>
        <w:bottom w:val="none" w:sz="0" w:space="0" w:color="auto"/>
        <w:right w:val="none" w:sz="0" w:space="0" w:color="auto"/>
      </w:divBdr>
    </w:div>
    <w:div w:id="2045323020">
      <w:bodyDiv w:val="1"/>
      <w:marLeft w:val="0"/>
      <w:marRight w:val="0"/>
      <w:marTop w:val="0"/>
      <w:marBottom w:val="0"/>
      <w:divBdr>
        <w:top w:val="none" w:sz="0" w:space="0" w:color="auto"/>
        <w:left w:val="none" w:sz="0" w:space="0" w:color="auto"/>
        <w:bottom w:val="none" w:sz="0" w:space="0" w:color="auto"/>
        <w:right w:val="none" w:sz="0" w:space="0" w:color="auto"/>
      </w:divBdr>
    </w:div>
    <w:div w:id="2046903200">
      <w:bodyDiv w:val="1"/>
      <w:marLeft w:val="0"/>
      <w:marRight w:val="0"/>
      <w:marTop w:val="0"/>
      <w:marBottom w:val="0"/>
      <w:divBdr>
        <w:top w:val="none" w:sz="0" w:space="0" w:color="auto"/>
        <w:left w:val="none" w:sz="0" w:space="0" w:color="auto"/>
        <w:bottom w:val="none" w:sz="0" w:space="0" w:color="auto"/>
        <w:right w:val="none" w:sz="0" w:space="0" w:color="auto"/>
      </w:divBdr>
    </w:div>
    <w:div w:id="2047411642">
      <w:bodyDiv w:val="1"/>
      <w:marLeft w:val="0"/>
      <w:marRight w:val="0"/>
      <w:marTop w:val="0"/>
      <w:marBottom w:val="0"/>
      <w:divBdr>
        <w:top w:val="none" w:sz="0" w:space="0" w:color="auto"/>
        <w:left w:val="none" w:sz="0" w:space="0" w:color="auto"/>
        <w:bottom w:val="none" w:sz="0" w:space="0" w:color="auto"/>
        <w:right w:val="none" w:sz="0" w:space="0" w:color="auto"/>
      </w:divBdr>
    </w:div>
    <w:div w:id="2050641752">
      <w:bodyDiv w:val="1"/>
      <w:marLeft w:val="0"/>
      <w:marRight w:val="0"/>
      <w:marTop w:val="0"/>
      <w:marBottom w:val="0"/>
      <w:divBdr>
        <w:top w:val="none" w:sz="0" w:space="0" w:color="auto"/>
        <w:left w:val="none" w:sz="0" w:space="0" w:color="auto"/>
        <w:bottom w:val="none" w:sz="0" w:space="0" w:color="auto"/>
        <w:right w:val="none" w:sz="0" w:space="0" w:color="auto"/>
      </w:divBdr>
    </w:div>
    <w:div w:id="2051345374">
      <w:bodyDiv w:val="1"/>
      <w:marLeft w:val="0"/>
      <w:marRight w:val="0"/>
      <w:marTop w:val="0"/>
      <w:marBottom w:val="0"/>
      <w:divBdr>
        <w:top w:val="none" w:sz="0" w:space="0" w:color="auto"/>
        <w:left w:val="none" w:sz="0" w:space="0" w:color="auto"/>
        <w:bottom w:val="none" w:sz="0" w:space="0" w:color="auto"/>
        <w:right w:val="none" w:sz="0" w:space="0" w:color="auto"/>
      </w:divBdr>
    </w:div>
    <w:div w:id="2053919048">
      <w:bodyDiv w:val="1"/>
      <w:marLeft w:val="0"/>
      <w:marRight w:val="0"/>
      <w:marTop w:val="0"/>
      <w:marBottom w:val="0"/>
      <w:divBdr>
        <w:top w:val="none" w:sz="0" w:space="0" w:color="auto"/>
        <w:left w:val="none" w:sz="0" w:space="0" w:color="auto"/>
        <w:bottom w:val="none" w:sz="0" w:space="0" w:color="auto"/>
        <w:right w:val="none" w:sz="0" w:space="0" w:color="auto"/>
      </w:divBdr>
    </w:div>
    <w:div w:id="2055274993">
      <w:bodyDiv w:val="1"/>
      <w:marLeft w:val="0"/>
      <w:marRight w:val="0"/>
      <w:marTop w:val="0"/>
      <w:marBottom w:val="0"/>
      <w:divBdr>
        <w:top w:val="none" w:sz="0" w:space="0" w:color="auto"/>
        <w:left w:val="none" w:sz="0" w:space="0" w:color="auto"/>
        <w:bottom w:val="none" w:sz="0" w:space="0" w:color="auto"/>
        <w:right w:val="none" w:sz="0" w:space="0" w:color="auto"/>
      </w:divBdr>
    </w:div>
    <w:div w:id="2055932367">
      <w:bodyDiv w:val="1"/>
      <w:marLeft w:val="0"/>
      <w:marRight w:val="0"/>
      <w:marTop w:val="0"/>
      <w:marBottom w:val="0"/>
      <w:divBdr>
        <w:top w:val="none" w:sz="0" w:space="0" w:color="auto"/>
        <w:left w:val="none" w:sz="0" w:space="0" w:color="auto"/>
        <w:bottom w:val="none" w:sz="0" w:space="0" w:color="auto"/>
        <w:right w:val="none" w:sz="0" w:space="0" w:color="auto"/>
      </w:divBdr>
    </w:div>
    <w:div w:id="2056005025">
      <w:bodyDiv w:val="1"/>
      <w:marLeft w:val="0"/>
      <w:marRight w:val="0"/>
      <w:marTop w:val="0"/>
      <w:marBottom w:val="0"/>
      <w:divBdr>
        <w:top w:val="none" w:sz="0" w:space="0" w:color="auto"/>
        <w:left w:val="none" w:sz="0" w:space="0" w:color="auto"/>
        <w:bottom w:val="none" w:sz="0" w:space="0" w:color="auto"/>
        <w:right w:val="none" w:sz="0" w:space="0" w:color="auto"/>
      </w:divBdr>
    </w:div>
    <w:div w:id="2058427915">
      <w:bodyDiv w:val="1"/>
      <w:marLeft w:val="0"/>
      <w:marRight w:val="0"/>
      <w:marTop w:val="0"/>
      <w:marBottom w:val="0"/>
      <w:divBdr>
        <w:top w:val="none" w:sz="0" w:space="0" w:color="auto"/>
        <w:left w:val="none" w:sz="0" w:space="0" w:color="auto"/>
        <w:bottom w:val="none" w:sz="0" w:space="0" w:color="auto"/>
        <w:right w:val="none" w:sz="0" w:space="0" w:color="auto"/>
      </w:divBdr>
    </w:div>
    <w:div w:id="2058696342">
      <w:bodyDiv w:val="1"/>
      <w:marLeft w:val="0"/>
      <w:marRight w:val="0"/>
      <w:marTop w:val="0"/>
      <w:marBottom w:val="0"/>
      <w:divBdr>
        <w:top w:val="none" w:sz="0" w:space="0" w:color="auto"/>
        <w:left w:val="none" w:sz="0" w:space="0" w:color="auto"/>
        <w:bottom w:val="none" w:sz="0" w:space="0" w:color="auto"/>
        <w:right w:val="none" w:sz="0" w:space="0" w:color="auto"/>
      </w:divBdr>
    </w:div>
    <w:div w:id="2059163358">
      <w:bodyDiv w:val="1"/>
      <w:marLeft w:val="0"/>
      <w:marRight w:val="0"/>
      <w:marTop w:val="0"/>
      <w:marBottom w:val="0"/>
      <w:divBdr>
        <w:top w:val="none" w:sz="0" w:space="0" w:color="auto"/>
        <w:left w:val="none" w:sz="0" w:space="0" w:color="auto"/>
        <w:bottom w:val="none" w:sz="0" w:space="0" w:color="auto"/>
        <w:right w:val="none" w:sz="0" w:space="0" w:color="auto"/>
      </w:divBdr>
    </w:div>
    <w:div w:id="2060126538">
      <w:bodyDiv w:val="1"/>
      <w:marLeft w:val="0"/>
      <w:marRight w:val="0"/>
      <w:marTop w:val="0"/>
      <w:marBottom w:val="0"/>
      <w:divBdr>
        <w:top w:val="none" w:sz="0" w:space="0" w:color="auto"/>
        <w:left w:val="none" w:sz="0" w:space="0" w:color="auto"/>
        <w:bottom w:val="none" w:sz="0" w:space="0" w:color="auto"/>
        <w:right w:val="none" w:sz="0" w:space="0" w:color="auto"/>
      </w:divBdr>
    </w:div>
    <w:div w:id="2060275232">
      <w:bodyDiv w:val="1"/>
      <w:marLeft w:val="0"/>
      <w:marRight w:val="0"/>
      <w:marTop w:val="0"/>
      <w:marBottom w:val="0"/>
      <w:divBdr>
        <w:top w:val="none" w:sz="0" w:space="0" w:color="auto"/>
        <w:left w:val="none" w:sz="0" w:space="0" w:color="auto"/>
        <w:bottom w:val="none" w:sz="0" w:space="0" w:color="auto"/>
        <w:right w:val="none" w:sz="0" w:space="0" w:color="auto"/>
      </w:divBdr>
    </w:div>
    <w:div w:id="2068145588">
      <w:bodyDiv w:val="1"/>
      <w:marLeft w:val="0"/>
      <w:marRight w:val="0"/>
      <w:marTop w:val="0"/>
      <w:marBottom w:val="0"/>
      <w:divBdr>
        <w:top w:val="none" w:sz="0" w:space="0" w:color="auto"/>
        <w:left w:val="none" w:sz="0" w:space="0" w:color="auto"/>
        <w:bottom w:val="none" w:sz="0" w:space="0" w:color="auto"/>
        <w:right w:val="none" w:sz="0" w:space="0" w:color="auto"/>
      </w:divBdr>
    </w:div>
    <w:div w:id="2069301260">
      <w:bodyDiv w:val="1"/>
      <w:marLeft w:val="0"/>
      <w:marRight w:val="0"/>
      <w:marTop w:val="0"/>
      <w:marBottom w:val="0"/>
      <w:divBdr>
        <w:top w:val="none" w:sz="0" w:space="0" w:color="auto"/>
        <w:left w:val="none" w:sz="0" w:space="0" w:color="auto"/>
        <w:bottom w:val="none" w:sz="0" w:space="0" w:color="auto"/>
        <w:right w:val="none" w:sz="0" w:space="0" w:color="auto"/>
      </w:divBdr>
    </w:div>
    <w:div w:id="2072651502">
      <w:bodyDiv w:val="1"/>
      <w:marLeft w:val="0"/>
      <w:marRight w:val="0"/>
      <w:marTop w:val="0"/>
      <w:marBottom w:val="0"/>
      <w:divBdr>
        <w:top w:val="none" w:sz="0" w:space="0" w:color="auto"/>
        <w:left w:val="none" w:sz="0" w:space="0" w:color="auto"/>
        <w:bottom w:val="none" w:sz="0" w:space="0" w:color="auto"/>
        <w:right w:val="none" w:sz="0" w:space="0" w:color="auto"/>
      </w:divBdr>
    </w:div>
    <w:div w:id="2072800201">
      <w:bodyDiv w:val="1"/>
      <w:marLeft w:val="0"/>
      <w:marRight w:val="0"/>
      <w:marTop w:val="0"/>
      <w:marBottom w:val="0"/>
      <w:divBdr>
        <w:top w:val="none" w:sz="0" w:space="0" w:color="auto"/>
        <w:left w:val="none" w:sz="0" w:space="0" w:color="auto"/>
        <w:bottom w:val="none" w:sz="0" w:space="0" w:color="auto"/>
        <w:right w:val="none" w:sz="0" w:space="0" w:color="auto"/>
      </w:divBdr>
    </w:div>
    <w:div w:id="2075350461">
      <w:bodyDiv w:val="1"/>
      <w:marLeft w:val="0"/>
      <w:marRight w:val="0"/>
      <w:marTop w:val="0"/>
      <w:marBottom w:val="0"/>
      <w:divBdr>
        <w:top w:val="none" w:sz="0" w:space="0" w:color="auto"/>
        <w:left w:val="none" w:sz="0" w:space="0" w:color="auto"/>
        <w:bottom w:val="none" w:sz="0" w:space="0" w:color="auto"/>
        <w:right w:val="none" w:sz="0" w:space="0" w:color="auto"/>
      </w:divBdr>
    </w:div>
    <w:div w:id="2078745385">
      <w:bodyDiv w:val="1"/>
      <w:marLeft w:val="0"/>
      <w:marRight w:val="0"/>
      <w:marTop w:val="0"/>
      <w:marBottom w:val="0"/>
      <w:divBdr>
        <w:top w:val="none" w:sz="0" w:space="0" w:color="auto"/>
        <w:left w:val="none" w:sz="0" w:space="0" w:color="auto"/>
        <w:bottom w:val="none" w:sz="0" w:space="0" w:color="auto"/>
        <w:right w:val="none" w:sz="0" w:space="0" w:color="auto"/>
      </w:divBdr>
    </w:div>
    <w:div w:id="2080788166">
      <w:bodyDiv w:val="1"/>
      <w:marLeft w:val="0"/>
      <w:marRight w:val="0"/>
      <w:marTop w:val="0"/>
      <w:marBottom w:val="0"/>
      <w:divBdr>
        <w:top w:val="none" w:sz="0" w:space="0" w:color="auto"/>
        <w:left w:val="none" w:sz="0" w:space="0" w:color="auto"/>
        <w:bottom w:val="none" w:sz="0" w:space="0" w:color="auto"/>
        <w:right w:val="none" w:sz="0" w:space="0" w:color="auto"/>
      </w:divBdr>
    </w:div>
    <w:div w:id="2081832145">
      <w:bodyDiv w:val="1"/>
      <w:marLeft w:val="0"/>
      <w:marRight w:val="0"/>
      <w:marTop w:val="0"/>
      <w:marBottom w:val="0"/>
      <w:divBdr>
        <w:top w:val="none" w:sz="0" w:space="0" w:color="auto"/>
        <w:left w:val="none" w:sz="0" w:space="0" w:color="auto"/>
        <w:bottom w:val="none" w:sz="0" w:space="0" w:color="auto"/>
        <w:right w:val="none" w:sz="0" w:space="0" w:color="auto"/>
      </w:divBdr>
    </w:div>
    <w:div w:id="2083408419">
      <w:bodyDiv w:val="1"/>
      <w:marLeft w:val="0"/>
      <w:marRight w:val="0"/>
      <w:marTop w:val="0"/>
      <w:marBottom w:val="0"/>
      <w:divBdr>
        <w:top w:val="none" w:sz="0" w:space="0" w:color="auto"/>
        <w:left w:val="none" w:sz="0" w:space="0" w:color="auto"/>
        <w:bottom w:val="none" w:sz="0" w:space="0" w:color="auto"/>
        <w:right w:val="none" w:sz="0" w:space="0" w:color="auto"/>
      </w:divBdr>
    </w:div>
    <w:div w:id="2085182159">
      <w:bodyDiv w:val="1"/>
      <w:marLeft w:val="0"/>
      <w:marRight w:val="0"/>
      <w:marTop w:val="0"/>
      <w:marBottom w:val="0"/>
      <w:divBdr>
        <w:top w:val="none" w:sz="0" w:space="0" w:color="auto"/>
        <w:left w:val="none" w:sz="0" w:space="0" w:color="auto"/>
        <w:bottom w:val="none" w:sz="0" w:space="0" w:color="auto"/>
        <w:right w:val="none" w:sz="0" w:space="0" w:color="auto"/>
      </w:divBdr>
    </w:div>
    <w:div w:id="2086146849">
      <w:bodyDiv w:val="1"/>
      <w:marLeft w:val="0"/>
      <w:marRight w:val="0"/>
      <w:marTop w:val="0"/>
      <w:marBottom w:val="0"/>
      <w:divBdr>
        <w:top w:val="none" w:sz="0" w:space="0" w:color="auto"/>
        <w:left w:val="none" w:sz="0" w:space="0" w:color="auto"/>
        <w:bottom w:val="none" w:sz="0" w:space="0" w:color="auto"/>
        <w:right w:val="none" w:sz="0" w:space="0" w:color="auto"/>
      </w:divBdr>
    </w:div>
    <w:div w:id="2087142714">
      <w:bodyDiv w:val="1"/>
      <w:marLeft w:val="0"/>
      <w:marRight w:val="0"/>
      <w:marTop w:val="0"/>
      <w:marBottom w:val="0"/>
      <w:divBdr>
        <w:top w:val="none" w:sz="0" w:space="0" w:color="auto"/>
        <w:left w:val="none" w:sz="0" w:space="0" w:color="auto"/>
        <w:bottom w:val="none" w:sz="0" w:space="0" w:color="auto"/>
        <w:right w:val="none" w:sz="0" w:space="0" w:color="auto"/>
      </w:divBdr>
    </w:div>
    <w:div w:id="2087534692">
      <w:bodyDiv w:val="1"/>
      <w:marLeft w:val="0"/>
      <w:marRight w:val="0"/>
      <w:marTop w:val="0"/>
      <w:marBottom w:val="0"/>
      <w:divBdr>
        <w:top w:val="none" w:sz="0" w:space="0" w:color="auto"/>
        <w:left w:val="none" w:sz="0" w:space="0" w:color="auto"/>
        <w:bottom w:val="none" w:sz="0" w:space="0" w:color="auto"/>
        <w:right w:val="none" w:sz="0" w:space="0" w:color="auto"/>
      </w:divBdr>
    </w:div>
    <w:div w:id="2087799612">
      <w:bodyDiv w:val="1"/>
      <w:marLeft w:val="0"/>
      <w:marRight w:val="0"/>
      <w:marTop w:val="0"/>
      <w:marBottom w:val="0"/>
      <w:divBdr>
        <w:top w:val="none" w:sz="0" w:space="0" w:color="auto"/>
        <w:left w:val="none" w:sz="0" w:space="0" w:color="auto"/>
        <w:bottom w:val="none" w:sz="0" w:space="0" w:color="auto"/>
        <w:right w:val="none" w:sz="0" w:space="0" w:color="auto"/>
      </w:divBdr>
    </w:div>
    <w:div w:id="2091461933">
      <w:bodyDiv w:val="1"/>
      <w:marLeft w:val="0"/>
      <w:marRight w:val="0"/>
      <w:marTop w:val="0"/>
      <w:marBottom w:val="0"/>
      <w:divBdr>
        <w:top w:val="none" w:sz="0" w:space="0" w:color="auto"/>
        <w:left w:val="none" w:sz="0" w:space="0" w:color="auto"/>
        <w:bottom w:val="none" w:sz="0" w:space="0" w:color="auto"/>
        <w:right w:val="none" w:sz="0" w:space="0" w:color="auto"/>
      </w:divBdr>
    </w:div>
    <w:div w:id="2092501397">
      <w:bodyDiv w:val="1"/>
      <w:marLeft w:val="0"/>
      <w:marRight w:val="0"/>
      <w:marTop w:val="0"/>
      <w:marBottom w:val="0"/>
      <w:divBdr>
        <w:top w:val="none" w:sz="0" w:space="0" w:color="auto"/>
        <w:left w:val="none" w:sz="0" w:space="0" w:color="auto"/>
        <w:bottom w:val="none" w:sz="0" w:space="0" w:color="auto"/>
        <w:right w:val="none" w:sz="0" w:space="0" w:color="auto"/>
      </w:divBdr>
    </w:div>
    <w:div w:id="2094355161">
      <w:bodyDiv w:val="1"/>
      <w:marLeft w:val="0"/>
      <w:marRight w:val="0"/>
      <w:marTop w:val="0"/>
      <w:marBottom w:val="0"/>
      <w:divBdr>
        <w:top w:val="none" w:sz="0" w:space="0" w:color="auto"/>
        <w:left w:val="none" w:sz="0" w:space="0" w:color="auto"/>
        <w:bottom w:val="none" w:sz="0" w:space="0" w:color="auto"/>
        <w:right w:val="none" w:sz="0" w:space="0" w:color="auto"/>
      </w:divBdr>
    </w:div>
    <w:div w:id="2095934656">
      <w:bodyDiv w:val="1"/>
      <w:marLeft w:val="0"/>
      <w:marRight w:val="0"/>
      <w:marTop w:val="0"/>
      <w:marBottom w:val="0"/>
      <w:divBdr>
        <w:top w:val="none" w:sz="0" w:space="0" w:color="auto"/>
        <w:left w:val="none" w:sz="0" w:space="0" w:color="auto"/>
        <w:bottom w:val="none" w:sz="0" w:space="0" w:color="auto"/>
        <w:right w:val="none" w:sz="0" w:space="0" w:color="auto"/>
      </w:divBdr>
    </w:div>
    <w:div w:id="2099204140">
      <w:bodyDiv w:val="1"/>
      <w:marLeft w:val="0"/>
      <w:marRight w:val="0"/>
      <w:marTop w:val="0"/>
      <w:marBottom w:val="0"/>
      <w:divBdr>
        <w:top w:val="none" w:sz="0" w:space="0" w:color="auto"/>
        <w:left w:val="none" w:sz="0" w:space="0" w:color="auto"/>
        <w:bottom w:val="none" w:sz="0" w:space="0" w:color="auto"/>
        <w:right w:val="none" w:sz="0" w:space="0" w:color="auto"/>
      </w:divBdr>
    </w:div>
    <w:div w:id="2099524325">
      <w:bodyDiv w:val="1"/>
      <w:marLeft w:val="0"/>
      <w:marRight w:val="0"/>
      <w:marTop w:val="0"/>
      <w:marBottom w:val="0"/>
      <w:divBdr>
        <w:top w:val="none" w:sz="0" w:space="0" w:color="auto"/>
        <w:left w:val="none" w:sz="0" w:space="0" w:color="auto"/>
        <w:bottom w:val="none" w:sz="0" w:space="0" w:color="auto"/>
        <w:right w:val="none" w:sz="0" w:space="0" w:color="auto"/>
      </w:divBdr>
    </w:div>
    <w:div w:id="2103379754">
      <w:bodyDiv w:val="1"/>
      <w:marLeft w:val="0"/>
      <w:marRight w:val="0"/>
      <w:marTop w:val="0"/>
      <w:marBottom w:val="0"/>
      <w:divBdr>
        <w:top w:val="none" w:sz="0" w:space="0" w:color="auto"/>
        <w:left w:val="none" w:sz="0" w:space="0" w:color="auto"/>
        <w:bottom w:val="none" w:sz="0" w:space="0" w:color="auto"/>
        <w:right w:val="none" w:sz="0" w:space="0" w:color="auto"/>
      </w:divBdr>
    </w:div>
    <w:div w:id="2103866317">
      <w:bodyDiv w:val="1"/>
      <w:marLeft w:val="0"/>
      <w:marRight w:val="0"/>
      <w:marTop w:val="0"/>
      <w:marBottom w:val="0"/>
      <w:divBdr>
        <w:top w:val="none" w:sz="0" w:space="0" w:color="auto"/>
        <w:left w:val="none" w:sz="0" w:space="0" w:color="auto"/>
        <w:bottom w:val="none" w:sz="0" w:space="0" w:color="auto"/>
        <w:right w:val="none" w:sz="0" w:space="0" w:color="auto"/>
      </w:divBdr>
    </w:div>
    <w:div w:id="2106993952">
      <w:bodyDiv w:val="1"/>
      <w:marLeft w:val="0"/>
      <w:marRight w:val="0"/>
      <w:marTop w:val="0"/>
      <w:marBottom w:val="0"/>
      <w:divBdr>
        <w:top w:val="none" w:sz="0" w:space="0" w:color="auto"/>
        <w:left w:val="none" w:sz="0" w:space="0" w:color="auto"/>
        <w:bottom w:val="none" w:sz="0" w:space="0" w:color="auto"/>
        <w:right w:val="none" w:sz="0" w:space="0" w:color="auto"/>
      </w:divBdr>
    </w:div>
    <w:div w:id="2108039796">
      <w:bodyDiv w:val="1"/>
      <w:marLeft w:val="0"/>
      <w:marRight w:val="0"/>
      <w:marTop w:val="0"/>
      <w:marBottom w:val="0"/>
      <w:divBdr>
        <w:top w:val="none" w:sz="0" w:space="0" w:color="auto"/>
        <w:left w:val="none" w:sz="0" w:space="0" w:color="auto"/>
        <w:bottom w:val="none" w:sz="0" w:space="0" w:color="auto"/>
        <w:right w:val="none" w:sz="0" w:space="0" w:color="auto"/>
      </w:divBdr>
    </w:div>
    <w:div w:id="2108386705">
      <w:bodyDiv w:val="1"/>
      <w:marLeft w:val="0"/>
      <w:marRight w:val="0"/>
      <w:marTop w:val="0"/>
      <w:marBottom w:val="0"/>
      <w:divBdr>
        <w:top w:val="none" w:sz="0" w:space="0" w:color="auto"/>
        <w:left w:val="none" w:sz="0" w:space="0" w:color="auto"/>
        <w:bottom w:val="none" w:sz="0" w:space="0" w:color="auto"/>
        <w:right w:val="none" w:sz="0" w:space="0" w:color="auto"/>
      </w:divBdr>
    </w:div>
    <w:div w:id="2112242950">
      <w:bodyDiv w:val="1"/>
      <w:marLeft w:val="0"/>
      <w:marRight w:val="0"/>
      <w:marTop w:val="0"/>
      <w:marBottom w:val="0"/>
      <w:divBdr>
        <w:top w:val="none" w:sz="0" w:space="0" w:color="auto"/>
        <w:left w:val="none" w:sz="0" w:space="0" w:color="auto"/>
        <w:bottom w:val="none" w:sz="0" w:space="0" w:color="auto"/>
        <w:right w:val="none" w:sz="0" w:space="0" w:color="auto"/>
      </w:divBdr>
    </w:div>
    <w:div w:id="2112313982">
      <w:bodyDiv w:val="1"/>
      <w:marLeft w:val="0"/>
      <w:marRight w:val="0"/>
      <w:marTop w:val="0"/>
      <w:marBottom w:val="0"/>
      <w:divBdr>
        <w:top w:val="none" w:sz="0" w:space="0" w:color="auto"/>
        <w:left w:val="none" w:sz="0" w:space="0" w:color="auto"/>
        <w:bottom w:val="none" w:sz="0" w:space="0" w:color="auto"/>
        <w:right w:val="none" w:sz="0" w:space="0" w:color="auto"/>
      </w:divBdr>
    </w:div>
    <w:div w:id="2114130712">
      <w:bodyDiv w:val="1"/>
      <w:marLeft w:val="0"/>
      <w:marRight w:val="0"/>
      <w:marTop w:val="0"/>
      <w:marBottom w:val="0"/>
      <w:divBdr>
        <w:top w:val="none" w:sz="0" w:space="0" w:color="auto"/>
        <w:left w:val="none" w:sz="0" w:space="0" w:color="auto"/>
        <w:bottom w:val="none" w:sz="0" w:space="0" w:color="auto"/>
        <w:right w:val="none" w:sz="0" w:space="0" w:color="auto"/>
      </w:divBdr>
    </w:div>
    <w:div w:id="2115005667">
      <w:bodyDiv w:val="1"/>
      <w:marLeft w:val="0"/>
      <w:marRight w:val="0"/>
      <w:marTop w:val="0"/>
      <w:marBottom w:val="0"/>
      <w:divBdr>
        <w:top w:val="none" w:sz="0" w:space="0" w:color="auto"/>
        <w:left w:val="none" w:sz="0" w:space="0" w:color="auto"/>
        <w:bottom w:val="none" w:sz="0" w:space="0" w:color="auto"/>
        <w:right w:val="none" w:sz="0" w:space="0" w:color="auto"/>
      </w:divBdr>
    </w:div>
    <w:div w:id="2115705064">
      <w:bodyDiv w:val="1"/>
      <w:marLeft w:val="0"/>
      <w:marRight w:val="0"/>
      <w:marTop w:val="0"/>
      <w:marBottom w:val="0"/>
      <w:divBdr>
        <w:top w:val="none" w:sz="0" w:space="0" w:color="auto"/>
        <w:left w:val="none" w:sz="0" w:space="0" w:color="auto"/>
        <w:bottom w:val="none" w:sz="0" w:space="0" w:color="auto"/>
        <w:right w:val="none" w:sz="0" w:space="0" w:color="auto"/>
      </w:divBdr>
    </w:div>
    <w:div w:id="2116753691">
      <w:bodyDiv w:val="1"/>
      <w:marLeft w:val="0"/>
      <w:marRight w:val="0"/>
      <w:marTop w:val="0"/>
      <w:marBottom w:val="0"/>
      <w:divBdr>
        <w:top w:val="none" w:sz="0" w:space="0" w:color="auto"/>
        <w:left w:val="none" w:sz="0" w:space="0" w:color="auto"/>
        <w:bottom w:val="none" w:sz="0" w:space="0" w:color="auto"/>
        <w:right w:val="none" w:sz="0" w:space="0" w:color="auto"/>
      </w:divBdr>
    </w:div>
    <w:div w:id="2118600401">
      <w:bodyDiv w:val="1"/>
      <w:marLeft w:val="0"/>
      <w:marRight w:val="0"/>
      <w:marTop w:val="0"/>
      <w:marBottom w:val="0"/>
      <w:divBdr>
        <w:top w:val="none" w:sz="0" w:space="0" w:color="auto"/>
        <w:left w:val="none" w:sz="0" w:space="0" w:color="auto"/>
        <w:bottom w:val="none" w:sz="0" w:space="0" w:color="auto"/>
        <w:right w:val="none" w:sz="0" w:space="0" w:color="auto"/>
      </w:divBdr>
    </w:div>
    <w:div w:id="2119714183">
      <w:bodyDiv w:val="1"/>
      <w:marLeft w:val="0"/>
      <w:marRight w:val="0"/>
      <w:marTop w:val="0"/>
      <w:marBottom w:val="0"/>
      <w:divBdr>
        <w:top w:val="none" w:sz="0" w:space="0" w:color="auto"/>
        <w:left w:val="none" w:sz="0" w:space="0" w:color="auto"/>
        <w:bottom w:val="none" w:sz="0" w:space="0" w:color="auto"/>
        <w:right w:val="none" w:sz="0" w:space="0" w:color="auto"/>
      </w:divBdr>
    </w:div>
    <w:div w:id="2119792933">
      <w:bodyDiv w:val="1"/>
      <w:marLeft w:val="0"/>
      <w:marRight w:val="0"/>
      <w:marTop w:val="0"/>
      <w:marBottom w:val="0"/>
      <w:divBdr>
        <w:top w:val="none" w:sz="0" w:space="0" w:color="auto"/>
        <w:left w:val="none" w:sz="0" w:space="0" w:color="auto"/>
        <w:bottom w:val="none" w:sz="0" w:space="0" w:color="auto"/>
        <w:right w:val="none" w:sz="0" w:space="0" w:color="auto"/>
      </w:divBdr>
    </w:div>
    <w:div w:id="2120290893">
      <w:bodyDiv w:val="1"/>
      <w:marLeft w:val="0"/>
      <w:marRight w:val="0"/>
      <w:marTop w:val="0"/>
      <w:marBottom w:val="0"/>
      <w:divBdr>
        <w:top w:val="none" w:sz="0" w:space="0" w:color="auto"/>
        <w:left w:val="none" w:sz="0" w:space="0" w:color="auto"/>
        <w:bottom w:val="none" w:sz="0" w:space="0" w:color="auto"/>
        <w:right w:val="none" w:sz="0" w:space="0" w:color="auto"/>
      </w:divBdr>
    </w:div>
    <w:div w:id="2123305642">
      <w:bodyDiv w:val="1"/>
      <w:marLeft w:val="0"/>
      <w:marRight w:val="0"/>
      <w:marTop w:val="0"/>
      <w:marBottom w:val="0"/>
      <w:divBdr>
        <w:top w:val="none" w:sz="0" w:space="0" w:color="auto"/>
        <w:left w:val="none" w:sz="0" w:space="0" w:color="auto"/>
        <w:bottom w:val="none" w:sz="0" w:space="0" w:color="auto"/>
        <w:right w:val="none" w:sz="0" w:space="0" w:color="auto"/>
      </w:divBdr>
    </w:div>
    <w:div w:id="2123917098">
      <w:bodyDiv w:val="1"/>
      <w:marLeft w:val="0"/>
      <w:marRight w:val="0"/>
      <w:marTop w:val="0"/>
      <w:marBottom w:val="0"/>
      <w:divBdr>
        <w:top w:val="none" w:sz="0" w:space="0" w:color="auto"/>
        <w:left w:val="none" w:sz="0" w:space="0" w:color="auto"/>
        <w:bottom w:val="none" w:sz="0" w:space="0" w:color="auto"/>
        <w:right w:val="none" w:sz="0" w:space="0" w:color="auto"/>
      </w:divBdr>
    </w:div>
    <w:div w:id="2124033326">
      <w:bodyDiv w:val="1"/>
      <w:marLeft w:val="0"/>
      <w:marRight w:val="0"/>
      <w:marTop w:val="0"/>
      <w:marBottom w:val="0"/>
      <w:divBdr>
        <w:top w:val="none" w:sz="0" w:space="0" w:color="auto"/>
        <w:left w:val="none" w:sz="0" w:space="0" w:color="auto"/>
        <w:bottom w:val="none" w:sz="0" w:space="0" w:color="auto"/>
        <w:right w:val="none" w:sz="0" w:space="0" w:color="auto"/>
      </w:divBdr>
    </w:div>
    <w:div w:id="2124495439">
      <w:bodyDiv w:val="1"/>
      <w:marLeft w:val="0"/>
      <w:marRight w:val="0"/>
      <w:marTop w:val="0"/>
      <w:marBottom w:val="0"/>
      <w:divBdr>
        <w:top w:val="none" w:sz="0" w:space="0" w:color="auto"/>
        <w:left w:val="none" w:sz="0" w:space="0" w:color="auto"/>
        <w:bottom w:val="none" w:sz="0" w:space="0" w:color="auto"/>
        <w:right w:val="none" w:sz="0" w:space="0" w:color="auto"/>
      </w:divBdr>
    </w:div>
    <w:div w:id="2126079629">
      <w:bodyDiv w:val="1"/>
      <w:marLeft w:val="0"/>
      <w:marRight w:val="0"/>
      <w:marTop w:val="0"/>
      <w:marBottom w:val="0"/>
      <w:divBdr>
        <w:top w:val="none" w:sz="0" w:space="0" w:color="auto"/>
        <w:left w:val="none" w:sz="0" w:space="0" w:color="auto"/>
        <w:bottom w:val="none" w:sz="0" w:space="0" w:color="auto"/>
        <w:right w:val="none" w:sz="0" w:space="0" w:color="auto"/>
      </w:divBdr>
    </w:div>
    <w:div w:id="2126846048">
      <w:bodyDiv w:val="1"/>
      <w:marLeft w:val="0"/>
      <w:marRight w:val="0"/>
      <w:marTop w:val="0"/>
      <w:marBottom w:val="0"/>
      <w:divBdr>
        <w:top w:val="none" w:sz="0" w:space="0" w:color="auto"/>
        <w:left w:val="none" w:sz="0" w:space="0" w:color="auto"/>
        <w:bottom w:val="none" w:sz="0" w:space="0" w:color="auto"/>
        <w:right w:val="none" w:sz="0" w:space="0" w:color="auto"/>
      </w:divBdr>
    </w:div>
    <w:div w:id="2127431493">
      <w:bodyDiv w:val="1"/>
      <w:marLeft w:val="0"/>
      <w:marRight w:val="0"/>
      <w:marTop w:val="0"/>
      <w:marBottom w:val="0"/>
      <w:divBdr>
        <w:top w:val="none" w:sz="0" w:space="0" w:color="auto"/>
        <w:left w:val="none" w:sz="0" w:space="0" w:color="auto"/>
        <w:bottom w:val="none" w:sz="0" w:space="0" w:color="auto"/>
        <w:right w:val="none" w:sz="0" w:space="0" w:color="auto"/>
      </w:divBdr>
    </w:div>
    <w:div w:id="2128163170">
      <w:bodyDiv w:val="1"/>
      <w:marLeft w:val="0"/>
      <w:marRight w:val="0"/>
      <w:marTop w:val="0"/>
      <w:marBottom w:val="0"/>
      <w:divBdr>
        <w:top w:val="none" w:sz="0" w:space="0" w:color="auto"/>
        <w:left w:val="none" w:sz="0" w:space="0" w:color="auto"/>
        <w:bottom w:val="none" w:sz="0" w:space="0" w:color="auto"/>
        <w:right w:val="none" w:sz="0" w:space="0" w:color="auto"/>
      </w:divBdr>
    </w:div>
    <w:div w:id="2129006846">
      <w:bodyDiv w:val="1"/>
      <w:marLeft w:val="0"/>
      <w:marRight w:val="0"/>
      <w:marTop w:val="0"/>
      <w:marBottom w:val="0"/>
      <w:divBdr>
        <w:top w:val="none" w:sz="0" w:space="0" w:color="auto"/>
        <w:left w:val="none" w:sz="0" w:space="0" w:color="auto"/>
        <w:bottom w:val="none" w:sz="0" w:space="0" w:color="auto"/>
        <w:right w:val="none" w:sz="0" w:space="0" w:color="auto"/>
      </w:divBdr>
    </w:div>
    <w:div w:id="2133474355">
      <w:bodyDiv w:val="1"/>
      <w:marLeft w:val="0"/>
      <w:marRight w:val="0"/>
      <w:marTop w:val="0"/>
      <w:marBottom w:val="0"/>
      <w:divBdr>
        <w:top w:val="none" w:sz="0" w:space="0" w:color="auto"/>
        <w:left w:val="none" w:sz="0" w:space="0" w:color="auto"/>
        <w:bottom w:val="none" w:sz="0" w:space="0" w:color="auto"/>
        <w:right w:val="none" w:sz="0" w:space="0" w:color="auto"/>
      </w:divBdr>
    </w:div>
    <w:div w:id="2133670600">
      <w:bodyDiv w:val="1"/>
      <w:marLeft w:val="0"/>
      <w:marRight w:val="0"/>
      <w:marTop w:val="0"/>
      <w:marBottom w:val="0"/>
      <w:divBdr>
        <w:top w:val="none" w:sz="0" w:space="0" w:color="auto"/>
        <w:left w:val="none" w:sz="0" w:space="0" w:color="auto"/>
        <w:bottom w:val="none" w:sz="0" w:space="0" w:color="auto"/>
        <w:right w:val="none" w:sz="0" w:space="0" w:color="auto"/>
      </w:divBdr>
    </w:div>
    <w:div w:id="2133788366">
      <w:bodyDiv w:val="1"/>
      <w:marLeft w:val="0"/>
      <w:marRight w:val="0"/>
      <w:marTop w:val="0"/>
      <w:marBottom w:val="0"/>
      <w:divBdr>
        <w:top w:val="none" w:sz="0" w:space="0" w:color="auto"/>
        <w:left w:val="none" w:sz="0" w:space="0" w:color="auto"/>
        <w:bottom w:val="none" w:sz="0" w:space="0" w:color="auto"/>
        <w:right w:val="none" w:sz="0" w:space="0" w:color="auto"/>
      </w:divBdr>
    </w:div>
    <w:div w:id="2135295239">
      <w:bodyDiv w:val="1"/>
      <w:marLeft w:val="0"/>
      <w:marRight w:val="0"/>
      <w:marTop w:val="0"/>
      <w:marBottom w:val="0"/>
      <w:divBdr>
        <w:top w:val="none" w:sz="0" w:space="0" w:color="auto"/>
        <w:left w:val="none" w:sz="0" w:space="0" w:color="auto"/>
        <w:bottom w:val="none" w:sz="0" w:space="0" w:color="auto"/>
        <w:right w:val="none" w:sz="0" w:space="0" w:color="auto"/>
      </w:divBdr>
    </w:div>
    <w:div w:id="2135442878">
      <w:bodyDiv w:val="1"/>
      <w:marLeft w:val="0"/>
      <w:marRight w:val="0"/>
      <w:marTop w:val="0"/>
      <w:marBottom w:val="0"/>
      <w:divBdr>
        <w:top w:val="none" w:sz="0" w:space="0" w:color="auto"/>
        <w:left w:val="none" w:sz="0" w:space="0" w:color="auto"/>
        <w:bottom w:val="none" w:sz="0" w:space="0" w:color="auto"/>
        <w:right w:val="none" w:sz="0" w:space="0" w:color="auto"/>
      </w:divBdr>
    </w:div>
    <w:div w:id="2137290492">
      <w:bodyDiv w:val="1"/>
      <w:marLeft w:val="0"/>
      <w:marRight w:val="0"/>
      <w:marTop w:val="0"/>
      <w:marBottom w:val="0"/>
      <w:divBdr>
        <w:top w:val="none" w:sz="0" w:space="0" w:color="auto"/>
        <w:left w:val="none" w:sz="0" w:space="0" w:color="auto"/>
        <w:bottom w:val="none" w:sz="0" w:space="0" w:color="auto"/>
        <w:right w:val="none" w:sz="0" w:space="0" w:color="auto"/>
      </w:divBdr>
    </w:div>
    <w:div w:id="2138790609">
      <w:bodyDiv w:val="1"/>
      <w:marLeft w:val="0"/>
      <w:marRight w:val="0"/>
      <w:marTop w:val="0"/>
      <w:marBottom w:val="0"/>
      <w:divBdr>
        <w:top w:val="none" w:sz="0" w:space="0" w:color="auto"/>
        <w:left w:val="none" w:sz="0" w:space="0" w:color="auto"/>
        <w:bottom w:val="none" w:sz="0" w:space="0" w:color="auto"/>
        <w:right w:val="none" w:sz="0" w:space="0" w:color="auto"/>
      </w:divBdr>
    </w:div>
    <w:div w:id="2139831838">
      <w:bodyDiv w:val="1"/>
      <w:marLeft w:val="0"/>
      <w:marRight w:val="0"/>
      <w:marTop w:val="0"/>
      <w:marBottom w:val="0"/>
      <w:divBdr>
        <w:top w:val="none" w:sz="0" w:space="0" w:color="auto"/>
        <w:left w:val="none" w:sz="0" w:space="0" w:color="auto"/>
        <w:bottom w:val="none" w:sz="0" w:space="0" w:color="auto"/>
        <w:right w:val="none" w:sz="0" w:space="0" w:color="auto"/>
      </w:divBdr>
    </w:div>
    <w:div w:id="2140369363">
      <w:bodyDiv w:val="1"/>
      <w:marLeft w:val="0"/>
      <w:marRight w:val="0"/>
      <w:marTop w:val="0"/>
      <w:marBottom w:val="0"/>
      <w:divBdr>
        <w:top w:val="none" w:sz="0" w:space="0" w:color="auto"/>
        <w:left w:val="none" w:sz="0" w:space="0" w:color="auto"/>
        <w:bottom w:val="none" w:sz="0" w:space="0" w:color="auto"/>
        <w:right w:val="none" w:sz="0" w:space="0" w:color="auto"/>
      </w:divBdr>
    </w:div>
    <w:div w:id="2142649973">
      <w:bodyDiv w:val="1"/>
      <w:marLeft w:val="0"/>
      <w:marRight w:val="0"/>
      <w:marTop w:val="0"/>
      <w:marBottom w:val="0"/>
      <w:divBdr>
        <w:top w:val="none" w:sz="0" w:space="0" w:color="auto"/>
        <w:left w:val="none" w:sz="0" w:space="0" w:color="auto"/>
        <w:bottom w:val="none" w:sz="0" w:space="0" w:color="auto"/>
        <w:right w:val="none" w:sz="0" w:space="0" w:color="auto"/>
      </w:divBdr>
    </w:div>
    <w:div w:id="2143617853">
      <w:bodyDiv w:val="1"/>
      <w:marLeft w:val="0"/>
      <w:marRight w:val="0"/>
      <w:marTop w:val="0"/>
      <w:marBottom w:val="0"/>
      <w:divBdr>
        <w:top w:val="none" w:sz="0" w:space="0" w:color="auto"/>
        <w:left w:val="none" w:sz="0" w:space="0" w:color="auto"/>
        <w:bottom w:val="none" w:sz="0" w:space="0" w:color="auto"/>
        <w:right w:val="none" w:sz="0" w:space="0" w:color="auto"/>
      </w:divBdr>
    </w:div>
    <w:div w:id="2144535540">
      <w:bodyDiv w:val="1"/>
      <w:marLeft w:val="0"/>
      <w:marRight w:val="0"/>
      <w:marTop w:val="0"/>
      <w:marBottom w:val="0"/>
      <w:divBdr>
        <w:top w:val="none" w:sz="0" w:space="0" w:color="auto"/>
        <w:left w:val="none" w:sz="0" w:space="0" w:color="auto"/>
        <w:bottom w:val="none" w:sz="0" w:space="0" w:color="auto"/>
        <w:right w:val="none" w:sz="0" w:space="0" w:color="auto"/>
      </w:divBdr>
    </w:div>
    <w:div w:id="214724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image" Target="media/image5.png"/><Relationship Id="rId42" Type="http://schemas.openxmlformats.org/officeDocument/2006/relationships/header" Target="header26.xml"/><Relationship Id="rId47" Type="http://schemas.openxmlformats.org/officeDocument/2006/relationships/header" Target="header30.xml"/><Relationship Id="rId63" Type="http://schemas.openxmlformats.org/officeDocument/2006/relationships/header" Target="header45.xml"/><Relationship Id="rId68" Type="http://schemas.openxmlformats.org/officeDocument/2006/relationships/header" Target="header50.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15.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5.xml"/><Relationship Id="rId45" Type="http://schemas.openxmlformats.org/officeDocument/2006/relationships/header" Target="header28.xml"/><Relationship Id="rId53" Type="http://schemas.openxmlformats.org/officeDocument/2006/relationships/header" Target="header35.xml"/><Relationship Id="rId58" Type="http://schemas.openxmlformats.org/officeDocument/2006/relationships/header" Target="header40.xml"/><Relationship Id="rId66" Type="http://schemas.openxmlformats.org/officeDocument/2006/relationships/header" Target="header48.xml"/><Relationship Id="rId74" Type="http://schemas.openxmlformats.org/officeDocument/2006/relationships/header" Target="header54.xml"/><Relationship Id="rId5" Type="http://schemas.openxmlformats.org/officeDocument/2006/relationships/webSettings" Target="webSettings.xml"/><Relationship Id="rId61" Type="http://schemas.openxmlformats.org/officeDocument/2006/relationships/header" Target="header43.xml"/><Relationship Id="rId19" Type="http://schemas.openxmlformats.org/officeDocument/2006/relationships/image" Target="media/image3.png"/><Relationship Id="rId14" Type="http://schemas.openxmlformats.org/officeDocument/2006/relationships/header" Target="header6.xml"/><Relationship Id="rId22" Type="http://schemas.openxmlformats.org/officeDocument/2006/relationships/image" Target="media/image6.png"/><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7.xml"/><Relationship Id="rId48" Type="http://schemas.openxmlformats.org/officeDocument/2006/relationships/header" Target="header31.xml"/><Relationship Id="rId56" Type="http://schemas.openxmlformats.org/officeDocument/2006/relationships/header" Target="header38.xml"/><Relationship Id="rId64" Type="http://schemas.openxmlformats.org/officeDocument/2006/relationships/header" Target="header46.xml"/><Relationship Id="rId69" Type="http://schemas.openxmlformats.org/officeDocument/2006/relationships/header" Target="header51.xml"/><Relationship Id="rId8" Type="http://schemas.openxmlformats.org/officeDocument/2006/relationships/header" Target="header1.xml"/><Relationship Id="rId51" Type="http://schemas.openxmlformats.org/officeDocument/2006/relationships/header" Target="header33.xml"/><Relationship Id="rId72" Type="http://schemas.openxmlformats.org/officeDocument/2006/relationships/footer" Target="footer6.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oter" Target="footer2.xml"/><Relationship Id="rId46" Type="http://schemas.openxmlformats.org/officeDocument/2006/relationships/header" Target="header29.xml"/><Relationship Id="rId59" Type="http://schemas.openxmlformats.org/officeDocument/2006/relationships/header" Target="header41.xml"/><Relationship Id="rId67" Type="http://schemas.openxmlformats.org/officeDocument/2006/relationships/header" Target="header49.xml"/><Relationship Id="rId20" Type="http://schemas.openxmlformats.org/officeDocument/2006/relationships/image" Target="media/image4.png"/><Relationship Id="rId41" Type="http://schemas.openxmlformats.org/officeDocument/2006/relationships/footer" Target="footer3.xml"/><Relationship Id="rId54" Type="http://schemas.openxmlformats.org/officeDocument/2006/relationships/header" Target="header36.xml"/><Relationship Id="rId62" Type="http://schemas.openxmlformats.org/officeDocument/2006/relationships/header" Target="header44.xml"/><Relationship Id="rId70" Type="http://schemas.openxmlformats.org/officeDocument/2006/relationships/footer" Target="footer5.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yperlink" Target="http://www.supervielle.com.ar" TargetMode="Externa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2.xml"/><Relationship Id="rId57" Type="http://schemas.openxmlformats.org/officeDocument/2006/relationships/header" Target="header39.xml"/><Relationship Id="rId10" Type="http://schemas.openxmlformats.org/officeDocument/2006/relationships/footer" Target="footer1.xml"/><Relationship Id="rId31" Type="http://schemas.openxmlformats.org/officeDocument/2006/relationships/header" Target="header17.xml"/><Relationship Id="rId44" Type="http://schemas.openxmlformats.org/officeDocument/2006/relationships/footer" Target="footer4.xml"/><Relationship Id="rId52" Type="http://schemas.openxmlformats.org/officeDocument/2006/relationships/header" Target="header34.xml"/><Relationship Id="rId60" Type="http://schemas.openxmlformats.org/officeDocument/2006/relationships/header" Target="header42.xml"/><Relationship Id="rId65" Type="http://schemas.openxmlformats.org/officeDocument/2006/relationships/header" Target="header47.xml"/><Relationship Id="rId73" Type="http://schemas.openxmlformats.org/officeDocument/2006/relationships/header" Target="header53.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5.xml"/><Relationship Id="rId18" Type="http://schemas.openxmlformats.org/officeDocument/2006/relationships/image" Target="media/image2.emf"/><Relationship Id="rId39" Type="http://schemas.openxmlformats.org/officeDocument/2006/relationships/header" Target="header24.xml"/><Relationship Id="rId34" Type="http://schemas.openxmlformats.org/officeDocument/2006/relationships/header" Target="header20.xml"/><Relationship Id="rId50" Type="http://schemas.openxmlformats.org/officeDocument/2006/relationships/hyperlink" Target="http://www.supervielle.com.ar" TargetMode="External"/><Relationship Id="rId55" Type="http://schemas.openxmlformats.org/officeDocument/2006/relationships/header" Target="header37.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5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hyperlink" Target="http://10.241.100.92/index.php" TargetMode="External"/></Relationships>
</file>

<file path=word/_rels/header5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hyperlink" Target="http://10.241.100.92/index.php" TargetMode="External"/></Relationships>
</file>

<file path=word/_rels/header54.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hyperlink" Target="http://10.241.100.92/index.php" TargetMode="External"/></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92548-8707-4E21-8C31-C6BCD434C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330</Pages>
  <Words>101831</Words>
  <Characters>560076</Characters>
  <Application>Microsoft Office Word</Application>
  <DocSecurity>0</DocSecurity>
  <Lines>4667</Lines>
  <Paragraphs>1321</Paragraphs>
  <ScaleCrop>false</ScaleCrop>
  <HeadingPairs>
    <vt:vector size="2" baseType="variant">
      <vt:variant>
        <vt:lpstr>Título</vt:lpstr>
      </vt:variant>
      <vt:variant>
        <vt:i4>1</vt:i4>
      </vt:variant>
    </vt:vector>
  </HeadingPairs>
  <TitlesOfParts>
    <vt:vector size="1" baseType="lpstr">
      <vt:lpstr>ESTADOS CONTABLES SUPERVIELLE</vt:lpstr>
    </vt:vector>
  </TitlesOfParts>
  <Company>Banco Supervielle</Company>
  <LinksUpToDate>false</LinksUpToDate>
  <CharactersWithSpaces>660586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ESTADOS CONTABLES SUPERVIELLE</dc:title>
  <dc:subject/>
  <dc:creator>Banco Supervielle</dc:creator>
  <cp:keywords/>
  <dc:description/>
  <cp:lastModifiedBy>Sanchez Luciana Magali</cp:lastModifiedBy>
  <cp:revision>2</cp:revision>
  <cp:lastPrinted>2020-02-06T17:54:00Z</cp:lastPrinted>
  <dcterms:created xsi:type="dcterms:W3CDTF">2020-02-19T21:25:00Z</dcterms:created>
  <dcterms:modified xsi:type="dcterms:W3CDTF">2020-02-19T21:25:00Z</dcterms:modified>
</cp:coreProperties>
</file>